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5447" w:rsidRDefault="007C5447">
      <w:pPr>
        <w:pStyle w:val="BodyText"/>
        <w:spacing w:before="9"/>
        <w:rPr>
          <w:sz w:val="22"/>
        </w:rPr>
      </w:pPr>
    </w:p>
    <w:p w:rsidR="007C5447" w:rsidRDefault="00F6308C">
      <w:pPr>
        <w:pStyle w:val="BodyText"/>
        <w:ind w:left="3545"/>
        <w:rPr>
          <w:sz w:val="20"/>
        </w:rPr>
      </w:pPr>
      <w:r>
        <w:rPr>
          <w:noProof/>
          <w:sz w:val="20"/>
        </w:rPr>
        <w:drawing>
          <wp:inline distT="0" distB="0" distL="0" distR="0">
            <wp:extent cx="1489283" cy="15906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489283" cy="1590675"/>
                    </a:xfrm>
                    <a:prstGeom prst="rect">
                      <a:avLst/>
                    </a:prstGeom>
                  </pic:spPr>
                </pic:pic>
              </a:graphicData>
            </a:graphic>
          </wp:inline>
        </w:drawing>
      </w:r>
    </w:p>
    <w:p w:rsidR="007C5447" w:rsidRDefault="007C5447">
      <w:pPr>
        <w:pStyle w:val="BodyText"/>
        <w:spacing w:before="4"/>
        <w:rPr>
          <w:sz w:val="25"/>
        </w:rPr>
      </w:pPr>
    </w:p>
    <w:p w:rsidR="007C5447" w:rsidRDefault="00F6308C">
      <w:pPr>
        <w:spacing w:before="81" w:line="312" w:lineRule="auto"/>
        <w:ind w:left="234" w:right="263"/>
        <w:jc w:val="center"/>
        <w:rPr>
          <w:sz w:val="44"/>
        </w:rPr>
      </w:pPr>
      <w:r>
        <w:rPr>
          <w:sz w:val="44"/>
        </w:rPr>
        <w:t>TAMIL NADU ELECTRICITY REGULATORY COMMISSION</w:t>
      </w:r>
    </w:p>
    <w:p w:rsidR="007C5447" w:rsidRDefault="00F6308C">
      <w:pPr>
        <w:pStyle w:val="BodyText"/>
        <w:spacing w:before="5"/>
        <w:rPr>
          <w:sz w:val="19"/>
        </w:rPr>
      </w:pPr>
      <w:r>
        <w:pict>
          <v:line id="_x0000_s1067" style="position:absolute;z-index:-251658240;mso-wrap-distance-left:0;mso-wrap-distance-right:0;mso-position-horizontal-relative:page" from="78.15pt,14.15pt" to="525.15pt,14.15pt" strokeweight="2pt">
            <v:stroke dashstyle="longDash"/>
            <w10:wrap type="topAndBottom" anchorx="page"/>
          </v:line>
        </w:pict>
      </w:r>
    </w:p>
    <w:p w:rsidR="007C5447" w:rsidRDefault="007C5447">
      <w:pPr>
        <w:pStyle w:val="BodyText"/>
        <w:spacing w:before="11"/>
        <w:rPr>
          <w:sz w:val="69"/>
        </w:rPr>
      </w:pPr>
    </w:p>
    <w:p w:rsidR="007C5447" w:rsidRDefault="00F6308C">
      <w:pPr>
        <w:spacing w:line="312" w:lineRule="auto"/>
        <w:ind w:left="234" w:right="263"/>
        <w:jc w:val="center"/>
        <w:rPr>
          <w:sz w:val="52"/>
        </w:rPr>
      </w:pPr>
      <w:r>
        <w:pict>
          <v:line id="_x0000_s1066" style="position:absolute;left:0;text-align:left;z-index:-251657216;mso-wrap-distance-left:0;mso-wrap-distance-right:0;mso-position-horizontal-relative:page" from="78.15pt,81.8pt" to="525.15pt,81.8pt" strokeweight="2pt">
            <v:stroke dashstyle="longDash"/>
            <w10:wrap type="topAndBottom" anchorx="page"/>
          </v:line>
        </w:pict>
      </w:r>
      <w:r>
        <w:rPr>
          <w:noProof/>
        </w:rPr>
        <w:drawing>
          <wp:anchor distT="0" distB="0" distL="0" distR="0" simplePos="0" relativeHeight="151471104" behindDoc="1" locked="0" layoutInCell="1" allowOverlap="1">
            <wp:simplePos x="0" y="0"/>
            <wp:positionH relativeFrom="page">
              <wp:posOffset>2919729</wp:posOffset>
            </wp:positionH>
            <wp:positionV relativeFrom="paragraph">
              <wp:posOffset>1906735</wp:posOffset>
            </wp:positionV>
            <wp:extent cx="1715366" cy="1726989"/>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715366" cy="1726989"/>
                    </a:xfrm>
                    <a:prstGeom prst="rect">
                      <a:avLst/>
                    </a:prstGeom>
                  </pic:spPr>
                </pic:pic>
              </a:graphicData>
            </a:graphic>
          </wp:anchor>
        </w:drawing>
      </w:r>
      <w:r>
        <w:rPr>
          <w:sz w:val="52"/>
        </w:rPr>
        <w:t>Determination of Tariff for Generation and Distribution</w:t>
      </w:r>
    </w:p>
    <w:p w:rsidR="007C5447" w:rsidRDefault="00F6308C">
      <w:pPr>
        <w:spacing w:before="110" w:line="468" w:lineRule="auto"/>
        <w:ind w:left="1813" w:right="1838"/>
        <w:jc w:val="center"/>
        <w:rPr>
          <w:sz w:val="32"/>
        </w:rPr>
      </w:pPr>
      <w:r>
        <w:rPr>
          <w:sz w:val="32"/>
        </w:rPr>
        <w:t>Order in T.P. No.1 of 2017 dated 11-08-2017 (Effective from 11-08-2017)</w:t>
      </w:r>
    </w:p>
    <w:p w:rsidR="007C5447" w:rsidRDefault="007C5447">
      <w:pPr>
        <w:spacing w:line="468" w:lineRule="auto"/>
        <w:jc w:val="center"/>
        <w:rPr>
          <w:sz w:val="32"/>
        </w:rPr>
        <w:sectPr w:rsidR="007C5447">
          <w:footerReference w:type="default" r:id="rId9"/>
          <w:type w:val="continuous"/>
          <w:pgSz w:w="11910" w:h="16840"/>
          <w:pgMar w:top="1580" w:right="1220" w:bottom="1580" w:left="1220" w:header="720" w:footer="1386" w:gutter="0"/>
          <w:pgNumType w:start="1"/>
          <w:cols w:space="720"/>
        </w:sectPr>
      </w:pPr>
    </w:p>
    <w:p w:rsidR="007C5447" w:rsidRDefault="00F6308C">
      <w:pPr>
        <w:pStyle w:val="Heading2"/>
        <w:spacing w:before="70"/>
        <w:ind w:left="234" w:right="236"/>
        <w:jc w:val="center"/>
      </w:pPr>
      <w:r>
        <w:lastRenderedPageBreak/>
        <w:t>TAMIL NADU ELECTRICITY REGULATORY COMMISSION</w:t>
      </w:r>
    </w:p>
    <w:p w:rsidR="007C5447" w:rsidRDefault="00F6308C">
      <w:pPr>
        <w:pStyle w:val="BodyText"/>
        <w:spacing w:before="136"/>
        <w:ind w:left="234" w:right="234"/>
        <w:jc w:val="center"/>
      </w:pPr>
      <w:r>
        <w:t>(Constituted under Section 82 (1) of Electricity Act, 2003)</w:t>
      </w:r>
    </w:p>
    <w:p w:rsidR="007C5447" w:rsidRDefault="00F6308C">
      <w:pPr>
        <w:pStyle w:val="BodyText"/>
        <w:spacing w:before="140"/>
        <w:ind w:left="234" w:right="234"/>
        <w:jc w:val="center"/>
      </w:pPr>
      <w:r>
        <w:t>(Central Act 36 of 2003)</w:t>
      </w:r>
    </w:p>
    <w:p w:rsidR="007C5447" w:rsidRDefault="007C5447">
      <w:pPr>
        <w:pStyle w:val="BodyText"/>
        <w:spacing w:before="11"/>
      </w:pPr>
    </w:p>
    <w:p w:rsidR="007C5447" w:rsidRDefault="00F6308C">
      <w:pPr>
        <w:pStyle w:val="BodyText"/>
        <w:spacing w:before="90"/>
        <w:ind w:left="220"/>
      </w:pPr>
      <w:r>
        <w:t>PRESENT:</w:t>
      </w:r>
    </w:p>
    <w:p w:rsidR="007C5447" w:rsidRDefault="007C5447">
      <w:pPr>
        <w:pStyle w:val="BodyText"/>
        <w:spacing w:before="1"/>
        <w:rPr>
          <w:sz w:val="25"/>
        </w:rPr>
      </w:pPr>
    </w:p>
    <w:p w:rsidR="007C5447" w:rsidRDefault="00F6308C">
      <w:pPr>
        <w:pStyle w:val="BodyText"/>
        <w:tabs>
          <w:tab w:val="left" w:pos="5261"/>
          <w:tab w:val="left" w:pos="5981"/>
        </w:tabs>
        <w:spacing w:before="90" w:line="568" w:lineRule="auto"/>
        <w:ind w:left="3101" w:right="2540"/>
      </w:pPr>
      <w:r>
        <w:t>Thiru. S.</w:t>
      </w:r>
      <w:r>
        <w:rPr>
          <w:spacing w:val="-2"/>
        </w:rPr>
        <w:t xml:space="preserve"> </w:t>
      </w:r>
      <w:r>
        <w:t>Akshayakumar</w:t>
      </w:r>
      <w:r>
        <w:rPr>
          <w:spacing w:val="2"/>
        </w:rPr>
        <w:t xml:space="preserve"> </w:t>
      </w:r>
      <w:r>
        <w:t>–</w:t>
      </w:r>
      <w:r>
        <w:tab/>
      </w:r>
      <w:r>
        <w:rPr>
          <w:spacing w:val="-4"/>
        </w:rPr>
        <w:t xml:space="preserve">Chairman </w:t>
      </w:r>
      <w:r>
        <w:t>Thiru.</w:t>
      </w:r>
      <w:r>
        <w:rPr>
          <w:spacing w:val="-2"/>
        </w:rPr>
        <w:t xml:space="preserve"> </w:t>
      </w:r>
      <w:r>
        <w:t>G.</w:t>
      </w:r>
      <w:r>
        <w:rPr>
          <w:spacing w:val="-1"/>
        </w:rPr>
        <w:t xml:space="preserve"> </w:t>
      </w:r>
      <w:r>
        <w:t>Rajagopal</w:t>
      </w:r>
      <w:r>
        <w:tab/>
        <w:t>–</w:t>
      </w:r>
      <w:r>
        <w:tab/>
        <w:t>Member Dr. T. Prabhakara</w:t>
      </w:r>
      <w:r>
        <w:rPr>
          <w:spacing w:val="-4"/>
        </w:rPr>
        <w:t xml:space="preserve"> </w:t>
      </w:r>
      <w:r>
        <w:t>Rao</w:t>
      </w:r>
      <w:r>
        <w:rPr>
          <w:spacing w:val="1"/>
        </w:rPr>
        <w:t xml:space="preserve"> </w:t>
      </w:r>
      <w:r>
        <w:t>-</w:t>
      </w:r>
      <w:r>
        <w:tab/>
        <w:t>Member</w:t>
      </w:r>
    </w:p>
    <w:p w:rsidR="007C5447" w:rsidRDefault="00F6308C">
      <w:pPr>
        <w:pStyle w:val="Heading2"/>
        <w:spacing w:line="568" w:lineRule="auto"/>
        <w:ind w:left="3384" w:right="3325" w:hanging="39"/>
      </w:pPr>
      <w:r>
        <w:t>Order in T.P. No. 1 of 2017 Date of Order: 11-08-2017</w:t>
      </w:r>
    </w:p>
    <w:p w:rsidR="007C5447" w:rsidRDefault="00F6308C">
      <w:pPr>
        <w:ind w:left="966"/>
        <w:rPr>
          <w:b/>
          <w:sz w:val="24"/>
        </w:rPr>
      </w:pPr>
      <w:r>
        <w:rPr>
          <w:b/>
          <w:sz w:val="24"/>
        </w:rPr>
        <w:t>In the matter of: Determination of Tariff for Generation and Distribution</w:t>
      </w:r>
    </w:p>
    <w:p w:rsidR="007C5447" w:rsidRDefault="007C5447">
      <w:pPr>
        <w:pStyle w:val="BodyText"/>
        <w:spacing w:before="11"/>
        <w:rPr>
          <w:b/>
          <w:sz w:val="32"/>
        </w:rPr>
      </w:pPr>
    </w:p>
    <w:p w:rsidR="007C5447" w:rsidRDefault="00F6308C">
      <w:pPr>
        <w:pStyle w:val="BodyText"/>
        <w:spacing w:line="360" w:lineRule="auto"/>
        <w:ind w:left="220" w:right="215"/>
        <w:jc w:val="both"/>
      </w:pPr>
      <w:r>
        <w:t>In exercise of the powers conferred by clauses (a), (c),(d) of sub-section (1) of Section 62 and clause (a) of sub-section (1) of Section 86 of the Electricity Act, 2003, (Central Act 36 of 2003) and all other powers hereunto enabling in that behalf and af</w:t>
      </w:r>
      <w:r>
        <w:t xml:space="preserve">ter considering the views of the State Advisory Committee meeting held on July 20, 2017 and after considering suggestions and objections received from the public in writing and during the Public  Hearings held on July 25, 2017, July 28, 2017 and August 2, </w:t>
      </w:r>
      <w:r>
        <w:t>2017, as per sub-section (3) of Section 64 of the said Act, the Tamil Nadu Electricity Regulatory Commission hereby passes this order for Generation and Distribution</w:t>
      </w:r>
      <w:r>
        <w:rPr>
          <w:spacing w:val="-1"/>
        </w:rPr>
        <w:t xml:space="preserve"> </w:t>
      </w:r>
      <w:r>
        <w:t>Tariff.</w:t>
      </w:r>
    </w:p>
    <w:p w:rsidR="007C5447" w:rsidRDefault="00F6308C">
      <w:pPr>
        <w:pStyle w:val="BodyText"/>
        <w:spacing w:before="1"/>
        <w:ind w:left="220"/>
        <w:jc w:val="both"/>
      </w:pPr>
      <w:r>
        <w:t>This Order shall take effect on and from the August 11, 2017.</w:t>
      </w:r>
    </w:p>
    <w:p w:rsidR="007C5447" w:rsidRDefault="007C5447">
      <w:pPr>
        <w:pStyle w:val="BodyText"/>
        <w:spacing w:before="11"/>
      </w:pPr>
    </w:p>
    <w:p w:rsidR="007C5447" w:rsidRDefault="007C5447">
      <w:pPr>
        <w:sectPr w:rsidR="007C5447">
          <w:pgSz w:w="11910" w:h="16840"/>
          <w:pgMar w:top="1500" w:right="1220" w:bottom="1620" w:left="1220" w:header="0" w:footer="1386" w:gutter="0"/>
          <w:cols w:space="720"/>
        </w:sectPr>
      </w:pPr>
    </w:p>
    <w:p w:rsidR="007C5447" w:rsidRDefault="00F6308C">
      <w:pPr>
        <w:pStyle w:val="BodyText"/>
        <w:spacing w:before="90"/>
        <w:ind w:left="1186"/>
        <w:jc w:val="center"/>
      </w:pPr>
      <w:r>
        <w:t>S</w:t>
      </w:r>
      <w:r>
        <w:t>d/-</w:t>
      </w:r>
    </w:p>
    <w:p w:rsidR="007C5447" w:rsidRDefault="00F6308C">
      <w:pPr>
        <w:pStyle w:val="BodyText"/>
        <w:ind w:left="1182"/>
        <w:jc w:val="center"/>
      </w:pPr>
      <w:r>
        <w:t xml:space="preserve">(Dr. T. Prabhakara </w:t>
      </w:r>
      <w:r>
        <w:rPr>
          <w:spacing w:val="-5"/>
        </w:rPr>
        <w:t xml:space="preserve">Rao) </w:t>
      </w:r>
      <w:r>
        <w:t>Member</w:t>
      </w:r>
    </w:p>
    <w:p w:rsidR="007C5447" w:rsidRDefault="00F6308C">
      <w:pPr>
        <w:pStyle w:val="BodyText"/>
        <w:spacing w:before="90"/>
        <w:ind w:left="1115" w:right="362"/>
        <w:jc w:val="center"/>
      </w:pPr>
      <w:r>
        <w:br w:type="column"/>
      </w:r>
      <w:r>
        <w:t>Sd/-</w:t>
      </w:r>
    </w:p>
    <w:p w:rsidR="007C5447" w:rsidRDefault="00F6308C">
      <w:pPr>
        <w:pStyle w:val="BodyText"/>
        <w:ind w:left="1115" w:right="363"/>
        <w:jc w:val="center"/>
      </w:pPr>
      <w:r>
        <w:t>(</w:t>
      </w:r>
      <w:hyperlink r:id="rId10" w:anchor="M2">
        <w:r>
          <w:t>G. Rajagopal</w:t>
        </w:r>
      </w:hyperlink>
      <w:r>
        <w:t>)</w:t>
      </w:r>
    </w:p>
    <w:p w:rsidR="007C5447" w:rsidRDefault="00F6308C">
      <w:pPr>
        <w:pStyle w:val="BodyText"/>
        <w:ind w:left="1114" w:right="363"/>
        <w:jc w:val="center"/>
      </w:pPr>
      <w:r>
        <w:t>Member</w:t>
      </w:r>
    </w:p>
    <w:p w:rsidR="007C5447" w:rsidRDefault="007C5447">
      <w:pPr>
        <w:pStyle w:val="BodyText"/>
        <w:spacing w:before="10"/>
        <w:rPr>
          <w:sz w:val="20"/>
        </w:rPr>
      </w:pPr>
    </w:p>
    <w:p w:rsidR="007C5447" w:rsidRDefault="00F6308C">
      <w:pPr>
        <w:pStyle w:val="BodyText"/>
        <w:ind w:left="-1"/>
      </w:pPr>
      <w:r>
        <w:t>(By Order of the Commission)</w:t>
      </w:r>
    </w:p>
    <w:p w:rsidR="007C5447" w:rsidRDefault="00F6308C">
      <w:pPr>
        <w:pStyle w:val="BodyText"/>
        <w:spacing w:before="90"/>
        <w:ind w:left="654" w:right="415"/>
        <w:jc w:val="center"/>
      </w:pPr>
      <w:r>
        <w:br w:type="column"/>
      </w:r>
      <w:r>
        <w:t>Sd/-</w:t>
      </w:r>
    </w:p>
    <w:p w:rsidR="007C5447" w:rsidRDefault="00F6308C">
      <w:pPr>
        <w:pStyle w:val="BodyText"/>
        <w:ind w:left="655" w:right="415"/>
        <w:jc w:val="center"/>
      </w:pPr>
      <w:r>
        <w:t>(S. Akshayakumar) Chairman</w:t>
      </w:r>
    </w:p>
    <w:p w:rsidR="007C5447" w:rsidRDefault="007C5447">
      <w:pPr>
        <w:jc w:val="center"/>
        <w:sectPr w:rsidR="007C5447">
          <w:type w:val="continuous"/>
          <w:pgSz w:w="11910" w:h="16840"/>
          <w:pgMar w:top="1580" w:right="1220" w:bottom="1580" w:left="1220" w:header="720" w:footer="720" w:gutter="0"/>
          <w:cols w:num="3" w:space="720" w:equalWidth="0">
            <w:col w:w="3506" w:space="40"/>
            <w:col w:w="2946" w:space="39"/>
            <w:col w:w="2939"/>
          </w:cols>
        </w:sectPr>
      </w:pPr>
    </w:p>
    <w:p w:rsidR="007C5447" w:rsidRDefault="007C5447">
      <w:pPr>
        <w:pStyle w:val="BodyText"/>
        <w:rPr>
          <w:sz w:val="20"/>
        </w:rPr>
      </w:pPr>
    </w:p>
    <w:p w:rsidR="007C5447" w:rsidRDefault="00F6308C">
      <w:pPr>
        <w:pStyle w:val="BodyText"/>
        <w:spacing w:before="211"/>
        <w:ind w:left="6025" w:right="263"/>
        <w:jc w:val="center"/>
      </w:pPr>
      <w:r>
        <w:t>Sd/-</w:t>
      </w:r>
    </w:p>
    <w:p w:rsidR="007C5447" w:rsidRDefault="00F6308C">
      <w:pPr>
        <w:pStyle w:val="BodyText"/>
        <w:spacing w:before="84" w:line="312" w:lineRule="auto"/>
        <w:ind w:left="6708" w:right="948" w:hanging="1"/>
        <w:jc w:val="center"/>
      </w:pPr>
      <w:r>
        <w:t>(S. Chinnarajalu) Secretary, TNERC</w:t>
      </w:r>
    </w:p>
    <w:p w:rsidR="007C5447" w:rsidRDefault="007C5447">
      <w:pPr>
        <w:spacing w:line="312" w:lineRule="auto"/>
        <w:jc w:val="center"/>
        <w:sectPr w:rsidR="007C5447">
          <w:type w:val="continuous"/>
          <w:pgSz w:w="11910" w:h="16840"/>
          <w:pgMar w:top="1580" w:right="1220" w:bottom="1580" w:left="1220" w:header="720" w:footer="720" w:gutter="0"/>
          <w:cols w:space="720"/>
        </w:sectPr>
      </w:pPr>
    </w:p>
    <w:p w:rsidR="007C5447" w:rsidRDefault="00F6308C">
      <w:pPr>
        <w:pStyle w:val="Heading2"/>
        <w:spacing w:before="70"/>
        <w:ind w:left="2441"/>
      </w:pPr>
      <w:r>
        <w:lastRenderedPageBreak/>
        <w:t>LIST OF ABBREVIATIONS</w:t>
      </w:r>
    </w:p>
    <w:p w:rsidR="007C5447" w:rsidRDefault="007C5447">
      <w:pPr>
        <w:pStyle w:val="BodyText"/>
        <w:spacing w:before="1"/>
        <w:rPr>
          <w:b/>
          <w:sz w:val="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0"/>
        <w:gridCol w:w="7017"/>
      </w:tblGrid>
      <w:tr w:rsidR="007C5447">
        <w:trPr>
          <w:trHeight w:val="455"/>
        </w:trPr>
        <w:tc>
          <w:tcPr>
            <w:tcW w:w="2230" w:type="dxa"/>
          </w:tcPr>
          <w:p w:rsidR="007C5447" w:rsidRDefault="00F6308C">
            <w:pPr>
              <w:pStyle w:val="TableParagraph"/>
              <w:spacing w:before="101"/>
              <w:ind w:left="107"/>
              <w:jc w:val="left"/>
            </w:pPr>
            <w:r>
              <w:t>A&amp;G</w:t>
            </w:r>
          </w:p>
        </w:tc>
        <w:tc>
          <w:tcPr>
            <w:tcW w:w="7017" w:type="dxa"/>
          </w:tcPr>
          <w:p w:rsidR="007C5447" w:rsidRDefault="00F6308C">
            <w:pPr>
              <w:pStyle w:val="TableParagraph"/>
              <w:spacing w:before="101"/>
              <w:ind w:left="107"/>
              <w:jc w:val="left"/>
            </w:pPr>
            <w:r>
              <w:t>Administration and General</w:t>
            </w:r>
          </w:p>
        </w:tc>
      </w:tr>
      <w:tr w:rsidR="007C5447">
        <w:trPr>
          <w:trHeight w:val="453"/>
        </w:trPr>
        <w:tc>
          <w:tcPr>
            <w:tcW w:w="2230" w:type="dxa"/>
          </w:tcPr>
          <w:p w:rsidR="007C5447" w:rsidRDefault="00F6308C">
            <w:pPr>
              <w:pStyle w:val="TableParagraph"/>
              <w:spacing w:before="99"/>
              <w:ind w:left="107"/>
              <w:jc w:val="left"/>
            </w:pPr>
            <w:r>
              <w:t>ABC</w:t>
            </w:r>
          </w:p>
        </w:tc>
        <w:tc>
          <w:tcPr>
            <w:tcW w:w="7017" w:type="dxa"/>
          </w:tcPr>
          <w:p w:rsidR="007C5447" w:rsidRDefault="00F6308C">
            <w:pPr>
              <w:pStyle w:val="TableParagraph"/>
              <w:spacing w:before="99"/>
              <w:ind w:left="107"/>
              <w:jc w:val="left"/>
            </w:pPr>
            <w:r>
              <w:t>Aerial Bunched Cables</w:t>
            </w:r>
          </w:p>
        </w:tc>
      </w:tr>
      <w:tr w:rsidR="007C5447">
        <w:trPr>
          <w:trHeight w:val="453"/>
        </w:trPr>
        <w:tc>
          <w:tcPr>
            <w:tcW w:w="2230" w:type="dxa"/>
          </w:tcPr>
          <w:p w:rsidR="007C5447" w:rsidRDefault="00F6308C">
            <w:pPr>
              <w:pStyle w:val="TableParagraph"/>
              <w:spacing w:before="99"/>
              <w:ind w:left="107"/>
              <w:jc w:val="left"/>
            </w:pPr>
            <w:r>
              <w:t>ABR</w:t>
            </w:r>
          </w:p>
        </w:tc>
        <w:tc>
          <w:tcPr>
            <w:tcW w:w="7017" w:type="dxa"/>
          </w:tcPr>
          <w:p w:rsidR="007C5447" w:rsidRDefault="00F6308C">
            <w:pPr>
              <w:pStyle w:val="TableParagraph"/>
              <w:spacing w:before="99"/>
              <w:ind w:left="107"/>
              <w:jc w:val="left"/>
            </w:pPr>
            <w:r>
              <w:t>Average Billing Rate</w:t>
            </w:r>
          </w:p>
        </w:tc>
      </w:tr>
      <w:tr w:rsidR="007C5447">
        <w:trPr>
          <w:trHeight w:val="455"/>
        </w:trPr>
        <w:tc>
          <w:tcPr>
            <w:tcW w:w="2230" w:type="dxa"/>
          </w:tcPr>
          <w:p w:rsidR="007C5447" w:rsidRDefault="00F6308C">
            <w:pPr>
              <w:pStyle w:val="TableParagraph"/>
              <w:spacing w:before="101"/>
              <w:ind w:left="107"/>
              <w:jc w:val="left"/>
            </w:pPr>
            <w:r>
              <w:t>APTEL</w:t>
            </w:r>
          </w:p>
        </w:tc>
        <w:tc>
          <w:tcPr>
            <w:tcW w:w="7017" w:type="dxa"/>
          </w:tcPr>
          <w:p w:rsidR="007C5447" w:rsidRDefault="00F6308C">
            <w:pPr>
              <w:pStyle w:val="TableParagraph"/>
              <w:spacing w:before="101"/>
              <w:ind w:left="107"/>
              <w:jc w:val="left"/>
            </w:pPr>
            <w:r>
              <w:t>Appellate Tribunal for Electricity</w:t>
            </w:r>
          </w:p>
        </w:tc>
      </w:tr>
      <w:tr w:rsidR="007C5447">
        <w:trPr>
          <w:trHeight w:val="453"/>
        </w:trPr>
        <w:tc>
          <w:tcPr>
            <w:tcW w:w="2230" w:type="dxa"/>
          </w:tcPr>
          <w:p w:rsidR="007C5447" w:rsidRDefault="00F6308C">
            <w:pPr>
              <w:pStyle w:val="TableParagraph"/>
              <w:spacing w:before="99"/>
              <w:ind w:left="107"/>
              <w:jc w:val="left"/>
            </w:pPr>
            <w:r>
              <w:t>ARR</w:t>
            </w:r>
          </w:p>
        </w:tc>
        <w:tc>
          <w:tcPr>
            <w:tcW w:w="7017" w:type="dxa"/>
          </w:tcPr>
          <w:p w:rsidR="007C5447" w:rsidRDefault="00F6308C">
            <w:pPr>
              <w:pStyle w:val="TableParagraph"/>
              <w:spacing w:before="99"/>
              <w:ind w:left="107"/>
              <w:jc w:val="left"/>
            </w:pPr>
            <w:r>
              <w:t>Aggregate Revenue Requirement</w:t>
            </w:r>
          </w:p>
        </w:tc>
      </w:tr>
      <w:tr w:rsidR="007C5447">
        <w:trPr>
          <w:trHeight w:val="453"/>
        </w:trPr>
        <w:tc>
          <w:tcPr>
            <w:tcW w:w="2230" w:type="dxa"/>
          </w:tcPr>
          <w:p w:rsidR="007C5447" w:rsidRDefault="00F6308C">
            <w:pPr>
              <w:pStyle w:val="TableParagraph"/>
              <w:spacing w:before="99"/>
              <w:ind w:left="107"/>
              <w:jc w:val="left"/>
            </w:pPr>
            <w:r>
              <w:t>CAGR</w:t>
            </w:r>
          </w:p>
        </w:tc>
        <w:tc>
          <w:tcPr>
            <w:tcW w:w="7017" w:type="dxa"/>
          </w:tcPr>
          <w:p w:rsidR="007C5447" w:rsidRDefault="00F6308C">
            <w:pPr>
              <w:pStyle w:val="TableParagraph"/>
              <w:spacing w:before="99"/>
              <w:ind w:left="107"/>
              <w:jc w:val="left"/>
            </w:pPr>
            <w:r>
              <w:t>Compounded Annual Growth Rate</w:t>
            </w:r>
          </w:p>
        </w:tc>
      </w:tr>
      <w:tr w:rsidR="007C5447">
        <w:trPr>
          <w:trHeight w:val="455"/>
        </w:trPr>
        <w:tc>
          <w:tcPr>
            <w:tcW w:w="2230" w:type="dxa"/>
          </w:tcPr>
          <w:p w:rsidR="007C5447" w:rsidRDefault="00F6308C">
            <w:pPr>
              <w:pStyle w:val="TableParagraph"/>
              <w:spacing w:before="101"/>
              <w:ind w:left="107"/>
              <w:jc w:val="left"/>
            </w:pPr>
            <w:r>
              <w:t>CEA</w:t>
            </w:r>
          </w:p>
        </w:tc>
        <w:tc>
          <w:tcPr>
            <w:tcW w:w="7017" w:type="dxa"/>
          </w:tcPr>
          <w:p w:rsidR="007C5447" w:rsidRDefault="00F6308C">
            <w:pPr>
              <w:pStyle w:val="TableParagraph"/>
              <w:spacing w:before="101"/>
              <w:ind w:left="107"/>
              <w:jc w:val="left"/>
            </w:pPr>
            <w:r>
              <w:t>Central Electricity Authority</w:t>
            </w:r>
          </w:p>
        </w:tc>
      </w:tr>
      <w:tr w:rsidR="007C5447">
        <w:trPr>
          <w:trHeight w:val="453"/>
        </w:trPr>
        <w:tc>
          <w:tcPr>
            <w:tcW w:w="2230" w:type="dxa"/>
          </w:tcPr>
          <w:p w:rsidR="007C5447" w:rsidRDefault="00F6308C">
            <w:pPr>
              <w:pStyle w:val="TableParagraph"/>
              <w:spacing w:before="99"/>
              <w:ind w:left="107"/>
              <w:jc w:val="left"/>
            </w:pPr>
            <w:r>
              <w:t>CERC</w:t>
            </w:r>
          </w:p>
        </w:tc>
        <w:tc>
          <w:tcPr>
            <w:tcW w:w="7017" w:type="dxa"/>
          </w:tcPr>
          <w:p w:rsidR="007C5447" w:rsidRDefault="00F6308C">
            <w:pPr>
              <w:pStyle w:val="TableParagraph"/>
              <w:spacing w:before="99"/>
              <w:ind w:left="107"/>
              <w:jc w:val="left"/>
            </w:pPr>
            <w:r>
              <w:t>Central Electricity Regulatory Commission</w:t>
            </w:r>
          </w:p>
        </w:tc>
      </w:tr>
      <w:tr w:rsidR="007C5447">
        <w:trPr>
          <w:trHeight w:val="453"/>
        </w:trPr>
        <w:tc>
          <w:tcPr>
            <w:tcW w:w="2230" w:type="dxa"/>
          </w:tcPr>
          <w:p w:rsidR="007C5447" w:rsidRDefault="00F6308C">
            <w:pPr>
              <w:pStyle w:val="TableParagraph"/>
              <w:spacing w:before="99"/>
              <w:ind w:left="107"/>
              <w:jc w:val="left"/>
            </w:pPr>
            <w:r>
              <w:t>CFL</w:t>
            </w:r>
          </w:p>
        </w:tc>
        <w:tc>
          <w:tcPr>
            <w:tcW w:w="7017" w:type="dxa"/>
          </w:tcPr>
          <w:p w:rsidR="007C5447" w:rsidRDefault="00F6308C">
            <w:pPr>
              <w:pStyle w:val="TableParagraph"/>
              <w:spacing w:before="99"/>
              <w:ind w:left="107"/>
              <w:jc w:val="left"/>
            </w:pPr>
            <w:r>
              <w:t>Compact Fluorescent Lamps</w:t>
            </w:r>
          </w:p>
        </w:tc>
      </w:tr>
      <w:tr w:rsidR="007C5447">
        <w:trPr>
          <w:trHeight w:val="455"/>
        </w:trPr>
        <w:tc>
          <w:tcPr>
            <w:tcW w:w="2230" w:type="dxa"/>
          </w:tcPr>
          <w:p w:rsidR="007C5447" w:rsidRDefault="00F6308C">
            <w:pPr>
              <w:pStyle w:val="TableParagraph"/>
              <w:spacing w:before="101"/>
              <w:ind w:left="107"/>
              <w:jc w:val="left"/>
            </w:pPr>
            <w:r>
              <w:t>CGS</w:t>
            </w:r>
          </w:p>
        </w:tc>
        <w:tc>
          <w:tcPr>
            <w:tcW w:w="7017" w:type="dxa"/>
          </w:tcPr>
          <w:p w:rsidR="007C5447" w:rsidRDefault="00F6308C">
            <w:pPr>
              <w:pStyle w:val="TableParagraph"/>
              <w:spacing w:before="101"/>
              <w:ind w:left="107"/>
              <w:jc w:val="left"/>
            </w:pPr>
            <w:r>
              <w:t>Central Generating Station</w:t>
            </w:r>
          </w:p>
        </w:tc>
      </w:tr>
      <w:tr w:rsidR="007C5447">
        <w:trPr>
          <w:trHeight w:val="453"/>
        </w:trPr>
        <w:tc>
          <w:tcPr>
            <w:tcW w:w="2230" w:type="dxa"/>
          </w:tcPr>
          <w:p w:rsidR="007C5447" w:rsidRDefault="00F6308C">
            <w:pPr>
              <w:pStyle w:val="TableParagraph"/>
              <w:spacing w:before="99"/>
              <w:ind w:left="107"/>
              <w:jc w:val="left"/>
            </w:pPr>
            <w:r>
              <w:t>COS</w:t>
            </w:r>
          </w:p>
        </w:tc>
        <w:tc>
          <w:tcPr>
            <w:tcW w:w="7017" w:type="dxa"/>
          </w:tcPr>
          <w:p w:rsidR="007C5447" w:rsidRDefault="00F6308C">
            <w:pPr>
              <w:pStyle w:val="TableParagraph"/>
              <w:spacing w:before="99"/>
              <w:ind w:left="107"/>
              <w:jc w:val="left"/>
            </w:pPr>
            <w:r>
              <w:t>Cost of Supply</w:t>
            </w:r>
          </w:p>
        </w:tc>
      </w:tr>
      <w:tr w:rsidR="007C5447">
        <w:trPr>
          <w:trHeight w:val="453"/>
        </w:trPr>
        <w:tc>
          <w:tcPr>
            <w:tcW w:w="2230" w:type="dxa"/>
          </w:tcPr>
          <w:p w:rsidR="007C5447" w:rsidRDefault="00F6308C">
            <w:pPr>
              <w:pStyle w:val="TableParagraph"/>
              <w:spacing w:before="99"/>
              <w:ind w:left="107"/>
              <w:jc w:val="left"/>
            </w:pPr>
            <w:r>
              <w:t>CPP</w:t>
            </w:r>
          </w:p>
        </w:tc>
        <w:tc>
          <w:tcPr>
            <w:tcW w:w="7017" w:type="dxa"/>
          </w:tcPr>
          <w:p w:rsidR="007C5447" w:rsidRDefault="00F6308C">
            <w:pPr>
              <w:pStyle w:val="TableParagraph"/>
              <w:spacing w:before="99"/>
              <w:ind w:left="107"/>
              <w:jc w:val="left"/>
            </w:pPr>
            <w:r>
              <w:t>Captive Power Plant</w:t>
            </w:r>
          </w:p>
        </w:tc>
      </w:tr>
      <w:tr w:rsidR="007C5447">
        <w:trPr>
          <w:trHeight w:val="455"/>
        </w:trPr>
        <w:tc>
          <w:tcPr>
            <w:tcW w:w="2230" w:type="dxa"/>
          </w:tcPr>
          <w:p w:rsidR="007C5447" w:rsidRDefault="00F6308C">
            <w:pPr>
              <w:pStyle w:val="TableParagraph"/>
              <w:spacing w:before="101"/>
              <w:ind w:left="107"/>
              <w:jc w:val="left"/>
            </w:pPr>
            <w:r>
              <w:t>CSD</w:t>
            </w:r>
          </w:p>
        </w:tc>
        <w:tc>
          <w:tcPr>
            <w:tcW w:w="7017" w:type="dxa"/>
          </w:tcPr>
          <w:p w:rsidR="007C5447" w:rsidRDefault="00F6308C">
            <w:pPr>
              <w:pStyle w:val="TableParagraph"/>
              <w:spacing w:before="101"/>
              <w:ind w:left="107"/>
              <w:jc w:val="left"/>
            </w:pPr>
            <w:r>
              <w:t>Consumer Security Deposit</w:t>
            </w:r>
          </w:p>
        </w:tc>
      </w:tr>
      <w:tr w:rsidR="007C5447">
        <w:trPr>
          <w:trHeight w:val="453"/>
        </w:trPr>
        <w:tc>
          <w:tcPr>
            <w:tcW w:w="2230" w:type="dxa"/>
          </w:tcPr>
          <w:p w:rsidR="007C5447" w:rsidRDefault="00F6308C">
            <w:pPr>
              <w:pStyle w:val="TableParagraph"/>
              <w:spacing w:before="99"/>
              <w:ind w:left="107"/>
              <w:jc w:val="left"/>
            </w:pPr>
            <w:r>
              <w:t>CWIP</w:t>
            </w:r>
          </w:p>
        </w:tc>
        <w:tc>
          <w:tcPr>
            <w:tcW w:w="7017" w:type="dxa"/>
          </w:tcPr>
          <w:p w:rsidR="007C5447" w:rsidRDefault="00F6308C">
            <w:pPr>
              <w:pStyle w:val="TableParagraph"/>
              <w:spacing w:before="99"/>
              <w:ind w:left="107"/>
              <w:jc w:val="left"/>
            </w:pPr>
            <w:r>
              <w:t>Capital Work in Progress</w:t>
            </w:r>
          </w:p>
        </w:tc>
      </w:tr>
      <w:tr w:rsidR="007C5447">
        <w:trPr>
          <w:trHeight w:val="453"/>
        </w:trPr>
        <w:tc>
          <w:tcPr>
            <w:tcW w:w="2230" w:type="dxa"/>
          </w:tcPr>
          <w:p w:rsidR="007C5447" w:rsidRDefault="00F6308C">
            <w:pPr>
              <w:pStyle w:val="TableParagraph"/>
              <w:spacing w:before="99"/>
              <w:ind w:left="107"/>
              <w:jc w:val="left"/>
            </w:pPr>
            <w:r>
              <w:t>DA</w:t>
            </w:r>
          </w:p>
        </w:tc>
        <w:tc>
          <w:tcPr>
            <w:tcW w:w="7017" w:type="dxa"/>
          </w:tcPr>
          <w:p w:rsidR="007C5447" w:rsidRDefault="00F6308C">
            <w:pPr>
              <w:pStyle w:val="TableParagraph"/>
              <w:spacing w:before="99"/>
              <w:ind w:left="107"/>
              <w:jc w:val="left"/>
            </w:pPr>
            <w:r>
              <w:t>Dearness Allowance</w:t>
            </w:r>
          </w:p>
        </w:tc>
      </w:tr>
      <w:tr w:rsidR="007C5447">
        <w:trPr>
          <w:trHeight w:val="455"/>
        </w:trPr>
        <w:tc>
          <w:tcPr>
            <w:tcW w:w="2230" w:type="dxa"/>
          </w:tcPr>
          <w:p w:rsidR="007C5447" w:rsidRDefault="00F6308C">
            <w:pPr>
              <w:pStyle w:val="TableParagraph"/>
              <w:spacing w:before="101"/>
              <w:ind w:left="107"/>
              <w:jc w:val="left"/>
            </w:pPr>
            <w:r>
              <w:t>EA</w:t>
            </w:r>
          </w:p>
        </w:tc>
        <w:tc>
          <w:tcPr>
            <w:tcW w:w="7017" w:type="dxa"/>
          </w:tcPr>
          <w:p w:rsidR="007C5447" w:rsidRDefault="00F6308C">
            <w:pPr>
              <w:pStyle w:val="TableParagraph"/>
              <w:spacing w:before="101"/>
              <w:ind w:left="107"/>
              <w:jc w:val="left"/>
            </w:pPr>
            <w:r>
              <w:t>Electricity Act</w:t>
            </w:r>
          </w:p>
        </w:tc>
      </w:tr>
      <w:tr w:rsidR="007C5447">
        <w:trPr>
          <w:trHeight w:val="453"/>
        </w:trPr>
        <w:tc>
          <w:tcPr>
            <w:tcW w:w="2230" w:type="dxa"/>
          </w:tcPr>
          <w:p w:rsidR="007C5447" w:rsidRDefault="00F6308C">
            <w:pPr>
              <w:pStyle w:val="TableParagraph"/>
              <w:spacing w:before="99"/>
              <w:ind w:left="107"/>
              <w:jc w:val="left"/>
            </w:pPr>
            <w:r>
              <w:t>ED</w:t>
            </w:r>
          </w:p>
        </w:tc>
        <w:tc>
          <w:tcPr>
            <w:tcW w:w="7017" w:type="dxa"/>
          </w:tcPr>
          <w:p w:rsidR="007C5447" w:rsidRDefault="00F6308C">
            <w:pPr>
              <w:pStyle w:val="TableParagraph"/>
              <w:spacing w:before="99"/>
              <w:ind w:left="107"/>
              <w:jc w:val="left"/>
            </w:pPr>
            <w:r>
              <w:t>Electricity Duty</w:t>
            </w:r>
          </w:p>
        </w:tc>
      </w:tr>
      <w:tr w:rsidR="007C5447">
        <w:trPr>
          <w:trHeight w:val="453"/>
        </w:trPr>
        <w:tc>
          <w:tcPr>
            <w:tcW w:w="2230" w:type="dxa"/>
          </w:tcPr>
          <w:p w:rsidR="007C5447" w:rsidRDefault="00F6308C">
            <w:pPr>
              <w:pStyle w:val="TableParagraph"/>
              <w:spacing w:before="99"/>
              <w:ind w:left="107"/>
              <w:jc w:val="left"/>
            </w:pPr>
            <w:r>
              <w:t>FRP</w:t>
            </w:r>
          </w:p>
        </w:tc>
        <w:tc>
          <w:tcPr>
            <w:tcW w:w="7017" w:type="dxa"/>
          </w:tcPr>
          <w:p w:rsidR="007C5447" w:rsidRDefault="00F6308C">
            <w:pPr>
              <w:pStyle w:val="TableParagraph"/>
              <w:spacing w:before="99"/>
              <w:ind w:left="107"/>
              <w:jc w:val="left"/>
            </w:pPr>
            <w:r>
              <w:t>Financial Restructuring Plan</w:t>
            </w:r>
          </w:p>
        </w:tc>
      </w:tr>
      <w:tr w:rsidR="007C5447">
        <w:trPr>
          <w:trHeight w:val="455"/>
        </w:trPr>
        <w:tc>
          <w:tcPr>
            <w:tcW w:w="2230" w:type="dxa"/>
          </w:tcPr>
          <w:p w:rsidR="007C5447" w:rsidRDefault="00F6308C">
            <w:pPr>
              <w:pStyle w:val="TableParagraph"/>
              <w:spacing w:before="101"/>
              <w:ind w:left="107"/>
              <w:jc w:val="left"/>
            </w:pPr>
            <w:r>
              <w:t>FY</w:t>
            </w:r>
          </w:p>
        </w:tc>
        <w:tc>
          <w:tcPr>
            <w:tcW w:w="7017" w:type="dxa"/>
          </w:tcPr>
          <w:p w:rsidR="007C5447" w:rsidRDefault="00F6308C">
            <w:pPr>
              <w:pStyle w:val="TableParagraph"/>
              <w:spacing w:before="101"/>
              <w:ind w:left="107"/>
              <w:jc w:val="left"/>
            </w:pPr>
            <w:r>
              <w:t>Financial Year</w:t>
            </w:r>
          </w:p>
        </w:tc>
      </w:tr>
      <w:tr w:rsidR="007C5447">
        <w:trPr>
          <w:trHeight w:val="453"/>
        </w:trPr>
        <w:tc>
          <w:tcPr>
            <w:tcW w:w="2230" w:type="dxa"/>
          </w:tcPr>
          <w:p w:rsidR="007C5447" w:rsidRDefault="00F6308C">
            <w:pPr>
              <w:pStyle w:val="TableParagraph"/>
              <w:spacing w:before="100"/>
              <w:ind w:left="107"/>
              <w:jc w:val="left"/>
            </w:pPr>
            <w:r>
              <w:t>GFA</w:t>
            </w:r>
          </w:p>
        </w:tc>
        <w:tc>
          <w:tcPr>
            <w:tcW w:w="7017" w:type="dxa"/>
          </w:tcPr>
          <w:p w:rsidR="007C5447" w:rsidRDefault="00F6308C">
            <w:pPr>
              <w:pStyle w:val="TableParagraph"/>
              <w:spacing w:before="100"/>
              <w:ind w:left="107"/>
              <w:jc w:val="left"/>
            </w:pPr>
            <w:r>
              <w:t>Gross Fixed Assets</w:t>
            </w:r>
          </w:p>
        </w:tc>
      </w:tr>
      <w:tr w:rsidR="007C5447">
        <w:trPr>
          <w:trHeight w:val="453"/>
        </w:trPr>
        <w:tc>
          <w:tcPr>
            <w:tcW w:w="2230" w:type="dxa"/>
          </w:tcPr>
          <w:p w:rsidR="007C5447" w:rsidRDefault="00F6308C">
            <w:pPr>
              <w:pStyle w:val="TableParagraph"/>
              <w:spacing w:before="99"/>
              <w:ind w:left="107"/>
              <w:jc w:val="left"/>
            </w:pPr>
            <w:r>
              <w:t>G.O.</w:t>
            </w:r>
          </w:p>
        </w:tc>
        <w:tc>
          <w:tcPr>
            <w:tcW w:w="7017" w:type="dxa"/>
          </w:tcPr>
          <w:p w:rsidR="007C5447" w:rsidRDefault="00F6308C">
            <w:pPr>
              <w:pStyle w:val="TableParagraph"/>
              <w:spacing w:before="99"/>
              <w:ind w:left="107"/>
              <w:jc w:val="left"/>
            </w:pPr>
            <w:r>
              <w:t>Government Order</w:t>
            </w:r>
          </w:p>
        </w:tc>
      </w:tr>
      <w:tr w:rsidR="007C5447">
        <w:trPr>
          <w:trHeight w:val="455"/>
        </w:trPr>
        <w:tc>
          <w:tcPr>
            <w:tcW w:w="2230" w:type="dxa"/>
          </w:tcPr>
          <w:p w:rsidR="007C5447" w:rsidRDefault="00F6308C">
            <w:pPr>
              <w:pStyle w:val="TableParagraph"/>
              <w:spacing w:before="101"/>
              <w:ind w:left="107"/>
              <w:jc w:val="left"/>
            </w:pPr>
            <w:r>
              <w:t>GPF</w:t>
            </w:r>
          </w:p>
        </w:tc>
        <w:tc>
          <w:tcPr>
            <w:tcW w:w="7017" w:type="dxa"/>
          </w:tcPr>
          <w:p w:rsidR="007C5447" w:rsidRDefault="00F6308C">
            <w:pPr>
              <w:pStyle w:val="TableParagraph"/>
              <w:spacing w:before="101"/>
              <w:ind w:left="107"/>
              <w:jc w:val="left"/>
            </w:pPr>
            <w:r>
              <w:t>General Provident Fund</w:t>
            </w:r>
          </w:p>
        </w:tc>
      </w:tr>
      <w:tr w:rsidR="007C5447">
        <w:trPr>
          <w:trHeight w:val="453"/>
        </w:trPr>
        <w:tc>
          <w:tcPr>
            <w:tcW w:w="2230" w:type="dxa"/>
          </w:tcPr>
          <w:p w:rsidR="007C5447" w:rsidRDefault="00F6308C">
            <w:pPr>
              <w:pStyle w:val="TableParagraph"/>
              <w:spacing w:before="99"/>
              <w:ind w:left="107"/>
              <w:jc w:val="left"/>
            </w:pPr>
            <w:r>
              <w:t>GoTN</w:t>
            </w:r>
          </w:p>
        </w:tc>
        <w:tc>
          <w:tcPr>
            <w:tcW w:w="7017" w:type="dxa"/>
          </w:tcPr>
          <w:p w:rsidR="007C5447" w:rsidRDefault="00F6308C">
            <w:pPr>
              <w:pStyle w:val="TableParagraph"/>
              <w:spacing w:before="99"/>
              <w:ind w:left="107"/>
              <w:jc w:val="left"/>
            </w:pPr>
            <w:r>
              <w:t>Government of Tamil Nadu</w:t>
            </w:r>
          </w:p>
        </w:tc>
      </w:tr>
      <w:tr w:rsidR="007C5447">
        <w:trPr>
          <w:trHeight w:val="453"/>
        </w:trPr>
        <w:tc>
          <w:tcPr>
            <w:tcW w:w="2230" w:type="dxa"/>
          </w:tcPr>
          <w:p w:rsidR="007C5447" w:rsidRDefault="00F6308C">
            <w:pPr>
              <w:pStyle w:val="TableParagraph"/>
              <w:spacing w:before="99"/>
              <w:ind w:left="107"/>
              <w:jc w:val="left"/>
            </w:pPr>
            <w:r>
              <w:t>HT</w:t>
            </w:r>
          </w:p>
        </w:tc>
        <w:tc>
          <w:tcPr>
            <w:tcW w:w="7017" w:type="dxa"/>
          </w:tcPr>
          <w:p w:rsidR="007C5447" w:rsidRDefault="00F6308C">
            <w:pPr>
              <w:pStyle w:val="TableParagraph"/>
              <w:spacing w:before="99"/>
              <w:ind w:left="107"/>
              <w:jc w:val="left"/>
            </w:pPr>
            <w:r>
              <w:t>High Tension</w:t>
            </w:r>
          </w:p>
        </w:tc>
      </w:tr>
      <w:tr w:rsidR="007C5447">
        <w:trPr>
          <w:trHeight w:val="455"/>
        </w:trPr>
        <w:tc>
          <w:tcPr>
            <w:tcW w:w="2230" w:type="dxa"/>
          </w:tcPr>
          <w:p w:rsidR="007C5447" w:rsidRDefault="00F6308C">
            <w:pPr>
              <w:pStyle w:val="TableParagraph"/>
              <w:spacing w:before="101"/>
              <w:ind w:left="107"/>
              <w:jc w:val="left"/>
            </w:pPr>
            <w:r>
              <w:t>HVDS</w:t>
            </w:r>
          </w:p>
        </w:tc>
        <w:tc>
          <w:tcPr>
            <w:tcW w:w="7017" w:type="dxa"/>
          </w:tcPr>
          <w:p w:rsidR="007C5447" w:rsidRDefault="00F6308C">
            <w:pPr>
              <w:pStyle w:val="TableParagraph"/>
              <w:spacing w:before="101"/>
              <w:ind w:left="107"/>
              <w:jc w:val="left"/>
            </w:pPr>
            <w:r>
              <w:t>High Voltage Distribution System</w:t>
            </w:r>
          </w:p>
        </w:tc>
      </w:tr>
      <w:tr w:rsidR="007C5447">
        <w:trPr>
          <w:trHeight w:val="453"/>
        </w:trPr>
        <w:tc>
          <w:tcPr>
            <w:tcW w:w="2230" w:type="dxa"/>
          </w:tcPr>
          <w:p w:rsidR="007C5447" w:rsidRDefault="00F6308C">
            <w:pPr>
              <w:pStyle w:val="TableParagraph"/>
              <w:spacing w:before="99"/>
              <w:ind w:left="107"/>
              <w:jc w:val="left"/>
            </w:pPr>
            <w:r>
              <w:t>kWh</w:t>
            </w:r>
          </w:p>
        </w:tc>
        <w:tc>
          <w:tcPr>
            <w:tcW w:w="7017" w:type="dxa"/>
          </w:tcPr>
          <w:p w:rsidR="007C5447" w:rsidRDefault="00F6308C">
            <w:pPr>
              <w:pStyle w:val="TableParagraph"/>
              <w:spacing w:before="99"/>
              <w:ind w:left="107"/>
              <w:jc w:val="left"/>
            </w:pPr>
            <w:r>
              <w:t>kilo-Watt hour</w:t>
            </w:r>
          </w:p>
        </w:tc>
      </w:tr>
      <w:tr w:rsidR="007C5447">
        <w:trPr>
          <w:trHeight w:val="456"/>
        </w:trPr>
        <w:tc>
          <w:tcPr>
            <w:tcW w:w="2230" w:type="dxa"/>
          </w:tcPr>
          <w:p w:rsidR="007C5447" w:rsidRDefault="00F6308C">
            <w:pPr>
              <w:pStyle w:val="TableParagraph"/>
              <w:spacing w:before="99"/>
              <w:ind w:left="107"/>
              <w:jc w:val="left"/>
            </w:pPr>
            <w:r>
              <w:t>LT</w:t>
            </w:r>
          </w:p>
        </w:tc>
        <w:tc>
          <w:tcPr>
            <w:tcW w:w="7017" w:type="dxa"/>
          </w:tcPr>
          <w:p w:rsidR="007C5447" w:rsidRDefault="00F6308C">
            <w:pPr>
              <w:pStyle w:val="TableParagraph"/>
              <w:spacing w:before="99"/>
              <w:ind w:left="107"/>
              <w:jc w:val="left"/>
            </w:pPr>
            <w:r>
              <w:t>Low Tension</w:t>
            </w:r>
          </w:p>
        </w:tc>
      </w:tr>
    </w:tbl>
    <w:p w:rsidR="007C5447" w:rsidRDefault="007C5447">
      <w:pPr>
        <w:sectPr w:rsidR="007C5447">
          <w:pgSz w:w="11910" w:h="16840"/>
          <w:pgMar w:top="1500" w:right="1220" w:bottom="1620" w:left="1220" w:header="0" w:footer="1386"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0"/>
        <w:gridCol w:w="7017"/>
      </w:tblGrid>
      <w:tr w:rsidR="007C5447">
        <w:trPr>
          <w:trHeight w:val="453"/>
        </w:trPr>
        <w:tc>
          <w:tcPr>
            <w:tcW w:w="2230" w:type="dxa"/>
          </w:tcPr>
          <w:p w:rsidR="007C5447" w:rsidRDefault="00F6308C">
            <w:pPr>
              <w:pStyle w:val="TableParagraph"/>
              <w:spacing w:before="90"/>
              <w:ind w:left="107"/>
              <w:jc w:val="left"/>
            </w:pPr>
            <w:r>
              <w:lastRenderedPageBreak/>
              <w:t>LTOA</w:t>
            </w:r>
          </w:p>
        </w:tc>
        <w:tc>
          <w:tcPr>
            <w:tcW w:w="7017" w:type="dxa"/>
          </w:tcPr>
          <w:p w:rsidR="007C5447" w:rsidRDefault="00F6308C">
            <w:pPr>
              <w:pStyle w:val="TableParagraph"/>
              <w:spacing w:before="90"/>
              <w:ind w:left="107"/>
              <w:jc w:val="left"/>
            </w:pPr>
            <w:r>
              <w:t>Long Term Open Access</w:t>
            </w:r>
          </w:p>
        </w:tc>
      </w:tr>
      <w:tr w:rsidR="007C5447">
        <w:trPr>
          <w:trHeight w:val="455"/>
        </w:trPr>
        <w:tc>
          <w:tcPr>
            <w:tcW w:w="2230" w:type="dxa"/>
          </w:tcPr>
          <w:p w:rsidR="007C5447" w:rsidRDefault="00F6308C">
            <w:pPr>
              <w:pStyle w:val="TableParagraph"/>
              <w:spacing w:before="90"/>
              <w:ind w:left="107"/>
              <w:jc w:val="left"/>
            </w:pPr>
            <w:r>
              <w:t>MTOA</w:t>
            </w:r>
          </w:p>
        </w:tc>
        <w:tc>
          <w:tcPr>
            <w:tcW w:w="7017" w:type="dxa"/>
          </w:tcPr>
          <w:p w:rsidR="007C5447" w:rsidRDefault="00F6308C">
            <w:pPr>
              <w:pStyle w:val="TableParagraph"/>
              <w:spacing w:before="90"/>
              <w:ind w:left="107"/>
              <w:jc w:val="left"/>
            </w:pPr>
            <w:r>
              <w:t>Medium Term Open Access</w:t>
            </w:r>
          </w:p>
        </w:tc>
      </w:tr>
      <w:tr w:rsidR="007C5447">
        <w:trPr>
          <w:trHeight w:val="453"/>
        </w:trPr>
        <w:tc>
          <w:tcPr>
            <w:tcW w:w="2230" w:type="dxa"/>
          </w:tcPr>
          <w:p w:rsidR="007C5447" w:rsidRDefault="00F6308C">
            <w:pPr>
              <w:pStyle w:val="TableParagraph"/>
              <w:spacing w:before="90"/>
              <w:ind w:left="107"/>
              <w:jc w:val="left"/>
            </w:pPr>
            <w:r>
              <w:t>MU</w:t>
            </w:r>
          </w:p>
        </w:tc>
        <w:tc>
          <w:tcPr>
            <w:tcW w:w="7017" w:type="dxa"/>
          </w:tcPr>
          <w:p w:rsidR="007C5447" w:rsidRDefault="00F6308C">
            <w:pPr>
              <w:pStyle w:val="TableParagraph"/>
              <w:spacing w:before="90"/>
              <w:ind w:left="107"/>
              <w:jc w:val="left"/>
            </w:pPr>
            <w:r>
              <w:t>Million Units</w:t>
            </w:r>
          </w:p>
        </w:tc>
      </w:tr>
      <w:tr w:rsidR="007C5447">
        <w:trPr>
          <w:trHeight w:val="453"/>
        </w:trPr>
        <w:tc>
          <w:tcPr>
            <w:tcW w:w="2230" w:type="dxa"/>
          </w:tcPr>
          <w:p w:rsidR="007C5447" w:rsidRDefault="00F6308C">
            <w:pPr>
              <w:pStyle w:val="TableParagraph"/>
              <w:spacing w:before="90"/>
              <w:ind w:left="107"/>
              <w:jc w:val="left"/>
            </w:pPr>
            <w:r>
              <w:t>MW</w:t>
            </w:r>
          </w:p>
        </w:tc>
        <w:tc>
          <w:tcPr>
            <w:tcW w:w="7017" w:type="dxa"/>
          </w:tcPr>
          <w:p w:rsidR="007C5447" w:rsidRDefault="00F6308C">
            <w:pPr>
              <w:pStyle w:val="TableParagraph"/>
              <w:spacing w:before="90"/>
              <w:ind w:left="107"/>
              <w:jc w:val="left"/>
            </w:pPr>
            <w:r>
              <w:t>Mega-Watt</w:t>
            </w:r>
          </w:p>
        </w:tc>
      </w:tr>
      <w:tr w:rsidR="007C5447">
        <w:trPr>
          <w:trHeight w:val="455"/>
        </w:trPr>
        <w:tc>
          <w:tcPr>
            <w:tcW w:w="2230" w:type="dxa"/>
          </w:tcPr>
          <w:p w:rsidR="007C5447" w:rsidRDefault="00F6308C">
            <w:pPr>
              <w:pStyle w:val="TableParagraph"/>
              <w:spacing w:before="90"/>
              <w:ind w:left="107"/>
              <w:jc w:val="left"/>
            </w:pPr>
            <w:r>
              <w:t>MYT</w:t>
            </w:r>
          </w:p>
        </w:tc>
        <w:tc>
          <w:tcPr>
            <w:tcW w:w="7017" w:type="dxa"/>
          </w:tcPr>
          <w:p w:rsidR="007C5447" w:rsidRDefault="00F6308C">
            <w:pPr>
              <w:pStyle w:val="TableParagraph"/>
              <w:spacing w:before="90"/>
              <w:ind w:left="107"/>
              <w:jc w:val="left"/>
            </w:pPr>
            <w:r>
              <w:t>Multi-Year Tariff</w:t>
            </w:r>
          </w:p>
        </w:tc>
      </w:tr>
      <w:tr w:rsidR="007C5447">
        <w:trPr>
          <w:trHeight w:val="453"/>
        </w:trPr>
        <w:tc>
          <w:tcPr>
            <w:tcW w:w="2230" w:type="dxa"/>
          </w:tcPr>
          <w:p w:rsidR="007C5447" w:rsidRDefault="00F6308C">
            <w:pPr>
              <w:pStyle w:val="TableParagraph"/>
              <w:spacing w:before="90"/>
              <w:ind w:left="107"/>
              <w:jc w:val="left"/>
            </w:pPr>
            <w:r>
              <w:t>NTI</w:t>
            </w:r>
          </w:p>
        </w:tc>
        <w:tc>
          <w:tcPr>
            <w:tcW w:w="7017" w:type="dxa"/>
          </w:tcPr>
          <w:p w:rsidR="007C5447" w:rsidRDefault="00F6308C">
            <w:pPr>
              <w:pStyle w:val="TableParagraph"/>
              <w:spacing w:before="90"/>
              <w:ind w:left="107"/>
              <w:jc w:val="left"/>
            </w:pPr>
            <w:r>
              <w:t>Non-Tariff Income</w:t>
            </w:r>
          </w:p>
        </w:tc>
      </w:tr>
      <w:tr w:rsidR="007C5447">
        <w:trPr>
          <w:trHeight w:val="453"/>
        </w:trPr>
        <w:tc>
          <w:tcPr>
            <w:tcW w:w="2230" w:type="dxa"/>
          </w:tcPr>
          <w:p w:rsidR="007C5447" w:rsidRDefault="00F6308C">
            <w:pPr>
              <w:pStyle w:val="TableParagraph"/>
              <w:spacing w:before="90"/>
              <w:ind w:left="107"/>
              <w:jc w:val="left"/>
            </w:pPr>
            <w:r>
              <w:t>O&amp;M</w:t>
            </w:r>
          </w:p>
        </w:tc>
        <w:tc>
          <w:tcPr>
            <w:tcW w:w="7017" w:type="dxa"/>
          </w:tcPr>
          <w:p w:rsidR="007C5447" w:rsidRDefault="00F6308C">
            <w:pPr>
              <w:pStyle w:val="TableParagraph"/>
              <w:spacing w:before="90"/>
              <w:ind w:left="107"/>
              <w:jc w:val="left"/>
            </w:pPr>
            <w:r>
              <w:t>Operation &amp; Maintenance</w:t>
            </w:r>
          </w:p>
        </w:tc>
      </w:tr>
      <w:tr w:rsidR="007C5447">
        <w:trPr>
          <w:trHeight w:val="455"/>
        </w:trPr>
        <w:tc>
          <w:tcPr>
            <w:tcW w:w="2230" w:type="dxa"/>
          </w:tcPr>
          <w:p w:rsidR="007C5447" w:rsidRDefault="00F6308C">
            <w:pPr>
              <w:pStyle w:val="TableParagraph"/>
              <w:spacing w:before="90"/>
              <w:ind w:left="107"/>
              <w:jc w:val="left"/>
            </w:pPr>
            <w:r>
              <w:t>PF</w:t>
            </w:r>
          </w:p>
        </w:tc>
        <w:tc>
          <w:tcPr>
            <w:tcW w:w="7017" w:type="dxa"/>
          </w:tcPr>
          <w:p w:rsidR="007C5447" w:rsidRDefault="00F6308C">
            <w:pPr>
              <w:pStyle w:val="TableParagraph"/>
              <w:spacing w:before="90"/>
              <w:ind w:left="107"/>
              <w:jc w:val="left"/>
            </w:pPr>
            <w:r>
              <w:t>Power Factor</w:t>
            </w:r>
          </w:p>
        </w:tc>
      </w:tr>
      <w:tr w:rsidR="007C5447">
        <w:trPr>
          <w:trHeight w:val="453"/>
        </w:trPr>
        <w:tc>
          <w:tcPr>
            <w:tcW w:w="2230" w:type="dxa"/>
          </w:tcPr>
          <w:p w:rsidR="007C5447" w:rsidRDefault="00F6308C">
            <w:pPr>
              <w:pStyle w:val="TableParagraph"/>
              <w:spacing w:before="90"/>
              <w:ind w:left="107"/>
              <w:jc w:val="left"/>
            </w:pPr>
            <w:r>
              <w:t>PLF</w:t>
            </w:r>
          </w:p>
        </w:tc>
        <w:tc>
          <w:tcPr>
            <w:tcW w:w="7017" w:type="dxa"/>
          </w:tcPr>
          <w:p w:rsidR="007C5447" w:rsidRDefault="00F6308C">
            <w:pPr>
              <w:pStyle w:val="TableParagraph"/>
              <w:spacing w:before="90"/>
              <w:ind w:left="107"/>
              <w:jc w:val="left"/>
            </w:pPr>
            <w:r>
              <w:t>Plant Load Factor</w:t>
            </w:r>
          </w:p>
        </w:tc>
      </w:tr>
      <w:tr w:rsidR="007C5447">
        <w:trPr>
          <w:trHeight w:val="453"/>
        </w:trPr>
        <w:tc>
          <w:tcPr>
            <w:tcW w:w="2230" w:type="dxa"/>
          </w:tcPr>
          <w:p w:rsidR="007C5447" w:rsidRDefault="00F6308C">
            <w:pPr>
              <w:pStyle w:val="TableParagraph"/>
              <w:spacing w:before="90"/>
              <w:ind w:left="107"/>
              <w:jc w:val="left"/>
            </w:pPr>
            <w:r>
              <w:t>R&amp;M</w:t>
            </w:r>
          </w:p>
        </w:tc>
        <w:tc>
          <w:tcPr>
            <w:tcW w:w="7017" w:type="dxa"/>
          </w:tcPr>
          <w:p w:rsidR="007C5447" w:rsidRDefault="00F6308C">
            <w:pPr>
              <w:pStyle w:val="TableParagraph"/>
              <w:spacing w:before="90"/>
              <w:ind w:left="107"/>
              <w:jc w:val="left"/>
            </w:pPr>
            <w:r>
              <w:t>Repair &amp; Maintenance</w:t>
            </w:r>
          </w:p>
        </w:tc>
      </w:tr>
      <w:tr w:rsidR="007C5447">
        <w:trPr>
          <w:trHeight w:val="455"/>
        </w:trPr>
        <w:tc>
          <w:tcPr>
            <w:tcW w:w="2230" w:type="dxa"/>
          </w:tcPr>
          <w:p w:rsidR="007C5447" w:rsidRDefault="00F6308C">
            <w:pPr>
              <w:pStyle w:val="TableParagraph"/>
              <w:spacing w:before="90"/>
              <w:ind w:left="107"/>
              <w:jc w:val="left"/>
            </w:pPr>
            <w:r>
              <w:t>RoE</w:t>
            </w:r>
          </w:p>
        </w:tc>
        <w:tc>
          <w:tcPr>
            <w:tcW w:w="7017" w:type="dxa"/>
          </w:tcPr>
          <w:p w:rsidR="007C5447" w:rsidRDefault="00F6308C">
            <w:pPr>
              <w:pStyle w:val="TableParagraph"/>
              <w:spacing w:before="90"/>
              <w:ind w:left="107"/>
              <w:jc w:val="left"/>
            </w:pPr>
            <w:r>
              <w:t>Return on Equity</w:t>
            </w:r>
          </w:p>
        </w:tc>
      </w:tr>
      <w:tr w:rsidR="007C5447">
        <w:trPr>
          <w:trHeight w:val="453"/>
        </w:trPr>
        <w:tc>
          <w:tcPr>
            <w:tcW w:w="2230" w:type="dxa"/>
          </w:tcPr>
          <w:p w:rsidR="007C5447" w:rsidRDefault="00F6308C">
            <w:pPr>
              <w:pStyle w:val="TableParagraph"/>
              <w:spacing w:before="90"/>
              <w:ind w:left="107"/>
              <w:jc w:val="left"/>
            </w:pPr>
            <w:r>
              <w:t>SLDC</w:t>
            </w:r>
          </w:p>
        </w:tc>
        <w:tc>
          <w:tcPr>
            <w:tcW w:w="7017" w:type="dxa"/>
          </w:tcPr>
          <w:p w:rsidR="007C5447" w:rsidRDefault="00F6308C">
            <w:pPr>
              <w:pStyle w:val="TableParagraph"/>
              <w:spacing w:before="90"/>
              <w:ind w:left="107"/>
              <w:jc w:val="left"/>
            </w:pPr>
            <w:r>
              <w:t>State Load Despatch Centre</w:t>
            </w:r>
          </w:p>
        </w:tc>
      </w:tr>
      <w:tr w:rsidR="007C5447">
        <w:trPr>
          <w:trHeight w:val="453"/>
        </w:trPr>
        <w:tc>
          <w:tcPr>
            <w:tcW w:w="2230" w:type="dxa"/>
          </w:tcPr>
          <w:p w:rsidR="007C5447" w:rsidRDefault="00F6308C">
            <w:pPr>
              <w:pStyle w:val="TableParagraph"/>
              <w:spacing w:before="90"/>
              <w:ind w:left="107"/>
              <w:jc w:val="left"/>
            </w:pPr>
            <w:r>
              <w:t>STOA</w:t>
            </w:r>
          </w:p>
        </w:tc>
        <w:tc>
          <w:tcPr>
            <w:tcW w:w="7017" w:type="dxa"/>
          </w:tcPr>
          <w:p w:rsidR="007C5447" w:rsidRDefault="00F6308C">
            <w:pPr>
              <w:pStyle w:val="TableParagraph"/>
              <w:spacing w:before="90"/>
              <w:ind w:left="107"/>
              <w:jc w:val="left"/>
            </w:pPr>
            <w:r>
              <w:t>Short Term Open Access</w:t>
            </w:r>
          </w:p>
        </w:tc>
      </w:tr>
      <w:tr w:rsidR="007C5447">
        <w:trPr>
          <w:trHeight w:val="455"/>
        </w:trPr>
        <w:tc>
          <w:tcPr>
            <w:tcW w:w="2230" w:type="dxa"/>
          </w:tcPr>
          <w:p w:rsidR="007C5447" w:rsidRDefault="00F6308C">
            <w:pPr>
              <w:pStyle w:val="TableParagraph"/>
              <w:spacing w:before="90"/>
              <w:ind w:left="107"/>
              <w:jc w:val="left"/>
            </w:pPr>
            <w:r>
              <w:t>T&amp;D</w:t>
            </w:r>
          </w:p>
        </w:tc>
        <w:tc>
          <w:tcPr>
            <w:tcW w:w="7017" w:type="dxa"/>
          </w:tcPr>
          <w:p w:rsidR="007C5447" w:rsidRDefault="00F6308C">
            <w:pPr>
              <w:pStyle w:val="TableParagraph"/>
              <w:spacing w:before="90"/>
              <w:ind w:left="107"/>
              <w:jc w:val="left"/>
            </w:pPr>
            <w:r>
              <w:t>Transmission &amp; Distribution</w:t>
            </w:r>
          </w:p>
        </w:tc>
      </w:tr>
      <w:tr w:rsidR="007C5447">
        <w:trPr>
          <w:trHeight w:val="453"/>
        </w:trPr>
        <w:tc>
          <w:tcPr>
            <w:tcW w:w="2230" w:type="dxa"/>
          </w:tcPr>
          <w:p w:rsidR="007C5447" w:rsidRDefault="00F6308C">
            <w:pPr>
              <w:pStyle w:val="TableParagraph"/>
              <w:spacing w:before="90"/>
              <w:ind w:left="107"/>
              <w:jc w:val="left"/>
            </w:pPr>
            <w:r>
              <w:t>TANGEDCO</w:t>
            </w:r>
          </w:p>
        </w:tc>
        <w:tc>
          <w:tcPr>
            <w:tcW w:w="7017" w:type="dxa"/>
          </w:tcPr>
          <w:p w:rsidR="007C5447" w:rsidRDefault="00F6308C">
            <w:pPr>
              <w:pStyle w:val="TableParagraph"/>
              <w:spacing w:before="90"/>
              <w:ind w:left="107"/>
              <w:jc w:val="left"/>
            </w:pPr>
            <w:r>
              <w:t>Tamil Nadu Generation and Distribution Corporation Ltd.</w:t>
            </w:r>
          </w:p>
        </w:tc>
      </w:tr>
      <w:tr w:rsidR="007C5447">
        <w:trPr>
          <w:trHeight w:val="453"/>
        </w:trPr>
        <w:tc>
          <w:tcPr>
            <w:tcW w:w="2230" w:type="dxa"/>
          </w:tcPr>
          <w:p w:rsidR="007C5447" w:rsidRDefault="00F6308C">
            <w:pPr>
              <w:pStyle w:val="TableParagraph"/>
              <w:spacing w:before="90"/>
              <w:ind w:left="107"/>
              <w:jc w:val="left"/>
            </w:pPr>
            <w:r>
              <w:t>TANTRANSCO</w:t>
            </w:r>
          </w:p>
        </w:tc>
        <w:tc>
          <w:tcPr>
            <w:tcW w:w="7017" w:type="dxa"/>
          </w:tcPr>
          <w:p w:rsidR="007C5447" w:rsidRDefault="00F6308C">
            <w:pPr>
              <w:pStyle w:val="TableParagraph"/>
              <w:spacing w:before="90"/>
              <w:ind w:left="107"/>
              <w:jc w:val="left"/>
            </w:pPr>
            <w:r>
              <w:t>Tamil Nadu Transmission Corporation Ltd.</w:t>
            </w:r>
          </w:p>
        </w:tc>
      </w:tr>
      <w:tr w:rsidR="007C5447">
        <w:trPr>
          <w:trHeight w:val="455"/>
        </w:trPr>
        <w:tc>
          <w:tcPr>
            <w:tcW w:w="2230" w:type="dxa"/>
          </w:tcPr>
          <w:p w:rsidR="007C5447" w:rsidRDefault="00F6308C">
            <w:pPr>
              <w:pStyle w:val="TableParagraph"/>
              <w:spacing w:before="90"/>
              <w:ind w:left="107"/>
              <w:jc w:val="left"/>
            </w:pPr>
            <w:r>
              <w:t>TNEB</w:t>
            </w:r>
          </w:p>
        </w:tc>
        <w:tc>
          <w:tcPr>
            <w:tcW w:w="7017" w:type="dxa"/>
          </w:tcPr>
          <w:p w:rsidR="007C5447" w:rsidRDefault="00F6308C">
            <w:pPr>
              <w:pStyle w:val="TableParagraph"/>
              <w:spacing w:before="90"/>
              <w:ind w:left="107"/>
              <w:jc w:val="left"/>
            </w:pPr>
            <w:r>
              <w:t>Tamil Nadu Electricity Board</w:t>
            </w:r>
          </w:p>
        </w:tc>
      </w:tr>
      <w:tr w:rsidR="007C5447">
        <w:trPr>
          <w:trHeight w:val="453"/>
        </w:trPr>
        <w:tc>
          <w:tcPr>
            <w:tcW w:w="2230" w:type="dxa"/>
          </w:tcPr>
          <w:p w:rsidR="007C5447" w:rsidRDefault="00F6308C">
            <w:pPr>
              <w:pStyle w:val="TableParagraph"/>
              <w:spacing w:before="90"/>
              <w:ind w:left="107"/>
              <w:jc w:val="left"/>
            </w:pPr>
            <w:r>
              <w:t>TNERC</w:t>
            </w:r>
          </w:p>
        </w:tc>
        <w:tc>
          <w:tcPr>
            <w:tcW w:w="7017" w:type="dxa"/>
          </w:tcPr>
          <w:p w:rsidR="007C5447" w:rsidRDefault="00F6308C">
            <w:pPr>
              <w:pStyle w:val="TableParagraph"/>
              <w:spacing w:before="90"/>
              <w:ind w:left="107"/>
              <w:jc w:val="left"/>
            </w:pPr>
            <w:r>
              <w:t>Tamil Nadu Electricity Regulatory Commission</w:t>
            </w:r>
          </w:p>
        </w:tc>
      </w:tr>
      <w:tr w:rsidR="007C5447">
        <w:trPr>
          <w:trHeight w:val="453"/>
        </w:trPr>
        <w:tc>
          <w:tcPr>
            <w:tcW w:w="2230" w:type="dxa"/>
          </w:tcPr>
          <w:p w:rsidR="007C5447" w:rsidRDefault="00F6308C">
            <w:pPr>
              <w:pStyle w:val="TableParagraph"/>
              <w:spacing w:before="90"/>
              <w:ind w:left="107"/>
              <w:jc w:val="left"/>
            </w:pPr>
            <w:r>
              <w:t>ToD</w:t>
            </w:r>
          </w:p>
        </w:tc>
        <w:tc>
          <w:tcPr>
            <w:tcW w:w="7017" w:type="dxa"/>
          </w:tcPr>
          <w:p w:rsidR="007C5447" w:rsidRDefault="00F6308C">
            <w:pPr>
              <w:pStyle w:val="TableParagraph"/>
              <w:spacing w:before="90"/>
              <w:ind w:left="107"/>
              <w:jc w:val="left"/>
            </w:pPr>
            <w:r>
              <w:t>Time of Day</w:t>
            </w:r>
          </w:p>
        </w:tc>
      </w:tr>
      <w:tr w:rsidR="007C5447">
        <w:trPr>
          <w:trHeight w:val="455"/>
        </w:trPr>
        <w:tc>
          <w:tcPr>
            <w:tcW w:w="2230" w:type="dxa"/>
          </w:tcPr>
          <w:p w:rsidR="007C5447" w:rsidRDefault="00F6308C">
            <w:pPr>
              <w:pStyle w:val="TableParagraph"/>
              <w:spacing w:before="90"/>
              <w:ind w:left="107"/>
              <w:jc w:val="left"/>
            </w:pPr>
            <w:r>
              <w:t>TP</w:t>
            </w:r>
          </w:p>
        </w:tc>
        <w:tc>
          <w:tcPr>
            <w:tcW w:w="7017" w:type="dxa"/>
          </w:tcPr>
          <w:p w:rsidR="007C5447" w:rsidRDefault="00F6308C">
            <w:pPr>
              <w:pStyle w:val="TableParagraph"/>
              <w:spacing w:before="90"/>
              <w:ind w:left="107"/>
              <w:jc w:val="left"/>
            </w:pPr>
            <w:r>
              <w:t>Tariff Policy</w:t>
            </w:r>
          </w:p>
        </w:tc>
      </w:tr>
    </w:tbl>
    <w:p w:rsidR="007C5447" w:rsidRDefault="007C5447">
      <w:pPr>
        <w:sectPr w:rsidR="007C5447">
          <w:pgSz w:w="11910" w:h="16840"/>
          <w:pgMar w:top="1580" w:right="1220" w:bottom="1580" w:left="1220" w:header="0" w:footer="1386" w:gutter="0"/>
          <w:cols w:space="720"/>
        </w:sectPr>
      </w:pPr>
    </w:p>
    <w:p w:rsidR="007C5447" w:rsidRDefault="00F6308C">
      <w:pPr>
        <w:spacing w:before="70"/>
        <w:ind w:left="234" w:right="235"/>
        <w:jc w:val="center"/>
        <w:rPr>
          <w:b/>
          <w:sz w:val="36"/>
        </w:rPr>
      </w:pPr>
      <w:r>
        <w:rPr>
          <w:b/>
          <w:sz w:val="36"/>
          <w:u w:val="thick"/>
        </w:rPr>
        <w:lastRenderedPageBreak/>
        <w:t>TABLE OF CONTENTS</w:t>
      </w:r>
    </w:p>
    <w:p w:rsidR="007C5447" w:rsidRDefault="007C5447">
      <w:pPr>
        <w:pStyle w:val="BodyText"/>
        <w:rPr>
          <w:b/>
          <w:sz w:val="20"/>
        </w:rPr>
      </w:pPr>
    </w:p>
    <w:p w:rsidR="007C5447" w:rsidRDefault="007C5447">
      <w:pPr>
        <w:rPr>
          <w:sz w:val="20"/>
        </w:rPr>
        <w:sectPr w:rsidR="007C5447">
          <w:pgSz w:w="11910" w:h="16840"/>
          <w:pgMar w:top="1500" w:right="1220" w:bottom="2517" w:left="1220" w:header="0" w:footer="1386" w:gutter="0"/>
          <w:cols w:space="720"/>
        </w:sectPr>
      </w:pPr>
    </w:p>
    <w:sdt>
      <w:sdtPr>
        <w:rPr>
          <w:sz w:val="19"/>
          <w:szCs w:val="19"/>
          <w:u w:val="none"/>
        </w:rPr>
        <w:id w:val="-153918759"/>
        <w:docPartObj>
          <w:docPartGallery w:val="Table of Contents"/>
          <w:docPartUnique/>
        </w:docPartObj>
      </w:sdtPr>
      <w:sdtEndPr/>
      <w:sdtContent>
        <w:p w:rsidR="007C5447" w:rsidRDefault="00F6308C">
          <w:pPr>
            <w:pStyle w:val="TOC1"/>
            <w:numPr>
              <w:ilvl w:val="0"/>
              <w:numId w:val="115"/>
            </w:numPr>
            <w:tabs>
              <w:tab w:val="left" w:pos="551"/>
              <w:tab w:val="left" w:pos="552"/>
              <w:tab w:val="left" w:leader="dot" w:pos="9121"/>
            </w:tabs>
            <w:spacing w:before="253"/>
            <w:rPr>
              <w:u w:val="none"/>
            </w:rPr>
          </w:pPr>
          <w:hyperlink w:anchor="_bookmark0" w:history="1">
            <w:r>
              <w:t>INTRODUCTION</w:t>
            </w:r>
            <w:r>
              <w:rPr>
                <w:u w:val="none"/>
              </w:rPr>
              <w:tab/>
            </w:r>
            <w:r>
              <w:t>9</w:t>
            </w:r>
          </w:hyperlink>
        </w:p>
        <w:p w:rsidR="007C5447" w:rsidRDefault="00F6308C">
          <w:pPr>
            <w:pStyle w:val="TOC2"/>
            <w:numPr>
              <w:ilvl w:val="1"/>
              <w:numId w:val="115"/>
            </w:numPr>
            <w:tabs>
              <w:tab w:val="left" w:pos="721"/>
              <w:tab w:val="left" w:pos="723"/>
              <w:tab w:val="left" w:leader="dot" w:pos="9121"/>
            </w:tabs>
            <w:spacing w:before="140"/>
            <w:ind w:hanging="503"/>
            <w:rPr>
              <w:sz w:val="24"/>
            </w:rPr>
          </w:pPr>
          <w:hyperlink w:anchor="_bookmark1" w:history="1">
            <w:r>
              <w:rPr>
                <w:sz w:val="24"/>
              </w:rPr>
              <w:t>P</w:t>
            </w:r>
            <w:r>
              <w:t>REAMBLE</w:t>
            </w:r>
            <w:r>
              <w:tab/>
            </w:r>
            <w:r>
              <w:rPr>
                <w:sz w:val="24"/>
              </w:rPr>
              <w:t>9</w:t>
            </w:r>
          </w:hyperlink>
        </w:p>
        <w:p w:rsidR="007C5447" w:rsidRDefault="00F6308C">
          <w:pPr>
            <w:pStyle w:val="TOC3"/>
            <w:numPr>
              <w:ilvl w:val="1"/>
              <w:numId w:val="115"/>
            </w:numPr>
            <w:tabs>
              <w:tab w:val="left" w:pos="721"/>
              <w:tab w:val="left" w:pos="723"/>
              <w:tab w:val="left" w:leader="dot" w:pos="9001"/>
            </w:tabs>
            <w:spacing w:before="136"/>
            <w:ind w:hanging="503"/>
            <w:rPr>
              <w:b w:val="0"/>
              <w:i w:val="0"/>
              <w:sz w:val="24"/>
            </w:rPr>
          </w:pPr>
          <w:hyperlink w:anchor="_bookmark2" w:history="1">
            <w:r>
              <w:rPr>
                <w:b w:val="0"/>
                <w:i w:val="0"/>
                <w:sz w:val="24"/>
              </w:rPr>
              <w:t>T</w:t>
            </w:r>
            <w:r>
              <w:rPr>
                <w:b w:val="0"/>
                <w:i w:val="0"/>
                <w:sz w:val="19"/>
              </w:rPr>
              <w:t xml:space="preserve">HE </w:t>
            </w:r>
            <w:r>
              <w:rPr>
                <w:b w:val="0"/>
                <w:i w:val="0"/>
                <w:sz w:val="24"/>
              </w:rPr>
              <w:t>E</w:t>
            </w:r>
            <w:r>
              <w:rPr>
                <w:b w:val="0"/>
                <w:i w:val="0"/>
                <w:sz w:val="19"/>
              </w:rPr>
              <w:t xml:space="preserve">LECTRICITY </w:t>
            </w:r>
            <w:r>
              <w:rPr>
                <w:b w:val="0"/>
                <w:i w:val="0"/>
                <w:sz w:val="24"/>
              </w:rPr>
              <w:t>A</w:t>
            </w:r>
            <w:r>
              <w:rPr>
                <w:b w:val="0"/>
                <w:i w:val="0"/>
                <w:sz w:val="19"/>
              </w:rPr>
              <w:t>CT</w:t>
            </w:r>
            <w:r>
              <w:rPr>
                <w:b w:val="0"/>
                <w:i w:val="0"/>
                <w:sz w:val="24"/>
              </w:rPr>
              <w:t>, 2003,</w:t>
            </w:r>
            <w:r>
              <w:rPr>
                <w:b w:val="0"/>
                <w:i w:val="0"/>
                <w:spacing w:val="-39"/>
                <w:sz w:val="24"/>
              </w:rPr>
              <w:t xml:space="preserve"> </w:t>
            </w:r>
            <w:r>
              <w:rPr>
                <w:b w:val="0"/>
                <w:i w:val="0"/>
                <w:sz w:val="24"/>
              </w:rPr>
              <w:t>T</w:t>
            </w:r>
            <w:r>
              <w:rPr>
                <w:b w:val="0"/>
                <w:i w:val="0"/>
                <w:sz w:val="19"/>
              </w:rPr>
              <w:t xml:space="preserve">ARIFF </w:t>
            </w:r>
            <w:r>
              <w:rPr>
                <w:b w:val="0"/>
                <w:i w:val="0"/>
                <w:sz w:val="24"/>
              </w:rPr>
              <w:t>P</w:t>
            </w:r>
            <w:r>
              <w:rPr>
                <w:b w:val="0"/>
                <w:i w:val="0"/>
                <w:sz w:val="19"/>
              </w:rPr>
              <w:t>OLICY AND</w:t>
            </w:r>
            <w:r>
              <w:rPr>
                <w:b w:val="0"/>
                <w:i w:val="0"/>
                <w:spacing w:val="1"/>
                <w:sz w:val="19"/>
              </w:rPr>
              <w:t xml:space="preserve"> </w:t>
            </w:r>
            <w:r>
              <w:rPr>
                <w:b w:val="0"/>
                <w:i w:val="0"/>
                <w:sz w:val="24"/>
              </w:rPr>
              <w:t>R</w:t>
            </w:r>
            <w:r>
              <w:rPr>
                <w:b w:val="0"/>
                <w:i w:val="0"/>
                <w:sz w:val="19"/>
              </w:rPr>
              <w:t>EGULATIONS</w:t>
            </w:r>
            <w:r>
              <w:rPr>
                <w:b w:val="0"/>
                <w:i w:val="0"/>
                <w:sz w:val="19"/>
              </w:rPr>
              <w:tab/>
            </w:r>
            <w:r>
              <w:rPr>
                <w:b w:val="0"/>
                <w:i w:val="0"/>
                <w:sz w:val="24"/>
              </w:rPr>
              <w:t>10</w:t>
            </w:r>
          </w:hyperlink>
        </w:p>
        <w:p w:rsidR="007C5447" w:rsidRDefault="00F6308C">
          <w:pPr>
            <w:pStyle w:val="TOC3"/>
            <w:numPr>
              <w:ilvl w:val="1"/>
              <w:numId w:val="115"/>
            </w:numPr>
            <w:tabs>
              <w:tab w:val="left" w:pos="721"/>
              <w:tab w:val="left" w:pos="723"/>
              <w:tab w:val="left" w:leader="dot" w:pos="9001"/>
            </w:tabs>
            <w:spacing w:before="140"/>
            <w:ind w:hanging="503"/>
            <w:rPr>
              <w:b w:val="0"/>
              <w:i w:val="0"/>
              <w:sz w:val="24"/>
            </w:rPr>
          </w:pPr>
          <w:hyperlink w:anchor="_bookmark3" w:history="1">
            <w:r>
              <w:rPr>
                <w:b w:val="0"/>
                <w:i w:val="0"/>
                <w:sz w:val="24"/>
              </w:rPr>
              <w:t>T</w:t>
            </w:r>
            <w:r>
              <w:rPr>
                <w:b w:val="0"/>
                <w:i w:val="0"/>
                <w:sz w:val="19"/>
              </w:rPr>
              <w:t>ARIFF</w:t>
            </w:r>
            <w:r>
              <w:rPr>
                <w:b w:val="0"/>
                <w:i w:val="0"/>
                <w:spacing w:val="-2"/>
                <w:sz w:val="19"/>
              </w:rPr>
              <w:t xml:space="preserve"> </w:t>
            </w:r>
            <w:r>
              <w:rPr>
                <w:b w:val="0"/>
                <w:i w:val="0"/>
                <w:sz w:val="24"/>
              </w:rPr>
              <w:t>F</w:t>
            </w:r>
            <w:r>
              <w:rPr>
                <w:b w:val="0"/>
                <w:i w:val="0"/>
                <w:sz w:val="19"/>
              </w:rPr>
              <w:t>ILING</w:t>
            </w:r>
            <w:r>
              <w:rPr>
                <w:b w:val="0"/>
                <w:i w:val="0"/>
                <w:sz w:val="19"/>
              </w:rPr>
              <w:tab/>
            </w:r>
            <w:r>
              <w:rPr>
                <w:b w:val="0"/>
                <w:i w:val="0"/>
                <w:sz w:val="24"/>
              </w:rPr>
              <w:t>12</w:t>
            </w:r>
          </w:hyperlink>
        </w:p>
        <w:p w:rsidR="007C5447" w:rsidRDefault="00F6308C">
          <w:pPr>
            <w:pStyle w:val="TOC2"/>
            <w:numPr>
              <w:ilvl w:val="1"/>
              <w:numId w:val="115"/>
            </w:numPr>
            <w:tabs>
              <w:tab w:val="left" w:pos="721"/>
              <w:tab w:val="left" w:pos="723"/>
              <w:tab w:val="left" w:leader="dot" w:pos="9001"/>
            </w:tabs>
            <w:spacing w:before="136"/>
            <w:ind w:hanging="503"/>
            <w:rPr>
              <w:sz w:val="24"/>
            </w:rPr>
          </w:pPr>
          <w:hyperlink w:anchor="_bookmark4" w:history="1">
            <w:r>
              <w:rPr>
                <w:sz w:val="24"/>
              </w:rPr>
              <w:t>P</w:t>
            </w:r>
            <w:r>
              <w:t>ROCEDURE</w:t>
            </w:r>
            <w:r>
              <w:rPr>
                <w:spacing w:val="-2"/>
              </w:rPr>
              <w:t xml:space="preserve"> </w:t>
            </w:r>
            <w:r>
              <w:rPr>
                <w:sz w:val="24"/>
              </w:rPr>
              <w:t>A</w:t>
            </w:r>
            <w:r>
              <w:t>DOPTED</w:t>
            </w:r>
            <w:r>
              <w:tab/>
            </w:r>
            <w:r>
              <w:rPr>
                <w:sz w:val="24"/>
              </w:rPr>
              <w:t>13</w:t>
            </w:r>
          </w:hyperlink>
        </w:p>
        <w:p w:rsidR="007C5447" w:rsidRDefault="00F6308C">
          <w:pPr>
            <w:pStyle w:val="TOC3"/>
            <w:numPr>
              <w:ilvl w:val="1"/>
              <w:numId w:val="115"/>
            </w:numPr>
            <w:tabs>
              <w:tab w:val="left" w:pos="721"/>
              <w:tab w:val="left" w:pos="723"/>
              <w:tab w:val="left" w:leader="dot" w:pos="9001"/>
            </w:tabs>
            <w:spacing w:before="140"/>
            <w:ind w:hanging="503"/>
            <w:rPr>
              <w:b w:val="0"/>
              <w:i w:val="0"/>
              <w:sz w:val="24"/>
            </w:rPr>
          </w:pPr>
          <w:hyperlink w:anchor="_bookmark5" w:history="1">
            <w:r>
              <w:rPr>
                <w:b w:val="0"/>
                <w:i w:val="0"/>
                <w:sz w:val="24"/>
              </w:rPr>
              <w:t>T</w:t>
            </w:r>
            <w:r>
              <w:rPr>
                <w:b w:val="0"/>
                <w:i w:val="0"/>
                <w:sz w:val="19"/>
              </w:rPr>
              <w:t>RANSFER</w:t>
            </w:r>
            <w:r>
              <w:rPr>
                <w:b w:val="0"/>
                <w:i w:val="0"/>
                <w:spacing w:val="-1"/>
                <w:sz w:val="19"/>
              </w:rPr>
              <w:t xml:space="preserve"> </w:t>
            </w:r>
            <w:r>
              <w:rPr>
                <w:b w:val="0"/>
                <w:i w:val="0"/>
                <w:sz w:val="24"/>
              </w:rPr>
              <w:t>S</w:t>
            </w:r>
            <w:r>
              <w:rPr>
                <w:b w:val="0"/>
                <w:i w:val="0"/>
                <w:sz w:val="19"/>
              </w:rPr>
              <w:t>CHEME</w:t>
            </w:r>
            <w:r>
              <w:rPr>
                <w:b w:val="0"/>
                <w:i w:val="0"/>
                <w:sz w:val="19"/>
              </w:rPr>
              <w:tab/>
            </w:r>
            <w:r>
              <w:rPr>
                <w:b w:val="0"/>
                <w:i w:val="0"/>
                <w:sz w:val="24"/>
              </w:rPr>
              <w:t>14</w:t>
            </w:r>
          </w:hyperlink>
        </w:p>
        <w:p w:rsidR="007C5447" w:rsidRDefault="00F6308C">
          <w:pPr>
            <w:pStyle w:val="TOC3"/>
            <w:numPr>
              <w:ilvl w:val="1"/>
              <w:numId w:val="115"/>
            </w:numPr>
            <w:tabs>
              <w:tab w:val="left" w:pos="721"/>
              <w:tab w:val="left" w:pos="723"/>
              <w:tab w:val="left" w:leader="dot" w:pos="9001"/>
            </w:tabs>
            <w:ind w:hanging="503"/>
            <w:rPr>
              <w:b w:val="0"/>
              <w:i w:val="0"/>
              <w:sz w:val="24"/>
            </w:rPr>
          </w:pPr>
          <w:hyperlink w:anchor="_bookmark6" w:history="1">
            <w:r>
              <w:rPr>
                <w:b w:val="0"/>
                <w:i w:val="0"/>
                <w:sz w:val="24"/>
              </w:rPr>
              <w:t>U</w:t>
            </w:r>
            <w:r>
              <w:rPr>
                <w:b w:val="0"/>
                <w:i w:val="0"/>
                <w:sz w:val="19"/>
              </w:rPr>
              <w:t>NBUNDLING</w:t>
            </w:r>
            <w:r>
              <w:rPr>
                <w:b w:val="0"/>
                <w:i w:val="0"/>
                <w:spacing w:val="-2"/>
                <w:sz w:val="19"/>
              </w:rPr>
              <w:t xml:space="preserve"> </w:t>
            </w:r>
            <w:r>
              <w:rPr>
                <w:b w:val="0"/>
                <w:i w:val="0"/>
                <w:sz w:val="19"/>
              </w:rPr>
              <w:t>OF</w:t>
            </w:r>
            <w:r>
              <w:rPr>
                <w:b w:val="0"/>
                <w:i w:val="0"/>
                <w:spacing w:val="-1"/>
                <w:sz w:val="19"/>
              </w:rPr>
              <w:t xml:space="preserve"> </w:t>
            </w:r>
            <w:r>
              <w:rPr>
                <w:b w:val="0"/>
                <w:i w:val="0"/>
                <w:sz w:val="24"/>
              </w:rPr>
              <w:t>TNEB</w:t>
            </w:r>
            <w:r>
              <w:rPr>
                <w:b w:val="0"/>
                <w:i w:val="0"/>
                <w:sz w:val="24"/>
              </w:rPr>
              <w:tab/>
              <w:t>16</w:t>
            </w:r>
          </w:hyperlink>
        </w:p>
        <w:p w:rsidR="007C5447" w:rsidRDefault="00F6308C">
          <w:pPr>
            <w:pStyle w:val="TOC2"/>
            <w:numPr>
              <w:ilvl w:val="1"/>
              <w:numId w:val="115"/>
            </w:numPr>
            <w:tabs>
              <w:tab w:val="left" w:pos="721"/>
              <w:tab w:val="left" w:pos="723"/>
              <w:tab w:val="left" w:leader="dot" w:pos="9001"/>
            </w:tabs>
            <w:ind w:hanging="503"/>
            <w:rPr>
              <w:sz w:val="24"/>
            </w:rPr>
          </w:pPr>
          <w:hyperlink w:anchor="_bookmark7" w:history="1">
            <w:r>
              <w:rPr>
                <w:sz w:val="24"/>
              </w:rPr>
              <w:t>B</w:t>
            </w:r>
            <w:r>
              <w:t xml:space="preserve">RIEF </w:t>
            </w:r>
            <w:r>
              <w:rPr>
                <w:sz w:val="24"/>
              </w:rPr>
              <w:t>N</w:t>
            </w:r>
            <w:r>
              <w:t>OTE ON</w:t>
            </w:r>
            <w:r>
              <w:rPr>
                <w:spacing w:val="-8"/>
              </w:rPr>
              <w:t xml:space="preserve"> </w:t>
            </w:r>
            <w:r>
              <w:rPr>
                <w:sz w:val="24"/>
              </w:rPr>
              <w:t>P</w:t>
            </w:r>
            <w:r>
              <w:t>UBLIC</w:t>
            </w:r>
            <w:r>
              <w:rPr>
                <w:spacing w:val="-1"/>
              </w:rPr>
              <w:t xml:space="preserve"> </w:t>
            </w:r>
            <w:r>
              <w:rPr>
                <w:sz w:val="24"/>
              </w:rPr>
              <w:t>H</w:t>
            </w:r>
            <w:r>
              <w:t>EARING</w:t>
            </w:r>
            <w:r>
              <w:tab/>
            </w:r>
            <w:r>
              <w:rPr>
                <w:sz w:val="24"/>
              </w:rPr>
              <w:t>17</w:t>
            </w:r>
          </w:hyperlink>
        </w:p>
        <w:p w:rsidR="007C5447" w:rsidRDefault="00F6308C">
          <w:pPr>
            <w:pStyle w:val="TOC2"/>
            <w:numPr>
              <w:ilvl w:val="1"/>
              <w:numId w:val="115"/>
            </w:numPr>
            <w:tabs>
              <w:tab w:val="left" w:pos="721"/>
              <w:tab w:val="left" w:pos="723"/>
              <w:tab w:val="left" w:leader="dot" w:pos="9001"/>
            </w:tabs>
            <w:spacing w:before="137"/>
            <w:ind w:hanging="503"/>
            <w:rPr>
              <w:sz w:val="24"/>
            </w:rPr>
          </w:pPr>
          <w:hyperlink w:anchor="_bookmark8" w:history="1">
            <w:r>
              <w:rPr>
                <w:sz w:val="24"/>
              </w:rPr>
              <w:t>A</w:t>
            </w:r>
            <w:r>
              <w:t>PPLICABILITY</w:t>
            </w:r>
            <w:r>
              <w:rPr>
                <w:spacing w:val="-3"/>
              </w:rPr>
              <w:t xml:space="preserve"> </w:t>
            </w:r>
            <w:r>
              <w:t>OF</w:t>
            </w:r>
            <w:r>
              <w:rPr>
                <w:spacing w:val="-2"/>
              </w:rPr>
              <w:t xml:space="preserve"> </w:t>
            </w:r>
            <w:r>
              <w:rPr>
                <w:sz w:val="24"/>
              </w:rPr>
              <w:t>O</w:t>
            </w:r>
            <w:r>
              <w:t>RDER</w:t>
            </w:r>
            <w:r>
              <w:tab/>
            </w:r>
            <w:r>
              <w:rPr>
                <w:sz w:val="24"/>
              </w:rPr>
              <w:t>17</w:t>
            </w:r>
          </w:hyperlink>
        </w:p>
        <w:p w:rsidR="007C5447" w:rsidRDefault="00F6308C">
          <w:pPr>
            <w:pStyle w:val="TOC2"/>
            <w:numPr>
              <w:ilvl w:val="1"/>
              <w:numId w:val="115"/>
            </w:numPr>
            <w:tabs>
              <w:tab w:val="left" w:pos="721"/>
              <w:tab w:val="left" w:pos="723"/>
              <w:tab w:val="left" w:leader="dot" w:pos="9001"/>
            </w:tabs>
            <w:ind w:hanging="503"/>
            <w:rPr>
              <w:sz w:val="24"/>
            </w:rPr>
          </w:pPr>
          <w:hyperlink w:anchor="_bookmark9" w:history="1">
            <w:r>
              <w:rPr>
                <w:sz w:val="24"/>
              </w:rPr>
              <w:t>L</w:t>
            </w:r>
            <w:r>
              <w:t>AYOUT OF</w:t>
            </w:r>
            <w:r>
              <w:rPr>
                <w:spacing w:val="-4"/>
              </w:rPr>
              <w:t xml:space="preserve"> </w:t>
            </w:r>
            <w:r>
              <w:t>THE</w:t>
            </w:r>
            <w:r>
              <w:rPr>
                <w:spacing w:val="-1"/>
              </w:rPr>
              <w:t xml:space="preserve"> </w:t>
            </w:r>
            <w:r>
              <w:rPr>
                <w:sz w:val="24"/>
              </w:rPr>
              <w:t>O</w:t>
            </w:r>
            <w:r>
              <w:t>RDER</w:t>
            </w:r>
            <w:r>
              <w:tab/>
            </w:r>
            <w:r>
              <w:rPr>
                <w:sz w:val="24"/>
              </w:rPr>
              <w:t>17</w:t>
            </w:r>
          </w:hyperlink>
        </w:p>
        <w:p w:rsidR="007C5447" w:rsidRDefault="00F6308C">
          <w:pPr>
            <w:pStyle w:val="TOC2"/>
            <w:numPr>
              <w:ilvl w:val="1"/>
              <w:numId w:val="115"/>
            </w:numPr>
            <w:tabs>
              <w:tab w:val="left" w:pos="833"/>
              <w:tab w:val="left" w:leader="dot" w:pos="9001"/>
            </w:tabs>
            <w:spacing w:before="137"/>
            <w:ind w:left="832" w:hanging="613"/>
            <w:rPr>
              <w:sz w:val="24"/>
            </w:rPr>
          </w:pPr>
          <w:hyperlink w:anchor="_bookmark10" w:history="1">
            <w:r>
              <w:rPr>
                <w:sz w:val="24"/>
              </w:rPr>
              <w:t>A</w:t>
            </w:r>
            <w:r>
              <w:t>PPROACH OF</w:t>
            </w:r>
            <w:r>
              <w:rPr>
                <w:spacing w:val="-4"/>
              </w:rPr>
              <w:t xml:space="preserve"> </w:t>
            </w:r>
            <w:r>
              <w:t>THE</w:t>
            </w:r>
            <w:r>
              <w:rPr>
                <w:spacing w:val="-2"/>
              </w:rPr>
              <w:t xml:space="preserve"> </w:t>
            </w:r>
            <w:r>
              <w:t>ORDER</w:t>
            </w:r>
            <w:r>
              <w:tab/>
            </w:r>
            <w:r>
              <w:rPr>
                <w:sz w:val="24"/>
              </w:rPr>
              <w:t>18</w:t>
            </w:r>
          </w:hyperlink>
        </w:p>
        <w:p w:rsidR="007C5447" w:rsidRDefault="00F6308C">
          <w:pPr>
            <w:pStyle w:val="TOC4"/>
            <w:numPr>
              <w:ilvl w:val="0"/>
              <w:numId w:val="115"/>
            </w:numPr>
            <w:tabs>
              <w:tab w:val="left" w:pos="551"/>
              <w:tab w:val="left" w:pos="552"/>
              <w:tab w:val="left" w:leader="dot" w:pos="9001"/>
            </w:tabs>
            <w:spacing w:before="499" w:line="360" w:lineRule="auto"/>
            <w:ind w:left="220" w:right="225" w:firstLine="0"/>
            <w:rPr>
              <w:u w:val="none"/>
            </w:rPr>
          </w:pPr>
          <w:hyperlink w:anchor="_bookmark11" w:history="1">
            <w:r>
              <w:t>STAKEHOLDERS’ COMMENTS, TANGEDCO’S REPLY AND COMMISSION’S</w:t>
            </w:r>
          </w:hyperlink>
          <w:hyperlink w:anchor="_bookmark11" w:history="1">
            <w:r>
              <w:t xml:space="preserve"> VIEW</w:t>
            </w:r>
            <w:r>
              <w:rPr>
                <w:u w:val="none"/>
              </w:rPr>
              <w:tab/>
            </w:r>
            <w:r>
              <w:rPr>
                <w:spacing w:val="-9"/>
              </w:rPr>
              <w:t>20</w:t>
            </w:r>
          </w:hyperlink>
        </w:p>
        <w:p w:rsidR="007C5447" w:rsidRDefault="00F6308C">
          <w:pPr>
            <w:pStyle w:val="TOC3"/>
            <w:numPr>
              <w:ilvl w:val="1"/>
              <w:numId w:val="115"/>
            </w:numPr>
            <w:tabs>
              <w:tab w:val="left" w:pos="721"/>
              <w:tab w:val="left" w:pos="723"/>
              <w:tab w:val="left" w:leader="dot" w:pos="9001"/>
            </w:tabs>
            <w:spacing w:before="1"/>
            <w:ind w:hanging="503"/>
            <w:rPr>
              <w:b w:val="0"/>
              <w:i w:val="0"/>
              <w:sz w:val="24"/>
            </w:rPr>
          </w:pPr>
          <w:hyperlink w:anchor="_bookmark12" w:history="1">
            <w:r>
              <w:rPr>
                <w:b w:val="0"/>
                <w:i w:val="0"/>
                <w:sz w:val="24"/>
              </w:rPr>
              <w:t>B</w:t>
            </w:r>
            <w:r>
              <w:rPr>
                <w:b w:val="0"/>
                <w:i w:val="0"/>
                <w:sz w:val="19"/>
              </w:rPr>
              <w:t>ACKGROUND</w:t>
            </w:r>
            <w:r>
              <w:rPr>
                <w:b w:val="0"/>
                <w:i w:val="0"/>
                <w:sz w:val="19"/>
              </w:rPr>
              <w:tab/>
            </w:r>
            <w:r>
              <w:rPr>
                <w:b w:val="0"/>
                <w:i w:val="0"/>
                <w:sz w:val="24"/>
              </w:rPr>
              <w:t>20</w:t>
            </w:r>
          </w:hyperlink>
        </w:p>
        <w:p w:rsidR="007C5447" w:rsidRDefault="00F6308C">
          <w:pPr>
            <w:pStyle w:val="TOC2"/>
            <w:numPr>
              <w:ilvl w:val="1"/>
              <w:numId w:val="115"/>
            </w:numPr>
            <w:tabs>
              <w:tab w:val="left" w:pos="721"/>
              <w:tab w:val="left" w:pos="723"/>
              <w:tab w:val="left" w:leader="dot" w:pos="9001"/>
            </w:tabs>
            <w:spacing w:before="137"/>
            <w:ind w:hanging="503"/>
            <w:rPr>
              <w:sz w:val="24"/>
            </w:rPr>
          </w:pPr>
          <w:hyperlink w:anchor="_bookmark13" w:history="1">
            <w:r>
              <w:rPr>
                <w:sz w:val="24"/>
              </w:rPr>
              <w:t>G</w:t>
            </w:r>
            <w:r>
              <w:t>ENERAL AND</w:t>
            </w:r>
            <w:r>
              <w:rPr>
                <w:spacing w:val="-5"/>
              </w:rPr>
              <w:t xml:space="preserve"> </w:t>
            </w:r>
            <w:r>
              <w:rPr>
                <w:sz w:val="24"/>
              </w:rPr>
              <w:t>P</w:t>
            </w:r>
            <w:r>
              <w:t xml:space="preserve">ROCEDURAL </w:t>
            </w:r>
            <w:r>
              <w:rPr>
                <w:sz w:val="24"/>
              </w:rPr>
              <w:t>I</w:t>
            </w:r>
            <w:r>
              <w:t>SSUES</w:t>
            </w:r>
            <w:r>
              <w:tab/>
            </w:r>
            <w:r>
              <w:rPr>
                <w:sz w:val="24"/>
              </w:rPr>
              <w:t>20</w:t>
            </w:r>
          </w:hyperlink>
        </w:p>
        <w:p w:rsidR="007C5447" w:rsidRDefault="00F6308C">
          <w:pPr>
            <w:pStyle w:val="TOC2"/>
            <w:numPr>
              <w:ilvl w:val="1"/>
              <w:numId w:val="115"/>
            </w:numPr>
            <w:tabs>
              <w:tab w:val="left" w:pos="721"/>
              <w:tab w:val="left" w:pos="723"/>
              <w:tab w:val="left" w:leader="dot" w:pos="9001"/>
            </w:tabs>
            <w:ind w:hanging="503"/>
            <w:rPr>
              <w:sz w:val="24"/>
            </w:rPr>
          </w:pPr>
          <w:hyperlink w:anchor="_bookmark14" w:history="1">
            <w:r>
              <w:rPr>
                <w:sz w:val="24"/>
              </w:rPr>
              <w:t>T</w:t>
            </w:r>
            <w:r>
              <w:t xml:space="preserve">ARIFF </w:t>
            </w:r>
            <w:r>
              <w:rPr>
                <w:sz w:val="24"/>
              </w:rPr>
              <w:t>D</w:t>
            </w:r>
            <w:r>
              <w:t>ETERMINATION AND</w:t>
            </w:r>
            <w:r>
              <w:rPr>
                <w:spacing w:val="-6"/>
              </w:rPr>
              <w:t xml:space="preserve"> </w:t>
            </w:r>
            <w:r>
              <w:rPr>
                <w:sz w:val="24"/>
              </w:rPr>
              <w:t>T</w:t>
            </w:r>
            <w:r>
              <w:t>RUING</w:t>
            </w:r>
            <w:r>
              <w:rPr>
                <w:spacing w:val="-2"/>
              </w:rPr>
              <w:t xml:space="preserve"> </w:t>
            </w:r>
            <w:r>
              <w:rPr>
                <w:sz w:val="24"/>
              </w:rPr>
              <w:t>U</w:t>
            </w:r>
            <w:r>
              <w:t>P</w:t>
            </w:r>
            <w:r>
              <w:tab/>
            </w:r>
            <w:r>
              <w:rPr>
                <w:sz w:val="24"/>
              </w:rPr>
              <w:t>25</w:t>
            </w:r>
          </w:hyperlink>
        </w:p>
        <w:p w:rsidR="007C5447" w:rsidRDefault="00F6308C">
          <w:pPr>
            <w:pStyle w:val="TOC3"/>
            <w:numPr>
              <w:ilvl w:val="1"/>
              <w:numId w:val="115"/>
            </w:numPr>
            <w:tabs>
              <w:tab w:val="left" w:pos="721"/>
              <w:tab w:val="left" w:pos="723"/>
              <w:tab w:val="left" w:leader="dot" w:pos="9001"/>
            </w:tabs>
            <w:ind w:hanging="503"/>
            <w:rPr>
              <w:b w:val="0"/>
              <w:i w:val="0"/>
              <w:sz w:val="24"/>
            </w:rPr>
          </w:pPr>
          <w:hyperlink w:anchor="_bookmark15" w:history="1">
            <w:r>
              <w:rPr>
                <w:b w:val="0"/>
                <w:i w:val="0"/>
                <w:sz w:val="24"/>
              </w:rPr>
              <w:t>O&amp;M</w:t>
            </w:r>
            <w:r>
              <w:rPr>
                <w:b w:val="0"/>
                <w:i w:val="0"/>
                <w:spacing w:val="-14"/>
                <w:sz w:val="24"/>
              </w:rPr>
              <w:t xml:space="preserve"> </w:t>
            </w:r>
            <w:r>
              <w:rPr>
                <w:b w:val="0"/>
                <w:i w:val="0"/>
                <w:sz w:val="24"/>
              </w:rPr>
              <w:t>E</w:t>
            </w:r>
            <w:r>
              <w:rPr>
                <w:b w:val="0"/>
                <w:i w:val="0"/>
                <w:sz w:val="19"/>
              </w:rPr>
              <w:t>XPENSES</w:t>
            </w:r>
            <w:r>
              <w:rPr>
                <w:b w:val="0"/>
                <w:i w:val="0"/>
                <w:sz w:val="19"/>
              </w:rPr>
              <w:tab/>
            </w:r>
            <w:r>
              <w:rPr>
                <w:b w:val="0"/>
                <w:i w:val="0"/>
                <w:sz w:val="24"/>
              </w:rPr>
              <w:t>30</w:t>
            </w:r>
          </w:hyperlink>
        </w:p>
        <w:p w:rsidR="007C5447" w:rsidRDefault="00F6308C">
          <w:pPr>
            <w:pStyle w:val="TOC2"/>
            <w:numPr>
              <w:ilvl w:val="1"/>
              <w:numId w:val="115"/>
            </w:numPr>
            <w:tabs>
              <w:tab w:val="left" w:pos="721"/>
              <w:tab w:val="left" w:pos="723"/>
              <w:tab w:val="left" w:leader="dot" w:pos="9001"/>
            </w:tabs>
            <w:spacing w:before="137"/>
            <w:ind w:hanging="503"/>
            <w:rPr>
              <w:sz w:val="24"/>
            </w:rPr>
          </w:pPr>
          <w:hyperlink w:anchor="_bookmark16" w:history="1">
            <w:r>
              <w:rPr>
                <w:sz w:val="24"/>
              </w:rPr>
              <w:t>C</w:t>
            </w:r>
            <w:r>
              <w:t>APITAL</w:t>
            </w:r>
            <w:r>
              <w:rPr>
                <w:spacing w:val="-5"/>
              </w:rPr>
              <w:t xml:space="preserve"> </w:t>
            </w:r>
            <w:r>
              <w:rPr>
                <w:sz w:val="24"/>
              </w:rPr>
              <w:t>E</w:t>
            </w:r>
            <w:r>
              <w:t>XPENDITURE</w:t>
            </w:r>
            <w:r>
              <w:tab/>
            </w:r>
            <w:r>
              <w:rPr>
                <w:sz w:val="24"/>
              </w:rPr>
              <w:t>31</w:t>
            </w:r>
          </w:hyperlink>
        </w:p>
        <w:p w:rsidR="007C5447" w:rsidRDefault="00F6308C">
          <w:pPr>
            <w:pStyle w:val="TOC2"/>
            <w:numPr>
              <w:ilvl w:val="1"/>
              <w:numId w:val="115"/>
            </w:numPr>
            <w:tabs>
              <w:tab w:val="left" w:pos="721"/>
              <w:tab w:val="left" w:pos="723"/>
              <w:tab w:val="left" w:leader="dot" w:pos="9001"/>
            </w:tabs>
            <w:ind w:hanging="503"/>
            <w:rPr>
              <w:sz w:val="24"/>
            </w:rPr>
          </w:pPr>
          <w:hyperlink w:anchor="_bookmark17" w:history="1">
            <w:r>
              <w:rPr>
                <w:sz w:val="24"/>
              </w:rPr>
              <w:t>I</w:t>
            </w:r>
            <w:r>
              <w:t xml:space="preserve">NTEREST ON </w:t>
            </w:r>
            <w:r>
              <w:rPr>
                <w:sz w:val="24"/>
              </w:rPr>
              <w:t>L</w:t>
            </w:r>
            <w:r>
              <w:t xml:space="preserve">OAN AND </w:t>
            </w:r>
            <w:r>
              <w:rPr>
                <w:sz w:val="24"/>
              </w:rPr>
              <w:t>O</w:t>
            </w:r>
            <w:r>
              <w:t>THER</w:t>
            </w:r>
            <w:r>
              <w:rPr>
                <w:spacing w:val="-5"/>
              </w:rPr>
              <w:t xml:space="preserve"> </w:t>
            </w:r>
            <w:r>
              <w:rPr>
                <w:sz w:val="24"/>
              </w:rPr>
              <w:t>F</w:t>
            </w:r>
            <w:r>
              <w:t>INANCE</w:t>
            </w:r>
            <w:r>
              <w:rPr>
                <w:spacing w:val="-2"/>
              </w:rPr>
              <w:t xml:space="preserve"> </w:t>
            </w:r>
            <w:r>
              <w:rPr>
                <w:sz w:val="24"/>
              </w:rPr>
              <w:t>C</w:t>
            </w:r>
            <w:r>
              <w:t>HARGES</w:t>
            </w:r>
            <w:r>
              <w:tab/>
            </w:r>
            <w:r>
              <w:rPr>
                <w:sz w:val="24"/>
              </w:rPr>
              <w:t>32</w:t>
            </w:r>
          </w:hyperlink>
        </w:p>
        <w:p w:rsidR="007C5447" w:rsidRDefault="00F6308C">
          <w:pPr>
            <w:pStyle w:val="TOC3"/>
            <w:numPr>
              <w:ilvl w:val="1"/>
              <w:numId w:val="115"/>
            </w:numPr>
            <w:tabs>
              <w:tab w:val="left" w:pos="721"/>
              <w:tab w:val="left" w:pos="723"/>
              <w:tab w:val="left" w:leader="dot" w:pos="9001"/>
            </w:tabs>
            <w:ind w:hanging="503"/>
            <w:rPr>
              <w:b w:val="0"/>
              <w:i w:val="0"/>
              <w:sz w:val="24"/>
            </w:rPr>
          </w:pPr>
          <w:hyperlink w:anchor="_bookmark18" w:history="1">
            <w:r>
              <w:rPr>
                <w:b w:val="0"/>
                <w:i w:val="0"/>
                <w:sz w:val="24"/>
              </w:rPr>
              <w:t>N</w:t>
            </w:r>
            <w:r>
              <w:rPr>
                <w:b w:val="0"/>
                <w:i w:val="0"/>
                <w:sz w:val="19"/>
              </w:rPr>
              <w:t>ON</w:t>
            </w:r>
            <w:r>
              <w:rPr>
                <w:b w:val="0"/>
                <w:i w:val="0"/>
                <w:sz w:val="24"/>
              </w:rPr>
              <w:t>-T</w:t>
            </w:r>
            <w:r>
              <w:rPr>
                <w:b w:val="0"/>
                <w:i w:val="0"/>
                <w:sz w:val="19"/>
              </w:rPr>
              <w:t>ARIFF</w:t>
            </w:r>
            <w:r>
              <w:rPr>
                <w:b w:val="0"/>
                <w:i w:val="0"/>
                <w:spacing w:val="-2"/>
                <w:sz w:val="19"/>
              </w:rPr>
              <w:t xml:space="preserve"> </w:t>
            </w:r>
            <w:r>
              <w:rPr>
                <w:b w:val="0"/>
                <w:i w:val="0"/>
                <w:sz w:val="24"/>
              </w:rPr>
              <w:t>I</w:t>
            </w:r>
            <w:r>
              <w:rPr>
                <w:b w:val="0"/>
                <w:i w:val="0"/>
                <w:sz w:val="19"/>
              </w:rPr>
              <w:t>NCOME</w:t>
            </w:r>
            <w:r>
              <w:rPr>
                <w:b w:val="0"/>
                <w:i w:val="0"/>
                <w:sz w:val="19"/>
              </w:rPr>
              <w:tab/>
            </w:r>
            <w:r>
              <w:rPr>
                <w:b w:val="0"/>
                <w:i w:val="0"/>
                <w:sz w:val="24"/>
              </w:rPr>
              <w:t>33</w:t>
            </w:r>
          </w:hyperlink>
        </w:p>
        <w:p w:rsidR="007C5447" w:rsidRDefault="00F6308C">
          <w:pPr>
            <w:pStyle w:val="TOC3"/>
            <w:numPr>
              <w:ilvl w:val="1"/>
              <w:numId w:val="115"/>
            </w:numPr>
            <w:tabs>
              <w:tab w:val="left" w:pos="721"/>
              <w:tab w:val="left" w:pos="723"/>
              <w:tab w:val="left" w:leader="dot" w:pos="9001"/>
            </w:tabs>
            <w:spacing w:before="139"/>
            <w:ind w:hanging="503"/>
            <w:rPr>
              <w:b w:val="0"/>
              <w:i w:val="0"/>
              <w:sz w:val="24"/>
            </w:rPr>
          </w:pPr>
          <w:hyperlink w:anchor="_bookmark19" w:history="1">
            <w:r>
              <w:rPr>
                <w:b w:val="0"/>
                <w:i w:val="0"/>
                <w:sz w:val="24"/>
              </w:rPr>
              <w:t>O</w:t>
            </w:r>
            <w:r>
              <w:rPr>
                <w:b w:val="0"/>
                <w:i w:val="0"/>
                <w:sz w:val="19"/>
              </w:rPr>
              <w:t>WN</w:t>
            </w:r>
            <w:r>
              <w:rPr>
                <w:b w:val="0"/>
                <w:i w:val="0"/>
                <w:spacing w:val="-2"/>
                <w:sz w:val="19"/>
              </w:rPr>
              <w:t xml:space="preserve"> </w:t>
            </w:r>
            <w:r>
              <w:rPr>
                <w:b w:val="0"/>
                <w:i w:val="0"/>
                <w:sz w:val="24"/>
              </w:rPr>
              <w:t>G</w:t>
            </w:r>
            <w:r>
              <w:rPr>
                <w:b w:val="0"/>
                <w:i w:val="0"/>
                <w:sz w:val="19"/>
              </w:rPr>
              <w:t>ENERATION</w:t>
            </w:r>
            <w:r>
              <w:rPr>
                <w:b w:val="0"/>
                <w:i w:val="0"/>
                <w:sz w:val="19"/>
              </w:rPr>
              <w:tab/>
            </w:r>
            <w:r>
              <w:rPr>
                <w:b w:val="0"/>
                <w:i w:val="0"/>
                <w:sz w:val="24"/>
              </w:rPr>
              <w:t>34</w:t>
            </w:r>
          </w:hyperlink>
        </w:p>
        <w:p w:rsidR="007C5447" w:rsidRDefault="00F6308C">
          <w:pPr>
            <w:pStyle w:val="TOC3"/>
            <w:numPr>
              <w:ilvl w:val="1"/>
              <w:numId w:val="115"/>
            </w:numPr>
            <w:tabs>
              <w:tab w:val="left" w:pos="721"/>
              <w:tab w:val="left" w:pos="723"/>
              <w:tab w:val="left" w:leader="dot" w:pos="9001"/>
            </w:tabs>
            <w:ind w:hanging="503"/>
            <w:rPr>
              <w:b w:val="0"/>
              <w:i w:val="0"/>
              <w:sz w:val="24"/>
            </w:rPr>
          </w:pPr>
          <w:hyperlink w:anchor="_bookmark20" w:history="1">
            <w:r>
              <w:rPr>
                <w:b w:val="0"/>
                <w:i w:val="0"/>
                <w:sz w:val="24"/>
              </w:rPr>
              <w:t>P</w:t>
            </w:r>
            <w:r>
              <w:rPr>
                <w:b w:val="0"/>
                <w:i w:val="0"/>
                <w:sz w:val="19"/>
              </w:rPr>
              <w:t>OWER</w:t>
            </w:r>
            <w:r>
              <w:rPr>
                <w:b w:val="0"/>
                <w:i w:val="0"/>
                <w:spacing w:val="-1"/>
                <w:sz w:val="19"/>
              </w:rPr>
              <w:t xml:space="preserve"> </w:t>
            </w:r>
            <w:r>
              <w:rPr>
                <w:b w:val="0"/>
                <w:i w:val="0"/>
                <w:sz w:val="24"/>
              </w:rPr>
              <w:t>P</w:t>
            </w:r>
            <w:r>
              <w:rPr>
                <w:b w:val="0"/>
                <w:i w:val="0"/>
                <w:sz w:val="19"/>
              </w:rPr>
              <w:t>URCHASE</w:t>
            </w:r>
            <w:r>
              <w:rPr>
                <w:b w:val="0"/>
                <w:i w:val="0"/>
                <w:sz w:val="19"/>
              </w:rPr>
              <w:tab/>
            </w:r>
            <w:r>
              <w:rPr>
                <w:b w:val="0"/>
                <w:i w:val="0"/>
                <w:sz w:val="24"/>
              </w:rPr>
              <w:t>36</w:t>
            </w:r>
          </w:hyperlink>
        </w:p>
        <w:p w:rsidR="007C5447" w:rsidRDefault="00F6308C">
          <w:pPr>
            <w:pStyle w:val="TOC6"/>
            <w:numPr>
              <w:ilvl w:val="1"/>
              <w:numId w:val="115"/>
            </w:numPr>
            <w:tabs>
              <w:tab w:val="left" w:pos="833"/>
              <w:tab w:val="left" w:leader="dot" w:pos="9001"/>
            </w:tabs>
            <w:spacing w:before="139" w:line="360" w:lineRule="auto"/>
            <w:ind w:left="220" w:firstLine="0"/>
            <w:rPr>
              <w:b w:val="0"/>
              <w:i w:val="0"/>
              <w:sz w:val="24"/>
            </w:rPr>
          </w:pPr>
          <w:hyperlink w:anchor="_bookmark21" w:history="1">
            <w:r>
              <w:rPr>
                <w:b w:val="0"/>
                <w:i w:val="0"/>
                <w:sz w:val="24"/>
              </w:rPr>
              <w:t>T</w:t>
            </w:r>
            <w:r>
              <w:rPr>
                <w:b w:val="0"/>
                <w:i w:val="0"/>
                <w:sz w:val="19"/>
              </w:rPr>
              <w:t xml:space="preserve">RANSMISSION </w:t>
            </w:r>
            <w:r>
              <w:rPr>
                <w:b w:val="0"/>
                <w:i w:val="0"/>
                <w:sz w:val="24"/>
              </w:rPr>
              <w:t>&amp; D</w:t>
            </w:r>
            <w:r>
              <w:rPr>
                <w:b w:val="0"/>
                <w:i w:val="0"/>
                <w:sz w:val="19"/>
              </w:rPr>
              <w:t xml:space="preserve">ISTRIBUTION </w:t>
            </w:r>
            <w:r>
              <w:rPr>
                <w:b w:val="0"/>
                <w:i w:val="0"/>
                <w:sz w:val="24"/>
              </w:rPr>
              <w:t>(T&amp;D)/A</w:t>
            </w:r>
            <w:r>
              <w:rPr>
                <w:b w:val="0"/>
                <w:i w:val="0"/>
                <w:sz w:val="19"/>
              </w:rPr>
              <w:t xml:space="preserve">GGREGATE </w:t>
            </w:r>
            <w:r>
              <w:rPr>
                <w:b w:val="0"/>
                <w:i w:val="0"/>
                <w:sz w:val="24"/>
              </w:rPr>
              <w:t>T</w:t>
            </w:r>
            <w:r>
              <w:rPr>
                <w:b w:val="0"/>
                <w:i w:val="0"/>
                <w:sz w:val="19"/>
              </w:rPr>
              <w:t xml:space="preserve">ECHNICAL </w:t>
            </w:r>
            <w:r>
              <w:rPr>
                <w:b w:val="0"/>
                <w:i w:val="0"/>
                <w:sz w:val="24"/>
              </w:rPr>
              <w:t>&amp; C</w:t>
            </w:r>
            <w:r>
              <w:rPr>
                <w:b w:val="0"/>
                <w:i w:val="0"/>
                <w:sz w:val="19"/>
              </w:rPr>
              <w:t>OMMERCIAL</w:t>
            </w:r>
          </w:hyperlink>
          <w:hyperlink w:anchor="_bookmark21" w:history="1">
            <w:r>
              <w:rPr>
                <w:b w:val="0"/>
                <w:i w:val="0"/>
                <w:sz w:val="19"/>
              </w:rPr>
              <w:t xml:space="preserve"> </w:t>
            </w:r>
            <w:r>
              <w:rPr>
                <w:b w:val="0"/>
                <w:i w:val="0"/>
                <w:sz w:val="24"/>
              </w:rPr>
              <w:t>(AT&amp;C)</w:t>
            </w:r>
            <w:r>
              <w:rPr>
                <w:b w:val="0"/>
                <w:i w:val="0"/>
                <w:spacing w:val="-13"/>
                <w:sz w:val="24"/>
              </w:rPr>
              <w:t xml:space="preserve"> </w:t>
            </w:r>
            <w:r>
              <w:rPr>
                <w:b w:val="0"/>
                <w:i w:val="0"/>
                <w:sz w:val="24"/>
              </w:rPr>
              <w:t>L</w:t>
            </w:r>
            <w:r>
              <w:rPr>
                <w:b w:val="0"/>
                <w:i w:val="0"/>
                <w:sz w:val="19"/>
              </w:rPr>
              <w:t>OSSES</w:t>
            </w:r>
            <w:r>
              <w:rPr>
                <w:b w:val="0"/>
                <w:i w:val="0"/>
                <w:sz w:val="19"/>
              </w:rPr>
              <w:tab/>
            </w:r>
            <w:r>
              <w:rPr>
                <w:b w:val="0"/>
                <w:i w:val="0"/>
                <w:spacing w:val="-9"/>
                <w:sz w:val="24"/>
              </w:rPr>
              <w:t>43</w:t>
            </w:r>
          </w:hyperlink>
        </w:p>
        <w:p w:rsidR="007C5447" w:rsidRDefault="00F6308C">
          <w:pPr>
            <w:pStyle w:val="TOC6"/>
            <w:numPr>
              <w:ilvl w:val="1"/>
              <w:numId w:val="115"/>
            </w:numPr>
            <w:tabs>
              <w:tab w:val="left" w:pos="833"/>
              <w:tab w:val="left" w:leader="dot" w:pos="9001"/>
            </w:tabs>
            <w:spacing w:line="360" w:lineRule="auto"/>
            <w:ind w:left="220" w:firstLine="0"/>
            <w:rPr>
              <w:b w:val="0"/>
              <w:i w:val="0"/>
              <w:sz w:val="24"/>
            </w:rPr>
          </w:pPr>
          <w:hyperlink w:anchor="_bookmark22" w:history="1">
            <w:r>
              <w:rPr>
                <w:b w:val="0"/>
                <w:i w:val="0"/>
                <w:sz w:val="24"/>
              </w:rPr>
              <w:t>A</w:t>
            </w:r>
            <w:r>
              <w:rPr>
                <w:b w:val="0"/>
                <w:i w:val="0"/>
                <w:sz w:val="19"/>
              </w:rPr>
              <w:t xml:space="preserve">VERAGE </w:t>
            </w:r>
            <w:r>
              <w:rPr>
                <w:b w:val="0"/>
                <w:i w:val="0"/>
                <w:sz w:val="24"/>
              </w:rPr>
              <w:t>C</w:t>
            </w:r>
            <w:r>
              <w:rPr>
                <w:b w:val="0"/>
                <w:i w:val="0"/>
                <w:sz w:val="19"/>
              </w:rPr>
              <w:t xml:space="preserve">OST OF </w:t>
            </w:r>
            <w:r>
              <w:rPr>
                <w:b w:val="0"/>
                <w:i w:val="0"/>
                <w:sz w:val="24"/>
              </w:rPr>
              <w:t>S</w:t>
            </w:r>
            <w:r>
              <w:rPr>
                <w:b w:val="0"/>
                <w:i w:val="0"/>
                <w:sz w:val="19"/>
              </w:rPr>
              <w:t>UPPLY</w:t>
            </w:r>
            <w:r>
              <w:rPr>
                <w:b w:val="0"/>
                <w:i w:val="0"/>
                <w:sz w:val="24"/>
              </w:rPr>
              <w:t>, C</w:t>
            </w:r>
            <w:r>
              <w:rPr>
                <w:b w:val="0"/>
                <w:i w:val="0"/>
                <w:sz w:val="19"/>
              </w:rPr>
              <w:t xml:space="preserve">OST TO </w:t>
            </w:r>
            <w:r>
              <w:rPr>
                <w:b w:val="0"/>
                <w:i w:val="0"/>
                <w:sz w:val="24"/>
              </w:rPr>
              <w:t>S</w:t>
            </w:r>
            <w:r>
              <w:rPr>
                <w:b w:val="0"/>
                <w:i w:val="0"/>
                <w:sz w:val="19"/>
              </w:rPr>
              <w:t>ERVE</w:t>
            </w:r>
            <w:r>
              <w:rPr>
                <w:b w:val="0"/>
                <w:i w:val="0"/>
                <w:sz w:val="24"/>
              </w:rPr>
              <w:t>, C</w:t>
            </w:r>
            <w:r>
              <w:rPr>
                <w:b w:val="0"/>
                <w:i w:val="0"/>
                <w:sz w:val="19"/>
              </w:rPr>
              <w:t>ROSS</w:t>
            </w:r>
            <w:r>
              <w:rPr>
                <w:b w:val="0"/>
                <w:i w:val="0"/>
                <w:sz w:val="24"/>
              </w:rPr>
              <w:t>-</w:t>
            </w:r>
            <w:r>
              <w:rPr>
                <w:b w:val="0"/>
                <w:i w:val="0"/>
                <w:sz w:val="19"/>
              </w:rPr>
              <w:t>SUBSIDY</w:t>
            </w:r>
            <w:r>
              <w:rPr>
                <w:b w:val="0"/>
                <w:i w:val="0"/>
                <w:sz w:val="24"/>
              </w:rPr>
              <w:t xml:space="preserve">, </w:t>
            </w:r>
            <w:r>
              <w:rPr>
                <w:b w:val="0"/>
                <w:i w:val="0"/>
                <w:sz w:val="19"/>
              </w:rPr>
              <w:t xml:space="preserve">AND </w:t>
            </w:r>
            <w:r>
              <w:rPr>
                <w:b w:val="0"/>
                <w:i w:val="0"/>
                <w:sz w:val="24"/>
              </w:rPr>
              <w:t>C</w:t>
            </w:r>
            <w:r>
              <w:rPr>
                <w:b w:val="0"/>
                <w:i w:val="0"/>
                <w:sz w:val="19"/>
              </w:rPr>
              <w:t xml:space="preserve">ROSS </w:t>
            </w:r>
            <w:r>
              <w:rPr>
                <w:b w:val="0"/>
                <w:i w:val="0"/>
                <w:sz w:val="24"/>
              </w:rPr>
              <w:t>S</w:t>
            </w:r>
            <w:r>
              <w:rPr>
                <w:b w:val="0"/>
                <w:i w:val="0"/>
                <w:sz w:val="19"/>
              </w:rPr>
              <w:t>UBSIDY</w:t>
            </w:r>
          </w:hyperlink>
          <w:hyperlink w:anchor="_bookmark22" w:history="1">
            <w:r>
              <w:rPr>
                <w:b w:val="0"/>
                <w:i w:val="0"/>
                <w:sz w:val="19"/>
              </w:rPr>
              <w:t xml:space="preserve"> </w:t>
            </w:r>
            <w:r>
              <w:rPr>
                <w:b w:val="0"/>
                <w:i w:val="0"/>
                <w:sz w:val="24"/>
              </w:rPr>
              <w:t>S</w:t>
            </w:r>
            <w:r>
              <w:rPr>
                <w:b w:val="0"/>
                <w:i w:val="0"/>
                <w:sz w:val="19"/>
              </w:rPr>
              <w:t>URCHARGE</w:t>
            </w:r>
            <w:r>
              <w:rPr>
                <w:b w:val="0"/>
                <w:i w:val="0"/>
                <w:sz w:val="19"/>
              </w:rPr>
              <w:tab/>
            </w:r>
            <w:r>
              <w:rPr>
                <w:b w:val="0"/>
                <w:i w:val="0"/>
                <w:spacing w:val="-9"/>
                <w:sz w:val="24"/>
              </w:rPr>
              <w:t>47</w:t>
            </w:r>
          </w:hyperlink>
        </w:p>
        <w:p w:rsidR="007C5447" w:rsidRDefault="00F6308C">
          <w:pPr>
            <w:pStyle w:val="TOC2"/>
            <w:numPr>
              <w:ilvl w:val="1"/>
              <w:numId w:val="115"/>
            </w:numPr>
            <w:tabs>
              <w:tab w:val="left" w:pos="833"/>
              <w:tab w:val="left" w:leader="dot" w:pos="9001"/>
            </w:tabs>
            <w:spacing w:before="0"/>
            <w:ind w:left="832" w:hanging="613"/>
            <w:rPr>
              <w:sz w:val="24"/>
            </w:rPr>
          </w:pPr>
          <w:hyperlink w:anchor="_bookmark23" w:history="1">
            <w:r>
              <w:rPr>
                <w:sz w:val="24"/>
              </w:rPr>
              <w:t>I</w:t>
            </w:r>
            <w:r>
              <w:t>NCENTIVES</w:t>
            </w:r>
            <w:r>
              <w:rPr>
                <w:sz w:val="24"/>
              </w:rPr>
              <w:t>, S</w:t>
            </w:r>
            <w:r>
              <w:t>URCHARGES</w:t>
            </w:r>
            <w:r>
              <w:rPr>
                <w:spacing w:val="-17"/>
              </w:rPr>
              <w:t xml:space="preserve"> </w:t>
            </w:r>
            <w:r>
              <w:t>AND</w:t>
            </w:r>
            <w:r>
              <w:rPr>
                <w:spacing w:val="-1"/>
              </w:rPr>
              <w:t xml:space="preserve"> </w:t>
            </w:r>
            <w:r>
              <w:rPr>
                <w:sz w:val="24"/>
              </w:rPr>
              <w:t>R</w:t>
            </w:r>
            <w:r>
              <w:t>EBATE</w:t>
            </w:r>
            <w:r>
              <w:tab/>
            </w:r>
            <w:r>
              <w:rPr>
                <w:sz w:val="24"/>
              </w:rPr>
              <w:t>50</w:t>
            </w:r>
          </w:hyperlink>
        </w:p>
        <w:p w:rsidR="007C5447" w:rsidRDefault="00F6308C">
          <w:pPr>
            <w:pStyle w:val="TOC3"/>
            <w:numPr>
              <w:ilvl w:val="1"/>
              <w:numId w:val="115"/>
            </w:numPr>
            <w:tabs>
              <w:tab w:val="left" w:pos="833"/>
              <w:tab w:val="left" w:leader="dot" w:pos="9001"/>
            </w:tabs>
            <w:spacing w:after="20"/>
            <w:ind w:left="832" w:hanging="613"/>
            <w:rPr>
              <w:b w:val="0"/>
              <w:i w:val="0"/>
              <w:sz w:val="24"/>
            </w:rPr>
          </w:pPr>
          <w:hyperlink w:anchor="_bookmark24" w:history="1">
            <w:r>
              <w:rPr>
                <w:b w:val="0"/>
                <w:i w:val="0"/>
                <w:sz w:val="24"/>
              </w:rPr>
              <w:t>P</w:t>
            </w:r>
            <w:r>
              <w:rPr>
                <w:b w:val="0"/>
                <w:i w:val="0"/>
                <w:sz w:val="19"/>
              </w:rPr>
              <w:t>EAK</w:t>
            </w:r>
            <w:r>
              <w:rPr>
                <w:b w:val="0"/>
                <w:i w:val="0"/>
                <w:spacing w:val="-4"/>
                <w:sz w:val="19"/>
              </w:rPr>
              <w:t xml:space="preserve"> </w:t>
            </w:r>
            <w:r>
              <w:rPr>
                <w:b w:val="0"/>
                <w:i w:val="0"/>
                <w:sz w:val="24"/>
              </w:rPr>
              <w:t>H</w:t>
            </w:r>
            <w:r>
              <w:rPr>
                <w:b w:val="0"/>
                <w:i w:val="0"/>
                <w:sz w:val="19"/>
              </w:rPr>
              <w:t xml:space="preserve">OUR </w:t>
            </w:r>
            <w:r>
              <w:rPr>
                <w:b w:val="0"/>
                <w:i w:val="0"/>
                <w:sz w:val="24"/>
              </w:rPr>
              <w:t>T</w:t>
            </w:r>
            <w:r>
              <w:rPr>
                <w:b w:val="0"/>
                <w:i w:val="0"/>
                <w:sz w:val="19"/>
              </w:rPr>
              <w:t>ARIFF</w:t>
            </w:r>
            <w:r>
              <w:rPr>
                <w:b w:val="0"/>
                <w:i w:val="0"/>
                <w:sz w:val="19"/>
              </w:rPr>
              <w:tab/>
            </w:r>
            <w:r>
              <w:rPr>
                <w:b w:val="0"/>
                <w:i w:val="0"/>
                <w:sz w:val="24"/>
              </w:rPr>
              <w:t>52</w:t>
            </w:r>
          </w:hyperlink>
        </w:p>
        <w:p w:rsidR="007C5447" w:rsidRDefault="00F6308C">
          <w:pPr>
            <w:pStyle w:val="TOC2"/>
            <w:numPr>
              <w:ilvl w:val="1"/>
              <w:numId w:val="115"/>
            </w:numPr>
            <w:tabs>
              <w:tab w:val="left" w:pos="833"/>
              <w:tab w:val="right" w:leader="dot" w:pos="9241"/>
            </w:tabs>
            <w:spacing w:before="70"/>
            <w:ind w:left="832" w:hanging="613"/>
            <w:rPr>
              <w:sz w:val="24"/>
            </w:rPr>
          </w:pPr>
          <w:hyperlink w:anchor="_bookmark25" w:history="1">
            <w:r>
              <w:rPr>
                <w:sz w:val="24"/>
              </w:rPr>
              <w:t>B</w:t>
            </w:r>
            <w:r>
              <w:t>ILLING</w:t>
            </w:r>
            <w:r>
              <w:rPr>
                <w:spacing w:val="-2"/>
              </w:rPr>
              <w:t xml:space="preserve"> </w:t>
            </w:r>
            <w:r>
              <w:t xml:space="preserve">AND </w:t>
            </w:r>
            <w:r>
              <w:rPr>
                <w:sz w:val="24"/>
              </w:rPr>
              <w:t>C</w:t>
            </w:r>
            <w:r>
              <w:t>OLLECTION</w:t>
            </w:r>
            <w:r>
              <w:tab/>
            </w:r>
            <w:r>
              <w:rPr>
                <w:sz w:val="24"/>
              </w:rPr>
              <w:t>54</w:t>
            </w:r>
          </w:hyperlink>
        </w:p>
        <w:p w:rsidR="007C5447" w:rsidRDefault="00F6308C">
          <w:pPr>
            <w:pStyle w:val="TOC2"/>
            <w:numPr>
              <w:ilvl w:val="1"/>
              <w:numId w:val="115"/>
            </w:numPr>
            <w:tabs>
              <w:tab w:val="left" w:pos="833"/>
              <w:tab w:val="right" w:leader="dot" w:pos="9241"/>
            </w:tabs>
            <w:spacing w:before="136"/>
            <w:ind w:left="832" w:hanging="613"/>
            <w:rPr>
              <w:sz w:val="24"/>
            </w:rPr>
          </w:pPr>
          <w:hyperlink w:anchor="_bookmark26" w:history="1">
            <w:r>
              <w:rPr>
                <w:sz w:val="24"/>
              </w:rPr>
              <w:t>H</w:t>
            </w:r>
            <w:r>
              <w:t xml:space="preserve">ARMONICS </w:t>
            </w:r>
            <w:r>
              <w:rPr>
                <w:sz w:val="24"/>
              </w:rPr>
              <w:t>C</w:t>
            </w:r>
            <w:r>
              <w:t>ONTROL</w:t>
            </w:r>
            <w:r>
              <w:tab/>
            </w:r>
            <w:r>
              <w:rPr>
                <w:sz w:val="24"/>
              </w:rPr>
              <w:t>55</w:t>
            </w:r>
          </w:hyperlink>
        </w:p>
        <w:p w:rsidR="007C5447" w:rsidRDefault="00F6308C">
          <w:pPr>
            <w:pStyle w:val="TOC3"/>
            <w:numPr>
              <w:ilvl w:val="1"/>
              <w:numId w:val="115"/>
            </w:numPr>
            <w:tabs>
              <w:tab w:val="left" w:pos="833"/>
              <w:tab w:val="right" w:leader="dot" w:pos="9241"/>
            </w:tabs>
            <w:spacing w:before="140"/>
            <w:ind w:left="832" w:hanging="613"/>
            <w:rPr>
              <w:b w:val="0"/>
              <w:i w:val="0"/>
              <w:sz w:val="24"/>
            </w:rPr>
          </w:pPr>
          <w:hyperlink w:anchor="_bookmark27" w:history="1">
            <w:r>
              <w:rPr>
                <w:b w:val="0"/>
                <w:i w:val="0"/>
                <w:sz w:val="24"/>
              </w:rPr>
              <w:t>R</w:t>
            </w:r>
            <w:r>
              <w:rPr>
                <w:b w:val="0"/>
                <w:i w:val="0"/>
                <w:sz w:val="19"/>
              </w:rPr>
              <w:t>ENEWABLE</w:t>
            </w:r>
            <w:r>
              <w:rPr>
                <w:b w:val="0"/>
                <w:i w:val="0"/>
                <w:spacing w:val="-1"/>
                <w:sz w:val="19"/>
              </w:rPr>
              <w:t xml:space="preserve"> </w:t>
            </w:r>
            <w:r>
              <w:rPr>
                <w:b w:val="0"/>
                <w:i w:val="0"/>
                <w:sz w:val="24"/>
              </w:rPr>
              <w:t>P</w:t>
            </w:r>
            <w:r>
              <w:rPr>
                <w:b w:val="0"/>
                <w:i w:val="0"/>
                <w:sz w:val="19"/>
              </w:rPr>
              <w:t>OWER</w:t>
            </w:r>
            <w:r>
              <w:rPr>
                <w:b w:val="0"/>
                <w:i w:val="0"/>
                <w:sz w:val="19"/>
              </w:rPr>
              <w:tab/>
            </w:r>
            <w:r>
              <w:rPr>
                <w:b w:val="0"/>
                <w:i w:val="0"/>
                <w:sz w:val="24"/>
              </w:rPr>
              <w:t>56</w:t>
            </w:r>
          </w:hyperlink>
        </w:p>
        <w:p w:rsidR="007C5447" w:rsidRDefault="00F6308C">
          <w:pPr>
            <w:pStyle w:val="TOC3"/>
            <w:numPr>
              <w:ilvl w:val="1"/>
              <w:numId w:val="115"/>
            </w:numPr>
            <w:tabs>
              <w:tab w:val="left" w:pos="833"/>
              <w:tab w:val="right" w:leader="dot" w:pos="9241"/>
            </w:tabs>
            <w:ind w:left="832" w:hanging="613"/>
            <w:rPr>
              <w:b w:val="0"/>
              <w:i w:val="0"/>
              <w:sz w:val="24"/>
            </w:rPr>
          </w:pPr>
          <w:hyperlink w:anchor="_bookmark28" w:history="1">
            <w:r>
              <w:rPr>
                <w:b w:val="0"/>
                <w:i w:val="0"/>
                <w:sz w:val="24"/>
              </w:rPr>
              <w:t>HT</w:t>
            </w:r>
            <w:r>
              <w:rPr>
                <w:b w:val="0"/>
                <w:i w:val="0"/>
                <w:spacing w:val="-11"/>
                <w:sz w:val="24"/>
              </w:rPr>
              <w:t xml:space="preserve"> </w:t>
            </w:r>
            <w:r>
              <w:rPr>
                <w:b w:val="0"/>
                <w:i w:val="0"/>
                <w:sz w:val="24"/>
              </w:rPr>
              <w:t>I</w:t>
            </w:r>
            <w:r>
              <w:rPr>
                <w:b w:val="0"/>
                <w:i w:val="0"/>
                <w:sz w:val="19"/>
              </w:rPr>
              <w:t>NDUSTRIAL</w:t>
            </w:r>
            <w:r>
              <w:rPr>
                <w:b w:val="0"/>
                <w:i w:val="0"/>
                <w:spacing w:val="-2"/>
                <w:sz w:val="19"/>
              </w:rPr>
              <w:t xml:space="preserve"> </w:t>
            </w:r>
            <w:r>
              <w:rPr>
                <w:b w:val="0"/>
                <w:i w:val="0"/>
                <w:sz w:val="24"/>
              </w:rPr>
              <w:t>T</w:t>
            </w:r>
            <w:r>
              <w:rPr>
                <w:b w:val="0"/>
                <w:i w:val="0"/>
                <w:sz w:val="19"/>
              </w:rPr>
              <w:t>ARIFF</w:t>
            </w:r>
            <w:r>
              <w:rPr>
                <w:b w:val="0"/>
                <w:i w:val="0"/>
                <w:sz w:val="19"/>
              </w:rPr>
              <w:tab/>
            </w:r>
            <w:r>
              <w:rPr>
                <w:b w:val="0"/>
                <w:i w:val="0"/>
                <w:sz w:val="24"/>
              </w:rPr>
              <w:t>57</w:t>
            </w:r>
          </w:hyperlink>
        </w:p>
        <w:p w:rsidR="007C5447" w:rsidRDefault="00F6308C">
          <w:pPr>
            <w:pStyle w:val="TOC3"/>
            <w:numPr>
              <w:ilvl w:val="1"/>
              <w:numId w:val="115"/>
            </w:numPr>
            <w:tabs>
              <w:tab w:val="left" w:pos="833"/>
              <w:tab w:val="right" w:leader="dot" w:pos="9241"/>
            </w:tabs>
            <w:spacing w:before="139"/>
            <w:ind w:left="832" w:hanging="613"/>
            <w:rPr>
              <w:b w:val="0"/>
              <w:i w:val="0"/>
              <w:sz w:val="24"/>
            </w:rPr>
          </w:pPr>
          <w:hyperlink w:anchor="_bookmark29" w:history="1">
            <w:r>
              <w:rPr>
                <w:b w:val="0"/>
                <w:i w:val="0"/>
                <w:sz w:val="24"/>
              </w:rPr>
              <w:t>D</w:t>
            </w:r>
            <w:r>
              <w:rPr>
                <w:b w:val="0"/>
                <w:i w:val="0"/>
                <w:sz w:val="19"/>
              </w:rPr>
              <w:t xml:space="preserve">OMESTIC </w:t>
            </w:r>
            <w:r>
              <w:rPr>
                <w:b w:val="0"/>
                <w:i w:val="0"/>
                <w:sz w:val="24"/>
              </w:rPr>
              <w:t>T</w:t>
            </w:r>
            <w:r>
              <w:rPr>
                <w:b w:val="0"/>
                <w:i w:val="0"/>
                <w:sz w:val="19"/>
              </w:rPr>
              <w:t>ARIFF</w:t>
            </w:r>
            <w:r>
              <w:rPr>
                <w:b w:val="0"/>
                <w:i w:val="0"/>
                <w:sz w:val="19"/>
              </w:rPr>
              <w:tab/>
            </w:r>
            <w:r>
              <w:rPr>
                <w:b w:val="0"/>
                <w:i w:val="0"/>
                <w:sz w:val="24"/>
              </w:rPr>
              <w:t>62</w:t>
            </w:r>
          </w:hyperlink>
        </w:p>
        <w:p w:rsidR="007C5447" w:rsidRDefault="00F6308C">
          <w:pPr>
            <w:pStyle w:val="TOC2"/>
            <w:numPr>
              <w:ilvl w:val="1"/>
              <w:numId w:val="115"/>
            </w:numPr>
            <w:tabs>
              <w:tab w:val="left" w:pos="833"/>
              <w:tab w:val="right" w:leader="dot" w:pos="9241"/>
            </w:tabs>
            <w:spacing w:before="137"/>
            <w:ind w:left="832" w:hanging="613"/>
            <w:rPr>
              <w:sz w:val="24"/>
            </w:rPr>
          </w:pPr>
          <w:hyperlink w:anchor="_bookmark30" w:history="1">
            <w:r>
              <w:rPr>
                <w:sz w:val="24"/>
              </w:rPr>
              <w:t>O</w:t>
            </w:r>
            <w:r>
              <w:t xml:space="preserve">THER </w:t>
            </w:r>
            <w:r>
              <w:rPr>
                <w:sz w:val="24"/>
              </w:rPr>
              <w:t>T</w:t>
            </w:r>
            <w:r>
              <w:t>ARIFF</w:t>
            </w:r>
            <w:r>
              <w:rPr>
                <w:spacing w:val="-2"/>
              </w:rPr>
              <w:t xml:space="preserve"> </w:t>
            </w:r>
            <w:r>
              <w:t>RELATED</w:t>
            </w:r>
            <w:r>
              <w:rPr>
                <w:spacing w:val="-1"/>
              </w:rPr>
              <w:t xml:space="preserve"> </w:t>
            </w:r>
            <w:r>
              <w:t>COMMENTS</w:t>
            </w:r>
            <w:r>
              <w:tab/>
            </w:r>
            <w:r>
              <w:rPr>
                <w:sz w:val="24"/>
              </w:rPr>
              <w:t>63</w:t>
            </w:r>
          </w:hyperlink>
        </w:p>
        <w:p w:rsidR="007C5447" w:rsidRDefault="00F6308C">
          <w:pPr>
            <w:pStyle w:val="TOC3"/>
            <w:numPr>
              <w:ilvl w:val="1"/>
              <w:numId w:val="115"/>
            </w:numPr>
            <w:tabs>
              <w:tab w:val="left" w:pos="833"/>
              <w:tab w:val="right" w:leader="dot" w:pos="9241"/>
            </w:tabs>
            <w:spacing w:before="139"/>
            <w:ind w:left="832" w:hanging="613"/>
            <w:rPr>
              <w:b w:val="0"/>
              <w:i w:val="0"/>
              <w:sz w:val="24"/>
            </w:rPr>
          </w:pPr>
          <w:hyperlink w:anchor="_bookmark31" w:history="1">
            <w:r>
              <w:rPr>
                <w:b w:val="0"/>
                <w:i w:val="0"/>
                <w:sz w:val="24"/>
              </w:rPr>
              <w:t>R</w:t>
            </w:r>
            <w:r>
              <w:rPr>
                <w:b w:val="0"/>
                <w:i w:val="0"/>
                <w:sz w:val="19"/>
              </w:rPr>
              <w:t>EGULATORY</w:t>
            </w:r>
            <w:r>
              <w:rPr>
                <w:b w:val="0"/>
                <w:i w:val="0"/>
                <w:spacing w:val="-1"/>
                <w:sz w:val="19"/>
              </w:rPr>
              <w:t xml:space="preserve"> </w:t>
            </w:r>
            <w:r>
              <w:rPr>
                <w:b w:val="0"/>
                <w:i w:val="0"/>
                <w:sz w:val="24"/>
              </w:rPr>
              <w:t>A</w:t>
            </w:r>
            <w:r>
              <w:rPr>
                <w:b w:val="0"/>
                <w:i w:val="0"/>
                <w:sz w:val="19"/>
              </w:rPr>
              <w:t>SSET</w:t>
            </w:r>
            <w:r>
              <w:rPr>
                <w:b w:val="0"/>
                <w:i w:val="0"/>
                <w:sz w:val="19"/>
              </w:rPr>
              <w:tab/>
            </w:r>
            <w:r>
              <w:rPr>
                <w:b w:val="0"/>
                <w:i w:val="0"/>
                <w:sz w:val="24"/>
              </w:rPr>
              <w:t>69</w:t>
            </w:r>
          </w:hyperlink>
        </w:p>
        <w:p w:rsidR="007C5447" w:rsidRDefault="00F6308C">
          <w:pPr>
            <w:pStyle w:val="TOC3"/>
            <w:numPr>
              <w:ilvl w:val="1"/>
              <w:numId w:val="115"/>
            </w:numPr>
            <w:tabs>
              <w:tab w:val="left" w:pos="833"/>
              <w:tab w:val="right" w:leader="dot" w:pos="9241"/>
            </w:tabs>
            <w:ind w:left="832" w:hanging="613"/>
            <w:rPr>
              <w:b w:val="0"/>
              <w:i w:val="0"/>
              <w:sz w:val="24"/>
            </w:rPr>
          </w:pPr>
          <w:hyperlink w:anchor="_bookmark32" w:history="1">
            <w:r>
              <w:rPr>
                <w:b w:val="0"/>
                <w:i w:val="0"/>
                <w:sz w:val="24"/>
              </w:rPr>
              <w:t>T</w:t>
            </w:r>
            <w:r>
              <w:rPr>
                <w:b w:val="0"/>
                <w:i w:val="0"/>
                <w:sz w:val="19"/>
              </w:rPr>
              <w:t xml:space="preserve">RANSFER </w:t>
            </w:r>
            <w:r>
              <w:rPr>
                <w:b w:val="0"/>
                <w:i w:val="0"/>
                <w:sz w:val="24"/>
              </w:rPr>
              <w:t>S</w:t>
            </w:r>
            <w:r>
              <w:rPr>
                <w:b w:val="0"/>
                <w:i w:val="0"/>
                <w:sz w:val="19"/>
              </w:rPr>
              <w:t>CHEME</w:t>
            </w:r>
            <w:r>
              <w:rPr>
                <w:b w:val="0"/>
                <w:i w:val="0"/>
                <w:sz w:val="19"/>
              </w:rPr>
              <w:tab/>
            </w:r>
            <w:r>
              <w:rPr>
                <w:b w:val="0"/>
                <w:i w:val="0"/>
                <w:sz w:val="24"/>
              </w:rPr>
              <w:t>69</w:t>
            </w:r>
          </w:hyperlink>
        </w:p>
        <w:p w:rsidR="007C5447" w:rsidRDefault="00F6308C">
          <w:pPr>
            <w:pStyle w:val="TOC2"/>
            <w:numPr>
              <w:ilvl w:val="1"/>
              <w:numId w:val="115"/>
            </w:numPr>
            <w:tabs>
              <w:tab w:val="left" w:pos="833"/>
              <w:tab w:val="right" w:leader="dot" w:pos="9241"/>
            </w:tabs>
            <w:ind w:left="832" w:hanging="613"/>
            <w:rPr>
              <w:sz w:val="24"/>
            </w:rPr>
          </w:pPr>
          <w:hyperlink w:anchor="_bookmark33" w:history="1">
            <w:r>
              <w:rPr>
                <w:sz w:val="24"/>
              </w:rPr>
              <w:t>N</w:t>
            </w:r>
            <w:r>
              <w:t>ET</w:t>
            </w:r>
            <w:r>
              <w:rPr>
                <w:sz w:val="24"/>
              </w:rPr>
              <w:t>-M</w:t>
            </w:r>
            <w:r>
              <w:t xml:space="preserve">ETERING FOR </w:t>
            </w:r>
            <w:r>
              <w:rPr>
                <w:sz w:val="24"/>
              </w:rPr>
              <w:t>R</w:t>
            </w:r>
            <w:r>
              <w:t>OOFTOP</w:t>
            </w:r>
            <w:r>
              <w:rPr>
                <w:spacing w:val="2"/>
              </w:rPr>
              <w:t xml:space="preserve"> </w:t>
            </w:r>
            <w:r>
              <w:rPr>
                <w:sz w:val="24"/>
              </w:rPr>
              <w:t>S</w:t>
            </w:r>
            <w:r>
              <w:t>OLAR</w:t>
            </w:r>
            <w:r>
              <w:rPr>
                <w:spacing w:val="3"/>
              </w:rPr>
              <w:t xml:space="preserve"> </w:t>
            </w:r>
            <w:r>
              <w:rPr>
                <w:sz w:val="24"/>
              </w:rPr>
              <w:t>I</w:t>
            </w:r>
            <w:r>
              <w:t>NSTALLATIONS</w:t>
            </w:r>
            <w:r>
              <w:tab/>
            </w:r>
            <w:r>
              <w:rPr>
                <w:sz w:val="24"/>
              </w:rPr>
              <w:t>72</w:t>
            </w:r>
          </w:hyperlink>
        </w:p>
        <w:p w:rsidR="007C5447" w:rsidRDefault="00F6308C">
          <w:pPr>
            <w:pStyle w:val="TOC1"/>
            <w:numPr>
              <w:ilvl w:val="0"/>
              <w:numId w:val="115"/>
            </w:numPr>
            <w:tabs>
              <w:tab w:val="left" w:pos="551"/>
              <w:tab w:val="left" w:pos="552"/>
              <w:tab w:val="right" w:leader="dot" w:pos="9241"/>
            </w:tabs>
            <w:spacing w:before="497"/>
            <w:rPr>
              <w:u w:val="none"/>
            </w:rPr>
          </w:pPr>
          <w:hyperlink w:anchor="_bookmark34" w:history="1">
            <w:r>
              <w:t>FINAL TRUE UP FOR FY 2011-12 TO</w:t>
            </w:r>
            <w:r>
              <w:rPr>
                <w:spacing w:val="1"/>
              </w:rPr>
              <w:t xml:space="preserve"> </w:t>
            </w:r>
            <w:r>
              <w:t>FY 2015-16</w:t>
            </w:r>
            <w:r>
              <w:rPr>
                <w:u w:val="none"/>
              </w:rPr>
              <w:tab/>
            </w:r>
            <w:r>
              <w:t>74</w:t>
            </w:r>
          </w:hyperlink>
        </w:p>
        <w:p w:rsidR="007C5447" w:rsidRDefault="00F6308C">
          <w:pPr>
            <w:pStyle w:val="TOC3"/>
            <w:numPr>
              <w:ilvl w:val="1"/>
              <w:numId w:val="115"/>
            </w:numPr>
            <w:tabs>
              <w:tab w:val="left" w:pos="721"/>
              <w:tab w:val="left" w:pos="723"/>
              <w:tab w:val="right" w:leader="dot" w:pos="9241"/>
            </w:tabs>
            <w:spacing w:before="139"/>
            <w:ind w:hanging="503"/>
            <w:rPr>
              <w:b w:val="0"/>
              <w:i w:val="0"/>
              <w:sz w:val="24"/>
            </w:rPr>
          </w:pPr>
          <w:hyperlink w:anchor="_bookmark35" w:history="1">
            <w:r>
              <w:rPr>
                <w:b w:val="0"/>
                <w:i w:val="0"/>
                <w:sz w:val="24"/>
              </w:rPr>
              <w:t>B</w:t>
            </w:r>
            <w:r>
              <w:rPr>
                <w:b w:val="0"/>
                <w:i w:val="0"/>
                <w:sz w:val="19"/>
              </w:rPr>
              <w:t>ACKGROUND</w:t>
            </w:r>
            <w:r>
              <w:rPr>
                <w:b w:val="0"/>
                <w:i w:val="0"/>
                <w:sz w:val="19"/>
              </w:rPr>
              <w:tab/>
            </w:r>
            <w:r>
              <w:rPr>
                <w:b w:val="0"/>
                <w:i w:val="0"/>
                <w:sz w:val="24"/>
              </w:rPr>
              <w:t>74</w:t>
            </w:r>
          </w:hyperlink>
        </w:p>
        <w:p w:rsidR="007C5447" w:rsidRDefault="00F6308C">
          <w:pPr>
            <w:pStyle w:val="TOC3"/>
            <w:numPr>
              <w:ilvl w:val="1"/>
              <w:numId w:val="115"/>
            </w:numPr>
            <w:tabs>
              <w:tab w:val="left" w:pos="721"/>
              <w:tab w:val="left" w:pos="723"/>
              <w:tab w:val="right" w:leader="dot" w:pos="9241"/>
            </w:tabs>
            <w:ind w:hanging="503"/>
            <w:rPr>
              <w:b w:val="0"/>
              <w:i w:val="0"/>
              <w:sz w:val="24"/>
            </w:rPr>
          </w:pPr>
          <w:hyperlink w:anchor="_bookmark36" w:history="1">
            <w:r>
              <w:rPr>
                <w:b w:val="0"/>
                <w:i w:val="0"/>
                <w:sz w:val="24"/>
              </w:rPr>
              <w:t>E</w:t>
            </w:r>
            <w:r>
              <w:rPr>
                <w:b w:val="0"/>
                <w:i w:val="0"/>
                <w:sz w:val="19"/>
              </w:rPr>
              <w:t>NERGY</w:t>
            </w:r>
            <w:r>
              <w:rPr>
                <w:b w:val="0"/>
                <w:i w:val="0"/>
                <w:spacing w:val="-1"/>
                <w:sz w:val="19"/>
              </w:rPr>
              <w:t xml:space="preserve"> </w:t>
            </w:r>
            <w:r>
              <w:rPr>
                <w:b w:val="0"/>
                <w:i w:val="0"/>
                <w:sz w:val="24"/>
              </w:rPr>
              <w:t>S</w:t>
            </w:r>
            <w:r>
              <w:rPr>
                <w:b w:val="0"/>
                <w:i w:val="0"/>
                <w:sz w:val="19"/>
              </w:rPr>
              <w:t>ALES</w:t>
            </w:r>
            <w:r>
              <w:rPr>
                <w:b w:val="0"/>
                <w:i w:val="0"/>
                <w:sz w:val="19"/>
              </w:rPr>
              <w:tab/>
            </w:r>
            <w:r>
              <w:rPr>
                <w:b w:val="0"/>
                <w:i w:val="0"/>
                <w:sz w:val="24"/>
              </w:rPr>
              <w:t>74</w:t>
            </w:r>
          </w:hyperlink>
        </w:p>
        <w:p w:rsidR="007C5447" w:rsidRDefault="00F6308C">
          <w:pPr>
            <w:pStyle w:val="TOC2"/>
            <w:numPr>
              <w:ilvl w:val="1"/>
              <w:numId w:val="115"/>
            </w:numPr>
            <w:tabs>
              <w:tab w:val="left" w:pos="721"/>
              <w:tab w:val="left" w:pos="723"/>
              <w:tab w:val="right" w:leader="dot" w:pos="9241"/>
            </w:tabs>
            <w:spacing w:before="140"/>
            <w:ind w:hanging="503"/>
            <w:rPr>
              <w:sz w:val="24"/>
            </w:rPr>
          </w:pPr>
          <w:hyperlink w:anchor="_bookmark37" w:history="1">
            <w:r>
              <w:rPr>
                <w:sz w:val="24"/>
              </w:rPr>
              <w:t>E</w:t>
            </w:r>
            <w:r>
              <w:t>NERGY</w:t>
            </w:r>
            <w:r>
              <w:rPr>
                <w:spacing w:val="-1"/>
              </w:rPr>
              <w:t xml:space="preserve"> </w:t>
            </w:r>
            <w:r>
              <w:rPr>
                <w:sz w:val="24"/>
              </w:rPr>
              <w:t>A</w:t>
            </w:r>
            <w:r>
              <w:t>VAILABILITY</w:t>
            </w:r>
            <w:r>
              <w:tab/>
            </w:r>
            <w:r>
              <w:rPr>
                <w:sz w:val="24"/>
              </w:rPr>
              <w:t>82</w:t>
            </w:r>
          </w:hyperlink>
        </w:p>
        <w:p w:rsidR="007C5447" w:rsidRDefault="00F6308C">
          <w:pPr>
            <w:pStyle w:val="TOC2"/>
            <w:numPr>
              <w:ilvl w:val="1"/>
              <w:numId w:val="115"/>
            </w:numPr>
            <w:tabs>
              <w:tab w:val="left" w:pos="721"/>
              <w:tab w:val="left" w:pos="723"/>
              <w:tab w:val="right" w:leader="dot" w:pos="9241"/>
            </w:tabs>
            <w:spacing w:before="136"/>
            <w:ind w:hanging="503"/>
            <w:rPr>
              <w:sz w:val="24"/>
            </w:rPr>
          </w:pPr>
          <w:hyperlink w:anchor="_bookmark38" w:history="1">
            <w:r>
              <w:rPr>
                <w:sz w:val="24"/>
              </w:rPr>
              <w:t>E</w:t>
            </w:r>
            <w:r>
              <w:t xml:space="preserve">NERGY </w:t>
            </w:r>
            <w:r>
              <w:rPr>
                <w:sz w:val="24"/>
              </w:rPr>
              <w:t>B</w:t>
            </w:r>
            <w:r>
              <w:t>ALANCE AND</w:t>
            </w:r>
            <w:r>
              <w:rPr>
                <w:spacing w:val="-1"/>
              </w:rPr>
              <w:t xml:space="preserve"> </w:t>
            </w:r>
            <w:r>
              <w:rPr>
                <w:sz w:val="24"/>
              </w:rPr>
              <w:t>D</w:t>
            </w:r>
            <w:r>
              <w:t>ISTRIBUTION</w:t>
            </w:r>
            <w:r>
              <w:rPr>
                <w:spacing w:val="3"/>
              </w:rPr>
              <w:t xml:space="preserve"> </w:t>
            </w:r>
            <w:r>
              <w:rPr>
                <w:sz w:val="24"/>
              </w:rPr>
              <w:t>L</w:t>
            </w:r>
            <w:r>
              <w:t>OSSES</w:t>
            </w:r>
            <w:r>
              <w:tab/>
            </w:r>
            <w:r>
              <w:rPr>
                <w:sz w:val="24"/>
              </w:rPr>
              <w:t>85</w:t>
            </w:r>
          </w:hyperlink>
        </w:p>
        <w:p w:rsidR="007C5447" w:rsidRDefault="00F6308C">
          <w:pPr>
            <w:pStyle w:val="TOC3"/>
            <w:numPr>
              <w:ilvl w:val="1"/>
              <w:numId w:val="115"/>
            </w:numPr>
            <w:tabs>
              <w:tab w:val="left" w:pos="721"/>
              <w:tab w:val="left" w:pos="723"/>
              <w:tab w:val="right" w:leader="dot" w:pos="9241"/>
            </w:tabs>
            <w:spacing w:before="140"/>
            <w:ind w:hanging="503"/>
            <w:rPr>
              <w:b w:val="0"/>
              <w:i w:val="0"/>
              <w:sz w:val="24"/>
            </w:rPr>
          </w:pPr>
          <w:hyperlink w:anchor="_bookmark39" w:history="1">
            <w:r>
              <w:rPr>
                <w:b w:val="0"/>
                <w:i w:val="0"/>
                <w:sz w:val="24"/>
              </w:rPr>
              <w:t>F</w:t>
            </w:r>
            <w:r>
              <w:rPr>
                <w:b w:val="0"/>
                <w:i w:val="0"/>
                <w:sz w:val="19"/>
              </w:rPr>
              <w:t>IXED</w:t>
            </w:r>
            <w:r>
              <w:rPr>
                <w:b w:val="0"/>
                <w:i w:val="0"/>
                <w:spacing w:val="-1"/>
                <w:sz w:val="19"/>
              </w:rPr>
              <w:t xml:space="preserve"> </w:t>
            </w:r>
            <w:r>
              <w:rPr>
                <w:b w:val="0"/>
                <w:i w:val="0"/>
                <w:sz w:val="24"/>
              </w:rPr>
              <w:t>E</w:t>
            </w:r>
            <w:r>
              <w:rPr>
                <w:b w:val="0"/>
                <w:i w:val="0"/>
                <w:sz w:val="19"/>
              </w:rPr>
              <w:t>XPENSES</w:t>
            </w:r>
            <w:r>
              <w:rPr>
                <w:b w:val="0"/>
                <w:i w:val="0"/>
                <w:sz w:val="19"/>
              </w:rPr>
              <w:tab/>
            </w:r>
            <w:r>
              <w:rPr>
                <w:b w:val="0"/>
                <w:i w:val="0"/>
                <w:sz w:val="24"/>
              </w:rPr>
              <w:t>90</w:t>
            </w:r>
          </w:hyperlink>
        </w:p>
        <w:p w:rsidR="007C5447" w:rsidRDefault="00F6308C">
          <w:pPr>
            <w:pStyle w:val="TOC2"/>
            <w:numPr>
              <w:ilvl w:val="1"/>
              <w:numId w:val="115"/>
            </w:numPr>
            <w:tabs>
              <w:tab w:val="left" w:pos="721"/>
              <w:tab w:val="left" w:pos="723"/>
              <w:tab w:val="right" w:leader="dot" w:pos="9241"/>
            </w:tabs>
            <w:spacing w:before="137"/>
            <w:ind w:hanging="503"/>
            <w:rPr>
              <w:sz w:val="24"/>
            </w:rPr>
          </w:pPr>
          <w:hyperlink w:anchor="_bookmark40" w:history="1">
            <w:r>
              <w:rPr>
                <w:sz w:val="24"/>
              </w:rPr>
              <w:t>O</w:t>
            </w:r>
            <w:r>
              <w:t xml:space="preserve">PERATION </w:t>
            </w:r>
            <w:r>
              <w:rPr>
                <w:sz w:val="24"/>
              </w:rPr>
              <w:t>&amp;</w:t>
            </w:r>
            <w:r>
              <w:rPr>
                <w:spacing w:val="-15"/>
                <w:sz w:val="24"/>
              </w:rPr>
              <w:t xml:space="preserve"> </w:t>
            </w:r>
            <w:r>
              <w:rPr>
                <w:sz w:val="24"/>
              </w:rPr>
              <w:t>M</w:t>
            </w:r>
            <w:r>
              <w:t>AINTENANCE</w:t>
            </w:r>
            <w:r>
              <w:rPr>
                <w:spacing w:val="1"/>
              </w:rPr>
              <w:t xml:space="preserve"> </w:t>
            </w:r>
            <w:r>
              <w:rPr>
                <w:sz w:val="24"/>
              </w:rPr>
              <w:t>E</w:t>
            </w:r>
            <w:r>
              <w:t>XPENSES</w:t>
            </w:r>
            <w:r>
              <w:tab/>
            </w:r>
            <w:r>
              <w:rPr>
                <w:sz w:val="24"/>
              </w:rPr>
              <w:t>90</w:t>
            </w:r>
          </w:hyperlink>
        </w:p>
        <w:p w:rsidR="007C5447" w:rsidRDefault="00F6308C">
          <w:pPr>
            <w:pStyle w:val="TOC2"/>
            <w:numPr>
              <w:ilvl w:val="1"/>
              <w:numId w:val="115"/>
            </w:numPr>
            <w:tabs>
              <w:tab w:val="left" w:pos="721"/>
              <w:tab w:val="left" w:pos="723"/>
              <w:tab w:val="right" w:leader="dot" w:pos="9241"/>
            </w:tabs>
            <w:ind w:hanging="503"/>
            <w:rPr>
              <w:sz w:val="24"/>
            </w:rPr>
          </w:pPr>
          <w:hyperlink w:anchor="_bookmark41" w:history="1">
            <w:r>
              <w:rPr>
                <w:sz w:val="24"/>
              </w:rPr>
              <w:t>C</w:t>
            </w:r>
            <w:r>
              <w:t xml:space="preserve">APITAL </w:t>
            </w:r>
            <w:r>
              <w:rPr>
                <w:sz w:val="24"/>
              </w:rPr>
              <w:t>E</w:t>
            </w:r>
            <w:r>
              <w:t>XPENDITURE</w:t>
            </w:r>
            <w:r>
              <w:rPr>
                <w:spacing w:val="-5"/>
              </w:rPr>
              <w:t xml:space="preserve"> </w:t>
            </w:r>
            <w:r>
              <w:t>AND</w:t>
            </w:r>
            <w:r>
              <w:rPr>
                <w:spacing w:val="1"/>
              </w:rPr>
              <w:t xml:space="preserve"> </w:t>
            </w:r>
            <w:r>
              <w:rPr>
                <w:sz w:val="24"/>
              </w:rPr>
              <w:t>C</w:t>
            </w:r>
            <w:r>
              <w:t>APITALIZATION</w:t>
            </w:r>
            <w:r>
              <w:tab/>
            </w:r>
            <w:r>
              <w:rPr>
                <w:sz w:val="24"/>
              </w:rPr>
              <w:t>97</w:t>
            </w:r>
          </w:hyperlink>
        </w:p>
        <w:p w:rsidR="007C5447" w:rsidRDefault="00F6308C">
          <w:pPr>
            <w:pStyle w:val="TOC2"/>
            <w:numPr>
              <w:ilvl w:val="1"/>
              <w:numId w:val="115"/>
            </w:numPr>
            <w:tabs>
              <w:tab w:val="left" w:pos="721"/>
              <w:tab w:val="left" w:pos="723"/>
              <w:tab w:val="right" w:leader="dot" w:pos="9241"/>
            </w:tabs>
            <w:spacing w:before="137"/>
            <w:ind w:hanging="503"/>
            <w:rPr>
              <w:sz w:val="24"/>
            </w:rPr>
          </w:pPr>
          <w:hyperlink w:anchor="_bookmark42" w:history="1">
            <w:r>
              <w:rPr>
                <w:sz w:val="24"/>
              </w:rPr>
              <w:t>D</w:t>
            </w:r>
            <w:r>
              <w:t>EPRECIATION</w:t>
            </w:r>
            <w:r>
              <w:tab/>
            </w:r>
            <w:r>
              <w:rPr>
                <w:sz w:val="24"/>
              </w:rPr>
              <w:t>99</w:t>
            </w:r>
          </w:hyperlink>
        </w:p>
        <w:p w:rsidR="007C5447" w:rsidRDefault="00F6308C">
          <w:pPr>
            <w:pStyle w:val="TOC2"/>
            <w:numPr>
              <w:ilvl w:val="1"/>
              <w:numId w:val="115"/>
            </w:numPr>
            <w:tabs>
              <w:tab w:val="left" w:pos="721"/>
              <w:tab w:val="left" w:pos="723"/>
              <w:tab w:val="right" w:leader="dot" w:pos="9241"/>
            </w:tabs>
            <w:ind w:hanging="503"/>
            <w:rPr>
              <w:sz w:val="24"/>
            </w:rPr>
          </w:pPr>
          <w:hyperlink w:anchor="_bookmark43" w:history="1">
            <w:r>
              <w:rPr>
                <w:sz w:val="24"/>
              </w:rPr>
              <w:t>I</w:t>
            </w:r>
            <w:r>
              <w:t xml:space="preserve">NTEREST ON </w:t>
            </w:r>
            <w:r>
              <w:rPr>
                <w:sz w:val="24"/>
              </w:rPr>
              <w:t>L</w:t>
            </w:r>
            <w:r>
              <w:t xml:space="preserve">OAN AND </w:t>
            </w:r>
            <w:r>
              <w:rPr>
                <w:sz w:val="24"/>
              </w:rPr>
              <w:t>O</w:t>
            </w:r>
            <w:r>
              <w:t>THER</w:t>
            </w:r>
            <w:r>
              <w:rPr>
                <w:spacing w:val="1"/>
              </w:rPr>
              <w:t xml:space="preserve"> </w:t>
            </w:r>
            <w:r>
              <w:rPr>
                <w:sz w:val="24"/>
              </w:rPr>
              <w:t>F</w:t>
            </w:r>
            <w:r>
              <w:t xml:space="preserve">INANCING </w:t>
            </w:r>
            <w:r>
              <w:rPr>
                <w:sz w:val="24"/>
              </w:rPr>
              <w:t>C</w:t>
            </w:r>
            <w:r>
              <w:t>HARGES</w:t>
            </w:r>
            <w:r>
              <w:tab/>
            </w:r>
            <w:r>
              <w:rPr>
                <w:sz w:val="24"/>
              </w:rPr>
              <w:t>104</w:t>
            </w:r>
          </w:hyperlink>
        </w:p>
        <w:p w:rsidR="007C5447" w:rsidRDefault="00F6308C">
          <w:pPr>
            <w:pStyle w:val="TOC3"/>
            <w:numPr>
              <w:ilvl w:val="1"/>
              <w:numId w:val="115"/>
            </w:numPr>
            <w:tabs>
              <w:tab w:val="left" w:pos="833"/>
              <w:tab w:val="right" w:leader="dot" w:pos="9241"/>
            </w:tabs>
            <w:ind w:left="832" w:hanging="613"/>
            <w:rPr>
              <w:b w:val="0"/>
              <w:i w:val="0"/>
              <w:sz w:val="24"/>
            </w:rPr>
          </w:pPr>
          <w:hyperlink w:anchor="_bookmark44" w:history="1">
            <w:r>
              <w:rPr>
                <w:b w:val="0"/>
                <w:i w:val="0"/>
                <w:sz w:val="24"/>
              </w:rPr>
              <w:t>R</w:t>
            </w:r>
            <w:r>
              <w:rPr>
                <w:b w:val="0"/>
                <w:i w:val="0"/>
                <w:sz w:val="19"/>
              </w:rPr>
              <w:t>ETURN</w:t>
            </w:r>
            <w:r>
              <w:rPr>
                <w:b w:val="0"/>
                <w:i w:val="0"/>
                <w:spacing w:val="-2"/>
                <w:sz w:val="19"/>
              </w:rPr>
              <w:t xml:space="preserve"> </w:t>
            </w:r>
            <w:r>
              <w:rPr>
                <w:b w:val="0"/>
                <w:i w:val="0"/>
                <w:sz w:val="19"/>
              </w:rPr>
              <w:t xml:space="preserve">ON </w:t>
            </w:r>
            <w:r>
              <w:rPr>
                <w:b w:val="0"/>
                <w:i w:val="0"/>
                <w:sz w:val="24"/>
              </w:rPr>
              <w:t>E</w:t>
            </w:r>
            <w:r>
              <w:rPr>
                <w:b w:val="0"/>
                <w:i w:val="0"/>
                <w:sz w:val="19"/>
              </w:rPr>
              <w:t>QUITY</w:t>
            </w:r>
            <w:r>
              <w:rPr>
                <w:b w:val="0"/>
                <w:i w:val="0"/>
                <w:sz w:val="19"/>
              </w:rPr>
              <w:tab/>
            </w:r>
            <w:r>
              <w:rPr>
                <w:b w:val="0"/>
                <w:i w:val="0"/>
                <w:sz w:val="24"/>
              </w:rPr>
              <w:t>109</w:t>
            </w:r>
          </w:hyperlink>
        </w:p>
        <w:p w:rsidR="007C5447" w:rsidRDefault="00F6308C">
          <w:pPr>
            <w:pStyle w:val="TOC3"/>
            <w:numPr>
              <w:ilvl w:val="1"/>
              <w:numId w:val="115"/>
            </w:numPr>
            <w:tabs>
              <w:tab w:val="left" w:pos="833"/>
              <w:tab w:val="right" w:leader="dot" w:pos="9241"/>
            </w:tabs>
            <w:spacing w:before="139"/>
            <w:ind w:left="832" w:hanging="613"/>
            <w:rPr>
              <w:b w:val="0"/>
              <w:i w:val="0"/>
              <w:sz w:val="24"/>
            </w:rPr>
          </w:pPr>
          <w:hyperlink w:anchor="_bookmark45" w:history="1">
            <w:r>
              <w:rPr>
                <w:b w:val="0"/>
                <w:i w:val="0"/>
                <w:sz w:val="24"/>
              </w:rPr>
              <w:t>I</w:t>
            </w:r>
            <w:r>
              <w:rPr>
                <w:b w:val="0"/>
                <w:i w:val="0"/>
                <w:sz w:val="19"/>
              </w:rPr>
              <w:t xml:space="preserve">NTEREST ON </w:t>
            </w:r>
            <w:r>
              <w:rPr>
                <w:b w:val="0"/>
                <w:i w:val="0"/>
                <w:sz w:val="24"/>
              </w:rPr>
              <w:t>W</w:t>
            </w:r>
            <w:r>
              <w:rPr>
                <w:b w:val="0"/>
                <w:i w:val="0"/>
                <w:sz w:val="19"/>
              </w:rPr>
              <w:t>ORKING</w:t>
            </w:r>
            <w:r>
              <w:rPr>
                <w:b w:val="0"/>
                <w:i w:val="0"/>
                <w:spacing w:val="-1"/>
                <w:sz w:val="19"/>
              </w:rPr>
              <w:t xml:space="preserve"> </w:t>
            </w:r>
            <w:r>
              <w:rPr>
                <w:b w:val="0"/>
                <w:i w:val="0"/>
                <w:sz w:val="24"/>
              </w:rPr>
              <w:t>C</w:t>
            </w:r>
            <w:r>
              <w:rPr>
                <w:b w:val="0"/>
                <w:i w:val="0"/>
                <w:sz w:val="19"/>
              </w:rPr>
              <w:t xml:space="preserve">APITAL </w:t>
            </w:r>
            <w:r>
              <w:rPr>
                <w:b w:val="0"/>
                <w:i w:val="0"/>
                <w:sz w:val="24"/>
              </w:rPr>
              <w:t>(I</w:t>
            </w:r>
            <w:r>
              <w:rPr>
                <w:b w:val="0"/>
                <w:i w:val="0"/>
                <w:sz w:val="19"/>
              </w:rPr>
              <w:t>O</w:t>
            </w:r>
            <w:r>
              <w:rPr>
                <w:b w:val="0"/>
                <w:i w:val="0"/>
                <w:sz w:val="24"/>
              </w:rPr>
              <w:t>WC)</w:t>
            </w:r>
            <w:r>
              <w:rPr>
                <w:b w:val="0"/>
                <w:i w:val="0"/>
                <w:sz w:val="24"/>
              </w:rPr>
              <w:tab/>
              <w:t>112</w:t>
            </w:r>
          </w:hyperlink>
        </w:p>
        <w:p w:rsidR="007C5447" w:rsidRDefault="00F6308C">
          <w:pPr>
            <w:pStyle w:val="TOC3"/>
            <w:numPr>
              <w:ilvl w:val="1"/>
              <w:numId w:val="115"/>
            </w:numPr>
            <w:tabs>
              <w:tab w:val="left" w:pos="833"/>
              <w:tab w:val="right" w:leader="dot" w:pos="9241"/>
            </w:tabs>
            <w:ind w:left="832" w:hanging="613"/>
            <w:rPr>
              <w:b w:val="0"/>
              <w:i w:val="0"/>
              <w:sz w:val="24"/>
            </w:rPr>
          </w:pPr>
          <w:hyperlink w:anchor="_bookmark46" w:history="1">
            <w:r>
              <w:rPr>
                <w:b w:val="0"/>
                <w:i w:val="0"/>
                <w:sz w:val="24"/>
              </w:rPr>
              <w:t>O</w:t>
            </w:r>
            <w:r>
              <w:rPr>
                <w:b w:val="0"/>
                <w:i w:val="0"/>
                <w:sz w:val="19"/>
              </w:rPr>
              <w:t xml:space="preserve">THER </w:t>
            </w:r>
            <w:r>
              <w:rPr>
                <w:b w:val="0"/>
                <w:i w:val="0"/>
                <w:sz w:val="24"/>
              </w:rPr>
              <w:t>D</w:t>
            </w:r>
            <w:r>
              <w:rPr>
                <w:b w:val="0"/>
                <w:i w:val="0"/>
                <w:sz w:val="19"/>
              </w:rPr>
              <w:t>EBITS</w:t>
            </w:r>
            <w:r>
              <w:rPr>
                <w:b w:val="0"/>
                <w:i w:val="0"/>
                <w:sz w:val="19"/>
              </w:rPr>
              <w:tab/>
            </w:r>
            <w:r>
              <w:rPr>
                <w:b w:val="0"/>
                <w:i w:val="0"/>
                <w:sz w:val="24"/>
              </w:rPr>
              <w:t>117</w:t>
            </w:r>
          </w:hyperlink>
        </w:p>
        <w:p w:rsidR="007C5447" w:rsidRDefault="00F6308C">
          <w:pPr>
            <w:pStyle w:val="TOC2"/>
            <w:numPr>
              <w:ilvl w:val="1"/>
              <w:numId w:val="115"/>
            </w:numPr>
            <w:tabs>
              <w:tab w:val="left" w:pos="833"/>
              <w:tab w:val="right" w:leader="dot" w:pos="9241"/>
            </w:tabs>
            <w:spacing w:before="140"/>
            <w:ind w:left="832" w:hanging="613"/>
            <w:rPr>
              <w:sz w:val="24"/>
            </w:rPr>
          </w:pPr>
          <w:hyperlink w:anchor="_bookmark47" w:history="1">
            <w:r>
              <w:rPr>
                <w:sz w:val="24"/>
              </w:rPr>
              <w:t>O</w:t>
            </w:r>
            <w:r>
              <w:t xml:space="preserve">PERATING </w:t>
            </w:r>
            <w:r>
              <w:rPr>
                <w:sz w:val="24"/>
              </w:rPr>
              <w:t>C</w:t>
            </w:r>
            <w:r>
              <w:t xml:space="preserve">HARGES AND </w:t>
            </w:r>
            <w:r>
              <w:rPr>
                <w:sz w:val="24"/>
              </w:rPr>
              <w:t>E</w:t>
            </w:r>
            <w:r>
              <w:t>XTRA</w:t>
            </w:r>
            <w:r>
              <w:rPr>
                <w:sz w:val="24"/>
              </w:rPr>
              <w:t>-O</w:t>
            </w:r>
            <w:r>
              <w:t>RDINARY</w:t>
            </w:r>
            <w:r>
              <w:rPr>
                <w:spacing w:val="4"/>
              </w:rPr>
              <w:t xml:space="preserve"> </w:t>
            </w:r>
            <w:r>
              <w:rPr>
                <w:sz w:val="24"/>
              </w:rPr>
              <w:t>I</w:t>
            </w:r>
            <w:r>
              <w:t>TEMS</w:t>
            </w:r>
            <w:r>
              <w:tab/>
            </w:r>
            <w:r>
              <w:rPr>
                <w:sz w:val="24"/>
              </w:rPr>
              <w:t>118</w:t>
            </w:r>
          </w:hyperlink>
        </w:p>
        <w:p w:rsidR="007C5447" w:rsidRDefault="00F6308C">
          <w:pPr>
            <w:pStyle w:val="TOC3"/>
            <w:numPr>
              <w:ilvl w:val="1"/>
              <w:numId w:val="115"/>
            </w:numPr>
            <w:tabs>
              <w:tab w:val="left" w:pos="833"/>
              <w:tab w:val="right" w:leader="dot" w:pos="9241"/>
            </w:tabs>
            <w:ind w:left="832" w:hanging="613"/>
            <w:rPr>
              <w:b w:val="0"/>
              <w:i w:val="0"/>
              <w:sz w:val="24"/>
            </w:rPr>
          </w:pPr>
          <w:hyperlink w:anchor="_bookmark48" w:history="1">
            <w:r>
              <w:rPr>
                <w:b w:val="0"/>
                <w:i w:val="0"/>
                <w:sz w:val="24"/>
              </w:rPr>
              <w:t>P</w:t>
            </w:r>
            <w:r>
              <w:rPr>
                <w:b w:val="0"/>
                <w:i w:val="0"/>
                <w:sz w:val="19"/>
              </w:rPr>
              <w:t xml:space="preserve">RIOR </w:t>
            </w:r>
            <w:r>
              <w:rPr>
                <w:b w:val="0"/>
                <w:i w:val="0"/>
                <w:sz w:val="24"/>
              </w:rPr>
              <w:t>P</w:t>
            </w:r>
            <w:r>
              <w:rPr>
                <w:b w:val="0"/>
                <w:i w:val="0"/>
                <w:sz w:val="19"/>
              </w:rPr>
              <w:t>ERIOD</w:t>
            </w:r>
            <w:r>
              <w:rPr>
                <w:b w:val="0"/>
                <w:i w:val="0"/>
                <w:spacing w:val="2"/>
                <w:sz w:val="19"/>
              </w:rPr>
              <w:t xml:space="preserve"> </w:t>
            </w:r>
            <w:r>
              <w:rPr>
                <w:b w:val="0"/>
                <w:i w:val="0"/>
                <w:sz w:val="24"/>
              </w:rPr>
              <w:t>I</w:t>
            </w:r>
            <w:r>
              <w:rPr>
                <w:b w:val="0"/>
                <w:i w:val="0"/>
                <w:sz w:val="19"/>
              </w:rPr>
              <w:t>TEMS</w:t>
            </w:r>
            <w:r>
              <w:rPr>
                <w:b w:val="0"/>
                <w:i w:val="0"/>
                <w:sz w:val="19"/>
              </w:rPr>
              <w:tab/>
            </w:r>
            <w:r>
              <w:rPr>
                <w:b w:val="0"/>
                <w:i w:val="0"/>
                <w:sz w:val="24"/>
              </w:rPr>
              <w:t>119</w:t>
            </w:r>
          </w:hyperlink>
        </w:p>
        <w:p w:rsidR="007C5447" w:rsidRDefault="00F6308C">
          <w:pPr>
            <w:pStyle w:val="TOC3"/>
            <w:numPr>
              <w:ilvl w:val="1"/>
              <w:numId w:val="115"/>
            </w:numPr>
            <w:tabs>
              <w:tab w:val="left" w:pos="833"/>
              <w:tab w:val="right" w:leader="dot" w:pos="9241"/>
            </w:tabs>
            <w:spacing w:before="139"/>
            <w:ind w:left="832" w:hanging="613"/>
            <w:rPr>
              <w:b w:val="0"/>
              <w:i w:val="0"/>
              <w:sz w:val="24"/>
            </w:rPr>
          </w:pPr>
          <w:hyperlink w:anchor="_bookmark49" w:history="1">
            <w:r>
              <w:rPr>
                <w:b w:val="0"/>
                <w:i w:val="0"/>
                <w:sz w:val="24"/>
              </w:rPr>
              <w:t>O</w:t>
            </w:r>
            <w:r>
              <w:rPr>
                <w:b w:val="0"/>
                <w:i w:val="0"/>
                <w:sz w:val="19"/>
              </w:rPr>
              <w:t xml:space="preserve">THER </w:t>
            </w:r>
            <w:r>
              <w:rPr>
                <w:b w:val="0"/>
                <w:i w:val="0"/>
                <w:sz w:val="24"/>
              </w:rPr>
              <w:t>I</w:t>
            </w:r>
            <w:r>
              <w:rPr>
                <w:b w:val="0"/>
                <w:i w:val="0"/>
                <w:sz w:val="19"/>
              </w:rPr>
              <w:t>NCOME AND</w:t>
            </w:r>
            <w:r>
              <w:rPr>
                <w:b w:val="0"/>
                <w:i w:val="0"/>
                <w:spacing w:val="2"/>
                <w:sz w:val="19"/>
              </w:rPr>
              <w:t xml:space="preserve"> </w:t>
            </w:r>
            <w:r>
              <w:rPr>
                <w:b w:val="0"/>
                <w:i w:val="0"/>
                <w:sz w:val="24"/>
              </w:rPr>
              <w:t>N</w:t>
            </w:r>
            <w:r>
              <w:rPr>
                <w:b w:val="0"/>
                <w:i w:val="0"/>
                <w:sz w:val="19"/>
              </w:rPr>
              <w:t>ON</w:t>
            </w:r>
            <w:r>
              <w:rPr>
                <w:b w:val="0"/>
                <w:i w:val="0"/>
                <w:sz w:val="24"/>
              </w:rPr>
              <w:t>-T</w:t>
            </w:r>
            <w:r>
              <w:rPr>
                <w:b w:val="0"/>
                <w:i w:val="0"/>
                <w:sz w:val="19"/>
              </w:rPr>
              <w:t>ARIFF</w:t>
            </w:r>
            <w:r>
              <w:rPr>
                <w:b w:val="0"/>
                <w:i w:val="0"/>
                <w:spacing w:val="1"/>
                <w:sz w:val="19"/>
              </w:rPr>
              <w:t xml:space="preserve"> </w:t>
            </w:r>
            <w:r>
              <w:rPr>
                <w:b w:val="0"/>
                <w:i w:val="0"/>
                <w:sz w:val="24"/>
              </w:rPr>
              <w:t>I</w:t>
            </w:r>
            <w:r>
              <w:rPr>
                <w:b w:val="0"/>
                <w:i w:val="0"/>
                <w:sz w:val="19"/>
              </w:rPr>
              <w:t>NCOME</w:t>
            </w:r>
            <w:r>
              <w:rPr>
                <w:b w:val="0"/>
                <w:i w:val="0"/>
                <w:sz w:val="19"/>
              </w:rPr>
              <w:tab/>
            </w:r>
            <w:r>
              <w:rPr>
                <w:b w:val="0"/>
                <w:i w:val="0"/>
                <w:sz w:val="24"/>
              </w:rPr>
              <w:t>122</w:t>
            </w:r>
          </w:hyperlink>
        </w:p>
        <w:p w:rsidR="007C5447" w:rsidRDefault="00F6308C">
          <w:pPr>
            <w:pStyle w:val="TOC3"/>
            <w:numPr>
              <w:ilvl w:val="1"/>
              <w:numId w:val="115"/>
            </w:numPr>
            <w:tabs>
              <w:tab w:val="left" w:pos="833"/>
              <w:tab w:val="right" w:leader="dot" w:pos="9241"/>
            </w:tabs>
            <w:ind w:left="832" w:hanging="613"/>
            <w:rPr>
              <w:b w:val="0"/>
              <w:i w:val="0"/>
              <w:sz w:val="24"/>
            </w:rPr>
          </w:pPr>
          <w:hyperlink w:anchor="_bookmark50" w:history="1">
            <w:r>
              <w:rPr>
                <w:b w:val="0"/>
                <w:i w:val="0"/>
                <w:sz w:val="24"/>
              </w:rPr>
              <w:t>S</w:t>
            </w:r>
            <w:r>
              <w:rPr>
                <w:b w:val="0"/>
                <w:i w:val="0"/>
                <w:sz w:val="19"/>
              </w:rPr>
              <w:t>UMMARY OF</w:t>
            </w:r>
            <w:r>
              <w:rPr>
                <w:b w:val="0"/>
                <w:i w:val="0"/>
                <w:spacing w:val="-4"/>
                <w:sz w:val="19"/>
              </w:rPr>
              <w:t xml:space="preserve"> </w:t>
            </w:r>
            <w:r>
              <w:rPr>
                <w:b w:val="0"/>
                <w:i w:val="0"/>
                <w:sz w:val="24"/>
              </w:rPr>
              <w:t>F</w:t>
            </w:r>
            <w:r>
              <w:rPr>
                <w:b w:val="0"/>
                <w:i w:val="0"/>
                <w:sz w:val="19"/>
              </w:rPr>
              <w:t>IXED</w:t>
            </w:r>
            <w:r>
              <w:rPr>
                <w:b w:val="0"/>
                <w:i w:val="0"/>
                <w:spacing w:val="1"/>
                <w:sz w:val="19"/>
              </w:rPr>
              <w:t xml:space="preserve"> </w:t>
            </w:r>
            <w:r>
              <w:rPr>
                <w:b w:val="0"/>
                <w:i w:val="0"/>
                <w:sz w:val="24"/>
              </w:rPr>
              <w:t>C</w:t>
            </w:r>
            <w:r>
              <w:rPr>
                <w:b w:val="0"/>
                <w:i w:val="0"/>
                <w:sz w:val="19"/>
              </w:rPr>
              <w:t>HARGES</w:t>
            </w:r>
            <w:r>
              <w:rPr>
                <w:b w:val="0"/>
                <w:i w:val="0"/>
                <w:sz w:val="19"/>
              </w:rPr>
              <w:tab/>
            </w:r>
            <w:r>
              <w:rPr>
                <w:b w:val="0"/>
                <w:i w:val="0"/>
                <w:sz w:val="24"/>
              </w:rPr>
              <w:t>123</w:t>
            </w:r>
          </w:hyperlink>
        </w:p>
        <w:p w:rsidR="007C5447" w:rsidRDefault="00F6308C">
          <w:pPr>
            <w:pStyle w:val="TOC2"/>
            <w:numPr>
              <w:ilvl w:val="1"/>
              <w:numId w:val="115"/>
            </w:numPr>
            <w:tabs>
              <w:tab w:val="left" w:pos="833"/>
              <w:tab w:val="right" w:leader="dot" w:pos="9241"/>
            </w:tabs>
            <w:ind w:left="832" w:hanging="613"/>
            <w:rPr>
              <w:sz w:val="24"/>
            </w:rPr>
          </w:pPr>
          <w:hyperlink w:anchor="_bookmark51" w:history="1">
            <w:r>
              <w:rPr>
                <w:sz w:val="24"/>
              </w:rPr>
              <w:t>V</w:t>
            </w:r>
            <w:r>
              <w:t>ARIABLE COST FOR OWN</w:t>
            </w:r>
            <w:r>
              <w:rPr>
                <w:spacing w:val="1"/>
              </w:rPr>
              <w:t xml:space="preserve"> </w:t>
            </w:r>
            <w:r>
              <w:t>GENERATING</w:t>
            </w:r>
            <w:r>
              <w:rPr>
                <w:spacing w:val="-1"/>
              </w:rPr>
              <w:t xml:space="preserve"> </w:t>
            </w:r>
            <w:r>
              <w:t>STATIONS</w:t>
            </w:r>
            <w:r>
              <w:tab/>
            </w:r>
            <w:r>
              <w:rPr>
                <w:sz w:val="24"/>
              </w:rPr>
              <w:t>139</w:t>
            </w:r>
          </w:hyperlink>
        </w:p>
        <w:p w:rsidR="007C5447" w:rsidRDefault="00F6308C">
          <w:pPr>
            <w:pStyle w:val="TOC3"/>
            <w:numPr>
              <w:ilvl w:val="1"/>
              <w:numId w:val="115"/>
            </w:numPr>
            <w:tabs>
              <w:tab w:val="left" w:pos="833"/>
              <w:tab w:val="right" w:leader="dot" w:pos="9241"/>
            </w:tabs>
            <w:ind w:left="832" w:hanging="613"/>
            <w:rPr>
              <w:b w:val="0"/>
              <w:i w:val="0"/>
              <w:sz w:val="24"/>
            </w:rPr>
          </w:pPr>
          <w:hyperlink w:anchor="_bookmark52" w:history="1">
            <w:r>
              <w:rPr>
                <w:b w:val="0"/>
                <w:i w:val="0"/>
                <w:sz w:val="24"/>
              </w:rPr>
              <w:t>P</w:t>
            </w:r>
            <w:r>
              <w:rPr>
                <w:b w:val="0"/>
                <w:i w:val="0"/>
                <w:sz w:val="19"/>
              </w:rPr>
              <w:t xml:space="preserve">OWER </w:t>
            </w:r>
            <w:r>
              <w:rPr>
                <w:b w:val="0"/>
                <w:i w:val="0"/>
                <w:sz w:val="24"/>
              </w:rPr>
              <w:t>P</w:t>
            </w:r>
            <w:r>
              <w:rPr>
                <w:b w:val="0"/>
                <w:i w:val="0"/>
                <w:sz w:val="19"/>
              </w:rPr>
              <w:t xml:space="preserve">URCHASE FROM OTHER SOURCES FOR </w:t>
            </w:r>
            <w:r>
              <w:rPr>
                <w:b w:val="0"/>
                <w:i w:val="0"/>
                <w:sz w:val="24"/>
              </w:rPr>
              <w:t>FY 2011-12</w:t>
            </w:r>
            <w:r>
              <w:rPr>
                <w:b w:val="0"/>
                <w:i w:val="0"/>
                <w:spacing w:val="-22"/>
                <w:sz w:val="24"/>
              </w:rPr>
              <w:t xml:space="preserve"> </w:t>
            </w:r>
            <w:r>
              <w:rPr>
                <w:b w:val="0"/>
                <w:i w:val="0"/>
                <w:sz w:val="19"/>
              </w:rPr>
              <w:t xml:space="preserve">TO </w:t>
            </w:r>
            <w:r>
              <w:rPr>
                <w:b w:val="0"/>
                <w:i w:val="0"/>
                <w:sz w:val="24"/>
              </w:rPr>
              <w:t>2015-16</w:t>
            </w:r>
            <w:r>
              <w:rPr>
                <w:b w:val="0"/>
                <w:i w:val="0"/>
                <w:sz w:val="24"/>
              </w:rPr>
              <w:tab/>
              <w:t>156</w:t>
            </w:r>
          </w:hyperlink>
        </w:p>
        <w:p w:rsidR="007C5447" w:rsidRDefault="00F6308C">
          <w:pPr>
            <w:pStyle w:val="TOC3"/>
            <w:numPr>
              <w:ilvl w:val="1"/>
              <w:numId w:val="115"/>
            </w:numPr>
            <w:tabs>
              <w:tab w:val="left" w:pos="833"/>
              <w:tab w:val="right" w:leader="dot" w:pos="9241"/>
            </w:tabs>
            <w:spacing w:before="139"/>
            <w:ind w:left="832" w:hanging="613"/>
            <w:rPr>
              <w:b w:val="0"/>
              <w:i w:val="0"/>
              <w:sz w:val="24"/>
            </w:rPr>
          </w:pPr>
          <w:hyperlink w:anchor="_bookmark53" w:history="1">
            <w:r>
              <w:rPr>
                <w:b w:val="0"/>
                <w:i w:val="0"/>
                <w:sz w:val="24"/>
              </w:rPr>
              <w:t>S</w:t>
            </w:r>
            <w:r>
              <w:rPr>
                <w:b w:val="0"/>
                <w:i w:val="0"/>
                <w:sz w:val="19"/>
              </w:rPr>
              <w:t xml:space="preserve">UMMARY OF </w:t>
            </w:r>
            <w:r>
              <w:rPr>
                <w:b w:val="0"/>
                <w:i w:val="0"/>
                <w:sz w:val="24"/>
              </w:rPr>
              <w:t xml:space="preserve">ARR </w:t>
            </w:r>
            <w:r>
              <w:rPr>
                <w:b w:val="0"/>
                <w:i w:val="0"/>
                <w:sz w:val="19"/>
              </w:rPr>
              <w:t xml:space="preserve">FOR </w:t>
            </w:r>
            <w:r>
              <w:rPr>
                <w:b w:val="0"/>
                <w:i w:val="0"/>
                <w:sz w:val="24"/>
              </w:rPr>
              <w:t>FY 2011-12</w:t>
            </w:r>
            <w:r>
              <w:rPr>
                <w:b w:val="0"/>
                <w:i w:val="0"/>
                <w:spacing w:val="-37"/>
                <w:sz w:val="24"/>
              </w:rPr>
              <w:t xml:space="preserve"> </w:t>
            </w:r>
            <w:r>
              <w:rPr>
                <w:b w:val="0"/>
                <w:i w:val="0"/>
                <w:sz w:val="19"/>
              </w:rPr>
              <w:t xml:space="preserve">TO </w:t>
            </w:r>
            <w:r>
              <w:rPr>
                <w:b w:val="0"/>
                <w:i w:val="0"/>
                <w:sz w:val="24"/>
              </w:rPr>
              <w:t>FY</w:t>
            </w:r>
            <w:r>
              <w:rPr>
                <w:b w:val="0"/>
                <w:i w:val="0"/>
                <w:spacing w:val="-14"/>
                <w:sz w:val="24"/>
              </w:rPr>
              <w:t xml:space="preserve"> </w:t>
            </w:r>
            <w:r>
              <w:rPr>
                <w:b w:val="0"/>
                <w:i w:val="0"/>
                <w:sz w:val="24"/>
              </w:rPr>
              <w:t>2015-16</w:t>
            </w:r>
            <w:r>
              <w:rPr>
                <w:b w:val="0"/>
                <w:i w:val="0"/>
                <w:sz w:val="24"/>
              </w:rPr>
              <w:tab/>
              <w:t>178</w:t>
            </w:r>
          </w:hyperlink>
        </w:p>
        <w:p w:rsidR="007C5447" w:rsidRDefault="00F6308C">
          <w:pPr>
            <w:pStyle w:val="TOC2"/>
            <w:numPr>
              <w:ilvl w:val="1"/>
              <w:numId w:val="115"/>
            </w:numPr>
            <w:tabs>
              <w:tab w:val="left" w:pos="833"/>
              <w:tab w:val="right" w:leader="dot" w:pos="9241"/>
            </w:tabs>
            <w:spacing w:before="137" w:after="89"/>
            <w:ind w:left="832" w:hanging="613"/>
            <w:rPr>
              <w:sz w:val="24"/>
            </w:rPr>
          </w:pPr>
          <w:hyperlink w:anchor="_bookmark54" w:history="1">
            <w:r>
              <w:rPr>
                <w:sz w:val="24"/>
              </w:rPr>
              <w:t>R</w:t>
            </w:r>
            <w:r>
              <w:t>EVENUE FROM SALE</w:t>
            </w:r>
            <w:r>
              <w:rPr>
                <w:spacing w:val="-2"/>
              </w:rPr>
              <w:t xml:space="preserve"> </w:t>
            </w:r>
            <w:r>
              <w:t>OF</w:t>
            </w:r>
            <w:r>
              <w:rPr>
                <w:spacing w:val="2"/>
              </w:rPr>
              <w:t xml:space="preserve"> </w:t>
            </w:r>
            <w:r>
              <w:t>POWER</w:t>
            </w:r>
            <w:r>
              <w:tab/>
            </w:r>
            <w:r>
              <w:rPr>
                <w:sz w:val="24"/>
              </w:rPr>
              <w:t>181</w:t>
            </w:r>
          </w:hyperlink>
        </w:p>
        <w:p w:rsidR="007C5447" w:rsidRDefault="00F6308C">
          <w:pPr>
            <w:pStyle w:val="TOC3"/>
            <w:numPr>
              <w:ilvl w:val="1"/>
              <w:numId w:val="115"/>
            </w:numPr>
            <w:tabs>
              <w:tab w:val="left" w:pos="833"/>
              <w:tab w:val="left" w:leader="dot" w:pos="8881"/>
            </w:tabs>
            <w:spacing w:before="70"/>
            <w:ind w:left="832" w:hanging="613"/>
            <w:rPr>
              <w:b w:val="0"/>
              <w:i w:val="0"/>
              <w:sz w:val="24"/>
            </w:rPr>
          </w:pPr>
          <w:hyperlink w:anchor="_bookmark55" w:history="1">
            <w:r>
              <w:rPr>
                <w:b w:val="0"/>
                <w:i w:val="0"/>
                <w:sz w:val="24"/>
              </w:rPr>
              <w:t>R</w:t>
            </w:r>
            <w:r>
              <w:rPr>
                <w:b w:val="0"/>
                <w:i w:val="0"/>
                <w:sz w:val="19"/>
              </w:rPr>
              <w:t xml:space="preserve">EVENUE </w:t>
            </w:r>
            <w:r>
              <w:rPr>
                <w:b w:val="0"/>
                <w:i w:val="0"/>
                <w:sz w:val="24"/>
              </w:rPr>
              <w:t>G</w:t>
            </w:r>
            <w:r>
              <w:rPr>
                <w:b w:val="0"/>
                <w:i w:val="0"/>
                <w:sz w:val="19"/>
              </w:rPr>
              <w:t>AP</w:t>
            </w:r>
            <w:r>
              <w:rPr>
                <w:b w:val="0"/>
                <w:i w:val="0"/>
                <w:sz w:val="24"/>
              </w:rPr>
              <w:t>/(S</w:t>
            </w:r>
            <w:r>
              <w:rPr>
                <w:b w:val="0"/>
                <w:i w:val="0"/>
                <w:sz w:val="19"/>
              </w:rPr>
              <w:t>URPLUS</w:t>
            </w:r>
            <w:r>
              <w:rPr>
                <w:b w:val="0"/>
                <w:i w:val="0"/>
                <w:sz w:val="24"/>
              </w:rPr>
              <w:t xml:space="preserve">) </w:t>
            </w:r>
            <w:r>
              <w:rPr>
                <w:b w:val="0"/>
                <w:i w:val="0"/>
                <w:sz w:val="19"/>
              </w:rPr>
              <w:t xml:space="preserve">FOR </w:t>
            </w:r>
            <w:r>
              <w:rPr>
                <w:b w:val="0"/>
                <w:i w:val="0"/>
                <w:sz w:val="24"/>
              </w:rPr>
              <w:t>FY 2011-12</w:t>
            </w:r>
            <w:r>
              <w:rPr>
                <w:b w:val="0"/>
                <w:i w:val="0"/>
                <w:spacing w:val="-44"/>
                <w:sz w:val="24"/>
              </w:rPr>
              <w:t xml:space="preserve"> </w:t>
            </w:r>
            <w:r>
              <w:rPr>
                <w:b w:val="0"/>
                <w:i w:val="0"/>
                <w:sz w:val="19"/>
              </w:rPr>
              <w:t xml:space="preserve">TO </w:t>
            </w:r>
            <w:r>
              <w:rPr>
                <w:b w:val="0"/>
                <w:i w:val="0"/>
                <w:sz w:val="24"/>
              </w:rPr>
              <w:t>FY</w:t>
            </w:r>
            <w:r>
              <w:rPr>
                <w:b w:val="0"/>
                <w:i w:val="0"/>
                <w:spacing w:val="-13"/>
                <w:sz w:val="24"/>
              </w:rPr>
              <w:t xml:space="preserve"> </w:t>
            </w:r>
            <w:r>
              <w:rPr>
                <w:b w:val="0"/>
                <w:i w:val="0"/>
                <w:sz w:val="24"/>
              </w:rPr>
              <w:t>2015-16</w:t>
            </w:r>
            <w:r>
              <w:rPr>
                <w:b w:val="0"/>
                <w:i w:val="0"/>
                <w:sz w:val="24"/>
              </w:rPr>
              <w:tab/>
              <w:t>186</w:t>
            </w:r>
          </w:hyperlink>
        </w:p>
        <w:p w:rsidR="007C5447" w:rsidRDefault="00F6308C">
          <w:pPr>
            <w:pStyle w:val="TOC4"/>
            <w:numPr>
              <w:ilvl w:val="0"/>
              <w:numId w:val="115"/>
            </w:numPr>
            <w:tabs>
              <w:tab w:val="left" w:pos="551"/>
              <w:tab w:val="left" w:pos="552"/>
              <w:tab w:val="left" w:leader="dot" w:pos="8881"/>
            </w:tabs>
            <w:spacing w:before="496" w:line="360" w:lineRule="auto"/>
            <w:ind w:left="220" w:right="225" w:firstLine="0"/>
            <w:rPr>
              <w:u w:val="none"/>
            </w:rPr>
          </w:pPr>
          <w:hyperlink w:anchor="_bookmark56" w:history="1">
            <w:r>
              <w:t>AGGREGATE REVENUE REQUIREMENT FOR FY 2016-17, FY 2017-18 AND FY</w:t>
            </w:r>
          </w:hyperlink>
          <w:hyperlink w:anchor="_bookmark56" w:history="1">
            <w:r>
              <w:t xml:space="preserve"> 2018-19</w:t>
            </w:r>
            <w:r>
              <w:rPr>
                <w:u w:val="none"/>
              </w:rPr>
              <w:tab/>
            </w:r>
            <w:r>
              <w:rPr>
                <w:spacing w:val="-6"/>
              </w:rPr>
              <w:t>187</w:t>
            </w:r>
          </w:hyperlink>
        </w:p>
        <w:p w:rsidR="007C5447" w:rsidRDefault="00F6308C">
          <w:pPr>
            <w:pStyle w:val="TOC3"/>
            <w:numPr>
              <w:ilvl w:val="1"/>
              <w:numId w:val="115"/>
            </w:numPr>
            <w:tabs>
              <w:tab w:val="left" w:pos="721"/>
              <w:tab w:val="left" w:pos="723"/>
              <w:tab w:val="left" w:leader="dot" w:pos="8881"/>
            </w:tabs>
            <w:spacing w:before="1"/>
            <w:ind w:hanging="503"/>
            <w:rPr>
              <w:b w:val="0"/>
              <w:i w:val="0"/>
              <w:sz w:val="24"/>
            </w:rPr>
          </w:pPr>
          <w:hyperlink w:anchor="_bookmark57" w:history="1">
            <w:r>
              <w:rPr>
                <w:b w:val="0"/>
                <w:i w:val="0"/>
                <w:sz w:val="24"/>
              </w:rPr>
              <w:t>E</w:t>
            </w:r>
            <w:r>
              <w:rPr>
                <w:b w:val="0"/>
                <w:i w:val="0"/>
                <w:sz w:val="19"/>
              </w:rPr>
              <w:t>NERGY</w:t>
            </w:r>
            <w:r>
              <w:rPr>
                <w:b w:val="0"/>
                <w:i w:val="0"/>
                <w:spacing w:val="-2"/>
                <w:sz w:val="19"/>
              </w:rPr>
              <w:t xml:space="preserve"> </w:t>
            </w:r>
            <w:r>
              <w:rPr>
                <w:b w:val="0"/>
                <w:i w:val="0"/>
                <w:sz w:val="24"/>
              </w:rPr>
              <w:t>S</w:t>
            </w:r>
            <w:r>
              <w:rPr>
                <w:b w:val="0"/>
                <w:i w:val="0"/>
                <w:sz w:val="19"/>
              </w:rPr>
              <w:t>ALES</w:t>
            </w:r>
            <w:r>
              <w:rPr>
                <w:b w:val="0"/>
                <w:i w:val="0"/>
                <w:sz w:val="19"/>
              </w:rPr>
              <w:tab/>
            </w:r>
            <w:r>
              <w:rPr>
                <w:b w:val="0"/>
                <w:i w:val="0"/>
                <w:sz w:val="24"/>
              </w:rPr>
              <w:t>187</w:t>
            </w:r>
          </w:hyperlink>
        </w:p>
        <w:p w:rsidR="007C5447" w:rsidRDefault="00F6308C">
          <w:pPr>
            <w:pStyle w:val="TOC2"/>
            <w:numPr>
              <w:ilvl w:val="1"/>
              <w:numId w:val="115"/>
            </w:numPr>
            <w:tabs>
              <w:tab w:val="left" w:pos="721"/>
              <w:tab w:val="left" w:pos="723"/>
              <w:tab w:val="left" w:leader="dot" w:pos="8881"/>
            </w:tabs>
            <w:ind w:hanging="503"/>
            <w:rPr>
              <w:sz w:val="24"/>
            </w:rPr>
          </w:pPr>
          <w:hyperlink w:anchor="_bookmark58" w:history="1">
            <w:r>
              <w:rPr>
                <w:sz w:val="24"/>
              </w:rPr>
              <w:t>E</w:t>
            </w:r>
            <w:r>
              <w:t xml:space="preserve">NERGY </w:t>
            </w:r>
            <w:r>
              <w:rPr>
                <w:sz w:val="24"/>
              </w:rPr>
              <w:t>B</w:t>
            </w:r>
            <w:r>
              <w:t>ALANCE AND</w:t>
            </w:r>
            <w:r>
              <w:rPr>
                <w:spacing w:val="-8"/>
              </w:rPr>
              <w:t xml:space="preserve"> </w:t>
            </w:r>
            <w:r>
              <w:rPr>
                <w:sz w:val="24"/>
              </w:rPr>
              <w:t>D</w:t>
            </w:r>
            <w:r>
              <w:t xml:space="preserve">ISTRIBUTION </w:t>
            </w:r>
            <w:r>
              <w:rPr>
                <w:sz w:val="24"/>
              </w:rPr>
              <w:t>L</w:t>
            </w:r>
            <w:r>
              <w:t>OSS</w:t>
            </w:r>
            <w:r>
              <w:tab/>
            </w:r>
            <w:r>
              <w:rPr>
                <w:sz w:val="24"/>
              </w:rPr>
              <w:t>190</w:t>
            </w:r>
          </w:hyperlink>
        </w:p>
        <w:p w:rsidR="007C5447" w:rsidRDefault="00F6308C">
          <w:pPr>
            <w:pStyle w:val="TOC3"/>
            <w:numPr>
              <w:ilvl w:val="1"/>
              <w:numId w:val="115"/>
            </w:numPr>
            <w:tabs>
              <w:tab w:val="left" w:pos="721"/>
              <w:tab w:val="left" w:pos="723"/>
              <w:tab w:val="left" w:leader="dot" w:pos="8881"/>
            </w:tabs>
            <w:ind w:hanging="503"/>
            <w:rPr>
              <w:b w:val="0"/>
              <w:i w:val="0"/>
              <w:sz w:val="24"/>
            </w:rPr>
          </w:pPr>
          <w:hyperlink w:anchor="_bookmark59" w:history="1">
            <w:r>
              <w:rPr>
                <w:b w:val="0"/>
                <w:i w:val="0"/>
                <w:sz w:val="24"/>
              </w:rPr>
              <w:t>E</w:t>
            </w:r>
            <w:r>
              <w:rPr>
                <w:b w:val="0"/>
                <w:i w:val="0"/>
                <w:sz w:val="19"/>
              </w:rPr>
              <w:t>NERGY</w:t>
            </w:r>
            <w:r>
              <w:rPr>
                <w:b w:val="0"/>
                <w:i w:val="0"/>
                <w:spacing w:val="-3"/>
                <w:sz w:val="19"/>
              </w:rPr>
              <w:t xml:space="preserve"> </w:t>
            </w:r>
            <w:r>
              <w:rPr>
                <w:b w:val="0"/>
                <w:i w:val="0"/>
                <w:sz w:val="24"/>
              </w:rPr>
              <w:t>A</w:t>
            </w:r>
            <w:r>
              <w:rPr>
                <w:b w:val="0"/>
                <w:i w:val="0"/>
                <w:sz w:val="19"/>
              </w:rPr>
              <w:t>VAILABILITY</w:t>
            </w:r>
            <w:r>
              <w:rPr>
                <w:b w:val="0"/>
                <w:i w:val="0"/>
                <w:sz w:val="19"/>
              </w:rPr>
              <w:tab/>
            </w:r>
            <w:r>
              <w:rPr>
                <w:b w:val="0"/>
                <w:i w:val="0"/>
                <w:sz w:val="24"/>
              </w:rPr>
              <w:t>193</w:t>
            </w:r>
          </w:hyperlink>
        </w:p>
        <w:p w:rsidR="007C5447" w:rsidRDefault="00F6308C">
          <w:pPr>
            <w:pStyle w:val="TOC3"/>
            <w:numPr>
              <w:ilvl w:val="1"/>
              <w:numId w:val="115"/>
            </w:numPr>
            <w:tabs>
              <w:tab w:val="left" w:pos="721"/>
              <w:tab w:val="left" w:pos="723"/>
              <w:tab w:val="left" w:leader="dot" w:pos="8881"/>
            </w:tabs>
            <w:spacing w:before="139"/>
            <w:ind w:hanging="503"/>
            <w:rPr>
              <w:b w:val="0"/>
              <w:i w:val="0"/>
              <w:sz w:val="24"/>
            </w:rPr>
          </w:pPr>
          <w:hyperlink w:anchor="_bookmark60" w:history="1">
            <w:r>
              <w:rPr>
                <w:b w:val="0"/>
                <w:i w:val="0"/>
                <w:sz w:val="24"/>
              </w:rPr>
              <w:t>F</w:t>
            </w:r>
            <w:r>
              <w:rPr>
                <w:b w:val="0"/>
                <w:i w:val="0"/>
                <w:sz w:val="19"/>
              </w:rPr>
              <w:t>IXED</w:t>
            </w:r>
            <w:r>
              <w:rPr>
                <w:b w:val="0"/>
                <w:i w:val="0"/>
                <w:spacing w:val="-2"/>
                <w:sz w:val="19"/>
              </w:rPr>
              <w:t xml:space="preserve"> </w:t>
            </w:r>
            <w:r>
              <w:rPr>
                <w:b w:val="0"/>
                <w:i w:val="0"/>
                <w:sz w:val="24"/>
              </w:rPr>
              <w:t>E</w:t>
            </w:r>
            <w:r>
              <w:rPr>
                <w:b w:val="0"/>
                <w:i w:val="0"/>
                <w:sz w:val="19"/>
              </w:rPr>
              <w:t>XPENSES</w:t>
            </w:r>
            <w:r>
              <w:rPr>
                <w:b w:val="0"/>
                <w:i w:val="0"/>
                <w:sz w:val="19"/>
              </w:rPr>
              <w:tab/>
            </w:r>
            <w:r>
              <w:rPr>
                <w:b w:val="0"/>
                <w:i w:val="0"/>
                <w:sz w:val="24"/>
              </w:rPr>
              <w:t>198</w:t>
            </w:r>
          </w:hyperlink>
        </w:p>
        <w:p w:rsidR="007C5447" w:rsidRDefault="00F6308C">
          <w:pPr>
            <w:pStyle w:val="TOC3"/>
            <w:numPr>
              <w:ilvl w:val="1"/>
              <w:numId w:val="115"/>
            </w:numPr>
            <w:tabs>
              <w:tab w:val="left" w:pos="721"/>
              <w:tab w:val="left" w:pos="723"/>
              <w:tab w:val="left" w:leader="dot" w:pos="8881"/>
            </w:tabs>
            <w:ind w:hanging="503"/>
            <w:rPr>
              <w:b w:val="0"/>
              <w:i w:val="0"/>
              <w:sz w:val="24"/>
            </w:rPr>
          </w:pPr>
          <w:hyperlink w:anchor="_bookmark61" w:history="1">
            <w:r>
              <w:rPr>
                <w:b w:val="0"/>
                <w:i w:val="0"/>
                <w:sz w:val="24"/>
              </w:rPr>
              <w:t>O</w:t>
            </w:r>
            <w:r>
              <w:rPr>
                <w:b w:val="0"/>
                <w:i w:val="0"/>
                <w:sz w:val="19"/>
              </w:rPr>
              <w:t xml:space="preserve">PERATION AND </w:t>
            </w:r>
            <w:r>
              <w:rPr>
                <w:b w:val="0"/>
                <w:i w:val="0"/>
                <w:sz w:val="24"/>
              </w:rPr>
              <w:t>M</w:t>
            </w:r>
            <w:r>
              <w:rPr>
                <w:b w:val="0"/>
                <w:i w:val="0"/>
                <w:sz w:val="19"/>
              </w:rPr>
              <w:t>AINTENANCE</w:t>
            </w:r>
            <w:r>
              <w:rPr>
                <w:b w:val="0"/>
                <w:i w:val="0"/>
                <w:spacing w:val="-5"/>
                <w:sz w:val="19"/>
              </w:rPr>
              <w:t xml:space="preserve"> </w:t>
            </w:r>
            <w:r>
              <w:rPr>
                <w:b w:val="0"/>
                <w:i w:val="0"/>
                <w:sz w:val="24"/>
              </w:rPr>
              <w:t>(O&amp;M)</w:t>
            </w:r>
            <w:r>
              <w:rPr>
                <w:b w:val="0"/>
                <w:i w:val="0"/>
                <w:spacing w:val="-15"/>
                <w:sz w:val="24"/>
              </w:rPr>
              <w:t xml:space="preserve"> </w:t>
            </w:r>
            <w:r>
              <w:rPr>
                <w:b w:val="0"/>
                <w:i w:val="0"/>
                <w:sz w:val="19"/>
              </w:rPr>
              <w:t>EXPENSES</w:t>
            </w:r>
            <w:r>
              <w:rPr>
                <w:b w:val="0"/>
                <w:i w:val="0"/>
                <w:sz w:val="19"/>
              </w:rPr>
              <w:tab/>
            </w:r>
            <w:r>
              <w:rPr>
                <w:b w:val="0"/>
                <w:i w:val="0"/>
                <w:sz w:val="24"/>
              </w:rPr>
              <w:t>201</w:t>
            </w:r>
          </w:hyperlink>
        </w:p>
        <w:p w:rsidR="007C5447" w:rsidRDefault="00F6308C">
          <w:pPr>
            <w:pStyle w:val="TOC2"/>
            <w:numPr>
              <w:ilvl w:val="1"/>
              <w:numId w:val="115"/>
            </w:numPr>
            <w:tabs>
              <w:tab w:val="left" w:pos="721"/>
              <w:tab w:val="left" w:pos="723"/>
              <w:tab w:val="left" w:leader="dot" w:pos="8881"/>
            </w:tabs>
            <w:ind w:hanging="503"/>
            <w:rPr>
              <w:sz w:val="24"/>
            </w:rPr>
          </w:pPr>
          <w:hyperlink w:anchor="_bookmark62" w:history="1">
            <w:r>
              <w:rPr>
                <w:sz w:val="24"/>
              </w:rPr>
              <w:t>C</w:t>
            </w:r>
            <w:r>
              <w:t xml:space="preserve">APITAL </w:t>
            </w:r>
            <w:r>
              <w:rPr>
                <w:sz w:val="24"/>
              </w:rPr>
              <w:t>E</w:t>
            </w:r>
            <w:r>
              <w:t>XPENDITURE</w:t>
            </w:r>
            <w:r>
              <w:rPr>
                <w:spacing w:val="-8"/>
              </w:rPr>
              <w:t xml:space="preserve"> </w:t>
            </w:r>
            <w:r>
              <w:t xml:space="preserve">AND </w:t>
            </w:r>
            <w:r>
              <w:rPr>
                <w:sz w:val="24"/>
              </w:rPr>
              <w:t>C</w:t>
            </w:r>
            <w:r>
              <w:t>APITALIZATION</w:t>
            </w:r>
            <w:r>
              <w:tab/>
            </w:r>
            <w:r>
              <w:rPr>
                <w:sz w:val="24"/>
              </w:rPr>
              <w:t>205</w:t>
            </w:r>
          </w:hyperlink>
        </w:p>
        <w:p w:rsidR="007C5447" w:rsidRDefault="00F6308C">
          <w:pPr>
            <w:pStyle w:val="TOC3"/>
            <w:numPr>
              <w:ilvl w:val="1"/>
              <w:numId w:val="115"/>
            </w:numPr>
            <w:tabs>
              <w:tab w:val="left" w:pos="721"/>
              <w:tab w:val="left" w:pos="723"/>
              <w:tab w:val="left" w:leader="dot" w:pos="8881"/>
            </w:tabs>
            <w:ind w:hanging="503"/>
            <w:rPr>
              <w:b w:val="0"/>
              <w:i w:val="0"/>
              <w:sz w:val="24"/>
            </w:rPr>
          </w:pPr>
          <w:hyperlink w:anchor="_bookmark63" w:history="1">
            <w:r>
              <w:rPr>
                <w:b w:val="0"/>
                <w:i w:val="0"/>
                <w:sz w:val="24"/>
              </w:rPr>
              <w:t>D</w:t>
            </w:r>
            <w:r>
              <w:rPr>
                <w:b w:val="0"/>
                <w:i w:val="0"/>
                <w:sz w:val="19"/>
              </w:rPr>
              <w:t>EPRECIATION</w:t>
            </w:r>
            <w:r>
              <w:rPr>
                <w:b w:val="0"/>
                <w:i w:val="0"/>
                <w:sz w:val="19"/>
              </w:rPr>
              <w:tab/>
            </w:r>
            <w:r>
              <w:rPr>
                <w:b w:val="0"/>
                <w:i w:val="0"/>
                <w:sz w:val="24"/>
              </w:rPr>
              <w:t>207</w:t>
            </w:r>
          </w:hyperlink>
        </w:p>
        <w:p w:rsidR="007C5447" w:rsidRDefault="00F6308C">
          <w:pPr>
            <w:pStyle w:val="TOC2"/>
            <w:numPr>
              <w:ilvl w:val="1"/>
              <w:numId w:val="115"/>
            </w:numPr>
            <w:tabs>
              <w:tab w:val="left" w:pos="721"/>
              <w:tab w:val="left" w:pos="723"/>
              <w:tab w:val="left" w:leader="dot" w:pos="8881"/>
            </w:tabs>
            <w:ind w:hanging="503"/>
            <w:rPr>
              <w:sz w:val="24"/>
            </w:rPr>
          </w:pPr>
          <w:hyperlink w:anchor="_bookmark64" w:history="1">
            <w:r>
              <w:rPr>
                <w:sz w:val="24"/>
              </w:rPr>
              <w:t>I</w:t>
            </w:r>
            <w:r>
              <w:t>NTEREST AND</w:t>
            </w:r>
            <w:r>
              <w:rPr>
                <w:spacing w:val="-3"/>
              </w:rPr>
              <w:t xml:space="preserve"> </w:t>
            </w:r>
            <w:r>
              <w:rPr>
                <w:sz w:val="24"/>
              </w:rPr>
              <w:t>F</w:t>
            </w:r>
            <w:r>
              <w:t>INANCING</w:t>
            </w:r>
            <w:r>
              <w:rPr>
                <w:spacing w:val="-1"/>
              </w:rPr>
              <w:t xml:space="preserve"> </w:t>
            </w:r>
            <w:r>
              <w:rPr>
                <w:sz w:val="24"/>
              </w:rPr>
              <w:t>C</w:t>
            </w:r>
            <w:r>
              <w:t>HARGES</w:t>
            </w:r>
            <w:r>
              <w:tab/>
            </w:r>
            <w:r>
              <w:rPr>
                <w:sz w:val="24"/>
              </w:rPr>
              <w:t>208</w:t>
            </w:r>
          </w:hyperlink>
        </w:p>
        <w:p w:rsidR="007C5447" w:rsidRDefault="00F6308C">
          <w:pPr>
            <w:pStyle w:val="TOC3"/>
            <w:numPr>
              <w:ilvl w:val="1"/>
              <w:numId w:val="115"/>
            </w:numPr>
            <w:tabs>
              <w:tab w:val="left" w:pos="721"/>
              <w:tab w:val="left" w:pos="723"/>
              <w:tab w:val="left" w:leader="dot" w:pos="8881"/>
            </w:tabs>
            <w:ind w:hanging="503"/>
            <w:rPr>
              <w:b w:val="0"/>
              <w:i w:val="0"/>
              <w:sz w:val="24"/>
            </w:rPr>
          </w:pPr>
          <w:hyperlink w:anchor="_bookmark65" w:history="1">
            <w:r>
              <w:rPr>
                <w:b w:val="0"/>
                <w:i w:val="0"/>
                <w:sz w:val="24"/>
              </w:rPr>
              <w:t>R</w:t>
            </w:r>
            <w:r>
              <w:rPr>
                <w:b w:val="0"/>
                <w:i w:val="0"/>
                <w:sz w:val="19"/>
              </w:rPr>
              <w:t>ETURN</w:t>
            </w:r>
            <w:r>
              <w:rPr>
                <w:b w:val="0"/>
                <w:i w:val="0"/>
                <w:spacing w:val="-3"/>
                <w:sz w:val="19"/>
              </w:rPr>
              <w:t xml:space="preserve"> </w:t>
            </w:r>
            <w:r>
              <w:rPr>
                <w:b w:val="0"/>
                <w:i w:val="0"/>
                <w:sz w:val="19"/>
              </w:rPr>
              <w:t>ON</w:t>
            </w:r>
            <w:r>
              <w:rPr>
                <w:b w:val="0"/>
                <w:i w:val="0"/>
                <w:spacing w:val="-1"/>
                <w:sz w:val="19"/>
              </w:rPr>
              <w:t xml:space="preserve"> </w:t>
            </w:r>
            <w:r>
              <w:rPr>
                <w:b w:val="0"/>
                <w:i w:val="0"/>
                <w:sz w:val="24"/>
              </w:rPr>
              <w:t>E</w:t>
            </w:r>
            <w:r>
              <w:rPr>
                <w:b w:val="0"/>
                <w:i w:val="0"/>
                <w:sz w:val="19"/>
              </w:rPr>
              <w:t>QUITY</w:t>
            </w:r>
            <w:r>
              <w:rPr>
                <w:b w:val="0"/>
                <w:i w:val="0"/>
                <w:sz w:val="19"/>
              </w:rPr>
              <w:tab/>
            </w:r>
            <w:r>
              <w:rPr>
                <w:b w:val="0"/>
                <w:i w:val="0"/>
                <w:sz w:val="24"/>
              </w:rPr>
              <w:t>212</w:t>
            </w:r>
          </w:hyperlink>
        </w:p>
        <w:p w:rsidR="007C5447" w:rsidRDefault="00F6308C">
          <w:pPr>
            <w:pStyle w:val="TOC2"/>
            <w:numPr>
              <w:ilvl w:val="1"/>
              <w:numId w:val="115"/>
            </w:numPr>
            <w:tabs>
              <w:tab w:val="left" w:pos="833"/>
              <w:tab w:val="left" w:leader="dot" w:pos="8881"/>
            </w:tabs>
            <w:spacing w:before="140"/>
            <w:ind w:left="832" w:hanging="613"/>
            <w:rPr>
              <w:sz w:val="24"/>
            </w:rPr>
          </w:pPr>
          <w:hyperlink w:anchor="_bookmark66" w:history="1">
            <w:r>
              <w:rPr>
                <w:sz w:val="24"/>
              </w:rPr>
              <w:t>I</w:t>
            </w:r>
            <w:r>
              <w:t>NTEREST ON</w:t>
            </w:r>
            <w:r>
              <w:rPr>
                <w:spacing w:val="-5"/>
              </w:rPr>
              <w:t xml:space="preserve"> </w:t>
            </w:r>
            <w:r>
              <w:rPr>
                <w:sz w:val="24"/>
              </w:rPr>
              <w:t>W</w:t>
            </w:r>
            <w:r>
              <w:t xml:space="preserve">ORKING </w:t>
            </w:r>
            <w:r>
              <w:rPr>
                <w:sz w:val="24"/>
              </w:rPr>
              <w:t>C</w:t>
            </w:r>
            <w:r>
              <w:t>APITAL</w:t>
            </w:r>
            <w:r>
              <w:tab/>
            </w:r>
            <w:r>
              <w:rPr>
                <w:sz w:val="24"/>
              </w:rPr>
              <w:t>213</w:t>
            </w:r>
          </w:hyperlink>
        </w:p>
        <w:p w:rsidR="007C5447" w:rsidRDefault="00F6308C">
          <w:pPr>
            <w:pStyle w:val="TOC3"/>
            <w:numPr>
              <w:ilvl w:val="1"/>
              <w:numId w:val="115"/>
            </w:numPr>
            <w:tabs>
              <w:tab w:val="left" w:pos="833"/>
              <w:tab w:val="left" w:leader="dot" w:pos="8881"/>
            </w:tabs>
            <w:spacing w:before="136"/>
            <w:ind w:left="832" w:hanging="613"/>
            <w:rPr>
              <w:b w:val="0"/>
              <w:i w:val="0"/>
              <w:sz w:val="24"/>
            </w:rPr>
          </w:pPr>
          <w:hyperlink w:anchor="_bookmark67" w:history="1">
            <w:r>
              <w:rPr>
                <w:b w:val="0"/>
                <w:i w:val="0"/>
                <w:sz w:val="24"/>
              </w:rPr>
              <w:t>O</w:t>
            </w:r>
            <w:r>
              <w:rPr>
                <w:b w:val="0"/>
                <w:i w:val="0"/>
                <w:sz w:val="19"/>
              </w:rPr>
              <w:t>THER</w:t>
            </w:r>
            <w:r>
              <w:rPr>
                <w:b w:val="0"/>
                <w:i w:val="0"/>
                <w:spacing w:val="-1"/>
                <w:sz w:val="19"/>
              </w:rPr>
              <w:t xml:space="preserve"> </w:t>
            </w:r>
            <w:r>
              <w:rPr>
                <w:b w:val="0"/>
                <w:i w:val="0"/>
                <w:sz w:val="24"/>
              </w:rPr>
              <w:t>D</w:t>
            </w:r>
            <w:r>
              <w:rPr>
                <w:b w:val="0"/>
                <w:i w:val="0"/>
                <w:sz w:val="19"/>
              </w:rPr>
              <w:t>EBITS</w:t>
            </w:r>
            <w:r>
              <w:rPr>
                <w:b w:val="0"/>
                <w:i w:val="0"/>
                <w:sz w:val="19"/>
              </w:rPr>
              <w:tab/>
            </w:r>
            <w:r>
              <w:rPr>
                <w:b w:val="0"/>
                <w:i w:val="0"/>
                <w:sz w:val="24"/>
              </w:rPr>
              <w:t>216</w:t>
            </w:r>
          </w:hyperlink>
        </w:p>
        <w:p w:rsidR="007C5447" w:rsidRDefault="00F6308C">
          <w:pPr>
            <w:pStyle w:val="TOC3"/>
            <w:numPr>
              <w:ilvl w:val="1"/>
              <w:numId w:val="115"/>
            </w:numPr>
            <w:tabs>
              <w:tab w:val="left" w:pos="833"/>
              <w:tab w:val="left" w:leader="dot" w:pos="8881"/>
            </w:tabs>
            <w:spacing w:before="140"/>
            <w:ind w:left="832" w:hanging="613"/>
            <w:rPr>
              <w:b w:val="0"/>
              <w:i w:val="0"/>
              <w:sz w:val="24"/>
            </w:rPr>
          </w:pPr>
          <w:hyperlink w:anchor="_bookmark68" w:history="1">
            <w:r>
              <w:rPr>
                <w:b w:val="0"/>
                <w:i w:val="0"/>
                <w:sz w:val="24"/>
              </w:rPr>
              <w:t>O</w:t>
            </w:r>
            <w:r>
              <w:rPr>
                <w:b w:val="0"/>
                <w:i w:val="0"/>
                <w:sz w:val="19"/>
              </w:rPr>
              <w:t xml:space="preserve">THER </w:t>
            </w:r>
            <w:r>
              <w:rPr>
                <w:b w:val="0"/>
                <w:i w:val="0"/>
                <w:sz w:val="24"/>
              </w:rPr>
              <w:t>I</w:t>
            </w:r>
            <w:r>
              <w:rPr>
                <w:b w:val="0"/>
                <w:i w:val="0"/>
                <w:sz w:val="19"/>
              </w:rPr>
              <w:t>NCOME AND</w:t>
            </w:r>
            <w:r>
              <w:rPr>
                <w:b w:val="0"/>
                <w:i w:val="0"/>
                <w:spacing w:val="-4"/>
                <w:sz w:val="19"/>
              </w:rPr>
              <w:t xml:space="preserve"> </w:t>
            </w:r>
            <w:r>
              <w:rPr>
                <w:b w:val="0"/>
                <w:i w:val="0"/>
                <w:sz w:val="24"/>
              </w:rPr>
              <w:t>N</w:t>
            </w:r>
            <w:r>
              <w:rPr>
                <w:b w:val="0"/>
                <w:i w:val="0"/>
                <w:sz w:val="19"/>
              </w:rPr>
              <w:t>ON</w:t>
            </w:r>
            <w:r>
              <w:rPr>
                <w:b w:val="0"/>
                <w:i w:val="0"/>
                <w:sz w:val="24"/>
              </w:rPr>
              <w:t>-T</w:t>
            </w:r>
            <w:r>
              <w:rPr>
                <w:b w:val="0"/>
                <w:i w:val="0"/>
                <w:sz w:val="19"/>
              </w:rPr>
              <w:t>ARIFF</w:t>
            </w:r>
            <w:r>
              <w:rPr>
                <w:b w:val="0"/>
                <w:i w:val="0"/>
                <w:spacing w:val="-1"/>
                <w:sz w:val="19"/>
              </w:rPr>
              <w:t xml:space="preserve"> </w:t>
            </w:r>
            <w:r>
              <w:rPr>
                <w:b w:val="0"/>
                <w:i w:val="0"/>
                <w:sz w:val="24"/>
              </w:rPr>
              <w:t>I</w:t>
            </w:r>
            <w:r>
              <w:rPr>
                <w:b w:val="0"/>
                <w:i w:val="0"/>
                <w:sz w:val="19"/>
              </w:rPr>
              <w:t>NCOME</w:t>
            </w:r>
            <w:r>
              <w:rPr>
                <w:b w:val="0"/>
                <w:i w:val="0"/>
                <w:sz w:val="19"/>
              </w:rPr>
              <w:tab/>
            </w:r>
            <w:r>
              <w:rPr>
                <w:b w:val="0"/>
                <w:i w:val="0"/>
                <w:sz w:val="24"/>
              </w:rPr>
              <w:t>217</w:t>
            </w:r>
          </w:hyperlink>
        </w:p>
        <w:p w:rsidR="007C5447" w:rsidRDefault="00F6308C">
          <w:pPr>
            <w:pStyle w:val="TOC3"/>
            <w:numPr>
              <w:ilvl w:val="1"/>
              <w:numId w:val="115"/>
            </w:numPr>
            <w:tabs>
              <w:tab w:val="left" w:pos="833"/>
              <w:tab w:val="left" w:leader="dot" w:pos="8881"/>
            </w:tabs>
            <w:ind w:left="832" w:hanging="613"/>
            <w:rPr>
              <w:b w:val="0"/>
              <w:i w:val="0"/>
              <w:sz w:val="24"/>
            </w:rPr>
          </w:pPr>
          <w:hyperlink w:anchor="_bookmark69" w:history="1">
            <w:r>
              <w:rPr>
                <w:b w:val="0"/>
                <w:i w:val="0"/>
                <w:sz w:val="24"/>
              </w:rPr>
              <w:t>S</w:t>
            </w:r>
            <w:r>
              <w:rPr>
                <w:b w:val="0"/>
                <w:i w:val="0"/>
                <w:sz w:val="19"/>
              </w:rPr>
              <w:t>UMMARY OF</w:t>
            </w:r>
            <w:r>
              <w:rPr>
                <w:b w:val="0"/>
                <w:i w:val="0"/>
                <w:spacing w:val="-6"/>
                <w:sz w:val="19"/>
              </w:rPr>
              <w:t xml:space="preserve"> </w:t>
            </w:r>
            <w:r>
              <w:rPr>
                <w:b w:val="0"/>
                <w:i w:val="0"/>
                <w:sz w:val="24"/>
              </w:rPr>
              <w:t>F</w:t>
            </w:r>
            <w:r>
              <w:rPr>
                <w:b w:val="0"/>
                <w:i w:val="0"/>
                <w:sz w:val="19"/>
              </w:rPr>
              <w:t xml:space="preserve">IXED </w:t>
            </w:r>
            <w:r>
              <w:rPr>
                <w:b w:val="0"/>
                <w:i w:val="0"/>
                <w:sz w:val="24"/>
              </w:rPr>
              <w:t>E</w:t>
            </w:r>
            <w:r>
              <w:rPr>
                <w:b w:val="0"/>
                <w:i w:val="0"/>
                <w:sz w:val="19"/>
              </w:rPr>
              <w:t>XPENSES</w:t>
            </w:r>
            <w:r>
              <w:rPr>
                <w:b w:val="0"/>
                <w:i w:val="0"/>
                <w:sz w:val="19"/>
              </w:rPr>
              <w:tab/>
            </w:r>
            <w:r>
              <w:rPr>
                <w:b w:val="0"/>
                <w:i w:val="0"/>
                <w:sz w:val="24"/>
              </w:rPr>
              <w:t>218</w:t>
            </w:r>
          </w:hyperlink>
        </w:p>
        <w:p w:rsidR="007C5447" w:rsidRDefault="00F6308C">
          <w:pPr>
            <w:pStyle w:val="TOC2"/>
            <w:numPr>
              <w:ilvl w:val="1"/>
              <w:numId w:val="115"/>
            </w:numPr>
            <w:tabs>
              <w:tab w:val="left" w:pos="833"/>
              <w:tab w:val="left" w:leader="dot" w:pos="8881"/>
            </w:tabs>
            <w:ind w:left="832" w:hanging="613"/>
            <w:rPr>
              <w:sz w:val="24"/>
            </w:rPr>
          </w:pPr>
          <w:hyperlink w:anchor="_bookmark70" w:history="1">
            <w:r>
              <w:rPr>
                <w:sz w:val="24"/>
              </w:rPr>
              <w:t>V</w:t>
            </w:r>
            <w:r>
              <w:t xml:space="preserve">ARIABLE </w:t>
            </w:r>
            <w:r>
              <w:rPr>
                <w:sz w:val="24"/>
              </w:rPr>
              <w:t>C</w:t>
            </w:r>
            <w:r>
              <w:t xml:space="preserve">OSTS FOR </w:t>
            </w:r>
            <w:r>
              <w:rPr>
                <w:sz w:val="24"/>
              </w:rPr>
              <w:t>O</w:t>
            </w:r>
            <w:r>
              <w:t>WN</w:t>
            </w:r>
            <w:r>
              <w:rPr>
                <w:spacing w:val="-7"/>
              </w:rPr>
              <w:t xml:space="preserve"> </w:t>
            </w:r>
            <w:r>
              <w:rPr>
                <w:sz w:val="24"/>
              </w:rPr>
              <w:t>G</w:t>
            </w:r>
            <w:r>
              <w:t>ENERATING</w:t>
            </w:r>
            <w:r>
              <w:rPr>
                <w:spacing w:val="-1"/>
              </w:rPr>
              <w:t xml:space="preserve"> </w:t>
            </w:r>
            <w:r>
              <w:rPr>
                <w:sz w:val="24"/>
              </w:rPr>
              <w:t>S</w:t>
            </w:r>
            <w:r>
              <w:t>TATIONS</w:t>
            </w:r>
            <w:r>
              <w:tab/>
            </w:r>
            <w:r>
              <w:rPr>
                <w:sz w:val="24"/>
              </w:rPr>
              <w:t>227</w:t>
            </w:r>
          </w:hyperlink>
        </w:p>
        <w:p w:rsidR="007C5447" w:rsidRDefault="00F6308C">
          <w:pPr>
            <w:pStyle w:val="TOC2"/>
            <w:numPr>
              <w:ilvl w:val="1"/>
              <w:numId w:val="115"/>
            </w:numPr>
            <w:tabs>
              <w:tab w:val="left" w:pos="833"/>
              <w:tab w:val="left" w:leader="dot" w:pos="8881"/>
            </w:tabs>
            <w:spacing w:before="137"/>
            <w:ind w:left="832" w:hanging="613"/>
            <w:rPr>
              <w:sz w:val="24"/>
            </w:rPr>
          </w:pPr>
          <w:hyperlink w:anchor="_bookmark71" w:history="1">
            <w:r>
              <w:rPr>
                <w:sz w:val="24"/>
              </w:rPr>
              <w:t>P</w:t>
            </w:r>
            <w:r>
              <w:t xml:space="preserve">OWER </w:t>
            </w:r>
            <w:r>
              <w:rPr>
                <w:sz w:val="24"/>
              </w:rPr>
              <w:t>P</w:t>
            </w:r>
            <w:r>
              <w:t>URCHASE FROM</w:t>
            </w:r>
            <w:r>
              <w:rPr>
                <w:spacing w:val="-2"/>
              </w:rPr>
              <w:t xml:space="preserve"> </w:t>
            </w:r>
            <w:r>
              <w:rPr>
                <w:sz w:val="24"/>
              </w:rPr>
              <w:t>O</w:t>
            </w:r>
            <w:r>
              <w:t>THER</w:t>
            </w:r>
            <w:r>
              <w:rPr>
                <w:spacing w:val="-2"/>
              </w:rPr>
              <w:t xml:space="preserve"> </w:t>
            </w:r>
            <w:r>
              <w:rPr>
                <w:sz w:val="24"/>
              </w:rPr>
              <w:t>S</w:t>
            </w:r>
            <w:r>
              <w:t>OURCES</w:t>
            </w:r>
            <w:r>
              <w:tab/>
            </w:r>
            <w:r>
              <w:rPr>
                <w:sz w:val="24"/>
              </w:rPr>
              <w:t>235</w:t>
            </w:r>
          </w:hyperlink>
        </w:p>
        <w:p w:rsidR="007C5447" w:rsidRDefault="00F6308C">
          <w:pPr>
            <w:pStyle w:val="TOC2"/>
            <w:numPr>
              <w:ilvl w:val="1"/>
              <w:numId w:val="115"/>
            </w:numPr>
            <w:tabs>
              <w:tab w:val="left" w:pos="833"/>
              <w:tab w:val="left" w:leader="dot" w:pos="8881"/>
            </w:tabs>
            <w:ind w:left="832" w:hanging="613"/>
            <w:rPr>
              <w:sz w:val="24"/>
            </w:rPr>
          </w:pPr>
          <w:hyperlink w:anchor="_bookmark72" w:history="1">
            <w:r>
              <w:rPr>
                <w:sz w:val="24"/>
              </w:rPr>
              <w:t>A</w:t>
            </w:r>
            <w:r>
              <w:t>GGREGATE</w:t>
            </w:r>
            <w:r>
              <w:rPr>
                <w:spacing w:val="-2"/>
              </w:rPr>
              <w:t xml:space="preserve"> </w:t>
            </w:r>
            <w:r>
              <w:rPr>
                <w:sz w:val="24"/>
              </w:rPr>
              <w:t>R</w:t>
            </w:r>
            <w:r>
              <w:t>EVENUE</w:t>
            </w:r>
            <w:r>
              <w:rPr>
                <w:spacing w:val="-2"/>
              </w:rPr>
              <w:t xml:space="preserve"> </w:t>
            </w:r>
            <w:r>
              <w:rPr>
                <w:sz w:val="24"/>
              </w:rPr>
              <w:t>R</w:t>
            </w:r>
            <w:r>
              <w:t>EQUIREMENT</w:t>
            </w:r>
            <w:r>
              <w:tab/>
            </w:r>
            <w:r>
              <w:rPr>
                <w:sz w:val="24"/>
              </w:rPr>
              <w:t>248</w:t>
            </w:r>
          </w:hyperlink>
        </w:p>
        <w:p w:rsidR="007C5447" w:rsidRDefault="00F6308C">
          <w:pPr>
            <w:pStyle w:val="TOC3"/>
            <w:numPr>
              <w:ilvl w:val="1"/>
              <w:numId w:val="115"/>
            </w:numPr>
            <w:tabs>
              <w:tab w:val="left" w:pos="833"/>
              <w:tab w:val="left" w:leader="dot" w:pos="8881"/>
            </w:tabs>
            <w:ind w:left="832" w:hanging="613"/>
            <w:rPr>
              <w:b w:val="0"/>
              <w:i w:val="0"/>
              <w:sz w:val="24"/>
            </w:rPr>
          </w:pPr>
          <w:hyperlink w:anchor="_bookmark73" w:history="1">
            <w:r>
              <w:rPr>
                <w:b w:val="0"/>
                <w:i w:val="0"/>
                <w:sz w:val="24"/>
              </w:rPr>
              <w:t>R</w:t>
            </w:r>
            <w:r>
              <w:rPr>
                <w:b w:val="0"/>
                <w:i w:val="0"/>
                <w:sz w:val="19"/>
              </w:rPr>
              <w:t xml:space="preserve">EVENUE AT EXISTING </w:t>
            </w:r>
            <w:r>
              <w:rPr>
                <w:b w:val="0"/>
                <w:i w:val="0"/>
                <w:sz w:val="24"/>
              </w:rPr>
              <w:t>T</w:t>
            </w:r>
            <w:r>
              <w:rPr>
                <w:b w:val="0"/>
                <w:i w:val="0"/>
                <w:sz w:val="19"/>
              </w:rPr>
              <w:t>ARIFF FOR</w:t>
            </w:r>
            <w:r>
              <w:rPr>
                <w:b w:val="0"/>
                <w:i w:val="0"/>
                <w:spacing w:val="-6"/>
                <w:sz w:val="19"/>
              </w:rPr>
              <w:t xml:space="preserve"> </w:t>
            </w:r>
            <w:r>
              <w:rPr>
                <w:b w:val="0"/>
                <w:i w:val="0"/>
                <w:sz w:val="24"/>
              </w:rPr>
              <w:t>FY</w:t>
            </w:r>
            <w:r>
              <w:rPr>
                <w:b w:val="0"/>
                <w:i w:val="0"/>
                <w:spacing w:val="-14"/>
                <w:sz w:val="24"/>
              </w:rPr>
              <w:t xml:space="preserve"> </w:t>
            </w:r>
            <w:r>
              <w:rPr>
                <w:b w:val="0"/>
                <w:i w:val="0"/>
                <w:sz w:val="24"/>
              </w:rPr>
              <w:t>2017-18</w:t>
            </w:r>
            <w:r>
              <w:rPr>
                <w:b w:val="0"/>
                <w:i w:val="0"/>
                <w:sz w:val="24"/>
              </w:rPr>
              <w:tab/>
              <w:t>250</w:t>
            </w:r>
          </w:hyperlink>
        </w:p>
        <w:p w:rsidR="007C5447" w:rsidRDefault="00F6308C">
          <w:pPr>
            <w:pStyle w:val="TOC3"/>
            <w:numPr>
              <w:ilvl w:val="1"/>
              <w:numId w:val="115"/>
            </w:numPr>
            <w:tabs>
              <w:tab w:val="left" w:pos="833"/>
              <w:tab w:val="left" w:leader="dot" w:pos="8881"/>
            </w:tabs>
            <w:spacing w:before="139"/>
            <w:ind w:left="832" w:hanging="613"/>
            <w:rPr>
              <w:b w:val="0"/>
              <w:i w:val="0"/>
              <w:sz w:val="24"/>
            </w:rPr>
          </w:pPr>
          <w:hyperlink w:anchor="_bookmark74" w:history="1">
            <w:r>
              <w:rPr>
                <w:b w:val="0"/>
                <w:i w:val="0"/>
                <w:sz w:val="24"/>
              </w:rPr>
              <w:t>R</w:t>
            </w:r>
            <w:r>
              <w:rPr>
                <w:b w:val="0"/>
                <w:i w:val="0"/>
                <w:sz w:val="19"/>
              </w:rPr>
              <w:t xml:space="preserve">EVENUE </w:t>
            </w:r>
            <w:r>
              <w:rPr>
                <w:b w:val="0"/>
                <w:i w:val="0"/>
                <w:sz w:val="24"/>
              </w:rPr>
              <w:t>G</w:t>
            </w:r>
            <w:r>
              <w:rPr>
                <w:b w:val="0"/>
                <w:i w:val="0"/>
                <w:sz w:val="19"/>
              </w:rPr>
              <w:t>AP</w:t>
            </w:r>
            <w:r>
              <w:rPr>
                <w:b w:val="0"/>
                <w:i w:val="0"/>
                <w:sz w:val="24"/>
              </w:rPr>
              <w:t>/(S</w:t>
            </w:r>
            <w:r>
              <w:rPr>
                <w:b w:val="0"/>
                <w:i w:val="0"/>
                <w:sz w:val="19"/>
              </w:rPr>
              <w:t>URPLUS</w:t>
            </w:r>
            <w:r>
              <w:rPr>
                <w:b w:val="0"/>
                <w:i w:val="0"/>
                <w:sz w:val="24"/>
              </w:rPr>
              <w:t xml:space="preserve">) </w:t>
            </w:r>
            <w:r>
              <w:rPr>
                <w:b w:val="0"/>
                <w:i w:val="0"/>
                <w:sz w:val="19"/>
              </w:rPr>
              <w:t xml:space="preserve">FOR </w:t>
            </w:r>
            <w:r>
              <w:rPr>
                <w:b w:val="0"/>
                <w:i w:val="0"/>
                <w:sz w:val="24"/>
              </w:rPr>
              <w:t>FY 2016-17</w:t>
            </w:r>
            <w:r>
              <w:rPr>
                <w:b w:val="0"/>
                <w:i w:val="0"/>
                <w:spacing w:val="-43"/>
                <w:sz w:val="24"/>
              </w:rPr>
              <w:t xml:space="preserve"> </w:t>
            </w:r>
            <w:r>
              <w:rPr>
                <w:b w:val="0"/>
                <w:i w:val="0"/>
                <w:sz w:val="19"/>
              </w:rPr>
              <w:t xml:space="preserve">AND </w:t>
            </w:r>
            <w:r>
              <w:rPr>
                <w:b w:val="0"/>
                <w:i w:val="0"/>
                <w:sz w:val="24"/>
              </w:rPr>
              <w:t>FY</w:t>
            </w:r>
            <w:r>
              <w:rPr>
                <w:b w:val="0"/>
                <w:i w:val="0"/>
                <w:spacing w:val="-15"/>
                <w:sz w:val="24"/>
              </w:rPr>
              <w:t xml:space="preserve"> </w:t>
            </w:r>
            <w:r>
              <w:rPr>
                <w:b w:val="0"/>
                <w:i w:val="0"/>
                <w:sz w:val="24"/>
              </w:rPr>
              <w:t>2017-18</w:t>
            </w:r>
            <w:r>
              <w:rPr>
                <w:b w:val="0"/>
                <w:i w:val="0"/>
                <w:sz w:val="24"/>
              </w:rPr>
              <w:tab/>
              <w:t>251</w:t>
            </w:r>
          </w:hyperlink>
        </w:p>
        <w:p w:rsidR="007C5447" w:rsidRDefault="00F6308C">
          <w:pPr>
            <w:pStyle w:val="TOC3"/>
            <w:numPr>
              <w:ilvl w:val="1"/>
              <w:numId w:val="115"/>
            </w:numPr>
            <w:tabs>
              <w:tab w:val="left" w:pos="833"/>
              <w:tab w:val="left" w:leader="dot" w:pos="8881"/>
            </w:tabs>
            <w:ind w:left="832" w:hanging="613"/>
            <w:rPr>
              <w:b w:val="0"/>
              <w:i w:val="0"/>
              <w:sz w:val="24"/>
            </w:rPr>
          </w:pPr>
          <w:hyperlink w:anchor="_bookmark75" w:history="1">
            <w:r>
              <w:rPr>
                <w:b w:val="0"/>
                <w:i w:val="0"/>
                <w:sz w:val="24"/>
              </w:rPr>
              <w:t>C</w:t>
            </w:r>
            <w:r>
              <w:rPr>
                <w:b w:val="0"/>
                <w:i w:val="0"/>
                <w:sz w:val="19"/>
              </w:rPr>
              <w:t>UMULATIVE</w:t>
            </w:r>
            <w:r>
              <w:rPr>
                <w:b w:val="0"/>
                <w:i w:val="0"/>
                <w:spacing w:val="-3"/>
                <w:sz w:val="19"/>
              </w:rPr>
              <w:t xml:space="preserve"> </w:t>
            </w:r>
            <w:r>
              <w:rPr>
                <w:b w:val="0"/>
                <w:i w:val="0"/>
                <w:sz w:val="24"/>
              </w:rPr>
              <w:t>R</w:t>
            </w:r>
            <w:r>
              <w:rPr>
                <w:b w:val="0"/>
                <w:i w:val="0"/>
                <w:sz w:val="19"/>
              </w:rPr>
              <w:t>EVENUE</w:t>
            </w:r>
            <w:r>
              <w:rPr>
                <w:b w:val="0"/>
                <w:i w:val="0"/>
                <w:spacing w:val="-1"/>
                <w:sz w:val="19"/>
              </w:rPr>
              <w:t xml:space="preserve"> </w:t>
            </w:r>
            <w:r>
              <w:rPr>
                <w:b w:val="0"/>
                <w:i w:val="0"/>
                <w:sz w:val="24"/>
              </w:rPr>
              <w:t>G</w:t>
            </w:r>
            <w:r>
              <w:rPr>
                <w:b w:val="0"/>
                <w:i w:val="0"/>
                <w:sz w:val="19"/>
              </w:rPr>
              <w:t>AP</w:t>
            </w:r>
            <w:r>
              <w:rPr>
                <w:b w:val="0"/>
                <w:i w:val="0"/>
                <w:sz w:val="24"/>
              </w:rPr>
              <w:t>/(S</w:t>
            </w:r>
            <w:r>
              <w:rPr>
                <w:b w:val="0"/>
                <w:i w:val="0"/>
                <w:sz w:val="19"/>
              </w:rPr>
              <w:t>URPLUS</w:t>
            </w:r>
            <w:r>
              <w:rPr>
                <w:b w:val="0"/>
                <w:i w:val="0"/>
                <w:sz w:val="24"/>
              </w:rPr>
              <w:t>)</w:t>
            </w:r>
            <w:r>
              <w:rPr>
                <w:b w:val="0"/>
                <w:i w:val="0"/>
                <w:sz w:val="24"/>
              </w:rPr>
              <w:tab/>
              <w:t>251</w:t>
            </w:r>
          </w:hyperlink>
        </w:p>
        <w:p w:rsidR="007C5447" w:rsidRDefault="00F6308C">
          <w:pPr>
            <w:pStyle w:val="TOC1"/>
            <w:numPr>
              <w:ilvl w:val="0"/>
              <w:numId w:val="115"/>
            </w:numPr>
            <w:tabs>
              <w:tab w:val="left" w:pos="551"/>
              <w:tab w:val="left" w:pos="552"/>
              <w:tab w:val="left" w:leader="dot" w:pos="8881"/>
            </w:tabs>
            <w:rPr>
              <w:u w:val="none"/>
            </w:rPr>
          </w:pPr>
          <w:hyperlink w:anchor="_bookmark76" w:history="1">
            <w:r>
              <w:t>TARIFF</w:t>
            </w:r>
            <w:r>
              <w:rPr>
                <w:spacing w:val="-4"/>
              </w:rPr>
              <w:t xml:space="preserve"> </w:t>
            </w:r>
            <w:r>
              <w:t>PHILOSOPHY</w:t>
            </w:r>
            <w:r>
              <w:rPr>
                <w:u w:val="none"/>
              </w:rPr>
              <w:tab/>
            </w:r>
            <w:r>
              <w:t>253</w:t>
            </w:r>
          </w:hyperlink>
        </w:p>
        <w:p w:rsidR="007C5447" w:rsidRDefault="00F6308C">
          <w:pPr>
            <w:pStyle w:val="TOC3"/>
            <w:numPr>
              <w:ilvl w:val="1"/>
              <w:numId w:val="115"/>
            </w:numPr>
            <w:tabs>
              <w:tab w:val="left" w:pos="721"/>
              <w:tab w:val="left" w:pos="723"/>
              <w:tab w:val="left" w:leader="dot" w:pos="8881"/>
            </w:tabs>
            <w:ind w:hanging="503"/>
            <w:rPr>
              <w:b w:val="0"/>
              <w:i w:val="0"/>
              <w:sz w:val="24"/>
            </w:rPr>
          </w:pPr>
          <w:hyperlink w:anchor="_bookmark77" w:history="1">
            <w:r>
              <w:rPr>
                <w:b w:val="0"/>
                <w:i w:val="0"/>
                <w:sz w:val="24"/>
              </w:rPr>
              <w:t>S</w:t>
            </w:r>
            <w:r>
              <w:rPr>
                <w:b w:val="0"/>
                <w:i w:val="0"/>
                <w:sz w:val="19"/>
              </w:rPr>
              <w:t>UBSIDY</w:t>
            </w:r>
            <w:r>
              <w:rPr>
                <w:b w:val="0"/>
                <w:i w:val="0"/>
                <w:spacing w:val="-2"/>
                <w:sz w:val="19"/>
              </w:rPr>
              <w:t xml:space="preserve"> </w:t>
            </w:r>
            <w:r>
              <w:rPr>
                <w:b w:val="0"/>
                <w:i w:val="0"/>
                <w:sz w:val="24"/>
              </w:rPr>
              <w:t>A</w:t>
            </w:r>
            <w:r>
              <w:rPr>
                <w:b w:val="0"/>
                <w:i w:val="0"/>
                <w:sz w:val="19"/>
              </w:rPr>
              <w:t>DJUSTMENT</w:t>
            </w:r>
            <w:r>
              <w:rPr>
                <w:b w:val="0"/>
                <w:i w:val="0"/>
                <w:sz w:val="19"/>
              </w:rPr>
              <w:tab/>
            </w:r>
            <w:r>
              <w:rPr>
                <w:b w:val="0"/>
                <w:i w:val="0"/>
                <w:sz w:val="24"/>
              </w:rPr>
              <w:t>253</w:t>
            </w:r>
          </w:hyperlink>
        </w:p>
        <w:p w:rsidR="007C5447" w:rsidRDefault="00F6308C">
          <w:pPr>
            <w:pStyle w:val="TOC2"/>
            <w:numPr>
              <w:ilvl w:val="1"/>
              <w:numId w:val="115"/>
            </w:numPr>
            <w:tabs>
              <w:tab w:val="left" w:pos="721"/>
              <w:tab w:val="left" w:pos="723"/>
              <w:tab w:val="left" w:leader="dot" w:pos="8881"/>
            </w:tabs>
            <w:ind w:hanging="503"/>
            <w:rPr>
              <w:sz w:val="24"/>
            </w:rPr>
          </w:pPr>
          <w:hyperlink w:anchor="_bookmark78" w:history="1">
            <w:r>
              <w:rPr>
                <w:sz w:val="24"/>
              </w:rPr>
              <w:t>T</w:t>
            </w:r>
            <w:r>
              <w:t xml:space="preserve">ERMS AND </w:t>
            </w:r>
            <w:r>
              <w:rPr>
                <w:sz w:val="24"/>
              </w:rPr>
              <w:t>C</w:t>
            </w:r>
            <w:r>
              <w:t>ONDITIONS</w:t>
            </w:r>
            <w:r>
              <w:rPr>
                <w:spacing w:val="-4"/>
              </w:rPr>
              <w:t xml:space="preserve"> </w:t>
            </w:r>
            <w:r>
              <w:t>OF</w:t>
            </w:r>
            <w:r>
              <w:rPr>
                <w:spacing w:val="-4"/>
              </w:rPr>
              <w:t xml:space="preserve"> </w:t>
            </w:r>
            <w:r>
              <w:rPr>
                <w:sz w:val="24"/>
              </w:rPr>
              <w:t>T</w:t>
            </w:r>
            <w:r>
              <w:t>ARIFF</w:t>
            </w:r>
            <w:r>
              <w:tab/>
            </w:r>
            <w:r>
              <w:rPr>
                <w:sz w:val="24"/>
              </w:rPr>
              <w:t>256</w:t>
            </w:r>
          </w:hyperlink>
        </w:p>
        <w:p w:rsidR="007C5447" w:rsidRDefault="00F6308C">
          <w:pPr>
            <w:pStyle w:val="TOC3"/>
            <w:numPr>
              <w:ilvl w:val="1"/>
              <w:numId w:val="115"/>
            </w:numPr>
            <w:tabs>
              <w:tab w:val="left" w:pos="721"/>
              <w:tab w:val="left" w:pos="723"/>
              <w:tab w:val="left" w:leader="dot" w:pos="8881"/>
            </w:tabs>
            <w:ind w:hanging="503"/>
            <w:rPr>
              <w:b w:val="0"/>
              <w:i w:val="0"/>
              <w:sz w:val="24"/>
            </w:rPr>
          </w:pPr>
          <w:hyperlink w:anchor="_bookmark79" w:history="1">
            <w:r>
              <w:rPr>
                <w:b w:val="0"/>
                <w:i w:val="0"/>
                <w:sz w:val="24"/>
              </w:rPr>
              <w:t>E</w:t>
            </w:r>
            <w:r>
              <w:rPr>
                <w:b w:val="0"/>
                <w:i w:val="0"/>
                <w:sz w:val="19"/>
              </w:rPr>
              <w:t xml:space="preserve">XISTING AND </w:t>
            </w:r>
            <w:r>
              <w:rPr>
                <w:b w:val="0"/>
                <w:i w:val="0"/>
                <w:sz w:val="24"/>
              </w:rPr>
              <w:t>P</w:t>
            </w:r>
            <w:r>
              <w:rPr>
                <w:b w:val="0"/>
                <w:i w:val="0"/>
                <w:sz w:val="19"/>
              </w:rPr>
              <w:t xml:space="preserve">ROPOSED </w:t>
            </w:r>
            <w:r>
              <w:rPr>
                <w:b w:val="0"/>
                <w:i w:val="0"/>
                <w:sz w:val="24"/>
              </w:rPr>
              <w:t>R</w:t>
            </w:r>
            <w:r>
              <w:rPr>
                <w:b w:val="0"/>
                <w:i w:val="0"/>
                <w:sz w:val="19"/>
              </w:rPr>
              <w:t xml:space="preserve">ETAIL </w:t>
            </w:r>
            <w:r>
              <w:rPr>
                <w:b w:val="0"/>
                <w:i w:val="0"/>
                <w:sz w:val="24"/>
              </w:rPr>
              <w:t>T</w:t>
            </w:r>
            <w:r>
              <w:rPr>
                <w:b w:val="0"/>
                <w:i w:val="0"/>
                <w:sz w:val="19"/>
              </w:rPr>
              <w:t xml:space="preserve">ARIFF </w:t>
            </w:r>
            <w:r>
              <w:rPr>
                <w:b w:val="0"/>
                <w:i w:val="0"/>
                <w:sz w:val="24"/>
              </w:rPr>
              <w:t>S</w:t>
            </w:r>
            <w:r>
              <w:rPr>
                <w:b w:val="0"/>
                <w:i w:val="0"/>
                <w:sz w:val="19"/>
              </w:rPr>
              <w:t>CHEDULE FOR</w:t>
            </w:r>
            <w:r>
              <w:rPr>
                <w:b w:val="0"/>
                <w:i w:val="0"/>
                <w:spacing w:val="-10"/>
                <w:sz w:val="19"/>
              </w:rPr>
              <w:t xml:space="preserve"> </w:t>
            </w:r>
            <w:r>
              <w:rPr>
                <w:b w:val="0"/>
                <w:i w:val="0"/>
                <w:sz w:val="24"/>
              </w:rPr>
              <w:t>FY</w:t>
            </w:r>
            <w:r>
              <w:rPr>
                <w:b w:val="0"/>
                <w:i w:val="0"/>
                <w:spacing w:val="-15"/>
                <w:sz w:val="24"/>
              </w:rPr>
              <w:t xml:space="preserve"> </w:t>
            </w:r>
            <w:r>
              <w:rPr>
                <w:b w:val="0"/>
                <w:i w:val="0"/>
                <w:sz w:val="24"/>
              </w:rPr>
              <w:t>2017-18</w:t>
            </w:r>
            <w:r>
              <w:rPr>
                <w:b w:val="0"/>
                <w:i w:val="0"/>
                <w:sz w:val="24"/>
              </w:rPr>
              <w:tab/>
              <w:t>272</w:t>
            </w:r>
          </w:hyperlink>
        </w:p>
        <w:p w:rsidR="007C5447" w:rsidRDefault="00F6308C">
          <w:pPr>
            <w:pStyle w:val="TOC2"/>
            <w:numPr>
              <w:ilvl w:val="1"/>
              <w:numId w:val="115"/>
            </w:numPr>
            <w:tabs>
              <w:tab w:val="left" w:pos="721"/>
              <w:tab w:val="left" w:pos="723"/>
              <w:tab w:val="left" w:leader="dot" w:pos="8881"/>
            </w:tabs>
            <w:ind w:hanging="503"/>
            <w:rPr>
              <w:sz w:val="24"/>
            </w:rPr>
          </w:pPr>
          <w:hyperlink w:anchor="_bookmark80" w:history="1">
            <w:r>
              <w:rPr>
                <w:sz w:val="24"/>
              </w:rPr>
              <w:t>R</w:t>
            </w:r>
            <w:r>
              <w:t>EVENUE FROM</w:t>
            </w:r>
            <w:r>
              <w:t xml:space="preserve"> </w:t>
            </w:r>
            <w:r>
              <w:rPr>
                <w:sz w:val="24"/>
              </w:rPr>
              <w:t>S</w:t>
            </w:r>
            <w:r>
              <w:t>ALE</w:t>
            </w:r>
            <w:r>
              <w:rPr>
                <w:spacing w:val="-5"/>
              </w:rPr>
              <w:t xml:space="preserve"> </w:t>
            </w:r>
            <w:r>
              <w:t xml:space="preserve">OF </w:t>
            </w:r>
            <w:r>
              <w:rPr>
                <w:sz w:val="24"/>
              </w:rPr>
              <w:t>P</w:t>
            </w:r>
            <w:r>
              <w:t>OWER</w:t>
            </w:r>
            <w:r>
              <w:tab/>
            </w:r>
            <w:r>
              <w:rPr>
                <w:sz w:val="24"/>
              </w:rPr>
              <w:t>282</w:t>
            </w:r>
          </w:hyperlink>
        </w:p>
        <w:p w:rsidR="007C5447" w:rsidRDefault="00F6308C">
          <w:pPr>
            <w:pStyle w:val="TOC3"/>
            <w:numPr>
              <w:ilvl w:val="1"/>
              <w:numId w:val="115"/>
            </w:numPr>
            <w:tabs>
              <w:tab w:val="left" w:pos="721"/>
              <w:tab w:val="left" w:pos="723"/>
              <w:tab w:val="left" w:leader="dot" w:pos="8881"/>
            </w:tabs>
            <w:ind w:hanging="503"/>
            <w:rPr>
              <w:b w:val="0"/>
              <w:i w:val="0"/>
              <w:sz w:val="24"/>
            </w:rPr>
          </w:pPr>
          <w:hyperlink w:anchor="_bookmark81" w:history="1">
            <w:r>
              <w:rPr>
                <w:b w:val="0"/>
                <w:i w:val="0"/>
                <w:sz w:val="24"/>
              </w:rPr>
              <w:t>R</w:t>
            </w:r>
            <w:r>
              <w:rPr>
                <w:b w:val="0"/>
                <w:i w:val="0"/>
                <w:sz w:val="19"/>
              </w:rPr>
              <w:t xml:space="preserve">EVENUE </w:t>
            </w:r>
            <w:r>
              <w:rPr>
                <w:b w:val="0"/>
                <w:i w:val="0"/>
                <w:sz w:val="24"/>
              </w:rPr>
              <w:t>G</w:t>
            </w:r>
            <w:r>
              <w:rPr>
                <w:b w:val="0"/>
                <w:i w:val="0"/>
                <w:sz w:val="19"/>
              </w:rPr>
              <w:t>AP AT</w:t>
            </w:r>
            <w:r>
              <w:rPr>
                <w:b w:val="0"/>
                <w:i w:val="0"/>
                <w:spacing w:val="-6"/>
                <w:sz w:val="19"/>
              </w:rPr>
              <w:t xml:space="preserve"> </w:t>
            </w:r>
            <w:r>
              <w:rPr>
                <w:b w:val="0"/>
                <w:i w:val="0"/>
                <w:sz w:val="24"/>
              </w:rPr>
              <w:t>P</w:t>
            </w:r>
            <w:r>
              <w:rPr>
                <w:b w:val="0"/>
                <w:i w:val="0"/>
                <w:sz w:val="19"/>
              </w:rPr>
              <w:t xml:space="preserve">ROPOSED </w:t>
            </w:r>
            <w:r>
              <w:rPr>
                <w:b w:val="0"/>
                <w:i w:val="0"/>
                <w:sz w:val="24"/>
              </w:rPr>
              <w:t>T</w:t>
            </w:r>
            <w:r>
              <w:rPr>
                <w:b w:val="0"/>
                <w:i w:val="0"/>
                <w:sz w:val="19"/>
              </w:rPr>
              <w:t>ARIFF</w:t>
            </w:r>
            <w:r>
              <w:rPr>
                <w:b w:val="0"/>
                <w:i w:val="0"/>
                <w:sz w:val="19"/>
              </w:rPr>
              <w:tab/>
            </w:r>
            <w:r>
              <w:rPr>
                <w:b w:val="0"/>
                <w:i w:val="0"/>
                <w:sz w:val="24"/>
              </w:rPr>
              <w:t>284</w:t>
            </w:r>
          </w:hyperlink>
        </w:p>
        <w:p w:rsidR="007C5447" w:rsidRDefault="00F6308C">
          <w:pPr>
            <w:pStyle w:val="TOC3"/>
            <w:numPr>
              <w:ilvl w:val="1"/>
              <w:numId w:val="115"/>
            </w:numPr>
            <w:tabs>
              <w:tab w:val="left" w:pos="721"/>
              <w:tab w:val="left" w:pos="723"/>
              <w:tab w:val="left" w:leader="dot" w:pos="8881"/>
            </w:tabs>
            <w:spacing w:before="139" w:after="142"/>
            <w:ind w:hanging="503"/>
            <w:rPr>
              <w:b w:val="0"/>
              <w:i w:val="0"/>
              <w:sz w:val="24"/>
            </w:rPr>
          </w:pPr>
          <w:hyperlink w:anchor="_bookmark82" w:history="1">
            <w:r>
              <w:rPr>
                <w:b w:val="0"/>
                <w:i w:val="0"/>
                <w:sz w:val="24"/>
              </w:rPr>
              <w:t>R</w:t>
            </w:r>
            <w:r>
              <w:rPr>
                <w:b w:val="0"/>
                <w:i w:val="0"/>
                <w:sz w:val="19"/>
              </w:rPr>
              <w:t>EGULATORY</w:t>
            </w:r>
            <w:r>
              <w:rPr>
                <w:b w:val="0"/>
                <w:i w:val="0"/>
                <w:spacing w:val="-3"/>
                <w:sz w:val="19"/>
              </w:rPr>
              <w:t xml:space="preserve"> </w:t>
            </w:r>
            <w:r>
              <w:rPr>
                <w:b w:val="0"/>
                <w:i w:val="0"/>
                <w:sz w:val="24"/>
              </w:rPr>
              <w:t>A</w:t>
            </w:r>
            <w:r>
              <w:rPr>
                <w:b w:val="0"/>
                <w:i w:val="0"/>
                <w:sz w:val="19"/>
              </w:rPr>
              <w:t>SSETS</w:t>
            </w:r>
            <w:r>
              <w:rPr>
                <w:b w:val="0"/>
                <w:i w:val="0"/>
                <w:sz w:val="19"/>
              </w:rPr>
              <w:tab/>
            </w:r>
            <w:r>
              <w:rPr>
                <w:b w:val="0"/>
                <w:i w:val="0"/>
                <w:sz w:val="24"/>
              </w:rPr>
              <w:t>285</w:t>
            </w:r>
          </w:hyperlink>
        </w:p>
        <w:p w:rsidR="007C5447" w:rsidRDefault="00F6308C">
          <w:pPr>
            <w:pStyle w:val="TOC6"/>
            <w:numPr>
              <w:ilvl w:val="1"/>
              <w:numId w:val="115"/>
            </w:numPr>
            <w:tabs>
              <w:tab w:val="left" w:pos="721"/>
              <w:tab w:val="left" w:pos="723"/>
            </w:tabs>
            <w:spacing w:before="70" w:line="360" w:lineRule="auto"/>
            <w:ind w:right="472"/>
            <w:rPr>
              <w:b w:val="0"/>
              <w:i w:val="0"/>
              <w:sz w:val="24"/>
            </w:rPr>
          </w:pPr>
          <w:hyperlink w:anchor="_bookmark83" w:history="1">
            <w:r>
              <w:rPr>
                <w:b w:val="0"/>
                <w:i w:val="0"/>
                <w:sz w:val="24"/>
              </w:rPr>
              <w:t>A</w:t>
            </w:r>
            <w:r>
              <w:rPr>
                <w:b w:val="0"/>
                <w:i w:val="0"/>
                <w:sz w:val="19"/>
              </w:rPr>
              <w:t>VERAGE</w:t>
            </w:r>
            <w:r>
              <w:rPr>
                <w:b w:val="0"/>
                <w:i w:val="0"/>
                <w:spacing w:val="-4"/>
                <w:sz w:val="19"/>
              </w:rPr>
              <w:t xml:space="preserve"> </w:t>
            </w:r>
            <w:r>
              <w:rPr>
                <w:b w:val="0"/>
                <w:i w:val="0"/>
                <w:sz w:val="24"/>
              </w:rPr>
              <w:t>C</w:t>
            </w:r>
            <w:r>
              <w:rPr>
                <w:b w:val="0"/>
                <w:i w:val="0"/>
                <w:sz w:val="19"/>
              </w:rPr>
              <w:t>OST</w:t>
            </w:r>
            <w:r>
              <w:rPr>
                <w:b w:val="0"/>
                <w:i w:val="0"/>
                <w:spacing w:val="-5"/>
                <w:sz w:val="19"/>
              </w:rPr>
              <w:t xml:space="preserve"> </w:t>
            </w:r>
            <w:r>
              <w:rPr>
                <w:b w:val="0"/>
                <w:i w:val="0"/>
                <w:sz w:val="19"/>
              </w:rPr>
              <w:t>OF</w:t>
            </w:r>
            <w:r>
              <w:rPr>
                <w:b w:val="0"/>
                <w:i w:val="0"/>
                <w:spacing w:val="-3"/>
                <w:sz w:val="19"/>
              </w:rPr>
              <w:t xml:space="preserve"> </w:t>
            </w:r>
            <w:r>
              <w:rPr>
                <w:b w:val="0"/>
                <w:i w:val="0"/>
                <w:sz w:val="24"/>
              </w:rPr>
              <w:t>S</w:t>
            </w:r>
            <w:r>
              <w:rPr>
                <w:b w:val="0"/>
                <w:i w:val="0"/>
                <w:sz w:val="19"/>
              </w:rPr>
              <w:t>UPPLY</w:t>
            </w:r>
            <w:r>
              <w:rPr>
                <w:b w:val="0"/>
                <w:i w:val="0"/>
                <w:sz w:val="24"/>
              </w:rPr>
              <w:t>,</w:t>
            </w:r>
            <w:r>
              <w:rPr>
                <w:b w:val="0"/>
                <w:i w:val="0"/>
                <w:spacing w:val="-14"/>
                <w:sz w:val="24"/>
              </w:rPr>
              <w:t xml:space="preserve"> </w:t>
            </w:r>
            <w:r>
              <w:rPr>
                <w:b w:val="0"/>
                <w:i w:val="0"/>
                <w:sz w:val="24"/>
              </w:rPr>
              <w:t>VCOS</w:t>
            </w:r>
            <w:r>
              <w:rPr>
                <w:b w:val="0"/>
                <w:i w:val="0"/>
                <w:spacing w:val="-14"/>
                <w:sz w:val="24"/>
              </w:rPr>
              <w:t xml:space="preserve"> </w:t>
            </w:r>
            <w:r>
              <w:rPr>
                <w:b w:val="0"/>
                <w:i w:val="0"/>
                <w:sz w:val="19"/>
              </w:rPr>
              <w:t>AND</w:t>
            </w:r>
            <w:r>
              <w:rPr>
                <w:b w:val="0"/>
                <w:i w:val="0"/>
                <w:spacing w:val="-2"/>
                <w:sz w:val="19"/>
              </w:rPr>
              <w:t xml:space="preserve"> </w:t>
            </w:r>
            <w:r>
              <w:rPr>
                <w:b w:val="0"/>
                <w:i w:val="0"/>
                <w:sz w:val="24"/>
              </w:rPr>
              <w:t>C</w:t>
            </w:r>
            <w:r>
              <w:rPr>
                <w:b w:val="0"/>
                <w:i w:val="0"/>
                <w:sz w:val="19"/>
              </w:rPr>
              <w:t>ROSS</w:t>
            </w:r>
            <w:r>
              <w:rPr>
                <w:b w:val="0"/>
                <w:i w:val="0"/>
                <w:spacing w:val="-1"/>
                <w:sz w:val="19"/>
              </w:rPr>
              <w:t xml:space="preserve"> </w:t>
            </w:r>
            <w:r>
              <w:rPr>
                <w:b w:val="0"/>
                <w:i w:val="0"/>
                <w:sz w:val="24"/>
              </w:rPr>
              <w:t>S</w:t>
            </w:r>
            <w:r>
              <w:rPr>
                <w:b w:val="0"/>
                <w:i w:val="0"/>
                <w:sz w:val="19"/>
              </w:rPr>
              <w:t>UBSIDY</w:t>
            </w:r>
            <w:r>
              <w:rPr>
                <w:b w:val="0"/>
                <w:i w:val="0"/>
                <w:spacing w:val="-2"/>
                <w:sz w:val="19"/>
              </w:rPr>
              <w:t xml:space="preserve"> </w:t>
            </w:r>
            <w:r>
              <w:rPr>
                <w:b w:val="0"/>
                <w:i w:val="0"/>
                <w:sz w:val="24"/>
              </w:rPr>
              <w:t>T</w:t>
            </w:r>
            <w:r>
              <w:rPr>
                <w:b w:val="0"/>
                <w:i w:val="0"/>
                <w:sz w:val="19"/>
              </w:rPr>
              <w:t>RAJECTORY</w:t>
            </w:r>
            <w:r>
              <w:rPr>
                <w:b w:val="0"/>
                <w:i w:val="0"/>
                <w:spacing w:val="-1"/>
                <w:sz w:val="19"/>
              </w:rPr>
              <w:t xml:space="preserve"> </w:t>
            </w:r>
            <w:r>
              <w:rPr>
                <w:b w:val="0"/>
                <w:i w:val="0"/>
                <w:sz w:val="19"/>
              </w:rPr>
              <w:t>FOR</w:t>
            </w:r>
            <w:r>
              <w:rPr>
                <w:b w:val="0"/>
                <w:i w:val="0"/>
                <w:spacing w:val="3"/>
                <w:sz w:val="19"/>
              </w:rPr>
              <w:t xml:space="preserve"> </w:t>
            </w:r>
            <w:r>
              <w:rPr>
                <w:b w:val="0"/>
                <w:i w:val="0"/>
                <w:sz w:val="24"/>
              </w:rPr>
              <w:t>FY</w:t>
            </w:r>
            <w:r>
              <w:rPr>
                <w:b w:val="0"/>
                <w:i w:val="0"/>
                <w:spacing w:val="-15"/>
                <w:sz w:val="24"/>
              </w:rPr>
              <w:t xml:space="preserve"> </w:t>
            </w:r>
            <w:r>
              <w:rPr>
                <w:b w:val="0"/>
                <w:i w:val="0"/>
                <w:sz w:val="24"/>
              </w:rPr>
              <w:t>2017-18</w:t>
            </w:r>
          </w:hyperlink>
          <w:hyperlink w:anchor="_bookmark83" w:history="1">
            <w:r>
              <w:rPr>
                <w:b w:val="0"/>
                <w:i w:val="0"/>
                <w:sz w:val="24"/>
              </w:rPr>
              <w:t xml:space="preserve"> 291</w:t>
            </w:r>
          </w:hyperlink>
        </w:p>
        <w:p w:rsidR="007C5447" w:rsidRDefault="00F6308C">
          <w:pPr>
            <w:pStyle w:val="TOC3"/>
            <w:numPr>
              <w:ilvl w:val="1"/>
              <w:numId w:val="115"/>
            </w:numPr>
            <w:tabs>
              <w:tab w:val="left" w:pos="721"/>
              <w:tab w:val="left" w:pos="723"/>
              <w:tab w:val="left" w:leader="dot" w:pos="8881"/>
            </w:tabs>
            <w:spacing w:before="0"/>
            <w:ind w:hanging="503"/>
            <w:rPr>
              <w:b w:val="0"/>
              <w:i w:val="0"/>
              <w:sz w:val="24"/>
            </w:rPr>
          </w:pPr>
          <w:hyperlink w:anchor="_bookmark84" w:history="1">
            <w:r>
              <w:rPr>
                <w:b w:val="0"/>
                <w:i w:val="0"/>
                <w:sz w:val="24"/>
              </w:rPr>
              <w:t>W</w:t>
            </w:r>
            <w:r>
              <w:rPr>
                <w:b w:val="0"/>
                <w:i w:val="0"/>
                <w:sz w:val="19"/>
              </w:rPr>
              <w:t>HEELING</w:t>
            </w:r>
            <w:r>
              <w:rPr>
                <w:b w:val="0"/>
                <w:i w:val="0"/>
                <w:spacing w:val="-2"/>
                <w:sz w:val="19"/>
              </w:rPr>
              <w:t xml:space="preserve"> </w:t>
            </w:r>
            <w:r>
              <w:rPr>
                <w:b w:val="0"/>
                <w:i w:val="0"/>
                <w:sz w:val="24"/>
              </w:rPr>
              <w:t>C</w:t>
            </w:r>
            <w:r>
              <w:rPr>
                <w:b w:val="0"/>
                <w:i w:val="0"/>
                <w:sz w:val="19"/>
              </w:rPr>
              <w:t>HARGES</w:t>
            </w:r>
            <w:r>
              <w:rPr>
                <w:b w:val="0"/>
                <w:i w:val="0"/>
                <w:sz w:val="19"/>
              </w:rPr>
              <w:tab/>
            </w:r>
            <w:r>
              <w:rPr>
                <w:b w:val="0"/>
                <w:i w:val="0"/>
                <w:sz w:val="24"/>
              </w:rPr>
              <w:t>303</w:t>
            </w:r>
          </w:hyperlink>
        </w:p>
        <w:p w:rsidR="007C5447" w:rsidRDefault="00F6308C">
          <w:pPr>
            <w:pStyle w:val="TOC2"/>
            <w:numPr>
              <w:ilvl w:val="1"/>
              <w:numId w:val="115"/>
            </w:numPr>
            <w:tabs>
              <w:tab w:val="left" w:pos="721"/>
              <w:tab w:val="left" w:pos="723"/>
              <w:tab w:val="left" w:leader="dot" w:pos="8881"/>
            </w:tabs>
            <w:spacing w:before="137"/>
            <w:ind w:hanging="503"/>
            <w:rPr>
              <w:sz w:val="24"/>
            </w:rPr>
          </w:pPr>
          <w:hyperlink w:anchor="_bookmark85" w:history="1">
            <w:r>
              <w:rPr>
                <w:sz w:val="24"/>
              </w:rPr>
              <w:t>L</w:t>
            </w:r>
            <w:r>
              <w:t xml:space="preserve">OSSES </w:t>
            </w:r>
            <w:r>
              <w:rPr>
                <w:sz w:val="24"/>
              </w:rPr>
              <w:t>A</w:t>
            </w:r>
            <w:r>
              <w:t xml:space="preserve">PPLICABLE FOR </w:t>
            </w:r>
            <w:r>
              <w:rPr>
                <w:sz w:val="24"/>
              </w:rPr>
              <w:t>O</w:t>
            </w:r>
            <w:r>
              <w:t>PEN</w:t>
            </w:r>
            <w:r>
              <w:rPr>
                <w:spacing w:val="-7"/>
              </w:rPr>
              <w:t xml:space="preserve"> </w:t>
            </w:r>
            <w:r>
              <w:rPr>
                <w:sz w:val="24"/>
              </w:rPr>
              <w:t>A</w:t>
            </w:r>
            <w:r>
              <w:t>CCESS TRANSACTIONS</w:t>
            </w:r>
            <w:r>
              <w:tab/>
            </w:r>
            <w:r>
              <w:rPr>
                <w:sz w:val="24"/>
              </w:rPr>
              <w:t>306</w:t>
            </w:r>
          </w:hyperlink>
        </w:p>
        <w:p w:rsidR="007C5447" w:rsidRDefault="00F6308C">
          <w:pPr>
            <w:pStyle w:val="TOC3"/>
            <w:numPr>
              <w:ilvl w:val="1"/>
              <w:numId w:val="115"/>
            </w:numPr>
            <w:tabs>
              <w:tab w:val="left" w:pos="833"/>
              <w:tab w:val="left" w:leader="dot" w:pos="8881"/>
            </w:tabs>
            <w:spacing w:before="139"/>
            <w:ind w:left="832" w:hanging="613"/>
            <w:rPr>
              <w:b w:val="0"/>
              <w:i w:val="0"/>
              <w:sz w:val="24"/>
            </w:rPr>
          </w:pPr>
          <w:hyperlink w:anchor="_bookmark86" w:history="1">
            <w:r>
              <w:rPr>
                <w:b w:val="0"/>
                <w:i w:val="0"/>
                <w:sz w:val="24"/>
              </w:rPr>
              <w:t>C</w:t>
            </w:r>
            <w:r>
              <w:rPr>
                <w:b w:val="0"/>
                <w:i w:val="0"/>
                <w:sz w:val="19"/>
              </w:rPr>
              <w:t>ROSS</w:t>
            </w:r>
            <w:r>
              <w:rPr>
                <w:b w:val="0"/>
                <w:i w:val="0"/>
                <w:sz w:val="24"/>
              </w:rPr>
              <w:t>-S</w:t>
            </w:r>
            <w:r>
              <w:rPr>
                <w:b w:val="0"/>
                <w:i w:val="0"/>
                <w:sz w:val="19"/>
              </w:rPr>
              <w:t>UBSIDY</w:t>
            </w:r>
            <w:r>
              <w:rPr>
                <w:b w:val="0"/>
                <w:i w:val="0"/>
                <w:spacing w:val="-2"/>
                <w:sz w:val="19"/>
              </w:rPr>
              <w:t xml:space="preserve"> </w:t>
            </w:r>
            <w:r>
              <w:rPr>
                <w:b w:val="0"/>
                <w:i w:val="0"/>
                <w:sz w:val="24"/>
              </w:rPr>
              <w:t>S</w:t>
            </w:r>
            <w:r>
              <w:rPr>
                <w:b w:val="0"/>
                <w:i w:val="0"/>
                <w:sz w:val="19"/>
              </w:rPr>
              <w:t>URCHARGE</w:t>
            </w:r>
            <w:r>
              <w:rPr>
                <w:b w:val="0"/>
                <w:i w:val="0"/>
                <w:sz w:val="19"/>
              </w:rPr>
              <w:tab/>
            </w:r>
            <w:r>
              <w:rPr>
                <w:b w:val="0"/>
                <w:i w:val="0"/>
                <w:sz w:val="24"/>
              </w:rPr>
              <w:t>307</w:t>
            </w:r>
          </w:hyperlink>
        </w:p>
        <w:p w:rsidR="007C5447" w:rsidRDefault="00F6308C">
          <w:pPr>
            <w:pStyle w:val="TOC3"/>
            <w:numPr>
              <w:ilvl w:val="1"/>
              <w:numId w:val="115"/>
            </w:numPr>
            <w:tabs>
              <w:tab w:val="left" w:pos="833"/>
              <w:tab w:val="left" w:leader="dot" w:pos="8881"/>
            </w:tabs>
            <w:ind w:left="832" w:hanging="613"/>
            <w:rPr>
              <w:b w:val="0"/>
              <w:i w:val="0"/>
              <w:sz w:val="24"/>
            </w:rPr>
          </w:pPr>
          <w:hyperlink w:anchor="_bookmark87" w:history="1">
            <w:r>
              <w:rPr>
                <w:b w:val="0"/>
                <w:i w:val="0"/>
                <w:sz w:val="24"/>
              </w:rPr>
              <w:t>A</w:t>
            </w:r>
            <w:r>
              <w:rPr>
                <w:b w:val="0"/>
                <w:i w:val="0"/>
                <w:sz w:val="19"/>
              </w:rPr>
              <w:t>DDITIONAL</w:t>
            </w:r>
            <w:r>
              <w:rPr>
                <w:b w:val="0"/>
                <w:i w:val="0"/>
                <w:spacing w:val="-5"/>
                <w:sz w:val="19"/>
              </w:rPr>
              <w:t xml:space="preserve"> </w:t>
            </w:r>
            <w:r>
              <w:rPr>
                <w:b w:val="0"/>
                <w:i w:val="0"/>
                <w:sz w:val="24"/>
              </w:rPr>
              <w:t>S</w:t>
            </w:r>
            <w:r>
              <w:rPr>
                <w:b w:val="0"/>
                <w:i w:val="0"/>
                <w:sz w:val="19"/>
              </w:rPr>
              <w:t>URCHARGE</w:t>
            </w:r>
            <w:r>
              <w:rPr>
                <w:b w:val="0"/>
                <w:i w:val="0"/>
                <w:sz w:val="19"/>
              </w:rPr>
              <w:tab/>
            </w:r>
            <w:r>
              <w:rPr>
                <w:b w:val="0"/>
                <w:i w:val="0"/>
                <w:sz w:val="24"/>
              </w:rPr>
              <w:t>309</w:t>
            </w:r>
          </w:hyperlink>
        </w:p>
        <w:p w:rsidR="007C5447" w:rsidRDefault="00F6308C">
          <w:pPr>
            <w:pStyle w:val="TOC3"/>
            <w:numPr>
              <w:ilvl w:val="1"/>
              <w:numId w:val="115"/>
            </w:numPr>
            <w:tabs>
              <w:tab w:val="left" w:pos="833"/>
              <w:tab w:val="left" w:leader="dot" w:pos="8881"/>
            </w:tabs>
            <w:spacing w:before="139"/>
            <w:ind w:left="832" w:hanging="613"/>
            <w:rPr>
              <w:b w:val="0"/>
              <w:i w:val="0"/>
              <w:sz w:val="24"/>
            </w:rPr>
          </w:pPr>
          <w:hyperlink w:anchor="_bookmark88" w:history="1">
            <w:r>
              <w:rPr>
                <w:b w:val="0"/>
                <w:i w:val="0"/>
                <w:sz w:val="24"/>
              </w:rPr>
              <w:t>G</w:t>
            </w:r>
            <w:r>
              <w:rPr>
                <w:b w:val="0"/>
                <w:i w:val="0"/>
                <w:sz w:val="19"/>
              </w:rPr>
              <w:t>RID</w:t>
            </w:r>
            <w:r>
              <w:rPr>
                <w:b w:val="0"/>
                <w:i w:val="0"/>
                <w:spacing w:val="-2"/>
                <w:sz w:val="19"/>
              </w:rPr>
              <w:t xml:space="preserve"> </w:t>
            </w:r>
            <w:r>
              <w:rPr>
                <w:b w:val="0"/>
                <w:i w:val="0"/>
                <w:sz w:val="24"/>
              </w:rPr>
              <w:t>A</w:t>
            </w:r>
            <w:r>
              <w:rPr>
                <w:b w:val="0"/>
                <w:i w:val="0"/>
                <w:sz w:val="19"/>
              </w:rPr>
              <w:t>VAILABILITY</w:t>
            </w:r>
            <w:r>
              <w:rPr>
                <w:b w:val="0"/>
                <w:i w:val="0"/>
                <w:spacing w:val="-1"/>
                <w:sz w:val="19"/>
              </w:rPr>
              <w:t xml:space="preserve"> </w:t>
            </w:r>
            <w:r>
              <w:rPr>
                <w:b w:val="0"/>
                <w:i w:val="0"/>
                <w:sz w:val="24"/>
              </w:rPr>
              <w:t>C</w:t>
            </w:r>
            <w:r>
              <w:rPr>
                <w:b w:val="0"/>
                <w:i w:val="0"/>
                <w:sz w:val="19"/>
              </w:rPr>
              <w:t>HARGES</w:t>
            </w:r>
            <w:r>
              <w:rPr>
                <w:b w:val="0"/>
                <w:i w:val="0"/>
                <w:sz w:val="19"/>
              </w:rPr>
              <w:tab/>
            </w:r>
            <w:r>
              <w:rPr>
                <w:b w:val="0"/>
                <w:i w:val="0"/>
                <w:sz w:val="24"/>
              </w:rPr>
              <w:t>309</w:t>
            </w:r>
          </w:hyperlink>
        </w:p>
        <w:p w:rsidR="007C5447" w:rsidRDefault="00F6308C">
          <w:pPr>
            <w:pStyle w:val="TOC3"/>
            <w:numPr>
              <w:ilvl w:val="1"/>
              <w:numId w:val="115"/>
            </w:numPr>
            <w:tabs>
              <w:tab w:val="left" w:pos="833"/>
              <w:tab w:val="left" w:leader="dot" w:pos="8881"/>
            </w:tabs>
            <w:ind w:left="832" w:hanging="613"/>
            <w:rPr>
              <w:b w:val="0"/>
              <w:i w:val="0"/>
              <w:sz w:val="24"/>
            </w:rPr>
          </w:pPr>
          <w:hyperlink w:anchor="_bookmark89" w:history="1">
            <w:r>
              <w:rPr>
                <w:b w:val="0"/>
                <w:i w:val="0"/>
                <w:sz w:val="24"/>
              </w:rPr>
              <w:t>T</w:t>
            </w:r>
            <w:r>
              <w:rPr>
                <w:b w:val="0"/>
                <w:i w:val="0"/>
                <w:sz w:val="19"/>
              </w:rPr>
              <w:t xml:space="preserve">IME OF </w:t>
            </w:r>
            <w:r>
              <w:rPr>
                <w:b w:val="0"/>
                <w:i w:val="0"/>
                <w:sz w:val="24"/>
              </w:rPr>
              <w:t>D</w:t>
            </w:r>
            <w:r>
              <w:rPr>
                <w:b w:val="0"/>
                <w:i w:val="0"/>
                <w:sz w:val="19"/>
              </w:rPr>
              <w:t>AY</w:t>
            </w:r>
            <w:r>
              <w:rPr>
                <w:b w:val="0"/>
                <w:i w:val="0"/>
                <w:spacing w:val="-5"/>
                <w:sz w:val="19"/>
              </w:rPr>
              <w:t xml:space="preserve"> </w:t>
            </w:r>
            <w:r>
              <w:rPr>
                <w:b w:val="0"/>
                <w:i w:val="0"/>
                <w:sz w:val="24"/>
              </w:rPr>
              <w:t>T</w:t>
            </w:r>
            <w:r>
              <w:rPr>
                <w:b w:val="0"/>
                <w:i w:val="0"/>
                <w:sz w:val="19"/>
              </w:rPr>
              <w:t>ARIFF</w:t>
            </w:r>
            <w:r>
              <w:rPr>
                <w:b w:val="0"/>
                <w:i w:val="0"/>
                <w:spacing w:val="-2"/>
                <w:sz w:val="19"/>
              </w:rPr>
              <w:t xml:space="preserve"> </w:t>
            </w:r>
            <w:r>
              <w:rPr>
                <w:b w:val="0"/>
                <w:i w:val="0"/>
                <w:sz w:val="24"/>
              </w:rPr>
              <w:t>(T</w:t>
            </w:r>
            <w:r>
              <w:rPr>
                <w:b w:val="0"/>
                <w:i w:val="0"/>
                <w:sz w:val="19"/>
              </w:rPr>
              <w:t>O</w:t>
            </w:r>
            <w:r>
              <w:rPr>
                <w:b w:val="0"/>
                <w:i w:val="0"/>
                <w:sz w:val="24"/>
              </w:rPr>
              <w:t>D)</w:t>
            </w:r>
            <w:r>
              <w:rPr>
                <w:b w:val="0"/>
                <w:i w:val="0"/>
                <w:sz w:val="24"/>
              </w:rPr>
              <w:tab/>
              <w:t>312</w:t>
            </w:r>
          </w:hyperlink>
        </w:p>
        <w:p w:rsidR="007C5447" w:rsidRDefault="00F6308C">
          <w:pPr>
            <w:pStyle w:val="TOC1"/>
            <w:numPr>
              <w:ilvl w:val="0"/>
              <w:numId w:val="115"/>
            </w:numPr>
            <w:tabs>
              <w:tab w:val="left" w:pos="551"/>
              <w:tab w:val="left" w:pos="552"/>
              <w:tab w:val="left" w:leader="dot" w:pos="8881"/>
            </w:tabs>
            <w:spacing w:before="499"/>
            <w:rPr>
              <w:u w:val="none"/>
            </w:rPr>
          </w:pPr>
          <w:hyperlink w:anchor="_bookmark90" w:history="1">
            <w:r>
              <w:t>TARIFF</w:t>
            </w:r>
            <w:r>
              <w:rPr>
                <w:spacing w:val="-4"/>
              </w:rPr>
              <w:t xml:space="preserve"> </w:t>
            </w:r>
            <w:r>
              <w:t>SCHEDULE</w:t>
            </w:r>
            <w:r>
              <w:rPr>
                <w:u w:val="none"/>
              </w:rPr>
              <w:tab/>
            </w:r>
            <w:r>
              <w:t>320</w:t>
            </w:r>
          </w:hyperlink>
        </w:p>
        <w:p w:rsidR="007C5447" w:rsidRDefault="00F6308C">
          <w:pPr>
            <w:pStyle w:val="TOC2"/>
            <w:numPr>
              <w:ilvl w:val="1"/>
              <w:numId w:val="115"/>
            </w:numPr>
            <w:tabs>
              <w:tab w:val="left" w:pos="721"/>
              <w:tab w:val="left" w:pos="723"/>
              <w:tab w:val="left" w:leader="dot" w:pos="8881"/>
            </w:tabs>
            <w:spacing w:before="137"/>
            <w:ind w:hanging="503"/>
            <w:rPr>
              <w:sz w:val="24"/>
            </w:rPr>
          </w:pPr>
          <w:hyperlink w:anchor="_bookmark91" w:history="1">
            <w:r>
              <w:rPr>
                <w:sz w:val="24"/>
              </w:rPr>
              <w:t>T</w:t>
            </w:r>
            <w:r>
              <w:t xml:space="preserve">ARIFF FOR </w:t>
            </w:r>
            <w:r>
              <w:rPr>
                <w:sz w:val="24"/>
              </w:rPr>
              <w:t>H</w:t>
            </w:r>
            <w:r>
              <w:t xml:space="preserve">IGH </w:t>
            </w:r>
            <w:r>
              <w:rPr>
                <w:sz w:val="24"/>
              </w:rPr>
              <w:t>T</w:t>
            </w:r>
            <w:r>
              <w:t>ENSION</w:t>
            </w:r>
            <w:r>
              <w:rPr>
                <w:spacing w:val="-7"/>
              </w:rPr>
              <w:t xml:space="preserve"> </w:t>
            </w:r>
            <w:r>
              <w:rPr>
                <w:sz w:val="24"/>
              </w:rPr>
              <w:t>S</w:t>
            </w:r>
            <w:r>
              <w:t>UPPLY</w:t>
            </w:r>
            <w:r>
              <w:rPr>
                <w:spacing w:val="-2"/>
              </w:rPr>
              <w:t xml:space="preserve"> </w:t>
            </w:r>
            <w:r>
              <w:rPr>
                <w:sz w:val="24"/>
              </w:rPr>
              <w:t>C</w:t>
            </w:r>
            <w:r>
              <w:t>ONSUMERS</w:t>
            </w:r>
            <w:r>
              <w:tab/>
            </w:r>
            <w:r>
              <w:rPr>
                <w:sz w:val="24"/>
              </w:rPr>
              <w:t>320</w:t>
            </w:r>
          </w:hyperlink>
        </w:p>
        <w:p w:rsidR="007C5447" w:rsidRDefault="00F6308C">
          <w:pPr>
            <w:pStyle w:val="TOC2"/>
            <w:numPr>
              <w:ilvl w:val="1"/>
              <w:numId w:val="115"/>
            </w:numPr>
            <w:tabs>
              <w:tab w:val="left" w:pos="721"/>
              <w:tab w:val="left" w:pos="723"/>
              <w:tab w:val="left" w:leader="dot" w:pos="8881"/>
            </w:tabs>
            <w:ind w:hanging="503"/>
            <w:rPr>
              <w:sz w:val="24"/>
            </w:rPr>
          </w:pPr>
          <w:hyperlink w:anchor="_bookmark92" w:history="1">
            <w:r>
              <w:rPr>
                <w:sz w:val="24"/>
              </w:rPr>
              <w:t>T</w:t>
            </w:r>
            <w:r>
              <w:t xml:space="preserve">ARIFF FOR </w:t>
            </w:r>
            <w:r>
              <w:rPr>
                <w:sz w:val="24"/>
              </w:rPr>
              <w:t>L</w:t>
            </w:r>
            <w:r>
              <w:t xml:space="preserve">OW </w:t>
            </w:r>
            <w:r>
              <w:rPr>
                <w:sz w:val="24"/>
              </w:rPr>
              <w:t>T</w:t>
            </w:r>
            <w:r>
              <w:t>ENSION</w:t>
            </w:r>
            <w:r>
              <w:rPr>
                <w:spacing w:val="-5"/>
              </w:rPr>
              <w:t xml:space="preserve"> </w:t>
            </w:r>
            <w:r>
              <w:rPr>
                <w:sz w:val="24"/>
              </w:rPr>
              <w:t>S</w:t>
            </w:r>
            <w:r>
              <w:t>UPPLY</w:t>
            </w:r>
            <w:r>
              <w:rPr>
                <w:spacing w:val="-2"/>
              </w:rPr>
              <w:t xml:space="preserve"> </w:t>
            </w:r>
            <w:r>
              <w:rPr>
                <w:sz w:val="24"/>
              </w:rPr>
              <w:t>C</w:t>
            </w:r>
            <w:r>
              <w:t>ONSUMERS</w:t>
            </w:r>
            <w:r>
              <w:tab/>
            </w:r>
            <w:r>
              <w:rPr>
                <w:sz w:val="24"/>
              </w:rPr>
              <w:t>327</w:t>
            </w:r>
          </w:hyperlink>
        </w:p>
        <w:p w:rsidR="007C5447" w:rsidRDefault="00F6308C">
          <w:pPr>
            <w:pStyle w:val="TOC2"/>
            <w:numPr>
              <w:ilvl w:val="1"/>
              <w:numId w:val="115"/>
            </w:numPr>
            <w:tabs>
              <w:tab w:val="left" w:pos="721"/>
              <w:tab w:val="left" w:pos="723"/>
              <w:tab w:val="left" w:leader="dot" w:pos="8881"/>
            </w:tabs>
            <w:spacing w:before="137"/>
            <w:ind w:hanging="503"/>
            <w:rPr>
              <w:sz w:val="24"/>
            </w:rPr>
          </w:pPr>
          <w:hyperlink w:anchor="_bookmark93" w:history="1">
            <w:r>
              <w:rPr>
                <w:sz w:val="24"/>
              </w:rPr>
              <w:t>A</w:t>
            </w:r>
            <w:r>
              <w:t>PPLICABILITY OF THE</w:t>
            </w:r>
            <w:r>
              <w:rPr>
                <w:spacing w:val="-6"/>
              </w:rPr>
              <w:t xml:space="preserve"> </w:t>
            </w:r>
            <w:r>
              <w:rPr>
                <w:sz w:val="24"/>
              </w:rPr>
              <w:t>T</w:t>
            </w:r>
            <w:r>
              <w:t>ARIFF</w:t>
            </w:r>
            <w:r>
              <w:rPr>
                <w:spacing w:val="-4"/>
              </w:rPr>
              <w:t xml:space="preserve"> </w:t>
            </w:r>
            <w:r>
              <w:rPr>
                <w:sz w:val="24"/>
              </w:rPr>
              <w:t>S</w:t>
            </w:r>
            <w:r>
              <w:t>CHEDULE</w:t>
            </w:r>
            <w:r>
              <w:tab/>
            </w:r>
            <w:r>
              <w:rPr>
                <w:sz w:val="24"/>
              </w:rPr>
              <w:t>341</w:t>
            </w:r>
          </w:hyperlink>
        </w:p>
        <w:p w:rsidR="007C5447" w:rsidRDefault="00F6308C">
          <w:pPr>
            <w:pStyle w:val="TOC1"/>
            <w:numPr>
              <w:ilvl w:val="0"/>
              <w:numId w:val="115"/>
            </w:numPr>
            <w:tabs>
              <w:tab w:val="left" w:pos="551"/>
              <w:tab w:val="left" w:pos="552"/>
              <w:tab w:val="left" w:leader="dot" w:pos="8881"/>
            </w:tabs>
            <w:rPr>
              <w:u w:val="none"/>
            </w:rPr>
          </w:pPr>
          <w:hyperlink w:anchor="_bookmark94" w:history="1">
            <w:r>
              <w:t>SUMM</w:t>
            </w:r>
            <w:r>
              <w:t>ARY</w:t>
            </w:r>
            <w:r>
              <w:rPr>
                <w:spacing w:val="6"/>
              </w:rPr>
              <w:t xml:space="preserve"> </w:t>
            </w:r>
            <w:r>
              <w:t>OF</w:t>
            </w:r>
            <w:r>
              <w:rPr>
                <w:spacing w:val="4"/>
              </w:rPr>
              <w:t xml:space="preserve"> </w:t>
            </w:r>
            <w:r>
              <w:t>DIRECTIVES</w:t>
            </w:r>
            <w:r>
              <w:rPr>
                <w:u w:val="none"/>
              </w:rPr>
              <w:tab/>
            </w:r>
            <w:r>
              <w:t>343</w:t>
            </w:r>
          </w:hyperlink>
        </w:p>
        <w:p w:rsidR="007C5447" w:rsidRDefault="00F6308C">
          <w:pPr>
            <w:pStyle w:val="TOC4"/>
            <w:tabs>
              <w:tab w:val="right" w:leader="dot" w:pos="9241"/>
            </w:tabs>
            <w:rPr>
              <w:u w:val="none"/>
            </w:rPr>
          </w:pPr>
          <w:hyperlink w:anchor="_bookmark95" w:history="1">
            <w:r>
              <w:t>APPENDIX</w:t>
            </w:r>
            <w:r>
              <w:rPr>
                <w:spacing w:val="-1"/>
              </w:rPr>
              <w:t xml:space="preserve"> </w:t>
            </w:r>
            <w:r>
              <w:rPr>
                <w:spacing w:val="14"/>
              </w:rPr>
              <w:t>1</w:t>
            </w:r>
            <w:r>
              <w:rPr>
                <w:spacing w:val="14"/>
                <w:u w:val="none"/>
              </w:rPr>
              <w:tab/>
            </w:r>
            <w:r>
              <w:t>346</w:t>
            </w:r>
          </w:hyperlink>
        </w:p>
        <w:p w:rsidR="007C5447" w:rsidRDefault="00F6308C">
          <w:pPr>
            <w:pStyle w:val="TOC4"/>
            <w:tabs>
              <w:tab w:val="right" w:leader="dot" w:pos="9241"/>
            </w:tabs>
            <w:spacing w:before="499"/>
            <w:rPr>
              <w:u w:val="none"/>
            </w:rPr>
          </w:pPr>
          <w:hyperlink w:anchor="_bookmark96" w:history="1">
            <w:r>
              <w:t>APPENDIX</w:t>
            </w:r>
            <w:r>
              <w:rPr>
                <w:spacing w:val="-1"/>
              </w:rPr>
              <w:t xml:space="preserve"> </w:t>
            </w:r>
            <w:r>
              <w:rPr>
                <w:spacing w:val="14"/>
              </w:rPr>
              <w:t>2</w:t>
            </w:r>
            <w:r>
              <w:rPr>
                <w:spacing w:val="14"/>
                <w:u w:val="none"/>
              </w:rPr>
              <w:tab/>
            </w:r>
            <w:r>
              <w:t>356</w:t>
            </w:r>
          </w:hyperlink>
        </w:p>
        <w:p w:rsidR="007C5447" w:rsidRDefault="00F6308C">
          <w:pPr>
            <w:pStyle w:val="TOC4"/>
            <w:tabs>
              <w:tab w:val="left" w:leader="dot" w:pos="8881"/>
            </w:tabs>
            <w:rPr>
              <w:u w:val="none"/>
            </w:rPr>
          </w:pPr>
          <w:hyperlink w:anchor="_bookmark97" w:history="1">
            <w:r>
              <w:t>ANNEXURES</w:t>
            </w:r>
            <w:r>
              <w:rPr>
                <w:u w:val="none"/>
              </w:rPr>
              <w:tab/>
            </w:r>
            <w:r>
              <w:t>370</w:t>
            </w:r>
          </w:hyperlink>
        </w:p>
        <w:p w:rsidR="007C5447" w:rsidRDefault="00F6308C">
          <w:pPr>
            <w:pStyle w:val="TOC5"/>
            <w:tabs>
              <w:tab w:val="left" w:leader="dot" w:pos="8881"/>
            </w:tabs>
            <w:spacing w:before="139"/>
            <w:rPr>
              <w:sz w:val="24"/>
            </w:rPr>
          </w:pPr>
          <w:hyperlink w:anchor="_bookmark98" w:history="1">
            <w:r>
              <w:rPr>
                <w:sz w:val="24"/>
              </w:rPr>
              <w:t>A</w:t>
            </w:r>
            <w:r>
              <w:t xml:space="preserve">NNEXURE </w:t>
            </w:r>
            <w:r>
              <w:rPr>
                <w:sz w:val="24"/>
              </w:rPr>
              <w:t>I- T</w:t>
            </w:r>
            <w:r>
              <w:t xml:space="preserve">HE LIST OF PARTICIPANTS AT THE </w:t>
            </w:r>
            <w:r>
              <w:rPr>
                <w:sz w:val="24"/>
              </w:rPr>
              <w:t>S</w:t>
            </w:r>
            <w:r>
              <w:t>TATE</w:t>
            </w:r>
            <w:r>
              <w:rPr>
                <w:spacing w:val="-28"/>
              </w:rPr>
              <w:t xml:space="preserve"> </w:t>
            </w:r>
            <w:r>
              <w:rPr>
                <w:sz w:val="24"/>
              </w:rPr>
              <w:t>A</w:t>
            </w:r>
            <w:r>
              <w:t xml:space="preserve">DVISORY </w:t>
            </w:r>
            <w:r>
              <w:rPr>
                <w:sz w:val="24"/>
              </w:rPr>
              <w:t>C</w:t>
            </w:r>
            <w:r>
              <w:t>OMMITTEE</w:t>
            </w:r>
            <w:r>
              <w:tab/>
            </w:r>
            <w:r>
              <w:rPr>
                <w:sz w:val="24"/>
              </w:rPr>
              <w:t>370</w:t>
            </w:r>
          </w:hyperlink>
        </w:p>
        <w:p w:rsidR="007C5447" w:rsidRDefault="00F6308C">
          <w:pPr>
            <w:pStyle w:val="TOC5"/>
            <w:tabs>
              <w:tab w:val="left" w:leader="dot" w:pos="8881"/>
            </w:tabs>
            <w:spacing w:before="137" w:line="362" w:lineRule="auto"/>
            <w:ind w:right="225"/>
            <w:rPr>
              <w:sz w:val="24"/>
            </w:rPr>
          </w:pPr>
          <w:hyperlink w:anchor="_bookmark99" w:history="1">
            <w:r>
              <w:rPr>
                <w:sz w:val="24"/>
              </w:rPr>
              <w:t>A</w:t>
            </w:r>
            <w:r>
              <w:t xml:space="preserve">NNEXURE </w:t>
            </w:r>
            <w:r>
              <w:rPr>
                <w:sz w:val="24"/>
              </w:rPr>
              <w:t>II- T</w:t>
            </w:r>
            <w:r>
              <w:t>HE LIST OF STAKEHOLDERS WHO HAVE SUBMITTED WRITTEN OBJECTIONS</w:t>
            </w:r>
            <w:r>
              <w:rPr>
                <w:sz w:val="24"/>
              </w:rPr>
              <w:t>/</w:t>
            </w:r>
          </w:hyperlink>
          <w:r>
            <w:rPr>
              <w:sz w:val="24"/>
            </w:rPr>
            <w:t xml:space="preserve"> </w:t>
          </w:r>
          <w:hyperlink w:anchor="_bookmark99" w:history="1">
            <w:r>
              <w:t>SUGGESTIONS</w:t>
            </w:r>
            <w:r>
              <w:rPr>
                <w:sz w:val="24"/>
              </w:rPr>
              <w:t xml:space="preserve">/ </w:t>
            </w:r>
            <w:r>
              <w:t>VIEWS IN RESPONSE TO</w:t>
            </w:r>
            <w:r>
              <w:rPr>
                <w:spacing w:val="-19"/>
              </w:rPr>
              <w:t xml:space="preserve"> </w:t>
            </w:r>
            <w:r>
              <w:rPr>
                <w:sz w:val="24"/>
              </w:rPr>
              <w:t>P</w:t>
            </w:r>
            <w:r>
              <w:t>UBLIC</w:t>
            </w:r>
            <w:r>
              <w:rPr>
                <w:spacing w:val="-1"/>
              </w:rPr>
              <w:t xml:space="preserve"> </w:t>
            </w:r>
            <w:r>
              <w:rPr>
                <w:sz w:val="24"/>
              </w:rPr>
              <w:t>N</w:t>
            </w:r>
            <w:r>
              <w:t>OTICE</w:t>
            </w:r>
            <w:r>
              <w:tab/>
            </w:r>
            <w:r>
              <w:rPr>
                <w:spacing w:val="-6"/>
                <w:sz w:val="24"/>
              </w:rPr>
              <w:t>371</w:t>
            </w:r>
          </w:hyperlink>
        </w:p>
        <w:p w:rsidR="007C5447" w:rsidRDefault="00F6308C">
          <w:pPr>
            <w:pStyle w:val="TOC5"/>
            <w:tabs>
              <w:tab w:val="left" w:leader="dot" w:pos="8881"/>
            </w:tabs>
            <w:spacing w:line="271" w:lineRule="exact"/>
            <w:rPr>
              <w:sz w:val="24"/>
            </w:rPr>
          </w:pPr>
          <w:hyperlink w:anchor="_bookmark100" w:history="1">
            <w:r>
              <w:rPr>
                <w:sz w:val="24"/>
              </w:rPr>
              <w:t>A</w:t>
            </w:r>
            <w:r>
              <w:t xml:space="preserve">NNEXURE </w:t>
            </w:r>
            <w:r>
              <w:rPr>
                <w:sz w:val="24"/>
              </w:rPr>
              <w:t>III- T</w:t>
            </w:r>
            <w:r>
              <w:t>HE LIST OF PARTICIPANTS AT EACH</w:t>
            </w:r>
            <w:r>
              <w:rPr>
                <w:spacing w:val="-26"/>
              </w:rPr>
              <w:t xml:space="preserve"> </w:t>
            </w:r>
            <w:r>
              <w:rPr>
                <w:sz w:val="24"/>
              </w:rPr>
              <w:t>P</w:t>
            </w:r>
            <w:r>
              <w:t>UBLIC</w:t>
            </w:r>
            <w:r>
              <w:rPr>
                <w:spacing w:val="-1"/>
              </w:rPr>
              <w:t xml:space="preserve"> </w:t>
            </w:r>
            <w:r>
              <w:rPr>
                <w:sz w:val="24"/>
              </w:rPr>
              <w:t>H</w:t>
            </w:r>
            <w:r>
              <w:t>EARING</w:t>
            </w:r>
            <w:r>
              <w:tab/>
            </w:r>
            <w:r>
              <w:rPr>
                <w:sz w:val="24"/>
              </w:rPr>
              <w:t>383</w:t>
            </w:r>
          </w:hyperlink>
        </w:p>
      </w:sdtContent>
    </w:sdt>
    <w:p w:rsidR="007C5447" w:rsidRDefault="007C5447">
      <w:pPr>
        <w:spacing w:line="271" w:lineRule="exact"/>
        <w:rPr>
          <w:sz w:val="24"/>
        </w:rPr>
        <w:sectPr w:rsidR="007C5447">
          <w:type w:val="continuous"/>
          <w:pgSz w:w="11910" w:h="16840"/>
          <w:pgMar w:top="1519" w:right="1220" w:bottom="2517" w:left="1220" w:header="720" w:footer="720" w:gutter="0"/>
          <w:cols w:space="720"/>
        </w:sectPr>
      </w:pPr>
    </w:p>
    <w:p w:rsidR="007C5447" w:rsidRDefault="00F6308C">
      <w:pPr>
        <w:spacing w:before="139" w:line="360" w:lineRule="auto"/>
        <w:ind w:left="220"/>
        <w:rPr>
          <w:sz w:val="24"/>
        </w:rPr>
      </w:pPr>
      <w:hyperlink w:anchor="_bookmark101" w:history="1">
        <w:r>
          <w:rPr>
            <w:sz w:val="24"/>
          </w:rPr>
          <w:t>A</w:t>
        </w:r>
        <w:r>
          <w:rPr>
            <w:sz w:val="19"/>
          </w:rPr>
          <w:t xml:space="preserve">NNEXURE </w:t>
        </w:r>
        <w:r>
          <w:rPr>
            <w:sz w:val="24"/>
          </w:rPr>
          <w:t>IV - C</w:t>
        </w:r>
        <w:r>
          <w:rPr>
            <w:sz w:val="19"/>
          </w:rPr>
          <w:t xml:space="preserve">OPY OF THE </w:t>
        </w:r>
        <w:r>
          <w:rPr>
            <w:sz w:val="24"/>
          </w:rPr>
          <w:t>F</w:t>
        </w:r>
        <w:r>
          <w:rPr>
            <w:sz w:val="19"/>
          </w:rPr>
          <w:t xml:space="preserve">INAL </w:t>
        </w:r>
        <w:r>
          <w:rPr>
            <w:sz w:val="24"/>
          </w:rPr>
          <w:t>T</w:t>
        </w:r>
        <w:r>
          <w:rPr>
            <w:sz w:val="19"/>
          </w:rPr>
          <w:t xml:space="preserve">RANSFER </w:t>
        </w:r>
        <w:r>
          <w:rPr>
            <w:sz w:val="24"/>
          </w:rPr>
          <w:t>S</w:t>
        </w:r>
        <w:r>
          <w:rPr>
            <w:sz w:val="19"/>
          </w:rPr>
          <w:t xml:space="preserve">CHEME AS NOTIFIED BY THE </w:t>
        </w:r>
        <w:r>
          <w:rPr>
            <w:sz w:val="24"/>
          </w:rPr>
          <w:t>S</w:t>
        </w:r>
        <w:r>
          <w:rPr>
            <w:sz w:val="19"/>
          </w:rPr>
          <w:t>TATE</w:t>
        </w:r>
      </w:hyperlink>
      <w:r>
        <w:rPr>
          <w:sz w:val="19"/>
        </w:rPr>
        <w:t xml:space="preserve"> </w:t>
      </w:r>
      <w:hyperlink w:anchor="_bookmark101" w:history="1">
        <w:r>
          <w:rPr>
            <w:sz w:val="24"/>
          </w:rPr>
          <w:t>G</w:t>
        </w:r>
        <w:r>
          <w:rPr>
            <w:sz w:val="19"/>
          </w:rPr>
          <w:t>OVERNMENT</w:t>
        </w:r>
        <w:r>
          <w:rPr>
            <w:spacing w:val="-5"/>
            <w:sz w:val="19"/>
          </w:rPr>
          <w:t xml:space="preserve"> </w:t>
        </w:r>
        <w:r>
          <w:rPr>
            <w:sz w:val="19"/>
          </w:rPr>
          <w:t>VIDE</w:t>
        </w:r>
        <w:r>
          <w:rPr>
            <w:spacing w:val="-2"/>
            <w:sz w:val="19"/>
          </w:rPr>
          <w:t xml:space="preserve"> </w:t>
        </w:r>
        <w:r>
          <w:rPr>
            <w:sz w:val="24"/>
          </w:rPr>
          <w:t>G.O.</w:t>
        </w:r>
        <w:r>
          <w:rPr>
            <w:spacing w:val="-11"/>
            <w:sz w:val="24"/>
          </w:rPr>
          <w:t xml:space="preserve"> </w:t>
        </w:r>
        <w:r>
          <w:rPr>
            <w:sz w:val="24"/>
          </w:rPr>
          <w:t>(M</w:t>
        </w:r>
        <w:r>
          <w:rPr>
            <w:sz w:val="19"/>
          </w:rPr>
          <w:t>S</w:t>
        </w:r>
        <w:r>
          <w:rPr>
            <w:sz w:val="24"/>
          </w:rPr>
          <w:t>.)</w:t>
        </w:r>
        <w:r>
          <w:rPr>
            <w:spacing w:val="-15"/>
            <w:sz w:val="24"/>
          </w:rPr>
          <w:t xml:space="preserve"> </w:t>
        </w:r>
        <w:r>
          <w:rPr>
            <w:sz w:val="24"/>
          </w:rPr>
          <w:t>N</w:t>
        </w:r>
        <w:r>
          <w:rPr>
            <w:sz w:val="19"/>
          </w:rPr>
          <w:t>O</w:t>
        </w:r>
        <w:r>
          <w:rPr>
            <w:sz w:val="24"/>
          </w:rPr>
          <w:t>.49,</w:t>
        </w:r>
        <w:r>
          <w:rPr>
            <w:spacing w:val="-13"/>
            <w:sz w:val="24"/>
          </w:rPr>
          <w:t xml:space="preserve"> </w:t>
        </w:r>
        <w:r>
          <w:rPr>
            <w:sz w:val="24"/>
          </w:rPr>
          <w:t>E</w:t>
        </w:r>
        <w:r>
          <w:rPr>
            <w:sz w:val="19"/>
          </w:rPr>
          <w:t>NERGY</w:t>
        </w:r>
        <w:r>
          <w:rPr>
            <w:spacing w:val="-2"/>
            <w:sz w:val="19"/>
          </w:rPr>
          <w:t xml:space="preserve"> </w:t>
        </w:r>
        <w:r>
          <w:rPr>
            <w:sz w:val="24"/>
          </w:rPr>
          <w:t>(B1)</w:t>
        </w:r>
        <w:r>
          <w:rPr>
            <w:spacing w:val="-15"/>
            <w:sz w:val="24"/>
          </w:rPr>
          <w:t xml:space="preserve"> </w:t>
        </w:r>
        <w:r>
          <w:rPr>
            <w:sz w:val="24"/>
          </w:rPr>
          <w:t>D</w:t>
        </w:r>
        <w:r>
          <w:rPr>
            <w:sz w:val="19"/>
          </w:rPr>
          <w:t>EPARTMENT</w:t>
        </w:r>
        <w:r>
          <w:rPr>
            <w:sz w:val="24"/>
          </w:rPr>
          <w:t>,</w:t>
        </w:r>
        <w:r>
          <w:rPr>
            <w:spacing w:val="-14"/>
            <w:sz w:val="24"/>
          </w:rPr>
          <w:t xml:space="preserve"> </w:t>
        </w:r>
        <w:r>
          <w:rPr>
            <w:sz w:val="19"/>
          </w:rPr>
          <w:t>DATED</w:t>
        </w:r>
        <w:r>
          <w:rPr>
            <w:spacing w:val="1"/>
            <w:sz w:val="19"/>
          </w:rPr>
          <w:t xml:space="preserve"> </w:t>
        </w:r>
        <w:r>
          <w:rPr>
            <w:sz w:val="24"/>
          </w:rPr>
          <w:t>A</w:t>
        </w:r>
        <w:r>
          <w:rPr>
            <w:sz w:val="19"/>
          </w:rPr>
          <w:t>UGUST</w:t>
        </w:r>
        <w:r>
          <w:rPr>
            <w:spacing w:val="-4"/>
            <w:sz w:val="19"/>
          </w:rPr>
          <w:t xml:space="preserve"> </w:t>
        </w:r>
        <w:r>
          <w:rPr>
            <w:sz w:val="24"/>
          </w:rPr>
          <w:t>13,</w:t>
        </w:r>
        <w:r>
          <w:rPr>
            <w:spacing w:val="-14"/>
            <w:sz w:val="24"/>
          </w:rPr>
          <w:t xml:space="preserve"> </w:t>
        </w:r>
        <w:r>
          <w:rPr>
            <w:sz w:val="24"/>
          </w:rPr>
          <w:t>2015.</w:t>
        </w:r>
      </w:hyperlink>
    </w:p>
    <w:p w:rsidR="007C5447" w:rsidRDefault="00F6308C">
      <w:pPr>
        <w:pStyle w:val="BodyText"/>
        <w:ind w:left="220"/>
      </w:pPr>
      <w:hyperlink w:anchor="_bookmark101" w:history="1">
        <w:r>
          <w:t>.................................................................................................................</w:t>
        </w:r>
        <w:r>
          <w:t>...............................388</w:t>
        </w:r>
      </w:hyperlink>
    </w:p>
    <w:p w:rsidR="007C5447" w:rsidRDefault="007C5447">
      <w:pPr>
        <w:sectPr w:rsidR="007C5447">
          <w:type w:val="continuous"/>
          <w:pgSz w:w="11910" w:h="16840"/>
          <w:pgMar w:top="1500" w:right="1220" w:bottom="1620" w:left="1220" w:header="720" w:footer="720" w:gutter="0"/>
          <w:cols w:space="720"/>
        </w:sectPr>
      </w:pPr>
    </w:p>
    <w:p w:rsidR="007C5447" w:rsidRDefault="00F6308C">
      <w:pPr>
        <w:pStyle w:val="Heading1"/>
        <w:numPr>
          <w:ilvl w:val="0"/>
          <w:numId w:val="114"/>
        </w:numPr>
        <w:tabs>
          <w:tab w:val="left" w:pos="652"/>
          <w:tab w:val="left" w:pos="653"/>
        </w:tabs>
        <w:spacing w:before="230"/>
        <w:ind w:hanging="433"/>
        <w:jc w:val="left"/>
      </w:pPr>
      <w:bookmarkStart w:id="0" w:name="_bookmark0"/>
      <w:bookmarkEnd w:id="0"/>
      <w:r>
        <w:lastRenderedPageBreak/>
        <w:t>INTRODUCTION</w:t>
      </w:r>
    </w:p>
    <w:p w:rsidR="007C5447" w:rsidRDefault="00F6308C">
      <w:pPr>
        <w:pStyle w:val="BodyText"/>
        <w:spacing w:before="2"/>
        <w:rPr>
          <w:b/>
          <w:sz w:val="16"/>
        </w:rPr>
      </w:pPr>
      <w:r>
        <w:pict>
          <v:line id="_x0000_s1065" style="position:absolute;z-index:-251655168;mso-wrap-distance-left:0;mso-wrap-distance-right:0;mso-position-horizontal-relative:page" from="70.6pt,11.5pt" to="524.95pt,11.5pt" strokeweight=".48pt">
            <w10:wrap type="topAndBottom" anchorx="page"/>
          </v:line>
        </w:pict>
      </w:r>
    </w:p>
    <w:p w:rsidR="007C5447" w:rsidRDefault="00F6308C">
      <w:pPr>
        <w:pStyle w:val="Heading2"/>
        <w:numPr>
          <w:ilvl w:val="1"/>
          <w:numId w:val="114"/>
        </w:numPr>
        <w:tabs>
          <w:tab w:val="left" w:pos="786"/>
          <w:tab w:val="left" w:pos="787"/>
        </w:tabs>
        <w:spacing w:before="212"/>
        <w:ind w:left="786"/>
      </w:pPr>
      <w:bookmarkStart w:id="1" w:name="_bookmark1"/>
      <w:bookmarkEnd w:id="1"/>
      <w:r>
        <w:t>Preamble</w:t>
      </w:r>
    </w:p>
    <w:p w:rsidR="007C5447" w:rsidRDefault="007C5447">
      <w:pPr>
        <w:pStyle w:val="BodyText"/>
        <w:spacing w:before="2"/>
        <w:rPr>
          <w:b/>
          <w:sz w:val="28"/>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Consequent to the enactment of the Electricity Regulatory Commissions Act, 1998 (Central Act 14 of 1998), the Government of Tamil Nadu (GoTN) constituted the Tamil Nadu Electricity</w:t>
      </w:r>
      <w:r>
        <w:rPr>
          <w:sz w:val="24"/>
        </w:rPr>
        <w:t xml:space="preserve"> Regulatory Commission (TNERC or the Commission) vide G.O.Ms.No.58, Energy (A1) Department, dated March 17,</w:t>
      </w:r>
      <w:r>
        <w:rPr>
          <w:spacing w:val="-2"/>
          <w:sz w:val="24"/>
        </w:rPr>
        <w:t xml:space="preserve"> </w:t>
      </w:r>
      <w:r>
        <w:rPr>
          <w:sz w:val="24"/>
        </w:rPr>
        <w:t>1999.</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 xml:space="preserve">The Commission issued its </w:t>
      </w:r>
      <w:r>
        <w:rPr>
          <w:b/>
          <w:sz w:val="24"/>
        </w:rPr>
        <w:t xml:space="preserve">first </w:t>
      </w:r>
      <w:r>
        <w:rPr>
          <w:sz w:val="24"/>
        </w:rPr>
        <w:t xml:space="preserve">Tariff Order (Order No. 1 of 2002) under Section  29 of the Electricity Regulatory Commissions Act, 1998, on </w:t>
      </w:r>
      <w:r>
        <w:rPr>
          <w:sz w:val="24"/>
        </w:rPr>
        <w:t>March 15, 2003 based on the Petition filed by the erstwhile Tamil Nadu Electricity Board (TNEB) on September 25,</w:t>
      </w:r>
      <w:r>
        <w:rPr>
          <w:spacing w:val="-2"/>
          <w:sz w:val="24"/>
        </w:rPr>
        <w:t xml:space="preserve"> </w:t>
      </w:r>
      <w:r>
        <w:rPr>
          <w:sz w:val="24"/>
        </w:rPr>
        <w:t>2002.</w:t>
      </w:r>
    </w:p>
    <w:p w:rsidR="007C5447" w:rsidRDefault="007C5447">
      <w:pPr>
        <w:pStyle w:val="BodyText"/>
        <w:spacing w:before="7"/>
        <w:rPr>
          <w:sz w:val="20"/>
        </w:rPr>
      </w:pPr>
    </w:p>
    <w:p w:rsidR="007C5447" w:rsidRDefault="00F6308C">
      <w:pPr>
        <w:pStyle w:val="ListParagraph"/>
        <w:numPr>
          <w:ilvl w:val="2"/>
          <w:numId w:val="114"/>
        </w:numPr>
        <w:tabs>
          <w:tab w:val="left" w:pos="1073"/>
        </w:tabs>
        <w:spacing w:before="1" w:line="312" w:lineRule="auto"/>
        <w:ind w:right="216" w:hanging="852"/>
        <w:jc w:val="both"/>
        <w:rPr>
          <w:sz w:val="24"/>
        </w:rPr>
      </w:pPr>
      <w:r>
        <w:rPr>
          <w:sz w:val="24"/>
        </w:rPr>
        <w:t>The Electricity Regulatory Commissions Act, 1998 was repealed and the Electricity Act, 2003 (Central Act 36 of 2003) was enacted with effect from June 10,</w:t>
      </w:r>
      <w:r>
        <w:rPr>
          <w:spacing w:val="-3"/>
          <w:sz w:val="24"/>
        </w:rPr>
        <w:t xml:space="preserve"> </w:t>
      </w:r>
      <w:r>
        <w:rPr>
          <w:sz w:val="24"/>
        </w:rPr>
        <w:t>2003.</w:t>
      </w:r>
    </w:p>
    <w:p w:rsidR="007C5447" w:rsidRDefault="007C5447">
      <w:pPr>
        <w:pStyle w:val="BodyText"/>
        <w:spacing w:before="9"/>
        <w:rPr>
          <w:sz w:val="20"/>
        </w:rPr>
      </w:pPr>
    </w:p>
    <w:p w:rsidR="007C5447" w:rsidRDefault="00F6308C">
      <w:pPr>
        <w:pStyle w:val="ListParagraph"/>
        <w:numPr>
          <w:ilvl w:val="2"/>
          <w:numId w:val="114"/>
        </w:numPr>
        <w:tabs>
          <w:tab w:val="left" w:pos="1073"/>
        </w:tabs>
        <w:spacing w:before="1" w:line="312" w:lineRule="auto"/>
        <w:ind w:right="216" w:hanging="852"/>
        <w:jc w:val="both"/>
        <w:rPr>
          <w:sz w:val="24"/>
        </w:rPr>
      </w:pPr>
      <w:r>
        <w:rPr>
          <w:sz w:val="24"/>
        </w:rPr>
        <w:t>The Commission notified the Tamil Nadu Electricity Regulatory Commission (Terms and Conditions</w:t>
      </w:r>
      <w:r>
        <w:rPr>
          <w:sz w:val="24"/>
        </w:rPr>
        <w:t xml:space="preserve"> for Determination of Tariff) Regulations 2005 (herein after called Tariff Regulations) on August 3, 2005 under Section 61 read with Section 181 of the</w:t>
      </w:r>
      <w:r>
        <w:rPr>
          <w:spacing w:val="-3"/>
          <w:sz w:val="24"/>
        </w:rPr>
        <w:t xml:space="preserve"> </w:t>
      </w:r>
      <w:r>
        <w:rPr>
          <w:sz w:val="24"/>
        </w:rPr>
        <w:t>Act.</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The Commission issued separate order (Order No. 2 of 2006) on Transmission Charges, Wheeling Charg</w:t>
      </w:r>
      <w:r>
        <w:rPr>
          <w:sz w:val="24"/>
        </w:rPr>
        <w:t>es, Cross Subsidy Surcharge (CSS) and Additional Surcharge on May 15, 2006, based on the Petition filed by the erstwhile TNEB on September 26, 2005 under Section 42 of the</w:t>
      </w:r>
      <w:r>
        <w:rPr>
          <w:spacing w:val="-2"/>
          <w:sz w:val="24"/>
        </w:rPr>
        <w:t xml:space="preserve"> </w:t>
      </w:r>
      <w:r>
        <w:rPr>
          <w:sz w:val="24"/>
        </w:rPr>
        <w:t>Act.</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1" w:hanging="852"/>
        <w:jc w:val="both"/>
        <w:rPr>
          <w:sz w:val="24"/>
        </w:rPr>
      </w:pPr>
      <w:r>
        <w:rPr>
          <w:sz w:val="24"/>
        </w:rPr>
        <w:t>The Commission notified the TNERC (Terms and Conditions for Determination of T</w:t>
      </w:r>
      <w:r>
        <w:rPr>
          <w:sz w:val="24"/>
        </w:rPr>
        <w:t>ariff for Intra-State Transmission/Distribution of Electricity under MYT Framework) Regulations, 2009 (herein after called MYT Regulations) on February 11, 2009.</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Subsequently, TNEB filed an Application for determination of Aggregate Revenue Requirement (A</w:t>
      </w:r>
      <w:r>
        <w:rPr>
          <w:sz w:val="24"/>
        </w:rPr>
        <w:t xml:space="preserve">RR) with Tariff for all functions on January 18, 2010, which was admitted by the Commission after initial scrutiny on February 9, 2010. The Commission issued its </w:t>
      </w:r>
      <w:r>
        <w:rPr>
          <w:b/>
          <w:sz w:val="24"/>
        </w:rPr>
        <w:t xml:space="preserve">second </w:t>
      </w:r>
      <w:r>
        <w:rPr>
          <w:sz w:val="24"/>
        </w:rPr>
        <w:t>Retail Tariff Order on July 31, 2010 (Order No. 3 of 2010).</w:t>
      </w:r>
    </w:p>
    <w:p w:rsidR="007C5447" w:rsidRDefault="007C5447">
      <w:pPr>
        <w:spacing w:line="312" w:lineRule="auto"/>
        <w:jc w:val="both"/>
        <w:rPr>
          <w:sz w:val="24"/>
        </w:rPr>
        <w:sectPr w:rsidR="007C5447">
          <w:pgSz w:w="11910" w:h="16840"/>
          <w:pgMar w:top="1580" w:right="1220" w:bottom="1620" w:left="1220" w:header="0" w:footer="1386" w:gutter="0"/>
          <w:cols w:space="720"/>
        </w:sectPr>
      </w:pPr>
    </w:p>
    <w:p w:rsidR="007C5447" w:rsidRDefault="00F6308C">
      <w:pPr>
        <w:pStyle w:val="ListParagraph"/>
        <w:numPr>
          <w:ilvl w:val="2"/>
          <w:numId w:val="114"/>
        </w:numPr>
        <w:tabs>
          <w:tab w:val="left" w:pos="1073"/>
        </w:tabs>
        <w:spacing w:before="70" w:line="312" w:lineRule="auto"/>
        <w:ind w:right="217" w:hanging="852"/>
        <w:jc w:val="both"/>
        <w:rPr>
          <w:sz w:val="24"/>
        </w:rPr>
      </w:pPr>
      <w:r>
        <w:rPr>
          <w:sz w:val="24"/>
        </w:rPr>
        <w:lastRenderedPageBreak/>
        <w:t>The erstw</w:t>
      </w:r>
      <w:r>
        <w:rPr>
          <w:sz w:val="24"/>
        </w:rPr>
        <w:t>hile TNEB was formed as a statutory body by GoTN on July 1, 1957 under the Electricity (Supply) Act, 1948. TNEB was primarily responsible for generation, transmission, distribution and supply of electricity in the State of Tamil</w:t>
      </w:r>
      <w:r>
        <w:rPr>
          <w:spacing w:val="-8"/>
          <w:sz w:val="24"/>
        </w:rPr>
        <w:t xml:space="preserve"> </w:t>
      </w:r>
      <w:r>
        <w:rPr>
          <w:sz w:val="24"/>
        </w:rPr>
        <w:t>Nadu.</w:t>
      </w:r>
    </w:p>
    <w:p w:rsidR="007C5447" w:rsidRDefault="007C5447">
      <w:pPr>
        <w:pStyle w:val="BodyText"/>
        <w:spacing w:before="8"/>
        <w:rPr>
          <w:sz w:val="20"/>
        </w:rPr>
      </w:pPr>
    </w:p>
    <w:p w:rsidR="007C5447" w:rsidRDefault="00F6308C">
      <w:pPr>
        <w:pStyle w:val="ListParagraph"/>
        <w:numPr>
          <w:ilvl w:val="2"/>
          <w:numId w:val="114"/>
        </w:numPr>
        <w:tabs>
          <w:tab w:val="left" w:pos="1073"/>
        </w:tabs>
        <w:spacing w:before="1" w:line="312" w:lineRule="auto"/>
        <w:ind w:right="214" w:hanging="852"/>
        <w:jc w:val="both"/>
        <w:rPr>
          <w:sz w:val="24"/>
        </w:rPr>
      </w:pPr>
      <w:r>
        <w:rPr>
          <w:sz w:val="24"/>
        </w:rPr>
        <w:t>GoTN, vide G.O (Ms) No 114 Energy Dept., dated October 8, 2008 accorded in principle approval for the re-organisation of TNEB by establishment of a holding company, namely TNEB Ltd. and two subsidiary companies, namely Tamil Nadu Transmission Corporation L</w:t>
      </w:r>
      <w:r>
        <w:rPr>
          <w:sz w:val="24"/>
        </w:rPr>
        <w:t>td. (TANTRANSCO) and Tamil Nadu Generation and Distribution Corporation Ltd. (TANGEDCO) with the stipulation that the aforementioned Companies shall be fully owned by the</w:t>
      </w:r>
      <w:r>
        <w:rPr>
          <w:spacing w:val="-8"/>
          <w:sz w:val="24"/>
        </w:rPr>
        <w:t xml:space="preserve"> </w:t>
      </w:r>
      <w:r>
        <w:rPr>
          <w:sz w:val="24"/>
        </w:rPr>
        <w:t>Government.</w:t>
      </w:r>
    </w:p>
    <w:p w:rsidR="007C5447" w:rsidRDefault="007C5447">
      <w:pPr>
        <w:pStyle w:val="BodyText"/>
        <w:spacing w:before="10"/>
        <w:rPr>
          <w:sz w:val="20"/>
        </w:rPr>
      </w:pPr>
    </w:p>
    <w:p w:rsidR="007C5447" w:rsidRDefault="00F6308C">
      <w:pPr>
        <w:pStyle w:val="Heading2"/>
        <w:numPr>
          <w:ilvl w:val="1"/>
          <w:numId w:val="114"/>
        </w:numPr>
        <w:tabs>
          <w:tab w:val="left" w:pos="786"/>
          <w:tab w:val="left" w:pos="787"/>
        </w:tabs>
        <w:ind w:left="786"/>
      </w:pPr>
      <w:bookmarkStart w:id="2" w:name="_bookmark2"/>
      <w:bookmarkEnd w:id="2"/>
      <w:r>
        <w:t>The Electricity Act, 2003, Tariff Policy and</w:t>
      </w:r>
      <w:r>
        <w:rPr>
          <w:spacing w:val="-3"/>
        </w:rPr>
        <w:t xml:space="preserve"> </w:t>
      </w:r>
      <w:r>
        <w:t>Regulations</w:t>
      </w:r>
    </w:p>
    <w:p w:rsidR="007C5447" w:rsidRDefault="007C5447">
      <w:pPr>
        <w:pStyle w:val="BodyText"/>
        <w:spacing w:before="2"/>
        <w:rPr>
          <w:b/>
          <w:sz w:val="28"/>
        </w:rPr>
      </w:pPr>
    </w:p>
    <w:p w:rsidR="007C5447" w:rsidRDefault="00F6308C">
      <w:pPr>
        <w:pStyle w:val="ListParagraph"/>
        <w:numPr>
          <w:ilvl w:val="2"/>
          <w:numId w:val="114"/>
        </w:numPr>
        <w:tabs>
          <w:tab w:val="left" w:pos="1073"/>
        </w:tabs>
        <w:spacing w:line="312" w:lineRule="auto"/>
        <w:ind w:right="220" w:hanging="852"/>
        <w:jc w:val="both"/>
        <w:rPr>
          <w:sz w:val="24"/>
        </w:rPr>
      </w:pPr>
      <w:r>
        <w:rPr>
          <w:sz w:val="24"/>
        </w:rPr>
        <w:t xml:space="preserve">Section 61 of </w:t>
      </w:r>
      <w:r>
        <w:rPr>
          <w:sz w:val="24"/>
        </w:rPr>
        <w:t xml:space="preserve">the Electricity Act, 2003 (herein after referred as the EA, 2003 or the Act) stipulates the guiding principles for determination of Tariff by the Commission and mandates that the Tariff should ‘progressively reflect cost of supply of electricity’, ‘reduce </w:t>
      </w:r>
      <w:r>
        <w:rPr>
          <w:sz w:val="24"/>
        </w:rPr>
        <w:t>cross-subsidy’, ‘safeguard consumer interest’ and ‘recover the cost of electricity in a reasonable</w:t>
      </w:r>
      <w:r>
        <w:rPr>
          <w:spacing w:val="-5"/>
          <w:sz w:val="24"/>
        </w:rPr>
        <w:t xml:space="preserve"> </w:t>
      </w:r>
      <w:r>
        <w:rPr>
          <w:sz w:val="24"/>
        </w:rPr>
        <w:t>manner’.</w:t>
      </w:r>
    </w:p>
    <w:p w:rsidR="007C5447" w:rsidRDefault="007C5447">
      <w:pPr>
        <w:pStyle w:val="BodyText"/>
        <w:spacing w:before="10"/>
        <w:rPr>
          <w:sz w:val="20"/>
        </w:rPr>
      </w:pPr>
    </w:p>
    <w:p w:rsidR="007C5447" w:rsidRDefault="00F6308C">
      <w:pPr>
        <w:pStyle w:val="Heading3"/>
      </w:pPr>
      <w:r>
        <w:rPr>
          <w:b w:val="0"/>
        </w:rPr>
        <w:t>“</w:t>
      </w:r>
      <w:r>
        <w:t>Section-62 (1):</w:t>
      </w:r>
    </w:p>
    <w:p w:rsidR="007C5447" w:rsidRDefault="007C5447">
      <w:pPr>
        <w:pStyle w:val="BodyText"/>
        <w:spacing w:before="10"/>
        <w:rPr>
          <w:b/>
          <w:i/>
          <w:sz w:val="20"/>
        </w:rPr>
      </w:pPr>
    </w:p>
    <w:p w:rsidR="007C5447" w:rsidRDefault="00F6308C">
      <w:pPr>
        <w:pStyle w:val="ListParagraph"/>
        <w:numPr>
          <w:ilvl w:val="3"/>
          <w:numId w:val="114"/>
        </w:numPr>
        <w:tabs>
          <w:tab w:val="left" w:pos="2037"/>
        </w:tabs>
        <w:ind w:left="1660" w:right="944" w:firstLine="0"/>
        <w:rPr>
          <w:i/>
          <w:sz w:val="24"/>
        </w:rPr>
      </w:pPr>
      <w:r>
        <w:rPr>
          <w:i/>
          <w:sz w:val="24"/>
        </w:rPr>
        <w:t xml:space="preserve">The Appropriate Commission shall determine the tariff </w:t>
      </w:r>
      <w:r>
        <w:rPr>
          <w:i/>
          <w:spacing w:val="-6"/>
          <w:sz w:val="24"/>
        </w:rPr>
        <w:t xml:space="preserve">in </w:t>
      </w:r>
      <w:r>
        <w:rPr>
          <w:i/>
          <w:sz w:val="24"/>
        </w:rPr>
        <w:t>accordance with provisions of this Act</w:t>
      </w:r>
      <w:r>
        <w:rPr>
          <w:i/>
          <w:spacing w:val="-2"/>
          <w:sz w:val="24"/>
        </w:rPr>
        <w:t xml:space="preserve"> </w:t>
      </w:r>
      <w:r>
        <w:rPr>
          <w:i/>
          <w:sz w:val="24"/>
        </w:rPr>
        <w:t>for</w:t>
      </w:r>
    </w:p>
    <w:p w:rsidR="007C5447" w:rsidRDefault="007C5447">
      <w:pPr>
        <w:pStyle w:val="BodyText"/>
        <w:spacing w:before="10"/>
        <w:rPr>
          <w:i/>
          <w:sz w:val="20"/>
        </w:rPr>
      </w:pPr>
    </w:p>
    <w:p w:rsidR="007C5447" w:rsidRDefault="00F6308C">
      <w:pPr>
        <w:pStyle w:val="ListParagraph"/>
        <w:numPr>
          <w:ilvl w:val="4"/>
          <w:numId w:val="114"/>
        </w:numPr>
        <w:tabs>
          <w:tab w:val="left" w:pos="1965"/>
        </w:tabs>
        <w:ind w:right="937" w:firstLine="0"/>
        <w:rPr>
          <w:i/>
          <w:sz w:val="24"/>
        </w:rPr>
      </w:pPr>
      <w:r>
        <w:rPr>
          <w:i/>
          <w:sz w:val="24"/>
        </w:rPr>
        <w:t>supply of electricity by a g</w:t>
      </w:r>
      <w:r>
        <w:rPr>
          <w:i/>
          <w:sz w:val="24"/>
        </w:rPr>
        <w:t>enerating company to a distribution licensee:</w:t>
      </w:r>
      <w:r>
        <w:rPr>
          <w:i/>
          <w:spacing w:val="-1"/>
          <w:sz w:val="24"/>
        </w:rPr>
        <w:t xml:space="preserve"> </w:t>
      </w:r>
      <w:r>
        <w:rPr>
          <w:i/>
          <w:sz w:val="24"/>
        </w:rPr>
        <w:t>…;</w:t>
      </w:r>
    </w:p>
    <w:p w:rsidR="007C5447" w:rsidRDefault="007C5447">
      <w:pPr>
        <w:pStyle w:val="BodyText"/>
        <w:spacing w:before="10"/>
        <w:rPr>
          <w:i/>
          <w:sz w:val="20"/>
        </w:rPr>
      </w:pPr>
    </w:p>
    <w:p w:rsidR="007C5447" w:rsidRDefault="00F6308C">
      <w:pPr>
        <w:pStyle w:val="ListParagraph"/>
        <w:numPr>
          <w:ilvl w:val="4"/>
          <w:numId w:val="114"/>
        </w:numPr>
        <w:tabs>
          <w:tab w:val="left" w:pos="1901"/>
        </w:tabs>
        <w:ind w:left="1900" w:hanging="241"/>
        <w:rPr>
          <w:i/>
          <w:sz w:val="24"/>
        </w:rPr>
      </w:pPr>
      <w:r>
        <w:rPr>
          <w:i/>
          <w:sz w:val="24"/>
        </w:rPr>
        <w:t>transmission of</w:t>
      </w:r>
      <w:r>
        <w:rPr>
          <w:i/>
          <w:spacing w:val="-1"/>
          <w:sz w:val="24"/>
        </w:rPr>
        <w:t xml:space="preserve"> </w:t>
      </w:r>
      <w:r>
        <w:rPr>
          <w:i/>
          <w:sz w:val="24"/>
        </w:rPr>
        <w:t>electricity;</w:t>
      </w:r>
    </w:p>
    <w:p w:rsidR="007C5447" w:rsidRDefault="007C5447">
      <w:pPr>
        <w:pStyle w:val="BodyText"/>
        <w:spacing w:before="10"/>
        <w:rPr>
          <w:i/>
          <w:sz w:val="20"/>
        </w:rPr>
      </w:pPr>
    </w:p>
    <w:p w:rsidR="007C5447" w:rsidRDefault="00F6308C">
      <w:pPr>
        <w:pStyle w:val="ListParagraph"/>
        <w:numPr>
          <w:ilvl w:val="4"/>
          <w:numId w:val="114"/>
        </w:numPr>
        <w:tabs>
          <w:tab w:val="left" w:pos="1886"/>
        </w:tabs>
        <w:ind w:left="1885" w:hanging="226"/>
        <w:rPr>
          <w:i/>
          <w:sz w:val="24"/>
        </w:rPr>
      </w:pPr>
      <w:r>
        <w:rPr>
          <w:i/>
          <w:sz w:val="24"/>
        </w:rPr>
        <w:t>wheeling of</w:t>
      </w:r>
      <w:r>
        <w:rPr>
          <w:i/>
          <w:spacing w:val="-1"/>
          <w:sz w:val="24"/>
        </w:rPr>
        <w:t xml:space="preserve"> </w:t>
      </w:r>
      <w:r>
        <w:rPr>
          <w:i/>
          <w:sz w:val="24"/>
        </w:rPr>
        <w:t>electricity;</w:t>
      </w:r>
    </w:p>
    <w:p w:rsidR="007C5447" w:rsidRDefault="007C5447">
      <w:pPr>
        <w:pStyle w:val="BodyText"/>
        <w:spacing w:before="10"/>
        <w:rPr>
          <w:i/>
          <w:sz w:val="20"/>
        </w:rPr>
      </w:pPr>
    </w:p>
    <w:p w:rsidR="007C5447" w:rsidRDefault="00F6308C">
      <w:pPr>
        <w:pStyle w:val="ListParagraph"/>
        <w:numPr>
          <w:ilvl w:val="4"/>
          <w:numId w:val="114"/>
        </w:numPr>
        <w:tabs>
          <w:tab w:val="left" w:pos="1901"/>
        </w:tabs>
        <w:spacing w:before="1"/>
        <w:ind w:left="1900" w:hanging="241"/>
        <w:rPr>
          <w:i/>
          <w:sz w:val="24"/>
        </w:rPr>
      </w:pPr>
      <w:r>
        <w:rPr>
          <w:i/>
          <w:sz w:val="24"/>
        </w:rPr>
        <w:t>retail sale of</w:t>
      </w:r>
      <w:r>
        <w:rPr>
          <w:i/>
          <w:spacing w:val="-2"/>
          <w:sz w:val="24"/>
        </w:rPr>
        <w:t xml:space="preserve"> </w:t>
      </w:r>
      <w:r>
        <w:rPr>
          <w:i/>
          <w:sz w:val="24"/>
        </w:rPr>
        <w:t>electricity.</w:t>
      </w:r>
    </w:p>
    <w:p w:rsidR="007C5447" w:rsidRDefault="007C5447">
      <w:pPr>
        <w:pStyle w:val="BodyText"/>
        <w:spacing w:before="9"/>
        <w:rPr>
          <w:i/>
          <w:sz w:val="20"/>
        </w:rPr>
      </w:pPr>
    </w:p>
    <w:p w:rsidR="007C5447" w:rsidRDefault="00F6308C">
      <w:pPr>
        <w:spacing w:before="1"/>
        <w:ind w:left="1660"/>
        <w:rPr>
          <w:i/>
          <w:sz w:val="24"/>
        </w:rPr>
      </w:pPr>
      <w:r>
        <w:rPr>
          <w:i/>
          <w:sz w:val="24"/>
        </w:rPr>
        <w:t>...”</w:t>
      </w:r>
    </w:p>
    <w:p w:rsidR="007C5447" w:rsidRDefault="00F6308C">
      <w:pPr>
        <w:pStyle w:val="ListParagraph"/>
        <w:numPr>
          <w:ilvl w:val="2"/>
          <w:numId w:val="114"/>
        </w:numPr>
        <w:tabs>
          <w:tab w:val="left" w:pos="1073"/>
        </w:tabs>
        <w:spacing w:before="120" w:line="312" w:lineRule="auto"/>
        <w:ind w:right="217" w:hanging="852"/>
        <w:jc w:val="both"/>
        <w:rPr>
          <w:sz w:val="24"/>
        </w:rPr>
      </w:pPr>
      <w:r>
        <w:rPr>
          <w:sz w:val="24"/>
        </w:rPr>
        <w:t>TNERC notified its Tariff Regulations, which specifies the factors that will guide  the Commission in determination of Tariff, the relevant extract of which is reproduced</w:t>
      </w:r>
      <w:r>
        <w:rPr>
          <w:spacing w:val="-1"/>
          <w:sz w:val="24"/>
        </w:rPr>
        <w:t xml:space="preserve"> </w:t>
      </w:r>
      <w:r>
        <w:rPr>
          <w:sz w:val="24"/>
        </w:rPr>
        <w:t>below:</w:t>
      </w:r>
    </w:p>
    <w:p w:rsidR="007C5447" w:rsidRDefault="007C5447">
      <w:pPr>
        <w:pStyle w:val="BodyText"/>
        <w:spacing w:before="11"/>
        <w:rPr>
          <w:sz w:val="20"/>
        </w:rPr>
      </w:pPr>
    </w:p>
    <w:p w:rsidR="007C5447" w:rsidRDefault="00F6308C">
      <w:pPr>
        <w:pStyle w:val="Heading3"/>
      </w:pPr>
      <w:r>
        <w:rPr>
          <w:b w:val="0"/>
        </w:rPr>
        <w:t>“</w:t>
      </w:r>
      <w:r>
        <w:t>4. Tariff setting principles</w:t>
      </w:r>
    </w:p>
    <w:p w:rsidR="007C5447" w:rsidRDefault="007C5447">
      <w:pPr>
        <w:pStyle w:val="BodyText"/>
        <w:spacing w:before="10"/>
        <w:rPr>
          <w:b/>
          <w:i/>
          <w:sz w:val="20"/>
        </w:rPr>
      </w:pPr>
    </w:p>
    <w:p w:rsidR="007C5447" w:rsidRDefault="00F6308C">
      <w:pPr>
        <w:ind w:left="1660" w:right="871"/>
        <w:rPr>
          <w:i/>
          <w:sz w:val="24"/>
        </w:rPr>
      </w:pPr>
      <w:r>
        <w:rPr>
          <w:i/>
          <w:sz w:val="24"/>
        </w:rPr>
        <w:t xml:space="preserve">The Commission, while determining the tariff, </w:t>
      </w:r>
      <w:r>
        <w:rPr>
          <w:i/>
          <w:sz w:val="24"/>
        </w:rPr>
        <w:t>shall be guided by the following factors:-</w:t>
      </w:r>
    </w:p>
    <w:p w:rsidR="007C5447" w:rsidRDefault="007C5447">
      <w:pPr>
        <w:rPr>
          <w:sz w:val="24"/>
        </w:rPr>
        <w:sectPr w:rsidR="007C5447">
          <w:pgSz w:w="11910" w:h="16840"/>
          <w:pgMar w:top="1500" w:right="1220" w:bottom="1620" w:left="1220" w:header="0" w:footer="1386" w:gutter="0"/>
          <w:cols w:space="720"/>
        </w:sectPr>
      </w:pPr>
    </w:p>
    <w:p w:rsidR="007C5447" w:rsidRDefault="00F6308C">
      <w:pPr>
        <w:pStyle w:val="ListParagraph"/>
        <w:numPr>
          <w:ilvl w:val="0"/>
          <w:numId w:val="113"/>
        </w:numPr>
        <w:tabs>
          <w:tab w:val="left" w:pos="2381"/>
        </w:tabs>
        <w:spacing w:before="70"/>
        <w:jc w:val="both"/>
        <w:rPr>
          <w:i/>
          <w:sz w:val="24"/>
        </w:rPr>
      </w:pPr>
      <w:r>
        <w:rPr>
          <w:i/>
          <w:sz w:val="24"/>
        </w:rPr>
        <w:lastRenderedPageBreak/>
        <w:t>The guidelines outlined in Section 61 of the Act</w:t>
      </w:r>
      <w:r>
        <w:rPr>
          <w:i/>
          <w:spacing w:val="-3"/>
          <w:sz w:val="24"/>
        </w:rPr>
        <w:t xml:space="preserve"> </w:t>
      </w:r>
      <w:r>
        <w:rPr>
          <w:i/>
          <w:sz w:val="24"/>
        </w:rPr>
        <w:t>…</w:t>
      </w:r>
    </w:p>
    <w:p w:rsidR="007C5447" w:rsidRDefault="007C5447">
      <w:pPr>
        <w:pStyle w:val="BodyText"/>
        <w:spacing w:before="9"/>
        <w:rPr>
          <w:i/>
          <w:sz w:val="20"/>
        </w:rPr>
      </w:pPr>
    </w:p>
    <w:p w:rsidR="007C5447" w:rsidRDefault="00F6308C">
      <w:pPr>
        <w:spacing w:before="1"/>
        <w:ind w:left="1660" w:right="939"/>
        <w:jc w:val="both"/>
        <w:rPr>
          <w:i/>
          <w:sz w:val="24"/>
        </w:rPr>
      </w:pPr>
      <w:r>
        <w:rPr>
          <w:i/>
          <w:sz w:val="24"/>
        </w:rPr>
        <w:t>“The Appropriate Commission shall, subject to the provisions of this Act, specify the terms and conditions for the determination of tariff, and</w:t>
      </w:r>
      <w:r>
        <w:rPr>
          <w:i/>
          <w:sz w:val="24"/>
        </w:rPr>
        <w:t xml:space="preserve"> in doing so, shall be guided by the following,</w:t>
      </w:r>
      <w:r>
        <w:rPr>
          <w:i/>
          <w:spacing w:val="-6"/>
          <w:sz w:val="24"/>
        </w:rPr>
        <w:t xml:space="preserve"> </w:t>
      </w:r>
      <w:r>
        <w:rPr>
          <w:i/>
          <w:sz w:val="24"/>
        </w:rPr>
        <w:t>namely:-</w:t>
      </w:r>
    </w:p>
    <w:p w:rsidR="007C5447" w:rsidRDefault="007C5447">
      <w:pPr>
        <w:pStyle w:val="BodyText"/>
        <w:spacing w:before="10"/>
        <w:rPr>
          <w:i/>
          <w:sz w:val="20"/>
        </w:rPr>
      </w:pPr>
    </w:p>
    <w:p w:rsidR="007C5447" w:rsidRDefault="00F6308C">
      <w:pPr>
        <w:pStyle w:val="ListParagraph"/>
        <w:numPr>
          <w:ilvl w:val="0"/>
          <w:numId w:val="112"/>
        </w:numPr>
        <w:tabs>
          <w:tab w:val="left" w:pos="2121"/>
        </w:tabs>
        <w:ind w:right="934" w:firstLine="0"/>
        <w:jc w:val="both"/>
        <w:rPr>
          <w:i/>
          <w:sz w:val="24"/>
        </w:rPr>
      </w:pPr>
      <w:r>
        <w:rPr>
          <w:i/>
          <w:sz w:val="24"/>
        </w:rPr>
        <w:t xml:space="preserve">the principles and methodologies specified by the Central </w:t>
      </w:r>
      <w:r>
        <w:rPr>
          <w:i/>
          <w:sz w:val="24"/>
        </w:rPr>
        <w:t>Commission for determination of the tariff applicable to generating companies and transmission</w:t>
      </w:r>
      <w:r>
        <w:rPr>
          <w:i/>
          <w:spacing w:val="-1"/>
          <w:sz w:val="24"/>
        </w:rPr>
        <w:t xml:space="preserve"> </w:t>
      </w:r>
      <w:r>
        <w:rPr>
          <w:i/>
          <w:sz w:val="24"/>
        </w:rPr>
        <w:t>licensees;</w:t>
      </w:r>
    </w:p>
    <w:p w:rsidR="007C5447" w:rsidRDefault="007C5447">
      <w:pPr>
        <w:pStyle w:val="BodyText"/>
        <w:spacing w:before="10"/>
        <w:rPr>
          <w:i/>
          <w:sz w:val="20"/>
        </w:rPr>
      </w:pPr>
    </w:p>
    <w:p w:rsidR="007C5447" w:rsidRDefault="00F6308C">
      <w:pPr>
        <w:pStyle w:val="ListParagraph"/>
        <w:numPr>
          <w:ilvl w:val="0"/>
          <w:numId w:val="112"/>
        </w:numPr>
        <w:tabs>
          <w:tab w:val="left" w:pos="2381"/>
        </w:tabs>
        <w:ind w:right="938" w:firstLine="0"/>
        <w:jc w:val="both"/>
        <w:rPr>
          <w:i/>
          <w:sz w:val="24"/>
        </w:rPr>
      </w:pPr>
      <w:r>
        <w:rPr>
          <w:i/>
          <w:sz w:val="24"/>
        </w:rPr>
        <w:t>the generation, transmission, distribution and supply of electricity are conducted on commercial</w:t>
      </w:r>
      <w:r>
        <w:rPr>
          <w:i/>
          <w:spacing w:val="-3"/>
          <w:sz w:val="24"/>
        </w:rPr>
        <w:t xml:space="preserve"> </w:t>
      </w:r>
      <w:r>
        <w:rPr>
          <w:i/>
          <w:sz w:val="24"/>
        </w:rPr>
        <w:t>principles;</w:t>
      </w:r>
    </w:p>
    <w:p w:rsidR="007C5447" w:rsidRDefault="007C5447">
      <w:pPr>
        <w:pStyle w:val="BodyText"/>
        <w:spacing w:before="10"/>
        <w:rPr>
          <w:i/>
          <w:sz w:val="20"/>
        </w:rPr>
      </w:pPr>
    </w:p>
    <w:p w:rsidR="007C5447" w:rsidRDefault="00F6308C">
      <w:pPr>
        <w:pStyle w:val="ListParagraph"/>
        <w:numPr>
          <w:ilvl w:val="0"/>
          <w:numId w:val="112"/>
        </w:numPr>
        <w:tabs>
          <w:tab w:val="left" w:pos="2381"/>
        </w:tabs>
        <w:spacing w:before="1"/>
        <w:ind w:right="940" w:firstLine="0"/>
        <w:jc w:val="both"/>
        <w:rPr>
          <w:i/>
          <w:sz w:val="24"/>
        </w:rPr>
      </w:pPr>
      <w:r>
        <w:rPr>
          <w:i/>
          <w:sz w:val="24"/>
        </w:rPr>
        <w:t>the factors which would encourage compe</w:t>
      </w:r>
      <w:r>
        <w:rPr>
          <w:i/>
          <w:sz w:val="24"/>
        </w:rPr>
        <w:t>tition, efficiency, economical use of the resources, good performance and optimum investments;</w:t>
      </w:r>
    </w:p>
    <w:p w:rsidR="007C5447" w:rsidRDefault="007C5447">
      <w:pPr>
        <w:pStyle w:val="BodyText"/>
        <w:spacing w:before="9"/>
        <w:rPr>
          <w:i/>
          <w:sz w:val="20"/>
        </w:rPr>
      </w:pPr>
    </w:p>
    <w:p w:rsidR="007C5447" w:rsidRDefault="00F6308C">
      <w:pPr>
        <w:pStyle w:val="ListParagraph"/>
        <w:numPr>
          <w:ilvl w:val="0"/>
          <w:numId w:val="112"/>
        </w:numPr>
        <w:tabs>
          <w:tab w:val="left" w:pos="2381"/>
        </w:tabs>
        <w:spacing w:before="1"/>
        <w:ind w:right="941" w:firstLine="0"/>
        <w:jc w:val="both"/>
        <w:rPr>
          <w:i/>
          <w:sz w:val="24"/>
        </w:rPr>
      </w:pPr>
      <w:r>
        <w:rPr>
          <w:i/>
          <w:sz w:val="24"/>
        </w:rPr>
        <w:t>safeguarding of consumers’ interest and at the same time, recovery of the cost of electricity in a reasonable</w:t>
      </w:r>
      <w:r>
        <w:rPr>
          <w:i/>
          <w:spacing w:val="-5"/>
          <w:sz w:val="24"/>
        </w:rPr>
        <w:t xml:space="preserve"> </w:t>
      </w:r>
      <w:r>
        <w:rPr>
          <w:i/>
          <w:sz w:val="24"/>
        </w:rPr>
        <w:t>manner;</w:t>
      </w:r>
    </w:p>
    <w:p w:rsidR="007C5447" w:rsidRDefault="007C5447">
      <w:pPr>
        <w:pStyle w:val="BodyText"/>
        <w:spacing w:before="9"/>
        <w:rPr>
          <w:i/>
          <w:sz w:val="20"/>
        </w:rPr>
      </w:pPr>
    </w:p>
    <w:p w:rsidR="007C5447" w:rsidRDefault="00F6308C">
      <w:pPr>
        <w:spacing w:before="1"/>
        <w:ind w:left="1660"/>
        <w:rPr>
          <w:i/>
          <w:sz w:val="24"/>
        </w:rPr>
      </w:pPr>
      <w:r>
        <w:rPr>
          <w:i/>
          <w:sz w:val="24"/>
        </w:rPr>
        <w:t>…</w:t>
      </w:r>
    </w:p>
    <w:p w:rsidR="007C5447" w:rsidRDefault="007C5447">
      <w:pPr>
        <w:pStyle w:val="BodyText"/>
        <w:spacing w:before="10"/>
        <w:rPr>
          <w:i/>
          <w:sz w:val="20"/>
        </w:rPr>
      </w:pPr>
    </w:p>
    <w:p w:rsidR="007C5447" w:rsidRDefault="00F6308C">
      <w:pPr>
        <w:pStyle w:val="ListParagraph"/>
        <w:numPr>
          <w:ilvl w:val="0"/>
          <w:numId w:val="113"/>
        </w:numPr>
        <w:tabs>
          <w:tab w:val="left" w:pos="2011"/>
        </w:tabs>
        <w:ind w:left="2010" w:hanging="351"/>
        <w:jc w:val="both"/>
        <w:rPr>
          <w:i/>
          <w:sz w:val="24"/>
        </w:rPr>
      </w:pPr>
      <w:r>
        <w:rPr>
          <w:i/>
          <w:sz w:val="24"/>
        </w:rPr>
        <w:t>Rationalisation of</w:t>
      </w:r>
      <w:r>
        <w:rPr>
          <w:i/>
          <w:spacing w:val="-1"/>
          <w:sz w:val="24"/>
        </w:rPr>
        <w:t xml:space="preserve"> </w:t>
      </w:r>
      <w:r>
        <w:rPr>
          <w:i/>
          <w:sz w:val="24"/>
        </w:rPr>
        <w:t>tariff</w:t>
      </w:r>
    </w:p>
    <w:p w:rsidR="007C5447" w:rsidRDefault="007C5447">
      <w:pPr>
        <w:pStyle w:val="BodyText"/>
        <w:spacing w:before="10"/>
        <w:rPr>
          <w:i/>
          <w:sz w:val="20"/>
        </w:rPr>
      </w:pPr>
    </w:p>
    <w:p w:rsidR="007C5447" w:rsidRDefault="00F6308C">
      <w:pPr>
        <w:ind w:left="1660"/>
        <w:rPr>
          <w:i/>
          <w:sz w:val="24"/>
        </w:rPr>
      </w:pPr>
      <w:r>
        <w:rPr>
          <w:i/>
          <w:sz w:val="24"/>
        </w:rPr>
        <w:t>… … …”</w:t>
      </w:r>
    </w:p>
    <w:p w:rsidR="007C5447" w:rsidRDefault="00F6308C">
      <w:pPr>
        <w:pStyle w:val="ListParagraph"/>
        <w:numPr>
          <w:ilvl w:val="2"/>
          <w:numId w:val="114"/>
        </w:numPr>
        <w:tabs>
          <w:tab w:val="left" w:pos="1072"/>
          <w:tab w:val="left" w:pos="1073"/>
        </w:tabs>
        <w:spacing w:before="120" w:line="312" w:lineRule="auto"/>
        <w:ind w:right="215" w:hanging="852"/>
        <w:rPr>
          <w:sz w:val="24"/>
        </w:rPr>
      </w:pPr>
      <w:r>
        <w:rPr>
          <w:sz w:val="24"/>
        </w:rPr>
        <w:t>The Tariff Policy notified by Govt. of India on January 28, 2016, specifies the following</w:t>
      </w:r>
      <w:r>
        <w:rPr>
          <w:spacing w:val="-4"/>
          <w:sz w:val="24"/>
        </w:rPr>
        <w:t xml:space="preserve"> </w:t>
      </w:r>
      <w:r>
        <w:rPr>
          <w:sz w:val="24"/>
        </w:rPr>
        <w:t>objectives:</w:t>
      </w:r>
    </w:p>
    <w:p w:rsidR="007C5447" w:rsidRDefault="007C5447">
      <w:pPr>
        <w:pStyle w:val="BodyText"/>
        <w:spacing w:before="10"/>
        <w:rPr>
          <w:sz w:val="20"/>
        </w:rPr>
      </w:pPr>
    </w:p>
    <w:p w:rsidR="007C5447" w:rsidRDefault="00F6308C">
      <w:pPr>
        <w:ind w:left="1660"/>
        <w:rPr>
          <w:i/>
          <w:sz w:val="24"/>
        </w:rPr>
      </w:pPr>
      <w:r>
        <w:rPr>
          <w:i/>
          <w:sz w:val="24"/>
        </w:rPr>
        <w:t>“The objectives of this tariff policy are to:</w:t>
      </w:r>
    </w:p>
    <w:p w:rsidR="007C5447" w:rsidRDefault="007C5447">
      <w:pPr>
        <w:pStyle w:val="BodyText"/>
        <w:spacing w:before="10"/>
        <w:rPr>
          <w:i/>
          <w:sz w:val="20"/>
        </w:rPr>
      </w:pPr>
    </w:p>
    <w:p w:rsidR="007C5447" w:rsidRDefault="00F6308C">
      <w:pPr>
        <w:pStyle w:val="ListParagraph"/>
        <w:numPr>
          <w:ilvl w:val="0"/>
          <w:numId w:val="111"/>
        </w:numPr>
        <w:tabs>
          <w:tab w:val="left" w:pos="2021"/>
        </w:tabs>
        <w:ind w:right="941"/>
        <w:jc w:val="both"/>
        <w:rPr>
          <w:i/>
          <w:sz w:val="24"/>
        </w:rPr>
      </w:pPr>
      <w:r>
        <w:rPr>
          <w:i/>
          <w:sz w:val="24"/>
        </w:rPr>
        <w:t>Ensure availability of electricity to consumers at reasonable and competitive</w:t>
      </w:r>
      <w:r>
        <w:rPr>
          <w:i/>
          <w:spacing w:val="-2"/>
          <w:sz w:val="24"/>
        </w:rPr>
        <w:t xml:space="preserve"> </w:t>
      </w:r>
      <w:r>
        <w:rPr>
          <w:i/>
          <w:sz w:val="24"/>
        </w:rPr>
        <w:t>rates;</w:t>
      </w:r>
    </w:p>
    <w:p w:rsidR="007C5447" w:rsidRDefault="007C5447">
      <w:pPr>
        <w:pStyle w:val="BodyText"/>
        <w:spacing w:before="10"/>
        <w:rPr>
          <w:i/>
          <w:sz w:val="20"/>
        </w:rPr>
      </w:pPr>
    </w:p>
    <w:p w:rsidR="007C5447" w:rsidRDefault="00F6308C">
      <w:pPr>
        <w:pStyle w:val="ListParagraph"/>
        <w:numPr>
          <w:ilvl w:val="0"/>
          <w:numId w:val="111"/>
        </w:numPr>
        <w:tabs>
          <w:tab w:val="left" w:pos="2021"/>
        </w:tabs>
        <w:ind w:hanging="361"/>
        <w:jc w:val="both"/>
        <w:rPr>
          <w:i/>
          <w:sz w:val="24"/>
        </w:rPr>
      </w:pPr>
      <w:r>
        <w:rPr>
          <w:i/>
          <w:sz w:val="24"/>
        </w:rPr>
        <w:t>Ensure financial via</w:t>
      </w:r>
      <w:r>
        <w:rPr>
          <w:i/>
          <w:sz w:val="24"/>
        </w:rPr>
        <w:t>bility of the sector and attract</w:t>
      </w:r>
      <w:r>
        <w:rPr>
          <w:i/>
          <w:spacing w:val="-4"/>
          <w:sz w:val="24"/>
        </w:rPr>
        <w:t xml:space="preserve"> </w:t>
      </w:r>
      <w:r>
        <w:rPr>
          <w:i/>
          <w:sz w:val="24"/>
        </w:rPr>
        <w:t>investments;</w:t>
      </w:r>
    </w:p>
    <w:p w:rsidR="007C5447" w:rsidRDefault="007C5447">
      <w:pPr>
        <w:pStyle w:val="BodyText"/>
        <w:spacing w:before="11"/>
        <w:rPr>
          <w:i/>
          <w:sz w:val="20"/>
        </w:rPr>
      </w:pPr>
    </w:p>
    <w:p w:rsidR="007C5447" w:rsidRDefault="00F6308C">
      <w:pPr>
        <w:pStyle w:val="ListParagraph"/>
        <w:numPr>
          <w:ilvl w:val="0"/>
          <w:numId w:val="111"/>
        </w:numPr>
        <w:tabs>
          <w:tab w:val="left" w:pos="2021"/>
        </w:tabs>
        <w:ind w:right="938"/>
        <w:jc w:val="both"/>
        <w:rPr>
          <w:i/>
          <w:sz w:val="24"/>
        </w:rPr>
      </w:pPr>
      <w:r>
        <w:rPr>
          <w:i/>
          <w:sz w:val="24"/>
        </w:rPr>
        <w:t>Promote transparency, consistency and predictability in regulatory approaches across jurisdictions and minimise perceptions of regulatory</w:t>
      </w:r>
      <w:r>
        <w:rPr>
          <w:i/>
          <w:spacing w:val="-2"/>
          <w:sz w:val="24"/>
        </w:rPr>
        <w:t xml:space="preserve"> </w:t>
      </w:r>
      <w:r>
        <w:rPr>
          <w:i/>
          <w:sz w:val="24"/>
        </w:rPr>
        <w:t>risks;</w:t>
      </w:r>
    </w:p>
    <w:p w:rsidR="007C5447" w:rsidRDefault="007C5447">
      <w:pPr>
        <w:pStyle w:val="BodyText"/>
        <w:spacing w:before="10"/>
        <w:rPr>
          <w:i/>
          <w:sz w:val="20"/>
        </w:rPr>
      </w:pPr>
    </w:p>
    <w:p w:rsidR="007C5447" w:rsidRDefault="00F6308C">
      <w:pPr>
        <w:pStyle w:val="ListParagraph"/>
        <w:numPr>
          <w:ilvl w:val="0"/>
          <w:numId w:val="111"/>
        </w:numPr>
        <w:tabs>
          <w:tab w:val="left" w:pos="2021"/>
        </w:tabs>
        <w:ind w:right="939"/>
        <w:jc w:val="both"/>
        <w:rPr>
          <w:i/>
          <w:sz w:val="24"/>
        </w:rPr>
      </w:pPr>
      <w:r>
        <w:rPr>
          <w:i/>
          <w:sz w:val="24"/>
        </w:rPr>
        <w:t>Promote competition, efficiency in operations and improvement i</w:t>
      </w:r>
      <w:r>
        <w:rPr>
          <w:i/>
          <w:sz w:val="24"/>
        </w:rPr>
        <w:t>n quality of</w:t>
      </w:r>
      <w:r>
        <w:rPr>
          <w:i/>
          <w:spacing w:val="-1"/>
          <w:sz w:val="24"/>
        </w:rPr>
        <w:t xml:space="preserve"> </w:t>
      </w:r>
      <w:r>
        <w:rPr>
          <w:i/>
          <w:sz w:val="24"/>
        </w:rPr>
        <w:t>supply;</w:t>
      </w:r>
    </w:p>
    <w:p w:rsidR="007C5447" w:rsidRDefault="007C5447">
      <w:pPr>
        <w:pStyle w:val="BodyText"/>
        <w:spacing w:before="10"/>
        <w:rPr>
          <w:i/>
          <w:sz w:val="20"/>
        </w:rPr>
      </w:pPr>
    </w:p>
    <w:p w:rsidR="007C5447" w:rsidRDefault="00F6308C">
      <w:pPr>
        <w:pStyle w:val="ListParagraph"/>
        <w:numPr>
          <w:ilvl w:val="0"/>
          <w:numId w:val="111"/>
        </w:numPr>
        <w:tabs>
          <w:tab w:val="left" w:pos="2021"/>
        </w:tabs>
        <w:ind w:hanging="361"/>
        <w:jc w:val="both"/>
        <w:rPr>
          <w:i/>
          <w:sz w:val="24"/>
        </w:rPr>
      </w:pPr>
      <w:r>
        <w:rPr>
          <w:i/>
          <w:sz w:val="24"/>
        </w:rPr>
        <w:t>Promote generation of electricity from Renewable</w:t>
      </w:r>
      <w:r>
        <w:rPr>
          <w:i/>
          <w:spacing w:val="-3"/>
          <w:sz w:val="24"/>
        </w:rPr>
        <w:t xml:space="preserve"> </w:t>
      </w:r>
      <w:r>
        <w:rPr>
          <w:i/>
          <w:sz w:val="24"/>
        </w:rPr>
        <w:t>sources;</w:t>
      </w:r>
    </w:p>
    <w:p w:rsidR="007C5447" w:rsidRDefault="007C5447">
      <w:pPr>
        <w:pStyle w:val="BodyText"/>
        <w:spacing w:before="10"/>
        <w:rPr>
          <w:i/>
          <w:sz w:val="20"/>
        </w:rPr>
      </w:pPr>
    </w:p>
    <w:p w:rsidR="007C5447" w:rsidRDefault="00F6308C">
      <w:pPr>
        <w:pStyle w:val="ListParagraph"/>
        <w:numPr>
          <w:ilvl w:val="0"/>
          <w:numId w:val="111"/>
        </w:numPr>
        <w:tabs>
          <w:tab w:val="left" w:pos="2021"/>
        </w:tabs>
        <w:ind w:right="937"/>
        <w:jc w:val="both"/>
        <w:rPr>
          <w:i/>
          <w:sz w:val="24"/>
        </w:rPr>
      </w:pPr>
      <w:r>
        <w:rPr>
          <w:i/>
          <w:sz w:val="24"/>
        </w:rPr>
        <w:t>Promote Hydroelectric Power generation including Pumped Storage Projects (PSP) to provide adequate peaking reserves, reliable</w:t>
      </w:r>
      <w:r>
        <w:rPr>
          <w:i/>
          <w:spacing w:val="22"/>
          <w:sz w:val="24"/>
        </w:rPr>
        <w:t xml:space="preserve"> </w:t>
      </w:r>
      <w:r>
        <w:rPr>
          <w:i/>
          <w:sz w:val="24"/>
        </w:rPr>
        <w:t>grid</w:t>
      </w:r>
      <w:r>
        <w:rPr>
          <w:i/>
          <w:spacing w:val="24"/>
          <w:sz w:val="24"/>
        </w:rPr>
        <w:t xml:space="preserve"> </w:t>
      </w:r>
      <w:r>
        <w:rPr>
          <w:i/>
          <w:sz w:val="24"/>
        </w:rPr>
        <w:t>operation</w:t>
      </w:r>
      <w:r>
        <w:rPr>
          <w:i/>
          <w:spacing w:val="25"/>
          <w:sz w:val="24"/>
        </w:rPr>
        <w:t xml:space="preserve"> </w:t>
      </w:r>
      <w:r>
        <w:rPr>
          <w:i/>
          <w:sz w:val="24"/>
        </w:rPr>
        <w:t>and</w:t>
      </w:r>
      <w:r>
        <w:rPr>
          <w:i/>
          <w:spacing w:val="23"/>
          <w:sz w:val="24"/>
        </w:rPr>
        <w:t xml:space="preserve"> </w:t>
      </w:r>
      <w:r>
        <w:rPr>
          <w:i/>
          <w:sz w:val="24"/>
        </w:rPr>
        <w:t>integration</w:t>
      </w:r>
      <w:r>
        <w:rPr>
          <w:i/>
          <w:spacing w:val="24"/>
          <w:sz w:val="24"/>
        </w:rPr>
        <w:t xml:space="preserve"> </w:t>
      </w:r>
      <w:r>
        <w:rPr>
          <w:i/>
          <w:sz w:val="24"/>
        </w:rPr>
        <w:t>of</w:t>
      </w:r>
      <w:r>
        <w:rPr>
          <w:i/>
          <w:spacing w:val="26"/>
          <w:sz w:val="24"/>
        </w:rPr>
        <w:t xml:space="preserve"> </w:t>
      </w:r>
      <w:r>
        <w:rPr>
          <w:i/>
          <w:sz w:val="24"/>
        </w:rPr>
        <w:t>variable</w:t>
      </w:r>
      <w:r>
        <w:rPr>
          <w:i/>
          <w:spacing w:val="22"/>
          <w:sz w:val="24"/>
        </w:rPr>
        <w:t xml:space="preserve"> </w:t>
      </w:r>
      <w:r>
        <w:rPr>
          <w:i/>
          <w:sz w:val="24"/>
        </w:rPr>
        <w:t>renewa</w:t>
      </w:r>
      <w:r>
        <w:rPr>
          <w:i/>
          <w:sz w:val="24"/>
        </w:rPr>
        <w:t>ble</w:t>
      </w:r>
    </w:p>
    <w:p w:rsidR="007C5447" w:rsidRDefault="007C5447">
      <w:pPr>
        <w:jc w:val="both"/>
        <w:rPr>
          <w:sz w:val="24"/>
        </w:rPr>
        <w:sectPr w:rsidR="007C5447">
          <w:pgSz w:w="11910" w:h="16840"/>
          <w:pgMar w:top="1500" w:right="1220" w:bottom="1620" w:left="1220" w:header="0" w:footer="1386" w:gutter="0"/>
          <w:cols w:space="720"/>
        </w:sectPr>
      </w:pPr>
    </w:p>
    <w:p w:rsidR="007C5447" w:rsidRDefault="00F6308C">
      <w:pPr>
        <w:spacing w:before="70"/>
        <w:ind w:left="2020"/>
        <w:rPr>
          <w:i/>
          <w:sz w:val="24"/>
        </w:rPr>
      </w:pPr>
      <w:r>
        <w:rPr>
          <w:i/>
          <w:sz w:val="24"/>
        </w:rPr>
        <w:lastRenderedPageBreak/>
        <w:t>energy sources;</w:t>
      </w:r>
    </w:p>
    <w:p w:rsidR="007C5447" w:rsidRDefault="007C5447">
      <w:pPr>
        <w:pStyle w:val="BodyText"/>
        <w:spacing w:before="9"/>
        <w:rPr>
          <w:i/>
          <w:sz w:val="20"/>
        </w:rPr>
      </w:pPr>
    </w:p>
    <w:p w:rsidR="007C5447" w:rsidRDefault="00F6308C">
      <w:pPr>
        <w:pStyle w:val="ListParagraph"/>
        <w:numPr>
          <w:ilvl w:val="0"/>
          <w:numId w:val="111"/>
        </w:numPr>
        <w:tabs>
          <w:tab w:val="left" w:pos="2021"/>
        </w:tabs>
        <w:spacing w:before="1"/>
        <w:ind w:right="939"/>
        <w:jc w:val="both"/>
        <w:rPr>
          <w:i/>
          <w:sz w:val="24"/>
        </w:rPr>
      </w:pPr>
      <w:r>
        <w:rPr>
          <w:i/>
          <w:sz w:val="24"/>
        </w:rPr>
        <w:t>Evolve a dynamic and robust electricity infrastructure for better consumer</w:t>
      </w:r>
      <w:r>
        <w:rPr>
          <w:i/>
          <w:spacing w:val="-1"/>
          <w:sz w:val="24"/>
        </w:rPr>
        <w:t xml:space="preserve"> </w:t>
      </w:r>
      <w:r>
        <w:rPr>
          <w:i/>
          <w:sz w:val="24"/>
        </w:rPr>
        <w:t>services;</w:t>
      </w:r>
    </w:p>
    <w:p w:rsidR="007C5447" w:rsidRDefault="007C5447">
      <w:pPr>
        <w:pStyle w:val="BodyText"/>
        <w:spacing w:before="10"/>
        <w:rPr>
          <w:i/>
          <w:sz w:val="20"/>
        </w:rPr>
      </w:pPr>
    </w:p>
    <w:p w:rsidR="007C5447" w:rsidRDefault="00F6308C">
      <w:pPr>
        <w:pStyle w:val="ListParagraph"/>
        <w:numPr>
          <w:ilvl w:val="0"/>
          <w:numId w:val="111"/>
        </w:numPr>
        <w:tabs>
          <w:tab w:val="left" w:pos="2021"/>
        </w:tabs>
        <w:ind w:right="939"/>
        <w:jc w:val="both"/>
        <w:rPr>
          <w:i/>
          <w:sz w:val="24"/>
        </w:rPr>
      </w:pPr>
      <w:r>
        <w:rPr>
          <w:i/>
          <w:sz w:val="24"/>
        </w:rPr>
        <w:t>Facilitate supply of adequate and uninterrupted power to all categories of</w:t>
      </w:r>
      <w:r>
        <w:rPr>
          <w:i/>
          <w:spacing w:val="-1"/>
          <w:sz w:val="24"/>
        </w:rPr>
        <w:t xml:space="preserve"> </w:t>
      </w:r>
      <w:r>
        <w:rPr>
          <w:i/>
          <w:sz w:val="24"/>
        </w:rPr>
        <w:t>consumers;</w:t>
      </w:r>
    </w:p>
    <w:p w:rsidR="007C5447" w:rsidRDefault="007C5447">
      <w:pPr>
        <w:pStyle w:val="BodyText"/>
        <w:spacing w:before="10"/>
        <w:rPr>
          <w:i/>
          <w:sz w:val="20"/>
        </w:rPr>
      </w:pPr>
    </w:p>
    <w:p w:rsidR="007C5447" w:rsidRDefault="00F6308C">
      <w:pPr>
        <w:pStyle w:val="ListParagraph"/>
        <w:numPr>
          <w:ilvl w:val="0"/>
          <w:numId w:val="111"/>
        </w:numPr>
        <w:tabs>
          <w:tab w:val="left" w:pos="2021"/>
        </w:tabs>
        <w:ind w:right="936"/>
        <w:jc w:val="both"/>
        <w:rPr>
          <w:i/>
          <w:sz w:val="24"/>
        </w:rPr>
      </w:pPr>
      <w:r>
        <w:rPr>
          <w:i/>
          <w:sz w:val="24"/>
        </w:rPr>
        <w:t>Ensure creation of adequate capacity including reserves in generation, transmission and distribution in advance, for reliability of supply of electricity to</w:t>
      </w:r>
      <w:r>
        <w:rPr>
          <w:i/>
          <w:spacing w:val="-3"/>
          <w:sz w:val="24"/>
        </w:rPr>
        <w:t xml:space="preserve"> </w:t>
      </w:r>
      <w:r>
        <w:rPr>
          <w:i/>
          <w:sz w:val="24"/>
        </w:rPr>
        <w:t>consumers.”</w:t>
      </w:r>
    </w:p>
    <w:p w:rsidR="007C5447" w:rsidRDefault="007C5447">
      <w:pPr>
        <w:pStyle w:val="BodyText"/>
        <w:spacing w:before="10"/>
        <w:rPr>
          <w:i/>
          <w:sz w:val="20"/>
        </w:rPr>
      </w:pPr>
    </w:p>
    <w:p w:rsidR="007C5447" w:rsidRDefault="00F6308C">
      <w:pPr>
        <w:pStyle w:val="Heading2"/>
        <w:numPr>
          <w:ilvl w:val="1"/>
          <w:numId w:val="114"/>
        </w:numPr>
        <w:tabs>
          <w:tab w:val="left" w:pos="786"/>
          <w:tab w:val="left" w:pos="787"/>
        </w:tabs>
        <w:spacing w:before="1"/>
        <w:ind w:left="786"/>
      </w:pPr>
      <w:bookmarkStart w:id="3" w:name="_bookmark3"/>
      <w:bookmarkEnd w:id="3"/>
      <w:r>
        <w:t>Tariff Filing</w:t>
      </w:r>
    </w:p>
    <w:p w:rsidR="007C5447" w:rsidRDefault="007C5447">
      <w:pPr>
        <w:pStyle w:val="BodyText"/>
        <w:spacing w:before="10"/>
        <w:rPr>
          <w:b/>
          <w:sz w:val="27"/>
        </w:rPr>
      </w:pPr>
    </w:p>
    <w:p w:rsidR="007C5447" w:rsidRDefault="00F6308C">
      <w:pPr>
        <w:pStyle w:val="ListParagraph"/>
        <w:numPr>
          <w:ilvl w:val="2"/>
          <w:numId w:val="114"/>
        </w:numPr>
        <w:tabs>
          <w:tab w:val="left" w:pos="1073"/>
        </w:tabs>
        <w:spacing w:before="1" w:line="312" w:lineRule="auto"/>
        <w:ind w:right="216" w:hanging="852"/>
        <w:jc w:val="both"/>
        <w:rPr>
          <w:sz w:val="24"/>
        </w:rPr>
      </w:pPr>
      <w:r>
        <w:rPr>
          <w:sz w:val="24"/>
        </w:rPr>
        <w:t>TANGEDCO was incorporated on December 1, 2009 and started functioning a</w:t>
      </w:r>
      <w:r>
        <w:rPr>
          <w:sz w:val="24"/>
        </w:rPr>
        <w:t>s such with effect from November 1,</w:t>
      </w:r>
      <w:r>
        <w:rPr>
          <w:spacing w:val="-2"/>
          <w:sz w:val="24"/>
        </w:rPr>
        <w:t xml:space="preserve"> </w:t>
      </w:r>
      <w:r>
        <w:rPr>
          <w:sz w:val="24"/>
        </w:rPr>
        <w:t>2010.</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 xml:space="preserve">Subsequent to the filing of Tariff Petitions by TANGEDCO for determination of retail supply tariff for FY 2012-13, the Commission scrutinised and reviewed the same. After a thorough review, the </w:t>
      </w:r>
      <w:r>
        <w:rPr>
          <w:b/>
          <w:sz w:val="24"/>
        </w:rPr>
        <w:t xml:space="preserve">third </w:t>
      </w:r>
      <w:r>
        <w:rPr>
          <w:sz w:val="24"/>
        </w:rPr>
        <w:t>Order (Order. No. 1 of 2012) of the Commission on Retail</w:t>
      </w:r>
      <w:r>
        <w:rPr>
          <w:sz w:val="24"/>
        </w:rPr>
        <w:t xml:space="preserve"> Supply Tariff, Wheeling Charges and other related charges was passed on March 30,</w:t>
      </w:r>
      <w:r>
        <w:rPr>
          <w:spacing w:val="1"/>
          <w:sz w:val="24"/>
        </w:rPr>
        <w:t xml:space="preserve"> </w:t>
      </w:r>
      <w:r>
        <w:rPr>
          <w:sz w:val="24"/>
        </w:rPr>
        <w:t>2012.</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TANGEDCO filed the Tariff Petition for determination of tariff for Generation and Distribution for FY 2013-14, which was scrutinised and reviewed by the Commission. B</w:t>
      </w:r>
      <w:r>
        <w:rPr>
          <w:sz w:val="24"/>
        </w:rPr>
        <w:t xml:space="preserve">ased on this Petition and after considering views of the State Advisory Committee and the public, the Commission passed the </w:t>
      </w:r>
      <w:r>
        <w:rPr>
          <w:b/>
          <w:sz w:val="24"/>
        </w:rPr>
        <w:t xml:space="preserve">fourth </w:t>
      </w:r>
      <w:r>
        <w:rPr>
          <w:sz w:val="24"/>
        </w:rPr>
        <w:t>Order on June 20,</w:t>
      </w:r>
      <w:r>
        <w:rPr>
          <w:spacing w:val="-1"/>
          <w:sz w:val="24"/>
        </w:rPr>
        <w:t xml:space="preserve"> </w:t>
      </w:r>
      <w:r>
        <w:rPr>
          <w:sz w:val="24"/>
        </w:rPr>
        <w:t>2013.</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 xml:space="preserve">TANGEDCO did not file the ARR and Tariff Petition for FY 2014-15 before the Commission. </w:t>
      </w:r>
      <w:r>
        <w:rPr>
          <w:spacing w:val="-3"/>
          <w:sz w:val="24"/>
        </w:rPr>
        <w:t xml:space="preserve">In </w:t>
      </w:r>
      <w:r>
        <w:rPr>
          <w:sz w:val="24"/>
        </w:rPr>
        <w:t>the absen</w:t>
      </w:r>
      <w:r>
        <w:rPr>
          <w:sz w:val="24"/>
        </w:rPr>
        <w:t xml:space="preserve">ce of Tariff Petition, the Commission initiated a suo-motu proceeding for determination of tariff in accordance with Section 64 of EA 2003. After thorough review of the available information, the Commission passed the </w:t>
      </w:r>
      <w:r>
        <w:rPr>
          <w:b/>
          <w:sz w:val="24"/>
        </w:rPr>
        <w:t xml:space="preserve">fifth </w:t>
      </w:r>
      <w:r>
        <w:rPr>
          <w:sz w:val="24"/>
        </w:rPr>
        <w:t>Order on December 11,</w:t>
      </w:r>
      <w:r>
        <w:rPr>
          <w:spacing w:val="-3"/>
          <w:sz w:val="24"/>
        </w:rPr>
        <w:t xml:space="preserve"> </w:t>
      </w:r>
      <w:r>
        <w:rPr>
          <w:sz w:val="24"/>
        </w:rPr>
        <w:t>2014.</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TAN</w:t>
      </w:r>
      <w:r>
        <w:rPr>
          <w:sz w:val="24"/>
        </w:rPr>
        <w:t>GEDCO has now filed the Petition for final truing up of FY 2011-12 to FY 2015-16, determination of Multi Year ARR for FY 2016-17 to FY 2018-19 and determination of Retail Tariff for FY</w:t>
      </w:r>
      <w:r>
        <w:rPr>
          <w:spacing w:val="-2"/>
          <w:sz w:val="24"/>
        </w:rPr>
        <w:t xml:space="preserve"> </w:t>
      </w:r>
      <w:r>
        <w:rPr>
          <w:sz w:val="24"/>
        </w:rPr>
        <w:t>2017-18.</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4" w:lineRule="auto"/>
        <w:ind w:right="219" w:hanging="852"/>
        <w:jc w:val="both"/>
        <w:rPr>
          <w:sz w:val="24"/>
        </w:rPr>
      </w:pPr>
      <w:r>
        <w:rPr>
          <w:sz w:val="24"/>
        </w:rPr>
        <w:t>TANGEDCO submitted that ARR for FY 2017-18 should have been f</w:t>
      </w:r>
      <w:r>
        <w:rPr>
          <w:sz w:val="24"/>
        </w:rPr>
        <w:t>iled before November</w:t>
      </w:r>
      <w:r>
        <w:rPr>
          <w:spacing w:val="14"/>
          <w:sz w:val="24"/>
        </w:rPr>
        <w:t xml:space="preserve"> </w:t>
      </w:r>
      <w:r>
        <w:rPr>
          <w:sz w:val="24"/>
        </w:rPr>
        <w:t>30,</w:t>
      </w:r>
      <w:r>
        <w:rPr>
          <w:spacing w:val="16"/>
          <w:sz w:val="24"/>
        </w:rPr>
        <w:t xml:space="preserve"> </w:t>
      </w:r>
      <w:r>
        <w:rPr>
          <w:sz w:val="24"/>
        </w:rPr>
        <w:t>2016.</w:t>
      </w:r>
      <w:r>
        <w:rPr>
          <w:spacing w:val="17"/>
          <w:sz w:val="24"/>
        </w:rPr>
        <w:t xml:space="preserve"> </w:t>
      </w:r>
      <w:r>
        <w:rPr>
          <w:sz w:val="24"/>
        </w:rPr>
        <w:t>Since</w:t>
      </w:r>
      <w:r>
        <w:rPr>
          <w:spacing w:val="14"/>
          <w:sz w:val="24"/>
        </w:rPr>
        <w:t xml:space="preserve"> </w:t>
      </w:r>
      <w:r>
        <w:rPr>
          <w:sz w:val="24"/>
        </w:rPr>
        <w:t>the</w:t>
      </w:r>
      <w:r>
        <w:rPr>
          <w:spacing w:val="18"/>
          <w:sz w:val="24"/>
        </w:rPr>
        <w:t xml:space="preserve"> </w:t>
      </w:r>
      <w:r>
        <w:rPr>
          <w:sz w:val="24"/>
        </w:rPr>
        <w:t>Government</w:t>
      </w:r>
      <w:r>
        <w:rPr>
          <w:spacing w:val="16"/>
          <w:sz w:val="24"/>
        </w:rPr>
        <w:t xml:space="preserve"> </w:t>
      </w:r>
      <w:r>
        <w:rPr>
          <w:sz w:val="24"/>
        </w:rPr>
        <w:t>of</w:t>
      </w:r>
      <w:r>
        <w:rPr>
          <w:spacing w:val="15"/>
          <w:sz w:val="24"/>
        </w:rPr>
        <w:t xml:space="preserve"> </w:t>
      </w:r>
      <w:r>
        <w:rPr>
          <w:sz w:val="24"/>
        </w:rPr>
        <w:t>Tamil</w:t>
      </w:r>
      <w:r>
        <w:rPr>
          <w:spacing w:val="16"/>
          <w:sz w:val="24"/>
        </w:rPr>
        <w:t xml:space="preserve"> </w:t>
      </w:r>
      <w:r>
        <w:rPr>
          <w:sz w:val="24"/>
        </w:rPr>
        <w:t>Nadu</w:t>
      </w:r>
      <w:r>
        <w:rPr>
          <w:spacing w:val="16"/>
          <w:sz w:val="24"/>
        </w:rPr>
        <w:t xml:space="preserve"> </w:t>
      </w:r>
      <w:r>
        <w:rPr>
          <w:sz w:val="24"/>
        </w:rPr>
        <w:t>(GoTN)</w:t>
      </w:r>
      <w:r>
        <w:rPr>
          <w:spacing w:val="14"/>
          <w:sz w:val="24"/>
        </w:rPr>
        <w:t xml:space="preserve"> </w:t>
      </w:r>
      <w:r>
        <w:rPr>
          <w:sz w:val="24"/>
        </w:rPr>
        <w:t>decided</w:t>
      </w:r>
      <w:r>
        <w:rPr>
          <w:spacing w:val="16"/>
          <w:sz w:val="24"/>
        </w:rPr>
        <w:t xml:space="preserve"> </w:t>
      </w:r>
      <w:r>
        <w:rPr>
          <w:sz w:val="24"/>
        </w:rPr>
        <w:t>to</w:t>
      </w:r>
      <w:r>
        <w:rPr>
          <w:spacing w:val="16"/>
          <w:sz w:val="24"/>
        </w:rPr>
        <w:t xml:space="preserve"> </w:t>
      </w:r>
      <w:r>
        <w:rPr>
          <w:sz w:val="24"/>
        </w:rPr>
        <w:t>join</w:t>
      </w:r>
    </w:p>
    <w:p w:rsidR="007C5447" w:rsidRDefault="007C5447">
      <w:pPr>
        <w:spacing w:line="314"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15"/>
        <w:jc w:val="both"/>
      </w:pPr>
      <w:r>
        <w:lastRenderedPageBreak/>
        <w:t>the UDAY scheme, TANGEDCO filed a Petition before the Commission in M.P No. 31 of 2016 seeking time extension upto January 31, 2017, as the participation in UDAY will have direct impact on the profitability of TANGEDCO. The Commission granted the request o</w:t>
      </w:r>
      <w:r>
        <w:t xml:space="preserve">f TANGEDCO. The MoU under UDAY scheme was entered into between the GoI, GoTN and TANGEDCO on January 9, 2017. Taking into account the consequent financial impact, the Petition was filed before the Commission on January 27, 2017 and admitted on January 31, </w:t>
      </w:r>
      <w:r>
        <w:t>2017 vide T.P. No.1 of</w:t>
      </w:r>
      <w:r>
        <w:rPr>
          <w:spacing w:val="-2"/>
        </w:rPr>
        <w:t xml:space="preserve"> </w:t>
      </w:r>
      <w:r>
        <w:t>2017.</w:t>
      </w:r>
    </w:p>
    <w:p w:rsidR="007C5447" w:rsidRDefault="007C5447">
      <w:pPr>
        <w:pStyle w:val="BodyText"/>
        <w:spacing w:before="10"/>
        <w:rPr>
          <w:sz w:val="20"/>
        </w:rPr>
      </w:pPr>
    </w:p>
    <w:p w:rsidR="007C5447" w:rsidRDefault="00F6308C">
      <w:pPr>
        <w:pStyle w:val="Heading2"/>
        <w:numPr>
          <w:ilvl w:val="1"/>
          <w:numId w:val="114"/>
        </w:numPr>
        <w:tabs>
          <w:tab w:val="left" w:pos="786"/>
          <w:tab w:val="left" w:pos="787"/>
        </w:tabs>
        <w:spacing w:before="1"/>
        <w:ind w:left="786"/>
      </w:pPr>
      <w:bookmarkStart w:id="4" w:name="_bookmark4"/>
      <w:bookmarkEnd w:id="4"/>
      <w:r>
        <w:t>Procedure Adopted</w:t>
      </w:r>
    </w:p>
    <w:p w:rsidR="007C5447" w:rsidRDefault="007C5447">
      <w:pPr>
        <w:pStyle w:val="BodyText"/>
        <w:spacing w:before="10"/>
        <w:rPr>
          <w:b/>
          <w:sz w:val="27"/>
        </w:rPr>
      </w:pPr>
    </w:p>
    <w:p w:rsidR="007C5447" w:rsidRDefault="00F6308C">
      <w:pPr>
        <w:pStyle w:val="ListParagraph"/>
        <w:numPr>
          <w:ilvl w:val="2"/>
          <w:numId w:val="114"/>
        </w:numPr>
        <w:tabs>
          <w:tab w:val="left" w:pos="1072"/>
          <w:tab w:val="left" w:pos="1073"/>
        </w:tabs>
        <w:spacing w:before="1"/>
        <w:ind w:hanging="853"/>
        <w:rPr>
          <w:sz w:val="24"/>
        </w:rPr>
      </w:pPr>
      <w:r>
        <w:rPr>
          <w:sz w:val="24"/>
        </w:rPr>
        <w:t>Regulation 7 (2) of the Tariff Regulations specifies as</w:t>
      </w:r>
      <w:r>
        <w:rPr>
          <w:spacing w:val="-4"/>
          <w:sz w:val="24"/>
        </w:rPr>
        <w:t xml:space="preserve"> </w:t>
      </w:r>
      <w:r>
        <w:rPr>
          <w:sz w:val="24"/>
        </w:rPr>
        <w:t>under:</w:t>
      </w:r>
    </w:p>
    <w:p w:rsidR="007C5447" w:rsidRDefault="007C5447">
      <w:pPr>
        <w:pStyle w:val="BodyText"/>
        <w:spacing w:before="2"/>
        <w:rPr>
          <w:sz w:val="28"/>
        </w:rPr>
      </w:pPr>
    </w:p>
    <w:p w:rsidR="007C5447" w:rsidRDefault="00F6308C">
      <w:pPr>
        <w:ind w:left="1660" w:right="939"/>
        <w:jc w:val="both"/>
        <w:rPr>
          <w:i/>
          <w:sz w:val="24"/>
        </w:rPr>
      </w:pPr>
      <w:r>
        <w:rPr>
          <w:i/>
          <w:sz w:val="24"/>
        </w:rPr>
        <w:t xml:space="preserve">“The applicant shall publish, for the information of public, the </w:t>
      </w:r>
      <w:r>
        <w:rPr>
          <w:i/>
          <w:sz w:val="24"/>
        </w:rPr>
        <w:t>contents of the application in an abridged form in English and Tamil newspapers having wide circulation and as per the direction of the Commission in this regard. The copies of Petition and documents filed with the Commission shall also be made available a</w:t>
      </w:r>
      <w:r>
        <w:rPr>
          <w:i/>
          <w:sz w:val="24"/>
        </w:rPr>
        <w:t>t a nominal price, besides hosting them in the</w:t>
      </w:r>
      <w:r>
        <w:rPr>
          <w:i/>
          <w:spacing w:val="-3"/>
          <w:sz w:val="24"/>
        </w:rPr>
        <w:t xml:space="preserve"> </w:t>
      </w:r>
      <w:r>
        <w:rPr>
          <w:i/>
          <w:sz w:val="24"/>
        </w:rPr>
        <w:t>website.”</w:t>
      </w:r>
    </w:p>
    <w:p w:rsidR="007C5447" w:rsidRDefault="00F6308C">
      <w:pPr>
        <w:pStyle w:val="ListParagraph"/>
        <w:numPr>
          <w:ilvl w:val="2"/>
          <w:numId w:val="114"/>
        </w:numPr>
        <w:tabs>
          <w:tab w:val="left" w:pos="1073"/>
        </w:tabs>
        <w:spacing w:before="120" w:line="312" w:lineRule="auto"/>
        <w:ind w:right="214" w:hanging="852"/>
        <w:jc w:val="both"/>
        <w:rPr>
          <w:sz w:val="24"/>
        </w:rPr>
      </w:pPr>
      <w:r>
        <w:rPr>
          <w:sz w:val="24"/>
        </w:rPr>
        <w:t>The Public Notice containing the salient details with regard to the Petition was approved and communicated to TANGEDCO on February 8, 2017 with a direction to arrange publication of the notice in new</w:t>
      </w:r>
      <w:r>
        <w:rPr>
          <w:sz w:val="24"/>
        </w:rPr>
        <w:t>spapers. The</w:t>
      </w:r>
      <w:r>
        <w:rPr>
          <w:spacing w:val="43"/>
          <w:sz w:val="24"/>
        </w:rPr>
        <w:t xml:space="preserve"> </w:t>
      </w:r>
      <w:r>
        <w:rPr>
          <w:sz w:val="24"/>
        </w:rPr>
        <w:t>written objections/suggestions/views from stakeholders were invited by March 13, 2017 and the time limit was extended till March 31,</w:t>
      </w:r>
      <w:r>
        <w:rPr>
          <w:spacing w:val="-2"/>
          <w:sz w:val="24"/>
        </w:rPr>
        <w:t xml:space="preserve"> </w:t>
      </w:r>
      <w:r>
        <w:rPr>
          <w:sz w:val="24"/>
        </w:rPr>
        <w:t>2017.</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20" w:hanging="852"/>
        <w:jc w:val="both"/>
        <w:rPr>
          <w:sz w:val="24"/>
        </w:rPr>
      </w:pPr>
      <w:r>
        <w:rPr>
          <w:sz w:val="24"/>
        </w:rPr>
        <w:t>TANGEDCO has published the Public Notice in the following newspapers on February 10, 2017</w:t>
      </w:r>
      <w:r>
        <w:rPr>
          <w:spacing w:val="-6"/>
          <w:sz w:val="24"/>
        </w:rPr>
        <w:t xml:space="preserve"> </w:t>
      </w:r>
      <w:r>
        <w:rPr>
          <w:sz w:val="24"/>
        </w:rPr>
        <w:t>(Friday).</w:t>
      </w:r>
    </w:p>
    <w:p w:rsidR="007C5447" w:rsidRDefault="007C5447">
      <w:pPr>
        <w:pStyle w:val="BodyText"/>
        <w:spacing w:before="10"/>
        <w:rPr>
          <w:sz w:val="20"/>
        </w:rPr>
      </w:pPr>
    </w:p>
    <w:p w:rsidR="007C5447" w:rsidRDefault="00F6308C">
      <w:pPr>
        <w:pStyle w:val="ListParagraph"/>
        <w:numPr>
          <w:ilvl w:val="0"/>
          <w:numId w:val="110"/>
        </w:numPr>
        <w:tabs>
          <w:tab w:val="left" w:pos="1318"/>
        </w:tabs>
        <w:rPr>
          <w:sz w:val="24"/>
        </w:rPr>
      </w:pPr>
      <w:r>
        <w:rPr>
          <w:sz w:val="24"/>
        </w:rPr>
        <w:t>Bu</w:t>
      </w:r>
      <w:r>
        <w:rPr>
          <w:sz w:val="24"/>
        </w:rPr>
        <w:t>siness Standard (English Morning</w:t>
      </w:r>
      <w:r>
        <w:rPr>
          <w:spacing w:val="-4"/>
          <w:sz w:val="24"/>
        </w:rPr>
        <w:t xml:space="preserve"> </w:t>
      </w:r>
      <w:r>
        <w:rPr>
          <w:sz w:val="24"/>
        </w:rPr>
        <w:t>Newspaper)</w:t>
      </w:r>
    </w:p>
    <w:p w:rsidR="007C5447" w:rsidRDefault="007C5447">
      <w:pPr>
        <w:pStyle w:val="BodyText"/>
        <w:spacing w:before="3"/>
        <w:rPr>
          <w:sz w:val="28"/>
        </w:rPr>
      </w:pPr>
    </w:p>
    <w:p w:rsidR="007C5447" w:rsidRDefault="00F6308C">
      <w:pPr>
        <w:pStyle w:val="ListParagraph"/>
        <w:numPr>
          <w:ilvl w:val="0"/>
          <w:numId w:val="110"/>
        </w:numPr>
        <w:tabs>
          <w:tab w:val="left" w:pos="1333"/>
        </w:tabs>
        <w:ind w:left="1332" w:hanging="261"/>
        <w:rPr>
          <w:sz w:val="24"/>
        </w:rPr>
      </w:pPr>
      <w:r>
        <w:rPr>
          <w:sz w:val="24"/>
        </w:rPr>
        <w:t>Dina Boomi (Tamil Morning</w:t>
      </w:r>
      <w:r>
        <w:rPr>
          <w:spacing w:val="-3"/>
          <w:sz w:val="24"/>
        </w:rPr>
        <w:t xml:space="preserve"> </w:t>
      </w:r>
      <w:r>
        <w:rPr>
          <w:sz w:val="24"/>
        </w:rPr>
        <w:t>Newspaper)</w:t>
      </w:r>
    </w:p>
    <w:p w:rsidR="007C5447" w:rsidRDefault="007C5447">
      <w:pPr>
        <w:pStyle w:val="BodyText"/>
        <w:spacing w:before="11"/>
        <w:rPr>
          <w:sz w:val="27"/>
        </w:rPr>
      </w:pPr>
    </w:p>
    <w:p w:rsidR="007C5447" w:rsidRDefault="00F6308C">
      <w:pPr>
        <w:pStyle w:val="ListParagraph"/>
        <w:numPr>
          <w:ilvl w:val="0"/>
          <w:numId w:val="110"/>
        </w:numPr>
        <w:tabs>
          <w:tab w:val="left" w:pos="1318"/>
        </w:tabs>
        <w:rPr>
          <w:sz w:val="24"/>
        </w:rPr>
      </w:pPr>
      <w:r>
        <w:rPr>
          <w:sz w:val="24"/>
        </w:rPr>
        <w:t>Trinity Mirror (English Evening</w:t>
      </w:r>
      <w:r>
        <w:rPr>
          <w:spacing w:val="-8"/>
          <w:sz w:val="24"/>
        </w:rPr>
        <w:t xml:space="preserve"> </w:t>
      </w:r>
      <w:r>
        <w:rPr>
          <w:sz w:val="24"/>
        </w:rPr>
        <w:t>Newspaper)</w:t>
      </w:r>
    </w:p>
    <w:p w:rsidR="007C5447" w:rsidRDefault="007C5447">
      <w:pPr>
        <w:pStyle w:val="BodyText"/>
        <w:spacing w:before="2"/>
        <w:rPr>
          <w:sz w:val="28"/>
        </w:rPr>
      </w:pPr>
    </w:p>
    <w:p w:rsidR="007C5447" w:rsidRDefault="00F6308C">
      <w:pPr>
        <w:pStyle w:val="ListParagraph"/>
        <w:numPr>
          <w:ilvl w:val="0"/>
          <w:numId w:val="110"/>
        </w:numPr>
        <w:tabs>
          <w:tab w:val="left" w:pos="1333"/>
        </w:tabs>
        <w:ind w:left="1332" w:hanging="261"/>
        <w:rPr>
          <w:sz w:val="24"/>
        </w:rPr>
      </w:pPr>
      <w:r>
        <w:rPr>
          <w:sz w:val="24"/>
        </w:rPr>
        <w:t>Makkal Kural (Tamil Evening</w:t>
      </w:r>
      <w:r>
        <w:rPr>
          <w:spacing w:val="1"/>
          <w:sz w:val="24"/>
        </w:rPr>
        <w:t xml:space="preserve"> </w:t>
      </w:r>
      <w:r>
        <w:rPr>
          <w:sz w:val="24"/>
        </w:rPr>
        <w:t>Newspaper)</w:t>
      </w:r>
    </w:p>
    <w:p w:rsidR="007C5447" w:rsidRDefault="00F6308C">
      <w:pPr>
        <w:pStyle w:val="ListParagraph"/>
        <w:numPr>
          <w:ilvl w:val="2"/>
          <w:numId w:val="114"/>
        </w:numPr>
        <w:tabs>
          <w:tab w:val="left" w:pos="1073"/>
        </w:tabs>
        <w:spacing w:before="202" w:line="312" w:lineRule="auto"/>
        <w:ind w:right="213" w:hanging="852"/>
        <w:jc w:val="both"/>
        <w:rPr>
          <w:sz w:val="24"/>
        </w:rPr>
      </w:pPr>
      <w:r>
        <w:rPr>
          <w:sz w:val="24"/>
        </w:rPr>
        <w:t>The Petition was placed before the State Advisory Committee on July 20, 2017. The list of Members who attended the State Advisory Committee meeting is placed as Annexure I to this</w:t>
      </w:r>
      <w:r>
        <w:rPr>
          <w:spacing w:val="-4"/>
          <w:sz w:val="24"/>
        </w:rPr>
        <w:t xml:space="preserve"> </w:t>
      </w:r>
      <w:r>
        <w:rPr>
          <w:sz w:val="24"/>
        </w:rPr>
        <w:t>Order.</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2"/>
          <w:numId w:val="114"/>
        </w:numPr>
        <w:tabs>
          <w:tab w:val="left" w:pos="1073"/>
        </w:tabs>
        <w:spacing w:before="70" w:line="312" w:lineRule="auto"/>
        <w:ind w:right="213" w:hanging="852"/>
        <w:jc w:val="both"/>
        <w:rPr>
          <w:sz w:val="24"/>
        </w:rPr>
      </w:pPr>
      <w:r>
        <w:rPr>
          <w:sz w:val="24"/>
        </w:rPr>
        <w:lastRenderedPageBreak/>
        <w:t>The list of stakeholders who have submitted written objections/suggestions/views on the Petition in response to the Public Notice is placed as Annexure II and the issue- wise summary of objections/suggestions/views along with TANGEDCO’s replies and the Com</w:t>
      </w:r>
      <w:r>
        <w:rPr>
          <w:sz w:val="24"/>
        </w:rPr>
        <w:t>mission’s ruling on each issue, are included in Chapter 2 of this</w:t>
      </w:r>
      <w:r>
        <w:rPr>
          <w:spacing w:val="-10"/>
          <w:sz w:val="24"/>
        </w:rPr>
        <w:t xml:space="preserve"> </w:t>
      </w:r>
      <w:r>
        <w:rPr>
          <w:sz w:val="24"/>
        </w:rPr>
        <w:t>Order.</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2" w:hanging="852"/>
        <w:jc w:val="both"/>
        <w:rPr>
          <w:sz w:val="24"/>
        </w:rPr>
      </w:pPr>
      <w:r>
        <w:rPr>
          <w:sz w:val="24"/>
        </w:rPr>
        <w:t>The Commission conducted Public Hearing at the following places on the dates noted against</w:t>
      </w:r>
      <w:r>
        <w:rPr>
          <w:spacing w:val="-1"/>
          <w:sz w:val="24"/>
        </w:rPr>
        <w:t xml:space="preserve"> </w:t>
      </w:r>
      <w:r>
        <w:rPr>
          <w:sz w:val="24"/>
        </w:rPr>
        <w:t>each:</w:t>
      </w:r>
    </w:p>
    <w:p w:rsidR="007C5447" w:rsidRDefault="007C5447">
      <w:pPr>
        <w:pStyle w:val="BodyText"/>
        <w:spacing w:before="11"/>
        <w:rPr>
          <w:sz w:val="20"/>
        </w:rPr>
      </w:pPr>
    </w:p>
    <w:tbl>
      <w:tblPr>
        <w:tblW w:w="0" w:type="auto"/>
        <w:tblInd w:w="1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4"/>
        <w:gridCol w:w="1416"/>
        <w:gridCol w:w="1419"/>
        <w:gridCol w:w="3553"/>
      </w:tblGrid>
      <w:tr w:rsidR="007C5447">
        <w:trPr>
          <w:trHeight w:val="306"/>
        </w:trPr>
        <w:tc>
          <w:tcPr>
            <w:tcW w:w="1844" w:type="dxa"/>
            <w:shd w:val="clear" w:color="auto" w:fill="F7C9AC"/>
          </w:tcPr>
          <w:p w:rsidR="007C5447" w:rsidRDefault="00F6308C">
            <w:pPr>
              <w:pStyle w:val="TableParagraph"/>
              <w:spacing w:before="13" w:line="273" w:lineRule="exact"/>
              <w:ind w:left="107"/>
              <w:jc w:val="left"/>
              <w:rPr>
                <w:b/>
                <w:sz w:val="24"/>
              </w:rPr>
            </w:pPr>
            <w:r>
              <w:rPr>
                <w:b/>
                <w:sz w:val="24"/>
              </w:rPr>
              <w:t>Date</w:t>
            </w:r>
          </w:p>
        </w:tc>
        <w:tc>
          <w:tcPr>
            <w:tcW w:w="1416" w:type="dxa"/>
            <w:shd w:val="clear" w:color="auto" w:fill="F7C9AC"/>
          </w:tcPr>
          <w:p w:rsidR="007C5447" w:rsidRDefault="00F6308C">
            <w:pPr>
              <w:pStyle w:val="TableParagraph"/>
              <w:spacing w:before="13" w:line="273" w:lineRule="exact"/>
              <w:ind w:left="105"/>
              <w:jc w:val="left"/>
              <w:rPr>
                <w:b/>
                <w:sz w:val="24"/>
              </w:rPr>
            </w:pPr>
            <w:r>
              <w:rPr>
                <w:b/>
                <w:sz w:val="24"/>
              </w:rPr>
              <w:t>Day</w:t>
            </w:r>
          </w:p>
        </w:tc>
        <w:tc>
          <w:tcPr>
            <w:tcW w:w="1419" w:type="dxa"/>
            <w:shd w:val="clear" w:color="auto" w:fill="F7C9AC"/>
          </w:tcPr>
          <w:p w:rsidR="007C5447" w:rsidRDefault="00F6308C">
            <w:pPr>
              <w:pStyle w:val="TableParagraph"/>
              <w:spacing w:before="13" w:line="273" w:lineRule="exact"/>
              <w:ind w:left="107"/>
              <w:jc w:val="left"/>
              <w:rPr>
                <w:b/>
                <w:sz w:val="24"/>
              </w:rPr>
            </w:pPr>
            <w:r>
              <w:rPr>
                <w:b/>
                <w:sz w:val="24"/>
              </w:rPr>
              <w:t>Place</w:t>
            </w:r>
          </w:p>
        </w:tc>
        <w:tc>
          <w:tcPr>
            <w:tcW w:w="3553" w:type="dxa"/>
            <w:shd w:val="clear" w:color="auto" w:fill="F7C9AC"/>
          </w:tcPr>
          <w:p w:rsidR="007C5447" w:rsidRDefault="00F6308C">
            <w:pPr>
              <w:pStyle w:val="TableParagraph"/>
              <w:spacing w:before="13" w:line="273" w:lineRule="exact"/>
              <w:ind w:left="107"/>
              <w:jc w:val="left"/>
              <w:rPr>
                <w:b/>
                <w:sz w:val="24"/>
              </w:rPr>
            </w:pPr>
            <w:r>
              <w:rPr>
                <w:b/>
                <w:sz w:val="24"/>
              </w:rPr>
              <w:t>Venue</w:t>
            </w:r>
          </w:p>
        </w:tc>
      </w:tr>
      <w:tr w:rsidR="007C5447">
        <w:trPr>
          <w:trHeight w:val="857"/>
        </w:trPr>
        <w:tc>
          <w:tcPr>
            <w:tcW w:w="1844" w:type="dxa"/>
          </w:tcPr>
          <w:p w:rsidR="007C5447" w:rsidRDefault="007C5447">
            <w:pPr>
              <w:pStyle w:val="TableParagraph"/>
              <w:spacing w:before="2"/>
              <w:jc w:val="left"/>
              <w:rPr>
                <w:sz w:val="25"/>
              </w:rPr>
            </w:pPr>
          </w:p>
          <w:p w:rsidR="007C5447" w:rsidRDefault="00F6308C">
            <w:pPr>
              <w:pStyle w:val="TableParagraph"/>
              <w:ind w:left="107"/>
              <w:jc w:val="left"/>
              <w:rPr>
                <w:sz w:val="24"/>
              </w:rPr>
            </w:pPr>
            <w:r>
              <w:rPr>
                <w:sz w:val="24"/>
              </w:rPr>
              <w:t>July 25, 2017</w:t>
            </w:r>
          </w:p>
        </w:tc>
        <w:tc>
          <w:tcPr>
            <w:tcW w:w="1416" w:type="dxa"/>
          </w:tcPr>
          <w:p w:rsidR="007C5447" w:rsidRDefault="007C5447">
            <w:pPr>
              <w:pStyle w:val="TableParagraph"/>
              <w:spacing w:before="2"/>
              <w:jc w:val="left"/>
              <w:rPr>
                <w:sz w:val="25"/>
              </w:rPr>
            </w:pPr>
          </w:p>
          <w:p w:rsidR="007C5447" w:rsidRDefault="00F6308C">
            <w:pPr>
              <w:pStyle w:val="TableParagraph"/>
              <w:ind w:left="105"/>
              <w:jc w:val="left"/>
              <w:rPr>
                <w:sz w:val="24"/>
              </w:rPr>
            </w:pPr>
            <w:r>
              <w:rPr>
                <w:sz w:val="24"/>
              </w:rPr>
              <w:t>Tuesday</w:t>
            </w:r>
          </w:p>
        </w:tc>
        <w:tc>
          <w:tcPr>
            <w:tcW w:w="1419" w:type="dxa"/>
          </w:tcPr>
          <w:p w:rsidR="007C5447" w:rsidRDefault="007C5447">
            <w:pPr>
              <w:pStyle w:val="TableParagraph"/>
              <w:spacing w:before="2"/>
              <w:jc w:val="left"/>
              <w:rPr>
                <w:sz w:val="25"/>
              </w:rPr>
            </w:pPr>
          </w:p>
          <w:p w:rsidR="007C5447" w:rsidRDefault="00F6308C">
            <w:pPr>
              <w:pStyle w:val="TableParagraph"/>
              <w:ind w:left="107"/>
              <w:jc w:val="left"/>
              <w:rPr>
                <w:sz w:val="24"/>
              </w:rPr>
            </w:pPr>
            <w:r>
              <w:rPr>
                <w:sz w:val="24"/>
              </w:rPr>
              <w:t>Chennai</w:t>
            </w:r>
          </w:p>
        </w:tc>
        <w:tc>
          <w:tcPr>
            <w:tcW w:w="3553" w:type="dxa"/>
          </w:tcPr>
          <w:p w:rsidR="007C5447" w:rsidRDefault="00F6308C">
            <w:pPr>
              <w:pStyle w:val="TableParagraph"/>
              <w:spacing w:before="14"/>
              <w:ind w:left="107"/>
              <w:jc w:val="left"/>
              <w:rPr>
                <w:sz w:val="24"/>
              </w:rPr>
            </w:pPr>
            <w:r>
              <w:rPr>
                <w:sz w:val="24"/>
              </w:rPr>
              <w:t>Vani Mahal,</w:t>
            </w:r>
          </w:p>
          <w:p w:rsidR="007C5447" w:rsidRDefault="00F6308C">
            <w:pPr>
              <w:pStyle w:val="TableParagraph"/>
              <w:spacing w:line="270" w:lineRule="atLeast"/>
              <w:ind w:left="107"/>
              <w:jc w:val="left"/>
              <w:rPr>
                <w:sz w:val="24"/>
              </w:rPr>
            </w:pPr>
            <w:r>
              <w:rPr>
                <w:sz w:val="24"/>
              </w:rPr>
              <w:t>103, G.N. Chetty Street, T.Nagar, Chennai 600 017.</w:t>
            </w:r>
          </w:p>
        </w:tc>
      </w:tr>
      <w:tr w:rsidR="007C5447">
        <w:trPr>
          <w:trHeight w:val="1134"/>
        </w:trPr>
        <w:tc>
          <w:tcPr>
            <w:tcW w:w="1844" w:type="dxa"/>
          </w:tcPr>
          <w:p w:rsidR="007C5447" w:rsidRDefault="007C5447">
            <w:pPr>
              <w:pStyle w:val="TableParagraph"/>
              <w:spacing w:before="3"/>
              <w:jc w:val="left"/>
              <w:rPr>
                <w:sz w:val="37"/>
              </w:rPr>
            </w:pPr>
          </w:p>
          <w:p w:rsidR="007C5447" w:rsidRDefault="00F6308C">
            <w:pPr>
              <w:pStyle w:val="TableParagraph"/>
              <w:ind w:left="107"/>
              <w:jc w:val="left"/>
              <w:rPr>
                <w:sz w:val="24"/>
              </w:rPr>
            </w:pPr>
            <w:r>
              <w:rPr>
                <w:sz w:val="24"/>
              </w:rPr>
              <w:t>July 28, 2017</w:t>
            </w:r>
          </w:p>
        </w:tc>
        <w:tc>
          <w:tcPr>
            <w:tcW w:w="1416" w:type="dxa"/>
          </w:tcPr>
          <w:p w:rsidR="007C5447" w:rsidRDefault="007C5447">
            <w:pPr>
              <w:pStyle w:val="TableParagraph"/>
              <w:spacing w:before="3"/>
              <w:jc w:val="left"/>
              <w:rPr>
                <w:sz w:val="37"/>
              </w:rPr>
            </w:pPr>
          </w:p>
          <w:p w:rsidR="007C5447" w:rsidRDefault="00F6308C">
            <w:pPr>
              <w:pStyle w:val="TableParagraph"/>
              <w:ind w:left="105"/>
              <w:jc w:val="left"/>
              <w:rPr>
                <w:sz w:val="24"/>
              </w:rPr>
            </w:pPr>
            <w:r>
              <w:rPr>
                <w:sz w:val="24"/>
              </w:rPr>
              <w:t>Friday</w:t>
            </w:r>
          </w:p>
        </w:tc>
        <w:tc>
          <w:tcPr>
            <w:tcW w:w="1419" w:type="dxa"/>
          </w:tcPr>
          <w:p w:rsidR="007C5447" w:rsidRDefault="007C5447">
            <w:pPr>
              <w:pStyle w:val="TableParagraph"/>
              <w:spacing w:before="3"/>
              <w:jc w:val="left"/>
              <w:rPr>
                <w:sz w:val="37"/>
              </w:rPr>
            </w:pPr>
          </w:p>
          <w:p w:rsidR="007C5447" w:rsidRDefault="00F6308C">
            <w:pPr>
              <w:pStyle w:val="TableParagraph"/>
              <w:ind w:left="107"/>
              <w:jc w:val="left"/>
              <w:rPr>
                <w:sz w:val="24"/>
              </w:rPr>
            </w:pPr>
            <w:r>
              <w:rPr>
                <w:sz w:val="24"/>
              </w:rPr>
              <w:t>Madurai</w:t>
            </w:r>
          </w:p>
        </w:tc>
        <w:tc>
          <w:tcPr>
            <w:tcW w:w="3553" w:type="dxa"/>
          </w:tcPr>
          <w:p w:rsidR="007C5447" w:rsidRDefault="00F6308C">
            <w:pPr>
              <w:pStyle w:val="TableParagraph"/>
              <w:spacing w:before="15" w:line="270" w:lineRule="atLeast"/>
              <w:ind w:left="107" w:right="95"/>
              <w:jc w:val="both"/>
              <w:rPr>
                <w:sz w:val="24"/>
              </w:rPr>
            </w:pPr>
            <w:r>
              <w:rPr>
                <w:sz w:val="24"/>
              </w:rPr>
              <w:t xml:space="preserve">Tamil Nadu Chamber </w:t>
            </w:r>
            <w:r>
              <w:rPr>
                <w:spacing w:val="-6"/>
                <w:sz w:val="24"/>
              </w:rPr>
              <w:t xml:space="preserve">of </w:t>
            </w:r>
            <w:r>
              <w:rPr>
                <w:sz w:val="24"/>
              </w:rPr>
              <w:t xml:space="preserve">Commerce and Industry, 178- </w:t>
            </w:r>
            <w:r>
              <w:rPr>
                <w:spacing w:val="-11"/>
                <w:sz w:val="24"/>
              </w:rPr>
              <w:t xml:space="preserve">B </w:t>
            </w:r>
            <w:r>
              <w:rPr>
                <w:sz w:val="24"/>
              </w:rPr>
              <w:t>Kamarajar Salai, Madurai 625 009.</w:t>
            </w:r>
          </w:p>
        </w:tc>
      </w:tr>
      <w:tr w:rsidR="007C5447">
        <w:trPr>
          <w:trHeight w:val="858"/>
        </w:trPr>
        <w:tc>
          <w:tcPr>
            <w:tcW w:w="1844" w:type="dxa"/>
          </w:tcPr>
          <w:p w:rsidR="007C5447" w:rsidRDefault="007C5447">
            <w:pPr>
              <w:pStyle w:val="TableParagraph"/>
              <w:spacing w:before="1"/>
              <w:jc w:val="left"/>
              <w:rPr>
                <w:sz w:val="25"/>
              </w:rPr>
            </w:pPr>
          </w:p>
          <w:p w:rsidR="007C5447" w:rsidRDefault="00F6308C">
            <w:pPr>
              <w:pStyle w:val="TableParagraph"/>
              <w:spacing w:before="1"/>
              <w:ind w:left="107"/>
              <w:jc w:val="left"/>
              <w:rPr>
                <w:sz w:val="24"/>
              </w:rPr>
            </w:pPr>
            <w:r>
              <w:rPr>
                <w:sz w:val="24"/>
              </w:rPr>
              <w:t>August 2, 2017</w:t>
            </w:r>
          </w:p>
        </w:tc>
        <w:tc>
          <w:tcPr>
            <w:tcW w:w="1416" w:type="dxa"/>
          </w:tcPr>
          <w:p w:rsidR="007C5447" w:rsidRDefault="007C5447">
            <w:pPr>
              <w:pStyle w:val="TableParagraph"/>
              <w:spacing w:before="1"/>
              <w:jc w:val="left"/>
              <w:rPr>
                <w:sz w:val="25"/>
              </w:rPr>
            </w:pPr>
          </w:p>
          <w:p w:rsidR="007C5447" w:rsidRDefault="00F6308C">
            <w:pPr>
              <w:pStyle w:val="TableParagraph"/>
              <w:spacing w:before="1"/>
              <w:ind w:left="105"/>
              <w:jc w:val="left"/>
              <w:rPr>
                <w:sz w:val="24"/>
              </w:rPr>
            </w:pPr>
            <w:r>
              <w:rPr>
                <w:sz w:val="24"/>
              </w:rPr>
              <w:t>Wednesday</w:t>
            </w:r>
          </w:p>
        </w:tc>
        <w:tc>
          <w:tcPr>
            <w:tcW w:w="1419" w:type="dxa"/>
          </w:tcPr>
          <w:p w:rsidR="007C5447" w:rsidRDefault="007C5447">
            <w:pPr>
              <w:pStyle w:val="TableParagraph"/>
              <w:spacing w:before="1"/>
              <w:jc w:val="left"/>
              <w:rPr>
                <w:sz w:val="25"/>
              </w:rPr>
            </w:pPr>
          </w:p>
          <w:p w:rsidR="007C5447" w:rsidRDefault="00F6308C">
            <w:pPr>
              <w:pStyle w:val="TableParagraph"/>
              <w:spacing w:before="1"/>
              <w:ind w:left="107"/>
              <w:jc w:val="left"/>
              <w:rPr>
                <w:sz w:val="24"/>
              </w:rPr>
            </w:pPr>
            <w:r>
              <w:rPr>
                <w:sz w:val="24"/>
              </w:rPr>
              <w:t>Coimbatore</w:t>
            </w:r>
          </w:p>
        </w:tc>
        <w:tc>
          <w:tcPr>
            <w:tcW w:w="3553" w:type="dxa"/>
          </w:tcPr>
          <w:p w:rsidR="007C5447" w:rsidRDefault="00F6308C">
            <w:pPr>
              <w:pStyle w:val="TableParagraph"/>
              <w:spacing w:before="13"/>
              <w:ind w:left="107"/>
              <w:jc w:val="left"/>
              <w:rPr>
                <w:sz w:val="24"/>
              </w:rPr>
            </w:pPr>
            <w:r>
              <w:rPr>
                <w:sz w:val="24"/>
              </w:rPr>
              <w:t>S.N.R. College Auditorium,</w:t>
            </w:r>
          </w:p>
          <w:p w:rsidR="007C5447" w:rsidRDefault="00F6308C">
            <w:pPr>
              <w:pStyle w:val="TableParagraph"/>
              <w:spacing w:line="270" w:lineRule="atLeast"/>
              <w:ind w:left="107"/>
              <w:jc w:val="left"/>
              <w:rPr>
                <w:sz w:val="24"/>
              </w:rPr>
            </w:pPr>
            <w:r>
              <w:rPr>
                <w:sz w:val="24"/>
              </w:rPr>
              <w:t>Nava India Bus Stop, Avinashi Road, Coimbatore 641006.</w:t>
            </w:r>
          </w:p>
        </w:tc>
      </w:tr>
    </w:tbl>
    <w:p w:rsidR="007C5447" w:rsidRDefault="00F6308C">
      <w:pPr>
        <w:pStyle w:val="ListParagraph"/>
        <w:numPr>
          <w:ilvl w:val="2"/>
          <w:numId w:val="114"/>
        </w:numPr>
        <w:tabs>
          <w:tab w:val="left" w:pos="1073"/>
        </w:tabs>
        <w:spacing w:before="119" w:line="312" w:lineRule="auto"/>
        <w:ind w:right="216" w:hanging="852"/>
        <w:jc w:val="both"/>
        <w:rPr>
          <w:sz w:val="24"/>
        </w:rPr>
      </w:pPr>
      <w:r>
        <w:rPr>
          <w:sz w:val="24"/>
        </w:rPr>
        <w:t>The lists of participants in each Public Hearing, is placed as Annexure III to this Order. The objections/suggestions/views raised by the participants are discussed in Chapter</w:t>
      </w:r>
      <w:r>
        <w:rPr>
          <w:spacing w:val="-2"/>
          <w:sz w:val="24"/>
        </w:rPr>
        <w:t xml:space="preserve"> </w:t>
      </w:r>
      <w:r>
        <w:rPr>
          <w:sz w:val="24"/>
        </w:rPr>
        <w:t>2.</w:t>
      </w:r>
    </w:p>
    <w:p w:rsidR="007C5447" w:rsidRDefault="007C5447">
      <w:pPr>
        <w:pStyle w:val="BodyText"/>
        <w:spacing w:before="9"/>
        <w:rPr>
          <w:sz w:val="20"/>
        </w:rPr>
      </w:pPr>
    </w:p>
    <w:p w:rsidR="007C5447" w:rsidRDefault="00F6308C">
      <w:pPr>
        <w:pStyle w:val="Heading2"/>
        <w:numPr>
          <w:ilvl w:val="1"/>
          <w:numId w:val="114"/>
        </w:numPr>
        <w:tabs>
          <w:tab w:val="left" w:pos="786"/>
          <w:tab w:val="left" w:pos="787"/>
        </w:tabs>
        <w:ind w:left="786"/>
      </w:pPr>
      <w:bookmarkStart w:id="5" w:name="_bookmark5"/>
      <w:bookmarkEnd w:id="5"/>
      <w:r>
        <w:t>Transfer</w:t>
      </w:r>
      <w:r>
        <w:rPr>
          <w:spacing w:val="-2"/>
        </w:rPr>
        <w:t xml:space="preserve"> </w:t>
      </w:r>
      <w:r>
        <w:t>Scheme</w:t>
      </w:r>
    </w:p>
    <w:p w:rsidR="007C5447" w:rsidRDefault="007C5447">
      <w:pPr>
        <w:pStyle w:val="BodyText"/>
        <w:rPr>
          <w:b/>
          <w:sz w:val="28"/>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The proposal for Assets Transfer and Employee transfer called as Tamil Nadu Electricity Board (Reorganization and Reforms) Transfer Scheme, 2010 was notified by GoTN vide G.O. (Ms). No.100 Energy (B2) Department dated October 19, 2010 with the effective da</w:t>
      </w:r>
      <w:r>
        <w:rPr>
          <w:sz w:val="24"/>
        </w:rPr>
        <w:t>te of implementation as November 1, 2010. Based on the above notification, TNEB was re-organized with effect from November 1,</w:t>
      </w:r>
      <w:r>
        <w:rPr>
          <w:spacing w:val="-7"/>
          <w:sz w:val="24"/>
        </w:rPr>
        <w:t xml:space="preserve"> </w:t>
      </w:r>
      <w:r>
        <w:rPr>
          <w:sz w:val="24"/>
        </w:rPr>
        <w:t>2010.</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At the time of issue of Suo-Motu Tariff Order dated December 11, 2014, the Transfer Scheme was not finalised. Therefore, th</w:t>
      </w:r>
      <w:r>
        <w:rPr>
          <w:sz w:val="24"/>
        </w:rPr>
        <w:t>e Commission had stated the following regarding the provisional Transfer</w:t>
      </w:r>
      <w:r>
        <w:rPr>
          <w:spacing w:val="-5"/>
          <w:sz w:val="24"/>
        </w:rPr>
        <w:t xml:space="preserve"> </w:t>
      </w:r>
      <w:r>
        <w:rPr>
          <w:sz w:val="24"/>
        </w:rPr>
        <w:t>Scheme:</w:t>
      </w:r>
    </w:p>
    <w:p w:rsidR="007C5447" w:rsidRDefault="007C5447">
      <w:pPr>
        <w:pStyle w:val="BodyText"/>
        <w:spacing w:before="9"/>
        <w:rPr>
          <w:sz w:val="20"/>
        </w:rPr>
      </w:pPr>
    </w:p>
    <w:p w:rsidR="007C5447" w:rsidRDefault="00F6308C">
      <w:pPr>
        <w:ind w:left="1660" w:right="934"/>
        <w:jc w:val="both"/>
        <w:rPr>
          <w:i/>
          <w:sz w:val="24"/>
        </w:rPr>
      </w:pPr>
      <w:r>
        <w:rPr>
          <w:i/>
          <w:sz w:val="24"/>
        </w:rPr>
        <w:t>“This Transfer Scheme is provisional and addresses various issues like transfer of assets, revaluation of assets and partly addresses the issue of accumulated losses. This Tr</w:t>
      </w:r>
      <w:r>
        <w:rPr>
          <w:i/>
          <w:sz w:val="24"/>
        </w:rPr>
        <w:t>ansfer Scheme envisages deployment of staff of the erstwhile TNEB to TANGEDCO and TANTRANSCO. The Commission in its earlier Tariff Order No. 3 of 2010 dated 31-07-2010 had suggested in line with the National Electricity Policy (para 5.4.3)</w:t>
      </w:r>
    </w:p>
    <w:p w:rsidR="007C5447" w:rsidRDefault="007C5447">
      <w:pPr>
        <w:jc w:val="both"/>
        <w:rPr>
          <w:sz w:val="24"/>
        </w:rPr>
        <w:sectPr w:rsidR="007C5447">
          <w:pgSz w:w="11910" w:h="16840"/>
          <w:pgMar w:top="1500" w:right="1220" w:bottom="1620" w:left="1220" w:header="0" w:footer="1386" w:gutter="0"/>
          <w:cols w:space="720"/>
        </w:sectPr>
      </w:pPr>
    </w:p>
    <w:p w:rsidR="007C5447" w:rsidRDefault="00F6308C">
      <w:pPr>
        <w:spacing w:before="70"/>
        <w:ind w:left="1660" w:right="938"/>
        <w:jc w:val="both"/>
        <w:rPr>
          <w:i/>
          <w:sz w:val="24"/>
        </w:rPr>
      </w:pPr>
      <w:r>
        <w:rPr>
          <w:i/>
          <w:sz w:val="24"/>
        </w:rPr>
        <w:lastRenderedPageBreak/>
        <w:t>and Tariff Policy that the accumulated losses should not be passed on to the successor entities and financial restructuring has to be resorted to clean up the Balance Sheet of the successor companies and allow them to start on a clean slate so that the s</w:t>
      </w:r>
      <w:r>
        <w:rPr>
          <w:i/>
          <w:sz w:val="24"/>
        </w:rPr>
        <w:t>uccessor entities could start performing better. The statutory advices that have been sent to the Government of Tamil Nadu in this regard are appended as Annexure</w:t>
      </w:r>
    </w:p>
    <w:p w:rsidR="007C5447" w:rsidRDefault="00F6308C">
      <w:pPr>
        <w:pStyle w:val="ListParagraph"/>
        <w:numPr>
          <w:ilvl w:val="0"/>
          <w:numId w:val="109"/>
        </w:numPr>
        <w:tabs>
          <w:tab w:val="left" w:pos="1951"/>
        </w:tabs>
        <w:ind w:right="938" w:firstLine="0"/>
        <w:jc w:val="both"/>
        <w:rPr>
          <w:i/>
          <w:sz w:val="24"/>
        </w:rPr>
      </w:pPr>
      <w:r>
        <w:rPr>
          <w:i/>
          <w:sz w:val="24"/>
        </w:rPr>
        <w:t xml:space="preserve">The Commission has also issued a statutory advice with regard </w:t>
      </w:r>
      <w:r>
        <w:rPr>
          <w:i/>
          <w:spacing w:val="3"/>
          <w:sz w:val="24"/>
        </w:rPr>
        <w:t xml:space="preserve">to </w:t>
      </w:r>
      <w:r>
        <w:rPr>
          <w:i/>
          <w:sz w:val="24"/>
        </w:rPr>
        <w:t>the establishment of a separ</w:t>
      </w:r>
      <w:r>
        <w:rPr>
          <w:i/>
          <w:sz w:val="24"/>
        </w:rPr>
        <w:t>ate Generating Company and establishment of four Distribution Companies so that the performance of these companies can be improved and efficiently monitored, which will enable proper investments and growth of the individual company. This document is append</w:t>
      </w:r>
      <w:r>
        <w:rPr>
          <w:i/>
          <w:sz w:val="24"/>
        </w:rPr>
        <w:t>ed as Annexure</w:t>
      </w:r>
      <w:r>
        <w:rPr>
          <w:i/>
          <w:spacing w:val="-2"/>
          <w:sz w:val="24"/>
        </w:rPr>
        <w:t xml:space="preserve"> </w:t>
      </w:r>
      <w:r>
        <w:rPr>
          <w:i/>
          <w:sz w:val="24"/>
        </w:rPr>
        <w:t>VI.</w:t>
      </w:r>
    </w:p>
    <w:p w:rsidR="007C5447" w:rsidRDefault="007C5447">
      <w:pPr>
        <w:pStyle w:val="BodyText"/>
        <w:spacing w:before="10"/>
        <w:rPr>
          <w:i/>
          <w:sz w:val="20"/>
        </w:rPr>
      </w:pPr>
    </w:p>
    <w:p w:rsidR="007C5447" w:rsidRDefault="00F6308C">
      <w:pPr>
        <w:spacing w:before="1"/>
        <w:ind w:left="1660" w:right="938"/>
        <w:jc w:val="both"/>
        <w:rPr>
          <w:i/>
          <w:sz w:val="24"/>
        </w:rPr>
      </w:pPr>
      <w:r>
        <w:rPr>
          <w:i/>
          <w:sz w:val="24"/>
        </w:rPr>
        <w:t>Subsequently, as per the request of TNEB Limited, the second provisional transfer scheme was notified by the State Government</w:t>
      </w:r>
      <w:r>
        <w:rPr>
          <w:i/>
          <w:spacing w:val="58"/>
          <w:sz w:val="24"/>
        </w:rPr>
        <w:t xml:space="preserve"> </w:t>
      </w:r>
      <w:r>
        <w:rPr>
          <w:i/>
          <w:sz w:val="24"/>
        </w:rPr>
        <w:t>vide</w:t>
      </w:r>
    </w:p>
    <w:p w:rsidR="007C5447" w:rsidRDefault="00F6308C">
      <w:pPr>
        <w:ind w:left="1660" w:right="933"/>
        <w:jc w:val="both"/>
        <w:rPr>
          <w:i/>
          <w:sz w:val="24"/>
        </w:rPr>
      </w:pPr>
      <w:r>
        <w:rPr>
          <w:i/>
          <w:sz w:val="24"/>
        </w:rPr>
        <w:t>G.O. (Ms.) No.2, Energy (B2) department, dated 2nd January 2012 with amendment in the restructuring of Balance Sheet of TNEB for the successor entities i.e. TANGEDCO and TANTRANSCO, considering the audited balance sheet of TNEB for FY 2009-10 and it had ex</w:t>
      </w:r>
      <w:r>
        <w:rPr>
          <w:i/>
          <w:sz w:val="24"/>
        </w:rPr>
        <w:t>tended the provisional time for final transfer of assets and liabilities to the successor entities of erstwhile TNEB up to 31st October 2012. The same has been appended as Annexure</w:t>
      </w:r>
      <w:r>
        <w:rPr>
          <w:i/>
          <w:spacing w:val="-2"/>
          <w:sz w:val="24"/>
        </w:rPr>
        <w:t xml:space="preserve"> </w:t>
      </w:r>
      <w:r>
        <w:rPr>
          <w:i/>
          <w:sz w:val="24"/>
        </w:rPr>
        <w:t>VII.</w:t>
      </w:r>
    </w:p>
    <w:p w:rsidR="007C5447" w:rsidRDefault="007C5447">
      <w:pPr>
        <w:pStyle w:val="BodyText"/>
        <w:spacing w:before="10"/>
        <w:rPr>
          <w:i/>
          <w:sz w:val="20"/>
        </w:rPr>
      </w:pPr>
    </w:p>
    <w:p w:rsidR="007C5447" w:rsidRDefault="00F6308C">
      <w:pPr>
        <w:ind w:left="1660" w:right="937"/>
        <w:jc w:val="both"/>
        <w:rPr>
          <w:i/>
          <w:sz w:val="24"/>
        </w:rPr>
      </w:pPr>
      <w:r>
        <w:rPr>
          <w:i/>
          <w:sz w:val="24"/>
        </w:rPr>
        <w:t xml:space="preserve">This Transfer Scheme is also provisional and is subject to revision. </w:t>
      </w:r>
      <w:r>
        <w:rPr>
          <w:i/>
          <w:sz w:val="24"/>
        </w:rPr>
        <w:t>The transactions for 7 months i.e. from 1st April 2010 to 30th October, 2010 do not get reflected in the opening balance sheet of the TANGEDCO as specified in the Transfer Scheme.”</w:t>
      </w:r>
    </w:p>
    <w:p w:rsidR="007C5447" w:rsidRDefault="00F6308C">
      <w:pPr>
        <w:pStyle w:val="ListParagraph"/>
        <w:numPr>
          <w:ilvl w:val="2"/>
          <w:numId w:val="114"/>
        </w:numPr>
        <w:tabs>
          <w:tab w:val="left" w:pos="1073"/>
        </w:tabs>
        <w:spacing w:before="120" w:line="312" w:lineRule="auto"/>
        <w:ind w:right="214" w:hanging="852"/>
        <w:jc w:val="both"/>
        <w:rPr>
          <w:sz w:val="24"/>
        </w:rPr>
      </w:pPr>
      <w:r>
        <w:rPr>
          <w:sz w:val="24"/>
        </w:rPr>
        <w:t xml:space="preserve">GoTN vide the gazette notification G.O. (Ms) No. 49 dated August 13, 2015, </w:t>
      </w:r>
      <w:r>
        <w:rPr>
          <w:sz w:val="24"/>
        </w:rPr>
        <w:t>issued the final Transfer</w:t>
      </w:r>
      <w:r>
        <w:rPr>
          <w:spacing w:val="-2"/>
          <w:sz w:val="24"/>
        </w:rPr>
        <w:t xml:space="preserve"> </w:t>
      </w:r>
      <w:r>
        <w:rPr>
          <w:sz w:val="24"/>
        </w:rPr>
        <w:t>Scheme.</w:t>
      </w:r>
    </w:p>
    <w:p w:rsidR="007C5447" w:rsidRDefault="007C5447">
      <w:pPr>
        <w:pStyle w:val="BodyText"/>
        <w:spacing w:before="10"/>
        <w:rPr>
          <w:sz w:val="20"/>
        </w:rPr>
      </w:pPr>
    </w:p>
    <w:p w:rsidR="007C5447" w:rsidRDefault="00F6308C">
      <w:pPr>
        <w:ind w:left="1660" w:right="939"/>
        <w:jc w:val="both"/>
        <w:rPr>
          <w:i/>
          <w:sz w:val="24"/>
        </w:rPr>
      </w:pPr>
      <w:r>
        <w:rPr>
          <w:i/>
          <w:sz w:val="24"/>
        </w:rPr>
        <w:t>“In the Government order first read above, Government have notified the Tamil Nadu Electricity (Re-organisation and Reforms) Transfer Scheme, 2010. The erstwhile Tamil Nadu Electricity Board has been reorganized with effe</w:t>
      </w:r>
      <w:r>
        <w:rPr>
          <w:i/>
          <w:sz w:val="24"/>
        </w:rPr>
        <w:t>ct from 01.11.2010, as per the provisions of the Electricity Act, 2003. In the above transfer scheme, the assets and liabilities were segregated based on the available unaudited balance sheet of erstwhile Tamil Nadu Electricity Board as on 31.03.2009 inste</w:t>
      </w:r>
      <w:r>
        <w:rPr>
          <w:i/>
          <w:sz w:val="24"/>
        </w:rPr>
        <w:t>ad of balance sheet as on 31.10.2010 which was not ready at that time and stated that this shall be provisional for a period of one year from the respective date of transfer as per the clause 9(1) of the said scheme (i.e., upto 31.10.2011).</w:t>
      </w:r>
    </w:p>
    <w:p w:rsidR="007C5447" w:rsidRDefault="007C5447">
      <w:pPr>
        <w:pStyle w:val="BodyText"/>
        <w:rPr>
          <w:i/>
          <w:sz w:val="21"/>
        </w:rPr>
      </w:pPr>
    </w:p>
    <w:p w:rsidR="007C5447" w:rsidRDefault="00F6308C">
      <w:pPr>
        <w:pStyle w:val="ListParagraph"/>
        <w:numPr>
          <w:ilvl w:val="0"/>
          <w:numId w:val="108"/>
        </w:numPr>
        <w:tabs>
          <w:tab w:val="left" w:pos="2126"/>
        </w:tabs>
        <w:ind w:right="938" w:firstLine="0"/>
        <w:jc w:val="both"/>
        <w:rPr>
          <w:i/>
          <w:sz w:val="24"/>
        </w:rPr>
      </w:pPr>
      <w:r>
        <w:rPr>
          <w:i/>
          <w:sz w:val="24"/>
        </w:rPr>
        <w:t>Now, the Chair</w:t>
      </w:r>
      <w:r>
        <w:rPr>
          <w:i/>
          <w:sz w:val="24"/>
        </w:rPr>
        <w:t>man and Managing Director, Tamil Nadu Generation and Distribution Corporation Limited has stated that as the audited balance sheet as on 31.10.2010 is ready, it is essential to issue</w:t>
      </w:r>
      <w:r>
        <w:rPr>
          <w:i/>
          <w:spacing w:val="18"/>
          <w:sz w:val="24"/>
        </w:rPr>
        <w:t xml:space="preserve"> </w:t>
      </w:r>
      <w:r>
        <w:rPr>
          <w:i/>
          <w:sz w:val="24"/>
        </w:rPr>
        <w:t>notification</w:t>
      </w:r>
      <w:r>
        <w:rPr>
          <w:i/>
          <w:spacing w:val="17"/>
          <w:sz w:val="24"/>
        </w:rPr>
        <w:t xml:space="preserve"> </w:t>
      </w:r>
      <w:r>
        <w:rPr>
          <w:i/>
          <w:sz w:val="24"/>
        </w:rPr>
        <w:t>for</w:t>
      </w:r>
      <w:r>
        <w:rPr>
          <w:i/>
          <w:spacing w:val="21"/>
          <w:sz w:val="24"/>
        </w:rPr>
        <w:t xml:space="preserve"> </w:t>
      </w:r>
      <w:r>
        <w:rPr>
          <w:i/>
          <w:sz w:val="24"/>
        </w:rPr>
        <w:t>the</w:t>
      </w:r>
      <w:r>
        <w:rPr>
          <w:i/>
          <w:spacing w:val="19"/>
          <w:sz w:val="24"/>
        </w:rPr>
        <w:t xml:space="preserve"> </w:t>
      </w:r>
      <w:r>
        <w:rPr>
          <w:i/>
          <w:sz w:val="24"/>
        </w:rPr>
        <w:t>final</w:t>
      </w:r>
      <w:r>
        <w:rPr>
          <w:i/>
          <w:spacing w:val="20"/>
          <w:sz w:val="24"/>
        </w:rPr>
        <w:t xml:space="preserve"> </w:t>
      </w:r>
      <w:r>
        <w:rPr>
          <w:i/>
          <w:sz w:val="24"/>
        </w:rPr>
        <w:t>amendment</w:t>
      </w:r>
      <w:r>
        <w:rPr>
          <w:i/>
          <w:spacing w:val="20"/>
          <w:sz w:val="24"/>
        </w:rPr>
        <w:t xml:space="preserve"> </w:t>
      </w:r>
      <w:r>
        <w:rPr>
          <w:i/>
          <w:sz w:val="24"/>
        </w:rPr>
        <w:t>to</w:t>
      </w:r>
      <w:r>
        <w:rPr>
          <w:i/>
          <w:spacing w:val="20"/>
          <w:sz w:val="24"/>
        </w:rPr>
        <w:t xml:space="preserve"> </w:t>
      </w:r>
      <w:r>
        <w:rPr>
          <w:i/>
          <w:sz w:val="24"/>
        </w:rPr>
        <w:t>the</w:t>
      </w:r>
      <w:r>
        <w:rPr>
          <w:i/>
          <w:spacing w:val="19"/>
          <w:sz w:val="24"/>
        </w:rPr>
        <w:t xml:space="preserve"> </w:t>
      </w:r>
      <w:r>
        <w:rPr>
          <w:i/>
          <w:sz w:val="24"/>
        </w:rPr>
        <w:t>earlier</w:t>
      </w:r>
      <w:r>
        <w:rPr>
          <w:i/>
          <w:spacing w:val="20"/>
          <w:sz w:val="24"/>
        </w:rPr>
        <w:t xml:space="preserve"> </w:t>
      </w:r>
      <w:r>
        <w:rPr>
          <w:i/>
          <w:sz w:val="24"/>
        </w:rPr>
        <w:t>transfer</w:t>
      </w:r>
    </w:p>
    <w:p w:rsidR="007C5447" w:rsidRDefault="007C5447">
      <w:pPr>
        <w:jc w:val="both"/>
        <w:rPr>
          <w:sz w:val="24"/>
        </w:rPr>
        <w:sectPr w:rsidR="007C5447">
          <w:pgSz w:w="11910" w:h="16840"/>
          <w:pgMar w:top="1500" w:right="1220" w:bottom="1620" w:left="1220" w:header="0" w:footer="1386" w:gutter="0"/>
          <w:cols w:space="720"/>
        </w:sectPr>
      </w:pPr>
    </w:p>
    <w:p w:rsidR="007C5447" w:rsidRDefault="00F6308C">
      <w:pPr>
        <w:spacing w:before="70"/>
        <w:ind w:left="1660" w:right="940"/>
        <w:jc w:val="both"/>
        <w:rPr>
          <w:i/>
          <w:sz w:val="24"/>
        </w:rPr>
      </w:pPr>
      <w:r>
        <w:rPr>
          <w:i/>
          <w:sz w:val="24"/>
        </w:rPr>
        <w:lastRenderedPageBreak/>
        <w:t>scheme notified in Government Order 2nd read above for giving effect to the transfer of assets and liabilities to successor entities of erstwhile Tamil Nadu Electricity Board as on 01.11.2010.</w:t>
      </w:r>
    </w:p>
    <w:p w:rsidR="007C5447" w:rsidRDefault="007C5447">
      <w:pPr>
        <w:pStyle w:val="BodyText"/>
        <w:spacing w:before="10"/>
        <w:rPr>
          <w:i/>
          <w:sz w:val="20"/>
        </w:rPr>
      </w:pPr>
    </w:p>
    <w:p w:rsidR="007C5447" w:rsidRDefault="00F6308C">
      <w:pPr>
        <w:pStyle w:val="ListParagraph"/>
        <w:numPr>
          <w:ilvl w:val="0"/>
          <w:numId w:val="108"/>
        </w:numPr>
        <w:tabs>
          <w:tab w:val="left" w:pos="2011"/>
        </w:tabs>
        <w:ind w:right="939" w:firstLine="0"/>
        <w:jc w:val="both"/>
        <w:rPr>
          <w:i/>
          <w:sz w:val="24"/>
        </w:rPr>
      </w:pPr>
      <w:r>
        <w:rPr>
          <w:i/>
          <w:sz w:val="24"/>
        </w:rPr>
        <w:t>Amendment to the existing Tamil Nadu Electricity (Reorganisation and Reforms) Transfer Scheme, 2010 notified in G.O.Ms.No.100, dated 19.10.2010, subsequently amended in G.O.(Ms.) No.2, Energy (B2) Department, dated 02.01.2012 by issuing Notification for gi</w:t>
      </w:r>
      <w:r>
        <w:rPr>
          <w:i/>
          <w:sz w:val="24"/>
        </w:rPr>
        <w:t>ving effect to transfer of assets and liabilities to successor entities of erstwhile Tamil Nadu Electricity Board Limited as on 01.11.2010 be</w:t>
      </w:r>
      <w:r>
        <w:rPr>
          <w:i/>
          <w:spacing w:val="-5"/>
          <w:sz w:val="24"/>
        </w:rPr>
        <w:t xml:space="preserve"> </w:t>
      </w:r>
      <w:r>
        <w:rPr>
          <w:i/>
          <w:sz w:val="24"/>
        </w:rPr>
        <w:t>issued.</w:t>
      </w:r>
    </w:p>
    <w:p w:rsidR="007C5447" w:rsidRDefault="007C5447">
      <w:pPr>
        <w:pStyle w:val="BodyText"/>
        <w:spacing w:before="10"/>
        <w:rPr>
          <w:i/>
          <w:sz w:val="20"/>
        </w:rPr>
      </w:pPr>
    </w:p>
    <w:p w:rsidR="007C5447" w:rsidRDefault="00F6308C">
      <w:pPr>
        <w:pStyle w:val="ListParagraph"/>
        <w:numPr>
          <w:ilvl w:val="0"/>
          <w:numId w:val="108"/>
        </w:numPr>
        <w:tabs>
          <w:tab w:val="left" w:pos="2037"/>
        </w:tabs>
        <w:ind w:right="942" w:firstLine="0"/>
        <w:jc w:val="both"/>
        <w:rPr>
          <w:i/>
          <w:sz w:val="24"/>
        </w:rPr>
      </w:pPr>
      <w:r>
        <w:rPr>
          <w:i/>
          <w:sz w:val="24"/>
        </w:rPr>
        <w:t>The Notification appended to this order will be published in the Tamil Nadu Government Gazette, Extraordi</w:t>
      </w:r>
      <w:r>
        <w:rPr>
          <w:i/>
          <w:sz w:val="24"/>
        </w:rPr>
        <w:t>nary, dated</w:t>
      </w:r>
      <w:r>
        <w:rPr>
          <w:i/>
          <w:spacing w:val="-10"/>
          <w:sz w:val="24"/>
        </w:rPr>
        <w:t xml:space="preserve"> </w:t>
      </w:r>
      <w:r>
        <w:rPr>
          <w:i/>
          <w:sz w:val="24"/>
        </w:rPr>
        <w:t>13.08.2015.”</w:t>
      </w:r>
    </w:p>
    <w:p w:rsidR="007C5447" w:rsidRDefault="00F6308C">
      <w:pPr>
        <w:pStyle w:val="ListParagraph"/>
        <w:numPr>
          <w:ilvl w:val="2"/>
          <w:numId w:val="114"/>
        </w:numPr>
        <w:tabs>
          <w:tab w:val="left" w:pos="1073"/>
        </w:tabs>
        <w:spacing w:before="121" w:line="312" w:lineRule="auto"/>
        <w:ind w:right="214" w:hanging="852"/>
        <w:jc w:val="both"/>
        <w:rPr>
          <w:sz w:val="24"/>
        </w:rPr>
      </w:pPr>
      <w:r>
        <w:rPr>
          <w:sz w:val="24"/>
        </w:rPr>
        <w:t xml:space="preserve">The final Transfer Scheme notified by GoTN came into effect from November 1, 2010. TANGEDCO’s Balance Sheets from FY 2011-12 to FY 2014-15 were prepared on the basis of the provisional Transfer Scheme, whereas the Balance Sheet of </w:t>
      </w:r>
      <w:r>
        <w:rPr>
          <w:sz w:val="24"/>
        </w:rPr>
        <w:t>FY 2015-16 has been prepared on the basis of final Transfer Scheme, i.e., impact of overall adjustment from November 1, 2010 to March 31, 2015 has been considered in the Balance Sheet of FY 2015-16.</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As the process of revaluation pertains only to book entr</w:t>
      </w:r>
      <w:r>
        <w:rPr>
          <w:sz w:val="24"/>
        </w:rPr>
        <w:t>y and has no material significance in regulatory process, the Commission has considered only book values, after removing the impact of revaluation, while undertaking true up for FY 2011-12 to FY</w:t>
      </w:r>
      <w:r>
        <w:rPr>
          <w:spacing w:val="-1"/>
          <w:sz w:val="24"/>
        </w:rPr>
        <w:t xml:space="preserve"> </w:t>
      </w:r>
      <w:r>
        <w:rPr>
          <w:sz w:val="24"/>
        </w:rPr>
        <w:t>2015-16.</w:t>
      </w:r>
    </w:p>
    <w:p w:rsidR="007C5447" w:rsidRDefault="007C5447">
      <w:pPr>
        <w:pStyle w:val="BodyText"/>
        <w:spacing w:before="10"/>
        <w:rPr>
          <w:sz w:val="20"/>
        </w:rPr>
      </w:pPr>
    </w:p>
    <w:p w:rsidR="007C5447" w:rsidRDefault="00F6308C">
      <w:pPr>
        <w:pStyle w:val="Heading2"/>
        <w:numPr>
          <w:ilvl w:val="1"/>
          <w:numId w:val="114"/>
        </w:numPr>
        <w:tabs>
          <w:tab w:val="left" w:pos="786"/>
          <w:tab w:val="left" w:pos="787"/>
        </w:tabs>
        <w:ind w:left="786"/>
      </w:pPr>
      <w:bookmarkStart w:id="6" w:name="_bookmark6"/>
      <w:bookmarkEnd w:id="6"/>
      <w:r>
        <w:t>Unbundling of</w:t>
      </w:r>
      <w:r>
        <w:rPr>
          <w:spacing w:val="-2"/>
        </w:rPr>
        <w:t xml:space="preserve"> </w:t>
      </w:r>
      <w:r>
        <w:t>TNEB</w:t>
      </w:r>
    </w:p>
    <w:p w:rsidR="007C5447" w:rsidRDefault="007C5447">
      <w:pPr>
        <w:pStyle w:val="BodyText"/>
        <w:rPr>
          <w:b/>
          <w:sz w:val="28"/>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 xml:space="preserve">TNEB was unbundled on November </w:t>
      </w:r>
      <w:r>
        <w:rPr>
          <w:sz w:val="24"/>
        </w:rPr>
        <w:t>1, 2010. Consequently, it started functioning as two separate entities namely, TANGEDCO and TANTRANSCO. While TANGEDCO was made responsible for Generation and Distribution functions, TANTRANSCO was made responsible for transmission activities within the</w:t>
      </w:r>
      <w:r>
        <w:rPr>
          <w:spacing w:val="-10"/>
          <w:sz w:val="24"/>
        </w:rPr>
        <w:t xml:space="preserve"> </w:t>
      </w:r>
      <w:r>
        <w:rPr>
          <w:sz w:val="24"/>
        </w:rPr>
        <w:t>St</w:t>
      </w:r>
      <w:r>
        <w:rPr>
          <w:sz w:val="24"/>
        </w:rPr>
        <w:t>ate.</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3" w:hanging="852"/>
        <w:jc w:val="both"/>
        <w:rPr>
          <w:sz w:val="24"/>
        </w:rPr>
      </w:pPr>
      <w:r>
        <w:rPr>
          <w:sz w:val="24"/>
        </w:rPr>
        <w:t>The Commission in its Tariff Orders dated July 31, 2010, March 30, 2012, June 20, 2013 and December 11, 2014 had indicated that the accumulated losses up to the date of unbundling will have to be dealt with in accordance with the National Electricity Polic</w:t>
      </w:r>
      <w:r>
        <w:rPr>
          <w:sz w:val="24"/>
        </w:rPr>
        <w:t>y and Tariff Policy. The Commission had also clearly indicated that any losses incurred after November 1, 2010 only are being dealt with in various Tariff Orders subsequent to</w:t>
      </w:r>
      <w:r>
        <w:rPr>
          <w:spacing w:val="1"/>
          <w:sz w:val="24"/>
        </w:rPr>
        <w:t xml:space="preserve"> </w:t>
      </w:r>
      <w:r>
        <w:rPr>
          <w:sz w:val="24"/>
        </w:rPr>
        <w:t>Unbundling.</w:t>
      </w:r>
    </w:p>
    <w:p w:rsidR="007C5447" w:rsidRDefault="007C5447">
      <w:pPr>
        <w:pStyle w:val="BodyText"/>
        <w:spacing w:before="10"/>
        <w:rPr>
          <w:sz w:val="20"/>
        </w:rPr>
      </w:pPr>
    </w:p>
    <w:p w:rsidR="007C5447" w:rsidRDefault="00F6308C">
      <w:pPr>
        <w:pStyle w:val="ListParagraph"/>
        <w:numPr>
          <w:ilvl w:val="2"/>
          <w:numId w:val="114"/>
        </w:numPr>
        <w:tabs>
          <w:tab w:val="left" w:pos="1072"/>
          <w:tab w:val="left" w:pos="1073"/>
        </w:tabs>
        <w:ind w:hanging="853"/>
        <w:rPr>
          <w:sz w:val="24"/>
        </w:rPr>
      </w:pPr>
      <w:r>
        <w:rPr>
          <w:sz w:val="24"/>
        </w:rPr>
        <w:t>The</w:t>
      </w:r>
      <w:r>
        <w:rPr>
          <w:spacing w:val="31"/>
          <w:sz w:val="24"/>
        </w:rPr>
        <w:t xml:space="preserve"> </w:t>
      </w:r>
      <w:r>
        <w:rPr>
          <w:sz w:val="24"/>
        </w:rPr>
        <w:t>Revenue</w:t>
      </w:r>
      <w:r>
        <w:rPr>
          <w:spacing w:val="32"/>
          <w:sz w:val="24"/>
        </w:rPr>
        <w:t xml:space="preserve"> </w:t>
      </w:r>
      <w:r>
        <w:rPr>
          <w:sz w:val="24"/>
        </w:rPr>
        <w:t>Gaps</w:t>
      </w:r>
      <w:r>
        <w:rPr>
          <w:spacing w:val="33"/>
          <w:sz w:val="24"/>
        </w:rPr>
        <w:t xml:space="preserve"> </w:t>
      </w:r>
      <w:r>
        <w:rPr>
          <w:sz w:val="24"/>
        </w:rPr>
        <w:t>arising</w:t>
      </w:r>
      <w:r>
        <w:rPr>
          <w:spacing w:val="29"/>
          <w:sz w:val="24"/>
        </w:rPr>
        <w:t xml:space="preserve"> </w:t>
      </w:r>
      <w:r>
        <w:rPr>
          <w:sz w:val="24"/>
        </w:rPr>
        <w:t>subsequent</w:t>
      </w:r>
      <w:r>
        <w:rPr>
          <w:spacing w:val="32"/>
          <w:sz w:val="24"/>
        </w:rPr>
        <w:t xml:space="preserve"> </w:t>
      </w:r>
      <w:r>
        <w:rPr>
          <w:sz w:val="24"/>
        </w:rPr>
        <w:t>to</w:t>
      </w:r>
      <w:r>
        <w:rPr>
          <w:spacing w:val="33"/>
          <w:sz w:val="24"/>
        </w:rPr>
        <w:t xml:space="preserve"> </w:t>
      </w:r>
      <w:r>
        <w:rPr>
          <w:sz w:val="24"/>
        </w:rPr>
        <w:t>unbundling</w:t>
      </w:r>
      <w:r>
        <w:rPr>
          <w:spacing w:val="29"/>
          <w:sz w:val="24"/>
        </w:rPr>
        <w:t xml:space="preserve"> </w:t>
      </w:r>
      <w:r>
        <w:rPr>
          <w:sz w:val="24"/>
        </w:rPr>
        <w:t>were</w:t>
      </w:r>
      <w:r>
        <w:rPr>
          <w:spacing w:val="32"/>
          <w:sz w:val="24"/>
        </w:rPr>
        <w:t xml:space="preserve"> </w:t>
      </w:r>
      <w:r>
        <w:rPr>
          <w:sz w:val="24"/>
        </w:rPr>
        <w:t>dealt</w:t>
      </w:r>
      <w:r>
        <w:rPr>
          <w:spacing w:val="33"/>
          <w:sz w:val="24"/>
        </w:rPr>
        <w:t xml:space="preserve"> </w:t>
      </w:r>
      <w:r>
        <w:rPr>
          <w:sz w:val="24"/>
        </w:rPr>
        <w:t>with</w:t>
      </w:r>
      <w:r>
        <w:rPr>
          <w:spacing w:val="32"/>
          <w:sz w:val="24"/>
        </w:rPr>
        <w:t xml:space="preserve"> </w:t>
      </w:r>
      <w:r>
        <w:rPr>
          <w:sz w:val="24"/>
        </w:rPr>
        <w:t>primarily</w:t>
      </w:r>
      <w:r>
        <w:rPr>
          <w:spacing w:val="28"/>
          <w:sz w:val="24"/>
        </w:rPr>
        <w:t xml:space="preserve"> </w:t>
      </w:r>
      <w:r>
        <w:rPr>
          <w:sz w:val="24"/>
        </w:rPr>
        <w:t>as</w:t>
      </w:r>
    </w:p>
    <w:p w:rsidR="007C5447" w:rsidRDefault="007C5447">
      <w:pPr>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16"/>
        <w:jc w:val="both"/>
      </w:pPr>
      <w:r>
        <w:lastRenderedPageBreak/>
        <w:t>Regulatory Asset in the Order of the Commission dated December 11, 2014. For FY 2014-15, the Commission had increased the tariff uniformly for all categories of consumers. This had led to a reduction in revenue gap.</w:t>
      </w:r>
    </w:p>
    <w:p w:rsidR="007C5447" w:rsidRDefault="007C5447">
      <w:pPr>
        <w:pStyle w:val="BodyText"/>
        <w:spacing w:before="8"/>
        <w:rPr>
          <w:sz w:val="20"/>
        </w:rPr>
      </w:pPr>
    </w:p>
    <w:p w:rsidR="007C5447" w:rsidRDefault="00F6308C">
      <w:pPr>
        <w:pStyle w:val="ListParagraph"/>
        <w:numPr>
          <w:ilvl w:val="2"/>
          <w:numId w:val="114"/>
        </w:numPr>
        <w:tabs>
          <w:tab w:val="left" w:pos="1073"/>
        </w:tabs>
        <w:spacing w:before="1" w:line="312" w:lineRule="auto"/>
        <w:ind w:right="219" w:hanging="852"/>
        <w:jc w:val="both"/>
        <w:rPr>
          <w:sz w:val="24"/>
        </w:rPr>
      </w:pPr>
      <w:r>
        <w:rPr>
          <w:sz w:val="24"/>
        </w:rPr>
        <w:t>The</w:t>
      </w:r>
      <w:r>
        <w:rPr>
          <w:sz w:val="24"/>
        </w:rPr>
        <w:t xml:space="preserve"> approach followed by the Commission to treat the Revenue Gap has again been discussed in Chapter 5 of this</w:t>
      </w:r>
      <w:r>
        <w:rPr>
          <w:spacing w:val="-2"/>
          <w:sz w:val="24"/>
        </w:rPr>
        <w:t xml:space="preserve"> </w:t>
      </w:r>
      <w:r>
        <w:rPr>
          <w:sz w:val="24"/>
        </w:rPr>
        <w:t>Order.</w:t>
      </w:r>
    </w:p>
    <w:p w:rsidR="007C5447" w:rsidRDefault="007C5447">
      <w:pPr>
        <w:pStyle w:val="BodyText"/>
        <w:spacing w:before="9"/>
        <w:rPr>
          <w:sz w:val="20"/>
        </w:rPr>
      </w:pPr>
    </w:p>
    <w:p w:rsidR="007C5447" w:rsidRDefault="00F6308C">
      <w:pPr>
        <w:pStyle w:val="Heading2"/>
        <w:numPr>
          <w:ilvl w:val="1"/>
          <w:numId w:val="114"/>
        </w:numPr>
        <w:tabs>
          <w:tab w:val="left" w:pos="786"/>
          <w:tab w:val="left" w:pos="787"/>
        </w:tabs>
        <w:spacing w:before="1"/>
        <w:ind w:left="786"/>
      </w:pPr>
      <w:bookmarkStart w:id="7" w:name="_bookmark7"/>
      <w:bookmarkEnd w:id="7"/>
      <w:r>
        <w:t>Brief Note on Public</w:t>
      </w:r>
      <w:r>
        <w:rPr>
          <w:spacing w:val="-2"/>
        </w:rPr>
        <w:t xml:space="preserve"> </w:t>
      </w:r>
      <w:r>
        <w:t>Hearing</w:t>
      </w:r>
    </w:p>
    <w:p w:rsidR="007C5447" w:rsidRDefault="007C5447">
      <w:pPr>
        <w:pStyle w:val="BodyText"/>
        <w:spacing w:before="1"/>
        <w:rPr>
          <w:b/>
          <w:sz w:val="28"/>
        </w:rPr>
      </w:pPr>
    </w:p>
    <w:p w:rsidR="007C5447" w:rsidRDefault="00F6308C">
      <w:pPr>
        <w:pStyle w:val="ListParagraph"/>
        <w:numPr>
          <w:ilvl w:val="2"/>
          <w:numId w:val="114"/>
        </w:numPr>
        <w:tabs>
          <w:tab w:val="left" w:pos="1073"/>
        </w:tabs>
        <w:spacing w:before="1" w:line="312" w:lineRule="auto"/>
        <w:ind w:right="217" w:hanging="852"/>
        <w:jc w:val="both"/>
        <w:rPr>
          <w:sz w:val="24"/>
        </w:rPr>
      </w:pPr>
      <w:r>
        <w:rPr>
          <w:sz w:val="24"/>
        </w:rPr>
        <w:t>The Commission has noted the various views expressed by stakeholders both in the written comments submitted by</w:t>
      </w:r>
      <w:r>
        <w:rPr>
          <w:sz w:val="24"/>
        </w:rPr>
        <w:t xml:space="preserve"> them to the Commission as well as during the Public Hearings held at Chennai, Madurai and Coimbatore on July 25, 2017, July 28, 2017 and August 2, 2017,</w:t>
      </w:r>
      <w:r>
        <w:rPr>
          <w:spacing w:val="-1"/>
          <w:sz w:val="24"/>
        </w:rPr>
        <w:t xml:space="preserve"> </w:t>
      </w:r>
      <w:r>
        <w:rPr>
          <w:sz w:val="24"/>
        </w:rPr>
        <w:t>respectively.</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2" w:hanging="852"/>
        <w:jc w:val="both"/>
        <w:rPr>
          <w:sz w:val="24"/>
        </w:rPr>
      </w:pPr>
      <w:r>
        <w:rPr>
          <w:sz w:val="24"/>
        </w:rPr>
        <w:t>Various suggestions and objections that were raised on the TANGEDCO’s ARR and Tariff Summary after the issuance of the Public Notice, both in writing as well as during the Public Hearing, along with TANGEDCO’s reply and the Commission's view have been deta</w:t>
      </w:r>
      <w:r>
        <w:rPr>
          <w:sz w:val="24"/>
        </w:rPr>
        <w:t>iled in Chapter 2 of this</w:t>
      </w:r>
      <w:r>
        <w:rPr>
          <w:spacing w:val="-6"/>
          <w:sz w:val="24"/>
        </w:rPr>
        <w:t xml:space="preserve"> </w:t>
      </w:r>
      <w:r>
        <w:rPr>
          <w:sz w:val="24"/>
        </w:rPr>
        <w:t>Order.</w:t>
      </w:r>
    </w:p>
    <w:p w:rsidR="007C5447" w:rsidRDefault="007C5447">
      <w:pPr>
        <w:pStyle w:val="BodyText"/>
        <w:spacing w:before="2"/>
        <w:rPr>
          <w:sz w:val="21"/>
        </w:rPr>
      </w:pPr>
    </w:p>
    <w:p w:rsidR="007C5447" w:rsidRDefault="00F6308C">
      <w:pPr>
        <w:pStyle w:val="ListParagraph"/>
        <w:numPr>
          <w:ilvl w:val="1"/>
          <w:numId w:val="114"/>
        </w:numPr>
        <w:tabs>
          <w:tab w:val="left" w:pos="786"/>
          <w:tab w:val="left" w:pos="787"/>
        </w:tabs>
        <w:ind w:left="786"/>
        <w:rPr>
          <w:b/>
          <w:sz w:val="26"/>
        </w:rPr>
      </w:pPr>
      <w:bookmarkStart w:id="8" w:name="_bookmark8"/>
      <w:bookmarkEnd w:id="8"/>
      <w:r>
        <w:rPr>
          <w:b/>
          <w:sz w:val="24"/>
        </w:rPr>
        <w:t xml:space="preserve">Applicability </w:t>
      </w:r>
      <w:r>
        <w:rPr>
          <w:b/>
          <w:sz w:val="26"/>
        </w:rPr>
        <w:t>of</w:t>
      </w:r>
      <w:r>
        <w:rPr>
          <w:b/>
          <w:spacing w:val="3"/>
          <w:sz w:val="26"/>
        </w:rPr>
        <w:t xml:space="preserve"> </w:t>
      </w:r>
      <w:r>
        <w:rPr>
          <w:b/>
          <w:sz w:val="26"/>
        </w:rPr>
        <w:t>Order</w:t>
      </w:r>
    </w:p>
    <w:p w:rsidR="007C5447" w:rsidRDefault="007C5447">
      <w:pPr>
        <w:pStyle w:val="BodyText"/>
        <w:spacing w:before="5"/>
        <w:rPr>
          <w:b/>
          <w:sz w:val="28"/>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This Order will come into effect from August 11, 2017. The Generation and Retail Tariff contained in this Order will be valid until issue of the next</w:t>
      </w:r>
      <w:r>
        <w:rPr>
          <w:spacing w:val="-2"/>
          <w:sz w:val="24"/>
        </w:rPr>
        <w:t xml:space="preserve"> </w:t>
      </w:r>
      <w:r>
        <w:rPr>
          <w:sz w:val="24"/>
        </w:rPr>
        <w:t>Order.</w:t>
      </w:r>
    </w:p>
    <w:p w:rsidR="007C5447" w:rsidRDefault="007C5447">
      <w:pPr>
        <w:pStyle w:val="BodyText"/>
        <w:spacing w:before="8"/>
        <w:rPr>
          <w:sz w:val="20"/>
        </w:rPr>
      </w:pPr>
    </w:p>
    <w:p w:rsidR="007C5447" w:rsidRDefault="00F6308C">
      <w:pPr>
        <w:pStyle w:val="Heading2"/>
        <w:numPr>
          <w:ilvl w:val="1"/>
          <w:numId w:val="114"/>
        </w:numPr>
        <w:tabs>
          <w:tab w:val="left" w:pos="786"/>
          <w:tab w:val="left" w:pos="787"/>
        </w:tabs>
        <w:ind w:left="786"/>
      </w:pPr>
      <w:bookmarkStart w:id="9" w:name="_bookmark9"/>
      <w:bookmarkEnd w:id="9"/>
      <w:r>
        <w:t>Layout of the Order</w:t>
      </w:r>
    </w:p>
    <w:p w:rsidR="007C5447" w:rsidRDefault="007C5447">
      <w:pPr>
        <w:pStyle w:val="BodyText"/>
        <w:spacing w:before="2"/>
        <w:rPr>
          <w:b/>
          <w:sz w:val="28"/>
        </w:rPr>
      </w:pPr>
    </w:p>
    <w:p w:rsidR="007C5447" w:rsidRDefault="00F6308C">
      <w:pPr>
        <w:pStyle w:val="ListParagraph"/>
        <w:numPr>
          <w:ilvl w:val="2"/>
          <w:numId w:val="114"/>
        </w:numPr>
        <w:tabs>
          <w:tab w:val="left" w:pos="1072"/>
          <w:tab w:val="left" w:pos="1073"/>
        </w:tabs>
        <w:ind w:hanging="853"/>
        <w:rPr>
          <w:sz w:val="24"/>
        </w:rPr>
      </w:pPr>
      <w:r>
        <w:rPr>
          <w:sz w:val="24"/>
        </w:rPr>
        <w:t>This Order is organ</w:t>
      </w:r>
      <w:r>
        <w:rPr>
          <w:sz w:val="24"/>
        </w:rPr>
        <w:t>ised in the following seven</w:t>
      </w:r>
      <w:r>
        <w:rPr>
          <w:spacing w:val="-4"/>
          <w:sz w:val="24"/>
        </w:rPr>
        <w:t xml:space="preserve"> </w:t>
      </w:r>
      <w:r>
        <w:rPr>
          <w:sz w:val="24"/>
        </w:rPr>
        <w:t>Chapters:</w:t>
      </w:r>
    </w:p>
    <w:p w:rsidR="007C5447" w:rsidRDefault="007C5447">
      <w:pPr>
        <w:pStyle w:val="BodyText"/>
        <w:spacing w:before="11"/>
        <w:rPr>
          <w:sz w:val="27"/>
        </w:rPr>
      </w:pPr>
    </w:p>
    <w:p w:rsidR="007C5447" w:rsidRDefault="00F6308C">
      <w:pPr>
        <w:pStyle w:val="ListParagraph"/>
        <w:numPr>
          <w:ilvl w:val="0"/>
          <w:numId w:val="107"/>
        </w:numPr>
        <w:tabs>
          <w:tab w:val="left" w:pos="1498"/>
        </w:tabs>
        <w:spacing w:line="314" w:lineRule="auto"/>
        <w:ind w:right="220"/>
        <w:jc w:val="both"/>
        <w:rPr>
          <w:sz w:val="24"/>
        </w:rPr>
      </w:pPr>
      <w:r>
        <w:rPr>
          <w:b/>
          <w:sz w:val="24"/>
        </w:rPr>
        <w:t xml:space="preserve">Chapter 1 </w:t>
      </w:r>
      <w:r>
        <w:rPr>
          <w:sz w:val="24"/>
        </w:rPr>
        <w:t>provides details of the Tariff setting process and the approach of the Order;</w:t>
      </w:r>
    </w:p>
    <w:p w:rsidR="007C5447" w:rsidRDefault="007C5447">
      <w:pPr>
        <w:pStyle w:val="BodyText"/>
        <w:spacing w:before="5"/>
        <w:rPr>
          <w:sz w:val="20"/>
        </w:rPr>
      </w:pPr>
    </w:p>
    <w:p w:rsidR="007C5447" w:rsidRDefault="00F6308C">
      <w:pPr>
        <w:pStyle w:val="ListParagraph"/>
        <w:numPr>
          <w:ilvl w:val="0"/>
          <w:numId w:val="107"/>
        </w:numPr>
        <w:tabs>
          <w:tab w:val="left" w:pos="1498"/>
        </w:tabs>
        <w:spacing w:line="312" w:lineRule="auto"/>
        <w:ind w:right="215"/>
        <w:jc w:val="both"/>
        <w:rPr>
          <w:sz w:val="24"/>
        </w:rPr>
      </w:pPr>
      <w:r>
        <w:rPr>
          <w:b/>
          <w:sz w:val="24"/>
        </w:rPr>
        <w:t xml:space="preserve">Chapter 2 </w:t>
      </w:r>
      <w:r>
        <w:rPr>
          <w:sz w:val="24"/>
        </w:rPr>
        <w:t>provides a brief of the Public Hearing process, including the details of comments of various stakeholders, the Licensee’s response and views of the Commission</w:t>
      </w:r>
      <w:r>
        <w:rPr>
          <w:spacing w:val="-3"/>
          <w:sz w:val="24"/>
        </w:rPr>
        <w:t xml:space="preserve"> </w:t>
      </w:r>
      <w:r>
        <w:rPr>
          <w:sz w:val="24"/>
        </w:rPr>
        <w:t>thereon;</w:t>
      </w:r>
    </w:p>
    <w:p w:rsidR="007C5447" w:rsidRDefault="007C5447">
      <w:pPr>
        <w:pStyle w:val="BodyText"/>
        <w:rPr>
          <w:sz w:val="21"/>
        </w:rPr>
      </w:pPr>
    </w:p>
    <w:p w:rsidR="007C5447" w:rsidRDefault="00F6308C">
      <w:pPr>
        <w:pStyle w:val="ListParagraph"/>
        <w:numPr>
          <w:ilvl w:val="0"/>
          <w:numId w:val="107"/>
        </w:numPr>
        <w:tabs>
          <w:tab w:val="left" w:pos="1498"/>
        </w:tabs>
        <w:spacing w:line="312" w:lineRule="auto"/>
        <w:ind w:right="216"/>
        <w:jc w:val="both"/>
        <w:rPr>
          <w:sz w:val="24"/>
        </w:rPr>
      </w:pPr>
      <w:r>
        <w:rPr>
          <w:b/>
          <w:sz w:val="24"/>
        </w:rPr>
        <w:t xml:space="preserve">Chapter 3 </w:t>
      </w:r>
      <w:r>
        <w:rPr>
          <w:sz w:val="24"/>
        </w:rPr>
        <w:t>provides details/analysis of the final true up for FY 2011-12 to FY 2015-16;</w:t>
      </w:r>
    </w:p>
    <w:p w:rsidR="007C5447" w:rsidRDefault="007C5447">
      <w:pPr>
        <w:pStyle w:val="BodyText"/>
        <w:spacing w:before="10"/>
        <w:rPr>
          <w:sz w:val="20"/>
        </w:rPr>
      </w:pPr>
    </w:p>
    <w:p w:rsidR="007C5447" w:rsidRDefault="00F6308C">
      <w:pPr>
        <w:pStyle w:val="ListParagraph"/>
        <w:numPr>
          <w:ilvl w:val="0"/>
          <w:numId w:val="107"/>
        </w:numPr>
        <w:tabs>
          <w:tab w:val="left" w:pos="1498"/>
        </w:tabs>
        <w:spacing w:line="312" w:lineRule="auto"/>
        <w:ind w:right="215"/>
        <w:jc w:val="both"/>
        <w:rPr>
          <w:sz w:val="24"/>
        </w:rPr>
      </w:pPr>
      <w:r>
        <w:rPr>
          <w:b/>
          <w:sz w:val="24"/>
        </w:rPr>
        <w:t xml:space="preserve">Chapter 4 </w:t>
      </w:r>
      <w:r>
        <w:rPr>
          <w:sz w:val="24"/>
        </w:rPr>
        <w:t>provides analysis of the Petition for determination of ARR for the Control Period from FY 2016-17 to FY 2018-19;</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0"/>
          <w:numId w:val="107"/>
        </w:numPr>
        <w:tabs>
          <w:tab w:val="left" w:pos="1498"/>
        </w:tabs>
        <w:spacing w:before="70" w:line="312" w:lineRule="auto"/>
        <w:ind w:right="216"/>
        <w:jc w:val="both"/>
        <w:rPr>
          <w:sz w:val="24"/>
        </w:rPr>
      </w:pPr>
      <w:r>
        <w:rPr>
          <w:b/>
          <w:sz w:val="24"/>
        </w:rPr>
        <w:lastRenderedPageBreak/>
        <w:t xml:space="preserve">Chapter 5 </w:t>
      </w:r>
      <w:r>
        <w:rPr>
          <w:sz w:val="24"/>
        </w:rPr>
        <w:t>provides details of the cumulative Revenue Gap/(Surplus), Regulatory Assets, and determination of Open A</w:t>
      </w:r>
      <w:r>
        <w:rPr>
          <w:sz w:val="24"/>
        </w:rPr>
        <w:t>ccess Charges and Retail Supply Tariff for all consumer categories, and the approach adopted by the Commission in determining the</w:t>
      </w:r>
      <w:r>
        <w:rPr>
          <w:spacing w:val="-6"/>
          <w:sz w:val="24"/>
        </w:rPr>
        <w:t xml:space="preserve"> </w:t>
      </w:r>
      <w:r>
        <w:rPr>
          <w:sz w:val="24"/>
        </w:rPr>
        <w:t>tariff;</w:t>
      </w:r>
    </w:p>
    <w:p w:rsidR="007C5447" w:rsidRDefault="007C5447">
      <w:pPr>
        <w:pStyle w:val="BodyText"/>
        <w:spacing w:before="10"/>
        <w:rPr>
          <w:sz w:val="20"/>
        </w:rPr>
      </w:pPr>
    </w:p>
    <w:p w:rsidR="007C5447" w:rsidRDefault="00F6308C">
      <w:pPr>
        <w:pStyle w:val="ListParagraph"/>
        <w:numPr>
          <w:ilvl w:val="0"/>
          <w:numId w:val="107"/>
        </w:numPr>
        <w:tabs>
          <w:tab w:val="left" w:pos="1498"/>
        </w:tabs>
        <w:spacing w:line="312" w:lineRule="auto"/>
        <w:ind w:right="212"/>
        <w:jc w:val="both"/>
        <w:rPr>
          <w:sz w:val="24"/>
        </w:rPr>
      </w:pPr>
      <w:r>
        <w:rPr>
          <w:b/>
          <w:sz w:val="24"/>
        </w:rPr>
        <w:t xml:space="preserve">Chapter 6 </w:t>
      </w:r>
      <w:r>
        <w:rPr>
          <w:sz w:val="24"/>
        </w:rPr>
        <w:t>gives the Tariff Schedule applicable for the consumers for FY 2017- 18; and</w:t>
      </w:r>
    </w:p>
    <w:p w:rsidR="007C5447" w:rsidRDefault="007C5447">
      <w:pPr>
        <w:pStyle w:val="BodyText"/>
        <w:spacing w:before="10"/>
        <w:rPr>
          <w:sz w:val="20"/>
        </w:rPr>
      </w:pPr>
    </w:p>
    <w:p w:rsidR="007C5447" w:rsidRDefault="00F6308C">
      <w:pPr>
        <w:pStyle w:val="ListParagraph"/>
        <w:numPr>
          <w:ilvl w:val="0"/>
          <w:numId w:val="107"/>
        </w:numPr>
        <w:tabs>
          <w:tab w:val="left" w:pos="1498"/>
        </w:tabs>
        <w:spacing w:line="312" w:lineRule="auto"/>
        <w:ind w:right="221"/>
        <w:jc w:val="both"/>
        <w:rPr>
          <w:sz w:val="24"/>
        </w:rPr>
      </w:pPr>
      <w:r>
        <w:rPr>
          <w:b/>
          <w:sz w:val="24"/>
        </w:rPr>
        <w:t xml:space="preserve">Chapter 7 </w:t>
      </w:r>
      <w:r>
        <w:rPr>
          <w:sz w:val="24"/>
        </w:rPr>
        <w:t xml:space="preserve">provides details of </w:t>
      </w:r>
      <w:r>
        <w:rPr>
          <w:sz w:val="24"/>
        </w:rPr>
        <w:t>the Directives of the Commission for compliance by</w:t>
      </w:r>
      <w:r>
        <w:rPr>
          <w:spacing w:val="-5"/>
          <w:sz w:val="24"/>
        </w:rPr>
        <w:t xml:space="preserve"> </w:t>
      </w:r>
      <w:r>
        <w:rPr>
          <w:sz w:val="24"/>
        </w:rPr>
        <w:t>TANGEDCO.</w:t>
      </w:r>
    </w:p>
    <w:p w:rsidR="007C5447" w:rsidRDefault="00F6308C">
      <w:pPr>
        <w:pStyle w:val="ListParagraph"/>
        <w:numPr>
          <w:ilvl w:val="2"/>
          <w:numId w:val="114"/>
        </w:numPr>
        <w:tabs>
          <w:tab w:val="left" w:pos="1072"/>
          <w:tab w:val="left" w:pos="1073"/>
        </w:tabs>
        <w:spacing w:before="121" w:line="312" w:lineRule="auto"/>
        <w:ind w:right="215" w:hanging="852"/>
        <w:rPr>
          <w:sz w:val="24"/>
        </w:rPr>
      </w:pPr>
      <w:r>
        <w:rPr>
          <w:sz w:val="24"/>
        </w:rPr>
        <w:t>The Order contains the following Annexures, which are an integral part of the Tariff Order.</w:t>
      </w:r>
    </w:p>
    <w:p w:rsidR="007C5447" w:rsidRDefault="007C5447">
      <w:pPr>
        <w:pStyle w:val="BodyText"/>
        <w:spacing w:before="9"/>
        <w:rPr>
          <w:sz w:val="20"/>
        </w:rPr>
      </w:pPr>
    </w:p>
    <w:p w:rsidR="007C5447" w:rsidRDefault="00F6308C">
      <w:pPr>
        <w:pStyle w:val="ListParagraph"/>
        <w:numPr>
          <w:ilvl w:val="0"/>
          <w:numId w:val="106"/>
        </w:numPr>
        <w:tabs>
          <w:tab w:val="left" w:pos="1498"/>
        </w:tabs>
        <w:spacing w:before="1"/>
        <w:rPr>
          <w:sz w:val="24"/>
        </w:rPr>
      </w:pPr>
      <w:r>
        <w:rPr>
          <w:b/>
          <w:sz w:val="24"/>
        </w:rPr>
        <w:t>Annexure I</w:t>
      </w:r>
      <w:r>
        <w:rPr>
          <w:sz w:val="24"/>
        </w:rPr>
        <w:t>- The list of participants at the State Advisory</w:t>
      </w:r>
      <w:r>
        <w:rPr>
          <w:spacing w:val="-8"/>
          <w:sz w:val="24"/>
        </w:rPr>
        <w:t xml:space="preserve"> </w:t>
      </w:r>
      <w:r>
        <w:rPr>
          <w:sz w:val="24"/>
        </w:rPr>
        <w:t>Committee</w:t>
      </w:r>
    </w:p>
    <w:p w:rsidR="007C5447" w:rsidRDefault="007C5447">
      <w:pPr>
        <w:pStyle w:val="BodyText"/>
        <w:spacing w:before="11"/>
        <w:rPr>
          <w:sz w:val="27"/>
        </w:rPr>
      </w:pPr>
    </w:p>
    <w:p w:rsidR="007C5447" w:rsidRDefault="00F6308C">
      <w:pPr>
        <w:pStyle w:val="ListParagraph"/>
        <w:numPr>
          <w:ilvl w:val="0"/>
          <w:numId w:val="106"/>
        </w:numPr>
        <w:tabs>
          <w:tab w:val="left" w:pos="1498"/>
        </w:tabs>
        <w:spacing w:line="312" w:lineRule="auto"/>
        <w:ind w:right="219"/>
        <w:jc w:val="both"/>
        <w:rPr>
          <w:sz w:val="24"/>
        </w:rPr>
      </w:pPr>
      <w:r>
        <w:rPr>
          <w:b/>
          <w:sz w:val="24"/>
        </w:rPr>
        <w:t>Annexure II</w:t>
      </w:r>
      <w:r>
        <w:rPr>
          <w:sz w:val="24"/>
        </w:rPr>
        <w:t>- The list of stakeholders who have submitted written objections/ suggestions/ views in response to the Public</w:t>
      </w:r>
      <w:r>
        <w:rPr>
          <w:spacing w:val="-4"/>
          <w:sz w:val="24"/>
        </w:rPr>
        <w:t xml:space="preserve"> </w:t>
      </w:r>
      <w:r>
        <w:rPr>
          <w:sz w:val="24"/>
        </w:rPr>
        <w:t>Notice.</w:t>
      </w:r>
    </w:p>
    <w:p w:rsidR="007C5447" w:rsidRDefault="007C5447">
      <w:pPr>
        <w:pStyle w:val="BodyText"/>
        <w:spacing w:before="10"/>
        <w:rPr>
          <w:sz w:val="20"/>
        </w:rPr>
      </w:pPr>
    </w:p>
    <w:p w:rsidR="007C5447" w:rsidRDefault="00F6308C">
      <w:pPr>
        <w:pStyle w:val="ListParagraph"/>
        <w:numPr>
          <w:ilvl w:val="0"/>
          <w:numId w:val="106"/>
        </w:numPr>
        <w:tabs>
          <w:tab w:val="left" w:pos="1498"/>
        </w:tabs>
        <w:rPr>
          <w:sz w:val="24"/>
        </w:rPr>
      </w:pPr>
      <w:r>
        <w:rPr>
          <w:b/>
          <w:sz w:val="24"/>
        </w:rPr>
        <w:t>Annexure III</w:t>
      </w:r>
      <w:r>
        <w:rPr>
          <w:sz w:val="24"/>
        </w:rPr>
        <w:t>- The list of participants at each Public</w:t>
      </w:r>
      <w:r>
        <w:rPr>
          <w:spacing w:val="-6"/>
          <w:sz w:val="24"/>
        </w:rPr>
        <w:t xml:space="preserve"> </w:t>
      </w:r>
      <w:r>
        <w:rPr>
          <w:sz w:val="24"/>
        </w:rPr>
        <w:t>Hearing.</w:t>
      </w:r>
    </w:p>
    <w:p w:rsidR="007C5447" w:rsidRDefault="007C5447">
      <w:pPr>
        <w:pStyle w:val="BodyText"/>
        <w:spacing w:before="2"/>
        <w:rPr>
          <w:sz w:val="28"/>
        </w:rPr>
      </w:pPr>
    </w:p>
    <w:p w:rsidR="007C5447" w:rsidRDefault="00F6308C">
      <w:pPr>
        <w:pStyle w:val="ListParagraph"/>
        <w:numPr>
          <w:ilvl w:val="0"/>
          <w:numId w:val="106"/>
        </w:numPr>
        <w:tabs>
          <w:tab w:val="left" w:pos="1498"/>
        </w:tabs>
        <w:spacing w:line="312" w:lineRule="auto"/>
        <w:ind w:right="216"/>
        <w:jc w:val="both"/>
        <w:rPr>
          <w:sz w:val="24"/>
        </w:rPr>
      </w:pPr>
      <w:r>
        <w:rPr>
          <w:b/>
          <w:sz w:val="24"/>
        </w:rPr>
        <w:t>A</w:t>
      </w:r>
      <w:r>
        <w:rPr>
          <w:b/>
          <w:sz w:val="24"/>
        </w:rPr>
        <w:t>nnexure IV</w:t>
      </w:r>
      <w:r>
        <w:rPr>
          <w:sz w:val="24"/>
        </w:rPr>
        <w:t>- Copy of the Final Transfer Scheme as notified by the State Government vide G.O. (Ms.) No.49, Energy (B1) Department, dated August 13, 2015.</w:t>
      </w:r>
    </w:p>
    <w:p w:rsidR="007C5447" w:rsidRDefault="007C5447">
      <w:pPr>
        <w:pStyle w:val="BodyText"/>
        <w:spacing w:before="9"/>
        <w:rPr>
          <w:sz w:val="20"/>
        </w:rPr>
      </w:pPr>
    </w:p>
    <w:p w:rsidR="007C5447" w:rsidRDefault="00F6308C">
      <w:pPr>
        <w:pStyle w:val="Heading2"/>
        <w:numPr>
          <w:ilvl w:val="1"/>
          <w:numId w:val="114"/>
        </w:numPr>
        <w:tabs>
          <w:tab w:val="left" w:pos="787"/>
        </w:tabs>
        <w:ind w:left="786"/>
      </w:pPr>
      <w:bookmarkStart w:id="10" w:name="_bookmark10"/>
      <w:bookmarkEnd w:id="10"/>
      <w:r>
        <w:t>Approach of the order</w:t>
      </w:r>
    </w:p>
    <w:p w:rsidR="007C5447" w:rsidRDefault="007C5447">
      <w:pPr>
        <w:pStyle w:val="BodyText"/>
        <w:spacing w:before="2"/>
        <w:rPr>
          <w:b/>
          <w:sz w:val="28"/>
        </w:rPr>
      </w:pPr>
    </w:p>
    <w:p w:rsidR="007C5447" w:rsidRDefault="00F6308C">
      <w:pPr>
        <w:pStyle w:val="ListParagraph"/>
        <w:numPr>
          <w:ilvl w:val="2"/>
          <w:numId w:val="114"/>
        </w:numPr>
        <w:tabs>
          <w:tab w:val="left" w:pos="1072"/>
          <w:tab w:val="left" w:pos="1073"/>
        </w:tabs>
        <w:ind w:hanging="853"/>
        <w:rPr>
          <w:sz w:val="24"/>
        </w:rPr>
      </w:pPr>
      <w:r>
        <w:rPr>
          <w:sz w:val="24"/>
        </w:rPr>
        <w:t>The broad approach adopted in this order is given</w:t>
      </w:r>
      <w:r>
        <w:rPr>
          <w:spacing w:val="-1"/>
          <w:sz w:val="24"/>
        </w:rPr>
        <w:t xml:space="preserve"> </w:t>
      </w:r>
      <w:r>
        <w:rPr>
          <w:sz w:val="24"/>
        </w:rPr>
        <w:t>below:</w:t>
      </w:r>
    </w:p>
    <w:p w:rsidR="007C5447" w:rsidRDefault="007C5447">
      <w:pPr>
        <w:pStyle w:val="BodyText"/>
        <w:rPr>
          <w:sz w:val="28"/>
        </w:rPr>
      </w:pPr>
    </w:p>
    <w:p w:rsidR="007C5447" w:rsidRDefault="00F6308C">
      <w:pPr>
        <w:pStyle w:val="ListParagraph"/>
        <w:numPr>
          <w:ilvl w:val="0"/>
          <w:numId w:val="105"/>
        </w:numPr>
        <w:tabs>
          <w:tab w:val="left" w:pos="1433"/>
        </w:tabs>
        <w:spacing w:line="312" w:lineRule="auto"/>
        <w:ind w:right="212"/>
        <w:jc w:val="both"/>
        <w:rPr>
          <w:sz w:val="24"/>
        </w:rPr>
      </w:pPr>
      <w:r>
        <w:rPr>
          <w:sz w:val="24"/>
        </w:rPr>
        <w:t>The Commission has tak</w:t>
      </w:r>
      <w:r>
        <w:rPr>
          <w:sz w:val="24"/>
        </w:rPr>
        <w:t>en note of the final Transfer Scheme notified by GoTN vide G.O. (Ms.) No.49, Energy (B1) department, dated August 13, 2015 with amendment in the restructuring of Balance Sheet of TNEB for TANGEDCO and TANTRANSCO.</w:t>
      </w:r>
    </w:p>
    <w:p w:rsidR="007C5447" w:rsidRDefault="00F6308C">
      <w:pPr>
        <w:pStyle w:val="ListParagraph"/>
        <w:numPr>
          <w:ilvl w:val="0"/>
          <w:numId w:val="105"/>
        </w:numPr>
        <w:tabs>
          <w:tab w:val="left" w:pos="1433"/>
        </w:tabs>
        <w:spacing w:before="1" w:line="312" w:lineRule="auto"/>
        <w:ind w:right="214"/>
        <w:jc w:val="both"/>
        <w:rPr>
          <w:sz w:val="24"/>
        </w:rPr>
      </w:pPr>
      <w:r>
        <w:rPr>
          <w:sz w:val="24"/>
        </w:rPr>
        <w:t>The Commission has referred to the Audited Accounts of TANGEDCO for FY 2011-12 to FY 2015-16 for truing up the expenses in accordance with the Tariff Regulations and MYT Regulations. Based on the prudence check of the expenses and revenue reported in the A</w:t>
      </w:r>
      <w:r>
        <w:rPr>
          <w:sz w:val="24"/>
        </w:rPr>
        <w:t>udited Accounts of TANGEDCO, the Commission has arrived at the allowable ARR and revenue recovered by the</w:t>
      </w:r>
      <w:r>
        <w:rPr>
          <w:spacing w:val="-7"/>
          <w:sz w:val="24"/>
        </w:rPr>
        <w:t xml:space="preserve"> </w:t>
      </w:r>
      <w:r>
        <w:rPr>
          <w:sz w:val="24"/>
        </w:rPr>
        <w:t>utility.</w:t>
      </w:r>
    </w:p>
    <w:p w:rsidR="007C5447" w:rsidRDefault="00F6308C">
      <w:pPr>
        <w:pStyle w:val="ListParagraph"/>
        <w:numPr>
          <w:ilvl w:val="0"/>
          <w:numId w:val="105"/>
        </w:numPr>
        <w:tabs>
          <w:tab w:val="left" w:pos="1433"/>
        </w:tabs>
        <w:spacing w:before="1"/>
        <w:ind w:hanging="361"/>
        <w:jc w:val="both"/>
        <w:rPr>
          <w:sz w:val="24"/>
        </w:rPr>
      </w:pPr>
      <w:r>
        <w:rPr>
          <w:sz w:val="24"/>
        </w:rPr>
        <w:t>The Commission had undertaken provisional true up of FY 2011-12 to FY</w:t>
      </w:r>
      <w:r>
        <w:rPr>
          <w:spacing w:val="39"/>
          <w:sz w:val="24"/>
        </w:rPr>
        <w:t xml:space="preserve"> </w:t>
      </w:r>
      <w:r>
        <w:rPr>
          <w:sz w:val="24"/>
        </w:rPr>
        <w:t>2012-</w:t>
      </w:r>
    </w:p>
    <w:p w:rsidR="007C5447" w:rsidRDefault="007C5447">
      <w:pPr>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432" w:right="215"/>
        <w:jc w:val="both"/>
      </w:pPr>
      <w:r>
        <w:lastRenderedPageBreak/>
        <w:t>13 and Annual Performance Review of FY 2013-14 in the Suo-Motu Order dated December 11, 2014. Therefore, while undertaking final true up, the Commission has also referred to the approach adopted in the Suo-Motu Order.</w:t>
      </w:r>
    </w:p>
    <w:p w:rsidR="007C5447" w:rsidRDefault="00F6308C">
      <w:pPr>
        <w:pStyle w:val="ListParagraph"/>
        <w:numPr>
          <w:ilvl w:val="0"/>
          <w:numId w:val="105"/>
        </w:numPr>
        <w:tabs>
          <w:tab w:val="left" w:pos="1433"/>
        </w:tabs>
        <w:spacing w:line="312" w:lineRule="auto"/>
        <w:ind w:right="213"/>
        <w:jc w:val="both"/>
        <w:rPr>
          <w:sz w:val="24"/>
        </w:rPr>
      </w:pPr>
      <w:r>
        <w:rPr>
          <w:sz w:val="24"/>
        </w:rPr>
        <w:t>For FY 2016-17, the Commission had sou</w:t>
      </w:r>
      <w:r>
        <w:rPr>
          <w:sz w:val="24"/>
        </w:rPr>
        <w:t>ght actual figures up to January 2017. The Commission has determined the ARR for FY 2016-17 to FY 2018-19 in accordance with the Tariff Regulations and MYT Regulations, past trends observed after final true up of FY 2011-12 to FY 2015-16 and actual figures</w:t>
      </w:r>
      <w:r>
        <w:rPr>
          <w:sz w:val="24"/>
        </w:rPr>
        <w:t xml:space="preserve"> for FY 2016-17 provided by</w:t>
      </w:r>
      <w:r>
        <w:rPr>
          <w:spacing w:val="-4"/>
          <w:sz w:val="24"/>
        </w:rPr>
        <w:t xml:space="preserve"> </w:t>
      </w:r>
      <w:r>
        <w:rPr>
          <w:sz w:val="24"/>
        </w:rPr>
        <w:t>TANGEDCO.</w:t>
      </w:r>
    </w:p>
    <w:p w:rsidR="007C5447" w:rsidRDefault="00F6308C">
      <w:pPr>
        <w:pStyle w:val="ListParagraph"/>
        <w:numPr>
          <w:ilvl w:val="0"/>
          <w:numId w:val="105"/>
        </w:numPr>
        <w:tabs>
          <w:tab w:val="left" w:pos="1433"/>
        </w:tabs>
        <w:spacing w:line="312" w:lineRule="auto"/>
        <w:ind w:right="214"/>
        <w:jc w:val="both"/>
        <w:rPr>
          <w:sz w:val="24"/>
        </w:rPr>
      </w:pPr>
      <w:r>
        <w:rPr>
          <w:sz w:val="24"/>
        </w:rPr>
        <w:t xml:space="preserve">For the Control Period from FY 2016-17 to FY 2018-19, the Commission has extended the rationale adopted for allowing/disallowing various controllable components of the ARR while truing up for FY 2011-12 to FY 2015-16, </w:t>
      </w:r>
      <w:r>
        <w:rPr>
          <w:sz w:val="24"/>
        </w:rPr>
        <w:t>to project the ARR for the Control Period and determine tariff for FY</w:t>
      </w:r>
      <w:r>
        <w:rPr>
          <w:spacing w:val="-7"/>
          <w:sz w:val="24"/>
        </w:rPr>
        <w:t xml:space="preserve"> </w:t>
      </w:r>
      <w:r>
        <w:rPr>
          <w:sz w:val="24"/>
        </w:rPr>
        <w:t>2017-18.</w:t>
      </w:r>
    </w:p>
    <w:p w:rsidR="007C5447" w:rsidRDefault="00F6308C">
      <w:pPr>
        <w:pStyle w:val="ListParagraph"/>
        <w:numPr>
          <w:ilvl w:val="0"/>
          <w:numId w:val="105"/>
        </w:numPr>
        <w:tabs>
          <w:tab w:val="left" w:pos="1433"/>
        </w:tabs>
        <w:spacing w:before="1" w:line="312" w:lineRule="auto"/>
        <w:ind w:right="214"/>
        <w:jc w:val="both"/>
        <w:rPr>
          <w:sz w:val="24"/>
        </w:rPr>
      </w:pPr>
      <w:r>
        <w:rPr>
          <w:sz w:val="24"/>
        </w:rPr>
        <w:t>The Commission does not consider the loan basket of TANGEDCO while approving the Interest and Finance charges. Therefore, while approving Interest and Finance charges for FY 201</w:t>
      </w:r>
      <w:r>
        <w:rPr>
          <w:sz w:val="24"/>
        </w:rPr>
        <w:t>6-17 to FY 2018-19, it has not considered the impact of UDAY, as it is against the actual basket of loans. However, the Commission has considered the impact of UDAY while approving the overall Regulatory Asset of</w:t>
      </w:r>
      <w:r>
        <w:rPr>
          <w:spacing w:val="-4"/>
          <w:sz w:val="24"/>
        </w:rPr>
        <w:t xml:space="preserve"> </w:t>
      </w:r>
      <w:r>
        <w:rPr>
          <w:sz w:val="24"/>
        </w:rPr>
        <w:t>TANGEDCO.</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Heading1"/>
        <w:numPr>
          <w:ilvl w:val="0"/>
          <w:numId w:val="114"/>
        </w:numPr>
        <w:tabs>
          <w:tab w:val="left" w:pos="652"/>
          <w:tab w:val="left" w:pos="653"/>
          <w:tab w:val="left" w:pos="4174"/>
          <w:tab w:val="left" w:pos="6851"/>
        </w:tabs>
        <w:spacing w:before="113" w:after="16" w:line="360" w:lineRule="auto"/>
        <w:ind w:right="215"/>
        <w:jc w:val="left"/>
      </w:pPr>
      <w:bookmarkStart w:id="11" w:name="_bookmark11"/>
      <w:bookmarkEnd w:id="11"/>
      <w:r>
        <w:lastRenderedPageBreak/>
        <w:t>STAKEHOLDERS’</w:t>
      </w:r>
      <w:r>
        <w:tab/>
        <w:t>C</w:t>
      </w:r>
      <w:r>
        <w:t>OMMENTS,</w:t>
      </w:r>
      <w:r>
        <w:tab/>
      </w:r>
      <w:r>
        <w:rPr>
          <w:spacing w:val="-3"/>
        </w:rPr>
        <w:t xml:space="preserve">TANGEDCO’S </w:t>
      </w:r>
      <w:r>
        <w:t>REPLY AND COMMISSION’S</w:t>
      </w:r>
      <w:r>
        <w:rPr>
          <w:spacing w:val="-1"/>
        </w:rPr>
        <w:t xml:space="preserve"> </w:t>
      </w:r>
      <w:r>
        <w:t>VIEW</w:t>
      </w:r>
    </w:p>
    <w:p w:rsidR="007C5447" w:rsidRDefault="00F6308C">
      <w:pPr>
        <w:pStyle w:val="BodyText"/>
        <w:spacing w:line="20" w:lineRule="exact"/>
        <w:ind w:left="186"/>
        <w:rPr>
          <w:sz w:val="2"/>
        </w:rPr>
      </w:pPr>
      <w:r>
        <w:rPr>
          <w:sz w:val="2"/>
        </w:rPr>
      </w:r>
      <w:r>
        <w:rPr>
          <w:sz w:val="2"/>
        </w:rPr>
        <w:pict>
          <v:group id="_x0000_s1063" style="width:454.4pt;height:.5pt;mso-position-horizontal-relative:char;mso-position-vertical-relative:line" coordsize="9088,10">
            <v:line id="_x0000_s1064" style="position:absolute" from="0,5" to="9088,5" strokeweight=".48pt"/>
            <w10:anchorlock/>
          </v:group>
        </w:pict>
      </w:r>
    </w:p>
    <w:p w:rsidR="007C5447" w:rsidRDefault="007C5447">
      <w:pPr>
        <w:pStyle w:val="BodyText"/>
        <w:spacing w:before="3"/>
        <w:rPr>
          <w:b/>
          <w:sz w:val="12"/>
        </w:rPr>
      </w:pPr>
    </w:p>
    <w:p w:rsidR="007C5447" w:rsidRDefault="00F6308C">
      <w:pPr>
        <w:pStyle w:val="Heading2"/>
        <w:numPr>
          <w:ilvl w:val="1"/>
          <w:numId w:val="114"/>
        </w:numPr>
        <w:tabs>
          <w:tab w:val="left" w:pos="786"/>
          <w:tab w:val="left" w:pos="787"/>
        </w:tabs>
        <w:spacing w:before="90"/>
        <w:ind w:left="786"/>
      </w:pPr>
      <w:bookmarkStart w:id="12" w:name="_bookmark12"/>
      <w:bookmarkEnd w:id="12"/>
      <w:r>
        <w:t>Background</w:t>
      </w:r>
    </w:p>
    <w:p w:rsidR="007C5447" w:rsidRDefault="007C5447">
      <w:pPr>
        <w:pStyle w:val="BodyText"/>
        <w:spacing w:before="11"/>
        <w:rPr>
          <w:b/>
          <w:sz w:val="27"/>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The following Section summarizes the key views/objections/suggestions and requests made by stakeholders on the basis of the Public Notice issued by TANGEDCO on February 10, 2017. These include submissions received in writing as well as submissions received</w:t>
      </w:r>
      <w:r>
        <w:rPr>
          <w:sz w:val="24"/>
        </w:rPr>
        <w:t xml:space="preserve"> and observations made at the Public Hearings held by the Commission at three venues. The Commission, in order to accommodate maximum responses to the Public Notice, extended the timeline for submission of written comments from March 13, 2017 to March 31, </w:t>
      </w:r>
      <w:r>
        <w:rPr>
          <w:sz w:val="24"/>
        </w:rPr>
        <w:t>2017 based on stakeholders’ requests to extend the date of submission of</w:t>
      </w:r>
      <w:r>
        <w:rPr>
          <w:spacing w:val="-4"/>
          <w:sz w:val="24"/>
        </w:rPr>
        <w:t xml:space="preserve"> </w:t>
      </w:r>
      <w:r>
        <w:rPr>
          <w:sz w:val="24"/>
        </w:rPr>
        <w:t>comments.</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 xml:space="preserve">In this Section, the Commission has appropriately addressed the specific views/ objections/ suggestions made by stakeholder groups on each issue. The general comments also </w:t>
      </w:r>
      <w:r>
        <w:rPr>
          <w:sz w:val="24"/>
        </w:rPr>
        <w:t>list specific requests made by stakeholders like Consumer Federation Tamilnadu (CONFET), Indian Wind Power Association (IWPA), Tamilnadu Spinning Mills Association (TASMA), Power Engineers’ Society of Tamilnadu (PESOT), Indian Energy Exchange (IEX), the So</w:t>
      </w:r>
      <w:r>
        <w:rPr>
          <w:sz w:val="24"/>
        </w:rPr>
        <w:t>uthern India Mills’ Association (SIMA), etc., to which the Commission has responded. All comments received by the Commission from the stakeholders have been provided to TANGEDCO for responding. The responses so received have been included under the relevan</w:t>
      </w:r>
      <w:r>
        <w:rPr>
          <w:sz w:val="24"/>
        </w:rPr>
        <w:t>t heads. Therefore, each view has been considered by the Commission and appropriately addressed in this</w:t>
      </w:r>
      <w:r>
        <w:rPr>
          <w:spacing w:val="-1"/>
          <w:sz w:val="24"/>
        </w:rPr>
        <w:t xml:space="preserve"> </w:t>
      </w:r>
      <w:r>
        <w:rPr>
          <w:sz w:val="24"/>
        </w:rPr>
        <w:t>Order.</w:t>
      </w:r>
    </w:p>
    <w:p w:rsidR="007C5447" w:rsidRDefault="007C5447">
      <w:pPr>
        <w:pStyle w:val="BodyText"/>
        <w:spacing w:before="1"/>
        <w:rPr>
          <w:sz w:val="21"/>
        </w:rPr>
      </w:pPr>
    </w:p>
    <w:p w:rsidR="007C5447" w:rsidRDefault="00F6308C">
      <w:pPr>
        <w:pStyle w:val="Heading2"/>
        <w:numPr>
          <w:ilvl w:val="1"/>
          <w:numId w:val="114"/>
        </w:numPr>
        <w:tabs>
          <w:tab w:val="left" w:pos="786"/>
          <w:tab w:val="left" w:pos="787"/>
        </w:tabs>
        <w:ind w:left="786"/>
      </w:pPr>
      <w:bookmarkStart w:id="13" w:name="_bookmark13"/>
      <w:bookmarkEnd w:id="13"/>
      <w:r>
        <w:t>General and Procedural</w:t>
      </w:r>
      <w:r>
        <w:rPr>
          <w:spacing w:val="-1"/>
        </w:rPr>
        <w:t xml:space="preserve"> </w:t>
      </w:r>
      <w:r>
        <w:t>Issues</w:t>
      </w:r>
    </w:p>
    <w:p w:rsidR="007C5447" w:rsidRDefault="007C5447">
      <w:pPr>
        <w:pStyle w:val="BodyText"/>
        <w:rPr>
          <w:b/>
          <w:sz w:val="28"/>
        </w:rPr>
      </w:pPr>
    </w:p>
    <w:p w:rsidR="007C5447" w:rsidRDefault="00F6308C">
      <w:pPr>
        <w:ind w:left="1072"/>
        <w:rPr>
          <w:b/>
          <w:sz w:val="24"/>
        </w:rPr>
      </w:pPr>
      <w:r>
        <w:rPr>
          <w:b/>
          <w:sz w:val="24"/>
        </w:rPr>
        <w:t>Stakeholder Comments</w:t>
      </w:r>
    </w:p>
    <w:p w:rsidR="007C5447" w:rsidRDefault="00F6308C">
      <w:pPr>
        <w:pStyle w:val="ListParagraph"/>
        <w:numPr>
          <w:ilvl w:val="2"/>
          <w:numId w:val="114"/>
        </w:numPr>
        <w:tabs>
          <w:tab w:val="left" w:pos="1073"/>
        </w:tabs>
        <w:spacing w:before="201" w:line="312" w:lineRule="auto"/>
        <w:ind w:right="214" w:hanging="852"/>
        <w:jc w:val="both"/>
        <w:rPr>
          <w:sz w:val="24"/>
        </w:rPr>
      </w:pPr>
      <w:r>
        <w:rPr>
          <w:sz w:val="24"/>
        </w:rPr>
        <w:t>TANGEDCO has violated the provisions of Regulation 5 of the TNERC Tariff Regulations, 2005 b</w:t>
      </w:r>
      <w:r>
        <w:rPr>
          <w:sz w:val="24"/>
        </w:rPr>
        <w:t>y delaying the submission of ARR and Truing-Up Petitions. Action has to be taken by the Commission for the violation and lapses in submission of ARR Petition by TANGEDCO. Condonation Petition has to be filed by TANGEDCO for the delays in filing ARR and Tru</w:t>
      </w:r>
      <w:r>
        <w:rPr>
          <w:sz w:val="24"/>
        </w:rPr>
        <w:t>ing-up</w:t>
      </w:r>
      <w:r>
        <w:rPr>
          <w:spacing w:val="-7"/>
          <w:sz w:val="24"/>
        </w:rPr>
        <w:t xml:space="preserve"> </w:t>
      </w:r>
      <w:r>
        <w:rPr>
          <w:sz w:val="24"/>
        </w:rPr>
        <w:t>Petitions.</w:t>
      </w:r>
    </w:p>
    <w:p w:rsidR="007C5447" w:rsidRDefault="007C5447">
      <w:pPr>
        <w:pStyle w:val="BodyText"/>
        <w:rPr>
          <w:sz w:val="21"/>
        </w:rPr>
      </w:pPr>
    </w:p>
    <w:p w:rsidR="007C5447" w:rsidRDefault="00F6308C">
      <w:pPr>
        <w:pStyle w:val="ListParagraph"/>
        <w:numPr>
          <w:ilvl w:val="2"/>
          <w:numId w:val="114"/>
        </w:numPr>
        <w:tabs>
          <w:tab w:val="left" w:pos="1072"/>
          <w:tab w:val="left" w:pos="1073"/>
        </w:tabs>
        <w:spacing w:before="1"/>
        <w:ind w:hanging="853"/>
        <w:rPr>
          <w:sz w:val="24"/>
        </w:rPr>
      </w:pPr>
      <w:r>
        <w:rPr>
          <w:sz w:val="24"/>
        </w:rPr>
        <w:t>The</w:t>
      </w:r>
      <w:r>
        <w:rPr>
          <w:spacing w:val="8"/>
          <w:sz w:val="24"/>
        </w:rPr>
        <w:t xml:space="preserve"> </w:t>
      </w:r>
      <w:r>
        <w:rPr>
          <w:sz w:val="24"/>
        </w:rPr>
        <w:t>Commission</w:t>
      </w:r>
      <w:r>
        <w:rPr>
          <w:spacing w:val="11"/>
          <w:sz w:val="24"/>
        </w:rPr>
        <w:t xml:space="preserve"> </w:t>
      </w:r>
      <w:r>
        <w:rPr>
          <w:sz w:val="24"/>
        </w:rPr>
        <w:t>has</w:t>
      </w:r>
      <w:r>
        <w:rPr>
          <w:spacing w:val="10"/>
          <w:sz w:val="24"/>
        </w:rPr>
        <w:t xml:space="preserve"> </w:t>
      </w:r>
      <w:r>
        <w:rPr>
          <w:sz w:val="24"/>
        </w:rPr>
        <w:t>itself</w:t>
      </w:r>
      <w:r>
        <w:rPr>
          <w:spacing w:val="10"/>
          <w:sz w:val="24"/>
        </w:rPr>
        <w:t xml:space="preserve"> </w:t>
      </w:r>
      <w:r>
        <w:rPr>
          <w:sz w:val="24"/>
        </w:rPr>
        <w:t>violated</w:t>
      </w:r>
      <w:r>
        <w:rPr>
          <w:spacing w:val="13"/>
          <w:sz w:val="24"/>
        </w:rPr>
        <w:t xml:space="preserve"> </w:t>
      </w:r>
      <w:r>
        <w:rPr>
          <w:sz w:val="24"/>
        </w:rPr>
        <w:t>the</w:t>
      </w:r>
      <w:r>
        <w:rPr>
          <w:spacing w:val="11"/>
          <w:sz w:val="24"/>
        </w:rPr>
        <w:t xml:space="preserve"> </w:t>
      </w:r>
      <w:r>
        <w:rPr>
          <w:sz w:val="24"/>
        </w:rPr>
        <w:t>Hon’ble</w:t>
      </w:r>
      <w:r>
        <w:rPr>
          <w:spacing w:val="12"/>
          <w:sz w:val="24"/>
        </w:rPr>
        <w:t xml:space="preserve"> </w:t>
      </w:r>
      <w:r>
        <w:rPr>
          <w:sz w:val="24"/>
        </w:rPr>
        <w:t>APTEL’s</w:t>
      </w:r>
      <w:r>
        <w:rPr>
          <w:spacing w:val="12"/>
          <w:sz w:val="24"/>
        </w:rPr>
        <w:t xml:space="preserve"> </w:t>
      </w:r>
      <w:r>
        <w:rPr>
          <w:sz w:val="24"/>
        </w:rPr>
        <w:t>directions</w:t>
      </w:r>
      <w:r>
        <w:rPr>
          <w:spacing w:val="12"/>
          <w:sz w:val="24"/>
        </w:rPr>
        <w:t xml:space="preserve"> </w:t>
      </w:r>
      <w:r>
        <w:rPr>
          <w:sz w:val="24"/>
        </w:rPr>
        <w:t>and</w:t>
      </w:r>
      <w:r>
        <w:rPr>
          <w:spacing w:val="13"/>
          <w:sz w:val="24"/>
        </w:rPr>
        <w:t xml:space="preserve"> </w:t>
      </w:r>
      <w:r>
        <w:rPr>
          <w:sz w:val="24"/>
        </w:rPr>
        <w:t>provisions</w:t>
      </w:r>
    </w:p>
    <w:p w:rsidR="007C5447" w:rsidRDefault="007C5447">
      <w:pPr>
        <w:rPr>
          <w:sz w:val="24"/>
        </w:rPr>
        <w:sectPr w:rsidR="007C5447">
          <w:pgSz w:w="11910" w:h="16840"/>
          <w:pgMar w:top="1580" w:right="1220" w:bottom="1620" w:left="1220" w:header="0" w:footer="1386" w:gutter="0"/>
          <w:cols w:space="720"/>
        </w:sectPr>
      </w:pPr>
    </w:p>
    <w:p w:rsidR="007C5447" w:rsidRDefault="00F6308C">
      <w:pPr>
        <w:pStyle w:val="BodyText"/>
        <w:spacing w:before="70" w:line="312" w:lineRule="auto"/>
        <w:ind w:left="1072" w:right="225"/>
      </w:pPr>
      <w:r>
        <w:lastRenderedPageBreak/>
        <w:t>under Clause 8.1 (7) of the Tariff Policy, 2006 by not publishing suo-motu Tariff Order for FY 2015-16 and FY 2016-17.</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 xml:space="preserve">Public Hearings should be held as per the Conduct of Business Regulations and the Electricity Act, 2003. TANGEDCO has proposed to revise the Tariff Schedule for many consumer categories, resulting in indirect increase in tariff that affects the consumers, </w:t>
      </w:r>
      <w:r>
        <w:rPr>
          <w:sz w:val="24"/>
        </w:rPr>
        <w:t>hence, Public Hearing has to be held. Consumers who are unable to submit written comments may express their concerns</w:t>
      </w:r>
      <w:r>
        <w:rPr>
          <w:spacing w:val="-3"/>
          <w:sz w:val="24"/>
        </w:rPr>
        <w:t xml:space="preserve"> </w:t>
      </w:r>
      <w:r>
        <w:rPr>
          <w:sz w:val="24"/>
        </w:rPr>
        <w:t>verbally.</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The Commission should ensure that all relevant details relevant for quantum of expenditure, source of revenue and optimization o</w:t>
      </w:r>
      <w:r>
        <w:rPr>
          <w:sz w:val="24"/>
        </w:rPr>
        <w:t>f expenditure are provided in full to the public before calling for stakeholder comments on the Tariff</w:t>
      </w:r>
      <w:r>
        <w:rPr>
          <w:spacing w:val="-3"/>
          <w:sz w:val="24"/>
        </w:rPr>
        <w:t xml:space="preserve"> </w:t>
      </w:r>
      <w:r>
        <w:rPr>
          <w:sz w:val="24"/>
        </w:rPr>
        <w:t>Petition.</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The date for submission of comments should be extended until the formal process of Public Hearings is completed or till April 13,</w:t>
      </w:r>
      <w:r>
        <w:rPr>
          <w:spacing w:val="-5"/>
          <w:sz w:val="24"/>
        </w:rPr>
        <w:t xml:space="preserve"> </w:t>
      </w:r>
      <w:r>
        <w:rPr>
          <w:sz w:val="24"/>
        </w:rPr>
        <w:t>2017.</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4" w:hanging="852"/>
        <w:jc w:val="both"/>
        <w:rPr>
          <w:sz w:val="24"/>
        </w:rPr>
      </w:pPr>
      <w:r>
        <w:rPr>
          <w:sz w:val="24"/>
        </w:rPr>
        <w:t>The f</w:t>
      </w:r>
      <w:r>
        <w:rPr>
          <w:sz w:val="24"/>
        </w:rPr>
        <w:t>inal Order should be issued only after the Public Hearing. Meanwhile, a draft Order may be</w:t>
      </w:r>
      <w:r>
        <w:rPr>
          <w:spacing w:val="-6"/>
          <w:sz w:val="24"/>
        </w:rPr>
        <w:t xml:space="preserve"> </w:t>
      </w:r>
      <w:r>
        <w:rPr>
          <w:sz w:val="24"/>
        </w:rPr>
        <w:t>published.</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6" w:hanging="852"/>
        <w:jc w:val="both"/>
        <w:rPr>
          <w:sz w:val="24"/>
        </w:rPr>
      </w:pPr>
      <w:r>
        <w:rPr>
          <w:sz w:val="24"/>
        </w:rPr>
        <w:t>The accounts of TANGEDCO should be audited by third party auditors and the regulatory compliance including the compliance of directives should be audited</w:t>
      </w:r>
      <w:r>
        <w:rPr>
          <w:sz w:val="24"/>
        </w:rPr>
        <w:t xml:space="preserve"> and scrutinized by the Commission before taking up tariff revision. The true-up should be based on audited figures rather than provisional values submitted by the Utilities. The Commission should issue suitable Regulations and Guidelines, which mandate th</w:t>
      </w:r>
      <w:r>
        <w:rPr>
          <w:sz w:val="24"/>
        </w:rPr>
        <w:t>e statutory independent auditor to comment on the compliances applicable to Companies licensed by</w:t>
      </w:r>
      <w:r>
        <w:rPr>
          <w:spacing w:val="-5"/>
          <w:sz w:val="24"/>
        </w:rPr>
        <w:t xml:space="preserve"> </w:t>
      </w:r>
      <w:r>
        <w:rPr>
          <w:sz w:val="24"/>
        </w:rPr>
        <w:t>it.</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7" w:hanging="852"/>
        <w:jc w:val="both"/>
        <w:rPr>
          <w:sz w:val="24"/>
        </w:rPr>
      </w:pPr>
      <w:r>
        <w:rPr>
          <w:sz w:val="24"/>
        </w:rPr>
        <w:t xml:space="preserve">The Commission should request the Comptroller &amp; Auditor General of India (CAG) to annually audit the operations of TANGEDCO and make it available before </w:t>
      </w:r>
      <w:r>
        <w:rPr>
          <w:sz w:val="24"/>
        </w:rPr>
        <w:t xml:space="preserve">the tariff exercise. The Commission should also direct TANGEDCO to maintain separate Regulatory Accounts independent of the Accounts maintained by it for compliance with the Companies Act, 2003, Income Tax Act, 1961 and other Regulations. These Regulatory </w:t>
      </w:r>
      <w:r>
        <w:rPr>
          <w:sz w:val="24"/>
        </w:rPr>
        <w:t xml:space="preserve">Accounts should be in compliance with the Electricity Act, 2003 and the various directions given under the Act and the subordinate legislations. These should be audited by a Chartered Accountant appointed by the Commission and the Annual Reports should be </w:t>
      </w:r>
      <w:r>
        <w:rPr>
          <w:sz w:val="24"/>
        </w:rPr>
        <w:t>posted on the websites of the Commission and TANGEDCO. The Commission may also mandate a reconciliation of the Regulatory Accounts and the other Statutory</w:t>
      </w:r>
      <w:r>
        <w:rPr>
          <w:spacing w:val="-13"/>
          <w:sz w:val="24"/>
        </w:rPr>
        <w:t xml:space="preserve"> </w:t>
      </w:r>
      <w:r>
        <w:rPr>
          <w:sz w:val="24"/>
        </w:rPr>
        <w:t>Accounts.</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2"/>
          <w:numId w:val="114"/>
        </w:numPr>
        <w:tabs>
          <w:tab w:val="left" w:pos="1073"/>
        </w:tabs>
        <w:spacing w:before="70" w:line="312" w:lineRule="auto"/>
        <w:ind w:right="214" w:hanging="852"/>
        <w:jc w:val="both"/>
        <w:rPr>
          <w:sz w:val="24"/>
        </w:rPr>
      </w:pPr>
      <w:r>
        <w:rPr>
          <w:sz w:val="24"/>
        </w:rPr>
        <w:lastRenderedPageBreak/>
        <w:t>The following directives of the Commission in the Tariff Order for FY 2012-13 are yet to be complied with:</w:t>
      </w:r>
    </w:p>
    <w:p w:rsidR="007C5447" w:rsidRDefault="007C5447">
      <w:pPr>
        <w:pStyle w:val="BodyText"/>
        <w:rPr>
          <w:sz w:val="21"/>
        </w:rPr>
      </w:pPr>
    </w:p>
    <w:p w:rsidR="007C5447" w:rsidRDefault="00F6308C">
      <w:pPr>
        <w:pStyle w:val="ListParagraph"/>
        <w:numPr>
          <w:ilvl w:val="0"/>
          <w:numId w:val="104"/>
        </w:numPr>
        <w:tabs>
          <w:tab w:val="left" w:pos="1661"/>
        </w:tabs>
        <w:spacing w:line="304" w:lineRule="auto"/>
        <w:ind w:right="224" w:hanging="360"/>
        <w:jc w:val="left"/>
        <w:rPr>
          <w:sz w:val="24"/>
        </w:rPr>
      </w:pPr>
      <w:r>
        <w:rPr>
          <w:sz w:val="24"/>
        </w:rPr>
        <w:t>Complete exercise for accurate measurement of T&amp;D loss and</w:t>
      </w:r>
      <w:r>
        <w:rPr>
          <w:spacing w:val="35"/>
          <w:sz w:val="24"/>
        </w:rPr>
        <w:t xml:space="preserve"> </w:t>
      </w:r>
      <w:r>
        <w:rPr>
          <w:sz w:val="24"/>
        </w:rPr>
        <w:t>unmetered agricultural</w:t>
      </w:r>
      <w:r>
        <w:rPr>
          <w:spacing w:val="-1"/>
          <w:sz w:val="24"/>
        </w:rPr>
        <w:t xml:space="preserve"> </w:t>
      </w:r>
      <w:r>
        <w:rPr>
          <w:sz w:val="24"/>
        </w:rPr>
        <w:t>consumption.</w:t>
      </w:r>
    </w:p>
    <w:p w:rsidR="007C5447" w:rsidRDefault="007C5447">
      <w:pPr>
        <w:pStyle w:val="BodyText"/>
        <w:spacing w:before="9"/>
        <w:rPr>
          <w:sz w:val="21"/>
        </w:rPr>
      </w:pPr>
    </w:p>
    <w:p w:rsidR="007C5447" w:rsidRDefault="00F6308C">
      <w:pPr>
        <w:pStyle w:val="ListParagraph"/>
        <w:numPr>
          <w:ilvl w:val="0"/>
          <w:numId w:val="104"/>
        </w:numPr>
        <w:tabs>
          <w:tab w:val="left" w:pos="1661"/>
        </w:tabs>
        <w:spacing w:line="304" w:lineRule="auto"/>
        <w:ind w:right="223" w:hanging="360"/>
        <w:jc w:val="left"/>
        <w:rPr>
          <w:sz w:val="24"/>
        </w:rPr>
      </w:pPr>
      <w:r>
        <w:rPr>
          <w:sz w:val="24"/>
        </w:rPr>
        <w:t>Submission of data on ToD consumption along with the subsequent Tariff Application for all consumers where ToD meters have been</w:t>
      </w:r>
      <w:r>
        <w:rPr>
          <w:spacing w:val="-6"/>
          <w:sz w:val="24"/>
        </w:rPr>
        <w:t xml:space="preserve"> </w:t>
      </w:r>
      <w:r>
        <w:rPr>
          <w:sz w:val="24"/>
        </w:rPr>
        <w:t>installed.</w:t>
      </w:r>
    </w:p>
    <w:p w:rsidR="007C5447" w:rsidRDefault="007C5447">
      <w:pPr>
        <w:pStyle w:val="BodyText"/>
        <w:spacing w:before="10"/>
        <w:rPr>
          <w:sz w:val="21"/>
        </w:rPr>
      </w:pPr>
    </w:p>
    <w:p w:rsidR="007C5447" w:rsidRDefault="00F6308C">
      <w:pPr>
        <w:pStyle w:val="ListParagraph"/>
        <w:numPr>
          <w:ilvl w:val="0"/>
          <w:numId w:val="104"/>
        </w:numPr>
        <w:tabs>
          <w:tab w:val="left" w:pos="1661"/>
        </w:tabs>
        <w:spacing w:line="304" w:lineRule="auto"/>
        <w:ind w:right="217" w:hanging="360"/>
        <w:jc w:val="left"/>
        <w:rPr>
          <w:sz w:val="24"/>
        </w:rPr>
      </w:pPr>
      <w:r>
        <w:rPr>
          <w:sz w:val="24"/>
        </w:rPr>
        <w:t>Provision of meters for all new hut connections and phase-wise plan for conversion of unmetered hut</w:t>
      </w:r>
      <w:r>
        <w:rPr>
          <w:spacing w:val="1"/>
          <w:sz w:val="24"/>
        </w:rPr>
        <w:t xml:space="preserve"> </w:t>
      </w:r>
      <w:r>
        <w:rPr>
          <w:sz w:val="24"/>
        </w:rPr>
        <w:t>connections.</w:t>
      </w:r>
    </w:p>
    <w:p w:rsidR="007C5447" w:rsidRDefault="007C5447">
      <w:pPr>
        <w:pStyle w:val="BodyText"/>
        <w:spacing w:before="7"/>
        <w:rPr>
          <w:sz w:val="21"/>
        </w:rPr>
      </w:pPr>
    </w:p>
    <w:p w:rsidR="007C5447" w:rsidRDefault="00F6308C">
      <w:pPr>
        <w:pStyle w:val="ListParagraph"/>
        <w:numPr>
          <w:ilvl w:val="2"/>
          <w:numId w:val="114"/>
        </w:numPr>
        <w:tabs>
          <w:tab w:val="left" w:pos="1073"/>
        </w:tabs>
        <w:spacing w:line="312" w:lineRule="auto"/>
        <w:ind w:right="214" w:hanging="852"/>
        <w:jc w:val="both"/>
        <w:rPr>
          <w:sz w:val="24"/>
        </w:rPr>
      </w:pPr>
      <w:r>
        <w:rPr>
          <w:sz w:val="24"/>
        </w:rPr>
        <w:t>TA</w:t>
      </w:r>
      <w:r>
        <w:rPr>
          <w:sz w:val="24"/>
        </w:rPr>
        <w:t>NGEDCO should incorporate statistics pertaining to Distribution Standards of Performance (DSOP) in the Tariff Petition submitted to the Commission. This will highlight the level of efficiency of the Utility in responding to consumer complaints and</w:t>
      </w:r>
      <w:r>
        <w:rPr>
          <w:spacing w:val="-1"/>
          <w:sz w:val="24"/>
        </w:rPr>
        <w:t xml:space="preserve"> </w:t>
      </w:r>
      <w:r>
        <w:rPr>
          <w:sz w:val="24"/>
        </w:rPr>
        <w:t>redressa</w:t>
      </w:r>
      <w:r>
        <w:rPr>
          <w:sz w:val="24"/>
        </w:rPr>
        <w:t>l.</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TANGEDCO should incorporate statistics pertaining to Consumer Grievance Redressal Forum (CGRF) in the Tariff Petition submitted to the Commission. This will help understand the grievances of consumers and the kind of action that has been taken to allev</w:t>
      </w:r>
      <w:r>
        <w:rPr>
          <w:sz w:val="24"/>
        </w:rPr>
        <w:t>iate the pain and suffering of consumers. Further, Court Judgments should be tabulated and classified to understand how TANGEDCO is protecting consumer interest, by listing the number of decisions and type of cases decided in favour of the consumer and the</w:t>
      </w:r>
      <w:r>
        <w:rPr>
          <w:sz w:val="24"/>
        </w:rPr>
        <w:t xml:space="preserve"> Utility separately for each distribution circle.</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20" w:hanging="852"/>
        <w:jc w:val="both"/>
        <w:rPr>
          <w:sz w:val="24"/>
        </w:rPr>
      </w:pPr>
      <w:r>
        <w:rPr>
          <w:sz w:val="24"/>
        </w:rPr>
        <w:t>Information on steps taken by TANGEDCO to prevent damages and maintain machineries of Generating Stations should be provided in the Tariff</w:t>
      </w:r>
      <w:r>
        <w:rPr>
          <w:spacing w:val="-7"/>
          <w:sz w:val="24"/>
        </w:rPr>
        <w:t xml:space="preserve"> </w:t>
      </w:r>
      <w:r>
        <w:rPr>
          <w:sz w:val="24"/>
        </w:rPr>
        <w:t>Petition.</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7" w:hanging="852"/>
        <w:jc w:val="both"/>
        <w:rPr>
          <w:sz w:val="24"/>
        </w:rPr>
      </w:pPr>
      <w:r>
        <w:rPr>
          <w:sz w:val="24"/>
        </w:rPr>
        <w:t>A Status Paper should be published by the Commission on the ARR Petition filed by TANGEDCO.</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2" w:hanging="852"/>
        <w:jc w:val="both"/>
        <w:rPr>
          <w:sz w:val="24"/>
        </w:rPr>
      </w:pPr>
      <w:r>
        <w:rPr>
          <w:sz w:val="24"/>
        </w:rPr>
        <w:t>The Transmiss</w:t>
      </w:r>
      <w:r>
        <w:rPr>
          <w:sz w:val="24"/>
        </w:rPr>
        <w:t>ion Charges considered in the ARR Petition for FY 2016-17 to 2018- 19 by considering escalation of 5% on the Transmission Charges levied for FY 2015-16 should not be accepted by the Commission, as the Transmission Charges levied and collected by TANGEDCO a</w:t>
      </w:r>
      <w:r>
        <w:rPr>
          <w:sz w:val="24"/>
        </w:rPr>
        <w:t>re on the higher side when compared to Transmission Charges levied by other Distribution Licensees in the</w:t>
      </w:r>
      <w:r>
        <w:rPr>
          <w:spacing w:val="-9"/>
          <w:sz w:val="24"/>
        </w:rPr>
        <w:t xml:space="preserve"> </w:t>
      </w:r>
      <w:r>
        <w:rPr>
          <w:sz w:val="24"/>
        </w:rPr>
        <w:t>country.</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Heading2"/>
        <w:spacing w:before="70"/>
      </w:pPr>
      <w:r>
        <w:lastRenderedPageBreak/>
        <w:t>TANGEDCO’s Reply</w:t>
      </w:r>
    </w:p>
    <w:p w:rsidR="007C5447" w:rsidRDefault="00F6308C">
      <w:pPr>
        <w:pStyle w:val="ListParagraph"/>
        <w:numPr>
          <w:ilvl w:val="2"/>
          <w:numId w:val="114"/>
        </w:numPr>
        <w:tabs>
          <w:tab w:val="left" w:pos="1073"/>
        </w:tabs>
        <w:spacing w:before="201" w:line="312" w:lineRule="auto"/>
        <w:ind w:right="214" w:hanging="852"/>
        <w:jc w:val="both"/>
        <w:rPr>
          <w:sz w:val="24"/>
        </w:rPr>
      </w:pPr>
      <w:r>
        <w:rPr>
          <w:sz w:val="24"/>
        </w:rPr>
        <w:t>TANGEDCO submitted that the Commission issued Suo-Motu Tariff Order on December 11, 2014, and stipulated a</w:t>
      </w:r>
      <w:r>
        <w:rPr>
          <w:sz w:val="24"/>
        </w:rPr>
        <w:t>s under regarding the applicability of the Tariff Order:</w:t>
      </w:r>
    </w:p>
    <w:p w:rsidR="007C5447" w:rsidRDefault="007C5447">
      <w:pPr>
        <w:pStyle w:val="BodyText"/>
        <w:rPr>
          <w:sz w:val="21"/>
        </w:rPr>
      </w:pPr>
    </w:p>
    <w:p w:rsidR="007C5447" w:rsidRDefault="00F6308C">
      <w:pPr>
        <w:ind w:left="1660" w:right="943"/>
        <w:jc w:val="both"/>
        <w:rPr>
          <w:i/>
          <w:sz w:val="24"/>
        </w:rPr>
      </w:pPr>
      <w:r>
        <w:rPr>
          <w:i/>
          <w:sz w:val="24"/>
        </w:rPr>
        <w:t>“1.38 This order will come into effect from 12th December 2014. The Generation and Retail Tariff contained in this order will be valid until issue of next order”.</w:t>
      </w:r>
    </w:p>
    <w:p w:rsidR="007C5447" w:rsidRDefault="00F6308C">
      <w:pPr>
        <w:pStyle w:val="ListParagraph"/>
        <w:numPr>
          <w:ilvl w:val="2"/>
          <w:numId w:val="114"/>
        </w:numPr>
        <w:tabs>
          <w:tab w:val="left" w:pos="1073"/>
        </w:tabs>
        <w:spacing w:before="120" w:line="312" w:lineRule="auto"/>
        <w:ind w:right="218" w:hanging="852"/>
        <w:jc w:val="both"/>
        <w:rPr>
          <w:sz w:val="24"/>
        </w:rPr>
      </w:pPr>
      <w:r>
        <w:rPr>
          <w:sz w:val="24"/>
        </w:rPr>
        <w:t>TANGEDCO further submitted that ARR for FY 2017-18 should have been filed before November 30, 2016. Since the Government of Tamilnadu (GoTN) decided to join</w:t>
      </w:r>
      <w:r>
        <w:rPr>
          <w:spacing w:val="39"/>
          <w:sz w:val="24"/>
        </w:rPr>
        <w:t xml:space="preserve"> </w:t>
      </w:r>
      <w:r>
        <w:rPr>
          <w:sz w:val="24"/>
        </w:rPr>
        <w:t>the</w:t>
      </w:r>
      <w:r>
        <w:rPr>
          <w:spacing w:val="39"/>
          <w:sz w:val="24"/>
        </w:rPr>
        <w:t xml:space="preserve"> </w:t>
      </w:r>
      <w:r>
        <w:rPr>
          <w:sz w:val="24"/>
        </w:rPr>
        <w:t>UDAY</w:t>
      </w:r>
      <w:r>
        <w:rPr>
          <w:spacing w:val="41"/>
          <w:sz w:val="24"/>
        </w:rPr>
        <w:t xml:space="preserve"> </w:t>
      </w:r>
      <w:r>
        <w:rPr>
          <w:sz w:val="24"/>
        </w:rPr>
        <w:t>scheme,</w:t>
      </w:r>
      <w:r>
        <w:rPr>
          <w:spacing w:val="41"/>
          <w:sz w:val="24"/>
        </w:rPr>
        <w:t xml:space="preserve"> </w:t>
      </w:r>
      <w:r>
        <w:rPr>
          <w:sz w:val="24"/>
        </w:rPr>
        <w:t>TANGEDCO</w:t>
      </w:r>
      <w:r>
        <w:rPr>
          <w:spacing w:val="42"/>
          <w:sz w:val="24"/>
        </w:rPr>
        <w:t xml:space="preserve"> </w:t>
      </w:r>
      <w:r>
        <w:rPr>
          <w:sz w:val="24"/>
        </w:rPr>
        <w:t>filed</w:t>
      </w:r>
      <w:r>
        <w:rPr>
          <w:spacing w:val="41"/>
          <w:sz w:val="24"/>
        </w:rPr>
        <w:t xml:space="preserve"> </w:t>
      </w:r>
      <w:r>
        <w:rPr>
          <w:sz w:val="24"/>
        </w:rPr>
        <w:t>a</w:t>
      </w:r>
      <w:r>
        <w:rPr>
          <w:spacing w:val="38"/>
          <w:sz w:val="24"/>
        </w:rPr>
        <w:t xml:space="preserve"> </w:t>
      </w:r>
      <w:r>
        <w:rPr>
          <w:sz w:val="24"/>
        </w:rPr>
        <w:t>Petition</w:t>
      </w:r>
      <w:r>
        <w:rPr>
          <w:spacing w:val="40"/>
          <w:sz w:val="24"/>
        </w:rPr>
        <w:t xml:space="preserve"> </w:t>
      </w:r>
      <w:r>
        <w:rPr>
          <w:sz w:val="24"/>
        </w:rPr>
        <w:t>before</w:t>
      </w:r>
      <w:r>
        <w:rPr>
          <w:spacing w:val="40"/>
          <w:sz w:val="24"/>
        </w:rPr>
        <w:t xml:space="preserve"> </w:t>
      </w:r>
      <w:r>
        <w:rPr>
          <w:sz w:val="24"/>
        </w:rPr>
        <w:t>the</w:t>
      </w:r>
      <w:r>
        <w:rPr>
          <w:spacing w:val="40"/>
          <w:sz w:val="24"/>
        </w:rPr>
        <w:t xml:space="preserve"> </w:t>
      </w:r>
      <w:r>
        <w:rPr>
          <w:sz w:val="24"/>
        </w:rPr>
        <w:t>Commission</w:t>
      </w:r>
      <w:r>
        <w:rPr>
          <w:spacing w:val="39"/>
          <w:sz w:val="24"/>
        </w:rPr>
        <w:t xml:space="preserve"> </w:t>
      </w:r>
      <w:r>
        <w:rPr>
          <w:sz w:val="24"/>
        </w:rPr>
        <w:t>in</w:t>
      </w:r>
    </w:p>
    <w:p w:rsidR="007C5447" w:rsidRDefault="00F6308C">
      <w:pPr>
        <w:pStyle w:val="BodyText"/>
        <w:spacing w:line="312" w:lineRule="auto"/>
        <w:ind w:left="1072" w:right="217"/>
        <w:jc w:val="both"/>
      </w:pPr>
      <w:r>
        <w:t>M.P No. 31 of 2016 seeking time</w:t>
      </w:r>
      <w:r>
        <w:t xml:space="preserve"> extension upto January 31, 2017, as the participation in UDAY will have direct impact on the profitability of TANGEDCO. The Commission granted the request of TANGEDCO. The MoU under UDAY scheme was entered into between the GoI, GoTN and TANGEDCO on Januar</w:t>
      </w:r>
      <w:r>
        <w:t>y 9, 2017. Taking into account the consequent financial impact, the Petition was filed before the Commission on January 27, 2017 and admitted on January 31, 2017.</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As regards the query on mismatch of accounts and the Petition data, TANGEDCO submitted that the True-up Petition is a reconciliation of accounts in line with the provisions contained in the TNERC Tariff Regulations, 2005. RoE and Interest on Working Capita</w:t>
      </w:r>
      <w:r>
        <w:rPr>
          <w:sz w:val="24"/>
        </w:rPr>
        <w:t>l are claimed in the Petition on normative basis and hence,</w:t>
      </w:r>
      <w:r>
        <w:rPr>
          <w:spacing w:val="-13"/>
          <w:sz w:val="24"/>
        </w:rPr>
        <w:t xml:space="preserve"> </w:t>
      </w:r>
      <w:r>
        <w:rPr>
          <w:sz w:val="24"/>
        </w:rPr>
        <w:t>difference arises between the Accounts and</w:t>
      </w:r>
      <w:r>
        <w:rPr>
          <w:spacing w:val="-1"/>
          <w:sz w:val="24"/>
        </w:rPr>
        <w:t xml:space="preserve"> </w:t>
      </w:r>
      <w:r>
        <w:rPr>
          <w:sz w:val="24"/>
        </w:rPr>
        <w:t>Petition.</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4" w:hanging="852"/>
        <w:jc w:val="both"/>
        <w:rPr>
          <w:sz w:val="24"/>
        </w:rPr>
      </w:pPr>
      <w:r>
        <w:rPr>
          <w:sz w:val="24"/>
        </w:rPr>
        <w:t>TANGEDCO submitted that it has furnished actual accounts data for true-up from FY 2011-12 to FY 2015-16 from the Annual Audited Accounts. Afte</w:t>
      </w:r>
      <w:r>
        <w:rPr>
          <w:sz w:val="24"/>
        </w:rPr>
        <w:t>r true-up of Accounts, surplus available if any, will be adjusted against ARR after recovering the Regulatory</w:t>
      </w:r>
      <w:r>
        <w:rPr>
          <w:spacing w:val="-4"/>
          <w:sz w:val="24"/>
        </w:rPr>
        <w:t xml:space="preserve"> </w:t>
      </w:r>
      <w:r>
        <w:rPr>
          <w:sz w:val="24"/>
        </w:rPr>
        <w:t>Assets.</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The Petitioner also submitted that the details required for prudence check have been furnished before the Commission. Further in para 9.1</w:t>
      </w:r>
      <w:r>
        <w:rPr>
          <w:sz w:val="24"/>
        </w:rPr>
        <w:t>.10 of the Petition, TANGEDCO prayed before the Commission for addition and alteration to this Petition as may be necessary from time to time. Accordingly, TANGEDCO is ready to furnish necessary details to issue Order on this</w:t>
      </w:r>
      <w:r>
        <w:rPr>
          <w:spacing w:val="-7"/>
          <w:sz w:val="24"/>
        </w:rPr>
        <w:t xml:space="preserve"> </w:t>
      </w:r>
      <w:r>
        <w:rPr>
          <w:sz w:val="24"/>
        </w:rPr>
        <w:t>Petition.</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7" w:hanging="852"/>
        <w:jc w:val="both"/>
        <w:rPr>
          <w:sz w:val="24"/>
        </w:rPr>
      </w:pPr>
      <w:r>
        <w:rPr>
          <w:sz w:val="24"/>
        </w:rPr>
        <w:t>As regards the Comm</w:t>
      </w:r>
      <w:r>
        <w:rPr>
          <w:sz w:val="24"/>
        </w:rPr>
        <w:t>ission’s directive in its Tariff Order dated June 20, 2013 to maintain Regulatory Accounts, TANGEDCO submitted that the directive was</w:t>
      </w:r>
      <w:r>
        <w:rPr>
          <w:spacing w:val="18"/>
          <w:sz w:val="24"/>
        </w:rPr>
        <w:t xml:space="preserve"> </w:t>
      </w:r>
      <w:r>
        <w:rPr>
          <w:sz w:val="24"/>
        </w:rPr>
        <w:t>issued</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16"/>
        <w:jc w:val="both"/>
      </w:pPr>
      <w:r>
        <w:lastRenderedPageBreak/>
        <w:t>by the Commission in light of the development at Forum of Regulators (FoR) on Standardization of Regulatory Accounts. FoR had issued the Final Report on the same in October 2012. The intent of having standardization of accounts was to take care of regulato</w:t>
      </w:r>
      <w:r>
        <w:t xml:space="preserve">ry provisions specified by State Electricity Regulatory Commissions (SERCs). The Report envisaged preparation of Balance Sheet and Profit &amp; Loss Account considering norms specified by SERC in Tariff Regulations and approvals as per Tariff Order. For e.g., </w:t>
      </w:r>
      <w:r>
        <w:t>in normal accounting practice, the audited accounts would not have Normative Loan balance appearing on Liability side or Interest on Normative Working Capital appearing in P&amp;L side. The intent was to have separate set of accounts for Regulatory purposes so</w:t>
      </w:r>
      <w:r>
        <w:t xml:space="preserve"> that stakeholders have better clarity on regulatory approvals.</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4" w:hanging="852"/>
        <w:jc w:val="both"/>
        <w:rPr>
          <w:sz w:val="24"/>
        </w:rPr>
      </w:pPr>
      <w:r>
        <w:rPr>
          <w:sz w:val="24"/>
        </w:rPr>
        <w:t xml:space="preserve">Clause 5.1 – Reporting System of the Report stipulates that this Reporting System shall come into force from the date of publication in Official Gazette, which is pending till date. TANGEDCO </w:t>
      </w:r>
      <w:r>
        <w:rPr>
          <w:sz w:val="24"/>
        </w:rPr>
        <w:t>submitted that none of the Utilities have so far implemented this new Reporting System of Regulatory Accounts and believes that the present Accounting System (under Indian Companies Act, 1956 and Income Tax Act, 1961) for the purpose of Truing-up is adequa</w:t>
      </w:r>
      <w:r>
        <w:rPr>
          <w:sz w:val="24"/>
        </w:rPr>
        <w:t>te to take care of necessary compliances as per applicable provisions of TNERC Tariff Regulations, 2005. The Commission approves expenses under Truing-up process considering regulatory norms and approvals in Annual Performance Review based on the Audited A</w:t>
      </w:r>
      <w:r>
        <w:rPr>
          <w:sz w:val="24"/>
        </w:rPr>
        <w:t>ccounts. TANGEDCO further submitted that as and when such Reporting System is notified, it would comply with the same in the true</w:t>
      </w:r>
      <w:r>
        <w:rPr>
          <w:spacing w:val="-8"/>
          <w:sz w:val="24"/>
        </w:rPr>
        <w:t xml:space="preserve"> </w:t>
      </w:r>
      <w:r>
        <w:rPr>
          <w:sz w:val="24"/>
        </w:rPr>
        <w:t>spirit.</w:t>
      </w:r>
    </w:p>
    <w:p w:rsidR="007C5447" w:rsidRDefault="007C5447">
      <w:pPr>
        <w:pStyle w:val="BodyText"/>
        <w:spacing w:before="1"/>
        <w:rPr>
          <w:sz w:val="21"/>
        </w:rPr>
      </w:pPr>
    </w:p>
    <w:p w:rsidR="007C5447" w:rsidRDefault="00F6308C">
      <w:pPr>
        <w:pStyle w:val="ListParagraph"/>
        <w:numPr>
          <w:ilvl w:val="2"/>
          <w:numId w:val="114"/>
        </w:numPr>
        <w:tabs>
          <w:tab w:val="left" w:pos="1073"/>
        </w:tabs>
        <w:spacing w:line="312" w:lineRule="auto"/>
        <w:ind w:right="217" w:hanging="852"/>
        <w:jc w:val="both"/>
        <w:rPr>
          <w:sz w:val="24"/>
        </w:rPr>
      </w:pPr>
      <w:r>
        <w:rPr>
          <w:sz w:val="24"/>
        </w:rPr>
        <w:t>The Petitioner also submitted that the Audited Accounts are available in website of TANGEDCO.</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3" w:hanging="852"/>
        <w:jc w:val="both"/>
        <w:rPr>
          <w:sz w:val="24"/>
        </w:rPr>
      </w:pPr>
      <w:r>
        <w:rPr>
          <w:sz w:val="24"/>
        </w:rPr>
        <w:t>TANGEDCO submitted tha</w:t>
      </w:r>
      <w:r>
        <w:rPr>
          <w:sz w:val="24"/>
        </w:rPr>
        <w:t>t it has filed the Petition before the Commission</w:t>
      </w:r>
      <w:r>
        <w:rPr>
          <w:spacing w:val="35"/>
          <w:sz w:val="24"/>
        </w:rPr>
        <w:t xml:space="preserve"> </w:t>
      </w:r>
      <w:r>
        <w:rPr>
          <w:sz w:val="24"/>
        </w:rPr>
        <w:t xml:space="preserve">in accordance with the provisions contained in TNERC Tariff Regulations, 2005 and submitted relevant details for adjustment of subsidy. </w:t>
      </w:r>
      <w:r>
        <w:rPr>
          <w:spacing w:val="-3"/>
          <w:sz w:val="24"/>
        </w:rPr>
        <w:t xml:space="preserve">It </w:t>
      </w:r>
      <w:r>
        <w:rPr>
          <w:sz w:val="24"/>
        </w:rPr>
        <w:t>has also submitted in the Petition that further information require</w:t>
      </w:r>
      <w:r>
        <w:rPr>
          <w:sz w:val="24"/>
        </w:rPr>
        <w:t>d will be submitted to the Commission to dispose of the Petition and pass Orders and that the Commission will pass relevant Orders after prudence check of information furnished by</w:t>
      </w:r>
      <w:r>
        <w:rPr>
          <w:spacing w:val="-7"/>
          <w:sz w:val="24"/>
        </w:rPr>
        <w:t xml:space="preserve"> </w:t>
      </w:r>
      <w:r>
        <w:rPr>
          <w:sz w:val="24"/>
        </w:rPr>
        <w:t>TANGEDCO.</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Heading2"/>
        <w:spacing w:before="70"/>
      </w:pPr>
      <w:r>
        <w:lastRenderedPageBreak/>
        <w:t>Commission’s View</w:t>
      </w:r>
    </w:p>
    <w:p w:rsidR="007C5447" w:rsidRDefault="00F6308C">
      <w:pPr>
        <w:pStyle w:val="ListParagraph"/>
        <w:numPr>
          <w:ilvl w:val="2"/>
          <w:numId w:val="114"/>
        </w:numPr>
        <w:tabs>
          <w:tab w:val="left" w:pos="1073"/>
        </w:tabs>
        <w:spacing w:before="201" w:line="312" w:lineRule="auto"/>
        <w:ind w:right="222" w:hanging="852"/>
        <w:jc w:val="both"/>
        <w:rPr>
          <w:sz w:val="24"/>
        </w:rPr>
      </w:pPr>
      <w:r>
        <w:rPr>
          <w:sz w:val="24"/>
        </w:rPr>
        <w:t>As regards the delay in filing</w:t>
      </w:r>
      <w:r>
        <w:rPr>
          <w:sz w:val="24"/>
        </w:rPr>
        <w:t xml:space="preserve"> the Petition, TANGEDCO had filed a Petition before the Commission in M.P. 31 of 2016, seeking time extension for Tariff Petition filing upto January 31, 2017, which was granted by the</w:t>
      </w:r>
      <w:r>
        <w:rPr>
          <w:spacing w:val="-8"/>
          <w:sz w:val="24"/>
        </w:rPr>
        <w:t xml:space="preserve"> </w:t>
      </w:r>
      <w:r>
        <w:rPr>
          <w:sz w:val="24"/>
        </w:rPr>
        <w:t>Commission.</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Sufficient time has been provided, as the last date for submission of written comments and suggestions was extended to March 31, 2017. The Commission has held the Public Hearing at three locations in the State, as per regular practice, and has considered a</w:t>
      </w:r>
      <w:r>
        <w:rPr>
          <w:sz w:val="24"/>
        </w:rPr>
        <w:t>ll the comments and suggestions received in writing as well as orally during the Public Hearing, while analysing TANGEDCO’s Petition and issuing this Tariff</w:t>
      </w:r>
      <w:r>
        <w:rPr>
          <w:spacing w:val="-3"/>
          <w:sz w:val="24"/>
        </w:rPr>
        <w:t xml:space="preserve"> </w:t>
      </w:r>
      <w:r>
        <w:rPr>
          <w:sz w:val="24"/>
        </w:rPr>
        <w:t>Order.</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4" w:hanging="852"/>
        <w:jc w:val="both"/>
        <w:rPr>
          <w:sz w:val="24"/>
        </w:rPr>
      </w:pPr>
      <w:r>
        <w:rPr>
          <w:sz w:val="24"/>
        </w:rPr>
        <w:t>The true-up for the period from FY 2011-12 to FY 2015-16 has been done based on the duly Au</w:t>
      </w:r>
      <w:r>
        <w:rPr>
          <w:sz w:val="24"/>
        </w:rPr>
        <w:t>dited Accounts submitted by TANGEDCO. For true-up, the Commission has considered the applicability of the TNERC Tariff Regulations, 2005 and done prudence check on the expenses and revenue available from the Audited Accounts of TANGEDCO.</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The fresh directi</w:t>
      </w:r>
      <w:r>
        <w:rPr>
          <w:sz w:val="24"/>
        </w:rPr>
        <w:t>ves deemed necessary by the Commission for improving the operational efficiency of TANGEDCO are given in Chapter 7 of this</w:t>
      </w:r>
      <w:r>
        <w:rPr>
          <w:spacing w:val="-5"/>
          <w:sz w:val="24"/>
        </w:rPr>
        <w:t xml:space="preserve"> </w:t>
      </w:r>
      <w:r>
        <w:rPr>
          <w:sz w:val="24"/>
        </w:rPr>
        <w:t>Order.</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It is clarified that the Transmission Charges are based on the approved ARR of TANTRANSCO, and TANGEDCO’s share of TANTRANSCO</w:t>
      </w:r>
      <w:r>
        <w:rPr>
          <w:sz w:val="24"/>
        </w:rPr>
        <w:t>’s ARR is based on its allocated Transmission Capacity, and has been considered accordingly in the approved ARR of</w:t>
      </w:r>
      <w:r>
        <w:rPr>
          <w:spacing w:val="-1"/>
          <w:sz w:val="24"/>
        </w:rPr>
        <w:t xml:space="preserve"> </w:t>
      </w:r>
      <w:r>
        <w:rPr>
          <w:sz w:val="24"/>
        </w:rPr>
        <w:t>TANGEDCO.</w:t>
      </w:r>
    </w:p>
    <w:p w:rsidR="007C5447" w:rsidRDefault="007C5447">
      <w:pPr>
        <w:pStyle w:val="BodyText"/>
        <w:spacing w:before="10"/>
        <w:rPr>
          <w:sz w:val="20"/>
        </w:rPr>
      </w:pPr>
    </w:p>
    <w:p w:rsidR="007C5447" w:rsidRDefault="00F6308C">
      <w:pPr>
        <w:pStyle w:val="Heading2"/>
        <w:numPr>
          <w:ilvl w:val="1"/>
          <w:numId w:val="114"/>
        </w:numPr>
        <w:tabs>
          <w:tab w:val="left" w:pos="786"/>
          <w:tab w:val="left" w:pos="787"/>
        </w:tabs>
        <w:ind w:left="786"/>
      </w:pPr>
      <w:bookmarkStart w:id="14" w:name="_bookmark14"/>
      <w:bookmarkEnd w:id="14"/>
      <w:r>
        <w:t>Tariff Determination and Truing Up</w:t>
      </w:r>
    </w:p>
    <w:p w:rsidR="007C5447" w:rsidRDefault="007C5447">
      <w:pPr>
        <w:pStyle w:val="BodyText"/>
        <w:spacing w:before="3"/>
        <w:rPr>
          <w:b/>
          <w:sz w:val="28"/>
        </w:rPr>
      </w:pPr>
    </w:p>
    <w:p w:rsidR="007C5447" w:rsidRDefault="00F6308C">
      <w:pPr>
        <w:ind w:left="1072"/>
        <w:rPr>
          <w:b/>
          <w:sz w:val="24"/>
        </w:rPr>
      </w:pPr>
      <w:r>
        <w:rPr>
          <w:b/>
          <w:sz w:val="24"/>
        </w:rPr>
        <w:t>Stakeholder Comments</w:t>
      </w:r>
    </w:p>
    <w:p w:rsidR="007C5447" w:rsidRDefault="00F6308C">
      <w:pPr>
        <w:pStyle w:val="ListParagraph"/>
        <w:numPr>
          <w:ilvl w:val="2"/>
          <w:numId w:val="114"/>
        </w:numPr>
        <w:tabs>
          <w:tab w:val="left" w:pos="1073"/>
        </w:tabs>
        <w:spacing w:before="202" w:line="312" w:lineRule="auto"/>
        <w:ind w:right="214" w:hanging="852"/>
        <w:jc w:val="both"/>
        <w:rPr>
          <w:sz w:val="24"/>
        </w:rPr>
      </w:pPr>
      <w:r>
        <w:rPr>
          <w:sz w:val="24"/>
        </w:rPr>
        <w:t>Though TANGEDCO has not proposed any tariff hike for FY 2017-18, it should have proposed tariff reduction as it has saved a lot of expenses over the previous few years. The cost of imported coal and oil has fallen by around 40% and 50%, respectively, since</w:t>
      </w:r>
      <w:r>
        <w:rPr>
          <w:sz w:val="24"/>
        </w:rPr>
        <w:t xml:space="preserve"> 2012. In addition, the commissioning of new plants in the State has led to purchase of cheaper power from own generation rather than power purchase from costly Independent Power Producers (IPP’s). TANGEDCO has shown reduction in expenditure of Rs. 7000 Cr</w:t>
      </w:r>
      <w:r>
        <w:rPr>
          <w:sz w:val="24"/>
        </w:rPr>
        <w:t>ore for FY 2015-16 alone in the Petition.</w:t>
      </w:r>
      <w:r>
        <w:rPr>
          <w:spacing w:val="20"/>
          <w:sz w:val="24"/>
        </w:rPr>
        <w:t xml:space="preserve"> </w:t>
      </w:r>
      <w:r>
        <w:rPr>
          <w:sz w:val="24"/>
        </w:rPr>
        <w:t>Under</w:t>
      </w:r>
      <w:r>
        <w:rPr>
          <w:spacing w:val="20"/>
          <w:sz w:val="24"/>
        </w:rPr>
        <w:t xml:space="preserve"> </w:t>
      </w:r>
      <w:r>
        <w:rPr>
          <w:sz w:val="24"/>
        </w:rPr>
        <w:t>this</w:t>
      </w:r>
      <w:r>
        <w:rPr>
          <w:spacing w:val="19"/>
          <w:sz w:val="24"/>
        </w:rPr>
        <w:t xml:space="preserve"> </w:t>
      </w:r>
      <w:r>
        <w:rPr>
          <w:sz w:val="24"/>
        </w:rPr>
        <w:t>situation,</w:t>
      </w:r>
      <w:r>
        <w:rPr>
          <w:spacing w:val="20"/>
          <w:sz w:val="24"/>
        </w:rPr>
        <w:t xml:space="preserve"> </w:t>
      </w:r>
      <w:r>
        <w:rPr>
          <w:sz w:val="24"/>
        </w:rPr>
        <w:t>there</w:t>
      </w:r>
      <w:r>
        <w:rPr>
          <w:spacing w:val="20"/>
          <w:sz w:val="24"/>
        </w:rPr>
        <w:t xml:space="preserve"> </w:t>
      </w:r>
      <w:r>
        <w:rPr>
          <w:sz w:val="24"/>
        </w:rPr>
        <w:t>should</w:t>
      </w:r>
      <w:r>
        <w:rPr>
          <w:spacing w:val="21"/>
          <w:sz w:val="24"/>
        </w:rPr>
        <w:t xml:space="preserve"> </w:t>
      </w:r>
      <w:r>
        <w:rPr>
          <w:sz w:val="24"/>
        </w:rPr>
        <w:t>be</w:t>
      </w:r>
      <w:r>
        <w:rPr>
          <w:spacing w:val="19"/>
          <w:sz w:val="24"/>
        </w:rPr>
        <w:t xml:space="preserve"> </w:t>
      </w:r>
      <w:r>
        <w:rPr>
          <w:sz w:val="24"/>
        </w:rPr>
        <w:t>a</w:t>
      </w:r>
      <w:r>
        <w:rPr>
          <w:spacing w:val="18"/>
          <w:sz w:val="24"/>
        </w:rPr>
        <w:t xml:space="preserve"> </w:t>
      </w:r>
      <w:r>
        <w:rPr>
          <w:sz w:val="24"/>
        </w:rPr>
        <w:t>tariff</w:t>
      </w:r>
      <w:r>
        <w:rPr>
          <w:spacing w:val="20"/>
          <w:sz w:val="24"/>
        </w:rPr>
        <w:t xml:space="preserve"> </w:t>
      </w:r>
      <w:r>
        <w:rPr>
          <w:sz w:val="24"/>
        </w:rPr>
        <w:t>reduction</w:t>
      </w:r>
      <w:r>
        <w:rPr>
          <w:spacing w:val="20"/>
          <w:sz w:val="24"/>
        </w:rPr>
        <w:t xml:space="preserve"> </w:t>
      </w:r>
      <w:r>
        <w:rPr>
          <w:sz w:val="24"/>
        </w:rPr>
        <w:t>by</w:t>
      </w:r>
      <w:r>
        <w:rPr>
          <w:spacing w:val="14"/>
          <w:sz w:val="24"/>
        </w:rPr>
        <w:t xml:space="preserve"> </w:t>
      </w:r>
      <w:r>
        <w:rPr>
          <w:sz w:val="24"/>
        </w:rPr>
        <w:t>19%</w:t>
      </w:r>
      <w:r>
        <w:rPr>
          <w:spacing w:val="20"/>
          <w:sz w:val="24"/>
        </w:rPr>
        <w:t xml:space="preserve"> </w:t>
      </w:r>
      <w:r>
        <w:rPr>
          <w:sz w:val="24"/>
        </w:rPr>
        <w:t>rather</w:t>
      </w:r>
      <w:r>
        <w:rPr>
          <w:spacing w:val="19"/>
          <w:sz w:val="24"/>
        </w:rPr>
        <w:t xml:space="preserve"> </w:t>
      </w:r>
      <w:r>
        <w:rPr>
          <w:sz w:val="24"/>
        </w:rPr>
        <w:t>than</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ind w:left="1072"/>
      </w:pPr>
      <w:r>
        <w:lastRenderedPageBreak/>
        <w:t>zero tariff hike.</w:t>
      </w:r>
    </w:p>
    <w:p w:rsidR="007C5447" w:rsidRDefault="007C5447">
      <w:pPr>
        <w:pStyle w:val="BodyText"/>
        <w:spacing w:before="11"/>
        <w:rPr>
          <w:sz w:val="27"/>
        </w:rPr>
      </w:pPr>
    </w:p>
    <w:p w:rsidR="007C5447" w:rsidRDefault="00F6308C">
      <w:pPr>
        <w:pStyle w:val="ListParagraph"/>
        <w:numPr>
          <w:ilvl w:val="2"/>
          <w:numId w:val="114"/>
        </w:numPr>
        <w:tabs>
          <w:tab w:val="left" w:pos="1073"/>
        </w:tabs>
        <w:spacing w:line="312" w:lineRule="auto"/>
        <w:ind w:right="224" w:hanging="852"/>
        <w:jc w:val="both"/>
        <w:rPr>
          <w:sz w:val="24"/>
        </w:rPr>
      </w:pPr>
      <w:r>
        <w:rPr>
          <w:sz w:val="24"/>
        </w:rPr>
        <w:t>The scrutiny of the ARR Petition shows that the recent fall in prices of coal, oil and power purchase have led to a gain of around Rs. 5000 Crore. The consumers’ tariffs should be reduced to this</w:t>
      </w:r>
      <w:r>
        <w:rPr>
          <w:spacing w:val="-2"/>
          <w:sz w:val="24"/>
        </w:rPr>
        <w:t xml:space="preserve"> </w:t>
      </w:r>
      <w:r>
        <w:rPr>
          <w:sz w:val="24"/>
        </w:rPr>
        <w:t>extent.</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The increase in input costs leads to increase in po</w:t>
      </w:r>
      <w:r>
        <w:rPr>
          <w:sz w:val="24"/>
        </w:rPr>
        <w:t>wer prices. However, the reduction in input costs in the past few years are not reflected in the consumers’ tariffs. The Commission should do a prudence check of input costs and other parameters to reduce the present tariff to reflect the reduction in inpu</w:t>
      </w:r>
      <w:r>
        <w:rPr>
          <w:sz w:val="24"/>
        </w:rPr>
        <w:t>t</w:t>
      </w:r>
      <w:r>
        <w:rPr>
          <w:spacing w:val="-5"/>
          <w:sz w:val="24"/>
        </w:rPr>
        <w:t xml:space="preserve"> </w:t>
      </w:r>
      <w:r>
        <w:rPr>
          <w:sz w:val="24"/>
        </w:rPr>
        <w:t>costs.</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23" w:hanging="852"/>
        <w:jc w:val="both"/>
        <w:rPr>
          <w:sz w:val="24"/>
        </w:rPr>
      </w:pPr>
      <w:r>
        <w:rPr>
          <w:sz w:val="24"/>
        </w:rPr>
        <w:t>During the Public Hearing, it was submitted that the tariffs should be reduced, as the input costs related to price of coal, oil, and power purchase are expected to reduce over the Control</w:t>
      </w:r>
      <w:r>
        <w:rPr>
          <w:spacing w:val="-3"/>
          <w:sz w:val="24"/>
        </w:rPr>
        <w:t xml:space="preserve"> </w:t>
      </w:r>
      <w:r>
        <w:rPr>
          <w:sz w:val="24"/>
        </w:rPr>
        <w:t>Period.</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4" w:hanging="852"/>
        <w:jc w:val="both"/>
        <w:rPr>
          <w:sz w:val="24"/>
        </w:rPr>
      </w:pPr>
      <w:r>
        <w:rPr>
          <w:sz w:val="24"/>
        </w:rPr>
        <w:t>TANGEDCO has decided to forgo about Rs. 2500 Cro</w:t>
      </w:r>
      <w:r>
        <w:rPr>
          <w:sz w:val="24"/>
        </w:rPr>
        <w:t>re subsidy from the Government of Tamil Nadu (GoTN). This has increased the burden on the consumers as TANGEDCO is already reeling under a cumulative loss of Rs. 1,02,400 Crore as on March 31, 2016. Hence, the proposal of TANGEDCO to forego the subsidy sho</w:t>
      </w:r>
      <w:r>
        <w:rPr>
          <w:sz w:val="24"/>
        </w:rPr>
        <w:t>uld be justified by TANGEDCO as it violates Section 65 of the Electricity Act, 2003 and should be dismissed by the</w:t>
      </w:r>
      <w:r>
        <w:rPr>
          <w:spacing w:val="-10"/>
          <w:sz w:val="24"/>
        </w:rPr>
        <w:t xml:space="preserve"> </w:t>
      </w:r>
      <w:r>
        <w:rPr>
          <w:sz w:val="24"/>
        </w:rPr>
        <w:t>Commission.</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1" w:hanging="852"/>
        <w:jc w:val="both"/>
        <w:rPr>
          <w:sz w:val="24"/>
        </w:rPr>
      </w:pPr>
      <w:r>
        <w:rPr>
          <w:sz w:val="24"/>
        </w:rPr>
        <w:t>The effect of Financial Restructuring Plan (FRP) where economical loans are available to TANGEDCO has to be taken into considera</w:t>
      </w:r>
      <w:r>
        <w:rPr>
          <w:sz w:val="24"/>
        </w:rPr>
        <w:t>tion while fixing the ARR of TANGEDCO, as the interest charges reduce with increased cash flow from the State Government. The effect of both FRP and UDAY (recently signed by the State Government) should be monitored while fixing the current year’s</w:t>
      </w:r>
      <w:r>
        <w:rPr>
          <w:spacing w:val="-3"/>
          <w:sz w:val="24"/>
        </w:rPr>
        <w:t xml:space="preserve"> </w:t>
      </w:r>
      <w:r>
        <w:rPr>
          <w:sz w:val="24"/>
        </w:rPr>
        <w:t>ARR.</w:t>
      </w:r>
    </w:p>
    <w:p w:rsidR="007C5447" w:rsidRDefault="007C5447">
      <w:pPr>
        <w:pStyle w:val="BodyText"/>
        <w:spacing w:before="1"/>
        <w:rPr>
          <w:sz w:val="21"/>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In</w:t>
      </w:r>
      <w:r>
        <w:rPr>
          <w:sz w:val="24"/>
        </w:rPr>
        <w:t xml:space="preserve"> page 72 of the Petition, it is stated that the outstanding loan is estimated to be Rs. 81,782 Crore, of which Rs. 30,420 Crore is the loan for Distribution function. This infers that the difference amount of Rs. 51,362 Crore might have been assigned for G</w:t>
      </w:r>
      <w:r>
        <w:rPr>
          <w:sz w:val="24"/>
        </w:rPr>
        <w:t>eneration function, which could have led to more than 8000 MW of capacity addition during the relevant</w:t>
      </w:r>
      <w:r>
        <w:rPr>
          <w:spacing w:val="-4"/>
          <w:sz w:val="24"/>
        </w:rPr>
        <w:t xml:space="preserve"> </w:t>
      </w:r>
      <w:r>
        <w:rPr>
          <w:sz w:val="24"/>
        </w:rPr>
        <w:t>period.</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TANGEDCO has requested for an opportunity to rectify any error/omission in the Petition, which shows that TANGEDCO admits the presence of known error/omission with deliberate</w:t>
      </w:r>
      <w:r>
        <w:rPr>
          <w:spacing w:val="-1"/>
          <w:sz w:val="24"/>
        </w:rPr>
        <w:t xml:space="preserve"> </w:t>
      </w:r>
      <w:r>
        <w:rPr>
          <w:sz w:val="24"/>
        </w:rPr>
        <w:t>intention.</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2"/>
          <w:numId w:val="114"/>
        </w:numPr>
        <w:tabs>
          <w:tab w:val="left" w:pos="1073"/>
        </w:tabs>
        <w:spacing w:before="70" w:line="312" w:lineRule="auto"/>
        <w:ind w:right="213" w:hanging="852"/>
        <w:jc w:val="both"/>
        <w:rPr>
          <w:sz w:val="24"/>
        </w:rPr>
      </w:pPr>
      <w:r>
        <w:rPr>
          <w:sz w:val="24"/>
        </w:rPr>
        <w:lastRenderedPageBreak/>
        <w:t xml:space="preserve">The Petition envisages abnormal capital expenditure </w:t>
      </w:r>
      <w:r>
        <w:rPr>
          <w:sz w:val="24"/>
        </w:rPr>
        <w:t>amounting to Rs. 1,34,883.40 Crore, which is not commensurate with the year-wise investment from FY 2016-17 to FY 2017-18. For this huge investment, there is no mention about the source of funding in the</w:t>
      </w:r>
      <w:r>
        <w:rPr>
          <w:spacing w:val="-5"/>
          <w:sz w:val="24"/>
        </w:rPr>
        <w:t xml:space="preserve"> </w:t>
      </w:r>
      <w:r>
        <w:rPr>
          <w:sz w:val="24"/>
        </w:rPr>
        <w:t>Petition.</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 xml:space="preserve">TANGEDCO should clarify the variation in </w:t>
      </w:r>
      <w:r>
        <w:rPr>
          <w:sz w:val="24"/>
        </w:rPr>
        <w:t>Revenue Gap for FY 2016-17, FY 2017-18 and FY 2018-19. The values fluctuate from Rs. 4772.01 Crore in FY 2016- 17</w:t>
      </w:r>
      <w:r>
        <w:rPr>
          <w:spacing w:val="13"/>
          <w:sz w:val="24"/>
        </w:rPr>
        <w:t xml:space="preserve"> </w:t>
      </w:r>
      <w:r>
        <w:rPr>
          <w:sz w:val="24"/>
        </w:rPr>
        <w:t>to</w:t>
      </w:r>
      <w:r>
        <w:rPr>
          <w:spacing w:val="14"/>
          <w:sz w:val="24"/>
        </w:rPr>
        <w:t xml:space="preserve"> </w:t>
      </w:r>
      <w:r>
        <w:rPr>
          <w:sz w:val="24"/>
        </w:rPr>
        <w:t>Rs.</w:t>
      </w:r>
      <w:r>
        <w:rPr>
          <w:spacing w:val="13"/>
          <w:sz w:val="24"/>
        </w:rPr>
        <w:t xml:space="preserve"> </w:t>
      </w:r>
      <w:r>
        <w:rPr>
          <w:sz w:val="24"/>
        </w:rPr>
        <w:t>107.12</w:t>
      </w:r>
      <w:r>
        <w:rPr>
          <w:spacing w:val="14"/>
          <w:sz w:val="24"/>
        </w:rPr>
        <w:t xml:space="preserve"> </w:t>
      </w:r>
      <w:r>
        <w:rPr>
          <w:sz w:val="24"/>
        </w:rPr>
        <w:t>Crore</w:t>
      </w:r>
      <w:r>
        <w:rPr>
          <w:spacing w:val="12"/>
          <w:sz w:val="24"/>
        </w:rPr>
        <w:t xml:space="preserve"> </w:t>
      </w:r>
      <w:r>
        <w:rPr>
          <w:sz w:val="24"/>
        </w:rPr>
        <w:t>in</w:t>
      </w:r>
      <w:r>
        <w:rPr>
          <w:spacing w:val="14"/>
          <w:sz w:val="24"/>
        </w:rPr>
        <w:t xml:space="preserve"> </w:t>
      </w:r>
      <w:r>
        <w:rPr>
          <w:sz w:val="24"/>
        </w:rPr>
        <w:t>FY</w:t>
      </w:r>
      <w:r>
        <w:rPr>
          <w:spacing w:val="12"/>
          <w:sz w:val="24"/>
        </w:rPr>
        <w:t xml:space="preserve"> </w:t>
      </w:r>
      <w:r>
        <w:rPr>
          <w:sz w:val="24"/>
        </w:rPr>
        <w:t>2017-18</w:t>
      </w:r>
      <w:r>
        <w:rPr>
          <w:spacing w:val="16"/>
          <w:sz w:val="24"/>
        </w:rPr>
        <w:t xml:space="preserve"> </w:t>
      </w:r>
      <w:r>
        <w:rPr>
          <w:sz w:val="24"/>
        </w:rPr>
        <w:t>and</w:t>
      </w:r>
      <w:r>
        <w:rPr>
          <w:spacing w:val="14"/>
          <w:sz w:val="24"/>
        </w:rPr>
        <w:t xml:space="preserve"> </w:t>
      </w:r>
      <w:r>
        <w:rPr>
          <w:sz w:val="24"/>
        </w:rPr>
        <w:t>again</w:t>
      </w:r>
      <w:r>
        <w:rPr>
          <w:spacing w:val="15"/>
          <w:sz w:val="24"/>
        </w:rPr>
        <w:t xml:space="preserve"> </w:t>
      </w:r>
      <w:r>
        <w:rPr>
          <w:sz w:val="24"/>
        </w:rPr>
        <w:t>to</w:t>
      </w:r>
      <w:r>
        <w:rPr>
          <w:spacing w:val="14"/>
          <w:sz w:val="24"/>
        </w:rPr>
        <w:t xml:space="preserve"> </w:t>
      </w:r>
      <w:r>
        <w:rPr>
          <w:sz w:val="24"/>
        </w:rPr>
        <w:t>Rs.</w:t>
      </w:r>
      <w:r>
        <w:rPr>
          <w:spacing w:val="13"/>
          <w:sz w:val="24"/>
        </w:rPr>
        <w:t xml:space="preserve"> </w:t>
      </w:r>
      <w:r>
        <w:rPr>
          <w:sz w:val="24"/>
        </w:rPr>
        <w:t>4120.43</w:t>
      </w:r>
      <w:r>
        <w:rPr>
          <w:spacing w:val="14"/>
          <w:sz w:val="24"/>
        </w:rPr>
        <w:t xml:space="preserve"> </w:t>
      </w:r>
      <w:r>
        <w:rPr>
          <w:sz w:val="24"/>
        </w:rPr>
        <w:t>Crore</w:t>
      </w:r>
      <w:r>
        <w:rPr>
          <w:spacing w:val="12"/>
          <w:sz w:val="24"/>
        </w:rPr>
        <w:t xml:space="preserve"> </w:t>
      </w:r>
      <w:r>
        <w:rPr>
          <w:sz w:val="24"/>
        </w:rPr>
        <w:t>in</w:t>
      </w:r>
      <w:r>
        <w:rPr>
          <w:spacing w:val="14"/>
          <w:sz w:val="24"/>
        </w:rPr>
        <w:t xml:space="preserve"> </w:t>
      </w:r>
      <w:r>
        <w:rPr>
          <w:sz w:val="24"/>
        </w:rPr>
        <w:t>FY</w:t>
      </w:r>
      <w:r>
        <w:rPr>
          <w:spacing w:val="12"/>
          <w:sz w:val="24"/>
        </w:rPr>
        <w:t xml:space="preserve"> </w:t>
      </w:r>
      <w:r>
        <w:rPr>
          <w:sz w:val="24"/>
        </w:rPr>
        <w:t>2018-</w:t>
      </w:r>
    </w:p>
    <w:p w:rsidR="007C5447" w:rsidRDefault="00F6308C">
      <w:pPr>
        <w:pStyle w:val="ListParagraph"/>
        <w:numPr>
          <w:ilvl w:val="0"/>
          <w:numId w:val="103"/>
        </w:numPr>
        <w:tabs>
          <w:tab w:val="left" w:pos="1442"/>
        </w:tabs>
        <w:spacing w:line="314" w:lineRule="auto"/>
        <w:ind w:right="217" w:firstLine="0"/>
        <w:jc w:val="both"/>
        <w:rPr>
          <w:sz w:val="24"/>
        </w:rPr>
      </w:pPr>
      <w:r>
        <w:rPr>
          <w:sz w:val="24"/>
        </w:rPr>
        <w:t xml:space="preserve">The Revenue Gap has been understated to avoid increase of Tariff </w:t>
      </w:r>
      <w:r>
        <w:rPr>
          <w:sz w:val="24"/>
        </w:rPr>
        <w:t>for FY 2017- 18.</w:t>
      </w:r>
    </w:p>
    <w:p w:rsidR="007C5447" w:rsidRDefault="007C5447">
      <w:pPr>
        <w:pStyle w:val="BodyText"/>
        <w:spacing w:before="4"/>
        <w:rPr>
          <w:sz w:val="20"/>
        </w:rPr>
      </w:pPr>
    </w:p>
    <w:p w:rsidR="007C5447" w:rsidRDefault="00F6308C">
      <w:pPr>
        <w:pStyle w:val="ListParagraph"/>
        <w:numPr>
          <w:ilvl w:val="2"/>
          <w:numId w:val="114"/>
        </w:numPr>
        <w:tabs>
          <w:tab w:val="left" w:pos="1073"/>
        </w:tabs>
        <w:spacing w:line="312" w:lineRule="auto"/>
        <w:ind w:right="220" w:hanging="852"/>
        <w:jc w:val="both"/>
        <w:rPr>
          <w:sz w:val="24"/>
        </w:rPr>
      </w:pPr>
      <w:r>
        <w:rPr>
          <w:sz w:val="24"/>
        </w:rPr>
        <w:t xml:space="preserve">On page 52 of the Petition, revenue from sale of power is reflected wrongly because the consumption of Agricultural and Hut services is much higher than the assumption. The average load of agricultural service is more than 10 HP, whereas </w:t>
      </w:r>
      <w:r>
        <w:rPr>
          <w:sz w:val="24"/>
        </w:rPr>
        <w:t>TANGEDCO is considering the same as 5</w:t>
      </w:r>
      <w:r>
        <w:rPr>
          <w:spacing w:val="-2"/>
          <w:sz w:val="24"/>
        </w:rPr>
        <w:t xml:space="preserve"> </w:t>
      </w:r>
      <w:r>
        <w:rPr>
          <w:sz w:val="24"/>
        </w:rPr>
        <w:t>HP.</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0" w:hanging="852"/>
        <w:jc w:val="both"/>
        <w:rPr>
          <w:sz w:val="24"/>
        </w:rPr>
      </w:pPr>
      <w:r>
        <w:rPr>
          <w:sz w:val="24"/>
        </w:rPr>
        <w:t>The cumulative Revenue Gap is stated to be Rs. 70,993.10 Crore in Table 68 of TANGEDCO’s Petition. There is no mention of the effect of UDAY scheme on the loan amount. From the above submission, it may be inferred</w:t>
      </w:r>
      <w:r>
        <w:rPr>
          <w:sz w:val="24"/>
        </w:rPr>
        <w:t xml:space="preserve"> that TANGEDCO is not in a sound financial position. The Commission should take steps to regulate and strengthen the financial situation of TANGEDCO to help render better customer service.</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8" w:hanging="852"/>
        <w:jc w:val="both"/>
        <w:rPr>
          <w:sz w:val="24"/>
        </w:rPr>
      </w:pPr>
      <w:r>
        <w:rPr>
          <w:sz w:val="24"/>
        </w:rPr>
        <w:t>It was informed in the election campaigns that TANGEDCO shall not join the UDAY scheme, while presently, TANGEDCO has joined UDAY scheme without informing the circumstances. Of the overall Rs. 81,312 Crore loan, only Rs. 30,420 Crore has been taken up by U</w:t>
      </w:r>
      <w:r>
        <w:rPr>
          <w:sz w:val="24"/>
        </w:rPr>
        <w:t>DAY. The status of the remaining Rs. 50,892 Crore is unknown.</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23" w:hanging="852"/>
        <w:jc w:val="both"/>
        <w:rPr>
          <w:sz w:val="24"/>
        </w:rPr>
      </w:pPr>
      <w:r>
        <w:rPr>
          <w:sz w:val="24"/>
        </w:rPr>
        <w:t>The financial losses submitted in the ARR Petition and that considered under UDAY are not matching, as shown in the Table</w:t>
      </w:r>
      <w:r>
        <w:rPr>
          <w:spacing w:val="-3"/>
          <w:sz w:val="24"/>
        </w:rPr>
        <w:t xml:space="preserve"> </w:t>
      </w:r>
      <w:r>
        <w:rPr>
          <w:sz w:val="24"/>
        </w:rPr>
        <w:t>below:</w:t>
      </w:r>
    </w:p>
    <w:p w:rsidR="007C5447" w:rsidRDefault="007C5447">
      <w:pPr>
        <w:pStyle w:val="BodyText"/>
        <w:spacing w:before="11"/>
        <w:rPr>
          <w:sz w:val="20"/>
        </w:rPr>
      </w:pPr>
    </w:p>
    <w:tbl>
      <w:tblPr>
        <w:tblW w:w="0" w:type="auto"/>
        <w:tblInd w:w="12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0"/>
        <w:gridCol w:w="2979"/>
        <w:gridCol w:w="2811"/>
      </w:tblGrid>
      <w:tr w:rsidR="007C5447">
        <w:trPr>
          <w:trHeight w:val="275"/>
        </w:trPr>
        <w:tc>
          <w:tcPr>
            <w:tcW w:w="1870" w:type="dxa"/>
          </w:tcPr>
          <w:p w:rsidR="007C5447" w:rsidRDefault="00F6308C">
            <w:pPr>
              <w:pStyle w:val="TableParagraph"/>
              <w:spacing w:line="256" w:lineRule="exact"/>
              <w:ind w:left="107"/>
              <w:jc w:val="left"/>
              <w:rPr>
                <w:b/>
                <w:sz w:val="24"/>
              </w:rPr>
            </w:pPr>
            <w:r>
              <w:rPr>
                <w:b/>
                <w:sz w:val="24"/>
              </w:rPr>
              <w:t>Year</w:t>
            </w:r>
          </w:p>
        </w:tc>
        <w:tc>
          <w:tcPr>
            <w:tcW w:w="2979" w:type="dxa"/>
          </w:tcPr>
          <w:p w:rsidR="007C5447" w:rsidRDefault="00F6308C">
            <w:pPr>
              <w:pStyle w:val="TableParagraph"/>
              <w:spacing w:line="256" w:lineRule="exact"/>
              <w:ind w:left="108"/>
              <w:jc w:val="left"/>
              <w:rPr>
                <w:b/>
                <w:sz w:val="24"/>
              </w:rPr>
            </w:pPr>
            <w:r>
              <w:rPr>
                <w:b/>
                <w:sz w:val="24"/>
              </w:rPr>
              <w:t>ARR Petition (Rs. Crore)</w:t>
            </w:r>
          </w:p>
        </w:tc>
        <w:tc>
          <w:tcPr>
            <w:tcW w:w="2811" w:type="dxa"/>
          </w:tcPr>
          <w:p w:rsidR="007C5447" w:rsidRDefault="00F6308C">
            <w:pPr>
              <w:pStyle w:val="TableParagraph"/>
              <w:spacing w:line="256" w:lineRule="exact"/>
              <w:ind w:left="107"/>
              <w:jc w:val="left"/>
              <w:rPr>
                <w:b/>
                <w:sz w:val="24"/>
              </w:rPr>
            </w:pPr>
            <w:r>
              <w:rPr>
                <w:b/>
                <w:sz w:val="24"/>
              </w:rPr>
              <w:t>UDAY (Rs. Crore)</w:t>
            </w:r>
          </w:p>
        </w:tc>
      </w:tr>
      <w:tr w:rsidR="007C5447">
        <w:trPr>
          <w:trHeight w:val="275"/>
        </w:trPr>
        <w:tc>
          <w:tcPr>
            <w:tcW w:w="1870" w:type="dxa"/>
          </w:tcPr>
          <w:p w:rsidR="007C5447" w:rsidRDefault="00F6308C">
            <w:pPr>
              <w:pStyle w:val="TableParagraph"/>
              <w:spacing w:line="256" w:lineRule="exact"/>
              <w:ind w:left="107"/>
              <w:jc w:val="left"/>
              <w:rPr>
                <w:sz w:val="24"/>
              </w:rPr>
            </w:pPr>
            <w:r>
              <w:rPr>
                <w:sz w:val="24"/>
              </w:rPr>
              <w:t>2013-14</w:t>
            </w:r>
          </w:p>
        </w:tc>
        <w:tc>
          <w:tcPr>
            <w:tcW w:w="2979" w:type="dxa"/>
          </w:tcPr>
          <w:p w:rsidR="007C5447" w:rsidRDefault="00F6308C">
            <w:pPr>
              <w:pStyle w:val="TableParagraph"/>
              <w:spacing w:line="256" w:lineRule="exact"/>
              <w:ind w:left="108"/>
              <w:jc w:val="left"/>
              <w:rPr>
                <w:sz w:val="24"/>
              </w:rPr>
            </w:pPr>
            <w:r>
              <w:rPr>
                <w:sz w:val="24"/>
              </w:rPr>
              <w:t>13,809</w:t>
            </w:r>
          </w:p>
        </w:tc>
        <w:tc>
          <w:tcPr>
            <w:tcW w:w="2811" w:type="dxa"/>
          </w:tcPr>
          <w:p w:rsidR="007C5447" w:rsidRDefault="00F6308C">
            <w:pPr>
              <w:pStyle w:val="TableParagraph"/>
              <w:spacing w:line="256" w:lineRule="exact"/>
              <w:ind w:left="107"/>
              <w:jc w:val="left"/>
              <w:rPr>
                <w:sz w:val="24"/>
              </w:rPr>
            </w:pPr>
            <w:r>
              <w:rPr>
                <w:sz w:val="24"/>
              </w:rPr>
              <w:t>13,985</w:t>
            </w:r>
          </w:p>
        </w:tc>
      </w:tr>
      <w:tr w:rsidR="007C5447">
        <w:trPr>
          <w:trHeight w:val="275"/>
        </w:trPr>
        <w:tc>
          <w:tcPr>
            <w:tcW w:w="1870" w:type="dxa"/>
          </w:tcPr>
          <w:p w:rsidR="007C5447" w:rsidRDefault="00F6308C">
            <w:pPr>
              <w:pStyle w:val="TableParagraph"/>
              <w:spacing w:line="256" w:lineRule="exact"/>
              <w:ind w:left="107"/>
              <w:jc w:val="left"/>
              <w:rPr>
                <w:sz w:val="24"/>
              </w:rPr>
            </w:pPr>
            <w:r>
              <w:rPr>
                <w:sz w:val="24"/>
              </w:rPr>
              <w:t>2014-15</w:t>
            </w:r>
          </w:p>
        </w:tc>
        <w:tc>
          <w:tcPr>
            <w:tcW w:w="2979" w:type="dxa"/>
          </w:tcPr>
          <w:p w:rsidR="007C5447" w:rsidRDefault="00F6308C">
            <w:pPr>
              <w:pStyle w:val="TableParagraph"/>
              <w:spacing w:line="256" w:lineRule="exact"/>
              <w:ind w:left="108"/>
              <w:jc w:val="left"/>
              <w:rPr>
                <w:sz w:val="24"/>
              </w:rPr>
            </w:pPr>
            <w:r>
              <w:rPr>
                <w:sz w:val="24"/>
              </w:rPr>
              <w:t>14,313</w:t>
            </w:r>
          </w:p>
        </w:tc>
        <w:tc>
          <w:tcPr>
            <w:tcW w:w="2811" w:type="dxa"/>
          </w:tcPr>
          <w:p w:rsidR="007C5447" w:rsidRDefault="00F6308C">
            <w:pPr>
              <w:pStyle w:val="TableParagraph"/>
              <w:spacing w:line="256" w:lineRule="exact"/>
              <w:ind w:left="107"/>
              <w:jc w:val="left"/>
              <w:rPr>
                <w:sz w:val="24"/>
              </w:rPr>
            </w:pPr>
            <w:r>
              <w:rPr>
                <w:sz w:val="24"/>
              </w:rPr>
              <w:t>12,757</w:t>
            </w:r>
          </w:p>
        </w:tc>
      </w:tr>
      <w:tr w:rsidR="007C5447">
        <w:trPr>
          <w:trHeight w:val="275"/>
        </w:trPr>
        <w:tc>
          <w:tcPr>
            <w:tcW w:w="1870" w:type="dxa"/>
          </w:tcPr>
          <w:p w:rsidR="007C5447" w:rsidRDefault="00F6308C">
            <w:pPr>
              <w:pStyle w:val="TableParagraph"/>
              <w:spacing w:line="256" w:lineRule="exact"/>
              <w:ind w:left="107"/>
              <w:jc w:val="left"/>
              <w:rPr>
                <w:sz w:val="24"/>
              </w:rPr>
            </w:pPr>
            <w:r>
              <w:rPr>
                <w:sz w:val="24"/>
              </w:rPr>
              <w:t>2015-16</w:t>
            </w:r>
          </w:p>
        </w:tc>
        <w:tc>
          <w:tcPr>
            <w:tcW w:w="2979" w:type="dxa"/>
          </w:tcPr>
          <w:p w:rsidR="007C5447" w:rsidRDefault="00F6308C">
            <w:pPr>
              <w:pStyle w:val="TableParagraph"/>
              <w:spacing w:line="256" w:lineRule="exact"/>
              <w:ind w:left="108"/>
              <w:jc w:val="left"/>
              <w:rPr>
                <w:sz w:val="24"/>
              </w:rPr>
            </w:pPr>
            <w:r>
              <w:rPr>
                <w:sz w:val="24"/>
              </w:rPr>
              <w:t>7,490</w:t>
            </w:r>
          </w:p>
        </w:tc>
        <w:tc>
          <w:tcPr>
            <w:tcW w:w="2811" w:type="dxa"/>
          </w:tcPr>
          <w:p w:rsidR="007C5447" w:rsidRDefault="00F6308C">
            <w:pPr>
              <w:pStyle w:val="TableParagraph"/>
              <w:spacing w:line="256" w:lineRule="exact"/>
              <w:ind w:left="107"/>
              <w:jc w:val="left"/>
              <w:rPr>
                <w:sz w:val="24"/>
              </w:rPr>
            </w:pPr>
            <w:r>
              <w:rPr>
                <w:sz w:val="24"/>
              </w:rPr>
              <w:t>5,787</w:t>
            </w:r>
          </w:p>
        </w:tc>
      </w:tr>
    </w:tbl>
    <w:p w:rsidR="007C5447" w:rsidRDefault="00F6308C">
      <w:pPr>
        <w:pStyle w:val="ListParagraph"/>
        <w:numPr>
          <w:ilvl w:val="2"/>
          <w:numId w:val="114"/>
        </w:numPr>
        <w:tabs>
          <w:tab w:val="left" w:pos="1073"/>
        </w:tabs>
        <w:spacing w:before="119" w:line="314" w:lineRule="auto"/>
        <w:ind w:right="221" w:hanging="852"/>
        <w:jc w:val="both"/>
        <w:rPr>
          <w:sz w:val="24"/>
        </w:rPr>
      </w:pPr>
      <w:r>
        <w:rPr>
          <w:sz w:val="24"/>
        </w:rPr>
        <w:t>The subject of FRP was raised during 2012 Public Hearing and TANGEDCO has kept silent till the present ARR</w:t>
      </w:r>
      <w:r>
        <w:rPr>
          <w:spacing w:val="-1"/>
          <w:sz w:val="24"/>
        </w:rPr>
        <w:t xml:space="preserve"> </w:t>
      </w:r>
      <w:r>
        <w:rPr>
          <w:sz w:val="24"/>
        </w:rPr>
        <w:t>Petition.</w:t>
      </w:r>
    </w:p>
    <w:p w:rsidR="007C5447" w:rsidRDefault="007C5447">
      <w:pPr>
        <w:spacing w:line="314" w:lineRule="auto"/>
        <w:jc w:val="both"/>
        <w:rPr>
          <w:sz w:val="24"/>
        </w:rPr>
        <w:sectPr w:rsidR="007C5447">
          <w:pgSz w:w="11910" w:h="16840"/>
          <w:pgMar w:top="1500" w:right="1220" w:bottom="1620" w:left="1220" w:header="0" w:footer="1386" w:gutter="0"/>
          <w:cols w:space="720"/>
        </w:sectPr>
      </w:pPr>
    </w:p>
    <w:p w:rsidR="007C5447" w:rsidRDefault="00F6308C">
      <w:pPr>
        <w:pStyle w:val="Heading2"/>
        <w:spacing w:before="70"/>
      </w:pPr>
      <w:r>
        <w:lastRenderedPageBreak/>
        <w:t>TANGEDCO’s Reply</w:t>
      </w:r>
    </w:p>
    <w:p w:rsidR="007C5447" w:rsidRDefault="00F6308C">
      <w:pPr>
        <w:pStyle w:val="ListParagraph"/>
        <w:numPr>
          <w:ilvl w:val="2"/>
          <w:numId w:val="114"/>
        </w:numPr>
        <w:tabs>
          <w:tab w:val="left" w:pos="1073"/>
        </w:tabs>
        <w:spacing w:before="201" w:line="312" w:lineRule="auto"/>
        <w:ind w:right="216" w:hanging="852"/>
        <w:jc w:val="both"/>
        <w:rPr>
          <w:sz w:val="24"/>
        </w:rPr>
      </w:pPr>
      <w:r>
        <w:rPr>
          <w:sz w:val="24"/>
        </w:rPr>
        <w:t>Under the UDAY scheme, GoTN took over TANGEDCO’s loan of Rs. 22,815 Crore, which will be transferred to TANGEDCO in the form of grant of Rs.4563 Crore each for five years. The conversion of this loan to grant will help TANGEDCO to save annual interest upto</w:t>
      </w:r>
      <w:r>
        <w:rPr>
          <w:sz w:val="24"/>
        </w:rPr>
        <w:t xml:space="preserve"> Rs. 2882 Crore and annual loan  repayment of Rs. 2282 Crore. The total annual cash flow savings will be Rs. 5164 Crore. On take-over of loan, GoTN will have to bear additional interest burden of Rs. 1825 Crore per</w:t>
      </w:r>
      <w:r>
        <w:rPr>
          <w:spacing w:val="1"/>
          <w:sz w:val="24"/>
        </w:rPr>
        <w:t xml:space="preserve"> </w:t>
      </w:r>
      <w:r>
        <w:rPr>
          <w:sz w:val="24"/>
        </w:rPr>
        <w:t>year.</w:t>
      </w:r>
    </w:p>
    <w:p w:rsidR="007C5447" w:rsidRDefault="007C5447">
      <w:pPr>
        <w:pStyle w:val="BodyText"/>
        <w:spacing w:before="1"/>
        <w:rPr>
          <w:sz w:val="21"/>
        </w:rPr>
      </w:pPr>
    </w:p>
    <w:p w:rsidR="007C5447" w:rsidRDefault="00F6308C">
      <w:pPr>
        <w:pStyle w:val="ListParagraph"/>
        <w:numPr>
          <w:ilvl w:val="2"/>
          <w:numId w:val="114"/>
        </w:numPr>
        <w:tabs>
          <w:tab w:val="left" w:pos="1073"/>
        </w:tabs>
        <w:spacing w:line="312" w:lineRule="auto"/>
        <w:ind w:right="214" w:hanging="852"/>
        <w:jc w:val="both"/>
        <w:rPr>
          <w:sz w:val="24"/>
        </w:rPr>
      </w:pPr>
      <w:r>
        <w:rPr>
          <w:sz w:val="24"/>
        </w:rPr>
        <w:t>GoTN is paying a subsidy of Rs. 85</w:t>
      </w:r>
      <w:r>
        <w:rPr>
          <w:sz w:val="24"/>
        </w:rPr>
        <w:t xml:space="preserve">00 Crore per year. On participation in UDAY, TANGEDCO has proposed to give up a portion of its savings to reduce the burden on the State Government. After giving up this portion of benefit, TANGEDCO is likely to save Rs. 3082 Crore per annum in cash flow. </w:t>
      </w:r>
      <w:r>
        <w:rPr>
          <w:sz w:val="24"/>
        </w:rPr>
        <w:t>TANGEDCO also submitted that on account of the savings from UDAY, it has proposed to retain the same tariff for consumers without any additional</w:t>
      </w:r>
      <w:r>
        <w:rPr>
          <w:spacing w:val="-5"/>
          <w:sz w:val="24"/>
        </w:rPr>
        <w:t xml:space="preserve"> </w:t>
      </w:r>
      <w:r>
        <w:rPr>
          <w:sz w:val="24"/>
        </w:rPr>
        <w:t>burden.</w:t>
      </w:r>
    </w:p>
    <w:p w:rsidR="007C5447" w:rsidRDefault="007C5447">
      <w:pPr>
        <w:pStyle w:val="BodyText"/>
        <w:spacing w:before="10"/>
        <w:rPr>
          <w:sz w:val="20"/>
        </w:rPr>
      </w:pPr>
    </w:p>
    <w:p w:rsidR="007C5447" w:rsidRDefault="00F6308C">
      <w:pPr>
        <w:pStyle w:val="ListParagraph"/>
        <w:numPr>
          <w:ilvl w:val="2"/>
          <w:numId w:val="114"/>
        </w:numPr>
        <w:tabs>
          <w:tab w:val="left" w:pos="1072"/>
          <w:tab w:val="left" w:pos="1073"/>
        </w:tabs>
        <w:ind w:hanging="853"/>
        <w:rPr>
          <w:sz w:val="24"/>
        </w:rPr>
      </w:pPr>
      <w:r>
        <w:rPr>
          <w:sz w:val="24"/>
        </w:rPr>
        <w:t>TANGEDCO submitted that the impact of FRP 2012 is included in the</w:t>
      </w:r>
      <w:r>
        <w:rPr>
          <w:spacing w:val="-7"/>
          <w:sz w:val="24"/>
        </w:rPr>
        <w:t xml:space="preserve"> </w:t>
      </w:r>
      <w:r>
        <w:rPr>
          <w:sz w:val="24"/>
        </w:rPr>
        <w:t>Petition.</w:t>
      </w:r>
    </w:p>
    <w:p w:rsidR="007C5447" w:rsidRDefault="007C5447">
      <w:pPr>
        <w:pStyle w:val="BodyText"/>
        <w:rPr>
          <w:sz w:val="28"/>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As regards the comment on</w:t>
      </w:r>
      <w:r>
        <w:rPr>
          <w:sz w:val="24"/>
        </w:rPr>
        <w:t xml:space="preserve"> joining UDAY without any justification, TANGEDCO submitted that before joining UDAY, GoTN wanted to make certain modifications in the UDAY scheme proposed by GoI. After acceptance of certain modifications proposed, GoTN accepted to participate in UDAY and</w:t>
      </w:r>
      <w:r>
        <w:rPr>
          <w:sz w:val="24"/>
        </w:rPr>
        <w:t xml:space="preserve"> entered into an MoU between GoI, GoTN and TANGEDCO on January 9, 2017. The details and impact of UDAY scheme have been submitted in the</w:t>
      </w:r>
      <w:r>
        <w:rPr>
          <w:spacing w:val="-3"/>
          <w:sz w:val="24"/>
        </w:rPr>
        <w:t xml:space="preserve"> </w:t>
      </w:r>
      <w:r>
        <w:rPr>
          <w:sz w:val="24"/>
        </w:rPr>
        <w:t>Petition.</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TANGEDCO submitted that it has an accumulated loss of Rs. 61,993.54 Crore upto FY 2015-16. The benefit accru</w:t>
      </w:r>
      <w:r>
        <w:rPr>
          <w:sz w:val="24"/>
        </w:rPr>
        <w:t>ed on account of reduction in cost and surplus earned in any year will be adjusted against the accumulated loss, and the balance amount will be passed on to the consumers with approval of the</w:t>
      </w:r>
      <w:r>
        <w:rPr>
          <w:spacing w:val="-3"/>
          <w:sz w:val="24"/>
        </w:rPr>
        <w:t xml:space="preserve"> </w:t>
      </w:r>
      <w:r>
        <w:rPr>
          <w:sz w:val="24"/>
        </w:rPr>
        <w:t>Commission.</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TANGEDCO further submitted that Section 62(6) of the Electricity Act, 2003 provides that if any Licensee recovers a price or charge exceeding the tariff determined under this section, the excess amount shall be recoverable by the person who has paid such p</w:t>
      </w:r>
      <w:r>
        <w:rPr>
          <w:sz w:val="24"/>
        </w:rPr>
        <w:t>rice or charge along with interest equivalent to the Bank Rate without prejudice to any other liability incurred by the</w:t>
      </w:r>
      <w:r>
        <w:rPr>
          <w:spacing w:val="-14"/>
          <w:sz w:val="24"/>
        </w:rPr>
        <w:t xml:space="preserve"> </w:t>
      </w:r>
      <w:r>
        <w:rPr>
          <w:sz w:val="24"/>
        </w:rPr>
        <w:t>Licensee.</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Heading2"/>
        <w:spacing w:before="70"/>
      </w:pPr>
      <w:r>
        <w:lastRenderedPageBreak/>
        <w:t>Commission’s Views</w:t>
      </w:r>
    </w:p>
    <w:p w:rsidR="007C5447" w:rsidRDefault="00F6308C">
      <w:pPr>
        <w:pStyle w:val="ListParagraph"/>
        <w:numPr>
          <w:ilvl w:val="2"/>
          <w:numId w:val="114"/>
        </w:numPr>
        <w:tabs>
          <w:tab w:val="left" w:pos="1073"/>
        </w:tabs>
        <w:spacing w:before="201" w:line="312" w:lineRule="auto"/>
        <w:ind w:right="214" w:hanging="852"/>
        <w:jc w:val="both"/>
        <w:rPr>
          <w:sz w:val="24"/>
        </w:rPr>
      </w:pPr>
      <w:r>
        <w:rPr>
          <w:sz w:val="24"/>
        </w:rPr>
        <w:t xml:space="preserve">The true-up for the period from FY 2011-12 to FY 2015-16 has been done based on the duly </w:t>
      </w:r>
      <w:r>
        <w:rPr>
          <w:sz w:val="24"/>
        </w:rPr>
        <w:t>Audited Accounts submitted by TANGEDCO, as elaborated in Chapter 3 of this Order. A Regulatory Asset has been created against the approved cumulative Revenue Gap at the end of FY 2015-16. The treatment of the cumulative Revenue Gap determined by the Commis</w:t>
      </w:r>
      <w:r>
        <w:rPr>
          <w:sz w:val="24"/>
        </w:rPr>
        <w:t>sion has also been elaborated in Chapter 5 of this Order.</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 xml:space="preserve">The Commission has approved the CIP of TANGEDCO for FY 2016-17 to FY 2018-19 through a separate Order in Case No. M.P. No. 28 of 2016, duly considering the need for such investment, present status </w:t>
      </w:r>
      <w:r>
        <w:rPr>
          <w:sz w:val="24"/>
        </w:rPr>
        <w:t>of the investment, and the feasibility of completion of the project within the stipulated time</w:t>
      </w:r>
      <w:r>
        <w:rPr>
          <w:spacing w:val="-6"/>
          <w:sz w:val="24"/>
        </w:rPr>
        <w:t xml:space="preserve"> </w:t>
      </w:r>
      <w:r>
        <w:rPr>
          <w:sz w:val="24"/>
        </w:rPr>
        <w:t>period.</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The category-wise tariff for FY 2017-18 is based on the approved ARR and the projected Revenue Gap/(Surplus) approved for FY 2017-18 in this Order, base</w:t>
      </w:r>
      <w:r>
        <w:rPr>
          <w:sz w:val="24"/>
        </w:rPr>
        <w:t>d on the detailed analysis of own generation and power purchase expenses, and other revenue expenditure components, as elaborated in Chapter 4 of this</w:t>
      </w:r>
      <w:r>
        <w:rPr>
          <w:spacing w:val="-1"/>
          <w:sz w:val="24"/>
        </w:rPr>
        <w:t xml:space="preserve"> </w:t>
      </w:r>
      <w:r>
        <w:rPr>
          <w:sz w:val="24"/>
        </w:rPr>
        <w:t>Order.</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While the GoI has proposed the UDAY Scheme to address the financial burden and associated sicknes</w:t>
      </w:r>
      <w:r>
        <w:rPr>
          <w:sz w:val="24"/>
        </w:rPr>
        <w:t>s of DISCOMs, it is open to GoTN and TANGEDCO to join the Scheme to avail the financial and other benefits accruing out of it, subject to the conditions stipulated therein. The decision to join the UDAY scheme and the merits/demerits of the covenants of th</w:t>
      </w:r>
      <w:r>
        <w:rPr>
          <w:sz w:val="24"/>
        </w:rPr>
        <w:t>e UDAY MoU are thus, beyond the Commission’s jurisdiction, and it is for the GoTN and TANGEDCO to agree on the most optimum measures to improve the operational and financial viability of TANGEDCO.</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 xml:space="preserve">As regards TANGEDCO’s proposal to reduce the tariff for domestic category, TANGEDCO has clarified that it has proposed to give up a portion of </w:t>
      </w:r>
      <w:r>
        <w:rPr>
          <w:spacing w:val="2"/>
          <w:sz w:val="24"/>
        </w:rPr>
        <w:t xml:space="preserve">its </w:t>
      </w:r>
      <w:r>
        <w:rPr>
          <w:sz w:val="24"/>
        </w:rPr>
        <w:t>savings under UDAY to reduce the burden on the State Government, and after giving up this portion of benefit,</w:t>
      </w:r>
      <w:r>
        <w:rPr>
          <w:sz w:val="24"/>
        </w:rPr>
        <w:t xml:space="preserve"> TANGEDCO is likely to save Rs. 3082 Crore per annum in cash flow. Thus, the UDAY MoU shall translate to significant recurring benefits for TANGEDCO.</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2" w:hanging="852"/>
        <w:jc w:val="both"/>
        <w:rPr>
          <w:sz w:val="24"/>
        </w:rPr>
      </w:pPr>
      <w:r>
        <w:rPr>
          <w:sz w:val="24"/>
        </w:rPr>
        <w:t>It is clarified that in line with the approach adopted in previous Tariff Orders, which has been upheld by the Hon’ble APTEL, the Commission has not considered the impact of the FRP on the ARR of TANGEDCO, in terms of depreciation, interest</w:t>
      </w:r>
      <w:r>
        <w:rPr>
          <w:spacing w:val="21"/>
          <w:sz w:val="24"/>
        </w:rPr>
        <w:t xml:space="preserve"> </w:t>
      </w:r>
      <w:r>
        <w:rPr>
          <w:sz w:val="24"/>
        </w:rPr>
        <w:t>on</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14"/>
        <w:jc w:val="both"/>
      </w:pPr>
      <w:r>
        <w:lastRenderedPageBreak/>
        <w:t>loan, and Return on Equity. The detailed treatment of depreciation, interest on loan, and Return on Equity for the true-up period is elaborated in Chapter 3 of this Order, while the treatment for the MYT Control Period is elaborated in C</w:t>
      </w:r>
      <w:r>
        <w:t>hapter 4 of this Order.</w:t>
      </w:r>
    </w:p>
    <w:p w:rsidR="007C5447" w:rsidRDefault="007C5447">
      <w:pPr>
        <w:pStyle w:val="BodyText"/>
        <w:spacing w:before="10"/>
        <w:rPr>
          <w:sz w:val="20"/>
        </w:rPr>
      </w:pPr>
    </w:p>
    <w:p w:rsidR="007C5447" w:rsidRDefault="00F6308C">
      <w:pPr>
        <w:pStyle w:val="Heading2"/>
        <w:numPr>
          <w:ilvl w:val="1"/>
          <w:numId w:val="114"/>
        </w:numPr>
        <w:tabs>
          <w:tab w:val="left" w:pos="786"/>
          <w:tab w:val="left" w:pos="787"/>
        </w:tabs>
        <w:ind w:left="786"/>
      </w:pPr>
      <w:bookmarkStart w:id="15" w:name="_bookmark15"/>
      <w:bookmarkEnd w:id="15"/>
      <w:r>
        <w:t>O&amp;M</w:t>
      </w:r>
      <w:r>
        <w:rPr>
          <w:spacing w:val="-3"/>
        </w:rPr>
        <w:t xml:space="preserve"> </w:t>
      </w:r>
      <w:r>
        <w:t>Expenses</w:t>
      </w:r>
    </w:p>
    <w:p w:rsidR="007C5447" w:rsidRDefault="007C5447">
      <w:pPr>
        <w:pStyle w:val="BodyText"/>
        <w:spacing w:before="11"/>
        <w:rPr>
          <w:b/>
          <w:sz w:val="27"/>
        </w:rPr>
      </w:pPr>
    </w:p>
    <w:p w:rsidR="007C5447" w:rsidRDefault="00F6308C">
      <w:pPr>
        <w:ind w:left="1072"/>
        <w:jc w:val="both"/>
        <w:rPr>
          <w:b/>
          <w:sz w:val="24"/>
        </w:rPr>
      </w:pPr>
      <w:r>
        <w:rPr>
          <w:b/>
          <w:sz w:val="24"/>
        </w:rPr>
        <w:t>Stakeholder Comments</w:t>
      </w:r>
    </w:p>
    <w:p w:rsidR="007C5447" w:rsidRDefault="00F6308C">
      <w:pPr>
        <w:pStyle w:val="ListParagraph"/>
        <w:numPr>
          <w:ilvl w:val="2"/>
          <w:numId w:val="114"/>
        </w:numPr>
        <w:tabs>
          <w:tab w:val="left" w:pos="1073"/>
        </w:tabs>
        <w:spacing w:before="204" w:line="312" w:lineRule="auto"/>
        <w:ind w:right="212" w:hanging="852"/>
        <w:jc w:val="both"/>
        <w:rPr>
          <w:sz w:val="24"/>
        </w:rPr>
      </w:pPr>
      <w:r>
        <w:rPr>
          <w:sz w:val="24"/>
        </w:rPr>
        <w:t>O&amp;M Expenses incurred by TANGEDCO for FY 2011-12 to FY 2015-16 are very high. The O&amp;M expenses of all TANGEDCO’s thermal stations other than Ennore Thermal Power Station is estimated to be Rs. 30.</w:t>
      </w:r>
      <w:r>
        <w:rPr>
          <w:sz w:val="24"/>
        </w:rPr>
        <w:t>36 Lakh per MW as opposed to the CERC norms of Rs. 25.4 Lakh per MW for FY</w:t>
      </w:r>
      <w:r>
        <w:rPr>
          <w:spacing w:val="-2"/>
          <w:sz w:val="24"/>
        </w:rPr>
        <w:t xml:space="preserve"> </w:t>
      </w:r>
      <w:r>
        <w:rPr>
          <w:sz w:val="24"/>
        </w:rPr>
        <w:t>2015-16.</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TANGEDCO has projected increase of 10.18%, 3.76% and 7.45% in the O&amp;M Expenses for FY 2016-17, FY 2017-18, and FY 2018-19, respectively. The increase in Dearness Allowance</w:t>
      </w:r>
      <w:r>
        <w:rPr>
          <w:sz w:val="24"/>
        </w:rPr>
        <w:t xml:space="preserve"> (DA) has been projected as 15%. This variation in O&amp;M Expenses needs to be clarified. The Commission should not allow increase higher than the norm of</w:t>
      </w:r>
      <w:r>
        <w:rPr>
          <w:spacing w:val="-3"/>
          <w:sz w:val="24"/>
        </w:rPr>
        <w:t xml:space="preserve"> </w:t>
      </w:r>
      <w:r>
        <w:rPr>
          <w:sz w:val="24"/>
        </w:rPr>
        <w:t>5.72%.</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7" w:hanging="852"/>
        <w:jc w:val="both"/>
        <w:rPr>
          <w:sz w:val="24"/>
        </w:rPr>
      </w:pPr>
      <w:r>
        <w:rPr>
          <w:sz w:val="24"/>
        </w:rPr>
        <w:t xml:space="preserve">The Basic Pay of TANGEDCO employees has been increased by 7% with an additional 3% for employees who have completed 10 years of service, effective from December 1, 2011 based on TANGEDCO’s Order B.P (Per) F.B. Proceedings on January 11, 2014. In addition, </w:t>
      </w:r>
      <w:r>
        <w:rPr>
          <w:sz w:val="24"/>
        </w:rPr>
        <w:t>DA was also increased by GoTN for present employees and pensioners in 2016 (G.O. No 130 dated May 2, 2016) and 2015  (G.O. No. 264 dated October 16, 2015) with reference to the pay as on January 1, 2006. On the other hand, TANGEDCO has paid DA to working s</w:t>
      </w:r>
      <w:r>
        <w:rPr>
          <w:sz w:val="24"/>
        </w:rPr>
        <w:t xml:space="preserve">taff at the revised pay-scale as on December 1, 2012 and the payment of the same DA to the pensioners based on pay revised on January 1, 2006, which is discrimination in favour of the working staff. This hike in DA should not be eligible for the increment </w:t>
      </w:r>
      <w:r>
        <w:rPr>
          <w:sz w:val="24"/>
        </w:rPr>
        <w:t>effective from December 1, 2011. The Commission should not allow this additional DA claimed over the 7-10% hike in Basic Pay to the TANGEDCO employees as this increases the consumer</w:t>
      </w:r>
      <w:r>
        <w:rPr>
          <w:spacing w:val="-1"/>
          <w:sz w:val="24"/>
        </w:rPr>
        <w:t xml:space="preserve"> </w:t>
      </w:r>
      <w:r>
        <w:rPr>
          <w:sz w:val="24"/>
        </w:rPr>
        <w:t>tariffs.</w:t>
      </w:r>
    </w:p>
    <w:p w:rsidR="007C5447" w:rsidRDefault="007C5447">
      <w:pPr>
        <w:pStyle w:val="BodyText"/>
        <w:spacing w:before="1"/>
        <w:rPr>
          <w:sz w:val="21"/>
        </w:rPr>
      </w:pPr>
    </w:p>
    <w:p w:rsidR="007C5447" w:rsidRDefault="00F6308C">
      <w:pPr>
        <w:pStyle w:val="ListParagraph"/>
        <w:numPr>
          <w:ilvl w:val="2"/>
          <w:numId w:val="114"/>
        </w:numPr>
        <w:tabs>
          <w:tab w:val="left" w:pos="1072"/>
          <w:tab w:val="left" w:pos="1073"/>
        </w:tabs>
        <w:ind w:hanging="853"/>
        <w:rPr>
          <w:sz w:val="24"/>
        </w:rPr>
      </w:pPr>
      <w:r>
        <w:rPr>
          <w:sz w:val="24"/>
        </w:rPr>
        <w:t>TANGEDCO has to provide details of the efforts made to reduce ov</w:t>
      </w:r>
      <w:r>
        <w:rPr>
          <w:sz w:val="24"/>
        </w:rPr>
        <w:t>erhead</w:t>
      </w:r>
      <w:r>
        <w:rPr>
          <w:spacing w:val="-11"/>
          <w:sz w:val="24"/>
        </w:rPr>
        <w:t xml:space="preserve"> </w:t>
      </w:r>
      <w:r>
        <w:rPr>
          <w:sz w:val="24"/>
        </w:rPr>
        <w:t>expenses.</w:t>
      </w:r>
    </w:p>
    <w:p w:rsidR="007C5447" w:rsidRDefault="007C5447">
      <w:pPr>
        <w:pStyle w:val="BodyText"/>
        <w:spacing w:before="11"/>
        <w:rPr>
          <w:sz w:val="27"/>
        </w:rPr>
      </w:pPr>
    </w:p>
    <w:p w:rsidR="007C5447" w:rsidRDefault="00F6308C">
      <w:pPr>
        <w:pStyle w:val="Heading2"/>
        <w:jc w:val="both"/>
      </w:pPr>
      <w:r>
        <w:t>TANGEDCO’s Reply</w:t>
      </w:r>
    </w:p>
    <w:p w:rsidR="007C5447" w:rsidRDefault="00F6308C">
      <w:pPr>
        <w:pStyle w:val="ListParagraph"/>
        <w:numPr>
          <w:ilvl w:val="2"/>
          <w:numId w:val="114"/>
        </w:numPr>
        <w:tabs>
          <w:tab w:val="left" w:pos="1072"/>
          <w:tab w:val="left" w:pos="1073"/>
        </w:tabs>
        <w:spacing w:before="204"/>
        <w:ind w:hanging="853"/>
        <w:rPr>
          <w:sz w:val="24"/>
        </w:rPr>
      </w:pPr>
      <w:r>
        <w:rPr>
          <w:sz w:val="24"/>
        </w:rPr>
        <w:t>TANGEDCO</w:t>
      </w:r>
      <w:r>
        <w:rPr>
          <w:spacing w:val="31"/>
          <w:sz w:val="24"/>
        </w:rPr>
        <w:t xml:space="preserve"> </w:t>
      </w:r>
      <w:r>
        <w:rPr>
          <w:sz w:val="24"/>
        </w:rPr>
        <w:t>submitted</w:t>
      </w:r>
      <w:r>
        <w:rPr>
          <w:spacing w:val="31"/>
          <w:sz w:val="24"/>
        </w:rPr>
        <w:t xml:space="preserve"> </w:t>
      </w:r>
      <w:r>
        <w:rPr>
          <w:sz w:val="24"/>
        </w:rPr>
        <w:t>that</w:t>
      </w:r>
      <w:r>
        <w:rPr>
          <w:spacing w:val="32"/>
          <w:sz w:val="24"/>
        </w:rPr>
        <w:t xml:space="preserve"> </w:t>
      </w:r>
      <w:r>
        <w:rPr>
          <w:sz w:val="24"/>
        </w:rPr>
        <w:t>the</w:t>
      </w:r>
      <w:r>
        <w:rPr>
          <w:spacing w:val="31"/>
          <w:sz w:val="24"/>
        </w:rPr>
        <w:t xml:space="preserve"> </w:t>
      </w:r>
      <w:r>
        <w:rPr>
          <w:sz w:val="24"/>
        </w:rPr>
        <w:t>O&amp;M</w:t>
      </w:r>
      <w:r>
        <w:rPr>
          <w:spacing w:val="32"/>
          <w:sz w:val="24"/>
        </w:rPr>
        <w:t xml:space="preserve"> </w:t>
      </w:r>
      <w:r>
        <w:rPr>
          <w:sz w:val="24"/>
        </w:rPr>
        <w:t>Expenses</w:t>
      </w:r>
      <w:r>
        <w:rPr>
          <w:spacing w:val="33"/>
          <w:sz w:val="24"/>
        </w:rPr>
        <w:t xml:space="preserve"> </w:t>
      </w:r>
      <w:r>
        <w:rPr>
          <w:sz w:val="24"/>
        </w:rPr>
        <w:t>are</w:t>
      </w:r>
      <w:r>
        <w:rPr>
          <w:spacing w:val="30"/>
          <w:sz w:val="24"/>
        </w:rPr>
        <w:t xml:space="preserve"> </w:t>
      </w:r>
      <w:r>
        <w:rPr>
          <w:sz w:val="24"/>
        </w:rPr>
        <w:t>being</w:t>
      </w:r>
      <w:r>
        <w:rPr>
          <w:spacing w:val="29"/>
          <w:sz w:val="24"/>
        </w:rPr>
        <w:t xml:space="preserve"> </w:t>
      </w:r>
      <w:r>
        <w:rPr>
          <w:sz w:val="24"/>
        </w:rPr>
        <w:t>claimed</w:t>
      </w:r>
      <w:r>
        <w:rPr>
          <w:spacing w:val="31"/>
          <w:sz w:val="24"/>
        </w:rPr>
        <w:t xml:space="preserve"> </w:t>
      </w:r>
      <w:r>
        <w:rPr>
          <w:sz w:val="24"/>
        </w:rPr>
        <w:t>in</w:t>
      </w:r>
      <w:r>
        <w:rPr>
          <w:spacing w:val="32"/>
          <w:sz w:val="24"/>
        </w:rPr>
        <w:t xml:space="preserve"> </w:t>
      </w:r>
      <w:r>
        <w:rPr>
          <w:sz w:val="24"/>
        </w:rPr>
        <w:t>accordance</w:t>
      </w:r>
    </w:p>
    <w:p w:rsidR="007C5447" w:rsidRDefault="007C5447">
      <w:pPr>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18"/>
        <w:jc w:val="both"/>
      </w:pPr>
      <w:r>
        <w:lastRenderedPageBreak/>
        <w:t>with the Tariff Regulations. The average DA increase for the year is in the range of 15% and Basic Pay increase is about 5% (3% annual increase and annual leave encashment). The employment expenses are estimated as above and pension expenses have been esti</w:t>
      </w:r>
      <w:r>
        <w:t>mated with annual DA increase only. TANGEDCO further submitted that other than Employee Expenses, annual escalation of 5.72% as per the Tariff Regulations, has been considered.</w:t>
      </w:r>
    </w:p>
    <w:p w:rsidR="007C5447" w:rsidRDefault="007C5447">
      <w:pPr>
        <w:pStyle w:val="BodyText"/>
        <w:spacing w:before="10"/>
        <w:rPr>
          <w:sz w:val="20"/>
        </w:rPr>
      </w:pPr>
    </w:p>
    <w:p w:rsidR="007C5447" w:rsidRDefault="00F6308C">
      <w:pPr>
        <w:pStyle w:val="Heading2"/>
        <w:jc w:val="both"/>
      </w:pPr>
      <w:r>
        <w:t>Commission’s Views</w:t>
      </w:r>
    </w:p>
    <w:p w:rsidR="007C5447" w:rsidRDefault="00F6308C">
      <w:pPr>
        <w:pStyle w:val="ListParagraph"/>
        <w:numPr>
          <w:ilvl w:val="2"/>
          <w:numId w:val="114"/>
        </w:numPr>
        <w:tabs>
          <w:tab w:val="left" w:pos="1073"/>
        </w:tabs>
        <w:spacing w:before="201" w:line="312" w:lineRule="auto"/>
        <w:ind w:right="216" w:hanging="852"/>
        <w:jc w:val="both"/>
        <w:rPr>
          <w:sz w:val="24"/>
        </w:rPr>
      </w:pPr>
      <w:r>
        <w:rPr>
          <w:sz w:val="24"/>
        </w:rPr>
        <w:t>In line with the approach adopted in earlier Tariff Orders,</w:t>
      </w:r>
      <w:r>
        <w:rPr>
          <w:sz w:val="24"/>
        </w:rPr>
        <w:t xml:space="preserve"> the Commission has approved the O&amp;M expenses for each Year of the MYT Control Period in accordance with the TNERC Tariff Regulations, 2005, by considering an annual escalation of 5.72% over the trued-up O&amp;M expenses for FY 2015-16, and providing additiona</w:t>
      </w:r>
      <w:r>
        <w:rPr>
          <w:sz w:val="24"/>
        </w:rPr>
        <w:t>l DA allowance based on the prevailing GoTN notification for DA.</w:t>
      </w:r>
    </w:p>
    <w:p w:rsidR="007C5447" w:rsidRDefault="007C5447">
      <w:pPr>
        <w:pStyle w:val="BodyText"/>
        <w:rPr>
          <w:sz w:val="21"/>
        </w:rPr>
      </w:pPr>
    </w:p>
    <w:p w:rsidR="007C5447" w:rsidRDefault="00F6308C">
      <w:pPr>
        <w:pStyle w:val="Heading2"/>
        <w:numPr>
          <w:ilvl w:val="1"/>
          <w:numId w:val="114"/>
        </w:numPr>
        <w:tabs>
          <w:tab w:val="left" w:pos="786"/>
          <w:tab w:val="left" w:pos="787"/>
        </w:tabs>
        <w:ind w:left="786"/>
      </w:pPr>
      <w:bookmarkStart w:id="16" w:name="_bookmark16"/>
      <w:bookmarkEnd w:id="16"/>
      <w:r>
        <w:t>Capital</w:t>
      </w:r>
      <w:r>
        <w:rPr>
          <w:spacing w:val="-1"/>
        </w:rPr>
        <w:t xml:space="preserve"> </w:t>
      </w:r>
      <w:r>
        <w:t>Expenditure</w:t>
      </w:r>
    </w:p>
    <w:p w:rsidR="007C5447" w:rsidRDefault="007C5447">
      <w:pPr>
        <w:pStyle w:val="BodyText"/>
        <w:spacing w:before="2"/>
        <w:rPr>
          <w:b/>
          <w:sz w:val="28"/>
        </w:rPr>
      </w:pPr>
    </w:p>
    <w:p w:rsidR="007C5447" w:rsidRDefault="00F6308C">
      <w:pPr>
        <w:ind w:left="1072"/>
        <w:jc w:val="both"/>
        <w:rPr>
          <w:b/>
          <w:sz w:val="24"/>
        </w:rPr>
      </w:pPr>
      <w:r>
        <w:rPr>
          <w:b/>
          <w:sz w:val="24"/>
        </w:rPr>
        <w:t>Stakeholder Comments</w:t>
      </w:r>
    </w:p>
    <w:p w:rsidR="007C5447" w:rsidRDefault="00F6308C">
      <w:pPr>
        <w:pStyle w:val="ListParagraph"/>
        <w:numPr>
          <w:ilvl w:val="2"/>
          <w:numId w:val="114"/>
        </w:numPr>
        <w:tabs>
          <w:tab w:val="left" w:pos="1073"/>
        </w:tabs>
        <w:spacing w:before="202" w:line="312" w:lineRule="auto"/>
        <w:ind w:right="214" w:hanging="852"/>
        <w:jc w:val="both"/>
        <w:rPr>
          <w:sz w:val="24"/>
        </w:rPr>
      </w:pPr>
      <w:r>
        <w:rPr>
          <w:sz w:val="24"/>
        </w:rPr>
        <w:t>TANGEDCO has not submitted detailed break-up of Rs. 2907.85 Crore capitalization against Ennore Thermal Power Plant for FY 2015-16. There are no generation figures after FY 2018-19. If the plant is being shut down, note on decommissioning should be incorpo</w:t>
      </w:r>
      <w:r>
        <w:rPr>
          <w:sz w:val="24"/>
        </w:rPr>
        <w:t>rated in the Tariff Petition and the note on Ennore Expansion II should be</w:t>
      </w:r>
      <w:r>
        <w:rPr>
          <w:spacing w:val="-4"/>
          <w:sz w:val="24"/>
        </w:rPr>
        <w:t xml:space="preserve"> </w:t>
      </w:r>
      <w:r>
        <w:rPr>
          <w:sz w:val="24"/>
        </w:rPr>
        <w:t>incorporated.</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24" w:hanging="852"/>
        <w:jc w:val="both"/>
        <w:rPr>
          <w:sz w:val="24"/>
        </w:rPr>
      </w:pPr>
      <w:r>
        <w:rPr>
          <w:sz w:val="24"/>
        </w:rPr>
        <w:t>TANGEDCO has to follow the Hon’ble APTEL’s direction in Appeal No. 196 of 2013 that the Commission should approve the Capital Investment Plan (CIP) before it can be i</w:t>
      </w:r>
      <w:r>
        <w:rPr>
          <w:sz w:val="24"/>
        </w:rPr>
        <w:t>ncluded in the ARR Petition. Thus, the Commission may approve TANGEDCO’s ARR only after approving its</w:t>
      </w:r>
      <w:r>
        <w:rPr>
          <w:spacing w:val="-9"/>
          <w:sz w:val="24"/>
        </w:rPr>
        <w:t xml:space="preserve"> </w:t>
      </w:r>
      <w:r>
        <w:rPr>
          <w:sz w:val="24"/>
        </w:rPr>
        <w:t>CIP.</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The reason for increase in Capitalization from Rs. 8,343 Crore in FY 2014-15 to Rs. 26,394 Crore in FY 2015-16 should be</w:t>
      </w:r>
      <w:r>
        <w:rPr>
          <w:spacing w:val="-3"/>
          <w:sz w:val="24"/>
        </w:rPr>
        <w:t xml:space="preserve"> </w:t>
      </w:r>
      <w:r>
        <w:rPr>
          <w:sz w:val="24"/>
        </w:rPr>
        <w:t>provided.</w:t>
      </w:r>
    </w:p>
    <w:p w:rsidR="007C5447" w:rsidRDefault="007C5447">
      <w:pPr>
        <w:pStyle w:val="BodyText"/>
        <w:spacing w:before="10"/>
        <w:rPr>
          <w:sz w:val="20"/>
        </w:rPr>
      </w:pPr>
    </w:p>
    <w:p w:rsidR="007C5447" w:rsidRDefault="00F6308C">
      <w:pPr>
        <w:pStyle w:val="Heading2"/>
        <w:spacing w:before="1"/>
        <w:jc w:val="both"/>
      </w:pPr>
      <w:r>
        <w:t>TANGEDCO’s Reply</w:t>
      </w:r>
    </w:p>
    <w:p w:rsidR="007C5447" w:rsidRDefault="00F6308C">
      <w:pPr>
        <w:pStyle w:val="ListParagraph"/>
        <w:numPr>
          <w:ilvl w:val="2"/>
          <w:numId w:val="114"/>
        </w:numPr>
        <w:tabs>
          <w:tab w:val="left" w:pos="1072"/>
          <w:tab w:val="left" w:pos="1073"/>
        </w:tabs>
        <w:spacing w:before="201"/>
        <w:ind w:hanging="853"/>
        <w:rPr>
          <w:sz w:val="24"/>
        </w:rPr>
      </w:pPr>
      <w:r>
        <w:rPr>
          <w:sz w:val="24"/>
        </w:rPr>
        <w:t>TANGEDCO</w:t>
      </w:r>
      <w:r>
        <w:rPr>
          <w:spacing w:val="7"/>
          <w:sz w:val="24"/>
        </w:rPr>
        <w:t xml:space="preserve"> </w:t>
      </w:r>
      <w:r>
        <w:rPr>
          <w:sz w:val="24"/>
        </w:rPr>
        <w:t>submitted</w:t>
      </w:r>
      <w:r>
        <w:rPr>
          <w:spacing w:val="7"/>
          <w:sz w:val="24"/>
        </w:rPr>
        <w:t xml:space="preserve"> </w:t>
      </w:r>
      <w:r>
        <w:rPr>
          <w:sz w:val="24"/>
        </w:rPr>
        <w:t>that</w:t>
      </w:r>
      <w:r>
        <w:rPr>
          <w:spacing w:val="9"/>
          <w:sz w:val="24"/>
        </w:rPr>
        <w:t xml:space="preserve"> </w:t>
      </w:r>
      <w:r>
        <w:rPr>
          <w:sz w:val="24"/>
        </w:rPr>
        <w:t>it</w:t>
      </w:r>
      <w:r>
        <w:rPr>
          <w:spacing w:val="9"/>
          <w:sz w:val="24"/>
        </w:rPr>
        <w:t xml:space="preserve"> </w:t>
      </w:r>
      <w:r>
        <w:rPr>
          <w:sz w:val="24"/>
        </w:rPr>
        <w:t>has</w:t>
      </w:r>
      <w:r>
        <w:rPr>
          <w:spacing w:val="9"/>
          <w:sz w:val="24"/>
        </w:rPr>
        <w:t xml:space="preserve"> </w:t>
      </w:r>
      <w:r>
        <w:rPr>
          <w:sz w:val="24"/>
        </w:rPr>
        <w:t>filed</w:t>
      </w:r>
      <w:r>
        <w:rPr>
          <w:spacing w:val="8"/>
          <w:sz w:val="24"/>
        </w:rPr>
        <w:t xml:space="preserve"> </w:t>
      </w:r>
      <w:r>
        <w:rPr>
          <w:sz w:val="24"/>
        </w:rPr>
        <w:t>the</w:t>
      </w:r>
      <w:r>
        <w:rPr>
          <w:spacing w:val="8"/>
          <w:sz w:val="24"/>
        </w:rPr>
        <w:t xml:space="preserve"> </w:t>
      </w:r>
      <w:r>
        <w:rPr>
          <w:sz w:val="24"/>
        </w:rPr>
        <w:t>CIP</w:t>
      </w:r>
      <w:r>
        <w:rPr>
          <w:spacing w:val="9"/>
          <w:sz w:val="24"/>
        </w:rPr>
        <w:t xml:space="preserve"> </w:t>
      </w:r>
      <w:r>
        <w:rPr>
          <w:sz w:val="24"/>
        </w:rPr>
        <w:t>for</w:t>
      </w:r>
      <w:r>
        <w:rPr>
          <w:spacing w:val="8"/>
          <w:sz w:val="24"/>
        </w:rPr>
        <w:t xml:space="preserve"> </w:t>
      </w:r>
      <w:r>
        <w:rPr>
          <w:sz w:val="24"/>
        </w:rPr>
        <w:t>FY</w:t>
      </w:r>
      <w:r>
        <w:rPr>
          <w:spacing w:val="7"/>
          <w:sz w:val="24"/>
        </w:rPr>
        <w:t xml:space="preserve"> </w:t>
      </w:r>
      <w:r>
        <w:rPr>
          <w:sz w:val="24"/>
        </w:rPr>
        <w:t>2014-15</w:t>
      </w:r>
      <w:r>
        <w:rPr>
          <w:spacing w:val="9"/>
          <w:sz w:val="24"/>
        </w:rPr>
        <w:t xml:space="preserve"> </w:t>
      </w:r>
      <w:r>
        <w:rPr>
          <w:sz w:val="24"/>
        </w:rPr>
        <w:t>and</w:t>
      </w:r>
      <w:r>
        <w:rPr>
          <w:spacing w:val="8"/>
          <w:sz w:val="24"/>
        </w:rPr>
        <w:t xml:space="preserve"> </w:t>
      </w:r>
      <w:r>
        <w:rPr>
          <w:sz w:val="24"/>
        </w:rPr>
        <w:t>FY</w:t>
      </w:r>
      <w:r>
        <w:rPr>
          <w:spacing w:val="7"/>
          <w:sz w:val="24"/>
        </w:rPr>
        <w:t xml:space="preserve"> </w:t>
      </w:r>
      <w:r>
        <w:rPr>
          <w:sz w:val="24"/>
        </w:rPr>
        <w:t>2015-16</w:t>
      </w:r>
      <w:r>
        <w:rPr>
          <w:spacing w:val="9"/>
          <w:sz w:val="24"/>
        </w:rPr>
        <w:t xml:space="preserve"> </w:t>
      </w:r>
      <w:r>
        <w:rPr>
          <w:sz w:val="24"/>
        </w:rPr>
        <w:t>in</w:t>
      </w:r>
    </w:p>
    <w:p w:rsidR="007C5447" w:rsidRDefault="00F6308C">
      <w:pPr>
        <w:pStyle w:val="BodyText"/>
        <w:spacing w:before="84" w:line="312" w:lineRule="auto"/>
        <w:ind w:left="1072" w:right="25"/>
      </w:pPr>
      <w:r>
        <w:t>M.P. No. 39 of 2012 as directed by the Hon’ble APTEL. The Commission approved the same vide its Order dated January 31, 2017 after disallowance of certain amount.</w:t>
      </w:r>
    </w:p>
    <w:p w:rsidR="007C5447" w:rsidRDefault="007C5447">
      <w:pPr>
        <w:spacing w:line="312" w:lineRule="auto"/>
        <w:sectPr w:rsidR="007C5447">
          <w:pgSz w:w="11910" w:h="16840"/>
          <w:pgMar w:top="1500" w:right="1220" w:bottom="1620" w:left="1220" w:header="0" w:footer="1386" w:gutter="0"/>
          <w:cols w:space="720"/>
        </w:sectPr>
      </w:pPr>
    </w:p>
    <w:p w:rsidR="007C5447" w:rsidRDefault="00F6308C">
      <w:pPr>
        <w:pStyle w:val="ListParagraph"/>
        <w:numPr>
          <w:ilvl w:val="2"/>
          <w:numId w:val="114"/>
        </w:numPr>
        <w:tabs>
          <w:tab w:val="left" w:pos="1073"/>
        </w:tabs>
        <w:spacing w:before="70" w:line="312" w:lineRule="auto"/>
        <w:ind w:right="216" w:hanging="852"/>
        <w:jc w:val="both"/>
        <w:rPr>
          <w:sz w:val="24"/>
        </w:rPr>
      </w:pPr>
      <w:r>
        <w:rPr>
          <w:sz w:val="24"/>
        </w:rPr>
        <w:lastRenderedPageBreak/>
        <w:t>TANGEDCO further submitted that in line with the TNERC Tariff Regulations, 2005, it filed its CIP for the Control Period from FY 2016-17 to FY 2018-19 in M.P. No. 28 of 2016 which is pending before the</w:t>
      </w:r>
      <w:r>
        <w:rPr>
          <w:spacing w:val="-4"/>
          <w:sz w:val="24"/>
        </w:rPr>
        <w:t xml:space="preserve"> </w:t>
      </w:r>
      <w:r>
        <w:rPr>
          <w:sz w:val="24"/>
        </w:rPr>
        <w:t>Commission.</w:t>
      </w:r>
    </w:p>
    <w:p w:rsidR="007C5447" w:rsidRDefault="007C5447">
      <w:pPr>
        <w:pStyle w:val="BodyText"/>
        <w:spacing w:before="8"/>
        <w:rPr>
          <w:sz w:val="20"/>
        </w:rPr>
      </w:pPr>
    </w:p>
    <w:p w:rsidR="007C5447" w:rsidRDefault="00F6308C">
      <w:pPr>
        <w:pStyle w:val="Heading2"/>
        <w:spacing w:before="1"/>
      </w:pPr>
      <w:r>
        <w:t>Commission’s Views</w:t>
      </w:r>
    </w:p>
    <w:p w:rsidR="007C5447" w:rsidRDefault="00F6308C">
      <w:pPr>
        <w:pStyle w:val="ListParagraph"/>
        <w:numPr>
          <w:ilvl w:val="2"/>
          <w:numId w:val="114"/>
        </w:numPr>
        <w:tabs>
          <w:tab w:val="left" w:pos="1073"/>
        </w:tabs>
        <w:spacing w:before="204" w:line="312" w:lineRule="auto"/>
        <w:ind w:right="217" w:hanging="852"/>
        <w:jc w:val="both"/>
        <w:rPr>
          <w:sz w:val="24"/>
        </w:rPr>
      </w:pPr>
      <w:r>
        <w:rPr>
          <w:sz w:val="24"/>
        </w:rPr>
        <w:t>TANGEDCO has clarified</w:t>
      </w:r>
      <w:r>
        <w:rPr>
          <w:sz w:val="24"/>
        </w:rPr>
        <w:t xml:space="preserve"> that the remaining Units (I to IV) of Ennore Thermal Power Plant have been decommissioned with effect from March 31, 2017. The impact of the decommissioning on the fixed cost approved for Ennore Thermal Power Plant has been elaborated in Chapter 4 of this</w:t>
      </w:r>
      <w:r>
        <w:rPr>
          <w:spacing w:val="-1"/>
          <w:sz w:val="24"/>
        </w:rPr>
        <w:t xml:space="preserve"> </w:t>
      </w:r>
      <w:r>
        <w:rPr>
          <w:sz w:val="24"/>
        </w:rPr>
        <w:t>Order.</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The Commission has approved the CIP for FY 2014-15 and FY 2015-16 vide its Order dated January 31, 2017 in M.P. No. 39 of</w:t>
      </w:r>
      <w:r>
        <w:rPr>
          <w:spacing w:val="-6"/>
          <w:sz w:val="24"/>
        </w:rPr>
        <w:t xml:space="preserve"> </w:t>
      </w:r>
      <w:r>
        <w:rPr>
          <w:sz w:val="24"/>
        </w:rPr>
        <w:t>2012.</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The Commission has approved the CIP of TANGEDCO for FY 2016-17 to FY 2018-19 through a separate Order in M.P. No. 28 o</w:t>
      </w:r>
      <w:r>
        <w:rPr>
          <w:sz w:val="24"/>
        </w:rPr>
        <w:t>f 2016, duly considering the need for such investment, present status of the investment, and the feasibility of completion of the project within the stipulated time</w:t>
      </w:r>
      <w:r>
        <w:rPr>
          <w:spacing w:val="-2"/>
          <w:sz w:val="24"/>
        </w:rPr>
        <w:t xml:space="preserve"> </w:t>
      </w:r>
      <w:r>
        <w:rPr>
          <w:sz w:val="24"/>
        </w:rPr>
        <w:t>period.</w:t>
      </w:r>
    </w:p>
    <w:p w:rsidR="007C5447" w:rsidRDefault="007C5447">
      <w:pPr>
        <w:pStyle w:val="BodyText"/>
        <w:spacing w:before="11"/>
        <w:rPr>
          <w:sz w:val="20"/>
        </w:rPr>
      </w:pPr>
    </w:p>
    <w:p w:rsidR="007C5447" w:rsidRDefault="00F6308C">
      <w:pPr>
        <w:pStyle w:val="Heading2"/>
        <w:numPr>
          <w:ilvl w:val="1"/>
          <w:numId w:val="114"/>
        </w:numPr>
        <w:tabs>
          <w:tab w:val="left" w:pos="786"/>
          <w:tab w:val="left" w:pos="787"/>
        </w:tabs>
        <w:ind w:left="786"/>
      </w:pPr>
      <w:bookmarkStart w:id="17" w:name="_bookmark17"/>
      <w:bookmarkEnd w:id="17"/>
      <w:r>
        <w:t>Interest on Loan and Other Finance</w:t>
      </w:r>
      <w:r>
        <w:rPr>
          <w:spacing w:val="-3"/>
        </w:rPr>
        <w:t xml:space="preserve"> </w:t>
      </w:r>
      <w:r>
        <w:t>Charges</w:t>
      </w:r>
    </w:p>
    <w:p w:rsidR="007C5447" w:rsidRDefault="007C5447">
      <w:pPr>
        <w:pStyle w:val="BodyText"/>
        <w:spacing w:before="11"/>
        <w:rPr>
          <w:b/>
          <w:sz w:val="27"/>
        </w:rPr>
      </w:pPr>
    </w:p>
    <w:p w:rsidR="007C5447" w:rsidRDefault="00F6308C">
      <w:pPr>
        <w:ind w:left="1072"/>
        <w:rPr>
          <w:b/>
          <w:sz w:val="24"/>
        </w:rPr>
      </w:pPr>
      <w:r>
        <w:rPr>
          <w:b/>
          <w:sz w:val="24"/>
        </w:rPr>
        <w:t>Stakeholder Comments</w:t>
      </w:r>
    </w:p>
    <w:p w:rsidR="007C5447" w:rsidRDefault="00F6308C">
      <w:pPr>
        <w:pStyle w:val="ListParagraph"/>
        <w:numPr>
          <w:ilvl w:val="2"/>
          <w:numId w:val="114"/>
        </w:numPr>
        <w:tabs>
          <w:tab w:val="left" w:pos="1073"/>
        </w:tabs>
        <w:spacing w:before="204" w:line="312" w:lineRule="auto"/>
        <w:ind w:right="217" w:hanging="852"/>
        <w:jc w:val="both"/>
        <w:rPr>
          <w:sz w:val="24"/>
        </w:rPr>
      </w:pPr>
      <w:r>
        <w:rPr>
          <w:sz w:val="24"/>
        </w:rPr>
        <w:t>There is a huge d</w:t>
      </w:r>
      <w:r>
        <w:rPr>
          <w:sz w:val="24"/>
        </w:rPr>
        <w:t>ifference between the approved and the actual interest and finance charges for FY 2011-12 to FY 2015-16. TANGEDCO should submit explanation on the above and the Commission should conduct a separate investigation and report on performance of generating</w:t>
      </w:r>
      <w:r>
        <w:rPr>
          <w:spacing w:val="-4"/>
          <w:sz w:val="24"/>
        </w:rPr>
        <w:t xml:space="preserve"> </w:t>
      </w:r>
      <w:r>
        <w:rPr>
          <w:sz w:val="24"/>
        </w:rPr>
        <w:t>stat</w:t>
      </w:r>
      <w:r>
        <w:rPr>
          <w:sz w:val="24"/>
        </w:rPr>
        <w:t>ions.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2" w:hanging="852"/>
        <w:jc w:val="both"/>
        <w:rPr>
          <w:sz w:val="24"/>
        </w:rPr>
      </w:pPr>
      <w:r>
        <w:rPr>
          <w:sz w:val="24"/>
        </w:rPr>
        <w:t>In page 35 of the Petition, there is no mention of the quantum of loan on which the interest on loan and other financing charges are</w:t>
      </w:r>
      <w:r>
        <w:rPr>
          <w:spacing w:val="-5"/>
          <w:sz w:val="24"/>
        </w:rPr>
        <w:t xml:space="preserve"> </w:t>
      </w:r>
      <w:r>
        <w:rPr>
          <w:sz w:val="24"/>
        </w:rPr>
        <w:t>calculated.</w:t>
      </w:r>
    </w:p>
    <w:p w:rsidR="007C5447" w:rsidRDefault="007C5447">
      <w:pPr>
        <w:pStyle w:val="BodyText"/>
        <w:spacing w:before="11"/>
        <w:rPr>
          <w:sz w:val="20"/>
        </w:rPr>
      </w:pPr>
    </w:p>
    <w:p w:rsidR="007C5447" w:rsidRDefault="00F6308C">
      <w:pPr>
        <w:pStyle w:val="Heading2"/>
      </w:pPr>
      <w:r>
        <w:t>TANGEDCO’s Reply</w:t>
      </w:r>
    </w:p>
    <w:p w:rsidR="007C5447" w:rsidRDefault="00F6308C">
      <w:pPr>
        <w:pStyle w:val="ListParagraph"/>
        <w:numPr>
          <w:ilvl w:val="2"/>
          <w:numId w:val="114"/>
        </w:numPr>
        <w:tabs>
          <w:tab w:val="left" w:pos="1073"/>
        </w:tabs>
        <w:spacing w:before="202" w:line="312" w:lineRule="auto"/>
        <w:ind w:right="216" w:hanging="852"/>
        <w:jc w:val="both"/>
        <w:rPr>
          <w:sz w:val="24"/>
        </w:rPr>
      </w:pPr>
      <w:r>
        <w:rPr>
          <w:sz w:val="24"/>
        </w:rPr>
        <w:t>TANGEDCO submitted that it has filed a Petition before the Commission for True up of ARR from</w:t>
      </w:r>
      <w:r>
        <w:rPr>
          <w:sz w:val="24"/>
        </w:rPr>
        <w:t xml:space="preserve"> FY 2011-12 to FY 2015-16. </w:t>
      </w:r>
      <w:r>
        <w:rPr>
          <w:spacing w:val="-3"/>
          <w:sz w:val="24"/>
        </w:rPr>
        <w:t xml:space="preserve">In </w:t>
      </w:r>
      <w:r>
        <w:rPr>
          <w:sz w:val="24"/>
        </w:rPr>
        <w:t>the True-up Petition, reconciliation with the ARR approved by the Commission and actual expenses incurred by TANGEDCO has been</w:t>
      </w:r>
      <w:r>
        <w:rPr>
          <w:spacing w:val="-1"/>
          <w:sz w:val="24"/>
        </w:rPr>
        <w:t xml:space="preserve"> </w:t>
      </w:r>
      <w:r>
        <w:rPr>
          <w:sz w:val="24"/>
        </w:rPr>
        <w:t>submitted.</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1" w:hanging="852"/>
        <w:jc w:val="both"/>
        <w:rPr>
          <w:sz w:val="24"/>
        </w:rPr>
      </w:pPr>
      <w:r>
        <w:rPr>
          <w:sz w:val="24"/>
        </w:rPr>
        <w:t>As regards the huge difference between the interest expenses approved by the Commission</w:t>
      </w:r>
      <w:r>
        <w:rPr>
          <w:sz w:val="24"/>
        </w:rPr>
        <w:t xml:space="preserve"> and the actual interest, TANGEDCO submitted that in the earlier</w:t>
      </w:r>
      <w:r>
        <w:rPr>
          <w:spacing w:val="27"/>
          <w:sz w:val="24"/>
        </w:rPr>
        <w:t xml:space="preserve"> </w:t>
      </w:r>
      <w:r>
        <w:rPr>
          <w:sz w:val="24"/>
        </w:rPr>
        <w:t>Tariff</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16"/>
        <w:jc w:val="both"/>
      </w:pPr>
      <w:r>
        <w:lastRenderedPageBreak/>
        <w:t>Orders, the Commission had disallowed the actual interest commitment of TANGEDCO with the observation that interest expenses are higher than the interest on loan requ</w:t>
      </w:r>
      <w:r>
        <w:t xml:space="preserve">ired for actual capital expenditure. The disallowed portion of interest expenses on loan borrowed for revenue expenditure could not be recovered through tariff revision. Hence, the actual interest expenses incurred by TANGEDCO are higher than the expenses </w:t>
      </w:r>
      <w:r>
        <w:t>approved by the Commission. However, the actual interest expenses are submitted to the Commission for True up based on prudence check of the Audited</w:t>
      </w:r>
      <w:r>
        <w:rPr>
          <w:spacing w:val="-1"/>
        </w:rPr>
        <w:t xml:space="preserve"> </w:t>
      </w:r>
      <w:r>
        <w:t>Accounts.</w:t>
      </w:r>
    </w:p>
    <w:p w:rsidR="007C5447" w:rsidRDefault="007C5447">
      <w:pPr>
        <w:pStyle w:val="BodyText"/>
        <w:spacing w:before="10"/>
        <w:rPr>
          <w:sz w:val="20"/>
        </w:rPr>
      </w:pPr>
    </w:p>
    <w:p w:rsidR="007C5447" w:rsidRDefault="00F6308C">
      <w:pPr>
        <w:pStyle w:val="Heading2"/>
        <w:spacing w:before="1"/>
      </w:pPr>
      <w:r>
        <w:t>Commission’s</w:t>
      </w:r>
      <w:r>
        <w:rPr>
          <w:spacing w:val="-4"/>
        </w:rPr>
        <w:t xml:space="preserve"> </w:t>
      </w:r>
      <w:r>
        <w:t>Views</w:t>
      </w:r>
    </w:p>
    <w:p w:rsidR="007C5447" w:rsidRDefault="00F6308C">
      <w:pPr>
        <w:pStyle w:val="ListParagraph"/>
        <w:numPr>
          <w:ilvl w:val="2"/>
          <w:numId w:val="114"/>
        </w:numPr>
        <w:tabs>
          <w:tab w:val="left" w:pos="1073"/>
        </w:tabs>
        <w:spacing w:before="201" w:line="312" w:lineRule="auto"/>
        <w:ind w:right="215" w:hanging="852"/>
        <w:jc w:val="both"/>
        <w:rPr>
          <w:sz w:val="24"/>
        </w:rPr>
      </w:pPr>
      <w:r>
        <w:rPr>
          <w:sz w:val="24"/>
        </w:rPr>
        <w:t>The true-up for the period from FY 2011-12 to FY 2015-16 has been done based on the duly Audited Accounts submitted by TANGEDCO, as elaborated in Chapter 3 of this Order. However, on account of the difficulty in reconciling the loans with the capital expen</w:t>
      </w:r>
      <w:r>
        <w:rPr>
          <w:sz w:val="24"/>
        </w:rPr>
        <w:t>diture, the Commission has continued with its approach of allowing interest expenses on the normative loan requirement considering the approved capital expenditure, as well as the loan requirement for repayment of loans, in line with the approach adopted i</w:t>
      </w:r>
      <w:r>
        <w:rPr>
          <w:sz w:val="24"/>
        </w:rPr>
        <w:t>n earlier Tariff Orders, which has been upheld by the Hon’ble</w:t>
      </w:r>
      <w:r>
        <w:rPr>
          <w:spacing w:val="-1"/>
          <w:sz w:val="24"/>
        </w:rPr>
        <w:t xml:space="preserve"> </w:t>
      </w:r>
      <w:r>
        <w:rPr>
          <w:sz w:val="24"/>
        </w:rPr>
        <w:t>APTEL.</w:t>
      </w:r>
    </w:p>
    <w:p w:rsidR="007C5447" w:rsidRDefault="007C5447">
      <w:pPr>
        <w:pStyle w:val="BodyText"/>
        <w:spacing w:before="11"/>
        <w:rPr>
          <w:sz w:val="20"/>
        </w:rPr>
      </w:pPr>
    </w:p>
    <w:p w:rsidR="007C5447" w:rsidRDefault="00F6308C">
      <w:pPr>
        <w:pStyle w:val="Heading2"/>
        <w:numPr>
          <w:ilvl w:val="1"/>
          <w:numId w:val="114"/>
        </w:numPr>
        <w:tabs>
          <w:tab w:val="left" w:pos="786"/>
          <w:tab w:val="left" w:pos="787"/>
        </w:tabs>
        <w:ind w:left="786"/>
      </w:pPr>
      <w:bookmarkStart w:id="18" w:name="_bookmark18"/>
      <w:bookmarkEnd w:id="18"/>
      <w:r>
        <w:t>Non-Tariff Income</w:t>
      </w:r>
    </w:p>
    <w:p w:rsidR="007C5447" w:rsidRDefault="007C5447">
      <w:pPr>
        <w:pStyle w:val="BodyText"/>
        <w:spacing w:before="2"/>
        <w:rPr>
          <w:b/>
          <w:sz w:val="28"/>
        </w:rPr>
      </w:pPr>
    </w:p>
    <w:p w:rsidR="007C5447" w:rsidRDefault="00F6308C">
      <w:pPr>
        <w:ind w:left="1072"/>
        <w:rPr>
          <w:b/>
          <w:sz w:val="24"/>
        </w:rPr>
      </w:pPr>
      <w:r>
        <w:rPr>
          <w:b/>
          <w:sz w:val="24"/>
        </w:rPr>
        <w:t>Stakeholder Comments</w:t>
      </w:r>
    </w:p>
    <w:p w:rsidR="007C5447" w:rsidRDefault="00F6308C">
      <w:pPr>
        <w:pStyle w:val="ListParagraph"/>
        <w:numPr>
          <w:ilvl w:val="2"/>
          <w:numId w:val="114"/>
        </w:numPr>
        <w:tabs>
          <w:tab w:val="left" w:pos="1073"/>
        </w:tabs>
        <w:spacing w:before="201" w:line="312" w:lineRule="auto"/>
        <w:ind w:right="216" w:hanging="852"/>
        <w:jc w:val="both"/>
        <w:rPr>
          <w:sz w:val="24"/>
        </w:rPr>
      </w:pPr>
      <w:r>
        <w:rPr>
          <w:sz w:val="24"/>
        </w:rPr>
        <w:t>The various heads of income under Non- Tariff Income should be properly defined in order to provide greater clarity.</w:t>
      </w:r>
    </w:p>
    <w:p w:rsidR="007C5447" w:rsidRDefault="007C5447">
      <w:pPr>
        <w:pStyle w:val="BodyText"/>
        <w:spacing w:before="10"/>
        <w:rPr>
          <w:sz w:val="20"/>
        </w:rPr>
      </w:pPr>
    </w:p>
    <w:p w:rsidR="007C5447" w:rsidRDefault="00F6308C">
      <w:pPr>
        <w:pStyle w:val="Heading2"/>
        <w:spacing w:before="1"/>
      </w:pPr>
      <w:r>
        <w:t>TANGEDCO’s Reply</w:t>
      </w:r>
    </w:p>
    <w:p w:rsidR="007C5447" w:rsidRDefault="00F6308C">
      <w:pPr>
        <w:pStyle w:val="ListParagraph"/>
        <w:numPr>
          <w:ilvl w:val="2"/>
          <w:numId w:val="114"/>
        </w:numPr>
        <w:tabs>
          <w:tab w:val="left" w:pos="1073"/>
        </w:tabs>
        <w:spacing w:before="204" w:line="312" w:lineRule="auto"/>
        <w:ind w:right="216" w:hanging="852"/>
        <w:jc w:val="both"/>
        <w:rPr>
          <w:sz w:val="24"/>
        </w:rPr>
      </w:pPr>
      <w:r>
        <w:rPr>
          <w:sz w:val="24"/>
        </w:rPr>
        <w:t>TANGEDCO submitted that it has filed the Petition before the Commission</w:t>
      </w:r>
      <w:r>
        <w:rPr>
          <w:spacing w:val="38"/>
          <w:sz w:val="24"/>
        </w:rPr>
        <w:t xml:space="preserve"> </w:t>
      </w:r>
      <w:r>
        <w:rPr>
          <w:sz w:val="24"/>
        </w:rPr>
        <w:t>in accordance with the provisions contained in TN</w:t>
      </w:r>
      <w:r>
        <w:rPr>
          <w:sz w:val="24"/>
        </w:rPr>
        <w:t xml:space="preserve">ERC Tariff Regulations, 2005. </w:t>
      </w:r>
      <w:r>
        <w:rPr>
          <w:spacing w:val="-3"/>
          <w:sz w:val="24"/>
        </w:rPr>
        <w:t xml:space="preserve">It </w:t>
      </w:r>
      <w:r>
        <w:rPr>
          <w:sz w:val="24"/>
        </w:rPr>
        <w:t>has also submitted that further information required will be submitted to the  Commission to dispose of the Petition and pass Orders and that the Commission will pass relevant Orders after prudence check of information furn</w:t>
      </w:r>
      <w:r>
        <w:rPr>
          <w:sz w:val="24"/>
        </w:rPr>
        <w:t>ished by</w:t>
      </w:r>
      <w:r>
        <w:rPr>
          <w:spacing w:val="-13"/>
          <w:sz w:val="24"/>
        </w:rPr>
        <w:t xml:space="preserve"> </w:t>
      </w:r>
      <w:r>
        <w:rPr>
          <w:sz w:val="24"/>
        </w:rPr>
        <w:t>TANGEDCO.</w:t>
      </w:r>
    </w:p>
    <w:p w:rsidR="007C5447" w:rsidRDefault="007C5447">
      <w:pPr>
        <w:pStyle w:val="BodyText"/>
        <w:spacing w:before="9"/>
        <w:rPr>
          <w:sz w:val="20"/>
        </w:rPr>
      </w:pPr>
    </w:p>
    <w:p w:rsidR="007C5447" w:rsidRDefault="00F6308C">
      <w:pPr>
        <w:pStyle w:val="Heading2"/>
      </w:pPr>
      <w:r>
        <w:t>Commission’s Views</w:t>
      </w:r>
    </w:p>
    <w:p w:rsidR="007C5447" w:rsidRDefault="00F6308C">
      <w:pPr>
        <w:pStyle w:val="ListParagraph"/>
        <w:numPr>
          <w:ilvl w:val="2"/>
          <w:numId w:val="114"/>
        </w:numPr>
        <w:tabs>
          <w:tab w:val="left" w:pos="1073"/>
        </w:tabs>
        <w:spacing w:before="204" w:line="312" w:lineRule="auto"/>
        <w:ind w:right="212" w:hanging="852"/>
        <w:jc w:val="both"/>
        <w:rPr>
          <w:sz w:val="24"/>
        </w:rPr>
      </w:pPr>
      <w:r>
        <w:rPr>
          <w:sz w:val="24"/>
        </w:rPr>
        <w:t>The true-up for the period from FY 2011-12 to FY 2015-16, including Non-Tariff Income, has been done based on the duly Audited Accounts submitted by TANGEDCO, as elaborated in Chapter 3 of this Order.</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Heading2"/>
        <w:numPr>
          <w:ilvl w:val="1"/>
          <w:numId w:val="114"/>
        </w:numPr>
        <w:tabs>
          <w:tab w:val="left" w:pos="786"/>
          <w:tab w:val="left" w:pos="787"/>
        </w:tabs>
        <w:spacing w:before="70"/>
        <w:ind w:left="786"/>
      </w:pPr>
      <w:bookmarkStart w:id="19" w:name="_bookmark19"/>
      <w:bookmarkEnd w:id="19"/>
      <w:r>
        <w:lastRenderedPageBreak/>
        <w:t>Own</w:t>
      </w:r>
      <w:r>
        <w:rPr>
          <w:spacing w:val="-1"/>
        </w:rPr>
        <w:t xml:space="preserve"> </w:t>
      </w:r>
      <w:r>
        <w:t>Generation</w:t>
      </w:r>
    </w:p>
    <w:p w:rsidR="007C5447" w:rsidRDefault="007C5447">
      <w:pPr>
        <w:pStyle w:val="BodyText"/>
        <w:spacing w:before="11"/>
        <w:rPr>
          <w:b/>
          <w:sz w:val="27"/>
        </w:rPr>
      </w:pPr>
    </w:p>
    <w:p w:rsidR="007C5447" w:rsidRDefault="00F6308C">
      <w:pPr>
        <w:ind w:left="1072"/>
        <w:rPr>
          <w:b/>
          <w:sz w:val="24"/>
        </w:rPr>
      </w:pPr>
      <w:r>
        <w:rPr>
          <w:b/>
          <w:sz w:val="24"/>
        </w:rPr>
        <w:t>Stakeholder Comments</w:t>
      </w:r>
    </w:p>
    <w:p w:rsidR="007C5447" w:rsidRDefault="00F6308C">
      <w:pPr>
        <w:pStyle w:val="ListParagraph"/>
        <w:numPr>
          <w:ilvl w:val="2"/>
          <w:numId w:val="114"/>
        </w:numPr>
        <w:tabs>
          <w:tab w:val="left" w:pos="1073"/>
        </w:tabs>
        <w:spacing w:before="204" w:line="312" w:lineRule="auto"/>
        <w:ind w:right="211" w:hanging="852"/>
        <w:jc w:val="both"/>
        <w:rPr>
          <w:sz w:val="24"/>
        </w:rPr>
      </w:pPr>
      <w:r>
        <w:rPr>
          <w:sz w:val="24"/>
        </w:rPr>
        <w:t>The proposed values of Specific Oil Consumption of thermal power stations for FY 2016-17, FY 2017-18, and FY 2018-19 are higher than the existing values and very high compared to the norms of 0.5 ml/kWh specified in CERC (Terms and Conditions) Regulations,</w:t>
      </w:r>
      <w:r>
        <w:rPr>
          <w:sz w:val="24"/>
        </w:rPr>
        <w:t xml:space="preserve"> 2014. Clarification needs to be provided for the very high specific oil consumption proposed for generation plants of TANGEDCO for FY 2017-18 and FY 2018-19. The CERC norms should be</w:t>
      </w:r>
      <w:r>
        <w:rPr>
          <w:spacing w:val="-5"/>
          <w:sz w:val="24"/>
        </w:rPr>
        <w:t xml:space="preserve"> </w:t>
      </w:r>
      <w:r>
        <w:rPr>
          <w:sz w:val="24"/>
        </w:rPr>
        <w:t>implemented.</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6" w:hanging="852"/>
        <w:jc w:val="both"/>
        <w:rPr>
          <w:sz w:val="24"/>
        </w:rPr>
      </w:pPr>
      <w:r>
        <w:rPr>
          <w:sz w:val="24"/>
        </w:rPr>
        <w:t>The Directorate of Revenue Intelligence (DRI) reported tha</w:t>
      </w:r>
      <w:r>
        <w:rPr>
          <w:sz w:val="24"/>
        </w:rPr>
        <w:t>t TANGEDCO has imported coal at $ 82/tonne against the actual average import prices of $ 40 - $ 50/tonne during 2015, which would have resulted in a loss of Rs. 1400 Crore per annum. The coal import details should be furnished by TANGEDCO for the entire pe</w:t>
      </w:r>
      <w:r>
        <w:rPr>
          <w:sz w:val="24"/>
        </w:rPr>
        <w:t>riod of true-up and prudence check should be done by the Commission before approving the</w:t>
      </w:r>
      <w:r>
        <w:rPr>
          <w:spacing w:val="-4"/>
          <w:sz w:val="24"/>
        </w:rPr>
        <w:t xml:space="preserve"> </w:t>
      </w:r>
      <w:r>
        <w:rPr>
          <w:sz w:val="24"/>
        </w:rPr>
        <w:t>ARR.</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An investigation on over-invoicing of imported coal, which is not suitable for TANGEDCO’s thermal power plants, should be</w:t>
      </w:r>
      <w:r>
        <w:rPr>
          <w:spacing w:val="-1"/>
          <w:sz w:val="24"/>
        </w:rPr>
        <w:t xml:space="preserve"> </w:t>
      </w:r>
      <w:r>
        <w:rPr>
          <w:sz w:val="24"/>
        </w:rPr>
        <w:t>conducted.</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TANGEDCO has to provide det</w:t>
      </w:r>
      <w:r>
        <w:rPr>
          <w:sz w:val="24"/>
        </w:rPr>
        <w:t>ails of the cost of coal purchased in the last year, and the variation of the same in future. The following data has to be furnished by TANGEDCO:</w:t>
      </w:r>
    </w:p>
    <w:p w:rsidR="007C5447" w:rsidRDefault="007C5447">
      <w:pPr>
        <w:pStyle w:val="BodyText"/>
        <w:spacing w:before="11"/>
        <w:rPr>
          <w:sz w:val="20"/>
        </w:rPr>
      </w:pPr>
    </w:p>
    <w:p w:rsidR="007C5447" w:rsidRDefault="00F6308C">
      <w:pPr>
        <w:pStyle w:val="ListParagraph"/>
        <w:numPr>
          <w:ilvl w:val="0"/>
          <w:numId w:val="102"/>
        </w:numPr>
        <w:tabs>
          <w:tab w:val="left" w:pos="1661"/>
        </w:tabs>
        <w:spacing w:line="304" w:lineRule="auto"/>
        <w:ind w:right="221" w:hanging="360"/>
        <w:jc w:val="left"/>
        <w:rPr>
          <w:sz w:val="24"/>
        </w:rPr>
      </w:pPr>
      <w:r>
        <w:rPr>
          <w:sz w:val="24"/>
        </w:rPr>
        <w:t>Station-wise cost of coal (separately for indigenous and imported) with transport cost break-up for Truing-up</w:t>
      </w:r>
      <w:r>
        <w:rPr>
          <w:sz w:val="24"/>
        </w:rPr>
        <w:t xml:space="preserve"> and Tariff</w:t>
      </w:r>
      <w:r>
        <w:rPr>
          <w:spacing w:val="-1"/>
          <w:sz w:val="24"/>
        </w:rPr>
        <w:t xml:space="preserve"> </w:t>
      </w:r>
      <w:r>
        <w:rPr>
          <w:sz w:val="24"/>
        </w:rPr>
        <w:t>Period.</w:t>
      </w:r>
    </w:p>
    <w:p w:rsidR="007C5447" w:rsidRDefault="00F6308C">
      <w:pPr>
        <w:pStyle w:val="ListParagraph"/>
        <w:numPr>
          <w:ilvl w:val="0"/>
          <w:numId w:val="102"/>
        </w:numPr>
        <w:tabs>
          <w:tab w:val="left" w:pos="1661"/>
        </w:tabs>
        <w:spacing w:before="11" w:line="307" w:lineRule="auto"/>
        <w:ind w:right="222" w:hanging="360"/>
        <w:jc w:val="left"/>
        <w:rPr>
          <w:sz w:val="24"/>
        </w:rPr>
      </w:pPr>
      <w:r>
        <w:rPr>
          <w:sz w:val="24"/>
        </w:rPr>
        <w:t xml:space="preserve">Specific Tariff approved for TANGEDCO’s Mini/ Micro Hydel and other power plants </w:t>
      </w:r>
      <w:r>
        <w:rPr>
          <w:spacing w:val="2"/>
          <w:sz w:val="24"/>
        </w:rPr>
        <w:t xml:space="preserve">by </w:t>
      </w:r>
      <w:r>
        <w:rPr>
          <w:sz w:val="24"/>
        </w:rPr>
        <w:t>the</w:t>
      </w:r>
      <w:r>
        <w:rPr>
          <w:spacing w:val="-8"/>
          <w:sz w:val="24"/>
        </w:rPr>
        <w:t xml:space="preserve"> </w:t>
      </w:r>
      <w:r>
        <w:rPr>
          <w:sz w:val="24"/>
        </w:rPr>
        <w:t>Commission.</w:t>
      </w:r>
    </w:p>
    <w:p w:rsidR="007C5447" w:rsidRDefault="007C5447">
      <w:pPr>
        <w:pStyle w:val="BodyText"/>
        <w:spacing w:before="1"/>
        <w:rPr>
          <w:sz w:val="21"/>
        </w:rPr>
      </w:pPr>
    </w:p>
    <w:p w:rsidR="007C5447" w:rsidRDefault="00F6308C">
      <w:pPr>
        <w:pStyle w:val="ListParagraph"/>
        <w:numPr>
          <w:ilvl w:val="2"/>
          <w:numId w:val="114"/>
        </w:numPr>
        <w:tabs>
          <w:tab w:val="left" w:pos="1073"/>
        </w:tabs>
        <w:spacing w:before="1" w:line="312" w:lineRule="auto"/>
        <w:ind w:right="214" w:hanging="852"/>
        <w:jc w:val="both"/>
        <w:rPr>
          <w:sz w:val="24"/>
        </w:rPr>
      </w:pPr>
      <w:r>
        <w:rPr>
          <w:sz w:val="24"/>
        </w:rPr>
        <w:t>The deficiencies highlighted in CAG Report regarding operation of thermal power stations of TANGEDCO have to be addressed by TANGEDCO and the steps taken to promote operational efficiency of generating stations have to be spelt out. TANGEDCO has to also ju</w:t>
      </w:r>
      <w:r>
        <w:rPr>
          <w:sz w:val="24"/>
        </w:rPr>
        <w:t>stify burdening the consumer with the cost of such financial mismanagement. The reduction in major expenses by TANGEDCO has to be discussed in</w:t>
      </w:r>
      <w:r>
        <w:rPr>
          <w:spacing w:val="-2"/>
          <w:sz w:val="24"/>
        </w:rPr>
        <w:t xml:space="preserve"> </w:t>
      </w:r>
      <w:r>
        <w:rPr>
          <w:sz w:val="24"/>
        </w:rPr>
        <w:t>detail.</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4" w:lineRule="auto"/>
        <w:ind w:right="215" w:hanging="852"/>
        <w:jc w:val="both"/>
        <w:rPr>
          <w:sz w:val="24"/>
        </w:rPr>
      </w:pPr>
      <w:r>
        <w:rPr>
          <w:sz w:val="24"/>
        </w:rPr>
        <w:t>On page 29 of the Petition, computation of fuel expense varies widely because of large-scale</w:t>
      </w:r>
      <w:r>
        <w:rPr>
          <w:spacing w:val="36"/>
          <w:sz w:val="24"/>
        </w:rPr>
        <w:t xml:space="preserve"> </w:t>
      </w:r>
      <w:r>
        <w:rPr>
          <w:sz w:val="24"/>
        </w:rPr>
        <w:t>corruption</w:t>
      </w:r>
      <w:r>
        <w:rPr>
          <w:spacing w:val="35"/>
          <w:sz w:val="24"/>
        </w:rPr>
        <w:t xml:space="preserve"> </w:t>
      </w:r>
      <w:r>
        <w:rPr>
          <w:sz w:val="24"/>
        </w:rPr>
        <w:t>in</w:t>
      </w:r>
      <w:r>
        <w:rPr>
          <w:spacing w:val="38"/>
          <w:sz w:val="24"/>
        </w:rPr>
        <w:t xml:space="preserve"> </w:t>
      </w:r>
      <w:r>
        <w:rPr>
          <w:sz w:val="24"/>
        </w:rPr>
        <w:t>purchase</w:t>
      </w:r>
      <w:r>
        <w:rPr>
          <w:spacing w:val="35"/>
          <w:sz w:val="24"/>
        </w:rPr>
        <w:t xml:space="preserve"> </w:t>
      </w:r>
      <w:r>
        <w:rPr>
          <w:sz w:val="24"/>
        </w:rPr>
        <w:t>of</w:t>
      </w:r>
      <w:r>
        <w:rPr>
          <w:spacing w:val="35"/>
          <w:sz w:val="24"/>
        </w:rPr>
        <w:t xml:space="preserve"> </w:t>
      </w:r>
      <w:r>
        <w:rPr>
          <w:sz w:val="24"/>
        </w:rPr>
        <w:t>coal.</w:t>
      </w:r>
      <w:r>
        <w:rPr>
          <w:spacing w:val="36"/>
          <w:sz w:val="24"/>
        </w:rPr>
        <w:t xml:space="preserve"> </w:t>
      </w:r>
      <w:r>
        <w:rPr>
          <w:sz w:val="24"/>
        </w:rPr>
        <w:t>The</w:t>
      </w:r>
      <w:r>
        <w:rPr>
          <w:spacing w:val="39"/>
          <w:sz w:val="24"/>
        </w:rPr>
        <w:t xml:space="preserve"> </w:t>
      </w:r>
      <w:r>
        <w:rPr>
          <w:sz w:val="24"/>
        </w:rPr>
        <w:t>quantum</w:t>
      </w:r>
      <w:r>
        <w:rPr>
          <w:spacing w:val="36"/>
          <w:sz w:val="24"/>
        </w:rPr>
        <w:t xml:space="preserve"> </w:t>
      </w:r>
      <w:r>
        <w:rPr>
          <w:sz w:val="24"/>
        </w:rPr>
        <w:t>of</w:t>
      </w:r>
      <w:r>
        <w:rPr>
          <w:spacing w:val="35"/>
          <w:sz w:val="24"/>
        </w:rPr>
        <w:t xml:space="preserve"> </w:t>
      </w:r>
      <w:r>
        <w:rPr>
          <w:sz w:val="24"/>
        </w:rPr>
        <w:t>imported</w:t>
      </w:r>
      <w:r>
        <w:rPr>
          <w:spacing w:val="37"/>
          <w:sz w:val="24"/>
        </w:rPr>
        <w:t xml:space="preserve"> </w:t>
      </w:r>
      <w:r>
        <w:rPr>
          <w:sz w:val="24"/>
        </w:rPr>
        <w:t>high</w:t>
      </w:r>
      <w:r>
        <w:rPr>
          <w:spacing w:val="34"/>
          <w:sz w:val="24"/>
        </w:rPr>
        <w:t xml:space="preserve"> </w:t>
      </w:r>
      <w:r>
        <w:rPr>
          <w:sz w:val="24"/>
        </w:rPr>
        <w:t>quality</w:t>
      </w:r>
    </w:p>
    <w:p w:rsidR="007C5447" w:rsidRDefault="007C5447">
      <w:pPr>
        <w:spacing w:line="314"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ind w:left="1072"/>
      </w:pPr>
      <w:r>
        <w:lastRenderedPageBreak/>
        <w:t>coal used is not reflected in the Petition.</w:t>
      </w:r>
    </w:p>
    <w:p w:rsidR="007C5447" w:rsidRDefault="007C5447">
      <w:pPr>
        <w:pStyle w:val="BodyText"/>
        <w:spacing w:before="11"/>
        <w:rPr>
          <w:sz w:val="27"/>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At present, TANGEDCO has the capability to generate thermal energy at the rate of approximately Rs. 3 per unit. At the same time, the p</w:t>
      </w:r>
      <w:r>
        <w:rPr>
          <w:sz w:val="24"/>
        </w:rPr>
        <w:t>rivate generators are not capable enough and experienced to generate thermal energy at less than Rs. 5.50 per unit. Because of this incapability, huge quantity of coal is being wasted leading to loss of national</w:t>
      </w:r>
      <w:r>
        <w:rPr>
          <w:spacing w:val="-1"/>
          <w:sz w:val="24"/>
        </w:rPr>
        <w:t xml:space="preserve"> </w:t>
      </w:r>
      <w:r>
        <w:rPr>
          <w:sz w:val="24"/>
        </w:rPr>
        <w:t>wealth.</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20" w:hanging="852"/>
        <w:jc w:val="both"/>
        <w:rPr>
          <w:sz w:val="24"/>
        </w:rPr>
      </w:pPr>
      <w:r>
        <w:rPr>
          <w:sz w:val="24"/>
        </w:rPr>
        <w:t xml:space="preserve">TANGEDCO has concealed the details </w:t>
      </w:r>
      <w:r>
        <w:rPr>
          <w:sz w:val="24"/>
        </w:rPr>
        <w:t>of power generated by Valuthur II of 92 MW unit. This plant was regularly shut down in order to facilitate the allotment of natural gas to nearby private plants from whom TANGEDCO purchases power at high</w:t>
      </w:r>
      <w:r>
        <w:rPr>
          <w:spacing w:val="-11"/>
          <w:sz w:val="24"/>
        </w:rPr>
        <w:t xml:space="preserve"> </w:t>
      </w:r>
      <w:r>
        <w:rPr>
          <w:sz w:val="24"/>
        </w:rPr>
        <w:t>cost.</w:t>
      </w:r>
    </w:p>
    <w:p w:rsidR="007C5447" w:rsidRDefault="007C5447">
      <w:pPr>
        <w:pStyle w:val="BodyText"/>
        <w:spacing w:before="9"/>
        <w:rPr>
          <w:sz w:val="20"/>
        </w:rPr>
      </w:pPr>
    </w:p>
    <w:p w:rsidR="007C5447" w:rsidRDefault="00F6308C">
      <w:pPr>
        <w:pStyle w:val="ListParagraph"/>
        <w:numPr>
          <w:ilvl w:val="2"/>
          <w:numId w:val="114"/>
        </w:numPr>
        <w:tabs>
          <w:tab w:val="left" w:pos="1073"/>
        </w:tabs>
        <w:spacing w:before="1" w:line="312" w:lineRule="auto"/>
        <w:ind w:right="221" w:hanging="852"/>
        <w:jc w:val="both"/>
        <w:rPr>
          <w:sz w:val="24"/>
        </w:rPr>
      </w:pPr>
      <w:r>
        <w:rPr>
          <w:sz w:val="24"/>
        </w:rPr>
        <w:t>The variable cost of NCTPS I and II varies sharply to an extent of 50% in the same year, which needs to be</w:t>
      </w:r>
      <w:r>
        <w:rPr>
          <w:spacing w:val="1"/>
          <w:sz w:val="24"/>
        </w:rPr>
        <w:t xml:space="preserve"> </w:t>
      </w:r>
      <w:r>
        <w:rPr>
          <w:sz w:val="24"/>
        </w:rPr>
        <w:t>examined.</w:t>
      </w:r>
    </w:p>
    <w:p w:rsidR="007C5447" w:rsidRDefault="007C5447">
      <w:pPr>
        <w:pStyle w:val="BodyText"/>
        <w:spacing w:before="10"/>
        <w:rPr>
          <w:sz w:val="20"/>
        </w:rPr>
      </w:pPr>
    </w:p>
    <w:p w:rsidR="007C5447" w:rsidRDefault="00F6308C">
      <w:pPr>
        <w:pStyle w:val="Heading2"/>
      </w:pPr>
      <w:r>
        <w:t>TANGEDCO’s Reply</w:t>
      </w:r>
    </w:p>
    <w:p w:rsidR="007C5447" w:rsidRDefault="00F6308C">
      <w:pPr>
        <w:pStyle w:val="ListParagraph"/>
        <w:numPr>
          <w:ilvl w:val="2"/>
          <w:numId w:val="114"/>
        </w:numPr>
        <w:tabs>
          <w:tab w:val="left" w:pos="1073"/>
        </w:tabs>
        <w:spacing w:before="204" w:line="312" w:lineRule="auto"/>
        <w:ind w:right="213" w:hanging="852"/>
        <w:jc w:val="both"/>
        <w:rPr>
          <w:sz w:val="24"/>
        </w:rPr>
      </w:pPr>
      <w:r>
        <w:rPr>
          <w:sz w:val="24"/>
        </w:rPr>
        <w:t>TANGEDCO submitted that it has filed the Petition before the Commission</w:t>
      </w:r>
      <w:r>
        <w:rPr>
          <w:spacing w:val="35"/>
          <w:sz w:val="24"/>
        </w:rPr>
        <w:t xml:space="preserve"> </w:t>
      </w:r>
      <w:r>
        <w:rPr>
          <w:sz w:val="24"/>
        </w:rPr>
        <w:t>in accordance with the provisions contained in TN</w:t>
      </w:r>
      <w:r>
        <w:rPr>
          <w:sz w:val="24"/>
        </w:rPr>
        <w:t xml:space="preserve">ERC Tariff Regulations, 2005. </w:t>
      </w:r>
      <w:r>
        <w:rPr>
          <w:spacing w:val="-3"/>
          <w:sz w:val="24"/>
        </w:rPr>
        <w:t xml:space="preserve">It </w:t>
      </w:r>
      <w:r>
        <w:rPr>
          <w:sz w:val="24"/>
        </w:rPr>
        <w:t>has also submitted that further information required will be submitted to the  Commission to dispose of the Petition and pass Orders and that the Commission will pass relevant Orders after prudence check of information furn</w:t>
      </w:r>
      <w:r>
        <w:rPr>
          <w:sz w:val="24"/>
        </w:rPr>
        <w:t>ished by</w:t>
      </w:r>
      <w:r>
        <w:rPr>
          <w:spacing w:val="-13"/>
          <w:sz w:val="24"/>
        </w:rPr>
        <w:t xml:space="preserve"> </w:t>
      </w:r>
      <w:r>
        <w:rPr>
          <w:sz w:val="24"/>
        </w:rPr>
        <w:t>TANGEDCO.</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21" w:hanging="852"/>
        <w:jc w:val="both"/>
        <w:rPr>
          <w:sz w:val="24"/>
        </w:rPr>
      </w:pPr>
      <w:r>
        <w:rPr>
          <w:sz w:val="24"/>
        </w:rPr>
        <w:t>TANGEDCO submitted that the projections of Specific Fuel Consumption for FY 2016-17 were made based on the actual values upto September 2016 and the Commission has been requested to relax the norms of Specific Fuel</w:t>
      </w:r>
      <w:r>
        <w:rPr>
          <w:spacing w:val="-9"/>
          <w:sz w:val="24"/>
        </w:rPr>
        <w:t xml:space="preserve"> </w:t>
      </w:r>
      <w:r>
        <w:rPr>
          <w:sz w:val="24"/>
        </w:rPr>
        <w:t>Consumption.</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The variable cost is calculated on actual fuel cost basis for which necessary computations and proof has been submitted to the</w:t>
      </w:r>
      <w:r>
        <w:rPr>
          <w:spacing w:val="1"/>
          <w:sz w:val="24"/>
        </w:rPr>
        <w:t xml:space="preserve"> </w:t>
      </w:r>
      <w:r>
        <w:rPr>
          <w:sz w:val="24"/>
        </w:rPr>
        <w:t>Commission.</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5" w:hanging="852"/>
        <w:jc w:val="both"/>
        <w:rPr>
          <w:sz w:val="24"/>
        </w:rPr>
      </w:pPr>
      <w:r>
        <w:rPr>
          <w:sz w:val="24"/>
        </w:rPr>
        <w:t xml:space="preserve">The Petitioner submitted that it is procuring imported coal based on the provisions of The Tamil Nadu </w:t>
      </w:r>
      <w:r>
        <w:rPr>
          <w:sz w:val="24"/>
        </w:rPr>
        <w:t>Transparency in Tenders Act, 1998. The station-wise details of both domestic and imported coal cost has been furnished to the Commission for prudence check.</w:t>
      </w:r>
    </w:p>
    <w:p w:rsidR="007C5447" w:rsidRDefault="007C5447">
      <w:pPr>
        <w:pStyle w:val="BodyText"/>
        <w:spacing w:before="10"/>
        <w:rPr>
          <w:sz w:val="20"/>
        </w:rPr>
      </w:pPr>
    </w:p>
    <w:p w:rsidR="007C5447" w:rsidRDefault="00F6308C">
      <w:pPr>
        <w:pStyle w:val="Heading2"/>
      </w:pPr>
      <w:r>
        <w:t>Commission’s Views</w:t>
      </w:r>
    </w:p>
    <w:p w:rsidR="007C5447" w:rsidRDefault="00F6308C">
      <w:pPr>
        <w:pStyle w:val="ListParagraph"/>
        <w:numPr>
          <w:ilvl w:val="2"/>
          <w:numId w:val="114"/>
        </w:numPr>
        <w:tabs>
          <w:tab w:val="left" w:pos="1073"/>
        </w:tabs>
        <w:spacing w:before="201" w:line="312" w:lineRule="auto"/>
        <w:ind w:right="218" w:hanging="852"/>
        <w:jc w:val="both"/>
        <w:rPr>
          <w:sz w:val="24"/>
        </w:rPr>
      </w:pPr>
      <w:r>
        <w:rPr>
          <w:sz w:val="24"/>
        </w:rPr>
        <w:t>The Commission has approved the station-wise cost of generation by considering the norms of operation specified in the TNERC Tariff Regulations, 2005, as elaborated in</w:t>
      </w:r>
      <w:r>
        <w:rPr>
          <w:spacing w:val="23"/>
          <w:sz w:val="24"/>
        </w:rPr>
        <w:t xml:space="preserve"> </w:t>
      </w:r>
      <w:r>
        <w:rPr>
          <w:sz w:val="24"/>
        </w:rPr>
        <w:t>Chapter</w:t>
      </w:r>
      <w:r>
        <w:rPr>
          <w:spacing w:val="22"/>
          <w:sz w:val="24"/>
        </w:rPr>
        <w:t xml:space="preserve"> </w:t>
      </w:r>
      <w:r>
        <w:rPr>
          <w:sz w:val="24"/>
        </w:rPr>
        <w:t>4</w:t>
      </w:r>
      <w:r>
        <w:rPr>
          <w:spacing w:val="25"/>
          <w:sz w:val="24"/>
        </w:rPr>
        <w:t xml:space="preserve"> </w:t>
      </w:r>
      <w:r>
        <w:rPr>
          <w:sz w:val="24"/>
        </w:rPr>
        <w:t>of</w:t>
      </w:r>
      <w:r>
        <w:rPr>
          <w:spacing w:val="25"/>
          <w:sz w:val="24"/>
        </w:rPr>
        <w:t xml:space="preserve"> </w:t>
      </w:r>
      <w:r>
        <w:rPr>
          <w:sz w:val="24"/>
        </w:rPr>
        <w:t>this</w:t>
      </w:r>
      <w:r>
        <w:rPr>
          <w:spacing w:val="23"/>
          <w:sz w:val="24"/>
        </w:rPr>
        <w:t xml:space="preserve"> </w:t>
      </w:r>
      <w:r>
        <w:rPr>
          <w:sz w:val="24"/>
        </w:rPr>
        <w:t>Order.</w:t>
      </w:r>
      <w:r>
        <w:rPr>
          <w:spacing w:val="23"/>
          <w:sz w:val="24"/>
        </w:rPr>
        <w:t xml:space="preserve"> </w:t>
      </w:r>
      <w:r>
        <w:rPr>
          <w:sz w:val="24"/>
        </w:rPr>
        <w:t>The</w:t>
      </w:r>
      <w:r>
        <w:rPr>
          <w:spacing w:val="24"/>
          <w:sz w:val="24"/>
        </w:rPr>
        <w:t xml:space="preserve"> </w:t>
      </w:r>
      <w:r>
        <w:rPr>
          <w:sz w:val="24"/>
        </w:rPr>
        <w:t>latest</w:t>
      </w:r>
      <w:r>
        <w:rPr>
          <w:spacing w:val="24"/>
          <w:sz w:val="24"/>
        </w:rPr>
        <w:t xml:space="preserve"> </w:t>
      </w:r>
      <w:r>
        <w:rPr>
          <w:sz w:val="24"/>
        </w:rPr>
        <w:t>available</w:t>
      </w:r>
      <w:r>
        <w:rPr>
          <w:spacing w:val="23"/>
          <w:sz w:val="24"/>
        </w:rPr>
        <w:t xml:space="preserve"> </w:t>
      </w:r>
      <w:r>
        <w:rPr>
          <w:sz w:val="24"/>
        </w:rPr>
        <w:t>cost</w:t>
      </w:r>
      <w:r>
        <w:rPr>
          <w:spacing w:val="23"/>
          <w:sz w:val="24"/>
        </w:rPr>
        <w:t xml:space="preserve"> </w:t>
      </w:r>
      <w:r>
        <w:rPr>
          <w:sz w:val="24"/>
        </w:rPr>
        <w:t>of</w:t>
      </w:r>
      <w:r>
        <w:rPr>
          <w:spacing w:val="23"/>
          <w:sz w:val="24"/>
        </w:rPr>
        <w:t xml:space="preserve"> </w:t>
      </w:r>
      <w:r>
        <w:rPr>
          <w:sz w:val="24"/>
        </w:rPr>
        <w:t>fuel</w:t>
      </w:r>
      <w:r>
        <w:rPr>
          <w:spacing w:val="26"/>
          <w:sz w:val="24"/>
        </w:rPr>
        <w:t xml:space="preserve"> </w:t>
      </w:r>
      <w:r>
        <w:rPr>
          <w:sz w:val="24"/>
        </w:rPr>
        <w:t>and</w:t>
      </w:r>
      <w:r>
        <w:rPr>
          <w:spacing w:val="23"/>
          <w:sz w:val="24"/>
        </w:rPr>
        <w:t xml:space="preserve"> </w:t>
      </w:r>
      <w:r>
        <w:rPr>
          <w:sz w:val="24"/>
        </w:rPr>
        <w:t>Calorific</w:t>
      </w:r>
      <w:r>
        <w:rPr>
          <w:spacing w:val="24"/>
          <w:sz w:val="24"/>
        </w:rPr>
        <w:t xml:space="preserve"> </w:t>
      </w:r>
      <w:r>
        <w:rPr>
          <w:sz w:val="24"/>
        </w:rPr>
        <w:t>Value</w:t>
      </w:r>
      <w:r>
        <w:rPr>
          <w:spacing w:val="22"/>
          <w:sz w:val="24"/>
        </w:rPr>
        <w:t xml:space="preserve"> </w:t>
      </w:r>
      <w:r>
        <w:rPr>
          <w:sz w:val="24"/>
        </w:rPr>
        <w:t>of</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ind w:left="1072"/>
      </w:pPr>
      <w:r>
        <w:lastRenderedPageBreak/>
        <w:t>fuel have been considered to compute the approved cost of generation.</w:t>
      </w:r>
    </w:p>
    <w:p w:rsidR="007C5447" w:rsidRDefault="007C5447">
      <w:pPr>
        <w:pStyle w:val="BodyText"/>
        <w:spacing w:before="11"/>
        <w:rPr>
          <w:sz w:val="27"/>
        </w:rPr>
      </w:pPr>
    </w:p>
    <w:p w:rsidR="007C5447" w:rsidRDefault="00F6308C">
      <w:pPr>
        <w:pStyle w:val="Heading2"/>
        <w:numPr>
          <w:ilvl w:val="1"/>
          <w:numId w:val="114"/>
        </w:numPr>
        <w:tabs>
          <w:tab w:val="left" w:pos="786"/>
          <w:tab w:val="left" w:pos="787"/>
        </w:tabs>
        <w:ind w:left="786"/>
      </w:pPr>
      <w:bookmarkStart w:id="20" w:name="_bookmark20"/>
      <w:bookmarkEnd w:id="20"/>
      <w:r>
        <w:t>Power Purchase</w:t>
      </w:r>
    </w:p>
    <w:p w:rsidR="007C5447" w:rsidRDefault="007C5447">
      <w:pPr>
        <w:pStyle w:val="BodyText"/>
        <w:spacing w:before="2"/>
        <w:rPr>
          <w:b/>
          <w:sz w:val="28"/>
        </w:rPr>
      </w:pPr>
    </w:p>
    <w:p w:rsidR="007C5447" w:rsidRDefault="00F6308C">
      <w:pPr>
        <w:ind w:left="1072"/>
        <w:rPr>
          <w:b/>
          <w:sz w:val="24"/>
        </w:rPr>
      </w:pPr>
      <w:r>
        <w:rPr>
          <w:b/>
          <w:sz w:val="24"/>
        </w:rPr>
        <w:t>Stakeholder Comments</w:t>
      </w:r>
    </w:p>
    <w:p w:rsidR="007C5447" w:rsidRDefault="00F6308C">
      <w:pPr>
        <w:pStyle w:val="ListParagraph"/>
        <w:numPr>
          <w:ilvl w:val="2"/>
          <w:numId w:val="114"/>
        </w:numPr>
        <w:tabs>
          <w:tab w:val="left" w:pos="1073"/>
        </w:tabs>
        <w:spacing w:before="201" w:line="312" w:lineRule="auto"/>
        <w:ind w:right="223" w:hanging="852"/>
        <w:jc w:val="both"/>
        <w:rPr>
          <w:sz w:val="24"/>
        </w:rPr>
      </w:pPr>
      <w:r>
        <w:rPr>
          <w:sz w:val="24"/>
        </w:rPr>
        <w:t>TANGEDCO should provide details of the rates at which wind/solar power were purchased in the last year and the variation of the s</w:t>
      </w:r>
      <w:r>
        <w:rPr>
          <w:sz w:val="24"/>
        </w:rPr>
        <w:t>ame in</w:t>
      </w:r>
      <w:r>
        <w:rPr>
          <w:spacing w:val="-5"/>
          <w:sz w:val="24"/>
        </w:rPr>
        <w:t xml:space="preserve"> </w:t>
      </w:r>
      <w:r>
        <w:rPr>
          <w:sz w:val="24"/>
        </w:rPr>
        <w:t>future.</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6" w:hanging="852"/>
        <w:jc w:val="both"/>
        <w:rPr>
          <w:sz w:val="24"/>
        </w:rPr>
      </w:pPr>
      <w:r>
        <w:rPr>
          <w:sz w:val="24"/>
        </w:rPr>
        <w:t xml:space="preserve">The Commission approved procurement of 3330 MW thermal power from private generators for 15 years at Rs. 4.91/kWh (with escalation conditions), which is in violation of Case-I bidding Guidelines 4.11(ii) and 5.15 issued by GoI, while other </w:t>
      </w:r>
      <w:r>
        <w:rPr>
          <w:sz w:val="24"/>
        </w:rPr>
        <w:t>States have signed Power Purchase Agreements (PPAs) at rates ranging from Rs. 2.88- 3.77 /kWh. The Commission approved the high tariff rates even when some of the generators offered reduction in the tariff rates discovered. This loss of approximately Rs. 3</w:t>
      </w:r>
      <w:r>
        <w:rPr>
          <w:sz w:val="24"/>
        </w:rPr>
        <w:t>000 Crore per annum for the next 15 years should not be allowed to be passed on to the consumers in the ARR. The case of high power purchase prices is apparent from the subsequent voluntary reduction in power prices by M/s. Coastal Energen, M/s IL&amp;FS and M</w:t>
      </w:r>
      <w:r>
        <w:rPr>
          <w:sz w:val="24"/>
        </w:rPr>
        <w:t>/s. OPG Power Gen. In this regard, TANGEDCO should furnish the following</w:t>
      </w:r>
      <w:r>
        <w:rPr>
          <w:spacing w:val="-5"/>
          <w:sz w:val="24"/>
        </w:rPr>
        <w:t xml:space="preserve"> </w:t>
      </w:r>
      <w:r>
        <w:rPr>
          <w:sz w:val="24"/>
        </w:rPr>
        <w:t>data:</w:t>
      </w:r>
    </w:p>
    <w:p w:rsidR="007C5447" w:rsidRDefault="007C5447">
      <w:pPr>
        <w:pStyle w:val="BodyText"/>
        <w:spacing w:before="2"/>
        <w:rPr>
          <w:sz w:val="21"/>
        </w:rPr>
      </w:pPr>
    </w:p>
    <w:p w:rsidR="007C5447" w:rsidRDefault="00F6308C">
      <w:pPr>
        <w:pStyle w:val="ListParagraph"/>
        <w:numPr>
          <w:ilvl w:val="0"/>
          <w:numId w:val="101"/>
        </w:numPr>
        <w:tabs>
          <w:tab w:val="left" w:pos="1661"/>
        </w:tabs>
        <w:spacing w:before="1" w:line="304" w:lineRule="auto"/>
        <w:ind w:right="223" w:hanging="360"/>
        <w:jc w:val="left"/>
        <w:rPr>
          <w:sz w:val="24"/>
        </w:rPr>
      </w:pPr>
      <w:r>
        <w:rPr>
          <w:sz w:val="24"/>
        </w:rPr>
        <w:t>Name of generator, quantum of power, fixed and variable cost of power purchase by TANGEDCO under the above PPA for</w:t>
      </w:r>
      <w:r>
        <w:rPr>
          <w:spacing w:val="-9"/>
          <w:sz w:val="24"/>
        </w:rPr>
        <w:t xml:space="preserve"> </w:t>
      </w:r>
      <w:r>
        <w:rPr>
          <w:sz w:val="24"/>
        </w:rPr>
        <w:t>truing-up.</w:t>
      </w:r>
    </w:p>
    <w:p w:rsidR="007C5447" w:rsidRDefault="00F6308C">
      <w:pPr>
        <w:pStyle w:val="ListParagraph"/>
        <w:numPr>
          <w:ilvl w:val="0"/>
          <w:numId w:val="101"/>
        </w:numPr>
        <w:tabs>
          <w:tab w:val="left" w:pos="1661"/>
        </w:tabs>
        <w:spacing w:before="10"/>
        <w:ind w:left="1660" w:hanging="289"/>
        <w:jc w:val="left"/>
        <w:rPr>
          <w:sz w:val="24"/>
        </w:rPr>
      </w:pPr>
      <w:r>
        <w:rPr>
          <w:sz w:val="24"/>
        </w:rPr>
        <w:t>Per unit reduction in price offered by the</w:t>
      </w:r>
      <w:r>
        <w:rPr>
          <w:spacing w:val="-5"/>
          <w:sz w:val="24"/>
        </w:rPr>
        <w:t xml:space="preserve"> </w:t>
      </w:r>
      <w:r>
        <w:rPr>
          <w:sz w:val="24"/>
        </w:rPr>
        <w:t>generator.</w:t>
      </w:r>
    </w:p>
    <w:p w:rsidR="007C5447" w:rsidRDefault="007C5447">
      <w:pPr>
        <w:pStyle w:val="BodyText"/>
        <w:spacing w:before="8"/>
        <w:rPr>
          <w:sz w:val="27"/>
        </w:rPr>
      </w:pPr>
    </w:p>
    <w:p w:rsidR="007C5447" w:rsidRDefault="00F6308C">
      <w:pPr>
        <w:pStyle w:val="ListParagraph"/>
        <w:numPr>
          <w:ilvl w:val="2"/>
          <w:numId w:val="114"/>
        </w:numPr>
        <w:tabs>
          <w:tab w:val="left" w:pos="1073"/>
        </w:tabs>
        <w:spacing w:line="312" w:lineRule="auto"/>
        <w:ind w:right="220" w:hanging="852"/>
        <w:jc w:val="both"/>
        <w:rPr>
          <w:sz w:val="24"/>
        </w:rPr>
      </w:pPr>
      <w:r>
        <w:rPr>
          <w:sz w:val="24"/>
        </w:rPr>
        <w:t>The Petition did not say anything about the LTOA purchase of power from 11 generators, which shall lead to an expenditure of approximately Rs. 7000 Crore every year as Fixed Charges. The Commission has</w:t>
      </w:r>
      <w:r>
        <w:rPr>
          <w:sz w:val="24"/>
        </w:rPr>
        <w:t xml:space="preserve"> approved the power purchase overlooking these</w:t>
      </w:r>
      <w:r>
        <w:rPr>
          <w:spacing w:val="-5"/>
          <w:sz w:val="24"/>
        </w:rPr>
        <w:t xml:space="preserve"> </w:t>
      </w:r>
      <w:r>
        <w:rPr>
          <w:sz w:val="24"/>
        </w:rPr>
        <w:t>expenses.</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The Commission violated its own Order by extending the effectiveness of its Order No. 7 of 2014 by 7 months, facilitating TANGEDCO’s purchase of solar power at Rs. 7.01/ kWh, while other States sign</w:t>
      </w:r>
      <w:r>
        <w:rPr>
          <w:sz w:val="24"/>
        </w:rPr>
        <w:t>ed PPA’s for solar power purchased at around Rs. 5.40/ kWh. This extension has led to a loss of about Rs. 324 Crore per annum for the next 25 years. This amount should not be passed on to the consumers in the ARR. The Hon’ble APTEL has also observed that t</w:t>
      </w:r>
      <w:r>
        <w:rPr>
          <w:sz w:val="24"/>
        </w:rPr>
        <w:t>his has caused a legal injury to the consumers of the State in its Order dated September 9, 2016. In this regard, TANGEDCO should furnish the following</w:t>
      </w:r>
      <w:r>
        <w:rPr>
          <w:spacing w:val="-5"/>
          <w:sz w:val="24"/>
        </w:rPr>
        <w:t xml:space="preserve"> </w:t>
      </w:r>
      <w:r>
        <w:rPr>
          <w:sz w:val="24"/>
        </w:rPr>
        <w:t>data:</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0"/>
          <w:numId w:val="100"/>
        </w:numPr>
        <w:tabs>
          <w:tab w:val="left" w:pos="1661"/>
        </w:tabs>
        <w:spacing w:before="72" w:line="304" w:lineRule="auto"/>
        <w:ind w:right="221" w:hanging="360"/>
        <w:jc w:val="left"/>
        <w:rPr>
          <w:sz w:val="24"/>
        </w:rPr>
      </w:pPr>
      <w:r>
        <w:rPr>
          <w:sz w:val="24"/>
        </w:rPr>
        <w:lastRenderedPageBreak/>
        <w:t>Details of Solar PPA’s signed by TANGEDCO at Rs. 7.01/ kWh during the extended</w:t>
      </w:r>
      <w:r>
        <w:rPr>
          <w:spacing w:val="-1"/>
          <w:sz w:val="24"/>
        </w:rPr>
        <w:t xml:space="preserve"> </w:t>
      </w:r>
      <w:r>
        <w:rPr>
          <w:sz w:val="24"/>
        </w:rPr>
        <w:t>p</w:t>
      </w:r>
      <w:r>
        <w:rPr>
          <w:sz w:val="24"/>
        </w:rPr>
        <w:t>eriod.</w:t>
      </w:r>
    </w:p>
    <w:p w:rsidR="007C5447" w:rsidRDefault="00F6308C">
      <w:pPr>
        <w:pStyle w:val="ListParagraph"/>
        <w:numPr>
          <w:ilvl w:val="0"/>
          <w:numId w:val="100"/>
        </w:numPr>
        <w:tabs>
          <w:tab w:val="left" w:pos="1661"/>
        </w:tabs>
        <w:spacing w:before="10" w:line="304" w:lineRule="auto"/>
        <w:ind w:right="216" w:hanging="360"/>
        <w:jc w:val="left"/>
        <w:rPr>
          <w:sz w:val="24"/>
        </w:rPr>
      </w:pPr>
      <w:r>
        <w:rPr>
          <w:sz w:val="24"/>
        </w:rPr>
        <w:t>Details of such power plant capacities, units generated during the True-up/ Tariff</w:t>
      </w:r>
      <w:r>
        <w:rPr>
          <w:spacing w:val="-1"/>
          <w:sz w:val="24"/>
        </w:rPr>
        <w:t xml:space="preserve"> </w:t>
      </w:r>
      <w:r>
        <w:rPr>
          <w:sz w:val="24"/>
        </w:rPr>
        <w:t>Period.</w:t>
      </w:r>
    </w:p>
    <w:p w:rsidR="007C5447" w:rsidRDefault="007C5447">
      <w:pPr>
        <w:pStyle w:val="BodyText"/>
        <w:spacing w:before="7"/>
        <w:rPr>
          <w:sz w:val="21"/>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TANGEDCO purchased around 5000 MU from wind power in FY 2015-16 of the overall evacuated 12000 MU, at around Rs. 3.20 /kWh. Such wind power purchased would h</w:t>
      </w:r>
      <w:r>
        <w:rPr>
          <w:sz w:val="24"/>
        </w:rPr>
        <w:t>ave saved around Rs. 900 Crore per annum against power purchase costs. However, in the last few years, TANGEDCO has been rejecting/backing down wind power and purchasing costly thermal power from IPPs at Rs. 14.00/kWh and through long/medium and short-term</w:t>
      </w:r>
      <w:r>
        <w:rPr>
          <w:sz w:val="24"/>
        </w:rPr>
        <w:t xml:space="preserve"> power purchase at Rs. 6.00/kWh. This is an abuse of power by officials of TANGEDCO and the excess expenditure should not be recovered from the consumers. The following data should be furnished in this regard:</w:t>
      </w:r>
    </w:p>
    <w:p w:rsidR="007C5447" w:rsidRDefault="007C5447">
      <w:pPr>
        <w:pStyle w:val="BodyText"/>
        <w:spacing w:before="3"/>
        <w:rPr>
          <w:sz w:val="21"/>
        </w:rPr>
      </w:pPr>
    </w:p>
    <w:p w:rsidR="007C5447" w:rsidRDefault="00F6308C">
      <w:pPr>
        <w:pStyle w:val="ListParagraph"/>
        <w:numPr>
          <w:ilvl w:val="0"/>
          <w:numId w:val="99"/>
        </w:numPr>
        <w:tabs>
          <w:tab w:val="left" w:pos="1661"/>
        </w:tabs>
        <w:spacing w:line="304" w:lineRule="auto"/>
        <w:ind w:right="218" w:hanging="360"/>
        <w:jc w:val="left"/>
        <w:rPr>
          <w:sz w:val="24"/>
        </w:rPr>
      </w:pPr>
      <w:r>
        <w:rPr>
          <w:sz w:val="24"/>
        </w:rPr>
        <w:t>The quantum and percentage of backing down of wind power done by TANGEDCO since</w:t>
      </w:r>
      <w:r>
        <w:rPr>
          <w:spacing w:val="-2"/>
          <w:sz w:val="24"/>
        </w:rPr>
        <w:t xml:space="preserve"> </w:t>
      </w:r>
      <w:r>
        <w:rPr>
          <w:sz w:val="24"/>
        </w:rPr>
        <w:t>2012.</w:t>
      </w:r>
    </w:p>
    <w:p w:rsidR="007C5447" w:rsidRDefault="00F6308C">
      <w:pPr>
        <w:pStyle w:val="ListParagraph"/>
        <w:numPr>
          <w:ilvl w:val="0"/>
          <w:numId w:val="99"/>
        </w:numPr>
        <w:tabs>
          <w:tab w:val="left" w:pos="1661"/>
        </w:tabs>
        <w:spacing w:before="10"/>
        <w:ind w:left="1660" w:hanging="289"/>
        <w:jc w:val="left"/>
        <w:rPr>
          <w:sz w:val="24"/>
        </w:rPr>
      </w:pPr>
      <w:r>
        <w:rPr>
          <w:sz w:val="24"/>
        </w:rPr>
        <w:t>Average purchase price of wind</w:t>
      </w:r>
      <w:r>
        <w:rPr>
          <w:spacing w:val="-4"/>
          <w:sz w:val="24"/>
        </w:rPr>
        <w:t xml:space="preserve"> </w:t>
      </w:r>
      <w:r>
        <w:rPr>
          <w:sz w:val="24"/>
        </w:rPr>
        <w:t>power.</w:t>
      </w:r>
    </w:p>
    <w:p w:rsidR="007C5447" w:rsidRDefault="00F6308C">
      <w:pPr>
        <w:pStyle w:val="ListParagraph"/>
        <w:numPr>
          <w:ilvl w:val="0"/>
          <w:numId w:val="99"/>
        </w:numPr>
        <w:tabs>
          <w:tab w:val="left" w:pos="1661"/>
        </w:tabs>
        <w:spacing w:before="83" w:line="304" w:lineRule="auto"/>
        <w:ind w:right="216" w:hanging="360"/>
        <w:jc w:val="left"/>
        <w:rPr>
          <w:sz w:val="24"/>
        </w:rPr>
      </w:pPr>
      <w:r>
        <w:rPr>
          <w:sz w:val="24"/>
        </w:rPr>
        <w:t>Average price of thermal power purchased under long/medium/short-term power</w:t>
      </w:r>
      <w:r>
        <w:rPr>
          <w:spacing w:val="-1"/>
          <w:sz w:val="24"/>
        </w:rPr>
        <w:t xml:space="preserve"> </w:t>
      </w:r>
      <w:r>
        <w:rPr>
          <w:sz w:val="24"/>
        </w:rPr>
        <w:t>purchase.</w:t>
      </w:r>
    </w:p>
    <w:p w:rsidR="007C5447" w:rsidRDefault="007C5447">
      <w:pPr>
        <w:pStyle w:val="BodyText"/>
        <w:spacing w:before="7"/>
        <w:rPr>
          <w:sz w:val="21"/>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The Commission has approved rates for power p</w:t>
      </w:r>
      <w:r>
        <w:rPr>
          <w:sz w:val="24"/>
        </w:rPr>
        <w:t xml:space="preserve">urchase by TANGEDCO from IPPs in violation of Merit Order Despatch. In the last 5 years, IPP power has been purchased at Rs. 10.85-22.85/kWh, while the average power purchase from other sources has been around Rs. 3.79- 4.40/kWh. The Commission should not </w:t>
      </w:r>
      <w:r>
        <w:rPr>
          <w:sz w:val="24"/>
        </w:rPr>
        <w:t>fix tariffs based on the power purchased illegally from costly IPPs. The consumers of the State should not be punished for the mistakes of</w:t>
      </w:r>
      <w:r>
        <w:rPr>
          <w:spacing w:val="-4"/>
          <w:sz w:val="24"/>
        </w:rPr>
        <w:t xml:space="preserve"> </w:t>
      </w:r>
      <w:r>
        <w:rPr>
          <w:sz w:val="24"/>
        </w:rPr>
        <w:t>TANGEDCO.</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TANGEDCO has been consistently delaying the payments to wind energy generators (WEG’s) for the past 10 yea</w:t>
      </w:r>
      <w:r>
        <w:rPr>
          <w:sz w:val="24"/>
        </w:rPr>
        <w:t>rs by 15-20 months. TANGEDCO should  pay its creditors in time and enhance its reputation before claiming subsidies from the</w:t>
      </w:r>
      <w:r>
        <w:rPr>
          <w:spacing w:val="-1"/>
          <w:sz w:val="24"/>
        </w:rPr>
        <w:t xml:space="preserve"> </w:t>
      </w:r>
      <w:r>
        <w:rPr>
          <w:sz w:val="24"/>
        </w:rPr>
        <w:t>Government.</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TANGEDCO should be directed by the Commission to purchase 10% of its requirement from Power Exchanges to reduce the po</w:t>
      </w:r>
      <w:r>
        <w:rPr>
          <w:sz w:val="24"/>
        </w:rPr>
        <w:t xml:space="preserve">wer purchase cost, by purchasing short-term power at around Rs. 2.50/kWh and passing on the benefits </w:t>
      </w:r>
      <w:r>
        <w:rPr>
          <w:spacing w:val="2"/>
          <w:sz w:val="24"/>
        </w:rPr>
        <w:t xml:space="preserve">of </w:t>
      </w:r>
      <w:r>
        <w:rPr>
          <w:sz w:val="24"/>
        </w:rPr>
        <w:t>economic power purchase to the</w:t>
      </w:r>
      <w:r>
        <w:rPr>
          <w:spacing w:val="-4"/>
          <w:sz w:val="24"/>
        </w:rPr>
        <w:t xml:space="preserve"> </w:t>
      </w:r>
      <w:r>
        <w:rPr>
          <w:sz w:val="24"/>
        </w:rPr>
        <w:t>consumers.</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2"/>
          <w:numId w:val="114"/>
        </w:numPr>
        <w:tabs>
          <w:tab w:val="left" w:pos="1073"/>
        </w:tabs>
        <w:spacing w:before="70" w:line="312" w:lineRule="auto"/>
        <w:ind w:right="220" w:hanging="852"/>
        <w:jc w:val="both"/>
        <w:rPr>
          <w:sz w:val="24"/>
        </w:rPr>
      </w:pPr>
      <w:r>
        <w:rPr>
          <w:sz w:val="24"/>
        </w:rPr>
        <w:lastRenderedPageBreak/>
        <w:t>Details of Energy procured from Solar Power generators should be furnished. A comparative analysis of purchase of power from different sources/generators should be submitted. The purchase price of Wind Power should be discussed in</w:t>
      </w:r>
      <w:r>
        <w:rPr>
          <w:spacing w:val="-7"/>
          <w:sz w:val="24"/>
        </w:rPr>
        <w:t xml:space="preserve"> </w:t>
      </w:r>
      <w:r>
        <w:rPr>
          <w:sz w:val="24"/>
        </w:rPr>
        <w:t>detail.</w:t>
      </w:r>
    </w:p>
    <w:p w:rsidR="007C5447" w:rsidRDefault="007C5447">
      <w:pPr>
        <w:pStyle w:val="BodyText"/>
        <w:spacing w:before="8"/>
        <w:rPr>
          <w:sz w:val="20"/>
        </w:rPr>
      </w:pPr>
    </w:p>
    <w:p w:rsidR="007C5447" w:rsidRDefault="00F6308C">
      <w:pPr>
        <w:pStyle w:val="ListParagraph"/>
        <w:numPr>
          <w:ilvl w:val="2"/>
          <w:numId w:val="114"/>
        </w:numPr>
        <w:tabs>
          <w:tab w:val="left" w:pos="1073"/>
        </w:tabs>
        <w:spacing w:before="1" w:line="312" w:lineRule="auto"/>
        <w:ind w:right="215" w:hanging="852"/>
        <w:jc w:val="both"/>
        <w:rPr>
          <w:sz w:val="24"/>
        </w:rPr>
      </w:pPr>
      <w:r>
        <w:rPr>
          <w:sz w:val="24"/>
        </w:rPr>
        <w:t>The expense incu</w:t>
      </w:r>
      <w:r>
        <w:rPr>
          <w:sz w:val="24"/>
        </w:rPr>
        <w:t>rred on account of having bought high cost power by neglecting any low-cost power should not be a part of ARR or Regulatory Asset. It should be disallowed to benefit the consumers based on the ruling of the Commission in MP No. 9, 10, 13, 14, 16, 28, 53, 7</w:t>
      </w:r>
      <w:r>
        <w:rPr>
          <w:sz w:val="24"/>
        </w:rPr>
        <w:t>2 and 81 of 2013 and MP No. 9 and 18 dated September 15,</w:t>
      </w:r>
      <w:r>
        <w:rPr>
          <w:spacing w:val="-2"/>
          <w:sz w:val="24"/>
        </w:rPr>
        <w:t xml:space="preserve"> </w:t>
      </w:r>
      <w:r>
        <w:rPr>
          <w:sz w:val="24"/>
        </w:rPr>
        <w:t>2014.</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 xml:space="preserve">The power purchase expenses should be properly maintained by TANGEDCO. TANGEDCO should honour the Orders and Directions given by the Commission regarding the total cost of power purchase. For </w:t>
      </w:r>
      <w:r>
        <w:rPr>
          <w:sz w:val="24"/>
        </w:rPr>
        <w:t>e.g., TANGEDCO has claimed Rs. 25,000 Crore against the annual power purchase expense of Rs. 14,000 crore approved by the Commission. TANGEDCO was bold enough to commit such violation because of the inertness on the part of the Commission in non-initiation</w:t>
      </w:r>
      <w:r>
        <w:rPr>
          <w:sz w:val="24"/>
        </w:rPr>
        <w:t xml:space="preserve"> of penal action for many such</w:t>
      </w:r>
      <w:r>
        <w:rPr>
          <w:spacing w:val="-6"/>
          <w:sz w:val="24"/>
        </w:rPr>
        <w:t xml:space="preserve"> </w:t>
      </w:r>
      <w:r>
        <w:rPr>
          <w:sz w:val="24"/>
        </w:rPr>
        <w:t>violations.</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TANGEDCO’s statement that there was no short-term power purchase during FY 2012-13 should be clarified. TANGEDCO’s statement that there was no medium- term power purchase in FY 2015-16 and no cost was allocated s</w:t>
      </w:r>
      <w:r>
        <w:rPr>
          <w:sz w:val="24"/>
        </w:rPr>
        <w:t>hould be clarified as TANGEDCO should pay the fixed</w:t>
      </w:r>
      <w:r>
        <w:rPr>
          <w:spacing w:val="-4"/>
          <w:sz w:val="24"/>
        </w:rPr>
        <w:t xml:space="preserve"> </w:t>
      </w:r>
      <w:r>
        <w:rPr>
          <w:sz w:val="24"/>
        </w:rPr>
        <w:t>charges.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21" w:hanging="852"/>
        <w:jc w:val="both"/>
        <w:rPr>
          <w:sz w:val="24"/>
        </w:rPr>
      </w:pPr>
      <w:r>
        <w:rPr>
          <w:sz w:val="24"/>
        </w:rPr>
        <w:t>There is no reason to continue the PPA with PPN Power till 2031 as it is classified as high cost power and forbidden for power purchase by the</w:t>
      </w:r>
      <w:r>
        <w:rPr>
          <w:spacing w:val="-9"/>
          <w:sz w:val="24"/>
        </w:rPr>
        <w:t xml:space="preserve"> </w:t>
      </w:r>
      <w:r>
        <w:rPr>
          <w:sz w:val="24"/>
        </w:rPr>
        <w:t>Commission.</w:t>
      </w:r>
    </w:p>
    <w:p w:rsidR="007C5447" w:rsidRDefault="007C5447">
      <w:pPr>
        <w:pStyle w:val="BodyText"/>
        <w:spacing w:before="9"/>
        <w:rPr>
          <w:sz w:val="20"/>
        </w:rPr>
      </w:pPr>
    </w:p>
    <w:p w:rsidR="007C5447" w:rsidRDefault="00F6308C">
      <w:pPr>
        <w:pStyle w:val="Heading2"/>
        <w:spacing w:before="1"/>
      </w:pPr>
      <w:r>
        <w:t>TANGEDCO’s Reply</w:t>
      </w:r>
    </w:p>
    <w:p w:rsidR="007C5447" w:rsidRDefault="00F6308C">
      <w:pPr>
        <w:pStyle w:val="ListParagraph"/>
        <w:numPr>
          <w:ilvl w:val="2"/>
          <w:numId w:val="114"/>
        </w:numPr>
        <w:tabs>
          <w:tab w:val="left" w:pos="1073"/>
        </w:tabs>
        <w:spacing w:before="204" w:line="312" w:lineRule="auto"/>
        <w:ind w:right="216" w:hanging="852"/>
        <w:jc w:val="both"/>
        <w:rPr>
          <w:sz w:val="24"/>
        </w:rPr>
      </w:pPr>
      <w:r>
        <w:rPr>
          <w:sz w:val="24"/>
        </w:rPr>
        <w:t>TANGEDCO submitted that the short-term power purchased in FY 2012-13 and medium-term power purchased in FY 2015-16 are included under the head ‘trading bilateral’ for the respective years. The actual financial commitment for long-term purchase has been con</w:t>
      </w:r>
      <w:r>
        <w:rPr>
          <w:sz w:val="24"/>
        </w:rPr>
        <w:t>sidered in the</w:t>
      </w:r>
      <w:r>
        <w:rPr>
          <w:spacing w:val="-1"/>
          <w:sz w:val="24"/>
        </w:rPr>
        <w:t xml:space="preserve"> </w:t>
      </w:r>
      <w:r>
        <w:rPr>
          <w:sz w:val="24"/>
        </w:rPr>
        <w:t>Petition.</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7" w:hanging="852"/>
        <w:jc w:val="both"/>
        <w:rPr>
          <w:sz w:val="24"/>
        </w:rPr>
      </w:pPr>
      <w:r>
        <w:rPr>
          <w:sz w:val="24"/>
        </w:rPr>
        <w:t>TANGEDCO submitted that it is not true that it has purchased high cost power after rejecting low cost wind power available at Rs.3.20/- per unit. Wind generation is highly infirm in nature and integrating high volume of wind gener</w:t>
      </w:r>
      <w:r>
        <w:rPr>
          <w:sz w:val="24"/>
        </w:rPr>
        <w:t>ation of around 7000 MW, which constitutes 50% of the grid capacity, is difficult. Internationally also, the penetration of 50% of highly infirm wind capacity is considered</w:t>
      </w:r>
      <w:r>
        <w:rPr>
          <w:spacing w:val="49"/>
          <w:sz w:val="24"/>
        </w:rPr>
        <w:t xml:space="preserve"> </w:t>
      </w:r>
      <w:r>
        <w:rPr>
          <w:sz w:val="24"/>
        </w:rPr>
        <w:t>impossible</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17"/>
        <w:jc w:val="both"/>
      </w:pPr>
      <w:r>
        <w:lastRenderedPageBreak/>
        <w:t>to integrate without scheduling and forecasting and an</w:t>
      </w:r>
      <w:r>
        <w:t xml:space="preserve"> adequate spinning reserve. In Western Countries also, it is the responsibility of the generator to create Spinning Reserve, while integration of Renewable Energy (RE) is only by the flexible market- driven Tariff.</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4" w:hanging="852"/>
        <w:jc w:val="both"/>
        <w:rPr>
          <w:sz w:val="24"/>
        </w:rPr>
      </w:pPr>
      <w:r>
        <w:rPr>
          <w:sz w:val="24"/>
        </w:rPr>
        <w:t>Given the technical and grid constraints</w:t>
      </w:r>
      <w:r>
        <w:rPr>
          <w:sz w:val="24"/>
        </w:rPr>
        <w:t>, integration of wind has been meticulously done without adequate spinning reserve during FY 2013-14, FY 2014-15 and FY 2015-16. Hence, TANGEDCO rejected low cost wind power during the above years and purchased high cost IPP. The allegation that TANGEDCO i</w:t>
      </w:r>
      <w:r>
        <w:rPr>
          <w:sz w:val="24"/>
        </w:rPr>
        <w:t>ntentionally backed down the RE generation is incorrect. The evacuation of maximum wind generation during FY 2016-17 by TANGEDCO has been made possible only because of the forecasting facility made available during FY 2016-17 by IWPA and National Institute</w:t>
      </w:r>
      <w:r>
        <w:rPr>
          <w:sz w:val="24"/>
        </w:rPr>
        <w:t xml:space="preserve"> of Wind Energy (NIWE), which helps predict the infirm nature of the wind and plan</w:t>
      </w:r>
      <w:r>
        <w:rPr>
          <w:spacing w:val="-1"/>
          <w:sz w:val="24"/>
        </w:rPr>
        <w:t xml:space="preserve"> </w:t>
      </w:r>
      <w:r>
        <w:rPr>
          <w:sz w:val="24"/>
        </w:rPr>
        <w:t>accordingly.</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20" w:hanging="852"/>
        <w:jc w:val="both"/>
        <w:rPr>
          <w:sz w:val="24"/>
        </w:rPr>
      </w:pPr>
      <w:r>
        <w:rPr>
          <w:sz w:val="24"/>
        </w:rPr>
        <w:t>TANGEDCO submitted that during the extended validity period of 7 months of Solar Tariff Order No. 7 of 2014, PPAs were entered for 119 MW and total units gener</w:t>
      </w:r>
      <w:r>
        <w:rPr>
          <w:sz w:val="24"/>
        </w:rPr>
        <w:t>ated before March 31, 2016 from these power plants was 168.14</w:t>
      </w:r>
      <w:r>
        <w:rPr>
          <w:spacing w:val="-5"/>
          <w:sz w:val="24"/>
        </w:rPr>
        <w:t xml:space="preserve"> </w:t>
      </w:r>
      <w:r>
        <w:rPr>
          <w:sz w:val="24"/>
        </w:rPr>
        <w:t>MU.</w:t>
      </w:r>
    </w:p>
    <w:p w:rsidR="007C5447" w:rsidRDefault="007C5447">
      <w:pPr>
        <w:pStyle w:val="BodyText"/>
        <w:rPr>
          <w:sz w:val="21"/>
        </w:rPr>
      </w:pPr>
    </w:p>
    <w:p w:rsidR="007C5447" w:rsidRDefault="00F6308C">
      <w:pPr>
        <w:pStyle w:val="ListParagraph"/>
        <w:numPr>
          <w:ilvl w:val="2"/>
          <w:numId w:val="114"/>
        </w:numPr>
        <w:tabs>
          <w:tab w:val="left" w:pos="1073"/>
        </w:tabs>
        <w:spacing w:before="1" w:line="312" w:lineRule="auto"/>
        <w:ind w:right="217" w:hanging="852"/>
        <w:jc w:val="both"/>
        <w:rPr>
          <w:sz w:val="24"/>
        </w:rPr>
      </w:pPr>
      <w:r>
        <w:rPr>
          <w:sz w:val="24"/>
        </w:rPr>
        <w:t>TANGEDCO submitted that it has not violated the GoI Guidelines on Case 1 Bidding. TANGEDCO submitted that the Ministry of Power, GoI had issued Guidelines for procurement of power through c</w:t>
      </w:r>
      <w:r>
        <w:rPr>
          <w:sz w:val="24"/>
        </w:rPr>
        <w:t>ompetitive bidding process and the Standard Bidding Documents were published on January 19, 2005 and modified on July 21, 2010. Prior to floating tender for procurement of power under Case 1 bidding, TANGEDCO obtained the Commission’s approval for procurem</w:t>
      </w:r>
      <w:r>
        <w:rPr>
          <w:sz w:val="24"/>
        </w:rPr>
        <w:t xml:space="preserve">ent </w:t>
      </w:r>
      <w:r>
        <w:rPr>
          <w:spacing w:val="2"/>
          <w:sz w:val="24"/>
        </w:rPr>
        <w:t xml:space="preserve">of </w:t>
      </w:r>
      <w:r>
        <w:rPr>
          <w:sz w:val="24"/>
        </w:rPr>
        <w:t>power and the bidding documents. The outcome of the tender process was filed before the Commission in MP No. 27 of 2013 and PPAP No. 3 of 2014 for adoption of</w:t>
      </w:r>
      <w:r>
        <w:rPr>
          <w:spacing w:val="-1"/>
          <w:sz w:val="24"/>
        </w:rPr>
        <w:t xml:space="preserve"> </w:t>
      </w:r>
      <w:r>
        <w:rPr>
          <w:sz w:val="24"/>
        </w:rPr>
        <w:t>tariff.</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TANGEDCO submitted that the averment regarding violation by TANGEDCO of Clauses 4.11 (ii) and 5.15 of the Competitive Bidding Guidelines issued by GoI, while</w:t>
      </w:r>
      <w:r>
        <w:rPr>
          <w:spacing w:val="27"/>
          <w:sz w:val="24"/>
        </w:rPr>
        <w:t xml:space="preserve"> </w:t>
      </w:r>
      <w:r>
        <w:rPr>
          <w:sz w:val="24"/>
        </w:rPr>
        <w:t>evaluating</w:t>
      </w:r>
      <w:r>
        <w:rPr>
          <w:spacing w:val="25"/>
          <w:sz w:val="24"/>
        </w:rPr>
        <w:t xml:space="preserve"> </w:t>
      </w:r>
      <w:r>
        <w:rPr>
          <w:sz w:val="24"/>
        </w:rPr>
        <w:t>the</w:t>
      </w:r>
      <w:r>
        <w:rPr>
          <w:spacing w:val="28"/>
          <w:sz w:val="24"/>
        </w:rPr>
        <w:t xml:space="preserve"> </w:t>
      </w:r>
      <w:r>
        <w:rPr>
          <w:sz w:val="24"/>
        </w:rPr>
        <w:t>bids</w:t>
      </w:r>
      <w:r>
        <w:rPr>
          <w:spacing w:val="27"/>
          <w:sz w:val="24"/>
        </w:rPr>
        <w:t xml:space="preserve"> </w:t>
      </w:r>
      <w:r>
        <w:rPr>
          <w:sz w:val="24"/>
        </w:rPr>
        <w:t>received</w:t>
      </w:r>
      <w:r>
        <w:rPr>
          <w:spacing w:val="28"/>
          <w:sz w:val="24"/>
        </w:rPr>
        <w:t xml:space="preserve"> </w:t>
      </w:r>
      <w:r>
        <w:rPr>
          <w:sz w:val="24"/>
        </w:rPr>
        <w:t>under</w:t>
      </w:r>
      <w:r>
        <w:rPr>
          <w:spacing w:val="26"/>
          <w:sz w:val="24"/>
        </w:rPr>
        <w:t xml:space="preserve"> </w:t>
      </w:r>
      <w:r>
        <w:rPr>
          <w:sz w:val="24"/>
        </w:rPr>
        <w:t>Case</w:t>
      </w:r>
      <w:r>
        <w:rPr>
          <w:spacing w:val="26"/>
          <w:sz w:val="24"/>
        </w:rPr>
        <w:t xml:space="preserve"> </w:t>
      </w:r>
      <w:r>
        <w:rPr>
          <w:sz w:val="24"/>
        </w:rPr>
        <w:t>1</w:t>
      </w:r>
      <w:r>
        <w:rPr>
          <w:spacing w:val="30"/>
          <w:sz w:val="24"/>
        </w:rPr>
        <w:t xml:space="preserve"> </w:t>
      </w:r>
      <w:r>
        <w:rPr>
          <w:sz w:val="24"/>
        </w:rPr>
        <w:t>bidding,</w:t>
      </w:r>
      <w:r>
        <w:rPr>
          <w:spacing w:val="27"/>
          <w:sz w:val="24"/>
        </w:rPr>
        <w:t xml:space="preserve"> </w:t>
      </w:r>
      <w:r>
        <w:rPr>
          <w:sz w:val="24"/>
        </w:rPr>
        <w:t>is</w:t>
      </w:r>
      <w:r>
        <w:rPr>
          <w:spacing w:val="29"/>
          <w:sz w:val="24"/>
        </w:rPr>
        <w:t xml:space="preserve"> </w:t>
      </w:r>
      <w:r>
        <w:rPr>
          <w:sz w:val="24"/>
        </w:rPr>
        <w:t>incorrect.</w:t>
      </w:r>
      <w:r>
        <w:rPr>
          <w:spacing w:val="28"/>
          <w:sz w:val="24"/>
        </w:rPr>
        <w:t xml:space="preserve"> </w:t>
      </w:r>
      <w:r>
        <w:rPr>
          <w:sz w:val="24"/>
        </w:rPr>
        <w:t>Clause</w:t>
      </w:r>
      <w:r>
        <w:rPr>
          <w:spacing w:val="26"/>
          <w:sz w:val="24"/>
        </w:rPr>
        <w:t xml:space="preserve"> </w:t>
      </w:r>
      <w:r>
        <w:rPr>
          <w:sz w:val="24"/>
        </w:rPr>
        <w:t>4.11</w:t>
      </w:r>
    </w:p>
    <w:p w:rsidR="007C5447" w:rsidRDefault="00F6308C">
      <w:pPr>
        <w:pStyle w:val="BodyText"/>
        <w:spacing w:before="2" w:line="312" w:lineRule="auto"/>
        <w:ind w:left="1072" w:right="221"/>
        <w:jc w:val="both"/>
      </w:pPr>
      <w:r>
        <w:t>(ii) is applicable to Case 2 bidding with captive mines as source of fuel and is not applicable to Case 1 bidding. Therefore, there is no violation of Clause 4.11 (ii) of Competitive Bidding Guidelines by TANGEDCO.</w:t>
      </w:r>
    </w:p>
    <w:p w:rsidR="007C5447" w:rsidRDefault="007C5447">
      <w:pPr>
        <w:pStyle w:val="BodyText"/>
        <w:spacing w:before="8"/>
        <w:rPr>
          <w:sz w:val="20"/>
        </w:rPr>
      </w:pPr>
    </w:p>
    <w:p w:rsidR="007C5447" w:rsidRDefault="00F6308C">
      <w:pPr>
        <w:pStyle w:val="ListParagraph"/>
        <w:numPr>
          <w:ilvl w:val="2"/>
          <w:numId w:val="114"/>
        </w:numPr>
        <w:tabs>
          <w:tab w:val="left" w:pos="1072"/>
          <w:tab w:val="left" w:pos="1073"/>
        </w:tabs>
        <w:spacing w:before="1"/>
        <w:ind w:hanging="853"/>
        <w:rPr>
          <w:sz w:val="24"/>
        </w:rPr>
      </w:pPr>
      <w:r>
        <w:rPr>
          <w:sz w:val="24"/>
        </w:rPr>
        <w:t>During</w:t>
      </w:r>
      <w:r>
        <w:rPr>
          <w:spacing w:val="18"/>
          <w:sz w:val="24"/>
        </w:rPr>
        <w:t xml:space="preserve"> </w:t>
      </w:r>
      <w:r>
        <w:rPr>
          <w:sz w:val="24"/>
        </w:rPr>
        <w:t>the</w:t>
      </w:r>
      <w:r>
        <w:rPr>
          <w:spacing w:val="20"/>
          <w:sz w:val="24"/>
        </w:rPr>
        <w:t xml:space="preserve"> </w:t>
      </w:r>
      <w:r>
        <w:rPr>
          <w:sz w:val="24"/>
        </w:rPr>
        <w:t>period</w:t>
      </w:r>
      <w:r>
        <w:rPr>
          <w:spacing w:val="21"/>
          <w:sz w:val="24"/>
        </w:rPr>
        <w:t xml:space="preserve"> </w:t>
      </w:r>
      <w:r>
        <w:rPr>
          <w:sz w:val="24"/>
        </w:rPr>
        <w:t>of</w:t>
      </w:r>
      <w:r>
        <w:rPr>
          <w:spacing w:val="20"/>
          <w:sz w:val="24"/>
        </w:rPr>
        <w:t xml:space="preserve"> </w:t>
      </w:r>
      <w:r>
        <w:rPr>
          <w:sz w:val="24"/>
        </w:rPr>
        <w:t>processing/finalizi</w:t>
      </w:r>
      <w:r>
        <w:rPr>
          <w:sz w:val="24"/>
        </w:rPr>
        <w:t>ng</w:t>
      </w:r>
      <w:r>
        <w:rPr>
          <w:spacing w:val="19"/>
          <w:sz w:val="24"/>
        </w:rPr>
        <w:t xml:space="preserve"> </w:t>
      </w:r>
      <w:r>
        <w:rPr>
          <w:sz w:val="24"/>
        </w:rPr>
        <w:t>of</w:t>
      </w:r>
      <w:r>
        <w:rPr>
          <w:spacing w:val="19"/>
          <w:sz w:val="24"/>
        </w:rPr>
        <w:t xml:space="preserve"> </w:t>
      </w:r>
      <w:r>
        <w:rPr>
          <w:sz w:val="24"/>
        </w:rPr>
        <w:t>tenders</w:t>
      </w:r>
      <w:r>
        <w:rPr>
          <w:spacing w:val="20"/>
          <w:sz w:val="24"/>
        </w:rPr>
        <w:t xml:space="preserve"> </w:t>
      </w:r>
      <w:r>
        <w:rPr>
          <w:sz w:val="24"/>
        </w:rPr>
        <w:t>by</w:t>
      </w:r>
      <w:r>
        <w:rPr>
          <w:spacing w:val="16"/>
          <w:sz w:val="24"/>
        </w:rPr>
        <w:t xml:space="preserve"> </w:t>
      </w:r>
      <w:r>
        <w:rPr>
          <w:sz w:val="24"/>
        </w:rPr>
        <w:t>TANGEDCO,</w:t>
      </w:r>
      <w:r>
        <w:rPr>
          <w:spacing w:val="21"/>
          <w:sz w:val="24"/>
        </w:rPr>
        <w:t xml:space="preserve"> </w:t>
      </w:r>
      <w:r>
        <w:rPr>
          <w:sz w:val="24"/>
        </w:rPr>
        <w:t>UP</w:t>
      </w:r>
      <w:r>
        <w:rPr>
          <w:spacing w:val="22"/>
          <w:sz w:val="24"/>
        </w:rPr>
        <w:t xml:space="preserve"> </w:t>
      </w:r>
      <w:r>
        <w:rPr>
          <w:sz w:val="24"/>
        </w:rPr>
        <w:t>Discom</w:t>
      </w:r>
    </w:p>
    <w:p w:rsidR="007C5447" w:rsidRDefault="007C5447">
      <w:pPr>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14"/>
        <w:jc w:val="both"/>
      </w:pPr>
      <w:r>
        <w:lastRenderedPageBreak/>
        <w:t xml:space="preserve">and Rajasthan Discom had finalized the long-term tender for supply period of 25 years. The levelised tariff discovered in the tender of UP Discom was in the range of Rs. 4.486 per kWh to Rs. 5.730 per </w:t>
      </w:r>
      <w:r>
        <w:t>kWh and the levelised tariff discovered in the tender of Rajasthan Discom was in the range of Rs. 4.892 per kWh to Rs.5.517 per kWh. Hence, the levelised tariff of Rs. 4.91 per kWh discovered in the tender of TANGEDCO is reasonable and comparable to the ra</w:t>
      </w:r>
      <w:r>
        <w:t>te prevalent at that time. As per Clause 5.15 of Competitive Bidding Guidelines, the bidder who has quoted lowest levelised tariff as per evaluation procedure, shall be considered for the award and the Evaluation Committee shall have the right to reject al</w:t>
      </w:r>
      <w:r>
        <w:t xml:space="preserve">l price bids if the rates quoted are not aligned to the prevailing market prices. TANGEDCO has awarded to the bidder who has quoted lowest levelised tariff, and the discovered levelised tariff of Rs. 4.91 is reasonable and comparable to the rate prevalent </w:t>
      </w:r>
      <w:r>
        <w:t>at that time. Hence, there is no violation of Clause 5.15 of Competitive Bidding Guidelines by TANGEDCO.</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TANGEDCO submitted that the contention that other States have signed  PPAs under Case 1 bidding at rates ranging from Rs.2.88 to Rs. 3.77 per unit, co</w:t>
      </w:r>
      <w:r>
        <w:rPr>
          <w:sz w:val="24"/>
        </w:rPr>
        <w:t>uld be because that levelised tariff might have been discovered much earlier. Comparison should be with the prevalent price</w:t>
      </w:r>
      <w:r>
        <w:rPr>
          <w:spacing w:val="-4"/>
          <w:sz w:val="24"/>
        </w:rPr>
        <w:t xml:space="preserve"> </w:t>
      </w:r>
      <w:r>
        <w:rPr>
          <w:sz w:val="24"/>
        </w:rPr>
        <w:t>trend.</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The actual weighted average tariff of power supplied under TANGEDCO’s long term tender (Case 1) is as follows</w:t>
      </w:r>
    </w:p>
    <w:p w:rsidR="007C5447" w:rsidRDefault="007C5447">
      <w:pPr>
        <w:pStyle w:val="BodyText"/>
        <w:spacing w:before="11"/>
        <w:rPr>
          <w:sz w:val="20"/>
        </w:rPr>
      </w:pPr>
    </w:p>
    <w:tbl>
      <w:tblPr>
        <w:tblW w:w="0" w:type="auto"/>
        <w:tblInd w:w="17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3"/>
        <w:gridCol w:w="4412"/>
      </w:tblGrid>
      <w:tr w:rsidR="007C5447">
        <w:trPr>
          <w:trHeight w:val="359"/>
        </w:trPr>
        <w:tc>
          <w:tcPr>
            <w:tcW w:w="1623" w:type="dxa"/>
            <w:shd w:val="clear" w:color="auto" w:fill="F7C9AC"/>
          </w:tcPr>
          <w:p w:rsidR="007C5447" w:rsidRDefault="00F6308C">
            <w:pPr>
              <w:pStyle w:val="TableParagraph"/>
              <w:spacing w:line="275" w:lineRule="exact"/>
              <w:ind w:left="307" w:right="302"/>
              <w:jc w:val="center"/>
              <w:rPr>
                <w:b/>
                <w:sz w:val="24"/>
              </w:rPr>
            </w:pPr>
            <w:r>
              <w:rPr>
                <w:b/>
                <w:sz w:val="24"/>
              </w:rPr>
              <w:t>Year</w:t>
            </w:r>
          </w:p>
        </w:tc>
        <w:tc>
          <w:tcPr>
            <w:tcW w:w="4412" w:type="dxa"/>
            <w:shd w:val="clear" w:color="auto" w:fill="F7C9AC"/>
          </w:tcPr>
          <w:p w:rsidR="007C5447" w:rsidRDefault="00F6308C">
            <w:pPr>
              <w:pStyle w:val="TableParagraph"/>
              <w:spacing w:line="275" w:lineRule="exact"/>
              <w:ind w:left="118" w:right="110"/>
              <w:jc w:val="center"/>
              <w:rPr>
                <w:b/>
                <w:sz w:val="24"/>
              </w:rPr>
            </w:pPr>
            <w:r>
              <w:rPr>
                <w:b/>
                <w:sz w:val="24"/>
              </w:rPr>
              <w:t>Weighted Average Tariff in Rs per kWh</w:t>
            </w:r>
          </w:p>
        </w:tc>
      </w:tr>
      <w:tr w:rsidR="007C5447">
        <w:trPr>
          <w:trHeight w:val="359"/>
        </w:trPr>
        <w:tc>
          <w:tcPr>
            <w:tcW w:w="1623" w:type="dxa"/>
          </w:tcPr>
          <w:p w:rsidR="007C5447" w:rsidRDefault="00F6308C">
            <w:pPr>
              <w:pStyle w:val="TableParagraph"/>
              <w:spacing w:line="275" w:lineRule="exact"/>
              <w:ind w:left="311" w:right="302"/>
              <w:jc w:val="center"/>
              <w:rPr>
                <w:sz w:val="24"/>
              </w:rPr>
            </w:pPr>
            <w:r>
              <w:rPr>
                <w:sz w:val="24"/>
              </w:rPr>
              <w:t>2014 – 15</w:t>
            </w:r>
          </w:p>
        </w:tc>
        <w:tc>
          <w:tcPr>
            <w:tcW w:w="4412" w:type="dxa"/>
          </w:tcPr>
          <w:p w:rsidR="007C5447" w:rsidRDefault="00F6308C">
            <w:pPr>
              <w:pStyle w:val="TableParagraph"/>
              <w:spacing w:line="275" w:lineRule="exact"/>
              <w:ind w:left="118" w:right="106"/>
              <w:jc w:val="center"/>
              <w:rPr>
                <w:sz w:val="24"/>
              </w:rPr>
            </w:pPr>
            <w:r>
              <w:rPr>
                <w:sz w:val="24"/>
              </w:rPr>
              <w:t>4.918</w:t>
            </w:r>
          </w:p>
        </w:tc>
      </w:tr>
      <w:tr w:rsidR="007C5447">
        <w:trPr>
          <w:trHeight w:val="357"/>
        </w:trPr>
        <w:tc>
          <w:tcPr>
            <w:tcW w:w="1623" w:type="dxa"/>
          </w:tcPr>
          <w:p w:rsidR="007C5447" w:rsidRDefault="00F6308C">
            <w:pPr>
              <w:pStyle w:val="TableParagraph"/>
              <w:spacing w:line="275" w:lineRule="exact"/>
              <w:ind w:left="311" w:right="302"/>
              <w:jc w:val="center"/>
              <w:rPr>
                <w:sz w:val="24"/>
              </w:rPr>
            </w:pPr>
            <w:r>
              <w:rPr>
                <w:sz w:val="24"/>
              </w:rPr>
              <w:t>2015 – 16</w:t>
            </w:r>
          </w:p>
        </w:tc>
        <w:tc>
          <w:tcPr>
            <w:tcW w:w="4412" w:type="dxa"/>
          </w:tcPr>
          <w:p w:rsidR="007C5447" w:rsidRDefault="00F6308C">
            <w:pPr>
              <w:pStyle w:val="TableParagraph"/>
              <w:spacing w:line="275" w:lineRule="exact"/>
              <w:ind w:left="118" w:right="106"/>
              <w:jc w:val="center"/>
              <w:rPr>
                <w:sz w:val="24"/>
              </w:rPr>
            </w:pPr>
            <w:r>
              <w:rPr>
                <w:sz w:val="24"/>
              </w:rPr>
              <w:t>4.539</w:t>
            </w:r>
          </w:p>
        </w:tc>
      </w:tr>
      <w:tr w:rsidR="007C5447">
        <w:trPr>
          <w:trHeight w:val="359"/>
        </w:trPr>
        <w:tc>
          <w:tcPr>
            <w:tcW w:w="1623" w:type="dxa"/>
          </w:tcPr>
          <w:p w:rsidR="007C5447" w:rsidRDefault="00F6308C">
            <w:pPr>
              <w:pStyle w:val="TableParagraph"/>
              <w:spacing w:line="275" w:lineRule="exact"/>
              <w:ind w:left="311" w:right="302"/>
              <w:jc w:val="center"/>
              <w:rPr>
                <w:sz w:val="24"/>
              </w:rPr>
            </w:pPr>
            <w:r>
              <w:rPr>
                <w:sz w:val="24"/>
              </w:rPr>
              <w:t>2016 – 17</w:t>
            </w:r>
          </w:p>
        </w:tc>
        <w:tc>
          <w:tcPr>
            <w:tcW w:w="4412" w:type="dxa"/>
          </w:tcPr>
          <w:p w:rsidR="007C5447" w:rsidRDefault="00F6308C">
            <w:pPr>
              <w:pStyle w:val="TableParagraph"/>
              <w:spacing w:line="275" w:lineRule="exact"/>
              <w:ind w:left="118" w:right="106"/>
              <w:jc w:val="center"/>
              <w:rPr>
                <w:sz w:val="24"/>
              </w:rPr>
            </w:pPr>
            <w:r>
              <w:rPr>
                <w:sz w:val="24"/>
              </w:rPr>
              <w:t>4.206</w:t>
            </w:r>
          </w:p>
        </w:tc>
      </w:tr>
    </w:tbl>
    <w:p w:rsidR="007C5447" w:rsidRDefault="00F6308C">
      <w:pPr>
        <w:pStyle w:val="ListParagraph"/>
        <w:numPr>
          <w:ilvl w:val="2"/>
          <w:numId w:val="114"/>
        </w:numPr>
        <w:tabs>
          <w:tab w:val="left" w:pos="1073"/>
        </w:tabs>
        <w:spacing w:before="119" w:line="312" w:lineRule="auto"/>
        <w:ind w:right="216" w:hanging="852"/>
        <w:jc w:val="both"/>
        <w:rPr>
          <w:sz w:val="24"/>
        </w:rPr>
      </w:pPr>
      <w:r>
        <w:rPr>
          <w:sz w:val="24"/>
        </w:rPr>
        <w:t>TANGEDCO submitted that escalation indices are given separately for evaluation purposes and for payment purposes. It will not be therefore prudent to compare the actual tariff with levelised tariff used for the purpose of</w:t>
      </w:r>
      <w:r>
        <w:rPr>
          <w:spacing w:val="-7"/>
          <w:sz w:val="24"/>
        </w:rPr>
        <w:t xml:space="preserve"> </w:t>
      </w:r>
      <w:r>
        <w:rPr>
          <w:sz w:val="24"/>
        </w:rPr>
        <w:t>evaluation.</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Voluntary discounts o</w:t>
      </w:r>
      <w:r>
        <w:rPr>
          <w:sz w:val="24"/>
        </w:rPr>
        <w:t>ffered by three generators are to qualify under merit order dispatch. All the PPAs and voluntary discounts offered by the three generators are available on TANGEDCO’s</w:t>
      </w:r>
      <w:r>
        <w:rPr>
          <w:spacing w:val="-2"/>
          <w:sz w:val="24"/>
        </w:rPr>
        <w:t xml:space="preserve"> </w:t>
      </w:r>
      <w:r>
        <w:rPr>
          <w:sz w:val="24"/>
        </w:rPr>
        <w:t>website.</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As per the Competitive Bidding Guidelines, the signed PPA shall be forwarded to</w:t>
      </w:r>
      <w:r>
        <w:rPr>
          <w:sz w:val="24"/>
        </w:rPr>
        <w:t xml:space="preserve"> the Appropriate Commission for adoption of tariff in terms of Section 63 of the Act, which</w:t>
      </w:r>
      <w:r>
        <w:rPr>
          <w:spacing w:val="-1"/>
          <w:sz w:val="24"/>
        </w:rPr>
        <w:t xml:space="preserve"> </w:t>
      </w:r>
      <w:r>
        <w:rPr>
          <w:sz w:val="24"/>
        </w:rPr>
        <w:t>states:</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spacing w:before="70" w:line="312" w:lineRule="auto"/>
        <w:ind w:left="1660" w:right="216"/>
        <w:jc w:val="both"/>
        <w:rPr>
          <w:i/>
          <w:sz w:val="24"/>
        </w:rPr>
      </w:pPr>
      <w:r>
        <w:rPr>
          <w:i/>
          <w:sz w:val="24"/>
        </w:rPr>
        <w:lastRenderedPageBreak/>
        <w:t xml:space="preserve">“Notwithstanding anything contained in section 62, the Appropriate </w:t>
      </w:r>
      <w:r>
        <w:rPr>
          <w:i/>
          <w:sz w:val="24"/>
        </w:rPr>
        <w:t>Commission shall adopt the tariff if such tariff has been determined through transparent process of bidding in accordance with the guidelines issued by the Central Government.”</w:t>
      </w:r>
    </w:p>
    <w:p w:rsidR="007C5447" w:rsidRDefault="007C5447">
      <w:pPr>
        <w:pStyle w:val="BodyText"/>
        <w:spacing w:before="10"/>
        <w:rPr>
          <w:i/>
          <w:sz w:val="20"/>
        </w:rPr>
      </w:pPr>
    </w:p>
    <w:p w:rsidR="007C5447" w:rsidRDefault="00F6308C">
      <w:pPr>
        <w:pStyle w:val="ListParagraph"/>
        <w:numPr>
          <w:ilvl w:val="2"/>
          <w:numId w:val="114"/>
        </w:numPr>
        <w:tabs>
          <w:tab w:val="left" w:pos="1073"/>
        </w:tabs>
        <w:spacing w:line="312" w:lineRule="auto"/>
        <w:ind w:right="214" w:hanging="852"/>
        <w:jc w:val="both"/>
        <w:rPr>
          <w:sz w:val="24"/>
        </w:rPr>
      </w:pPr>
      <w:r>
        <w:rPr>
          <w:sz w:val="24"/>
        </w:rPr>
        <w:t>TANGEDCO has strictly followed the Competitive Bidding Guidelines and there is</w:t>
      </w:r>
      <w:r>
        <w:rPr>
          <w:sz w:val="24"/>
        </w:rPr>
        <w:t xml:space="preserve"> no violation anywhere, in any form. Therefore, the adoption of Tariff by the Commission for Case 1 bidding satisfied the requirements under Section 63</w:t>
      </w:r>
      <w:r>
        <w:rPr>
          <w:spacing w:val="42"/>
          <w:sz w:val="24"/>
        </w:rPr>
        <w:t xml:space="preserve"> </w:t>
      </w:r>
      <w:r>
        <w:rPr>
          <w:sz w:val="24"/>
        </w:rPr>
        <w:t>of Electricity Act, 2003 and there is no necessity to revisit the orders already</w:t>
      </w:r>
      <w:r>
        <w:rPr>
          <w:spacing w:val="-16"/>
          <w:sz w:val="24"/>
        </w:rPr>
        <w:t xml:space="preserve"> </w:t>
      </w:r>
      <w:r>
        <w:rPr>
          <w:sz w:val="24"/>
        </w:rPr>
        <w:t>issued.</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7" w:hanging="852"/>
        <w:jc w:val="both"/>
        <w:rPr>
          <w:sz w:val="24"/>
        </w:rPr>
      </w:pPr>
      <w:r>
        <w:rPr>
          <w:sz w:val="24"/>
        </w:rPr>
        <w:t>As regards dis</w:t>
      </w:r>
      <w:r>
        <w:rPr>
          <w:sz w:val="24"/>
        </w:rPr>
        <w:t>allowance of costly power purchased, the audited accounts with necessary data required for true up from FY 2011-12 to FY 2015-16 have been submitted to the Commission. Further, the Petition does not propose any additional tariff burden for the</w:t>
      </w:r>
      <w:r>
        <w:rPr>
          <w:spacing w:val="-3"/>
          <w:sz w:val="24"/>
        </w:rPr>
        <w:t xml:space="preserve"> </w:t>
      </w:r>
      <w:r>
        <w:rPr>
          <w:sz w:val="24"/>
        </w:rPr>
        <w:t>consumers.</w:t>
      </w:r>
    </w:p>
    <w:p w:rsidR="007C5447" w:rsidRDefault="007C5447">
      <w:pPr>
        <w:pStyle w:val="BodyText"/>
        <w:spacing w:before="9"/>
        <w:rPr>
          <w:sz w:val="20"/>
        </w:rPr>
      </w:pPr>
    </w:p>
    <w:p w:rsidR="007C5447" w:rsidRDefault="00F6308C">
      <w:pPr>
        <w:pStyle w:val="ListParagraph"/>
        <w:numPr>
          <w:ilvl w:val="2"/>
          <w:numId w:val="114"/>
        </w:numPr>
        <w:tabs>
          <w:tab w:val="left" w:pos="1073"/>
        </w:tabs>
        <w:spacing w:before="1" w:line="312" w:lineRule="auto"/>
        <w:ind w:right="218" w:hanging="852"/>
        <w:jc w:val="both"/>
        <w:rPr>
          <w:sz w:val="24"/>
        </w:rPr>
      </w:pPr>
      <w:r>
        <w:rPr>
          <w:sz w:val="24"/>
        </w:rPr>
        <w:t>TANGEDCO also submitted that it purchases power from the sources approved by the Commission. TANGEDCO is giving top priority for purchase of required power from the low cost IPPs in the first instance and then power from high cost IPPs is purchased throug</w:t>
      </w:r>
      <w:r>
        <w:rPr>
          <w:sz w:val="24"/>
        </w:rPr>
        <w:t>h step by step upward increase in the price, till TANGEDCO’s demand is met. Such Merit Order Dispatch has been stipulated by the Commission and is strictly followed by TANGEDCO. Whenever necessary, in order to meet the demand after exhausting all sources a</w:t>
      </w:r>
      <w:r>
        <w:rPr>
          <w:sz w:val="24"/>
        </w:rPr>
        <w:t>pproved by the Commission, TANGEDCO purchases power from the sources other than that approved by the Commission. For this power purchase also, TANGEDCO files Petitions before the Commission periodically and obtains the Commission’s</w:t>
      </w:r>
      <w:r>
        <w:rPr>
          <w:spacing w:val="-6"/>
          <w:sz w:val="24"/>
        </w:rPr>
        <w:t xml:space="preserve"> </w:t>
      </w:r>
      <w:r>
        <w:rPr>
          <w:sz w:val="24"/>
        </w:rPr>
        <w:t>approval.</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TANGEDCO furt</w:t>
      </w:r>
      <w:r>
        <w:rPr>
          <w:sz w:val="24"/>
        </w:rPr>
        <w:t>her submitted that though RE power is low cost power, the contribution from RE sources is less than 6% of the total estimated demand. In particular, though power is available from Wind sources at Rs.3.30 per unit, wind energy generators are capable of prod</w:t>
      </w:r>
      <w:r>
        <w:rPr>
          <w:sz w:val="24"/>
        </w:rPr>
        <w:t>ucing maximum power only for about 4 months’ period, from June to September. Such power is purchased at the rate determined by the Commission, towards compliance with the Renewable Purchase Obligations (RPO)</w:t>
      </w:r>
      <w:r>
        <w:rPr>
          <w:spacing w:val="-3"/>
          <w:sz w:val="24"/>
        </w:rPr>
        <w:t xml:space="preserve"> </w:t>
      </w:r>
      <w:r>
        <w:rPr>
          <w:sz w:val="24"/>
        </w:rPr>
        <w:t>Regulations.</w:t>
      </w:r>
    </w:p>
    <w:p w:rsidR="007C5447" w:rsidRDefault="007C5447">
      <w:pPr>
        <w:pStyle w:val="BodyText"/>
        <w:spacing w:before="10"/>
        <w:rPr>
          <w:sz w:val="20"/>
        </w:rPr>
      </w:pPr>
    </w:p>
    <w:p w:rsidR="007C5447" w:rsidRDefault="00F6308C">
      <w:pPr>
        <w:pStyle w:val="Heading2"/>
      </w:pPr>
      <w:r>
        <w:t>Commission’s Views</w:t>
      </w:r>
    </w:p>
    <w:p w:rsidR="007C5447" w:rsidRDefault="00F6308C">
      <w:pPr>
        <w:pStyle w:val="ListParagraph"/>
        <w:numPr>
          <w:ilvl w:val="2"/>
          <w:numId w:val="114"/>
        </w:numPr>
        <w:tabs>
          <w:tab w:val="left" w:pos="1073"/>
        </w:tabs>
        <w:spacing w:before="204" w:line="312" w:lineRule="auto"/>
        <w:ind w:right="215" w:hanging="852"/>
        <w:jc w:val="both"/>
        <w:rPr>
          <w:sz w:val="24"/>
        </w:rPr>
      </w:pPr>
      <w:r>
        <w:rPr>
          <w:sz w:val="24"/>
        </w:rPr>
        <w:t>For true-up for</w:t>
      </w:r>
      <w:r>
        <w:rPr>
          <w:sz w:val="24"/>
        </w:rPr>
        <w:t xml:space="preserve"> the period from FY 2011-12 to FY 2015-16, the Commission has approved the source-wise power purchase cost by considering the actual quantum</w:t>
      </w:r>
      <w:r>
        <w:rPr>
          <w:spacing w:val="6"/>
          <w:sz w:val="24"/>
        </w:rPr>
        <w:t xml:space="preserve"> </w:t>
      </w:r>
      <w:r>
        <w:rPr>
          <w:sz w:val="24"/>
        </w:rPr>
        <w:t>of</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16"/>
        <w:jc w:val="both"/>
      </w:pPr>
      <w:r>
        <w:lastRenderedPageBreak/>
        <w:t>power purchase (subject to the overall limit of quantum required as per the approved T&amp;D losse</w:t>
      </w:r>
      <w:r>
        <w:t>s) and the approved tariff for different RE sources, actual rates for purchase from Central Generating Stations, normative variable cost of generation, and actual rate of purchase from Power Exchanges, IPPs, bilateral sources, and LTOA sources. The Commiss</w:t>
      </w:r>
      <w:r>
        <w:t xml:space="preserve">ion has ensured that the power purchase is allowed strictly as per Merit Order Despatch principles, which have been applied to own generation sources as well as power purchase from other sources. The excess power purchase by TANGEDCO, on account of higher </w:t>
      </w:r>
      <w:r>
        <w:t>than approved T&amp;D losses, has been disallowed at the marginal rate of power purchase, in accordance with the approach adopted in earlier True-up Orders. The details of source-wise quantum and cost of power purchase and the overall quantum and cost of power</w:t>
      </w:r>
      <w:r>
        <w:t xml:space="preserve"> purchase approved after true-up for the period from FY 2011-12 to FY 2015-16 are elaborated in Chapter 3 of this</w:t>
      </w:r>
      <w:r>
        <w:rPr>
          <w:spacing w:val="-3"/>
        </w:rPr>
        <w:t xml:space="preserve"> </w:t>
      </w:r>
      <w:r>
        <w:t>Order.</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The Commission has approved the power purchase cost for the MYT Control Period from FY 2016-17 to FY 2018-19, based on the approved po</w:t>
      </w:r>
      <w:r>
        <w:rPr>
          <w:sz w:val="24"/>
        </w:rPr>
        <w:t xml:space="preserve">wer purchase quantum considering the projected sales, the inter-State losses applicable for the Southern Region, approved TANTRANSCO Transmission Losses, and approved TANGEDCO Distribution Losses. The source-wise power purchase quantum has been considered </w:t>
      </w:r>
      <w:r>
        <w:rPr>
          <w:sz w:val="24"/>
        </w:rPr>
        <w:t>based on allocated capacity and projected availability. The RE purchase has been considered based on the specified RPO levels for the respective years. The approved tariff for different RE sources, actual rates for purchase from Central Generating Stations</w:t>
      </w:r>
      <w:r>
        <w:rPr>
          <w:sz w:val="24"/>
        </w:rPr>
        <w:t xml:space="preserve"> in FY 2016-17, approved normative variable cost of generation, and actual rate of purchase from Power Exchanges, IPPs, bilateral sources, and LTOA sources in FY 2016-17 have been considered. The Commission has considered the power purchase strictly as per</w:t>
      </w:r>
      <w:r>
        <w:rPr>
          <w:sz w:val="24"/>
        </w:rPr>
        <w:t xml:space="preserve"> Merit Order Despatch principles, which have been applied to own generation sources as well as power purchase from other sources. The details of source-wise quantum and cost of power purchase and the overall quantum and cost of power purchase approved for </w:t>
      </w:r>
      <w:r>
        <w:rPr>
          <w:sz w:val="24"/>
        </w:rPr>
        <w:t>the MYT Control Period from FY 2016-17 to FY 2018-19 are elaborated in Chapter 4 of this</w:t>
      </w:r>
      <w:r>
        <w:rPr>
          <w:spacing w:val="-6"/>
          <w:sz w:val="24"/>
        </w:rPr>
        <w:t xml:space="preserve"> </w:t>
      </w:r>
      <w:r>
        <w:rPr>
          <w:sz w:val="24"/>
        </w:rPr>
        <w:t>Order.</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The Commission has approved the LTOA procurement of 3330 MW thermal power from private generators for 15 years, at the levelised tariff of Rs. 4.91/kWh discovered through competitive bidding, through a separate Order in P.P.A.P. No. 3 of 2014 dated July 29</w:t>
      </w:r>
      <w:r>
        <w:rPr>
          <w:sz w:val="24"/>
        </w:rPr>
        <w:t>, 2016, and the power purchase expenses have accordingly been considered in the Order on true-up and MYT Petition filed by</w:t>
      </w:r>
      <w:r>
        <w:rPr>
          <w:spacing w:val="-12"/>
          <w:sz w:val="24"/>
        </w:rPr>
        <w:t xml:space="preserve"> </w:t>
      </w:r>
      <w:r>
        <w:rPr>
          <w:sz w:val="24"/>
        </w:rPr>
        <w:t>TANGEDCO.</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2"/>
          <w:numId w:val="114"/>
        </w:numPr>
        <w:tabs>
          <w:tab w:val="left" w:pos="1073"/>
        </w:tabs>
        <w:spacing w:before="70" w:line="312" w:lineRule="auto"/>
        <w:ind w:right="219" w:hanging="852"/>
        <w:jc w:val="both"/>
        <w:rPr>
          <w:sz w:val="24"/>
        </w:rPr>
      </w:pPr>
      <w:r>
        <w:rPr>
          <w:sz w:val="24"/>
        </w:rPr>
        <w:lastRenderedPageBreak/>
        <w:t>The Commission has extended the effectiveness of Order No. 7 of 2014 by around 6 months, vide its Order N</w:t>
      </w:r>
      <w:r>
        <w:rPr>
          <w:sz w:val="24"/>
        </w:rPr>
        <w:t>o. 4 of 2015 dated April 1, 2015 and the tariff for energy purchased under PPAs entered into and commissioned during this extended period has been considered accordingly, while approving the power purchase</w:t>
      </w:r>
      <w:r>
        <w:rPr>
          <w:spacing w:val="-5"/>
          <w:sz w:val="24"/>
        </w:rPr>
        <w:t xml:space="preserve"> </w:t>
      </w:r>
      <w:r>
        <w:rPr>
          <w:sz w:val="24"/>
        </w:rPr>
        <w:t>cost.</w:t>
      </w:r>
    </w:p>
    <w:p w:rsidR="007C5447" w:rsidRDefault="007C5447">
      <w:pPr>
        <w:pStyle w:val="BodyText"/>
        <w:spacing w:before="10"/>
        <w:rPr>
          <w:sz w:val="20"/>
        </w:rPr>
      </w:pPr>
    </w:p>
    <w:p w:rsidR="007C5447" w:rsidRDefault="00F6308C">
      <w:pPr>
        <w:pStyle w:val="Heading2"/>
        <w:numPr>
          <w:ilvl w:val="1"/>
          <w:numId w:val="114"/>
        </w:numPr>
        <w:tabs>
          <w:tab w:val="left" w:pos="787"/>
        </w:tabs>
        <w:spacing w:line="312" w:lineRule="auto"/>
        <w:ind w:left="796" w:right="277" w:hanging="576"/>
      </w:pPr>
      <w:bookmarkStart w:id="21" w:name="_bookmark21"/>
      <w:bookmarkEnd w:id="21"/>
      <w:r>
        <w:t>Transmission &amp; Distribution (T&amp;D)/Aggregate</w:t>
      </w:r>
      <w:r>
        <w:t xml:space="preserve"> Technical &amp; Commercial</w:t>
      </w:r>
      <w:r>
        <w:rPr>
          <w:spacing w:val="-25"/>
        </w:rPr>
        <w:t xml:space="preserve"> </w:t>
      </w:r>
      <w:r>
        <w:t>(AT&amp;C) Losses</w:t>
      </w:r>
    </w:p>
    <w:p w:rsidR="007C5447" w:rsidRDefault="007C5447">
      <w:pPr>
        <w:pStyle w:val="BodyText"/>
        <w:spacing w:before="10"/>
        <w:rPr>
          <w:b/>
          <w:sz w:val="20"/>
        </w:rPr>
      </w:pPr>
    </w:p>
    <w:p w:rsidR="007C5447" w:rsidRDefault="00F6308C">
      <w:pPr>
        <w:ind w:left="1072"/>
        <w:rPr>
          <w:b/>
          <w:sz w:val="24"/>
        </w:rPr>
      </w:pPr>
      <w:r>
        <w:rPr>
          <w:b/>
          <w:sz w:val="24"/>
        </w:rPr>
        <w:t>Stakeholder Comments</w:t>
      </w:r>
    </w:p>
    <w:p w:rsidR="007C5447" w:rsidRDefault="00F6308C">
      <w:pPr>
        <w:pStyle w:val="ListParagraph"/>
        <w:numPr>
          <w:ilvl w:val="2"/>
          <w:numId w:val="114"/>
        </w:numPr>
        <w:tabs>
          <w:tab w:val="left" w:pos="1073"/>
        </w:tabs>
        <w:spacing w:before="202" w:line="312" w:lineRule="auto"/>
        <w:ind w:right="212" w:hanging="852"/>
        <w:jc w:val="both"/>
        <w:rPr>
          <w:sz w:val="24"/>
        </w:rPr>
      </w:pPr>
      <w:r>
        <w:rPr>
          <w:sz w:val="24"/>
        </w:rPr>
        <w:t xml:space="preserve">The T&amp;D losses of 20.44%, 19.00% and 18.7% proposed for FY 2016-17 to FY 2018-19 seems too high considering the prevalent T&amp;D losses of about 21% (average over the past four years) and the expenses of Rs. 3440.38 Crore under </w:t>
      </w:r>
      <w:r>
        <w:rPr>
          <w:spacing w:val="3"/>
          <w:sz w:val="24"/>
        </w:rPr>
        <w:t xml:space="preserve">R- </w:t>
      </w:r>
      <w:r>
        <w:rPr>
          <w:sz w:val="24"/>
        </w:rPr>
        <w:t>APDRP, Rs. 1561.31 Crore und</w:t>
      </w:r>
      <w:r>
        <w:rPr>
          <w:sz w:val="24"/>
        </w:rPr>
        <w:t>er IPDS and Rs. 924.12 under DDUGJY (Aggregating Rs. 5925.81 Crore) of which 80% works have already been completed. The loss is expected to be lower at 15% after such a quantum of</w:t>
      </w:r>
      <w:r>
        <w:rPr>
          <w:spacing w:val="-8"/>
          <w:sz w:val="24"/>
        </w:rPr>
        <w:t xml:space="preserve"> </w:t>
      </w:r>
      <w:r>
        <w:rPr>
          <w:sz w:val="24"/>
        </w:rPr>
        <w:t>expenditure.</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 xml:space="preserve">TANGEDCO has been maintaining the constant T&amp;D loss of around </w:t>
      </w:r>
      <w:r>
        <w:rPr>
          <w:sz w:val="24"/>
        </w:rPr>
        <w:t>21% over the past few years, which shows its inefficiency. Actual line losses should be measured by meters or other scientific methods. Under R-APDRP, T&amp;D losses have to be reduced by1.5% per annum. The loss reduction strategy of the Commission has to be a</w:t>
      </w:r>
      <w:r>
        <w:rPr>
          <w:sz w:val="24"/>
        </w:rPr>
        <w:t>dopted to transfer the benefits to the</w:t>
      </w:r>
      <w:r>
        <w:rPr>
          <w:spacing w:val="-3"/>
          <w:sz w:val="24"/>
        </w:rPr>
        <w:t xml:space="preserve"> </w:t>
      </w:r>
      <w:r>
        <w:rPr>
          <w:sz w:val="24"/>
        </w:rPr>
        <w:t>consumers.</w:t>
      </w:r>
    </w:p>
    <w:p w:rsidR="007C5447" w:rsidRDefault="007C5447">
      <w:pPr>
        <w:pStyle w:val="BodyText"/>
        <w:rPr>
          <w:sz w:val="21"/>
        </w:rPr>
      </w:pPr>
    </w:p>
    <w:p w:rsidR="007C5447" w:rsidRDefault="00F6308C">
      <w:pPr>
        <w:pStyle w:val="ListParagraph"/>
        <w:numPr>
          <w:ilvl w:val="2"/>
          <w:numId w:val="114"/>
        </w:numPr>
        <w:tabs>
          <w:tab w:val="left" w:pos="1073"/>
        </w:tabs>
        <w:spacing w:before="1" w:line="312" w:lineRule="auto"/>
        <w:ind w:right="216" w:hanging="852"/>
        <w:jc w:val="both"/>
        <w:rPr>
          <w:sz w:val="24"/>
        </w:rPr>
      </w:pPr>
      <w:r>
        <w:rPr>
          <w:sz w:val="24"/>
        </w:rPr>
        <w:t>Proper metering has to be done and all the defective meters have to be replaced to reduce the AT&amp;C losses. A White Paper should be published by TANGEDCO in this regard. A White Paper should be published on violation of tariff classification (termed as thef</w:t>
      </w:r>
      <w:r>
        <w:rPr>
          <w:sz w:val="24"/>
        </w:rPr>
        <w:t>t) in the State. The T&amp;D losses should not be passed on to the consumers.</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It is hard to understand how TANGEDCO can reduce its T&amp;D losses from 20.13% approved for FY 2015-16 to 13.50% (AT&amp;C Losses) for FY 2018-19 as per UDAY. TANGEDCO has to provide detai</w:t>
      </w:r>
      <w:r>
        <w:rPr>
          <w:sz w:val="24"/>
        </w:rPr>
        <w:t>ls of the efforts taken in the year to reduce T&amp;D losses so as to bring such losses on par with the international</w:t>
      </w:r>
      <w:r>
        <w:rPr>
          <w:spacing w:val="-5"/>
          <w:sz w:val="24"/>
        </w:rPr>
        <w:t xml:space="preserve"> </w:t>
      </w:r>
      <w:r>
        <w:rPr>
          <w:sz w:val="24"/>
        </w:rPr>
        <w:t>standards.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Data uniformity should be established on the projected figure of T&amp;D losses for FY 2017-18 and FY 2018-19, as TANGEDCO has project</w:t>
      </w:r>
      <w:r>
        <w:rPr>
          <w:sz w:val="24"/>
        </w:rPr>
        <w:t>ed T&amp;D losses of 19% and 18.70% in the Tariff Petition, and 17.49% and 17.20% under UDAY scheme for FY 2017-18 and FY 2018-19,</w:t>
      </w:r>
      <w:r>
        <w:rPr>
          <w:spacing w:val="-1"/>
          <w:sz w:val="24"/>
        </w:rPr>
        <w:t xml:space="preserve"> </w:t>
      </w:r>
      <w:r>
        <w:rPr>
          <w:sz w:val="24"/>
        </w:rPr>
        <w:t>respectively.</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2"/>
          <w:numId w:val="114"/>
        </w:numPr>
        <w:tabs>
          <w:tab w:val="left" w:pos="1073"/>
        </w:tabs>
        <w:spacing w:before="70" w:line="312" w:lineRule="auto"/>
        <w:ind w:right="220" w:hanging="852"/>
        <w:jc w:val="both"/>
        <w:rPr>
          <w:sz w:val="24"/>
        </w:rPr>
      </w:pPr>
      <w:r>
        <w:rPr>
          <w:sz w:val="24"/>
        </w:rPr>
        <w:lastRenderedPageBreak/>
        <w:t>The line losses should be maintained as per the Commission’s mandate, to reduce the Wheeling Char</w:t>
      </w:r>
      <w:r>
        <w:rPr>
          <w:sz w:val="24"/>
        </w:rPr>
        <w:t>ges from Rs. 0.23/ kWh (22.64</w:t>
      </w:r>
      <w:r>
        <w:rPr>
          <w:spacing w:val="-6"/>
          <w:sz w:val="24"/>
        </w:rPr>
        <w:t xml:space="preserve"> </w:t>
      </w:r>
      <w:r>
        <w:rPr>
          <w:sz w:val="24"/>
        </w:rPr>
        <w:t>paise/kWh).</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The Commission should direct TANGEDCO to estimate the quantum of power supplied to subsidized consumers to be reflected in the energy balance of the utility as this is generally considered as AT&amp;C losses or as pow</w:t>
      </w:r>
      <w:r>
        <w:rPr>
          <w:sz w:val="24"/>
        </w:rPr>
        <w:t>er supplied to unmetered consumers. Any excess AT&amp;C losses over and above norms should be borne by TANGEDCO as it has not submitted information in this regard as directed by the Commission earlier. The estimated data on sales to subsidized consumers should</w:t>
      </w:r>
      <w:r>
        <w:rPr>
          <w:sz w:val="24"/>
        </w:rPr>
        <w:t xml:space="preserve"> also be compared with other States’ data to get a clear picture about the quantum of subsidized power</w:t>
      </w:r>
      <w:r>
        <w:rPr>
          <w:spacing w:val="-1"/>
          <w:sz w:val="24"/>
        </w:rPr>
        <w:t xml:space="preserve"> </w:t>
      </w:r>
      <w:r>
        <w:rPr>
          <w:sz w:val="24"/>
        </w:rPr>
        <w:t>sold.</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23" w:hanging="852"/>
        <w:jc w:val="both"/>
        <w:rPr>
          <w:sz w:val="24"/>
        </w:rPr>
      </w:pPr>
      <w:r>
        <w:rPr>
          <w:sz w:val="24"/>
        </w:rPr>
        <w:t>Projected reduction of AT&amp;C losses is totally imaginary without any reliance to the ground realities.</w:t>
      </w:r>
    </w:p>
    <w:p w:rsidR="007C5447" w:rsidRDefault="007C5447">
      <w:pPr>
        <w:pStyle w:val="BodyText"/>
        <w:spacing w:before="9"/>
        <w:rPr>
          <w:sz w:val="20"/>
        </w:rPr>
      </w:pPr>
    </w:p>
    <w:p w:rsidR="007C5447" w:rsidRDefault="00F6308C">
      <w:pPr>
        <w:pStyle w:val="ListParagraph"/>
        <w:numPr>
          <w:ilvl w:val="2"/>
          <w:numId w:val="114"/>
        </w:numPr>
        <w:tabs>
          <w:tab w:val="left" w:pos="1073"/>
        </w:tabs>
        <w:spacing w:before="1" w:line="312" w:lineRule="auto"/>
        <w:ind w:right="215" w:hanging="852"/>
        <w:jc w:val="both"/>
        <w:rPr>
          <w:sz w:val="24"/>
        </w:rPr>
      </w:pPr>
      <w:r>
        <w:rPr>
          <w:sz w:val="24"/>
        </w:rPr>
        <w:t>In page 53 of the Petition, TANGEDCO has accepted that the T&amp;D loss is a computer</w:t>
      </w:r>
      <w:r>
        <w:rPr>
          <w:i/>
          <w:sz w:val="24"/>
        </w:rPr>
        <w:t xml:space="preserve">(d) </w:t>
      </w:r>
      <w:r>
        <w:rPr>
          <w:sz w:val="24"/>
        </w:rPr>
        <w:t>figure only without any relevance to the actual loss. TANGEDCO has a</w:t>
      </w:r>
      <w:r>
        <w:rPr>
          <w:sz w:val="24"/>
        </w:rPr>
        <w:t>lso admitted that wheeling units are not taken into account even for arriving at this computer</w:t>
      </w:r>
      <w:r>
        <w:rPr>
          <w:i/>
          <w:sz w:val="24"/>
        </w:rPr>
        <w:t xml:space="preserve">(d) </w:t>
      </w:r>
      <w:r>
        <w:rPr>
          <w:sz w:val="24"/>
        </w:rPr>
        <w:t>figure. The T&amp;D losses cannot be correct considering the high agricultural and hut</w:t>
      </w:r>
      <w:r>
        <w:rPr>
          <w:spacing w:val="-1"/>
          <w:sz w:val="24"/>
        </w:rPr>
        <w:t xml:space="preserve"> </w:t>
      </w:r>
      <w:r>
        <w:rPr>
          <w:sz w:val="24"/>
        </w:rPr>
        <w:t>loads.</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 xml:space="preserve">There are contradictions in the statements given by TANGEDCO about </w:t>
      </w:r>
      <w:r>
        <w:rPr>
          <w:sz w:val="24"/>
        </w:rPr>
        <w:t>the inclusion of transmission losses in AT&amp;C losses. On page 54 of the Petition, TANGEDCO  has submitted that the T&amp;D losses are arrived at without any supporting data. The Commission should not accept this submission as this is an insult to the Electricit</w:t>
      </w:r>
      <w:r>
        <w:rPr>
          <w:sz w:val="24"/>
        </w:rPr>
        <w:t>y Act, 2003 and the general public.</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The line loss as reported by the Ministry of Power based on the State Distribution Utilities annual integrated rating during FY 2013-14 was 21.7 % and in FY 2014-15 was 24.4% whereas, the present application states AT&amp;C</w:t>
      </w:r>
      <w:r>
        <w:rPr>
          <w:sz w:val="24"/>
        </w:rPr>
        <w:t xml:space="preserve"> loss during FY 2012-13</w:t>
      </w:r>
      <w:r>
        <w:rPr>
          <w:spacing w:val="46"/>
          <w:sz w:val="24"/>
        </w:rPr>
        <w:t xml:space="preserve"> </w:t>
      </w:r>
      <w:r>
        <w:rPr>
          <w:sz w:val="24"/>
        </w:rPr>
        <w:t>as</w:t>
      </w:r>
    </w:p>
    <w:p w:rsidR="007C5447" w:rsidRDefault="00F6308C">
      <w:pPr>
        <w:pStyle w:val="BodyText"/>
        <w:spacing w:line="312" w:lineRule="auto"/>
        <w:ind w:left="1072" w:right="216"/>
        <w:jc w:val="both"/>
      </w:pPr>
      <w:r>
        <w:t>18.4 % and same is proposed to be brought down to 17.96 % during FY 2015-16. Hence, the loss indicated is totally untrue and false.</w:t>
      </w:r>
    </w:p>
    <w:p w:rsidR="007C5447" w:rsidRDefault="007C5447">
      <w:pPr>
        <w:pStyle w:val="BodyText"/>
        <w:spacing w:before="9"/>
        <w:rPr>
          <w:sz w:val="20"/>
        </w:rPr>
      </w:pPr>
    </w:p>
    <w:p w:rsidR="007C5447" w:rsidRDefault="00F6308C">
      <w:pPr>
        <w:pStyle w:val="Heading2"/>
      </w:pPr>
      <w:r>
        <w:t>TANGEDCO’s Reply</w:t>
      </w:r>
    </w:p>
    <w:p w:rsidR="007C5447" w:rsidRDefault="00F6308C">
      <w:pPr>
        <w:pStyle w:val="ListParagraph"/>
        <w:numPr>
          <w:ilvl w:val="2"/>
          <w:numId w:val="114"/>
        </w:numPr>
        <w:tabs>
          <w:tab w:val="left" w:pos="1073"/>
        </w:tabs>
        <w:spacing w:before="205" w:line="312" w:lineRule="auto"/>
        <w:ind w:right="214" w:hanging="852"/>
        <w:jc w:val="both"/>
        <w:rPr>
          <w:sz w:val="24"/>
        </w:rPr>
      </w:pPr>
      <w:r>
        <w:rPr>
          <w:sz w:val="24"/>
        </w:rPr>
        <w:t>TANGEDCO submitted that the T&amp;D losses are inherent in the system and can be re</w:t>
      </w:r>
      <w:r>
        <w:rPr>
          <w:sz w:val="24"/>
        </w:rPr>
        <w:t>duced to an optimum level but cannot be nullified altogether. The T&amp;D loss of TANTRANSCO/TANGEDCO, which was 21.62% during FY 2011-12 has</w:t>
      </w:r>
      <w:r>
        <w:rPr>
          <w:spacing w:val="5"/>
          <w:sz w:val="24"/>
        </w:rPr>
        <w:t xml:space="preserve"> </w:t>
      </w:r>
      <w:r>
        <w:rPr>
          <w:sz w:val="24"/>
        </w:rPr>
        <w:t>been</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pPr>
      <w:r>
        <w:lastRenderedPageBreak/>
        <w:t>brought down to 20.13% during FY 2015-16 by taking strenuous efforts and by implementing effect</w:t>
      </w:r>
      <w:r>
        <w:t>ive technological solutions.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 xml:space="preserve">TANGEDCO submitted that the T&amp;D loss is calculated as the difference between the energy input and energy sold to both metered and unmetered consumers. The unmetered consumption of agriculture in TANGEDCO is calculated based on sample meter readings, which </w:t>
      </w:r>
      <w:r>
        <w:rPr>
          <w:sz w:val="24"/>
        </w:rPr>
        <w:t xml:space="preserve">is considered to be a scientific method of calculation. Sample meter readings take care of variation in agriculture consumption arising </w:t>
      </w:r>
      <w:r>
        <w:rPr>
          <w:spacing w:val="2"/>
          <w:sz w:val="24"/>
        </w:rPr>
        <w:t xml:space="preserve">due </w:t>
      </w:r>
      <w:r>
        <w:rPr>
          <w:sz w:val="24"/>
        </w:rPr>
        <w:t>to crop pattern, water table, soil conditions, and irrigation methods used specific to each area. The Hut consumptio</w:t>
      </w:r>
      <w:r>
        <w:rPr>
          <w:sz w:val="24"/>
        </w:rPr>
        <w:t>n is computed based on the load details and duration of the running hours per day for light, fan, mixer, grinder and</w:t>
      </w:r>
      <w:r>
        <w:rPr>
          <w:spacing w:val="-11"/>
          <w:sz w:val="24"/>
        </w:rPr>
        <w:t xml:space="preserve"> </w:t>
      </w:r>
      <w:r>
        <w:rPr>
          <w:sz w:val="24"/>
        </w:rPr>
        <w:t>TV.</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7" w:hanging="852"/>
        <w:jc w:val="both"/>
        <w:rPr>
          <w:sz w:val="24"/>
        </w:rPr>
      </w:pPr>
      <w:r>
        <w:rPr>
          <w:sz w:val="24"/>
        </w:rPr>
        <w:t>TANGEDCO submitted the various steps taken to reduce the AT&amp;C losses to 13.5% in FY 2018-19 as</w:t>
      </w:r>
      <w:r>
        <w:rPr>
          <w:spacing w:val="-1"/>
          <w:sz w:val="24"/>
        </w:rPr>
        <w:t xml:space="preserve"> </w:t>
      </w:r>
      <w:r>
        <w:rPr>
          <w:sz w:val="24"/>
        </w:rPr>
        <w:t>under:</w:t>
      </w:r>
    </w:p>
    <w:p w:rsidR="007C5447" w:rsidRDefault="007C5447">
      <w:pPr>
        <w:pStyle w:val="BodyText"/>
        <w:rPr>
          <w:sz w:val="21"/>
        </w:rPr>
      </w:pPr>
    </w:p>
    <w:p w:rsidR="007C5447" w:rsidRDefault="00F6308C">
      <w:pPr>
        <w:pStyle w:val="ListParagraph"/>
        <w:numPr>
          <w:ilvl w:val="0"/>
          <w:numId w:val="98"/>
        </w:numPr>
        <w:tabs>
          <w:tab w:val="left" w:pos="1661"/>
        </w:tabs>
        <w:spacing w:line="304" w:lineRule="auto"/>
        <w:ind w:right="219" w:hanging="382"/>
        <w:jc w:val="left"/>
        <w:rPr>
          <w:sz w:val="24"/>
        </w:rPr>
      </w:pPr>
      <w:r>
        <w:rPr>
          <w:sz w:val="24"/>
        </w:rPr>
        <w:t>Restructured Accelerated Power Development and Reform Programme (RAPDRP)</w:t>
      </w:r>
    </w:p>
    <w:p w:rsidR="007C5447" w:rsidRDefault="00F6308C">
      <w:pPr>
        <w:pStyle w:val="ListParagraph"/>
        <w:numPr>
          <w:ilvl w:val="0"/>
          <w:numId w:val="98"/>
        </w:numPr>
        <w:tabs>
          <w:tab w:val="left" w:pos="1661"/>
        </w:tabs>
        <w:spacing w:before="11"/>
        <w:ind w:left="1660"/>
        <w:jc w:val="left"/>
        <w:rPr>
          <w:sz w:val="24"/>
        </w:rPr>
      </w:pPr>
      <w:r>
        <w:rPr>
          <w:sz w:val="24"/>
        </w:rPr>
        <w:t>Integrated Power Development Scheme</w:t>
      </w:r>
      <w:r>
        <w:rPr>
          <w:spacing w:val="-1"/>
          <w:sz w:val="24"/>
        </w:rPr>
        <w:t xml:space="preserve"> </w:t>
      </w:r>
      <w:r>
        <w:rPr>
          <w:sz w:val="24"/>
        </w:rPr>
        <w:t>(IPDS)</w:t>
      </w:r>
    </w:p>
    <w:p w:rsidR="007C5447" w:rsidRDefault="00F6308C">
      <w:pPr>
        <w:pStyle w:val="ListParagraph"/>
        <w:numPr>
          <w:ilvl w:val="0"/>
          <w:numId w:val="98"/>
        </w:numPr>
        <w:tabs>
          <w:tab w:val="left" w:pos="1661"/>
        </w:tabs>
        <w:spacing w:before="83"/>
        <w:ind w:left="1660"/>
        <w:jc w:val="left"/>
        <w:rPr>
          <w:sz w:val="24"/>
        </w:rPr>
      </w:pPr>
      <w:r>
        <w:rPr>
          <w:sz w:val="24"/>
        </w:rPr>
        <w:t>Deendayal Upadhyaya Gram Jyoti Yojana</w:t>
      </w:r>
      <w:r>
        <w:rPr>
          <w:spacing w:val="-1"/>
          <w:sz w:val="24"/>
        </w:rPr>
        <w:t xml:space="preserve"> </w:t>
      </w:r>
      <w:r>
        <w:rPr>
          <w:sz w:val="24"/>
        </w:rPr>
        <w:t>(DDUGJY)</w:t>
      </w:r>
    </w:p>
    <w:p w:rsidR="007C5447" w:rsidRDefault="00F6308C">
      <w:pPr>
        <w:pStyle w:val="ListParagraph"/>
        <w:numPr>
          <w:ilvl w:val="0"/>
          <w:numId w:val="98"/>
        </w:numPr>
        <w:tabs>
          <w:tab w:val="left" w:pos="1661"/>
        </w:tabs>
        <w:spacing w:before="80"/>
        <w:ind w:left="1660"/>
        <w:jc w:val="left"/>
        <w:rPr>
          <w:sz w:val="24"/>
        </w:rPr>
      </w:pPr>
      <w:r>
        <w:rPr>
          <w:sz w:val="24"/>
        </w:rPr>
        <w:t>National Electricity Fund Scheme</w:t>
      </w:r>
      <w:r>
        <w:rPr>
          <w:spacing w:val="-4"/>
          <w:sz w:val="24"/>
        </w:rPr>
        <w:t xml:space="preserve"> </w:t>
      </w:r>
      <w:r>
        <w:rPr>
          <w:sz w:val="24"/>
        </w:rPr>
        <w:t>(NEFS)</w:t>
      </w:r>
    </w:p>
    <w:p w:rsidR="007C5447" w:rsidRDefault="00F6308C">
      <w:pPr>
        <w:pStyle w:val="ListParagraph"/>
        <w:numPr>
          <w:ilvl w:val="0"/>
          <w:numId w:val="98"/>
        </w:numPr>
        <w:tabs>
          <w:tab w:val="left" w:pos="1661"/>
        </w:tabs>
        <w:spacing w:before="83" w:line="304" w:lineRule="auto"/>
        <w:ind w:right="223" w:hanging="382"/>
        <w:jc w:val="left"/>
        <w:rPr>
          <w:sz w:val="24"/>
        </w:rPr>
      </w:pPr>
      <w:r>
        <w:rPr>
          <w:sz w:val="24"/>
        </w:rPr>
        <w:t xml:space="preserve">Works such as erection of capacitor banks, feeder improvements, improving HT: </w:t>
      </w:r>
      <w:r>
        <w:rPr>
          <w:spacing w:val="-3"/>
          <w:sz w:val="24"/>
        </w:rPr>
        <w:t xml:space="preserve">LT </w:t>
      </w:r>
      <w:r>
        <w:rPr>
          <w:sz w:val="24"/>
        </w:rPr>
        <w:t>ratio,</w:t>
      </w:r>
      <w:r>
        <w:rPr>
          <w:spacing w:val="5"/>
          <w:sz w:val="24"/>
        </w:rPr>
        <w:t xml:space="preserve"> </w:t>
      </w:r>
      <w:r>
        <w:rPr>
          <w:sz w:val="24"/>
        </w:rPr>
        <w:t>etc.</w:t>
      </w:r>
    </w:p>
    <w:p w:rsidR="007C5447" w:rsidRDefault="007C5447">
      <w:pPr>
        <w:pStyle w:val="BodyText"/>
        <w:spacing w:before="7"/>
        <w:rPr>
          <w:sz w:val="21"/>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Further, 100% feeder metering, DT metering and smart metering arrangements to the consumers who are consuming above 200 units per month will be carried out in a phased manner by</w:t>
      </w:r>
      <w:r>
        <w:rPr>
          <w:spacing w:val="-5"/>
          <w:sz w:val="24"/>
        </w:rPr>
        <w:t xml:space="preserve"> </w:t>
      </w:r>
      <w:r>
        <w:rPr>
          <w:sz w:val="24"/>
        </w:rPr>
        <w:t>TANGEDCO.</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TANGEDCO submitted that in UDAY scheme, the target fixed for distri</w:t>
      </w:r>
      <w:r>
        <w:rPr>
          <w:sz w:val="24"/>
        </w:rPr>
        <w:t>bution AT&amp;C loss is 13.5% in FY 2018-19 excluding Transmission Loss of 4.50%. TANGEDCO has designed and implemented various schemes such as RAPDRP, IPDS, DDUGJY, etc., to reduce the distribution loss and bring it to the target level  of 13.50% in FY</w:t>
      </w:r>
      <w:r>
        <w:rPr>
          <w:spacing w:val="-1"/>
          <w:sz w:val="24"/>
        </w:rPr>
        <w:t xml:space="preserve"> </w:t>
      </w:r>
      <w:r>
        <w:rPr>
          <w:sz w:val="24"/>
        </w:rPr>
        <w:t>2018-1</w:t>
      </w:r>
      <w:r>
        <w:rPr>
          <w:sz w:val="24"/>
        </w:rPr>
        <w:t>9.</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TANGEDCO submitted that the proposed Wheeling Charges have been calculated by taking into account the cost incurred to develop high tension network and recovery to be made from Open Access consumers to compensate such cost. The Commission shall determi</w:t>
      </w:r>
      <w:r>
        <w:rPr>
          <w:sz w:val="24"/>
        </w:rPr>
        <w:t>ne the Wheeling Charges after prudence check of</w:t>
      </w:r>
      <w:r>
        <w:rPr>
          <w:spacing w:val="10"/>
          <w:sz w:val="24"/>
        </w:rPr>
        <w:t xml:space="preserve"> </w:t>
      </w:r>
      <w:r>
        <w:rPr>
          <w:sz w:val="24"/>
        </w:rPr>
        <w:t>the</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ind w:left="1072"/>
      </w:pPr>
      <w:r>
        <w:lastRenderedPageBreak/>
        <w:t>claim made by TANGEDCO.</w:t>
      </w:r>
    </w:p>
    <w:p w:rsidR="007C5447" w:rsidRDefault="007C5447">
      <w:pPr>
        <w:pStyle w:val="BodyText"/>
        <w:spacing w:before="11"/>
        <w:rPr>
          <w:sz w:val="27"/>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TANGEDCO submitted that the tariff to the unmetered consumer category has been fixed based on the contracted load and per service connection basis. The State Gov</w:t>
      </w:r>
      <w:r>
        <w:rPr>
          <w:sz w:val="24"/>
        </w:rPr>
        <w:t>ernment is also giving subsidy to extend free supply of electricity to the above unmetered</w:t>
      </w:r>
      <w:r>
        <w:rPr>
          <w:spacing w:val="-1"/>
          <w:sz w:val="24"/>
        </w:rPr>
        <w:t xml:space="preserve"> </w:t>
      </w:r>
      <w:r>
        <w:rPr>
          <w:sz w:val="24"/>
        </w:rPr>
        <w:t>consumers.</w:t>
      </w:r>
    </w:p>
    <w:p w:rsidR="007C5447" w:rsidRDefault="007C5447">
      <w:pPr>
        <w:pStyle w:val="BodyText"/>
        <w:spacing w:before="10"/>
        <w:rPr>
          <w:sz w:val="20"/>
        </w:rPr>
      </w:pPr>
    </w:p>
    <w:p w:rsidR="007C5447" w:rsidRDefault="00F6308C">
      <w:pPr>
        <w:pStyle w:val="Heading2"/>
      </w:pPr>
      <w:r>
        <w:t>Commission’s Views</w:t>
      </w:r>
    </w:p>
    <w:p w:rsidR="007C5447" w:rsidRDefault="00F6308C">
      <w:pPr>
        <w:pStyle w:val="ListParagraph"/>
        <w:numPr>
          <w:ilvl w:val="2"/>
          <w:numId w:val="114"/>
        </w:numPr>
        <w:tabs>
          <w:tab w:val="left" w:pos="1073"/>
        </w:tabs>
        <w:spacing w:before="204" w:line="312" w:lineRule="auto"/>
        <w:ind w:right="212" w:hanging="852"/>
        <w:jc w:val="both"/>
        <w:rPr>
          <w:sz w:val="24"/>
        </w:rPr>
      </w:pPr>
      <w:r>
        <w:rPr>
          <w:sz w:val="24"/>
        </w:rPr>
        <w:t>The Commission had directed TANGEDCO in earlier Orders to conduct a scientific study for accurate measurement of T&amp;D loss and unmetere</w:t>
      </w:r>
      <w:r>
        <w:rPr>
          <w:sz w:val="24"/>
        </w:rPr>
        <w:t>d consumption. After unbundling of TNEB into TANTRANSCO and TANGEDCO, TANTRANSCO is responsible for Transmission Losses, while TANGEDCO is responsible for Distribution Losses. In the absence of any scientific study of the losses and break-up between Transm</w:t>
      </w:r>
      <w:r>
        <w:rPr>
          <w:sz w:val="24"/>
        </w:rPr>
        <w:t>ission Losses and Distribution Losses, the Commission had been stipulating the T&amp;D loss trajectory for previous years, till FY 2015-16. Hence, the true-up for the period from FY 2011-12 to FY 2015-16 has been done with respect  to the approved T&amp;D loss tra</w:t>
      </w:r>
      <w:r>
        <w:rPr>
          <w:sz w:val="24"/>
        </w:rPr>
        <w:t>jectory, and the Commission has not accepted the higher levels of T&amp;D loss considered by TANGEDCO in its True-up Petition. The excess power purchase by TANGEDCO, on account of higher than approved T&amp;D losses, has been disallowed at the marginal rate of pow</w:t>
      </w:r>
      <w:r>
        <w:rPr>
          <w:sz w:val="24"/>
        </w:rPr>
        <w:t>er purchase, in accordance with the approach adopted in earlier True-up Orders.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For the MYT Control Period from FY 2016-17 to FY 2018-19, the Commission has approved the Transmission Losses by considering an annual reduction of 0.1% for each Year of the Control Period, over the actual Transmission Loss of 4.1% for FY 2015-16, as elabo</w:t>
      </w:r>
      <w:r>
        <w:rPr>
          <w:sz w:val="24"/>
        </w:rPr>
        <w:t>rated in the Order in T.P. No. 2 of 2017 dated August 11, 2017 for for</w:t>
      </w:r>
      <w:r>
        <w:rPr>
          <w:spacing w:val="-3"/>
          <w:sz w:val="24"/>
        </w:rPr>
        <w:t xml:space="preserve"> </w:t>
      </w:r>
      <w:r>
        <w:rPr>
          <w:sz w:val="24"/>
        </w:rPr>
        <w:t>TANTRANSCO.</w:t>
      </w:r>
    </w:p>
    <w:p w:rsidR="007C5447" w:rsidRDefault="007C5447">
      <w:pPr>
        <w:pStyle w:val="BodyText"/>
        <w:rPr>
          <w:sz w:val="21"/>
        </w:rPr>
      </w:pPr>
    </w:p>
    <w:p w:rsidR="007C5447" w:rsidRDefault="00F6308C">
      <w:pPr>
        <w:pStyle w:val="ListParagraph"/>
        <w:numPr>
          <w:ilvl w:val="2"/>
          <w:numId w:val="114"/>
        </w:numPr>
        <w:tabs>
          <w:tab w:val="left" w:pos="1073"/>
        </w:tabs>
        <w:spacing w:before="1" w:line="312" w:lineRule="auto"/>
        <w:ind w:right="216" w:hanging="852"/>
        <w:jc w:val="both"/>
        <w:rPr>
          <w:sz w:val="24"/>
        </w:rPr>
      </w:pPr>
      <w:r>
        <w:rPr>
          <w:sz w:val="24"/>
        </w:rPr>
        <w:t>In accordance with the Commission’s directions, TANGEDCO has recently submitted the “Assessment of Distribution Loss by REC Methodology” based on scientific</w:t>
      </w:r>
      <w:r>
        <w:rPr>
          <w:spacing w:val="46"/>
          <w:sz w:val="24"/>
        </w:rPr>
        <w:t xml:space="preserve"> </w:t>
      </w:r>
      <w:r>
        <w:rPr>
          <w:sz w:val="24"/>
        </w:rPr>
        <w:t>study,</w:t>
      </w:r>
      <w:r>
        <w:rPr>
          <w:spacing w:val="46"/>
          <w:sz w:val="24"/>
        </w:rPr>
        <w:t xml:space="preserve"> </w:t>
      </w:r>
      <w:r>
        <w:rPr>
          <w:sz w:val="24"/>
        </w:rPr>
        <w:t>as</w:t>
      </w:r>
      <w:r>
        <w:rPr>
          <w:spacing w:val="49"/>
          <w:sz w:val="24"/>
        </w:rPr>
        <w:t xml:space="preserve"> </w:t>
      </w:r>
      <w:r>
        <w:rPr>
          <w:sz w:val="24"/>
        </w:rPr>
        <w:t>elabo</w:t>
      </w:r>
      <w:r>
        <w:rPr>
          <w:sz w:val="24"/>
        </w:rPr>
        <w:t>rated</w:t>
      </w:r>
      <w:r>
        <w:rPr>
          <w:spacing w:val="47"/>
          <w:sz w:val="24"/>
        </w:rPr>
        <w:t xml:space="preserve"> </w:t>
      </w:r>
      <w:r>
        <w:rPr>
          <w:sz w:val="24"/>
        </w:rPr>
        <w:t>in</w:t>
      </w:r>
      <w:r>
        <w:rPr>
          <w:spacing w:val="50"/>
          <w:sz w:val="24"/>
        </w:rPr>
        <w:t xml:space="preserve"> </w:t>
      </w:r>
      <w:r>
        <w:rPr>
          <w:sz w:val="24"/>
        </w:rPr>
        <w:t>Chapter</w:t>
      </w:r>
      <w:r>
        <w:rPr>
          <w:spacing w:val="46"/>
          <w:sz w:val="24"/>
        </w:rPr>
        <w:t xml:space="preserve"> </w:t>
      </w:r>
      <w:r>
        <w:rPr>
          <w:sz w:val="24"/>
        </w:rPr>
        <w:t>4</w:t>
      </w:r>
      <w:r>
        <w:rPr>
          <w:spacing w:val="51"/>
          <w:sz w:val="24"/>
        </w:rPr>
        <w:t xml:space="preserve"> </w:t>
      </w:r>
      <w:r>
        <w:rPr>
          <w:sz w:val="24"/>
        </w:rPr>
        <w:t>of</w:t>
      </w:r>
      <w:r>
        <w:rPr>
          <w:spacing w:val="46"/>
          <w:sz w:val="24"/>
        </w:rPr>
        <w:t xml:space="preserve"> </w:t>
      </w:r>
      <w:r>
        <w:rPr>
          <w:sz w:val="24"/>
        </w:rPr>
        <w:t>this</w:t>
      </w:r>
      <w:r>
        <w:rPr>
          <w:spacing w:val="47"/>
          <w:sz w:val="24"/>
        </w:rPr>
        <w:t xml:space="preserve"> </w:t>
      </w:r>
      <w:r>
        <w:rPr>
          <w:sz w:val="24"/>
        </w:rPr>
        <w:t>Order.</w:t>
      </w:r>
      <w:r>
        <w:rPr>
          <w:spacing w:val="51"/>
          <w:sz w:val="24"/>
        </w:rPr>
        <w:t xml:space="preserve"> </w:t>
      </w:r>
      <w:r>
        <w:rPr>
          <w:sz w:val="24"/>
        </w:rPr>
        <w:t>In</w:t>
      </w:r>
      <w:r>
        <w:rPr>
          <w:spacing w:val="46"/>
          <w:sz w:val="24"/>
        </w:rPr>
        <w:t xml:space="preserve"> </w:t>
      </w:r>
      <w:r>
        <w:rPr>
          <w:sz w:val="24"/>
        </w:rPr>
        <w:t>this</w:t>
      </w:r>
      <w:r>
        <w:rPr>
          <w:spacing w:val="47"/>
          <w:sz w:val="24"/>
        </w:rPr>
        <w:t xml:space="preserve"> </w:t>
      </w:r>
      <w:r>
        <w:rPr>
          <w:sz w:val="24"/>
        </w:rPr>
        <w:t>Report,</w:t>
      </w:r>
    </w:p>
    <w:p w:rsidR="007C5447" w:rsidRDefault="00F6308C">
      <w:pPr>
        <w:pStyle w:val="BodyText"/>
        <w:spacing w:line="275" w:lineRule="exact"/>
        <w:ind w:left="1072"/>
      </w:pPr>
      <w:r>
        <w:t>TANGEDCO has submitted that</w:t>
      </w:r>
    </w:p>
    <w:p w:rsidR="007C5447" w:rsidRDefault="007C5447">
      <w:pPr>
        <w:pStyle w:val="BodyText"/>
        <w:spacing w:before="2"/>
        <w:rPr>
          <w:sz w:val="28"/>
        </w:rPr>
      </w:pPr>
    </w:p>
    <w:p w:rsidR="007C5447" w:rsidRDefault="00F6308C">
      <w:pPr>
        <w:spacing w:line="312" w:lineRule="auto"/>
        <w:ind w:left="1660" w:right="217"/>
        <w:jc w:val="both"/>
        <w:rPr>
          <w:i/>
          <w:sz w:val="24"/>
        </w:rPr>
      </w:pPr>
      <w:r>
        <w:rPr>
          <w:i/>
          <w:sz w:val="24"/>
        </w:rPr>
        <w:t xml:space="preserve">“It is stated that the distribution losses of TANGEDCO during the period </w:t>
      </w:r>
      <w:r>
        <w:rPr>
          <w:i/>
          <w:sz w:val="24"/>
        </w:rPr>
        <w:t>Apr’15 to Mar’16 is 12.91%. The sub transmission loss of TANGEDCO as per energy balance studies is 1.52% for 2015-16. When this sub transmission loss is summed up with distribution loss using REC methodology, it comes around</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spacing w:before="70" w:line="312" w:lineRule="auto"/>
        <w:ind w:left="1660" w:right="217"/>
        <w:jc w:val="both"/>
        <w:rPr>
          <w:i/>
          <w:sz w:val="24"/>
        </w:rPr>
      </w:pPr>
      <w:r>
        <w:rPr>
          <w:i/>
          <w:sz w:val="24"/>
        </w:rPr>
        <w:lastRenderedPageBreak/>
        <w:t xml:space="preserve">14.43% which </w:t>
      </w:r>
      <w:r>
        <w:rPr>
          <w:i/>
          <w:sz w:val="24"/>
        </w:rPr>
        <w:t>is T&amp;D loss of TANGEDCO. This T&amp;D loss of 14.43% of TANGEDCO arrived using REC methodology is found comparable with the AT&amp;C loss of 14.58% of TANGEDCO for the year 2015-16 committed in UDAY scheme.”</w:t>
      </w:r>
    </w:p>
    <w:p w:rsidR="007C5447" w:rsidRDefault="007C5447">
      <w:pPr>
        <w:pStyle w:val="BodyText"/>
        <w:spacing w:before="10"/>
        <w:rPr>
          <w:i/>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As elaborated in Chapter 4 of this Order, the Commissio</w:t>
      </w:r>
      <w:r>
        <w:rPr>
          <w:sz w:val="24"/>
        </w:rPr>
        <w:t xml:space="preserve">n has accepted this Study Report submitted by TANGEDCO, and has accordingly approved the revised Distribution Loss trajectory as 14.13%, 13.83%, and 13.53% for FY 2016-17, FY 2017-18, and FY 2018-19, respectively, by considering a 0.3% annual reduction in </w:t>
      </w:r>
      <w:r>
        <w:rPr>
          <w:sz w:val="24"/>
        </w:rPr>
        <w:t>view of the huge capital investments planned by TANGEDCO and the various steps taken by TANGEDCO to reduce the distribution</w:t>
      </w:r>
      <w:r>
        <w:rPr>
          <w:spacing w:val="-8"/>
          <w:sz w:val="24"/>
        </w:rPr>
        <w:t xml:space="preserve"> </w:t>
      </w:r>
      <w:r>
        <w:rPr>
          <w:sz w:val="24"/>
        </w:rPr>
        <w:t>losses.</w:t>
      </w:r>
    </w:p>
    <w:p w:rsidR="007C5447" w:rsidRDefault="007C5447">
      <w:pPr>
        <w:pStyle w:val="BodyText"/>
        <w:spacing w:before="10"/>
        <w:rPr>
          <w:sz w:val="20"/>
        </w:rPr>
      </w:pPr>
    </w:p>
    <w:p w:rsidR="007C5447" w:rsidRDefault="00F6308C">
      <w:pPr>
        <w:pStyle w:val="Heading2"/>
        <w:numPr>
          <w:ilvl w:val="1"/>
          <w:numId w:val="114"/>
        </w:numPr>
        <w:tabs>
          <w:tab w:val="left" w:pos="787"/>
        </w:tabs>
        <w:spacing w:before="1" w:line="312" w:lineRule="auto"/>
        <w:ind w:left="796" w:right="1191" w:hanging="576"/>
      </w:pPr>
      <w:bookmarkStart w:id="22" w:name="_bookmark22"/>
      <w:bookmarkEnd w:id="22"/>
      <w:r>
        <w:t>Av</w:t>
      </w:r>
      <w:r>
        <w:t>erage Cost of Supply, Cost to Serve, Cross-subsidy, and Cross Subsidy Surcharge</w:t>
      </w:r>
    </w:p>
    <w:p w:rsidR="007C5447" w:rsidRDefault="007C5447">
      <w:pPr>
        <w:pStyle w:val="BodyText"/>
        <w:spacing w:before="9"/>
        <w:rPr>
          <w:b/>
          <w:sz w:val="20"/>
        </w:rPr>
      </w:pPr>
    </w:p>
    <w:p w:rsidR="007C5447" w:rsidRDefault="00F6308C">
      <w:pPr>
        <w:spacing w:before="1"/>
        <w:ind w:left="1072"/>
        <w:rPr>
          <w:b/>
          <w:sz w:val="24"/>
        </w:rPr>
      </w:pPr>
      <w:r>
        <w:rPr>
          <w:b/>
          <w:sz w:val="24"/>
        </w:rPr>
        <w:t>Stakeholder Comments</w:t>
      </w:r>
    </w:p>
    <w:p w:rsidR="007C5447" w:rsidRDefault="00F6308C">
      <w:pPr>
        <w:pStyle w:val="ListParagraph"/>
        <w:numPr>
          <w:ilvl w:val="2"/>
          <w:numId w:val="114"/>
        </w:numPr>
        <w:tabs>
          <w:tab w:val="left" w:pos="1073"/>
        </w:tabs>
        <w:spacing w:before="201" w:line="312" w:lineRule="auto"/>
        <w:ind w:right="215" w:hanging="852"/>
        <w:jc w:val="both"/>
        <w:rPr>
          <w:sz w:val="24"/>
        </w:rPr>
      </w:pPr>
      <w:r>
        <w:rPr>
          <w:sz w:val="24"/>
        </w:rPr>
        <w:t>The double levy of Maximum Demand (MD) charges for Open Access consumers availing supply from TANGEDCO has to be rectified by taking out the Demand Charge</w:t>
      </w:r>
      <w:r>
        <w:rPr>
          <w:sz w:val="24"/>
        </w:rPr>
        <w:t xml:space="preserve"> paid by the third-party consumer from the Rate of Realization, while computing the Cross-Subsidy Surcharge (CSS). This should be given effect reasonably from the previous periods to set right the wrong from the date when the injustice had been meted out.</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7" w:hanging="852"/>
        <w:jc w:val="both"/>
        <w:rPr>
          <w:sz w:val="24"/>
        </w:rPr>
      </w:pPr>
      <w:r>
        <w:rPr>
          <w:sz w:val="24"/>
        </w:rPr>
        <w:t>The Tariff Policy suggests that all cross subsidies should be limited to 20% of the respective tariff as a guideline. This should not be violated by the Commission at least in this Tariff Order and the tariff should be designed in such a way that it suppo</w:t>
      </w:r>
      <w:r>
        <w:rPr>
          <w:sz w:val="24"/>
        </w:rPr>
        <w:t>rts the development of industries in the</w:t>
      </w:r>
      <w:r>
        <w:rPr>
          <w:spacing w:val="-3"/>
          <w:sz w:val="24"/>
        </w:rPr>
        <w:t xml:space="preserve"> </w:t>
      </w:r>
      <w:r>
        <w:rPr>
          <w:sz w:val="24"/>
        </w:rPr>
        <w:t>State.</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9" w:hanging="852"/>
        <w:jc w:val="both"/>
        <w:rPr>
          <w:sz w:val="24"/>
        </w:rPr>
      </w:pPr>
      <w:r>
        <w:rPr>
          <w:sz w:val="24"/>
        </w:rPr>
        <w:t>The Open Access consumers should not be deprived of the Deemed Demand benefit previously allowed till September 2013. The Deemed Demand benefit was withdrawn without any clear instructions from the Commissio</w:t>
      </w:r>
      <w:r>
        <w:rPr>
          <w:sz w:val="24"/>
        </w:rPr>
        <w:t>n. According to the Deemed Demand concept, the Commission considers 60% weightage for power injected by CPP generators and allowed TANGEDCO to collect balance 40% demand charges from the CPP consumers. The Deemed Demand concept should be re-introduced.</w:t>
      </w:r>
    </w:p>
    <w:p w:rsidR="007C5447" w:rsidRDefault="007C5447">
      <w:pPr>
        <w:pStyle w:val="BodyText"/>
        <w:spacing w:before="8"/>
        <w:rPr>
          <w:sz w:val="20"/>
        </w:rPr>
      </w:pPr>
    </w:p>
    <w:p w:rsidR="007C5447" w:rsidRDefault="00F6308C">
      <w:pPr>
        <w:pStyle w:val="ListParagraph"/>
        <w:numPr>
          <w:ilvl w:val="2"/>
          <w:numId w:val="114"/>
        </w:numPr>
        <w:tabs>
          <w:tab w:val="left" w:pos="1072"/>
          <w:tab w:val="left" w:pos="1073"/>
        </w:tabs>
        <w:spacing w:before="1"/>
        <w:ind w:hanging="853"/>
        <w:rPr>
          <w:sz w:val="24"/>
        </w:rPr>
      </w:pPr>
      <w:r>
        <w:rPr>
          <w:sz w:val="24"/>
        </w:rPr>
        <w:t>Th</w:t>
      </w:r>
      <w:r>
        <w:rPr>
          <w:sz w:val="24"/>
        </w:rPr>
        <w:t>e</w:t>
      </w:r>
      <w:r>
        <w:rPr>
          <w:spacing w:val="43"/>
          <w:sz w:val="24"/>
        </w:rPr>
        <w:t xml:space="preserve"> </w:t>
      </w:r>
      <w:r>
        <w:rPr>
          <w:sz w:val="24"/>
        </w:rPr>
        <w:t>CSS</w:t>
      </w:r>
      <w:r>
        <w:rPr>
          <w:spacing w:val="46"/>
          <w:sz w:val="24"/>
        </w:rPr>
        <w:t xml:space="preserve"> </w:t>
      </w:r>
      <w:r>
        <w:rPr>
          <w:sz w:val="24"/>
        </w:rPr>
        <w:t>has</w:t>
      </w:r>
      <w:r>
        <w:rPr>
          <w:spacing w:val="45"/>
          <w:sz w:val="24"/>
        </w:rPr>
        <w:t xml:space="preserve"> </w:t>
      </w:r>
      <w:r>
        <w:rPr>
          <w:sz w:val="24"/>
        </w:rPr>
        <w:t>to</w:t>
      </w:r>
      <w:r>
        <w:rPr>
          <w:spacing w:val="44"/>
          <w:sz w:val="24"/>
        </w:rPr>
        <w:t xml:space="preserve"> </w:t>
      </w:r>
      <w:r>
        <w:rPr>
          <w:sz w:val="24"/>
        </w:rPr>
        <w:t>be</w:t>
      </w:r>
      <w:r>
        <w:rPr>
          <w:spacing w:val="44"/>
          <w:sz w:val="24"/>
        </w:rPr>
        <w:t xml:space="preserve"> </w:t>
      </w:r>
      <w:r>
        <w:rPr>
          <w:sz w:val="24"/>
        </w:rPr>
        <w:t>reduced</w:t>
      </w:r>
      <w:r>
        <w:rPr>
          <w:spacing w:val="45"/>
          <w:sz w:val="24"/>
        </w:rPr>
        <w:t xml:space="preserve"> </w:t>
      </w:r>
      <w:r>
        <w:rPr>
          <w:sz w:val="24"/>
        </w:rPr>
        <w:t>for</w:t>
      </w:r>
      <w:r>
        <w:rPr>
          <w:spacing w:val="43"/>
          <w:sz w:val="24"/>
        </w:rPr>
        <w:t xml:space="preserve"> </w:t>
      </w:r>
      <w:r>
        <w:rPr>
          <w:sz w:val="24"/>
        </w:rPr>
        <w:t>the</w:t>
      </w:r>
      <w:r>
        <w:rPr>
          <w:spacing w:val="47"/>
          <w:sz w:val="24"/>
        </w:rPr>
        <w:t xml:space="preserve"> </w:t>
      </w:r>
      <w:r>
        <w:rPr>
          <w:sz w:val="24"/>
        </w:rPr>
        <w:t>Open</w:t>
      </w:r>
      <w:r>
        <w:rPr>
          <w:spacing w:val="45"/>
          <w:sz w:val="24"/>
        </w:rPr>
        <w:t xml:space="preserve"> </w:t>
      </w:r>
      <w:r>
        <w:rPr>
          <w:sz w:val="24"/>
        </w:rPr>
        <w:t>Access</w:t>
      </w:r>
      <w:r>
        <w:rPr>
          <w:spacing w:val="44"/>
          <w:sz w:val="24"/>
        </w:rPr>
        <w:t xml:space="preserve"> </w:t>
      </w:r>
      <w:r>
        <w:rPr>
          <w:sz w:val="24"/>
        </w:rPr>
        <w:t>consumers</w:t>
      </w:r>
      <w:r>
        <w:rPr>
          <w:spacing w:val="44"/>
          <w:sz w:val="24"/>
        </w:rPr>
        <w:t xml:space="preserve"> </w:t>
      </w:r>
      <w:r>
        <w:rPr>
          <w:sz w:val="24"/>
        </w:rPr>
        <w:t>to</w:t>
      </w:r>
      <w:r>
        <w:rPr>
          <w:spacing w:val="45"/>
          <w:sz w:val="24"/>
        </w:rPr>
        <w:t xml:space="preserve"> </w:t>
      </w:r>
      <w:r>
        <w:rPr>
          <w:sz w:val="24"/>
        </w:rPr>
        <w:t>make</w:t>
      </w:r>
      <w:r>
        <w:rPr>
          <w:spacing w:val="53"/>
          <w:sz w:val="24"/>
        </w:rPr>
        <w:t xml:space="preserve"> </w:t>
      </w:r>
      <w:r>
        <w:rPr>
          <w:sz w:val="24"/>
        </w:rPr>
        <w:t>the</w:t>
      </w:r>
      <w:r>
        <w:rPr>
          <w:spacing w:val="44"/>
          <w:sz w:val="24"/>
        </w:rPr>
        <w:t xml:space="preserve"> </w:t>
      </w:r>
      <w:r>
        <w:rPr>
          <w:sz w:val="24"/>
        </w:rPr>
        <w:t>power</w:t>
      </w:r>
    </w:p>
    <w:p w:rsidR="007C5447" w:rsidRDefault="007C5447">
      <w:pPr>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22"/>
        <w:jc w:val="both"/>
      </w:pPr>
      <w:r>
        <w:lastRenderedPageBreak/>
        <w:t>market in the State more competitive as power in the State is 50% costlier than that available in other States. The present rate of CSS is very high, and should not exceed 20% of the relevant tariff, as prescribed in the Tariff Policy.</w:t>
      </w:r>
    </w:p>
    <w:p w:rsidR="007C5447" w:rsidRDefault="007C5447">
      <w:pPr>
        <w:pStyle w:val="BodyText"/>
        <w:spacing w:before="8"/>
        <w:rPr>
          <w:sz w:val="20"/>
        </w:rPr>
      </w:pPr>
    </w:p>
    <w:p w:rsidR="007C5447" w:rsidRDefault="00F6308C">
      <w:pPr>
        <w:pStyle w:val="ListParagraph"/>
        <w:numPr>
          <w:ilvl w:val="2"/>
          <w:numId w:val="114"/>
        </w:numPr>
        <w:tabs>
          <w:tab w:val="left" w:pos="1073"/>
        </w:tabs>
        <w:spacing w:before="1" w:line="312" w:lineRule="auto"/>
        <w:ind w:right="222" w:hanging="852"/>
        <w:jc w:val="both"/>
        <w:rPr>
          <w:sz w:val="24"/>
        </w:rPr>
      </w:pPr>
      <w:r>
        <w:rPr>
          <w:sz w:val="24"/>
        </w:rPr>
        <w:t>CSS has to be calcu</w:t>
      </w:r>
      <w:r>
        <w:rPr>
          <w:sz w:val="24"/>
        </w:rPr>
        <w:t>lated by the Commission as directed by the Hon’ble APTEL in Order dated October 27, 2014 in Appeal 196 of 2013, as reproduced</w:t>
      </w:r>
      <w:r>
        <w:rPr>
          <w:spacing w:val="-3"/>
          <w:sz w:val="24"/>
        </w:rPr>
        <w:t xml:space="preserve"> </w:t>
      </w:r>
      <w:r>
        <w:rPr>
          <w:sz w:val="24"/>
        </w:rPr>
        <w:t>below:</w:t>
      </w:r>
    </w:p>
    <w:p w:rsidR="007C5447" w:rsidRDefault="007C5447">
      <w:pPr>
        <w:pStyle w:val="BodyText"/>
        <w:spacing w:before="9"/>
        <w:rPr>
          <w:sz w:val="20"/>
        </w:rPr>
      </w:pPr>
    </w:p>
    <w:p w:rsidR="007C5447" w:rsidRDefault="00F6308C">
      <w:pPr>
        <w:spacing w:before="1"/>
        <w:ind w:left="1660" w:right="936"/>
        <w:jc w:val="both"/>
        <w:rPr>
          <w:i/>
          <w:sz w:val="24"/>
        </w:rPr>
      </w:pPr>
      <w:r>
        <w:rPr>
          <w:i/>
          <w:sz w:val="24"/>
        </w:rPr>
        <w:t xml:space="preserve">“We direct the State Commission to determine cost per unit in respect of all the generating sources and correctly draw up </w:t>
      </w:r>
      <w:r>
        <w:rPr>
          <w:i/>
          <w:sz w:val="24"/>
        </w:rPr>
        <w:t>the merit order before determining the weighted average cost of power purchase for top 5% excluding liquid fuel and renewable energy generation and Cross Subsidy Surcharge...”</w:t>
      </w:r>
    </w:p>
    <w:p w:rsidR="007C5447" w:rsidRDefault="00F6308C">
      <w:pPr>
        <w:pStyle w:val="ListParagraph"/>
        <w:numPr>
          <w:ilvl w:val="2"/>
          <w:numId w:val="114"/>
        </w:numPr>
        <w:tabs>
          <w:tab w:val="left" w:pos="1073"/>
        </w:tabs>
        <w:spacing w:before="120" w:line="312" w:lineRule="auto"/>
        <w:ind w:right="213" w:hanging="852"/>
        <w:jc w:val="both"/>
        <w:rPr>
          <w:sz w:val="24"/>
        </w:rPr>
      </w:pPr>
      <w:r>
        <w:rPr>
          <w:sz w:val="24"/>
        </w:rPr>
        <w:t xml:space="preserve">Voltage-wise cost of supply has to be determined by the Commission as </w:t>
      </w:r>
      <w:r>
        <w:rPr>
          <w:spacing w:val="2"/>
          <w:sz w:val="24"/>
        </w:rPr>
        <w:t xml:space="preserve">per </w:t>
      </w:r>
      <w:r>
        <w:rPr>
          <w:sz w:val="24"/>
        </w:rPr>
        <w:t>Hon’bl</w:t>
      </w:r>
      <w:r>
        <w:rPr>
          <w:sz w:val="24"/>
        </w:rPr>
        <w:t>e APTEL’s direction in Appeal No. 196 of 2013 and the cross-subsidy has to be determined based on data to be provided by TANGEDCO. This exercise has to be followed by the Commission at least in this Tariff Order and the tariff revised downwards.</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21" w:hanging="852"/>
        <w:jc w:val="both"/>
        <w:rPr>
          <w:sz w:val="24"/>
        </w:rPr>
      </w:pPr>
      <w:r>
        <w:rPr>
          <w:sz w:val="24"/>
        </w:rPr>
        <w:t>The Commi</w:t>
      </w:r>
      <w:r>
        <w:rPr>
          <w:sz w:val="24"/>
        </w:rPr>
        <w:t>ssion should notify a road map for reduction of cross subsidy as per the Tariff Policy, 2005 and Hon’ble APTEL’s directions in Appeal No. 196 and 199 of 2013.</w:t>
      </w:r>
    </w:p>
    <w:p w:rsidR="007C5447" w:rsidRDefault="007C5447">
      <w:pPr>
        <w:pStyle w:val="BodyText"/>
        <w:spacing w:before="9"/>
        <w:rPr>
          <w:sz w:val="20"/>
        </w:rPr>
      </w:pPr>
    </w:p>
    <w:p w:rsidR="007C5447" w:rsidRDefault="00F6308C">
      <w:pPr>
        <w:pStyle w:val="ListParagraph"/>
        <w:numPr>
          <w:ilvl w:val="2"/>
          <w:numId w:val="114"/>
        </w:numPr>
        <w:tabs>
          <w:tab w:val="left" w:pos="1073"/>
        </w:tabs>
        <w:spacing w:before="1" w:line="312" w:lineRule="auto"/>
        <w:ind w:right="218" w:hanging="852"/>
        <w:jc w:val="both"/>
        <w:rPr>
          <w:sz w:val="24"/>
        </w:rPr>
      </w:pPr>
      <w:r>
        <w:rPr>
          <w:sz w:val="24"/>
        </w:rPr>
        <w:t>The Commission should determine the CSS for FY 2017-18 using the</w:t>
      </w:r>
      <w:r>
        <w:rPr>
          <w:spacing w:val="35"/>
          <w:sz w:val="24"/>
        </w:rPr>
        <w:t xml:space="preserve"> </w:t>
      </w:r>
      <w:r>
        <w:rPr>
          <w:sz w:val="24"/>
        </w:rPr>
        <w:t>formula stipulated in the Tarif</w:t>
      </w:r>
      <w:r>
        <w:rPr>
          <w:sz w:val="24"/>
        </w:rPr>
        <w:t>f Policy, 2016 notified on January 28, 2016,</w:t>
      </w:r>
      <w:r>
        <w:rPr>
          <w:spacing w:val="-7"/>
          <w:sz w:val="24"/>
        </w:rPr>
        <w:t xml:space="preserve"> </w:t>
      </w:r>
      <w:r>
        <w:rPr>
          <w:sz w:val="24"/>
        </w:rPr>
        <w:t>viz:</w:t>
      </w:r>
    </w:p>
    <w:p w:rsidR="007C5447" w:rsidRDefault="007C5447">
      <w:pPr>
        <w:pStyle w:val="BodyText"/>
        <w:spacing w:before="9"/>
        <w:rPr>
          <w:sz w:val="20"/>
        </w:rPr>
      </w:pPr>
    </w:p>
    <w:p w:rsidR="007C5447" w:rsidRDefault="00F6308C">
      <w:pPr>
        <w:spacing w:before="1"/>
        <w:ind w:left="1660"/>
        <w:jc w:val="both"/>
        <w:rPr>
          <w:i/>
          <w:sz w:val="24"/>
        </w:rPr>
      </w:pPr>
      <w:r>
        <w:rPr>
          <w:i/>
          <w:sz w:val="24"/>
        </w:rPr>
        <w:t>“S= T – [C/ (1-L/100) + D+ R]</w:t>
      </w:r>
    </w:p>
    <w:p w:rsidR="007C5447" w:rsidRDefault="007C5447">
      <w:pPr>
        <w:pStyle w:val="BodyText"/>
        <w:spacing w:before="9"/>
        <w:rPr>
          <w:i/>
          <w:sz w:val="20"/>
        </w:rPr>
      </w:pPr>
    </w:p>
    <w:p w:rsidR="007C5447" w:rsidRDefault="00F6308C">
      <w:pPr>
        <w:spacing w:before="1"/>
        <w:ind w:left="1660"/>
        <w:rPr>
          <w:i/>
          <w:sz w:val="24"/>
        </w:rPr>
      </w:pPr>
      <w:r>
        <w:rPr>
          <w:i/>
          <w:sz w:val="24"/>
        </w:rPr>
        <w:t>Where,</w:t>
      </w:r>
    </w:p>
    <w:p w:rsidR="007C5447" w:rsidRDefault="007C5447">
      <w:pPr>
        <w:pStyle w:val="BodyText"/>
        <w:spacing w:before="10"/>
        <w:rPr>
          <w:i/>
          <w:sz w:val="20"/>
        </w:rPr>
      </w:pPr>
    </w:p>
    <w:p w:rsidR="007C5447" w:rsidRDefault="00F6308C">
      <w:pPr>
        <w:ind w:left="1660"/>
        <w:rPr>
          <w:i/>
          <w:sz w:val="24"/>
        </w:rPr>
      </w:pPr>
      <w:r>
        <w:rPr>
          <w:i/>
          <w:sz w:val="24"/>
        </w:rPr>
        <w:t>S is the surcharge</w:t>
      </w:r>
    </w:p>
    <w:p w:rsidR="007C5447" w:rsidRDefault="007C5447">
      <w:pPr>
        <w:pStyle w:val="BodyText"/>
        <w:spacing w:before="10"/>
        <w:rPr>
          <w:i/>
          <w:sz w:val="20"/>
        </w:rPr>
      </w:pPr>
    </w:p>
    <w:p w:rsidR="007C5447" w:rsidRDefault="00F6308C">
      <w:pPr>
        <w:ind w:left="1660" w:right="225"/>
        <w:rPr>
          <w:i/>
          <w:sz w:val="24"/>
        </w:rPr>
      </w:pPr>
      <w:r>
        <w:rPr>
          <w:i/>
          <w:sz w:val="24"/>
        </w:rPr>
        <w:t xml:space="preserve">T is the tariff payable by the relevant category of consumers, including </w:t>
      </w:r>
      <w:r>
        <w:rPr>
          <w:i/>
          <w:sz w:val="24"/>
        </w:rPr>
        <w:t>reflecting the Renewable Purchase Obligation</w:t>
      </w:r>
    </w:p>
    <w:p w:rsidR="007C5447" w:rsidRDefault="007C5447">
      <w:pPr>
        <w:pStyle w:val="BodyText"/>
        <w:spacing w:before="10"/>
        <w:rPr>
          <w:i/>
          <w:sz w:val="20"/>
        </w:rPr>
      </w:pPr>
    </w:p>
    <w:p w:rsidR="007C5447" w:rsidRDefault="00F6308C">
      <w:pPr>
        <w:ind w:left="1660" w:right="871"/>
        <w:rPr>
          <w:i/>
          <w:sz w:val="24"/>
        </w:rPr>
      </w:pPr>
      <w:r>
        <w:rPr>
          <w:i/>
          <w:sz w:val="24"/>
        </w:rPr>
        <w:t>C is the per unit weighted average cost of power purchase by the Licensee, including meeting the Renewable Purchase Obligation</w:t>
      </w:r>
    </w:p>
    <w:p w:rsidR="007C5447" w:rsidRDefault="007C5447">
      <w:pPr>
        <w:pStyle w:val="BodyText"/>
        <w:spacing w:before="10"/>
        <w:rPr>
          <w:i/>
          <w:sz w:val="20"/>
        </w:rPr>
      </w:pPr>
    </w:p>
    <w:p w:rsidR="007C5447" w:rsidRDefault="00F6308C">
      <w:pPr>
        <w:ind w:left="1660" w:right="225"/>
        <w:rPr>
          <w:i/>
          <w:sz w:val="24"/>
        </w:rPr>
      </w:pPr>
      <w:r>
        <w:rPr>
          <w:i/>
          <w:sz w:val="24"/>
        </w:rPr>
        <w:t>D is the aggregate of transmission, distribution and wheeling charge applicable to</w:t>
      </w:r>
      <w:r>
        <w:rPr>
          <w:i/>
          <w:sz w:val="24"/>
        </w:rPr>
        <w:t xml:space="preserve"> the relevant voltage level</w:t>
      </w:r>
    </w:p>
    <w:p w:rsidR="007C5447" w:rsidRDefault="007C5447">
      <w:pPr>
        <w:pStyle w:val="BodyText"/>
        <w:spacing w:before="10"/>
        <w:rPr>
          <w:i/>
          <w:sz w:val="20"/>
        </w:rPr>
      </w:pPr>
    </w:p>
    <w:p w:rsidR="007C5447" w:rsidRDefault="00F6308C">
      <w:pPr>
        <w:spacing w:before="1"/>
        <w:ind w:left="1660" w:right="225"/>
        <w:rPr>
          <w:i/>
          <w:sz w:val="24"/>
        </w:rPr>
      </w:pPr>
      <w:r>
        <w:rPr>
          <w:i/>
          <w:sz w:val="24"/>
        </w:rPr>
        <w:t>L is the aggregate of transmission, distribution and commercial losses, expressed as a percentage applicable to the relevant voltage level</w:t>
      </w:r>
    </w:p>
    <w:p w:rsidR="007C5447" w:rsidRDefault="007C5447">
      <w:pPr>
        <w:rPr>
          <w:sz w:val="24"/>
        </w:rPr>
        <w:sectPr w:rsidR="007C5447">
          <w:pgSz w:w="11910" w:h="16840"/>
          <w:pgMar w:top="1500" w:right="1220" w:bottom="1620" w:left="1220" w:header="0" w:footer="1386" w:gutter="0"/>
          <w:cols w:space="720"/>
        </w:sectPr>
      </w:pPr>
    </w:p>
    <w:p w:rsidR="007C5447" w:rsidRDefault="00F6308C">
      <w:pPr>
        <w:spacing w:before="70"/>
        <w:ind w:left="1660"/>
        <w:rPr>
          <w:i/>
          <w:sz w:val="24"/>
        </w:rPr>
      </w:pPr>
      <w:r>
        <w:rPr>
          <w:i/>
          <w:sz w:val="24"/>
        </w:rPr>
        <w:lastRenderedPageBreak/>
        <w:t>R is the per unit cost of carrying regulatory asset</w:t>
      </w:r>
    </w:p>
    <w:p w:rsidR="007C5447" w:rsidRDefault="007C5447">
      <w:pPr>
        <w:pStyle w:val="BodyText"/>
        <w:spacing w:before="9"/>
        <w:rPr>
          <w:i/>
          <w:sz w:val="20"/>
        </w:rPr>
      </w:pPr>
    </w:p>
    <w:p w:rsidR="007C5447" w:rsidRDefault="00F6308C">
      <w:pPr>
        <w:spacing w:before="1"/>
        <w:ind w:left="1660"/>
        <w:rPr>
          <w:i/>
          <w:sz w:val="24"/>
        </w:rPr>
      </w:pPr>
      <w:r>
        <w:rPr>
          <w:i/>
          <w:sz w:val="24"/>
        </w:rPr>
        <w:t>...</w:t>
      </w:r>
    </w:p>
    <w:p w:rsidR="007C5447" w:rsidRDefault="007C5447">
      <w:pPr>
        <w:pStyle w:val="BodyText"/>
        <w:spacing w:before="10"/>
        <w:rPr>
          <w:i/>
          <w:sz w:val="20"/>
        </w:rPr>
      </w:pPr>
    </w:p>
    <w:p w:rsidR="007C5447" w:rsidRDefault="00F6308C">
      <w:pPr>
        <w:ind w:left="1660" w:right="871"/>
        <w:rPr>
          <w:i/>
          <w:sz w:val="24"/>
        </w:rPr>
      </w:pPr>
      <w:r>
        <w:rPr>
          <w:i/>
          <w:sz w:val="24"/>
        </w:rPr>
        <w:t>Provided that the surcharge shall not exceed 20% of the tariff applicable to the category of the consumers seeking open access”.</w:t>
      </w:r>
    </w:p>
    <w:p w:rsidR="007C5447" w:rsidRDefault="007C5447">
      <w:pPr>
        <w:pStyle w:val="BodyText"/>
        <w:rPr>
          <w:i/>
          <w:sz w:val="26"/>
        </w:rPr>
      </w:pPr>
    </w:p>
    <w:p w:rsidR="007C5447" w:rsidRDefault="007C5447">
      <w:pPr>
        <w:pStyle w:val="BodyText"/>
        <w:spacing w:before="11"/>
        <w:rPr>
          <w:i/>
          <w:sz w:val="25"/>
        </w:rPr>
      </w:pPr>
    </w:p>
    <w:p w:rsidR="007C5447" w:rsidRDefault="00F6308C">
      <w:pPr>
        <w:pStyle w:val="Heading2"/>
      </w:pPr>
      <w:r>
        <w:t>TANGEDCO’s Reply</w:t>
      </w:r>
    </w:p>
    <w:p w:rsidR="007C5447" w:rsidRDefault="00F6308C">
      <w:pPr>
        <w:pStyle w:val="ListParagraph"/>
        <w:numPr>
          <w:ilvl w:val="2"/>
          <w:numId w:val="114"/>
        </w:numPr>
        <w:tabs>
          <w:tab w:val="left" w:pos="1073"/>
        </w:tabs>
        <w:spacing w:before="204" w:line="312" w:lineRule="auto"/>
        <w:ind w:right="217" w:hanging="852"/>
        <w:jc w:val="both"/>
        <w:rPr>
          <w:sz w:val="24"/>
        </w:rPr>
      </w:pPr>
      <w:r>
        <w:rPr>
          <w:sz w:val="24"/>
        </w:rPr>
        <w:t xml:space="preserve">TANGEDCO submitted that the Commission shall determine the Tariff and CSS taking into account the Tariff Policy and cost structure of TANGEDCO. Such cross subsidy shall be progressively reduced in the manner as may be specified by the Commission. Further, </w:t>
      </w:r>
      <w:r>
        <w:rPr>
          <w:sz w:val="24"/>
        </w:rPr>
        <w:t>while determining cross subsidy, the subsidised consumer should not be affected through sudden tariff increase. The method of determining CSS in accordance with the formula stipulated by the Ministry of Power in Tariff Policy, has been upheld by the Hon’bl</w:t>
      </w:r>
      <w:r>
        <w:rPr>
          <w:sz w:val="24"/>
        </w:rPr>
        <w:t>e APTEL in various Appeals including Appeal No.196 and 199 of</w:t>
      </w:r>
      <w:r>
        <w:rPr>
          <w:spacing w:val="-2"/>
          <w:sz w:val="24"/>
        </w:rPr>
        <w:t xml:space="preserve"> </w:t>
      </w:r>
      <w:r>
        <w:rPr>
          <w:sz w:val="24"/>
        </w:rPr>
        <w:t>2013.</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 xml:space="preserve">TANGEDCO submitted that the Commission has allowed recovery of minimum portion of fixed costs of TANGEDCO through Demand Charges. Section 45(3) of the Electricity Act, 2003 also provides </w:t>
      </w:r>
      <w:r>
        <w:rPr>
          <w:sz w:val="24"/>
        </w:rPr>
        <w:t xml:space="preserve">for levy of Fixed Charges in addition to the charges for actual energy supplied. The Demand Charges allowed by the Commission is only 13% of the total cost allowed. The Demand Charges are meant to recover the fixed cost incurred by TANGEDCO and therefore, </w:t>
      </w:r>
      <w:r>
        <w:rPr>
          <w:sz w:val="24"/>
        </w:rPr>
        <w:t xml:space="preserve">cannot be linked to consumption of electricity. If the demand charges are reduced, it will only get added to the energy charges, as ARR and tariff recovery has to be matched. The Supply Code also does not provide any rebate if power was not drawn from the </w:t>
      </w:r>
      <w:r>
        <w:rPr>
          <w:sz w:val="24"/>
        </w:rPr>
        <w:t>grid. The above view was also upheld by the Hon’ble APTEL in Appeal No. 257 of 2012. Based on the above rationale, the Commission has withdrawn the Deemed Demand benefit.</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As regards the roadmap for cross-subsidy reduction, the Petitioner submitted that th</w:t>
      </w:r>
      <w:r>
        <w:rPr>
          <w:sz w:val="24"/>
        </w:rPr>
        <w:t>e Commission shall issue the Order on the Petition taking into account of provisions contained in Electricity Act 2003, Rules / Regulations issued under Electricity Act 2003 and Directions issued by the Hon’ble APTEL in Orders for Road map on Cross Subsidy</w:t>
      </w:r>
      <w:r>
        <w:rPr>
          <w:sz w:val="24"/>
        </w:rPr>
        <w:t xml:space="preserve"> Reduction and Cost to</w:t>
      </w:r>
      <w:r>
        <w:rPr>
          <w:spacing w:val="-8"/>
          <w:sz w:val="24"/>
        </w:rPr>
        <w:t xml:space="preserve"> </w:t>
      </w:r>
      <w:r>
        <w:rPr>
          <w:sz w:val="24"/>
        </w:rPr>
        <w:t>Serve.</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Heading2"/>
        <w:spacing w:before="70"/>
      </w:pPr>
      <w:r>
        <w:lastRenderedPageBreak/>
        <w:t>Commission’s Views</w:t>
      </w:r>
    </w:p>
    <w:p w:rsidR="007C5447" w:rsidRDefault="00F6308C">
      <w:pPr>
        <w:pStyle w:val="ListParagraph"/>
        <w:numPr>
          <w:ilvl w:val="2"/>
          <w:numId w:val="114"/>
        </w:numPr>
        <w:tabs>
          <w:tab w:val="left" w:pos="1073"/>
        </w:tabs>
        <w:spacing w:before="201" w:line="312" w:lineRule="auto"/>
        <w:ind w:right="215" w:hanging="852"/>
        <w:jc w:val="both"/>
        <w:rPr>
          <w:sz w:val="24"/>
        </w:rPr>
      </w:pPr>
      <w:r>
        <w:rPr>
          <w:sz w:val="24"/>
        </w:rPr>
        <w:t>It is clarified that there is no double levy of Maximum Demand (MD) charges for Open Access consumers availing supply from TANGEDCO. The CSS has to be computed as the difference between the</w:t>
      </w:r>
      <w:r>
        <w:rPr>
          <w:sz w:val="24"/>
        </w:rPr>
        <w:t xml:space="preserve"> Tariff and the Cost, which reflects the cross- subsidy component. The cost includes the fixed costs as well as variable costs, and correspondingly, T has to also include the Fixed Charges and Energy Charges. Further, the Tariff Policy states that “</w:t>
      </w:r>
      <w:r>
        <w:rPr>
          <w:i/>
          <w:sz w:val="24"/>
        </w:rPr>
        <w:t>T is th</w:t>
      </w:r>
      <w:r>
        <w:rPr>
          <w:i/>
          <w:sz w:val="24"/>
        </w:rPr>
        <w:t>e tariff payable by the relevant category of consumers”</w:t>
      </w:r>
      <w:r>
        <w:rPr>
          <w:sz w:val="24"/>
        </w:rPr>
        <w:t>. The Tariff payable by the consumers has two components, viz., Demand Charge and Energy Charge. Hence, the Commission considers the Tariff as Average Billing Rate/Average Realisation Rate, which compr</w:t>
      </w:r>
      <w:r>
        <w:rPr>
          <w:sz w:val="24"/>
        </w:rPr>
        <w:t>ises the Demand Charges as well as Energy Charges. If the Tariff Policy had intended that only the Energy Charges should be considered for the purpose of calculating the CSS, then the Tariff Policy would have stated accordingly, rather than stating “</w:t>
      </w:r>
      <w:r>
        <w:rPr>
          <w:i/>
          <w:sz w:val="24"/>
        </w:rPr>
        <w:t>T is t</w:t>
      </w:r>
      <w:r>
        <w:rPr>
          <w:i/>
          <w:sz w:val="24"/>
        </w:rPr>
        <w:t>he tariff payable by the relevant category of consumers”</w:t>
      </w:r>
      <w:r>
        <w:rPr>
          <w:sz w:val="24"/>
        </w:rPr>
        <w:t>. Thus, the fact that the Open Access consumers are paying the Demand Charges to TANGEDCO, does not entitle them to any concession in the CSS. Further, the Open Access consumers may surrender their Co</w:t>
      </w:r>
      <w:r>
        <w:rPr>
          <w:sz w:val="24"/>
        </w:rPr>
        <w:t>ntract Demand if they do not require the</w:t>
      </w:r>
      <w:r>
        <w:rPr>
          <w:spacing w:val="-7"/>
          <w:sz w:val="24"/>
        </w:rPr>
        <w:t xml:space="preserve"> </w:t>
      </w:r>
      <w:r>
        <w:rPr>
          <w:sz w:val="24"/>
        </w:rPr>
        <w:t>same.</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 xml:space="preserve">The Commission has computed the voltage-wise cost of supply and notified the road map for reduction of cross subsidy as per the Tariff Policy and Hon’ble APTEL’s directions in Appeal No. 196 and 199 of 2013, </w:t>
      </w:r>
      <w:r>
        <w:rPr>
          <w:sz w:val="24"/>
        </w:rPr>
        <w:t>as elaborated in Chapter 5 of this Order.</w:t>
      </w:r>
    </w:p>
    <w:p w:rsidR="007C5447" w:rsidRDefault="007C5447">
      <w:pPr>
        <w:pStyle w:val="BodyText"/>
        <w:spacing w:before="10"/>
        <w:rPr>
          <w:sz w:val="20"/>
        </w:rPr>
      </w:pPr>
    </w:p>
    <w:p w:rsidR="007C5447" w:rsidRDefault="00F6308C">
      <w:pPr>
        <w:pStyle w:val="ListParagraph"/>
        <w:numPr>
          <w:ilvl w:val="2"/>
          <w:numId w:val="114"/>
        </w:numPr>
        <w:tabs>
          <w:tab w:val="left" w:pos="1135"/>
        </w:tabs>
        <w:spacing w:line="312" w:lineRule="auto"/>
        <w:ind w:right="212" w:hanging="852"/>
        <w:jc w:val="both"/>
        <w:rPr>
          <w:sz w:val="24"/>
        </w:rPr>
      </w:pPr>
      <w:r>
        <w:tab/>
      </w:r>
      <w:r>
        <w:rPr>
          <w:spacing w:val="-3"/>
          <w:sz w:val="24"/>
        </w:rPr>
        <w:t xml:space="preserve">It </w:t>
      </w:r>
      <w:r>
        <w:rPr>
          <w:sz w:val="24"/>
        </w:rPr>
        <w:t>is clarified that the Commission took a conscious and reasoned decision to withdraw the Deemed Demand benefit, vide its Transmission Tariff Order No. 2 of 2012 dated March 30, 2012, as there are no Appeals on this Order on this issue. The consumers can alw</w:t>
      </w:r>
      <w:r>
        <w:rPr>
          <w:sz w:val="24"/>
        </w:rPr>
        <w:t>ays reduce their Contract Demand. The Commission does not  find any justification for revisiting this</w:t>
      </w:r>
      <w:r>
        <w:rPr>
          <w:spacing w:val="-8"/>
          <w:sz w:val="24"/>
        </w:rPr>
        <w:t xml:space="preserve"> </w:t>
      </w:r>
      <w:r>
        <w:rPr>
          <w:sz w:val="24"/>
        </w:rPr>
        <w:t>issue.</w:t>
      </w:r>
    </w:p>
    <w:p w:rsidR="007C5447" w:rsidRDefault="007C5447">
      <w:pPr>
        <w:pStyle w:val="BodyText"/>
        <w:spacing w:before="1"/>
        <w:rPr>
          <w:sz w:val="21"/>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The Commission has computed the category-wise CSS in accordance with the Formula prescribed under the Tariff Policy, as elaborated in Chapter 5 of</w:t>
      </w:r>
      <w:r>
        <w:rPr>
          <w:sz w:val="24"/>
        </w:rPr>
        <w:t xml:space="preserve"> this</w:t>
      </w:r>
      <w:r>
        <w:rPr>
          <w:spacing w:val="-11"/>
          <w:sz w:val="24"/>
        </w:rPr>
        <w:t xml:space="preserve"> </w:t>
      </w:r>
      <w:r>
        <w:rPr>
          <w:sz w:val="24"/>
        </w:rPr>
        <w:t>Order.</w:t>
      </w:r>
    </w:p>
    <w:p w:rsidR="007C5447" w:rsidRDefault="007C5447">
      <w:pPr>
        <w:pStyle w:val="BodyText"/>
        <w:spacing w:before="10"/>
        <w:rPr>
          <w:sz w:val="20"/>
        </w:rPr>
      </w:pPr>
    </w:p>
    <w:p w:rsidR="007C5447" w:rsidRDefault="00F6308C">
      <w:pPr>
        <w:pStyle w:val="Heading2"/>
        <w:numPr>
          <w:ilvl w:val="1"/>
          <w:numId w:val="114"/>
        </w:numPr>
        <w:tabs>
          <w:tab w:val="left" w:pos="787"/>
        </w:tabs>
        <w:ind w:left="786"/>
      </w:pPr>
      <w:bookmarkStart w:id="23" w:name="_bookmark23"/>
      <w:bookmarkEnd w:id="23"/>
      <w:r>
        <w:t>Incentives, Surcharges and Rebate</w:t>
      </w:r>
    </w:p>
    <w:p w:rsidR="007C5447" w:rsidRDefault="007C5447">
      <w:pPr>
        <w:pStyle w:val="BodyText"/>
        <w:spacing w:before="11"/>
        <w:rPr>
          <w:b/>
          <w:sz w:val="27"/>
        </w:rPr>
      </w:pPr>
    </w:p>
    <w:p w:rsidR="007C5447" w:rsidRDefault="00F6308C">
      <w:pPr>
        <w:ind w:left="1072"/>
        <w:rPr>
          <w:b/>
          <w:sz w:val="24"/>
        </w:rPr>
      </w:pPr>
      <w:r>
        <w:rPr>
          <w:b/>
          <w:sz w:val="24"/>
        </w:rPr>
        <w:t>Stakeholder Comments</w:t>
      </w:r>
    </w:p>
    <w:p w:rsidR="007C5447" w:rsidRDefault="00F6308C">
      <w:pPr>
        <w:pStyle w:val="ListParagraph"/>
        <w:numPr>
          <w:ilvl w:val="2"/>
          <w:numId w:val="114"/>
        </w:numPr>
        <w:tabs>
          <w:tab w:val="left" w:pos="851"/>
          <w:tab w:val="left" w:pos="852"/>
        </w:tabs>
        <w:spacing w:before="204"/>
        <w:ind w:right="221" w:hanging="1073"/>
        <w:jc w:val="right"/>
        <w:rPr>
          <w:sz w:val="24"/>
        </w:rPr>
      </w:pPr>
      <w:r>
        <w:rPr>
          <w:sz w:val="24"/>
        </w:rPr>
        <w:t>The</w:t>
      </w:r>
      <w:r>
        <w:rPr>
          <w:spacing w:val="11"/>
          <w:sz w:val="24"/>
        </w:rPr>
        <w:t xml:space="preserve"> </w:t>
      </w:r>
      <w:r>
        <w:rPr>
          <w:sz w:val="24"/>
        </w:rPr>
        <w:t>proposed</w:t>
      </w:r>
      <w:r>
        <w:rPr>
          <w:spacing w:val="15"/>
          <w:sz w:val="24"/>
        </w:rPr>
        <w:t xml:space="preserve"> </w:t>
      </w:r>
      <w:r>
        <w:rPr>
          <w:sz w:val="24"/>
        </w:rPr>
        <w:t>enhancement</w:t>
      </w:r>
      <w:r>
        <w:rPr>
          <w:spacing w:val="13"/>
          <w:sz w:val="24"/>
        </w:rPr>
        <w:t xml:space="preserve"> </w:t>
      </w:r>
      <w:r>
        <w:rPr>
          <w:sz w:val="24"/>
        </w:rPr>
        <w:t>in</w:t>
      </w:r>
      <w:r>
        <w:rPr>
          <w:spacing w:val="13"/>
          <w:sz w:val="24"/>
        </w:rPr>
        <w:t xml:space="preserve"> </w:t>
      </w:r>
      <w:r>
        <w:rPr>
          <w:sz w:val="24"/>
        </w:rPr>
        <w:t>average</w:t>
      </w:r>
      <w:r>
        <w:rPr>
          <w:spacing w:val="13"/>
          <w:sz w:val="24"/>
        </w:rPr>
        <w:t xml:space="preserve"> </w:t>
      </w:r>
      <w:r>
        <w:rPr>
          <w:sz w:val="24"/>
        </w:rPr>
        <w:t>minimum</w:t>
      </w:r>
      <w:r>
        <w:rPr>
          <w:spacing w:val="13"/>
          <w:sz w:val="24"/>
        </w:rPr>
        <w:t xml:space="preserve"> </w:t>
      </w:r>
      <w:r>
        <w:rPr>
          <w:sz w:val="24"/>
        </w:rPr>
        <w:t>level</w:t>
      </w:r>
      <w:r>
        <w:rPr>
          <w:spacing w:val="13"/>
          <w:sz w:val="24"/>
        </w:rPr>
        <w:t xml:space="preserve"> </w:t>
      </w:r>
      <w:r>
        <w:rPr>
          <w:sz w:val="24"/>
        </w:rPr>
        <w:t>of</w:t>
      </w:r>
      <w:r>
        <w:rPr>
          <w:spacing w:val="12"/>
          <w:sz w:val="24"/>
        </w:rPr>
        <w:t xml:space="preserve"> </w:t>
      </w:r>
      <w:r>
        <w:rPr>
          <w:sz w:val="24"/>
        </w:rPr>
        <w:t>power</w:t>
      </w:r>
      <w:r>
        <w:rPr>
          <w:spacing w:val="13"/>
          <w:sz w:val="24"/>
        </w:rPr>
        <w:t xml:space="preserve"> </w:t>
      </w:r>
      <w:r>
        <w:rPr>
          <w:sz w:val="24"/>
        </w:rPr>
        <w:t>factor</w:t>
      </w:r>
      <w:r>
        <w:rPr>
          <w:spacing w:val="12"/>
          <w:sz w:val="24"/>
        </w:rPr>
        <w:t xml:space="preserve"> </w:t>
      </w:r>
      <w:r>
        <w:rPr>
          <w:sz w:val="24"/>
        </w:rPr>
        <w:t>from</w:t>
      </w:r>
      <w:r>
        <w:rPr>
          <w:spacing w:val="13"/>
          <w:sz w:val="24"/>
        </w:rPr>
        <w:t xml:space="preserve"> </w:t>
      </w:r>
      <w:r>
        <w:rPr>
          <w:sz w:val="24"/>
        </w:rPr>
        <w:t>0.90</w:t>
      </w:r>
      <w:r>
        <w:rPr>
          <w:spacing w:val="13"/>
          <w:sz w:val="24"/>
        </w:rPr>
        <w:t xml:space="preserve"> </w:t>
      </w:r>
      <w:r>
        <w:rPr>
          <w:sz w:val="24"/>
        </w:rPr>
        <w:t>to</w:t>
      </w:r>
    </w:p>
    <w:p w:rsidR="007C5447" w:rsidRDefault="00F6308C">
      <w:pPr>
        <w:pStyle w:val="BodyText"/>
        <w:spacing w:before="82"/>
        <w:ind w:right="219"/>
        <w:jc w:val="right"/>
      </w:pPr>
      <w:r>
        <w:t>0.95  for  HT  consumers  will  not  improve  the  grid  stability,  hence,  the</w:t>
      </w:r>
      <w:r>
        <w:rPr>
          <w:spacing w:val="5"/>
        </w:rPr>
        <w:t xml:space="preserve"> </w:t>
      </w:r>
      <w:r>
        <w:t>previous</w:t>
      </w:r>
    </w:p>
    <w:p w:rsidR="007C5447" w:rsidRDefault="007C5447">
      <w:pPr>
        <w:jc w:val="right"/>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17"/>
        <w:jc w:val="both"/>
      </w:pPr>
      <w:r>
        <w:lastRenderedPageBreak/>
        <w:t>provision may be retained. The proposed enhancement in average minimum level of power factor from 0.85 to 0.90 for LT consumers whose connected load</w:t>
      </w:r>
      <w:r>
        <w:t xml:space="preserve"> is greater than 25 HP is difficult to implement. Alternatively, the distribution system should be strengthened by improving distribution transformers and other distribution infrastructure to ensure the maintenance of desired frequency levels.</w:t>
      </w:r>
    </w:p>
    <w:p w:rsidR="007C5447" w:rsidRDefault="007C5447">
      <w:pPr>
        <w:pStyle w:val="BodyText"/>
        <w:spacing w:before="8"/>
        <w:rPr>
          <w:sz w:val="20"/>
        </w:rPr>
      </w:pPr>
    </w:p>
    <w:p w:rsidR="007C5447" w:rsidRDefault="00F6308C">
      <w:pPr>
        <w:pStyle w:val="ListParagraph"/>
        <w:numPr>
          <w:ilvl w:val="2"/>
          <w:numId w:val="114"/>
        </w:numPr>
        <w:tabs>
          <w:tab w:val="left" w:pos="1073"/>
        </w:tabs>
        <w:spacing w:before="1" w:line="312" w:lineRule="auto"/>
        <w:ind w:right="220" w:hanging="852"/>
        <w:jc w:val="both"/>
        <w:rPr>
          <w:sz w:val="24"/>
        </w:rPr>
      </w:pPr>
      <w:r>
        <w:rPr>
          <w:sz w:val="24"/>
        </w:rPr>
        <w:t xml:space="preserve">Instead of increasing the power factor level by 0.05 for 40% of the consumers who are charged based on their power factor, the balance 60% of the load at low power factors of about 0.65 can be improved by installing capacitors in Distribution Transformers </w:t>
      </w:r>
      <w:r>
        <w:rPr>
          <w:sz w:val="24"/>
        </w:rPr>
        <w:t>of TANGEDCO. The Commission should direct TANGEDCO to maintain a power factor 0.85 in its distribution transformers supplying to the balance 60%</w:t>
      </w:r>
      <w:r>
        <w:rPr>
          <w:spacing w:val="-1"/>
          <w:sz w:val="24"/>
        </w:rPr>
        <w:t xml:space="preserve"> </w:t>
      </w:r>
      <w:r>
        <w:rPr>
          <w:sz w:val="24"/>
        </w:rPr>
        <w:t>load.</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7" w:hanging="852"/>
        <w:jc w:val="both"/>
        <w:rPr>
          <w:sz w:val="24"/>
        </w:rPr>
      </w:pPr>
      <w:r>
        <w:rPr>
          <w:sz w:val="24"/>
        </w:rPr>
        <w:t>Power factor incentives should be introduced to motivate the consumers to maintain the power factor rath</w:t>
      </w:r>
      <w:r>
        <w:rPr>
          <w:sz w:val="24"/>
        </w:rPr>
        <w:t>er than only penalizing them for low power factors, in accordance with Hon’ble APTEL Judgments in Appeal Nos. 192 and 206 of 2010 dated July 28, 2011 and for rewarding efficiency as per the provisions of Section 61(e) of the Electricity Act, 2003. Thus, th</w:t>
      </w:r>
      <w:r>
        <w:rPr>
          <w:sz w:val="24"/>
        </w:rPr>
        <w:t>e Commission should revisit its decision to withdraw PF</w:t>
      </w:r>
      <w:r>
        <w:rPr>
          <w:spacing w:val="-2"/>
          <w:sz w:val="24"/>
        </w:rPr>
        <w:t xml:space="preserve"> </w:t>
      </w:r>
      <w:r>
        <w:rPr>
          <w:sz w:val="24"/>
        </w:rPr>
        <w:t>incentives.</w:t>
      </w:r>
    </w:p>
    <w:p w:rsidR="007C5447" w:rsidRDefault="007C5447">
      <w:pPr>
        <w:pStyle w:val="BodyText"/>
        <w:spacing w:before="11"/>
        <w:rPr>
          <w:sz w:val="20"/>
        </w:rPr>
      </w:pPr>
    </w:p>
    <w:p w:rsidR="007C5447" w:rsidRDefault="00F6308C">
      <w:pPr>
        <w:pStyle w:val="Heading2"/>
        <w:jc w:val="both"/>
      </w:pPr>
      <w:r>
        <w:t>TANGEDCO’s Reply</w:t>
      </w:r>
    </w:p>
    <w:p w:rsidR="007C5447" w:rsidRDefault="00F6308C">
      <w:pPr>
        <w:pStyle w:val="ListParagraph"/>
        <w:numPr>
          <w:ilvl w:val="2"/>
          <w:numId w:val="114"/>
        </w:numPr>
        <w:tabs>
          <w:tab w:val="left" w:pos="1073"/>
        </w:tabs>
        <w:spacing w:before="204" w:line="312" w:lineRule="auto"/>
        <w:ind w:right="214" w:hanging="852"/>
        <w:jc w:val="both"/>
        <w:rPr>
          <w:sz w:val="24"/>
        </w:rPr>
      </w:pPr>
      <w:r>
        <w:rPr>
          <w:sz w:val="24"/>
        </w:rPr>
        <w:t>TANGEDCO submitted that it is taking all steps to supply quality power with higher power factor by installing synchronising transformers in sub-stations and capacitors in</w:t>
      </w:r>
      <w:r>
        <w:rPr>
          <w:sz w:val="24"/>
        </w:rPr>
        <w:t xml:space="preserve"> distribution transformers. In line with the above, to maintain grid stability and to avoid system disturbances, TANGEDCO has submitted a proposal to enhance the power factor</w:t>
      </w:r>
      <w:r>
        <w:rPr>
          <w:spacing w:val="-1"/>
          <w:sz w:val="24"/>
        </w:rPr>
        <w:t xml:space="preserve"> </w:t>
      </w:r>
      <w:r>
        <w:rPr>
          <w:sz w:val="24"/>
        </w:rPr>
        <w:t>(lag).</w:t>
      </w:r>
    </w:p>
    <w:p w:rsidR="007C5447" w:rsidRDefault="007C5447">
      <w:pPr>
        <w:pStyle w:val="BodyText"/>
        <w:spacing w:before="9"/>
        <w:rPr>
          <w:sz w:val="20"/>
        </w:rPr>
      </w:pPr>
    </w:p>
    <w:p w:rsidR="007C5447" w:rsidRDefault="00F6308C">
      <w:pPr>
        <w:pStyle w:val="ListParagraph"/>
        <w:numPr>
          <w:ilvl w:val="2"/>
          <w:numId w:val="114"/>
        </w:numPr>
        <w:tabs>
          <w:tab w:val="left" w:pos="1073"/>
        </w:tabs>
        <w:spacing w:before="1" w:line="312" w:lineRule="auto"/>
        <w:ind w:right="219" w:hanging="852"/>
        <w:jc w:val="both"/>
        <w:rPr>
          <w:sz w:val="24"/>
        </w:rPr>
      </w:pPr>
      <w:r>
        <w:rPr>
          <w:sz w:val="24"/>
        </w:rPr>
        <w:t>TANGEDCO submitted that the Commission introduced the system of giving in</w:t>
      </w:r>
      <w:r>
        <w:rPr>
          <w:sz w:val="24"/>
        </w:rPr>
        <w:t>centive in 2003 to the consumers who maintain higher power factor, in order to create awareness among the consumers. The consumer is benefited by improving the power factor above the benchmark as his Maximum Demand (MD) also reduces. Thus, additional incen</w:t>
      </w:r>
      <w:r>
        <w:rPr>
          <w:sz w:val="24"/>
        </w:rPr>
        <w:t xml:space="preserve">tive for improving power factor is not required. Considering the above facts, the Commission withdrew the power factor incentive from 2010 and also amended its Regulations accordingly. Hence, the power factor incentive could not be extended in the absence </w:t>
      </w:r>
      <w:r>
        <w:rPr>
          <w:sz w:val="24"/>
        </w:rPr>
        <w:t>of necessary provisions in the Code /</w:t>
      </w:r>
      <w:r>
        <w:rPr>
          <w:spacing w:val="-10"/>
          <w:sz w:val="24"/>
        </w:rPr>
        <w:t xml:space="preserve"> </w:t>
      </w:r>
      <w:r>
        <w:rPr>
          <w:sz w:val="24"/>
        </w:rPr>
        <w:t>Regulations.</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Heading2"/>
        <w:spacing w:before="70"/>
      </w:pPr>
      <w:r>
        <w:lastRenderedPageBreak/>
        <w:t>Commission’s Views</w:t>
      </w:r>
    </w:p>
    <w:p w:rsidR="007C5447" w:rsidRDefault="00F6308C">
      <w:pPr>
        <w:pStyle w:val="ListParagraph"/>
        <w:numPr>
          <w:ilvl w:val="2"/>
          <w:numId w:val="114"/>
        </w:numPr>
        <w:tabs>
          <w:tab w:val="left" w:pos="1073"/>
        </w:tabs>
        <w:spacing w:before="201" w:line="312" w:lineRule="auto"/>
        <w:ind w:right="216" w:hanging="852"/>
        <w:jc w:val="both"/>
        <w:rPr>
          <w:sz w:val="24"/>
        </w:rPr>
      </w:pPr>
      <w:r>
        <w:rPr>
          <w:sz w:val="24"/>
        </w:rPr>
        <w:t>The Commission has taken a considered decision to withdraw the power factor incentive in its earlier Orders, and the Commission does not see any reason to review the sa</w:t>
      </w:r>
      <w:r>
        <w:rPr>
          <w:sz w:val="24"/>
        </w:rPr>
        <w:t>me. The power factor compensation applicable for HT and LT categories has been elaborated in Chapter 5 of this</w:t>
      </w:r>
      <w:r>
        <w:rPr>
          <w:spacing w:val="-1"/>
          <w:sz w:val="24"/>
        </w:rPr>
        <w:t xml:space="preserve"> </w:t>
      </w:r>
      <w:r>
        <w:rPr>
          <w:sz w:val="24"/>
        </w:rPr>
        <w:t>Order.</w:t>
      </w:r>
    </w:p>
    <w:p w:rsidR="007C5447" w:rsidRDefault="007C5447">
      <w:pPr>
        <w:pStyle w:val="BodyText"/>
        <w:spacing w:before="10"/>
        <w:rPr>
          <w:sz w:val="20"/>
        </w:rPr>
      </w:pPr>
    </w:p>
    <w:p w:rsidR="007C5447" w:rsidRDefault="00F6308C">
      <w:pPr>
        <w:pStyle w:val="Heading2"/>
        <w:numPr>
          <w:ilvl w:val="1"/>
          <w:numId w:val="114"/>
        </w:numPr>
        <w:tabs>
          <w:tab w:val="left" w:pos="846"/>
          <w:tab w:val="left" w:pos="847"/>
        </w:tabs>
        <w:ind w:left="846" w:hanging="627"/>
      </w:pPr>
      <w:bookmarkStart w:id="24" w:name="_bookmark24"/>
      <w:bookmarkEnd w:id="24"/>
      <w:r>
        <w:t>Peak Hour</w:t>
      </w:r>
      <w:r>
        <w:rPr>
          <w:spacing w:val="-2"/>
        </w:rPr>
        <w:t xml:space="preserve"> </w:t>
      </w:r>
      <w:r>
        <w:t>Tariff</w:t>
      </w:r>
    </w:p>
    <w:p w:rsidR="007C5447" w:rsidRDefault="007C5447">
      <w:pPr>
        <w:pStyle w:val="BodyText"/>
        <w:spacing w:before="2"/>
        <w:rPr>
          <w:b/>
          <w:sz w:val="28"/>
        </w:rPr>
      </w:pPr>
    </w:p>
    <w:p w:rsidR="007C5447" w:rsidRDefault="00F6308C">
      <w:pPr>
        <w:ind w:left="1072"/>
        <w:rPr>
          <w:b/>
          <w:sz w:val="24"/>
        </w:rPr>
      </w:pPr>
      <w:r>
        <w:rPr>
          <w:b/>
          <w:sz w:val="24"/>
        </w:rPr>
        <w:t>Stakeholder Comments</w:t>
      </w:r>
    </w:p>
    <w:p w:rsidR="007C5447" w:rsidRDefault="00F6308C">
      <w:pPr>
        <w:pStyle w:val="ListParagraph"/>
        <w:numPr>
          <w:ilvl w:val="2"/>
          <w:numId w:val="114"/>
        </w:numPr>
        <w:tabs>
          <w:tab w:val="left" w:pos="1073"/>
        </w:tabs>
        <w:spacing w:before="203" w:line="312" w:lineRule="auto"/>
        <w:ind w:right="218" w:hanging="852"/>
        <w:jc w:val="both"/>
        <w:rPr>
          <w:sz w:val="24"/>
        </w:rPr>
      </w:pPr>
      <w:r>
        <w:rPr>
          <w:sz w:val="24"/>
        </w:rPr>
        <w:t>Peak hour Tariff should be determined by the Commission as per the APTEL’s directions, which have been accepted by the Commission in the SMT</w:t>
      </w:r>
      <w:r>
        <w:rPr>
          <w:spacing w:val="-8"/>
          <w:sz w:val="24"/>
        </w:rPr>
        <w:t xml:space="preserve"> </w:t>
      </w:r>
      <w:r>
        <w:rPr>
          <w:sz w:val="24"/>
        </w:rPr>
        <w:t>Order.</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 xml:space="preserve">The levy of 20% surcharge during the peak load hours has to be reduced, as it is very high considering the surcharge levied in other States like Andhra Pradesh, Karnataka and Maharashtra, where the peak hour surcharge ranges from 13% to 17%. Conversely, a </w:t>
      </w:r>
      <w:r>
        <w:rPr>
          <w:sz w:val="24"/>
        </w:rPr>
        <w:t>rebate of 20% should be provided for power consumption during off- peak hours to optimise utilization of thermal power plants since the State is now power</w:t>
      </w:r>
      <w:r>
        <w:rPr>
          <w:spacing w:val="-1"/>
          <w:sz w:val="24"/>
        </w:rPr>
        <w:t xml:space="preserve"> </w:t>
      </w:r>
      <w:r>
        <w:rPr>
          <w:sz w:val="24"/>
        </w:rPr>
        <w:t>surplus.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There should be no peak hour surcharge levied in the morning, as the morning peak hour conc</w:t>
      </w:r>
      <w:r>
        <w:rPr>
          <w:sz w:val="24"/>
        </w:rPr>
        <w:t>ept does not exist in many major States, and no commercial or industrial consumption starts before 09:00 hrs in the</w:t>
      </w:r>
      <w:r>
        <w:rPr>
          <w:spacing w:val="-3"/>
          <w:sz w:val="24"/>
        </w:rPr>
        <w:t xml:space="preserve"> </w:t>
      </w:r>
      <w:r>
        <w:rPr>
          <w:sz w:val="24"/>
        </w:rPr>
        <w:t>morning.</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7" w:hanging="852"/>
        <w:jc w:val="both"/>
        <w:rPr>
          <w:sz w:val="24"/>
        </w:rPr>
      </w:pPr>
      <w:r>
        <w:rPr>
          <w:sz w:val="24"/>
        </w:rPr>
        <w:t>The time slot of 21:00 hrs to 22:00 hrs should not be considered as peak hours as the State is no longer power deficit. The propos</w:t>
      </w:r>
      <w:r>
        <w:rPr>
          <w:sz w:val="24"/>
        </w:rPr>
        <w:t>al to increase the evening peak hours from 21:00 hrs to 22:00 hrs should be justified by TANGEDCO by conducting a load study during the above-mentioned time period to prove the necessity to levy such surcharge, which further burdens the industrial consumer</w:t>
      </w:r>
      <w:r>
        <w:rPr>
          <w:sz w:val="24"/>
        </w:rPr>
        <w:t>s. A study on the actual peak demand has to be done. It should be analysed if the peak hour surcharge has actually reduced the peak hour demand. Peak hour surcharge should not be used to raise</w:t>
      </w:r>
      <w:r>
        <w:rPr>
          <w:spacing w:val="-1"/>
          <w:sz w:val="24"/>
        </w:rPr>
        <w:t xml:space="preserve"> </w:t>
      </w:r>
      <w:r>
        <w:rPr>
          <w:sz w:val="24"/>
        </w:rPr>
        <w:t>revenue.</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20" w:hanging="852"/>
        <w:jc w:val="both"/>
        <w:rPr>
          <w:sz w:val="24"/>
        </w:rPr>
      </w:pPr>
      <w:r>
        <w:rPr>
          <w:sz w:val="24"/>
        </w:rPr>
        <w:t>Surcharge for peak hour power utilization should be l</w:t>
      </w:r>
      <w:r>
        <w:rPr>
          <w:sz w:val="24"/>
        </w:rPr>
        <w:t>evied for all HT consumers under Tariff Schedules like HT IIA, HT IIB and HT</w:t>
      </w:r>
      <w:r>
        <w:rPr>
          <w:spacing w:val="2"/>
          <w:sz w:val="24"/>
        </w:rPr>
        <w:t xml:space="preserve"> </w:t>
      </w:r>
      <w:r>
        <w:rPr>
          <w:sz w:val="24"/>
        </w:rPr>
        <w:t>III.</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3" w:hanging="852"/>
        <w:jc w:val="both"/>
        <w:rPr>
          <w:sz w:val="24"/>
        </w:rPr>
      </w:pPr>
      <w:r>
        <w:rPr>
          <w:sz w:val="24"/>
        </w:rPr>
        <w:t>It is seen that the economic Wind Energy Generators (WEG’s) are backed down during</w:t>
      </w:r>
      <w:r>
        <w:rPr>
          <w:spacing w:val="3"/>
          <w:sz w:val="24"/>
        </w:rPr>
        <w:t xml:space="preserve"> </w:t>
      </w:r>
      <w:r>
        <w:rPr>
          <w:sz w:val="24"/>
        </w:rPr>
        <w:t>peak</w:t>
      </w:r>
      <w:r>
        <w:rPr>
          <w:spacing w:val="5"/>
          <w:sz w:val="24"/>
        </w:rPr>
        <w:t xml:space="preserve"> </w:t>
      </w:r>
      <w:r>
        <w:rPr>
          <w:sz w:val="24"/>
        </w:rPr>
        <w:t>hours.</w:t>
      </w:r>
      <w:r>
        <w:rPr>
          <w:spacing w:val="5"/>
          <w:sz w:val="24"/>
        </w:rPr>
        <w:t xml:space="preserve"> </w:t>
      </w:r>
      <w:r>
        <w:rPr>
          <w:sz w:val="24"/>
        </w:rPr>
        <w:t>This</w:t>
      </w:r>
      <w:r>
        <w:rPr>
          <w:spacing w:val="7"/>
          <w:sz w:val="24"/>
        </w:rPr>
        <w:t xml:space="preserve"> </w:t>
      </w:r>
      <w:r>
        <w:rPr>
          <w:sz w:val="24"/>
        </w:rPr>
        <w:t>has</w:t>
      </w:r>
      <w:r>
        <w:rPr>
          <w:spacing w:val="6"/>
          <w:sz w:val="24"/>
        </w:rPr>
        <w:t xml:space="preserve"> </w:t>
      </w:r>
      <w:r>
        <w:rPr>
          <w:sz w:val="24"/>
        </w:rPr>
        <w:t>to</w:t>
      </w:r>
      <w:r>
        <w:rPr>
          <w:spacing w:val="6"/>
          <w:sz w:val="24"/>
        </w:rPr>
        <w:t xml:space="preserve"> </w:t>
      </w:r>
      <w:r>
        <w:rPr>
          <w:sz w:val="24"/>
        </w:rPr>
        <w:t>be</w:t>
      </w:r>
      <w:r>
        <w:rPr>
          <w:spacing w:val="5"/>
          <w:sz w:val="24"/>
        </w:rPr>
        <w:t xml:space="preserve"> </w:t>
      </w:r>
      <w:r>
        <w:rPr>
          <w:sz w:val="24"/>
        </w:rPr>
        <w:t>justified</w:t>
      </w:r>
      <w:r>
        <w:rPr>
          <w:spacing w:val="6"/>
          <w:sz w:val="24"/>
        </w:rPr>
        <w:t xml:space="preserve"> </w:t>
      </w:r>
      <w:r>
        <w:rPr>
          <w:sz w:val="24"/>
        </w:rPr>
        <w:t>in</w:t>
      </w:r>
      <w:r>
        <w:rPr>
          <w:spacing w:val="6"/>
          <w:sz w:val="24"/>
        </w:rPr>
        <w:t xml:space="preserve"> </w:t>
      </w:r>
      <w:r>
        <w:rPr>
          <w:sz w:val="24"/>
        </w:rPr>
        <w:t>view</w:t>
      </w:r>
      <w:r>
        <w:rPr>
          <w:spacing w:val="5"/>
          <w:sz w:val="24"/>
        </w:rPr>
        <w:t xml:space="preserve"> </w:t>
      </w:r>
      <w:r>
        <w:rPr>
          <w:sz w:val="24"/>
        </w:rPr>
        <w:t>of</w:t>
      </w:r>
      <w:r>
        <w:rPr>
          <w:spacing w:val="5"/>
          <w:sz w:val="24"/>
        </w:rPr>
        <w:t xml:space="preserve"> </w:t>
      </w:r>
      <w:r>
        <w:rPr>
          <w:sz w:val="24"/>
        </w:rPr>
        <w:t>the</w:t>
      </w:r>
      <w:r>
        <w:rPr>
          <w:spacing w:val="6"/>
          <w:sz w:val="24"/>
        </w:rPr>
        <w:t xml:space="preserve"> </w:t>
      </w:r>
      <w:r>
        <w:rPr>
          <w:sz w:val="24"/>
        </w:rPr>
        <w:t>peak</w:t>
      </w:r>
      <w:r>
        <w:rPr>
          <w:spacing w:val="5"/>
          <w:sz w:val="24"/>
        </w:rPr>
        <w:t xml:space="preserve"> </w:t>
      </w:r>
      <w:r>
        <w:rPr>
          <w:sz w:val="24"/>
        </w:rPr>
        <w:t>hour</w:t>
      </w:r>
      <w:r>
        <w:rPr>
          <w:spacing w:val="5"/>
          <w:sz w:val="24"/>
        </w:rPr>
        <w:t xml:space="preserve"> </w:t>
      </w:r>
      <w:r>
        <w:rPr>
          <w:sz w:val="24"/>
        </w:rPr>
        <w:t>surcharge</w:t>
      </w:r>
      <w:r>
        <w:rPr>
          <w:spacing w:val="6"/>
          <w:sz w:val="24"/>
        </w:rPr>
        <w:t xml:space="preserve"> </w:t>
      </w:r>
      <w:r>
        <w:rPr>
          <w:sz w:val="24"/>
        </w:rPr>
        <w:t>levied</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17"/>
        <w:jc w:val="both"/>
      </w:pPr>
      <w:r>
        <w:lastRenderedPageBreak/>
        <w:t>on the consumers. The economic power procured from wind energy and hydel energy during peak hours during the months of June- October should subsidise the peak tariff during this</w:t>
      </w:r>
      <w:r>
        <w:rPr>
          <w:spacing w:val="-4"/>
        </w:rPr>
        <w:t xml:space="preserve"> </w:t>
      </w:r>
      <w:r>
        <w:t>period.</w:t>
      </w:r>
    </w:p>
    <w:p w:rsidR="007C5447" w:rsidRDefault="007C5447">
      <w:pPr>
        <w:pStyle w:val="BodyText"/>
        <w:spacing w:before="8"/>
        <w:rPr>
          <w:sz w:val="20"/>
        </w:rPr>
      </w:pPr>
    </w:p>
    <w:p w:rsidR="007C5447" w:rsidRDefault="00F6308C">
      <w:pPr>
        <w:pStyle w:val="ListParagraph"/>
        <w:numPr>
          <w:ilvl w:val="2"/>
          <w:numId w:val="114"/>
        </w:numPr>
        <w:tabs>
          <w:tab w:val="left" w:pos="1073"/>
        </w:tabs>
        <w:spacing w:before="1" w:line="312" w:lineRule="auto"/>
        <w:ind w:right="218" w:hanging="852"/>
        <w:jc w:val="both"/>
        <w:rPr>
          <w:sz w:val="24"/>
        </w:rPr>
      </w:pPr>
      <w:r>
        <w:rPr>
          <w:sz w:val="24"/>
        </w:rPr>
        <w:t>The rebate given for consumers utilizing power dur</w:t>
      </w:r>
      <w:r>
        <w:rPr>
          <w:sz w:val="24"/>
        </w:rPr>
        <w:t>ing off-peak hours (22:00 hrs to 05:00 hrs) should be increased from 5% to Rs. 1.50</w:t>
      </w:r>
      <w:r>
        <w:rPr>
          <w:spacing w:val="-2"/>
          <w:sz w:val="24"/>
        </w:rPr>
        <w:t xml:space="preserve"> </w:t>
      </w:r>
      <w:r>
        <w:rPr>
          <w:sz w:val="24"/>
        </w:rPr>
        <w:t>/kWh.</w:t>
      </w:r>
    </w:p>
    <w:p w:rsidR="007C5447" w:rsidRDefault="007C5447">
      <w:pPr>
        <w:pStyle w:val="BodyText"/>
        <w:spacing w:before="9"/>
        <w:rPr>
          <w:sz w:val="20"/>
        </w:rPr>
      </w:pPr>
    </w:p>
    <w:p w:rsidR="007C5447" w:rsidRDefault="00F6308C">
      <w:pPr>
        <w:pStyle w:val="ListParagraph"/>
        <w:numPr>
          <w:ilvl w:val="2"/>
          <w:numId w:val="114"/>
        </w:numPr>
        <w:tabs>
          <w:tab w:val="left" w:pos="1073"/>
        </w:tabs>
        <w:spacing w:before="1" w:line="312" w:lineRule="auto"/>
        <w:ind w:right="218" w:hanging="852"/>
        <w:jc w:val="both"/>
        <w:rPr>
          <w:sz w:val="24"/>
        </w:rPr>
      </w:pPr>
      <w:r>
        <w:rPr>
          <w:sz w:val="24"/>
        </w:rPr>
        <w:t>The Peak and Non-Peak hour tariffs have to be re-determined as per the Hon’ble APTEL’s direction in Appeal No. 257 of 2012, as reproduced</w:t>
      </w:r>
      <w:r>
        <w:rPr>
          <w:spacing w:val="-6"/>
          <w:sz w:val="24"/>
        </w:rPr>
        <w:t xml:space="preserve"> </w:t>
      </w:r>
      <w:r>
        <w:rPr>
          <w:sz w:val="24"/>
        </w:rPr>
        <w:t>below:</w:t>
      </w:r>
    </w:p>
    <w:p w:rsidR="007C5447" w:rsidRDefault="007C5447">
      <w:pPr>
        <w:pStyle w:val="BodyText"/>
        <w:spacing w:before="10"/>
        <w:rPr>
          <w:sz w:val="20"/>
        </w:rPr>
      </w:pPr>
    </w:p>
    <w:p w:rsidR="007C5447" w:rsidRDefault="00F6308C">
      <w:pPr>
        <w:ind w:left="1660" w:right="935"/>
        <w:jc w:val="both"/>
        <w:rPr>
          <w:i/>
          <w:sz w:val="24"/>
        </w:rPr>
      </w:pPr>
      <w:r>
        <w:rPr>
          <w:i/>
          <w:sz w:val="24"/>
        </w:rPr>
        <w:t>“The State Commission has decided the disincentive for consumption of electricity during the peak hours at 20% whereas for consumption during off -peak hours the incentive of only 5% has been provided. The incentive for drawal during off -peak hours and di</w:t>
      </w:r>
      <w:r>
        <w:rPr>
          <w:i/>
          <w:sz w:val="24"/>
        </w:rPr>
        <w:t>sincentive for drawal during peak hours should be of the same</w:t>
      </w:r>
      <w:r>
        <w:rPr>
          <w:i/>
          <w:spacing w:val="-8"/>
          <w:sz w:val="24"/>
        </w:rPr>
        <w:t xml:space="preserve"> </w:t>
      </w:r>
      <w:r>
        <w:rPr>
          <w:i/>
          <w:sz w:val="24"/>
        </w:rPr>
        <w:t>order.”</w:t>
      </w:r>
    </w:p>
    <w:p w:rsidR="007C5447" w:rsidRDefault="00F6308C">
      <w:pPr>
        <w:pStyle w:val="ListParagraph"/>
        <w:numPr>
          <w:ilvl w:val="2"/>
          <w:numId w:val="114"/>
        </w:numPr>
        <w:tabs>
          <w:tab w:val="left" w:pos="1073"/>
        </w:tabs>
        <w:spacing w:before="120" w:line="312" w:lineRule="auto"/>
        <w:ind w:right="215" w:hanging="852"/>
        <w:jc w:val="both"/>
        <w:rPr>
          <w:sz w:val="24"/>
        </w:rPr>
      </w:pPr>
      <w:r>
        <w:rPr>
          <w:sz w:val="24"/>
        </w:rPr>
        <w:t>The night hour subsidy should be provided from 22:00 hrs to 06:00 hrs instead of 05:00 hrs.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22" w:hanging="852"/>
        <w:jc w:val="both"/>
        <w:rPr>
          <w:sz w:val="24"/>
        </w:rPr>
      </w:pPr>
      <w:r>
        <w:rPr>
          <w:sz w:val="24"/>
        </w:rPr>
        <w:t>The peak hour charges should not result in the effective tariff becoming more than 120% of th</w:t>
      </w:r>
      <w:r>
        <w:rPr>
          <w:sz w:val="24"/>
        </w:rPr>
        <w:t>e average cost of supply, as it would violate Clause 8.3(2) of the Tariff Policy,</w:t>
      </w:r>
      <w:r>
        <w:rPr>
          <w:spacing w:val="-1"/>
          <w:sz w:val="24"/>
        </w:rPr>
        <w:t xml:space="preserve"> </w:t>
      </w:r>
      <w:r>
        <w:rPr>
          <w:sz w:val="24"/>
        </w:rPr>
        <w:t>2006.</w:t>
      </w:r>
    </w:p>
    <w:p w:rsidR="007C5447" w:rsidRDefault="007C5447">
      <w:pPr>
        <w:pStyle w:val="BodyText"/>
        <w:rPr>
          <w:sz w:val="21"/>
        </w:rPr>
      </w:pPr>
    </w:p>
    <w:p w:rsidR="007C5447" w:rsidRDefault="00F6308C">
      <w:pPr>
        <w:pStyle w:val="Heading2"/>
        <w:jc w:val="both"/>
      </w:pPr>
      <w:r>
        <w:t>TANGEDCO’s Reply</w:t>
      </w:r>
    </w:p>
    <w:p w:rsidR="007C5447" w:rsidRDefault="00F6308C">
      <w:pPr>
        <w:pStyle w:val="ListParagraph"/>
        <w:numPr>
          <w:ilvl w:val="2"/>
          <w:numId w:val="114"/>
        </w:numPr>
        <w:tabs>
          <w:tab w:val="left" w:pos="1073"/>
        </w:tabs>
        <w:spacing w:before="201" w:line="312" w:lineRule="auto"/>
        <w:ind w:right="215" w:hanging="852"/>
        <w:jc w:val="both"/>
        <w:rPr>
          <w:sz w:val="24"/>
        </w:rPr>
      </w:pPr>
      <w:r>
        <w:rPr>
          <w:sz w:val="24"/>
        </w:rPr>
        <w:t>TANGEDCO submitted that the Hon’ble APTEL in Appeal No.257 of 2012 and Appeal No. 196 and 199 of 2013 directed the Commission to reconsider and re- determine the differential pricing of energy during peak and off-peak hours. In compliance with the APTEL or</w:t>
      </w:r>
      <w:r>
        <w:rPr>
          <w:sz w:val="24"/>
        </w:rPr>
        <w:t>der, the Commission directed TANGEDCO to file Compliance Report in R.A No.1 and 4 of 2014. TANGEDCO submitted a Study Report on ToD consumption and the basis for levying peak hour charges, duly taking into account the load/demand curve, sourcing of power t</w:t>
      </w:r>
      <w:r>
        <w:rPr>
          <w:sz w:val="24"/>
        </w:rPr>
        <w:t>o meet load / demand and cost impact of this additional demand. Based on the Study Report, TANGEDCO has proposed to modify the duration of evening peak hours as 6.00 PM to 10.00 PM and also proposed to continue with the existing 20% additional tariff to me</w:t>
      </w:r>
      <w:r>
        <w:rPr>
          <w:sz w:val="24"/>
        </w:rPr>
        <w:t>et the peak demand and cost incurred to meet such peak</w:t>
      </w:r>
      <w:r>
        <w:rPr>
          <w:spacing w:val="1"/>
          <w:sz w:val="24"/>
        </w:rPr>
        <w:t xml:space="preserve"> </w:t>
      </w:r>
      <w:r>
        <w:rPr>
          <w:sz w:val="24"/>
        </w:rPr>
        <w:t>demand.</w:t>
      </w:r>
    </w:p>
    <w:p w:rsidR="007C5447" w:rsidRDefault="007C5447">
      <w:pPr>
        <w:pStyle w:val="BodyText"/>
        <w:spacing w:before="1"/>
        <w:rPr>
          <w:sz w:val="21"/>
        </w:rPr>
      </w:pPr>
    </w:p>
    <w:p w:rsidR="007C5447" w:rsidRDefault="00F6308C">
      <w:pPr>
        <w:pStyle w:val="Heading2"/>
        <w:jc w:val="both"/>
      </w:pPr>
      <w:r>
        <w:t>Commission’s Views</w:t>
      </w:r>
    </w:p>
    <w:p w:rsidR="007C5447" w:rsidRDefault="00F6308C">
      <w:pPr>
        <w:pStyle w:val="ListParagraph"/>
        <w:numPr>
          <w:ilvl w:val="2"/>
          <w:numId w:val="114"/>
        </w:numPr>
        <w:tabs>
          <w:tab w:val="left" w:pos="1073"/>
        </w:tabs>
        <w:spacing w:before="202" w:line="314" w:lineRule="auto"/>
        <w:ind w:right="216" w:hanging="852"/>
        <w:jc w:val="both"/>
        <w:rPr>
          <w:i/>
          <w:sz w:val="24"/>
        </w:rPr>
      </w:pPr>
      <w:r>
        <w:rPr>
          <w:sz w:val="24"/>
        </w:rPr>
        <w:t>It is clarified that the Hon’ble APTEL has not ruled that “…</w:t>
      </w:r>
      <w:r>
        <w:rPr>
          <w:i/>
          <w:sz w:val="24"/>
        </w:rPr>
        <w:t>The incentive for drawal during</w:t>
      </w:r>
      <w:r>
        <w:rPr>
          <w:i/>
          <w:spacing w:val="20"/>
          <w:sz w:val="24"/>
        </w:rPr>
        <w:t xml:space="preserve"> </w:t>
      </w:r>
      <w:r>
        <w:rPr>
          <w:i/>
          <w:sz w:val="24"/>
        </w:rPr>
        <w:t>off</w:t>
      </w:r>
      <w:r>
        <w:rPr>
          <w:i/>
          <w:spacing w:val="20"/>
          <w:sz w:val="24"/>
        </w:rPr>
        <w:t xml:space="preserve"> </w:t>
      </w:r>
      <w:r>
        <w:rPr>
          <w:i/>
          <w:sz w:val="24"/>
        </w:rPr>
        <w:t>-peak</w:t>
      </w:r>
      <w:r>
        <w:rPr>
          <w:i/>
          <w:spacing w:val="18"/>
          <w:sz w:val="24"/>
        </w:rPr>
        <w:t xml:space="preserve"> </w:t>
      </w:r>
      <w:r>
        <w:rPr>
          <w:i/>
          <w:sz w:val="24"/>
        </w:rPr>
        <w:t>hours</w:t>
      </w:r>
      <w:r>
        <w:rPr>
          <w:i/>
          <w:spacing w:val="19"/>
          <w:sz w:val="24"/>
        </w:rPr>
        <w:t xml:space="preserve"> </w:t>
      </w:r>
      <w:r>
        <w:rPr>
          <w:i/>
          <w:sz w:val="24"/>
        </w:rPr>
        <w:t>and</w:t>
      </w:r>
      <w:r>
        <w:rPr>
          <w:i/>
          <w:spacing w:val="18"/>
          <w:sz w:val="24"/>
        </w:rPr>
        <w:t xml:space="preserve"> </w:t>
      </w:r>
      <w:r>
        <w:rPr>
          <w:i/>
          <w:sz w:val="24"/>
        </w:rPr>
        <w:t>disincentive</w:t>
      </w:r>
      <w:r>
        <w:rPr>
          <w:i/>
          <w:spacing w:val="19"/>
          <w:sz w:val="24"/>
        </w:rPr>
        <w:t xml:space="preserve"> </w:t>
      </w:r>
      <w:r>
        <w:rPr>
          <w:i/>
          <w:sz w:val="24"/>
        </w:rPr>
        <w:t>for</w:t>
      </w:r>
      <w:r>
        <w:rPr>
          <w:i/>
          <w:spacing w:val="19"/>
          <w:sz w:val="24"/>
        </w:rPr>
        <w:t xml:space="preserve"> </w:t>
      </w:r>
      <w:r>
        <w:rPr>
          <w:i/>
          <w:sz w:val="24"/>
        </w:rPr>
        <w:t>drawal</w:t>
      </w:r>
      <w:r>
        <w:rPr>
          <w:i/>
          <w:spacing w:val="19"/>
          <w:sz w:val="24"/>
        </w:rPr>
        <w:t xml:space="preserve"> </w:t>
      </w:r>
      <w:r>
        <w:rPr>
          <w:i/>
          <w:sz w:val="24"/>
        </w:rPr>
        <w:t>during</w:t>
      </w:r>
      <w:r>
        <w:rPr>
          <w:i/>
          <w:spacing w:val="18"/>
          <w:sz w:val="24"/>
        </w:rPr>
        <w:t xml:space="preserve"> </w:t>
      </w:r>
      <w:r>
        <w:rPr>
          <w:i/>
          <w:sz w:val="24"/>
        </w:rPr>
        <w:t>peak</w:t>
      </w:r>
      <w:r>
        <w:rPr>
          <w:i/>
          <w:spacing w:val="20"/>
          <w:sz w:val="24"/>
        </w:rPr>
        <w:t xml:space="preserve"> </w:t>
      </w:r>
      <w:r>
        <w:rPr>
          <w:i/>
          <w:sz w:val="24"/>
        </w:rPr>
        <w:t>hours</w:t>
      </w:r>
      <w:r>
        <w:rPr>
          <w:i/>
          <w:spacing w:val="19"/>
          <w:sz w:val="24"/>
        </w:rPr>
        <w:t xml:space="preserve"> </w:t>
      </w:r>
      <w:r>
        <w:rPr>
          <w:i/>
          <w:sz w:val="24"/>
        </w:rPr>
        <w:t>should</w:t>
      </w:r>
      <w:r>
        <w:rPr>
          <w:i/>
          <w:spacing w:val="18"/>
          <w:sz w:val="24"/>
        </w:rPr>
        <w:t xml:space="preserve"> </w:t>
      </w:r>
      <w:r>
        <w:rPr>
          <w:i/>
          <w:sz w:val="24"/>
        </w:rPr>
        <w:t>be</w:t>
      </w:r>
      <w:r>
        <w:rPr>
          <w:i/>
          <w:spacing w:val="18"/>
          <w:sz w:val="24"/>
        </w:rPr>
        <w:t xml:space="preserve"> </w:t>
      </w:r>
      <w:r>
        <w:rPr>
          <w:i/>
          <w:sz w:val="24"/>
        </w:rPr>
        <w:t>of</w:t>
      </w:r>
    </w:p>
    <w:p w:rsidR="007C5447" w:rsidRDefault="007C5447">
      <w:pPr>
        <w:spacing w:line="314"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pPr>
      <w:r>
        <w:rPr>
          <w:i/>
        </w:rPr>
        <w:lastRenderedPageBreak/>
        <w:t>the same order”</w:t>
      </w:r>
      <w:r>
        <w:t>, as contended by the Respondent</w:t>
      </w:r>
      <w:r>
        <w:rPr>
          <w:i/>
        </w:rPr>
        <w:t xml:space="preserve">. </w:t>
      </w:r>
      <w:r>
        <w:t>The quoted paragraph is from the Appellant’s submission in that Appeal.</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The Commission’s detailed analysis of the issues related to ToD tariffs is elaborated in Chapter 5 of this</w:t>
      </w:r>
      <w:r>
        <w:rPr>
          <w:spacing w:val="-4"/>
          <w:sz w:val="24"/>
        </w:rPr>
        <w:t xml:space="preserve"> </w:t>
      </w:r>
      <w:r>
        <w:rPr>
          <w:sz w:val="24"/>
        </w:rPr>
        <w:t>Order.</w:t>
      </w:r>
    </w:p>
    <w:p w:rsidR="007C5447" w:rsidRDefault="007C5447">
      <w:pPr>
        <w:pStyle w:val="BodyText"/>
        <w:spacing w:before="10"/>
        <w:rPr>
          <w:sz w:val="20"/>
        </w:rPr>
      </w:pPr>
    </w:p>
    <w:p w:rsidR="007C5447" w:rsidRDefault="00F6308C">
      <w:pPr>
        <w:pStyle w:val="Heading2"/>
        <w:numPr>
          <w:ilvl w:val="1"/>
          <w:numId w:val="114"/>
        </w:numPr>
        <w:tabs>
          <w:tab w:val="left" w:pos="787"/>
        </w:tabs>
        <w:ind w:left="786"/>
      </w:pPr>
      <w:bookmarkStart w:id="25" w:name="_bookmark25"/>
      <w:bookmarkEnd w:id="25"/>
      <w:r>
        <w:t>Billing and</w:t>
      </w:r>
      <w:r>
        <w:rPr>
          <w:spacing w:val="-1"/>
        </w:rPr>
        <w:t xml:space="preserve"> </w:t>
      </w:r>
      <w:r>
        <w:t>Collection</w:t>
      </w:r>
    </w:p>
    <w:p w:rsidR="007C5447" w:rsidRDefault="007C5447">
      <w:pPr>
        <w:pStyle w:val="BodyText"/>
        <w:spacing w:before="11"/>
        <w:rPr>
          <w:b/>
          <w:sz w:val="27"/>
        </w:rPr>
      </w:pPr>
    </w:p>
    <w:p w:rsidR="007C5447" w:rsidRDefault="00F6308C">
      <w:pPr>
        <w:ind w:left="1072"/>
        <w:rPr>
          <w:b/>
          <w:sz w:val="24"/>
        </w:rPr>
      </w:pPr>
      <w:r>
        <w:rPr>
          <w:b/>
          <w:sz w:val="24"/>
        </w:rPr>
        <w:t>Stakeholder Comments</w:t>
      </w:r>
    </w:p>
    <w:p w:rsidR="007C5447" w:rsidRDefault="00F6308C">
      <w:pPr>
        <w:pStyle w:val="ListParagraph"/>
        <w:numPr>
          <w:ilvl w:val="2"/>
          <w:numId w:val="114"/>
        </w:numPr>
        <w:tabs>
          <w:tab w:val="left" w:pos="1073"/>
        </w:tabs>
        <w:spacing w:before="205" w:line="312" w:lineRule="auto"/>
        <w:ind w:right="216" w:hanging="852"/>
        <w:jc w:val="both"/>
        <w:rPr>
          <w:sz w:val="24"/>
        </w:rPr>
      </w:pPr>
      <w:r>
        <w:rPr>
          <w:sz w:val="24"/>
        </w:rPr>
        <w:t>As per Section 55 of the Electricity Act, 2003, no licensee shall supply power except through a meter. However, TANGEDCO is still supplying power to agricultural and hut consumers without meters. This has resulted in TANGEDCO not getting the full subsidy a</w:t>
      </w:r>
      <w:r>
        <w:rPr>
          <w:sz w:val="24"/>
        </w:rPr>
        <w:t>mount from the State Government for which it is eligible and is the major reason for its income deficit. The Commission should direct TANGEDCO to implement 100% metering by FY</w:t>
      </w:r>
      <w:r>
        <w:rPr>
          <w:spacing w:val="-6"/>
          <w:sz w:val="24"/>
        </w:rPr>
        <w:t xml:space="preserve"> </w:t>
      </w:r>
      <w:r>
        <w:rPr>
          <w:sz w:val="24"/>
        </w:rPr>
        <w:t>2017-18.</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On page 15 of the Petition, DT/Feeder meters are proposed while showin</w:t>
      </w:r>
      <w:r>
        <w:rPr>
          <w:sz w:val="24"/>
        </w:rPr>
        <w:t>g the existing meters as NIL, whereas there are many DTs and Feeders with meters installed.</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23" w:hanging="852"/>
        <w:jc w:val="both"/>
        <w:rPr>
          <w:sz w:val="24"/>
        </w:rPr>
      </w:pPr>
      <w:r>
        <w:rPr>
          <w:sz w:val="24"/>
        </w:rPr>
        <w:t>TANGEDCO should use more IT enabled services for metering and billing. There is no indication of its implementation and the likely savings in this</w:t>
      </w:r>
      <w:r>
        <w:rPr>
          <w:spacing w:val="-6"/>
          <w:sz w:val="24"/>
        </w:rPr>
        <w:t xml:space="preserve"> </w:t>
      </w:r>
      <w:r>
        <w:rPr>
          <w:sz w:val="24"/>
        </w:rPr>
        <w:t>regard.</w:t>
      </w:r>
    </w:p>
    <w:p w:rsidR="007C5447" w:rsidRDefault="007C5447">
      <w:pPr>
        <w:pStyle w:val="BodyText"/>
        <w:spacing w:before="10"/>
        <w:rPr>
          <w:sz w:val="20"/>
        </w:rPr>
      </w:pPr>
    </w:p>
    <w:p w:rsidR="007C5447" w:rsidRDefault="00F6308C">
      <w:pPr>
        <w:pStyle w:val="Heading2"/>
      </w:pPr>
      <w:r>
        <w:t>TANGEDC</w:t>
      </w:r>
      <w:r>
        <w:t>O’s Reply</w:t>
      </w:r>
    </w:p>
    <w:p w:rsidR="007C5447" w:rsidRDefault="00F6308C">
      <w:pPr>
        <w:pStyle w:val="ListParagraph"/>
        <w:numPr>
          <w:ilvl w:val="2"/>
          <w:numId w:val="114"/>
        </w:numPr>
        <w:tabs>
          <w:tab w:val="left" w:pos="1073"/>
        </w:tabs>
        <w:spacing w:before="204" w:line="312" w:lineRule="auto"/>
        <w:ind w:right="217" w:hanging="852"/>
        <w:jc w:val="both"/>
        <w:rPr>
          <w:sz w:val="24"/>
        </w:rPr>
      </w:pPr>
      <w:r>
        <w:rPr>
          <w:sz w:val="24"/>
        </w:rPr>
        <w:t>TANGEDCO submitted that the tariff to the unmetered consumer category has been fixed based on the contracted load and on per service connection basis. The State Government is also giving subsidy to extend free supply of electricity to the above u</w:t>
      </w:r>
      <w:r>
        <w:rPr>
          <w:sz w:val="24"/>
        </w:rPr>
        <w:t>nmetered</w:t>
      </w:r>
      <w:r>
        <w:rPr>
          <w:spacing w:val="-1"/>
          <w:sz w:val="24"/>
        </w:rPr>
        <w:t xml:space="preserve"> </w:t>
      </w:r>
      <w:r>
        <w:rPr>
          <w:sz w:val="24"/>
        </w:rPr>
        <w:t>consumers.</w:t>
      </w:r>
    </w:p>
    <w:p w:rsidR="007C5447" w:rsidRDefault="007C5447">
      <w:pPr>
        <w:pStyle w:val="BodyText"/>
        <w:spacing w:before="11"/>
        <w:rPr>
          <w:sz w:val="20"/>
        </w:rPr>
      </w:pPr>
    </w:p>
    <w:p w:rsidR="007C5447" w:rsidRDefault="00F6308C">
      <w:pPr>
        <w:pStyle w:val="Heading2"/>
      </w:pPr>
      <w:r>
        <w:t>Commission’s Views</w:t>
      </w:r>
    </w:p>
    <w:p w:rsidR="007C5447" w:rsidRDefault="00F6308C">
      <w:pPr>
        <w:pStyle w:val="ListParagraph"/>
        <w:numPr>
          <w:ilvl w:val="2"/>
          <w:numId w:val="114"/>
        </w:numPr>
        <w:tabs>
          <w:tab w:val="left" w:pos="1073"/>
        </w:tabs>
        <w:spacing w:before="202" w:line="312" w:lineRule="auto"/>
        <w:ind w:right="213" w:hanging="852"/>
        <w:jc w:val="both"/>
        <w:rPr>
          <w:sz w:val="24"/>
        </w:rPr>
      </w:pPr>
      <w:r>
        <w:rPr>
          <w:sz w:val="24"/>
        </w:rPr>
        <w:t xml:space="preserve">The Commission has directed TANGEDCO in the past Orders to submit the roadmap for 100% Feeder metering and 100% Distribution Transformer (DT) metering. TANGEDCO has submitted that the Feeder metering is around 99.6% </w:t>
      </w:r>
      <w:r>
        <w:rPr>
          <w:sz w:val="24"/>
        </w:rPr>
        <w:t>complete, while the DT metering is around</w:t>
      </w:r>
      <w:r>
        <w:rPr>
          <w:spacing w:val="-1"/>
          <w:sz w:val="24"/>
        </w:rPr>
        <w:t xml:space="preserve"> </w:t>
      </w:r>
      <w:r>
        <w:rPr>
          <w:sz w:val="24"/>
        </w:rPr>
        <w:t>17%.</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3" w:hanging="852"/>
        <w:jc w:val="both"/>
        <w:rPr>
          <w:sz w:val="24"/>
        </w:rPr>
      </w:pPr>
      <w:r>
        <w:rPr>
          <w:sz w:val="24"/>
        </w:rPr>
        <w:t>The suggestion regarding increased usage of IT enabled services for metering and billing</w:t>
      </w:r>
      <w:r>
        <w:rPr>
          <w:spacing w:val="10"/>
          <w:sz w:val="24"/>
        </w:rPr>
        <w:t xml:space="preserve"> </w:t>
      </w:r>
      <w:r>
        <w:rPr>
          <w:sz w:val="24"/>
        </w:rPr>
        <w:t>is</w:t>
      </w:r>
      <w:r>
        <w:rPr>
          <w:spacing w:val="14"/>
          <w:sz w:val="24"/>
        </w:rPr>
        <w:t xml:space="preserve"> </w:t>
      </w:r>
      <w:r>
        <w:rPr>
          <w:sz w:val="24"/>
        </w:rPr>
        <w:t>a</w:t>
      </w:r>
      <w:r>
        <w:rPr>
          <w:spacing w:val="14"/>
          <w:sz w:val="24"/>
        </w:rPr>
        <w:t xml:space="preserve"> </w:t>
      </w:r>
      <w:r>
        <w:rPr>
          <w:sz w:val="24"/>
        </w:rPr>
        <w:t>good</w:t>
      </w:r>
      <w:r>
        <w:rPr>
          <w:spacing w:val="16"/>
          <w:sz w:val="24"/>
        </w:rPr>
        <w:t xml:space="preserve"> </w:t>
      </w:r>
      <w:r>
        <w:rPr>
          <w:sz w:val="24"/>
        </w:rPr>
        <w:t>one,</w:t>
      </w:r>
      <w:r>
        <w:rPr>
          <w:spacing w:val="15"/>
          <w:sz w:val="24"/>
        </w:rPr>
        <w:t xml:space="preserve"> </w:t>
      </w:r>
      <w:r>
        <w:rPr>
          <w:sz w:val="24"/>
        </w:rPr>
        <w:t>and</w:t>
      </w:r>
      <w:r>
        <w:rPr>
          <w:spacing w:val="14"/>
          <w:sz w:val="24"/>
        </w:rPr>
        <w:t xml:space="preserve"> </w:t>
      </w:r>
      <w:r>
        <w:rPr>
          <w:sz w:val="24"/>
        </w:rPr>
        <w:t>TANGEDCO</w:t>
      </w:r>
      <w:r>
        <w:rPr>
          <w:spacing w:val="14"/>
          <w:sz w:val="24"/>
        </w:rPr>
        <w:t xml:space="preserve"> </w:t>
      </w:r>
      <w:r>
        <w:rPr>
          <w:sz w:val="24"/>
        </w:rPr>
        <w:t>should</w:t>
      </w:r>
      <w:r>
        <w:rPr>
          <w:spacing w:val="14"/>
          <w:sz w:val="24"/>
        </w:rPr>
        <w:t xml:space="preserve"> </w:t>
      </w:r>
      <w:r>
        <w:rPr>
          <w:sz w:val="24"/>
        </w:rPr>
        <w:t>actively</w:t>
      </w:r>
      <w:r>
        <w:rPr>
          <w:spacing w:val="10"/>
          <w:sz w:val="24"/>
        </w:rPr>
        <w:t xml:space="preserve"> </w:t>
      </w:r>
      <w:r>
        <w:rPr>
          <w:sz w:val="24"/>
        </w:rPr>
        <w:t>consider</w:t>
      </w:r>
      <w:r>
        <w:rPr>
          <w:spacing w:val="15"/>
          <w:sz w:val="24"/>
        </w:rPr>
        <w:t xml:space="preserve"> </w:t>
      </w:r>
      <w:r>
        <w:rPr>
          <w:sz w:val="24"/>
        </w:rPr>
        <w:t>the</w:t>
      </w:r>
      <w:r>
        <w:rPr>
          <w:spacing w:val="12"/>
          <w:sz w:val="24"/>
        </w:rPr>
        <w:t xml:space="preserve"> </w:t>
      </w:r>
      <w:r>
        <w:rPr>
          <w:sz w:val="24"/>
        </w:rPr>
        <w:t>same,</w:t>
      </w:r>
      <w:r>
        <w:rPr>
          <w:spacing w:val="13"/>
          <w:sz w:val="24"/>
        </w:rPr>
        <w:t xml:space="preserve"> </w:t>
      </w:r>
      <w:r>
        <w:rPr>
          <w:sz w:val="24"/>
        </w:rPr>
        <w:t>in</w:t>
      </w:r>
      <w:r>
        <w:rPr>
          <w:spacing w:val="13"/>
          <w:sz w:val="24"/>
        </w:rPr>
        <w:t xml:space="preserve"> </w:t>
      </w:r>
      <w:r>
        <w:rPr>
          <w:sz w:val="24"/>
        </w:rPr>
        <w:t>order</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15"/>
        <w:jc w:val="both"/>
      </w:pPr>
      <w:r>
        <w:lastRenderedPageBreak/>
        <w:t>to improve its metering, billing and collection efficiency. TANGEDCO should also consider implementation of Automated Meter Reading (AMR) technology for LT service connections located in a cluster also, based on appropriate technology. The Commission has g</w:t>
      </w:r>
      <w:r>
        <w:t>iven certain directions to TANGEDCO in this regard, as elaborated in Chapter 7 of this Order.</w:t>
      </w:r>
    </w:p>
    <w:p w:rsidR="007C5447" w:rsidRDefault="007C5447">
      <w:pPr>
        <w:pStyle w:val="BodyText"/>
        <w:spacing w:before="8"/>
        <w:rPr>
          <w:sz w:val="20"/>
        </w:rPr>
      </w:pPr>
    </w:p>
    <w:p w:rsidR="007C5447" w:rsidRDefault="00F6308C">
      <w:pPr>
        <w:pStyle w:val="Heading2"/>
        <w:numPr>
          <w:ilvl w:val="1"/>
          <w:numId w:val="114"/>
        </w:numPr>
        <w:tabs>
          <w:tab w:val="left" w:pos="787"/>
        </w:tabs>
        <w:spacing w:before="1"/>
        <w:ind w:left="786"/>
      </w:pPr>
      <w:bookmarkStart w:id="26" w:name="_bookmark26"/>
      <w:bookmarkEnd w:id="26"/>
      <w:r>
        <w:t>Harmonics</w:t>
      </w:r>
      <w:r>
        <w:rPr>
          <w:spacing w:val="-1"/>
        </w:rPr>
        <w:t xml:space="preserve"> </w:t>
      </w:r>
      <w:r>
        <w:t>Control</w:t>
      </w:r>
    </w:p>
    <w:p w:rsidR="007C5447" w:rsidRDefault="007C5447">
      <w:pPr>
        <w:pStyle w:val="BodyText"/>
        <w:spacing w:before="1"/>
        <w:rPr>
          <w:b/>
          <w:sz w:val="28"/>
        </w:rPr>
      </w:pPr>
    </w:p>
    <w:p w:rsidR="007C5447" w:rsidRDefault="00F6308C">
      <w:pPr>
        <w:spacing w:before="1"/>
        <w:ind w:left="1072"/>
        <w:jc w:val="both"/>
        <w:rPr>
          <w:b/>
          <w:sz w:val="24"/>
        </w:rPr>
      </w:pPr>
      <w:r>
        <w:rPr>
          <w:b/>
          <w:sz w:val="24"/>
        </w:rPr>
        <w:t>Stakeholder Comments</w:t>
      </w:r>
    </w:p>
    <w:p w:rsidR="007C5447" w:rsidRDefault="00F6308C">
      <w:pPr>
        <w:pStyle w:val="ListParagraph"/>
        <w:numPr>
          <w:ilvl w:val="2"/>
          <w:numId w:val="114"/>
        </w:numPr>
        <w:tabs>
          <w:tab w:val="left" w:pos="1073"/>
        </w:tabs>
        <w:spacing w:before="202" w:line="312" w:lineRule="auto"/>
        <w:ind w:right="213" w:hanging="852"/>
        <w:jc w:val="both"/>
        <w:rPr>
          <w:sz w:val="24"/>
        </w:rPr>
      </w:pPr>
      <w:r>
        <w:rPr>
          <w:sz w:val="24"/>
        </w:rPr>
        <w:t>A study should be done on the harmonics generated by the generation end till the transformers, to analyse the quantum of harmonics injected by generating utilities into the grid. A mechanism for capturing of harmonics at the generation end should also be</w:t>
      </w:r>
      <w:r>
        <w:rPr>
          <w:spacing w:val="-1"/>
          <w:sz w:val="24"/>
        </w:rPr>
        <w:t xml:space="preserve"> </w:t>
      </w:r>
      <w:r>
        <w:rPr>
          <w:sz w:val="24"/>
        </w:rPr>
        <w:t>e</w:t>
      </w:r>
      <w:r>
        <w:rPr>
          <w:sz w:val="24"/>
        </w:rPr>
        <w:t>stablished.</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2" w:hanging="852"/>
        <w:jc w:val="both"/>
        <w:rPr>
          <w:sz w:val="24"/>
        </w:rPr>
      </w:pPr>
      <w:r>
        <w:rPr>
          <w:sz w:val="24"/>
        </w:rPr>
        <w:t>TANGEDCO’s proposal to extend the charges levied on harmonics to other HT consumers should be put on hold until the facility for monitoring and controlling harmonics from generating stations is</w:t>
      </w:r>
      <w:r>
        <w:rPr>
          <w:spacing w:val="-3"/>
          <w:sz w:val="24"/>
        </w:rPr>
        <w:t xml:space="preserve"> </w:t>
      </w:r>
      <w:r>
        <w:rPr>
          <w:sz w:val="24"/>
        </w:rPr>
        <w:t>established.</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The CEA (Technical Standards for Co</w:t>
      </w:r>
      <w:r>
        <w:rPr>
          <w:sz w:val="24"/>
        </w:rPr>
        <w:t>nnectivity to the Grid) Regulations, 2007 should be adhered to and the Tariff should be in line with these Regulations. Till such time CEA issues final Regulations on harmonics norms, the enforcement of harmonics norms may be</w:t>
      </w:r>
      <w:r>
        <w:rPr>
          <w:spacing w:val="-5"/>
          <w:sz w:val="24"/>
        </w:rPr>
        <w:t xml:space="preserve"> </w:t>
      </w:r>
      <w:r>
        <w:rPr>
          <w:sz w:val="24"/>
        </w:rPr>
        <w:t>postponed.</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2" w:hanging="852"/>
        <w:jc w:val="both"/>
        <w:rPr>
          <w:sz w:val="24"/>
        </w:rPr>
      </w:pPr>
      <w:r>
        <w:rPr>
          <w:sz w:val="24"/>
        </w:rPr>
        <w:t>Harmonic penalty s</w:t>
      </w:r>
      <w:r>
        <w:rPr>
          <w:sz w:val="24"/>
        </w:rPr>
        <w:t>hould be levied only on bulk consumers drawing load at 33 kV and above as provided in the CEA (Technical Standards for Connectivity to the Grid) Regulations, 2007 and CEA (Grid Standards) Regulations, 2010. The Commission should clarify that only bulk cons</w:t>
      </w:r>
      <w:r>
        <w:rPr>
          <w:sz w:val="24"/>
        </w:rPr>
        <w:t>umers connected at 33 kV or above are obligated to provide harmonic control systems as mandated by Regulation 3 of CEA (Technical Standards for Connectivity to the Grid) Regulations, 2007 as amended from time to time according to the provisions of Sections</w:t>
      </w:r>
      <w:r>
        <w:rPr>
          <w:sz w:val="24"/>
        </w:rPr>
        <w:t xml:space="preserve"> 173 and 174 of the Electricity Act, 2003. 11/22 kV consumers are unnecessarily burdened with such charges due to ambiguity of Tariff Orders and the Tamil Nadu Electricity Supply Code, 2004.</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The 3 months’ notice period for installation of harmonic filters for the above- mentioned consumers should not be removed, as the procurement and installation of the harmonic filters happen only after the consumer becomes aware of the amount</w:t>
      </w:r>
      <w:r>
        <w:rPr>
          <w:spacing w:val="16"/>
          <w:sz w:val="24"/>
        </w:rPr>
        <w:t xml:space="preserve"> </w:t>
      </w:r>
      <w:r>
        <w:rPr>
          <w:sz w:val="24"/>
        </w:rPr>
        <w:t>of</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pPr>
      <w:r>
        <w:lastRenderedPageBreak/>
        <w:t>harmonics generated and the control techniques only after the measurement of harmonics.</w:t>
      </w:r>
    </w:p>
    <w:p w:rsidR="007C5447" w:rsidRDefault="007C5447">
      <w:pPr>
        <w:pStyle w:val="BodyText"/>
        <w:spacing w:before="10"/>
        <w:rPr>
          <w:sz w:val="20"/>
        </w:rPr>
      </w:pPr>
    </w:p>
    <w:p w:rsidR="007C5447" w:rsidRDefault="00F6308C">
      <w:pPr>
        <w:pStyle w:val="Heading2"/>
      </w:pPr>
      <w:r>
        <w:t>TANGEDCO’s Reply</w:t>
      </w:r>
    </w:p>
    <w:p w:rsidR="007C5447" w:rsidRDefault="00F6308C">
      <w:pPr>
        <w:pStyle w:val="ListParagraph"/>
        <w:numPr>
          <w:ilvl w:val="2"/>
          <w:numId w:val="114"/>
        </w:numPr>
        <w:tabs>
          <w:tab w:val="left" w:pos="1073"/>
        </w:tabs>
        <w:spacing w:before="201" w:line="312" w:lineRule="auto"/>
        <w:ind w:right="213" w:hanging="852"/>
        <w:jc w:val="both"/>
        <w:rPr>
          <w:sz w:val="24"/>
        </w:rPr>
      </w:pPr>
      <w:r>
        <w:rPr>
          <w:sz w:val="24"/>
        </w:rPr>
        <w:t>TANGEDCO submitted that the specified harmonics level is to maintain grid stability and to extend quality of supply. Taking into co</w:t>
      </w:r>
      <w:r>
        <w:rPr>
          <w:sz w:val="24"/>
        </w:rPr>
        <w:t>nsideration grid stability, the Commission issued the order stipulating that HT Industrial (I A) and HT Miscellaneous (III) consumers should control dumping of harmonics within the level specified by the CEA. The consumers of the above category who are dum</w:t>
      </w:r>
      <w:r>
        <w:rPr>
          <w:sz w:val="24"/>
        </w:rPr>
        <w:t>ping harmonics beyond the level specified by CEA have to pay 15%</w:t>
      </w:r>
      <w:r>
        <w:rPr>
          <w:spacing w:val="-11"/>
          <w:sz w:val="24"/>
        </w:rPr>
        <w:t xml:space="preserve"> </w:t>
      </w:r>
      <w:r>
        <w:rPr>
          <w:sz w:val="24"/>
        </w:rPr>
        <w:t>compensation.</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7" w:hanging="852"/>
        <w:jc w:val="both"/>
        <w:rPr>
          <w:sz w:val="24"/>
        </w:rPr>
      </w:pPr>
      <w:r>
        <w:rPr>
          <w:sz w:val="24"/>
        </w:rPr>
        <w:t xml:space="preserve">TANGEDCO submitted that the Commission ordered implementation of the above provision to all HT consumers falling under HT IA and HT III irrespective of voltage. The Commission </w:t>
      </w:r>
      <w:r>
        <w:rPr>
          <w:sz w:val="24"/>
        </w:rPr>
        <w:t>also submitted the above view before the High Court of Madras. Taking into consideration the above facts, TANGEDCO has proposed to extend the applicability of above harmonics provision to all HT consumers excluding lift irrigation (IV) irrespective of</w:t>
      </w:r>
      <w:r>
        <w:rPr>
          <w:spacing w:val="-5"/>
          <w:sz w:val="24"/>
        </w:rPr>
        <w:t xml:space="preserve"> </w:t>
      </w:r>
      <w:r>
        <w:rPr>
          <w:sz w:val="24"/>
        </w:rPr>
        <w:t>volt</w:t>
      </w:r>
      <w:r>
        <w:rPr>
          <w:sz w:val="24"/>
        </w:rPr>
        <w:t>age.</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20" w:hanging="852"/>
        <w:jc w:val="both"/>
        <w:rPr>
          <w:sz w:val="24"/>
        </w:rPr>
      </w:pPr>
      <w:r>
        <w:rPr>
          <w:sz w:val="24"/>
        </w:rPr>
        <w:t>TANGEDCO further submitted that it has proposed to levy such compensation on the consumers from the date of measurement, if the consumer fails to bring down harmonics dumping within the specified level, within a period of three</w:t>
      </w:r>
      <w:r>
        <w:rPr>
          <w:spacing w:val="-7"/>
          <w:sz w:val="24"/>
        </w:rPr>
        <w:t xml:space="preserve"> </w:t>
      </w:r>
      <w:r>
        <w:rPr>
          <w:sz w:val="24"/>
        </w:rPr>
        <w:t>months.</w:t>
      </w:r>
    </w:p>
    <w:p w:rsidR="007C5447" w:rsidRDefault="007C5447">
      <w:pPr>
        <w:pStyle w:val="BodyText"/>
        <w:spacing w:before="11"/>
        <w:rPr>
          <w:sz w:val="20"/>
        </w:rPr>
      </w:pPr>
    </w:p>
    <w:p w:rsidR="007C5447" w:rsidRDefault="00F6308C">
      <w:pPr>
        <w:pStyle w:val="Heading2"/>
      </w:pPr>
      <w:r>
        <w:t xml:space="preserve">Commission’s </w:t>
      </w:r>
      <w:r>
        <w:t>Views</w:t>
      </w:r>
    </w:p>
    <w:p w:rsidR="007C5447" w:rsidRDefault="00F6308C">
      <w:pPr>
        <w:pStyle w:val="ListParagraph"/>
        <w:numPr>
          <w:ilvl w:val="2"/>
          <w:numId w:val="114"/>
        </w:numPr>
        <w:tabs>
          <w:tab w:val="left" w:pos="1073"/>
        </w:tabs>
        <w:spacing w:before="202" w:line="312" w:lineRule="auto"/>
        <w:ind w:right="213" w:hanging="852"/>
        <w:jc w:val="both"/>
        <w:rPr>
          <w:sz w:val="24"/>
        </w:rPr>
      </w:pPr>
      <w:r>
        <w:rPr>
          <w:sz w:val="24"/>
        </w:rPr>
        <w:t>The Commission has modified the dispensation of levying harmonics compensation, as elaborated in Chapter 5 of this</w:t>
      </w:r>
      <w:r>
        <w:rPr>
          <w:spacing w:val="1"/>
          <w:sz w:val="24"/>
        </w:rPr>
        <w:t xml:space="preserve"> </w:t>
      </w:r>
      <w:r>
        <w:rPr>
          <w:sz w:val="24"/>
        </w:rPr>
        <w:t>Order.</w:t>
      </w:r>
    </w:p>
    <w:p w:rsidR="007C5447" w:rsidRDefault="007C5447">
      <w:pPr>
        <w:pStyle w:val="BodyText"/>
        <w:spacing w:before="10"/>
        <w:rPr>
          <w:sz w:val="20"/>
        </w:rPr>
      </w:pPr>
    </w:p>
    <w:p w:rsidR="007C5447" w:rsidRDefault="00F6308C">
      <w:pPr>
        <w:pStyle w:val="Heading2"/>
        <w:numPr>
          <w:ilvl w:val="1"/>
          <w:numId w:val="114"/>
        </w:numPr>
        <w:tabs>
          <w:tab w:val="left" w:pos="787"/>
        </w:tabs>
        <w:ind w:left="786"/>
      </w:pPr>
      <w:bookmarkStart w:id="27" w:name="_bookmark27"/>
      <w:bookmarkEnd w:id="27"/>
      <w:r>
        <w:t>Renewable</w:t>
      </w:r>
      <w:r>
        <w:rPr>
          <w:spacing w:val="-7"/>
        </w:rPr>
        <w:t xml:space="preserve"> </w:t>
      </w:r>
      <w:r>
        <w:t>Power</w:t>
      </w:r>
    </w:p>
    <w:p w:rsidR="007C5447" w:rsidRDefault="007C5447">
      <w:pPr>
        <w:pStyle w:val="BodyText"/>
        <w:spacing w:before="2"/>
        <w:rPr>
          <w:b/>
          <w:sz w:val="28"/>
        </w:rPr>
      </w:pPr>
    </w:p>
    <w:p w:rsidR="007C5447" w:rsidRDefault="00F6308C">
      <w:pPr>
        <w:ind w:left="1072"/>
        <w:rPr>
          <w:b/>
          <w:sz w:val="24"/>
        </w:rPr>
      </w:pPr>
      <w:r>
        <w:rPr>
          <w:b/>
          <w:sz w:val="24"/>
        </w:rPr>
        <w:t>Stakeholder</w:t>
      </w:r>
      <w:r>
        <w:rPr>
          <w:b/>
          <w:spacing w:val="-7"/>
          <w:sz w:val="24"/>
        </w:rPr>
        <w:t xml:space="preserve"> </w:t>
      </w:r>
      <w:r>
        <w:rPr>
          <w:b/>
          <w:sz w:val="24"/>
        </w:rPr>
        <w:t>Comments</w:t>
      </w:r>
    </w:p>
    <w:p w:rsidR="007C5447" w:rsidRDefault="00F6308C">
      <w:pPr>
        <w:pStyle w:val="ListParagraph"/>
        <w:numPr>
          <w:ilvl w:val="2"/>
          <w:numId w:val="114"/>
        </w:numPr>
        <w:tabs>
          <w:tab w:val="left" w:pos="1073"/>
        </w:tabs>
        <w:spacing w:before="202" w:line="312" w:lineRule="auto"/>
        <w:ind w:right="216" w:hanging="852"/>
        <w:jc w:val="both"/>
        <w:rPr>
          <w:sz w:val="24"/>
        </w:rPr>
      </w:pPr>
      <w:r>
        <w:rPr>
          <w:sz w:val="24"/>
        </w:rPr>
        <w:t>TANGEDCO should provide solar panels at the consumer point, especially for independent residential consumers with a reasonable capacity of about 0.5 kVA. By this process, the low consuming services can store the electricity during day time in the battery o</w:t>
      </w:r>
      <w:r>
        <w:rPr>
          <w:sz w:val="24"/>
        </w:rPr>
        <w:t>f the inverter and the stored energy can be utilized by the consumer during evening peak hours to curtail the evening peak demand. This scheme may be implemented with a minimum of 20 lakh services at the rate of about Rs. 40,000 per service. The entire cos</w:t>
      </w:r>
      <w:r>
        <w:rPr>
          <w:sz w:val="24"/>
        </w:rPr>
        <w:t>t of erection should be borne by</w:t>
      </w:r>
      <w:r>
        <w:rPr>
          <w:spacing w:val="-10"/>
          <w:sz w:val="24"/>
        </w:rPr>
        <w:t xml:space="preserve"> </w:t>
      </w:r>
      <w:r>
        <w:rPr>
          <w:sz w:val="24"/>
        </w:rPr>
        <w:t>TANGEDCO.</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Heading2"/>
        <w:spacing w:before="70"/>
      </w:pPr>
      <w:r>
        <w:lastRenderedPageBreak/>
        <w:t>Commission’s Views</w:t>
      </w:r>
    </w:p>
    <w:p w:rsidR="007C5447" w:rsidRDefault="00F6308C">
      <w:pPr>
        <w:pStyle w:val="ListParagraph"/>
        <w:numPr>
          <w:ilvl w:val="2"/>
          <w:numId w:val="114"/>
        </w:numPr>
        <w:tabs>
          <w:tab w:val="left" w:pos="1073"/>
        </w:tabs>
        <w:spacing w:before="201" w:line="312" w:lineRule="auto"/>
        <w:ind w:right="220" w:hanging="852"/>
        <w:jc w:val="both"/>
        <w:rPr>
          <w:sz w:val="24"/>
        </w:rPr>
      </w:pPr>
      <w:r>
        <w:rPr>
          <w:sz w:val="24"/>
        </w:rPr>
        <w:t>If and when TANGEDCO submits any proposal for installation of solar panels at the consumer end, the Commission will take a holistic view on the same keeping in view the Cost-Benefit-Analysis based on the capital cost, reduction in peak demand, overall dema</w:t>
      </w:r>
      <w:r>
        <w:rPr>
          <w:sz w:val="24"/>
        </w:rPr>
        <w:t>nd-supply situation,</w:t>
      </w:r>
      <w:r>
        <w:rPr>
          <w:spacing w:val="-5"/>
          <w:sz w:val="24"/>
        </w:rPr>
        <w:t xml:space="preserve"> </w:t>
      </w:r>
      <w:r>
        <w:rPr>
          <w:sz w:val="24"/>
        </w:rPr>
        <w:t>etc.</w:t>
      </w:r>
    </w:p>
    <w:p w:rsidR="007C5447" w:rsidRDefault="007C5447">
      <w:pPr>
        <w:pStyle w:val="BodyText"/>
        <w:spacing w:before="10"/>
        <w:rPr>
          <w:sz w:val="20"/>
        </w:rPr>
      </w:pPr>
    </w:p>
    <w:p w:rsidR="007C5447" w:rsidRDefault="00F6308C">
      <w:pPr>
        <w:pStyle w:val="Heading2"/>
        <w:numPr>
          <w:ilvl w:val="1"/>
          <w:numId w:val="114"/>
        </w:numPr>
        <w:tabs>
          <w:tab w:val="left" w:pos="787"/>
        </w:tabs>
        <w:ind w:left="786"/>
      </w:pPr>
      <w:bookmarkStart w:id="28" w:name="_bookmark28"/>
      <w:bookmarkEnd w:id="28"/>
      <w:r>
        <w:t>HT Industrial Tariff</w:t>
      </w:r>
    </w:p>
    <w:p w:rsidR="007C5447" w:rsidRDefault="007C5447">
      <w:pPr>
        <w:pStyle w:val="BodyText"/>
        <w:spacing w:before="2"/>
        <w:rPr>
          <w:b/>
          <w:sz w:val="28"/>
        </w:rPr>
      </w:pPr>
    </w:p>
    <w:p w:rsidR="007C5447" w:rsidRDefault="00F6308C">
      <w:pPr>
        <w:ind w:left="1072"/>
        <w:rPr>
          <w:b/>
          <w:sz w:val="24"/>
        </w:rPr>
      </w:pPr>
      <w:r>
        <w:rPr>
          <w:b/>
          <w:sz w:val="24"/>
        </w:rPr>
        <w:t>Stakeholder Comments</w:t>
      </w:r>
    </w:p>
    <w:p w:rsidR="007C5447" w:rsidRDefault="00F6308C">
      <w:pPr>
        <w:pStyle w:val="ListParagraph"/>
        <w:numPr>
          <w:ilvl w:val="2"/>
          <w:numId w:val="114"/>
        </w:numPr>
        <w:tabs>
          <w:tab w:val="left" w:pos="1073"/>
        </w:tabs>
        <w:spacing w:before="203" w:line="312" w:lineRule="auto"/>
        <w:ind w:right="220" w:hanging="852"/>
        <w:jc w:val="both"/>
        <w:rPr>
          <w:sz w:val="24"/>
        </w:rPr>
      </w:pPr>
      <w:r>
        <w:rPr>
          <w:sz w:val="24"/>
        </w:rPr>
        <w:t>The Commission should clarify the consumers to whom HT IA is applicable, to avoid any confusion after the removal of “Registered Factories” from HT IA, as proposed by TANGEDCO, in accordance with the Hon’ble APTEL’s</w:t>
      </w:r>
      <w:r>
        <w:rPr>
          <w:spacing w:val="-12"/>
          <w:sz w:val="24"/>
        </w:rPr>
        <w:t xml:space="preserve"> </w:t>
      </w:r>
      <w:r>
        <w:rPr>
          <w:sz w:val="24"/>
        </w:rPr>
        <w:t>order.</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 xml:space="preserve">The proposed re-introduction of </w:t>
      </w:r>
      <w:r>
        <w:rPr>
          <w:sz w:val="24"/>
        </w:rPr>
        <w:t xml:space="preserve">tariff change from HT </w:t>
      </w:r>
      <w:r>
        <w:rPr>
          <w:spacing w:val="-3"/>
          <w:sz w:val="24"/>
        </w:rPr>
        <w:t xml:space="preserve">IA </w:t>
      </w:r>
      <w:r>
        <w:rPr>
          <w:sz w:val="24"/>
        </w:rPr>
        <w:t>to HT III if a factory does not utilize power for more than 30 days, shall harass the seasonal services like rice mills, sugar mills and even some ginning factories. This shall penalize the consumers by charging high tariff for the</w:t>
      </w:r>
      <w:r>
        <w:rPr>
          <w:sz w:val="24"/>
        </w:rPr>
        <w:t>se industries. The industrial consumers are already paying 90% of the Demand Charges without really availing any power from TANGEDCO. The Tariff should be so designed to encourage industries, for prosperity of the State. The Commission should reject this r</w:t>
      </w:r>
      <w:r>
        <w:rPr>
          <w:sz w:val="24"/>
        </w:rPr>
        <w:t>equest of</w:t>
      </w:r>
      <w:r>
        <w:rPr>
          <w:spacing w:val="-12"/>
          <w:sz w:val="24"/>
        </w:rPr>
        <w:t xml:space="preserve"> </w:t>
      </w:r>
      <w:r>
        <w:rPr>
          <w:sz w:val="24"/>
        </w:rPr>
        <w:t>TANGEDCO.</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25" w:hanging="852"/>
        <w:jc w:val="both"/>
        <w:rPr>
          <w:sz w:val="24"/>
        </w:rPr>
      </w:pPr>
      <w:r>
        <w:rPr>
          <w:sz w:val="24"/>
        </w:rPr>
        <w:t>HT IIA and HT IIB categories may be merged as it creates confusion and they also have the same tariff</w:t>
      </w:r>
      <w:r>
        <w:rPr>
          <w:spacing w:val="-1"/>
          <w:sz w:val="24"/>
        </w:rPr>
        <w:t xml:space="preserve"> </w:t>
      </w:r>
      <w:r>
        <w:rPr>
          <w:sz w:val="24"/>
        </w:rPr>
        <w:t>rates.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8" w:hanging="852"/>
        <w:jc w:val="both"/>
        <w:rPr>
          <w:sz w:val="24"/>
        </w:rPr>
      </w:pPr>
      <w:r>
        <w:rPr>
          <w:sz w:val="24"/>
        </w:rPr>
        <w:t>TANGEDCO’s proposal to have separate metering for facilities incidental to main activities but provided by private service pr</w:t>
      </w:r>
      <w:r>
        <w:rPr>
          <w:sz w:val="24"/>
        </w:rPr>
        <w:t>oviders, discourages the purpose of providing such services in a specific premise. Consumption of power for other than industrial purpose is incidental and cannot be called as a separate private entity. For e.g., running a canteen for doctors in a hospital</w:t>
      </w:r>
      <w:r>
        <w:rPr>
          <w:sz w:val="24"/>
        </w:rPr>
        <w:t xml:space="preserve"> has to be outsourced to an expert in such field. If TANGEDCO’s proposal is implemented, it may affect the welfare of the public utilising such services and violates the Preamble of the Electricity Act, 2003 on “Rationalization of Tariff”. This process is </w:t>
      </w:r>
      <w:r>
        <w:rPr>
          <w:sz w:val="24"/>
        </w:rPr>
        <w:t>also cumbersome and</w:t>
      </w:r>
      <w:r>
        <w:rPr>
          <w:spacing w:val="-13"/>
          <w:sz w:val="24"/>
        </w:rPr>
        <w:t xml:space="preserve"> </w:t>
      </w:r>
      <w:r>
        <w:rPr>
          <w:sz w:val="24"/>
        </w:rPr>
        <w:t>tedious.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0" w:hanging="852"/>
        <w:jc w:val="both"/>
        <w:rPr>
          <w:sz w:val="24"/>
        </w:rPr>
      </w:pPr>
      <w:r>
        <w:rPr>
          <w:sz w:val="24"/>
        </w:rPr>
        <w:t xml:space="preserve">TANGEDCO’s proposal to levy LT VI tariff for any additional construction carried out in a HT consumer’s premises should not be accepted as it would create a lot of problems for both the HT consumer and TANGEDCO, as this would </w:t>
      </w:r>
      <w:r>
        <w:rPr>
          <w:sz w:val="24"/>
        </w:rPr>
        <w:t>need more TANGEDCO</w:t>
      </w:r>
      <w:r>
        <w:rPr>
          <w:spacing w:val="24"/>
          <w:sz w:val="24"/>
        </w:rPr>
        <w:t xml:space="preserve"> </w:t>
      </w:r>
      <w:r>
        <w:rPr>
          <w:sz w:val="24"/>
        </w:rPr>
        <w:t>professionals</w:t>
      </w:r>
      <w:r>
        <w:rPr>
          <w:spacing w:val="25"/>
          <w:sz w:val="24"/>
        </w:rPr>
        <w:t xml:space="preserve"> </w:t>
      </w:r>
      <w:r>
        <w:rPr>
          <w:sz w:val="24"/>
        </w:rPr>
        <w:t>to</w:t>
      </w:r>
      <w:r>
        <w:rPr>
          <w:spacing w:val="25"/>
          <w:sz w:val="24"/>
        </w:rPr>
        <w:t xml:space="preserve"> </w:t>
      </w:r>
      <w:r>
        <w:rPr>
          <w:sz w:val="24"/>
        </w:rPr>
        <w:t>inspect</w:t>
      </w:r>
      <w:r>
        <w:rPr>
          <w:spacing w:val="26"/>
          <w:sz w:val="24"/>
        </w:rPr>
        <w:t xml:space="preserve"> </w:t>
      </w:r>
      <w:r>
        <w:rPr>
          <w:sz w:val="24"/>
        </w:rPr>
        <w:t>the</w:t>
      </w:r>
      <w:r>
        <w:rPr>
          <w:spacing w:val="26"/>
          <w:sz w:val="24"/>
        </w:rPr>
        <w:t xml:space="preserve"> </w:t>
      </w:r>
      <w:r>
        <w:rPr>
          <w:sz w:val="24"/>
        </w:rPr>
        <w:t>site</w:t>
      </w:r>
      <w:r>
        <w:rPr>
          <w:spacing w:val="24"/>
          <w:sz w:val="24"/>
        </w:rPr>
        <w:t xml:space="preserve"> </w:t>
      </w:r>
      <w:r>
        <w:rPr>
          <w:sz w:val="24"/>
        </w:rPr>
        <w:t>and</w:t>
      </w:r>
      <w:r>
        <w:rPr>
          <w:spacing w:val="25"/>
          <w:sz w:val="24"/>
        </w:rPr>
        <w:t xml:space="preserve"> </w:t>
      </w:r>
      <w:r>
        <w:rPr>
          <w:sz w:val="24"/>
        </w:rPr>
        <w:t>also</w:t>
      </w:r>
      <w:r>
        <w:rPr>
          <w:spacing w:val="26"/>
          <w:sz w:val="24"/>
        </w:rPr>
        <w:t xml:space="preserve"> </w:t>
      </w:r>
      <w:r>
        <w:rPr>
          <w:sz w:val="24"/>
        </w:rPr>
        <w:t>additional</w:t>
      </w:r>
      <w:r>
        <w:rPr>
          <w:spacing w:val="25"/>
          <w:sz w:val="24"/>
        </w:rPr>
        <w:t xml:space="preserve"> </w:t>
      </w:r>
      <w:r>
        <w:rPr>
          <w:sz w:val="24"/>
        </w:rPr>
        <w:t>transaction</w:t>
      </w:r>
      <w:r>
        <w:rPr>
          <w:spacing w:val="25"/>
          <w:sz w:val="24"/>
        </w:rPr>
        <w:t xml:space="preserve"> </w:t>
      </w:r>
      <w:r>
        <w:rPr>
          <w:sz w:val="24"/>
        </w:rPr>
        <w:t>costs</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pPr>
      <w:r>
        <w:lastRenderedPageBreak/>
        <w:t>for new connection, installation of meters, etc., for a couple of months’ work. The transaction costs far outweigh the benefit of the proposed chan</w:t>
      </w:r>
      <w:r>
        <w:t>ges.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 xml:space="preserve">The demand charge levied for HT IA consumers (Rs. 350/ kVA) in the State is the higher than that in other States like Delhi (Rs. 125/ kVA for TPDDL) and Karnataka (Rs. 180/ kVA for urban and Rs. 170/ kVA for rural areas of BESCOM). </w:t>
      </w:r>
      <w:r>
        <w:rPr>
          <w:spacing w:val="2"/>
          <w:sz w:val="24"/>
        </w:rPr>
        <w:t xml:space="preserve">The </w:t>
      </w:r>
      <w:r>
        <w:rPr>
          <w:sz w:val="24"/>
        </w:rPr>
        <w:t>rural consumers shou</w:t>
      </w:r>
      <w:r>
        <w:rPr>
          <w:sz w:val="24"/>
        </w:rPr>
        <w:t>ld be charged lesser than the urban consumers as the infrastructure costs are higher in the urban areas. The fixed charge component of the tariff should be reduced to provide more incentives to the consumers implementing energy saving and</w:t>
      </w:r>
      <w:r>
        <w:rPr>
          <w:spacing w:val="-1"/>
          <w:sz w:val="24"/>
        </w:rPr>
        <w:t xml:space="preserve"> </w:t>
      </w:r>
      <w:r>
        <w:rPr>
          <w:sz w:val="24"/>
        </w:rPr>
        <w:t>conservation.</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2" w:hanging="852"/>
        <w:jc w:val="both"/>
        <w:rPr>
          <w:sz w:val="24"/>
        </w:rPr>
      </w:pPr>
      <w:r>
        <w:rPr>
          <w:sz w:val="24"/>
        </w:rPr>
        <w:t xml:space="preserve">The demand charges are very high in the State of Tamilnadu. Moreover, the same demand charges are collected from urban and rural consumers, though the cost of creating infrastructure is higher in urban areas. The demand charges should </w:t>
      </w:r>
      <w:r>
        <w:rPr>
          <w:spacing w:val="3"/>
          <w:sz w:val="24"/>
        </w:rPr>
        <w:t xml:space="preserve">be </w:t>
      </w:r>
      <w:r>
        <w:rPr>
          <w:sz w:val="24"/>
        </w:rPr>
        <w:t>dis</w:t>
      </w:r>
      <w:r>
        <w:rPr>
          <w:sz w:val="24"/>
        </w:rPr>
        <w:t>continued and a single part tariff could be established to better reflect the cost of supply like Punjab which has continued the practice of single-part tariff even for industrial consumers. Alternatively, the demand charges should be reduced from Rs. 350/</w:t>
      </w:r>
      <w:r>
        <w:rPr>
          <w:sz w:val="24"/>
        </w:rPr>
        <w:t xml:space="preserve"> kVA.</w:t>
      </w:r>
    </w:p>
    <w:p w:rsidR="007C5447" w:rsidRDefault="007C5447">
      <w:pPr>
        <w:pStyle w:val="BodyText"/>
        <w:rPr>
          <w:sz w:val="21"/>
        </w:rPr>
      </w:pPr>
    </w:p>
    <w:p w:rsidR="007C5447" w:rsidRDefault="00F6308C">
      <w:pPr>
        <w:pStyle w:val="ListParagraph"/>
        <w:numPr>
          <w:ilvl w:val="2"/>
          <w:numId w:val="114"/>
        </w:numPr>
        <w:tabs>
          <w:tab w:val="left" w:pos="1073"/>
        </w:tabs>
        <w:spacing w:before="1" w:line="312" w:lineRule="auto"/>
        <w:ind w:right="220" w:hanging="852"/>
        <w:jc w:val="both"/>
        <w:rPr>
          <w:sz w:val="24"/>
        </w:rPr>
      </w:pPr>
      <w:r>
        <w:rPr>
          <w:sz w:val="24"/>
        </w:rPr>
        <w:t>Demand charges penalize the consumers who are unable to draw power round the clock due to the nature of the industry. Demand charges should be reduced from 90% of the contracted demand to 80% of the contracted demand like in Andhra Pradesh.</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3" w:hanging="852"/>
        <w:jc w:val="both"/>
        <w:rPr>
          <w:sz w:val="24"/>
        </w:rPr>
      </w:pPr>
      <w:r>
        <w:rPr>
          <w:sz w:val="24"/>
        </w:rPr>
        <w:t xml:space="preserve">Demand </w:t>
      </w:r>
      <w:r>
        <w:rPr>
          <w:sz w:val="24"/>
        </w:rPr>
        <w:t>charges are paid for maintaining the supply infrastructure. The HT consumers are paying for the infrastructure charges as ‘development charges’ to TANGEDCO. Thus, no charge should be levied for such assets in the form of interest and depreciation on such</w:t>
      </w:r>
      <w:r>
        <w:rPr>
          <w:spacing w:val="1"/>
          <w:sz w:val="24"/>
        </w:rPr>
        <w:t xml:space="preserve"> </w:t>
      </w:r>
      <w:r>
        <w:rPr>
          <w:sz w:val="24"/>
        </w:rPr>
        <w:t>a</w:t>
      </w:r>
      <w:r>
        <w:rPr>
          <w:sz w:val="24"/>
        </w:rPr>
        <w:t>sset.</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21" w:hanging="852"/>
        <w:jc w:val="both"/>
        <w:rPr>
          <w:sz w:val="24"/>
        </w:rPr>
      </w:pPr>
      <w:r>
        <w:rPr>
          <w:sz w:val="24"/>
        </w:rPr>
        <w:t>During the Public Hearing, it was submitted that the Demand Charges for HT IA category are very high at Rs. 350 per kVA per month, and should be</w:t>
      </w:r>
      <w:r>
        <w:rPr>
          <w:spacing w:val="-12"/>
          <w:sz w:val="24"/>
        </w:rPr>
        <w:t xml:space="preserve"> </w:t>
      </w:r>
      <w:r>
        <w:rPr>
          <w:sz w:val="24"/>
        </w:rPr>
        <w:t>reduced.</w:t>
      </w:r>
    </w:p>
    <w:p w:rsidR="007C5447" w:rsidRDefault="007C5447">
      <w:pPr>
        <w:pStyle w:val="BodyText"/>
        <w:spacing w:before="9"/>
        <w:rPr>
          <w:sz w:val="20"/>
        </w:rPr>
      </w:pPr>
    </w:p>
    <w:p w:rsidR="007C5447" w:rsidRDefault="00F6308C">
      <w:pPr>
        <w:pStyle w:val="ListParagraph"/>
        <w:numPr>
          <w:ilvl w:val="2"/>
          <w:numId w:val="114"/>
        </w:numPr>
        <w:tabs>
          <w:tab w:val="left" w:pos="1073"/>
        </w:tabs>
        <w:spacing w:before="1" w:line="312" w:lineRule="auto"/>
        <w:ind w:right="220" w:hanging="852"/>
        <w:jc w:val="both"/>
        <w:rPr>
          <w:sz w:val="24"/>
        </w:rPr>
      </w:pPr>
      <w:r>
        <w:rPr>
          <w:sz w:val="24"/>
        </w:rPr>
        <w:t>In case of HT consumers developing dedicated feeders at their own expenses, the cost of infras</w:t>
      </w:r>
      <w:r>
        <w:rPr>
          <w:sz w:val="24"/>
        </w:rPr>
        <w:t>tructure is disproportionately imposed, as the Demand Charges are the same for all HT consumers. They also pay the Transmission Charges and Wheeling Charges for utilization of the same infrastructure when they buy power under Open Access.</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2"/>
          <w:numId w:val="114"/>
        </w:numPr>
        <w:tabs>
          <w:tab w:val="left" w:pos="1073"/>
        </w:tabs>
        <w:spacing w:before="70" w:line="312" w:lineRule="auto"/>
        <w:ind w:right="213" w:hanging="852"/>
        <w:jc w:val="both"/>
        <w:rPr>
          <w:sz w:val="24"/>
        </w:rPr>
      </w:pPr>
      <w:r>
        <w:rPr>
          <w:sz w:val="24"/>
        </w:rPr>
        <w:lastRenderedPageBreak/>
        <w:t>The ABT regime is not fully implemented. Hence, till the time ABT regime is fully operationalised, the existing practice of recording Maximum Demand (MD) for the interval of 30 minutes should be continued instead of reducing it to a 15-minute interval as p</w:t>
      </w:r>
      <w:r>
        <w:rPr>
          <w:sz w:val="24"/>
        </w:rPr>
        <w:t>roposed by TANGEDCO. Arc furnaces, induction furnaces, steel rolling process, etc., cause sudden, frequent and high variation in loading of the electrical networks, which in turn causes unnecessary stress and strain to the distribution network. Thus, to pe</w:t>
      </w:r>
      <w:r>
        <w:rPr>
          <w:sz w:val="24"/>
        </w:rPr>
        <w:t>nalize such sudden stresses, the 15-minute integration for maximum demand calculation is used. Extending this process  for other industries has no logic and is against the interest of</w:t>
      </w:r>
      <w:r>
        <w:rPr>
          <w:spacing w:val="-2"/>
          <w:sz w:val="24"/>
        </w:rPr>
        <w:t xml:space="preserve"> </w:t>
      </w:r>
      <w:r>
        <w:rPr>
          <w:sz w:val="24"/>
        </w:rPr>
        <w:t>consumers.</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The Commission should notify the previously adopted single p</w:t>
      </w:r>
      <w:r>
        <w:rPr>
          <w:sz w:val="24"/>
        </w:rPr>
        <w:t>art levy of energy equated demand charges of Rs. 11.74/ kWh for start-up</w:t>
      </w:r>
      <w:r>
        <w:rPr>
          <w:spacing w:val="-2"/>
          <w:sz w:val="24"/>
        </w:rPr>
        <w:t xml:space="preserve"> </w:t>
      </w:r>
      <w:r>
        <w:rPr>
          <w:sz w:val="24"/>
        </w:rPr>
        <w:t>purposes.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1" w:hanging="852"/>
        <w:jc w:val="both"/>
        <w:rPr>
          <w:sz w:val="24"/>
        </w:rPr>
      </w:pPr>
      <w:r>
        <w:rPr>
          <w:sz w:val="24"/>
        </w:rPr>
        <w:t xml:space="preserve">TANGEDCO’s proposal to delete the conditions of 10% capacity limit and 42- day period limit for start-up power should not be accepted, as it may lead to misuse of start-up </w:t>
      </w:r>
      <w:r>
        <w:rPr>
          <w:sz w:val="24"/>
        </w:rPr>
        <w:t>power by diversion to consumer loads especially during Restriction &amp; Control (R&amp;C) period like in the Case of D.R.P. No. 11 of 2012, where the start-up power was misused. Hence, the conditions should stay unchanged or alternatively, the time duration may b</w:t>
      </w:r>
      <w:r>
        <w:rPr>
          <w:sz w:val="24"/>
        </w:rPr>
        <w:t>e increased to 60 days. Further, only the energy charges of this tariff should be made applicable for start-up power since the generator uses power for only 45-60 days per annum and there is no justification to collect MD charges for the start-up</w:t>
      </w:r>
      <w:r>
        <w:rPr>
          <w:spacing w:val="-1"/>
          <w:sz w:val="24"/>
        </w:rPr>
        <w:t xml:space="preserve"> </w:t>
      </w:r>
      <w:r>
        <w:rPr>
          <w:sz w:val="24"/>
        </w:rPr>
        <w:t>power.</w:t>
      </w:r>
    </w:p>
    <w:p w:rsidR="007C5447" w:rsidRDefault="007C5447">
      <w:pPr>
        <w:pStyle w:val="BodyText"/>
        <w:spacing w:before="1"/>
        <w:rPr>
          <w:sz w:val="21"/>
        </w:rPr>
      </w:pPr>
    </w:p>
    <w:p w:rsidR="007C5447" w:rsidRDefault="00F6308C">
      <w:pPr>
        <w:pStyle w:val="ListParagraph"/>
        <w:numPr>
          <w:ilvl w:val="2"/>
          <w:numId w:val="114"/>
        </w:numPr>
        <w:tabs>
          <w:tab w:val="left" w:pos="1073"/>
        </w:tabs>
        <w:spacing w:line="312" w:lineRule="auto"/>
        <w:ind w:right="221" w:hanging="852"/>
        <w:jc w:val="both"/>
        <w:rPr>
          <w:sz w:val="24"/>
        </w:rPr>
      </w:pPr>
      <w:r>
        <w:rPr>
          <w:sz w:val="24"/>
        </w:rPr>
        <w:t>T</w:t>
      </w:r>
      <w:r>
        <w:rPr>
          <w:sz w:val="24"/>
        </w:rPr>
        <w:t>he base Tariff of Rs. 6.35/ kWh for industrial consumers of the State is very high compared to Tariff for other consumers. The CSS is so high that it is not practical for the industrial consumers to buy from the Power Exchanges or the generation within the</w:t>
      </w:r>
      <w:r>
        <w:rPr>
          <w:sz w:val="24"/>
        </w:rPr>
        <w:t xml:space="preserve"> State through Group Captive scheme at Rs. 5.25/</w:t>
      </w:r>
      <w:r>
        <w:rPr>
          <w:spacing w:val="1"/>
          <w:sz w:val="24"/>
        </w:rPr>
        <w:t xml:space="preserve"> </w:t>
      </w:r>
      <w:r>
        <w:rPr>
          <w:sz w:val="24"/>
        </w:rPr>
        <w:t>kWh.</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4" w:hanging="852"/>
        <w:jc w:val="both"/>
        <w:rPr>
          <w:sz w:val="24"/>
        </w:rPr>
      </w:pPr>
      <w:r>
        <w:rPr>
          <w:sz w:val="24"/>
        </w:rPr>
        <w:t>The per unit cost for Industrial consumers is around Rs. 7.48 per unit and the CSS is around Rs. 3.51 per unit, which is burdening the industries of the State. According to the Central LGBR report, the</w:t>
      </w:r>
      <w:r>
        <w:rPr>
          <w:sz w:val="24"/>
        </w:rPr>
        <w:t xml:space="preserve"> State has power surplus. Thus, the power cost has to be reduced instead of TANGEDCO’s proposal for maintaining the tariffs at the existing level.</w:t>
      </w:r>
    </w:p>
    <w:p w:rsidR="007C5447" w:rsidRDefault="007C5447">
      <w:pPr>
        <w:pStyle w:val="BodyText"/>
        <w:spacing w:before="8"/>
        <w:rPr>
          <w:sz w:val="20"/>
        </w:rPr>
      </w:pPr>
    </w:p>
    <w:p w:rsidR="007C5447" w:rsidRDefault="00F6308C">
      <w:pPr>
        <w:pStyle w:val="Heading2"/>
        <w:spacing w:before="1"/>
      </w:pPr>
      <w:r>
        <w:t>TANGEDCO’s Reply</w:t>
      </w:r>
    </w:p>
    <w:p w:rsidR="007C5447" w:rsidRDefault="00F6308C">
      <w:pPr>
        <w:pStyle w:val="ListParagraph"/>
        <w:numPr>
          <w:ilvl w:val="2"/>
          <w:numId w:val="114"/>
        </w:numPr>
        <w:tabs>
          <w:tab w:val="left" w:pos="1073"/>
        </w:tabs>
        <w:spacing w:before="204" w:line="312" w:lineRule="auto"/>
        <w:ind w:right="216" w:hanging="852"/>
        <w:jc w:val="both"/>
        <w:rPr>
          <w:sz w:val="24"/>
        </w:rPr>
      </w:pPr>
      <w:r>
        <w:rPr>
          <w:sz w:val="24"/>
        </w:rPr>
        <w:t>TANGEDCO submitted that in order to avoid implementation problems and for appropriate</w:t>
      </w:r>
      <w:r>
        <w:rPr>
          <w:spacing w:val="9"/>
          <w:sz w:val="24"/>
        </w:rPr>
        <w:t xml:space="preserve"> </w:t>
      </w:r>
      <w:r>
        <w:rPr>
          <w:sz w:val="24"/>
        </w:rPr>
        <w:t>tariff</w:t>
      </w:r>
      <w:r>
        <w:rPr>
          <w:spacing w:val="12"/>
          <w:sz w:val="24"/>
        </w:rPr>
        <w:t xml:space="preserve"> </w:t>
      </w:r>
      <w:r>
        <w:rPr>
          <w:sz w:val="24"/>
        </w:rPr>
        <w:t>application,</w:t>
      </w:r>
      <w:r>
        <w:rPr>
          <w:spacing w:val="9"/>
          <w:sz w:val="24"/>
        </w:rPr>
        <w:t xml:space="preserve"> </w:t>
      </w:r>
      <w:r>
        <w:rPr>
          <w:sz w:val="24"/>
        </w:rPr>
        <w:t>it</w:t>
      </w:r>
      <w:r>
        <w:rPr>
          <w:spacing w:val="11"/>
          <w:sz w:val="24"/>
        </w:rPr>
        <w:t xml:space="preserve"> </w:t>
      </w:r>
      <w:r>
        <w:rPr>
          <w:sz w:val="24"/>
        </w:rPr>
        <w:t>has</w:t>
      </w:r>
      <w:r>
        <w:rPr>
          <w:spacing w:val="9"/>
          <w:sz w:val="24"/>
        </w:rPr>
        <w:t xml:space="preserve"> </w:t>
      </w:r>
      <w:r>
        <w:rPr>
          <w:sz w:val="24"/>
        </w:rPr>
        <w:t>proposed</w:t>
      </w:r>
      <w:r>
        <w:rPr>
          <w:spacing w:val="13"/>
          <w:sz w:val="24"/>
        </w:rPr>
        <w:t xml:space="preserve"> </w:t>
      </w:r>
      <w:r>
        <w:rPr>
          <w:sz w:val="24"/>
        </w:rPr>
        <w:t>to</w:t>
      </w:r>
      <w:r>
        <w:rPr>
          <w:spacing w:val="10"/>
          <w:sz w:val="24"/>
        </w:rPr>
        <w:t xml:space="preserve"> </w:t>
      </w:r>
      <w:r>
        <w:rPr>
          <w:sz w:val="24"/>
        </w:rPr>
        <w:t>remove</w:t>
      </w:r>
      <w:r>
        <w:rPr>
          <w:spacing w:val="10"/>
          <w:sz w:val="24"/>
        </w:rPr>
        <w:t xml:space="preserve"> </w:t>
      </w:r>
      <w:r>
        <w:rPr>
          <w:sz w:val="24"/>
        </w:rPr>
        <w:t>the</w:t>
      </w:r>
      <w:r>
        <w:rPr>
          <w:spacing w:val="9"/>
          <w:sz w:val="24"/>
        </w:rPr>
        <w:t xml:space="preserve"> </w:t>
      </w:r>
      <w:r>
        <w:rPr>
          <w:sz w:val="24"/>
        </w:rPr>
        <w:t>word</w:t>
      </w:r>
      <w:r>
        <w:rPr>
          <w:spacing w:val="13"/>
          <w:sz w:val="24"/>
        </w:rPr>
        <w:t xml:space="preserve"> </w:t>
      </w:r>
      <w:r>
        <w:rPr>
          <w:sz w:val="24"/>
        </w:rPr>
        <w:t>“Registered</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23"/>
        <w:jc w:val="both"/>
      </w:pPr>
      <w:r>
        <w:lastRenderedPageBreak/>
        <w:t>Factories” in tariff schedule of HT IA, in accordance with the Hon’ble APTEL’s Judgment. The applicability of HT I A tariff (Industrial Tariff) is submitted in para No.7.2 of Tariff Schedule of the Petition.</w:t>
      </w:r>
    </w:p>
    <w:p w:rsidR="007C5447" w:rsidRDefault="007C5447">
      <w:pPr>
        <w:pStyle w:val="BodyText"/>
        <w:spacing w:before="8"/>
        <w:rPr>
          <w:sz w:val="20"/>
        </w:rPr>
      </w:pPr>
    </w:p>
    <w:p w:rsidR="007C5447" w:rsidRDefault="00F6308C">
      <w:pPr>
        <w:pStyle w:val="ListParagraph"/>
        <w:numPr>
          <w:ilvl w:val="2"/>
          <w:numId w:val="114"/>
        </w:numPr>
        <w:tabs>
          <w:tab w:val="left" w:pos="1073"/>
        </w:tabs>
        <w:spacing w:before="1" w:line="312" w:lineRule="auto"/>
        <w:ind w:right="220" w:hanging="852"/>
        <w:jc w:val="both"/>
        <w:rPr>
          <w:sz w:val="24"/>
        </w:rPr>
      </w:pPr>
      <w:r>
        <w:rPr>
          <w:sz w:val="24"/>
        </w:rPr>
        <w:t>TANGEDCO submitted that in industrial establish</w:t>
      </w:r>
      <w:r>
        <w:rPr>
          <w:sz w:val="24"/>
        </w:rPr>
        <w:t xml:space="preserve">ments, the facilities incidental to main activities are provided by the employer and by private players. The facilities provided by the employer can be considered as bonafide purpose and the services provided by the private players on commercial basis may </w:t>
      </w:r>
      <w:r>
        <w:rPr>
          <w:sz w:val="24"/>
        </w:rPr>
        <w:t>not be considered as bonafide, as the facilities provided by private players are availed by the employees on par with outsiders. Hence, TANGEDCO has proposed to segregate HT consumption based on purpose of energy</w:t>
      </w:r>
      <w:r>
        <w:rPr>
          <w:spacing w:val="-6"/>
          <w:sz w:val="24"/>
        </w:rPr>
        <w:t xml:space="preserve"> </w:t>
      </w:r>
      <w:r>
        <w:rPr>
          <w:sz w:val="24"/>
        </w:rPr>
        <w:t>utilization.</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TANGEDCO submitted that it is</w:t>
      </w:r>
      <w:r>
        <w:rPr>
          <w:sz w:val="24"/>
        </w:rPr>
        <w:t xml:space="preserve"> experiencing difficulties in implementation of respective tariff to temporary supply for additional construction for area smaller than 2000 sq. feet. The consumer can build new construction with minimum square feet by getting temporary supply and extend f</w:t>
      </w:r>
      <w:r>
        <w:rPr>
          <w:sz w:val="24"/>
        </w:rPr>
        <w:t>urther required construction in a phased manner to accommodate such construction within the limit of 2000 sq. feet, with the intention of classification under respective tariff. To avoid such revenue loss to TANGEDCO, it has proposed to bill all constructi</w:t>
      </w:r>
      <w:r>
        <w:rPr>
          <w:sz w:val="24"/>
        </w:rPr>
        <w:t xml:space="preserve">on in HT </w:t>
      </w:r>
      <w:r>
        <w:rPr>
          <w:i/>
          <w:sz w:val="24"/>
        </w:rPr>
        <w:t xml:space="preserve">(LT) </w:t>
      </w:r>
      <w:r>
        <w:rPr>
          <w:sz w:val="24"/>
        </w:rPr>
        <w:t>Tariff VI (Temporary</w:t>
      </w:r>
      <w:r>
        <w:rPr>
          <w:spacing w:val="-6"/>
          <w:sz w:val="24"/>
        </w:rPr>
        <w:t xml:space="preserve"> </w:t>
      </w:r>
      <w:r>
        <w:rPr>
          <w:sz w:val="24"/>
        </w:rPr>
        <w:t>supply).</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To avoid misuse of industrial tariff, TANGEDCO has proposed to re-introduce tariff change from HT I A to HT III if a factory does not utilize power for more than 30 days. Taking into consideration TANGEDCO’s sub</w:t>
      </w:r>
      <w:r>
        <w:rPr>
          <w:sz w:val="24"/>
        </w:rPr>
        <w:t>mission and stakeholders views, the Commission will issue the</w:t>
      </w:r>
      <w:r>
        <w:rPr>
          <w:spacing w:val="-2"/>
          <w:sz w:val="24"/>
        </w:rPr>
        <w:t xml:space="preserve"> </w:t>
      </w:r>
      <w:r>
        <w:rPr>
          <w:sz w:val="24"/>
        </w:rPr>
        <w:t>Order.</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TANGEDCO submitted that HT Tariff is a two-part tariff comprising Demand Charges and Energy Charges. The Demand Charges have to be levied on the kVA demand actually recorded in the month</w:t>
      </w:r>
      <w:r>
        <w:rPr>
          <w:sz w:val="24"/>
        </w:rPr>
        <w:t xml:space="preserve"> or 90% of the sanctioned demand, whichever is higher. However, whenever the R&amp;C measures are in force, the billable demand in case of two-part tariff for any month will be actual recorded maximum demand or 90% of the demand quota, as fixed from time to ti</w:t>
      </w:r>
      <w:r>
        <w:rPr>
          <w:sz w:val="24"/>
        </w:rPr>
        <w:t>me through R&amp;C measures, whichever is higher. The Generators are considered as HT consumers and they have to follow the rules / regulations applicable to HT consumers. Accordingly, both Demand Charges and Energy Charges are being collected from the consume</w:t>
      </w:r>
      <w:r>
        <w:rPr>
          <w:sz w:val="24"/>
        </w:rPr>
        <w:t>rs who draw power from the grid for start-up purpose. The same view was upheld by the Hon’ble APTEL in Appeal No 71 of</w:t>
      </w:r>
      <w:r>
        <w:rPr>
          <w:spacing w:val="-6"/>
          <w:sz w:val="24"/>
        </w:rPr>
        <w:t xml:space="preserve"> </w:t>
      </w:r>
      <w:r>
        <w:rPr>
          <w:sz w:val="24"/>
        </w:rPr>
        <w:t>2015.</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2"/>
          <w:numId w:val="114"/>
        </w:numPr>
        <w:tabs>
          <w:tab w:val="left" w:pos="1073"/>
        </w:tabs>
        <w:spacing w:before="70" w:line="312" w:lineRule="auto"/>
        <w:ind w:right="217" w:hanging="852"/>
        <w:jc w:val="both"/>
        <w:rPr>
          <w:sz w:val="24"/>
        </w:rPr>
      </w:pPr>
      <w:r>
        <w:rPr>
          <w:sz w:val="24"/>
        </w:rPr>
        <w:lastRenderedPageBreak/>
        <w:t>As regards the comment on high HT Tariff, TANGEDCO submitted that it is having an accumulated loss of Rs. 61,993.54 Crore upto FY 2015-16. The benefit accrued on account of surplus cash flow shall be adjusted against accumulated losses and the balance accu</w:t>
      </w:r>
      <w:r>
        <w:rPr>
          <w:sz w:val="24"/>
        </w:rPr>
        <w:t>mulated gap will be passed on to the consumers with the approval of the Commission.</w:t>
      </w:r>
    </w:p>
    <w:p w:rsidR="007C5447" w:rsidRDefault="007C5447">
      <w:pPr>
        <w:pStyle w:val="BodyText"/>
        <w:spacing w:before="8"/>
        <w:rPr>
          <w:sz w:val="20"/>
        </w:rPr>
      </w:pPr>
    </w:p>
    <w:p w:rsidR="007C5447" w:rsidRDefault="00F6308C">
      <w:pPr>
        <w:pStyle w:val="ListParagraph"/>
        <w:numPr>
          <w:ilvl w:val="2"/>
          <w:numId w:val="114"/>
        </w:numPr>
        <w:tabs>
          <w:tab w:val="left" w:pos="1073"/>
        </w:tabs>
        <w:spacing w:before="1" w:line="312" w:lineRule="auto"/>
        <w:ind w:right="214" w:hanging="852"/>
        <w:jc w:val="both"/>
        <w:rPr>
          <w:sz w:val="24"/>
        </w:rPr>
      </w:pPr>
      <w:r>
        <w:rPr>
          <w:sz w:val="24"/>
        </w:rPr>
        <w:t>TANGEDCO submitted that the present Tariff Order specifies that only for HT I-A Industries having arc furnaces or induction furnaces or steel rolling process, the integrat</w:t>
      </w:r>
      <w:r>
        <w:rPr>
          <w:sz w:val="24"/>
        </w:rPr>
        <w:t xml:space="preserve">ion period for arriving at maximum demand in a month will be 15 minutes. In ABT regime, the frequency is being monitored at 15-minutes time block. Further all generators have installed ABT meters and are monitored in 15-minutes time block. </w:t>
      </w:r>
      <w:r>
        <w:rPr>
          <w:spacing w:val="-3"/>
          <w:sz w:val="24"/>
        </w:rPr>
        <w:t xml:space="preserve">It </w:t>
      </w:r>
      <w:r>
        <w:rPr>
          <w:sz w:val="24"/>
        </w:rPr>
        <w:t>is too diffic</w:t>
      </w:r>
      <w:r>
        <w:rPr>
          <w:sz w:val="24"/>
        </w:rPr>
        <w:t>ult to maintain two kinds of energy accounting system. Moreover, TANGEDCO is taking steps to implement ABT mechanism. Taking into account the above, TANGEDCO has proposed that the integration period of 15 minutes for arriving at Maximum Demand in a month m</w:t>
      </w:r>
      <w:r>
        <w:rPr>
          <w:sz w:val="24"/>
        </w:rPr>
        <w:t>ay be extended to all HT consumers.</w:t>
      </w:r>
    </w:p>
    <w:p w:rsidR="007C5447" w:rsidRDefault="007C5447">
      <w:pPr>
        <w:pStyle w:val="BodyText"/>
        <w:spacing w:before="10"/>
        <w:rPr>
          <w:sz w:val="20"/>
        </w:rPr>
      </w:pPr>
    </w:p>
    <w:p w:rsidR="007C5447" w:rsidRDefault="00F6308C">
      <w:pPr>
        <w:pStyle w:val="Heading2"/>
        <w:spacing w:before="1"/>
      </w:pPr>
      <w:r>
        <w:t>Commission’s Views</w:t>
      </w:r>
    </w:p>
    <w:p w:rsidR="007C5447" w:rsidRDefault="00F6308C">
      <w:pPr>
        <w:pStyle w:val="ListParagraph"/>
        <w:numPr>
          <w:ilvl w:val="2"/>
          <w:numId w:val="114"/>
        </w:numPr>
        <w:tabs>
          <w:tab w:val="left" w:pos="1073"/>
        </w:tabs>
        <w:spacing w:before="204" w:line="312" w:lineRule="auto"/>
        <w:ind w:right="220" w:hanging="852"/>
        <w:jc w:val="both"/>
        <w:rPr>
          <w:sz w:val="24"/>
        </w:rPr>
      </w:pPr>
      <w:r>
        <w:rPr>
          <w:sz w:val="24"/>
        </w:rPr>
        <w:t>The Commission’s decisions on TANGEDCO’s proposed tariff philosophy and comments submitted by stakeholders, including all proposed changes and modifications, have been elaborated in Chapter 5 of this</w:t>
      </w:r>
      <w:r>
        <w:rPr>
          <w:spacing w:val="1"/>
          <w:sz w:val="24"/>
        </w:rPr>
        <w:t xml:space="preserve"> </w:t>
      </w:r>
      <w:r>
        <w:rPr>
          <w:sz w:val="24"/>
        </w:rPr>
        <w:t>Order.</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09" w:hanging="852"/>
        <w:jc w:val="both"/>
        <w:rPr>
          <w:sz w:val="24"/>
        </w:rPr>
      </w:pPr>
      <w:r>
        <w:rPr>
          <w:sz w:val="24"/>
        </w:rPr>
        <w:t>It is clarified that the Demand Charges are levied to recover a part of the fixed costs of TANGEDCO. Only the variable cost of generation and power purchase is variable in nature, and the balance, which contributes around 50% of TANGEDCO’s ARR is f</w:t>
      </w:r>
      <w:r>
        <w:rPr>
          <w:sz w:val="24"/>
        </w:rPr>
        <w:t>ixed in nature. Generally, the fixed costs comprise O&amp;M expenses, Depreciation, Interest on Loans, Return on Equity, Interest on Working Capital, etc. Such fixed costs have to be incurred by TANGEDCO, irrespective of the units consumed by a particular cons</w:t>
      </w:r>
      <w:r>
        <w:rPr>
          <w:sz w:val="24"/>
        </w:rPr>
        <w:t>umer in any month. The revenue from the Fixed/Demand Charges levied on HT Industrial consumers as well as other LT and HT consumers, comprises only around 19% of the total revenue earned by TANGEDCO. Thus, only 19% of the ARR is recovered from the Fixed/De</w:t>
      </w:r>
      <w:r>
        <w:rPr>
          <w:sz w:val="24"/>
        </w:rPr>
        <w:t>mand Charges, and the balance is recovered through the Energy/Variable Charges.</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Heading2"/>
        <w:numPr>
          <w:ilvl w:val="1"/>
          <w:numId w:val="114"/>
        </w:numPr>
        <w:tabs>
          <w:tab w:val="left" w:pos="787"/>
        </w:tabs>
        <w:spacing w:before="70"/>
        <w:ind w:left="786"/>
      </w:pPr>
      <w:bookmarkStart w:id="29" w:name="_bookmark29"/>
      <w:bookmarkEnd w:id="29"/>
      <w:r>
        <w:lastRenderedPageBreak/>
        <w:t>Domestic</w:t>
      </w:r>
      <w:r>
        <w:rPr>
          <w:spacing w:val="-2"/>
        </w:rPr>
        <w:t xml:space="preserve"> </w:t>
      </w:r>
      <w:r>
        <w:t>Tariff</w:t>
      </w:r>
    </w:p>
    <w:p w:rsidR="007C5447" w:rsidRDefault="007C5447">
      <w:pPr>
        <w:pStyle w:val="BodyText"/>
        <w:spacing w:before="11"/>
        <w:rPr>
          <w:b/>
          <w:sz w:val="27"/>
        </w:rPr>
      </w:pPr>
    </w:p>
    <w:p w:rsidR="007C5447" w:rsidRDefault="00F6308C">
      <w:pPr>
        <w:ind w:left="1072"/>
        <w:rPr>
          <w:b/>
          <w:sz w:val="24"/>
        </w:rPr>
      </w:pPr>
      <w:r>
        <w:rPr>
          <w:b/>
          <w:sz w:val="24"/>
        </w:rPr>
        <w:t>Stakeholder Comments</w:t>
      </w:r>
    </w:p>
    <w:p w:rsidR="007C5447" w:rsidRDefault="00F6308C">
      <w:pPr>
        <w:pStyle w:val="ListParagraph"/>
        <w:numPr>
          <w:ilvl w:val="2"/>
          <w:numId w:val="114"/>
        </w:numPr>
        <w:tabs>
          <w:tab w:val="left" w:pos="1073"/>
        </w:tabs>
        <w:spacing w:before="204" w:line="312" w:lineRule="auto"/>
        <w:ind w:right="216" w:hanging="852"/>
        <w:jc w:val="both"/>
        <w:rPr>
          <w:sz w:val="24"/>
        </w:rPr>
      </w:pPr>
      <w:r>
        <w:rPr>
          <w:sz w:val="24"/>
        </w:rPr>
        <w:t>TANGEDCO’s proposal to limit the area for gardening for LT IA consumers is a retrograde step and is contrary to the encouragement being given by Government to grow trees. The proposal also violates the fundamental rights of citizens. TANGEDCO has not propo</w:t>
      </w:r>
      <w:r>
        <w:rPr>
          <w:sz w:val="24"/>
        </w:rPr>
        <w:t>sed any punishment or penalty for violation of the area limit for gardening and hence, the proposal is</w:t>
      </w:r>
      <w:r>
        <w:rPr>
          <w:spacing w:val="-3"/>
          <w:sz w:val="24"/>
        </w:rPr>
        <w:t xml:space="preserve"> </w:t>
      </w:r>
      <w:r>
        <w:rPr>
          <w:sz w:val="24"/>
        </w:rPr>
        <w:t>incomplete.</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TANGEDCO’s proposal to exclude the applicability of domestic tariff for common facilities should not be accepted, as long as they are operat</w:t>
      </w:r>
      <w:r>
        <w:rPr>
          <w:sz w:val="24"/>
        </w:rPr>
        <w:t>ing on non-commercial basis. This will also increase the maintenance costs for these</w:t>
      </w:r>
      <w:r>
        <w:rPr>
          <w:spacing w:val="-8"/>
          <w:sz w:val="24"/>
        </w:rPr>
        <w:t xml:space="preserve"> </w:t>
      </w:r>
      <w:r>
        <w:rPr>
          <w:sz w:val="24"/>
        </w:rPr>
        <w:t>apartments.</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8" w:hanging="852"/>
        <w:jc w:val="both"/>
        <w:rPr>
          <w:sz w:val="24"/>
        </w:rPr>
      </w:pPr>
      <w:r>
        <w:rPr>
          <w:sz w:val="24"/>
        </w:rPr>
        <w:t>The area of the garden to be maintained in any factory/industry is prescribed under the provisions of the Tamil Nadu Factories Rules, 1950 and should not be i</w:t>
      </w:r>
      <w:r>
        <w:rPr>
          <w:sz w:val="24"/>
        </w:rPr>
        <w:t>nterfered with.</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During the Public Hearing, it was submitted that the present dispensation of levying lower tariffs for the domestic category upto bi-monthly consumption level of 500 units, should be extended upto bi-monthly consumption level of 750</w:t>
      </w:r>
      <w:r>
        <w:rPr>
          <w:spacing w:val="-8"/>
          <w:sz w:val="24"/>
        </w:rPr>
        <w:t xml:space="preserve"> </w:t>
      </w:r>
      <w:r>
        <w:rPr>
          <w:sz w:val="24"/>
        </w:rPr>
        <w:t>units.</w:t>
      </w:r>
    </w:p>
    <w:p w:rsidR="007C5447" w:rsidRDefault="007C5447">
      <w:pPr>
        <w:pStyle w:val="BodyText"/>
        <w:rPr>
          <w:sz w:val="21"/>
        </w:rPr>
      </w:pPr>
    </w:p>
    <w:p w:rsidR="007C5447" w:rsidRDefault="00F6308C">
      <w:pPr>
        <w:pStyle w:val="Heading2"/>
      </w:pPr>
      <w:r>
        <w:t>TANGEDCO’s Reply</w:t>
      </w:r>
    </w:p>
    <w:p w:rsidR="007C5447" w:rsidRDefault="00F6308C">
      <w:pPr>
        <w:pStyle w:val="ListParagraph"/>
        <w:numPr>
          <w:ilvl w:val="2"/>
          <w:numId w:val="114"/>
        </w:numPr>
        <w:tabs>
          <w:tab w:val="left" w:pos="1073"/>
        </w:tabs>
        <w:spacing w:before="202" w:line="312" w:lineRule="auto"/>
        <w:ind w:right="219" w:hanging="852"/>
        <w:jc w:val="both"/>
        <w:rPr>
          <w:sz w:val="24"/>
        </w:rPr>
      </w:pPr>
      <w:r>
        <w:rPr>
          <w:sz w:val="24"/>
        </w:rPr>
        <w:t xml:space="preserve">TANGEDCO submitted that it has proposed to limit the area for providing lighting, water supply and other facilities for domestic animals / pets including chaff cutting, milking, etc., with the intention that the domestic load should not </w:t>
      </w:r>
      <w:r>
        <w:rPr>
          <w:sz w:val="24"/>
        </w:rPr>
        <w:t>be extended for commercial</w:t>
      </w:r>
      <w:r>
        <w:rPr>
          <w:spacing w:val="-1"/>
          <w:sz w:val="24"/>
        </w:rPr>
        <w:t xml:space="preserve"> </w:t>
      </w:r>
      <w:r>
        <w:rPr>
          <w:sz w:val="24"/>
        </w:rPr>
        <w:t>use.</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23" w:hanging="852"/>
        <w:jc w:val="both"/>
        <w:rPr>
          <w:sz w:val="24"/>
        </w:rPr>
      </w:pPr>
      <w:r>
        <w:rPr>
          <w:sz w:val="24"/>
        </w:rPr>
        <w:t>TANGEDCO has proposed to continue with the existing limit of 2 kW for gardens around residential</w:t>
      </w:r>
      <w:r>
        <w:rPr>
          <w:spacing w:val="-2"/>
          <w:sz w:val="24"/>
        </w:rPr>
        <w:t xml:space="preserve"> </w:t>
      </w:r>
      <w:r>
        <w:rPr>
          <w:sz w:val="24"/>
        </w:rPr>
        <w:t>building.</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 xml:space="preserve">TANGEDCO submitted that it has proposed to classify community hall, gymnasiums, swimming pool, amphitheatre, etc. in residential complexes under commercial category, considering that these are all not related to residential use. This clause was present in </w:t>
      </w:r>
      <w:r>
        <w:rPr>
          <w:sz w:val="24"/>
        </w:rPr>
        <w:t>Tariff Order dated 30-03-2012 and removed in subsequent Tariff Order. Hence, TANGEDCO has proposed to re-introduce the same.</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Heading2"/>
        <w:spacing w:before="70"/>
      </w:pPr>
      <w:r>
        <w:lastRenderedPageBreak/>
        <w:t>Commission’s Views</w:t>
      </w:r>
    </w:p>
    <w:p w:rsidR="007C5447" w:rsidRDefault="00F6308C">
      <w:pPr>
        <w:pStyle w:val="ListParagraph"/>
        <w:numPr>
          <w:ilvl w:val="2"/>
          <w:numId w:val="114"/>
        </w:numPr>
        <w:tabs>
          <w:tab w:val="left" w:pos="1073"/>
        </w:tabs>
        <w:spacing w:before="201" w:line="312" w:lineRule="auto"/>
        <w:ind w:right="223" w:hanging="852"/>
        <w:jc w:val="both"/>
        <w:rPr>
          <w:sz w:val="24"/>
        </w:rPr>
      </w:pPr>
      <w:r>
        <w:rPr>
          <w:sz w:val="24"/>
        </w:rPr>
        <w:t xml:space="preserve">The Commission’s decisions on TANGEDCO’s proposed tariff philosophy and comments submitted by </w:t>
      </w:r>
      <w:r>
        <w:rPr>
          <w:sz w:val="24"/>
        </w:rPr>
        <w:t>stakeholders, including all proposed changes and modifications, have been elaborated in Chapter 5 of this</w:t>
      </w:r>
      <w:r>
        <w:rPr>
          <w:spacing w:val="1"/>
          <w:sz w:val="24"/>
        </w:rPr>
        <w:t xml:space="preserve"> </w:t>
      </w:r>
      <w:r>
        <w:rPr>
          <w:sz w:val="24"/>
        </w:rPr>
        <w:t>Order.</w:t>
      </w:r>
    </w:p>
    <w:p w:rsidR="007C5447" w:rsidRDefault="007C5447">
      <w:pPr>
        <w:pStyle w:val="BodyText"/>
        <w:rPr>
          <w:sz w:val="21"/>
        </w:rPr>
      </w:pPr>
    </w:p>
    <w:p w:rsidR="007C5447" w:rsidRDefault="00F6308C">
      <w:pPr>
        <w:pStyle w:val="Heading2"/>
        <w:numPr>
          <w:ilvl w:val="1"/>
          <w:numId w:val="114"/>
        </w:numPr>
        <w:tabs>
          <w:tab w:val="left" w:pos="787"/>
        </w:tabs>
        <w:ind w:left="786"/>
      </w:pPr>
      <w:bookmarkStart w:id="30" w:name="_bookmark30"/>
      <w:bookmarkEnd w:id="30"/>
      <w:r>
        <w:t>Other Tariff related</w:t>
      </w:r>
      <w:r>
        <w:rPr>
          <w:spacing w:val="-1"/>
        </w:rPr>
        <w:t xml:space="preserve"> </w:t>
      </w:r>
      <w:r>
        <w:t>comments</w:t>
      </w:r>
    </w:p>
    <w:p w:rsidR="007C5447" w:rsidRDefault="007C5447">
      <w:pPr>
        <w:pStyle w:val="BodyText"/>
        <w:rPr>
          <w:b/>
          <w:sz w:val="28"/>
        </w:rPr>
      </w:pPr>
    </w:p>
    <w:p w:rsidR="007C5447" w:rsidRDefault="00F6308C">
      <w:pPr>
        <w:ind w:left="1072"/>
        <w:rPr>
          <w:b/>
          <w:sz w:val="24"/>
        </w:rPr>
      </w:pPr>
      <w:r>
        <w:rPr>
          <w:b/>
          <w:sz w:val="24"/>
        </w:rPr>
        <w:t>Stakeholder Comments</w:t>
      </w:r>
    </w:p>
    <w:p w:rsidR="007C5447" w:rsidRDefault="00F6308C">
      <w:pPr>
        <w:pStyle w:val="ListParagraph"/>
        <w:numPr>
          <w:ilvl w:val="2"/>
          <w:numId w:val="114"/>
        </w:numPr>
        <w:tabs>
          <w:tab w:val="left" w:pos="1073"/>
        </w:tabs>
        <w:spacing w:before="204" w:line="312" w:lineRule="auto"/>
        <w:ind w:right="223" w:hanging="852"/>
        <w:jc w:val="both"/>
        <w:rPr>
          <w:sz w:val="24"/>
        </w:rPr>
      </w:pPr>
      <w:r>
        <w:rPr>
          <w:sz w:val="24"/>
        </w:rPr>
        <w:t xml:space="preserve">Classification of use of power by consumers has led to a lot of litigations. </w:t>
      </w:r>
      <w:r>
        <w:rPr>
          <w:spacing w:val="-3"/>
          <w:sz w:val="24"/>
        </w:rPr>
        <w:t xml:space="preserve">In </w:t>
      </w:r>
      <w:r>
        <w:rPr>
          <w:sz w:val="24"/>
        </w:rPr>
        <w:t>the presen</w:t>
      </w:r>
      <w:r>
        <w:rPr>
          <w:sz w:val="24"/>
        </w:rPr>
        <w:t>t Order, there should be a reduction in the tariff</w:t>
      </w:r>
      <w:r>
        <w:rPr>
          <w:spacing w:val="-8"/>
          <w:sz w:val="24"/>
        </w:rPr>
        <w:t xml:space="preserve"> </w:t>
      </w:r>
      <w:r>
        <w:rPr>
          <w:sz w:val="24"/>
        </w:rPr>
        <w:t>classification.</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4" w:hanging="852"/>
        <w:jc w:val="both"/>
        <w:rPr>
          <w:sz w:val="24"/>
        </w:rPr>
      </w:pPr>
      <w:r>
        <w:rPr>
          <w:sz w:val="24"/>
        </w:rPr>
        <w:t>TANGEDCO’s proposal to apply the Tariff of Private Colleges to the Government/Government aided educational institutions who are running self- financed courses shall deter the better utiliz</w:t>
      </w:r>
      <w:r>
        <w:rPr>
          <w:sz w:val="24"/>
        </w:rPr>
        <w:t>ation of the educational facilities in the State, and should not be accepted. Both Private and Govt./ Govt. aided colleges (in HT and LT categories) should be brought under a separate category and charged as per the average tariff applicable, to remove the</w:t>
      </w:r>
      <w:r>
        <w:rPr>
          <w:sz w:val="24"/>
        </w:rPr>
        <w:t xml:space="preserve"> discrimination among same type of loads.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The proposed LT IIIA (1) for agricultural and allied activities for garden size more than 500 sq. ft. is cheaper than the tariff for LT IA. TANGEDCO’s proposal for limiting garden area is ill-conceived and the Commission should not accept this proposal.</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I</w:t>
      </w:r>
      <w:r>
        <w:rPr>
          <w:sz w:val="24"/>
        </w:rPr>
        <w:t>t is illegal to collect extension cost from farmers for agricultural services under Self Financing Scheme (SFS). No extension cost other than service line charges should be collected from the farmers, and the extension cost already collected from farmers s</w:t>
      </w:r>
      <w:r>
        <w:rPr>
          <w:sz w:val="24"/>
        </w:rPr>
        <w:t>hould be reimbursed to the concerned</w:t>
      </w:r>
      <w:r>
        <w:rPr>
          <w:spacing w:val="-1"/>
          <w:sz w:val="24"/>
        </w:rPr>
        <w:t xml:space="preserve"> </w:t>
      </w:r>
      <w:r>
        <w:rPr>
          <w:sz w:val="24"/>
        </w:rPr>
        <w:t>farmers.</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 xml:space="preserve">TANGEDCO’s request for charging Fixed Charges for </w:t>
      </w:r>
      <w:r>
        <w:rPr>
          <w:spacing w:val="-3"/>
          <w:sz w:val="24"/>
        </w:rPr>
        <w:t xml:space="preserve">LT </w:t>
      </w:r>
      <w:r>
        <w:rPr>
          <w:sz w:val="24"/>
        </w:rPr>
        <w:t>consumers based on kW or part thereof may be accepted by the</w:t>
      </w:r>
      <w:r>
        <w:rPr>
          <w:spacing w:val="-11"/>
          <w:sz w:val="24"/>
        </w:rPr>
        <w:t xml:space="preserve"> </w:t>
      </w:r>
      <w:r>
        <w:rPr>
          <w:sz w:val="24"/>
        </w:rPr>
        <w:t>Commission.</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4" w:hanging="852"/>
        <w:jc w:val="both"/>
        <w:rPr>
          <w:sz w:val="24"/>
        </w:rPr>
      </w:pPr>
      <w:r>
        <w:rPr>
          <w:sz w:val="24"/>
        </w:rPr>
        <w:t>Any construction in LT premises may be levied as per LT VI Tariff Schedule and the</w:t>
      </w:r>
      <w:r>
        <w:rPr>
          <w:sz w:val="24"/>
        </w:rPr>
        <w:t xml:space="preserve"> construction area may be reduced to 500 sq.</w:t>
      </w:r>
      <w:r>
        <w:rPr>
          <w:spacing w:val="-5"/>
          <w:sz w:val="24"/>
        </w:rPr>
        <w:t xml:space="preserve"> </w:t>
      </w:r>
      <w:r>
        <w:rPr>
          <w:sz w:val="24"/>
        </w:rPr>
        <w:t>feet.</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1" w:hanging="852"/>
        <w:jc w:val="both"/>
        <w:rPr>
          <w:sz w:val="24"/>
        </w:rPr>
      </w:pPr>
      <w:r>
        <w:rPr>
          <w:sz w:val="24"/>
        </w:rPr>
        <w:t>TANGEDCO’s proposal to levy additional charges of 20% for consumers availing LT supply for load above 65 kVA should not be accepted. Most of the States still permit</w:t>
      </w:r>
      <w:r>
        <w:rPr>
          <w:spacing w:val="9"/>
          <w:sz w:val="24"/>
        </w:rPr>
        <w:t xml:space="preserve"> </w:t>
      </w:r>
      <w:r>
        <w:rPr>
          <w:sz w:val="24"/>
        </w:rPr>
        <w:t>load</w:t>
      </w:r>
      <w:r>
        <w:rPr>
          <w:spacing w:val="7"/>
          <w:sz w:val="24"/>
        </w:rPr>
        <w:t xml:space="preserve"> </w:t>
      </w:r>
      <w:r>
        <w:rPr>
          <w:sz w:val="24"/>
        </w:rPr>
        <w:t>of</w:t>
      </w:r>
      <w:r>
        <w:rPr>
          <w:spacing w:val="8"/>
          <w:sz w:val="24"/>
        </w:rPr>
        <w:t xml:space="preserve"> </w:t>
      </w:r>
      <w:r>
        <w:rPr>
          <w:sz w:val="24"/>
        </w:rPr>
        <w:t>up</w:t>
      </w:r>
      <w:r>
        <w:rPr>
          <w:spacing w:val="8"/>
          <w:sz w:val="24"/>
        </w:rPr>
        <w:t xml:space="preserve"> </w:t>
      </w:r>
      <w:r>
        <w:rPr>
          <w:sz w:val="24"/>
        </w:rPr>
        <w:t>to</w:t>
      </w:r>
      <w:r>
        <w:rPr>
          <w:spacing w:val="9"/>
          <w:sz w:val="24"/>
        </w:rPr>
        <w:t xml:space="preserve"> </w:t>
      </w:r>
      <w:r>
        <w:rPr>
          <w:sz w:val="24"/>
        </w:rPr>
        <w:t>112</w:t>
      </w:r>
      <w:r>
        <w:rPr>
          <w:spacing w:val="5"/>
          <w:sz w:val="24"/>
        </w:rPr>
        <w:t xml:space="preserve"> </w:t>
      </w:r>
      <w:r>
        <w:rPr>
          <w:sz w:val="24"/>
        </w:rPr>
        <w:t>kW</w:t>
      </w:r>
      <w:r>
        <w:rPr>
          <w:spacing w:val="10"/>
          <w:sz w:val="24"/>
        </w:rPr>
        <w:t xml:space="preserve"> </w:t>
      </w:r>
      <w:r>
        <w:rPr>
          <w:sz w:val="24"/>
        </w:rPr>
        <w:t>under</w:t>
      </w:r>
      <w:r>
        <w:rPr>
          <w:spacing w:val="10"/>
          <w:sz w:val="24"/>
        </w:rPr>
        <w:t xml:space="preserve"> </w:t>
      </w:r>
      <w:r>
        <w:rPr>
          <w:spacing w:val="-3"/>
          <w:sz w:val="24"/>
        </w:rPr>
        <w:t>LT</w:t>
      </w:r>
      <w:r>
        <w:rPr>
          <w:spacing w:val="8"/>
          <w:sz w:val="24"/>
        </w:rPr>
        <w:t xml:space="preserve"> </w:t>
      </w:r>
      <w:r>
        <w:rPr>
          <w:sz w:val="24"/>
        </w:rPr>
        <w:t>Tariff.</w:t>
      </w:r>
      <w:r>
        <w:rPr>
          <w:spacing w:val="8"/>
          <w:sz w:val="24"/>
        </w:rPr>
        <w:t xml:space="preserve"> </w:t>
      </w:r>
      <w:r>
        <w:rPr>
          <w:sz w:val="24"/>
        </w:rPr>
        <w:t>The</w:t>
      </w:r>
      <w:r>
        <w:rPr>
          <w:spacing w:val="9"/>
          <w:sz w:val="24"/>
        </w:rPr>
        <w:t xml:space="preserve"> </w:t>
      </w:r>
      <w:r>
        <w:rPr>
          <w:sz w:val="24"/>
        </w:rPr>
        <w:t>decision</w:t>
      </w:r>
      <w:r>
        <w:rPr>
          <w:spacing w:val="9"/>
          <w:sz w:val="24"/>
        </w:rPr>
        <w:t xml:space="preserve"> </w:t>
      </w:r>
      <w:r>
        <w:rPr>
          <w:sz w:val="24"/>
        </w:rPr>
        <w:t>to</w:t>
      </w:r>
      <w:r>
        <w:rPr>
          <w:spacing w:val="8"/>
          <w:sz w:val="24"/>
        </w:rPr>
        <w:t xml:space="preserve"> </w:t>
      </w:r>
      <w:r>
        <w:rPr>
          <w:sz w:val="24"/>
        </w:rPr>
        <w:t>migrate</w:t>
      </w:r>
      <w:r>
        <w:rPr>
          <w:spacing w:val="8"/>
          <w:sz w:val="24"/>
        </w:rPr>
        <w:t xml:space="preserve"> </w:t>
      </w:r>
      <w:r>
        <w:rPr>
          <w:sz w:val="24"/>
        </w:rPr>
        <w:t>to</w:t>
      </w:r>
      <w:r>
        <w:rPr>
          <w:spacing w:val="8"/>
          <w:sz w:val="24"/>
        </w:rPr>
        <w:t xml:space="preserve"> </w:t>
      </w:r>
      <w:r>
        <w:rPr>
          <w:sz w:val="24"/>
        </w:rPr>
        <w:t>HT</w:t>
      </w:r>
      <w:r>
        <w:rPr>
          <w:spacing w:val="9"/>
          <w:sz w:val="24"/>
        </w:rPr>
        <w:t xml:space="preserve"> </w:t>
      </w:r>
      <w:r>
        <w:rPr>
          <w:sz w:val="24"/>
        </w:rPr>
        <w:t>should</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18"/>
        <w:jc w:val="both"/>
      </w:pPr>
      <w:r>
        <w:lastRenderedPageBreak/>
        <w:t>depend on the consumer based on the economy, site conditions, feeder nature and load demand by it. Alternatively, the Commission may suggest the consumers to opt for HT supply wherever possible</w:t>
      </w:r>
      <w:r>
        <w:t xml:space="preserve"> instead of penalising consumers with heavy tariff for LT loads. The practice in other States should be considered before deciding on this aspect.</w:t>
      </w:r>
    </w:p>
    <w:p w:rsidR="007C5447" w:rsidRDefault="007C5447">
      <w:pPr>
        <w:pStyle w:val="BodyText"/>
        <w:spacing w:before="8"/>
        <w:rPr>
          <w:sz w:val="20"/>
        </w:rPr>
      </w:pPr>
    </w:p>
    <w:p w:rsidR="007C5447" w:rsidRDefault="00F6308C">
      <w:pPr>
        <w:pStyle w:val="ListParagraph"/>
        <w:numPr>
          <w:ilvl w:val="2"/>
          <w:numId w:val="114"/>
        </w:numPr>
        <w:tabs>
          <w:tab w:val="left" w:pos="1073"/>
        </w:tabs>
        <w:spacing w:before="1" w:line="312" w:lineRule="auto"/>
        <w:ind w:right="223" w:hanging="852"/>
        <w:jc w:val="both"/>
        <w:rPr>
          <w:sz w:val="24"/>
        </w:rPr>
      </w:pPr>
      <w:r>
        <w:rPr>
          <w:sz w:val="24"/>
        </w:rPr>
        <w:t>During the Public Hearing, it was suggested that the load limit for availing LT supply should be increased from 112 kW to 150 kW, in view of the practical difficulties faced in availing HT</w:t>
      </w:r>
      <w:r>
        <w:rPr>
          <w:spacing w:val="-4"/>
          <w:sz w:val="24"/>
        </w:rPr>
        <w:t xml:space="preserve"> </w:t>
      </w:r>
      <w:r>
        <w:rPr>
          <w:sz w:val="24"/>
        </w:rPr>
        <w:t>supply.</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21" w:hanging="852"/>
        <w:jc w:val="both"/>
        <w:rPr>
          <w:sz w:val="24"/>
        </w:rPr>
      </w:pPr>
      <w:r>
        <w:rPr>
          <w:sz w:val="24"/>
        </w:rPr>
        <w:t>During the Public Hearing, the Fisheries Department submit</w:t>
      </w:r>
      <w:r>
        <w:rPr>
          <w:sz w:val="24"/>
        </w:rPr>
        <w:t>ted that they should be classified under LT IV</w:t>
      </w:r>
      <w:r>
        <w:rPr>
          <w:spacing w:val="4"/>
          <w:sz w:val="24"/>
        </w:rPr>
        <w:t xml:space="preserve"> </w:t>
      </w:r>
      <w:r>
        <w:rPr>
          <w:sz w:val="24"/>
        </w:rPr>
        <w:t>category.</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20" w:hanging="852"/>
        <w:jc w:val="both"/>
        <w:rPr>
          <w:sz w:val="24"/>
        </w:rPr>
      </w:pPr>
      <w:r>
        <w:rPr>
          <w:sz w:val="24"/>
        </w:rPr>
        <w:t>Parallel operation charges and Open Access charges are separate, and the Commission should direct TANGEDCO not to levy and collect parallel operation charges from Open Access</w:t>
      </w:r>
      <w:r>
        <w:rPr>
          <w:spacing w:val="3"/>
          <w:sz w:val="24"/>
        </w:rPr>
        <w:t xml:space="preserve"> </w:t>
      </w:r>
      <w:r>
        <w:rPr>
          <w:sz w:val="24"/>
        </w:rPr>
        <w:t>consumers.</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23" w:hanging="852"/>
        <w:jc w:val="both"/>
        <w:rPr>
          <w:sz w:val="24"/>
        </w:rPr>
      </w:pPr>
      <w:r>
        <w:rPr>
          <w:sz w:val="24"/>
        </w:rPr>
        <w:t>The Grid Av</w:t>
      </w:r>
      <w:r>
        <w:rPr>
          <w:sz w:val="24"/>
        </w:rPr>
        <w:t>ailability Charges should be calculated in accordance with Clause 8.5.6 of the Tariff Policy, which stipulates as</w:t>
      </w:r>
      <w:r>
        <w:rPr>
          <w:spacing w:val="-3"/>
          <w:sz w:val="24"/>
        </w:rPr>
        <w:t xml:space="preserve"> </w:t>
      </w:r>
      <w:r>
        <w:rPr>
          <w:sz w:val="24"/>
        </w:rPr>
        <w:t>under:</w:t>
      </w:r>
    </w:p>
    <w:p w:rsidR="007C5447" w:rsidRDefault="007C5447">
      <w:pPr>
        <w:pStyle w:val="BodyText"/>
        <w:spacing w:before="10"/>
        <w:rPr>
          <w:sz w:val="20"/>
        </w:rPr>
      </w:pPr>
    </w:p>
    <w:p w:rsidR="007C5447" w:rsidRDefault="00F6308C">
      <w:pPr>
        <w:ind w:left="1660" w:right="940"/>
        <w:jc w:val="both"/>
        <w:rPr>
          <w:i/>
          <w:sz w:val="24"/>
        </w:rPr>
      </w:pPr>
      <w:r>
        <w:rPr>
          <w:i/>
          <w:sz w:val="24"/>
        </w:rPr>
        <w:t>“In case of Outages of generator supplying to a consumer on open access, standby arrangements should be provided by the licensee on th</w:t>
      </w:r>
      <w:r>
        <w:rPr>
          <w:i/>
          <w:sz w:val="24"/>
        </w:rPr>
        <w:t>e payment of the tariff for temporary connection to that consumer category as specified by the Appropriate Commission. Provided that such charges shall not be more than 125% of the normal tariff of that category”</w:t>
      </w:r>
    </w:p>
    <w:p w:rsidR="007C5447" w:rsidRDefault="00F6308C">
      <w:pPr>
        <w:pStyle w:val="ListParagraph"/>
        <w:numPr>
          <w:ilvl w:val="2"/>
          <w:numId w:val="114"/>
        </w:numPr>
        <w:tabs>
          <w:tab w:val="left" w:pos="1073"/>
        </w:tabs>
        <w:spacing w:before="121" w:line="312" w:lineRule="auto"/>
        <w:ind w:right="216" w:hanging="852"/>
        <w:jc w:val="both"/>
        <w:rPr>
          <w:sz w:val="24"/>
        </w:rPr>
      </w:pPr>
      <w:r>
        <w:rPr>
          <w:sz w:val="24"/>
        </w:rPr>
        <w:t>Hence, the Grid Availability Charges are su</w:t>
      </w:r>
      <w:r>
        <w:rPr>
          <w:sz w:val="24"/>
        </w:rPr>
        <w:t>bjected to a ceiling of 125%, and should not be equated to the temporary category tariff. As the present tariff of TANGEDCO is Rs. 6.35/ unit for HT I Industries, the maximum Grid Availability Charges should not exceed Rs. 7.97/ unit. The Commission should</w:t>
      </w:r>
      <w:r>
        <w:rPr>
          <w:sz w:val="24"/>
        </w:rPr>
        <w:t xml:space="preserve"> determine the Grid Availability Charges, which should be implemented prospectively and not retrospectively, as it may affect the entire HT industry in the</w:t>
      </w:r>
      <w:r>
        <w:rPr>
          <w:spacing w:val="-11"/>
          <w:sz w:val="24"/>
        </w:rPr>
        <w:t xml:space="preserve"> </w:t>
      </w:r>
      <w:r>
        <w:rPr>
          <w:sz w:val="24"/>
        </w:rPr>
        <w:t>State.</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CSS is not applicable in case of Group Captive consumers, which is a provision for availing power from third parties without paying CSS even when not availing TANGEDCO power. There is no need for levying Grid Support Charges on Open Access consumers for ba</w:t>
      </w:r>
      <w:r>
        <w:rPr>
          <w:sz w:val="24"/>
        </w:rPr>
        <w:t>ckup power during the outage of generators. In the Order dated December 11, 2014 para 5.52, the Commission has clarified that Grid Support Charges shall be levied for the following</w:t>
      </w:r>
      <w:r>
        <w:rPr>
          <w:spacing w:val="-2"/>
          <w:sz w:val="24"/>
        </w:rPr>
        <w:t xml:space="preserve"> </w:t>
      </w:r>
      <w:r>
        <w:rPr>
          <w:sz w:val="24"/>
        </w:rPr>
        <w:t>conditions:</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0"/>
          <w:numId w:val="97"/>
        </w:numPr>
        <w:tabs>
          <w:tab w:val="left" w:pos="1661"/>
        </w:tabs>
        <w:spacing w:before="72"/>
        <w:ind w:left="1660" w:hanging="289"/>
        <w:jc w:val="left"/>
        <w:rPr>
          <w:sz w:val="24"/>
        </w:rPr>
      </w:pPr>
      <w:r>
        <w:rPr>
          <w:sz w:val="24"/>
        </w:rPr>
        <w:lastRenderedPageBreak/>
        <w:t xml:space="preserve">In case of outages of generator supplying to </w:t>
      </w:r>
      <w:r>
        <w:rPr>
          <w:sz w:val="24"/>
        </w:rPr>
        <w:t>an Open Access</w:t>
      </w:r>
      <w:r>
        <w:rPr>
          <w:spacing w:val="-6"/>
          <w:sz w:val="24"/>
        </w:rPr>
        <w:t xml:space="preserve"> </w:t>
      </w:r>
      <w:r>
        <w:rPr>
          <w:sz w:val="24"/>
        </w:rPr>
        <w:t>consumer</w:t>
      </w:r>
    </w:p>
    <w:p w:rsidR="007C5447" w:rsidRDefault="00F6308C">
      <w:pPr>
        <w:pStyle w:val="ListParagraph"/>
        <w:numPr>
          <w:ilvl w:val="0"/>
          <w:numId w:val="97"/>
        </w:numPr>
        <w:tabs>
          <w:tab w:val="left" w:pos="1661"/>
        </w:tabs>
        <w:spacing w:before="82"/>
        <w:ind w:left="1660" w:hanging="289"/>
        <w:jc w:val="left"/>
        <w:rPr>
          <w:sz w:val="24"/>
        </w:rPr>
      </w:pPr>
      <w:r>
        <w:rPr>
          <w:sz w:val="24"/>
        </w:rPr>
        <w:t>For start-up power by</w:t>
      </w:r>
      <w:r>
        <w:rPr>
          <w:spacing w:val="-4"/>
          <w:sz w:val="24"/>
        </w:rPr>
        <w:t xml:space="preserve"> </w:t>
      </w:r>
      <w:r>
        <w:rPr>
          <w:sz w:val="24"/>
        </w:rPr>
        <w:t>generator</w:t>
      </w:r>
    </w:p>
    <w:p w:rsidR="007C5447" w:rsidRDefault="00F6308C">
      <w:pPr>
        <w:pStyle w:val="ListParagraph"/>
        <w:numPr>
          <w:ilvl w:val="0"/>
          <w:numId w:val="97"/>
        </w:numPr>
        <w:tabs>
          <w:tab w:val="left" w:pos="1661"/>
        </w:tabs>
        <w:spacing w:before="81" w:line="304" w:lineRule="auto"/>
        <w:ind w:right="219" w:hanging="360"/>
        <w:jc w:val="left"/>
        <w:rPr>
          <w:sz w:val="24"/>
        </w:rPr>
      </w:pPr>
      <w:r>
        <w:rPr>
          <w:sz w:val="24"/>
        </w:rPr>
        <w:t>When the generator as per schedule is not maintained and when the drawal by the open access consumer is in excess of the</w:t>
      </w:r>
      <w:r>
        <w:rPr>
          <w:spacing w:val="-1"/>
          <w:sz w:val="24"/>
        </w:rPr>
        <w:t xml:space="preserve"> </w:t>
      </w:r>
      <w:r>
        <w:rPr>
          <w:sz w:val="24"/>
        </w:rPr>
        <w:t>schedule.</w:t>
      </w:r>
    </w:p>
    <w:p w:rsidR="007C5447" w:rsidRDefault="007C5447">
      <w:pPr>
        <w:pStyle w:val="BodyText"/>
        <w:spacing w:before="7"/>
        <w:rPr>
          <w:sz w:val="21"/>
        </w:rPr>
      </w:pPr>
    </w:p>
    <w:p w:rsidR="007C5447" w:rsidRDefault="00F6308C">
      <w:pPr>
        <w:pStyle w:val="ListParagraph"/>
        <w:numPr>
          <w:ilvl w:val="2"/>
          <w:numId w:val="114"/>
        </w:numPr>
        <w:tabs>
          <w:tab w:val="left" w:pos="1073"/>
        </w:tabs>
        <w:ind w:hanging="853"/>
        <w:rPr>
          <w:sz w:val="24"/>
        </w:rPr>
      </w:pPr>
      <w:r>
        <w:rPr>
          <w:sz w:val="24"/>
        </w:rPr>
        <w:t>As per para 5.54 of the SMT Order dated December 11,</w:t>
      </w:r>
      <w:r>
        <w:rPr>
          <w:spacing w:val="-5"/>
          <w:sz w:val="24"/>
        </w:rPr>
        <w:t xml:space="preserve"> </w:t>
      </w:r>
      <w:r>
        <w:rPr>
          <w:sz w:val="24"/>
        </w:rPr>
        <w:t>2014:</w:t>
      </w:r>
    </w:p>
    <w:p w:rsidR="007C5447" w:rsidRDefault="007C5447">
      <w:pPr>
        <w:pStyle w:val="BodyText"/>
        <w:spacing w:before="2"/>
        <w:rPr>
          <w:sz w:val="28"/>
        </w:rPr>
      </w:pPr>
    </w:p>
    <w:p w:rsidR="007C5447" w:rsidRDefault="00F6308C">
      <w:pPr>
        <w:ind w:left="1660" w:right="933"/>
        <w:jc w:val="both"/>
        <w:rPr>
          <w:i/>
          <w:sz w:val="24"/>
        </w:rPr>
      </w:pPr>
      <w:r>
        <w:rPr>
          <w:i/>
          <w:sz w:val="24"/>
        </w:rPr>
        <w:t>“3.b) Deviations between the schedule and the actual injection/d</w:t>
      </w:r>
      <w:r>
        <w:rPr>
          <w:i/>
          <w:sz w:val="24"/>
        </w:rPr>
        <w:t>rawal shall come under the purview of the intra-State ABT, as notified by the Commission and shall be settled based on the composite accounts for imbalance transactions issued by SLDC on a weekly cycle in accordance with the UI charges specified by the Com</w:t>
      </w:r>
      <w:r>
        <w:rPr>
          <w:i/>
          <w:sz w:val="24"/>
        </w:rPr>
        <w:t>mission. Billing, collection and disbursement of any amounts under the above transactions shall be in accordance with the Commission’s orders on intra-State ABT, as may be applicable from time to time. Till the implementation of Intra-State ABT, the imbala</w:t>
      </w:r>
      <w:r>
        <w:rPr>
          <w:i/>
          <w:sz w:val="24"/>
        </w:rPr>
        <w:t>nce charge shall be regulated as below:</w:t>
      </w:r>
    </w:p>
    <w:p w:rsidR="007C5447" w:rsidRDefault="007C5447">
      <w:pPr>
        <w:pStyle w:val="BodyText"/>
        <w:spacing w:before="11"/>
        <w:rPr>
          <w:i/>
          <w:sz w:val="20"/>
        </w:rPr>
      </w:pPr>
    </w:p>
    <w:p w:rsidR="007C5447" w:rsidRDefault="00F6308C">
      <w:pPr>
        <w:pStyle w:val="ListParagraph"/>
        <w:numPr>
          <w:ilvl w:val="0"/>
          <w:numId w:val="96"/>
        </w:numPr>
        <w:tabs>
          <w:tab w:val="left" w:pos="2381"/>
        </w:tabs>
        <w:ind w:right="938" w:firstLine="0"/>
        <w:jc w:val="both"/>
        <w:rPr>
          <w:i/>
          <w:sz w:val="24"/>
        </w:rPr>
      </w:pPr>
      <w:r>
        <w:rPr>
          <w:i/>
          <w:sz w:val="24"/>
        </w:rPr>
        <w:t>In case actual energy/demand drawal is more than the scheduled energy/demand but within the permitted energy/demand (based on contracted load and energy or quota demand and energy as applicable), customer shall be l</w:t>
      </w:r>
      <w:r>
        <w:rPr>
          <w:i/>
          <w:sz w:val="24"/>
        </w:rPr>
        <w:t>iable to pay for such over drawal at the applicable tariff rates of that category of consumer as determined by the Commission from time to</w:t>
      </w:r>
      <w:r>
        <w:rPr>
          <w:i/>
          <w:spacing w:val="-2"/>
          <w:sz w:val="24"/>
        </w:rPr>
        <w:t xml:space="preserve"> </w:t>
      </w:r>
      <w:r>
        <w:rPr>
          <w:i/>
          <w:sz w:val="24"/>
        </w:rPr>
        <w:t>time.</w:t>
      </w:r>
    </w:p>
    <w:p w:rsidR="007C5447" w:rsidRDefault="007C5447">
      <w:pPr>
        <w:pStyle w:val="BodyText"/>
        <w:spacing w:before="10"/>
        <w:rPr>
          <w:i/>
          <w:sz w:val="20"/>
        </w:rPr>
      </w:pPr>
    </w:p>
    <w:p w:rsidR="007C5447" w:rsidRDefault="00F6308C">
      <w:pPr>
        <w:pStyle w:val="ListParagraph"/>
        <w:numPr>
          <w:ilvl w:val="0"/>
          <w:numId w:val="96"/>
        </w:numPr>
        <w:tabs>
          <w:tab w:val="left" w:pos="2381"/>
        </w:tabs>
        <w:ind w:right="940" w:firstLine="0"/>
        <w:jc w:val="both"/>
        <w:rPr>
          <w:i/>
          <w:sz w:val="24"/>
        </w:rPr>
      </w:pPr>
      <w:r>
        <w:rPr>
          <w:i/>
          <w:sz w:val="24"/>
        </w:rPr>
        <w:t xml:space="preserve">In case actual energy/demand drawal is more than the </w:t>
      </w:r>
      <w:r>
        <w:rPr>
          <w:i/>
          <w:sz w:val="24"/>
        </w:rPr>
        <w:t>scheduled energy/demand drawl and also more than the permitted energy/demand (based on contracted load and energy or quota demand and energy as applicable), payment for the capacity above the contract demand shall have to be made at the excess demand/energ</w:t>
      </w:r>
      <w:r>
        <w:rPr>
          <w:i/>
          <w:sz w:val="24"/>
        </w:rPr>
        <w:t>y charges as specified by the Commission for such categories of customers in the</w:t>
      </w:r>
      <w:r>
        <w:rPr>
          <w:i/>
          <w:spacing w:val="-2"/>
          <w:sz w:val="24"/>
        </w:rPr>
        <w:t xml:space="preserve"> </w:t>
      </w:r>
      <w:r>
        <w:rPr>
          <w:i/>
          <w:sz w:val="24"/>
        </w:rPr>
        <w:t>regulation/order.”</w:t>
      </w:r>
    </w:p>
    <w:p w:rsidR="007C5447" w:rsidRDefault="00F6308C">
      <w:pPr>
        <w:pStyle w:val="ListParagraph"/>
        <w:numPr>
          <w:ilvl w:val="2"/>
          <w:numId w:val="114"/>
        </w:numPr>
        <w:tabs>
          <w:tab w:val="left" w:pos="1073"/>
        </w:tabs>
        <w:spacing w:before="121" w:line="312" w:lineRule="auto"/>
        <w:ind w:right="215" w:hanging="852"/>
        <w:jc w:val="both"/>
        <w:rPr>
          <w:sz w:val="24"/>
        </w:rPr>
      </w:pPr>
      <w:r>
        <w:rPr>
          <w:sz w:val="24"/>
        </w:rPr>
        <w:t>TANGEDCO is creating confusion by submitting that the Commission did not specifically say anything about Grid Charges for back-up power during outage of gen</w:t>
      </w:r>
      <w:r>
        <w:rPr>
          <w:sz w:val="24"/>
        </w:rPr>
        <w:t>erators, when the Commission has clearly mentioned in the Comprehensive Tariff Order on Wind Energy, Order No. 6 of 2012, dated July 31, 2012, as</w:t>
      </w:r>
      <w:r>
        <w:rPr>
          <w:spacing w:val="-7"/>
          <w:sz w:val="24"/>
        </w:rPr>
        <w:t xml:space="preserve"> </w:t>
      </w:r>
      <w:r>
        <w:rPr>
          <w:sz w:val="24"/>
        </w:rPr>
        <w:t>under:</w:t>
      </w:r>
    </w:p>
    <w:p w:rsidR="007C5447" w:rsidRDefault="007C5447">
      <w:pPr>
        <w:pStyle w:val="BodyText"/>
        <w:spacing w:before="10"/>
        <w:rPr>
          <w:sz w:val="20"/>
        </w:rPr>
      </w:pPr>
    </w:p>
    <w:p w:rsidR="007C5447" w:rsidRDefault="00F6308C">
      <w:pPr>
        <w:pStyle w:val="Heading3"/>
        <w:jc w:val="both"/>
      </w:pPr>
      <w:r>
        <w:t>“8.7.2.1 Energy charges</w:t>
      </w:r>
    </w:p>
    <w:p w:rsidR="007C5447" w:rsidRDefault="007C5447">
      <w:pPr>
        <w:pStyle w:val="BodyText"/>
        <w:spacing w:before="10"/>
        <w:rPr>
          <w:b/>
          <w:i/>
          <w:sz w:val="20"/>
        </w:rPr>
      </w:pPr>
    </w:p>
    <w:p w:rsidR="007C5447" w:rsidRDefault="00F6308C">
      <w:pPr>
        <w:ind w:left="1660" w:right="934"/>
        <w:jc w:val="both"/>
        <w:rPr>
          <w:i/>
          <w:sz w:val="24"/>
        </w:rPr>
      </w:pPr>
      <w:r>
        <w:rPr>
          <w:i/>
          <w:sz w:val="24"/>
        </w:rPr>
        <w:t>As on date there is only one Distribution Licensee in this State. If the capt</w:t>
      </w:r>
      <w:r>
        <w:rPr>
          <w:i/>
          <w:sz w:val="24"/>
        </w:rPr>
        <w:t xml:space="preserve">ive user or the third-party user is a consumer of the Distribution Licensee, the captive or third party consumer shall be liable to pay the Distribution Licensee the tariff applicable to that category of the consumer for the net energy consumption subject </w:t>
      </w:r>
      <w:r>
        <w:rPr>
          <w:i/>
          <w:sz w:val="24"/>
        </w:rPr>
        <w:t>to the terms and</w:t>
      </w:r>
    </w:p>
    <w:p w:rsidR="007C5447" w:rsidRDefault="007C5447">
      <w:pPr>
        <w:jc w:val="both"/>
        <w:rPr>
          <w:sz w:val="24"/>
        </w:rPr>
        <w:sectPr w:rsidR="007C5447">
          <w:pgSz w:w="11910" w:h="16840"/>
          <w:pgMar w:top="1500" w:right="1220" w:bottom="1620" w:left="1220" w:header="0" w:footer="1386" w:gutter="0"/>
          <w:cols w:space="720"/>
        </w:sectPr>
      </w:pPr>
    </w:p>
    <w:p w:rsidR="007C5447" w:rsidRDefault="00F6308C">
      <w:pPr>
        <w:spacing w:before="70"/>
        <w:ind w:left="1660" w:right="940"/>
        <w:jc w:val="both"/>
        <w:rPr>
          <w:i/>
          <w:sz w:val="24"/>
        </w:rPr>
      </w:pPr>
      <w:r>
        <w:rPr>
          <w:i/>
          <w:sz w:val="24"/>
        </w:rPr>
        <w:lastRenderedPageBreak/>
        <w:t>conditions of supply. If the captive user/third party user is not a consumer of the distribution licensee, the user shall pay the charges as applicable to the temporary supply of that voltage category.”</w:t>
      </w:r>
    </w:p>
    <w:p w:rsidR="007C5447" w:rsidRDefault="00F6308C">
      <w:pPr>
        <w:pStyle w:val="ListParagraph"/>
        <w:numPr>
          <w:ilvl w:val="2"/>
          <w:numId w:val="114"/>
        </w:numPr>
        <w:tabs>
          <w:tab w:val="left" w:pos="1073"/>
        </w:tabs>
        <w:spacing w:before="120" w:line="312" w:lineRule="auto"/>
        <w:ind w:right="213" w:hanging="852"/>
        <w:jc w:val="both"/>
        <w:rPr>
          <w:sz w:val="24"/>
        </w:rPr>
      </w:pPr>
      <w:r>
        <w:rPr>
          <w:sz w:val="24"/>
        </w:rPr>
        <w:t>The installation o</w:t>
      </w:r>
      <w:r>
        <w:rPr>
          <w:sz w:val="24"/>
        </w:rPr>
        <w:t xml:space="preserve">f ABT meter is in progress and all HT consumers have only five- slot meters, through which the consumption is recorded. Except Wind Mills, all other generators have installed ABT meters. In case of wind mills, energy generation is recorded under five time </w:t>
      </w:r>
      <w:r>
        <w:rPr>
          <w:sz w:val="24"/>
        </w:rPr>
        <w:t>slots and further conversion to ABT metering is in progress. Under these circumstances, filing Petition M.P. No. 10 of 2015 by TANGEDCO on Tariff during outages will not have any relevance. As per the Order dated December 11, 2014 and intra-State Open Acce</w:t>
      </w:r>
      <w:r>
        <w:rPr>
          <w:sz w:val="24"/>
        </w:rPr>
        <w:t>ss Regulations, 2014, the power supplied during the outages would fall under the respective category tariff and cannot be claimed in a different</w:t>
      </w:r>
      <w:r>
        <w:rPr>
          <w:spacing w:val="-1"/>
          <w:sz w:val="24"/>
        </w:rPr>
        <w:t xml:space="preserve"> </w:t>
      </w:r>
      <w:r>
        <w:rPr>
          <w:sz w:val="24"/>
        </w:rPr>
        <w:t>manner.</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22" w:hanging="852"/>
        <w:jc w:val="both"/>
        <w:rPr>
          <w:sz w:val="24"/>
        </w:rPr>
      </w:pPr>
      <w:r>
        <w:rPr>
          <w:sz w:val="24"/>
        </w:rPr>
        <w:t>Remedy to be claimed by way of Tariff Petition cannot be claimed by the way of a Clarification Petitio</w:t>
      </w:r>
      <w:r>
        <w:rPr>
          <w:sz w:val="24"/>
        </w:rPr>
        <w:t>n and that too when the Commission is very clear in its Order dated December 11,</w:t>
      </w:r>
      <w:r>
        <w:rPr>
          <w:spacing w:val="-3"/>
          <w:sz w:val="24"/>
        </w:rPr>
        <w:t xml:space="preserve"> </w:t>
      </w:r>
      <w:r>
        <w:rPr>
          <w:sz w:val="24"/>
        </w:rPr>
        <w:t>2014.</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21" w:hanging="852"/>
        <w:jc w:val="both"/>
        <w:rPr>
          <w:sz w:val="24"/>
        </w:rPr>
      </w:pPr>
      <w:r>
        <w:rPr>
          <w:sz w:val="24"/>
        </w:rPr>
        <w:t>IT sector should be classified as commercial activity as it was in 2011 as it does not manufacture</w:t>
      </w:r>
      <w:r>
        <w:rPr>
          <w:spacing w:val="-2"/>
          <w:sz w:val="24"/>
        </w:rPr>
        <w:t xml:space="preserve"> </w:t>
      </w:r>
      <w:r>
        <w:rPr>
          <w:sz w:val="24"/>
        </w:rPr>
        <w:t>anything.</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3" w:hanging="852"/>
        <w:jc w:val="both"/>
        <w:rPr>
          <w:sz w:val="24"/>
        </w:rPr>
      </w:pPr>
      <w:r>
        <w:rPr>
          <w:sz w:val="24"/>
        </w:rPr>
        <w:t>The power consumed for start-up purposes should not be charged as per Tariff HT V for temporary supply. In its Judgment in Appeal No. 71 of 2015 d</w:t>
      </w:r>
      <w:r>
        <w:rPr>
          <w:sz w:val="24"/>
        </w:rPr>
        <w:t>ated March 2, 2015, Hon’ble APTEL directed the Commission to frame relevant Regulations for creating a separate category for generators drawing start-up power for initiating generation, which shall cater to the need of power in the State. TANGEDCO also int</w:t>
      </w:r>
      <w:r>
        <w:rPr>
          <w:sz w:val="24"/>
        </w:rPr>
        <w:t>roduced two-part tariff for start-up power from September 2013, without any directions from the Commission. The Commission should notify the previously adopted single part Tariff of Rs. 11.74/ kWh for start-up</w:t>
      </w:r>
      <w:r>
        <w:rPr>
          <w:spacing w:val="-4"/>
          <w:sz w:val="24"/>
        </w:rPr>
        <w:t xml:space="preserve"> </w:t>
      </w:r>
      <w:r>
        <w:rPr>
          <w:sz w:val="24"/>
        </w:rPr>
        <w:t>purposes.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7" w:hanging="852"/>
        <w:jc w:val="both"/>
        <w:rPr>
          <w:sz w:val="24"/>
        </w:rPr>
      </w:pPr>
      <w:r>
        <w:rPr>
          <w:sz w:val="24"/>
        </w:rPr>
        <w:t>A separate category should be creat</w:t>
      </w:r>
      <w:r>
        <w:rPr>
          <w:sz w:val="24"/>
        </w:rPr>
        <w:t>ed for textile sector. The Commission in Order dated June 20, 2013 in TP No. 1 of 2013 in para 2.3.67 ruled</w:t>
      </w:r>
      <w:r>
        <w:rPr>
          <w:spacing w:val="-4"/>
          <w:sz w:val="24"/>
        </w:rPr>
        <w:t xml:space="preserve"> </w:t>
      </w:r>
      <w:r>
        <w:rPr>
          <w:sz w:val="24"/>
        </w:rPr>
        <w:t>that</w:t>
      </w:r>
    </w:p>
    <w:p w:rsidR="007C5447" w:rsidRDefault="007C5447">
      <w:pPr>
        <w:pStyle w:val="BodyText"/>
        <w:spacing w:before="9"/>
        <w:rPr>
          <w:sz w:val="20"/>
        </w:rPr>
      </w:pPr>
    </w:p>
    <w:p w:rsidR="007C5447" w:rsidRDefault="00F6308C">
      <w:pPr>
        <w:spacing w:before="1"/>
        <w:ind w:left="1660" w:right="937"/>
        <w:jc w:val="both"/>
        <w:rPr>
          <w:i/>
          <w:sz w:val="24"/>
        </w:rPr>
      </w:pPr>
      <w:r>
        <w:rPr>
          <w:i/>
          <w:sz w:val="24"/>
        </w:rPr>
        <w:t xml:space="preserve">“In case of the distribution licensee or a consumer feels the </w:t>
      </w:r>
      <w:r>
        <w:rPr>
          <w:i/>
          <w:sz w:val="24"/>
        </w:rPr>
        <w:t>justification and necessity for the creation of a new category, then it should submit the necessary data on consumer and consumption pattern for the category and also ensure that the categorization is in accordance with the criteria for differentiation pro</w:t>
      </w:r>
      <w:r>
        <w:rPr>
          <w:i/>
          <w:sz w:val="24"/>
        </w:rPr>
        <w:t>vided under section 62(3) of the Electricity Act, 2003, for the Commission’s consideration”</w:t>
      </w:r>
    </w:p>
    <w:p w:rsidR="007C5447" w:rsidRDefault="00F6308C">
      <w:pPr>
        <w:pStyle w:val="ListParagraph"/>
        <w:numPr>
          <w:ilvl w:val="2"/>
          <w:numId w:val="114"/>
        </w:numPr>
        <w:tabs>
          <w:tab w:val="left" w:pos="1073"/>
        </w:tabs>
        <w:spacing w:before="120"/>
        <w:ind w:hanging="853"/>
        <w:jc w:val="both"/>
        <w:rPr>
          <w:sz w:val="24"/>
        </w:rPr>
      </w:pPr>
      <w:r>
        <w:rPr>
          <w:sz w:val="24"/>
        </w:rPr>
        <w:t>Hence,</w:t>
      </w:r>
      <w:r>
        <w:rPr>
          <w:spacing w:val="12"/>
          <w:sz w:val="24"/>
        </w:rPr>
        <w:t xml:space="preserve"> </w:t>
      </w:r>
      <w:r>
        <w:rPr>
          <w:sz w:val="24"/>
        </w:rPr>
        <w:t>the</w:t>
      </w:r>
      <w:r>
        <w:rPr>
          <w:spacing w:val="10"/>
          <w:sz w:val="24"/>
        </w:rPr>
        <w:t xml:space="preserve"> </w:t>
      </w:r>
      <w:r>
        <w:rPr>
          <w:sz w:val="24"/>
        </w:rPr>
        <w:t>Commission</w:t>
      </w:r>
      <w:r>
        <w:rPr>
          <w:spacing w:val="12"/>
          <w:sz w:val="24"/>
        </w:rPr>
        <w:t xml:space="preserve"> </w:t>
      </w:r>
      <w:r>
        <w:rPr>
          <w:sz w:val="24"/>
        </w:rPr>
        <w:t>should</w:t>
      </w:r>
      <w:r>
        <w:rPr>
          <w:spacing w:val="10"/>
          <w:sz w:val="24"/>
        </w:rPr>
        <w:t xml:space="preserve"> </w:t>
      </w:r>
      <w:r>
        <w:rPr>
          <w:sz w:val="24"/>
        </w:rPr>
        <w:t>direct</w:t>
      </w:r>
      <w:r>
        <w:rPr>
          <w:spacing w:val="12"/>
          <w:sz w:val="24"/>
        </w:rPr>
        <w:t xml:space="preserve"> </w:t>
      </w:r>
      <w:r>
        <w:rPr>
          <w:sz w:val="24"/>
        </w:rPr>
        <w:t>TANGEDCO</w:t>
      </w:r>
      <w:r>
        <w:rPr>
          <w:spacing w:val="10"/>
          <w:sz w:val="24"/>
        </w:rPr>
        <w:t xml:space="preserve"> </w:t>
      </w:r>
      <w:r>
        <w:rPr>
          <w:sz w:val="24"/>
        </w:rPr>
        <w:t>to</w:t>
      </w:r>
      <w:r>
        <w:rPr>
          <w:spacing w:val="12"/>
          <w:sz w:val="24"/>
        </w:rPr>
        <w:t xml:space="preserve"> </w:t>
      </w:r>
      <w:r>
        <w:rPr>
          <w:sz w:val="24"/>
        </w:rPr>
        <w:t>collect</w:t>
      </w:r>
      <w:r>
        <w:rPr>
          <w:spacing w:val="11"/>
          <w:sz w:val="24"/>
        </w:rPr>
        <w:t xml:space="preserve"> </w:t>
      </w:r>
      <w:r>
        <w:rPr>
          <w:sz w:val="24"/>
        </w:rPr>
        <w:t>necessary</w:t>
      </w:r>
      <w:r>
        <w:rPr>
          <w:spacing w:val="9"/>
          <w:sz w:val="24"/>
        </w:rPr>
        <w:t xml:space="preserve"> </w:t>
      </w:r>
      <w:r>
        <w:rPr>
          <w:sz w:val="24"/>
        </w:rPr>
        <w:t>data</w:t>
      </w:r>
      <w:r>
        <w:rPr>
          <w:spacing w:val="10"/>
          <w:sz w:val="24"/>
        </w:rPr>
        <w:t xml:space="preserve"> </w:t>
      </w:r>
      <w:r>
        <w:rPr>
          <w:sz w:val="24"/>
        </w:rPr>
        <w:t>on</w:t>
      </w:r>
      <w:r>
        <w:rPr>
          <w:spacing w:val="11"/>
          <w:sz w:val="24"/>
        </w:rPr>
        <w:t xml:space="preserve"> </w:t>
      </w:r>
      <w:r>
        <w:rPr>
          <w:sz w:val="24"/>
        </w:rPr>
        <w:t>the</w:t>
      </w:r>
    </w:p>
    <w:p w:rsidR="007C5447" w:rsidRDefault="007C5447">
      <w:pPr>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19"/>
        <w:jc w:val="both"/>
      </w:pPr>
      <w:r>
        <w:lastRenderedPageBreak/>
        <w:t>consumption pattern for the textile industry and submit the proposal</w:t>
      </w:r>
      <w:r>
        <w:t xml:space="preserve"> to the Commission for creation of new category under Section 62(3) of the Electricity Act, 2003.</w:t>
      </w:r>
    </w:p>
    <w:p w:rsidR="007C5447" w:rsidRDefault="007C5447">
      <w:pPr>
        <w:pStyle w:val="BodyText"/>
        <w:spacing w:before="8"/>
        <w:rPr>
          <w:sz w:val="20"/>
        </w:rPr>
      </w:pPr>
    </w:p>
    <w:p w:rsidR="007C5447" w:rsidRDefault="00F6308C">
      <w:pPr>
        <w:pStyle w:val="Heading2"/>
        <w:spacing w:before="1"/>
        <w:jc w:val="both"/>
      </w:pPr>
      <w:r>
        <w:t>TANGEDCO’s Reply</w:t>
      </w:r>
    </w:p>
    <w:p w:rsidR="007C5447" w:rsidRDefault="00F6308C">
      <w:pPr>
        <w:pStyle w:val="ListParagraph"/>
        <w:numPr>
          <w:ilvl w:val="2"/>
          <w:numId w:val="114"/>
        </w:numPr>
        <w:tabs>
          <w:tab w:val="left" w:pos="1073"/>
        </w:tabs>
        <w:spacing w:before="204" w:line="312" w:lineRule="auto"/>
        <w:ind w:right="220" w:hanging="852"/>
        <w:jc w:val="both"/>
        <w:rPr>
          <w:sz w:val="24"/>
        </w:rPr>
      </w:pPr>
      <w:r>
        <w:rPr>
          <w:sz w:val="24"/>
        </w:rPr>
        <w:t>TANGEDCO submitted that necessary modifications have been proposed in the Petition for the Commission’s approval, to ensure correct classification of consumer category to minimise the litigations in this</w:t>
      </w:r>
      <w:r>
        <w:rPr>
          <w:spacing w:val="-7"/>
          <w:sz w:val="24"/>
        </w:rPr>
        <w:t xml:space="preserve"> </w:t>
      </w:r>
      <w:r>
        <w:rPr>
          <w:sz w:val="24"/>
        </w:rPr>
        <w:t>regard.</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TANGEDCO submitted that considering the fee</w:t>
      </w:r>
      <w:r>
        <w:rPr>
          <w:sz w:val="24"/>
        </w:rPr>
        <w:t xml:space="preserve"> structure and facilities extended by the Government and Private educational institutions, the Commission classified the applicability of educational institution tariff into Government, Government educational institution and Private educational institution</w:t>
      </w:r>
      <w:r>
        <w:rPr>
          <w:sz w:val="24"/>
        </w:rPr>
        <w:t>, in the year 2010. Some of the institutions are having both aided college and private college administration in the same premises. In order to have clarity in tariff application and adoption of correct tariff to educational institutions, TANGEDCO has prop</w:t>
      </w:r>
      <w:r>
        <w:rPr>
          <w:sz w:val="24"/>
        </w:rPr>
        <w:t>osed to differentiate institutions having self-financed courses and only subsidised Govt colleges in the Tariff</w:t>
      </w:r>
      <w:r>
        <w:rPr>
          <w:spacing w:val="-1"/>
          <w:sz w:val="24"/>
        </w:rPr>
        <w:t xml:space="preserve"> </w:t>
      </w:r>
      <w:r>
        <w:rPr>
          <w:sz w:val="24"/>
        </w:rPr>
        <w:t>schedule.</w:t>
      </w:r>
    </w:p>
    <w:p w:rsidR="007C5447" w:rsidRDefault="007C5447">
      <w:pPr>
        <w:pStyle w:val="BodyText"/>
        <w:rPr>
          <w:sz w:val="21"/>
        </w:rPr>
      </w:pPr>
    </w:p>
    <w:p w:rsidR="007C5447" w:rsidRDefault="00F6308C">
      <w:pPr>
        <w:pStyle w:val="ListParagraph"/>
        <w:numPr>
          <w:ilvl w:val="2"/>
          <w:numId w:val="114"/>
        </w:numPr>
        <w:tabs>
          <w:tab w:val="left" w:pos="1073"/>
        </w:tabs>
        <w:spacing w:line="312" w:lineRule="auto"/>
        <w:ind w:right="214" w:hanging="852"/>
        <w:jc w:val="both"/>
        <w:rPr>
          <w:sz w:val="24"/>
        </w:rPr>
      </w:pPr>
      <w:r>
        <w:rPr>
          <w:sz w:val="24"/>
        </w:rPr>
        <w:t>As regards the extension cost for SFS category consumers, TANGEDCO submitted that the agricultural service connections are extended b</w:t>
      </w:r>
      <w:r>
        <w:rPr>
          <w:sz w:val="24"/>
        </w:rPr>
        <w:t>ased on the seniority maintained for that category. Among agricultural applications, separate seniority is maintained for SFS category consumers. While providing service connections, priority is given to SFS category applicants as compared to other agricul</w:t>
      </w:r>
      <w:r>
        <w:rPr>
          <w:sz w:val="24"/>
        </w:rPr>
        <w:t>ture category applicants, and hence, the SFS applicants have to compensate line extension cost.</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TANGEDCO submitted that it is bearing the line extension cost while providing service connection under LT Tariff III –A (1). In respect of agricultural service</w:t>
      </w:r>
      <w:r>
        <w:rPr>
          <w:sz w:val="24"/>
        </w:rPr>
        <w:t xml:space="preserve"> under SFS scheme, the necessary estimated cost for extension should be borne by the consumer. The consumer who have availed service connection under </w:t>
      </w:r>
      <w:r>
        <w:rPr>
          <w:spacing w:val="-3"/>
          <w:sz w:val="24"/>
        </w:rPr>
        <w:t xml:space="preserve">LT </w:t>
      </w:r>
      <w:r>
        <w:rPr>
          <w:sz w:val="24"/>
        </w:rPr>
        <w:t>Tariff III – A (1) and reach the seniority in LT Tariff IV under SFS scheme will not bear the line exte</w:t>
      </w:r>
      <w:r>
        <w:rPr>
          <w:sz w:val="24"/>
        </w:rPr>
        <w:t xml:space="preserve">nsion cost, since cost is already incurred by the licensee whereas, the consumer directly availing service under LT Tariff IV for agriculture under SFS scheme has to incur such cost. Hence, TANGEDCO has sought permission to collect the estimated cost from </w:t>
      </w:r>
      <w:r>
        <w:rPr>
          <w:sz w:val="24"/>
        </w:rPr>
        <w:t>the applicant under SFS category before providing supply under LT Tariff III A (1)</w:t>
      </w:r>
      <w:r>
        <w:rPr>
          <w:spacing w:val="1"/>
          <w:sz w:val="24"/>
        </w:rPr>
        <w:t xml:space="preserve"> </w:t>
      </w:r>
      <w:r>
        <w:rPr>
          <w:sz w:val="24"/>
        </w:rPr>
        <w:t>category.</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2"/>
          <w:numId w:val="114"/>
        </w:numPr>
        <w:tabs>
          <w:tab w:val="left" w:pos="1073"/>
        </w:tabs>
        <w:spacing w:before="70" w:line="312" w:lineRule="auto"/>
        <w:ind w:right="217" w:hanging="852"/>
        <w:jc w:val="both"/>
        <w:rPr>
          <w:sz w:val="24"/>
        </w:rPr>
      </w:pPr>
      <w:r>
        <w:rPr>
          <w:sz w:val="24"/>
        </w:rPr>
        <w:lastRenderedPageBreak/>
        <w:t>TANGEDCO submitted that in order to avoid misuse of Tariff category, it has proposed to levy 20% additional charges for consumers availing LT sup</w:t>
      </w:r>
      <w:r>
        <w:rPr>
          <w:sz w:val="24"/>
        </w:rPr>
        <w:t xml:space="preserve">ply for load above 65 kVA. The 20% additional charges have been proposed taking into consideration the investment incurred by TANGEDCO for erection of transformers and associated equipment such as pillar boxes, cables/lines, etc., about 1.5% energy losses </w:t>
      </w:r>
      <w:r>
        <w:rPr>
          <w:sz w:val="24"/>
        </w:rPr>
        <w:t>in distribution transformers, and loss on account of demand</w:t>
      </w:r>
      <w:r>
        <w:rPr>
          <w:spacing w:val="-7"/>
          <w:sz w:val="24"/>
        </w:rPr>
        <w:t xml:space="preserve"> </w:t>
      </w:r>
      <w:r>
        <w:rPr>
          <w:sz w:val="24"/>
        </w:rPr>
        <w:t>charges.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TANGEDCO submitted that pending the disposal of the Petition on Grid Availability Charges before the Commission, it has requested the Commission to determine Grid Availability Charges ta</w:t>
      </w:r>
      <w:r>
        <w:rPr>
          <w:sz w:val="24"/>
        </w:rPr>
        <w:t>king into account provisions of Tariff Policy and existing Tariff</w:t>
      </w:r>
      <w:r>
        <w:rPr>
          <w:spacing w:val="-3"/>
          <w:sz w:val="24"/>
        </w:rPr>
        <w:t xml:space="preserve"> </w:t>
      </w:r>
      <w:r>
        <w:rPr>
          <w:sz w:val="24"/>
        </w:rPr>
        <w:t>Order.</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9" w:hanging="852"/>
        <w:jc w:val="both"/>
        <w:rPr>
          <w:sz w:val="24"/>
        </w:rPr>
      </w:pPr>
      <w:r>
        <w:rPr>
          <w:sz w:val="24"/>
        </w:rPr>
        <w:t xml:space="preserve">TANGEDCO submitted that the Parallel Operation Charges are being collected from the generator on the net capacity after deducting the Open Access quantum, for extending the facility </w:t>
      </w:r>
      <w:r>
        <w:rPr>
          <w:sz w:val="24"/>
        </w:rPr>
        <w:t>of grid support. It is not correct to state that these charges are being collected from Open Access</w:t>
      </w:r>
      <w:r>
        <w:rPr>
          <w:spacing w:val="1"/>
          <w:sz w:val="24"/>
        </w:rPr>
        <w:t xml:space="preserve"> </w:t>
      </w:r>
      <w:r>
        <w:rPr>
          <w:sz w:val="24"/>
        </w:rPr>
        <w:t>consumers.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7" w:hanging="852"/>
        <w:jc w:val="both"/>
        <w:rPr>
          <w:sz w:val="24"/>
        </w:rPr>
      </w:pPr>
      <w:r>
        <w:rPr>
          <w:sz w:val="24"/>
        </w:rPr>
        <w:t>TANGEDCO submitted that the Generators are considered as HT consumers and they have to follow the rules / regulations applicable to HT consumers. Accordingly, both Demand Charges and Energy Charges are being collected from the consumers who draw power from</w:t>
      </w:r>
      <w:r>
        <w:rPr>
          <w:sz w:val="24"/>
        </w:rPr>
        <w:t xml:space="preserve"> the grid for start-up purposes. The same view was upheld by the Hon’ble APTEL in Appeal No. 71 of</w:t>
      </w:r>
      <w:r>
        <w:rPr>
          <w:spacing w:val="-8"/>
          <w:sz w:val="24"/>
        </w:rPr>
        <w:t xml:space="preserve"> </w:t>
      </w:r>
      <w:r>
        <w:rPr>
          <w:sz w:val="24"/>
        </w:rPr>
        <w:t>2015.</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TANGEDCO submitted that at present, the textile industry has been classified under Industrial category. The nature of activity also falls under industrial category. The Electricity Act, 2003 and further Rules/Regulations issued thereon have focused on rati</w:t>
      </w:r>
      <w:r>
        <w:rPr>
          <w:sz w:val="24"/>
        </w:rPr>
        <w:t>onalization of tariff category. Hence, creation of a new category is not appropriate. Further, consideration of request of one group of consumers will lead to demands from other category of consumers such as Automobile, Information technology, Chemicals, e</w:t>
      </w:r>
      <w:r>
        <w:rPr>
          <w:sz w:val="24"/>
        </w:rPr>
        <w:t xml:space="preserve">tc., for separate categorisation. Hence, </w:t>
      </w:r>
      <w:r>
        <w:rPr>
          <w:spacing w:val="2"/>
          <w:sz w:val="24"/>
        </w:rPr>
        <w:t xml:space="preserve">the </w:t>
      </w:r>
      <w:r>
        <w:rPr>
          <w:sz w:val="24"/>
        </w:rPr>
        <w:t>request for creation of a new category should not be</w:t>
      </w:r>
      <w:r>
        <w:rPr>
          <w:spacing w:val="-3"/>
          <w:sz w:val="24"/>
        </w:rPr>
        <w:t xml:space="preserve"> </w:t>
      </w:r>
      <w:r>
        <w:rPr>
          <w:sz w:val="24"/>
        </w:rPr>
        <w:t>accepted.</w:t>
      </w:r>
    </w:p>
    <w:p w:rsidR="007C5447" w:rsidRDefault="007C5447">
      <w:pPr>
        <w:pStyle w:val="BodyText"/>
        <w:spacing w:before="11"/>
        <w:rPr>
          <w:sz w:val="20"/>
        </w:rPr>
      </w:pPr>
    </w:p>
    <w:p w:rsidR="007C5447" w:rsidRDefault="00F6308C">
      <w:pPr>
        <w:pStyle w:val="Heading2"/>
      </w:pPr>
      <w:r>
        <w:t>Commission’s Views</w:t>
      </w:r>
    </w:p>
    <w:p w:rsidR="007C5447" w:rsidRDefault="00F6308C">
      <w:pPr>
        <w:pStyle w:val="ListParagraph"/>
        <w:numPr>
          <w:ilvl w:val="2"/>
          <w:numId w:val="114"/>
        </w:numPr>
        <w:tabs>
          <w:tab w:val="left" w:pos="1073"/>
        </w:tabs>
        <w:spacing w:before="204" w:line="312" w:lineRule="auto"/>
        <w:ind w:right="223" w:hanging="852"/>
        <w:jc w:val="both"/>
        <w:rPr>
          <w:sz w:val="24"/>
        </w:rPr>
      </w:pPr>
      <w:r>
        <w:rPr>
          <w:sz w:val="24"/>
        </w:rPr>
        <w:t>The Commission’s decisions on TANGEDCO’s proposed tariff philosophy and comments submitted by stakeholders, including all propos</w:t>
      </w:r>
      <w:r>
        <w:rPr>
          <w:sz w:val="24"/>
        </w:rPr>
        <w:t>ed changes and modifications, have been elaborated in Chapter 5 of this Order.</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2"/>
          <w:numId w:val="114"/>
        </w:numPr>
        <w:tabs>
          <w:tab w:val="left" w:pos="1073"/>
        </w:tabs>
        <w:spacing w:before="70" w:line="312" w:lineRule="auto"/>
        <w:ind w:right="215" w:hanging="852"/>
        <w:jc w:val="both"/>
        <w:rPr>
          <w:sz w:val="24"/>
        </w:rPr>
      </w:pPr>
      <w:r>
        <w:rPr>
          <w:sz w:val="24"/>
        </w:rPr>
        <w:lastRenderedPageBreak/>
        <w:t>It is clarified that the Parallel Operation Charges are being collected only from the captive generators on the net capacity, i.e., the capacity being utilised</w:t>
      </w:r>
      <w:r>
        <w:rPr>
          <w:sz w:val="24"/>
        </w:rPr>
        <w:t xml:space="preserve"> for self- consumption, for extending the facility of grid</w:t>
      </w:r>
      <w:r>
        <w:rPr>
          <w:spacing w:val="-8"/>
          <w:sz w:val="24"/>
        </w:rPr>
        <w:t xml:space="preserve"> </w:t>
      </w:r>
      <w:r>
        <w:rPr>
          <w:sz w:val="24"/>
        </w:rPr>
        <w:t>support.</w:t>
      </w:r>
    </w:p>
    <w:p w:rsidR="007C5447" w:rsidRDefault="007C5447">
      <w:pPr>
        <w:pStyle w:val="BodyText"/>
        <w:spacing w:before="8"/>
        <w:rPr>
          <w:sz w:val="20"/>
        </w:rPr>
      </w:pPr>
    </w:p>
    <w:p w:rsidR="007C5447" w:rsidRDefault="00F6308C">
      <w:pPr>
        <w:pStyle w:val="ListParagraph"/>
        <w:numPr>
          <w:ilvl w:val="2"/>
          <w:numId w:val="114"/>
        </w:numPr>
        <w:tabs>
          <w:tab w:val="left" w:pos="1073"/>
        </w:tabs>
        <w:spacing w:before="1" w:line="312" w:lineRule="auto"/>
        <w:ind w:right="219" w:hanging="852"/>
        <w:jc w:val="both"/>
        <w:rPr>
          <w:sz w:val="24"/>
        </w:rPr>
      </w:pPr>
      <w:r>
        <w:rPr>
          <w:sz w:val="24"/>
        </w:rPr>
        <w:t>As regards the suggestion regarding increasing the load limit for availing LT supply from 112 kW to 150 kW, the same is outside the scope of the present ARR and Tariff Petition, and is an</w:t>
      </w:r>
      <w:r>
        <w:rPr>
          <w:sz w:val="24"/>
        </w:rPr>
        <w:t xml:space="preserve"> issue to be addressed in the Supply</w:t>
      </w:r>
      <w:r>
        <w:rPr>
          <w:spacing w:val="-7"/>
          <w:sz w:val="24"/>
        </w:rPr>
        <w:t xml:space="preserve"> </w:t>
      </w:r>
      <w:r>
        <w:rPr>
          <w:sz w:val="24"/>
        </w:rPr>
        <w:t>Code.</w:t>
      </w:r>
    </w:p>
    <w:p w:rsidR="007C5447" w:rsidRDefault="007C5447">
      <w:pPr>
        <w:pStyle w:val="BodyText"/>
        <w:spacing w:before="11"/>
        <w:rPr>
          <w:sz w:val="20"/>
        </w:rPr>
      </w:pPr>
    </w:p>
    <w:p w:rsidR="007C5447" w:rsidRDefault="00F6308C">
      <w:pPr>
        <w:pStyle w:val="Heading2"/>
        <w:numPr>
          <w:ilvl w:val="1"/>
          <w:numId w:val="114"/>
        </w:numPr>
        <w:tabs>
          <w:tab w:val="left" w:pos="787"/>
        </w:tabs>
        <w:ind w:left="786"/>
      </w:pPr>
      <w:bookmarkStart w:id="31" w:name="_bookmark31"/>
      <w:bookmarkEnd w:id="31"/>
      <w:r>
        <w:t>Regulatory</w:t>
      </w:r>
      <w:r>
        <w:rPr>
          <w:spacing w:val="-1"/>
        </w:rPr>
        <w:t xml:space="preserve"> </w:t>
      </w:r>
      <w:r>
        <w:t>Asset</w:t>
      </w:r>
    </w:p>
    <w:p w:rsidR="007C5447" w:rsidRDefault="007C5447">
      <w:pPr>
        <w:pStyle w:val="BodyText"/>
        <w:rPr>
          <w:b/>
          <w:sz w:val="28"/>
        </w:rPr>
      </w:pPr>
    </w:p>
    <w:p w:rsidR="007C5447" w:rsidRDefault="00F6308C">
      <w:pPr>
        <w:ind w:left="1072"/>
        <w:rPr>
          <w:b/>
          <w:sz w:val="24"/>
        </w:rPr>
      </w:pPr>
      <w:r>
        <w:rPr>
          <w:b/>
          <w:sz w:val="24"/>
        </w:rPr>
        <w:t>Stakeholder Comments</w:t>
      </w:r>
    </w:p>
    <w:p w:rsidR="007C5447" w:rsidRDefault="00F6308C">
      <w:pPr>
        <w:pStyle w:val="ListParagraph"/>
        <w:numPr>
          <w:ilvl w:val="2"/>
          <w:numId w:val="114"/>
        </w:numPr>
        <w:tabs>
          <w:tab w:val="left" w:pos="1073"/>
        </w:tabs>
        <w:spacing w:before="204" w:line="312" w:lineRule="auto"/>
        <w:ind w:right="216" w:hanging="852"/>
        <w:jc w:val="both"/>
        <w:rPr>
          <w:sz w:val="24"/>
        </w:rPr>
      </w:pPr>
      <w:r>
        <w:rPr>
          <w:sz w:val="24"/>
        </w:rPr>
        <w:t>TANGEDCO should submit a clear-cut plan for recovery of the accumulated Regulatory Assets of Rs. 66,873 Crore. The accumulated Regulatory Asset has to be serviced by earning revenue higher than expenditure over a period of time. The recovery of the Regulat</w:t>
      </w:r>
      <w:r>
        <w:rPr>
          <w:sz w:val="24"/>
        </w:rPr>
        <w:t>ory Asset will not be possible by any reasonable tariff</w:t>
      </w:r>
      <w:r>
        <w:rPr>
          <w:spacing w:val="-18"/>
          <w:sz w:val="24"/>
        </w:rPr>
        <w:t xml:space="preserve"> </w:t>
      </w:r>
      <w:r>
        <w:rPr>
          <w:sz w:val="24"/>
        </w:rPr>
        <w:t>hike.</w:t>
      </w:r>
    </w:p>
    <w:p w:rsidR="007C5447" w:rsidRDefault="007C5447">
      <w:pPr>
        <w:pStyle w:val="BodyText"/>
        <w:spacing w:before="10"/>
        <w:rPr>
          <w:sz w:val="20"/>
        </w:rPr>
      </w:pPr>
    </w:p>
    <w:p w:rsidR="007C5447" w:rsidRDefault="00F6308C">
      <w:pPr>
        <w:pStyle w:val="Heading2"/>
      </w:pPr>
      <w:r>
        <w:t>TANGEDCO’s Reply</w:t>
      </w:r>
    </w:p>
    <w:p w:rsidR="007C5447" w:rsidRDefault="00F6308C">
      <w:pPr>
        <w:pStyle w:val="ListParagraph"/>
        <w:numPr>
          <w:ilvl w:val="2"/>
          <w:numId w:val="114"/>
        </w:numPr>
        <w:tabs>
          <w:tab w:val="left" w:pos="1073"/>
        </w:tabs>
        <w:spacing w:before="202" w:line="312" w:lineRule="auto"/>
        <w:ind w:right="216" w:hanging="852"/>
        <w:jc w:val="both"/>
        <w:rPr>
          <w:sz w:val="24"/>
        </w:rPr>
      </w:pPr>
      <w:r>
        <w:rPr>
          <w:sz w:val="24"/>
        </w:rPr>
        <w:t>TANGEDCO submitted that it expects to reach financial turnaround in FY 2018-19. Once it attains financial turnaround, necessary method will be designed in consultation with the</w:t>
      </w:r>
      <w:r>
        <w:rPr>
          <w:sz w:val="24"/>
        </w:rPr>
        <w:t xml:space="preserve"> State Government to recover/wipe out accumulated losses. Further, the benefit accrued on account of reduction in cost and surplus earned in any year will be adjusted against the accumulated loss, and the balance amount will be passed on to the consumers w</w:t>
      </w:r>
      <w:r>
        <w:rPr>
          <w:sz w:val="24"/>
        </w:rPr>
        <w:t>ith approval of the</w:t>
      </w:r>
      <w:r>
        <w:rPr>
          <w:spacing w:val="-4"/>
          <w:sz w:val="24"/>
        </w:rPr>
        <w:t xml:space="preserve"> </w:t>
      </w:r>
      <w:r>
        <w:rPr>
          <w:sz w:val="24"/>
        </w:rPr>
        <w:t>Commission.</w:t>
      </w:r>
    </w:p>
    <w:p w:rsidR="007C5447" w:rsidRDefault="007C5447">
      <w:pPr>
        <w:pStyle w:val="BodyText"/>
        <w:spacing w:before="10"/>
        <w:rPr>
          <w:sz w:val="20"/>
        </w:rPr>
      </w:pPr>
    </w:p>
    <w:p w:rsidR="007C5447" w:rsidRDefault="00F6308C">
      <w:pPr>
        <w:pStyle w:val="Heading2"/>
        <w:spacing w:before="1"/>
      </w:pPr>
      <w:r>
        <w:t>Commission’s Views</w:t>
      </w:r>
    </w:p>
    <w:p w:rsidR="007C5447" w:rsidRDefault="00F6308C">
      <w:pPr>
        <w:pStyle w:val="ListParagraph"/>
        <w:numPr>
          <w:ilvl w:val="2"/>
          <w:numId w:val="114"/>
        </w:numPr>
        <w:tabs>
          <w:tab w:val="left" w:pos="1073"/>
        </w:tabs>
        <w:spacing w:before="204" w:line="312" w:lineRule="auto"/>
        <w:ind w:right="225" w:hanging="852"/>
        <w:jc w:val="both"/>
        <w:rPr>
          <w:sz w:val="24"/>
        </w:rPr>
      </w:pPr>
      <w:r>
        <w:rPr>
          <w:sz w:val="24"/>
        </w:rPr>
        <w:t>The cumulative Revenue Gap, Regulatory Asset and its treatment have been elaborated in Chapter 5 of this</w:t>
      </w:r>
      <w:r>
        <w:rPr>
          <w:spacing w:val="-1"/>
          <w:sz w:val="24"/>
        </w:rPr>
        <w:t xml:space="preserve"> </w:t>
      </w:r>
      <w:r>
        <w:rPr>
          <w:sz w:val="24"/>
        </w:rPr>
        <w:t>Order.</w:t>
      </w:r>
    </w:p>
    <w:p w:rsidR="007C5447" w:rsidRDefault="007C5447">
      <w:pPr>
        <w:pStyle w:val="BodyText"/>
        <w:spacing w:before="10"/>
        <w:rPr>
          <w:sz w:val="20"/>
        </w:rPr>
      </w:pPr>
    </w:p>
    <w:p w:rsidR="007C5447" w:rsidRDefault="00F6308C">
      <w:pPr>
        <w:pStyle w:val="Heading2"/>
        <w:numPr>
          <w:ilvl w:val="1"/>
          <w:numId w:val="114"/>
        </w:numPr>
        <w:tabs>
          <w:tab w:val="left" w:pos="787"/>
        </w:tabs>
        <w:ind w:left="786"/>
      </w:pPr>
      <w:bookmarkStart w:id="32" w:name="_bookmark32"/>
      <w:bookmarkEnd w:id="32"/>
      <w:r>
        <w:t>Transfer</w:t>
      </w:r>
      <w:r>
        <w:rPr>
          <w:spacing w:val="-2"/>
        </w:rPr>
        <w:t xml:space="preserve"> </w:t>
      </w:r>
      <w:r>
        <w:t>Scheme</w:t>
      </w:r>
    </w:p>
    <w:p w:rsidR="007C5447" w:rsidRDefault="007C5447">
      <w:pPr>
        <w:pStyle w:val="BodyText"/>
        <w:rPr>
          <w:b/>
          <w:sz w:val="28"/>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TANGEDCO has claimed that as per Section 131 (3) (b) of the Electricity Ac</w:t>
      </w:r>
      <w:r>
        <w:rPr>
          <w:sz w:val="24"/>
        </w:rPr>
        <w:t>t, 2003, the Transfer Scheme is binding even on the Commission adjudicating on the Tariff for successor entities and that the Commission has accepted it. However, the above-mentioned clause gives precedence only to the said section, while, under Sections 6</w:t>
      </w:r>
      <w:r>
        <w:rPr>
          <w:sz w:val="24"/>
        </w:rPr>
        <w:t>1, 62 and 86, the Commission has the responsibility to safeguard the consumers interest and ensure that the Tariffs are</w:t>
      </w:r>
      <w:r>
        <w:rPr>
          <w:spacing w:val="-3"/>
          <w:sz w:val="24"/>
        </w:rPr>
        <w:t xml:space="preserve"> </w:t>
      </w:r>
      <w:r>
        <w:rPr>
          <w:sz w:val="24"/>
        </w:rPr>
        <w:t>reasonable.</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2"/>
          <w:numId w:val="114"/>
        </w:numPr>
        <w:tabs>
          <w:tab w:val="left" w:pos="1073"/>
        </w:tabs>
        <w:spacing w:before="70" w:line="312" w:lineRule="auto"/>
        <w:ind w:right="215" w:hanging="852"/>
        <w:jc w:val="both"/>
        <w:rPr>
          <w:sz w:val="24"/>
        </w:rPr>
      </w:pPr>
      <w:r>
        <w:rPr>
          <w:sz w:val="24"/>
        </w:rPr>
        <w:lastRenderedPageBreak/>
        <w:t>The Hon’ble APTEL in its Order on Appeal Nos. 4, 13, 14, 23, 25, 26, 35, 54, 55 of 2005 dated May 26, 2006 has ruled that directions/orders of the Regulatory Commission made for the purpose of determination of Tariff will be binding on all concerned partie</w:t>
      </w:r>
      <w:r>
        <w:rPr>
          <w:sz w:val="24"/>
        </w:rPr>
        <w:t>s including the State and the Board as per provisions under Section 61 and 62 of the Electricity Act,</w:t>
      </w:r>
      <w:r>
        <w:rPr>
          <w:spacing w:val="-7"/>
          <w:sz w:val="24"/>
        </w:rPr>
        <w:t xml:space="preserve"> </w:t>
      </w:r>
      <w:r>
        <w:rPr>
          <w:sz w:val="24"/>
        </w:rPr>
        <w:t>2003.</w:t>
      </w:r>
    </w:p>
    <w:p w:rsidR="007C5447" w:rsidRDefault="007C5447">
      <w:pPr>
        <w:pStyle w:val="BodyText"/>
        <w:spacing w:before="8"/>
        <w:rPr>
          <w:sz w:val="20"/>
        </w:rPr>
      </w:pPr>
    </w:p>
    <w:p w:rsidR="007C5447" w:rsidRDefault="00F6308C">
      <w:pPr>
        <w:pStyle w:val="ListParagraph"/>
        <w:numPr>
          <w:ilvl w:val="2"/>
          <w:numId w:val="114"/>
        </w:numPr>
        <w:tabs>
          <w:tab w:val="left" w:pos="1073"/>
        </w:tabs>
        <w:spacing w:before="1" w:line="312" w:lineRule="auto"/>
        <w:ind w:right="218" w:hanging="852"/>
        <w:jc w:val="both"/>
        <w:rPr>
          <w:sz w:val="24"/>
        </w:rPr>
      </w:pPr>
      <w:r>
        <w:rPr>
          <w:sz w:val="24"/>
        </w:rPr>
        <w:t>The Commission should disallow any costs as per the Balance Sheet from being passed on to the consumer as per the above-mentioned Hon’ble APTEL’s d</w:t>
      </w:r>
      <w:r>
        <w:rPr>
          <w:sz w:val="24"/>
        </w:rPr>
        <w:t>irection. The Commission is bound to examine the accounts of the Utility even though they may be genuine and are not</w:t>
      </w:r>
      <w:r>
        <w:rPr>
          <w:spacing w:val="-2"/>
          <w:sz w:val="24"/>
        </w:rPr>
        <w:t xml:space="preserve"> </w:t>
      </w:r>
      <w:r>
        <w:rPr>
          <w:sz w:val="24"/>
        </w:rPr>
        <w:t>challenged.</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2" w:hanging="852"/>
        <w:jc w:val="both"/>
        <w:rPr>
          <w:sz w:val="24"/>
        </w:rPr>
      </w:pPr>
      <w:r>
        <w:rPr>
          <w:sz w:val="24"/>
        </w:rPr>
        <w:t>The Commission is a quasi-judicial body as per the provisions under Sections 86 (1) (f), 94 and 95 of the Act and cannot be called as a ‘third party’. Hence, the Commission should re-examine its stance and correct this mistake as cost of inefficiency of th</w:t>
      </w:r>
      <w:r>
        <w:rPr>
          <w:sz w:val="24"/>
        </w:rPr>
        <w:t>e Utilities is passed on to the</w:t>
      </w:r>
      <w:r>
        <w:rPr>
          <w:spacing w:val="-9"/>
          <w:sz w:val="24"/>
        </w:rPr>
        <w:t xml:space="preserve"> </w:t>
      </w:r>
      <w:r>
        <w:rPr>
          <w:sz w:val="24"/>
        </w:rPr>
        <w:t>consumers.</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4" w:hanging="852"/>
        <w:jc w:val="both"/>
        <w:rPr>
          <w:sz w:val="24"/>
        </w:rPr>
      </w:pPr>
      <w:r>
        <w:rPr>
          <w:sz w:val="24"/>
        </w:rPr>
        <w:t>The Transfer Scheme has to be finalized. The failure to finalize the Transfer Scheme has led to financial repercussions on the entire Tariff exercise. The transfer of the Generation and the Distribution businesse</w:t>
      </w:r>
      <w:r>
        <w:rPr>
          <w:sz w:val="24"/>
        </w:rPr>
        <w:t>s are yet to be finalized. The Commission gave a directive to the Govt. of Tamil Nadu vide TNERC/1148/Tariff/2010/D.No.1205/2010 dated September 27, 2010, which recommended the separation of Generation and Distribution functions and to split the Distributi</w:t>
      </w:r>
      <w:r>
        <w:rPr>
          <w:sz w:val="24"/>
        </w:rPr>
        <w:t>on function. This would lead to improvement in the efficiency and transparency of operations and would have introduced a potential for competition. The Commission should direct the State for the same and to state the failure to comply with such direction s</w:t>
      </w:r>
      <w:r>
        <w:rPr>
          <w:sz w:val="24"/>
        </w:rPr>
        <w:t>hall be punishable under sections 142 and 146 of the Electricity Act,</w:t>
      </w:r>
      <w:r>
        <w:rPr>
          <w:spacing w:val="-4"/>
          <w:sz w:val="24"/>
        </w:rPr>
        <w:t xml:space="preserve"> </w:t>
      </w:r>
      <w:r>
        <w:rPr>
          <w:sz w:val="24"/>
        </w:rPr>
        <w:t>2003.</w:t>
      </w:r>
    </w:p>
    <w:p w:rsidR="007C5447" w:rsidRDefault="007C5447">
      <w:pPr>
        <w:pStyle w:val="BodyText"/>
        <w:spacing w:before="1"/>
        <w:rPr>
          <w:sz w:val="21"/>
        </w:rPr>
      </w:pPr>
    </w:p>
    <w:p w:rsidR="007C5447" w:rsidRDefault="00F6308C">
      <w:pPr>
        <w:pStyle w:val="ListParagraph"/>
        <w:numPr>
          <w:ilvl w:val="2"/>
          <w:numId w:val="114"/>
        </w:numPr>
        <w:tabs>
          <w:tab w:val="left" w:pos="1072"/>
          <w:tab w:val="left" w:pos="1073"/>
        </w:tabs>
        <w:spacing w:before="1"/>
        <w:ind w:hanging="853"/>
        <w:rPr>
          <w:sz w:val="24"/>
        </w:rPr>
      </w:pPr>
      <w:r>
        <w:rPr>
          <w:sz w:val="24"/>
        </w:rPr>
        <w:t>The Final Transfer Scheme should be made known to the</w:t>
      </w:r>
      <w:r>
        <w:rPr>
          <w:spacing w:val="-7"/>
          <w:sz w:val="24"/>
        </w:rPr>
        <w:t xml:space="preserve"> </w:t>
      </w:r>
      <w:r>
        <w:rPr>
          <w:sz w:val="24"/>
        </w:rPr>
        <w:t>Public.</w:t>
      </w:r>
    </w:p>
    <w:p w:rsidR="007C5447" w:rsidRDefault="007C5447">
      <w:pPr>
        <w:pStyle w:val="BodyText"/>
        <w:spacing w:before="11"/>
        <w:rPr>
          <w:sz w:val="27"/>
        </w:rPr>
      </w:pPr>
    </w:p>
    <w:p w:rsidR="007C5447" w:rsidRDefault="00F6308C">
      <w:pPr>
        <w:pStyle w:val="Heading2"/>
      </w:pPr>
      <w:r>
        <w:t>TANGEDCO’s Reply</w:t>
      </w:r>
    </w:p>
    <w:p w:rsidR="007C5447" w:rsidRDefault="00F6308C">
      <w:pPr>
        <w:pStyle w:val="ListParagraph"/>
        <w:numPr>
          <w:ilvl w:val="2"/>
          <w:numId w:val="114"/>
        </w:numPr>
        <w:tabs>
          <w:tab w:val="left" w:pos="1073"/>
        </w:tabs>
        <w:spacing w:before="204" w:line="312" w:lineRule="auto"/>
        <w:ind w:right="219" w:hanging="852"/>
        <w:jc w:val="both"/>
        <w:rPr>
          <w:sz w:val="24"/>
        </w:rPr>
      </w:pPr>
      <w:r>
        <w:rPr>
          <w:sz w:val="24"/>
        </w:rPr>
        <w:t>TANGEDCO submitted that the details and financial impact on the final Transfer Scheme is submitted in the Petition, and placed in the website of the Commission and TANGEDCO. TANGEDCO also submitted that the impact of final Transfer Scheme has been given in</w:t>
      </w:r>
      <w:r>
        <w:rPr>
          <w:sz w:val="24"/>
        </w:rPr>
        <w:t xml:space="preserve"> FY 2015-16. The revaluation value of Rs. 12,300 Crore is considered in the Accounts of FY 2015-16, however, depreciation and RoE have not been claimed in the ARR on the revaluation value.</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ListParagraph"/>
        <w:numPr>
          <w:ilvl w:val="2"/>
          <w:numId w:val="114"/>
        </w:numPr>
        <w:tabs>
          <w:tab w:val="left" w:pos="1073"/>
        </w:tabs>
        <w:spacing w:before="70" w:line="312" w:lineRule="auto"/>
        <w:ind w:right="215" w:hanging="852"/>
        <w:jc w:val="both"/>
        <w:rPr>
          <w:sz w:val="24"/>
        </w:rPr>
      </w:pPr>
      <w:r>
        <w:rPr>
          <w:sz w:val="24"/>
        </w:rPr>
        <w:lastRenderedPageBreak/>
        <w:t>TANGEDCO submitted that in exercise of power conf</w:t>
      </w:r>
      <w:r>
        <w:rPr>
          <w:sz w:val="24"/>
        </w:rPr>
        <w:t>erred by Sections 131 and 133 of Electricity Act, 2003, GoTN notified the provisional Transfer Scheme vide GO.Ms. No.100 dated October 19, 2010 and GO.Ms. No.02 dated January 2, 2012, and notified Final Transfer Scheme vide GO.Ms.No.49 dated August 13, 201</w:t>
      </w:r>
      <w:r>
        <w:rPr>
          <w:sz w:val="24"/>
        </w:rPr>
        <w:t>5. Based on the Final Transfer Scheme, all the Assets and Liabilities were taken into account in the books of TANGEDCO and TANTRANSCO and as such there is no violation of the Electricity Act,</w:t>
      </w:r>
      <w:r>
        <w:rPr>
          <w:spacing w:val="-5"/>
          <w:sz w:val="24"/>
        </w:rPr>
        <w:t xml:space="preserve"> </w:t>
      </w:r>
      <w:r>
        <w:rPr>
          <w:sz w:val="24"/>
        </w:rPr>
        <w:t>2003.</w:t>
      </w:r>
    </w:p>
    <w:p w:rsidR="007C5447" w:rsidRDefault="007C5447">
      <w:pPr>
        <w:pStyle w:val="BodyText"/>
        <w:spacing w:before="8"/>
        <w:rPr>
          <w:sz w:val="20"/>
        </w:rPr>
      </w:pPr>
    </w:p>
    <w:p w:rsidR="007C5447" w:rsidRDefault="00F6308C">
      <w:pPr>
        <w:pStyle w:val="ListParagraph"/>
        <w:numPr>
          <w:ilvl w:val="2"/>
          <w:numId w:val="114"/>
        </w:numPr>
        <w:tabs>
          <w:tab w:val="left" w:pos="1073"/>
        </w:tabs>
        <w:spacing w:before="1" w:line="312" w:lineRule="auto"/>
        <w:ind w:right="219" w:hanging="852"/>
        <w:jc w:val="both"/>
        <w:rPr>
          <w:sz w:val="24"/>
        </w:rPr>
      </w:pPr>
      <w:r>
        <w:rPr>
          <w:sz w:val="24"/>
        </w:rPr>
        <w:t>TANGEDCO submitted that as regards unbundling of Generati</w:t>
      </w:r>
      <w:r>
        <w:rPr>
          <w:sz w:val="24"/>
        </w:rPr>
        <w:t>on and Distribution functions, not all the States which have separate Generation entity and separate Distribution Companies have shown substantial improvement in terms of increase in book profit or reduction in book losses. Similarly, the accumulated losse</w:t>
      </w:r>
      <w:r>
        <w:rPr>
          <w:sz w:val="24"/>
        </w:rPr>
        <w:t>s/profit of all the States which already have a separate Generation entity and separate Distribution Companies has not shown substantial improvement. On the technical side, the AT&amp;C losses of the States that have more than one Distribution Company has also</w:t>
      </w:r>
      <w:r>
        <w:rPr>
          <w:sz w:val="24"/>
        </w:rPr>
        <w:t xml:space="preserve"> not come down substantially even after having comparatively smaller consumer base and smaller geographical area to</w:t>
      </w:r>
      <w:r>
        <w:rPr>
          <w:spacing w:val="-1"/>
          <w:sz w:val="24"/>
        </w:rPr>
        <w:t xml:space="preserve"> </w:t>
      </w:r>
      <w:r>
        <w:rPr>
          <w:sz w:val="24"/>
        </w:rPr>
        <w:t>manage.</w:t>
      </w:r>
    </w:p>
    <w:p w:rsidR="007C5447" w:rsidRDefault="007C5447">
      <w:pPr>
        <w:pStyle w:val="BodyText"/>
        <w:rPr>
          <w:sz w:val="21"/>
        </w:rPr>
      </w:pPr>
    </w:p>
    <w:p w:rsidR="007C5447" w:rsidRDefault="00F6308C">
      <w:pPr>
        <w:pStyle w:val="ListParagraph"/>
        <w:numPr>
          <w:ilvl w:val="2"/>
          <w:numId w:val="114"/>
        </w:numPr>
        <w:tabs>
          <w:tab w:val="left" w:pos="1073"/>
        </w:tabs>
        <w:spacing w:before="1" w:line="312" w:lineRule="auto"/>
        <w:ind w:right="216" w:hanging="852"/>
        <w:jc w:val="both"/>
        <w:rPr>
          <w:sz w:val="24"/>
        </w:rPr>
      </w:pPr>
      <w:r>
        <w:rPr>
          <w:sz w:val="24"/>
        </w:rPr>
        <w:t xml:space="preserve">Thus, even after having a separate entity for Generation and having multiple Distribution Companies with smaller consumer base and </w:t>
      </w:r>
      <w:r>
        <w:rPr>
          <w:sz w:val="24"/>
        </w:rPr>
        <w:t>smaller geographical area to manage, some States have shown increase in accumulated losses and increase in AT&amp;C losses. The major reason for such a performance is due to the consumer mix in that particular entity and also due to the Tariff policy of the</w:t>
      </w:r>
      <w:r>
        <w:rPr>
          <w:spacing w:val="-16"/>
          <w:sz w:val="24"/>
        </w:rPr>
        <w:t xml:space="preserve"> </w:t>
      </w:r>
      <w:r>
        <w:rPr>
          <w:sz w:val="24"/>
        </w:rPr>
        <w:t>St</w:t>
      </w:r>
      <w:r>
        <w:rPr>
          <w:sz w:val="24"/>
        </w:rPr>
        <w:t>ate.</w:t>
      </w:r>
    </w:p>
    <w:p w:rsidR="007C5447" w:rsidRDefault="007C5447">
      <w:pPr>
        <w:pStyle w:val="BodyText"/>
        <w:spacing w:before="8"/>
        <w:rPr>
          <w:sz w:val="20"/>
        </w:rPr>
      </w:pPr>
    </w:p>
    <w:p w:rsidR="007C5447" w:rsidRDefault="00F6308C">
      <w:pPr>
        <w:pStyle w:val="ListParagraph"/>
        <w:numPr>
          <w:ilvl w:val="2"/>
          <w:numId w:val="114"/>
        </w:numPr>
        <w:tabs>
          <w:tab w:val="left" w:pos="1073"/>
        </w:tabs>
        <w:spacing w:before="1" w:line="312" w:lineRule="auto"/>
        <w:ind w:right="220" w:hanging="852"/>
        <w:jc w:val="both"/>
        <w:rPr>
          <w:sz w:val="24"/>
        </w:rPr>
      </w:pPr>
      <w:r>
        <w:rPr>
          <w:sz w:val="24"/>
        </w:rPr>
        <w:t>Further, if the Distribution Company is split into more than one entity, the independent entities will face cash crunch during the transition period, and also there might be no takers for DISCOMs having a major rural base. Further, the administration</w:t>
      </w:r>
      <w:r>
        <w:rPr>
          <w:sz w:val="24"/>
        </w:rPr>
        <w:t xml:space="preserve"> and management of the single entity combining both the functions of generation and distribution will be easy and convenient for Generation planning and capacity addition by the way of new projects that are being executed considering the demand of the Dist</w:t>
      </w:r>
      <w:r>
        <w:rPr>
          <w:sz w:val="24"/>
        </w:rPr>
        <w:t>ribution sector. The same management can concentrate and draw plans to meet the existing demand and growth in</w:t>
      </w:r>
      <w:r>
        <w:rPr>
          <w:spacing w:val="-1"/>
          <w:sz w:val="24"/>
        </w:rPr>
        <w:t xml:space="preserve"> </w:t>
      </w:r>
      <w:r>
        <w:rPr>
          <w:sz w:val="24"/>
        </w:rPr>
        <w:t>demand.</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19" w:hanging="852"/>
        <w:jc w:val="both"/>
        <w:rPr>
          <w:sz w:val="24"/>
        </w:rPr>
      </w:pPr>
      <w:r>
        <w:rPr>
          <w:sz w:val="24"/>
        </w:rPr>
        <w:t>The losses of the Distribution Company will be very huge if Generation is hived off, since the selling price of the Generation Company wi</w:t>
      </w:r>
      <w:r>
        <w:rPr>
          <w:sz w:val="24"/>
        </w:rPr>
        <w:t>ll be cost plus profit margins, wherein the profit margin will be an additional burden on the Distribution Company. Economies of scale in O&amp;M management will be available and lower</w:t>
      </w:r>
      <w:r>
        <w:rPr>
          <w:spacing w:val="36"/>
          <w:sz w:val="24"/>
        </w:rPr>
        <w:t xml:space="preserve"> </w:t>
      </w:r>
      <w:r>
        <w:rPr>
          <w:sz w:val="24"/>
        </w:rPr>
        <w:t>administrative</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spacing w:before="70" w:line="312" w:lineRule="auto"/>
        <w:ind w:left="1072" w:right="220"/>
        <w:jc w:val="both"/>
      </w:pPr>
      <w:r>
        <w:lastRenderedPageBreak/>
        <w:t>costs will be incurred unlike multiple DISCOMs, where different additional infrastructure is required to be set up for each DISCOM. Further, scheduling and dispatch of power being handled by a single company will make the planning easier and appropriate, c</w:t>
      </w:r>
      <w:r>
        <w:t>onsidering the consumer mix.</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Unlike other States in India, rural electrification in the State of Tamil Nadu is 100% and the per capita consumption in the State of is 1280 Units (FY 2015-16) per annum as against average per capita consumption of 1075 Units</w:t>
      </w:r>
      <w:r>
        <w:rPr>
          <w:sz w:val="24"/>
        </w:rPr>
        <w:t xml:space="preserve"> (Provisional) (FY 2015-16) in India. Further, TANGEDCO has a very good record of billing and collection efficiency and low Transmission and Distribution losses. Hence, the performance of the DISCOM is satisfactory and the stress on the newly formed DISCOM</w:t>
      </w:r>
      <w:r>
        <w:rPr>
          <w:sz w:val="24"/>
        </w:rPr>
        <w:t xml:space="preserve"> to perform will be less as the activities of Generation and Distribution are being bundled together to be handled by a single</w:t>
      </w:r>
      <w:r>
        <w:rPr>
          <w:spacing w:val="-10"/>
          <w:sz w:val="24"/>
        </w:rPr>
        <w:t xml:space="preserve"> </w:t>
      </w:r>
      <w:r>
        <w:rPr>
          <w:sz w:val="24"/>
        </w:rPr>
        <w:t>entity.</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before="1" w:line="312" w:lineRule="auto"/>
        <w:ind w:right="221" w:hanging="852"/>
        <w:jc w:val="both"/>
        <w:rPr>
          <w:sz w:val="24"/>
        </w:rPr>
      </w:pPr>
      <w:r>
        <w:rPr>
          <w:sz w:val="24"/>
        </w:rPr>
        <w:t>Hence, TANGEDCO proposed to continue with a single entity for handling the functions of Generation and</w:t>
      </w:r>
      <w:r>
        <w:rPr>
          <w:spacing w:val="-1"/>
          <w:sz w:val="24"/>
        </w:rPr>
        <w:t xml:space="preserve"> </w:t>
      </w:r>
      <w:r>
        <w:rPr>
          <w:sz w:val="24"/>
        </w:rPr>
        <w:t>Distribution.</w:t>
      </w:r>
    </w:p>
    <w:p w:rsidR="007C5447" w:rsidRDefault="007C5447">
      <w:pPr>
        <w:pStyle w:val="BodyText"/>
        <w:spacing w:before="10"/>
        <w:rPr>
          <w:sz w:val="20"/>
        </w:rPr>
      </w:pPr>
    </w:p>
    <w:p w:rsidR="007C5447" w:rsidRDefault="00F6308C">
      <w:pPr>
        <w:pStyle w:val="Heading2"/>
        <w:jc w:val="both"/>
      </w:pPr>
      <w:r>
        <w:t>Co</w:t>
      </w:r>
      <w:r>
        <w:t>mmission’s Views</w:t>
      </w:r>
    </w:p>
    <w:p w:rsidR="007C5447" w:rsidRDefault="00F6308C">
      <w:pPr>
        <w:pStyle w:val="ListParagraph"/>
        <w:numPr>
          <w:ilvl w:val="2"/>
          <w:numId w:val="114"/>
        </w:numPr>
        <w:tabs>
          <w:tab w:val="left" w:pos="1073"/>
        </w:tabs>
        <w:spacing w:before="202" w:line="312" w:lineRule="auto"/>
        <w:ind w:right="218" w:hanging="852"/>
        <w:jc w:val="both"/>
        <w:rPr>
          <w:sz w:val="24"/>
        </w:rPr>
      </w:pPr>
      <w:r>
        <w:rPr>
          <w:sz w:val="24"/>
        </w:rPr>
        <w:t>While the Commission had accepted the provisional Transfer Schemes notified by the</w:t>
      </w:r>
      <w:r>
        <w:rPr>
          <w:spacing w:val="24"/>
          <w:sz w:val="24"/>
        </w:rPr>
        <w:t xml:space="preserve"> </w:t>
      </w:r>
      <w:r>
        <w:rPr>
          <w:sz w:val="24"/>
        </w:rPr>
        <w:t>GoTN</w:t>
      </w:r>
      <w:r>
        <w:rPr>
          <w:spacing w:val="24"/>
          <w:sz w:val="24"/>
        </w:rPr>
        <w:t xml:space="preserve"> </w:t>
      </w:r>
      <w:r>
        <w:rPr>
          <w:sz w:val="24"/>
        </w:rPr>
        <w:t>earlier,</w:t>
      </w:r>
      <w:r>
        <w:rPr>
          <w:spacing w:val="24"/>
          <w:sz w:val="24"/>
        </w:rPr>
        <w:t xml:space="preserve"> </w:t>
      </w:r>
      <w:r>
        <w:rPr>
          <w:sz w:val="24"/>
        </w:rPr>
        <w:t>in</w:t>
      </w:r>
      <w:r>
        <w:rPr>
          <w:spacing w:val="26"/>
          <w:sz w:val="24"/>
        </w:rPr>
        <w:t xml:space="preserve"> </w:t>
      </w:r>
      <w:r>
        <w:rPr>
          <w:sz w:val="24"/>
        </w:rPr>
        <w:t>2015,</w:t>
      </w:r>
      <w:r>
        <w:rPr>
          <w:spacing w:val="26"/>
          <w:sz w:val="24"/>
        </w:rPr>
        <w:t xml:space="preserve"> </w:t>
      </w:r>
      <w:r>
        <w:rPr>
          <w:sz w:val="24"/>
        </w:rPr>
        <w:t>the</w:t>
      </w:r>
      <w:r>
        <w:rPr>
          <w:spacing w:val="24"/>
          <w:sz w:val="24"/>
        </w:rPr>
        <w:t xml:space="preserve"> </w:t>
      </w:r>
      <w:r>
        <w:rPr>
          <w:sz w:val="24"/>
        </w:rPr>
        <w:t>GoTN</w:t>
      </w:r>
      <w:r>
        <w:rPr>
          <w:spacing w:val="24"/>
          <w:sz w:val="24"/>
        </w:rPr>
        <w:t xml:space="preserve"> </w:t>
      </w:r>
      <w:r>
        <w:rPr>
          <w:sz w:val="24"/>
        </w:rPr>
        <w:t>has</w:t>
      </w:r>
      <w:r>
        <w:rPr>
          <w:spacing w:val="27"/>
          <w:sz w:val="24"/>
        </w:rPr>
        <w:t xml:space="preserve"> </w:t>
      </w:r>
      <w:r>
        <w:rPr>
          <w:sz w:val="24"/>
        </w:rPr>
        <w:t>notified</w:t>
      </w:r>
      <w:r>
        <w:rPr>
          <w:spacing w:val="26"/>
          <w:sz w:val="24"/>
        </w:rPr>
        <w:t xml:space="preserve"> </w:t>
      </w:r>
      <w:r>
        <w:rPr>
          <w:sz w:val="24"/>
        </w:rPr>
        <w:t>the</w:t>
      </w:r>
      <w:r>
        <w:rPr>
          <w:spacing w:val="25"/>
          <w:sz w:val="24"/>
        </w:rPr>
        <w:t xml:space="preserve"> </w:t>
      </w:r>
      <w:r>
        <w:rPr>
          <w:sz w:val="24"/>
        </w:rPr>
        <w:t>Final</w:t>
      </w:r>
      <w:r>
        <w:rPr>
          <w:spacing w:val="25"/>
          <w:sz w:val="24"/>
        </w:rPr>
        <w:t xml:space="preserve"> </w:t>
      </w:r>
      <w:r>
        <w:rPr>
          <w:sz w:val="24"/>
        </w:rPr>
        <w:t>Transfer</w:t>
      </w:r>
      <w:r>
        <w:rPr>
          <w:spacing w:val="31"/>
          <w:sz w:val="24"/>
        </w:rPr>
        <w:t xml:space="preserve"> </w:t>
      </w:r>
      <w:r>
        <w:rPr>
          <w:sz w:val="24"/>
        </w:rPr>
        <w:t>Scheme</w:t>
      </w:r>
      <w:r>
        <w:rPr>
          <w:spacing w:val="24"/>
          <w:sz w:val="24"/>
        </w:rPr>
        <w:t xml:space="preserve"> </w:t>
      </w:r>
      <w:r>
        <w:rPr>
          <w:sz w:val="24"/>
        </w:rPr>
        <w:t>vide</w:t>
      </w:r>
    </w:p>
    <w:p w:rsidR="007C5447" w:rsidRDefault="00F6308C">
      <w:pPr>
        <w:pStyle w:val="BodyText"/>
        <w:spacing w:line="312" w:lineRule="auto"/>
        <w:ind w:left="1072" w:right="218"/>
        <w:jc w:val="both"/>
      </w:pPr>
      <w:r>
        <w:t>G.O Ms. No. 49 dated August 13, 2015, and the successor entities, viz. TANTRANSCO and TANGEDCO have incorporated the impact of the same in their Accounts of FY 2015-16. It is clarified that the Final Transfer Scheme considers revaluation of assets. However</w:t>
      </w:r>
      <w:r>
        <w:t>, the Commission has not allowed depreciation or Return on Equity on the revalued assets as per the Final Transfer Scheme. Also, the interest is being allowed by the Commission based on separate calculations as elaborated in earlier Tariff Orders, which ha</w:t>
      </w:r>
      <w:r>
        <w:t>ve been upheld by the Hon’ble APTEL. Hence, no real financial impact of the Final Transfer Scheme is being passed on to the consumers.</w:t>
      </w:r>
    </w:p>
    <w:p w:rsidR="007C5447" w:rsidRDefault="007C5447">
      <w:pPr>
        <w:pStyle w:val="BodyText"/>
        <w:rPr>
          <w:sz w:val="21"/>
        </w:rPr>
      </w:pPr>
    </w:p>
    <w:p w:rsidR="007C5447" w:rsidRDefault="00F6308C">
      <w:pPr>
        <w:pStyle w:val="Heading2"/>
        <w:numPr>
          <w:ilvl w:val="1"/>
          <w:numId w:val="114"/>
        </w:numPr>
        <w:tabs>
          <w:tab w:val="left" w:pos="787"/>
        </w:tabs>
        <w:ind w:left="786"/>
      </w:pPr>
      <w:bookmarkStart w:id="33" w:name="_bookmark33"/>
      <w:bookmarkEnd w:id="33"/>
      <w:r>
        <w:t>Net-Metering for Rooftop Solar</w:t>
      </w:r>
      <w:r>
        <w:rPr>
          <w:spacing w:val="-2"/>
        </w:rPr>
        <w:t xml:space="preserve"> </w:t>
      </w:r>
      <w:r>
        <w:t>Installations</w:t>
      </w:r>
    </w:p>
    <w:p w:rsidR="007C5447" w:rsidRDefault="007C5447">
      <w:pPr>
        <w:pStyle w:val="BodyText"/>
        <w:rPr>
          <w:b/>
          <w:sz w:val="28"/>
        </w:rPr>
      </w:pPr>
    </w:p>
    <w:p w:rsidR="007C5447" w:rsidRDefault="00F6308C">
      <w:pPr>
        <w:pStyle w:val="ListParagraph"/>
        <w:numPr>
          <w:ilvl w:val="2"/>
          <w:numId w:val="114"/>
        </w:numPr>
        <w:tabs>
          <w:tab w:val="left" w:pos="1073"/>
        </w:tabs>
        <w:spacing w:line="312" w:lineRule="auto"/>
        <w:ind w:right="214" w:hanging="852"/>
        <w:jc w:val="both"/>
        <w:rPr>
          <w:sz w:val="24"/>
        </w:rPr>
      </w:pPr>
      <w:r>
        <w:rPr>
          <w:sz w:val="24"/>
        </w:rPr>
        <w:t>During the Public Hearing, there were several objections on TANGEDCO’s separate proposal to move to gross-metering rather than net-metering, with the injection of solar power into the grid by the consumers being compensated at lower</w:t>
      </w:r>
      <w:r>
        <w:rPr>
          <w:spacing w:val="-11"/>
          <w:sz w:val="24"/>
        </w:rPr>
        <w:t xml:space="preserve"> </w:t>
      </w:r>
      <w:r>
        <w:rPr>
          <w:sz w:val="24"/>
        </w:rPr>
        <w:t>rates.</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Heading2"/>
        <w:spacing w:before="70"/>
      </w:pPr>
      <w:r>
        <w:lastRenderedPageBreak/>
        <w:t>Commission’s Views</w:t>
      </w:r>
    </w:p>
    <w:p w:rsidR="007C5447" w:rsidRDefault="00F6308C">
      <w:pPr>
        <w:pStyle w:val="ListParagraph"/>
        <w:numPr>
          <w:ilvl w:val="2"/>
          <w:numId w:val="114"/>
        </w:numPr>
        <w:tabs>
          <w:tab w:val="left" w:pos="1073"/>
        </w:tabs>
        <w:spacing w:before="201" w:line="312" w:lineRule="auto"/>
        <w:ind w:right="215" w:hanging="852"/>
        <w:jc w:val="both"/>
        <w:rPr>
          <w:sz w:val="24"/>
        </w:rPr>
      </w:pPr>
      <w:r>
        <w:rPr>
          <w:sz w:val="24"/>
        </w:rPr>
        <w:t>This issue is outside the scope of the present ARR and Tariff Petition, and shall be addressed appropriately, while dealing with the separate Petition filed by TANGEDCO in this</w:t>
      </w:r>
      <w:r>
        <w:rPr>
          <w:spacing w:val="-1"/>
          <w:sz w:val="24"/>
        </w:rPr>
        <w:t xml:space="preserve"> </w:t>
      </w:r>
      <w:r>
        <w:rPr>
          <w:sz w:val="24"/>
        </w:rPr>
        <w:t>regard.</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Heading1"/>
        <w:numPr>
          <w:ilvl w:val="0"/>
          <w:numId w:val="114"/>
        </w:numPr>
        <w:tabs>
          <w:tab w:val="left" w:pos="652"/>
          <w:tab w:val="left" w:pos="653"/>
        </w:tabs>
        <w:spacing w:before="70"/>
        <w:ind w:hanging="433"/>
        <w:jc w:val="left"/>
      </w:pPr>
      <w:bookmarkStart w:id="34" w:name="_bookmark34"/>
      <w:bookmarkEnd w:id="34"/>
      <w:r>
        <w:lastRenderedPageBreak/>
        <w:t xml:space="preserve">FINAL TRUE UP FOR FY 2011-12 TO </w:t>
      </w:r>
      <w:r>
        <w:t>FY</w:t>
      </w:r>
      <w:r>
        <w:rPr>
          <w:spacing w:val="1"/>
        </w:rPr>
        <w:t xml:space="preserve"> </w:t>
      </w:r>
      <w:r>
        <w:t>2015-16</w:t>
      </w:r>
    </w:p>
    <w:p w:rsidR="007C5447" w:rsidRDefault="00F6308C">
      <w:pPr>
        <w:pStyle w:val="BodyText"/>
        <w:spacing w:before="2"/>
        <w:rPr>
          <w:b/>
          <w:sz w:val="16"/>
        </w:rPr>
      </w:pPr>
      <w:r>
        <w:pict>
          <v:line id="_x0000_s1062" style="position:absolute;z-index:-251653120;mso-wrap-distance-left:0;mso-wrap-distance-right:0;mso-position-horizontal-relative:page" from="70.6pt,11.5pt" to="524.95pt,11.5pt" strokeweight=".48pt">
            <w10:wrap type="topAndBottom" anchorx="page"/>
          </v:line>
        </w:pict>
      </w:r>
    </w:p>
    <w:p w:rsidR="007C5447" w:rsidRDefault="007C5447">
      <w:pPr>
        <w:pStyle w:val="BodyText"/>
        <w:spacing w:before="7"/>
        <w:rPr>
          <w:b/>
          <w:sz w:val="10"/>
        </w:rPr>
      </w:pPr>
    </w:p>
    <w:p w:rsidR="007C5447" w:rsidRDefault="00F6308C">
      <w:pPr>
        <w:pStyle w:val="Heading2"/>
        <w:numPr>
          <w:ilvl w:val="1"/>
          <w:numId w:val="114"/>
        </w:numPr>
        <w:tabs>
          <w:tab w:val="left" w:pos="786"/>
          <w:tab w:val="left" w:pos="787"/>
        </w:tabs>
        <w:spacing w:before="90"/>
        <w:ind w:left="786"/>
      </w:pPr>
      <w:bookmarkStart w:id="35" w:name="_bookmark35"/>
      <w:bookmarkEnd w:id="35"/>
      <w:r>
        <w:t>Background</w:t>
      </w:r>
    </w:p>
    <w:p w:rsidR="007C5447" w:rsidRDefault="007C5447">
      <w:pPr>
        <w:pStyle w:val="BodyText"/>
        <w:spacing w:before="2"/>
        <w:rPr>
          <w:b/>
          <w:sz w:val="28"/>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In the Suo-Motu Order dated December 11, 2014, the Commission had undertaken provisional true up of FY 2011-12 and FY 2012-13 and APR for FY 2013-14. As TANGEDCO had not submitted the Tariff Petition, the Commission had limited av</w:t>
      </w:r>
      <w:r>
        <w:rPr>
          <w:sz w:val="24"/>
        </w:rPr>
        <w:t>ailability of information, and hence, had done the provisional</w:t>
      </w:r>
      <w:r>
        <w:rPr>
          <w:spacing w:val="-8"/>
          <w:sz w:val="24"/>
        </w:rPr>
        <w:t xml:space="preserve"> </w:t>
      </w:r>
      <w:r>
        <w:rPr>
          <w:sz w:val="24"/>
        </w:rPr>
        <w:t>true-up.</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sz w:val="24"/>
        </w:rPr>
        <w:t xml:space="preserve">TANGEDCO, in its Petition, has sought final truing up of expenditure and revenue for FY 2011-12 to FY 2015-16 based on the actual expenditure and revenue as per the Audited Accounts. </w:t>
      </w:r>
      <w:r>
        <w:rPr>
          <w:spacing w:val="-3"/>
          <w:sz w:val="24"/>
        </w:rPr>
        <w:t xml:space="preserve">In </w:t>
      </w:r>
      <w:r>
        <w:rPr>
          <w:sz w:val="24"/>
        </w:rPr>
        <w:t xml:space="preserve">this Section, the Commission has analysed all the elements of revenue </w:t>
      </w:r>
      <w:r>
        <w:rPr>
          <w:sz w:val="24"/>
        </w:rPr>
        <w:t>and expenses for FY 2011-12 to FY 2015-16, and has undertaken the truing up of expenses and revenue after due prudence</w:t>
      </w:r>
      <w:r>
        <w:rPr>
          <w:spacing w:val="-5"/>
          <w:sz w:val="24"/>
        </w:rPr>
        <w:t xml:space="preserve"> </w:t>
      </w:r>
      <w:r>
        <w:rPr>
          <w:sz w:val="24"/>
        </w:rPr>
        <w:t>check.</w:t>
      </w:r>
    </w:p>
    <w:p w:rsidR="007C5447" w:rsidRDefault="007C5447">
      <w:pPr>
        <w:pStyle w:val="BodyText"/>
        <w:spacing w:before="9"/>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A comparison of the figures approved by the Commission in Suo Motu Order dated December 11, 2014, as submitted by TANGEDCO in its instant Petition, and approved by the Commission in this Order are shown in the Tables under relevant sections discussed</w:t>
      </w:r>
      <w:r>
        <w:rPr>
          <w:spacing w:val="-1"/>
          <w:sz w:val="24"/>
        </w:rPr>
        <w:t xml:space="preserve"> </w:t>
      </w:r>
      <w:r>
        <w:rPr>
          <w:sz w:val="24"/>
        </w:rPr>
        <w:t>herei</w:t>
      </w:r>
      <w:r>
        <w:rPr>
          <w:sz w:val="24"/>
        </w:rPr>
        <w:t>n.</w:t>
      </w:r>
    </w:p>
    <w:p w:rsidR="007C5447" w:rsidRDefault="007C5447">
      <w:pPr>
        <w:pStyle w:val="BodyText"/>
        <w:spacing w:before="10"/>
        <w:rPr>
          <w:sz w:val="20"/>
        </w:rPr>
      </w:pPr>
    </w:p>
    <w:p w:rsidR="007C5447" w:rsidRDefault="00F6308C">
      <w:pPr>
        <w:pStyle w:val="Heading2"/>
        <w:numPr>
          <w:ilvl w:val="1"/>
          <w:numId w:val="114"/>
        </w:numPr>
        <w:tabs>
          <w:tab w:val="left" w:pos="786"/>
          <w:tab w:val="left" w:pos="787"/>
        </w:tabs>
        <w:ind w:left="786"/>
      </w:pPr>
      <w:bookmarkStart w:id="36" w:name="_bookmark36"/>
      <w:bookmarkEnd w:id="36"/>
      <w:r>
        <w:t>Energy</w:t>
      </w:r>
      <w:r>
        <w:rPr>
          <w:spacing w:val="-2"/>
        </w:rPr>
        <w:t xml:space="preserve"> </w:t>
      </w:r>
      <w:r>
        <w:t>Sales</w:t>
      </w:r>
    </w:p>
    <w:p w:rsidR="007C5447" w:rsidRDefault="007C5447">
      <w:pPr>
        <w:pStyle w:val="BodyText"/>
        <w:rPr>
          <w:b/>
          <w:sz w:val="28"/>
        </w:rPr>
      </w:pPr>
    </w:p>
    <w:p w:rsidR="007C5447" w:rsidRDefault="00F6308C">
      <w:pPr>
        <w:pStyle w:val="ListParagraph"/>
        <w:numPr>
          <w:ilvl w:val="2"/>
          <w:numId w:val="114"/>
        </w:numPr>
        <w:tabs>
          <w:tab w:val="left" w:pos="1073"/>
        </w:tabs>
        <w:spacing w:line="312" w:lineRule="auto"/>
        <w:ind w:right="216" w:hanging="852"/>
        <w:jc w:val="both"/>
        <w:rPr>
          <w:sz w:val="24"/>
        </w:rPr>
      </w:pPr>
      <w:r>
        <w:rPr>
          <w:sz w:val="24"/>
        </w:rPr>
        <w:t>TANGEDCO submitted the category-wise sales for FY 2011-12 to FY 2015-16 as per Audited Accounts of the respective years. However, as category-wise sales shown in the Audited Accounts comprise wheeling units also, TANGEDCO has excluded the</w:t>
      </w:r>
      <w:r>
        <w:rPr>
          <w:sz w:val="24"/>
        </w:rPr>
        <w:t xml:space="preserve"> wheeling units while submitting the actual sales for each</w:t>
      </w:r>
      <w:r>
        <w:rPr>
          <w:spacing w:val="-8"/>
          <w:sz w:val="24"/>
        </w:rPr>
        <w:t xml:space="preserve"> </w:t>
      </w:r>
      <w:r>
        <w:rPr>
          <w:sz w:val="24"/>
        </w:rPr>
        <w:t>year.</w:t>
      </w:r>
    </w:p>
    <w:p w:rsidR="007C5447" w:rsidRDefault="007C5447">
      <w:pPr>
        <w:pStyle w:val="BodyText"/>
        <w:spacing w:before="10"/>
        <w:rPr>
          <w:sz w:val="20"/>
        </w:rPr>
      </w:pPr>
    </w:p>
    <w:p w:rsidR="007C5447" w:rsidRDefault="00F6308C">
      <w:pPr>
        <w:pStyle w:val="Heading2"/>
      </w:pPr>
      <w:r>
        <w:t>Commission’s Views</w:t>
      </w:r>
    </w:p>
    <w:p w:rsidR="007C5447" w:rsidRDefault="00F6308C">
      <w:pPr>
        <w:pStyle w:val="ListParagraph"/>
        <w:numPr>
          <w:ilvl w:val="2"/>
          <w:numId w:val="114"/>
        </w:numPr>
        <w:tabs>
          <w:tab w:val="left" w:pos="1073"/>
        </w:tabs>
        <w:spacing w:before="205" w:line="312" w:lineRule="auto"/>
        <w:ind w:right="218" w:hanging="852"/>
        <w:jc w:val="both"/>
        <w:rPr>
          <w:sz w:val="24"/>
        </w:rPr>
      </w:pPr>
      <w:r>
        <w:rPr>
          <w:sz w:val="24"/>
        </w:rPr>
        <w:t>The Commission has approved the actual sales for FY 2011-12 to FY 2015-16 excluding wheeling units, for all categories except Huts, Agriculture, and Puducherry, as submitt</w:t>
      </w:r>
      <w:r>
        <w:rPr>
          <w:sz w:val="24"/>
        </w:rPr>
        <w:t>ed by</w:t>
      </w:r>
      <w:r>
        <w:rPr>
          <w:spacing w:val="-5"/>
          <w:sz w:val="24"/>
        </w:rPr>
        <w:t xml:space="preserve"> </w:t>
      </w:r>
      <w:r>
        <w:rPr>
          <w:sz w:val="24"/>
        </w:rPr>
        <w:t>TANGEDCO.</w:t>
      </w:r>
    </w:p>
    <w:p w:rsidR="007C5447" w:rsidRDefault="007C5447">
      <w:pPr>
        <w:pStyle w:val="BodyText"/>
        <w:spacing w:before="8"/>
        <w:rPr>
          <w:sz w:val="20"/>
        </w:rPr>
      </w:pPr>
    </w:p>
    <w:p w:rsidR="007C5447" w:rsidRDefault="00F6308C">
      <w:pPr>
        <w:pStyle w:val="ListParagraph"/>
        <w:numPr>
          <w:ilvl w:val="2"/>
          <w:numId w:val="114"/>
        </w:numPr>
        <w:tabs>
          <w:tab w:val="left" w:pos="1073"/>
        </w:tabs>
        <w:spacing w:before="1" w:line="312" w:lineRule="auto"/>
        <w:ind w:right="215" w:hanging="852"/>
        <w:jc w:val="both"/>
        <w:rPr>
          <w:sz w:val="24"/>
        </w:rPr>
      </w:pPr>
      <w:r>
        <w:rPr>
          <w:sz w:val="24"/>
        </w:rPr>
        <w:t>For approving sales to Huts and Agriculture category, the Commission has followed the same approach as adopted in Tariff Order for FY 2013-14 and Suo-Motu Order for FY</w:t>
      </w:r>
      <w:r>
        <w:rPr>
          <w:spacing w:val="-3"/>
          <w:sz w:val="24"/>
        </w:rPr>
        <w:t xml:space="preserve"> </w:t>
      </w:r>
      <w:r>
        <w:rPr>
          <w:sz w:val="24"/>
        </w:rPr>
        <w:t>2014-15.</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b/>
          <w:sz w:val="24"/>
        </w:rPr>
        <w:t xml:space="preserve">Hut Category (LT IB)- </w:t>
      </w:r>
      <w:r>
        <w:rPr>
          <w:sz w:val="24"/>
        </w:rPr>
        <w:t>In Suo-Motu Order dated December 11, 2014, the Commission had stated the</w:t>
      </w:r>
      <w:r>
        <w:rPr>
          <w:spacing w:val="-2"/>
          <w:sz w:val="24"/>
        </w:rPr>
        <w:t xml:space="preserve"> </w:t>
      </w:r>
      <w:r>
        <w:rPr>
          <w:sz w:val="24"/>
        </w:rPr>
        <w:t>following:</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spacing w:before="70"/>
        <w:ind w:left="1660" w:right="937"/>
        <w:jc w:val="both"/>
        <w:rPr>
          <w:i/>
          <w:sz w:val="24"/>
        </w:rPr>
      </w:pPr>
      <w:r>
        <w:rPr>
          <w:b/>
          <w:i/>
          <w:sz w:val="24"/>
        </w:rPr>
        <w:lastRenderedPageBreak/>
        <w:t xml:space="preserve">“Hut category (LT I-B): </w:t>
      </w:r>
      <w:r>
        <w:rPr>
          <w:i/>
          <w:sz w:val="24"/>
        </w:rPr>
        <w:t xml:space="preserve">In its reply to the data gaps identified by the Commission, TANGEDCO submitted the revised details towards Hut consumption for FY </w:t>
      </w:r>
      <w:r>
        <w:rPr>
          <w:i/>
          <w:sz w:val="24"/>
        </w:rPr>
        <w:t>2012-13. The Commission observed that TANGEDCO has furnished its calculation of 426 MU, towards hut consumption on the basis of certain assumptions which are not in conformity with the Government Order (G.O.).Ms. No.2 dated 03-06- 2011 issued by GoTN.</w:t>
      </w:r>
    </w:p>
    <w:p w:rsidR="007C5447" w:rsidRDefault="007C5447">
      <w:pPr>
        <w:pStyle w:val="BodyText"/>
        <w:spacing w:before="10"/>
        <w:rPr>
          <w:i/>
          <w:sz w:val="20"/>
        </w:rPr>
      </w:pPr>
    </w:p>
    <w:p w:rsidR="007C5447" w:rsidRDefault="00F6308C">
      <w:pPr>
        <w:ind w:left="1660" w:right="933"/>
        <w:jc w:val="both"/>
        <w:rPr>
          <w:i/>
          <w:sz w:val="24"/>
        </w:rPr>
      </w:pPr>
      <w:r>
        <w:rPr>
          <w:i/>
          <w:sz w:val="24"/>
        </w:rPr>
        <w:t>The</w:t>
      </w:r>
      <w:r>
        <w:rPr>
          <w:i/>
          <w:sz w:val="24"/>
        </w:rPr>
        <w:t>refore the Commission recalculated consumption based on the details in the above mentioned G.O. The Commission has considered the wattage as specified by the GoTN and the hours of use as considered by TANGEDCO. Data furnished by TANGEDCO on the number of h</w:t>
      </w:r>
      <w:r>
        <w:rPr>
          <w:i/>
          <w:sz w:val="24"/>
        </w:rPr>
        <w:t>uts to which specific electrical appliances were distributed, has been considered by the Commission to arrive at consumption. The total quantum of huts was kept equal to that of FY 2011-12 in the wake of a decreasing trend in number of hut connections from</w:t>
      </w:r>
      <w:r>
        <w:rPr>
          <w:i/>
          <w:sz w:val="24"/>
        </w:rPr>
        <w:t xml:space="preserve"> FY 2010-11 onwards.”</w:t>
      </w:r>
    </w:p>
    <w:p w:rsidR="007C5447" w:rsidRDefault="00F6308C">
      <w:pPr>
        <w:pStyle w:val="ListParagraph"/>
        <w:numPr>
          <w:ilvl w:val="2"/>
          <w:numId w:val="114"/>
        </w:numPr>
        <w:tabs>
          <w:tab w:val="left" w:pos="1073"/>
        </w:tabs>
        <w:spacing w:before="121" w:line="312" w:lineRule="auto"/>
        <w:ind w:right="215" w:hanging="852"/>
        <w:jc w:val="both"/>
        <w:rPr>
          <w:sz w:val="24"/>
        </w:rPr>
      </w:pPr>
      <w:r>
        <w:rPr>
          <w:sz w:val="24"/>
        </w:rPr>
        <w:t xml:space="preserve">The Commission has retained the sales to Hut category for FY 2011-12 to FY 2013- 14 as approved in the Suo-Motu dated December 11, 2014. </w:t>
      </w:r>
      <w:r>
        <w:rPr>
          <w:spacing w:val="-3"/>
          <w:sz w:val="24"/>
        </w:rPr>
        <w:t xml:space="preserve">In </w:t>
      </w:r>
      <w:r>
        <w:rPr>
          <w:sz w:val="24"/>
        </w:rPr>
        <w:t>line with the above approach, sales to Huts category for FY 2014-15 and FY 2015-16 has been ca</w:t>
      </w:r>
      <w:r>
        <w:rPr>
          <w:sz w:val="24"/>
        </w:rPr>
        <w:t>lculated and approved.</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5" w:hanging="852"/>
        <w:jc w:val="both"/>
        <w:rPr>
          <w:sz w:val="24"/>
        </w:rPr>
      </w:pPr>
      <w:r>
        <w:rPr>
          <w:b/>
          <w:sz w:val="24"/>
        </w:rPr>
        <w:t xml:space="preserve">Agriculture Category (LT IV)- </w:t>
      </w:r>
      <w:r>
        <w:rPr>
          <w:spacing w:val="-3"/>
          <w:sz w:val="24"/>
        </w:rPr>
        <w:t xml:space="preserve">In </w:t>
      </w:r>
      <w:r>
        <w:rPr>
          <w:sz w:val="24"/>
        </w:rPr>
        <w:t>Suo-Motu Order dated December 11, 2014, the Commission had stated the</w:t>
      </w:r>
      <w:r>
        <w:rPr>
          <w:spacing w:val="-2"/>
          <w:sz w:val="24"/>
        </w:rPr>
        <w:t xml:space="preserve"> </w:t>
      </w:r>
      <w:r>
        <w:rPr>
          <w:sz w:val="24"/>
        </w:rPr>
        <w:t>following:</w:t>
      </w:r>
    </w:p>
    <w:p w:rsidR="007C5447" w:rsidRDefault="007C5447">
      <w:pPr>
        <w:pStyle w:val="BodyText"/>
        <w:spacing w:before="10"/>
        <w:rPr>
          <w:sz w:val="20"/>
        </w:rPr>
      </w:pPr>
    </w:p>
    <w:p w:rsidR="007C5447" w:rsidRDefault="00F6308C">
      <w:pPr>
        <w:ind w:left="1660" w:right="938"/>
        <w:jc w:val="both"/>
        <w:rPr>
          <w:i/>
          <w:sz w:val="24"/>
        </w:rPr>
      </w:pPr>
      <w:r>
        <w:rPr>
          <w:b/>
          <w:i/>
          <w:sz w:val="24"/>
        </w:rPr>
        <w:t xml:space="preserve">Agricultural category (LT IV): </w:t>
      </w:r>
      <w:r>
        <w:rPr>
          <w:i/>
          <w:sz w:val="24"/>
        </w:rPr>
        <w:t>In its reply to data gaps identified by the Commission, TANGEDCO submitted the revised</w:t>
      </w:r>
      <w:r>
        <w:rPr>
          <w:i/>
          <w:sz w:val="24"/>
        </w:rPr>
        <w:t xml:space="preserve"> details of Agricultural consumption for FY 2012-13. The Commission </w:t>
      </w:r>
      <w:r>
        <w:rPr>
          <w:i/>
          <w:spacing w:val="-3"/>
          <w:sz w:val="24"/>
        </w:rPr>
        <w:t xml:space="preserve">observed </w:t>
      </w:r>
      <w:r>
        <w:rPr>
          <w:i/>
          <w:sz w:val="24"/>
        </w:rPr>
        <w:t>that there was a significant downward revision in the number of agricultural service connections submitted in comparison to data in Form F-2 (Sales) of the petition. The revised a</w:t>
      </w:r>
      <w:r>
        <w:rPr>
          <w:i/>
          <w:sz w:val="24"/>
        </w:rPr>
        <w:t>gricultural load in HP at the end of the year had only increased marginally. However TANGEDCO increased its estimate of agricultural consumption by 1,382 MUs, i.e. from 9,707 MUs to 11,089</w:t>
      </w:r>
      <w:r>
        <w:rPr>
          <w:i/>
          <w:spacing w:val="-1"/>
          <w:sz w:val="24"/>
        </w:rPr>
        <w:t xml:space="preserve"> </w:t>
      </w:r>
      <w:r>
        <w:rPr>
          <w:i/>
          <w:sz w:val="24"/>
        </w:rPr>
        <w:t>MUs.</w:t>
      </w:r>
    </w:p>
    <w:p w:rsidR="007C5447" w:rsidRDefault="007C5447">
      <w:pPr>
        <w:pStyle w:val="BodyText"/>
        <w:spacing w:before="11"/>
        <w:rPr>
          <w:i/>
          <w:sz w:val="20"/>
        </w:rPr>
      </w:pPr>
    </w:p>
    <w:p w:rsidR="007C5447" w:rsidRDefault="00F6308C">
      <w:pPr>
        <w:ind w:left="1660" w:right="933"/>
        <w:jc w:val="both"/>
        <w:rPr>
          <w:i/>
          <w:sz w:val="24"/>
        </w:rPr>
      </w:pPr>
      <w:r>
        <w:rPr>
          <w:i/>
          <w:sz w:val="24"/>
        </w:rPr>
        <w:t>The Commission re-estimated the agricultural consumption base</w:t>
      </w:r>
      <w:r>
        <w:rPr>
          <w:i/>
          <w:sz w:val="24"/>
        </w:rPr>
        <w:t>d on the average capacity of pumpset in the middle of the year as calculated below. The data on actual additional connections given as well as corresponding increase in load as submitted by TANGEDCO in its reply to data gaps has been considered. It has bee</w:t>
      </w:r>
      <w:r>
        <w:rPr>
          <w:i/>
          <w:sz w:val="24"/>
        </w:rPr>
        <w:t>n assumed by the Commission that 50% of the connections and corresponding capacity would get added in the first half of the year. The average consumption in kWh/ HP has been capped at the level as it stood for FY 2011-12 based on the 5% sample study data s</w:t>
      </w:r>
      <w:r>
        <w:rPr>
          <w:i/>
          <w:sz w:val="24"/>
        </w:rPr>
        <w:t>ubmitted last year at 923 units. Based on the above assumptions the agricultural consumption for the</w:t>
      </w:r>
    </w:p>
    <w:p w:rsidR="007C5447" w:rsidRDefault="007C5447">
      <w:pPr>
        <w:jc w:val="both"/>
        <w:rPr>
          <w:sz w:val="24"/>
        </w:rPr>
        <w:sectPr w:rsidR="007C5447">
          <w:pgSz w:w="11910" w:h="16840"/>
          <w:pgMar w:top="1500" w:right="1220" w:bottom="1620" w:left="1220" w:header="0" w:footer="1386" w:gutter="0"/>
          <w:cols w:space="720"/>
        </w:sectPr>
      </w:pPr>
    </w:p>
    <w:p w:rsidR="007C5447" w:rsidRDefault="00F6308C">
      <w:pPr>
        <w:spacing w:before="70"/>
        <w:ind w:left="1660" w:right="941"/>
        <w:jc w:val="both"/>
        <w:rPr>
          <w:i/>
          <w:sz w:val="24"/>
        </w:rPr>
      </w:pPr>
      <w:r>
        <w:rPr>
          <w:i/>
          <w:sz w:val="24"/>
        </w:rPr>
        <w:lastRenderedPageBreak/>
        <w:t>year FY 2012-13 has been estimated as 10,206 MUs by the Commission.</w:t>
      </w:r>
    </w:p>
    <w:p w:rsidR="007C5447" w:rsidRDefault="007C5447">
      <w:pPr>
        <w:pStyle w:val="BodyText"/>
        <w:spacing w:before="10"/>
        <w:rPr>
          <w:i/>
          <w:sz w:val="20"/>
        </w:rPr>
      </w:pPr>
    </w:p>
    <w:p w:rsidR="007C5447" w:rsidRDefault="00F6308C">
      <w:pPr>
        <w:ind w:left="1660" w:right="933"/>
        <w:jc w:val="both"/>
        <w:rPr>
          <w:i/>
          <w:sz w:val="24"/>
        </w:rPr>
      </w:pPr>
      <w:r>
        <w:rPr>
          <w:i/>
          <w:sz w:val="24"/>
        </w:rPr>
        <w:t>Based on the average consumption per HP/ Annum as per the 5% sample data for FY 2012-13, TANGEDCO has estimated the annual consumption as 11,089 MUs. The Commission has calculated the average hours of daily supply to agricultural consumers based on this da</w:t>
      </w:r>
      <w:r>
        <w:rPr>
          <w:i/>
          <w:sz w:val="24"/>
        </w:rPr>
        <w:t>ta. It was noticed that the average hours of daily supply for FY 2012-13 worked out to be higher than that of FY 2011-12. The Commission opines that this situation is improbable given the facts that the year 2012-13 saw higher shortage of power as compared</w:t>
      </w:r>
      <w:r>
        <w:rPr>
          <w:i/>
          <w:sz w:val="24"/>
        </w:rPr>
        <w:t xml:space="preserve"> to the previous year as well as that 2012-13 was a drought year. Given that additional connection to the tune of 15,539 were given in the State during the year, it is evident that the 5% sample data for FY 2012-13 cannot be considered for estimating annua</w:t>
      </w:r>
      <w:r>
        <w:rPr>
          <w:i/>
          <w:sz w:val="24"/>
        </w:rPr>
        <w:t>l consumption. Hence the Commission did not take into consideration the 5% sample study data submitted for FY</w:t>
      </w:r>
      <w:r>
        <w:rPr>
          <w:i/>
          <w:spacing w:val="2"/>
          <w:sz w:val="24"/>
        </w:rPr>
        <w:t xml:space="preserve"> </w:t>
      </w:r>
      <w:r>
        <w:rPr>
          <w:i/>
          <w:sz w:val="24"/>
        </w:rPr>
        <w:t>2012-13.”</w:t>
      </w:r>
    </w:p>
    <w:p w:rsidR="007C5447" w:rsidRDefault="00F6308C">
      <w:pPr>
        <w:pStyle w:val="ListParagraph"/>
        <w:numPr>
          <w:ilvl w:val="2"/>
          <w:numId w:val="114"/>
        </w:numPr>
        <w:tabs>
          <w:tab w:val="left" w:pos="1073"/>
        </w:tabs>
        <w:spacing w:before="121" w:line="312" w:lineRule="auto"/>
        <w:ind w:right="213" w:hanging="852"/>
        <w:jc w:val="both"/>
        <w:rPr>
          <w:sz w:val="24"/>
        </w:rPr>
      </w:pPr>
      <w:r>
        <w:rPr>
          <w:sz w:val="24"/>
        </w:rPr>
        <w:t>The Commission has retained the sales to Agriculture category for FY 2011-12 to FY 2013-14 as approved in the Suo-Motu Order dated Decem</w:t>
      </w:r>
      <w:r>
        <w:rPr>
          <w:sz w:val="24"/>
        </w:rPr>
        <w:t xml:space="preserve">ber 11, 2014. </w:t>
      </w:r>
      <w:r>
        <w:rPr>
          <w:spacing w:val="-3"/>
          <w:sz w:val="24"/>
        </w:rPr>
        <w:t xml:space="preserve">In </w:t>
      </w:r>
      <w:r>
        <w:rPr>
          <w:sz w:val="24"/>
        </w:rPr>
        <w:t>line with the above approach, sales to Agriculture category for FY 2014-15 and FY 2015-16 has been calculated and</w:t>
      </w:r>
      <w:r>
        <w:rPr>
          <w:spacing w:val="1"/>
          <w:sz w:val="24"/>
        </w:rPr>
        <w:t xml:space="preserve"> </w:t>
      </w:r>
      <w:r>
        <w:rPr>
          <w:sz w:val="24"/>
        </w:rPr>
        <w:t>approved.</w:t>
      </w:r>
    </w:p>
    <w:p w:rsidR="007C5447" w:rsidRDefault="007C5447">
      <w:pPr>
        <w:pStyle w:val="BodyText"/>
        <w:spacing w:before="10"/>
        <w:rPr>
          <w:sz w:val="20"/>
        </w:rPr>
      </w:pPr>
    </w:p>
    <w:p w:rsidR="007C5447" w:rsidRDefault="00F6308C">
      <w:pPr>
        <w:pStyle w:val="ListParagraph"/>
        <w:numPr>
          <w:ilvl w:val="2"/>
          <w:numId w:val="114"/>
        </w:numPr>
        <w:tabs>
          <w:tab w:val="left" w:pos="1073"/>
        </w:tabs>
        <w:spacing w:line="312" w:lineRule="auto"/>
        <w:ind w:right="213" w:hanging="852"/>
        <w:jc w:val="both"/>
        <w:rPr>
          <w:sz w:val="24"/>
        </w:rPr>
      </w:pPr>
      <w:r>
        <w:rPr>
          <w:b/>
          <w:sz w:val="24"/>
        </w:rPr>
        <w:t xml:space="preserve">Sales to Puducherry - </w:t>
      </w:r>
      <w:r>
        <w:rPr>
          <w:sz w:val="24"/>
        </w:rPr>
        <w:t>In Suo-Motu Order dated December 11, 2014, the Commission had referred to Order No. 3 of 201</w:t>
      </w:r>
      <w:r>
        <w:rPr>
          <w:sz w:val="24"/>
        </w:rPr>
        <w:t>0, dated July 31, 2010 and stated the following:</w:t>
      </w:r>
    </w:p>
    <w:p w:rsidR="007C5447" w:rsidRDefault="007C5447">
      <w:pPr>
        <w:pStyle w:val="BodyText"/>
        <w:spacing w:before="9"/>
        <w:rPr>
          <w:sz w:val="20"/>
        </w:rPr>
      </w:pPr>
    </w:p>
    <w:p w:rsidR="007C5447" w:rsidRDefault="00F6308C">
      <w:pPr>
        <w:pStyle w:val="Heading3"/>
        <w:jc w:val="both"/>
      </w:pPr>
      <w:r>
        <w:t>“3.2.6 Supply to Puducherry</w:t>
      </w:r>
    </w:p>
    <w:p w:rsidR="007C5447" w:rsidRDefault="007C5447">
      <w:pPr>
        <w:pStyle w:val="BodyText"/>
        <w:spacing w:before="10"/>
        <w:rPr>
          <w:b/>
          <w:i/>
          <w:sz w:val="20"/>
        </w:rPr>
      </w:pPr>
    </w:p>
    <w:p w:rsidR="007C5447" w:rsidRDefault="00F6308C">
      <w:pPr>
        <w:pStyle w:val="ListParagraph"/>
        <w:numPr>
          <w:ilvl w:val="3"/>
          <w:numId w:val="95"/>
        </w:numPr>
        <w:tabs>
          <w:tab w:val="left" w:pos="2393"/>
        </w:tabs>
        <w:ind w:right="941" w:firstLine="0"/>
        <w:jc w:val="both"/>
        <w:rPr>
          <w:i/>
          <w:sz w:val="24"/>
        </w:rPr>
      </w:pPr>
      <w:r>
        <w:rPr>
          <w:i/>
          <w:sz w:val="24"/>
        </w:rPr>
        <w:t>The Tariff petition filed by TNEB includes sale of power to the Union Territory of Puducherry and the projection for various years are as</w:t>
      </w:r>
      <w:r>
        <w:rPr>
          <w:i/>
          <w:spacing w:val="-1"/>
          <w:sz w:val="24"/>
        </w:rPr>
        <w:t xml:space="preserve"> </w:t>
      </w:r>
      <w:r>
        <w:rPr>
          <w:i/>
          <w:sz w:val="24"/>
        </w:rPr>
        <w:t>follows:</w:t>
      </w:r>
    </w:p>
    <w:p w:rsidR="007C5447" w:rsidRDefault="007C5447">
      <w:pPr>
        <w:pStyle w:val="BodyText"/>
        <w:spacing w:before="11"/>
        <w:rPr>
          <w:i/>
          <w:sz w:val="20"/>
        </w:rPr>
      </w:pPr>
    </w:p>
    <w:p w:rsidR="007C5447" w:rsidRDefault="00F6308C">
      <w:pPr>
        <w:ind w:left="1660"/>
        <w:jc w:val="both"/>
        <w:rPr>
          <w:i/>
          <w:sz w:val="24"/>
        </w:rPr>
      </w:pPr>
      <w:r>
        <w:rPr>
          <w:i/>
          <w:sz w:val="24"/>
        </w:rPr>
        <w:t>(a) 2007-08  393</w:t>
      </w:r>
      <w:r>
        <w:rPr>
          <w:i/>
          <w:spacing w:val="-6"/>
          <w:sz w:val="24"/>
        </w:rPr>
        <w:t xml:space="preserve"> </w:t>
      </w:r>
      <w:r>
        <w:rPr>
          <w:i/>
          <w:sz w:val="24"/>
        </w:rPr>
        <w:t>MU</w:t>
      </w:r>
    </w:p>
    <w:p w:rsidR="007C5447" w:rsidRDefault="007C5447">
      <w:pPr>
        <w:pStyle w:val="BodyText"/>
        <w:spacing w:before="10"/>
        <w:rPr>
          <w:i/>
          <w:sz w:val="20"/>
        </w:rPr>
      </w:pPr>
    </w:p>
    <w:p w:rsidR="007C5447" w:rsidRDefault="00F6308C">
      <w:pPr>
        <w:ind w:left="1660"/>
        <w:jc w:val="both"/>
        <w:rPr>
          <w:i/>
          <w:sz w:val="24"/>
        </w:rPr>
      </w:pPr>
      <w:r>
        <w:rPr>
          <w:i/>
          <w:sz w:val="24"/>
        </w:rPr>
        <w:t>(b) 2008</w:t>
      </w:r>
      <w:r>
        <w:rPr>
          <w:i/>
          <w:sz w:val="24"/>
        </w:rPr>
        <w:t>-09  373</w:t>
      </w:r>
      <w:r>
        <w:rPr>
          <w:i/>
          <w:spacing w:val="-6"/>
          <w:sz w:val="24"/>
        </w:rPr>
        <w:t xml:space="preserve"> </w:t>
      </w:r>
      <w:r>
        <w:rPr>
          <w:i/>
          <w:sz w:val="24"/>
        </w:rPr>
        <w:t>MU</w:t>
      </w:r>
    </w:p>
    <w:p w:rsidR="007C5447" w:rsidRDefault="007C5447">
      <w:pPr>
        <w:pStyle w:val="BodyText"/>
        <w:spacing w:before="10"/>
        <w:rPr>
          <w:i/>
          <w:sz w:val="20"/>
        </w:rPr>
      </w:pPr>
    </w:p>
    <w:p w:rsidR="007C5447" w:rsidRDefault="00F6308C">
      <w:pPr>
        <w:ind w:left="1660"/>
        <w:jc w:val="both"/>
        <w:rPr>
          <w:i/>
          <w:sz w:val="24"/>
        </w:rPr>
      </w:pPr>
      <w:r>
        <w:rPr>
          <w:i/>
          <w:sz w:val="24"/>
        </w:rPr>
        <w:t>(c) 2009-10  420</w:t>
      </w:r>
      <w:r>
        <w:rPr>
          <w:i/>
          <w:spacing w:val="-5"/>
          <w:sz w:val="24"/>
        </w:rPr>
        <w:t xml:space="preserve"> </w:t>
      </w:r>
      <w:r>
        <w:rPr>
          <w:i/>
          <w:sz w:val="24"/>
        </w:rPr>
        <w:t>MU</w:t>
      </w:r>
    </w:p>
    <w:p w:rsidR="007C5447" w:rsidRDefault="007C5447">
      <w:pPr>
        <w:pStyle w:val="BodyText"/>
        <w:spacing w:before="10"/>
        <w:rPr>
          <w:i/>
          <w:sz w:val="20"/>
        </w:rPr>
      </w:pPr>
    </w:p>
    <w:p w:rsidR="007C5447" w:rsidRDefault="00F6308C">
      <w:pPr>
        <w:ind w:left="1660"/>
        <w:jc w:val="both"/>
        <w:rPr>
          <w:i/>
          <w:sz w:val="24"/>
        </w:rPr>
      </w:pPr>
      <w:r>
        <w:rPr>
          <w:i/>
          <w:sz w:val="24"/>
        </w:rPr>
        <w:t>(d) 2010-11  445</w:t>
      </w:r>
      <w:r>
        <w:rPr>
          <w:i/>
          <w:spacing w:val="-6"/>
          <w:sz w:val="24"/>
        </w:rPr>
        <w:t xml:space="preserve"> </w:t>
      </w:r>
      <w:r>
        <w:rPr>
          <w:i/>
          <w:sz w:val="24"/>
        </w:rPr>
        <w:t>MU</w:t>
      </w:r>
    </w:p>
    <w:p w:rsidR="007C5447" w:rsidRDefault="007C5447">
      <w:pPr>
        <w:pStyle w:val="BodyText"/>
        <w:spacing w:before="10"/>
        <w:rPr>
          <w:i/>
          <w:sz w:val="20"/>
        </w:rPr>
      </w:pPr>
    </w:p>
    <w:p w:rsidR="007C5447" w:rsidRDefault="00F6308C">
      <w:pPr>
        <w:ind w:left="1660"/>
        <w:jc w:val="both"/>
        <w:rPr>
          <w:i/>
          <w:sz w:val="24"/>
        </w:rPr>
      </w:pPr>
      <w:r>
        <w:rPr>
          <w:i/>
          <w:sz w:val="24"/>
        </w:rPr>
        <w:t>(e) 2011-12  471</w:t>
      </w:r>
      <w:r>
        <w:rPr>
          <w:i/>
          <w:spacing w:val="-5"/>
          <w:sz w:val="24"/>
        </w:rPr>
        <w:t xml:space="preserve"> </w:t>
      </w:r>
      <w:r>
        <w:rPr>
          <w:i/>
          <w:sz w:val="24"/>
        </w:rPr>
        <w:t>MU</w:t>
      </w:r>
    </w:p>
    <w:p w:rsidR="007C5447" w:rsidRDefault="007C5447">
      <w:pPr>
        <w:pStyle w:val="BodyText"/>
        <w:spacing w:before="10"/>
        <w:rPr>
          <w:i/>
          <w:sz w:val="20"/>
        </w:rPr>
      </w:pPr>
    </w:p>
    <w:p w:rsidR="007C5447" w:rsidRDefault="00F6308C">
      <w:pPr>
        <w:ind w:left="1660"/>
        <w:jc w:val="both"/>
        <w:rPr>
          <w:i/>
          <w:sz w:val="24"/>
        </w:rPr>
      </w:pPr>
      <w:r>
        <w:rPr>
          <w:i/>
          <w:sz w:val="24"/>
        </w:rPr>
        <w:t>(f) 2012-13 499 MU</w:t>
      </w:r>
    </w:p>
    <w:p w:rsidR="007C5447" w:rsidRDefault="007C5447">
      <w:pPr>
        <w:pStyle w:val="BodyText"/>
        <w:spacing w:before="10"/>
        <w:rPr>
          <w:i/>
          <w:sz w:val="20"/>
        </w:rPr>
      </w:pPr>
    </w:p>
    <w:p w:rsidR="007C5447" w:rsidRDefault="00F6308C">
      <w:pPr>
        <w:pStyle w:val="ListParagraph"/>
        <w:numPr>
          <w:ilvl w:val="3"/>
          <w:numId w:val="95"/>
        </w:numPr>
        <w:tabs>
          <w:tab w:val="left" w:pos="2402"/>
        </w:tabs>
        <w:ind w:left="2401" w:hanging="742"/>
        <w:jc w:val="both"/>
        <w:rPr>
          <w:i/>
          <w:sz w:val="24"/>
        </w:rPr>
      </w:pPr>
      <w:r>
        <w:rPr>
          <w:i/>
          <w:sz w:val="24"/>
        </w:rPr>
        <w:t>The</w:t>
      </w:r>
      <w:r>
        <w:rPr>
          <w:i/>
          <w:spacing w:val="19"/>
          <w:sz w:val="24"/>
        </w:rPr>
        <w:t xml:space="preserve"> </w:t>
      </w:r>
      <w:r>
        <w:rPr>
          <w:i/>
          <w:sz w:val="24"/>
        </w:rPr>
        <w:t>Commission</w:t>
      </w:r>
      <w:r>
        <w:rPr>
          <w:i/>
          <w:spacing w:val="21"/>
          <w:sz w:val="24"/>
        </w:rPr>
        <w:t xml:space="preserve"> </w:t>
      </w:r>
      <w:r>
        <w:rPr>
          <w:i/>
          <w:sz w:val="24"/>
        </w:rPr>
        <w:t>desired</w:t>
      </w:r>
      <w:r>
        <w:rPr>
          <w:i/>
          <w:spacing w:val="21"/>
          <w:sz w:val="24"/>
        </w:rPr>
        <w:t xml:space="preserve"> </w:t>
      </w:r>
      <w:r>
        <w:rPr>
          <w:i/>
          <w:sz w:val="24"/>
        </w:rPr>
        <w:t>to</w:t>
      </w:r>
      <w:r>
        <w:rPr>
          <w:i/>
          <w:spacing w:val="21"/>
          <w:sz w:val="24"/>
        </w:rPr>
        <w:t xml:space="preserve"> </w:t>
      </w:r>
      <w:r>
        <w:rPr>
          <w:i/>
          <w:sz w:val="24"/>
        </w:rPr>
        <w:t>know</w:t>
      </w:r>
      <w:r>
        <w:rPr>
          <w:i/>
          <w:spacing w:val="21"/>
          <w:sz w:val="24"/>
        </w:rPr>
        <w:t xml:space="preserve"> </w:t>
      </w:r>
      <w:r>
        <w:rPr>
          <w:i/>
          <w:sz w:val="24"/>
        </w:rPr>
        <w:t>the</w:t>
      </w:r>
      <w:r>
        <w:rPr>
          <w:i/>
          <w:spacing w:val="20"/>
          <w:sz w:val="24"/>
        </w:rPr>
        <w:t xml:space="preserve"> </w:t>
      </w:r>
      <w:r>
        <w:rPr>
          <w:i/>
          <w:sz w:val="24"/>
        </w:rPr>
        <w:t>basis</w:t>
      </w:r>
      <w:r>
        <w:rPr>
          <w:i/>
          <w:spacing w:val="20"/>
          <w:sz w:val="24"/>
        </w:rPr>
        <w:t xml:space="preserve"> </w:t>
      </w:r>
      <w:r>
        <w:rPr>
          <w:i/>
          <w:sz w:val="24"/>
        </w:rPr>
        <w:t>on</w:t>
      </w:r>
      <w:r>
        <w:rPr>
          <w:i/>
          <w:spacing w:val="21"/>
          <w:sz w:val="24"/>
        </w:rPr>
        <w:t xml:space="preserve"> </w:t>
      </w:r>
      <w:r>
        <w:rPr>
          <w:i/>
          <w:sz w:val="24"/>
        </w:rPr>
        <w:t>which</w:t>
      </w:r>
      <w:r>
        <w:rPr>
          <w:i/>
          <w:spacing w:val="20"/>
          <w:sz w:val="24"/>
        </w:rPr>
        <w:t xml:space="preserve"> </w:t>
      </w:r>
      <w:r>
        <w:rPr>
          <w:i/>
          <w:sz w:val="24"/>
        </w:rPr>
        <w:t>power</w:t>
      </w:r>
      <w:r>
        <w:rPr>
          <w:i/>
          <w:spacing w:val="21"/>
          <w:sz w:val="24"/>
        </w:rPr>
        <w:t xml:space="preserve"> </w:t>
      </w:r>
      <w:r>
        <w:rPr>
          <w:i/>
          <w:sz w:val="24"/>
        </w:rPr>
        <w:t>is</w:t>
      </w:r>
    </w:p>
    <w:p w:rsidR="007C5447" w:rsidRDefault="007C5447">
      <w:pPr>
        <w:jc w:val="both"/>
        <w:rPr>
          <w:sz w:val="24"/>
        </w:rPr>
        <w:sectPr w:rsidR="007C5447">
          <w:pgSz w:w="11910" w:h="16840"/>
          <w:pgMar w:top="1500" w:right="1220" w:bottom="1620" w:left="1220" w:header="0" w:footer="1386" w:gutter="0"/>
          <w:cols w:space="720"/>
        </w:sectPr>
      </w:pPr>
    </w:p>
    <w:p w:rsidR="007C5447" w:rsidRDefault="00F6308C">
      <w:pPr>
        <w:spacing w:before="70"/>
        <w:ind w:left="1660" w:right="941"/>
        <w:jc w:val="both"/>
        <w:rPr>
          <w:i/>
          <w:sz w:val="24"/>
        </w:rPr>
      </w:pPr>
      <w:r>
        <w:rPr>
          <w:i/>
          <w:sz w:val="24"/>
        </w:rPr>
        <w:lastRenderedPageBreak/>
        <w:t>being supplied to Puducherry and sought details regarding agreement if any entered into between the two States. The TNEB has not been able to produce any agreement for sale of power to Puducherry. In this backdrop the Commission had examined the tariff ord</w:t>
      </w:r>
      <w:r>
        <w:rPr>
          <w:i/>
          <w:sz w:val="24"/>
        </w:rPr>
        <w:t>ers issued by the Commission in 2003.</w:t>
      </w:r>
    </w:p>
    <w:p w:rsidR="007C5447" w:rsidRDefault="007C5447">
      <w:pPr>
        <w:pStyle w:val="BodyText"/>
        <w:spacing w:before="10"/>
        <w:rPr>
          <w:i/>
          <w:sz w:val="20"/>
        </w:rPr>
      </w:pPr>
    </w:p>
    <w:p w:rsidR="007C5447" w:rsidRDefault="00F6308C">
      <w:pPr>
        <w:pStyle w:val="ListParagraph"/>
        <w:numPr>
          <w:ilvl w:val="3"/>
          <w:numId w:val="95"/>
        </w:numPr>
        <w:tabs>
          <w:tab w:val="left" w:pos="2419"/>
        </w:tabs>
        <w:ind w:right="937" w:firstLine="0"/>
        <w:jc w:val="both"/>
        <w:rPr>
          <w:i/>
          <w:sz w:val="24"/>
        </w:rPr>
      </w:pPr>
      <w:r>
        <w:rPr>
          <w:i/>
          <w:sz w:val="24"/>
        </w:rPr>
        <w:t>The position taken by Government of Puducherry during the earlier tariff determination exercise was that the tariff for supply of energy to Puducherry should be as per the Tamil Nadu Revision of Tariff Rates on Supply</w:t>
      </w:r>
      <w:r>
        <w:rPr>
          <w:i/>
          <w:sz w:val="24"/>
        </w:rPr>
        <w:t xml:space="preserve"> of Electrical Energy Act, 1978 and the supply shall be charged at the rates supplied by NLC to the TNEB plus wheeling charge at 10 Paise per KWh plus 4% on the energy wheeling towards transmission loss. The State of Puducherry also disputed the jurisdicti</w:t>
      </w:r>
      <w:r>
        <w:rPr>
          <w:i/>
          <w:sz w:val="24"/>
        </w:rPr>
        <w:t>on of the TNERC to decide the tariff for Puducherry. The TNEB had expressed a view that the agreement between TNEB and NLC is a bilateral agreement and the Government of Puducherry is not a party to this agreement. Since the cost of supply at the HT end wo</w:t>
      </w:r>
      <w:r>
        <w:rPr>
          <w:i/>
          <w:sz w:val="24"/>
        </w:rPr>
        <w:t>rked out to 303.69 paise, they proposed to continue charging Puducherry @ Rs.3.00 per kWh under HT Tariff V. The Commission maintained status quo and continued the then prevailing tariff of Rs.3 per</w:t>
      </w:r>
      <w:r>
        <w:rPr>
          <w:i/>
          <w:spacing w:val="-1"/>
          <w:sz w:val="24"/>
        </w:rPr>
        <w:t xml:space="preserve"> </w:t>
      </w:r>
      <w:r>
        <w:rPr>
          <w:i/>
          <w:sz w:val="24"/>
        </w:rPr>
        <w:t>kWh.</w:t>
      </w:r>
    </w:p>
    <w:p w:rsidR="007C5447" w:rsidRDefault="007C5447">
      <w:pPr>
        <w:pStyle w:val="BodyText"/>
        <w:spacing w:before="11"/>
        <w:rPr>
          <w:i/>
          <w:sz w:val="20"/>
        </w:rPr>
      </w:pPr>
    </w:p>
    <w:p w:rsidR="007C5447" w:rsidRDefault="00F6308C">
      <w:pPr>
        <w:pStyle w:val="ListParagraph"/>
        <w:numPr>
          <w:ilvl w:val="3"/>
          <w:numId w:val="95"/>
        </w:numPr>
        <w:tabs>
          <w:tab w:val="left" w:pos="2388"/>
        </w:tabs>
        <w:ind w:right="935" w:firstLine="0"/>
        <w:jc w:val="both"/>
        <w:rPr>
          <w:i/>
          <w:sz w:val="24"/>
        </w:rPr>
      </w:pPr>
      <w:r>
        <w:rPr>
          <w:i/>
          <w:sz w:val="24"/>
        </w:rPr>
        <w:t>Since the Joint Electricity Regulatory Commission f</w:t>
      </w:r>
      <w:r>
        <w:rPr>
          <w:i/>
          <w:sz w:val="24"/>
        </w:rPr>
        <w:t>or the State of Goa and Union Territory of Puducherry had issued an order on ARR and Retail tariff for the electricity department, Government of Puducherry for the financial year 2009-10 on 5-2-2010 the Commission had examined that order too and the releva</w:t>
      </w:r>
      <w:r>
        <w:rPr>
          <w:i/>
          <w:sz w:val="24"/>
        </w:rPr>
        <w:t>nt portion with reference to sale of power by TNEB to Puducherry is extracted</w:t>
      </w:r>
      <w:r>
        <w:rPr>
          <w:i/>
          <w:spacing w:val="-10"/>
          <w:sz w:val="24"/>
        </w:rPr>
        <w:t xml:space="preserve"> </w:t>
      </w:r>
      <w:r>
        <w:rPr>
          <w:i/>
          <w:sz w:val="24"/>
        </w:rPr>
        <w:t>below:</w:t>
      </w:r>
    </w:p>
    <w:p w:rsidR="007C5447" w:rsidRDefault="007C5447">
      <w:pPr>
        <w:pStyle w:val="BodyText"/>
        <w:spacing w:before="10"/>
        <w:rPr>
          <w:i/>
          <w:sz w:val="20"/>
        </w:rPr>
      </w:pPr>
    </w:p>
    <w:p w:rsidR="007C5447" w:rsidRDefault="00F6308C">
      <w:pPr>
        <w:ind w:left="1660" w:right="936"/>
        <w:jc w:val="both"/>
        <w:rPr>
          <w:i/>
          <w:sz w:val="24"/>
        </w:rPr>
      </w:pPr>
      <w:r>
        <w:rPr>
          <w:i/>
          <w:sz w:val="24"/>
        </w:rPr>
        <w:t xml:space="preserve">“In respect of purchase of power from TNEB the EDP has submitted </w:t>
      </w:r>
      <w:r>
        <w:rPr>
          <w:i/>
          <w:sz w:val="24"/>
        </w:rPr>
        <w:t xml:space="preserve">that initially the power availed from TNEB was charged at the rate paid by TNEB to NLC plus wheeling charges. The TNEB has revised the tariff to Rs.3.00per </w:t>
      </w:r>
      <w:r>
        <w:rPr>
          <w:i/>
          <w:spacing w:val="-3"/>
          <w:sz w:val="24"/>
        </w:rPr>
        <w:t xml:space="preserve">kWh </w:t>
      </w:r>
      <w:r>
        <w:rPr>
          <w:i/>
          <w:sz w:val="24"/>
        </w:rPr>
        <w:t xml:space="preserve">with effect from 01/12/2001 treating EDP as a HT consumer. The EDP has challenged this decision </w:t>
      </w:r>
      <w:r>
        <w:rPr>
          <w:i/>
          <w:sz w:val="24"/>
        </w:rPr>
        <w:t>by filing a petition before Hon’ble TNERC. The Hon’ble TNERC concluded that the sale of power between EDP and TNEB was in the nature of interstate sale of power and EDP cannot be treated as a HT consumer and ordered to maintain status quo. The EDP has chal</w:t>
      </w:r>
      <w:r>
        <w:rPr>
          <w:i/>
          <w:sz w:val="24"/>
        </w:rPr>
        <w:t>lenged this in the Hon’ble High Court of Judicature at Madras and stay was granted and the Hon’ble High Court directed payment to TNEB at the rate charged by NLC plus wheeling charges. The EDP made the payment accordingly. The main issue is yet to be</w:t>
      </w:r>
      <w:r>
        <w:rPr>
          <w:i/>
          <w:spacing w:val="-4"/>
          <w:sz w:val="24"/>
        </w:rPr>
        <w:t xml:space="preserve"> </w:t>
      </w:r>
      <w:r>
        <w:rPr>
          <w:i/>
          <w:sz w:val="24"/>
        </w:rPr>
        <w:t>decid</w:t>
      </w:r>
      <w:r>
        <w:rPr>
          <w:i/>
          <w:sz w:val="24"/>
        </w:rPr>
        <w:t>ed.”</w:t>
      </w:r>
    </w:p>
    <w:p w:rsidR="007C5447" w:rsidRDefault="007C5447">
      <w:pPr>
        <w:pStyle w:val="BodyText"/>
        <w:rPr>
          <w:i/>
          <w:sz w:val="21"/>
        </w:rPr>
      </w:pPr>
    </w:p>
    <w:p w:rsidR="007C5447" w:rsidRDefault="00F6308C">
      <w:pPr>
        <w:pStyle w:val="ListParagraph"/>
        <w:numPr>
          <w:ilvl w:val="3"/>
          <w:numId w:val="95"/>
        </w:numPr>
        <w:tabs>
          <w:tab w:val="left" w:pos="2409"/>
        </w:tabs>
        <w:ind w:right="936" w:firstLine="0"/>
        <w:jc w:val="both"/>
        <w:rPr>
          <w:i/>
          <w:sz w:val="24"/>
        </w:rPr>
      </w:pPr>
      <w:r>
        <w:rPr>
          <w:i/>
          <w:sz w:val="24"/>
        </w:rPr>
        <w:t>The Commission would like to observe that in the absence of firm sale contract between TNEB and the Government of Puducherry and with the ever increasing sale of electricity to Puducherry by the TNEB,</w:t>
      </w:r>
      <w:r>
        <w:rPr>
          <w:i/>
          <w:spacing w:val="38"/>
          <w:sz w:val="24"/>
        </w:rPr>
        <w:t xml:space="preserve"> </w:t>
      </w:r>
      <w:r>
        <w:rPr>
          <w:i/>
          <w:sz w:val="24"/>
        </w:rPr>
        <w:t>a</w:t>
      </w:r>
      <w:r>
        <w:rPr>
          <w:i/>
          <w:spacing w:val="39"/>
          <w:sz w:val="24"/>
        </w:rPr>
        <w:t xml:space="preserve"> </w:t>
      </w:r>
      <w:r>
        <w:rPr>
          <w:i/>
          <w:sz w:val="24"/>
        </w:rPr>
        <w:t>situation</w:t>
      </w:r>
      <w:r>
        <w:rPr>
          <w:i/>
          <w:spacing w:val="39"/>
          <w:sz w:val="24"/>
        </w:rPr>
        <w:t xml:space="preserve"> </w:t>
      </w:r>
      <w:r>
        <w:rPr>
          <w:i/>
          <w:sz w:val="24"/>
        </w:rPr>
        <w:t>is</w:t>
      </w:r>
      <w:r>
        <w:rPr>
          <w:i/>
          <w:spacing w:val="37"/>
          <w:sz w:val="24"/>
        </w:rPr>
        <w:t xml:space="preserve"> </w:t>
      </w:r>
      <w:r>
        <w:rPr>
          <w:i/>
          <w:sz w:val="24"/>
        </w:rPr>
        <w:t>being</w:t>
      </w:r>
      <w:r>
        <w:rPr>
          <w:i/>
          <w:spacing w:val="42"/>
          <w:sz w:val="24"/>
        </w:rPr>
        <w:t xml:space="preserve"> </w:t>
      </w:r>
      <w:r>
        <w:rPr>
          <w:i/>
          <w:sz w:val="24"/>
        </w:rPr>
        <w:t>created</w:t>
      </w:r>
      <w:r>
        <w:rPr>
          <w:i/>
          <w:spacing w:val="39"/>
          <w:sz w:val="24"/>
        </w:rPr>
        <w:t xml:space="preserve"> </w:t>
      </w:r>
      <w:r>
        <w:rPr>
          <w:i/>
          <w:sz w:val="24"/>
        </w:rPr>
        <w:t>which</w:t>
      </w:r>
      <w:r>
        <w:rPr>
          <w:i/>
          <w:spacing w:val="39"/>
          <w:sz w:val="24"/>
        </w:rPr>
        <w:t xml:space="preserve"> </w:t>
      </w:r>
      <w:r>
        <w:rPr>
          <w:i/>
          <w:sz w:val="24"/>
        </w:rPr>
        <w:t>has</w:t>
      </w:r>
      <w:r>
        <w:rPr>
          <w:i/>
          <w:spacing w:val="39"/>
          <w:sz w:val="24"/>
        </w:rPr>
        <w:t xml:space="preserve"> </w:t>
      </w:r>
      <w:r>
        <w:rPr>
          <w:i/>
          <w:sz w:val="24"/>
        </w:rPr>
        <w:t>resulted</w:t>
      </w:r>
      <w:r>
        <w:rPr>
          <w:i/>
          <w:spacing w:val="39"/>
          <w:sz w:val="24"/>
        </w:rPr>
        <w:t xml:space="preserve"> </w:t>
      </w:r>
      <w:r>
        <w:rPr>
          <w:i/>
          <w:sz w:val="24"/>
        </w:rPr>
        <w:t>i</w:t>
      </w:r>
      <w:r>
        <w:rPr>
          <w:i/>
          <w:sz w:val="24"/>
        </w:rPr>
        <w:t>n</w:t>
      </w:r>
      <w:r>
        <w:rPr>
          <w:i/>
          <w:spacing w:val="40"/>
          <w:sz w:val="24"/>
        </w:rPr>
        <w:t xml:space="preserve"> </w:t>
      </w:r>
      <w:r>
        <w:rPr>
          <w:i/>
          <w:sz w:val="24"/>
        </w:rPr>
        <w:t>the</w:t>
      </w:r>
      <w:r>
        <w:rPr>
          <w:i/>
          <w:spacing w:val="39"/>
          <w:sz w:val="24"/>
        </w:rPr>
        <w:t xml:space="preserve"> </w:t>
      </w:r>
      <w:r>
        <w:rPr>
          <w:i/>
          <w:sz w:val="24"/>
        </w:rPr>
        <w:t>TNEB</w:t>
      </w:r>
    </w:p>
    <w:p w:rsidR="007C5447" w:rsidRDefault="007C5447">
      <w:pPr>
        <w:jc w:val="both"/>
        <w:rPr>
          <w:sz w:val="24"/>
        </w:rPr>
        <w:sectPr w:rsidR="007C5447">
          <w:pgSz w:w="11910" w:h="16840"/>
          <w:pgMar w:top="1500" w:right="1220" w:bottom="1620" w:left="1220" w:header="0" w:footer="1386" w:gutter="0"/>
          <w:cols w:space="720"/>
        </w:sectPr>
      </w:pPr>
    </w:p>
    <w:p w:rsidR="007C5447" w:rsidRDefault="00F6308C">
      <w:pPr>
        <w:spacing w:before="70"/>
        <w:ind w:left="1660" w:right="940"/>
        <w:jc w:val="both"/>
        <w:rPr>
          <w:i/>
          <w:sz w:val="24"/>
        </w:rPr>
      </w:pPr>
      <w:r>
        <w:rPr>
          <w:i/>
          <w:sz w:val="24"/>
        </w:rPr>
        <w:lastRenderedPageBreak/>
        <w:t xml:space="preserve">subsidizing the electricity consumers of Puducherry at the expense of </w:t>
      </w:r>
      <w:r>
        <w:rPr>
          <w:i/>
          <w:sz w:val="24"/>
        </w:rPr>
        <w:t>electricity consumers of Tamil Nadu. Currently, the TNEB itself is facing an acute shortage of power and has been purchasing power in the open market in the range of Rs. 5 to 7 per unit. Whereas the sale to Puducherry is at the rate of Rs.1.94 per unit. TN</w:t>
      </w:r>
      <w:r>
        <w:rPr>
          <w:i/>
          <w:sz w:val="24"/>
        </w:rPr>
        <w:t>EB needs to protect the electricity consumers of Tamil Nadu.”</w:t>
      </w:r>
    </w:p>
    <w:p w:rsidR="007C5447" w:rsidRDefault="007C5447">
      <w:pPr>
        <w:pStyle w:val="BodyText"/>
        <w:rPr>
          <w:i/>
          <w:sz w:val="26"/>
        </w:rPr>
      </w:pPr>
    </w:p>
    <w:p w:rsidR="007C5447" w:rsidRDefault="007C5447">
      <w:pPr>
        <w:pStyle w:val="BodyText"/>
        <w:spacing w:before="4"/>
        <w:rPr>
          <w:i/>
          <w:sz w:val="36"/>
        </w:rPr>
      </w:pPr>
    </w:p>
    <w:p w:rsidR="007C5447" w:rsidRDefault="00F6308C">
      <w:pPr>
        <w:pStyle w:val="ListParagraph"/>
        <w:numPr>
          <w:ilvl w:val="2"/>
          <w:numId w:val="114"/>
        </w:numPr>
        <w:tabs>
          <w:tab w:val="left" w:pos="1073"/>
        </w:tabs>
        <w:spacing w:line="312" w:lineRule="auto"/>
        <w:ind w:right="212" w:hanging="852"/>
        <w:jc w:val="both"/>
        <w:rPr>
          <w:sz w:val="24"/>
        </w:rPr>
      </w:pPr>
      <w:r>
        <w:rPr>
          <w:sz w:val="24"/>
        </w:rPr>
        <w:t xml:space="preserve">Therefore, in line with the approach adopted in the earlier Orders and in view of </w:t>
      </w:r>
      <w:r>
        <w:rPr>
          <w:spacing w:val="2"/>
          <w:sz w:val="24"/>
        </w:rPr>
        <w:t xml:space="preserve">the </w:t>
      </w:r>
      <w:r>
        <w:rPr>
          <w:sz w:val="24"/>
        </w:rPr>
        <w:t>matter being sub-judice before the Hon’ble High Court of Madras, the Commission has disallowed sales to Pu</w:t>
      </w:r>
      <w:r>
        <w:rPr>
          <w:sz w:val="24"/>
        </w:rPr>
        <w:t>ducherry while approving total sales for FY 2011-12 to  FY</w:t>
      </w:r>
      <w:r>
        <w:rPr>
          <w:spacing w:val="-1"/>
          <w:sz w:val="24"/>
        </w:rPr>
        <w:t xml:space="preserve"> </w:t>
      </w:r>
      <w:r>
        <w:rPr>
          <w:sz w:val="24"/>
        </w:rPr>
        <w:t>2015-16.</w:t>
      </w:r>
    </w:p>
    <w:p w:rsidR="007C5447" w:rsidRDefault="007C5447">
      <w:pPr>
        <w:pStyle w:val="BodyText"/>
        <w:spacing w:before="11"/>
        <w:rPr>
          <w:sz w:val="20"/>
        </w:rPr>
      </w:pPr>
    </w:p>
    <w:p w:rsidR="007C5447" w:rsidRDefault="00F6308C">
      <w:pPr>
        <w:pStyle w:val="ListParagraph"/>
        <w:numPr>
          <w:ilvl w:val="2"/>
          <w:numId w:val="114"/>
        </w:numPr>
        <w:tabs>
          <w:tab w:val="left" w:pos="1073"/>
        </w:tabs>
        <w:spacing w:line="312" w:lineRule="auto"/>
        <w:ind w:right="219" w:hanging="852"/>
        <w:jc w:val="both"/>
        <w:rPr>
          <w:sz w:val="24"/>
        </w:rPr>
      </w:pPr>
      <w:r>
        <w:rPr>
          <w:sz w:val="24"/>
        </w:rPr>
        <w:t>The total sales for FY 2011-12 to FY 2015-16 as submitted by TANGEDCO and as approved by the Commission is shown in the Table</w:t>
      </w:r>
      <w:r>
        <w:rPr>
          <w:spacing w:val="-7"/>
          <w:sz w:val="24"/>
        </w:rPr>
        <w:t xml:space="preserve"> </w:t>
      </w:r>
      <w:r>
        <w:rPr>
          <w:sz w:val="24"/>
        </w:rPr>
        <w:t>below:</w:t>
      </w:r>
    </w:p>
    <w:p w:rsidR="007C5447" w:rsidRDefault="007C5447">
      <w:pPr>
        <w:spacing w:line="312" w:lineRule="auto"/>
        <w:jc w:val="both"/>
        <w:rPr>
          <w:sz w:val="24"/>
        </w:rPr>
        <w:sectPr w:rsidR="007C5447">
          <w:pgSz w:w="11910" w:h="16840"/>
          <w:pgMar w:top="1500" w:right="1220" w:bottom="1620" w:left="1220" w:header="0" w:footer="1386" w:gutter="0"/>
          <w:cols w:space="720"/>
        </w:sectPr>
      </w:pPr>
    </w:p>
    <w:p w:rsidR="007C5447" w:rsidRDefault="00F6308C">
      <w:pPr>
        <w:pStyle w:val="BodyText"/>
        <w:rPr>
          <w:sz w:val="20"/>
        </w:rPr>
      </w:pPr>
      <w:r>
        <w:lastRenderedPageBreak/>
        <w:pict>
          <v:line id="_x0000_s1061" style="position:absolute;z-index:251664384;mso-position-horizontal-relative:page;mso-position-vertical-relative:page" from="77.75pt,510.8pt" to="764.05pt,510.8pt" strokeweight="1.44pt">
            <w10:wrap anchorx="page" anchory="page"/>
          </v:line>
        </w:pict>
      </w:r>
    </w:p>
    <w:p w:rsidR="007C5447" w:rsidRDefault="00F6308C">
      <w:pPr>
        <w:pStyle w:val="Heading2"/>
        <w:spacing w:before="220"/>
        <w:ind w:left="3554" w:right="3518"/>
        <w:jc w:val="center"/>
      </w:pPr>
      <w:r>
        <w:t>Table 3-1: Total Sales for FY 2011</w:t>
      </w:r>
      <w:r>
        <w:t>-12 to FY 2015-16 as approved by the Commission (MU)</w:t>
      </w:r>
    </w:p>
    <w:p w:rsidR="007C5447" w:rsidRDefault="007C5447">
      <w:pPr>
        <w:pStyle w:val="BodyText"/>
        <w:spacing w:before="7"/>
        <w:rPr>
          <w:b/>
          <w:sz w:val="17"/>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2"/>
        <w:gridCol w:w="927"/>
        <w:gridCol w:w="1432"/>
        <w:gridCol w:w="1254"/>
        <w:gridCol w:w="1276"/>
        <w:gridCol w:w="1255"/>
        <w:gridCol w:w="1276"/>
        <w:gridCol w:w="1123"/>
        <w:gridCol w:w="1276"/>
        <w:gridCol w:w="1254"/>
        <w:gridCol w:w="1276"/>
        <w:gridCol w:w="1398"/>
      </w:tblGrid>
      <w:tr w:rsidR="007C5447">
        <w:trPr>
          <w:trHeight w:val="256"/>
        </w:trPr>
        <w:tc>
          <w:tcPr>
            <w:tcW w:w="2432" w:type="dxa"/>
            <w:vMerge w:val="restart"/>
            <w:shd w:val="clear" w:color="auto" w:fill="FBD4B4"/>
          </w:tcPr>
          <w:p w:rsidR="007C5447" w:rsidRDefault="007C5447">
            <w:pPr>
              <w:pStyle w:val="TableParagraph"/>
              <w:jc w:val="left"/>
              <w:rPr>
                <w:b/>
                <w:sz w:val="20"/>
              </w:rPr>
            </w:pPr>
          </w:p>
          <w:p w:rsidR="007C5447" w:rsidRDefault="00F6308C">
            <w:pPr>
              <w:pStyle w:val="TableParagraph"/>
              <w:spacing w:before="175"/>
              <w:ind w:left="338"/>
              <w:jc w:val="left"/>
              <w:rPr>
                <w:b/>
                <w:sz w:val="18"/>
              </w:rPr>
            </w:pPr>
            <w:r>
              <w:rPr>
                <w:b/>
                <w:sz w:val="18"/>
              </w:rPr>
              <w:t>Category of Consumer</w:t>
            </w:r>
          </w:p>
        </w:tc>
        <w:tc>
          <w:tcPr>
            <w:tcW w:w="927" w:type="dxa"/>
            <w:vMerge w:val="restart"/>
            <w:shd w:val="clear" w:color="auto" w:fill="FBD4B4"/>
          </w:tcPr>
          <w:p w:rsidR="007C5447" w:rsidRDefault="007C5447">
            <w:pPr>
              <w:pStyle w:val="TableParagraph"/>
              <w:spacing w:before="3"/>
              <w:jc w:val="left"/>
              <w:rPr>
                <w:b/>
                <w:sz w:val="26"/>
              </w:rPr>
            </w:pPr>
          </w:p>
          <w:p w:rsidR="007C5447" w:rsidRDefault="00F6308C">
            <w:pPr>
              <w:pStyle w:val="TableParagraph"/>
              <w:ind w:left="107" w:firstLine="124"/>
              <w:jc w:val="left"/>
              <w:rPr>
                <w:b/>
                <w:sz w:val="18"/>
              </w:rPr>
            </w:pPr>
            <w:r>
              <w:rPr>
                <w:b/>
                <w:sz w:val="18"/>
              </w:rPr>
              <w:t>Tariff Category</w:t>
            </w:r>
          </w:p>
        </w:tc>
        <w:tc>
          <w:tcPr>
            <w:tcW w:w="2686" w:type="dxa"/>
            <w:gridSpan w:val="2"/>
            <w:shd w:val="clear" w:color="auto" w:fill="FBD4B4"/>
          </w:tcPr>
          <w:p w:rsidR="007C5447" w:rsidRDefault="00F6308C">
            <w:pPr>
              <w:pStyle w:val="TableParagraph"/>
              <w:spacing w:before="26"/>
              <w:ind w:left="896"/>
              <w:jc w:val="left"/>
              <w:rPr>
                <w:b/>
                <w:sz w:val="18"/>
              </w:rPr>
            </w:pPr>
            <w:r>
              <w:rPr>
                <w:b/>
                <w:sz w:val="18"/>
              </w:rPr>
              <w:t>FY 2011-12</w:t>
            </w:r>
          </w:p>
        </w:tc>
        <w:tc>
          <w:tcPr>
            <w:tcW w:w="2531" w:type="dxa"/>
            <w:gridSpan w:val="2"/>
            <w:shd w:val="clear" w:color="auto" w:fill="FBD4B4"/>
          </w:tcPr>
          <w:p w:rsidR="007C5447" w:rsidRDefault="00F6308C">
            <w:pPr>
              <w:pStyle w:val="TableParagraph"/>
              <w:spacing w:before="26"/>
              <w:ind w:left="817"/>
              <w:jc w:val="left"/>
              <w:rPr>
                <w:b/>
                <w:sz w:val="18"/>
              </w:rPr>
            </w:pPr>
            <w:r>
              <w:rPr>
                <w:b/>
                <w:sz w:val="18"/>
              </w:rPr>
              <w:t>FY 2012-13</w:t>
            </w:r>
          </w:p>
        </w:tc>
        <w:tc>
          <w:tcPr>
            <w:tcW w:w="2399" w:type="dxa"/>
            <w:gridSpan w:val="2"/>
            <w:shd w:val="clear" w:color="auto" w:fill="FBD4B4"/>
          </w:tcPr>
          <w:p w:rsidR="007C5447" w:rsidRDefault="00F6308C">
            <w:pPr>
              <w:pStyle w:val="TableParagraph"/>
              <w:spacing w:before="26"/>
              <w:ind w:left="746"/>
              <w:jc w:val="left"/>
              <w:rPr>
                <w:b/>
                <w:sz w:val="18"/>
              </w:rPr>
            </w:pPr>
            <w:r>
              <w:rPr>
                <w:b/>
                <w:sz w:val="18"/>
              </w:rPr>
              <w:t>FY 2013-14</w:t>
            </w:r>
          </w:p>
        </w:tc>
        <w:tc>
          <w:tcPr>
            <w:tcW w:w="2530" w:type="dxa"/>
            <w:gridSpan w:val="2"/>
            <w:shd w:val="clear" w:color="auto" w:fill="FBD4B4"/>
          </w:tcPr>
          <w:p w:rsidR="007C5447" w:rsidRDefault="00F6308C">
            <w:pPr>
              <w:pStyle w:val="TableParagraph"/>
              <w:spacing w:before="26"/>
              <w:ind w:left="810"/>
              <w:jc w:val="left"/>
              <w:rPr>
                <w:b/>
                <w:sz w:val="18"/>
              </w:rPr>
            </w:pPr>
            <w:r>
              <w:rPr>
                <w:b/>
                <w:sz w:val="18"/>
              </w:rPr>
              <w:t>FY 2014-15</w:t>
            </w:r>
          </w:p>
        </w:tc>
        <w:tc>
          <w:tcPr>
            <w:tcW w:w="2674" w:type="dxa"/>
            <w:gridSpan w:val="2"/>
            <w:shd w:val="clear" w:color="auto" w:fill="FBD4B4"/>
          </w:tcPr>
          <w:p w:rsidR="007C5447" w:rsidRDefault="00F6308C">
            <w:pPr>
              <w:pStyle w:val="TableParagraph"/>
              <w:spacing w:before="26"/>
              <w:ind w:left="877"/>
              <w:jc w:val="left"/>
              <w:rPr>
                <w:b/>
                <w:sz w:val="18"/>
              </w:rPr>
            </w:pPr>
            <w:r>
              <w:rPr>
                <w:b/>
                <w:sz w:val="18"/>
              </w:rPr>
              <w:t>FY 2015-16</w:t>
            </w:r>
          </w:p>
        </w:tc>
      </w:tr>
      <w:tr w:rsidR="007C5447">
        <w:trPr>
          <w:trHeight w:val="750"/>
        </w:trPr>
        <w:tc>
          <w:tcPr>
            <w:tcW w:w="2432" w:type="dxa"/>
            <w:vMerge/>
            <w:tcBorders>
              <w:top w:val="nil"/>
            </w:tcBorders>
            <w:shd w:val="clear" w:color="auto" w:fill="FBD4B4"/>
          </w:tcPr>
          <w:p w:rsidR="007C5447" w:rsidRDefault="007C5447">
            <w:pPr>
              <w:rPr>
                <w:sz w:val="2"/>
                <w:szCs w:val="2"/>
              </w:rPr>
            </w:pPr>
          </w:p>
        </w:tc>
        <w:tc>
          <w:tcPr>
            <w:tcW w:w="927" w:type="dxa"/>
            <w:vMerge/>
            <w:tcBorders>
              <w:top w:val="nil"/>
            </w:tcBorders>
            <w:shd w:val="clear" w:color="auto" w:fill="FBD4B4"/>
          </w:tcPr>
          <w:p w:rsidR="007C5447" w:rsidRDefault="007C5447">
            <w:pPr>
              <w:rPr>
                <w:sz w:val="2"/>
                <w:szCs w:val="2"/>
              </w:rPr>
            </w:pPr>
          </w:p>
        </w:tc>
        <w:tc>
          <w:tcPr>
            <w:tcW w:w="1432" w:type="dxa"/>
            <w:shd w:val="clear" w:color="auto" w:fill="FBD4B4"/>
          </w:tcPr>
          <w:p w:rsidR="007C5447" w:rsidRDefault="007C5447">
            <w:pPr>
              <w:pStyle w:val="TableParagraph"/>
              <w:spacing w:before="6"/>
              <w:jc w:val="left"/>
              <w:rPr>
                <w:b/>
                <w:sz w:val="23"/>
              </w:rPr>
            </w:pPr>
          </w:p>
          <w:p w:rsidR="007C5447" w:rsidRDefault="00F6308C">
            <w:pPr>
              <w:pStyle w:val="TableParagraph"/>
              <w:ind w:right="186"/>
              <w:rPr>
                <w:b/>
                <w:sz w:val="18"/>
              </w:rPr>
            </w:pPr>
            <w:r>
              <w:rPr>
                <w:b/>
                <w:sz w:val="18"/>
              </w:rPr>
              <w:t>TANGEDCO</w:t>
            </w:r>
          </w:p>
        </w:tc>
        <w:tc>
          <w:tcPr>
            <w:tcW w:w="1254" w:type="dxa"/>
            <w:shd w:val="clear" w:color="auto" w:fill="FBD4B4"/>
          </w:tcPr>
          <w:p w:rsidR="007C5447" w:rsidRDefault="00F6308C">
            <w:pPr>
              <w:pStyle w:val="TableParagraph"/>
              <w:spacing w:before="167"/>
              <w:ind w:left="134" w:right="110" w:firstLine="105"/>
              <w:jc w:val="left"/>
              <w:rPr>
                <w:b/>
                <w:sz w:val="18"/>
              </w:rPr>
            </w:pPr>
            <w:r>
              <w:rPr>
                <w:b/>
                <w:sz w:val="18"/>
              </w:rPr>
              <w:t>Approved after true up</w:t>
            </w:r>
          </w:p>
        </w:tc>
        <w:tc>
          <w:tcPr>
            <w:tcW w:w="1276" w:type="dxa"/>
            <w:shd w:val="clear" w:color="auto" w:fill="FBD4B4"/>
          </w:tcPr>
          <w:p w:rsidR="007C5447" w:rsidRDefault="007C5447">
            <w:pPr>
              <w:pStyle w:val="TableParagraph"/>
              <w:spacing w:before="6"/>
              <w:jc w:val="left"/>
              <w:rPr>
                <w:b/>
                <w:sz w:val="23"/>
              </w:rPr>
            </w:pPr>
          </w:p>
          <w:p w:rsidR="007C5447" w:rsidRDefault="00F6308C">
            <w:pPr>
              <w:pStyle w:val="TableParagraph"/>
              <w:ind w:left="114"/>
              <w:jc w:val="left"/>
              <w:rPr>
                <w:b/>
                <w:sz w:val="18"/>
              </w:rPr>
            </w:pPr>
            <w:r>
              <w:rPr>
                <w:b/>
                <w:sz w:val="18"/>
              </w:rPr>
              <w:t>TANGEDCO</w:t>
            </w:r>
          </w:p>
        </w:tc>
        <w:tc>
          <w:tcPr>
            <w:tcW w:w="1255" w:type="dxa"/>
            <w:shd w:val="clear" w:color="auto" w:fill="FBD4B4"/>
          </w:tcPr>
          <w:p w:rsidR="007C5447" w:rsidRDefault="00F6308C">
            <w:pPr>
              <w:pStyle w:val="TableParagraph"/>
              <w:spacing w:before="167"/>
              <w:ind w:left="131" w:right="114" w:firstLine="106"/>
              <w:jc w:val="left"/>
              <w:rPr>
                <w:b/>
                <w:sz w:val="18"/>
              </w:rPr>
            </w:pPr>
            <w:r>
              <w:rPr>
                <w:b/>
                <w:sz w:val="18"/>
              </w:rPr>
              <w:t>Approved after true up</w:t>
            </w:r>
          </w:p>
        </w:tc>
        <w:tc>
          <w:tcPr>
            <w:tcW w:w="1276" w:type="dxa"/>
            <w:shd w:val="clear" w:color="auto" w:fill="FBD4B4"/>
          </w:tcPr>
          <w:p w:rsidR="007C5447" w:rsidRDefault="007C5447">
            <w:pPr>
              <w:pStyle w:val="TableParagraph"/>
              <w:spacing w:before="6"/>
              <w:jc w:val="left"/>
              <w:rPr>
                <w:b/>
                <w:sz w:val="23"/>
              </w:rPr>
            </w:pPr>
          </w:p>
          <w:p w:rsidR="007C5447" w:rsidRDefault="00F6308C">
            <w:pPr>
              <w:pStyle w:val="TableParagraph"/>
              <w:ind w:left="110"/>
              <w:jc w:val="left"/>
              <w:rPr>
                <w:b/>
                <w:sz w:val="18"/>
              </w:rPr>
            </w:pPr>
            <w:r>
              <w:rPr>
                <w:b/>
                <w:sz w:val="18"/>
              </w:rPr>
              <w:t>TANGEDCO</w:t>
            </w:r>
          </w:p>
        </w:tc>
        <w:tc>
          <w:tcPr>
            <w:tcW w:w="1123" w:type="dxa"/>
            <w:shd w:val="clear" w:color="auto" w:fill="FBD4B4"/>
          </w:tcPr>
          <w:p w:rsidR="007C5447" w:rsidRDefault="00F6308C">
            <w:pPr>
              <w:pStyle w:val="TableParagraph"/>
              <w:spacing w:before="64"/>
              <w:ind w:left="169" w:right="172"/>
              <w:jc w:val="center"/>
              <w:rPr>
                <w:b/>
                <w:sz w:val="18"/>
              </w:rPr>
            </w:pPr>
            <w:r>
              <w:rPr>
                <w:b/>
                <w:sz w:val="18"/>
              </w:rPr>
              <w:t>Approved after true up</w:t>
            </w:r>
          </w:p>
        </w:tc>
        <w:tc>
          <w:tcPr>
            <w:tcW w:w="1276" w:type="dxa"/>
            <w:shd w:val="clear" w:color="auto" w:fill="FBD4B4"/>
          </w:tcPr>
          <w:p w:rsidR="007C5447" w:rsidRDefault="007C5447">
            <w:pPr>
              <w:pStyle w:val="TableParagraph"/>
              <w:spacing w:before="6"/>
              <w:jc w:val="left"/>
              <w:rPr>
                <w:b/>
                <w:sz w:val="23"/>
              </w:rPr>
            </w:pPr>
          </w:p>
          <w:p w:rsidR="007C5447" w:rsidRDefault="00F6308C">
            <w:pPr>
              <w:pStyle w:val="TableParagraph"/>
              <w:ind w:left="107"/>
              <w:jc w:val="left"/>
              <w:rPr>
                <w:b/>
                <w:sz w:val="18"/>
              </w:rPr>
            </w:pPr>
            <w:r>
              <w:rPr>
                <w:b/>
                <w:sz w:val="18"/>
              </w:rPr>
              <w:t>TANGEDCO</w:t>
            </w:r>
          </w:p>
        </w:tc>
        <w:tc>
          <w:tcPr>
            <w:tcW w:w="1254" w:type="dxa"/>
            <w:shd w:val="clear" w:color="auto" w:fill="FBD4B4"/>
          </w:tcPr>
          <w:p w:rsidR="007C5447" w:rsidRDefault="00F6308C">
            <w:pPr>
              <w:pStyle w:val="TableParagraph"/>
              <w:spacing w:before="167"/>
              <w:ind w:left="125" w:right="119" w:firstLine="105"/>
              <w:jc w:val="left"/>
              <w:rPr>
                <w:b/>
                <w:sz w:val="18"/>
              </w:rPr>
            </w:pPr>
            <w:r>
              <w:rPr>
                <w:b/>
                <w:sz w:val="18"/>
              </w:rPr>
              <w:t>Approved after true up</w:t>
            </w:r>
          </w:p>
        </w:tc>
        <w:tc>
          <w:tcPr>
            <w:tcW w:w="1276" w:type="dxa"/>
            <w:shd w:val="clear" w:color="auto" w:fill="FBD4B4"/>
          </w:tcPr>
          <w:p w:rsidR="007C5447" w:rsidRDefault="007C5447">
            <w:pPr>
              <w:pStyle w:val="TableParagraph"/>
              <w:spacing w:before="6"/>
              <w:jc w:val="left"/>
              <w:rPr>
                <w:b/>
                <w:sz w:val="23"/>
              </w:rPr>
            </w:pPr>
          </w:p>
          <w:p w:rsidR="007C5447" w:rsidRDefault="00F6308C">
            <w:pPr>
              <w:pStyle w:val="TableParagraph"/>
              <w:ind w:left="104"/>
              <w:jc w:val="left"/>
              <w:rPr>
                <w:b/>
                <w:sz w:val="18"/>
              </w:rPr>
            </w:pPr>
            <w:r>
              <w:rPr>
                <w:b/>
                <w:sz w:val="18"/>
              </w:rPr>
              <w:t>TANGEDCO</w:t>
            </w:r>
          </w:p>
        </w:tc>
        <w:tc>
          <w:tcPr>
            <w:tcW w:w="1398" w:type="dxa"/>
            <w:shd w:val="clear" w:color="auto" w:fill="FBD4B4"/>
          </w:tcPr>
          <w:p w:rsidR="007C5447" w:rsidRDefault="00F6308C">
            <w:pPr>
              <w:pStyle w:val="TableParagraph"/>
              <w:spacing w:before="167"/>
              <w:ind w:left="194" w:right="194" w:firstLine="105"/>
              <w:jc w:val="left"/>
              <w:rPr>
                <w:b/>
                <w:sz w:val="18"/>
              </w:rPr>
            </w:pPr>
            <w:r>
              <w:rPr>
                <w:b/>
                <w:sz w:val="18"/>
              </w:rPr>
              <w:t>Approved after true up</w:t>
            </w:r>
          </w:p>
        </w:tc>
      </w:tr>
      <w:tr w:rsidR="007C5447">
        <w:trPr>
          <w:trHeight w:val="359"/>
        </w:trPr>
        <w:tc>
          <w:tcPr>
            <w:tcW w:w="2432" w:type="dxa"/>
            <w:shd w:val="clear" w:color="auto" w:fill="D0CECE"/>
          </w:tcPr>
          <w:p w:rsidR="007C5447" w:rsidRDefault="00F6308C">
            <w:pPr>
              <w:pStyle w:val="TableParagraph"/>
              <w:spacing w:before="65"/>
              <w:ind w:left="107"/>
              <w:jc w:val="left"/>
              <w:rPr>
                <w:b/>
                <w:sz w:val="20"/>
              </w:rPr>
            </w:pPr>
            <w:r>
              <w:rPr>
                <w:b/>
                <w:sz w:val="20"/>
              </w:rPr>
              <w:t>HIGH TENSION</w:t>
            </w:r>
          </w:p>
        </w:tc>
        <w:tc>
          <w:tcPr>
            <w:tcW w:w="927" w:type="dxa"/>
            <w:shd w:val="clear" w:color="auto" w:fill="D0CECE"/>
          </w:tcPr>
          <w:p w:rsidR="007C5447" w:rsidRDefault="007C5447">
            <w:pPr>
              <w:pStyle w:val="TableParagraph"/>
              <w:jc w:val="left"/>
              <w:rPr>
                <w:sz w:val="18"/>
              </w:rPr>
            </w:pPr>
          </w:p>
        </w:tc>
        <w:tc>
          <w:tcPr>
            <w:tcW w:w="1432" w:type="dxa"/>
            <w:shd w:val="clear" w:color="auto" w:fill="D0CECE"/>
          </w:tcPr>
          <w:p w:rsidR="007C5447" w:rsidRDefault="007C5447">
            <w:pPr>
              <w:pStyle w:val="TableParagraph"/>
              <w:jc w:val="left"/>
              <w:rPr>
                <w:sz w:val="18"/>
              </w:rPr>
            </w:pPr>
          </w:p>
        </w:tc>
        <w:tc>
          <w:tcPr>
            <w:tcW w:w="1254" w:type="dxa"/>
            <w:shd w:val="clear" w:color="auto" w:fill="D0CECE"/>
          </w:tcPr>
          <w:p w:rsidR="007C5447" w:rsidRDefault="007C5447">
            <w:pPr>
              <w:pStyle w:val="TableParagraph"/>
              <w:jc w:val="left"/>
              <w:rPr>
                <w:sz w:val="18"/>
              </w:rPr>
            </w:pPr>
          </w:p>
        </w:tc>
        <w:tc>
          <w:tcPr>
            <w:tcW w:w="1276" w:type="dxa"/>
            <w:shd w:val="clear" w:color="auto" w:fill="D0CECE"/>
          </w:tcPr>
          <w:p w:rsidR="007C5447" w:rsidRDefault="007C5447">
            <w:pPr>
              <w:pStyle w:val="TableParagraph"/>
              <w:jc w:val="left"/>
              <w:rPr>
                <w:sz w:val="18"/>
              </w:rPr>
            </w:pPr>
          </w:p>
        </w:tc>
        <w:tc>
          <w:tcPr>
            <w:tcW w:w="1255" w:type="dxa"/>
            <w:shd w:val="clear" w:color="auto" w:fill="D0CECE"/>
          </w:tcPr>
          <w:p w:rsidR="007C5447" w:rsidRDefault="007C5447">
            <w:pPr>
              <w:pStyle w:val="TableParagraph"/>
              <w:jc w:val="left"/>
              <w:rPr>
                <w:sz w:val="18"/>
              </w:rPr>
            </w:pPr>
          </w:p>
        </w:tc>
        <w:tc>
          <w:tcPr>
            <w:tcW w:w="1276" w:type="dxa"/>
            <w:shd w:val="clear" w:color="auto" w:fill="D0CECE"/>
          </w:tcPr>
          <w:p w:rsidR="007C5447" w:rsidRDefault="007C5447">
            <w:pPr>
              <w:pStyle w:val="TableParagraph"/>
              <w:jc w:val="left"/>
              <w:rPr>
                <w:sz w:val="18"/>
              </w:rPr>
            </w:pPr>
          </w:p>
        </w:tc>
        <w:tc>
          <w:tcPr>
            <w:tcW w:w="1123" w:type="dxa"/>
            <w:shd w:val="clear" w:color="auto" w:fill="D0CECE"/>
          </w:tcPr>
          <w:p w:rsidR="007C5447" w:rsidRDefault="007C5447">
            <w:pPr>
              <w:pStyle w:val="TableParagraph"/>
              <w:jc w:val="left"/>
              <w:rPr>
                <w:sz w:val="18"/>
              </w:rPr>
            </w:pPr>
          </w:p>
        </w:tc>
        <w:tc>
          <w:tcPr>
            <w:tcW w:w="1276" w:type="dxa"/>
            <w:shd w:val="clear" w:color="auto" w:fill="D0CECE"/>
          </w:tcPr>
          <w:p w:rsidR="007C5447" w:rsidRDefault="007C5447">
            <w:pPr>
              <w:pStyle w:val="TableParagraph"/>
              <w:jc w:val="left"/>
              <w:rPr>
                <w:sz w:val="18"/>
              </w:rPr>
            </w:pPr>
          </w:p>
        </w:tc>
        <w:tc>
          <w:tcPr>
            <w:tcW w:w="1254" w:type="dxa"/>
            <w:shd w:val="clear" w:color="auto" w:fill="D0CECE"/>
          </w:tcPr>
          <w:p w:rsidR="007C5447" w:rsidRDefault="007C5447">
            <w:pPr>
              <w:pStyle w:val="TableParagraph"/>
              <w:jc w:val="left"/>
              <w:rPr>
                <w:sz w:val="18"/>
              </w:rPr>
            </w:pPr>
          </w:p>
        </w:tc>
        <w:tc>
          <w:tcPr>
            <w:tcW w:w="1276" w:type="dxa"/>
            <w:shd w:val="clear" w:color="auto" w:fill="D0CECE"/>
          </w:tcPr>
          <w:p w:rsidR="007C5447" w:rsidRDefault="007C5447">
            <w:pPr>
              <w:pStyle w:val="TableParagraph"/>
              <w:jc w:val="left"/>
              <w:rPr>
                <w:sz w:val="18"/>
              </w:rPr>
            </w:pPr>
          </w:p>
        </w:tc>
        <w:tc>
          <w:tcPr>
            <w:tcW w:w="1398" w:type="dxa"/>
            <w:shd w:val="clear" w:color="auto" w:fill="D0CECE"/>
          </w:tcPr>
          <w:p w:rsidR="007C5447" w:rsidRDefault="007C5447">
            <w:pPr>
              <w:pStyle w:val="TableParagraph"/>
              <w:jc w:val="left"/>
              <w:rPr>
                <w:sz w:val="18"/>
              </w:rPr>
            </w:pPr>
          </w:p>
        </w:tc>
      </w:tr>
      <w:tr w:rsidR="007C5447">
        <w:trPr>
          <w:trHeight w:val="434"/>
        </w:trPr>
        <w:tc>
          <w:tcPr>
            <w:tcW w:w="2432" w:type="dxa"/>
          </w:tcPr>
          <w:p w:rsidR="007C5447" w:rsidRDefault="00F6308C">
            <w:pPr>
              <w:pStyle w:val="TableParagraph"/>
              <w:spacing w:before="113"/>
              <w:ind w:left="107"/>
              <w:jc w:val="left"/>
              <w:rPr>
                <w:sz w:val="18"/>
              </w:rPr>
            </w:pPr>
            <w:r>
              <w:rPr>
                <w:sz w:val="18"/>
              </w:rPr>
              <w:t>HT Industries</w:t>
            </w:r>
          </w:p>
        </w:tc>
        <w:tc>
          <w:tcPr>
            <w:tcW w:w="927" w:type="dxa"/>
          </w:tcPr>
          <w:p w:rsidR="007C5447" w:rsidRDefault="00F6308C">
            <w:pPr>
              <w:pStyle w:val="TableParagraph"/>
              <w:spacing w:before="113"/>
              <w:ind w:right="358"/>
              <w:rPr>
                <w:sz w:val="18"/>
              </w:rPr>
            </w:pPr>
            <w:r>
              <w:rPr>
                <w:w w:val="95"/>
                <w:sz w:val="18"/>
              </w:rPr>
              <w:t>IA</w:t>
            </w:r>
          </w:p>
        </w:tc>
        <w:tc>
          <w:tcPr>
            <w:tcW w:w="1432" w:type="dxa"/>
          </w:tcPr>
          <w:p w:rsidR="007C5447" w:rsidRDefault="00F6308C">
            <w:pPr>
              <w:pStyle w:val="TableParagraph"/>
              <w:spacing w:before="113"/>
              <w:ind w:right="323"/>
              <w:rPr>
                <w:sz w:val="18"/>
              </w:rPr>
            </w:pPr>
            <w:r>
              <w:rPr>
                <w:sz w:val="18"/>
              </w:rPr>
              <w:t>9,581</w:t>
            </w:r>
          </w:p>
        </w:tc>
        <w:tc>
          <w:tcPr>
            <w:tcW w:w="1254" w:type="dxa"/>
          </w:tcPr>
          <w:p w:rsidR="007C5447" w:rsidRDefault="00F6308C">
            <w:pPr>
              <w:pStyle w:val="TableParagraph"/>
              <w:spacing w:before="113"/>
              <w:ind w:right="324"/>
              <w:rPr>
                <w:sz w:val="18"/>
              </w:rPr>
            </w:pPr>
            <w:r>
              <w:rPr>
                <w:sz w:val="18"/>
              </w:rPr>
              <w:t>9,581</w:t>
            </w:r>
          </w:p>
        </w:tc>
        <w:tc>
          <w:tcPr>
            <w:tcW w:w="1276" w:type="dxa"/>
          </w:tcPr>
          <w:p w:rsidR="007C5447" w:rsidRDefault="00F6308C">
            <w:pPr>
              <w:pStyle w:val="TableParagraph"/>
              <w:spacing w:before="113"/>
              <w:ind w:left="531"/>
              <w:jc w:val="left"/>
              <w:rPr>
                <w:sz w:val="18"/>
              </w:rPr>
            </w:pPr>
            <w:r>
              <w:rPr>
                <w:sz w:val="18"/>
              </w:rPr>
              <w:t>7,542</w:t>
            </w:r>
          </w:p>
        </w:tc>
        <w:tc>
          <w:tcPr>
            <w:tcW w:w="1255" w:type="dxa"/>
          </w:tcPr>
          <w:p w:rsidR="007C5447" w:rsidRDefault="00F6308C">
            <w:pPr>
              <w:pStyle w:val="TableParagraph"/>
              <w:spacing w:before="113"/>
              <w:ind w:right="327"/>
              <w:rPr>
                <w:sz w:val="18"/>
              </w:rPr>
            </w:pPr>
            <w:r>
              <w:rPr>
                <w:sz w:val="18"/>
              </w:rPr>
              <w:t>7,542</w:t>
            </w:r>
          </w:p>
        </w:tc>
        <w:tc>
          <w:tcPr>
            <w:tcW w:w="1276" w:type="dxa"/>
          </w:tcPr>
          <w:p w:rsidR="007C5447" w:rsidRDefault="00F6308C">
            <w:pPr>
              <w:pStyle w:val="TableParagraph"/>
              <w:spacing w:before="113"/>
              <w:ind w:left="528"/>
              <w:jc w:val="left"/>
              <w:rPr>
                <w:sz w:val="18"/>
              </w:rPr>
            </w:pPr>
            <w:r>
              <w:rPr>
                <w:sz w:val="18"/>
              </w:rPr>
              <w:t>9,674</w:t>
            </w:r>
          </w:p>
        </w:tc>
        <w:tc>
          <w:tcPr>
            <w:tcW w:w="1123" w:type="dxa"/>
          </w:tcPr>
          <w:p w:rsidR="007C5447" w:rsidRDefault="00F6308C">
            <w:pPr>
              <w:pStyle w:val="TableParagraph"/>
              <w:spacing w:before="113"/>
              <w:ind w:right="331"/>
              <w:rPr>
                <w:sz w:val="18"/>
              </w:rPr>
            </w:pPr>
            <w:r>
              <w:rPr>
                <w:sz w:val="18"/>
              </w:rPr>
              <w:t>9,674</w:t>
            </w:r>
          </w:p>
        </w:tc>
        <w:tc>
          <w:tcPr>
            <w:tcW w:w="1276" w:type="dxa"/>
          </w:tcPr>
          <w:p w:rsidR="007C5447" w:rsidRDefault="00F6308C">
            <w:pPr>
              <w:pStyle w:val="TableParagraph"/>
              <w:spacing w:before="113"/>
              <w:ind w:left="434"/>
              <w:jc w:val="left"/>
              <w:rPr>
                <w:sz w:val="18"/>
              </w:rPr>
            </w:pPr>
            <w:r>
              <w:rPr>
                <w:sz w:val="18"/>
              </w:rPr>
              <w:t>11,299</w:t>
            </w:r>
          </w:p>
        </w:tc>
        <w:tc>
          <w:tcPr>
            <w:tcW w:w="1254" w:type="dxa"/>
          </w:tcPr>
          <w:p w:rsidR="007C5447" w:rsidRDefault="00F6308C">
            <w:pPr>
              <w:pStyle w:val="TableParagraph"/>
              <w:spacing w:before="113"/>
              <w:ind w:right="336"/>
              <w:rPr>
                <w:sz w:val="18"/>
              </w:rPr>
            </w:pPr>
            <w:r>
              <w:rPr>
                <w:sz w:val="18"/>
              </w:rPr>
              <w:t>11,299</w:t>
            </w:r>
          </w:p>
        </w:tc>
        <w:tc>
          <w:tcPr>
            <w:tcW w:w="1276" w:type="dxa"/>
          </w:tcPr>
          <w:p w:rsidR="007C5447" w:rsidRDefault="00F6308C">
            <w:pPr>
              <w:pStyle w:val="TableParagraph"/>
              <w:spacing w:before="113"/>
              <w:ind w:left="205"/>
              <w:jc w:val="left"/>
              <w:rPr>
                <w:sz w:val="18"/>
              </w:rPr>
            </w:pPr>
            <w:r>
              <w:rPr>
                <w:sz w:val="18"/>
              </w:rPr>
              <w:t>11,572.67</w:t>
            </w:r>
          </w:p>
        </w:tc>
        <w:tc>
          <w:tcPr>
            <w:tcW w:w="1398" w:type="dxa"/>
          </w:tcPr>
          <w:p w:rsidR="007C5447" w:rsidRDefault="00F6308C">
            <w:pPr>
              <w:pStyle w:val="TableParagraph"/>
              <w:spacing w:before="113"/>
              <w:ind w:right="341"/>
              <w:rPr>
                <w:sz w:val="18"/>
              </w:rPr>
            </w:pPr>
            <w:r>
              <w:rPr>
                <w:sz w:val="18"/>
              </w:rPr>
              <w:t>11,572.67</w:t>
            </w:r>
          </w:p>
        </w:tc>
      </w:tr>
      <w:tr w:rsidR="007C5447">
        <w:trPr>
          <w:trHeight w:val="359"/>
        </w:trPr>
        <w:tc>
          <w:tcPr>
            <w:tcW w:w="2432" w:type="dxa"/>
          </w:tcPr>
          <w:p w:rsidR="007C5447" w:rsidRDefault="00F6308C">
            <w:pPr>
              <w:pStyle w:val="TableParagraph"/>
              <w:spacing w:before="76"/>
              <w:ind w:left="107"/>
              <w:jc w:val="left"/>
              <w:rPr>
                <w:sz w:val="18"/>
              </w:rPr>
            </w:pPr>
            <w:r>
              <w:rPr>
                <w:sz w:val="18"/>
              </w:rPr>
              <w:t>Railway Traction</w:t>
            </w:r>
          </w:p>
        </w:tc>
        <w:tc>
          <w:tcPr>
            <w:tcW w:w="927" w:type="dxa"/>
          </w:tcPr>
          <w:p w:rsidR="007C5447" w:rsidRDefault="00F6308C">
            <w:pPr>
              <w:pStyle w:val="TableParagraph"/>
              <w:spacing w:before="76"/>
              <w:ind w:right="363"/>
              <w:rPr>
                <w:sz w:val="18"/>
              </w:rPr>
            </w:pPr>
            <w:r>
              <w:rPr>
                <w:sz w:val="18"/>
              </w:rPr>
              <w:t>IB</w:t>
            </w:r>
          </w:p>
        </w:tc>
        <w:tc>
          <w:tcPr>
            <w:tcW w:w="1432" w:type="dxa"/>
          </w:tcPr>
          <w:p w:rsidR="007C5447" w:rsidRDefault="00F6308C">
            <w:pPr>
              <w:pStyle w:val="TableParagraph"/>
              <w:spacing w:before="76"/>
              <w:ind w:right="323"/>
              <w:rPr>
                <w:sz w:val="18"/>
              </w:rPr>
            </w:pPr>
            <w:r>
              <w:rPr>
                <w:sz w:val="18"/>
              </w:rPr>
              <w:t>708</w:t>
            </w:r>
          </w:p>
        </w:tc>
        <w:tc>
          <w:tcPr>
            <w:tcW w:w="1254" w:type="dxa"/>
          </w:tcPr>
          <w:p w:rsidR="007C5447" w:rsidRDefault="00F6308C">
            <w:pPr>
              <w:pStyle w:val="TableParagraph"/>
              <w:spacing w:before="76"/>
              <w:ind w:right="326"/>
              <w:rPr>
                <w:sz w:val="18"/>
              </w:rPr>
            </w:pPr>
            <w:r>
              <w:rPr>
                <w:sz w:val="18"/>
              </w:rPr>
              <w:t>708</w:t>
            </w:r>
          </w:p>
        </w:tc>
        <w:tc>
          <w:tcPr>
            <w:tcW w:w="1276" w:type="dxa"/>
          </w:tcPr>
          <w:p w:rsidR="007C5447" w:rsidRDefault="00F6308C">
            <w:pPr>
              <w:pStyle w:val="TableParagraph"/>
              <w:spacing w:before="76"/>
              <w:ind w:left="666"/>
              <w:jc w:val="left"/>
              <w:rPr>
                <w:sz w:val="18"/>
              </w:rPr>
            </w:pPr>
            <w:r>
              <w:rPr>
                <w:sz w:val="18"/>
              </w:rPr>
              <w:t>711</w:t>
            </w:r>
          </w:p>
        </w:tc>
        <w:tc>
          <w:tcPr>
            <w:tcW w:w="1255" w:type="dxa"/>
          </w:tcPr>
          <w:p w:rsidR="007C5447" w:rsidRDefault="00F6308C">
            <w:pPr>
              <w:pStyle w:val="TableParagraph"/>
              <w:spacing w:before="76"/>
              <w:ind w:right="329"/>
              <w:rPr>
                <w:sz w:val="18"/>
              </w:rPr>
            </w:pPr>
            <w:r>
              <w:rPr>
                <w:sz w:val="18"/>
              </w:rPr>
              <w:t>711</w:t>
            </w:r>
          </w:p>
        </w:tc>
        <w:tc>
          <w:tcPr>
            <w:tcW w:w="1276" w:type="dxa"/>
          </w:tcPr>
          <w:p w:rsidR="007C5447" w:rsidRDefault="00F6308C">
            <w:pPr>
              <w:pStyle w:val="TableParagraph"/>
              <w:spacing w:before="76"/>
              <w:ind w:left="662"/>
              <w:jc w:val="left"/>
              <w:rPr>
                <w:sz w:val="18"/>
              </w:rPr>
            </w:pPr>
            <w:r>
              <w:rPr>
                <w:sz w:val="18"/>
              </w:rPr>
              <w:t>766</w:t>
            </w:r>
          </w:p>
        </w:tc>
        <w:tc>
          <w:tcPr>
            <w:tcW w:w="1123" w:type="dxa"/>
          </w:tcPr>
          <w:p w:rsidR="007C5447" w:rsidRDefault="00F6308C">
            <w:pPr>
              <w:pStyle w:val="TableParagraph"/>
              <w:spacing w:before="76"/>
              <w:ind w:right="333"/>
              <w:rPr>
                <w:sz w:val="18"/>
              </w:rPr>
            </w:pPr>
            <w:r>
              <w:rPr>
                <w:sz w:val="18"/>
              </w:rPr>
              <w:t>766</w:t>
            </w:r>
          </w:p>
        </w:tc>
        <w:tc>
          <w:tcPr>
            <w:tcW w:w="1276" w:type="dxa"/>
          </w:tcPr>
          <w:p w:rsidR="007C5447" w:rsidRDefault="00F6308C">
            <w:pPr>
              <w:pStyle w:val="TableParagraph"/>
              <w:spacing w:before="76"/>
              <w:ind w:left="659"/>
              <w:jc w:val="left"/>
              <w:rPr>
                <w:sz w:val="18"/>
              </w:rPr>
            </w:pPr>
            <w:r>
              <w:rPr>
                <w:sz w:val="18"/>
              </w:rPr>
              <w:t>824</w:t>
            </w:r>
          </w:p>
        </w:tc>
        <w:tc>
          <w:tcPr>
            <w:tcW w:w="1254" w:type="dxa"/>
          </w:tcPr>
          <w:p w:rsidR="007C5447" w:rsidRDefault="00F6308C">
            <w:pPr>
              <w:pStyle w:val="TableParagraph"/>
              <w:spacing w:before="76"/>
              <w:ind w:right="335"/>
              <w:rPr>
                <w:sz w:val="18"/>
              </w:rPr>
            </w:pPr>
            <w:r>
              <w:rPr>
                <w:sz w:val="18"/>
              </w:rPr>
              <w:t>824</w:t>
            </w:r>
          </w:p>
        </w:tc>
        <w:tc>
          <w:tcPr>
            <w:tcW w:w="1276" w:type="dxa"/>
          </w:tcPr>
          <w:p w:rsidR="007C5447" w:rsidRDefault="00F6308C">
            <w:pPr>
              <w:pStyle w:val="TableParagraph"/>
              <w:spacing w:before="76"/>
              <w:ind w:left="657"/>
              <w:jc w:val="left"/>
              <w:rPr>
                <w:sz w:val="18"/>
              </w:rPr>
            </w:pPr>
            <w:r>
              <w:rPr>
                <w:sz w:val="18"/>
              </w:rPr>
              <w:t>834</w:t>
            </w:r>
          </w:p>
        </w:tc>
        <w:tc>
          <w:tcPr>
            <w:tcW w:w="1398" w:type="dxa"/>
          </w:tcPr>
          <w:p w:rsidR="007C5447" w:rsidRDefault="00F6308C">
            <w:pPr>
              <w:pStyle w:val="TableParagraph"/>
              <w:spacing w:before="76"/>
              <w:ind w:right="340"/>
              <w:rPr>
                <w:sz w:val="18"/>
              </w:rPr>
            </w:pPr>
            <w:r>
              <w:rPr>
                <w:sz w:val="18"/>
              </w:rPr>
              <w:t>834</w:t>
            </w:r>
          </w:p>
        </w:tc>
      </w:tr>
      <w:tr w:rsidR="007C5447">
        <w:trPr>
          <w:trHeight w:val="690"/>
        </w:trPr>
        <w:tc>
          <w:tcPr>
            <w:tcW w:w="2432" w:type="dxa"/>
          </w:tcPr>
          <w:p w:rsidR="007C5447" w:rsidRDefault="00F6308C">
            <w:pPr>
              <w:pStyle w:val="TableParagraph"/>
              <w:spacing w:before="139"/>
              <w:ind w:left="107" w:right="85"/>
              <w:jc w:val="left"/>
              <w:rPr>
                <w:sz w:val="18"/>
              </w:rPr>
            </w:pPr>
            <w:r>
              <w:rPr>
                <w:sz w:val="18"/>
              </w:rPr>
              <w:t>Govt. Educational Institutions, Hospitals, Water supply etc.</w:t>
            </w:r>
          </w:p>
        </w:tc>
        <w:tc>
          <w:tcPr>
            <w:tcW w:w="927" w:type="dxa"/>
          </w:tcPr>
          <w:p w:rsidR="007C5447" w:rsidRDefault="007C5447">
            <w:pPr>
              <w:pStyle w:val="TableParagraph"/>
              <w:jc w:val="left"/>
              <w:rPr>
                <w:b/>
                <w:sz w:val="21"/>
              </w:rPr>
            </w:pPr>
          </w:p>
          <w:p w:rsidR="007C5447" w:rsidRDefault="00F6308C">
            <w:pPr>
              <w:pStyle w:val="TableParagraph"/>
              <w:ind w:right="327"/>
              <w:rPr>
                <w:sz w:val="18"/>
              </w:rPr>
            </w:pPr>
            <w:r>
              <w:rPr>
                <w:w w:val="95"/>
                <w:sz w:val="18"/>
              </w:rPr>
              <w:t>IIA</w:t>
            </w:r>
          </w:p>
        </w:tc>
        <w:tc>
          <w:tcPr>
            <w:tcW w:w="1432" w:type="dxa"/>
          </w:tcPr>
          <w:p w:rsidR="007C5447" w:rsidRDefault="007C5447">
            <w:pPr>
              <w:pStyle w:val="TableParagraph"/>
              <w:jc w:val="left"/>
              <w:rPr>
                <w:b/>
                <w:sz w:val="21"/>
              </w:rPr>
            </w:pPr>
          </w:p>
          <w:p w:rsidR="007C5447" w:rsidRDefault="00F6308C">
            <w:pPr>
              <w:pStyle w:val="TableParagraph"/>
              <w:ind w:right="321"/>
              <w:rPr>
                <w:sz w:val="18"/>
              </w:rPr>
            </w:pPr>
            <w:r>
              <w:rPr>
                <w:sz w:val="18"/>
              </w:rPr>
              <w:t>1,251</w:t>
            </w:r>
          </w:p>
        </w:tc>
        <w:tc>
          <w:tcPr>
            <w:tcW w:w="1254" w:type="dxa"/>
          </w:tcPr>
          <w:p w:rsidR="007C5447" w:rsidRDefault="007C5447">
            <w:pPr>
              <w:pStyle w:val="TableParagraph"/>
              <w:jc w:val="left"/>
              <w:rPr>
                <w:b/>
                <w:sz w:val="21"/>
              </w:rPr>
            </w:pPr>
          </w:p>
          <w:p w:rsidR="007C5447" w:rsidRDefault="00F6308C">
            <w:pPr>
              <w:pStyle w:val="TableParagraph"/>
              <w:ind w:right="324"/>
              <w:rPr>
                <w:sz w:val="18"/>
              </w:rPr>
            </w:pPr>
            <w:r>
              <w:rPr>
                <w:sz w:val="18"/>
              </w:rPr>
              <w:t>1,251</w:t>
            </w:r>
          </w:p>
        </w:tc>
        <w:tc>
          <w:tcPr>
            <w:tcW w:w="1276" w:type="dxa"/>
          </w:tcPr>
          <w:p w:rsidR="007C5447" w:rsidRDefault="007C5447">
            <w:pPr>
              <w:pStyle w:val="TableParagraph"/>
              <w:jc w:val="left"/>
              <w:rPr>
                <w:b/>
                <w:sz w:val="21"/>
              </w:rPr>
            </w:pPr>
          </w:p>
          <w:p w:rsidR="007C5447" w:rsidRDefault="00F6308C">
            <w:pPr>
              <w:pStyle w:val="TableParagraph"/>
              <w:ind w:left="666"/>
              <w:jc w:val="left"/>
              <w:rPr>
                <w:sz w:val="18"/>
              </w:rPr>
            </w:pPr>
            <w:r>
              <w:rPr>
                <w:sz w:val="18"/>
              </w:rPr>
              <w:t>973</w:t>
            </w:r>
          </w:p>
        </w:tc>
        <w:tc>
          <w:tcPr>
            <w:tcW w:w="1255" w:type="dxa"/>
          </w:tcPr>
          <w:p w:rsidR="007C5447" w:rsidRDefault="007C5447">
            <w:pPr>
              <w:pStyle w:val="TableParagraph"/>
              <w:jc w:val="left"/>
              <w:rPr>
                <w:b/>
                <w:sz w:val="21"/>
              </w:rPr>
            </w:pPr>
          </w:p>
          <w:p w:rsidR="007C5447" w:rsidRDefault="00F6308C">
            <w:pPr>
              <w:pStyle w:val="TableParagraph"/>
              <w:ind w:right="329"/>
              <w:rPr>
                <w:sz w:val="18"/>
              </w:rPr>
            </w:pPr>
            <w:r>
              <w:rPr>
                <w:sz w:val="18"/>
              </w:rPr>
              <w:t>973</w:t>
            </w:r>
          </w:p>
        </w:tc>
        <w:tc>
          <w:tcPr>
            <w:tcW w:w="1276" w:type="dxa"/>
          </w:tcPr>
          <w:p w:rsidR="007C5447" w:rsidRDefault="007C5447">
            <w:pPr>
              <w:pStyle w:val="TableParagraph"/>
              <w:jc w:val="left"/>
              <w:rPr>
                <w:b/>
                <w:sz w:val="21"/>
              </w:rPr>
            </w:pPr>
          </w:p>
          <w:p w:rsidR="007C5447" w:rsidRDefault="00F6308C">
            <w:pPr>
              <w:pStyle w:val="TableParagraph"/>
              <w:ind w:left="528"/>
              <w:jc w:val="left"/>
              <w:rPr>
                <w:sz w:val="18"/>
              </w:rPr>
            </w:pPr>
            <w:r>
              <w:rPr>
                <w:sz w:val="18"/>
              </w:rPr>
              <w:t>1,111</w:t>
            </w:r>
          </w:p>
        </w:tc>
        <w:tc>
          <w:tcPr>
            <w:tcW w:w="1123" w:type="dxa"/>
          </w:tcPr>
          <w:p w:rsidR="007C5447" w:rsidRDefault="007C5447">
            <w:pPr>
              <w:pStyle w:val="TableParagraph"/>
              <w:jc w:val="left"/>
              <w:rPr>
                <w:b/>
                <w:sz w:val="21"/>
              </w:rPr>
            </w:pPr>
          </w:p>
          <w:p w:rsidR="007C5447" w:rsidRDefault="00F6308C">
            <w:pPr>
              <w:pStyle w:val="TableParagraph"/>
              <w:ind w:right="331"/>
              <w:rPr>
                <w:sz w:val="18"/>
              </w:rPr>
            </w:pPr>
            <w:r>
              <w:rPr>
                <w:sz w:val="18"/>
              </w:rPr>
              <w:t>1,111</w:t>
            </w:r>
          </w:p>
        </w:tc>
        <w:tc>
          <w:tcPr>
            <w:tcW w:w="1276" w:type="dxa"/>
          </w:tcPr>
          <w:p w:rsidR="007C5447" w:rsidRDefault="007C5447">
            <w:pPr>
              <w:pStyle w:val="TableParagraph"/>
              <w:jc w:val="left"/>
              <w:rPr>
                <w:b/>
                <w:sz w:val="21"/>
              </w:rPr>
            </w:pPr>
          </w:p>
          <w:p w:rsidR="007C5447" w:rsidRDefault="00F6308C">
            <w:pPr>
              <w:pStyle w:val="TableParagraph"/>
              <w:ind w:left="525"/>
              <w:jc w:val="left"/>
              <w:rPr>
                <w:sz w:val="18"/>
              </w:rPr>
            </w:pPr>
            <w:r>
              <w:rPr>
                <w:sz w:val="18"/>
              </w:rPr>
              <w:t>1,268</w:t>
            </w:r>
          </w:p>
        </w:tc>
        <w:tc>
          <w:tcPr>
            <w:tcW w:w="1254" w:type="dxa"/>
          </w:tcPr>
          <w:p w:rsidR="007C5447" w:rsidRDefault="007C5447">
            <w:pPr>
              <w:pStyle w:val="TableParagraph"/>
              <w:jc w:val="left"/>
              <w:rPr>
                <w:b/>
                <w:sz w:val="21"/>
              </w:rPr>
            </w:pPr>
          </w:p>
          <w:p w:rsidR="007C5447" w:rsidRDefault="00F6308C">
            <w:pPr>
              <w:pStyle w:val="TableParagraph"/>
              <w:ind w:right="333"/>
              <w:rPr>
                <w:sz w:val="18"/>
              </w:rPr>
            </w:pPr>
            <w:r>
              <w:rPr>
                <w:sz w:val="18"/>
              </w:rPr>
              <w:t>1,268</w:t>
            </w:r>
          </w:p>
        </w:tc>
        <w:tc>
          <w:tcPr>
            <w:tcW w:w="1276" w:type="dxa"/>
          </w:tcPr>
          <w:p w:rsidR="007C5447" w:rsidRDefault="007C5447">
            <w:pPr>
              <w:pStyle w:val="TableParagraph"/>
              <w:jc w:val="left"/>
              <w:rPr>
                <w:b/>
                <w:sz w:val="21"/>
              </w:rPr>
            </w:pPr>
          </w:p>
          <w:p w:rsidR="007C5447" w:rsidRDefault="00F6308C">
            <w:pPr>
              <w:pStyle w:val="TableParagraph"/>
              <w:ind w:left="522"/>
              <w:jc w:val="left"/>
              <w:rPr>
                <w:sz w:val="18"/>
              </w:rPr>
            </w:pPr>
            <w:r>
              <w:rPr>
                <w:sz w:val="18"/>
              </w:rPr>
              <w:t>1,351</w:t>
            </w:r>
          </w:p>
        </w:tc>
        <w:tc>
          <w:tcPr>
            <w:tcW w:w="1398" w:type="dxa"/>
          </w:tcPr>
          <w:p w:rsidR="007C5447" w:rsidRDefault="007C5447">
            <w:pPr>
              <w:pStyle w:val="TableParagraph"/>
              <w:jc w:val="left"/>
              <w:rPr>
                <w:b/>
                <w:sz w:val="21"/>
              </w:rPr>
            </w:pPr>
          </w:p>
          <w:p w:rsidR="007C5447" w:rsidRDefault="00F6308C">
            <w:pPr>
              <w:pStyle w:val="TableParagraph"/>
              <w:ind w:right="338"/>
              <w:rPr>
                <w:sz w:val="18"/>
              </w:rPr>
            </w:pPr>
            <w:r>
              <w:rPr>
                <w:sz w:val="18"/>
              </w:rPr>
              <w:t>1,351</w:t>
            </w:r>
          </w:p>
        </w:tc>
      </w:tr>
      <w:tr w:rsidR="007C5447">
        <w:trPr>
          <w:trHeight w:val="690"/>
        </w:trPr>
        <w:tc>
          <w:tcPr>
            <w:tcW w:w="2432" w:type="dxa"/>
          </w:tcPr>
          <w:p w:rsidR="007C5447" w:rsidRDefault="00F6308C">
            <w:pPr>
              <w:pStyle w:val="TableParagraph"/>
              <w:spacing w:before="35"/>
              <w:ind w:left="107" w:right="85"/>
              <w:jc w:val="left"/>
              <w:rPr>
                <w:sz w:val="18"/>
              </w:rPr>
            </w:pPr>
            <w:r>
              <w:rPr>
                <w:sz w:val="18"/>
              </w:rPr>
              <w:t>Private Educational Institutions, Cinema Theatres &amp; Studios</w:t>
            </w:r>
          </w:p>
        </w:tc>
        <w:tc>
          <w:tcPr>
            <w:tcW w:w="927" w:type="dxa"/>
          </w:tcPr>
          <w:p w:rsidR="007C5447" w:rsidRDefault="007C5447">
            <w:pPr>
              <w:pStyle w:val="TableParagraph"/>
              <w:jc w:val="left"/>
              <w:rPr>
                <w:b/>
                <w:sz w:val="21"/>
              </w:rPr>
            </w:pPr>
          </w:p>
          <w:p w:rsidR="007C5447" w:rsidRDefault="00F6308C">
            <w:pPr>
              <w:pStyle w:val="TableParagraph"/>
              <w:ind w:right="332"/>
              <w:rPr>
                <w:sz w:val="18"/>
              </w:rPr>
            </w:pPr>
            <w:r>
              <w:rPr>
                <w:sz w:val="18"/>
              </w:rPr>
              <w:t>IIB</w:t>
            </w:r>
          </w:p>
        </w:tc>
        <w:tc>
          <w:tcPr>
            <w:tcW w:w="1432" w:type="dxa"/>
          </w:tcPr>
          <w:p w:rsidR="007C5447" w:rsidRDefault="007C5447">
            <w:pPr>
              <w:pStyle w:val="TableParagraph"/>
              <w:jc w:val="left"/>
              <w:rPr>
                <w:b/>
                <w:sz w:val="21"/>
              </w:rPr>
            </w:pPr>
          </w:p>
          <w:p w:rsidR="007C5447" w:rsidRDefault="00F6308C">
            <w:pPr>
              <w:pStyle w:val="TableParagraph"/>
              <w:ind w:right="323"/>
              <w:rPr>
                <w:sz w:val="18"/>
              </w:rPr>
            </w:pPr>
            <w:r>
              <w:rPr>
                <w:sz w:val="18"/>
              </w:rPr>
              <w:t>227</w:t>
            </w:r>
          </w:p>
        </w:tc>
        <w:tc>
          <w:tcPr>
            <w:tcW w:w="1254" w:type="dxa"/>
          </w:tcPr>
          <w:p w:rsidR="007C5447" w:rsidRDefault="007C5447">
            <w:pPr>
              <w:pStyle w:val="TableParagraph"/>
              <w:jc w:val="left"/>
              <w:rPr>
                <w:b/>
                <w:sz w:val="21"/>
              </w:rPr>
            </w:pPr>
          </w:p>
          <w:p w:rsidR="007C5447" w:rsidRDefault="00F6308C">
            <w:pPr>
              <w:pStyle w:val="TableParagraph"/>
              <w:ind w:right="326"/>
              <w:rPr>
                <w:sz w:val="18"/>
              </w:rPr>
            </w:pPr>
            <w:r>
              <w:rPr>
                <w:sz w:val="18"/>
              </w:rPr>
              <w:t>227</w:t>
            </w:r>
          </w:p>
        </w:tc>
        <w:tc>
          <w:tcPr>
            <w:tcW w:w="1276" w:type="dxa"/>
          </w:tcPr>
          <w:p w:rsidR="007C5447" w:rsidRDefault="007C5447">
            <w:pPr>
              <w:pStyle w:val="TableParagraph"/>
              <w:jc w:val="left"/>
              <w:rPr>
                <w:b/>
                <w:sz w:val="21"/>
              </w:rPr>
            </w:pPr>
          </w:p>
          <w:p w:rsidR="007C5447" w:rsidRDefault="00F6308C">
            <w:pPr>
              <w:pStyle w:val="TableParagraph"/>
              <w:ind w:left="666"/>
              <w:jc w:val="left"/>
              <w:rPr>
                <w:sz w:val="18"/>
              </w:rPr>
            </w:pPr>
            <w:r>
              <w:rPr>
                <w:sz w:val="18"/>
              </w:rPr>
              <w:t>224</w:t>
            </w:r>
          </w:p>
        </w:tc>
        <w:tc>
          <w:tcPr>
            <w:tcW w:w="1255" w:type="dxa"/>
          </w:tcPr>
          <w:p w:rsidR="007C5447" w:rsidRDefault="007C5447">
            <w:pPr>
              <w:pStyle w:val="TableParagraph"/>
              <w:jc w:val="left"/>
              <w:rPr>
                <w:b/>
                <w:sz w:val="21"/>
              </w:rPr>
            </w:pPr>
          </w:p>
          <w:p w:rsidR="007C5447" w:rsidRDefault="00F6308C">
            <w:pPr>
              <w:pStyle w:val="TableParagraph"/>
              <w:ind w:right="329"/>
              <w:rPr>
                <w:sz w:val="18"/>
              </w:rPr>
            </w:pPr>
            <w:r>
              <w:rPr>
                <w:sz w:val="18"/>
              </w:rPr>
              <w:t>224</w:t>
            </w:r>
          </w:p>
        </w:tc>
        <w:tc>
          <w:tcPr>
            <w:tcW w:w="1276" w:type="dxa"/>
          </w:tcPr>
          <w:p w:rsidR="007C5447" w:rsidRDefault="007C5447">
            <w:pPr>
              <w:pStyle w:val="TableParagraph"/>
              <w:jc w:val="left"/>
              <w:rPr>
                <w:b/>
                <w:sz w:val="21"/>
              </w:rPr>
            </w:pPr>
          </w:p>
          <w:p w:rsidR="007C5447" w:rsidRDefault="00F6308C">
            <w:pPr>
              <w:pStyle w:val="TableParagraph"/>
              <w:ind w:left="662"/>
              <w:jc w:val="left"/>
              <w:rPr>
                <w:sz w:val="18"/>
              </w:rPr>
            </w:pPr>
            <w:r>
              <w:rPr>
                <w:sz w:val="18"/>
              </w:rPr>
              <w:t>280</w:t>
            </w:r>
          </w:p>
        </w:tc>
        <w:tc>
          <w:tcPr>
            <w:tcW w:w="1123" w:type="dxa"/>
          </w:tcPr>
          <w:p w:rsidR="007C5447" w:rsidRDefault="007C5447">
            <w:pPr>
              <w:pStyle w:val="TableParagraph"/>
              <w:jc w:val="left"/>
              <w:rPr>
                <w:b/>
                <w:sz w:val="21"/>
              </w:rPr>
            </w:pPr>
          </w:p>
          <w:p w:rsidR="007C5447" w:rsidRDefault="00F6308C">
            <w:pPr>
              <w:pStyle w:val="TableParagraph"/>
              <w:ind w:right="333"/>
              <w:rPr>
                <w:sz w:val="18"/>
              </w:rPr>
            </w:pPr>
            <w:r>
              <w:rPr>
                <w:sz w:val="18"/>
              </w:rPr>
              <w:t>280</w:t>
            </w:r>
          </w:p>
        </w:tc>
        <w:tc>
          <w:tcPr>
            <w:tcW w:w="1276" w:type="dxa"/>
          </w:tcPr>
          <w:p w:rsidR="007C5447" w:rsidRDefault="007C5447">
            <w:pPr>
              <w:pStyle w:val="TableParagraph"/>
              <w:jc w:val="left"/>
              <w:rPr>
                <w:b/>
                <w:sz w:val="21"/>
              </w:rPr>
            </w:pPr>
          </w:p>
          <w:p w:rsidR="007C5447" w:rsidRDefault="00F6308C">
            <w:pPr>
              <w:pStyle w:val="TableParagraph"/>
              <w:ind w:left="659"/>
              <w:jc w:val="left"/>
              <w:rPr>
                <w:sz w:val="18"/>
              </w:rPr>
            </w:pPr>
            <w:r>
              <w:rPr>
                <w:sz w:val="18"/>
              </w:rPr>
              <w:t>309</w:t>
            </w:r>
          </w:p>
        </w:tc>
        <w:tc>
          <w:tcPr>
            <w:tcW w:w="1254" w:type="dxa"/>
          </w:tcPr>
          <w:p w:rsidR="007C5447" w:rsidRDefault="007C5447">
            <w:pPr>
              <w:pStyle w:val="TableParagraph"/>
              <w:jc w:val="left"/>
              <w:rPr>
                <w:b/>
                <w:sz w:val="21"/>
              </w:rPr>
            </w:pPr>
          </w:p>
          <w:p w:rsidR="007C5447" w:rsidRDefault="00F6308C">
            <w:pPr>
              <w:pStyle w:val="TableParagraph"/>
              <w:ind w:right="335"/>
              <w:rPr>
                <w:sz w:val="18"/>
              </w:rPr>
            </w:pPr>
            <w:r>
              <w:rPr>
                <w:sz w:val="18"/>
              </w:rPr>
              <w:t>309</w:t>
            </w:r>
          </w:p>
        </w:tc>
        <w:tc>
          <w:tcPr>
            <w:tcW w:w="1276" w:type="dxa"/>
          </w:tcPr>
          <w:p w:rsidR="007C5447" w:rsidRDefault="007C5447">
            <w:pPr>
              <w:pStyle w:val="TableParagraph"/>
              <w:jc w:val="left"/>
              <w:rPr>
                <w:b/>
                <w:sz w:val="21"/>
              </w:rPr>
            </w:pPr>
          </w:p>
          <w:p w:rsidR="007C5447" w:rsidRDefault="00F6308C">
            <w:pPr>
              <w:pStyle w:val="TableParagraph"/>
              <w:ind w:left="657"/>
              <w:jc w:val="left"/>
              <w:rPr>
                <w:sz w:val="18"/>
              </w:rPr>
            </w:pPr>
            <w:r>
              <w:rPr>
                <w:sz w:val="18"/>
              </w:rPr>
              <w:t>325</w:t>
            </w:r>
          </w:p>
        </w:tc>
        <w:tc>
          <w:tcPr>
            <w:tcW w:w="1398" w:type="dxa"/>
          </w:tcPr>
          <w:p w:rsidR="007C5447" w:rsidRDefault="007C5447">
            <w:pPr>
              <w:pStyle w:val="TableParagraph"/>
              <w:jc w:val="left"/>
              <w:rPr>
                <w:b/>
                <w:sz w:val="21"/>
              </w:rPr>
            </w:pPr>
          </w:p>
          <w:p w:rsidR="007C5447" w:rsidRDefault="00F6308C">
            <w:pPr>
              <w:pStyle w:val="TableParagraph"/>
              <w:ind w:right="340"/>
              <w:rPr>
                <w:sz w:val="18"/>
              </w:rPr>
            </w:pPr>
            <w:r>
              <w:rPr>
                <w:sz w:val="18"/>
              </w:rPr>
              <w:t>325</w:t>
            </w:r>
          </w:p>
        </w:tc>
      </w:tr>
      <w:tr w:rsidR="007C5447">
        <w:trPr>
          <w:trHeight w:val="688"/>
        </w:trPr>
        <w:tc>
          <w:tcPr>
            <w:tcW w:w="2432" w:type="dxa"/>
          </w:tcPr>
          <w:p w:rsidR="007C5447" w:rsidRDefault="00F6308C">
            <w:pPr>
              <w:pStyle w:val="TableParagraph"/>
              <w:spacing w:before="33"/>
              <w:ind w:left="107" w:right="164"/>
              <w:jc w:val="left"/>
              <w:rPr>
                <w:sz w:val="18"/>
              </w:rPr>
            </w:pPr>
            <w:r>
              <w:rPr>
                <w:sz w:val="18"/>
              </w:rPr>
              <w:t>Actual places of public worship, Mutts and Religious Institutions.</w:t>
            </w:r>
          </w:p>
        </w:tc>
        <w:tc>
          <w:tcPr>
            <w:tcW w:w="927" w:type="dxa"/>
          </w:tcPr>
          <w:p w:rsidR="007C5447" w:rsidRDefault="007C5447">
            <w:pPr>
              <w:pStyle w:val="TableParagraph"/>
              <w:spacing w:before="10"/>
              <w:jc w:val="left"/>
              <w:rPr>
                <w:b/>
                <w:sz w:val="20"/>
              </w:rPr>
            </w:pPr>
          </w:p>
          <w:p w:rsidR="007C5447" w:rsidRDefault="00F6308C">
            <w:pPr>
              <w:pStyle w:val="TableParagraph"/>
              <w:ind w:right="332"/>
              <w:rPr>
                <w:sz w:val="18"/>
              </w:rPr>
            </w:pPr>
            <w:r>
              <w:rPr>
                <w:sz w:val="18"/>
              </w:rPr>
              <w:t>IIC</w:t>
            </w:r>
          </w:p>
        </w:tc>
        <w:tc>
          <w:tcPr>
            <w:tcW w:w="1432" w:type="dxa"/>
          </w:tcPr>
          <w:p w:rsidR="007C5447" w:rsidRDefault="007C5447">
            <w:pPr>
              <w:pStyle w:val="TableParagraph"/>
              <w:spacing w:before="10"/>
              <w:jc w:val="left"/>
              <w:rPr>
                <w:b/>
                <w:sz w:val="20"/>
              </w:rPr>
            </w:pPr>
          </w:p>
          <w:p w:rsidR="007C5447" w:rsidRDefault="00F6308C">
            <w:pPr>
              <w:pStyle w:val="TableParagraph"/>
              <w:ind w:right="323"/>
              <w:rPr>
                <w:sz w:val="18"/>
              </w:rPr>
            </w:pPr>
            <w:r>
              <w:rPr>
                <w:sz w:val="18"/>
              </w:rPr>
              <w:t>28</w:t>
            </w:r>
          </w:p>
        </w:tc>
        <w:tc>
          <w:tcPr>
            <w:tcW w:w="1254" w:type="dxa"/>
          </w:tcPr>
          <w:p w:rsidR="007C5447" w:rsidRDefault="007C5447">
            <w:pPr>
              <w:pStyle w:val="TableParagraph"/>
              <w:spacing w:before="10"/>
              <w:jc w:val="left"/>
              <w:rPr>
                <w:b/>
                <w:sz w:val="20"/>
              </w:rPr>
            </w:pPr>
          </w:p>
          <w:p w:rsidR="007C5447" w:rsidRDefault="00F6308C">
            <w:pPr>
              <w:pStyle w:val="TableParagraph"/>
              <w:ind w:right="326"/>
              <w:rPr>
                <w:sz w:val="18"/>
              </w:rPr>
            </w:pPr>
            <w:r>
              <w:rPr>
                <w:sz w:val="18"/>
              </w:rPr>
              <w:t>28</w:t>
            </w:r>
          </w:p>
        </w:tc>
        <w:tc>
          <w:tcPr>
            <w:tcW w:w="1276" w:type="dxa"/>
          </w:tcPr>
          <w:p w:rsidR="007C5447" w:rsidRDefault="007C5447">
            <w:pPr>
              <w:pStyle w:val="TableParagraph"/>
              <w:spacing w:before="10"/>
              <w:jc w:val="left"/>
              <w:rPr>
                <w:b/>
                <w:sz w:val="20"/>
              </w:rPr>
            </w:pPr>
          </w:p>
          <w:p w:rsidR="007C5447" w:rsidRDefault="00F6308C">
            <w:pPr>
              <w:pStyle w:val="TableParagraph"/>
              <w:ind w:right="326"/>
              <w:rPr>
                <w:sz w:val="18"/>
              </w:rPr>
            </w:pPr>
            <w:r>
              <w:rPr>
                <w:w w:val="99"/>
                <w:sz w:val="18"/>
              </w:rPr>
              <w:t>-</w:t>
            </w:r>
          </w:p>
        </w:tc>
        <w:tc>
          <w:tcPr>
            <w:tcW w:w="1255" w:type="dxa"/>
          </w:tcPr>
          <w:p w:rsidR="007C5447" w:rsidRDefault="007C5447">
            <w:pPr>
              <w:pStyle w:val="TableParagraph"/>
              <w:spacing w:before="10"/>
              <w:jc w:val="left"/>
              <w:rPr>
                <w:b/>
                <w:sz w:val="20"/>
              </w:rPr>
            </w:pPr>
          </w:p>
          <w:p w:rsidR="007C5447" w:rsidRDefault="00F6308C">
            <w:pPr>
              <w:pStyle w:val="TableParagraph"/>
              <w:ind w:right="328"/>
              <w:rPr>
                <w:sz w:val="18"/>
              </w:rPr>
            </w:pPr>
            <w:r>
              <w:rPr>
                <w:w w:val="99"/>
                <w:sz w:val="18"/>
              </w:rPr>
              <w:t>-</w:t>
            </w:r>
          </w:p>
        </w:tc>
        <w:tc>
          <w:tcPr>
            <w:tcW w:w="1276" w:type="dxa"/>
          </w:tcPr>
          <w:p w:rsidR="007C5447" w:rsidRDefault="007C5447">
            <w:pPr>
              <w:pStyle w:val="TableParagraph"/>
              <w:spacing w:before="10"/>
              <w:jc w:val="left"/>
              <w:rPr>
                <w:b/>
                <w:sz w:val="20"/>
              </w:rPr>
            </w:pPr>
          </w:p>
          <w:p w:rsidR="007C5447" w:rsidRDefault="00F6308C">
            <w:pPr>
              <w:pStyle w:val="TableParagraph"/>
              <w:ind w:right="330"/>
              <w:rPr>
                <w:sz w:val="18"/>
              </w:rPr>
            </w:pPr>
            <w:r>
              <w:rPr>
                <w:w w:val="99"/>
                <w:sz w:val="18"/>
              </w:rPr>
              <w:t>-</w:t>
            </w:r>
          </w:p>
        </w:tc>
        <w:tc>
          <w:tcPr>
            <w:tcW w:w="1123" w:type="dxa"/>
          </w:tcPr>
          <w:p w:rsidR="007C5447" w:rsidRDefault="007C5447">
            <w:pPr>
              <w:pStyle w:val="TableParagraph"/>
              <w:spacing w:before="10"/>
              <w:jc w:val="left"/>
              <w:rPr>
                <w:b/>
                <w:sz w:val="20"/>
              </w:rPr>
            </w:pPr>
          </w:p>
          <w:p w:rsidR="007C5447" w:rsidRDefault="00F6308C">
            <w:pPr>
              <w:pStyle w:val="TableParagraph"/>
              <w:ind w:right="332"/>
              <w:rPr>
                <w:sz w:val="18"/>
              </w:rPr>
            </w:pPr>
            <w:r>
              <w:rPr>
                <w:w w:val="99"/>
                <w:sz w:val="18"/>
              </w:rPr>
              <w:t>-</w:t>
            </w:r>
          </w:p>
        </w:tc>
        <w:tc>
          <w:tcPr>
            <w:tcW w:w="1276" w:type="dxa"/>
          </w:tcPr>
          <w:p w:rsidR="007C5447" w:rsidRDefault="007C5447">
            <w:pPr>
              <w:pStyle w:val="TableParagraph"/>
              <w:spacing w:before="10"/>
              <w:jc w:val="left"/>
              <w:rPr>
                <w:b/>
                <w:sz w:val="20"/>
              </w:rPr>
            </w:pPr>
          </w:p>
          <w:p w:rsidR="007C5447" w:rsidRDefault="00F6308C">
            <w:pPr>
              <w:pStyle w:val="TableParagraph"/>
              <w:ind w:right="333"/>
              <w:rPr>
                <w:sz w:val="18"/>
              </w:rPr>
            </w:pPr>
            <w:r>
              <w:rPr>
                <w:w w:val="99"/>
                <w:sz w:val="18"/>
              </w:rPr>
              <w:t>-</w:t>
            </w:r>
          </w:p>
        </w:tc>
        <w:tc>
          <w:tcPr>
            <w:tcW w:w="1254" w:type="dxa"/>
          </w:tcPr>
          <w:p w:rsidR="007C5447" w:rsidRDefault="007C5447">
            <w:pPr>
              <w:pStyle w:val="TableParagraph"/>
              <w:spacing w:before="10"/>
              <w:jc w:val="left"/>
              <w:rPr>
                <w:b/>
                <w:sz w:val="20"/>
              </w:rPr>
            </w:pPr>
          </w:p>
          <w:p w:rsidR="007C5447" w:rsidRDefault="00F6308C">
            <w:pPr>
              <w:pStyle w:val="TableParagraph"/>
              <w:ind w:right="334"/>
              <w:rPr>
                <w:sz w:val="18"/>
              </w:rPr>
            </w:pPr>
            <w:r>
              <w:rPr>
                <w:w w:val="99"/>
                <w:sz w:val="18"/>
              </w:rPr>
              <w:t>-</w:t>
            </w:r>
          </w:p>
        </w:tc>
        <w:tc>
          <w:tcPr>
            <w:tcW w:w="1276" w:type="dxa"/>
          </w:tcPr>
          <w:p w:rsidR="007C5447" w:rsidRDefault="007C5447">
            <w:pPr>
              <w:pStyle w:val="TableParagraph"/>
              <w:spacing w:before="10"/>
              <w:jc w:val="left"/>
              <w:rPr>
                <w:b/>
                <w:sz w:val="20"/>
              </w:rPr>
            </w:pPr>
          </w:p>
          <w:p w:rsidR="007C5447" w:rsidRDefault="00F6308C">
            <w:pPr>
              <w:pStyle w:val="TableParagraph"/>
              <w:ind w:right="335"/>
              <w:rPr>
                <w:sz w:val="18"/>
              </w:rPr>
            </w:pPr>
            <w:r>
              <w:rPr>
                <w:w w:val="99"/>
                <w:sz w:val="18"/>
              </w:rPr>
              <w:t>-</w:t>
            </w:r>
          </w:p>
        </w:tc>
        <w:tc>
          <w:tcPr>
            <w:tcW w:w="1398" w:type="dxa"/>
          </w:tcPr>
          <w:p w:rsidR="007C5447" w:rsidRDefault="007C5447">
            <w:pPr>
              <w:pStyle w:val="TableParagraph"/>
              <w:spacing w:before="10"/>
              <w:jc w:val="left"/>
              <w:rPr>
                <w:b/>
                <w:sz w:val="20"/>
              </w:rPr>
            </w:pPr>
          </w:p>
          <w:p w:rsidR="007C5447" w:rsidRDefault="00F6308C">
            <w:pPr>
              <w:pStyle w:val="TableParagraph"/>
              <w:ind w:right="339"/>
              <w:rPr>
                <w:sz w:val="18"/>
              </w:rPr>
            </w:pPr>
            <w:r>
              <w:rPr>
                <w:w w:val="99"/>
                <w:sz w:val="18"/>
              </w:rPr>
              <w:t>-</w:t>
            </w:r>
          </w:p>
        </w:tc>
      </w:tr>
      <w:tr w:rsidR="007C5447">
        <w:trPr>
          <w:trHeight w:val="652"/>
        </w:trPr>
        <w:tc>
          <w:tcPr>
            <w:tcW w:w="2432" w:type="dxa"/>
          </w:tcPr>
          <w:p w:rsidR="007C5447" w:rsidRDefault="00F6308C">
            <w:pPr>
              <w:pStyle w:val="TableParagraph"/>
              <w:spacing w:before="19" w:line="206" w:lineRule="exact"/>
              <w:ind w:left="107" w:right="450"/>
              <w:jc w:val="left"/>
              <w:rPr>
                <w:sz w:val="18"/>
              </w:rPr>
            </w:pPr>
            <w:r>
              <w:rPr>
                <w:sz w:val="18"/>
              </w:rPr>
              <w:t>HT Commercial and all Categories not covered in other HT categories</w:t>
            </w:r>
          </w:p>
        </w:tc>
        <w:tc>
          <w:tcPr>
            <w:tcW w:w="927" w:type="dxa"/>
          </w:tcPr>
          <w:p w:rsidR="007C5447" w:rsidRDefault="007C5447">
            <w:pPr>
              <w:pStyle w:val="TableParagraph"/>
              <w:spacing w:before="4"/>
              <w:jc w:val="left"/>
              <w:rPr>
                <w:b/>
                <w:sz w:val="19"/>
              </w:rPr>
            </w:pPr>
          </w:p>
          <w:p w:rsidR="007C5447" w:rsidRDefault="00F6308C">
            <w:pPr>
              <w:pStyle w:val="TableParagraph"/>
              <w:ind w:right="363"/>
              <w:rPr>
                <w:sz w:val="18"/>
              </w:rPr>
            </w:pPr>
            <w:r>
              <w:rPr>
                <w:sz w:val="18"/>
              </w:rPr>
              <w:t>III</w:t>
            </w:r>
          </w:p>
        </w:tc>
        <w:tc>
          <w:tcPr>
            <w:tcW w:w="1432" w:type="dxa"/>
          </w:tcPr>
          <w:p w:rsidR="007C5447" w:rsidRDefault="007C5447">
            <w:pPr>
              <w:pStyle w:val="TableParagraph"/>
              <w:spacing w:before="4"/>
              <w:jc w:val="left"/>
              <w:rPr>
                <w:b/>
                <w:sz w:val="19"/>
              </w:rPr>
            </w:pPr>
          </w:p>
          <w:p w:rsidR="007C5447" w:rsidRDefault="00F6308C">
            <w:pPr>
              <w:pStyle w:val="TableParagraph"/>
              <w:ind w:right="323"/>
              <w:rPr>
                <w:sz w:val="18"/>
              </w:rPr>
            </w:pPr>
            <w:r>
              <w:rPr>
                <w:sz w:val="18"/>
              </w:rPr>
              <w:t>1,856</w:t>
            </w:r>
          </w:p>
        </w:tc>
        <w:tc>
          <w:tcPr>
            <w:tcW w:w="1254" w:type="dxa"/>
          </w:tcPr>
          <w:p w:rsidR="007C5447" w:rsidRDefault="007C5447">
            <w:pPr>
              <w:pStyle w:val="TableParagraph"/>
              <w:spacing w:before="4"/>
              <w:jc w:val="left"/>
              <w:rPr>
                <w:b/>
                <w:sz w:val="19"/>
              </w:rPr>
            </w:pPr>
          </w:p>
          <w:p w:rsidR="007C5447" w:rsidRDefault="00F6308C">
            <w:pPr>
              <w:pStyle w:val="TableParagraph"/>
              <w:ind w:right="326"/>
              <w:rPr>
                <w:sz w:val="18"/>
              </w:rPr>
            </w:pPr>
            <w:r>
              <w:rPr>
                <w:sz w:val="18"/>
              </w:rPr>
              <w:t>1,856</w:t>
            </w:r>
          </w:p>
        </w:tc>
        <w:tc>
          <w:tcPr>
            <w:tcW w:w="1276" w:type="dxa"/>
          </w:tcPr>
          <w:p w:rsidR="007C5447" w:rsidRDefault="007C5447">
            <w:pPr>
              <w:pStyle w:val="TableParagraph"/>
              <w:spacing w:before="4"/>
              <w:jc w:val="left"/>
              <w:rPr>
                <w:b/>
                <w:sz w:val="19"/>
              </w:rPr>
            </w:pPr>
          </w:p>
          <w:p w:rsidR="007C5447" w:rsidRDefault="00F6308C">
            <w:pPr>
              <w:pStyle w:val="TableParagraph"/>
              <w:ind w:left="531"/>
              <w:jc w:val="left"/>
              <w:rPr>
                <w:sz w:val="18"/>
              </w:rPr>
            </w:pPr>
            <w:r>
              <w:rPr>
                <w:sz w:val="18"/>
              </w:rPr>
              <w:t>1,554</w:t>
            </w:r>
          </w:p>
        </w:tc>
        <w:tc>
          <w:tcPr>
            <w:tcW w:w="1255" w:type="dxa"/>
          </w:tcPr>
          <w:p w:rsidR="007C5447" w:rsidRDefault="007C5447">
            <w:pPr>
              <w:pStyle w:val="TableParagraph"/>
              <w:spacing w:before="4"/>
              <w:jc w:val="left"/>
              <w:rPr>
                <w:b/>
                <w:sz w:val="19"/>
              </w:rPr>
            </w:pPr>
          </w:p>
          <w:p w:rsidR="007C5447" w:rsidRDefault="00F6308C">
            <w:pPr>
              <w:pStyle w:val="TableParagraph"/>
              <w:ind w:right="327"/>
              <w:rPr>
                <w:sz w:val="18"/>
              </w:rPr>
            </w:pPr>
            <w:r>
              <w:rPr>
                <w:sz w:val="18"/>
              </w:rPr>
              <w:t>1,554</w:t>
            </w:r>
          </w:p>
        </w:tc>
        <w:tc>
          <w:tcPr>
            <w:tcW w:w="1276" w:type="dxa"/>
          </w:tcPr>
          <w:p w:rsidR="007C5447" w:rsidRDefault="007C5447">
            <w:pPr>
              <w:pStyle w:val="TableParagraph"/>
              <w:spacing w:before="4"/>
              <w:jc w:val="left"/>
              <w:rPr>
                <w:b/>
                <w:sz w:val="19"/>
              </w:rPr>
            </w:pPr>
          </w:p>
          <w:p w:rsidR="007C5447" w:rsidRDefault="00F6308C">
            <w:pPr>
              <w:pStyle w:val="TableParagraph"/>
              <w:ind w:left="528"/>
              <w:jc w:val="left"/>
              <w:rPr>
                <w:sz w:val="18"/>
              </w:rPr>
            </w:pPr>
            <w:r>
              <w:rPr>
                <w:sz w:val="18"/>
              </w:rPr>
              <w:t>1,505</w:t>
            </w:r>
          </w:p>
        </w:tc>
        <w:tc>
          <w:tcPr>
            <w:tcW w:w="1123" w:type="dxa"/>
          </w:tcPr>
          <w:p w:rsidR="007C5447" w:rsidRDefault="007C5447">
            <w:pPr>
              <w:pStyle w:val="TableParagraph"/>
              <w:spacing w:before="4"/>
              <w:jc w:val="left"/>
              <w:rPr>
                <w:b/>
                <w:sz w:val="19"/>
              </w:rPr>
            </w:pPr>
          </w:p>
          <w:p w:rsidR="007C5447" w:rsidRDefault="00F6308C">
            <w:pPr>
              <w:pStyle w:val="TableParagraph"/>
              <w:ind w:right="331"/>
              <w:rPr>
                <w:sz w:val="18"/>
              </w:rPr>
            </w:pPr>
            <w:r>
              <w:rPr>
                <w:sz w:val="18"/>
              </w:rPr>
              <w:t>1,505</w:t>
            </w:r>
          </w:p>
        </w:tc>
        <w:tc>
          <w:tcPr>
            <w:tcW w:w="1276" w:type="dxa"/>
          </w:tcPr>
          <w:p w:rsidR="007C5447" w:rsidRDefault="007C5447">
            <w:pPr>
              <w:pStyle w:val="TableParagraph"/>
              <w:spacing w:before="4"/>
              <w:jc w:val="left"/>
              <w:rPr>
                <w:b/>
                <w:sz w:val="19"/>
              </w:rPr>
            </w:pPr>
          </w:p>
          <w:p w:rsidR="007C5447" w:rsidRDefault="00F6308C">
            <w:pPr>
              <w:pStyle w:val="TableParagraph"/>
              <w:ind w:left="525"/>
              <w:jc w:val="left"/>
              <w:rPr>
                <w:sz w:val="18"/>
              </w:rPr>
            </w:pPr>
            <w:r>
              <w:rPr>
                <w:sz w:val="18"/>
              </w:rPr>
              <w:t>1,650</w:t>
            </w:r>
          </w:p>
        </w:tc>
        <w:tc>
          <w:tcPr>
            <w:tcW w:w="1254" w:type="dxa"/>
          </w:tcPr>
          <w:p w:rsidR="007C5447" w:rsidRDefault="007C5447">
            <w:pPr>
              <w:pStyle w:val="TableParagraph"/>
              <w:spacing w:before="4"/>
              <w:jc w:val="left"/>
              <w:rPr>
                <w:b/>
                <w:sz w:val="19"/>
              </w:rPr>
            </w:pPr>
          </w:p>
          <w:p w:rsidR="007C5447" w:rsidRDefault="00F6308C">
            <w:pPr>
              <w:pStyle w:val="TableParagraph"/>
              <w:ind w:right="333"/>
              <w:rPr>
                <w:sz w:val="18"/>
              </w:rPr>
            </w:pPr>
            <w:r>
              <w:rPr>
                <w:sz w:val="18"/>
              </w:rPr>
              <w:t>1,650</w:t>
            </w:r>
          </w:p>
        </w:tc>
        <w:tc>
          <w:tcPr>
            <w:tcW w:w="1276" w:type="dxa"/>
          </w:tcPr>
          <w:p w:rsidR="007C5447" w:rsidRDefault="007C5447">
            <w:pPr>
              <w:pStyle w:val="TableParagraph"/>
              <w:spacing w:before="4"/>
              <w:jc w:val="left"/>
              <w:rPr>
                <w:b/>
                <w:sz w:val="19"/>
              </w:rPr>
            </w:pPr>
          </w:p>
          <w:p w:rsidR="007C5447" w:rsidRDefault="00F6308C">
            <w:pPr>
              <w:pStyle w:val="TableParagraph"/>
              <w:ind w:left="522"/>
              <w:jc w:val="left"/>
              <w:rPr>
                <w:sz w:val="18"/>
              </w:rPr>
            </w:pPr>
            <w:r>
              <w:rPr>
                <w:sz w:val="18"/>
              </w:rPr>
              <w:t>1,881</w:t>
            </w:r>
          </w:p>
        </w:tc>
        <w:tc>
          <w:tcPr>
            <w:tcW w:w="1398" w:type="dxa"/>
          </w:tcPr>
          <w:p w:rsidR="007C5447" w:rsidRDefault="007C5447">
            <w:pPr>
              <w:pStyle w:val="TableParagraph"/>
              <w:spacing w:before="4"/>
              <w:jc w:val="left"/>
              <w:rPr>
                <w:b/>
                <w:sz w:val="19"/>
              </w:rPr>
            </w:pPr>
          </w:p>
          <w:p w:rsidR="007C5447" w:rsidRDefault="00F6308C">
            <w:pPr>
              <w:pStyle w:val="TableParagraph"/>
              <w:ind w:right="338"/>
              <w:rPr>
                <w:sz w:val="18"/>
              </w:rPr>
            </w:pPr>
            <w:r>
              <w:rPr>
                <w:sz w:val="18"/>
              </w:rPr>
              <w:t>1,881</w:t>
            </w:r>
          </w:p>
        </w:tc>
      </w:tr>
      <w:tr w:rsidR="007C5447">
        <w:trPr>
          <w:trHeight w:val="443"/>
        </w:trPr>
        <w:tc>
          <w:tcPr>
            <w:tcW w:w="2432" w:type="dxa"/>
          </w:tcPr>
          <w:p w:rsidR="007C5447" w:rsidRDefault="00F6308C">
            <w:pPr>
              <w:pStyle w:val="TableParagraph"/>
              <w:spacing w:before="17" w:line="206" w:lineRule="exact"/>
              <w:ind w:left="107" w:right="680"/>
              <w:jc w:val="left"/>
              <w:rPr>
                <w:sz w:val="18"/>
              </w:rPr>
            </w:pPr>
            <w:r>
              <w:rPr>
                <w:sz w:val="18"/>
              </w:rPr>
              <w:t>Lift Irrigation and Co- operative Societies</w:t>
            </w:r>
          </w:p>
        </w:tc>
        <w:tc>
          <w:tcPr>
            <w:tcW w:w="927" w:type="dxa"/>
          </w:tcPr>
          <w:p w:rsidR="007C5447" w:rsidRDefault="00F6308C">
            <w:pPr>
              <w:pStyle w:val="TableParagraph"/>
              <w:spacing w:before="117"/>
              <w:ind w:right="358"/>
              <w:rPr>
                <w:sz w:val="18"/>
              </w:rPr>
            </w:pPr>
            <w:r>
              <w:rPr>
                <w:w w:val="95"/>
                <w:sz w:val="18"/>
              </w:rPr>
              <w:t>IV</w:t>
            </w:r>
          </w:p>
        </w:tc>
        <w:tc>
          <w:tcPr>
            <w:tcW w:w="1432" w:type="dxa"/>
          </w:tcPr>
          <w:p w:rsidR="007C5447" w:rsidRDefault="00F6308C">
            <w:pPr>
              <w:pStyle w:val="TableParagraph"/>
              <w:spacing w:before="117"/>
              <w:ind w:right="323"/>
              <w:rPr>
                <w:sz w:val="18"/>
              </w:rPr>
            </w:pPr>
            <w:r>
              <w:rPr>
                <w:sz w:val="18"/>
              </w:rPr>
              <w:t>6</w:t>
            </w:r>
          </w:p>
        </w:tc>
        <w:tc>
          <w:tcPr>
            <w:tcW w:w="1254" w:type="dxa"/>
          </w:tcPr>
          <w:p w:rsidR="007C5447" w:rsidRDefault="00F6308C">
            <w:pPr>
              <w:pStyle w:val="TableParagraph"/>
              <w:spacing w:before="117"/>
              <w:ind w:right="326"/>
              <w:rPr>
                <w:sz w:val="18"/>
              </w:rPr>
            </w:pPr>
            <w:r>
              <w:rPr>
                <w:sz w:val="18"/>
              </w:rPr>
              <w:t>6</w:t>
            </w:r>
          </w:p>
        </w:tc>
        <w:tc>
          <w:tcPr>
            <w:tcW w:w="1276" w:type="dxa"/>
          </w:tcPr>
          <w:p w:rsidR="007C5447" w:rsidRDefault="00F6308C">
            <w:pPr>
              <w:pStyle w:val="TableParagraph"/>
              <w:spacing w:before="117"/>
              <w:ind w:right="327"/>
              <w:rPr>
                <w:sz w:val="18"/>
              </w:rPr>
            </w:pPr>
            <w:r>
              <w:rPr>
                <w:sz w:val="18"/>
              </w:rPr>
              <w:t>5</w:t>
            </w:r>
          </w:p>
        </w:tc>
        <w:tc>
          <w:tcPr>
            <w:tcW w:w="1255" w:type="dxa"/>
          </w:tcPr>
          <w:p w:rsidR="007C5447" w:rsidRDefault="00F6308C">
            <w:pPr>
              <w:pStyle w:val="TableParagraph"/>
              <w:spacing w:before="117"/>
              <w:ind w:right="329"/>
              <w:rPr>
                <w:sz w:val="18"/>
              </w:rPr>
            </w:pPr>
            <w:r>
              <w:rPr>
                <w:sz w:val="18"/>
              </w:rPr>
              <w:t>5</w:t>
            </w:r>
          </w:p>
        </w:tc>
        <w:tc>
          <w:tcPr>
            <w:tcW w:w="1276" w:type="dxa"/>
          </w:tcPr>
          <w:p w:rsidR="007C5447" w:rsidRDefault="00F6308C">
            <w:pPr>
              <w:pStyle w:val="TableParagraph"/>
              <w:spacing w:before="117"/>
              <w:ind w:left="842"/>
              <w:jc w:val="left"/>
              <w:rPr>
                <w:sz w:val="18"/>
              </w:rPr>
            </w:pPr>
            <w:r>
              <w:rPr>
                <w:sz w:val="18"/>
              </w:rPr>
              <w:t>6</w:t>
            </w:r>
          </w:p>
        </w:tc>
        <w:tc>
          <w:tcPr>
            <w:tcW w:w="1123" w:type="dxa"/>
          </w:tcPr>
          <w:p w:rsidR="007C5447" w:rsidRDefault="00F6308C">
            <w:pPr>
              <w:pStyle w:val="TableParagraph"/>
              <w:spacing w:before="117"/>
              <w:ind w:right="333"/>
              <w:rPr>
                <w:sz w:val="18"/>
              </w:rPr>
            </w:pPr>
            <w:r>
              <w:rPr>
                <w:sz w:val="18"/>
              </w:rPr>
              <w:t>6</w:t>
            </w:r>
          </w:p>
        </w:tc>
        <w:tc>
          <w:tcPr>
            <w:tcW w:w="1276" w:type="dxa"/>
          </w:tcPr>
          <w:p w:rsidR="007C5447" w:rsidRDefault="00F6308C">
            <w:pPr>
              <w:pStyle w:val="TableParagraph"/>
              <w:spacing w:before="117"/>
              <w:ind w:left="839"/>
              <w:jc w:val="left"/>
              <w:rPr>
                <w:sz w:val="18"/>
              </w:rPr>
            </w:pPr>
            <w:r>
              <w:rPr>
                <w:sz w:val="18"/>
              </w:rPr>
              <w:t>7</w:t>
            </w:r>
          </w:p>
        </w:tc>
        <w:tc>
          <w:tcPr>
            <w:tcW w:w="1254" w:type="dxa"/>
          </w:tcPr>
          <w:p w:rsidR="007C5447" w:rsidRDefault="00F6308C">
            <w:pPr>
              <w:pStyle w:val="TableParagraph"/>
              <w:spacing w:before="117"/>
              <w:ind w:right="335"/>
              <w:rPr>
                <w:sz w:val="18"/>
              </w:rPr>
            </w:pPr>
            <w:r>
              <w:rPr>
                <w:sz w:val="18"/>
              </w:rPr>
              <w:t>7</w:t>
            </w:r>
          </w:p>
        </w:tc>
        <w:tc>
          <w:tcPr>
            <w:tcW w:w="1276" w:type="dxa"/>
          </w:tcPr>
          <w:p w:rsidR="007C5447" w:rsidRDefault="00F6308C">
            <w:pPr>
              <w:pStyle w:val="TableParagraph"/>
              <w:spacing w:before="117"/>
              <w:ind w:left="837"/>
              <w:jc w:val="left"/>
              <w:rPr>
                <w:sz w:val="18"/>
              </w:rPr>
            </w:pPr>
            <w:r>
              <w:rPr>
                <w:sz w:val="18"/>
              </w:rPr>
              <w:t>6</w:t>
            </w:r>
          </w:p>
        </w:tc>
        <w:tc>
          <w:tcPr>
            <w:tcW w:w="1398" w:type="dxa"/>
          </w:tcPr>
          <w:p w:rsidR="007C5447" w:rsidRDefault="00F6308C">
            <w:pPr>
              <w:pStyle w:val="TableParagraph"/>
              <w:spacing w:before="117"/>
              <w:ind w:right="340"/>
              <w:rPr>
                <w:sz w:val="18"/>
              </w:rPr>
            </w:pPr>
            <w:r>
              <w:rPr>
                <w:sz w:val="18"/>
              </w:rPr>
              <w:t>6.44</w:t>
            </w:r>
          </w:p>
        </w:tc>
      </w:tr>
      <w:tr w:rsidR="007C5447">
        <w:trPr>
          <w:trHeight w:val="570"/>
        </w:trPr>
        <w:tc>
          <w:tcPr>
            <w:tcW w:w="2432" w:type="dxa"/>
          </w:tcPr>
          <w:p w:rsidR="007C5447" w:rsidRDefault="007C5447">
            <w:pPr>
              <w:pStyle w:val="TableParagraph"/>
              <w:spacing w:before="9"/>
              <w:jc w:val="left"/>
              <w:rPr>
                <w:b/>
                <w:sz w:val="15"/>
              </w:rPr>
            </w:pPr>
          </w:p>
          <w:p w:rsidR="007C5447" w:rsidRDefault="00F6308C">
            <w:pPr>
              <w:pStyle w:val="TableParagraph"/>
              <w:ind w:left="107"/>
              <w:jc w:val="left"/>
              <w:rPr>
                <w:sz w:val="18"/>
              </w:rPr>
            </w:pPr>
            <w:r>
              <w:rPr>
                <w:sz w:val="18"/>
              </w:rPr>
              <w:t>Temporary Supply</w:t>
            </w:r>
          </w:p>
        </w:tc>
        <w:tc>
          <w:tcPr>
            <w:tcW w:w="927" w:type="dxa"/>
          </w:tcPr>
          <w:p w:rsidR="007C5447" w:rsidRDefault="007C5447">
            <w:pPr>
              <w:pStyle w:val="TableParagraph"/>
              <w:spacing w:before="9"/>
              <w:jc w:val="left"/>
              <w:rPr>
                <w:b/>
                <w:sz w:val="15"/>
              </w:rPr>
            </w:pPr>
          </w:p>
          <w:p w:rsidR="007C5447" w:rsidRDefault="00F6308C">
            <w:pPr>
              <w:pStyle w:val="TableParagraph"/>
              <w:ind w:right="387"/>
              <w:rPr>
                <w:sz w:val="18"/>
              </w:rPr>
            </w:pPr>
            <w:r>
              <w:rPr>
                <w:w w:val="99"/>
                <w:sz w:val="18"/>
              </w:rPr>
              <w:t>V</w:t>
            </w:r>
          </w:p>
        </w:tc>
        <w:tc>
          <w:tcPr>
            <w:tcW w:w="1432" w:type="dxa"/>
          </w:tcPr>
          <w:p w:rsidR="007C5447" w:rsidRDefault="007C5447">
            <w:pPr>
              <w:pStyle w:val="TableParagraph"/>
              <w:spacing w:before="9"/>
              <w:jc w:val="left"/>
              <w:rPr>
                <w:b/>
                <w:sz w:val="15"/>
              </w:rPr>
            </w:pPr>
          </w:p>
          <w:p w:rsidR="007C5447" w:rsidRDefault="00F6308C">
            <w:pPr>
              <w:pStyle w:val="TableParagraph"/>
              <w:ind w:right="322"/>
              <w:rPr>
                <w:sz w:val="18"/>
              </w:rPr>
            </w:pPr>
            <w:r>
              <w:rPr>
                <w:w w:val="99"/>
                <w:sz w:val="18"/>
              </w:rPr>
              <w:t>-</w:t>
            </w:r>
          </w:p>
        </w:tc>
        <w:tc>
          <w:tcPr>
            <w:tcW w:w="1254" w:type="dxa"/>
          </w:tcPr>
          <w:p w:rsidR="007C5447" w:rsidRDefault="007C5447">
            <w:pPr>
              <w:pStyle w:val="TableParagraph"/>
              <w:spacing w:before="9"/>
              <w:jc w:val="left"/>
              <w:rPr>
                <w:b/>
                <w:sz w:val="15"/>
              </w:rPr>
            </w:pPr>
          </w:p>
          <w:p w:rsidR="007C5447" w:rsidRDefault="00F6308C">
            <w:pPr>
              <w:pStyle w:val="TableParagraph"/>
              <w:ind w:right="325"/>
              <w:rPr>
                <w:sz w:val="18"/>
              </w:rPr>
            </w:pPr>
            <w:r>
              <w:rPr>
                <w:w w:val="99"/>
                <w:sz w:val="18"/>
              </w:rPr>
              <w:t>-</w:t>
            </w:r>
          </w:p>
        </w:tc>
        <w:tc>
          <w:tcPr>
            <w:tcW w:w="1276" w:type="dxa"/>
          </w:tcPr>
          <w:p w:rsidR="007C5447" w:rsidRDefault="007C5447">
            <w:pPr>
              <w:pStyle w:val="TableParagraph"/>
              <w:spacing w:before="9"/>
              <w:jc w:val="left"/>
              <w:rPr>
                <w:b/>
                <w:sz w:val="15"/>
              </w:rPr>
            </w:pPr>
          </w:p>
          <w:p w:rsidR="007C5447" w:rsidRDefault="00F6308C">
            <w:pPr>
              <w:pStyle w:val="TableParagraph"/>
              <w:ind w:left="666"/>
              <w:jc w:val="left"/>
              <w:rPr>
                <w:sz w:val="18"/>
              </w:rPr>
            </w:pPr>
            <w:r>
              <w:rPr>
                <w:sz w:val="18"/>
              </w:rPr>
              <w:t>165</w:t>
            </w:r>
          </w:p>
        </w:tc>
        <w:tc>
          <w:tcPr>
            <w:tcW w:w="1255" w:type="dxa"/>
          </w:tcPr>
          <w:p w:rsidR="007C5447" w:rsidRDefault="007C5447">
            <w:pPr>
              <w:pStyle w:val="TableParagraph"/>
              <w:spacing w:before="9"/>
              <w:jc w:val="left"/>
              <w:rPr>
                <w:b/>
                <w:sz w:val="15"/>
              </w:rPr>
            </w:pPr>
          </w:p>
          <w:p w:rsidR="007C5447" w:rsidRDefault="00F6308C">
            <w:pPr>
              <w:pStyle w:val="TableParagraph"/>
              <w:ind w:right="329"/>
              <w:rPr>
                <w:sz w:val="18"/>
              </w:rPr>
            </w:pPr>
            <w:r>
              <w:rPr>
                <w:sz w:val="18"/>
              </w:rPr>
              <w:t>165</w:t>
            </w:r>
          </w:p>
        </w:tc>
        <w:tc>
          <w:tcPr>
            <w:tcW w:w="1276" w:type="dxa"/>
          </w:tcPr>
          <w:p w:rsidR="007C5447" w:rsidRDefault="007C5447">
            <w:pPr>
              <w:pStyle w:val="TableParagraph"/>
              <w:spacing w:before="9"/>
              <w:jc w:val="left"/>
              <w:rPr>
                <w:b/>
                <w:sz w:val="15"/>
              </w:rPr>
            </w:pPr>
          </w:p>
          <w:p w:rsidR="007C5447" w:rsidRDefault="00F6308C">
            <w:pPr>
              <w:pStyle w:val="TableParagraph"/>
              <w:ind w:left="662"/>
              <w:jc w:val="left"/>
              <w:rPr>
                <w:sz w:val="18"/>
              </w:rPr>
            </w:pPr>
            <w:r>
              <w:rPr>
                <w:sz w:val="18"/>
              </w:rPr>
              <w:t>294</w:t>
            </w:r>
          </w:p>
        </w:tc>
        <w:tc>
          <w:tcPr>
            <w:tcW w:w="1123" w:type="dxa"/>
          </w:tcPr>
          <w:p w:rsidR="007C5447" w:rsidRDefault="007C5447">
            <w:pPr>
              <w:pStyle w:val="TableParagraph"/>
              <w:spacing w:before="9"/>
              <w:jc w:val="left"/>
              <w:rPr>
                <w:b/>
                <w:sz w:val="15"/>
              </w:rPr>
            </w:pPr>
          </w:p>
          <w:p w:rsidR="007C5447" w:rsidRDefault="00F6308C">
            <w:pPr>
              <w:pStyle w:val="TableParagraph"/>
              <w:ind w:right="333"/>
              <w:rPr>
                <w:sz w:val="18"/>
              </w:rPr>
            </w:pPr>
            <w:r>
              <w:rPr>
                <w:sz w:val="18"/>
              </w:rPr>
              <w:t>294</w:t>
            </w:r>
          </w:p>
        </w:tc>
        <w:tc>
          <w:tcPr>
            <w:tcW w:w="1276" w:type="dxa"/>
          </w:tcPr>
          <w:p w:rsidR="007C5447" w:rsidRDefault="007C5447">
            <w:pPr>
              <w:pStyle w:val="TableParagraph"/>
              <w:spacing w:before="9"/>
              <w:jc w:val="left"/>
              <w:rPr>
                <w:b/>
                <w:sz w:val="15"/>
              </w:rPr>
            </w:pPr>
          </w:p>
          <w:p w:rsidR="007C5447" w:rsidRDefault="00F6308C">
            <w:pPr>
              <w:pStyle w:val="TableParagraph"/>
              <w:ind w:left="748"/>
              <w:jc w:val="left"/>
              <w:rPr>
                <w:sz w:val="18"/>
              </w:rPr>
            </w:pPr>
            <w:r>
              <w:rPr>
                <w:sz w:val="18"/>
              </w:rPr>
              <w:t>71</w:t>
            </w:r>
          </w:p>
        </w:tc>
        <w:tc>
          <w:tcPr>
            <w:tcW w:w="1254" w:type="dxa"/>
          </w:tcPr>
          <w:p w:rsidR="007C5447" w:rsidRDefault="007C5447">
            <w:pPr>
              <w:pStyle w:val="TableParagraph"/>
              <w:spacing w:before="9"/>
              <w:jc w:val="left"/>
              <w:rPr>
                <w:b/>
                <w:sz w:val="15"/>
              </w:rPr>
            </w:pPr>
          </w:p>
          <w:p w:rsidR="007C5447" w:rsidRDefault="00F6308C">
            <w:pPr>
              <w:pStyle w:val="TableParagraph"/>
              <w:ind w:right="334"/>
              <w:rPr>
                <w:sz w:val="18"/>
              </w:rPr>
            </w:pPr>
            <w:r>
              <w:rPr>
                <w:sz w:val="18"/>
              </w:rPr>
              <w:t>71</w:t>
            </w:r>
          </w:p>
        </w:tc>
        <w:tc>
          <w:tcPr>
            <w:tcW w:w="1276" w:type="dxa"/>
          </w:tcPr>
          <w:p w:rsidR="007C5447" w:rsidRDefault="007C5447">
            <w:pPr>
              <w:pStyle w:val="TableParagraph"/>
              <w:spacing w:before="9"/>
              <w:jc w:val="left"/>
              <w:rPr>
                <w:b/>
                <w:sz w:val="15"/>
              </w:rPr>
            </w:pPr>
          </w:p>
          <w:p w:rsidR="007C5447" w:rsidRDefault="00F6308C">
            <w:pPr>
              <w:pStyle w:val="TableParagraph"/>
              <w:ind w:left="657"/>
              <w:jc w:val="left"/>
              <w:rPr>
                <w:sz w:val="18"/>
              </w:rPr>
            </w:pPr>
            <w:r>
              <w:rPr>
                <w:sz w:val="18"/>
              </w:rPr>
              <w:t>170</w:t>
            </w:r>
          </w:p>
        </w:tc>
        <w:tc>
          <w:tcPr>
            <w:tcW w:w="1398" w:type="dxa"/>
          </w:tcPr>
          <w:p w:rsidR="007C5447" w:rsidRDefault="007C5447">
            <w:pPr>
              <w:pStyle w:val="TableParagraph"/>
              <w:spacing w:before="9"/>
              <w:jc w:val="left"/>
              <w:rPr>
                <w:b/>
                <w:sz w:val="15"/>
              </w:rPr>
            </w:pPr>
          </w:p>
          <w:p w:rsidR="007C5447" w:rsidRDefault="00F6308C">
            <w:pPr>
              <w:pStyle w:val="TableParagraph"/>
              <w:ind w:right="340"/>
              <w:rPr>
                <w:sz w:val="18"/>
              </w:rPr>
            </w:pPr>
            <w:r>
              <w:rPr>
                <w:sz w:val="18"/>
              </w:rPr>
              <w:t>170</w:t>
            </w:r>
          </w:p>
        </w:tc>
      </w:tr>
      <w:tr w:rsidR="007C5447">
        <w:trPr>
          <w:trHeight w:val="360"/>
        </w:trPr>
        <w:tc>
          <w:tcPr>
            <w:tcW w:w="2432" w:type="dxa"/>
          </w:tcPr>
          <w:p w:rsidR="007C5447" w:rsidRDefault="00F6308C">
            <w:pPr>
              <w:pStyle w:val="TableParagraph"/>
              <w:spacing w:before="76"/>
              <w:ind w:left="107"/>
              <w:jc w:val="left"/>
              <w:rPr>
                <w:sz w:val="18"/>
              </w:rPr>
            </w:pPr>
            <w:r>
              <w:rPr>
                <w:sz w:val="18"/>
              </w:rPr>
              <w:t>Supply to Puducherry</w:t>
            </w:r>
          </w:p>
        </w:tc>
        <w:tc>
          <w:tcPr>
            <w:tcW w:w="927" w:type="dxa"/>
          </w:tcPr>
          <w:p w:rsidR="007C5447" w:rsidRDefault="007C5447">
            <w:pPr>
              <w:pStyle w:val="TableParagraph"/>
              <w:jc w:val="left"/>
              <w:rPr>
                <w:sz w:val="18"/>
              </w:rPr>
            </w:pPr>
          </w:p>
        </w:tc>
        <w:tc>
          <w:tcPr>
            <w:tcW w:w="1432" w:type="dxa"/>
          </w:tcPr>
          <w:p w:rsidR="007C5447" w:rsidRDefault="00F6308C">
            <w:pPr>
              <w:pStyle w:val="TableParagraph"/>
              <w:spacing w:before="76"/>
              <w:ind w:right="323"/>
              <w:rPr>
                <w:sz w:val="18"/>
              </w:rPr>
            </w:pPr>
            <w:r>
              <w:rPr>
                <w:sz w:val="18"/>
              </w:rPr>
              <w:t>400</w:t>
            </w:r>
          </w:p>
        </w:tc>
        <w:tc>
          <w:tcPr>
            <w:tcW w:w="1254" w:type="dxa"/>
          </w:tcPr>
          <w:p w:rsidR="007C5447" w:rsidRDefault="00F6308C">
            <w:pPr>
              <w:pStyle w:val="TableParagraph"/>
              <w:spacing w:before="76"/>
              <w:ind w:right="325"/>
              <w:rPr>
                <w:sz w:val="18"/>
              </w:rPr>
            </w:pPr>
            <w:r>
              <w:rPr>
                <w:w w:val="99"/>
                <w:sz w:val="18"/>
              </w:rPr>
              <w:t>-</w:t>
            </w:r>
          </w:p>
        </w:tc>
        <w:tc>
          <w:tcPr>
            <w:tcW w:w="1276" w:type="dxa"/>
          </w:tcPr>
          <w:p w:rsidR="007C5447" w:rsidRDefault="00F6308C">
            <w:pPr>
              <w:pStyle w:val="TableParagraph"/>
              <w:spacing w:before="76"/>
              <w:ind w:left="666"/>
              <w:jc w:val="left"/>
              <w:rPr>
                <w:sz w:val="18"/>
              </w:rPr>
            </w:pPr>
            <w:r>
              <w:rPr>
                <w:sz w:val="18"/>
              </w:rPr>
              <w:t>381</w:t>
            </w:r>
          </w:p>
        </w:tc>
        <w:tc>
          <w:tcPr>
            <w:tcW w:w="1255" w:type="dxa"/>
          </w:tcPr>
          <w:p w:rsidR="007C5447" w:rsidRDefault="00F6308C">
            <w:pPr>
              <w:pStyle w:val="TableParagraph"/>
              <w:spacing w:before="76"/>
              <w:ind w:right="328"/>
              <w:rPr>
                <w:sz w:val="18"/>
              </w:rPr>
            </w:pPr>
            <w:r>
              <w:rPr>
                <w:w w:val="99"/>
                <w:sz w:val="18"/>
              </w:rPr>
              <w:t>-</w:t>
            </w:r>
          </w:p>
        </w:tc>
        <w:tc>
          <w:tcPr>
            <w:tcW w:w="1276" w:type="dxa"/>
          </w:tcPr>
          <w:p w:rsidR="007C5447" w:rsidRDefault="00F6308C">
            <w:pPr>
              <w:pStyle w:val="TableParagraph"/>
              <w:spacing w:before="76"/>
              <w:ind w:left="662"/>
              <w:jc w:val="left"/>
              <w:rPr>
                <w:sz w:val="18"/>
              </w:rPr>
            </w:pPr>
            <w:r>
              <w:rPr>
                <w:sz w:val="18"/>
              </w:rPr>
              <w:t>237</w:t>
            </w:r>
          </w:p>
        </w:tc>
        <w:tc>
          <w:tcPr>
            <w:tcW w:w="1123" w:type="dxa"/>
          </w:tcPr>
          <w:p w:rsidR="007C5447" w:rsidRDefault="00F6308C">
            <w:pPr>
              <w:pStyle w:val="TableParagraph"/>
              <w:spacing w:before="76"/>
              <w:ind w:right="332"/>
              <w:rPr>
                <w:sz w:val="18"/>
              </w:rPr>
            </w:pPr>
            <w:r>
              <w:rPr>
                <w:w w:val="99"/>
                <w:sz w:val="18"/>
              </w:rPr>
              <w:t>-</w:t>
            </w:r>
          </w:p>
        </w:tc>
        <w:tc>
          <w:tcPr>
            <w:tcW w:w="1276" w:type="dxa"/>
          </w:tcPr>
          <w:p w:rsidR="007C5447" w:rsidRDefault="00F6308C">
            <w:pPr>
              <w:pStyle w:val="TableParagraph"/>
              <w:spacing w:before="76"/>
              <w:ind w:left="659"/>
              <w:jc w:val="left"/>
              <w:rPr>
                <w:sz w:val="18"/>
              </w:rPr>
            </w:pPr>
            <w:r>
              <w:rPr>
                <w:sz w:val="18"/>
              </w:rPr>
              <w:t>356</w:t>
            </w:r>
          </w:p>
        </w:tc>
        <w:tc>
          <w:tcPr>
            <w:tcW w:w="1254" w:type="dxa"/>
          </w:tcPr>
          <w:p w:rsidR="007C5447" w:rsidRDefault="00F6308C">
            <w:pPr>
              <w:pStyle w:val="TableParagraph"/>
              <w:spacing w:before="76"/>
              <w:ind w:right="334"/>
              <w:rPr>
                <w:sz w:val="18"/>
              </w:rPr>
            </w:pPr>
            <w:r>
              <w:rPr>
                <w:w w:val="99"/>
                <w:sz w:val="18"/>
              </w:rPr>
              <w:t>-</w:t>
            </w:r>
          </w:p>
        </w:tc>
        <w:tc>
          <w:tcPr>
            <w:tcW w:w="1276" w:type="dxa"/>
          </w:tcPr>
          <w:p w:rsidR="007C5447" w:rsidRDefault="00F6308C">
            <w:pPr>
              <w:pStyle w:val="TableParagraph"/>
              <w:spacing w:before="76"/>
              <w:ind w:left="657"/>
              <w:jc w:val="left"/>
              <w:rPr>
                <w:sz w:val="18"/>
              </w:rPr>
            </w:pPr>
            <w:r>
              <w:rPr>
                <w:sz w:val="18"/>
              </w:rPr>
              <w:t>188</w:t>
            </w:r>
          </w:p>
        </w:tc>
        <w:tc>
          <w:tcPr>
            <w:tcW w:w="1398" w:type="dxa"/>
          </w:tcPr>
          <w:p w:rsidR="007C5447" w:rsidRDefault="00F6308C">
            <w:pPr>
              <w:pStyle w:val="TableParagraph"/>
              <w:spacing w:before="76"/>
              <w:ind w:right="339"/>
              <w:rPr>
                <w:sz w:val="18"/>
              </w:rPr>
            </w:pPr>
            <w:r>
              <w:rPr>
                <w:w w:val="99"/>
                <w:sz w:val="18"/>
              </w:rPr>
              <w:t>-</w:t>
            </w:r>
          </w:p>
        </w:tc>
      </w:tr>
      <w:tr w:rsidR="007C5447">
        <w:trPr>
          <w:trHeight w:val="489"/>
        </w:trPr>
        <w:tc>
          <w:tcPr>
            <w:tcW w:w="2432" w:type="dxa"/>
          </w:tcPr>
          <w:p w:rsidR="007C5447" w:rsidRDefault="00F6308C">
            <w:pPr>
              <w:pStyle w:val="TableParagraph"/>
              <w:spacing w:before="14" w:line="230" w:lineRule="atLeast"/>
              <w:ind w:left="107" w:right="634"/>
              <w:jc w:val="left"/>
              <w:rPr>
                <w:sz w:val="20"/>
              </w:rPr>
            </w:pPr>
            <w:r>
              <w:rPr>
                <w:sz w:val="20"/>
              </w:rPr>
              <w:t>Sales to Other States (SWAP)</w:t>
            </w:r>
          </w:p>
        </w:tc>
        <w:tc>
          <w:tcPr>
            <w:tcW w:w="927" w:type="dxa"/>
          </w:tcPr>
          <w:p w:rsidR="007C5447" w:rsidRDefault="007C5447">
            <w:pPr>
              <w:pStyle w:val="TableParagraph"/>
              <w:jc w:val="left"/>
              <w:rPr>
                <w:sz w:val="18"/>
              </w:rPr>
            </w:pPr>
          </w:p>
        </w:tc>
        <w:tc>
          <w:tcPr>
            <w:tcW w:w="1432" w:type="dxa"/>
          </w:tcPr>
          <w:p w:rsidR="007C5447" w:rsidRDefault="007C5447">
            <w:pPr>
              <w:pStyle w:val="TableParagraph"/>
              <w:jc w:val="left"/>
              <w:rPr>
                <w:sz w:val="18"/>
              </w:rPr>
            </w:pPr>
          </w:p>
        </w:tc>
        <w:tc>
          <w:tcPr>
            <w:tcW w:w="1254" w:type="dxa"/>
          </w:tcPr>
          <w:p w:rsidR="007C5447" w:rsidRDefault="007C5447">
            <w:pPr>
              <w:pStyle w:val="TableParagraph"/>
              <w:jc w:val="left"/>
              <w:rPr>
                <w:sz w:val="18"/>
              </w:rPr>
            </w:pPr>
          </w:p>
        </w:tc>
        <w:tc>
          <w:tcPr>
            <w:tcW w:w="1276" w:type="dxa"/>
          </w:tcPr>
          <w:p w:rsidR="007C5447" w:rsidRDefault="007C5447">
            <w:pPr>
              <w:pStyle w:val="TableParagraph"/>
              <w:jc w:val="left"/>
              <w:rPr>
                <w:sz w:val="18"/>
              </w:rPr>
            </w:pPr>
          </w:p>
        </w:tc>
        <w:tc>
          <w:tcPr>
            <w:tcW w:w="1255" w:type="dxa"/>
          </w:tcPr>
          <w:p w:rsidR="007C5447" w:rsidRDefault="007C5447">
            <w:pPr>
              <w:pStyle w:val="TableParagraph"/>
              <w:jc w:val="left"/>
              <w:rPr>
                <w:sz w:val="18"/>
              </w:rPr>
            </w:pPr>
          </w:p>
        </w:tc>
        <w:tc>
          <w:tcPr>
            <w:tcW w:w="1276" w:type="dxa"/>
          </w:tcPr>
          <w:p w:rsidR="007C5447" w:rsidRDefault="007C5447">
            <w:pPr>
              <w:pStyle w:val="TableParagraph"/>
              <w:jc w:val="left"/>
              <w:rPr>
                <w:sz w:val="18"/>
              </w:rPr>
            </w:pPr>
          </w:p>
        </w:tc>
        <w:tc>
          <w:tcPr>
            <w:tcW w:w="1123" w:type="dxa"/>
          </w:tcPr>
          <w:p w:rsidR="007C5447" w:rsidRDefault="007C5447">
            <w:pPr>
              <w:pStyle w:val="TableParagraph"/>
              <w:jc w:val="left"/>
              <w:rPr>
                <w:sz w:val="18"/>
              </w:rPr>
            </w:pPr>
          </w:p>
        </w:tc>
        <w:tc>
          <w:tcPr>
            <w:tcW w:w="1276" w:type="dxa"/>
          </w:tcPr>
          <w:p w:rsidR="007C5447" w:rsidRDefault="007C5447">
            <w:pPr>
              <w:pStyle w:val="TableParagraph"/>
              <w:jc w:val="left"/>
              <w:rPr>
                <w:sz w:val="18"/>
              </w:rPr>
            </w:pPr>
          </w:p>
        </w:tc>
        <w:tc>
          <w:tcPr>
            <w:tcW w:w="1254" w:type="dxa"/>
          </w:tcPr>
          <w:p w:rsidR="007C5447" w:rsidRDefault="007C5447">
            <w:pPr>
              <w:pStyle w:val="TableParagraph"/>
              <w:jc w:val="left"/>
              <w:rPr>
                <w:sz w:val="18"/>
              </w:rPr>
            </w:pPr>
          </w:p>
        </w:tc>
        <w:tc>
          <w:tcPr>
            <w:tcW w:w="1276" w:type="dxa"/>
          </w:tcPr>
          <w:p w:rsidR="007C5447" w:rsidRDefault="007C5447">
            <w:pPr>
              <w:pStyle w:val="TableParagraph"/>
              <w:jc w:val="left"/>
              <w:rPr>
                <w:sz w:val="18"/>
              </w:rPr>
            </w:pPr>
          </w:p>
        </w:tc>
        <w:tc>
          <w:tcPr>
            <w:tcW w:w="1398" w:type="dxa"/>
          </w:tcPr>
          <w:p w:rsidR="007C5447" w:rsidRDefault="007C5447">
            <w:pPr>
              <w:pStyle w:val="TableParagraph"/>
              <w:jc w:val="left"/>
              <w:rPr>
                <w:sz w:val="18"/>
              </w:rPr>
            </w:pPr>
          </w:p>
        </w:tc>
      </w:tr>
      <w:tr w:rsidR="007C5447">
        <w:trPr>
          <w:trHeight w:val="359"/>
        </w:trPr>
        <w:tc>
          <w:tcPr>
            <w:tcW w:w="2432" w:type="dxa"/>
          </w:tcPr>
          <w:p w:rsidR="007C5447" w:rsidRDefault="00F6308C">
            <w:pPr>
              <w:pStyle w:val="TableParagraph"/>
              <w:spacing w:before="65"/>
              <w:ind w:left="107"/>
              <w:jc w:val="left"/>
              <w:rPr>
                <w:b/>
                <w:sz w:val="20"/>
              </w:rPr>
            </w:pPr>
            <w:r>
              <w:rPr>
                <w:b/>
                <w:sz w:val="20"/>
              </w:rPr>
              <w:t>Total HT</w:t>
            </w:r>
          </w:p>
        </w:tc>
        <w:tc>
          <w:tcPr>
            <w:tcW w:w="927" w:type="dxa"/>
          </w:tcPr>
          <w:p w:rsidR="007C5447" w:rsidRDefault="007C5447">
            <w:pPr>
              <w:pStyle w:val="TableParagraph"/>
              <w:jc w:val="left"/>
              <w:rPr>
                <w:sz w:val="18"/>
              </w:rPr>
            </w:pPr>
          </w:p>
        </w:tc>
        <w:tc>
          <w:tcPr>
            <w:tcW w:w="1432" w:type="dxa"/>
          </w:tcPr>
          <w:p w:rsidR="007C5447" w:rsidRDefault="00F6308C">
            <w:pPr>
              <w:pStyle w:val="TableParagraph"/>
              <w:spacing w:before="76"/>
              <w:ind w:left="601"/>
              <w:jc w:val="left"/>
              <w:rPr>
                <w:b/>
                <w:sz w:val="18"/>
              </w:rPr>
            </w:pPr>
            <w:r>
              <w:rPr>
                <w:b/>
                <w:sz w:val="18"/>
              </w:rPr>
              <w:t>14,057</w:t>
            </w:r>
          </w:p>
        </w:tc>
        <w:tc>
          <w:tcPr>
            <w:tcW w:w="1254" w:type="dxa"/>
          </w:tcPr>
          <w:p w:rsidR="007C5447" w:rsidRDefault="00F6308C">
            <w:pPr>
              <w:pStyle w:val="TableParagraph"/>
              <w:spacing w:before="76"/>
              <w:ind w:right="326"/>
              <w:rPr>
                <w:b/>
                <w:sz w:val="18"/>
              </w:rPr>
            </w:pPr>
            <w:r>
              <w:rPr>
                <w:b/>
                <w:sz w:val="18"/>
              </w:rPr>
              <w:t>13,657</w:t>
            </w:r>
          </w:p>
        </w:tc>
        <w:tc>
          <w:tcPr>
            <w:tcW w:w="1276" w:type="dxa"/>
          </w:tcPr>
          <w:p w:rsidR="007C5447" w:rsidRDefault="00F6308C">
            <w:pPr>
              <w:pStyle w:val="TableParagraph"/>
              <w:spacing w:before="76"/>
              <w:ind w:left="440"/>
              <w:jc w:val="left"/>
              <w:rPr>
                <w:b/>
                <w:sz w:val="18"/>
              </w:rPr>
            </w:pPr>
            <w:r>
              <w:rPr>
                <w:b/>
                <w:sz w:val="18"/>
              </w:rPr>
              <w:t>11,554</w:t>
            </w:r>
          </w:p>
        </w:tc>
        <w:tc>
          <w:tcPr>
            <w:tcW w:w="1255" w:type="dxa"/>
          </w:tcPr>
          <w:p w:rsidR="007C5447" w:rsidRDefault="00F6308C">
            <w:pPr>
              <w:pStyle w:val="TableParagraph"/>
              <w:spacing w:before="76"/>
              <w:ind w:right="330"/>
              <w:rPr>
                <w:b/>
                <w:sz w:val="18"/>
              </w:rPr>
            </w:pPr>
            <w:r>
              <w:rPr>
                <w:b/>
                <w:sz w:val="18"/>
              </w:rPr>
              <w:t>11,174</w:t>
            </w:r>
          </w:p>
        </w:tc>
        <w:tc>
          <w:tcPr>
            <w:tcW w:w="1276" w:type="dxa"/>
          </w:tcPr>
          <w:p w:rsidR="007C5447" w:rsidRDefault="00F6308C">
            <w:pPr>
              <w:pStyle w:val="TableParagraph"/>
              <w:spacing w:before="76"/>
              <w:ind w:left="437"/>
              <w:jc w:val="left"/>
              <w:rPr>
                <w:b/>
                <w:sz w:val="18"/>
              </w:rPr>
            </w:pPr>
            <w:r>
              <w:rPr>
                <w:b/>
                <w:sz w:val="18"/>
              </w:rPr>
              <w:t>13,873</w:t>
            </w:r>
          </w:p>
        </w:tc>
        <w:tc>
          <w:tcPr>
            <w:tcW w:w="1123" w:type="dxa"/>
          </w:tcPr>
          <w:p w:rsidR="007C5447" w:rsidRDefault="00F6308C">
            <w:pPr>
              <w:pStyle w:val="TableParagraph"/>
              <w:spacing w:before="76"/>
              <w:ind w:right="333"/>
              <w:rPr>
                <w:b/>
                <w:sz w:val="18"/>
              </w:rPr>
            </w:pPr>
            <w:r>
              <w:rPr>
                <w:b/>
                <w:sz w:val="18"/>
              </w:rPr>
              <w:t>13,636</w:t>
            </w:r>
          </w:p>
        </w:tc>
        <w:tc>
          <w:tcPr>
            <w:tcW w:w="1276" w:type="dxa"/>
          </w:tcPr>
          <w:p w:rsidR="007C5447" w:rsidRDefault="00F6308C">
            <w:pPr>
              <w:pStyle w:val="TableParagraph"/>
              <w:spacing w:before="76"/>
              <w:ind w:left="434"/>
              <w:jc w:val="left"/>
              <w:rPr>
                <w:b/>
                <w:sz w:val="18"/>
              </w:rPr>
            </w:pPr>
            <w:r>
              <w:rPr>
                <w:b/>
                <w:sz w:val="18"/>
              </w:rPr>
              <w:t>15,783</w:t>
            </w:r>
          </w:p>
        </w:tc>
        <w:tc>
          <w:tcPr>
            <w:tcW w:w="1254" w:type="dxa"/>
          </w:tcPr>
          <w:p w:rsidR="007C5447" w:rsidRDefault="00F6308C">
            <w:pPr>
              <w:pStyle w:val="TableParagraph"/>
              <w:spacing w:before="76"/>
              <w:ind w:right="336"/>
              <w:rPr>
                <w:b/>
                <w:sz w:val="18"/>
              </w:rPr>
            </w:pPr>
            <w:r>
              <w:rPr>
                <w:b/>
                <w:sz w:val="18"/>
              </w:rPr>
              <w:t>15,427</w:t>
            </w:r>
          </w:p>
        </w:tc>
        <w:tc>
          <w:tcPr>
            <w:tcW w:w="1276" w:type="dxa"/>
          </w:tcPr>
          <w:p w:rsidR="007C5447" w:rsidRDefault="00F6308C">
            <w:pPr>
              <w:pStyle w:val="TableParagraph"/>
              <w:spacing w:before="76"/>
              <w:ind w:left="431"/>
              <w:jc w:val="left"/>
              <w:rPr>
                <w:b/>
                <w:sz w:val="18"/>
              </w:rPr>
            </w:pPr>
            <w:r>
              <w:rPr>
                <w:b/>
                <w:sz w:val="18"/>
              </w:rPr>
              <w:t>16,328</w:t>
            </w:r>
          </w:p>
        </w:tc>
        <w:tc>
          <w:tcPr>
            <w:tcW w:w="1398" w:type="dxa"/>
          </w:tcPr>
          <w:p w:rsidR="007C5447" w:rsidRDefault="00F6308C">
            <w:pPr>
              <w:pStyle w:val="TableParagraph"/>
              <w:spacing w:before="76"/>
              <w:ind w:right="340"/>
              <w:rPr>
                <w:b/>
                <w:sz w:val="18"/>
              </w:rPr>
            </w:pPr>
            <w:r>
              <w:rPr>
                <w:b/>
                <w:sz w:val="18"/>
              </w:rPr>
              <w:t>16,140</w:t>
            </w:r>
          </w:p>
        </w:tc>
      </w:tr>
    </w:tbl>
    <w:p w:rsidR="007C5447" w:rsidRDefault="007C5447">
      <w:pPr>
        <w:rPr>
          <w:sz w:val="18"/>
        </w:rPr>
        <w:sectPr w:rsidR="007C5447">
          <w:footerReference w:type="default" r:id="rId11"/>
          <w:pgSz w:w="16840" w:h="11910" w:orient="landscape"/>
          <w:pgMar w:top="1100" w:right="240" w:bottom="1660" w:left="200" w:header="0" w:footer="1466" w:gutter="0"/>
          <w:cols w:space="720"/>
        </w:sectPr>
      </w:pPr>
    </w:p>
    <w:p w:rsidR="007C5447" w:rsidRDefault="007C5447">
      <w:pPr>
        <w:pStyle w:val="BodyText"/>
        <w:spacing w:before="9"/>
        <w:rPr>
          <w:sz w:val="28"/>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2"/>
        <w:gridCol w:w="927"/>
        <w:gridCol w:w="1432"/>
        <w:gridCol w:w="1254"/>
        <w:gridCol w:w="1276"/>
        <w:gridCol w:w="1255"/>
        <w:gridCol w:w="1276"/>
        <w:gridCol w:w="1123"/>
        <w:gridCol w:w="1276"/>
        <w:gridCol w:w="1254"/>
        <w:gridCol w:w="1276"/>
        <w:gridCol w:w="1398"/>
      </w:tblGrid>
      <w:tr w:rsidR="007C5447">
        <w:trPr>
          <w:trHeight w:val="254"/>
        </w:trPr>
        <w:tc>
          <w:tcPr>
            <w:tcW w:w="2432" w:type="dxa"/>
            <w:vMerge w:val="restart"/>
            <w:shd w:val="clear" w:color="auto" w:fill="FBD4B4"/>
          </w:tcPr>
          <w:p w:rsidR="007C5447" w:rsidRDefault="007C5447">
            <w:pPr>
              <w:pStyle w:val="TableParagraph"/>
              <w:jc w:val="left"/>
              <w:rPr>
                <w:sz w:val="20"/>
              </w:rPr>
            </w:pPr>
          </w:p>
          <w:p w:rsidR="007C5447" w:rsidRDefault="00F6308C">
            <w:pPr>
              <w:pStyle w:val="TableParagraph"/>
              <w:spacing w:before="175"/>
              <w:ind w:left="338"/>
              <w:jc w:val="left"/>
              <w:rPr>
                <w:b/>
                <w:sz w:val="18"/>
              </w:rPr>
            </w:pPr>
            <w:r>
              <w:rPr>
                <w:b/>
                <w:sz w:val="18"/>
              </w:rPr>
              <w:t>Category of Consumer</w:t>
            </w:r>
          </w:p>
        </w:tc>
        <w:tc>
          <w:tcPr>
            <w:tcW w:w="927" w:type="dxa"/>
            <w:vMerge w:val="restart"/>
            <w:shd w:val="clear" w:color="auto" w:fill="FBD4B4"/>
          </w:tcPr>
          <w:p w:rsidR="007C5447" w:rsidRDefault="007C5447">
            <w:pPr>
              <w:pStyle w:val="TableParagraph"/>
              <w:jc w:val="left"/>
              <w:rPr>
                <w:sz w:val="26"/>
              </w:rPr>
            </w:pPr>
          </w:p>
          <w:p w:rsidR="007C5447" w:rsidRDefault="00F6308C">
            <w:pPr>
              <w:pStyle w:val="TableParagraph"/>
              <w:ind w:left="107" w:firstLine="124"/>
              <w:jc w:val="left"/>
              <w:rPr>
                <w:b/>
                <w:sz w:val="18"/>
              </w:rPr>
            </w:pPr>
            <w:r>
              <w:rPr>
                <w:b/>
                <w:sz w:val="18"/>
              </w:rPr>
              <w:t>Tariff Category</w:t>
            </w:r>
          </w:p>
        </w:tc>
        <w:tc>
          <w:tcPr>
            <w:tcW w:w="2686" w:type="dxa"/>
            <w:gridSpan w:val="2"/>
            <w:shd w:val="clear" w:color="auto" w:fill="FBD4B4"/>
          </w:tcPr>
          <w:p w:rsidR="007C5447" w:rsidRDefault="00F6308C">
            <w:pPr>
              <w:pStyle w:val="TableParagraph"/>
              <w:spacing w:before="23"/>
              <w:ind w:left="896"/>
              <w:jc w:val="left"/>
              <w:rPr>
                <w:b/>
                <w:sz w:val="18"/>
              </w:rPr>
            </w:pPr>
            <w:r>
              <w:rPr>
                <w:b/>
                <w:sz w:val="18"/>
              </w:rPr>
              <w:t>FY 2011-12</w:t>
            </w:r>
          </w:p>
        </w:tc>
        <w:tc>
          <w:tcPr>
            <w:tcW w:w="2531" w:type="dxa"/>
            <w:gridSpan w:val="2"/>
            <w:shd w:val="clear" w:color="auto" w:fill="FBD4B4"/>
          </w:tcPr>
          <w:p w:rsidR="007C5447" w:rsidRDefault="00F6308C">
            <w:pPr>
              <w:pStyle w:val="TableParagraph"/>
              <w:spacing w:before="23"/>
              <w:ind w:left="817"/>
              <w:jc w:val="left"/>
              <w:rPr>
                <w:b/>
                <w:sz w:val="18"/>
              </w:rPr>
            </w:pPr>
            <w:r>
              <w:rPr>
                <w:b/>
                <w:sz w:val="18"/>
              </w:rPr>
              <w:t>FY 2012-13</w:t>
            </w:r>
          </w:p>
        </w:tc>
        <w:tc>
          <w:tcPr>
            <w:tcW w:w="2399" w:type="dxa"/>
            <w:gridSpan w:val="2"/>
            <w:shd w:val="clear" w:color="auto" w:fill="FBD4B4"/>
          </w:tcPr>
          <w:p w:rsidR="007C5447" w:rsidRDefault="00F6308C">
            <w:pPr>
              <w:pStyle w:val="TableParagraph"/>
              <w:spacing w:before="23"/>
              <w:ind w:left="746"/>
              <w:jc w:val="left"/>
              <w:rPr>
                <w:b/>
                <w:sz w:val="18"/>
              </w:rPr>
            </w:pPr>
            <w:r>
              <w:rPr>
                <w:b/>
                <w:sz w:val="18"/>
              </w:rPr>
              <w:t>FY 2013-14</w:t>
            </w:r>
          </w:p>
        </w:tc>
        <w:tc>
          <w:tcPr>
            <w:tcW w:w="2530" w:type="dxa"/>
            <w:gridSpan w:val="2"/>
            <w:shd w:val="clear" w:color="auto" w:fill="FBD4B4"/>
          </w:tcPr>
          <w:p w:rsidR="007C5447" w:rsidRDefault="00F6308C">
            <w:pPr>
              <w:pStyle w:val="TableParagraph"/>
              <w:spacing w:before="23"/>
              <w:ind w:left="810"/>
              <w:jc w:val="left"/>
              <w:rPr>
                <w:b/>
                <w:sz w:val="18"/>
              </w:rPr>
            </w:pPr>
            <w:r>
              <w:rPr>
                <w:b/>
                <w:sz w:val="18"/>
              </w:rPr>
              <w:t>FY 2014-15</w:t>
            </w:r>
          </w:p>
        </w:tc>
        <w:tc>
          <w:tcPr>
            <w:tcW w:w="2674" w:type="dxa"/>
            <w:gridSpan w:val="2"/>
            <w:shd w:val="clear" w:color="auto" w:fill="FBD4B4"/>
          </w:tcPr>
          <w:p w:rsidR="007C5447" w:rsidRDefault="00F6308C">
            <w:pPr>
              <w:pStyle w:val="TableParagraph"/>
              <w:spacing w:before="23"/>
              <w:ind w:left="877"/>
              <w:jc w:val="left"/>
              <w:rPr>
                <w:b/>
                <w:sz w:val="18"/>
              </w:rPr>
            </w:pPr>
            <w:r>
              <w:rPr>
                <w:b/>
                <w:sz w:val="18"/>
              </w:rPr>
              <w:t>FY 2015-16</w:t>
            </w:r>
          </w:p>
        </w:tc>
      </w:tr>
      <w:tr w:rsidR="007C5447">
        <w:trPr>
          <w:trHeight w:val="750"/>
        </w:trPr>
        <w:tc>
          <w:tcPr>
            <w:tcW w:w="2432" w:type="dxa"/>
            <w:vMerge/>
            <w:tcBorders>
              <w:top w:val="nil"/>
            </w:tcBorders>
            <w:shd w:val="clear" w:color="auto" w:fill="FBD4B4"/>
          </w:tcPr>
          <w:p w:rsidR="007C5447" w:rsidRDefault="007C5447">
            <w:pPr>
              <w:rPr>
                <w:sz w:val="2"/>
                <w:szCs w:val="2"/>
              </w:rPr>
            </w:pPr>
          </w:p>
        </w:tc>
        <w:tc>
          <w:tcPr>
            <w:tcW w:w="927" w:type="dxa"/>
            <w:vMerge/>
            <w:tcBorders>
              <w:top w:val="nil"/>
            </w:tcBorders>
            <w:shd w:val="clear" w:color="auto" w:fill="FBD4B4"/>
          </w:tcPr>
          <w:p w:rsidR="007C5447" w:rsidRDefault="007C5447">
            <w:pPr>
              <w:rPr>
                <w:sz w:val="2"/>
                <w:szCs w:val="2"/>
              </w:rPr>
            </w:pPr>
          </w:p>
        </w:tc>
        <w:tc>
          <w:tcPr>
            <w:tcW w:w="1432" w:type="dxa"/>
            <w:shd w:val="clear" w:color="auto" w:fill="FBD4B4"/>
          </w:tcPr>
          <w:p w:rsidR="007C5447" w:rsidRDefault="007C5447">
            <w:pPr>
              <w:pStyle w:val="TableParagraph"/>
              <w:spacing w:before="8"/>
              <w:jc w:val="left"/>
              <w:rPr>
                <w:sz w:val="23"/>
              </w:rPr>
            </w:pPr>
          </w:p>
          <w:p w:rsidR="007C5447" w:rsidRDefault="00F6308C">
            <w:pPr>
              <w:pStyle w:val="TableParagraph"/>
              <w:spacing w:before="1"/>
              <w:ind w:right="186"/>
              <w:rPr>
                <w:b/>
                <w:sz w:val="18"/>
              </w:rPr>
            </w:pPr>
            <w:r>
              <w:rPr>
                <w:b/>
                <w:sz w:val="18"/>
              </w:rPr>
              <w:t>TANGEDCO</w:t>
            </w:r>
          </w:p>
        </w:tc>
        <w:tc>
          <w:tcPr>
            <w:tcW w:w="1254" w:type="dxa"/>
            <w:shd w:val="clear" w:color="auto" w:fill="FBD4B4"/>
          </w:tcPr>
          <w:p w:rsidR="007C5447" w:rsidRDefault="00F6308C">
            <w:pPr>
              <w:pStyle w:val="TableParagraph"/>
              <w:spacing w:before="170"/>
              <w:ind w:left="134" w:right="110" w:firstLine="105"/>
              <w:jc w:val="left"/>
              <w:rPr>
                <w:b/>
                <w:sz w:val="18"/>
              </w:rPr>
            </w:pPr>
            <w:r>
              <w:rPr>
                <w:b/>
                <w:sz w:val="18"/>
              </w:rPr>
              <w:t>Approved after true up</w:t>
            </w:r>
          </w:p>
        </w:tc>
        <w:tc>
          <w:tcPr>
            <w:tcW w:w="1276" w:type="dxa"/>
            <w:shd w:val="clear" w:color="auto" w:fill="FBD4B4"/>
          </w:tcPr>
          <w:p w:rsidR="007C5447" w:rsidRDefault="007C5447">
            <w:pPr>
              <w:pStyle w:val="TableParagraph"/>
              <w:spacing w:before="8"/>
              <w:jc w:val="left"/>
              <w:rPr>
                <w:sz w:val="23"/>
              </w:rPr>
            </w:pPr>
          </w:p>
          <w:p w:rsidR="007C5447" w:rsidRDefault="00F6308C">
            <w:pPr>
              <w:pStyle w:val="TableParagraph"/>
              <w:spacing w:before="1"/>
              <w:ind w:left="114"/>
              <w:jc w:val="left"/>
              <w:rPr>
                <w:b/>
                <w:sz w:val="18"/>
              </w:rPr>
            </w:pPr>
            <w:r>
              <w:rPr>
                <w:b/>
                <w:sz w:val="18"/>
              </w:rPr>
              <w:t>TANGEDCO</w:t>
            </w:r>
          </w:p>
        </w:tc>
        <w:tc>
          <w:tcPr>
            <w:tcW w:w="1255" w:type="dxa"/>
            <w:shd w:val="clear" w:color="auto" w:fill="FBD4B4"/>
          </w:tcPr>
          <w:p w:rsidR="007C5447" w:rsidRDefault="00F6308C">
            <w:pPr>
              <w:pStyle w:val="TableParagraph"/>
              <w:spacing w:before="170"/>
              <w:ind w:left="131" w:right="114" w:firstLine="106"/>
              <w:jc w:val="left"/>
              <w:rPr>
                <w:b/>
                <w:sz w:val="18"/>
              </w:rPr>
            </w:pPr>
            <w:r>
              <w:rPr>
                <w:b/>
                <w:sz w:val="18"/>
              </w:rPr>
              <w:t>Approved after true up</w:t>
            </w:r>
          </w:p>
        </w:tc>
        <w:tc>
          <w:tcPr>
            <w:tcW w:w="1276" w:type="dxa"/>
            <w:shd w:val="clear" w:color="auto" w:fill="FBD4B4"/>
          </w:tcPr>
          <w:p w:rsidR="007C5447" w:rsidRDefault="007C5447">
            <w:pPr>
              <w:pStyle w:val="TableParagraph"/>
              <w:spacing w:before="8"/>
              <w:jc w:val="left"/>
              <w:rPr>
                <w:sz w:val="23"/>
              </w:rPr>
            </w:pPr>
          </w:p>
          <w:p w:rsidR="007C5447" w:rsidRDefault="00F6308C">
            <w:pPr>
              <w:pStyle w:val="TableParagraph"/>
              <w:spacing w:before="1"/>
              <w:ind w:left="110"/>
              <w:jc w:val="left"/>
              <w:rPr>
                <w:b/>
                <w:sz w:val="18"/>
              </w:rPr>
            </w:pPr>
            <w:r>
              <w:rPr>
                <w:b/>
                <w:sz w:val="18"/>
              </w:rPr>
              <w:t>TANGEDCO</w:t>
            </w:r>
          </w:p>
        </w:tc>
        <w:tc>
          <w:tcPr>
            <w:tcW w:w="1123" w:type="dxa"/>
            <w:shd w:val="clear" w:color="auto" w:fill="FBD4B4"/>
          </w:tcPr>
          <w:p w:rsidR="007C5447" w:rsidRDefault="00F6308C">
            <w:pPr>
              <w:pStyle w:val="TableParagraph"/>
              <w:spacing w:before="64"/>
              <w:ind w:left="169" w:right="172"/>
              <w:jc w:val="center"/>
              <w:rPr>
                <w:b/>
                <w:sz w:val="18"/>
              </w:rPr>
            </w:pPr>
            <w:r>
              <w:rPr>
                <w:b/>
                <w:sz w:val="18"/>
              </w:rPr>
              <w:t>Approved after true up</w:t>
            </w:r>
          </w:p>
        </w:tc>
        <w:tc>
          <w:tcPr>
            <w:tcW w:w="1276" w:type="dxa"/>
            <w:shd w:val="clear" w:color="auto" w:fill="FBD4B4"/>
          </w:tcPr>
          <w:p w:rsidR="007C5447" w:rsidRDefault="007C5447">
            <w:pPr>
              <w:pStyle w:val="TableParagraph"/>
              <w:spacing w:before="8"/>
              <w:jc w:val="left"/>
              <w:rPr>
                <w:sz w:val="23"/>
              </w:rPr>
            </w:pPr>
          </w:p>
          <w:p w:rsidR="007C5447" w:rsidRDefault="00F6308C">
            <w:pPr>
              <w:pStyle w:val="TableParagraph"/>
              <w:spacing w:before="1"/>
              <w:ind w:left="107"/>
              <w:jc w:val="left"/>
              <w:rPr>
                <w:b/>
                <w:sz w:val="18"/>
              </w:rPr>
            </w:pPr>
            <w:r>
              <w:rPr>
                <w:b/>
                <w:sz w:val="18"/>
              </w:rPr>
              <w:t>TANGEDCO</w:t>
            </w:r>
          </w:p>
        </w:tc>
        <w:tc>
          <w:tcPr>
            <w:tcW w:w="1254" w:type="dxa"/>
            <w:shd w:val="clear" w:color="auto" w:fill="FBD4B4"/>
          </w:tcPr>
          <w:p w:rsidR="007C5447" w:rsidRDefault="00F6308C">
            <w:pPr>
              <w:pStyle w:val="TableParagraph"/>
              <w:spacing w:before="170"/>
              <w:ind w:left="125" w:right="119" w:firstLine="105"/>
              <w:jc w:val="left"/>
              <w:rPr>
                <w:b/>
                <w:sz w:val="18"/>
              </w:rPr>
            </w:pPr>
            <w:r>
              <w:rPr>
                <w:b/>
                <w:sz w:val="18"/>
              </w:rPr>
              <w:t>Approved after true up</w:t>
            </w:r>
          </w:p>
        </w:tc>
        <w:tc>
          <w:tcPr>
            <w:tcW w:w="1276" w:type="dxa"/>
            <w:shd w:val="clear" w:color="auto" w:fill="FBD4B4"/>
          </w:tcPr>
          <w:p w:rsidR="007C5447" w:rsidRDefault="007C5447">
            <w:pPr>
              <w:pStyle w:val="TableParagraph"/>
              <w:spacing w:before="8"/>
              <w:jc w:val="left"/>
              <w:rPr>
                <w:sz w:val="23"/>
              </w:rPr>
            </w:pPr>
          </w:p>
          <w:p w:rsidR="007C5447" w:rsidRDefault="00F6308C">
            <w:pPr>
              <w:pStyle w:val="TableParagraph"/>
              <w:spacing w:before="1"/>
              <w:ind w:left="104"/>
              <w:jc w:val="left"/>
              <w:rPr>
                <w:b/>
                <w:sz w:val="18"/>
              </w:rPr>
            </w:pPr>
            <w:r>
              <w:rPr>
                <w:b/>
                <w:sz w:val="18"/>
              </w:rPr>
              <w:t>TANGEDCO</w:t>
            </w:r>
          </w:p>
        </w:tc>
        <w:tc>
          <w:tcPr>
            <w:tcW w:w="1398" w:type="dxa"/>
            <w:shd w:val="clear" w:color="auto" w:fill="FBD4B4"/>
          </w:tcPr>
          <w:p w:rsidR="007C5447" w:rsidRDefault="00F6308C">
            <w:pPr>
              <w:pStyle w:val="TableParagraph"/>
              <w:spacing w:before="170"/>
              <w:ind w:left="194" w:right="194" w:firstLine="105"/>
              <w:jc w:val="left"/>
              <w:rPr>
                <w:b/>
                <w:sz w:val="18"/>
              </w:rPr>
            </w:pPr>
            <w:r>
              <w:rPr>
                <w:b/>
                <w:sz w:val="18"/>
              </w:rPr>
              <w:t>Approved after true up</w:t>
            </w:r>
          </w:p>
        </w:tc>
      </w:tr>
      <w:tr w:rsidR="007C5447">
        <w:trPr>
          <w:trHeight w:val="359"/>
        </w:trPr>
        <w:tc>
          <w:tcPr>
            <w:tcW w:w="2432" w:type="dxa"/>
            <w:shd w:val="clear" w:color="auto" w:fill="D0CECE"/>
          </w:tcPr>
          <w:p w:rsidR="007C5447" w:rsidRDefault="00F6308C">
            <w:pPr>
              <w:pStyle w:val="TableParagraph"/>
              <w:spacing w:before="65"/>
              <w:ind w:left="107"/>
              <w:jc w:val="left"/>
              <w:rPr>
                <w:b/>
                <w:sz w:val="20"/>
              </w:rPr>
            </w:pPr>
            <w:r>
              <w:rPr>
                <w:b/>
                <w:sz w:val="20"/>
              </w:rPr>
              <w:t>LOW TENSION</w:t>
            </w:r>
          </w:p>
        </w:tc>
        <w:tc>
          <w:tcPr>
            <w:tcW w:w="927" w:type="dxa"/>
            <w:shd w:val="clear" w:color="auto" w:fill="D0CECE"/>
          </w:tcPr>
          <w:p w:rsidR="007C5447" w:rsidRDefault="007C5447">
            <w:pPr>
              <w:pStyle w:val="TableParagraph"/>
              <w:jc w:val="left"/>
              <w:rPr>
                <w:sz w:val="18"/>
              </w:rPr>
            </w:pPr>
          </w:p>
        </w:tc>
        <w:tc>
          <w:tcPr>
            <w:tcW w:w="1432" w:type="dxa"/>
            <w:shd w:val="clear" w:color="auto" w:fill="D0CECE"/>
          </w:tcPr>
          <w:p w:rsidR="007C5447" w:rsidRDefault="007C5447">
            <w:pPr>
              <w:pStyle w:val="TableParagraph"/>
              <w:jc w:val="left"/>
              <w:rPr>
                <w:sz w:val="18"/>
              </w:rPr>
            </w:pPr>
          </w:p>
        </w:tc>
        <w:tc>
          <w:tcPr>
            <w:tcW w:w="1254" w:type="dxa"/>
            <w:shd w:val="clear" w:color="auto" w:fill="D0CECE"/>
          </w:tcPr>
          <w:p w:rsidR="007C5447" w:rsidRDefault="007C5447">
            <w:pPr>
              <w:pStyle w:val="TableParagraph"/>
              <w:jc w:val="left"/>
              <w:rPr>
                <w:sz w:val="18"/>
              </w:rPr>
            </w:pPr>
          </w:p>
        </w:tc>
        <w:tc>
          <w:tcPr>
            <w:tcW w:w="1276" w:type="dxa"/>
            <w:shd w:val="clear" w:color="auto" w:fill="D0CECE"/>
          </w:tcPr>
          <w:p w:rsidR="007C5447" w:rsidRDefault="007C5447">
            <w:pPr>
              <w:pStyle w:val="TableParagraph"/>
              <w:jc w:val="left"/>
              <w:rPr>
                <w:sz w:val="18"/>
              </w:rPr>
            </w:pPr>
          </w:p>
        </w:tc>
        <w:tc>
          <w:tcPr>
            <w:tcW w:w="1255" w:type="dxa"/>
            <w:shd w:val="clear" w:color="auto" w:fill="D0CECE"/>
          </w:tcPr>
          <w:p w:rsidR="007C5447" w:rsidRDefault="007C5447">
            <w:pPr>
              <w:pStyle w:val="TableParagraph"/>
              <w:jc w:val="left"/>
              <w:rPr>
                <w:sz w:val="18"/>
              </w:rPr>
            </w:pPr>
          </w:p>
        </w:tc>
        <w:tc>
          <w:tcPr>
            <w:tcW w:w="1276" w:type="dxa"/>
            <w:shd w:val="clear" w:color="auto" w:fill="D0CECE"/>
          </w:tcPr>
          <w:p w:rsidR="007C5447" w:rsidRDefault="007C5447">
            <w:pPr>
              <w:pStyle w:val="TableParagraph"/>
              <w:jc w:val="left"/>
              <w:rPr>
                <w:sz w:val="18"/>
              </w:rPr>
            </w:pPr>
          </w:p>
        </w:tc>
        <w:tc>
          <w:tcPr>
            <w:tcW w:w="1123" w:type="dxa"/>
            <w:shd w:val="clear" w:color="auto" w:fill="D0CECE"/>
          </w:tcPr>
          <w:p w:rsidR="007C5447" w:rsidRDefault="007C5447">
            <w:pPr>
              <w:pStyle w:val="TableParagraph"/>
              <w:jc w:val="left"/>
              <w:rPr>
                <w:sz w:val="18"/>
              </w:rPr>
            </w:pPr>
          </w:p>
        </w:tc>
        <w:tc>
          <w:tcPr>
            <w:tcW w:w="1276" w:type="dxa"/>
            <w:shd w:val="clear" w:color="auto" w:fill="D0CECE"/>
          </w:tcPr>
          <w:p w:rsidR="007C5447" w:rsidRDefault="007C5447">
            <w:pPr>
              <w:pStyle w:val="TableParagraph"/>
              <w:jc w:val="left"/>
              <w:rPr>
                <w:sz w:val="18"/>
              </w:rPr>
            </w:pPr>
          </w:p>
        </w:tc>
        <w:tc>
          <w:tcPr>
            <w:tcW w:w="1254" w:type="dxa"/>
            <w:shd w:val="clear" w:color="auto" w:fill="D0CECE"/>
          </w:tcPr>
          <w:p w:rsidR="007C5447" w:rsidRDefault="007C5447">
            <w:pPr>
              <w:pStyle w:val="TableParagraph"/>
              <w:jc w:val="left"/>
              <w:rPr>
                <w:sz w:val="18"/>
              </w:rPr>
            </w:pPr>
          </w:p>
        </w:tc>
        <w:tc>
          <w:tcPr>
            <w:tcW w:w="1276" w:type="dxa"/>
            <w:shd w:val="clear" w:color="auto" w:fill="D0CECE"/>
          </w:tcPr>
          <w:p w:rsidR="007C5447" w:rsidRDefault="007C5447">
            <w:pPr>
              <w:pStyle w:val="TableParagraph"/>
              <w:jc w:val="left"/>
              <w:rPr>
                <w:sz w:val="18"/>
              </w:rPr>
            </w:pPr>
          </w:p>
        </w:tc>
        <w:tc>
          <w:tcPr>
            <w:tcW w:w="1398" w:type="dxa"/>
            <w:shd w:val="clear" w:color="auto" w:fill="D0CECE"/>
          </w:tcPr>
          <w:p w:rsidR="007C5447" w:rsidRDefault="007C5447">
            <w:pPr>
              <w:pStyle w:val="TableParagraph"/>
              <w:jc w:val="left"/>
              <w:rPr>
                <w:sz w:val="18"/>
              </w:rPr>
            </w:pPr>
          </w:p>
        </w:tc>
      </w:tr>
      <w:tr w:rsidR="007C5447">
        <w:trPr>
          <w:trHeight w:val="359"/>
        </w:trPr>
        <w:tc>
          <w:tcPr>
            <w:tcW w:w="2432" w:type="dxa"/>
          </w:tcPr>
          <w:p w:rsidR="007C5447" w:rsidRDefault="00F6308C">
            <w:pPr>
              <w:pStyle w:val="TableParagraph"/>
              <w:spacing w:before="76"/>
              <w:ind w:left="107"/>
              <w:jc w:val="left"/>
              <w:rPr>
                <w:sz w:val="18"/>
              </w:rPr>
            </w:pPr>
            <w:r>
              <w:rPr>
                <w:sz w:val="18"/>
              </w:rPr>
              <w:t>Domestic, Handloom, etc.</w:t>
            </w:r>
          </w:p>
        </w:tc>
        <w:tc>
          <w:tcPr>
            <w:tcW w:w="927" w:type="dxa"/>
          </w:tcPr>
          <w:p w:rsidR="007C5447" w:rsidRDefault="00F6308C">
            <w:pPr>
              <w:pStyle w:val="TableParagraph"/>
              <w:spacing w:before="76"/>
              <w:ind w:left="158" w:right="152"/>
              <w:jc w:val="center"/>
              <w:rPr>
                <w:sz w:val="18"/>
              </w:rPr>
            </w:pPr>
            <w:r>
              <w:rPr>
                <w:sz w:val="18"/>
              </w:rPr>
              <w:t>IA</w:t>
            </w:r>
          </w:p>
        </w:tc>
        <w:tc>
          <w:tcPr>
            <w:tcW w:w="1432" w:type="dxa"/>
          </w:tcPr>
          <w:p w:rsidR="007C5447" w:rsidRDefault="00F6308C">
            <w:pPr>
              <w:pStyle w:val="TableParagraph"/>
              <w:spacing w:before="76"/>
              <w:ind w:left="601"/>
              <w:jc w:val="left"/>
              <w:rPr>
                <w:sz w:val="18"/>
              </w:rPr>
            </w:pPr>
            <w:r>
              <w:rPr>
                <w:sz w:val="18"/>
              </w:rPr>
              <w:t>17,507</w:t>
            </w:r>
          </w:p>
        </w:tc>
        <w:tc>
          <w:tcPr>
            <w:tcW w:w="1254" w:type="dxa"/>
          </w:tcPr>
          <w:p w:rsidR="007C5447" w:rsidRDefault="00F6308C">
            <w:pPr>
              <w:pStyle w:val="TableParagraph"/>
              <w:spacing w:before="76"/>
              <w:ind w:right="326"/>
              <w:rPr>
                <w:sz w:val="18"/>
              </w:rPr>
            </w:pPr>
            <w:r>
              <w:rPr>
                <w:sz w:val="18"/>
              </w:rPr>
              <w:t>17,507</w:t>
            </w:r>
          </w:p>
        </w:tc>
        <w:tc>
          <w:tcPr>
            <w:tcW w:w="1276" w:type="dxa"/>
          </w:tcPr>
          <w:p w:rsidR="007C5447" w:rsidRDefault="00F6308C">
            <w:pPr>
              <w:pStyle w:val="TableParagraph"/>
              <w:spacing w:before="76"/>
              <w:ind w:left="440"/>
              <w:jc w:val="left"/>
              <w:rPr>
                <w:sz w:val="18"/>
              </w:rPr>
            </w:pPr>
            <w:r>
              <w:rPr>
                <w:sz w:val="18"/>
              </w:rPr>
              <w:t>17,834</w:t>
            </w:r>
          </w:p>
        </w:tc>
        <w:tc>
          <w:tcPr>
            <w:tcW w:w="1255" w:type="dxa"/>
          </w:tcPr>
          <w:p w:rsidR="007C5447" w:rsidRDefault="00F6308C">
            <w:pPr>
              <w:pStyle w:val="TableParagraph"/>
              <w:spacing w:before="76"/>
              <w:ind w:right="330"/>
              <w:rPr>
                <w:sz w:val="18"/>
              </w:rPr>
            </w:pPr>
            <w:r>
              <w:rPr>
                <w:sz w:val="18"/>
              </w:rPr>
              <w:t>17,834</w:t>
            </w:r>
          </w:p>
        </w:tc>
        <w:tc>
          <w:tcPr>
            <w:tcW w:w="1276" w:type="dxa"/>
          </w:tcPr>
          <w:p w:rsidR="007C5447" w:rsidRDefault="00F6308C">
            <w:pPr>
              <w:pStyle w:val="TableParagraph"/>
              <w:spacing w:before="76"/>
              <w:ind w:left="437"/>
              <w:jc w:val="left"/>
              <w:rPr>
                <w:sz w:val="18"/>
              </w:rPr>
            </w:pPr>
            <w:r>
              <w:rPr>
                <w:sz w:val="18"/>
              </w:rPr>
              <w:t>20,201</w:t>
            </w:r>
          </w:p>
        </w:tc>
        <w:tc>
          <w:tcPr>
            <w:tcW w:w="1123" w:type="dxa"/>
          </w:tcPr>
          <w:p w:rsidR="007C5447" w:rsidRDefault="00F6308C">
            <w:pPr>
              <w:pStyle w:val="TableParagraph"/>
              <w:spacing w:before="76"/>
              <w:ind w:right="333"/>
              <w:rPr>
                <w:sz w:val="18"/>
              </w:rPr>
            </w:pPr>
            <w:r>
              <w:rPr>
                <w:sz w:val="18"/>
              </w:rPr>
              <w:t>20,201</w:t>
            </w:r>
          </w:p>
        </w:tc>
        <w:tc>
          <w:tcPr>
            <w:tcW w:w="1276" w:type="dxa"/>
          </w:tcPr>
          <w:p w:rsidR="007C5447" w:rsidRDefault="00F6308C">
            <w:pPr>
              <w:pStyle w:val="TableParagraph"/>
              <w:spacing w:before="76"/>
              <w:ind w:left="434"/>
              <w:jc w:val="left"/>
              <w:rPr>
                <w:sz w:val="18"/>
              </w:rPr>
            </w:pPr>
            <w:r>
              <w:rPr>
                <w:sz w:val="18"/>
              </w:rPr>
              <w:t>21,990</w:t>
            </w:r>
          </w:p>
        </w:tc>
        <w:tc>
          <w:tcPr>
            <w:tcW w:w="1254" w:type="dxa"/>
          </w:tcPr>
          <w:p w:rsidR="007C5447" w:rsidRDefault="00F6308C">
            <w:pPr>
              <w:pStyle w:val="TableParagraph"/>
              <w:spacing w:before="76"/>
              <w:ind w:right="336"/>
              <w:rPr>
                <w:sz w:val="18"/>
              </w:rPr>
            </w:pPr>
            <w:r>
              <w:rPr>
                <w:sz w:val="18"/>
              </w:rPr>
              <w:t>21,990</w:t>
            </w:r>
          </w:p>
        </w:tc>
        <w:tc>
          <w:tcPr>
            <w:tcW w:w="1276" w:type="dxa"/>
          </w:tcPr>
          <w:p w:rsidR="007C5447" w:rsidRDefault="00F6308C">
            <w:pPr>
              <w:pStyle w:val="TableParagraph"/>
              <w:spacing w:before="76"/>
              <w:ind w:left="431"/>
              <w:jc w:val="left"/>
              <w:rPr>
                <w:sz w:val="18"/>
              </w:rPr>
            </w:pPr>
            <w:r>
              <w:rPr>
                <w:sz w:val="18"/>
              </w:rPr>
              <w:t>23,489</w:t>
            </w:r>
          </w:p>
        </w:tc>
        <w:tc>
          <w:tcPr>
            <w:tcW w:w="1398" w:type="dxa"/>
          </w:tcPr>
          <w:p w:rsidR="007C5447" w:rsidRDefault="00F6308C">
            <w:pPr>
              <w:pStyle w:val="TableParagraph"/>
              <w:spacing w:before="76"/>
              <w:ind w:right="340"/>
              <w:rPr>
                <w:sz w:val="18"/>
              </w:rPr>
            </w:pPr>
            <w:r>
              <w:rPr>
                <w:sz w:val="18"/>
              </w:rPr>
              <w:t>23,489</w:t>
            </w:r>
          </w:p>
        </w:tc>
      </w:tr>
      <w:tr w:rsidR="007C5447">
        <w:trPr>
          <w:trHeight w:val="446"/>
        </w:trPr>
        <w:tc>
          <w:tcPr>
            <w:tcW w:w="2432" w:type="dxa"/>
          </w:tcPr>
          <w:p w:rsidR="007C5447" w:rsidRDefault="00F6308C">
            <w:pPr>
              <w:pStyle w:val="TableParagraph"/>
              <w:spacing w:before="16" w:line="200" w:lineRule="atLeast"/>
              <w:ind w:left="107"/>
              <w:jc w:val="left"/>
              <w:rPr>
                <w:sz w:val="18"/>
              </w:rPr>
            </w:pPr>
            <w:r>
              <w:rPr>
                <w:sz w:val="18"/>
              </w:rPr>
              <w:t>Huts in Village panchayats, TAHDCO etc.</w:t>
            </w:r>
          </w:p>
        </w:tc>
        <w:tc>
          <w:tcPr>
            <w:tcW w:w="927" w:type="dxa"/>
          </w:tcPr>
          <w:p w:rsidR="007C5447" w:rsidRDefault="00F6308C">
            <w:pPr>
              <w:pStyle w:val="TableParagraph"/>
              <w:spacing w:before="119"/>
              <w:ind w:left="158" w:right="153"/>
              <w:jc w:val="center"/>
              <w:rPr>
                <w:sz w:val="18"/>
              </w:rPr>
            </w:pPr>
            <w:r>
              <w:rPr>
                <w:sz w:val="18"/>
              </w:rPr>
              <w:t>IB</w:t>
            </w:r>
          </w:p>
        </w:tc>
        <w:tc>
          <w:tcPr>
            <w:tcW w:w="1432" w:type="dxa"/>
          </w:tcPr>
          <w:p w:rsidR="007C5447" w:rsidRDefault="00F6308C">
            <w:pPr>
              <w:pStyle w:val="TableParagraph"/>
              <w:spacing w:before="119"/>
              <w:ind w:right="323"/>
              <w:rPr>
                <w:sz w:val="18"/>
              </w:rPr>
            </w:pPr>
            <w:r>
              <w:rPr>
                <w:sz w:val="18"/>
              </w:rPr>
              <w:t>395</w:t>
            </w:r>
          </w:p>
        </w:tc>
        <w:tc>
          <w:tcPr>
            <w:tcW w:w="1254" w:type="dxa"/>
          </w:tcPr>
          <w:p w:rsidR="007C5447" w:rsidRDefault="00F6308C">
            <w:pPr>
              <w:pStyle w:val="TableParagraph"/>
              <w:spacing w:before="119"/>
              <w:ind w:right="326"/>
              <w:rPr>
                <w:sz w:val="18"/>
              </w:rPr>
            </w:pPr>
            <w:r>
              <w:rPr>
                <w:sz w:val="18"/>
              </w:rPr>
              <w:t>395</w:t>
            </w:r>
          </w:p>
        </w:tc>
        <w:tc>
          <w:tcPr>
            <w:tcW w:w="1276" w:type="dxa"/>
          </w:tcPr>
          <w:p w:rsidR="007C5447" w:rsidRDefault="00F6308C">
            <w:pPr>
              <w:pStyle w:val="TableParagraph"/>
              <w:spacing w:before="119"/>
              <w:ind w:left="666"/>
              <w:jc w:val="left"/>
              <w:rPr>
                <w:sz w:val="18"/>
              </w:rPr>
            </w:pPr>
            <w:r>
              <w:rPr>
                <w:sz w:val="18"/>
              </w:rPr>
              <w:t>425</w:t>
            </w:r>
          </w:p>
        </w:tc>
        <w:tc>
          <w:tcPr>
            <w:tcW w:w="1255" w:type="dxa"/>
          </w:tcPr>
          <w:p w:rsidR="007C5447" w:rsidRDefault="00F6308C">
            <w:pPr>
              <w:pStyle w:val="TableParagraph"/>
              <w:spacing w:before="119"/>
              <w:ind w:right="329"/>
              <w:rPr>
                <w:sz w:val="18"/>
              </w:rPr>
            </w:pPr>
            <w:r>
              <w:rPr>
                <w:sz w:val="18"/>
              </w:rPr>
              <w:t>462</w:t>
            </w:r>
          </w:p>
        </w:tc>
        <w:tc>
          <w:tcPr>
            <w:tcW w:w="1276" w:type="dxa"/>
          </w:tcPr>
          <w:p w:rsidR="007C5447" w:rsidRDefault="00F6308C">
            <w:pPr>
              <w:pStyle w:val="TableParagraph"/>
              <w:spacing w:before="119"/>
              <w:ind w:left="662"/>
              <w:jc w:val="left"/>
              <w:rPr>
                <w:sz w:val="18"/>
              </w:rPr>
            </w:pPr>
            <w:r>
              <w:rPr>
                <w:sz w:val="18"/>
              </w:rPr>
              <w:t>460</w:t>
            </w:r>
          </w:p>
        </w:tc>
        <w:tc>
          <w:tcPr>
            <w:tcW w:w="1123" w:type="dxa"/>
          </w:tcPr>
          <w:p w:rsidR="007C5447" w:rsidRDefault="00F6308C">
            <w:pPr>
              <w:pStyle w:val="TableParagraph"/>
              <w:spacing w:before="119"/>
              <w:ind w:right="333"/>
              <w:rPr>
                <w:sz w:val="18"/>
              </w:rPr>
            </w:pPr>
            <w:r>
              <w:rPr>
                <w:sz w:val="18"/>
              </w:rPr>
              <w:t>501</w:t>
            </w:r>
          </w:p>
        </w:tc>
        <w:tc>
          <w:tcPr>
            <w:tcW w:w="1276" w:type="dxa"/>
          </w:tcPr>
          <w:p w:rsidR="007C5447" w:rsidRDefault="00F6308C">
            <w:pPr>
              <w:pStyle w:val="TableParagraph"/>
              <w:spacing w:before="119"/>
              <w:ind w:left="659"/>
              <w:jc w:val="left"/>
              <w:rPr>
                <w:sz w:val="18"/>
              </w:rPr>
            </w:pPr>
            <w:r>
              <w:rPr>
                <w:sz w:val="18"/>
              </w:rPr>
              <w:t>428</w:t>
            </w:r>
          </w:p>
        </w:tc>
        <w:tc>
          <w:tcPr>
            <w:tcW w:w="1254" w:type="dxa"/>
          </w:tcPr>
          <w:p w:rsidR="007C5447" w:rsidRDefault="00F6308C">
            <w:pPr>
              <w:pStyle w:val="TableParagraph"/>
              <w:spacing w:before="119"/>
              <w:ind w:right="335"/>
              <w:rPr>
                <w:sz w:val="18"/>
              </w:rPr>
            </w:pPr>
            <w:r>
              <w:rPr>
                <w:sz w:val="18"/>
              </w:rPr>
              <w:t>540</w:t>
            </w:r>
          </w:p>
        </w:tc>
        <w:tc>
          <w:tcPr>
            <w:tcW w:w="1276" w:type="dxa"/>
          </w:tcPr>
          <w:p w:rsidR="007C5447" w:rsidRDefault="00F6308C">
            <w:pPr>
              <w:pStyle w:val="TableParagraph"/>
              <w:spacing w:before="119"/>
              <w:ind w:left="657"/>
              <w:jc w:val="left"/>
              <w:rPr>
                <w:sz w:val="18"/>
              </w:rPr>
            </w:pPr>
            <w:r>
              <w:rPr>
                <w:sz w:val="18"/>
              </w:rPr>
              <w:t>440</w:t>
            </w:r>
          </w:p>
        </w:tc>
        <w:tc>
          <w:tcPr>
            <w:tcW w:w="1398" w:type="dxa"/>
          </w:tcPr>
          <w:p w:rsidR="007C5447" w:rsidRDefault="00F6308C">
            <w:pPr>
              <w:pStyle w:val="TableParagraph"/>
              <w:spacing w:before="119"/>
              <w:ind w:right="340"/>
              <w:rPr>
                <w:sz w:val="18"/>
              </w:rPr>
            </w:pPr>
            <w:r>
              <w:rPr>
                <w:sz w:val="18"/>
              </w:rPr>
              <w:t>580</w:t>
            </w:r>
          </w:p>
        </w:tc>
      </w:tr>
      <w:tr w:rsidR="007C5447">
        <w:trPr>
          <w:trHeight w:val="359"/>
        </w:trPr>
        <w:tc>
          <w:tcPr>
            <w:tcW w:w="2432" w:type="dxa"/>
          </w:tcPr>
          <w:p w:rsidR="007C5447" w:rsidRDefault="00F6308C">
            <w:pPr>
              <w:pStyle w:val="TableParagraph"/>
              <w:spacing w:before="76"/>
              <w:ind w:left="107"/>
              <w:jc w:val="left"/>
              <w:rPr>
                <w:sz w:val="18"/>
              </w:rPr>
            </w:pPr>
            <w:r>
              <w:rPr>
                <w:sz w:val="18"/>
              </w:rPr>
              <w:t>Bulk Supply</w:t>
            </w:r>
          </w:p>
        </w:tc>
        <w:tc>
          <w:tcPr>
            <w:tcW w:w="927" w:type="dxa"/>
          </w:tcPr>
          <w:p w:rsidR="007C5447" w:rsidRDefault="00F6308C">
            <w:pPr>
              <w:pStyle w:val="TableParagraph"/>
              <w:spacing w:before="76"/>
              <w:ind w:left="158" w:right="153"/>
              <w:jc w:val="center"/>
              <w:rPr>
                <w:sz w:val="18"/>
              </w:rPr>
            </w:pPr>
            <w:r>
              <w:rPr>
                <w:sz w:val="18"/>
              </w:rPr>
              <w:t>IC</w:t>
            </w:r>
          </w:p>
        </w:tc>
        <w:tc>
          <w:tcPr>
            <w:tcW w:w="1432" w:type="dxa"/>
          </w:tcPr>
          <w:p w:rsidR="007C5447" w:rsidRDefault="00F6308C">
            <w:pPr>
              <w:pStyle w:val="TableParagraph"/>
              <w:spacing w:before="76"/>
              <w:ind w:right="323"/>
              <w:rPr>
                <w:sz w:val="18"/>
              </w:rPr>
            </w:pPr>
            <w:r>
              <w:rPr>
                <w:sz w:val="18"/>
              </w:rPr>
              <w:t>21</w:t>
            </w:r>
          </w:p>
        </w:tc>
        <w:tc>
          <w:tcPr>
            <w:tcW w:w="1254" w:type="dxa"/>
          </w:tcPr>
          <w:p w:rsidR="007C5447" w:rsidRDefault="00F6308C">
            <w:pPr>
              <w:pStyle w:val="TableParagraph"/>
              <w:spacing w:before="76"/>
              <w:ind w:right="326"/>
              <w:rPr>
                <w:sz w:val="18"/>
              </w:rPr>
            </w:pPr>
            <w:r>
              <w:rPr>
                <w:sz w:val="18"/>
              </w:rPr>
              <w:t>21</w:t>
            </w:r>
          </w:p>
        </w:tc>
        <w:tc>
          <w:tcPr>
            <w:tcW w:w="1276" w:type="dxa"/>
          </w:tcPr>
          <w:p w:rsidR="007C5447" w:rsidRDefault="00F6308C">
            <w:pPr>
              <w:pStyle w:val="TableParagraph"/>
              <w:spacing w:before="76"/>
              <w:ind w:left="755"/>
              <w:jc w:val="left"/>
              <w:rPr>
                <w:sz w:val="18"/>
              </w:rPr>
            </w:pPr>
            <w:r>
              <w:rPr>
                <w:sz w:val="18"/>
              </w:rPr>
              <w:t>25</w:t>
            </w:r>
          </w:p>
        </w:tc>
        <w:tc>
          <w:tcPr>
            <w:tcW w:w="1255" w:type="dxa"/>
          </w:tcPr>
          <w:p w:rsidR="007C5447" w:rsidRDefault="00F6308C">
            <w:pPr>
              <w:pStyle w:val="TableParagraph"/>
              <w:spacing w:before="76"/>
              <w:ind w:right="328"/>
              <w:rPr>
                <w:sz w:val="18"/>
              </w:rPr>
            </w:pPr>
            <w:r>
              <w:rPr>
                <w:sz w:val="18"/>
              </w:rPr>
              <w:t>25</w:t>
            </w:r>
          </w:p>
        </w:tc>
        <w:tc>
          <w:tcPr>
            <w:tcW w:w="1276" w:type="dxa"/>
          </w:tcPr>
          <w:p w:rsidR="007C5447" w:rsidRDefault="00F6308C">
            <w:pPr>
              <w:pStyle w:val="TableParagraph"/>
              <w:spacing w:before="76"/>
              <w:ind w:left="751"/>
              <w:jc w:val="left"/>
              <w:rPr>
                <w:sz w:val="18"/>
              </w:rPr>
            </w:pPr>
            <w:r>
              <w:rPr>
                <w:sz w:val="18"/>
              </w:rPr>
              <w:t>11</w:t>
            </w:r>
          </w:p>
        </w:tc>
        <w:tc>
          <w:tcPr>
            <w:tcW w:w="1123" w:type="dxa"/>
          </w:tcPr>
          <w:p w:rsidR="007C5447" w:rsidRDefault="00F6308C">
            <w:pPr>
              <w:pStyle w:val="TableParagraph"/>
              <w:spacing w:before="76"/>
              <w:ind w:right="332"/>
              <w:rPr>
                <w:sz w:val="18"/>
              </w:rPr>
            </w:pPr>
            <w:r>
              <w:rPr>
                <w:sz w:val="18"/>
              </w:rPr>
              <w:t>11</w:t>
            </w:r>
          </w:p>
        </w:tc>
        <w:tc>
          <w:tcPr>
            <w:tcW w:w="1276" w:type="dxa"/>
          </w:tcPr>
          <w:p w:rsidR="007C5447" w:rsidRDefault="00F6308C">
            <w:pPr>
              <w:pStyle w:val="TableParagraph"/>
              <w:spacing w:before="76"/>
              <w:ind w:left="748"/>
              <w:jc w:val="left"/>
              <w:rPr>
                <w:sz w:val="18"/>
              </w:rPr>
            </w:pPr>
            <w:r>
              <w:rPr>
                <w:sz w:val="18"/>
              </w:rPr>
              <w:t>11</w:t>
            </w:r>
          </w:p>
        </w:tc>
        <w:tc>
          <w:tcPr>
            <w:tcW w:w="1254" w:type="dxa"/>
          </w:tcPr>
          <w:p w:rsidR="007C5447" w:rsidRDefault="00F6308C">
            <w:pPr>
              <w:pStyle w:val="TableParagraph"/>
              <w:spacing w:before="76"/>
              <w:ind w:right="334"/>
              <w:rPr>
                <w:sz w:val="18"/>
              </w:rPr>
            </w:pPr>
            <w:r>
              <w:rPr>
                <w:sz w:val="18"/>
              </w:rPr>
              <w:t>11</w:t>
            </w:r>
          </w:p>
        </w:tc>
        <w:tc>
          <w:tcPr>
            <w:tcW w:w="1276" w:type="dxa"/>
          </w:tcPr>
          <w:p w:rsidR="007C5447" w:rsidRDefault="00F6308C">
            <w:pPr>
              <w:pStyle w:val="TableParagraph"/>
              <w:spacing w:before="76"/>
              <w:ind w:left="745"/>
              <w:jc w:val="left"/>
              <w:rPr>
                <w:sz w:val="18"/>
              </w:rPr>
            </w:pPr>
            <w:r>
              <w:rPr>
                <w:sz w:val="18"/>
              </w:rPr>
              <w:t>11</w:t>
            </w:r>
          </w:p>
        </w:tc>
        <w:tc>
          <w:tcPr>
            <w:tcW w:w="1398" w:type="dxa"/>
          </w:tcPr>
          <w:p w:rsidR="007C5447" w:rsidRDefault="00F6308C">
            <w:pPr>
              <w:pStyle w:val="TableParagraph"/>
              <w:spacing w:before="76"/>
              <w:ind w:right="339"/>
              <w:rPr>
                <w:sz w:val="18"/>
              </w:rPr>
            </w:pPr>
            <w:r>
              <w:rPr>
                <w:sz w:val="18"/>
              </w:rPr>
              <w:t>11</w:t>
            </w:r>
          </w:p>
        </w:tc>
      </w:tr>
      <w:tr w:rsidR="007C5447">
        <w:trPr>
          <w:trHeight w:val="522"/>
        </w:trPr>
        <w:tc>
          <w:tcPr>
            <w:tcW w:w="2432" w:type="dxa"/>
          </w:tcPr>
          <w:p w:rsidR="007C5447" w:rsidRDefault="00F6308C">
            <w:pPr>
              <w:pStyle w:val="TableParagraph"/>
              <w:spacing w:before="55"/>
              <w:ind w:left="107" w:right="360"/>
              <w:jc w:val="left"/>
              <w:rPr>
                <w:sz w:val="18"/>
              </w:rPr>
            </w:pPr>
            <w:r>
              <w:rPr>
                <w:sz w:val="18"/>
              </w:rPr>
              <w:t>Public Lighting and Public Water Supply &amp; Sewerage</w:t>
            </w:r>
          </w:p>
        </w:tc>
        <w:tc>
          <w:tcPr>
            <w:tcW w:w="927" w:type="dxa"/>
          </w:tcPr>
          <w:p w:rsidR="007C5447" w:rsidRDefault="00F6308C">
            <w:pPr>
              <w:pStyle w:val="TableParagraph"/>
              <w:spacing w:before="158"/>
              <w:ind w:left="158" w:right="150"/>
              <w:jc w:val="center"/>
              <w:rPr>
                <w:sz w:val="18"/>
              </w:rPr>
            </w:pPr>
            <w:r>
              <w:rPr>
                <w:sz w:val="18"/>
              </w:rPr>
              <w:t>IIA</w:t>
            </w:r>
          </w:p>
        </w:tc>
        <w:tc>
          <w:tcPr>
            <w:tcW w:w="1432" w:type="dxa"/>
          </w:tcPr>
          <w:p w:rsidR="007C5447" w:rsidRDefault="00F6308C">
            <w:pPr>
              <w:pStyle w:val="TableParagraph"/>
              <w:spacing w:before="158"/>
              <w:ind w:right="321"/>
              <w:rPr>
                <w:sz w:val="18"/>
              </w:rPr>
            </w:pPr>
            <w:r>
              <w:rPr>
                <w:sz w:val="18"/>
              </w:rPr>
              <w:t>1,700</w:t>
            </w:r>
          </w:p>
        </w:tc>
        <w:tc>
          <w:tcPr>
            <w:tcW w:w="1254" w:type="dxa"/>
          </w:tcPr>
          <w:p w:rsidR="007C5447" w:rsidRDefault="00F6308C">
            <w:pPr>
              <w:pStyle w:val="TableParagraph"/>
              <w:spacing w:before="158"/>
              <w:ind w:right="324"/>
              <w:rPr>
                <w:sz w:val="18"/>
              </w:rPr>
            </w:pPr>
            <w:r>
              <w:rPr>
                <w:sz w:val="18"/>
              </w:rPr>
              <w:t>1,700</w:t>
            </w:r>
          </w:p>
        </w:tc>
        <w:tc>
          <w:tcPr>
            <w:tcW w:w="1276" w:type="dxa"/>
          </w:tcPr>
          <w:p w:rsidR="007C5447" w:rsidRDefault="00F6308C">
            <w:pPr>
              <w:pStyle w:val="TableParagraph"/>
              <w:spacing w:before="158"/>
              <w:ind w:left="531"/>
              <w:jc w:val="left"/>
              <w:rPr>
                <w:sz w:val="18"/>
              </w:rPr>
            </w:pPr>
            <w:r>
              <w:rPr>
                <w:sz w:val="18"/>
              </w:rPr>
              <w:t>1,468</w:t>
            </w:r>
          </w:p>
        </w:tc>
        <w:tc>
          <w:tcPr>
            <w:tcW w:w="1255" w:type="dxa"/>
          </w:tcPr>
          <w:p w:rsidR="007C5447" w:rsidRDefault="00F6308C">
            <w:pPr>
              <w:pStyle w:val="TableParagraph"/>
              <w:spacing w:before="158"/>
              <w:ind w:right="327"/>
              <w:rPr>
                <w:sz w:val="18"/>
              </w:rPr>
            </w:pPr>
            <w:r>
              <w:rPr>
                <w:sz w:val="18"/>
              </w:rPr>
              <w:t>1,468</w:t>
            </w:r>
          </w:p>
        </w:tc>
        <w:tc>
          <w:tcPr>
            <w:tcW w:w="1276" w:type="dxa"/>
          </w:tcPr>
          <w:p w:rsidR="007C5447" w:rsidRDefault="00F6308C">
            <w:pPr>
              <w:pStyle w:val="TableParagraph"/>
              <w:spacing w:before="158"/>
              <w:ind w:left="528"/>
              <w:jc w:val="left"/>
              <w:rPr>
                <w:sz w:val="18"/>
              </w:rPr>
            </w:pPr>
            <w:r>
              <w:rPr>
                <w:sz w:val="18"/>
              </w:rPr>
              <w:t>1,917</w:t>
            </w:r>
          </w:p>
        </w:tc>
        <w:tc>
          <w:tcPr>
            <w:tcW w:w="1123" w:type="dxa"/>
          </w:tcPr>
          <w:p w:rsidR="007C5447" w:rsidRDefault="00F6308C">
            <w:pPr>
              <w:pStyle w:val="TableParagraph"/>
              <w:spacing w:before="158"/>
              <w:ind w:right="331"/>
              <w:rPr>
                <w:sz w:val="18"/>
              </w:rPr>
            </w:pPr>
            <w:r>
              <w:rPr>
                <w:sz w:val="18"/>
              </w:rPr>
              <w:t>1,917</w:t>
            </w:r>
          </w:p>
        </w:tc>
        <w:tc>
          <w:tcPr>
            <w:tcW w:w="1276" w:type="dxa"/>
          </w:tcPr>
          <w:p w:rsidR="007C5447" w:rsidRDefault="00F6308C">
            <w:pPr>
              <w:pStyle w:val="TableParagraph"/>
              <w:spacing w:before="158"/>
              <w:ind w:left="525"/>
              <w:jc w:val="left"/>
              <w:rPr>
                <w:sz w:val="18"/>
              </w:rPr>
            </w:pPr>
            <w:r>
              <w:rPr>
                <w:sz w:val="18"/>
              </w:rPr>
              <w:t>2,110</w:t>
            </w:r>
          </w:p>
        </w:tc>
        <w:tc>
          <w:tcPr>
            <w:tcW w:w="1254" w:type="dxa"/>
          </w:tcPr>
          <w:p w:rsidR="007C5447" w:rsidRDefault="00F6308C">
            <w:pPr>
              <w:pStyle w:val="TableParagraph"/>
              <w:spacing w:before="158"/>
              <w:ind w:right="333"/>
              <w:rPr>
                <w:sz w:val="18"/>
              </w:rPr>
            </w:pPr>
            <w:r>
              <w:rPr>
                <w:sz w:val="18"/>
              </w:rPr>
              <w:t>2,110</w:t>
            </w:r>
          </w:p>
        </w:tc>
        <w:tc>
          <w:tcPr>
            <w:tcW w:w="1276" w:type="dxa"/>
          </w:tcPr>
          <w:p w:rsidR="007C5447" w:rsidRDefault="00F6308C">
            <w:pPr>
              <w:pStyle w:val="TableParagraph"/>
              <w:spacing w:before="158"/>
              <w:ind w:left="522"/>
              <w:jc w:val="left"/>
              <w:rPr>
                <w:sz w:val="18"/>
              </w:rPr>
            </w:pPr>
            <w:r>
              <w:rPr>
                <w:sz w:val="18"/>
              </w:rPr>
              <w:t>2,232</w:t>
            </w:r>
          </w:p>
        </w:tc>
        <w:tc>
          <w:tcPr>
            <w:tcW w:w="1398" w:type="dxa"/>
          </w:tcPr>
          <w:p w:rsidR="007C5447" w:rsidRDefault="00F6308C">
            <w:pPr>
              <w:pStyle w:val="TableParagraph"/>
              <w:spacing w:before="158"/>
              <w:ind w:right="338"/>
              <w:rPr>
                <w:sz w:val="18"/>
              </w:rPr>
            </w:pPr>
            <w:r>
              <w:rPr>
                <w:sz w:val="18"/>
              </w:rPr>
              <w:t>2,232</w:t>
            </w:r>
          </w:p>
        </w:tc>
      </w:tr>
      <w:tr w:rsidR="007C5447">
        <w:trPr>
          <w:trHeight w:val="652"/>
        </w:trPr>
        <w:tc>
          <w:tcPr>
            <w:tcW w:w="2432" w:type="dxa"/>
          </w:tcPr>
          <w:p w:rsidR="007C5447" w:rsidRDefault="00F6308C">
            <w:pPr>
              <w:pStyle w:val="TableParagraph"/>
              <w:spacing w:before="20" w:line="206" w:lineRule="exact"/>
              <w:ind w:left="107" w:right="140"/>
              <w:jc w:val="left"/>
              <w:rPr>
                <w:sz w:val="18"/>
              </w:rPr>
            </w:pPr>
            <w:r>
              <w:rPr>
                <w:sz w:val="18"/>
              </w:rPr>
              <w:t>Govt. Educational Institutions., Hospitals, Water supply etc.</w:t>
            </w:r>
          </w:p>
        </w:tc>
        <w:tc>
          <w:tcPr>
            <w:tcW w:w="927" w:type="dxa"/>
          </w:tcPr>
          <w:p w:rsidR="007C5447" w:rsidRDefault="007C5447">
            <w:pPr>
              <w:pStyle w:val="TableParagraph"/>
              <w:spacing w:before="4"/>
              <w:jc w:val="left"/>
              <w:rPr>
                <w:sz w:val="19"/>
              </w:rPr>
            </w:pPr>
          </w:p>
          <w:p w:rsidR="007C5447" w:rsidRDefault="00F6308C">
            <w:pPr>
              <w:pStyle w:val="TableParagraph"/>
              <w:ind w:left="158" w:right="153"/>
              <w:jc w:val="center"/>
              <w:rPr>
                <w:sz w:val="18"/>
              </w:rPr>
            </w:pPr>
            <w:r>
              <w:rPr>
                <w:sz w:val="18"/>
              </w:rPr>
              <w:t>IIB (1)</w:t>
            </w:r>
          </w:p>
        </w:tc>
        <w:tc>
          <w:tcPr>
            <w:tcW w:w="1432" w:type="dxa"/>
          </w:tcPr>
          <w:p w:rsidR="007C5447" w:rsidRDefault="007C5447">
            <w:pPr>
              <w:pStyle w:val="TableParagraph"/>
              <w:spacing w:before="4"/>
              <w:jc w:val="left"/>
              <w:rPr>
                <w:sz w:val="19"/>
              </w:rPr>
            </w:pPr>
          </w:p>
          <w:p w:rsidR="007C5447" w:rsidRDefault="00F6308C">
            <w:pPr>
              <w:pStyle w:val="TableParagraph"/>
              <w:ind w:right="323"/>
              <w:rPr>
                <w:sz w:val="18"/>
              </w:rPr>
            </w:pPr>
            <w:r>
              <w:rPr>
                <w:sz w:val="18"/>
              </w:rPr>
              <w:t>574</w:t>
            </w:r>
          </w:p>
        </w:tc>
        <w:tc>
          <w:tcPr>
            <w:tcW w:w="1254" w:type="dxa"/>
          </w:tcPr>
          <w:p w:rsidR="007C5447" w:rsidRDefault="007C5447">
            <w:pPr>
              <w:pStyle w:val="TableParagraph"/>
              <w:spacing w:before="4"/>
              <w:jc w:val="left"/>
              <w:rPr>
                <w:sz w:val="19"/>
              </w:rPr>
            </w:pPr>
          </w:p>
          <w:p w:rsidR="007C5447" w:rsidRDefault="00F6308C">
            <w:pPr>
              <w:pStyle w:val="TableParagraph"/>
              <w:ind w:right="326"/>
              <w:rPr>
                <w:sz w:val="18"/>
              </w:rPr>
            </w:pPr>
            <w:r>
              <w:rPr>
                <w:sz w:val="18"/>
              </w:rPr>
              <w:t>574</w:t>
            </w:r>
          </w:p>
        </w:tc>
        <w:tc>
          <w:tcPr>
            <w:tcW w:w="1276" w:type="dxa"/>
          </w:tcPr>
          <w:p w:rsidR="007C5447" w:rsidRDefault="007C5447">
            <w:pPr>
              <w:pStyle w:val="TableParagraph"/>
              <w:spacing w:before="4"/>
              <w:jc w:val="left"/>
              <w:rPr>
                <w:sz w:val="19"/>
              </w:rPr>
            </w:pPr>
          </w:p>
          <w:p w:rsidR="007C5447" w:rsidRDefault="00F6308C">
            <w:pPr>
              <w:pStyle w:val="TableParagraph"/>
              <w:ind w:left="666"/>
              <w:jc w:val="left"/>
              <w:rPr>
                <w:sz w:val="18"/>
              </w:rPr>
            </w:pPr>
            <w:r>
              <w:rPr>
                <w:sz w:val="18"/>
              </w:rPr>
              <w:t>499</w:t>
            </w:r>
          </w:p>
        </w:tc>
        <w:tc>
          <w:tcPr>
            <w:tcW w:w="1255" w:type="dxa"/>
          </w:tcPr>
          <w:p w:rsidR="007C5447" w:rsidRDefault="007C5447">
            <w:pPr>
              <w:pStyle w:val="TableParagraph"/>
              <w:spacing w:before="4"/>
              <w:jc w:val="left"/>
              <w:rPr>
                <w:sz w:val="19"/>
              </w:rPr>
            </w:pPr>
          </w:p>
          <w:p w:rsidR="007C5447" w:rsidRDefault="00F6308C">
            <w:pPr>
              <w:pStyle w:val="TableParagraph"/>
              <w:ind w:right="329"/>
              <w:rPr>
                <w:sz w:val="18"/>
              </w:rPr>
            </w:pPr>
            <w:r>
              <w:rPr>
                <w:sz w:val="18"/>
              </w:rPr>
              <w:t>499</w:t>
            </w:r>
          </w:p>
        </w:tc>
        <w:tc>
          <w:tcPr>
            <w:tcW w:w="1276" w:type="dxa"/>
          </w:tcPr>
          <w:p w:rsidR="007C5447" w:rsidRDefault="007C5447">
            <w:pPr>
              <w:pStyle w:val="TableParagraph"/>
              <w:spacing w:before="4"/>
              <w:jc w:val="left"/>
              <w:rPr>
                <w:sz w:val="19"/>
              </w:rPr>
            </w:pPr>
          </w:p>
          <w:p w:rsidR="007C5447" w:rsidRDefault="00F6308C">
            <w:pPr>
              <w:pStyle w:val="TableParagraph"/>
              <w:ind w:left="662"/>
              <w:jc w:val="left"/>
              <w:rPr>
                <w:sz w:val="18"/>
              </w:rPr>
            </w:pPr>
            <w:r>
              <w:rPr>
                <w:sz w:val="18"/>
              </w:rPr>
              <w:t>345</w:t>
            </w:r>
          </w:p>
        </w:tc>
        <w:tc>
          <w:tcPr>
            <w:tcW w:w="1123" w:type="dxa"/>
          </w:tcPr>
          <w:p w:rsidR="007C5447" w:rsidRDefault="007C5447">
            <w:pPr>
              <w:pStyle w:val="TableParagraph"/>
              <w:spacing w:before="4"/>
              <w:jc w:val="left"/>
              <w:rPr>
                <w:sz w:val="19"/>
              </w:rPr>
            </w:pPr>
          </w:p>
          <w:p w:rsidR="007C5447" w:rsidRDefault="00F6308C">
            <w:pPr>
              <w:pStyle w:val="TableParagraph"/>
              <w:ind w:right="333"/>
              <w:rPr>
                <w:sz w:val="18"/>
              </w:rPr>
            </w:pPr>
            <w:r>
              <w:rPr>
                <w:sz w:val="18"/>
              </w:rPr>
              <w:t>345</w:t>
            </w:r>
          </w:p>
        </w:tc>
        <w:tc>
          <w:tcPr>
            <w:tcW w:w="1276" w:type="dxa"/>
          </w:tcPr>
          <w:p w:rsidR="007C5447" w:rsidRDefault="007C5447">
            <w:pPr>
              <w:pStyle w:val="TableParagraph"/>
              <w:spacing w:before="4"/>
              <w:jc w:val="left"/>
              <w:rPr>
                <w:sz w:val="19"/>
              </w:rPr>
            </w:pPr>
          </w:p>
          <w:p w:rsidR="007C5447" w:rsidRDefault="00F6308C">
            <w:pPr>
              <w:pStyle w:val="TableParagraph"/>
              <w:ind w:left="659"/>
              <w:jc w:val="left"/>
              <w:rPr>
                <w:sz w:val="18"/>
              </w:rPr>
            </w:pPr>
            <w:r>
              <w:rPr>
                <w:sz w:val="18"/>
              </w:rPr>
              <w:t>178</w:t>
            </w:r>
          </w:p>
        </w:tc>
        <w:tc>
          <w:tcPr>
            <w:tcW w:w="1254" w:type="dxa"/>
          </w:tcPr>
          <w:p w:rsidR="007C5447" w:rsidRDefault="007C5447">
            <w:pPr>
              <w:pStyle w:val="TableParagraph"/>
              <w:spacing w:before="4"/>
              <w:jc w:val="left"/>
              <w:rPr>
                <w:sz w:val="19"/>
              </w:rPr>
            </w:pPr>
          </w:p>
          <w:p w:rsidR="007C5447" w:rsidRDefault="00F6308C">
            <w:pPr>
              <w:pStyle w:val="TableParagraph"/>
              <w:ind w:right="335"/>
              <w:rPr>
                <w:sz w:val="18"/>
              </w:rPr>
            </w:pPr>
            <w:r>
              <w:rPr>
                <w:sz w:val="18"/>
              </w:rPr>
              <w:t>178</w:t>
            </w:r>
          </w:p>
        </w:tc>
        <w:tc>
          <w:tcPr>
            <w:tcW w:w="1276" w:type="dxa"/>
          </w:tcPr>
          <w:p w:rsidR="007C5447" w:rsidRDefault="007C5447">
            <w:pPr>
              <w:pStyle w:val="TableParagraph"/>
              <w:spacing w:before="4"/>
              <w:jc w:val="left"/>
              <w:rPr>
                <w:sz w:val="19"/>
              </w:rPr>
            </w:pPr>
          </w:p>
          <w:p w:rsidR="007C5447" w:rsidRDefault="00F6308C">
            <w:pPr>
              <w:pStyle w:val="TableParagraph"/>
              <w:ind w:left="657"/>
              <w:jc w:val="left"/>
              <w:rPr>
                <w:sz w:val="18"/>
              </w:rPr>
            </w:pPr>
            <w:r>
              <w:rPr>
                <w:sz w:val="18"/>
              </w:rPr>
              <w:t>144</w:t>
            </w:r>
          </w:p>
        </w:tc>
        <w:tc>
          <w:tcPr>
            <w:tcW w:w="1398" w:type="dxa"/>
          </w:tcPr>
          <w:p w:rsidR="007C5447" w:rsidRDefault="007C5447">
            <w:pPr>
              <w:pStyle w:val="TableParagraph"/>
              <w:spacing w:before="4"/>
              <w:jc w:val="left"/>
              <w:rPr>
                <w:sz w:val="19"/>
              </w:rPr>
            </w:pPr>
          </w:p>
          <w:p w:rsidR="007C5447" w:rsidRDefault="00F6308C">
            <w:pPr>
              <w:pStyle w:val="TableParagraph"/>
              <w:ind w:right="340"/>
              <w:rPr>
                <w:sz w:val="18"/>
              </w:rPr>
            </w:pPr>
            <w:r>
              <w:rPr>
                <w:sz w:val="18"/>
              </w:rPr>
              <w:t>144</w:t>
            </w:r>
          </w:p>
        </w:tc>
      </w:tr>
      <w:tr w:rsidR="007C5447">
        <w:trPr>
          <w:trHeight w:val="650"/>
        </w:trPr>
        <w:tc>
          <w:tcPr>
            <w:tcW w:w="2432" w:type="dxa"/>
          </w:tcPr>
          <w:p w:rsidR="007C5447" w:rsidRDefault="00F6308C">
            <w:pPr>
              <w:pStyle w:val="TableParagraph"/>
              <w:spacing w:before="14"/>
              <w:ind w:left="107" w:right="85"/>
              <w:jc w:val="left"/>
              <w:rPr>
                <w:sz w:val="18"/>
              </w:rPr>
            </w:pPr>
            <w:r>
              <w:rPr>
                <w:sz w:val="18"/>
              </w:rPr>
              <w:t>Private Educational Institutions, Cinema theatre &amp;</w:t>
            </w:r>
          </w:p>
          <w:p w:rsidR="007C5447" w:rsidRDefault="00F6308C">
            <w:pPr>
              <w:pStyle w:val="TableParagraph"/>
              <w:spacing w:before="1" w:line="201" w:lineRule="exact"/>
              <w:ind w:left="107"/>
              <w:jc w:val="left"/>
              <w:rPr>
                <w:sz w:val="18"/>
              </w:rPr>
            </w:pPr>
            <w:r>
              <w:rPr>
                <w:sz w:val="18"/>
              </w:rPr>
              <w:t>Studios</w:t>
            </w:r>
          </w:p>
        </w:tc>
        <w:tc>
          <w:tcPr>
            <w:tcW w:w="927" w:type="dxa"/>
          </w:tcPr>
          <w:p w:rsidR="007C5447" w:rsidRDefault="007C5447">
            <w:pPr>
              <w:pStyle w:val="TableParagraph"/>
              <w:spacing w:before="2"/>
              <w:jc w:val="left"/>
              <w:rPr>
                <w:sz w:val="19"/>
              </w:rPr>
            </w:pPr>
          </w:p>
          <w:p w:rsidR="007C5447" w:rsidRDefault="00F6308C">
            <w:pPr>
              <w:pStyle w:val="TableParagraph"/>
              <w:ind w:left="158" w:right="153"/>
              <w:jc w:val="center"/>
              <w:rPr>
                <w:sz w:val="18"/>
              </w:rPr>
            </w:pPr>
            <w:r>
              <w:rPr>
                <w:sz w:val="18"/>
              </w:rPr>
              <w:t>IIB (2)</w:t>
            </w:r>
          </w:p>
        </w:tc>
        <w:tc>
          <w:tcPr>
            <w:tcW w:w="1432" w:type="dxa"/>
          </w:tcPr>
          <w:p w:rsidR="007C5447" w:rsidRDefault="007C5447">
            <w:pPr>
              <w:pStyle w:val="TableParagraph"/>
              <w:spacing w:before="2"/>
              <w:jc w:val="left"/>
              <w:rPr>
                <w:sz w:val="19"/>
              </w:rPr>
            </w:pPr>
          </w:p>
          <w:p w:rsidR="007C5447" w:rsidRDefault="00F6308C">
            <w:pPr>
              <w:pStyle w:val="TableParagraph"/>
              <w:ind w:right="323"/>
              <w:rPr>
                <w:sz w:val="18"/>
              </w:rPr>
            </w:pPr>
            <w:r>
              <w:rPr>
                <w:sz w:val="18"/>
              </w:rPr>
              <w:t>247</w:t>
            </w:r>
          </w:p>
        </w:tc>
        <w:tc>
          <w:tcPr>
            <w:tcW w:w="1254" w:type="dxa"/>
          </w:tcPr>
          <w:p w:rsidR="007C5447" w:rsidRDefault="007C5447">
            <w:pPr>
              <w:pStyle w:val="TableParagraph"/>
              <w:spacing w:before="2"/>
              <w:jc w:val="left"/>
              <w:rPr>
                <w:sz w:val="19"/>
              </w:rPr>
            </w:pPr>
          </w:p>
          <w:p w:rsidR="007C5447" w:rsidRDefault="00F6308C">
            <w:pPr>
              <w:pStyle w:val="TableParagraph"/>
              <w:ind w:right="326"/>
              <w:rPr>
                <w:sz w:val="18"/>
              </w:rPr>
            </w:pPr>
            <w:r>
              <w:rPr>
                <w:sz w:val="18"/>
              </w:rPr>
              <w:t>247</w:t>
            </w:r>
          </w:p>
        </w:tc>
        <w:tc>
          <w:tcPr>
            <w:tcW w:w="1276" w:type="dxa"/>
          </w:tcPr>
          <w:p w:rsidR="007C5447" w:rsidRDefault="007C5447">
            <w:pPr>
              <w:pStyle w:val="TableParagraph"/>
              <w:spacing w:before="2"/>
              <w:jc w:val="left"/>
              <w:rPr>
                <w:sz w:val="19"/>
              </w:rPr>
            </w:pPr>
          </w:p>
          <w:p w:rsidR="007C5447" w:rsidRDefault="00F6308C">
            <w:pPr>
              <w:pStyle w:val="TableParagraph"/>
              <w:ind w:left="666"/>
              <w:jc w:val="left"/>
              <w:rPr>
                <w:sz w:val="18"/>
              </w:rPr>
            </w:pPr>
            <w:r>
              <w:rPr>
                <w:sz w:val="18"/>
              </w:rPr>
              <w:t>192</w:t>
            </w:r>
          </w:p>
        </w:tc>
        <w:tc>
          <w:tcPr>
            <w:tcW w:w="1255" w:type="dxa"/>
          </w:tcPr>
          <w:p w:rsidR="007C5447" w:rsidRDefault="007C5447">
            <w:pPr>
              <w:pStyle w:val="TableParagraph"/>
              <w:spacing w:before="2"/>
              <w:jc w:val="left"/>
              <w:rPr>
                <w:sz w:val="19"/>
              </w:rPr>
            </w:pPr>
          </w:p>
          <w:p w:rsidR="007C5447" w:rsidRDefault="00F6308C">
            <w:pPr>
              <w:pStyle w:val="TableParagraph"/>
              <w:ind w:right="329"/>
              <w:rPr>
                <w:sz w:val="18"/>
              </w:rPr>
            </w:pPr>
            <w:r>
              <w:rPr>
                <w:sz w:val="18"/>
              </w:rPr>
              <w:t>192</w:t>
            </w:r>
          </w:p>
        </w:tc>
        <w:tc>
          <w:tcPr>
            <w:tcW w:w="1276" w:type="dxa"/>
          </w:tcPr>
          <w:p w:rsidR="007C5447" w:rsidRDefault="007C5447">
            <w:pPr>
              <w:pStyle w:val="TableParagraph"/>
              <w:spacing w:before="2"/>
              <w:jc w:val="left"/>
              <w:rPr>
                <w:sz w:val="19"/>
              </w:rPr>
            </w:pPr>
          </w:p>
          <w:p w:rsidR="007C5447" w:rsidRDefault="00F6308C">
            <w:pPr>
              <w:pStyle w:val="TableParagraph"/>
              <w:ind w:left="662"/>
              <w:jc w:val="left"/>
              <w:rPr>
                <w:sz w:val="18"/>
              </w:rPr>
            </w:pPr>
            <w:r>
              <w:rPr>
                <w:sz w:val="18"/>
              </w:rPr>
              <w:t>229</w:t>
            </w:r>
          </w:p>
        </w:tc>
        <w:tc>
          <w:tcPr>
            <w:tcW w:w="1123" w:type="dxa"/>
          </w:tcPr>
          <w:p w:rsidR="007C5447" w:rsidRDefault="007C5447">
            <w:pPr>
              <w:pStyle w:val="TableParagraph"/>
              <w:spacing w:before="2"/>
              <w:jc w:val="left"/>
              <w:rPr>
                <w:sz w:val="19"/>
              </w:rPr>
            </w:pPr>
          </w:p>
          <w:p w:rsidR="007C5447" w:rsidRDefault="00F6308C">
            <w:pPr>
              <w:pStyle w:val="TableParagraph"/>
              <w:ind w:right="333"/>
              <w:rPr>
                <w:sz w:val="18"/>
              </w:rPr>
            </w:pPr>
            <w:r>
              <w:rPr>
                <w:sz w:val="18"/>
              </w:rPr>
              <w:t>229</w:t>
            </w:r>
          </w:p>
        </w:tc>
        <w:tc>
          <w:tcPr>
            <w:tcW w:w="1276" w:type="dxa"/>
          </w:tcPr>
          <w:p w:rsidR="007C5447" w:rsidRDefault="007C5447">
            <w:pPr>
              <w:pStyle w:val="TableParagraph"/>
              <w:spacing w:before="2"/>
              <w:jc w:val="left"/>
              <w:rPr>
                <w:sz w:val="19"/>
              </w:rPr>
            </w:pPr>
          </w:p>
          <w:p w:rsidR="007C5447" w:rsidRDefault="00F6308C">
            <w:pPr>
              <w:pStyle w:val="TableParagraph"/>
              <w:ind w:left="659"/>
              <w:jc w:val="left"/>
              <w:rPr>
                <w:sz w:val="18"/>
              </w:rPr>
            </w:pPr>
            <w:r>
              <w:rPr>
                <w:sz w:val="18"/>
              </w:rPr>
              <w:t>247</w:t>
            </w:r>
          </w:p>
        </w:tc>
        <w:tc>
          <w:tcPr>
            <w:tcW w:w="1254" w:type="dxa"/>
          </w:tcPr>
          <w:p w:rsidR="007C5447" w:rsidRDefault="007C5447">
            <w:pPr>
              <w:pStyle w:val="TableParagraph"/>
              <w:spacing w:before="2"/>
              <w:jc w:val="left"/>
              <w:rPr>
                <w:sz w:val="19"/>
              </w:rPr>
            </w:pPr>
          </w:p>
          <w:p w:rsidR="007C5447" w:rsidRDefault="00F6308C">
            <w:pPr>
              <w:pStyle w:val="TableParagraph"/>
              <w:ind w:right="335"/>
              <w:rPr>
                <w:sz w:val="18"/>
              </w:rPr>
            </w:pPr>
            <w:r>
              <w:rPr>
                <w:sz w:val="18"/>
              </w:rPr>
              <w:t>247</w:t>
            </w:r>
          </w:p>
        </w:tc>
        <w:tc>
          <w:tcPr>
            <w:tcW w:w="1276" w:type="dxa"/>
          </w:tcPr>
          <w:p w:rsidR="007C5447" w:rsidRDefault="007C5447">
            <w:pPr>
              <w:pStyle w:val="TableParagraph"/>
              <w:spacing w:before="2"/>
              <w:jc w:val="left"/>
              <w:rPr>
                <w:sz w:val="19"/>
              </w:rPr>
            </w:pPr>
          </w:p>
          <w:p w:rsidR="007C5447" w:rsidRDefault="00F6308C">
            <w:pPr>
              <w:pStyle w:val="TableParagraph"/>
              <w:ind w:left="657"/>
              <w:jc w:val="left"/>
              <w:rPr>
                <w:sz w:val="18"/>
              </w:rPr>
            </w:pPr>
            <w:r>
              <w:rPr>
                <w:sz w:val="18"/>
              </w:rPr>
              <w:t>252</w:t>
            </w:r>
          </w:p>
        </w:tc>
        <w:tc>
          <w:tcPr>
            <w:tcW w:w="1398" w:type="dxa"/>
          </w:tcPr>
          <w:p w:rsidR="007C5447" w:rsidRDefault="007C5447">
            <w:pPr>
              <w:pStyle w:val="TableParagraph"/>
              <w:spacing w:before="2"/>
              <w:jc w:val="left"/>
              <w:rPr>
                <w:sz w:val="19"/>
              </w:rPr>
            </w:pPr>
          </w:p>
          <w:p w:rsidR="007C5447" w:rsidRDefault="00F6308C">
            <w:pPr>
              <w:pStyle w:val="TableParagraph"/>
              <w:ind w:right="340"/>
              <w:rPr>
                <w:sz w:val="18"/>
              </w:rPr>
            </w:pPr>
            <w:r>
              <w:rPr>
                <w:sz w:val="18"/>
              </w:rPr>
              <w:t>252</w:t>
            </w:r>
          </w:p>
        </w:tc>
      </w:tr>
      <w:tr w:rsidR="007C5447">
        <w:trPr>
          <w:trHeight w:val="650"/>
        </w:trPr>
        <w:tc>
          <w:tcPr>
            <w:tcW w:w="2432" w:type="dxa"/>
          </w:tcPr>
          <w:p w:rsidR="007C5447" w:rsidRDefault="00F6308C">
            <w:pPr>
              <w:pStyle w:val="TableParagraph"/>
              <w:spacing w:before="14"/>
              <w:ind w:left="107"/>
              <w:jc w:val="left"/>
              <w:rPr>
                <w:sz w:val="18"/>
              </w:rPr>
            </w:pPr>
            <w:r>
              <w:rPr>
                <w:sz w:val="18"/>
              </w:rPr>
              <w:t>Actual place of public</w:t>
            </w:r>
          </w:p>
          <w:p w:rsidR="007C5447" w:rsidRDefault="00F6308C">
            <w:pPr>
              <w:pStyle w:val="TableParagraph"/>
              <w:spacing w:before="5" w:line="206" w:lineRule="exact"/>
              <w:ind w:left="107" w:right="164"/>
              <w:jc w:val="left"/>
              <w:rPr>
                <w:sz w:val="18"/>
              </w:rPr>
            </w:pPr>
            <w:r>
              <w:rPr>
                <w:sz w:val="18"/>
              </w:rPr>
              <w:t>worship, Mutts and Religious Institutions</w:t>
            </w:r>
          </w:p>
        </w:tc>
        <w:tc>
          <w:tcPr>
            <w:tcW w:w="927" w:type="dxa"/>
          </w:tcPr>
          <w:p w:rsidR="007C5447" w:rsidRDefault="007C5447">
            <w:pPr>
              <w:pStyle w:val="TableParagraph"/>
              <w:spacing w:before="4"/>
              <w:jc w:val="left"/>
              <w:rPr>
                <w:sz w:val="19"/>
              </w:rPr>
            </w:pPr>
          </w:p>
          <w:p w:rsidR="007C5447" w:rsidRDefault="00F6308C">
            <w:pPr>
              <w:pStyle w:val="TableParagraph"/>
              <w:spacing w:before="1"/>
              <w:ind w:left="158" w:right="150"/>
              <w:jc w:val="center"/>
              <w:rPr>
                <w:sz w:val="18"/>
              </w:rPr>
            </w:pPr>
            <w:r>
              <w:rPr>
                <w:sz w:val="18"/>
              </w:rPr>
              <w:t>IIC</w:t>
            </w:r>
          </w:p>
        </w:tc>
        <w:tc>
          <w:tcPr>
            <w:tcW w:w="1432" w:type="dxa"/>
          </w:tcPr>
          <w:p w:rsidR="007C5447" w:rsidRDefault="007C5447">
            <w:pPr>
              <w:pStyle w:val="TableParagraph"/>
              <w:spacing w:before="4"/>
              <w:jc w:val="left"/>
              <w:rPr>
                <w:sz w:val="19"/>
              </w:rPr>
            </w:pPr>
          </w:p>
          <w:p w:rsidR="007C5447" w:rsidRDefault="00F6308C">
            <w:pPr>
              <w:pStyle w:val="TableParagraph"/>
              <w:spacing w:before="1"/>
              <w:ind w:right="323"/>
              <w:rPr>
                <w:sz w:val="18"/>
              </w:rPr>
            </w:pPr>
            <w:r>
              <w:rPr>
                <w:sz w:val="18"/>
              </w:rPr>
              <w:t>101</w:t>
            </w:r>
          </w:p>
        </w:tc>
        <w:tc>
          <w:tcPr>
            <w:tcW w:w="1254" w:type="dxa"/>
          </w:tcPr>
          <w:p w:rsidR="007C5447" w:rsidRDefault="007C5447">
            <w:pPr>
              <w:pStyle w:val="TableParagraph"/>
              <w:spacing w:before="4"/>
              <w:jc w:val="left"/>
              <w:rPr>
                <w:sz w:val="19"/>
              </w:rPr>
            </w:pPr>
          </w:p>
          <w:p w:rsidR="007C5447" w:rsidRDefault="00F6308C">
            <w:pPr>
              <w:pStyle w:val="TableParagraph"/>
              <w:spacing w:before="1"/>
              <w:ind w:right="326"/>
              <w:rPr>
                <w:sz w:val="18"/>
              </w:rPr>
            </w:pPr>
            <w:r>
              <w:rPr>
                <w:sz w:val="18"/>
              </w:rPr>
              <w:t>101</w:t>
            </w:r>
          </w:p>
        </w:tc>
        <w:tc>
          <w:tcPr>
            <w:tcW w:w="1276" w:type="dxa"/>
          </w:tcPr>
          <w:p w:rsidR="007C5447" w:rsidRDefault="007C5447">
            <w:pPr>
              <w:pStyle w:val="TableParagraph"/>
              <w:spacing w:before="4"/>
              <w:jc w:val="left"/>
              <w:rPr>
                <w:sz w:val="19"/>
              </w:rPr>
            </w:pPr>
          </w:p>
          <w:p w:rsidR="007C5447" w:rsidRDefault="00F6308C">
            <w:pPr>
              <w:pStyle w:val="TableParagraph"/>
              <w:spacing w:before="1"/>
              <w:ind w:left="755"/>
              <w:jc w:val="left"/>
              <w:rPr>
                <w:sz w:val="18"/>
              </w:rPr>
            </w:pPr>
            <w:r>
              <w:rPr>
                <w:sz w:val="18"/>
              </w:rPr>
              <w:t>95</w:t>
            </w:r>
          </w:p>
        </w:tc>
        <w:tc>
          <w:tcPr>
            <w:tcW w:w="1255" w:type="dxa"/>
          </w:tcPr>
          <w:p w:rsidR="007C5447" w:rsidRDefault="007C5447">
            <w:pPr>
              <w:pStyle w:val="TableParagraph"/>
              <w:spacing w:before="4"/>
              <w:jc w:val="left"/>
              <w:rPr>
                <w:sz w:val="19"/>
              </w:rPr>
            </w:pPr>
          </w:p>
          <w:p w:rsidR="007C5447" w:rsidRDefault="00F6308C">
            <w:pPr>
              <w:pStyle w:val="TableParagraph"/>
              <w:spacing w:before="1"/>
              <w:ind w:right="328"/>
              <w:rPr>
                <w:sz w:val="18"/>
              </w:rPr>
            </w:pPr>
            <w:r>
              <w:rPr>
                <w:sz w:val="18"/>
              </w:rPr>
              <w:t>95</w:t>
            </w:r>
          </w:p>
        </w:tc>
        <w:tc>
          <w:tcPr>
            <w:tcW w:w="1276" w:type="dxa"/>
          </w:tcPr>
          <w:p w:rsidR="007C5447" w:rsidRDefault="007C5447">
            <w:pPr>
              <w:pStyle w:val="TableParagraph"/>
              <w:spacing w:before="4"/>
              <w:jc w:val="left"/>
              <w:rPr>
                <w:sz w:val="19"/>
              </w:rPr>
            </w:pPr>
          </w:p>
          <w:p w:rsidR="007C5447" w:rsidRDefault="00F6308C">
            <w:pPr>
              <w:pStyle w:val="TableParagraph"/>
              <w:spacing w:before="1"/>
              <w:ind w:left="662"/>
              <w:jc w:val="left"/>
              <w:rPr>
                <w:sz w:val="18"/>
              </w:rPr>
            </w:pPr>
            <w:r>
              <w:rPr>
                <w:sz w:val="18"/>
              </w:rPr>
              <w:t>105</w:t>
            </w:r>
          </w:p>
        </w:tc>
        <w:tc>
          <w:tcPr>
            <w:tcW w:w="1123" w:type="dxa"/>
          </w:tcPr>
          <w:p w:rsidR="007C5447" w:rsidRDefault="007C5447">
            <w:pPr>
              <w:pStyle w:val="TableParagraph"/>
              <w:spacing w:before="4"/>
              <w:jc w:val="left"/>
              <w:rPr>
                <w:sz w:val="19"/>
              </w:rPr>
            </w:pPr>
          </w:p>
          <w:p w:rsidR="007C5447" w:rsidRDefault="00F6308C">
            <w:pPr>
              <w:pStyle w:val="TableParagraph"/>
              <w:spacing w:before="1"/>
              <w:ind w:right="333"/>
              <w:rPr>
                <w:sz w:val="18"/>
              </w:rPr>
            </w:pPr>
            <w:r>
              <w:rPr>
                <w:sz w:val="18"/>
              </w:rPr>
              <w:t>105</w:t>
            </w:r>
          </w:p>
        </w:tc>
        <w:tc>
          <w:tcPr>
            <w:tcW w:w="1276" w:type="dxa"/>
          </w:tcPr>
          <w:p w:rsidR="007C5447" w:rsidRDefault="007C5447">
            <w:pPr>
              <w:pStyle w:val="TableParagraph"/>
              <w:spacing w:before="4"/>
              <w:jc w:val="left"/>
              <w:rPr>
                <w:sz w:val="19"/>
              </w:rPr>
            </w:pPr>
          </w:p>
          <w:p w:rsidR="007C5447" w:rsidRDefault="00F6308C">
            <w:pPr>
              <w:pStyle w:val="TableParagraph"/>
              <w:spacing w:before="1"/>
              <w:ind w:left="659"/>
              <w:jc w:val="left"/>
              <w:rPr>
                <w:sz w:val="18"/>
              </w:rPr>
            </w:pPr>
            <w:r>
              <w:rPr>
                <w:sz w:val="18"/>
              </w:rPr>
              <w:t>116</w:t>
            </w:r>
          </w:p>
        </w:tc>
        <w:tc>
          <w:tcPr>
            <w:tcW w:w="1254" w:type="dxa"/>
          </w:tcPr>
          <w:p w:rsidR="007C5447" w:rsidRDefault="007C5447">
            <w:pPr>
              <w:pStyle w:val="TableParagraph"/>
              <w:spacing w:before="4"/>
              <w:jc w:val="left"/>
              <w:rPr>
                <w:sz w:val="19"/>
              </w:rPr>
            </w:pPr>
          </w:p>
          <w:p w:rsidR="007C5447" w:rsidRDefault="00F6308C">
            <w:pPr>
              <w:pStyle w:val="TableParagraph"/>
              <w:spacing w:before="1"/>
              <w:ind w:right="335"/>
              <w:rPr>
                <w:sz w:val="18"/>
              </w:rPr>
            </w:pPr>
            <w:r>
              <w:rPr>
                <w:sz w:val="18"/>
              </w:rPr>
              <w:t>116</w:t>
            </w:r>
          </w:p>
        </w:tc>
        <w:tc>
          <w:tcPr>
            <w:tcW w:w="1276" w:type="dxa"/>
          </w:tcPr>
          <w:p w:rsidR="007C5447" w:rsidRDefault="007C5447">
            <w:pPr>
              <w:pStyle w:val="TableParagraph"/>
              <w:spacing w:before="4"/>
              <w:jc w:val="left"/>
              <w:rPr>
                <w:sz w:val="19"/>
              </w:rPr>
            </w:pPr>
          </w:p>
          <w:p w:rsidR="007C5447" w:rsidRDefault="00F6308C">
            <w:pPr>
              <w:pStyle w:val="TableParagraph"/>
              <w:spacing w:before="1"/>
              <w:ind w:left="657"/>
              <w:jc w:val="left"/>
              <w:rPr>
                <w:sz w:val="18"/>
              </w:rPr>
            </w:pPr>
            <w:r>
              <w:rPr>
                <w:sz w:val="18"/>
              </w:rPr>
              <w:t>123</w:t>
            </w:r>
          </w:p>
        </w:tc>
        <w:tc>
          <w:tcPr>
            <w:tcW w:w="1398" w:type="dxa"/>
          </w:tcPr>
          <w:p w:rsidR="007C5447" w:rsidRDefault="007C5447">
            <w:pPr>
              <w:pStyle w:val="TableParagraph"/>
              <w:spacing w:before="4"/>
              <w:jc w:val="left"/>
              <w:rPr>
                <w:sz w:val="19"/>
              </w:rPr>
            </w:pPr>
          </w:p>
          <w:p w:rsidR="007C5447" w:rsidRDefault="00F6308C">
            <w:pPr>
              <w:pStyle w:val="TableParagraph"/>
              <w:spacing w:before="1"/>
              <w:ind w:right="340"/>
              <w:rPr>
                <w:sz w:val="18"/>
              </w:rPr>
            </w:pPr>
            <w:r>
              <w:rPr>
                <w:sz w:val="18"/>
              </w:rPr>
              <w:t>123</w:t>
            </w:r>
          </w:p>
        </w:tc>
      </w:tr>
      <w:tr w:rsidR="007C5447">
        <w:trPr>
          <w:trHeight w:val="361"/>
        </w:trPr>
        <w:tc>
          <w:tcPr>
            <w:tcW w:w="2432" w:type="dxa"/>
          </w:tcPr>
          <w:p w:rsidR="007C5447" w:rsidRDefault="00F6308C">
            <w:pPr>
              <w:pStyle w:val="TableParagraph"/>
              <w:spacing w:before="76"/>
              <w:ind w:left="107"/>
              <w:jc w:val="left"/>
              <w:rPr>
                <w:sz w:val="18"/>
              </w:rPr>
            </w:pPr>
            <w:r>
              <w:rPr>
                <w:sz w:val="18"/>
              </w:rPr>
              <w:t>Cottage and Tiny Industries</w:t>
            </w:r>
          </w:p>
        </w:tc>
        <w:tc>
          <w:tcPr>
            <w:tcW w:w="927" w:type="dxa"/>
          </w:tcPr>
          <w:p w:rsidR="007C5447" w:rsidRDefault="00F6308C">
            <w:pPr>
              <w:pStyle w:val="TableParagraph"/>
              <w:spacing w:before="76"/>
              <w:ind w:left="158" w:right="153"/>
              <w:jc w:val="center"/>
              <w:rPr>
                <w:sz w:val="18"/>
              </w:rPr>
            </w:pPr>
            <w:r>
              <w:rPr>
                <w:sz w:val="18"/>
              </w:rPr>
              <w:t>IIIA (1)</w:t>
            </w:r>
          </w:p>
        </w:tc>
        <w:tc>
          <w:tcPr>
            <w:tcW w:w="1432" w:type="dxa"/>
          </w:tcPr>
          <w:p w:rsidR="007C5447" w:rsidRDefault="00F6308C">
            <w:pPr>
              <w:pStyle w:val="TableParagraph"/>
              <w:spacing w:before="76"/>
              <w:ind w:right="323"/>
              <w:rPr>
                <w:sz w:val="18"/>
              </w:rPr>
            </w:pPr>
            <w:r>
              <w:rPr>
                <w:sz w:val="18"/>
              </w:rPr>
              <w:t>562</w:t>
            </w:r>
          </w:p>
        </w:tc>
        <w:tc>
          <w:tcPr>
            <w:tcW w:w="1254" w:type="dxa"/>
          </w:tcPr>
          <w:p w:rsidR="007C5447" w:rsidRDefault="00F6308C">
            <w:pPr>
              <w:pStyle w:val="TableParagraph"/>
              <w:spacing w:before="76"/>
              <w:ind w:right="326"/>
              <w:rPr>
                <w:sz w:val="18"/>
              </w:rPr>
            </w:pPr>
            <w:r>
              <w:rPr>
                <w:sz w:val="18"/>
              </w:rPr>
              <w:t>562</w:t>
            </w:r>
          </w:p>
        </w:tc>
        <w:tc>
          <w:tcPr>
            <w:tcW w:w="1276" w:type="dxa"/>
          </w:tcPr>
          <w:p w:rsidR="007C5447" w:rsidRDefault="00F6308C">
            <w:pPr>
              <w:pStyle w:val="TableParagraph"/>
              <w:spacing w:before="76"/>
              <w:ind w:left="666"/>
              <w:jc w:val="left"/>
              <w:rPr>
                <w:sz w:val="18"/>
              </w:rPr>
            </w:pPr>
            <w:r>
              <w:rPr>
                <w:sz w:val="18"/>
              </w:rPr>
              <w:t>463</w:t>
            </w:r>
          </w:p>
        </w:tc>
        <w:tc>
          <w:tcPr>
            <w:tcW w:w="1255" w:type="dxa"/>
          </w:tcPr>
          <w:p w:rsidR="007C5447" w:rsidRDefault="00F6308C">
            <w:pPr>
              <w:pStyle w:val="TableParagraph"/>
              <w:spacing w:before="76"/>
              <w:ind w:right="329"/>
              <w:rPr>
                <w:sz w:val="18"/>
              </w:rPr>
            </w:pPr>
            <w:r>
              <w:rPr>
                <w:sz w:val="18"/>
              </w:rPr>
              <w:t>463</w:t>
            </w:r>
          </w:p>
        </w:tc>
        <w:tc>
          <w:tcPr>
            <w:tcW w:w="1276" w:type="dxa"/>
          </w:tcPr>
          <w:p w:rsidR="007C5447" w:rsidRDefault="00F6308C">
            <w:pPr>
              <w:pStyle w:val="TableParagraph"/>
              <w:spacing w:before="76"/>
              <w:ind w:left="662"/>
              <w:jc w:val="left"/>
              <w:rPr>
                <w:sz w:val="18"/>
              </w:rPr>
            </w:pPr>
            <w:r>
              <w:rPr>
                <w:sz w:val="18"/>
              </w:rPr>
              <w:t>406</w:t>
            </w:r>
          </w:p>
        </w:tc>
        <w:tc>
          <w:tcPr>
            <w:tcW w:w="1123" w:type="dxa"/>
          </w:tcPr>
          <w:p w:rsidR="007C5447" w:rsidRDefault="00F6308C">
            <w:pPr>
              <w:pStyle w:val="TableParagraph"/>
              <w:spacing w:before="76"/>
              <w:ind w:right="333"/>
              <w:rPr>
                <w:sz w:val="18"/>
              </w:rPr>
            </w:pPr>
            <w:r>
              <w:rPr>
                <w:sz w:val="18"/>
              </w:rPr>
              <w:t>406</w:t>
            </w:r>
          </w:p>
        </w:tc>
        <w:tc>
          <w:tcPr>
            <w:tcW w:w="1276" w:type="dxa"/>
          </w:tcPr>
          <w:p w:rsidR="007C5447" w:rsidRDefault="00F6308C">
            <w:pPr>
              <w:pStyle w:val="TableParagraph"/>
              <w:spacing w:before="76"/>
              <w:ind w:left="659"/>
              <w:jc w:val="left"/>
              <w:rPr>
                <w:sz w:val="18"/>
              </w:rPr>
            </w:pPr>
            <w:r>
              <w:rPr>
                <w:sz w:val="18"/>
              </w:rPr>
              <w:t>196</w:t>
            </w:r>
          </w:p>
        </w:tc>
        <w:tc>
          <w:tcPr>
            <w:tcW w:w="1254" w:type="dxa"/>
          </w:tcPr>
          <w:p w:rsidR="007C5447" w:rsidRDefault="00F6308C">
            <w:pPr>
              <w:pStyle w:val="TableParagraph"/>
              <w:spacing w:before="76"/>
              <w:ind w:right="335"/>
              <w:rPr>
                <w:sz w:val="18"/>
              </w:rPr>
            </w:pPr>
            <w:r>
              <w:rPr>
                <w:sz w:val="18"/>
              </w:rPr>
              <w:t>196</w:t>
            </w:r>
          </w:p>
        </w:tc>
        <w:tc>
          <w:tcPr>
            <w:tcW w:w="1276" w:type="dxa"/>
          </w:tcPr>
          <w:p w:rsidR="007C5447" w:rsidRDefault="00F6308C">
            <w:pPr>
              <w:pStyle w:val="TableParagraph"/>
              <w:spacing w:before="76"/>
              <w:ind w:left="657"/>
              <w:jc w:val="left"/>
              <w:rPr>
                <w:sz w:val="18"/>
              </w:rPr>
            </w:pPr>
            <w:r>
              <w:rPr>
                <w:sz w:val="18"/>
              </w:rPr>
              <w:t>219</w:t>
            </w:r>
          </w:p>
        </w:tc>
        <w:tc>
          <w:tcPr>
            <w:tcW w:w="1398" w:type="dxa"/>
          </w:tcPr>
          <w:p w:rsidR="007C5447" w:rsidRDefault="00F6308C">
            <w:pPr>
              <w:pStyle w:val="TableParagraph"/>
              <w:spacing w:before="76"/>
              <w:ind w:right="340"/>
              <w:rPr>
                <w:sz w:val="18"/>
              </w:rPr>
            </w:pPr>
            <w:r>
              <w:rPr>
                <w:sz w:val="18"/>
              </w:rPr>
              <w:t>219</w:t>
            </w:r>
          </w:p>
        </w:tc>
      </w:tr>
      <w:tr w:rsidR="007C5447">
        <w:trPr>
          <w:trHeight w:val="359"/>
        </w:trPr>
        <w:tc>
          <w:tcPr>
            <w:tcW w:w="2432" w:type="dxa"/>
          </w:tcPr>
          <w:p w:rsidR="007C5447" w:rsidRDefault="00F6308C">
            <w:pPr>
              <w:pStyle w:val="TableParagraph"/>
              <w:spacing w:before="76"/>
              <w:ind w:left="107"/>
              <w:jc w:val="left"/>
              <w:rPr>
                <w:sz w:val="18"/>
              </w:rPr>
            </w:pPr>
            <w:r>
              <w:rPr>
                <w:sz w:val="18"/>
              </w:rPr>
              <w:t>Power loom</w:t>
            </w:r>
          </w:p>
        </w:tc>
        <w:tc>
          <w:tcPr>
            <w:tcW w:w="927" w:type="dxa"/>
          </w:tcPr>
          <w:p w:rsidR="007C5447" w:rsidRDefault="00F6308C">
            <w:pPr>
              <w:pStyle w:val="TableParagraph"/>
              <w:spacing w:before="76"/>
              <w:ind w:left="158" w:right="153"/>
              <w:jc w:val="center"/>
              <w:rPr>
                <w:sz w:val="18"/>
              </w:rPr>
            </w:pPr>
            <w:r>
              <w:rPr>
                <w:sz w:val="18"/>
              </w:rPr>
              <w:t>IIIA (2)</w:t>
            </w:r>
          </w:p>
        </w:tc>
        <w:tc>
          <w:tcPr>
            <w:tcW w:w="1432" w:type="dxa"/>
          </w:tcPr>
          <w:p w:rsidR="007C5447" w:rsidRDefault="00F6308C">
            <w:pPr>
              <w:pStyle w:val="TableParagraph"/>
              <w:spacing w:before="76"/>
              <w:ind w:right="323"/>
              <w:rPr>
                <w:sz w:val="18"/>
              </w:rPr>
            </w:pPr>
            <w:r>
              <w:rPr>
                <w:sz w:val="18"/>
              </w:rPr>
              <w:t>782</w:t>
            </w:r>
          </w:p>
        </w:tc>
        <w:tc>
          <w:tcPr>
            <w:tcW w:w="1254" w:type="dxa"/>
          </w:tcPr>
          <w:p w:rsidR="007C5447" w:rsidRDefault="00F6308C">
            <w:pPr>
              <w:pStyle w:val="TableParagraph"/>
              <w:spacing w:before="76"/>
              <w:ind w:right="326"/>
              <w:rPr>
                <w:sz w:val="18"/>
              </w:rPr>
            </w:pPr>
            <w:r>
              <w:rPr>
                <w:sz w:val="18"/>
              </w:rPr>
              <w:t>782</w:t>
            </w:r>
          </w:p>
        </w:tc>
        <w:tc>
          <w:tcPr>
            <w:tcW w:w="1276" w:type="dxa"/>
          </w:tcPr>
          <w:p w:rsidR="007C5447" w:rsidRDefault="00F6308C">
            <w:pPr>
              <w:pStyle w:val="TableParagraph"/>
              <w:spacing w:before="76"/>
              <w:ind w:left="666"/>
              <w:jc w:val="left"/>
              <w:rPr>
                <w:sz w:val="18"/>
              </w:rPr>
            </w:pPr>
            <w:r>
              <w:rPr>
                <w:sz w:val="18"/>
              </w:rPr>
              <w:t>719</w:t>
            </w:r>
          </w:p>
        </w:tc>
        <w:tc>
          <w:tcPr>
            <w:tcW w:w="1255" w:type="dxa"/>
          </w:tcPr>
          <w:p w:rsidR="007C5447" w:rsidRDefault="00F6308C">
            <w:pPr>
              <w:pStyle w:val="TableParagraph"/>
              <w:spacing w:before="76"/>
              <w:ind w:right="329"/>
              <w:rPr>
                <w:sz w:val="18"/>
              </w:rPr>
            </w:pPr>
            <w:r>
              <w:rPr>
                <w:sz w:val="18"/>
              </w:rPr>
              <w:t>719</w:t>
            </w:r>
          </w:p>
        </w:tc>
        <w:tc>
          <w:tcPr>
            <w:tcW w:w="1276" w:type="dxa"/>
          </w:tcPr>
          <w:p w:rsidR="007C5447" w:rsidRDefault="00F6308C">
            <w:pPr>
              <w:pStyle w:val="TableParagraph"/>
              <w:spacing w:before="76"/>
              <w:ind w:left="662"/>
              <w:jc w:val="left"/>
              <w:rPr>
                <w:sz w:val="18"/>
              </w:rPr>
            </w:pPr>
            <w:r>
              <w:rPr>
                <w:sz w:val="18"/>
              </w:rPr>
              <w:t>801</w:t>
            </w:r>
          </w:p>
        </w:tc>
        <w:tc>
          <w:tcPr>
            <w:tcW w:w="1123" w:type="dxa"/>
          </w:tcPr>
          <w:p w:rsidR="007C5447" w:rsidRDefault="00F6308C">
            <w:pPr>
              <w:pStyle w:val="TableParagraph"/>
              <w:spacing w:before="76"/>
              <w:ind w:right="333"/>
              <w:rPr>
                <w:sz w:val="18"/>
              </w:rPr>
            </w:pPr>
            <w:r>
              <w:rPr>
                <w:sz w:val="18"/>
              </w:rPr>
              <w:t>801</w:t>
            </w:r>
          </w:p>
        </w:tc>
        <w:tc>
          <w:tcPr>
            <w:tcW w:w="1276" w:type="dxa"/>
          </w:tcPr>
          <w:p w:rsidR="007C5447" w:rsidRDefault="00F6308C">
            <w:pPr>
              <w:pStyle w:val="TableParagraph"/>
              <w:spacing w:before="76"/>
              <w:ind w:left="659"/>
              <w:jc w:val="left"/>
              <w:rPr>
                <w:sz w:val="18"/>
              </w:rPr>
            </w:pPr>
            <w:r>
              <w:rPr>
                <w:sz w:val="18"/>
              </w:rPr>
              <w:t>926</w:t>
            </w:r>
          </w:p>
        </w:tc>
        <w:tc>
          <w:tcPr>
            <w:tcW w:w="1254" w:type="dxa"/>
          </w:tcPr>
          <w:p w:rsidR="007C5447" w:rsidRDefault="00F6308C">
            <w:pPr>
              <w:pStyle w:val="TableParagraph"/>
              <w:spacing w:before="76"/>
              <w:ind w:right="335"/>
              <w:rPr>
                <w:sz w:val="18"/>
              </w:rPr>
            </w:pPr>
            <w:r>
              <w:rPr>
                <w:sz w:val="18"/>
              </w:rPr>
              <w:t>926</w:t>
            </w:r>
          </w:p>
        </w:tc>
        <w:tc>
          <w:tcPr>
            <w:tcW w:w="1276" w:type="dxa"/>
          </w:tcPr>
          <w:p w:rsidR="007C5447" w:rsidRDefault="00F6308C">
            <w:pPr>
              <w:pStyle w:val="TableParagraph"/>
              <w:spacing w:before="76"/>
              <w:ind w:left="657"/>
              <w:jc w:val="left"/>
              <w:rPr>
                <w:sz w:val="18"/>
              </w:rPr>
            </w:pPr>
            <w:r>
              <w:rPr>
                <w:sz w:val="18"/>
              </w:rPr>
              <w:t>968</w:t>
            </w:r>
          </w:p>
        </w:tc>
        <w:tc>
          <w:tcPr>
            <w:tcW w:w="1398" w:type="dxa"/>
          </w:tcPr>
          <w:p w:rsidR="007C5447" w:rsidRDefault="00F6308C">
            <w:pPr>
              <w:pStyle w:val="TableParagraph"/>
              <w:spacing w:before="76"/>
              <w:ind w:right="340"/>
              <w:rPr>
                <w:sz w:val="18"/>
              </w:rPr>
            </w:pPr>
            <w:r>
              <w:rPr>
                <w:sz w:val="18"/>
              </w:rPr>
              <w:t>968</w:t>
            </w:r>
          </w:p>
        </w:tc>
      </w:tr>
      <w:tr w:rsidR="007C5447">
        <w:trPr>
          <w:trHeight w:val="856"/>
        </w:trPr>
        <w:tc>
          <w:tcPr>
            <w:tcW w:w="2432" w:type="dxa"/>
          </w:tcPr>
          <w:p w:rsidR="007C5447" w:rsidRDefault="00F6308C">
            <w:pPr>
              <w:pStyle w:val="TableParagraph"/>
              <w:spacing w:before="14"/>
              <w:ind w:left="107" w:right="265"/>
              <w:jc w:val="left"/>
              <w:rPr>
                <w:sz w:val="18"/>
              </w:rPr>
            </w:pPr>
            <w:r>
              <w:rPr>
                <w:sz w:val="18"/>
              </w:rPr>
              <w:t>Coffee grinding and Ice factories etc. and Industries not covered under LT Tariff</w:t>
            </w:r>
          </w:p>
          <w:p w:rsidR="007C5447" w:rsidRDefault="00F6308C">
            <w:pPr>
              <w:pStyle w:val="TableParagraph"/>
              <w:spacing w:before="1" w:line="201" w:lineRule="exact"/>
              <w:ind w:left="107"/>
              <w:jc w:val="left"/>
              <w:rPr>
                <w:sz w:val="18"/>
              </w:rPr>
            </w:pPr>
            <w:r>
              <w:rPr>
                <w:sz w:val="18"/>
              </w:rPr>
              <w:t>IIIA</w:t>
            </w:r>
          </w:p>
        </w:tc>
        <w:tc>
          <w:tcPr>
            <w:tcW w:w="927" w:type="dxa"/>
          </w:tcPr>
          <w:p w:rsidR="007C5447" w:rsidRDefault="007C5447">
            <w:pPr>
              <w:pStyle w:val="TableParagraph"/>
              <w:spacing w:before="4"/>
              <w:jc w:val="left"/>
              <w:rPr>
                <w:sz w:val="28"/>
              </w:rPr>
            </w:pPr>
          </w:p>
          <w:p w:rsidR="007C5447" w:rsidRDefault="00F6308C">
            <w:pPr>
              <w:pStyle w:val="TableParagraph"/>
              <w:ind w:left="158" w:right="153"/>
              <w:jc w:val="center"/>
              <w:rPr>
                <w:sz w:val="18"/>
              </w:rPr>
            </w:pPr>
            <w:r>
              <w:rPr>
                <w:sz w:val="18"/>
              </w:rPr>
              <w:t>IIIB</w:t>
            </w:r>
          </w:p>
        </w:tc>
        <w:tc>
          <w:tcPr>
            <w:tcW w:w="1432" w:type="dxa"/>
          </w:tcPr>
          <w:p w:rsidR="007C5447" w:rsidRDefault="007C5447">
            <w:pPr>
              <w:pStyle w:val="TableParagraph"/>
              <w:spacing w:before="4"/>
              <w:jc w:val="left"/>
              <w:rPr>
                <w:sz w:val="28"/>
              </w:rPr>
            </w:pPr>
          </w:p>
          <w:p w:rsidR="007C5447" w:rsidRDefault="00F6308C">
            <w:pPr>
              <w:pStyle w:val="TableParagraph"/>
              <w:ind w:right="321"/>
              <w:rPr>
                <w:sz w:val="18"/>
              </w:rPr>
            </w:pPr>
            <w:r>
              <w:rPr>
                <w:sz w:val="18"/>
              </w:rPr>
              <w:t>3,953</w:t>
            </w:r>
          </w:p>
        </w:tc>
        <w:tc>
          <w:tcPr>
            <w:tcW w:w="1254" w:type="dxa"/>
          </w:tcPr>
          <w:p w:rsidR="007C5447" w:rsidRDefault="007C5447">
            <w:pPr>
              <w:pStyle w:val="TableParagraph"/>
              <w:spacing w:before="4"/>
              <w:jc w:val="left"/>
              <w:rPr>
                <w:sz w:val="28"/>
              </w:rPr>
            </w:pPr>
          </w:p>
          <w:p w:rsidR="007C5447" w:rsidRDefault="00F6308C">
            <w:pPr>
              <w:pStyle w:val="TableParagraph"/>
              <w:ind w:right="324"/>
              <w:rPr>
                <w:sz w:val="18"/>
              </w:rPr>
            </w:pPr>
            <w:r>
              <w:rPr>
                <w:sz w:val="18"/>
              </w:rPr>
              <w:t>3,953</w:t>
            </w:r>
          </w:p>
        </w:tc>
        <w:tc>
          <w:tcPr>
            <w:tcW w:w="1276" w:type="dxa"/>
          </w:tcPr>
          <w:p w:rsidR="007C5447" w:rsidRDefault="007C5447">
            <w:pPr>
              <w:pStyle w:val="TableParagraph"/>
              <w:spacing w:before="4"/>
              <w:jc w:val="left"/>
              <w:rPr>
                <w:sz w:val="28"/>
              </w:rPr>
            </w:pPr>
          </w:p>
          <w:p w:rsidR="007C5447" w:rsidRDefault="00F6308C">
            <w:pPr>
              <w:pStyle w:val="TableParagraph"/>
              <w:ind w:left="531"/>
              <w:jc w:val="left"/>
              <w:rPr>
                <w:sz w:val="18"/>
              </w:rPr>
            </w:pPr>
            <w:r>
              <w:rPr>
                <w:sz w:val="18"/>
              </w:rPr>
              <w:t>3,880</w:t>
            </w:r>
          </w:p>
        </w:tc>
        <w:tc>
          <w:tcPr>
            <w:tcW w:w="1255" w:type="dxa"/>
          </w:tcPr>
          <w:p w:rsidR="007C5447" w:rsidRDefault="007C5447">
            <w:pPr>
              <w:pStyle w:val="TableParagraph"/>
              <w:spacing w:before="4"/>
              <w:jc w:val="left"/>
              <w:rPr>
                <w:sz w:val="28"/>
              </w:rPr>
            </w:pPr>
          </w:p>
          <w:p w:rsidR="007C5447" w:rsidRDefault="00F6308C">
            <w:pPr>
              <w:pStyle w:val="TableParagraph"/>
              <w:ind w:right="327"/>
              <w:rPr>
                <w:sz w:val="18"/>
              </w:rPr>
            </w:pPr>
            <w:r>
              <w:rPr>
                <w:sz w:val="18"/>
              </w:rPr>
              <w:t>3,880</w:t>
            </w:r>
          </w:p>
        </w:tc>
        <w:tc>
          <w:tcPr>
            <w:tcW w:w="1276" w:type="dxa"/>
          </w:tcPr>
          <w:p w:rsidR="007C5447" w:rsidRDefault="007C5447">
            <w:pPr>
              <w:pStyle w:val="TableParagraph"/>
              <w:spacing w:before="4"/>
              <w:jc w:val="left"/>
              <w:rPr>
                <w:sz w:val="28"/>
              </w:rPr>
            </w:pPr>
          </w:p>
          <w:p w:rsidR="007C5447" w:rsidRDefault="00F6308C">
            <w:pPr>
              <w:pStyle w:val="TableParagraph"/>
              <w:ind w:left="528"/>
              <w:jc w:val="left"/>
              <w:rPr>
                <w:sz w:val="18"/>
              </w:rPr>
            </w:pPr>
            <w:r>
              <w:rPr>
                <w:sz w:val="18"/>
              </w:rPr>
              <w:t>4,761</w:t>
            </w:r>
          </w:p>
        </w:tc>
        <w:tc>
          <w:tcPr>
            <w:tcW w:w="1123" w:type="dxa"/>
          </w:tcPr>
          <w:p w:rsidR="007C5447" w:rsidRDefault="007C5447">
            <w:pPr>
              <w:pStyle w:val="TableParagraph"/>
              <w:spacing w:before="4"/>
              <w:jc w:val="left"/>
              <w:rPr>
                <w:sz w:val="28"/>
              </w:rPr>
            </w:pPr>
          </w:p>
          <w:p w:rsidR="007C5447" w:rsidRDefault="00F6308C">
            <w:pPr>
              <w:pStyle w:val="TableParagraph"/>
              <w:ind w:right="331"/>
              <w:rPr>
                <w:sz w:val="18"/>
              </w:rPr>
            </w:pPr>
            <w:r>
              <w:rPr>
                <w:sz w:val="18"/>
              </w:rPr>
              <w:t>4,761</w:t>
            </w:r>
          </w:p>
        </w:tc>
        <w:tc>
          <w:tcPr>
            <w:tcW w:w="1276" w:type="dxa"/>
          </w:tcPr>
          <w:p w:rsidR="007C5447" w:rsidRDefault="007C5447">
            <w:pPr>
              <w:pStyle w:val="TableParagraph"/>
              <w:spacing w:before="4"/>
              <w:jc w:val="left"/>
              <w:rPr>
                <w:sz w:val="28"/>
              </w:rPr>
            </w:pPr>
          </w:p>
          <w:p w:rsidR="007C5447" w:rsidRDefault="00F6308C">
            <w:pPr>
              <w:pStyle w:val="TableParagraph"/>
              <w:ind w:left="525"/>
              <w:jc w:val="left"/>
              <w:rPr>
                <w:sz w:val="18"/>
              </w:rPr>
            </w:pPr>
            <w:r>
              <w:rPr>
                <w:sz w:val="18"/>
              </w:rPr>
              <w:t>5,872</w:t>
            </w:r>
          </w:p>
        </w:tc>
        <w:tc>
          <w:tcPr>
            <w:tcW w:w="1254" w:type="dxa"/>
          </w:tcPr>
          <w:p w:rsidR="007C5447" w:rsidRDefault="007C5447">
            <w:pPr>
              <w:pStyle w:val="TableParagraph"/>
              <w:spacing w:before="4"/>
              <w:jc w:val="left"/>
              <w:rPr>
                <w:sz w:val="28"/>
              </w:rPr>
            </w:pPr>
          </w:p>
          <w:p w:rsidR="007C5447" w:rsidRDefault="00F6308C">
            <w:pPr>
              <w:pStyle w:val="TableParagraph"/>
              <w:ind w:right="333"/>
              <w:rPr>
                <w:sz w:val="18"/>
              </w:rPr>
            </w:pPr>
            <w:r>
              <w:rPr>
                <w:sz w:val="18"/>
              </w:rPr>
              <w:t>5,872</w:t>
            </w:r>
          </w:p>
        </w:tc>
        <w:tc>
          <w:tcPr>
            <w:tcW w:w="1276" w:type="dxa"/>
          </w:tcPr>
          <w:p w:rsidR="007C5447" w:rsidRDefault="007C5447">
            <w:pPr>
              <w:pStyle w:val="TableParagraph"/>
              <w:spacing w:before="4"/>
              <w:jc w:val="left"/>
              <w:rPr>
                <w:sz w:val="28"/>
              </w:rPr>
            </w:pPr>
          </w:p>
          <w:p w:rsidR="007C5447" w:rsidRDefault="00F6308C">
            <w:pPr>
              <w:pStyle w:val="TableParagraph"/>
              <w:ind w:left="522"/>
              <w:jc w:val="left"/>
              <w:rPr>
                <w:sz w:val="18"/>
              </w:rPr>
            </w:pPr>
            <w:r>
              <w:rPr>
                <w:sz w:val="18"/>
              </w:rPr>
              <w:t>6,256</w:t>
            </w:r>
          </w:p>
        </w:tc>
        <w:tc>
          <w:tcPr>
            <w:tcW w:w="1398" w:type="dxa"/>
          </w:tcPr>
          <w:p w:rsidR="007C5447" w:rsidRDefault="007C5447">
            <w:pPr>
              <w:pStyle w:val="TableParagraph"/>
              <w:spacing w:before="4"/>
              <w:jc w:val="left"/>
              <w:rPr>
                <w:sz w:val="28"/>
              </w:rPr>
            </w:pPr>
          </w:p>
          <w:p w:rsidR="007C5447" w:rsidRDefault="00F6308C">
            <w:pPr>
              <w:pStyle w:val="TableParagraph"/>
              <w:ind w:right="338"/>
              <w:rPr>
                <w:sz w:val="18"/>
              </w:rPr>
            </w:pPr>
            <w:r>
              <w:rPr>
                <w:sz w:val="18"/>
              </w:rPr>
              <w:t>6,256</w:t>
            </w:r>
          </w:p>
        </w:tc>
      </w:tr>
      <w:tr w:rsidR="007C5447">
        <w:trPr>
          <w:trHeight w:val="446"/>
        </w:trPr>
        <w:tc>
          <w:tcPr>
            <w:tcW w:w="2432" w:type="dxa"/>
          </w:tcPr>
          <w:p w:rsidR="007C5447" w:rsidRDefault="00F6308C">
            <w:pPr>
              <w:pStyle w:val="TableParagraph"/>
              <w:spacing w:before="20" w:line="206" w:lineRule="exact"/>
              <w:ind w:left="107" w:right="345"/>
              <w:jc w:val="left"/>
              <w:rPr>
                <w:sz w:val="18"/>
              </w:rPr>
            </w:pPr>
            <w:r>
              <w:rPr>
                <w:sz w:val="18"/>
              </w:rPr>
              <w:t>Agriculture and Govt. seed farm etc.</w:t>
            </w:r>
          </w:p>
        </w:tc>
        <w:tc>
          <w:tcPr>
            <w:tcW w:w="927" w:type="dxa"/>
          </w:tcPr>
          <w:p w:rsidR="007C5447" w:rsidRDefault="00F6308C">
            <w:pPr>
              <w:pStyle w:val="TableParagraph"/>
              <w:spacing w:before="120"/>
              <w:ind w:left="158" w:right="152"/>
              <w:jc w:val="center"/>
              <w:rPr>
                <w:sz w:val="18"/>
              </w:rPr>
            </w:pPr>
            <w:r>
              <w:rPr>
                <w:sz w:val="18"/>
              </w:rPr>
              <w:t>IV</w:t>
            </w:r>
          </w:p>
        </w:tc>
        <w:tc>
          <w:tcPr>
            <w:tcW w:w="1432" w:type="dxa"/>
          </w:tcPr>
          <w:p w:rsidR="007C5447" w:rsidRDefault="00F6308C">
            <w:pPr>
              <w:pStyle w:val="TableParagraph"/>
              <w:spacing w:before="120"/>
              <w:ind w:left="601"/>
              <w:jc w:val="left"/>
              <w:rPr>
                <w:sz w:val="18"/>
              </w:rPr>
            </w:pPr>
            <w:r>
              <w:rPr>
                <w:sz w:val="18"/>
              </w:rPr>
              <w:t>10,118</w:t>
            </w:r>
          </w:p>
        </w:tc>
        <w:tc>
          <w:tcPr>
            <w:tcW w:w="1254" w:type="dxa"/>
          </w:tcPr>
          <w:p w:rsidR="007C5447" w:rsidRDefault="00F6308C">
            <w:pPr>
              <w:pStyle w:val="TableParagraph"/>
              <w:spacing w:before="120"/>
              <w:ind w:right="326"/>
              <w:rPr>
                <w:sz w:val="18"/>
              </w:rPr>
            </w:pPr>
            <w:r>
              <w:rPr>
                <w:sz w:val="18"/>
              </w:rPr>
              <w:t>10,118</w:t>
            </w:r>
          </w:p>
        </w:tc>
        <w:tc>
          <w:tcPr>
            <w:tcW w:w="1276" w:type="dxa"/>
          </w:tcPr>
          <w:p w:rsidR="007C5447" w:rsidRDefault="00F6308C">
            <w:pPr>
              <w:pStyle w:val="TableParagraph"/>
              <w:spacing w:before="120"/>
              <w:ind w:left="440"/>
              <w:jc w:val="left"/>
              <w:rPr>
                <w:sz w:val="18"/>
              </w:rPr>
            </w:pPr>
            <w:r>
              <w:rPr>
                <w:sz w:val="18"/>
              </w:rPr>
              <w:t>11,248</w:t>
            </w:r>
          </w:p>
        </w:tc>
        <w:tc>
          <w:tcPr>
            <w:tcW w:w="1255" w:type="dxa"/>
          </w:tcPr>
          <w:p w:rsidR="007C5447" w:rsidRDefault="00F6308C">
            <w:pPr>
              <w:pStyle w:val="TableParagraph"/>
              <w:spacing w:before="120"/>
              <w:ind w:right="330"/>
              <w:rPr>
                <w:sz w:val="18"/>
              </w:rPr>
            </w:pPr>
            <w:r>
              <w:rPr>
                <w:sz w:val="18"/>
              </w:rPr>
              <w:t>10,206</w:t>
            </w:r>
          </w:p>
        </w:tc>
        <w:tc>
          <w:tcPr>
            <w:tcW w:w="1276" w:type="dxa"/>
          </w:tcPr>
          <w:p w:rsidR="007C5447" w:rsidRDefault="00F6308C">
            <w:pPr>
              <w:pStyle w:val="TableParagraph"/>
              <w:spacing w:before="120"/>
              <w:ind w:left="437"/>
              <w:jc w:val="left"/>
              <w:rPr>
                <w:sz w:val="18"/>
              </w:rPr>
            </w:pPr>
            <w:r>
              <w:rPr>
                <w:sz w:val="18"/>
              </w:rPr>
              <w:t>12,295</w:t>
            </w:r>
          </w:p>
        </w:tc>
        <w:tc>
          <w:tcPr>
            <w:tcW w:w="1123" w:type="dxa"/>
          </w:tcPr>
          <w:p w:rsidR="007C5447" w:rsidRDefault="00F6308C">
            <w:pPr>
              <w:pStyle w:val="TableParagraph"/>
              <w:spacing w:before="120"/>
              <w:ind w:right="333"/>
              <w:rPr>
                <w:sz w:val="18"/>
              </w:rPr>
            </w:pPr>
            <w:r>
              <w:rPr>
                <w:sz w:val="18"/>
              </w:rPr>
              <w:t>10,745</w:t>
            </w:r>
          </w:p>
        </w:tc>
        <w:tc>
          <w:tcPr>
            <w:tcW w:w="1276" w:type="dxa"/>
          </w:tcPr>
          <w:p w:rsidR="007C5447" w:rsidRDefault="00F6308C">
            <w:pPr>
              <w:pStyle w:val="TableParagraph"/>
              <w:spacing w:before="120"/>
              <w:ind w:left="434"/>
              <w:jc w:val="left"/>
              <w:rPr>
                <w:sz w:val="18"/>
              </w:rPr>
            </w:pPr>
            <w:r>
              <w:rPr>
                <w:sz w:val="18"/>
              </w:rPr>
              <w:t>12,399</w:t>
            </w:r>
          </w:p>
        </w:tc>
        <w:tc>
          <w:tcPr>
            <w:tcW w:w="1254" w:type="dxa"/>
          </w:tcPr>
          <w:p w:rsidR="007C5447" w:rsidRDefault="00F6308C">
            <w:pPr>
              <w:pStyle w:val="TableParagraph"/>
              <w:spacing w:before="120"/>
              <w:ind w:right="336"/>
              <w:rPr>
                <w:sz w:val="18"/>
              </w:rPr>
            </w:pPr>
            <w:r>
              <w:rPr>
                <w:sz w:val="18"/>
              </w:rPr>
              <w:t>10,778</w:t>
            </w:r>
          </w:p>
        </w:tc>
        <w:tc>
          <w:tcPr>
            <w:tcW w:w="1276" w:type="dxa"/>
          </w:tcPr>
          <w:p w:rsidR="007C5447" w:rsidRDefault="00F6308C">
            <w:pPr>
              <w:pStyle w:val="TableParagraph"/>
              <w:spacing w:before="120"/>
              <w:ind w:left="431"/>
              <w:jc w:val="left"/>
              <w:rPr>
                <w:sz w:val="18"/>
              </w:rPr>
            </w:pPr>
            <w:r>
              <w:rPr>
                <w:sz w:val="18"/>
              </w:rPr>
              <w:t>11,542</w:t>
            </w:r>
          </w:p>
        </w:tc>
        <w:tc>
          <w:tcPr>
            <w:tcW w:w="1398" w:type="dxa"/>
          </w:tcPr>
          <w:p w:rsidR="007C5447" w:rsidRDefault="00F6308C">
            <w:pPr>
              <w:pStyle w:val="TableParagraph"/>
              <w:spacing w:before="120"/>
              <w:ind w:right="340"/>
              <w:rPr>
                <w:sz w:val="18"/>
              </w:rPr>
            </w:pPr>
            <w:r>
              <w:rPr>
                <w:sz w:val="18"/>
              </w:rPr>
              <w:t>10,824</w:t>
            </w:r>
          </w:p>
        </w:tc>
      </w:tr>
      <w:tr w:rsidR="007C5447">
        <w:trPr>
          <w:trHeight w:val="856"/>
        </w:trPr>
        <w:tc>
          <w:tcPr>
            <w:tcW w:w="2432" w:type="dxa"/>
          </w:tcPr>
          <w:p w:rsidR="007C5447" w:rsidRDefault="00F6308C">
            <w:pPr>
              <w:pStyle w:val="TableParagraph"/>
              <w:spacing w:before="14"/>
              <w:ind w:left="107" w:right="100"/>
              <w:jc w:val="left"/>
              <w:rPr>
                <w:sz w:val="18"/>
              </w:rPr>
            </w:pPr>
            <w:r>
              <w:rPr>
                <w:sz w:val="18"/>
              </w:rPr>
              <w:t>Commercial and all categories not covered under IA, IB, IC, IIA, II B1, II B2, II C IIIA 1,</w:t>
            </w:r>
          </w:p>
          <w:p w:rsidR="007C5447" w:rsidRDefault="00F6308C">
            <w:pPr>
              <w:pStyle w:val="TableParagraph"/>
              <w:spacing w:before="1" w:line="201" w:lineRule="exact"/>
              <w:ind w:left="107"/>
              <w:jc w:val="left"/>
              <w:rPr>
                <w:sz w:val="18"/>
              </w:rPr>
            </w:pPr>
            <w:r>
              <w:rPr>
                <w:sz w:val="18"/>
              </w:rPr>
              <w:t>III A2, IIIB and IV</w:t>
            </w:r>
          </w:p>
        </w:tc>
        <w:tc>
          <w:tcPr>
            <w:tcW w:w="927" w:type="dxa"/>
          </w:tcPr>
          <w:p w:rsidR="007C5447" w:rsidRDefault="007C5447">
            <w:pPr>
              <w:pStyle w:val="TableParagraph"/>
              <w:spacing w:before="1"/>
              <w:jc w:val="left"/>
              <w:rPr>
                <w:sz w:val="28"/>
              </w:rPr>
            </w:pPr>
          </w:p>
          <w:p w:rsidR="007C5447" w:rsidRDefault="00F6308C">
            <w:pPr>
              <w:pStyle w:val="TableParagraph"/>
              <w:ind w:left="8"/>
              <w:jc w:val="center"/>
              <w:rPr>
                <w:sz w:val="18"/>
              </w:rPr>
            </w:pPr>
            <w:r>
              <w:rPr>
                <w:w w:val="99"/>
                <w:sz w:val="18"/>
              </w:rPr>
              <w:t>V</w:t>
            </w:r>
          </w:p>
        </w:tc>
        <w:tc>
          <w:tcPr>
            <w:tcW w:w="1432" w:type="dxa"/>
          </w:tcPr>
          <w:p w:rsidR="007C5447" w:rsidRDefault="007C5447">
            <w:pPr>
              <w:pStyle w:val="TableParagraph"/>
              <w:spacing w:before="1"/>
              <w:jc w:val="left"/>
              <w:rPr>
                <w:sz w:val="28"/>
              </w:rPr>
            </w:pPr>
          </w:p>
          <w:p w:rsidR="007C5447" w:rsidRDefault="00F6308C">
            <w:pPr>
              <w:pStyle w:val="TableParagraph"/>
              <w:ind w:right="321"/>
              <w:rPr>
                <w:sz w:val="18"/>
              </w:rPr>
            </w:pPr>
            <w:r>
              <w:rPr>
                <w:sz w:val="18"/>
              </w:rPr>
              <w:t>4,296</w:t>
            </w:r>
          </w:p>
        </w:tc>
        <w:tc>
          <w:tcPr>
            <w:tcW w:w="1254" w:type="dxa"/>
          </w:tcPr>
          <w:p w:rsidR="007C5447" w:rsidRDefault="007C5447">
            <w:pPr>
              <w:pStyle w:val="TableParagraph"/>
              <w:spacing w:before="1"/>
              <w:jc w:val="left"/>
              <w:rPr>
                <w:sz w:val="28"/>
              </w:rPr>
            </w:pPr>
          </w:p>
          <w:p w:rsidR="007C5447" w:rsidRDefault="00F6308C">
            <w:pPr>
              <w:pStyle w:val="TableParagraph"/>
              <w:ind w:right="324"/>
              <w:rPr>
                <w:sz w:val="18"/>
              </w:rPr>
            </w:pPr>
            <w:r>
              <w:rPr>
                <w:sz w:val="18"/>
              </w:rPr>
              <w:t>4,296</w:t>
            </w:r>
          </w:p>
        </w:tc>
        <w:tc>
          <w:tcPr>
            <w:tcW w:w="1276" w:type="dxa"/>
          </w:tcPr>
          <w:p w:rsidR="007C5447" w:rsidRDefault="007C5447">
            <w:pPr>
              <w:pStyle w:val="TableParagraph"/>
              <w:spacing w:before="1"/>
              <w:jc w:val="left"/>
              <w:rPr>
                <w:sz w:val="28"/>
              </w:rPr>
            </w:pPr>
          </w:p>
          <w:p w:rsidR="007C5447" w:rsidRDefault="00F6308C">
            <w:pPr>
              <w:pStyle w:val="TableParagraph"/>
              <w:ind w:left="531"/>
              <w:jc w:val="left"/>
              <w:rPr>
                <w:sz w:val="18"/>
              </w:rPr>
            </w:pPr>
            <w:r>
              <w:rPr>
                <w:sz w:val="18"/>
              </w:rPr>
              <w:t>4,691</w:t>
            </w:r>
          </w:p>
        </w:tc>
        <w:tc>
          <w:tcPr>
            <w:tcW w:w="1255" w:type="dxa"/>
          </w:tcPr>
          <w:p w:rsidR="007C5447" w:rsidRDefault="007C5447">
            <w:pPr>
              <w:pStyle w:val="TableParagraph"/>
              <w:spacing w:before="1"/>
              <w:jc w:val="left"/>
              <w:rPr>
                <w:sz w:val="28"/>
              </w:rPr>
            </w:pPr>
          </w:p>
          <w:p w:rsidR="007C5447" w:rsidRDefault="00F6308C">
            <w:pPr>
              <w:pStyle w:val="TableParagraph"/>
              <w:ind w:right="327"/>
              <w:rPr>
                <w:sz w:val="18"/>
              </w:rPr>
            </w:pPr>
            <w:r>
              <w:rPr>
                <w:sz w:val="18"/>
              </w:rPr>
              <w:t>4,691</w:t>
            </w:r>
          </w:p>
        </w:tc>
        <w:tc>
          <w:tcPr>
            <w:tcW w:w="1276" w:type="dxa"/>
          </w:tcPr>
          <w:p w:rsidR="007C5447" w:rsidRDefault="007C5447">
            <w:pPr>
              <w:pStyle w:val="TableParagraph"/>
              <w:spacing w:before="1"/>
              <w:jc w:val="left"/>
              <w:rPr>
                <w:sz w:val="28"/>
              </w:rPr>
            </w:pPr>
          </w:p>
          <w:p w:rsidR="007C5447" w:rsidRDefault="00F6308C">
            <w:pPr>
              <w:pStyle w:val="TableParagraph"/>
              <w:ind w:left="528"/>
              <w:jc w:val="left"/>
              <w:rPr>
                <w:sz w:val="18"/>
              </w:rPr>
            </w:pPr>
            <w:r>
              <w:rPr>
                <w:sz w:val="18"/>
              </w:rPr>
              <w:t>5,393</w:t>
            </w:r>
          </w:p>
        </w:tc>
        <w:tc>
          <w:tcPr>
            <w:tcW w:w="1123" w:type="dxa"/>
          </w:tcPr>
          <w:p w:rsidR="007C5447" w:rsidRDefault="007C5447">
            <w:pPr>
              <w:pStyle w:val="TableParagraph"/>
              <w:spacing w:before="1"/>
              <w:jc w:val="left"/>
              <w:rPr>
                <w:sz w:val="28"/>
              </w:rPr>
            </w:pPr>
          </w:p>
          <w:p w:rsidR="007C5447" w:rsidRDefault="00F6308C">
            <w:pPr>
              <w:pStyle w:val="TableParagraph"/>
              <w:ind w:right="331"/>
              <w:rPr>
                <w:sz w:val="18"/>
              </w:rPr>
            </w:pPr>
            <w:r>
              <w:rPr>
                <w:sz w:val="18"/>
              </w:rPr>
              <w:t>5,393</w:t>
            </w:r>
          </w:p>
        </w:tc>
        <w:tc>
          <w:tcPr>
            <w:tcW w:w="1276" w:type="dxa"/>
          </w:tcPr>
          <w:p w:rsidR="007C5447" w:rsidRDefault="007C5447">
            <w:pPr>
              <w:pStyle w:val="TableParagraph"/>
              <w:spacing w:before="1"/>
              <w:jc w:val="left"/>
              <w:rPr>
                <w:sz w:val="28"/>
              </w:rPr>
            </w:pPr>
          </w:p>
          <w:p w:rsidR="007C5447" w:rsidRDefault="00F6308C">
            <w:pPr>
              <w:pStyle w:val="TableParagraph"/>
              <w:ind w:left="525"/>
              <w:jc w:val="left"/>
              <w:rPr>
                <w:sz w:val="18"/>
              </w:rPr>
            </w:pPr>
            <w:r>
              <w:rPr>
                <w:sz w:val="18"/>
              </w:rPr>
              <w:t>6,227</w:t>
            </w:r>
          </w:p>
        </w:tc>
        <w:tc>
          <w:tcPr>
            <w:tcW w:w="1254" w:type="dxa"/>
          </w:tcPr>
          <w:p w:rsidR="007C5447" w:rsidRDefault="007C5447">
            <w:pPr>
              <w:pStyle w:val="TableParagraph"/>
              <w:spacing w:before="1"/>
              <w:jc w:val="left"/>
              <w:rPr>
                <w:sz w:val="28"/>
              </w:rPr>
            </w:pPr>
          </w:p>
          <w:p w:rsidR="007C5447" w:rsidRDefault="00F6308C">
            <w:pPr>
              <w:pStyle w:val="TableParagraph"/>
              <w:ind w:right="333"/>
              <w:rPr>
                <w:sz w:val="18"/>
              </w:rPr>
            </w:pPr>
            <w:r>
              <w:rPr>
                <w:sz w:val="18"/>
              </w:rPr>
              <w:t>6,227</w:t>
            </w:r>
          </w:p>
        </w:tc>
        <w:tc>
          <w:tcPr>
            <w:tcW w:w="1276" w:type="dxa"/>
          </w:tcPr>
          <w:p w:rsidR="007C5447" w:rsidRDefault="007C5447">
            <w:pPr>
              <w:pStyle w:val="TableParagraph"/>
              <w:spacing w:before="1"/>
              <w:jc w:val="left"/>
              <w:rPr>
                <w:sz w:val="28"/>
              </w:rPr>
            </w:pPr>
          </w:p>
          <w:p w:rsidR="007C5447" w:rsidRDefault="00F6308C">
            <w:pPr>
              <w:pStyle w:val="TableParagraph"/>
              <w:ind w:left="522"/>
              <w:jc w:val="left"/>
              <w:rPr>
                <w:sz w:val="18"/>
              </w:rPr>
            </w:pPr>
            <w:r>
              <w:rPr>
                <w:sz w:val="18"/>
              </w:rPr>
              <w:t>6,462</w:t>
            </w:r>
          </w:p>
        </w:tc>
        <w:tc>
          <w:tcPr>
            <w:tcW w:w="1398" w:type="dxa"/>
          </w:tcPr>
          <w:p w:rsidR="007C5447" w:rsidRDefault="007C5447">
            <w:pPr>
              <w:pStyle w:val="TableParagraph"/>
              <w:spacing w:before="1"/>
              <w:jc w:val="left"/>
              <w:rPr>
                <w:sz w:val="28"/>
              </w:rPr>
            </w:pPr>
          </w:p>
          <w:p w:rsidR="007C5447" w:rsidRDefault="00F6308C">
            <w:pPr>
              <w:pStyle w:val="TableParagraph"/>
              <w:ind w:right="338"/>
              <w:rPr>
                <w:sz w:val="18"/>
              </w:rPr>
            </w:pPr>
            <w:r>
              <w:rPr>
                <w:sz w:val="18"/>
              </w:rPr>
              <w:t>6,462</w:t>
            </w:r>
          </w:p>
        </w:tc>
      </w:tr>
    </w:tbl>
    <w:p w:rsidR="007C5447" w:rsidRDefault="007C5447">
      <w:pPr>
        <w:rPr>
          <w:sz w:val="18"/>
        </w:rPr>
        <w:sectPr w:rsidR="007C5447">
          <w:footerReference w:type="default" r:id="rId12"/>
          <w:pgSz w:w="16840" w:h="11910" w:orient="landscape"/>
          <w:pgMar w:top="1100" w:right="240" w:bottom="1580" w:left="200" w:header="0" w:footer="1386" w:gutter="0"/>
          <w:pgNumType w:start="80"/>
          <w:cols w:space="720"/>
        </w:sectPr>
      </w:pPr>
    </w:p>
    <w:p w:rsidR="007C5447" w:rsidRDefault="007C5447">
      <w:pPr>
        <w:pStyle w:val="BodyText"/>
        <w:spacing w:before="9"/>
        <w:rPr>
          <w:sz w:val="28"/>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2"/>
        <w:gridCol w:w="927"/>
        <w:gridCol w:w="1432"/>
        <w:gridCol w:w="1254"/>
        <w:gridCol w:w="1276"/>
        <w:gridCol w:w="1255"/>
        <w:gridCol w:w="1276"/>
        <w:gridCol w:w="1123"/>
        <w:gridCol w:w="1276"/>
        <w:gridCol w:w="1254"/>
        <w:gridCol w:w="1276"/>
        <w:gridCol w:w="1398"/>
      </w:tblGrid>
      <w:tr w:rsidR="007C5447">
        <w:trPr>
          <w:trHeight w:val="254"/>
        </w:trPr>
        <w:tc>
          <w:tcPr>
            <w:tcW w:w="2432" w:type="dxa"/>
            <w:vMerge w:val="restart"/>
            <w:shd w:val="clear" w:color="auto" w:fill="FBD4B4"/>
          </w:tcPr>
          <w:p w:rsidR="007C5447" w:rsidRDefault="007C5447">
            <w:pPr>
              <w:pStyle w:val="TableParagraph"/>
              <w:jc w:val="left"/>
              <w:rPr>
                <w:sz w:val="20"/>
              </w:rPr>
            </w:pPr>
          </w:p>
          <w:p w:rsidR="007C5447" w:rsidRDefault="00F6308C">
            <w:pPr>
              <w:pStyle w:val="TableParagraph"/>
              <w:spacing w:before="175"/>
              <w:ind w:left="338"/>
              <w:jc w:val="left"/>
              <w:rPr>
                <w:b/>
                <w:sz w:val="18"/>
              </w:rPr>
            </w:pPr>
            <w:r>
              <w:rPr>
                <w:b/>
                <w:sz w:val="18"/>
              </w:rPr>
              <w:t>Category of Consumer</w:t>
            </w:r>
          </w:p>
        </w:tc>
        <w:tc>
          <w:tcPr>
            <w:tcW w:w="927" w:type="dxa"/>
            <w:vMerge w:val="restart"/>
            <w:shd w:val="clear" w:color="auto" w:fill="FBD4B4"/>
          </w:tcPr>
          <w:p w:rsidR="007C5447" w:rsidRDefault="007C5447">
            <w:pPr>
              <w:pStyle w:val="TableParagraph"/>
              <w:jc w:val="left"/>
              <w:rPr>
                <w:sz w:val="26"/>
              </w:rPr>
            </w:pPr>
          </w:p>
          <w:p w:rsidR="007C5447" w:rsidRDefault="00F6308C">
            <w:pPr>
              <w:pStyle w:val="TableParagraph"/>
              <w:ind w:left="107" w:firstLine="124"/>
              <w:jc w:val="left"/>
              <w:rPr>
                <w:b/>
                <w:sz w:val="18"/>
              </w:rPr>
            </w:pPr>
            <w:r>
              <w:rPr>
                <w:b/>
                <w:sz w:val="18"/>
              </w:rPr>
              <w:t>Tariff Category</w:t>
            </w:r>
          </w:p>
        </w:tc>
        <w:tc>
          <w:tcPr>
            <w:tcW w:w="2686" w:type="dxa"/>
            <w:gridSpan w:val="2"/>
            <w:shd w:val="clear" w:color="auto" w:fill="FBD4B4"/>
          </w:tcPr>
          <w:p w:rsidR="007C5447" w:rsidRDefault="00F6308C">
            <w:pPr>
              <w:pStyle w:val="TableParagraph"/>
              <w:spacing w:before="23"/>
              <w:ind w:left="896"/>
              <w:jc w:val="left"/>
              <w:rPr>
                <w:b/>
                <w:sz w:val="18"/>
              </w:rPr>
            </w:pPr>
            <w:r>
              <w:rPr>
                <w:b/>
                <w:sz w:val="18"/>
              </w:rPr>
              <w:t>FY 2011-12</w:t>
            </w:r>
          </w:p>
        </w:tc>
        <w:tc>
          <w:tcPr>
            <w:tcW w:w="2531" w:type="dxa"/>
            <w:gridSpan w:val="2"/>
            <w:shd w:val="clear" w:color="auto" w:fill="FBD4B4"/>
          </w:tcPr>
          <w:p w:rsidR="007C5447" w:rsidRDefault="00F6308C">
            <w:pPr>
              <w:pStyle w:val="TableParagraph"/>
              <w:spacing w:before="23"/>
              <w:ind w:left="817"/>
              <w:jc w:val="left"/>
              <w:rPr>
                <w:b/>
                <w:sz w:val="18"/>
              </w:rPr>
            </w:pPr>
            <w:r>
              <w:rPr>
                <w:b/>
                <w:sz w:val="18"/>
              </w:rPr>
              <w:t>FY 2012-13</w:t>
            </w:r>
          </w:p>
        </w:tc>
        <w:tc>
          <w:tcPr>
            <w:tcW w:w="2399" w:type="dxa"/>
            <w:gridSpan w:val="2"/>
            <w:shd w:val="clear" w:color="auto" w:fill="FBD4B4"/>
          </w:tcPr>
          <w:p w:rsidR="007C5447" w:rsidRDefault="00F6308C">
            <w:pPr>
              <w:pStyle w:val="TableParagraph"/>
              <w:spacing w:before="23"/>
              <w:ind w:left="746"/>
              <w:jc w:val="left"/>
              <w:rPr>
                <w:b/>
                <w:sz w:val="18"/>
              </w:rPr>
            </w:pPr>
            <w:r>
              <w:rPr>
                <w:b/>
                <w:sz w:val="18"/>
              </w:rPr>
              <w:t>FY 2013-14</w:t>
            </w:r>
          </w:p>
        </w:tc>
        <w:tc>
          <w:tcPr>
            <w:tcW w:w="2530" w:type="dxa"/>
            <w:gridSpan w:val="2"/>
            <w:shd w:val="clear" w:color="auto" w:fill="FBD4B4"/>
          </w:tcPr>
          <w:p w:rsidR="007C5447" w:rsidRDefault="00F6308C">
            <w:pPr>
              <w:pStyle w:val="TableParagraph"/>
              <w:spacing w:before="23"/>
              <w:ind w:left="810"/>
              <w:jc w:val="left"/>
              <w:rPr>
                <w:b/>
                <w:sz w:val="18"/>
              </w:rPr>
            </w:pPr>
            <w:r>
              <w:rPr>
                <w:b/>
                <w:sz w:val="18"/>
              </w:rPr>
              <w:t>FY 2014-15</w:t>
            </w:r>
          </w:p>
        </w:tc>
        <w:tc>
          <w:tcPr>
            <w:tcW w:w="2674" w:type="dxa"/>
            <w:gridSpan w:val="2"/>
            <w:shd w:val="clear" w:color="auto" w:fill="FBD4B4"/>
          </w:tcPr>
          <w:p w:rsidR="007C5447" w:rsidRDefault="00F6308C">
            <w:pPr>
              <w:pStyle w:val="TableParagraph"/>
              <w:spacing w:before="23"/>
              <w:ind w:left="877"/>
              <w:jc w:val="left"/>
              <w:rPr>
                <w:b/>
                <w:sz w:val="18"/>
              </w:rPr>
            </w:pPr>
            <w:r>
              <w:rPr>
                <w:b/>
                <w:sz w:val="18"/>
              </w:rPr>
              <w:t>FY 2015-16</w:t>
            </w:r>
          </w:p>
        </w:tc>
      </w:tr>
      <w:tr w:rsidR="007C5447">
        <w:trPr>
          <w:trHeight w:val="750"/>
        </w:trPr>
        <w:tc>
          <w:tcPr>
            <w:tcW w:w="2432" w:type="dxa"/>
            <w:vMerge/>
            <w:tcBorders>
              <w:top w:val="nil"/>
            </w:tcBorders>
            <w:shd w:val="clear" w:color="auto" w:fill="FBD4B4"/>
          </w:tcPr>
          <w:p w:rsidR="007C5447" w:rsidRDefault="007C5447">
            <w:pPr>
              <w:rPr>
                <w:sz w:val="2"/>
                <w:szCs w:val="2"/>
              </w:rPr>
            </w:pPr>
          </w:p>
        </w:tc>
        <w:tc>
          <w:tcPr>
            <w:tcW w:w="927" w:type="dxa"/>
            <w:vMerge/>
            <w:tcBorders>
              <w:top w:val="nil"/>
            </w:tcBorders>
            <w:shd w:val="clear" w:color="auto" w:fill="FBD4B4"/>
          </w:tcPr>
          <w:p w:rsidR="007C5447" w:rsidRDefault="007C5447">
            <w:pPr>
              <w:rPr>
                <w:sz w:val="2"/>
                <w:szCs w:val="2"/>
              </w:rPr>
            </w:pPr>
          </w:p>
        </w:tc>
        <w:tc>
          <w:tcPr>
            <w:tcW w:w="1432" w:type="dxa"/>
            <w:shd w:val="clear" w:color="auto" w:fill="FBD4B4"/>
          </w:tcPr>
          <w:p w:rsidR="007C5447" w:rsidRDefault="007C5447">
            <w:pPr>
              <w:pStyle w:val="TableParagraph"/>
              <w:spacing w:before="8"/>
              <w:jc w:val="left"/>
              <w:rPr>
                <w:sz w:val="23"/>
              </w:rPr>
            </w:pPr>
          </w:p>
          <w:p w:rsidR="007C5447" w:rsidRDefault="00F6308C">
            <w:pPr>
              <w:pStyle w:val="TableParagraph"/>
              <w:spacing w:before="1"/>
              <w:ind w:right="186"/>
              <w:rPr>
                <w:b/>
                <w:sz w:val="18"/>
              </w:rPr>
            </w:pPr>
            <w:r>
              <w:rPr>
                <w:b/>
                <w:sz w:val="18"/>
              </w:rPr>
              <w:t>TANGEDCO</w:t>
            </w:r>
          </w:p>
        </w:tc>
        <w:tc>
          <w:tcPr>
            <w:tcW w:w="1254" w:type="dxa"/>
            <w:shd w:val="clear" w:color="auto" w:fill="FBD4B4"/>
          </w:tcPr>
          <w:p w:rsidR="007C5447" w:rsidRDefault="00F6308C">
            <w:pPr>
              <w:pStyle w:val="TableParagraph"/>
              <w:spacing w:before="170"/>
              <w:ind w:left="134" w:right="110" w:firstLine="105"/>
              <w:jc w:val="left"/>
              <w:rPr>
                <w:b/>
                <w:sz w:val="18"/>
              </w:rPr>
            </w:pPr>
            <w:r>
              <w:rPr>
                <w:b/>
                <w:sz w:val="18"/>
              </w:rPr>
              <w:t>Approved after true up</w:t>
            </w:r>
          </w:p>
        </w:tc>
        <w:tc>
          <w:tcPr>
            <w:tcW w:w="1276" w:type="dxa"/>
            <w:shd w:val="clear" w:color="auto" w:fill="FBD4B4"/>
          </w:tcPr>
          <w:p w:rsidR="007C5447" w:rsidRDefault="007C5447">
            <w:pPr>
              <w:pStyle w:val="TableParagraph"/>
              <w:spacing w:before="8"/>
              <w:jc w:val="left"/>
              <w:rPr>
                <w:sz w:val="23"/>
              </w:rPr>
            </w:pPr>
          </w:p>
          <w:p w:rsidR="007C5447" w:rsidRDefault="00F6308C">
            <w:pPr>
              <w:pStyle w:val="TableParagraph"/>
              <w:spacing w:before="1"/>
              <w:ind w:left="114"/>
              <w:jc w:val="left"/>
              <w:rPr>
                <w:b/>
                <w:sz w:val="18"/>
              </w:rPr>
            </w:pPr>
            <w:r>
              <w:rPr>
                <w:b/>
                <w:sz w:val="18"/>
              </w:rPr>
              <w:t>TANGEDCO</w:t>
            </w:r>
          </w:p>
        </w:tc>
        <w:tc>
          <w:tcPr>
            <w:tcW w:w="1255" w:type="dxa"/>
            <w:shd w:val="clear" w:color="auto" w:fill="FBD4B4"/>
          </w:tcPr>
          <w:p w:rsidR="007C5447" w:rsidRDefault="00F6308C">
            <w:pPr>
              <w:pStyle w:val="TableParagraph"/>
              <w:spacing w:before="170"/>
              <w:ind w:left="131" w:right="114" w:firstLine="106"/>
              <w:jc w:val="left"/>
              <w:rPr>
                <w:b/>
                <w:sz w:val="18"/>
              </w:rPr>
            </w:pPr>
            <w:r>
              <w:rPr>
                <w:b/>
                <w:sz w:val="18"/>
              </w:rPr>
              <w:t>Approved after true up</w:t>
            </w:r>
          </w:p>
        </w:tc>
        <w:tc>
          <w:tcPr>
            <w:tcW w:w="1276" w:type="dxa"/>
            <w:shd w:val="clear" w:color="auto" w:fill="FBD4B4"/>
          </w:tcPr>
          <w:p w:rsidR="007C5447" w:rsidRDefault="007C5447">
            <w:pPr>
              <w:pStyle w:val="TableParagraph"/>
              <w:spacing w:before="8"/>
              <w:jc w:val="left"/>
              <w:rPr>
                <w:sz w:val="23"/>
              </w:rPr>
            </w:pPr>
          </w:p>
          <w:p w:rsidR="007C5447" w:rsidRDefault="00F6308C">
            <w:pPr>
              <w:pStyle w:val="TableParagraph"/>
              <w:spacing w:before="1"/>
              <w:ind w:left="110"/>
              <w:jc w:val="left"/>
              <w:rPr>
                <w:b/>
                <w:sz w:val="18"/>
              </w:rPr>
            </w:pPr>
            <w:r>
              <w:rPr>
                <w:b/>
                <w:sz w:val="18"/>
              </w:rPr>
              <w:t>TANGEDCO</w:t>
            </w:r>
          </w:p>
        </w:tc>
        <w:tc>
          <w:tcPr>
            <w:tcW w:w="1123" w:type="dxa"/>
            <w:shd w:val="clear" w:color="auto" w:fill="FBD4B4"/>
          </w:tcPr>
          <w:p w:rsidR="007C5447" w:rsidRDefault="00F6308C">
            <w:pPr>
              <w:pStyle w:val="TableParagraph"/>
              <w:spacing w:before="64"/>
              <w:ind w:left="169" w:right="172"/>
              <w:jc w:val="center"/>
              <w:rPr>
                <w:b/>
                <w:sz w:val="18"/>
              </w:rPr>
            </w:pPr>
            <w:r>
              <w:rPr>
                <w:b/>
                <w:sz w:val="18"/>
              </w:rPr>
              <w:t>Approved after true up</w:t>
            </w:r>
          </w:p>
        </w:tc>
        <w:tc>
          <w:tcPr>
            <w:tcW w:w="1276" w:type="dxa"/>
            <w:shd w:val="clear" w:color="auto" w:fill="FBD4B4"/>
          </w:tcPr>
          <w:p w:rsidR="007C5447" w:rsidRDefault="007C5447">
            <w:pPr>
              <w:pStyle w:val="TableParagraph"/>
              <w:spacing w:before="8"/>
              <w:jc w:val="left"/>
              <w:rPr>
                <w:sz w:val="23"/>
              </w:rPr>
            </w:pPr>
          </w:p>
          <w:p w:rsidR="007C5447" w:rsidRDefault="00F6308C">
            <w:pPr>
              <w:pStyle w:val="TableParagraph"/>
              <w:spacing w:before="1"/>
              <w:ind w:left="107"/>
              <w:jc w:val="left"/>
              <w:rPr>
                <w:b/>
                <w:sz w:val="18"/>
              </w:rPr>
            </w:pPr>
            <w:r>
              <w:rPr>
                <w:b/>
                <w:sz w:val="18"/>
              </w:rPr>
              <w:t>TANGEDCO</w:t>
            </w:r>
          </w:p>
        </w:tc>
        <w:tc>
          <w:tcPr>
            <w:tcW w:w="1254" w:type="dxa"/>
            <w:shd w:val="clear" w:color="auto" w:fill="FBD4B4"/>
          </w:tcPr>
          <w:p w:rsidR="007C5447" w:rsidRDefault="00F6308C">
            <w:pPr>
              <w:pStyle w:val="TableParagraph"/>
              <w:spacing w:before="170"/>
              <w:ind w:left="125" w:right="119" w:firstLine="105"/>
              <w:jc w:val="left"/>
              <w:rPr>
                <w:b/>
                <w:sz w:val="18"/>
              </w:rPr>
            </w:pPr>
            <w:r>
              <w:rPr>
                <w:b/>
                <w:sz w:val="18"/>
              </w:rPr>
              <w:t>Approved after true up</w:t>
            </w:r>
          </w:p>
        </w:tc>
        <w:tc>
          <w:tcPr>
            <w:tcW w:w="1276" w:type="dxa"/>
            <w:shd w:val="clear" w:color="auto" w:fill="FBD4B4"/>
          </w:tcPr>
          <w:p w:rsidR="007C5447" w:rsidRDefault="007C5447">
            <w:pPr>
              <w:pStyle w:val="TableParagraph"/>
              <w:spacing w:before="8"/>
              <w:jc w:val="left"/>
              <w:rPr>
                <w:sz w:val="23"/>
              </w:rPr>
            </w:pPr>
          </w:p>
          <w:p w:rsidR="007C5447" w:rsidRDefault="00F6308C">
            <w:pPr>
              <w:pStyle w:val="TableParagraph"/>
              <w:spacing w:before="1"/>
              <w:ind w:left="104"/>
              <w:jc w:val="left"/>
              <w:rPr>
                <w:b/>
                <w:sz w:val="18"/>
              </w:rPr>
            </w:pPr>
            <w:r>
              <w:rPr>
                <w:b/>
                <w:sz w:val="18"/>
              </w:rPr>
              <w:t>TANGEDCO</w:t>
            </w:r>
          </w:p>
        </w:tc>
        <w:tc>
          <w:tcPr>
            <w:tcW w:w="1398" w:type="dxa"/>
            <w:shd w:val="clear" w:color="auto" w:fill="FBD4B4"/>
          </w:tcPr>
          <w:p w:rsidR="007C5447" w:rsidRDefault="00F6308C">
            <w:pPr>
              <w:pStyle w:val="TableParagraph"/>
              <w:spacing w:before="170"/>
              <w:ind w:left="194" w:right="194" w:firstLine="105"/>
              <w:jc w:val="left"/>
              <w:rPr>
                <w:b/>
                <w:sz w:val="18"/>
              </w:rPr>
            </w:pPr>
            <w:r>
              <w:rPr>
                <w:b/>
                <w:sz w:val="18"/>
              </w:rPr>
              <w:t>Approved after true up</w:t>
            </w:r>
          </w:p>
        </w:tc>
      </w:tr>
      <w:tr w:rsidR="007C5447">
        <w:trPr>
          <w:trHeight w:val="690"/>
        </w:trPr>
        <w:tc>
          <w:tcPr>
            <w:tcW w:w="2432" w:type="dxa"/>
          </w:tcPr>
          <w:p w:rsidR="007C5447" w:rsidRDefault="00F6308C">
            <w:pPr>
              <w:pStyle w:val="TableParagraph"/>
              <w:spacing w:before="35"/>
              <w:ind w:left="107" w:right="90"/>
              <w:jc w:val="left"/>
              <w:rPr>
                <w:sz w:val="18"/>
              </w:rPr>
            </w:pPr>
            <w:r>
              <w:rPr>
                <w:sz w:val="18"/>
              </w:rPr>
              <w:t>Temp. supply (a) Lighting and combined installations, (b) Lavish illuminations</w:t>
            </w:r>
          </w:p>
        </w:tc>
        <w:tc>
          <w:tcPr>
            <w:tcW w:w="927" w:type="dxa"/>
          </w:tcPr>
          <w:p w:rsidR="007C5447" w:rsidRDefault="007C5447">
            <w:pPr>
              <w:pStyle w:val="TableParagraph"/>
              <w:jc w:val="left"/>
              <w:rPr>
                <w:sz w:val="21"/>
              </w:rPr>
            </w:pPr>
          </w:p>
          <w:p w:rsidR="007C5447" w:rsidRDefault="00F6308C">
            <w:pPr>
              <w:pStyle w:val="TableParagraph"/>
              <w:ind w:left="158" w:right="148"/>
              <w:jc w:val="center"/>
              <w:rPr>
                <w:sz w:val="18"/>
              </w:rPr>
            </w:pPr>
            <w:r>
              <w:rPr>
                <w:sz w:val="18"/>
              </w:rPr>
              <w:t>VI</w:t>
            </w:r>
          </w:p>
        </w:tc>
        <w:tc>
          <w:tcPr>
            <w:tcW w:w="1432" w:type="dxa"/>
          </w:tcPr>
          <w:p w:rsidR="007C5447" w:rsidRDefault="007C5447">
            <w:pPr>
              <w:pStyle w:val="TableParagraph"/>
              <w:jc w:val="left"/>
              <w:rPr>
                <w:sz w:val="21"/>
              </w:rPr>
            </w:pPr>
          </w:p>
          <w:p w:rsidR="007C5447" w:rsidRDefault="00F6308C">
            <w:pPr>
              <w:pStyle w:val="TableParagraph"/>
              <w:ind w:right="319"/>
              <w:rPr>
                <w:sz w:val="18"/>
              </w:rPr>
            </w:pPr>
            <w:r>
              <w:rPr>
                <w:sz w:val="18"/>
              </w:rPr>
              <w:t>25</w:t>
            </w:r>
          </w:p>
        </w:tc>
        <w:tc>
          <w:tcPr>
            <w:tcW w:w="1254" w:type="dxa"/>
          </w:tcPr>
          <w:p w:rsidR="007C5447" w:rsidRDefault="007C5447">
            <w:pPr>
              <w:pStyle w:val="TableParagraph"/>
              <w:jc w:val="left"/>
              <w:rPr>
                <w:sz w:val="21"/>
              </w:rPr>
            </w:pPr>
          </w:p>
          <w:p w:rsidR="007C5447" w:rsidRDefault="00F6308C">
            <w:pPr>
              <w:pStyle w:val="TableParagraph"/>
              <w:ind w:right="326"/>
              <w:rPr>
                <w:sz w:val="18"/>
              </w:rPr>
            </w:pPr>
            <w:r>
              <w:rPr>
                <w:sz w:val="18"/>
              </w:rPr>
              <w:t>25</w:t>
            </w:r>
          </w:p>
        </w:tc>
        <w:tc>
          <w:tcPr>
            <w:tcW w:w="1276" w:type="dxa"/>
          </w:tcPr>
          <w:p w:rsidR="007C5447" w:rsidRDefault="007C5447">
            <w:pPr>
              <w:pStyle w:val="TableParagraph"/>
              <w:jc w:val="left"/>
              <w:rPr>
                <w:sz w:val="21"/>
              </w:rPr>
            </w:pPr>
          </w:p>
          <w:p w:rsidR="007C5447" w:rsidRDefault="00F6308C">
            <w:pPr>
              <w:pStyle w:val="TableParagraph"/>
              <w:ind w:left="757"/>
              <w:jc w:val="left"/>
              <w:rPr>
                <w:sz w:val="18"/>
              </w:rPr>
            </w:pPr>
            <w:r>
              <w:rPr>
                <w:sz w:val="18"/>
              </w:rPr>
              <w:t>36</w:t>
            </w:r>
          </w:p>
        </w:tc>
        <w:tc>
          <w:tcPr>
            <w:tcW w:w="1255" w:type="dxa"/>
          </w:tcPr>
          <w:p w:rsidR="007C5447" w:rsidRDefault="007C5447">
            <w:pPr>
              <w:pStyle w:val="TableParagraph"/>
              <w:jc w:val="left"/>
              <w:rPr>
                <w:sz w:val="21"/>
              </w:rPr>
            </w:pPr>
          </w:p>
          <w:p w:rsidR="007C5447" w:rsidRDefault="00F6308C">
            <w:pPr>
              <w:pStyle w:val="TableParagraph"/>
              <w:ind w:right="327"/>
              <w:rPr>
                <w:sz w:val="18"/>
              </w:rPr>
            </w:pPr>
            <w:r>
              <w:rPr>
                <w:sz w:val="18"/>
              </w:rPr>
              <w:t>36</w:t>
            </w:r>
          </w:p>
        </w:tc>
        <w:tc>
          <w:tcPr>
            <w:tcW w:w="1276" w:type="dxa"/>
          </w:tcPr>
          <w:p w:rsidR="007C5447" w:rsidRDefault="007C5447">
            <w:pPr>
              <w:pStyle w:val="TableParagraph"/>
              <w:jc w:val="left"/>
              <w:rPr>
                <w:sz w:val="21"/>
              </w:rPr>
            </w:pPr>
          </w:p>
          <w:p w:rsidR="007C5447" w:rsidRDefault="00F6308C">
            <w:pPr>
              <w:pStyle w:val="TableParagraph"/>
              <w:ind w:left="753"/>
              <w:jc w:val="left"/>
              <w:rPr>
                <w:sz w:val="18"/>
              </w:rPr>
            </w:pPr>
            <w:r>
              <w:rPr>
                <w:sz w:val="18"/>
              </w:rPr>
              <w:t>71</w:t>
            </w:r>
          </w:p>
        </w:tc>
        <w:tc>
          <w:tcPr>
            <w:tcW w:w="1123" w:type="dxa"/>
          </w:tcPr>
          <w:p w:rsidR="007C5447" w:rsidRDefault="007C5447">
            <w:pPr>
              <w:pStyle w:val="TableParagraph"/>
              <w:jc w:val="left"/>
              <w:rPr>
                <w:sz w:val="21"/>
              </w:rPr>
            </w:pPr>
          </w:p>
          <w:p w:rsidR="007C5447" w:rsidRDefault="00F6308C">
            <w:pPr>
              <w:pStyle w:val="TableParagraph"/>
              <w:ind w:right="332"/>
              <w:rPr>
                <w:sz w:val="18"/>
              </w:rPr>
            </w:pPr>
            <w:r>
              <w:rPr>
                <w:sz w:val="18"/>
              </w:rPr>
              <w:t>71</w:t>
            </w:r>
          </w:p>
        </w:tc>
        <w:tc>
          <w:tcPr>
            <w:tcW w:w="1276" w:type="dxa"/>
          </w:tcPr>
          <w:p w:rsidR="007C5447" w:rsidRDefault="007C5447">
            <w:pPr>
              <w:pStyle w:val="TableParagraph"/>
              <w:jc w:val="left"/>
              <w:rPr>
                <w:sz w:val="21"/>
              </w:rPr>
            </w:pPr>
          </w:p>
          <w:p w:rsidR="007C5447" w:rsidRDefault="00F6308C">
            <w:pPr>
              <w:pStyle w:val="TableParagraph"/>
              <w:ind w:left="659"/>
              <w:jc w:val="left"/>
              <w:rPr>
                <w:sz w:val="18"/>
              </w:rPr>
            </w:pPr>
            <w:r>
              <w:rPr>
                <w:sz w:val="18"/>
              </w:rPr>
              <w:t>142</w:t>
            </w:r>
          </w:p>
        </w:tc>
        <w:tc>
          <w:tcPr>
            <w:tcW w:w="1254" w:type="dxa"/>
          </w:tcPr>
          <w:p w:rsidR="007C5447" w:rsidRDefault="007C5447">
            <w:pPr>
              <w:pStyle w:val="TableParagraph"/>
              <w:jc w:val="left"/>
              <w:rPr>
                <w:sz w:val="21"/>
              </w:rPr>
            </w:pPr>
          </w:p>
          <w:p w:rsidR="007C5447" w:rsidRDefault="00F6308C">
            <w:pPr>
              <w:pStyle w:val="TableParagraph"/>
              <w:ind w:right="335"/>
              <w:rPr>
                <w:sz w:val="18"/>
              </w:rPr>
            </w:pPr>
            <w:r>
              <w:rPr>
                <w:sz w:val="18"/>
              </w:rPr>
              <w:t>142</w:t>
            </w:r>
          </w:p>
        </w:tc>
        <w:tc>
          <w:tcPr>
            <w:tcW w:w="1276" w:type="dxa"/>
          </w:tcPr>
          <w:p w:rsidR="007C5447" w:rsidRDefault="007C5447">
            <w:pPr>
              <w:pStyle w:val="TableParagraph"/>
              <w:jc w:val="left"/>
              <w:rPr>
                <w:sz w:val="21"/>
              </w:rPr>
            </w:pPr>
          </w:p>
          <w:p w:rsidR="007C5447" w:rsidRDefault="00F6308C">
            <w:pPr>
              <w:pStyle w:val="TableParagraph"/>
              <w:ind w:left="657"/>
              <w:jc w:val="left"/>
              <w:rPr>
                <w:sz w:val="18"/>
              </w:rPr>
            </w:pPr>
            <w:r>
              <w:rPr>
                <w:sz w:val="18"/>
              </w:rPr>
              <w:t>164</w:t>
            </w:r>
          </w:p>
        </w:tc>
        <w:tc>
          <w:tcPr>
            <w:tcW w:w="1398" w:type="dxa"/>
          </w:tcPr>
          <w:p w:rsidR="007C5447" w:rsidRDefault="007C5447">
            <w:pPr>
              <w:pStyle w:val="TableParagraph"/>
              <w:jc w:val="left"/>
              <w:rPr>
                <w:sz w:val="21"/>
              </w:rPr>
            </w:pPr>
          </w:p>
          <w:p w:rsidR="007C5447" w:rsidRDefault="00F6308C">
            <w:pPr>
              <w:pStyle w:val="TableParagraph"/>
              <w:ind w:right="340"/>
              <w:rPr>
                <w:sz w:val="18"/>
              </w:rPr>
            </w:pPr>
            <w:r>
              <w:rPr>
                <w:sz w:val="18"/>
              </w:rPr>
              <w:t>164</w:t>
            </w:r>
          </w:p>
        </w:tc>
      </w:tr>
      <w:tr w:rsidR="007C5447">
        <w:trPr>
          <w:trHeight w:val="359"/>
        </w:trPr>
        <w:tc>
          <w:tcPr>
            <w:tcW w:w="2432" w:type="dxa"/>
          </w:tcPr>
          <w:p w:rsidR="007C5447" w:rsidRDefault="00F6308C">
            <w:pPr>
              <w:pStyle w:val="TableParagraph"/>
              <w:spacing w:before="65"/>
              <w:ind w:left="107"/>
              <w:jc w:val="left"/>
              <w:rPr>
                <w:b/>
                <w:sz w:val="20"/>
              </w:rPr>
            </w:pPr>
            <w:r>
              <w:rPr>
                <w:b/>
                <w:sz w:val="20"/>
              </w:rPr>
              <w:t>Total LT</w:t>
            </w:r>
          </w:p>
        </w:tc>
        <w:tc>
          <w:tcPr>
            <w:tcW w:w="927" w:type="dxa"/>
          </w:tcPr>
          <w:p w:rsidR="007C5447" w:rsidRDefault="007C5447">
            <w:pPr>
              <w:pStyle w:val="TableParagraph"/>
              <w:jc w:val="left"/>
              <w:rPr>
                <w:sz w:val="18"/>
              </w:rPr>
            </w:pPr>
          </w:p>
        </w:tc>
        <w:tc>
          <w:tcPr>
            <w:tcW w:w="1432" w:type="dxa"/>
          </w:tcPr>
          <w:p w:rsidR="007C5447" w:rsidRDefault="00F6308C">
            <w:pPr>
              <w:pStyle w:val="TableParagraph"/>
              <w:spacing w:before="76"/>
              <w:ind w:left="601"/>
              <w:jc w:val="left"/>
              <w:rPr>
                <w:b/>
                <w:sz w:val="18"/>
              </w:rPr>
            </w:pPr>
            <w:r>
              <w:rPr>
                <w:b/>
                <w:sz w:val="18"/>
              </w:rPr>
              <w:t>40,281</w:t>
            </w:r>
          </w:p>
        </w:tc>
        <w:tc>
          <w:tcPr>
            <w:tcW w:w="1254" w:type="dxa"/>
          </w:tcPr>
          <w:p w:rsidR="007C5447" w:rsidRDefault="00F6308C">
            <w:pPr>
              <w:pStyle w:val="TableParagraph"/>
              <w:spacing w:before="76"/>
              <w:ind w:right="326"/>
              <w:rPr>
                <w:b/>
                <w:sz w:val="18"/>
              </w:rPr>
            </w:pPr>
            <w:r>
              <w:rPr>
                <w:b/>
                <w:sz w:val="18"/>
              </w:rPr>
              <w:t>40,281</w:t>
            </w:r>
          </w:p>
        </w:tc>
        <w:tc>
          <w:tcPr>
            <w:tcW w:w="1276" w:type="dxa"/>
          </w:tcPr>
          <w:p w:rsidR="007C5447" w:rsidRDefault="00F6308C">
            <w:pPr>
              <w:pStyle w:val="TableParagraph"/>
              <w:spacing w:before="76"/>
              <w:ind w:left="440"/>
              <w:jc w:val="left"/>
              <w:rPr>
                <w:b/>
                <w:sz w:val="18"/>
              </w:rPr>
            </w:pPr>
            <w:r>
              <w:rPr>
                <w:b/>
                <w:sz w:val="18"/>
              </w:rPr>
              <w:t>41,574</w:t>
            </w:r>
          </w:p>
        </w:tc>
        <w:tc>
          <w:tcPr>
            <w:tcW w:w="1255" w:type="dxa"/>
          </w:tcPr>
          <w:p w:rsidR="007C5447" w:rsidRDefault="00F6308C">
            <w:pPr>
              <w:pStyle w:val="TableParagraph"/>
              <w:spacing w:before="76"/>
              <w:ind w:right="330"/>
              <w:rPr>
                <w:b/>
                <w:sz w:val="18"/>
              </w:rPr>
            </w:pPr>
            <w:r>
              <w:rPr>
                <w:b/>
                <w:sz w:val="18"/>
              </w:rPr>
              <w:t>40,569</w:t>
            </w:r>
          </w:p>
        </w:tc>
        <w:tc>
          <w:tcPr>
            <w:tcW w:w="1276" w:type="dxa"/>
          </w:tcPr>
          <w:p w:rsidR="007C5447" w:rsidRDefault="00F6308C">
            <w:pPr>
              <w:pStyle w:val="TableParagraph"/>
              <w:spacing w:before="76"/>
              <w:ind w:left="437"/>
              <w:jc w:val="left"/>
              <w:rPr>
                <w:b/>
                <w:sz w:val="18"/>
              </w:rPr>
            </w:pPr>
            <w:r>
              <w:rPr>
                <w:b/>
                <w:sz w:val="18"/>
              </w:rPr>
              <w:t>46,993</w:t>
            </w:r>
          </w:p>
        </w:tc>
        <w:tc>
          <w:tcPr>
            <w:tcW w:w="1123" w:type="dxa"/>
          </w:tcPr>
          <w:p w:rsidR="007C5447" w:rsidRDefault="00F6308C">
            <w:pPr>
              <w:pStyle w:val="TableParagraph"/>
              <w:spacing w:before="76"/>
              <w:ind w:right="333"/>
              <w:rPr>
                <w:b/>
                <w:sz w:val="18"/>
              </w:rPr>
            </w:pPr>
            <w:r>
              <w:rPr>
                <w:b/>
                <w:sz w:val="18"/>
              </w:rPr>
              <w:t>45,484</w:t>
            </w:r>
          </w:p>
        </w:tc>
        <w:tc>
          <w:tcPr>
            <w:tcW w:w="1276" w:type="dxa"/>
          </w:tcPr>
          <w:p w:rsidR="007C5447" w:rsidRDefault="00F6308C">
            <w:pPr>
              <w:pStyle w:val="TableParagraph"/>
              <w:spacing w:before="76"/>
              <w:ind w:left="434"/>
              <w:jc w:val="left"/>
              <w:rPr>
                <w:b/>
                <w:sz w:val="18"/>
              </w:rPr>
            </w:pPr>
            <w:r>
              <w:rPr>
                <w:b/>
                <w:sz w:val="18"/>
              </w:rPr>
              <w:t>50,842</w:t>
            </w:r>
          </w:p>
        </w:tc>
        <w:tc>
          <w:tcPr>
            <w:tcW w:w="1254" w:type="dxa"/>
          </w:tcPr>
          <w:p w:rsidR="007C5447" w:rsidRDefault="00F6308C">
            <w:pPr>
              <w:pStyle w:val="TableParagraph"/>
              <w:spacing w:before="76"/>
              <w:ind w:right="336"/>
              <w:rPr>
                <w:b/>
                <w:sz w:val="18"/>
              </w:rPr>
            </w:pPr>
            <w:r>
              <w:rPr>
                <w:b/>
                <w:sz w:val="18"/>
              </w:rPr>
              <w:t>49,333</w:t>
            </w:r>
          </w:p>
        </w:tc>
        <w:tc>
          <w:tcPr>
            <w:tcW w:w="1276" w:type="dxa"/>
          </w:tcPr>
          <w:p w:rsidR="007C5447" w:rsidRDefault="00F6308C">
            <w:pPr>
              <w:pStyle w:val="TableParagraph"/>
              <w:spacing w:before="76"/>
              <w:ind w:left="431"/>
              <w:jc w:val="left"/>
              <w:rPr>
                <w:b/>
                <w:sz w:val="18"/>
              </w:rPr>
            </w:pPr>
            <w:r>
              <w:rPr>
                <w:b/>
                <w:sz w:val="18"/>
              </w:rPr>
              <w:t>52,301</w:t>
            </w:r>
          </w:p>
        </w:tc>
        <w:tc>
          <w:tcPr>
            <w:tcW w:w="1398" w:type="dxa"/>
          </w:tcPr>
          <w:p w:rsidR="007C5447" w:rsidRDefault="00F6308C">
            <w:pPr>
              <w:pStyle w:val="TableParagraph"/>
              <w:spacing w:before="76"/>
              <w:ind w:right="340"/>
              <w:rPr>
                <w:b/>
                <w:sz w:val="18"/>
              </w:rPr>
            </w:pPr>
            <w:r>
              <w:rPr>
                <w:b/>
                <w:sz w:val="18"/>
              </w:rPr>
              <w:t>51,723</w:t>
            </w:r>
          </w:p>
        </w:tc>
      </w:tr>
      <w:tr w:rsidR="007C5447">
        <w:trPr>
          <w:trHeight w:val="420"/>
        </w:trPr>
        <w:tc>
          <w:tcPr>
            <w:tcW w:w="2432" w:type="dxa"/>
          </w:tcPr>
          <w:p w:rsidR="007C5447" w:rsidRDefault="00F6308C">
            <w:pPr>
              <w:pStyle w:val="TableParagraph"/>
              <w:spacing w:before="94"/>
              <w:ind w:left="107"/>
              <w:jc w:val="left"/>
              <w:rPr>
                <w:b/>
                <w:sz w:val="20"/>
              </w:rPr>
            </w:pPr>
            <w:r>
              <w:rPr>
                <w:b/>
                <w:sz w:val="20"/>
              </w:rPr>
              <w:t>Grand Total</w:t>
            </w:r>
          </w:p>
        </w:tc>
        <w:tc>
          <w:tcPr>
            <w:tcW w:w="927" w:type="dxa"/>
          </w:tcPr>
          <w:p w:rsidR="007C5447" w:rsidRDefault="007C5447">
            <w:pPr>
              <w:pStyle w:val="TableParagraph"/>
              <w:jc w:val="left"/>
              <w:rPr>
                <w:sz w:val="18"/>
              </w:rPr>
            </w:pPr>
          </w:p>
        </w:tc>
        <w:tc>
          <w:tcPr>
            <w:tcW w:w="1432" w:type="dxa"/>
          </w:tcPr>
          <w:p w:rsidR="007C5447" w:rsidRDefault="00F6308C">
            <w:pPr>
              <w:pStyle w:val="TableParagraph"/>
              <w:spacing w:before="106"/>
              <w:ind w:left="601"/>
              <w:jc w:val="left"/>
              <w:rPr>
                <w:b/>
                <w:sz w:val="18"/>
              </w:rPr>
            </w:pPr>
            <w:r>
              <w:rPr>
                <w:b/>
                <w:sz w:val="18"/>
              </w:rPr>
              <w:t>54,338</w:t>
            </w:r>
          </w:p>
        </w:tc>
        <w:tc>
          <w:tcPr>
            <w:tcW w:w="1254" w:type="dxa"/>
          </w:tcPr>
          <w:p w:rsidR="007C5447" w:rsidRDefault="00F6308C">
            <w:pPr>
              <w:pStyle w:val="TableParagraph"/>
              <w:spacing w:before="106"/>
              <w:ind w:right="326"/>
              <w:rPr>
                <w:b/>
                <w:sz w:val="18"/>
              </w:rPr>
            </w:pPr>
            <w:r>
              <w:rPr>
                <w:b/>
                <w:sz w:val="18"/>
              </w:rPr>
              <w:t>53,938</w:t>
            </w:r>
          </w:p>
        </w:tc>
        <w:tc>
          <w:tcPr>
            <w:tcW w:w="1276" w:type="dxa"/>
          </w:tcPr>
          <w:p w:rsidR="007C5447" w:rsidRDefault="00F6308C">
            <w:pPr>
              <w:pStyle w:val="TableParagraph"/>
              <w:spacing w:before="106"/>
              <w:ind w:left="440"/>
              <w:jc w:val="left"/>
              <w:rPr>
                <w:b/>
                <w:sz w:val="18"/>
              </w:rPr>
            </w:pPr>
            <w:r>
              <w:rPr>
                <w:b/>
                <w:sz w:val="18"/>
              </w:rPr>
              <w:t>53,128</w:t>
            </w:r>
          </w:p>
        </w:tc>
        <w:tc>
          <w:tcPr>
            <w:tcW w:w="1255" w:type="dxa"/>
          </w:tcPr>
          <w:p w:rsidR="007C5447" w:rsidRDefault="00F6308C">
            <w:pPr>
              <w:pStyle w:val="TableParagraph"/>
              <w:spacing w:before="106"/>
              <w:ind w:right="330"/>
              <w:rPr>
                <w:b/>
                <w:sz w:val="18"/>
              </w:rPr>
            </w:pPr>
            <w:r>
              <w:rPr>
                <w:b/>
                <w:sz w:val="18"/>
              </w:rPr>
              <w:t>51,743</w:t>
            </w:r>
          </w:p>
        </w:tc>
        <w:tc>
          <w:tcPr>
            <w:tcW w:w="1276" w:type="dxa"/>
          </w:tcPr>
          <w:p w:rsidR="007C5447" w:rsidRDefault="00F6308C">
            <w:pPr>
              <w:pStyle w:val="TableParagraph"/>
              <w:spacing w:before="106"/>
              <w:ind w:left="437"/>
              <w:jc w:val="left"/>
              <w:rPr>
                <w:b/>
                <w:sz w:val="18"/>
              </w:rPr>
            </w:pPr>
            <w:r>
              <w:rPr>
                <w:b/>
                <w:sz w:val="18"/>
              </w:rPr>
              <w:t>60,866</w:t>
            </w:r>
          </w:p>
        </w:tc>
        <w:tc>
          <w:tcPr>
            <w:tcW w:w="1123" w:type="dxa"/>
          </w:tcPr>
          <w:p w:rsidR="007C5447" w:rsidRDefault="00F6308C">
            <w:pPr>
              <w:pStyle w:val="TableParagraph"/>
              <w:spacing w:before="106"/>
              <w:ind w:right="333"/>
              <w:rPr>
                <w:b/>
                <w:sz w:val="18"/>
              </w:rPr>
            </w:pPr>
            <w:r>
              <w:rPr>
                <w:b/>
                <w:sz w:val="18"/>
              </w:rPr>
              <w:t>59,120</w:t>
            </w:r>
          </w:p>
        </w:tc>
        <w:tc>
          <w:tcPr>
            <w:tcW w:w="1276" w:type="dxa"/>
          </w:tcPr>
          <w:p w:rsidR="007C5447" w:rsidRDefault="00F6308C">
            <w:pPr>
              <w:pStyle w:val="TableParagraph"/>
              <w:spacing w:before="106"/>
              <w:ind w:left="434"/>
              <w:jc w:val="left"/>
              <w:rPr>
                <w:b/>
                <w:sz w:val="18"/>
              </w:rPr>
            </w:pPr>
            <w:r>
              <w:rPr>
                <w:b/>
                <w:sz w:val="18"/>
              </w:rPr>
              <w:t>66,625</w:t>
            </w:r>
          </w:p>
        </w:tc>
        <w:tc>
          <w:tcPr>
            <w:tcW w:w="1254" w:type="dxa"/>
          </w:tcPr>
          <w:p w:rsidR="007C5447" w:rsidRDefault="00F6308C">
            <w:pPr>
              <w:pStyle w:val="TableParagraph"/>
              <w:spacing w:before="106"/>
              <w:ind w:right="336"/>
              <w:rPr>
                <w:b/>
                <w:sz w:val="18"/>
              </w:rPr>
            </w:pPr>
            <w:r>
              <w:rPr>
                <w:b/>
                <w:sz w:val="18"/>
              </w:rPr>
              <w:t>64,760</w:t>
            </w:r>
          </w:p>
        </w:tc>
        <w:tc>
          <w:tcPr>
            <w:tcW w:w="1276" w:type="dxa"/>
          </w:tcPr>
          <w:p w:rsidR="007C5447" w:rsidRDefault="00F6308C">
            <w:pPr>
              <w:pStyle w:val="TableParagraph"/>
              <w:spacing w:before="106"/>
              <w:ind w:left="431"/>
              <w:jc w:val="left"/>
              <w:rPr>
                <w:b/>
                <w:sz w:val="18"/>
              </w:rPr>
            </w:pPr>
            <w:r>
              <w:rPr>
                <w:b/>
                <w:sz w:val="18"/>
              </w:rPr>
              <w:t>68,629</w:t>
            </w:r>
          </w:p>
        </w:tc>
        <w:tc>
          <w:tcPr>
            <w:tcW w:w="1398" w:type="dxa"/>
          </w:tcPr>
          <w:p w:rsidR="007C5447" w:rsidRDefault="00F6308C">
            <w:pPr>
              <w:pStyle w:val="TableParagraph"/>
              <w:spacing w:before="106"/>
              <w:ind w:right="340"/>
              <w:rPr>
                <w:b/>
                <w:sz w:val="18"/>
              </w:rPr>
            </w:pPr>
            <w:r>
              <w:rPr>
                <w:b/>
                <w:sz w:val="18"/>
              </w:rPr>
              <w:t>67,863</w:t>
            </w:r>
          </w:p>
        </w:tc>
      </w:tr>
    </w:tbl>
    <w:p w:rsidR="007C5447" w:rsidRDefault="007C5447">
      <w:pPr>
        <w:rPr>
          <w:sz w:val="18"/>
        </w:rPr>
        <w:sectPr w:rsidR="007C5447">
          <w:pgSz w:w="16840" w:h="11910" w:orient="landscape"/>
          <w:pgMar w:top="1100" w:right="240" w:bottom="1580" w:left="200" w:header="0" w:footer="1386" w:gutter="0"/>
          <w:cols w:space="720"/>
        </w:sectPr>
      </w:pPr>
    </w:p>
    <w:p w:rsidR="007C5447" w:rsidRDefault="00F6308C">
      <w:pPr>
        <w:pStyle w:val="Heading2"/>
        <w:numPr>
          <w:ilvl w:val="1"/>
          <w:numId w:val="114"/>
        </w:numPr>
        <w:tabs>
          <w:tab w:val="left" w:pos="1246"/>
          <w:tab w:val="left" w:pos="1247"/>
        </w:tabs>
        <w:spacing w:before="61"/>
        <w:ind w:left="1246"/>
      </w:pPr>
      <w:bookmarkStart w:id="37" w:name="_bookmark37"/>
      <w:bookmarkEnd w:id="37"/>
      <w:r>
        <w:lastRenderedPageBreak/>
        <w:t>Energy</w:t>
      </w:r>
      <w:r>
        <w:rPr>
          <w:spacing w:val="-1"/>
        </w:rPr>
        <w:t xml:space="preserve"> </w:t>
      </w:r>
      <w:r>
        <w:t>Availability</w:t>
      </w:r>
    </w:p>
    <w:p w:rsidR="007C5447" w:rsidRDefault="007C5447">
      <w:pPr>
        <w:pStyle w:val="BodyText"/>
        <w:spacing w:before="11"/>
        <w:rPr>
          <w:b/>
          <w:sz w:val="27"/>
        </w:rPr>
      </w:pPr>
    </w:p>
    <w:p w:rsidR="007C5447" w:rsidRDefault="00F6308C">
      <w:pPr>
        <w:pStyle w:val="ListParagraph"/>
        <w:numPr>
          <w:ilvl w:val="2"/>
          <w:numId w:val="114"/>
        </w:numPr>
        <w:tabs>
          <w:tab w:val="left" w:pos="1533"/>
        </w:tabs>
        <w:spacing w:line="312" w:lineRule="auto"/>
        <w:ind w:left="1532" w:right="882" w:hanging="852"/>
        <w:jc w:val="both"/>
        <w:rPr>
          <w:sz w:val="24"/>
        </w:rPr>
      </w:pPr>
      <w:r>
        <w:rPr>
          <w:sz w:val="24"/>
        </w:rPr>
        <w:t>TANGEDCO meets its energy requirements from its own generating stations, purchases from central generating stations, IPPs and other</w:t>
      </w:r>
      <w:r>
        <w:rPr>
          <w:spacing w:val="-2"/>
          <w:sz w:val="24"/>
        </w:rPr>
        <w:t xml:space="preserve"> </w:t>
      </w:r>
      <w:r>
        <w:rPr>
          <w:sz w:val="24"/>
        </w:rPr>
        <w:t>sources.</w:t>
      </w:r>
    </w:p>
    <w:p w:rsidR="007C5447" w:rsidRDefault="007C5447">
      <w:pPr>
        <w:pStyle w:val="BodyText"/>
        <w:spacing w:before="10"/>
        <w:rPr>
          <w:sz w:val="20"/>
        </w:rPr>
      </w:pPr>
    </w:p>
    <w:p w:rsidR="007C5447" w:rsidRDefault="00F6308C">
      <w:pPr>
        <w:pStyle w:val="ListParagraph"/>
        <w:numPr>
          <w:ilvl w:val="2"/>
          <w:numId w:val="114"/>
        </w:numPr>
        <w:tabs>
          <w:tab w:val="left" w:pos="1533"/>
        </w:tabs>
        <w:spacing w:line="312" w:lineRule="auto"/>
        <w:ind w:left="1532" w:right="878" w:hanging="852"/>
        <w:jc w:val="both"/>
        <w:rPr>
          <w:sz w:val="24"/>
        </w:rPr>
      </w:pPr>
      <w:r>
        <w:rPr>
          <w:sz w:val="24"/>
        </w:rPr>
        <w:t>TANGEDCO has submitted its audited accounts for FY 2011-12, FY 2012-13, FY 2013-14, FY 2014-15 and FY 2015-16. As part of the monthly MIS reporting, the licensee has also submitted actual energy available from various</w:t>
      </w:r>
      <w:r>
        <w:rPr>
          <w:spacing w:val="-6"/>
          <w:sz w:val="24"/>
        </w:rPr>
        <w:t xml:space="preserve"> </w:t>
      </w:r>
      <w:r>
        <w:rPr>
          <w:sz w:val="24"/>
        </w:rPr>
        <w:t>sources.</w:t>
      </w:r>
    </w:p>
    <w:p w:rsidR="007C5447" w:rsidRDefault="007C5447">
      <w:pPr>
        <w:pStyle w:val="BodyText"/>
        <w:rPr>
          <w:sz w:val="21"/>
        </w:rPr>
      </w:pPr>
    </w:p>
    <w:p w:rsidR="007C5447" w:rsidRDefault="00F6308C">
      <w:pPr>
        <w:pStyle w:val="ListParagraph"/>
        <w:numPr>
          <w:ilvl w:val="2"/>
          <w:numId w:val="114"/>
        </w:numPr>
        <w:tabs>
          <w:tab w:val="left" w:pos="1533"/>
        </w:tabs>
        <w:spacing w:line="312" w:lineRule="auto"/>
        <w:ind w:left="1532" w:right="881" w:hanging="852"/>
        <w:jc w:val="both"/>
        <w:rPr>
          <w:sz w:val="24"/>
        </w:rPr>
      </w:pPr>
      <w:r>
        <w:rPr>
          <w:sz w:val="24"/>
        </w:rPr>
        <w:t>Based on the information ava</w:t>
      </w:r>
      <w:r>
        <w:rPr>
          <w:sz w:val="24"/>
        </w:rPr>
        <w:t xml:space="preserve">ilable from the audited accounts and MIS reports, the Commission in this Section has analysed the performance of TANGEDCO’s own generating stations. The source wise availability of energy has been discussed first for TANGEDCO’s own generating stations and </w:t>
      </w:r>
      <w:r>
        <w:rPr>
          <w:sz w:val="24"/>
        </w:rPr>
        <w:t>then for other sources which includes Central Generating Stations, IPPs, Renewable sources</w:t>
      </w:r>
      <w:r>
        <w:rPr>
          <w:spacing w:val="-4"/>
          <w:sz w:val="24"/>
        </w:rPr>
        <w:t xml:space="preserve"> </w:t>
      </w:r>
      <w:r>
        <w:rPr>
          <w:sz w:val="24"/>
        </w:rPr>
        <w:t>etc.</w:t>
      </w:r>
    </w:p>
    <w:p w:rsidR="007C5447" w:rsidRDefault="007C5447">
      <w:pPr>
        <w:pStyle w:val="BodyText"/>
        <w:spacing w:before="9"/>
        <w:rPr>
          <w:sz w:val="20"/>
        </w:rPr>
      </w:pPr>
    </w:p>
    <w:p w:rsidR="007C5447" w:rsidRDefault="00F6308C">
      <w:pPr>
        <w:pStyle w:val="Heading2"/>
        <w:numPr>
          <w:ilvl w:val="2"/>
          <w:numId w:val="114"/>
        </w:numPr>
        <w:tabs>
          <w:tab w:val="left" w:pos="1532"/>
          <w:tab w:val="left" w:pos="1533"/>
        </w:tabs>
        <w:ind w:left="1532" w:hanging="853"/>
      </w:pPr>
      <w:r>
        <w:t>Own</w:t>
      </w:r>
      <w:r>
        <w:rPr>
          <w:spacing w:val="-1"/>
        </w:rPr>
        <w:t xml:space="preserve"> </w:t>
      </w:r>
      <w:r>
        <w:t>Generation</w:t>
      </w:r>
    </w:p>
    <w:p w:rsidR="007C5447" w:rsidRDefault="007C5447">
      <w:pPr>
        <w:pStyle w:val="BodyText"/>
        <w:spacing w:before="2"/>
        <w:rPr>
          <w:b/>
          <w:sz w:val="28"/>
        </w:rPr>
      </w:pPr>
    </w:p>
    <w:p w:rsidR="007C5447" w:rsidRDefault="00F6308C">
      <w:pPr>
        <w:pStyle w:val="ListParagraph"/>
        <w:numPr>
          <w:ilvl w:val="3"/>
          <w:numId w:val="94"/>
        </w:numPr>
        <w:tabs>
          <w:tab w:val="left" w:pos="1646"/>
        </w:tabs>
        <w:spacing w:before="1" w:line="312" w:lineRule="auto"/>
        <w:ind w:right="874" w:hanging="864"/>
        <w:jc w:val="both"/>
        <w:rPr>
          <w:sz w:val="24"/>
        </w:rPr>
      </w:pPr>
      <w:r>
        <w:tab/>
      </w:r>
      <w:r>
        <w:rPr>
          <w:sz w:val="24"/>
        </w:rPr>
        <w:t xml:space="preserve">Based on Plant Load Factor (PLF) and Auxiliary Consumption discussed subsequently in this Order, the net generation from own stations from FY </w:t>
      </w:r>
      <w:r>
        <w:rPr>
          <w:sz w:val="24"/>
        </w:rPr>
        <w:t>2011-12 to FY 2015-16 as submitted by TANGEDCO is shown in the Table</w:t>
      </w:r>
      <w:r>
        <w:rPr>
          <w:spacing w:val="-6"/>
          <w:sz w:val="24"/>
        </w:rPr>
        <w:t xml:space="preserve"> </w:t>
      </w:r>
      <w:r>
        <w:rPr>
          <w:sz w:val="24"/>
        </w:rPr>
        <w:t>below:</w:t>
      </w:r>
    </w:p>
    <w:p w:rsidR="007C5447" w:rsidRDefault="007C5447">
      <w:pPr>
        <w:pStyle w:val="BodyText"/>
        <w:spacing w:before="10"/>
        <w:rPr>
          <w:sz w:val="20"/>
        </w:rPr>
      </w:pPr>
    </w:p>
    <w:p w:rsidR="007C5447" w:rsidRDefault="00F6308C">
      <w:pPr>
        <w:ind w:left="810" w:right="1007"/>
        <w:jc w:val="center"/>
        <w:rPr>
          <w:b/>
        </w:rPr>
      </w:pPr>
      <w:r>
        <w:rPr>
          <w:b/>
        </w:rPr>
        <w:t>Table 3-2: Energy availability from own stations as submitted by TANGEDCO (MU)</w:t>
      </w:r>
    </w:p>
    <w:p w:rsidR="007C5447" w:rsidRDefault="007C5447">
      <w:pPr>
        <w:pStyle w:val="BodyText"/>
        <w:spacing w:before="11"/>
        <w:rPr>
          <w:b/>
          <w:sz w:val="16"/>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2130"/>
        <w:gridCol w:w="1275"/>
        <w:gridCol w:w="1275"/>
        <w:gridCol w:w="1277"/>
        <w:gridCol w:w="1278"/>
        <w:gridCol w:w="1275"/>
      </w:tblGrid>
      <w:tr w:rsidR="007C5447">
        <w:trPr>
          <w:trHeight w:val="360"/>
        </w:trPr>
        <w:tc>
          <w:tcPr>
            <w:tcW w:w="562" w:type="dxa"/>
            <w:shd w:val="clear" w:color="auto" w:fill="F7C9AC"/>
          </w:tcPr>
          <w:p w:rsidR="007C5447" w:rsidRDefault="00F6308C">
            <w:pPr>
              <w:pStyle w:val="TableParagraph"/>
              <w:spacing w:before="65"/>
              <w:ind w:right="227"/>
              <w:rPr>
                <w:b/>
                <w:sz w:val="20"/>
              </w:rPr>
            </w:pPr>
            <w:r>
              <w:rPr>
                <w:b/>
                <w:w w:val="95"/>
                <w:sz w:val="20"/>
              </w:rPr>
              <w:t>Sl.</w:t>
            </w:r>
          </w:p>
        </w:tc>
        <w:tc>
          <w:tcPr>
            <w:tcW w:w="2130" w:type="dxa"/>
            <w:shd w:val="clear" w:color="auto" w:fill="F7C9AC"/>
          </w:tcPr>
          <w:p w:rsidR="007C5447" w:rsidRDefault="00F6308C">
            <w:pPr>
              <w:pStyle w:val="TableParagraph"/>
              <w:spacing w:before="65"/>
              <w:ind w:left="107"/>
              <w:jc w:val="left"/>
              <w:rPr>
                <w:b/>
                <w:sz w:val="20"/>
              </w:rPr>
            </w:pPr>
            <w:r>
              <w:rPr>
                <w:b/>
                <w:sz w:val="20"/>
              </w:rPr>
              <w:t>Station</w:t>
            </w:r>
          </w:p>
        </w:tc>
        <w:tc>
          <w:tcPr>
            <w:tcW w:w="1275" w:type="dxa"/>
            <w:shd w:val="clear" w:color="auto" w:fill="F7C9AC"/>
          </w:tcPr>
          <w:p w:rsidR="007C5447" w:rsidRDefault="00F6308C">
            <w:pPr>
              <w:pStyle w:val="TableParagraph"/>
              <w:spacing w:before="65"/>
              <w:ind w:right="133"/>
              <w:rPr>
                <w:b/>
                <w:sz w:val="20"/>
              </w:rPr>
            </w:pPr>
            <w:r>
              <w:rPr>
                <w:b/>
                <w:sz w:val="20"/>
              </w:rPr>
              <w:t>FY 2011-12</w:t>
            </w:r>
          </w:p>
        </w:tc>
        <w:tc>
          <w:tcPr>
            <w:tcW w:w="1275" w:type="dxa"/>
            <w:shd w:val="clear" w:color="auto" w:fill="F7C9AC"/>
          </w:tcPr>
          <w:p w:rsidR="007C5447" w:rsidRDefault="00F6308C">
            <w:pPr>
              <w:pStyle w:val="TableParagraph"/>
              <w:spacing w:before="65"/>
              <w:ind w:right="134"/>
              <w:rPr>
                <w:b/>
                <w:sz w:val="20"/>
              </w:rPr>
            </w:pPr>
            <w:r>
              <w:rPr>
                <w:b/>
                <w:sz w:val="20"/>
              </w:rPr>
              <w:t>FY 2012-13</w:t>
            </w:r>
          </w:p>
        </w:tc>
        <w:tc>
          <w:tcPr>
            <w:tcW w:w="1277" w:type="dxa"/>
            <w:shd w:val="clear" w:color="auto" w:fill="F7C9AC"/>
          </w:tcPr>
          <w:p w:rsidR="007C5447" w:rsidRDefault="00F6308C">
            <w:pPr>
              <w:pStyle w:val="TableParagraph"/>
              <w:spacing w:before="65"/>
              <w:ind w:right="134"/>
              <w:rPr>
                <w:b/>
                <w:sz w:val="20"/>
              </w:rPr>
            </w:pPr>
            <w:r>
              <w:rPr>
                <w:b/>
                <w:sz w:val="20"/>
              </w:rPr>
              <w:t>FY 2013-14</w:t>
            </w:r>
          </w:p>
        </w:tc>
        <w:tc>
          <w:tcPr>
            <w:tcW w:w="1278" w:type="dxa"/>
            <w:shd w:val="clear" w:color="auto" w:fill="F7C9AC"/>
          </w:tcPr>
          <w:p w:rsidR="007C5447" w:rsidRDefault="00F6308C">
            <w:pPr>
              <w:pStyle w:val="TableParagraph"/>
              <w:spacing w:before="65"/>
              <w:ind w:right="134"/>
              <w:rPr>
                <w:b/>
                <w:sz w:val="20"/>
              </w:rPr>
            </w:pPr>
            <w:r>
              <w:rPr>
                <w:b/>
                <w:sz w:val="20"/>
              </w:rPr>
              <w:t>FY 2014-15</w:t>
            </w:r>
          </w:p>
        </w:tc>
        <w:tc>
          <w:tcPr>
            <w:tcW w:w="1275" w:type="dxa"/>
            <w:shd w:val="clear" w:color="auto" w:fill="F7C9AC"/>
          </w:tcPr>
          <w:p w:rsidR="007C5447" w:rsidRDefault="00F6308C">
            <w:pPr>
              <w:pStyle w:val="TableParagraph"/>
              <w:spacing w:before="65"/>
              <w:ind w:right="133"/>
              <w:rPr>
                <w:b/>
                <w:sz w:val="20"/>
              </w:rPr>
            </w:pPr>
            <w:r>
              <w:rPr>
                <w:b/>
                <w:sz w:val="20"/>
              </w:rPr>
              <w:t>FY 2015-16</w:t>
            </w:r>
          </w:p>
        </w:tc>
      </w:tr>
      <w:tr w:rsidR="007C5447">
        <w:trPr>
          <w:trHeight w:val="362"/>
        </w:trPr>
        <w:tc>
          <w:tcPr>
            <w:tcW w:w="562" w:type="dxa"/>
          </w:tcPr>
          <w:p w:rsidR="007C5447" w:rsidRDefault="00F6308C">
            <w:pPr>
              <w:pStyle w:val="TableParagraph"/>
              <w:spacing w:before="65"/>
              <w:ind w:right="220"/>
              <w:rPr>
                <w:sz w:val="20"/>
              </w:rPr>
            </w:pPr>
            <w:r>
              <w:rPr>
                <w:w w:val="99"/>
                <w:sz w:val="20"/>
              </w:rPr>
              <w:t>1</w:t>
            </w:r>
          </w:p>
        </w:tc>
        <w:tc>
          <w:tcPr>
            <w:tcW w:w="2130" w:type="dxa"/>
          </w:tcPr>
          <w:p w:rsidR="007C5447" w:rsidRDefault="00F6308C">
            <w:pPr>
              <w:pStyle w:val="TableParagraph"/>
              <w:spacing w:before="65"/>
              <w:ind w:left="107"/>
              <w:jc w:val="left"/>
              <w:rPr>
                <w:sz w:val="20"/>
              </w:rPr>
            </w:pPr>
            <w:r>
              <w:rPr>
                <w:sz w:val="20"/>
              </w:rPr>
              <w:t>Ennore TPS</w:t>
            </w:r>
          </w:p>
        </w:tc>
        <w:tc>
          <w:tcPr>
            <w:tcW w:w="1275" w:type="dxa"/>
          </w:tcPr>
          <w:p w:rsidR="007C5447" w:rsidRDefault="00F6308C">
            <w:pPr>
              <w:pStyle w:val="TableParagraph"/>
              <w:spacing w:before="65"/>
              <w:ind w:right="97"/>
              <w:rPr>
                <w:sz w:val="20"/>
              </w:rPr>
            </w:pPr>
            <w:r>
              <w:rPr>
                <w:sz w:val="20"/>
              </w:rPr>
              <w:t>744</w:t>
            </w:r>
          </w:p>
        </w:tc>
        <w:tc>
          <w:tcPr>
            <w:tcW w:w="1275" w:type="dxa"/>
          </w:tcPr>
          <w:p w:rsidR="007C5447" w:rsidRDefault="00F6308C">
            <w:pPr>
              <w:pStyle w:val="TableParagraph"/>
              <w:spacing w:before="65"/>
              <w:ind w:right="98"/>
              <w:rPr>
                <w:sz w:val="20"/>
              </w:rPr>
            </w:pPr>
            <w:r>
              <w:rPr>
                <w:sz w:val="20"/>
              </w:rPr>
              <w:t>610</w:t>
            </w:r>
          </w:p>
        </w:tc>
        <w:tc>
          <w:tcPr>
            <w:tcW w:w="1277" w:type="dxa"/>
          </w:tcPr>
          <w:p w:rsidR="007C5447" w:rsidRDefault="00F6308C">
            <w:pPr>
              <w:pStyle w:val="TableParagraph"/>
              <w:spacing w:before="65"/>
              <w:ind w:right="100"/>
              <w:rPr>
                <w:sz w:val="20"/>
              </w:rPr>
            </w:pPr>
            <w:r>
              <w:rPr>
                <w:sz w:val="20"/>
              </w:rPr>
              <w:t>1,011</w:t>
            </w:r>
          </w:p>
        </w:tc>
        <w:tc>
          <w:tcPr>
            <w:tcW w:w="1278" w:type="dxa"/>
          </w:tcPr>
          <w:p w:rsidR="007C5447" w:rsidRDefault="00F6308C">
            <w:pPr>
              <w:pStyle w:val="TableParagraph"/>
              <w:spacing w:before="65"/>
              <w:ind w:right="98"/>
              <w:rPr>
                <w:sz w:val="20"/>
              </w:rPr>
            </w:pPr>
            <w:r>
              <w:rPr>
                <w:sz w:val="20"/>
              </w:rPr>
              <w:t>485</w:t>
            </w:r>
          </w:p>
        </w:tc>
        <w:tc>
          <w:tcPr>
            <w:tcW w:w="1275" w:type="dxa"/>
          </w:tcPr>
          <w:p w:rsidR="007C5447" w:rsidRDefault="00F6308C">
            <w:pPr>
              <w:pStyle w:val="TableParagraph"/>
              <w:spacing w:before="65"/>
              <w:ind w:right="97"/>
              <w:rPr>
                <w:sz w:val="20"/>
              </w:rPr>
            </w:pPr>
            <w:r>
              <w:rPr>
                <w:sz w:val="20"/>
              </w:rPr>
              <w:t>392</w:t>
            </w:r>
          </w:p>
        </w:tc>
      </w:tr>
      <w:tr w:rsidR="007C5447">
        <w:trPr>
          <w:trHeight w:val="359"/>
        </w:trPr>
        <w:tc>
          <w:tcPr>
            <w:tcW w:w="562" w:type="dxa"/>
          </w:tcPr>
          <w:p w:rsidR="007C5447" w:rsidRDefault="00F6308C">
            <w:pPr>
              <w:pStyle w:val="TableParagraph"/>
              <w:spacing w:before="65"/>
              <w:ind w:right="220"/>
              <w:rPr>
                <w:sz w:val="20"/>
              </w:rPr>
            </w:pPr>
            <w:r>
              <w:rPr>
                <w:w w:val="99"/>
                <w:sz w:val="20"/>
              </w:rPr>
              <w:t>2</w:t>
            </w:r>
          </w:p>
        </w:tc>
        <w:tc>
          <w:tcPr>
            <w:tcW w:w="2130" w:type="dxa"/>
          </w:tcPr>
          <w:p w:rsidR="007C5447" w:rsidRDefault="00F6308C">
            <w:pPr>
              <w:pStyle w:val="TableParagraph"/>
              <w:spacing w:before="65"/>
              <w:ind w:left="107"/>
              <w:jc w:val="left"/>
              <w:rPr>
                <w:sz w:val="20"/>
              </w:rPr>
            </w:pPr>
            <w:r>
              <w:rPr>
                <w:sz w:val="20"/>
              </w:rPr>
              <w:t>Tuticorin TPS</w:t>
            </w:r>
          </w:p>
        </w:tc>
        <w:tc>
          <w:tcPr>
            <w:tcW w:w="1275" w:type="dxa"/>
          </w:tcPr>
          <w:p w:rsidR="007C5447" w:rsidRDefault="00F6308C">
            <w:pPr>
              <w:pStyle w:val="TableParagraph"/>
              <w:spacing w:before="65"/>
              <w:ind w:right="99"/>
              <w:rPr>
                <w:sz w:val="20"/>
              </w:rPr>
            </w:pPr>
            <w:r>
              <w:rPr>
                <w:w w:val="95"/>
                <w:sz w:val="20"/>
              </w:rPr>
              <w:t>7,262</w:t>
            </w:r>
          </w:p>
        </w:tc>
        <w:tc>
          <w:tcPr>
            <w:tcW w:w="1275" w:type="dxa"/>
          </w:tcPr>
          <w:p w:rsidR="007C5447" w:rsidRDefault="00F6308C">
            <w:pPr>
              <w:pStyle w:val="TableParagraph"/>
              <w:spacing w:before="65"/>
              <w:ind w:right="100"/>
              <w:rPr>
                <w:sz w:val="20"/>
              </w:rPr>
            </w:pPr>
            <w:r>
              <w:rPr>
                <w:w w:val="95"/>
                <w:sz w:val="20"/>
              </w:rPr>
              <w:t>7,620</w:t>
            </w:r>
          </w:p>
        </w:tc>
        <w:tc>
          <w:tcPr>
            <w:tcW w:w="1277" w:type="dxa"/>
          </w:tcPr>
          <w:p w:rsidR="007C5447" w:rsidRDefault="00F6308C">
            <w:pPr>
              <w:pStyle w:val="TableParagraph"/>
              <w:spacing w:before="65"/>
              <w:ind w:right="100"/>
              <w:rPr>
                <w:sz w:val="20"/>
              </w:rPr>
            </w:pPr>
            <w:r>
              <w:rPr>
                <w:sz w:val="20"/>
              </w:rPr>
              <w:t>7,253</w:t>
            </w:r>
          </w:p>
        </w:tc>
        <w:tc>
          <w:tcPr>
            <w:tcW w:w="1278" w:type="dxa"/>
          </w:tcPr>
          <w:p w:rsidR="007C5447" w:rsidRDefault="00F6308C">
            <w:pPr>
              <w:pStyle w:val="TableParagraph"/>
              <w:spacing w:before="65"/>
              <w:ind w:right="101"/>
              <w:rPr>
                <w:sz w:val="20"/>
              </w:rPr>
            </w:pPr>
            <w:r>
              <w:rPr>
                <w:sz w:val="20"/>
              </w:rPr>
              <w:t>7,043</w:t>
            </w:r>
          </w:p>
        </w:tc>
        <w:tc>
          <w:tcPr>
            <w:tcW w:w="1275" w:type="dxa"/>
          </w:tcPr>
          <w:p w:rsidR="007C5447" w:rsidRDefault="00F6308C">
            <w:pPr>
              <w:pStyle w:val="TableParagraph"/>
              <w:spacing w:before="65"/>
              <w:ind w:right="98"/>
              <w:rPr>
                <w:sz w:val="20"/>
              </w:rPr>
            </w:pPr>
            <w:r>
              <w:rPr>
                <w:sz w:val="20"/>
              </w:rPr>
              <w:t>6,501</w:t>
            </w:r>
          </w:p>
        </w:tc>
      </w:tr>
      <w:tr w:rsidR="007C5447">
        <w:trPr>
          <w:trHeight w:val="359"/>
        </w:trPr>
        <w:tc>
          <w:tcPr>
            <w:tcW w:w="562" w:type="dxa"/>
          </w:tcPr>
          <w:p w:rsidR="007C5447" w:rsidRDefault="00F6308C">
            <w:pPr>
              <w:pStyle w:val="TableParagraph"/>
              <w:spacing w:before="65"/>
              <w:ind w:right="220"/>
              <w:rPr>
                <w:sz w:val="20"/>
              </w:rPr>
            </w:pPr>
            <w:r>
              <w:rPr>
                <w:w w:val="99"/>
                <w:sz w:val="20"/>
              </w:rPr>
              <w:t>3</w:t>
            </w:r>
          </w:p>
        </w:tc>
        <w:tc>
          <w:tcPr>
            <w:tcW w:w="2130" w:type="dxa"/>
          </w:tcPr>
          <w:p w:rsidR="007C5447" w:rsidRDefault="00F6308C">
            <w:pPr>
              <w:pStyle w:val="TableParagraph"/>
              <w:spacing w:before="65"/>
              <w:ind w:left="107"/>
              <w:jc w:val="left"/>
              <w:rPr>
                <w:sz w:val="20"/>
              </w:rPr>
            </w:pPr>
            <w:r>
              <w:rPr>
                <w:sz w:val="20"/>
              </w:rPr>
              <w:t>Mettur TPS</w:t>
            </w:r>
          </w:p>
        </w:tc>
        <w:tc>
          <w:tcPr>
            <w:tcW w:w="1275" w:type="dxa"/>
          </w:tcPr>
          <w:p w:rsidR="007C5447" w:rsidRDefault="00F6308C">
            <w:pPr>
              <w:pStyle w:val="TableParagraph"/>
              <w:spacing w:before="65"/>
              <w:ind w:right="99"/>
              <w:rPr>
                <w:sz w:val="20"/>
              </w:rPr>
            </w:pPr>
            <w:r>
              <w:rPr>
                <w:w w:val="95"/>
                <w:sz w:val="20"/>
              </w:rPr>
              <w:t>6,280</w:t>
            </w:r>
          </w:p>
        </w:tc>
        <w:tc>
          <w:tcPr>
            <w:tcW w:w="1275" w:type="dxa"/>
          </w:tcPr>
          <w:p w:rsidR="007C5447" w:rsidRDefault="00F6308C">
            <w:pPr>
              <w:pStyle w:val="TableParagraph"/>
              <w:spacing w:before="65"/>
              <w:ind w:right="100"/>
              <w:rPr>
                <w:sz w:val="20"/>
              </w:rPr>
            </w:pPr>
            <w:r>
              <w:rPr>
                <w:w w:val="95"/>
                <w:sz w:val="20"/>
              </w:rPr>
              <w:t>5,684</w:t>
            </w:r>
          </w:p>
        </w:tc>
        <w:tc>
          <w:tcPr>
            <w:tcW w:w="1277" w:type="dxa"/>
          </w:tcPr>
          <w:p w:rsidR="007C5447" w:rsidRDefault="00F6308C">
            <w:pPr>
              <w:pStyle w:val="TableParagraph"/>
              <w:spacing w:before="65"/>
              <w:ind w:right="100"/>
              <w:rPr>
                <w:sz w:val="20"/>
              </w:rPr>
            </w:pPr>
            <w:r>
              <w:rPr>
                <w:sz w:val="20"/>
              </w:rPr>
              <w:t>5,928</w:t>
            </w:r>
          </w:p>
        </w:tc>
        <w:tc>
          <w:tcPr>
            <w:tcW w:w="1278" w:type="dxa"/>
          </w:tcPr>
          <w:p w:rsidR="007C5447" w:rsidRDefault="00F6308C">
            <w:pPr>
              <w:pStyle w:val="TableParagraph"/>
              <w:spacing w:before="65"/>
              <w:ind w:right="101"/>
              <w:rPr>
                <w:sz w:val="20"/>
              </w:rPr>
            </w:pPr>
            <w:r>
              <w:rPr>
                <w:sz w:val="20"/>
              </w:rPr>
              <w:t>5,697</w:t>
            </w:r>
          </w:p>
        </w:tc>
        <w:tc>
          <w:tcPr>
            <w:tcW w:w="1275" w:type="dxa"/>
          </w:tcPr>
          <w:p w:rsidR="007C5447" w:rsidRDefault="00F6308C">
            <w:pPr>
              <w:pStyle w:val="TableParagraph"/>
              <w:spacing w:before="65"/>
              <w:ind w:right="98"/>
              <w:rPr>
                <w:sz w:val="20"/>
              </w:rPr>
            </w:pPr>
            <w:r>
              <w:rPr>
                <w:sz w:val="20"/>
              </w:rPr>
              <w:t>5,406</w:t>
            </w:r>
          </w:p>
        </w:tc>
      </w:tr>
      <w:tr w:rsidR="007C5447">
        <w:trPr>
          <w:trHeight w:val="359"/>
        </w:trPr>
        <w:tc>
          <w:tcPr>
            <w:tcW w:w="562" w:type="dxa"/>
          </w:tcPr>
          <w:p w:rsidR="007C5447" w:rsidRDefault="00F6308C">
            <w:pPr>
              <w:pStyle w:val="TableParagraph"/>
              <w:spacing w:before="65"/>
              <w:ind w:right="220"/>
              <w:rPr>
                <w:sz w:val="20"/>
              </w:rPr>
            </w:pPr>
            <w:r>
              <w:rPr>
                <w:w w:val="99"/>
                <w:sz w:val="20"/>
              </w:rPr>
              <w:t>4</w:t>
            </w:r>
          </w:p>
        </w:tc>
        <w:tc>
          <w:tcPr>
            <w:tcW w:w="2130" w:type="dxa"/>
          </w:tcPr>
          <w:p w:rsidR="007C5447" w:rsidRDefault="00F6308C">
            <w:pPr>
              <w:pStyle w:val="TableParagraph"/>
              <w:spacing w:before="65"/>
              <w:ind w:left="107"/>
              <w:jc w:val="left"/>
              <w:rPr>
                <w:sz w:val="20"/>
              </w:rPr>
            </w:pPr>
            <w:r>
              <w:rPr>
                <w:sz w:val="20"/>
              </w:rPr>
              <w:t>Mettur Stage III TPS</w:t>
            </w:r>
          </w:p>
        </w:tc>
        <w:tc>
          <w:tcPr>
            <w:tcW w:w="1275" w:type="dxa"/>
          </w:tcPr>
          <w:p w:rsidR="007C5447" w:rsidRDefault="00F6308C">
            <w:pPr>
              <w:pStyle w:val="TableParagraph"/>
              <w:spacing w:before="65"/>
              <w:ind w:right="96"/>
              <w:rPr>
                <w:sz w:val="20"/>
              </w:rPr>
            </w:pPr>
            <w:r>
              <w:rPr>
                <w:w w:val="99"/>
                <w:sz w:val="20"/>
              </w:rPr>
              <w:t>-</w:t>
            </w:r>
          </w:p>
        </w:tc>
        <w:tc>
          <w:tcPr>
            <w:tcW w:w="1275" w:type="dxa"/>
          </w:tcPr>
          <w:p w:rsidR="007C5447" w:rsidRDefault="00F6308C">
            <w:pPr>
              <w:pStyle w:val="TableParagraph"/>
              <w:spacing w:before="65"/>
              <w:ind w:right="96"/>
              <w:rPr>
                <w:sz w:val="20"/>
              </w:rPr>
            </w:pPr>
            <w:r>
              <w:rPr>
                <w:w w:val="99"/>
                <w:sz w:val="20"/>
              </w:rPr>
              <w:t>-</w:t>
            </w:r>
          </w:p>
        </w:tc>
        <w:tc>
          <w:tcPr>
            <w:tcW w:w="1277" w:type="dxa"/>
          </w:tcPr>
          <w:p w:rsidR="007C5447" w:rsidRDefault="00F6308C">
            <w:pPr>
              <w:pStyle w:val="TableParagraph"/>
              <w:spacing w:before="65"/>
              <w:ind w:right="100"/>
              <w:rPr>
                <w:sz w:val="20"/>
              </w:rPr>
            </w:pPr>
            <w:r>
              <w:rPr>
                <w:sz w:val="20"/>
              </w:rPr>
              <w:t>1,840</w:t>
            </w:r>
          </w:p>
        </w:tc>
        <w:tc>
          <w:tcPr>
            <w:tcW w:w="1278" w:type="dxa"/>
          </w:tcPr>
          <w:p w:rsidR="007C5447" w:rsidRDefault="00F6308C">
            <w:pPr>
              <w:pStyle w:val="TableParagraph"/>
              <w:spacing w:before="65"/>
              <w:ind w:right="101"/>
              <w:rPr>
                <w:sz w:val="20"/>
              </w:rPr>
            </w:pPr>
            <w:r>
              <w:rPr>
                <w:sz w:val="20"/>
              </w:rPr>
              <w:t>2,802</w:t>
            </w:r>
          </w:p>
        </w:tc>
        <w:tc>
          <w:tcPr>
            <w:tcW w:w="1275" w:type="dxa"/>
          </w:tcPr>
          <w:p w:rsidR="007C5447" w:rsidRDefault="00F6308C">
            <w:pPr>
              <w:pStyle w:val="TableParagraph"/>
              <w:spacing w:before="65"/>
              <w:ind w:right="98"/>
              <w:rPr>
                <w:sz w:val="20"/>
              </w:rPr>
            </w:pPr>
            <w:r>
              <w:rPr>
                <w:sz w:val="20"/>
              </w:rPr>
              <w:t>2,664</w:t>
            </w:r>
          </w:p>
        </w:tc>
      </w:tr>
      <w:tr w:rsidR="007C5447">
        <w:trPr>
          <w:trHeight w:val="359"/>
        </w:trPr>
        <w:tc>
          <w:tcPr>
            <w:tcW w:w="562" w:type="dxa"/>
          </w:tcPr>
          <w:p w:rsidR="007C5447" w:rsidRDefault="00F6308C">
            <w:pPr>
              <w:pStyle w:val="TableParagraph"/>
              <w:spacing w:before="65"/>
              <w:ind w:right="220"/>
              <w:rPr>
                <w:sz w:val="20"/>
              </w:rPr>
            </w:pPr>
            <w:r>
              <w:rPr>
                <w:w w:val="99"/>
                <w:sz w:val="20"/>
              </w:rPr>
              <w:t>5</w:t>
            </w:r>
          </w:p>
        </w:tc>
        <w:tc>
          <w:tcPr>
            <w:tcW w:w="2130" w:type="dxa"/>
          </w:tcPr>
          <w:p w:rsidR="007C5447" w:rsidRDefault="00F6308C">
            <w:pPr>
              <w:pStyle w:val="TableParagraph"/>
              <w:spacing w:before="65"/>
              <w:ind w:left="107"/>
              <w:jc w:val="left"/>
              <w:rPr>
                <w:sz w:val="20"/>
              </w:rPr>
            </w:pPr>
            <w:r>
              <w:rPr>
                <w:sz w:val="20"/>
              </w:rPr>
              <w:t>North Chennai TPS</w:t>
            </w:r>
          </w:p>
        </w:tc>
        <w:tc>
          <w:tcPr>
            <w:tcW w:w="1275" w:type="dxa"/>
          </w:tcPr>
          <w:p w:rsidR="007C5447" w:rsidRDefault="00F6308C">
            <w:pPr>
              <w:pStyle w:val="TableParagraph"/>
              <w:spacing w:before="65"/>
              <w:ind w:right="99"/>
              <w:rPr>
                <w:sz w:val="20"/>
              </w:rPr>
            </w:pPr>
            <w:r>
              <w:rPr>
                <w:w w:val="95"/>
                <w:sz w:val="20"/>
              </w:rPr>
              <w:t>4,301</w:t>
            </w:r>
          </w:p>
        </w:tc>
        <w:tc>
          <w:tcPr>
            <w:tcW w:w="1275" w:type="dxa"/>
          </w:tcPr>
          <w:p w:rsidR="007C5447" w:rsidRDefault="00F6308C">
            <w:pPr>
              <w:pStyle w:val="TableParagraph"/>
              <w:spacing w:before="65"/>
              <w:ind w:right="100"/>
              <w:rPr>
                <w:sz w:val="20"/>
              </w:rPr>
            </w:pPr>
            <w:r>
              <w:rPr>
                <w:w w:val="95"/>
                <w:sz w:val="20"/>
              </w:rPr>
              <w:t>4,634</w:t>
            </w:r>
          </w:p>
        </w:tc>
        <w:tc>
          <w:tcPr>
            <w:tcW w:w="1277" w:type="dxa"/>
          </w:tcPr>
          <w:p w:rsidR="007C5447" w:rsidRDefault="00F6308C">
            <w:pPr>
              <w:pStyle w:val="TableParagraph"/>
              <w:spacing w:before="65"/>
              <w:ind w:right="100"/>
              <w:rPr>
                <w:sz w:val="20"/>
              </w:rPr>
            </w:pPr>
            <w:r>
              <w:rPr>
                <w:sz w:val="20"/>
              </w:rPr>
              <w:t>3,720</w:t>
            </w:r>
          </w:p>
        </w:tc>
        <w:tc>
          <w:tcPr>
            <w:tcW w:w="1278" w:type="dxa"/>
          </w:tcPr>
          <w:p w:rsidR="007C5447" w:rsidRDefault="00F6308C">
            <w:pPr>
              <w:pStyle w:val="TableParagraph"/>
              <w:spacing w:before="65"/>
              <w:ind w:right="101"/>
              <w:rPr>
                <w:sz w:val="20"/>
              </w:rPr>
            </w:pPr>
            <w:r>
              <w:rPr>
                <w:sz w:val="20"/>
              </w:rPr>
              <w:t>3,865</w:t>
            </w:r>
          </w:p>
        </w:tc>
        <w:tc>
          <w:tcPr>
            <w:tcW w:w="1275" w:type="dxa"/>
          </w:tcPr>
          <w:p w:rsidR="007C5447" w:rsidRDefault="00F6308C">
            <w:pPr>
              <w:pStyle w:val="TableParagraph"/>
              <w:spacing w:before="65"/>
              <w:ind w:right="98"/>
              <w:rPr>
                <w:sz w:val="20"/>
              </w:rPr>
            </w:pPr>
            <w:r>
              <w:rPr>
                <w:sz w:val="20"/>
              </w:rPr>
              <w:t>4,071</w:t>
            </w:r>
          </w:p>
        </w:tc>
      </w:tr>
      <w:tr w:rsidR="007C5447">
        <w:trPr>
          <w:trHeight w:val="491"/>
        </w:trPr>
        <w:tc>
          <w:tcPr>
            <w:tcW w:w="562" w:type="dxa"/>
          </w:tcPr>
          <w:p w:rsidR="007C5447" w:rsidRDefault="00F6308C">
            <w:pPr>
              <w:pStyle w:val="TableParagraph"/>
              <w:spacing w:before="130"/>
              <w:ind w:right="220"/>
              <w:rPr>
                <w:sz w:val="20"/>
              </w:rPr>
            </w:pPr>
            <w:r>
              <w:rPr>
                <w:w w:val="99"/>
                <w:sz w:val="20"/>
              </w:rPr>
              <w:t>6</w:t>
            </w:r>
          </w:p>
        </w:tc>
        <w:tc>
          <w:tcPr>
            <w:tcW w:w="2130" w:type="dxa"/>
          </w:tcPr>
          <w:p w:rsidR="007C5447" w:rsidRDefault="00F6308C">
            <w:pPr>
              <w:pStyle w:val="TableParagraph"/>
              <w:spacing w:before="14" w:line="230" w:lineRule="atLeast"/>
              <w:ind w:left="107"/>
              <w:jc w:val="left"/>
              <w:rPr>
                <w:sz w:val="20"/>
              </w:rPr>
            </w:pPr>
            <w:r>
              <w:rPr>
                <w:sz w:val="20"/>
              </w:rPr>
              <w:t>North Chennai Stage II TPS</w:t>
            </w:r>
          </w:p>
        </w:tc>
        <w:tc>
          <w:tcPr>
            <w:tcW w:w="1275" w:type="dxa"/>
          </w:tcPr>
          <w:p w:rsidR="007C5447" w:rsidRDefault="00F6308C">
            <w:pPr>
              <w:pStyle w:val="TableParagraph"/>
              <w:spacing w:before="130"/>
              <w:ind w:right="96"/>
              <w:rPr>
                <w:sz w:val="20"/>
              </w:rPr>
            </w:pPr>
            <w:r>
              <w:rPr>
                <w:w w:val="99"/>
                <w:sz w:val="20"/>
              </w:rPr>
              <w:t>-</w:t>
            </w:r>
          </w:p>
        </w:tc>
        <w:tc>
          <w:tcPr>
            <w:tcW w:w="1275" w:type="dxa"/>
          </w:tcPr>
          <w:p w:rsidR="007C5447" w:rsidRDefault="00F6308C">
            <w:pPr>
              <w:pStyle w:val="TableParagraph"/>
              <w:spacing w:before="130"/>
              <w:ind w:right="96"/>
              <w:rPr>
                <w:sz w:val="20"/>
              </w:rPr>
            </w:pPr>
            <w:r>
              <w:rPr>
                <w:w w:val="99"/>
                <w:sz w:val="20"/>
              </w:rPr>
              <w:t>-</w:t>
            </w:r>
          </w:p>
        </w:tc>
        <w:tc>
          <w:tcPr>
            <w:tcW w:w="1277" w:type="dxa"/>
          </w:tcPr>
          <w:p w:rsidR="007C5447" w:rsidRDefault="00F6308C">
            <w:pPr>
              <w:pStyle w:val="TableParagraph"/>
              <w:spacing w:before="130"/>
              <w:ind w:right="96"/>
              <w:rPr>
                <w:sz w:val="20"/>
              </w:rPr>
            </w:pPr>
            <w:r>
              <w:rPr>
                <w:w w:val="99"/>
                <w:sz w:val="20"/>
              </w:rPr>
              <w:t>-</w:t>
            </w:r>
          </w:p>
        </w:tc>
        <w:tc>
          <w:tcPr>
            <w:tcW w:w="1278" w:type="dxa"/>
          </w:tcPr>
          <w:p w:rsidR="007C5447" w:rsidRDefault="00F6308C">
            <w:pPr>
              <w:pStyle w:val="TableParagraph"/>
              <w:spacing w:before="130"/>
              <w:ind w:right="101"/>
              <w:rPr>
                <w:sz w:val="20"/>
              </w:rPr>
            </w:pPr>
            <w:r>
              <w:rPr>
                <w:sz w:val="20"/>
              </w:rPr>
              <w:t>5,187</w:t>
            </w:r>
          </w:p>
        </w:tc>
        <w:tc>
          <w:tcPr>
            <w:tcW w:w="1275" w:type="dxa"/>
          </w:tcPr>
          <w:p w:rsidR="007C5447" w:rsidRDefault="00F6308C">
            <w:pPr>
              <w:pStyle w:val="TableParagraph"/>
              <w:spacing w:before="130"/>
              <w:ind w:right="98"/>
              <w:rPr>
                <w:sz w:val="20"/>
              </w:rPr>
            </w:pPr>
            <w:r>
              <w:rPr>
                <w:sz w:val="20"/>
              </w:rPr>
              <w:t>4,468</w:t>
            </w:r>
          </w:p>
        </w:tc>
      </w:tr>
      <w:tr w:rsidR="007C5447">
        <w:trPr>
          <w:trHeight w:val="359"/>
        </w:trPr>
        <w:tc>
          <w:tcPr>
            <w:tcW w:w="562" w:type="dxa"/>
            <w:shd w:val="clear" w:color="auto" w:fill="D9D9D9"/>
          </w:tcPr>
          <w:p w:rsidR="007C5447" w:rsidRDefault="007C5447">
            <w:pPr>
              <w:pStyle w:val="TableParagraph"/>
              <w:jc w:val="left"/>
            </w:pPr>
          </w:p>
        </w:tc>
        <w:tc>
          <w:tcPr>
            <w:tcW w:w="2130" w:type="dxa"/>
            <w:shd w:val="clear" w:color="auto" w:fill="D9D9D9"/>
          </w:tcPr>
          <w:p w:rsidR="007C5447" w:rsidRDefault="00F6308C">
            <w:pPr>
              <w:pStyle w:val="TableParagraph"/>
              <w:spacing w:before="65"/>
              <w:ind w:left="107"/>
              <w:jc w:val="left"/>
              <w:rPr>
                <w:b/>
                <w:sz w:val="20"/>
              </w:rPr>
            </w:pPr>
            <w:r>
              <w:rPr>
                <w:b/>
                <w:sz w:val="20"/>
              </w:rPr>
              <w:t>Total Thermal</w:t>
            </w:r>
          </w:p>
        </w:tc>
        <w:tc>
          <w:tcPr>
            <w:tcW w:w="1275" w:type="dxa"/>
            <w:shd w:val="clear" w:color="auto" w:fill="D9D9D9"/>
          </w:tcPr>
          <w:p w:rsidR="007C5447" w:rsidRDefault="00F6308C">
            <w:pPr>
              <w:pStyle w:val="TableParagraph"/>
              <w:spacing w:before="65"/>
              <w:ind w:right="99"/>
              <w:rPr>
                <w:b/>
                <w:sz w:val="20"/>
              </w:rPr>
            </w:pPr>
            <w:r>
              <w:rPr>
                <w:b/>
                <w:w w:val="95"/>
                <w:sz w:val="20"/>
              </w:rPr>
              <w:t>18,587</w:t>
            </w:r>
          </w:p>
        </w:tc>
        <w:tc>
          <w:tcPr>
            <w:tcW w:w="1275" w:type="dxa"/>
            <w:shd w:val="clear" w:color="auto" w:fill="D9D9D9"/>
          </w:tcPr>
          <w:p w:rsidR="007C5447" w:rsidRDefault="00F6308C">
            <w:pPr>
              <w:pStyle w:val="TableParagraph"/>
              <w:spacing w:before="65"/>
              <w:ind w:right="100"/>
              <w:rPr>
                <w:b/>
                <w:sz w:val="20"/>
              </w:rPr>
            </w:pPr>
            <w:r>
              <w:rPr>
                <w:b/>
                <w:w w:val="95"/>
                <w:sz w:val="20"/>
              </w:rPr>
              <w:t>18,549</w:t>
            </w:r>
          </w:p>
        </w:tc>
        <w:tc>
          <w:tcPr>
            <w:tcW w:w="1277" w:type="dxa"/>
            <w:shd w:val="clear" w:color="auto" w:fill="D9D9D9"/>
          </w:tcPr>
          <w:p w:rsidR="007C5447" w:rsidRDefault="00F6308C">
            <w:pPr>
              <w:pStyle w:val="TableParagraph"/>
              <w:spacing w:before="65"/>
              <w:ind w:right="100"/>
              <w:rPr>
                <w:b/>
                <w:sz w:val="20"/>
              </w:rPr>
            </w:pPr>
            <w:r>
              <w:rPr>
                <w:b/>
                <w:w w:val="95"/>
                <w:sz w:val="20"/>
              </w:rPr>
              <w:t>19,752</w:t>
            </w:r>
          </w:p>
        </w:tc>
        <w:tc>
          <w:tcPr>
            <w:tcW w:w="1278" w:type="dxa"/>
            <w:shd w:val="clear" w:color="auto" w:fill="D9D9D9"/>
          </w:tcPr>
          <w:p w:rsidR="007C5447" w:rsidRDefault="00F6308C">
            <w:pPr>
              <w:pStyle w:val="TableParagraph"/>
              <w:spacing w:before="65"/>
              <w:ind w:right="101"/>
              <w:rPr>
                <w:b/>
                <w:sz w:val="20"/>
              </w:rPr>
            </w:pPr>
            <w:r>
              <w:rPr>
                <w:b/>
                <w:w w:val="95"/>
                <w:sz w:val="20"/>
              </w:rPr>
              <w:t>25,079</w:t>
            </w:r>
          </w:p>
        </w:tc>
        <w:tc>
          <w:tcPr>
            <w:tcW w:w="1275" w:type="dxa"/>
            <w:shd w:val="clear" w:color="auto" w:fill="D9D9D9"/>
          </w:tcPr>
          <w:p w:rsidR="007C5447" w:rsidRDefault="00F6308C">
            <w:pPr>
              <w:pStyle w:val="TableParagraph"/>
              <w:spacing w:before="65"/>
              <w:ind w:right="99"/>
              <w:rPr>
                <w:b/>
                <w:sz w:val="20"/>
              </w:rPr>
            </w:pPr>
            <w:r>
              <w:rPr>
                <w:b/>
                <w:w w:val="95"/>
                <w:sz w:val="20"/>
              </w:rPr>
              <w:t>23,502</w:t>
            </w:r>
          </w:p>
        </w:tc>
      </w:tr>
      <w:tr w:rsidR="007C5447">
        <w:trPr>
          <w:trHeight w:val="359"/>
        </w:trPr>
        <w:tc>
          <w:tcPr>
            <w:tcW w:w="562" w:type="dxa"/>
          </w:tcPr>
          <w:p w:rsidR="007C5447" w:rsidRDefault="00F6308C">
            <w:pPr>
              <w:pStyle w:val="TableParagraph"/>
              <w:spacing w:before="65"/>
              <w:ind w:right="220"/>
              <w:rPr>
                <w:sz w:val="20"/>
              </w:rPr>
            </w:pPr>
            <w:r>
              <w:rPr>
                <w:w w:val="99"/>
                <w:sz w:val="20"/>
              </w:rPr>
              <w:t>1</w:t>
            </w:r>
          </w:p>
        </w:tc>
        <w:tc>
          <w:tcPr>
            <w:tcW w:w="2130" w:type="dxa"/>
          </w:tcPr>
          <w:p w:rsidR="007C5447" w:rsidRDefault="00F6308C">
            <w:pPr>
              <w:pStyle w:val="TableParagraph"/>
              <w:spacing w:before="65"/>
              <w:ind w:left="107"/>
              <w:jc w:val="left"/>
              <w:rPr>
                <w:sz w:val="20"/>
              </w:rPr>
            </w:pPr>
            <w:r>
              <w:rPr>
                <w:sz w:val="20"/>
              </w:rPr>
              <w:t>Tirumakottai GTPS</w:t>
            </w:r>
          </w:p>
        </w:tc>
        <w:tc>
          <w:tcPr>
            <w:tcW w:w="1275" w:type="dxa"/>
          </w:tcPr>
          <w:p w:rsidR="007C5447" w:rsidRDefault="00F6308C">
            <w:pPr>
              <w:pStyle w:val="TableParagraph"/>
              <w:spacing w:before="65"/>
              <w:ind w:right="97"/>
              <w:rPr>
                <w:sz w:val="20"/>
              </w:rPr>
            </w:pPr>
            <w:r>
              <w:rPr>
                <w:sz w:val="20"/>
              </w:rPr>
              <w:t>663</w:t>
            </w:r>
          </w:p>
        </w:tc>
        <w:tc>
          <w:tcPr>
            <w:tcW w:w="1275" w:type="dxa"/>
          </w:tcPr>
          <w:p w:rsidR="007C5447" w:rsidRDefault="00F6308C">
            <w:pPr>
              <w:pStyle w:val="TableParagraph"/>
              <w:spacing w:before="65"/>
              <w:ind w:right="98"/>
              <w:rPr>
                <w:sz w:val="20"/>
              </w:rPr>
            </w:pPr>
            <w:r>
              <w:rPr>
                <w:sz w:val="20"/>
              </w:rPr>
              <w:t>682</w:t>
            </w:r>
          </w:p>
        </w:tc>
        <w:tc>
          <w:tcPr>
            <w:tcW w:w="1277" w:type="dxa"/>
          </w:tcPr>
          <w:p w:rsidR="007C5447" w:rsidRDefault="00F6308C">
            <w:pPr>
              <w:pStyle w:val="TableParagraph"/>
              <w:spacing w:before="65"/>
              <w:ind w:right="98"/>
              <w:rPr>
                <w:sz w:val="20"/>
              </w:rPr>
            </w:pPr>
            <w:r>
              <w:rPr>
                <w:sz w:val="20"/>
              </w:rPr>
              <w:t>456</w:t>
            </w:r>
          </w:p>
        </w:tc>
        <w:tc>
          <w:tcPr>
            <w:tcW w:w="1278" w:type="dxa"/>
          </w:tcPr>
          <w:p w:rsidR="007C5447" w:rsidRDefault="00F6308C">
            <w:pPr>
              <w:pStyle w:val="TableParagraph"/>
              <w:spacing w:before="65"/>
              <w:ind w:right="98"/>
              <w:rPr>
                <w:sz w:val="20"/>
              </w:rPr>
            </w:pPr>
            <w:r>
              <w:rPr>
                <w:sz w:val="20"/>
              </w:rPr>
              <w:t>382</w:t>
            </w:r>
          </w:p>
        </w:tc>
        <w:tc>
          <w:tcPr>
            <w:tcW w:w="1275" w:type="dxa"/>
          </w:tcPr>
          <w:p w:rsidR="007C5447" w:rsidRDefault="00F6308C">
            <w:pPr>
              <w:pStyle w:val="TableParagraph"/>
              <w:spacing w:before="65"/>
              <w:ind w:right="97"/>
              <w:rPr>
                <w:sz w:val="20"/>
              </w:rPr>
            </w:pPr>
            <w:r>
              <w:rPr>
                <w:sz w:val="20"/>
              </w:rPr>
              <w:t>363</w:t>
            </w:r>
          </w:p>
        </w:tc>
      </w:tr>
      <w:tr w:rsidR="007C5447">
        <w:trPr>
          <w:trHeight w:val="360"/>
        </w:trPr>
        <w:tc>
          <w:tcPr>
            <w:tcW w:w="562" w:type="dxa"/>
          </w:tcPr>
          <w:p w:rsidR="007C5447" w:rsidRDefault="00F6308C">
            <w:pPr>
              <w:pStyle w:val="TableParagraph"/>
              <w:spacing w:before="65"/>
              <w:ind w:right="220"/>
              <w:rPr>
                <w:sz w:val="20"/>
              </w:rPr>
            </w:pPr>
            <w:r>
              <w:rPr>
                <w:w w:val="99"/>
                <w:sz w:val="20"/>
              </w:rPr>
              <w:t>2</w:t>
            </w:r>
          </w:p>
        </w:tc>
        <w:tc>
          <w:tcPr>
            <w:tcW w:w="2130" w:type="dxa"/>
          </w:tcPr>
          <w:p w:rsidR="007C5447" w:rsidRDefault="00F6308C">
            <w:pPr>
              <w:pStyle w:val="TableParagraph"/>
              <w:spacing w:before="65"/>
              <w:ind w:left="107"/>
              <w:jc w:val="left"/>
              <w:rPr>
                <w:sz w:val="20"/>
              </w:rPr>
            </w:pPr>
            <w:r>
              <w:rPr>
                <w:sz w:val="20"/>
              </w:rPr>
              <w:t>Kuttalam GTPS</w:t>
            </w:r>
          </w:p>
        </w:tc>
        <w:tc>
          <w:tcPr>
            <w:tcW w:w="1275" w:type="dxa"/>
          </w:tcPr>
          <w:p w:rsidR="007C5447" w:rsidRDefault="00F6308C">
            <w:pPr>
              <w:pStyle w:val="TableParagraph"/>
              <w:spacing w:before="65"/>
              <w:ind w:right="97"/>
              <w:rPr>
                <w:sz w:val="20"/>
              </w:rPr>
            </w:pPr>
            <w:r>
              <w:rPr>
                <w:sz w:val="20"/>
              </w:rPr>
              <w:t>385</w:t>
            </w:r>
          </w:p>
        </w:tc>
        <w:tc>
          <w:tcPr>
            <w:tcW w:w="1275" w:type="dxa"/>
          </w:tcPr>
          <w:p w:rsidR="007C5447" w:rsidRDefault="00F6308C">
            <w:pPr>
              <w:pStyle w:val="TableParagraph"/>
              <w:spacing w:before="65"/>
              <w:ind w:right="98"/>
              <w:rPr>
                <w:sz w:val="20"/>
              </w:rPr>
            </w:pPr>
            <w:r>
              <w:rPr>
                <w:sz w:val="20"/>
              </w:rPr>
              <w:t>51</w:t>
            </w:r>
          </w:p>
        </w:tc>
        <w:tc>
          <w:tcPr>
            <w:tcW w:w="1277" w:type="dxa"/>
          </w:tcPr>
          <w:p w:rsidR="007C5447" w:rsidRDefault="00F6308C">
            <w:pPr>
              <w:pStyle w:val="TableParagraph"/>
              <w:spacing w:before="65"/>
              <w:ind w:right="98"/>
              <w:rPr>
                <w:sz w:val="20"/>
              </w:rPr>
            </w:pPr>
            <w:r>
              <w:rPr>
                <w:sz w:val="20"/>
              </w:rPr>
              <w:t>594</w:t>
            </w:r>
          </w:p>
        </w:tc>
        <w:tc>
          <w:tcPr>
            <w:tcW w:w="1278" w:type="dxa"/>
          </w:tcPr>
          <w:p w:rsidR="007C5447" w:rsidRDefault="00F6308C">
            <w:pPr>
              <w:pStyle w:val="TableParagraph"/>
              <w:spacing w:before="65"/>
              <w:ind w:right="98"/>
              <w:rPr>
                <w:sz w:val="20"/>
              </w:rPr>
            </w:pPr>
            <w:r>
              <w:rPr>
                <w:sz w:val="20"/>
              </w:rPr>
              <w:t>459</w:t>
            </w:r>
          </w:p>
        </w:tc>
        <w:tc>
          <w:tcPr>
            <w:tcW w:w="1275" w:type="dxa"/>
          </w:tcPr>
          <w:p w:rsidR="007C5447" w:rsidRDefault="00F6308C">
            <w:pPr>
              <w:pStyle w:val="TableParagraph"/>
              <w:spacing w:before="65"/>
              <w:ind w:right="97"/>
              <w:rPr>
                <w:sz w:val="20"/>
              </w:rPr>
            </w:pPr>
            <w:r>
              <w:rPr>
                <w:sz w:val="20"/>
              </w:rPr>
              <w:t>552</w:t>
            </w:r>
          </w:p>
        </w:tc>
      </w:tr>
      <w:tr w:rsidR="007C5447">
        <w:trPr>
          <w:trHeight w:val="359"/>
        </w:trPr>
        <w:tc>
          <w:tcPr>
            <w:tcW w:w="562" w:type="dxa"/>
          </w:tcPr>
          <w:p w:rsidR="007C5447" w:rsidRDefault="00F6308C">
            <w:pPr>
              <w:pStyle w:val="TableParagraph"/>
              <w:spacing w:before="65"/>
              <w:ind w:right="220"/>
              <w:rPr>
                <w:sz w:val="20"/>
              </w:rPr>
            </w:pPr>
            <w:r>
              <w:rPr>
                <w:w w:val="99"/>
                <w:sz w:val="20"/>
              </w:rPr>
              <w:t>3</w:t>
            </w:r>
          </w:p>
        </w:tc>
        <w:tc>
          <w:tcPr>
            <w:tcW w:w="2130" w:type="dxa"/>
          </w:tcPr>
          <w:p w:rsidR="007C5447" w:rsidRDefault="00F6308C">
            <w:pPr>
              <w:pStyle w:val="TableParagraph"/>
              <w:spacing w:before="65"/>
              <w:ind w:left="107"/>
              <w:jc w:val="left"/>
              <w:rPr>
                <w:sz w:val="20"/>
              </w:rPr>
            </w:pPr>
            <w:r>
              <w:rPr>
                <w:sz w:val="20"/>
              </w:rPr>
              <w:t>Basin Bridge GTPS</w:t>
            </w:r>
          </w:p>
        </w:tc>
        <w:tc>
          <w:tcPr>
            <w:tcW w:w="1275" w:type="dxa"/>
          </w:tcPr>
          <w:p w:rsidR="007C5447" w:rsidRDefault="00F6308C">
            <w:pPr>
              <w:pStyle w:val="TableParagraph"/>
              <w:spacing w:before="65"/>
              <w:ind w:right="97"/>
              <w:rPr>
                <w:sz w:val="20"/>
              </w:rPr>
            </w:pPr>
            <w:r>
              <w:rPr>
                <w:sz w:val="20"/>
              </w:rPr>
              <w:t>29</w:t>
            </w:r>
          </w:p>
        </w:tc>
        <w:tc>
          <w:tcPr>
            <w:tcW w:w="1275" w:type="dxa"/>
          </w:tcPr>
          <w:p w:rsidR="007C5447" w:rsidRDefault="00F6308C">
            <w:pPr>
              <w:pStyle w:val="TableParagraph"/>
              <w:spacing w:before="65"/>
              <w:ind w:right="99"/>
              <w:rPr>
                <w:sz w:val="20"/>
              </w:rPr>
            </w:pPr>
            <w:r>
              <w:rPr>
                <w:w w:val="99"/>
                <w:sz w:val="20"/>
              </w:rPr>
              <w:t>0</w:t>
            </w:r>
          </w:p>
        </w:tc>
        <w:tc>
          <w:tcPr>
            <w:tcW w:w="1277" w:type="dxa"/>
          </w:tcPr>
          <w:p w:rsidR="007C5447" w:rsidRDefault="00F6308C">
            <w:pPr>
              <w:pStyle w:val="TableParagraph"/>
              <w:spacing w:before="65"/>
              <w:ind w:right="99"/>
              <w:rPr>
                <w:sz w:val="20"/>
              </w:rPr>
            </w:pPr>
            <w:r>
              <w:rPr>
                <w:w w:val="99"/>
                <w:sz w:val="20"/>
              </w:rPr>
              <w:t>1</w:t>
            </w:r>
          </w:p>
        </w:tc>
        <w:tc>
          <w:tcPr>
            <w:tcW w:w="1278" w:type="dxa"/>
          </w:tcPr>
          <w:p w:rsidR="007C5447" w:rsidRDefault="00F6308C">
            <w:pPr>
              <w:pStyle w:val="TableParagraph"/>
              <w:spacing w:before="65"/>
              <w:ind w:right="100"/>
              <w:rPr>
                <w:sz w:val="20"/>
              </w:rPr>
            </w:pPr>
            <w:r>
              <w:rPr>
                <w:w w:val="99"/>
                <w:sz w:val="20"/>
              </w:rPr>
              <w:t>3</w:t>
            </w:r>
          </w:p>
        </w:tc>
        <w:tc>
          <w:tcPr>
            <w:tcW w:w="1275" w:type="dxa"/>
          </w:tcPr>
          <w:p w:rsidR="007C5447" w:rsidRDefault="00F6308C">
            <w:pPr>
              <w:pStyle w:val="TableParagraph"/>
              <w:spacing w:before="65"/>
              <w:ind w:right="97"/>
              <w:rPr>
                <w:sz w:val="20"/>
              </w:rPr>
            </w:pPr>
            <w:r>
              <w:rPr>
                <w:sz w:val="20"/>
              </w:rPr>
              <w:t>11</w:t>
            </w:r>
          </w:p>
        </w:tc>
      </w:tr>
      <w:tr w:rsidR="007C5447">
        <w:trPr>
          <w:trHeight w:val="359"/>
        </w:trPr>
        <w:tc>
          <w:tcPr>
            <w:tcW w:w="562" w:type="dxa"/>
          </w:tcPr>
          <w:p w:rsidR="007C5447" w:rsidRDefault="00F6308C">
            <w:pPr>
              <w:pStyle w:val="TableParagraph"/>
              <w:spacing w:before="65"/>
              <w:ind w:right="220"/>
              <w:rPr>
                <w:sz w:val="20"/>
              </w:rPr>
            </w:pPr>
            <w:r>
              <w:rPr>
                <w:w w:val="99"/>
                <w:sz w:val="20"/>
              </w:rPr>
              <w:t>4</w:t>
            </w:r>
          </w:p>
        </w:tc>
        <w:tc>
          <w:tcPr>
            <w:tcW w:w="2130" w:type="dxa"/>
          </w:tcPr>
          <w:p w:rsidR="007C5447" w:rsidRDefault="00F6308C">
            <w:pPr>
              <w:pStyle w:val="TableParagraph"/>
              <w:spacing w:before="65"/>
              <w:ind w:left="107"/>
              <w:jc w:val="left"/>
              <w:rPr>
                <w:sz w:val="20"/>
              </w:rPr>
            </w:pPr>
            <w:r>
              <w:rPr>
                <w:sz w:val="20"/>
              </w:rPr>
              <w:t>Valathur GTPS Unit 1</w:t>
            </w:r>
          </w:p>
        </w:tc>
        <w:tc>
          <w:tcPr>
            <w:tcW w:w="1275" w:type="dxa"/>
          </w:tcPr>
          <w:p w:rsidR="007C5447" w:rsidRDefault="00F6308C">
            <w:pPr>
              <w:pStyle w:val="TableParagraph"/>
              <w:spacing w:before="65"/>
              <w:ind w:right="97"/>
              <w:rPr>
                <w:sz w:val="20"/>
              </w:rPr>
            </w:pPr>
            <w:r>
              <w:rPr>
                <w:sz w:val="20"/>
              </w:rPr>
              <w:t>619</w:t>
            </w:r>
          </w:p>
        </w:tc>
        <w:tc>
          <w:tcPr>
            <w:tcW w:w="1275" w:type="dxa"/>
          </w:tcPr>
          <w:p w:rsidR="007C5447" w:rsidRDefault="00F6308C">
            <w:pPr>
              <w:pStyle w:val="TableParagraph"/>
              <w:spacing w:before="65"/>
              <w:ind w:right="98"/>
              <w:rPr>
                <w:sz w:val="20"/>
              </w:rPr>
            </w:pPr>
            <w:r>
              <w:rPr>
                <w:sz w:val="20"/>
              </w:rPr>
              <w:t>424</w:t>
            </w:r>
          </w:p>
        </w:tc>
        <w:tc>
          <w:tcPr>
            <w:tcW w:w="1277" w:type="dxa"/>
          </w:tcPr>
          <w:p w:rsidR="007C5447" w:rsidRDefault="00F6308C">
            <w:pPr>
              <w:pStyle w:val="TableParagraph"/>
              <w:spacing w:before="65"/>
              <w:ind w:right="98"/>
              <w:rPr>
                <w:sz w:val="20"/>
              </w:rPr>
            </w:pPr>
            <w:r>
              <w:rPr>
                <w:sz w:val="20"/>
              </w:rPr>
              <w:t>687</w:t>
            </w:r>
          </w:p>
        </w:tc>
        <w:tc>
          <w:tcPr>
            <w:tcW w:w="1278" w:type="dxa"/>
            <w:vMerge w:val="restart"/>
          </w:tcPr>
          <w:p w:rsidR="007C5447" w:rsidRDefault="00F6308C">
            <w:pPr>
              <w:pStyle w:val="TableParagraph"/>
              <w:spacing w:before="134"/>
              <w:ind w:right="98"/>
              <w:rPr>
                <w:sz w:val="20"/>
              </w:rPr>
            </w:pPr>
            <w:r>
              <w:rPr>
                <w:sz w:val="20"/>
              </w:rPr>
              <w:t>996</w:t>
            </w:r>
          </w:p>
        </w:tc>
        <w:tc>
          <w:tcPr>
            <w:tcW w:w="1275" w:type="dxa"/>
            <w:vMerge w:val="restart"/>
          </w:tcPr>
          <w:p w:rsidR="007C5447" w:rsidRDefault="007C5447">
            <w:pPr>
              <w:pStyle w:val="TableParagraph"/>
              <w:spacing w:before="8"/>
              <w:jc w:val="left"/>
              <w:rPr>
                <w:b/>
                <w:sz w:val="21"/>
              </w:rPr>
            </w:pPr>
          </w:p>
          <w:p w:rsidR="007C5447" w:rsidRDefault="00F6308C">
            <w:pPr>
              <w:pStyle w:val="TableParagraph"/>
              <w:ind w:right="94"/>
              <w:rPr>
                <w:sz w:val="20"/>
              </w:rPr>
            </w:pPr>
            <w:r>
              <w:rPr>
                <w:sz w:val="20"/>
              </w:rPr>
              <w:t>680</w:t>
            </w:r>
          </w:p>
        </w:tc>
      </w:tr>
      <w:tr w:rsidR="007C5447">
        <w:trPr>
          <w:trHeight w:val="361"/>
        </w:trPr>
        <w:tc>
          <w:tcPr>
            <w:tcW w:w="562" w:type="dxa"/>
          </w:tcPr>
          <w:p w:rsidR="007C5447" w:rsidRDefault="00F6308C">
            <w:pPr>
              <w:pStyle w:val="TableParagraph"/>
              <w:spacing w:before="65"/>
              <w:ind w:right="220"/>
              <w:rPr>
                <w:sz w:val="20"/>
              </w:rPr>
            </w:pPr>
            <w:r>
              <w:rPr>
                <w:w w:val="99"/>
                <w:sz w:val="20"/>
              </w:rPr>
              <w:t>5</w:t>
            </w:r>
          </w:p>
        </w:tc>
        <w:tc>
          <w:tcPr>
            <w:tcW w:w="2130" w:type="dxa"/>
          </w:tcPr>
          <w:p w:rsidR="007C5447" w:rsidRDefault="00F6308C">
            <w:pPr>
              <w:pStyle w:val="TableParagraph"/>
              <w:spacing w:before="65"/>
              <w:ind w:left="107"/>
              <w:jc w:val="left"/>
              <w:rPr>
                <w:sz w:val="20"/>
              </w:rPr>
            </w:pPr>
            <w:r>
              <w:rPr>
                <w:sz w:val="20"/>
              </w:rPr>
              <w:t>Valathur GTPS Unit 2</w:t>
            </w:r>
          </w:p>
        </w:tc>
        <w:tc>
          <w:tcPr>
            <w:tcW w:w="1275" w:type="dxa"/>
          </w:tcPr>
          <w:p w:rsidR="007C5447" w:rsidRDefault="00F6308C">
            <w:pPr>
              <w:pStyle w:val="TableParagraph"/>
              <w:spacing w:before="65"/>
              <w:ind w:right="97"/>
              <w:rPr>
                <w:sz w:val="20"/>
              </w:rPr>
            </w:pPr>
            <w:r>
              <w:rPr>
                <w:sz w:val="20"/>
              </w:rPr>
              <w:t>426</w:t>
            </w:r>
          </w:p>
        </w:tc>
        <w:tc>
          <w:tcPr>
            <w:tcW w:w="1275" w:type="dxa"/>
          </w:tcPr>
          <w:p w:rsidR="007C5447" w:rsidRDefault="00F6308C">
            <w:pPr>
              <w:pStyle w:val="TableParagraph"/>
              <w:spacing w:before="65"/>
              <w:ind w:right="98"/>
              <w:rPr>
                <w:sz w:val="20"/>
              </w:rPr>
            </w:pPr>
            <w:r>
              <w:rPr>
                <w:sz w:val="20"/>
              </w:rPr>
              <w:t>461</w:t>
            </w:r>
          </w:p>
        </w:tc>
        <w:tc>
          <w:tcPr>
            <w:tcW w:w="1277" w:type="dxa"/>
          </w:tcPr>
          <w:p w:rsidR="007C5447" w:rsidRDefault="00F6308C">
            <w:pPr>
              <w:pStyle w:val="TableParagraph"/>
              <w:spacing w:before="65"/>
              <w:ind w:right="98"/>
              <w:rPr>
                <w:sz w:val="20"/>
              </w:rPr>
            </w:pPr>
            <w:r>
              <w:rPr>
                <w:sz w:val="20"/>
              </w:rPr>
              <w:t>494</w:t>
            </w:r>
          </w:p>
        </w:tc>
        <w:tc>
          <w:tcPr>
            <w:tcW w:w="1278" w:type="dxa"/>
            <w:vMerge/>
            <w:tcBorders>
              <w:top w:val="nil"/>
            </w:tcBorders>
          </w:tcPr>
          <w:p w:rsidR="007C5447" w:rsidRDefault="007C5447">
            <w:pPr>
              <w:rPr>
                <w:sz w:val="2"/>
                <w:szCs w:val="2"/>
              </w:rPr>
            </w:pPr>
          </w:p>
        </w:tc>
        <w:tc>
          <w:tcPr>
            <w:tcW w:w="1275" w:type="dxa"/>
            <w:vMerge/>
            <w:tcBorders>
              <w:top w:val="nil"/>
            </w:tcBorders>
          </w:tcPr>
          <w:p w:rsidR="007C5447" w:rsidRDefault="007C5447">
            <w:pPr>
              <w:rPr>
                <w:sz w:val="2"/>
                <w:szCs w:val="2"/>
              </w:rPr>
            </w:pPr>
          </w:p>
        </w:tc>
      </w:tr>
      <w:tr w:rsidR="007C5447">
        <w:trPr>
          <w:trHeight w:val="359"/>
        </w:trPr>
        <w:tc>
          <w:tcPr>
            <w:tcW w:w="562" w:type="dxa"/>
            <w:shd w:val="clear" w:color="auto" w:fill="D9D9D9"/>
          </w:tcPr>
          <w:p w:rsidR="007C5447" w:rsidRDefault="007C5447">
            <w:pPr>
              <w:pStyle w:val="TableParagraph"/>
              <w:jc w:val="left"/>
            </w:pPr>
          </w:p>
        </w:tc>
        <w:tc>
          <w:tcPr>
            <w:tcW w:w="2130" w:type="dxa"/>
            <w:shd w:val="clear" w:color="auto" w:fill="D9D9D9"/>
          </w:tcPr>
          <w:p w:rsidR="007C5447" w:rsidRDefault="00F6308C">
            <w:pPr>
              <w:pStyle w:val="TableParagraph"/>
              <w:spacing w:before="65"/>
              <w:ind w:left="107"/>
              <w:jc w:val="left"/>
              <w:rPr>
                <w:b/>
                <w:sz w:val="20"/>
              </w:rPr>
            </w:pPr>
            <w:r>
              <w:rPr>
                <w:b/>
                <w:sz w:val="20"/>
              </w:rPr>
              <w:t>Total Gas</w:t>
            </w:r>
          </w:p>
        </w:tc>
        <w:tc>
          <w:tcPr>
            <w:tcW w:w="1275" w:type="dxa"/>
            <w:shd w:val="clear" w:color="auto" w:fill="D9D9D9"/>
          </w:tcPr>
          <w:p w:rsidR="007C5447" w:rsidRDefault="00F6308C">
            <w:pPr>
              <w:pStyle w:val="TableParagraph"/>
              <w:spacing w:before="65"/>
              <w:ind w:right="99"/>
              <w:rPr>
                <w:b/>
                <w:sz w:val="20"/>
              </w:rPr>
            </w:pPr>
            <w:r>
              <w:rPr>
                <w:b/>
                <w:w w:val="95"/>
                <w:sz w:val="20"/>
              </w:rPr>
              <w:t>2,122</w:t>
            </w:r>
          </w:p>
        </w:tc>
        <w:tc>
          <w:tcPr>
            <w:tcW w:w="1275" w:type="dxa"/>
            <w:shd w:val="clear" w:color="auto" w:fill="D9D9D9"/>
          </w:tcPr>
          <w:p w:rsidR="007C5447" w:rsidRDefault="00F6308C">
            <w:pPr>
              <w:pStyle w:val="TableParagraph"/>
              <w:spacing w:before="65"/>
              <w:ind w:right="100"/>
              <w:rPr>
                <w:b/>
                <w:sz w:val="20"/>
              </w:rPr>
            </w:pPr>
            <w:r>
              <w:rPr>
                <w:b/>
                <w:w w:val="95"/>
                <w:sz w:val="20"/>
              </w:rPr>
              <w:t>1,618</w:t>
            </w:r>
          </w:p>
        </w:tc>
        <w:tc>
          <w:tcPr>
            <w:tcW w:w="1277" w:type="dxa"/>
            <w:shd w:val="clear" w:color="auto" w:fill="D9D9D9"/>
          </w:tcPr>
          <w:p w:rsidR="007C5447" w:rsidRDefault="00F6308C">
            <w:pPr>
              <w:pStyle w:val="TableParagraph"/>
              <w:spacing w:before="65"/>
              <w:ind w:right="100"/>
              <w:rPr>
                <w:b/>
                <w:sz w:val="20"/>
              </w:rPr>
            </w:pPr>
            <w:r>
              <w:rPr>
                <w:b/>
                <w:sz w:val="20"/>
              </w:rPr>
              <w:t>2,232</w:t>
            </w:r>
          </w:p>
        </w:tc>
        <w:tc>
          <w:tcPr>
            <w:tcW w:w="1278" w:type="dxa"/>
            <w:shd w:val="clear" w:color="auto" w:fill="D9D9D9"/>
          </w:tcPr>
          <w:p w:rsidR="007C5447" w:rsidRDefault="00F6308C">
            <w:pPr>
              <w:pStyle w:val="TableParagraph"/>
              <w:spacing w:before="65"/>
              <w:ind w:right="101"/>
              <w:rPr>
                <w:b/>
                <w:sz w:val="20"/>
              </w:rPr>
            </w:pPr>
            <w:r>
              <w:rPr>
                <w:b/>
                <w:sz w:val="20"/>
              </w:rPr>
              <w:t>1,840</w:t>
            </w:r>
          </w:p>
        </w:tc>
        <w:tc>
          <w:tcPr>
            <w:tcW w:w="1275" w:type="dxa"/>
            <w:shd w:val="clear" w:color="auto" w:fill="D9D9D9"/>
          </w:tcPr>
          <w:p w:rsidR="007C5447" w:rsidRDefault="00F6308C">
            <w:pPr>
              <w:pStyle w:val="TableParagraph"/>
              <w:spacing w:before="65"/>
              <w:ind w:right="98"/>
              <w:rPr>
                <w:b/>
                <w:sz w:val="20"/>
              </w:rPr>
            </w:pPr>
            <w:r>
              <w:rPr>
                <w:b/>
                <w:sz w:val="20"/>
              </w:rPr>
              <w:t>1,606</w:t>
            </w:r>
          </w:p>
        </w:tc>
      </w:tr>
      <w:tr w:rsidR="007C5447">
        <w:trPr>
          <w:trHeight w:val="359"/>
        </w:trPr>
        <w:tc>
          <w:tcPr>
            <w:tcW w:w="562" w:type="dxa"/>
          </w:tcPr>
          <w:p w:rsidR="007C5447" w:rsidRDefault="007C5447">
            <w:pPr>
              <w:pStyle w:val="TableParagraph"/>
              <w:jc w:val="left"/>
            </w:pPr>
          </w:p>
        </w:tc>
        <w:tc>
          <w:tcPr>
            <w:tcW w:w="2130" w:type="dxa"/>
          </w:tcPr>
          <w:p w:rsidR="007C5447" w:rsidRDefault="00F6308C">
            <w:pPr>
              <w:pStyle w:val="TableParagraph"/>
              <w:spacing w:before="65"/>
              <w:ind w:left="107"/>
              <w:jc w:val="left"/>
              <w:rPr>
                <w:sz w:val="20"/>
              </w:rPr>
            </w:pPr>
            <w:r>
              <w:rPr>
                <w:sz w:val="20"/>
              </w:rPr>
              <w:t>Hydro</w:t>
            </w:r>
          </w:p>
        </w:tc>
        <w:tc>
          <w:tcPr>
            <w:tcW w:w="1275" w:type="dxa"/>
          </w:tcPr>
          <w:p w:rsidR="007C5447" w:rsidRDefault="00F6308C">
            <w:pPr>
              <w:pStyle w:val="TableParagraph"/>
              <w:spacing w:before="65"/>
              <w:ind w:right="99"/>
              <w:rPr>
                <w:sz w:val="20"/>
              </w:rPr>
            </w:pPr>
            <w:r>
              <w:rPr>
                <w:w w:val="95"/>
                <w:sz w:val="20"/>
              </w:rPr>
              <w:t>4,788</w:t>
            </w:r>
          </w:p>
        </w:tc>
        <w:tc>
          <w:tcPr>
            <w:tcW w:w="1275" w:type="dxa"/>
          </w:tcPr>
          <w:p w:rsidR="007C5447" w:rsidRDefault="00F6308C">
            <w:pPr>
              <w:pStyle w:val="TableParagraph"/>
              <w:spacing w:before="65"/>
              <w:ind w:right="100"/>
              <w:rPr>
                <w:sz w:val="20"/>
              </w:rPr>
            </w:pPr>
            <w:r>
              <w:rPr>
                <w:w w:val="95"/>
                <w:sz w:val="20"/>
              </w:rPr>
              <w:t>2,717</w:t>
            </w:r>
          </w:p>
        </w:tc>
        <w:tc>
          <w:tcPr>
            <w:tcW w:w="1277" w:type="dxa"/>
          </w:tcPr>
          <w:p w:rsidR="007C5447" w:rsidRDefault="00F6308C">
            <w:pPr>
              <w:pStyle w:val="TableParagraph"/>
              <w:spacing w:before="65"/>
              <w:ind w:right="100"/>
              <w:rPr>
                <w:sz w:val="20"/>
              </w:rPr>
            </w:pPr>
            <w:r>
              <w:rPr>
                <w:sz w:val="20"/>
              </w:rPr>
              <w:t>4,612</w:t>
            </w:r>
          </w:p>
        </w:tc>
        <w:tc>
          <w:tcPr>
            <w:tcW w:w="1278" w:type="dxa"/>
          </w:tcPr>
          <w:p w:rsidR="007C5447" w:rsidRDefault="00F6308C">
            <w:pPr>
              <w:pStyle w:val="TableParagraph"/>
              <w:spacing w:before="65"/>
              <w:ind w:right="100"/>
              <w:rPr>
                <w:sz w:val="20"/>
              </w:rPr>
            </w:pPr>
            <w:r>
              <w:rPr>
                <w:w w:val="95"/>
                <w:sz w:val="20"/>
              </w:rPr>
              <w:t>5,165</w:t>
            </w:r>
          </w:p>
        </w:tc>
        <w:tc>
          <w:tcPr>
            <w:tcW w:w="1275" w:type="dxa"/>
          </w:tcPr>
          <w:p w:rsidR="007C5447" w:rsidRDefault="00F6308C">
            <w:pPr>
              <w:pStyle w:val="TableParagraph"/>
              <w:spacing w:before="65"/>
              <w:ind w:right="98"/>
              <w:rPr>
                <w:sz w:val="20"/>
              </w:rPr>
            </w:pPr>
            <w:r>
              <w:rPr>
                <w:sz w:val="20"/>
              </w:rPr>
              <w:t>4,438</w:t>
            </w:r>
          </w:p>
        </w:tc>
      </w:tr>
    </w:tbl>
    <w:p w:rsidR="007C5447" w:rsidRDefault="007C5447">
      <w:pPr>
        <w:rPr>
          <w:sz w:val="20"/>
        </w:rPr>
        <w:sectPr w:rsidR="007C5447">
          <w:footerReference w:type="default" r:id="rId13"/>
          <w:pgSz w:w="11910" w:h="16840"/>
          <w:pgMar w:top="1480" w:right="560" w:bottom="1240" w:left="760" w:header="0" w:footer="1057" w:gutter="0"/>
          <w:pgNumType w:start="82"/>
          <w:cols w:space="720"/>
        </w:sect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2130"/>
        <w:gridCol w:w="1275"/>
        <w:gridCol w:w="1275"/>
        <w:gridCol w:w="1277"/>
        <w:gridCol w:w="1278"/>
        <w:gridCol w:w="1275"/>
      </w:tblGrid>
      <w:tr w:rsidR="007C5447">
        <w:trPr>
          <w:trHeight w:val="360"/>
        </w:trPr>
        <w:tc>
          <w:tcPr>
            <w:tcW w:w="562" w:type="dxa"/>
            <w:shd w:val="clear" w:color="auto" w:fill="F7C9AC"/>
          </w:tcPr>
          <w:p w:rsidR="007C5447" w:rsidRDefault="00F6308C">
            <w:pPr>
              <w:pStyle w:val="TableParagraph"/>
              <w:spacing w:before="65"/>
              <w:ind w:right="227"/>
              <w:rPr>
                <w:b/>
                <w:sz w:val="20"/>
              </w:rPr>
            </w:pPr>
            <w:r>
              <w:rPr>
                <w:b/>
                <w:w w:val="95"/>
                <w:sz w:val="20"/>
              </w:rPr>
              <w:lastRenderedPageBreak/>
              <w:t>Sl.</w:t>
            </w:r>
          </w:p>
        </w:tc>
        <w:tc>
          <w:tcPr>
            <w:tcW w:w="2130" w:type="dxa"/>
            <w:shd w:val="clear" w:color="auto" w:fill="F7C9AC"/>
          </w:tcPr>
          <w:p w:rsidR="007C5447" w:rsidRDefault="00F6308C">
            <w:pPr>
              <w:pStyle w:val="TableParagraph"/>
              <w:spacing w:before="65"/>
              <w:ind w:left="107"/>
              <w:jc w:val="left"/>
              <w:rPr>
                <w:b/>
                <w:sz w:val="20"/>
              </w:rPr>
            </w:pPr>
            <w:r>
              <w:rPr>
                <w:b/>
                <w:sz w:val="20"/>
              </w:rPr>
              <w:t>Station</w:t>
            </w:r>
          </w:p>
        </w:tc>
        <w:tc>
          <w:tcPr>
            <w:tcW w:w="1275" w:type="dxa"/>
            <w:shd w:val="clear" w:color="auto" w:fill="F7C9AC"/>
          </w:tcPr>
          <w:p w:rsidR="007C5447" w:rsidRDefault="00F6308C">
            <w:pPr>
              <w:pStyle w:val="TableParagraph"/>
              <w:spacing w:before="65"/>
              <w:ind w:right="133"/>
              <w:rPr>
                <w:b/>
                <w:sz w:val="20"/>
              </w:rPr>
            </w:pPr>
            <w:r>
              <w:rPr>
                <w:b/>
                <w:sz w:val="20"/>
              </w:rPr>
              <w:t>FY 2011-12</w:t>
            </w:r>
          </w:p>
        </w:tc>
        <w:tc>
          <w:tcPr>
            <w:tcW w:w="1275" w:type="dxa"/>
            <w:shd w:val="clear" w:color="auto" w:fill="F7C9AC"/>
          </w:tcPr>
          <w:p w:rsidR="007C5447" w:rsidRDefault="00F6308C">
            <w:pPr>
              <w:pStyle w:val="TableParagraph"/>
              <w:spacing w:before="65"/>
              <w:ind w:right="134"/>
              <w:rPr>
                <w:b/>
                <w:sz w:val="20"/>
              </w:rPr>
            </w:pPr>
            <w:r>
              <w:rPr>
                <w:b/>
                <w:sz w:val="20"/>
              </w:rPr>
              <w:t>FY 2012-13</w:t>
            </w:r>
          </w:p>
        </w:tc>
        <w:tc>
          <w:tcPr>
            <w:tcW w:w="1277" w:type="dxa"/>
            <w:shd w:val="clear" w:color="auto" w:fill="F7C9AC"/>
          </w:tcPr>
          <w:p w:rsidR="007C5447" w:rsidRDefault="00F6308C">
            <w:pPr>
              <w:pStyle w:val="TableParagraph"/>
              <w:spacing w:before="65"/>
              <w:ind w:right="134"/>
              <w:rPr>
                <w:b/>
                <w:sz w:val="20"/>
              </w:rPr>
            </w:pPr>
            <w:r>
              <w:rPr>
                <w:b/>
                <w:sz w:val="20"/>
              </w:rPr>
              <w:t>FY 2013-14</w:t>
            </w:r>
          </w:p>
        </w:tc>
        <w:tc>
          <w:tcPr>
            <w:tcW w:w="1278" w:type="dxa"/>
            <w:shd w:val="clear" w:color="auto" w:fill="F7C9AC"/>
          </w:tcPr>
          <w:p w:rsidR="007C5447" w:rsidRDefault="00F6308C">
            <w:pPr>
              <w:pStyle w:val="TableParagraph"/>
              <w:spacing w:before="65"/>
              <w:ind w:right="134"/>
              <w:rPr>
                <w:b/>
                <w:sz w:val="20"/>
              </w:rPr>
            </w:pPr>
            <w:r>
              <w:rPr>
                <w:b/>
                <w:sz w:val="20"/>
              </w:rPr>
              <w:t>FY 2014-15</w:t>
            </w:r>
          </w:p>
        </w:tc>
        <w:tc>
          <w:tcPr>
            <w:tcW w:w="1275" w:type="dxa"/>
            <w:shd w:val="clear" w:color="auto" w:fill="F7C9AC"/>
          </w:tcPr>
          <w:p w:rsidR="007C5447" w:rsidRDefault="00F6308C">
            <w:pPr>
              <w:pStyle w:val="TableParagraph"/>
              <w:spacing w:before="65"/>
              <w:ind w:right="133"/>
              <w:rPr>
                <w:b/>
                <w:sz w:val="20"/>
              </w:rPr>
            </w:pPr>
            <w:r>
              <w:rPr>
                <w:b/>
                <w:sz w:val="20"/>
              </w:rPr>
              <w:t>FY 2015-16</w:t>
            </w:r>
          </w:p>
        </w:tc>
      </w:tr>
      <w:tr w:rsidR="007C5447">
        <w:trPr>
          <w:trHeight w:val="359"/>
        </w:trPr>
        <w:tc>
          <w:tcPr>
            <w:tcW w:w="562" w:type="dxa"/>
          </w:tcPr>
          <w:p w:rsidR="007C5447" w:rsidRDefault="00F6308C">
            <w:pPr>
              <w:pStyle w:val="TableParagraph"/>
              <w:spacing w:before="65"/>
              <w:ind w:right="220"/>
              <w:rPr>
                <w:sz w:val="20"/>
              </w:rPr>
            </w:pPr>
            <w:r>
              <w:rPr>
                <w:w w:val="99"/>
                <w:sz w:val="20"/>
              </w:rPr>
              <w:t>1</w:t>
            </w:r>
          </w:p>
        </w:tc>
        <w:tc>
          <w:tcPr>
            <w:tcW w:w="2130" w:type="dxa"/>
          </w:tcPr>
          <w:p w:rsidR="007C5447" w:rsidRDefault="00F6308C">
            <w:pPr>
              <w:pStyle w:val="TableParagraph"/>
              <w:spacing w:before="65"/>
              <w:ind w:left="107"/>
              <w:jc w:val="left"/>
              <w:rPr>
                <w:sz w:val="20"/>
              </w:rPr>
            </w:pPr>
            <w:r>
              <w:rPr>
                <w:sz w:val="20"/>
              </w:rPr>
              <w:t>Wind</w:t>
            </w:r>
          </w:p>
        </w:tc>
        <w:tc>
          <w:tcPr>
            <w:tcW w:w="1275" w:type="dxa"/>
          </w:tcPr>
          <w:p w:rsidR="007C5447" w:rsidRDefault="00F6308C">
            <w:pPr>
              <w:pStyle w:val="TableParagraph"/>
              <w:spacing w:before="65"/>
              <w:ind w:right="97"/>
              <w:rPr>
                <w:sz w:val="20"/>
              </w:rPr>
            </w:pPr>
            <w:r>
              <w:rPr>
                <w:sz w:val="20"/>
              </w:rPr>
              <w:t>12</w:t>
            </w:r>
          </w:p>
        </w:tc>
        <w:tc>
          <w:tcPr>
            <w:tcW w:w="1275" w:type="dxa"/>
          </w:tcPr>
          <w:p w:rsidR="007C5447" w:rsidRDefault="00F6308C">
            <w:pPr>
              <w:pStyle w:val="TableParagraph"/>
              <w:spacing w:before="65"/>
              <w:ind w:right="98"/>
              <w:rPr>
                <w:sz w:val="20"/>
              </w:rPr>
            </w:pPr>
            <w:r>
              <w:rPr>
                <w:sz w:val="20"/>
              </w:rPr>
              <w:t>13</w:t>
            </w:r>
          </w:p>
        </w:tc>
        <w:tc>
          <w:tcPr>
            <w:tcW w:w="1277" w:type="dxa"/>
          </w:tcPr>
          <w:p w:rsidR="007C5447" w:rsidRDefault="00F6308C">
            <w:pPr>
              <w:pStyle w:val="TableParagraph"/>
              <w:spacing w:before="65"/>
              <w:ind w:right="98"/>
              <w:rPr>
                <w:sz w:val="20"/>
              </w:rPr>
            </w:pPr>
            <w:r>
              <w:rPr>
                <w:sz w:val="20"/>
              </w:rPr>
              <w:t>13</w:t>
            </w:r>
          </w:p>
        </w:tc>
        <w:tc>
          <w:tcPr>
            <w:tcW w:w="1278" w:type="dxa"/>
          </w:tcPr>
          <w:p w:rsidR="007C5447" w:rsidRDefault="00F6308C">
            <w:pPr>
              <w:pStyle w:val="TableParagraph"/>
              <w:spacing w:before="65"/>
              <w:ind w:right="100"/>
              <w:rPr>
                <w:sz w:val="20"/>
              </w:rPr>
            </w:pPr>
            <w:r>
              <w:rPr>
                <w:w w:val="99"/>
                <w:sz w:val="20"/>
              </w:rPr>
              <w:t>8</w:t>
            </w:r>
          </w:p>
        </w:tc>
        <w:tc>
          <w:tcPr>
            <w:tcW w:w="1275" w:type="dxa"/>
          </w:tcPr>
          <w:p w:rsidR="007C5447" w:rsidRDefault="00F6308C">
            <w:pPr>
              <w:pStyle w:val="TableParagraph"/>
              <w:spacing w:before="65"/>
              <w:ind w:right="98"/>
              <w:rPr>
                <w:sz w:val="20"/>
              </w:rPr>
            </w:pPr>
            <w:r>
              <w:rPr>
                <w:w w:val="99"/>
                <w:sz w:val="20"/>
              </w:rPr>
              <w:t>7</w:t>
            </w:r>
          </w:p>
        </w:tc>
      </w:tr>
      <w:tr w:rsidR="007C5447">
        <w:trPr>
          <w:trHeight w:val="362"/>
        </w:trPr>
        <w:tc>
          <w:tcPr>
            <w:tcW w:w="562" w:type="dxa"/>
            <w:shd w:val="clear" w:color="auto" w:fill="D0CECE"/>
          </w:tcPr>
          <w:p w:rsidR="007C5447" w:rsidRDefault="007C5447">
            <w:pPr>
              <w:pStyle w:val="TableParagraph"/>
              <w:jc w:val="left"/>
              <w:rPr>
                <w:sz w:val="20"/>
              </w:rPr>
            </w:pPr>
          </w:p>
        </w:tc>
        <w:tc>
          <w:tcPr>
            <w:tcW w:w="2130" w:type="dxa"/>
            <w:shd w:val="clear" w:color="auto" w:fill="D0CECE"/>
          </w:tcPr>
          <w:p w:rsidR="007C5447" w:rsidRDefault="00F6308C">
            <w:pPr>
              <w:pStyle w:val="TableParagraph"/>
              <w:spacing w:before="65"/>
              <w:ind w:left="107"/>
              <w:jc w:val="left"/>
              <w:rPr>
                <w:b/>
                <w:sz w:val="20"/>
              </w:rPr>
            </w:pPr>
            <w:r>
              <w:rPr>
                <w:b/>
                <w:sz w:val="20"/>
              </w:rPr>
              <w:t>Total</w:t>
            </w:r>
          </w:p>
        </w:tc>
        <w:tc>
          <w:tcPr>
            <w:tcW w:w="1275" w:type="dxa"/>
            <w:shd w:val="clear" w:color="auto" w:fill="D0CECE"/>
          </w:tcPr>
          <w:p w:rsidR="007C5447" w:rsidRDefault="00F6308C">
            <w:pPr>
              <w:pStyle w:val="TableParagraph"/>
              <w:spacing w:before="65"/>
              <w:ind w:right="99"/>
              <w:rPr>
                <w:b/>
                <w:sz w:val="20"/>
              </w:rPr>
            </w:pPr>
            <w:r>
              <w:rPr>
                <w:b/>
                <w:w w:val="95"/>
                <w:sz w:val="20"/>
              </w:rPr>
              <w:t>25,509</w:t>
            </w:r>
          </w:p>
        </w:tc>
        <w:tc>
          <w:tcPr>
            <w:tcW w:w="1275" w:type="dxa"/>
            <w:shd w:val="clear" w:color="auto" w:fill="D0CECE"/>
          </w:tcPr>
          <w:p w:rsidR="007C5447" w:rsidRDefault="00F6308C">
            <w:pPr>
              <w:pStyle w:val="TableParagraph"/>
              <w:spacing w:before="65"/>
              <w:ind w:right="100"/>
              <w:rPr>
                <w:b/>
                <w:sz w:val="20"/>
              </w:rPr>
            </w:pPr>
            <w:r>
              <w:rPr>
                <w:b/>
                <w:w w:val="95"/>
                <w:sz w:val="20"/>
              </w:rPr>
              <w:t>22,897</w:t>
            </w:r>
          </w:p>
        </w:tc>
        <w:tc>
          <w:tcPr>
            <w:tcW w:w="1277" w:type="dxa"/>
            <w:shd w:val="clear" w:color="auto" w:fill="D0CECE"/>
          </w:tcPr>
          <w:p w:rsidR="007C5447" w:rsidRDefault="00F6308C">
            <w:pPr>
              <w:pStyle w:val="TableParagraph"/>
              <w:spacing w:before="65"/>
              <w:ind w:right="100"/>
              <w:rPr>
                <w:b/>
                <w:sz w:val="20"/>
              </w:rPr>
            </w:pPr>
            <w:r>
              <w:rPr>
                <w:b/>
                <w:w w:val="95"/>
                <w:sz w:val="20"/>
              </w:rPr>
              <w:t>26,609</w:t>
            </w:r>
          </w:p>
        </w:tc>
        <w:tc>
          <w:tcPr>
            <w:tcW w:w="1278" w:type="dxa"/>
            <w:shd w:val="clear" w:color="auto" w:fill="D0CECE"/>
          </w:tcPr>
          <w:p w:rsidR="007C5447" w:rsidRDefault="00F6308C">
            <w:pPr>
              <w:pStyle w:val="TableParagraph"/>
              <w:spacing w:before="65"/>
              <w:ind w:right="101"/>
              <w:rPr>
                <w:b/>
                <w:sz w:val="20"/>
              </w:rPr>
            </w:pPr>
            <w:r>
              <w:rPr>
                <w:b/>
                <w:w w:val="95"/>
                <w:sz w:val="20"/>
              </w:rPr>
              <w:t>32,091</w:t>
            </w:r>
          </w:p>
        </w:tc>
        <w:tc>
          <w:tcPr>
            <w:tcW w:w="1275" w:type="dxa"/>
            <w:shd w:val="clear" w:color="auto" w:fill="D0CECE"/>
          </w:tcPr>
          <w:p w:rsidR="007C5447" w:rsidRDefault="00F6308C">
            <w:pPr>
              <w:pStyle w:val="TableParagraph"/>
              <w:spacing w:before="65"/>
              <w:ind w:right="99"/>
              <w:rPr>
                <w:b/>
                <w:sz w:val="20"/>
              </w:rPr>
            </w:pPr>
            <w:r>
              <w:rPr>
                <w:b/>
                <w:w w:val="95"/>
                <w:sz w:val="20"/>
              </w:rPr>
              <w:t>29,553</w:t>
            </w:r>
          </w:p>
        </w:tc>
      </w:tr>
    </w:tbl>
    <w:p w:rsidR="007C5447" w:rsidRDefault="007C5447">
      <w:pPr>
        <w:pStyle w:val="BodyText"/>
        <w:spacing w:before="11"/>
        <w:rPr>
          <w:b/>
          <w:sz w:val="12"/>
        </w:rPr>
      </w:pPr>
    </w:p>
    <w:p w:rsidR="007C5447" w:rsidRDefault="00F6308C">
      <w:pPr>
        <w:pStyle w:val="Heading2"/>
        <w:spacing w:before="90"/>
        <w:ind w:left="1532"/>
      </w:pPr>
      <w:r>
        <w:t>Commission’s Views</w:t>
      </w:r>
    </w:p>
    <w:p w:rsidR="007C5447" w:rsidRDefault="007C5447">
      <w:pPr>
        <w:pStyle w:val="BodyText"/>
        <w:spacing w:before="7"/>
        <w:rPr>
          <w:b/>
          <w:sz w:val="26"/>
        </w:rPr>
      </w:pPr>
    </w:p>
    <w:p w:rsidR="007C5447" w:rsidRDefault="00F6308C">
      <w:pPr>
        <w:pStyle w:val="ListParagraph"/>
        <w:numPr>
          <w:ilvl w:val="3"/>
          <w:numId w:val="94"/>
        </w:numPr>
        <w:tabs>
          <w:tab w:val="left" w:pos="1646"/>
        </w:tabs>
        <w:spacing w:line="312" w:lineRule="auto"/>
        <w:ind w:left="1645" w:right="874"/>
        <w:jc w:val="both"/>
        <w:rPr>
          <w:sz w:val="24"/>
        </w:rPr>
      </w:pPr>
      <w:r>
        <w:rPr>
          <w:sz w:val="24"/>
        </w:rPr>
        <w:t>The total installed capacity of generating stations of TANGEDCO as on March 31</w:t>
      </w:r>
      <w:r>
        <w:rPr>
          <w:position w:val="9"/>
          <w:sz w:val="16"/>
        </w:rPr>
        <w:t>st</w:t>
      </w:r>
      <w:r>
        <w:rPr>
          <w:sz w:val="16"/>
        </w:rPr>
        <w:t xml:space="preserve"> </w:t>
      </w:r>
      <w:r>
        <w:rPr>
          <w:sz w:val="24"/>
        </w:rPr>
        <w:t>for each year under true up is shown</w:t>
      </w:r>
      <w:r>
        <w:rPr>
          <w:spacing w:val="1"/>
          <w:sz w:val="24"/>
        </w:rPr>
        <w:t xml:space="preserve"> </w:t>
      </w:r>
      <w:r>
        <w:rPr>
          <w:sz w:val="24"/>
        </w:rPr>
        <w:t>below:</w:t>
      </w:r>
    </w:p>
    <w:p w:rsidR="007C5447" w:rsidRDefault="007C5447">
      <w:pPr>
        <w:pStyle w:val="BodyText"/>
        <w:rPr>
          <w:sz w:val="21"/>
        </w:rPr>
      </w:pPr>
    </w:p>
    <w:p w:rsidR="007C5447" w:rsidRDefault="00F6308C">
      <w:pPr>
        <w:spacing w:before="1"/>
        <w:ind w:left="2120"/>
        <w:rPr>
          <w:b/>
        </w:rPr>
      </w:pPr>
      <w:r>
        <w:rPr>
          <w:b/>
        </w:rPr>
        <w:t>Table 3-3: Total Installed Capacity of TANGEDCO (MW)</w:t>
      </w:r>
    </w:p>
    <w:p w:rsidR="007C5447" w:rsidRDefault="007C5447">
      <w:pPr>
        <w:pStyle w:val="BodyText"/>
        <w:spacing w:before="10"/>
        <w:rPr>
          <w:b/>
          <w:sz w:val="16"/>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1419"/>
        <w:gridCol w:w="1416"/>
        <w:gridCol w:w="1419"/>
        <w:gridCol w:w="1561"/>
        <w:gridCol w:w="1416"/>
      </w:tblGrid>
      <w:tr w:rsidR="007C5447">
        <w:trPr>
          <w:trHeight w:val="489"/>
        </w:trPr>
        <w:tc>
          <w:tcPr>
            <w:tcW w:w="1838" w:type="dxa"/>
            <w:shd w:val="clear" w:color="auto" w:fill="F7C9AC"/>
          </w:tcPr>
          <w:p w:rsidR="007C5447" w:rsidRDefault="00F6308C">
            <w:pPr>
              <w:pStyle w:val="TableParagraph"/>
              <w:spacing w:before="130"/>
              <w:ind w:left="602" w:right="596"/>
              <w:jc w:val="center"/>
              <w:rPr>
                <w:b/>
                <w:sz w:val="20"/>
              </w:rPr>
            </w:pPr>
            <w:r>
              <w:rPr>
                <w:b/>
                <w:sz w:val="20"/>
              </w:rPr>
              <w:t>Source</w:t>
            </w:r>
          </w:p>
        </w:tc>
        <w:tc>
          <w:tcPr>
            <w:tcW w:w="1419" w:type="dxa"/>
            <w:shd w:val="clear" w:color="auto" w:fill="F7C9AC"/>
          </w:tcPr>
          <w:p w:rsidR="007C5447" w:rsidRDefault="00F6308C">
            <w:pPr>
              <w:pStyle w:val="TableParagraph"/>
              <w:spacing w:before="14" w:line="230" w:lineRule="atLeast"/>
              <w:ind w:left="242" w:right="229" w:firstLine="225"/>
              <w:jc w:val="left"/>
              <w:rPr>
                <w:b/>
                <w:sz w:val="20"/>
              </w:rPr>
            </w:pPr>
            <w:r>
              <w:rPr>
                <w:b/>
                <w:sz w:val="20"/>
              </w:rPr>
              <w:t>As on 31-03-2012</w:t>
            </w:r>
          </w:p>
        </w:tc>
        <w:tc>
          <w:tcPr>
            <w:tcW w:w="1416" w:type="dxa"/>
            <w:shd w:val="clear" w:color="auto" w:fill="F7C9AC"/>
          </w:tcPr>
          <w:p w:rsidR="007C5447" w:rsidRDefault="00F6308C">
            <w:pPr>
              <w:pStyle w:val="TableParagraph"/>
              <w:spacing w:before="14" w:line="230" w:lineRule="atLeast"/>
              <w:ind w:left="240" w:right="229" w:firstLine="225"/>
              <w:jc w:val="left"/>
              <w:rPr>
                <w:b/>
                <w:sz w:val="20"/>
              </w:rPr>
            </w:pPr>
            <w:r>
              <w:rPr>
                <w:b/>
                <w:sz w:val="20"/>
              </w:rPr>
              <w:t>As on 31-03-2013</w:t>
            </w:r>
          </w:p>
        </w:tc>
        <w:tc>
          <w:tcPr>
            <w:tcW w:w="1419" w:type="dxa"/>
            <w:shd w:val="clear" w:color="auto" w:fill="F7C9AC"/>
          </w:tcPr>
          <w:p w:rsidR="007C5447" w:rsidRDefault="00F6308C">
            <w:pPr>
              <w:pStyle w:val="TableParagraph"/>
              <w:spacing w:before="14" w:line="230" w:lineRule="atLeast"/>
              <w:ind w:left="242" w:right="229" w:firstLine="225"/>
              <w:jc w:val="left"/>
              <w:rPr>
                <w:b/>
                <w:sz w:val="20"/>
              </w:rPr>
            </w:pPr>
            <w:r>
              <w:rPr>
                <w:b/>
                <w:sz w:val="20"/>
              </w:rPr>
              <w:t>As on 31-03-2014</w:t>
            </w:r>
          </w:p>
        </w:tc>
        <w:tc>
          <w:tcPr>
            <w:tcW w:w="1561" w:type="dxa"/>
            <w:shd w:val="clear" w:color="auto" w:fill="F7C9AC"/>
          </w:tcPr>
          <w:p w:rsidR="007C5447" w:rsidRDefault="00F6308C">
            <w:pPr>
              <w:pStyle w:val="TableParagraph"/>
              <w:spacing w:before="14" w:line="230" w:lineRule="atLeast"/>
              <w:ind w:left="311" w:right="302" w:firstLine="225"/>
              <w:jc w:val="left"/>
              <w:rPr>
                <w:b/>
                <w:sz w:val="20"/>
              </w:rPr>
            </w:pPr>
            <w:r>
              <w:rPr>
                <w:b/>
                <w:sz w:val="20"/>
              </w:rPr>
              <w:t>As on 31-03-2015</w:t>
            </w:r>
          </w:p>
        </w:tc>
        <w:tc>
          <w:tcPr>
            <w:tcW w:w="1416" w:type="dxa"/>
            <w:shd w:val="clear" w:color="auto" w:fill="F7C9AC"/>
          </w:tcPr>
          <w:p w:rsidR="007C5447" w:rsidRDefault="00F6308C">
            <w:pPr>
              <w:pStyle w:val="TableParagraph"/>
              <w:spacing w:before="14" w:line="230" w:lineRule="atLeast"/>
              <w:ind w:left="239" w:right="230" w:firstLine="225"/>
              <w:jc w:val="left"/>
              <w:rPr>
                <w:b/>
                <w:sz w:val="20"/>
              </w:rPr>
            </w:pPr>
            <w:r>
              <w:rPr>
                <w:b/>
                <w:sz w:val="20"/>
              </w:rPr>
              <w:t>As on 31-03-2016</w:t>
            </w:r>
          </w:p>
        </w:tc>
      </w:tr>
      <w:tr w:rsidR="007C5447">
        <w:trPr>
          <w:trHeight w:val="355"/>
        </w:trPr>
        <w:tc>
          <w:tcPr>
            <w:tcW w:w="1838" w:type="dxa"/>
          </w:tcPr>
          <w:p w:rsidR="007C5447" w:rsidRDefault="00F6308C">
            <w:pPr>
              <w:pStyle w:val="TableParagraph"/>
              <w:spacing w:before="63"/>
              <w:ind w:left="107"/>
              <w:jc w:val="left"/>
              <w:rPr>
                <w:sz w:val="20"/>
              </w:rPr>
            </w:pPr>
            <w:r>
              <w:rPr>
                <w:sz w:val="20"/>
              </w:rPr>
              <w:t>Thermal</w:t>
            </w:r>
          </w:p>
        </w:tc>
        <w:tc>
          <w:tcPr>
            <w:tcW w:w="1419" w:type="dxa"/>
          </w:tcPr>
          <w:p w:rsidR="007C5447" w:rsidRDefault="00F6308C">
            <w:pPr>
              <w:pStyle w:val="TableParagraph"/>
              <w:spacing w:before="63"/>
              <w:ind w:right="270"/>
              <w:rPr>
                <w:sz w:val="20"/>
              </w:rPr>
            </w:pPr>
            <w:r>
              <w:rPr>
                <w:w w:val="95"/>
                <w:sz w:val="20"/>
              </w:rPr>
              <w:t>2,970</w:t>
            </w:r>
          </w:p>
        </w:tc>
        <w:tc>
          <w:tcPr>
            <w:tcW w:w="1416" w:type="dxa"/>
          </w:tcPr>
          <w:p w:rsidR="007C5447" w:rsidRDefault="00F6308C">
            <w:pPr>
              <w:pStyle w:val="TableParagraph"/>
              <w:spacing w:before="63"/>
              <w:ind w:right="270"/>
              <w:rPr>
                <w:sz w:val="20"/>
              </w:rPr>
            </w:pPr>
            <w:r>
              <w:rPr>
                <w:w w:val="95"/>
                <w:sz w:val="20"/>
              </w:rPr>
              <w:t>2,970</w:t>
            </w:r>
          </w:p>
        </w:tc>
        <w:tc>
          <w:tcPr>
            <w:tcW w:w="1419" w:type="dxa"/>
          </w:tcPr>
          <w:p w:rsidR="007C5447" w:rsidRDefault="00F6308C">
            <w:pPr>
              <w:pStyle w:val="TableParagraph"/>
              <w:spacing w:before="63"/>
              <w:ind w:right="270"/>
              <w:rPr>
                <w:sz w:val="20"/>
              </w:rPr>
            </w:pPr>
            <w:r>
              <w:rPr>
                <w:w w:val="95"/>
                <w:sz w:val="20"/>
              </w:rPr>
              <w:t>4,060</w:t>
            </w:r>
          </w:p>
        </w:tc>
        <w:tc>
          <w:tcPr>
            <w:tcW w:w="1561" w:type="dxa"/>
          </w:tcPr>
          <w:p w:rsidR="007C5447" w:rsidRDefault="00F6308C">
            <w:pPr>
              <w:pStyle w:val="TableParagraph"/>
              <w:spacing w:before="63"/>
              <w:ind w:right="267"/>
              <w:rPr>
                <w:sz w:val="20"/>
              </w:rPr>
            </w:pPr>
            <w:r>
              <w:rPr>
                <w:sz w:val="20"/>
              </w:rPr>
              <w:t>4660</w:t>
            </w:r>
          </w:p>
        </w:tc>
        <w:tc>
          <w:tcPr>
            <w:tcW w:w="1416" w:type="dxa"/>
          </w:tcPr>
          <w:p w:rsidR="007C5447" w:rsidRDefault="00F6308C">
            <w:pPr>
              <w:pStyle w:val="TableParagraph"/>
              <w:spacing w:before="63"/>
              <w:ind w:right="266"/>
              <w:rPr>
                <w:sz w:val="20"/>
              </w:rPr>
            </w:pPr>
            <w:r>
              <w:rPr>
                <w:sz w:val="20"/>
              </w:rPr>
              <w:t>4660</w:t>
            </w:r>
          </w:p>
        </w:tc>
      </w:tr>
      <w:tr w:rsidR="007C5447">
        <w:trPr>
          <w:trHeight w:val="354"/>
        </w:trPr>
        <w:tc>
          <w:tcPr>
            <w:tcW w:w="1838" w:type="dxa"/>
          </w:tcPr>
          <w:p w:rsidR="007C5447" w:rsidRDefault="00F6308C">
            <w:pPr>
              <w:pStyle w:val="TableParagraph"/>
              <w:spacing w:before="62"/>
              <w:ind w:left="107"/>
              <w:jc w:val="left"/>
              <w:rPr>
                <w:sz w:val="20"/>
              </w:rPr>
            </w:pPr>
            <w:r>
              <w:rPr>
                <w:sz w:val="20"/>
              </w:rPr>
              <w:t>Gas</w:t>
            </w:r>
          </w:p>
        </w:tc>
        <w:tc>
          <w:tcPr>
            <w:tcW w:w="1419" w:type="dxa"/>
          </w:tcPr>
          <w:p w:rsidR="007C5447" w:rsidRDefault="00F6308C">
            <w:pPr>
              <w:pStyle w:val="TableParagraph"/>
              <w:spacing w:before="62"/>
              <w:ind w:right="268"/>
              <w:rPr>
                <w:sz w:val="20"/>
              </w:rPr>
            </w:pPr>
            <w:r>
              <w:rPr>
                <w:w w:val="95"/>
                <w:sz w:val="20"/>
              </w:rPr>
              <w:t>516.08</w:t>
            </w:r>
          </w:p>
        </w:tc>
        <w:tc>
          <w:tcPr>
            <w:tcW w:w="1416" w:type="dxa"/>
          </w:tcPr>
          <w:p w:rsidR="007C5447" w:rsidRDefault="00F6308C">
            <w:pPr>
              <w:pStyle w:val="TableParagraph"/>
              <w:spacing w:before="62"/>
              <w:ind w:right="268"/>
              <w:rPr>
                <w:sz w:val="20"/>
              </w:rPr>
            </w:pPr>
            <w:r>
              <w:rPr>
                <w:w w:val="95"/>
                <w:sz w:val="20"/>
              </w:rPr>
              <w:t>515.88</w:t>
            </w:r>
          </w:p>
        </w:tc>
        <w:tc>
          <w:tcPr>
            <w:tcW w:w="1419" w:type="dxa"/>
          </w:tcPr>
          <w:p w:rsidR="007C5447" w:rsidRDefault="00F6308C">
            <w:pPr>
              <w:pStyle w:val="TableParagraph"/>
              <w:spacing w:before="62"/>
              <w:ind w:right="268"/>
              <w:rPr>
                <w:sz w:val="20"/>
              </w:rPr>
            </w:pPr>
            <w:r>
              <w:rPr>
                <w:w w:val="95"/>
                <w:sz w:val="20"/>
              </w:rPr>
              <w:t>516.08</w:t>
            </w:r>
          </w:p>
        </w:tc>
        <w:tc>
          <w:tcPr>
            <w:tcW w:w="1561" w:type="dxa"/>
          </w:tcPr>
          <w:p w:rsidR="007C5447" w:rsidRDefault="00F6308C">
            <w:pPr>
              <w:pStyle w:val="TableParagraph"/>
              <w:spacing w:before="62"/>
              <w:ind w:right="269"/>
              <w:rPr>
                <w:sz w:val="20"/>
              </w:rPr>
            </w:pPr>
            <w:r>
              <w:rPr>
                <w:sz w:val="20"/>
              </w:rPr>
              <w:t>516.08</w:t>
            </w:r>
          </w:p>
        </w:tc>
        <w:tc>
          <w:tcPr>
            <w:tcW w:w="1416" w:type="dxa"/>
          </w:tcPr>
          <w:p w:rsidR="007C5447" w:rsidRDefault="00F6308C">
            <w:pPr>
              <w:pStyle w:val="TableParagraph"/>
              <w:spacing w:before="62"/>
              <w:ind w:right="268"/>
              <w:rPr>
                <w:sz w:val="20"/>
              </w:rPr>
            </w:pPr>
            <w:r>
              <w:rPr>
                <w:w w:val="95"/>
                <w:sz w:val="20"/>
              </w:rPr>
              <w:t>516.08</w:t>
            </w:r>
          </w:p>
        </w:tc>
      </w:tr>
      <w:tr w:rsidR="007C5447">
        <w:trPr>
          <w:trHeight w:val="352"/>
        </w:trPr>
        <w:tc>
          <w:tcPr>
            <w:tcW w:w="1838" w:type="dxa"/>
          </w:tcPr>
          <w:p w:rsidR="007C5447" w:rsidRDefault="00F6308C">
            <w:pPr>
              <w:pStyle w:val="TableParagraph"/>
              <w:spacing w:before="62"/>
              <w:ind w:left="107"/>
              <w:jc w:val="left"/>
              <w:rPr>
                <w:sz w:val="20"/>
              </w:rPr>
            </w:pPr>
            <w:r>
              <w:rPr>
                <w:sz w:val="20"/>
              </w:rPr>
              <w:t>Hydro</w:t>
            </w:r>
          </w:p>
        </w:tc>
        <w:tc>
          <w:tcPr>
            <w:tcW w:w="1419" w:type="dxa"/>
          </w:tcPr>
          <w:p w:rsidR="007C5447" w:rsidRDefault="00F6308C">
            <w:pPr>
              <w:pStyle w:val="TableParagraph"/>
              <w:spacing w:before="62"/>
              <w:ind w:right="269"/>
              <w:rPr>
                <w:sz w:val="20"/>
              </w:rPr>
            </w:pPr>
            <w:r>
              <w:rPr>
                <w:sz w:val="20"/>
              </w:rPr>
              <w:t>2229.75</w:t>
            </w:r>
          </w:p>
        </w:tc>
        <w:tc>
          <w:tcPr>
            <w:tcW w:w="1416" w:type="dxa"/>
          </w:tcPr>
          <w:p w:rsidR="007C5447" w:rsidRDefault="00F6308C">
            <w:pPr>
              <w:pStyle w:val="TableParagraph"/>
              <w:spacing w:before="62"/>
              <w:ind w:right="268"/>
              <w:rPr>
                <w:sz w:val="20"/>
              </w:rPr>
            </w:pPr>
            <w:r>
              <w:rPr>
                <w:w w:val="95"/>
                <w:sz w:val="20"/>
              </w:rPr>
              <w:t>2237.4</w:t>
            </w:r>
          </w:p>
        </w:tc>
        <w:tc>
          <w:tcPr>
            <w:tcW w:w="1419" w:type="dxa"/>
          </w:tcPr>
          <w:p w:rsidR="007C5447" w:rsidRDefault="00F6308C">
            <w:pPr>
              <w:pStyle w:val="TableParagraph"/>
              <w:spacing w:before="62"/>
              <w:ind w:right="268"/>
              <w:rPr>
                <w:sz w:val="20"/>
              </w:rPr>
            </w:pPr>
            <w:r>
              <w:rPr>
                <w:w w:val="95"/>
                <w:sz w:val="20"/>
              </w:rPr>
              <w:t>2284.4</w:t>
            </w:r>
          </w:p>
        </w:tc>
        <w:tc>
          <w:tcPr>
            <w:tcW w:w="1561" w:type="dxa"/>
          </w:tcPr>
          <w:p w:rsidR="007C5447" w:rsidRDefault="00F6308C">
            <w:pPr>
              <w:pStyle w:val="TableParagraph"/>
              <w:spacing w:before="62"/>
              <w:ind w:right="269"/>
              <w:rPr>
                <w:sz w:val="20"/>
              </w:rPr>
            </w:pPr>
            <w:r>
              <w:rPr>
                <w:w w:val="95"/>
                <w:sz w:val="20"/>
              </w:rPr>
              <w:t>2286.9</w:t>
            </w:r>
          </w:p>
        </w:tc>
        <w:tc>
          <w:tcPr>
            <w:tcW w:w="1416" w:type="dxa"/>
          </w:tcPr>
          <w:p w:rsidR="007C5447" w:rsidRDefault="00F6308C">
            <w:pPr>
              <w:pStyle w:val="TableParagraph"/>
              <w:spacing w:before="62"/>
              <w:ind w:right="268"/>
              <w:rPr>
                <w:sz w:val="20"/>
              </w:rPr>
            </w:pPr>
            <w:r>
              <w:rPr>
                <w:w w:val="95"/>
                <w:sz w:val="20"/>
              </w:rPr>
              <w:t>2307.9</w:t>
            </w:r>
          </w:p>
        </w:tc>
      </w:tr>
      <w:tr w:rsidR="007C5447">
        <w:trPr>
          <w:trHeight w:val="354"/>
        </w:trPr>
        <w:tc>
          <w:tcPr>
            <w:tcW w:w="1838" w:type="dxa"/>
          </w:tcPr>
          <w:p w:rsidR="007C5447" w:rsidRDefault="00F6308C">
            <w:pPr>
              <w:pStyle w:val="TableParagraph"/>
              <w:spacing w:before="62"/>
              <w:ind w:left="107"/>
              <w:jc w:val="left"/>
              <w:rPr>
                <w:sz w:val="20"/>
              </w:rPr>
            </w:pPr>
            <w:r>
              <w:rPr>
                <w:sz w:val="20"/>
              </w:rPr>
              <w:t>Wind</w:t>
            </w:r>
          </w:p>
        </w:tc>
        <w:tc>
          <w:tcPr>
            <w:tcW w:w="1419" w:type="dxa"/>
          </w:tcPr>
          <w:p w:rsidR="007C5447" w:rsidRDefault="00F6308C">
            <w:pPr>
              <w:pStyle w:val="TableParagraph"/>
              <w:spacing w:before="62"/>
              <w:ind w:right="266"/>
              <w:rPr>
                <w:sz w:val="20"/>
              </w:rPr>
            </w:pPr>
            <w:r>
              <w:rPr>
                <w:sz w:val="20"/>
              </w:rPr>
              <w:t>17</w:t>
            </w:r>
          </w:p>
        </w:tc>
        <w:tc>
          <w:tcPr>
            <w:tcW w:w="1416" w:type="dxa"/>
          </w:tcPr>
          <w:p w:rsidR="007C5447" w:rsidRDefault="00F6308C">
            <w:pPr>
              <w:pStyle w:val="TableParagraph"/>
              <w:spacing w:before="62"/>
              <w:ind w:right="266"/>
              <w:rPr>
                <w:sz w:val="20"/>
              </w:rPr>
            </w:pPr>
            <w:r>
              <w:rPr>
                <w:sz w:val="20"/>
              </w:rPr>
              <w:t>17</w:t>
            </w:r>
          </w:p>
        </w:tc>
        <w:tc>
          <w:tcPr>
            <w:tcW w:w="1419" w:type="dxa"/>
          </w:tcPr>
          <w:p w:rsidR="007C5447" w:rsidRDefault="00F6308C">
            <w:pPr>
              <w:pStyle w:val="TableParagraph"/>
              <w:spacing w:before="62"/>
              <w:ind w:right="266"/>
              <w:rPr>
                <w:sz w:val="20"/>
              </w:rPr>
            </w:pPr>
            <w:r>
              <w:rPr>
                <w:sz w:val="20"/>
              </w:rPr>
              <w:t>17</w:t>
            </w:r>
          </w:p>
        </w:tc>
        <w:tc>
          <w:tcPr>
            <w:tcW w:w="1561" w:type="dxa"/>
          </w:tcPr>
          <w:p w:rsidR="007C5447" w:rsidRDefault="00F6308C">
            <w:pPr>
              <w:pStyle w:val="TableParagraph"/>
              <w:spacing w:before="62"/>
              <w:ind w:right="267"/>
              <w:rPr>
                <w:sz w:val="20"/>
              </w:rPr>
            </w:pPr>
            <w:r>
              <w:rPr>
                <w:sz w:val="20"/>
              </w:rPr>
              <w:t>17</w:t>
            </w:r>
          </w:p>
        </w:tc>
        <w:tc>
          <w:tcPr>
            <w:tcW w:w="1416" w:type="dxa"/>
          </w:tcPr>
          <w:p w:rsidR="007C5447" w:rsidRDefault="00F6308C">
            <w:pPr>
              <w:pStyle w:val="TableParagraph"/>
              <w:spacing w:before="62"/>
              <w:ind w:right="266"/>
              <w:rPr>
                <w:sz w:val="20"/>
              </w:rPr>
            </w:pPr>
            <w:r>
              <w:rPr>
                <w:sz w:val="20"/>
              </w:rPr>
              <w:t>17</w:t>
            </w:r>
          </w:p>
        </w:tc>
      </w:tr>
      <w:tr w:rsidR="007C5447">
        <w:trPr>
          <w:trHeight w:val="354"/>
        </w:trPr>
        <w:tc>
          <w:tcPr>
            <w:tcW w:w="1838" w:type="dxa"/>
          </w:tcPr>
          <w:p w:rsidR="007C5447" w:rsidRDefault="00F6308C">
            <w:pPr>
              <w:pStyle w:val="TableParagraph"/>
              <w:spacing w:before="62"/>
              <w:ind w:left="107"/>
              <w:jc w:val="left"/>
              <w:rPr>
                <w:b/>
                <w:sz w:val="20"/>
              </w:rPr>
            </w:pPr>
            <w:r>
              <w:rPr>
                <w:b/>
                <w:sz w:val="20"/>
              </w:rPr>
              <w:t>Total</w:t>
            </w:r>
          </w:p>
        </w:tc>
        <w:tc>
          <w:tcPr>
            <w:tcW w:w="1419" w:type="dxa"/>
          </w:tcPr>
          <w:p w:rsidR="007C5447" w:rsidRDefault="00F6308C">
            <w:pPr>
              <w:pStyle w:val="TableParagraph"/>
              <w:spacing w:before="62"/>
              <w:ind w:right="269"/>
              <w:rPr>
                <w:b/>
                <w:sz w:val="20"/>
              </w:rPr>
            </w:pPr>
            <w:r>
              <w:rPr>
                <w:b/>
                <w:w w:val="95"/>
                <w:sz w:val="20"/>
              </w:rPr>
              <w:t>5,732.83</w:t>
            </w:r>
          </w:p>
        </w:tc>
        <w:tc>
          <w:tcPr>
            <w:tcW w:w="1416" w:type="dxa"/>
          </w:tcPr>
          <w:p w:rsidR="007C5447" w:rsidRDefault="00F6308C">
            <w:pPr>
              <w:pStyle w:val="TableParagraph"/>
              <w:spacing w:before="62"/>
              <w:ind w:right="268"/>
              <w:rPr>
                <w:b/>
                <w:sz w:val="20"/>
              </w:rPr>
            </w:pPr>
            <w:r>
              <w:rPr>
                <w:b/>
                <w:w w:val="95"/>
                <w:sz w:val="20"/>
              </w:rPr>
              <w:t>5,740.28</w:t>
            </w:r>
          </w:p>
        </w:tc>
        <w:tc>
          <w:tcPr>
            <w:tcW w:w="1419" w:type="dxa"/>
          </w:tcPr>
          <w:p w:rsidR="007C5447" w:rsidRDefault="00F6308C">
            <w:pPr>
              <w:pStyle w:val="TableParagraph"/>
              <w:spacing w:before="62"/>
              <w:ind w:right="268"/>
              <w:rPr>
                <w:b/>
                <w:sz w:val="20"/>
              </w:rPr>
            </w:pPr>
            <w:r>
              <w:rPr>
                <w:b/>
                <w:w w:val="95"/>
                <w:sz w:val="20"/>
              </w:rPr>
              <w:t>6,877.48</w:t>
            </w:r>
          </w:p>
        </w:tc>
        <w:tc>
          <w:tcPr>
            <w:tcW w:w="1561" w:type="dxa"/>
          </w:tcPr>
          <w:p w:rsidR="007C5447" w:rsidRDefault="00F6308C">
            <w:pPr>
              <w:pStyle w:val="TableParagraph"/>
              <w:spacing w:before="62"/>
              <w:ind w:right="269"/>
              <w:rPr>
                <w:b/>
                <w:sz w:val="20"/>
              </w:rPr>
            </w:pPr>
            <w:r>
              <w:rPr>
                <w:b/>
                <w:w w:val="95"/>
                <w:sz w:val="20"/>
              </w:rPr>
              <w:t>7,479.98</w:t>
            </w:r>
          </w:p>
        </w:tc>
        <w:tc>
          <w:tcPr>
            <w:tcW w:w="1416" w:type="dxa"/>
          </w:tcPr>
          <w:p w:rsidR="007C5447" w:rsidRDefault="00F6308C">
            <w:pPr>
              <w:pStyle w:val="TableParagraph"/>
              <w:spacing w:before="62"/>
              <w:ind w:right="269"/>
              <w:rPr>
                <w:b/>
                <w:sz w:val="20"/>
              </w:rPr>
            </w:pPr>
            <w:r>
              <w:rPr>
                <w:b/>
                <w:w w:val="95"/>
                <w:sz w:val="20"/>
              </w:rPr>
              <w:t>7,500.98</w:t>
            </w:r>
          </w:p>
        </w:tc>
      </w:tr>
    </w:tbl>
    <w:p w:rsidR="007C5447" w:rsidRDefault="007C5447">
      <w:pPr>
        <w:pStyle w:val="BodyText"/>
        <w:spacing w:before="9"/>
        <w:rPr>
          <w:b/>
          <w:sz w:val="20"/>
        </w:rPr>
      </w:pPr>
    </w:p>
    <w:p w:rsidR="007C5447" w:rsidRDefault="00F6308C">
      <w:pPr>
        <w:pStyle w:val="ListParagraph"/>
        <w:numPr>
          <w:ilvl w:val="3"/>
          <w:numId w:val="94"/>
        </w:numPr>
        <w:tabs>
          <w:tab w:val="left" w:pos="1646"/>
        </w:tabs>
        <w:spacing w:line="312" w:lineRule="auto"/>
        <w:ind w:left="1645" w:right="878"/>
        <w:jc w:val="both"/>
        <w:rPr>
          <w:sz w:val="24"/>
        </w:rPr>
      </w:pPr>
      <w:r>
        <w:rPr>
          <w:sz w:val="24"/>
        </w:rPr>
        <w:t>Energy availability from generating stations is dependent on operational parameters, viz., PLF and Auxiliary consumption. For the purpose of truing up, to estimate energy availability from own generating stations, the Commission has approved TANGEDCO’s sub</w:t>
      </w:r>
      <w:r>
        <w:rPr>
          <w:sz w:val="24"/>
        </w:rPr>
        <w:t>mission after verifying the same from the Audited Accounts, as shown in the Table</w:t>
      </w:r>
      <w:r>
        <w:rPr>
          <w:spacing w:val="-2"/>
          <w:sz w:val="24"/>
        </w:rPr>
        <w:t xml:space="preserve"> </w:t>
      </w:r>
      <w:r>
        <w:rPr>
          <w:sz w:val="24"/>
        </w:rPr>
        <w:t>below:</w:t>
      </w:r>
    </w:p>
    <w:p w:rsidR="007C5447" w:rsidRDefault="007C5447">
      <w:pPr>
        <w:pStyle w:val="BodyText"/>
        <w:spacing w:before="11"/>
        <w:rPr>
          <w:sz w:val="20"/>
        </w:rPr>
      </w:pPr>
    </w:p>
    <w:p w:rsidR="007C5447" w:rsidRDefault="00F6308C">
      <w:pPr>
        <w:spacing w:line="312" w:lineRule="auto"/>
        <w:ind w:left="4554" w:right="916" w:hanging="3843"/>
        <w:rPr>
          <w:b/>
        </w:rPr>
      </w:pPr>
      <w:r>
        <w:rPr>
          <w:b/>
        </w:rPr>
        <w:t>Table 3-4: Energy Availability from own generating stations approved by the Commission after true-up (MU)</w:t>
      </w:r>
    </w:p>
    <w:p w:rsidR="007C5447" w:rsidRDefault="007C5447">
      <w:pPr>
        <w:pStyle w:val="BodyText"/>
        <w:spacing w:before="4"/>
        <w:rPr>
          <w:b/>
          <w:sz w:val="10"/>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2130"/>
        <w:gridCol w:w="1275"/>
        <w:gridCol w:w="1275"/>
        <w:gridCol w:w="1277"/>
        <w:gridCol w:w="1278"/>
        <w:gridCol w:w="1275"/>
      </w:tblGrid>
      <w:tr w:rsidR="007C5447">
        <w:trPr>
          <w:trHeight w:val="362"/>
        </w:trPr>
        <w:tc>
          <w:tcPr>
            <w:tcW w:w="562" w:type="dxa"/>
            <w:shd w:val="clear" w:color="auto" w:fill="F7C9AC"/>
          </w:tcPr>
          <w:p w:rsidR="007C5447" w:rsidRDefault="00F6308C">
            <w:pPr>
              <w:pStyle w:val="TableParagraph"/>
              <w:spacing w:before="67"/>
              <w:ind w:left="172"/>
              <w:jc w:val="left"/>
              <w:rPr>
                <w:b/>
                <w:sz w:val="20"/>
              </w:rPr>
            </w:pPr>
            <w:r>
              <w:rPr>
                <w:b/>
                <w:sz w:val="20"/>
              </w:rPr>
              <w:t>Sl.</w:t>
            </w:r>
          </w:p>
        </w:tc>
        <w:tc>
          <w:tcPr>
            <w:tcW w:w="2130" w:type="dxa"/>
            <w:shd w:val="clear" w:color="auto" w:fill="F7C9AC"/>
          </w:tcPr>
          <w:p w:rsidR="007C5447" w:rsidRDefault="00F6308C">
            <w:pPr>
              <w:pStyle w:val="TableParagraph"/>
              <w:spacing w:before="67"/>
              <w:ind w:left="735" w:right="733"/>
              <w:jc w:val="center"/>
              <w:rPr>
                <w:b/>
                <w:sz w:val="20"/>
              </w:rPr>
            </w:pPr>
            <w:r>
              <w:rPr>
                <w:b/>
                <w:sz w:val="20"/>
              </w:rPr>
              <w:t>Station</w:t>
            </w:r>
          </w:p>
        </w:tc>
        <w:tc>
          <w:tcPr>
            <w:tcW w:w="1275" w:type="dxa"/>
            <w:shd w:val="clear" w:color="auto" w:fill="F7C9AC"/>
          </w:tcPr>
          <w:p w:rsidR="007C5447" w:rsidRDefault="00F6308C">
            <w:pPr>
              <w:pStyle w:val="TableParagraph"/>
              <w:spacing w:before="67"/>
              <w:ind w:right="133"/>
              <w:rPr>
                <w:b/>
                <w:sz w:val="20"/>
              </w:rPr>
            </w:pPr>
            <w:r>
              <w:rPr>
                <w:b/>
                <w:sz w:val="20"/>
              </w:rPr>
              <w:t>FY 2011-12</w:t>
            </w:r>
          </w:p>
        </w:tc>
        <w:tc>
          <w:tcPr>
            <w:tcW w:w="1275" w:type="dxa"/>
            <w:shd w:val="clear" w:color="auto" w:fill="F7C9AC"/>
          </w:tcPr>
          <w:p w:rsidR="007C5447" w:rsidRDefault="00F6308C">
            <w:pPr>
              <w:pStyle w:val="TableParagraph"/>
              <w:spacing w:before="67"/>
              <w:ind w:right="134"/>
              <w:rPr>
                <w:b/>
                <w:sz w:val="20"/>
              </w:rPr>
            </w:pPr>
            <w:r>
              <w:rPr>
                <w:b/>
                <w:sz w:val="20"/>
              </w:rPr>
              <w:t>FY 2012-13</w:t>
            </w:r>
          </w:p>
        </w:tc>
        <w:tc>
          <w:tcPr>
            <w:tcW w:w="1277" w:type="dxa"/>
            <w:shd w:val="clear" w:color="auto" w:fill="F7C9AC"/>
          </w:tcPr>
          <w:p w:rsidR="007C5447" w:rsidRDefault="00F6308C">
            <w:pPr>
              <w:pStyle w:val="TableParagraph"/>
              <w:spacing w:before="67"/>
              <w:ind w:right="134"/>
              <w:rPr>
                <w:b/>
                <w:sz w:val="20"/>
              </w:rPr>
            </w:pPr>
            <w:r>
              <w:rPr>
                <w:b/>
                <w:sz w:val="20"/>
              </w:rPr>
              <w:t>FY 2013-14</w:t>
            </w:r>
          </w:p>
        </w:tc>
        <w:tc>
          <w:tcPr>
            <w:tcW w:w="1278" w:type="dxa"/>
            <w:shd w:val="clear" w:color="auto" w:fill="F7C9AC"/>
          </w:tcPr>
          <w:p w:rsidR="007C5447" w:rsidRDefault="00F6308C">
            <w:pPr>
              <w:pStyle w:val="TableParagraph"/>
              <w:spacing w:before="67"/>
              <w:ind w:right="134"/>
              <w:rPr>
                <w:b/>
                <w:sz w:val="20"/>
              </w:rPr>
            </w:pPr>
            <w:r>
              <w:rPr>
                <w:b/>
                <w:sz w:val="20"/>
              </w:rPr>
              <w:t>FY 2014-15</w:t>
            </w:r>
          </w:p>
        </w:tc>
        <w:tc>
          <w:tcPr>
            <w:tcW w:w="1275" w:type="dxa"/>
            <w:shd w:val="clear" w:color="auto" w:fill="F7C9AC"/>
          </w:tcPr>
          <w:p w:rsidR="007C5447" w:rsidRDefault="00F6308C">
            <w:pPr>
              <w:pStyle w:val="TableParagraph"/>
              <w:spacing w:before="67"/>
              <w:ind w:right="133"/>
              <w:rPr>
                <w:b/>
                <w:sz w:val="20"/>
              </w:rPr>
            </w:pPr>
            <w:r>
              <w:rPr>
                <w:b/>
                <w:sz w:val="20"/>
              </w:rPr>
              <w:t xml:space="preserve">FY </w:t>
            </w:r>
            <w:r>
              <w:rPr>
                <w:b/>
                <w:sz w:val="20"/>
              </w:rPr>
              <w:t>2015-16</w:t>
            </w:r>
          </w:p>
        </w:tc>
      </w:tr>
      <w:tr w:rsidR="007C5447">
        <w:trPr>
          <w:trHeight w:val="359"/>
        </w:trPr>
        <w:tc>
          <w:tcPr>
            <w:tcW w:w="562" w:type="dxa"/>
          </w:tcPr>
          <w:p w:rsidR="007C5447" w:rsidRDefault="00F6308C">
            <w:pPr>
              <w:pStyle w:val="TableParagraph"/>
              <w:spacing w:before="65"/>
              <w:ind w:left="230"/>
              <w:jc w:val="left"/>
              <w:rPr>
                <w:sz w:val="20"/>
              </w:rPr>
            </w:pPr>
            <w:r>
              <w:rPr>
                <w:w w:val="99"/>
                <w:sz w:val="20"/>
              </w:rPr>
              <w:t>1</w:t>
            </w:r>
          </w:p>
        </w:tc>
        <w:tc>
          <w:tcPr>
            <w:tcW w:w="2130" w:type="dxa"/>
          </w:tcPr>
          <w:p w:rsidR="007C5447" w:rsidRDefault="00F6308C">
            <w:pPr>
              <w:pStyle w:val="TableParagraph"/>
              <w:spacing w:before="65"/>
              <w:ind w:left="107"/>
              <w:jc w:val="left"/>
              <w:rPr>
                <w:sz w:val="20"/>
              </w:rPr>
            </w:pPr>
            <w:r>
              <w:rPr>
                <w:sz w:val="20"/>
              </w:rPr>
              <w:t>Ennore TPS</w:t>
            </w:r>
          </w:p>
        </w:tc>
        <w:tc>
          <w:tcPr>
            <w:tcW w:w="1275" w:type="dxa"/>
          </w:tcPr>
          <w:p w:rsidR="007C5447" w:rsidRDefault="00F6308C">
            <w:pPr>
              <w:pStyle w:val="TableParagraph"/>
              <w:spacing w:before="65"/>
              <w:ind w:right="97"/>
              <w:rPr>
                <w:sz w:val="20"/>
              </w:rPr>
            </w:pPr>
            <w:r>
              <w:rPr>
                <w:sz w:val="20"/>
              </w:rPr>
              <w:t>744</w:t>
            </w:r>
          </w:p>
        </w:tc>
        <w:tc>
          <w:tcPr>
            <w:tcW w:w="1275" w:type="dxa"/>
          </w:tcPr>
          <w:p w:rsidR="007C5447" w:rsidRDefault="00F6308C">
            <w:pPr>
              <w:pStyle w:val="TableParagraph"/>
              <w:spacing w:before="65"/>
              <w:ind w:right="98"/>
              <w:rPr>
                <w:sz w:val="20"/>
              </w:rPr>
            </w:pPr>
            <w:r>
              <w:rPr>
                <w:sz w:val="20"/>
              </w:rPr>
              <w:t>610</w:t>
            </w:r>
          </w:p>
        </w:tc>
        <w:tc>
          <w:tcPr>
            <w:tcW w:w="1277" w:type="dxa"/>
          </w:tcPr>
          <w:p w:rsidR="007C5447" w:rsidRDefault="00F6308C">
            <w:pPr>
              <w:pStyle w:val="TableParagraph"/>
              <w:spacing w:before="65"/>
              <w:ind w:right="100"/>
              <w:rPr>
                <w:sz w:val="20"/>
              </w:rPr>
            </w:pPr>
            <w:r>
              <w:rPr>
                <w:sz w:val="20"/>
              </w:rPr>
              <w:t>1,011</w:t>
            </w:r>
          </w:p>
        </w:tc>
        <w:tc>
          <w:tcPr>
            <w:tcW w:w="1278" w:type="dxa"/>
          </w:tcPr>
          <w:p w:rsidR="007C5447" w:rsidRDefault="00F6308C">
            <w:pPr>
              <w:pStyle w:val="TableParagraph"/>
              <w:spacing w:before="65"/>
              <w:ind w:right="98"/>
              <w:rPr>
                <w:sz w:val="20"/>
              </w:rPr>
            </w:pPr>
            <w:r>
              <w:rPr>
                <w:sz w:val="20"/>
              </w:rPr>
              <w:t>485</w:t>
            </w:r>
          </w:p>
        </w:tc>
        <w:tc>
          <w:tcPr>
            <w:tcW w:w="1275" w:type="dxa"/>
          </w:tcPr>
          <w:p w:rsidR="007C5447" w:rsidRDefault="00F6308C">
            <w:pPr>
              <w:pStyle w:val="TableParagraph"/>
              <w:spacing w:before="65"/>
              <w:ind w:right="97"/>
              <w:rPr>
                <w:sz w:val="20"/>
              </w:rPr>
            </w:pPr>
            <w:r>
              <w:rPr>
                <w:sz w:val="20"/>
              </w:rPr>
              <w:t>392</w:t>
            </w:r>
          </w:p>
        </w:tc>
      </w:tr>
      <w:tr w:rsidR="007C5447">
        <w:trPr>
          <w:trHeight w:val="359"/>
        </w:trPr>
        <w:tc>
          <w:tcPr>
            <w:tcW w:w="562" w:type="dxa"/>
          </w:tcPr>
          <w:p w:rsidR="007C5447" w:rsidRDefault="00F6308C">
            <w:pPr>
              <w:pStyle w:val="TableParagraph"/>
              <w:spacing w:before="65"/>
              <w:ind w:left="230"/>
              <w:jc w:val="left"/>
              <w:rPr>
                <w:sz w:val="20"/>
              </w:rPr>
            </w:pPr>
            <w:r>
              <w:rPr>
                <w:w w:val="99"/>
                <w:sz w:val="20"/>
              </w:rPr>
              <w:t>2</w:t>
            </w:r>
          </w:p>
        </w:tc>
        <w:tc>
          <w:tcPr>
            <w:tcW w:w="2130" w:type="dxa"/>
          </w:tcPr>
          <w:p w:rsidR="007C5447" w:rsidRDefault="00F6308C">
            <w:pPr>
              <w:pStyle w:val="TableParagraph"/>
              <w:spacing w:before="65"/>
              <w:ind w:left="107"/>
              <w:jc w:val="left"/>
              <w:rPr>
                <w:sz w:val="20"/>
              </w:rPr>
            </w:pPr>
            <w:r>
              <w:rPr>
                <w:sz w:val="20"/>
              </w:rPr>
              <w:t>Tuticorin TPS</w:t>
            </w:r>
          </w:p>
        </w:tc>
        <w:tc>
          <w:tcPr>
            <w:tcW w:w="1275" w:type="dxa"/>
          </w:tcPr>
          <w:p w:rsidR="007C5447" w:rsidRDefault="00F6308C">
            <w:pPr>
              <w:pStyle w:val="TableParagraph"/>
              <w:spacing w:before="65"/>
              <w:ind w:right="99"/>
              <w:rPr>
                <w:sz w:val="20"/>
              </w:rPr>
            </w:pPr>
            <w:r>
              <w:rPr>
                <w:w w:val="95"/>
                <w:sz w:val="20"/>
              </w:rPr>
              <w:t>7,262</w:t>
            </w:r>
          </w:p>
        </w:tc>
        <w:tc>
          <w:tcPr>
            <w:tcW w:w="1275" w:type="dxa"/>
          </w:tcPr>
          <w:p w:rsidR="007C5447" w:rsidRDefault="00F6308C">
            <w:pPr>
              <w:pStyle w:val="TableParagraph"/>
              <w:spacing w:before="65"/>
              <w:ind w:right="100"/>
              <w:rPr>
                <w:sz w:val="20"/>
              </w:rPr>
            </w:pPr>
            <w:r>
              <w:rPr>
                <w:w w:val="95"/>
                <w:sz w:val="20"/>
              </w:rPr>
              <w:t>7,620</w:t>
            </w:r>
          </w:p>
        </w:tc>
        <w:tc>
          <w:tcPr>
            <w:tcW w:w="1277" w:type="dxa"/>
          </w:tcPr>
          <w:p w:rsidR="007C5447" w:rsidRDefault="00F6308C">
            <w:pPr>
              <w:pStyle w:val="TableParagraph"/>
              <w:spacing w:before="65"/>
              <w:ind w:right="100"/>
              <w:rPr>
                <w:sz w:val="20"/>
              </w:rPr>
            </w:pPr>
            <w:r>
              <w:rPr>
                <w:sz w:val="20"/>
              </w:rPr>
              <w:t>7,253</w:t>
            </w:r>
          </w:p>
        </w:tc>
        <w:tc>
          <w:tcPr>
            <w:tcW w:w="1278" w:type="dxa"/>
          </w:tcPr>
          <w:p w:rsidR="007C5447" w:rsidRDefault="00F6308C">
            <w:pPr>
              <w:pStyle w:val="TableParagraph"/>
              <w:spacing w:before="65"/>
              <w:ind w:right="101"/>
              <w:rPr>
                <w:sz w:val="20"/>
              </w:rPr>
            </w:pPr>
            <w:r>
              <w:rPr>
                <w:sz w:val="20"/>
              </w:rPr>
              <w:t>7,043</w:t>
            </w:r>
          </w:p>
        </w:tc>
        <w:tc>
          <w:tcPr>
            <w:tcW w:w="1275" w:type="dxa"/>
          </w:tcPr>
          <w:p w:rsidR="007C5447" w:rsidRDefault="00F6308C">
            <w:pPr>
              <w:pStyle w:val="TableParagraph"/>
              <w:spacing w:before="65"/>
              <w:ind w:right="98"/>
              <w:rPr>
                <w:sz w:val="20"/>
              </w:rPr>
            </w:pPr>
            <w:r>
              <w:rPr>
                <w:sz w:val="20"/>
              </w:rPr>
              <w:t>6,501</w:t>
            </w:r>
          </w:p>
        </w:tc>
      </w:tr>
      <w:tr w:rsidR="007C5447">
        <w:trPr>
          <w:trHeight w:val="359"/>
        </w:trPr>
        <w:tc>
          <w:tcPr>
            <w:tcW w:w="562" w:type="dxa"/>
          </w:tcPr>
          <w:p w:rsidR="007C5447" w:rsidRDefault="00F6308C">
            <w:pPr>
              <w:pStyle w:val="TableParagraph"/>
              <w:spacing w:before="65"/>
              <w:ind w:left="230"/>
              <w:jc w:val="left"/>
              <w:rPr>
                <w:sz w:val="20"/>
              </w:rPr>
            </w:pPr>
            <w:r>
              <w:rPr>
                <w:w w:val="99"/>
                <w:sz w:val="20"/>
              </w:rPr>
              <w:t>3</w:t>
            </w:r>
          </w:p>
        </w:tc>
        <w:tc>
          <w:tcPr>
            <w:tcW w:w="2130" w:type="dxa"/>
          </w:tcPr>
          <w:p w:rsidR="007C5447" w:rsidRDefault="00F6308C">
            <w:pPr>
              <w:pStyle w:val="TableParagraph"/>
              <w:spacing w:before="65"/>
              <w:ind w:left="107"/>
              <w:jc w:val="left"/>
              <w:rPr>
                <w:sz w:val="20"/>
              </w:rPr>
            </w:pPr>
            <w:r>
              <w:rPr>
                <w:sz w:val="20"/>
              </w:rPr>
              <w:t>Mettur TPS</w:t>
            </w:r>
          </w:p>
        </w:tc>
        <w:tc>
          <w:tcPr>
            <w:tcW w:w="1275" w:type="dxa"/>
          </w:tcPr>
          <w:p w:rsidR="007C5447" w:rsidRDefault="00F6308C">
            <w:pPr>
              <w:pStyle w:val="TableParagraph"/>
              <w:spacing w:before="65"/>
              <w:ind w:right="99"/>
              <w:rPr>
                <w:sz w:val="20"/>
              </w:rPr>
            </w:pPr>
            <w:r>
              <w:rPr>
                <w:w w:val="95"/>
                <w:sz w:val="20"/>
              </w:rPr>
              <w:t>6,280</w:t>
            </w:r>
          </w:p>
        </w:tc>
        <w:tc>
          <w:tcPr>
            <w:tcW w:w="1275" w:type="dxa"/>
          </w:tcPr>
          <w:p w:rsidR="007C5447" w:rsidRDefault="00F6308C">
            <w:pPr>
              <w:pStyle w:val="TableParagraph"/>
              <w:spacing w:before="65"/>
              <w:ind w:right="100"/>
              <w:rPr>
                <w:sz w:val="20"/>
              </w:rPr>
            </w:pPr>
            <w:r>
              <w:rPr>
                <w:w w:val="95"/>
                <w:sz w:val="20"/>
              </w:rPr>
              <w:t>5,684</w:t>
            </w:r>
          </w:p>
        </w:tc>
        <w:tc>
          <w:tcPr>
            <w:tcW w:w="1277" w:type="dxa"/>
          </w:tcPr>
          <w:p w:rsidR="007C5447" w:rsidRDefault="00F6308C">
            <w:pPr>
              <w:pStyle w:val="TableParagraph"/>
              <w:spacing w:before="65"/>
              <w:ind w:right="100"/>
              <w:rPr>
                <w:sz w:val="20"/>
              </w:rPr>
            </w:pPr>
            <w:r>
              <w:rPr>
                <w:sz w:val="20"/>
              </w:rPr>
              <w:t>5,928</w:t>
            </w:r>
          </w:p>
        </w:tc>
        <w:tc>
          <w:tcPr>
            <w:tcW w:w="1278" w:type="dxa"/>
          </w:tcPr>
          <w:p w:rsidR="007C5447" w:rsidRDefault="00F6308C">
            <w:pPr>
              <w:pStyle w:val="TableParagraph"/>
              <w:spacing w:before="65"/>
              <w:ind w:right="101"/>
              <w:rPr>
                <w:sz w:val="20"/>
              </w:rPr>
            </w:pPr>
            <w:r>
              <w:rPr>
                <w:sz w:val="20"/>
              </w:rPr>
              <w:t>5,697</w:t>
            </w:r>
          </w:p>
        </w:tc>
        <w:tc>
          <w:tcPr>
            <w:tcW w:w="1275" w:type="dxa"/>
          </w:tcPr>
          <w:p w:rsidR="007C5447" w:rsidRDefault="00F6308C">
            <w:pPr>
              <w:pStyle w:val="TableParagraph"/>
              <w:spacing w:before="65"/>
              <w:ind w:right="98"/>
              <w:rPr>
                <w:sz w:val="20"/>
              </w:rPr>
            </w:pPr>
            <w:r>
              <w:rPr>
                <w:sz w:val="20"/>
              </w:rPr>
              <w:t>5,406</w:t>
            </w:r>
          </w:p>
        </w:tc>
      </w:tr>
      <w:tr w:rsidR="007C5447">
        <w:trPr>
          <w:trHeight w:val="359"/>
        </w:trPr>
        <w:tc>
          <w:tcPr>
            <w:tcW w:w="562" w:type="dxa"/>
          </w:tcPr>
          <w:p w:rsidR="007C5447" w:rsidRDefault="00F6308C">
            <w:pPr>
              <w:pStyle w:val="TableParagraph"/>
              <w:spacing w:before="65"/>
              <w:ind w:left="230"/>
              <w:jc w:val="left"/>
              <w:rPr>
                <w:sz w:val="20"/>
              </w:rPr>
            </w:pPr>
            <w:r>
              <w:rPr>
                <w:w w:val="99"/>
                <w:sz w:val="20"/>
              </w:rPr>
              <w:t>4</w:t>
            </w:r>
          </w:p>
        </w:tc>
        <w:tc>
          <w:tcPr>
            <w:tcW w:w="2130" w:type="dxa"/>
          </w:tcPr>
          <w:p w:rsidR="007C5447" w:rsidRDefault="00F6308C">
            <w:pPr>
              <w:pStyle w:val="TableParagraph"/>
              <w:spacing w:before="65"/>
              <w:ind w:left="107"/>
              <w:jc w:val="left"/>
              <w:rPr>
                <w:sz w:val="20"/>
              </w:rPr>
            </w:pPr>
            <w:r>
              <w:rPr>
                <w:sz w:val="20"/>
              </w:rPr>
              <w:t>Mettur Stage III TPS</w:t>
            </w:r>
          </w:p>
        </w:tc>
        <w:tc>
          <w:tcPr>
            <w:tcW w:w="1275" w:type="dxa"/>
          </w:tcPr>
          <w:p w:rsidR="007C5447" w:rsidRDefault="00F6308C">
            <w:pPr>
              <w:pStyle w:val="TableParagraph"/>
              <w:spacing w:before="65"/>
              <w:ind w:right="96"/>
              <w:rPr>
                <w:sz w:val="20"/>
              </w:rPr>
            </w:pPr>
            <w:r>
              <w:rPr>
                <w:w w:val="99"/>
                <w:sz w:val="20"/>
              </w:rPr>
              <w:t>-</w:t>
            </w:r>
          </w:p>
        </w:tc>
        <w:tc>
          <w:tcPr>
            <w:tcW w:w="1275" w:type="dxa"/>
          </w:tcPr>
          <w:p w:rsidR="007C5447" w:rsidRDefault="00F6308C">
            <w:pPr>
              <w:pStyle w:val="TableParagraph"/>
              <w:spacing w:before="65"/>
              <w:ind w:right="96"/>
              <w:rPr>
                <w:sz w:val="20"/>
              </w:rPr>
            </w:pPr>
            <w:r>
              <w:rPr>
                <w:w w:val="99"/>
                <w:sz w:val="20"/>
              </w:rPr>
              <w:t>-</w:t>
            </w:r>
          </w:p>
        </w:tc>
        <w:tc>
          <w:tcPr>
            <w:tcW w:w="1277" w:type="dxa"/>
          </w:tcPr>
          <w:p w:rsidR="007C5447" w:rsidRDefault="00F6308C">
            <w:pPr>
              <w:pStyle w:val="TableParagraph"/>
              <w:spacing w:before="65"/>
              <w:ind w:right="100"/>
              <w:rPr>
                <w:sz w:val="20"/>
              </w:rPr>
            </w:pPr>
            <w:r>
              <w:rPr>
                <w:sz w:val="20"/>
              </w:rPr>
              <w:t>1,840</w:t>
            </w:r>
          </w:p>
        </w:tc>
        <w:tc>
          <w:tcPr>
            <w:tcW w:w="1278" w:type="dxa"/>
          </w:tcPr>
          <w:p w:rsidR="007C5447" w:rsidRDefault="00F6308C">
            <w:pPr>
              <w:pStyle w:val="TableParagraph"/>
              <w:spacing w:before="65"/>
              <w:ind w:right="101"/>
              <w:rPr>
                <w:sz w:val="20"/>
              </w:rPr>
            </w:pPr>
            <w:r>
              <w:rPr>
                <w:sz w:val="20"/>
              </w:rPr>
              <w:t>2,802</w:t>
            </w:r>
          </w:p>
        </w:tc>
        <w:tc>
          <w:tcPr>
            <w:tcW w:w="1275" w:type="dxa"/>
          </w:tcPr>
          <w:p w:rsidR="007C5447" w:rsidRDefault="00F6308C">
            <w:pPr>
              <w:pStyle w:val="TableParagraph"/>
              <w:spacing w:before="65"/>
              <w:ind w:right="98"/>
              <w:rPr>
                <w:sz w:val="20"/>
              </w:rPr>
            </w:pPr>
            <w:r>
              <w:rPr>
                <w:sz w:val="20"/>
              </w:rPr>
              <w:t>2,664</w:t>
            </w:r>
          </w:p>
        </w:tc>
      </w:tr>
      <w:tr w:rsidR="007C5447">
        <w:trPr>
          <w:trHeight w:val="359"/>
        </w:trPr>
        <w:tc>
          <w:tcPr>
            <w:tcW w:w="562" w:type="dxa"/>
          </w:tcPr>
          <w:p w:rsidR="007C5447" w:rsidRDefault="00F6308C">
            <w:pPr>
              <w:pStyle w:val="TableParagraph"/>
              <w:spacing w:before="65"/>
              <w:ind w:left="230"/>
              <w:jc w:val="left"/>
              <w:rPr>
                <w:sz w:val="20"/>
              </w:rPr>
            </w:pPr>
            <w:r>
              <w:rPr>
                <w:w w:val="99"/>
                <w:sz w:val="20"/>
              </w:rPr>
              <w:t>5</w:t>
            </w:r>
          </w:p>
        </w:tc>
        <w:tc>
          <w:tcPr>
            <w:tcW w:w="2130" w:type="dxa"/>
          </w:tcPr>
          <w:p w:rsidR="007C5447" w:rsidRDefault="00F6308C">
            <w:pPr>
              <w:pStyle w:val="TableParagraph"/>
              <w:spacing w:before="65"/>
              <w:ind w:left="107"/>
              <w:jc w:val="left"/>
              <w:rPr>
                <w:sz w:val="20"/>
              </w:rPr>
            </w:pPr>
            <w:r>
              <w:rPr>
                <w:sz w:val="20"/>
              </w:rPr>
              <w:t>North Chennai TPS</w:t>
            </w:r>
          </w:p>
        </w:tc>
        <w:tc>
          <w:tcPr>
            <w:tcW w:w="1275" w:type="dxa"/>
          </w:tcPr>
          <w:p w:rsidR="007C5447" w:rsidRDefault="00F6308C">
            <w:pPr>
              <w:pStyle w:val="TableParagraph"/>
              <w:spacing w:before="65"/>
              <w:ind w:right="99"/>
              <w:rPr>
                <w:sz w:val="20"/>
              </w:rPr>
            </w:pPr>
            <w:r>
              <w:rPr>
                <w:w w:val="95"/>
                <w:sz w:val="20"/>
              </w:rPr>
              <w:t>4,301</w:t>
            </w:r>
          </w:p>
        </w:tc>
        <w:tc>
          <w:tcPr>
            <w:tcW w:w="1275" w:type="dxa"/>
          </w:tcPr>
          <w:p w:rsidR="007C5447" w:rsidRDefault="00F6308C">
            <w:pPr>
              <w:pStyle w:val="TableParagraph"/>
              <w:spacing w:before="65"/>
              <w:ind w:right="100"/>
              <w:rPr>
                <w:sz w:val="20"/>
              </w:rPr>
            </w:pPr>
            <w:r>
              <w:rPr>
                <w:w w:val="95"/>
                <w:sz w:val="20"/>
              </w:rPr>
              <w:t>4,634</w:t>
            </w:r>
          </w:p>
        </w:tc>
        <w:tc>
          <w:tcPr>
            <w:tcW w:w="1277" w:type="dxa"/>
          </w:tcPr>
          <w:p w:rsidR="007C5447" w:rsidRDefault="00F6308C">
            <w:pPr>
              <w:pStyle w:val="TableParagraph"/>
              <w:spacing w:before="65"/>
              <w:ind w:right="100"/>
              <w:rPr>
                <w:sz w:val="20"/>
              </w:rPr>
            </w:pPr>
            <w:r>
              <w:rPr>
                <w:sz w:val="20"/>
              </w:rPr>
              <w:t>3,720</w:t>
            </w:r>
          </w:p>
        </w:tc>
        <w:tc>
          <w:tcPr>
            <w:tcW w:w="1278" w:type="dxa"/>
          </w:tcPr>
          <w:p w:rsidR="007C5447" w:rsidRDefault="00F6308C">
            <w:pPr>
              <w:pStyle w:val="TableParagraph"/>
              <w:spacing w:before="65"/>
              <w:ind w:right="101"/>
              <w:rPr>
                <w:sz w:val="20"/>
              </w:rPr>
            </w:pPr>
            <w:r>
              <w:rPr>
                <w:sz w:val="20"/>
              </w:rPr>
              <w:t>3,865</w:t>
            </w:r>
          </w:p>
        </w:tc>
        <w:tc>
          <w:tcPr>
            <w:tcW w:w="1275" w:type="dxa"/>
          </w:tcPr>
          <w:p w:rsidR="007C5447" w:rsidRDefault="00F6308C">
            <w:pPr>
              <w:pStyle w:val="TableParagraph"/>
              <w:spacing w:before="65"/>
              <w:ind w:right="98"/>
              <w:rPr>
                <w:sz w:val="20"/>
              </w:rPr>
            </w:pPr>
            <w:r>
              <w:rPr>
                <w:sz w:val="20"/>
              </w:rPr>
              <w:t>4,071</w:t>
            </w:r>
          </w:p>
        </w:tc>
      </w:tr>
      <w:tr w:rsidR="007C5447">
        <w:trPr>
          <w:trHeight w:val="492"/>
        </w:trPr>
        <w:tc>
          <w:tcPr>
            <w:tcW w:w="562" w:type="dxa"/>
          </w:tcPr>
          <w:p w:rsidR="007C5447" w:rsidRDefault="00F6308C">
            <w:pPr>
              <w:pStyle w:val="TableParagraph"/>
              <w:spacing w:before="133"/>
              <w:ind w:left="230"/>
              <w:jc w:val="left"/>
              <w:rPr>
                <w:sz w:val="20"/>
              </w:rPr>
            </w:pPr>
            <w:r>
              <w:rPr>
                <w:w w:val="99"/>
                <w:sz w:val="20"/>
              </w:rPr>
              <w:t>6</w:t>
            </w:r>
          </w:p>
        </w:tc>
        <w:tc>
          <w:tcPr>
            <w:tcW w:w="2130" w:type="dxa"/>
          </w:tcPr>
          <w:p w:rsidR="007C5447" w:rsidRDefault="00F6308C">
            <w:pPr>
              <w:pStyle w:val="TableParagraph"/>
              <w:spacing w:before="17" w:line="230" w:lineRule="atLeast"/>
              <w:ind w:left="107"/>
              <w:jc w:val="left"/>
              <w:rPr>
                <w:sz w:val="20"/>
              </w:rPr>
            </w:pPr>
            <w:r>
              <w:rPr>
                <w:sz w:val="20"/>
              </w:rPr>
              <w:t>North Chennai Stage II TPS</w:t>
            </w:r>
          </w:p>
        </w:tc>
        <w:tc>
          <w:tcPr>
            <w:tcW w:w="1275" w:type="dxa"/>
          </w:tcPr>
          <w:p w:rsidR="007C5447" w:rsidRDefault="00F6308C">
            <w:pPr>
              <w:pStyle w:val="TableParagraph"/>
              <w:spacing w:before="133"/>
              <w:ind w:right="96"/>
              <w:rPr>
                <w:sz w:val="20"/>
              </w:rPr>
            </w:pPr>
            <w:r>
              <w:rPr>
                <w:w w:val="99"/>
                <w:sz w:val="20"/>
              </w:rPr>
              <w:t>-</w:t>
            </w:r>
          </w:p>
        </w:tc>
        <w:tc>
          <w:tcPr>
            <w:tcW w:w="1275" w:type="dxa"/>
          </w:tcPr>
          <w:p w:rsidR="007C5447" w:rsidRDefault="00F6308C">
            <w:pPr>
              <w:pStyle w:val="TableParagraph"/>
              <w:spacing w:before="133"/>
              <w:ind w:right="96"/>
              <w:rPr>
                <w:sz w:val="20"/>
              </w:rPr>
            </w:pPr>
            <w:r>
              <w:rPr>
                <w:w w:val="99"/>
                <w:sz w:val="20"/>
              </w:rPr>
              <w:t>-</w:t>
            </w:r>
          </w:p>
        </w:tc>
        <w:tc>
          <w:tcPr>
            <w:tcW w:w="1277" w:type="dxa"/>
          </w:tcPr>
          <w:p w:rsidR="007C5447" w:rsidRDefault="00F6308C">
            <w:pPr>
              <w:pStyle w:val="TableParagraph"/>
              <w:spacing w:before="133"/>
              <w:ind w:right="96"/>
              <w:rPr>
                <w:sz w:val="20"/>
              </w:rPr>
            </w:pPr>
            <w:r>
              <w:rPr>
                <w:w w:val="99"/>
                <w:sz w:val="20"/>
              </w:rPr>
              <w:t>-</w:t>
            </w:r>
          </w:p>
        </w:tc>
        <w:tc>
          <w:tcPr>
            <w:tcW w:w="1278" w:type="dxa"/>
          </w:tcPr>
          <w:p w:rsidR="007C5447" w:rsidRDefault="00F6308C">
            <w:pPr>
              <w:pStyle w:val="TableParagraph"/>
              <w:spacing w:before="133"/>
              <w:ind w:right="101"/>
              <w:rPr>
                <w:sz w:val="20"/>
              </w:rPr>
            </w:pPr>
            <w:r>
              <w:rPr>
                <w:sz w:val="20"/>
              </w:rPr>
              <w:t>5,187</w:t>
            </w:r>
          </w:p>
        </w:tc>
        <w:tc>
          <w:tcPr>
            <w:tcW w:w="1275" w:type="dxa"/>
          </w:tcPr>
          <w:p w:rsidR="007C5447" w:rsidRDefault="00F6308C">
            <w:pPr>
              <w:pStyle w:val="TableParagraph"/>
              <w:spacing w:before="133"/>
              <w:ind w:right="98"/>
              <w:rPr>
                <w:sz w:val="20"/>
              </w:rPr>
            </w:pPr>
            <w:r>
              <w:rPr>
                <w:sz w:val="20"/>
              </w:rPr>
              <w:t>4,468</w:t>
            </w:r>
          </w:p>
        </w:tc>
      </w:tr>
      <w:tr w:rsidR="007C5447">
        <w:trPr>
          <w:trHeight w:val="359"/>
        </w:trPr>
        <w:tc>
          <w:tcPr>
            <w:tcW w:w="562" w:type="dxa"/>
            <w:shd w:val="clear" w:color="auto" w:fill="D9D9D9"/>
          </w:tcPr>
          <w:p w:rsidR="007C5447" w:rsidRDefault="007C5447">
            <w:pPr>
              <w:pStyle w:val="TableParagraph"/>
              <w:jc w:val="left"/>
              <w:rPr>
                <w:sz w:val="20"/>
              </w:rPr>
            </w:pPr>
          </w:p>
        </w:tc>
        <w:tc>
          <w:tcPr>
            <w:tcW w:w="2130" w:type="dxa"/>
            <w:shd w:val="clear" w:color="auto" w:fill="D9D9D9"/>
          </w:tcPr>
          <w:p w:rsidR="007C5447" w:rsidRDefault="00F6308C">
            <w:pPr>
              <w:pStyle w:val="TableParagraph"/>
              <w:spacing w:before="65"/>
              <w:ind w:left="107"/>
              <w:jc w:val="left"/>
              <w:rPr>
                <w:b/>
                <w:sz w:val="20"/>
              </w:rPr>
            </w:pPr>
            <w:r>
              <w:rPr>
                <w:b/>
                <w:sz w:val="20"/>
              </w:rPr>
              <w:t>Total Thermal</w:t>
            </w:r>
          </w:p>
        </w:tc>
        <w:tc>
          <w:tcPr>
            <w:tcW w:w="1275" w:type="dxa"/>
            <w:shd w:val="clear" w:color="auto" w:fill="D9D9D9"/>
          </w:tcPr>
          <w:p w:rsidR="007C5447" w:rsidRDefault="00F6308C">
            <w:pPr>
              <w:pStyle w:val="TableParagraph"/>
              <w:spacing w:before="65"/>
              <w:ind w:right="99"/>
              <w:rPr>
                <w:b/>
                <w:sz w:val="20"/>
              </w:rPr>
            </w:pPr>
            <w:r>
              <w:rPr>
                <w:b/>
                <w:w w:val="95"/>
                <w:sz w:val="20"/>
              </w:rPr>
              <w:t>18,587</w:t>
            </w:r>
          </w:p>
        </w:tc>
        <w:tc>
          <w:tcPr>
            <w:tcW w:w="1275" w:type="dxa"/>
            <w:shd w:val="clear" w:color="auto" w:fill="D9D9D9"/>
          </w:tcPr>
          <w:p w:rsidR="007C5447" w:rsidRDefault="00F6308C">
            <w:pPr>
              <w:pStyle w:val="TableParagraph"/>
              <w:spacing w:before="65"/>
              <w:ind w:right="100"/>
              <w:rPr>
                <w:b/>
                <w:sz w:val="20"/>
              </w:rPr>
            </w:pPr>
            <w:r>
              <w:rPr>
                <w:b/>
                <w:w w:val="95"/>
                <w:sz w:val="20"/>
              </w:rPr>
              <w:t>18,549</w:t>
            </w:r>
          </w:p>
        </w:tc>
        <w:tc>
          <w:tcPr>
            <w:tcW w:w="1277" w:type="dxa"/>
            <w:shd w:val="clear" w:color="auto" w:fill="D9D9D9"/>
          </w:tcPr>
          <w:p w:rsidR="007C5447" w:rsidRDefault="00F6308C">
            <w:pPr>
              <w:pStyle w:val="TableParagraph"/>
              <w:spacing w:before="65"/>
              <w:ind w:right="100"/>
              <w:rPr>
                <w:b/>
                <w:sz w:val="20"/>
              </w:rPr>
            </w:pPr>
            <w:r>
              <w:rPr>
                <w:b/>
                <w:w w:val="95"/>
                <w:sz w:val="20"/>
              </w:rPr>
              <w:t>19,752</w:t>
            </w:r>
          </w:p>
        </w:tc>
        <w:tc>
          <w:tcPr>
            <w:tcW w:w="1278" w:type="dxa"/>
            <w:shd w:val="clear" w:color="auto" w:fill="D9D9D9"/>
          </w:tcPr>
          <w:p w:rsidR="007C5447" w:rsidRDefault="00F6308C">
            <w:pPr>
              <w:pStyle w:val="TableParagraph"/>
              <w:spacing w:before="65"/>
              <w:ind w:right="101"/>
              <w:rPr>
                <w:b/>
                <w:sz w:val="20"/>
              </w:rPr>
            </w:pPr>
            <w:r>
              <w:rPr>
                <w:b/>
                <w:w w:val="95"/>
                <w:sz w:val="20"/>
              </w:rPr>
              <w:t>25,079</w:t>
            </w:r>
          </w:p>
        </w:tc>
        <w:tc>
          <w:tcPr>
            <w:tcW w:w="1275" w:type="dxa"/>
            <w:shd w:val="clear" w:color="auto" w:fill="D9D9D9"/>
          </w:tcPr>
          <w:p w:rsidR="007C5447" w:rsidRDefault="00F6308C">
            <w:pPr>
              <w:pStyle w:val="TableParagraph"/>
              <w:spacing w:before="65"/>
              <w:ind w:right="99"/>
              <w:rPr>
                <w:b/>
                <w:sz w:val="20"/>
              </w:rPr>
            </w:pPr>
            <w:r>
              <w:rPr>
                <w:b/>
                <w:w w:val="95"/>
                <w:sz w:val="20"/>
              </w:rPr>
              <w:t>23,502</w:t>
            </w:r>
          </w:p>
        </w:tc>
      </w:tr>
      <w:tr w:rsidR="007C5447">
        <w:trPr>
          <w:trHeight w:val="359"/>
        </w:trPr>
        <w:tc>
          <w:tcPr>
            <w:tcW w:w="562" w:type="dxa"/>
          </w:tcPr>
          <w:p w:rsidR="007C5447" w:rsidRDefault="00F6308C">
            <w:pPr>
              <w:pStyle w:val="TableParagraph"/>
              <w:spacing w:before="65"/>
              <w:ind w:left="230"/>
              <w:jc w:val="left"/>
              <w:rPr>
                <w:sz w:val="20"/>
              </w:rPr>
            </w:pPr>
            <w:r>
              <w:rPr>
                <w:w w:val="99"/>
                <w:sz w:val="20"/>
              </w:rPr>
              <w:t>1</w:t>
            </w:r>
          </w:p>
        </w:tc>
        <w:tc>
          <w:tcPr>
            <w:tcW w:w="2130" w:type="dxa"/>
          </w:tcPr>
          <w:p w:rsidR="007C5447" w:rsidRDefault="00F6308C">
            <w:pPr>
              <w:pStyle w:val="TableParagraph"/>
              <w:spacing w:before="65"/>
              <w:ind w:left="107"/>
              <w:jc w:val="left"/>
              <w:rPr>
                <w:sz w:val="20"/>
              </w:rPr>
            </w:pPr>
            <w:r>
              <w:rPr>
                <w:sz w:val="20"/>
              </w:rPr>
              <w:t>Tirumakottai GTPS</w:t>
            </w:r>
          </w:p>
        </w:tc>
        <w:tc>
          <w:tcPr>
            <w:tcW w:w="1275" w:type="dxa"/>
          </w:tcPr>
          <w:p w:rsidR="007C5447" w:rsidRDefault="00F6308C">
            <w:pPr>
              <w:pStyle w:val="TableParagraph"/>
              <w:spacing w:before="65"/>
              <w:ind w:right="97"/>
              <w:rPr>
                <w:sz w:val="20"/>
              </w:rPr>
            </w:pPr>
            <w:r>
              <w:rPr>
                <w:sz w:val="20"/>
              </w:rPr>
              <w:t>663</w:t>
            </w:r>
          </w:p>
        </w:tc>
        <w:tc>
          <w:tcPr>
            <w:tcW w:w="1275" w:type="dxa"/>
          </w:tcPr>
          <w:p w:rsidR="007C5447" w:rsidRDefault="00F6308C">
            <w:pPr>
              <w:pStyle w:val="TableParagraph"/>
              <w:spacing w:before="65"/>
              <w:ind w:right="98"/>
              <w:rPr>
                <w:sz w:val="20"/>
              </w:rPr>
            </w:pPr>
            <w:r>
              <w:rPr>
                <w:sz w:val="20"/>
              </w:rPr>
              <w:t>682</w:t>
            </w:r>
          </w:p>
        </w:tc>
        <w:tc>
          <w:tcPr>
            <w:tcW w:w="1277" w:type="dxa"/>
          </w:tcPr>
          <w:p w:rsidR="007C5447" w:rsidRDefault="00F6308C">
            <w:pPr>
              <w:pStyle w:val="TableParagraph"/>
              <w:spacing w:before="65"/>
              <w:ind w:right="98"/>
              <w:rPr>
                <w:sz w:val="20"/>
              </w:rPr>
            </w:pPr>
            <w:r>
              <w:rPr>
                <w:sz w:val="20"/>
              </w:rPr>
              <w:t>456</w:t>
            </w:r>
          </w:p>
        </w:tc>
        <w:tc>
          <w:tcPr>
            <w:tcW w:w="1278" w:type="dxa"/>
          </w:tcPr>
          <w:p w:rsidR="007C5447" w:rsidRDefault="00F6308C">
            <w:pPr>
              <w:pStyle w:val="TableParagraph"/>
              <w:spacing w:before="65"/>
              <w:ind w:right="98"/>
              <w:rPr>
                <w:sz w:val="20"/>
              </w:rPr>
            </w:pPr>
            <w:r>
              <w:rPr>
                <w:sz w:val="20"/>
              </w:rPr>
              <w:t>382</w:t>
            </w:r>
          </w:p>
        </w:tc>
        <w:tc>
          <w:tcPr>
            <w:tcW w:w="1275" w:type="dxa"/>
          </w:tcPr>
          <w:p w:rsidR="007C5447" w:rsidRDefault="00F6308C">
            <w:pPr>
              <w:pStyle w:val="TableParagraph"/>
              <w:spacing w:before="65"/>
              <w:ind w:right="97"/>
              <w:rPr>
                <w:sz w:val="20"/>
              </w:rPr>
            </w:pPr>
            <w:r>
              <w:rPr>
                <w:sz w:val="20"/>
              </w:rPr>
              <w:t>363</w:t>
            </w:r>
          </w:p>
        </w:tc>
      </w:tr>
      <w:tr w:rsidR="007C5447">
        <w:trPr>
          <w:trHeight w:val="359"/>
        </w:trPr>
        <w:tc>
          <w:tcPr>
            <w:tcW w:w="562" w:type="dxa"/>
          </w:tcPr>
          <w:p w:rsidR="007C5447" w:rsidRDefault="00F6308C">
            <w:pPr>
              <w:pStyle w:val="TableParagraph"/>
              <w:spacing w:before="65"/>
              <w:ind w:left="230"/>
              <w:jc w:val="left"/>
              <w:rPr>
                <w:sz w:val="20"/>
              </w:rPr>
            </w:pPr>
            <w:r>
              <w:rPr>
                <w:w w:val="99"/>
                <w:sz w:val="20"/>
              </w:rPr>
              <w:t>2</w:t>
            </w:r>
          </w:p>
        </w:tc>
        <w:tc>
          <w:tcPr>
            <w:tcW w:w="2130" w:type="dxa"/>
          </w:tcPr>
          <w:p w:rsidR="007C5447" w:rsidRDefault="00F6308C">
            <w:pPr>
              <w:pStyle w:val="TableParagraph"/>
              <w:spacing w:before="65"/>
              <w:ind w:left="107"/>
              <w:jc w:val="left"/>
              <w:rPr>
                <w:sz w:val="20"/>
              </w:rPr>
            </w:pPr>
            <w:r>
              <w:rPr>
                <w:sz w:val="20"/>
              </w:rPr>
              <w:t>Kuttalam GTPS</w:t>
            </w:r>
          </w:p>
        </w:tc>
        <w:tc>
          <w:tcPr>
            <w:tcW w:w="1275" w:type="dxa"/>
          </w:tcPr>
          <w:p w:rsidR="007C5447" w:rsidRDefault="00F6308C">
            <w:pPr>
              <w:pStyle w:val="TableParagraph"/>
              <w:spacing w:before="65"/>
              <w:ind w:right="97"/>
              <w:rPr>
                <w:sz w:val="20"/>
              </w:rPr>
            </w:pPr>
            <w:r>
              <w:rPr>
                <w:sz w:val="20"/>
              </w:rPr>
              <w:t>385</w:t>
            </w:r>
          </w:p>
        </w:tc>
        <w:tc>
          <w:tcPr>
            <w:tcW w:w="1275" w:type="dxa"/>
          </w:tcPr>
          <w:p w:rsidR="007C5447" w:rsidRDefault="00F6308C">
            <w:pPr>
              <w:pStyle w:val="TableParagraph"/>
              <w:spacing w:before="65"/>
              <w:ind w:right="98"/>
              <w:rPr>
                <w:sz w:val="20"/>
              </w:rPr>
            </w:pPr>
            <w:r>
              <w:rPr>
                <w:sz w:val="20"/>
              </w:rPr>
              <w:t>51</w:t>
            </w:r>
          </w:p>
        </w:tc>
        <w:tc>
          <w:tcPr>
            <w:tcW w:w="1277" w:type="dxa"/>
          </w:tcPr>
          <w:p w:rsidR="007C5447" w:rsidRDefault="00F6308C">
            <w:pPr>
              <w:pStyle w:val="TableParagraph"/>
              <w:spacing w:before="65"/>
              <w:ind w:right="98"/>
              <w:rPr>
                <w:sz w:val="20"/>
              </w:rPr>
            </w:pPr>
            <w:r>
              <w:rPr>
                <w:sz w:val="20"/>
              </w:rPr>
              <w:t>594</w:t>
            </w:r>
          </w:p>
        </w:tc>
        <w:tc>
          <w:tcPr>
            <w:tcW w:w="1278" w:type="dxa"/>
          </w:tcPr>
          <w:p w:rsidR="007C5447" w:rsidRDefault="00F6308C">
            <w:pPr>
              <w:pStyle w:val="TableParagraph"/>
              <w:spacing w:before="65"/>
              <w:ind w:right="98"/>
              <w:rPr>
                <w:sz w:val="20"/>
              </w:rPr>
            </w:pPr>
            <w:r>
              <w:rPr>
                <w:sz w:val="20"/>
              </w:rPr>
              <w:t>459</w:t>
            </w:r>
          </w:p>
        </w:tc>
        <w:tc>
          <w:tcPr>
            <w:tcW w:w="1275" w:type="dxa"/>
          </w:tcPr>
          <w:p w:rsidR="007C5447" w:rsidRDefault="00F6308C">
            <w:pPr>
              <w:pStyle w:val="TableParagraph"/>
              <w:spacing w:before="65"/>
              <w:ind w:right="97"/>
              <w:rPr>
                <w:sz w:val="20"/>
              </w:rPr>
            </w:pPr>
            <w:r>
              <w:rPr>
                <w:sz w:val="20"/>
              </w:rPr>
              <w:t>552</w:t>
            </w:r>
          </w:p>
        </w:tc>
      </w:tr>
      <w:tr w:rsidR="007C5447">
        <w:trPr>
          <w:trHeight w:val="359"/>
        </w:trPr>
        <w:tc>
          <w:tcPr>
            <w:tcW w:w="562" w:type="dxa"/>
          </w:tcPr>
          <w:p w:rsidR="007C5447" w:rsidRDefault="00F6308C">
            <w:pPr>
              <w:pStyle w:val="TableParagraph"/>
              <w:spacing w:before="65"/>
              <w:ind w:left="230"/>
              <w:jc w:val="left"/>
              <w:rPr>
                <w:sz w:val="20"/>
              </w:rPr>
            </w:pPr>
            <w:r>
              <w:rPr>
                <w:w w:val="99"/>
                <w:sz w:val="20"/>
              </w:rPr>
              <w:t>3</w:t>
            </w:r>
          </w:p>
        </w:tc>
        <w:tc>
          <w:tcPr>
            <w:tcW w:w="2130" w:type="dxa"/>
          </w:tcPr>
          <w:p w:rsidR="007C5447" w:rsidRDefault="00F6308C">
            <w:pPr>
              <w:pStyle w:val="TableParagraph"/>
              <w:spacing w:before="65"/>
              <w:ind w:left="107"/>
              <w:jc w:val="left"/>
              <w:rPr>
                <w:sz w:val="20"/>
              </w:rPr>
            </w:pPr>
            <w:r>
              <w:rPr>
                <w:sz w:val="20"/>
              </w:rPr>
              <w:t>Basin Bridge GTPS</w:t>
            </w:r>
          </w:p>
        </w:tc>
        <w:tc>
          <w:tcPr>
            <w:tcW w:w="1275" w:type="dxa"/>
          </w:tcPr>
          <w:p w:rsidR="007C5447" w:rsidRDefault="00F6308C">
            <w:pPr>
              <w:pStyle w:val="TableParagraph"/>
              <w:spacing w:before="65"/>
              <w:ind w:right="97"/>
              <w:rPr>
                <w:sz w:val="20"/>
              </w:rPr>
            </w:pPr>
            <w:r>
              <w:rPr>
                <w:sz w:val="20"/>
              </w:rPr>
              <w:t>29</w:t>
            </w:r>
          </w:p>
        </w:tc>
        <w:tc>
          <w:tcPr>
            <w:tcW w:w="1275" w:type="dxa"/>
          </w:tcPr>
          <w:p w:rsidR="007C5447" w:rsidRDefault="00F6308C">
            <w:pPr>
              <w:pStyle w:val="TableParagraph"/>
              <w:spacing w:before="65"/>
              <w:ind w:right="99"/>
              <w:rPr>
                <w:sz w:val="20"/>
              </w:rPr>
            </w:pPr>
            <w:r>
              <w:rPr>
                <w:w w:val="99"/>
                <w:sz w:val="20"/>
              </w:rPr>
              <w:t>0</w:t>
            </w:r>
          </w:p>
        </w:tc>
        <w:tc>
          <w:tcPr>
            <w:tcW w:w="1277" w:type="dxa"/>
          </w:tcPr>
          <w:p w:rsidR="007C5447" w:rsidRDefault="00F6308C">
            <w:pPr>
              <w:pStyle w:val="TableParagraph"/>
              <w:spacing w:before="65"/>
              <w:ind w:right="99"/>
              <w:rPr>
                <w:sz w:val="20"/>
              </w:rPr>
            </w:pPr>
            <w:r>
              <w:rPr>
                <w:w w:val="99"/>
                <w:sz w:val="20"/>
              </w:rPr>
              <w:t>1</w:t>
            </w:r>
          </w:p>
        </w:tc>
        <w:tc>
          <w:tcPr>
            <w:tcW w:w="1278" w:type="dxa"/>
          </w:tcPr>
          <w:p w:rsidR="007C5447" w:rsidRDefault="00F6308C">
            <w:pPr>
              <w:pStyle w:val="TableParagraph"/>
              <w:spacing w:before="65"/>
              <w:ind w:right="100"/>
              <w:rPr>
                <w:sz w:val="20"/>
              </w:rPr>
            </w:pPr>
            <w:r>
              <w:rPr>
                <w:w w:val="99"/>
                <w:sz w:val="20"/>
              </w:rPr>
              <w:t>3</w:t>
            </w:r>
          </w:p>
        </w:tc>
        <w:tc>
          <w:tcPr>
            <w:tcW w:w="1275" w:type="dxa"/>
          </w:tcPr>
          <w:p w:rsidR="007C5447" w:rsidRDefault="00F6308C">
            <w:pPr>
              <w:pStyle w:val="TableParagraph"/>
              <w:spacing w:before="65"/>
              <w:ind w:right="97"/>
              <w:rPr>
                <w:sz w:val="20"/>
              </w:rPr>
            </w:pPr>
            <w:r>
              <w:rPr>
                <w:sz w:val="20"/>
              </w:rPr>
              <w:t>11</w:t>
            </w:r>
          </w:p>
        </w:tc>
      </w:tr>
      <w:tr w:rsidR="007C5447">
        <w:trPr>
          <w:trHeight w:val="362"/>
        </w:trPr>
        <w:tc>
          <w:tcPr>
            <w:tcW w:w="562" w:type="dxa"/>
          </w:tcPr>
          <w:p w:rsidR="007C5447" w:rsidRDefault="00F6308C">
            <w:pPr>
              <w:pStyle w:val="TableParagraph"/>
              <w:spacing w:before="67"/>
              <w:ind w:left="230"/>
              <w:jc w:val="left"/>
              <w:rPr>
                <w:sz w:val="20"/>
              </w:rPr>
            </w:pPr>
            <w:r>
              <w:rPr>
                <w:w w:val="99"/>
                <w:sz w:val="20"/>
              </w:rPr>
              <w:t>4</w:t>
            </w:r>
          </w:p>
        </w:tc>
        <w:tc>
          <w:tcPr>
            <w:tcW w:w="2130" w:type="dxa"/>
          </w:tcPr>
          <w:p w:rsidR="007C5447" w:rsidRDefault="00F6308C">
            <w:pPr>
              <w:pStyle w:val="TableParagraph"/>
              <w:spacing w:before="67"/>
              <w:ind w:left="107"/>
              <w:jc w:val="left"/>
              <w:rPr>
                <w:sz w:val="20"/>
              </w:rPr>
            </w:pPr>
            <w:r>
              <w:rPr>
                <w:sz w:val="20"/>
              </w:rPr>
              <w:t>Valathur GTPS Unit 1</w:t>
            </w:r>
          </w:p>
        </w:tc>
        <w:tc>
          <w:tcPr>
            <w:tcW w:w="1275" w:type="dxa"/>
          </w:tcPr>
          <w:p w:rsidR="007C5447" w:rsidRDefault="00F6308C">
            <w:pPr>
              <w:pStyle w:val="TableParagraph"/>
              <w:spacing w:before="67"/>
              <w:ind w:right="97"/>
              <w:rPr>
                <w:sz w:val="20"/>
              </w:rPr>
            </w:pPr>
            <w:r>
              <w:rPr>
                <w:sz w:val="20"/>
              </w:rPr>
              <w:t>619</w:t>
            </w:r>
          </w:p>
        </w:tc>
        <w:tc>
          <w:tcPr>
            <w:tcW w:w="1275" w:type="dxa"/>
          </w:tcPr>
          <w:p w:rsidR="007C5447" w:rsidRDefault="00F6308C">
            <w:pPr>
              <w:pStyle w:val="TableParagraph"/>
              <w:spacing w:before="67"/>
              <w:ind w:right="98"/>
              <w:rPr>
                <w:sz w:val="20"/>
              </w:rPr>
            </w:pPr>
            <w:r>
              <w:rPr>
                <w:sz w:val="20"/>
              </w:rPr>
              <w:t>424</w:t>
            </w:r>
          </w:p>
        </w:tc>
        <w:tc>
          <w:tcPr>
            <w:tcW w:w="1277" w:type="dxa"/>
          </w:tcPr>
          <w:p w:rsidR="007C5447" w:rsidRDefault="00F6308C">
            <w:pPr>
              <w:pStyle w:val="TableParagraph"/>
              <w:spacing w:before="67"/>
              <w:ind w:right="98"/>
              <w:rPr>
                <w:sz w:val="20"/>
              </w:rPr>
            </w:pPr>
            <w:r>
              <w:rPr>
                <w:sz w:val="20"/>
              </w:rPr>
              <w:t>687</w:t>
            </w:r>
          </w:p>
        </w:tc>
        <w:tc>
          <w:tcPr>
            <w:tcW w:w="1278" w:type="dxa"/>
          </w:tcPr>
          <w:p w:rsidR="007C5447" w:rsidRDefault="00F6308C">
            <w:pPr>
              <w:pStyle w:val="TableParagraph"/>
              <w:spacing w:before="67"/>
              <w:ind w:right="98"/>
              <w:rPr>
                <w:sz w:val="20"/>
              </w:rPr>
            </w:pPr>
            <w:r>
              <w:rPr>
                <w:sz w:val="20"/>
              </w:rPr>
              <w:t>996</w:t>
            </w:r>
          </w:p>
        </w:tc>
        <w:tc>
          <w:tcPr>
            <w:tcW w:w="1275" w:type="dxa"/>
          </w:tcPr>
          <w:p w:rsidR="007C5447" w:rsidRDefault="00F6308C">
            <w:pPr>
              <w:pStyle w:val="TableParagraph"/>
              <w:spacing w:before="67"/>
              <w:ind w:right="97"/>
              <w:rPr>
                <w:sz w:val="20"/>
              </w:rPr>
            </w:pPr>
            <w:r>
              <w:rPr>
                <w:sz w:val="20"/>
              </w:rPr>
              <w:t>680</w:t>
            </w:r>
          </w:p>
        </w:tc>
      </w:tr>
    </w:tbl>
    <w:p w:rsidR="007C5447" w:rsidRDefault="007C5447">
      <w:pPr>
        <w:rPr>
          <w:sz w:val="20"/>
        </w:rPr>
        <w:sectPr w:rsidR="007C5447">
          <w:pgSz w:w="11910" w:h="16840"/>
          <w:pgMar w:top="1420" w:right="560" w:bottom="1240" w:left="760" w:header="0" w:footer="1057" w:gutter="0"/>
          <w:cols w:space="720"/>
        </w:sect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2130"/>
        <w:gridCol w:w="1275"/>
        <w:gridCol w:w="1275"/>
        <w:gridCol w:w="1277"/>
        <w:gridCol w:w="1278"/>
        <w:gridCol w:w="1275"/>
      </w:tblGrid>
      <w:tr w:rsidR="007C5447">
        <w:trPr>
          <w:trHeight w:val="360"/>
        </w:trPr>
        <w:tc>
          <w:tcPr>
            <w:tcW w:w="562" w:type="dxa"/>
            <w:shd w:val="clear" w:color="auto" w:fill="F7C9AC"/>
          </w:tcPr>
          <w:p w:rsidR="007C5447" w:rsidRDefault="00F6308C">
            <w:pPr>
              <w:pStyle w:val="TableParagraph"/>
              <w:spacing w:before="65"/>
              <w:ind w:left="172"/>
              <w:jc w:val="left"/>
              <w:rPr>
                <w:b/>
                <w:sz w:val="20"/>
              </w:rPr>
            </w:pPr>
            <w:r>
              <w:rPr>
                <w:b/>
                <w:sz w:val="20"/>
              </w:rPr>
              <w:lastRenderedPageBreak/>
              <w:t>Sl.</w:t>
            </w:r>
          </w:p>
        </w:tc>
        <w:tc>
          <w:tcPr>
            <w:tcW w:w="2130" w:type="dxa"/>
            <w:shd w:val="clear" w:color="auto" w:fill="F7C9AC"/>
          </w:tcPr>
          <w:p w:rsidR="007C5447" w:rsidRDefault="00F6308C">
            <w:pPr>
              <w:pStyle w:val="TableParagraph"/>
              <w:spacing w:before="65"/>
              <w:ind w:left="735" w:right="733"/>
              <w:jc w:val="center"/>
              <w:rPr>
                <w:b/>
                <w:sz w:val="20"/>
              </w:rPr>
            </w:pPr>
            <w:r>
              <w:rPr>
                <w:b/>
                <w:sz w:val="20"/>
              </w:rPr>
              <w:t>Station</w:t>
            </w:r>
          </w:p>
        </w:tc>
        <w:tc>
          <w:tcPr>
            <w:tcW w:w="1275" w:type="dxa"/>
            <w:shd w:val="clear" w:color="auto" w:fill="F7C9AC"/>
          </w:tcPr>
          <w:p w:rsidR="007C5447" w:rsidRDefault="00F6308C">
            <w:pPr>
              <w:pStyle w:val="TableParagraph"/>
              <w:spacing w:before="65"/>
              <w:ind w:right="133"/>
              <w:rPr>
                <w:b/>
                <w:sz w:val="20"/>
              </w:rPr>
            </w:pPr>
            <w:r>
              <w:rPr>
                <w:b/>
                <w:sz w:val="20"/>
              </w:rPr>
              <w:t>FY 2011-12</w:t>
            </w:r>
          </w:p>
        </w:tc>
        <w:tc>
          <w:tcPr>
            <w:tcW w:w="1275" w:type="dxa"/>
            <w:shd w:val="clear" w:color="auto" w:fill="F7C9AC"/>
          </w:tcPr>
          <w:p w:rsidR="007C5447" w:rsidRDefault="00F6308C">
            <w:pPr>
              <w:pStyle w:val="TableParagraph"/>
              <w:spacing w:before="65"/>
              <w:ind w:right="134"/>
              <w:rPr>
                <w:b/>
                <w:sz w:val="20"/>
              </w:rPr>
            </w:pPr>
            <w:r>
              <w:rPr>
                <w:b/>
                <w:sz w:val="20"/>
              </w:rPr>
              <w:t>FY 2012-13</w:t>
            </w:r>
          </w:p>
        </w:tc>
        <w:tc>
          <w:tcPr>
            <w:tcW w:w="1277" w:type="dxa"/>
            <w:shd w:val="clear" w:color="auto" w:fill="F7C9AC"/>
          </w:tcPr>
          <w:p w:rsidR="007C5447" w:rsidRDefault="00F6308C">
            <w:pPr>
              <w:pStyle w:val="TableParagraph"/>
              <w:spacing w:before="65"/>
              <w:ind w:right="134"/>
              <w:rPr>
                <w:b/>
                <w:sz w:val="20"/>
              </w:rPr>
            </w:pPr>
            <w:r>
              <w:rPr>
                <w:b/>
                <w:sz w:val="20"/>
              </w:rPr>
              <w:t>FY 2013-14</w:t>
            </w:r>
          </w:p>
        </w:tc>
        <w:tc>
          <w:tcPr>
            <w:tcW w:w="1278" w:type="dxa"/>
            <w:shd w:val="clear" w:color="auto" w:fill="F7C9AC"/>
          </w:tcPr>
          <w:p w:rsidR="007C5447" w:rsidRDefault="00F6308C">
            <w:pPr>
              <w:pStyle w:val="TableParagraph"/>
              <w:spacing w:before="65"/>
              <w:ind w:right="134"/>
              <w:rPr>
                <w:b/>
                <w:sz w:val="20"/>
              </w:rPr>
            </w:pPr>
            <w:r>
              <w:rPr>
                <w:b/>
                <w:sz w:val="20"/>
              </w:rPr>
              <w:t>FY 2014-15</w:t>
            </w:r>
          </w:p>
        </w:tc>
        <w:tc>
          <w:tcPr>
            <w:tcW w:w="1275" w:type="dxa"/>
            <w:shd w:val="clear" w:color="auto" w:fill="F7C9AC"/>
          </w:tcPr>
          <w:p w:rsidR="007C5447" w:rsidRDefault="00F6308C">
            <w:pPr>
              <w:pStyle w:val="TableParagraph"/>
              <w:spacing w:before="65"/>
              <w:ind w:right="133"/>
              <w:rPr>
                <w:b/>
                <w:sz w:val="20"/>
              </w:rPr>
            </w:pPr>
            <w:r>
              <w:rPr>
                <w:b/>
                <w:sz w:val="20"/>
              </w:rPr>
              <w:t>FY 2015-16</w:t>
            </w:r>
          </w:p>
        </w:tc>
      </w:tr>
      <w:tr w:rsidR="007C5447">
        <w:trPr>
          <w:trHeight w:val="359"/>
        </w:trPr>
        <w:tc>
          <w:tcPr>
            <w:tcW w:w="562" w:type="dxa"/>
          </w:tcPr>
          <w:p w:rsidR="007C5447" w:rsidRDefault="00F6308C">
            <w:pPr>
              <w:pStyle w:val="TableParagraph"/>
              <w:spacing w:before="65"/>
              <w:ind w:left="230"/>
              <w:jc w:val="left"/>
              <w:rPr>
                <w:sz w:val="20"/>
              </w:rPr>
            </w:pPr>
            <w:r>
              <w:rPr>
                <w:w w:val="99"/>
                <w:sz w:val="20"/>
              </w:rPr>
              <w:t>5</w:t>
            </w:r>
          </w:p>
        </w:tc>
        <w:tc>
          <w:tcPr>
            <w:tcW w:w="2130" w:type="dxa"/>
          </w:tcPr>
          <w:p w:rsidR="007C5447" w:rsidRDefault="00F6308C">
            <w:pPr>
              <w:pStyle w:val="TableParagraph"/>
              <w:spacing w:before="65"/>
              <w:ind w:left="107"/>
              <w:jc w:val="left"/>
              <w:rPr>
                <w:sz w:val="20"/>
              </w:rPr>
            </w:pPr>
            <w:r>
              <w:rPr>
                <w:sz w:val="20"/>
              </w:rPr>
              <w:t>Valathur GTPS Unit 2</w:t>
            </w:r>
          </w:p>
        </w:tc>
        <w:tc>
          <w:tcPr>
            <w:tcW w:w="1275" w:type="dxa"/>
          </w:tcPr>
          <w:p w:rsidR="007C5447" w:rsidRDefault="00F6308C">
            <w:pPr>
              <w:pStyle w:val="TableParagraph"/>
              <w:spacing w:before="65"/>
              <w:ind w:right="97"/>
              <w:rPr>
                <w:sz w:val="20"/>
              </w:rPr>
            </w:pPr>
            <w:r>
              <w:rPr>
                <w:sz w:val="20"/>
              </w:rPr>
              <w:t>426</w:t>
            </w:r>
          </w:p>
        </w:tc>
        <w:tc>
          <w:tcPr>
            <w:tcW w:w="1275" w:type="dxa"/>
          </w:tcPr>
          <w:p w:rsidR="007C5447" w:rsidRDefault="00F6308C">
            <w:pPr>
              <w:pStyle w:val="TableParagraph"/>
              <w:spacing w:before="65"/>
              <w:ind w:right="98"/>
              <w:rPr>
                <w:sz w:val="20"/>
              </w:rPr>
            </w:pPr>
            <w:r>
              <w:rPr>
                <w:sz w:val="20"/>
              </w:rPr>
              <w:t>461</w:t>
            </w:r>
          </w:p>
        </w:tc>
        <w:tc>
          <w:tcPr>
            <w:tcW w:w="1277" w:type="dxa"/>
          </w:tcPr>
          <w:p w:rsidR="007C5447" w:rsidRDefault="00F6308C">
            <w:pPr>
              <w:pStyle w:val="TableParagraph"/>
              <w:spacing w:before="65"/>
              <w:ind w:right="98"/>
              <w:rPr>
                <w:sz w:val="20"/>
              </w:rPr>
            </w:pPr>
            <w:r>
              <w:rPr>
                <w:sz w:val="20"/>
              </w:rPr>
              <w:t>494</w:t>
            </w:r>
          </w:p>
        </w:tc>
        <w:tc>
          <w:tcPr>
            <w:tcW w:w="1278" w:type="dxa"/>
          </w:tcPr>
          <w:p w:rsidR="007C5447" w:rsidRDefault="007C5447">
            <w:pPr>
              <w:pStyle w:val="TableParagraph"/>
              <w:jc w:val="left"/>
              <w:rPr>
                <w:sz w:val="20"/>
              </w:rPr>
            </w:pPr>
          </w:p>
        </w:tc>
        <w:tc>
          <w:tcPr>
            <w:tcW w:w="1275" w:type="dxa"/>
          </w:tcPr>
          <w:p w:rsidR="007C5447" w:rsidRDefault="007C5447">
            <w:pPr>
              <w:pStyle w:val="TableParagraph"/>
              <w:jc w:val="left"/>
              <w:rPr>
                <w:sz w:val="20"/>
              </w:rPr>
            </w:pPr>
          </w:p>
        </w:tc>
      </w:tr>
      <w:tr w:rsidR="007C5447">
        <w:trPr>
          <w:trHeight w:val="362"/>
        </w:trPr>
        <w:tc>
          <w:tcPr>
            <w:tcW w:w="562" w:type="dxa"/>
            <w:shd w:val="clear" w:color="auto" w:fill="D9D9D9"/>
          </w:tcPr>
          <w:p w:rsidR="007C5447" w:rsidRDefault="007C5447">
            <w:pPr>
              <w:pStyle w:val="TableParagraph"/>
              <w:jc w:val="left"/>
              <w:rPr>
                <w:sz w:val="20"/>
              </w:rPr>
            </w:pPr>
          </w:p>
        </w:tc>
        <w:tc>
          <w:tcPr>
            <w:tcW w:w="2130" w:type="dxa"/>
            <w:shd w:val="clear" w:color="auto" w:fill="D9D9D9"/>
          </w:tcPr>
          <w:p w:rsidR="007C5447" w:rsidRDefault="00F6308C">
            <w:pPr>
              <w:pStyle w:val="TableParagraph"/>
              <w:spacing w:before="65"/>
              <w:ind w:left="107"/>
              <w:jc w:val="left"/>
              <w:rPr>
                <w:b/>
                <w:sz w:val="20"/>
              </w:rPr>
            </w:pPr>
            <w:r>
              <w:rPr>
                <w:b/>
                <w:sz w:val="20"/>
              </w:rPr>
              <w:t>Total Gas</w:t>
            </w:r>
          </w:p>
        </w:tc>
        <w:tc>
          <w:tcPr>
            <w:tcW w:w="1275" w:type="dxa"/>
            <w:shd w:val="clear" w:color="auto" w:fill="D9D9D9"/>
          </w:tcPr>
          <w:p w:rsidR="007C5447" w:rsidRDefault="00F6308C">
            <w:pPr>
              <w:pStyle w:val="TableParagraph"/>
              <w:spacing w:before="65"/>
              <w:ind w:right="99"/>
              <w:rPr>
                <w:b/>
                <w:sz w:val="20"/>
              </w:rPr>
            </w:pPr>
            <w:r>
              <w:rPr>
                <w:b/>
                <w:w w:val="95"/>
                <w:sz w:val="20"/>
              </w:rPr>
              <w:t>2,122</w:t>
            </w:r>
          </w:p>
        </w:tc>
        <w:tc>
          <w:tcPr>
            <w:tcW w:w="1275" w:type="dxa"/>
            <w:shd w:val="clear" w:color="auto" w:fill="D9D9D9"/>
          </w:tcPr>
          <w:p w:rsidR="007C5447" w:rsidRDefault="00F6308C">
            <w:pPr>
              <w:pStyle w:val="TableParagraph"/>
              <w:spacing w:before="65"/>
              <w:ind w:right="100"/>
              <w:rPr>
                <w:b/>
                <w:sz w:val="20"/>
              </w:rPr>
            </w:pPr>
            <w:r>
              <w:rPr>
                <w:b/>
                <w:w w:val="95"/>
                <w:sz w:val="20"/>
              </w:rPr>
              <w:t>1,618</w:t>
            </w:r>
          </w:p>
        </w:tc>
        <w:tc>
          <w:tcPr>
            <w:tcW w:w="1277" w:type="dxa"/>
            <w:shd w:val="clear" w:color="auto" w:fill="D9D9D9"/>
          </w:tcPr>
          <w:p w:rsidR="007C5447" w:rsidRDefault="00F6308C">
            <w:pPr>
              <w:pStyle w:val="TableParagraph"/>
              <w:spacing w:before="65"/>
              <w:ind w:right="100"/>
              <w:rPr>
                <w:b/>
                <w:sz w:val="20"/>
              </w:rPr>
            </w:pPr>
            <w:r>
              <w:rPr>
                <w:b/>
                <w:sz w:val="20"/>
              </w:rPr>
              <w:t>2,232</w:t>
            </w:r>
          </w:p>
        </w:tc>
        <w:tc>
          <w:tcPr>
            <w:tcW w:w="1278" w:type="dxa"/>
            <w:shd w:val="clear" w:color="auto" w:fill="D9D9D9"/>
          </w:tcPr>
          <w:p w:rsidR="007C5447" w:rsidRDefault="00F6308C">
            <w:pPr>
              <w:pStyle w:val="TableParagraph"/>
              <w:spacing w:before="65"/>
              <w:ind w:right="101"/>
              <w:rPr>
                <w:b/>
                <w:sz w:val="20"/>
              </w:rPr>
            </w:pPr>
            <w:r>
              <w:rPr>
                <w:b/>
                <w:sz w:val="20"/>
              </w:rPr>
              <w:t>1,840</w:t>
            </w:r>
          </w:p>
        </w:tc>
        <w:tc>
          <w:tcPr>
            <w:tcW w:w="1275" w:type="dxa"/>
            <w:shd w:val="clear" w:color="auto" w:fill="D9D9D9"/>
          </w:tcPr>
          <w:p w:rsidR="007C5447" w:rsidRDefault="00F6308C">
            <w:pPr>
              <w:pStyle w:val="TableParagraph"/>
              <w:spacing w:before="65"/>
              <w:ind w:right="98"/>
              <w:rPr>
                <w:b/>
                <w:sz w:val="20"/>
              </w:rPr>
            </w:pPr>
            <w:r>
              <w:rPr>
                <w:b/>
                <w:sz w:val="20"/>
              </w:rPr>
              <w:t>1,606</w:t>
            </w:r>
          </w:p>
        </w:tc>
      </w:tr>
      <w:tr w:rsidR="007C5447">
        <w:trPr>
          <w:trHeight w:val="359"/>
        </w:trPr>
        <w:tc>
          <w:tcPr>
            <w:tcW w:w="562" w:type="dxa"/>
          </w:tcPr>
          <w:p w:rsidR="007C5447" w:rsidRDefault="007C5447">
            <w:pPr>
              <w:pStyle w:val="TableParagraph"/>
              <w:jc w:val="left"/>
              <w:rPr>
                <w:sz w:val="20"/>
              </w:rPr>
            </w:pPr>
          </w:p>
        </w:tc>
        <w:tc>
          <w:tcPr>
            <w:tcW w:w="2130" w:type="dxa"/>
          </w:tcPr>
          <w:p w:rsidR="007C5447" w:rsidRDefault="00F6308C">
            <w:pPr>
              <w:pStyle w:val="TableParagraph"/>
              <w:spacing w:before="65"/>
              <w:ind w:left="107"/>
              <w:jc w:val="left"/>
              <w:rPr>
                <w:sz w:val="20"/>
              </w:rPr>
            </w:pPr>
            <w:r>
              <w:rPr>
                <w:sz w:val="20"/>
              </w:rPr>
              <w:t>Hydro</w:t>
            </w:r>
          </w:p>
        </w:tc>
        <w:tc>
          <w:tcPr>
            <w:tcW w:w="1275" w:type="dxa"/>
          </w:tcPr>
          <w:p w:rsidR="007C5447" w:rsidRDefault="00F6308C">
            <w:pPr>
              <w:pStyle w:val="TableParagraph"/>
              <w:spacing w:before="65"/>
              <w:ind w:right="99"/>
              <w:rPr>
                <w:sz w:val="20"/>
              </w:rPr>
            </w:pPr>
            <w:r>
              <w:rPr>
                <w:w w:val="95"/>
                <w:sz w:val="20"/>
              </w:rPr>
              <w:t>4,277</w:t>
            </w:r>
          </w:p>
        </w:tc>
        <w:tc>
          <w:tcPr>
            <w:tcW w:w="1275" w:type="dxa"/>
          </w:tcPr>
          <w:p w:rsidR="007C5447" w:rsidRDefault="00F6308C">
            <w:pPr>
              <w:pStyle w:val="TableParagraph"/>
              <w:spacing w:before="65"/>
              <w:ind w:right="100"/>
              <w:rPr>
                <w:sz w:val="20"/>
              </w:rPr>
            </w:pPr>
            <w:r>
              <w:rPr>
                <w:w w:val="95"/>
                <w:sz w:val="20"/>
              </w:rPr>
              <w:t>2,415</w:t>
            </w:r>
          </w:p>
        </w:tc>
        <w:tc>
          <w:tcPr>
            <w:tcW w:w="1277" w:type="dxa"/>
          </w:tcPr>
          <w:p w:rsidR="007C5447" w:rsidRDefault="00F6308C">
            <w:pPr>
              <w:pStyle w:val="TableParagraph"/>
              <w:spacing w:before="65"/>
              <w:ind w:right="100"/>
              <w:rPr>
                <w:sz w:val="20"/>
              </w:rPr>
            </w:pPr>
            <w:r>
              <w:rPr>
                <w:sz w:val="20"/>
              </w:rPr>
              <w:t>4,108</w:t>
            </w:r>
          </w:p>
        </w:tc>
        <w:tc>
          <w:tcPr>
            <w:tcW w:w="1278" w:type="dxa"/>
          </w:tcPr>
          <w:p w:rsidR="007C5447" w:rsidRDefault="00F6308C">
            <w:pPr>
              <w:pStyle w:val="TableParagraph"/>
              <w:spacing w:before="65"/>
              <w:ind w:right="101"/>
              <w:rPr>
                <w:sz w:val="20"/>
              </w:rPr>
            </w:pPr>
            <w:r>
              <w:rPr>
                <w:sz w:val="20"/>
              </w:rPr>
              <w:t>4,663</w:t>
            </w:r>
          </w:p>
        </w:tc>
        <w:tc>
          <w:tcPr>
            <w:tcW w:w="1275" w:type="dxa"/>
          </w:tcPr>
          <w:p w:rsidR="007C5447" w:rsidRDefault="00F6308C">
            <w:pPr>
              <w:pStyle w:val="TableParagraph"/>
              <w:spacing w:before="65"/>
              <w:ind w:right="98"/>
              <w:rPr>
                <w:sz w:val="20"/>
              </w:rPr>
            </w:pPr>
            <w:r>
              <w:rPr>
                <w:sz w:val="20"/>
              </w:rPr>
              <w:t>4,025</w:t>
            </w:r>
          </w:p>
        </w:tc>
      </w:tr>
      <w:tr w:rsidR="007C5447">
        <w:trPr>
          <w:trHeight w:val="359"/>
        </w:trPr>
        <w:tc>
          <w:tcPr>
            <w:tcW w:w="562" w:type="dxa"/>
          </w:tcPr>
          <w:p w:rsidR="007C5447" w:rsidRDefault="007C5447">
            <w:pPr>
              <w:pStyle w:val="TableParagraph"/>
              <w:jc w:val="left"/>
              <w:rPr>
                <w:sz w:val="20"/>
              </w:rPr>
            </w:pPr>
          </w:p>
        </w:tc>
        <w:tc>
          <w:tcPr>
            <w:tcW w:w="2130" w:type="dxa"/>
          </w:tcPr>
          <w:p w:rsidR="007C5447" w:rsidRDefault="00F6308C">
            <w:pPr>
              <w:pStyle w:val="TableParagraph"/>
              <w:spacing w:before="65"/>
              <w:ind w:left="107"/>
              <w:jc w:val="left"/>
              <w:rPr>
                <w:sz w:val="20"/>
              </w:rPr>
            </w:pPr>
            <w:r>
              <w:rPr>
                <w:sz w:val="20"/>
              </w:rPr>
              <w:t>Wind</w:t>
            </w:r>
          </w:p>
        </w:tc>
        <w:tc>
          <w:tcPr>
            <w:tcW w:w="1275" w:type="dxa"/>
          </w:tcPr>
          <w:p w:rsidR="007C5447" w:rsidRDefault="00F6308C">
            <w:pPr>
              <w:pStyle w:val="TableParagraph"/>
              <w:spacing w:before="65"/>
              <w:ind w:right="97"/>
              <w:rPr>
                <w:sz w:val="20"/>
              </w:rPr>
            </w:pPr>
            <w:r>
              <w:rPr>
                <w:sz w:val="20"/>
              </w:rPr>
              <w:t>12</w:t>
            </w:r>
          </w:p>
        </w:tc>
        <w:tc>
          <w:tcPr>
            <w:tcW w:w="1275" w:type="dxa"/>
          </w:tcPr>
          <w:p w:rsidR="007C5447" w:rsidRDefault="00F6308C">
            <w:pPr>
              <w:pStyle w:val="TableParagraph"/>
              <w:spacing w:before="65"/>
              <w:ind w:right="98"/>
              <w:rPr>
                <w:sz w:val="20"/>
              </w:rPr>
            </w:pPr>
            <w:r>
              <w:rPr>
                <w:sz w:val="20"/>
              </w:rPr>
              <w:t>13</w:t>
            </w:r>
          </w:p>
        </w:tc>
        <w:tc>
          <w:tcPr>
            <w:tcW w:w="1277" w:type="dxa"/>
          </w:tcPr>
          <w:p w:rsidR="007C5447" w:rsidRDefault="00F6308C">
            <w:pPr>
              <w:pStyle w:val="TableParagraph"/>
              <w:spacing w:before="65"/>
              <w:ind w:right="98"/>
              <w:rPr>
                <w:sz w:val="20"/>
              </w:rPr>
            </w:pPr>
            <w:r>
              <w:rPr>
                <w:sz w:val="20"/>
              </w:rPr>
              <w:t>13</w:t>
            </w:r>
          </w:p>
        </w:tc>
        <w:tc>
          <w:tcPr>
            <w:tcW w:w="1278" w:type="dxa"/>
          </w:tcPr>
          <w:p w:rsidR="007C5447" w:rsidRDefault="00F6308C">
            <w:pPr>
              <w:pStyle w:val="TableParagraph"/>
              <w:spacing w:before="65"/>
              <w:ind w:right="100"/>
              <w:rPr>
                <w:sz w:val="20"/>
              </w:rPr>
            </w:pPr>
            <w:r>
              <w:rPr>
                <w:w w:val="99"/>
                <w:sz w:val="20"/>
              </w:rPr>
              <w:t>8</w:t>
            </w:r>
          </w:p>
        </w:tc>
        <w:tc>
          <w:tcPr>
            <w:tcW w:w="1275" w:type="dxa"/>
          </w:tcPr>
          <w:p w:rsidR="007C5447" w:rsidRDefault="00F6308C">
            <w:pPr>
              <w:pStyle w:val="TableParagraph"/>
              <w:spacing w:before="65"/>
              <w:ind w:right="98"/>
              <w:rPr>
                <w:sz w:val="20"/>
              </w:rPr>
            </w:pPr>
            <w:r>
              <w:rPr>
                <w:w w:val="99"/>
                <w:sz w:val="20"/>
              </w:rPr>
              <w:t>7</w:t>
            </w:r>
          </w:p>
        </w:tc>
      </w:tr>
      <w:tr w:rsidR="007C5447">
        <w:trPr>
          <w:trHeight w:val="359"/>
        </w:trPr>
        <w:tc>
          <w:tcPr>
            <w:tcW w:w="562" w:type="dxa"/>
            <w:shd w:val="clear" w:color="auto" w:fill="D0CECE"/>
          </w:tcPr>
          <w:p w:rsidR="007C5447" w:rsidRDefault="007C5447">
            <w:pPr>
              <w:pStyle w:val="TableParagraph"/>
              <w:jc w:val="left"/>
              <w:rPr>
                <w:sz w:val="20"/>
              </w:rPr>
            </w:pPr>
          </w:p>
        </w:tc>
        <w:tc>
          <w:tcPr>
            <w:tcW w:w="2130" w:type="dxa"/>
            <w:shd w:val="clear" w:color="auto" w:fill="D0CECE"/>
          </w:tcPr>
          <w:p w:rsidR="007C5447" w:rsidRDefault="00F6308C">
            <w:pPr>
              <w:pStyle w:val="TableParagraph"/>
              <w:spacing w:before="65"/>
              <w:ind w:left="107"/>
              <w:jc w:val="left"/>
              <w:rPr>
                <w:b/>
                <w:sz w:val="20"/>
              </w:rPr>
            </w:pPr>
            <w:r>
              <w:rPr>
                <w:b/>
                <w:sz w:val="20"/>
              </w:rPr>
              <w:t>Total</w:t>
            </w:r>
          </w:p>
        </w:tc>
        <w:tc>
          <w:tcPr>
            <w:tcW w:w="1275" w:type="dxa"/>
            <w:shd w:val="clear" w:color="auto" w:fill="D0CECE"/>
          </w:tcPr>
          <w:p w:rsidR="007C5447" w:rsidRDefault="00F6308C">
            <w:pPr>
              <w:pStyle w:val="TableParagraph"/>
              <w:spacing w:before="65"/>
              <w:ind w:right="99"/>
              <w:rPr>
                <w:b/>
                <w:sz w:val="20"/>
              </w:rPr>
            </w:pPr>
            <w:r>
              <w:rPr>
                <w:b/>
                <w:w w:val="95"/>
                <w:sz w:val="20"/>
              </w:rPr>
              <w:t>24,996</w:t>
            </w:r>
          </w:p>
        </w:tc>
        <w:tc>
          <w:tcPr>
            <w:tcW w:w="1275" w:type="dxa"/>
            <w:shd w:val="clear" w:color="auto" w:fill="D0CECE"/>
          </w:tcPr>
          <w:p w:rsidR="007C5447" w:rsidRDefault="00F6308C">
            <w:pPr>
              <w:pStyle w:val="TableParagraph"/>
              <w:spacing w:before="65"/>
              <w:ind w:right="98"/>
              <w:rPr>
                <w:b/>
                <w:sz w:val="20"/>
              </w:rPr>
            </w:pPr>
            <w:r>
              <w:rPr>
                <w:b/>
                <w:w w:val="95"/>
                <w:sz w:val="20"/>
              </w:rPr>
              <w:t>22,595</w:t>
            </w:r>
          </w:p>
        </w:tc>
        <w:tc>
          <w:tcPr>
            <w:tcW w:w="1277" w:type="dxa"/>
            <w:shd w:val="clear" w:color="auto" w:fill="D0CECE"/>
          </w:tcPr>
          <w:p w:rsidR="007C5447" w:rsidRDefault="00F6308C">
            <w:pPr>
              <w:pStyle w:val="TableParagraph"/>
              <w:spacing w:before="65"/>
              <w:ind w:right="99"/>
              <w:rPr>
                <w:b/>
                <w:sz w:val="20"/>
              </w:rPr>
            </w:pPr>
            <w:r>
              <w:rPr>
                <w:b/>
                <w:w w:val="95"/>
                <w:sz w:val="20"/>
              </w:rPr>
              <w:t>26,104</w:t>
            </w:r>
          </w:p>
        </w:tc>
        <w:tc>
          <w:tcPr>
            <w:tcW w:w="1278" w:type="dxa"/>
            <w:shd w:val="clear" w:color="auto" w:fill="D0CECE"/>
          </w:tcPr>
          <w:p w:rsidR="007C5447" w:rsidRDefault="00F6308C">
            <w:pPr>
              <w:pStyle w:val="TableParagraph"/>
              <w:spacing w:before="65"/>
              <w:ind w:right="101"/>
              <w:rPr>
                <w:b/>
                <w:sz w:val="20"/>
              </w:rPr>
            </w:pPr>
            <w:r>
              <w:rPr>
                <w:b/>
                <w:w w:val="95"/>
                <w:sz w:val="20"/>
              </w:rPr>
              <w:t>31,589</w:t>
            </w:r>
          </w:p>
        </w:tc>
        <w:tc>
          <w:tcPr>
            <w:tcW w:w="1275" w:type="dxa"/>
            <w:shd w:val="clear" w:color="auto" w:fill="D0CECE"/>
          </w:tcPr>
          <w:p w:rsidR="007C5447" w:rsidRDefault="00F6308C">
            <w:pPr>
              <w:pStyle w:val="TableParagraph"/>
              <w:spacing w:before="65"/>
              <w:ind w:right="98"/>
              <w:rPr>
                <w:b/>
                <w:sz w:val="20"/>
              </w:rPr>
            </w:pPr>
            <w:r>
              <w:rPr>
                <w:b/>
                <w:w w:val="95"/>
                <w:sz w:val="20"/>
              </w:rPr>
              <w:t>29,140</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6"/>
        <w:rPr>
          <w:b/>
          <w:sz w:val="22"/>
        </w:rPr>
      </w:pPr>
    </w:p>
    <w:p w:rsidR="007C5447" w:rsidRDefault="00F6308C">
      <w:pPr>
        <w:pStyle w:val="Heading2"/>
        <w:numPr>
          <w:ilvl w:val="2"/>
          <w:numId w:val="114"/>
        </w:numPr>
        <w:tabs>
          <w:tab w:val="left" w:pos="1532"/>
          <w:tab w:val="left" w:pos="1533"/>
        </w:tabs>
        <w:ind w:left="1532" w:hanging="853"/>
      </w:pPr>
      <w:r>
        <w:t>Power Purchase from Other</w:t>
      </w:r>
      <w:r>
        <w:rPr>
          <w:spacing w:val="-3"/>
        </w:rPr>
        <w:t xml:space="preserve"> </w:t>
      </w:r>
      <w:r>
        <w:t>Sources</w:t>
      </w:r>
    </w:p>
    <w:p w:rsidR="007C5447" w:rsidRDefault="007C5447">
      <w:pPr>
        <w:pStyle w:val="BodyText"/>
        <w:spacing w:before="11"/>
        <w:rPr>
          <w:b/>
          <w:sz w:val="27"/>
        </w:rPr>
      </w:pPr>
    </w:p>
    <w:p w:rsidR="007C5447" w:rsidRDefault="00F6308C">
      <w:pPr>
        <w:pStyle w:val="ListParagraph"/>
        <w:numPr>
          <w:ilvl w:val="3"/>
          <w:numId w:val="93"/>
        </w:numPr>
        <w:tabs>
          <w:tab w:val="left" w:pos="1646"/>
        </w:tabs>
        <w:spacing w:line="312" w:lineRule="auto"/>
        <w:ind w:right="882"/>
        <w:jc w:val="both"/>
        <w:rPr>
          <w:sz w:val="24"/>
        </w:rPr>
      </w:pPr>
      <w:r>
        <w:rPr>
          <w:sz w:val="24"/>
        </w:rPr>
        <w:t>TANGEDCO submitted the power purchase from outside/other sources for the period from FY 2011-12 to FY 2015-16 after excluding wheeling units, as shown in the following</w:t>
      </w:r>
      <w:r>
        <w:rPr>
          <w:spacing w:val="-5"/>
          <w:sz w:val="24"/>
        </w:rPr>
        <w:t xml:space="preserve"> </w:t>
      </w:r>
      <w:r>
        <w:rPr>
          <w:sz w:val="24"/>
        </w:rPr>
        <w:t>Table:</w:t>
      </w:r>
    </w:p>
    <w:p w:rsidR="007C5447" w:rsidRDefault="007C5447">
      <w:pPr>
        <w:pStyle w:val="BodyText"/>
        <w:spacing w:before="2"/>
        <w:rPr>
          <w:sz w:val="21"/>
        </w:rPr>
      </w:pPr>
    </w:p>
    <w:p w:rsidR="007C5447" w:rsidRDefault="00F6308C">
      <w:pPr>
        <w:ind w:left="810" w:right="1008"/>
        <w:jc w:val="center"/>
        <w:rPr>
          <w:b/>
        </w:rPr>
      </w:pPr>
      <w:r>
        <w:rPr>
          <w:b/>
        </w:rPr>
        <w:t>Table 3-5: Energy availability from Other Sources as submitted by TANGEDCO (MU)</w:t>
      </w:r>
    </w:p>
    <w:p w:rsidR="007C5447" w:rsidRDefault="007C5447">
      <w:pPr>
        <w:pStyle w:val="BodyText"/>
        <w:spacing w:before="11"/>
        <w:rPr>
          <w:b/>
          <w:sz w:val="16"/>
        </w:rPr>
      </w:pPr>
    </w:p>
    <w:tbl>
      <w:tblPr>
        <w:tblW w:w="0" w:type="auto"/>
        <w:tblInd w:w="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6"/>
        <w:gridCol w:w="1419"/>
        <w:gridCol w:w="1416"/>
        <w:gridCol w:w="1418"/>
        <w:gridCol w:w="1419"/>
        <w:gridCol w:w="1416"/>
      </w:tblGrid>
      <w:tr w:rsidR="007C5447">
        <w:trPr>
          <w:trHeight w:val="448"/>
        </w:trPr>
        <w:tc>
          <w:tcPr>
            <w:tcW w:w="2376" w:type="dxa"/>
            <w:shd w:val="clear" w:color="auto" w:fill="F7C9AC"/>
          </w:tcPr>
          <w:p w:rsidR="007C5447" w:rsidRDefault="00F6308C">
            <w:pPr>
              <w:pStyle w:val="TableParagraph"/>
              <w:spacing w:before="108"/>
              <w:ind w:left="871" w:right="866"/>
              <w:jc w:val="center"/>
              <w:rPr>
                <w:b/>
                <w:sz w:val="20"/>
              </w:rPr>
            </w:pPr>
            <w:r>
              <w:rPr>
                <w:b/>
                <w:sz w:val="20"/>
              </w:rPr>
              <w:t>Source</w:t>
            </w:r>
          </w:p>
        </w:tc>
        <w:tc>
          <w:tcPr>
            <w:tcW w:w="1419" w:type="dxa"/>
            <w:shd w:val="clear" w:color="auto" w:fill="F7C9AC"/>
          </w:tcPr>
          <w:p w:rsidR="007C5447" w:rsidRDefault="00F6308C">
            <w:pPr>
              <w:pStyle w:val="TableParagraph"/>
              <w:spacing w:before="74"/>
              <w:ind w:right="204"/>
              <w:rPr>
                <w:b/>
                <w:sz w:val="20"/>
              </w:rPr>
            </w:pPr>
            <w:r>
              <w:rPr>
                <w:b/>
                <w:sz w:val="20"/>
              </w:rPr>
              <w:t>FY 2011-12</w:t>
            </w:r>
          </w:p>
        </w:tc>
        <w:tc>
          <w:tcPr>
            <w:tcW w:w="1416" w:type="dxa"/>
            <w:shd w:val="clear" w:color="auto" w:fill="F7C9AC"/>
          </w:tcPr>
          <w:p w:rsidR="007C5447" w:rsidRDefault="00F6308C">
            <w:pPr>
              <w:pStyle w:val="TableParagraph"/>
              <w:spacing w:before="74"/>
              <w:ind w:left="195" w:right="184"/>
              <w:jc w:val="center"/>
              <w:rPr>
                <w:b/>
                <w:sz w:val="20"/>
              </w:rPr>
            </w:pPr>
            <w:r>
              <w:rPr>
                <w:b/>
                <w:sz w:val="20"/>
              </w:rPr>
              <w:t>FY 2012-13</w:t>
            </w:r>
          </w:p>
        </w:tc>
        <w:tc>
          <w:tcPr>
            <w:tcW w:w="1418" w:type="dxa"/>
            <w:shd w:val="clear" w:color="auto" w:fill="F7C9AC"/>
          </w:tcPr>
          <w:p w:rsidR="007C5447" w:rsidRDefault="00F6308C">
            <w:pPr>
              <w:pStyle w:val="TableParagraph"/>
              <w:spacing w:before="74"/>
              <w:ind w:left="216"/>
              <w:jc w:val="left"/>
              <w:rPr>
                <w:b/>
                <w:sz w:val="20"/>
              </w:rPr>
            </w:pPr>
            <w:r>
              <w:rPr>
                <w:b/>
                <w:sz w:val="20"/>
              </w:rPr>
              <w:t>FY 2013-14</w:t>
            </w:r>
          </w:p>
        </w:tc>
        <w:tc>
          <w:tcPr>
            <w:tcW w:w="1419" w:type="dxa"/>
            <w:shd w:val="clear" w:color="auto" w:fill="F7C9AC"/>
          </w:tcPr>
          <w:p w:rsidR="007C5447" w:rsidRDefault="00F6308C">
            <w:pPr>
              <w:pStyle w:val="TableParagraph"/>
              <w:spacing w:before="74"/>
              <w:ind w:left="216"/>
              <w:jc w:val="left"/>
              <w:rPr>
                <w:b/>
                <w:sz w:val="20"/>
              </w:rPr>
            </w:pPr>
            <w:r>
              <w:rPr>
                <w:b/>
                <w:sz w:val="20"/>
              </w:rPr>
              <w:t>FY 2014-15</w:t>
            </w:r>
          </w:p>
        </w:tc>
        <w:tc>
          <w:tcPr>
            <w:tcW w:w="1416" w:type="dxa"/>
            <w:shd w:val="clear" w:color="auto" w:fill="F7C9AC"/>
          </w:tcPr>
          <w:p w:rsidR="007C5447" w:rsidRDefault="00F6308C">
            <w:pPr>
              <w:pStyle w:val="TableParagraph"/>
              <w:spacing w:before="74"/>
              <w:ind w:left="214"/>
              <w:jc w:val="left"/>
              <w:rPr>
                <w:b/>
                <w:sz w:val="20"/>
              </w:rPr>
            </w:pPr>
            <w:r>
              <w:rPr>
                <w:b/>
                <w:sz w:val="20"/>
              </w:rPr>
              <w:t>FY 2015-16</w:t>
            </w:r>
          </w:p>
        </w:tc>
      </w:tr>
      <w:tr w:rsidR="007C5447">
        <w:trPr>
          <w:trHeight w:val="433"/>
        </w:trPr>
        <w:tc>
          <w:tcPr>
            <w:tcW w:w="2376" w:type="dxa"/>
          </w:tcPr>
          <w:p w:rsidR="007C5447" w:rsidRDefault="00F6308C">
            <w:pPr>
              <w:pStyle w:val="TableParagraph"/>
              <w:spacing w:before="103"/>
              <w:ind w:left="107"/>
              <w:jc w:val="left"/>
              <w:rPr>
                <w:sz w:val="20"/>
              </w:rPr>
            </w:pPr>
            <w:r>
              <w:rPr>
                <w:sz w:val="20"/>
              </w:rPr>
              <w:t>CGS</w:t>
            </w:r>
          </w:p>
        </w:tc>
        <w:tc>
          <w:tcPr>
            <w:tcW w:w="1419" w:type="dxa"/>
          </w:tcPr>
          <w:p w:rsidR="007C5447" w:rsidRDefault="00F6308C">
            <w:pPr>
              <w:pStyle w:val="TableParagraph"/>
              <w:spacing w:before="103"/>
              <w:ind w:right="271"/>
              <w:rPr>
                <w:sz w:val="20"/>
              </w:rPr>
            </w:pPr>
            <w:r>
              <w:rPr>
                <w:w w:val="95"/>
                <w:sz w:val="20"/>
              </w:rPr>
              <w:t>20,629.00</w:t>
            </w:r>
          </w:p>
        </w:tc>
        <w:tc>
          <w:tcPr>
            <w:tcW w:w="1416" w:type="dxa"/>
          </w:tcPr>
          <w:p w:rsidR="007C5447" w:rsidRDefault="00F6308C">
            <w:pPr>
              <w:pStyle w:val="TableParagraph"/>
              <w:spacing w:before="103"/>
              <w:ind w:left="195" w:right="131"/>
              <w:jc w:val="center"/>
              <w:rPr>
                <w:sz w:val="20"/>
              </w:rPr>
            </w:pPr>
            <w:r>
              <w:rPr>
                <w:sz w:val="20"/>
              </w:rPr>
              <w:t>21,567.00</w:t>
            </w:r>
          </w:p>
        </w:tc>
        <w:tc>
          <w:tcPr>
            <w:tcW w:w="1418" w:type="dxa"/>
          </w:tcPr>
          <w:p w:rsidR="007C5447" w:rsidRDefault="00F6308C">
            <w:pPr>
              <w:pStyle w:val="TableParagraph"/>
              <w:spacing w:before="103"/>
              <w:ind w:left="336"/>
              <w:jc w:val="left"/>
              <w:rPr>
                <w:sz w:val="20"/>
              </w:rPr>
            </w:pPr>
            <w:r>
              <w:rPr>
                <w:sz w:val="20"/>
              </w:rPr>
              <w:t>24,560.00</w:t>
            </w:r>
          </w:p>
        </w:tc>
        <w:tc>
          <w:tcPr>
            <w:tcW w:w="1419" w:type="dxa"/>
          </w:tcPr>
          <w:p w:rsidR="007C5447" w:rsidRDefault="00F6308C">
            <w:pPr>
              <w:pStyle w:val="TableParagraph"/>
              <w:spacing w:before="103"/>
              <w:ind w:left="336"/>
              <w:jc w:val="left"/>
              <w:rPr>
                <w:sz w:val="20"/>
              </w:rPr>
            </w:pPr>
            <w:r>
              <w:rPr>
                <w:sz w:val="20"/>
              </w:rPr>
              <w:t>27,212.00</w:t>
            </w:r>
          </w:p>
        </w:tc>
        <w:tc>
          <w:tcPr>
            <w:tcW w:w="1416" w:type="dxa"/>
          </w:tcPr>
          <w:p w:rsidR="007C5447" w:rsidRDefault="00F6308C">
            <w:pPr>
              <w:pStyle w:val="TableParagraph"/>
              <w:spacing w:before="103"/>
              <w:ind w:left="334"/>
              <w:jc w:val="left"/>
              <w:rPr>
                <w:sz w:val="20"/>
              </w:rPr>
            </w:pPr>
            <w:r>
              <w:rPr>
                <w:sz w:val="20"/>
              </w:rPr>
              <w:t>29,679.00</w:t>
            </w:r>
          </w:p>
        </w:tc>
      </w:tr>
      <w:tr w:rsidR="007C5447">
        <w:trPr>
          <w:trHeight w:val="458"/>
        </w:trPr>
        <w:tc>
          <w:tcPr>
            <w:tcW w:w="2376" w:type="dxa"/>
          </w:tcPr>
          <w:p w:rsidR="007C5447" w:rsidRDefault="00F6308C">
            <w:pPr>
              <w:pStyle w:val="TableParagraph"/>
              <w:spacing w:before="115"/>
              <w:ind w:left="107"/>
              <w:jc w:val="left"/>
              <w:rPr>
                <w:sz w:val="20"/>
              </w:rPr>
            </w:pPr>
            <w:r>
              <w:rPr>
                <w:sz w:val="20"/>
              </w:rPr>
              <w:t>IPPs</w:t>
            </w:r>
          </w:p>
        </w:tc>
        <w:tc>
          <w:tcPr>
            <w:tcW w:w="1419" w:type="dxa"/>
          </w:tcPr>
          <w:p w:rsidR="007C5447" w:rsidRDefault="00F6308C">
            <w:pPr>
              <w:pStyle w:val="TableParagraph"/>
              <w:spacing w:before="115"/>
              <w:ind w:right="271"/>
              <w:rPr>
                <w:sz w:val="20"/>
              </w:rPr>
            </w:pPr>
            <w:r>
              <w:rPr>
                <w:w w:val="95"/>
                <w:sz w:val="20"/>
              </w:rPr>
              <w:t>5,731.00</w:t>
            </w:r>
          </w:p>
        </w:tc>
        <w:tc>
          <w:tcPr>
            <w:tcW w:w="1416" w:type="dxa"/>
          </w:tcPr>
          <w:p w:rsidR="007C5447" w:rsidRDefault="00F6308C">
            <w:pPr>
              <w:pStyle w:val="TableParagraph"/>
              <w:spacing w:before="115"/>
              <w:ind w:left="195" w:right="32"/>
              <w:jc w:val="center"/>
              <w:rPr>
                <w:sz w:val="20"/>
              </w:rPr>
            </w:pPr>
            <w:r>
              <w:rPr>
                <w:sz w:val="20"/>
              </w:rPr>
              <w:t>5,972.00</w:t>
            </w:r>
          </w:p>
        </w:tc>
        <w:tc>
          <w:tcPr>
            <w:tcW w:w="1418" w:type="dxa"/>
          </w:tcPr>
          <w:p w:rsidR="007C5447" w:rsidRDefault="00F6308C">
            <w:pPr>
              <w:pStyle w:val="TableParagraph"/>
              <w:spacing w:before="115"/>
              <w:ind w:left="434"/>
              <w:jc w:val="left"/>
              <w:rPr>
                <w:sz w:val="20"/>
              </w:rPr>
            </w:pPr>
            <w:r>
              <w:rPr>
                <w:sz w:val="20"/>
              </w:rPr>
              <w:t>5,658.00</w:t>
            </w:r>
          </w:p>
        </w:tc>
        <w:tc>
          <w:tcPr>
            <w:tcW w:w="1419" w:type="dxa"/>
          </w:tcPr>
          <w:p w:rsidR="007C5447" w:rsidRDefault="00F6308C">
            <w:pPr>
              <w:pStyle w:val="TableParagraph"/>
              <w:spacing w:before="115"/>
              <w:ind w:left="434"/>
              <w:jc w:val="left"/>
              <w:rPr>
                <w:sz w:val="20"/>
              </w:rPr>
            </w:pPr>
            <w:r>
              <w:rPr>
                <w:sz w:val="20"/>
              </w:rPr>
              <w:t>4,802.00</w:t>
            </w:r>
          </w:p>
        </w:tc>
        <w:tc>
          <w:tcPr>
            <w:tcW w:w="1416" w:type="dxa"/>
          </w:tcPr>
          <w:p w:rsidR="007C5447" w:rsidRDefault="00F6308C">
            <w:pPr>
              <w:pStyle w:val="TableParagraph"/>
              <w:spacing w:before="115"/>
              <w:ind w:left="432"/>
              <w:jc w:val="left"/>
              <w:rPr>
                <w:sz w:val="20"/>
              </w:rPr>
            </w:pPr>
            <w:r>
              <w:rPr>
                <w:sz w:val="20"/>
              </w:rPr>
              <w:t>2,418.00</w:t>
            </w:r>
          </w:p>
        </w:tc>
      </w:tr>
      <w:tr w:rsidR="007C5447">
        <w:trPr>
          <w:trHeight w:val="460"/>
        </w:trPr>
        <w:tc>
          <w:tcPr>
            <w:tcW w:w="2376" w:type="dxa"/>
          </w:tcPr>
          <w:p w:rsidR="007C5447" w:rsidRDefault="00F6308C">
            <w:pPr>
              <w:pStyle w:val="TableParagraph"/>
              <w:spacing w:line="230" w:lineRule="atLeast"/>
              <w:ind w:left="107" w:right="556"/>
              <w:jc w:val="left"/>
              <w:rPr>
                <w:sz w:val="20"/>
              </w:rPr>
            </w:pPr>
            <w:r>
              <w:rPr>
                <w:sz w:val="20"/>
              </w:rPr>
              <w:t>Captive &amp; Non- conventional sources</w:t>
            </w:r>
          </w:p>
        </w:tc>
        <w:tc>
          <w:tcPr>
            <w:tcW w:w="1419" w:type="dxa"/>
          </w:tcPr>
          <w:p w:rsidR="007C5447" w:rsidRDefault="00F6308C">
            <w:pPr>
              <w:pStyle w:val="TableParagraph"/>
              <w:spacing w:before="115"/>
              <w:ind w:right="271"/>
              <w:rPr>
                <w:sz w:val="20"/>
              </w:rPr>
            </w:pPr>
            <w:r>
              <w:rPr>
                <w:w w:val="95"/>
                <w:sz w:val="20"/>
              </w:rPr>
              <w:t>7,655.00</w:t>
            </w:r>
          </w:p>
        </w:tc>
        <w:tc>
          <w:tcPr>
            <w:tcW w:w="1416" w:type="dxa"/>
          </w:tcPr>
          <w:p w:rsidR="007C5447" w:rsidRDefault="00F6308C">
            <w:pPr>
              <w:pStyle w:val="TableParagraph"/>
              <w:spacing w:before="115"/>
              <w:ind w:left="195" w:right="32"/>
              <w:jc w:val="center"/>
              <w:rPr>
                <w:sz w:val="20"/>
              </w:rPr>
            </w:pPr>
            <w:r>
              <w:rPr>
                <w:sz w:val="20"/>
              </w:rPr>
              <w:t>9,553.00</w:t>
            </w:r>
          </w:p>
        </w:tc>
        <w:tc>
          <w:tcPr>
            <w:tcW w:w="1418" w:type="dxa"/>
          </w:tcPr>
          <w:p w:rsidR="007C5447" w:rsidRDefault="00F6308C">
            <w:pPr>
              <w:pStyle w:val="TableParagraph"/>
              <w:spacing w:before="115"/>
              <w:ind w:left="484"/>
              <w:jc w:val="left"/>
              <w:rPr>
                <w:sz w:val="20"/>
              </w:rPr>
            </w:pPr>
            <w:r>
              <w:rPr>
                <w:sz w:val="20"/>
              </w:rPr>
              <w:t>8336.00</w:t>
            </w:r>
          </w:p>
        </w:tc>
        <w:tc>
          <w:tcPr>
            <w:tcW w:w="1419" w:type="dxa"/>
          </w:tcPr>
          <w:p w:rsidR="007C5447" w:rsidRDefault="00F6308C">
            <w:pPr>
              <w:pStyle w:val="TableParagraph"/>
              <w:spacing w:before="115"/>
              <w:ind w:left="434"/>
              <w:jc w:val="left"/>
              <w:rPr>
                <w:sz w:val="20"/>
              </w:rPr>
            </w:pPr>
            <w:r>
              <w:rPr>
                <w:sz w:val="20"/>
              </w:rPr>
              <w:t>8,486.00</w:t>
            </w:r>
          </w:p>
        </w:tc>
        <w:tc>
          <w:tcPr>
            <w:tcW w:w="1416" w:type="dxa"/>
          </w:tcPr>
          <w:p w:rsidR="007C5447" w:rsidRDefault="00F6308C">
            <w:pPr>
              <w:pStyle w:val="TableParagraph"/>
              <w:spacing w:before="115"/>
              <w:ind w:left="432"/>
              <w:jc w:val="left"/>
              <w:rPr>
                <w:sz w:val="20"/>
              </w:rPr>
            </w:pPr>
            <w:r>
              <w:rPr>
                <w:sz w:val="20"/>
              </w:rPr>
              <w:t>3,495.00</w:t>
            </w:r>
          </w:p>
        </w:tc>
      </w:tr>
      <w:tr w:rsidR="007C5447">
        <w:trPr>
          <w:trHeight w:val="460"/>
        </w:trPr>
        <w:tc>
          <w:tcPr>
            <w:tcW w:w="2376" w:type="dxa"/>
          </w:tcPr>
          <w:p w:rsidR="007C5447" w:rsidRDefault="00F6308C">
            <w:pPr>
              <w:pStyle w:val="TableParagraph"/>
              <w:spacing w:before="3" w:line="230" w:lineRule="exact"/>
              <w:ind w:left="107" w:right="395"/>
              <w:jc w:val="left"/>
              <w:rPr>
                <w:sz w:val="20"/>
              </w:rPr>
            </w:pPr>
            <w:r>
              <w:rPr>
                <w:sz w:val="20"/>
              </w:rPr>
              <w:t>Other sources (Trading/Bilateral etc.)</w:t>
            </w:r>
          </w:p>
        </w:tc>
        <w:tc>
          <w:tcPr>
            <w:tcW w:w="1419" w:type="dxa"/>
          </w:tcPr>
          <w:p w:rsidR="007C5447" w:rsidRDefault="00F6308C">
            <w:pPr>
              <w:pStyle w:val="TableParagraph"/>
              <w:spacing w:before="115"/>
              <w:ind w:right="271"/>
              <w:rPr>
                <w:sz w:val="20"/>
              </w:rPr>
            </w:pPr>
            <w:r>
              <w:rPr>
                <w:w w:val="95"/>
                <w:sz w:val="20"/>
              </w:rPr>
              <w:t>9,820.00</w:t>
            </w:r>
          </w:p>
        </w:tc>
        <w:tc>
          <w:tcPr>
            <w:tcW w:w="1416" w:type="dxa"/>
          </w:tcPr>
          <w:p w:rsidR="007C5447" w:rsidRDefault="00F6308C">
            <w:pPr>
              <w:pStyle w:val="TableParagraph"/>
              <w:spacing w:before="115"/>
              <w:ind w:left="195" w:right="32"/>
              <w:jc w:val="center"/>
              <w:rPr>
                <w:sz w:val="20"/>
              </w:rPr>
            </w:pPr>
            <w:r>
              <w:rPr>
                <w:sz w:val="20"/>
              </w:rPr>
              <w:t>7,017.00</w:t>
            </w:r>
          </w:p>
        </w:tc>
        <w:tc>
          <w:tcPr>
            <w:tcW w:w="1418" w:type="dxa"/>
          </w:tcPr>
          <w:p w:rsidR="007C5447" w:rsidRDefault="00F6308C">
            <w:pPr>
              <w:pStyle w:val="TableParagraph"/>
              <w:spacing w:before="115"/>
              <w:ind w:left="336"/>
              <w:jc w:val="left"/>
              <w:rPr>
                <w:sz w:val="20"/>
              </w:rPr>
            </w:pPr>
            <w:r>
              <w:rPr>
                <w:sz w:val="20"/>
              </w:rPr>
              <w:t>10,170.00</w:t>
            </w:r>
          </w:p>
        </w:tc>
        <w:tc>
          <w:tcPr>
            <w:tcW w:w="1419" w:type="dxa"/>
          </w:tcPr>
          <w:p w:rsidR="007C5447" w:rsidRDefault="00F6308C">
            <w:pPr>
              <w:pStyle w:val="TableParagraph"/>
              <w:spacing w:before="115"/>
              <w:ind w:left="336"/>
              <w:jc w:val="left"/>
              <w:rPr>
                <w:sz w:val="20"/>
              </w:rPr>
            </w:pPr>
            <w:r>
              <w:rPr>
                <w:sz w:val="20"/>
              </w:rPr>
              <w:t>12,881.00</w:t>
            </w:r>
          </w:p>
        </w:tc>
        <w:tc>
          <w:tcPr>
            <w:tcW w:w="1416" w:type="dxa"/>
          </w:tcPr>
          <w:p w:rsidR="007C5447" w:rsidRDefault="00F6308C">
            <w:pPr>
              <w:pStyle w:val="TableParagraph"/>
              <w:spacing w:before="115"/>
              <w:ind w:left="334"/>
              <w:jc w:val="left"/>
              <w:rPr>
                <w:sz w:val="20"/>
              </w:rPr>
            </w:pPr>
            <w:r>
              <w:rPr>
                <w:sz w:val="20"/>
              </w:rPr>
              <w:t>18,495.00</w:t>
            </w:r>
          </w:p>
        </w:tc>
      </w:tr>
      <w:tr w:rsidR="007C5447">
        <w:trPr>
          <w:trHeight w:val="379"/>
        </w:trPr>
        <w:tc>
          <w:tcPr>
            <w:tcW w:w="2376" w:type="dxa"/>
          </w:tcPr>
          <w:p w:rsidR="007C5447" w:rsidRDefault="00F6308C">
            <w:pPr>
              <w:pStyle w:val="TableParagraph"/>
              <w:spacing w:before="72"/>
              <w:ind w:left="107"/>
              <w:jc w:val="left"/>
              <w:rPr>
                <w:b/>
                <w:sz w:val="20"/>
              </w:rPr>
            </w:pPr>
            <w:r>
              <w:rPr>
                <w:b/>
                <w:sz w:val="20"/>
              </w:rPr>
              <w:t>Total</w:t>
            </w:r>
          </w:p>
        </w:tc>
        <w:tc>
          <w:tcPr>
            <w:tcW w:w="1419" w:type="dxa"/>
          </w:tcPr>
          <w:p w:rsidR="007C5447" w:rsidRDefault="00F6308C">
            <w:pPr>
              <w:pStyle w:val="TableParagraph"/>
              <w:spacing w:before="72"/>
              <w:ind w:right="271"/>
              <w:rPr>
                <w:b/>
                <w:sz w:val="20"/>
              </w:rPr>
            </w:pPr>
            <w:r>
              <w:rPr>
                <w:b/>
                <w:w w:val="95"/>
                <w:sz w:val="20"/>
              </w:rPr>
              <w:t>43,835.00</w:t>
            </w:r>
          </w:p>
        </w:tc>
        <w:tc>
          <w:tcPr>
            <w:tcW w:w="1416" w:type="dxa"/>
          </w:tcPr>
          <w:p w:rsidR="007C5447" w:rsidRDefault="00F6308C">
            <w:pPr>
              <w:pStyle w:val="TableParagraph"/>
              <w:spacing w:before="72"/>
              <w:ind w:left="195" w:right="131"/>
              <w:jc w:val="center"/>
              <w:rPr>
                <w:b/>
                <w:sz w:val="20"/>
              </w:rPr>
            </w:pPr>
            <w:r>
              <w:rPr>
                <w:b/>
                <w:sz w:val="20"/>
              </w:rPr>
              <w:t>44,109.00</w:t>
            </w:r>
          </w:p>
        </w:tc>
        <w:tc>
          <w:tcPr>
            <w:tcW w:w="1418" w:type="dxa"/>
          </w:tcPr>
          <w:p w:rsidR="007C5447" w:rsidRDefault="00F6308C">
            <w:pPr>
              <w:pStyle w:val="TableParagraph"/>
              <w:spacing w:before="72"/>
              <w:ind w:left="336"/>
              <w:jc w:val="left"/>
              <w:rPr>
                <w:b/>
                <w:sz w:val="20"/>
              </w:rPr>
            </w:pPr>
            <w:r>
              <w:rPr>
                <w:b/>
                <w:sz w:val="20"/>
              </w:rPr>
              <w:t>48,724.00</w:t>
            </w:r>
          </w:p>
        </w:tc>
        <w:tc>
          <w:tcPr>
            <w:tcW w:w="1419" w:type="dxa"/>
          </w:tcPr>
          <w:p w:rsidR="007C5447" w:rsidRDefault="00F6308C">
            <w:pPr>
              <w:pStyle w:val="TableParagraph"/>
              <w:spacing w:before="72"/>
              <w:ind w:left="336"/>
              <w:jc w:val="left"/>
              <w:rPr>
                <w:b/>
                <w:sz w:val="20"/>
              </w:rPr>
            </w:pPr>
            <w:r>
              <w:rPr>
                <w:b/>
                <w:sz w:val="20"/>
              </w:rPr>
              <w:t>53,381.00</w:t>
            </w:r>
          </w:p>
        </w:tc>
        <w:tc>
          <w:tcPr>
            <w:tcW w:w="1416" w:type="dxa"/>
          </w:tcPr>
          <w:p w:rsidR="007C5447" w:rsidRDefault="00F6308C">
            <w:pPr>
              <w:pStyle w:val="TableParagraph"/>
              <w:spacing w:before="72"/>
              <w:ind w:left="334"/>
              <w:jc w:val="left"/>
              <w:rPr>
                <w:b/>
                <w:sz w:val="20"/>
              </w:rPr>
            </w:pPr>
            <w:r>
              <w:rPr>
                <w:b/>
                <w:sz w:val="20"/>
              </w:rPr>
              <w:t>54,087.00</w:t>
            </w:r>
          </w:p>
        </w:tc>
      </w:tr>
    </w:tbl>
    <w:p w:rsidR="007C5447" w:rsidRDefault="007C5447">
      <w:pPr>
        <w:pStyle w:val="BodyText"/>
        <w:spacing w:before="9"/>
        <w:rPr>
          <w:b/>
          <w:sz w:val="20"/>
        </w:rPr>
      </w:pPr>
    </w:p>
    <w:p w:rsidR="007C5447" w:rsidRDefault="00F6308C">
      <w:pPr>
        <w:pStyle w:val="Heading2"/>
        <w:ind w:left="1532"/>
      </w:pPr>
      <w:r>
        <w:t>Commission’s Views</w:t>
      </w:r>
    </w:p>
    <w:p w:rsidR="007C5447" w:rsidRDefault="007C5447">
      <w:pPr>
        <w:pStyle w:val="BodyText"/>
        <w:spacing w:before="2"/>
        <w:rPr>
          <w:b/>
          <w:sz w:val="28"/>
        </w:rPr>
      </w:pPr>
    </w:p>
    <w:p w:rsidR="007C5447" w:rsidRDefault="00F6308C">
      <w:pPr>
        <w:pStyle w:val="ListParagraph"/>
        <w:numPr>
          <w:ilvl w:val="3"/>
          <w:numId w:val="93"/>
        </w:numPr>
        <w:tabs>
          <w:tab w:val="left" w:pos="1646"/>
        </w:tabs>
        <w:spacing w:line="312" w:lineRule="auto"/>
        <w:ind w:right="879"/>
        <w:jc w:val="both"/>
        <w:rPr>
          <w:sz w:val="24"/>
        </w:rPr>
      </w:pPr>
      <w:r>
        <w:rPr>
          <w:sz w:val="24"/>
        </w:rPr>
        <w:t>The Commission has verified the details of power purchase from other sources from the audited accounts of respective years. For the purpose of truing up, the Commission has approved total energy availability from other sources as submit</w:t>
      </w:r>
      <w:r>
        <w:rPr>
          <w:sz w:val="24"/>
        </w:rPr>
        <w:t>ted by TANGEDCO, as shown in the Table</w:t>
      </w:r>
      <w:r>
        <w:rPr>
          <w:spacing w:val="-6"/>
          <w:sz w:val="24"/>
        </w:rPr>
        <w:t xml:space="preserve"> </w:t>
      </w:r>
      <w:r>
        <w:rPr>
          <w:sz w:val="24"/>
        </w:rPr>
        <w:t>below:</w:t>
      </w:r>
    </w:p>
    <w:p w:rsidR="007C5447" w:rsidRDefault="007C5447">
      <w:pPr>
        <w:pStyle w:val="BodyText"/>
        <w:spacing w:before="9"/>
        <w:rPr>
          <w:sz w:val="20"/>
        </w:rPr>
      </w:pPr>
    </w:p>
    <w:p w:rsidR="007C5447" w:rsidRDefault="00F6308C">
      <w:pPr>
        <w:spacing w:before="1" w:line="312" w:lineRule="auto"/>
        <w:ind w:left="810" w:right="1009"/>
        <w:jc w:val="center"/>
        <w:rPr>
          <w:b/>
        </w:rPr>
      </w:pPr>
      <w:r>
        <w:rPr>
          <w:b/>
        </w:rPr>
        <w:t>Table 3-6: Energy availability from Other sources approved by the Commission after true-up (MU)</w:t>
      </w:r>
    </w:p>
    <w:p w:rsidR="007C5447" w:rsidRDefault="007C5447">
      <w:pPr>
        <w:pStyle w:val="BodyText"/>
        <w:spacing w:before="6"/>
        <w:rPr>
          <w:b/>
          <w:sz w:val="10"/>
        </w:rPr>
      </w:pPr>
    </w:p>
    <w:tbl>
      <w:tblPr>
        <w:tblW w:w="0" w:type="auto"/>
        <w:tblInd w:w="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6"/>
        <w:gridCol w:w="1419"/>
        <w:gridCol w:w="1416"/>
        <w:gridCol w:w="1418"/>
        <w:gridCol w:w="1419"/>
        <w:gridCol w:w="1416"/>
      </w:tblGrid>
      <w:tr w:rsidR="007C5447">
        <w:trPr>
          <w:trHeight w:val="230"/>
        </w:trPr>
        <w:tc>
          <w:tcPr>
            <w:tcW w:w="2376" w:type="dxa"/>
            <w:shd w:val="clear" w:color="auto" w:fill="F7C9AC"/>
          </w:tcPr>
          <w:p w:rsidR="007C5447" w:rsidRDefault="00F6308C">
            <w:pPr>
              <w:pStyle w:val="TableParagraph"/>
              <w:spacing w:line="210" w:lineRule="exact"/>
              <w:ind w:left="871" w:right="866"/>
              <w:jc w:val="center"/>
              <w:rPr>
                <w:b/>
                <w:sz w:val="20"/>
              </w:rPr>
            </w:pPr>
            <w:r>
              <w:rPr>
                <w:b/>
                <w:sz w:val="20"/>
              </w:rPr>
              <w:t>Source</w:t>
            </w:r>
          </w:p>
        </w:tc>
        <w:tc>
          <w:tcPr>
            <w:tcW w:w="1419" w:type="dxa"/>
            <w:shd w:val="clear" w:color="auto" w:fill="F7C9AC"/>
          </w:tcPr>
          <w:p w:rsidR="007C5447" w:rsidRDefault="00F6308C">
            <w:pPr>
              <w:pStyle w:val="TableParagraph"/>
              <w:spacing w:line="210" w:lineRule="exact"/>
              <w:ind w:right="204"/>
              <w:rPr>
                <w:b/>
                <w:sz w:val="20"/>
              </w:rPr>
            </w:pPr>
            <w:r>
              <w:rPr>
                <w:b/>
                <w:sz w:val="20"/>
              </w:rPr>
              <w:t>FY 2011-12</w:t>
            </w:r>
          </w:p>
        </w:tc>
        <w:tc>
          <w:tcPr>
            <w:tcW w:w="1416" w:type="dxa"/>
            <w:shd w:val="clear" w:color="auto" w:fill="F7C9AC"/>
          </w:tcPr>
          <w:p w:rsidR="007C5447" w:rsidRDefault="00F6308C">
            <w:pPr>
              <w:pStyle w:val="TableParagraph"/>
              <w:spacing w:line="210" w:lineRule="exact"/>
              <w:ind w:left="195" w:right="184"/>
              <w:jc w:val="center"/>
              <w:rPr>
                <w:b/>
                <w:sz w:val="20"/>
              </w:rPr>
            </w:pPr>
            <w:r>
              <w:rPr>
                <w:b/>
                <w:sz w:val="20"/>
              </w:rPr>
              <w:t>FY 2012-13</w:t>
            </w:r>
          </w:p>
        </w:tc>
        <w:tc>
          <w:tcPr>
            <w:tcW w:w="1418" w:type="dxa"/>
            <w:shd w:val="clear" w:color="auto" w:fill="F7C9AC"/>
          </w:tcPr>
          <w:p w:rsidR="007C5447" w:rsidRDefault="00F6308C">
            <w:pPr>
              <w:pStyle w:val="TableParagraph"/>
              <w:spacing w:line="210" w:lineRule="exact"/>
              <w:ind w:right="203"/>
              <w:rPr>
                <w:b/>
                <w:sz w:val="20"/>
              </w:rPr>
            </w:pPr>
            <w:r>
              <w:rPr>
                <w:b/>
                <w:sz w:val="20"/>
              </w:rPr>
              <w:t>FY 2013-14</w:t>
            </w:r>
          </w:p>
        </w:tc>
        <w:tc>
          <w:tcPr>
            <w:tcW w:w="1419" w:type="dxa"/>
            <w:shd w:val="clear" w:color="auto" w:fill="F7C9AC"/>
          </w:tcPr>
          <w:p w:rsidR="007C5447" w:rsidRDefault="00F6308C">
            <w:pPr>
              <w:pStyle w:val="TableParagraph"/>
              <w:spacing w:line="210" w:lineRule="exact"/>
              <w:ind w:left="216"/>
              <w:jc w:val="left"/>
              <w:rPr>
                <w:b/>
                <w:sz w:val="20"/>
              </w:rPr>
            </w:pPr>
            <w:r>
              <w:rPr>
                <w:b/>
                <w:sz w:val="20"/>
              </w:rPr>
              <w:t>FY 2014-15</w:t>
            </w:r>
          </w:p>
        </w:tc>
        <w:tc>
          <w:tcPr>
            <w:tcW w:w="1416" w:type="dxa"/>
            <w:shd w:val="clear" w:color="auto" w:fill="F7C9AC"/>
          </w:tcPr>
          <w:p w:rsidR="007C5447" w:rsidRDefault="00F6308C">
            <w:pPr>
              <w:pStyle w:val="TableParagraph"/>
              <w:spacing w:line="210" w:lineRule="exact"/>
              <w:ind w:left="214"/>
              <w:jc w:val="left"/>
              <w:rPr>
                <w:b/>
                <w:sz w:val="20"/>
              </w:rPr>
            </w:pPr>
            <w:r>
              <w:rPr>
                <w:b/>
                <w:sz w:val="20"/>
              </w:rPr>
              <w:t>FY 2015-16</w:t>
            </w:r>
          </w:p>
        </w:tc>
      </w:tr>
      <w:tr w:rsidR="007C5447">
        <w:trPr>
          <w:trHeight w:val="333"/>
        </w:trPr>
        <w:tc>
          <w:tcPr>
            <w:tcW w:w="2376" w:type="dxa"/>
          </w:tcPr>
          <w:p w:rsidR="007C5447" w:rsidRDefault="00F6308C">
            <w:pPr>
              <w:pStyle w:val="TableParagraph"/>
              <w:spacing w:line="228" w:lineRule="exact"/>
              <w:ind w:left="107"/>
              <w:jc w:val="left"/>
              <w:rPr>
                <w:sz w:val="20"/>
              </w:rPr>
            </w:pPr>
            <w:r>
              <w:rPr>
                <w:sz w:val="20"/>
              </w:rPr>
              <w:t>CGS</w:t>
            </w:r>
          </w:p>
        </w:tc>
        <w:tc>
          <w:tcPr>
            <w:tcW w:w="1419" w:type="dxa"/>
          </w:tcPr>
          <w:p w:rsidR="007C5447" w:rsidRDefault="00F6308C">
            <w:pPr>
              <w:pStyle w:val="TableParagraph"/>
              <w:spacing w:before="50"/>
              <w:ind w:right="270"/>
              <w:rPr>
                <w:sz w:val="20"/>
              </w:rPr>
            </w:pPr>
            <w:r>
              <w:rPr>
                <w:w w:val="95"/>
                <w:sz w:val="20"/>
              </w:rPr>
              <w:t>20,630.55</w:t>
            </w:r>
          </w:p>
        </w:tc>
        <w:tc>
          <w:tcPr>
            <w:tcW w:w="1416" w:type="dxa"/>
          </w:tcPr>
          <w:p w:rsidR="007C5447" w:rsidRDefault="00F6308C">
            <w:pPr>
              <w:pStyle w:val="TableParagraph"/>
              <w:spacing w:before="50"/>
              <w:ind w:left="195" w:right="131"/>
              <w:jc w:val="center"/>
              <w:rPr>
                <w:sz w:val="20"/>
              </w:rPr>
            </w:pPr>
            <w:r>
              <w:rPr>
                <w:sz w:val="20"/>
              </w:rPr>
              <w:t>21,566.30</w:t>
            </w:r>
          </w:p>
        </w:tc>
        <w:tc>
          <w:tcPr>
            <w:tcW w:w="1418" w:type="dxa"/>
          </w:tcPr>
          <w:p w:rsidR="007C5447" w:rsidRDefault="00F6308C">
            <w:pPr>
              <w:pStyle w:val="TableParagraph"/>
              <w:spacing w:before="50"/>
              <w:ind w:right="270"/>
              <w:rPr>
                <w:sz w:val="20"/>
              </w:rPr>
            </w:pPr>
            <w:r>
              <w:rPr>
                <w:sz w:val="20"/>
              </w:rPr>
              <w:t>24,560.40</w:t>
            </w:r>
          </w:p>
        </w:tc>
        <w:tc>
          <w:tcPr>
            <w:tcW w:w="1419" w:type="dxa"/>
          </w:tcPr>
          <w:p w:rsidR="007C5447" w:rsidRDefault="00F6308C">
            <w:pPr>
              <w:pStyle w:val="TableParagraph"/>
              <w:spacing w:before="50"/>
              <w:ind w:left="336"/>
              <w:jc w:val="left"/>
              <w:rPr>
                <w:sz w:val="20"/>
              </w:rPr>
            </w:pPr>
            <w:r>
              <w:rPr>
                <w:sz w:val="20"/>
              </w:rPr>
              <w:t>27,212.00</w:t>
            </w:r>
          </w:p>
        </w:tc>
        <w:tc>
          <w:tcPr>
            <w:tcW w:w="1416" w:type="dxa"/>
          </w:tcPr>
          <w:p w:rsidR="007C5447" w:rsidRDefault="00F6308C">
            <w:pPr>
              <w:pStyle w:val="TableParagraph"/>
              <w:spacing w:before="50"/>
              <w:ind w:left="334"/>
              <w:jc w:val="left"/>
              <w:rPr>
                <w:sz w:val="20"/>
              </w:rPr>
            </w:pPr>
            <w:r>
              <w:rPr>
                <w:sz w:val="20"/>
              </w:rPr>
              <w:t>29,678.09</w:t>
            </w:r>
          </w:p>
        </w:tc>
      </w:tr>
      <w:tr w:rsidR="007C5447">
        <w:trPr>
          <w:trHeight w:val="270"/>
        </w:trPr>
        <w:tc>
          <w:tcPr>
            <w:tcW w:w="2376" w:type="dxa"/>
          </w:tcPr>
          <w:p w:rsidR="007C5447" w:rsidRDefault="00F6308C">
            <w:pPr>
              <w:pStyle w:val="TableParagraph"/>
              <w:ind w:left="107"/>
              <w:jc w:val="left"/>
              <w:rPr>
                <w:sz w:val="20"/>
              </w:rPr>
            </w:pPr>
            <w:r>
              <w:rPr>
                <w:sz w:val="20"/>
              </w:rPr>
              <w:t>IPPs</w:t>
            </w:r>
          </w:p>
        </w:tc>
        <w:tc>
          <w:tcPr>
            <w:tcW w:w="1419" w:type="dxa"/>
          </w:tcPr>
          <w:p w:rsidR="007C5447" w:rsidRDefault="00F6308C">
            <w:pPr>
              <w:pStyle w:val="TableParagraph"/>
              <w:spacing w:before="19"/>
              <w:ind w:right="269"/>
              <w:rPr>
                <w:sz w:val="20"/>
              </w:rPr>
            </w:pPr>
            <w:r>
              <w:rPr>
                <w:sz w:val="20"/>
              </w:rPr>
              <w:t>5,730.44</w:t>
            </w:r>
          </w:p>
        </w:tc>
        <w:tc>
          <w:tcPr>
            <w:tcW w:w="1416" w:type="dxa"/>
          </w:tcPr>
          <w:p w:rsidR="007C5447" w:rsidRDefault="00F6308C">
            <w:pPr>
              <w:pStyle w:val="TableParagraph"/>
              <w:spacing w:before="19"/>
              <w:ind w:left="195" w:right="32"/>
              <w:jc w:val="center"/>
              <w:rPr>
                <w:sz w:val="20"/>
              </w:rPr>
            </w:pPr>
            <w:r>
              <w:rPr>
                <w:sz w:val="20"/>
              </w:rPr>
              <w:t>5,972.00</w:t>
            </w:r>
          </w:p>
        </w:tc>
        <w:tc>
          <w:tcPr>
            <w:tcW w:w="1418" w:type="dxa"/>
          </w:tcPr>
          <w:p w:rsidR="007C5447" w:rsidRDefault="00F6308C">
            <w:pPr>
              <w:pStyle w:val="TableParagraph"/>
              <w:spacing w:before="19"/>
              <w:ind w:right="268"/>
              <w:rPr>
                <w:sz w:val="20"/>
              </w:rPr>
            </w:pPr>
            <w:r>
              <w:rPr>
                <w:sz w:val="20"/>
              </w:rPr>
              <w:t>5,658.84</w:t>
            </w:r>
          </w:p>
        </w:tc>
        <w:tc>
          <w:tcPr>
            <w:tcW w:w="1419" w:type="dxa"/>
          </w:tcPr>
          <w:p w:rsidR="007C5447" w:rsidRDefault="00F6308C">
            <w:pPr>
              <w:pStyle w:val="TableParagraph"/>
              <w:spacing w:before="19"/>
              <w:ind w:left="434"/>
              <w:jc w:val="left"/>
              <w:rPr>
                <w:sz w:val="20"/>
              </w:rPr>
            </w:pPr>
            <w:r>
              <w:rPr>
                <w:sz w:val="20"/>
              </w:rPr>
              <w:t>4,802.00</w:t>
            </w:r>
          </w:p>
        </w:tc>
        <w:tc>
          <w:tcPr>
            <w:tcW w:w="1416" w:type="dxa"/>
          </w:tcPr>
          <w:p w:rsidR="007C5447" w:rsidRDefault="00F6308C">
            <w:pPr>
              <w:pStyle w:val="TableParagraph"/>
              <w:spacing w:before="19"/>
              <w:ind w:left="432"/>
              <w:jc w:val="left"/>
              <w:rPr>
                <w:sz w:val="20"/>
              </w:rPr>
            </w:pPr>
            <w:r>
              <w:rPr>
                <w:sz w:val="20"/>
              </w:rPr>
              <w:t>2,418.76</w:t>
            </w:r>
          </w:p>
        </w:tc>
      </w:tr>
      <w:tr w:rsidR="007C5447">
        <w:trPr>
          <w:trHeight w:val="458"/>
        </w:trPr>
        <w:tc>
          <w:tcPr>
            <w:tcW w:w="2376" w:type="dxa"/>
          </w:tcPr>
          <w:p w:rsidR="007C5447" w:rsidRDefault="00F6308C">
            <w:pPr>
              <w:pStyle w:val="TableParagraph"/>
              <w:spacing w:line="230" w:lineRule="exact"/>
              <w:ind w:left="107" w:right="556"/>
              <w:jc w:val="left"/>
              <w:rPr>
                <w:sz w:val="20"/>
              </w:rPr>
            </w:pPr>
            <w:r>
              <w:rPr>
                <w:sz w:val="20"/>
              </w:rPr>
              <w:t>Captive &amp; Non- conventional sources</w:t>
            </w:r>
          </w:p>
        </w:tc>
        <w:tc>
          <w:tcPr>
            <w:tcW w:w="1419" w:type="dxa"/>
          </w:tcPr>
          <w:p w:rsidR="007C5447" w:rsidRDefault="00F6308C">
            <w:pPr>
              <w:pStyle w:val="TableParagraph"/>
              <w:spacing w:before="113"/>
              <w:ind w:right="271"/>
              <w:rPr>
                <w:sz w:val="20"/>
              </w:rPr>
            </w:pPr>
            <w:r>
              <w:rPr>
                <w:w w:val="95"/>
                <w:sz w:val="20"/>
              </w:rPr>
              <w:t>7,654.68</w:t>
            </w:r>
          </w:p>
        </w:tc>
        <w:tc>
          <w:tcPr>
            <w:tcW w:w="1416" w:type="dxa"/>
          </w:tcPr>
          <w:p w:rsidR="007C5447" w:rsidRDefault="00F6308C">
            <w:pPr>
              <w:pStyle w:val="TableParagraph"/>
              <w:spacing w:before="113"/>
              <w:ind w:left="195" w:right="32"/>
              <w:jc w:val="center"/>
              <w:rPr>
                <w:sz w:val="20"/>
              </w:rPr>
            </w:pPr>
            <w:r>
              <w:rPr>
                <w:sz w:val="20"/>
              </w:rPr>
              <w:t>9,553.00</w:t>
            </w:r>
          </w:p>
        </w:tc>
        <w:tc>
          <w:tcPr>
            <w:tcW w:w="1418" w:type="dxa"/>
          </w:tcPr>
          <w:p w:rsidR="007C5447" w:rsidRDefault="00F6308C">
            <w:pPr>
              <w:pStyle w:val="TableParagraph"/>
              <w:spacing w:before="113"/>
              <w:ind w:right="270"/>
              <w:rPr>
                <w:sz w:val="20"/>
              </w:rPr>
            </w:pPr>
            <w:r>
              <w:rPr>
                <w:sz w:val="20"/>
              </w:rPr>
              <w:t>8336.00</w:t>
            </w:r>
          </w:p>
        </w:tc>
        <w:tc>
          <w:tcPr>
            <w:tcW w:w="1419" w:type="dxa"/>
          </w:tcPr>
          <w:p w:rsidR="007C5447" w:rsidRDefault="00F6308C">
            <w:pPr>
              <w:pStyle w:val="TableParagraph"/>
              <w:spacing w:before="113"/>
              <w:ind w:left="434"/>
              <w:jc w:val="left"/>
              <w:rPr>
                <w:sz w:val="20"/>
              </w:rPr>
            </w:pPr>
            <w:r>
              <w:rPr>
                <w:sz w:val="20"/>
              </w:rPr>
              <w:t>8,486.00</w:t>
            </w:r>
          </w:p>
        </w:tc>
        <w:tc>
          <w:tcPr>
            <w:tcW w:w="1416" w:type="dxa"/>
          </w:tcPr>
          <w:p w:rsidR="007C5447" w:rsidRDefault="00F6308C">
            <w:pPr>
              <w:pStyle w:val="TableParagraph"/>
              <w:spacing w:before="113"/>
              <w:ind w:left="432"/>
              <w:jc w:val="left"/>
              <w:rPr>
                <w:sz w:val="20"/>
              </w:rPr>
            </w:pPr>
            <w:r>
              <w:rPr>
                <w:sz w:val="20"/>
              </w:rPr>
              <w:t>3,495.62</w:t>
            </w:r>
          </w:p>
        </w:tc>
      </w:tr>
      <w:tr w:rsidR="007C5447">
        <w:trPr>
          <w:trHeight w:val="458"/>
        </w:trPr>
        <w:tc>
          <w:tcPr>
            <w:tcW w:w="2376" w:type="dxa"/>
          </w:tcPr>
          <w:p w:rsidR="007C5447" w:rsidRDefault="00F6308C">
            <w:pPr>
              <w:pStyle w:val="TableParagraph"/>
              <w:spacing w:before="1" w:line="230" w:lineRule="exact"/>
              <w:ind w:left="107" w:right="395"/>
              <w:jc w:val="left"/>
              <w:rPr>
                <w:sz w:val="20"/>
              </w:rPr>
            </w:pPr>
            <w:r>
              <w:rPr>
                <w:sz w:val="20"/>
              </w:rPr>
              <w:t>Other sources (Trading/Bilateral etc.)</w:t>
            </w:r>
          </w:p>
        </w:tc>
        <w:tc>
          <w:tcPr>
            <w:tcW w:w="1419" w:type="dxa"/>
          </w:tcPr>
          <w:p w:rsidR="007C5447" w:rsidRDefault="00F6308C">
            <w:pPr>
              <w:pStyle w:val="TableParagraph"/>
              <w:spacing w:before="113"/>
              <w:ind w:right="271"/>
              <w:rPr>
                <w:sz w:val="20"/>
              </w:rPr>
            </w:pPr>
            <w:r>
              <w:rPr>
                <w:w w:val="95"/>
                <w:sz w:val="20"/>
              </w:rPr>
              <w:t>9,821.00</w:t>
            </w:r>
          </w:p>
        </w:tc>
        <w:tc>
          <w:tcPr>
            <w:tcW w:w="1416" w:type="dxa"/>
          </w:tcPr>
          <w:p w:rsidR="007C5447" w:rsidRDefault="00F6308C">
            <w:pPr>
              <w:pStyle w:val="TableParagraph"/>
              <w:spacing w:before="113"/>
              <w:ind w:left="195" w:right="32"/>
              <w:jc w:val="center"/>
              <w:rPr>
                <w:sz w:val="20"/>
              </w:rPr>
            </w:pPr>
            <w:r>
              <w:rPr>
                <w:sz w:val="20"/>
              </w:rPr>
              <w:t>7,017.00</w:t>
            </w:r>
          </w:p>
        </w:tc>
        <w:tc>
          <w:tcPr>
            <w:tcW w:w="1418" w:type="dxa"/>
          </w:tcPr>
          <w:p w:rsidR="007C5447" w:rsidRDefault="00F6308C">
            <w:pPr>
              <w:pStyle w:val="TableParagraph"/>
              <w:spacing w:before="113"/>
              <w:ind w:right="270"/>
              <w:rPr>
                <w:sz w:val="20"/>
              </w:rPr>
            </w:pPr>
            <w:r>
              <w:rPr>
                <w:w w:val="95"/>
                <w:sz w:val="20"/>
              </w:rPr>
              <w:t>10,170.00</w:t>
            </w:r>
          </w:p>
        </w:tc>
        <w:tc>
          <w:tcPr>
            <w:tcW w:w="1419" w:type="dxa"/>
          </w:tcPr>
          <w:p w:rsidR="007C5447" w:rsidRDefault="00F6308C">
            <w:pPr>
              <w:pStyle w:val="TableParagraph"/>
              <w:spacing w:before="113"/>
              <w:ind w:left="336"/>
              <w:jc w:val="left"/>
              <w:rPr>
                <w:sz w:val="20"/>
              </w:rPr>
            </w:pPr>
            <w:r>
              <w:rPr>
                <w:sz w:val="20"/>
              </w:rPr>
              <w:t>12,881.00</w:t>
            </w:r>
          </w:p>
        </w:tc>
        <w:tc>
          <w:tcPr>
            <w:tcW w:w="1416" w:type="dxa"/>
          </w:tcPr>
          <w:p w:rsidR="007C5447" w:rsidRDefault="00F6308C">
            <w:pPr>
              <w:pStyle w:val="TableParagraph"/>
              <w:spacing w:before="113"/>
              <w:ind w:left="334"/>
              <w:jc w:val="left"/>
              <w:rPr>
                <w:sz w:val="20"/>
              </w:rPr>
            </w:pPr>
            <w:r>
              <w:rPr>
                <w:sz w:val="20"/>
              </w:rPr>
              <w:t>18,495.30</w:t>
            </w:r>
          </w:p>
        </w:tc>
      </w:tr>
    </w:tbl>
    <w:p w:rsidR="007C5447" w:rsidRDefault="007C5447">
      <w:pPr>
        <w:rPr>
          <w:sz w:val="20"/>
        </w:rPr>
        <w:sectPr w:rsidR="007C5447">
          <w:pgSz w:w="11910" w:h="16840"/>
          <w:pgMar w:top="1420" w:right="560" w:bottom="1240" w:left="760" w:header="0" w:footer="1057" w:gutter="0"/>
          <w:cols w:space="720"/>
        </w:sectPr>
      </w:pPr>
    </w:p>
    <w:tbl>
      <w:tblPr>
        <w:tblW w:w="0" w:type="auto"/>
        <w:tblInd w:w="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6"/>
        <w:gridCol w:w="1419"/>
        <w:gridCol w:w="1416"/>
        <w:gridCol w:w="1418"/>
        <w:gridCol w:w="1419"/>
        <w:gridCol w:w="1416"/>
      </w:tblGrid>
      <w:tr w:rsidR="007C5447">
        <w:trPr>
          <w:trHeight w:val="230"/>
        </w:trPr>
        <w:tc>
          <w:tcPr>
            <w:tcW w:w="2376" w:type="dxa"/>
            <w:shd w:val="clear" w:color="auto" w:fill="F7C9AC"/>
          </w:tcPr>
          <w:p w:rsidR="007C5447" w:rsidRDefault="00F6308C">
            <w:pPr>
              <w:pStyle w:val="TableParagraph"/>
              <w:spacing w:line="210" w:lineRule="exact"/>
              <w:ind w:left="871" w:right="866"/>
              <w:jc w:val="center"/>
              <w:rPr>
                <w:b/>
                <w:sz w:val="20"/>
              </w:rPr>
            </w:pPr>
            <w:r>
              <w:rPr>
                <w:b/>
                <w:sz w:val="20"/>
              </w:rPr>
              <w:lastRenderedPageBreak/>
              <w:t>Source</w:t>
            </w:r>
          </w:p>
        </w:tc>
        <w:tc>
          <w:tcPr>
            <w:tcW w:w="1419" w:type="dxa"/>
            <w:shd w:val="clear" w:color="auto" w:fill="F7C9AC"/>
          </w:tcPr>
          <w:p w:rsidR="007C5447" w:rsidRDefault="00F6308C">
            <w:pPr>
              <w:pStyle w:val="TableParagraph"/>
              <w:spacing w:line="210" w:lineRule="exact"/>
              <w:ind w:left="197" w:right="187"/>
              <w:jc w:val="center"/>
              <w:rPr>
                <w:b/>
                <w:sz w:val="20"/>
              </w:rPr>
            </w:pPr>
            <w:r>
              <w:rPr>
                <w:b/>
                <w:sz w:val="20"/>
              </w:rPr>
              <w:t>FY 2011-12</w:t>
            </w:r>
          </w:p>
        </w:tc>
        <w:tc>
          <w:tcPr>
            <w:tcW w:w="1416" w:type="dxa"/>
            <w:shd w:val="clear" w:color="auto" w:fill="F7C9AC"/>
          </w:tcPr>
          <w:p w:rsidR="007C5447" w:rsidRDefault="00F6308C">
            <w:pPr>
              <w:pStyle w:val="TableParagraph"/>
              <w:spacing w:line="210" w:lineRule="exact"/>
              <w:ind w:left="195" w:right="184"/>
              <w:jc w:val="center"/>
              <w:rPr>
                <w:b/>
                <w:sz w:val="20"/>
              </w:rPr>
            </w:pPr>
            <w:r>
              <w:rPr>
                <w:b/>
                <w:sz w:val="20"/>
              </w:rPr>
              <w:t>FY 2012-13</w:t>
            </w:r>
          </w:p>
        </w:tc>
        <w:tc>
          <w:tcPr>
            <w:tcW w:w="1418" w:type="dxa"/>
            <w:shd w:val="clear" w:color="auto" w:fill="F7C9AC"/>
          </w:tcPr>
          <w:p w:rsidR="007C5447" w:rsidRDefault="00F6308C">
            <w:pPr>
              <w:pStyle w:val="TableParagraph"/>
              <w:spacing w:line="210" w:lineRule="exact"/>
              <w:ind w:right="203"/>
              <w:rPr>
                <w:b/>
                <w:sz w:val="20"/>
              </w:rPr>
            </w:pPr>
            <w:r>
              <w:rPr>
                <w:b/>
                <w:sz w:val="20"/>
              </w:rPr>
              <w:t>FY 2013-14</w:t>
            </w:r>
          </w:p>
        </w:tc>
        <w:tc>
          <w:tcPr>
            <w:tcW w:w="1419" w:type="dxa"/>
            <w:shd w:val="clear" w:color="auto" w:fill="F7C9AC"/>
          </w:tcPr>
          <w:p w:rsidR="007C5447" w:rsidRDefault="00F6308C">
            <w:pPr>
              <w:pStyle w:val="TableParagraph"/>
              <w:spacing w:line="210" w:lineRule="exact"/>
              <w:ind w:left="197" w:right="186"/>
              <w:jc w:val="center"/>
              <w:rPr>
                <w:b/>
                <w:sz w:val="20"/>
              </w:rPr>
            </w:pPr>
            <w:r>
              <w:rPr>
                <w:b/>
                <w:sz w:val="20"/>
              </w:rPr>
              <w:t>FY 2014-15</w:t>
            </w:r>
          </w:p>
        </w:tc>
        <w:tc>
          <w:tcPr>
            <w:tcW w:w="1416" w:type="dxa"/>
            <w:shd w:val="clear" w:color="auto" w:fill="F7C9AC"/>
          </w:tcPr>
          <w:p w:rsidR="007C5447" w:rsidRDefault="00F6308C">
            <w:pPr>
              <w:pStyle w:val="TableParagraph"/>
              <w:spacing w:line="210" w:lineRule="exact"/>
              <w:ind w:left="193" w:right="185"/>
              <w:jc w:val="center"/>
              <w:rPr>
                <w:b/>
                <w:sz w:val="20"/>
              </w:rPr>
            </w:pPr>
            <w:r>
              <w:rPr>
                <w:b/>
                <w:sz w:val="20"/>
              </w:rPr>
              <w:t>FY 2015-16</w:t>
            </w:r>
          </w:p>
        </w:tc>
      </w:tr>
      <w:tr w:rsidR="007C5447">
        <w:trPr>
          <w:trHeight w:val="309"/>
        </w:trPr>
        <w:tc>
          <w:tcPr>
            <w:tcW w:w="2376" w:type="dxa"/>
          </w:tcPr>
          <w:p w:rsidR="007C5447" w:rsidRDefault="00F6308C">
            <w:pPr>
              <w:pStyle w:val="TableParagraph"/>
              <w:ind w:left="107"/>
              <w:jc w:val="left"/>
              <w:rPr>
                <w:b/>
                <w:sz w:val="20"/>
              </w:rPr>
            </w:pPr>
            <w:r>
              <w:rPr>
                <w:b/>
                <w:sz w:val="20"/>
              </w:rPr>
              <w:t>Total</w:t>
            </w:r>
          </w:p>
        </w:tc>
        <w:tc>
          <w:tcPr>
            <w:tcW w:w="1419" w:type="dxa"/>
          </w:tcPr>
          <w:p w:rsidR="007C5447" w:rsidRDefault="00F6308C">
            <w:pPr>
              <w:pStyle w:val="TableParagraph"/>
              <w:spacing w:before="39"/>
              <w:ind w:left="197" w:right="133"/>
              <w:jc w:val="center"/>
              <w:rPr>
                <w:b/>
                <w:sz w:val="20"/>
              </w:rPr>
            </w:pPr>
            <w:r>
              <w:rPr>
                <w:b/>
                <w:sz w:val="20"/>
              </w:rPr>
              <w:t>43,836.67</w:t>
            </w:r>
          </w:p>
        </w:tc>
        <w:tc>
          <w:tcPr>
            <w:tcW w:w="1416" w:type="dxa"/>
          </w:tcPr>
          <w:p w:rsidR="007C5447" w:rsidRDefault="00F6308C">
            <w:pPr>
              <w:pStyle w:val="TableParagraph"/>
              <w:spacing w:before="39"/>
              <w:ind w:left="195" w:right="131"/>
              <w:jc w:val="center"/>
              <w:rPr>
                <w:b/>
                <w:sz w:val="20"/>
              </w:rPr>
            </w:pPr>
            <w:r>
              <w:rPr>
                <w:b/>
                <w:sz w:val="20"/>
              </w:rPr>
              <w:t>44,108.30</w:t>
            </w:r>
          </w:p>
        </w:tc>
        <w:tc>
          <w:tcPr>
            <w:tcW w:w="1418" w:type="dxa"/>
          </w:tcPr>
          <w:p w:rsidR="007C5447" w:rsidRDefault="00F6308C">
            <w:pPr>
              <w:pStyle w:val="TableParagraph"/>
              <w:spacing w:before="39"/>
              <w:ind w:right="269"/>
              <w:rPr>
                <w:b/>
                <w:sz w:val="20"/>
              </w:rPr>
            </w:pPr>
            <w:r>
              <w:rPr>
                <w:b/>
                <w:w w:val="95"/>
                <w:sz w:val="20"/>
              </w:rPr>
              <w:t>48,725.24</w:t>
            </w:r>
          </w:p>
        </w:tc>
        <w:tc>
          <w:tcPr>
            <w:tcW w:w="1419" w:type="dxa"/>
          </w:tcPr>
          <w:p w:rsidR="007C5447" w:rsidRDefault="00F6308C">
            <w:pPr>
              <w:pStyle w:val="TableParagraph"/>
              <w:spacing w:before="39"/>
              <w:ind w:left="197" w:right="134"/>
              <w:jc w:val="center"/>
              <w:rPr>
                <w:b/>
                <w:sz w:val="20"/>
              </w:rPr>
            </w:pPr>
            <w:r>
              <w:rPr>
                <w:b/>
                <w:sz w:val="20"/>
              </w:rPr>
              <w:t>53,381.00</w:t>
            </w:r>
          </w:p>
        </w:tc>
        <w:tc>
          <w:tcPr>
            <w:tcW w:w="1416" w:type="dxa"/>
          </w:tcPr>
          <w:p w:rsidR="007C5447" w:rsidRDefault="00F6308C">
            <w:pPr>
              <w:pStyle w:val="TableParagraph"/>
              <w:spacing w:before="39"/>
              <w:ind w:left="195" w:right="134"/>
              <w:jc w:val="center"/>
              <w:rPr>
                <w:b/>
                <w:sz w:val="20"/>
              </w:rPr>
            </w:pPr>
            <w:r>
              <w:rPr>
                <w:b/>
                <w:sz w:val="20"/>
              </w:rPr>
              <w:t>54,087.77</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6"/>
        <w:rPr>
          <w:b/>
          <w:sz w:val="22"/>
        </w:rPr>
      </w:pPr>
    </w:p>
    <w:p w:rsidR="007C5447" w:rsidRDefault="00F6308C">
      <w:pPr>
        <w:pStyle w:val="Heading2"/>
        <w:numPr>
          <w:ilvl w:val="2"/>
          <w:numId w:val="114"/>
        </w:numPr>
        <w:tabs>
          <w:tab w:val="left" w:pos="1532"/>
          <w:tab w:val="left" w:pos="1533"/>
        </w:tabs>
        <w:ind w:left="1532" w:hanging="853"/>
      </w:pPr>
      <w:r>
        <w:t>Summary of total energy availability</w:t>
      </w:r>
    </w:p>
    <w:p w:rsidR="007C5447" w:rsidRDefault="007C5447">
      <w:pPr>
        <w:pStyle w:val="BodyText"/>
        <w:spacing w:before="11"/>
        <w:rPr>
          <w:b/>
          <w:sz w:val="27"/>
        </w:rPr>
      </w:pPr>
    </w:p>
    <w:p w:rsidR="007C5447" w:rsidRDefault="00F6308C">
      <w:pPr>
        <w:pStyle w:val="BodyText"/>
        <w:spacing w:line="312" w:lineRule="auto"/>
        <w:ind w:left="1645" w:right="877" w:hanging="965"/>
        <w:jc w:val="both"/>
      </w:pPr>
      <w:r>
        <w:t>3.3.6.1 Based on the approval given above, the summary of total energy available to TANGEDCO for each year during FY 2011-12 to FY 2015-16 is shown in the Table below:</w:t>
      </w:r>
    </w:p>
    <w:p w:rsidR="007C5447" w:rsidRDefault="007C5447">
      <w:pPr>
        <w:pStyle w:val="BodyText"/>
        <w:spacing w:before="2"/>
        <w:rPr>
          <w:sz w:val="21"/>
        </w:rPr>
      </w:pPr>
    </w:p>
    <w:p w:rsidR="007C5447" w:rsidRDefault="00F6308C">
      <w:pPr>
        <w:spacing w:line="312" w:lineRule="auto"/>
        <w:ind w:left="4787" w:right="955" w:hanging="4021"/>
        <w:rPr>
          <w:b/>
        </w:rPr>
      </w:pPr>
      <w:r>
        <w:rPr>
          <w:b/>
        </w:rPr>
        <w:t>Table 3-7: Total Energy availability for TANGEDCO approved by the Commission after true</w:t>
      </w:r>
      <w:r>
        <w:rPr>
          <w:b/>
        </w:rPr>
        <w:t>- up (MU)</w:t>
      </w:r>
    </w:p>
    <w:p w:rsidR="007C5447" w:rsidRDefault="007C5447">
      <w:pPr>
        <w:pStyle w:val="BodyText"/>
        <w:spacing w:before="4"/>
        <w:rPr>
          <w:b/>
          <w:sz w:val="10"/>
        </w:rPr>
      </w:pPr>
    </w:p>
    <w:tbl>
      <w:tblPr>
        <w:tblW w:w="0" w:type="auto"/>
        <w:tblInd w:w="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7"/>
        <w:gridCol w:w="1412"/>
        <w:gridCol w:w="1409"/>
        <w:gridCol w:w="1411"/>
        <w:gridCol w:w="1412"/>
        <w:gridCol w:w="1464"/>
      </w:tblGrid>
      <w:tr w:rsidR="007C5447">
        <w:trPr>
          <w:trHeight w:val="230"/>
        </w:trPr>
        <w:tc>
          <w:tcPr>
            <w:tcW w:w="2357" w:type="dxa"/>
            <w:shd w:val="clear" w:color="auto" w:fill="F7C9AC"/>
          </w:tcPr>
          <w:p w:rsidR="007C5447" w:rsidRDefault="00F6308C">
            <w:pPr>
              <w:pStyle w:val="TableParagraph"/>
              <w:spacing w:line="210" w:lineRule="exact"/>
              <w:ind w:left="861" w:right="856"/>
              <w:jc w:val="center"/>
              <w:rPr>
                <w:b/>
                <w:sz w:val="20"/>
              </w:rPr>
            </w:pPr>
            <w:r>
              <w:rPr>
                <w:b/>
                <w:sz w:val="20"/>
              </w:rPr>
              <w:t>Source</w:t>
            </w:r>
          </w:p>
        </w:tc>
        <w:tc>
          <w:tcPr>
            <w:tcW w:w="1412" w:type="dxa"/>
            <w:shd w:val="clear" w:color="auto" w:fill="F7C9AC"/>
          </w:tcPr>
          <w:p w:rsidR="007C5447" w:rsidRDefault="00F6308C">
            <w:pPr>
              <w:pStyle w:val="TableParagraph"/>
              <w:spacing w:line="210" w:lineRule="exact"/>
              <w:ind w:left="194" w:right="183"/>
              <w:jc w:val="center"/>
              <w:rPr>
                <w:b/>
                <w:sz w:val="20"/>
              </w:rPr>
            </w:pPr>
            <w:r>
              <w:rPr>
                <w:b/>
                <w:sz w:val="20"/>
              </w:rPr>
              <w:t>FY 2011-12</w:t>
            </w:r>
          </w:p>
        </w:tc>
        <w:tc>
          <w:tcPr>
            <w:tcW w:w="1409" w:type="dxa"/>
            <w:shd w:val="clear" w:color="auto" w:fill="F7C9AC"/>
          </w:tcPr>
          <w:p w:rsidR="007C5447" w:rsidRDefault="00F6308C">
            <w:pPr>
              <w:pStyle w:val="TableParagraph"/>
              <w:spacing w:line="210" w:lineRule="exact"/>
              <w:ind w:left="191" w:right="183"/>
              <w:jc w:val="center"/>
              <w:rPr>
                <w:b/>
                <w:sz w:val="20"/>
              </w:rPr>
            </w:pPr>
            <w:r>
              <w:rPr>
                <w:b/>
                <w:sz w:val="20"/>
              </w:rPr>
              <w:t>FY 2012-13</w:t>
            </w:r>
          </w:p>
        </w:tc>
        <w:tc>
          <w:tcPr>
            <w:tcW w:w="1411" w:type="dxa"/>
            <w:shd w:val="clear" w:color="auto" w:fill="F7C9AC"/>
          </w:tcPr>
          <w:p w:rsidR="007C5447" w:rsidRDefault="00F6308C">
            <w:pPr>
              <w:pStyle w:val="TableParagraph"/>
              <w:spacing w:line="210" w:lineRule="exact"/>
              <w:ind w:left="213"/>
              <w:jc w:val="left"/>
              <w:rPr>
                <w:b/>
                <w:sz w:val="20"/>
              </w:rPr>
            </w:pPr>
            <w:r>
              <w:rPr>
                <w:b/>
                <w:sz w:val="20"/>
              </w:rPr>
              <w:t>FY 2013-14</w:t>
            </w:r>
          </w:p>
        </w:tc>
        <w:tc>
          <w:tcPr>
            <w:tcW w:w="1412" w:type="dxa"/>
            <w:shd w:val="clear" w:color="auto" w:fill="F7C9AC"/>
          </w:tcPr>
          <w:p w:rsidR="007C5447" w:rsidRDefault="00F6308C">
            <w:pPr>
              <w:pStyle w:val="TableParagraph"/>
              <w:spacing w:line="210" w:lineRule="exact"/>
              <w:ind w:right="202"/>
              <w:rPr>
                <w:b/>
                <w:sz w:val="20"/>
              </w:rPr>
            </w:pPr>
            <w:r>
              <w:rPr>
                <w:b/>
                <w:sz w:val="20"/>
              </w:rPr>
              <w:t>FY 2014-15</w:t>
            </w:r>
          </w:p>
        </w:tc>
        <w:tc>
          <w:tcPr>
            <w:tcW w:w="1464" w:type="dxa"/>
            <w:shd w:val="clear" w:color="auto" w:fill="F7C9AC"/>
          </w:tcPr>
          <w:p w:rsidR="007C5447" w:rsidRDefault="00F6308C">
            <w:pPr>
              <w:pStyle w:val="TableParagraph"/>
              <w:spacing w:line="210" w:lineRule="exact"/>
              <w:ind w:right="228"/>
              <w:rPr>
                <w:b/>
                <w:sz w:val="20"/>
              </w:rPr>
            </w:pPr>
            <w:r>
              <w:rPr>
                <w:b/>
                <w:sz w:val="20"/>
              </w:rPr>
              <w:t>FY 2015-16</w:t>
            </w:r>
          </w:p>
        </w:tc>
      </w:tr>
      <w:tr w:rsidR="007C5447">
        <w:trPr>
          <w:trHeight w:val="433"/>
        </w:trPr>
        <w:tc>
          <w:tcPr>
            <w:tcW w:w="2357" w:type="dxa"/>
          </w:tcPr>
          <w:p w:rsidR="007C5447" w:rsidRDefault="00F6308C">
            <w:pPr>
              <w:pStyle w:val="TableParagraph"/>
              <w:spacing w:before="101"/>
              <w:ind w:left="107"/>
              <w:jc w:val="left"/>
              <w:rPr>
                <w:sz w:val="20"/>
              </w:rPr>
            </w:pPr>
            <w:r>
              <w:rPr>
                <w:sz w:val="20"/>
              </w:rPr>
              <w:t>Own Generation</w:t>
            </w:r>
          </w:p>
        </w:tc>
        <w:tc>
          <w:tcPr>
            <w:tcW w:w="1412" w:type="dxa"/>
          </w:tcPr>
          <w:p w:rsidR="007C5447" w:rsidRDefault="00F6308C">
            <w:pPr>
              <w:pStyle w:val="TableParagraph"/>
              <w:spacing w:before="101"/>
              <w:ind w:left="194" w:right="143"/>
              <w:jc w:val="center"/>
              <w:rPr>
                <w:sz w:val="20"/>
              </w:rPr>
            </w:pPr>
            <w:r>
              <w:rPr>
                <w:sz w:val="20"/>
              </w:rPr>
              <w:t>24,996.26</w:t>
            </w:r>
          </w:p>
        </w:tc>
        <w:tc>
          <w:tcPr>
            <w:tcW w:w="1409" w:type="dxa"/>
          </w:tcPr>
          <w:p w:rsidR="007C5447" w:rsidRDefault="00F6308C">
            <w:pPr>
              <w:pStyle w:val="TableParagraph"/>
              <w:spacing w:before="101"/>
              <w:ind w:left="191" w:right="135"/>
              <w:jc w:val="center"/>
              <w:rPr>
                <w:sz w:val="20"/>
              </w:rPr>
            </w:pPr>
            <w:r>
              <w:rPr>
                <w:sz w:val="20"/>
              </w:rPr>
              <w:t>22,595.08</w:t>
            </w:r>
          </w:p>
        </w:tc>
        <w:tc>
          <w:tcPr>
            <w:tcW w:w="1411" w:type="dxa"/>
          </w:tcPr>
          <w:p w:rsidR="007C5447" w:rsidRDefault="00F6308C">
            <w:pPr>
              <w:pStyle w:val="TableParagraph"/>
              <w:spacing w:before="101"/>
              <w:ind w:left="325"/>
              <w:jc w:val="left"/>
              <w:rPr>
                <w:sz w:val="20"/>
              </w:rPr>
            </w:pPr>
            <w:r>
              <w:rPr>
                <w:sz w:val="20"/>
              </w:rPr>
              <w:t>26,103.52</w:t>
            </w:r>
          </w:p>
        </w:tc>
        <w:tc>
          <w:tcPr>
            <w:tcW w:w="1412" w:type="dxa"/>
          </w:tcPr>
          <w:p w:rsidR="007C5447" w:rsidRDefault="00F6308C">
            <w:pPr>
              <w:pStyle w:val="TableParagraph"/>
              <w:spacing w:before="101"/>
              <w:ind w:right="274"/>
              <w:rPr>
                <w:sz w:val="20"/>
              </w:rPr>
            </w:pPr>
            <w:r>
              <w:rPr>
                <w:w w:val="95"/>
                <w:sz w:val="20"/>
              </w:rPr>
              <w:t>31,590.05</w:t>
            </w:r>
          </w:p>
        </w:tc>
        <w:tc>
          <w:tcPr>
            <w:tcW w:w="1464" w:type="dxa"/>
          </w:tcPr>
          <w:p w:rsidR="007C5447" w:rsidRDefault="00F6308C">
            <w:pPr>
              <w:pStyle w:val="TableParagraph"/>
              <w:spacing w:before="101"/>
              <w:ind w:right="273"/>
              <w:rPr>
                <w:sz w:val="20"/>
              </w:rPr>
            </w:pPr>
            <w:r>
              <w:rPr>
                <w:w w:val="95"/>
                <w:sz w:val="20"/>
              </w:rPr>
              <w:t>29,139.79</w:t>
            </w:r>
          </w:p>
        </w:tc>
      </w:tr>
      <w:tr w:rsidR="007C5447">
        <w:trPr>
          <w:trHeight w:val="434"/>
        </w:trPr>
        <w:tc>
          <w:tcPr>
            <w:tcW w:w="2357" w:type="dxa"/>
          </w:tcPr>
          <w:p w:rsidR="007C5447" w:rsidRDefault="00F6308C">
            <w:pPr>
              <w:pStyle w:val="TableParagraph"/>
              <w:spacing w:before="103"/>
              <w:ind w:left="107"/>
              <w:jc w:val="left"/>
              <w:rPr>
                <w:sz w:val="20"/>
              </w:rPr>
            </w:pPr>
            <w:r>
              <w:rPr>
                <w:sz w:val="20"/>
              </w:rPr>
              <w:t>CGS</w:t>
            </w:r>
          </w:p>
        </w:tc>
        <w:tc>
          <w:tcPr>
            <w:tcW w:w="1412" w:type="dxa"/>
          </w:tcPr>
          <w:p w:rsidR="007C5447" w:rsidRDefault="00F6308C">
            <w:pPr>
              <w:pStyle w:val="TableParagraph"/>
              <w:spacing w:before="103"/>
              <w:ind w:left="194" w:right="139"/>
              <w:jc w:val="center"/>
              <w:rPr>
                <w:sz w:val="20"/>
              </w:rPr>
            </w:pPr>
            <w:r>
              <w:rPr>
                <w:sz w:val="20"/>
              </w:rPr>
              <w:t>20,630.55</w:t>
            </w:r>
          </w:p>
        </w:tc>
        <w:tc>
          <w:tcPr>
            <w:tcW w:w="1409" w:type="dxa"/>
          </w:tcPr>
          <w:p w:rsidR="007C5447" w:rsidRDefault="00F6308C">
            <w:pPr>
              <w:pStyle w:val="TableParagraph"/>
              <w:spacing w:before="103"/>
              <w:ind w:left="191" w:right="135"/>
              <w:jc w:val="center"/>
              <w:rPr>
                <w:sz w:val="20"/>
              </w:rPr>
            </w:pPr>
            <w:r>
              <w:rPr>
                <w:sz w:val="20"/>
              </w:rPr>
              <w:t>21,566.30</w:t>
            </w:r>
          </w:p>
        </w:tc>
        <w:tc>
          <w:tcPr>
            <w:tcW w:w="1411" w:type="dxa"/>
          </w:tcPr>
          <w:p w:rsidR="007C5447" w:rsidRDefault="00F6308C">
            <w:pPr>
              <w:pStyle w:val="TableParagraph"/>
              <w:spacing w:before="103"/>
              <w:ind w:left="328"/>
              <w:jc w:val="left"/>
              <w:rPr>
                <w:sz w:val="20"/>
              </w:rPr>
            </w:pPr>
            <w:r>
              <w:rPr>
                <w:sz w:val="20"/>
              </w:rPr>
              <w:t>24,560.40</w:t>
            </w:r>
          </w:p>
        </w:tc>
        <w:tc>
          <w:tcPr>
            <w:tcW w:w="1412" w:type="dxa"/>
          </w:tcPr>
          <w:p w:rsidR="007C5447" w:rsidRDefault="00F6308C">
            <w:pPr>
              <w:pStyle w:val="TableParagraph"/>
              <w:spacing w:before="103"/>
              <w:ind w:right="272"/>
              <w:rPr>
                <w:sz w:val="20"/>
              </w:rPr>
            </w:pPr>
            <w:r>
              <w:rPr>
                <w:w w:val="95"/>
                <w:sz w:val="20"/>
              </w:rPr>
              <w:t>27,212.00</w:t>
            </w:r>
          </w:p>
        </w:tc>
        <w:tc>
          <w:tcPr>
            <w:tcW w:w="1464" w:type="dxa"/>
          </w:tcPr>
          <w:p w:rsidR="007C5447" w:rsidRDefault="00F6308C">
            <w:pPr>
              <w:pStyle w:val="TableParagraph"/>
              <w:spacing w:before="103"/>
              <w:ind w:right="271"/>
              <w:rPr>
                <w:sz w:val="20"/>
              </w:rPr>
            </w:pPr>
            <w:r>
              <w:rPr>
                <w:w w:val="95"/>
                <w:sz w:val="20"/>
              </w:rPr>
              <w:t>29,678.09</w:t>
            </w:r>
          </w:p>
        </w:tc>
      </w:tr>
      <w:tr w:rsidR="007C5447">
        <w:trPr>
          <w:trHeight w:val="457"/>
        </w:trPr>
        <w:tc>
          <w:tcPr>
            <w:tcW w:w="2357" w:type="dxa"/>
          </w:tcPr>
          <w:p w:rsidR="007C5447" w:rsidRDefault="00F6308C">
            <w:pPr>
              <w:pStyle w:val="TableParagraph"/>
              <w:spacing w:before="115"/>
              <w:ind w:left="107"/>
              <w:jc w:val="left"/>
              <w:rPr>
                <w:sz w:val="20"/>
              </w:rPr>
            </w:pPr>
            <w:r>
              <w:rPr>
                <w:sz w:val="20"/>
              </w:rPr>
              <w:t>IPPs</w:t>
            </w:r>
          </w:p>
        </w:tc>
        <w:tc>
          <w:tcPr>
            <w:tcW w:w="1412" w:type="dxa"/>
          </w:tcPr>
          <w:p w:rsidR="007C5447" w:rsidRDefault="00F6308C">
            <w:pPr>
              <w:pStyle w:val="TableParagraph"/>
              <w:spacing w:before="115"/>
              <w:ind w:left="194" w:right="39"/>
              <w:jc w:val="center"/>
              <w:rPr>
                <w:sz w:val="20"/>
              </w:rPr>
            </w:pPr>
            <w:r>
              <w:rPr>
                <w:sz w:val="20"/>
              </w:rPr>
              <w:t>5,730.44</w:t>
            </w:r>
          </w:p>
        </w:tc>
        <w:tc>
          <w:tcPr>
            <w:tcW w:w="1409" w:type="dxa"/>
          </w:tcPr>
          <w:p w:rsidR="007C5447" w:rsidRDefault="00F6308C">
            <w:pPr>
              <w:pStyle w:val="TableParagraph"/>
              <w:spacing w:before="115"/>
              <w:ind w:left="191" w:right="37"/>
              <w:jc w:val="center"/>
              <w:rPr>
                <w:sz w:val="20"/>
              </w:rPr>
            </w:pPr>
            <w:r>
              <w:rPr>
                <w:sz w:val="20"/>
              </w:rPr>
              <w:t>5,972.00</w:t>
            </w:r>
          </w:p>
        </w:tc>
        <w:tc>
          <w:tcPr>
            <w:tcW w:w="1411" w:type="dxa"/>
          </w:tcPr>
          <w:p w:rsidR="007C5447" w:rsidRDefault="00F6308C">
            <w:pPr>
              <w:pStyle w:val="TableParagraph"/>
              <w:spacing w:before="115"/>
              <w:ind w:left="426"/>
              <w:jc w:val="left"/>
              <w:rPr>
                <w:sz w:val="20"/>
              </w:rPr>
            </w:pPr>
            <w:r>
              <w:rPr>
                <w:sz w:val="20"/>
              </w:rPr>
              <w:t>5,658.84</w:t>
            </w:r>
          </w:p>
        </w:tc>
        <w:tc>
          <w:tcPr>
            <w:tcW w:w="1412" w:type="dxa"/>
          </w:tcPr>
          <w:p w:rsidR="007C5447" w:rsidRDefault="00F6308C">
            <w:pPr>
              <w:pStyle w:val="TableParagraph"/>
              <w:spacing w:before="115"/>
              <w:ind w:right="272"/>
              <w:rPr>
                <w:sz w:val="20"/>
              </w:rPr>
            </w:pPr>
            <w:r>
              <w:rPr>
                <w:w w:val="95"/>
                <w:sz w:val="20"/>
              </w:rPr>
              <w:t>4,802.00</w:t>
            </w:r>
          </w:p>
        </w:tc>
        <w:tc>
          <w:tcPr>
            <w:tcW w:w="1464" w:type="dxa"/>
          </w:tcPr>
          <w:p w:rsidR="007C5447" w:rsidRDefault="00F6308C">
            <w:pPr>
              <w:pStyle w:val="TableParagraph"/>
              <w:spacing w:before="115"/>
              <w:ind w:right="271"/>
              <w:rPr>
                <w:sz w:val="20"/>
              </w:rPr>
            </w:pPr>
            <w:r>
              <w:rPr>
                <w:w w:val="95"/>
                <w:sz w:val="20"/>
              </w:rPr>
              <w:t>2,418.76</w:t>
            </w:r>
          </w:p>
        </w:tc>
      </w:tr>
      <w:tr w:rsidR="007C5447">
        <w:trPr>
          <w:trHeight w:val="460"/>
        </w:trPr>
        <w:tc>
          <w:tcPr>
            <w:tcW w:w="2357" w:type="dxa"/>
          </w:tcPr>
          <w:p w:rsidR="007C5447" w:rsidRDefault="00F6308C">
            <w:pPr>
              <w:pStyle w:val="TableParagraph"/>
              <w:spacing w:line="230" w:lineRule="atLeast"/>
              <w:ind w:left="107" w:right="537"/>
              <w:jc w:val="left"/>
              <w:rPr>
                <w:sz w:val="20"/>
              </w:rPr>
            </w:pPr>
            <w:r>
              <w:rPr>
                <w:sz w:val="20"/>
              </w:rPr>
              <w:t>Captive &amp; Non- conventional sources</w:t>
            </w:r>
          </w:p>
        </w:tc>
        <w:tc>
          <w:tcPr>
            <w:tcW w:w="1412" w:type="dxa"/>
          </w:tcPr>
          <w:p w:rsidR="007C5447" w:rsidRDefault="00F6308C">
            <w:pPr>
              <w:pStyle w:val="TableParagraph"/>
              <w:spacing w:before="115"/>
              <w:ind w:left="194" w:right="41"/>
              <w:jc w:val="center"/>
              <w:rPr>
                <w:sz w:val="20"/>
              </w:rPr>
            </w:pPr>
            <w:r>
              <w:rPr>
                <w:sz w:val="20"/>
              </w:rPr>
              <w:t>7,654.68</w:t>
            </w:r>
          </w:p>
        </w:tc>
        <w:tc>
          <w:tcPr>
            <w:tcW w:w="1409" w:type="dxa"/>
          </w:tcPr>
          <w:p w:rsidR="007C5447" w:rsidRDefault="00F6308C">
            <w:pPr>
              <w:pStyle w:val="TableParagraph"/>
              <w:spacing w:before="115"/>
              <w:ind w:left="191" w:right="37"/>
              <w:jc w:val="center"/>
              <w:rPr>
                <w:sz w:val="20"/>
              </w:rPr>
            </w:pPr>
            <w:r>
              <w:rPr>
                <w:sz w:val="20"/>
              </w:rPr>
              <w:t>9,553.00</w:t>
            </w:r>
          </w:p>
        </w:tc>
        <w:tc>
          <w:tcPr>
            <w:tcW w:w="1411" w:type="dxa"/>
          </w:tcPr>
          <w:p w:rsidR="007C5447" w:rsidRDefault="00F6308C">
            <w:pPr>
              <w:pStyle w:val="TableParagraph"/>
              <w:spacing w:before="115"/>
              <w:ind w:left="477"/>
              <w:jc w:val="left"/>
              <w:rPr>
                <w:sz w:val="20"/>
              </w:rPr>
            </w:pPr>
            <w:r>
              <w:rPr>
                <w:sz w:val="20"/>
              </w:rPr>
              <w:t>8336.00</w:t>
            </w:r>
          </w:p>
        </w:tc>
        <w:tc>
          <w:tcPr>
            <w:tcW w:w="1412" w:type="dxa"/>
          </w:tcPr>
          <w:p w:rsidR="007C5447" w:rsidRDefault="00F6308C">
            <w:pPr>
              <w:pStyle w:val="TableParagraph"/>
              <w:spacing w:before="115"/>
              <w:ind w:right="272"/>
              <w:rPr>
                <w:sz w:val="20"/>
              </w:rPr>
            </w:pPr>
            <w:r>
              <w:rPr>
                <w:w w:val="95"/>
                <w:sz w:val="20"/>
              </w:rPr>
              <w:t>8,486.00</w:t>
            </w:r>
          </w:p>
        </w:tc>
        <w:tc>
          <w:tcPr>
            <w:tcW w:w="1464" w:type="dxa"/>
          </w:tcPr>
          <w:p w:rsidR="007C5447" w:rsidRDefault="00F6308C">
            <w:pPr>
              <w:pStyle w:val="TableParagraph"/>
              <w:spacing w:before="115"/>
              <w:ind w:right="271"/>
              <w:rPr>
                <w:sz w:val="20"/>
              </w:rPr>
            </w:pPr>
            <w:r>
              <w:rPr>
                <w:w w:val="95"/>
                <w:sz w:val="20"/>
              </w:rPr>
              <w:t>3,495.62</w:t>
            </w:r>
          </w:p>
        </w:tc>
      </w:tr>
      <w:tr w:rsidR="007C5447">
        <w:trPr>
          <w:trHeight w:val="460"/>
        </w:trPr>
        <w:tc>
          <w:tcPr>
            <w:tcW w:w="2357" w:type="dxa"/>
          </w:tcPr>
          <w:p w:rsidR="007C5447" w:rsidRDefault="00F6308C">
            <w:pPr>
              <w:pStyle w:val="TableParagraph"/>
              <w:spacing w:line="230" w:lineRule="atLeast"/>
              <w:ind w:left="107" w:right="376"/>
              <w:jc w:val="left"/>
              <w:rPr>
                <w:sz w:val="20"/>
              </w:rPr>
            </w:pPr>
            <w:r>
              <w:rPr>
                <w:sz w:val="20"/>
              </w:rPr>
              <w:t>Other sources (Trading/Bilateral etc.)</w:t>
            </w:r>
          </w:p>
        </w:tc>
        <w:tc>
          <w:tcPr>
            <w:tcW w:w="1412" w:type="dxa"/>
          </w:tcPr>
          <w:p w:rsidR="007C5447" w:rsidRDefault="00F6308C">
            <w:pPr>
              <w:pStyle w:val="TableParagraph"/>
              <w:spacing w:before="115"/>
              <w:ind w:left="194" w:right="41"/>
              <w:jc w:val="center"/>
              <w:rPr>
                <w:sz w:val="20"/>
              </w:rPr>
            </w:pPr>
            <w:r>
              <w:rPr>
                <w:sz w:val="20"/>
              </w:rPr>
              <w:t>9,821.00</w:t>
            </w:r>
          </w:p>
        </w:tc>
        <w:tc>
          <w:tcPr>
            <w:tcW w:w="1409" w:type="dxa"/>
          </w:tcPr>
          <w:p w:rsidR="007C5447" w:rsidRDefault="00F6308C">
            <w:pPr>
              <w:pStyle w:val="TableParagraph"/>
              <w:spacing w:before="115"/>
              <w:ind w:left="191" w:right="37"/>
              <w:jc w:val="center"/>
              <w:rPr>
                <w:sz w:val="20"/>
              </w:rPr>
            </w:pPr>
            <w:r>
              <w:rPr>
                <w:sz w:val="20"/>
              </w:rPr>
              <w:t>7,017.00</w:t>
            </w:r>
          </w:p>
        </w:tc>
        <w:tc>
          <w:tcPr>
            <w:tcW w:w="1411" w:type="dxa"/>
          </w:tcPr>
          <w:p w:rsidR="007C5447" w:rsidRDefault="00F6308C">
            <w:pPr>
              <w:pStyle w:val="TableParagraph"/>
              <w:spacing w:before="115"/>
              <w:ind w:left="328"/>
              <w:jc w:val="left"/>
              <w:rPr>
                <w:sz w:val="20"/>
              </w:rPr>
            </w:pPr>
            <w:r>
              <w:rPr>
                <w:sz w:val="20"/>
              </w:rPr>
              <w:t>10,170.00</w:t>
            </w:r>
          </w:p>
        </w:tc>
        <w:tc>
          <w:tcPr>
            <w:tcW w:w="1412" w:type="dxa"/>
          </w:tcPr>
          <w:p w:rsidR="007C5447" w:rsidRDefault="00F6308C">
            <w:pPr>
              <w:pStyle w:val="TableParagraph"/>
              <w:spacing w:before="115"/>
              <w:ind w:right="271"/>
              <w:rPr>
                <w:sz w:val="20"/>
              </w:rPr>
            </w:pPr>
            <w:r>
              <w:rPr>
                <w:w w:val="95"/>
                <w:sz w:val="20"/>
              </w:rPr>
              <w:t>12,881.00</w:t>
            </w:r>
          </w:p>
        </w:tc>
        <w:tc>
          <w:tcPr>
            <w:tcW w:w="1464" w:type="dxa"/>
          </w:tcPr>
          <w:p w:rsidR="007C5447" w:rsidRDefault="00F6308C">
            <w:pPr>
              <w:pStyle w:val="TableParagraph"/>
              <w:spacing w:before="115"/>
              <w:ind w:right="271"/>
              <w:rPr>
                <w:sz w:val="20"/>
              </w:rPr>
            </w:pPr>
            <w:r>
              <w:rPr>
                <w:w w:val="95"/>
                <w:sz w:val="20"/>
              </w:rPr>
              <w:t>18,495.30</w:t>
            </w:r>
          </w:p>
        </w:tc>
      </w:tr>
      <w:tr w:rsidR="007C5447">
        <w:trPr>
          <w:trHeight w:val="357"/>
        </w:trPr>
        <w:tc>
          <w:tcPr>
            <w:tcW w:w="2357" w:type="dxa"/>
          </w:tcPr>
          <w:p w:rsidR="007C5447" w:rsidRDefault="00F6308C">
            <w:pPr>
              <w:pStyle w:val="TableParagraph"/>
              <w:spacing w:before="62"/>
              <w:ind w:left="107"/>
              <w:jc w:val="left"/>
              <w:rPr>
                <w:b/>
                <w:sz w:val="20"/>
              </w:rPr>
            </w:pPr>
            <w:r>
              <w:rPr>
                <w:b/>
                <w:sz w:val="20"/>
              </w:rPr>
              <w:t>Total</w:t>
            </w:r>
          </w:p>
        </w:tc>
        <w:tc>
          <w:tcPr>
            <w:tcW w:w="1412" w:type="dxa"/>
          </w:tcPr>
          <w:p w:rsidR="007C5447" w:rsidRDefault="00F6308C">
            <w:pPr>
              <w:pStyle w:val="TableParagraph"/>
              <w:spacing w:before="62"/>
              <w:ind w:left="194" w:right="138"/>
              <w:jc w:val="center"/>
              <w:rPr>
                <w:b/>
                <w:sz w:val="20"/>
              </w:rPr>
            </w:pPr>
            <w:r>
              <w:rPr>
                <w:b/>
                <w:sz w:val="20"/>
              </w:rPr>
              <w:t>68,832.93</w:t>
            </w:r>
          </w:p>
        </w:tc>
        <w:tc>
          <w:tcPr>
            <w:tcW w:w="1409" w:type="dxa"/>
          </w:tcPr>
          <w:p w:rsidR="007C5447" w:rsidRDefault="00F6308C">
            <w:pPr>
              <w:pStyle w:val="TableParagraph"/>
              <w:spacing w:before="62"/>
              <w:ind w:left="191" w:right="135"/>
              <w:jc w:val="center"/>
              <w:rPr>
                <w:b/>
                <w:sz w:val="20"/>
              </w:rPr>
            </w:pPr>
            <w:r>
              <w:rPr>
                <w:b/>
                <w:sz w:val="20"/>
              </w:rPr>
              <w:t>66,703.63</w:t>
            </w:r>
          </w:p>
        </w:tc>
        <w:tc>
          <w:tcPr>
            <w:tcW w:w="1411" w:type="dxa"/>
          </w:tcPr>
          <w:p w:rsidR="007C5447" w:rsidRDefault="00F6308C">
            <w:pPr>
              <w:pStyle w:val="TableParagraph"/>
              <w:spacing w:before="62"/>
              <w:ind w:left="328"/>
              <w:jc w:val="left"/>
              <w:rPr>
                <w:b/>
                <w:sz w:val="20"/>
              </w:rPr>
            </w:pPr>
            <w:r>
              <w:rPr>
                <w:b/>
                <w:sz w:val="20"/>
              </w:rPr>
              <w:t>74,828.76</w:t>
            </w:r>
          </w:p>
        </w:tc>
        <w:tc>
          <w:tcPr>
            <w:tcW w:w="1412" w:type="dxa"/>
          </w:tcPr>
          <w:p w:rsidR="007C5447" w:rsidRDefault="00F6308C">
            <w:pPr>
              <w:pStyle w:val="TableParagraph"/>
              <w:spacing w:before="62"/>
              <w:ind w:right="272"/>
              <w:rPr>
                <w:b/>
                <w:sz w:val="20"/>
              </w:rPr>
            </w:pPr>
            <w:r>
              <w:rPr>
                <w:b/>
                <w:w w:val="95"/>
                <w:sz w:val="20"/>
              </w:rPr>
              <w:t>84,970.16</w:t>
            </w:r>
          </w:p>
        </w:tc>
        <w:tc>
          <w:tcPr>
            <w:tcW w:w="1464" w:type="dxa"/>
          </w:tcPr>
          <w:p w:rsidR="007C5447" w:rsidRDefault="00F6308C">
            <w:pPr>
              <w:pStyle w:val="TableParagraph"/>
              <w:spacing w:before="62"/>
              <w:ind w:right="271"/>
              <w:rPr>
                <w:b/>
                <w:sz w:val="20"/>
              </w:rPr>
            </w:pPr>
            <w:r>
              <w:rPr>
                <w:b/>
                <w:w w:val="95"/>
                <w:sz w:val="20"/>
              </w:rPr>
              <w:t>83,227.56</w:t>
            </w:r>
          </w:p>
        </w:tc>
      </w:tr>
    </w:tbl>
    <w:p w:rsidR="007C5447" w:rsidRDefault="007C5447">
      <w:pPr>
        <w:pStyle w:val="BodyText"/>
        <w:spacing w:before="9"/>
        <w:rPr>
          <w:b/>
          <w:sz w:val="20"/>
        </w:rPr>
      </w:pPr>
    </w:p>
    <w:p w:rsidR="007C5447" w:rsidRDefault="00F6308C">
      <w:pPr>
        <w:pStyle w:val="Heading2"/>
        <w:numPr>
          <w:ilvl w:val="1"/>
          <w:numId w:val="92"/>
        </w:numPr>
        <w:tabs>
          <w:tab w:val="left" w:pos="1246"/>
          <w:tab w:val="left" w:pos="1247"/>
        </w:tabs>
        <w:jc w:val="left"/>
      </w:pPr>
      <w:bookmarkStart w:id="38" w:name="_bookmark38"/>
      <w:bookmarkEnd w:id="38"/>
      <w:r>
        <w:t>En</w:t>
      </w:r>
      <w:r>
        <w:t>ergy Balance and Distribution</w:t>
      </w:r>
      <w:r>
        <w:rPr>
          <w:spacing w:val="-2"/>
        </w:rPr>
        <w:t xml:space="preserve"> </w:t>
      </w:r>
      <w:r>
        <w:t>Losses</w:t>
      </w:r>
    </w:p>
    <w:p w:rsidR="007C5447" w:rsidRDefault="007C5447">
      <w:pPr>
        <w:pStyle w:val="BodyText"/>
        <w:rPr>
          <w:b/>
          <w:sz w:val="28"/>
        </w:rPr>
      </w:pPr>
    </w:p>
    <w:p w:rsidR="007C5447" w:rsidRDefault="00F6308C">
      <w:pPr>
        <w:pStyle w:val="ListParagraph"/>
        <w:numPr>
          <w:ilvl w:val="2"/>
          <w:numId w:val="92"/>
        </w:numPr>
        <w:tabs>
          <w:tab w:val="left" w:pos="1533"/>
        </w:tabs>
        <w:spacing w:line="312" w:lineRule="auto"/>
        <w:ind w:right="875"/>
        <w:jc w:val="both"/>
        <w:rPr>
          <w:sz w:val="24"/>
        </w:rPr>
      </w:pPr>
      <w:r>
        <w:rPr>
          <w:sz w:val="24"/>
        </w:rPr>
        <w:t xml:space="preserve">TANGEDCO submitted that the T&amp;D losses approved by the Commission in the Tariff Order dated July 31, 2010 was based on the trajectory fixed by </w:t>
      </w:r>
      <w:r>
        <w:rPr>
          <w:spacing w:val="3"/>
          <w:sz w:val="24"/>
        </w:rPr>
        <w:t xml:space="preserve">the </w:t>
      </w:r>
      <w:r>
        <w:rPr>
          <w:sz w:val="24"/>
        </w:rPr>
        <w:t>Commission starting with 18% for FY 2009-10 and annual reduction of 0.4% for the ensuing years. TANGEDCO subm</w:t>
      </w:r>
      <w:r>
        <w:rPr>
          <w:sz w:val="24"/>
        </w:rPr>
        <w:t>itted that the T&amp;D loss of 18% is a computed figure without any study and includes wheeling units. TANGEDCO submitted that it would have been more relevant to fix T&amp;D loss trajectory based on 5% agriculture sampling</w:t>
      </w:r>
      <w:r>
        <w:rPr>
          <w:spacing w:val="20"/>
          <w:sz w:val="24"/>
        </w:rPr>
        <w:t xml:space="preserve"> </w:t>
      </w:r>
      <w:r>
        <w:rPr>
          <w:sz w:val="24"/>
        </w:rPr>
        <w:t>for</w:t>
      </w:r>
      <w:r>
        <w:rPr>
          <w:spacing w:val="23"/>
          <w:sz w:val="24"/>
        </w:rPr>
        <w:t xml:space="preserve"> </w:t>
      </w:r>
      <w:r>
        <w:rPr>
          <w:sz w:val="24"/>
        </w:rPr>
        <w:t>the</w:t>
      </w:r>
      <w:r>
        <w:rPr>
          <w:spacing w:val="23"/>
          <w:sz w:val="24"/>
        </w:rPr>
        <w:t xml:space="preserve"> </w:t>
      </w:r>
      <w:r>
        <w:rPr>
          <w:sz w:val="24"/>
        </w:rPr>
        <w:t>Control</w:t>
      </w:r>
      <w:r>
        <w:rPr>
          <w:spacing w:val="26"/>
          <w:sz w:val="24"/>
        </w:rPr>
        <w:t xml:space="preserve"> </w:t>
      </w:r>
      <w:r>
        <w:rPr>
          <w:sz w:val="24"/>
        </w:rPr>
        <w:t>Period</w:t>
      </w:r>
      <w:r>
        <w:rPr>
          <w:spacing w:val="22"/>
          <w:sz w:val="24"/>
        </w:rPr>
        <w:t xml:space="preserve"> </w:t>
      </w:r>
      <w:r>
        <w:rPr>
          <w:sz w:val="24"/>
        </w:rPr>
        <w:t>rather</w:t>
      </w:r>
      <w:r>
        <w:rPr>
          <w:spacing w:val="23"/>
          <w:sz w:val="24"/>
        </w:rPr>
        <w:t xml:space="preserve"> </w:t>
      </w:r>
      <w:r>
        <w:rPr>
          <w:sz w:val="24"/>
        </w:rPr>
        <w:t>than</w:t>
      </w:r>
      <w:r>
        <w:rPr>
          <w:spacing w:val="25"/>
          <w:sz w:val="24"/>
        </w:rPr>
        <w:t xml:space="preserve"> </w:t>
      </w:r>
      <w:r>
        <w:rPr>
          <w:sz w:val="24"/>
        </w:rPr>
        <w:t>considering</w:t>
      </w:r>
      <w:r>
        <w:rPr>
          <w:spacing w:val="23"/>
          <w:sz w:val="24"/>
        </w:rPr>
        <w:t xml:space="preserve"> </w:t>
      </w:r>
      <w:r>
        <w:rPr>
          <w:sz w:val="24"/>
        </w:rPr>
        <w:t>the</w:t>
      </w:r>
      <w:r>
        <w:rPr>
          <w:spacing w:val="24"/>
          <w:sz w:val="24"/>
        </w:rPr>
        <w:t xml:space="preserve"> </w:t>
      </w:r>
      <w:r>
        <w:rPr>
          <w:sz w:val="24"/>
        </w:rPr>
        <w:t>computed</w:t>
      </w:r>
      <w:r>
        <w:rPr>
          <w:spacing w:val="23"/>
          <w:sz w:val="24"/>
        </w:rPr>
        <w:t xml:space="preserve"> </w:t>
      </w:r>
      <w:r>
        <w:rPr>
          <w:sz w:val="24"/>
        </w:rPr>
        <w:t>figure</w:t>
      </w:r>
      <w:r>
        <w:rPr>
          <w:spacing w:val="22"/>
          <w:sz w:val="24"/>
        </w:rPr>
        <w:t xml:space="preserve"> </w:t>
      </w:r>
      <w:r>
        <w:rPr>
          <w:sz w:val="24"/>
        </w:rPr>
        <w:t>of</w:t>
      </w:r>
      <w:r>
        <w:rPr>
          <w:spacing w:val="25"/>
          <w:sz w:val="24"/>
        </w:rPr>
        <w:t xml:space="preserve"> </w:t>
      </w:r>
      <w:r>
        <w:rPr>
          <w:sz w:val="24"/>
        </w:rPr>
        <w:t>18</w:t>
      </w:r>
    </w:p>
    <w:p w:rsidR="007C5447" w:rsidRDefault="00F6308C">
      <w:pPr>
        <w:pStyle w:val="BodyText"/>
        <w:spacing w:before="1"/>
        <w:ind w:left="1532"/>
      </w:pPr>
      <w:r>
        <w:t>%.</w:t>
      </w:r>
    </w:p>
    <w:p w:rsidR="007C5447" w:rsidRDefault="007C5447">
      <w:pPr>
        <w:pStyle w:val="BodyText"/>
        <w:rPr>
          <w:sz w:val="28"/>
        </w:rPr>
      </w:pPr>
    </w:p>
    <w:p w:rsidR="007C5447" w:rsidRDefault="00F6308C">
      <w:pPr>
        <w:pStyle w:val="ListParagraph"/>
        <w:numPr>
          <w:ilvl w:val="2"/>
          <w:numId w:val="92"/>
        </w:numPr>
        <w:tabs>
          <w:tab w:val="left" w:pos="1533"/>
        </w:tabs>
        <w:spacing w:before="1" w:line="312" w:lineRule="auto"/>
        <w:ind w:right="880"/>
        <w:jc w:val="both"/>
        <w:rPr>
          <w:sz w:val="24"/>
        </w:rPr>
      </w:pPr>
      <w:r>
        <w:rPr>
          <w:sz w:val="24"/>
        </w:rPr>
        <w:t xml:space="preserve">TANGEDCO also submitted that in the Report “Loss Reduction Strategies Review of Provisions in Act and Policies” issued by Forum of Regulators (FOR) in September 2008, the FOR Group has stated in para 8.4.1 on Page </w:t>
      </w:r>
      <w:r>
        <w:rPr>
          <w:sz w:val="24"/>
        </w:rPr>
        <w:t>21 of the Report that</w:t>
      </w:r>
    </w:p>
    <w:p w:rsidR="007C5447" w:rsidRDefault="007C5447">
      <w:pPr>
        <w:pStyle w:val="BodyText"/>
        <w:spacing w:before="10"/>
        <w:rPr>
          <w:sz w:val="20"/>
        </w:rPr>
      </w:pPr>
    </w:p>
    <w:p w:rsidR="007C5447" w:rsidRDefault="00F6308C">
      <w:pPr>
        <w:ind w:left="2120" w:right="1600"/>
        <w:jc w:val="both"/>
        <w:rPr>
          <w:i/>
          <w:sz w:val="24"/>
        </w:rPr>
      </w:pPr>
      <w:r>
        <w:rPr>
          <w:i/>
          <w:sz w:val="24"/>
        </w:rPr>
        <w:t>“The group felt that the trajectory for loss reduction should be determined keeping in view the actual loss levels, the capital expenditure made in the past for improving the network</w:t>
      </w:r>
      <w:r>
        <w:rPr>
          <w:i/>
          <w:spacing w:val="54"/>
          <w:sz w:val="24"/>
        </w:rPr>
        <w:t xml:space="preserve"> </w:t>
      </w:r>
      <w:r>
        <w:rPr>
          <w:i/>
          <w:sz w:val="24"/>
        </w:rPr>
        <w:t>infrastructure,</w:t>
      </w:r>
    </w:p>
    <w:p w:rsidR="007C5447" w:rsidRDefault="007C5447">
      <w:pPr>
        <w:jc w:val="both"/>
        <w:rPr>
          <w:sz w:val="24"/>
        </w:rPr>
        <w:sectPr w:rsidR="007C5447">
          <w:pgSz w:w="11910" w:h="16840"/>
          <w:pgMar w:top="1420" w:right="560" w:bottom="1240" w:left="760" w:header="0" w:footer="1057" w:gutter="0"/>
          <w:cols w:space="720"/>
        </w:sectPr>
      </w:pPr>
    </w:p>
    <w:p w:rsidR="007C5447" w:rsidRDefault="00F6308C">
      <w:pPr>
        <w:spacing w:before="60"/>
        <w:ind w:left="2120" w:right="1599"/>
        <w:jc w:val="both"/>
        <w:rPr>
          <w:i/>
          <w:sz w:val="24"/>
        </w:rPr>
      </w:pPr>
      <w:r>
        <w:rPr>
          <w:i/>
          <w:sz w:val="24"/>
        </w:rPr>
        <w:lastRenderedPageBreak/>
        <w:t>and the future c</w:t>
      </w:r>
      <w:r>
        <w:rPr>
          <w:i/>
          <w:sz w:val="24"/>
        </w:rPr>
        <w:t>apital expenditure plans for the purpose. This was important keeping in view the Orissa experience, where the loss level allowed in tariff at the beginning of the reforms process was much below the actual loss level and this completely distorted the revenu</w:t>
      </w:r>
      <w:r>
        <w:rPr>
          <w:i/>
          <w:sz w:val="24"/>
        </w:rPr>
        <w:t>e requirement and the utility went into a perennial loss”.</w:t>
      </w:r>
    </w:p>
    <w:p w:rsidR="007C5447" w:rsidRDefault="00F6308C">
      <w:pPr>
        <w:pStyle w:val="ListParagraph"/>
        <w:numPr>
          <w:ilvl w:val="2"/>
          <w:numId w:val="92"/>
        </w:numPr>
        <w:tabs>
          <w:tab w:val="left" w:pos="1533"/>
        </w:tabs>
        <w:spacing w:before="121" w:line="312" w:lineRule="auto"/>
        <w:ind w:right="877"/>
        <w:jc w:val="both"/>
        <w:rPr>
          <w:sz w:val="24"/>
        </w:rPr>
      </w:pPr>
      <w:r>
        <w:rPr>
          <w:sz w:val="24"/>
        </w:rPr>
        <w:t>TANGEDCO submitted that the Commission has maintained the T&amp;D loss of 16.80% approved for FY 2012-13 in the previous Tariff Order. However, the Commission had grossed up the total sales approved fo</w:t>
      </w:r>
      <w:r>
        <w:rPr>
          <w:sz w:val="24"/>
        </w:rPr>
        <w:t>r FY 2012-13 by the T&amp;D loss approved for FY 2012-13 in order to arrive at energy requirement for FY 2012- 13, which had resulted in lower energy requirement as compared to the ground reality.</w:t>
      </w:r>
    </w:p>
    <w:p w:rsidR="007C5447" w:rsidRDefault="007C5447">
      <w:pPr>
        <w:pStyle w:val="BodyText"/>
        <w:spacing w:before="11"/>
        <w:rPr>
          <w:sz w:val="20"/>
        </w:rPr>
      </w:pPr>
    </w:p>
    <w:p w:rsidR="007C5447" w:rsidRDefault="00F6308C">
      <w:pPr>
        <w:pStyle w:val="ListParagraph"/>
        <w:numPr>
          <w:ilvl w:val="2"/>
          <w:numId w:val="92"/>
        </w:numPr>
        <w:tabs>
          <w:tab w:val="left" w:pos="1533"/>
        </w:tabs>
        <w:spacing w:line="312" w:lineRule="auto"/>
        <w:ind w:right="873"/>
        <w:jc w:val="both"/>
        <w:rPr>
          <w:sz w:val="24"/>
        </w:rPr>
      </w:pPr>
      <w:r>
        <w:rPr>
          <w:sz w:val="24"/>
        </w:rPr>
        <w:t>The additional energy sales approved for FY 2012-13 was 4976 M</w:t>
      </w:r>
      <w:r>
        <w:rPr>
          <w:sz w:val="24"/>
        </w:rPr>
        <w:t>U when compared to FY 2011-12, whereas the net energy requirement needs to be in line with the realistic T&amp;D Loss. Therefore, T&amp;D loss for FY 2012-13 should be based on the actual sales approved by the</w:t>
      </w:r>
      <w:r>
        <w:rPr>
          <w:spacing w:val="-3"/>
          <w:sz w:val="24"/>
        </w:rPr>
        <w:t xml:space="preserve"> </w:t>
      </w:r>
      <w:r>
        <w:rPr>
          <w:sz w:val="24"/>
        </w:rPr>
        <w:t>Commission.</w:t>
      </w:r>
    </w:p>
    <w:p w:rsidR="007C5447" w:rsidRDefault="007C5447">
      <w:pPr>
        <w:pStyle w:val="BodyText"/>
        <w:spacing w:before="10"/>
        <w:rPr>
          <w:sz w:val="20"/>
        </w:rPr>
      </w:pPr>
    </w:p>
    <w:p w:rsidR="007C5447" w:rsidRDefault="00F6308C">
      <w:pPr>
        <w:pStyle w:val="ListParagraph"/>
        <w:numPr>
          <w:ilvl w:val="2"/>
          <w:numId w:val="92"/>
        </w:numPr>
        <w:tabs>
          <w:tab w:val="left" w:pos="1533"/>
        </w:tabs>
        <w:spacing w:line="312" w:lineRule="auto"/>
        <w:ind w:right="878"/>
        <w:jc w:val="both"/>
        <w:rPr>
          <w:sz w:val="24"/>
        </w:rPr>
      </w:pPr>
      <w:r>
        <w:rPr>
          <w:sz w:val="24"/>
        </w:rPr>
        <w:t>Further, if the loss trajectory as per the Commission is considered at 22.13%, it shall result in a reduction of 5.33% loss (22.13% - 16.80%), which is an uphill task and the same needs to be brought down to a reasonable value. The measurement of the T&amp;D l</w:t>
      </w:r>
      <w:r>
        <w:rPr>
          <w:sz w:val="24"/>
        </w:rPr>
        <w:t>osses and thereafter stipulating a reduction target is an important component of the whole exercise of revenue requirement. The T&amp;D loss has been arrived at without any support data and hence, the Commission should approve a revised T&amp;D loss for FY 2011-12</w:t>
      </w:r>
      <w:r>
        <w:rPr>
          <w:sz w:val="24"/>
        </w:rPr>
        <w:t xml:space="preserve"> to FY</w:t>
      </w:r>
      <w:r>
        <w:rPr>
          <w:spacing w:val="-1"/>
          <w:sz w:val="24"/>
        </w:rPr>
        <w:t xml:space="preserve"> </w:t>
      </w:r>
      <w:r>
        <w:rPr>
          <w:sz w:val="24"/>
        </w:rPr>
        <w:t>2015-16.</w:t>
      </w:r>
    </w:p>
    <w:p w:rsidR="007C5447" w:rsidRDefault="007C5447">
      <w:pPr>
        <w:pStyle w:val="BodyText"/>
        <w:spacing w:before="9"/>
        <w:rPr>
          <w:sz w:val="20"/>
        </w:rPr>
      </w:pPr>
    </w:p>
    <w:p w:rsidR="007C5447" w:rsidRDefault="00F6308C">
      <w:pPr>
        <w:pStyle w:val="ListParagraph"/>
        <w:numPr>
          <w:ilvl w:val="2"/>
          <w:numId w:val="92"/>
        </w:numPr>
        <w:tabs>
          <w:tab w:val="left" w:pos="1533"/>
        </w:tabs>
        <w:spacing w:line="312" w:lineRule="auto"/>
        <w:ind w:right="875"/>
        <w:jc w:val="both"/>
        <w:rPr>
          <w:sz w:val="24"/>
        </w:rPr>
      </w:pPr>
      <w:r>
        <w:rPr>
          <w:sz w:val="24"/>
        </w:rPr>
        <w:t xml:space="preserve">TANGEDCO further submitted that the computed consumption without sample study was higher than the computed consumption based on sample study. The reduced agriculture consumption is due to lesser hours of supply under Restriction &amp; Control </w:t>
      </w:r>
      <w:r>
        <w:rPr>
          <w:sz w:val="24"/>
        </w:rPr>
        <w:t>(R&amp;C) measures and due to good monsoon. Thus, due to lower computed agriculture consumption for the Control Period from FY 2010-11 to FY 2011-13, the T&amp;D loss has worked out to be higher than the trajectory fixed in the Tariff Order dated July 31, 2010, an</w:t>
      </w:r>
      <w:r>
        <w:rPr>
          <w:sz w:val="24"/>
        </w:rPr>
        <w:t>d hence, the revised T&amp;D loss trajectory needs to be fixed for the Control Period from FY 2010-11 to FY 2012-13. TANGEDCO requested that it should not be penalised by disallowance of additional power purchase cost due to a higher than approved T&amp;D</w:t>
      </w:r>
      <w:r>
        <w:rPr>
          <w:spacing w:val="-1"/>
          <w:sz w:val="24"/>
        </w:rPr>
        <w:t xml:space="preserve"> </w:t>
      </w:r>
      <w:r>
        <w:rPr>
          <w:sz w:val="24"/>
        </w:rPr>
        <w:t>loss.</w:t>
      </w:r>
    </w:p>
    <w:p w:rsidR="007C5447" w:rsidRDefault="007C5447">
      <w:pPr>
        <w:pStyle w:val="BodyText"/>
        <w:rPr>
          <w:sz w:val="21"/>
        </w:rPr>
      </w:pPr>
    </w:p>
    <w:p w:rsidR="007C5447" w:rsidRDefault="00F6308C">
      <w:pPr>
        <w:pStyle w:val="ListParagraph"/>
        <w:numPr>
          <w:ilvl w:val="2"/>
          <w:numId w:val="92"/>
        </w:numPr>
        <w:tabs>
          <w:tab w:val="left" w:pos="1533"/>
        </w:tabs>
        <w:spacing w:line="312" w:lineRule="auto"/>
        <w:ind w:right="877"/>
        <w:jc w:val="both"/>
        <w:rPr>
          <w:sz w:val="24"/>
        </w:rPr>
      </w:pPr>
      <w:r>
        <w:rPr>
          <w:sz w:val="24"/>
        </w:rPr>
        <w:t>T</w:t>
      </w:r>
      <w:r>
        <w:rPr>
          <w:sz w:val="24"/>
        </w:rPr>
        <w:t>ANGEDCO submitted the Energy Balance statement for FY 2011-12 to FY 2015- 16 excluding wheeling units, as shown in the following</w:t>
      </w:r>
      <w:r>
        <w:rPr>
          <w:spacing w:val="-11"/>
          <w:sz w:val="24"/>
        </w:rPr>
        <w:t xml:space="preserve"> </w:t>
      </w:r>
      <w:r>
        <w:rPr>
          <w:sz w:val="24"/>
        </w:rPr>
        <w:t>Table:</w:t>
      </w:r>
    </w:p>
    <w:p w:rsidR="007C5447" w:rsidRDefault="007C5447">
      <w:pPr>
        <w:spacing w:line="312" w:lineRule="auto"/>
        <w:jc w:val="both"/>
        <w:rPr>
          <w:sz w:val="24"/>
        </w:rPr>
        <w:sectPr w:rsidR="007C5447">
          <w:pgSz w:w="11910" w:h="16840"/>
          <w:pgMar w:top="1360" w:right="560" w:bottom="1240" w:left="760" w:header="0" w:footer="1057" w:gutter="0"/>
          <w:cols w:space="720"/>
        </w:sectPr>
      </w:pPr>
    </w:p>
    <w:p w:rsidR="007C5447" w:rsidRDefault="00F6308C">
      <w:pPr>
        <w:spacing w:before="62"/>
        <w:ind w:left="2228"/>
        <w:jc w:val="both"/>
        <w:rPr>
          <w:b/>
        </w:rPr>
      </w:pPr>
      <w:r>
        <w:rPr>
          <w:b/>
        </w:rPr>
        <w:lastRenderedPageBreak/>
        <w:t>Table 3-8: Energy Balance as submitted by TANGEDCO (MU)</w:t>
      </w:r>
    </w:p>
    <w:p w:rsidR="007C5447" w:rsidRDefault="007C5447">
      <w:pPr>
        <w:pStyle w:val="BodyText"/>
        <w:rPr>
          <w:b/>
          <w:sz w:val="17"/>
        </w:rPr>
      </w:pPr>
    </w:p>
    <w:tbl>
      <w:tblPr>
        <w:tblW w:w="0" w:type="auto"/>
        <w:tblInd w:w="6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3"/>
        <w:gridCol w:w="2271"/>
        <w:gridCol w:w="1274"/>
        <w:gridCol w:w="1274"/>
        <w:gridCol w:w="1276"/>
        <w:gridCol w:w="1277"/>
        <w:gridCol w:w="1416"/>
      </w:tblGrid>
      <w:tr w:rsidR="007C5447">
        <w:trPr>
          <w:trHeight w:val="453"/>
        </w:trPr>
        <w:tc>
          <w:tcPr>
            <w:tcW w:w="533" w:type="dxa"/>
            <w:shd w:val="clear" w:color="auto" w:fill="F7C9AC"/>
          </w:tcPr>
          <w:p w:rsidR="007C5447" w:rsidRDefault="00F6308C">
            <w:pPr>
              <w:pStyle w:val="TableParagraph"/>
              <w:spacing w:before="110"/>
              <w:ind w:left="158"/>
              <w:jc w:val="left"/>
              <w:rPr>
                <w:b/>
                <w:sz w:val="20"/>
              </w:rPr>
            </w:pPr>
            <w:r>
              <w:rPr>
                <w:b/>
                <w:sz w:val="20"/>
              </w:rPr>
              <w:t>Sl.</w:t>
            </w:r>
          </w:p>
        </w:tc>
        <w:tc>
          <w:tcPr>
            <w:tcW w:w="2271" w:type="dxa"/>
            <w:shd w:val="clear" w:color="auto" w:fill="F7C9AC"/>
          </w:tcPr>
          <w:p w:rsidR="007C5447" w:rsidRDefault="00F6308C">
            <w:pPr>
              <w:pStyle w:val="TableParagraph"/>
              <w:spacing w:before="110"/>
              <w:ind w:left="654"/>
              <w:jc w:val="left"/>
              <w:rPr>
                <w:b/>
                <w:sz w:val="20"/>
              </w:rPr>
            </w:pPr>
            <w:r>
              <w:rPr>
                <w:b/>
                <w:sz w:val="20"/>
              </w:rPr>
              <w:t>Particulars</w:t>
            </w:r>
          </w:p>
        </w:tc>
        <w:tc>
          <w:tcPr>
            <w:tcW w:w="1274" w:type="dxa"/>
            <w:shd w:val="clear" w:color="auto" w:fill="F7C9AC"/>
          </w:tcPr>
          <w:p w:rsidR="007C5447" w:rsidRDefault="00F6308C">
            <w:pPr>
              <w:pStyle w:val="TableParagraph"/>
              <w:spacing w:before="110"/>
              <w:ind w:right="132"/>
              <w:rPr>
                <w:b/>
                <w:sz w:val="20"/>
              </w:rPr>
            </w:pPr>
            <w:r>
              <w:rPr>
                <w:b/>
                <w:sz w:val="20"/>
              </w:rPr>
              <w:t>FY 2011-12</w:t>
            </w:r>
          </w:p>
        </w:tc>
        <w:tc>
          <w:tcPr>
            <w:tcW w:w="1274" w:type="dxa"/>
            <w:shd w:val="clear" w:color="auto" w:fill="F7C9AC"/>
          </w:tcPr>
          <w:p w:rsidR="007C5447" w:rsidRDefault="00F6308C">
            <w:pPr>
              <w:pStyle w:val="TableParagraph"/>
              <w:spacing w:before="110"/>
              <w:ind w:right="128"/>
              <w:rPr>
                <w:b/>
                <w:sz w:val="20"/>
              </w:rPr>
            </w:pPr>
            <w:r>
              <w:rPr>
                <w:b/>
                <w:sz w:val="20"/>
              </w:rPr>
              <w:t>FY 2012-13</w:t>
            </w:r>
          </w:p>
        </w:tc>
        <w:tc>
          <w:tcPr>
            <w:tcW w:w="1276" w:type="dxa"/>
            <w:shd w:val="clear" w:color="auto" w:fill="F7C9AC"/>
          </w:tcPr>
          <w:p w:rsidR="007C5447" w:rsidRDefault="00F6308C">
            <w:pPr>
              <w:pStyle w:val="TableParagraph"/>
              <w:spacing w:before="110"/>
              <w:ind w:left="144"/>
              <w:jc w:val="left"/>
              <w:rPr>
                <w:b/>
                <w:sz w:val="20"/>
              </w:rPr>
            </w:pPr>
            <w:r>
              <w:rPr>
                <w:b/>
                <w:sz w:val="20"/>
              </w:rPr>
              <w:t>FY 2013-14</w:t>
            </w:r>
          </w:p>
        </w:tc>
        <w:tc>
          <w:tcPr>
            <w:tcW w:w="1277" w:type="dxa"/>
            <w:shd w:val="clear" w:color="auto" w:fill="F7C9AC"/>
          </w:tcPr>
          <w:p w:rsidR="007C5447" w:rsidRDefault="00F6308C">
            <w:pPr>
              <w:pStyle w:val="TableParagraph"/>
              <w:spacing w:before="110"/>
              <w:ind w:left="147"/>
              <w:jc w:val="left"/>
              <w:rPr>
                <w:b/>
                <w:sz w:val="20"/>
              </w:rPr>
            </w:pPr>
            <w:r>
              <w:rPr>
                <w:b/>
                <w:sz w:val="20"/>
              </w:rPr>
              <w:t>FY 2014-15</w:t>
            </w:r>
          </w:p>
        </w:tc>
        <w:tc>
          <w:tcPr>
            <w:tcW w:w="1416" w:type="dxa"/>
            <w:shd w:val="clear" w:color="auto" w:fill="F7C9AC"/>
          </w:tcPr>
          <w:p w:rsidR="007C5447" w:rsidRDefault="00F6308C">
            <w:pPr>
              <w:pStyle w:val="TableParagraph"/>
              <w:spacing w:before="110"/>
              <w:ind w:right="199"/>
              <w:rPr>
                <w:b/>
                <w:sz w:val="20"/>
              </w:rPr>
            </w:pPr>
            <w:r>
              <w:rPr>
                <w:b/>
                <w:sz w:val="20"/>
              </w:rPr>
              <w:t>FY 2015-16</w:t>
            </w:r>
          </w:p>
        </w:tc>
      </w:tr>
      <w:tr w:rsidR="007C5447">
        <w:trPr>
          <w:trHeight w:val="458"/>
        </w:trPr>
        <w:tc>
          <w:tcPr>
            <w:tcW w:w="533" w:type="dxa"/>
          </w:tcPr>
          <w:p w:rsidR="007C5447" w:rsidRDefault="00F6308C">
            <w:pPr>
              <w:pStyle w:val="TableParagraph"/>
              <w:ind w:left="107"/>
              <w:jc w:val="left"/>
              <w:rPr>
                <w:sz w:val="20"/>
              </w:rPr>
            </w:pPr>
            <w:r>
              <w:rPr>
                <w:w w:val="99"/>
                <w:sz w:val="20"/>
              </w:rPr>
              <w:t>1</w:t>
            </w:r>
          </w:p>
        </w:tc>
        <w:tc>
          <w:tcPr>
            <w:tcW w:w="2271" w:type="dxa"/>
          </w:tcPr>
          <w:p w:rsidR="007C5447" w:rsidRDefault="00F6308C">
            <w:pPr>
              <w:pStyle w:val="TableParagraph"/>
              <w:spacing w:before="4" w:line="228" w:lineRule="exact"/>
              <w:ind w:left="107" w:right="107"/>
              <w:jc w:val="left"/>
              <w:rPr>
                <w:sz w:val="20"/>
              </w:rPr>
            </w:pPr>
            <w:r>
              <w:rPr>
                <w:sz w:val="20"/>
              </w:rPr>
              <w:t>Power available from own generation (MU)</w:t>
            </w:r>
          </w:p>
        </w:tc>
        <w:tc>
          <w:tcPr>
            <w:tcW w:w="1274" w:type="dxa"/>
          </w:tcPr>
          <w:p w:rsidR="007C5447" w:rsidRDefault="00F6308C">
            <w:pPr>
              <w:pStyle w:val="TableParagraph"/>
              <w:spacing w:before="113"/>
              <w:ind w:right="191"/>
              <w:rPr>
                <w:sz w:val="20"/>
              </w:rPr>
            </w:pPr>
            <w:r>
              <w:rPr>
                <w:w w:val="95"/>
                <w:sz w:val="20"/>
              </w:rPr>
              <w:t>25,494</w:t>
            </w:r>
          </w:p>
        </w:tc>
        <w:tc>
          <w:tcPr>
            <w:tcW w:w="1274" w:type="dxa"/>
          </w:tcPr>
          <w:p w:rsidR="007C5447" w:rsidRDefault="00F6308C">
            <w:pPr>
              <w:pStyle w:val="TableParagraph"/>
              <w:spacing w:before="113"/>
              <w:ind w:right="188"/>
              <w:rPr>
                <w:sz w:val="20"/>
              </w:rPr>
            </w:pPr>
            <w:r>
              <w:rPr>
                <w:w w:val="95"/>
                <w:sz w:val="20"/>
              </w:rPr>
              <w:t>23,099</w:t>
            </w:r>
          </w:p>
        </w:tc>
        <w:tc>
          <w:tcPr>
            <w:tcW w:w="1276" w:type="dxa"/>
          </w:tcPr>
          <w:p w:rsidR="007C5447" w:rsidRDefault="00F6308C">
            <w:pPr>
              <w:pStyle w:val="TableParagraph"/>
              <w:spacing w:before="113"/>
              <w:ind w:left="521"/>
              <w:jc w:val="left"/>
              <w:rPr>
                <w:sz w:val="20"/>
              </w:rPr>
            </w:pPr>
            <w:r>
              <w:rPr>
                <w:sz w:val="20"/>
              </w:rPr>
              <w:t>28,828</w:t>
            </w:r>
          </w:p>
        </w:tc>
        <w:tc>
          <w:tcPr>
            <w:tcW w:w="1277" w:type="dxa"/>
          </w:tcPr>
          <w:p w:rsidR="007C5447" w:rsidRDefault="00F6308C">
            <w:pPr>
              <w:pStyle w:val="TableParagraph"/>
              <w:spacing w:before="113"/>
              <w:ind w:left="524"/>
              <w:jc w:val="left"/>
              <w:rPr>
                <w:sz w:val="20"/>
              </w:rPr>
            </w:pPr>
            <w:r>
              <w:rPr>
                <w:sz w:val="20"/>
              </w:rPr>
              <w:t>32,054</w:t>
            </w:r>
          </w:p>
        </w:tc>
        <w:tc>
          <w:tcPr>
            <w:tcW w:w="1416" w:type="dxa"/>
          </w:tcPr>
          <w:p w:rsidR="007C5447" w:rsidRDefault="00F6308C">
            <w:pPr>
              <w:pStyle w:val="TableParagraph"/>
              <w:spacing w:before="113"/>
              <w:ind w:right="189"/>
              <w:rPr>
                <w:sz w:val="20"/>
              </w:rPr>
            </w:pPr>
            <w:r>
              <w:rPr>
                <w:w w:val="95"/>
                <w:sz w:val="20"/>
              </w:rPr>
              <w:t>31,838</w:t>
            </w:r>
          </w:p>
        </w:tc>
      </w:tr>
      <w:tr w:rsidR="007C5447">
        <w:trPr>
          <w:trHeight w:val="458"/>
        </w:trPr>
        <w:tc>
          <w:tcPr>
            <w:tcW w:w="533" w:type="dxa"/>
          </w:tcPr>
          <w:p w:rsidR="007C5447" w:rsidRDefault="00F6308C">
            <w:pPr>
              <w:pStyle w:val="TableParagraph"/>
              <w:spacing w:line="228" w:lineRule="exact"/>
              <w:ind w:left="107"/>
              <w:jc w:val="left"/>
              <w:rPr>
                <w:sz w:val="20"/>
              </w:rPr>
            </w:pPr>
            <w:r>
              <w:rPr>
                <w:w w:val="99"/>
                <w:sz w:val="20"/>
              </w:rPr>
              <w:t>2</w:t>
            </w:r>
          </w:p>
        </w:tc>
        <w:tc>
          <w:tcPr>
            <w:tcW w:w="2271" w:type="dxa"/>
          </w:tcPr>
          <w:p w:rsidR="007C5447" w:rsidRDefault="00F6308C">
            <w:pPr>
              <w:pStyle w:val="TableParagraph"/>
              <w:spacing w:before="1" w:line="230" w:lineRule="exact"/>
              <w:ind w:left="107" w:right="423"/>
              <w:jc w:val="left"/>
              <w:rPr>
                <w:sz w:val="20"/>
              </w:rPr>
            </w:pPr>
            <w:r>
              <w:rPr>
                <w:sz w:val="20"/>
              </w:rPr>
              <w:t>Power purchase from other sources (MU)</w:t>
            </w:r>
          </w:p>
        </w:tc>
        <w:tc>
          <w:tcPr>
            <w:tcW w:w="1274" w:type="dxa"/>
          </w:tcPr>
          <w:p w:rsidR="007C5447" w:rsidRDefault="00F6308C">
            <w:pPr>
              <w:pStyle w:val="TableParagraph"/>
              <w:spacing w:before="113"/>
              <w:ind w:right="191"/>
              <w:rPr>
                <w:sz w:val="20"/>
              </w:rPr>
            </w:pPr>
            <w:r>
              <w:rPr>
                <w:w w:val="95"/>
                <w:sz w:val="20"/>
              </w:rPr>
              <w:t>43,836</w:t>
            </w:r>
          </w:p>
        </w:tc>
        <w:tc>
          <w:tcPr>
            <w:tcW w:w="1274" w:type="dxa"/>
          </w:tcPr>
          <w:p w:rsidR="007C5447" w:rsidRDefault="00F6308C">
            <w:pPr>
              <w:pStyle w:val="TableParagraph"/>
              <w:spacing w:before="113"/>
              <w:ind w:right="188"/>
              <w:rPr>
                <w:sz w:val="20"/>
              </w:rPr>
            </w:pPr>
            <w:r>
              <w:rPr>
                <w:w w:val="95"/>
                <w:sz w:val="20"/>
              </w:rPr>
              <w:t>44,109</w:t>
            </w:r>
          </w:p>
        </w:tc>
        <w:tc>
          <w:tcPr>
            <w:tcW w:w="1276" w:type="dxa"/>
          </w:tcPr>
          <w:p w:rsidR="007C5447" w:rsidRDefault="00F6308C">
            <w:pPr>
              <w:pStyle w:val="TableParagraph"/>
              <w:spacing w:before="113"/>
              <w:ind w:left="521"/>
              <w:jc w:val="left"/>
              <w:rPr>
                <w:sz w:val="20"/>
              </w:rPr>
            </w:pPr>
            <w:r>
              <w:rPr>
                <w:sz w:val="20"/>
              </w:rPr>
              <w:t>48,724</w:t>
            </w:r>
          </w:p>
        </w:tc>
        <w:tc>
          <w:tcPr>
            <w:tcW w:w="1277" w:type="dxa"/>
          </w:tcPr>
          <w:p w:rsidR="007C5447" w:rsidRDefault="00F6308C">
            <w:pPr>
              <w:pStyle w:val="TableParagraph"/>
              <w:spacing w:before="113"/>
              <w:ind w:left="524"/>
              <w:jc w:val="left"/>
              <w:rPr>
                <w:sz w:val="20"/>
              </w:rPr>
            </w:pPr>
            <w:r>
              <w:rPr>
                <w:sz w:val="20"/>
              </w:rPr>
              <w:t>53,382</w:t>
            </w:r>
          </w:p>
        </w:tc>
        <w:tc>
          <w:tcPr>
            <w:tcW w:w="1416" w:type="dxa"/>
          </w:tcPr>
          <w:p w:rsidR="007C5447" w:rsidRDefault="00F6308C">
            <w:pPr>
              <w:pStyle w:val="TableParagraph"/>
              <w:spacing w:before="113"/>
              <w:ind w:right="189"/>
              <w:rPr>
                <w:sz w:val="20"/>
              </w:rPr>
            </w:pPr>
            <w:r>
              <w:rPr>
                <w:w w:val="95"/>
                <w:sz w:val="20"/>
              </w:rPr>
              <w:t>54,087</w:t>
            </w:r>
          </w:p>
        </w:tc>
      </w:tr>
      <w:tr w:rsidR="007C5447">
        <w:trPr>
          <w:trHeight w:val="457"/>
        </w:trPr>
        <w:tc>
          <w:tcPr>
            <w:tcW w:w="533" w:type="dxa"/>
          </w:tcPr>
          <w:p w:rsidR="007C5447" w:rsidRDefault="00F6308C">
            <w:pPr>
              <w:pStyle w:val="TableParagraph"/>
              <w:spacing w:line="228" w:lineRule="exact"/>
              <w:ind w:left="107"/>
              <w:jc w:val="left"/>
              <w:rPr>
                <w:sz w:val="20"/>
              </w:rPr>
            </w:pPr>
            <w:r>
              <w:rPr>
                <w:w w:val="99"/>
                <w:sz w:val="20"/>
              </w:rPr>
              <w:t>3</w:t>
            </w:r>
          </w:p>
        </w:tc>
        <w:tc>
          <w:tcPr>
            <w:tcW w:w="2271" w:type="dxa"/>
          </w:tcPr>
          <w:p w:rsidR="007C5447" w:rsidRDefault="00F6308C">
            <w:pPr>
              <w:pStyle w:val="TableParagraph"/>
              <w:spacing w:line="230" w:lineRule="exact"/>
              <w:ind w:left="107"/>
              <w:jc w:val="left"/>
              <w:rPr>
                <w:sz w:val="20"/>
              </w:rPr>
            </w:pPr>
            <w:r>
              <w:rPr>
                <w:sz w:val="20"/>
              </w:rPr>
              <w:t>Total Energy available (MU)</w:t>
            </w:r>
          </w:p>
        </w:tc>
        <w:tc>
          <w:tcPr>
            <w:tcW w:w="1274" w:type="dxa"/>
          </w:tcPr>
          <w:p w:rsidR="007C5447" w:rsidRDefault="00F6308C">
            <w:pPr>
              <w:pStyle w:val="TableParagraph"/>
              <w:spacing w:before="113"/>
              <w:ind w:right="191"/>
              <w:rPr>
                <w:sz w:val="20"/>
              </w:rPr>
            </w:pPr>
            <w:r>
              <w:rPr>
                <w:w w:val="95"/>
                <w:sz w:val="20"/>
              </w:rPr>
              <w:t>69,330</w:t>
            </w:r>
          </w:p>
        </w:tc>
        <w:tc>
          <w:tcPr>
            <w:tcW w:w="1274" w:type="dxa"/>
          </w:tcPr>
          <w:p w:rsidR="007C5447" w:rsidRDefault="00F6308C">
            <w:pPr>
              <w:pStyle w:val="TableParagraph"/>
              <w:spacing w:before="113"/>
              <w:ind w:right="188"/>
              <w:rPr>
                <w:sz w:val="20"/>
              </w:rPr>
            </w:pPr>
            <w:r>
              <w:rPr>
                <w:w w:val="95"/>
                <w:sz w:val="20"/>
              </w:rPr>
              <w:t>67,208</w:t>
            </w:r>
          </w:p>
        </w:tc>
        <w:tc>
          <w:tcPr>
            <w:tcW w:w="1276" w:type="dxa"/>
          </w:tcPr>
          <w:p w:rsidR="007C5447" w:rsidRDefault="00F6308C">
            <w:pPr>
              <w:pStyle w:val="TableParagraph"/>
              <w:spacing w:before="113"/>
              <w:ind w:left="521"/>
              <w:jc w:val="left"/>
              <w:rPr>
                <w:sz w:val="20"/>
              </w:rPr>
            </w:pPr>
            <w:r>
              <w:rPr>
                <w:sz w:val="20"/>
              </w:rPr>
              <w:t>77,552</w:t>
            </w:r>
          </w:p>
        </w:tc>
        <w:tc>
          <w:tcPr>
            <w:tcW w:w="1277" w:type="dxa"/>
          </w:tcPr>
          <w:p w:rsidR="007C5447" w:rsidRDefault="00F6308C">
            <w:pPr>
              <w:pStyle w:val="TableParagraph"/>
              <w:spacing w:before="113"/>
              <w:ind w:left="524"/>
              <w:jc w:val="left"/>
              <w:rPr>
                <w:sz w:val="20"/>
              </w:rPr>
            </w:pPr>
            <w:r>
              <w:rPr>
                <w:sz w:val="20"/>
              </w:rPr>
              <w:t>85,437</w:t>
            </w:r>
          </w:p>
        </w:tc>
        <w:tc>
          <w:tcPr>
            <w:tcW w:w="1416" w:type="dxa"/>
          </w:tcPr>
          <w:p w:rsidR="007C5447" w:rsidRDefault="00F6308C">
            <w:pPr>
              <w:pStyle w:val="TableParagraph"/>
              <w:spacing w:before="113"/>
              <w:ind w:right="189"/>
              <w:rPr>
                <w:sz w:val="20"/>
              </w:rPr>
            </w:pPr>
            <w:r>
              <w:rPr>
                <w:w w:val="95"/>
                <w:sz w:val="20"/>
              </w:rPr>
              <w:t>85,926</w:t>
            </w:r>
          </w:p>
        </w:tc>
      </w:tr>
      <w:tr w:rsidR="007C5447">
        <w:trPr>
          <w:trHeight w:val="228"/>
        </w:trPr>
        <w:tc>
          <w:tcPr>
            <w:tcW w:w="533" w:type="dxa"/>
          </w:tcPr>
          <w:p w:rsidR="007C5447" w:rsidRDefault="00F6308C">
            <w:pPr>
              <w:pStyle w:val="TableParagraph"/>
              <w:spacing w:line="208" w:lineRule="exact"/>
              <w:ind w:left="107"/>
              <w:jc w:val="left"/>
              <w:rPr>
                <w:sz w:val="20"/>
              </w:rPr>
            </w:pPr>
            <w:r>
              <w:rPr>
                <w:w w:val="99"/>
                <w:sz w:val="20"/>
              </w:rPr>
              <w:t>4</w:t>
            </w:r>
          </w:p>
        </w:tc>
        <w:tc>
          <w:tcPr>
            <w:tcW w:w="2271" w:type="dxa"/>
          </w:tcPr>
          <w:p w:rsidR="007C5447" w:rsidRDefault="00F6308C">
            <w:pPr>
              <w:pStyle w:val="TableParagraph"/>
              <w:spacing w:line="208" w:lineRule="exact"/>
              <w:ind w:left="107"/>
              <w:jc w:val="left"/>
              <w:rPr>
                <w:sz w:val="20"/>
              </w:rPr>
            </w:pPr>
            <w:r>
              <w:rPr>
                <w:sz w:val="20"/>
              </w:rPr>
              <w:t>T&amp;D Loss (MU)</w:t>
            </w:r>
          </w:p>
        </w:tc>
        <w:tc>
          <w:tcPr>
            <w:tcW w:w="1274" w:type="dxa"/>
          </w:tcPr>
          <w:p w:rsidR="007C5447" w:rsidRDefault="00F6308C">
            <w:pPr>
              <w:pStyle w:val="TableParagraph"/>
              <w:spacing w:line="208" w:lineRule="exact"/>
              <w:ind w:right="191"/>
              <w:rPr>
                <w:sz w:val="20"/>
              </w:rPr>
            </w:pPr>
            <w:r>
              <w:rPr>
                <w:w w:val="95"/>
                <w:sz w:val="20"/>
              </w:rPr>
              <w:t>14,992</w:t>
            </w:r>
          </w:p>
        </w:tc>
        <w:tc>
          <w:tcPr>
            <w:tcW w:w="1274" w:type="dxa"/>
          </w:tcPr>
          <w:p w:rsidR="007C5447" w:rsidRDefault="00F6308C">
            <w:pPr>
              <w:pStyle w:val="TableParagraph"/>
              <w:spacing w:line="208" w:lineRule="exact"/>
              <w:ind w:right="188"/>
              <w:rPr>
                <w:sz w:val="20"/>
              </w:rPr>
            </w:pPr>
            <w:r>
              <w:rPr>
                <w:w w:val="95"/>
                <w:sz w:val="20"/>
              </w:rPr>
              <w:t>14,080</w:t>
            </w:r>
          </w:p>
        </w:tc>
        <w:tc>
          <w:tcPr>
            <w:tcW w:w="1276" w:type="dxa"/>
          </w:tcPr>
          <w:p w:rsidR="007C5447" w:rsidRDefault="00F6308C">
            <w:pPr>
              <w:pStyle w:val="TableParagraph"/>
              <w:spacing w:line="208" w:lineRule="exact"/>
              <w:ind w:left="521"/>
              <w:jc w:val="left"/>
              <w:rPr>
                <w:sz w:val="20"/>
              </w:rPr>
            </w:pPr>
            <w:r>
              <w:rPr>
                <w:sz w:val="20"/>
              </w:rPr>
              <w:t>16,686</w:t>
            </w:r>
          </w:p>
        </w:tc>
        <w:tc>
          <w:tcPr>
            <w:tcW w:w="1277" w:type="dxa"/>
          </w:tcPr>
          <w:p w:rsidR="007C5447" w:rsidRDefault="00F6308C">
            <w:pPr>
              <w:pStyle w:val="TableParagraph"/>
              <w:spacing w:line="208" w:lineRule="exact"/>
              <w:ind w:left="524"/>
              <w:jc w:val="left"/>
              <w:rPr>
                <w:sz w:val="20"/>
              </w:rPr>
            </w:pPr>
            <w:r>
              <w:rPr>
                <w:sz w:val="20"/>
              </w:rPr>
              <w:t>18,811</w:t>
            </w:r>
          </w:p>
        </w:tc>
        <w:tc>
          <w:tcPr>
            <w:tcW w:w="1416" w:type="dxa"/>
          </w:tcPr>
          <w:p w:rsidR="007C5447" w:rsidRDefault="00F6308C">
            <w:pPr>
              <w:pStyle w:val="TableParagraph"/>
              <w:spacing w:line="208" w:lineRule="exact"/>
              <w:ind w:right="189"/>
              <w:rPr>
                <w:sz w:val="20"/>
              </w:rPr>
            </w:pPr>
            <w:r>
              <w:rPr>
                <w:w w:val="95"/>
                <w:sz w:val="20"/>
              </w:rPr>
              <w:t>17,297</w:t>
            </w:r>
          </w:p>
        </w:tc>
      </w:tr>
      <w:tr w:rsidR="007C5447">
        <w:trPr>
          <w:trHeight w:val="230"/>
        </w:trPr>
        <w:tc>
          <w:tcPr>
            <w:tcW w:w="533" w:type="dxa"/>
          </w:tcPr>
          <w:p w:rsidR="007C5447" w:rsidRDefault="00F6308C">
            <w:pPr>
              <w:pStyle w:val="TableParagraph"/>
              <w:spacing w:line="210" w:lineRule="exact"/>
              <w:ind w:left="107"/>
              <w:jc w:val="left"/>
              <w:rPr>
                <w:sz w:val="20"/>
              </w:rPr>
            </w:pPr>
            <w:r>
              <w:rPr>
                <w:w w:val="99"/>
                <w:sz w:val="20"/>
              </w:rPr>
              <w:t>5</w:t>
            </w:r>
          </w:p>
        </w:tc>
        <w:tc>
          <w:tcPr>
            <w:tcW w:w="2271" w:type="dxa"/>
          </w:tcPr>
          <w:p w:rsidR="007C5447" w:rsidRDefault="00F6308C">
            <w:pPr>
              <w:pStyle w:val="TableParagraph"/>
              <w:spacing w:line="210" w:lineRule="exact"/>
              <w:ind w:left="107"/>
              <w:jc w:val="left"/>
              <w:rPr>
                <w:sz w:val="20"/>
              </w:rPr>
            </w:pPr>
            <w:r>
              <w:rPr>
                <w:sz w:val="20"/>
              </w:rPr>
              <w:t>T&amp;D Loss (%)</w:t>
            </w:r>
          </w:p>
        </w:tc>
        <w:tc>
          <w:tcPr>
            <w:tcW w:w="1274" w:type="dxa"/>
          </w:tcPr>
          <w:p w:rsidR="007C5447" w:rsidRDefault="00F6308C">
            <w:pPr>
              <w:pStyle w:val="TableParagraph"/>
              <w:spacing w:line="210" w:lineRule="exact"/>
              <w:ind w:left="453"/>
              <w:jc w:val="left"/>
              <w:rPr>
                <w:sz w:val="20"/>
              </w:rPr>
            </w:pPr>
            <w:r>
              <w:rPr>
                <w:sz w:val="20"/>
              </w:rPr>
              <w:t>21.62%</w:t>
            </w:r>
          </w:p>
        </w:tc>
        <w:tc>
          <w:tcPr>
            <w:tcW w:w="1274" w:type="dxa"/>
          </w:tcPr>
          <w:p w:rsidR="007C5447" w:rsidRDefault="00F6308C">
            <w:pPr>
              <w:pStyle w:val="TableParagraph"/>
              <w:spacing w:line="210" w:lineRule="exact"/>
              <w:ind w:left="455"/>
              <w:jc w:val="left"/>
              <w:rPr>
                <w:sz w:val="20"/>
              </w:rPr>
            </w:pPr>
            <w:r>
              <w:rPr>
                <w:sz w:val="20"/>
              </w:rPr>
              <w:t>20.95%</w:t>
            </w:r>
          </w:p>
        </w:tc>
        <w:tc>
          <w:tcPr>
            <w:tcW w:w="1276" w:type="dxa"/>
          </w:tcPr>
          <w:p w:rsidR="007C5447" w:rsidRDefault="00F6308C">
            <w:pPr>
              <w:pStyle w:val="TableParagraph"/>
              <w:spacing w:line="210" w:lineRule="exact"/>
              <w:ind w:left="454"/>
              <w:jc w:val="left"/>
              <w:rPr>
                <w:sz w:val="20"/>
              </w:rPr>
            </w:pPr>
            <w:r>
              <w:rPr>
                <w:sz w:val="20"/>
              </w:rPr>
              <w:t>21.52%</w:t>
            </w:r>
          </w:p>
        </w:tc>
        <w:tc>
          <w:tcPr>
            <w:tcW w:w="1277" w:type="dxa"/>
          </w:tcPr>
          <w:p w:rsidR="007C5447" w:rsidRDefault="00F6308C">
            <w:pPr>
              <w:pStyle w:val="TableParagraph"/>
              <w:spacing w:line="210" w:lineRule="exact"/>
              <w:ind w:left="457"/>
              <w:jc w:val="left"/>
              <w:rPr>
                <w:sz w:val="20"/>
              </w:rPr>
            </w:pPr>
            <w:r>
              <w:rPr>
                <w:sz w:val="20"/>
              </w:rPr>
              <w:t>22.02%</w:t>
            </w:r>
          </w:p>
        </w:tc>
        <w:tc>
          <w:tcPr>
            <w:tcW w:w="1416" w:type="dxa"/>
          </w:tcPr>
          <w:p w:rsidR="007C5447" w:rsidRDefault="00F6308C">
            <w:pPr>
              <w:pStyle w:val="TableParagraph"/>
              <w:spacing w:line="210" w:lineRule="exact"/>
              <w:ind w:right="188"/>
              <w:rPr>
                <w:sz w:val="20"/>
              </w:rPr>
            </w:pPr>
            <w:r>
              <w:rPr>
                <w:sz w:val="20"/>
              </w:rPr>
              <w:t>20.13%</w:t>
            </w:r>
          </w:p>
        </w:tc>
      </w:tr>
      <w:tr w:rsidR="007C5447">
        <w:trPr>
          <w:trHeight w:val="230"/>
        </w:trPr>
        <w:tc>
          <w:tcPr>
            <w:tcW w:w="533" w:type="dxa"/>
          </w:tcPr>
          <w:p w:rsidR="007C5447" w:rsidRDefault="00F6308C">
            <w:pPr>
              <w:pStyle w:val="TableParagraph"/>
              <w:spacing w:line="210" w:lineRule="exact"/>
              <w:ind w:left="107"/>
              <w:jc w:val="left"/>
              <w:rPr>
                <w:sz w:val="20"/>
              </w:rPr>
            </w:pPr>
            <w:r>
              <w:rPr>
                <w:w w:val="99"/>
                <w:sz w:val="20"/>
              </w:rPr>
              <w:t>6</w:t>
            </w:r>
          </w:p>
        </w:tc>
        <w:tc>
          <w:tcPr>
            <w:tcW w:w="2271" w:type="dxa"/>
          </w:tcPr>
          <w:p w:rsidR="007C5447" w:rsidRDefault="00F6308C">
            <w:pPr>
              <w:pStyle w:val="TableParagraph"/>
              <w:spacing w:line="210" w:lineRule="exact"/>
              <w:ind w:left="107"/>
              <w:jc w:val="left"/>
              <w:rPr>
                <w:sz w:val="20"/>
              </w:rPr>
            </w:pPr>
            <w:r>
              <w:rPr>
                <w:sz w:val="20"/>
              </w:rPr>
              <w:t>Total Sales</w:t>
            </w:r>
          </w:p>
        </w:tc>
        <w:tc>
          <w:tcPr>
            <w:tcW w:w="1274" w:type="dxa"/>
          </w:tcPr>
          <w:p w:rsidR="007C5447" w:rsidRDefault="00F6308C">
            <w:pPr>
              <w:pStyle w:val="TableParagraph"/>
              <w:spacing w:line="210" w:lineRule="exact"/>
              <w:ind w:right="191"/>
              <w:rPr>
                <w:sz w:val="20"/>
              </w:rPr>
            </w:pPr>
            <w:r>
              <w:rPr>
                <w:w w:val="95"/>
                <w:sz w:val="20"/>
              </w:rPr>
              <w:t>54,338</w:t>
            </w:r>
          </w:p>
        </w:tc>
        <w:tc>
          <w:tcPr>
            <w:tcW w:w="1274" w:type="dxa"/>
          </w:tcPr>
          <w:p w:rsidR="007C5447" w:rsidRDefault="00F6308C">
            <w:pPr>
              <w:pStyle w:val="TableParagraph"/>
              <w:spacing w:line="210" w:lineRule="exact"/>
              <w:ind w:right="188"/>
              <w:rPr>
                <w:sz w:val="20"/>
              </w:rPr>
            </w:pPr>
            <w:r>
              <w:rPr>
                <w:w w:val="95"/>
                <w:sz w:val="20"/>
              </w:rPr>
              <w:t>53,128</w:t>
            </w:r>
          </w:p>
        </w:tc>
        <w:tc>
          <w:tcPr>
            <w:tcW w:w="1276" w:type="dxa"/>
          </w:tcPr>
          <w:p w:rsidR="007C5447" w:rsidRDefault="00F6308C">
            <w:pPr>
              <w:pStyle w:val="TableParagraph"/>
              <w:spacing w:line="210" w:lineRule="exact"/>
              <w:ind w:left="521"/>
              <w:jc w:val="left"/>
              <w:rPr>
                <w:sz w:val="20"/>
              </w:rPr>
            </w:pPr>
            <w:r>
              <w:rPr>
                <w:sz w:val="20"/>
              </w:rPr>
              <w:t>60,866</w:t>
            </w:r>
          </w:p>
        </w:tc>
        <w:tc>
          <w:tcPr>
            <w:tcW w:w="1277" w:type="dxa"/>
          </w:tcPr>
          <w:p w:rsidR="007C5447" w:rsidRDefault="00F6308C">
            <w:pPr>
              <w:pStyle w:val="TableParagraph"/>
              <w:spacing w:line="210" w:lineRule="exact"/>
              <w:ind w:left="524"/>
              <w:jc w:val="left"/>
              <w:rPr>
                <w:sz w:val="20"/>
              </w:rPr>
            </w:pPr>
            <w:r>
              <w:rPr>
                <w:sz w:val="20"/>
              </w:rPr>
              <w:t>66,626</w:t>
            </w:r>
          </w:p>
        </w:tc>
        <w:tc>
          <w:tcPr>
            <w:tcW w:w="1416" w:type="dxa"/>
          </w:tcPr>
          <w:p w:rsidR="007C5447" w:rsidRDefault="00F6308C">
            <w:pPr>
              <w:pStyle w:val="TableParagraph"/>
              <w:spacing w:line="210" w:lineRule="exact"/>
              <w:ind w:right="189"/>
              <w:rPr>
                <w:sz w:val="20"/>
              </w:rPr>
            </w:pPr>
            <w:r>
              <w:rPr>
                <w:w w:val="95"/>
                <w:sz w:val="20"/>
              </w:rPr>
              <w:t>68,629</w:t>
            </w:r>
          </w:p>
        </w:tc>
      </w:tr>
      <w:tr w:rsidR="007C5447">
        <w:trPr>
          <w:trHeight w:val="230"/>
        </w:trPr>
        <w:tc>
          <w:tcPr>
            <w:tcW w:w="533" w:type="dxa"/>
          </w:tcPr>
          <w:p w:rsidR="007C5447" w:rsidRDefault="00F6308C">
            <w:pPr>
              <w:pStyle w:val="TableParagraph"/>
              <w:spacing w:line="210" w:lineRule="exact"/>
              <w:ind w:left="107"/>
              <w:jc w:val="left"/>
              <w:rPr>
                <w:sz w:val="20"/>
              </w:rPr>
            </w:pPr>
            <w:r>
              <w:rPr>
                <w:w w:val="99"/>
                <w:sz w:val="20"/>
              </w:rPr>
              <w:t>7</w:t>
            </w:r>
          </w:p>
        </w:tc>
        <w:tc>
          <w:tcPr>
            <w:tcW w:w="2271" w:type="dxa"/>
          </w:tcPr>
          <w:p w:rsidR="007C5447" w:rsidRDefault="00F6308C">
            <w:pPr>
              <w:pStyle w:val="TableParagraph"/>
              <w:spacing w:line="210" w:lineRule="exact"/>
              <w:ind w:left="107"/>
              <w:jc w:val="left"/>
              <w:rPr>
                <w:sz w:val="20"/>
              </w:rPr>
            </w:pPr>
            <w:r>
              <w:rPr>
                <w:sz w:val="20"/>
              </w:rPr>
              <w:t>Sales to consumer</w:t>
            </w:r>
          </w:p>
        </w:tc>
        <w:tc>
          <w:tcPr>
            <w:tcW w:w="1274" w:type="dxa"/>
          </w:tcPr>
          <w:p w:rsidR="007C5447" w:rsidRDefault="00F6308C">
            <w:pPr>
              <w:pStyle w:val="TableParagraph"/>
              <w:spacing w:line="210" w:lineRule="exact"/>
              <w:ind w:right="191"/>
              <w:rPr>
                <w:sz w:val="20"/>
              </w:rPr>
            </w:pPr>
            <w:r>
              <w:rPr>
                <w:w w:val="95"/>
                <w:sz w:val="20"/>
              </w:rPr>
              <w:t>54,338</w:t>
            </w:r>
          </w:p>
        </w:tc>
        <w:tc>
          <w:tcPr>
            <w:tcW w:w="1274" w:type="dxa"/>
          </w:tcPr>
          <w:p w:rsidR="007C5447" w:rsidRDefault="00F6308C">
            <w:pPr>
              <w:pStyle w:val="TableParagraph"/>
              <w:spacing w:line="210" w:lineRule="exact"/>
              <w:ind w:right="188"/>
              <w:rPr>
                <w:sz w:val="20"/>
              </w:rPr>
            </w:pPr>
            <w:r>
              <w:rPr>
                <w:w w:val="95"/>
                <w:sz w:val="20"/>
              </w:rPr>
              <w:t>53,128</w:t>
            </w:r>
          </w:p>
        </w:tc>
        <w:tc>
          <w:tcPr>
            <w:tcW w:w="1276" w:type="dxa"/>
          </w:tcPr>
          <w:p w:rsidR="007C5447" w:rsidRDefault="00F6308C">
            <w:pPr>
              <w:pStyle w:val="TableParagraph"/>
              <w:spacing w:line="210" w:lineRule="exact"/>
              <w:ind w:left="521"/>
              <w:jc w:val="left"/>
              <w:rPr>
                <w:sz w:val="20"/>
              </w:rPr>
            </w:pPr>
            <w:r>
              <w:rPr>
                <w:sz w:val="20"/>
              </w:rPr>
              <w:t>60,866</w:t>
            </w:r>
          </w:p>
        </w:tc>
        <w:tc>
          <w:tcPr>
            <w:tcW w:w="1277" w:type="dxa"/>
          </w:tcPr>
          <w:p w:rsidR="007C5447" w:rsidRDefault="00F6308C">
            <w:pPr>
              <w:pStyle w:val="TableParagraph"/>
              <w:spacing w:line="210" w:lineRule="exact"/>
              <w:ind w:left="524"/>
              <w:jc w:val="left"/>
              <w:rPr>
                <w:sz w:val="20"/>
              </w:rPr>
            </w:pPr>
            <w:r>
              <w:rPr>
                <w:sz w:val="20"/>
              </w:rPr>
              <w:t>66,626</w:t>
            </w:r>
          </w:p>
        </w:tc>
        <w:tc>
          <w:tcPr>
            <w:tcW w:w="1416" w:type="dxa"/>
          </w:tcPr>
          <w:p w:rsidR="007C5447" w:rsidRDefault="00F6308C">
            <w:pPr>
              <w:pStyle w:val="TableParagraph"/>
              <w:spacing w:line="210" w:lineRule="exact"/>
              <w:ind w:right="189"/>
              <w:rPr>
                <w:sz w:val="20"/>
              </w:rPr>
            </w:pPr>
            <w:r>
              <w:rPr>
                <w:w w:val="95"/>
                <w:sz w:val="20"/>
              </w:rPr>
              <w:t>68,629</w:t>
            </w:r>
          </w:p>
        </w:tc>
      </w:tr>
    </w:tbl>
    <w:p w:rsidR="007C5447" w:rsidRDefault="007C5447">
      <w:pPr>
        <w:pStyle w:val="BodyText"/>
        <w:spacing w:before="9"/>
        <w:rPr>
          <w:b/>
          <w:sz w:val="20"/>
        </w:rPr>
      </w:pPr>
    </w:p>
    <w:p w:rsidR="007C5447" w:rsidRDefault="00F6308C">
      <w:pPr>
        <w:pStyle w:val="Heading2"/>
        <w:ind w:left="1532"/>
      </w:pPr>
      <w:r>
        <w:t>Commission’s Views</w:t>
      </w:r>
    </w:p>
    <w:p w:rsidR="007C5447" w:rsidRDefault="00F6308C">
      <w:pPr>
        <w:pStyle w:val="ListParagraph"/>
        <w:numPr>
          <w:ilvl w:val="2"/>
          <w:numId w:val="92"/>
        </w:numPr>
        <w:tabs>
          <w:tab w:val="left" w:pos="1533"/>
        </w:tabs>
        <w:spacing w:before="204" w:line="312" w:lineRule="auto"/>
        <w:ind w:right="882"/>
        <w:jc w:val="both"/>
        <w:rPr>
          <w:sz w:val="24"/>
        </w:rPr>
      </w:pPr>
      <w:r>
        <w:rPr>
          <w:sz w:val="24"/>
        </w:rPr>
        <w:t>The Commission, in its first MYT Order dated July 31, 2010, had approved the combined T&amp;D losses and set a trajectory for reduction of T&amp;D</w:t>
      </w:r>
      <w:r>
        <w:rPr>
          <w:spacing w:val="-8"/>
          <w:sz w:val="24"/>
        </w:rPr>
        <w:t xml:space="preserve"> </w:t>
      </w:r>
      <w:r>
        <w:rPr>
          <w:sz w:val="24"/>
        </w:rPr>
        <w:t>losses.</w:t>
      </w:r>
    </w:p>
    <w:p w:rsidR="007C5447" w:rsidRDefault="007C5447">
      <w:pPr>
        <w:pStyle w:val="BodyText"/>
        <w:spacing w:before="10"/>
        <w:rPr>
          <w:sz w:val="20"/>
        </w:rPr>
      </w:pPr>
    </w:p>
    <w:p w:rsidR="007C5447" w:rsidRDefault="00F6308C">
      <w:pPr>
        <w:pStyle w:val="ListParagraph"/>
        <w:numPr>
          <w:ilvl w:val="2"/>
          <w:numId w:val="92"/>
        </w:numPr>
        <w:tabs>
          <w:tab w:val="left" w:pos="1533"/>
        </w:tabs>
        <w:spacing w:before="1" w:line="312" w:lineRule="auto"/>
        <w:ind w:right="875"/>
        <w:jc w:val="both"/>
        <w:rPr>
          <w:sz w:val="24"/>
        </w:rPr>
      </w:pPr>
      <w:r>
        <w:rPr>
          <w:sz w:val="24"/>
        </w:rPr>
        <w:t>In the Tariff Order dated March 30, 2012, the Commission had recorded that TANGEDCO did not initially submit the T&amp;D loss but later submitted it. The relevant paragraphs from the Order are reproduced</w:t>
      </w:r>
      <w:r>
        <w:rPr>
          <w:spacing w:val="1"/>
          <w:sz w:val="24"/>
        </w:rPr>
        <w:t xml:space="preserve"> </w:t>
      </w:r>
      <w:r>
        <w:rPr>
          <w:sz w:val="24"/>
        </w:rPr>
        <w:t>below:</w:t>
      </w:r>
    </w:p>
    <w:p w:rsidR="007C5447" w:rsidRDefault="007C5447">
      <w:pPr>
        <w:pStyle w:val="BodyText"/>
        <w:spacing w:before="8"/>
        <w:rPr>
          <w:sz w:val="20"/>
        </w:rPr>
      </w:pPr>
    </w:p>
    <w:p w:rsidR="007C5447" w:rsidRDefault="00F6308C">
      <w:pPr>
        <w:ind w:left="2120" w:right="1598"/>
        <w:jc w:val="both"/>
        <w:rPr>
          <w:i/>
          <w:sz w:val="24"/>
        </w:rPr>
      </w:pPr>
      <w:r>
        <w:rPr>
          <w:i/>
          <w:sz w:val="24"/>
        </w:rPr>
        <w:t>“</w:t>
      </w:r>
      <w:r>
        <w:rPr>
          <w:b/>
          <w:i/>
          <w:sz w:val="24"/>
        </w:rPr>
        <w:t>The Commission observed that TANGEDCO has not s</w:t>
      </w:r>
      <w:r>
        <w:rPr>
          <w:b/>
          <w:i/>
          <w:sz w:val="24"/>
        </w:rPr>
        <w:t>ubmitted T&amp;D loss for FY 2011-12 and FY 2012-13 in its Petition but the same was submitted later</w:t>
      </w:r>
      <w:r>
        <w:rPr>
          <w:i/>
          <w:sz w:val="24"/>
        </w:rPr>
        <w:t>. Since the actual energy available during FY 2010-11 and first ten months of FY 2011-12 has been submitted by TANGEDCO, the Commission has re-estimated the T&amp;D</w:t>
      </w:r>
      <w:r>
        <w:rPr>
          <w:i/>
          <w:sz w:val="24"/>
        </w:rPr>
        <w:t xml:space="preserve"> loss on the basis of energy sales from FY 2010-11 to FY 2011-12 and the energy available during FY 2010-11 and FY 2011-12 approved by the Commission in this</w:t>
      </w:r>
      <w:r>
        <w:rPr>
          <w:i/>
          <w:spacing w:val="-2"/>
          <w:sz w:val="24"/>
        </w:rPr>
        <w:t xml:space="preserve"> </w:t>
      </w:r>
      <w:r>
        <w:rPr>
          <w:i/>
          <w:sz w:val="24"/>
        </w:rPr>
        <w:t>Order.”</w:t>
      </w:r>
    </w:p>
    <w:p w:rsidR="007C5447" w:rsidRDefault="00F6308C">
      <w:pPr>
        <w:pStyle w:val="ListParagraph"/>
        <w:numPr>
          <w:ilvl w:val="2"/>
          <w:numId w:val="92"/>
        </w:numPr>
        <w:tabs>
          <w:tab w:val="left" w:pos="1533"/>
        </w:tabs>
        <w:spacing w:before="121" w:line="312" w:lineRule="auto"/>
        <w:ind w:right="884"/>
        <w:jc w:val="both"/>
        <w:rPr>
          <w:sz w:val="24"/>
        </w:rPr>
      </w:pPr>
      <w:r>
        <w:rPr>
          <w:sz w:val="24"/>
        </w:rPr>
        <w:t>Further, in the same Order, the Commission had given the following direction to TANGEDCO:</w:t>
      </w:r>
    </w:p>
    <w:p w:rsidR="007C5447" w:rsidRDefault="007C5447">
      <w:pPr>
        <w:pStyle w:val="BodyText"/>
        <w:spacing w:before="10"/>
        <w:rPr>
          <w:sz w:val="20"/>
        </w:rPr>
      </w:pPr>
    </w:p>
    <w:p w:rsidR="007C5447" w:rsidRDefault="00F6308C">
      <w:pPr>
        <w:ind w:left="2120" w:right="1600"/>
        <w:jc w:val="both"/>
        <w:rPr>
          <w:i/>
          <w:sz w:val="24"/>
        </w:rPr>
      </w:pPr>
      <w:r>
        <w:rPr>
          <w:i/>
          <w:sz w:val="24"/>
        </w:rPr>
        <w:t>“3.1.42 As regards the pilot study being conducted by TANGEDCO, the Commission is of the view that based upon the success of the same, it may be extended to the remaining</w:t>
      </w:r>
      <w:r>
        <w:rPr>
          <w:i/>
          <w:spacing w:val="-3"/>
          <w:sz w:val="24"/>
        </w:rPr>
        <w:t xml:space="preserve"> </w:t>
      </w:r>
      <w:r>
        <w:rPr>
          <w:i/>
          <w:sz w:val="24"/>
        </w:rPr>
        <w:t>areas.</w:t>
      </w:r>
    </w:p>
    <w:p w:rsidR="007C5447" w:rsidRDefault="007C5447">
      <w:pPr>
        <w:pStyle w:val="BodyText"/>
        <w:spacing w:before="10"/>
        <w:rPr>
          <w:i/>
          <w:sz w:val="20"/>
        </w:rPr>
      </w:pPr>
    </w:p>
    <w:p w:rsidR="007C5447" w:rsidRDefault="00F6308C">
      <w:pPr>
        <w:pStyle w:val="Heading3"/>
        <w:ind w:left="2120" w:right="1599"/>
        <w:jc w:val="both"/>
      </w:pPr>
      <w:r>
        <w:t xml:space="preserve">3.1.43 The Commission directs TANGEDCO to complete the exercise </w:t>
      </w:r>
      <w:r>
        <w:t>being done by TANGEDCO for accurate measurement of T&amp;D Loss and unmetered agricultural consumption before October 31, 2012 and submit the findings before the Commission before December 1, 2012.”</w:t>
      </w:r>
    </w:p>
    <w:p w:rsidR="007C5447" w:rsidRDefault="00F6308C">
      <w:pPr>
        <w:pStyle w:val="ListParagraph"/>
        <w:numPr>
          <w:ilvl w:val="2"/>
          <w:numId w:val="92"/>
        </w:numPr>
        <w:tabs>
          <w:tab w:val="left" w:pos="1533"/>
        </w:tabs>
        <w:spacing w:before="121" w:line="312" w:lineRule="auto"/>
        <w:ind w:right="876"/>
        <w:jc w:val="both"/>
        <w:rPr>
          <w:sz w:val="24"/>
        </w:rPr>
      </w:pPr>
      <w:r>
        <w:rPr>
          <w:sz w:val="24"/>
        </w:rPr>
        <w:t>As TANGEDCO did not comply with the above directions, the Com</w:t>
      </w:r>
      <w:r>
        <w:rPr>
          <w:sz w:val="24"/>
        </w:rPr>
        <w:t>mission had initiated a Suo-Motu proceeding against TANGEDCO vide S.M.P. No. 3 of 2013. In its Order dated June 4, 2013, the Commission stated</w:t>
      </w:r>
      <w:r>
        <w:rPr>
          <w:spacing w:val="-2"/>
          <w:sz w:val="24"/>
        </w:rPr>
        <w:t xml:space="preserve"> </w:t>
      </w:r>
      <w:r>
        <w:rPr>
          <w:sz w:val="24"/>
        </w:rPr>
        <w:t>that:</w:t>
      </w:r>
    </w:p>
    <w:p w:rsidR="007C5447" w:rsidRDefault="007C5447">
      <w:pPr>
        <w:spacing w:line="312" w:lineRule="auto"/>
        <w:jc w:val="both"/>
        <w:rPr>
          <w:sz w:val="24"/>
        </w:rPr>
        <w:sectPr w:rsidR="007C5447">
          <w:pgSz w:w="11910" w:h="16840"/>
          <w:pgMar w:top="1360" w:right="560" w:bottom="1240" w:left="760" w:header="0" w:footer="1057" w:gutter="0"/>
          <w:cols w:space="720"/>
        </w:sectPr>
      </w:pPr>
    </w:p>
    <w:p w:rsidR="007C5447" w:rsidRDefault="00F6308C">
      <w:pPr>
        <w:spacing w:before="60"/>
        <w:ind w:left="2120" w:right="1595"/>
        <w:jc w:val="both"/>
        <w:rPr>
          <w:b/>
          <w:i/>
          <w:sz w:val="24"/>
        </w:rPr>
      </w:pPr>
      <w:r>
        <w:rPr>
          <w:i/>
          <w:sz w:val="24"/>
        </w:rPr>
        <w:lastRenderedPageBreak/>
        <w:t>“12. TANGEDCO has not submitted the T&amp;D loss details as specified in the Tamil Nadu Elect</w:t>
      </w:r>
      <w:r>
        <w:rPr>
          <w:i/>
          <w:sz w:val="24"/>
        </w:rPr>
        <w:t>ricity Regulatory Commission (Terms and Conditions for determination of Tariff) Regulations, 2005 in their Tariff Petition T.P 1 of 2013. However, as mandated by the Act, the Commission is bound to issue the tariff order subject to prudent check of the dat</w:t>
      </w:r>
      <w:r>
        <w:rPr>
          <w:i/>
          <w:sz w:val="24"/>
        </w:rPr>
        <w:t>a furnished by TANGEDCO. Till 2010, the TANGEDCO (the erstwhile TNEB) was reporting only 18% as T&amp;D loss. Only during the tariff filing in November 2011(for the FY 2012-13) the TANGEDCO claimed a T&amp;D loss of 17.60%, 19.14% and 18.74% for the FY 2011, FY 20</w:t>
      </w:r>
      <w:r>
        <w:rPr>
          <w:i/>
          <w:sz w:val="24"/>
        </w:rPr>
        <w:t xml:space="preserve">12, and FY 2013 respectively. Since the TANGEDCO has not conducted the T&amp;D loss study as per the Regulations and the directions of the Hon’ble APTEL and this Commission, the Commission cannot accept the same. The Commission in its Order No.1 of 2012 dated </w:t>
      </w:r>
      <w:r>
        <w:rPr>
          <w:i/>
          <w:sz w:val="24"/>
        </w:rPr>
        <w:t xml:space="preserve">30-3-2012, had adopted the T&amp;D loss of 17.6% for 2010-11 and 17.2% for 2011-12. Commission adopted </w:t>
      </w:r>
      <w:r>
        <w:rPr>
          <w:i/>
          <w:spacing w:val="-3"/>
          <w:sz w:val="24"/>
        </w:rPr>
        <w:t xml:space="preserve">T&amp;D </w:t>
      </w:r>
      <w:r>
        <w:rPr>
          <w:i/>
          <w:sz w:val="24"/>
        </w:rPr>
        <w:t>loss of 16.80% for 2012-13. By the same analogy, T&amp;D loss of 16.40% is approved for 2013-14. As and when the TANGEDCO comes out with the scientific study</w:t>
      </w:r>
      <w:r>
        <w:rPr>
          <w:i/>
          <w:sz w:val="24"/>
        </w:rPr>
        <w:t xml:space="preserve"> on T&amp;D loss as specified in the Regulations, the Commission may review and refix the T&amp;D loss norms subject to prudent check. </w:t>
      </w:r>
      <w:r>
        <w:rPr>
          <w:b/>
          <w:i/>
          <w:sz w:val="24"/>
        </w:rPr>
        <w:t xml:space="preserve">If no study report is submitted for consideration of the Commission, T&amp;D loss for FY 2014-15 shall be reckoned as 16% and for FY </w:t>
      </w:r>
      <w:r>
        <w:rPr>
          <w:b/>
          <w:i/>
          <w:sz w:val="24"/>
        </w:rPr>
        <w:t>2015-16 shall be reckoned as 15.6%. Out of the above T&amp;D loss limit, the distribution loss shall be arrived at after deducting the transmission loss as approved by the Commission in the respective tariff</w:t>
      </w:r>
      <w:r>
        <w:rPr>
          <w:b/>
          <w:i/>
          <w:spacing w:val="-8"/>
          <w:sz w:val="24"/>
        </w:rPr>
        <w:t xml:space="preserve"> </w:t>
      </w:r>
      <w:r>
        <w:rPr>
          <w:b/>
          <w:i/>
          <w:sz w:val="24"/>
        </w:rPr>
        <w:t>order.”</w:t>
      </w:r>
    </w:p>
    <w:p w:rsidR="007C5447" w:rsidRDefault="00F6308C">
      <w:pPr>
        <w:pStyle w:val="ListParagraph"/>
        <w:numPr>
          <w:ilvl w:val="2"/>
          <w:numId w:val="92"/>
        </w:numPr>
        <w:tabs>
          <w:tab w:val="left" w:pos="1533"/>
        </w:tabs>
        <w:spacing w:before="122" w:line="312" w:lineRule="auto"/>
        <w:ind w:right="874"/>
        <w:jc w:val="both"/>
        <w:rPr>
          <w:sz w:val="24"/>
        </w:rPr>
      </w:pPr>
      <w:r>
        <w:rPr>
          <w:sz w:val="24"/>
        </w:rPr>
        <w:t>The study report has been submitted vey recently, as elaborated in Chapter 4 of this Order. Hence, for the purpose of true-up, the T&amp;D loss for the period from FY 2011- 12, FY 2012-13, and FY 2012-13 has to be reckoned as 17.2%, 16.80%, and 16.40%, respect</w:t>
      </w:r>
      <w:r>
        <w:rPr>
          <w:sz w:val="24"/>
        </w:rPr>
        <w:t>ively, as approved in the earlier Orders. Similarly, the T&amp;D loss for FY 2014-15 and FY 2015-16 has to be reckoned as 16% and 15.6%, respectively, as approved in the Suo-motu Tariff</w:t>
      </w:r>
      <w:r>
        <w:rPr>
          <w:spacing w:val="-2"/>
          <w:sz w:val="24"/>
        </w:rPr>
        <w:t xml:space="preserve"> </w:t>
      </w:r>
      <w:r>
        <w:rPr>
          <w:sz w:val="24"/>
        </w:rPr>
        <w:t>Order.</w:t>
      </w:r>
    </w:p>
    <w:p w:rsidR="007C5447" w:rsidRDefault="007C5447">
      <w:pPr>
        <w:pStyle w:val="BodyText"/>
        <w:spacing w:before="10"/>
        <w:rPr>
          <w:sz w:val="20"/>
        </w:rPr>
      </w:pPr>
    </w:p>
    <w:p w:rsidR="007C5447" w:rsidRDefault="00F6308C">
      <w:pPr>
        <w:pStyle w:val="ListParagraph"/>
        <w:numPr>
          <w:ilvl w:val="2"/>
          <w:numId w:val="92"/>
        </w:numPr>
        <w:tabs>
          <w:tab w:val="left" w:pos="1533"/>
        </w:tabs>
        <w:spacing w:before="1" w:line="312" w:lineRule="auto"/>
        <w:ind w:right="880"/>
        <w:jc w:val="both"/>
        <w:rPr>
          <w:sz w:val="24"/>
        </w:rPr>
      </w:pPr>
      <w:r>
        <w:rPr>
          <w:sz w:val="24"/>
        </w:rPr>
        <w:t>In view of the above, the Commission cannot accept TANGEDCO’s requ</w:t>
      </w:r>
      <w:r>
        <w:rPr>
          <w:sz w:val="24"/>
        </w:rPr>
        <w:t>est that it should not be penalised by disallowance of additional power purchase cost due to a higher than approved actual T&amp;D</w:t>
      </w:r>
      <w:r>
        <w:rPr>
          <w:spacing w:val="-1"/>
          <w:sz w:val="24"/>
        </w:rPr>
        <w:t xml:space="preserve"> </w:t>
      </w:r>
      <w:r>
        <w:rPr>
          <w:sz w:val="24"/>
        </w:rPr>
        <w:t>loss.</w:t>
      </w:r>
    </w:p>
    <w:p w:rsidR="007C5447" w:rsidRDefault="007C5447">
      <w:pPr>
        <w:pStyle w:val="BodyText"/>
        <w:spacing w:before="8"/>
        <w:rPr>
          <w:sz w:val="20"/>
        </w:rPr>
      </w:pPr>
    </w:p>
    <w:p w:rsidR="007C5447" w:rsidRDefault="00F6308C">
      <w:pPr>
        <w:pStyle w:val="ListParagraph"/>
        <w:numPr>
          <w:ilvl w:val="2"/>
          <w:numId w:val="92"/>
        </w:numPr>
        <w:tabs>
          <w:tab w:val="left" w:pos="1533"/>
        </w:tabs>
        <w:spacing w:before="1" w:line="312" w:lineRule="auto"/>
        <w:ind w:right="875"/>
        <w:jc w:val="both"/>
        <w:rPr>
          <w:sz w:val="24"/>
        </w:rPr>
      </w:pPr>
      <w:r>
        <w:rPr>
          <w:sz w:val="24"/>
        </w:rPr>
        <w:t>In this instant Petition filed for truing up, TANGEDCO submitted the actual combined T&amp;D loss for the period from FY 2011-</w:t>
      </w:r>
      <w:r>
        <w:rPr>
          <w:sz w:val="24"/>
        </w:rPr>
        <w:t>12 to FY 2015-16. The Commission has arrived at the energy requirement for TANGEDCO for this period, considering the approved sales and approved T&amp;D losses. The excess power purchase by TANGEDCO has been disallowed by the Commission as elaborated in the su</w:t>
      </w:r>
      <w:r>
        <w:rPr>
          <w:sz w:val="24"/>
        </w:rPr>
        <w:t>bsequent Section of this Order. Further, in accordance with the past approach, the</w:t>
      </w:r>
      <w:r>
        <w:rPr>
          <w:spacing w:val="12"/>
          <w:sz w:val="24"/>
        </w:rPr>
        <w:t xml:space="preserve"> </w:t>
      </w:r>
      <w:r>
        <w:rPr>
          <w:sz w:val="24"/>
        </w:rPr>
        <w:t>Commission</w:t>
      </w:r>
      <w:r>
        <w:rPr>
          <w:spacing w:val="14"/>
          <w:sz w:val="24"/>
        </w:rPr>
        <w:t xml:space="preserve"> </w:t>
      </w:r>
      <w:r>
        <w:rPr>
          <w:sz w:val="24"/>
        </w:rPr>
        <w:t>has</w:t>
      </w:r>
      <w:r>
        <w:rPr>
          <w:spacing w:val="13"/>
          <w:sz w:val="24"/>
        </w:rPr>
        <w:t xml:space="preserve"> </w:t>
      </w:r>
      <w:r>
        <w:rPr>
          <w:sz w:val="24"/>
        </w:rPr>
        <w:t>also</w:t>
      </w:r>
      <w:r>
        <w:rPr>
          <w:spacing w:val="14"/>
          <w:sz w:val="24"/>
        </w:rPr>
        <w:t xml:space="preserve"> </w:t>
      </w:r>
      <w:r>
        <w:rPr>
          <w:sz w:val="24"/>
        </w:rPr>
        <w:t>allowed</w:t>
      </w:r>
      <w:r>
        <w:rPr>
          <w:spacing w:val="13"/>
          <w:sz w:val="24"/>
        </w:rPr>
        <w:t xml:space="preserve"> </w:t>
      </w:r>
      <w:r>
        <w:rPr>
          <w:sz w:val="24"/>
        </w:rPr>
        <w:t>the</w:t>
      </w:r>
      <w:r>
        <w:rPr>
          <w:spacing w:val="13"/>
          <w:sz w:val="24"/>
        </w:rPr>
        <w:t xml:space="preserve"> </w:t>
      </w:r>
      <w:r>
        <w:rPr>
          <w:sz w:val="24"/>
        </w:rPr>
        <w:t>net</w:t>
      </w:r>
      <w:r>
        <w:rPr>
          <w:spacing w:val="14"/>
          <w:sz w:val="24"/>
        </w:rPr>
        <w:t xml:space="preserve"> </w:t>
      </w:r>
      <w:r>
        <w:rPr>
          <w:sz w:val="24"/>
        </w:rPr>
        <w:t>additional</w:t>
      </w:r>
      <w:r>
        <w:rPr>
          <w:spacing w:val="13"/>
          <w:sz w:val="24"/>
        </w:rPr>
        <w:t xml:space="preserve"> </w:t>
      </w:r>
      <w:r>
        <w:rPr>
          <w:sz w:val="24"/>
        </w:rPr>
        <w:t>energy</w:t>
      </w:r>
      <w:r>
        <w:rPr>
          <w:spacing w:val="11"/>
          <w:sz w:val="24"/>
        </w:rPr>
        <w:t xml:space="preserve"> </w:t>
      </w:r>
      <w:r>
        <w:rPr>
          <w:sz w:val="24"/>
        </w:rPr>
        <w:t>required</w:t>
      </w:r>
      <w:r>
        <w:rPr>
          <w:spacing w:val="13"/>
          <w:sz w:val="24"/>
        </w:rPr>
        <w:t xml:space="preserve"> </w:t>
      </w:r>
      <w:r>
        <w:rPr>
          <w:sz w:val="24"/>
        </w:rPr>
        <w:t>for</w:t>
      </w:r>
      <w:r>
        <w:rPr>
          <w:spacing w:val="21"/>
          <w:sz w:val="24"/>
        </w:rPr>
        <w:t xml:space="preserve"> </w:t>
      </w:r>
      <w:r>
        <w:rPr>
          <w:sz w:val="24"/>
        </w:rPr>
        <w:t>pumping</w:t>
      </w:r>
      <w:r>
        <w:rPr>
          <w:spacing w:val="10"/>
          <w:sz w:val="24"/>
        </w:rPr>
        <w:t xml:space="preserve"> </w:t>
      </w:r>
      <w:r>
        <w:rPr>
          <w:sz w:val="24"/>
        </w:rPr>
        <w:t>at</w:t>
      </w:r>
    </w:p>
    <w:p w:rsidR="007C5447" w:rsidRDefault="007C5447">
      <w:pPr>
        <w:spacing w:line="312" w:lineRule="auto"/>
        <w:jc w:val="both"/>
        <w:rPr>
          <w:sz w:val="24"/>
        </w:rPr>
        <w:sectPr w:rsidR="007C5447">
          <w:pgSz w:w="11910" w:h="16840"/>
          <w:pgMar w:top="1360" w:right="560" w:bottom="1240" w:left="760" w:header="0" w:footer="1057" w:gutter="0"/>
          <w:cols w:space="720"/>
        </w:sectPr>
      </w:pPr>
    </w:p>
    <w:p w:rsidR="007C5447" w:rsidRDefault="00F6308C">
      <w:pPr>
        <w:pStyle w:val="BodyText"/>
        <w:spacing w:before="60" w:line="312" w:lineRule="auto"/>
        <w:ind w:left="1532" w:right="875"/>
        <w:jc w:val="both"/>
      </w:pPr>
      <w:r>
        <w:lastRenderedPageBreak/>
        <w:t>Kadamparai Pumped Storage Hydroelectric Station (PSHES), as the difference be</w:t>
      </w:r>
      <w:r>
        <w:t>tween the energy requirement for pumping and the generation at Kadamparai PSHES. In cases where the net additional energy required for pumping at Kadamparai PSHES works out to be negative, the same has been considered as zero, as it indicates that the tota</w:t>
      </w:r>
      <w:r>
        <w:t>l generation at Kadamparai PSHES including run-of-river generation is higher than the pumping requirement. Further, for proper accounting, the entire generation at Kadamparai PSHES has been excluded from the energy available. The Energy Balance approved by</w:t>
      </w:r>
      <w:r>
        <w:t xml:space="preserve"> the Commission after true-up for the period from FY 2011-12 to FY 2015-16, is shown in the Table below:</w:t>
      </w:r>
    </w:p>
    <w:p w:rsidR="007C5447" w:rsidRDefault="007C5447">
      <w:pPr>
        <w:pStyle w:val="BodyText"/>
        <w:rPr>
          <w:sz w:val="21"/>
        </w:rPr>
      </w:pPr>
    </w:p>
    <w:p w:rsidR="007C5447" w:rsidRDefault="00F6308C">
      <w:pPr>
        <w:spacing w:line="312" w:lineRule="auto"/>
        <w:ind w:left="4825" w:right="1076" w:hanging="3949"/>
        <w:rPr>
          <w:b/>
        </w:rPr>
      </w:pPr>
      <w:r>
        <w:rPr>
          <w:b/>
        </w:rPr>
        <w:t>Table 3-9: Energy Balance approved by the Commission after true-up for FY 2011-12 to FY 2015-16</w:t>
      </w:r>
    </w:p>
    <w:p w:rsidR="007C5447" w:rsidRDefault="007C5447">
      <w:pPr>
        <w:pStyle w:val="BodyText"/>
        <w:spacing w:before="5"/>
        <w:rPr>
          <w:b/>
          <w:sz w:val="10"/>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126"/>
        <w:gridCol w:w="711"/>
        <w:gridCol w:w="1277"/>
        <w:gridCol w:w="1275"/>
        <w:gridCol w:w="1419"/>
        <w:gridCol w:w="1417"/>
        <w:gridCol w:w="1419"/>
      </w:tblGrid>
      <w:tr w:rsidR="007C5447">
        <w:trPr>
          <w:trHeight w:val="362"/>
        </w:trPr>
        <w:tc>
          <w:tcPr>
            <w:tcW w:w="708" w:type="dxa"/>
            <w:shd w:val="clear" w:color="auto" w:fill="FBD4B4"/>
          </w:tcPr>
          <w:p w:rsidR="007C5447" w:rsidRDefault="00F6308C">
            <w:pPr>
              <w:pStyle w:val="TableParagraph"/>
              <w:spacing w:before="67"/>
              <w:ind w:left="97" w:right="91"/>
              <w:jc w:val="center"/>
              <w:rPr>
                <w:b/>
                <w:sz w:val="20"/>
              </w:rPr>
            </w:pPr>
            <w:r>
              <w:rPr>
                <w:b/>
                <w:sz w:val="20"/>
              </w:rPr>
              <w:t>Sl.</w:t>
            </w:r>
          </w:p>
        </w:tc>
        <w:tc>
          <w:tcPr>
            <w:tcW w:w="2126" w:type="dxa"/>
            <w:shd w:val="clear" w:color="auto" w:fill="FBD4B4"/>
          </w:tcPr>
          <w:p w:rsidR="007C5447" w:rsidRDefault="00F6308C">
            <w:pPr>
              <w:pStyle w:val="TableParagraph"/>
              <w:spacing w:before="67"/>
              <w:ind w:left="108"/>
              <w:jc w:val="left"/>
              <w:rPr>
                <w:b/>
                <w:sz w:val="20"/>
              </w:rPr>
            </w:pPr>
            <w:r>
              <w:rPr>
                <w:b/>
                <w:sz w:val="20"/>
              </w:rPr>
              <w:t>Particulars</w:t>
            </w:r>
          </w:p>
        </w:tc>
        <w:tc>
          <w:tcPr>
            <w:tcW w:w="711" w:type="dxa"/>
            <w:shd w:val="clear" w:color="auto" w:fill="FBD4B4"/>
          </w:tcPr>
          <w:p w:rsidR="007C5447" w:rsidRDefault="00F6308C">
            <w:pPr>
              <w:pStyle w:val="TableParagraph"/>
              <w:spacing w:before="67"/>
              <w:ind w:left="145" w:right="137"/>
              <w:jc w:val="center"/>
              <w:rPr>
                <w:b/>
                <w:sz w:val="20"/>
              </w:rPr>
            </w:pPr>
            <w:r>
              <w:rPr>
                <w:b/>
                <w:sz w:val="20"/>
              </w:rPr>
              <w:t>Unit</w:t>
            </w:r>
          </w:p>
        </w:tc>
        <w:tc>
          <w:tcPr>
            <w:tcW w:w="1277" w:type="dxa"/>
            <w:shd w:val="clear" w:color="auto" w:fill="FBD4B4"/>
          </w:tcPr>
          <w:p w:rsidR="007C5447" w:rsidRDefault="00F6308C">
            <w:pPr>
              <w:pStyle w:val="TableParagraph"/>
              <w:spacing w:before="115" w:line="227" w:lineRule="exact"/>
              <w:ind w:right="131"/>
              <w:rPr>
                <w:b/>
                <w:sz w:val="20"/>
              </w:rPr>
            </w:pPr>
            <w:r>
              <w:rPr>
                <w:b/>
                <w:sz w:val="20"/>
              </w:rPr>
              <w:t>FY 2011-12</w:t>
            </w:r>
          </w:p>
        </w:tc>
        <w:tc>
          <w:tcPr>
            <w:tcW w:w="1275" w:type="dxa"/>
            <w:shd w:val="clear" w:color="auto" w:fill="FBD4B4"/>
          </w:tcPr>
          <w:p w:rsidR="007C5447" w:rsidRDefault="00F6308C">
            <w:pPr>
              <w:pStyle w:val="TableParagraph"/>
              <w:spacing w:before="115" w:line="227" w:lineRule="exact"/>
              <w:ind w:right="134"/>
              <w:rPr>
                <w:b/>
                <w:sz w:val="20"/>
              </w:rPr>
            </w:pPr>
            <w:r>
              <w:rPr>
                <w:b/>
                <w:sz w:val="20"/>
              </w:rPr>
              <w:t>FY 2012-13</w:t>
            </w:r>
          </w:p>
        </w:tc>
        <w:tc>
          <w:tcPr>
            <w:tcW w:w="1419" w:type="dxa"/>
            <w:shd w:val="clear" w:color="auto" w:fill="FBD4B4"/>
          </w:tcPr>
          <w:p w:rsidR="007C5447" w:rsidRDefault="00F6308C">
            <w:pPr>
              <w:pStyle w:val="TableParagraph"/>
              <w:spacing w:before="115" w:line="227" w:lineRule="exact"/>
              <w:ind w:left="216"/>
              <w:jc w:val="left"/>
              <w:rPr>
                <w:b/>
                <w:sz w:val="20"/>
              </w:rPr>
            </w:pPr>
            <w:r>
              <w:rPr>
                <w:b/>
                <w:sz w:val="20"/>
              </w:rPr>
              <w:t>FY 2013-14</w:t>
            </w:r>
          </w:p>
        </w:tc>
        <w:tc>
          <w:tcPr>
            <w:tcW w:w="1417" w:type="dxa"/>
            <w:shd w:val="clear" w:color="auto" w:fill="FBD4B4"/>
          </w:tcPr>
          <w:p w:rsidR="007C5447" w:rsidRDefault="00F6308C">
            <w:pPr>
              <w:pStyle w:val="TableParagraph"/>
              <w:spacing w:before="115" w:line="227" w:lineRule="exact"/>
              <w:ind w:left="215"/>
              <w:jc w:val="left"/>
              <w:rPr>
                <w:b/>
                <w:sz w:val="20"/>
              </w:rPr>
            </w:pPr>
            <w:r>
              <w:rPr>
                <w:b/>
                <w:sz w:val="20"/>
              </w:rPr>
              <w:t>FY 2014-15</w:t>
            </w:r>
          </w:p>
        </w:tc>
        <w:tc>
          <w:tcPr>
            <w:tcW w:w="1419" w:type="dxa"/>
            <w:shd w:val="clear" w:color="auto" w:fill="FBD4B4"/>
          </w:tcPr>
          <w:p w:rsidR="007C5447" w:rsidRDefault="00F6308C">
            <w:pPr>
              <w:pStyle w:val="TableParagraph"/>
              <w:spacing w:before="115" w:line="227" w:lineRule="exact"/>
              <w:ind w:left="215"/>
              <w:jc w:val="left"/>
              <w:rPr>
                <w:b/>
                <w:sz w:val="20"/>
              </w:rPr>
            </w:pPr>
            <w:r>
              <w:rPr>
                <w:b/>
                <w:sz w:val="20"/>
              </w:rPr>
              <w:t>FY 2015-16</w:t>
            </w:r>
          </w:p>
        </w:tc>
      </w:tr>
      <w:tr w:rsidR="007C5447">
        <w:trPr>
          <w:trHeight w:val="359"/>
        </w:trPr>
        <w:tc>
          <w:tcPr>
            <w:tcW w:w="708" w:type="dxa"/>
          </w:tcPr>
          <w:p w:rsidR="007C5447" w:rsidRDefault="00F6308C">
            <w:pPr>
              <w:pStyle w:val="TableParagraph"/>
              <w:spacing w:before="65"/>
              <w:ind w:left="6"/>
              <w:jc w:val="center"/>
              <w:rPr>
                <w:sz w:val="20"/>
              </w:rPr>
            </w:pPr>
            <w:r>
              <w:rPr>
                <w:w w:val="99"/>
                <w:sz w:val="20"/>
              </w:rPr>
              <w:t>1</w:t>
            </w:r>
          </w:p>
        </w:tc>
        <w:tc>
          <w:tcPr>
            <w:tcW w:w="2126" w:type="dxa"/>
          </w:tcPr>
          <w:p w:rsidR="007C5447" w:rsidRDefault="00F6308C">
            <w:pPr>
              <w:pStyle w:val="TableParagraph"/>
              <w:spacing w:before="65"/>
              <w:ind w:left="108"/>
              <w:jc w:val="left"/>
              <w:rPr>
                <w:sz w:val="20"/>
              </w:rPr>
            </w:pPr>
            <w:r>
              <w:rPr>
                <w:sz w:val="20"/>
              </w:rPr>
              <w:t>Total Sales</w:t>
            </w:r>
          </w:p>
        </w:tc>
        <w:tc>
          <w:tcPr>
            <w:tcW w:w="711" w:type="dxa"/>
          </w:tcPr>
          <w:p w:rsidR="007C5447" w:rsidRDefault="00F6308C">
            <w:pPr>
              <w:pStyle w:val="TableParagraph"/>
              <w:spacing w:before="65"/>
              <w:ind w:left="145" w:right="133"/>
              <w:jc w:val="center"/>
              <w:rPr>
                <w:sz w:val="20"/>
              </w:rPr>
            </w:pPr>
            <w:r>
              <w:rPr>
                <w:sz w:val="20"/>
              </w:rPr>
              <w:t>MU</w:t>
            </w:r>
          </w:p>
        </w:tc>
        <w:tc>
          <w:tcPr>
            <w:tcW w:w="1277" w:type="dxa"/>
          </w:tcPr>
          <w:p w:rsidR="007C5447" w:rsidRDefault="00F6308C">
            <w:pPr>
              <w:pStyle w:val="TableParagraph"/>
              <w:spacing w:before="65"/>
              <w:ind w:right="98"/>
              <w:rPr>
                <w:sz w:val="20"/>
              </w:rPr>
            </w:pPr>
            <w:r>
              <w:rPr>
                <w:w w:val="95"/>
                <w:sz w:val="20"/>
              </w:rPr>
              <w:t>53,937.87</w:t>
            </w:r>
          </w:p>
        </w:tc>
        <w:tc>
          <w:tcPr>
            <w:tcW w:w="1275" w:type="dxa"/>
          </w:tcPr>
          <w:p w:rsidR="007C5447" w:rsidRDefault="00F6308C">
            <w:pPr>
              <w:pStyle w:val="TableParagraph"/>
              <w:spacing w:before="65"/>
              <w:ind w:right="101"/>
              <w:rPr>
                <w:sz w:val="20"/>
              </w:rPr>
            </w:pPr>
            <w:r>
              <w:rPr>
                <w:w w:val="95"/>
                <w:sz w:val="20"/>
              </w:rPr>
              <w:t>51,742.99</w:t>
            </w:r>
          </w:p>
        </w:tc>
        <w:tc>
          <w:tcPr>
            <w:tcW w:w="1419" w:type="dxa"/>
          </w:tcPr>
          <w:p w:rsidR="007C5447" w:rsidRDefault="00F6308C">
            <w:pPr>
              <w:pStyle w:val="TableParagraph"/>
              <w:spacing w:before="65"/>
              <w:ind w:right="98"/>
              <w:rPr>
                <w:sz w:val="20"/>
              </w:rPr>
            </w:pPr>
            <w:r>
              <w:rPr>
                <w:w w:val="95"/>
                <w:sz w:val="20"/>
              </w:rPr>
              <w:t>59,119.91</w:t>
            </w:r>
          </w:p>
        </w:tc>
        <w:tc>
          <w:tcPr>
            <w:tcW w:w="1417" w:type="dxa"/>
          </w:tcPr>
          <w:p w:rsidR="007C5447" w:rsidRDefault="00F6308C">
            <w:pPr>
              <w:pStyle w:val="TableParagraph"/>
              <w:spacing w:before="65"/>
              <w:ind w:right="99"/>
              <w:rPr>
                <w:sz w:val="20"/>
              </w:rPr>
            </w:pPr>
            <w:r>
              <w:rPr>
                <w:w w:val="95"/>
                <w:sz w:val="20"/>
              </w:rPr>
              <w:t>64,760.14</w:t>
            </w:r>
          </w:p>
        </w:tc>
        <w:tc>
          <w:tcPr>
            <w:tcW w:w="1419" w:type="dxa"/>
          </w:tcPr>
          <w:p w:rsidR="007C5447" w:rsidRDefault="00F6308C">
            <w:pPr>
              <w:pStyle w:val="TableParagraph"/>
              <w:spacing w:before="65"/>
              <w:ind w:right="99"/>
              <w:rPr>
                <w:sz w:val="20"/>
              </w:rPr>
            </w:pPr>
            <w:r>
              <w:rPr>
                <w:w w:val="95"/>
                <w:sz w:val="20"/>
              </w:rPr>
              <w:t>67,863.00</w:t>
            </w:r>
          </w:p>
        </w:tc>
      </w:tr>
      <w:tr w:rsidR="007C5447">
        <w:trPr>
          <w:trHeight w:val="489"/>
        </w:trPr>
        <w:tc>
          <w:tcPr>
            <w:tcW w:w="708" w:type="dxa"/>
          </w:tcPr>
          <w:p w:rsidR="007C5447" w:rsidRDefault="00F6308C">
            <w:pPr>
              <w:pStyle w:val="TableParagraph"/>
              <w:spacing w:before="130"/>
              <w:ind w:left="6"/>
              <w:jc w:val="center"/>
              <w:rPr>
                <w:sz w:val="20"/>
              </w:rPr>
            </w:pPr>
            <w:r>
              <w:rPr>
                <w:w w:val="99"/>
                <w:sz w:val="20"/>
              </w:rPr>
              <w:t>2</w:t>
            </w:r>
          </w:p>
        </w:tc>
        <w:tc>
          <w:tcPr>
            <w:tcW w:w="2126" w:type="dxa"/>
          </w:tcPr>
          <w:p w:rsidR="007C5447" w:rsidRDefault="00F6308C">
            <w:pPr>
              <w:pStyle w:val="TableParagraph"/>
              <w:spacing w:before="14" w:line="230" w:lineRule="atLeast"/>
              <w:ind w:left="108" w:right="288"/>
              <w:jc w:val="left"/>
              <w:rPr>
                <w:sz w:val="20"/>
              </w:rPr>
            </w:pPr>
            <w:r>
              <w:rPr>
                <w:sz w:val="20"/>
              </w:rPr>
              <w:t>Additional Power for Kadamparai</w:t>
            </w:r>
          </w:p>
        </w:tc>
        <w:tc>
          <w:tcPr>
            <w:tcW w:w="711" w:type="dxa"/>
          </w:tcPr>
          <w:p w:rsidR="007C5447" w:rsidRDefault="00F6308C">
            <w:pPr>
              <w:pStyle w:val="TableParagraph"/>
              <w:spacing w:before="130"/>
              <w:ind w:left="145" w:right="133"/>
              <w:jc w:val="center"/>
              <w:rPr>
                <w:sz w:val="20"/>
              </w:rPr>
            </w:pPr>
            <w:r>
              <w:rPr>
                <w:sz w:val="20"/>
              </w:rPr>
              <w:t>MU</w:t>
            </w:r>
          </w:p>
        </w:tc>
        <w:tc>
          <w:tcPr>
            <w:tcW w:w="1277" w:type="dxa"/>
          </w:tcPr>
          <w:p w:rsidR="007C5447" w:rsidRDefault="00F6308C">
            <w:pPr>
              <w:pStyle w:val="TableParagraph"/>
              <w:spacing w:before="130"/>
              <w:ind w:right="93"/>
              <w:rPr>
                <w:sz w:val="20"/>
              </w:rPr>
            </w:pPr>
            <w:r>
              <w:rPr>
                <w:sz w:val="20"/>
              </w:rPr>
              <w:t>21</w:t>
            </w:r>
          </w:p>
        </w:tc>
        <w:tc>
          <w:tcPr>
            <w:tcW w:w="1275" w:type="dxa"/>
          </w:tcPr>
          <w:p w:rsidR="007C5447" w:rsidRDefault="00F6308C">
            <w:pPr>
              <w:pStyle w:val="TableParagraph"/>
              <w:spacing w:before="130"/>
              <w:ind w:right="95"/>
              <w:rPr>
                <w:sz w:val="20"/>
              </w:rPr>
            </w:pPr>
            <w:r>
              <w:rPr>
                <w:sz w:val="20"/>
              </w:rPr>
              <w:t>33</w:t>
            </w:r>
          </w:p>
        </w:tc>
        <w:tc>
          <w:tcPr>
            <w:tcW w:w="1419" w:type="dxa"/>
          </w:tcPr>
          <w:p w:rsidR="007C5447" w:rsidRDefault="00F6308C">
            <w:pPr>
              <w:pStyle w:val="TableParagraph"/>
              <w:spacing w:before="130"/>
              <w:ind w:right="97"/>
              <w:rPr>
                <w:sz w:val="20"/>
              </w:rPr>
            </w:pPr>
            <w:r>
              <w:rPr>
                <w:w w:val="99"/>
                <w:sz w:val="20"/>
              </w:rPr>
              <w:t>0</w:t>
            </w:r>
          </w:p>
        </w:tc>
        <w:tc>
          <w:tcPr>
            <w:tcW w:w="1417" w:type="dxa"/>
          </w:tcPr>
          <w:p w:rsidR="007C5447" w:rsidRDefault="00F6308C">
            <w:pPr>
              <w:pStyle w:val="TableParagraph"/>
              <w:spacing w:before="130"/>
              <w:ind w:right="99"/>
              <w:rPr>
                <w:sz w:val="20"/>
              </w:rPr>
            </w:pPr>
            <w:r>
              <w:rPr>
                <w:w w:val="99"/>
                <w:sz w:val="20"/>
              </w:rPr>
              <w:t>9</w:t>
            </w:r>
          </w:p>
        </w:tc>
        <w:tc>
          <w:tcPr>
            <w:tcW w:w="1419" w:type="dxa"/>
          </w:tcPr>
          <w:p w:rsidR="007C5447" w:rsidRDefault="00F6308C">
            <w:pPr>
              <w:pStyle w:val="TableParagraph"/>
              <w:spacing w:before="130"/>
              <w:ind w:right="98"/>
              <w:rPr>
                <w:sz w:val="20"/>
              </w:rPr>
            </w:pPr>
            <w:r>
              <w:rPr>
                <w:w w:val="99"/>
                <w:sz w:val="20"/>
              </w:rPr>
              <w:t>1</w:t>
            </w:r>
          </w:p>
        </w:tc>
      </w:tr>
      <w:tr w:rsidR="007C5447">
        <w:trPr>
          <w:trHeight w:val="359"/>
        </w:trPr>
        <w:tc>
          <w:tcPr>
            <w:tcW w:w="708" w:type="dxa"/>
          </w:tcPr>
          <w:p w:rsidR="007C5447" w:rsidRDefault="00F6308C">
            <w:pPr>
              <w:pStyle w:val="TableParagraph"/>
              <w:spacing w:before="65"/>
              <w:ind w:left="6"/>
              <w:jc w:val="center"/>
              <w:rPr>
                <w:sz w:val="20"/>
              </w:rPr>
            </w:pPr>
            <w:r>
              <w:rPr>
                <w:w w:val="99"/>
                <w:sz w:val="20"/>
              </w:rPr>
              <w:t>3</w:t>
            </w:r>
          </w:p>
        </w:tc>
        <w:tc>
          <w:tcPr>
            <w:tcW w:w="2126" w:type="dxa"/>
          </w:tcPr>
          <w:p w:rsidR="007C5447" w:rsidRDefault="00F6308C">
            <w:pPr>
              <w:pStyle w:val="TableParagraph"/>
              <w:spacing w:before="65"/>
              <w:ind w:left="108"/>
              <w:jc w:val="left"/>
              <w:rPr>
                <w:sz w:val="20"/>
              </w:rPr>
            </w:pPr>
            <w:r>
              <w:rPr>
                <w:sz w:val="20"/>
              </w:rPr>
              <w:t>Total Energy required</w:t>
            </w:r>
          </w:p>
        </w:tc>
        <w:tc>
          <w:tcPr>
            <w:tcW w:w="711" w:type="dxa"/>
          </w:tcPr>
          <w:p w:rsidR="007C5447" w:rsidRDefault="00F6308C">
            <w:pPr>
              <w:pStyle w:val="TableParagraph"/>
              <w:spacing w:before="65"/>
              <w:ind w:left="145" w:right="133"/>
              <w:jc w:val="center"/>
              <w:rPr>
                <w:sz w:val="20"/>
              </w:rPr>
            </w:pPr>
            <w:r>
              <w:rPr>
                <w:sz w:val="20"/>
              </w:rPr>
              <w:t>MU</w:t>
            </w:r>
          </w:p>
        </w:tc>
        <w:tc>
          <w:tcPr>
            <w:tcW w:w="1277" w:type="dxa"/>
          </w:tcPr>
          <w:p w:rsidR="007C5447" w:rsidRDefault="00F6308C">
            <w:pPr>
              <w:pStyle w:val="TableParagraph"/>
              <w:spacing w:before="65"/>
              <w:ind w:right="98"/>
              <w:rPr>
                <w:sz w:val="20"/>
              </w:rPr>
            </w:pPr>
            <w:r>
              <w:rPr>
                <w:w w:val="95"/>
                <w:sz w:val="20"/>
              </w:rPr>
              <w:t>53,958.87</w:t>
            </w:r>
          </w:p>
        </w:tc>
        <w:tc>
          <w:tcPr>
            <w:tcW w:w="1275" w:type="dxa"/>
          </w:tcPr>
          <w:p w:rsidR="007C5447" w:rsidRDefault="00F6308C">
            <w:pPr>
              <w:pStyle w:val="TableParagraph"/>
              <w:spacing w:before="65"/>
              <w:ind w:right="101"/>
              <w:rPr>
                <w:sz w:val="20"/>
              </w:rPr>
            </w:pPr>
            <w:r>
              <w:rPr>
                <w:w w:val="95"/>
                <w:sz w:val="20"/>
              </w:rPr>
              <w:t>51,775.99</w:t>
            </w:r>
          </w:p>
        </w:tc>
        <w:tc>
          <w:tcPr>
            <w:tcW w:w="1419" w:type="dxa"/>
          </w:tcPr>
          <w:p w:rsidR="007C5447" w:rsidRDefault="00F6308C">
            <w:pPr>
              <w:pStyle w:val="TableParagraph"/>
              <w:spacing w:before="65"/>
              <w:ind w:right="98"/>
              <w:rPr>
                <w:sz w:val="20"/>
              </w:rPr>
            </w:pPr>
            <w:r>
              <w:rPr>
                <w:w w:val="95"/>
                <w:sz w:val="20"/>
              </w:rPr>
              <w:t>59,119.91</w:t>
            </w:r>
          </w:p>
        </w:tc>
        <w:tc>
          <w:tcPr>
            <w:tcW w:w="1417" w:type="dxa"/>
          </w:tcPr>
          <w:p w:rsidR="007C5447" w:rsidRDefault="00F6308C">
            <w:pPr>
              <w:pStyle w:val="TableParagraph"/>
              <w:spacing w:before="65"/>
              <w:ind w:right="99"/>
              <w:rPr>
                <w:sz w:val="20"/>
              </w:rPr>
            </w:pPr>
            <w:r>
              <w:rPr>
                <w:w w:val="95"/>
                <w:sz w:val="20"/>
              </w:rPr>
              <w:t>64,769.14</w:t>
            </w:r>
          </w:p>
        </w:tc>
        <w:tc>
          <w:tcPr>
            <w:tcW w:w="1419" w:type="dxa"/>
          </w:tcPr>
          <w:p w:rsidR="007C5447" w:rsidRDefault="00F6308C">
            <w:pPr>
              <w:pStyle w:val="TableParagraph"/>
              <w:spacing w:before="65"/>
              <w:ind w:right="99"/>
              <w:rPr>
                <w:sz w:val="20"/>
              </w:rPr>
            </w:pPr>
            <w:r>
              <w:rPr>
                <w:w w:val="95"/>
                <w:sz w:val="20"/>
              </w:rPr>
              <w:t>67,864.00</w:t>
            </w:r>
          </w:p>
        </w:tc>
      </w:tr>
      <w:tr w:rsidR="007C5447">
        <w:trPr>
          <w:trHeight w:val="359"/>
        </w:trPr>
        <w:tc>
          <w:tcPr>
            <w:tcW w:w="708" w:type="dxa"/>
          </w:tcPr>
          <w:p w:rsidR="007C5447" w:rsidRDefault="00F6308C">
            <w:pPr>
              <w:pStyle w:val="TableParagraph"/>
              <w:spacing w:before="65"/>
              <w:ind w:left="6"/>
              <w:jc w:val="center"/>
              <w:rPr>
                <w:sz w:val="20"/>
              </w:rPr>
            </w:pPr>
            <w:r>
              <w:rPr>
                <w:w w:val="99"/>
                <w:sz w:val="20"/>
              </w:rPr>
              <w:t>4</w:t>
            </w:r>
          </w:p>
        </w:tc>
        <w:tc>
          <w:tcPr>
            <w:tcW w:w="2126" w:type="dxa"/>
          </w:tcPr>
          <w:p w:rsidR="007C5447" w:rsidRDefault="00F6308C">
            <w:pPr>
              <w:pStyle w:val="TableParagraph"/>
              <w:spacing w:before="65"/>
              <w:ind w:left="108"/>
              <w:jc w:val="left"/>
              <w:rPr>
                <w:sz w:val="20"/>
              </w:rPr>
            </w:pPr>
            <w:r>
              <w:rPr>
                <w:sz w:val="20"/>
              </w:rPr>
              <w:t>T&amp;D losses</w:t>
            </w:r>
          </w:p>
        </w:tc>
        <w:tc>
          <w:tcPr>
            <w:tcW w:w="711" w:type="dxa"/>
          </w:tcPr>
          <w:p w:rsidR="007C5447" w:rsidRDefault="00F6308C">
            <w:pPr>
              <w:pStyle w:val="TableParagraph"/>
              <w:spacing w:before="65"/>
              <w:ind w:left="9"/>
              <w:jc w:val="center"/>
              <w:rPr>
                <w:sz w:val="20"/>
              </w:rPr>
            </w:pPr>
            <w:r>
              <w:rPr>
                <w:w w:val="99"/>
                <w:sz w:val="20"/>
              </w:rPr>
              <w:t>%</w:t>
            </w:r>
          </w:p>
        </w:tc>
        <w:tc>
          <w:tcPr>
            <w:tcW w:w="1277" w:type="dxa"/>
          </w:tcPr>
          <w:p w:rsidR="007C5447" w:rsidRDefault="00F6308C">
            <w:pPr>
              <w:pStyle w:val="TableParagraph"/>
              <w:spacing w:before="65"/>
              <w:ind w:right="93"/>
              <w:rPr>
                <w:sz w:val="20"/>
              </w:rPr>
            </w:pPr>
            <w:r>
              <w:rPr>
                <w:sz w:val="20"/>
              </w:rPr>
              <w:t>17.20%</w:t>
            </w:r>
          </w:p>
        </w:tc>
        <w:tc>
          <w:tcPr>
            <w:tcW w:w="1275" w:type="dxa"/>
          </w:tcPr>
          <w:p w:rsidR="007C5447" w:rsidRDefault="00F6308C">
            <w:pPr>
              <w:pStyle w:val="TableParagraph"/>
              <w:spacing w:before="65"/>
              <w:ind w:right="96"/>
              <w:rPr>
                <w:sz w:val="20"/>
              </w:rPr>
            </w:pPr>
            <w:r>
              <w:rPr>
                <w:sz w:val="20"/>
              </w:rPr>
              <w:t>16.80%</w:t>
            </w:r>
          </w:p>
        </w:tc>
        <w:tc>
          <w:tcPr>
            <w:tcW w:w="1419" w:type="dxa"/>
          </w:tcPr>
          <w:p w:rsidR="007C5447" w:rsidRDefault="00F6308C">
            <w:pPr>
              <w:pStyle w:val="TableParagraph"/>
              <w:spacing w:before="65"/>
              <w:ind w:right="94"/>
              <w:rPr>
                <w:sz w:val="20"/>
              </w:rPr>
            </w:pPr>
            <w:r>
              <w:rPr>
                <w:sz w:val="20"/>
              </w:rPr>
              <w:t>16.40%</w:t>
            </w:r>
          </w:p>
        </w:tc>
        <w:tc>
          <w:tcPr>
            <w:tcW w:w="1417" w:type="dxa"/>
          </w:tcPr>
          <w:p w:rsidR="007C5447" w:rsidRDefault="00F6308C">
            <w:pPr>
              <w:pStyle w:val="TableParagraph"/>
              <w:spacing w:before="65"/>
              <w:ind w:right="95"/>
              <w:rPr>
                <w:sz w:val="20"/>
              </w:rPr>
            </w:pPr>
            <w:r>
              <w:rPr>
                <w:sz w:val="20"/>
              </w:rPr>
              <w:t>16.00%</w:t>
            </w:r>
          </w:p>
        </w:tc>
        <w:tc>
          <w:tcPr>
            <w:tcW w:w="1419" w:type="dxa"/>
          </w:tcPr>
          <w:p w:rsidR="007C5447" w:rsidRDefault="00F6308C">
            <w:pPr>
              <w:pStyle w:val="TableParagraph"/>
              <w:spacing w:before="65"/>
              <w:ind w:right="95"/>
              <w:rPr>
                <w:sz w:val="20"/>
              </w:rPr>
            </w:pPr>
            <w:r>
              <w:rPr>
                <w:sz w:val="20"/>
              </w:rPr>
              <w:t>15.60%</w:t>
            </w:r>
          </w:p>
        </w:tc>
      </w:tr>
      <w:tr w:rsidR="007C5447">
        <w:trPr>
          <w:trHeight w:val="345"/>
        </w:trPr>
        <w:tc>
          <w:tcPr>
            <w:tcW w:w="708" w:type="dxa"/>
          </w:tcPr>
          <w:p w:rsidR="007C5447" w:rsidRDefault="00F6308C">
            <w:pPr>
              <w:pStyle w:val="TableParagraph"/>
              <w:spacing w:before="58"/>
              <w:ind w:left="6"/>
              <w:jc w:val="center"/>
              <w:rPr>
                <w:sz w:val="20"/>
              </w:rPr>
            </w:pPr>
            <w:r>
              <w:rPr>
                <w:w w:val="99"/>
                <w:sz w:val="20"/>
              </w:rPr>
              <w:t>5</w:t>
            </w:r>
          </w:p>
        </w:tc>
        <w:tc>
          <w:tcPr>
            <w:tcW w:w="2126" w:type="dxa"/>
          </w:tcPr>
          <w:p w:rsidR="007C5447" w:rsidRDefault="00F6308C">
            <w:pPr>
              <w:pStyle w:val="TableParagraph"/>
              <w:spacing w:before="58"/>
              <w:ind w:left="108"/>
              <w:jc w:val="left"/>
              <w:rPr>
                <w:sz w:val="20"/>
              </w:rPr>
            </w:pPr>
            <w:r>
              <w:rPr>
                <w:sz w:val="20"/>
              </w:rPr>
              <w:t>T&amp;D Losses</w:t>
            </w:r>
          </w:p>
        </w:tc>
        <w:tc>
          <w:tcPr>
            <w:tcW w:w="711" w:type="dxa"/>
          </w:tcPr>
          <w:p w:rsidR="007C5447" w:rsidRDefault="00F6308C">
            <w:pPr>
              <w:pStyle w:val="TableParagraph"/>
              <w:spacing w:before="58"/>
              <w:ind w:left="145" w:right="133"/>
              <w:jc w:val="center"/>
              <w:rPr>
                <w:sz w:val="20"/>
              </w:rPr>
            </w:pPr>
            <w:r>
              <w:rPr>
                <w:sz w:val="20"/>
              </w:rPr>
              <w:t>MU</w:t>
            </w:r>
          </w:p>
        </w:tc>
        <w:tc>
          <w:tcPr>
            <w:tcW w:w="1277" w:type="dxa"/>
          </w:tcPr>
          <w:p w:rsidR="007C5447" w:rsidRDefault="00F6308C">
            <w:pPr>
              <w:pStyle w:val="TableParagraph"/>
              <w:spacing w:before="58"/>
              <w:ind w:right="98"/>
              <w:rPr>
                <w:sz w:val="20"/>
              </w:rPr>
            </w:pPr>
            <w:r>
              <w:rPr>
                <w:w w:val="95"/>
                <w:sz w:val="20"/>
              </w:rPr>
              <w:t>11,208.85</w:t>
            </w:r>
          </w:p>
        </w:tc>
        <w:tc>
          <w:tcPr>
            <w:tcW w:w="1275" w:type="dxa"/>
          </w:tcPr>
          <w:p w:rsidR="007C5447" w:rsidRDefault="00F6308C">
            <w:pPr>
              <w:pStyle w:val="TableParagraph"/>
              <w:spacing w:before="58"/>
              <w:ind w:right="101"/>
              <w:rPr>
                <w:sz w:val="20"/>
              </w:rPr>
            </w:pPr>
            <w:r>
              <w:rPr>
                <w:w w:val="95"/>
                <w:sz w:val="20"/>
              </w:rPr>
              <w:t>10,454.77</w:t>
            </w:r>
          </w:p>
        </w:tc>
        <w:tc>
          <w:tcPr>
            <w:tcW w:w="1419" w:type="dxa"/>
          </w:tcPr>
          <w:p w:rsidR="007C5447" w:rsidRDefault="00F6308C">
            <w:pPr>
              <w:pStyle w:val="TableParagraph"/>
              <w:spacing w:before="58"/>
              <w:ind w:right="98"/>
              <w:rPr>
                <w:sz w:val="20"/>
              </w:rPr>
            </w:pPr>
            <w:r>
              <w:rPr>
                <w:w w:val="95"/>
                <w:sz w:val="20"/>
              </w:rPr>
              <w:t>11,597.69</w:t>
            </w:r>
          </w:p>
        </w:tc>
        <w:tc>
          <w:tcPr>
            <w:tcW w:w="1417" w:type="dxa"/>
          </w:tcPr>
          <w:p w:rsidR="007C5447" w:rsidRDefault="00F6308C">
            <w:pPr>
              <w:pStyle w:val="TableParagraph"/>
              <w:spacing w:before="58"/>
              <w:ind w:right="99"/>
              <w:rPr>
                <w:sz w:val="20"/>
              </w:rPr>
            </w:pPr>
            <w:r>
              <w:rPr>
                <w:w w:val="95"/>
                <w:sz w:val="20"/>
              </w:rPr>
              <w:t>12,336.98</w:t>
            </w:r>
          </w:p>
        </w:tc>
        <w:tc>
          <w:tcPr>
            <w:tcW w:w="1419" w:type="dxa"/>
          </w:tcPr>
          <w:p w:rsidR="007C5447" w:rsidRDefault="00F6308C">
            <w:pPr>
              <w:pStyle w:val="TableParagraph"/>
              <w:spacing w:before="58"/>
              <w:ind w:right="99"/>
              <w:rPr>
                <w:sz w:val="20"/>
              </w:rPr>
            </w:pPr>
            <w:r>
              <w:rPr>
                <w:w w:val="95"/>
                <w:sz w:val="20"/>
              </w:rPr>
              <w:t>12,543.58</w:t>
            </w:r>
          </w:p>
        </w:tc>
      </w:tr>
      <w:tr w:rsidR="007C5447">
        <w:trPr>
          <w:trHeight w:val="491"/>
        </w:trPr>
        <w:tc>
          <w:tcPr>
            <w:tcW w:w="708" w:type="dxa"/>
          </w:tcPr>
          <w:p w:rsidR="007C5447" w:rsidRDefault="00F6308C">
            <w:pPr>
              <w:pStyle w:val="TableParagraph"/>
              <w:spacing w:before="132"/>
              <w:ind w:left="6"/>
              <w:jc w:val="center"/>
              <w:rPr>
                <w:sz w:val="20"/>
              </w:rPr>
            </w:pPr>
            <w:r>
              <w:rPr>
                <w:w w:val="99"/>
                <w:sz w:val="20"/>
              </w:rPr>
              <w:t>6</w:t>
            </w:r>
          </w:p>
        </w:tc>
        <w:tc>
          <w:tcPr>
            <w:tcW w:w="2126" w:type="dxa"/>
          </w:tcPr>
          <w:p w:rsidR="007C5447" w:rsidRDefault="00F6308C">
            <w:pPr>
              <w:pStyle w:val="TableParagraph"/>
              <w:spacing w:before="21" w:line="228" w:lineRule="exact"/>
              <w:ind w:left="108"/>
              <w:jc w:val="left"/>
              <w:rPr>
                <w:b/>
                <w:sz w:val="20"/>
              </w:rPr>
            </w:pPr>
            <w:r>
              <w:rPr>
                <w:b/>
                <w:sz w:val="20"/>
              </w:rPr>
              <w:t>Energy required at State boundary</w:t>
            </w:r>
          </w:p>
        </w:tc>
        <w:tc>
          <w:tcPr>
            <w:tcW w:w="711" w:type="dxa"/>
          </w:tcPr>
          <w:p w:rsidR="007C5447" w:rsidRDefault="00F6308C">
            <w:pPr>
              <w:pStyle w:val="TableParagraph"/>
              <w:spacing w:before="132"/>
              <w:ind w:left="145" w:right="130"/>
              <w:jc w:val="center"/>
              <w:rPr>
                <w:b/>
                <w:sz w:val="20"/>
              </w:rPr>
            </w:pPr>
            <w:r>
              <w:rPr>
                <w:b/>
                <w:sz w:val="20"/>
              </w:rPr>
              <w:t>MU</w:t>
            </w:r>
          </w:p>
        </w:tc>
        <w:tc>
          <w:tcPr>
            <w:tcW w:w="1277" w:type="dxa"/>
          </w:tcPr>
          <w:p w:rsidR="007C5447" w:rsidRDefault="00F6308C">
            <w:pPr>
              <w:pStyle w:val="TableParagraph"/>
              <w:spacing w:before="132"/>
              <w:ind w:right="98"/>
              <w:rPr>
                <w:b/>
                <w:sz w:val="20"/>
              </w:rPr>
            </w:pPr>
            <w:r>
              <w:rPr>
                <w:b/>
                <w:w w:val="95"/>
                <w:sz w:val="20"/>
              </w:rPr>
              <w:t>65,167.72</w:t>
            </w:r>
          </w:p>
        </w:tc>
        <w:tc>
          <w:tcPr>
            <w:tcW w:w="1275" w:type="dxa"/>
          </w:tcPr>
          <w:p w:rsidR="007C5447" w:rsidRDefault="00F6308C">
            <w:pPr>
              <w:pStyle w:val="TableParagraph"/>
              <w:spacing w:before="132"/>
              <w:ind w:right="101"/>
              <w:rPr>
                <w:b/>
                <w:sz w:val="20"/>
              </w:rPr>
            </w:pPr>
            <w:r>
              <w:rPr>
                <w:b/>
                <w:w w:val="95"/>
                <w:sz w:val="20"/>
              </w:rPr>
              <w:t>62,230.75</w:t>
            </w:r>
          </w:p>
        </w:tc>
        <w:tc>
          <w:tcPr>
            <w:tcW w:w="1419" w:type="dxa"/>
          </w:tcPr>
          <w:p w:rsidR="007C5447" w:rsidRDefault="00F6308C">
            <w:pPr>
              <w:pStyle w:val="TableParagraph"/>
              <w:spacing w:before="132"/>
              <w:ind w:right="98"/>
              <w:rPr>
                <w:b/>
                <w:sz w:val="20"/>
              </w:rPr>
            </w:pPr>
            <w:r>
              <w:rPr>
                <w:b/>
                <w:w w:val="95"/>
                <w:sz w:val="20"/>
              </w:rPr>
              <w:t>70,717.59</w:t>
            </w:r>
          </w:p>
        </w:tc>
        <w:tc>
          <w:tcPr>
            <w:tcW w:w="1417" w:type="dxa"/>
          </w:tcPr>
          <w:p w:rsidR="007C5447" w:rsidRDefault="00F6308C">
            <w:pPr>
              <w:pStyle w:val="TableParagraph"/>
              <w:spacing w:before="132"/>
              <w:ind w:right="99"/>
              <w:rPr>
                <w:b/>
                <w:sz w:val="20"/>
              </w:rPr>
            </w:pPr>
            <w:r>
              <w:rPr>
                <w:b/>
                <w:w w:val="95"/>
                <w:sz w:val="20"/>
              </w:rPr>
              <w:t>77,106.12</w:t>
            </w:r>
          </w:p>
        </w:tc>
        <w:tc>
          <w:tcPr>
            <w:tcW w:w="1419" w:type="dxa"/>
          </w:tcPr>
          <w:p w:rsidR="007C5447" w:rsidRDefault="00F6308C">
            <w:pPr>
              <w:pStyle w:val="TableParagraph"/>
              <w:spacing w:before="132"/>
              <w:ind w:right="99"/>
              <w:rPr>
                <w:b/>
                <w:sz w:val="20"/>
              </w:rPr>
            </w:pPr>
            <w:r>
              <w:rPr>
                <w:b/>
                <w:w w:val="95"/>
                <w:sz w:val="20"/>
              </w:rPr>
              <w:t>80,407.58</w:t>
            </w:r>
          </w:p>
        </w:tc>
      </w:tr>
      <w:tr w:rsidR="007C5447">
        <w:trPr>
          <w:trHeight w:val="720"/>
        </w:trPr>
        <w:tc>
          <w:tcPr>
            <w:tcW w:w="708" w:type="dxa"/>
          </w:tcPr>
          <w:p w:rsidR="007C5447" w:rsidRDefault="007C5447">
            <w:pPr>
              <w:pStyle w:val="TableParagraph"/>
              <w:spacing w:before="4"/>
              <w:jc w:val="left"/>
              <w:rPr>
                <w:b/>
                <w:sz w:val="21"/>
              </w:rPr>
            </w:pPr>
          </w:p>
          <w:p w:rsidR="007C5447" w:rsidRDefault="00F6308C">
            <w:pPr>
              <w:pStyle w:val="TableParagraph"/>
              <w:ind w:left="6"/>
              <w:jc w:val="center"/>
              <w:rPr>
                <w:sz w:val="20"/>
              </w:rPr>
            </w:pPr>
            <w:r>
              <w:rPr>
                <w:w w:val="99"/>
                <w:sz w:val="20"/>
              </w:rPr>
              <w:t>7</w:t>
            </w:r>
          </w:p>
        </w:tc>
        <w:tc>
          <w:tcPr>
            <w:tcW w:w="2126" w:type="dxa"/>
          </w:tcPr>
          <w:p w:rsidR="007C5447" w:rsidRDefault="00F6308C">
            <w:pPr>
              <w:pStyle w:val="TableParagraph"/>
              <w:spacing w:before="14"/>
              <w:ind w:left="108"/>
              <w:jc w:val="left"/>
              <w:rPr>
                <w:sz w:val="20"/>
              </w:rPr>
            </w:pPr>
            <w:r>
              <w:rPr>
                <w:sz w:val="20"/>
              </w:rPr>
              <w:t>PGCIL Losses [only on</w:t>
            </w:r>
          </w:p>
          <w:p w:rsidR="007C5447" w:rsidRDefault="00F6308C">
            <w:pPr>
              <w:pStyle w:val="TableParagraph"/>
              <w:spacing w:before="1" w:line="230" w:lineRule="atLeast"/>
              <w:ind w:left="108"/>
              <w:jc w:val="left"/>
              <w:rPr>
                <w:sz w:val="20"/>
              </w:rPr>
            </w:pPr>
            <w:r>
              <w:rPr>
                <w:sz w:val="20"/>
              </w:rPr>
              <w:t>inter-State purchase quantum]</w:t>
            </w:r>
          </w:p>
        </w:tc>
        <w:tc>
          <w:tcPr>
            <w:tcW w:w="711" w:type="dxa"/>
          </w:tcPr>
          <w:p w:rsidR="007C5447" w:rsidRDefault="007C5447">
            <w:pPr>
              <w:pStyle w:val="TableParagraph"/>
              <w:spacing w:before="4"/>
              <w:jc w:val="left"/>
              <w:rPr>
                <w:b/>
                <w:sz w:val="21"/>
              </w:rPr>
            </w:pPr>
          </w:p>
          <w:p w:rsidR="007C5447" w:rsidRDefault="00F6308C">
            <w:pPr>
              <w:pStyle w:val="TableParagraph"/>
              <w:ind w:left="9"/>
              <w:jc w:val="center"/>
              <w:rPr>
                <w:sz w:val="20"/>
              </w:rPr>
            </w:pPr>
            <w:r>
              <w:rPr>
                <w:w w:val="99"/>
                <w:sz w:val="20"/>
              </w:rPr>
              <w:t>%</w:t>
            </w:r>
          </w:p>
        </w:tc>
        <w:tc>
          <w:tcPr>
            <w:tcW w:w="1277" w:type="dxa"/>
          </w:tcPr>
          <w:p w:rsidR="007C5447" w:rsidRDefault="007C5447">
            <w:pPr>
              <w:pStyle w:val="TableParagraph"/>
              <w:spacing w:before="4"/>
              <w:jc w:val="left"/>
              <w:rPr>
                <w:b/>
                <w:sz w:val="21"/>
              </w:rPr>
            </w:pPr>
          </w:p>
          <w:p w:rsidR="007C5447" w:rsidRDefault="00F6308C">
            <w:pPr>
              <w:pStyle w:val="TableParagraph"/>
              <w:ind w:right="93"/>
              <w:rPr>
                <w:sz w:val="20"/>
              </w:rPr>
            </w:pPr>
            <w:r>
              <w:rPr>
                <w:sz w:val="20"/>
              </w:rPr>
              <w:t>4.88%</w:t>
            </w:r>
          </w:p>
        </w:tc>
        <w:tc>
          <w:tcPr>
            <w:tcW w:w="1275" w:type="dxa"/>
          </w:tcPr>
          <w:p w:rsidR="007C5447" w:rsidRDefault="007C5447">
            <w:pPr>
              <w:pStyle w:val="TableParagraph"/>
              <w:spacing w:before="4"/>
              <w:jc w:val="left"/>
              <w:rPr>
                <w:b/>
                <w:sz w:val="21"/>
              </w:rPr>
            </w:pPr>
          </w:p>
          <w:p w:rsidR="007C5447" w:rsidRDefault="00F6308C">
            <w:pPr>
              <w:pStyle w:val="TableParagraph"/>
              <w:ind w:right="96"/>
              <w:rPr>
                <w:sz w:val="20"/>
              </w:rPr>
            </w:pPr>
            <w:r>
              <w:rPr>
                <w:sz w:val="20"/>
              </w:rPr>
              <w:t>4.35%</w:t>
            </w:r>
          </w:p>
        </w:tc>
        <w:tc>
          <w:tcPr>
            <w:tcW w:w="1419" w:type="dxa"/>
          </w:tcPr>
          <w:p w:rsidR="007C5447" w:rsidRDefault="007C5447">
            <w:pPr>
              <w:pStyle w:val="TableParagraph"/>
              <w:spacing w:before="4"/>
              <w:jc w:val="left"/>
              <w:rPr>
                <w:b/>
                <w:sz w:val="21"/>
              </w:rPr>
            </w:pPr>
          </w:p>
          <w:p w:rsidR="007C5447" w:rsidRDefault="00F6308C">
            <w:pPr>
              <w:pStyle w:val="TableParagraph"/>
              <w:ind w:right="94"/>
              <w:rPr>
                <w:sz w:val="20"/>
              </w:rPr>
            </w:pPr>
            <w:r>
              <w:rPr>
                <w:sz w:val="20"/>
              </w:rPr>
              <w:t>3.98%</w:t>
            </w:r>
          </w:p>
        </w:tc>
        <w:tc>
          <w:tcPr>
            <w:tcW w:w="1417" w:type="dxa"/>
          </w:tcPr>
          <w:p w:rsidR="007C5447" w:rsidRDefault="007C5447">
            <w:pPr>
              <w:pStyle w:val="TableParagraph"/>
              <w:spacing w:before="4"/>
              <w:jc w:val="left"/>
              <w:rPr>
                <w:b/>
                <w:sz w:val="21"/>
              </w:rPr>
            </w:pPr>
          </w:p>
          <w:p w:rsidR="007C5447" w:rsidRDefault="00F6308C">
            <w:pPr>
              <w:pStyle w:val="TableParagraph"/>
              <w:ind w:right="94"/>
              <w:rPr>
                <w:sz w:val="20"/>
              </w:rPr>
            </w:pPr>
            <w:r>
              <w:rPr>
                <w:sz w:val="20"/>
              </w:rPr>
              <w:t>3.57%</w:t>
            </w:r>
          </w:p>
        </w:tc>
        <w:tc>
          <w:tcPr>
            <w:tcW w:w="1419" w:type="dxa"/>
          </w:tcPr>
          <w:p w:rsidR="007C5447" w:rsidRDefault="007C5447">
            <w:pPr>
              <w:pStyle w:val="TableParagraph"/>
              <w:spacing w:before="4"/>
              <w:jc w:val="left"/>
              <w:rPr>
                <w:b/>
                <w:sz w:val="21"/>
              </w:rPr>
            </w:pPr>
          </w:p>
          <w:p w:rsidR="007C5447" w:rsidRDefault="00F6308C">
            <w:pPr>
              <w:pStyle w:val="TableParagraph"/>
              <w:ind w:right="95"/>
              <w:rPr>
                <w:sz w:val="20"/>
              </w:rPr>
            </w:pPr>
            <w:r>
              <w:rPr>
                <w:sz w:val="20"/>
              </w:rPr>
              <w:t>3.04%</w:t>
            </w:r>
          </w:p>
        </w:tc>
      </w:tr>
      <w:tr w:rsidR="007C5447">
        <w:trPr>
          <w:trHeight w:val="719"/>
        </w:trPr>
        <w:tc>
          <w:tcPr>
            <w:tcW w:w="708" w:type="dxa"/>
          </w:tcPr>
          <w:p w:rsidR="007C5447" w:rsidRDefault="007C5447">
            <w:pPr>
              <w:pStyle w:val="TableParagraph"/>
              <w:spacing w:before="3"/>
              <w:jc w:val="left"/>
              <w:rPr>
                <w:b/>
                <w:sz w:val="21"/>
              </w:rPr>
            </w:pPr>
          </w:p>
          <w:p w:rsidR="007C5447" w:rsidRDefault="00F6308C">
            <w:pPr>
              <w:pStyle w:val="TableParagraph"/>
              <w:ind w:left="6"/>
              <w:jc w:val="center"/>
              <w:rPr>
                <w:sz w:val="20"/>
              </w:rPr>
            </w:pPr>
            <w:r>
              <w:rPr>
                <w:w w:val="99"/>
                <w:sz w:val="20"/>
              </w:rPr>
              <w:t>8</w:t>
            </w:r>
          </w:p>
        </w:tc>
        <w:tc>
          <w:tcPr>
            <w:tcW w:w="2126" w:type="dxa"/>
          </w:tcPr>
          <w:p w:rsidR="007C5447" w:rsidRDefault="00F6308C">
            <w:pPr>
              <w:pStyle w:val="TableParagraph"/>
              <w:spacing w:before="14" w:line="230" w:lineRule="atLeast"/>
              <w:ind w:left="108" w:right="74"/>
              <w:jc w:val="left"/>
              <w:rPr>
                <w:sz w:val="20"/>
              </w:rPr>
            </w:pPr>
            <w:r>
              <w:rPr>
                <w:sz w:val="20"/>
              </w:rPr>
              <w:t>PGCIL Losses [only on inter-State purchase quantum]</w:t>
            </w:r>
          </w:p>
        </w:tc>
        <w:tc>
          <w:tcPr>
            <w:tcW w:w="711" w:type="dxa"/>
          </w:tcPr>
          <w:p w:rsidR="007C5447" w:rsidRDefault="007C5447">
            <w:pPr>
              <w:pStyle w:val="TableParagraph"/>
              <w:spacing w:before="3"/>
              <w:jc w:val="left"/>
              <w:rPr>
                <w:b/>
                <w:sz w:val="21"/>
              </w:rPr>
            </w:pPr>
          </w:p>
          <w:p w:rsidR="007C5447" w:rsidRDefault="00F6308C">
            <w:pPr>
              <w:pStyle w:val="TableParagraph"/>
              <w:ind w:left="145" w:right="133"/>
              <w:jc w:val="center"/>
              <w:rPr>
                <w:sz w:val="20"/>
              </w:rPr>
            </w:pPr>
            <w:r>
              <w:rPr>
                <w:sz w:val="20"/>
              </w:rPr>
              <w:t>MU</w:t>
            </w:r>
          </w:p>
        </w:tc>
        <w:tc>
          <w:tcPr>
            <w:tcW w:w="1277" w:type="dxa"/>
          </w:tcPr>
          <w:p w:rsidR="007C5447" w:rsidRDefault="007C5447">
            <w:pPr>
              <w:pStyle w:val="TableParagraph"/>
              <w:spacing w:before="3"/>
              <w:jc w:val="left"/>
              <w:rPr>
                <w:b/>
                <w:sz w:val="21"/>
              </w:rPr>
            </w:pPr>
          </w:p>
          <w:p w:rsidR="007C5447" w:rsidRDefault="00F6308C">
            <w:pPr>
              <w:pStyle w:val="TableParagraph"/>
              <w:ind w:right="94"/>
              <w:rPr>
                <w:sz w:val="20"/>
              </w:rPr>
            </w:pPr>
            <w:r>
              <w:rPr>
                <w:sz w:val="20"/>
              </w:rPr>
              <w:t>1,440.99</w:t>
            </w:r>
          </w:p>
        </w:tc>
        <w:tc>
          <w:tcPr>
            <w:tcW w:w="1275" w:type="dxa"/>
          </w:tcPr>
          <w:p w:rsidR="007C5447" w:rsidRDefault="007C5447">
            <w:pPr>
              <w:pStyle w:val="TableParagraph"/>
              <w:spacing w:before="3"/>
              <w:jc w:val="left"/>
              <w:rPr>
                <w:b/>
                <w:sz w:val="21"/>
              </w:rPr>
            </w:pPr>
          </w:p>
          <w:p w:rsidR="007C5447" w:rsidRDefault="00F6308C">
            <w:pPr>
              <w:pStyle w:val="TableParagraph"/>
              <w:ind w:right="98"/>
              <w:rPr>
                <w:sz w:val="20"/>
              </w:rPr>
            </w:pPr>
            <w:r>
              <w:rPr>
                <w:w w:val="95"/>
                <w:sz w:val="20"/>
              </w:rPr>
              <w:t>1,239.81</w:t>
            </w:r>
          </w:p>
        </w:tc>
        <w:tc>
          <w:tcPr>
            <w:tcW w:w="1419" w:type="dxa"/>
          </w:tcPr>
          <w:p w:rsidR="007C5447" w:rsidRDefault="007C5447">
            <w:pPr>
              <w:pStyle w:val="TableParagraph"/>
              <w:spacing w:before="3"/>
              <w:jc w:val="left"/>
              <w:rPr>
                <w:b/>
                <w:sz w:val="21"/>
              </w:rPr>
            </w:pPr>
          </w:p>
          <w:p w:rsidR="007C5447" w:rsidRDefault="00F6308C">
            <w:pPr>
              <w:pStyle w:val="TableParagraph"/>
              <w:ind w:right="96"/>
              <w:rPr>
                <w:sz w:val="20"/>
              </w:rPr>
            </w:pPr>
            <w:r>
              <w:rPr>
                <w:w w:val="95"/>
                <w:sz w:val="20"/>
              </w:rPr>
              <w:t>1,399.02</w:t>
            </w:r>
          </w:p>
        </w:tc>
        <w:tc>
          <w:tcPr>
            <w:tcW w:w="1417" w:type="dxa"/>
          </w:tcPr>
          <w:p w:rsidR="007C5447" w:rsidRDefault="007C5447">
            <w:pPr>
              <w:pStyle w:val="TableParagraph"/>
              <w:spacing w:before="3"/>
              <w:jc w:val="left"/>
              <w:rPr>
                <w:b/>
                <w:sz w:val="21"/>
              </w:rPr>
            </w:pPr>
          </w:p>
          <w:p w:rsidR="007C5447" w:rsidRDefault="00F6308C">
            <w:pPr>
              <w:pStyle w:val="TableParagraph"/>
              <w:ind w:right="96"/>
              <w:rPr>
                <w:sz w:val="20"/>
              </w:rPr>
            </w:pPr>
            <w:r>
              <w:rPr>
                <w:w w:val="95"/>
                <w:sz w:val="20"/>
              </w:rPr>
              <w:t>1,453.67</w:t>
            </w:r>
          </w:p>
        </w:tc>
        <w:tc>
          <w:tcPr>
            <w:tcW w:w="1419" w:type="dxa"/>
          </w:tcPr>
          <w:p w:rsidR="007C5447" w:rsidRDefault="007C5447">
            <w:pPr>
              <w:pStyle w:val="TableParagraph"/>
              <w:spacing w:before="3"/>
              <w:jc w:val="left"/>
              <w:rPr>
                <w:b/>
                <w:sz w:val="21"/>
              </w:rPr>
            </w:pPr>
          </w:p>
          <w:p w:rsidR="007C5447" w:rsidRDefault="00F6308C">
            <w:pPr>
              <w:pStyle w:val="TableParagraph"/>
              <w:ind w:right="97"/>
              <w:rPr>
                <w:sz w:val="20"/>
              </w:rPr>
            </w:pPr>
            <w:r>
              <w:rPr>
                <w:w w:val="95"/>
                <w:sz w:val="20"/>
              </w:rPr>
              <w:t>1,471.49</w:t>
            </w:r>
          </w:p>
        </w:tc>
      </w:tr>
      <w:tr w:rsidR="007C5447">
        <w:trPr>
          <w:trHeight w:val="489"/>
        </w:trPr>
        <w:tc>
          <w:tcPr>
            <w:tcW w:w="708" w:type="dxa"/>
          </w:tcPr>
          <w:p w:rsidR="007C5447" w:rsidRDefault="00F6308C">
            <w:pPr>
              <w:pStyle w:val="TableParagraph"/>
              <w:spacing w:before="130"/>
              <w:ind w:left="6"/>
              <w:jc w:val="center"/>
              <w:rPr>
                <w:sz w:val="20"/>
              </w:rPr>
            </w:pPr>
            <w:r>
              <w:rPr>
                <w:w w:val="99"/>
                <w:sz w:val="20"/>
              </w:rPr>
              <w:t>9</w:t>
            </w:r>
          </w:p>
        </w:tc>
        <w:tc>
          <w:tcPr>
            <w:tcW w:w="2126" w:type="dxa"/>
          </w:tcPr>
          <w:p w:rsidR="007C5447" w:rsidRDefault="00F6308C">
            <w:pPr>
              <w:pStyle w:val="TableParagraph"/>
              <w:spacing w:before="14" w:line="230" w:lineRule="atLeast"/>
              <w:ind w:left="108" w:right="605"/>
              <w:jc w:val="left"/>
              <w:rPr>
                <w:b/>
                <w:sz w:val="20"/>
              </w:rPr>
            </w:pPr>
            <w:r>
              <w:rPr>
                <w:b/>
                <w:sz w:val="20"/>
              </w:rPr>
              <w:t>Power Purchase Requirement</w:t>
            </w:r>
          </w:p>
        </w:tc>
        <w:tc>
          <w:tcPr>
            <w:tcW w:w="711" w:type="dxa"/>
          </w:tcPr>
          <w:p w:rsidR="007C5447" w:rsidRDefault="00F6308C">
            <w:pPr>
              <w:pStyle w:val="TableParagraph"/>
              <w:spacing w:before="130"/>
              <w:ind w:left="145" w:right="130"/>
              <w:jc w:val="center"/>
              <w:rPr>
                <w:b/>
                <w:sz w:val="20"/>
              </w:rPr>
            </w:pPr>
            <w:r>
              <w:rPr>
                <w:b/>
                <w:sz w:val="20"/>
              </w:rPr>
              <w:t>MU</w:t>
            </w:r>
          </w:p>
        </w:tc>
        <w:tc>
          <w:tcPr>
            <w:tcW w:w="1277" w:type="dxa"/>
          </w:tcPr>
          <w:p w:rsidR="007C5447" w:rsidRDefault="00F6308C">
            <w:pPr>
              <w:pStyle w:val="TableParagraph"/>
              <w:spacing w:before="130"/>
              <w:ind w:right="98"/>
              <w:rPr>
                <w:b/>
                <w:sz w:val="20"/>
              </w:rPr>
            </w:pPr>
            <w:r>
              <w:rPr>
                <w:b/>
                <w:w w:val="95"/>
                <w:sz w:val="20"/>
              </w:rPr>
              <w:t>66,608.71</w:t>
            </w:r>
          </w:p>
        </w:tc>
        <w:tc>
          <w:tcPr>
            <w:tcW w:w="1275" w:type="dxa"/>
          </w:tcPr>
          <w:p w:rsidR="007C5447" w:rsidRDefault="00F6308C">
            <w:pPr>
              <w:pStyle w:val="TableParagraph"/>
              <w:spacing w:before="130"/>
              <w:ind w:right="101"/>
              <w:rPr>
                <w:b/>
                <w:sz w:val="20"/>
              </w:rPr>
            </w:pPr>
            <w:r>
              <w:rPr>
                <w:b/>
                <w:w w:val="95"/>
                <w:sz w:val="20"/>
              </w:rPr>
              <w:t>63,470.56</w:t>
            </w:r>
          </w:p>
        </w:tc>
        <w:tc>
          <w:tcPr>
            <w:tcW w:w="1419" w:type="dxa"/>
          </w:tcPr>
          <w:p w:rsidR="007C5447" w:rsidRDefault="00F6308C">
            <w:pPr>
              <w:pStyle w:val="TableParagraph"/>
              <w:spacing w:before="130"/>
              <w:ind w:right="98"/>
              <w:rPr>
                <w:b/>
                <w:sz w:val="20"/>
              </w:rPr>
            </w:pPr>
            <w:r>
              <w:rPr>
                <w:b/>
                <w:w w:val="95"/>
                <w:sz w:val="20"/>
              </w:rPr>
              <w:t>72,116.61</w:t>
            </w:r>
          </w:p>
        </w:tc>
        <w:tc>
          <w:tcPr>
            <w:tcW w:w="1417" w:type="dxa"/>
          </w:tcPr>
          <w:p w:rsidR="007C5447" w:rsidRDefault="00F6308C">
            <w:pPr>
              <w:pStyle w:val="TableParagraph"/>
              <w:spacing w:before="130"/>
              <w:ind w:right="99"/>
              <w:rPr>
                <w:b/>
                <w:sz w:val="20"/>
              </w:rPr>
            </w:pPr>
            <w:r>
              <w:rPr>
                <w:b/>
                <w:w w:val="95"/>
                <w:sz w:val="20"/>
              </w:rPr>
              <w:t>78,559.79</w:t>
            </w:r>
          </w:p>
        </w:tc>
        <w:tc>
          <w:tcPr>
            <w:tcW w:w="1419" w:type="dxa"/>
          </w:tcPr>
          <w:p w:rsidR="007C5447" w:rsidRDefault="00F6308C">
            <w:pPr>
              <w:pStyle w:val="TableParagraph"/>
              <w:spacing w:before="130"/>
              <w:ind w:right="99"/>
              <w:rPr>
                <w:b/>
                <w:sz w:val="20"/>
              </w:rPr>
            </w:pPr>
            <w:r>
              <w:rPr>
                <w:b/>
                <w:w w:val="95"/>
                <w:sz w:val="20"/>
              </w:rPr>
              <w:t>81,879.07</w:t>
            </w:r>
          </w:p>
        </w:tc>
      </w:tr>
    </w:tbl>
    <w:p w:rsidR="007C5447" w:rsidRDefault="00F6308C">
      <w:pPr>
        <w:pStyle w:val="ListParagraph"/>
        <w:numPr>
          <w:ilvl w:val="2"/>
          <w:numId w:val="92"/>
        </w:numPr>
        <w:tabs>
          <w:tab w:val="left" w:pos="1532"/>
          <w:tab w:val="left" w:pos="1533"/>
        </w:tabs>
        <w:spacing w:before="119" w:line="312" w:lineRule="auto"/>
        <w:ind w:right="878"/>
        <w:rPr>
          <w:sz w:val="24"/>
        </w:rPr>
      </w:pPr>
      <w:r>
        <w:rPr>
          <w:sz w:val="24"/>
        </w:rPr>
        <w:t>The Power Purchase allowed by the Commission after true-up for the period from FY 2011-12 to FY 2015-16, is shown in the Table</w:t>
      </w:r>
      <w:r>
        <w:rPr>
          <w:spacing w:val="-1"/>
          <w:sz w:val="24"/>
        </w:rPr>
        <w:t xml:space="preserve"> </w:t>
      </w:r>
      <w:r>
        <w:rPr>
          <w:sz w:val="24"/>
        </w:rPr>
        <w:t>below:</w:t>
      </w:r>
    </w:p>
    <w:p w:rsidR="007C5447" w:rsidRDefault="007C5447">
      <w:pPr>
        <w:spacing w:line="312" w:lineRule="auto"/>
        <w:rPr>
          <w:sz w:val="24"/>
        </w:rPr>
        <w:sectPr w:rsidR="007C5447">
          <w:pgSz w:w="11910" w:h="16840"/>
          <w:pgMar w:top="1360" w:right="560" w:bottom="1240" w:left="760" w:header="0" w:footer="1057" w:gutter="0"/>
          <w:cols w:space="720"/>
        </w:sectPr>
      </w:pPr>
    </w:p>
    <w:p w:rsidR="007C5447" w:rsidRDefault="00F6308C">
      <w:pPr>
        <w:spacing w:before="62" w:line="312" w:lineRule="auto"/>
        <w:ind w:left="4936" w:right="1129" w:hanging="3995"/>
        <w:rPr>
          <w:b/>
        </w:rPr>
      </w:pPr>
      <w:r>
        <w:rPr>
          <w:b/>
        </w:rPr>
        <w:lastRenderedPageBreak/>
        <w:t>Table 3-10: Power Purchase Quantum allowed after true-up for FY 2011-12 to FY 2015-16 (MU)</w:t>
      </w:r>
    </w:p>
    <w:p w:rsidR="007C5447" w:rsidRDefault="007C5447">
      <w:pPr>
        <w:pStyle w:val="BodyText"/>
        <w:spacing w:before="4" w:after="1"/>
        <w:rPr>
          <w:b/>
          <w:sz w:val="10"/>
        </w:rPr>
      </w:pPr>
    </w:p>
    <w:tbl>
      <w:tblPr>
        <w:tblW w:w="0" w:type="auto"/>
        <w:tblInd w:w="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8"/>
        <w:gridCol w:w="2801"/>
        <w:gridCol w:w="808"/>
        <w:gridCol w:w="1046"/>
        <w:gridCol w:w="1046"/>
        <w:gridCol w:w="1046"/>
        <w:gridCol w:w="1049"/>
        <w:gridCol w:w="1046"/>
      </w:tblGrid>
      <w:tr w:rsidR="007C5447">
        <w:trPr>
          <w:trHeight w:val="489"/>
        </w:trPr>
        <w:tc>
          <w:tcPr>
            <w:tcW w:w="398" w:type="dxa"/>
            <w:shd w:val="clear" w:color="auto" w:fill="FBD4B4"/>
          </w:tcPr>
          <w:p w:rsidR="007C5447" w:rsidRDefault="00F6308C">
            <w:pPr>
              <w:pStyle w:val="TableParagraph"/>
              <w:spacing w:before="14"/>
              <w:ind w:left="94" w:right="87"/>
              <w:jc w:val="center"/>
              <w:rPr>
                <w:b/>
                <w:sz w:val="20"/>
              </w:rPr>
            </w:pPr>
            <w:r>
              <w:rPr>
                <w:b/>
                <w:sz w:val="20"/>
              </w:rPr>
              <w:t>Sl</w:t>
            </w:r>
          </w:p>
          <w:p w:rsidR="007C5447" w:rsidRDefault="00F6308C">
            <w:pPr>
              <w:pStyle w:val="TableParagraph"/>
              <w:spacing w:before="1" w:line="224" w:lineRule="exact"/>
              <w:ind w:left="7"/>
              <w:jc w:val="center"/>
              <w:rPr>
                <w:b/>
                <w:sz w:val="20"/>
              </w:rPr>
            </w:pPr>
            <w:r>
              <w:rPr>
                <w:b/>
                <w:w w:val="99"/>
                <w:sz w:val="20"/>
              </w:rPr>
              <w:t>.</w:t>
            </w:r>
          </w:p>
        </w:tc>
        <w:tc>
          <w:tcPr>
            <w:tcW w:w="2801" w:type="dxa"/>
            <w:shd w:val="clear" w:color="auto" w:fill="FBD4B4"/>
          </w:tcPr>
          <w:p w:rsidR="007C5447" w:rsidRDefault="00F6308C">
            <w:pPr>
              <w:pStyle w:val="TableParagraph"/>
              <w:spacing w:before="130"/>
              <w:ind w:left="921"/>
              <w:jc w:val="left"/>
              <w:rPr>
                <w:b/>
                <w:sz w:val="20"/>
              </w:rPr>
            </w:pPr>
            <w:r>
              <w:rPr>
                <w:b/>
                <w:sz w:val="20"/>
              </w:rPr>
              <w:t>Particulars</w:t>
            </w:r>
          </w:p>
        </w:tc>
        <w:tc>
          <w:tcPr>
            <w:tcW w:w="808" w:type="dxa"/>
            <w:shd w:val="clear" w:color="auto" w:fill="FBD4B4"/>
          </w:tcPr>
          <w:p w:rsidR="007C5447" w:rsidRDefault="00F6308C">
            <w:pPr>
              <w:pStyle w:val="TableParagraph"/>
              <w:spacing w:before="14" w:line="230" w:lineRule="atLeast"/>
              <w:ind w:left="346" w:right="116" w:hanging="207"/>
              <w:jc w:val="left"/>
              <w:rPr>
                <w:b/>
                <w:sz w:val="20"/>
              </w:rPr>
            </w:pPr>
            <w:r>
              <w:rPr>
                <w:b/>
                <w:sz w:val="20"/>
              </w:rPr>
              <w:t>Legen</w:t>
            </w:r>
            <w:r>
              <w:rPr>
                <w:b/>
                <w:w w:val="99"/>
                <w:sz w:val="20"/>
              </w:rPr>
              <w:t xml:space="preserve"> </w:t>
            </w:r>
            <w:r>
              <w:rPr>
                <w:b/>
                <w:sz w:val="20"/>
              </w:rPr>
              <w:t>d</w:t>
            </w:r>
          </w:p>
        </w:tc>
        <w:tc>
          <w:tcPr>
            <w:tcW w:w="1046" w:type="dxa"/>
            <w:shd w:val="clear" w:color="auto" w:fill="FBD4B4"/>
          </w:tcPr>
          <w:p w:rsidR="007C5447" w:rsidRDefault="00F6308C">
            <w:pPr>
              <w:pStyle w:val="TableParagraph"/>
              <w:spacing w:before="14"/>
              <w:ind w:left="111" w:right="97"/>
              <w:jc w:val="center"/>
              <w:rPr>
                <w:b/>
                <w:sz w:val="20"/>
              </w:rPr>
            </w:pPr>
            <w:r>
              <w:rPr>
                <w:b/>
                <w:sz w:val="20"/>
              </w:rPr>
              <w:t>FY 2011-</w:t>
            </w:r>
          </w:p>
          <w:p w:rsidR="007C5447" w:rsidRDefault="00F6308C">
            <w:pPr>
              <w:pStyle w:val="TableParagraph"/>
              <w:spacing w:before="1" w:line="224" w:lineRule="exact"/>
              <w:ind w:left="110" w:right="97"/>
              <w:jc w:val="center"/>
              <w:rPr>
                <w:b/>
                <w:sz w:val="20"/>
              </w:rPr>
            </w:pPr>
            <w:r>
              <w:rPr>
                <w:b/>
                <w:sz w:val="20"/>
              </w:rPr>
              <w:t>12</w:t>
            </w:r>
          </w:p>
        </w:tc>
        <w:tc>
          <w:tcPr>
            <w:tcW w:w="1046" w:type="dxa"/>
            <w:shd w:val="clear" w:color="auto" w:fill="FBD4B4"/>
          </w:tcPr>
          <w:p w:rsidR="007C5447" w:rsidRDefault="00F6308C">
            <w:pPr>
              <w:pStyle w:val="TableParagraph"/>
              <w:spacing w:before="14"/>
              <w:ind w:left="113" w:right="97"/>
              <w:jc w:val="center"/>
              <w:rPr>
                <w:b/>
                <w:sz w:val="20"/>
              </w:rPr>
            </w:pPr>
            <w:r>
              <w:rPr>
                <w:b/>
                <w:sz w:val="20"/>
              </w:rPr>
              <w:t>FY 2012-</w:t>
            </w:r>
          </w:p>
          <w:p w:rsidR="007C5447" w:rsidRDefault="00F6308C">
            <w:pPr>
              <w:pStyle w:val="TableParagraph"/>
              <w:spacing w:before="1" w:line="224" w:lineRule="exact"/>
              <w:ind w:left="111" w:right="97"/>
              <w:jc w:val="center"/>
              <w:rPr>
                <w:b/>
                <w:sz w:val="20"/>
              </w:rPr>
            </w:pPr>
            <w:r>
              <w:rPr>
                <w:b/>
                <w:sz w:val="20"/>
              </w:rPr>
              <w:t>13</w:t>
            </w:r>
          </w:p>
        </w:tc>
        <w:tc>
          <w:tcPr>
            <w:tcW w:w="1046" w:type="dxa"/>
            <w:shd w:val="clear" w:color="auto" w:fill="FBD4B4"/>
          </w:tcPr>
          <w:p w:rsidR="007C5447" w:rsidRDefault="00F6308C">
            <w:pPr>
              <w:pStyle w:val="TableParagraph"/>
              <w:spacing w:before="14"/>
              <w:ind w:left="113" w:right="97"/>
              <w:jc w:val="center"/>
              <w:rPr>
                <w:b/>
                <w:sz w:val="20"/>
              </w:rPr>
            </w:pPr>
            <w:r>
              <w:rPr>
                <w:b/>
                <w:sz w:val="20"/>
              </w:rPr>
              <w:t>FY 2013-</w:t>
            </w:r>
          </w:p>
          <w:p w:rsidR="007C5447" w:rsidRDefault="00F6308C">
            <w:pPr>
              <w:pStyle w:val="TableParagraph"/>
              <w:spacing w:before="1" w:line="224" w:lineRule="exact"/>
              <w:ind w:left="112" w:right="97"/>
              <w:jc w:val="center"/>
              <w:rPr>
                <w:b/>
                <w:sz w:val="20"/>
              </w:rPr>
            </w:pPr>
            <w:r>
              <w:rPr>
                <w:b/>
                <w:sz w:val="20"/>
              </w:rPr>
              <w:t>14</w:t>
            </w:r>
          </w:p>
        </w:tc>
        <w:tc>
          <w:tcPr>
            <w:tcW w:w="1049" w:type="dxa"/>
            <w:shd w:val="clear" w:color="auto" w:fill="FBD4B4"/>
          </w:tcPr>
          <w:p w:rsidR="007C5447" w:rsidRDefault="00F6308C">
            <w:pPr>
              <w:pStyle w:val="TableParagraph"/>
              <w:spacing w:before="14"/>
              <w:ind w:left="115" w:right="100"/>
              <w:jc w:val="center"/>
              <w:rPr>
                <w:b/>
                <w:sz w:val="20"/>
              </w:rPr>
            </w:pPr>
            <w:r>
              <w:rPr>
                <w:b/>
                <w:sz w:val="20"/>
              </w:rPr>
              <w:t>FY 2014-</w:t>
            </w:r>
          </w:p>
          <w:p w:rsidR="007C5447" w:rsidRDefault="00F6308C">
            <w:pPr>
              <w:pStyle w:val="TableParagraph"/>
              <w:spacing w:before="1" w:line="224" w:lineRule="exact"/>
              <w:ind w:left="114" w:right="100"/>
              <w:jc w:val="center"/>
              <w:rPr>
                <w:b/>
                <w:sz w:val="20"/>
              </w:rPr>
            </w:pPr>
            <w:r>
              <w:rPr>
                <w:b/>
                <w:sz w:val="20"/>
              </w:rPr>
              <w:t>15</w:t>
            </w:r>
          </w:p>
        </w:tc>
        <w:tc>
          <w:tcPr>
            <w:tcW w:w="1046" w:type="dxa"/>
            <w:shd w:val="clear" w:color="auto" w:fill="FBD4B4"/>
          </w:tcPr>
          <w:p w:rsidR="007C5447" w:rsidRDefault="00F6308C">
            <w:pPr>
              <w:pStyle w:val="TableParagraph"/>
              <w:spacing w:before="14"/>
              <w:ind w:left="113" w:right="95"/>
              <w:jc w:val="center"/>
              <w:rPr>
                <w:b/>
                <w:sz w:val="20"/>
              </w:rPr>
            </w:pPr>
            <w:r>
              <w:rPr>
                <w:b/>
                <w:sz w:val="20"/>
              </w:rPr>
              <w:t>FY 2015-</w:t>
            </w:r>
          </w:p>
          <w:p w:rsidR="007C5447" w:rsidRDefault="00F6308C">
            <w:pPr>
              <w:pStyle w:val="TableParagraph"/>
              <w:spacing w:before="1" w:line="224" w:lineRule="exact"/>
              <w:ind w:left="113" w:right="96"/>
              <w:jc w:val="center"/>
              <w:rPr>
                <w:b/>
                <w:sz w:val="20"/>
              </w:rPr>
            </w:pPr>
            <w:r>
              <w:rPr>
                <w:b/>
                <w:sz w:val="20"/>
              </w:rPr>
              <w:t>16</w:t>
            </w:r>
          </w:p>
        </w:tc>
      </w:tr>
      <w:tr w:rsidR="007C5447">
        <w:trPr>
          <w:trHeight w:val="491"/>
        </w:trPr>
        <w:tc>
          <w:tcPr>
            <w:tcW w:w="398" w:type="dxa"/>
          </w:tcPr>
          <w:p w:rsidR="007C5447" w:rsidRDefault="00F6308C">
            <w:pPr>
              <w:pStyle w:val="TableParagraph"/>
              <w:spacing w:before="132"/>
              <w:ind w:left="8"/>
              <w:jc w:val="center"/>
              <w:rPr>
                <w:b/>
                <w:sz w:val="20"/>
              </w:rPr>
            </w:pPr>
            <w:r>
              <w:rPr>
                <w:b/>
                <w:w w:val="99"/>
                <w:sz w:val="20"/>
              </w:rPr>
              <w:t>1</w:t>
            </w:r>
          </w:p>
        </w:tc>
        <w:tc>
          <w:tcPr>
            <w:tcW w:w="2801" w:type="dxa"/>
          </w:tcPr>
          <w:p w:rsidR="007C5447" w:rsidRDefault="00F6308C">
            <w:pPr>
              <w:pStyle w:val="TableParagraph"/>
              <w:spacing w:before="21" w:line="228" w:lineRule="exact"/>
              <w:ind w:left="108" w:right="774"/>
              <w:jc w:val="left"/>
              <w:rPr>
                <w:b/>
                <w:sz w:val="20"/>
              </w:rPr>
            </w:pPr>
            <w:r>
              <w:rPr>
                <w:b/>
                <w:sz w:val="20"/>
              </w:rPr>
              <w:t>Total Power Purchase Requirement</w:t>
            </w:r>
          </w:p>
        </w:tc>
        <w:tc>
          <w:tcPr>
            <w:tcW w:w="808" w:type="dxa"/>
          </w:tcPr>
          <w:p w:rsidR="007C5447" w:rsidRDefault="00F6308C">
            <w:pPr>
              <w:pStyle w:val="TableParagraph"/>
              <w:spacing w:before="132"/>
              <w:ind w:left="329"/>
              <w:jc w:val="left"/>
              <w:rPr>
                <w:b/>
                <w:sz w:val="20"/>
              </w:rPr>
            </w:pPr>
            <w:r>
              <w:rPr>
                <w:b/>
                <w:w w:val="99"/>
                <w:sz w:val="20"/>
              </w:rPr>
              <w:t>A</w:t>
            </w:r>
          </w:p>
        </w:tc>
        <w:tc>
          <w:tcPr>
            <w:tcW w:w="1046" w:type="dxa"/>
          </w:tcPr>
          <w:p w:rsidR="007C5447" w:rsidRDefault="007C5447">
            <w:pPr>
              <w:pStyle w:val="TableParagraph"/>
              <w:spacing w:before="3"/>
              <w:jc w:val="left"/>
              <w:rPr>
                <w:b/>
                <w:sz w:val="21"/>
              </w:rPr>
            </w:pPr>
          </w:p>
          <w:p w:rsidR="007C5447" w:rsidRDefault="00F6308C">
            <w:pPr>
              <w:pStyle w:val="TableParagraph"/>
              <w:spacing w:line="227" w:lineRule="exact"/>
              <w:ind w:right="96"/>
              <w:rPr>
                <w:b/>
                <w:sz w:val="20"/>
              </w:rPr>
            </w:pPr>
            <w:r>
              <w:rPr>
                <w:b/>
                <w:w w:val="95"/>
                <w:sz w:val="20"/>
              </w:rPr>
              <w:t>66,608.71</w:t>
            </w:r>
          </w:p>
        </w:tc>
        <w:tc>
          <w:tcPr>
            <w:tcW w:w="1046" w:type="dxa"/>
          </w:tcPr>
          <w:p w:rsidR="007C5447" w:rsidRDefault="007C5447">
            <w:pPr>
              <w:pStyle w:val="TableParagraph"/>
              <w:spacing w:before="3"/>
              <w:jc w:val="left"/>
              <w:rPr>
                <w:b/>
                <w:sz w:val="21"/>
              </w:rPr>
            </w:pPr>
          </w:p>
          <w:p w:rsidR="007C5447" w:rsidRDefault="00F6308C">
            <w:pPr>
              <w:pStyle w:val="TableParagraph"/>
              <w:spacing w:line="227" w:lineRule="exact"/>
              <w:ind w:right="95"/>
              <w:rPr>
                <w:b/>
                <w:sz w:val="20"/>
              </w:rPr>
            </w:pPr>
            <w:r>
              <w:rPr>
                <w:b/>
                <w:w w:val="95"/>
                <w:sz w:val="20"/>
              </w:rPr>
              <w:t>63,470.56</w:t>
            </w:r>
          </w:p>
        </w:tc>
        <w:tc>
          <w:tcPr>
            <w:tcW w:w="1046" w:type="dxa"/>
          </w:tcPr>
          <w:p w:rsidR="007C5447" w:rsidRDefault="007C5447">
            <w:pPr>
              <w:pStyle w:val="TableParagraph"/>
              <w:spacing w:before="3"/>
              <w:jc w:val="left"/>
              <w:rPr>
                <w:b/>
                <w:sz w:val="21"/>
              </w:rPr>
            </w:pPr>
          </w:p>
          <w:p w:rsidR="007C5447" w:rsidRDefault="00F6308C">
            <w:pPr>
              <w:pStyle w:val="TableParagraph"/>
              <w:spacing w:line="227" w:lineRule="exact"/>
              <w:ind w:right="95"/>
              <w:rPr>
                <w:b/>
                <w:sz w:val="20"/>
              </w:rPr>
            </w:pPr>
            <w:r>
              <w:rPr>
                <w:b/>
                <w:w w:val="95"/>
                <w:sz w:val="20"/>
              </w:rPr>
              <w:t>72,116.61</w:t>
            </w:r>
          </w:p>
        </w:tc>
        <w:tc>
          <w:tcPr>
            <w:tcW w:w="1049" w:type="dxa"/>
          </w:tcPr>
          <w:p w:rsidR="007C5447" w:rsidRDefault="007C5447">
            <w:pPr>
              <w:pStyle w:val="TableParagraph"/>
              <w:spacing w:before="3"/>
              <w:jc w:val="left"/>
              <w:rPr>
                <w:b/>
                <w:sz w:val="21"/>
              </w:rPr>
            </w:pPr>
          </w:p>
          <w:p w:rsidR="007C5447" w:rsidRDefault="00F6308C">
            <w:pPr>
              <w:pStyle w:val="TableParagraph"/>
              <w:spacing w:line="227" w:lineRule="exact"/>
              <w:ind w:right="98"/>
              <w:rPr>
                <w:b/>
                <w:sz w:val="20"/>
              </w:rPr>
            </w:pPr>
            <w:r>
              <w:rPr>
                <w:b/>
                <w:w w:val="95"/>
                <w:sz w:val="20"/>
              </w:rPr>
              <w:t>78,559.79</w:t>
            </w:r>
          </w:p>
        </w:tc>
        <w:tc>
          <w:tcPr>
            <w:tcW w:w="1046" w:type="dxa"/>
          </w:tcPr>
          <w:p w:rsidR="007C5447" w:rsidRDefault="007C5447">
            <w:pPr>
              <w:pStyle w:val="TableParagraph"/>
              <w:spacing w:before="3"/>
              <w:jc w:val="left"/>
              <w:rPr>
                <w:b/>
                <w:sz w:val="21"/>
              </w:rPr>
            </w:pPr>
          </w:p>
          <w:p w:rsidR="007C5447" w:rsidRDefault="00F6308C">
            <w:pPr>
              <w:pStyle w:val="TableParagraph"/>
              <w:spacing w:line="227" w:lineRule="exact"/>
              <w:ind w:right="94"/>
              <w:rPr>
                <w:b/>
                <w:sz w:val="20"/>
              </w:rPr>
            </w:pPr>
            <w:r>
              <w:rPr>
                <w:b/>
                <w:w w:val="95"/>
                <w:sz w:val="20"/>
              </w:rPr>
              <w:t>81,879.07</w:t>
            </w:r>
          </w:p>
        </w:tc>
      </w:tr>
      <w:tr w:rsidR="007C5447">
        <w:trPr>
          <w:trHeight w:val="489"/>
        </w:trPr>
        <w:tc>
          <w:tcPr>
            <w:tcW w:w="398" w:type="dxa"/>
          </w:tcPr>
          <w:p w:rsidR="007C5447" w:rsidRDefault="00F6308C">
            <w:pPr>
              <w:pStyle w:val="TableParagraph"/>
              <w:spacing w:before="130"/>
              <w:ind w:left="8"/>
              <w:jc w:val="center"/>
              <w:rPr>
                <w:sz w:val="20"/>
              </w:rPr>
            </w:pPr>
            <w:r>
              <w:rPr>
                <w:w w:val="99"/>
                <w:sz w:val="20"/>
              </w:rPr>
              <w:t>2</w:t>
            </w:r>
          </w:p>
        </w:tc>
        <w:tc>
          <w:tcPr>
            <w:tcW w:w="2801" w:type="dxa"/>
          </w:tcPr>
          <w:p w:rsidR="007C5447" w:rsidRDefault="00F6308C">
            <w:pPr>
              <w:pStyle w:val="TableParagraph"/>
              <w:spacing w:before="14" w:line="230" w:lineRule="atLeast"/>
              <w:ind w:left="108"/>
              <w:jc w:val="left"/>
              <w:rPr>
                <w:sz w:val="20"/>
              </w:rPr>
            </w:pPr>
            <w:r>
              <w:rPr>
                <w:sz w:val="20"/>
              </w:rPr>
              <w:t>Energy Purchased from own sources</w:t>
            </w:r>
          </w:p>
        </w:tc>
        <w:tc>
          <w:tcPr>
            <w:tcW w:w="808" w:type="dxa"/>
          </w:tcPr>
          <w:p w:rsidR="007C5447" w:rsidRDefault="00F6308C">
            <w:pPr>
              <w:pStyle w:val="TableParagraph"/>
              <w:spacing w:before="130"/>
              <w:ind w:left="259"/>
              <w:jc w:val="left"/>
              <w:rPr>
                <w:sz w:val="20"/>
              </w:rPr>
            </w:pPr>
            <w:r>
              <w:rPr>
                <w:sz w:val="20"/>
              </w:rPr>
              <w:t>B.1</w:t>
            </w:r>
          </w:p>
        </w:tc>
        <w:tc>
          <w:tcPr>
            <w:tcW w:w="1046" w:type="dxa"/>
          </w:tcPr>
          <w:p w:rsidR="007C5447" w:rsidRDefault="007C5447">
            <w:pPr>
              <w:pStyle w:val="TableParagraph"/>
              <w:spacing w:before="3"/>
              <w:jc w:val="left"/>
              <w:rPr>
                <w:b/>
                <w:sz w:val="21"/>
              </w:rPr>
            </w:pPr>
          </w:p>
          <w:p w:rsidR="007C5447" w:rsidRDefault="00F6308C">
            <w:pPr>
              <w:pStyle w:val="TableParagraph"/>
              <w:spacing w:line="224" w:lineRule="exact"/>
              <w:ind w:right="96"/>
              <w:rPr>
                <w:sz w:val="20"/>
              </w:rPr>
            </w:pPr>
            <w:r>
              <w:rPr>
                <w:w w:val="95"/>
                <w:sz w:val="20"/>
              </w:rPr>
              <w:t>25,508.77</w:t>
            </w:r>
          </w:p>
        </w:tc>
        <w:tc>
          <w:tcPr>
            <w:tcW w:w="1046" w:type="dxa"/>
          </w:tcPr>
          <w:p w:rsidR="007C5447" w:rsidRDefault="007C5447">
            <w:pPr>
              <w:pStyle w:val="TableParagraph"/>
              <w:spacing w:before="3"/>
              <w:jc w:val="left"/>
              <w:rPr>
                <w:b/>
                <w:sz w:val="21"/>
              </w:rPr>
            </w:pPr>
          </w:p>
          <w:p w:rsidR="007C5447" w:rsidRDefault="00F6308C">
            <w:pPr>
              <w:pStyle w:val="TableParagraph"/>
              <w:spacing w:line="224" w:lineRule="exact"/>
              <w:ind w:right="95"/>
              <w:rPr>
                <w:sz w:val="20"/>
              </w:rPr>
            </w:pPr>
            <w:r>
              <w:rPr>
                <w:w w:val="95"/>
                <w:sz w:val="20"/>
              </w:rPr>
              <w:t>22,897.00</w:t>
            </w:r>
          </w:p>
        </w:tc>
        <w:tc>
          <w:tcPr>
            <w:tcW w:w="1046" w:type="dxa"/>
          </w:tcPr>
          <w:p w:rsidR="007C5447" w:rsidRDefault="007C5447">
            <w:pPr>
              <w:pStyle w:val="TableParagraph"/>
              <w:spacing w:before="3"/>
              <w:jc w:val="left"/>
              <w:rPr>
                <w:b/>
                <w:sz w:val="21"/>
              </w:rPr>
            </w:pPr>
          </w:p>
          <w:p w:rsidR="007C5447" w:rsidRDefault="00F6308C">
            <w:pPr>
              <w:pStyle w:val="TableParagraph"/>
              <w:spacing w:line="224" w:lineRule="exact"/>
              <w:ind w:right="95"/>
              <w:rPr>
                <w:sz w:val="20"/>
              </w:rPr>
            </w:pPr>
            <w:r>
              <w:rPr>
                <w:w w:val="95"/>
                <w:sz w:val="20"/>
              </w:rPr>
              <w:t>26,607.96</w:t>
            </w:r>
          </w:p>
        </w:tc>
        <w:tc>
          <w:tcPr>
            <w:tcW w:w="1049" w:type="dxa"/>
          </w:tcPr>
          <w:p w:rsidR="007C5447" w:rsidRDefault="007C5447">
            <w:pPr>
              <w:pStyle w:val="TableParagraph"/>
              <w:spacing w:before="3"/>
              <w:jc w:val="left"/>
              <w:rPr>
                <w:b/>
                <w:sz w:val="21"/>
              </w:rPr>
            </w:pPr>
          </w:p>
          <w:p w:rsidR="007C5447" w:rsidRDefault="00F6308C">
            <w:pPr>
              <w:pStyle w:val="TableParagraph"/>
              <w:spacing w:line="224" w:lineRule="exact"/>
              <w:ind w:right="98"/>
              <w:rPr>
                <w:sz w:val="20"/>
              </w:rPr>
            </w:pPr>
            <w:r>
              <w:rPr>
                <w:w w:val="95"/>
                <w:sz w:val="20"/>
              </w:rPr>
              <w:t>32,092.81</w:t>
            </w:r>
          </w:p>
        </w:tc>
        <w:tc>
          <w:tcPr>
            <w:tcW w:w="1046" w:type="dxa"/>
          </w:tcPr>
          <w:p w:rsidR="007C5447" w:rsidRDefault="007C5447">
            <w:pPr>
              <w:pStyle w:val="TableParagraph"/>
              <w:spacing w:before="3"/>
              <w:jc w:val="left"/>
              <w:rPr>
                <w:b/>
                <w:sz w:val="21"/>
              </w:rPr>
            </w:pPr>
          </w:p>
          <w:p w:rsidR="007C5447" w:rsidRDefault="00F6308C">
            <w:pPr>
              <w:pStyle w:val="TableParagraph"/>
              <w:spacing w:line="224" w:lineRule="exact"/>
              <w:ind w:right="94"/>
              <w:rPr>
                <w:sz w:val="20"/>
              </w:rPr>
            </w:pPr>
            <w:r>
              <w:rPr>
                <w:w w:val="95"/>
                <w:sz w:val="20"/>
              </w:rPr>
              <w:t>29,552.79</w:t>
            </w:r>
          </w:p>
        </w:tc>
      </w:tr>
      <w:tr w:rsidR="007C5447">
        <w:trPr>
          <w:trHeight w:val="489"/>
        </w:trPr>
        <w:tc>
          <w:tcPr>
            <w:tcW w:w="398" w:type="dxa"/>
          </w:tcPr>
          <w:p w:rsidR="007C5447" w:rsidRDefault="00F6308C">
            <w:pPr>
              <w:pStyle w:val="TableParagraph"/>
              <w:spacing w:before="130"/>
              <w:ind w:left="8"/>
              <w:jc w:val="center"/>
              <w:rPr>
                <w:sz w:val="20"/>
              </w:rPr>
            </w:pPr>
            <w:r>
              <w:rPr>
                <w:w w:val="99"/>
                <w:sz w:val="20"/>
              </w:rPr>
              <w:t>3</w:t>
            </w:r>
          </w:p>
        </w:tc>
        <w:tc>
          <w:tcPr>
            <w:tcW w:w="2801" w:type="dxa"/>
          </w:tcPr>
          <w:p w:rsidR="007C5447" w:rsidRDefault="00F6308C">
            <w:pPr>
              <w:pStyle w:val="TableParagraph"/>
              <w:spacing w:before="130"/>
              <w:ind w:left="108"/>
              <w:jc w:val="left"/>
              <w:rPr>
                <w:sz w:val="20"/>
              </w:rPr>
            </w:pPr>
            <w:r>
              <w:rPr>
                <w:sz w:val="20"/>
              </w:rPr>
              <w:t>Energy Purchased from CGS</w:t>
            </w:r>
          </w:p>
        </w:tc>
        <w:tc>
          <w:tcPr>
            <w:tcW w:w="808" w:type="dxa"/>
          </w:tcPr>
          <w:p w:rsidR="007C5447" w:rsidRDefault="00F6308C">
            <w:pPr>
              <w:pStyle w:val="TableParagraph"/>
              <w:spacing w:before="130"/>
              <w:ind w:left="259"/>
              <w:jc w:val="left"/>
              <w:rPr>
                <w:sz w:val="20"/>
              </w:rPr>
            </w:pPr>
            <w:r>
              <w:rPr>
                <w:sz w:val="20"/>
              </w:rPr>
              <w:t>B.2</w:t>
            </w:r>
          </w:p>
        </w:tc>
        <w:tc>
          <w:tcPr>
            <w:tcW w:w="1046" w:type="dxa"/>
          </w:tcPr>
          <w:p w:rsidR="007C5447" w:rsidRDefault="00F6308C">
            <w:pPr>
              <w:pStyle w:val="TableParagraph"/>
              <w:spacing w:before="130"/>
              <w:ind w:right="94"/>
              <w:rPr>
                <w:sz w:val="20"/>
              </w:rPr>
            </w:pPr>
            <w:r>
              <w:rPr>
                <w:sz w:val="20"/>
              </w:rPr>
              <w:t>20630.55</w:t>
            </w:r>
          </w:p>
        </w:tc>
        <w:tc>
          <w:tcPr>
            <w:tcW w:w="1046" w:type="dxa"/>
          </w:tcPr>
          <w:p w:rsidR="007C5447" w:rsidRDefault="007C5447">
            <w:pPr>
              <w:pStyle w:val="TableParagraph"/>
              <w:spacing w:before="3"/>
              <w:jc w:val="left"/>
              <w:rPr>
                <w:b/>
                <w:sz w:val="21"/>
              </w:rPr>
            </w:pPr>
          </w:p>
          <w:p w:rsidR="007C5447" w:rsidRDefault="00F6308C">
            <w:pPr>
              <w:pStyle w:val="TableParagraph"/>
              <w:spacing w:line="224" w:lineRule="exact"/>
              <w:ind w:right="95"/>
              <w:rPr>
                <w:sz w:val="20"/>
              </w:rPr>
            </w:pPr>
            <w:r>
              <w:rPr>
                <w:w w:val="95"/>
                <w:sz w:val="20"/>
              </w:rPr>
              <w:t>21,566.30</w:t>
            </w:r>
          </w:p>
        </w:tc>
        <w:tc>
          <w:tcPr>
            <w:tcW w:w="1046" w:type="dxa"/>
          </w:tcPr>
          <w:p w:rsidR="007C5447" w:rsidRDefault="007C5447">
            <w:pPr>
              <w:pStyle w:val="TableParagraph"/>
              <w:spacing w:before="3"/>
              <w:jc w:val="left"/>
              <w:rPr>
                <w:b/>
                <w:sz w:val="21"/>
              </w:rPr>
            </w:pPr>
          </w:p>
          <w:p w:rsidR="007C5447" w:rsidRDefault="00F6308C">
            <w:pPr>
              <w:pStyle w:val="TableParagraph"/>
              <w:spacing w:line="224" w:lineRule="exact"/>
              <w:ind w:right="95"/>
              <w:rPr>
                <w:sz w:val="20"/>
              </w:rPr>
            </w:pPr>
            <w:r>
              <w:rPr>
                <w:w w:val="95"/>
                <w:sz w:val="20"/>
              </w:rPr>
              <w:t>24,560.40</w:t>
            </w:r>
          </w:p>
        </w:tc>
        <w:tc>
          <w:tcPr>
            <w:tcW w:w="1049" w:type="dxa"/>
          </w:tcPr>
          <w:p w:rsidR="007C5447" w:rsidRDefault="007C5447">
            <w:pPr>
              <w:pStyle w:val="TableParagraph"/>
              <w:spacing w:before="3"/>
              <w:jc w:val="left"/>
              <w:rPr>
                <w:b/>
                <w:sz w:val="21"/>
              </w:rPr>
            </w:pPr>
          </w:p>
          <w:p w:rsidR="007C5447" w:rsidRDefault="00F6308C">
            <w:pPr>
              <w:pStyle w:val="TableParagraph"/>
              <w:spacing w:line="224" w:lineRule="exact"/>
              <w:ind w:right="98"/>
              <w:rPr>
                <w:sz w:val="20"/>
              </w:rPr>
            </w:pPr>
            <w:r>
              <w:rPr>
                <w:w w:val="95"/>
                <w:sz w:val="20"/>
              </w:rPr>
              <w:t>27,212.00</w:t>
            </w:r>
          </w:p>
        </w:tc>
        <w:tc>
          <w:tcPr>
            <w:tcW w:w="1046" w:type="dxa"/>
          </w:tcPr>
          <w:p w:rsidR="007C5447" w:rsidRDefault="007C5447">
            <w:pPr>
              <w:pStyle w:val="TableParagraph"/>
              <w:spacing w:before="3"/>
              <w:jc w:val="left"/>
              <w:rPr>
                <w:b/>
                <w:sz w:val="21"/>
              </w:rPr>
            </w:pPr>
          </w:p>
          <w:p w:rsidR="007C5447" w:rsidRDefault="00F6308C">
            <w:pPr>
              <w:pStyle w:val="TableParagraph"/>
              <w:spacing w:line="224" w:lineRule="exact"/>
              <w:ind w:right="94"/>
              <w:rPr>
                <w:sz w:val="20"/>
              </w:rPr>
            </w:pPr>
            <w:r>
              <w:rPr>
                <w:w w:val="95"/>
                <w:sz w:val="20"/>
              </w:rPr>
              <w:t>29,678.09</w:t>
            </w:r>
          </w:p>
        </w:tc>
      </w:tr>
      <w:tr w:rsidR="007C5447">
        <w:trPr>
          <w:trHeight w:val="690"/>
        </w:trPr>
        <w:tc>
          <w:tcPr>
            <w:tcW w:w="398" w:type="dxa"/>
          </w:tcPr>
          <w:p w:rsidR="007C5447" w:rsidRDefault="007C5447">
            <w:pPr>
              <w:pStyle w:val="TableParagraph"/>
              <w:jc w:val="left"/>
              <w:rPr>
                <w:b/>
                <w:sz w:val="20"/>
              </w:rPr>
            </w:pPr>
          </w:p>
          <w:p w:rsidR="007C5447" w:rsidRDefault="00F6308C">
            <w:pPr>
              <w:pStyle w:val="TableParagraph"/>
              <w:ind w:left="8"/>
              <w:jc w:val="center"/>
              <w:rPr>
                <w:sz w:val="20"/>
              </w:rPr>
            </w:pPr>
            <w:r>
              <w:rPr>
                <w:w w:val="99"/>
                <w:sz w:val="20"/>
              </w:rPr>
              <w:t>4</w:t>
            </w:r>
          </w:p>
        </w:tc>
        <w:tc>
          <w:tcPr>
            <w:tcW w:w="2801" w:type="dxa"/>
          </w:tcPr>
          <w:p w:rsidR="007C5447" w:rsidRDefault="00F6308C">
            <w:pPr>
              <w:pStyle w:val="TableParagraph"/>
              <w:spacing w:before="115"/>
              <w:ind w:left="108" w:right="874"/>
              <w:jc w:val="left"/>
              <w:rPr>
                <w:sz w:val="20"/>
              </w:rPr>
            </w:pPr>
            <w:r>
              <w:rPr>
                <w:sz w:val="20"/>
              </w:rPr>
              <w:t>Energy Purchase from renewable sources</w:t>
            </w:r>
          </w:p>
        </w:tc>
        <w:tc>
          <w:tcPr>
            <w:tcW w:w="808" w:type="dxa"/>
          </w:tcPr>
          <w:p w:rsidR="007C5447" w:rsidRDefault="007C5447">
            <w:pPr>
              <w:pStyle w:val="TableParagraph"/>
              <w:jc w:val="left"/>
              <w:rPr>
                <w:b/>
                <w:sz w:val="20"/>
              </w:rPr>
            </w:pPr>
          </w:p>
          <w:p w:rsidR="007C5447" w:rsidRDefault="00F6308C">
            <w:pPr>
              <w:pStyle w:val="TableParagraph"/>
              <w:ind w:left="259"/>
              <w:jc w:val="left"/>
              <w:rPr>
                <w:sz w:val="20"/>
              </w:rPr>
            </w:pPr>
            <w:r>
              <w:rPr>
                <w:sz w:val="20"/>
              </w:rPr>
              <w:t>B.3</w:t>
            </w:r>
          </w:p>
        </w:tc>
        <w:tc>
          <w:tcPr>
            <w:tcW w:w="1046" w:type="dxa"/>
          </w:tcPr>
          <w:p w:rsidR="007C5447" w:rsidRDefault="007C5447">
            <w:pPr>
              <w:pStyle w:val="TableParagraph"/>
              <w:jc w:val="left"/>
              <w:rPr>
                <w:b/>
                <w:sz w:val="20"/>
              </w:rPr>
            </w:pPr>
          </w:p>
          <w:p w:rsidR="007C5447" w:rsidRDefault="00F6308C">
            <w:pPr>
              <w:pStyle w:val="TableParagraph"/>
              <w:ind w:right="94"/>
              <w:rPr>
                <w:sz w:val="20"/>
              </w:rPr>
            </w:pPr>
            <w:r>
              <w:rPr>
                <w:sz w:val="20"/>
              </w:rPr>
              <w:t>7654.68</w:t>
            </w:r>
          </w:p>
        </w:tc>
        <w:tc>
          <w:tcPr>
            <w:tcW w:w="1046" w:type="dxa"/>
          </w:tcPr>
          <w:p w:rsidR="007C5447" w:rsidRDefault="007C5447">
            <w:pPr>
              <w:pStyle w:val="TableParagraph"/>
              <w:jc w:val="left"/>
              <w:rPr>
                <w:b/>
                <w:sz w:val="20"/>
              </w:rPr>
            </w:pPr>
          </w:p>
          <w:p w:rsidR="007C5447" w:rsidRDefault="00F6308C">
            <w:pPr>
              <w:pStyle w:val="TableParagraph"/>
              <w:ind w:right="93"/>
              <w:rPr>
                <w:sz w:val="20"/>
              </w:rPr>
            </w:pPr>
            <w:r>
              <w:rPr>
                <w:w w:val="95"/>
                <w:sz w:val="20"/>
              </w:rPr>
              <w:t>9,553.00</w:t>
            </w:r>
          </w:p>
        </w:tc>
        <w:tc>
          <w:tcPr>
            <w:tcW w:w="1046" w:type="dxa"/>
          </w:tcPr>
          <w:p w:rsidR="007C5447" w:rsidRDefault="007C5447">
            <w:pPr>
              <w:pStyle w:val="TableParagraph"/>
              <w:jc w:val="left"/>
              <w:rPr>
                <w:b/>
                <w:sz w:val="20"/>
              </w:rPr>
            </w:pPr>
          </w:p>
          <w:p w:rsidR="007C5447" w:rsidRDefault="00F6308C">
            <w:pPr>
              <w:pStyle w:val="TableParagraph"/>
              <w:ind w:right="93"/>
              <w:rPr>
                <w:sz w:val="20"/>
              </w:rPr>
            </w:pPr>
            <w:r>
              <w:rPr>
                <w:w w:val="95"/>
                <w:sz w:val="20"/>
              </w:rPr>
              <w:t>8,336.00</w:t>
            </w:r>
          </w:p>
        </w:tc>
        <w:tc>
          <w:tcPr>
            <w:tcW w:w="1049" w:type="dxa"/>
          </w:tcPr>
          <w:p w:rsidR="007C5447" w:rsidRDefault="007C5447">
            <w:pPr>
              <w:pStyle w:val="TableParagraph"/>
              <w:jc w:val="left"/>
              <w:rPr>
                <w:b/>
                <w:sz w:val="20"/>
              </w:rPr>
            </w:pPr>
          </w:p>
          <w:p w:rsidR="007C5447" w:rsidRDefault="00F6308C">
            <w:pPr>
              <w:pStyle w:val="TableParagraph"/>
              <w:ind w:right="95"/>
              <w:rPr>
                <w:sz w:val="20"/>
              </w:rPr>
            </w:pPr>
            <w:r>
              <w:rPr>
                <w:w w:val="95"/>
                <w:sz w:val="20"/>
              </w:rPr>
              <w:t>8,486.00</w:t>
            </w:r>
          </w:p>
        </w:tc>
        <w:tc>
          <w:tcPr>
            <w:tcW w:w="1046" w:type="dxa"/>
          </w:tcPr>
          <w:p w:rsidR="007C5447" w:rsidRDefault="007C5447">
            <w:pPr>
              <w:pStyle w:val="TableParagraph"/>
              <w:jc w:val="left"/>
              <w:rPr>
                <w:b/>
                <w:sz w:val="20"/>
              </w:rPr>
            </w:pPr>
          </w:p>
          <w:p w:rsidR="007C5447" w:rsidRDefault="00F6308C">
            <w:pPr>
              <w:pStyle w:val="TableParagraph"/>
              <w:ind w:right="92"/>
              <w:rPr>
                <w:sz w:val="20"/>
              </w:rPr>
            </w:pPr>
            <w:r>
              <w:rPr>
                <w:w w:val="95"/>
                <w:sz w:val="20"/>
              </w:rPr>
              <w:t>3,495.62</w:t>
            </w:r>
          </w:p>
        </w:tc>
      </w:tr>
      <w:tr w:rsidR="007C5447">
        <w:trPr>
          <w:trHeight w:val="359"/>
        </w:trPr>
        <w:tc>
          <w:tcPr>
            <w:tcW w:w="398" w:type="dxa"/>
          </w:tcPr>
          <w:p w:rsidR="007C5447" w:rsidRDefault="00F6308C">
            <w:pPr>
              <w:pStyle w:val="TableParagraph"/>
              <w:spacing w:before="65"/>
              <w:ind w:left="8"/>
              <w:jc w:val="center"/>
              <w:rPr>
                <w:sz w:val="20"/>
              </w:rPr>
            </w:pPr>
            <w:r>
              <w:rPr>
                <w:w w:val="99"/>
                <w:sz w:val="20"/>
              </w:rPr>
              <w:t>5</w:t>
            </w:r>
          </w:p>
        </w:tc>
        <w:tc>
          <w:tcPr>
            <w:tcW w:w="2801" w:type="dxa"/>
          </w:tcPr>
          <w:p w:rsidR="007C5447" w:rsidRDefault="00F6308C">
            <w:pPr>
              <w:pStyle w:val="TableParagraph"/>
              <w:spacing w:before="65"/>
              <w:ind w:left="108"/>
              <w:jc w:val="left"/>
              <w:rPr>
                <w:sz w:val="20"/>
              </w:rPr>
            </w:pPr>
            <w:r>
              <w:rPr>
                <w:sz w:val="20"/>
              </w:rPr>
              <w:t>Energy purchase from IPP</w:t>
            </w:r>
          </w:p>
        </w:tc>
        <w:tc>
          <w:tcPr>
            <w:tcW w:w="808" w:type="dxa"/>
          </w:tcPr>
          <w:p w:rsidR="007C5447" w:rsidRDefault="00F6308C">
            <w:pPr>
              <w:pStyle w:val="TableParagraph"/>
              <w:spacing w:before="65"/>
              <w:ind w:left="259"/>
              <w:jc w:val="left"/>
              <w:rPr>
                <w:sz w:val="20"/>
              </w:rPr>
            </w:pPr>
            <w:r>
              <w:rPr>
                <w:sz w:val="20"/>
              </w:rPr>
              <w:t>B.4</w:t>
            </w:r>
          </w:p>
        </w:tc>
        <w:tc>
          <w:tcPr>
            <w:tcW w:w="1046" w:type="dxa"/>
          </w:tcPr>
          <w:p w:rsidR="007C5447" w:rsidRDefault="00F6308C">
            <w:pPr>
              <w:pStyle w:val="TableParagraph"/>
              <w:spacing w:before="65"/>
              <w:ind w:right="94"/>
              <w:rPr>
                <w:sz w:val="20"/>
              </w:rPr>
            </w:pPr>
            <w:r>
              <w:rPr>
                <w:sz w:val="20"/>
              </w:rPr>
              <w:t>5730.44</w:t>
            </w:r>
          </w:p>
        </w:tc>
        <w:tc>
          <w:tcPr>
            <w:tcW w:w="1046" w:type="dxa"/>
          </w:tcPr>
          <w:p w:rsidR="007C5447" w:rsidRDefault="00F6308C">
            <w:pPr>
              <w:pStyle w:val="TableParagraph"/>
              <w:spacing w:before="65"/>
              <w:ind w:right="93"/>
              <w:rPr>
                <w:sz w:val="20"/>
              </w:rPr>
            </w:pPr>
            <w:r>
              <w:rPr>
                <w:w w:val="95"/>
                <w:sz w:val="20"/>
              </w:rPr>
              <w:t>5,972.00</w:t>
            </w:r>
          </w:p>
        </w:tc>
        <w:tc>
          <w:tcPr>
            <w:tcW w:w="1046" w:type="dxa"/>
          </w:tcPr>
          <w:p w:rsidR="007C5447" w:rsidRDefault="00F6308C">
            <w:pPr>
              <w:pStyle w:val="TableParagraph"/>
              <w:spacing w:before="65"/>
              <w:ind w:right="93"/>
              <w:rPr>
                <w:sz w:val="20"/>
              </w:rPr>
            </w:pPr>
            <w:r>
              <w:rPr>
                <w:w w:val="95"/>
                <w:sz w:val="20"/>
              </w:rPr>
              <w:t>5,658.84</w:t>
            </w:r>
          </w:p>
        </w:tc>
        <w:tc>
          <w:tcPr>
            <w:tcW w:w="1049" w:type="dxa"/>
          </w:tcPr>
          <w:p w:rsidR="007C5447" w:rsidRDefault="00F6308C">
            <w:pPr>
              <w:pStyle w:val="TableParagraph"/>
              <w:spacing w:before="65"/>
              <w:ind w:right="95"/>
              <w:rPr>
                <w:sz w:val="20"/>
              </w:rPr>
            </w:pPr>
            <w:r>
              <w:rPr>
                <w:w w:val="95"/>
                <w:sz w:val="20"/>
              </w:rPr>
              <w:t>4,802.00</w:t>
            </w:r>
          </w:p>
        </w:tc>
        <w:tc>
          <w:tcPr>
            <w:tcW w:w="1046" w:type="dxa"/>
          </w:tcPr>
          <w:p w:rsidR="007C5447" w:rsidRDefault="00F6308C">
            <w:pPr>
              <w:pStyle w:val="TableParagraph"/>
              <w:spacing w:before="65"/>
              <w:ind w:right="92"/>
              <w:rPr>
                <w:sz w:val="20"/>
              </w:rPr>
            </w:pPr>
            <w:r>
              <w:rPr>
                <w:w w:val="95"/>
                <w:sz w:val="20"/>
              </w:rPr>
              <w:t>2,418.76</w:t>
            </w:r>
          </w:p>
        </w:tc>
      </w:tr>
      <w:tr w:rsidR="007C5447">
        <w:trPr>
          <w:trHeight w:val="691"/>
        </w:trPr>
        <w:tc>
          <w:tcPr>
            <w:tcW w:w="398" w:type="dxa"/>
          </w:tcPr>
          <w:p w:rsidR="007C5447" w:rsidRDefault="007C5447">
            <w:pPr>
              <w:pStyle w:val="TableParagraph"/>
              <w:spacing w:before="1"/>
              <w:jc w:val="left"/>
              <w:rPr>
                <w:b/>
                <w:sz w:val="20"/>
              </w:rPr>
            </w:pPr>
          </w:p>
          <w:p w:rsidR="007C5447" w:rsidRDefault="00F6308C">
            <w:pPr>
              <w:pStyle w:val="TableParagraph"/>
              <w:ind w:left="8"/>
              <w:jc w:val="center"/>
              <w:rPr>
                <w:sz w:val="20"/>
              </w:rPr>
            </w:pPr>
            <w:r>
              <w:rPr>
                <w:w w:val="99"/>
                <w:sz w:val="20"/>
              </w:rPr>
              <w:t>6</w:t>
            </w:r>
          </w:p>
        </w:tc>
        <w:tc>
          <w:tcPr>
            <w:tcW w:w="2801" w:type="dxa"/>
          </w:tcPr>
          <w:p w:rsidR="007C5447" w:rsidRDefault="00F6308C">
            <w:pPr>
              <w:pStyle w:val="TableParagraph"/>
              <w:spacing w:before="116"/>
              <w:ind w:left="108" w:right="885"/>
              <w:jc w:val="left"/>
              <w:rPr>
                <w:sz w:val="20"/>
              </w:rPr>
            </w:pPr>
            <w:r>
              <w:rPr>
                <w:sz w:val="20"/>
              </w:rPr>
              <w:t>Energy purchase from Trader/Exchange</w:t>
            </w:r>
          </w:p>
        </w:tc>
        <w:tc>
          <w:tcPr>
            <w:tcW w:w="808" w:type="dxa"/>
          </w:tcPr>
          <w:p w:rsidR="007C5447" w:rsidRDefault="007C5447">
            <w:pPr>
              <w:pStyle w:val="TableParagraph"/>
              <w:spacing w:before="1"/>
              <w:jc w:val="left"/>
              <w:rPr>
                <w:b/>
                <w:sz w:val="20"/>
              </w:rPr>
            </w:pPr>
          </w:p>
          <w:p w:rsidR="007C5447" w:rsidRDefault="00F6308C">
            <w:pPr>
              <w:pStyle w:val="TableParagraph"/>
              <w:ind w:left="259"/>
              <w:jc w:val="left"/>
              <w:rPr>
                <w:sz w:val="20"/>
              </w:rPr>
            </w:pPr>
            <w:r>
              <w:rPr>
                <w:sz w:val="20"/>
              </w:rPr>
              <w:t>B.5</w:t>
            </w:r>
          </w:p>
        </w:tc>
        <w:tc>
          <w:tcPr>
            <w:tcW w:w="1046" w:type="dxa"/>
          </w:tcPr>
          <w:p w:rsidR="007C5447" w:rsidRDefault="007C5447">
            <w:pPr>
              <w:pStyle w:val="TableParagraph"/>
              <w:spacing w:before="1"/>
              <w:jc w:val="left"/>
              <w:rPr>
                <w:b/>
                <w:sz w:val="20"/>
              </w:rPr>
            </w:pPr>
          </w:p>
          <w:p w:rsidR="007C5447" w:rsidRDefault="00F6308C">
            <w:pPr>
              <w:pStyle w:val="TableParagraph"/>
              <w:ind w:right="91"/>
              <w:rPr>
                <w:sz w:val="20"/>
              </w:rPr>
            </w:pPr>
            <w:r>
              <w:rPr>
                <w:sz w:val="20"/>
              </w:rPr>
              <w:t>9821</w:t>
            </w:r>
          </w:p>
        </w:tc>
        <w:tc>
          <w:tcPr>
            <w:tcW w:w="1046" w:type="dxa"/>
          </w:tcPr>
          <w:p w:rsidR="007C5447" w:rsidRDefault="007C5447">
            <w:pPr>
              <w:pStyle w:val="TableParagraph"/>
              <w:spacing w:before="1"/>
              <w:jc w:val="left"/>
              <w:rPr>
                <w:b/>
                <w:sz w:val="20"/>
              </w:rPr>
            </w:pPr>
          </w:p>
          <w:p w:rsidR="007C5447" w:rsidRDefault="00F6308C">
            <w:pPr>
              <w:pStyle w:val="TableParagraph"/>
              <w:ind w:right="93"/>
              <w:rPr>
                <w:sz w:val="20"/>
              </w:rPr>
            </w:pPr>
            <w:r>
              <w:rPr>
                <w:w w:val="95"/>
                <w:sz w:val="20"/>
              </w:rPr>
              <w:t>7,017.00</w:t>
            </w:r>
          </w:p>
        </w:tc>
        <w:tc>
          <w:tcPr>
            <w:tcW w:w="1046" w:type="dxa"/>
          </w:tcPr>
          <w:p w:rsidR="007C5447" w:rsidRDefault="007C5447">
            <w:pPr>
              <w:pStyle w:val="TableParagraph"/>
              <w:spacing w:before="1"/>
              <w:jc w:val="left"/>
              <w:rPr>
                <w:b/>
                <w:sz w:val="30"/>
              </w:rPr>
            </w:pPr>
          </w:p>
          <w:p w:rsidR="007C5447" w:rsidRDefault="00F6308C">
            <w:pPr>
              <w:pStyle w:val="TableParagraph"/>
              <w:ind w:right="95"/>
              <w:rPr>
                <w:sz w:val="20"/>
              </w:rPr>
            </w:pPr>
            <w:r>
              <w:rPr>
                <w:w w:val="95"/>
                <w:sz w:val="20"/>
              </w:rPr>
              <w:t>10,170.00</w:t>
            </w:r>
          </w:p>
        </w:tc>
        <w:tc>
          <w:tcPr>
            <w:tcW w:w="1049" w:type="dxa"/>
          </w:tcPr>
          <w:p w:rsidR="007C5447" w:rsidRDefault="007C5447">
            <w:pPr>
              <w:pStyle w:val="TableParagraph"/>
              <w:spacing w:before="1"/>
              <w:jc w:val="left"/>
              <w:rPr>
                <w:b/>
                <w:sz w:val="30"/>
              </w:rPr>
            </w:pPr>
          </w:p>
          <w:p w:rsidR="007C5447" w:rsidRDefault="00F6308C">
            <w:pPr>
              <w:pStyle w:val="TableParagraph"/>
              <w:ind w:right="98"/>
              <w:rPr>
                <w:sz w:val="20"/>
              </w:rPr>
            </w:pPr>
            <w:r>
              <w:rPr>
                <w:w w:val="95"/>
                <w:sz w:val="20"/>
              </w:rPr>
              <w:t>12,881.00</w:t>
            </w:r>
          </w:p>
        </w:tc>
        <w:tc>
          <w:tcPr>
            <w:tcW w:w="1046" w:type="dxa"/>
          </w:tcPr>
          <w:p w:rsidR="007C5447" w:rsidRDefault="007C5447">
            <w:pPr>
              <w:pStyle w:val="TableParagraph"/>
              <w:spacing w:before="1"/>
              <w:jc w:val="left"/>
              <w:rPr>
                <w:b/>
                <w:sz w:val="30"/>
              </w:rPr>
            </w:pPr>
          </w:p>
          <w:p w:rsidR="007C5447" w:rsidRDefault="00F6308C">
            <w:pPr>
              <w:pStyle w:val="TableParagraph"/>
              <w:ind w:right="94"/>
              <w:rPr>
                <w:sz w:val="20"/>
              </w:rPr>
            </w:pPr>
            <w:r>
              <w:rPr>
                <w:w w:val="95"/>
                <w:sz w:val="20"/>
              </w:rPr>
              <w:t>18,495.30</w:t>
            </w:r>
          </w:p>
        </w:tc>
      </w:tr>
      <w:tr w:rsidR="007C5447">
        <w:trPr>
          <w:trHeight w:val="719"/>
        </w:trPr>
        <w:tc>
          <w:tcPr>
            <w:tcW w:w="398" w:type="dxa"/>
          </w:tcPr>
          <w:p w:rsidR="007C5447" w:rsidRDefault="007C5447">
            <w:pPr>
              <w:pStyle w:val="TableParagraph"/>
              <w:spacing w:before="3"/>
              <w:jc w:val="left"/>
              <w:rPr>
                <w:b/>
                <w:sz w:val="21"/>
              </w:rPr>
            </w:pPr>
          </w:p>
          <w:p w:rsidR="007C5447" w:rsidRDefault="00F6308C">
            <w:pPr>
              <w:pStyle w:val="TableParagraph"/>
              <w:ind w:left="8"/>
              <w:jc w:val="center"/>
              <w:rPr>
                <w:b/>
                <w:sz w:val="20"/>
              </w:rPr>
            </w:pPr>
            <w:r>
              <w:rPr>
                <w:b/>
                <w:w w:val="99"/>
                <w:sz w:val="20"/>
              </w:rPr>
              <w:t>7</w:t>
            </w:r>
          </w:p>
        </w:tc>
        <w:tc>
          <w:tcPr>
            <w:tcW w:w="2801" w:type="dxa"/>
          </w:tcPr>
          <w:p w:rsidR="007C5447" w:rsidRDefault="00F6308C">
            <w:pPr>
              <w:pStyle w:val="TableParagraph"/>
              <w:spacing w:before="14" w:line="230" w:lineRule="atLeast"/>
              <w:ind w:left="108"/>
              <w:jc w:val="left"/>
              <w:rPr>
                <w:b/>
                <w:sz w:val="20"/>
              </w:rPr>
            </w:pPr>
            <w:r>
              <w:rPr>
                <w:b/>
                <w:sz w:val="20"/>
              </w:rPr>
              <w:t>Total Power Purchase/availability as given by TANGEDCO</w:t>
            </w:r>
          </w:p>
        </w:tc>
        <w:tc>
          <w:tcPr>
            <w:tcW w:w="808" w:type="dxa"/>
          </w:tcPr>
          <w:p w:rsidR="007C5447" w:rsidRDefault="007C5447">
            <w:pPr>
              <w:pStyle w:val="TableParagraph"/>
              <w:spacing w:before="3"/>
              <w:jc w:val="left"/>
              <w:rPr>
                <w:b/>
                <w:sz w:val="21"/>
              </w:rPr>
            </w:pPr>
          </w:p>
          <w:p w:rsidR="007C5447" w:rsidRDefault="00F6308C">
            <w:pPr>
              <w:pStyle w:val="TableParagraph"/>
              <w:ind w:left="286"/>
              <w:jc w:val="left"/>
              <w:rPr>
                <w:b/>
                <w:sz w:val="20"/>
              </w:rPr>
            </w:pPr>
            <w:r>
              <w:rPr>
                <w:b/>
                <w:sz w:val="20"/>
              </w:rPr>
              <w:t>B*</w:t>
            </w:r>
          </w:p>
        </w:tc>
        <w:tc>
          <w:tcPr>
            <w:tcW w:w="1046" w:type="dxa"/>
          </w:tcPr>
          <w:p w:rsidR="007C5447" w:rsidRDefault="007C5447">
            <w:pPr>
              <w:pStyle w:val="TableParagraph"/>
              <w:spacing w:before="3"/>
              <w:jc w:val="left"/>
              <w:rPr>
                <w:b/>
                <w:sz w:val="31"/>
              </w:rPr>
            </w:pPr>
          </w:p>
          <w:p w:rsidR="007C5447" w:rsidRDefault="00F6308C">
            <w:pPr>
              <w:pStyle w:val="TableParagraph"/>
              <w:spacing w:before="1"/>
              <w:ind w:right="96"/>
              <w:rPr>
                <w:b/>
                <w:sz w:val="20"/>
              </w:rPr>
            </w:pPr>
            <w:r>
              <w:rPr>
                <w:b/>
                <w:w w:val="95"/>
                <w:sz w:val="20"/>
              </w:rPr>
              <w:t>69,345.44</w:t>
            </w:r>
          </w:p>
        </w:tc>
        <w:tc>
          <w:tcPr>
            <w:tcW w:w="1046" w:type="dxa"/>
          </w:tcPr>
          <w:p w:rsidR="007C5447" w:rsidRDefault="007C5447">
            <w:pPr>
              <w:pStyle w:val="TableParagraph"/>
              <w:spacing w:before="3"/>
              <w:jc w:val="left"/>
              <w:rPr>
                <w:b/>
                <w:sz w:val="31"/>
              </w:rPr>
            </w:pPr>
          </w:p>
          <w:p w:rsidR="007C5447" w:rsidRDefault="00F6308C">
            <w:pPr>
              <w:pStyle w:val="TableParagraph"/>
              <w:spacing w:before="1"/>
              <w:ind w:right="95"/>
              <w:rPr>
                <w:b/>
                <w:sz w:val="20"/>
              </w:rPr>
            </w:pPr>
            <w:r>
              <w:rPr>
                <w:b/>
                <w:w w:val="95"/>
                <w:sz w:val="20"/>
              </w:rPr>
              <w:t>67,005.30</w:t>
            </w:r>
          </w:p>
        </w:tc>
        <w:tc>
          <w:tcPr>
            <w:tcW w:w="1046" w:type="dxa"/>
          </w:tcPr>
          <w:p w:rsidR="007C5447" w:rsidRDefault="007C5447">
            <w:pPr>
              <w:pStyle w:val="TableParagraph"/>
              <w:spacing w:before="3"/>
              <w:jc w:val="left"/>
              <w:rPr>
                <w:b/>
                <w:sz w:val="31"/>
              </w:rPr>
            </w:pPr>
          </w:p>
          <w:p w:rsidR="007C5447" w:rsidRDefault="00F6308C">
            <w:pPr>
              <w:pStyle w:val="TableParagraph"/>
              <w:spacing w:before="1"/>
              <w:ind w:right="95"/>
              <w:rPr>
                <w:b/>
                <w:sz w:val="20"/>
              </w:rPr>
            </w:pPr>
            <w:r>
              <w:rPr>
                <w:b/>
                <w:w w:val="95"/>
                <w:sz w:val="20"/>
              </w:rPr>
              <w:t>75,333.19</w:t>
            </w:r>
          </w:p>
        </w:tc>
        <w:tc>
          <w:tcPr>
            <w:tcW w:w="1049" w:type="dxa"/>
          </w:tcPr>
          <w:p w:rsidR="007C5447" w:rsidRDefault="007C5447">
            <w:pPr>
              <w:pStyle w:val="TableParagraph"/>
              <w:spacing w:before="3"/>
              <w:jc w:val="left"/>
              <w:rPr>
                <w:b/>
                <w:sz w:val="31"/>
              </w:rPr>
            </w:pPr>
          </w:p>
          <w:p w:rsidR="007C5447" w:rsidRDefault="00F6308C">
            <w:pPr>
              <w:pStyle w:val="TableParagraph"/>
              <w:spacing w:before="1"/>
              <w:ind w:right="98"/>
              <w:rPr>
                <w:b/>
                <w:sz w:val="20"/>
              </w:rPr>
            </w:pPr>
            <w:r>
              <w:rPr>
                <w:b/>
                <w:w w:val="95"/>
                <w:sz w:val="20"/>
              </w:rPr>
              <w:t>85,473.81</w:t>
            </w:r>
          </w:p>
        </w:tc>
        <w:tc>
          <w:tcPr>
            <w:tcW w:w="1046" w:type="dxa"/>
          </w:tcPr>
          <w:p w:rsidR="007C5447" w:rsidRDefault="007C5447">
            <w:pPr>
              <w:pStyle w:val="TableParagraph"/>
              <w:spacing w:before="3"/>
              <w:jc w:val="left"/>
              <w:rPr>
                <w:b/>
                <w:sz w:val="31"/>
              </w:rPr>
            </w:pPr>
          </w:p>
          <w:p w:rsidR="007C5447" w:rsidRDefault="00F6308C">
            <w:pPr>
              <w:pStyle w:val="TableParagraph"/>
              <w:spacing w:before="1"/>
              <w:ind w:right="94"/>
              <w:rPr>
                <w:b/>
                <w:sz w:val="20"/>
              </w:rPr>
            </w:pPr>
            <w:r>
              <w:rPr>
                <w:b/>
                <w:w w:val="95"/>
                <w:sz w:val="20"/>
              </w:rPr>
              <w:t>83,640.56</w:t>
            </w:r>
          </w:p>
        </w:tc>
      </w:tr>
      <w:tr w:rsidR="007C5447">
        <w:trPr>
          <w:trHeight w:val="489"/>
        </w:trPr>
        <w:tc>
          <w:tcPr>
            <w:tcW w:w="398" w:type="dxa"/>
          </w:tcPr>
          <w:p w:rsidR="007C5447" w:rsidRDefault="00F6308C">
            <w:pPr>
              <w:pStyle w:val="TableParagraph"/>
              <w:spacing w:before="130"/>
              <w:ind w:left="8"/>
              <w:jc w:val="center"/>
              <w:rPr>
                <w:b/>
                <w:sz w:val="20"/>
              </w:rPr>
            </w:pPr>
            <w:r>
              <w:rPr>
                <w:b/>
                <w:w w:val="99"/>
                <w:sz w:val="20"/>
              </w:rPr>
              <w:t>8</w:t>
            </w:r>
          </w:p>
        </w:tc>
        <w:tc>
          <w:tcPr>
            <w:tcW w:w="2801" w:type="dxa"/>
          </w:tcPr>
          <w:p w:rsidR="007C5447" w:rsidRDefault="00F6308C">
            <w:pPr>
              <w:pStyle w:val="TableParagraph"/>
              <w:spacing w:before="130"/>
              <w:ind w:left="108"/>
              <w:jc w:val="left"/>
              <w:rPr>
                <w:b/>
                <w:sz w:val="20"/>
              </w:rPr>
            </w:pPr>
            <w:r>
              <w:rPr>
                <w:b/>
                <w:sz w:val="20"/>
              </w:rPr>
              <w:t>Excess Purchase/availability</w:t>
            </w:r>
          </w:p>
        </w:tc>
        <w:tc>
          <w:tcPr>
            <w:tcW w:w="808" w:type="dxa"/>
          </w:tcPr>
          <w:p w:rsidR="007C5447" w:rsidRDefault="00F6308C">
            <w:pPr>
              <w:pStyle w:val="TableParagraph"/>
              <w:spacing w:before="14" w:line="230" w:lineRule="atLeast"/>
              <w:ind w:left="329" w:right="97" w:hanging="207"/>
              <w:jc w:val="left"/>
              <w:rPr>
                <w:b/>
                <w:sz w:val="20"/>
              </w:rPr>
            </w:pPr>
            <w:r>
              <w:rPr>
                <w:b/>
                <w:sz w:val="20"/>
              </w:rPr>
              <w:t>C = B- A</w:t>
            </w:r>
          </w:p>
        </w:tc>
        <w:tc>
          <w:tcPr>
            <w:tcW w:w="1046" w:type="dxa"/>
          </w:tcPr>
          <w:p w:rsidR="007C5447" w:rsidRDefault="00F6308C">
            <w:pPr>
              <w:pStyle w:val="TableParagraph"/>
              <w:spacing w:before="130"/>
              <w:ind w:right="93"/>
              <w:rPr>
                <w:b/>
                <w:sz w:val="20"/>
              </w:rPr>
            </w:pPr>
            <w:r>
              <w:rPr>
                <w:b/>
                <w:sz w:val="20"/>
              </w:rPr>
              <w:t>2,736.73</w:t>
            </w:r>
          </w:p>
        </w:tc>
        <w:tc>
          <w:tcPr>
            <w:tcW w:w="1046" w:type="dxa"/>
          </w:tcPr>
          <w:p w:rsidR="007C5447" w:rsidRDefault="00F6308C">
            <w:pPr>
              <w:pStyle w:val="TableParagraph"/>
              <w:spacing w:before="130"/>
              <w:ind w:right="95"/>
              <w:rPr>
                <w:b/>
                <w:sz w:val="20"/>
              </w:rPr>
            </w:pPr>
            <w:r>
              <w:rPr>
                <w:b/>
                <w:w w:val="95"/>
                <w:sz w:val="20"/>
              </w:rPr>
              <w:t>3,534.74</w:t>
            </w:r>
          </w:p>
        </w:tc>
        <w:tc>
          <w:tcPr>
            <w:tcW w:w="1046" w:type="dxa"/>
          </w:tcPr>
          <w:p w:rsidR="007C5447" w:rsidRDefault="00F6308C">
            <w:pPr>
              <w:pStyle w:val="TableParagraph"/>
              <w:spacing w:before="130"/>
              <w:ind w:right="93"/>
              <w:rPr>
                <w:b/>
                <w:sz w:val="20"/>
              </w:rPr>
            </w:pPr>
            <w:r>
              <w:rPr>
                <w:b/>
                <w:w w:val="95"/>
                <w:sz w:val="20"/>
              </w:rPr>
              <w:t>3,216.58</w:t>
            </w:r>
          </w:p>
        </w:tc>
        <w:tc>
          <w:tcPr>
            <w:tcW w:w="1049" w:type="dxa"/>
          </w:tcPr>
          <w:p w:rsidR="007C5447" w:rsidRDefault="00F6308C">
            <w:pPr>
              <w:pStyle w:val="TableParagraph"/>
              <w:spacing w:before="130"/>
              <w:ind w:right="95"/>
              <w:rPr>
                <w:b/>
                <w:sz w:val="20"/>
              </w:rPr>
            </w:pPr>
            <w:r>
              <w:rPr>
                <w:b/>
                <w:w w:val="95"/>
                <w:sz w:val="20"/>
              </w:rPr>
              <w:t>6,914.02</w:t>
            </w:r>
          </w:p>
        </w:tc>
        <w:tc>
          <w:tcPr>
            <w:tcW w:w="1046" w:type="dxa"/>
          </w:tcPr>
          <w:p w:rsidR="007C5447" w:rsidRDefault="00F6308C">
            <w:pPr>
              <w:pStyle w:val="TableParagraph"/>
              <w:spacing w:before="130"/>
              <w:ind w:right="92"/>
              <w:rPr>
                <w:b/>
                <w:sz w:val="20"/>
              </w:rPr>
            </w:pPr>
            <w:r>
              <w:rPr>
                <w:b/>
                <w:w w:val="95"/>
                <w:sz w:val="20"/>
              </w:rPr>
              <w:t>1,761.49</w:t>
            </w:r>
          </w:p>
        </w:tc>
      </w:tr>
    </w:tbl>
    <w:p w:rsidR="007C5447" w:rsidRDefault="00F6308C">
      <w:pPr>
        <w:spacing w:before="1"/>
        <w:ind w:left="680"/>
        <w:rPr>
          <w:i/>
        </w:rPr>
      </w:pPr>
      <w:r>
        <w:rPr>
          <w:i/>
        </w:rPr>
        <w:t>*B= B1+B2+B3+B4+B5</w:t>
      </w:r>
    </w:p>
    <w:p w:rsidR="007C5447" w:rsidRDefault="007C5447">
      <w:pPr>
        <w:pStyle w:val="BodyText"/>
        <w:spacing w:before="3"/>
        <w:rPr>
          <w:i/>
          <w:sz w:val="27"/>
        </w:rPr>
      </w:pPr>
    </w:p>
    <w:p w:rsidR="007C5447" w:rsidRDefault="00F6308C">
      <w:pPr>
        <w:pStyle w:val="Heading2"/>
        <w:numPr>
          <w:ilvl w:val="1"/>
          <w:numId w:val="92"/>
        </w:numPr>
        <w:tabs>
          <w:tab w:val="left" w:pos="1246"/>
          <w:tab w:val="left" w:pos="1247"/>
        </w:tabs>
        <w:jc w:val="left"/>
      </w:pPr>
      <w:bookmarkStart w:id="39" w:name="_bookmark39"/>
      <w:bookmarkEnd w:id="39"/>
      <w:r>
        <w:t>Fixed</w:t>
      </w:r>
      <w:r>
        <w:rPr>
          <w:spacing w:val="-1"/>
        </w:rPr>
        <w:t xml:space="preserve"> </w:t>
      </w:r>
      <w:r>
        <w:t>Expenses</w:t>
      </w:r>
    </w:p>
    <w:p w:rsidR="007C5447" w:rsidRDefault="007C5447">
      <w:pPr>
        <w:pStyle w:val="BodyText"/>
        <w:spacing w:before="2"/>
        <w:rPr>
          <w:b/>
          <w:sz w:val="28"/>
        </w:rPr>
      </w:pPr>
    </w:p>
    <w:p w:rsidR="007C5447" w:rsidRDefault="00F6308C">
      <w:pPr>
        <w:pStyle w:val="ListParagraph"/>
        <w:numPr>
          <w:ilvl w:val="2"/>
          <w:numId w:val="92"/>
        </w:numPr>
        <w:tabs>
          <w:tab w:val="left" w:pos="1533"/>
        </w:tabs>
        <w:spacing w:line="312" w:lineRule="auto"/>
        <w:ind w:right="882"/>
        <w:jc w:val="both"/>
        <w:rPr>
          <w:sz w:val="24"/>
        </w:rPr>
      </w:pPr>
      <w:r>
        <w:rPr>
          <w:sz w:val="24"/>
        </w:rPr>
        <w:t>TANGEDCO submitted that it has considered the Fixed Cost for its Generating Stations and Distribution function on the basis of the Tariff Regulations and Audited Accounts for FY 2011-12 to FY</w:t>
      </w:r>
      <w:r>
        <w:rPr>
          <w:spacing w:val="-1"/>
          <w:sz w:val="24"/>
        </w:rPr>
        <w:t xml:space="preserve"> </w:t>
      </w:r>
      <w:r>
        <w:rPr>
          <w:sz w:val="24"/>
        </w:rPr>
        <w:t>2015-16.</w:t>
      </w:r>
    </w:p>
    <w:p w:rsidR="007C5447" w:rsidRDefault="007C5447">
      <w:pPr>
        <w:pStyle w:val="BodyText"/>
        <w:spacing w:before="9"/>
        <w:rPr>
          <w:sz w:val="20"/>
        </w:rPr>
      </w:pPr>
    </w:p>
    <w:p w:rsidR="007C5447" w:rsidRDefault="00F6308C">
      <w:pPr>
        <w:pStyle w:val="ListParagraph"/>
        <w:numPr>
          <w:ilvl w:val="2"/>
          <w:numId w:val="92"/>
        </w:numPr>
        <w:tabs>
          <w:tab w:val="left" w:pos="1532"/>
          <w:tab w:val="left" w:pos="1533"/>
        </w:tabs>
        <w:spacing w:before="1"/>
        <w:ind w:hanging="853"/>
        <w:rPr>
          <w:sz w:val="24"/>
        </w:rPr>
      </w:pPr>
      <w:r>
        <w:rPr>
          <w:sz w:val="24"/>
        </w:rPr>
        <w:t>The Fixed Costs are categorized under the following</w:t>
      </w:r>
      <w:r>
        <w:rPr>
          <w:spacing w:val="-9"/>
          <w:sz w:val="24"/>
        </w:rPr>
        <w:t xml:space="preserve"> </w:t>
      </w:r>
      <w:r>
        <w:rPr>
          <w:sz w:val="24"/>
        </w:rPr>
        <w:t>he</w:t>
      </w:r>
      <w:r>
        <w:rPr>
          <w:sz w:val="24"/>
        </w:rPr>
        <w:t>ads:</w:t>
      </w:r>
    </w:p>
    <w:p w:rsidR="007C5447" w:rsidRDefault="007C5447">
      <w:pPr>
        <w:pStyle w:val="BodyText"/>
        <w:spacing w:before="1"/>
        <w:rPr>
          <w:sz w:val="28"/>
        </w:rPr>
      </w:pPr>
    </w:p>
    <w:p w:rsidR="007C5447" w:rsidRDefault="00F6308C">
      <w:pPr>
        <w:pStyle w:val="ListParagraph"/>
        <w:numPr>
          <w:ilvl w:val="3"/>
          <w:numId w:val="92"/>
        </w:numPr>
        <w:tabs>
          <w:tab w:val="left" w:pos="2120"/>
          <w:tab w:val="left" w:pos="2121"/>
        </w:tabs>
        <w:spacing w:before="1"/>
        <w:ind w:hanging="433"/>
        <w:jc w:val="left"/>
        <w:rPr>
          <w:sz w:val="24"/>
        </w:rPr>
      </w:pPr>
      <w:r>
        <w:rPr>
          <w:sz w:val="24"/>
        </w:rPr>
        <w:t>Operation and Maintenance</w:t>
      </w:r>
      <w:r>
        <w:rPr>
          <w:spacing w:val="-2"/>
          <w:sz w:val="24"/>
        </w:rPr>
        <w:t xml:space="preserve"> </w:t>
      </w:r>
      <w:r>
        <w:rPr>
          <w:sz w:val="24"/>
        </w:rPr>
        <w:t>Expenses</w:t>
      </w:r>
    </w:p>
    <w:p w:rsidR="007C5447" w:rsidRDefault="00F6308C">
      <w:pPr>
        <w:pStyle w:val="ListParagraph"/>
        <w:numPr>
          <w:ilvl w:val="3"/>
          <w:numId w:val="92"/>
        </w:numPr>
        <w:tabs>
          <w:tab w:val="left" w:pos="2120"/>
          <w:tab w:val="left" w:pos="2121"/>
        </w:tabs>
        <w:spacing w:before="81"/>
        <w:ind w:hanging="500"/>
        <w:jc w:val="left"/>
        <w:rPr>
          <w:sz w:val="24"/>
        </w:rPr>
      </w:pPr>
      <w:r>
        <w:rPr>
          <w:sz w:val="24"/>
        </w:rPr>
        <w:t>Depreciation</w:t>
      </w:r>
    </w:p>
    <w:p w:rsidR="007C5447" w:rsidRDefault="00F6308C">
      <w:pPr>
        <w:pStyle w:val="ListParagraph"/>
        <w:numPr>
          <w:ilvl w:val="3"/>
          <w:numId w:val="92"/>
        </w:numPr>
        <w:tabs>
          <w:tab w:val="left" w:pos="2120"/>
          <w:tab w:val="left" w:pos="2121"/>
        </w:tabs>
        <w:spacing w:before="84"/>
        <w:ind w:hanging="567"/>
        <w:jc w:val="left"/>
        <w:rPr>
          <w:sz w:val="24"/>
        </w:rPr>
      </w:pPr>
      <w:r>
        <w:rPr>
          <w:sz w:val="24"/>
        </w:rPr>
        <w:t>Interest and Finance</w:t>
      </w:r>
      <w:r>
        <w:rPr>
          <w:spacing w:val="-1"/>
          <w:sz w:val="24"/>
        </w:rPr>
        <w:t xml:space="preserve"> </w:t>
      </w:r>
      <w:r>
        <w:rPr>
          <w:sz w:val="24"/>
        </w:rPr>
        <w:t>Charges</w:t>
      </w:r>
    </w:p>
    <w:p w:rsidR="007C5447" w:rsidRDefault="00F6308C">
      <w:pPr>
        <w:pStyle w:val="ListParagraph"/>
        <w:numPr>
          <w:ilvl w:val="3"/>
          <w:numId w:val="92"/>
        </w:numPr>
        <w:tabs>
          <w:tab w:val="left" w:pos="2120"/>
          <w:tab w:val="left" w:pos="2121"/>
        </w:tabs>
        <w:spacing w:before="82"/>
        <w:ind w:hanging="553"/>
        <w:jc w:val="left"/>
        <w:rPr>
          <w:sz w:val="24"/>
        </w:rPr>
      </w:pPr>
      <w:r>
        <w:rPr>
          <w:sz w:val="24"/>
        </w:rPr>
        <w:t>Return on Equity</w:t>
      </w:r>
    </w:p>
    <w:p w:rsidR="007C5447" w:rsidRDefault="00F6308C">
      <w:pPr>
        <w:pStyle w:val="ListParagraph"/>
        <w:numPr>
          <w:ilvl w:val="3"/>
          <w:numId w:val="92"/>
        </w:numPr>
        <w:tabs>
          <w:tab w:val="left" w:pos="2120"/>
          <w:tab w:val="left" w:pos="2121"/>
        </w:tabs>
        <w:spacing w:before="84"/>
        <w:ind w:hanging="488"/>
        <w:jc w:val="left"/>
        <w:rPr>
          <w:sz w:val="24"/>
        </w:rPr>
      </w:pPr>
      <w:r>
        <w:rPr>
          <w:sz w:val="24"/>
        </w:rPr>
        <w:t>Interest on Working</w:t>
      </w:r>
      <w:r>
        <w:rPr>
          <w:spacing w:val="-4"/>
          <w:sz w:val="24"/>
        </w:rPr>
        <w:t xml:space="preserve"> </w:t>
      </w:r>
      <w:r>
        <w:rPr>
          <w:sz w:val="24"/>
        </w:rPr>
        <w:t>Capital</w:t>
      </w:r>
    </w:p>
    <w:p w:rsidR="007C5447" w:rsidRDefault="00F6308C">
      <w:pPr>
        <w:pStyle w:val="ListParagraph"/>
        <w:numPr>
          <w:ilvl w:val="3"/>
          <w:numId w:val="92"/>
        </w:numPr>
        <w:tabs>
          <w:tab w:val="left" w:pos="2120"/>
          <w:tab w:val="left" w:pos="2121"/>
        </w:tabs>
        <w:spacing w:before="82"/>
        <w:ind w:hanging="553"/>
        <w:jc w:val="left"/>
        <w:rPr>
          <w:sz w:val="24"/>
        </w:rPr>
      </w:pPr>
      <w:r>
        <w:rPr>
          <w:sz w:val="24"/>
        </w:rPr>
        <w:t>Other</w:t>
      </w:r>
      <w:r>
        <w:rPr>
          <w:spacing w:val="-1"/>
          <w:sz w:val="24"/>
        </w:rPr>
        <w:t xml:space="preserve"> </w:t>
      </w:r>
      <w:r>
        <w:rPr>
          <w:sz w:val="24"/>
        </w:rPr>
        <w:t>Debits</w:t>
      </w:r>
    </w:p>
    <w:p w:rsidR="007C5447" w:rsidRDefault="00F6308C">
      <w:pPr>
        <w:pStyle w:val="ListParagraph"/>
        <w:numPr>
          <w:ilvl w:val="3"/>
          <w:numId w:val="92"/>
        </w:numPr>
        <w:tabs>
          <w:tab w:val="left" w:pos="2120"/>
          <w:tab w:val="left" w:pos="2121"/>
        </w:tabs>
        <w:spacing w:before="84"/>
        <w:ind w:hanging="620"/>
        <w:jc w:val="left"/>
        <w:rPr>
          <w:sz w:val="24"/>
        </w:rPr>
      </w:pPr>
      <w:r>
        <w:rPr>
          <w:sz w:val="24"/>
        </w:rPr>
        <w:t>Operating Charges and Extra Ordinary</w:t>
      </w:r>
      <w:r>
        <w:rPr>
          <w:spacing w:val="-7"/>
          <w:sz w:val="24"/>
        </w:rPr>
        <w:t xml:space="preserve"> </w:t>
      </w:r>
      <w:r>
        <w:rPr>
          <w:sz w:val="24"/>
        </w:rPr>
        <w:t>Items</w:t>
      </w:r>
    </w:p>
    <w:p w:rsidR="007C5447" w:rsidRDefault="00F6308C">
      <w:pPr>
        <w:pStyle w:val="ListParagraph"/>
        <w:numPr>
          <w:ilvl w:val="3"/>
          <w:numId w:val="92"/>
        </w:numPr>
        <w:tabs>
          <w:tab w:val="left" w:pos="2120"/>
          <w:tab w:val="left" w:pos="2121"/>
        </w:tabs>
        <w:spacing w:before="82"/>
        <w:ind w:hanging="687"/>
        <w:jc w:val="left"/>
        <w:rPr>
          <w:sz w:val="24"/>
        </w:rPr>
      </w:pPr>
      <w:r>
        <w:rPr>
          <w:sz w:val="24"/>
        </w:rPr>
        <w:t>Prior Period</w:t>
      </w:r>
      <w:r>
        <w:rPr>
          <w:spacing w:val="-1"/>
          <w:sz w:val="24"/>
        </w:rPr>
        <w:t xml:space="preserve"> </w:t>
      </w:r>
      <w:r>
        <w:rPr>
          <w:sz w:val="24"/>
        </w:rPr>
        <w:t>Items</w:t>
      </w:r>
    </w:p>
    <w:p w:rsidR="007C5447" w:rsidRDefault="00F6308C">
      <w:pPr>
        <w:pStyle w:val="ListParagraph"/>
        <w:numPr>
          <w:ilvl w:val="3"/>
          <w:numId w:val="92"/>
        </w:numPr>
        <w:tabs>
          <w:tab w:val="left" w:pos="2120"/>
          <w:tab w:val="left" w:pos="2121"/>
        </w:tabs>
        <w:spacing w:before="84"/>
        <w:ind w:hanging="553"/>
        <w:jc w:val="left"/>
        <w:rPr>
          <w:sz w:val="24"/>
        </w:rPr>
      </w:pPr>
      <w:r>
        <w:rPr>
          <w:sz w:val="24"/>
        </w:rPr>
        <w:t>Non- Tariff Income and Other</w:t>
      </w:r>
      <w:r>
        <w:rPr>
          <w:spacing w:val="1"/>
          <w:sz w:val="24"/>
        </w:rPr>
        <w:t xml:space="preserve"> </w:t>
      </w:r>
      <w:r>
        <w:rPr>
          <w:sz w:val="24"/>
        </w:rPr>
        <w:t>Income</w:t>
      </w:r>
    </w:p>
    <w:p w:rsidR="007C5447" w:rsidRDefault="007C5447">
      <w:pPr>
        <w:pStyle w:val="BodyText"/>
        <w:spacing w:before="11"/>
        <w:rPr>
          <w:sz w:val="27"/>
        </w:rPr>
      </w:pPr>
    </w:p>
    <w:p w:rsidR="007C5447" w:rsidRDefault="00F6308C">
      <w:pPr>
        <w:pStyle w:val="Heading2"/>
        <w:numPr>
          <w:ilvl w:val="1"/>
          <w:numId w:val="92"/>
        </w:numPr>
        <w:tabs>
          <w:tab w:val="left" w:pos="1246"/>
          <w:tab w:val="left" w:pos="1247"/>
        </w:tabs>
        <w:jc w:val="left"/>
      </w:pPr>
      <w:bookmarkStart w:id="40" w:name="_bookmark40"/>
      <w:bookmarkEnd w:id="40"/>
      <w:r>
        <w:t>Operation &amp; Maintenance</w:t>
      </w:r>
      <w:r>
        <w:rPr>
          <w:spacing w:val="-3"/>
        </w:rPr>
        <w:t xml:space="preserve"> </w:t>
      </w:r>
      <w:r>
        <w:t>Expenses</w:t>
      </w:r>
    </w:p>
    <w:p w:rsidR="007C5447" w:rsidRDefault="007C5447">
      <w:pPr>
        <w:pStyle w:val="BodyText"/>
        <w:spacing w:before="2"/>
        <w:rPr>
          <w:b/>
          <w:sz w:val="28"/>
        </w:rPr>
      </w:pPr>
    </w:p>
    <w:p w:rsidR="007C5447" w:rsidRDefault="00F6308C">
      <w:pPr>
        <w:pStyle w:val="ListParagraph"/>
        <w:numPr>
          <w:ilvl w:val="2"/>
          <w:numId w:val="92"/>
        </w:numPr>
        <w:tabs>
          <w:tab w:val="left" w:pos="1532"/>
          <w:tab w:val="left" w:pos="1533"/>
        </w:tabs>
        <w:ind w:hanging="853"/>
        <w:rPr>
          <w:sz w:val="24"/>
        </w:rPr>
      </w:pPr>
      <w:r>
        <w:rPr>
          <w:sz w:val="24"/>
        </w:rPr>
        <w:t>TANGEDCO submitted that the O&amp;M expenses claimed in true up for</w:t>
      </w:r>
      <w:r>
        <w:rPr>
          <w:spacing w:val="48"/>
          <w:sz w:val="24"/>
        </w:rPr>
        <w:t xml:space="preserve"> </w:t>
      </w:r>
      <w:r>
        <w:rPr>
          <w:sz w:val="24"/>
        </w:rPr>
        <w:t>generation</w:t>
      </w:r>
    </w:p>
    <w:p w:rsidR="007C5447" w:rsidRDefault="007C5447">
      <w:pPr>
        <w:rPr>
          <w:sz w:val="24"/>
        </w:rPr>
        <w:sectPr w:rsidR="007C5447">
          <w:pgSz w:w="11910" w:h="16840"/>
          <w:pgMar w:top="1360" w:right="560" w:bottom="1240" w:left="760" w:header="0" w:footer="1057" w:gutter="0"/>
          <w:cols w:space="720"/>
        </w:sectPr>
      </w:pPr>
    </w:p>
    <w:p w:rsidR="007C5447" w:rsidRDefault="00F6308C">
      <w:pPr>
        <w:pStyle w:val="BodyText"/>
        <w:spacing w:before="60" w:line="312" w:lineRule="auto"/>
        <w:ind w:left="1532" w:right="876"/>
        <w:jc w:val="both"/>
      </w:pPr>
      <w:r>
        <w:lastRenderedPageBreak/>
        <w:t>and distribution function for FY 2011-12 to FY 2015-16 are based on Audited Accounts for the respective years. TANGEDCO submitted that it had to also independently undertake number of activities such as planning, safety, quality assurance, human resources,</w:t>
      </w:r>
      <w:r>
        <w:t xml:space="preserve"> IT, corporate office, regulatory affairs, legal, accounts, finances, auditing, etc., and various miscellaneous activities.</w:t>
      </w:r>
    </w:p>
    <w:p w:rsidR="007C5447" w:rsidRDefault="007C5447">
      <w:pPr>
        <w:pStyle w:val="BodyText"/>
        <w:spacing w:before="10"/>
        <w:rPr>
          <w:sz w:val="20"/>
        </w:rPr>
      </w:pPr>
    </w:p>
    <w:p w:rsidR="007C5447" w:rsidRDefault="00F6308C">
      <w:pPr>
        <w:pStyle w:val="ListParagraph"/>
        <w:numPr>
          <w:ilvl w:val="2"/>
          <w:numId w:val="92"/>
        </w:numPr>
        <w:tabs>
          <w:tab w:val="left" w:pos="1533"/>
        </w:tabs>
        <w:spacing w:line="312" w:lineRule="auto"/>
        <w:ind w:right="875"/>
        <w:jc w:val="both"/>
        <w:rPr>
          <w:sz w:val="24"/>
        </w:rPr>
      </w:pPr>
      <w:r>
        <w:rPr>
          <w:sz w:val="24"/>
        </w:rPr>
        <w:t>TANGEDCO requested the Commission to allow the Audited O&amp;M expenses incurred by the Generation and Distribution function for FY 201</w:t>
      </w:r>
      <w:r>
        <w:rPr>
          <w:sz w:val="24"/>
        </w:rPr>
        <w:t>1-12 to FY 2015-16. The actual O&amp;M expenses incurred by TANGEDCO during FY 2011-12, FY 2012- 13, FY 2013-14, FY 2014-15, and FY 2015-16 are Rs. 4265.51 Crore, Rs. 4187.25 Crore, Rs. 4940.17 Crore, Rs. 5677.54 Crore, and Rs. 6122.00 Crore, respectively. The</w:t>
      </w:r>
      <w:r>
        <w:rPr>
          <w:sz w:val="24"/>
        </w:rPr>
        <w:t xml:space="preserve"> plant-wise actual O&amp;M expenses as submitted by TANGEDCO are shown in the Table</w:t>
      </w:r>
      <w:r>
        <w:rPr>
          <w:spacing w:val="-1"/>
          <w:sz w:val="24"/>
        </w:rPr>
        <w:t xml:space="preserve"> </w:t>
      </w:r>
      <w:r>
        <w:rPr>
          <w:sz w:val="24"/>
        </w:rPr>
        <w:t>below:</w:t>
      </w:r>
    </w:p>
    <w:p w:rsidR="007C5447" w:rsidRDefault="007C5447">
      <w:pPr>
        <w:pStyle w:val="BodyText"/>
        <w:spacing w:before="2"/>
        <w:rPr>
          <w:sz w:val="21"/>
        </w:rPr>
      </w:pPr>
    </w:p>
    <w:p w:rsidR="007C5447" w:rsidRDefault="00F6308C">
      <w:pPr>
        <w:ind w:left="810" w:right="1008"/>
        <w:jc w:val="center"/>
        <w:rPr>
          <w:b/>
        </w:rPr>
      </w:pPr>
      <w:r>
        <w:rPr>
          <w:b/>
        </w:rPr>
        <w:t>Table 3-11: O&amp;M Expenses as submitted by TANGEDCO (Rs. Crore)</w:t>
      </w:r>
    </w:p>
    <w:p w:rsidR="007C5447" w:rsidRDefault="007C5447">
      <w:pPr>
        <w:pStyle w:val="BodyText"/>
        <w:spacing w:before="11"/>
        <w:rPr>
          <w:b/>
          <w:sz w:val="16"/>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4"/>
        <w:gridCol w:w="2163"/>
        <w:gridCol w:w="1205"/>
        <w:gridCol w:w="1208"/>
        <w:gridCol w:w="1205"/>
        <w:gridCol w:w="1208"/>
        <w:gridCol w:w="1205"/>
      </w:tblGrid>
      <w:tr w:rsidR="007C5447">
        <w:trPr>
          <w:trHeight w:val="323"/>
        </w:trPr>
        <w:tc>
          <w:tcPr>
            <w:tcW w:w="804" w:type="dxa"/>
            <w:shd w:val="clear" w:color="auto" w:fill="F7C9AC"/>
          </w:tcPr>
          <w:p w:rsidR="007C5447" w:rsidRDefault="00F6308C">
            <w:pPr>
              <w:pStyle w:val="TableParagraph"/>
              <w:spacing w:before="48"/>
              <w:ind w:left="271" w:right="265"/>
              <w:jc w:val="center"/>
              <w:rPr>
                <w:b/>
                <w:sz w:val="20"/>
              </w:rPr>
            </w:pPr>
            <w:r>
              <w:rPr>
                <w:b/>
                <w:sz w:val="20"/>
              </w:rPr>
              <w:t>Sl.</w:t>
            </w:r>
          </w:p>
        </w:tc>
        <w:tc>
          <w:tcPr>
            <w:tcW w:w="2163" w:type="dxa"/>
            <w:shd w:val="clear" w:color="auto" w:fill="F7C9AC"/>
          </w:tcPr>
          <w:p w:rsidR="007C5447" w:rsidRDefault="00F6308C">
            <w:pPr>
              <w:pStyle w:val="TableParagraph"/>
              <w:spacing w:before="48"/>
              <w:ind w:left="477"/>
              <w:jc w:val="left"/>
              <w:rPr>
                <w:b/>
                <w:sz w:val="20"/>
              </w:rPr>
            </w:pPr>
            <w:r>
              <w:rPr>
                <w:b/>
                <w:sz w:val="20"/>
              </w:rPr>
              <w:t>Power Station</w:t>
            </w:r>
          </w:p>
        </w:tc>
        <w:tc>
          <w:tcPr>
            <w:tcW w:w="1205" w:type="dxa"/>
            <w:shd w:val="clear" w:color="auto" w:fill="F7C9AC"/>
          </w:tcPr>
          <w:p w:rsidR="007C5447" w:rsidRDefault="00F6308C">
            <w:pPr>
              <w:pStyle w:val="TableParagraph"/>
              <w:spacing w:before="48"/>
              <w:ind w:right="96"/>
              <w:rPr>
                <w:b/>
                <w:sz w:val="20"/>
              </w:rPr>
            </w:pPr>
            <w:r>
              <w:rPr>
                <w:b/>
                <w:sz w:val="20"/>
              </w:rPr>
              <w:t>FY 2011-12</w:t>
            </w:r>
          </w:p>
        </w:tc>
        <w:tc>
          <w:tcPr>
            <w:tcW w:w="1208" w:type="dxa"/>
            <w:shd w:val="clear" w:color="auto" w:fill="F7C9AC"/>
          </w:tcPr>
          <w:p w:rsidR="007C5447" w:rsidRDefault="00F6308C">
            <w:pPr>
              <w:pStyle w:val="TableParagraph"/>
              <w:spacing w:before="48"/>
              <w:ind w:right="99"/>
              <w:rPr>
                <w:b/>
                <w:sz w:val="20"/>
              </w:rPr>
            </w:pPr>
            <w:r>
              <w:rPr>
                <w:b/>
                <w:sz w:val="20"/>
              </w:rPr>
              <w:t>FY 2012-13</w:t>
            </w:r>
          </w:p>
        </w:tc>
        <w:tc>
          <w:tcPr>
            <w:tcW w:w="1205" w:type="dxa"/>
            <w:shd w:val="clear" w:color="auto" w:fill="F7C9AC"/>
          </w:tcPr>
          <w:p w:rsidR="007C5447" w:rsidRDefault="00F6308C">
            <w:pPr>
              <w:pStyle w:val="TableParagraph"/>
              <w:spacing w:before="48"/>
              <w:ind w:right="97"/>
              <w:rPr>
                <w:b/>
                <w:sz w:val="20"/>
              </w:rPr>
            </w:pPr>
            <w:r>
              <w:rPr>
                <w:b/>
                <w:sz w:val="20"/>
              </w:rPr>
              <w:t>FY 2013-14</w:t>
            </w:r>
          </w:p>
        </w:tc>
        <w:tc>
          <w:tcPr>
            <w:tcW w:w="1208" w:type="dxa"/>
            <w:shd w:val="clear" w:color="auto" w:fill="F7C9AC"/>
          </w:tcPr>
          <w:p w:rsidR="007C5447" w:rsidRDefault="00F6308C">
            <w:pPr>
              <w:pStyle w:val="TableParagraph"/>
              <w:spacing w:before="48"/>
              <w:ind w:right="99"/>
              <w:rPr>
                <w:b/>
                <w:sz w:val="20"/>
              </w:rPr>
            </w:pPr>
            <w:r>
              <w:rPr>
                <w:b/>
                <w:sz w:val="20"/>
              </w:rPr>
              <w:t>FY 2014-15</w:t>
            </w:r>
          </w:p>
        </w:tc>
        <w:tc>
          <w:tcPr>
            <w:tcW w:w="1205" w:type="dxa"/>
            <w:shd w:val="clear" w:color="auto" w:fill="F7C9AC"/>
          </w:tcPr>
          <w:p w:rsidR="007C5447" w:rsidRDefault="00F6308C">
            <w:pPr>
              <w:pStyle w:val="TableParagraph"/>
              <w:spacing w:before="48"/>
              <w:ind w:right="97"/>
              <w:rPr>
                <w:b/>
                <w:sz w:val="20"/>
              </w:rPr>
            </w:pPr>
            <w:r>
              <w:rPr>
                <w:b/>
                <w:sz w:val="20"/>
              </w:rPr>
              <w:t>FY 2015-16</w:t>
            </w:r>
          </w:p>
        </w:tc>
      </w:tr>
      <w:tr w:rsidR="007C5447">
        <w:trPr>
          <w:trHeight w:val="326"/>
        </w:trPr>
        <w:tc>
          <w:tcPr>
            <w:tcW w:w="804" w:type="dxa"/>
          </w:tcPr>
          <w:p w:rsidR="007C5447" w:rsidRDefault="00F6308C">
            <w:pPr>
              <w:pStyle w:val="TableParagraph"/>
              <w:spacing w:before="48"/>
              <w:ind w:left="6"/>
              <w:jc w:val="center"/>
              <w:rPr>
                <w:sz w:val="20"/>
              </w:rPr>
            </w:pPr>
            <w:r>
              <w:rPr>
                <w:w w:val="99"/>
                <w:sz w:val="20"/>
              </w:rPr>
              <w:t>1</w:t>
            </w:r>
          </w:p>
        </w:tc>
        <w:tc>
          <w:tcPr>
            <w:tcW w:w="2163" w:type="dxa"/>
          </w:tcPr>
          <w:p w:rsidR="007C5447" w:rsidRDefault="00F6308C">
            <w:pPr>
              <w:pStyle w:val="TableParagraph"/>
              <w:spacing w:before="48"/>
              <w:ind w:left="107"/>
              <w:jc w:val="left"/>
              <w:rPr>
                <w:sz w:val="20"/>
              </w:rPr>
            </w:pPr>
            <w:r>
              <w:rPr>
                <w:sz w:val="20"/>
              </w:rPr>
              <w:t>Ennore TPS</w:t>
            </w:r>
          </w:p>
        </w:tc>
        <w:tc>
          <w:tcPr>
            <w:tcW w:w="1205" w:type="dxa"/>
          </w:tcPr>
          <w:p w:rsidR="007C5447" w:rsidRDefault="00F6308C">
            <w:pPr>
              <w:pStyle w:val="TableParagraph"/>
              <w:spacing w:before="48"/>
              <w:ind w:right="194"/>
              <w:rPr>
                <w:sz w:val="20"/>
              </w:rPr>
            </w:pPr>
            <w:r>
              <w:rPr>
                <w:w w:val="95"/>
                <w:sz w:val="20"/>
              </w:rPr>
              <w:t>103.78</w:t>
            </w:r>
          </w:p>
        </w:tc>
        <w:tc>
          <w:tcPr>
            <w:tcW w:w="1208" w:type="dxa"/>
          </w:tcPr>
          <w:p w:rsidR="007C5447" w:rsidRDefault="00F6308C">
            <w:pPr>
              <w:pStyle w:val="TableParagraph"/>
              <w:spacing w:before="48"/>
              <w:ind w:right="197"/>
              <w:rPr>
                <w:sz w:val="20"/>
              </w:rPr>
            </w:pPr>
            <w:r>
              <w:rPr>
                <w:w w:val="95"/>
                <w:sz w:val="20"/>
              </w:rPr>
              <w:t>88.71</w:t>
            </w:r>
          </w:p>
        </w:tc>
        <w:tc>
          <w:tcPr>
            <w:tcW w:w="1205" w:type="dxa"/>
          </w:tcPr>
          <w:p w:rsidR="007C5447" w:rsidRDefault="00F6308C">
            <w:pPr>
              <w:pStyle w:val="TableParagraph"/>
              <w:spacing w:before="48"/>
              <w:ind w:right="195"/>
              <w:rPr>
                <w:sz w:val="20"/>
              </w:rPr>
            </w:pPr>
            <w:r>
              <w:rPr>
                <w:w w:val="95"/>
                <w:sz w:val="20"/>
              </w:rPr>
              <w:t>106.25</w:t>
            </w:r>
          </w:p>
        </w:tc>
        <w:tc>
          <w:tcPr>
            <w:tcW w:w="1208" w:type="dxa"/>
          </w:tcPr>
          <w:p w:rsidR="007C5447" w:rsidRDefault="00F6308C">
            <w:pPr>
              <w:pStyle w:val="TableParagraph"/>
              <w:spacing w:before="17"/>
              <w:ind w:right="195"/>
              <w:rPr>
                <w:sz w:val="20"/>
              </w:rPr>
            </w:pPr>
            <w:r>
              <w:rPr>
                <w:w w:val="95"/>
                <w:sz w:val="20"/>
              </w:rPr>
              <w:t>109.07</w:t>
            </w:r>
          </w:p>
        </w:tc>
        <w:tc>
          <w:tcPr>
            <w:tcW w:w="1205" w:type="dxa"/>
          </w:tcPr>
          <w:p w:rsidR="007C5447" w:rsidRDefault="00F6308C">
            <w:pPr>
              <w:pStyle w:val="TableParagraph"/>
              <w:spacing w:before="17"/>
              <w:ind w:left="449"/>
              <w:jc w:val="left"/>
              <w:rPr>
                <w:sz w:val="20"/>
              </w:rPr>
            </w:pPr>
            <w:r>
              <w:rPr>
                <w:sz w:val="20"/>
              </w:rPr>
              <w:t>135.55</w:t>
            </w:r>
          </w:p>
        </w:tc>
      </w:tr>
      <w:tr w:rsidR="007C5447">
        <w:trPr>
          <w:trHeight w:val="325"/>
        </w:trPr>
        <w:tc>
          <w:tcPr>
            <w:tcW w:w="804" w:type="dxa"/>
          </w:tcPr>
          <w:p w:rsidR="007C5447" w:rsidRDefault="00F6308C">
            <w:pPr>
              <w:pStyle w:val="TableParagraph"/>
              <w:spacing w:before="48"/>
              <w:ind w:left="6"/>
              <w:jc w:val="center"/>
              <w:rPr>
                <w:sz w:val="20"/>
              </w:rPr>
            </w:pPr>
            <w:r>
              <w:rPr>
                <w:w w:val="99"/>
                <w:sz w:val="20"/>
              </w:rPr>
              <w:t>2</w:t>
            </w:r>
          </w:p>
        </w:tc>
        <w:tc>
          <w:tcPr>
            <w:tcW w:w="2163" w:type="dxa"/>
          </w:tcPr>
          <w:p w:rsidR="007C5447" w:rsidRDefault="00F6308C">
            <w:pPr>
              <w:pStyle w:val="TableParagraph"/>
              <w:spacing w:before="48"/>
              <w:ind w:left="107"/>
              <w:jc w:val="left"/>
              <w:rPr>
                <w:sz w:val="20"/>
              </w:rPr>
            </w:pPr>
            <w:r>
              <w:rPr>
                <w:sz w:val="20"/>
              </w:rPr>
              <w:t>Tuticorin TPS</w:t>
            </w:r>
          </w:p>
        </w:tc>
        <w:tc>
          <w:tcPr>
            <w:tcW w:w="1205" w:type="dxa"/>
          </w:tcPr>
          <w:p w:rsidR="007C5447" w:rsidRDefault="00F6308C">
            <w:pPr>
              <w:pStyle w:val="TableParagraph"/>
              <w:spacing w:before="48"/>
              <w:ind w:right="194"/>
              <w:rPr>
                <w:sz w:val="20"/>
              </w:rPr>
            </w:pPr>
            <w:r>
              <w:rPr>
                <w:w w:val="95"/>
                <w:sz w:val="20"/>
              </w:rPr>
              <w:t>191.36</w:t>
            </w:r>
          </w:p>
        </w:tc>
        <w:tc>
          <w:tcPr>
            <w:tcW w:w="1208" w:type="dxa"/>
          </w:tcPr>
          <w:p w:rsidR="007C5447" w:rsidRDefault="00F6308C">
            <w:pPr>
              <w:pStyle w:val="TableParagraph"/>
              <w:spacing w:before="48"/>
              <w:ind w:left="448"/>
              <w:jc w:val="left"/>
              <w:rPr>
                <w:sz w:val="20"/>
              </w:rPr>
            </w:pPr>
            <w:r>
              <w:rPr>
                <w:sz w:val="20"/>
              </w:rPr>
              <w:t>244.51</w:t>
            </w:r>
          </w:p>
        </w:tc>
        <w:tc>
          <w:tcPr>
            <w:tcW w:w="1205" w:type="dxa"/>
          </w:tcPr>
          <w:p w:rsidR="007C5447" w:rsidRDefault="00F6308C">
            <w:pPr>
              <w:pStyle w:val="TableParagraph"/>
              <w:spacing w:before="48"/>
              <w:ind w:right="195"/>
              <w:rPr>
                <w:sz w:val="20"/>
              </w:rPr>
            </w:pPr>
            <w:r>
              <w:rPr>
                <w:w w:val="95"/>
                <w:sz w:val="20"/>
              </w:rPr>
              <w:t>262.42</w:t>
            </w:r>
          </w:p>
        </w:tc>
        <w:tc>
          <w:tcPr>
            <w:tcW w:w="1208" w:type="dxa"/>
          </w:tcPr>
          <w:p w:rsidR="007C5447" w:rsidRDefault="00F6308C">
            <w:pPr>
              <w:pStyle w:val="TableParagraph"/>
              <w:spacing w:before="14"/>
              <w:ind w:right="195"/>
              <w:rPr>
                <w:sz w:val="20"/>
              </w:rPr>
            </w:pPr>
            <w:r>
              <w:rPr>
                <w:w w:val="95"/>
                <w:sz w:val="20"/>
              </w:rPr>
              <w:t>261.42</w:t>
            </w:r>
          </w:p>
        </w:tc>
        <w:tc>
          <w:tcPr>
            <w:tcW w:w="1205" w:type="dxa"/>
          </w:tcPr>
          <w:p w:rsidR="007C5447" w:rsidRDefault="00F6308C">
            <w:pPr>
              <w:pStyle w:val="TableParagraph"/>
              <w:spacing w:before="14"/>
              <w:ind w:left="449"/>
              <w:jc w:val="left"/>
              <w:rPr>
                <w:sz w:val="20"/>
              </w:rPr>
            </w:pPr>
            <w:r>
              <w:rPr>
                <w:sz w:val="20"/>
              </w:rPr>
              <w:t>316.49</w:t>
            </w:r>
          </w:p>
        </w:tc>
      </w:tr>
      <w:tr w:rsidR="007C5447">
        <w:trPr>
          <w:trHeight w:val="323"/>
        </w:trPr>
        <w:tc>
          <w:tcPr>
            <w:tcW w:w="804" w:type="dxa"/>
          </w:tcPr>
          <w:p w:rsidR="007C5447" w:rsidRDefault="00F6308C">
            <w:pPr>
              <w:pStyle w:val="TableParagraph"/>
              <w:spacing w:before="46"/>
              <w:ind w:left="6"/>
              <w:jc w:val="center"/>
              <w:rPr>
                <w:sz w:val="20"/>
              </w:rPr>
            </w:pPr>
            <w:r>
              <w:rPr>
                <w:w w:val="99"/>
                <w:sz w:val="20"/>
              </w:rPr>
              <w:t>3</w:t>
            </w:r>
          </w:p>
        </w:tc>
        <w:tc>
          <w:tcPr>
            <w:tcW w:w="2163" w:type="dxa"/>
          </w:tcPr>
          <w:p w:rsidR="007C5447" w:rsidRDefault="00F6308C">
            <w:pPr>
              <w:pStyle w:val="TableParagraph"/>
              <w:spacing w:before="46"/>
              <w:ind w:left="107"/>
              <w:jc w:val="left"/>
              <w:rPr>
                <w:sz w:val="20"/>
              </w:rPr>
            </w:pPr>
            <w:r>
              <w:rPr>
                <w:sz w:val="20"/>
              </w:rPr>
              <w:t>Mettur TPS</w:t>
            </w:r>
          </w:p>
        </w:tc>
        <w:tc>
          <w:tcPr>
            <w:tcW w:w="1205" w:type="dxa"/>
          </w:tcPr>
          <w:p w:rsidR="007C5447" w:rsidRDefault="00F6308C">
            <w:pPr>
              <w:pStyle w:val="TableParagraph"/>
              <w:spacing w:before="46"/>
              <w:ind w:right="192"/>
              <w:rPr>
                <w:sz w:val="20"/>
              </w:rPr>
            </w:pPr>
            <w:r>
              <w:rPr>
                <w:sz w:val="20"/>
              </w:rPr>
              <w:t>104.74</w:t>
            </w:r>
          </w:p>
        </w:tc>
        <w:tc>
          <w:tcPr>
            <w:tcW w:w="1208" w:type="dxa"/>
          </w:tcPr>
          <w:p w:rsidR="007C5447" w:rsidRDefault="00F6308C">
            <w:pPr>
              <w:pStyle w:val="TableParagraph"/>
              <w:spacing w:before="46"/>
              <w:ind w:left="448"/>
              <w:jc w:val="left"/>
              <w:rPr>
                <w:sz w:val="20"/>
              </w:rPr>
            </w:pPr>
            <w:r>
              <w:rPr>
                <w:sz w:val="20"/>
              </w:rPr>
              <w:t>115.03</w:t>
            </w:r>
          </w:p>
        </w:tc>
        <w:tc>
          <w:tcPr>
            <w:tcW w:w="1205" w:type="dxa"/>
          </w:tcPr>
          <w:p w:rsidR="007C5447" w:rsidRDefault="00F6308C">
            <w:pPr>
              <w:pStyle w:val="TableParagraph"/>
              <w:spacing w:before="46"/>
              <w:ind w:right="195"/>
              <w:rPr>
                <w:sz w:val="20"/>
              </w:rPr>
            </w:pPr>
            <w:r>
              <w:rPr>
                <w:w w:val="95"/>
                <w:sz w:val="20"/>
              </w:rPr>
              <w:t>170.50</w:t>
            </w:r>
          </w:p>
        </w:tc>
        <w:tc>
          <w:tcPr>
            <w:tcW w:w="1208" w:type="dxa"/>
          </w:tcPr>
          <w:p w:rsidR="007C5447" w:rsidRDefault="00F6308C">
            <w:pPr>
              <w:pStyle w:val="TableParagraph"/>
              <w:spacing w:before="14"/>
              <w:ind w:right="195"/>
              <w:rPr>
                <w:sz w:val="20"/>
              </w:rPr>
            </w:pPr>
            <w:r>
              <w:rPr>
                <w:w w:val="95"/>
                <w:sz w:val="20"/>
              </w:rPr>
              <w:t>234.14</w:t>
            </w:r>
          </w:p>
        </w:tc>
        <w:tc>
          <w:tcPr>
            <w:tcW w:w="1205" w:type="dxa"/>
          </w:tcPr>
          <w:p w:rsidR="007C5447" w:rsidRDefault="00F6308C">
            <w:pPr>
              <w:pStyle w:val="TableParagraph"/>
              <w:spacing w:before="14"/>
              <w:ind w:left="449"/>
              <w:jc w:val="left"/>
              <w:rPr>
                <w:sz w:val="20"/>
              </w:rPr>
            </w:pPr>
            <w:r>
              <w:rPr>
                <w:sz w:val="20"/>
              </w:rPr>
              <w:t>241.95</w:t>
            </w:r>
          </w:p>
        </w:tc>
      </w:tr>
      <w:tr w:rsidR="007C5447">
        <w:trPr>
          <w:trHeight w:val="326"/>
        </w:trPr>
        <w:tc>
          <w:tcPr>
            <w:tcW w:w="804" w:type="dxa"/>
          </w:tcPr>
          <w:p w:rsidR="007C5447" w:rsidRDefault="00F6308C">
            <w:pPr>
              <w:pStyle w:val="TableParagraph"/>
              <w:spacing w:before="48"/>
              <w:ind w:left="6"/>
              <w:jc w:val="center"/>
              <w:rPr>
                <w:sz w:val="20"/>
              </w:rPr>
            </w:pPr>
            <w:r>
              <w:rPr>
                <w:w w:val="99"/>
                <w:sz w:val="20"/>
              </w:rPr>
              <w:t>4</w:t>
            </w:r>
          </w:p>
        </w:tc>
        <w:tc>
          <w:tcPr>
            <w:tcW w:w="2163" w:type="dxa"/>
          </w:tcPr>
          <w:p w:rsidR="007C5447" w:rsidRDefault="00F6308C">
            <w:pPr>
              <w:pStyle w:val="TableParagraph"/>
              <w:spacing w:before="48"/>
              <w:ind w:left="107"/>
              <w:jc w:val="left"/>
              <w:rPr>
                <w:sz w:val="20"/>
              </w:rPr>
            </w:pPr>
            <w:r>
              <w:rPr>
                <w:sz w:val="20"/>
              </w:rPr>
              <w:t>North Chennai TPS</w:t>
            </w:r>
          </w:p>
        </w:tc>
        <w:tc>
          <w:tcPr>
            <w:tcW w:w="1205" w:type="dxa"/>
          </w:tcPr>
          <w:p w:rsidR="007C5447" w:rsidRDefault="00F6308C">
            <w:pPr>
              <w:pStyle w:val="TableParagraph"/>
              <w:spacing w:before="48"/>
              <w:ind w:right="194"/>
              <w:rPr>
                <w:sz w:val="20"/>
              </w:rPr>
            </w:pPr>
            <w:r>
              <w:rPr>
                <w:w w:val="95"/>
                <w:sz w:val="20"/>
              </w:rPr>
              <w:t>121.32</w:t>
            </w:r>
          </w:p>
        </w:tc>
        <w:tc>
          <w:tcPr>
            <w:tcW w:w="1208" w:type="dxa"/>
          </w:tcPr>
          <w:p w:rsidR="007C5447" w:rsidRDefault="00F6308C">
            <w:pPr>
              <w:pStyle w:val="TableParagraph"/>
              <w:spacing w:before="48"/>
              <w:ind w:left="448"/>
              <w:jc w:val="left"/>
              <w:rPr>
                <w:sz w:val="20"/>
              </w:rPr>
            </w:pPr>
            <w:r>
              <w:rPr>
                <w:sz w:val="20"/>
              </w:rPr>
              <w:t>143.97</w:t>
            </w:r>
          </w:p>
        </w:tc>
        <w:tc>
          <w:tcPr>
            <w:tcW w:w="1205" w:type="dxa"/>
          </w:tcPr>
          <w:p w:rsidR="007C5447" w:rsidRDefault="00F6308C">
            <w:pPr>
              <w:pStyle w:val="TableParagraph"/>
              <w:spacing w:before="48"/>
              <w:ind w:right="195"/>
              <w:rPr>
                <w:sz w:val="20"/>
              </w:rPr>
            </w:pPr>
            <w:r>
              <w:rPr>
                <w:w w:val="95"/>
                <w:sz w:val="20"/>
              </w:rPr>
              <w:t>221.02</w:t>
            </w:r>
          </w:p>
        </w:tc>
        <w:tc>
          <w:tcPr>
            <w:tcW w:w="1208" w:type="dxa"/>
          </w:tcPr>
          <w:p w:rsidR="007C5447" w:rsidRDefault="00F6308C">
            <w:pPr>
              <w:pStyle w:val="TableParagraph"/>
              <w:spacing w:before="14"/>
              <w:ind w:right="195"/>
              <w:rPr>
                <w:sz w:val="20"/>
              </w:rPr>
            </w:pPr>
            <w:r>
              <w:rPr>
                <w:w w:val="95"/>
                <w:sz w:val="20"/>
              </w:rPr>
              <w:t>259.35</w:t>
            </w:r>
          </w:p>
        </w:tc>
        <w:tc>
          <w:tcPr>
            <w:tcW w:w="1205" w:type="dxa"/>
          </w:tcPr>
          <w:p w:rsidR="007C5447" w:rsidRDefault="00F6308C">
            <w:pPr>
              <w:pStyle w:val="TableParagraph"/>
              <w:spacing w:before="14"/>
              <w:ind w:left="449"/>
              <w:jc w:val="left"/>
              <w:rPr>
                <w:sz w:val="20"/>
              </w:rPr>
            </w:pPr>
            <w:r>
              <w:rPr>
                <w:sz w:val="20"/>
              </w:rPr>
              <w:t>225.72</w:t>
            </w:r>
          </w:p>
        </w:tc>
      </w:tr>
      <w:tr w:rsidR="007C5447">
        <w:trPr>
          <w:trHeight w:val="323"/>
        </w:trPr>
        <w:tc>
          <w:tcPr>
            <w:tcW w:w="804" w:type="dxa"/>
          </w:tcPr>
          <w:p w:rsidR="007C5447" w:rsidRDefault="00F6308C">
            <w:pPr>
              <w:pStyle w:val="TableParagraph"/>
              <w:spacing w:before="48"/>
              <w:ind w:left="6"/>
              <w:jc w:val="center"/>
              <w:rPr>
                <w:sz w:val="20"/>
              </w:rPr>
            </w:pPr>
            <w:r>
              <w:rPr>
                <w:w w:val="99"/>
                <w:sz w:val="20"/>
              </w:rPr>
              <w:t>5</w:t>
            </w:r>
          </w:p>
        </w:tc>
        <w:tc>
          <w:tcPr>
            <w:tcW w:w="2163" w:type="dxa"/>
          </w:tcPr>
          <w:p w:rsidR="007C5447" w:rsidRDefault="00F6308C">
            <w:pPr>
              <w:pStyle w:val="TableParagraph"/>
              <w:spacing w:before="48"/>
              <w:ind w:left="107"/>
              <w:jc w:val="left"/>
              <w:rPr>
                <w:sz w:val="20"/>
              </w:rPr>
            </w:pPr>
            <w:r>
              <w:rPr>
                <w:sz w:val="20"/>
              </w:rPr>
              <w:t>Mettur TPS Stage III</w:t>
            </w:r>
          </w:p>
        </w:tc>
        <w:tc>
          <w:tcPr>
            <w:tcW w:w="1205" w:type="dxa"/>
          </w:tcPr>
          <w:p w:rsidR="007C5447" w:rsidRDefault="00F6308C">
            <w:pPr>
              <w:pStyle w:val="TableParagraph"/>
              <w:spacing w:before="48"/>
              <w:ind w:right="190"/>
              <w:rPr>
                <w:sz w:val="20"/>
              </w:rPr>
            </w:pPr>
            <w:r>
              <w:rPr>
                <w:w w:val="99"/>
                <w:sz w:val="20"/>
              </w:rPr>
              <w:t>-</w:t>
            </w:r>
          </w:p>
        </w:tc>
        <w:tc>
          <w:tcPr>
            <w:tcW w:w="1208" w:type="dxa"/>
          </w:tcPr>
          <w:p w:rsidR="007C5447" w:rsidRDefault="00F6308C">
            <w:pPr>
              <w:pStyle w:val="TableParagraph"/>
              <w:spacing w:before="48"/>
              <w:ind w:right="193"/>
              <w:rPr>
                <w:sz w:val="20"/>
              </w:rPr>
            </w:pPr>
            <w:r>
              <w:rPr>
                <w:w w:val="99"/>
                <w:sz w:val="20"/>
              </w:rPr>
              <w:t>-</w:t>
            </w:r>
          </w:p>
        </w:tc>
        <w:tc>
          <w:tcPr>
            <w:tcW w:w="1205" w:type="dxa"/>
          </w:tcPr>
          <w:p w:rsidR="007C5447" w:rsidRDefault="00F6308C">
            <w:pPr>
              <w:pStyle w:val="TableParagraph"/>
              <w:spacing w:before="48"/>
              <w:ind w:right="191"/>
              <w:rPr>
                <w:sz w:val="20"/>
              </w:rPr>
            </w:pPr>
            <w:r>
              <w:rPr>
                <w:w w:val="99"/>
                <w:sz w:val="20"/>
              </w:rPr>
              <w:t>-</w:t>
            </w:r>
          </w:p>
        </w:tc>
        <w:tc>
          <w:tcPr>
            <w:tcW w:w="1208" w:type="dxa"/>
          </w:tcPr>
          <w:p w:rsidR="007C5447" w:rsidRDefault="00F6308C">
            <w:pPr>
              <w:pStyle w:val="TableParagraph"/>
              <w:spacing w:before="14"/>
              <w:ind w:right="195"/>
              <w:rPr>
                <w:sz w:val="20"/>
              </w:rPr>
            </w:pPr>
            <w:r>
              <w:rPr>
                <w:sz w:val="20"/>
              </w:rPr>
              <w:t>50.29</w:t>
            </w:r>
          </w:p>
        </w:tc>
        <w:tc>
          <w:tcPr>
            <w:tcW w:w="1205" w:type="dxa"/>
          </w:tcPr>
          <w:p w:rsidR="007C5447" w:rsidRDefault="00F6308C">
            <w:pPr>
              <w:pStyle w:val="TableParagraph"/>
              <w:spacing w:before="14"/>
              <w:ind w:left="416"/>
              <w:jc w:val="left"/>
              <w:rPr>
                <w:sz w:val="20"/>
              </w:rPr>
            </w:pPr>
            <w:r>
              <w:rPr>
                <w:sz w:val="20"/>
              </w:rPr>
              <w:t>(26.93)</w:t>
            </w:r>
          </w:p>
        </w:tc>
      </w:tr>
      <w:tr w:rsidR="007C5447">
        <w:trPr>
          <w:trHeight w:val="326"/>
        </w:trPr>
        <w:tc>
          <w:tcPr>
            <w:tcW w:w="804" w:type="dxa"/>
          </w:tcPr>
          <w:p w:rsidR="007C5447" w:rsidRDefault="00F6308C">
            <w:pPr>
              <w:pStyle w:val="TableParagraph"/>
              <w:spacing w:before="48"/>
              <w:ind w:left="6"/>
              <w:jc w:val="center"/>
              <w:rPr>
                <w:sz w:val="20"/>
              </w:rPr>
            </w:pPr>
            <w:r>
              <w:rPr>
                <w:w w:val="99"/>
                <w:sz w:val="20"/>
              </w:rPr>
              <w:t>6</w:t>
            </w:r>
          </w:p>
        </w:tc>
        <w:tc>
          <w:tcPr>
            <w:tcW w:w="2163" w:type="dxa"/>
          </w:tcPr>
          <w:p w:rsidR="007C5447" w:rsidRDefault="00F6308C">
            <w:pPr>
              <w:pStyle w:val="TableParagraph"/>
              <w:spacing w:before="48"/>
              <w:ind w:left="107"/>
              <w:jc w:val="left"/>
              <w:rPr>
                <w:sz w:val="20"/>
              </w:rPr>
            </w:pPr>
            <w:r>
              <w:rPr>
                <w:sz w:val="20"/>
              </w:rPr>
              <w:t>NCTPS Stage II</w:t>
            </w:r>
          </w:p>
        </w:tc>
        <w:tc>
          <w:tcPr>
            <w:tcW w:w="1205" w:type="dxa"/>
          </w:tcPr>
          <w:p w:rsidR="007C5447" w:rsidRDefault="007C5447">
            <w:pPr>
              <w:pStyle w:val="TableParagraph"/>
              <w:jc w:val="left"/>
            </w:pPr>
          </w:p>
        </w:tc>
        <w:tc>
          <w:tcPr>
            <w:tcW w:w="1208" w:type="dxa"/>
          </w:tcPr>
          <w:p w:rsidR="007C5447" w:rsidRDefault="007C5447">
            <w:pPr>
              <w:pStyle w:val="TableParagraph"/>
              <w:jc w:val="left"/>
            </w:pPr>
          </w:p>
        </w:tc>
        <w:tc>
          <w:tcPr>
            <w:tcW w:w="1205" w:type="dxa"/>
          </w:tcPr>
          <w:p w:rsidR="007C5447" w:rsidRDefault="007C5447">
            <w:pPr>
              <w:pStyle w:val="TableParagraph"/>
              <w:jc w:val="left"/>
            </w:pPr>
          </w:p>
        </w:tc>
        <w:tc>
          <w:tcPr>
            <w:tcW w:w="1208" w:type="dxa"/>
          </w:tcPr>
          <w:p w:rsidR="007C5447" w:rsidRDefault="00F6308C">
            <w:pPr>
              <w:pStyle w:val="TableParagraph"/>
              <w:spacing w:before="17"/>
              <w:ind w:right="195"/>
              <w:rPr>
                <w:sz w:val="20"/>
              </w:rPr>
            </w:pPr>
            <w:r>
              <w:rPr>
                <w:sz w:val="20"/>
              </w:rPr>
              <w:t>27.78</w:t>
            </w:r>
          </w:p>
        </w:tc>
        <w:tc>
          <w:tcPr>
            <w:tcW w:w="1205" w:type="dxa"/>
          </w:tcPr>
          <w:p w:rsidR="007C5447" w:rsidRDefault="00F6308C">
            <w:pPr>
              <w:pStyle w:val="TableParagraph"/>
              <w:spacing w:before="17"/>
              <w:ind w:left="449"/>
              <w:jc w:val="left"/>
              <w:rPr>
                <w:sz w:val="20"/>
              </w:rPr>
            </w:pPr>
            <w:r>
              <w:rPr>
                <w:sz w:val="20"/>
              </w:rPr>
              <w:t>166.59</w:t>
            </w:r>
          </w:p>
        </w:tc>
      </w:tr>
      <w:tr w:rsidR="007C5447">
        <w:trPr>
          <w:trHeight w:val="325"/>
        </w:trPr>
        <w:tc>
          <w:tcPr>
            <w:tcW w:w="804" w:type="dxa"/>
          </w:tcPr>
          <w:p w:rsidR="007C5447" w:rsidRDefault="00F6308C">
            <w:pPr>
              <w:pStyle w:val="TableParagraph"/>
              <w:spacing w:before="48"/>
              <w:ind w:left="6"/>
              <w:jc w:val="center"/>
              <w:rPr>
                <w:sz w:val="20"/>
              </w:rPr>
            </w:pPr>
            <w:r>
              <w:rPr>
                <w:w w:val="99"/>
                <w:sz w:val="20"/>
              </w:rPr>
              <w:t>7</w:t>
            </w:r>
          </w:p>
        </w:tc>
        <w:tc>
          <w:tcPr>
            <w:tcW w:w="2163" w:type="dxa"/>
          </w:tcPr>
          <w:p w:rsidR="007C5447" w:rsidRDefault="00F6308C">
            <w:pPr>
              <w:pStyle w:val="TableParagraph"/>
              <w:spacing w:before="48"/>
              <w:ind w:left="107"/>
              <w:jc w:val="left"/>
              <w:rPr>
                <w:sz w:val="20"/>
              </w:rPr>
            </w:pPr>
            <w:r>
              <w:rPr>
                <w:sz w:val="20"/>
              </w:rPr>
              <w:t>Tirumakottai GTPS</w:t>
            </w:r>
          </w:p>
        </w:tc>
        <w:tc>
          <w:tcPr>
            <w:tcW w:w="1205" w:type="dxa"/>
          </w:tcPr>
          <w:p w:rsidR="007C5447" w:rsidRDefault="00F6308C">
            <w:pPr>
              <w:pStyle w:val="TableParagraph"/>
              <w:spacing w:before="48"/>
              <w:ind w:right="194"/>
              <w:rPr>
                <w:sz w:val="20"/>
              </w:rPr>
            </w:pPr>
            <w:r>
              <w:rPr>
                <w:sz w:val="20"/>
              </w:rPr>
              <w:t>6.13</w:t>
            </w:r>
          </w:p>
        </w:tc>
        <w:tc>
          <w:tcPr>
            <w:tcW w:w="1208" w:type="dxa"/>
          </w:tcPr>
          <w:p w:rsidR="007C5447" w:rsidRDefault="00F6308C">
            <w:pPr>
              <w:pStyle w:val="TableParagraph"/>
              <w:spacing w:before="48"/>
              <w:ind w:right="197"/>
              <w:rPr>
                <w:sz w:val="20"/>
              </w:rPr>
            </w:pPr>
            <w:r>
              <w:rPr>
                <w:sz w:val="20"/>
              </w:rPr>
              <w:t>7.06</w:t>
            </w:r>
          </w:p>
        </w:tc>
        <w:tc>
          <w:tcPr>
            <w:tcW w:w="1205" w:type="dxa"/>
          </w:tcPr>
          <w:p w:rsidR="007C5447" w:rsidRDefault="00F6308C">
            <w:pPr>
              <w:pStyle w:val="TableParagraph"/>
              <w:spacing w:before="48"/>
              <w:ind w:right="194"/>
              <w:rPr>
                <w:sz w:val="20"/>
              </w:rPr>
            </w:pPr>
            <w:r>
              <w:rPr>
                <w:sz w:val="20"/>
              </w:rPr>
              <w:t>7.45</w:t>
            </w:r>
          </w:p>
        </w:tc>
        <w:tc>
          <w:tcPr>
            <w:tcW w:w="1208" w:type="dxa"/>
          </w:tcPr>
          <w:p w:rsidR="007C5447" w:rsidRDefault="00F6308C">
            <w:pPr>
              <w:pStyle w:val="TableParagraph"/>
              <w:spacing w:before="14"/>
              <w:ind w:right="195"/>
              <w:rPr>
                <w:sz w:val="20"/>
              </w:rPr>
            </w:pPr>
            <w:r>
              <w:rPr>
                <w:sz w:val="20"/>
              </w:rPr>
              <w:t>5.44</w:t>
            </w:r>
          </w:p>
        </w:tc>
        <w:tc>
          <w:tcPr>
            <w:tcW w:w="1205" w:type="dxa"/>
          </w:tcPr>
          <w:p w:rsidR="007C5447" w:rsidRDefault="00F6308C">
            <w:pPr>
              <w:pStyle w:val="TableParagraph"/>
              <w:spacing w:before="14"/>
              <w:ind w:right="193"/>
              <w:rPr>
                <w:sz w:val="20"/>
              </w:rPr>
            </w:pPr>
            <w:r>
              <w:rPr>
                <w:sz w:val="20"/>
              </w:rPr>
              <w:t>12.68</w:t>
            </w:r>
          </w:p>
        </w:tc>
      </w:tr>
      <w:tr w:rsidR="007C5447">
        <w:trPr>
          <w:trHeight w:val="323"/>
        </w:trPr>
        <w:tc>
          <w:tcPr>
            <w:tcW w:w="804" w:type="dxa"/>
          </w:tcPr>
          <w:p w:rsidR="007C5447" w:rsidRDefault="00F6308C">
            <w:pPr>
              <w:pStyle w:val="TableParagraph"/>
              <w:spacing w:before="46"/>
              <w:ind w:left="6"/>
              <w:jc w:val="center"/>
              <w:rPr>
                <w:sz w:val="20"/>
              </w:rPr>
            </w:pPr>
            <w:r>
              <w:rPr>
                <w:w w:val="99"/>
                <w:sz w:val="20"/>
              </w:rPr>
              <w:t>8</w:t>
            </w:r>
          </w:p>
        </w:tc>
        <w:tc>
          <w:tcPr>
            <w:tcW w:w="2163" w:type="dxa"/>
          </w:tcPr>
          <w:p w:rsidR="007C5447" w:rsidRDefault="00F6308C">
            <w:pPr>
              <w:pStyle w:val="TableParagraph"/>
              <w:spacing w:before="46"/>
              <w:ind w:left="107"/>
              <w:jc w:val="left"/>
              <w:rPr>
                <w:sz w:val="20"/>
              </w:rPr>
            </w:pPr>
            <w:r>
              <w:rPr>
                <w:sz w:val="20"/>
              </w:rPr>
              <w:t>Kuttalam GTPS</w:t>
            </w:r>
          </w:p>
        </w:tc>
        <w:tc>
          <w:tcPr>
            <w:tcW w:w="1205" w:type="dxa"/>
          </w:tcPr>
          <w:p w:rsidR="007C5447" w:rsidRDefault="00F6308C">
            <w:pPr>
              <w:pStyle w:val="TableParagraph"/>
              <w:spacing w:before="46"/>
              <w:ind w:right="194"/>
              <w:rPr>
                <w:sz w:val="20"/>
              </w:rPr>
            </w:pPr>
            <w:r>
              <w:rPr>
                <w:sz w:val="20"/>
              </w:rPr>
              <w:t>5.79</w:t>
            </w:r>
          </w:p>
        </w:tc>
        <w:tc>
          <w:tcPr>
            <w:tcW w:w="1208" w:type="dxa"/>
          </w:tcPr>
          <w:p w:rsidR="007C5447" w:rsidRDefault="00F6308C">
            <w:pPr>
              <w:pStyle w:val="TableParagraph"/>
              <w:spacing w:before="46"/>
              <w:ind w:left="417"/>
              <w:jc w:val="left"/>
              <w:rPr>
                <w:sz w:val="20"/>
              </w:rPr>
            </w:pPr>
            <w:r>
              <w:rPr>
                <w:sz w:val="20"/>
              </w:rPr>
              <w:t>(41.65)</w:t>
            </w:r>
          </w:p>
        </w:tc>
        <w:tc>
          <w:tcPr>
            <w:tcW w:w="1205" w:type="dxa"/>
          </w:tcPr>
          <w:p w:rsidR="007C5447" w:rsidRDefault="00F6308C">
            <w:pPr>
              <w:pStyle w:val="TableParagraph"/>
              <w:spacing w:before="46"/>
              <w:ind w:right="194"/>
              <w:rPr>
                <w:sz w:val="20"/>
              </w:rPr>
            </w:pPr>
            <w:r>
              <w:rPr>
                <w:w w:val="95"/>
                <w:sz w:val="20"/>
              </w:rPr>
              <w:t>64.11</w:t>
            </w:r>
          </w:p>
        </w:tc>
        <w:tc>
          <w:tcPr>
            <w:tcW w:w="1208" w:type="dxa"/>
          </w:tcPr>
          <w:p w:rsidR="007C5447" w:rsidRDefault="00F6308C">
            <w:pPr>
              <w:pStyle w:val="TableParagraph"/>
              <w:spacing w:before="14"/>
              <w:ind w:right="195"/>
              <w:rPr>
                <w:sz w:val="20"/>
              </w:rPr>
            </w:pPr>
            <w:r>
              <w:rPr>
                <w:sz w:val="20"/>
              </w:rPr>
              <w:t>18.08</w:t>
            </w:r>
          </w:p>
        </w:tc>
        <w:tc>
          <w:tcPr>
            <w:tcW w:w="1205" w:type="dxa"/>
          </w:tcPr>
          <w:p w:rsidR="007C5447" w:rsidRDefault="00F6308C">
            <w:pPr>
              <w:pStyle w:val="TableParagraph"/>
              <w:spacing w:before="14"/>
              <w:ind w:right="192"/>
              <w:rPr>
                <w:sz w:val="20"/>
              </w:rPr>
            </w:pPr>
            <w:r>
              <w:rPr>
                <w:sz w:val="20"/>
              </w:rPr>
              <w:t>9.58</w:t>
            </w:r>
          </w:p>
        </w:tc>
      </w:tr>
      <w:tr w:rsidR="007C5447">
        <w:trPr>
          <w:trHeight w:val="326"/>
        </w:trPr>
        <w:tc>
          <w:tcPr>
            <w:tcW w:w="804" w:type="dxa"/>
          </w:tcPr>
          <w:p w:rsidR="007C5447" w:rsidRDefault="00F6308C">
            <w:pPr>
              <w:pStyle w:val="TableParagraph"/>
              <w:spacing w:before="48"/>
              <w:ind w:left="6"/>
              <w:jc w:val="center"/>
              <w:rPr>
                <w:sz w:val="20"/>
              </w:rPr>
            </w:pPr>
            <w:r>
              <w:rPr>
                <w:w w:val="99"/>
                <w:sz w:val="20"/>
              </w:rPr>
              <w:t>9</w:t>
            </w:r>
          </w:p>
        </w:tc>
        <w:tc>
          <w:tcPr>
            <w:tcW w:w="2163" w:type="dxa"/>
          </w:tcPr>
          <w:p w:rsidR="007C5447" w:rsidRDefault="00F6308C">
            <w:pPr>
              <w:pStyle w:val="TableParagraph"/>
              <w:spacing w:before="48"/>
              <w:ind w:left="107"/>
              <w:jc w:val="left"/>
              <w:rPr>
                <w:sz w:val="20"/>
              </w:rPr>
            </w:pPr>
            <w:r>
              <w:rPr>
                <w:sz w:val="20"/>
              </w:rPr>
              <w:t>Basin Bridge GTPS</w:t>
            </w:r>
          </w:p>
        </w:tc>
        <w:tc>
          <w:tcPr>
            <w:tcW w:w="1205" w:type="dxa"/>
          </w:tcPr>
          <w:p w:rsidR="007C5447" w:rsidRDefault="00F6308C">
            <w:pPr>
              <w:pStyle w:val="TableParagraph"/>
              <w:spacing w:before="48"/>
              <w:ind w:right="194"/>
              <w:rPr>
                <w:sz w:val="20"/>
              </w:rPr>
            </w:pPr>
            <w:r>
              <w:rPr>
                <w:sz w:val="20"/>
              </w:rPr>
              <w:t>5.04</w:t>
            </w:r>
          </w:p>
        </w:tc>
        <w:tc>
          <w:tcPr>
            <w:tcW w:w="1208" w:type="dxa"/>
          </w:tcPr>
          <w:p w:rsidR="007C5447" w:rsidRDefault="00F6308C">
            <w:pPr>
              <w:pStyle w:val="TableParagraph"/>
              <w:spacing w:before="48"/>
              <w:ind w:right="197"/>
              <w:rPr>
                <w:sz w:val="20"/>
              </w:rPr>
            </w:pPr>
            <w:r>
              <w:rPr>
                <w:sz w:val="20"/>
              </w:rPr>
              <w:t>5.90</w:t>
            </w:r>
          </w:p>
        </w:tc>
        <w:tc>
          <w:tcPr>
            <w:tcW w:w="1205" w:type="dxa"/>
          </w:tcPr>
          <w:p w:rsidR="007C5447" w:rsidRDefault="00F6308C">
            <w:pPr>
              <w:pStyle w:val="TableParagraph"/>
              <w:spacing w:before="48"/>
              <w:ind w:right="194"/>
              <w:rPr>
                <w:sz w:val="20"/>
              </w:rPr>
            </w:pPr>
            <w:r>
              <w:rPr>
                <w:sz w:val="20"/>
              </w:rPr>
              <w:t>7.61</w:t>
            </w:r>
          </w:p>
        </w:tc>
        <w:tc>
          <w:tcPr>
            <w:tcW w:w="1208" w:type="dxa"/>
          </w:tcPr>
          <w:p w:rsidR="007C5447" w:rsidRDefault="00F6308C">
            <w:pPr>
              <w:pStyle w:val="TableParagraph"/>
              <w:spacing w:before="14"/>
              <w:ind w:right="195"/>
              <w:rPr>
                <w:sz w:val="20"/>
              </w:rPr>
            </w:pPr>
            <w:r>
              <w:rPr>
                <w:sz w:val="20"/>
              </w:rPr>
              <w:t>9.52</w:t>
            </w:r>
          </w:p>
        </w:tc>
        <w:tc>
          <w:tcPr>
            <w:tcW w:w="1205" w:type="dxa"/>
          </w:tcPr>
          <w:p w:rsidR="007C5447" w:rsidRDefault="00F6308C">
            <w:pPr>
              <w:pStyle w:val="TableParagraph"/>
              <w:spacing w:before="14"/>
              <w:ind w:right="192"/>
              <w:rPr>
                <w:sz w:val="20"/>
              </w:rPr>
            </w:pPr>
            <w:r>
              <w:rPr>
                <w:sz w:val="20"/>
              </w:rPr>
              <w:t>8.12</w:t>
            </w:r>
          </w:p>
        </w:tc>
      </w:tr>
      <w:tr w:rsidR="007C5447">
        <w:trPr>
          <w:trHeight w:val="323"/>
        </w:trPr>
        <w:tc>
          <w:tcPr>
            <w:tcW w:w="804" w:type="dxa"/>
          </w:tcPr>
          <w:p w:rsidR="007C5447" w:rsidRDefault="00F6308C">
            <w:pPr>
              <w:pStyle w:val="TableParagraph"/>
              <w:spacing w:before="46"/>
              <w:ind w:left="271" w:right="259"/>
              <w:jc w:val="center"/>
              <w:rPr>
                <w:sz w:val="20"/>
              </w:rPr>
            </w:pPr>
            <w:r>
              <w:rPr>
                <w:sz w:val="20"/>
              </w:rPr>
              <w:t>10</w:t>
            </w:r>
          </w:p>
        </w:tc>
        <w:tc>
          <w:tcPr>
            <w:tcW w:w="2163" w:type="dxa"/>
          </w:tcPr>
          <w:p w:rsidR="007C5447" w:rsidRDefault="00F6308C">
            <w:pPr>
              <w:pStyle w:val="TableParagraph"/>
              <w:spacing w:before="46"/>
              <w:ind w:left="107"/>
              <w:jc w:val="left"/>
              <w:rPr>
                <w:sz w:val="20"/>
              </w:rPr>
            </w:pPr>
            <w:r>
              <w:rPr>
                <w:sz w:val="20"/>
              </w:rPr>
              <w:t>Valuthur GTPS</w:t>
            </w:r>
          </w:p>
        </w:tc>
        <w:tc>
          <w:tcPr>
            <w:tcW w:w="1205" w:type="dxa"/>
          </w:tcPr>
          <w:p w:rsidR="007C5447" w:rsidRDefault="00F6308C">
            <w:pPr>
              <w:pStyle w:val="TableParagraph"/>
              <w:spacing w:before="46"/>
              <w:ind w:right="194"/>
              <w:rPr>
                <w:sz w:val="20"/>
              </w:rPr>
            </w:pPr>
            <w:r>
              <w:rPr>
                <w:sz w:val="20"/>
              </w:rPr>
              <w:t>5.89</w:t>
            </w:r>
          </w:p>
        </w:tc>
        <w:tc>
          <w:tcPr>
            <w:tcW w:w="1208" w:type="dxa"/>
          </w:tcPr>
          <w:p w:rsidR="007C5447" w:rsidRDefault="00F6308C">
            <w:pPr>
              <w:pStyle w:val="TableParagraph"/>
              <w:spacing w:before="46"/>
              <w:ind w:right="197"/>
              <w:rPr>
                <w:sz w:val="20"/>
              </w:rPr>
            </w:pPr>
            <w:r>
              <w:rPr>
                <w:w w:val="95"/>
                <w:sz w:val="20"/>
              </w:rPr>
              <w:t>14.42</w:t>
            </w:r>
          </w:p>
        </w:tc>
        <w:tc>
          <w:tcPr>
            <w:tcW w:w="1205" w:type="dxa"/>
          </w:tcPr>
          <w:p w:rsidR="007C5447" w:rsidRDefault="00F6308C">
            <w:pPr>
              <w:pStyle w:val="TableParagraph"/>
              <w:spacing w:before="46"/>
              <w:ind w:right="194"/>
              <w:rPr>
                <w:sz w:val="20"/>
              </w:rPr>
            </w:pPr>
            <w:r>
              <w:rPr>
                <w:sz w:val="20"/>
              </w:rPr>
              <w:t>8.15</w:t>
            </w:r>
          </w:p>
        </w:tc>
        <w:tc>
          <w:tcPr>
            <w:tcW w:w="1208" w:type="dxa"/>
          </w:tcPr>
          <w:p w:rsidR="007C5447" w:rsidRDefault="00F6308C">
            <w:pPr>
              <w:pStyle w:val="TableParagraph"/>
              <w:spacing w:before="14"/>
              <w:ind w:right="195"/>
              <w:rPr>
                <w:sz w:val="20"/>
              </w:rPr>
            </w:pPr>
            <w:r>
              <w:rPr>
                <w:sz w:val="20"/>
              </w:rPr>
              <w:t>6.35</w:t>
            </w:r>
          </w:p>
        </w:tc>
        <w:tc>
          <w:tcPr>
            <w:tcW w:w="1205" w:type="dxa"/>
          </w:tcPr>
          <w:p w:rsidR="007C5447" w:rsidRDefault="00F6308C">
            <w:pPr>
              <w:pStyle w:val="TableParagraph"/>
              <w:spacing w:before="14"/>
              <w:ind w:right="193"/>
              <w:rPr>
                <w:sz w:val="20"/>
              </w:rPr>
            </w:pPr>
            <w:r>
              <w:rPr>
                <w:sz w:val="20"/>
              </w:rPr>
              <w:t>12.03</w:t>
            </w:r>
          </w:p>
        </w:tc>
      </w:tr>
      <w:tr w:rsidR="007C5447">
        <w:trPr>
          <w:trHeight w:val="325"/>
        </w:trPr>
        <w:tc>
          <w:tcPr>
            <w:tcW w:w="804" w:type="dxa"/>
          </w:tcPr>
          <w:p w:rsidR="007C5447" w:rsidRDefault="00F6308C">
            <w:pPr>
              <w:pStyle w:val="TableParagraph"/>
              <w:spacing w:before="48"/>
              <w:ind w:left="271" w:right="259"/>
              <w:jc w:val="center"/>
              <w:rPr>
                <w:sz w:val="20"/>
              </w:rPr>
            </w:pPr>
            <w:r>
              <w:rPr>
                <w:sz w:val="20"/>
              </w:rPr>
              <w:t>11</w:t>
            </w:r>
          </w:p>
        </w:tc>
        <w:tc>
          <w:tcPr>
            <w:tcW w:w="2163" w:type="dxa"/>
          </w:tcPr>
          <w:p w:rsidR="007C5447" w:rsidRDefault="00F6308C">
            <w:pPr>
              <w:pStyle w:val="TableParagraph"/>
              <w:spacing w:before="48"/>
              <w:ind w:left="107"/>
              <w:jc w:val="left"/>
              <w:rPr>
                <w:sz w:val="20"/>
              </w:rPr>
            </w:pPr>
            <w:r>
              <w:rPr>
                <w:sz w:val="20"/>
              </w:rPr>
              <w:t>Erode HEP</w:t>
            </w:r>
          </w:p>
        </w:tc>
        <w:tc>
          <w:tcPr>
            <w:tcW w:w="1205" w:type="dxa"/>
          </w:tcPr>
          <w:p w:rsidR="007C5447" w:rsidRDefault="00F6308C">
            <w:pPr>
              <w:pStyle w:val="TableParagraph"/>
              <w:spacing w:before="48"/>
              <w:ind w:right="194"/>
              <w:rPr>
                <w:sz w:val="20"/>
              </w:rPr>
            </w:pPr>
            <w:r>
              <w:rPr>
                <w:w w:val="95"/>
                <w:sz w:val="20"/>
              </w:rPr>
              <w:t>26.43</w:t>
            </w:r>
          </w:p>
        </w:tc>
        <w:tc>
          <w:tcPr>
            <w:tcW w:w="1208" w:type="dxa"/>
          </w:tcPr>
          <w:p w:rsidR="007C5447" w:rsidRDefault="00F6308C">
            <w:pPr>
              <w:pStyle w:val="TableParagraph"/>
              <w:spacing w:before="48"/>
              <w:ind w:right="197"/>
              <w:rPr>
                <w:sz w:val="20"/>
              </w:rPr>
            </w:pPr>
            <w:r>
              <w:rPr>
                <w:w w:val="95"/>
                <w:sz w:val="20"/>
              </w:rPr>
              <w:t>25.11</w:t>
            </w:r>
          </w:p>
        </w:tc>
        <w:tc>
          <w:tcPr>
            <w:tcW w:w="1205" w:type="dxa"/>
          </w:tcPr>
          <w:p w:rsidR="007C5447" w:rsidRDefault="00F6308C">
            <w:pPr>
              <w:pStyle w:val="TableParagraph"/>
              <w:spacing w:before="48"/>
              <w:ind w:right="194"/>
              <w:rPr>
                <w:sz w:val="20"/>
              </w:rPr>
            </w:pPr>
            <w:r>
              <w:rPr>
                <w:w w:val="95"/>
                <w:sz w:val="20"/>
              </w:rPr>
              <w:t>31.79</w:t>
            </w:r>
          </w:p>
        </w:tc>
        <w:tc>
          <w:tcPr>
            <w:tcW w:w="1208" w:type="dxa"/>
          </w:tcPr>
          <w:p w:rsidR="007C5447" w:rsidRDefault="00F6308C">
            <w:pPr>
              <w:pStyle w:val="TableParagraph"/>
              <w:spacing w:before="17"/>
              <w:ind w:right="195"/>
              <w:rPr>
                <w:sz w:val="20"/>
              </w:rPr>
            </w:pPr>
            <w:r>
              <w:rPr>
                <w:sz w:val="20"/>
              </w:rPr>
              <w:t>33.19</w:t>
            </w:r>
          </w:p>
        </w:tc>
        <w:tc>
          <w:tcPr>
            <w:tcW w:w="1205" w:type="dxa"/>
          </w:tcPr>
          <w:p w:rsidR="007C5447" w:rsidRDefault="00F6308C">
            <w:pPr>
              <w:pStyle w:val="TableParagraph"/>
              <w:spacing w:before="17"/>
              <w:ind w:right="193"/>
              <w:rPr>
                <w:sz w:val="20"/>
              </w:rPr>
            </w:pPr>
            <w:r>
              <w:rPr>
                <w:sz w:val="20"/>
              </w:rPr>
              <w:t>49.00</w:t>
            </w:r>
          </w:p>
        </w:tc>
      </w:tr>
      <w:tr w:rsidR="007C5447">
        <w:trPr>
          <w:trHeight w:val="323"/>
        </w:trPr>
        <w:tc>
          <w:tcPr>
            <w:tcW w:w="804" w:type="dxa"/>
          </w:tcPr>
          <w:p w:rsidR="007C5447" w:rsidRDefault="00F6308C">
            <w:pPr>
              <w:pStyle w:val="TableParagraph"/>
              <w:spacing w:before="48"/>
              <w:ind w:left="271" w:right="259"/>
              <w:jc w:val="center"/>
              <w:rPr>
                <w:sz w:val="20"/>
              </w:rPr>
            </w:pPr>
            <w:r>
              <w:rPr>
                <w:sz w:val="20"/>
              </w:rPr>
              <w:t>12</w:t>
            </w:r>
          </w:p>
        </w:tc>
        <w:tc>
          <w:tcPr>
            <w:tcW w:w="2163" w:type="dxa"/>
          </w:tcPr>
          <w:p w:rsidR="007C5447" w:rsidRDefault="00F6308C">
            <w:pPr>
              <w:pStyle w:val="TableParagraph"/>
              <w:spacing w:before="48"/>
              <w:ind w:left="107"/>
              <w:jc w:val="left"/>
              <w:rPr>
                <w:sz w:val="20"/>
              </w:rPr>
            </w:pPr>
            <w:r>
              <w:rPr>
                <w:sz w:val="20"/>
              </w:rPr>
              <w:t>Kadamparai HEP</w:t>
            </w:r>
          </w:p>
        </w:tc>
        <w:tc>
          <w:tcPr>
            <w:tcW w:w="1205" w:type="dxa"/>
          </w:tcPr>
          <w:p w:rsidR="007C5447" w:rsidRDefault="00F6308C">
            <w:pPr>
              <w:pStyle w:val="TableParagraph"/>
              <w:spacing w:before="48"/>
              <w:ind w:right="194"/>
              <w:rPr>
                <w:sz w:val="20"/>
              </w:rPr>
            </w:pPr>
            <w:r>
              <w:rPr>
                <w:w w:val="95"/>
                <w:sz w:val="20"/>
              </w:rPr>
              <w:t>20.80</w:t>
            </w:r>
          </w:p>
        </w:tc>
        <w:tc>
          <w:tcPr>
            <w:tcW w:w="1208" w:type="dxa"/>
          </w:tcPr>
          <w:p w:rsidR="007C5447" w:rsidRDefault="00F6308C">
            <w:pPr>
              <w:pStyle w:val="TableParagraph"/>
              <w:spacing w:before="48"/>
              <w:ind w:right="197"/>
              <w:rPr>
                <w:sz w:val="20"/>
              </w:rPr>
            </w:pPr>
            <w:r>
              <w:rPr>
                <w:w w:val="95"/>
                <w:sz w:val="20"/>
              </w:rPr>
              <w:t>22.83</w:t>
            </w:r>
          </w:p>
        </w:tc>
        <w:tc>
          <w:tcPr>
            <w:tcW w:w="1205" w:type="dxa"/>
          </w:tcPr>
          <w:p w:rsidR="007C5447" w:rsidRDefault="00F6308C">
            <w:pPr>
              <w:pStyle w:val="TableParagraph"/>
              <w:spacing w:before="48"/>
              <w:ind w:right="194"/>
              <w:rPr>
                <w:sz w:val="20"/>
              </w:rPr>
            </w:pPr>
            <w:r>
              <w:rPr>
                <w:w w:val="95"/>
                <w:sz w:val="20"/>
              </w:rPr>
              <w:t>24.77</w:t>
            </w:r>
          </w:p>
        </w:tc>
        <w:tc>
          <w:tcPr>
            <w:tcW w:w="1208" w:type="dxa"/>
          </w:tcPr>
          <w:p w:rsidR="007C5447" w:rsidRDefault="00F6308C">
            <w:pPr>
              <w:pStyle w:val="TableParagraph"/>
              <w:spacing w:before="14"/>
              <w:ind w:right="195"/>
              <w:rPr>
                <w:sz w:val="20"/>
              </w:rPr>
            </w:pPr>
            <w:r>
              <w:rPr>
                <w:sz w:val="20"/>
              </w:rPr>
              <w:t>26.78</w:t>
            </w:r>
          </w:p>
        </w:tc>
        <w:tc>
          <w:tcPr>
            <w:tcW w:w="1205" w:type="dxa"/>
          </w:tcPr>
          <w:p w:rsidR="007C5447" w:rsidRDefault="00F6308C">
            <w:pPr>
              <w:pStyle w:val="TableParagraph"/>
              <w:spacing w:before="14"/>
              <w:ind w:right="193"/>
              <w:rPr>
                <w:sz w:val="20"/>
              </w:rPr>
            </w:pPr>
            <w:r>
              <w:rPr>
                <w:sz w:val="20"/>
              </w:rPr>
              <w:t>32.43</w:t>
            </w:r>
          </w:p>
        </w:tc>
      </w:tr>
      <w:tr w:rsidR="007C5447">
        <w:trPr>
          <w:trHeight w:val="326"/>
        </w:trPr>
        <w:tc>
          <w:tcPr>
            <w:tcW w:w="804" w:type="dxa"/>
          </w:tcPr>
          <w:p w:rsidR="007C5447" w:rsidRDefault="00F6308C">
            <w:pPr>
              <w:pStyle w:val="TableParagraph"/>
              <w:spacing w:before="48"/>
              <w:ind w:left="271" w:right="259"/>
              <w:jc w:val="center"/>
              <w:rPr>
                <w:sz w:val="20"/>
              </w:rPr>
            </w:pPr>
            <w:r>
              <w:rPr>
                <w:sz w:val="20"/>
              </w:rPr>
              <w:t>13</w:t>
            </w:r>
          </w:p>
        </w:tc>
        <w:tc>
          <w:tcPr>
            <w:tcW w:w="2163" w:type="dxa"/>
          </w:tcPr>
          <w:p w:rsidR="007C5447" w:rsidRDefault="00F6308C">
            <w:pPr>
              <w:pStyle w:val="TableParagraph"/>
              <w:spacing w:before="48"/>
              <w:ind w:left="107"/>
              <w:jc w:val="left"/>
              <w:rPr>
                <w:sz w:val="20"/>
              </w:rPr>
            </w:pPr>
            <w:r>
              <w:rPr>
                <w:sz w:val="20"/>
              </w:rPr>
              <w:t>Kundah HEP</w:t>
            </w:r>
          </w:p>
        </w:tc>
        <w:tc>
          <w:tcPr>
            <w:tcW w:w="1205" w:type="dxa"/>
          </w:tcPr>
          <w:p w:rsidR="007C5447" w:rsidRDefault="00F6308C">
            <w:pPr>
              <w:pStyle w:val="TableParagraph"/>
              <w:spacing w:before="48"/>
              <w:ind w:right="194"/>
              <w:rPr>
                <w:sz w:val="20"/>
              </w:rPr>
            </w:pPr>
            <w:r>
              <w:rPr>
                <w:w w:val="95"/>
                <w:sz w:val="20"/>
              </w:rPr>
              <w:t>24.65</w:t>
            </w:r>
          </w:p>
        </w:tc>
        <w:tc>
          <w:tcPr>
            <w:tcW w:w="1208" w:type="dxa"/>
          </w:tcPr>
          <w:p w:rsidR="007C5447" w:rsidRDefault="00F6308C">
            <w:pPr>
              <w:pStyle w:val="TableParagraph"/>
              <w:spacing w:before="48"/>
              <w:ind w:right="197"/>
              <w:rPr>
                <w:sz w:val="20"/>
              </w:rPr>
            </w:pPr>
            <w:r>
              <w:rPr>
                <w:w w:val="95"/>
                <w:sz w:val="20"/>
              </w:rPr>
              <w:t>26.64</w:t>
            </w:r>
          </w:p>
        </w:tc>
        <w:tc>
          <w:tcPr>
            <w:tcW w:w="1205" w:type="dxa"/>
          </w:tcPr>
          <w:p w:rsidR="007C5447" w:rsidRDefault="00F6308C">
            <w:pPr>
              <w:pStyle w:val="TableParagraph"/>
              <w:spacing w:before="48"/>
              <w:ind w:right="194"/>
              <w:rPr>
                <w:sz w:val="20"/>
              </w:rPr>
            </w:pPr>
            <w:r>
              <w:rPr>
                <w:w w:val="95"/>
                <w:sz w:val="20"/>
              </w:rPr>
              <w:t>35.66</w:t>
            </w:r>
          </w:p>
        </w:tc>
        <w:tc>
          <w:tcPr>
            <w:tcW w:w="1208" w:type="dxa"/>
          </w:tcPr>
          <w:p w:rsidR="007C5447" w:rsidRDefault="00F6308C">
            <w:pPr>
              <w:pStyle w:val="TableParagraph"/>
              <w:spacing w:before="17"/>
              <w:ind w:right="195"/>
              <w:rPr>
                <w:sz w:val="20"/>
              </w:rPr>
            </w:pPr>
            <w:r>
              <w:rPr>
                <w:sz w:val="20"/>
              </w:rPr>
              <w:t>35.38</w:t>
            </w:r>
          </w:p>
        </w:tc>
        <w:tc>
          <w:tcPr>
            <w:tcW w:w="1205" w:type="dxa"/>
          </w:tcPr>
          <w:p w:rsidR="007C5447" w:rsidRDefault="00F6308C">
            <w:pPr>
              <w:pStyle w:val="TableParagraph"/>
              <w:spacing w:before="17"/>
              <w:ind w:right="193"/>
              <w:rPr>
                <w:sz w:val="20"/>
              </w:rPr>
            </w:pPr>
            <w:r>
              <w:rPr>
                <w:sz w:val="20"/>
              </w:rPr>
              <w:t>50.37</w:t>
            </w:r>
          </w:p>
        </w:tc>
      </w:tr>
      <w:tr w:rsidR="007C5447">
        <w:trPr>
          <w:trHeight w:val="325"/>
        </w:trPr>
        <w:tc>
          <w:tcPr>
            <w:tcW w:w="804" w:type="dxa"/>
          </w:tcPr>
          <w:p w:rsidR="007C5447" w:rsidRDefault="00F6308C">
            <w:pPr>
              <w:pStyle w:val="TableParagraph"/>
              <w:spacing w:before="48"/>
              <w:ind w:left="271" w:right="259"/>
              <w:jc w:val="center"/>
              <w:rPr>
                <w:sz w:val="20"/>
              </w:rPr>
            </w:pPr>
            <w:r>
              <w:rPr>
                <w:sz w:val="20"/>
              </w:rPr>
              <w:t>14</w:t>
            </w:r>
          </w:p>
        </w:tc>
        <w:tc>
          <w:tcPr>
            <w:tcW w:w="2163" w:type="dxa"/>
          </w:tcPr>
          <w:p w:rsidR="007C5447" w:rsidRDefault="00F6308C">
            <w:pPr>
              <w:pStyle w:val="TableParagraph"/>
              <w:spacing w:before="48"/>
              <w:ind w:left="107"/>
              <w:jc w:val="left"/>
              <w:rPr>
                <w:sz w:val="20"/>
              </w:rPr>
            </w:pPr>
            <w:r>
              <w:rPr>
                <w:sz w:val="20"/>
              </w:rPr>
              <w:t>Tirunelveli HEP</w:t>
            </w:r>
          </w:p>
        </w:tc>
        <w:tc>
          <w:tcPr>
            <w:tcW w:w="1205" w:type="dxa"/>
          </w:tcPr>
          <w:p w:rsidR="007C5447" w:rsidRDefault="00F6308C">
            <w:pPr>
              <w:pStyle w:val="TableParagraph"/>
              <w:spacing w:before="48"/>
              <w:ind w:right="194"/>
              <w:rPr>
                <w:sz w:val="20"/>
              </w:rPr>
            </w:pPr>
            <w:r>
              <w:rPr>
                <w:w w:val="95"/>
                <w:sz w:val="20"/>
              </w:rPr>
              <w:t>23.25</w:t>
            </w:r>
          </w:p>
        </w:tc>
        <w:tc>
          <w:tcPr>
            <w:tcW w:w="1208" w:type="dxa"/>
          </w:tcPr>
          <w:p w:rsidR="007C5447" w:rsidRDefault="00F6308C">
            <w:pPr>
              <w:pStyle w:val="TableParagraph"/>
              <w:spacing w:before="48"/>
              <w:ind w:right="197"/>
              <w:rPr>
                <w:sz w:val="20"/>
              </w:rPr>
            </w:pPr>
            <w:r>
              <w:rPr>
                <w:w w:val="95"/>
                <w:sz w:val="20"/>
              </w:rPr>
              <w:t>10.93</w:t>
            </w:r>
          </w:p>
        </w:tc>
        <w:tc>
          <w:tcPr>
            <w:tcW w:w="1205" w:type="dxa"/>
          </w:tcPr>
          <w:p w:rsidR="007C5447" w:rsidRDefault="00F6308C">
            <w:pPr>
              <w:pStyle w:val="TableParagraph"/>
              <w:spacing w:before="48"/>
              <w:ind w:right="194"/>
              <w:rPr>
                <w:sz w:val="20"/>
              </w:rPr>
            </w:pPr>
            <w:r>
              <w:rPr>
                <w:w w:val="95"/>
                <w:sz w:val="20"/>
              </w:rPr>
              <w:t>29.52</w:t>
            </w:r>
          </w:p>
        </w:tc>
        <w:tc>
          <w:tcPr>
            <w:tcW w:w="1208" w:type="dxa"/>
          </w:tcPr>
          <w:p w:rsidR="007C5447" w:rsidRDefault="00F6308C">
            <w:pPr>
              <w:pStyle w:val="TableParagraph"/>
              <w:spacing w:before="14"/>
              <w:ind w:right="195"/>
              <w:rPr>
                <w:sz w:val="20"/>
              </w:rPr>
            </w:pPr>
            <w:r>
              <w:rPr>
                <w:sz w:val="20"/>
              </w:rPr>
              <w:t>35.68</w:t>
            </w:r>
          </w:p>
        </w:tc>
        <w:tc>
          <w:tcPr>
            <w:tcW w:w="1205" w:type="dxa"/>
          </w:tcPr>
          <w:p w:rsidR="007C5447" w:rsidRDefault="00F6308C">
            <w:pPr>
              <w:pStyle w:val="TableParagraph"/>
              <w:spacing w:before="14"/>
              <w:ind w:right="193"/>
              <w:rPr>
                <w:sz w:val="20"/>
              </w:rPr>
            </w:pPr>
            <w:r>
              <w:rPr>
                <w:sz w:val="20"/>
              </w:rPr>
              <w:t>43.61</w:t>
            </w:r>
          </w:p>
        </w:tc>
      </w:tr>
      <w:tr w:rsidR="007C5447">
        <w:trPr>
          <w:trHeight w:val="323"/>
        </w:trPr>
        <w:tc>
          <w:tcPr>
            <w:tcW w:w="804" w:type="dxa"/>
          </w:tcPr>
          <w:p w:rsidR="007C5447" w:rsidRDefault="00F6308C">
            <w:pPr>
              <w:pStyle w:val="TableParagraph"/>
              <w:spacing w:before="46"/>
              <w:ind w:left="271" w:right="259"/>
              <w:jc w:val="center"/>
              <w:rPr>
                <w:b/>
                <w:sz w:val="20"/>
              </w:rPr>
            </w:pPr>
            <w:r>
              <w:rPr>
                <w:b/>
                <w:sz w:val="20"/>
              </w:rPr>
              <w:t>15</w:t>
            </w:r>
          </w:p>
        </w:tc>
        <w:tc>
          <w:tcPr>
            <w:tcW w:w="2163" w:type="dxa"/>
          </w:tcPr>
          <w:p w:rsidR="007C5447" w:rsidRDefault="00F6308C">
            <w:pPr>
              <w:pStyle w:val="TableParagraph"/>
              <w:spacing w:before="46"/>
              <w:ind w:left="107"/>
              <w:jc w:val="left"/>
              <w:rPr>
                <w:b/>
                <w:sz w:val="20"/>
              </w:rPr>
            </w:pPr>
            <w:r>
              <w:rPr>
                <w:b/>
                <w:sz w:val="20"/>
              </w:rPr>
              <w:t>Total Generation</w:t>
            </w:r>
          </w:p>
        </w:tc>
        <w:tc>
          <w:tcPr>
            <w:tcW w:w="1205" w:type="dxa"/>
          </w:tcPr>
          <w:p w:rsidR="007C5447" w:rsidRDefault="00F6308C">
            <w:pPr>
              <w:pStyle w:val="TableParagraph"/>
              <w:spacing w:before="46"/>
              <w:ind w:right="194"/>
              <w:rPr>
                <w:b/>
                <w:sz w:val="20"/>
              </w:rPr>
            </w:pPr>
            <w:r>
              <w:rPr>
                <w:b/>
                <w:w w:val="95"/>
                <w:sz w:val="20"/>
              </w:rPr>
              <w:t>639.18</w:t>
            </w:r>
          </w:p>
        </w:tc>
        <w:tc>
          <w:tcPr>
            <w:tcW w:w="1208" w:type="dxa"/>
          </w:tcPr>
          <w:p w:rsidR="007C5447" w:rsidRDefault="00F6308C">
            <w:pPr>
              <w:pStyle w:val="TableParagraph"/>
              <w:spacing w:before="46"/>
              <w:ind w:left="448"/>
              <w:jc w:val="left"/>
              <w:rPr>
                <w:b/>
                <w:sz w:val="20"/>
              </w:rPr>
            </w:pPr>
            <w:r>
              <w:rPr>
                <w:b/>
                <w:sz w:val="20"/>
              </w:rPr>
              <w:t>663.46</w:t>
            </w:r>
          </w:p>
        </w:tc>
        <w:tc>
          <w:tcPr>
            <w:tcW w:w="1205" w:type="dxa"/>
          </w:tcPr>
          <w:p w:rsidR="007C5447" w:rsidRDefault="00F6308C">
            <w:pPr>
              <w:pStyle w:val="TableParagraph"/>
              <w:spacing w:before="46"/>
              <w:ind w:right="195"/>
              <w:rPr>
                <w:b/>
                <w:sz w:val="20"/>
              </w:rPr>
            </w:pPr>
            <w:r>
              <w:rPr>
                <w:b/>
                <w:w w:val="95"/>
                <w:sz w:val="20"/>
              </w:rPr>
              <w:t>969.23</w:t>
            </w:r>
          </w:p>
        </w:tc>
        <w:tc>
          <w:tcPr>
            <w:tcW w:w="1208" w:type="dxa"/>
          </w:tcPr>
          <w:p w:rsidR="007C5447" w:rsidRDefault="00F6308C">
            <w:pPr>
              <w:pStyle w:val="TableParagraph"/>
              <w:spacing w:before="46"/>
              <w:ind w:right="195"/>
              <w:rPr>
                <w:b/>
                <w:sz w:val="20"/>
              </w:rPr>
            </w:pPr>
            <w:r>
              <w:rPr>
                <w:b/>
                <w:sz w:val="20"/>
              </w:rPr>
              <w:t>1,112</w:t>
            </w:r>
          </w:p>
        </w:tc>
        <w:tc>
          <w:tcPr>
            <w:tcW w:w="1205" w:type="dxa"/>
          </w:tcPr>
          <w:p w:rsidR="007C5447" w:rsidRDefault="00F6308C">
            <w:pPr>
              <w:pStyle w:val="TableParagraph"/>
              <w:spacing w:before="46"/>
              <w:ind w:left="349"/>
              <w:jc w:val="left"/>
              <w:rPr>
                <w:b/>
                <w:sz w:val="20"/>
              </w:rPr>
            </w:pPr>
            <w:r>
              <w:rPr>
                <w:b/>
                <w:sz w:val="20"/>
              </w:rPr>
              <w:t>1277.17</w:t>
            </w:r>
          </w:p>
        </w:tc>
      </w:tr>
      <w:tr w:rsidR="007C5447">
        <w:trPr>
          <w:trHeight w:val="326"/>
        </w:trPr>
        <w:tc>
          <w:tcPr>
            <w:tcW w:w="804" w:type="dxa"/>
          </w:tcPr>
          <w:p w:rsidR="007C5447" w:rsidRDefault="00F6308C">
            <w:pPr>
              <w:pStyle w:val="TableParagraph"/>
              <w:spacing w:before="48"/>
              <w:ind w:left="271" w:right="259"/>
              <w:jc w:val="center"/>
              <w:rPr>
                <w:b/>
                <w:sz w:val="20"/>
              </w:rPr>
            </w:pPr>
            <w:r>
              <w:rPr>
                <w:b/>
                <w:sz w:val="20"/>
              </w:rPr>
              <w:t>16</w:t>
            </w:r>
          </w:p>
        </w:tc>
        <w:tc>
          <w:tcPr>
            <w:tcW w:w="2163" w:type="dxa"/>
          </w:tcPr>
          <w:p w:rsidR="007C5447" w:rsidRDefault="00F6308C">
            <w:pPr>
              <w:pStyle w:val="TableParagraph"/>
              <w:spacing w:before="48"/>
              <w:ind w:left="107"/>
              <w:jc w:val="left"/>
              <w:rPr>
                <w:b/>
                <w:sz w:val="20"/>
              </w:rPr>
            </w:pPr>
            <w:r>
              <w:rPr>
                <w:b/>
                <w:sz w:val="20"/>
              </w:rPr>
              <w:t>Distribution</w:t>
            </w:r>
          </w:p>
        </w:tc>
        <w:tc>
          <w:tcPr>
            <w:tcW w:w="1205" w:type="dxa"/>
          </w:tcPr>
          <w:p w:rsidR="007C5447" w:rsidRDefault="00F6308C">
            <w:pPr>
              <w:pStyle w:val="TableParagraph"/>
              <w:spacing w:before="48"/>
              <w:ind w:left="299"/>
              <w:jc w:val="left"/>
              <w:rPr>
                <w:b/>
                <w:sz w:val="20"/>
              </w:rPr>
            </w:pPr>
            <w:r>
              <w:rPr>
                <w:b/>
                <w:sz w:val="20"/>
              </w:rPr>
              <w:t>3,626.33</w:t>
            </w:r>
          </w:p>
        </w:tc>
        <w:tc>
          <w:tcPr>
            <w:tcW w:w="1208" w:type="dxa"/>
          </w:tcPr>
          <w:p w:rsidR="007C5447" w:rsidRDefault="00F6308C">
            <w:pPr>
              <w:pStyle w:val="TableParagraph"/>
              <w:spacing w:before="48"/>
              <w:ind w:left="299"/>
              <w:jc w:val="left"/>
              <w:rPr>
                <w:b/>
                <w:sz w:val="20"/>
              </w:rPr>
            </w:pPr>
            <w:r>
              <w:rPr>
                <w:b/>
                <w:sz w:val="20"/>
              </w:rPr>
              <w:t>3,523.79</w:t>
            </w:r>
          </w:p>
        </w:tc>
        <w:tc>
          <w:tcPr>
            <w:tcW w:w="1205" w:type="dxa"/>
          </w:tcPr>
          <w:p w:rsidR="007C5447" w:rsidRDefault="00F6308C">
            <w:pPr>
              <w:pStyle w:val="TableParagraph"/>
              <w:spacing w:before="48"/>
              <w:ind w:left="299"/>
              <w:jc w:val="left"/>
              <w:rPr>
                <w:b/>
                <w:sz w:val="20"/>
              </w:rPr>
            </w:pPr>
            <w:r>
              <w:rPr>
                <w:b/>
                <w:sz w:val="20"/>
              </w:rPr>
              <w:t>3,970.93</w:t>
            </w:r>
          </w:p>
        </w:tc>
        <w:tc>
          <w:tcPr>
            <w:tcW w:w="1208" w:type="dxa"/>
          </w:tcPr>
          <w:p w:rsidR="007C5447" w:rsidRDefault="00F6308C">
            <w:pPr>
              <w:pStyle w:val="TableParagraph"/>
              <w:spacing w:before="48"/>
              <w:ind w:left="349"/>
              <w:jc w:val="left"/>
              <w:rPr>
                <w:b/>
                <w:sz w:val="20"/>
              </w:rPr>
            </w:pPr>
            <w:r>
              <w:rPr>
                <w:b/>
                <w:sz w:val="20"/>
              </w:rPr>
              <w:t>4565.07</w:t>
            </w:r>
          </w:p>
        </w:tc>
        <w:tc>
          <w:tcPr>
            <w:tcW w:w="1205" w:type="dxa"/>
          </w:tcPr>
          <w:p w:rsidR="007C5447" w:rsidRDefault="00F6308C">
            <w:pPr>
              <w:pStyle w:val="TableParagraph"/>
              <w:spacing w:before="48"/>
              <w:ind w:left="349"/>
              <w:jc w:val="left"/>
              <w:rPr>
                <w:b/>
                <w:sz w:val="20"/>
              </w:rPr>
            </w:pPr>
            <w:r>
              <w:rPr>
                <w:b/>
                <w:sz w:val="20"/>
              </w:rPr>
              <w:t>4844.82</w:t>
            </w:r>
          </w:p>
        </w:tc>
      </w:tr>
      <w:tr w:rsidR="007C5447">
        <w:trPr>
          <w:trHeight w:val="326"/>
        </w:trPr>
        <w:tc>
          <w:tcPr>
            <w:tcW w:w="804" w:type="dxa"/>
          </w:tcPr>
          <w:p w:rsidR="007C5447" w:rsidRDefault="00F6308C">
            <w:pPr>
              <w:pStyle w:val="TableParagraph"/>
              <w:spacing w:before="49"/>
              <w:ind w:left="271" w:right="259"/>
              <w:jc w:val="center"/>
              <w:rPr>
                <w:b/>
                <w:sz w:val="20"/>
              </w:rPr>
            </w:pPr>
            <w:r>
              <w:rPr>
                <w:b/>
                <w:sz w:val="20"/>
              </w:rPr>
              <w:t>17</w:t>
            </w:r>
          </w:p>
        </w:tc>
        <w:tc>
          <w:tcPr>
            <w:tcW w:w="2163" w:type="dxa"/>
          </w:tcPr>
          <w:p w:rsidR="007C5447" w:rsidRDefault="00F6308C">
            <w:pPr>
              <w:pStyle w:val="TableParagraph"/>
              <w:spacing w:before="49"/>
              <w:ind w:left="107"/>
              <w:jc w:val="left"/>
              <w:rPr>
                <w:b/>
                <w:sz w:val="20"/>
              </w:rPr>
            </w:pPr>
            <w:r>
              <w:rPr>
                <w:b/>
                <w:sz w:val="20"/>
              </w:rPr>
              <w:t>Total TANGEDCO</w:t>
            </w:r>
          </w:p>
        </w:tc>
        <w:tc>
          <w:tcPr>
            <w:tcW w:w="1205" w:type="dxa"/>
          </w:tcPr>
          <w:p w:rsidR="007C5447" w:rsidRDefault="00F6308C">
            <w:pPr>
              <w:pStyle w:val="TableParagraph"/>
              <w:spacing w:before="49"/>
              <w:ind w:left="299"/>
              <w:jc w:val="left"/>
              <w:rPr>
                <w:b/>
                <w:sz w:val="20"/>
              </w:rPr>
            </w:pPr>
            <w:r>
              <w:rPr>
                <w:b/>
                <w:sz w:val="20"/>
              </w:rPr>
              <w:t>4,265.51</w:t>
            </w:r>
          </w:p>
        </w:tc>
        <w:tc>
          <w:tcPr>
            <w:tcW w:w="1208" w:type="dxa"/>
          </w:tcPr>
          <w:p w:rsidR="007C5447" w:rsidRDefault="00F6308C">
            <w:pPr>
              <w:pStyle w:val="TableParagraph"/>
              <w:spacing w:before="49"/>
              <w:ind w:left="299"/>
              <w:jc w:val="left"/>
              <w:rPr>
                <w:b/>
                <w:sz w:val="20"/>
              </w:rPr>
            </w:pPr>
            <w:r>
              <w:rPr>
                <w:b/>
                <w:sz w:val="20"/>
              </w:rPr>
              <w:t>4,187.25</w:t>
            </w:r>
          </w:p>
        </w:tc>
        <w:tc>
          <w:tcPr>
            <w:tcW w:w="1205" w:type="dxa"/>
          </w:tcPr>
          <w:p w:rsidR="007C5447" w:rsidRDefault="00F6308C">
            <w:pPr>
              <w:pStyle w:val="TableParagraph"/>
              <w:spacing w:before="49"/>
              <w:ind w:left="299"/>
              <w:jc w:val="left"/>
              <w:rPr>
                <w:b/>
                <w:sz w:val="20"/>
              </w:rPr>
            </w:pPr>
            <w:r>
              <w:rPr>
                <w:b/>
                <w:sz w:val="20"/>
              </w:rPr>
              <w:t>4,940.17</w:t>
            </w:r>
          </w:p>
        </w:tc>
        <w:tc>
          <w:tcPr>
            <w:tcW w:w="1208" w:type="dxa"/>
          </w:tcPr>
          <w:p w:rsidR="007C5447" w:rsidRDefault="00F6308C">
            <w:pPr>
              <w:pStyle w:val="TableParagraph"/>
              <w:spacing w:before="49"/>
              <w:ind w:left="349"/>
              <w:jc w:val="left"/>
              <w:rPr>
                <w:b/>
                <w:sz w:val="20"/>
              </w:rPr>
            </w:pPr>
            <w:r>
              <w:rPr>
                <w:b/>
                <w:sz w:val="20"/>
              </w:rPr>
              <w:t>5677.54</w:t>
            </w:r>
          </w:p>
        </w:tc>
        <w:tc>
          <w:tcPr>
            <w:tcW w:w="1205" w:type="dxa"/>
          </w:tcPr>
          <w:p w:rsidR="007C5447" w:rsidRDefault="00F6308C">
            <w:pPr>
              <w:pStyle w:val="TableParagraph"/>
              <w:spacing w:before="49"/>
              <w:ind w:left="349"/>
              <w:jc w:val="left"/>
              <w:rPr>
                <w:b/>
                <w:sz w:val="20"/>
              </w:rPr>
            </w:pPr>
            <w:r>
              <w:rPr>
                <w:b/>
                <w:sz w:val="20"/>
              </w:rPr>
              <w:t>6122.00</w:t>
            </w:r>
          </w:p>
        </w:tc>
      </w:tr>
    </w:tbl>
    <w:p w:rsidR="007C5447" w:rsidRDefault="007C5447">
      <w:pPr>
        <w:rPr>
          <w:sz w:val="20"/>
        </w:rPr>
        <w:sectPr w:rsidR="007C5447">
          <w:pgSz w:w="11910" w:h="16840"/>
          <w:pgMar w:top="1360" w:right="560" w:bottom="1240" w:left="760" w:header="0" w:footer="1057" w:gutter="0"/>
          <w:cols w:space="720"/>
        </w:sectPr>
      </w:pPr>
    </w:p>
    <w:p w:rsidR="007C5447" w:rsidRDefault="00F6308C">
      <w:pPr>
        <w:pStyle w:val="Heading2"/>
        <w:spacing w:before="81"/>
        <w:ind w:left="1532"/>
      </w:pPr>
      <w:r>
        <w:lastRenderedPageBreak/>
        <w:t>Commission’s Views</w:t>
      </w:r>
    </w:p>
    <w:p w:rsidR="007C5447" w:rsidRDefault="007C5447">
      <w:pPr>
        <w:pStyle w:val="BodyText"/>
        <w:spacing w:before="11"/>
        <w:rPr>
          <w:b/>
          <w:sz w:val="27"/>
        </w:rPr>
      </w:pPr>
    </w:p>
    <w:p w:rsidR="007C5447" w:rsidRDefault="00F6308C">
      <w:pPr>
        <w:ind w:left="1532"/>
        <w:rPr>
          <w:b/>
          <w:sz w:val="24"/>
        </w:rPr>
      </w:pPr>
      <w:r>
        <w:rPr>
          <w:b/>
          <w:sz w:val="24"/>
        </w:rPr>
        <w:t>Employee Expenses</w:t>
      </w:r>
    </w:p>
    <w:p w:rsidR="007C5447" w:rsidRDefault="00F6308C">
      <w:pPr>
        <w:pStyle w:val="ListParagraph"/>
        <w:numPr>
          <w:ilvl w:val="2"/>
          <w:numId w:val="92"/>
        </w:numPr>
        <w:tabs>
          <w:tab w:val="left" w:pos="1533"/>
        </w:tabs>
        <w:spacing w:before="204" w:line="312" w:lineRule="auto"/>
        <w:ind w:right="874"/>
        <w:jc w:val="both"/>
        <w:rPr>
          <w:sz w:val="24"/>
        </w:rPr>
      </w:pPr>
      <w:r>
        <w:rPr>
          <w:sz w:val="24"/>
        </w:rPr>
        <w:t>The Commission has approved the normative employee expenses for FY 2011-12 to FY 2013-14 same as approved in Suo-Motu Order dated December 11, 2014. For approving employee expenses for FY 2014-15 and FY 2015-16, the Commission has adopted the same approach</w:t>
      </w:r>
      <w:r>
        <w:rPr>
          <w:sz w:val="24"/>
        </w:rPr>
        <w:t xml:space="preserve"> as adopted in earlier</w:t>
      </w:r>
      <w:r>
        <w:rPr>
          <w:spacing w:val="-1"/>
          <w:sz w:val="24"/>
        </w:rPr>
        <w:t xml:space="preserve"> </w:t>
      </w:r>
      <w:r>
        <w:rPr>
          <w:sz w:val="24"/>
        </w:rPr>
        <w:t>Order.</w:t>
      </w:r>
    </w:p>
    <w:p w:rsidR="007C5447" w:rsidRDefault="007C5447">
      <w:pPr>
        <w:pStyle w:val="BodyText"/>
        <w:spacing w:before="10"/>
        <w:rPr>
          <w:sz w:val="20"/>
        </w:rPr>
      </w:pPr>
    </w:p>
    <w:p w:rsidR="007C5447" w:rsidRDefault="00F6308C">
      <w:pPr>
        <w:pStyle w:val="ListParagraph"/>
        <w:numPr>
          <w:ilvl w:val="2"/>
          <w:numId w:val="92"/>
        </w:numPr>
        <w:tabs>
          <w:tab w:val="left" w:pos="1533"/>
        </w:tabs>
        <w:spacing w:line="312" w:lineRule="auto"/>
        <w:ind w:right="878"/>
        <w:jc w:val="both"/>
        <w:rPr>
          <w:sz w:val="24"/>
        </w:rPr>
      </w:pPr>
      <w:r>
        <w:rPr>
          <w:sz w:val="24"/>
        </w:rPr>
        <w:t xml:space="preserve">In the Suo-Motu Order, the Commission had bifurcated the terminal benefits based on the employee ratio of 6:1 (TANGEDCO to TANTRANSCO) based on submissions made by TANGEDCO and TANTRANSCO. Since the Pensioner’s liability has </w:t>
      </w:r>
      <w:r>
        <w:rPr>
          <w:sz w:val="24"/>
        </w:rPr>
        <w:t>not been finalized in the final Transfer Scheme, the terminal benefits approved for FY 2013-14 has been escalated at 5.72% Y-o-Y to arrive at terminal benefits for FY 2014-15 and FY 2015-16. Further, in accordance with the Tariff Regulations, employee expe</w:t>
      </w:r>
      <w:r>
        <w:rPr>
          <w:sz w:val="24"/>
        </w:rPr>
        <w:t>nses except DA for FY 2013-14 has been escalated at 5.72% to arrive at employee expenses of FY 2014-15 and FY</w:t>
      </w:r>
      <w:r>
        <w:rPr>
          <w:spacing w:val="-3"/>
          <w:sz w:val="24"/>
        </w:rPr>
        <w:t xml:space="preserve"> </w:t>
      </w:r>
      <w:r>
        <w:rPr>
          <w:sz w:val="24"/>
        </w:rPr>
        <w:t>2015-16.</w:t>
      </w:r>
    </w:p>
    <w:p w:rsidR="007C5447" w:rsidRDefault="007C5447">
      <w:pPr>
        <w:pStyle w:val="BodyText"/>
        <w:spacing w:before="11"/>
        <w:rPr>
          <w:sz w:val="20"/>
        </w:rPr>
      </w:pPr>
    </w:p>
    <w:p w:rsidR="007C5447" w:rsidRDefault="00F6308C">
      <w:pPr>
        <w:pStyle w:val="ListParagraph"/>
        <w:numPr>
          <w:ilvl w:val="2"/>
          <w:numId w:val="92"/>
        </w:numPr>
        <w:tabs>
          <w:tab w:val="left" w:pos="1533"/>
        </w:tabs>
        <w:spacing w:line="312" w:lineRule="auto"/>
        <w:ind w:right="874"/>
        <w:jc w:val="both"/>
        <w:rPr>
          <w:sz w:val="24"/>
        </w:rPr>
      </w:pPr>
      <w:r>
        <w:rPr>
          <w:sz w:val="24"/>
        </w:rPr>
        <w:t>As per the Tariff Regulations, only the increase in costs due to inflation is required to be passed through in tariff. DA percentage notified by the GoTN is dependent on inflation and hence, increase in employee costs to the extent of DA variation has been</w:t>
      </w:r>
      <w:r>
        <w:rPr>
          <w:sz w:val="24"/>
        </w:rPr>
        <w:t xml:space="preserve"> allowed as a pass through in tariff. Therefore, the DA rates notified by GoTN have been used for estimating the DA instead of taking an escalation of 5.72% as per the Tariff Regulations. The DA rate applicable for FY 2014-15 and FY 2015-16 is given in the</w:t>
      </w:r>
      <w:r>
        <w:rPr>
          <w:sz w:val="24"/>
        </w:rPr>
        <w:t xml:space="preserve"> Table</w:t>
      </w:r>
      <w:r>
        <w:rPr>
          <w:spacing w:val="-1"/>
          <w:sz w:val="24"/>
        </w:rPr>
        <w:t xml:space="preserve"> </w:t>
      </w:r>
      <w:r>
        <w:rPr>
          <w:sz w:val="24"/>
        </w:rPr>
        <w:t>below:</w:t>
      </w:r>
    </w:p>
    <w:p w:rsidR="007C5447" w:rsidRDefault="007C5447">
      <w:pPr>
        <w:pStyle w:val="BodyText"/>
        <w:spacing w:before="9"/>
        <w:rPr>
          <w:sz w:val="20"/>
        </w:rPr>
      </w:pPr>
    </w:p>
    <w:p w:rsidR="007C5447" w:rsidRDefault="00F6308C">
      <w:pPr>
        <w:pStyle w:val="Heading2"/>
        <w:ind w:left="809" w:right="1009"/>
        <w:jc w:val="center"/>
      </w:pPr>
      <w:r>
        <w:rPr>
          <w:sz w:val="22"/>
        </w:rPr>
        <w:t xml:space="preserve">Table 3-12: </w:t>
      </w:r>
      <w:r>
        <w:t>Applicable DA rates considered by the Commission</w:t>
      </w:r>
    </w:p>
    <w:p w:rsidR="007C5447" w:rsidRDefault="007C5447">
      <w:pPr>
        <w:pStyle w:val="BodyText"/>
        <w:spacing w:before="10"/>
        <w:rPr>
          <w:b/>
          <w:sz w:val="17"/>
        </w:rPr>
      </w:pPr>
    </w:p>
    <w:tbl>
      <w:tblPr>
        <w:tblW w:w="0" w:type="auto"/>
        <w:tblInd w:w="16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1"/>
        <w:gridCol w:w="3120"/>
        <w:gridCol w:w="1582"/>
        <w:gridCol w:w="1394"/>
      </w:tblGrid>
      <w:tr w:rsidR="007C5447">
        <w:trPr>
          <w:trHeight w:val="383"/>
        </w:trPr>
        <w:tc>
          <w:tcPr>
            <w:tcW w:w="1841" w:type="dxa"/>
            <w:shd w:val="clear" w:color="auto" w:fill="F7C9AC"/>
          </w:tcPr>
          <w:p w:rsidR="007C5447" w:rsidRDefault="00F6308C">
            <w:pPr>
              <w:pStyle w:val="TableParagraph"/>
              <w:spacing w:line="275" w:lineRule="exact"/>
              <w:ind w:left="645" w:right="638"/>
              <w:jc w:val="center"/>
              <w:rPr>
                <w:b/>
                <w:sz w:val="24"/>
              </w:rPr>
            </w:pPr>
            <w:r>
              <w:rPr>
                <w:b/>
                <w:sz w:val="24"/>
              </w:rPr>
              <w:t>Year</w:t>
            </w:r>
          </w:p>
        </w:tc>
        <w:tc>
          <w:tcPr>
            <w:tcW w:w="3120" w:type="dxa"/>
            <w:shd w:val="clear" w:color="auto" w:fill="F7C9AC"/>
          </w:tcPr>
          <w:p w:rsidR="007C5447" w:rsidRDefault="00F6308C">
            <w:pPr>
              <w:pStyle w:val="TableParagraph"/>
              <w:spacing w:line="275" w:lineRule="exact"/>
              <w:ind w:left="89" w:right="81"/>
              <w:jc w:val="center"/>
              <w:rPr>
                <w:b/>
                <w:sz w:val="24"/>
              </w:rPr>
            </w:pPr>
            <w:r>
              <w:rPr>
                <w:b/>
                <w:sz w:val="24"/>
              </w:rPr>
              <w:t>Effective Date</w:t>
            </w:r>
          </w:p>
        </w:tc>
        <w:tc>
          <w:tcPr>
            <w:tcW w:w="1582" w:type="dxa"/>
            <w:shd w:val="clear" w:color="auto" w:fill="F7C9AC"/>
          </w:tcPr>
          <w:p w:rsidR="007C5447" w:rsidRDefault="00F6308C">
            <w:pPr>
              <w:pStyle w:val="TableParagraph"/>
              <w:spacing w:line="275" w:lineRule="exact"/>
              <w:ind w:left="198" w:right="187"/>
              <w:jc w:val="center"/>
              <w:rPr>
                <w:b/>
                <w:sz w:val="24"/>
              </w:rPr>
            </w:pPr>
            <w:r>
              <w:rPr>
                <w:b/>
                <w:sz w:val="24"/>
              </w:rPr>
              <w:t>Rate of DA</w:t>
            </w:r>
          </w:p>
        </w:tc>
        <w:tc>
          <w:tcPr>
            <w:tcW w:w="1394" w:type="dxa"/>
            <w:shd w:val="clear" w:color="auto" w:fill="F7C9AC"/>
          </w:tcPr>
          <w:p w:rsidR="007C5447" w:rsidRDefault="00F6308C">
            <w:pPr>
              <w:pStyle w:val="TableParagraph"/>
              <w:spacing w:line="275" w:lineRule="exact"/>
              <w:ind w:left="282" w:right="274"/>
              <w:jc w:val="center"/>
              <w:rPr>
                <w:b/>
                <w:sz w:val="24"/>
              </w:rPr>
            </w:pPr>
            <w:r>
              <w:rPr>
                <w:b/>
                <w:sz w:val="24"/>
              </w:rPr>
              <w:t>Months</w:t>
            </w:r>
          </w:p>
        </w:tc>
      </w:tr>
      <w:tr w:rsidR="007C5447">
        <w:trPr>
          <w:trHeight w:val="359"/>
        </w:trPr>
        <w:tc>
          <w:tcPr>
            <w:tcW w:w="1841" w:type="dxa"/>
            <w:vMerge w:val="restart"/>
          </w:tcPr>
          <w:p w:rsidR="007C5447" w:rsidRDefault="007C5447">
            <w:pPr>
              <w:pStyle w:val="TableParagraph"/>
              <w:jc w:val="left"/>
              <w:rPr>
                <w:b/>
                <w:sz w:val="32"/>
              </w:rPr>
            </w:pPr>
          </w:p>
          <w:p w:rsidR="007C5447" w:rsidRDefault="00F6308C">
            <w:pPr>
              <w:pStyle w:val="TableParagraph"/>
              <w:ind w:left="338"/>
              <w:jc w:val="left"/>
              <w:rPr>
                <w:sz w:val="24"/>
              </w:rPr>
            </w:pPr>
            <w:r>
              <w:rPr>
                <w:sz w:val="24"/>
              </w:rPr>
              <w:t>FY 2014-15</w:t>
            </w:r>
          </w:p>
        </w:tc>
        <w:tc>
          <w:tcPr>
            <w:tcW w:w="3120" w:type="dxa"/>
          </w:tcPr>
          <w:p w:rsidR="007C5447" w:rsidRDefault="00F6308C">
            <w:pPr>
              <w:pStyle w:val="TableParagraph"/>
              <w:spacing w:line="275" w:lineRule="exact"/>
              <w:ind w:left="89" w:right="180"/>
              <w:jc w:val="center"/>
              <w:rPr>
                <w:sz w:val="24"/>
              </w:rPr>
            </w:pPr>
            <w:r>
              <w:rPr>
                <w:sz w:val="24"/>
              </w:rPr>
              <w:t>Apr 1, 2014 to June 30, 2014</w:t>
            </w:r>
          </w:p>
        </w:tc>
        <w:tc>
          <w:tcPr>
            <w:tcW w:w="1582" w:type="dxa"/>
          </w:tcPr>
          <w:p w:rsidR="007C5447" w:rsidRDefault="00F6308C">
            <w:pPr>
              <w:pStyle w:val="TableParagraph"/>
              <w:spacing w:line="275" w:lineRule="exact"/>
              <w:ind w:left="198" w:right="187"/>
              <w:jc w:val="center"/>
              <w:rPr>
                <w:sz w:val="24"/>
              </w:rPr>
            </w:pPr>
            <w:r>
              <w:rPr>
                <w:sz w:val="24"/>
              </w:rPr>
              <w:t>100%</w:t>
            </w:r>
          </w:p>
        </w:tc>
        <w:tc>
          <w:tcPr>
            <w:tcW w:w="1394" w:type="dxa"/>
          </w:tcPr>
          <w:p w:rsidR="007C5447" w:rsidRDefault="00F6308C">
            <w:pPr>
              <w:pStyle w:val="TableParagraph"/>
              <w:spacing w:line="275" w:lineRule="exact"/>
              <w:ind w:left="9"/>
              <w:jc w:val="center"/>
              <w:rPr>
                <w:sz w:val="24"/>
              </w:rPr>
            </w:pPr>
            <w:r>
              <w:rPr>
                <w:sz w:val="24"/>
              </w:rPr>
              <w:t>3</w:t>
            </w:r>
          </w:p>
        </w:tc>
      </w:tr>
      <w:tr w:rsidR="007C5447">
        <w:trPr>
          <w:trHeight w:val="359"/>
        </w:trPr>
        <w:tc>
          <w:tcPr>
            <w:tcW w:w="1841" w:type="dxa"/>
            <w:vMerge/>
            <w:tcBorders>
              <w:top w:val="nil"/>
            </w:tcBorders>
          </w:tcPr>
          <w:p w:rsidR="007C5447" w:rsidRDefault="007C5447">
            <w:pPr>
              <w:rPr>
                <w:sz w:val="2"/>
                <w:szCs w:val="2"/>
              </w:rPr>
            </w:pPr>
          </w:p>
        </w:tc>
        <w:tc>
          <w:tcPr>
            <w:tcW w:w="3120" w:type="dxa"/>
          </w:tcPr>
          <w:p w:rsidR="007C5447" w:rsidRDefault="00F6308C">
            <w:pPr>
              <w:pStyle w:val="TableParagraph"/>
              <w:spacing w:line="275" w:lineRule="exact"/>
              <w:ind w:left="62" w:right="180"/>
              <w:jc w:val="center"/>
              <w:rPr>
                <w:sz w:val="24"/>
              </w:rPr>
            </w:pPr>
            <w:r>
              <w:rPr>
                <w:sz w:val="24"/>
              </w:rPr>
              <w:t>July 1, 2014 to Dec 31, 2014</w:t>
            </w:r>
          </w:p>
        </w:tc>
        <w:tc>
          <w:tcPr>
            <w:tcW w:w="1582" w:type="dxa"/>
          </w:tcPr>
          <w:p w:rsidR="007C5447" w:rsidRDefault="00F6308C">
            <w:pPr>
              <w:pStyle w:val="TableParagraph"/>
              <w:spacing w:line="275" w:lineRule="exact"/>
              <w:ind w:left="198" w:right="187"/>
              <w:jc w:val="center"/>
              <w:rPr>
                <w:sz w:val="24"/>
              </w:rPr>
            </w:pPr>
            <w:r>
              <w:rPr>
                <w:sz w:val="24"/>
              </w:rPr>
              <w:t>107%</w:t>
            </w:r>
          </w:p>
        </w:tc>
        <w:tc>
          <w:tcPr>
            <w:tcW w:w="1394" w:type="dxa"/>
          </w:tcPr>
          <w:p w:rsidR="007C5447" w:rsidRDefault="00F6308C">
            <w:pPr>
              <w:pStyle w:val="TableParagraph"/>
              <w:spacing w:line="275" w:lineRule="exact"/>
              <w:ind w:left="9"/>
              <w:jc w:val="center"/>
              <w:rPr>
                <w:sz w:val="24"/>
              </w:rPr>
            </w:pPr>
            <w:r>
              <w:rPr>
                <w:sz w:val="24"/>
              </w:rPr>
              <w:t>6</w:t>
            </w:r>
          </w:p>
        </w:tc>
      </w:tr>
      <w:tr w:rsidR="007C5447">
        <w:trPr>
          <w:trHeight w:val="357"/>
        </w:trPr>
        <w:tc>
          <w:tcPr>
            <w:tcW w:w="1841" w:type="dxa"/>
            <w:vMerge/>
            <w:tcBorders>
              <w:top w:val="nil"/>
            </w:tcBorders>
          </w:tcPr>
          <w:p w:rsidR="007C5447" w:rsidRDefault="007C5447">
            <w:pPr>
              <w:rPr>
                <w:sz w:val="2"/>
                <w:szCs w:val="2"/>
              </w:rPr>
            </w:pPr>
          </w:p>
        </w:tc>
        <w:tc>
          <w:tcPr>
            <w:tcW w:w="3120" w:type="dxa"/>
          </w:tcPr>
          <w:p w:rsidR="007C5447" w:rsidRDefault="00F6308C">
            <w:pPr>
              <w:pStyle w:val="TableParagraph"/>
              <w:spacing w:line="275" w:lineRule="exact"/>
              <w:ind w:left="89" w:right="273"/>
              <w:jc w:val="center"/>
              <w:rPr>
                <w:sz w:val="24"/>
              </w:rPr>
            </w:pPr>
            <w:r>
              <w:rPr>
                <w:sz w:val="24"/>
              </w:rPr>
              <w:t>Jan 1, 2015 to Mar 31, 2015</w:t>
            </w:r>
          </w:p>
        </w:tc>
        <w:tc>
          <w:tcPr>
            <w:tcW w:w="1582" w:type="dxa"/>
          </w:tcPr>
          <w:p w:rsidR="007C5447" w:rsidRDefault="00F6308C">
            <w:pPr>
              <w:pStyle w:val="TableParagraph"/>
              <w:spacing w:line="275" w:lineRule="exact"/>
              <w:ind w:left="198" w:right="187"/>
              <w:jc w:val="center"/>
              <w:rPr>
                <w:sz w:val="24"/>
              </w:rPr>
            </w:pPr>
            <w:r>
              <w:rPr>
                <w:sz w:val="24"/>
              </w:rPr>
              <w:t>113%</w:t>
            </w:r>
          </w:p>
        </w:tc>
        <w:tc>
          <w:tcPr>
            <w:tcW w:w="1394" w:type="dxa"/>
          </w:tcPr>
          <w:p w:rsidR="007C5447" w:rsidRDefault="00F6308C">
            <w:pPr>
              <w:pStyle w:val="TableParagraph"/>
              <w:spacing w:line="275" w:lineRule="exact"/>
              <w:ind w:left="9"/>
              <w:jc w:val="center"/>
              <w:rPr>
                <w:sz w:val="24"/>
              </w:rPr>
            </w:pPr>
            <w:r>
              <w:rPr>
                <w:sz w:val="24"/>
              </w:rPr>
              <w:t>3</w:t>
            </w:r>
          </w:p>
        </w:tc>
      </w:tr>
      <w:tr w:rsidR="007C5447">
        <w:trPr>
          <w:trHeight w:val="360"/>
        </w:trPr>
        <w:tc>
          <w:tcPr>
            <w:tcW w:w="1841" w:type="dxa"/>
            <w:vMerge w:val="restart"/>
          </w:tcPr>
          <w:p w:rsidR="007C5447" w:rsidRDefault="007C5447">
            <w:pPr>
              <w:pStyle w:val="TableParagraph"/>
              <w:spacing w:before="1"/>
              <w:jc w:val="left"/>
              <w:rPr>
                <w:b/>
                <w:sz w:val="32"/>
              </w:rPr>
            </w:pPr>
          </w:p>
          <w:p w:rsidR="007C5447" w:rsidRDefault="00F6308C">
            <w:pPr>
              <w:pStyle w:val="TableParagraph"/>
              <w:ind w:left="338"/>
              <w:jc w:val="left"/>
              <w:rPr>
                <w:sz w:val="24"/>
              </w:rPr>
            </w:pPr>
            <w:r>
              <w:rPr>
                <w:sz w:val="24"/>
              </w:rPr>
              <w:t>FY 2015-16</w:t>
            </w:r>
          </w:p>
        </w:tc>
        <w:tc>
          <w:tcPr>
            <w:tcW w:w="3120" w:type="dxa"/>
          </w:tcPr>
          <w:p w:rsidR="007C5447" w:rsidRDefault="00F6308C">
            <w:pPr>
              <w:pStyle w:val="TableParagraph"/>
              <w:spacing w:line="276" w:lineRule="exact"/>
              <w:ind w:left="89" w:right="179"/>
              <w:jc w:val="center"/>
              <w:rPr>
                <w:sz w:val="24"/>
              </w:rPr>
            </w:pPr>
            <w:r>
              <w:rPr>
                <w:sz w:val="24"/>
              </w:rPr>
              <w:t>Apr 1, 2015 to June 30, 2015</w:t>
            </w:r>
          </w:p>
        </w:tc>
        <w:tc>
          <w:tcPr>
            <w:tcW w:w="1582" w:type="dxa"/>
          </w:tcPr>
          <w:p w:rsidR="007C5447" w:rsidRDefault="00F6308C">
            <w:pPr>
              <w:pStyle w:val="TableParagraph"/>
              <w:spacing w:line="276" w:lineRule="exact"/>
              <w:ind w:left="198" w:right="187"/>
              <w:jc w:val="center"/>
              <w:rPr>
                <w:sz w:val="24"/>
              </w:rPr>
            </w:pPr>
            <w:r>
              <w:rPr>
                <w:sz w:val="24"/>
              </w:rPr>
              <w:t>113%</w:t>
            </w:r>
          </w:p>
        </w:tc>
        <w:tc>
          <w:tcPr>
            <w:tcW w:w="1394" w:type="dxa"/>
          </w:tcPr>
          <w:p w:rsidR="007C5447" w:rsidRDefault="00F6308C">
            <w:pPr>
              <w:pStyle w:val="TableParagraph"/>
              <w:spacing w:line="276" w:lineRule="exact"/>
              <w:ind w:left="9"/>
              <w:jc w:val="center"/>
              <w:rPr>
                <w:sz w:val="24"/>
              </w:rPr>
            </w:pPr>
            <w:r>
              <w:rPr>
                <w:sz w:val="24"/>
              </w:rPr>
              <w:t>3</w:t>
            </w:r>
          </w:p>
        </w:tc>
      </w:tr>
      <w:tr w:rsidR="007C5447">
        <w:trPr>
          <w:trHeight w:val="359"/>
        </w:trPr>
        <w:tc>
          <w:tcPr>
            <w:tcW w:w="1841" w:type="dxa"/>
            <w:vMerge/>
            <w:tcBorders>
              <w:top w:val="nil"/>
            </w:tcBorders>
          </w:tcPr>
          <w:p w:rsidR="007C5447" w:rsidRDefault="007C5447">
            <w:pPr>
              <w:rPr>
                <w:sz w:val="2"/>
                <w:szCs w:val="2"/>
              </w:rPr>
            </w:pPr>
          </w:p>
        </w:tc>
        <w:tc>
          <w:tcPr>
            <w:tcW w:w="3120" w:type="dxa"/>
          </w:tcPr>
          <w:p w:rsidR="007C5447" w:rsidRDefault="00F6308C">
            <w:pPr>
              <w:pStyle w:val="TableParagraph"/>
              <w:spacing w:line="275" w:lineRule="exact"/>
              <w:ind w:left="62" w:right="180"/>
              <w:jc w:val="center"/>
              <w:rPr>
                <w:sz w:val="24"/>
              </w:rPr>
            </w:pPr>
            <w:r>
              <w:rPr>
                <w:sz w:val="24"/>
              </w:rPr>
              <w:t>July 1, 2015 to Dec 31, 2015</w:t>
            </w:r>
          </w:p>
        </w:tc>
        <w:tc>
          <w:tcPr>
            <w:tcW w:w="1582" w:type="dxa"/>
          </w:tcPr>
          <w:p w:rsidR="007C5447" w:rsidRDefault="00F6308C">
            <w:pPr>
              <w:pStyle w:val="TableParagraph"/>
              <w:spacing w:line="275" w:lineRule="exact"/>
              <w:ind w:left="198" w:right="187"/>
              <w:jc w:val="center"/>
              <w:rPr>
                <w:sz w:val="24"/>
              </w:rPr>
            </w:pPr>
            <w:r>
              <w:rPr>
                <w:sz w:val="24"/>
              </w:rPr>
              <w:t>119%</w:t>
            </w:r>
          </w:p>
        </w:tc>
        <w:tc>
          <w:tcPr>
            <w:tcW w:w="1394" w:type="dxa"/>
          </w:tcPr>
          <w:p w:rsidR="007C5447" w:rsidRDefault="00F6308C">
            <w:pPr>
              <w:pStyle w:val="TableParagraph"/>
              <w:spacing w:line="275" w:lineRule="exact"/>
              <w:ind w:left="9"/>
              <w:jc w:val="center"/>
              <w:rPr>
                <w:sz w:val="24"/>
              </w:rPr>
            </w:pPr>
            <w:r>
              <w:rPr>
                <w:sz w:val="24"/>
              </w:rPr>
              <w:t>6</w:t>
            </w:r>
          </w:p>
        </w:tc>
      </w:tr>
      <w:tr w:rsidR="007C5447">
        <w:trPr>
          <w:trHeight w:val="357"/>
        </w:trPr>
        <w:tc>
          <w:tcPr>
            <w:tcW w:w="1841" w:type="dxa"/>
            <w:vMerge/>
            <w:tcBorders>
              <w:top w:val="nil"/>
            </w:tcBorders>
          </w:tcPr>
          <w:p w:rsidR="007C5447" w:rsidRDefault="007C5447">
            <w:pPr>
              <w:rPr>
                <w:sz w:val="2"/>
                <w:szCs w:val="2"/>
              </w:rPr>
            </w:pPr>
          </w:p>
        </w:tc>
        <w:tc>
          <w:tcPr>
            <w:tcW w:w="3120" w:type="dxa"/>
          </w:tcPr>
          <w:p w:rsidR="007C5447" w:rsidRDefault="00F6308C">
            <w:pPr>
              <w:pStyle w:val="TableParagraph"/>
              <w:spacing w:line="275" w:lineRule="exact"/>
              <w:ind w:left="89" w:right="273"/>
              <w:jc w:val="center"/>
              <w:rPr>
                <w:sz w:val="24"/>
              </w:rPr>
            </w:pPr>
            <w:r>
              <w:rPr>
                <w:sz w:val="24"/>
              </w:rPr>
              <w:t>Jan 1, 2016 to Mar 31, 2016</w:t>
            </w:r>
          </w:p>
        </w:tc>
        <w:tc>
          <w:tcPr>
            <w:tcW w:w="1582" w:type="dxa"/>
          </w:tcPr>
          <w:p w:rsidR="007C5447" w:rsidRDefault="00F6308C">
            <w:pPr>
              <w:pStyle w:val="TableParagraph"/>
              <w:spacing w:line="275" w:lineRule="exact"/>
              <w:ind w:left="198" w:right="187"/>
              <w:jc w:val="center"/>
              <w:rPr>
                <w:sz w:val="24"/>
              </w:rPr>
            </w:pPr>
            <w:r>
              <w:rPr>
                <w:sz w:val="24"/>
              </w:rPr>
              <w:t>125%</w:t>
            </w:r>
          </w:p>
        </w:tc>
        <w:tc>
          <w:tcPr>
            <w:tcW w:w="1394" w:type="dxa"/>
          </w:tcPr>
          <w:p w:rsidR="007C5447" w:rsidRDefault="00F6308C">
            <w:pPr>
              <w:pStyle w:val="TableParagraph"/>
              <w:spacing w:line="275" w:lineRule="exact"/>
              <w:ind w:left="9"/>
              <w:jc w:val="center"/>
              <w:rPr>
                <w:sz w:val="24"/>
              </w:rPr>
            </w:pPr>
            <w:r>
              <w:rPr>
                <w:sz w:val="24"/>
              </w:rPr>
              <w:t>3</w:t>
            </w:r>
          </w:p>
        </w:tc>
      </w:tr>
    </w:tbl>
    <w:p w:rsidR="007C5447" w:rsidRDefault="007C5447">
      <w:pPr>
        <w:pStyle w:val="BodyText"/>
        <w:spacing w:before="9"/>
        <w:rPr>
          <w:b/>
          <w:sz w:val="20"/>
        </w:rPr>
      </w:pPr>
    </w:p>
    <w:p w:rsidR="007C5447" w:rsidRDefault="00F6308C">
      <w:pPr>
        <w:ind w:left="1532"/>
        <w:rPr>
          <w:b/>
          <w:sz w:val="24"/>
        </w:rPr>
      </w:pPr>
      <w:r>
        <w:rPr>
          <w:b/>
          <w:sz w:val="24"/>
        </w:rPr>
        <w:t>Repair and Maintenance (R&amp;M) Expenses</w:t>
      </w:r>
    </w:p>
    <w:p w:rsidR="007C5447" w:rsidRDefault="00F6308C">
      <w:pPr>
        <w:pStyle w:val="ListParagraph"/>
        <w:numPr>
          <w:ilvl w:val="2"/>
          <w:numId w:val="92"/>
        </w:numPr>
        <w:tabs>
          <w:tab w:val="left" w:pos="1533"/>
        </w:tabs>
        <w:spacing w:before="204" w:line="312" w:lineRule="auto"/>
        <w:ind w:right="873"/>
        <w:jc w:val="both"/>
        <w:rPr>
          <w:sz w:val="24"/>
        </w:rPr>
      </w:pPr>
      <w:r>
        <w:rPr>
          <w:sz w:val="24"/>
        </w:rPr>
        <w:t>The Commission has approved the R&amp;M expenses for FY 2011-12 to FY 2013-14 same</w:t>
      </w:r>
      <w:r>
        <w:rPr>
          <w:spacing w:val="15"/>
          <w:sz w:val="24"/>
        </w:rPr>
        <w:t xml:space="preserve"> </w:t>
      </w:r>
      <w:r>
        <w:rPr>
          <w:sz w:val="24"/>
        </w:rPr>
        <w:t>as</w:t>
      </w:r>
      <w:r>
        <w:rPr>
          <w:spacing w:val="15"/>
          <w:sz w:val="24"/>
        </w:rPr>
        <w:t xml:space="preserve"> </w:t>
      </w:r>
      <w:r>
        <w:rPr>
          <w:sz w:val="24"/>
        </w:rPr>
        <w:t>approved</w:t>
      </w:r>
      <w:r>
        <w:rPr>
          <w:spacing w:val="15"/>
          <w:sz w:val="24"/>
        </w:rPr>
        <w:t xml:space="preserve"> </w:t>
      </w:r>
      <w:r>
        <w:rPr>
          <w:sz w:val="24"/>
        </w:rPr>
        <w:t>in</w:t>
      </w:r>
      <w:r>
        <w:rPr>
          <w:spacing w:val="16"/>
          <w:sz w:val="24"/>
        </w:rPr>
        <w:t xml:space="preserve"> </w:t>
      </w:r>
      <w:r>
        <w:rPr>
          <w:sz w:val="24"/>
        </w:rPr>
        <w:t>the</w:t>
      </w:r>
      <w:r>
        <w:rPr>
          <w:spacing w:val="17"/>
          <w:sz w:val="24"/>
        </w:rPr>
        <w:t xml:space="preserve"> </w:t>
      </w:r>
      <w:r>
        <w:rPr>
          <w:sz w:val="24"/>
        </w:rPr>
        <w:t>Suo-Motu</w:t>
      </w:r>
      <w:r>
        <w:rPr>
          <w:spacing w:val="17"/>
          <w:sz w:val="24"/>
        </w:rPr>
        <w:t xml:space="preserve"> </w:t>
      </w:r>
      <w:r>
        <w:rPr>
          <w:sz w:val="24"/>
        </w:rPr>
        <w:t>Order</w:t>
      </w:r>
      <w:r>
        <w:rPr>
          <w:spacing w:val="14"/>
          <w:sz w:val="24"/>
        </w:rPr>
        <w:t xml:space="preserve"> </w:t>
      </w:r>
      <w:r>
        <w:rPr>
          <w:sz w:val="24"/>
        </w:rPr>
        <w:t>dated</w:t>
      </w:r>
      <w:r>
        <w:rPr>
          <w:spacing w:val="17"/>
          <w:sz w:val="24"/>
        </w:rPr>
        <w:t xml:space="preserve"> </w:t>
      </w:r>
      <w:r>
        <w:rPr>
          <w:sz w:val="24"/>
        </w:rPr>
        <w:t>December</w:t>
      </w:r>
      <w:r>
        <w:rPr>
          <w:spacing w:val="17"/>
          <w:sz w:val="24"/>
        </w:rPr>
        <w:t xml:space="preserve"> </w:t>
      </w:r>
      <w:r>
        <w:rPr>
          <w:sz w:val="24"/>
        </w:rPr>
        <w:t>11,</w:t>
      </w:r>
      <w:r>
        <w:rPr>
          <w:spacing w:val="15"/>
          <w:sz w:val="24"/>
        </w:rPr>
        <w:t xml:space="preserve"> </w:t>
      </w:r>
      <w:r>
        <w:rPr>
          <w:sz w:val="24"/>
        </w:rPr>
        <w:t>2014.</w:t>
      </w:r>
      <w:r>
        <w:rPr>
          <w:spacing w:val="17"/>
          <w:sz w:val="24"/>
        </w:rPr>
        <w:t xml:space="preserve"> </w:t>
      </w:r>
      <w:r>
        <w:rPr>
          <w:sz w:val="24"/>
        </w:rPr>
        <w:t>For</w:t>
      </w:r>
      <w:r>
        <w:rPr>
          <w:spacing w:val="17"/>
          <w:sz w:val="24"/>
        </w:rPr>
        <w:t xml:space="preserve"> </w:t>
      </w:r>
      <w:r>
        <w:rPr>
          <w:sz w:val="24"/>
        </w:rPr>
        <w:t>approving</w:t>
      </w:r>
    </w:p>
    <w:p w:rsidR="007C5447" w:rsidRDefault="007C5447">
      <w:pPr>
        <w:spacing w:line="312" w:lineRule="auto"/>
        <w:jc w:val="both"/>
        <w:rPr>
          <w:sz w:val="24"/>
        </w:rPr>
        <w:sectPr w:rsidR="007C5447">
          <w:pgSz w:w="11910" w:h="16840"/>
          <w:pgMar w:top="1580" w:right="560" w:bottom="1240" w:left="760" w:header="0" w:footer="1057" w:gutter="0"/>
          <w:cols w:space="720"/>
        </w:sectPr>
      </w:pPr>
    </w:p>
    <w:p w:rsidR="007C5447" w:rsidRDefault="00F6308C">
      <w:pPr>
        <w:pStyle w:val="BodyText"/>
        <w:spacing w:before="60" w:line="312" w:lineRule="auto"/>
        <w:ind w:left="1532" w:right="875"/>
        <w:jc w:val="both"/>
      </w:pPr>
      <w:r>
        <w:lastRenderedPageBreak/>
        <w:t>R&amp;M expenses for FY 2014-15 and FY 2015-16, the Commission has adopted the same approach as specified in the Tariff Regulations. The R&amp;M expenses approved for FY 2013-14 has been escalated by 5.72% Y-o-Y to arrive at R&amp;M expenses for FY 2014-15 and FY 2015</w:t>
      </w:r>
      <w:r>
        <w:t>-16.</w:t>
      </w:r>
    </w:p>
    <w:p w:rsidR="007C5447" w:rsidRDefault="007C5447">
      <w:pPr>
        <w:pStyle w:val="BodyText"/>
        <w:spacing w:before="11"/>
        <w:rPr>
          <w:sz w:val="20"/>
        </w:rPr>
      </w:pPr>
    </w:p>
    <w:p w:rsidR="007C5447" w:rsidRDefault="00F6308C">
      <w:pPr>
        <w:pStyle w:val="Heading2"/>
        <w:ind w:left="1532"/>
        <w:jc w:val="both"/>
      </w:pPr>
      <w:r>
        <w:t>Administrative and General (A&amp;G) Expenses</w:t>
      </w:r>
    </w:p>
    <w:p w:rsidR="007C5447" w:rsidRDefault="00F6308C">
      <w:pPr>
        <w:pStyle w:val="ListParagraph"/>
        <w:numPr>
          <w:ilvl w:val="2"/>
          <w:numId w:val="92"/>
        </w:numPr>
        <w:tabs>
          <w:tab w:val="left" w:pos="1533"/>
        </w:tabs>
        <w:spacing w:before="202" w:line="312" w:lineRule="auto"/>
        <w:ind w:right="875"/>
        <w:jc w:val="both"/>
        <w:rPr>
          <w:sz w:val="24"/>
        </w:rPr>
      </w:pPr>
      <w:r>
        <w:rPr>
          <w:sz w:val="24"/>
        </w:rPr>
        <w:t>The Commission has approved A&amp;G expenses for FY 2011-12 to FY 2013-14 same as approved in the Suo-Motu Order dated December 11, 2014. For approving A&amp;G expenses for FY 2014-15 and FY 2015-16, the Commission has adopted the same approach as specified in the</w:t>
      </w:r>
      <w:r>
        <w:rPr>
          <w:sz w:val="24"/>
        </w:rPr>
        <w:t xml:space="preserve"> Tariff Regulations. The A&amp;G expenses approved for FY 2013-14 has been escalated by 5.72% Y-o-Y to arrive at A&amp;G expenses for FY 2014-15 and FY</w:t>
      </w:r>
      <w:r>
        <w:rPr>
          <w:spacing w:val="-1"/>
          <w:sz w:val="24"/>
        </w:rPr>
        <w:t xml:space="preserve"> </w:t>
      </w:r>
      <w:r>
        <w:rPr>
          <w:sz w:val="24"/>
        </w:rPr>
        <w:t>2015-16.</w:t>
      </w:r>
    </w:p>
    <w:p w:rsidR="007C5447" w:rsidRDefault="007C5447">
      <w:pPr>
        <w:pStyle w:val="BodyText"/>
        <w:spacing w:before="10"/>
        <w:rPr>
          <w:sz w:val="20"/>
        </w:rPr>
      </w:pPr>
    </w:p>
    <w:p w:rsidR="007C5447" w:rsidRDefault="00F6308C">
      <w:pPr>
        <w:pStyle w:val="Heading2"/>
        <w:ind w:left="1532"/>
        <w:jc w:val="both"/>
      </w:pPr>
      <w:r>
        <w:t>O&amp;M Expenses for new generating stations</w:t>
      </w:r>
    </w:p>
    <w:p w:rsidR="007C5447" w:rsidRDefault="00F6308C">
      <w:pPr>
        <w:pStyle w:val="ListParagraph"/>
        <w:numPr>
          <w:ilvl w:val="2"/>
          <w:numId w:val="92"/>
        </w:numPr>
        <w:tabs>
          <w:tab w:val="left" w:pos="1533"/>
        </w:tabs>
        <w:spacing w:before="204" w:line="312" w:lineRule="auto"/>
        <w:ind w:right="882"/>
        <w:jc w:val="both"/>
        <w:rPr>
          <w:sz w:val="24"/>
        </w:rPr>
      </w:pPr>
      <w:r>
        <w:rPr>
          <w:sz w:val="24"/>
        </w:rPr>
        <w:t>The Commission has allowed O&amp;M expenses for new generating st</w:t>
      </w:r>
      <w:r>
        <w:rPr>
          <w:sz w:val="24"/>
        </w:rPr>
        <w:t>ations of TANGEDCO, namely MTPS Stage III and NCTPS Stage II (Unit 1 and Unit 2) in accordance with Regulation 25.5 of the Tariff Regulations, reproduced</w:t>
      </w:r>
      <w:r>
        <w:rPr>
          <w:spacing w:val="-5"/>
          <w:sz w:val="24"/>
        </w:rPr>
        <w:t xml:space="preserve"> </w:t>
      </w:r>
      <w:r>
        <w:rPr>
          <w:sz w:val="24"/>
        </w:rPr>
        <w:t>below:</w:t>
      </w:r>
    </w:p>
    <w:p w:rsidR="007C5447" w:rsidRDefault="007C5447">
      <w:pPr>
        <w:pStyle w:val="BodyText"/>
        <w:spacing w:before="9"/>
        <w:rPr>
          <w:sz w:val="20"/>
        </w:rPr>
      </w:pPr>
    </w:p>
    <w:p w:rsidR="007C5447" w:rsidRDefault="00F6308C">
      <w:pPr>
        <w:pStyle w:val="Heading3"/>
        <w:ind w:left="2120"/>
      </w:pPr>
      <w:r>
        <w:t>“25. Operation and Maintenance Expenses</w:t>
      </w:r>
    </w:p>
    <w:p w:rsidR="007C5447" w:rsidRDefault="00F6308C">
      <w:pPr>
        <w:spacing w:before="140"/>
        <w:ind w:left="2120"/>
        <w:rPr>
          <w:b/>
          <w:i/>
          <w:sz w:val="24"/>
        </w:rPr>
      </w:pPr>
      <w:r>
        <w:rPr>
          <w:b/>
          <w:i/>
          <w:sz w:val="24"/>
        </w:rPr>
        <w:t>…</w:t>
      </w:r>
    </w:p>
    <w:p w:rsidR="007C5447" w:rsidRDefault="00F6308C">
      <w:pPr>
        <w:spacing w:before="136"/>
        <w:ind w:left="2120"/>
        <w:rPr>
          <w:b/>
          <w:i/>
          <w:sz w:val="24"/>
        </w:rPr>
      </w:pPr>
      <w:r>
        <w:rPr>
          <w:b/>
          <w:i/>
          <w:sz w:val="24"/>
        </w:rPr>
        <w:t>…</w:t>
      </w:r>
    </w:p>
    <w:p w:rsidR="007C5447" w:rsidRDefault="007C5447">
      <w:pPr>
        <w:pStyle w:val="BodyText"/>
        <w:rPr>
          <w:b/>
          <w:i/>
          <w:sz w:val="33"/>
        </w:rPr>
      </w:pPr>
    </w:p>
    <w:p w:rsidR="007C5447" w:rsidRDefault="00F6308C">
      <w:pPr>
        <w:spacing w:before="1"/>
        <w:ind w:left="2120" w:right="1598"/>
        <w:jc w:val="both"/>
        <w:rPr>
          <w:i/>
          <w:sz w:val="24"/>
        </w:rPr>
      </w:pPr>
      <w:r>
        <w:rPr>
          <w:i/>
          <w:sz w:val="24"/>
        </w:rPr>
        <w:t>5) In case of the thermal power generating statio</w:t>
      </w:r>
      <w:r>
        <w:rPr>
          <w:i/>
          <w:sz w:val="24"/>
        </w:rPr>
        <w:t xml:space="preserve">ns declared under commercial operation on or after the notification of these Regulations, the base operation and maintenance expenses shall be fixed at 1.0% of the actual capital cost (as admitted by the Commission), in the year of commissioning and shall </w:t>
      </w:r>
      <w:r>
        <w:rPr>
          <w:i/>
          <w:sz w:val="24"/>
        </w:rPr>
        <w:t>be subject to an annual escalation of 5.72% per annum for the subsequent years.”</w:t>
      </w:r>
    </w:p>
    <w:p w:rsidR="007C5447" w:rsidRDefault="007C5447">
      <w:pPr>
        <w:pStyle w:val="BodyText"/>
        <w:rPr>
          <w:i/>
          <w:sz w:val="26"/>
        </w:rPr>
      </w:pPr>
    </w:p>
    <w:p w:rsidR="007C5447" w:rsidRDefault="00F6308C">
      <w:pPr>
        <w:pStyle w:val="ListParagraph"/>
        <w:numPr>
          <w:ilvl w:val="2"/>
          <w:numId w:val="92"/>
        </w:numPr>
        <w:tabs>
          <w:tab w:val="left" w:pos="1533"/>
        </w:tabs>
        <w:spacing w:before="234" w:line="312" w:lineRule="auto"/>
        <w:ind w:right="876"/>
        <w:jc w:val="both"/>
        <w:rPr>
          <w:sz w:val="24"/>
        </w:rPr>
      </w:pPr>
      <w:r>
        <w:rPr>
          <w:sz w:val="24"/>
        </w:rPr>
        <w:t>Capital Cost and date of COD of MTPS Stage III and NCTPS Stage II (Unit 1 and Unit 2) have been considered as approved in M.A.P Order 1 of 2015 and M.A.P Order 2 of 2015 date</w:t>
      </w:r>
      <w:r>
        <w:rPr>
          <w:sz w:val="24"/>
        </w:rPr>
        <w:t>d December 29, 2016 and M.A.P Order 3 of 2015 dated January 31, 2016, as shown in the Table</w:t>
      </w:r>
      <w:r>
        <w:rPr>
          <w:spacing w:val="-2"/>
          <w:sz w:val="24"/>
        </w:rPr>
        <w:t xml:space="preserve"> </w:t>
      </w:r>
      <w:r>
        <w:rPr>
          <w:sz w:val="24"/>
        </w:rPr>
        <w:t>below:</w:t>
      </w:r>
    </w:p>
    <w:p w:rsidR="007C5447" w:rsidRDefault="007C5447">
      <w:pPr>
        <w:pStyle w:val="BodyText"/>
        <w:rPr>
          <w:sz w:val="21"/>
        </w:rPr>
      </w:pPr>
    </w:p>
    <w:p w:rsidR="007C5447" w:rsidRDefault="00F6308C">
      <w:pPr>
        <w:spacing w:before="1"/>
        <w:ind w:left="810" w:right="1004"/>
        <w:jc w:val="center"/>
        <w:rPr>
          <w:b/>
        </w:rPr>
      </w:pPr>
      <w:r>
        <w:rPr>
          <w:b/>
        </w:rPr>
        <w:t>Table 3-13: Capital Cost and COD of New Generating Stations</w:t>
      </w:r>
    </w:p>
    <w:p w:rsidR="007C5447" w:rsidRDefault="007C5447">
      <w:pPr>
        <w:pStyle w:val="BodyText"/>
        <w:spacing w:before="10"/>
        <w:rPr>
          <w:b/>
          <w:sz w:val="16"/>
        </w:rPr>
      </w:pPr>
    </w:p>
    <w:tbl>
      <w:tblPr>
        <w:tblW w:w="0" w:type="auto"/>
        <w:tblInd w:w="1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6"/>
        <w:gridCol w:w="2504"/>
        <w:gridCol w:w="1844"/>
        <w:gridCol w:w="1703"/>
      </w:tblGrid>
      <w:tr w:rsidR="007C5447">
        <w:trPr>
          <w:trHeight w:val="570"/>
        </w:trPr>
        <w:tc>
          <w:tcPr>
            <w:tcW w:w="756" w:type="dxa"/>
            <w:shd w:val="clear" w:color="auto" w:fill="F7C9AC"/>
          </w:tcPr>
          <w:p w:rsidR="007C5447" w:rsidRDefault="00F6308C">
            <w:pPr>
              <w:pStyle w:val="TableParagraph"/>
              <w:spacing w:before="157"/>
              <w:ind w:right="248"/>
              <w:rPr>
                <w:b/>
              </w:rPr>
            </w:pPr>
            <w:r>
              <w:rPr>
                <w:b/>
              </w:rPr>
              <w:t>Sl.</w:t>
            </w:r>
          </w:p>
        </w:tc>
        <w:tc>
          <w:tcPr>
            <w:tcW w:w="2504" w:type="dxa"/>
            <w:shd w:val="clear" w:color="auto" w:fill="F7C9AC"/>
          </w:tcPr>
          <w:p w:rsidR="007C5447" w:rsidRDefault="00F6308C">
            <w:pPr>
              <w:pStyle w:val="TableParagraph"/>
              <w:spacing w:before="157"/>
              <w:ind w:left="588"/>
              <w:jc w:val="left"/>
              <w:rPr>
                <w:b/>
              </w:rPr>
            </w:pPr>
            <w:r>
              <w:rPr>
                <w:b/>
              </w:rPr>
              <w:t>Power Station</w:t>
            </w:r>
          </w:p>
        </w:tc>
        <w:tc>
          <w:tcPr>
            <w:tcW w:w="1844" w:type="dxa"/>
            <w:shd w:val="clear" w:color="auto" w:fill="F7C9AC"/>
          </w:tcPr>
          <w:p w:rsidR="007C5447" w:rsidRDefault="00F6308C">
            <w:pPr>
              <w:pStyle w:val="TableParagraph"/>
              <w:spacing w:before="157"/>
              <w:ind w:left="133" w:right="124"/>
              <w:jc w:val="center"/>
              <w:rPr>
                <w:b/>
              </w:rPr>
            </w:pPr>
            <w:r>
              <w:rPr>
                <w:b/>
              </w:rPr>
              <w:t>COD</w:t>
            </w:r>
          </w:p>
        </w:tc>
        <w:tc>
          <w:tcPr>
            <w:tcW w:w="1703" w:type="dxa"/>
            <w:shd w:val="clear" w:color="auto" w:fill="F7C9AC"/>
          </w:tcPr>
          <w:p w:rsidR="007C5447" w:rsidRDefault="00F6308C">
            <w:pPr>
              <w:pStyle w:val="TableParagraph"/>
              <w:spacing w:before="32"/>
              <w:ind w:left="318" w:right="235" w:hanging="60"/>
              <w:jc w:val="left"/>
              <w:rPr>
                <w:b/>
              </w:rPr>
            </w:pPr>
            <w:r>
              <w:rPr>
                <w:b/>
              </w:rPr>
              <w:t>Capital Cost (Rs. Crore)</w:t>
            </w:r>
          </w:p>
        </w:tc>
      </w:tr>
      <w:tr w:rsidR="007C5447">
        <w:trPr>
          <w:trHeight w:val="364"/>
        </w:trPr>
        <w:tc>
          <w:tcPr>
            <w:tcW w:w="756" w:type="dxa"/>
          </w:tcPr>
          <w:p w:rsidR="007C5447" w:rsidRDefault="00F6308C">
            <w:pPr>
              <w:pStyle w:val="TableParagraph"/>
              <w:spacing w:before="53"/>
              <w:ind w:right="312"/>
            </w:pPr>
            <w:r>
              <w:t>1</w:t>
            </w:r>
          </w:p>
        </w:tc>
        <w:tc>
          <w:tcPr>
            <w:tcW w:w="2504" w:type="dxa"/>
          </w:tcPr>
          <w:p w:rsidR="007C5447" w:rsidRDefault="00F6308C">
            <w:pPr>
              <w:pStyle w:val="TableParagraph"/>
              <w:spacing w:before="53"/>
              <w:ind w:left="107"/>
              <w:jc w:val="left"/>
            </w:pPr>
            <w:r>
              <w:t>MTPS Stage III</w:t>
            </w:r>
          </w:p>
        </w:tc>
        <w:tc>
          <w:tcPr>
            <w:tcW w:w="1844" w:type="dxa"/>
          </w:tcPr>
          <w:p w:rsidR="007C5447" w:rsidRDefault="00F6308C">
            <w:pPr>
              <w:pStyle w:val="TableParagraph"/>
              <w:spacing w:before="53"/>
              <w:ind w:left="133" w:right="126"/>
              <w:jc w:val="center"/>
            </w:pPr>
            <w:r>
              <w:t>October 12, 2013</w:t>
            </w:r>
          </w:p>
        </w:tc>
        <w:tc>
          <w:tcPr>
            <w:tcW w:w="1703" w:type="dxa"/>
          </w:tcPr>
          <w:p w:rsidR="007C5447" w:rsidRDefault="00F6308C">
            <w:pPr>
              <w:pStyle w:val="TableParagraph"/>
              <w:spacing w:before="53"/>
              <w:ind w:left="726"/>
              <w:jc w:val="left"/>
            </w:pPr>
            <w:r>
              <w:t>3,816.45</w:t>
            </w:r>
          </w:p>
        </w:tc>
      </w:tr>
    </w:tbl>
    <w:p w:rsidR="007C5447" w:rsidRDefault="007C5447">
      <w:pPr>
        <w:sectPr w:rsidR="007C5447">
          <w:pgSz w:w="11910" w:h="16840"/>
          <w:pgMar w:top="1360" w:right="560" w:bottom="1240" w:left="760" w:header="0" w:footer="1057" w:gutter="0"/>
          <w:cols w:space="720"/>
        </w:sectPr>
      </w:pPr>
    </w:p>
    <w:tbl>
      <w:tblPr>
        <w:tblW w:w="0" w:type="auto"/>
        <w:tblInd w:w="1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6"/>
        <w:gridCol w:w="2504"/>
        <w:gridCol w:w="1844"/>
        <w:gridCol w:w="1703"/>
      </w:tblGrid>
      <w:tr w:rsidR="007C5447">
        <w:trPr>
          <w:trHeight w:val="571"/>
        </w:trPr>
        <w:tc>
          <w:tcPr>
            <w:tcW w:w="756" w:type="dxa"/>
            <w:shd w:val="clear" w:color="auto" w:fill="F7C9AC"/>
          </w:tcPr>
          <w:p w:rsidR="007C5447" w:rsidRDefault="00F6308C">
            <w:pPr>
              <w:pStyle w:val="TableParagraph"/>
              <w:spacing w:before="157"/>
              <w:ind w:right="248"/>
              <w:rPr>
                <w:b/>
              </w:rPr>
            </w:pPr>
            <w:r>
              <w:rPr>
                <w:b/>
              </w:rPr>
              <w:lastRenderedPageBreak/>
              <w:t>Sl.</w:t>
            </w:r>
          </w:p>
        </w:tc>
        <w:tc>
          <w:tcPr>
            <w:tcW w:w="2504" w:type="dxa"/>
            <w:shd w:val="clear" w:color="auto" w:fill="F7C9AC"/>
          </w:tcPr>
          <w:p w:rsidR="007C5447" w:rsidRDefault="00F6308C">
            <w:pPr>
              <w:pStyle w:val="TableParagraph"/>
              <w:spacing w:before="157"/>
              <w:ind w:left="89" w:right="78"/>
              <w:jc w:val="center"/>
              <w:rPr>
                <w:b/>
              </w:rPr>
            </w:pPr>
            <w:r>
              <w:rPr>
                <w:b/>
              </w:rPr>
              <w:t>Power Station</w:t>
            </w:r>
          </w:p>
        </w:tc>
        <w:tc>
          <w:tcPr>
            <w:tcW w:w="1844" w:type="dxa"/>
            <w:shd w:val="clear" w:color="auto" w:fill="F7C9AC"/>
          </w:tcPr>
          <w:p w:rsidR="007C5447" w:rsidRDefault="00F6308C">
            <w:pPr>
              <w:pStyle w:val="TableParagraph"/>
              <w:spacing w:before="157"/>
              <w:ind w:left="133" w:right="124"/>
              <w:jc w:val="center"/>
              <w:rPr>
                <w:b/>
              </w:rPr>
            </w:pPr>
            <w:r>
              <w:rPr>
                <w:b/>
              </w:rPr>
              <w:t>COD</w:t>
            </w:r>
          </w:p>
        </w:tc>
        <w:tc>
          <w:tcPr>
            <w:tcW w:w="1703" w:type="dxa"/>
            <w:shd w:val="clear" w:color="auto" w:fill="F7C9AC"/>
          </w:tcPr>
          <w:p w:rsidR="007C5447" w:rsidRDefault="00F6308C">
            <w:pPr>
              <w:pStyle w:val="TableParagraph"/>
              <w:spacing w:before="32"/>
              <w:ind w:left="318" w:right="235" w:hanging="60"/>
              <w:jc w:val="left"/>
              <w:rPr>
                <w:b/>
              </w:rPr>
            </w:pPr>
            <w:r>
              <w:rPr>
                <w:b/>
              </w:rPr>
              <w:t>Capital Cost (Rs. Crore)</w:t>
            </w:r>
          </w:p>
        </w:tc>
      </w:tr>
      <w:tr w:rsidR="007C5447">
        <w:trPr>
          <w:trHeight w:val="412"/>
        </w:trPr>
        <w:tc>
          <w:tcPr>
            <w:tcW w:w="756" w:type="dxa"/>
          </w:tcPr>
          <w:p w:rsidR="007C5447" w:rsidRDefault="00F6308C">
            <w:pPr>
              <w:pStyle w:val="TableParagraph"/>
              <w:spacing w:before="77"/>
              <w:ind w:right="312"/>
            </w:pPr>
            <w:r>
              <w:t>2</w:t>
            </w:r>
          </w:p>
        </w:tc>
        <w:tc>
          <w:tcPr>
            <w:tcW w:w="2504" w:type="dxa"/>
          </w:tcPr>
          <w:p w:rsidR="007C5447" w:rsidRDefault="00F6308C">
            <w:pPr>
              <w:pStyle w:val="TableParagraph"/>
              <w:spacing w:before="77"/>
              <w:ind w:left="89" w:right="157"/>
              <w:jc w:val="center"/>
            </w:pPr>
            <w:r>
              <w:t>NCTPS Stage II – Unit 1</w:t>
            </w:r>
          </w:p>
        </w:tc>
        <w:tc>
          <w:tcPr>
            <w:tcW w:w="1844" w:type="dxa"/>
          </w:tcPr>
          <w:p w:rsidR="007C5447" w:rsidRDefault="00F6308C">
            <w:pPr>
              <w:pStyle w:val="TableParagraph"/>
              <w:spacing w:before="77"/>
              <w:ind w:left="41" w:right="126"/>
              <w:jc w:val="center"/>
            </w:pPr>
            <w:r>
              <w:t>March 20, 2014</w:t>
            </w:r>
          </w:p>
        </w:tc>
        <w:tc>
          <w:tcPr>
            <w:tcW w:w="1703" w:type="dxa"/>
          </w:tcPr>
          <w:p w:rsidR="007C5447" w:rsidRDefault="00F6308C">
            <w:pPr>
              <w:pStyle w:val="TableParagraph"/>
              <w:spacing w:before="77"/>
              <w:ind w:right="191"/>
            </w:pPr>
            <w:r>
              <w:t>3,428.50</w:t>
            </w:r>
          </w:p>
        </w:tc>
      </w:tr>
      <w:tr w:rsidR="007C5447">
        <w:trPr>
          <w:trHeight w:val="417"/>
        </w:trPr>
        <w:tc>
          <w:tcPr>
            <w:tcW w:w="756" w:type="dxa"/>
          </w:tcPr>
          <w:p w:rsidR="007C5447" w:rsidRDefault="00F6308C">
            <w:pPr>
              <w:pStyle w:val="TableParagraph"/>
              <w:spacing w:before="80"/>
              <w:ind w:right="312"/>
            </w:pPr>
            <w:r>
              <w:t>3</w:t>
            </w:r>
          </w:p>
        </w:tc>
        <w:tc>
          <w:tcPr>
            <w:tcW w:w="2504" w:type="dxa"/>
          </w:tcPr>
          <w:p w:rsidR="007C5447" w:rsidRDefault="00F6308C">
            <w:pPr>
              <w:pStyle w:val="TableParagraph"/>
              <w:spacing w:before="80"/>
              <w:ind w:left="89" w:right="157"/>
              <w:jc w:val="center"/>
            </w:pPr>
            <w:r>
              <w:t>NCTPS Stage II – Unit 2</w:t>
            </w:r>
          </w:p>
        </w:tc>
        <w:tc>
          <w:tcPr>
            <w:tcW w:w="1844" w:type="dxa"/>
          </w:tcPr>
          <w:p w:rsidR="007C5447" w:rsidRDefault="00F6308C">
            <w:pPr>
              <w:pStyle w:val="TableParagraph"/>
              <w:spacing w:before="80"/>
              <w:ind w:left="43" w:right="126"/>
              <w:jc w:val="center"/>
            </w:pPr>
            <w:r>
              <w:t>May 8, 2014</w:t>
            </w:r>
          </w:p>
        </w:tc>
        <w:tc>
          <w:tcPr>
            <w:tcW w:w="1703" w:type="dxa"/>
          </w:tcPr>
          <w:p w:rsidR="007C5447" w:rsidRDefault="00F6308C">
            <w:pPr>
              <w:pStyle w:val="TableParagraph"/>
              <w:spacing w:before="80"/>
              <w:ind w:right="191"/>
            </w:pPr>
            <w:r>
              <w:t>3,156.24</w:t>
            </w:r>
          </w:p>
        </w:tc>
      </w:tr>
    </w:tbl>
    <w:p w:rsidR="007C5447" w:rsidRDefault="00F6308C">
      <w:pPr>
        <w:pStyle w:val="ListParagraph"/>
        <w:numPr>
          <w:ilvl w:val="2"/>
          <w:numId w:val="92"/>
        </w:numPr>
        <w:tabs>
          <w:tab w:val="left" w:pos="1532"/>
          <w:tab w:val="left" w:pos="1533"/>
        </w:tabs>
        <w:spacing w:before="119" w:line="312" w:lineRule="auto"/>
        <w:ind w:right="876"/>
        <w:rPr>
          <w:sz w:val="24"/>
        </w:rPr>
      </w:pPr>
      <w:r>
        <w:rPr>
          <w:sz w:val="24"/>
        </w:rPr>
        <w:t>Further, O&amp;M expenses have been allowed on proportionate basis, if COD was achieved during the</w:t>
      </w:r>
      <w:r>
        <w:rPr>
          <w:spacing w:val="-1"/>
          <w:sz w:val="24"/>
        </w:rPr>
        <w:t xml:space="preserve"> </w:t>
      </w:r>
      <w:r>
        <w:rPr>
          <w:sz w:val="24"/>
        </w:rPr>
        <w:t>year.</w:t>
      </w:r>
    </w:p>
    <w:p w:rsidR="007C5447" w:rsidRDefault="007C5447">
      <w:pPr>
        <w:pStyle w:val="BodyText"/>
        <w:spacing w:before="10"/>
        <w:rPr>
          <w:sz w:val="20"/>
        </w:rPr>
      </w:pPr>
    </w:p>
    <w:p w:rsidR="007C5447" w:rsidRDefault="00F6308C">
      <w:pPr>
        <w:pStyle w:val="ListParagraph"/>
        <w:numPr>
          <w:ilvl w:val="2"/>
          <w:numId w:val="92"/>
        </w:numPr>
        <w:tabs>
          <w:tab w:val="left" w:pos="1532"/>
          <w:tab w:val="left" w:pos="1533"/>
        </w:tabs>
        <w:spacing w:line="312" w:lineRule="auto"/>
        <w:ind w:right="876"/>
        <w:rPr>
          <w:sz w:val="24"/>
        </w:rPr>
      </w:pPr>
      <w:r>
        <w:rPr>
          <w:sz w:val="24"/>
        </w:rPr>
        <w:t>The O&amp;M expenses approved by the Commission after true-up for FY 2011-12 to FY 2015-16 is shown in the Tables</w:t>
      </w:r>
      <w:r>
        <w:rPr>
          <w:spacing w:val="-2"/>
          <w:sz w:val="24"/>
        </w:rPr>
        <w:t xml:space="preserve"> </w:t>
      </w:r>
      <w:r>
        <w:rPr>
          <w:sz w:val="24"/>
        </w:rPr>
        <w:t>below:</w:t>
      </w:r>
    </w:p>
    <w:p w:rsidR="007C5447" w:rsidRDefault="007C5447">
      <w:pPr>
        <w:spacing w:line="312" w:lineRule="auto"/>
        <w:rPr>
          <w:sz w:val="24"/>
        </w:rPr>
        <w:sectPr w:rsidR="007C5447">
          <w:pgSz w:w="11910" w:h="16840"/>
          <w:pgMar w:top="1420" w:right="560" w:bottom="1240" w:left="760" w:header="0" w:footer="1057" w:gutter="0"/>
          <w:cols w:space="720"/>
        </w:sectPr>
      </w:pPr>
    </w:p>
    <w:p w:rsidR="007C5447" w:rsidRDefault="007C5447">
      <w:pPr>
        <w:pStyle w:val="BodyText"/>
        <w:rPr>
          <w:sz w:val="20"/>
        </w:rPr>
      </w:pPr>
    </w:p>
    <w:p w:rsidR="007C5447" w:rsidRDefault="007C5447">
      <w:pPr>
        <w:pStyle w:val="BodyText"/>
        <w:spacing w:before="6"/>
        <w:rPr>
          <w:sz w:val="19"/>
        </w:rPr>
      </w:pPr>
    </w:p>
    <w:p w:rsidR="007C5447" w:rsidRDefault="00F6308C">
      <w:pPr>
        <w:ind w:left="1360"/>
        <w:rPr>
          <w:b/>
        </w:rPr>
      </w:pPr>
      <w:r>
        <w:rPr>
          <w:b/>
        </w:rPr>
        <w:t>Table 3-14: O&amp;M expenses approved by the Commission after true-up for FY 2011-12 to FY 2013-14 (Rs. Crore)</w:t>
      </w:r>
    </w:p>
    <w:p w:rsidR="007C5447" w:rsidRDefault="007C5447">
      <w:pPr>
        <w:pStyle w:val="BodyText"/>
        <w:spacing w:before="11"/>
        <w:rPr>
          <w:b/>
          <w:sz w:val="16"/>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1"/>
        <w:gridCol w:w="2155"/>
        <w:gridCol w:w="1121"/>
        <w:gridCol w:w="1437"/>
        <w:gridCol w:w="1154"/>
        <w:gridCol w:w="1030"/>
        <w:gridCol w:w="1370"/>
        <w:gridCol w:w="1166"/>
        <w:gridCol w:w="1224"/>
        <w:gridCol w:w="1372"/>
        <w:gridCol w:w="1127"/>
      </w:tblGrid>
      <w:tr w:rsidR="007C5447">
        <w:trPr>
          <w:trHeight w:val="297"/>
        </w:trPr>
        <w:tc>
          <w:tcPr>
            <w:tcW w:w="821" w:type="dxa"/>
            <w:vMerge w:val="restart"/>
            <w:shd w:val="clear" w:color="auto" w:fill="F7C9AC"/>
          </w:tcPr>
          <w:p w:rsidR="007C5447" w:rsidRDefault="007C5447">
            <w:pPr>
              <w:pStyle w:val="TableParagraph"/>
              <w:jc w:val="left"/>
              <w:rPr>
                <w:b/>
              </w:rPr>
            </w:pPr>
          </w:p>
          <w:p w:rsidR="007C5447" w:rsidRDefault="00F6308C">
            <w:pPr>
              <w:pStyle w:val="TableParagraph"/>
              <w:spacing w:before="145"/>
              <w:ind w:left="105"/>
              <w:jc w:val="left"/>
              <w:rPr>
                <w:b/>
                <w:sz w:val="20"/>
              </w:rPr>
            </w:pPr>
            <w:r>
              <w:rPr>
                <w:b/>
                <w:sz w:val="20"/>
              </w:rPr>
              <w:t>Sl.</w:t>
            </w:r>
          </w:p>
        </w:tc>
        <w:tc>
          <w:tcPr>
            <w:tcW w:w="2155" w:type="dxa"/>
            <w:vMerge w:val="restart"/>
            <w:shd w:val="clear" w:color="auto" w:fill="F7C9AC"/>
          </w:tcPr>
          <w:p w:rsidR="007C5447" w:rsidRDefault="007C5447">
            <w:pPr>
              <w:pStyle w:val="TableParagraph"/>
              <w:jc w:val="left"/>
              <w:rPr>
                <w:b/>
              </w:rPr>
            </w:pPr>
          </w:p>
          <w:p w:rsidR="007C5447" w:rsidRDefault="00F6308C">
            <w:pPr>
              <w:pStyle w:val="TableParagraph"/>
              <w:spacing w:before="145"/>
              <w:ind w:left="107"/>
              <w:jc w:val="left"/>
              <w:rPr>
                <w:b/>
                <w:sz w:val="20"/>
              </w:rPr>
            </w:pPr>
            <w:r>
              <w:rPr>
                <w:b/>
                <w:sz w:val="20"/>
              </w:rPr>
              <w:t>Particulars</w:t>
            </w:r>
          </w:p>
        </w:tc>
        <w:tc>
          <w:tcPr>
            <w:tcW w:w="3712" w:type="dxa"/>
            <w:gridSpan w:val="3"/>
            <w:shd w:val="clear" w:color="auto" w:fill="FBD4B4"/>
          </w:tcPr>
          <w:p w:rsidR="007C5447" w:rsidRDefault="00F6308C">
            <w:pPr>
              <w:pStyle w:val="TableParagraph"/>
              <w:spacing w:before="34"/>
              <w:ind w:left="1344" w:right="1333"/>
              <w:jc w:val="center"/>
              <w:rPr>
                <w:b/>
                <w:sz w:val="20"/>
              </w:rPr>
            </w:pPr>
            <w:r>
              <w:rPr>
                <w:b/>
                <w:sz w:val="20"/>
              </w:rPr>
              <w:t>FY 2011-12</w:t>
            </w:r>
          </w:p>
        </w:tc>
        <w:tc>
          <w:tcPr>
            <w:tcW w:w="3566" w:type="dxa"/>
            <w:gridSpan w:val="3"/>
            <w:shd w:val="clear" w:color="auto" w:fill="FBD4B4"/>
          </w:tcPr>
          <w:p w:rsidR="007C5447" w:rsidRDefault="00F6308C">
            <w:pPr>
              <w:pStyle w:val="TableParagraph"/>
              <w:spacing w:before="34"/>
              <w:ind w:left="1273" w:right="1258"/>
              <w:jc w:val="center"/>
              <w:rPr>
                <w:b/>
                <w:sz w:val="20"/>
              </w:rPr>
            </w:pPr>
            <w:r>
              <w:rPr>
                <w:b/>
                <w:sz w:val="20"/>
              </w:rPr>
              <w:t>FY 2012-13</w:t>
            </w:r>
          </w:p>
        </w:tc>
        <w:tc>
          <w:tcPr>
            <w:tcW w:w="3723" w:type="dxa"/>
            <w:gridSpan w:val="3"/>
            <w:shd w:val="clear" w:color="auto" w:fill="FBD4B4"/>
          </w:tcPr>
          <w:p w:rsidR="007C5447" w:rsidRDefault="00F6308C">
            <w:pPr>
              <w:pStyle w:val="TableParagraph"/>
              <w:spacing w:before="34"/>
              <w:ind w:left="1354" w:right="1335"/>
              <w:jc w:val="center"/>
              <w:rPr>
                <w:b/>
                <w:sz w:val="20"/>
              </w:rPr>
            </w:pPr>
            <w:r>
              <w:rPr>
                <w:b/>
                <w:sz w:val="20"/>
              </w:rPr>
              <w:t>FY 2013-14</w:t>
            </w:r>
          </w:p>
        </w:tc>
      </w:tr>
      <w:tr w:rsidR="007C5447">
        <w:trPr>
          <w:trHeight w:val="719"/>
        </w:trPr>
        <w:tc>
          <w:tcPr>
            <w:tcW w:w="821" w:type="dxa"/>
            <w:vMerge/>
            <w:tcBorders>
              <w:top w:val="nil"/>
            </w:tcBorders>
            <w:shd w:val="clear" w:color="auto" w:fill="F7C9AC"/>
          </w:tcPr>
          <w:p w:rsidR="007C5447" w:rsidRDefault="007C5447">
            <w:pPr>
              <w:rPr>
                <w:sz w:val="2"/>
                <w:szCs w:val="2"/>
              </w:rPr>
            </w:pPr>
          </w:p>
        </w:tc>
        <w:tc>
          <w:tcPr>
            <w:tcW w:w="2155" w:type="dxa"/>
            <w:vMerge/>
            <w:tcBorders>
              <w:top w:val="nil"/>
            </w:tcBorders>
            <w:shd w:val="clear" w:color="auto" w:fill="F7C9AC"/>
          </w:tcPr>
          <w:p w:rsidR="007C5447" w:rsidRDefault="007C5447">
            <w:pPr>
              <w:rPr>
                <w:sz w:val="2"/>
                <w:szCs w:val="2"/>
              </w:rPr>
            </w:pPr>
          </w:p>
        </w:tc>
        <w:tc>
          <w:tcPr>
            <w:tcW w:w="1121" w:type="dxa"/>
            <w:shd w:val="clear" w:color="auto" w:fill="FBD4B4"/>
          </w:tcPr>
          <w:p w:rsidR="007C5447" w:rsidRDefault="00F6308C">
            <w:pPr>
              <w:pStyle w:val="TableParagraph"/>
              <w:spacing w:before="130"/>
              <w:ind w:left="342"/>
              <w:jc w:val="left"/>
              <w:rPr>
                <w:b/>
                <w:sz w:val="20"/>
              </w:rPr>
            </w:pPr>
            <w:r>
              <w:rPr>
                <w:b/>
                <w:sz w:val="20"/>
              </w:rPr>
              <w:t>SMT</w:t>
            </w:r>
          </w:p>
          <w:p w:rsidR="007C5447" w:rsidRDefault="00F6308C">
            <w:pPr>
              <w:pStyle w:val="TableParagraph"/>
              <w:ind w:left="292"/>
              <w:jc w:val="left"/>
              <w:rPr>
                <w:b/>
                <w:sz w:val="20"/>
              </w:rPr>
            </w:pPr>
            <w:r>
              <w:rPr>
                <w:b/>
                <w:sz w:val="20"/>
              </w:rPr>
              <w:t>Order</w:t>
            </w:r>
          </w:p>
        </w:tc>
        <w:tc>
          <w:tcPr>
            <w:tcW w:w="1437" w:type="dxa"/>
            <w:shd w:val="clear" w:color="auto" w:fill="FBD4B4"/>
          </w:tcPr>
          <w:p w:rsidR="007C5447" w:rsidRDefault="007C5447">
            <w:pPr>
              <w:pStyle w:val="TableParagraph"/>
              <w:spacing w:before="3"/>
              <w:jc w:val="left"/>
              <w:rPr>
                <w:b/>
                <w:sz w:val="21"/>
              </w:rPr>
            </w:pPr>
          </w:p>
          <w:p w:rsidR="007C5447" w:rsidRDefault="00F6308C">
            <w:pPr>
              <w:pStyle w:val="TableParagraph"/>
              <w:ind w:right="132"/>
              <w:rPr>
                <w:b/>
                <w:sz w:val="20"/>
              </w:rPr>
            </w:pPr>
            <w:r>
              <w:rPr>
                <w:b/>
                <w:w w:val="95"/>
                <w:sz w:val="20"/>
              </w:rPr>
              <w:t>TANGEDCO</w:t>
            </w:r>
          </w:p>
        </w:tc>
        <w:tc>
          <w:tcPr>
            <w:tcW w:w="1154" w:type="dxa"/>
            <w:shd w:val="clear" w:color="auto" w:fill="FBD4B4"/>
          </w:tcPr>
          <w:p w:rsidR="007C5447" w:rsidRDefault="00F6308C">
            <w:pPr>
              <w:pStyle w:val="TableParagraph"/>
              <w:spacing w:before="14" w:line="230" w:lineRule="atLeast"/>
              <w:ind w:left="149" w:right="138"/>
              <w:jc w:val="center"/>
              <w:rPr>
                <w:b/>
                <w:sz w:val="20"/>
              </w:rPr>
            </w:pPr>
            <w:r>
              <w:rPr>
                <w:b/>
                <w:w w:val="95"/>
                <w:sz w:val="20"/>
              </w:rPr>
              <w:t xml:space="preserve">Approved </w:t>
            </w:r>
            <w:r>
              <w:rPr>
                <w:b/>
                <w:sz w:val="20"/>
              </w:rPr>
              <w:t>after true up</w:t>
            </w:r>
          </w:p>
        </w:tc>
        <w:tc>
          <w:tcPr>
            <w:tcW w:w="1030" w:type="dxa"/>
            <w:shd w:val="clear" w:color="auto" w:fill="FBD4B4"/>
          </w:tcPr>
          <w:p w:rsidR="007C5447" w:rsidRDefault="00F6308C">
            <w:pPr>
              <w:pStyle w:val="TableParagraph"/>
              <w:spacing w:before="130"/>
              <w:ind w:left="296"/>
              <w:jc w:val="left"/>
              <w:rPr>
                <w:b/>
                <w:sz w:val="20"/>
              </w:rPr>
            </w:pPr>
            <w:r>
              <w:rPr>
                <w:b/>
                <w:sz w:val="20"/>
              </w:rPr>
              <w:t>SMT</w:t>
            </w:r>
          </w:p>
          <w:p w:rsidR="007C5447" w:rsidRDefault="00F6308C">
            <w:pPr>
              <w:pStyle w:val="TableParagraph"/>
              <w:ind w:left="248"/>
              <w:jc w:val="left"/>
              <w:rPr>
                <w:b/>
                <w:sz w:val="20"/>
              </w:rPr>
            </w:pPr>
            <w:r>
              <w:rPr>
                <w:b/>
                <w:sz w:val="20"/>
              </w:rPr>
              <w:t>Order</w:t>
            </w:r>
          </w:p>
        </w:tc>
        <w:tc>
          <w:tcPr>
            <w:tcW w:w="1370" w:type="dxa"/>
            <w:shd w:val="clear" w:color="auto" w:fill="FBD4B4"/>
          </w:tcPr>
          <w:p w:rsidR="007C5447" w:rsidRDefault="007C5447">
            <w:pPr>
              <w:pStyle w:val="TableParagraph"/>
              <w:spacing w:before="3"/>
              <w:jc w:val="left"/>
              <w:rPr>
                <w:b/>
                <w:sz w:val="21"/>
              </w:rPr>
            </w:pPr>
          </w:p>
          <w:p w:rsidR="007C5447" w:rsidRDefault="00F6308C">
            <w:pPr>
              <w:pStyle w:val="TableParagraph"/>
              <w:ind w:left="109"/>
              <w:jc w:val="left"/>
              <w:rPr>
                <w:b/>
                <w:sz w:val="20"/>
              </w:rPr>
            </w:pPr>
            <w:r>
              <w:rPr>
                <w:b/>
                <w:sz w:val="20"/>
              </w:rPr>
              <w:t>TANGEDCO</w:t>
            </w:r>
          </w:p>
        </w:tc>
        <w:tc>
          <w:tcPr>
            <w:tcW w:w="1166" w:type="dxa"/>
            <w:shd w:val="clear" w:color="auto" w:fill="FBD4B4"/>
          </w:tcPr>
          <w:p w:rsidR="007C5447" w:rsidRDefault="00F6308C">
            <w:pPr>
              <w:pStyle w:val="TableParagraph"/>
              <w:spacing w:before="14" w:line="230" w:lineRule="atLeast"/>
              <w:ind w:left="156" w:right="141"/>
              <w:jc w:val="center"/>
              <w:rPr>
                <w:b/>
                <w:sz w:val="20"/>
              </w:rPr>
            </w:pPr>
            <w:r>
              <w:rPr>
                <w:b/>
                <w:w w:val="95"/>
                <w:sz w:val="20"/>
              </w:rPr>
              <w:t xml:space="preserve">Approved </w:t>
            </w:r>
            <w:r>
              <w:rPr>
                <w:b/>
                <w:sz w:val="20"/>
              </w:rPr>
              <w:t>after true up</w:t>
            </w:r>
          </w:p>
        </w:tc>
        <w:tc>
          <w:tcPr>
            <w:tcW w:w="1224" w:type="dxa"/>
            <w:shd w:val="clear" w:color="auto" w:fill="FBD4B4"/>
          </w:tcPr>
          <w:p w:rsidR="007C5447" w:rsidRDefault="00F6308C">
            <w:pPr>
              <w:pStyle w:val="TableParagraph"/>
              <w:spacing w:before="130"/>
              <w:ind w:left="396"/>
              <w:jc w:val="left"/>
              <w:rPr>
                <w:b/>
                <w:sz w:val="20"/>
              </w:rPr>
            </w:pPr>
            <w:r>
              <w:rPr>
                <w:b/>
                <w:sz w:val="20"/>
              </w:rPr>
              <w:t>SMT</w:t>
            </w:r>
          </w:p>
          <w:p w:rsidR="007C5447" w:rsidRDefault="00F6308C">
            <w:pPr>
              <w:pStyle w:val="TableParagraph"/>
              <w:ind w:left="347"/>
              <w:jc w:val="left"/>
              <w:rPr>
                <w:b/>
                <w:sz w:val="20"/>
              </w:rPr>
            </w:pPr>
            <w:r>
              <w:rPr>
                <w:b/>
                <w:sz w:val="20"/>
              </w:rPr>
              <w:t>Order</w:t>
            </w:r>
          </w:p>
        </w:tc>
        <w:tc>
          <w:tcPr>
            <w:tcW w:w="1372" w:type="dxa"/>
            <w:shd w:val="clear" w:color="auto" w:fill="FBD4B4"/>
          </w:tcPr>
          <w:p w:rsidR="007C5447" w:rsidRDefault="007C5447">
            <w:pPr>
              <w:pStyle w:val="TableParagraph"/>
              <w:spacing w:before="3"/>
              <w:jc w:val="left"/>
              <w:rPr>
                <w:b/>
                <w:sz w:val="21"/>
              </w:rPr>
            </w:pPr>
          </w:p>
          <w:p w:rsidR="007C5447" w:rsidRDefault="00F6308C">
            <w:pPr>
              <w:pStyle w:val="TableParagraph"/>
              <w:ind w:left="110"/>
              <w:jc w:val="left"/>
              <w:rPr>
                <w:b/>
                <w:sz w:val="20"/>
              </w:rPr>
            </w:pPr>
            <w:r>
              <w:rPr>
                <w:b/>
                <w:sz w:val="20"/>
              </w:rPr>
              <w:t>TANGEDCO</w:t>
            </w:r>
          </w:p>
        </w:tc>
        <w:tc>
          <w:tcPr>
            <w:tcW w:w="1127" w:type="dxa"/>
            <w:shd w:val="clear" w:color="auto" w:fill="FBD4B4"/>
          </w:tcPr>
          <w:p w:rsidR="007C5447" w:rsidRDefault="00F6308C">
            <w:pPr>
              <w:pStyle w:val="TableParagraph"/>
              <w:spacing w:before="14" w:line="230" w:lineRule="atLeast"/>
              <w:ind w:left="140" w:right="120"/>
              <w:jc w:val="center"/>
              <w:rPr>
                <w:b/>
                <w:sz w:val="20"/>
              </w:rPr>
            </w:pPr>
            <w:r>
              <w:rPr>
                <w:b/>
                <w:w w:val="95"/>
                <w:sz w:val="20"/>
              </w:rPr>
              <w:t xml:space="preserve">Approved </w:t>
            </w:r>
            <w:r>
              <w:rPr>
                <w:b/>
                <w:sz w:val="20"/>
              </w:rPr>
              <w:t>after true up</w:t>
            </w:r>
          </w:p>
        </w:tc>
      </w:tr>
      <w:tr w:rsidR="007C5447">
        <w:trPr>
          <w:trHeight w:val="299"/>
        </w:trPr>
        <w:tc>
          <w:tcPr>
            <w:tcW w:w="821" w:type="dxa"/>
          </w:tcPr>
          <w:p w:rsidR="007C5447" w:rsidRDefault="00F6308C">
            <w:pPr>
              <w:pStyle w:val="TableParagraph"/>
              <w:spacing w:before="36"/>
              <w:ind w:left="357"/>
              <w:jc w:val="left"/>
              <w:rPr>
                <w:sz w:val="20"/>
              </w:rPr>
            </w:pPr>
            <w:r>
              <w:rPr>
                <w:w w:val="99"/>
                <w:sz w:val="20"/>
              </w:rPr>
              <w:t>1</w:t>
            </w:r>
          </w:p>
        </w:tc>
        <w:tc>
          <w:tcPr>
            <w:tcW w:w="2155" w:type="dxa"/>
          </w:tcPr>
          <w:p w:rsidR="007C5447" w:rsidRDefault="00F6308C">
            <w:pPr>
              <w:pStyle w:val="TableParagraph"/>
              <w:spacing w:before="36"/>
              <w:ind w:left="107"/>
              <w:jc w:val="left"/>
              <w:rPr>
                <w:sz w:val="20"/>
              </w:rPr>
            </w:pPr>
            <w:r>
              <w:rPr>
                <w:sz w:val="20"/>
              </w:rPr>
              <w:t>Ennore TPS</w:t>
            </w:r>
          </w:p>
        </w:tc>
        <w:tc>
          <w:tcPr>
            <w:tcW w:w="1121" w:type="dxa"/>
          </w:tcPr>
          <w:p w:rsidR="007C5447" w:rsidRDefault="00F6308C">
            <w:pPr>
              <w:pStyle w:val="TableParagraph"/>
              <w:spacing w:before="36"/>
              <w:ind w:right="194"/>
              <w:rPr>
                <w:sz w:val="20"/>
              </w:rPr>
            </w:pPr>
            <w:r>
              <w:rPr>
                <w:w w:val="95"/>
                <w:sz w:val="20"/>
              </w:rPr>
              <w:t>104.72</w:t>
            </w:r>
          </w:p>
        </w:tc>
        <w:tc>
          <w:tcPr>
            <w:tcW w:w="1437" w:type="dxa"/>
          </w:tcPr>
          <w:p w:rsidR="007C5447" w:rsidRDefault="00F6308C">
            <w:pPr>
              <w:pStyle w:val="TableParagraph"/>
              <w:spacing w:before="36"/>
              <w:ind w:right="193"/>
              <w:rPr>
                <w:sz w:val="20"/>
              </w:rPr>
            </w:pPr>
            <w:r>
              <w:rPr>
                <w:w w:val="95"/>
                <w:sz w:val="20"/>
              </w:rPr>
              <w:t>103.78</w:t>
            </w:r>
          </w:p>
        </w:tc>
        <w:tc>
          <w:tcPr>
            <w:tcW w:w="1154" w:type="dxa"/>
          </w:tcPr>
          <w:p w:rsidR="007C5447" w:rsidRDefault="00F6308C">
            <w:pPr>
              <w:pStyle w:val="TableParagraph"/>
              <w:spacing w:before="36"/>
              <w:ind w:right="192"/>
              <w:rPr>
                <w:sz w:val="20"/>
              </w:rPr>
            </w:pPr>
            <w:r>
              <w:rPr>
                <w:w w:val="95"/>
                <w:sz w:val="20"/>
              </w:rPr>
              <w:t>104.72</w:t>
            </w:r>
          </w:p>
        </w:tc>
        <w:tc>
          <w:tcPr>
            <w:tcW w:w="1030" w:type="dxa"/>
          </w:tcPr>
          <w:p w:rsidR="007C5447" w:rsidRDefault="00F6308C">
            <w:pPr>
              <w:pStyle w:val="TableParagraph"/>
              <w:spacing w:before="36"/>
              <w:ind w:right="195"/>
              <w:rPr>
                <w:sz w:val="20"/>
              </w:rPr>
            </w:pPr>
            <w:r>
              <w:rPr>
                <w:w w:val="95"/>
                <w:sz w:val="20"/>
              </w:rPr>
              <w:t>110.28</w:t>
            </w:r>
          </w:p>
        </w:tc>
        <w:tc>
          <w:tcPr>
            <w:tcW w:w="1370" w:type="dxa"/>
          </w:tcPr>
          <w:p w:rsidR="007C5447" w:rsidRDefault="00F6308C">
            <w:pPr>
              <w:pStyle w:val="TableParagraph"/>
              <w:spacing w:before="36"/>
              <w:ind w:left="718"/>
              <w:jc w:val="left"/>
              <w:rPr>
                <w:sz w:val="20"/>
              </w:rPr>
            </w:pPr>
            <w:r>
              <w:rPr>
                <w:sz w:val="20"/>
              </w:rPr>
              <w:t>88.71</w:t>
            </w:r>
          </w:p>
        </w:tc>
        <w:tc>
          <w:tcPr>
            <w:tcW w:w="1166" w:type="dxa"/>
          </w:tcPr>
          <w:p w:rsidR="007C5447" w:rsidRDefault="00F6308C">
            <w:pPr>
              <w:pStyle w:val="TableParagraph"/>
              <w:spacing w:before="36"/>
              <w:ind w:right="192"/>
              <w:rPr>
                <w:sz w:val="20"/>
              </w:rPr>
            </w:pPr>
            <w:r>
              <w:rPr>
                <w:w w:val="95"/>
                <w:sz w:val="20"/>
              </w:rPr>
              <w:t>110.28</w:t>
            </w:r>
          </w:p>
        </w:tc>
        <w:tc>
          <w:tcPr>
            <w:tcW w:w="1224" w:type="dxa"/>
          </w:tcPr>
          <w:p w:rsidR="007C5447" w:rsidRDefault="00F6308C">
            <w:pPr>
              <w:pStyle w:val="TableParagraph"/>
              <w:spacing w:before="36"/>
              <w:ind w:right="191"/>
              <w:rPr>
                <w:sz w:val="20"/>
              </w:rPr>
            </w:pPr>
            <w:r>
              <w:rPr>
                <w:w w:val="95"/>
                <w:sz w:val="20"/>
              </w:rPr>
              <w:t>124.63</w:t>
            </w:r>
          </w:p>
        </w:tc>
        <w:tc>
          <w:tcPr>
            <w:tcW w:w="1372" w:type="dxa"/>
          </w:tcPr>
          <w:p w:rsidR="007C5447" w:rsidRDefault="00F6308C">
            <w:pPr>
              <w:pStyle w:val="TableParagraph"/>
              <w:spacing w:before="36"/>
              <w:ind w:left="619"/>
              <w:jc w:val="left"/>
              <w:rPr>
                <w:sz w:val="20"/>
              </w:rPr>
            </w:pPr>
            <w:r>
              <w:rPr>
                <w:sz w:val="20"/>
              </w:rPr>
              <w:t>106.25</w:t>
            </w:r>
          </w:p>
        </w:tc>
        <w:tc>
          <w:tcPr>
            <w:tcW w:w="1127" w:type="dxa"/>
          </w:tcPr>
          <w:p w:rsidR="007C5447" w:rsidRDefault="00F6308C">
            <w:pPr>
              <w:pStyle w:val="TableParagraph"/>
              <w:spacing w:before="36"/>
              <w:ind w:right="189"/>
              <w:rPr>
                <w:sz w:val="20"/>
              </w:rPr>
            </w:pPr>
            <w:r>
              <w:rPr>
                <w:w w:val="95"/>
                <w:sz w:val="20"/>
              </w:rPr>
              <w:t>124.60</w:t>
            </w:r>
          </w:p>
        </w:tc>
      </w:tr>
      <w:tr w:rsidR="007C5447">
        <w:trPr>
          <w:trHeight w:val="299"/>
        </w:trPr>
        <w:tc>
          <w:tcPr>
            <w:tcW w:w="821" w:type="dxa"/>
          </w:tcPr>
          <w:p w:rsidR="007C5447" w:rsidRDefault="00F6308C">
            <w:pPr>
              <w:pStyle w:val="TableParagraph"/>
              <w:spacing w:before="36"/>
              <w:ind w:left="357"/>
              <w:jc w:val="left"/>
              <w:rPr>
                <w:sz w:val="20"/>
              </w:rPr>
            </w:pPr>
            <w:r>
              <w:rPr>
                <w:w w:val="99"/>
                <w:sz w:val="20"/>
              </w:rPr>
              <w:t>2</w:t>
            </w:r>
          </w:p>
        </w:tc>
        <w:tc>
          <w:tcPr>
            <w:tcW w:w="2155" w:type="dxa"/>
          </w:tcPr>
          <w:p w:rsidR="007C5447" w:rsidRDefault="00F6308C">
            <w:pPr>
              <w:pStyle w:val="TableParagraph"/>
              <w:spacing w:before="36"/>
              <w:ind w:left="107"/>
              <w:jc w:val="left"/>
              <w:rPr>
                <w:sz w:val="20"/>
              </w:rPr>
            </w:pPr>
            <w:r>
              <w:rPr>
                <w:sz w:val="20"/>
              </w:rPr>
              <w:t>Tuticorin TPS</w:t>
            </w:r>
          </w:p>
        </w:tc>
        <w:tc>
          <w:tcPr>
            <w:tcW w:w="1121" w:type="dxa"/>
          </w:tcPr>
          <w:p w:rsidR="007C5447" w:rsidRDefault="00F6308C">
            <w:pPr>
              <w:pStyle w:val="TableParagraph"/>
              <w:spacing w:before="36"/>
              <w:ind w:right="194"/>
              <w:rPr>
                <w:sz w:val="20"/>
              </w:rPr>
            </w:pPr>
            <w:r>
              <w:rPr>
                <w:w w:val="95"/>
                <w:sz w:val="20"/>
              </w:rPr>
              <w:t>142.19</w:t>
            </w:r>
          </w:p>
        </w:tc>
        <w:tc>
          <w:tcPr>
            <w:tcW w:w="1437" w:type="dxa"/>
          </w:tcPr>
          <w:p w:rsidR="007C5447" w:rsidRDefault="00F6308C">
            <w:pPr>
              <w:pStyle w:val="TableParagraph"/>
              <w:spacing w:before="36"/>
              <w:ind w:right="193"/>
              <w:rPr>
                <w:sz w:val="20"/>
              </w:rPr>
            </w:pPr>
            <w:r>
              <w:rPr>
                <w:w w:val="95"/>
                <w:sz w:val="20"/>
              </w:rPr>
              <w:t>191.36</w:t>
            </w:r>
          </w:p>
        </w:tc>
        <w:tc>
          <w:tcPr>
            <w:tcW w:w="1154" w:type="dxa"/>
          </w:tcPr>
          <w:p w:rsidR="007C5447" w:rsidRDefault="00F6308C">
            <w:pPr>
              <w:pStyle w:val="TableParagraph"/>
              <w:spacing w:before="36"/>
              <w:ind w:right="192"/>
              <w:rPr>
                <w:sz w:val="20"/>
              </w:rPr>
            </w:pPr>
            <w:r>
              <w:rPr>
                <w:w w:val="95"/>
                <w:sz w:val="20"/>
              </w:rPr>
              <w:t>142.19</w:t>
            </w:r>
          </w:p>
        </w:tc>
        <w:tc>
          <w:tcPr>
            <w:tcW w:w="1030" w:type="dxa"/>
          </w:tcPr>
          <w:p w:rsidR="007C5447" w:rsidRDefault="00F6308C">
            <w:pPr>
              <w:pStyle w:val="TableParagraph"/>
              <w:spacing w:before="36"/>
              <w:ind w:right="195"/>
              <w:rPr>
                <w:sz w:val="20"/>
              </w:rPr>
            </w:pPr>
            <w:r>
              <w:rPr>
                <w:w w:val="95"/>
                <w:sz w:val="20"/>
              </w:rPr>
              <w:t>154.00</w:t>
            </w:r>
          </w:p>
        </w:tc>
        <w:tc>
          <w:tcPr>
            <w:tcW w:w="1370" w:type="dxa"/>
          </w:tcPr>
          <w:p w:rsidR="007C5447" w:rsidRDefault="00F6308C">
            <w:pPr>
              <w:pStyle w:val="TableParagraph"/>
              <w:spacing w:before="36"/>
              <w:ind w:left="617"/>
              <w:jc w:val="left"/>
              <w:rPr>
                <w:sz w:val="20"/>
              </w:rPr>
            </w:pPr>
            <w:r>
              <w:rPr>
                <w:sz w:val="20"/>
              </w:rPr>
              <w:t>244.51</w:t>
            </w:r>
          </w:p>
        </w:tc>
        <w:tc>
          <w:tcPr>
            <w:tcW w:w="1166" w:type="dxa"/>
          </w:tcPr>
          <w:p w:rsidR="007C5447" w:rsidRDefault="00F6308C">
            <w:pPr>
              <w:pStyle w:val="TableParagraph"/>
              <w:spacing w:before="36"/>
              <w:ind w:right="192"/>
              <w:rPr>
                <w:sz w:val="20"/>
              </w:rPr>
            </w:pPr>
            <w:r>
              <w:rPr>
                <w:w w:val="95"/>
                <w:sz w:val="20"/>
              </w:rPr>
              <w:t>154.00</w:t>
            </w:r>
          </w:p>
        </w:tc>
        <w:tc>
          <w:tcPr>
            <w:tcW w:w="1224" w:type="dxa"/>
          </w:tcPr>
          <w:p w:rsidR="007C5447" w:rsidRDefault="00F6308C">
            <w:pPr>
              <w:pStyle w:val="TableParagraph"/>
              <w:spacing w:before="36"/>
              <w:ind w:right="191"/>
              <w:rPr>
                <w:sz w:val="20"/>
              </w:rPr>
            </w:pPr>
            <w:r>
              <w:rPr>
                <w:w w:val="95"/>
                <w:sz w:val="20"/>
              </w:rPr>
              <w:t>159.47</w:t>
            </w:r>
          </w:p>
        </w:tc>
        <w:tc>
          <w:tcPr>
            <w:tcW w:w="1372" w:type="dxa"/>
          </w:tcPr>
          <w:p w:rsidR="007C5447" w:rsidRDefault="00F6308C">
            <w:pPr>
              <w:pStyle w:val="TableParagraph"/>
              <w:spacing w:before="36"/>
              <w:ind w:left="619"/>
              <w:jc w:val="left"/>
              <w:rPr>
                <w:sz w:val="20"/>
              </w:rPr>
            </w:pPr>
            <w:r>
              <w:rPr>
                <w:sz w:val="20"/>
              </w:rPr>
              <w:t>262.42</w:t>
            </w:r>
          </w:p>
        </w:tc>
        <w:tc>
          <w:tcPr>
            <w:tcW w:w="1127" w:type="dxa"/>
          </w:tcPr>
          <w:p w:rsidR="007C5447" w:rsidRDefault="00F6308C">
            <w:pPr>
              <w:pStyle w:val="TableParagraph"/>
              <w:spacing w:before="36"/>
              <w:ind w:right="189"/>
              <w:rPr>
                <w:sz w:val="20"/>
              </w:rPr>
            </w:pPr>
            <w:r>
              <w:rPr>
                <w:w w:val="95"/>
                <w:sz w:val="20"/>
              </w:rPr>
              <w:t>159.43</w:t>
            </w:r>
          </w:p>
        </w:tc>
      </w:tr>
      <w:tr w:rsidR="007C5447">
        <w:trPr>
          <w:trHeight w:val="302"/>
        </w:trPr>
        <w:tc>
          <w:tcPr>
            <w:tcW w:w="821" w:type="dxa"/>
          </w:tcPr>
          <w:p w:rsidR="007C5447" w:rsidRDefault="00F6308C">
            <w:pPr>
              <w:pStyle w:val="TableParagraph"/>
              <w:spacing w:before="37"/>
              <w:ind w:left="357"/>
              <w:jc w:val="left"/>
              <w:rPr>
                <w:sz w:val="20"/>
              </w:rPr>
            </w:pPr>
            <w:r>
              <w:rPr>
                <w:w w:val="99"/>
                <w:sz w:val="20"/>
              </w:rPr>
              <w:t>3</w:t>
            </w:r>
          </w:p>
        </w:tc>
        <w:tc>
          <w:tcPr>
            <w:tcW w:w="2155" w:type="dxa"/>
          </w:tcPr>
          <w:p w:rsidR="007C5447" w:rsidRDefault="00F6308C">
            <w:pPr>
              <w:pStyle w:val="TableParagraph"/>
              <w:spacing w:before="37"/>
              <w:ind w:left="107"/>
              <w:jc w:val="left"/>
              <w:rPr>
                <w:sz w:val="20"/>
              </w:rPr>
            </w:pPr>
            <w:r>
              <w:rPr>
                <w:sz w:val="20"/>
              </w:rPr>
              <w:t>Mettur TPS</w:t>
            </w:r>
          </w:p>
        </w:tc>
        <w:tc>
          <w:tcPr>
            <w:tcW w:w="1121" w:type="dxa"/>
          </w:tcPr>
          <w:p w:rsidR="007C5447" w:rsidRDefault="00F6308C">
            <w:pPr>
              <w:pStyle w:val="TableParagraph"/>
              <w:spacing w:before="37"/>
              <w:ind w:right="194"/>
              <w:rPr>
                <w:sz w:val="20"/>
              </w:rPr>
            </w:pPr>
            <w:r>
              <w:rPr>
                <w:w w:val="95"/>
                <w:sz w:val="20"/>
              </w:rPr>
              <w:t>116.61</w:t>
            </w:r>
          </w:p>
        </w:tc>
        <w:tc>
          <w:tcPr>
            <w:tcW w:w="1437" w:type="dxa"/>
          </w:tcPr>
          <w:p w:rsidR="007C5447" w:rsidRDefault="00F6308C">
            <w:pPr>
              <w:pStyle w:val="TableParagraph"/>
              <w:spacing w:before="37"/>
              <w:ind w:right="193"/>
              <w:rPr>
                <w:sz w:val="20"/>
              </w:rPr>
            </w:pPr>
            <w:r>
              <w:rPr>
                <w:w w:val="95"/>
                <w:sz w:val="20"/>
              </w:rPr>
              <w:t>104.74</w:t>
            </w:r>
          </w:p>
        </w:tc>
        <w:tc>
          <w:tcPr>
            <w:tcW w:w="1154" w:type="dxa"/>
          </w:tcPr>
          <w:p w:rsidR="007C5447" w:rsidRDefault="00F6308C">
            <w:pPr>
              <w:pStyle w:val="TableParagraph"/>
              <w:spacing w:before="37"/>
              <w:ind w:right="192"/>
              <w:rPr>
                <w:sz w:val="20"/>
              </w:rPr>
            </w:pPr>
            <w:r>
              <w:rPr>
                <w:w w:val="95"/>
                <w:sz w:val="20"/>
              </w:rPr>
              <w:t>116.61</w:t>
            </w:r>
          </w:p>
        </w:tc>
        <w:tc>
          <w:tcPr>
            <w:tcW w:w="1030" w:type="dxa"/>
          </w:tcPr>
          <w:p w:rsidR="007C5447" w:rsidRDefault="00F6308C">
            <w:pPr>
              <w:pStyle w:val="TableParagraph"/>
              <w:spacing w:before="37"/>
              <w:ind w:right="195"/>
              <w:rPr>
                <w:sz w:val="20"/>
              </w:rPr>
            </w:pPr>
            <w:r>
              <w:rPr>
                <w:w w:val="95"/>
                <w:sz w:val="20"/>
              </w:rPr>
              <w:t>126.82</w:t>
            </w:r>
          </w:p>
        </w:tc>
        <w:tc>
          <w:tcPr>
            <w:tcW w:w="1370" w:type="dxa"/>
          </w:tcPr>
          <w:p w:rsidR="007C5447" w:rsidRDefault="00F6308C">
            <w:pPr>
              <w:pStyle w:val="TableParagraph"/>
              <w:spacing w:before="37"/>
              <w:ind w:left="617"/>
              <w:jc w:val="left"/>
              <w:rPr>
                <w:sz w:val="20"/>
              </w:rPr>
            </w:pPr>
            <w:r>
              <w:rPr>
                <w:sz w:val="20"/>
              </w:rPr>
              <w:t>115.03</w:t>
            </w:r>
          </w:p>
        </w:tc>
        <w:tc>
          <w:tcPr>
            <w:tcW w:w="1166" w:type="dxa"/>
          </w:tcPr>
          <w:p w:rsidR="007C5447" w:rsidRDefault="00F6308C">
            <w:pPr>
              <w:pStyle w:val="TableParagraph"/>
              <w:spacing w:before="37"/>
              <w:ind w:right="192"/>
              <w:rPr>
                <w:sz w:val="20"/>
              </w:rPr>
            </w:pPr>
            <w:r>
              <w:rPr>
                <w:w w:val="95"/>
                <w:sz w:val="20"/>
              </w:rPr>
              <w:t>126.82</w:t>
            </w:r>
          </w:p>
        </w:tc>
        <w:tc>
          <w:tcPr>
            <w:tcW w:w="1224" w:type="dxa"/>
          </w:tcPr>
          <w:p w:rsidR="007C5447" w:rsidRDefault="00F6308C">
            <w:pPr>
              <w:pStyle w:val="TableParagraph"/>
              <w:spacing w:before="37"/>
              <w:ind w:right="191"/>
              <w:rPr>
                <w:sz w:val="20"/>
              </w:rPr>
            </w:pPr>
            <w:r>
              <w:rPr>
                <w:w w:val="95"/>
                <w:sz w:val="20"/>
              </w:rPr>
              <w:t>134.22</w:t>
            </w:r>
          </w:p>
        </w:tc>
        <w:tc>
          <w:tcPr>
            <w:tcW w:w="1372" w:type="dxa"/>
          </w:tcPr>
          <w:p w:rsidR="007C5447" w:rsidRDefault="00F6308C">
            <w:pPr>
              <w:pStyle w:val="TableParagraph"/>
              <w:spacing w:before="37"/>
              <w:ind w:left="619"/>
              <w:jc w:val="left"/>
              <w:rPr>
                <w:sz w:val="20"/>
              </w:rPr>
            </w:pPr>
            <w:r>
              <w:rPr>
                <w:sz w:val="20"/>
              </w:rPr>
              <w:t>170.50</w:t>
            </w:r>
          </w:p>
        </w:tc>
        <w:tc>
          <w:tcPr>
            <w:tcW w:w="1127" w:type="dxa"/>
          </w:tcPr>
          <w:p w:rsidR="007C5447" w:rsidRDefault="00F6308C">
            <w:pPr>
              <w:pStyle w:val="TableParagraph"/>
              <w:spacing w:before="37"/>
              <w:ind w:right="189"/>
              <w:rPr>
                <w:sz w:val="20"/>
              </w:rPr>
            </w:pPr>
            <w:r>
              <w:rPr>
                <w:w w:val="95"/>
                <w:sz w:val="20"/>
              </w:rPr>
              <w:t>134.18</w:t>
            </w:r>
          </w:p>
        </w:tc>
      </w:tr>
      <w:tr w:rsidR="007C5447">
        <w:trPr>
          <w:trHeight w:val="299"/>
        </w:trPr>
        <w:tc>
          <w:tcPr>
            <w:tcW w:w="821" w:type="dxa"/>
          </w:tcPr>
          <w:p w:rsidR="007C5447" w:rsidRDefault="00F6308C">
            <w:pPr>
              <w:pStyle w:val="TableParagraph"/>
              <w:spacing w:before="34"/>
              <w:ind w:left="357"/>
              <w:jc w:val="left"/>
              <w:rPr>
                <w:sz w:val="20"/>
              </w:rPr>
            </w:pPr>
            <w:r>
              <w:rPr>
                <w:w w:val="99"/>
                <w:sz w:val="20"/>
              </w:rPr>
              <w:t>4</w:t>
            </w:r>
          </w:p>
        </w:tc>
        <w:tc>
          <w:tcPr>
            <w:tcW w:w="2155" w:type="dxa"/>
          </w:tcPr>
          <w:p w:rsidR="007C5447" w:rsidRDefault="00F6308C">
            <w:pPr>
              <w:pStyle w:val="TableParagraph"/>
              <w:spacing w:before="34"/>
              <w:ind w:left="107"/>
              <w:jc w:val="left"/>
              <w:rPr>
                <w:sz w:val="20"/>
              </w:rPr>
            </w:pPr>
            <w:r>
              <w:rPr>
                <w:sz w:val="20"/>
              </w:rPr>
              <w:t>North Chennai TPS</w:t>
            </w:r>
          </w:p>
        </w:tc>
        <w:tc>
          <w:tcPr>
            <w:tcW w:w="1121" w:type="dxa"/>
          </w:tcPr>
          <w:p w:rsidR="007C5447" w:rsidRDefault="00F6308C">
            <w:pPr>
              <w:pStyle w:val="TableParagraph"/>
              <w:spacing w:before="34"/>
              <w:ind w:right="194"/>
              <w:rPr>
                <w:sz w:val="20"/>
              </w:rPr>
            </w:pPr>
            <w:r>
              <w:rPr>
                <w:w w:val="95"/>
                <w:sz w:val="20"/>
              </w:rPr>
              <w:t>117.64</w:t>
            </w:r>
          </w:p>
        </w:tc>
        <w:tc>
          <w:tcPr>
            <w:tcW w:w="1437" w:type="dxa"/>
          </w:tcPr>
          <w:p w:rsidR="007C5447" w:rsidRDefault="00F6308C">
            <w:pPr>
              <w:pStyle w:val="TableParagraph"/>
              <w:spacing w:before="34"/>
              <w:ind w:right="193"/>
              <w:rPr>
                <w:sz w:val="20"/>
              </w:rPr>
            </w:pPr>
            <w:r>
              <w:rPr>
                <w:w w:val="95"/>
                <w:sz w:val="20"/>
              </w:rPr>
              <w:t>121.32</w:t>
            </w:r>
          </w:p>
        </w:tc>
        <w:tc>
          <w:tcPr>
            <w:tcW w:w="1154" w:type="dxa"/>
          </w:tcPr>
          <w:p w:rsidR="007C5447" w:rsidRDefault="00F6308C">
            <w:pPr>
              <w:pStyle w:val="TableParagraph"/>
              <w:spacing w:before="34"/>
              <w:ind w:right="192"/>
              <w:rPr>
                <w:sz w:val="20"/>
              </w:rPr>
            </w:pPr>
            <w:r>
              <w:rPr>
                <w:w w:val="95"/>
                <w:sz w:val="20"/>
              </w:rPr>
              <w:t>117.64</w:t>
            </w:r>
          </w:p>
        </w:tc>
        <w:tc>
          <w:tcPr>
            <w:tcW w:w="1030" w:type="dxa"/>
          </w:tcPr>
          <w:p w:rsidR="007C5447" w:rsidRDefault="00F6308C">
            <w:pPr>
              <w:pStyle w:val="TableParagraph"/>
              <w:spacing w:before="34"/>
              <w:ind w:right="195"/>
              <w:rPr>
                <w:sz w:val="20"/>
              </w:rPr>
            </w:pPr>
            <w:r>
              <w:rPr>
                <w:w w:val="95"/>
                <w:sz w:val="20"/>
              </w:rPr>
              <w:t>129.26</w:t>
            </w:r>
          </w:p>
        </w:tc>
        <w:tc>
          <w:tcPr>
            <w:tcW w:w="1370" w:type="dxa"/>
          </w:tcPr>
          <w:p w:rsidR="007C5447" w:rsidRDefault="00F6308C">
            <w:pPr>
              <w:pStyle w:val="TableParagraph"/>
              <w:spacing w:before="34"/>
              <w:ind w:left="617"/>
              <w:jc w:val="left"/>
              <w:rPr>
                <w:sz w:val="20"/>
              </w:rPr>
            </w:pPr>
            <w:r>
              <w:rPr>
                <w:sz w:val="20"/>
              </w:rPr>
              <w:t>143.97</w:t>
            </w:r>
          </w:p>
        </w:tc>
        <w:tc>
          <w:tcPr>
            <w:tcW w:w="1166" w:type="dxa"/>
          </w:tcPr>
          <w:p w:rsidR="007C5447" w:rsidRDefault="00F6308C">
            <w:pPr>
              <w:pStyle w:val="TableParagraph"/>
              <w:spacing w:before="34"/>
              <w:ind w:right="192"/>
              <w:rPr>
                <w:sz w:val="20"/>
              </w:rPr>
            </w:pPr>
            <w:r>
              <w:rPr>
                <w:w w:val="95"/>
                <w:sz w:val="20"/>
              </w:rPr>
              <w:t>129.26</w:t>
            </w:r>
          </w:p>
        </w:tc>
        <w:tc>
          <w:tcPr>
            <w:tcW w:w="1224" w:type="dxa"/>
          </w:tcPr>
          <w:p w:rsidR="007C5447" w:rsidRDefault="00F6308C">
            <w:pPr>
              <w:pStyle w:val="TableParagraph"/>
              <w:spacing w:before="34"/>
              <w:ind w:right="191"/>
              <w:rPr>
                <w:sz w:val="20"/>
              </w:rPr>
            </w:pPr>
            <w:r>
              <w:rPr>
                <w:w w:val="95"/>
                <w:sz w:val="20"/>
              </w:rPr>
              <w:t>138.09</w:t>
            </w:r>
          </w:p>
        </w:tc>
        <w:tc>
          <w:tcPr>
            <w:tcW w:w="1372" w:type="dxa"/>
          </w:tcPr>
          <w:p w:rsidR="007C5447" w:rsidRDefault="00F6308C">
            <w:pPr>
              <w:pStyle w:val="TableParagraph"/>
              <w:spacing w:before="34"/>
              <w:ind w:left="619"/>
              <w:jc w:val="left"/>
              <w:rPr>
                <w:sz w:val="20"/>
              </w:rPr>
            </w:pPr>
            <w:r>
              <w:rPr>
                <w:sz w:val="20"/>
              </w:rPr>
              <w:t>221.02</w:t>
            </w:r>
          </w:p>
        </w:tc>
        <w:tc>
          <w:tcPr>
            <w:tcW w:w="1127" w:type="dxa"/>
          </w:tcPr>
          <w:p w:rsidR="007C5447" w:rsidRDefault="00F6308C">
            <w:pPr>
              <w:pStyle w:val="TableParagraph"/>
              <w:spacing w:before="34"/>
              <w:ind w:right="189"/>
              <w:rPr>
                <w:sz w:val="20"/>
              </w:rPr>
            </w:pPr>
            <w:r>
              <w:rPr>
                <w:w w:val="95"/>
                <w:sz w:val="20"/>
              </w:rPr>
              <w:t>138.05</w:t>
            </w:r>
          </w:p>
        </w:tc>
      </w:tr>
      <w:tr w:rsidR="007C5447">
        <w:trPr>
          <w:trHeight w:val="299"/>
        </w:trPr>
        <w:tc>
          <w:tcPr>
            <w:tcW w:w="821" w:type="dxa"/>
          </w:tcPr>
          <w:p w:rsidR="007C5447" w:rsidRDefault="00F6308C">
            <w:pPr>
              <w:pStyle w:val="TableParagraph"/>
              <w:spacing w:before="34"/>
              <w:ind w:left="357"/>
              <w:jc w:val="left"/>
              <w:rPr>
                <w:sz w:val="20"/>
              </w:rPr>
            </w:pPr>
            <w:r>
              <w:rPr>
                <w:w w:val="99"/>
                <w:sz w:val="20"/>
              </w:rPr>
              <w:t>5</w:t>
            </w:r>
          </w:p>
        </w:tc>
        <w:tc>
          <w:tcPr>
            <w:tcW w:w="2155" w:type="dxa"/>
          </w:tcPr>
          <w:p w:rsidR="007C5447" w:rsidRDefault="00F6308C">
            <w:pPr>
              <w:pStyle w:val="TableParagraph"/>
              <w:spacing w:before="34"/>
              <w:ind w:left="107"/>
              <w:jc w:val="left"/>
              <w:rPr>
                <w:sz w:val="20"/>
              </w:rPr>
            </w:pPr>
            <w:r>
              <w:rPr>
                <w:sz w:val="20"/>
              </w:rPr>
              <w:t>Mettur TPS Stage III</w:t>
            </w:r>
          </w:p>
        </w:tc>
        <w:tc>
          <w:tcPr>
            <w:tcW w:w="1121" w:type="dxa"/>
          </w:tcPr>
          <w:p w:rsidR="007C5447" w:rsidRDefault="007C5447">
            <w:pPr>
              <w:pStyle w:val="TableParagraph"/>
              <w:jc w:val="left"/>
              <w:rPr>
                <w:sz w:val="20"/>
              </w:rPr>
            </w:pPr>
          </w:p>
        </w:tc>
        <w:tc>
          <w:tcPr>
            <w:tcW w:w="1437" w:type="dxa"/>
          </w:tcPr>
          <w:p w:rsidR="007C5447" w:rsidRDefault="007C5447">
            <w:pPr>
              <w:pStyle w:val="TableParagraph"/>
              <w:jc w:val="left"/>
              <w:rPr>
                <w:sz w:val="20"/>
              </w:rPr>
            </w:pPr>
          </w:p>
        </w:tc>
        <w:tc>
          <w:tcPr>
            <w:tcW w:w="1154" w:type="dxa"/>
          </w:tcPr>
          <w:p w:rsidR="007C5447" w:rsidRDefault="007C5447">
            <w:pPr>
              <w:pStyle w:val="TableParagraph"/>
              <w:jc w:val="left"/>
              <w:rPr>
                <w:sz w:val="20"/>
              </w:rPr>
            </w:pPr>
          </w:p>
        </w:tc>
        <w:tc>
          <w:tcPr>
            <w:tcW w:w="1030" w:type="dxa"/>
          </w:tcPr>
          <w:p w:rsidR="007C5447" w:rsidRDefault="007C5447">
            <w:pPr>
              <w:pStyle w:val="TableParagraph"/>
              <w:jc w:val="left"/>
              <w:rPr>
                <w:sz w:val="20"/>
              </w:rPr>
            </w:pPr>
          </w:p>
        </w:tc>
        <w:tc>
          <w:tcPr>
            <w:tcW w:w="1370" w:type="dxa"/>
          </w:tcPr>
          <w:p w:rsidR="007C5447" w:rsidRDefault="007C5447">
            <w:pPr>
              <w:pStyle w:val="TableParagraph"/>
              <w:jc w:val="left"/>
              <w:rPr>
                <w:sz w:val="20"/>
              </w:rPr>
            </w:pPr>
          </w:p>
        </w:tc>
        <w:tc>
          <w:tcPr>
            <w:tcW w:w="1166" w:type="dxa"/>
          </w:tcPr>
          <w:p w:rsidR="007C5447" w:rsidRDefault="007C5447">
            <w:pPr>
              <w:pStyle w:val="TableParagraph"/>
              <w:jc w:val="left"/>
              <w:rPr>
                <w:sz w:val="20"/>
              </w:rPr>
            </w:pPr>
          </w:p>
        </w:tc>
        <w:tc>
          <w:tcPr>
            <w:tcW w:w="1224" w:type="dxa"/>
          </w:tcPr>
          <w:p w:rsidR="007C5447" w:rsidRDefault="00F6308C">
            <w:pPr>
              <w:pStyle w:val="TableParagraph"/>
              <w:spacing w:before="34"/>
              <w:ind w:right="191"/>
              <w:rPr>
                <w:sz w:val="20"/>
              </w:rPr>
            </w:pPr>
            <w:r>
              <w:rPr>
                <w:w w:val="95"/>
                <w:sz w:val="20"/>
              </w:rPr>
              <w:t>17.75</w:t>
            </w:r>
          </w:p>
        </w:tc>
        <w:tc>
          <w:tcPr>
            <w:tcW w:w="1372" w:type="dxa"/>
          </w:tcPr>
          <w:p w:rsidR="007C5447" w:rsidRDefault="00F6308C">
            <w:pPr>
              <w:pStyle w:val="TableParagraph"/>
              <w:spacing w:before="34"/>
              <w:ind w:right="187"/>
              <w:rPr>
                <w:sz w:val="20"/>
              </w:rPr>
            </w:pPr>
            <w:r>
              <w:rPr>
                <w:w w:val="99"/>
                <w:sz w:val="20"/>
              </w:rPr>
              <w:t>-</w:t>
            </w:r>
          </w:p>
        </w:tc>
        <w:tc>
          <w:tcPr>
            <w:tcW w:w="1127" w:type="dxa"/>
          </w:tcPr>
          <w:p w:rsidR="007C5447" w:rsidRDefault="007C5447">
            <w:pPr>
              <w:pStyle w:val="TableParagraph"/>
              <w:jc w:val="left"/>
              <w:rPr>
                <w:sz w:val="20"/>
              </w:rPr>
            </w:pPr>
          </w:p>
        </w:tc>
      </w:tr>
      <w:tr w:rsidR="007C5447">
        <w:trPr>
          <w:trHeight w:val="299"/>
        </w:trPr>
        <w:tc>
          <w:tcPr>
            <w:tcW w:w="821" w:type="dxa"/>
          </w:tcPr>
          <w:p w:rsidR="007C5447" w:rsidRDefault="00F6308C">
            <w:pPr>
              <w:pStyle w:val="TableParagraph"/>
              <w:spacing w:before="36"/>
              <w:ind w:left="357"/>
              <w:jc w:val="left"/>
              <w:rPr>
                <w:sz w:val="20"/>
              </w:rPr>
            </w:pPr>
            <w:r>
              <w:rPr>
                <w:w w:val="99"/>
                <w:sz w:val="20"/>
              </w:rPr>
              <w:t>6</w:t>
            </w:r>
          </w:p>
        </w:tc>
        <w:tc>
          <w:tcPr>
            <w:tcW w:w="2155" w:type="dxa"/>
          </w:tcPr>
          <w:p w:rsidR="007C5447" w:rsidRDefault="00F6308C">
            <w:pPr>
              <w:pStyle w:val="TableParagraph"/>
              <w:spacing w:before="36"/>
              <w:ind w:left="107"/>
              <w:jc w:val="left"/>
              <w:rPr>
                <w:sz w:val="20"/>
              </w:rPr>
            </w:pPr>
            <w:r>
              <w:rPr>
                <w:sz w:val="20"/>
              </w:rPr>
              <w:t>NCTPS Stage II</w:t>
            </w:r>
          </w:p>
        </w:tc>
        <w:tc>
          <w:tcPr>
            <w:tcW w:w="1121" w:type="dxa"/>
          </w:tcPr>
          <w:p w:rsidR="007C5447" w:rsidRDefault="007C5447">
            <w:pPr>
              <w:pStyle w:val="TableParagraph"/>
              <w:jc w:val="left"/>
              <w:rPr>
                <w:sz w:val="20"/>
              </w:rPr>
            </w:pPr>
          </w:p>
        </w:tc>
        <w:tc>
          <w:tcPr>
            <w:tcW w:w="1437" w:type="dxa"/>
          </w:tcPr>
          <w:p w:rsidR="007C5447" w:rsidRDefault="007C5447">
            <w:pPr>
              <w:pStyle w:val="TableParagraph"/>
              <w:jc w:val="left"/>
              <w:rPr>
                <w:sz w:val="20"/>
              </w:rPr>
            </w:pPr>
          </w:p>
        </w:tc>
        <w:tc>
          <w:tcPr>
            <w:tcW w:w="1154" w:type="dxa"/>
          </w:tcPr>
          <w:p w:rsidR="007C5447" w:rsidRDefault="007C5447">
            <w:pPr>
              <w:pStyle w:val="TableParagraph"/>
              <w:jc w:val="left"/>
              <w:rPr>
                <w:sz w:val="20"/>
              </w:rPr>
            </w:pPr>
          </w:p>
        </w:tc>
        <w:tc>
          <w:tcPr>
            <w:tcW w:w="1030" w:type="dxa"/>
          </w:tcPr>
          <w:p w:rsidR="007C5447" w:rsidRDefault="007C5447">
            <w:pPr>
              <w:pStyle w:val="TableParagraph"/>
              <w:jc w:val="left"/>
              <w:rPr>
                <w:sz w:val="20"/>
              </w:rPr>
            </w:pPr>
          </w:p>
        </w:tc>
        <w:tc>
          <w:tcPr>
            <w:tcW w:w="1370" w:type="dxa"/>
          </w:tcPr>
          <w:p w:rsidR="007C5447" w:rsidRDefault="007C5447">
            <w:pPr>
              <w:pStyle w:val="TableParagraph"/>
              <w:jc w:val="left"/>
              <w:rPr>
                <w:sz w:val="20"/>
              </w:rPr>
            </w:pPr>
          </w:p>
        </w:tc>
        <w:tc>
          <w:tcPr>
            <w:tcW w:w="1166" w:type="dxa"/>
          </w:tcPr>
          <w:p w:rsidR="007C5447" w:rsidRDefault="007C5447">
            <w:pPr>
              <w:pStyle w:val="TableParagraph"/>
              <w:jc w:val="left"/>
              <w:rPr>
                <w:sz w:val="20"/>
              </w:rPr>
            </w:pPr>
          </w:p>
        </w:tc>
        <w:tc>
          <w:tcPr>
            <w:tcW w:w="1224" w:type="dxa"/>
          </w:tcPr>
          <w:p w:rsidR="007C5447" w:rsidRDefault="00F6308C">
            <w:pPr>
              <w:pStyle w:val="TableParagraph"/>
              <w:spacing w:before="36"/>
              <w:ind w:right="191"/>
              <w:rPr>
                <w:sz w:val="20"/>
              </w:rPr>
            </w:pPr>
            <w:r>
              <w:rPr>
                <w:sz w:val="20"/>
              </w:rPr>
              <w:t>2.42</w:t>
            </w:r>
          </w:p>
        </w:tc>
        <w:tc>
          <w:tcPr>
            <w:tcW w:w="1372" w:type="dxa"/>
          </w:tcPr>
          <w:p w:rsidR="007C5447" w:rsidRDefault="007C5447">
            <w:pPr>
              <w:pStyle w:val="TableParagraph"/>
              <w:jc w:val="left"/>
              <w:rPr>
                <w:sz w:val="20"/>
              </w:rPr>
            </w:pPr>
          </w:p>
        </w:tc>
        <w:tc>
          <w:tcPr>
            <w:tcW w:w="1127" w:type="dxa"/>
          </w:tcPr>
          <w:p w:rsidR="007C5447" w:rsidRDefault="00F6308C">
            <w:pPr>
              <w:pStyle w:val="TableParagraph"/>
              <w:spacing w:before="36"/>
              <w:ind w:right="186"/>
              <w:rPr>
                <w:sz w:val="20"/>
              </w:rPr>
            </w:pPr>
            <w:r>
              <w:rPr>
                <w:w w:val="99"/>
                <w:sz w:val="20"/>
              </w:rPr>
              <w:t>-</w:t>
            </w:r>
          </w:p>
        </w:tc>
      </w:tr>
      <w:tr w:rsidR="007C5447">
        <w:trPr>
          <w:trHeight w:val="299"/>
        </w:trPr>
        <w:tc>
          <w:tcPr>
            <w:tcW w:w="821" w:type="dxa"/>
          </w:tcPr>
          <w:p w:rsidR="007C5447" w:rsidRDefault="00F6308C">
            <w:pPr>
              <w:pStyle w:val="TableParagraph"/>
              <w:spacing w:before="36"/>
              <w:ind w:left="357"/>
              <w:jc w:val="left"/>
              <w:rPr>
                <w:sz w:val="20"/>
              </w:rPr>
            </w:pPr>
            <w:r>
              <w:rPr>
                <w:w w:val="99"/>
                <w:sz w:val="20"/>
              </w:rPr>
              <w:t>7</w:t>
            </w:r>
          </w:p>
        </w:tc>
        <w:tc>
          <w:tcPr>
            <w:tcW w:w="2155" w:type="dxa"/>
          </w:tcPr>
          <w:p w:rsidR="007C5447" w:rsidRDefault="00F6308C">
            <w:pPr>
              <w:pStyle w:val="TableParagraph"/>
              <w:spacing w:before="36"/>
              <w:ind w:left="107"/>
              <w:jc w:val="left"/>
              <w:rPr>
                <w:sz w:val="20"/>
              </w:rPr>
            </w:pPr>
            <w:r>
              <w:rPr>
                <w:sz w:val="20"/>
              </w:rPr>
              <w:t>Tirumakottai GTPS</w:t>
            </w:r>
          </w:p>
        </w:tc>
        <w:tc>
          <w:tcPr>
            <w:tcW w:w="1121" w:type="dxa"/>
          </w:tcPr>
          <w:p w:rsidR="007C5447" w:rsidRDefault="00F6308C">
            <w:pPr>
              <w:pStyle w:val="TableParagraph"/>
              <w:spacing w:before="36"/>
              <w:ind w:right="193"/>
              <w:rPr>
                <w:sz w:val="20"/>
              </w:rPr>
            </w:pPr>
            <w:r>
              <w:rPr>
                <w:sz w:val="20"/>
              </w:rPr>
              <w:t>7.92</w:t>
            </w:r>
          </w:p>
        </w:tc>
        <w:tc>
          <w:tcPr>
            <w:tcW w:w="1437" w:type="dxa"/>
          </w:tcPr>
          <w:p w:rsidR="007C5447" w:rsidRDefault="00F6308C">
            <w:pPr>
              <w:pStyle w:val="TableParagraph"/>
              <w:spacing w:before="36"/>
              <w:ind w:right="193"/>
              <w:rPr>
                <w:sz w:val="20"/>
              </w:rPr>
            </w:pPr>
            <w:r>
              <w:rPr>
                <w:sz w:val="20"/>
              </w:rPr>
              <w:t>6.13</w:t>
            </w:r>
          </w:p>
        </w:tc>
        <w:tc>
          <w:tcPr>
            <w:tcW w:w="1154" w:type="dxa"/>
          </w:tcPr>
          <w:p w:rsidR="007C5447" w:rsidRDefault="00F6308C">
            <w:pPr>
              <w:pStyle w:val="TableParagraph"/>
              <w:spacing w:before="36"/>
              <w:ind w:right="192"/>
              <w:rPr>
                <w:sz w:val="20"/>
              </w:rPr>
            </w:pPr>
            <w:r>
              <w:rPr>
                <w:sz w:val="20"/>
              </w:rPr>
              <w:t>7.92</w:t>
            </w:r>
          </w:p>
        </w:tc>
        <w:tc>
          <w:tcPr>
            <w:tcW w:w="1030" w:type="dxa"/>
          </w:tcPr>
          <w:p w:rsidR="007C5447" w:rsidRDefault="00F6308C">
            <w:pPr>
              <w:pStyle w:val="TableParagraph"/>
              <w:spacing w:before="36"/>
              <w:ind w:right="193"/>
              <w:rPr>
                <w:sz w:val="20"/>
              </w:rPr>
            </w:pPr>
            <w:r>
              <w:rPr>
                <w:sz w:val="20"/>
              </w:rPr>
              <w:t>8.50</w:t>
            </w:r>
          </w:p>
        </w:tc>
        <w:tc>
          <w:tcPr>
            <w:tcW w:w="1370" w:type="dxa"/>
          </w:tcPr>
          <w:p w:rsidR="007C5447" w:rsidRDefault="00F6308C">
            <w:pPr>
              <w:pStyle w:val="TableParagraph"/>
              <w:spacing w:before="36"/>
              <w:ind w:left="817"/>
              <w:jc w:val="left"/>
              <w:rPr>
                <w:sz w:val="20"/>
              </w:rPr>
            </w:pPr>
            <w:r>
              <w:rPr>
                <w:sz w:val="20"/>
              </w:rPr>
              <w:t>7.06</w:t>
            </w:r>
          </w:p>
        </w:tc>
        <w:tc>
          <w:tcPr>
            <w:tcW w:w="1166" w:type="dxa"/>
          </w:tcPr>
          <w:p w:rsidR="007C5447" w:rsidRDefault="00F6308C">
            <w:pPr>
              <w:pStyle w:val="TableParagraph"/>
              <w:spacing w:before="36"/>
              <w:ind w:right="191"/>
              <w:rPr>
                <w:sz w:val="20"/>
              </w:rPr>
            </w:pPr>
            <w:r>
              <w:rPr>
                <w:sz w:val="20"/>
              </w:rPr>
              <w:t>8.50</w:t>
            </w:r>
          </w:p>
        </w:tc>
        <w:tc>
          <w:tcPr>
            <w:tcW w:w="1224" w:type="dxa"/>
          </w:tcPr>
          <w:p w:rsidR="007C5447" w:rsidRDefault="00F6308C">
            <w:pPr>
              <w:pStyle w:val="TableParagraph"/>
              <w:spacing w:before="36"/>
              <w:ind w:right="191"/>
              <w:rPr>
                <w:sz w:val="20"/>
              </w:rPr>
            </w:pPr>
            <w:r>
              <w:rPr>
                <w:w w:val="95"/>
                <w:sz w:val="20"/>
              </w:rPr>
              <w:t>11.90</w:t>
            </w:r>
          </w:p>
        </w:tc>
        <w:tc>
          <w:tcPr>
            <w:tcW w:w="1372" w:type="dxa"/>
          </w:tcPr>
          <w:p w:rsidR="007C5447" w:rsidRDefault="00F6308C">
            <w:pPr>
              <w:pStyle w:val="TableParagraph"/>
              <w:spacing w:before="36"/>
              <w:ind w:left="818"/>
              <w:jc w:val="left"/>
              <w:rPr>
                <w:sz w:val="20"/>
              </w:rPr>
            </w:pPr>
            <w:r>
              <w:rPr>
                <w:sz w:val="20"/>
              </w:rPr>
              <w:t>7.45</w:t>
            </w:r>
          </w:p>
        </w:tc>
        <w:tc>
          <w:tcPr>
            <w:tcW w:w="1127" w:type="dxa"/>
          </w:tcPr>
          <w:p w:rsidR="007C5447" w:rsidRDefault="00F6308C">
            <w:pPr>
              <w:pStyle w:val="TableParagraph"/>
              <w:spacing w:before="36"/>
              <w:ind w:right="189"/>
              <w:rPr>
                <w:sz w:val="20"/>
              </w:rPr>
            </w:pPr>
            <w:r>
              <w:rPr>
                <w:w w:val="95"/>
                <w:sz w:val="20"/>
              </w:rPr>
              <w:t>11.90</w:t>
            </w:r>
          </w:p>
        </w:tc>
      </w:tr>
      <w:tr w:rsidR="007C5447">
        <w:trPr>
          <w:trHeight w:val="299"/>
        </w:trPr>
        <w:tc>
          <w:tcPr>
            <w:tcW w:w="821" w:type="dxa"/>
          </w:tcPr>
          <w:p w:rsidR="007C5447" w:rsidRDefault="00F6308C">
            <w:pPr>
              <w:pStyle w:val="TableParagraph"/>
              <w:spacing w:before="36"/>
              <w:ind w:left="357"/>
              <w:jc w:val="left"/>
              <w:rPr>
                <w:sz w:val="20"/>
              </w:rPr>
            </w:pPr>
            <w:r>
              <w:rPr>
                <w:w w:val="99"/>
                <w:sz w:val="20"/>
              </w:rPr>
              <w:t>8</w:t>
            </w:r>
          </w:p>
        </w:tc>
        <w:tc>
          <w:tcPr>
            <w:tcW w:w="2155" w:type="dxa"/>
          </w:tcPr>
          <w:p w:rsidR="007C5447" w:rsidRDefault="00F6308C">
            <w:pPr>
              <w:pStyle w:val="TableParagraph"/>
              <w:spacing w:before="36"/>
              <w:ind w:left="107"/>
              <w:jc w:val="left"/>
              <w:rPr>
                <w:sz w:val="20"/>
              </w:rPr>
            </w:pPr>
            <w:r>
              <w:rPr>
                <w:sz w:val="20"/>
              </w:rPr>
              <w:t>Kuttalam GTPS</w:t>
            </w:r>
          </w:p>
        </w:tc>
        <w:tc>
          <w:tcPr>
            <w:tcW w:w="1121" w:type="dxa"/>
          </w:tcPr>
          <w:p w:rsidR="007C5447" w:rsidRDefault="00F6308C">
            <w:pPr>
              <w:pStyle w:val="TableParagraph"/>
              <w:spacing w:before="36"/>
              <w:ind w:right="193"/>
              <w:rPr>
                <w:sz w:val="20"/>
              </w:rPr>
            </w:pPr>
            <w:r>
              <w:rPr>
                <w:sz w:val="20"/>
              </w:rPr>
              <w:t>9.82</w:t>
            </w:r>
          </w:p>
        </w:tc>
        <w:tc>
          <w:tcPr>
            <w:tcW w:w="1437" w:type="dxa"/>
          </w:tcPr>
          <w:p w:rsidR="007C5447" w:rsidRDefault="00F6308C">
            <w:pPr>
              <w:pStyle w:val="TableParagraph"/>
              <w:spacing w:before="36"/>
              <w:ind w:right="193"/>
              <w:rPr>
                <w:sz w:val="20"/>
              </w:rPr>
            </w:pPr>
            <w:r>
              <w:rPr>
                <w:sz w:val="20"/>
              </w:rPr>
              <w:t>5.79</w:t>
            </w:r>
          </w:p>
        </w:tc>
        <w:tc>
          <w:tcPr>
            <w:tcW w:w="1154" w:type="dxa"/>
          </w:tcPr>
          <w:p w:rsidR="007C5447" w:rsidRDefault="00F6308C">
            <w:pPr>
              <w:pStyle w:val="TableParagraph"/>
              <w:spacing w:before="36"/>
              <w:ind w:right="192"/>
              <w:rPr>
                <w:sz w:val="20"/>
              </w:rPr>
            </w:pPr>
            <w:r>
              <w:rPr>
                <w:sz w:val="20"/>
              </w:rPr>
              <w:t>9.82</w:t>
            </w:r>
          </w:p>
        </w:tc>
        <w:tc>
          <w:tcPr>
            <w:tcW w:w="1030" w:type="dxa"/>
          </w:tcPr>
          <w:p w:rsidR="007C5447" w:rsidRDefault="00F6308C">
            <w:pPr>
              <w:pStyle w:val="TableParagraph"/>
              <w:spacing w:before="36"/>
              <w:ind w:right="195"/>
              <w:rPr>
                <w:sz w:val="20"/>
              </w:rPr>
            </w:pPr>
            <w:r>
              <w:rPr>
                <w:sz w:val="20"/>
              </w:rPr>
              <w:t>9.30</w:t>
            </w:r>
          </w:p>
        </w:tc>
        <w:tc>
          <w:tcPr>
            <w:tcW w:w="1370" w:type="dxa"/>
          </w:tcPr>
          <w:p w:rsidR="007C5447" w:rsidRDefault="00F6308C">
            <w:pPr>
              <w:pStyle w:val="TableParagraph"/>
              <w:spacing w:before="36"/>
              <w:ind w:left="586"/>
              <w:jc w:val="left"/>
              <w:rPr>
                <w:sz w:val="20"/>
              </w:rPr>
            </w:pPr>
            <w:r>
              <w:rPr>
                <w:sz w:val="20"/>
              </w:rPr>
              <w:t>(41.65)</w:t>
            </w:r>
          </w:p>
        </w:tc>
        <w:tc>
          <w:tcPr>
            <w:tcW w:w="1166" w:type="dxa"/>
          </w:tcPr>
          <w:p w:rsidR="007C5447" w:rsidRDefault="00F6308C">
            <w:pPr>
              <w:pStyle w:val="TableParagraph"/>
              <w:spacing w:before="36"/>
              <w:ind w:right="191"/>
              <w:rPr>
                <w:sz w:val="20"/>
              </w:rPr>
            </w:pPr>
            <w:r>
              <w:rPr>
                <w:sz w:val="20"/>
              </w:rPr>
              <w:t>9.30</w:t>
            </w:r>
          </w:p>
        </w:tc>
        <w:tc>
          <w:tcPr>
            <w:tcW w:w="1224" w:type="dxa"/>
          </w:tcPr>
          <w:p w:rsidR="007C5447" w:rsidRDefault="00F6308C">
            <w:pPr>
              <w:pStyle w:val="TableParagraph"/>
              <w:spacing w:before="36"/>
              <w:ind w:right="191"/>
              <w:rPr>
                <w:sz w:val="20"/>
              </w:rPr>
            </w:pPr>
            <w:r>
              <w:rPr>
                <w:sz w:val="20"/>
              </w:rPr>
              <w:t>8.19</w:t>
            </w:r>
          </w:p>
        </w:tc>
        <w:tc>
          <w:tcPr>
            <w:tcW w:w="1372" w:type="dxa"/>
          </w:tcPr>
          <w:p w:rsidR="007C5447" w:rsidRDefault="00F6308C">
            <w:pPr>
              <w:pStyle w:val="TableParagraph"/>
              <w:spacing w:before="36"/>
              <w:ind w:left="720"/>
              <w:jc w:val="left"/>
              <w:rPr>
                <w:sz w:val="20"/>
              </w:rPr>
            </w:pPr>
            <w:r>
              <w:rPr>
                <w:sz w:val="20"/>
              </w:rPr>
              <w:t>64.11</w:t>
            </w:r>
          </w:p>
        </w:tc>
        <w:tc>
          <w:tcPr>
            <w:tcW w:w="1127" w:type="dxa"/>
          </w:tcPr>
          <w:p w:rsidR="007C5447" w:rsidRDefault="00F6308C">
            <w:pPr>
              <w:pStyle w:val="TableParagraph"/>
              <w:spacing w:before="36"/>
              <w:ind w:right="189"/>
              <w:rPr>
                <w:sz w:val="20"/>
              </w:rPr>
            </w:pPr>
            <w:r>
              <w:rPr>
                <w:sz w:val="20"/>
              </w:rPr>
              <w:t>8.19</w:t>
            </w:r>
          </w:p>
        </w:tc>
      </w:tr>
      <w:tr w:rsidR="007C5447">
        <w:trPr>
          <w:trHeight w:val="302"/>
        </w:trPr>
        <w:tc>
          <w:tcPr>
            <w:tcW w:w="821" w:type="dxa"/>
          </w:tcPr>
          <w:p w:rsidR="007C5447" w:rsidRDefault="00F6308C">
            <w:pPr>
              <w:pStyle w:val="TableParagraph"/>
              <w:spacing w:before="36"/>
              <w:ind w:left="357"/>
              <w:jc w:val="left"/>
              <w:rPr>
                <w:sz w:val="20"/>
              </w:rPr>
            </w:pPr>
            <w:r>
              <w:rPr>
                <w:w w:val="99"/>
                <w:sz w:val="20"/>
              </w:rPr>
              <w:t>9</w:t>
            </w:r>
          </w:p>
        </w:tc>
        <w:tc>
          <w:tcPr>
            <w:tcW w:w="2155" w:type="dxa"/>
          </w:tcPr>
          <w:p w:rsidR="007C5447" w:rsidRDefault="00F6308C">
            <w:pPr>
              <w:pStyle w:val="TableParagraph"/>
              <w:spacing w:before="36"/>
              <w:ind w:left="107"/>
              <w:jc w:val="left"/>
              <w:rPr>
                <w:sz w:val="20"/>
              </w:rPr>
            </w:pPr>
            <w:r>
              <w:rPr>
                <w:sz w:val="20"/>
              </w:rPr>
              <w:t>Basin Bridge GTPS</w:t>
            </w:r>
          </w:p>
        </w:tc>
        <w:tc>
          <w:tcPr>
            <w:tcW w:w="1121" w:type="dxa"/>
          </w:tcPr>
          <w:p w:rsidR="007C5447" w:rsidRDefault="00F6308C">
            <w:pPr>
              <w:pStyle w:val="TableParagraph"/>
              <w:spacing w:before="36"/>
              <w:ind w:right="193"/>
              <w:rPr>
                <w:sz w:val="20"/>
              </w:rPr>
            </w:pPr>
            <w:r>
              <w:rPr>
                <w:sz w:val="20"/>
              </w:rPr>
              <w:t>5.93</w:t>
            </w:r>
          </w:p>
        </w:tc>
        <w:tc>
          <w:tcPr>
            <w:tcW w:w="1437" w:type="dxa"/>
          </w:tcPr>
          <w:p w:rsidR="007C5447" w:rsidRDefault="00F6308C">
            <w:pPr>
              <w:pStyle w:val="TableParagraph"/>
              <w:spacing w:before="36"/>
              <w:ind w:right="193"/>
              <w:rPr>
                <w:sz w:val="20"/>
              </w:rPr>
            </w:pPr>
            <w:r>
              <w:rPr>
                <w:sz w:val="20"/>
              </w:rPr>
              <w:t>5.04</w:t>
            </w:r>
          </w:p>
        </w:tc>
        <w:tc>
          <w:tcPr>
            <w:tcW w:w="1154" w:type="dxa"/>
          </w:tcPr>
          <w:p w:rsidR="007C5447" w:rsidRDefault="00F6308C">
            <w:pPr>
              <w:pStyle w:val="TableParagraph"/>
              <w:spacing w:before="36"/>
              <w:ind w:right="192"/>
              <w:rPr>
                <w:sz w:val="20"/>
              </w:rPr>
            </w:pPr>
            <w:r>
              <w:rPr>
                <w:sz w:val="20"/>
              </w:rPr>
              <w:t>5.93</w:t>
            </w:r>
          </w:p>
        </w:tc>
        <w:tc>
          <w:tcPr>
            <w:tcW w:w="1030" w:type="dxa"/>
          </w:tcPr>
          <w:p w:rsidR="007C5447" w:rsidRDefault="00F6308C">
            <w:pPr>
              <w:pStyle w:val="TableParagraph"/>
              <w:spacing w:before="36"/>
              <w:ind w:right="195"/>
              <w:rPr>
                <w:sz w:val="20"/>
              </w:rPr>
            </w:pPr>
            <w:r>
              <w:rPr>
                <w:sz w:val="20"/>
              </w:rPr>
              <w:t>6.39</w:t>
            </w:r>
          </w:p>
        </w:tc>
        <w:tc>
          <w:tcPr>
            <w:tcW w:w="1370" w:type="dxa"/>
          </w:tcPr>
          <w:p w:rsidR="007C5447" w:rsidRDefault="00F6308C">
            <w:pPr>
              <w:pStyle w:val="TableParagraph"/>
              <w:spacing w:before="36"/>
              <w:ind w:left="817"/>
              <w:jc w:val="left"/>
              <w:rPr>
                <w:sz w:val="20"/>
              </w:rPr>
            </w:pPr>
            <w:r>
              <w:rPr>
                <w:sz w:val="20"/>
              </w:rPr>
              <w:t>5.90</w:t>
            </w:r>
          </w:p>
        </w:tc>
        <w:tc>
          <w:tcPr>
            <w:tcW w:w="1166" w:type="dxa"/>
          </w:tcPr>
          <w:p w:rsidR="007C5447" w:rsidRDefault="00F6308C">
            <w:pPr>
              <w:pStyle w:val="TableParagraph"/>
              <w:spacing w:before="36"/>
              <w:ind w:right="191"/>
              <w:rPr>
                <w:sz w:val="20"/>
              </w:rPr>
            </w:pPr>
            <w:r>
              <w:rPr>
                <w:sz w:val="20"/>
              </w:rPr>
              <w:t>6.39</w:t>
            </w:r>
          </w:p>
        </w:tc>
        <w:tc>
          <w:tcPr>
            <w:tcW w:w="1224" w:type="dxa"/>
          </w:tcPr>
          <w:p w:rsidR="007C5447" w:rsidRDefault="00F6308C">
            <w:pPr>
              <w:pStyle w:val="TableParagraph"/>
              <w:spacing w:before="36"/>
              <w:ind w:right="191"/>
              <w:rPr>
                <w:sz w:val="20"/>
              </w:rPr>
            </w:pPr>
            <w:r>
              <w:rPr>
                <w:sz w:val="20"/>
              </w:rPr>
              <w:t>8.08</w:t>
            </w:r>
          </w:p>
        </w:tc>
        <w:tc>
          <w:tcPr>
            <w:tcW w:w="1372" w:type="dxa"/>
          </w:tcPr>
          <w:p w:rsidR="007C5447" w:rsidRDefault="00F6308C">
            <w:pPr>
              <w:pStyle w:val="TableParagraph"/>
              <w:spacing w:before="36"/>
              <w:ind w:left="818"/>
              <w:jc w:val="left"/>
              <w:rPr>
                <w:sz w:val="20"/>
              </w:rPr>
            </w:pPr>
            <w:r>
              <w:rPr>
                <w:sz w:val="20"/>
              </w:rPr>
              <w:t>7.61</w:t>
            </w:r>
          </w:p>
        </w:tc>
        <w:tc>
          <w:tcPr>
            <w:tcW w:w="1127" w:type="dxa"/>
          </w:tcPr>
          <w:p w:rsidR="007C5447" w:rsidRDefault="00F6308C">
            <w:pPr>
              <w:pStyle w:val="TableParagraph"/>
              <w:spacing w:before="36"/>
              <w:ind w:right="189"/>
              <w:rPr>
                <w:sz w:val="20"/>
              </w:rPr>
            </w:pPr>
            <w:r>
              <w:rPr>
                <w:sz w:val="20"/>
              </w:rPr>
              <w:t>8.08</w:t>
            </w:r>
          </w:p>
        </w:tc>
      </w:tr>
      <w:tr w:rsidR="007C5447">
        <w:trPr>
          <w:trHeight w:val="299"/>
        </w:trPr>
        <w:tc>
          <w:tcPr>
            <w:tcW w:w="821" w:type="dxa"/>
          </w:tcPr>
          <w:p w:rsidR="007C5447" w:rsidRDefault="00F6308C">
            <w:pPr>
              <w:pStyle w:val="TableParagraph"/>
              <w:spacing w:before="34"/>
              <w:ind w:left="309"/>
              <w:jc w:val="left"/>
              <w:rPr>
                <w:sz w:val="20"/>
              </w:rPr>
            </w:pPr>
            <w:r>
              <w:rPr>
                <w:sz w:val="20"/>
              </w:rPr>
              <w:t>10</w:t>
            </w:r>
          </w:p>
        </w:tc>
        <w:tc>
          <w:tcPr>
            <w:tcW w:w="2155" w:type="dxa"/>
          </w:tcPr>
          <w:p w:rsidR="007C5447" w:rsidRDefault="00F6308C">
            <w:pPr>
              <w:pStyle w:val="TableParagraph"/>
              <w:spacing w:before="34"/>
              <w:ind w:left="107"/>
              <w:jc w:val="left"/>
              <w:rPr>
                <w:sz w:val="20"/>
              </w:rPr>
            </w:pPr>
            <w:r>
              <w:rPr>
                <w:sz w:val="20"/>
              </w:rPr>
              <w:t>Valuthur Unit-I</w:t>
            </w:r>
          </w:p>
        </w:tc>
        <w:tc>
          <w:tcPr>
            <w:tcW w:w="1121" w:type="dxa"/>
          </w:tcPr>
          <w:p w:rsidR="007C5447" w:rsidRDefault="00F6308C">
            <w:pPr>
              <w:pStyle w:val="TableParagraph"/>
              <w:spacing w:before="34"/>
              <w:ind w:right="194"/>
              <w:rPr>
                <w:sz w:val="20"/>
              </w:rPr>
            </w:pPr>
            <w:r>
              <w:rPr>
                <w:w w:val="95"/>
                <w:sz w:val="20"/>
              </w:rPr>
              <w:t>14.04</w:t>
            </w:r>
          </w:p>
        </w:tc>
        <w:tc>
          <w:tcPr>
            <w:tcW w:w="1437" w:type="dxa"/>
          </w:tcPr>
          <w:p w:rsidR="007C5447" w:rsidRDefault="00F6308C">
            <w:pPr>
              <w:pStyle w:val="TableParagraph"/>
              <w:spacing w:before="34"/>
              <w:ind w:right="193"/>
              <w:rPr>
                <w:sz w:val="20"/>
              </w:rPr>
            </w:pPr>
            <w:r>
              <w:rPr>
                <w:sz w:val="20"/>
              </w:rPr>
              <w:t>5.89</w:t>
            </w:r>
          </w:p>
        </w:tc>
        <w:tc>
          <w:tcPr>
            <w:tcW w:w="1154" w:type="dxa"/>
          </w:tcPr>
          <w:p w:rsidR="007C5447" w:rsidRDefault="00F6308C">
            <w:pPr>
              <w:pStyle w:val="TableParagraph"/>
              <w:spacing w:before="34"/>
              <w:ind w:right="192"/>
              <w:rPr>
                <w:sz w:val="20"/>
              </w:rPr>
            </w:pPr>
            <w:r>
              <w:rPr>
                <w:w w:val="95"/>
                <w:sz w:val="20"/>
              </w:rPr>
              <w:t>14.04</w:t>
            </w:r>
          </w:p>
        </w:tc>
        <w:tc>
          <w:tcPr>
            <w:tcW w:w="1030" w:type="dxa"/>
          </w:tcPr>
          <w:p w:rsidR="007C5447" w:rsidRDefault="00F6308C">
            <w:pPr>
              <w:pStyle w:val="TableParagraph"/>
              <w:spacing w:before="34"/>
              <w:ind w:right="194"/>
              <w:rPr>
                <w:sz w:val="20"/>
              </w:rPr>
            </w:pPr>
            <w:r>
              <w:rPr>
                <w:w w:val="95"/>
                <w:sz w:val="20"/>
              </w:rPr>
              <w:t>15.06</w:t>
            </w:r>
          </w:p>
        </w:tc>
        <w:tc>
          <w:tcPr>
            <w:tcW w:w="1370" w:type="dxa"/>
          </w:tcPr>
          <w:p w:rsidR="007C5447" w:rsidRDefault="00F6308C">
            <w:pPr>
              <w:pStyle w:val="TableParagraph"/>
              <w:spacing w:before="34"/>
              <w:ind w:left="718"/>
              <w:jc w:val="left"/>
              <w:rPr>
                <w:sz w:val="20"/>
              </w:rPr>
            </w:pPr>
            <w:r>
              <w:rPr>
                <w:sz w:val="20"/>
              </w:rPr>
              <w:t>14.42</w:t>
            </w:r>
          </w:p>
        </w:tc>
        <w:tc>
          <w:tcPr>
            <w:tcW w:w="1166" w:type="dxa"/>
          </w:tcPr>
          <w:p w:rsidR="007C5447" w:rsidRDefault="00F6308C">
            <w:pPr>
              <w:pStyle w:val="TableParagraph"/>
              <w:spacing w:before="34"/>
              <w:ind w:right="191"/>
              <w:rPr>
                <w:sz w:val="20"/>
              </w:rPr>
            </w:pPr>
            <w:r>
              <w:rPr>
                <w:w w:val="95"/>
                <w:sz w:val="20"/>
              </w:rPr>
              <w:t>15.06</w:t>
            </w:r>
          </w:p>
        </w:tc>
        <w:tc>
          <w:tcPr>
            <w:tcW w:w="1224" w:type="dxa"/>
          </w:tcPr>
          <w:p w:rsidR="007C5447" w:rsidRDefault="00F6308C">
            <w:pPr>
              <w:pStyle w:val="TableParagraph"/>
              <w:spacing w:before="34"/>
              <w:ind w:right="191"/>
              <w:rPr>
                <w:sz w:val="20"/>
              </w:rPr>
            </w:pPr>
            <w:r>
              <w:rPr>
                <w:w w:val="95"/>
                <w:sz w:val="20"/>
              </w:rPr>
              <w:t>12.81</w:t>
            </w:r>
          </w:p>
        </w:tc>
        <w:tc>
          <w:tcPr>
            <w:tcW w:w="1372" w:type="dxa"/>
          </w:tcPr>
          <w:p w:rsidR="007C5447" w:rsidRDefault="00F6308C">
            <w:pPr>
              <w:pStyle w:val="TableParagraph"/>
              <w:spacing w:before="34"/>
              <w:ind w:left="818"/>
              <w:jc w:val="left"/>
              <w:rPr>
                <w:sz w:val="20"/>
              </w:rPr>
            </w:pPr>
            <w:r>
              <w:rPr>
                <w:sz w:val="20"/>
              </w:rPr>
              <w:t>8.15</w:t>
            </w:r>
          </w:p>
        </w:tc>
        <w:tc>
          <w:tcPr>
            <w:tcW w:w="1127" w:type="dxa"/>
          </w:tcPr>
          <w:p w:rsidR="007C5447" w:rsidRDefault="00F6308C">
            <w:pPr>
              <w:pStyle w:val="TableParagraph"/>
              <w:spacing w:before="34"/>
              <w:ind w:right="189"/>
              <w:rPr>
                <w:sz w:val="20"/>
              </w:rPr>
            </w:pPr>
            <w:r>
              <w:rPr>
                <w:w w:val="95"/>
                <w:sz w:val="20"/>
              </w:rPr>
              <w:t>12.81</w:t>
            </w:r>
          </w:p>
        </w:tc>
      </w:tr>
      <w:tr w:rsidR="007C5447">
        <w:trPr>
          <w:trHeight w:val="300"/>
        </w:trPr>
        <w:tc>
          <w:tcPr>
            <w:tcW w:w="821" w:type="dxa"/>
          </w:tcPr>
          <w:p w:rsidR="007C5447" w:rsidRDefault="00F6308C">
            <w:pPr>
              <w:pStyle w:val="TableParagraph"/>
              <w:spacing w:before="34"/>
              <w:ind w:left="309"/>
              <w:jc w:val="left"/>
              <w:rPr>
                <w:sz w:val="20"/>
              </w:rPr>
            </w:pPr>
            <w:r>
              <w:rPr>
                <w:sz w:val="20"/>
              </w:rPr>
              <w:t>11</w:t>
            </w:r>
          </w:p>
        </w:tc>
        <w:tc>
          <w:tcPr>
            <w:tcW w:w="2155" w:type="dxa"/>
          </w:tcPr>
          <w:p w:rsidR="007C5447" w:rsidRDefault="00F6308C">
            <w:pPr>
              <w:pStyle w:val="TableParagraph"/>
              <w:spacing w:before="34"/>
              <w:ind w:left="107"/>
              <w:jc w:val="left"/>
              <w:rPr>
                <w:sz w:val="20"/>
              </w:rPr>
            </w:pPr>
            <w:r>
              <w:rPr>
                <w:sz w:val="20"/>
              </w:rPr>
              <w:t>Erode HEP</w:t>
            </w:r>
          </w:p>
        </w:tc>
        <w:tc>
          <w:tcPr>
            <w:tcW w:w="1121" w:type="dxa"/>
          </w:tcPr>
          <w:p w:rsidR="007C5447" w:rsidRDefault="00F6308C">
            <w:pPr>
              <w:pStyle w:val="TableParagraph"/>
              <w:spacing w:before="34"/>
              <w:ind w:right="194"/>
              <w:rPr>
                <w:sz w:val="20"/>
              </w:rPr>
            </w:pPr>
            <w:r>
              <w:rPr>
                <w:w w:val="95"/>
                <w:sz w:val="20"/>
              </w:rPr>
              <w:t>28.88</w:t>
            </w:r>
          </w:p>
        </w:tc>
        <w:tc>
          <w:tcPr>
            <w:tcW w:w="1437" w:type="dxa"/>
          </w:tcPr>
          <w:p w:rsidR="007C5447" w:rsidRDefault="00F6308C">
            <w:pPr>
              <w:pStyle w:val="TableParagraph"/>
              <w:spacing w:before="34"/>
              <w:ind w:right="193"/>
              <w:rPr>
                <w:sz w:val="20"/>
              </w:rPr>
            </w:pPr>
            <w:r>
              <w:rPr>
                <w:sz w:val="20"/>
              </w:rPr>
              <w:t>26.43</w:t>
            </w:r>
          </w:p>
        </w:tc>
        <w:tc>
          <w:tcPr>
            <w:tcW w:w="1154" w:type="dxa"/>
          </w:tcPr>
          <w:p w:rsidR="007C5447" w:rsidRDefault="00F6308C">
            <w:pPr>
              <w:pStyle w:val="TableParagraph"/>
              <w:spacing w:before="34"/>
              <w:ind w:right="192"/>
              <w:rPr>
                <w:sz w:val="20"/>
              </w:rPr>
            </w:pPr>
            <w:r>
              <w:rPr>
                <w:w w:val="95"/>
                <w:sz w:val="20"/>
              </w:rPr>
              <w:t>28.88</w:t>
            </w:r>
          </w:p>
        </w:tc>
        <w:tc>
          <w:tcPr>
            <w:tcW w:w="1030" w:type="dxa"/>
          </w:tcPr>
          <w:p w:rsidR="007C5447" w:rsidRDefault="00F6308C">
            <w:pPr>
              <w:pStyle w:val="TableParagraph"/>
              <w:spacing w:before="34"/>
              <w:ind w:right="195"/>
              <w:rPr>
                <w:sz w:val="20"/>
              </w:rPr>
            </w:pPr>
            <w:r>
              <w:rPr>
                <w:w w:val="95"/>
                <w:sz w:val="20"/>
              </w:rPr>
              <w:t>35.07</w:t>
            </w:r>
          </w:p>
        </w:tc>
        <w:tc>
          <w:tcPr>
            <w:tcW w:w="1370" w:type="dxa"/>
          </w:tcPr>
          <w:p w:rsidR="007C5447" w:rsidRDefault="00F6308C">
            <w:pPr>
              <w:pStyle w:val="TableParagraph"/>
              <w:spacing w:before="34"/>
              <w:ind w:left="718"/>
              <w:jc w:val="left"/>
              <w:rPr>
                <w:sz w:val="20"/>
              </w:rPr>
            </w:pPr>
            <w:r>
              <w:rPr>
                <w:sz w:val="20"/>
              </w:rPr>
              <w:t>25.11</w:t>
            </w:r>
          </w:p>
        </w:tc>
        <w:tc>
          <w:tcPr>
            <w:tcW w:w="1166" w:type="dxa"/>
          </w:tcPr>
          <w:p w:rsidR="007C5447" w:rsidRDefault="00F6308C">
            <w:pPr>
              <w:pStyle w:val="TableParagraph"/>
              <w:spacing w:before="34"/>
              <w:ind w:right="191"/>
              <w:rPr>
                <w:sz w:val="20"/>
              </w:rPr>
            </w:pPr>
            <w:r>
              <w:rPr>
                <w:w w:val="95"/>
                <w:sz w:val="20"/>
              </w:rPr>
              <w:t>35.07</w:t>
            </w:r>
          </w:p>
        </w:tc>
        <w:tc>
          <w:tcPr>
            <w:tcW w:w="1224" w:type="dxa"/>
          </w:tcPr>
          <w:p w:rsidR="007C5447" w:rsidRDefault="00F6308C">
            <w:pPr>
              <w:pStyle w:val="TableParagraph"/>
              <w:spacing w:before="34"/>
              <w:ind w:right="191"/>
              <w:rPr>
                <w:sz w:val="20"/>
              </w:rPr>
            </w:pPr>
            <w:r>
              <w:rPr>
                <w:w w:val="95"/>
                <w:sz w:val="20"/>
              </w:rPr>
              <w:t>39.30</w:t>
            </w:r>
          </w:p>
        </w:tc>
        <w:tc>
          <w:tcPr>
            <w:tcW w:w="1372" w:type="dxa"/>
          </w:tcPr>
          <w:p w:rsidR="007C5447" w:rsidRDefault="00F6308C">
            <w:pPr>
              <w:pStyle w:val="TableParagraph"/>
              <w:spacing w:before="34"/>
              <w:ind w:left="720"/>
              <w:jc w:val="left"/>
              <w:rPr>
                <w:sz w:val="20"/>
              </w:rPr>
            </w:pPr>
            <w:r>
              <w:rPr>
                <w:sz w:val="20"/>
              </w:rPr>
              <w:t>31.79</w:t>
            </w:r>
          </w:p>
        </w:tc>
        <w:tc>
          <w:tcPr>
            <w:tcW w:w="1127" w:type="dxa"/>
          </w:tcPr>
          <w:p w:rsidR="007C5447" w:rsidRDefault="00F6308C">
            <w:pPr>
              <w:pStyle w:val="TableParagraph"/>
              <w:spacing w:before="34"/>
              <w:ind w:right="189"/>
              <w:rPr>
                <w:sz w:val="20"/>
              </w:rPr>
            </w:pPr>
            <w:r>
              <w:rPr>
                <w:w w:val="95"/>
                <w:sz w:val="20"/>
              </w:rPr>
              <w:t>39.29</w:t>
            </w:r>
          </w:p>
        </w:tc>
      </w:tr>
      <w:tr w:rsidR="007C5447">
        <w:trPr>
          <w:trHeight w:val="299"/>
        </w:trPr>
        <w:tc>
          <w:tcPr>
            <w:tcW w:w="821" w:type="dxa"/>
          </w:tcPr>
          <w:p w:rsidR="007C5447" w:rsidRDefault="00F6308C">
            <w:pPr>
              <w:pStyle w:val="TableParagraph"/>
              <w:spacing w:before="36"/>
              <w:ind w:left="309"/>
              <w:jc w:val="left"/>
              <w:rPr>
                <w:sz w:val="20"/>
              </w:rPr>
            </w:pPr>
            <w:r>
              <w:rPr>
                <w:sz w:val="20"/>
              </w:rPr>
              <w:t>12</w:t>
            </w:r>
          </w:p>
        </w:tc>
        <w:tc>
          <w:tcPr>
            <w:tcW w:w="2155" w:type="dxa"/>
          </w:tcPr>
          <w:p w:rsidR="007C5447" w:rsidRDefault="00F6308C">
            <w:pPr>
              <w:pStyle w:val="TableParagraph"/>
              <w:spacing w:before="36"/>
              <w:ind w:left="107"/>
              <w:jc w:val="left"/>
              <w:rPr>
                <w:sz w:val="20"/>
              </w:rPr>
            </w:pPr>
            <w:r>
              <w:rPr>
                <w:sz w:val="20"/>
              </w:rPr>
              <w:t>Kadamparai HEP</w:t>
            </w:r>
          </w:p>
        </w:tc>
        <w:tc>
          <w:tcPr>
            <w:tcW w:w="1121" w:type="dxa"/>
          </w:tcPr>
          <w:p w:rsidR="007C5447" w:rsidRDefault="00F6308C">
            <w:pPr>
              <w:pStyle w:val="TableParagraph"/>
              <w:spacing w:before="36"/>
              <w:ind w:right="194"/>
              <w:rPr>
                <w:sz w:val="20"/>
              </w:rPr>
            </w:pPr>
            <w:r>
              <w:rPr>
                <w:w w:val="95"/>
                <w:sz w:val="20"/>
              </w:rPr>
              <w:t>19.82</w:t>
            </w:r>
          </w:p>
        </w:tc>
        <w:tc>
          <w:tcPr>
            <w:tcW w:w="1437" w:type="dxa"/>
          </w:tcPr>
          <w:p w:rsidR="007C5447" w:rsidRDefault="00F6308C">
            <w:pPr>
              <w:pStyle w:val="TableParagraph"/>
              <w:spacing w:before="36"/>
              <w:ind w:right="193"/>
              <w:rPr>
                <w:sz w:val="20"/>
              </w:rPr>
            </w:pPr>
            <w:r>
              <w:rPr>
                <w:sz w:val="20"/>
              </w:rPr>
              <w:t>20.80</w:t>
            </w:r>
          </w:p>
        </w:tc>
        <w:tc>
          <w:tcPr>
            <w:tcW w:w="1154" w:type="dxa"/>
          </w:tcPr>
          <w:p w:rsidR="007C5447" w:rsidRDefault="00F6308C">
            <w:pPr>
              <w:pStyle w:val="TableParagraph"/>
              <w:spacing w:before="36"/>
              <w:ind w:right="192"/>
              <w:rPr>
                <w:sz w:val="20"/>
              </w:rPr>
            </w:pPr>
            <w:r>
              <w:rPr>
                <w:w w:val="95"/>
                <w:sz w:val="20"/>
              </w:rPr>
              <w:t>19.82</w:t>
            </w:r>
          </w:p>
        </w:tc>
        <w:tc>
          <w:tcPr>
            <w:tcW w:w="1030" w:type="dxa"/>
          </w:tcPr>
          <w:p w:rsidR="007C5447" w:rsidRDefault="00F6308C">
            <w:pPr>
              <w:pStyle w:val="TableParagraph"/>
              <w:spacing w:before="36"/>
              <w:ind w:right="195"/>
              <w:rPr>
                <w:sz w:val="20"/>
              </w:rPr>
            </w:pPr>
            <w:r>
              <w:rPr>
                <w:w w:val="95"/>
                <w:sz w:val="20"/>
              </w:rPr>
              <w:t>21.72</w:t>
            </w:r>
          </w:p>
        </w:tc>
        <w:tc>
          <w:tcPr>
            <w:tcW w:w="1370" w:type="dxa"/>
          </w:tcPr>
          <w:p w:rsidR="007C5447" w:rsidRDefault="00F6308C">
            <w:pPr>
              <w:pStyle w:val="TableParagraph"/>
              <w:spacing w:before="36"/>
              <w:ind w:left="718"/>
              <w:jc w:val="left"/>
              <w:rPr>
                <w:sz w:val="20"/>
              </w:rPr>
            </w:pPr>
            <w:r>
              <w:rPr>
                <w:sz w:val="20"/>
              </w:rPr>
              <w:t>22.83</w:t>
            </w:r>
          </w:p>
        </w:tc>
        <w:tc>
          <w:tcPr>
            <w:tcW w:w="1166" w:type="dxa"/>
          </w:tcPr>
          <w:p w:rsidR="007C5447" w:rsidRDefault="00F6308C">
            <w:pPr>
              <w:pStyle w:val="TableParagraph"/>
              <w:spacing w:before="36"/>
              <w:ind w:right="191"/>
              <w:rPr>
                <w:sz w:val="20"/>
              </w:rPr>
            </w:pPr>
            <w:r>
              <w:rPr>
                <w:w w:val="95"/>
                <w:sz w:val="20"/>
              </w:rPr>
              <w:t>21.72</w:t>
            </w:r>
          </w:p>
        </w:tc>
        <w:tc>
          <w:tcPr>
            <w:tcW w:w="1224" w:type="dxa"/>
          </w:tcPr>
          <w:p w:rsidR="007C5447" w:rsidRDefault="00F6308C">
            <w:pPr>
              <w:pStyle w:val="TableParagraph"/>
              <w:spacing w:before="36"/>
              <w:ind w:right="191"/>
              <w:rPr>
                <w:sz w:val="20"/>
              </w:rPr>
            </w:pPr>
            <w:r>
              <w:rPr>
                <w:w w:val="95"/>
                <w:sz w:val="20"/>
              </w:rPr>
              <w:t>28.57</w:t>
            </w:r>
          </w:p>
        </w:tc>
        <w:tc>
          <w:tcPr>
            <w:tcW w:w="1372" w:type="dxa"/>
          </w:tcPr>
          <w:p w:rsidR="007C5447" w:rsidRDefault="00F6308C">
            <w:pPr>
              <w:pStyle w:val="TableParagraph"/>
              <w:spacing w:before="36"/>
              <w:ind w:left="720"/>
              <w:jc w:val="left"/>
              <w:rPr>
                <w:sz w:val="20"/>
              </w:rPr>
            </w:pPr>
            <w:r>
              <w:rPr>
                <w:sz w:val="20"/>
              </w:rPr>
              <w:t>24.77</w:t>
            </w:r>
          </w:p>
        </w:tc>
        <w:tc>
          <w:tcPr>
            <w:tcW w:w="1127" w:type="dxa"/>
          </w:tcPr>
          <w:p w:rsidR="007C5447" w:rsidRDefault="00F6308C">
            <w:pPr>
              <w:pStyle w:val="TableParagraph"/>
              <w:spacing w:before="36"/>
              <w:ind w:right="189"/>
              <w:rPr>
                <w:sz w:val="20"/>
              </w:rPr>
            </w:pPr>
            <w:r>
              <w:rPr>
                <w:w w:val="95"/>
                <w:sz w:val="20"/>
              </w:rPr>
              <w:t>28.56</w:t>
            </w:r>
          </w:p>
        </w:tc>
      </w:tr>
      <w:tr w:rsidR="007C5447">
        <w:trPr>
          <w:trHeight w:val="330"/>
        </w:trPr>
        <w:tc>
          <w:tcPr>
            <w:tcW w:w="821" w:type="dxa"/>
          </w:tcPr>
          <w:p w:rsidR="007C5447" w:rsidRDefault="00F6308C">
            <w:pPr>
              <w:pStyle w:val="TableParagraph"/>
              <w:spacing w:before="50"/>
              <w:ind w:left="309"/>
              <w:jc w:val="left"/>
              <w:rPr>
                <w:sz w:val="20"/>
              </w:rPr>
            </w:pPr>
            <w:r>
              <w:rPr>
                <w:sz w:val="20"/>
              </w:rPr>
              <w:t>13</w:t>
            </w:r>
          </w:p>
        </w:tc>
        <w:tc>
          <w:tcPr>
            <w:tcW w:w="2155" w:type="dxa"/>
          </w:tcPr>
          <w:p w:rsidR="007C5447" w:rsidRDefault="00F6308C">
            <w:pPr>
              <w:pStyle w:val="TableParagraph"/>
              <w:spacing w:before="50"/>
              <w:ind w:left="107"/>
              <w:jc w:val="left"/>
              <w:rPr>
                <w:sz w:val="20"/>
              </w:rPr>
            </w:pPr>
            <w:r>
              <w:rPr>
                <w:sz w:val="20"/>
              </w:rPr>
              <w:t>Kundah HEP</w:t>
            </w:r>
          </w:p>
        </w:tc>
        <w:tc>
          <w:tcPr>
            <w:tcW w:w="1121" w:type="dxa"/>
          </w:tcPr>
          <w:p w:rsidR="007C5447" w:rsidRDefault="00F6308C">
            <w:pPr>
              <w:pStyle w:val="TableParagraph"/>
              <w:spacing w:before="50"/>
              <w:ind w:right="194"/>
              <w:rPr>
                <w:sz w:val="20"/>
              </w:rPr>
            </w:pPr>
            <w:r>
              <w:rPr>
                <w:w w:val="95"/>
                <w:sz w:val="20"/>
              </w:rPr>
              <w:t>41.88</w:t>
            </w:r>
          </w:p>
        </w:tc>
        <w:tc>
          <w:tcPr>
            <w:tcW w:w="1437" w:type="dxa"/>
          </w:tcPr>
          <w:p w:rsidR="007C5447" w:rsidRDefault="00F6308C">
            <w:pPr>
              <w:pStyle w:val="TableParagraph"/>
              <w:spacing w:before="50"/>
              <w:ind w:right="193"/>
              <w:rPr>
                <w:sz w:val="20"/>
              </w:rPr>
            </w:pPr>
            <w:r>
              <w:rPr>
                <w:sz w:val="20"/>
              </w:rPr>
              <w:t>24.65</w:t>
            </w:r>
          </w:p>
        </w:tc>
        <w:tc>
          <w:tcPr>
            <w:tcW w:w="1154" w:type="dxa"/>
          </w:tcPr>
          <w:p w:rsidR="007C5447" w:rsidRDefault="00F6308C">
            <w:pPr>
              <w:pStyle w:val="TableParagraph"/>
              <w:spacing w:before="50"/>
              <w:ind w:right="192"/>
              <w:rPr>
                <w:sz w:val="20"/>
              </w:rPr>
            </w:pPr>
            <w:r>
              <w:rPr>
                <w:w w:val="95"/>
                <w:sz w:val="20"/>
              </w:rPr>
              <w:t>41.88</w:t>
            </w:r>
          </w:p>
        </w:tc>
        <w:tc>
          <w:tcPr>
            <w:tcW w:w="1030" w:type="dxa"/>
          </w:tcPr>
          <w:p w:rsidR="007C5447" w:rsidRDefault="00F6308C">
            <w:pPr>
              <w:pStyle w:val="TableParagraph"/>
              <w:spacing w:before="50"/>
              <w:ind w:right="195"/>
              <w:rPr>
                <w:sz w:val="20"/>
              </w:rPr>
            </w:pPr>
            <w:r>
              <w:rPr>
                <w:w w:val="95"/>
                <w:sz w:val="20"/>
              </w:rPr>
              <w:t>44.93</w:t>
            </w:r>
          </w:p>
        </w:tc>
        <w:tc>
          <w:tcPr>
            <w:tcW w:w="1370" w:type="dxa"/>
          </w:tcPr>
          <w:p w:rsidR="007C5447" w:rsidRDefault="00F6308C">
            <w:pPr>
              <w:pStyle w:val="TableParagraph"/>
              <w:spacing w:before="50"/>
              <w:ind w:left="718"/>
              <w:jc w:val="left"/>
              <w:rPr>
                <w:sz w:val="20"/>
              </w:rPr>
            </w:pPr>
            <w:r>
              <w:rPr>
                <w:sz w:val="20"/>
              </w:rPr>
              <w:t>26.64</w:t>
            </w:r>
          </w:p>
        </w:tc>
        <w:tc>
          <w:tcPr>
            <w:tcW w:w="1166" w:type="dxa"/>
          </w:tcPr>
          <w:p w:rsidR="007C5447" w:rsidRDefault="00F6308C">
            <w:pPr>
              <w:pStyle w:val="TableParagraph"/>
              <w:spacing w:before="50"/>
              <w:ind w:right="191"/>
              <w:rPr>
                <w:sz w:val="20"/>
              </w:rPr>
            </w:pPr>
            <w:r>
              <w:rPr>
                <w:w w:val="95"/>
                <w:sz w:val="20"/>
              </w:rPr>
              <w:t>44.93</w:t>
            </w:r>
          </w:p>
        </w:tc>
        <w:tc>
          <w:tcPr>
            <w:tcW w:w="1224" w:type="dxa"/>
          </w:tcPr>
          <w:p w:rsidR="007C5447" w:rsidRDefault="00F6308C">
            <w:pPr>
              <w:pStyle w:val="TableParagraph"/>
              <w:spacing w:before="50"/>
              <w:ind w:right="191"/>
              <w:rPr>
                <w:sz w:val="20"/>
              </w:rPr>
            </w:pPr>
            <w:r>
              <w:rPr>
                <w:w w:val="95"/>
                <w:sz w:val="20"/>
              </w:rPr>
              <w:t>47.72</w:t>
            </w:r>
          </w:p>
        </w:tc>
        <w:tc>
          <w:tcPr>
            <w:tcW w:w="1372" w:type="dxa"/>
          </w:tcPr>
          <w:p w:rsidR="007C5447" w:rsidRDefault="00F6308C">
            <w:pPr>
              <w:pStyle w:val="TableParagraph"/>
              <w:spacing w:before="50"/>
              <w:ind w:left="720"/>
              <w:jc w:val="left"/>
              <w:rPr>
                <w:sz w:val="20"/>
              </w:rPr>
            </w:pPr>
            <w:r>
              <w:rPr>
                <w:sz w:val="20"/>
              </w:rPr>
              <w:t>35.66</w:t>
            </w:r>
          </w:p>
        </w:tc>
        <w:tc>
          <w:tcPr>
            <w:tcW w:w="1127" w:type="dxa"/>
          </w:tcPr>
          <w:p w:rsidR="007C5447" w:rsidRDefault="00F6308C">
            <w:pPr>
              <w:pStyle w:val="TableParagraph"/>
              <w:spacing w:before="50"/>
              <w:ind w:right="189"/>
              <w:rPr>
                <w:sz w:val="20"/>
              </w:rPr>
            </w:pPr>
            <w:r>
              <w:rPr>
                <w:w w:val="95"/>
                <w:sz w:val="20"/>
              </w:rPr>
              <w:t>47.71</w:t>
            </w:r>
          </w:p>
        </w:tc>
      </w:tr>
      <w:tr w:rsidR="007C5447">
        <w:trPr>
          <w:trHeight w:val="328"/>
        </w:trPr>
        <w:tc>
          <w:tcPr>
            <w:tcW w:w="821" w:type="dxa"/>
          </w:tcPr>
          <w:p w:rsidR="007C5447" w:rsidRDefault="00F6308C">
            <w:pPr>
              <w:pStyle w:val="TableParagraph"/>
              <w:spacing w:before="50"/>
              <w:ind w:left="309"/>
              <w:jc w:val="left"/>
              <w:rPr>
                <w:sz w:val="20"/>
              </w:rPr>
            </w:pPr>
            <w:r>
              <w:rPr>
                <w:sz w:val="20"/>
              </w:rPr>
              <w:t>14</w:t>
            </w:r>
          </w:p>
        </w:tc>
        <w:tc>
          <w:tcPr>
            <w:tcW w:w="2155" w:type="dxa"/>
          </w:tcPr>
          <w:p w:rsidR="007C5447" w:rsidRDefault="00F6308C">
            <w:pPr>
              <w:pStyle w:val="TableParagraph"/>
              <w:spacing w:before="50"/>
              <w:ind w:left="107"/>
              <w:jc w:val="left"/>
              <w:rPr>
                <w:sz w:val="20"/>
              </w:rPr>
            </w:pPr>
            <w:r>
              <w:rPr>
                <w:sz w:val="20"/>
              </w:rPr>
              <w:t>Tirunelveli HEP</w:t>
            </w:r>
          </w:p>
        </w:tc>
        <w:tc>
          <w:tcPr>
            <w:tcW w:w="1121" w:type="dxa"/>
          </w:tcPr>
          <w:p w:rsidR="007C5447" w:rsidRDefault="00F6308C">
            <w:pPr>
              <w:pStyle w:val="TableParagraph"/>
              <w:spacing w:before="50"/>
              <w:ind w:right="194"/>
              <w:rPr>
                <w:sz w:val="20"/>
              </w:rPr>
            </w:pPr>
            <w:r>
              <w:rPr>
                <w:w w:val="95"/>
                <w:sz w:val="20"/>
              </w:rPr>
              <w:t>24.76</w:t>
            </w:r>
          </w:p>
        </w:tc>
        <w:tc>
          <w:tcPr>
            <w:tcW w:w="1437" w:type="dxa"/>
          </w:tcPr>
          <w:p w:rsidR="007C5447" w:rsidRDefault="00F6308C">
            <w:pPr>
              <w:pStyle w:val="TableParagraph"/>
              <w:spacing w:before="50"/>
              <w:ind w:right="193"/>
              <w:rPr>
                <w:sz w:val="20"/>
              </w:rPr>
            </w:pPr>
            <w:r>
              <w:rPr>
                <w:sz w:val="20"/>
              </w:rPr>
              <w:t>23.25</w:t>
            </w:r>
          </w:p>
        </w:tc>
        <w:tc>
          <w:tcPr>
            <w:tcW w:w="1154" w:type="dxa"/>
          </w:tcPr>
          <w:p w:rsidR="007C5447" w:rsidRDefault="00F6308C">
            <w:pPr>
              <w:pStyle w:val="TableParagraph"/>
              <w:spacing w:before="50"/>
              <w:ind w:right="192"/>
              <w:rPr>
                <w:sz w:val="20"/>
              </w:rPr>
            </w:pPr>
            <w:r>
              <w:rPr>
                <w:w w:val="95"/>
                <w:sz w:val="20"/>
              </w:rPr>
              <w:t>24.76</w:t>
            </w:r>
          </w:p>
        </w:tc>
        <w:tc>
          <w:tcPr>
            <w:tcW w:w="1030" w:type="dxa"/>
          </w:tcPr>
          <w:p w:rsidR="007C5447" w:rsidRDefault="00F6308C">
            <w:pPr>
              <w:pStyle w:val="TableParagraph"/>
              <w:spacing w:before="50"/>
              <w:ind w:right="195"/>
              <w:rPr>
                <w:sz w:val="20"/>
              </w:rPr>
            </w:pPr>
            <w:r>
              <w:rPr>
                <w:w w:val="95"/>
                <w:sz w:val="20"/>
              </w:rPr>
              <w:t>27.15</w:t>
            </w:r>
          </w:p>
        </w:tc>
        <w:tc>
          <w:tcPr>
            <w:tcW w:w="1370" w:type="dxa"/>
          </w:tcPr>
          <w:p w:rsidR="007C5447" w:rsidRDefault="00F6308C">
            <w:pPr>
              <w:pStyle w:val="TableParagraph"/>
              <w:spacing w:before="50"/>
              <w:ind w:left="718"/>
              <w:jc w:val="left"/>
              <w:rPr>
                <w:sz w:val="20"/>
              </w:rPr>
            </w:pPr>
            <w:r>
              <w:rPr>
                <w:sz w:val="20"/>
              </w:rPr>
              <w:t>10.93</w:t>
            </w:r>
          </w:p>
        </w:tc>
        <w:tc>
          <w:tcPr>
            <w:tcW w:w="1166" w:type="dxa"/>
          </w:tcPr>
          <w:p w:rsidR="007C5447" w:rsidRDefault="00F6308C">
            <w:pPr>
              <w:pStyle w:val="TableParagraph"/>
              <w:spacing w:before="50"/>
              <w:ind w:right="191"/>
              <w:rPr>
                <w:sz w:val="20"/>
              </w:rPr>
            </w:pPr>
            <w:r>
              <w:rPr>
                <w:w w:val="95"/>
                <w:sz w:val="20"/>
              </w:rPr>
              <w:t>27.15</w:t>
            </w:r>
          </w:p>
        </w:tc>
        <w:tc>
          <w:tcPr>
            <w:tcW w:w="1224" w:type="dxa"/>
          </w:tcPr>
          <w:p w:rsidR="007C5447" w:rsidRDefault="00F6308C">
            <w:pPr>
              <w:pStyle w:val="TableParagraph"/>
              <w:spacing w:before="50"/>
              <w:ind w:right="191"/>
              <w:rPr>
                <w:sz w:val="20"/>
              </w:rPr>
            </w:pPr>
            <w:r>
              <w:rPr>
                <w:w w:val="95"/>
                <w:sz w:val="20"/>
              </w:rPr>
              <w:t>30.97</w:t>
            </w:r>
          </w:p>
        </w:tc>
        <w:tc>
          <w:tcPr>
            <w:tcW w:w="1372" w:type="dxa"/>
          </w:tcPr>
          <w:p w:rsidR="007C5447" w:rsidRDefault="00F6308C">
            <w:pPr>
              <w:pStyle w:val="TableParagraph"/>
              <w:spacing w:before="50"/>
              <w:ind w:left="720"/>
              <w:jc w:val="left"/>
              <w:rPr>
                <w:sz w:val="20"/>
              </w:rPr>
            </w:pPr>
            <w:r>
              <w:rPr>
                <w:sz w:val="20"/>
              </w:rPr>
              <w:t>29.52</w:t>
            </w:r>
          </w:p>
        </w:tc>
        <w:tc>
          <w:tcPr>
            <w:tcW w:w="1127" w:type="dxa"/>
          </w:tcPr>
          <w:p w:rsidR="007C5447" w:rsidRDefault="00F6308C">
            <w:pPr>
              <w:pStyle w:val="TableParagraph"/>
              <w:spacing w:before="50"/>
              <w:ind w:right="189"/>
              <w:rPr>
                <w:sz w:val="20"/>
              </w:rPr>
            </w:pPr>
            <w:r>
              <w:rPr>
                <w:w w:val="95"/>
                <w:sz w:val="20"/>
              </w:rPr>
              <w:t>30.96</w:t>
            </w:r>
          </w:p>
        </w:tc>
      </w:tr>
      <w:tr w:rsidR="007C5447">
        <w:trPr>
          <w:trHeight w:val="491"/>
        </w:trPr>
        <w:tc>
          <w:tcPr>
            <w:tcW w:w="821" w:type="dxa"/>
          </w:tcPr>
          <w:p w:rsidR="007C5447" w:rsidRDefault="00F6308C">
            <w:pPr>
              <w:pStyle w:val="TableParagraph"/>
              <w:spacing w:before="132"/>
              <w:ind w:left="309"/>
              <w:jc w:val="left"/>
              <w:rPr>
                <w:b/>
                <w:sz w:val="20"/>
              </w:rPr>
            </w:pPr>
            <w:r>
              <w:rPr>
                <w:b/>
                <w:sz w:val="20"/>
              </w:rPr>
              <w:t>15</w:t>
            </w:r>
          </w:p>
        </w:tc>
        <w:tc>
          <w:tcPr>
            <w:tcW w:w="2155" w:type="dxa"/>
          </w:tcPr>
          <w:p w:rsidR="007C5447" w:rsidRDefault="00F6308C">
            <w:pPr>
              <w:pStyle w:val="TableParagraph"/>
              <w:spacing w:before="21" w:line="228" w:lineRule="exact"/>
              <w:ind w:left="107" w:right="945"/>
              <w:jc w:val="left"/>
              <w:rPr>
                <w:b/>
                <w:sz w:val="20"/>
              </w:rPr>
            </w:pPr>
            <w:r>
              <w:rPr>
                <w:b/>
                <w:sz w:val="20"/>
              </w:rPr>
              <w:t>Grand Total Generation</w:t>
            </w:r>
          </w:p>
        </w:tc>
        <w:tc>
          <w:tcPr>
            <w:tcW w:w="1121" w:type="dxa"/>
          </w:tcPr>
          <w:p w:rsidR="007C5447" w:rsidRDefault="00F6308C">
            <w:pPr>
              <w:pStyle w:val="TableParagraph"/>
              <w:spacing w:before="132"/>
              <w:ind w:right="194"/>
              <w:rPr>
                <w:b/>
                <w:sz w:val="20"/>
              </w:rPr>
            </w:pPr>
            <w:r>
              <w:rPr>
                <w:b/>
                <w:w w:val="95"/>
                <w:sz w:val="20"/>
              </w:rPr>
              <w:t>634.21</w:t>
            </w:r>
          </w:p>
        </w:tc>
        <w:tc>
          <w:tcPr>
            <w:tcW w:w="1437" w:type="dxa"/>
          </w:tcPr>
          <w:p w:rsidR="007C5447" w:rsidRDefault="00F6308C">
            <w:pPr>
              <w:pStyle w:val="TableParagraph"/>
              <w:spacing w:before="132"/>
              <w:ind w:right="193"/>
              <w:rPr>
                <w:b/>
                <w:sz w:val="20"/>
              </w:rPr>
            </w:pPr>
            <w:r>
              <w:rPr>
                <w:b/>
                <w:w w:val="95"/>
                <w:sz w:val="20"/>
              </w:rPr>
              <w:t>639.18</w:t>
            </w:r>
          </w:p>
        </w:tc>
        <w:tc>
          <w:tcPr>
            <w:tcW w:w="1154" w:type="dxa"/>
          </w:tcPr>
          <w:p w:rsidR="007C5447" w:rsidRDefault="00F6308C">
            <w:pPr>
              <w:pStyle w:val="TableParagraph"/>
              <w:spacing w:before="132"/>
              <w:ind w:right="192"/>
              <w:rPr>
                <w:b/>
                <w:sz w:val="20"/>
              </w:rPr>
            </w:pPr>
            <w:r>
              <w:rPr>
                <w:b/>
                <w:w w:val="95"/>
                <w:sz w:val="20"/>
              </w:rPr>
              <w:t>634.21</w:t>
            </w:r>
          </w:p>
        </w:tc>
        <w:tc>
          <w:tcPr>
            <w:tcW w:w="1030" w:type="dxa"/>
          </w:tcPr>
          <w:p w:rsidR="007C5447" w:rsidRDefault="00F6308C">
            <w:pPr>
              <w:pStyle w:val="TableParagraph"/>
              <w:spacing w:before="132"/>
              <w:ind w:right="195"/>
              <w:rPr>
                <w:b/>
                <w:sz w:val="20"/>
              </w:rPr>
            </w:pPr>
            <w:r>
              <w:rPr>
                <w:b/>
                <w:w w:val="95"/>
                <w:sz w:val="20"/>
              </w:rPr>
              <w:t>688.48</w:t>
            </w:r>
          </w:p>
        </w:tc>
        <w:tc>
          <w:tcPr>
            <w:tcW w:w="1370" w:type="dxa"/>
          </w:tcPr>
          <w:p w:rsidR="007C5447" w:rsidRDefault="00F6308C">
            <w:pPr>
              <w:pStyle w:val="TableParagraph"/>
              <w:spacing w:before="132"/>
              <w:ind w:left="617"/>
              <w:jc w:val="left"/>
              <w:rPr>
                <w:b/>
                <w:sz w:val="20"/>
              </w:rPr>
            </w:pPr>
            <w:r>
              <w:rPr>
                <w:b/>
                <w:sz w:val="20"/>
              </w:rPr>
              <w:t>663.46</w:t>
            </w:r>
          </w:p>
        </w:tc>
        <w:tc>
          <w:tcPr>
            <w:tcW w:w="1166" w:type="dxa"/>
          </w:tcPr>
          <w:p w:rsidR="007C5447" w:rsidRDefault="00F6308C">
            <w:pPr>
              <w:pStyle w:val="TableParagraph"/>
              <w:spacing w:before="132"/>
              <w:ind w:right="192"/>
              <w:rPr>
                <w:b/>
                <w:sz w:val="20"/>
              </w:rPr>
            </w:pPr>
            <w:r>
              <w:rPr>
                <w:b/>
                <w:w w:val="95"/>
                <w:sz w:val="20"/>
              </w:rPr>
              <w:t>688.48</w:t>
            </w:r>
          </w:p>
        </w:tc>
        <w:tc>
          <w:tcPr>
            <w:tcW w:w="1224" w:type="dxa"/>
          </w:tcPr>
          <w:p w:rsidR="007C5447" w:rsidRDefault="00F6308C">
            <w:pPr>
              <w:pStyle w:val="TableParagraph"/>
              <w:spacing w:before="132"/>
              <w:ind w:right="191"/>
              <w:rPr>
                <w:b/>
                <w:sz w:val="20"/>
              </w:rPr>
            </w:pPr>
            <w:r>
              <w:rPr>
                <w:b/>
                <w:w w:val="95"/>
                <w:sz w:val="20"/>
              </w:rPr>
              <w:t>764.12</w:t>
            </w:r>
          </w:p>
        </w:tc>
        <w:tc>
          <w:tcPr>
            <w:tcW w:w="1372" w:type="dxa"/>
          </w:tcPr>
          <w:p w:rsidR="007C5447" w:rsidRDefault="00F6308C">
            <w:pPr>
              <w:pStyle w:val="TableParagraph"/>
              <w:spacing w:before="132"/>
              <w:ind w:left="619"/>
              <w:jc w:val="left"/>
              <w:rPr>
                <w:b/>
                <w:sz w:val="20"/>
              </w:rPr>
            </w:pPr>
            <w:r>
              <w:rPr>
                <w:b/>
                <w:sz w:val="20"/>
              </w:rPr>
              <w:t>969.23</w:t>
            </w:r>
          </w:p>
        </w:tc>
        <w:tc>
          <w:tcPr>
            <w:tcW w:w="1127" w:type="dxa"/>
          </w:tcPr>
          <w:p w:rsidR="007C5447" w:rsidRDefault="00F6308C">
            <w:pPr>
              <w:pStyle w:val="TableParagraph"/>
              <w:spacing w:before="132"/>
              <w:ind w:right="189"/>
              <w:rPr>
                <w:b/>
                <w:sz w:val="20"/>
              </w:rPr>
            </w:pPr>
            <w:r>
              <w:rPr>
                <w:b/>
                <w:w w:val="95"/>
                <w:sz w:val="20"/>
              </w:rPr>
              <w:t>743.75</w:t>
            </w:r>
          </w:p>
        </w:tc>
      </w:tr>
      <w:tr w:rsidR="007C5447">
        <w:trPr>
          <w:trHeight w:val="506"/>
        </w:trPr>
        <w:tc>
          <w:tcPr>
            <w:tcW w:w="821" w:type="dxa"/>
          </w:tcPr>
          <w:p w:rsidR="007C5447" w:rsidRDefault="00F6308C">
            <w:pPr>
              <w:pStyle w:val="TableParagraph"/>
              <w:spacing w:before="137"/>
              <w:ind w:left="309"/>
              <w:jc w:val="left"/>
              <w:rPr>
                <w:b/>
                <w:sz w:val="20"/>
              </w:rPr>
            </w:pPr>
            <w:r>
              <w:rPr>
                <w:b/>
                <w:sz w:val="20"/>
              </w:rPr>
              <w:t>16</w:t>
            </w:r>
          </w:p>
        </w:tc>
        <w:tc>
          <w:tcPr>
            <w:tcW w:w="2155" w:type="dxa"/>
          </w:tcPr>
          <w:p w:rsidR="007C5447" w:rsidRDefault="00F6308C">
            <w:pPr>
              <w:pStyle w:val="TableParagraph"/>
              <w:spacing w:before="137"/>
              <w:ind w:left="107"/>
              <w:jc w:val="left"/>
              <w:rPr>
                <w:b/>
                <w:sz w:val="20"/>
              </w:rPr>
            </w:pPr>
            <w:r>
              <w:rPr>
                <w:b/>
                <w:sz w:val="20"/>
              </w:rPr>
              <w:t>Distribution</w:t>
            </w:r>
          </w:p>
        </w:tc>
        <w:tc>
          <w:tcPr>
            <w:tcW w:w="1121" w:type="dxa"/>
          </w:tcPr>
          <w:p w:rsidR="007C5447" w:rsidRDefault="00F6308C">
            <w:pPr>
              <w:pStyle w:val="TableParagraph"/>
              <w:spacing w:before="137"/>
              <w:ind w:right="192"/>
              <w:rPr>
                <w:b/>
                <w:sz w:val="20"/>
              </w:rPr>
            </w:pPr>
            <w:r>
              <w:rPr>
                <w:b/>
                <w:w w:val="95"/>
                <w:sz w:val="20"/>
              </w:rPr>
              <w:t>3,327.36</w:t>
            </w:r>
          </w:p>
        </w:tc>
        <w:tc>
          <w:tcPr>
            <w:tcW w:w="1437" w:type="dxa"/>
          </w:tcPr>
          <w:p w:rsidR="007C5447" w:rsidRDefault="00F6308C">
            <w:pPr>
              <w:pStyle w:val="TableParagraph"/>
              <w:spacing w:before="137"/>
              <w:ind w:left="532"/>
              <w:jc w:val="left"/>
              <w:rPr>
                <w:b/>
                <w:sz w:val="20"/>
              </w:rPr>
            </w:pPr>
            <w:r>
              <w:rPr>
                <w:b/>
                <w:sz w:val="20"/>
              </w:rPr>
              <w:t>3,626.33</w:t>
            </w:r>
          </w:p>
        </w:tc>
        <w:tc>
          <w:tcPr>
            <w:tcW w:w="1154" w:type="dxa"/>
          </w:tcPr>
          <w:p w:rsidR="007C5447" w:rsidRDefault="00F6308C">
            <w:pPr>
              <w:pStyle w:val="TableParagraph"/>
              <w:spacing w:before="137"/>
              <w:ind w:right="190"/>
              <w:rPr>
                <w:b/>
                <w:sz w:val="20"/>
              </w:rPr>
            </w:pPr>
            <w:r>
              <w:rPr>
                <w:b/>
                <w:w w:val="95"/>
                <w:sz w:val="20"/>
              </w:rPr>
              <w:t>3,327.36</w:t>
            </w:r>
          </w:p>
        </w:tc>
        <w:tc>
          <w:tcPr>
            <w:tcW w:w="1030" w:type="dxa"/>
          </w:tcPr>
          <w:p w:rsidR="007C5447" w:rsidRDefault="00F6308C">
            <w:pPr>
              <w:pStyle w:val="TableParagraph"/>
              <w:spacing w:before="137"/>
              <w:ind w:right="196"/>
              <w:rPr>
                <w:b/>
                <w:sz w:val="20"/>
              </w:rPr>
            </w:pPr>
            <w:r>
              <w:rPr>
                <w:b/>
                <w:w w:val="95"/>
                <w:sz w:val="20"/>
              </w:rPr>
              <w:t>3,477.42</w:t>
            </w:r>
          </w:p>
        </w:tc>
        <w:tc>
          <w:tcPr>
            <w:tcW w:w="1370" w:type="dxa"/>
          </w:tcPr>
          <w:p w:rsidR="007C5447" w:rsidRDefault="00F6308C">
            <w:pPr>
              <w:pStyle w:val="TableParagraph"/>
              <w:spacing w:before="137"/>
              <w:ind w:left="469"/>
              <w:jc w:val="left"/>
              <w:rPr>
                <w:b/>
                <w:sz w:val="20"/>
              </w:rPr>
            </w:pPr>
            <w:r>
              <w:rPr>
                <w:b/>
                <w:sz w:val="20"/>
              </w:rPr>
              <w:t>3,523.79</w:t>
            </w:r>
          </w:p>
        </w:tc>
        <w:tc>
          <w:tcPr>
            <w:tcW w:w="1166" w:type="dxa"/>
          </w:tcPr>
          <w:p w:rsidR="007C5447" w:rsidRDefault="00F6308C">
            <w:pPr>
              <w:pStyle w:val="TableParagraph"/>
              <w:spacing w:before="137"/>
              <w:ind w:right="190"/>
              <w:rPr>
                <w:b/>
                <w:sz w:val="20"/>
              </w:rPr>
            </w:pPr>
            <w:r>
              <w:rPr>
                <w:b/>
                <w:w w:val="95"/>
                <w:sz w:val="20"/>
              </w:rPr>
              <w:t>3,477.42</w:t>
            </w:r>
          </w:p>
        </w:tc>
        <w:tc>
          <w:tcPr>
            <w:tcW w:w="1224" w:type="dxa"/>
          </w:tcPr>
          <w:p w:rsidR="007C5447" w:rsidRDefault="00F6308C">
            <w:pPr>
              <w:pStyle w:val="TableParagraph"/>
              <w:spacing w:before="137"/>
              <w:ind w:right="190"/>
              <w:rPr>
                <w:b/>
                <w:sz w:val="20"/>
              </w:rPr>
            </w:pPr>
            <w:r>
              <w:rPr>
                <w:b/>
                <w:w w:val="95"/>
                <w:sz w:val="20"/>
              </w:rPr>
              <w:t>3,852.37</w:t>
            </w:r>
          </w:p>
        </w:tc>
        <w:tc>
          <w:tcPr>
            <w:tcW w:w="1372" w:type="dxa"/>
          </w:tcPr>
          <w:p w:rsidR="007C5447" w:rsidRDefault="00F6308C">
            <w:pPr>
              <w:pStyle w:val="TableParagraph"/>
              <w:spacing w:before="137"/>
              <w:ind w:left="470"/>
              <w:jc w:val="left"/>
              <w:rPr>
                <w:b/>
                <w:sz w:val="20"/>
              </w:rPr>
            </w:pPr>
            <w:r>
              <w:rPr>
                <w:b/>
                <w:sz w:val="20"/>
              </w:rPr>
              <w:t>3,970.93</w:t>
            </w:r>
          </w:p>
        </w:tc>
        <w:tc>
          <w:tcPr>
            <w:tcW w:w="1127" w:type="dxa"/>
          </w:tcPr>
          <w:p w:rsidR="007C5447" w:rsidRDefault="00F6308C">
            <w:pPr>
              <w:pStyle w:val="TableParagraph"/>
              <w:spacing w:before="137"/>
              <w:ind w:right="187"/>
              <w:rPr>
                <w:b/>
                <w:sz w:val="20"/>
              </w:rPr>
            </w:pPr>
            <w:r>
              <w:rPr>
                <w:b/>
                <w:w w:val="95"/>
                <w:sz w:val="20"/>
              </w:rPr>
              <w:t>3,851.31</w:t>
            </w:r>
          </w:p>
        </w:tc>
      </w:tr>
      <w:tr w:rsidR="007C5447">
        <w:trPr>
          <w:trHeight w:val="492"/>
        </w:trPr>
        <w:tc>
          <w:tcPr>
            <w:tcW w:w="821" w:type="dxa"/>
          </w:tcPr>
          <w:p w:rsidR="007C5447" w:rsidRDefault="00F6308C">
            <w:pPr>
              <w:pStyle w:val="TableParagraph"/>
              <w:spacing w:before="130"/>
              <w:ind w:left="309"/>
              <w:jc w:val="left"/>
              <w:rPr>
                <w:b/>
                <w:sz w:val="20"/>
              </w:rPr>
            </w:pPr>
            <w:r>
              <w:rPr>
                <w:b/>
                <w:sz w:val="20"/>
              </w:rPr>
              <w:t>17</w:t>
            </w:r>
          </w:p>
        </w:tc>
        <w:tc>
          <w:tcPr>
            <w:tcW w:w="2155" w:type="dxa"/>
          </w:tcPr>
          <w:p w:rsidR="007C5447" w:rsidRDefault="00F6308C">
            <w:pPr>
              <w:pStyle w:val="TableParagraph"/>
              <w:spacing w:before="14" w:line="230" w:lineRule="atLeast"/>
              <w:ind w:left="107" w:right="887"/>
              <w:jc w:val="left"/>
              <w:rPr>
                <w:b/>
                <w:sz w:val="20"/>
              </w:rPr>
            </w:pPr>
            <w:r>
              <w:rPr>
                <w:b/>
                <w:sz w:val="20"/>
              </w:rPr>
              <w:t>Generation + Distribution</w:t>
            </w:r>
          </w:p>
        </w:tc>
        <w:tc>
          <w:tcPr>
            <w:tcW w:w="1121" w:type="dxa"/>
          </w:tcPr>
          <w:p w:rsidR="007C5447" w:rsidRDefault="00F6308C">
            <w:pPr>
              <w:pStyle w:val="TableParagraph"/>
              <w:spacing w:before="130"/>
              <w:ind w:right="192"/>
              <w:rPr>
                <w:b/>
                <w:sz w:val="20"/>
              </w:rPr>
            </w:pPr>
            <w:r>
              <w:rPr>
                <w:b/>
                <w:w w:val="95"/>
                <w:sz w:val="20"/>
              </w:rPr>
              <w:t>3,961.57</w:t>
            </w:r>
          </w:p>
        </w:tc>
        <w:tc>
          <w:tcPr>
            <w:tcW w:w="1437" w:type="dxa"/>
          </w:tcPr>
          <w:p w:rsidR="007C5447" w:rsidRDefault="00F6308C">
            <w:pPr>
              <w:pStyle w:val="TableParagraph"/>
              <w:spacing w:before="130"/>
              <w:ind w:left="532"/>
              <w:jc w:val="left"/>
              <w:rPr>
                <w:b/>
                <w:sz w:val="20"/>
              </w:rPr>
            </w:pPr>
            <w:r>
              <w:rPr>
                <w:b/>
                <w:sz w:val="20"/>
              </w:rPr>
              <w:t>4,265.51</w:t>
            </w:r>
          </w:p>
        </w:tc>
        <w:tc>
          <w:tcPr>
            <w:tcW w:w="1154" w:type="dxa"/>
          </w:tcPr>
          <w:p w:rsidR="007C5447" w:rsidRDefault="00F6308C">
            <w:pPr>
              <w:pStyle w:val="TableParagraph"/>
              <w:spacing w:before="130"/>
              <w:ind w:right="190"/>
              <w:rPr>
                <w:b/>
                <w:sz w:val="20"/>
              </w:rPr>
            </w:pPr>
            <w:r>
              <w:rPr>
                <w:b/>
                <w:w w:val="95"/>
                <w:sz w:val="20"/>
              </w:rPr>
              <w:t>3,961.57</w:t>
            </w:r>
          </w:p>
        </w:tc>
        <w:tc>
          <w:tcPr>
            <w:tcW w:w="1030" w:type="dxa"/>
          </w:tcPr>
          <w:p w:rsidR="007C5447" w:rsidRDefault="00F6308C">
            <w:pPr>
              <w:pStyle w:val="TableParagraph"/>
              <w:spacing w:before="130"/>
              <w:ind w:right="196"/>
              <w:rPr>
                <w:b/>
                <w:sz w:val="20"/>
              </w:rPr>
            </w:pPr>
            <w:r>
              <w:rPr>
                <w:b/>
                <w:w w:val="95"/>
                <w:sz w:val="20"/>
              </w:rPr>
              <w:t>4,165.90</w:t>
            </w:r>
          </w:p>
        </w:tc>
        <w:tc>
          <w:tcPr>
            <w:tcW w:w="1370" w:type="dxa"/>
          </w:tcPr>
          <w:p w:rsidR="007C5447" w:rsidRDefault="00F6308C">
            <w:pPr>
              <w:pStyle w:val="TableParagraph"/>
              <w:spacing w:before="130"/>
              <w:ind w:left="469"/>
              <w:jc w:val="left"/>
              <w:rPr>
                <w:b/>
                <w:sz w:val="20"/>
              </w:rPr>
            </w:pPr>
            <w:r>
              <w:rPr>
                <w:b/>
                <w:sz w:val="20"/>
              </w:rPr>
              <w:t>4,187.25</w:t>
            </w:r>
          </w:p>
        </w:tc>
        <w:tc>
          <w:tcPr>
            <w:tcW w:w="1166" w:type="dxa"/>
          </w:tcPr>
          <w:p w:rsidR="007C5447" w:rsidRDefault="00F6308C">
            <w:pPr>
              <w:pStyle w:val="TableParagraph"/>
              <w:spacing w:before="130"/>
              <w:ind w:right="190"/>
              <w:rPr>
                <w:b/>
                <w:sz w:val="20"/>
              </w:rPr>
            </w:pPr>
            <w:r>
              <w:rPr>
                <w:b/>
                <w:w w:val="95"/>
                <w:sz w:val="20"/>
              </w:rPr>
              <w:t>4,165.90</w:t>
            </w:r>
          </w:p>
        </w:tc>
        <w:tc>
          <w:tcPr>
            <w:tcW w:w="1224" w:type="dxa"/>
          </w:tcPr>
          <w:p w:rsidR="007C5447" w:rsidRDefault="00F6308C">
            <w:pPr>
              <w:pStyle w:val="TableParagraph"/>
              <w:spacing w:before="130"/>
              <w:ind w:right="190"/>
              <w:rPr>
                <w:b/>
                <w:sz w:val="20"/>
              </w:rPr>
            </w:pPr>
            <w:r>
              <w:rPr>
                <w:b/>
                <w:w w:val="95"/>
                <w:sz w:val="20"/>
              </w:rPr>
              <w:t>4,616.49</w:t>
            </w:r>
          </w:p>
        </w:tc>
        <w:tc>
          <w:tcPr>
            <w:tcW w:w="1372" w:type="dxa"/>
          </w:tcPr>
          <w:p w:rsidR="007C5447" w:rsidRDefault="00F6308C">
            <w:pPr>
              <w:pStyle w:val="TableParagraph"/>
              <w:spacing w:before="130"/>
              <w:ind w:left="470"/>
              <w:jc w:val="left"/>
              <w:rPr>
                <w:b/>
                <w:sz w:val="20"/>
              </w:rPr>
            </w:pPr>
            <w:r>
              <w:rPr>
                <w:b/>
                <w:sz w:val="20"/>
              </w:rPr>
              <w:t>4,940.17</w:t>
            </w:r>
          </w:p>
        </w:tc>
        <w:tc>
          <w:tcPr>
            <w:tcW w:w="1127" w:type="dxa"/>
          </w:tcPr>
          <w:p w:rsidR="007C5447" w:rsidRDefault="00F6308C">
            <w:pPr>
              <w:pStyle w:val="TableParagraph"/>
              <w:spacing w:before="130"/>
              <w:ind w:right="187"/>
              <w:rPr>
                <w:b/>
                <w:sz w:val="20"/>
              </w:rPr>
            </w:pPr>
            <w:r>
              <w:rPr>
                <w:b/>
                <w:w w:val="95"/>
                <w:sz w:val="20"/>
              </w:rPr>
              <w:t>4,595.06</w:t>
            </w:r>
          </w:p>
        </w:tc>
      </w:tr>
    </w:tbl>
    <w:p w:rsidR="007C5447" w:rsidRDefault="007C5447">
      <w:pPr>
        <w:rPr>
          <w:sz w:val="20"/>
        </w:rPr>
        <w:sectPr w:rsidR="007C5447">
          <w:footerReference w:type="default" r:id="rId14"/>
          <w:pgSz w:w="16840" w:h="11910" w:orient="landscape"/>
          <w:pgMar w:top="1100" w:right="860" w:bottom="1240" w:left="1760" w:header="0" w:footer="1057" w:gutter="0"/>
          <w:pgNumType w:start="95"/>
          <w:cols w:space="720"/>
        </w:sectPr>
      </w:pPr>
    </w:p>
    <w:p w:rsidR="007C5447" w:rsidRDefault="007C5447">
      <w:pPr>
        <w:pStyle w:val="BodyText"/>
        <w:spacing w:before="2"/>
        <w:rPr>
          <w:b/>
          <w:sz w:val="21"/>
        </w:rPr>
      </w:pPr>
    </w:p>
    <w:p w:rsidR="007C5447" w:rsidRDefault="00F6308C">
      <w:pPr>
        <w:spacing w:before="91"/>
        <w:ind w:left="2214" w:right="2390"/>
        <w:jc w:val="center"/>
        <w:rPr>
          <w:b/>
        </w:rPr>
      </w:pPr>
      <w:r>
        <w:rPr>
          <w:b/>
        </w:rPr>
        <w:t>Table 3-15: O&amp;M expenses for FY 2014-15 to FY 2015-16 as approved by the Commission (Rs. Crore)</w:t>
      </w:r>
    </w:p>
    <w:p w:rsidR="007C5447" w:rsidRDefault="007C5447">
      <w:pPr>
        <w:pStyle w:val="BodyText"/>
        <w:spacing w:before="11"/>
        <w:rPr>
          <w:b/>
          <w:sz w:val="16"/>
        </w:rPr>
      </w:pPr>
    </w:p>
    <w:tbl>
      <w:tblPr>
        <w:tblW w:w="0" w:type="auto"/>
        <w:tblInd w:w="5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7"/>
        <w:gridCol w:w="2688"/>
        <w:gridCol w:w="1399"/>
        <w:gridCol w:w="1546"/>
        <w:gridCol w:w="1442"/>
        <w:gridCol w:w="1284"/>
        <w:gridCol w:w="1563"/>
        <w:gridCol w:w="1567"/>
      </w:tblGrid>
      <w:tr w:rsidR="007C5447">
        <w:trPr>
          <w:trHeight w:val="266"/>
        </w:trPr>
        <w:tc>
          <w:tcPr>
            <w:tcW w:w="1027" w:type="dxa"/>
            <w:vMerge w:val="restart"/>
            <w:shd w:val="clear" w:color="auto" w:fill="F7C9AC"/>
          </w:tcPr>
          <w:p w:rsidR="007C5447" w:rsidRDefault="007C5447">
            <w:pPr>
              <w:pStyle w:val="TableParagraph"/>
              <w:spacing w:before="4"/>
              <w:jc w:val="left"/>
              <w:rPr>
                <w:b/>
                <w:sz w:val="23"/>
              </w:rPr>
            </w:pPr>
          </w:p>
          <w:p w:rsidR="007C5447" w:rsidRDefault="00F6308C">
            <w:pPr>
              <w:pStyle w:val="TableParagraph"/>
              <w:ind w:left="107"/>
              <w:jc w:val="left"/>
              <w:rPr>
                <w:b/>
                <w:sz w:val="20"/>
              </w:rPr>
            </w:pPr>
            <w:r>
              <w:rPr>
                <w:b/>
                <w:sz w:val="20"/>
              </w:rPr>
              <w:t>Sl.</w:t>
            </w:r>
          </w:p>
        </w:tc>
        <w:tc>
          <w:tcPr>
            <w:tcW w:w="2688" w:type="dxa"/>
            <w:vMerge w:val="restart"/>
            <w:shd w:val="clear" w:color="auto" w:fill="F7C9AC"/>
          </w:tcPr>
          <w:p w:rsidR="007C5447" w:rsidRDefault="007C5447">
            <w:pPr>
              <w:pStyle w:val="TableParagraph"/>
              <w:spacing w:before="4"/>
              <w:jc w:val="left"/>
              <w:rPr>
                <w:b/>
                <w:sz w:val="23"/>
              </w:rPr>
            </w:pPr>
          </w:p>
          <w:p w:rsidR="007C5447" w:rsidRDefault="00F6308C">
            <w:pPr>
              <w:pStyle w:val="TableParagraph"/>
              <w:ind w:left="105"/>
              <w:jc w:val="left"/>
              <w:rPr>
                <w:b/>
                <w:sz w:val="20"/>
              </w:rPr>
            </w:pPr>
            <w:r>
              <w:rPr>
                <w:b/>
                <w:sz w:val="20"/>
              </w:rPr>
              <w:t>Particulars</w:t>
            </w:r>
          </w:p>
        </w:tc>
        <w:tc>
          <w:tcPr>
            <w:tcW w:w="4387" w:type="dxa"/>
            <w:gridSpan w:val="3"/>
            <w:shd w:val="clear" w:color="auto" w:fill="FBD4B4"/>
          </w:tcPr>
          <w:p w:rsidR="007C5447" w:rsidRDefault="00F6308C">
            <w:pPr>
              <w:pStyle w:val="TableParagraph"/>
              <w:spacing w:before="19" w:line="227" w:lineRule="exact"/>
              <w:ind w:left="1688" w:right="1665"/>
              <w:jc w:val="center"/>
              <w:rPr>
                <w:b/>
                <w:sz w:val="20"/>
              </w:rPr>
            </w:pPr>
            <w:r>
              <w:rPr>
                <w:b/>
                <w:sz w:val="20"/>
              </w:rPr>
              <w:t>FY 2014-15</w:t>
            </w:r>
          </w:p>
        </w:tc>
        <w:tc>
          <w:tcPr>
            <w:tcW w:w="4414" w:type="dxa"/>
            <w:gridSpan w:val="3"/>
            <w:shd w:val="clear" w:color="auto" w:fill="FBD4B4"/>
          </w:tcPr>
          <w:p w:rsidR="007C5447" w:rsidRDefault="00F6308C">
            <w:pPr>
              <w:pStyle w:val="TableParagraph"/>
              <w:spacing w:before="19" w:line="227" w:lineRule="exact"/>
              <w:ind w:left="1701" w:right="1679"/>
              <w:jc w:val="center"/>
              <w:rPr>
                <w:b/>
                <w:sz w:val="20"/>
              </w:rPr>
            </w:pPr>
            <w:r>
              <w:rPr>
                <w:b/>
                <w:sz w:val="20"/>
              </w:rPr>
              <w:t>FY 2015-16</w:t>
            </w:r>
          </w:p>
        </w:tc>
      </w:tr>
      <w:tr w:rsidR="007C5447">
        <w:trPr>
          <w:trHeight w:val="491"/>
        </w:trPr>
        <w:tc>
          <w:tcPr>
            <w:tcW w:w="1027" w:type="dxa"/>
            <w:vMerge/>
            <w:tcBorders>
              <w:top w:val="nil"/>
            </w:tcBorders>
            <w:shd w:val="clear" w:color="auto" w:fill="F7C9AC"/>
          </w:tcPr>
          <w:p w:rsidR="007C5447" w:rsidRDefault="007C5447">
            <w:pPr>
              <w:rPr>
                <w:sz w:val="2"/>
                <w:szCs w:val="2"/>
              </w:rPr>
            </w:pPr>
          </w:p>
        </w:tc>
        <w:tc>
          <w:tcPr>
            <w:tcW w:w="2688" w:type="dxa"/>
            <w:vMerge/>
            <w:tcBorders>
              <w:top w:val="nil"/>
            </w:tcBorders>
            <w:shd w:val="clear" w:color="auto" w:fill="F7C9AC"/>
          </w:tcPr>
          <w:p w:rsidR="007C5447" w:rsidRDefault="007C5447">
            <w:pPr>
              <w:rPr>
                <w:sz w:val="2"/>
                <w:szCs w:val="2"/>
              </w:rPr>
            </w:pPr>
          </w:p>
        </w:tc>
        <w:tc>
          <w:tcPr>
            <w:tcW w:w="1399" w:type="dxa"/>
            <w:shd w:val="clear" w:color="auto" w:fill="FBD4B4"/>
          </w:tcPr>
          <w:p w:rsidR="007C5447" w:rsidRDefault="00F6308C">
            <w:pPr>
              <w:pStyle w:val="TableParagraph"/>
              <w:spacing w:before="132"/>
              <w:ind w:left="190"/>
              <w:jc w:val="left"/>
              <w:rPr>
                <w:b/>
                <w:sz w:val="20"/>
              </w:rPr>
            </w:pPr>
            <w:r>
              <w:rPr>
                <w:b/>
                <w:sz w:val="20"/>
              </w:rPr>
              <w:t>SMT Order</w:t>
            </w:r>
          </w:p>
        </w:tc>
        <w:tc>
          <w:tcPr>
            <w:tcW w:w="1546" w:type="dxa"/>
            <w:shd w:val="clear" w:color="auto" w:fill="FBD4B4"/>
          </w:tcPr>
          <w:p w:rsidR="007C5447" w:rsidRDefault="00F6308C">
            <w:pPr>
              <w:pStyle w:val="TableParagraph"/>
              <w:spacing w:before="132"/>
              <w:ind w:right="186"/>
              <w:rPr>
                <w:b/>
                <w:sz w:val="20"/>
              </w:rPr>
            </w:pPr>
            <w:r>
              <w:rPr>
                <w:b/>
                <w:w w:val="95"/>
                <w:sz w:val="20"/>
              </w:rPr>
              <w:t>TANGEDCO</w:t>
            </w:r>
          </w:p>
        </w:tc>
        <w:tc>
          <w:tcPr>
            <w:tcW w:w="1442" w:type="dxa"/>
            <w:shd w:val="clear" w:color="auto" w:fill="FBD4B4"/>
          </w:tcPr>
          <w:p w:rsidR="007C5447" w:rsidRDefault="00F6308C">
            <w:pPr>
              <w:pStyle w:val="TableParagraph"/>
              <w:spacing w:before="17" w:line="230" w:lineRule="atLeast"/>
              <w:ind w:left="176" w:right="147" w:firstLine="117"/>
              <w:jc w:val="left"/>
              <w:rPr>
                <w:b/>
                <w:sz w:val="20"/>
              </w:rPr>
            </w:pPr>
            <w:r>
              <w:rPr>
                <w:b/>
                <w:sz w:val="20"/>
              </w:rPr>
              <w:t>Approved after true up</w:t>
            </w:r>
          </w:p>
        </w:tc>
        <w:tc>
          <w:tcPr>
            <w:tcW w:w="1284" w:type="dxa"/>
            <w:shd w:val="clear" w:color="auto" w:fill="FBD4B4"/>
          </w:tcPr>
          <w:p w:rsidR="007C5447" w:rsidRDefault="00F6308C">
            <w:pPr>
              <w:pStyle w:val="TableParagraph"/>
              <w:spacing w:before="132"/>
              <w:ind w:right="260"/>
              <w:rPr>
                <w:b/>
                <w:sz w:val="20"/>
              </w:rPr>
            </w:pPr>
            <w:r>
              <w:rPr>
                <w:b/>
                <w:sz w:val="20"/>
              </w:rPr>
              <w:t>TO 2013</w:t>
            </w:r>
          </w:p>
        </w:tc>
        <w:tc>
          <w:tcPr>
            <w:tcW w:w="1563" w:type="dxa"/>
            <w:shd w:val="clear" w:color="auto" w:fill="FBD4B4"/>
          </w:tcPr>
          <w:p w:rsidR="007C5447" w:rsidRDefault="00F6308C">
            <w:pPr>
              <w:pStyle w:val="TableParagraph"/>
              <w:spacing w:before="132"/>
              <w:ind w:right="195"/>
              <w:rPr>
                <w:b/>
                <w:sz w:val="20"/>
              </w:rPr>
            </w:pPr>
            <w:r>
              <w:rPr>
                <w:b/>
                <w:w w:val="95"/>
                <w:sz w:val="20"/>
              </w:rPr>
              <w:t>TANGEDCO</w:t>
            </w:r>
          </w:p>
        </w:tc>
        <w:tc>
          <w:tcPr>
            <w:tcW w:w="1567" w:type="dxa"/>
            <w:shd w:val="clear" w:color="auto" w:fill="FBD4B4"/>
          </w:tcPr>
          <w:p w:rsidR="007C5447" w:rsidRDefault="00F6308C">
            <w:pPr>
              <w:pStyle w:val="TableParagraph"/>
              <w:spacing w:before="17" w:line="230" w:lineRule="atLeast"/>
              <w:ind w:left="469" w:right="95" w:hanging="344"/>
              <w:jc w:val="left"/>
              <w:rPr>
                <w:b/>
                <w:sz w:val="20"/>
              </w:rPr>
            </w:pPr>
            <w:r>
              <w:rPr>
                <w:b/>
                <w:sz w:val="20"/>
              </w:rPr>
              <w:t>Approved after true up</w:t>
            </w:r>
          </w:p>
        </w:tc>
      </w:tr>
      <w:tr w:rsidR="007C5447">
        <w:trPr>
          <w:trHeight w:val="287"/>
        </w:trPr>
        <w:tc>
          <w:tcPr>
            <w:tcW w:w="1027" w:type="dxa"/>
          </w:tcPr>
          <w:p w:rsidR="007C5447" w:rsidRDefault="00F6308C">
            <w:pPr>
              <w:pStyle w:val="TableParagraph"/>
              <w:spacing w:before="29"/>
              <w:ind w:left="8"/>
              <w:jc w:val="center"/>
              <w:rPr>
                <w:sz w:val="20"/>
              </w:rPr>
            </w:pPr>
            <w:r>
              <w:rPr>
                <w:w w:val="99"/>
                <w:sz w:val="20"/>
              </w:rPr>
              <w:t>1</w:t>
            </w:r>
          </w:p>
        </w:tc>
        <w:tc>
          <w:tcPr>
            <w:tcW w:w="2688" w:type="dxa"/>
          </w:tcPr>
          <w:p w:rsidR="007C5447" w:rsidRDefault="00F6308C">
            <w:pPr>
              <w:pStyle w:val="TableParagraph"/>
              <w:spacing w:before="29"/>
              <w:ind w:left="105"/>
              <w:jc w:val="left"/>
              <w:rPr>
                <w:sz w:val="20"/>
              </w:rPr>
            </w:pPr>
            <w:r>
              <w:rPr>
                <w:sz w:val="20"/>
              </w:rPr>
              <w:t>Ennore TPS</w:t>
            </w:r>
          </w:p>
        </w:tc>
        <w:tc>
          <w:tcPr>
            <w:tcW w:w="1399" w:type="dxa"/>
          </w:tcPr>
          <w:p w:rsidR="007C5447" w:rsidRDefault="00F6308C">
            <w:pPr>
              <w:pStyle w:val="TableParagraph"/>
              <w:spacing w:before="29"/>
              <w:ind w:right="94"/>
              <w:rPr>
                <w:sz w:val="20"/>
              </w:rPr>
            </w:pPr>
            <w:r>
              <w:rPr>
                <w:w w:val="95"/>
                <w:sz w:val="20"/>
              </w:rPr>
              <w:t>138.44</w:t>
            </w:r>
          </w:p>
        </w:tc>
        <w:tc>
          <w:tcPr>
            <w:tcW w:w="1546" w:type="dxa"/>
          </w:tcPr>
          <w:p w:rsidR="007C5447" w:rsidRDefault="00F6308C">
            <w:pPr>
              <w:pStyle w:val="TableParagraph"/>
              <w:spacing w:before="29"/>
              <w:ind w:right="191"/>
              <w:rPr>
                <w:sz w:val="20"/>
              </w:rPr>
            </w:pPr>
            <w:r>
              <w:rPr>
                <w:w w:val="95"/>
                <w:sz w:val="20"/>
              </w:rPr>
              <w:t>109.07</w:t>
            </w:r>
          </w:p>
        </w:tc>
        <w:tc>
          <w:tcPr>
            <w:tcW w:w="1442" w:type="dxa"/>
          </w:tcPr>
          <w:p w:rsidR="007C5447" w:rsidRDefault="00F6308C">
            <w:pPr>
              <w:pStyle w:val="TableParagraph"/>
              <w:spacing w:before="29"/>
              <w:ind w:right="96"/>
              <w:rPr>
                <w:sz w:val="20"/>
              </w:rPr>
            </w:pPr>
            <w:r>
              <w:rPr>
                <w:w w:val="95"/>
                <w:sz w:val="20"/>
              </w:rPr>
              <w:t>99.17</w:t>
            </w:r>
          </w:p>
        </w:tc>
        <w:tc>
          <w:tcPr>
            <w:tcW w:w="1284" w:type="dxa"/>
          </w:tcPr>
          <w:p w:rsidR="007C5447" w:rsidRDefault="00F6308C">
            <w:pPr>
              <w:pStyle w:val="TableParagraph"/>
              <w:spacing w:before="29"/>
              <w:ind w:right="192"/>
              <w:rPr>
                <w:sz w:val="20"/>
              </w:rPr>
            </w:pPr>
            <w:r>
              <w:rPr>
                <w:w w:val="95"/>
                <w:sz w:val="20"/>
              </w:rPr>
              <w:t>141.43</w:t>
            </w:r>
          </w:p>
        </w:tc>
        <w:tc>
          <w:tcPr>
            <w:tcW w:w="1563" w:type="dxa"/>
          </w:tcPr>
          <w:p w:rsidR="007C5447" w:rsidRDefault="00F6308C">
            <w:pPr>
              <w:pStyle w:val="TableParagraph"/>
              <w:spacing w:before="29"/>
              <w:ind w:right="192"/>
              <w:rPr>
                <w:sz w:val="20"/>
              </w:rPr>
            </w:pPr>
            <w:r>
              <w:rPr>
                <w:w w:val="95"/>
                <w:sz w:val="20"/>
              </w:rPr>
              <w:t>135.55</w:t>
            </w:r>
          </w:p>
        </w:tc>
        <w:tc>
          <w:tcPr>
            <w:tcW w:w="1567" w:type="dxa"/>
          </w:tcPr>
          <w:p w:rsidR="007C5447" w:rsidRDefault="00F6308C">
            <w:pPr>
              <w:pStyle w:val="TableParagraph"/>
              <w:spacing w:before="29"/>
              <w:ind w:right="192"/>
              <w:rPr>
                <w:sz w:val="20"/>
              </w:rPr>
            </w:pPr>
            <w:r>
              <w:rPr>
                <w:w w:val="95"/>
                <w:sz w:val="20"/>
              </w:rPr>
              <w:t>125.22</w:t>
            </w:r>
          </w:p>
        </w:tc>
      </w:tr>
      <w:tr w:rsidR="007C5447">
        <w:trPr>
          <w:trHeight w:val="285"/>
        </w:trPr>
        <w:tc>
          <w:tcPr>
            <w:tcW w:w="1027" w:type="dxa"/>
          </w:tcPr>
          <w:p w:rsidR="007C5447" w:rsidRDefault="00F6308C">
            <w:pPr>
              <w:pStyle w:val="TableParagraph"/>
              <w:spacing w:before="26"/>
              <w:ind w:left="8"/>
              <w:jc w:val="center"/>
              <w:rPr>
                <w:sz w:val="20"/>
              </w:rPr>
            </w:pPr>
            <w:r>
              <w:rPr>
                <w:w w:val="99"/>
                <w:sz w:val="20"/>
              </w:rPr>
              <w:t>2</w:t>
            </w:r>
          </w:p>
        </w:tc>
        <w:tc>
          <w:tcPr>
            <w:tcW w:w="2688" w:type="dxa"/>
          </w:tcPr>
          <w:p w:rsidR="007C5447" w:rsidRDefault="00F6308C">
            <w:pPr>
              <w:pStyle w:val="TableParagraph"/>
              <w:spacing w:before="26"/>
              <w:ind w:left="105"/>
              <w:jc w:val="left"/>
              <w:rPr>
                <w:sz w:val="20"/>
              </w:rPr>
            </w:pPr>
            <w:r>
              <w:rPr>
                <w:sz w:val="20"/>
              </w:rPr>
              <w:t>Tuticorin TPS</w:t>
            </w:r>
          </w:p>
        </w:tc>
        <w:tc>
          <w:tcPr>
            <w:tcW w:w="1399" w:type="dxa"/>
          </w:tcPr>
          <w:p w:rsidR="007C5447" w:rsidRDefault="00F6308C">
            <w:pPr>
              <w:pStyle w:val="TableParagraph"/>
              <w:spacing w:before="26"/>
              <w:ind w:right="94"/>
              <w:rPr>
                <w:sz w:val="20"/>
              </w:rPr>
            </w:pPr>
            <w:r>
              <w:rPr>
                <w:w w:val="95"/>
                <w:sz w:val="20"/>
              </w:rPr>
              <w:t>178.55</w:t>
            </w:r>
          </w:p>
        </w:tc>
        <w:tc>
          <w:tcPr>
            <w:tcW w:w="1546" w:type="dxa"/>
          </w:tcPr>
          <w:p w:rsidR="007C5447" w:rsidRDefault="00F6308C">
            <w:pPr>
              <w:pStyle w:val="TableParagraph"/>
              <w:spacing w:before="26"/>
              <w:ind w:right="191"/>
              <w:rPr>
                <w:sz w:val="20"/>
              </w:rPr>
            </w:pPr>
            <w:r>
              <w:rPr>
                <w:w w:val="95"/>
                <w:sz w:val="20"/>
              </w:rPr>
              <w:t>261.42</w:t>
            </w:r>
          </w:p>
        </w:tc>
        <w:tc>
          <w:tcPr>
            <w:tcW w:w="1442" w:type="dxa"/>
          </w:tcPr>
          <w:p w:rsidR="007C5447" w:rsidRDefault="00F6308C">
            <w:pPr>
              <w:pStyle w:val="TableParagraph"/>
              <w:spacing w:before="26"/>
              <w:ind w:right="96"/>
              <w:rPr>
                <w:sz w:val="20"/>
              </w:rPr>
            </w:pPr>
            <w:r>
              <w:rPr>
                <w:w w:val="95"/>
                <w:sz w:val="20"/>
              </w:rPr>
              <w:t>237.68</w:t>
            </w:r>
          </w:p>
        </w:tc>
        <w:tc>
          <w:tcPr>
            <w:tcW w:w="1284" w:type="dxa"/>
          </w:tcPr>
          <w:p w:rsidR="007C5447" w:rsidRDefault="00F6308C">
            <w:pPr>
              <w:pStyle w:val="TableParagraph"/>
              <w:spacing w:before="26"/>
              <w:ind w:right="192"/>
              <w:rPr>
                <w:sz w:val="20"/>
              </w:rPr>
            </w:pPr>
            <w:r>
              <w:rPr>
                <w:w w:val="95"/>
                <w:sz w:val="20"/>
              </w:rPr>
              <w:t>182.36</w:t>
            </w:r>
          </w:p>
        </w:tc>
        <w:tc>
          <w:tcPr>
            <w:tcW w:w="1563" w:type="dxa"/>
          </w:tcPr>
          <w:p w:rsidR="007C5447" w:rsidRDefault="00F6308C">
            <w:pPr>
              <w:pStyle w:val="TableParagraph"/>
              <w:spacing w:before="26"/>
              <w:ind w:right="192"/>
              <w:rPr>
                <w:sz w:val="20"/>
              </w:rPr>
            </w:pPr>
            <w:r>
              <w:rPr>
                <w:w w:val="95"/>
                <w:sz w:val="20"/>
              </w:rPr>
              <w:t>316.49</w:t>
            </w:r>
          </w:p>
        </w:tc>
        <w:tc>
          <w:tcPr>
            <w:tcW w:w="1567" w:type="dxa"/>
          </w:tcPr>
          <w:p w:rsidR="007C5447" w:rsidRDefault="00F6308C">
            <w:pPr>
              <w:pStyle w:val="TableParagraph"/>
              <w:spacing w:before="26"/>
              <w:ind w:right="192"/>
              <w:rPr>
                <w:sz w:val="20"/>
              </w:rPr>
            </w:pPr>
            <w:r>
              <w:rPr>
                <w:w w:val="95"/>
                <w:sz w:val="20"/>
              </w:rPr>
              <w:t>292.37</w:t>
            </w:r>
          </w:p>
        </w:tc>
      </w:tr>
      <w:tr w:rsidR="007C5447">
        <w:trPr>
          <w:trHeight w:val="287"/>
        </w:trPr>
        <w:tc>
          <w:tcPr>
            <w:tcW w:w="1027" w:type="dxa"/>
          </w:tcPr>
          <w:p w:rsidR="007C5447" w:rsidRDefault="00F6308C">
            <w:pPr>
              <w:pStyle w:val="TableParagraph"/>
              <w:spacing w:before="29"/>
              <w:ind w:left="8"/>
              <w:jc w:val="center"/>
              <w:rPr>
                <w:sz w:val="20"/>
              </w:rPr>
            </w:pPr>
            <w:r>
              <w:rPr>
                <w:w w:val="99"/>
                <w:sz w:val="20"/>
              </w:rPr>
              <w:t>3</w:t>
            </w:r>
          </w:p>
        </w:tc>
        <w:tc>
          <w:tcPr>
            <w:tcW w:w="2688" w:type="dxa"/>
          </w:tcPr>
          <w:p w:rsidR="007C5447" w:rsidRDefault="00F6308C">
            <w:pPr>
              <w:pStyle w:val="TableParagraph"/>
              <w:spacing w:before="29"/>
              <w:ind w:left="105"/>
              <w:jc w:val="left"/>
              <w:rPr>
                <w:sz w:val="20"/>
              </w:rPr>
            </w:pPr>
            <w:r>
              <w:rPr>
                <w:sz w:val="20"/>
              </w:rPr>
              <w:t>Mettur TPS</w:t>
            </w:r>
          </w:p>
        </w:tc>
        <w:tc>
          <w:tcPr>
            <w:tcW w:w="1399" w:type="dxa"/>
          </w:tcPr>
          <w:p w:rsidR="007C5447" w:rsidRDefault="00F6308C">
            <w:pPr>
              <w:pStyle w:val="TableParagraph"/>
              <w:spacing w:before="29"/>
              <w:ind w:right="94"/>
              <w:rPr>
                <w:sz w:val="20"/>
              </w:rPr>
            </w:pPr>
            <w:r>
              <w:rPr>
                <w:w w:val="95"/>
                <w:sz w:val="20"/>
              </w:rPr>
              <w:t>150.84</w:t>
            </w:r>
          </w:p>
        </w:tc>
        <w:tc>
          <w:tcPr>
            <w:tcW w:w="1546" w:type="dxa"/>
          </w:tcPr>
          <w:p w:rsidR="007C5447" w:rsidRDefault="00F6308C">
            <w:pPr>
              <w:pStyle w:val="TableParagraph"/>
              <w:spacing w:before="29"/>
              <w:ind w:right="191"/>
              <w:rPr>
                <w:sz w:val="20"/>
              </w:rPr>
            </w:pPr>
            <w:r>
              <w:rPr>
                <w:w w:val="95"/>
                <w:sz w:val="20"/>
              </w:rPr>
              <w:t>234.14</w:t>
            </w:r>
          </w:p>
        </w:tc>
        <w:tc>
          <w:tcPr>
            <w:tcW w:w="1442" w:type="dxa"/>
          </w:tcPr>
          <w:p w:rsidR="007C5447" w:rsidRDefault="00F6308C">
            <w:pPr>
              <w:pStyle w:val="TableParagraph"/>
              <w:spacing w:before="29"/>
              <w:ind w:right="96"/>
              <w:rPr>
                <w:sz w:val="20"/>
              </w:rPr>
            </w:pPr>
            <w:r>
              <w:rPr>
                <w:w w:val="95"/>
                <w:sz w:val="20"/>
              </w:rPr>
              <w:t>212.88</w:t>
            </w:r>
          </w:p>
        </w:tc>
        <w:tc>
          <w:tcPr>
            <w:tcW w:w="1284" w:type="dxa"/>
          </w:tcPr>
          <w:p w:rsidR="007C5447" w:rsidRDefault="00F6308C">
            <w:pPr>
              <w:pStyle w:val="TableParagraph"/>
              <w:spacing w:before="29"/>
              <w:ind w:right="192"/>
              <w:rPr>
                <w:sz w:val="20"/>
              </w:rPr>
            </w:pPr>
            <w:r>
              <w:rPr>
                <w:w w:val="95"/>
                <w:sz w:val="20"/>
              </w:rPr>
              <w:t>154.04</w:t>
            </w:r>
          </w:p>
        </w:tc>
        <w:tc>
          <w:tcPr>
            <w:tcW w:w="1563" w:type="dxa"/>
          </w:tcPr>
          <w:p w:rsidR="007C5447" w:rsidRDefault="00F6308C">
            <w:pPr>
              <w:pStyle w:val="TableParagraph"/>
              <w:spacing w:before="29"/>
              <w:ind w:right="192"/>
              <w:rPr>
                <w:sz w:val="20"/>
              </w:rPr>
            </w:pPr>
            <w:r>
              <w:rPr>
                <w:w w:val="95"/>
                <w:sz w:val="20"/>
              </w:rPr>
              <w:t>241.95</w:t>
            </w:r>
          </w:p>
        </w:tc>
        <w:tc>
          <w:tcPr>
            <w:tcW w:w="1567" w:type="dxa"/>
          </w:tcPr>
          <w:p w:rsidR="007C5447" w:rsidRDefault="00F6308C">
            <w:pPr>
              <w:pStyle w:val="TableParagraph"/>
              <w:spacing w:before="29"/>
              <w:ind w:right="192"/>
              <w:rPr>
                <w:sz w:val="20"/>
              </w:rPr>
            </w:pPr>
            <w:r>
              <w:rPr>
                <w:w w:val="95"/>
                <w:sz w:val="20"/>
              </w:rPr>
              <w:t>223.51</w:t>
            </w:r>
          </w:p>
        </w:tc>
      </w:tr>
      <w:tr w:rsidR="007C5447">
        <w:trPr>
          <w:trHeight w:val="288"/>
        </w:trPr>
        <w:tc>
          <w:tcPr>
            <w:tcW w:w="1027" w:type="dxa"/>
          </w:tcPr>
          <w:p w:rsidR="007C5447" w:rsidRDefault="00F6308C">
            <w:pPr>
              <w:pStyle w:val="TableParagraph"/>
              <w:spacing w:before="29"/>
              <w:ind w:left="8"/>
              <w:jc w:val="center"/>
              <w:rPr>
                <w:sz w:val="20"/>
              </w:rPr>
            </w:pPr>
            <w:r>
              <w:rPr>
                <w:w w:val="99"/>
                <w:sz w:val="20"/>
              </w:rPr>
              <w:t>4</w:t>
            </w:r>
          </w:p>
        </w:tc>
        <w:tc>
          <w:tcPr>
            <w:tcW w:w="2688" w:type="dxa"/>
          </w:tcPr>
          <w:p w:rsidR="007C5447" w:rsidRDefault="00F6308C">
            <w:pPr>
              <w:pStyle w:val="TableParagraph"/>
              <w:spacing w:before="29"/>
              <w:ind w:left="105"/>
              <w:jc w:val="left"/>
              <w:rPr>
                <w:sz w:val="20"/>
              </w:rPr>
            </w:pPr>
            <w:r>
              <w:rPr>
                <w:sz w:val="20"/>
              </w:rPr>
              <w:t>North Chennai TPS</w:t>
            </w:r>
          </w:p>
        </w:tc>
        <w:tc>
          <w:tcPr>
            <w:tcW w:w="1399" w:type="dxa"/>
          </w:tcPr>
          <w:p w:rsidR="007C5447" w:rsidRDefault="00F6308C">
            <w:pPr>
              <w:pStyle w:val="TableParagraph"/>
              <w:spacing w:before="29"/>
              <w:ind w:right="94"/>
              <w:rPr>
                <w:sz w:val="20"/>
              </w:rPr>
            </w:pPr>
            <w:r>
              <w:rPr>
                <w:w w:val="95"/>
                <w:sz w:val="20"/>
              </w:rPr>
              <w:t>152.08</w:t>
            </w:r>
          </w:p>
        </w:tc>
        <w:tc>
          <w:tcPr>
            <w:tcW w:w="1546" w:type="dxa"/>
          </w:tcPr>
          <w:p w:rsidR="007C5447" w:rsidRDefault="00F6308C">
            <w:pPr>
              <w:pStyle w:val="TableParagraph"/>
              <w:spacing w:before="29"/>
              <w:ind w:right="191"/>
              <w:rPr>
                <w:sz w:val="20"/>
              </w:rPr>
            </w:pPr>
            <w:r>
              <w:rPr>
                <w:w w:val="95"/>
                <w:sz w:val="20"/>
              </w:rPr>
              <w:t>259.35</w:t>
            </w:r>
          </w:p>
        </w:tc>
        <w:tc>
          <w:tcPr>
            <w:tcW w:w="1442" w:type="dxa"/>
          </w:tcPr>
          <w:p w:rsidR="007C5447" w:rsidRDefault="00F6308C">
            <w:pPr>
              <w:pStyle w:val="TableParagraph"/>
              <w:spacing w:before="29"/>
              <w:ind w:right="96"/>
              <w:rPr>
                <w:sz w:val="20"/>
              </w:rPr>
            </w:pPr>
            <w:r>
              <w:rPr>
                <w:w w:val="95"/>
                <w:sz w:val="20"/>
              </w:rPr>
              <w:t>235.79</w:t>
            </w:r>
          </w:p>
        </w:tc>
        <w:tc>
          <w:tcPr>
            <w:tcW w:w="1284" w:type="dxa"/>
          </w:tcPr>
          <w:p w:rsidR="007C5447" w:rsidRDefault="00F6308C">
            <w:pPr>
              <w:pStyle w:val="TableParagraph"/>
              <w:spacing w:before="29"/>
              <w:ind w:right="192"/>
              <w:rPr>
                <w:sz w:val="20"/>
              </w:rPr>
            </w:pPr>
            <w:r>
              <w:rPr>
                <w:w w:val="95"/>
                <w:sz w:val="20"/>
              </w:rPr>
              <w:t>155.40</w:t>
            </w:r>
          </w:p>
        </w:tc>
        <w:tc>
          <w:tcPr>
            <w:tcW w:w="1563" w:type="dxa"/>
          </w:tcPr>
          <w:p w:rsidR="007C5447" w:rsidRDefault="00F6308C">
            <w:pPr>
              <w:pStyle w:val="TableParagraph"/>
              <w:spacing w:before="29"/>
              <w:ind w:right="192"/>
              <w:rPr>
                <w:sz w:val="20"/>
              </w:rPr>
            </w:pPr>
            <w:r>
              <w:rPr>
                <w:w w:val="95"/>
                <w:sz w:val="20"/>
              </w:rPr>
              <w:t>225.72</w:t>
            </w:r>
          </w:p>
        </w:tc>
        <w:tc>
          <w:tcPr>
            <w:tcW w:w="1567" w:type="dxa"/>
          </w:tcPr>
          <w:p w:rsidR="007C5447" w:rsidRDefault="00F6308C">
            <w:pPr>
              <w:pStyle w:val="TableParagraph"/>
              <w:spacing w:before="29"/>
              <w:ind w:right="192"/>
              <w:rPr>
                <w:sz w:val="20"/>
              </w:rPr>
            </w:pPr>
            <w:r>
              <w:rPr>
                <w:w w:val="95"/>
                <w:sz w:val="20"/>
              </w:rPr>
              <w:t>208.52</w:t>
            </w:r>
          </w:p>
        </w:tc>
      </w:tr>
      <w:tr w:rsidR="007C5447">
        <w:trPr>
          <w:trHeight w:val="287"/>
        </w:trPr>
        <w:tc>
          <w:tcPr>
            <w:tcW w:w="1027" w:type="dxa"/>
          </w:tcPr>
          <w:p w:rsidR="007C5447" w:rsidRDefault="00F6308C">
            <w:pPr>
              <w:pStyle w:val="TableParagraph"/>
              <w:spacing w:before="29"/>
              <w:ind w:left="8"/>
              <w:jc w:val="center"/>
              <w:rPr>
                <w:sz w:val="20"/>
              </w:rPr>
            </w:pPr>
            <w:r>
              <w:rPr>
                <w:w w:val="99"/>
                <w:sz w:val="20"/>
              </w:rPr>
              <w:t>5</w:t>
            </w:r>
          </w:p>
        </w:tc>
        <w:tc>
          <w:tcPr>
            <w:tcW w:w="2688" w:type="dxa"/>
          </w:tcPr>
          <w:p w:rsidR="007C5447" w:rsidRDefault="00F6308C">
            <w:pPr>
              <w:pStyle w:val="TableParagraph"/>
              <w:spacing w:before="29"/>
              <w:ind w:left="105"/>
              <w:jc w:val="left"/>
              <w:rPr>
                <w:sz w:val="20"/>
              </w:rPr>
            </w:pPr>
            <w:r>
              <w:rPr>
                <w:sz w:val="20"/>
              </w:rPr>
              <w:t>Mettur TPS Stage III</w:t>
            </w:r>
          </w:p>
        </w:tc>
        <w:tc>
          <w:tcPr>
            <w:tcW w:w="1399" w:type="dxa"/>
          </w:tcPr>
          <w:p w:rsidR="007C5447" w:rsidRDefault="00F6308C">
            <w:pPr>
              <w:pStyle w:val="TableParagraph"/>
              <w:spacing w:before="29"/>
              <w:ind w:right="94"/>
              <w:rPr>
                <w:sz w:val="20"/>
              </w:rPr>
            </w:pPr>
            <w:r>
              <w:rPr>
                <w:sz w:val="20"/>
              </w:rPr>
              <w:t>37.53</w:t>
            </w:r>
          </w:p>
        </w:tc>
        <w:tc>
          <w:tcPr>
            <w:tcW w:w="1546" w:type="dxa"/>
          </w:tcPr>
          <w:p w:rsidR="007C5447" w:rsidRDefault="00F6308C">
            <w:pPr>
              <w:pStyle w:val="TableParagraph"/>
              <w:spacing w:before="29"/>
              <w:ind w:right="191"/>
              <w:rPr>
                <w:sz w:val="20"/>
              </w:rPr>
            </w:pPr>
            <w:r>
              <w:rPr>
                <w:w w:val="95"/>
                <w:sz w:val="20"/>
              </w:rPr>
              <w:t>50.29</w:t>
            </w:r>
          </w:p>
        </w:tc>
        <w:tc>
          <w:tcPr>
            <w:tcW w:w="1442" w:type="dxa"/>
          </w:tcPr>
          <w:p w:rsidR="007C5447" w:rsidRDefault="00F6308C">
            <w:pPr>
              <w:pStyle w:val="TableParagraph"/>
              <w:spacing w:before="29"/>
              <w:ind w:right="96"/>
              <w:rPr>
                <w:sz w:val="20"/>
              </w:rPr>
            </w:pPr>
            <w:r>
              <w:rPr>
                <w:w w:val="95"/>
                <w:sz w:val="20"/>
              </w:rPr>
              <w:t>40.35</w:t>
            </w:r>
          </w:p>
        </w:tc>
        <w:tc>
          <w:tcPr>
            <w:tcW w:w="1284" w:type="dxa"/>
          </w:tcPr>
          <w:p w:rsidR="007C5447" w:rsidRDefault="00F6308C">
            <w:pPr>
              <w:pStyle w:val="TableParagraph"/>
              <w:spacing w:before="29"/>
              <w:ind w:right="192"/>
              <w:rPr>
                <w:sz w:val="20"/>
              </w:rPr>
            </w:pPr>
            <w:r>
              <w:rPr>
                <w:w w:val="95"/>
                <w:sz w:val="20"/>
              </w:rPr>
              <w:t>38.40</w:t>
            </w:r>
          </w:p>
        </w:tc>
        <w:tc>
          <w:tcPr>
            <w:tcW w:w="1563" w:type="dxa"/>
          </w:tcPr>
          <w:p w:rsidR="007C5447" w:rsidRDefault="00F6308C">
            <w:pPr>
              <w:pStyle w:val="TableParagraph"/>
              <w:spacing w:before="29"/>
              <w:ind w:right="190"/>
              <w:rPr>
                <w:sz w:val="20"/>
              </w:rPr>
            </w:pPr>
            <w:r>
              <w:rPr>
                <w:w w:val="95"/>
                <w:sz w:val="20"/>
              </w:rPr>
              <w:t>(26.93)</w:t>
            </w:r>
          </w:p>
        </w:tc>
        <w:tc>
          <w:tcPr>
            <w:tcW w:w="1567" w:type="dxa"/>
          </w:tcPr>
          <w:p w:rsidR="007C5447" w:rsidRDefault="00F6308C">
            <w:pPr>
              <w:pStyle w:val="TableParagraph"/>
              <w:spacing w:before="29"/>
              <w:ind w:right="192"/>
              <w:rPr>
                <w:sz w:val="20"/>
              </w:rPr>
            </w:pPr>
            <w:r>
              <w:rPr>
                <w:w w:val="95"/>
                <w:sz w:val="20"/>
              </w:rPr>
              <w:t>42.66</w:t>
            </w:r>
          </w:p>
        </w:tc>
      </w:tr>
      <w:tr w:rsidR="007C5447">
        <w:trPr>
          <w:trHeight w:val="285"/>
        </w:trPr>
        <w:tc>
          <w:tcPr>
            <w:tcW w:w="1027" w:type="dxa"/>
          </w:tcPr>
          <w:p w:rsidR="007C5447" w:rsidRDefault="00F6308C">
            <w:pPr>
              <w:pStyle w:val="TableParagraph"/>
              <w:spacing w:before="26"/>
              <w:ind w:left="8"/>
              <w:jc w:val="center"/>
              <w:rPr>
                <w:sz w:val="20"/>
              </w:rPr>
            </w:pPr>
            <w:r>
              <w:rPr>
                <w:w w:val="99"/>
                <w:sz w:val="20"/>
              </w:rPr>
              <w:t>6</w:t>
            </w:r>
          </w:p>
        </w:tc>
        <w:tc>
          <w:tcPr>
            <w:tcW w:w="2688" w:type="dxa"/>
          </w:tcPr>
          <w:p w:rsidR="007C5447" w:rsidRDefault="00F6308C">
            <w:pPr>
              <w:pStyle w:val="TableParagraph"/>
              <w:spacing w:before="26"/>
              <w:ind w:left="105"/>
              <w:jc w:val="left"/>
              <w:rPr>
                <w:sz w:val="20"/>
              </w:rPr>
            </w:pPr>
            <w:r>
              <w:rPr>
                <w:sz w:val="20"/>
              </w:rPr>
              <w:t>NCTPS Stage II</w:t>
            </w:r>
          </w:p>
        </w:tc>
        <w:tc>
          <w:tcPr>
            <w:tcW w:w="1399" w:type="dxa"/>
          </w:tcPr>
          <w:p w:rsidR="007C5447" w:rsidRDefault="00F6308C">
            <w:pPr>
              <w:pStyle w:val="TableParagraph"/>
              <w:spacing w:before="26"/>
              <w:ind w:right="94"/>
              <w:rPr>
                <w:sz w:val="20"/>
              </w:rPr>
            </w:pPr>
            <w:r>
              <w:rPr>
                <w:sz w:val="20"/>
              </w:rPr>
              <w:t>57.38</w:t>
            </w:r>
          </w:p>
        </w:tc>
        <w:tc>
          <w:tcPr>
            <w:tcW w:w="1546" w:type="dxa"/>
          </w:tcPr>
          <w:p w:rsidR="007C5447" w:rsidRDefault="00F6308C">
            <w:pPr>
              <w:pStyle w:val="TableParagraph"/>
              <w:spacing w:before="26"/>
              <w:ind w:right="191"/>
              <w:rPr>
                <w:sz w:val="20"/>
              </w:rPr>
            </w:pPr>
            <w:r>
              <w:rPr>
                <w:w w:val="95"/>
                <w:sz w:val="20"/>
              </w:rPr>
              <w:t>27.78</w:t>
            </w:r>
          </w:p>
        </w:tc>
        <w:tc>
          <w:tcPr>
            <w:tcW w:w="1442" w:type="dxa"/>
          </w:tcPr>
          <w:p w:rsidR="007C5447" w:rsidRDefault="00F6308C">
            <w:pPr>
              <w:pStyle w:val="TableParagraph"/>
              <w:spacing w:before="26"/>
              <w:ind w:right="96"/>
              <w:rPr>
                <w:sz w:val="20"/>
              </w:rPr>
            </w:pPr>
            <w:r>
              <w:rPr>
                <w:w w:val="95"/>
                <w:sz w:val="20"/>
              </w:rPr>
              <w:t>64.52</w:t>
            </w:r>
          </w:p>
        </w:tc>
        <w:tc>
          <w:tcPr>
            <w:tcW w:w="1284" w:type="dxa"/>
          </w:tcPr>
          <w:p w:rsidR="007C5447" w:rsidRDefault="00F6308C">
            <w:pPr>
              <w:pStyle w:val="TableParagraph"/>
              <w:spacing w:before="26"/>
              <w:ind w:right="192"/>
              <w:rPr>
                <w:sz w:val="20"/>
              </w:rPr>
            </w:pPr>
            <w:r>
              <w:rPr>
                <w:w w:val="95"/>
                <w:sz w:val="20"/>
              </w:rPr>
              <w:t>62.88</w:t>
            </w:r>
          </w:p>
        </w:tc>
        <w:tc>
          <w:tcPr>
            <w:tcW w:w="1563" w:type="dxa"/>
          </w:tcPr>
          <w:p w:rsidR="007C5447" w:rsidRDefault="00F6308C">
            <w:pPr>
              <w:pStyle w:val="TableParagraph"/>
              <w:spacing w:before="26"/>
              <w:ind w:right="192"/>
              <w:rPr>
                <w:sz w:val="20"/>
              </w:rPr>
            </w:pPr>
            <w:r>
              <w:rPr>
                <w:w w:val="95"/>
                <w:sz w:val="20"/>
              </w:rPr>
              <w:t>166.59</w:t>
            </w:r>
          </w:p>
        </w:tc>
        <w:tc>
          <w:tcPr>
            <w:tcW w:w="1567" w:type="dxa"/>
          </w:tcPr>
          <w:p w:rsidR="007C5447" w:rsidRDefault="00F6308C">
            <w:pPr>
              <w:pStyle w:val="TableParagraph"/>
              <w:spacing w:before="26"/>
              <w:ind w:right="192"/>
              <w:rPr>
                <w:sz w:val="20"/>
              </w:rPr>
            </w:pPr>
            <w:r>
              <w:rPr>
                <w:w w:val="95"/>
                <w:sz w:val="20"/>
              </w:rPr>
              <w:t>71.69</w:t>
            </w:r>
          </w:p>
        </w:tc>
      </w:tr>
      <w:tr w:rsidR="007C5447">
        <w:trPr>
          <w:trHeight w:val="287"/>
        </w:trPr>
        <w:tc>
          <w:tcPr>
            <w:tcW w:w="1027" w:type="dxa"/>
          </w:tcPr>
          <w:p w:rsidR="007C5447" w:rsidRDefault="00F6308C">
            <w:pPr>
              <w:pStyle w:val="TableParagraph"/>
              <w:spacing w:before="29"/>
              <w:ind w:left="8"/>
              <w:jc w:val="center"/>
              <w:rPr>
                <w:sz w:val="20"/>
              </w:rPr>
            </w:pPr>
            <w:r>
              <w:rPr>
                <w:w w:val="99"/>
                <w:sz w:val="20"/>
              </w:rPr>
              <w:t>7</w:t>
            </w:r>
          </w:p>
        </w:tc>
        <w:tc>
          <w:tcPr>
            <w:tcW w:w="2688" w:type="dxa"/>
          </w:tcPr>
          <w:p w:rsidR="007C5447" w:rsidRDefault="00F6308C">
            <w:pPr>
              <w:pStyle w:val="TableParagraph"/>
              <w:spacing w:before="29"/>
              <w:ind w:left="105"/>
              <w:jc w:val="left"/>
              <w:rPr>
                <w:sz w:val="20"/>
              </w:rPr>
            </w:pPr>
            <w:r>
              <w:rPr>
                <w:sz w:val="20"/>
              </w:rPr>
              <w:t>Ennore Expansion</w:t>
            </w:r>
          </w:p>
        </w:tc>
        <w:tc>
          <w:tcPr>
            <w:tcW w:w="1399" w:type="dxa"/>
          </w:tcPr>
          <w:p w:rsidR="007C5447" w:rsidRDefault="00F6308C">
            <w:pPr>
              <w:pStyle w:val="TableParagraph"/>
              <w:spacing w:before="29"/>
              <w:ind w:right="96"/>
              <w:rPr>
                <w:sz w:val="20"/>
              </w:rPr>
            </w:pPr>
            <w:r>
              <w:rPr>
                <w:w w:val="99"/>
                <w:sz w:val="20"/>
              </w:rPr>
              <w:t>-</w:t>
            </w:r>
          </w:p>
        </w:tc>
        <w:tc>
          <w:tcPr>
            <w:tcW w:w="1546" w:type="dxa"/>
          </w:tcPr>
          <w:p w:rsidR="007C5447" w:rsidRDefault="00F6308C">
            <w:pPr>
              <w:pStyle w:val="TableParagraph"/>
              <w:spacing w:before="29"/>
              <w:ind w:right="190"/>
              <w:rPr>
                <w:sz w:val="20"/>
              </w:rPr>
            </w:pPr>
            <w:r>
              <w:rPr>
                <w:w w:val="99"/>
                <w:sz w:val="20"/>
              </w:rPr>
              <w:t>-</w:t>
            </w:r>
          </w:p>
        </w:tc>
        <w:tc>
          <w:tcPr>
            <w:tcW w:w="1442" w:type="dxa"/>
          </w:tcPr>
          <w:p w:rsidR="007C5447" w:rsidRDefault="007C5447">
            <w:pPr>
              <w:pStyle w:val="TableParagraph"/>
              <w:jc w:val="left"/>
              <w:rPr>
                <w:sz w:val="20"/>
              </w:rPr>
            </w:pPr>
          </w:p>
        </w:tc>
        <w:tc>
          <w:tcPr>
            <w:tcW w:w="1284" w:type="dxa"/>
          </w:tcPr>
          <w:p w:rsidR="007C5447" w:rsidRDefault="00F6308C">
            <w:pPr>
              <w:pStyle w:val="TableParagraph"/>
              <w:spacing w:before="29"/>
              <w:ind w:right="190"/>
              <w:rPr>
                <w:sz w:val="20"/>
              </w:rPr>
            </w:pPr>
            <w:r>
              <w:rPr>
                <w:sz w:val="20"/>
              </w:rPr>
              <w:t>10.03</w:t>
            </w:r>
          </w:p>
        </w:tc>
        <w:tc>
          <w:tcPr>
            <w:tcW w:w="1563" w:type="dxa"/>
          </w:tcPr>
          <w:p w:rsidR="007C5447" w:rsidRDefault="00F6308C">
            <w:pPr>
              <w:pStyle w:val="TableParagraph"/>
              <w:spacing w:before="29"/>
              <w:ind w:right="191"/>
              <w:rPr>
                <w:sz w:val="20"/>
              </w:rPr>
            </w:pPr>
            <w:r>
              <w:rPr>
                <w:w w:val="99"/>
                <w:sz w:val="20"/>
              </w:rPr>
              <w:t>-</w:t>
            </w:r>
          </w:p>
        </w:tc>
        <w:tc>
          <w:tcPr>
            <w:tcW w:w="1567" w:type="dxa"/>
          </w:tcPr>
          <w:p w:rsidR="007C5447" w:rsidRDefault="007C5447">
            <w:pPr>
              <w:pStyle w:val="TableParagraph"/>
              <w:jc w:val="left"/>
              <w:rPr>
                <w:sz w:val="20"/>
              </w:rPr>
            </w:pPr>
          </w:p>
        </w:tc>
      </w:tr>
      <w:tr w:rsidR="007C5447">
        <w:trPr>
          <w:trHeight w:val="287"/>
        </w:trPr>
        <w:tc>
          <w:tcPr>
            <w:tcW w:w="1027" w:type="dxa"/>
          </w:tcPr>
          <w:p w:rsidR="007C5447" w:rsidRDefault="00F6308C">
            <w:pPr>
              <w:pStyle w:val="TableParagraph"/>
              <w:spacing w:before="29"/>
              <w:ind w:left="8"/>
              <w:jc w:val="center"/>
              <w:rPr>
                <w:sz w:val="20"/>
              </w:rPr>
            </w:pPr>
            <w:r>
              <w:rPr>
                <w:w w:val="99"/>
                <w:sz w:val="20"/>
              </w:rPr>
              <w:t>8</w:t>
            </w:r>
          </w:p>
        </w:tc>
        <w:tc>
          <w:tcPr>
            <w:tcW w:w="2688" w:type="dxa"/>
          </w:tcPr>
          <w:p w:rsidR="007C5447" w:rsidRDefault="00F6308C">
            <w:pPr>
              <w:pStyle w:val="TableParagraph"/>
              <w:spacing w:before="29"/>
              <w:ind w:left="105"/>
              <w:jc w:val="left"/>
              <w:rPr>
                <w:sz w:val="20"/>
              </w:rPr>
            </w:pPr>
            <w:r>
              <w:rPr>
                <w:sz w:val="20"/>
              </w:rPr>
              <w:t>Tirumakottai GTPS</w:t>
            </w:r>
          </w:p>
        </w:tc>
        <w:tc>
          <w:tcPr>
            <w:tcW w:w="1399" w:type="dxa"/>
          </w:tcPr>
          <w:p w:rsidR="007C5447" w:rsidRDefault="00F6308C">
            <w:pPr>
              <w:pStyle w:val="TableParagraph"/>
              <w:spacing w:before="29"/>
              <w:ind w:right="94"/>
              <w:rPr>
                <w:sz w:val="20"/>
              </w:rPr>
            </w:pPr>
            <w:r>
              <w:rPr>
                <w:sz w:val="20"/>
              </w:rPr>
              <w:t>13.07</w:t>
            </w:r>
          </w:p>
        </w:tc>
        <w:tc>
          <w:tcPr>
            <w:tcW w:w="1546" w:type="dxa"/>
          </w:tcPr>
          <w:p w:rsidR="007C5447" w:rsidRDefault="00F6308C">
            <w:pPr>
              <w:pStyle w:val="TableParagraph"/>
              <w:spacing w:before="29"/>
              <w:ind w:right="191"/>
              <w:rPr>
                <w:sz w:val="20"/>
              </w:rPr>
            </w:pPr>
            <w:r>
              <w:rPr>
                <w:sz w:val="20"/>
              </w:rPr>
              <w:t>5.44</w:t>
            </w:r>
          </w:p>
        </w:tc>
        <w:tc>
          <w:tcPr>
            <w:tcW w:w="1442" w:type="dxa"/>
          </w:tcPr>
          <w:p w:rsidR="007C5447" w:rsidRDefault="00F6308C">
            <w:pPr>
              <w:pStyle w:val="TableParagraph"/>
              <w:spacing w:before="29"/>
              <w:ind w:right="96"/>
              <w:rPr>
                <w:sz w:val="20"/>
              </w:rPr>
            </w:pPr>
            <w:r>
              <w:rPr>
                <w:sz w:val="20"/>
              </w:rPr>
              <w:t>4.95</w:t>
            </w:r>
          </w:p>
        </w:tc>
        <w:tc>
          <w:tcPr>
            <w:tcW w:w="1284" w:type="dxa"/>
          </w:tcPr>
          <w:p w:rsidR="007C5447" w:rsidRDefault="00F6308C">
            <w:pPr>
              <w:pStyle w:val="TableParagraph"/>
              <w:spacing w:before="29"/>
              <w:ind w:right="192"/>
              <w:rPr>
                <w:sz w:val="20"/>
              </w:rPr>
            </w:pPr>
            <w:r>
              <w:rPr>
                <w:w w:val="95"/>
                <w:sz w:val="20"/>
              </w:rPr>
              <w:t>13.36</w:t>
            </w:r>
          </w:p>
        </w:tc>
        <w:tc>
          <w:tcPr>
            <w:tcW w:w="1563" w:type="dxa"/>
          </w:tcPr>
          <w:p w:rsidR="007C5447" w:rsidRDefault="00F6308C">
            <w:pPr>
              <w:pStyle w:val="TableParagraph"/>
              <w:spacing w:before="29"/>
              <w:ind w:right="192"/>
              <w:rPr>
                <w:sz w:val="20"/>
              </w:rPr>
            </w:pPr>
            <w:r>
              <w:rPr>
                <w:w w:val="95"/>
                <w:sz w:val="20"/>
              </w:rPr>
              <w:t>12.68</w:t>
            </w:r>
          </w:p>
        </w:tc>
        <w:tc>
          <w:tcPr>
            <w:tcW w:w="1567" w:type="dxa"/>
          </w:tcPr>
          <w:p w:rsidR="007C5447" w:rsidRDefault="00F6308C">
            <w:pPr>
              <w:pStyle w:val="TableParagraph"/>
              <w:spacing w:before="29"/>
              <w:ind w:right="190"/>
              <w:rPr>
                <w:sz w:val="20"/>
              </w:rPr>
            </w:pPr>
            <w:r>
              <w:rPr>
                <w:sz w:val="20"/>
              </w:rPr>
              <w:t>11.72</w:t>
            </w:r>
          </w:p>
        </w:tc>
      </w:tr>
      <w:tr w:rsidR="007C5447">
        <w:trPr>
          <w:trHeight w:val="287"/>
        </w:trPr>
        <w:tc>
          <w:tcPr>
            <w:tcW w:w="1027" w:type="dxa"/>
          </w:tcPr>
          <w:p w:rsidR="007C5447" w:rsidRDefault="00F6308C">
            <w:pPr>
              <w:pStyle w:val="TableParagraph"/>
              <w:spacing w:before="29"/>
              <w:ind w:left="8"/>
              <w:jc w:val="center"/>
              <w:rPr>
                <w:sz w:val="20"/>
              </w:rPr>
            </w:pPr>
            <w:r>
              <w:rPr>
                <w:w w:val="99"/>
                <w:sz w:val="20"/>
              </w:rPr>
              <w:t>9</w:t>
            </w:r>
          </w:p>
        </w:tc>
        <w:tc>
          <w:tcPr>
            <w:tcW w:w="2688" w:type="dxa"/>
          </w:tcPr>
          <w:p w:rsidR="007C5447" w:rsidRDefault="00F6308C">
            <w:pPr>
              <w:pStyle w:val="TableParagraph"/>
              <w:spacing w:before="29"/>
              <w:ind w:left="105"/>
              <w:jc w:val="left"/>
              <w:rPr>
                <w:sz w:val="20"/>
              </w:rPr>
            </w:pPr>
            <w:r>
              <w:rPr>
                <w:sz w:val="20"/>
              </w:rPr>
              <w:t>Kuttalam GTPS</w:t>
            </w:r>
          </w:p>
        </w:tc>
        <w:tc>
          <w:tcPr>
            <w:tcW w:w="1399" w:type="dxa"/>
          </w:tcPr>
          <w:p w:rsidR="007C5447" w:rsidRDefault="00F6308C">
            <w:pPr>
              <w:pStyle w:val="TableParagraph"/>
              <w:spacing w:before="29"/>
              <w:ind w:right="94"/>
              <w:rPr>
                <w:sz w:val="20"/>
              </w:rPr>
            </w:pPr>
            <w:r>
              <w:rPr>
                <w:sz w:val="20"/>
              </w:rPr>
              <w:t>8.92</w:t>
            </w:r>
          </w:p>
        </w:tc>
        <w:tc>
          <w:tcPr>
            <w:tcW w:w="1546" w:type="dxa"/>
          </w:tcPr>
          <w:p w:rsidR="007C5447" w:rsidRDefault="00F6308C">
            <w:pPr>
              <w:pStyle w:val="TableParagraph"/>
              <w:spacing w:before="29"/>
              <w:ind w:right="191"/>
              <w:rPr>
                <w:sz w:val="20"/>
              </w:rPr>
            </w:pPr>
            <w:r>
              <w:rPr>
                <w:w w:val="95"/>
                <w:sz w:val="20"/>
              </w:rPr>
              <w:t>18.08</w:t>
            </w:r>
          </w:p>
        </w:tc>
        <w:tc>
          <w:tcPr>
            <w:tcW w:w="1442" w:type="dxa"/>
          </w:tcPr>
          <w:p w:rsidR="007C5447" w:rsidRDefault="00F6308C">
            <w:pPr>
              <w:pStyle w:val="TableParagraph"/>
              <w:spacing w:before="29"/>
              <w:ind w:right="96"/>
              <w:rPr>
                <w:sz w:val="20"/>
              </w:rPr>
            </w:pPr>
            <w:r>
              <w:rPr>
                <w:w w:val="95"/>
                <w:sz w:val="20"/>
              </w:rPr>
              <w:t>16.43</w:t>
            </w:r>
          </w:p>
        </w:tc>
        <w:tc>
          <w:tcPr>
            <w:tcW w:w="1284" w:type="dxa"/>
          </w:tcPr>
          <w:p w:rsidR="007C5447" w:rsidRDefault="00F6308C">
            <w:pPr>
              <w:pStyle w:val="TableParagraph"/>
              <w:spacing w:before="29"/>
              <w:ind w:right="192"/>
              <w:rPr>
                <w:sz w:val="20"/>
              </w:rPr>
            </w:pPr>
            <w:r>
              <w:rPr>
                <w:sz w:val="20"/>
              </w:rPr>
              <w:t>9.11</w:t>
            </w:r>
          </w:p>
        </w:tc>
        <w:tc>
          <w:tcPr>
            <w:tcW w:w="1563" w:type="dxa"/>
          </w:tcPr>
          <w:p w:rsidR="007C5447" w:rsidRDefault="00F6308C">
            <w:pPr>
              <w:pStyle w:val="TableParagraph"/>
              <w:spacing w:before="29"/>
              <w:ind w:right="192"/>
              <w:rPr>
                <w:sz w:val="20"/>
              </w:rPr>
            </w:pPr>
            <w:r>
              <w:rPr>
                <w:sz w:val="20"/>
              </w:rPr>
              <w:t>9.58</w:t>
            </w:r>
          </w:p>
        </w:tc>
        <w:tc>
          <w:tcPr>
            <w:tcW w:w="1567" w:type="dxa"/>
          </w:tcPr>
          <w:p w:rsidR="007C5447" w:rsidRDefault="00F6308C">
            <w:pPr>
              <w:pStyle w:val="TableParagraph"/>
              <w:spacing w:before="29"/>
              <w:ind w:right="190"/>
              <w:rPr>
                <w:sz w:val="20"/>
              </w:rPr>
            </w:pPr>
            <w:r>
              <w:rPr>
                <w:sz w:val="20"/>
              </w:rPr>
              <w:t>8.85</w:t>
            </w:r>
          </w:p>
        </w:tc>
      </w:tr>
      <w:tr w:rsidR="007C5447">
        <w:trPr>
          <w:trHeight w:val="285"/>
        </w:trPr>
        <w:tc>
          <w:tcPr>
            <w:tcW w:w="1027" w:type="dxa"/>
          </w:tcPr>
          <w:p w:rsidR="007C5447" w:rsidRDefault="00F6308C">
            <w:pPr>
              <w:pStyle w:val="TableParagraph"/>
              <w:spacing w:before="26"/>
              <w:ind w:left="100" w:right="91"/>
              <w:jc w:val="center"/>
              <w:rPr>
                <w:sz w:val="20"/>
              </w:rPr>
            </w:pPr>
            <w:r>
              <w:rPr>
                <w:sz w:val="20"/>
              </w:rPr>
              <w:t>10</w:t>
            </w:r>
          </w:p>
        </w:tc>
        <w:tc>
          <w:tcPr>
            <w:tcW w:w="2688" w:type="dxa"/>
          </w:tcPr>
          <w:p w:rsidR="007C5447" w:rsidRDefault="00F6308C">
            <w:pPr>
              <w:pStyle w:val="TableParagraph"/>
              <w:spacing w:before="26"/>
              <w:ind w:left="105"/>
              <w:jc w:val="left"/>
              <w:rPr>
                <w:sz w:val="20"/>
              </w:rPr>
            </w:pPr>
            <w:r>
              <w:rPr>
                <w:sz w:val="20"/>
              </w:rPr>
              <w:t>Basin Bridge GTPS</w:t>
            </w:r>
          </w:p>
        </w:tc>
        <w:tc>
          <w:tcPr>
            <w:tcW w:w="1399" w:type="dxa"/>
          </w:tcPr>
          <w:p w:rsidR="007C5447" w:rsidRDefault="00F6308C">
            <w:pPr>
              <w:pStyle w:val="TableParagraph"/>
              <w:spacing w:before="26"/>
              <w:ind w:right="94"/>
              <w:rPr>
                <w:sz w:val="20"/>
              </w:rPr>
            </w:pPr>
            <w:r>
              <w:rPr>
                <w:sz w:val="20"/>
              </w:rPr>
              <w:t>8.95</w:t>
            </w:r>
          </w:p>
        </w:tc>
        <w:tc>
          <w:tcPr>
            <w:tcW w:w="1546" w:type="dxa"/>
          </w:tcPr>
          <w:p w:rsidR="007C5447" w:rsidRDefault="00F6308C">
            <w:pPr>
              <w:pStyle w:val="TableParagraph"/>
              <w:spacing w:before="26"/>
              <w:ind w:right="191"/>
              <w:rPr>
                <w:sz w:val="20"/>
              </w:rPr>
            </w:pPr>
            <w:r>
              <w:rPr>
                <w:sz w:val="20"/>
              </w:rPr>
              <w:t>9.52</w:t>
            </w:r>
          </w:p>
        </w:tc>
        <w:tc>
          <w:tcPr>
            <w:tcW w:w="1442" w:type="dxa"/>
          </w:tcPr>
          <w:p w:rsidR="007C5447" w:rsidRDefault="00F6308C">
            <w:pPr>
              <w:pStyle w:val="TableParagraph"/>
              <w:spacing w:before="26"/>
              <w:ind w:right="96"/>
              <w:rPr>
                <w:sz w:val="20"/>
              </w:rPr>
            </w:pPr>
            <w:r>
              <w:rPr>
                <w:sz w:val="20"/>
              </w:rPr>
              <w:t>8.66</w:t>
            </w:r>
          </w:p>
        </w:tc>
        <w:tc>
          <w:tcPr>
            <w:tcW w:w="1284" w:type="dxa"/>
          </w:tcPr>
          <w:p w:rsidR="007C5447" w:rsidRDefault="00F6308C">
            <w:pPr>
              <w:pStyle w:val="TableParagraph"/>
              <w:spacing w:before="26"/>
              <w:ind w:right="192"/>
              <w:rPr>
                <w:sz w:val="20"/>
              </w:rPr>
            </w:pPr>
            <w:r>
              <w:rPr>
                <w:sz w:val="20"/>
              </w:rPr>
              <w:t>9.14</w:t>
            </w:r>
          </w:p>
        </w:tc>
        <w:tc>
          <w:tcPr>
            <w:tcW w:w="1563" w:type="dxa"/>
          </w:tcPr>
          <w:p w:rsidR="007C5447" w:rsidRDefault="00F6308C">
            <w:pPr>
              <w:pStyle w:val="TableParagraph"/>
              <w:spacing w:before="26"/>
              <w:ind w:right="192"/>
              <w:rPr>
                <w:sz w:val="20"/>
              </w:rPr>
            </w:pPr>
            <w:r>
              <w:rPr>
                <w:sz w:val="20"/>
              </w:rPr>
              <w:t>8.12</w:t>
            </w:r>
          </w:p>
        </w:tc>
        <w:tc>
          <w:tcPr>
            <w:tcW w:w="1567" w:type="dxa"/>
          </w:tcPr>
          <w:p w:rsidR="007C5447" w:rsidRDefault="00F6308C">
            <w:pPr>
              <w:pStyle w:val="TableParagraph"/>
              <w:spacing w:before="26"/>
              <w:ind w:right="191"/>
              <w:rPr>
                <w:sz w:val="20"/>
              </w:rPr>
            </w:pPr>
            <w:r>
              <w:rPr>
                <w:sz w:val="20"/>
              </w:rPr>
              <w:t>7.50</w:t>
            </w:r>
          </w:p>
        </w:tc>
      </w:tr>
      <w:tr w:rsidR="007C5447">
        <w:trPr>
          <w:trHeight w:val="287"/>
        </w:trPr>
        <w:tc>
          <w:tcPr>
            <w:tcW w:w="1027" w:type="dxa"/>
          </w:tcPr>
          <w:p w:rsidR="007C5447" w:rsidRDefault="00F6308C">
            <w:pPr>
              <w:pStyle w:val="TableParagraph"/>
              <w:spacing w:before="29"/>
              <w:ind w:left="100" w:right="91"/>
              <w:jc w:val="center"/>
              <w:rPr>
                <w:sz w:val="20"/>
              </w:rPr>
            </w:pPr>
            <w:r>
              <w:rPr>
                <w:sz w:val="20"/>
              </w:rPr>
              <w:t>11</w:t>
            </w:r>
          </w:p>
        </w:tc>
        <w:tc>
          <w:tcPr>
            <w:tcW w:w="2688" w:type="dxa"/>
          </w:tcPr>
          <w:p w:rsidR="007C5447" w:rsidRDefault="00F6308C">
            <w:pPr>
              <w:pStyle w:val="TableParagraph"/>
              <w:spacing w:before="29"/>
              <w:ind w:left="105"/>
              <w:jc w:val="left"/>
              <w:rPr>
                <w:sz w:val="20"/>
              </w:rPr>
            </w:pPr>
            <w:r>
              <w:rPr>
                <w:sz w:val="20"/>
              </w:rPr>
              <w:t>Valuthur Unit-I</w:t>
            </w:r>
          </w:p>
        </w:tc>
        <w:tc>
          <w:tcPr>
            <w:tcW w:w="1399" w:type="dxa"/>
          </w:tcPr>
          <w:p w:rsidR="007C5447" w:rsidRDefault="00F6308C">
            <w:pPr>
              <w:pStyle w:val="TableParagraph"/>
              <w:spacing w:before="29"/>
              <w:ind w:right="94"/>
              <w:rPr>
                <w:sz w:val="20"/>
              </w:rPr>
            </w:pPr>
            <w:r>
              <w:rPr>
                <w:sz w:val="20"/>
              </w:rPr>
              <w:t>14.20</w:t>
            </w:r>
          </w:p>
        </w:tc>
        <w:tc>
          <w:tcPr>
            <w:tcW w:w="1546" w:type="dxa"/>
          </w:tcPr>
          <w:p w:rsidR="007C5447" w:rsidRDefault="00F6308C">
            <w:pPr>
              <w:pStyle w:val="TableParagraph"/>
              <w:spacing w:before="29"/>
              <w:ind w:right="191"/>
              <w:rPr>
                <w:sz w:val="20"/>
              </w:rPr>
            </w:pPr>
            <w:r>
              <w:rPr>
                <w:sz w:val="20"/>
              </w:rPr>
              <w:t>6.35</w:t>
            </w:r>
          </w:p>
        </w:tc>
        <w:tc>
          <w:tcPr>
            <w:tcW w:w="1442" w:type="dxa"/>
          </w:tcPr>
          <w:p w:rsidR="007C5447" w:rsidRDefault="00F6308C">
            <w:pPr>
              <w:pStyle w:val="TableParagraph"/>
              <w:spacing w:before="29"/>
              <w:ind w:right="96"/>
              <w:rPr>
                <w:sz w:val="20"/>
              </w:rPr>
            </w:pPr>
            <w:r>
              <w:rPr>
                <w:sz w:val="20"/>
              </w:rPr>
              <w:t>5.77</w:t>
            </w:r>
          </w:p>
        </w:tc>
        <w:tc>
          <w:tcPr>
            <w:tcW w:w="1284" w:type="dxa"/>
          </w:tcPr>
          <w:p w:rsidR="007C5447" w:rsidRDefault="00F6308C">
            <w:pPr>
              <w:pStyle w:val="TableParagraph"/>
              <w:spacing w:before="29"/>
              <w:ind w:right="192"/>
              <w:rPr>
                <w:sz w:val="20"/>
              </w:rPr>
            </w:pPr>
            <w:r>
              <w:rPr>
                <w:w w:val="95"/>
                <w:sz w:val="20"/>
              </w:rPr>
              <w:t>14.51</w:t>
            </w:r>
          </w:p>
        </w:tc>
        <w:tc>
          <w:tcPr>
            <w:tcW w:w="1563" w:type="dxa"/>
          </w:tcPr>
          <w:p w:rsidR="007C5447" w:rsidRDefault="00F6308C">
            <w:pPr>
              <w:pStyle w:val="TableParagraph"/>
              <w:spacing w:before="29"/>
              <w:ind w:right="192"/>
              <w:rPr>
                <w:sz w:val="20"/>
              </w:rPr>
            </w:pPr>
            <w:r>
              <w:rPr>
                <w:w w:val="95"/>
                <w:sz w:val="20"/>
              </w:rPr>
              <w:t>12.03</w:t>
            </w:r>
          </w:p>
        </w:tc>
        <w:tc>
          <w:tcPr>
            <w:tcW w:w="1567" w:type="dxa"/>
          </w:tcPr>
          <w:p w:rsidR="007C5447" w:rsidRDefault="00F6308C">
            <w:pPr>
              <w:pStyle w:val="TableParagraph"/>
              <w:spacing w:before="29"/>
              <w:ind w:right="194"/>
              <w:rPr>
                <w:sz w:val="20"/>
              </w:rPr>
            </w:pPr>
            <w:r>
              <w:rPr>
                <w:sz w:val="20"/>
              </w:rPr>
              <w:t>11.11</w:t>
            </w:r>
          </w:p>
        </w:tc>
      </w:tr>
      <w:tr w:rsidR="007C5447">
        <w:trPr>
          <w:trHeight w:val="287"/>
        </w:trPr>
        <w:tc>
          <w:tcPr>
            <w:tcW w:w="1027" w:type="dxa"/>
          </w:tcPr>
          <w:p w:rsidR="007C5447" w:rsidRDefault="00F6308C">
            <w:pPr>
              <w:pStyle w:val="TableParagraph"/>
              <w:spacing w:before="29"/>
              <w:ind w:left="100" w:right="91"/>
              <w:jc w:val="center"/>
              <w:rPr>
                <w:sz w:val="20"/>
              </w:rPr>
            </w:pPr>
            <w:r>
              <w:rPr>
                <w:sz w:val="20"/>
              </w:rPr>
              <w:t>12</w:t>
            </w:r>
          </w:p>
        </w:tc>
        <w:tc>
          <w:tcPr>
            <w:tcW w:w="2688" w:type="dxa"/>
          </w:tcPr>
          <w:p w:rsidR="007C5447" w:rsidRDefault="00F6308C">
            <w:pPr>
              <w:pStyle w:val="TableParagraph"/>
              <w:spacing w:before="29"/>
              <w:ind w:left="105"/>
              <w:jc w:val="left"/>
              <w:rPr>
                <w:sz w:val="20"/>
              </w:rPr>
            </w:pPr>
            <w:r>
              <w:rPr>
                <w:sz w:val="20"/>
              </w:rPr>
              <w:t>Erode HEP</w:t>
            </w:r>
          </w:p>
        </w:tc>
        <w:tc>
          <w:tcPr>
            <w:tcW w:w="1399" w:type="dxa"/>
          </w:tcPr>
          <w:p w:rsidR="007C5447" w:rsidRDefault="00F6308C">
            <w:pPr>
              <w:pStyle w:val="TableParagraph"/>
              <w:spacing w:before="29"/>
              <w:ind w:right="94"/>
              <w:rPr>
                <w:sz w:val="20"/>
              </w:rPr>
            </w:pPr>
            <w:r>
              <w:rPr>
                <w:sz w:val="20"/>
              </w:rPr>
              <w:t>44.87</w:t>
            </w:r>
          </w:p>
        </w:tc>
        <w:tc>
          <w:tcPr>
            <w:tcW w:w="1546" w:type="dxa"/>
          </w:tcPr>
          <w:p w:rsidR="007C5447" w:rsidRDefault="00F6308C">
            <w:pPr>
              <w:pStyle w:val="TableParagraph"/>
              <w:spacing w:before="29"/>
              <w:ind w:right="191"/>
              <w:rPr>
                <w:sz w:val="20"/>
              </w:rPr>
            </w:pPr>
            <w:r>
              <w:rPr>
                <w:w w:val="95"/>
                <w:sz w:val="20"/>
              </w:rPr>
              <w:t>33.19</w:t>
            </w:r>
          </w:p>
        </w:tc>
        <w:tc>
          <w:tcPr>
            <w:tcW w:w="1442" w:type="dxa"/>
          </w:tcPr>
          <w:p w:rsidR="007C5447" w:rsidRDefault="00F6308C">
            <w:pPr>
              <w:pStyle w:val="TableParagraph"/>
              <w:spacing w:before="29"/>
              <w:ind w:right="96"/>
              <w:rPr>
                <w:sz w:val="20"/>
              </w:rPr>
            </w:pPr>
            <w:r>
              <w:rPr>
                <w:w w:val="95"/>
                <w:sz w:val="20"/>
              </w:rPr>
              <w:t>30.17</w:t>
            </w:r>
          </w:p>
        </w:tc>
        <w:tc>
          <w:tcPr>
            <w:tcW w:w="1284" w:type="dxa"/>
          </w:tcPr>
          <w:p w:rsidR="007C5447" w:rsidRDefault="00F6308C">
            <w:pPr>
              <w:pStyle w:val="TableParagraph"/>
              <w:spacing w:before="29"/>
              <w:ind w:right="192"/>
              <w:rPr>
                <w:sz w:val="20"/>
              </w:rPr>
            </w:pPr>
            <w:r>
              <w:rPr>
                <w:w w:val="95"/>
                <w:sz w:val="20"/>
              </w:rPr>
              <w:t>45.80</w:t>
            </w:r>
          </w:p>
        </w:tc>
        <w:tc>
          <w:tcPr>
            <w:tcW w:w="1563" w:type="dxa"/>
          </w:tcPr>
          <w:p w:rsidR="007C5447" w:rsidRDefault="00F6308C">
            <w:pPr>
              <w:pStyle w:val="TableParagraph"/>
              <w:spacing w:before="29"/>
              <w:ind w:right="192"/>
              <w:rPr>
                <w:sz w:val="20"/>
              </w:rPr>
            </w:pPr>
            <w:r>
              <w:rPr>
                <w:w w:val="95"/>
                <w:sz w:val="20"/>
              </w:rPr>
              <w:t>49.00</w:t>
            </w:r>
          </w:p>
        </w:tc>
        <w:tc>
          <w:tcPr>
            <w:tcW w:w="1567" w:type="dxa"/>
          </w:tcPr>
          <w:p w:rsidR="007C5447" w:rsidRDefault="00F6308C">
            <w:pPr>
              <w:pStyle w:val="TableParagraph"/>
              <w:spacing w:before="29"/>
              <w:ind w:right="194"/>
              <w:rPr>
                <w:sz w:val="20"/>
              </w:rPr>
            </w:pPr>
            <w:r>
              <w:rPr>
                <w:sz w:val="20"/>
              </w:rPr>
              <w:t>45.26</w:t>
            </w:r>
          </w:p>
        </w:tc>
      </w:tr>
      <w:tr w:rsidR="007C5447">
        <w:trPr>
          <w:trHeight w:val="288"/>
        </w:trPr>
        <w:tc>
          <w:tcPr>
            <w:tcW w:w="1027" w:type="dxa"/>
          </w:tcPr>
          <w:p w:rsidR="007C5447" w:rsidRDefault="00F6308C">
            <w:pPr>
              <w:pStyle w:val="TableParagraph"/>
              <w:spacing w:before="29"/>
              <w:ind w:left="100" w:right="91"/>
              <w:jc w:val="center"/>
              <w:rPr>
                <w:sz w:val="20"/>
              </w:rPr>
            </w:pPr>
            <w:r>
              <w:rPr>
                <w:sz w:val="20"/>
              </w:rPr>
              <w:t>13</w:t>
            </w:r>
          </w:p>
        </w:tc>
        <w:tc>
          <w:tcPr>
            <w:tcW w:w="2688" w:type="dxa"/>
          </w:tcPr>
          <w:p w:rsidR="007C5447" w:rsidRDefault="00F6308C">
            <w:pPr>
              <w:pStyle w:val="TableParagraph"/>
              <w:spacing w:before="29"/>
              <w:ind w:left="105"/>
              <w:jc w:val="left"/>
              <w:rPr>
                <w:sz w:val="20"/>
              </w:rPr>
            </w:pPr>
            <w:r>
              <w:rPr>
                <w:sz w:val="20"/>
              </w:rPr>
              <w:t>Kadamparai HEP</w:t>
            </w:r>
          </w:p>
        </w:tc>
        <w:tc>
          <w:tcPr>
            <w:tcW w:w="1399" w:type="dxa"/>
          </w:tcPr>
          <w:p w:rsidR="007C5447" w:rsidRDefault="00F6308C">
            <w:pPr>
              <w:pStyle w:val="TableParagraph"/>
              <w:spacing w:before="29"/>
              <w:ind w:right="95"/>
              <w:rPr>
                <w:sz w:val="20"/>
              </w:rPr>
            </w:pPr>
            <w:r>
              <w:rPr>
                <w:sz w:val="20"/>
              </w:rPr>
              <w:t>31.86</w:t>
            </w:r>
          </w:p>
        </w:tc>
        <w:tc>
          <w:tcPr>
            <w:tcW w:w="1546" w:type="dxa"/>
          </w:tcPr>
          <w:p w:rsidR="007C5447" w:rsidRDefault="00F6308C">
            <w:pPr>
              <w:pStyle w:val="TableParagraph"/>
              <w:spacing w:before="29"/>
              <w:ind w:right="191"/>
              <w:rPr>
                <w:sz w:val="20"/>
              </w:rPr>
            </w:pPr>
            <w:r>
              <w:rPr>
                <w:w w:val="95"/>
                <w:sz w:val="20"/>
              </w:rPr>
              <w:t>26.78</w:t>
            </w:r>
          </w:p>
        </w:tc>
        <w:tc>
          <w:tcPr>
            <w:tcW w:w="1442" w:type="dxa"/>
          </w:tcPr>
          <w:p w:rsidR="007C5447" w:rsidRDefault="00F6308C">
            <w:pPr>
              <w:pStyle w:val="TableParagraph"/>
              <w:spacing w:before="29"/>
              <w:ind w:right="96"/>
              <w:rPr>
                <w:sz w:val="20"/>
              </w:rPr>
            </w:pPr>
            <w:r>
              <w:rPr>
                <w:w w:val="95"/>
                <w:sz w:val="20"/>
              </w:rPr>
              <w:t>24.35</w:t>
            </w:r>
          </w:p>
        </w:tc>
        <w:tc>
          <w:tcPr>
            <w:tcW w:w="1284" w:type="dxa"/>
          </w:tcPr>
          <w:p w:rsidR="007C5447" w:rsidRDefault="00F6308C">
            <w:pPr>
              <w:pStyle w:val="TableParagraph"/>
              <w:spacing w:before="29"/>
              <w:ind w:right="192"/>
              <w:rPr>
                <w:sz w:val="20"/>
              </w:rPr>
            </w:pPr>
            <w:r>
              <w:rPr>
                <w:w w:val="95"/>
                <w:sz w:val="20"/>
              </w:rPr>
              <w:t>32.54</w:t>
            </w:r>
          </w:p>
        </w:tc>
        <w:tc>
          <w:tcPr>
            <w:tcW w:w="1563" w:type="dxa"/>
          </w:tcPr>
          <w:p w:rsidR="007C5447" w:rsidRDefault="00F6308C">
            <w:pPr>
              <w:pStyle w:val="TableParagraph"/>
              <w:spacing w:before="29"/>
              <w:ind w:right="192"/>
              <w:rPr>
                <w:sz w:val="20"/>
              </w:rPr>
            </w:pPr>
            <w:r>
              <w:rPr>
                <w:w w:val="95"/>
                <w:sz w:val="20"/>
              </w:rPr>
              <w:t>32.43</w:t>
            </w:r>
          </w:p>
        </w:tc>
        <w:tc>
          <w:tcPr>
            <w:tcW w:w="1567" w:type="dxa"/>
          </w:tcPr>
          <w:p w:rsidR="007C5447" w:rsidRDefault="00F6308C">
            <w:pPr>
              <w:pStyle w:val="TableParagraph"/>
              <w:spacing w:before="29"/>
              <w:ind w:right="192"/>
              <w:rPr>
                <w:sz w:val="20"/>
              </w:rPr>
            </w:pPr>
            <w:r>
              <w:rPr>
                <w:w w:val="95"/>
                <w:sz w:val="20"/>
              </w:rPr>
              <w:t>29.96</w:t>
            </w:r>
          </w:p>
        </w:tc>
      </w:tr>
      <w:tr w:rsidR="007C5447">
        <w:trPr>
          <w:trHeight w:val="313"/>
        </w:trPr>
        <w:tc>
          <w:tcPr>
            <w:tcW w:w="1027" w:type="dxa"/>
          </w:tcPr>
          <w:p w:rsidR="007C5447" w:rsidRDefault="00F6308C">
            <w:pPr>
              <w:pStyle w:val="TableParagraph"/>
              <w:spacing w:before="41"/>
              <w:ind w:left="100" w:right="91"/>
              <w:jc w:val="center"/>
              <w:rPr>
                <w:sz w:val="20"/>
              </w:rPr>
            </w:pPr>
            <w:r>
              <w:rPr>
                <w:sz w:val="20"/>
              </w:rPr>
              <w:t>14</w:t>
            </w:r>
          </w:p>
        </w:tc>
        <w:tc>
          <w:tcPr>
            <w:tcW w:w="2688" w:type="dxa"/>
          </w:tcPr>
          <w:p w:rsidR="007C5447" w:rsidRDefault="00F6308C">
            <w:pPr>
              <w:pStyle w:val="TableParagraph"/>
              <w:spacing w:before="41"/>
              <w:ind w:left="105"/>
              <w:jc w:val="left"/>
              <w:rPr>
                <w:sz w:val="20"/>
              </w:rPr>
            </w:pPr>
            <w:r>
              <w:rPr>
                <w:sz w:val="20"/>
              </w:rPr>
              <w:t>Kundah HEP</w:t>
            </w:r>
          </w:p>
        </w:tc>
        <w:tc>
          <w:tcPr>
            <w:tcW w:w="1399" w:type="dxa"/>
          </w:tcPr>
          <w:p w:rsidR="007C5447" w:rsidRDefault="00F6308C">
            <w:pPr>
              <w:pStyle w:val="TableParagraph"/>
              <w:spacing w:before="41"/>
              <w:ind w:right="94"/>
              <w:rPr>
                <w:sz w:val="20"/>
              </w:rPr>
            </w:pPr>
            <w:r>
              <w:rPr>
                <w:sz w:val="20"/>
              </w:rPr>
              <w:t>53.14</w:t>
            </w:r>
          </w:p>
        </w:tc>
        <w:tc>
          <w:tcPr>
            <w:tcW w:w="1546" w:type="dxa"/>
          </w:tcPr>
          <w:p w:rsidR="007C5447" w:rsidRDefault="00F6308C">
            <w:pPr>
              <w:pStyle w:val="TableParagraph"/>
              <w:spacing w:before="41"/>
              <w:ind w:right="191"/>
              <w:rPr>
                <w:sz w:val="20"/>
              </w:rPr>
            </w:pPr>
            <w:r>
              <w:rPr>
                <w:w w:val="95"/>
                <w:sz w:val="20"/>
              </w:rPr>
              <w:t>35.38</w:t>
            </w:r>
          </w:p>
        </w:tc>
        <w:tc>
          <w:tcPr>
            <w:tcW w:w="1442" w:type="dxa"/>
          </w:tcPr>
          <w:p w:rsidR="007C5447" w:rsidRDefault="00F6308C">
            <w:pPr>
              <w:pStyle w:val="TableParagraph"/>
              <w:spacing w:before="41"/>
              <w:ind w:right="96"/>
              <w:rPr>
                <w:sz w:val="20"/>
              </w:rPr>
            </w:pPr>
            <w:r>
              <w:rPr>
                <w:w w:val="95"/>
                <w:sz w:val="20"/>
              </w:rPr>
              <w:t>32.17</w:t>
            </w:r>
          </w:p>
        </w:tc>
        <w:tc>
          <w:tcPr>
            <w:tcW w:w="1284" w:type="dxa"/>
          </w:tcPr>
          <w:p w:rsidR="007C5447" w:rsidRDefault="00F6308C">
            <w:pPr>
              <w:pStyle w:val="TableParagraph"/>
              <w:spacing w:before="41"/>
              <w:ind w:right="192"/>
              <w:rPr>
                <w:sz w:val="20"/>
              </w:rPr>
            </w:pPr>
            <w:r>
              <w:rPr>
                <w:w w:val="95"/>
                <w:sz w:val="20"/>
              </w:rPr>
              <w:t>54.28</w:t>
            </w:r>
          </w:p>
        </w:tc>
        <w:tc>
          <w:tcPr>
            <w:tcW w:w="1563" w:type="dxa"/>
          </w:tcPr>
          <w:p w:rsidR="007C5447" w:rsidRDefault="00F6308C">
            <w:pPr>
              <w:pStyle w:val="TableParagraph"/>
              <w:spacing w:before="41"/>
              <w:ind w:right="192"/>
              <w:rPr>
                <w:sz w:val="20"/>
              </w:rPr>
            </w:pPr>
            <w:r>
              <w:rPr>
                <w:w w:val="95"/>
                <w:sz w:val="20"/>
              </w:rPr>
              <w:t>50.37</w:t>
            </w:r>
          </w:p>
        </w:tc>
        <w:tc>
          <w:tcPr>
            <w:tcW w:w="1567" w:type="dxa"/>
          </w:tcPr>
          <w:p w:rsidR="007C5447" w:rsidRDefault="00F6308C">
            <w:pPr>
              <w:pStyle w:val="TableParagraph"/>
              <w:spacing w:before="41"/>
              <w:ind w:right="194"/>
              <w:rPr>
                <w:sz w:val="20"/>
              </w:rPr>
            </w:pPr>
            <w:r>
              <w:rPr>
                <w:sz w:val="20"/>
              </w:rPr>
              <w:t>46.53</w:t>
            </w:r>
          </w:p>
        </w:tc>
      </w:tr>
      <w:tr w:rsidR="007C5447">
        <w:trPr>
          <w:trHeight w:val="316"/>
        </w:trPr>
        <w:tc>
          <w:tcPr>
            <w:tcW w:w="1027" w:type="dxa"/>
          </w:tcPr>
          <w:p w:rsidR="007C5447" w:rsidRDefault="00F6308C">
            <w:pPr>
              <w:pStyle w:val="TableParagraph"/>
              <w:spacing w:before="43"/>
              <w:ind w:left="100" w:right="91"/>
              <w:jc w:val="center"/>
              <w:rPr>
                <w:sz w:val="20"/>
              </w:rPr>
            </w:pPr>
            <w:r>
              <w:rPr>
                <w:sz w:val="20"/>
              </w:rPr>
              <w:t>15</w:t>
            </w:r>
          </w:p>
        </w:tc>
        <w:tc>
          <w:tcPr>
            <w:tcW w:w="2688" w:type="dxa"/>
          </w:tcPr>
          <w:p w:rsidR="007C5447" w:rsidRDefault="00F6308C">
            <w:pPr>
              <w:pStyle w:val="TableParagraph"/>
              <w:spacing w:before="43"/>
              <w:ind w:left="105"/>
              <w:jc w:val="left"/>
              <w:rPr>
                <w:sz w:val="20"/>
              </w:rPr>
            </w:pPr>
            <w:r>
              <w:rPr>
                <w:sz w:val="20"/>
              </w:rPr>
              <w:t>Tirunelveli HEP</w:t>
            </w:r>
          </w:p>
        </w:tc>
        <w:tc>
          <w:tcPr>
            <w:tcW w:w="1399" w:type="dxa"/>
          </w:tcPr>
          <w:p w:rsidR="007C5447" w:rsidRDefault="00F6308C">
            <w:pPr>
              <w:pStyle w:val="TableParagraph"/>
              <w:spacing w:before="43"/>
              <w:ind w:right="94"/>
              <w:rPr>
                <w:sz w:val="20"/>
              </w:rPr>
            </w:pPr>
            <w:r>
              <w:rPr>
                <w:sz w:val="20"/>
              </w:rPr>
              <w:t>34.90</w:t>
            </w:r>
          </w:p>
        </w:tc>
        <w:tc>
          <w:tcPr>
            <w:tcW w:w="1546" w:type="dxa"/>
          </w:tcPr>
          <w:p w:rsidR="007C5447" w:rsidRDefault="00F6308C">
            <w:pPr>
              <w:pStyle w:val="TableParagraph"/>
              <w:spacing w:before="43"/>
              <w:ind w:right="191"/>
              <w:rPr>
                <w:sz w:val="20"/>
              </w:rPr>
            </w:pPr>
            <w:r>
              <w:rPr>
                <w:w w:val="95"/>
                <w:sz w:val="20"/>
              </w:rPr>
              <w:t>35.68</w:t>
            </w:r>
          </w:p>
        </w:tc>
        <w:tc>
          <w:tcPr>
            <w:tcW w:w="1442" w:type="dxa"/>
          </w:tcPr>
          <w:p w:rsidR="007C5447" w:rsidRDefault="00F6308C">
            <w:pPr>
              <w:pStyle w:val="TableParagraph"/>
              <w:spacing w:before="43"/>
              <w:ind w:right="96"/>
              <w:rPr>
                <w:sz w:val="20"/>
              </w:rPr>
            </w:pPr>
            <w:r>
              <w:rPr>
                <w:w w:val="95"/>
                <w:sz w:val="20"/>
              </w:rPr>
              <w:t>32.44</w:t>
            </w:r>
          </w:p>
        </w:tc>
        <w:tc>
          <w:tcPr>
            <w:tcW w:w="1284" w:type="dxa"/>
          </w:tcPr>
          <w:p w:rsidR="007C5447" w:rsidRDefault="00F6308C">
            <w:pPr>
              <w:pStyle w:val="TableParagraph"/>
              <w:spacing w:before="43"/>
              <w:ind w:right="192"/>
              <w:rPr>
                <w:sz w:val="20"/>
              </w:rPr>
            </w:pPr>
            <w:r>
              <w:rPr>
                <w:w w:val="95"/>
                <w:sz w:val="20"/>
              </w:rPr>
              <w:t>35.64</w:t>
            </w:r>
          </w:p>
        </w:tc>
        <w:tc>
          <w:tcPr>
            <w:tcW w:w="1563" w:type="dxa"/>
          </w:tcPr>
          <w:p w:rsidR="007C5447" w:rsidRDefault="00F6308C">
            <w:pPr>
              <w:pStyle w:val="TableParagraph"/>
              <w:spacing w:before="43"/>
              <w:ind w:right="192"/>
              <w:rPr>
                <w:sz w:val="20"/>
              </w:rPr>
            </w:pPr>
            <w:r>
              <w:rPr>
                <w:w w:val="95"/>
                <w:sz w:val="20"/>
              </w:rPr>
              <w:t>43.61</w:t>
            </w:r>
          </w:p>
        </w:tc>
        <w:tc>
          <w:tcPr>
            <w:tcW w:w="1567" w:type="dxa"/>
          </w:tcPr>
          <w:p w:rsidR="007C5447" w:rsidRDefault="00F6308C">
            <w:pPr>
              <w:pStyle w:val="TableParagraph"/>
              <w:spacing w:before="43"/>
              <w:ind w:right="194"/>
              <w:rPr>
                <w:sz w:val="20"/>
              </w:rPr>
            </w:pPr>
            <w:r>
              <w:rPr>
                <w:sz w:val="20"/>
              </w:rPr>
              <w:t>40.28</w:t>
            </w:r>
          </w:p>
        </w:tc>
      </w:tr>
      <w:tr w:rsidR="007C5447">
        <w:trPr>
          <w:trHeight w:val="316"/>
        </w:trPr>
        <w:tc>
          <w:tcPr>
            <w:tcW w:w="1027" w:type="dxa"/>
          </w:tcPr>
          <w:p w:rsidR="007C5447" w:rsidRDefault="00F6308C">
            <w:pPr>
              <w:pStyle w:val="TableParagraph"/>
              <w:spacing w:before="43"/>
              <w:ind w:left="100" w:right="91"/>
              <w:jc w:val="center"/>
              <w:rPr>
                <w:sz w:val="20"/>
              </w:rPr>
            </w:pPr>
            <w:r>
              <w:rPr>
                <w:sz w:val="20"/>
              </w:rPr>
              <w:t>16</w:t>
            </w:r>
          </w:p>
        </w:tc>
        <w:tc>
          <w:tcPr>
            <w:tcW w:w="2688" w:type="dxa"/>
          </w:tcPr>
          <w:p w:rsidR="007C5447" w:rsidRDefault="00F6308C">
            <w:pPr>
              <w:pStyle w:val="TableParagraph"/>
              <w:spacing w:before="43"/>
              <w:ind w:left="105"/>
              <w:jc w:val="left"/>
              <w:rPr>
                <w:b/>
                <w:sz w:val="20"/>
              </w:rPr>
            </w:pPr>
            <w:r>
              <w:rPr>
                <w:b/>
                <w:sz w:val="20"/>
              </w:rPr>
              <w:t>Grand Total Generation</w:t>
            </w:r>
          </w:p>
        </w:tc>
        <w:tc>
          <w:tcPr>
            <w:tcW w:w="1399" w:type="dxa"/>
          </w:tcPr>
          <w:p w:rsidR="007C5447" w:rsidRDefault="00F6308C">
            <w:pPr>
              <w:pStyle w:val="TableParagraph"/>
              <w:spacing w:before="43"/>
              <w:ind w:right="94"/>
              <w:rPr>
                <w:b/>
                <w:sz w:val="20"/>
              </w:rPr>
            </w:pPr>
            <w:r>
              <w:rPr>
                <w:b/>
                <w:w w:val="95"/>
                <w:sz w:val="20"/>
              </w:rPr>
              <w:t>924.73</w:t>
            </w:r>
          </w:p>
        </w:tc>
        <w:tc>
          <w:tcPr>
            <w:tcW w:w="1546" w:type="dxa"/>
          </w:tcPr>
          <w:p w:rsidR="007C5447" w:rsidRDefault="00F6308C">
            <w:pPr>
              <w:pStyle w:val="TableParagraph"/>
              <w:spacing w:before="43"/>
              <w:ind w:right="189"/>
              <w:rPr>
                <w:b/>
                <w:sz w:val="20"/>
              </w:rPr>
            </w:pPr>
            <w:r>
              <w:rPr>
                <w:b/>
                <w:w w:val="95"/>
                <w:sz w:val="20"/>
              </w:rPr>
              <w:t>1,112.47</w:t>
            </w:r>
          </w:p>
        </w:tc>
        <w:tc>
          <w:tcPr>
            <w:tcW w:w="1442" w:type="dxa"/>
          </w:tcPr>
          <w:p w:rsidR="007C5447" w:rsidRDefault="00F6308C">
            <w:pPr>
              <w:pStyle w:val="TableParagraph"/>
              <w:spacing w:before="43"/>
              <w:ind w:right="94"/>
              <w:rPr>
                <w:b/>
                <w:sz w:val="20"/>
              </w:rPr>
            </w:pPr>
            <w:r>
              <w:rPr>
                <w:b/>
                <w:w w:val="95"/>
                <w:sz w:val="20"/>
              </w:rPr>
              <w:t>1,045.33</w:t>
            </w:r>
          </w:p>
        </w:tc>
        <w:tc>
          <w:tcPr>
            <w:tcW w:w="1284" w:type="dxa"/>
          </w:tcPr>
          <w:p w:rsidR="007C5447" w:rsidRDefault="00F6308C">
            <w:pPr>
              <w:pStyle w:val="TableParagraph"/>
              <w:spacing w:before="43"/>
              <w:ind w:right="192"/>
              <w:rPr>
                <w:b/>
                <w:sz w:val="20"/>
              </w:rPr>
            </w:pPr>
            <w:r>
              <w:rPr>
                <w:b/>
                <w:w w:val="95"/>
                <w:sz w:val="20"/>
              </w:rPr>
              <w:t>958.92</w:t>
            </w:r>
          </w:p>
        </w:tc>
        <w:tc>
          <w:tcPr>
            <w:tcW w:w="1563" w:type="dxa"/>
          </w:tcPr>
          <w:p w:rsidR="007C5447" w:rsidRDefault="00F6308C">
            <w:pPr>
              <w:pStyle w:val="TableParagraph"/>
              <w:spacing w:before="43"/>
              <w:ind w:right="191"/>
              <w:rPr>
                <w:b/>
                <w:sz w:val="20"/>
              </w:rPr>
            </w:pPr>
            <w:r>
              <w:rPr>
                <w:b/>
                <w:w w:val="95"/>
                <w:sz w:val="20"/>
              </w:rPr>
              <w:t>1,277.17</w:t>
            </w:r>
          </w:p>
        </w:tc>
        <w:tc>
          <w:tcPr>
            <w:tcW w:w="1567" w:type="dxa"/>
          </w:tcPr>
          <w:p w:rsidR="007C5447" w:rsidRDefault="00F6308C">
            <w:pPr>
              <w:pStyle w:val="TableParagraph"/>
              <w:spacing w:before="43"/>
              <w:ind w:right="188"/>
              <w:rPr>
                <w:b/>
                <w:sz w:val="20"/>
              </w:rPr>
            </w:pPr>
            <w:r>
              <w:rPr>
                <w:b/>
                <w:sz w:val="20"/>
              </w:rPr>
              <w:t>1,165.17</w:t>
            </w:r>
          </w:p>
        </w:tc>
      </w:tr>
      <w:tr w:rsidR="007C5447">
        <w:trPr>
          <w:trHeight w:val="366"/>
        </w:trPr>
        <w:tc>
          <w:tcPr>
            <w:tcW w:w="1027" w:type="dxa"/>
          </w:tcPr>
          <w:p w:rsidR="007C5447" w:rsidRDefault="00F6308C">
            <w:pPr>
              <w:pStyle w:val="TableParagraph"/>
              <w:spacing w:before="67"/>
              <w:ind w:left="100" w:right="91"/>
              <w:jc w:val="center"/>
              <w:rPr>
                <w:b/>
                <w:sz w:val="20"/>
              </w:rPr>
            </w:pPr>
            <w:r>
              <w:rPr>
                <w:b/>
                <w:sz w:val="20"/>
              </w:rPr>
              <w:t>17</w:t>
            </w:r>
          </w:p>
        </w:tc>
        <w:tc>
          <w:tcPr>
            <w:tcW w:w="2688" w:type="dxa"/>
          </w:tcPr>
          <w:p w:rsidR="007C5447" w:rsidRDefault="00F6308C">
            <w:pPr>
              <w:pStyle w:val="TableParagraph"/>
              <w:spacing w:before="67"/>
              <w:ind w:left="105"/>
              <w:jc w:val="left"/>
              <w:rPr>
                <w:b/>
                <w:sz w:val="20"/>
              </w:rPr>
            </w:pPr>
            <w:r>
              <w:rPr>
                <w:b/>
                <w:sz w:val="20"/>
              </w:rPr>
              <w:t>Distribution</w:t>
            </w:r>
          </w:p>
        </w:tc>
        <w:tc>
          <w:tcPr>
            <w:tcW w:w="1399" w:type="dxa"/>
          </w:tcPr>
          <w:p w:rsidR="007C5447" w:rsidRDefault="00F6308C">
            <w:pPr>
              <w:pStyle w:val="TableParagraph"/>
              <w:spacing w:before="67"/>
              <w:ind w:right="95"/>
              <w:rPr>
                <w:b/>
                <w:sz w:val="20"/>
              </w:rPr>
            </w:pPr>
            <w:r>
              <w:rPr>
                <w:b/>
                <w:w w:val="95"/>
                <w:sz w:val="20"/>
              </w:rPr>
              <w:t>4,303.63</w:t>
            </w:r>
          </w:p>
        </w:tc>
        <w:tc>
          <w:tcPr>
            <w:tcW w:w="1546" w:type="dxa"/>
          </w:tcPr>
          <w:p w:rsidR="007C5447" w:rsidRDefault="00F6308C">
            <w:pPr>
              <w:pStyle w:val="TableParagraph"/>
              <w:spacing w:before="67"/>
              <w:ind w:right="189"/>
              <w:rPr>
                <w:b/>
                <w:sz w:val="20"/>
              </w:rPr>
            </w:pPr>
            <w:r>
              <w:rPr>
                <w:b/>
                <w:w w:val="95"/>
                <w:sz w:val="20"/>
              </w:rPr>
              <w:t>4,565.07</w:t>
            </w:r>
          </w:p>
        </w:tc>
        <w:tc>
          <w:tcPr>
            <w:tcW w:w="1442" w:type="dxa"/>
          </w:tcPr>
          <w:p w:rsidR="007C5447" w:rsidRDefault="00F6308C">
            <w:pPr>
              <w:pStyle w:val="TableParagraph"/>
              <w:spacing w:before="67"/>
              <w:ind w:right="94"/>
              <w:rPr>
                <w:b/>
                <w:sz w:val="20"/>
              </w:rPr>
            </w:pPr>
            <w:r>
              <w:rPr>
                <w:b/>
                <w:w w:val="95"/>
                <w:sz w:val="20"/>
              </w:rPr>
              <w:t>4,150.46</w:t>
            </w:r>
          </w:p>
        </w:tc>
        <w:tc>
          <w:tcPr>
            <w:tcW w:w="1284" w:type="dxa"/>
          </w:tcPr>
          <w:p w:rsidR="007C5447" w:rsidRDefault="00F6308C">
            <w:pPr>
              <w:pStyle w:val="TableParagraph"/>
              <w:spacing w:before="67"/>
              <w:ind w:right="190"/>
              <w:rPr>
                <w:b/>
                <w:sz w:val="20"/>
              </w:rPr>
            </w:pPr>
            <w:r>
              <w:rPr>
                <w:b/>
                <w:w w:val="95"/>
                <w:sz w:val="20"/>
              </w:rPr>
              <w:t>4,395.62</w:t>
            </w:r>
          </w:p>
        </w:tc>
        <w:tc>
          <w:tcPr>
            <w:tcW w:w="1563" w:type="dxa"/>
          </w:tcPr>
          <w:p w:rsidR="007C5447" w:rsidRDefault="00F6308C">
            <w:pPr>
              <w:pStyle w:val="TableParagraph"/>
              <w:spacing w:before="67"/>
              <w:ind w:right="191"/>
              <w:rPr>
                <w:b/>
                <w:sz w:val="20"/>
              </w:rPr>
            </w:pPr>
            <w:r>
              <w:rPr>
                <w:b/>
                <w:w w:val="95"/>
                <w:sz w:val="20"/>
              </w:rPr>
              <w:t>4,844.82</w:t>
            </w:r>
          </w:p>
        </w:tc>
        <w:tc>
          <w:tcPr>
            <w:tcW w:w="1567" w:type="dxa"/>
          </w:tcPr>
          <w:p w:rsidR="007C5447" w:rsidRDefault="00F6308C">
            <w:pPr>
              <w:pStyle w:val="TableParagraph"/>
              <w:spacing w:before="67"/>
              <w:ind w:right="188"/>
              <w:rPr>
                <w:b/>
                <w:sz w:val="20"/>
              </w:rPr>
            </w:pPr>
            <w:r>
              <w:rPr>
                <w:b/>
                <w:sz w:val="20"/>
              </w:rPr>
              <w:t>4,419.95</w:t>
            </w:r>
          </w:p>
        </w:tc>
      </w:tr>
      <w:tr w:rsidR="007C5447">
        <w:trPr>
          <w:trHeight w:val="359"/>
        </w:trPr>
        <w:tc>
          <w:tcPr>
            <w:tcW w:w="1027" w:type="dxa"/>
          </w:tcPr>
          <w:p w:rsidR="007C5447" w:rsidRDefault="00F6308C">
            <w:pPr>
              <w:pStyle w:val="TableParagraph"/>
              <w:spacing w:before="115" w:line="224" w:lineRule="exact"/>
              <w:ind w:left="100" w:right="91"/>
              <w:jc w:val="center"/>
              <w:rPr>
                <w:b/>
                <w:sz w:val="20"/>
              </w:rPr>
            </w:pPr>
            <w:r>
              <w:rPr>
                <w:b/>
                <w:sz w:val="20"/>
              </w:rPr>
              <w:t>18</w:t>
            </w:r>
          </w:p>
        </w:tc>
        <w:tc>
          <w:tcPr>
            <w:tcW w:w="2688" w:type="dxa"/>
          </w:tcPr>
          <w:p w:rsidR="007C5447" w:rsidRDefault="00F6308C">
            <w:pPr>
              <w:pStyle w:val="TableParagraph"/>
              <w:spacing w:before="65"/>
              <w:ind w:left="105"/>
              <w:jc w:val="left"/>
              <w:rPr>
                <w:b/>
                <w:sz w:val="20"/>
              </w:rPr>
            </w:pPr>
            <w:r>
              <w:rPr>
                <w:b/>
                <w:sz w:val="20"/>
              </w:rPr>
              <w:t>Generation + Distribution</w:t>
            </w:r>
          </w:p>
        </w:tc>
        <w:tc>
          <w:tcPr>
            <w:tcW w:w="1399" w:type="dxa"/>
          </w:tcPr>
          <w:p w:rsidR="007C5447" w:rsidRDefault="00F6308C">
            <w:pPr>
              <w:pStyle w:val="TableParagraph"/>
              <w:spacing w:before="65"/>
              <w:ind w:right="95"/>
              <w:rPr>
                <w:b/>
                <w:sz w:val="20"/>
              </w:rPr>
            </w:pPr>
            <w:r>
              <w:rPr>
                <w:b/>
                <w:w w:val="95"/>
                <w:sz w:val="20"/>
              </w:rPr>
              <w:t>5,228.36</w:t>
            </w:r>
          </w:p>
        </w:tc>
        <w:tc>
          <w:tcPr>
            <w:tcW w:w="1546" w:type="dxa"/>
          </w:tcPr>
          <w:p w:rsidR="007C5447" w:rsidRDefault="00F6308C">
            <w:pPr>
              <w:pStyle w:val="TableParagraph"/>
              <w:spacing w:before="65"/>
              <w:ind w:right="189"/>
              <w:rPr>
                <w:b/>
                <w:sz w:val="20"/>
              </w:rPr>
            </w:pPr>
            <w:r>
              <w:rPr>
                <w:b/>
                <w:w w:val="95"/>
                <w:sz w:val="20"/>
              </w:rPr>
              <w:t>5,677.54</w:t>
            </w:r>
          </w:p>
        </w:tc>
        <w:tc>
          <w:tcPr>
            <w:tcW w:w="1442" w:type="dxa"/>
          </w:tcPr>
          <w:p w:rsidR="007C5447" w:rsidRDefault="00F6308C">
            <w:pPr>
              <w:pStyle w:val="TableParagraph"/>
              <w:spacing w:before="65"/>
              <w:ind w:right="94"/>
              <w:rPr>
                <w:b/>
                <w:sz w:val="20"/>
              </w:rPr>
            </w:pPr>
            <w:r>
              <w:rPr>
                <w:b/>
                <w:w w:val="95"/>
                <w:sz w:val="20"/>
              </w:rPr>
              <w:t>5,195.79</w:t>
            </w:r>
          </w:p>
        </w:tc>
        <w:tc>
          <w:tcPr>
            <w:tcW w:w="1284" w:type="dxa"/>
          </w:tcPr>
          <w:p w:rsidR="007C5447" w:rsidRDefault="00F6308C">
            <w:pPr>
              <w:pStyle w:val="TableParagraph"/>
              <w:spacing w:before="65"/>
              <w:ind w:right="190"/>
              <w:rPr>
                <w:b/>
                <w:sz w:val="20"/>
              </w:rPr>
            </w:pPr>
            <w:r>
              <w:rPr>
                <w:b/>
                <w:w w:val="95"/>
                <w:sz w:val="20"/>
              </w:rPr>
              <w:t>5,354.54</w:t>
            </w:r>
          </w:p>
        </w:tc>
        <w:tc>
          <w:tcPr>
            <w:tcW w:w="1563" w:type="dxa"/>
          </w:tcPr>
          <w:p w:rsidR="007C5447" w:rsidRDefault="00F6308C">
            <w:pPr>
              <w:pStyle w:val="TableParagraph"/>
              <w:spacing w:before="65"/>
              <w:ind w:right="191"/>
              <w:rPr>
                <w:b/>
                <w:sz w:val="20"/>
              </w:rPr>
            </w:pPr>
            <w:r>
              <w:rPr>
                <w:b/>
                <w:w w:val="95"/>
                <w:sz w:val="20"/>
              </w:rPr>
              <w:t>6,122.00</w:t>
            </w:r>
          </w:p>
        </w:tc>
        <w:tc>
          <w:tcPr>
            <w:tcW w:w="1567" w:type="dxa"/>
          </w:tcPr>
          <w:p w:rsidR="007C5447" w:rsidRDefault="00F6308C">
            <w:pPr>
              <w:pStyle w:val="TableParagraph"/>
              <w:spacing w:before="65"/>
              <w:ind w:right="190"/>
              <w:rPr>
                <w:b/>
                <w:sz w:val="20"/>
              </w:rPr>
            </w:pPr>
            <w:r>
              <w:rPr>
                <w:b/>
                <w:w w:val="95"/>
                <w:sz w:val="20"/>
              </w:rPr>
              <w:t>5,585.12</w:t>
            </w:r>
          </w:p>
        </w:tc>
      </w:tr>
    </w:tbl>
    <w:p w:rsidR="007C5447" w:rsidRDefault="007C5447">
      <w:pPr>
        <w:rPr>
          <w:sz w:val="20"/>
        </w:rPr>
        <w:sectPr w:rsidR="007C5447">
          <w:pgSz w:w="16840" w:h="11910" w:orient="landscape"/>
          <w:pgMar w:top="1100" w:right="860" w:bottom="1240" w:left="1760" w:header="0" w:footer="1057" w:gutter="0"/>
          <w:cols w:space="720"/>
        </w:sectPr>
      </w:pPr>
    </w:p>
    <w:p w:rsidR="007C5447" w:rsidRDefault="00F6308C">
      <w:pPr>
        <w:pStyle w:val="ListParagraph"/>
        <w:numPr>
          <w:ilvl w:val="2"/>
          <w:numId w:val="92"/>
        </w:numPr>
        <w:tabs>
          <w:tab w:val="left" w:pos="953"/>
        </w:tabs>
        <w:spacing w:before="60" w:line="312" w:lineRule="auto"/>
        <w:ind w:left="952" w:right="157"/>
        <w:jc w:val="both"/>
        <w:rPr>
          <w:sz w:val="24"/>
        </w:rPr>
      </w:pPr>
      <w:r>
        <w:rPr>
          <w:sz w:val="24"/>
        </w:rPr>
        <w:lastRenderedPageBreak/>
        <w:t>TANGEDCO has claimed expenses under the head of Operating Charges, the details of which have been shown subsequently. As Tariff Regulations do not allow any separate expenses over and above the speci</w:t>
      </w:r>
      <w:r>
        <w:rPr>
          <w:sz w:val="24"/>
        </w:rPr>
        <w:t>fied expenses, the Commission has not allowed Operating Charges as sought by</w:t>
      </w:r>
      <w:r>
        <w:rPr>
          <w:spacing w:val="-9"/>
          <w:sz w:val="24"/>
        </w:rPr>
        <w:t xml:space="preserve"> </w:t>
      </w:r>
      <w:r>
        <w:rPr>
          <w:sz w:val="24"/>
        </w:rPr>
        <w:t>TANGEDCO.</w:t>
      </w:r>
    </w:p>
    <w:p w:rsidR="007C5447" w:rsidRDefault="007C5447">
      <w:pPr>
        <w:pStyle w:val="BodyText"/>
        <w:spacing w:before="11"/>
        <w:rPr>
          <w:sz w:val="20"/>
        </w:rPr>
      </w:pPr>
    </w:p>
    <w:p w:rsidR="007C5447" w:rsidRDefault="00F6308C">
      <w:pPr>
        <w:pStyle w:val="Heading2"/>
        <w:numPr>
          <w:ilvl w:val="1"/>
          <w:numId w:val="92"/>
        </w:numPr>
        <w:tabs>
          <w:tab w:val="left" w:pos="666"/>
          <w:tab w:val="left" w:pos="667"/>
        </w:tabs>
        <w:ind w:left="666"/>
        <w:jc w:val="left"/>
      </w:pPr>
      <w:bookmarkStart w:id="41" w:name="_bookmark41"/>
      <w:bookmarkEnd w:id="41"/>
      <w:r>
        <w:t>Capital Expenditure and</w:t>
      </w:r>
      <w:r>
        <w:rPr>
          <w:spacing w:val="-2"/>
        </w:rPr>
        <w:t xml:space="preserve"> </w:t>
      </w:r>
      <w:r>
        <w:t>Capitalization</w:t>
      </w:r>
    </w:p>
    <w:p w:rsidR="007C5447" w:rsidRDefault="007C5447">
      <w:pPr>
        <w:pStyle w:val="BodyText"/>
        <w:spacing w:before="11"/>
        <w:rPr>
          <w:b/>
          <w:sz w:val="27"/>
        </w:rPr>
      </w:pPr>
    </w:p>
    <w:p w:rsidR="007C5447" w:rsidRDefault="00F6308C">
      <w:pPr>
        <w:pStyle w:val="ListParagraph"/>
        <w:numPr>
          <w:ilvl w:val="2"/>
          <w:numId w:val="92"/>
        </w:numPr>
        <w:tabs>
          <w:tab w:val="left" w:pos="953"/>
        </w:tabs>
        <w:spacing w:line="312" w:lineRule="auto"/>
        <w:ind w:left="952" w:right="158"/>
        <w:jc w:val="both"/>
        <w:rPr>
          <w:sz w:val="24"/>
        </w:rPr>
      </w:pPr>
      <w:r>
        <w:rPr>
          <w:sz w:val="24"/>
        </w:rPr>
        <w:t>TANGEDCO submitted that the expenditure incurred in each power station is on account of regular works like replacement of worn-out machinery, damaged equipment, transformers, boilers, generators, stators, auxiliary equipment, etc., which are necessary work</w:t>
      </w:r>
      <w:r>
        <w:rPr>
          <w:sz w:val="24"/>
        </w:rPr>
        <w:t>s to be carried out for effective and efficient working of the power</w:t>
      </w:r>
      <w:r>
        <w:rPr>
          <w:spacing w:val="-1"/>
          <w:sz w:val="24"/>
        </w:rPr>
        <w:t xml:space="preserve"> </w:t>
      </w:r>
      <w:r>
        <w:rPr>
          <w:sz w:val="24"/>
        </w:rPr>
        <w:t>station.</w:t>
      </w:r>
    </w:p>
    <w:p w:rsidR="007C5447" w:rsidRDefault="007C5447">
      <w:pPr>
        <w:pStyle w:val="BodyText"/>
        <w:rPr>
          <w:sz w:val="21"/>
        </w:rPr>
      </w:pPr>
    </w:p>
    <w:p w:rsidR="007C5447" w:rsidRDefault="00F6308C">
      <w:pPr>
        <w:pStyle w:val="ListParagraph"/>
        <w:numPr>
          <w:ilvl w:val="2"/>
          <w:numId w:val="92"/>
        </w:numPr>
        <w:tabs>
          <w:tab w:val="left" w:pos="953"/>
        </w:tabs>
        <w:spacing w:before="1" w:line="312" w:lineRule="auto"/>
        <w:ind w:left="952" w:right="160"/>
        <w:jc w:val="both"/>
        <w:rPr>
          <w:sz w:val="24"/>
        </w:rPr>
      </w:pPr>
      <w:r>
        <w:rPr>
          <w:sz w:val="24"/>
        </w:rPr>
        <w:t xml:space="preserve">The expenditure incurred for the Distribution function during the respective years is on account of regular works carried out, which were necessary for efficient working of the </w:t>
      </w:r>
      <w:r>
        <w:rPr>
          <w:sz w:val="24"/>
        </w:rPr>
        <w:t>distribution system. The works carried out for the distribution function are mainly on account of addition of LT and HT lines, distribution transformers, services rendered during the respective years, and works carried out under RGGVY scheme.</w:t>
      </w:r>
    </w:p>
    <w:p w:rsidR="007C5447" w:rsidRDefault="007C5447">
      <w:pPr>
        <w:pStyle w:val="BodyText"/>
        <w:spacing w:before="10"/>
        <w:rPr>
          <w:sz w:val="20"/>
        </w:rPr>
      </w:pPr>
    </w:p>
    <w:p w:rsidR="007C5447" w:rsidRDefault="00F6308C">
      <w:pPr>
        <w:pStyle w:val="ListParagraph"/>
        <w:numPr>
          <w:ilvl w:val="2"/>
          <w:numId w:val="92"/>
        </w:numPr>
        <w:tabs>
          <w:tab w:val="left" w:pos="953"/>
        </w:tabs>
        <w:spacing w:line="312" w:lineRule="auto"/>
        <w:ind w:left="952" w:right="161"/>
        <w:jc w:val="both"/>
        <w:rPr>
          <w:sz w:val="24"/>
        </w:rPr>
      </w:pPr>
      <w:r>
        <w:rPr>
          <w:sz w:val="24"/>
        </w:rPr>
        <w:t>TANGEDCO fur</w:t>
      </w:r>
      <w:r>
        <w:rPr>
          <w:sz w:val="24"/>
        </w:rPr>
        <w:t>ther submitted that the additional capitalization during the respective years is in line with Regulation 19 of the Tariff Regulations, which have been incurred for efficient and successful operation of the Generating Stations and Distribution</w:t>
      </w:r>
      <w:r>
        <w:rPr>
          <w:spacing w:val="-1"/>
          <w:sz w:val="24"/>
        </w:rPr>
        <w:t xml:space="preserve"> </w:t>
      </w:r>
      <w:r>
        <w:rPr>
          <w:sz w:val="24"/>
        </w:rPr>
        <w:t>Network.</w:t>
      </w:r>
    </w:p>
    <w:p w:rsidR="007C5447" w:rsidRDefault="007C5447">
      <w:pPr>
        <w:pStyle w:val="BodyText"/>
        <w:spacing w:before="10"/>
        <w:rPr>
          <w:sz w:val="20"/>
        </w:rPr>
      </w:pPr>
    </w:p>
    <w:p w:rsidR="007C5447" w:rsidRDefault="00F6308C">
      <w:pPr>
        <w:pStyle w:val="Heading2"/>
        <w:ind w:left="952"/>
      </w:pPr>
      <w:r>
        <w:t>Com</w:t>
      </w:r>
      <w:r>
        <w:t>mission’s Views</w:t>
      </w:r>
    </w:p>
    <w:p w:rsidR="007C5447" w:rsidRDefault="00F6308C">
      <w:pPr>
        <w:pStyle w:val="ListParagraph"/>
        <w:numPr>
          <w:ilvl w:val="2"/>
          <w:numId w:val="92"/>
        </w:numPr>
        <w:tabs>
          <w:tab w:val="left" w:pos="953"/>
        </w:tabs>
        <w:spacing w:before="202" w:line="312" w:lineRule="auto"/>
        <w:ind w:left="952" w:right="160"/>
        <w:jc w:val="both"/>
        <w:rPr>
          <w:sz w:val="24"/>
        </w:rPr>
      </w:pPr>
      <w:r>
        <w:rPr>
          <w:sz w:val="24"/>
        </w:rPr>
        <w:t>Regulation 17 of the Tariff Regulations and Regulation 3(v) of the MYT Regulations specify that the Licensee shall file a detailed CIP, which shall be approved by the Commission before determining the ARR and Tariff for any</w:t>
      </w:r>
      <w:r>
        <w:rPr>
          <w:spacing w:val="-15"/>
          <w:sz w:val="24"/>
        </w:rPr>
        <w:t xml:space="preserve"> </w:t>
      </w:r>
      <w:r>
        <w:rPr>
          <w:sz w:val="24"/>
        </w:rPr>
        <w:t>year.</w:t>
      </w:r>
    </w:p>
    <w:p w:rsidR="007C5447" w:rsidRDefault="007C5447">
      <w:pPr>
        <w:pStyle w:val="BodyText"/>
        <w:rPr>
          <w:sz w:val="21"/>
        </w:rPr>
      </w:pPr>
    </w:p>
    <w:p w:rsidR="007C5447" w:rsidRDefault="00F6308C">
      <w:pPr>
        <w:pStyle w:val="ListParagraph"/>
        <w:numPr>
          <w:ilvl w:val="2"/>
          <w:numId w:val="92"/>
        </w:numPr>
        <w:tabs>
          <w:tab w:val="left" w:pos="953"/>
        </w:tabs>
        <w:spacing w:line="312" w:lineRule="auto"/>
        <w:ind w:left="952" w:right="160"/>
        <w:jc w:val="both"/>
        <w:rPr>
          <w:sz w:val="24"/>
        </w:rPr>
      </w:pPr>
      <w:r>
        <w:rPr>
          <w:sz w:val="24"/>
        </w:rPr>
        <w:t>The Hon’ble APTEL in its Judgment in Appeal No. 196 of 2013 and Appeal No. 199 of 2013, dated October 27, 2014 had directed the Commission to approve the CIP after following due process of law. The relevant excerpts of the Judgment are reproduced</w:t>
      </w:r>
      <w:r>
        <w:rPr>
          <w:spacing w:val="-1"/>
          <w:sz w:val="24"/>
        </w:rPr>
        <w:t xml:space="preserve"> </w:t>
      </w:r>
      <w:r>
        <w:rPr>
          <w:sz w:val="24"/>
        </w:rPr>
        <w:t>below:</w:t>
      </w:r>
    </w:p>
    <w:p w:rsidR="007C5447" w:rsidRDefault="007C5447">
      <w:pPr>
        <w:pStyle w:val="BodyText"/>
        <w:spacing w:before="10"/>
        <w:rPr>
          <w:sz w:val="20"/>
        </w:rPr>
      </w:pPr>
    </w:p>
    <w:p w:rsidR="007C5447" w:rsidRDefault="00F6308C">
      <w:pPr>
        <w:spacing w:before="1"/>
        <w:ind w:left="1540" w:right="876"/>
        <w:jc w:val="both"/>
        <w:rPr>
          <w:i/>
          <w:sz w:val="24"/>
        </w:rPr>
      </w:pPr>
      <w:r>
        <w:rPr>
          <w:i/>
          <w:sz w:val="24"/>
        </w:rPr>
        <w:t>“</w:t>
      </w:r>
      <w:r>
        <w:rPr>
          <w:i/>
          <w:sz w:val="24"/>
        </w:rPr>
        <w:t>18. We find that the State Commission has provisionally accepted capital expenditure and capitalization for the first Control Period i.e. FY 2010-11 to 2012-13 and for the second Control Period i.e. FY 2013-14 to FY 2015-16 as submitted by the Appellant wi</w:t>
      </w:r>
      <w:r>
        <w:rPr>
          <w:i/>
          <w:sz w:val="24"/>
        </w:rPr>
        <w:t>thout any prudence check. The capitalization and capital expenditure for the</w:t>
      </w:r>
    </w:p>
    <w:p w:rsidR="007C5447" w:rsidRDefault="007C5447">
      <w:pPr>
        <w:jc w:val="both"/>
        <w:rPr>
          <w:sz w:val="24"/>
        </w:rPr>
        <w:sectPr w:rsidR="007C5447">
          <w:footerReference w:type="default" r:id="rId15"/>
          <w:pgSz w:w="11910" w:h="16840"/>
          <w:pgMar w:top="1360" w:right="1280" w:bottom="1240" w:left="1340" w:header="0" w:footer="1057" w:gutter="0"/>
          <w:pgNumType w:start="97"/>
          <w:cols w:space="720"/>
        </w:sectPr>
      </w:pPr>
    </w:p>
    <w:p w:rsidR="007C5447" w:rsidRDefault="00F6308C">
      <w:pPr>
        <w:spacing w:before="60"/>
        <w:ind w:left="1540"/>
        <w:rPr>
          <w:i/>
          <w:sz w:val="24"/>
        </w:rPr>
      </w:pPr>
      <w:r>
        <w:rPr>
          <w:i/>
          <w:sz w:val="24"/>
        </w:rPr>
        <w:lastRenderedPageBreak/>
        <w:t>second Control Period has been accepted without considering the past performance o</w:t>
      </w:r>
      <w:r>
        <w:rPr>
          <w:i/>
          <w:sz w:val="24"/>
        </w:rPr>
        <w:t>f the TANGEDCO.</w:t>
      </w:r>
    </w:p>
    <w:p w:rsidR="007C5447" w:rsidRDefault="007C5447">
      <w:pPr>
        <w:pStyle w:val="BodyText"/>
        <w:spacing w:before="11"/>
        <w:rPr>
          <w:i/>
          <w:sz w:val="20"/>
        </w:rPr>
      </w:pPr>
    </w:p>
    <w:p w:rsidR="007C5447" w:rsidRDefault="00F6308C">
      <w:pPr>
        <w:ind w:left="1540"/>
        <w:rPr>
          <w:i/>
          <w:sz w:val="24"/>
        </w:rPr>
      </w:pPr>
      <w:r>
        <w:rPr>
          <w:i/>
          <w:sz w:val="24"/>
        </w:rPr>
        <w:t>…</w:t>
      </w:r>
    </w:p>
    <w:p w:rsidR="007C5447" w:rsidRDefault="007C5447">
      <w:pPr>
        <w:pStyle w:val="BodyText"/>
        <w:spacing w:before="10"/>
        <w:rPr>
          <w:i/>
          <w:sz w:val="20"/>
        </w:rPr>
      </w:pPr>
    </w:p>
    <w:p w:rsidR="007C5447" w:rsidRDefault="00F6308C">
      <w:pPr>
        <w:ind w:left="1540" w:right="876"/>
        <w:jc w:val="both"/>
        <w:rPr>
          <w:i/>
          <w:sz w:val="24"/>
        </w:rPr>
      </w:pPr>
      <w:r>
        <w:rPr>
          <w:i/>
          <w:sz w:val="24"/>
        </w:rPr>
        <w:t>The capital expenditure and capitalization for the second Control Period appears to be highly optimistic considering the past performance of TANGEDCO. We feel that the State Commission erred in approving the capital expenditure/ capital</w:t>
      </w:r>
      <w:r>
        <w:rPr>
          <w:i/>
          <w:sz w:val="24"/>
        </w:rPr>
        <w:t>ization without considering the details of the Capital Investment Plan and the past performance of</w:t>
      </w:r>
      <w:r>
        <w:rPr>
          <w:i/>
          <w:spacing w:val="-2"/>
          <w:sz w:val="24"/>
        </w:rPr>
        <w:t xml:space="preserve"> </w:t>
      </w:r>
      <w:r>
        <w:rPr>
          <w:i/>
          <w:sz w:val="24"/>
        </w:rPr>
        <w:t>TANGEDCO.</w:t>
      </w:r>
    </w:p>
    <w:p w:rsidR="007C5447" w:rsidRDefault="007C5447">
      <w:pPr>
        <w:pStyle w:val="BodyText"/>
        <w:spacing w:before="10"/>
        <w:rPr>
          <w:i/>
          <w:sz w:val="20"/>
        </w:rPr>
      </w:pPr>
    </w:p>
    <w:p w:rsidR="007C5447" w:rsidRDefault="00F6308C">
      <w:pPr>
        <w:ind w:left="1540"/>
        <w:rPr>
          <w:i/>
          <w:sz w:val="24"/>
        </w:rPr>
      </w:pPr>
      <w:r>
        <w:rPr>
          <w:i/>
          <w:sz w:val="24"/>
        </w:rPr>
        <w:t>…</w:t>
      </w:r>
    </w:p>
    <w:p w:rsidR="007C5447" w:rsidRDefault="007C5447">
      <w:pPr>
        <w:pStyle w:val="BodyText"/>
        <w:spacing w:before="11"/>
        <w:rPr>
          <w:i/>
          <w:sz w:val="20"/>
        </w:rPr>
      </w:pPr>
    </w:p>
    <w:p w:rsidR="007C5447" w:rsidRDefault="00F6308C">
      <w:pPr>
        <w:pStyle w:val="ListParagraph"/>
        <w:numPr>
          <w:ilvl w:val="0"/>
          <w:numId w:val="103"/>
        </w:numPr>
        <w:tabs>
          <w:tab w:val="left" w:pos="2057"/>
        </w:tabs>
        <w:ind w:left="1540" w:right="875" w:firstLine="0"/>
        <w:jc w:val="both"/>
        <w:rPr>
          <w:b/>
          <w:i/>
          <w:sz w:val="24"/>
        </w:rPr>
      </w:pPr>
      <w:r>
        <w:rPr>
          <w:i/>
          <w:sz w:val="24"/>
        </w:rPr>
        <w:t xml:space="preserve">… We, therefore, direct the State Commission to true </w:t>
      </w:r>
      <w:r>
        <w:rPr>
          <w:i/>
          <w:sz w:val="24"/>
        </w:rPr>
        <w:t xml:space="preserve">up/provisionally true up the capitalization for FY 2013-14 immediately and the short fall if any should be accounted for while determining the tariff for the FY 2015-16, with carrying cost on the impact of the variation on this account in the ARR. </w:t>
      </w:r>
      <w:r>
        <w:rPr>
          <w:i/>
          <w:spacing w:val="-3"/>
          <w:sz w:val="24"/>
        </w:rPr>
        <w:t xml:space="preserve">We </w:t>
      </w:r>
      <w:r>
        <w:rPr>
          <w:i/>
          <w:sz w:val="24"/>
        </w:rPr>
        <w:t>direc</w:t>
      </w:r>
      <w:r>
        <w:rPr>
          <w:i/>
          <w:sz w:val="24"/>
        </w:rPr>
        <w:t xml:space="preserve">t TANGEDCO to submit the actual accounts of capital expenditure and capitalization during  FY 2013- 14 by 30.11.2014 to the State Commission. </w:t>
      </w:r>
      <w:r>
        <w:rPr>
          <w:b/>
          <w:i/>
          <w:sz w:val="24"/>
        </w:rPr>
        <w:t>TANGEDCO shall also submit the application for Capital Investment Plan for FY 2014-15 and 2015-16 in the requisite</w:t>
      </w:r>
      <w:r>
        <w:rPr>
          <w:b/>
          <w:i/>
          <w:sz w:val="24"/>
        </w:rPr>
        <w:t xml:space="preserve"> formats to the State Commission for approval as per the Tariff Regulations by 30.11.2014, if not already done. The State Commission shall approve the Capital Investment Plan of TANGEDCO for the FY 2014-15 and 2015-16 after following due process of law, if</w:t>
      </w:r>
      <w:r>
        <w:rPr>
          <w:b/>
          <w:i/>
          <w:sz w:val="24"/>
        </w:rPr>
        <w:t xml:space="preserve"> not already done, and consider the same while approving the tariff for the FY 2015-16…” (emphasis</w:t>
      </w:r>
      <w:r>
        <w:rPr>
          <w:b/>
          <w:i/>
          <w:spacing w:val="-1"/>
          <w:sz w:val="24"/>
        </w:rPr>
        <w:t xml:space="preserve"> </w:t>
      </w:r>
      <w:r>
        <w:rPr>
          <w:b/>
          <w:i/>
          <w:sz w:val="24"/>
        </w:rPr>
        <w:t>added)</w:t>
      </w:r>
    </w:p>
    <w:p w:rsidR="007C5447" w:rsidRDefault="00F6308C">
      <w:pPr>
        <w:pStyle w:val="ListParagraph"/>
        <w:numPr>
          <w:ilvl w:val="2"/>
          <w:numId w:val="92"/>
        </w:numPr>
        <w:tabs>
          <w:tab w:val="left" w:pos="953"/>
        </w:tabs>
        <w:spacing w:before="121"/>
        <w:ind w:left="952" w:hanging="853"/>
        <w:jc w:val="both"/>
        <w:rPr>
          <w:sz w:val="24"/>
        </w:rPr>
      </w:pPr>
      <w:r>
        <w:rPr>
          <w:sz w:val="24"/>
        </w:rPr>
        <w:t>In the Suo-Motu Order dated December 11, 2014, the Commission has stated</w:t>
      </w:r>
      <w:r>
        <w:rPr>
          <w:spacing w:val="-9"/>
          <w:sz w:val="24"/>
        </w:rPr>
        <w:t xml:space="preserve"> </w:t>
      </w:r>
      <w:r>
        <w:rPr>
          <w:sz w:val="24"/>
        </w:rPr>
        <w:t>that:</w:t>
      </w:r>
    </w:p>
    <w:p w:rsidR="007C5447" w:rsidRDefault="007C5447">
      <w:pPr>
        <w:pStyle w:val="BodyText"/>
        <w:spacing w:before="10"/>
        <w:rPr>
          <w:sz w:val="27"/>
        </w:rPr>
      </w:pPr>
    </w:p>
    <w:p w:rsidR="007C5447" w:rsidRDefault="00F6308C">
      <w:pPr>
        <w:spacing w:before="1"/>
        <w:ind w:left="1540" w:right="877"/>
        <w:jc w:val="both"/>
        <w:rPr>
          <w:i/>
          <w:sz w:val="24"/>
        </w:rPr>
      </w:pPr>
      <w:r>
        <w:rPr>
          <w:i/>
          <w:sz w:val="24"/>
        </w:rPr>
        <w:t>“3.89 The Commission has taken cognisance of the above APTEL directive and shall approve the capital investment plan and account for the shortfall if any in capex and capitalization while determining tariff for FY 2015-16 along with impact of carrying cost</w:t>
      </w:r>
      <w:r>
        <w:rPr>
          <w:i/>
          <w:sz w:val="24"/>
        </w:rPr>
        <w:t>.</w:t>
      </w:r>
    </w:p>
    <w:p w:rsidR="007C5447" w:rsidRDefault="007C5447">
      <w:pPr>
        <w:pStyle w:val="BodyText"/>
        <w:spacing w:before="10"/>
        <w:rPr>
          <w:i/>
          <w:sz w:val="20"/>
        </w:rPr>
      </w:pPr>
    </w:p>
    <w:p w:rsidR="007C5447" w:rsidRDefault="00F6308C">
      <w:pPr>
        <w:pStyle w:val="ListParagraph"/>
        <w:numPr>
          <w:ilvl w:val="1"/>
          <w:numId w:val="91"/>
        </w:numPr>
        <w:tabs>
          <w:tab w:val="left" w:pos="2117"/>
        </w:tabs>
        <w:ind w:right="877" w:firstLine="0"/>
        <w:jc w:val="both"/>
        <w:rPr>
          <w:i/>
          <w:sz w:val="24"/>
        </w:rPr>
      </w:pPr>
      <w:r>
        <w:rPr>
          <w:i/>
          <w:sz w:val="24"/>
        </w:rPr>
        <w:t>TANGEDCO has filed quarterly capex plans and resource reviews only for selective stations, which provided inconsistent information on capitalization and capital works in progress (CWIP) for each of the</w:t>
      </w:r>
      <w:r>
        <w:rPr>
          <w:i/>
          <w:spacing w:val="-2"/>
          <w:sz w:val="24"/>
        </w:rPr>
        <w:t xml:space="preserve"> </w:t>
      </w:r>
      <w:r>
        <w:rPr>
          <w:i/>
          <w:sz w:val="24"/>
        </w:rPr>
        <w:t>plants.</w:t>
      </w:r>
    </w:p>
    <w:p w:rsidR="007C5447" w:rsidRDefault="007C5447">
      <w:pPr>
        <w:pStyle w:val="BodyText"/>
        <w:spacing w:before="10"/>
        <w:rPr>
          <w:i/>
          <w:sz w:val="20"/>
        </w:rPr>
      </w:pPr>
    </w:p>
    <w:p w:rsidR="007C5447" w:rsidRDefault="00F6308C">
      <w:pPr>
        <w:pStyle w:val="ListParagraph"/>
        <w:numPr>
          <w:ilvl w:val="1"/>
          <w:numId w:val="91"/>
        </w:numPr>
        <w:tabs>
          <w:tab w:val="left" w:pos="2042"/>
        </w:tabs>
        <w:ind w:right="874" w:firstLine="0"/>
        <w:jc w:val="both"/>
        <w:rPr>
          <w:i/>
          <w:sz w:val="24"/>
        </w:rPr>
      </w:pPr>
      <w:r>
        <w:rPr>
          <w:i/>
          <w:sz w:val="24"/>
        </w:rPr>
        <w:t>It is also pertinent to mention that TANGE</w:t>
      </w:r>
      <w:r>
        <w:rPr>
          <w:i/>
          <w:sz w:val="24"/>
        </w:rPr>
        <w:t>DCO has finalized its audited accounts based on the provisional transfer scheme and the opening CWIP and GFA does take into consideration the actual capital expenditure and expenses incurred during the first seven months of FY 2010-11. Hence, this mismatch</w:t>
      </w:r>
      <w:r>
        <w:rPr>
          <w:i/>
          <w:sz w:val="24"/>
        </w:rPr>
        <w:t xml:space="preserve"> and ambiguity in the capital expenditure and capitalization is majorly due to non- finalization</w:t>
      </w:r>
      <w:r>
        <w:rPr>
          <w:i/>
          <w:spacing w:val="10"/>
          <w:sz w:val="24"/>
        </w:rPr>
        <w:t xml:space="preserve"> </w:t>
      </w:r>
      <w:r>
        <w:rPr>
          <w:i/>
          <w:sz w:val="24"/>
        </w:rPr>
        <w:t>of</w:t>
      </w:r>
      <w:r>
        <w:rPr>
          <w:i/>
          <w:spacing w:val="11"/>
          <w:sz w:val="24"/>
        </w:rPr>
        <w:t xml:space="preserve"> </w:t>
      </w:r>
      <w:r>
        <w:rPr>
          <w:i/>
          <w:sz w:val="24"/>
        </w:rPr>
        <w:t>transfer</w:t>
      </w:r>
      <w:r>
        <w:rPr>
          <w:i/>
          <w:spacing w:val="11"/>
          <w:sz w:val="24"/>
        </w:rPr>
        <w:t xml:space="preserve"> </w:t>
      </w:r>
      <w:r>
        <w:rPr>
          <w:i/>
          <w:sz w:val="24"/>
        </w:rPr>
        <w:t>scheme</w:t>
      </w:r>
      <w:r>
        <w:rPr>
          <w:i/>
          <w:spacing w:val="11"/>
          <w:sz w:val="24"/>
        </w:rPr>
        <w:t xml:space="preserve"> </w:t>
      </w:r>
      <w:r>
        <w:rPr>
          <w:i/>
          <w:sz w:val="24"/>
        </w:rPr>
        <w:t>and</w:t>
      </w:r>
      <w:r>
        <w:rPr>
          <w:i/>
          <w:spacing w:val="13"/>
          <w:sz w:val="24"/>
        </w:rPr>
        <w:t xml:space="preserve"> </w:t>
      </w:r>
      <w:r>
        <w:rPr>
          <w:i/>
          <w:sz w:val="24"/>
        </w:rPr>
        <w:t>hence</w:t>
      </w:r>
      <w:r>
        <w:rPr>
          <w:i/>
          <w:spacing w:val="13"/>
          <w:sz w:val="24"/>
        </w:rPr>
        <w:t xml:space="preserve"> </w:t>
      </w:r>
      <w:r>
        <w:rPr>
          <w:i/>
          <w:sz w:val="24"/>
        </w:rPr>
        <w:t>Commission</w:t>
      </w:r>
      <w:r>
        <w:rPr>
          <w:i/>
          <w:spacing w:val="13"/>
          <w:sz w:val="24"/>
        </w:rPr>
        <w:t xml:space="preserve"> </w:t>
      </w:r>
      <w:r>
        <w:rPr>
          <w:i/>
          <w:sz w:val="24"/>
        </w:rPr>
        <w:t>directs</w:t>
      </w:r>
      <w:r>
        <w:rPr>
          <w:i/>
          <w:spacing w:val="13"/>
          <w:sz w:val="24"/>
        </w:rPr>
        <w:t xml:space="preserve"> </w:t>
      </w:r>
      <w:r>
        <w:rPr>
          <w:i/>
          <w:sz w:val="24"/>
        </w:rPr>
        <w:t>the</w:t>
      </w:r>
    </w:p>
    <w:p w:rsidR="007C5447" w:rsidRDefault="007C5447">
      <w:pPr>
        <w:jc w:val="both"/>
        <w:rPr>
          <w:sz w:val="24"/>
        </w:rPr>
        <w:sectPr w:rsidR="007C5447">
          <w:pgSz w:w="11910" w:h="16840"/>
          <w:pgMar w:top="1360" w:right="1280" w:bottom="1240" w:left="1340" w:header="0" w:footer="1057" w:gutter="0"/>
          <w:cols w:space="720"/>
        </w:sectPr>
      </w:pPr>
    </w:p>
    <w:p w:rsidR="007C5447" w:rsidRDefault="00F6308C">
      <w:pPr>
        <w:spacing w:before="60"/>
        <w:ind w:left="1540" w:right="883"/>
        <w:jc w:val="both"/>
        <w:rPr>
          <w:i/>
          <w:sz w:val="24"/>
        </w:rPr>
      </w:pPr>
      <w:r>
        <w:rPr>
          <w:i/>
          <w:sz w:val="24"/>
        </w:rPr>
        <w:lastRenderedPageBreak/>
        <w:t>power utilities to get the transfer scheme finalized through GoTN at the</w:t>
      </w:r>
      <w:r>
        <w:rPr>
          <w:i/>
          <w:spacing w:val="-1"/>
          <w:sz w:val="24"/>
        </w:rPr>
        <w:t xml:space="preserve"> </w:t>
      </w:r>
      <w:r>
        <w:rPr>
          <w:i/>
          <w:sz w:val="24"/>
        </w:rPr>
        <w:t>earliest.”</w:t>
      </w:r>
    </w:p>
    <w:p w:rsidR="007C5447" w:rsidRDefault="00F6308C">
      <w:pPr>
        <w:pStyle w:val="ListParagraph"/>
        <w:numPr>
          <w:ilvl w:val="2"/>
          <w:numId w:val="92"/>
        </w:numPr>
        <w:tabs>
          <w:tab w:val="left" w:pos="953"/>
        </w:tabs>
        <w:spacing w:before="121" w:line="312" w:lineRule="auto"/>
        <w:ind w:left="952" w:right="151"/>
        <w:jc w:val="both"/>
        <w:rPr>
          <w:sz w:val="24"/>
        </w:rPr>
      </w:pPr>
      <w:r>
        <w:rPr>
          <w:sz w:val="24"/>
        </w:rPr>
        <w:t xml:space="preserve">As TANGEDCO has finalised its Transfer Scheme, capital expenditure and capitalisation as given in audited accounts for FY 2011-12 to FY 2015-16, excluding the impact of revaluation, have been considered while approving depreciation while truing up for the </w:t>
      </w:r>
      <w:r>
        <w:rPr>
          <w:sz w:val="24"/>
        </w:rPr>
        <w:t xml:space="preserve">period FY 2011-12 to FY 2015-16. </w:t>
      </w:r>
      <w:r>
        <w:rPr>
          <w:spacing w:val="-3"/>
          <w:sz w:val="24"/>
        </w:rPr>
        <w:t xml:space="preserve">It </w:t>
      </w:r>
      <w:r>
        <w:rPr>
          <w:sz w:val="24"/>
        </w:rPr>
        <w:t>is clarified that as the process of revaluation pertains only to book entry and has no material significance in regulatory process, the Commission has considered only book values, after removing the impact of revaluation</w:t>
      </w:r>
      <w:r>
        <w:rPr>
          <w:sz w:val="24"/>
        </w:rPr>
        <w:t>, while undertaking true up for FY 2011-12 to FY</w:t>
      </w:r>
      <w:r>
        <w:rPr>
          <w:spacing w:val="-11"/>
          <w:sz w:val="24"/>
        </w:rPr>
        <w:t xml:space="preserve"> </w:t>
      </w:r>
      <w:r>
        <w:rPr>
          <w:sz w:val="24"/>
        </w:rPr>
        <w:t>2015-16.</w:t>
      </w:r>
    </w:p>
    <w:p w:rsidR="007C5447" w:rsidRDefault="007C5447">
      <w:pPr>
        <w:pStyle w:val="BodyText"/>
        <w:spacing w:before="9"/>
        <w:rPr>
          <w:sz w:val="20"/>
        </w:rPr>
      </w:pPr>
    </w:p>
    <w:p w:rsidR="007C5447" w:rsidRDefault="00F6308C">
      <w:pPr>
        <w:pStyle w:val="ListParagraph"/>
        <w:numPr>
          <w:ilvl w:val="2"/>
          <w:numId w:val="92"/>
        </w:numPr>
        <w:tabs>
          <w:tab w:val="left" w:pos="953"/>
        </w:tabs>
        <w:spacing w:line="312" w:lineRule="auto"/>
        <w:ind w:left="952" w:right="155"/>
        <w:jc w:val="both"/>
        <w:rPr>
          <w:sz w:val="24"/>
        </w:rPr>
      </w:pPr>
      <w:r>
        <w:rPr>
          <w:sz w:val="24"/>
        </w:rPr>
        <w:t>Further, in line with the provision of Tariff Regulations and directions of the Hon’ble APTEL, the Commission has approved the Capital Investment Plan for TANGEDCO for FY 2014-15 and FY 2015-16 vid</w:t>
      </w:r>
      <w:r>
        <w:rPr>
          <w:sz w:val="24"/>
        </w:rPr>
        <w:t>e M.P. No 39 of 2012 dated January 31, 2017. Capital expenditure as approved in the above stated Order have been considered while truing up the interest on loans and RoE, with reference to the capital expenditure and capitalisation considered in the Suo-Mo</w:t>
      </w:r>
      <w:r>
        <w:rPr>
          <w:sz w:val="24"/>
        </w:rPr>
        <w:t>tu Order for FY 2014-15.</w:t>
      </w:r>
    </w:p>
    <w:p w:rsidR="007C5447" w:rsidRDefault="007C5447">
      <w:pPr>
        <w:pStyle w:val="BodyText"/>
        <w:rPr>
          <w:sz w:val="21"/>
        </w:rPr>
      </w:pPr>
    </w:p>
    <w:p w:rsidR="007C5447" w:rsidRDefault="00F6308C">
      <w:pPr>
        <w:pStyle w:val="Heading2"/>
        <w:numPr>
          <w:ilvl w:val="1"/>
          <w:numId w:val="92"/>
        </w:numPr>
        <w:tabs>
          <w:tab w:val="left" w:pos="666"/>
          <w:tab w:val="left" w:pos="667"/>
        </w:tabs>
        <w:ind w:left="666"/>
        <w:jc w:val="left"/>
      </w:pPr>
      <w:bookmarkStart w:id="42" w:name="_bookmark42"/>
      <w:bookmarkEnd w:id="42"/>
      <w:r>
        <w:t>Depreciation</w:t>
      </w:r>
    </w:p>
    <w:p w:rsidR="007C5447" w:rsidRDefault="007C5447">
      <w:pPr>
        <w:pStyle w:val="BodyText"/>
        <w:rPr>
          <w:b/>
          <w:sz w:val="28"/>
        </w:rPr>
      </w:pPr>
    </w:p>
    <w:p w:rsidR="007C5447" w:rsidRDefault="00F6308C">
      <w:pPr>
        <w:pStyle w:val="ListParagraph"/>
        <w:numPr>
          <w:ilvl w:val="2"/>
          <w:numId w:val="92"/>
        </w:numPr>
        <w:tabs>
          <w:tab w:val="left" w:pos="953"/>
        </w:tabs>
        <w:spacing w:line="312" w:lineRule="auto"/>
        <w:ind w:left="952" w:right="153"/>
        <w:jc w:val="both"/>
        <w:rPr>
          <w:sz w:val="24"/>
        </w:rPr>
      </w:pPr>
      <w:r>
        <w:rPr>
          <w:sz w:val="24"/>
        </w:rPr>
        <w:t>TANGEDCO submitted that the opening gross block for each generating station and for distribution function for the period from FY 2011-12 to FY 2015-16 has been considered as available in the Audited Accounts of respe</w:t>
      </w:r>
      <w:r>
        <w:rPr>
          <w:sz w:val="24"/>
        </w:rPr>
        <w:t>ctive years without considering the effect of revaluation reserve. The actual asset additions during the year have been considered as per audited figures during the period from FY 2011-12 to FY</w:t>
      </w:r>
      <w:r>
        <w:rPr>
          <w:spacing w:val="-1"/>
          <w:sz w:val="24"/>
        </w:rPr>
        <w:t xml:space="preserve"> </w:t>
      </w:r>
      <w:r>
        <w:rPr>
          <w:sz w:val="24"/>
        </w:rPr>
        <w:t>2015-16.</w:t>
      </w:r>
    </w:p>
    <w:p w:rsidR="007C5447" w:rsidRDefault="007C5447">
      <w:pPr>
        <w:pStyle w:val="BodyText"/>
        <w:spacing w:before="11"/>
        <w:rPr>
          <w:sz w:val="20"/>
        </w:rPr>
      </w:pPr>
    </w:p>
    <w:p w:rsidR="007C5447" w:rsidRDefault="00F6308C">
      <w:pPr>
        <w:pStyle w:val="ListParagraph"/>
        <w:numPr>
          <w:ilvl w:val="2"/>
          <w:numId w:val="92"/>
        </w:numPr>
        <w:tabs>
          <w:tab w:val="left" w:pos="953"/>
        </w:tabs>
        <w:spacing w:line="312" w:lineRule="auto"/>
        <w:ind w:left="952" w:right="155"/>
        <w:jc w:val="both"/>
        <w:rPr>
          <w:sz w:val="24"/>
        </w:rPr>
      </w:pPr>
      <w:r>
        <w:rPr>
          <w:sz w:val="24"/>
        </w:rPr>
        <w:t>The depreciation claimed by TANGEDCO during the year</w:t>
      </w:r>
      <w:r>
        <w:rPr>
          <w:sz w:val="24"/>
        </w:rPr>
        <w:t xml:space="preserve"> is based on the actual depreciation reflecting in accounts for FY 2011-12 to FY 2015-16, which in turn is calculated on the basis of Commission approved depreciation rates for each asset class and computed on the opening GFA of that particular</w:t>
      </w:r>
      <w:r>
        <w:rPr>
          <w:spacing w:val="-4"/>
          <w:sz w:val="24"/>
        </w:rPr>
        <w:t xml:space="preserve"> </w:t>
      </w:r>
      <w:r>
        <w:rPr>
          <w:sz w:val="24"/>
        </w:rPr>
        <w:t>year.</w:t>
      </w:r>
    </w:p>
    <w:p w:rsidR="007C5447" w:rsidRDefault="007C5447">
      <w:pPr>
        <w:pStyle w:val="BodyText"/>
        <w:spacing w:before="10"/>
        <w:rPr>
          <w:sz w:val="20"/>
        </w:rPr>
      </w:pPr>
    </w:p>
    <w:p w:rsidR="007C5447" w:rsidRDefault="00F6308C">
      <w:pPr>
        <w:pStyle w:val="ListParagraph"/>
        <w:numPr>
          <w:ilvl w:val="2"/>
          <w:numId w:val="92"/>
        </w:numPr>
        <w:tabs>
          <w:tab w:val="left" w:pos="953"/>
        </w:tabs>
        <w:spacing w:line="312" w:lineRule="auto"/>
        <w:ind w:left="952" w:right="159"/>
        <w:jc w:val="both"/>
        <w:rPr>
          <w:sz w:val="24"/>
        </w:rPr>
      </w:pPr>
      <w:r>
        <w:rPr>
          <w:sz w:val="24"/>
        </w:rPr>
        <w:t>TANGEDCO further submitted that it has used the weighted average depreciation rate for the particular group of assets based on depreciation rates specified in the Tariff Regulations. The depreciation calculated is in line with Regulation 24 of the Tariff</w:t>
      </w:r>
      <w:r>
        <w:rPr>
          <w:spacing w:val="-1"/>
          <w:sz w:val="24"/>
        </w:rPr>
        <w:t xml:space="preserve"> </w:t>
      </w:r>
      <w:r>
        <w:rPr>
          <w:sz w:val="24"/>
        </w:rPr>
        <w:t>R</w:t>
      </w:r>
      <w:r>
        <w:rPr>
          <w:sz w:val="24"/>
        </w:rPr>
        <w:t>egulations.</w:t>
      </w:r>
    </w:p>
    <w:p w:rsidR="007C5447" w:rsidRDefault="007C5447">
      <w:pPr>
        <w:pStyle w:val="BodyText"/>
        <w:spacing w:before="10"/>
        <w:rPr>
          <w:sz w:val="20"/>
        </w:rPr>
      </w:pPr>
    </w:p>
    <w:p w:rsidR="007C5447" w:rsidRDefault="00F6308C">
      <w:pPr>
        <w:pStyle w:val="ListParagraph"/>
        <w:numPr>
          <w:ilvl w:val="2"/>
          <w:numId w:val="92"/>
        </w:numPr>
        <w:tabs>
          <w:tab w:val="left" w:pos="953"/>
        </w:tabs>
        <w:spacing w:before="1" w:line="312" w:lineRule="auto"/>
        <w:ind w:left="952" w:right="154"/>
        <w:jc w:val="both"/>
        <w:rPr>
          <w:sz w:val="24"/>
        </w:rPr>
      </w:pPr>
      <w:r>
        <w:rPr>
          <w:sz w:val="24"/>
        </w:rPr>
        <w:t>The actual depreciation for Generation and Distribution function of TANGEDCO  for FY 2011-12, FY 2012-13, FY 2013-14, FY 2014-15 and FY 2015-16 is</w:t>
      </w:r>
      <w:r>
        <w:rPr>
          <w:spacing w:val="29"/>
          <w:sz w:val="24"/>
        </w:rPr>
        <w:t xml:space="preserve"> </w:t>
      </w:r>
      <w:r>
        <w:rPr>
          <w:sz w:val="24"/>
        </w:rPr>
        <w:t>Rs.</w:t>
      </w:r>
    </w:p>
    <w:p w:rsidR="007C5447" w:rsidRDefault="007C5447">
      <w:pPr>
        <w:spacing w:line="312" w:lineRule="auto"/>
        <w:jc w:val="both"/>
        <w:rPr>
          <w:sz w:val="24"/>
        </w:rPr>
        <w:sectPr w:rsidR="007C5447">
          <w:pgSz w:w="11910" w:h="16840"/>
          <w:pgMar w:top="1360" w:right="1280" w:bottom="1240" w:left="1340" w:header="0" w:footer="1057" w:gutter="0"/>
          <w:cols w:space="720"/>
        </w:sectPr>
      </w:pPr>
    </w:p>
    <w:p w:rsidR="007C5447" w:rsidRDefault="00F6308C">
      <w:pPr>
        <w:pStyle w:val="BodyText"/>
        <w:spacing w:before="60" w:line="312" w:lineRule="auto"/>
        <w:ind w:left="952" w:right="71"/>
      </w:pPr>
      <w:r>
        <w:lastRenderedPageBreak/>
        <w:t>616.03 Crore, Rs. 647.07 Crore, Rs. 722.90 Crore, Rs. 1285.45 Crore, and Rs. 1608.10 Cr</w:t>
      </w:r>
      <w:r>
        <w:t>ore, respectively.</w:t>
      </w:r>
    </w:p>
    <w:p w:rsidR="007C5447" w:rsidRDefault="007C5447">
      <w:pPr>
        <w:pStyle w:val="BodyText"/>
        <w:spacing w:before="11"/>
        <w:rPr>
          <w:sz w:val="20"/>
        </w:rPr>
      </w:pPr>
    </w:p>
    <w:p w:rsidR="007C5447" w:rsidRDefault="00F6308C">
      <w:pPr>
        <w:pStyle w:val="ListParagraph"/>
        <w:numPr>
          <w:ilvl w:val="2"/>
          <w:numId w:val="92"/>
        </w:numPr>
        <w:tabs>
          <w:tab w:val="left" w:pos="953"/>
        </w:tabs>
        <w:spacing w:line="312" w:lineRule="auto"/>
        <w:ind w:left="952" w:right="154"/>
        <w:jc w:val="both"/>
        <w:rPr>
          <w:sz w:val="24"/>
        </w:rPr>
      </w:pPr>
      <w:r>
        <w:rPr>
          <w:sz w:val="24"/>
        </w:rPr>
        <w:t>The actual generating station-wise depreciation for FY 2011-12 to FY 2015-16 as submitted by TANGEDCO is shown in the Table</w:t>
      </w:r>
      <w:r>
        <w:rPr>
          <w:spacing w:val="-7"/>
          <w:sz w:val="24"/>
        </w:rPr>
        <w:t xml:space="preserve"> </w:t>
      </w:r>
      <w:r>
        <w:rPr>
          <w:sz w:val="24"/>
        </w:rPr>
        <w:t>below:</w:t>
      </w:r>
    </w:p>
    <w:p w:rsidR="007C5447" w:rsidRDefault="007C5447">
      <w:pPr>
        <w:pStyle w:val="BodyText"/>
        <w:rPr>
          <w:sz w:val="21"/>
        </w:rPr>
      </w:pPr>
    </w:p>
    <w:p w:rsidR="007C5447" w:rsidRDefault="00F6308C">
      <w:pPr>
        <w:ind w:left="1439" w:right="1497"/>
        <w:jc w:val="center"/>
        <w:rPr>
          <w:b/>
        </w:rPr>
      </w:pPr>
      <w:r>
        <w:rPr>
          <w:b/>
        </w:rPr>
        <w:t>Table 3-16: Depreciation as submitted by TANGEDCO (Rs. Crore)</w:t>
      </w:r>
    </w:p>
    <w:p w:rsidR="007C5447" w:rsidRDefault="007C5447">
      <w:pPr>
        <w:pStyle w:val="BodyText"/>
        <w:rPr>
          <w:b/>
          <w:sz w:val="17"/>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988"/>
        <w:gridCol w:w="1275"/>
        <w:gridCol w:w="1275"/>
        <w:gridCol w:w="1294"/>
        <w:gridCol w:w="1261"/>
        <w:gridCol w:w="1275"/>
      </w:tblGrid>
      <w:tr w:rsidR="007C5447">
        <w:trPr>
          <w:trHeight w:val="313"/>
        </w:trPr>
        <w:tc>
          <w:tcPr>
            <w:tcW w:w="703" w:type="dxa"/>
            <w:shd w:val="clear" w:color="auto" w:fill="F7C9AC"/>
          </w:tcPr>
          <w:p w:rsidR="007C5447" w:rsidRDefault="00F6308C">
            <w:pPr>
              <w:pStyle w:val="TableParagraph"/>
              <w:spacing w:before="43"/>
              <w:ind w:left="242"/>
              <w:jc w:val="left"/>
              <w:rPr>
                <w:b/>
                <w:sz w:val="20"/>
              </w:rPr>
            </w:pPr>
            <w:r>
              <w:rPr>
                <w:b/>
                <w:sz w:val="20"/>
              </w:rPr>
              <w:t>Sl.</w:t>
            </w:r>
          </w:p>
        </w:tc>
        <w:tc>
          <w:tcPr>
            <w:tcW w:w="1988" w:type="dxa"/>
            <w:shd w:val="clear" w:color="auto" w:fill="F7C9AC"/>
          </w:tcPr>
          <w:p w:rsidR="007C5447" w:rsidRDefault="00F6308C">
            <w:pPr>
              <w:pStyle w:val="TableParagraph"/>
              <w:spacing w:before="43"/>
              <w:ind w:left="388"/>
              <w:jc w:val="left"/>
              <w:rPr>
                <w:b/>
                <w:sz w:val="20"/>
              </w:rPr>
            </w:pPr>
            <w:r>
              <w:rPr>
                <w:b/>
                <w:sz w:val="20"/>
              </w:rPr>
              <w:t>Power Station</w:t>
            </w:r>
          </w:p>
        </w:tc>
        <w:tc>
          <w:tcPr>
            <w:tcW w:w="1275" w:type="dxa"/>
            <w:shd w:val="clear" w:color="auto" w:fill="F7C9AC"/>
          </w:tcPr>
          <w:p w:rsidR="007C5447" w:rsidRDefault="00F6308C">
            <w:pPr>
              <w:pStyle w:val="TableParagraph"/>
              <w:spacing w:before="43"/>
              <w:ind w:right="135"/>
              <w:rPr>
                <w:b/>
                <w:sz w:val="20"/>
              </w:rPr>
            </w:pPr>
            <w:r>
              <w:rPr>
                <w:b/>
                <w:sz w:val="20"/>
              </w:rPr>
              <w:t>FY 2011-12</w:t>
            </w:r>
          </w:p>
        </w:tc>
        <w:tc>
          <w:tcPr>
            <w:tcW w:w="1275" w:type="dxa"/>
            <w:shd w:val="clear" w:color="auto" w:fill="F7C9AC"/>
          </w:tcPr>
          <w:p w:rsidR="007C5447" w:rsidRDefault="00F6308C">
            <w:pPr>
              <w:pStyle w:val="TableParagraph"/>
              <w:spacing w:before="43"/>
              <w:ind w:right="130"/>
              <w:rPr>
                <w:b/>
                <w:sz w:val="20"/>
              </w:rPr>
            </w:pPr>
            <w:r>
              <w:rPr>
                <w:b/>
                <w:sz w:val="20"/>
              </w:rPr>
              <w:t>FY 2012-13</w:t>
            </w:r>
          </w:p>
        </w:tc>
        <w:tc>
          <w:tcPr>
            <w:tcW w:w="1294" w:type="dxa"/>
            <w:shd w:val="clear" w:color="auto" w:fill="F7C9AC"/>
          </w:tcPr>
          <w:p w:rsidR="007C5447" w:rsidRDefault="00F6308C">
            <w:pPr>
              <w:pStyle w:val="TableParagraph"/>
              <w:spacing w:before="43"/>
              <w:ind w:right="143"/>
              <w:rPr>
                <w:b/>
                <w:sz w:val="20"/>
              </w:rPr>
            </w:pPr>
            <w:r>
              <w:rPr>
                <w:b/>
                <w:sz w:val="20"/>
              </w:rPr>
              <w:t>FY 2013-14</w:t>
            </w:r>
          </w:p>
        </w:tc>
        <w:tc>
          <w:tcPr>
            <w:tcW w:w="1261" w:type="dxa"/>
            <w:shd w:val="clear" w:color="auto" w:fill="F7C9AC"/>
          </w:tcPr>
          <w:p w:rsidR="007C5447" w:rsidRDefault="00F6308C">
            <w:pPr>
              <w:pStyle w:val="TableParagraph"/>
              <w:spacing w:before="43"/>
              <w:ind w:right="126"/>
              <w:rPr>
                <w:b/>
                <w:sz w:val="20"/>
              </w:rPr>
            </w:pPr>
            <w:r>
              <w:rPr>
                <w:b/>
                <w:sz w:val="20"/>
              </w:rPr>
              <w:t>FY 2014-15</w:t>
            </w:r>
          </w:p>
        </w:tc>
        <w:tc>
          <w:tcPr>
            <w:tcW w:w="1275" w:type="dxa"/>
            <w:shd w:val="clear" w:color="auto" w:fill="F7C9AC"/>
          </w:tcPr>
          <w:p w:rsidR="007C5447" w:rsidRDefault="00F6308C">
            <w:pPr>
              <w:pStyle w:val="TableParagraph"/>
              <w:spacing w:before="43"/>
              <w:ind w:right="134"/>
              <w:rPr>
                <w:b/>
                <w:sz w:val="20"/>
              </w:rPr>
            </w:pPr>
            <w:r>
              <w:rPr>
                <w:b/>
                <w:sz w:val="20"/>
              </w:rPr>
              <w:t>FY 2015-16</w:t>
            </w:r>
          </w:p>
        </w:tc>
      </w:tr>
      <w:tr w:rsidR="007C5447">
        <w:trPr>
          <w:trHeight w:val="316"/>
        </w:trPr>
        <w:tc>
          <w:tcPr>
            <w:tcW w:w="703" w:type="dxa"/>
          </w:tcPr>
          <w:p w:rsidR="007C5447" w:rsidRDefault="00F6308C">
            <w:pPr>
              <w:pStyle w:val="TableParagraph"/>
              <w:spacing w:before="72" w:line="224" w:lineRule="exact"/>
              <w:ind w:left="299"/>
              <w:jc w:val="left"/>
              <w:rPr>
                <w:sz w:val="20"/>
              </w:rPr>
            </w:pPr>
            <w:r>
              <w:rPr>
                <w:w w:val="99"/>
                <w:sz w:val="20"/>
              </w:rPr>
              <w:t>1</w:t>
            </w:r>
          </w:p>
        </w:tc>
        <w:tc>
          <w:tcPr>
            <w:tcW w:w="1988" w:type="dxa"/>
          </w:tcPr>
          <w:p w:rsidR="007C5447" w:rsidRDefault="00F6308C">
            <w:pPr>
              <w:pStyle w:val="TableParagraph"/>
              <w:spacing w:before="72" w:line="224" w:lineRule="exact"/>
              <w:ind w:left="107"/>
              <w:jc w:val="left"/>
              <w:rPr>
                <w:sz w:val="20"/>
              </w:rPr>
            </w:pPr>
            <w:r>
              <w:rPr>
                <w:sz w:val="20"/>
              </w:rPr>
              <w:t>Ennore TPS</w:t>
            </w:r>
          </w:p>
        </w:tc>
        <w:tc>
          <w:tcPr>
            <w:tcW w:w="1275" w:type="dxa"/>
          </w:tcPr>
          <w:p w:rsidR="007C5447" w:rsidRDefault="00F6308C">
            <w:pPr>
              <w:pStyle w:val="TableParagraph"/>
              <w:spacing w:before="43"/>
              <w:ind w:right="101"/>
              <w:rPr>
                <w:sz w:val="20"/>
              </w:rPr>
            </w:pPr>
            <w:r>
              <w:rPr>
                <w:w w:val="95"/>
                <w:sz w:val="20"/>
              </w:rPr>
              <w:t>36.05</w:t>
            </w:r>
          </w:p>
        </w:tc>
        <w:tc>
          <w:tcPr>
            <w:tcW w:w="1275" w:type="dxa"/>
          </w:tcPr>
          <w:p w:rsidR="007C5447" w:rsidRDefault="00F6308C">
            <w:pPr>
              <w:pStyle w:val="TableParagraph"/>
              <w:spacing w:before="43"/>
              <w:ind w:right="96"/>
              <w:rPr>
                <w:sz w:val="20"/>
              </w:rPr>
            </w:pPr>
            <w:r>
              <w:rPr>
                <w:w w:val="95"/>
                <w:sz w:val="20"/>
              </w:rPr>
              <w:t>36.32</w:t>
            </w:r>
          </w:p>
        </w:tc>
        <w:tc>
          <w:tcPr>
            <w:tcW w:w="1294" w:type="dxa"/>
          </w:tcPr>
          <w:p w:rsidR="007C5447" w:rsidRDefault="00F6308C">
            <w:pPr>
              <w:pStyle w:val="TableParagraph"/>
              <w:spacing w:before="43"/>
              <w:ind w:right="99"/>
              <w:rPr>
                <w:sz w:val="20"/>
              </w:rPr>
            </w:pPr>
            <w:r>
              <w:rPr>
                <w:w w:val="95"/>
                <w:sz w:val="20"/>
              </w:rPr>
              <w:t>40.26</w:t>
            </w:r>
          </w:p>
        </w:tc>
        <w:tc>
          <w:tcPr>
            <w:tcW w:w="1261" w:type="dxa"/>
          </w:tcPr>
          <w:p w:rsidR="007C5447" w:rsidRDefault="00F6308C">
            <w:pPr>
              <w:pStyle w:val="TableParagraph"/>
              <w:spacing w:before="43"/>
              <w:ind w:right="98"/>
              <w:rPr>
                <w:sz w:val="20"/>
              </w:rPr>
            </w:pPr>
            <w:r>
              <w:rPr>
                <w:sz w:val="20"/>
              </w:rPr>
              <w:t>57.56</w:t>
            </w:r>
          </w:p>
        </w:tc>
        <w:tc>
          <w:tcPr>
            <w:tcW w:w="1275" w:type="dxa"/>
          </w:tcPr>
          <w:p w:rsidR="007C5447" w:rsidRDefault="00F6308C">
            <w:pPr>
              <w:pStyle w:val="TableParagraph"/>
              <w:spacing w:before="43"/>
              <w:ind w:right="98"/>
              <w:rPr>
                <w:sz w:val="20"/>
              </w:rPr>
            </w:pPr>
            <w:r>
              <w:rPr>
                <w:sz w:val="20"/>
              </w:rPr>
              <w:t>37.33</w:t>
            </w:r>
          </w:p>
        </w:tc>
      </w:tr>
      <w:tr w:rsidR="007C5447">
        <w:trPr>
          <w:trHeight w:val="314"/>
        </w:trPr>
        <w:tc>
          <w:tcPr>
            <w:tcW w:w="703" w:type="dxa"/>
          </w:tcPr>
          <w:p w:rsidR="007C5447" w:rsidRDefault="00F6308C">
            <w:pPr>
              <w:pStyle w:val="TableParagraph"/>
              <w:spacing w:before="70" w:line="224" w:lineRule="exact"/>
              <w:ind w:left="299"/>
              <w:jc w:val="left"/>
              <w:rPr>
                <w:sz w:val="20"/>
              </w:rPr>
            </w:pPr>
            <w:r>
              <w:rPr>
                <w:w w:val="99"/>
                <w:sz w:val="20"/>
              </w:rPr>
              <w:t>2</w:t>
            </w:r>
          </w:p>
        </w:tc>
        <w:tc>
          <w:tcPr>
            <w:tcW w:w="1988" w:type="dxa"/>
          </w:tcPr>
          <w:p w:rsidR="007C5447" w:rsidRDefault="00F6308C">
            <w:pPr>
              <w:pStyle w:val="TableParagraph"/>
              <w:spacing w:before="70" w:line="224" w:lineRule="exact"/>
              <w:ind w:left="107"/>
              <w:jc w:val="left"/>
              <w:rPr>
                <w:sz w:val="20"/>
              </w:rPr>
            </w:pPr>
            <w:r>
              <w:rPr>
                <w:sz w:val="20"/>
              </w:rPr>
              <w:t>Tuticorin TPS</w:t>
            </w:r>
          </w:p>
        </w:tc>
        <w:tc>
          <w:tcPr>
            <w:tcW w:w="1275" w:type="dxa"/>
          </w:tcPr>
          <w:p w:rsidR="007C5447" w:rsidRDefault="00F6308C">
            <w:pPr>
              <w:pStyle w:val="TableParagraph"/>
              <w:spacing w:before="43"/>
              <w:ind w:right="101"/>
              <w:rPr>
                <w:sz w:val="20"/>
              </w:rPr>
            </w:pPr>
            <w:r>
              <w:rPr>
                <w:w w:val="95"/>
                <w:sz w:val="20"/>
              </w:rPr>
              <w:t>63.45</w:t>
            </w:r>
          </w:p>
        </w:tc>
        <w:tc>
          <w:tcPr>
            <w:tcW w:w="1275" w:type="dxa"/>
          </w:tcPr>
          <w:p w:rsidR="007C5447" w:rsidRDefault="00F6308C">
            <w:pPr>
              <w:pStyle w:val="TableParagraph"/>
              <w:spacing w:before="43"/>
              <w:ind w:right="96"/>
              <w:rPr>
                <w:sz w:val="20"/>
              </w:rPr>
            </w:pPr>
            <w:r>
              <w:rPr>
                <w:w w:val="95"/>
                <w:sz w:val="20"/>
              </w:rPr>
              <w:t>63.96</w:t>
            </w:r>
          </w:p>
        </w:tc>
        <w:tc>
          <w:tcPr>
            <w:tcW w:w="1294" w:type="dxa"/>
          </w:tcPr>
          <w:p w:rsidR="007C5447" w:rsidRDefault="00F6308C">
            <w:pPr>
              <w:pStyle w:val="TableParagraph"/>
              <w:spacing w:before="43"/>
              <w:ind w:right="99"/>
              <w:rPr>
                <w:sz w:val="20"/>
              </w:rPr>
            </w:pPr>
            <w:r>
              <w:rPr>
                <w:w w:val="95"/>
                <w:sz w:val="20"/>
              </w:rPr>
              <w:t>71.20</w:t>
            </w:r>
          </w:p>
        </w:tc>
        <w:tc>
          <w:tcPr>
            <w:tcW w:w="1261" w:type="dxa"/>
          </w:tcPr>
          <w:p w:rsidR="007C5447" w:rsidRDefault="00F6308C">
            <w:pPr>
              <w:pStyle w:val="TableParagraph"/>
              <w:spacing w:before="43"/>
              <w:ind w:right="98"/>
              <w:rPr>
                <w:sz w:val="20"/>
              </w:rPr>
            </w:pPr>
            <w:r>
              <w:rPr>
                <w:w w:val="95"/>
                <w:sz w:val="20"/>
              </w:rPr>
              <w:t>103.82</w:t>
            </w:r>
          </w:p>
        </w:tc>
        <w:tc>
          <w:tcPr>
            <w:tcW w:w="1275" w:type="dxa"/>
          </w:tcPr>
          <w:p w:rsidR="007C5447" w:rsidRDefault="00F6308C">
            <w:pPr>
              <w:pStyle w:val="TableParagraph"/>
              <w:spacing w:before="43"/>
              <w:ind w:right="98"/>
              <w:rPr>
                <w:sz w:val="20"/>
              </w:rPr>
            </w:pPr>
            <w:r>
              <w:rPr>
                <w:sz w:val="20"/>
              </w:rPr>
              <w:t>54.22</w:t>
            </w:r>
          </w:p>
        </w:tc>
      </w:tr>
      <w:tr w:rsidR="007C5447">
        <w:trPr>
          <w:trHeight w:val="316"/>
        </w:trPr>
        <w:tc>
          <w:tcPr>
            <w:tcW w:w="703" w:type="dxa"/>
          </w:tcPr>
          <w:p w:rsidR="007C5447" w:rsidRDefault="00F6308C">
            <w:pPr>
              <w:pStyle w:val="TableParagraph"/>
              <w:spacing w:before="70" w:line="227" w:lineRule="exact"/>
              <w:ind w:left="299"/>
              <w:jc w:val="left"/>
              <w:rPr>
                <w:sz w:val="20"/>
              </w:rPr>
            </w:pPr>
            <w:r>
              <w:rPr>
                <w:w w:val="99"/>
                <w:sz w:val="20"/>
              </w:rPr>
              <w:t>3</w:t>
            </w:r>
          </w:p>
        </w:tc>
        <w:tc>
          <w:tcPr>
            <w:tcW w:w="1988" w:type="dxa"/>
          </w:tcPr>
          <w:p w:rsidR="007C5447" w:rsidRDefault="00F6308C">
            <w:pPr>
              <w:pStyle w:val="TableParagraph"/>
              <w:spacing w:before="70" w:line="227" w:lineRule="exact"/>
              <w:ind w:left="107"/>
              <w:jc w:val="left"/>
              <w:rPr>
                <w:sz w:val="20"/>
              </w:rPr>
            </w:pPr>
            <w:r>
              <w:rPr>
                <w:sz w:val="20"/>
              </w:rPr>
              <w:t>Mettur TPS</w:t>
            </w:r>
          </w:p>
        </w:tc>
        <w:tc>
          <w:tcPr>
            <w:tcW w:w="1275" w:type="dxa"/>
          </w:tcPr>
          <w:p w:rsidR="007C5447" w:rsidRDefault="00F6308C">
            <w:pPr>
              <w:pStyle w:val="TableParagraph"/>
              <w:spacing w:before="43"/>
              <w:ind w:right="101"/>
              <w:rPr>
                <w:sz w:val="20"/>
              </w:rPr>
            </w:pPr>
            <w:r>
              <w:rPr>
                <w:w w:val="95"/>
                <w:sz w:val="20"/>
              </w:rPr>
              <w:t>37.65</w:t>
            </w:r>
          </w:p>
        </w:tc>
        <w:tc>
          <w:tcPr>
            <w:tcW w:w="1275" w:type="dxa"/>
          </w:tcPr>
          <w:p w:rsidR="007C5447" w:rsidRDefault="00F6308C">
            <w:pPr>
              <w:pStyle w:val="TableParagraph"/>
              <w:spacing w:before="43"/>
              <w:ind w:right="96"/>
              <w:rPr>
                <w:sz w:val="20"/>
              </w:rPr>
            </w:pPr>
            <w:r>
              <w:rPr>
                <w:w w:val="95"/>
                <w:sz w:val="20"/>
              </w:rPr>
              <w:t>37.92</w:t>
            </w:r>
          </w:p>
        </w:tc>
        <w:tc>
          <w:tcPr>
            <w:tcW w:w="1294" w:type="dxa"/>
          </w:tcPr>
          <w:p w:rsidR="007C5447" w:rsidRDefault="00F6308C">
            <w:pPr>
              <w:pStyle w:val="TableParagraph"/>
              <w:spacing w:before="43"/>
              <w:ind w:right="99"/>
              <w:rPr>
                <w:sz w:val="20"/>
              </w:rPr>
            </w:pPr>
            <w:r>
              <w:rPr>
                <w:w w:val="95"/>
                <w:sz w:val="20"/>
              </w:rPr>
              <w:t>42.49</w:t>
            </w:r>
          </w:p>
        </w:tc>
        <w:tc>
          <w:tcPr>
            <w:tcW w:w="1261" w:type="dxa"/>
          </w:tcPr>
          <w:p w:rsidR="007C5447" w:rsidRDefault="00F6308C">
            <w:pPr>
              <w:pStyle w:val="TableParagraph"/>
              <w:spacing w:before="43"/>
              <w:ind w:right="98"/>
              <w:rPr>
                <w:sz w:val="20"/>
              </w:rPr>
            </w:pPr>
            <w:r>
              <w:rPr>
                <w:w w:val="95"/>
                <w:sz w:val="20"/>
              </w:rPr>
              <w:t>208.11</w:t>
            </w:r>
          </w:p>
        </w:tc>
        <w:tc>
          <w:tcPr>
            <w:tcW w:w="1275" w:type="dxa"/>
          </w:tcPr>
          <w:p w:rsidR="007C5447" w:rsidRDefault="00F6308C">
            <w:pPr>
              <w:pStyle w:val="TableParagraph"/>
              <w:spacing w:before="43"/>
              <w:ind w:right="98"/>
              <w:rPr>
                <w:sz w:val="20"/>
              </w:rPr>
            </w:pPr>
            <w:r>
              <w:rPr>
                <w:sz w:val="20"/>
              </w:rPr>
              <w:t>25.28</w:t>
            </w:r>
          </w:p>
        </w:tc>
      </w:tr>
      <w:tr w:rsidR="007C5447">
        <w:trPr>
          <w:trHeight w:val="314"/>
        </w:trPr>
        <w:tc>
          <w:tcPr>
            <w:tcW w:w="703" w:type="dxa"/>
          </w:tcPr>
          <w:p w:rsidR="007C5447" w:rsidRDefault="00F6308C">
            <w:pPr>
              <w:pStyle w:val="TableParagraph"/>
              <w:spacing w:before="70" w:line="224" w:lineRule="exact"/>
              <w:ind w:left="299"/>
              <w:jc w:val="left"/>
              <w:rPr>
                <w:sz w:val="20"/>
              </w:rPr>
            </w:pPr>
            <w:r>
              <w:rPr>
                <w:w w:val="99"/>
                <w:sz w:val="20"/>
              </w:rPr>
              <w:t>4</w:t>
            </w:r>
          </w:p>
        </w:tc>
        <w:tc>
          <w:tcPr>
            <w:tcW w:w="1988" w:type="dxa"/>
          </w:tcPr>
          <w:p w:rsidR="007C5447" w:rsidRDefault="00F6308C">
            <w:pPr>
              <w:pStyle w:val="TableParagraph"/>
              <w:spacing w:before="70" w:line="224" w:lineRule="exact"/>
              <w:ind w:left="107"/>
              <w:jc w:val="left"/>
              <w:rPr>
                <w:sz w:val="20"/>
              </w:rPr>
            </w:pPr>
            <w:r>
              <w:rPr>
                <w:sz w:val="20"/>
              </w:rPr>
              <w:t>North Chennai TPS</w:t>
            </w:r>
          </w:p>
        </w:tc>
        <w:tc>
          <w:tcPr>
            <w:tcW w:w="1275" w:type="dxa"/>
          </w:tcPr>
          <w:p w:rsidR="007C5447" w:rsidRDefault="00F6308C">
            <w:pPr>
              <w:pStyle w:val="TableParagraph"/>
              <w:spacing w:before="41"/>
              <w:ind w:right="101"/>
              <w:rPr>
                <w:sz w:val="20"/>
              </w:rPr>
            </w:pPr>
            <w:r>
              <w:rPr>
                <w:w w:val="95"/>
                <w:sz w:val="20"/>
              </w:rPr>
              <w:t>67.60</w:t>
            </w:r>
          </w:p>
        </w:tc>
        <w:tc>
          <w:tcPr>
            <w:tcW w:w="1275" w:type="dxa"/>
          </w:tcPr>
          <w:p w:rsidR="007C5447" w:rsidRDefault="00F6308C">
            <w:pPr>
              <w:pStyle w:val="TableParagraph"/>
              <w:spacing w:before="41"/>
              <w:ind w:right="96"/>
              <w:rPr>
                <w:sz w:val="20"/>
              </w:rPr>
            </w:pPr>
            <w:r>
              <w:rPr>
                <w:w w:val="95"/>
                <w:sz w:val="20"/>
              </w:rPr>
              <w:t>68.30</w:t>
            </w:r>
          </w:p>
        </w:tc>
        <w:tc>
          <w:tcPr>
            <w:tcW w:w="1294" w:type="dxa"/>
          </w:tcPr>
          <w:p w:rsidR="007C5447" w:rsidRDefault="00F6308C">
            <w:pPr>
              <w:pStyle w:val="TableParagraph"/>
              <w:spacing w:before="41"/>
              <w:ind w:right="99"/>
              <w:rPr>
                <w:sz w:val="20"/>
              </w:rPr>
            </w:pPr>
            <w:r>
              <w:rPr>
                <w:w w:val="95"/>
                <w:sz w:val="20"/>
              </w:rPr>
              <w:t>76.58</w:t>
            </w:r>
          </w:p>
        </w:tc>
        <w:tc>
          <w:tcPr>
            <w:tcW w:w="1261" w:type="dxa"/>
          </w:tcPr>
          <w:p w:rsidR="007C5447" w:rsidRDefault="00F6308C">
            <w:pPr>
              <w:pStyle w:val="TableParagraph"/>
              <w:spacing w:before="41"/>
              <w:ind w:right="98"/>
              <w:rPr>
                <w:sz w:val="20"/>
              </w:rPr>
            </w:pPr>
            <w:r>
              <w:rPr>
                <w:w w:val="95"/>
                <w:sz w:val="20"/>
              </w:rPr>
              <w:t>121.94</w:t>
            </w:r>
          </w:p>
        </w:tc>
        <w:tc>
          <w:tcPr>
            <w:tcW w:w="1275" w:type="dxa"/>
          </w:tcPr>
          <w:p w:rsidR="007C5447" w:rsidRDefault="00F6308C">
            <w:pPr>
              <w:pStyle w:val="TableParagraph"/>
              <w:spacing w:before="41"/>
              <w:ind w:right="98"/>
              <w:rPr>
                <w:sz w:val="20"/>
              </w:rPr>
            </w:pPr>
            <w:r>
              <w:rPr>
                <w:sz w:val="20"/>
              </w:rPr>
              <w:t>49.80</w:t>
            </w:r>
          </w:p>
        </w:tc>
      </w:tr>
      <w:tr w:rsidR="007C5447">
        <w:trPr>
          <w:trHeight w:val="314"/>
        </w:trPr>
        <w:tc>
          <w:tcPr>
            <w:tcW w:w="703" w:type="dxa"/>
          </w:tcPr>
          <w:p w:rsidR="007C5447" w:rsidRDefault="00F6308C">
            <w:pPr>
              <w:pStyle w:val="TableParagraph"/>
              <w:spacing w:before="70" w:line="224" w:lineRule="exact"/>
              <w:ind w:left="299"/>
              <w:jc w:val="left"/>
              <w:rPr>
                <w:sz w:val="20"/>
              </w:rPr>
            </w:pPr>
            <w:r>
              <w:rPr>
                <w:w w:val="99"/>
                <w:sz w:val="20"/>
              </w:rPr>
              <w:t>5</w:t>
            </w:r>
          </w:p>
        </w:tc>
        <w:tc>
          <w:tcPr>
            <w:tcW w:w="1988" w:type="dxa"/>
          </w:tcPr>
          <w:p w:rsidR="007C5447" w:rsidRDefault="00F6308C">
            <w:pPr>
              <w:pStyle w:val="TableParagraph"/>
              <w:spacing w:before="70" w:line="224" w:lineRule="exact"/>
              <w:ind w:left="107"/>
              <w:jc w:val="left"/>
              <w:rPr>
                <w:sz w:val="20"/>
              </w:rPr>
            </w:pPr>
            <w:r>
              <w:rPr>
                <w:sz w:val="20"/>
              </w:rPr>
              <w:t>Mettur TPS Stage III</w:t>
            </w:r>
          </w:p>
        </w:tc>
        <w:tc>
          <w:tcPr>
            <w:tcW w:w="1275" w:type="dxa"/>
          </w:tcPr>
          <w:p w:rsidR="007C5447" w:rsidRDefault="00F6308C">
            <w:pPr>
              <w:pStyle w:val="TableParagraph"/>
              <w:spacing w:before="43"/>
              <w:ind w:right="100"/>
              <w:rPr>
                <w:sz w:val="20"/>
              </w:rPr>
            </w:pPr>
            <w:r>
              <w:rPr>
                <w:w w:val="99"/>
                <w:sz w:val="20"/>
              </w:rPr>
              <w:t>-</w:t>
            </w:r>
          </w:p>
        </w:tc>
        <w:tc>
          <w:tcPr>
            <w:tcW w:w="1275" w:type="dxa"/>
          </w:tcPr>
          <w:p w:rsidR="007C5447" w:rsidRDefault="00F6308C">
            <w:pPr>
              <w:pStyle w:val="TableParagraph"/>
              <w:spacing w:before="43"/>
              <w:ind w:right="95"/>
              <w:rPr>
                <w:sz w:val="20"/>
              </w:rPr>
            </w:pPr>
            <w:r>
              <w:rPr>
                <w:w w:val="99"/>
                <w:sz w:val="20"/>
              </w:rPr>
              <w:t>-</w:t>
            </w:r>
          </w:p>
        </w:tc>
        <w:tc>
          <w:tcPr>
            <w:tcW w:w="1294" w:type="dxa"/>
          </w:tcPr>
          <w:p w:rsidR="007C5447" w:rsidRDefault="00F6308C">
            <w:pPr>
              <w:pStyle w:val="TableParagraph"/>
              <w:spacing w:before="43"/>
              <w:ind w:right="95"/>
              <w:rPr>
                <w:sz w:val="20"/>
              </w:rPr>
            </w:pPr>
            <w:r>
              <w:rPr>
                <w:w w:val="99"/>
                <w:sz w:val="20"/>
              </w:rPr>
              <w:t>-</w:t>
            </w:r>
          </w:p>
        </w:tc>
        <w:tc>
          <w:tcPr>
            <w:tcW w:w="1261" w:type="dxa"/>
          </w:tcPr>
          <w:p w:rsidR="007C5447" w:rsidRDefault="00F6308C">
            <w:pPr>
              <w:pStyle w:val="TableParagraph"/>
              <w:spacing w:before="43"/>
              <w:ind w:right="98"/>
              <w:rPr>
                <w:sz w:val="20"/>
              </w:rPr>
            </w:pPr>
            <w:r>
              <w:rPr>
                <w:w w:val="99"/>
                <w:sz w:val="20"/>
              </w:rPr>
              <w:t>-</w:t>
            </w:r>
          </w:p>
        </w:tc>
        <w:tc>
          <w:tcPr>
            <w:tcW w:w="1275" w:type="dxa"/>
          </w:tcPr>
          <w:p w:rsidR="007C5447" w:rsidRDefault="00F6308C">
            <w:pPr>
              <w:pStyle w:val="TableParagraph"/>
              <w:spacing w:before="43"/>
              <w:ind w:right="98"/>
              <w:rPr>
                <w:sz w:val="20"/>
              </w:rPr>
            </w:pPr>
            <w:r>
              <w:rPr>
                <w:w w:val="95"/>
                <w:sz w:val="20"/>
              </w:rPr>
              <w:t>171.24</w:t>
            </w:r>
          </w:p>
        </w:tc>
      </w:tr>
      <w:tr w:rsidR="007C5447">
        <w:trPr>
          <w:trHeight w:val="316"/>
        </w:trPr>
        <w:tc>
          <w:tcPr>
            <w:tcW w:w="703" w:type="dxa"/>
          </w:tcPr>
          <w:p w:rsidR="007C5447" w:rsidRDefault="00F6308C">
            <w:pPr>
              <w:pStyle w:val="TableParagraph"/>
              <w:spacing w:before="72" w:line="224" w:lineRule="exact"/>
              <w:ind w:left="299"/>
              <w:jc w:val="left"/>
              <w:rPr>
                <w:sz w:val="20"/>
              </w:rPr>
            </w:pPr>
            <w:r>
              <w:rPr>
                <w:w w:val="99"/>
                <w:sz w:val="20"/>
              </w:rPr>
              <w:t>6</w:t>
            </w:r>
          </w:p>
        </w:tc>
        <w:tc>
          <w:tcPr>
            <w:tcW w:w="1988" w:type="dxa"/>
          </w:tcPr>
          <w:p w:rsidR="007C5447" w:rsidRDefault="00F6308C">
            <w:pPr>
              <w:pStyle w:val="TableParagraph"/>
              <w:spacing w:before="72" w:line="224" w:lineRule="exact"/>
              <w:ind w:left="107"/>
              <w:jc w:val="left"/>
              <w:rPr>
                <w:sz w:val="20"/>
              </w:rPr>
            </w:pPr>
            <w:r>
              <w:rPr>
                <w:sz w:val="20"/>
              </w:rPr>
              <w:t>NCTPS Stage II</w:t>
            </w:r>
          </w:p>
        </w:tc>
        <w:tc>
          <w:tcPr>
            <w:tcW w:w="1275" w:type="dxa"/>
          </w:tcPr>
          <w:p w:rsidR="007C5447" w:rsidRDefault="00F6308C">
            <w:pPr>
              <w:pStyle w:val="TableParagraph"/>
              <w:spacing w:before="43"/>
              <w:ind w:right="100"/>
              <w:rPr>
                <w:sz w:val="20"/>
              </w:rPr>
            </w:pPr>
            <w:r>
              <w:rPr>
                <w:w w:val="99"/>
                <w:sz w:val="20"/>
              </w:rPr>
              <w:t>-</w:t>
            </w:r>
          </w:p>
        </w:tc>
        <w:tc>
          <w:tcPr>
            <w:tcW w:w="1275" w:type="dxa"/>
          </w:tcPr>
          <w:p w:rsidR="007C5447" w:rsidRDefault="00F6308C">
            <w:pPr>
              <w:pStyle w:val="TableParagraph"/>
              <w:spacing w:before="43"/>
              <w:ind w:right="95"/>
              <w:rPr>
                <w:sz w:val="20"/>
              </w:rPr>
            </w:pPr>
            <w:r>
              <w:rPr>
                <w:w w:val="99"/>
                <w:sz w:val="20"/>
              </w:rPr>
              <w:t>-</w:t>
            </w:r>
          </w:p>
        </w:tc>
        <w:tc>
          <w:tcPr>
            <w:tcW w:w="1294" w:type="dxa"/>
          </w:tcPr>
          <w:p w:rsidR="007C5447" w:rsidRDefault="00F6308C">
            <w:pPr>
              <w:pStyle w:val="TableParagraph"/>
              <w:spacing w:before="43"/>
              <w:ind w:right="98"/>
              <w:rPr>
                <w:sz w:val="20"/>
              </w:rPr>
            </w:pPr>
            <w:r>
              <w:rPr>
                <w:w w:val="99"/>
                <w:sz w:val="20"/>
              </w:rPr>
              <w:t>-</w:t>
            </w:r>
          </w:p>
        </w:tc>
        <w:tc>
          <w:tcPr>
            <w:tcW w:w="1261" w:type="dxa"/>
          </w:tcPr>
          <w:p w:rsidR="007C5447" w:rsidRDefault="00F6308C">
            <w:pPr>
              <w:pStyle w:val="TableParagraph"/>
              <w:spacing w:before="43"/>
              <w:ind w:right="98"/>
              <w:rPr>
                <w:sz w:val="20"/>
              </w:rPr>
            </w:pPr>
            <w:r>
              <w:rPr>
                <w:w w:val="99"/>
                <w:sz w:val="20"/>
              </w:rPr>
              <w:t>-</w:t>
            </w:r>
          </w:p>
        </w:tc>
        <w:tc>
          <w:tcPr>
            <w:tcW w:w="1275" w:type="dxa"/>
          </w:tcPr>
          <w:p w:rsidR="007C5447" w:rsidRDefault="00F6308C">
            <w:pPr>
              <w:pStyle w:val="TableParagraph"/>
              <w:spacing w:before="43"/>
              <w:ind w:right="98"/>
              <w:rPr>
                <w:sz w:val="20"/>
              </w:rPr>
            </w:pPr>
            <w:r>
              <w:rPr>
                <w:w w:val="95"/>
                <w:sz w:val="20"/>
              </w:rPr>
              <w:t>372.15</w:t>
            </w:r>
          </w:p>
        </w:tc>
      </w:tr>
      <w:tr w:rsidR="007C5447">
        <w:trPr>
          <w:trHeight w:val="314"/>
        </w:trPr>
        <w:tc>
          <w:tcPr>
            <w:tcW w:w="703" w:type="dxa"/>
          </w:tcPr>
          <w:p w:rsidR="007C5447" w:rsidRDefault="00F6308C">
            <w:pPr>
              <w:pStyle w:val="TableParagraph"/>
              <w:spacing w:before="70" w:line="224" w:lineRule="exact"/>
              <w:ind w:left="299"/>
              <w:jc w:val="left"/>
              <w:rPr>
                <w:sz w:val="20"/>
              </w:rPr>
            </w:pPr>
            <w:r>
              <w:rPr>
                <w:w w:val="99"/>
                <w:sz w:val="20"/>
              </w:rPr>
              <w:t>7</w:t>
            </w:r>
          </w:p>
        </w:tc>
        <w:tc>
          <w:tcPr>
            <w:tcW w:w="1988" w:type="dxa"/>
          </w:tcPr>
          <w:p w:rsidR="007C5447" w:rsidRDefault="00F6308C">
            <w:pPr>
              <w:pStyle w:val="TableParagraph"/>
              <w:spacing w:before="70" w:line="224" w:lineRule="exact"/>
              <w:ind w:left="107"/>
              <w:jc w:val="left"/>
              <w:rPr>
                <w:sz w:val="20"/>
              </w:rPr>
            </w:pPr>
            <w:r>
              <w:rPr>
                <w:sz w:val="20"/>
              </w:rPr>
              <w:t>Tirumakottai GTPS</w:t>
            </w:r>
          </w:p>
        </w:tc>
        <w:tc>
          <w:tcPr>
            <w:tcW w:w="1275" w:type="dxa"/>
          </w:tcPr>
          <w:p w:rsidR="007C5447" w:rsidRDefault="00F6308C">
            <w:pPr>
              <w:pStyle w:val="TableParagraph"/>
              <w:spacing w:before="43"/>
              <w:ind w:right="101"/>
              <w:rPr>
                <w:sz w:val="20"/>
              </w:rPr>
            </w:pPr>
            <w:r>
              <w:rPr>
                <w:w w:val="95"/>
                <w:sz w:val="20"/>
              </w:rPr>
              <w:t>15.38</w:t>
            </w:r>
          </w:p>
        </w:tc>
        <w:tc>
          <w:tcPr>
            <w:tcW w:w="1275" w:type="dxa"/>
          </w:tcPr>
          <w:p w:rsidR="007C5447" w:rsidRDefault="00F6308C">
            <w:pPr>
              <w:pStyle w:val="TableParagraph"/>
              <w:spacing w:before="43"/>
              <w:ind w:right="96"/>
              <w:rPr>
                <w:sz w:val="20"/>
              </w:rPr>
            </w:pPr>
            <w:r>
              <w:rPr>
                <w:w w:val="95"/>
                <w:sz w:val="20"/>
              </w:rPr>
              <w:t>15.48</w:t>
            </w:r>
          </w:p>
        </w:tc>
        <w:tc>
          <w:tcPr>
            <w:tcW w:w="1294" w:type="dxa"/>
          </w:tcPr>
          <w:p w:rsidR="007C5447" w:rsidRDefault="00F6308C">
            <w:pPr>
              <w:pStyle w:val="TableParagraph"/>
              <w:spacing w:before="43"/>
              <w:ind w:right="99"/>
              <w:rPr>
                <w:sz w:val="20"/>
              </w:rPr>
            </w:pPr>
            <w:r>
              <w:rPr>
                <w:w w:val="95"/>
                <w:sz w:val="20"/>
              </w:rPr>
              <w:t>17.30</w:t>
            </w:r>
          </w:p>
        </w:tc>
        <w:tc>
          <w:tcPr>
            <w:tcW w:w="1261" w:type="dxa"/>
          </w:tcPr>
          <w:p w:rsidR="007C5447" w:rsidRDefault="00F6308C">
            <w:pPr>
              <w:pStyle w:val="TableParagraph"/>
              <w:spacing w:before="43"/>
              <w:ind w:right="98"/>
              <w:rPr>
                <w:sz w:val="20"/>
              </w:rPr>
            </w:pPr>
            <w:r>
              <w:rPr>
                <w:sz w:val="20"/>
              </w:rPr>
              <w:t>24.21</w:t>
            </w:r>
          </w:p>
        </w:tc>
        <w:tc>
          <w:tcPr>
            <w:tcW w:w="1275" w:type="dxa"/>
          </w:tcPr>
          <w:p w:rsidR="007C5447" w:rsidRDefault="00F6308C">
            <w:pPr>
              <w:pStyle w:val="TableParagraph"/>
              <w:spacing w:before="43"/>
              <w:ind w:right="98"/>
              <w:rPr>
                <w:sz w:val="20"/>
              </w:rPr>
            </w:pPr>
            <w:r>
              <w:rPr>
                <w:sz w:val="20"/>
              </w:rPr>
              <w:t>19.14</w:t>
            </w:r>
          </w:p>
        </w:tc>
      </w:tr>
      <w:tr w:rsidR="007C5447">
        <w:trPr>
          <w:trHeight w:val="316"/>
        </w:trPr>
        <w:tc>
          <w:tcPr>
            <w:tcW w:w="703" w:type="dxa"/>
          </w:tcPr>
          <w:p w:rsidR="007C5447" w:rsidRDefault="00F6308C">
            <w:pPr>
              <w:pStyle w:val="TableParagraph"/>
              <w:spacing w:before="70" w:line="227" w:lineRule="exact"/>
              <w:ind w:left="299"/>
              <w:jc w:val="left"/>
              <w:rPr>
                <w:sz w:val="20"/>
              </w:rPr>
            </w:pPr>
            <w:r>
              <w:rPr>
                <w:w w:val="99"/>
                <w:sz w:val="20"/>
              </w:rPr>
              <w:t>8</w:t>
            </w:r>
          </w:p>
        </w:tc>
        <w:tc>
          <w:tcPr>
            <w:tcW w:w="1988" w:type="dxa"/>
          </w:tcPr>
          <w:p w:rsidR="007C5447" w:rsidRDefault="00F6308C">
            <w:pPr>
              <w:pStyle w:val="TableParagraph"/>
              <w:spacing w:before="70" w:line="227" w:lineRule="exact"/>
              <w:ind w:left="107"/>
              <w:jc w:val="left"/>
              <w:rPr>
                <w:sz w:val="20"/>
              </w:rPr>
            </w:pPr>
            <w:r>
              <w:rPr>
                <w:sz w:val="20"/>
              </w:rPr>
              <w:t>Kuttalam GTPS</w:t>
            </w:r>
          </w:p>
        </w:tc>
        <w:tc>
          <w:tcPr>
            <w:tcW w:w="1275" w:type="dxa"/>
          </w:tcPr>
          <w:p w:rsidR="007C5447" w:rsidRDefault="00F6308C">
            <w:pPr>
              <w:pStyle w:val="TableParagraph"/>
              <w:spacing w:before="43"/>
              <w:ind w:right="101"/>
              <w:rPr>
                <w:sz w:val="20"/>
              </w:rPr>
            </w:pPr>
            <w:r>
              <w:rPr>
                <w:w w:val="95"/>
                <w:sz w:val="20"/>
              </w:rPr>
              <w:t>11.98</w:t>
            </w:r>
          </w:p>
        </w:tc>
        <w:tc>
          <w:tcPr>
            <w:tcW w:w="1275" w:type="dxa"/>
          </w:tcPr>
          <w:p w:rsidR="007C5447" w:rsidRDefault="00F6308C">
            <w:pPr>
              <w:pStyle w:val="TableParagraph"/>
              <w:spacing w:before="43"/>
              <w:ind w:right="96"/>
              <w:rPr>
                <w:sz w:val="20"/>
              </w:rPr>
            </w:pPr>
            <w:r>
              <w:rPr>
                <w:w w:val="95"/>
                <w:sz w:val="20"/>
              </w:rPr>
              <w:t>11.13</w:t>
            </w:r>
          </w:p>
        </w:tc>
        <w:tc>
          <w:tcPr>
            <w:tcW w:w="1294" w:type="dxa"/>
          </w:tcPr>
          <w:p w:rsidR="007C5447" w:rsidRDefault="00F6308C">
            <w:pPr>
              <w:pStyle w:val="TableParagraph"/>
              <w:spacing w:before="43"/>
              <w:ind w:right="99"/>
              <w:rPr>
                <w:sz w:val="20"/>
              </w:rPr>
            </w:pPr>
            <w:r>
              <w:rPr>
                <w:w w:val="95"/>
                <w:sz w:val="20"/>
              </w:rPr>
              <w:t>13.87</w:t>
            </w:r>
          </w:p>
        </w:tc>
        <w:tc>
          <w:tcPr>
            <w:tcW w:w="1261" w:type="dxa"/>
          </w:tcPr>
          <w:p w:rsidR="007C5447" w:rsidRDefault="00F6308C">
            <w:pPr>
              <w:pStyle w:val="TableParagraph"/>
              <w:spacing w:before="43"/>
              <w:ind w:right="98"/>
              <w:rPr>
                <w:sz w:val="20"/>
              </w:rPr>
            </w:pPr>
            <w:r>
              <w:rPr>
                <w:sz w:val="20"/>
              </w:rPr>
              <w:t>25.08</w:t>
            </w:r>
          </w:p>
        </w:tc>
        <w:tc>
          <w:tcPr>
            <w:tcW w:w="1275" w:type="dxa"/>
          </w:tcPr>
          <w:p w:rsidR="007C5447" w:rsidRDefault="00F6308C">
            <w:pPr>
              <w:pStyle w:val="TableParagraph"/>
              <w:spacing w:before="43"/>
              <w:ind w:right="98"/>
              <w:rPr>
                <w:sz w:val="20"/>
              </w:rPr>
            </w:pPr>
            <w:r>
              <w:rPr>
                <w:sz w:val="20"/>
              </w:rPr>
              <w:t>24.38</w:t>
            </w:r>
          </w:p>
        </w:tc>
      </w:tr>
      <w:tr w:rsidR="007C5447">
        <w:trPr>
          <w:trHeight w:val="313"/>
        </w:trPr>
        <w:tc>
          <w:tcPr>
            <w:tcW w:w="703" w:type="dxa"/>
          </w:tcPr>
          <w:p w:rsidR="007C5447" w:rsidRDefault="00F6308C">
            <w:pPr>
              <w:pStyle w:val="TableParagraph"/>
              <w:spacing w:before="70" w:line="224" w:lineRule="exact"/>
              <w:ind w:left="299"/>
              <w:jc w:val="left"/>
              <w:rPr>
                <w:sz w:val="20"/>
              </w:rPr>
            </w:pPr>
            <w:r>
              <w:rPr>
                <w:w w:val="99"/>
                <w:sz w:val="20"/>
              </w:rPr>
              <w:t>9</w:t>
            </w:r>
          </w:p>
        </w:tc>
        <w:tc>
          <w:tcPr>
            <w:tcW w:w="1988" w:type="dxa"/>
          </w:tcPr>
          <w:p w:rsidR="007C5447" w:rsidRDefault="00F6308C">
            <w:pPr>
              <w:pStyle w:val="TableParagraph"/>
              <w:spacing w:before="70" w:line="224" w:lineRule="exact"/>
              <w:ind w:left="107"/>
              <w:jc w:val="left"/>
              <w:rPr>
                <w:sz w:val="20"/>
              </w:rPr>
            </w:pPr>
            <w:r>
              <w:rPr>
                <w:sz w:val="20"/>
              </w:rPr>
              <w:t>Basin Bridge GTPS</w:t>
            </w:r>
          </w:p>
        </w:tc>
        <w:tc>
          <w:tcPr>
            <w:tcW w:w="1275" w:type="dxa"/>
          </w:tcPr>
          <w:p w:rsidR="007C5447" w:rsidRDefault="00F6308C">
            <w:pPr>
              <w:pStyle w:val="TableParagraph"/>
              <w:spacing w:before="41"/>
              <w:ind w:right="101"/>
              <w:rPr>
                <w:sz w:val="20"/>
              </w:rPr>
            </w:pPr>
            <w:r>
              <w:rPr>
                <w:w w:val="95"/>
                <w:sz w:val="20"/>
              </w:rPr>
              <w:t>18.81</w:t>
            </w:r>
          </w:p>
        </w:tc>
        <w:tc>
          <w:tcPr>
            <w:tcW w:w="1275" w:type="dxa"/>
          </w:tcPr>
          <w:p w:rsidR="007C5447" w:rsidRDefault="00F6308C">
            <w:pPr>
              <w:pStyle w:val="TableParagraph"/>
              <w:spacing w:before="41"/>
              <w:ind w:right="96"/>
              <w:rPr>
                <w:sz w:val="20"/>
              </w:rPr>
            </w:pPr>
            <w:r>
              <w:rPr>
                <w:w w:val="95"/>
                <w:sz w:val="20"/>
              </w:rPr>
              <w:t>18.96</w:t>
            </w:r>
          </w:p>
        </w:tc>
        <w:tc>
          <w:tcPr>
            <w:tcW w:w="1294" w:type="dxa"/>
          </w:tcPr>
          <w:p w:rsidR="007C5447" w:rsidRDefault="00F6308C">
            <w:pPr>
              <w:pStyle w:val="TableParagraph"/>
              <w:spacing w:before="41"/>
              <w:ind w:right="99"/>
              <w:rPr>
                <w:sz w:val="20"/>
              </w:rPr>
            </w:pPr>
            <w:r>
              <w:rPr>
                <w:w w:val="95"/>
                <w:sz w:val="20"/>
              </w:rPr>
              <w:t>21.00</w:t>
            </w:r>
          </w:p>
        </w:tc>
        <w:tc>
          <w:tcPr>
            <w:tcW w:w="1261" w:type="dxa"/>
          </w:tcPr>
          <w:p w:rsidR="007C5447" w:rsidRDefault="00F6308C">
            <w:pPr>
              <w:pStyle w:val="TableParagraph"/>
              <w:spacing w:before="41"/>
              <w:ind w:right="98"/>
              <w:rPr>
                <w:sz w:val="20"/>
              </w:rPr>
            </w:pPr>
            <w:r>
              <w:rPr>
                <w:sz w:val="20"/>
              </w:rPr>
              <w:t>29.37</w:t>
            </w:r>
          </w:p>
        </w:tc>
        <w:tc>
          <w:tcPr>
            <w:tcW w:w="1275" w:type="dxa"/>
          </w:tcPr>
          <w:p w:rsidR="007C5447" w:rsidRDefault="00F6308C">
            <w:pPr>
              <w:pStyle w:val="TableParagraph"/>
              <w:spacing w:before="41"/>
              <w:ind w:right="97"/>
              <w:rPr>
                <w:sz w:val="20"/>
              </w:rPr>
            </w:pPr>
            <w:r>
              <w:rPr>
                <w:sz w:val="20"/>
              </w:rPr>
              <w:t>2.20</w:t>
            </w:r>
          </w:p>
        </w:tc>
      </w:tr>
      <w:tr w:rsidR="007C5447">
        <w:trPr>
          <w:trHeight w:val="316"/>
        </w:trPr>
        <w:tc>
          <w:tcPr>
            <w:tcW w:w="703" w:type="dxa"/>
          </w:tcPr>
          <w:p w:rsidR="007C5447" w:rsidRDefault="00F6308C">
            <w:pPr>
              <w:pStyle w:val="TableParagraph"/>
              <w:spacing w:before="70" w:line="227" w:lineRule="exact"/>
              <w:ind w:left="251"/>
              <w:jc w:val="left"/>
              <w:rPr>
                <w:sz w:val="20"/>
              </w:rPr>
            </w:pPr>
            <w:r>
              <w:rPr>
                <w:sz w:val="20"/>
              </w:rPr>
              <w:t>10</w:t>
            </w:r>
          </w:p>
        </w:tc>
        <w:tc>
          <w:tcPr>
            <w:tcW w:w="1988" w:type="dxa"/>
          </w:tcPr>
          <w:p w:rsidR="007C5447" w:rsidRDefault="00F6308C">
            <w:pPr>
              <w:pStyle w:val="TableParagraph"/>
              <w:spacing w:before="70" w:line="227" w:lineRule="exact"/>
              <w:ind w:left="107"/>
              <w:jc w:val="left"/>
              <w:rPr>
                <w:sz w:val="20"/>
              </w:rPr>
            </w:pPr>
            <w:r>
              <w:rPr>
                <w:sz w:val="20"/>
              </w:rPr>
              <w:t>Valuthur GTPS</w:t>
            </w:r>
          </w:p>
        </w:tc>
        <w:tc>
          <w:tcPr>
            <w:tcW w:w="1275" w:type="dxa"/>
          </w:tcPr>
          <w:p w:rsidR="007C5447" w:rsidRDefault="00F6308C">
            <w:pPr>
              <w:pStyle w:val="TableParagraph"/>
              <w:spacing w:before="43"/>
              <w:ind w:right="101"/>
              <w:rPr>
                <w:sz w:val="20"/>
              </w:rPr>
            </w:pPr>
            <w:r>
              <w:rPr>
                <w:w w:val="95"/>
                <w:sz w:val="20"/>
              </w:rPr>
              <w:t>18.25</w:t>
            </w:r>
          </w:p>
        </w:tc>
        <w:tc>
          <w:tcPr>
            <w:tcW w:w="1275" w:type="dxa"/>
          </w:tcPr>
          <w:p w:rsidR="007C5447" w:rsidRDefault="00F6308C">
            <w:pPr>
              <w:pStyle w:val="TableParagraph"/>
              <w:spacing w:before="43"/>
              <w:ind w:right="96"/>
              <w:rPr>
                <w:sz w:val="20"/>
              </w:rPr>
            </w:pPr>
            <w:r>
              <w:rPr>
                <w:w w:val="95"/>
                <w:sz w:val="20"/>
              </w:rPr>
              <w:t>18.54</w:t>
            </w:r>
          </w:p>
        </w:tc>
        <w:tc>
          <w:tcPr>
            <w:tcW w:w="1294" w:type="dxa"/>
          </w:tcPr>
          <w:p w:rsidR="007C5447" w:rsidRDefault="00F6308C">
            <w:pPr>
              <w:pStyle w:val="TableParagraph"/>
              <w:spacing w:before="43"/>
              <w:ind w:right="99"/>
              <w:rPr>
                <w:sz w:val="20"/>
              </w:rPr>
            </w:pPr>
            <w:r>
              <w:rPr>
                <w:w w:val="95"/>
                <w:sz w:val="20"/>
              </w:rPr>
              <w:t>20.97</w:t>
            </w:r>
          </w:p>
        </w:tc>
        <w:tc>
          <w:tcPr>
            <w:tcW w:w="1261" w:type="dxa"/>
          </w:tcPr>
          <w:p w:rsidR="007C5447" w:rsidRDefault="00F6308C">
            <w:pPr>
              <w:pStyle w:val="TableParagraph"/>
              <w:spacing w:before="43"/>
              <w:ind w:right="98"/>
              <w:rPr>
                <w:sz w:val="20"/>
              </w:rPr>
            </w:pPr>
            <w:r>
              <w:rPr>
                <w:sz w:val="20"/>
              </w:rPr>
              <w:t>30.95</w:t>
            </w:r>
          </w:p>
        </w:tc>
        <w:tc>
          <w:tcPr>
            <w:tcW w:w="1275" w:type="dxa"/>
          </w:tcPr>
          <w:p w:rsidR="007C5447" w:rsidRDefault="00F6308C">
            <w:pPr>
              <w:pStyle w:val="TableParagraph"/>
              <w:spacing w:before="43"/>
              <w:ind w:right="98"/>
              <w:rPr>
                <w:sz w:val="20"/>
              </w:rPr>
            </w:pPr>
            <w:r>
              <w:rPr>
                <w:sz w:val="20"/>
              </w:rPr>
              <w:t>49.49</w:t>
            </w:r>
          </w:p>
        </w:tc>
      </w:tr>
      <w:tr w:rsidR="007C5447">
        <w:trPr>
          <w:trHeight w:val="314"/>
        </w:trPr>
        <w:tc>
          <w:tcPr>
            <w:tcW w:w="703" w:type="dxa"/>
          </w:tcPr>
          <w:p w:rsidR="007C5447" w:rsidRDefault="00F6308C">
            <w:pPr>
              <w:pStyle w:val="TableParagraph"/>
              <w:spacing w:before="70" w:line="224" w:lineRule="exact"/>
              <w:ind w:left="251"/>
              <w:jc w:val="left"/>
              <w:rPr>
                <w:sz w:val="20"/>
              </w:rPr>
            </w:pPr>
            <w:r>
              <w:rPr>
                <w:sz w:val="20"/>
              </w:rPr>
              <w:t>11</w:t>
            </w:r>
          </w:p>
        </w:tc>
        <w:tc>
          <w:tcPr>
            <w:tcW w:w="1988" w:type="dxa"/>
          </w:tcPr>
          <w:p w:rsidR="007C5447" w:rsidRDefault="00F6308C">
            <w:pPr>
              <w:pStyle w:val="TableParagraph"/>
              <w:spacing w:before="70" w:line="224" w:lineRule="exact"/>
              <w:ind w:left="107"/>
              <w:jc w:val="left"/>
              <w:rPr>
                <w:sz w:val="20"/>
              </w:rPr>
            </w:pPr>
            <w:r>
              <w:rPr>
                <w:sz w:val="20"/>
              </w:rPr>
              <w:t>Erode HEP</w:t>
            </w:r>
          </w:p>
        </w:tc>
        <w:tc>
          <w:tcPr>
            <w:tcW w:w="1275" w:type="dxa"/>
          </w:tcPr>
          <w:p w:rsidR="007C5447" w:rsidRDefault="00F6308C">
            <w:pPr>
              <w:pStyle w:val="TableParagraph"/>
              <w:spacing w:before="41"/>
              <w:ind w:right="101"/>
              <w:rPr>
                <w:sz w:val="20"/>
              </w:rPr>
            </w:pPr>
            <w:r>
              <w:rPr>
                <w:w w:val="95"/>
                <w:sz w:val="20"/>
              </w:rPr>
              <w:t>23.75</w:t>
            </w:r>
          </w:p>
        </w:tc>
        <w:tc>
          <w:tcPr>
            <w:tcW w:w="1275" w:type="dxa"/>
          </w:tcPr>
          <w:p w:rsidR="007C5447" w:rsidRDefault="00F6308C">
            <w:pPr>
              <w:pStyle w:val="TableParagraph"/>
              <w:spacing w:before="41"/>
              <w:ind w:right="96"/>
              <w:rPr>
                <w:sz w:val="20"/>
              </w:rPr>
            </w:pPr>
            <w:r>
              <w:rPr>
                <w:w w:val="95"/>
                <w:sz w:val="20"/>
              </w:rPr>
              <w:t>23.92</w:t>
            </w:r>
          </w:p>
        </w:tc>
        <w:tc>
          <w:tcPr>
            <w:tcW w:w="1294" w:type="dxa"/>
          </w:tcPr>
          <w:p w:rsidR="007C5447" w:rsidRDefault="00F6308C">
            <w:pPr>
              <w:pStyle w:val="TableParagraph"/>
              <w:spacing w:before="41"/>
              <w:ind w:right="99"/>
              <w:rPr>
                <w:sz w:val="20"/>
              </w:rPr>
            </w:pPr>
            <w:r>
              <w:rPr>
                <w:w w:val="95"/>
                <w:sz w:val="20"/>
              </w:rPr>
              <w:t>26.56</w:t>
            </w:r>
          </w:p>
        </w:tc>
        <w:tc>
          <w:tcPr>
            <w:tcW w:w="1261" w:type="dxa"/>
          </w:tcPr>
          <w:p w:rsidR="007C5447" w:rsidRDefault="00F6308C">
            <w:pPr>
              <w:pStyle w:val="TableParagraph"/>
              <w:spacing w:before="41"/>
              <w:ind w:right="98"/>
              <w:rPr>
                <w:sz w:val="20"/>
              </w:rPr>
            </w:pPr>
            <w:r>
              <w:rPr>
                <w:sz w:val="20"/>
              </w:rPr>
              <w:t>63.14</w:t>
            </w:r>
          </w:p>
        </w:tc>
        <w:tc>
          <w:tcPr>
            <w:tcW w:w="1275" w:type="dxa"/>
          </w:tcPr>
          <w:p w:rsidR="007C5447" w:rsidRDefault="00F6308C">
            <w:pPr>
              <w:pStyle w:val="TableParagraph"/>
              <w:spacing w:before="41"/>
              <w:ind w:right="98"/>
              <w:rPr>
                <w:sz w:val="20"/>
              </w:rPr>
            </w:pPr>
            <w:r>
              <w:rPr>
                <w:sz w:val="20"/>
              </w:rPr>
              <w:t>54.67</w:t>
            </w:r>
          </w:p>
        </w:tc>
      </w:tr>
      <w:tr w:rsidR="007C5447">
        <w:trPr>
          <w:trHeight w:val="313"/>
        </w:trPr>
        <w:tc>
          <w:tcPr>
            <w:tcW w:w="703" w:type="dxa"/>
          </w:tcPr>
          <w:p w:rsidR="007C5447" w:rsidRDefault="00F6308C">
            <w:pPr>
              <w:pStyle w:val="TableParagraph"/>
              <w:spacing w:before="70" w:line="224" w:lineRule="exact"/>
              <w:ind w:left="251"/>
              <w:jc w:val="left"/>
              <w:rPr>
                <w:sz w:val="20"/>
              </w:rPr>
            </w:pPr>
            <w:r>
              <w:rPr>
                <w:sz w:val="20"/>
              </w:rPr>
              <w:t>12</w:t>
            </w:r>
          </w:p>
        </w:tc>
        <w:tc>
          <w:tcPr>
            <w:tcW w:w="1988" w:type="dxa"/>
          </w:tcPr>
          <w:p w:rsidR="007C5447" w:rsidRDefault="00F6308C">
            <w:pPr>
              <w:pStyle w:val="TableParagraph"/>
              <w:spacing w:before="70" w:line="224" w:lineRule="exact"/>
              <w:ind w:left="107"/>
              <w:jc w:val="left"/>
              <w:rPr>
                <w:sz w:val="20"/>
              </w:rPr>
            </w:pPr>
            <w:r>
              <w:rPr>
                <w:sz w:val="20"/>
              </w:rPr>
              <w:t>Kadamparai HEP</w:t>
            </w:r>
          </w:p>
        </w:tc>
        <w:tc>
          <w:tcPr>
            <w:tcW w:w="1275" w:type="dxa"/>
          </w:tcPr>
          <w:p w:rsidR="007C5447" w:rsidRDefault="00F6308C">
            <w:pPr>
              <w:pStyle w:val="TableParagraph"/>
              <w:spacing w:before="43"/>
              <w:ind w:right="101"/>
              <w:rPr>
                <w:sz w:val="20"/>
              </w:rPr>
            </w:pPr>
            <w:r>
              <w:rPr>
                <w:w w:val="95"/>
                <w:sz w:val="20"/>
              </w:rPr>
              <w:t>12.40</w:t>
            </w:r>
          </w:p>
        </w:tc>
        <w:tc>
          <w:tcPr>
            <w:tcW w:w="1275" w:type="dxa"/>
          </w:tcPr>
          <w:p w:rsidR="007C5447" w:rsidRDefault="00F6308C">
            <w:pPr>
              <w:pStyle w:val="TableParagraph"/>
              <w:spacing w:before="43"/>
              <w:ind w:right="96"/>
              <w:rPr>
                <w:sz w:val="20"/>
              </w:rPr>
            </w:pPr>
            <w:r>
              <w:rPr>
                <w:w w:val="95"/>
                <w:sz w:val="20"/>
              </w:rPr>
              <w:t>12.50</w:t>
            </w:r>
          </w:p>
        </w:tc>
        <w:tc>
          <w:tcPr>
            <w:tcW w:w="1294" w:type="dxa"/>
          </w:tcPr>
          <w:p w:rsidR="007C5447" w:rsidRDefault="00F6308C">
            <w:pPr>
              <w:pStyle w:val="TableParagraph"/>
              <w:spacing w:before="43"/>
              <w:ind w:right="99"/>
              <w:rPr>
                <w:sz w:val="20"/>
              </w:rPr>
            </w:pPr>
            <w:r>
              <w:rPr>
                <w:w w:val="95"/>
                <w:sz w:val="20"/>
              </w:rPr>
              <w:t>13.94</w:t>
            </w:r>
          </w:p>
        </w:tc>
        <w:tc>
          <w:tcPr>
            <w:tcW w:w="1261" w:type="dxa"/>
          </w:tcPr>
          <w:p w:rsidR="007C5447" w:rsidRDefault="00F6308C">
            <w:pPr>
              <w:pStyle w:val="TableParagraph"/>
              <w:spacing w:before="43"/>
              <w:ind w:right="98"/>
              <w:rPr>
                <w:sz w:val="20"/>
              </w:rPr>
            </w:pPr>
            <w:r>
              <w:rPr>
                <w:sz w:val="20"/>
              </w:rPr>
              <w:t>20.23</w:t>
            </w:r>
          </w:p>
        </w:tc>
        <w:tc>
          <w:tcPr>
            <w:tcW w:w="1275" w:type="dxa"/>
          </w:tcPr>
          <w:p w:rsidR="007C5447" w:rsidRDefault="00F6308C">
            <w:pPr>
              <w:pStyle w:val="TableParagraph"/>
              <w:spacing w:before="43"/>
              <w:ind w:right="98"/>
              <w:rPr>
                <w:sz w:val="20"/>
              </w:rPr>
            </w:pPr>
            <w:r>
              <w:rPr>
                <w:sz w:val="20"/>
              </w:rPr>
              <w:t>12.15</w:t>
            </w:r>
          </w:p>
        </w:tc>
      </w:tr>
      <w:tr w:rsidR="007C5447">
        <w:trPr>
          <w:trHeight w:val="316"/>
        </w:trPr>
        <w:tc>
          <w:tcPr>
            <w:tcW w:w="703" w:type="dxa"/>
          </w:tcPr>
          <w:p w:rsidR="007C5447" w:rsidRDefault="00F6308C">
            <w:pPr>
              <w:pStyle w:val="TableParagraph"/>
              <w:spacing w:before="72" w:line="224" w:lineRule="exact"/>
              <w:ind w:left="251"/>
              <w:jc w:val="left"/>
              <w:rPr>
                <w:sz w:val="20"/>
              </w:rPr>
            </w:pPr>
            <w:r>
              <w:rPr>
                <w:sz w:val="20"/>
              </w:rPr>
              <w:t>13</w:t>
            </w:r>
          </w:p>
        </w:tc>
        <w:tc>
          <w:tcPr>
            <w:tcW w:w="1988" w:type="dxa"/>
          </w:tcPr>
          <w:p w:rsidR="007C5447" w:rsidRDefault="00F6308C">
            <w:pPr>
              <w:pStyle w:val="TableParagraph"/>
              <w:spacing w:before="72" w:line="224" w:lineRule="exact"/>
              <w:ind w:left="107"/>
              <w:jc w:val="left"/>
              <w:rPr>
                <w:sz w:val="20"/>
              </w:rPr>
            </w:pPr>
            <w:r>
              <w:rPr>
                <w:sz w:val="20"/>
              </w:rPr>
              <w:t>Kundah HEP</w:t>
            </w:r>
          </w:p>
        </w:tc>
        <w:tc>
          <w:tcPr>
            <w:tcW w:w="1275" w:type="dxa"/>
          </w:tcPr>
          <w:p w:rsidR="007C5447" w:rsidRDefault="00F6308C">
            <w:pPr>
              <w:pStyle w:val="TableParagraph"/>
              <w:spacing w:before="43"/>
              <w:ind w:right="101"/>
              <w:rPr>
                <w:sz w:val="20"/>
              </w:rPr>
            </w:pPr>
            <w:r>
              <w:rPr>
                <w:w w:val="95"/>
                <w:sz w:val="20"/>
              </w:rPr>
              <w:t>32.61</w:t>
            </w:r>
          </w:p>
        </w:tc>
        <w:tc>
          <w:tcPr>
            <w:tcW w:w="1275" w:type="dxa"/>
          </w:tcPr>
          <w:p w:rsidR="007C5447" w:rsidRDefault="00F6308C">
            <w:pPr>
              <w:pStyle w:val="TableParagraph"/>
              <w:spacing w:before="43"/>
              <w:ind w:right="96"/>
              <w:rPr>
                <w:sz w:val="20"/>
              </w:rPr>
            </w:pPr>
            <w:r>
              <w:rPr>
                <w:w w:val="95"/>
                <w:sz w:val="20"/>
              </w:rPr>
              <w:t>32.86</w:t>
            </w:r>
          </w:p>
        </w:tc>
        <w:tc>
          <w:tcPr>
            <w:tcW w:w="1294" w:type="dxa"/>
          </w:tcPr>
          <w:p w:rsidR="007C5447" w:rsidRDefault="00F6308C">
            <w:pPr>
              <w:pStyle w:val="TableParagraph"/>
              <w:spacing w:before="43"/>
              <w:ind w:right="99"/>
              <w:rPr>
                <w:sz w:val="20"/>
              </w:rPr>
            </w:pPr>
            <w:r>
              <w:rPr>
                <w:w w:val="95"/>
                <w:sz w:val="20"/>
              </w:rPr>
              <w:t>36.55</w:t>
            </w:r>
          </w:p>
        </w:tc>
        <w:tc>
          <w:tcPr>
            <w:tcW w:w="1261" w:type="dxa"/>
          </w:tcPr>
          <w:p w:rsidR="007C5447" w:rsidRDefault="00F6308C">
            <w:pPr>
              <w:pStyle w:val="TableParagraph"/>
              <w:spacing w:before="43"/>
              <w:ind w:right="98"/>
              <w:rPr>
                <w:sz w:val="20"/>
              </w:rPr>
            </w:pPr>
            <w:r>
              <w:rPr>
                <w:sz w:val="20"/>
              </w:rPr>
              <w:t>51.52</w:t>
            </w:r>
          </w:p>
        </w:tc>
        <w:tc>
          <w:tcPr>
            <w:tcW w:w="1275" w:type="dxa"/>
          </w:tcPr>
          <w:p w:rsidR="007C5447" w:rsidRDefault="00F6308C">
            <w:pPr>
              <w:pStyle w:val="TableParagraph"/>
              <w:spacing w:before="43"/>
              <w:ind w:right="98"/>
              <w:rPr>
                <w:sz w:val="20"/>
              </w:rPr>
            </w:pPr>
            <w:r>
              <w:rPr>
                <w:sz w:val="20"/>
              </w:rPr>
              <w:t>39.83</w:t>
            </w:r>
          </w:p>
        </w:tc>
      </w:tr>
      <w:tr w:rsidR="007C5447">
        <w:trPr>
          <w:trHeight w:val="314"/>
        </w:trPr>
        <w:tc>
          <w:tcPr>
            <w:tcW w:w="703" w:type="dxa"/>
          </w:tcPr>
          <w:p w:rsidR="007C5447" w:rsidRDefault="00F6308C">
            <w:pPr>
              <w:pStyle w:val="TableParagraph"/>
              <w:spacing w:before="70" w:line="224" w:lineRule="exact"/>
              <w:ind w:left="251"/>
              <w:jc w:val="left"/>
              <w:rPr>
                <w:sz w:val="20"/>
              </w:rPr>
            </w:pPr>
            <w:r>
              <w:rPr>
                <w:sz w:val="20"/>
              </w:rPr>
              <w:t>14</w:t>
            </w:r>
          </w:p>
        </w:tc>
        <w:tc>
          <w:tcPr>
            <w:tcW w:w="1988" w:type="dxa"/>
          </w:tcPr>
          <w:p w:rsidR="007C5447" w:rsidRDefault="00F6308C">
            <w:pPr>
              <w:pStyle w:val="TableParagraph"/>
              <w:spacing w:before="70" w:line="224" w:lineRule="exact"/>
              <w:ind w:left="107"/>
              <w:jc w:val="left"/>
              <w:rPr>
                <w:sz w:val="20"/>
              </w:rPr>
            </w:pPr>
            <w:r>
              <w:rPr>
                <w:sz w:val="20"/>
              </w:rPr>
              <w:t>Tirunelveli HEP</w:t>
            </w:r>
          </w:p>
        </w:tc>
        <w:tc>
          <w:tcPr>
            <w:tcW w:w="1275" w:type="dxa"/>
          </w:tcPr>
          <w:p w:rsidR="007C5447" w:rsidRDefault="00F6308C">
            <w:pPr>
              <w:pStyle w:val="TableParagraph"/>
              <w:spacing w:before="43"/>
              <w:ind w:right="101"/>
              <w:rPr>
                <w:sz w:val="20"/>
              </w:rPr>
            </w:pPr>
            <w:r>
              <w:rPr>
                <w:w w:val="95"/>
                <w:sz w:val="20"/>
              </w:rPr>
              <w:t>13.01</w:t>
            </w:r>
          </w:p>
        </w:tc>
        <w:tc>
          <w:tcPr>
            <w:tcW w:w="1275" w:type="dxa"/>
          </w:tcPr>
          <w:p w:rsidR="007C5447" w:rsidRDefault="00F6308C">
            <w:pPr>
              <w:pStyle w:val="TableParagraph"/>
              <w:spacing w:before="43"/>
              <w:ind w:right="96"/>
              <w:rPr>
                <w:sz w:val="20"/>
              </w:rPr>
            </w:pPr>
            <w:r>
              <w:rPr>
                <w:w w:val="95"/>
                <w:sz w:val="20"/>
              </w:rPr>
              <w:t>12.79</w:t>
            </w:r>
          </w:p>
        </w:tc>
        <w:tc>
          <w:tcPr>
            <w:tcW w:w="1294" w:type="dxa"/>
          </w:tcPr>
          <w:p w:rsidR="007C5447" w:rsidRDefault="00F6308C">
            <w:pPr>
              <w:pStyle w:val="TableParagraph"/>
              <w:spacing w:before="43"/>
              <w:ind w:right="99"/>
              <w:rPr>
                <w:sz w:val="20"/>
              </w:rPr>
            </w:pPr>
            <w:r>
              <w:rPr>
                <w:w w:val="95"/>
                <w:sz w:val="20"/>
              </w:rPr>
              <w:t>15.04</w:t>
            </w:r>
          </w:p>
        </w:tc>
        <w:tc>
          <w:tcPr>
            <w:tcW w:w="1261" w:type="dxa"/>
          </w:tcPr>
          <w:p w:rsidR="007C5447" w:rsidRDefault="00F6308C">
            <w:pPr>
              <w:pStyle w:val="TableParagraph"/>
              <w:spacing w:before="43"/>
              <w:ind w:right="98"/>
              <w:rPr>
                <w:sz w:val="20"/>
              </w:rPr>
            </w:pPr>
            <w:r>
              <w:rPr>
                <w:sz w:val="20"/>
              </w:rPr>
              <w:t>24.21</w:t>
            </w:r>
          </w:p>
        </w:tc>
        <w:tc>
          <w:tcPr>
            <w:tcW w:w="1275" w:type="dxa"/>
          </w:tcPr>
          <w:p w:rsidR="007C5447" w:rsidRDefault="00F6308C">
            <w:pPr>
              <w:pStyle w:val="TableParagraph"/>
              <w:spacing w:before="43"/>
              <w:ind w:right="98"/>
              <w:rPr>
                <w:sz w:val="20"/>
              </w:rPr>
            </w:pPr>
            <w:r>
              <w:rPr>
                <w:sz w:val="20"/>
              </w:rPr>
              <w:t>25.71</w:t>
            </w:r>
          </w:p>
        </w:tc>
      </w:tr>
      <w:tr w:rsidR="007C5447">
        <w:trPr>
          <w:trHeight w:val="316"/>
        </w:trPr>
        <w:tc>
          <w:tcPr>
            <w:tcW w:w="703" w:type="dxa"/>
          </w:tcPr>
          <w:p w:rsidR="007C5447" w:rsidRDefault="00F6308C">
            <w:pPr>
              <w:pStyle w:val="TableParagraph"/>
              <w:spacing w:before="70" w:line="227" w:lineRule="exact"/>
              <w:ind w:left="251"/>
              <w:jc w:val="left"/>
              <w:rPr>
                <w:b/>
                <w:sz w:val="20"/>
              </w:rPr>
            </w:pPr>
            <w:r>
              <w:rPr>
                <w:b/>
                <w:sz w:val="20"/>
              </w:rPr>
              <w:t>15</w:t>
            </w:r>
          </w:p>
        </w:tc>
        <w:tc>
          <w:tcPr>
            <w:tcW w:w="1988" w:type="dxa"/>
          </w:tcPr>
          <w:p w:rsidR="007C5447" w:rsidRDefault="00F6308C">
            <w:pPr>
              <w:pStyle w:val="TableParagraph"/>
              <w:spacing w:before="70" w:line="227" w:lineRule="exact"/>
              <w:ind w:left="107"/>
              <w:jc w:val="left"/>
              <w:rPr>
                <w:b/>
                <w:sz w:val="20"/>
              </w:rPr>
            </w:pPr>
            <w:r>
              <w:rPr>
                <w:b/>
                <w:sz w:val="20"/>
              </w:rPr>
              <w:t>Total Generation</w:t>
            </w:r>
          </w:p>
        </w:tc>
        <w:tc>
          <w:tcPr>
            <w:tcW w:w="1275" w:type="dxa"/>
          </w:tcPr>
          <w:p w:rsidR="007C5447" w:rsidRDefault="00F6308C">
            <w:pPr>
              <w:pStyle w:val="TableParagraph"/>
              <w:spacing w:before="44"/>
              <w:ind w:right="101"/>
              <w:rPr>
                <w:b/>
                <w:sz w:val="20"/>
              </w:rPr>
            </w:pPr>
            <w:r>
              <w:rPr>
                <w:b/>
                <w:w w:val="95"/>
                <w:sz w:val="20"/>
              </w:rPr>
              <w:t>350.93</w:t>
            </w:r>
          </w:p>
        </w:tc>
        <w:tc>
          <w:tcPr>
            <w:tcW w:w="1275" w:type="dxa"/>
          </w:tcPr>
          <w:p w:rsidR="007C5447" w:rsidRDefault="00F6308C">
            <w:pPr>
              <w:pStyle w:val="TableParagraph"/>
              <w:spacing w:before="44"/>
              <w:ind w:right="97"/>
              <w:rPr>
                <w:b/>
                <w:sz w:val="20"/>
              </w:rPr>
            </w:pPr>
            <w:r>
              <w:rPr>
                <w:b/>
                <w:w w:val="95"/>
                <w:sz w:val="20"/>
              </w:rPr>
              <w:t>352.67</w:t>
            </w:r>
          </w:p>
        </w:tc>
        <w:tc>
          <w:tcPr>
            <w:tcW w:w="1294" w:type="dxa"/>
          </w:tcPr>
          <w:p w:rsidR="007C5447" w:rsidRDefault="00F6308C">
            <w:pPr>
              <w:pStyle w:val="TableParagraph"/>
              <w:spacing w:before="44"/>
              <w:ind w:right="99"/>
              <w:rPr>
                <w:b/>
                <w:sz w:val="20"/>
              </w:rPr>
            </w:pPr>
            <w:r>
              <w:rPr>
                <w:b/>
                <w:w w:val="95"/>
                <w:sz w:val="20"/>
              </w:rPr>
              <w:t>395.75</w:t>
            </w:r>
          </w:p>
        </w:tc>
        <w:tc>
          <w:tcPr>
            <w:tcW w:w="1261" w:type="dxa"/>
          </w:tcPr>
          <w:p w:rsidR="007C5447" w:rsidRDefault="00F6308C">
            <w:pPr>
              <w:pStyle w:val="TableParagraph"/>
              <w:spacing w:before="44"/>
              <w:ind w:right="98"/>
              <w:rPr>
                <w:b/>
                <w:sz w:val="20"/>
              </w:rPr>
            </w:pPr>
            <w:r>
              <w:rPr>
                <w:b/>
                <w:w w:val="95"/>
                <w:sz w:val="20"/>
              </w:rPr>
              <w:t>760.17</w:t>
            </w:r>
          </w:p>
        </w:tc>
        <w:tc>
          <w:tcPr>
            <w:tcW w:w="1275" w:type="dxa"/>
          </w:tcPr>
          <w:p w:rsidR="007C5447" w:rsidRDefault="00F6308C">
            <w:pPr>
              <w:pStyle w:val="TableParagraph"/>
              <w:spacing w:before="44"/>
              <w:ind w:right="98"/>
              <w:rPr>
                <w:b/>
                <w:sz w:val="20"/>
              </w:rPr>
            </w:pPr>
            <w:r>
              <w:rPr>
                <w:b/>
                <w:w w:val="95"/>
                <w:sz w:val="20"/>
              </w:rPr>
              <w:t>937.60</w:t>
            </w:r>
          </w:p>
        </w:tc>
      </w:tr>
      <w:tr w:rsidR="007C5447">
        <w:trPr>
          <w:trHeight w:val="313"/>
        </w:trPr>
        <w:tc>
          <w:tcPr>
            <w:tcW w:w="703" w:type="dxa"/>
          </w:tcPr>
          <w:p w:rsidR="007C5447" w:rsidRDefault="00F6308C">
            <w:pPr>
              <w:pStyle w:val="TableParagraph"/>
              <w:spacing w:before="70" w:line="224" w:lineRule="exact"/>
              <w:ind w:left="251"/>
              <w:jc w:val="left"/>
              <w:rPr>
                <w:b/>
                <w:sz w:val="20"/>
              </w:rPr>
            </w:pPr>
            <w:r>
              <w:rPr>
                <w:b/>
                <w:sz w:val="20"/>
              </w:rPr>
              <w:t>16</w:t>
            </w:r>
          </w:p>
        </w:tc>
        <w:tc>
          <w:tcPr>
            <w:tcW w:w="1988" w:type="dxa"/>
          </w:tcPr>
          <w:p w:rsidR="007C5447" w:rsidRDefault="00F6308C">
            <w:pPr>
              <w:pStyle w:val="TableParagraph"/>
              <w:spacing w:before="70" w:line="224" w:lineRule="exact"/>
              <w:ind w:left="107"/>
              <w:jc w:val="left"/>
              <w:rPr>
                <w:b/>
                <w:sz w:val="20"/>
              </w:rPr>
            </w:pPr>
            <w:r>
              <w:rPr>
                <w:b/>
                <w:sz w:val="20"/>
              </w:rPr>
              <w:t>Distribution</w:t>
            </w:r>
          </w:p>
        </w:tc>
        <w:tc>
          <w:tcPr>
            <w:tcW w:w="1275" w:type="dxa"/>
          </w:tcPr>
          <w:p w:rsidR="007C5447" w:rsidRDefault="00F6308C">
            <w:pPr>
              <w:pStyle w:val="TableParagraph"/>
              <w:spacing w:before="41"/>
              <w:ind w:right="101"/>
              <w:rPr>
                <w:b/>
                <w:sz w:val="20"/>
              </w:rPr>
            </w:pPr>
            <w:r>
              <w:rPr>
                <w:b/>
                <w:w w:val="95"/>
                <w:sz w:val="20"/>
              </w:rPr>
              <w:t>265.10</w:t>
            </w:r>
          </w:p>
        </w:tc>
        <w:tc>
          <w:tcPr>
            <w:tcW w:w="1275" w:type="dxa"/>
          </w:tcPr>
          <w:p w:rsidR="007C5447" w:rsidRDefault="00F6308C">
            <w:pPr>
              <w:pStyle w:val="TableParagraph"/>
              <w:spacing w:before="41"/>
              <w:ind w:right="97"/>
              <w:rPr>
                <w:b/>
                <w:sz w:val="20"/>
              </w:rPr>
            </w:pPr>
            <w:r>
              <w:rPr>
                <w:b/>
                <w:w w:val="95"/>
                <w:sz w:val="20"/>
              </w:rPr>
              <w:t>294.39</w:t>
            </w:r>
          </w:p>
        </w:tc>
        <w:tc>
          <w:tcPr>
            <w:tcW w:w="1294" w:type="dxa"/>
          </w:tcPr>
          <w:p w:rsidR="007C5447" w:rsidRDefault="00F6308C">
            <w:pPr>
              <w:pStyle w:val="TableParagraph"/>
              <w:spacing w:before="41"/>
              <w:ind w:right="99"/>
              <w:rPr>
                <w:b/>
                <w:sz w:val="20"/>
              </w:rPr>
            </w:pPr>
            <w:r>
              <w:rPr>
                <w:b/>
                <w:w w:val="95"/>
                <w:sz w:val="20"/>
              </w:rPr>
              <w:t>327.15</w:t>
            </w:r>
          </w:p>
        </w:tc>
        <w:tc>
          <w:tcPr>
            <w:tcW w:w="1261" w:type="dxa"/>
          </w:tcPr>
          <w:p w:rsidR="007C5447" w:rsidRDefault="00F6308C">
            <w:pPr>
              <w:pStyle w:val="TableParagraph"/>
              <w:spacing w:before="41"/>
              <w:ind w:right="98"/>
              <w:rPr>
                <w:b/>
                <w:sz w:val="20"/>
              </w:rPr>
            </w:pPr>
            <w:r>
              <w:rPr>
                <w:b/>
                <w:w w:val="95"/>
                <w:sz w:val="20"/>
              </w:rPr>
              <w:t>525.28</w:t>
            </w:r>
          </w:p>
        </w:tc>
        <w:tc>
          <w:tcPr>
            <w:tcW w:w="1275" w:type="dxa"/>
          </w:tcPr>
          <w:p w:rsidR="007C5447" w:rsidRDefault="00F6308C">
            <w:pPr>
              <w:pStyle w:val="TableParagraph"/>
              <w:spacing w:before="41"/>
              <w:ind w:right="98"/>
              <w:rPr>
                <w:b/>
                <w:sz w:val="20"/>
              </w:rPr>
            </w:pPr>
            <w:r>
              <w:rPr>
                <w:b/>
                <w:w w:val="95"/>
                <w:sz w:val="20"/>
              </w:rPr>
              <w:t>670.46</w:t>
            </w:r>
          </w:p>
        </w:tc>
      </w:tr>
      <w:tr w:rsidR="007C5447">
        <w:trPr>
          <w:trHeight w:val="316"/>
        </w:trPr>
        <w:tc>
          <w:tcPr>
            <w:tcW w:w="703" w:type="dxa"/>
          </w:tcPr>
          <w:p w:rsidR="007C5447" w:rsidRDefault="00F6308C">
            <w:pPr>
              <w:pStyle w:val="TableParagraph"/>
              <w:spacing w:before="43"/>
              <w:ind w:left="251"/>
              <w:jc w:val="left"/>
              <w:rPr>
                <w:b/>
                <w:sz w:val="20"/>
              </w:rPr>
            </w:pPr>
            <w:r>
              <w:rPr>
                <w:b/>
                <w:sz w:val="20"/>
              </w:rPr>
              <w:t>17</w:t>
            </w:r>
          </w:p>
        </w:tc>
        <w:tc>
          <w:tcPr>
            <w:tcW w:w="1988" w:type="dxa"/>
          </w:tcPr>
          <w:p w:rsidR="007C5447" w:rsidRDefault="00F6308C">
            <w:pPr>
              <w:pStyle w:val="TableParagraph"/>
              <w:spacing w:before="43"/>
              <w:ind w:left="107"/>
              <w:jc w:val="left"/>
              <w:rPr>
                <w:b/>
                <w:sz w:val="20"/>
              </w:rPr>
            </w:pPr>
            <w:r>
              <w:rPr>
                <w:b/>
                <w:sz w:val="20"/>
              </w:rPr>
              <w:t>Total TANGEDCO</w:t>
            </w:r>
          </w:p>
        </w:tc>
        <w:tc>
          <w:tcPr>
            <w:tcW w:w="1275" w:type="dxa"/>
          </w:tcPr>
          <w:p w:rsidR="007C5447" w:rsidRDefault="00F6308C">
            <w:pPr>
              <w:pStyle w:val="TableParagraph"/>
              <w:spacing w:before="43"/>
              <w:ind w:right="101"/>
              <w:rPr>
                <w:b/>
                <w:sz w:val="20"/>
              </w:rPr>
            </w:pPr>
            <w:r>
              <w:rPr>
                <w:b/>
                <w:w w:val="95"/>
                <w:sz w:val="20"/>
              </w:rPr>
              <w:t>616.03</w:t>
            </w:r>
          </w:p>
        </w:tc>
        <w:tc>
          <w:tcPr>
            <w:tcW w:w="1275" w:type="dxa"/>
          </w:tcPr>
          <w:p w:rsidR="007C5447" w:rsidRDefault="00F6308C">
            <w:pPr>
              <w:pStyle w:val="TableParagraph"/>
              <w:spacing w:before="43"/>
              <w:ind w:right="97"/>
              <w:rPr>
                <w:b/>
                <w:sz w:val="20"/>
              </w:rPr>
            </w:pPr>
            <w:r>
              <w:rPr>
                <w:b/>
                <w:w w:val="95"/>
                <w:sz w:val="20"/>
              </w:rPr>
              <w:t>647.07</w:t>
            </w:r>
          </w:p>
        </w:tc>
        <w:tc>
          <w:tcPr>
            <w:tcW w:w="1294" w:type="dxa"/>
          </w:tcPr>
          <w:p w:rsidR="007C5447" w:rsidRDefault="00F6308C">
            <w:pPr>
              <w:pStyle w:val="TableParagraph"/>
              <w:spacing w:before="43"/>
              <w:ind w:right="99"/>
              <w:rPr>
                <w:b/>
                <w:sz w:val="20"/>
              </w:rPr>
            </w:pPr>
            <w:r>
              <w:rPr>
                <w:b/>
                <w:w w:val="95"/>
                <w:sz w:val="20"/>
              </w:rPr>
              <w:t>722.90</w:t>
            </w:r>
          </w:p>
        </w:tc>
        <w:tc>
          <w:tcPr>
            <w:tcW w:w="1261" w:type="dxa"/>
          </w:tcPr>
          <w:p w:rsidR="007C5447" w:rsidRDefault="00F6308C">
            <w:pPr>
              <w:pStyle w:val="TableParagraph"/>
              <w:spacing w:before="43"/>
              <w:ind w:right="98"/>
              <w:rPr>
                <w:b/>
                <w:sz w:val="20"/>
              </w:rPr>
            </w:pPr>
            <w:r>
              <w:rPr>
                <w:b/>
                <w:sz w:val="20"/>
              </w:rPr>
              <w:t>1285.45</w:t>
            </w:r>
          </w:p>
        </w:tc>
        <w:tc>
          <w:tcPr>
            <w:tcW w:w="1275" w:type="dxa"/>
          </w:tcPr>
          <w:p w:rsidR="007C5447" w:rsidRDefault="00F6308C">
            <w:pPr>
              <w:pStyle w:val="TableParagraph"/>
              <w:spacing w:before="43"/>
              <w:ind w:right="98"/>
              <w:rPr>
                <w:b/>
                <w:sz w:val="20"/>
              </w:rPr>
            </w:pPr>
            <w:r>
              <w:rPr>
                <w:b/>
                <w:sz w:val="20"/>
              </w:rPr>
              <w:t>1608.10</w:t>
            </w:r>
          </w:p>
        </w:tc>
      </w:tr>
    </w:tbl>
    <w:p w:rsidR="007C5447" w:rsidRDefault="007C5447">
      <w:pPr>
        <w:pStyle w:val="BodyText"/>
        <w:spacing w:before="9"/>
        <w:rPr>
          <w:b/>
          <w:sz w:val="20"/>
        </w:rPr>
      </w:pPr>
    </w:p>
    <w:p w:rsidR="007C5447" w:rsidRDefault="00F6308C">
      <w:pPr>
        <w:pStyle w:val="Heading2"/>
        <w:ind w:left="952"/>
      </w:pPr>
      <w:r>
        <w:t>Commission’s Views</w:t>
      </w:r>
    </w:p>
    <w:p w:rsidR="007C5447" w:rsidRDefault="00F6308C">
      <w:pPr>
        <w:pStyle w:val="ListParagraph"/>
        <w:numPr>
          <w:ilvl w:val="2"/>
          <w:numId w:val="92"/>
        </w:numPr>
        <w:tabs>
          <w:tab w:val="left" w:pos="953"/>
        </w:tabs>
        <w:spacing w:before="201" w:line="312" w:lineRule="auto"/>
        <w:ind w:left="952" w:right="152"/>
        <w:jc w:val="both"/>
        <w:rPr>
          <w:sz w:val="24"/>
        </w:rPr>
      </w:pPr>
      <w:r>
        <w:rPr>
          <w:sz w:val="24"/>
        </w:rPr>
        <w:t>While approving the depreciation for FY 2011-12 to FY 2015-16 the opening GFA (excluding land) for each generating station for FY 2011-12 has been considered same as the closing GFA for FY 2010-11 as approved in the Tariff Order dated June 20, 2013. As det</w:t>
      </w:r>
      <w:r>
        <w:rPr>
          <w:sz w:val="24"/>
        </w:rPr>
        <w:t>ails of assets added during the year given in the Audited Accounts included the impact of revaluation reserve, TANGEDCO was asked to submit such details excluding the impact of revaluation. TANGEDCO submitted the details of assets added during the year aft</w:t>
      </w:r>
      <w:r>
        <w:rPr>
          <w:sz w:val="24"/>
        </w:rPr>
        <w:t xml:space="preserve">er excluding the impact of revaluation and the same has been considered by the Commission. The Commission has also not considered the asset addition against capitalisation that has been disallowed in the past through separate Orders. Further, depreciation </w:t>
      </w:r>
      <w:r>
        <w:rPr>
          <w:sz w:val="24"/>
        </w:rPr>
        <w:t>has been computed on opening GFA for the year.</w:t>
      </w:r>
    </w:p>
    <w:p w:rsidR="007C5447" w:rsidRDefault="007C5447">
      <w:pPr>
        <w:pStyle w:val="BodyText"/>
        <w:spacing w:before="10"/>
        <w:rPr>
          <w:sz w:val="20"/>
        </w:rPr>
      </w:pPr>
    </w:p>
    <w:p w:rsidR="007C5447" w:rsidRDefault="00F6308C">
      <w:pPr>
        <w:pStyle w:val="ListParagraph"/>
        <w:numPr>
          <w:ilvl w:val="2"/>
          <w:numId w:val="92"/>
        </w:numPr>
        <w:tabs>
          <w:tab w:val="left" w:pos="952"/>
          <w:tab w:val="left" w:pos="953"/>
        </w:tabs>
        <w:ind w:left="952" w:hanging="853"/>
        <w:rPr>
          <w:sz w:val="24"/>
        </w:rPr>
      </w:pPr>
      <w:r>
        <w:rPr>
          <w:sz w:val="24"/>
        </w:rPr>
        <w:t>In</w:t>
      </w:r>
      <w:r>
        <w:rPr>
          <w:spacing w:val="19"/>
          <w:sz w:val="24"/>
        </w:rPr>
        <w:t xml:space="preserve"> </w:t>
      </w:r>
      <w:r>
        <w:rPr>
          <w:sz w:val="24"/>
        </w:rPr>
        <w:t>order</w:t>
      </w:r>
      <w:r>
        <w:rPr>
          <w:spacing w:val="19"/>
          <w:sz w:val="24"/>
        </w:rPr>
        <w:t xml:space="preserve"> </w:t>
      </w:r>
      <w:r>
        <w:rPr>
          <w:sz w:val="24"/>
        </w:rPr>
        <w:t>to</w:t>
      </w:r>
      <w:r>
        <w:rPr>
          <w:spacing w:val="20"/>
          <w:sz w:val="24"/>
        </w:rPr>
        <w:t xml:space="preserve"> </w:t>
      </w:r>
      <w:r>
        <w:rPr>
          <w:sz w:val="24"/>
        </w:rPr>
        <w:t>determine</w:t>
      </w:r>
      <w:r>
        <w:rPr>
          <w:spacing w:val="19"/>
          <w:sz w:val="24"/>
        </w:rPr>
        <w:t xml:space="preserve"> </w:t>
      </w:r>
      <w:r>
        <w:rPr>
          <w:sz w:val="24"/>
        </w:rPr>
        <w:t>depreciation,</w:t>
      </w:r>
      <w:r>
        <w:rPr>
          <w:spacing w:val="19"/>
          <w:sz w:val="24"/>
        </w:rPr>
        <w:t xml:space="preserve"> </w:t>
      </w:r>
      <w:r>
        <w:rPr>
          <w:sz w:val="24"/>
        </w:rPr>
        <w:t>the</w:t>
      </w:r>
      <w:r>
        <w:rPr>
          <w:spacing w:val="19"/>
          <w:sz w:val="24"/>
        </w:rPr>
        <w:t xml:space="preserve"> </w:t>
      </w:r>
      <w:r>
        <w:rPr>
          <w:sz w:val="24"/>
        </w:rPr>
        <w:t>Commission</w:t>
      </w:r>
      <w:r>
        <w:rPr>
          <w:spacing w:val="20"/>
          <w:sz w:val="24"/>
        </w:rPr>
        <w:t xml:space="preserve"> </w:t>
      </w:r>
      <w:r>
        <w:rPr>
          <w:sz w:val="24"/>
        </w:rPr>
        <w:t>has</w:t>
      </w:r>
      <w:r>
        <w:rPr>
          <w:spacing w:val="20"/>
          <w:sz w:val="24"/>
        </w:rPr>
        <w:t xml:space="preserve"> </w:t>
      </w:r>
      <w:r>
        <w:rPr>
          <w:sz w:val="24"/>
        </w:rPr>
        <w:t>used</w:t>
      </w:r>
      <w:r>
        <w:rPr>
          <w:spacing w:val="20"/>
          <w:sz w:val="24"/>
        </w:rPr>
        <w:t xml:space="preserve"> </w:t>
      </w:r>
      <w:r>
        <w:rPr>
          <w:sz w:val="24"/>
        </w:rPr>
        <w:t>the</w:t>
      </w:r>
      <w:r>
        <w:rPr>
          <w:spacing w:val="18"/>
          <w:sz w:val="24"/>
        </w:rPr>
        <w:t xml:space="preserve"> </w:t>
      </w:r>
      <w:r>
        <w:rPr>
          <w:sz w:val="24"/>
        </w:rPr>
        <w:t>weighted</w:t>
      </w:r>
      <w:r>
        <w:rPr>
          <w:spacing w:val="20"/>
          <w:sz w:val="24"/>
        </w:rPr>
        <w:t xml:space="preserve"> </w:t>
      </w:r>
      <w:r>
        <w:rPr>
          <w:sz w:val="24"/>
        </w:rPr>
        <w:t>average</w:t>
      </w:r>
    </w:p>
    <w:p w:rsidR="007C5447" w:rsidRDefault="007C5447">
      <w:pPr>
        <w:rPr>
          <w:sz w:val="24"/>
        </w:rPr>
        <w:sectPr w:rsidR="007C5447">
          <w:pgSz w:w="11910" w:h="16840"/>
          <w:pgMar w:top="1360" w:right="1280" w:bottom="1240" w:left="1340" w:header="0" w:footer="1057" w:gutter="0"/>
          <w:cols w:space="720"/>
        </w:sectPr>
      </w:pPr>
    </w:p>
    <w:p w:rsidR="007C5447" w:rsidRDefault="00F6308C">
      <w:pPr>
        <w:pStyle w:val="BodyText"/>
        <w:spacing w:before="60" w:line="312" w:lineRule="auto"/>
        <w:ind w:left="952" w:right="158"/>
        <w:jc w:val="both"/>
      </w:pPr>
      <w:r>
        <w:lastRenderedPageBreak/>
        <w:t xml:space="preserve">depreciation rate for any particular asset group arrived based on depreciation rates specified in the Tariff </w:t>
      </w:r>
      <w:r>
        <w:t>Regulations. Since, the depreciation rate for assets were changed after the amendment dated March 12, 2014 (w.e.f. from April 9, 2014), the depreciation rate prior to amendment has been used to compute depreciation for FY 2011-12 to FY 2013-14 and the depr</w:t>
      </w:r>
      <w:r>
        <w:t>eciation rate post-amendment has been used to compute depreciation for FY 2014-15 and FY 2015-16.</w:t>
      </w:r>
    </w:p>
    <w:p w:rsidR="007C5447" w:rsidRDefault="007C5447">
      <w:pPr>
        <w:spacing w:line="312" w:lineRule="auto"/>
        <w:jc w:val="both"/>
        <w:sectPr w:rsidR="007C5447">
          <w:pgSz w:w="11910" w:h="16840"/>
          <w:pgMar w:top="1360" w:right="1280" w:bottom="1240" w:left="1340" w:header="0" w:footer="1057" w:gutter="0"/>
          <w:cols w:space="720"/>
        </w:sectPr>
      </w:pPr>
    </w:p>
    <w:p w:rsidR="007C5447" w:rsidRDefault="007C5447">
      <w:pPr>
        <w:pStyle w:val="BodyText"/>
        <w:rPr>
          <w:sz w:val="20"/>
        </w:rPr>
      </w:pPr>
    </w:p>
    <w:p w:rsidR="007C5447" w:rsidRDefault="007C5447">
      <w:pPr>
        <w:pStyle w:val="BodyText"/>
        <w:spacing w:before="6"/>
        <w:rPr>
          <w:sz w:val="19"/>
        </w:rPr>
      </w:pPr>
    </w:p>
    <w:p w:rsidR="007C5447" w:rsidRDefault="00F6308C">
      <w:pPr>
        <w:ind w:left="1473"/>
        <w:rPr>
          <w:b/>
        </w:rPr>
      </w:pPr>
      <w:r>
        <w:rPr>
          <w:b/>
        </w:rPr>
        <w:t>Table 3-17: Depreciation approved by the Commission after true-up for FY 2011-12 to FY 2013-14 (Rs. Crore)</w:t>
      </w:r>
    </w:p>
    <w:p w:rsidR="007C5447" w:rsidRDefault="007C5447">
      <w:pPr>
        <w:pStyle w:val="BodyText"/>
        <w:spacing w:before="11"/>
        <w:rPr>
          <w:b/>
          <w:sz w:val="16"/>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2551"/>
        <w:gridCol w:w="1119"/>
        <w:gridCol w:w="1440"/>
        <w:gridCol w:w="1154"/>
        <w:gridCol w:w="1027"/>
        <w:gridCol w:w="1372"/>
        <w:gridCol w:w="1166"/>
        <w:gridCol w:w="1224"/>
        <w:gridCol w:w="1370"/>
        <w:gridCol w:w="1128"/>
      </w:tblGrid>
      <w:tr w:rsidR="007C5447">
        <w:trPr>
          <w:trHeight w:val="313"/>
        </w:trPr>
        <w:tc>
          <w:tcPr>
            <w:tcW w:w="566" w:type="dxa"/>
            <w:vMerge w:val="restart"/>
            <w:shd w:val="clear" w:color="auto" w:fill="F7C9AC"/>
          </w:tcPr>
          <w:p w:rsidR="007C5447" w:rsidRDefault="007C5447">
            <w:pPr>
              <w:pStyle w:val="TableParagraph"/>
              <w:jc w:val="left"/>
              <w:rPr>
                <w:b/>
              </w:rPr>
            </w:pPr>
          </w:p>
          <w:p w:rsidR="007C5447" w:rsidRDefault="00F6308C">
            <w:pPr>
              <w:pStyle w:val="TableParagraph"/>
              <w:spacing w:before="155"/>
              <w:ind w:left="105"/>
              <w:jc w:val="left"/>
              <w:rPr>
                <w:b/>
                <w:sz w:val="20"/>
              </w:rPr>
            </w:pPr>
            <w:r>
              <w:rPr>
                <w:b/>
                <w:sz w:val="20"/>
              </w:rPr>
              <w:t>Sl.</w:t>
            </w:r>
          </w:p>
        </w:tc>
        <w:tc>
          <w:tcPr>
            <w:tcW w:w="2551" w:type="dxa"/>
            <w:vMerge w:val="restart"/>
            <w:shd w:val="clear" w:color="auto" w:fill="F7C9AC"/>
          </w:tcPr>
          <w:p w:rsidR="007C5447" w:rsidRDefault="007C5447">
            <w:pPr>
              <w:pStyle w:val="TableParagraph"/>
              <w:jc w:val="left"/>
              <w:rPr>
                <w:b/>
              </w:rPr>
            </w:pPr>
          </w:p>
          <w:p w:rsidR="007C5447" w:rsidRDefault="00F6308C">
            <w:pPr>
              <w:pStyle w:val="TableParagraph"/>
              <w:spacing w:before="155"/>
              <w:ind w:left="108"/>
              <w:jc w:val="left"/>
              <w:rPr>
                <w:b/>
                <w:sz w:val="20"/>
              </w:rPr>
            </w:pPr>
            <w:r>
              <w:rPr>
                <w:b/>
                <w:sz w:val="20"/>
              </w:rPr>
              <w:t>Particulars</w:t>
            </w:r>
          </w:p>
        </w:tc>
        <w:tc>
          <w:tcPr>
            <w:tcW w:w="3713" w:type="dxa"/>
            <w:gridSpan w:val="3"/>
            <w:shd w:val="clear" w:color="auto" w:fill="FBD4B4"/>
          </w:tcPr>
          <w:p w:rsidR="007C5447" w:rsidRDefault="00F6308C">
            <w:pPr>
              <w:pStyle w:val="TableParagraph"/>
              <w:spacing w:before="43"/>
              <w:ind w:left="1345" w:right="1334"/>
              <w:jc w:val="center"/>
              <w:rPr>
                <w:b/>
                <w:sz w:val="20"/>
              </w:rPr>
            </w:pPr>
            <w:r>
              <w:rPr>
                <w:b/>
                <w:sz w:val="20"/>
              </w:rPr>
              <w:t>FY 2011-12</w:t>
            </w:r>
          </w:p>
        </w:tc>
        <w:tc>
          <w:tcPr>
            <w:tcW w:w="3565" w:type="dxa"/>
            <w:gridSpan w:val="3"/>
            <w:shd w:val="clear" w:color="auto" w:fill="FBD4B4"/>
          </w:tcPr>
          <w:p w:rsidR="007C5447" w:rsidRDefault="00F6308C">
            <w:pPr>
              <w:pStyle w:val="TableParagraph"/>
              <w:spacing w:before="43"/>
              <w:ind w:left="1273" w:right="1257"/>
              <w:jc w:val="center"/>
              <w:rPr>
                <w:b/>
                <w:sz w:val="20"/>
              </w:rPr>
            </w:pPr>
            <w:r>
              <w:rPr>
                <w:b/>
                <w:sz w:val="20"/>
              </w:rPr>
              <w:t>FY 2012-13</w:t>
            </w:r>
          </w:p>
        </w:tc>
        <w:tc>
          <w:tcPr>
            <w:tcW w:w="3722" w:type="dxa"/>
            <w:gridSpan w:val="3"/>
            <w:shd w:val="clear" w:color="auto" w:fill="FBD4B4"/>
          </w:tcPr>
          <w:p w:rsidR="007C5447" w:rsidRDefault="00F6308C">
            <w:pPr>
              <w:pStyle w:val="TableParagraph"/>
              <w:spacing w:before="43"/>
              <w:ind w:left="1354" w:right="1333"/>
              <w:jc w:val="center"/>
              <w:rPr>
                <w:b/>
                <w:sz w:val="20"/>
              </w:rPr>
            </w:pPr>
            <w:r>
              <w:rPr>
                <w:b/>
                <w:sz w:val="20"/>
              </w:rPr>
              <w:t>FY 2013-14</w:t>
            </w:r>
          </w:p>
        </w:tc>
      </w:tr>
      <w:tr w:rsidR="007C5447">
        <w:trPr>
          <w:trHeight w:val="719"/>
        </w:trPr>
        <w:tc>
          <w:tcPr>
            <w:tcW w:w="566" w:type="dxa"/>
            <w:vMerge/>
            <w:tcBorders>
              <w:top w:val="nil"/>
            </w:tcBorders>
            <w:shd w:val="clear" w:color="auto" w:fill="F7C9AC"/>
          </w:tcPr>
          <w:p w:rsidR="007C5447" w:rsidRDefault="007C5447">
            <w:pPr>
              <w:rPr>
                <w:sz w:val="2"/>
                <w:szCs w:val="2"/>
              </w:rPr>
            </w:pPr>
          </w:p>
        </w:tc>
        <w:tc>
          <w:tcPr>
            <w:tcW w:w="2551" w:type="dxa"/>
            <w:vMerge/>
            <w:tcBorders>
              <w:top w:val="nil"/>
            </w:tcBorders>
            <w:shd w:val="clear" w:color="auto" w:fill="F7C9AC"/>
          </w:tcPr>
          <w:p w:rsidR="007C5447" w:rsidRDefault="007C5447">
            <w:pPr>
              <w:rPr>
                <w:sz w:val="2"/>
                <w:szCs w:val="2"/>
              </w:rPr>
            </w:pPr>
          </w:p>
        </w:tc>
        <w:tc>
          <w:tcPr>
            <w:tcW w:w="1119" w:type="dxa"/>
            <w:shd w:val="clear" w:color="auto" w:fill="FBD4B4"/>
          </w:tcPr>
          <w:p w:rsidR="007C5447" w:rsidRDefault="00F6308C">
            <w:pPr>
              <w:pStyle w:val="TableParagraph"/>
              <w:spacing w:before="130"/>
              <w:ind w:left="343"/>
              <w:jc w:val="left"/>
              <w:rPr>
                <w:b/>
                <w:sz w:val="20"/>
              </w:rPr>
            </w:pPr>
            <w:r>
              <w:rPr>
                <w:b/>
                <w:sz w:val="20"/>
              </w:rPr>
              <w:t>SMT</w:t>
            </w:r>
          </w:p>
          <w:p w:rsidR="007C5447" w:rsidRDefault="00F6308C">
            <w:pPr>
              <w:pStyle w:val="TableParagraph"/>
              <w:ind w:left="293"/>
              <w:jc w:val="left"/>
              <w:rPr>
                <w:b/>
                <w:sz w:val="20"/>
              </w:rPr>
            </w:pPr>
            <w:r>
              <w:rPr>
                <w:b/>
                <w:sz w:val="20"/>
              </w:rPr>
              <w:t>Order</w:t>
            </w:r>
          </w:p>
        </w:tc>
        <w:tc>
          <w:tcPr>
            <w:tcW w:w="1440" w:type="dxa"/>
            <w:shd w:val="clear" w:color="auto" w:fill="FBD4B4"/>
          </w:tcPr>
          <w:p w:rsidR="007C5447" w:rsidRDefault="007C5447">
            <w:pPr>
              <w:pStyle w:val="TableParagraph"/>
              <w:spacing w:before="3"/>
              <w:jc w:val="left"/>
              <w:rPr>
                <w:b/>
                <w:sz w:val="21"/>
              </w:rPr>
            </w:pPr>
          </w:p>
          <w:p w:rsidR="007C5447" w:rsidRDefault="00F6308C">
            <w:pPr>
              <w:pStyle w:val="TableParagraph"/>
              <w:ind w:right="135"/>
              <w:rPr>
                <w:b/>
                <w:sz w:val="20"/>
              </w:rPr>
            </w:pPr>
            <w:r>
              <w:rPr>
                <w:b/>
                <w:w w:val="95"/>
                <w:sz w:val="20"/>
              </w:rPr>
              <w:t>TANGEDCO</w:t>
            </w:r>
          </w:p>
        </w:tc>
        <w:tc>
          <w:tcPr>
            <w:tcW w:w="1154" w:type="dxa"/>
            <w:shd w:val="clear" w:color="auto" w:fill="FBD4B4"/>
          </w:tcPr>
          <w:p w:rsidR="007C5447" w:rsidRDefault="00F6308C">
            <w:pPr>
              <w:pStyle w:val="TableParagraph"/>
              <w:spacing w:before="14" w:line="230" w:lineRule="atLeast"/>
              <w:ind w:left="149" w:right="138"/>
              <w:jc w:val="center"/>
              <w:rPr>
                <w:b/>
                <w:sz w:val="20"/>
              </w:rPr>
            </w:pPr>
            <w:r>
              <w:rPr>
                <w:b/>
                <w:w w:val="95"/>
                <w:sz w:val="20"/>
              </w:rPr>
              <w:t xml:space="preserve">Approved </w:t>
            </w:r>
            <w:r>
              <w:rPr>
                <w:b/>
                <w:sz w:val="20"/>
              </w:rPr>
              <w:t>after true up</w:t>
            </w:r>
          </w:p>
        </w:tc>
        <w:tc>
          <w:tcPr>
            <w:tcW w:w="1027" w:type="dxa"/>
            <w:shd w:val="clear" w:color="auto" w:fill="FBD4B4"/>
          </w:tcPr>
          <w:p w:rsidR="007C5447" w:rsidRDefault="00F6308C">
            <w:pPr>
              <w:pStyle w:val="TableParagraph"/>
              <w:spacing w:before="130"/>
              <w:ind w:left="296"/>
              <w:jc w:val="left"/>
              <w:rPr>
                <w:b/>
                <w:sz w:val="20"/>
              </w:rPr>
            </w:pPr>
            <w:r>
              <w:rPr>
                <w:b/>
                <w:sz w:val="20"/>
              </w:rPr>
              <w:t>SMT</w:t>
            </w:r>
          </w:p>
          <w:p w:rsidR="007C5447" w:rsidRDefault="00F6308C">
            <w:pPr>
              <w:pStyle w:val="TableParagraph"/>
              <w:ind w:left="248"/>
              <w:jc w:val="left"/>
              <w:rPr>
                <w:b/>
                <w:sz w:val="20"/>
              </w:rPr>
            </w:pPr>
            <w:r>
              <w:rPr>
                <w:b/>
                <w:sz w:val="20"/>
              </w:rPr>
              <w:t>Order</w:t>
            </w:r>
          </w:p>
        </w:tc>
        <w:tc>
          <w:tcPr>
            <w:tcW w:w="1372" w:type="dxa"/>
            <w:shd w:val="clear" w:color="auto" w:fill="FBD4B4"/>
          </w:tcPr>
          <w:p w:rsidR="007C5447" w:rsidRDefault="007C5447">
            <w:pPr>
              <w:pStyle w:val="TableParagraph"/>
              <w:spacing w:before="3"/>
              <w:jc w:val="left"/>
              <w:rPr>
                <w:b/>
                <w:sz w:val="21"/>
              </w:rPr>
            </w:pPr>
          </w:p>
          <w:p w:rsidR="007C5447" w:rsidRDefault="00F6308C">
            <w:pPr>
              <w:pStyle w:val="TableParagraph"/>
              <w:ind w:right="97"/>
              <w:rPr>
                <w:b/>
                <w:sz w:val="20"/>
              </w:rPr>
            </w:pPr>
            <w:r>
              <w:rPr>
                <w:b/>
                <w:w w:val="95"/>
                <w:sz w:val="20"/>
              </w:rPr>
              <w:t>TANGEDCO</w:t>
            </w:r>
          </w:p>
        </w:tc>
        <w:tc>
          <w:tcPr>
            <w:tcW w:w="1166" w:type="dxa"/>
            <w:shd w:val="clear" w:color="auto" w:fill="FBD4B4"/>
          </w:tcPr>
          <w:p w:rsidR="007C5447" w:rsidRDefault="00F6308C">
            <w:pPr>
              <w:pStyle w:val="TableParagraph"/>
              <w:spacing w:before="14" w:line="230" w:lineRule="atLeast"/>
              <w:ind w:left="157" w:right="140"/>
              <w:jc w:val="center"/>
              <w:rPr>
                <w:b/>
                <w:sz w:val="20"/>
              </w:rPr>
            </w:pPr>
            <w:r>
              <w:rPr>
                <w:b/>
                <w:w w:val="95"/>
                <w:sz w:val="20"/>
              </w:rPr>
              <w:t xml:space="preserve">Approved </w:t>
            </w:r>
            <w:r>
              <w:rPr>
                <w:b/>
                <w:sz w:val="20"/>
              </w:rPr>
              <w:t>after true up</w:t>
            </w:r>
          </w:p>
        </w:tc>
        <w:tc>
          <w:tcPr>
            <w:tcW w:w="1224" w:type="dxa"/>
            <w:shd w:val="clear" w:color="auto" w:fill="FBD4B4"/>
          </w:tcPr>
          <w:p w:rsidR="007C5447" w:rsidRDefault="00F6308C">
            <w:pPr>
              <w:pStyle w:val="TableParagraph"/>
              <w:spacing w:before="130"/>
              <w:ind w:left="396"/>
              <w:jc w:val="left"/>
              <w:rPr>
                <w:b/>
                <w:sz w:val="20"/>
              </w:rPr>
            </w:pPr>
            <w:r>
              <w:rPr>
                <w:b/>
                <w:sz w:val="20"/>
              </w:rPr>
              <w:t>SMT</w:t>
            </w:r>
          </w:p>
          <w:p w:rsidR="007C5447" w:rsidRDefault="00F6308C">
            <w:pPr>
              <w:pStyle w:val="TableParagraph"/>
              <w:ind w:left="348"/>
              <w:jc w:val="left"/>
              <w:rPr>
                <w:b/>
                <w:sz w:val="20"/>
              </w:rPr>
            </w:pPr>
            <w:r>
              <w:rPr>
                <w:b/>
                <w:sz w:val="20"/>
              </w:rPr>
              <w:t>Order</w:t>
            </w:r>
          </w:p>
        </w:tc>
        <w:tc>
          <w:tcPr>
            <w:tcW w:w="1370" w:type="dxa"/>
            <w:shd w:val="clear" w:color="auto" w:fill="FBD4B4"/>
          </w:tcPr>
          <w:p w:rsidR="007C5447" w:rsidRDefault="007C5447">
            <w:pPr>
              <w:pStyle w:val="TableParagraph"/>
              <w:spacing w:before="3"/>
              <w:jc w:val="left"/>
              <w:rPr>
                <w:b/>
                <w:sz w:val="21"/>
              </w:rPr>
            </w:pPr>
          </w:p>
          <w:p w:rsidR="007C5447" w:rsidRDefault="00F6308C">
            <w:pPr>
              <w:pStyle w:val="TableParagraph"/>
              <w:ind w:right="94"/>
              <w:rPr>
                <w:b/>
                <w:sz w:val="20"/>
              </w:rPr>
            </w:pPr>
            <w:r>
              <w:rPr>
                <w:b/>
                <w:w w:val="95"/>
                <w:sz w:val="20"/>
              </w:rPr>
              <w:t>TANGEDCO</w:t>
            </w:r>
          </w:p>
        </w:tc>
        <w:tc>
          <w:tcPr>
            <w:tcW w:w="1128" w:type="dxa"/>
            <w:shd w:val="clear" w:color="auto" w:fill="FBD4B4"/>
          </w:tcPr>
          <w:p w:rsidR="007C5447" w:rsidRDefault="00F6308C">
            <w:pPr>
              <w:pStyle w:val="TableParagraph"/>
              <w:spacing w:before="14" w:line="230" w:lineRule="atLeast"/>
              <w:ind w:left="101" w:right="82"/>
              <w:jc w:val="center"/>
              <w:rPr>
                <w:b/>
                <w:sz w:val="20"/>
              </w:rPr>
            </w:pPr>
            <w:r>
              <w:rPr>
                <w:b/>
                <w:w w:val="95"/>
                <w:sz w:val="20"/>
              </w:rPr>
              <w:t xml:space="preserve">Approved </w:t>
            </w:r>
            <w:r>
              <w:rPr>
                <w:b/>
                <w:sz w:val="20"/>
              </w:rPr>
              <w:t>after true up</w:t>
            </w:r>
          </w:p>
        </w:tc>
      </w:tr>
      <w:tr w:rsidR="007C5447">
        <w:trPr>
          <w:trHeight w:val="313"/>
        </w:trPr>
        <w:tc>
          <w:tcPr>
            <w:tcW w:w="566" w:type="dxa"/>
          </w:tcPr>
          <w:p w:rsidR="007C5447" w:rsidRDefault="00F6308C">
            <w:pPr>
              <w:pStyle w:val="TableParagraph"/>
              <w:spacing w:before="70" w:line="224" w:lineRule="exact"/>
              <w:ind w:left="230"/>
              <w:jc w:val="left"/>
              <w:rPr>
                <w:sz w:val="20"/>
              </w:rPr>
            </w:pPr>
            <w:r>
              <w:rPr>
                <w:w w:val="99"/>
                <w:sz w:val="20"/>
              </w:rPr>
              <w:t>1</w:t>
            </w:r>
          </w:p>
        </w:tc>
        <w:tc>
          <w:tcPr>
            <w:tcW w:w="2551" w:type="dxa"/>
          </w:tcPr>
          <w:p w:rsidR="007C5447" w:rsidRDefault="00F6308C">
            <w:pPr>
              <w:pStyle w:val="TableParagraph"/>
              <w:spacing w:before="70" w:line="224" w:lineRule="exact"/>
              <w:ind w:left="108"/>
              <w:jc w:val="left"/>
              <w:rPr>
                <w:sz w:val="20"/>
              </w:rPr>
            </w:pPr>
            <w:r>
              <w:rPr>
                <w:sz w:val="20"/>
              </w:rPr>
              <w:t>Ennore TPS</w:t>
            </w:r>
          </w:p>
        </w:tc>
        <w:tc>
          <w:tcPr>
            <w:tcW w:w="1119" w:type="dxa"/>
          </w:tcPr>
          <w:p w:rsidR="007C5447" w:rsidRDefault="00F6308C">
            <w:pPr>
              <w:pStyle w:val="TableParagraph"/>
              <w:spacing w:before="43"/>
              <w:ind w:right="95"/>
              <w:rPr>
                <w:sz w:val="20"/>
              </w:rPr>
            </w:pPr>
            <w:r>
              <w:rPr>
                <w:w w:val="95"/>
                <w:sz w:val="20"/>
              </w:rPr>
              <w:t>37.45</w:t>
            </w:r>
          </w:p>
        </w:tc>
        <w:tc>
          <w:tcPr>
            <w:tcW w:w="1440" w:type="dxa"/>
          </w:tcPr>
          <w:p w:rsidR="007C5447" w:rsidRDefault="00F6308C">
            <w:pPr>
              <w:pStyle w:val="TableParagraph"/>
              <w:spacing w:before="43"/>
              <w:ind w:right="99"/>
              <w:rPr>
                <w:sz w:val="20"/>
              </w:rPr>
            </w:pPr>
            <w:r>
              <w:rPr>
                <w:w w:val="95"/>
                <w:sz w:val="20"/>
              </w:rPr>
              <w:t>36.05</w:t>
            </w:r>
          </w:p>
        </w:tc>
        <w:tc>
          <w:tcPr>
            <w:tcW w:w="1154" w:type="dxa"/>
          </w:tcPr>
          <w:p w:rsidR="007C5447" w:rsidRDefault="00F6308C">
            <w:pPr>
              <w:pStyle w:val="TableParagraph"/>
              <w:spacing w:before="43"/>
              <w:ind w:right="94"/>
              <w:rPr>
                <w:sz w:val="20"/>
              </w:rPr>
            </w:pPr>
            <w:r>
              <w:rPr>
                <w:sz w:val="20"/>
              </w:rPr>
              <w:t>37.03</w:t>
            </w:r>
          </w:p>
        </w:tc>
        <w:tc>
          <w:tcPr>
            <w:tcW w:w="1027" w:type="dxa"/>
          </w:tcPr>
          <w:p w:rsidR="007C5447" w:rsidRDefault="00F6308C">
            <w:pPr>
              <w:pStyle w:val="TableParagraph"/>
              <w:spacing w:before="43"/>
              <w:ind w:right="96"/>
              <w:rPr>
                <w:sz w:val="20"/>
              </w:rPr>
            </w:pPr>
            <w:r>
              <w:rPr>
                <w:w w:val="95"/>
                <w:sz w:val="20"/>
              </w:rPr>
              <w:t>37.46</w:t>
            </w:r>
          </w:p>
        </w:tc>
        <w:tc>
          <w:tcPr>
            <w:tcW w:w="1372" w:type="dxa"/>
          </w:tcPr>
          <w:p w:rsidR="007C5447" w:rsidRDefault="00F6308C">
            <w:pPr>
              <w:pStyle w:val="TableParagraph"/>
              <w:spacing w:before="43"/>
              <w:ind w:right="95"/>
              <w:rPr>
                <w:sz w:val="20"/>
              </w:rPr>
            </w:pPr>
            <w:r>
              <w:rPr>
                <w:w w:val="95"/>
                <w:sz w:val="20"/>
              </w:rPr>
              <w:t>36.32</w:t>
            </w:r>
          </w:p>
        </w:tc>
        <w:tc>
          <w:tcPr>
            <w:tcW w:w="1166" w:type="dxa"/>
          </w:tcPr>
          <w:p w:rsidR="007C5447" w:rsidRDefault="00F6308C">
            <w:pPr>
              <w:pStyle w:val="TableParagraph"/>
              <w:spacing w:before="43"/>
              <w:ind w:right="93"/>
              <w:rPr>
                <w:sz w:val="20"/>
              </w:rPr>
            </w:pPr>
            <w:r>
              <w:rPr>
                <w:sz w:val="20"/>
              </w:rPr>
              <w:t>37.04</w:t>
            </w:r>
          </w:p>
        </w:tc>
        <w:tc>
          <w:tcPr>
            <w:tcW w:w="1224" w:type="dxa"/>
          </w:tcPr>
          <w:p w:rsidR="007C5447" w:rsidRDefault="00F6308C">
            <w:pPr>
              <w:pStyle w:val="TableParagraph"/>
              <w:spacing w:before="43"/>
              <w:ind w:right="94"/>
              <w:rPr>
                <w:sz w:val="20"/>
              </w:rPr>
            </w:pPr>
            <w:r>
              <w:rPr>
                <w:w w:val="95"/>
                <w:sz w:val="20"/>
              </w:rPr>
              <w:t>37.54</w:t>
            </w:r>
          </w:p>
        </w:tc>
        <w:tc>
          <w:tcPr>
            <w:tcW w:w="1370" w:type="dxa"/>
          </w:tcPr>
          <w:p w:rsidR="007C5447" w:rsidRDefault="00F6308C">
            <w:pPr>
              <w:pStyle w:val="TableParagraph"/>
              <w:spacing w:before="43"/>
              <w:ind w:right="91"/>
              <w:rPr>
                <w:sz w:val="20"/>
              </w:rPr>
            </w:pPr>
            <w:r>
              <w:rPr>
                <w:w w:val="95"/>
                <w:sz w:val="20"/>
              </w:rPr>
              <w:t>40.26</w:t>
            </w:r>
          </w:p>
        </w:tc>
        <w:tc>
          <w:tcPr>
            <w:tcW w:w="1128" w:type="dxa"/>
          </w:tcPr>
          <w:p w:rsidR="007C5447" w:rsidRDefault="00F6308C">
            <w:pPr>
              <w:pStyle w:val="TableParagraph"/>
              <w:spacing w:before="43"/>
              <w:ind w:right="92"/>
              <w:rPr>
                <w:sz w:val="20"/>
              </w:rPr>
            </w:pPr>
            <w:r>
              <w:rPr>
                <w:sz w:val="20"/>
              </w:rPr>
              <w:t>42.11</w:t>
            </w:r>
          </w:p>
        </w:tc>
      </w:tr>
      <w:tr w:rsidR="007C5447">
        <w:trPr>
          <w:trHeight w:val="314"/>
        </w:trPr>
        <w:tc>
          <w:tcPr>
            <w:tcW w:w="566" w:type="dxa"/>
          </w:tcPr>
          <w:p w:rsidR="007C5447" w:rsidRDefault="00F6308C">
            <w:pPr>
              <w:pStyle w:val="TableParagraph"/>
              <w:spacing w:before="70" w:line="224" w:lineRule="exact"/>
              <w:ind w:left="230"/>
              <w:jc w:val="left"/>
              <w:rPr>
                <w:sz w:val="20"/>
              </w:rPr>
            </w:pPr>
            <w:r>
              <w:rPr>
                <w:w w:val="99"/>
                <w:sz w:val="20"/>
              </w:rPr>
              <w:t>2</w:t>
            </w:r>
          </w:p>
        </w:tc>
        <w:tc>
          <w:tcPr>
            <w:tcW w:w="2551" w:type="dxa"/>
          </w:tcPr>
          <w:p w:rsidR="007C5447" w:rsidRDefault="00F6308C">
            <w:pPr>
              <w:pStyle w:val="TableParagraph"/>
              <w:spacing w:before="70" w:line="224" w:lineRule="exact"/>
              <w:ind w:left="108"/>
              <w:jc w:val="left"/>
              <w:rPr>
                <w:sz w:val="20"/>
              </w:rPr>
            </w:pPr>
            <w:r>
              <w:rPr>
                <w:sz w:val="20"/>
              </w:rPr>
              <w:t>Tuticorin TPS</w:t>
            </w:r>
          </w:p>
        </w:tc>
        <w:tc>
          <w:tcPr>
            <w:tcW w:w="1119" w:type="dxa"/>
          </w:tcPr>
          <w:p w:rsidR="007C5447" w:rsidRDefault="00F6308C">
            <w:pPr>
              <w:pStyle w:val="TableParagraph"/>
              <w:spacing w:before="43"/>
              <w:ind w:right="95"/>
              <w:rPr>
                <w:sz w:val="20"/>
              </w:rPr>
            </w:pPr>
            <w:r>
              <w:rPr>
                <w:w w:val="95"/>
                <w:sz w:val="20"/>
              </w:rPr>
              <w:t>64.21</w:t>
            </w:r>
          </w:p>
        </w:tc>
        <w:tc>
          <w:tcPr>
            <w:tcW w:w="1440" w:type="dxa"/>
          </w:tcPr>
          <w:p w:rsidR="007C5447" w:rsidRDefault="00F6308C">
            <w:pPr>
              <w:pStyle w:val="TableParagraph"/>
              <w:spacing w:before="43"/>
              <w:ind w:right="99"/>
              <w:rPr>
                <w:sz w:val="20"/>
              </w:rPr>
            </w:pPr>
            <w:r>
              <w:rPr>
                <w:w w:val="95"/>
                <w:sz w:val="20"/>
              </w:rPr>
              <w:t>63.45</w:t>
            </w:r>
          </w:p>
        </w:tc>
        <w:tc>
          <w:tcPr>
            <w:tcW w:w="1154" w:type="dxa"/>
          </w:tcPr>
          <w:p w:rsidR="007C5447" w:rsidRDefault="00F6308C">
            <w:pPr>
              <w:pStyle w:val="TableParagraph"/>
              <w:spacing w:before="43"/>
              <w:ind w:right="94"/>
              <w:rPr>
                <w:sz w:val="20"/>
              </w:rPr>
            </w:pPr>
            <w:r>
              <w:rPr>
                <w:sz w:val="20"/>
              </w:rPr>
              <w:t>42.67</w:t>
            </w:r>
          </w:p>
        </w:tc>
        <w:tc>
          <w:tcPr>
            <w:tcW w:w="1027" w:type="dxa"/>
          </w:tcPr>
          <w:p w:rsidR="007C5447" w:rsidRDefault="00F6308C">
            <w:pPr>
              <w:pStyle w:val="TableParagraph"/>
              <w:spacing w:before="43"/>
              <w:ind w:right="96"/>
              <w:rPr>
                <w:sz w:val="20"/>
              </w:rPr>
            </w:pPr>
            <w:r>
              <w:rPr>
                <w:w w:val="95"/>
                <w:sz w:val="20"/>
              </w:rPr>
              <w:t>64.45</w:t>
            </w:r>
          </w:p>
        </w:tc>
        <w:tc>
          <w:tcPr>
            <w:tcW w:w="1372" w:type="dxa"/>
          </w:tcPr>
          <w:p w:rsidR="007C5447" w:rsidRDefault="00F6308C">
            <w:pPr>
              <w:pStyle w:val="TableParagraph"/>
              <w:spacing w:before="43"/>
              <w:ind w:right="95"/>
              <w:rPr>
                <w:sz w:val="20"/>
              </w:rPr>
            </w:pPr>
            <w:r>
              <w:rPr>
                <w:w w:val="95"/>
                <w:sz w:val="20"/>
              </w:rPr>
              <w:t>63.96</w:t>
            </w:r>
          </w:p>
        </w:tc>
        <w:tc>
          <w:tcPr>
            <w:tcW w:w="1166" w:type="dxa"/>
          </w:tcPr>
          <w:p w:rsidR="007C5447" w:rsidRDefault="00F6308C">
            <w:pPr>
              <w:pStyle w:val="TableParagraph"/>
              <w:spacing w:before="43"/>
              <w:ind w:right="93"/>
              <w:rPr>
                <w:sz w:val="20"/>
              </w:rPr>
            </w:pPr>
            <w:r>
              <w:rPr>
                <w:sz w:val="20"/>
              </w:rPr>
              <w:t>42.91</w:t>
            </w:r>
          </w:p>
        </w:tc>
        <w:tc>
          <w:tcPr>
            <w:tcW w:w="1224" w:type="dxa"/>
          </w:tcPr>
          <w:p w:rsidR="007C5447" w:rsidRDefault="00F6308C">
            <w:pPr>
              <w:pStyle w:val="TableParagraph"/>
              <w:spacing w:before="43"/>
              <w:ind w:right="94"/>
              <w:rPr>
                <w:sz w:val="20"/>
              </w:rPr>
            </w:pPr>
            <w:r>
              <w:rPr>
                <w:w w:val="95"/>
                <w:sz w:val="20"/>
              </w:rPr>
              <w:t>66.36</w:t>
            </w:r>
          </w:p>
        </w:tc>
        <w:tc>
          <w:tcPr>
            <w:tcW w:w="1370" w:type="dxa"/>
          </w:tcPr>
          <w:p w:rsidR="007C5447" w:rsidRDefault="00F6308C">
            <w:pPr>
              <w:pStyle w:val="TableParagraph"/>
              <w:spacing w:before="43"/>
              <w:ind w:right="91"/>
              <w:rPr>
                <w:sz w:val="20"/>
              </w:rPr>
            </w:pPr>
            <w:r>
              <w:rPr>
                <w:w w:val="95"/>
                <w:sz w:val="20"/>
              </w:rPr>
              <w:t>71.20</w:t>
            </w:r>
          </w:p>
        </w:tc>
        <w:tc>
          <w:tcPr>
            <w:tcW w:w="1128" w:type="dxa"/>
          </w:tcPr>
          <w:p w:rsidR="007C5447" w:rsidRDefault="00F6308C">
            <w:pPr>
              <w:pStyle w:val="TableParagraph"/>
              <w:spacing w:before="43"/>
              <w:ind w:right="92"/>
              <w:rPr>
                <w:sz w:val="20"/>
              </w:rPr>
            </w:pPr>
            <w:r>
              <w:rPr>
                <w:sz w:val="20"/>
              </w:rPr>
              <w:t>48.76</w:t>
            </w:r>
          </w:p>
        </w:tc>
      </w:tr>
      <w:tr w:rsidR="007C5447">
        <w:trPr>
          <w:trHeight w:val="314"/>
        </w:trPr>
        <w:tc>
          <w:tcPr>
            <w:tcW w:w="566" w:type="dxa"/>
          </w:tcPr>
          <w:p w:rsidR="007C5447" w:rsidRDefault="00F6308C">
            <w:pPr>
              <w:pStyle w:val="TableParagraph"/>
              <w:spacing w:before="70" w:line="224" w:lineRule="exact"/>
              <w:ind w:left="230"/>
              <w:jc w:val="left"/>
              <w:rPr>
                <w:sz w:val="20"/>
              </w:rPr>
            </w:pPr>
            <w:r>
              <w:rPr>
                <w:w w:val="99"/>
                <w:sz w:val="20"/>
              </w:rPr>
              <w:t>3</w:t>
            </w:r>
          </w:p>
        </w:tc>
        <w:tc>
          <w:tcPr>
            <w:tcW w:w="2551" w:type="dxa"/>
          </w:tcPr>
          <w:p w:rsidR="007C5447" w:rsidRDefault="00F6308C">
            <w:pPr>
              <w:pStyle w:val="TableParagraph"/>
              <w:spacing w:before="70" w:line="224" w:lineRule="exact"/>
              <w:ind w:left="108"/>
              <w:jc w:val="left"/>
              <w:rPr>
                <w:sz w:val="20"/>
              </w:rPr>
            </w:pPr>
            <w:r>
              <w:rPr>
                <w:sz w:val="20"/>
              </w:rPr>
              <w:t>Mettur TPS</w:t>
            </w:r>
          </w:p>
        </w:tc>
        <w:tc>
          <w:tcPr>
            <w:tcW w:w="1119" w:type="dxa"/>
          </w:tcPr>
          <w:p w:rsidR="007C5447" w:rsidRDefault="00F6308C">
            <w:pPr>
              <w:pStyle w:val="TableParagraph"/>
              <w:spacing w:before="44"/>
              <w:ind w:right="95"/>
              <w:rPr>
                <w:sz w:val="20"/>
              </w:rPr>
            </w:pPr>
            <w:r>
              <w:rPr>
                <w:w w:val="95"/>
                <w:sz w:val="20"/>
              </w:rPr>
              <w:t>36.04</w:t>
            </w:r>
          </w:p>
        </w:tc>
        <w:tc>
          <w:tcPr>
            <w:tcW w:w="1440" w:type="dxa"/>
          </w:tcPr>
          <w:p w:rsidR="007C5447" w:rsidRDefault="00F6308C">
            <w:pPr>
              <w:pStyle w:val="TableParagraph"/>
              <w:spacing w:before="44"/>
              <w:ind w:right="99"/>
              <w:rPr>
                <w:sz w:val="20"/>
              </w:rPr>
            </w:pPr>
            <w:r>
              <w:rPr>
                <w:w w:val="95"/>
                <w:sz w:val="20"/>
              </w:rPr>
              <w:t>37.65</w:t>
            </w:r>
          </w:p>
        </w:tc>
        <w:tc>
          <w:tcPr>
            <w:tcW w:w="1154" w:type="dxa"/>
          </w:tcPr>
          <w:p w:rsidR="007C5447" w:rsidRDefault="00F6308C">
            <w:pPr>
              <w:pStyle w:val="TableParagraph"/>
              <w:spacing w:before="44"/>
              <w:ind w:right="94"/>
              <w:rPr>
                <w:sz w:val="20"/>
              </w:rPr>
            </w:pPr>
            <w:r>
              <w:rPr>
                <w:sz w:val="20"/>
              </w:rPr>
              <w:t>29.37</w:t>
            </w:r>
          </w:p>
        </w:tc>
        <w:tc>
          <w:tcPr>
            <w:tcW w:w="1027" w:type="dxa"/>
          </w:tcPr>
          <w:p w:rsidR="007C5447" w:rsidRDefault="00F6308C">
            <w:pPr>
              <w:pStyle w:val="TableParagraph"/>
              <w:spacing w:before="44"/>
              <w:ind w:right="96"/>
              <w:rPr>
                <w:sz w:val="20"/>
              </w:rPr>
            </w:pPr>
            <w:r>
              <w:rPr>
                <w:w w:val="95"/>
                <w:sz w:val="20"/>
              </w:rPr>
              <w:t>35.35</w:t>
            </w:r>
          </w:p>
        </w:tc>
        <w:tc>
          <w:tcPr>
            <w:tcW w:w="1372" w:type="dxa"/>
          </w:tcPr>
          <w:p w:rsidR="007C5447" w:rsidRDefault="00F6308C">
            <w:pPr>
              <w:pStyle w:val="TableParagraph"/>
              <w:spacing w:before="44"/>
              <w:ind w:right="95"/>
              <w:rPr>
                <w:sz w:val="20"/>
              </w:rPr>
            </w:pPr>
            <w:r>
              <w:rPr>
                <w:w w:val="95"/>
                <w:sz w:val="20"/>
              </w:rPr>
              <w:t>37.92</w:t>
            </w:r>
          </w:p>
        </w:tc>
        <w:tc>
          <w:tcPr>
            <w:tcW w:w="1166" w:type="dxa"/>
          </w:tcPr>
          <w:p w:rsidR="007C5447" w:rsidRDefault="00F6308C">
            <w:pPr>
              <w:pStyle w:val="TableParagraph"/>
              <w:spacing w:before="44"/>
              <w:ind w:right="93"/>
              <w:rPr>
                <w:sz w:val="20"/>
              </w:rPr>
            </w:pPr>
            <w:r>
              <w:rPr>
                <w:sz w:val="20"/>
              </w:rPr>
              <w:t>29.78</w:t>
            </w:r>
          </w:p>
        </w:tc>
        <w:tc>
          <w:tcPr>
            <w:tcW w:w="1224" w:type="dxa"/>
          </w:tcPr>
          <w:p w:rsidR="007C5447" w:rsidRDefault="00F6308C">
            <w:pPr>
              <w:pStyle w:val="TableParagraph"/>
              <w:spacing w:before="44"/>
              <w:ind w:right="94"/>
              <w:rPr>
                <w:sz w:val="20"/>
              </w:rPr>
            </w:pPr>
            <w:r>
              <w:rPr>
                <w:w w:val="95"/>
                <w:sz w:val="20"/>
              </w:rPr>
              <w:t>37.37</w:t>
            </w:r>
          </w:p>
        </w:tc>
        <w:tc>
          <w:tcPr>
            <w:tcW w:w="1370" w:type="dxa"/>
          </w:tcPr>
          <w:p w:rsidR="007C5447" w:rsidRDefault="00F6308C">
            <w:pPr>
              <w:pStyle w:val="TableParagraph"/>
              <w:spacing w:before="44"/>
              <w:ind w:right="91"/>
              <w:rPr>
                <w:sz w:val="20"/>
              </w:rPr>
            </w:pPr>
            <w:r>
              <w:rPr>
                <w:w w:val="95"/>
                <w:sz w:val="20"/>
              </w:rPr>
              <w:t>42.49</w:t>
            </w:r>
          </w:p>
        </w:tc>
        <w:tc>
          <w:tcPr>
            <w:tcW w:w="1128" w:type="dxa"/>
          </w:tcPr>
          <w:p w:rsidR="007C5447" w:rsidRDefault="00F6308C">
            <w:pPr>
              <w:pStyle w:val="TableParagraph"/>
              <w:spacing w:before="44"/>
              <w:ind w:right="92"/>
              <w:rPr>
                <w:sz w:val="20"/>
              </w:rPr>
            </w:pPr>
            <w:r>
              <w:rPr>
                <w:sz w:val="20"/>
              </w:rPr>
              <w:t>33.93</w:t>
            </w:r>
          </w:p>
        </w:tc>
      </w:tr>
      <w:tr w:rsidR="007C5447">
        <w:trPr>
          <w:trHeight w:val="313"/>
        </w:trPr>
        <w:tc>
          <w:tcPr>
            <w:tcW w:w="566" w:type="dxa"/>
          </w:tcPr>
          <w:p w:rsidR="007C5447" w:rsidRDefault="00F6308C">
            <w:pPr>
              <w:pStyle w:val="TableParagraph"/>
              <w:spacing w:before="70" w:line="224" w:lineRule="exact"/>
              <w:ind w:left="230"/>
              <w:jc w:val="left"/>
              <w:rPr>
                <w:sz w:val="20"/>
              </w:rPr>
            </w:pPr>
            <w:r>
              <w:rPr>
                <w:w w:val="99"/>
                <w:sz w:val="20"/>
              </w:rPr>
              <w:t>4</w:t>
            </w:r>
          </w:p>
        </w:tc>
        <w:tc>
          <w:tcPr>
            <w:tcW w:w="2551" w:type="dxa"/>
          </w:tcPr>
          <w:p w:rsidR="007C5447" w:rsidRDefault="00F6308C">
            <w:pPr>
              <w:pStyle w:val="TableParagraph"/>
              <w:spacing w:before="70" w:line="224" w:lineRule="exact"/>
              <w:ind w:left="108"/>
              <w:jc w:val="left"/>
              <w:rPr>
                <w:sz w:val="20"/>
              </w:rPr>
            </w:pPr>
            <w:r>
              <w:rPr>
                <w:sz w:val="20"/>
              </w:rPr>
              <w:t>North Chennai TPS</w:t>
            </w:r>
          </w:p>
        </w:tc>
        <w:tc>
          <w:tcPr>
            <w:tcW w:w="1119" w:type="dxa"/>
          </w:tcPr>
          <w:p w:rsidR="007C5447" w:rsidRDefault="00F6308C">
            <w:pPr>
              <w:pStyle w:val="TableParagraph"/>
              <w:spacing w:before="43"/>
              <w:ind w:right="95"/>
              <w:rPr>
                <w:sz w:val="20"/>
              </w:rPr>
            </w:pPr>
            <w:r>
              <w:rPr>
                <w:w w:val="95"/>
                <w:sz w:val="20"/>
              </w:rPr>
              <w:t>61.66</w:t>
            </w:r>
          </w:p>
        </w:tc>
        <w:tc>
          <w:tcPr>
            <w:tcW w:w="1440" w:type="dxa"/>
          </w:tcPr>
          <w:p w:rsidR="007C5447" w:rsidRDefault="00F6308C">
            <w:pPr>
              <w:pStyle w:val="TableParagraph"/>
              <w:spacing w:before="43"/>
              <w:ind w:right="99"/>
              <w:rPr>
                <w:sz w:val="20"/>
              </w:rPr>
            </w:pPr>
            <w:r>
              <w:rPr>
                <w:w w:val="95"/>
                <w:sz w:val="20"/>
              </w:rPr>
              <w:t>67.60</w:t>
            </w:r>
          </w:p>
        </w:tc>
        <w:tc>
          <w:tcPr>
            <w:tcW w:w="1154" w:type="dxa"/>
          </w:tcPr>
          <w:p w:rsidR="007C5447" w:rsidRDefault="00F6308C">
            <w:pPr>
              <w:pStyle w:val="TableParagraph"/>
              <w:spacing w:before="43"/>
              <w:ind w:right="94"/>
              <w:rPr>
                <w:sz w:val="20"/>
              </w:rPr>
            </w:pPr>
            <w:r>
              <w:rPr>
                <w:sz w:val="20"/>
              </w:rPr>
              <w:t>57.39</w:t>
            </w:r>
          </w:p>
        </w:tc>
        <w:tc>
          <w:tcPr>
            <w:tcW w:w="1027" w:type="dxa"/>
          </w:tcPr>
          <w:p w:rsidR="007C5447" w:rsidRDefault="00F6308C">
            <w:pPr>
              <w:pStyle w:val="TableParagraph"/>
              <w:spacing w:before="43"/>
              <w:ind w:right="96"/>
              <w:rPr>
                <w:sz w:val="20"/>
              </w:rPr>
            </w:pPr>
            <w:r>
              <w:rPr>
                <w:w w:val="95"/>
                <w:sz w:val="20"/>
              </w:rPr>
              <w:t>62.50</w:t>
            </w:r>
          </w:p>
        </w:tc>
        <w:tc>
          <w:tcPr>
            <w:tcW w:w="1372" w:type="dxa"/>
          </w:tcPr>
          <w:p w:rsidR="007C5447" w:rsidRDefault="00F6308C">
            <w:pPr>
              <w:pStyle w:val="TableParagraph"/>
              <w:spacing w:before="43"/>
              <w:ind w:right="95"/>
              <w:rPr>
                <w:sz w:val="20"/>
              </w:rPr>
            </w:pPr>
            <w:r>
              <w:rPr>
                <w:w w:val="95"/>
                <w:sz w:val="20"/>
              </w:rPr>
              <w:t>68.30</w:t>
            </w:r>
          </w:p>
        </w:tc>
        <w:tc>
          <w:tcPr>
            <w:tcW w:w="1166" w:type="dxa"/>
          </w:tcPr>
          <w:p w:rsidR="007C5447" w:rsidRDefault="00F6308C">
            <w:pPr>
              <w:pStyle w:val="TableParagraph"/>
              <w:spacing w:before="43"/>
              <w:ind w:right="93"/>
              <w:rPr>
                <w:sz w:val="20"/>
              </w:rPr>
            </w:pPr>
            <w:r>
              <w:rPr>
                <w:sz w:val="20"/>
              </w:rPr>
              <w:t>58.22</w:t>
            </w:r>
          </w:p>
        </w:tc>
        <w:tc>
          <w:tcPr>
            <w:tcW w:w="1224" w:type="dxa"/>
          </w:tcPr>
          <w:p w:rsidR="007C5447" w:rsidRDefault="00F6308C">
            <w:pPr>
              <w:pStyle w:val="TableParagraph"/>
              <w:spacing w:before="43"/>
              <w:ind w:right="94"/>
              <w:rPr>
                <w:sz w:val="20"/>
              </w:rPr>
            </w:pPr>
            <w:r>
              <w:rPr>
                <w:w w:val="95"/>
                <w:sz w:val="20"/>
              </w:rPr>
              <w:t>63.27</w:t>
            </w:r>
          </w:p>
        </w:tc>
        <w:tc>
          <w:tcPr>
            <w:tcW w:w="1370" w:type="dxa"/>
          </w:tcPr>
          <w:p w:rsidR="007C5447" w:rsidRDefault="00F6308C">
            <w:pPr>
              <w:pStyle w:val="TableParagraph"/>
              <w:spacing w:before="43"/>
              <w:ind w:right="91"/>
              <w:rPr>
                <w:sz w:val="20"/>
              </w:rPr>
            </w:pPr>
            <w:r>
              <w:rPr>
                <w:w w:val="95"/>
                <w:sz w:val="20"/>
              </w:rPr>
              <w:t>76.58</w:t>
            </w:r>
          </w:p>
        </w:tc>
        <w:tc>
          <w:tcPr>
            <w:tcW w:w="1128" w:type="dxa"/>
          </w:tcPr>
          <w:p w:rsidR="007C5447" w:rsidRDefault="00F6308C">
            <w:pPr>
              <w:pStyle w:val="TableParagraph"/>
              <w:spacing w:before="43"/>
              <w:ind w:right="92"/>
              <w:rPr>
                <w:sz w:val="20"/>
              </w:rPr>
            </w:pPr>
            <w:r>
              <w:rPr>
                <w:sz w:val="20"/>
              </w:rPr>
              <w:t>66.10</w:t>
            </w:r>
          </w:p>
        </w:tc>
      </w:tr>
      <w:tr w:rsidR="007C5447">
        <w:trPr>
          <w:trHeight w:val="313"/>
        </w:trPr>
        <w:tc>
          <w:tcPr>
            <w:tcW w:w="566" w:type="dxa"/>
          </w:tcPr>
          <w:p w:rsidR="007C5447" w:rsidRDefault="00F6308C">
            <w:pPr>
              <w:pStyle w:val="TableParagraph"/>
              <w:spacing w:before="70" w:line="224" w:lineRule="exact"/>
              <w:ind w:left="230"/>
              <w:jc w:val="left"/>
              <w:rPr>
                <w:sz w:val="20"/>
              </w:rPr>
            </w:pPr>
            <w:r>
              <w:rPr>
                <w:w w:val="99"/>
                <w:sz w:val="20"/>
              </w:rPr>
              <w:t>5</w:t>
            </w:r>
          </w:p>
        </w:tc>
        <w:tc>
          <w:tcPr>
            <w:tcW w:w="2551" w:type="dxa"/>
          </w:tcPr>
          <w:p w:rsidR="007C5447" w:rsidRDefault="00F6308C">
            <w:pPr>
              <w:pStyle w:val="TableParagraph"/>
              <w:spacing w:before="70" w:line="224" w:lineRule="exact"/>
              <w:ind w:left="108"/>
              <w:jc w:val="left"/>
              <w:rPr>
                <w:sz w:val="20"/>
              </w:rPr>
            </w:pPr>
            <w:r>
              <w:rPr>
                <w:sz w:val="20"/>
              </w:rPr>
              <w:t>Mettur TPS Stage III</w:t>
            </w:r>
          </w:p>
        </w:tc>
        <w:tc>
          <w:tcPr>
            <w:tcW w:w="1119" w:type="dxa"/>
          </w:tcPr>
          <w:p w:rsidR="007C5447" w:rsidRDefault="007C5447">
            <w:pPr>
              <w:pStyle w:val="TableParagraph"/>
              <w:jc w:val="left"/>
              <w:rPr>
                <w:sz w:val="20"/>
              </w:rPr>
            </w:pPr>
          </w:p>
        </w:tc>
        <w:tc>
          <w:tcPr>
            <w:tcW w:w="1440" w:type="dxa"/>
          </w:tcPr>
          <w:p w:rsidR="007C5447" w:rsidRDefault="00F6308C">
            <w:pPr>
              <w:pStyle w:val="TableParagraph"/>
              <w:spacing w:before="43"/>
              <w:ind w:right="96"/>
              <w:rPr>
                <w:sz w:val="20"/>
              </w:rPr>
            </w:pPr>
            <w:r>
              <w:rPr>
                <w:w w:val="99"/>
                <w:sz w:val="20"/>
              </w:rPr>
              <w:t>-</w:t>
            </w:r>
          </w:p>
        </w:tc>
        <w:tc>
          <w:tcPr>
            <w:tcW w:w="1154" w:type="dxa"/>
          </w:tcPr>
          <w:p w:rsidR="007C5447" w:rsidRDefault="007C5447">
            <w:pPr>
              <w:pStyle w:val="TableParagraph"/>
              <w:jc w:val="left"/>
              <w:rPr>
                <w:sz w:val="20"/>
              </w:rPr>
            </w:pPr>
          </w:p>
        </w:tc>
        <w:tc>
          <w:tcPr>
            <w:tcW w:w="1027" w:type="dxa"/>
          </w:tcPr>
          <w:p w:rsidR="007C5447" w:rsidRDefault="007C5447">
            <w:pPr>
              <w:pStyle w:val="TableParagraph"/>
              <w:jc w:val="left"/>
              <w:rPr>
                <w:sz w:val="20"/>
              </w:rPr>
            </w:pPr>
          </w:p>
        </w:tc>
        <w:tc>
          <w:tcPr>
            <w:tcW w:w="1372" w:type="dxa"/>
          </w:tcPr>
          <w:p w:rsidR="007C5447" w:rsidRDefault="00F6308C">
            <w:pPr>
              <w:pStyle w:val="TableParagraph"/>
              <w:spacing w:before="43"/>
              <w:ind w:right="92"/>
              <w:rPr>
                <w:sz w:val="20"/>
              </w:rPr>
            </w:pPr>
            <w:r>
              <w:rPr>
                <w:w w:val="99"/>
                <w:sz w:val="20"/>
              </w:rPr>
              <w:t>-</w:t>
            </w:r>
          </w:p>
        </w:tc>
        <w:tc>
          <w:tcPr>
            <w:tcW w:w="1166" w:type="dxa"/>
          </w:tcPr>
          <w:p w:rsidR="007C5447" w:rsidRDefault="007C5447">
            <w:pPr>
              <w:pStyle w:val="TableParagraph"/>
              <w:jc w:val="left"/>
              <w:rPr>
                <w:sz w:val="20"/>
              </w:rPr>
            </w:pPr>
          </w:p>
        </w:tc>
        <w:tc>
          <w:tcPr>
            <w:tcW w:w="1224" w:type="dxa"/>
          </w:tcPr>
          <w:p w:rsidR="007C5447" w:rsidRDefault="00F6308C">
            <w:pPr>
              <w:pStyle w:val="TableParagraph"/>
              <w:spacing w:before="43"/>
              <w:ind w:right="94"/>
              <w:rPr>
                <w:sz w:val="20"/>
              </w:rPr>
            </w:pPr>
            <w:r>
              <w:rPr>
                <w:w w:val="95"/>
                <w:sz w:val="20"/>
              </w:rPr>
              <w:t>54.17</w:t>
            </w:r>
          </w:p>
        </w:tc>
        <w:tc>
          <w:tcPr>
            <w:tcW w:w="1370" w:type="dxa"/>
          </w:tcPr>
          <w:p w:rsidR="007C5447" w:rsidRDefault="00F6308C">
            <w:pPr>
              <w:pStyle w:val="TableParagraph"/>
              <w:spacing w:before="43"/>
              <w:ind w:right="88"/>
              <w:rPr>
                <w:sz w:val="20"/>
              </w:rPr>
            </w:pPr>
            <w:r>
              <w:rPr>
                <w:w w:val="99"/>
                <w:sz w:val="20"/>
              </w:rPr>
              <w:t>-</w:t>
            </w:r>
          </w:p>
        </w:tc>
        <w:tc>
          <w:tcPr>
            <w:tcW w:w="1128" w:type="dxa"/>
          </w:tcPr>
          <w:p w:rsidR="007C5447" w:rsidRDefault="007C5447">
            <w:pPr>
              <w:pStyle w:val="TableParagraph"/>
              <w:jc w:val="left"/>
              <w:rPr>
                <w:sz w:val="20"/>
              </w:rPr>
            </w:pPr>
          </w:p>
        </w:tc>
      </w:tr>
      <w:tr w:rsidR="007C5447">
        <w:trPr>
          <w:trHeight w:val="313"/>
        </w:trPr>
        <w:tc>
          <w:tcPr>
            <w:tcW w:w="566" w:type="dxa"/>
          </w:tcPr>
          <w:p w:rsidR="007C5447" w:rsidRDefault="00F6308C">
            <w:pPr>
              <w:pStyle w:val="TableParagraph"/>
              <w:spacing w:before="70" w:line="224" w:lineRule="exact"/>
              <w:ind w:left="230"/>
              <w:jc w:val="left"/>
              <w:rPr>
                <w:sz w:val="20"/>
              </w:rPr>
            </w:pPr>
            <w:r>
              <w:rPr>
                <w:w w:val="99"/>
                <w:sz w:val="20"/>
              </w:rPr>
              <w:t>6</w:t>
            </w:r>
          </w:p>
        </w:tc>
        <w:tc>
          <w:tcPr>
            <w:tcW w:w="2551" w:type="dxa"/>
          </w:tcPr>
          <w:p w:rsidR="007C5447" w:rsidRDefault="00F6308C">
            <w:pPr>
              <w:pStyle w:val="TableParagraph"/>
              <w:spacing w:before="70" w:line="224" w:lineRule="exact"/>
              <w:ind w:left="108"/>
              <w:jc w:val="left"/>
              <w:rPr>
                <w:sz w:val="20"/>
              </w:rPr>
            </w:pPr>
            <w:r>
              <w:rPr>
                <w:sz w:val="20"/>
              </w:rPr>
              <w:t>NCTPS Stage II</w:t>
            </w:r>
          </w:p>
        </w:tc>
        <w:tc>
          <w:tcPr>
            <w:tcW w:w="1119" w:type="dxa"/>
          </w:tcPr>
          <w:p w:rsidR="007C5447" w:rsidRDefault="007C5447">
            <w:pPr>
              <w:pStyle w:val="TableParagraph"/>
              <w:jc w:val="left"/>
              <w:rPr>
                <w:sz w:val="20"/>
              </w:rPr>
            </w:pPr>
          </w:p>
        </w:tc>
        <w:tc>
          <w:tcPr>
            <w:tcW w:w="1440" w:type="dxa"/>
          </w:tcPr>
          <w:p w:rsidR="007C5447" w:rsidRDefault="007C5447">
            <w:pPr>
              <w:pStyle w:val="TableParagraph"/>
              <w:jc w:val="left"/>
              <w:rPr>
                <w:sz w:val="20"/>
              </w:rPr>
            </w:pPr>
          </w:p>
        </w:tc>
        <w:tc>
          <w:tcPr>
            <w:tcW w:w="1154" w:type="dxa"/>
          </w:tcPr>
          <w:p w:rsidR="007C5447" w:rsidRDefault="007C5447">
            <w:pPr>
              <w:pStyle w:val="TableParagraph"/>
              <w:jc w:val="left"/>
              <w:rPr>
                <w:sz w:val="20"/>
              </w:rPr>
            </w:pPr>
          </w:p>
        </w:tc>
        <w:tc>
          <w:tcPr>
            <w:tcW w:w="1027" w:type="dxa"/>
          </w:tcPr>
          <w:p w:rsidR="007C5447" w:rsidRDefault="007C5447">
            <w:pPr>
              <w:pStyle w:val="TableParagraph"/>
              <w:jc w:val="left"/>
              <w:rPr>
                <w:sz w:val="20"/>
              </w:rPr>
            </w:pPr>
          </w:p>
        </w:tc>
        <w:tc>
          <w:tcPr>
            <w:tcW w:w="1372" w:type="dxa"/>
          </w:tcPr>
          <w:p w:rsidR="007C5447" w:rsidRDefault="007C5447">
            <w:pPr>
              <w:pStyle w:val="TableParagraph"/>
              <w:jc w:val="left"/>
              <w:rPr>
                <w:sz w:val="20"/>
              </w:rPr>
            </w:pPr>
          </w:p>
        </w:tc>
        <w:tc>
          <w:tcPr>
            <w:tcW w:w="1166" w:type="dxa"/>
          </w:tcPr>
          <w:p w:rsidR="007C5447" w:rsidRDefault="007C5447">
            <w:pPr>
              <w:pStyle w:val="TableParagraph"/>
              <w:jc w:val="left"/>
              <w:rPr>
                <w:sz w:val="20"/>
              </w:rPr>
            </w:pPr>
          </w:p>
        </w:tc>
        <w:tc>
          <w:tcPr>
            <w:tcW w:w="1224" w:type="dxa"/>
          </w:tcPr>
          <w:p w:rsidR="007C5447" w:rsidRDefault="00F6308C">
            <w:pPr>
              <w:pStyle w:val="TableParagraph"/>
              <w:spacing w:before="43"/>
              <w:ind w:right="94"/>
              <w:rPr>
                <w:sz w:val="20"/>
              </w:rPr>
            </w:pPr>
            <w:r>
              <w:rPr>
                <w:sz w:val="20"/>
              </w:rPr>
              <w:t>7.79</w:t>
            </w:r>
          </w:p>
        </w:tc>
        <w:tc>
          <w:tcPr>
            <w:tcW w:w="1370" w:type="dxa"/>
          </w:tcPr>
          <w:p w:rsidR="007C5447" w:rsidRDefault="007C5447">
            <w:pPr>
              <w:pStyle w:val="TableParagraph"/>
              <w:jc w:val="left"/>
              <w:rPr>
                <w:sz w:val="20"/>
              </w:rPr>
            </w:pPr>
          </w:p>
        </w:tc>
        <w:tc>
          <w:tcPr>
            <w:tcW w:w="1128" w:type="dxa"/>
          </w:tcPr>
          <w:p w:rsidR="007C5447" w:rsidRDefault="007C5447">
            <w:pPr>
              <w:pStyle w:val="TableParagraph"/>
              <w:jc w:val="left"/>
              <w:rPr>
                <w:sz w:val="20"/>
              </w:rPr>
            </w:pPr>
          </w:p>
        </w:tc>
      </w:tr>
      <w:tr w:rsidR="007C5447">
        <w:trPr>
          <w:trHeight w:val="314"/>
        </w:trPr>
        <w:tc>
          <w:tcPr>
            <w:tcW w:w="566" w:type="dxa"/>
          </w:tcPr>
          <w:p w:rsidR="007C5447" w:rsidRDefault="00F6308C">
            <w:pPr>
              <w:pStyle w:val="TableParagraph"/>
              <w:spacing w:before="70" w:line="224" w:lineRule="exact"/>
              <w:ind w:left="230"/>
              <w:jc w:val="left"/>
              <w:rPr>
                <w:sz w:val="20"/>
              </w:rPr>
            </w:pPr>
            <w:r>
              <w:rPr>
                <w:w w:val="99"/>
                <w:sz w:val="20"/>
              </w:rPr>
              <w:t>7</w:t>
            </w:r>
          </w:p>
        </w:tc>
        <w:tc>
          <w:tcPr>
            <w:tcW w:w="2551" w:type="dxa"/>
          </w:tcPr>
          <w:p w:rsidR="007C5447" w:rsidRDefault="00F6308C">
            <w:pPr>
              <w:pStyle w:val="TableParagraph"/>
              <w:spacing w:before="70" w:line="224" w:lineRule="exact"/>
              <w:ind w:left="108"/>
              <w:jc w:val="left"/>
              <w:rPr>
                <w:sz w:val="20"/>
              </w:rPr>
            </w:pPr>
            <w:r>
              <w:rPr>
                <w:sz w:val="20"/>
              </w:rPr>
              <w:t>Tirumakottai GTPS</w:t>
            </w:r>
          </w:p>
        </w:tc>
        <w:tc>
          <w:tcPr>
            <w:tcW w:w="1119" w:type="dxa"/>
          </w:tcPr>
          <w:p w:rsidR="007C5447" w:rsidRDefault="00F6308C">
            <w:pPr>
              <w:pStyle w:val="TableParagraph"/>
              <w:spacing w:before="43"/>
              <w:ind w:right="95"/>
              <w:rPr>
                <w:sz w:val="20"/>
              </w:rPr>
            </w:pPr>
            <w:r>
              <w:rPr>
                <w:w w:val="95"/>
                <w:sz w:val="20"/>
              </w:rPr>
              <w:t>15.90</w:t>
            </w:r>
          </w:p>
        </w:tc>
        <w:tc>
          <w:tcPr>
            <w:tcW w:w="1440" w:type="dxa"/>
          </w:tcPr>
          <w:p w:rsidR="007C5447" w:rsidRDefault="00F6308C">
            <w:pPr>
              <w:pStyle w:val="TableParagraph"/>
              <w:spacing w:before="43"/>
              <w:ind w:right="99"/>
              <w:rPr>
                <w:sz w:val="20"/>
              </w:rPr>
            </w:pPr>
            <w:r>
              <w:rPr>
                <w:w w:val="95"/>
                <w:sz w:val="20"/>
              </w:rPr>
              <w:t>15.38</w:t>
            </w:r>
          </w:p>
        </w:tc>
        <w:tc>
          <w:tcPr>
            <w:tcW w:w="1154" w:type="dxa"/>
          </w:tcPr>
          <w:p w:rsidR="007C5447" w:rsidRDefault="00F6308C">
            <w:pPr>
              <w:pStyle w:val="TableParagraph"/>
              <w:spacing w:before="43"/>
              <w:ind w:right="94"/>
              <w:rPr>
                <w:sz w:val="20"/>
              </w:rPr>
            </w:pPr>
            <w:r>
              <w:rPr>
                <w:sz w:val="20"/>
              </w:rPr>
              <w:t>14.37</w:t>
            </w:r>
          </w:p>
        </w:tc>
        <w:tc>
          <w:tcPr>
            <w:tcW w:w="1027" w:type="dxa"/>
          </w:tcPr>
          <w:p w:rsidR="007C5447" w:rsidRDefault="00F6308C">
            <w:pPr>
              <w:pStyle w:val="TableParagraph"/>
              <w:spacing w:before="43"/>
              <w:ind w:right="96"/>
              <w:rPr>
                <w:sz w:val="20"/>
              </w:rPr>
            </w:pPr>
            <w:r>
              <w:rPr>
                <w:w w:val="95"/>
                <w:sz w:val="20"/>
              </w:rPr>
              <w:t>16.03</w:t>
            </w:r>
          </w:p>
        </w:tc>
        <w:tc>
          <w:tcPr>
            <w:tcW w:w="1372" w:type="dxa"/>
          </w:tcPr>
          <w:p w:rsidR="007C5447" w:rsidRDefault="00F6308C">
            <w:pPr>
              <w:pStyle w:val="TableParagraph"/>
              <w:spacing w:before="43"/>
              <w:ind w:right="95"/>
              <w:rPr>
                <w:sz w:val="20"/>
              </w:rPr>
            </w:pPr>
            <w:r>
              <w:rPr>
                <w:w w:val="95"/>
                <w:sz w:val="20"/>
              </w:rPr>
              <w:t>15.48</w:t>
            </w:r>
          </w:p>
        </w:tc>
        <w:tc>
          <w:tcPr>
            <w:tcW w:w="1166" w:type="dxa"/>
          </w:tcPr>
          <w:p w:rsidR="007C5447" w:rsidRDefault="00F6308C">
            <w:pPr>
              <w:pStyle w:val="TableParagraph"/>
              <w:spacing w:before="43"/>
              <w:ind w:right="93"/>
              <w:rPr>
                <w:sz w:val="20"/>
              </w:rPr>
            </w:pPr>
            <w:r>
              <w:rPr>
                <w:sz w:val="20"/>
              </w:rPr>
              <w:t>14.50</w:t>
            </w:r>
          </w:p>
        </w:tc>
        <w:tc>
          <w:tcPr>
            <w:tcW w:w="1224" w:type="dxa"/>
          </w:tcPr>
          <w:p w:rsidR="007C5447" w:rsidRDefault="00F6308C">
            <w:pPr>
              <w:pStyle w:val="TableParagraph"/>
              <w:spacing w:before="43"/>
              <w:ind w:right="94"/>
              <w:rPr>
                <w:sz w:val="20"/>
              </w:rPr>
            </w:pPr>
            <w:r>
              <w:rPr>
                <w:w w:val="95"/>
                <w:sz w:val="20"/>
              </w:rPr>
              <w:t>16.14</w:t>
            </w:r>
          </w:p>
        </w:tc>
        <w:tc>
          <w:tcPr>
            <w:tcW w:w="1370" w:type="dxa"/>
          </w:tcPr>
          <w:p w:rsidR="007C5447" w:rsidRDefault="00F6308C">
            <w:pPr>
              <w:pStyle w:val="TableParagraph"/>
              <w:spacing w:before="43"/>
              <w:ind w:right="91"/>
              <w:rPr>
                <w:sz w:val="20"/>
              </w:rPr>
            </w:pPr>
            <w:r>
              <w:rPr>
                <w:w w:val="95"/>
                <w:sz w:val="20"/>
              </w:rPr>
              <w:t>17.30</w:t>
            </w:r>
          </w:p>
        </w:tc>
        <w:tc>
          <w:tcPr>
            <w:tcW w:w="1128" w:type="dxa"/>
          </w:tcPr>
          <w:p w:rsidR="007C5447" w:rsidRDefault="00F6308C">
            <w:pPr>
              <w:pStyle w:val="TableParagraph"/>
              <w:spacing w:before="43"/>
              <w:ind w:right="92"/>
              <w:rPr>
                <w:sz w:val="20"/>
              </w:rPr>
            </w:pPr>
            <w:r>
              <w:rPr>
                <w:sz w:val="20"/>
              </w:rPr>
              <w:t>16.47</w:t>
            </w:r>
          </w:p>
        </w:tc>
      </w:tr>
      <w:tr w:rsidR="007C5447">
        <w:trPr>
          <w:trHeight w:val="313"/>
        </w:trPr>
        <w:tc>
          <w:tcPr>
            <w:tcW w:w="566" w:type="dxa"/>
          </w:tcPr>
          <w:p w:rsidR="007C5447" w:rsidRDefault="00F6308C">
            <w:pPr>
              <w:pStyle w:val="TableParagraph"/>
              <w:spacing w:before="70" w:line="224" w:lineRule="exact"/>
              <w:ind w:left="230"/>
              <w:jc w:val="left"/>
              <w:rPr>
                <w:sz w:val="20"/>
              </w:rPr>
            </w:pPr>
            <w:r>
              <w:rPr>
                <w:w w:val="99"/>
                <w:sz w:val="20"/>
              </w:rPr>
              <w:t>8</w:t>
            </w:r>
          </w:p>
        </w:tc>
        <w:tc>
          <w:tcPr>
            <w:tcW w:w="2551" w:type="dxa"/>
          </w:tcPr>
          <w:p w:rsidR="007C5447" w:rsidRDefault="00F6308C">
            <w:pPr>
              <w:pStyle w:val="TableParagraph"/>
              <w:spacing w:before="70" w:line="224" w:lineRule="exact"/>
              <w:ind w:left="108"/>
              <w:jc w:val="left"/>
              <w:rPr>
                <w:sz w:val="20"/>
              </w:rPr>
            </w:pPr>
            <w:r>
              <w:rPr>
                <w:sz w:val="20"/>
              </w:rPr>
              <w:t>Kuttalam GTPS</w:t>
            </w:r>
          </w:p>
        </w:tc>
        <w:tc>
          <w:tcPr>
            <w:tcW w:w="1119" w:type="dxa"/>
          </w:tcPr>
          <w:p w:rsidR="007C5447" w:rsidRDefault="00F6308C">
            <w:pPr>
              <w:pStyle w:val="TableParagraph"/>
              <w:spacing w:before="43"/>
              <w:ind w:right="95"/>
              <w:rPr>
                <w:sz w:val="20"/>
              </w:rPr>
            </w:pPr>
            <w:r>
              <w:rPr>
                <w:w w:val="95"/>
                <w:sz w:val="20"/>
              </w:rPr>
              <w:t>12.32</w:t>
            </w:r>
          </w:p>
        </w:tc>
        <w:tc>
          <w:tcPr>
            <w:tcW w:w="1440" w:type="dxa"/>
          </w:tcPr>
          <w:p w:rsidR="007C5447" w:rsidRDefault="00F6308C">
            <w:pPr>
              <w:pStyle w:val="TableParagraph"/>
              <w:spacing w:before="43"/>
              <w:ind w:right="99"/>
              <w:rPr>
                <w:sz w:val="20"/>
              </w:rPr>
            </w:pPr>
            <w:r>
              <w:rPr>
                <w:w w:val="95"/>
                <w:sz w:val="20"/>
              </w:rPr>
              <w:t>11.98</w:t>
            </w:r>
          </w:p>
        </w:tc>
        <w:tc>
          <w:tcPr>
            <w:tcW w:w="1154" w:type="dxa"/>
          </w:tcPr>
          <w:p w:rsidR="007C5447" w:rsidRDefault="00F6308C">
            <w:pPr>
              <w:pStyle w:val="TableParagraph"/>
              <w:spacing w:before="43"/>
              <w:ind w:right="94"/>
              <w:rPr>
                <w:sz w:val="20"/>
              </w:rPr>
            </w:pPr>
            <w:r>
              <w:rPr>
                <w:sz w:val="20"/>
              </w:rPr>
              <w:t>10.33</w:t>
            </w:r>
          </w:p>
        </w:tc>
        <w:tc>
          <w:tcPr>
            <w:tcW w:w="1027" w:type="dxa"/>
          </w:tcPr>
          <w:p w:rsidR="007C5447" w:rsidRDefault="00F6308C">
            <w:pPr>
              <w:pStyle w:val="TableParagraph"/>
              <w:spacing w:before="43"/>
              <w:ind w:right="96"/>
              <w:rPr>
                <w:sz w:val="20"/>
              </w:rPr>
            </w:pPr>
            <w:r>
              <w:rPr>
                <w:w w:val="95"/>
                <w:sz w:val="20"/>
              </w:rPr>
              <w:t>12.82</w:t>
            </w:r>
          </w:p>
        </w:tc>
        <w:tc>
          <w:tcPr>
            <w:tcW w:w="1372" w:type="dxa"/>
          </w:tcPr>
          <w:p w:rsidR="007C5447" w:rsidRDefault="00F6308C">
            <w:pPr>
              <w:pStyle w:val="TableParagraph"/>
              <w:spacing w:before="43"/>
              <w:ind w:right="95"/>
              <w:rPr>
                <w:sz w:val="20"/>
              </w:rPr>
            </w:pPr>
            <w:r>
              <w:rPr>
                <w:w w:val="95"/>
                <w:sz w:val="20"/>
              </w:rPr>
              <w:t>11.13</w:t>
            </w:r>
          </w:p>
        </w:tc>
        <w:tc>
          <w:tcPr>
            <w:tcW w:w="1166" w:type="dxa"/>
          </w:tcPr>
          <w:p w:rsidR="007C5447" w:rsidRDefault="00F6308C">
            <w:pPr>
              <w:pStyle w:val="TableParagraph"/>
              <w:spacing w:before="43"/>
              <w:ind w:right="93"/>
              <w:rPr>
                <w:sz w:val="20"/>
              </w:rPr>
            </w:pPr>
            <w:r>
              <w:rPr>
                <w:sz w:val="20"/>
              </w:rPr>
              <w:t>10.83</w:t>
            </w:r>
          </w:p>
        </w:tc>
        <w:tc>
          <w:tcPr>
            <w:tcW w:w="1224" w:type="dxa"/>
          </w:tcPr>
          <w:p w:rsidR="007C5447" w:rsidRDefault="00F6308C">
            <w:pPr>
              <w:pStyle w:val="TableParagraph"/>
              <w:spacing w:before="43"/>
              <w:ind w:right="94"/>
              <w:rPr>
                <w:sz w:val="20"/>
              </w:rPr>
            </w:pPr>
            <w:r>
              <w:rPr>
                <w:w w:val="95"/>
                <w:sz w:val="20"/>
              </w:rPr>
              <w:t>17.63</w:t>
            </w:r>
          </w:p>
        </w:tc>
        <w:tc>
          <w:tcPr>
            <w:tcW w:w="1370" w:type="dxa"/>
          </w:tcPr>
          <w:p w:rsidR="007C5447" w:rsidRDefault="00F6308C">
            <w:pPr>
              <w:pStyle w:val="TableParagraph"/>
              <w:spacing w:before="43"/>
              <w:ind w:right="91"/>
              <w:rPr>
                <w:sz w:val="20"/>
              </w:rPr>
            </w:pPr>
            <w:r>
              <w:rPr>
                <w:w w:val="95"/>
                <w:sz w:val="20"/>
              </w:rPr>
              <w:t>13.87</w:t>
            </w:r>
          </w:p>
        </w:tc>
        <w:tc>
          <w:tcPr>
            <w:tcW w:w="1128" w:type="dxa"/>
          </w:tcPr>
          <w:p w:rsidR="007C5447" w:rsidRDefault="00F6308C">
            <w:pPr>
              <w:pStyle w:val="TableParagraph"/>
              <w:spacing w:before="43"/>
              <w:ind w:right="92"/>
              <w:rPr>
                <w:sz w:val="20"/>
              </w:rPr>
            </w:pPr>
            <w:r>
              <w:rPr>
                <w:sz w:val="20"/>
              </w:rPr>
              <w:t>12.25</w:t>
            </w:r>
          </w:p>
        </w:tc>
      </w:tr>
      <w:tr w:rsidR="007C5447">
        <w:trPr>
          <w:trHeight w:val="314"/>
        </w:trPr>
        <w:tc>
          <w:tcPr>
            <w:tcW w:w="566" w:type="dxa"/>
          </w:tcPr>
          <w:p w:rsidR="007C5447" w:rsidRDefault="00F6308C">
            <w:pPr>
              <w:pStyle w:val="TableParagraph"/>
              <w:spacing w:before="70" w:line="224" w:lineRule="exact"/>
              <w:ind w:left="230"/>
              <w:jc w:val="left"/>
              <w:rPr>
                <w:sz w:val="20"/>
              </w:rPr>
            </w:pPr>
            <w:r>
              <w:rPr>
                <w:w w:val="99"/>
                <w:sz w:val="20"/>
              </w:rPr>
              <w:t>9</w:t>
            </w:r>
          </w:p>
        </w:tc>
        <w:tc>
          <w:tcPr>
            <w:tcW w:w="2551" w:type="dxa"/>
          </w:tcPr>
          <w:p w:rsidR="007C5447" w:rsidRDefault="00F6308C">
            <w:pPr>
              <w:pStyle w:val="TableParagraph"/>
              <w:spacing w:before="70" w:line="224" w:lineRule="exact"/>
              <w:ind w:left="108"/>
              <w:jc w:val="left"/>
              <w:rPr>
                <w:sz w:val="20"/>
              </w:rPr>
            </w:pPr>
            <w:r>
              <w:rPr>
                <w:sz w:val="20"/>
              </w:rPr>
              <w:t>Basin Bridge GTPS</w:t>
            </w:r>
          </w:p>
        </w:tc>
        <w:tc>
          <w:tcPr>
            <w:tcW w:w="1119" w:type="dxa"/>
          </w:tcPr>
          <w:p w:rsidR="007C5447" w:rsidRDefault="00F6308C">
            <w:pPr>
              <w:pStyle w:val="TableParagraph"/>
              <w:spacing w:before="43"/>
              <w:ind w:right="95"/>
              <w:rPr>
                <w:sz w:val="20"/>
              </w:rPr>
            </w:pPr>
            <w:r>
              <w:rPr>
                <w:w w:val="95"/>
                <w:sz w:val="20"/>
              </w:rPr>
              <w:t>19.81</w:t>
            </w:r>
          </w:p>
        </w:tc>
        <w:tc>
          <w:tcPr>
            <w:tcW w:w="1440" w:type="dxa"/>
          </w:tcPr>
          <w:p w:rsidR="007C5447" w:rsidRDefault="00F6308C">
            <w:pPr>
              <w:pStyle w:val="TableParagraph"/>
              <w:spacing w:before="43"/>
              <w:ind w:right="99"/>
              <w:rPr>
                <w:sz w:val="20"/>
              </w:rPr>
            </w:pPr>
            <w:r>
              <w:rPr>
                <w:w w:val="95"/>
                <w:sz w:val="20"/>
              </w:rPr>
              <w:t>18.81</w:t>
            </w:r>
          </w:p>
        </w:tc>
        <w:tc>
          <w:tcPr>
            <w:tcW w:w="1154" w:type="dxa"/>
          </w:tcPr>
          <w:p w:rsidR="007C5447" w:rsidRDefault="00F6308C">
            <w:pPr>
              <w:pStyle w:val="TableParagraph"/>
              <w:spacing w:before="43"/>
              <w:ind w:right="94"/>
              <w:rPr>
                <w:sz w:val="20"/>
              </w:rPr>
            </w:pPr>
            <w:r>
              <w:rPr>
                <w:sz w:val="20"/>
              </w:rPr>
              <w:t>17.91</w:t>
            </w:r>
          </w:p>
        </w:tc>
        <w:tc>
          <w:tcPr>
            <w:tcW w:w="1027" w:type="dxa"/>
          </w:tcPr>
          <w:p w:rsidR="007C5447" w:rsidRDefault="00F6308C">
            <w:pPr>
              <w:pStyle w:val="TableParagraph"/>
              <w:spacing w:before="43"/>
              <w:ind w:right="96"/>
              <w:rPr>
                <w:sz w:val="20"/>
              </w:rPr>
            </w:pPr>
            <w:r>
              <w:rPr>
                <w:w w:val="95"/>
                <w:sz w:val="20"/>
              </w:rPr>
              <w:t>19.81</w:t>
            </w:r>
          </w:p>
        </w:tc>
        <w:tc>
          <w:tcPr>
            <w:tcW w:w="1372" w:type="dxa"/>
          </w:tcPr>
          <w:p w:rsidR="007C5447" w:rsidRDefault="00F6308C">
            <w:pPr>
              <w:pStyle w:val="TableParagraph"/>
              <w:spacing w:before="43"/>
              <w:ind w:right="95"/>
              <w:rPr>
                <w:sz w:val="20"/>
              </w:rPr>
            </w:pPr>
            <w:r>
              <w:rPr>
                <w:w w:val="95"/>
                <w:sz w:val="20"/>
              </w:rPr>
              <w:t>18.96</w:t>
            </w:r>
          </w:p>
        </w:tc>
        <w:tc>
          <w:tcPr>
            <w:tcW w:w="1166" w:type="dxa"/>
          </w:tcPr>
          <w:p w:rsidR="007C5447" w:rsidRDefault="00F6308C">
            <w:pPr>
              <w:pStyle w:val="TableParagraph"/>
              <w:spacing w:before="43"/>
              <w:ind w:right="93"/>
              <w:rPr>
                <w:sz w:val="20"/>
              </w:rPr>
            </w:pPr>
            <w:r>
              <w:rPr>
                <w:sz w:val="20"/>
              </w:rPr>
              <w:t>17.91</w:t>
            </w:r>
          </w:p>
        </w:tc>
        <w:tc>
          <w:tcPr>
            <w:tcW w:w="1224" w:type="dxa"/>
          </w:tcPr>
          <w:p w:rsidR="007C5447" w:rsidRDefault="00F6308C">
            <w:pPr>
              <w:pStyle w:val="TableParagraph"/>
              <w:spacing w:before="43"/>
              <w:ind w:right="94"/>
              <w:rPr>
                <w:sz w:val="20"/>
              </w:rPr>
            </w:pPr>
            <w:r>
              <w:rPr>
                <w:w w:val="95"/>
                <w:sz w:val="20"/>
              </w:rPr>
              <w:t>19.81</w:t>
            </w:r>
          </w:p>
        </w:tc>
        <w:tc>
          <w:tcPr>
            <w:tcW w:w="1370" w:type="dxa"/>
          </w:tcPr>
          <w:p w:rsidR="007C5447" w:rsidRDefault="00F6308C">
            <w:pPr>
              <w:pStyle w:val="TableParagraph"/>
              <w:spacing w:before="43"/>
              <w:ind w:right="91"/>
              <w:rPr>
                <w:sz w:val="20"/>
              </w:rPr>
            </w:pPr>
            <w:r>
              <w:rPr>
                <w:w w:val="95"/>
                <w:sz w:val="20"/>
              </w:rPr>
              <w:t>21.00</w:t>
            </w:r>
          </w:p>
        </w:tc>
        <w:tc>
          <w:tcPr>
            <w:tcW w:w="1128" w:type="dxa"/>
          </w:tcPr>
          <w:p w:rsidR="007C5447" w:rsidRDefault="00F6308C">
            <w:pPr>
              <w:pStyle w:val="TableParagraph"/>
              <w:spacing w:before="43"/>
              <w:ind w:right="92"/>
              <w:rPr>
                <w:sz w:val="20"/>
              </w:rPr>
            </w:pPr>
            <w:r>
              <w:rPr>
                <w:sz w:val="20"/>
              </w:rPr>
              <w:t>20.37</w:t>
            </w:r>
          </w:p>
        </w:tc>
      </w:tr>
      <w:tr w:rsidR="007C5447">
        <w:trPr>
          <w:trHeight w:val="314"/>
        </w:trPr>
        <w:tc>
          <w:tcPr>
            <w:tcW w:w="566" w:type="dxa"/>
          </w:tcPr>
          <w:p w:rsidR="007C5447" w:rsidRDefault="00F6308C">
            <w:pPr>
              <w:pStyle w:val="TableParagraph"/>
              <w:spacing w:before="70" w:line="225" w:lineRule="exact"/>
              <w:ind w:left="179"/>
              <w:jc w:val="left"/>
              <w:rPr>
                <w:sz w:val="20"/>
              </w:rPr>
            </w:pPr>
            <w:r>
              <w:rPr>
                <w:sz w:val="20"/>
              </w:rPr>
              <w:t>10</w:t>
            </w:r>
          </w:p>
        </w:tc>
        <w:tc>
          <w:tcPr>
            <w:tcW w:w="2551" w:type="dxa"/>
          </w:tcPr>
          <w:p w:rsidR="007C5447" w:rsidRDefault="00F6308C">
            <w:pPr>
              <w:pStyle w:val="TableParagraph"/>
              <w:spacing w:before="70" w:line="225" w:lineRule="exact"/>
              <w:ind w:left="108"/>
              <w:jc w:val="left"/>
              <w:rPr>
                <w:sz w:val="20"/>
              </w:rPr>
            </w:pPr>
            <w:r>
              <w:rPr>
                <w:sz w:val="20"/>
              </w:rPr>
              <w:t>Valuthur Unit-I</w:t>
            </w:r>
          </w:p>
        </w:tc>
        <w:tc>
          <w:tcPr>
            <w:tcW w:w="1119" w:type="dxa"/>
          </w:tcPr>
          <w:p w:rsidR="007C5447" w:rsidRDefault="00F6308C">
            <w:pPr>
              <w:pStyle w:val="TableParagraph"/>
              <w:spacing w:before="43"/>
              <w:ind w:right="95"/>
              <w:rPr>
                <w:sz w:val="20"/>
              </w:rPr>
            </w:pPr>
            <w:r>
              <w:rPr>
                <w:w w:val="95"/>
                <w:sz w:val="20"/>
              </w:rPr>
              <w:t>19.11</w:t>
            </w:r>
          </w:p>
        </w:tc>
        <w:tc>
          <w:tcPr>
            <w:tcW w:w="1440" w:type="dxa"/>
          </w:tcPr>
          <w:p w:rsidR="007C5447" w:rsidRDefault="00F6308C">
            <w:pPr>
              <w:pStyle w:val="TableParagraph"/>
              <w:spacing w:before="43"/>
              <w:ind w:right="99"/>
              <w:rPr>
                <w:sz w:val="20"/>
              </w:rPr>
            </w:pPr>
            <w:r>
              <w:rPr>
                <w:w w:val="95"/>
                <w:sz w:val="20"/>
              </w:rPr>
              <w:t>18.25</w:t>
            </w:r>
          </w:p>
        </w:tc>
        <w:tc>
          <w:tcPr>
            <w:tcW w:w="1154" w:type="dxa"/>
          </w:tcPr>
          <w:p w:rsidR="007C5447" w:rsidRDefault="00F6308C">
            <w:pPr>
              <w:pStyle w:val="TableParagraph"/>
              <w:spacing w:before="43"/>
              <w:ind w:right="94"/>
              <w:rPr>
                <w:sz w:val="20"/>
              </w:rPr>
            </w:pPr>
            <w:r>
              <w:rPr>
                <w:sz w:val="20"/>
              </w:rPr>
              <w:t>17.72</w:t>
            </w:r>
          </w:p>
        </w:tc>
        <w:tc>
          <w:tcPr>
            <w:tcW w:w="1027" w:type="dxa"/>
          </w:tcPr>
          <w:p w:rsidR="007C5447" w:rsidRDefault="00F6308C">
            <w:pPr>
              <w:pStyle w:val="TableParagraph"/>
              <w:spacing w:before="43"/>
              <w:ind w:right="96"/>
              <w:rPr>
                <w:sz w:val="20"/>
              </w:rPr>
            </w:pPr>
            <w:r>
              <w:rPr>
                <w:w w:val="95"/>
                <w:sz w:val="20"/>
              </w:rPr>
              <w:t>19.48</w:t>
            </w:r>
          </w:p>
        </w:tc>
        <w:tc>
          <w:tcPr>
            <w:tcW w:w="1372" w:type="dxa"/>
          </w:tcPr>
          <w:p w:rsidR="007C5447" w:rsidRDefault="00F6308C">
            <w:pPr>
              <w:pStyle w:val="TableParagraph"/>
              <w:spacing w:before="43"/>
              <w:ind w:right="95"/>
              <w:rPr>
                <w:sz w:val="20"/>
              </w:rPr>
            </w:pPr>
            <w:r>
              <w:rPr>
                <w:w w:val="95"/>
                <w:sz w:val="20"/>
              </w:rPr>
              <w:t>18.54</w:t>
            </w:r>
          </w:p>
        </w:tc>
        <w:tc>
          <w:tcPr>
            <w:tcW w:w="1166" w:type="dxa"/>
          </w:tcPr>
          <w:p w:rsidR="007C5447" w:rsidRDefault="00F6308C">
            <w:pPr>
              <w:pStyle w:val="TableParagraph"/>
              <w:spacing w:before="43"/>
              <w:ind w:right="93"/>
              <w:rPr>
                <w:sz w:val="20"/>
              </w:rPr>
            </w:pPr>
            <w:r>
              <w:rPr>
                <w:sz w:val="20"/>
              </w:rPr>
              <w:t>18.09</w:t>
            </w:r>
          </w:p>
        </w:tc>
        <w:tc>
          <w:tcPr>
            <w:tcW w:w="1224" w:type="dxa"/>
          </w:tcPr>
          <w:p w:rsidR="007C5447" w:rsidRDefault="00F6308C">
            <w:pPr>
              <w:pStyle w:val="TableParagraph"/>
              <w:spacing w:before="43"/>
              <w:ind w:right="94"/>
              <w:rPr>
                <w:sz w:val="20"/>
              </w:rPr>
            </w:pPr>
            <w:r>
              <w:rPr>
                <w:w w:val="95"/>
                <w:sz w:val="20"/>
              </w:rPr>
              <w:t>21.99</w:t>
            </w:r>
          </w:p>
        </w:tc>
        <w:tc>
          <w:tcPr>
            <w:tcW w:w="1370" w:type="dxa"/>
          </w:tcPr>
          <w:p w:rsidR="007C5447" w:rsidRDefault="00F6308C">
            <w:pPr>
              <w:pStyle w:val="TableParagraph"/>
              <w:spacing w:before="43"/>
              <w:ind w:right="91"/>
              <w:rPr>
                <w:sz w:val="20"/>
              </w:rPr>
            </w:pPr>
            <w:r>
              <w:rPr>
                <w:w w:val="95"/>
                <w:sz w:val="20"/>
              </w:rPr>
              <w:t>20.97</w:t>
            </w:r>
          </w:p>
        </w:tc>
        <w:tc>
          <w:tcPr>
            <w:tcW w:w="1128" w:type="dxa"/>
          </w:tcPr>
          <w:p w:rsidR="007C5447" w:rsidRDefault="00F6308C">
            <w:pPr>
              <w:pStyle w:val="TableParagraph"/>
              <w:spacing w:before="43"/>
              <w:ind w:right="92"/>
              <w:rPr>
                <w:sz w:val="20"/>
              </w:rPr>
            </w:pPr>
            <w:r>
              <w:rPr>
                <w:sz w:val="20"/>
              </w:rPr>
              <w:t>20.52</w:t>
            </w:r>
          </w:p>
        </w:tc>
      </w:tr>
      <w:tr w:rsidR="007C5447">
        <w:trPr>
          <w:trHeight w:val="313"/>
        </w:trPr>
        <w:tc>
          <w:tcPr>
            <w:tcW w:w="566" w:type="dxa"/>
          </w:tcPr>
          <w:p w:rsidR="007C5447" w:rsidRDefault="00F6308C">
            <w:pPr>
              <w:pStyle w:val="TableParagraph"/>
              <w:spacing w:before="70" w:line="224" w:lineRule="exact"/>
              <w:ind w:left="179"/>
              <w:jc w:val="left"/>
              <w:rPr>
                <w:sz w:val="20"/>
              </w:rPr>
            </w:pPr>
            <w:r>
              <w:rPr>
                <w:sz w:val="20"/>
              </w:rPr>
              <w:t>11</w:t>
            </w:r>
          </w:p>
        </w:tc>
        <w:tc>
          <w:tcPr>
            <w:tcW w:w="2551" w:type="dxa"/>
          </w:tcPr>
          <w:p w:rsidR="007C5447" w:rsidRDefault="00F6308C">
            <w:pPr>
              <w:pStyle w:val="TableParagraph"/>
              <w:spacing w:before="70" w:line="224" w:lineRule="exact"/>
              <w:ind w:left="108"/>
              <w:jc w:val="left"/>
              <w:rPr>
                <w:sz w:val="20"/>
              </w:rPr>
            </w:pPr>
            <w:r>
              <w:rPr>
                <w:sz w:val="20"/>
              </w:rPr>
              <w:t>Erode HEP</w:t>
            </w:r>
          </w:p>
        </w:tc>
        <w:tc>
          <w:tcPr>
            <w:tcW w:w="1119" w:type="dxa"/>
          </w:tcPr>
          <w:p w:rsidR="007C5447" w:rsidRDefault="00F6308C">
            <w:pPr>
              <w:pStyle w:val="TableParagraph"/>
              <w:spacing w:before="43"/>
              <w:ind w:right="95"/>
              <w:rPr>
                <w:sz w:val="20"/>
              </w:rPr>
            </w:pPr>
            <w:r>
              <w:rPr>
                <w:w w:val="95"/>
                <w:sz w:val="20"/>
              </w:rPr>
              <w:t>20.36</w:t>
            </w:r>
          </w:p>
        </w:tc>
        <w:tc>
          <w:tcPr>
            <w:tcW w:w="1440" w:type="dxa"/>
          </w:tcPr>
          <w:p w:rsidR="007C5447" w:rsidRDefault="00F6308C">
            <w:pPr>
              <w:pStyle w:val="TableParagraph"/>
              <w:spacing w:before="43"/>
              <w:ind w:right="99"/>
              <w:rPr>
                <w:sz w:val="20"/>
              </w:rPr>
            </w:pPr>
            <w:r>
              <w:rPr>
                <w:w w:val="95"/>
                <w:sz w:val="20"/>
              </w:rPr>
              <w:t>23.75</w:t>
            </w:r>
          </w:p>
        </w:tc>
        <w:tc>
          <w:tcPr>
            <w:tcW w:w="1154" w:type="dxa"/>
          </w:tcPr>
          <w:p w:rsidR="007C5447" w:rsidRDefault="00F6308C">
            <w:pPr>
              <w:pStyle w:val="TableParagraph"/>
              <w:spacing w:before="43"/>
              <w:ind w:right="94"/>
              <w:rPr>
                <w:sz w:val="20"/>
              </w:rPr>
            </w:pPr>
            <w:r>
              <w:rPr>
                <w:sz w:val="20"/>
              </w:rPr>
              <w:t>19.73</w:t>
            </w:r>
          </w:p>
        </w:tc>
        <w:tc>
          <w:tcPr>
            <w:tcW w:w="1027" w:type="dxa"/>
          </w:tcPr>
          <w:p w:rsidR="007C5447" w:rsidRDefault="00F6308C">
            <w:pPr>
              <w:pStyle w:val="TableParagraph"/>
              <w:spacing w:before="43"/>
              <w:ind w:right="96"/>
              <w:rPr>
                <w:sz w:val="20"/>
              </w:rPr>
            </w:pPr>
            <w:r>
              <w:rPr>
                <w:w w:val="95"/>
                <w:sz w:val="20"/>
              </w:rPr>
              <w:t>20.41</w:t>
            </w:r>
          </w:p>
        </w:tc>
        <w:tc>
          <w:tcPr>
            <w:tcW w:w="1372" w:type="dxa"/>
          </w:tcPr>
          <w:p w:rsidR="007C5447" w:rsidRDefault="00F6308C">
            <w:pPr>
              <w:pStyle w:val="TableParagraph"/>
              <w:spacing w:before="43"/>
              <w:ind w:right="95"/>
              <w:rPr>
                <w:sz w:val="20"/>
              </w:rPr>
            </w:pPr>
            <w:r>
              <w:rPr>
                <w:w w:val="95"/>
                <w:sz w:val="20"/>
              </w:rPr>
              <w:t>23.92</w:t>
            </w:r>
          </w:p>
        </w:tc>
        <w:tc>
          <w:tcPr>
            <w:tcW w:w="1166" w:type="dxa"/>
          </w:tcPr>
          <w:p w:rsidR="007C5447" w:rsidRDefault="00F6308C">
            <w:pPr>
              <w:pStyle w:val="TableParagraph"/>
              <w:spacing w:before="43"/>
              <w:ind w:right="93"/>
              <w:rPr>
                <w:sz w:val="20"/>
              </w:rPr>
            </w:pPr>
            <w:r>
              <w:rPr>
                <w:sz w:val="20"/>
              </w:rPr>
              <w:t>19.78</w:t>
            </w:r>
          </w:p>
        </w:tc>
        <w:tc>
          <w:tcPr>
            <w:tcW w:w="1224" w:type="dxa"/>
          </w:tcPr>
          <w:p w:rsidR="007C5447" w:rsidRDefault="00F6308C">
            <w:pPr>
              <w:pStyle w:val="TableParagraph"/>
              <w:spacing w:before="43"/>
              <w:ind w:right="94"/>
              <w:rPr>
                <w:sz w:val="20"/>
              </w:rPr>
            </w:pPr>
            <w:r>
              <w:rPr>
                <w:w w:val="95"/>
                <w:sz w:val="20"/>
              </w:rPr>
              <w:t>21.45</w:t>
            </w:r>
          </w:p>
        </w:tc>
        <w:tc>
          <w:tcPr>
            <w:tcW w:w="1370" w:type="dxa"/>
          </w:tcPr>
          <w:p w:rsidR="007C5447" w:rsidRDefault="00F6308C">
            <w:pPr>
              <w:pStyle w:val="TableParagraph"/>
              <w:spacing w:before="43"/>
              <w:ind w:right="91"/>
              <w:rPr>
                <w:sz w:val="20"/>
              </w:rPr>
            </w:pPr>
            <w:r>
              <w:rPr>
                <w:w w:val="95"/>
                <w:sz w:val="20"/>
              </w:rPr>
              <w:t>26.56</w:t>
            </w:r>
          </w:p>
        </w:tc>
        <w:tc>
          <w:tcPr>
            <w:tcW w:w="1128" w:type="dxa"/>
          </w:tcPr>
          <w:p w:rsidR="007C5447" w:rsidRDefault="00F6308C">
            <w:pPr>
              <w:pStyle w:val="TableParagraph"/>
              <w:spacing w:before="43"/>
              <w:ind w:left="341"/>
              <w:jc w:val="left"/>
              <w:rPr>
                <w:sz w:val="20"/>
              </w:rPr>
            </w:pPr>
            <w:r>
              <w:rPr>
                <w:sz w:val="20"/>
              </w:rPr>
              <w:t>19.60</w:t>
            </w:r>
          </w:p>
        </w:tc>
      </w:tr>
      <w:tr w:rsidR="007C5447">
        <w:trPr>
          <w:trHeight w:val="314"/>
        </w:trPr>
        <w:tc>
          <w:tcPr>
            <w:tcW w:w="566" w:type="dxa"/>
          </w:tcPr>
          <w:p w:rsidR="007C5447" w:rsidRDefault="00F6308C">
            <w:pPr>
              <w:pStyle w:val="TableParagraph"/>
              <w:spacing w:before="70" w:line="224" w:lineRule="exact"/>
              <w:ind w:left="179"/>
              <w:jc w:val="left"/>
              <w:rPr>
                <w:sz w:val="20"/>
              </w:rPr>
            </w:pPr>
            <w:r>
              <w:rPr>
                <w:sz w:val="20"/>
              </w:rPr>
              <w:t>12</w:t>
            </w:r>
          </w:p>
        </w:tc>
        <w:tc>
          <w:tcPr>
            <w:tcW w:w="2551" w:type="dxa"/>
          </w:tcPr>
          <w:p w:rsidR="007C5447" w:rsidRDefault="00F6308C">
            <w:pPr>
              <w:pStyle w:val="TableParagraph"/>
              <w:spacing w:before="70" w:line="224" w:lineRule="exact"/>
              <w:ind w:left="108"/>
              <w:jc w:val="left"/>
              <w:rPr>
                <w:sz w:val="20"/>
              </w:rPr>
            </w:pPr>
            <w:r>
              <w:rPr>
                <w:sz w:val="20"/>
              </w:rPr>
              <w:t>Kadamparai HEP</w:t>
            </w:r>
          </w:p>
        </w:tc>
        <w:tc>
          <w:tcPr>
            <w:tcW w:w="1119" w:type="dxa"/>
          </w:tcPr>
          <w:p w:rsidR="007C5447" w:rsidRDefault="00F6308C">
            <w:pPr>
              <w:pStyle w:val="TableParagraph"/>
              <w:spacing w:before="43"/>
              <w:ind w:right="95"/>
              <w:rPr>
                <w:sz w:val="20"/>
              </w:rPr>
            </w:pPr>
            <w:r>
              <w:rPr>
                <w:w w:val="95"/>
                <w:sz w:val="20"/>
              </w:rPr>
              <w:t>10.52</w:t>
            </w:r>
          </w:p>
        </w:tc>
        <w:tc>
          <w:tcPr>
            <w:tcW w:w="1440" w:type="dxa"/>
          </w:tcPr>
          <w:p w:rsidR="007C5447" w:rsidRDefault="00F6308C">
            <w:pPr>
              <w:pStyle w:val="TableParagraph"/>
              <w:spacing w:before="43"/>
              <w:ind w:right="99"/>
              <w:rPr>
                <w:sz w:val="20"/>
              </w:rPr>
            </w:pPr>
            <w:r>
              <w:rPr>
                <w:w w:val="95"/>
                <w:sz w:val="20"/>
              </w:rPr>
              <w:t>12.40</w:t>
            </w:r>
          </w:p>
        </w:tc>
        <w:tc>
          <w:tcPr>
            <w:tcW w:w="1154" w:type="dxa"/>
          </w:tcPr>
          <w:p w:rsidR="007C5447" w:rsidRDefault="00F6308C">
            <w:pPr>
              <w:pStyle w:val="TableParagraph"/>
              <w:spacing w:before="43"/>
              <w:ind w:right="94"/>
              <w:rPr>
                <w:sz w:val="20"/>
              </w:rPr>
            </w:pPr>
            <w:r>
              <w:rPr>
                <w:sz w:val="20"/>
              </w:rPr>
              <w:t>9.84</w:t>
            </w:r>
          </w:p>
        </w:tc>
        <w:tc>
          <w:tcPr>
            <w:tcW w:w="1027" w:type="dxa"/>
          </w:tcPr>
          <w:p w:rsidR="007C5447" w:rsidRDefault="00F6308C">
            <w:pPr>
              <w:pStyle w:val="TableParagraph"/>
              <w:spacing w:before="43"/>
              <w:ind w:right="96"/>
              <w:rPr>
                <w:sz w:val="20"/>
              </w:rPr>
            </w:pPr>
            <w:r>
              <w:rPr>
                <w:w w:val="95"/>
                <w:sz w:val="20"/>
              </w:rPr>
              <w:t>10.58</w:t>
            </w:r>
          </w:p>
        </w:tc>
        <w:tc>
          <w:tcPr>
            <w:tcW w:w="1372" w:type="dxa"/>
          </w:tcPr>
          <w:p w:rsidR="007C5447" w:rsidRDefault="00F6308C">
            <w:pPr>
              <w:pStyle w:val="TableParagraph"/>
              <w:spacing w:before="43"/>
              <w:ind w:right="95"/>
              <w:rPr>
                <w:sz w:val="20"/>
              </w:rPr>
            </w:pPr>
            <w:r>
              <w:rPr>
                <w:w w:val="95"/>
                <w:sz w:val="20"/>
              </w:rPr>
              <w:t>12.50</w:t>
            </w:r>
          </w:p>
        </w:tc>
        <w:tc>
          <w:tcPr>
            <w:tcW w:w="1166" w:type="dxa"/>
          </w:tcPr>
          <w:p w:rsidR="007C5447" w:rsidRDefault="00F6308C">
            <w:pPr>
              <w:pStyle w:val="TableParagraph"/>
              <w:spacing w:before="43"/>
              <w:ind w:right="92"/>
              <w:rPr>
                <w:sz w:val="20"/>
              </w:rPr>
            </w:pPr>
            <w:r>
              <w:rPr>
                <w:sz w:val="20"/>
              </w:rPr>
              <w:t>9.89</w:t>
            </w:r>
          </w:p>
        </w:tc>
        <w:tc>
          <w:tcPr>
            <w:tcW w:w="1224" w:type="dxa"/>
          </w:tcPr>
          <w:p w:rsidR="007C5447" w:rsidRDefault="00F6308C">
            <w:pPr>
              <w:pStyle w:val="TableParagraph"/>
              <w:spacing w:before="43"/>
              <w:ind w:right="94"/>
              <w:rPr>
                <w:sz w:val="20"/>
              </w:rPr>
            </w:pPr>
            <w:r>
              <w:rPr>
                <w:w w:val="95"/>
                <w:sz w:val="20"/>
              </w:rPr>
              <w:t>10.58</w:t>
            </w:r>
          </w:p>
        </w:tc>
        <w:tc>
          <w:tcPr>
            <w:tcW w:w="1370" w:type="dxa"/>
          </w:tcPr>
          <w:p w:rsidR="007C5447" w:rsidRDefault="00F6308C">
            <w:pPr>
              <w:pStyle w:val="TableParagraph"/>
              <w:spacing w:before="43"/>
              <w:ind w:right="91"/>
              <w:rPr>
                <w:sz w:val="20"/>
              </w:rPr>
            </w:pPr>
            <w:r>
              <w:rPr>
                <w:w w:val="95"/>
                <w:sz w:val="20"/>
              </w:rPr>
              <w:t>13.94</w:t>
            </w:r>
          </w:p>
        </w:tc>
        <w:tc>
          <w:tcPr>
            <w:tcW w:w="1128" w:type="dxa"/>
          </w:tcPr>
          <w:p w:rsidR="007C5447" w:rsidRDefault="00F6308C">
            <w:pPr>
              <w:pStyle w:val="TableParagraph"/>
              <w:spacing w:before="43"/>
              <w:ind w:right="92"/>
              <w:rPr>
                <w:sz w:val="20"/>
              </w:rPr>
            </w:pPr>
            <w:r>
              <w:rPr>
                <w:sz w:val="20"/>
              </w:rPr>
              <w:t>11.24</w:t>
            </w:r>
          </w:p>
        </w:tc>
      </w:tr>
      <w:tr w:rsidR="007C5447">
        <w:trPr>
          <w:trHeight w:val="313"/>
        </w:trPr>
        <w:tc>
          <w:tcPr>
            <w:tcW w:w="566" w:type="dxa"/>
          </w:tcPr>
          <w:p w:rsidR="007C5447" w:rsidRDefault="00F6308C">
            <w:pPr>
              <w:pStyle w:val="TableParagraph"/>
              <w:spacing w:before="70" w:line="224" w:lineRule="exact"/>
              <w:ind w:left="179"/>
              <w:jc w:val="left"/>
              <w:rPr>
                <w:sz w:val="20"/>
              </w:rPr>
            </w:pPr>
            <w:r>
              <w:rPr>
                <w:sz w:val="20"/>
              </w:rPr>
              <w:t>13</w:t>
            </w:r>
          </w:p>
        </w:tc>
        <w:tc>
          <w:tcPr>
            <w:tcW w:w="2551" w:type="dxa"/>
          </w:tcPr>
          <w:p w:rsidR="007C5447" w:rsidRDefault="00F6308C">
            <w:pPr>
              <w:pStyle w:val="TableParagraph"/>
              <w:spacing w:before="70" w:line="224" w:lineRule="exact"/>
              <w:ind w:left="108"/>
              <w:jc w:val="left"/>
              <w:rPr>
                <w:sz w:val="20"/>
              </w:rPr>
            </w:pPr>
            <w:r>
              <w:rPr>
                <w:sz w:val="20"/>
              </w:rPr>
              <w:t>Kundah HEP</w:t>
            </w:r>
          </w:p>
        </w:tc>
        <w:tc>
          <w:tcPr>
            <w:tcW w:w="1119" w:type="dxa"/>
          </w:tcPr>
          <w:p w:rsidR="007C5447" w:rsidRDefault="00F6308C">
            <w:pPr>
              <w:pStyle w:val="TableParagraph"/>
              <w:spacing w:before="43"/>
              <w:ind w:right="95"/>
              <w:rPr>
                <w:sz w:val="20"/>
              </w:rPr>
            </w:pPr>
            <w:r>
              <w:rPr>
                <w:w w:val="95"/>
                <w:sz w:val="20"/>
              </w:rPr>
              <w:t>25.16</w:t>
            </w:r>
          </w:p>
        </w:tc>
        <w:tc>
          <w:tcPr>
            <w:tcW w:w="1440" w:type="dxa"/>
          </w:tcPr>
          <w:p w:rsidR="007C5447" w:rsidRDefault="00F6308C">
            <w:pPr>
              <w:pStyle w:val="TableParagraph"/>
              <w:spacing w:before="43"/>
              <w:ind w:right="99"/>
              <w:rPr>
                <w:sz w:val="20"/>
              </w:rPr>
            </w:pPr>
            <w:r>
              <w:rPr>
                <w:w w:val="95"/>
                <w:sz w:val="20"/>
              </w:rPr>
              <w:t>32.61</w:t>
            </w:r>
          </w:p>
        </w:tc>
        <w:tc>
          <w:tcPr>
            <w:tcW w:w="1154" w:type="dxa"/>
          </w:tcPr>
          <w:p w:rsidR="007C5447" w:rsidRDefault="00F6308C">
            <w:pPr>
              <w:pStyle w:val="TableParagraph"/>
              <w:spacing w:before="43"/>
              <w:ind w:right="94"/>
              <w:rPr>
                <w:sz w:val="20"/>
              </w:rPr>
            </w:pPr>
            <w:r>
              <w:rPr>
                <w:sz w:val="20"/>
              </w:rPr>
              <w:t>24.49</w:t>
            </w:r>
          </w:p>
        </w:tc>
        <w:tc>
          <w:tcPr>
            <w:tcW w:w="1027" w:type="dxa"/>
          </w:tcPr>
          <w:p w:rsidR="007C5447" w:rsidRDefault="00F6308C">
            <w:pPr>
              <w:pStyle w:val="TableParagraph"/>
              <w:spacing w:before="43"/>
              <w:ind w:right="96"/>
              <w:rPr>
                <w:sz w:val="20"/>
              </w:rPr>
            </w:pPr>
            <w:r>
              <w:rPr>
                <w:w w:val="95"/>
                <w:sz w:val="20"/>
              </w:rPr>
              <w:t>25.16</w:t>
            </w:r>
          </w:p>
        </w:tc>
        <w:tc>
          <w:tcPr>
            <w:tcW w:w="1372" w:type="dxa"/>
          </w:tcPr>
          <w:p w:rsidR="007C5447" w:rsidRDefault="00F6308C">
            <w:pPr>
              <w:pStyle w:val="TableParagraph"/>
              <w:spacing w:before="43"/>
              <w:ind w:right="95"/>
              <w:rPr>
                <w:sz w:val="20"/>
              </w:rPr>
            </w:pPr>
            <w:r>
              <w:rPr>
                <w:w w:val="95"/>
                <w:sz w:val="20"/>
              </w:rPr>
              <w:t>32.86</w:t>
            </w:r>
          </w:p>
        </w:tc>
        <w:tc>
          <w:tcPr>
            <w:tcW w:w="1166" w:type="dxa"/>
          </w:tcPr>
          <w:p w:rsidR="007C5447" w:rsidRDefault="00F6308C">
            <w:pPr>
              <w:pStyle w:val="TableParagraph"/>
              <w:spacing w:before="43"/>
              <w:ind w:right="93"/>
              <w:rPr>
                <w:sz w:val="20"/>
              </w:rPr>
            </w:pPr>
            <w:r>
              <w:rPr>
                <w:sz w:val="20"/>
              </w:rPr>
              <w:t>24.58</w:t>
            </w:r>
          </w:p>
        </w:tc>
        <w:tc>
          <w:tcPr>
            <w:tcW w:w="1224" w:type="dxa"/>
          </w:tcPr>
          <w:p w:rsidR="007C5447" w:rsidRDefault="00F6308C">
            <w:pPr>
              <w:pStyle w:val="TableParagraph"/>
              <w:spacing w:before="43"/>
              <w:ind w:right="94"/>
              <w:rPr>
                <w:sz w:val="20"/>
              </w:rPr>
            </w:pPr>
            <w:r>
              <w:rPr>
                <w:w w:val="95"/>
                <w:sz w:val="20"/>
              </w:rPr>
              <w:t>25.19</w:t>
            </w:r>
          </w:p>
        </w:tc>
        <w:tc>
          <w:tcPr>
            <w:tcW w:w="1370" w:type="dxa"/>
          </w:tcPr>
          <w:p w:rsidR="007C5447" w:rsidRDefault="00F6308C">
            <w:pPr>
              <w:pStyle w:val="TableParagraph"/>
              <w:spacing w:before="43"/>
              <w:ind w:right="91"/>
              <w:rPr>
                <w:sz w:val="20"/>
              </w:rPr>
            </w:pPr>
            <w:r>
              <w:rPr>
                <w:w w:val="95"/>
                <w:sz w:val="20"/>
              </w:rPr>
              <w:t>36.55</w:t>
            </w:r>
          </w:p>
        </w:tc>
        <w:tc>
          <w:tcPr>
            <w:tcW w:w="1128" w:type="dxa"/>
          </w:tcPr>
          <w:p w:rsidR="007C5447" w:rsidRDefault="00F6308C">
            <w:pPr>
              <w:pStyle w:val="TableParagraph"/>
              <w:spacing w:before="43"/>
              <w:ind w:right="92"/>
              <w:rPr>
                <w:sz w:val="20"/>
              </w:rPr>
            </w:pPr>
            <w:r>
              <w:rPr>
                <w:sz w:val="20"/>
              </w:rPr>
              <w:t>27.95</w:t>
            </w:r>
          </w:p>
        </w:tc>
      </w:tr>
      <w:tr w:rsidR="007C5447">
        <w:trPr>
          <w:trHeight w:val="314"/>
        </w:trPr>
        <w:tc>
          <w:tcPr>
            <w:tcW w:w="566" w:type="dxa"/>
          </w:tcPr>
          <w:p w:rsidR="007C5447" w:rsidRDefault="00F6308C">
            <w:pPr>
              <w:pStyle w:val="TableParagraph"/>
              <w:spacing w:before="70" w:line="224" w:lineRule="exact"/>
              <w:ind w:left="179"/>
              <w:jc w:val="left"/>
              <w:rPr>
                <w:sz w:val="20"/>
              </w:rPr>
            </w:pPr>
            <w:r>
              <w:rPr>
                <w:sz w:val="20"/>
              </w:rPr>
              <w:t>14</w:t>
            </w:r>
          </w:p>
        </w:tc>
        <w:tc>
          <w:tcPr>
            <w:tcW w:w="2551" w:type="dxa"/>
          </w:tcPr>
          <w:p w:rsidR="007C5447" w:rsidRDefault="00F6308C">
            <w:pPr>
              <w:pStyle w:val="TableParagraph"/>
              <w:spacing w:before="70" w:line="224" w:lineRule="exact"/>
              <w:ind w:left="108"/>
              <w:jc w:val="left"/>
              <w:rPr>
                <w:sz w:val="20"/>
              </w:rPr>
            </w:pPr>
            <w:r>
              <w:rPr>
                <w:sz w:val="20"/>
              </w:rPr>
              <w:t>Tirunelveli HEP</w:t>
            </w:r>
          </w:p>
        </w:tc>
        <w:tc>
          <w:tcPr>
            <w:tcW w:w="1119" w:type="dxa"/>
          </w:tcPr>
          <w:p w:rsidR="007C5447" w:rsidRDefault="00F6308C">
            <w:pPr>
              <w:pStyle w:val="TableParagraph"/>
              <w:spacing w:before="43"/>
              <w:ind w:right="95"/>
              <w:rPr>
                <w:sz w:val="20"/>
              </w:rPr>
            </w:pPr>
            <w:r>
              <w:rPr>
                <w:w w:val="95"/>
                <w:sz w:val="20"/>
              </w:rPr>
              <w:t>10.99</w:t>
            </w:r>
          </w:p>
        </w:tc>
        <w:tc>
          <w:tcPr>
            <w:tcW w:w="1440" w:type="dxa"/>
          </w:tcPr>
          <w:p w:rsidR="007C5447" w:rsidRDefault="00F6308C">
            <w:pPr>
              <w:pStyle w:val="TableParagraph"/>
              <w:spacing w:before="43"/>
              <w:ind w:right="99"/>
              <w:rPr>
                <w:sz w:val="20"/>
              </w:rPr>
            </w:pPr>
            <w:r>
              <w:rPr>
                <w:w w:val="95"/>
                <w:sz w:val="20"/>
              </w:rPr>
              <w:t>13.01</w:t>
            </w:r>
          </w:p>
        </w:tc>
        <w:tc>
          <w:tcPr>
            <w:tcW w:w="1154" w:type="dxa"/>
          </w:tcPr>
          <w:p w:rsidR="007C5447" w:rsidRDefault="00F6308C">
            <w:pPr>
              <w:pStyle w:val="TableParagraph"/>
              <w:spacing w:before="43"/>
              <w:ind w:right="94"/>
              <w:rPr>
                <w:sz w:val="20"/>
              </w:rPr>
            </w:pPr>
            <w:r>
              <w:rPr>
                <w:sz w:val="20"/>
              </w:rPr>
              <w:t>9,14</w:t>
            </w:r>
          </w:p>
        </w:tc>
        <w:tc>
          <w:tcPr>
            <w:tcW w:w="1027" w:type="dxa"/>
          </w:tcPr>
          <w:p w:rsidR="007C5447" w:rsidRDefault="00F6308C">
            <w:pPr>
              <w:pStyle w:val="TableParagraph"/>
              <w:spacing w:before="43"/>
              <w:ind w:right="96"/>
              <w:rPr>
                <w:sz w:val="20"/>
              </w:rPr>
            </w:pPr>
            <w:r>
              <w:rPr>
                <w:w w:val="95"/>
                <w:sz w:val="20"/>
              </w:rPr>
              <w:t>11.44</w:t>
            </w:r>
          </w:p>
        </w:tc>
        <w:tc>
          <w:tcPr>
            <w:tcW w:w="1372" w:type="dxa"/>
          </w:tcPr>
          <w:p w:rsidR="007C5447" w:rsidRDefault="00F6308C">
            <w:pPr>
              <w:pStyle w:val="TableParagraph"/>
              <w:spacing w:before="43"/>
              <w:ind w:right="95"/>
              <w:rPr>
                <w:sz w:val="20"/>
              </w:rPr>
            </w:pPr>
            <w:r>
              <w:rPr>
                <w:w w:val="95"/>
                <w:sz w:val="20"/>
              </w:rPr>
              <w:t>12.79</w:t>
            </w:r>
          </w:p>
        </w:tc>
        <w:tc>
          <w:tcPr>
            <w:tcW w:w="1166" w:type="dxa"/>
          </w:tcPr>
          <w:p w:rsidR="007C5447" w:rsidRDefault="00F6308C">
            <w:pPr>
              <w:pStyle w:val="TableParagraph"/>
              <w:spacing w:before="43"/>
              <w:ind w:right="92"/>
              <w:rPr>
                <w:sz w:val="20"/>
              </w:rPr>
            </w:pPr>
            <w:r>
              <w:rPr>
                <w:sz w:val="20"/>
              </w:rPr>
              <w:t>9.44</w:t>
            </w:r>
          </w:p>
        </w:tc>
        <w:tc>
          <w:tcPr>
            <w:tcW w:w="1224" w:type="dxa"/>
          </w:tcPr>
          <w:p w:rsidR="007C5447" w:rsidRDefault="00F6308C">
            <w:pPr>
              <w:pStyle w:val="TableParagraph"/>
              <w:spacing w:before="43"/>
              <w:ind w:right="94"/>
              <w:rPr>
                <w:sz w:val="20"/>
              </w:rPr>
            </w:pPr>
            <w:r>
              <w:rPr>
                <w:w w:val="95"/>
                <w:sz w:val="20"/>
              </w:rPr>
              <w:t>12.19</w:t>
            </w:r>
          </w:p>
        </w:tc>
        <w:tc>
          <w:tcPr>
            <w:tcW w:w="1370" w:type="dxa"/>
          </w:tcPr>
          <w:p w:rsidR="007C5447" w:rsidRDefault="00F6308C">
            <w:pPr>
              <w:pStyle w:val="TableParagraph"/>
              <w:spacing w:before="43"/>
              <w:ind w:right="91"/>
              <w:rPr>
                <w:sz w:val="20"/>
              </w:rPr>
            </w:pPr>
            <w:r>
              <w:rPr>
                <w:w w:val="95"/>
                <w:sz w:val="20"/>
              </w:rPr>
              <w:t>15.04</w:t>
            </w:r>
          </w:p>
        </w:tc>
        <w:tc>
          <w:tcPr>
            <w:tcW w:w="1128" w:type="dxa"/>
          </w:tcPr>
          <w:p w:rsidR="007C5447" w:rsidRDefault="00F6308C">
            <w:pPr>
              <w:pStyle w:val="TableParagraph"/>
              <w:spacing w:before="43"/>
              <w:ind w:right="92"/>
              <w:rPr>
                <w:sz w:val="20"/>
              </w:rPr>
            </w:pPr>
            <w:r>
              <w:rPr>
                <w:sz w:val="20"/>
              </w:rPr>
              <w:t>10.69</w:t>
            </w:r>
          </w:p>
        </w:tc>
      </w:tr>
      <w:tr w:rsidR="007C5447">
        <w:trPr>
          <w:trHeight w:val="314"/>
        </w:trPr>
        <w:tc>
          <w:tcPr>
            <w:tcW w:w="566" w:type="dxa"/>
          </w:tcPr>
          <w:p w:rsidR="007C5447" w:rsidRDefault="00F6308C">
            <w:pPr>
              <w:pStyle w:val="TableParagraph"/>
              <w:spacing w:before="70" w:line="224" w:lineRule="exact"/>
              <w:ind w:left="179"/>
              <w:jc w:val="left"/>
              <w:rPr>
                <w:b/>
                <w:sz w:val="20"/>
              </w:rPr>
            </w:pPr>
            <w:r>
              <w:rPr>
                <w:b/>
                <w:sz w:val="20"/>
              </w:rPr>
              <w:t>15</w:t>
            </w:r>
          </w:p>
        </w:tc>
        <w:tc>
          <w:tcPr>
            <w:tcW w:w="2551" w:type="dxa"/>
          </w:tcPr>
          <w:p w:rsidR="007C5447" w:rsidRDefault="00F6308C">
            <w:pPr>
              <w:pStyle w:val="TableParagraph"/>
              <w:spacing w:before="70" w:line="224" w:lineRule="exact"/>
              <w:ind w:left="108"/>
              <w:jc w:val="left"/>
              <w:rPr>
                <w:b/>
                <w:sz w:val="20"/>
              </w:rPr>
            </w:pPr>
            <w:r>
              <w:rPr>
                <w:b/>
                <w:sz w:val="20"/>
              </w:rPr>
              <w:t>Grand Total Generation</w:t>
            </w:r>
          </w:p>
        </w:tc>
        <w:tc>
          <w:tcPr>
            <w:tcW w:w="1119" w:type="dxa"/>
          </w:tcPr>
          <w:p w:rsidR="007C5447" w:rsidRDefault="00F6308C">
            <w:pPr>
              <w:pStyle w:val="TableParagraph"/>
              <w:spacing w:before="43"/>
              <w:ind w:right="95"/>
              <w:rPr>
                <w:b/>
                <w:sz w:val="20"/>
              </w:rPr>
            </w:pPr>
            <w:r>
              <w:rPr>
                <w:b/>
                <w:w w:val="95"/>
                <w:sz w:val="20"/>
              </w:rPr>
              <w:t>333.53</w:t>
            </w:r>
          </w:p>
        </w:tc>
        <w:tc>
          <w:tcPr>
            <w:tcW w:w="1440" w:type="dxa"/>
          </w:tcPr>
          <w:p w:rsidR="007C5447" w:rsidRDefault="00F6308C">
            <w:pPr>
              <w:pStyle w:val="TableParagraph"/>
              <w:spacing w:before="43"/>
              <w:ind w:right="100"/>
              <w:rPr>
                <w:b/>
                <w:sz w:val="20"/>
              </w:rPr>
            </w:pPr>
            <w:r>
              <w:rPr>
                <w:b/>
                <w:w w:val="95"/>
                <w:sz w:val="20"/>
              </w:rPr>
              <w:t>350.93</w:t>
            </w:r>
          </w:p>
        </w:tc>
        <w:tc>
          <w:tcPr>
            <w:tcW w:w="1154" w:type="dxa"/>
          </w:tcPr>
          <w:p w:rsidR="007C5447" w:rsidRDefault="00F6308C">
            <w:pPr>
              <w:pStyle w:val="TableParagraph"/>
              <w:spacing w:before="43"/>
              <w:ind w:right="94"/>
              <w:rPr>
                <w:b/>
                <w:sz w:val="20"/>
              </w:rPr>
            </w:pPr>
            <w:r>
              <w:rPr>
                <w:b/>
                <w:w w:val="95"/>
                <w:sz w:val="20"/>
              </w:rPr>
              <w:t>289.98</w:t>
            </w:r>
          </w:p>
        </w:tc>
        <w:tc>
          <w:tcPr>
            <w:tcW w:w="1027" w:type="dxa"/>
          </w:tcPr>
          <w:p w:rsidR="007C5447" w:rsidRDefault="00F6308C">
            <w:pPr>
              <w:pStyle w:val="TableParagraph"/>
              <w:spacing w:before="43"/>
              <w:ind w:right="96"/>
              <w:rPr>
                <w:b/>
                <w:sz w:val="20"/>
              </w:rPr>
            </w:pPr>
            <w:r>
              <w:rPr>
                <w:b/>
                <w:w w:val="95"/>
                <w:sz w:val="20"/>
              </w:rPr>
              <w:t>335.49</w:t>
            </w:r>
          </w:p>
        </w:tc>
        <w:tc>
          <w:tcPr>
            <w:tcW w:w="1372" w:type="dxa"/>
          </w:tcPr>
          <w:p w:rsidR="007C5447" w:rsidRDefault="00F6308C">
            <w:pPr>
              <w:pStyle w:val="TableParagraph"/>
              <w:spacing w:before="43"/>
              <w:ind w:right="95"/>
              <w:rPr>
                <w:b/>
                <w:sz w:val="20"/>
              </w:rPr>
            </w:pPr>
            <w:r>
              <w:rPr>
                <w:b/>
                <w:w w:val="95"/>
                <w:sz w:val="20"/>
              </w:rPr>
              <w:t>352.67</w:t>
            </w:r>
          </w:p>
        </w:tc>
        <w:tc>
          <w:tcPr>
            <w:tcW w:w="1166" w:type="dxa"/>
          </w:tcPr>
          <w:p w:rsidR="007C5447" w:rsidRDefault="00F6308C">
            <w:pPr>
              <w:pStyle w:val="TableParagraph"/>
              <w:spacing w:before="43"/>
              <w:ind w:right="93"/>
              <w:rPr>
                <w:b/>
                <w:sz w:val="20"/>
              </w:rPr>
            </w:pPr>
            <w:r>
              <w:rPr>
                <w:b/>
                <w:w w:val="95"/>
                <w:sz w:val="20"/>
              </w:rPr>
              <w:t>292.97</w:t>
            </w:r>
          </w:p>
        </w:tc>
        <w:tc>
          <w:tcPr>
            <w:tcW w:w="1224" w:type="dxa"/>
          </w:tcPr>
          <w:p w:rsidR="007C5447" w:rsidRDefault="00F6308C">
            <w:pPr>
              <w:pStyle w:val="TableParagraph"/>
              <w:spacing w:before="43"/>
              <w:ind w:right="94"/>
              <w:rPr>
                <w:b/>
                <w:sz w:val="20"/>
              </w:rPr>
            </w:pPr>
            <w:r>
              <w:rPr>
                <w:b/>
                <w:w w:val="95"/>
                <w:sz w:val="20"/>
              </w:rPr>
              <w:t>411.48</w:t>
            </w:r>
          </w:p>
        </w:tc>
        <w:tc>
          <w:tcPr>
            <w:tcW w:w="1370" w:type="dxa"/>
          </w:tcPr>
          <w:p w:rsidR="007C5447" w:rsidRDefault="00F6308C">
            <w:pPr>
              <w:pStyle w:val="TableParagraph"/>
              <w:spacing w:before="43"/>
              <w:ind w:right="92"/>
              <w:rPr>
                <w:b/>
                <w:sz w:val="20"/>
              </w:rPr>
            </w:pPr>
            <w:r>
              <w:rPr>
                <w:b/>
                <w:w w:val="95"/>
                <w:sz w:val="20"/>
              </w:rPr>
              <w:t>395.75</w:t>
            </w:r>
          </w:p>
        </w:tc>
        <w:tc>
          <w:tcPr>
            <w:tcW w:w="1128" w:type="dxa"/>
          </w:tcPr>
          <w:p w:rsidR="007C5447" w:rsidRDefault="00F6308C">
            <w:pPr>
              <w:pStyle w:val="TableParagraph"/>
              <w:spacing w:before="43"/>
              <w:ind w:left="291"/>
              <w:jc w:val="left"/>
              <w:rPr>
                <w:b/>
                <w:sz w:val="20"/>
              </w:rPr>
            </w:pPr>
            <w:r>
              <w:rPr>
                <w:b/>
                <w:sz w:val="20"/>
              </w:rPr>
              <w:t>329.99</w:t>
            </w:r>
          </w:p>
        </w:tc>
      </w:tr>
      <w:tr w:rsidR="007C5447">
        <w:trPr>
          <w:trHeight w:val="313"/>
        </w:trPr>
        <w:tc>
          <w:tcPr>
            <w:tcW w:w="566" w:type="dxa"/>
          </w:tcPr>
          <w:p w:rsidR="007C5447" w:rsidRDefault="00F6308C">
            <w:pPr>
              <w:pStyle w:val="TableParagraph"/>
              <w:spacing w:before="70" w:line="224" w:lineRule="exact"/>
              <w:ind w:left="179"/>
              <w:jc w:val="left"/>
              <w:rPr>
                <w:b/>
                <w:sz w:val="20"/>
              </w:rPr>
            </w:pPr>
            <w:r>
              <w:rPr>
                <w:b/>
                <w:sz w:val="20"/>
              </w:rPr>
              <w:t>16</w:t>
            </w:r>
          </w:p>
        </w:tc>
        <w:tc>
          <w:tcPr>
            <w:tcW w:w="2551" w:type="dxa"/>
          </w:tcPr>
          <w:p w:rsidR="007C5447" w:rsidRDefault="00F6308C">
            <w:pPr>
              <w:pStyle w:val="TableParagraph"/>
              <w:spacing w:before="70" w:line="224" w:lineRule="exact"/>
              <w:ind w:left="108"/>
              <w:jc w:val="left"/>
              <w:rPr>
                <w:b/>
                <w:sz w:val="20"/>
              </w:rPr>
            </w:pPr>
            <w:r>
              <w:rPr>
                <w:b/>
                <w:sz w:val="20"/>
              </w:rPr>
              <w:t>Distribution</w:t>
            </w:r>
          </w:p>
        </w:tc>
        <w:tc>
          <w:tcPr>
            <w:tcW w:w="1119" w:type="dxa"/>
          </w:tcPr>
          <w:p w:rsidR="007C5447" w:rsidRDefault="00F6308C">
            <w:pPr>
              <w:pStyle w:val="TableParagraph"/>
              <w:spacing w:before="43"/>
              <w:ind w:right="95"/>
              <w:rPr>
                <w:b/>
                <w:sz w:val="20"/>
              </w:rPr>
            </w:pPr>
            <w:r>
              <w:rPr>
                <w:b/>
                <w:w w:val="95"/>
                <w:sz w:val="20"/>
              </w:rPr>
              <w:t>272.78</w:t>
            </w:r>
          </w:p>
        </w:tc>
        <w:tc>
          <w:tcPr>
            <w:tcW w:w="1440" w:type="dxa"/>
          </w:tcPr>
          <w:p w:rsidR="007C5447" w:rsidRDefault="00F6308C">
            <w:pPr>
              <w:pStyle w:val="TableParagraph"/>
              <w:spacing w:before="43"/>
              <w:ind w:right="100"/>
              <w:rPr>
                <w:b/>
                <w:sz w:val="20"/>
              </w:rPr>
            </w:pPr>
            <w:r>
              <w:rPr>
                <w:b/>
                <w:w w:val="95"/>
                <w:sz w:val="20"/>
              </w:rPr>
              <w:t>265.10</w:t>
            </w:r>
          </w:p>
        </w:tc>
        <w:tc>
          <w:tcPr>
            <w:tcW w:w="1154" w:type="dxa"/>
          </w:tcPr>
          <w:p w:rsidR="007C5447" w:rsidRDefault="00F6308C">
            <w:pPr>
              <w:pStyle w:val="TableParagraph"/>
              <w:spacing w:before="43"/>
              <w:ind w:right="94"/>
              <w:rPr>
                <w:b/>
                <w:sz w:val="20"/>
              </w:rPr>
            </w:pPr>
            <w:r>
              <w:rPr>
                <w:b/>
                <w:w w:val="95"/>
                <w:sz w:val="20"/>
              </w:rPr>
              <w:t>271.51</w:t>
            </w:r>
          </w:p>
        </w:tc>
        <w:tc>
          <w:tcPr>
            <w:tcW w:w="1027" w:type="dxa"/>
          </w:tcPr>
          <w:p w:rsidR="007C5447" w:rsidRDefault="00F6308C">
            <w:pPr>
              <w:pStyle w:val="TableParagraph"/>
              <w:spacing w:before="43"/>
              <w:ind w:right="96"/>
              <w:rPr>
                <w:b/>
                <w:sz w:val="20"/>
              </w:rPr>
            </w:pPr>
            <w:r>
              <w:rPr>
                <w:b/>
                <w:w w:val="95"/>
                <w:sz w:val="20"/>
              </w:rPr>
              <w:t>302.13</w:t>
            </w:r>
          </w:p>
        </w:tc>
        <w:tc>
          <w:tcPr>
            <w:tcW w:w="1372" w:type="dxa"/>
          </w:tcPr>
          <w:p w:rsidR="007C5447" w:rsidRDefault="00F6308C">
            <w:pPr>
              <w:pStyle w:val="TableParagraph"/>
              <w:spacing w:before="43"/>
              <w:ind w:right="95"/>
              <w:rPr>
                <w:b/>
                <w:sz w:val="20"/>
              </w:rPr>
            </w:pPr>
            <w:r>
              <w:rPr>
                <w:b/>
                <w:w w:val="95"/>
                <w:sz w:val="20"/>
              </w:rPr>
              <w:t>294.39</w:t>
            </w:r>
          </w:p>
        </w:tc>
        <w:tc>
          <w:tcPr>
            <w:tcW w:w="1166" w:type="dxa"/>
          </w:tcPr>
          <w:p w:rsidR="007C5447" w:rsidRDefault="00F6308C">
            <w:pPr>
              <w:pStyle w:val="TableParagraph"/>
              <w:spacing w:before="43"/>
              <w:ind w:right="93"/>
              <w:rPr>
                <w:b/>
                <w:sz w:val="20"/>
              </w:rPr>
            </w:pPr>
            <w:r>
              <w:rPr>
                <w:b/>
                <w:w w:val="95"/>
                <w:sz w:val="20"/>
              </w:rPr>
              <w:t>297.87</w:t>
            </w:r>
          </w:p>
        </w:tc>
        <w:tc>
          <w:tcPr>
            <w:tcW w:w="1224" w:type="dxa"/>
          </w:tcPr>
          <w:p w:rsidR="007C5447" w:rsidRDefault="00F6308C">
            <w:pPr>
              <w:pStyle w:val="TableParagraph"/>
              <w:spacing w:before="43"/>
              <w:ind w:right="94"/>
              <w:rPr>
                <w:b/>
                <w:sz w:val="20"/>
              </w:rPr>
            </w:pPr>
            <w:r>
              <w:rPr>
                <w:b/>
                <w:w w:val="95"/>
                <w:sz w:val="20"/>
              </w:rPr>
              <w:t>362.39</w:t>
            </w:r>
          </w:p>
        </w:tc>
        <w:tc>
          <w:tcPr>
            <w:tcW w:w="1370" w:type="dxa"/>
          </w:tcPr>
          <w:p w:rsidR="007C5447" w:rsidRDefault="00F6308C">
            <w:pPr>
              <w:pStyle w:val="TableParagraph"/>
              <w:spacing w:before="43"/>
              <w:ind w:right="92"/>
              <w:rPr>
                <w:b/>
                <w:sz w:val="20"/>
              </w:rPr>
            </w:pPr>
            <w:r>
              <w:rPr>
                <w:b/>
                <w:w w:val="95"/>
                <w:sz w:val="20"/>
              </w:rPr>
              <w:t>327.15</w:t>
            </w:r>
          </w:p>
        </w:tc>
        <w:tc>
          <w:tcPr>
            <w:tcW w:w="1128" w:type="dxa"/>
          </w:tcPr>
          <w:p w:rsidR="007C5447" w:rsidRDefault="00F6308C">
            <w:pPr>
              <w:pStyle w:val="TableParagraph"/>
              <w:spacing w:before="43"/>
              <w:ind w:right="92"/>
              <w:rPr>
                <w:b/>
                <w:sz w:val="20"/>
              </w:rPr>
            </w:pPr>
            <w:r>
              <w:rPr>
                <w:b/>
                <w:w w:val="95"/>
                <w:sz w:val="20"/>
              </w:rPr>
              <w:t>327.43</w:t>
            </w:r>
          </w:p>
        </w:tc>
      </w:tr>
      <w:tr w:rsidR="007C5447">
        <w:trPr>
          <w:trHeight w:val="314"/>
        </w:trPr>
        <w:tc>
          <w:tcPr>
            <w:tcW w:w="566" w:type="dxa"/>
          </w:tcPr>
          <w:p w:rsidR="007C5447" w:rsidRDefault="00F6308C">
            <w:pPr>
              <w:pStyle w:val="TableParagraph"/>
              <w:spacing w:before="70" w:line="224" w:lineRule="exact"/>
              <w:ind w:left="179"/>
              <w:jc w:val="left"/>
              <w:rPr>
                <w:b/>
                <w:sz w:val="20"/>
              </w:rPr>
            </w:pPr>
            <w:r>
              <w:rPr>
                <w:b/>
                <w:sz w:val="20"/>
              </w:rPr>
              <w:t>17</w:t>
            </w:r>
          </w:p>
        </w:tc>
        <w:tc>
          <w:tcPr>
            <w:tcW w:w="2551" w:type="dxa"/>
          </w:tcPr>
          <w:p w:rsidR="007C5447" w:rsidRDefault="00F6308C">
            <w:pPr>
              <w:pStyle w:val="TableParagraph"/>
              <w:spacing w:before="70" w:line="224" w:lineRule="exact"/>
              <w:ind w:left="108"/>
              <w:jc w:val="left"/>
              <w:rPr>
                <w:b/>
                <w:sz w:val="20"/>
              </w:rPr>
            </w:pPr>
            <w:r>
              <w:rPr>
                <w:b/>
                <w:sz w:val="20"/>
              </w:rPr>
              <w:t>Generation + Distribution</w:t>
            </w:r>
          </w:p>
        </w:tc>
        <w:tc>
          <w:tcPr>
            <w:tcW w:w="1119" w:type="dxa"/>
          </w:tcPr>
          <w:p w:rsidR="007C5447" w:rsidRDefault="00F6308C">
            <w:pPr>
              <w:pStyle w:val="TableParagraph"/>
              <w:spacing w:before="43"/>
              <w:ind w:right="95"/>
              <w:rPr>
                <w:b/>
                <w:sz w:val="20"/>
              </w:rPr>
            </w:pPr>
            <w:r>
              <w:rPr>
                <w:b/>
                <w:w w:val="95"/>
                <w:sz w:val="20"/>
              </w:rPr>
              <w:t>606.31</w:t>
            </w:r>
          </w:p>
        </w:tc>
        <w:tc>
          <w:tcPr>
            <w:tcW w:w="1440" w:type="dxa"/>
          </w:tcPr>
          <w:p w:rsidR="007C5447" w:rsidRDefault="00F6308C">
            <w:pPr>
              <w:pStyle w:val="TableParagraph"/>
              <w:spacing w:before="43"/>
              <w:ind w:right="100"/>
              <w:rPr>
                <w:b/>
                <w:sz w:val="20"/>
              </w:rPr>
            </w:pPr>
            <w:r>
              <w:rPr>
                <w:b/>
                <w:w w:val="95"/>
                <w:sz w:val="20"/>
              </w:rPr>
              <w:t>616.03</w:t>
            </w:r>
          </w:p>
        </w:tc>
        <w:tc>
          <w:tcPr>
            <w:tcW w:w="1154" w:type="dxa"/>
          </w:tcPr>
          <w:p w:rsidR="007C5447" w:rsidRDefault="00F6308C">
            <w:pPr>
              <w:pStyle w:val="TableParagraph"/>
              <w:spacing w:before="43"/>
              <w:ind w:right="94"/>
              <w:rPr>
                <w:b/>
                <w:sz w:val="20"/>
              </w:rPr>
            </w:pPr>
            <w:r>
              <w:rPr>
                <w:b/>
                <w:w w:val="95"/>
                <w:sz w:val="20"/>
              </w:rPr>
              <w:t>561.49</w:t>
            </w:r>
          </w:p>
        </w:tc>
        <w:tc>
          <w:tcPr>
            <w:tcW w:w="1027" w:type="dxa"/>
          </w:tcPr>
          <w:p w:rsidR="007C5447" w:rsidRDefault="00F6308C">
            <w:pPr>
              <w:pStyle w:val="TableParagraph"/>
              <w:spacing w:before="43"/>
              <w:ind w:right="96"/>
              <w:rPr>
                <w:b/>
                <w:sz w:val="20"/>
              </w:rPr>
            </w:pPr>
            <w:r>
              <w:rPr>
                <w:b/>
                <w:w w:val="95"/>
                <w:sz w:val="20"/>
              </w:rPr>
              <w:t>637.62</w:t>
            </w:r>
          </w:p>
        </w:tc>
        <w:tc>
          <w:tcPr>
            <w:tcW w:w="1372" w:type="dxa"/>
          </w:tcPr>
          <w:p w:rsidR="007C5447" w:rsidRDefault="00F6308C">
            <w:pPr>
              <w:pStyle w:val="TableParagraph"/>
              <w:spacing w:before="43"/>
              <w:ind w:right="95"/>
              <w:rPr>
                <w:b/>
                <w:sz w:val="20"/>
              </w:rPr>
            </w:pPr>
            <w:r>
              <w:rPr>
                <w:b/>
                <w:w w:val="95"/>
                <w:sz w:val="20"/>
              </w:rPr>
              <w:t>647.07</w:t>
            </w:r>
          </w:p>
        </w:tc>
        <w:tc>
          <w:tcPr>
            <w:tcW w:w="1166" w:type="dxa"/>
          </w:tcPr>
          <w:p w:rsidR="007C5447" w:rsidRDefault="00F6308C">
            <w:pPr>
              <w:pStyle w:val="TableParagraph"/>
              <w:spacing w:before="43"/>
              <w:ind w:right="93"/>
              <w:rPr>
                <w:b/>
                <w:sz w:val="20"/>
              </w:rPr>
            </w:pPr>
            <w:r>
              <w:rPr>
                <w:b/>
                <w:w w:val="95"/>
                <w:sz w:val="20"/>
              </w:rPr>
              <w:t>590.84</w:t>
            </w:r>
          </w:p>
        </w:tc>
        <w:tc>
          <w:tcPr>
            <w:tcW w:w="1224" w:type="dxa"/>
          </w:tcPr>
          <w:p w:rsidR="007C5447" w:rsidRDefault="00F6308C">
            <w:pPr>
              <w:pStyle w:val="TableParagraph"/>
              <w:spacing w:before="43"/>
              <w:ind w:right="94"/>
              <w:rPr>
                <w:b/>
                <w:sz w:val="20"/>
              </w:rPr>
            </w:pPr>
            <w:r>
              <w:rPr>
                <w:b/>
                <w:w w:val="95"/>
                <w:sz w:val="20"/>
              </w:rPr>
              <w:t>773.87</w:t>
            </w:r>
          </w:p>
        </w:tc>
        <w:tc>
          <w:tcPr>
            <w:tcW w:w="1370" w:type="dxa"/>
          </w:tcPr>
          <w:p w:rsidR="007C5447" w:rsidRDefault="00F6308C">
            <w:pPr>
              <w:pStyle w:val="TableParagraph"/>
              <w:spacing w:before="43"/>
              <w:ind w:right="92"/>
              <w:rPr>
                <w:b/>
                <w:sz w:val="20"/>
              </w:rPr>
            </w:pPr>
            <w:r>
              <w:rPr>
                <w:b/>
                <w:w w:val="95"/>
                <w:sz w:val="20"/>
              </w:rPr>
              <w:t>722.90</w:t>
            </w:r>
          </w:p>
        </w:tc>
        <w:tc>
          <w:tcPr>
            <w:tcW w:w="1128" w:type="dxa"/>
          </w:tcPr>
          <w:p w:rsidR="007C5447" w:rsidRDefault="00F6308C">
            <w:pPr>
              <w:pStyle w:val="TableParagraph"/>
              <w:spacing w:before="43"/>
              <w:ind w:right="91"/>
              <w:rPr>
                <w:b/>
                <w:sz w:val="20"/>
              </w:rPr>
            </w:pPr>
            <w:r>
              <w:rPr>
                <w:b/>
                <w:w w:val="95"/>
                <w:sz w:val="20"/>
              </w:rPr>
              <w:t>657.42</w:t>
            </w:r>
          </w:p>
        </w:tc>
      </w:tr>
    </w:tbl>
    <w:p w:rsidR="007C5447" w:rsidRDefault="007C5447">
      <w:pPr>
        <w:rPr>
          <w:sz w:val="20"/>
        </w:rPr>
        <w:sectPr w:rsidR="007C5447">
          <w:footerReference w:type="default" r:id="rId16"/>
          <w:pgSz w:w="16840" w:h="11910" w:orient="landscape"/>
          <w:pgMar w:top="1100" w:right="740" w:bottom="1240" w:left="1760" w:header="0" w:footer="1057" w:gutter="0"/>
          <w:pgNumType w:start="102"/>
          <w:cols w:space="720"/>
        </w:sectPr>
      </w:pPr>
    </w:p>
    <w:p w:rsidR="007C5447" w:rsidRDefault="007C5447">
      <w:pPr>
        <w:pStyle w:val="BodyText"/>
        <w:spacing w:before="2"/>
        <w:rPr>
          <w:b/>
          <w:sz w:val="21"/>
        </w:rPr>
      </w:pPr>
    </w:p>
    <w:p w:rsidR="007C5447" w:rsidRDefault="00F6308C">
      <w:pPr>
        <w:spacing w:before="91"/>
        <w:ind w:left="1898"/>
        <w:rPr>
          <w:b/>
        </w:rPr>
      </w:pPr>
      <w:r>
        <w:rPr>
          <w:b/>
        </w:rPr>
        <w:t>Table 3-18: Depreciation for FY 2014-15 and FY 2015-16 as approved by the Commission (Rs. Crore)</w:t>
      </w:r>
    </w:p>
    <w:p w:rsidR="007C5447" w:rsidRDefault="007C5447">
      <w:pPr>
        <w:pStyle w:val="BodyText"/>
        <w:spacing w:before="11"/>
        <w:rPr>
          <w:b/>
          <w:sz w:val="16"/>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688"/>
        <w:gridCol w:w="1400"/>
        <w:gridCol w:w="1795"/>
        <w:gridCol w:w="1467"/>
        <w:gridCol w:w="1272"/>
        <w:gridCol w:w="1707"/>
        <w:gridCol w:w="1450"/>
      </w:tblGrid>
      <w:tr w:rsidR="007C5447">
        <w:trPr>
          <w:trHeight w:val="369"/>
        </w:trPr>
        <w:tc>
          <w:tcPr>
            <w:tcW w:w="708" w:type="dxa"/>
            <w:vMerge w:val="restart"/>
            <w:shd w:val="clear" w:color="auto" w:fill="F7C9AC"/>
          </w:tcPr>
          <w:p w:rsidR="007C5447" w:rsidRDefault="007C5447">
            <w:pPr>
              <w:pStyle w:val="TableParagraph"/>
              <w:spacing w:before="9"/>
              <w:jc w:val="left"/>
              <w:rPr>
                <w:b/>
                <w:sz w:val="27"/>
              </w:rPr>
            </w:pPr>
          </w:p>
          <w:p w:rsidR="007C5447" w:rsidRDefault="00F6308C">
            <w:pPr>
              <w:pStyle w:val="TableParagraph"/>
              <w:ind w:left="105"/>
              <w:jc w:val="left"/>
              <w:rPr>
                <w:b/>
                <w:sz w:val="20"/>
              </w:rPr>
            </w:pPr>
            <w:r>
              <w:rPr>
                <w:b/>
                <w:sz w:val="20"/>
              </w:rPr>
              <w:t>Sl.</w:t>
            </w:r>
          </w:p>
        </w:tc>
        <w:tc>
          <w:tcPr>
            <w:tcW w:w="2688" w:type="dxa"/>
            <w:vMerge w:val="restart"/>
            <w:shd w:val="clear" w:color="auto" w:fill="F7C9AC"/>
          </w:tcPr>
          <w:p w:rsidR="007C5447" w:rsidRDefault="007C5447">
            <w:pPr>
              <w:pStyle w:val="TableParagraph"/>
              <w:spacing w:before="9"/>
              <w:jc w:val="left"/>
              <w:rPr>
                <w:b/>
                <w:sz w:val="27"/>
              </w:rPr>
            </w:pPr>
          </w:p>
          <w:p w:rsidR="007C5447" w:rsidRDefault="00F6308C">
            <w:pPr>
              <w:pStyle w:val="TableParagraph"/>
              <w:ind w:left="105"/>
              <w:jc w:val="left"/>
              <w:rPr>
                <w:b/>
                <w:sz w:val="20"/>
              </w:rPr>
            </w:pPr>
            <w:r>
              <w:rPr>
                <w:b/>
                <w:sz w:val="20"/>
              </w:rPr>
              <w:t>Particulars</w:t>
            </w:r>
          </w:p>
        </w:tc>
        <w:tc>
          <w:tcPr>
            <w:tcW w:w="4662" w:type="dxa"/>
            <w:gridSpan w:val="3"/>
            <w:shd w:val="clear" w:color="auto" w:fill="FBD4B4"/>
          </w:tcPr>
          <w:p w:rsidR="007C5447" w:rsidRDefault="00F6308C">
            <w:pPr>
              <w:pStyle w:val="TableParagraph"/>
              <w:spacing w:before="70"/>
              <w:ind w:left="1817" w:right="1810"/>
              <w:jc w:val="center"/>
              <w:rPr>
                <w:b/>
                <w:sz w:val="20"/>
              </w:rPr>
            </w:pPr>
            <w:r>
              <w:rPr>
                <w:b/>
                <w:sz w:val="20"/>
              </w:rPr>
              <w:t>FY 2014-15</w:t>
            </w:r>
          </w:p>
        </w:tc>
        <w:tc>
          <w:tcPr>
            <w:tcW w:w="4429" w:type="dxa"/>
            <w:gridSpan w:val="3"/>
            <w:shd w:val="clear" w:color="auto" w:fill="FBD4B4"/>
          </w:tcPr>
          <w:p w:rsidR="007C5447" w:rsidRDefault="00F6308C">
            <w:pPr>
              <w:pStyle w:val="TableParagraph"/>
              <w:spacing w:before="70"/>
              <w:ind w:left="1701" w:right="1693"/>
              <w:jc w:val="center"/>
              <w:rPr>
                <w:b/>
                <w:sz w:val="20"/>
              </w:rPr>
            </w:pPr>
            <w:r>
              <w:rPr>
                <w:b/>
                <w:sz w:val="20"/>
              </w:rPr>
              <w:t>FY 2015-16</w:t>
            </w:r>
          </w:p>
        </w:tc>
      </w:tr>
      <w:tr w:rsidR="007C5447">
        <w:trPr>
          <w:trHeight w:val="491"/>
        </w:trPr>
        <w:tc>
          <w:tcPr>
            <w:tcW w:w="708" w:type="dxa"/>
            <w:vMerge/>
            <w:tcBorders>
              <w:top w:val="nil"/>
            </w:tcBorders>
            <w:shd w:val="clear" w:color="auto" w:fill="F7C9AC"/>
          </w:tcPr>
          <w:p w:rsidR="007C5447" w:rsidRDefault="007C5447">
            <w:pPr>
              <w:rPr>
                <w:sz w:val="2"/>
                <w:szCs w:val="2"/>
              </w:rPr>
            </w:pPr>
          </w:p>
        </w:tc>
        <w:tc>
          <w:tcPr>
            <w:tcW w:w="2688" w:type="dxa"/>
            <w:vMerge/>
            <w:tcBorders>
              <w:top w:val="nil"/>
            </w:tcBorders>
            <w:shd w:val="clear" w:color="auto" w:fill="F7C9AC"/>
          </w:tcPr>
          <w:p w:rsidR="007C5447" w:rsidRDefault="007C5447">
            <w:pPr>
              <w:rPr>
                <w:sz w:val="2"/>
                <w:szCs w:val="2"/>
              </w:rPr>
            </w:pPr>
          </w:p>
        </w:tc>
        <w:tc>
          <w:tcPr>
            <w:tcW w:w="1400" w:type="dxa"/>
            <w:shd w:val="clear" w:color="auto" w:fill="FBD4B4"/>
          </w:tcPr>
          <w:p w:rsidR="007C5447" w:rsidRDefault="00F6308C">
            <w:pPr>
              <w:pStyle w:val="TableParagraph"/>
              <w:spacing w:before="132"/>
              <w:ind w:left="189"/>
              <w:jc w:val="left"/>
              <w:rPr>
                <w:b/>
                <w:sz w:val="20"/>
              </w:rPr>
            </w:pPr>
            <w:r>
              <w:rPr>
                <w:b/>
                <w:sz w:val="20"/>
              </w:rPr>
              <w:t>SMT Order</w:t>
            </w:r>
          </w:p>
        </w:tc>
        <w:tc>
          <w:tcPr>
            <w:tcW w:w="1795" w:type="dxa"/>
            <w:shd w:val="clear" w:color="auto" w:fill="FBD4B4"/>
          </w:tcPr>
          <w:p w:rsidR="007C5447" w:rsidRDefault="00F6308C">
            <w:pPr>
              <w:pStyle w:val="TableParagraph"/>
              <w:spacing w:before="132"/>
              <w:ind w:left="318"/>
              <w:jc w:val="left"/>
              <w:rPr>
                <w:b/>
                <w:sz w:val="20"/>
              </w:rPr>
            </w:pPr>
            <w:r>
              <w:rPr>
                <w:b/>
                <w:sz w:val="20"/>
              </w:rPr>
              <w:t>TANGEDCO</w:t>
            </w:r>
          </w:p>
        </w:tc>
        <w:tc>
          <w:tcPr>
            <w:tcW w:w="1467" w:type="dxa"/>
            <w:shd w:val="clear" w:color="auto" w:fill="FBD4B4"/>
          </w:tcPr>
          <w:p w:rsidR="007C5447" w:rsidRDefault="00F6308C">
            <w:pPr>
              <w:pStyle w:val="TableParagraph"/>
              <w:spacing w:before="21" w:line="228" w:lineRule="exact"/>
              <w:ind w:left="186" w:right="162" w:firstLine="117"/>
              <w:jc w:val="left"/>
              <w:rPr>
                <w:b/>
                <w:sz w:val="20"/>
              </w:rPr>
            </w:pPr>
            <w:r>
              <w:rPr>
                <w:b/>
                <w:sz w:val="20"/>
              </w:rPr>
              <w:t>Approved after true up</w:t>
            </w:r>
          </w:p>
        </w:tc>
        <w:tc>
          <w:tcPr>
            <w:tcW w:w="1272" w:type="dxa"/>
            <w:shd w:val="clear" w:color="auto" w:fill="FBD4B4"/>
          </w:tcPr>
          <w:p w:rsidR="007C5447" w:rsidRDefault="00F6308C">
            <w:pPr>
              <w:pStyle w:val="TableParagraph"/>
              <w:spacing w:before="132"/>
              <w:ind w:left="265"/>
              <w:jc w:val="left"/>
              <w:rPr>
                <w:b/>
                <w:sz w:val="20"/>
              </w:rPr>
            </w:pPr>
            <w:r>
              <w:rPr>
                <w:b/>
                <w:sz w:val="20"/>
              </w:rPr>
              <w:t>TO 2013</w:t>
            </w:r>
          </w:p>
        </w:tc>
        <w:tc>
          <w:tcPr>
            <w:tcW w:w="1707" w:type="dxa"/>
            <w:shd w:val="clear" w:color="auto" w:fill="FBD4B4"/>
          </w:tcPr>
          <w:p w:rsidR="007C5447" w:rsidRDefault="00F6308C">
            <w:pPr>
              <w:pStyle w:val="TableParagraph"/>
              <w:spacing w:before="132"/>
              <w:ind w:left="273"/>
              <w:jc w:val="left"/>
              <w:rPr>
                <w:b/>
                <w:sz w:val="20"/>
              </w:rPr>
            </w:pPr>
            <w:r>
              <w:rPr>
                <w:b/>
                <w:sz w:val="20"/>
              </w:rPr>
              <w:t>TANGEDCO</w:t>
            </w:r>
          </w:p>
        </w:tc>
        <w:tc>
          <w:tcPr>
            <w:tcW w:w="1450" w:type="dxa"/>
            <w:shd w:val="clear" w:color="auto" w:fill="FBD4B4"/>
          </w:tcPr>
          <w:p w:rsidR="007C5447" w:rsidRDefault="00F6308C">
            <w:pPr>
              <w:pStyle w:val="TableParagraph"/>
              <w:spacing w:before="21" w:line="228" w:lineRule="exact"/>
              <w:ind w:left="179" w:right="152" w:firstLine="117"/>
              <w:jc w:val="left"/>
              <w:rPr>
                <w:b/>
                <w:sz w:val="20"/>
              </w:rPr>
            </w:pPr>
            <w:r>
              <w:rPr>
                <w:b/>
                <w:sz w:val="20"/>
              </w:rPr>
              <w:t>Approved after true up</w:t>
            </w:r>
          </w:p>
        </w:tc>
      </w:tr>
      <w:tr w:rsidR="007C5447">
        <w:trPr>
          <w:trHeight w:val="369"/>
        </w:trPr>
        <w:tc>
          <w:tcPr>
            <w:tcW w:w="708" w:type="dxa"/>
          </w:tcPr>
          <w:p w:rsidR="007C5447" w:rsidRDefault="00F6308C">
            <w:pPr>
              <w:pStyle w:val="TableParagraph"/>
              <w:spacing w:before="70"/>
              <w:ind w:left="1"/>
              <w:jc w:val="center"/>
              <w:rPr>
                <w:sz w:val="20"/>
              </w:rPr>
            </w:pPr>
            <w:r>
              <w:rPr>
                <w:w w:val="99"/>
                <w:sz w:val="20"/>
              </w:rPr>
              <w:t>1</w:t>
            </w:r>
          </w:p>
        </w:tc>
        <w:tc>
          <w:tcPr>
            <w:tcW w:w="2688" w:type="dxa"/>
          </w:tcPr>
          <w:p w:rsidR="007C5447" w:rsidRDefault="00F6308C">
            <w:pPr>
              <w:pStyle w:val="TableParagraph"/>
              <w:spacing w:before="70"/>
              <w:ind w:left="105"/>
              <w:jc w:val="left"/>
              <w:rPr>
                <w:sz w:val="20"/>
              </w:rPr>
            </w:pPr>
            <w:r>
              <w:rPr>
                <w:sz w:val="20"/>
              </w:rPr>
              <w:t>Ennore TPS</w:t>
            </w:r>
          </w:p>
        </w:tc>
        <w:tc>
          <w:tcPr>
            <w:tcW w:w="1400" w:type="dxa"/>
          </w:tcPr>
          <w:p w:rsidR="007C5447" w:rsidRDefault="00F6308C">
            <w:pPr>
              <w:pStyle w:val="TableParagraph"/>
              <w:spacing w:before="70"/>
              <w:ind w:right="96"/>
              <w:rPr>
                <w:sz w:val="20"/>
              </w:rPr>
            </w:pPr>
            <w:r>
              <w:rPr>
                <w:sz w:val="20"/>
              </w:rPr>
              <w:t>39.56</w:t>
            </w:r>
          </w:p>
        </w:tc>
        <w:tc>
          <w:tcPr>
            <w:tcW w:w="1795" w:type="dxa"/>
          </w:tcPr>
          <w:p w:rsidR="007C5447" w:rsidRDefault="00F6308C">
            <w:pPr>
              <w:pStyle w:val="TableParagraph"/>
              <w:spacing w:before="70"/>
              <w:ind w:right="98"/>
              <w:rPr>
                <w:sz w:val="20"/>
              </w:rPr>
            </w:pPr>
            <w:r>
              <w:rPr>
                <w:w w:val="95"/>
                <w:sz w:val="20"/>
              </w:rPr>
              <w:t>57.56</w:t>
            </w:r>
          </w:p>
        </w:tc>
        <w:tc>
          <w:tcPr>
            <w:tcW w:w="1467" w:type="dxa"/>
          </w:tcPr>
          <w:p w:rsidR="007C5447" w:rsidRDefault="00F6308C">
            <w:pPr>
              <w:pStyle w:val="TableParagraph"/>
              <w:spacing w:before="70"/>
              <w:ind w:right="96"/>
              <w:rPr>
                <w:sz w:val="20"/>
              </w:rPr>
            </w:pPr>
            <w:r>
              <w:rPr>
                <w:sz w:val="20"/>
              </w:rPr>
              <w:t>63.18</w:t>
            </w:r>
          </w:p>
        </w:tc>
        <w:tc>
          <w:tcPr>
            <w:tcW w:w="1272" w:type="dxa"/>
          </w:tcPr>
          <w:p w:rsidR="007C5447" w:rsidRDefault="00F6308C">
            <w:pPr>
              <w:pStyle w:val="TableParagraph"/>
              <w:spacing w:before="14"/>
              <w:ind w:right="93"/>
              <w:rPr>
                <w:sz w:val="20"/>
              </w:rPr>
            </w:pPr>
            <w:r>
              <w:rPr>
                <w:sz w:val="20"/>
              </w:rPr>
              <w:t>39.90</w:t>
            </w:r>
          </w:p>
        </w:tc>
        <w:tc>
          <w:tcPr>
            <w:tcW w:w="1707" w:type="dxa"/>
          </w:tcPr>
          <w:p w:rsidR="007C5447" w:rsidRDefault="00F6308C">
            <w:pPr>
              <w:pStyle w:val="TableParagraph"/>
              <w:spacing w:before="70"/>
              <w:ind w:right="101"/>
              <w:rPr>
                <w:sz w:val="20"/>
              </w:rPr>
            </w:pPr>
            <w:r>
              <w:rPr>
                <w:w w:val="95"/>
                <w:sz w:val="20"/>
              </w:rPr>
              <w:t>37.33</w:t>
            </w:r>
          </w:p>
        </w:tc>
        <w:tc>
          <w:tcPr>
            <w:tcW w:w="1450" w:type="dxa"/>
          </w:tcPr>
          <w:p w:rsidR="007C5447" w:rsidRDefault="00F6308C">
            <w:pPr>
              <w:pStyle w:val="TableParagraph"/>
              <w:spacing w:before="70"/>
              <w:ind w:right="96"/>
              <w:rPr>
                <w:sz w:val="20"/>
              </w:rPr>
            </w:pPr>
            <w:r>
              <w:rPr>
                <w:sz w:val="20"/>
              </w:rPr>
              <w:t>63.31</w:t>
            </w:r>
          </w:p>
        </w:tc>
      </w:tr>
      <w:tr w:rsidR="007C5447">
        <w:trPr>
          <w:trHeight w:val="369"/>
        </w:trPr>
        <w:tc>
          <w:tcPr>
            <w:tcW w:w="708" w:type="dxa"/>
          </w:tcPr>
          <w:p w:rsidR="007C5447" w:rsidRDefault="00F6308C">
            <w:pPr>
              <w:pStyle w:val="TableParagraph"/>
              <w:spacing w:before="70"/>
              <w:ind w:left="1"/>
              <w:jc w:val="center"/>
              <w:rPr>
                <w:sz w:val="20"/>
              </w:rPr>
            </w:pPr>
            <w:r>
              <w:rPr>
                <w:w w:val="99"/>
                <w:sz w:val="20"/>
              </w:rPr>
              <w:t>2</w:t>
            </w:r>
          </w:p>
        </w:tc>
        <w:tc>
          <w:tcPr>
            <w:tcW w:w="2688" w:type="dxa"/>
          </w:tcPr>
          <w:p w:rsidR="007C5447" w:rsidRDefault="00F6308C">
            <w:pPr>
              <w:pStyle w:val="TableParagraph"/>
              <w:spacing w:before="70"/>
              <w:ind w:left="105"/>
              <w:jc w:val="left"/>
              <w:rPr>
                <w:sz w:val="20"/>
              </w:rPr>
            </w:pPr>
            <w:r>
              <w:rPr>
                <w:sz w:val="20"/>
              </w:rPr>
              <w:t>Tuticorin TPS</w:t>
            </w:r>
          </w:p>
        </w:tc>
        <w:tc>
          <w:tcPr>
            <w:tcW w:w="1400" w:type="dxa"/>
          </w:tcPr>
          <w:p w:rsidR="007C5447" w:rsidRDefault="00F6308C">
            <w:pPr>
              <w:pStyle w:val="TableParagraph"/>
              <w:spacing w:before="70"/>
              <w:ind w:right="96"/>
              <w:rPr>
                <w:sz w:val="20"/>
              </w:rPr>
            </w:pPr>
            <w:r>
              <w:rPr>
                <w:sz w:val="20"/>
              </w:rPr>
              <w:t>69.69</w:t>
            </w:r>
          </w:p>
        </w:tc>
        <w:tc>
          <w:tcPr>
            <w:tcW w:w="1795" w:type="dxa"/>
          </w:tcPr>
          <w:p w:rsidR="007C5447" w:rsidRDefault="00F6308C">
            <w:pPr>
              <w:pStyle w:val="TableParagraph"/>
              <w:spacing w:before="70"/>
              <w:ind w:right="98"/>
              <w:rPr>
                <w:sz w:val="20"/>
              </w:rPr>
            </w:pPr>
            <w:r>
              <w:rPr>
                <w:w w:val="95"/>
                <w:sz w:val="20"/>
              </w:rPr>
              <w:t>103.82</w:t>
            </w:r>
          </w:p>
        </w:tc>
        <w:tc>
          <w:tcPr>
            <w:tcW w:w="1467" w:type="dxa"/>
          </w:tcPr>
          <w:p w:rsidR="007C5447" w:rsidRDefault="00F6308C">
            <w:pPr>
              <w:pStyle w:val="TableParagraph"/>
              <w:spacing w:before="70"/>
              <w:ind w:right="96"/>
              <w:rPr>
                <w:sz w:val="20"/>
              </w:rPr>
            </w:pPr>
            <w:r>
              <w:rPr>
                <w:sz w:val="20"/>
              </w:rPr>
              <w:t>75.75</w:t>
            </w:r>
          </w:p>
        </w:tc>
        <w:tc>
          <w:tcPr>
            <w:tcW w:w="1272" w:type="dxa"/>
          </w:tcPr>
          <w:p w:rsidR="007C5447" w:rsidRDefault="00F6308C">
            <w:pPr>
              <w:pStyle w:val="TableParagraph"/>
              <w:spacing w:before="14"/>
              <w:ind w:right="93"/>
              <w:rPr>
                <w:sz w:val="20"/>
              </w:rPr>
            </w:pPr>
            <w:r>
              <w:rPr>
                <w:sz w:val="20"/>
              </w:rPr>
              <w:t>73.33</w:t>
            </w:r>
          </w:p>
        </w:tc>
        <w:tc>
          <w:tcPr>
            <w:tcW w:w="1707" w:type="dxa"/>
          </w:tcPr>
          <w:p w:rsidR="007C5447" w:rsidRDefault="00F6308C">
            <w:pPr>
              <w:pStyle w:val="TableParagraph"/>
              <w:spacing w:before="70"/>
              <w:ind w:right="101"/>
              <w:rPr>
                <w:sz w:val="20"/>
              </w:rPr>
            </w:pPr>
            <w:r>
              <w:rPr>
                <w:w w:val="95"/>
                <w:sz w:val="20"/>
              </w:rPr>
              <w:t>54.22</w:t>
            </w:r>
          </w:p>
        </w:tc>
        <w:tc>
          <w:tcPr>
            <w:tcW w:w="1450" w:type="dxa"/>
          </w:tcPr>
          <w:p w:rsidR="007C5447" w:rsidRDefault="00F6308C">
            <w:pPr>
              <w:pStyle w:val="TableParagraph"/>
              <w:spacing w:before="70"/>
              <w:ind w:right="96"/>
              <w:rPr>
                <w:sz w:val="20"/>
              </w:rPr>
            </w:pPr>
            <w:r>
              <w:rPr>
                <w:sz w:val="20"/>
              </w:rPr>
              <w:t>78.65</w:t>
            </w:r>
          </w:p>
        </w:tc>
      </w:tr>
      <w:tr w:rsidR="007C5447">
        <w:trPr>
          <w:trHeight w:val="372"/>
        </w:trPr>
        <w:tc>
          <w:tcPr>
            <w:tcW w:w="708" w:type="dxa"/>
          </w:tcPr>
          <w:p w:rsidR="007C5447" w:rsidRDefault="00F6308C">
            <w:pPr>
              <w:pStyle w:val="TableParagraph"/>
              <w:spacing w:before="73"/>
              <w:ind w:left="1"/>
              <w:jc w:val="center"/>
              <w:rPr>
                <w:sz w:val="20"/>
              </w:rPr>
            </w:pPr>
            <w:r>
              <w:rPr>
                <w:w w:val="99"/>
                <w:sz w:val="20"/>
              </w:rPr>
              <w:t>3</w:t>
            </w:r>
          </w:p>
        </w:tc>
        <w:tc>
          <w:tcPr>
            <w:tcW w:w="2688" w:type="dxa"/>
          </w:tcPr>
          <w:p w:rsidR="007C5447" w:rsidRDefault="00F6308C">
            <w:pPr>
              <w:pStyle w:val="TableParagraph"/>
              <w:spacing w:before="73"/>
              <w:ind w:left="105"/>
              <w:jc w:val="left"/>
              <w:rPr>
                <w:sz w:val="20"/>
              </w:rPr>
            </w:pPr>
            <w:r>
              <w:rPr>
                <w:sz w:val="20"/>
              </w:rPr>
              <w:t>Mettur TPS</w:t>
            </w:r>
          </w:p>
        </w:tc>
        <w:tc>
          <w:tcPr>
            <w:tcW w:w="1400" w:type="dxa"/>
          </w:tcPr>
          <w:p w:rsidR="007C5447" w:rsidRDefault="00F6308C">
            <w:pPr>
              <w:pStyle w:val="TableParagraph"/>
              <w:spacing w:before="73"/>
              <w:ind w:right="96"/>
              <w:rPr>
                <w:sz w:val="20"/>
              </w:rPr>
            </w:pPr>
            <w:r>
              <w:rPr>
                <w:sz w:val="20"/>
              </w:rPr>
              <w:t>40.57</w:t>
            </w:r>
          </w:p>
        </w:tc>
        <w:tc>
          <w:tcPr>
            <w:tcW w:w="1795" w:type="dxa"/>
          </w:tcPr>
          <w:p w:rsidR="007C5447" w:rsidRDefault="00F6308C">
            <w:pPr>
              <w:pStyle w:val="TableParagraph"/>
              <w:spacing w:before="73"/>
              <w:ind w:right="98"/>
              <w:rPr>
                <w:sz w:val="20"/>
              </w:rPr>
            </w:pPr>
            <w:r>
              <w:rPr>
                <w:w w:val="95"/>
                <w:sz w:val="20"/>
              </w:rPr>
              <w:t>208.11</w:t>
            </w:r>
          </w:p>
        </w:tc>
        <w:tc>
          <w:tcPr>
            <w:tcW w:w="1467" w:type="dxa"/>
          </w:tcPr>
          <w:p w:rsidR="007C5447" w:rsidRDefault="00F6308C">
            <w:pPr>
              <w:pStyle w:val="TableParagraph"/>
              <w:spacing w:before="73"/>
              <w:ind w:right="96"/>
              <w:rPr>
                <w:sz w:val="20"/>
              </w:rPr>
            </w:pPr>
            <w:r>
              <w:rPr>
                <w:sz w:val="20"/>
              </w:rPr>
              <w:t>50.41</w:t>
            </w:r>
          </w:p>
        </w:tc>
        <w:tc>
          <w:tcPr>
            <w:tcW w:w="1272" w:type="dxa"/>
          </w:tcPr>
          <w:p w:rsidR="007C5447" w:rsidRDefault="00F6308C">
            <w:pPr>
              <w:pStyle w:val="TableParagraph"/>
              <w:spacing w:before="17"/>
              <w:ind w:right="93"/>
              <w:rPr>
                <w:sz w:val="20"/>
              </w:rPr>
            </w:pPr>
            <w:r>
              <w:rPr>
                <w:sz w:val="20"/>
              </w:rPr>
              <w:t>43.85</w:t>
            </w:r>
          </w:p>
        </w:tc>
        <w:tc>
          <w:tcPr>
            <w:tcW w:w="1707" w:type="dxa"/>
          </w:tcPr>
          <w:p w:rsidR="007C5447" w:rsidRDefault="00F6308C">
            <w:pPr>
              <w:pStyle w:val="TableParagraph"/>
              <w:spacing w:before="73"/>
              <w:ind w:right="101"/>
              <w:rPr>
                <w:sz w:val="20"/>
              </w:rPr>
            </w:pPr>
            <w:r>
              <w:rPr>
                <w:w w:val="95"/>
                <w:sz w:val="20"/>
              </w:rPr>
              <w:t>25.28</w:t>
            </w:r>
          </w:p>
        </w:tc>
        <w:tc>
          <w:tcPr>
            <w:tcW w:w="1450" w:type="dxa"/>
          </w:tcPr>
          <w:p w:rsidR="007C5447" w:rsidRDefault="00F6308C">
            <w:pPr>
              <w:pStyle w:val="TableParagraph"/>
              <w:spacing w:before="73"/>
              <w:ind w:right="96"/>
              <w:rPr>
                <w:sz w:val="20"/>
              </w:rPr>
            </w:pPr>
            <w:r>
              <w:rPr>
                <w:sz w:val="20"/>
              </w:rPr>
              <w:t>53.81</w:t>
            </w:r>
          </w:p>
        </w:tc>
      </w:tr>
      <w:tr w:rsidR="007C5447">
        <w:trPr>
          <w:trHeight w:val="369"/>
        </w:trPr>
        <w:tc>
          <w:tcPr>
            <w:tcW w:w="708" w:type="dxa"/>
          </w:tcPr>
          <w:p w:rsidR="007C5447" w:rsidRDefault="00F6308C">
            <w:pPr>
              <w:pStyle w:val="TableParagraph"/>
              <w:spacing w:before="70"/>
              <w:ind w:left="1"/>
              <w:jc w:val="center"/>
              <w:rPr>
                <w:sz w:val="20"/>
              </w:rPr>
            </w:pPr>
            <w:r>
              <w:rPr>
                <w:w w:val="99"/>
                <w:sz w:val="20"/>
              </w:rPr>
              <w:t>4</w:t>
            </w:r>
          </w:p>
        </w:tc>
        <w:tc>
          <w:tcPr>
            <w:tcW w:w="2688" w:type="dxa"/>
          </w:tcPr>
          <w:p w:rsidR="007C5447" w:rsidRDefault="00F6308C">
            <w:pPr>
              <w:pStyle w:val="TableParagraph"/>
              <w:spacing w:before="70"/>
              <w:ind w:left="105"/>
              <w:jc w:val="left"/>
              <w:rPr>
                <w:sz w:val="20"/>
              </w:rPr>
            </w:pPr>
            <w:r>
              <w:rPr>
                <w:sz w:val="20"/>
              </w:rPr>
              <w:t>North Chennai TPS</w:t>
            </w:r>
          </w:p>
        </w:tc>
        <w:tc>
          <w:tcPr>
            <w:tcW w:w="1400" w:type="dxa"/>
          </w:tcPr>
          <w:p w:rsidR="007C5447" w:rsidRDefault="00F6308C">
            <w:pPr>
              <w:pStyle w:val="TableParagraph"/>
              <w:spacing w:before="70"/>
              <w:ind w:right="96"/>
              <w:rPr>
                <w:sz w:val="20"/>
              </w:rPr>
            </w:pPr>
            <w:r>
              <w:rPr>
                <w:sz w:val="20"/>
              </w:rPr>
              <w:t>64.79</w:t>
            </w:r>
          </w:p>
        </w:tc>
        <w:tc>
          <w:tcPr>
            <w:tcW w:w="1795" w:type="dxa"/>
          </w:tcPr>
          <w:p w:rsidR="007C5447" w:rsidRDefault="00F6308C">
            <w:pPr>
              <w:pStyle w:val="TableParagraph"/>
              <w:spacing w:before="70"/>
              <w:ind w:right="98"/>
              <w:rPr>
                <w:sz w:val="20"/>
              </w:rPr>
            </w:pPr>
            <w:r>
              <w:rPr>
                <w:w w:val="95"/>
                <w:sz w:val="20"/>
              </w:rPr>
              <w:t>121.94</w:t>
            </w:r>
          </w:p>
        </w:tc>
        <w:tc>
          <w:tcPr>
            <w:tcW w:w="1467" w:type="dxa"/>
          </w:tcPr>
          <w:p w:rsidR="007C5447" w:rsidRDefault="00F6308C">
            <w:pPr>
              <w:pStyle w:val="TableParagraph"/>
              <w:spacing w:before="70"/>
              <w:ind w:right="96"/>
              <w:rPr>
                <w:sz w:val="20"/>
              </w:rPr>
            </w:pPr>
            <w:r>
              <w:rPr>
                <w:w w:val="95"/>
                <w:sz w:val="20"/>
              </w:rPr>
              <w:t>115.18</w:t>
            </w:r>
          </w:p>
        </w:tc>
        <w:tc>
          <w:tcPr>
            <w:tcW w:w="1272" w:type="dxa"/>
          </w:tcPr>
          <w:p w:rsidR="007C5447" w:rsidRDefault="00F6308C">
            <w:pPr>
              <w:pStyle w:val="TableParagraph"/>
              <w:spacing w:before="14"/>
              <w:ind w:right="93"/>
              <w:rPr>
                <w:sz w:val="20"/>
              </w:rPr>
            </w:pPr>
            <w:r>
              <w:rPr>
                <w:sz w:val="20"/>
              </w:rPr>
              <w:t>66.58</w:t>
            </w:r>
          </w:p>
        </w:tc>
        <w:tc>
          <w:tcPr>
            <w:tcW w:w="1707" w:type="dxa"/>
          </w:tcPr>
          <w:p w:rsidR="007C5447" w:rsidRDefault="00F6308C">
            <w:pPr>
              <w:pStyle w:val="TableParagraph"/>
              <w:spacing w:before="70"/>
              <w:ind w:right="101"/>
              <w:rPr>
                <w:sz w:val="20"/>
              </w:rPr>
            </w:pPr>
            <w:r>
              <w:rPr>
                <w:w w:val="95"/>
                <w:sz w:val="20"/>
              </w:rPr>
              <w:t>49.80</w:t>
            </w:r>
          </w:p>
        </w:tc>
        <w:tc>
          <w:tcPr>
            <w:tcW w:w="1450" w:type="dxa"/>
          </w:tcPr>
          <w:p w:rsidR="007C5447" w:rsidRDefault="00F6308C">
            <w:pPr>
              <w:pStyle w:val="TableParagraph"/>
              <w:spacing w:before="70"/>
              <w:ind w:right="96"/>
              <w:rPr>
                <w:sz w:val="20"/>
              </w:rPr>
            </w:pPr>
            <w:r>
              <w:rPr>
                <w:sz w:val="20"/>
              </w:rPr>
              <w:t>70.85</w:t>
            </w:r>
          </w:p>
        </w:tc>
      </w:tr>
      <w:tr w:rsidR="007C5447">
        <w:trPr>
          <w:trHeight w:val="369"/>
        </w:trPr>
        <w:tc>
          <w:tcPr>
            <w:tcW w:w="708" w:type="dxa"/>
          </w:tcPr>
          <w:p w:rsidR="007C5447" w:rsidRDefault="00F6308C">
            <w:pPr>
              <w:pStyle w:val="TableParagraph"/>
              <w:spacing w:before="70"/>
              <w:ind w:left="1"/>
              <w:jc w:val="center"/>
              <w:rPr>
                <w:sz w:val="20"/>
              </w:rPr>
            </w:pPr>
            <w:r>
              <w:rPr>
                <w:w w:val="99"/>
                <w:sz w:val="20"/>
              </w:rPr>
              <w:t>5</w:t>
            </w:r>
          </w:p>
        </w:tc>
        <w:tc>
          <w:tcPr>
            <w:tcW w:w="2688" w:type="dxa"/>
          </w:tcPr>
          <w:p w:rsidR="007C5447" w:rsidRDefault="00F6308C">
            <w:pPr>
              <w:pStyle w:val="TableParagraph"/>
              <w:spacing w:before="70"/>
              <w:ind w:left="105"/>
              <w:jc w:val="left"/>
              <w:rPr>
                <w:sz w:val="20"/>
              </w:rPr>
            </w:pPr>
            <w:r>
              <w:rPr>
                <w:sz w:val="20"/>
              </w:rPr>
              <w:t>Mettur TPS Stage III</w:t>
            </w:r>
          </w:p>
        </w:tc>
        <w:tc>
          <w:tcPr>
            <w:tcW w:w="1400" w:type="dxa"/>
          </w:tcPr>
          <w:p w:rsidR="007C5447" w:rsidRDefault="00F6308C">
            <w:pPr>
              <w:pStyle w:val="TableParagraph"/>
              <w:spacing w:before="70"/>
              <w:ind w:right="96"/>
              <w:rPr>
                <w:sz w:val="20"/>
              </w:rPr>
            </w:pPr>
            <w:r>
              <w:rPr>
                <w:w w:val="95"/>
                <w:sz w:val="20"/>
              </w:rPr>
              <w:t>170.67</w:t>
            </w:r>
          </w:p>
        </w:tc>
        <w:tc>
          <w:tcPr>
            <w:tcW w:w="1795" w:type="dxa"/>
          </w:tcPr>
          <w:p w:rsidR="007C5447" w:rsidRDefault="00F6308C">
            <w:pPr>
              <w:pStyle w:val="TableParagraph"/>
              <w:spacing w:before="70"/>
              <w:ind w:right="94"/>
              <w:rPr>
                <w:sz w:val="20"/>
              </w:rPr>
            </w:pPr>
            <w:r>
              <w:rPr>
                <w:w w:val="99"/>
                <w:sz w:val="20"/>
              </w:rPr>
              <w:t>-</w:t>
            </w:r>
          </w:p>
        </w:tc>
        <w:tc>
          <w:tcPr>
            <w:tcW w:w="1467" w:type="dxa"/>
          </w:tcPr>
          <w:p w:rsidR="007C5447" w:rsidRDefault="00F6308C">
            <w:pPr>
              <w:pStyle w:val="TableParagraph"/>
              <w:spacing w:before="70"/>
              <w:ind w:right="96"/>
              <w:rPr>
                <w:sz w:val="20"/>
              </w:rPr>
            </w:pPr>
            <w:r>
              <w:rPr>
                <w:w w:val="95"/>
                <w:sz w:val="20"/>
              </w:rPr>
              <w:t>138.19</w:t>
            </w:r>
          </w:p>
        </w:tc>
        <w:tc>
          <w:tcPr>
            <w:tcW w:w="1272" w:type="dxa"/>
          </w:tcPr>
          <w:p w:rsidR="007C5447" w:rsidRDefault="00F6308C">
            <w:pPr>
              <w:pStyle w:val="TableParagraph"/>
              <w:spacing w:before="70"/>
              <w:ind w:right="93"/>
              <w:rPr>
                <w:sz w:val="20"/>
              </w:rPr>
            </w:pPr>
            <w:r>
              <w:rPr>
                <w:w w:val="95"/>
                <w:sz w:val="20"/>
              </w:rPr>
              <w:t>127.49</w:t>
            </w:r>
          </w:p>
        </w:tc>
        <w:tc>
          <w:tcPr>
            <w:tcW w:w="1707" w:type="dxa"/>
          </w:tcPr>
          <w:p w:rsidR="007C5447" w:rsidRDefault="00F6308C">
            <w:pPr>
              <w:pStyle w:val="TableParagraph"/>
              <w:spacing w:before="70"/>
              <w:ind w:right="101"/>
              <w:rPr>
                <w:sz w:val="20"/>
              </w:rPr>
            </w:pPr>
            <w:r>
              <w:rPr>
                <w:w w:val="95"/>
                <w:sz w:val="20"/>
              </w:rPr>
              <w:t>171.24</w:t>
            </w:r>
          </w:p>
        </w:tc>
        <w:tc>
          <w:tcPr>
            <w:tcW w:w="1450" w:type="dxa"/>
          </w:tcPr>
          <w:p w:rsidR="007C5447" w:rsidRDefault="00F6308C">
            <w:pPr>
              <w:pStyle w:val="TableParagraph"/>
              <w:spacing w:before="70"/>
              <w:ind w:right="96"/>
              <w:rPr>
                <w:sz w:val="20"/>
              </w:rPr>
            </w:pPr>
            <w:r>
              <w:rPr>
                <w:w w:val="95"/>
                <w:sz w:val="20"/>
              </w:rPr>
              <w:t>150.73</w:t>
            </w:r>
          </w:p>
        </w:tc>
      </w:tr>
      <w:tr w:rsidR="007C5447">
        <w:trPr>
          <w:trHeight w:val="371"/>
        </w:trPr>
        <w:tc>
          <w:tcPr>
            <w:tcW w:w="708" w:type="dxa"/>
          </w:tcPr>
          <w:p w:rsidR="007C5447" w:rsidRDefault="00F6308C">
            <w:pPr>
              <w:pStyle w:val="TableParagraph"/>
              <w:spacing w:before="72"/>
              <w:ind w:left="1"/>
              <w:jc w:val="center"/>
              <w:rPr>
                <w:sz w:val="20"/>
              </w:rPr>
            </w:pPr>
            <w:r>
              <w:rPr>
                <w:w w:val="99"/>
                <w:sz w:val="20"/>
              </w:rPr>
              <w:t>6</w:t>
            </w:r>
          </w:p>
        </w:tc>
        <w:tc>
          <w:tcPr>
            <w:tcW w:w="2688" w:type="dxa"/>
          </w:tcPr>
          <w:p w:rsidR="007C5447" w:rsidRDefault="00F6308C">
            <w:pPr>
              <w:pStyle w:val="TableParagraph"/>
              <w:spacing w:before="72"/>
              <w:ind w:left="105"/>
              <w:jc w:val="left"/>
              <w:rPr>
                <w:sz w:val="20"/>
              </w:rPr>
            </w:pPr>
            <w:r>
              <w:rPr>
                <w:sz w:val="20"/>
              </w:rPr>
              <w:t>NCTPS Stage II</w:t>
            </w:r>
          </w:p>
        </w:tc>
        <w:tc>
          <w:tcPr>
            <w:tcW w:w="1400" w:type="dxa"/>
          </w:tcPr>
          <w:p w:rsidR="007C5447" w:rsidRDefault="00F6308C">
            <w:pPr>
              <w:pStyle w:val="TableParagraph"/>
              <w:spacing w:before="72"/>
              <w:ind w:right="96"/>
              <w:rPr>
                <w:sz w:val="20"/>
              </w:rPr>
            </w:pPr>
            <w:r>
              <w:rPr>
                <w:w w:val="95"/>
                <w:sz w:val="20"/>
              </w:rPr>
              <w:t>275.48</w:t>
            </w:r>
          </w:p>
        </w:tc>
        <w:tc>
          <w:tcPr>
            <w:tcW w:w="1795" w:type="dxa"/>
          </w:tcPr>
          <w:p w:rsidR="007C5447" w:rsidRDefault="00F6308C">
            <w:pPr>
              <w:pStyle w:val="TableParagraph"/>
              <w:spacing w:before="72"/>
              <w:ind w:right="94"/>
              <w:rPr>
                <w:sz w:val="20"/>
              </w:rPr>
            </w:pPr>
            <w:r>
              <w:rPr>
                <w:w w:val="99"/>
                <w:sz w:val="20"/>
              </w:rPr>
              <w:t>-</w:t>
            </w:r>
          </w:p>
        </w:tc>
        <w:tc>
          <w:tcPr>
            <w:tcW w:w="1467" w:type="dxa"/>
          </w:tcPr>
          <w:p w:rsidR="007C5447" w:rsidRDefault="007C5447">
            <w:pPr>
              <w:pStyle w:val="TableParagraph"/>
              <w:jc w:val="left"/>
              <w:rPr>
                <w:sz w:val="20"/>
              </w:rPr>
            </w:pPr>
          </w:p>
        </w:tc>
        <w:tc>
          <w:tcPr>
            <w:tcW w:w="1272" w:type="dxa"/>
          </w:tcPr>
          <w:p w:rsidR="007C5447" w:rsidRDefault="00F6308C">
            <w:pPr>
              <w:pStyle w:val="TableParagraph"/>
              <w:spacing w:before="72"/>
              <w:ind w:right="93"/>
              <w:rPr>
                <w:sz w:val="20"/>
              </w:rPr>
            </w:pPr>
            <w:r>
              <w:rPr>
                <w:w w:val="95"/>
                <w:sz w:val="20"/>
              </w:rPr>
              <w:t>187.69</w:t>
            </w:r>
          </w:p>
        </w:tc>
        <w:tc>
          <w:tcPr>
            <w:tcW w:w="1707" w:type="dxa"/>
          </w:tcPr>
          <w:p w:rsidR="007C5447" w:rsidRDefault="00F6308C">
            <w:pPr>
              <w:pStyle w:val="TableParagraph"/>
              <w:spacing w:before="72"/>
              <w:ind w:right="101"/>
              <w:rPr>
                <w:sz w:val="20"/>
              </w:rPr>
            </w:pPr>
            <w:r>
              <w:rPr>
                <w:w w:val="95"/>
                <w:sz w:val="20"/>
              </w:rPr>
              <w:t>372.15</w:t>
            </w:r>
          </w:p>
        </w:tc>
        <w:tc>
          <w:tcPr>
            <w:tcW w:w="1450" w:type="dxa"/>
          </w:tcPr>
          <w:p w:rsidR="007C5447" w:rsidRDefault="00F6308C">
            <w:pPr>
              <w:pStyle w:val="TableParagraph"/>
              <w:spacing w:before="72"/>
              <w:ind w:right="96"/>
              <w:rPr>
                <w:sz w:val="20"/>
              </w:rPr>
            </w:pPr>
            <w:r>
              <w:rPr>
                <w:w w:val="95"/>
                <w:sz w:val="20"/>
              </w:rPr>
              <w:t>285.73</w:t>
            </w:r>
          </w:p>
        </w:tc>
      </w:tr>
      <w:tr w:rsidR="007C5447">
        <w:trPr>
          <w:trHeight w:val="369"/>
        </w:trPr>
        <w:tc>
          <w:tcPr>
            <w:tcW w:w="708" w:type="dxa"/>
          </w:tcPr>
          <w:p w:rsidR="007C5447" w:rsidRDefault="00F6308C">
            <w:pPr>
              <w:pStyle w:val="TableParagraph"/>
              <w:spacing w:before="70"/>
              <w:ind w:left="1"/>
              <w:jc w:val="center"/>
              <w:rPr>
                <w:sz w:val="20"/>
              </w:rPr>
            </w:pPr>
            <w:r>
              <w:rPr>
                <w:w w:val="99"/>
                <w:sz w:val="20"/>
              </w:rPr>
              <w:t>7</w:t>
            </w:r>
          </w:p>
        </w:tc>
        <w:tc>
          <w:tcPr>
            <w:tcW w:w="2688" w:type="dxa"/>
          </w:tcPr>
          <w:p w:rsidR="007C5447" w:rsidRDefault="00F6308C">
            <w:pPr>
              <w:pStyle w:val="TableParagraph"/>
              <w:spacing w:before="70"/>
              <w:ind w:left="105"/>
              <w:jc w:val="left"/>
              <w:rPr>
                <w:sz w:val="20"/>
              </w:rPr>
            </w:pPr>
            <w:r>
              <w:rPr>
                <w:sz w:val="20"/>
              </w:rPr>
              <w:t>Tirumakottai GTPS</w:t>
            </w:r>
          </w:p>
        </w:tc>
        <w:tc>
          <w:tcPr>
            <w:tcW w:w="1400" w:type="dxa"/>
          </w:tcPr>
          <w:p w:rsidR="007C5447" w:rsidRDefault="00F6308C">
            <w:pPr>
              <w:pStyle w:val="TableParagraph"/>
              <w:spacing w:before="70"/>
              <w:ind w:right="96"/>
              <w:rPr>
                <w:sz w:val="20"/>
              </w:rPr>
            </w:pPr>
            <w:r>
              <w:rPr>
                <w:sz w:val="20"/>
              </w:rPr>
              <w:t>16.34</w:t>
            </w:r>
          </w:p>
        </w:tc>
        <w:tc>
          <w:tcPr>
            <w:tcW w:w="1795" w:type="dxa"/>
          </w:tcPr>
          <w:p w:rsidR="007C5447" w:rsidRDefault="00F6308C">
            <w:pPr>
              <w:pStyle w:val="TableParagraph"/>
              <w:spacing w:before="70"/>
              <w:ind w:right="98"/>
              <w:rPr>
                <w:sz w:val="20"/>
              </w:rPr>
            </w:pPr>
            <w:r>
              <w:rPr>
                <w:w w:val="95"/>
                <w:sz w:val="20"/>
              </w:rPr>
              <w:t>24.21</w:t>
            </w:r>
          </w:p>
        </w:tc>
        <w:tc>
          <w:tcPr>
            <w:tcW w:w="1467" w:type="dxa"/>
          </w:tcPr>
          <w:p w:rsidR="007C5447" w:rsidRDefault="00F6308C">
            <w:pPr>
              <w:pStyle w:val="TableParagraph"/>
              <w:spacing w:before="70"/>
              <w:ind w:right="96"/>
              <w:rPr>
                <w:sz w:val="20"/>
              </w:rPr>
            </w:pPr>
            <w:r>
              <w:rPr>
                <w:sz w:val="20"/>
              </w:rPr>
              <w:t>24.11</w:t>
            </w:r>
          </w:p>
        </w:tc>
        <w:tc>
          <w:tcPr>
            <w:tcW w:w="1272" w:type="dxa"/>
          </w:tcPr>
          <w:p w:rsidR="007C5447" w:rsidRDefault="00F6308C">
            <w:pPr>
              <w:pStyle w:val="TableParagraph"/>
              <w:spacing w:before="70"/>
              <w:ind w:right="93"/>
              <w:rPr>
                <w:sz w:val="20"/>
              </w:rPr>
            </w:pPr>
            <w:r>
              <w:rPr>
                <w:sz w:val="20"/>
              </w:rPr>
              <w:t>16.55</w:t>
            </w:r>
          </w:p>
        </w:tc>
        <w:tc>
          <w:tcPr>
            <w:tcW w:w="1707" w:type="dxa"/>
          </w:tcPr>
          <w:p w:rsidR="007C5447" w:rsidRDefault="00F6308C">
            <w:pPr>
              <w:pStyle w:val="TableParagraph"/>
              <w:spacing w:before="70"/>
              <w:ind w:right="101"/>
              <w:rPr>
                <w:sz w:val="20"/>
              </w:rPr>
            </w:pPr>
            <w:r>
              <w:rPr>
                <w:w w:val="95"/>
                <w:sz w:val="20"/>
              </w:rPr>
              <w:t>19.14</w:t>
            </w:r>
          </w:p>
        </w:tc>
        <w:tc>
          <w:tcPr>
            <w:tcW w:w="1450" w:type="dxa"/>
          </w:tcPr>
          <w:p w:rsidR="007C5447" w:rsidRDefault="00F6308C">
            <w:pPr>
              <w:pStyle w:val="TableParagraph"/>
              <w:spacing w:before="70"/>
              <w:ind w:right="96"/>
              <w:rPr>
                <w:sz w:val="20"/>
              </w:rPr>
            </w:pPr>
            <w:r>
              <w:rPr>
                <w:sz w:val="20"/>
              </w:rPr>
              <w:t>27.41</w:t>
            </w:r>
          </w:p>
        </w:tc>
      </w:tr>
      <w:tr w:rsidR="007C5447">
        <w:trPr>
          <w:trHeight w:val="369"/>
        </w:trPr>
        <w:tc>
          <w:tcPr>
            <w:tcW w:w="708" w:type="dxa"/>
          </w:tcPr>
          <w:p w:rsidR="007C5447" w:rsidRDefault="00F6308C">
            <w:pPr>
              <w:pStyle w:val="TableParagraph"/>
              <w:spacing w:before="70"/>
              <w:ind w:left="1"/>
              <w:jc w:val="center"/>
              <w:rPr>
                <w:sz w:val="20"/>
              </w:rPr>
            </w:pPr>
            <w:r>
              <w:rPr>
                <w:w w:val="99"/>
                <w:sz w:val="20"/>
              </w:rPr>
              <w:t>8</w:t>
            </w:r>
          </w:p>
        </w:tc>
        <w:tc>
          <w:tcPr>
            <w:tcW w:w="2688" w:type="dxa"/>
          </w:tcPr>
          <w:p w:rsidR="007C5447" w:rsidRDefault="00F6308C">
            <w:pPr>
              <w:pStyle w:val="TableParagraph"/>
              <w:spacing w:before="70"/>
              <w:ind w:left="105"/>
              <w:jc w:val="left"/>
              <w:rPr>
                <w:sz w:val="20"/>
              </w:rPr>
            </w:pPr>
            <w:r>
              <w:rPr>
                <w:sz w:val="20"/>
              </w:rPr>
              <w:t>Kuttalam GTPS</w:t>
            </w:r>
          </w:p>
        </w:tc>
        <w:tc>
          <w:tcPr>
            <w:tcW w:w="1400" w:type="dxa"/>
          </w:tcPr>
          <w:p w:rsidR="007C5447" w:rsidRDefault="00F6308C">
            <w:pPr>
              <w:pStyle w:val="TableParagraph"/>
              <w:spacing w:before="70"/>
              <w:ind w:right="96"/>
              <w:rPr>
                <w:sz w:val="20"/>
              </w:rPr>
            </w:pPr>
            <w:r>
              <w:rPr>
                <w:sz w:val="20"/>
              </w:rPr>
              <w:t>17.71</w:t>
            </w:r>
          </w:p>
        </w:tc>
        <w:tc>
          <w:tcPr>
            <w:tcW w:w="1795" w:type="dxa"/>
          </w:tcPr>
          <w:p w:rsidR="007C5447" w:rsidRDefault="00F6308C">
            <w:pPr>
              <w:pStyle w:val="TableParagraph"/>
              <w:spacing w:before="70"/>
              <w:ind w:right="98"/>
              <w:rPr>
                <w:sz w:val="20"/>
              </w:rPr>
            </w:pPr>
            <w:r>
              <w:rPr>
                <w:w w:val="95"/>
                <w:sz w:val="20"/>
              </w:rPr>
              <w:t>25.08</w:t>
            </w:r>
          </w:p>
        </w:tc>
        <w:tc>
          <w:tcPr>
            <w:tcW w:w="1467" w:type="dxa"/>
          </w:tcPr>
          <w:p w:rsidR="007C5447" w:rsidRDefault="00F6308C">
            <w:pPr>
              <w:pStyle w:val="TableParagraph"/>
              <w:spacing w:before="70"/>
              <w:ind w:right="96"/>
              <w:rPr>
                <w:sz w:val="20"/>
              </w:rPr>
            </w:pPr>
            <w:r>
              <w:rPr>
                <w:sz w:val="20"/>
              </w:rPr>
              <w:t>23.12</w:t>
            </w:r>
          </w:p>
        </w:tc>
        <w:tc>
          <w:tcPr>
            <w:tcW w:w="1272" w:type="dxa"/>
          </w:tcPr>
          <w:p w:rsidR="007C5447" w:rsidRDefault="00F6308C">
            <w:pPr>
              <w:pStyle w:val="TableParagraph"/>
              <w:spacing w:before="70"/>
              <w:ind w:right="93"/>
              <w:rPr>
                <w:sz w:val="20"/>
              </w:rPr>
            </w:pPr>
            <w:r>
              <w:rPr>
                <w:sz w:val="20"/>
              </w:rPr>
              <w:t>17.86</w:t>
            </w:r>
          </w:p>
        </w:tc>
        <w:tc>
          <w:tcPr>
            <w:tcW w:w="1707" w:type="dxa"/>
          </w:tcPr>
          <w:p w:rsidR="007C5447" w:rsidRDefault="00F6308C">
            <w:pPr>
              <w:pStyle w:val="TableParagraph"/>
              <w:spacing w:before="70"/>
              <w:ind w:right="101"/>
              <w:rPr>
                <w:sz w:val="20"/>
              </w:rPr>
            </w:pPr>
            <w:r>
              <w:rPr>
                <w:w w:val="95"/>
                <w:sz w:val="20"/>
              </w:rPr>
              <w:t>24.38</w:t>
            </w:r>
          </w:p>
        </w:tc>
        <w:tc>
          <w:tcPr>
            <w:tcW w:w="1450" w:type="dxa"/>
          </w:tcPr>
          <w:p w:rsidR="007C5447" w:rsidRDefault="00F6308C">
            <w:pPr>
              <w:pStyle w:val="TableParagraph"/>
              <w:spacing w:before="70"/>
              <w:ind w:right="96"/>
              <w:rPr>
                <w:sz w:val="20"/>
              </w:rPr>
            </w:pPr>
            <w:r>
              <w:rPr>
                <w:sz w:val="20"/>
              </w:rPr>
              <w:t>26.62</w:t>
            </w:r>
          </w:p>
        </w:tc>
      </w:tr>
      <w:tr w:rsidR="007C5447">
        <w:trPr>
          <w:trHeight w:val="371"/>
        </w:trPr>
        <w:tc>
          <w:tcPr>
            <w:tcW w:w="708" w:type="dxa"/>
          </w:tcPr>
          <w:p w:rsidR="007C5447" w:rsidRDefault="00F6308C">
            <w:pPr>
              <w:pStyle w:val="TableParagraph"/>
              <w:spacing w:before="72"/>
              <w:ind w:left="1"/>
              <w:jc w:val="center"/>
              <w:rPr>
                <w:sz w:val="20"/>
              </w:rPr>
            </w:pPr>
            <w:r>
              <w:rPr>
                <w:w w:val="99"/>
                <w:sz w:val="20"/>
              </w:rPr>
              <w:t>9</w:t>
            </w:r>
          </w:p>
        </w:tc>
        <w:tc>
          <w:tcPr>
            <w:tcW w:w="2688" w:type="dxa"/>
          </w:tcPr>
          <w:p w:rsidR="007C5447" w:rsidRDefault="00F6308C">
            <w:pPr>
              <w:pStyle w:val="TableParagraph"/>
              <w:spacing w:before="72"/>
              <w:ind w:left="105"/>
              <w:jc w:val="left"/>
              <w:rPr>
                <w:sz w:val="20"/>
              </w:rPr>
            </w:pPr>
            <w:r>
              <w:rPr>
                <w:sz w:val="20"/>
              </w:rPr>
              <w:t>Basin Bridge GTPS</w:t>
            </w:r>
          </w:p>
        </w:tc>
        <w:tc>
          <w:tcPr>
            <w:tcW w:w="1400" w:type="dxa"/>
          </w:tcPr>
          <w:p w:rsidR="007C5447" w:rsidRDefault="00F6308C">
            <w:pPr>
              <w:pStyle w:val="TableParagraph"/>
              <w:spacing w:before="72"/>
              <w:ind w:right="96"/>
              <w:rPr>
                <w:sz w:val="20"/>
              </w:rPr>
            </w:pPr>
            <w:r>
              <w:rPr>
                <w:sz w:val="20"/>
              </w:rPr>
              <w:t>19.81</w:t>
            </w:r>
          </w:p>
        </w:tc>
        <w:tc>
          <w:tcPr>
            <w:tcW w:w="1795" w:type="dxa"/>
          </w:tcPr>
          <w:p w:rsidR="007C5447" w:rsidRDefault="00F6308C">
            <w:pPr>
              <w:pStyle w:val="TableParagraph"/>
              <w:spacing w:before="72"/>
              <w:ind w:right="98"/>
              <w:rPr>
                <w:sz w:val="20"/>
              </w:rPr>
            </w:pPr>
            <w:r>
              <w:rPr>
                <w:w w:val="95"/>
                <w:sz w:val="20"/>
              </w:rPr>
              <w:t>29.37</w:t>
            </w:r>
          </w:p>
        </w:tc>
        <w:tc>
          <w:tcPr>
            <w:tcW w:w="1467" w:type="dxa"/>
          </w:tcPr>
          <w:p w:rsidR="007C5447" w:rsidRDefault="00F6308C">
            <w:pPr>
              <w:pStyle w:val="TableParagraph"/>
              <w:spacing w:before="72"/>
              <w:ind w:right="96"/>
              <w:rPr>
                <w:sz w:val="20"/>
              </w:rPr>
            </w:pPr>
            <w:r>
              <w:rPr>
                <w:sz w:val="20"/>
              </w:rPr>
              <w:t>29.59</w:t>
            </w:r>
          </w:p>
        </w:tc>
        <w:tc>
          <w:tcPr>
            <w:tcW w:w="1272" w:type="dxa"/>
          </w:tcPr>
          <w:p w:rsidR="007C5447" w:rsidRDefault="00F6308C">
            <w:pPr>
              <w:pStyle w:val="TableParagraph"/>
              <w:spacing w:before="72"/>
              <w:ind w:right="93"/>
              <w:rPr>
                <w:sz w:val="20"/>
              </w:rPr>
            </w:pPr>
            <w:r>
              <w:rPr>
                <w:sz w:val="20"/>
              </w:rPr>
              <w:t>19.91</w:t>
            </w:r>
          </w:p>
        </w:tc>
        <w:tc>
          <w:tcPr>
            <w:tcW w:w="1707" w:type="dxa"/>
          </w:tcPr>
          <w:p w:rsidR="007C5447" w:rsidRDefault="00F6308C">
            <w:pPr>
              <w:pStyle w:val="TableParagraph"/>
              <w:spacing w:before="72"/>
              <w:ind w:right="101"/>
              <w:rPr>
                <w:sz w:val="20"/>
              </w:rPr>
            </w:pPr>
            <w:r>
              <w:rPr>
                <w:sz w:val="20"/>
              </w:rPr>
              <w:t>2.20</w:t>
            </w:r>
          </w:p>
        </w:tc>
        <w:tc>
          <w:tcPr>
            <w:tcW w:w="1450" w:type="dxa"/>
          </w:tcPr>
          <w:p w:rsidR="007C5447" w:rsidRDefault="00F6308C">
            <w:pPr>
              <w:pStyle w:val="TableParagraph"/>
              <w:spacing w:before="72"/>
              <w:ind w:right="96"/>
              <w:rPr>
                <w:sz w:val="20"/>
              </w:rPr>
            </w:pPr>
            <w:r>
              <w:rPr>
                <w:sz w:val="20"/>
              </w:rPr>
              <w:t>29.55</w:t>
            </w:r>
          </w:p>
        </w:tc>
      </w:tr>
      <w:tr w:rsidR="007C5447">
        <w:trPr>
          <w:trHeight w:val="369"/>
        </w:trPr>
        <w:tc>
          <w:tcPr>
            <w:tcW w:w="708" w:type="dxa"/>
          </w:tcPr>
          <w:p w:rsidR="007C5447" w:rsidRDefault="00F6308C">
            <w:pPr>
              <w:pStyle w:val="TableParagraph"/>
              <w:spacing w:before="70"/>
              <w:ind w:left="97" w:right="90"/>
              <w:jc w:val="center"/>
              <w:rPr>
                <w:sz w:val="20"/>
              </w:rPr>
            </w:pPr>
            <w:r>
              <w:rPr>
                <w:sz w:val="20"/>
              </w:rPr>
              <w:t>10</w:t>
            </w:r>
          </w:p>
        </w:tc>
        <w:tc>
          <w:tcPr>
            <w:tcW w:w="2688" w:type="dxa"/>
          </w:tcPr>
          <w:p w:rsidR="007C5447" w:rsidRDefault="00F6308C">
            <w:pPr>
              <w:pStyle w:val="TableParagraph"/>
              <w:spacing w:before="70"/>
              <w:ind w:left="105"/>
              <w:jc w:val="left"/>
              <w:rPr>
                <w:sz w:val="20"/>
              </w:rPr>
            </w:pPr>
            <w:r>
              <w:rPr>
                <w:sz w:val="20"/>
              </w:rPr>
              <w:t>Valuthur Unit-I</w:t>
            </w:r>
          </w:p>
        </w:tc>
        <w:tc>
          <w:tcPr>
            <w:tcW w:w="1400" w:type="dxa"/>
          </w:tcPr>
          <w:p w:rsidR="007C5447" w:rsidRDefault="00F6308C">
            <w:pPr>
              <w:pStyle w:val="TableParagraph"/>
              <w:spacing w:before="70"/>
              <w:ind w:right="95"/>
              <w:rPr>
                <w:sz w:val="20"/>
              </w:rPr>
            </w:pPr>
            <w:r>
              <w:rPr>
                <w:sz w:val="20"/>
              </w:rPr>
              <w:t>22.30</w:t>
            </w:r>
          </w:p>
        </w:tc>
        <w:tc>
          <w:tcPr>
            <w:tcW w:w="1795" w:type="dxa"/>
          </w:tcPr>
          <w:p w:rsidR="007C5447" w:rsidRDefault="00F6308C">
            <w:pPr>
              <w:pStyle w:val="TableParagraph"/>
              <w:spacing w:before="70"/>
              <w:ind w:right="97"/>
              <w:rPr>
                <w:sz w:val="20"/>
              </w:rPr>
            </w:pPr>
            <w:r>
              <w:rPr>
                <w:w w:val="95"/>
                <w:sz w:val="20"/>
              </w:rPr>
              <w:t>30.95</w:t>
            </w:r>
          </w:p>
        </w:tc>
        <w:tc>
          <w:tcPr>
            <w:tcW w:w="1467" w:type="dxa"/>
          </w:tcPr>
          <w:p w:rsidR="007C5447" w:rsidRDefault="00F6308C">
            <w:pPr>
              <w:pStyle w:val="TableParagraph"/>
              <w:spacing w:before="70"/>
              <w:ind w:right="96"/>
              <w:rPr>
                <w:sz w:val="20"/>
              </w:rPr>
            </w:pPr>
            <w:r>
              <w:rPr>
                <w:sz w:val="20"/>
              </w:rPr>
              <w:t>31.59</w:t>
            </w:r>
          </w:p>
        </w:tc>
        <w:tc>
          <w:tcPr>
            <w:tcW w:w="1272" w:type="dxa"/>
          </w:tcPr>
          <w:p w:rsidR="007C5447" w:rsidRDefault="00F6308C">
            <w:pPr>
              <w:pStyle w:val="TableParagraph"/>
              <w:spacing w:before="70"/>
              <w:ind w:right="93"/>
              <w:rPr>
                <w:sz w:val="20"/>
              </w:rPr>
            </w:pPr>
            <w:r>
              <w:rPr>
                <w:sz w:val="20"/>
              </w:rPr>
              <w:t>22.50</w:t>
            </w:r>
          </w:p>
        </w:tc>
        <w:tc>
          <w:tcPr>
            <w:tcW w:w="1707" w:type="dxa"/>
          </w:tcPr>
          <w:p w:rsidR="007C5447" w:rsidRDefault="00F6308C">
            <w:pPr>
              <w:pStyle w:val="TableParagraph"/>
              <w:spacing w:before="70"/>
              <w:ind w:right="101"/>
              <w:rPr>
                <w:sz w:val="20"/>
              </w:rPr>
            </w:pPr>
            <w:r>
              <w:rPr>
                <w:w w:val="95"/>
                <w:sz w:val="20"/>
              </w:rPr>
              <w:t>49.49</w:t>
            </w:r>
          </w:p>
        </w:tc>
        <w:tc>
          <w:tcPr>
            <w:tcW w:w="1450" w:type="dxa"/>
          </w:tcPr>
          <w:p w:rsidR="007C5447" w:rsidRDefault="00F6308C">
            <w:pPr>
              <w:pStyle w:val="TableParagraph"/>
              <w:spacing w:before="70"/>
              <w:ind w:right="96"/>
              <w:rPr>
                <w:sz w:val="20"/>
              </w:rPr>
            </w:pPr>
            <w:r>
              <w:rPr>
                <w:sz w:val="20"/>
              </w:rPr>
              <w:t>37.52</w:t>
            </w:r>
          </w:p>
        </w:tc>
      </w:tr>
      <w:tr w:rsidR="007C5447">
        <w:trPr>
          <w:trHeight w:val="369"/>
        </w:trPr>
        <w:tc>
          <w:tcPr>
            <w:tcW w:w="708" w:type="dxa"/>
          </w:tcPr>
          <w:p w:rsidR="007C5447" w:rsidRDefault="00F6308C">
            <w:pPr>
              <w:pStyle w:val="TableParagraph"/>
              <w:spacing w:before="70"/>
              <w:ind w:left="97" w:right="90"/>
              <w:jc w:val="center"/>
              <w:rPr>
                <w:sz w:val="20"/>
              </w:rPr>
            </w:pPr>
            <w:r>
              <w:rPr>
                <w:sz w:val="20"/>
              </w:rPr>
              <w:t>11</w:t>
            </w:r>
          </w:p>
        </w:tc>
        <w:tc>
          <w:tcPr>
            <w:tcW w:w="2688" w:type="dxa"/>
          </w:tcPr>
          <w:p w:rsidR="007C5447" w:rsidRDefault="00F6308C">
            <w:pPr>
              <w:pStyle w:val="TableParagraph"/>
              <w:spacing w:before="70"/>
              <w:ind w:left="105"/>
              <w:jc w:val="left"/>
              <w:rPr>
                <w:sz w:val="20"/>
              </w:rPr>
            </w:pPr>
            <w:r>
              <w:rPr>
                <w:sz w:val="20"/>
              </w:rPr>
              <w:t>Erode HEP</w:t>
            </w:r>
          </w:p>
        </w:tc>
        <w:tc>
          <w:tcPr>
            <w:tcW w:w="1400" w:type="dxa"/>
          </w:tcPr>
          <w:p w:rsidR="007C5447" w:rsidRDefault="00F6308C">
            <w:pPr>
              <w:pStyle w:val="TableParagraph"/>
              <w:spacing w:before="70"/>
              <w:ind w:right="96"/>
              <w:rPr>
                <w:sz w:val="20"/>
              </w:rPr>
            </w:pPr>
            <w:r>
              <w:rPr>
                <w:sz w:val="20"/>
              </w:rPr>
              <w:t>54.94</w:t>
            </w:r>
          </w:p>
        </w:tc>
        <w:tc>
          <w:tcPr>
            <w:tcW w:w="1795" w:type="dxa"/>
          </w:tcPr>
          <w:p w:rsidR="007C5447" w:rsidRDefault="00F6308C">
            <w:pPr>
              <w:pStyle w:val="TableParagraph"/>
              <w:spacing w:before="70"/>
              <w:ind w:right="98"/>
              <w:rPr>
                <w:sz w:val="20"/>
              </w:rPr>
            </w:pPr>
            <w:r>
              <w:rPr>
                <w:w w:val="95"/>
                <w:sz w:val="20"/>
              </w:rPr>
              <w:t>63.14</w:t>
            </w:r>
          </w:p>
        </w:tc>
        <w:tc>
          <w:tcPr>
            <w:tcW w:w="1467" w:type="dxa"/>
          </w:tcPr>
          <w:p w:rsidR="007C5447" w:rsidRDefault="00F6308C">
            <w:pPr>
              <w:pStyle w:val="TableParagraph"/>
              <w:spacing w:before="70"/>
              <w:ind w:right="96"/>
              <w:rPr>
                <w:sz w:val="20"/>
              </w:rPr>
            </w:pPr>
            <w:r>
              <w:rPr>
                <w:sz w:val="20"/>
              </w:rPr>
              <w:t>52.16</w:t>
            </w:r>
          </w:p>
        </w:tc>
        <w:tc>
          <w:tcPr>
            <w:tcW w:w="1272" w:type="dxa"/>
          </w:tcPr>
          <w:p w:rsidR="007C5447" w:rsidRDefault="00F6308C">
            <w:pPr>
              <w:pStyle w:val="TableParagraph"/>
              <w:spacing w:before="70"/>
              <w:ind w:right="93"/>
              <w:rPr>
                <w:sz w:val="20"/>
              </w:rPr>
            </w:pPr>
            <w:r>
              <w:rPr>
                <w:sz w:val="20"/>
              </w:rPr>
              <w:t>61.73</w:t>
            </w:r>
          </w:p>
        </w:tc>
        <w:tc>
          <w:tcPr>
            <w:tcW w:w="1707" w:type="dxa"/>
          </w:tcPr>
          <w:p w:rsidR="007C5447" w:rsidRDefault="00F6308C">
            <w:pPr>
              <w:pStyle w:val="TableParagraph"/>
              <w:spacing w:before="70"/>
              <w:ind w:right="101"/>
              <w:rPr>
                <w:sz w:val="20"/>
              </w:rPr>
            </w:pPr>
            <w:r>
              <w:rPr>
                <w:w w:val="95"/>
                <w:sz w:val="20"/>
              </w:rPr>
              <w:t>54.67</w:t>
            </w:r>
          </w:p>
        </w:tc>
        <w:tc>
          <w:tcPr>
            <w:tcW w:w="1450" w:type="dxa"/>
          </w:tcPr>
          <w:p w:rsidR="007C5447" w:rsidRDefault="00F6308C">
            <w:pPr>
              <w:pStyle w:val="TableParagraph"/>
              <w:spacing w:before="70"/>
              <w:ind w:right="96"/>
              <w:rPr>
                <w:sz w:val="20"/>
              </w:rPr>
            </w:pPr>
            <w:r>
              <w:rPr>
                <w:sz w:val="20"/>
              </w:rPr>
              <w:t>52.87</w:t>
            </w:r>
          </w:p>
        </w:tc>
      </w:tr>
      <w:tr w:rsidR="007C5447">
        <w:trPr>
          <w:trHeight w:val="371"/>
        </w:trPr>
        <w:tc>
          <w:tcPr>
            <w:tcW w:w="708" w:type="dxa"/>
          </w:tcPr>
          <w:p w:rsidR="007C5447" w:rsidRDefault="00F6308C">
            <w:pPr>
              <w:pStyle w:val="TableParagraph"/>
              <w:spacing w:before="72"/>
              <w:ind w:left="97" w:right="90"/>
              <w:jc w:val="center"/>
              <w:rPr>
                <w:sz w:val="20"/>
              </w:rPr>
            </w:pPr>
            <w:r>
              <w:rPr>
                <w:sz w:val="20"/>
              </w:rPr>
              <w:t>12</w:t>
            </w:r>
          </w:p>
        </w:tc>
        <w:tc>
          <w:tcPr>
            <w:tcW w:w="2688" w:type="dxa"/>
          </w:tcPr>
          <w:p w:rsidR="007C5447" w:rsidRDefault="00F6308C">
            <w:pPr>
              <w:pStyle w:val="TableParagraph"/>
              <w:spacing w:before="72"/>
              <w:ind w:left="105"/>
              <w:jc w:val="left"/>
              <w:rPr>
                <w:sz w:val="20"/>
              </w:rPr>
            </w:pPr>
            <w:r>
              <w:rPr>
                <w:sz w:val="20"/>
              </w:rPr>
              <w:t>Kadamparai HEP</w:t>
            </w:r>
          </w:p>
        </w:tc>
        <w:tc>
          <w:tcPr>
            <w:tcW w:w="1400" w:type="dxa"/>
          </w:tcPr>
          <w:p w:rsidR="007C5447" w:rsidRDefault="00F6308C">
            <w:pPr>
              <w:pStyle w:val="TableParagraph"/>
              <w:spacing w:before="72"/>
              <w:ind w:right="96"/>
              <w:rPr>
                <w:sz w:val="20"/>
              </w:rPr>
            </w:pPr>
            <w:r>
              <w:rPr>
                <w:sz w:val="20"/>
              </w:rPr>
              <w:t>10.60</w:t>
            </w:r>
          </w:p>
        </w:tc>
        <w:tc>
          <w:tcPr>
            <w:tcW w:w="1795" w:type="dxa"/>
          </w:tcPr>
          <w:p w:rsidR="007C5447" w:rsidRDefault="00F6308C">
            <w:pPr>
              <w:pStyle w:val="TableParagraph"/>
              <w:spacing w:before="72"/>
              <w:ind w:right="98"/>
              <w:rPr>
                <w:sz w:val="20"/>
              </w:rPr>
            </w:pPr>
            <w:r>
              <w:rPr>
                <w:w w:val="95"/>
                <w:sz w:val="20"/>
              </w:rPr>
              <w:t>20.23</w:t>
            </w:r>
          </w:p>
        </w:tc>
        <w:tc>
          <w:tcPr>
            <w:tcW w:w="1467" w:type="dxa"/>
          </w:tcPr>
          <w:p w:rsidR="007C5447" w:rsidRDefault="00F6308C">
            <w:pPr>
              <w:pStyle w:val="TableParagraph"/>
              <w:spacing w:before="72"/>
              <w:ind w:right="96"/>
              <w:rPr>
                <w:sz w:val="20"/>
              </w:rPr>
            </w:pPr>
            <w:r>
              <w:rPr>
                <w:sz w:val="20"/>
              </w:rPr>
              <w:t>19.99</w:t>
            </w:r>
          </w:p>
        </w:tc>
        <w:tc>
          <w:tcPr>
            <w:tcW w:w="1272" w:type="dxa"/>
          </w:tcPr>
          <w:p w:rsidR="007C5447" w:rsidRDefault="00F6308C">
            <w:pPr>
              <w:pStyle w:val="TableParagraph"/>
              <w:spacing w:before="72"/>
              <w:ind w:right="93"/>
              <w:rPr>
                <w:sz w:val="20"/>
              </w:rPr>
            </w:pPr>
            <w:r>
              <w:rPr>
                <w:sz w:val="20"/>
              </w:rPr>
              <w:t>10.63</w:t>
            </w:r>
          </w:p>
        </w:tc>
        <w:tc>
          <w:tcPr>
            <w:tcW w:w="1707" w:type="dxa"/>
          </w:tcPr>
          <w:p w:rsidR="007C5447" w:rsidRDefault="00F6308C">
            <w:pPr>
              <w:pStyle w:val="TableParagraph"/>
              <w:spacing w:before="72"/>
              <w:ind w:right="101"/>
              <w:rPr>
                <w:sz w:val="20"/>
              </w:rPr>
            </w:pPr>
            <w:r>
              <w:rPr>
                <w:w w:val="95"/>
                <w:sz w:val="20"/>
              </w:rPr>
              <w:t>12.15</w:t>
            </w:r>
          </w:p>
        </w:tc>
        <w:tc>
          <w:tcPr>
            <w:tcW w:w="1450" w:type="dxa"/>
          </w:tcPr>
          <w:p w:rsidR="007C5447" w:rsidRDefault="00F6308C">
            <w:pPr>
              <w:pStyle w:val="TableParagraph"/>
              <w:spacing w:before="72"/>
              <w:ind w:right="96"/>
              <w:rPr>
                <w:sz w:val="20"/>
              </w:rPr>
            </w:pPr>
            <w:r>
              <w:rPr>
                <w:sz w:val="20"/>
              </w:rPr>
              <w:t>20.37</w:t>
            </w:r>
          </w:p>
        </w:tc>
      </w:tr>
      <w:tr w:rsidR="007C5447">
        <w:trPr>
          <w:trHeight w:val="369"/>
        </w:trPr>
        <w:tc>
          <w:tcPr>
            <w:tcW w:w="708" w:type="dxa"/>
          </w:tcPr>
          <w:p w:rsidR="007C5447" w:rsidRDefault="00F6308C">
            <w:pPr>
              <w:pStyle w:val="TableParagraph"/>
              <w:spacing w:before="70"/>
              <w:ind w:left="97" w:right="90"/>
              <w:jc w:val="center"/>
              <w:rPr>
                <w:sz w:val="20"/>
              </w:rPr>
            </w:pPr>
            <w:r>
              <w:rPr>
                <w:sz w:val="20"/>
              </w:rPr>
              <w:t>13</w:t>
            </w:r>
          </w:p>
        </w:tc>
        <w:tc>
          <w:tcPr>
            <w:tcW w:w="2688" w:type="dxa"/>
          </w:tcPr>
          <w:p w:rsidR="007C5447" w:rsidRDefault="00F6308C">
            <w:pPr>
              <w:pStyle w:val="TableParagraph"/>
              <w:spacing w:before="70"/>
              <w:ind w:left="105"/>
              <w:jc w:val="left"/>
              <w:rPr>
                <w:sz w:val="20"/>
              </w:rPr>
            </w:pPr>
            <w:r>
              <w:rPr>
                <w:sz w:val="20"/>
              </w:rPr>
              <w:t>Kundah HEP</w:t>
            </w:r>
          </w:p>
        </w:tc>
        <w:tc>
          <w:tcPr>
            <w:tcW w:w="1400" w:type="dxa"/>
          </w:tcPr>
          <w:p w:rsidR="007C5447" w:rsidRDefault="00F6308C">
            <w:pPr>
              <w:pStyle w:val="TableParagraph"/>
              <w:spacing w:before="70"/>
              <w:ind w:right="96"/>
              <w:rPr>
                <w:sz w:val="20"/>
              </w:rPr>
            </w:pPr>
            <w:r>
              <w:rPr>
                <w:sz w:val="20"/>
              </w:rPr>
              <w:t>25,23</w:t>
            </w:r>
          </w:p>
        </w:tc>
        <w:tc>
          <w:tcPr>
            <w:tcW w:w="1795" w:type="dxa"/>
          </w:tcPr>
          <w:p w:rsidR="007C5447" w:rsidRDefault="00F6308C">
            <w:pPr>
              <w:pStyle w:val="TableParagraph"/>
              <w:spacing w:before="70"/>
              <w:ind w:right="98"/>
              <w:rPr>
                <w:sz w:val="20"/>
              </w:rPr>
            </w:pPr>
            <w:r>
              <w:rPr>
                <w:w w:val="95"/>
                <w:sz w:val="20"/>
              </w:rPr>
              <w:t>51.52</w:t>
            </w:r>
          </w:p>
        </w:tc>
        <w:tc>
          <w:tcPr>
            <w:tcW w:w="1467" w:type="dxa"/>
          </w:tcPr>
          <w:p w:rsidR="007C5447" w:rsidRDefault="00F6308C">
            <w:pPr>
              <w:pStyle w:val="TableParagraph"/>
              <w:spacing w:before="70"/>
              <w:ind w:right="96"/>
              <w:rPr>
                <w:sz w:val="20"/>
              </w:rPr>
            </w:pPr>
            <w:r>
              <w:rPr>
                <w:sz w:val="20"/>
              </w:rPr>
              <w:t>53.71</w:t>
            </w:r>
          </w:p>
        </w:tc>
        <w:tc>
          <w:tcPr>
            <w:tcW w:w="1272" w:type="dxa"/>
          </w:tcPr>
          <w:p w:rsidR="007C5447" w:rsidRDefault="00F6308C">
            <w:pPr>
              <w:pStyle w:val="TableParagraph"/>
              <w:spacing w:before="70"/>
              <w:ind w:right="93"/>
              <w:rPr>
                <w:sz w:val="20"/>
              </w:rPr>
            </w:pPr>
            <w:r>
              <w:rPr>
                <w:sz w:val="20"/>
              </w:rPr>
              <w:t>25.25</w:t>
            </w:r>
          </w:p>
        </w:tc>
        <w:tc>
          <w:tcPr>
            <w:tcW w:w="1707" w:type="dxa"/>
          </w:tcPr>
          <w:p w:rsidR="007C5447" w:rsidRDefault="00F6308C">
            <w:pPr>
              <w:pStyle w:val="TableParagraph"/>
              <w:spacing w:before="70"/>
              <w:ind w:right="101"/>
              <w:rPr>
                <w:sz w:val="20"/>
              </w:rPr>
            </w:pPr>
            <w:r>
              <w:rPr>
                <w:w w:val="95"/>
                <w:sz w:val="20"/>
              </w:rPr>
              <w:t>39.83</w:t>
            </w:r>
          </w:p>
        </w:tc>
        <w:tc>
          <w:tcPr>
            <w:tcW w:w="1450" w:type="dxa"/>
          </w:tcPr>
          <w:p w:rsidR="007C5447" w:rsidRDefault="00F6308C">
            <w:pPr>
              <w:pStyle w:val="TableParagraph"/>
              <w:spacing w:before="70"/>
              <w:ind w:right="96"/>
              <w:rPr>
                <w:sz w:val="20"/>
              </w:rPr>
            </w:pPr>
            <w:r>
              <w:rPr>
                <w:sz w:val="20"/>
              </w:rPr>
              <w:t>54.56</w:t>
            </w:r>
          </w:p>
        </w:tc>
      </w:tr>
      <w:tr w:rsidR="007C5447">
        <w:trPr>
          <w:trHeight w:val="369"/>
        </w:trPr>
        <w:tc>
          <w:tcPr>
            <w:tcW w:w="708" w:type="dxa"/>
          </w:tcPr>
          <w:p w:rsidR="007C5447" w:rsidRDefault="00F6308C">
            <w:pPr>
              <w:pStyle w:val="TableParagraph"/>
              <w:spacing w:before="70"/>
              <w:ind w:left="97" w:right="90"/>
              <w:jc w:val="center"/>
              <w:rPr>
                <w:sz w:val="20"/>
              </w:rPr>
            </w:pPr>
            <w:r>
              <w:rPr>
                <w:sz w:val="20"/>
              </w:rPr>
              <w:t>14</w:t>
            </w:r>
          </w:p>
        </w:tc>
        <w:tc>
          <w:tcPr>
            <w:tcW w:w="2688" w:type="dxa"/>
          </w:tcPr>
          <w:p w:rsidR="007C5447" w:rsidRDefault="00F6308C">
            <w:pPr>
              <w:pStyle w:val="TableParagraph"/>
              <w:spacing w:before="70"/>
              <w:ind w:left="105"/>
              <w:jc w:val="left"/>
              <w:rPr>
                <w:sz w:val="20"/>
              </w:rPr>
            </w:pPr>
            <w:r>
              <w:rPr>
                <w:sz w:val="20"/>
              </w:rPr>
              <w:t>Tirunelveli HEP</w:t>
            </w:r>
          </w:p>
        </w:tc>
        <w:tc>
          <w:tcPr>
            <w:tcW w:w="1400" w:type="dxa"/>
          </w:tcPr>
          <w:p w:rsidR="007C5447" w:rsidRDefault="00F6308C">
            <w:pPr>
              <w:pStyle w:val="TableParagraph"/>
              <w:spacing w:before="70"/>
              <w:ind w:right="96"/>
              <w:rPr>
                <w:sz w:val="20"/>
              </w:rPr>
            </w:pPr>
            <w:r>
              <w:rPr>
                <w:sz w:val="20"/>
              </w:rPr>
              <w:t>16.18</w:t>
            </w:r>
          </w:p>
        </w:tc>
        <w:tc>
          <w:tcPr>
            <w:tcW w:w="1795" w:type="dxa"/>
          </w:tcPr>
          <w:p w:rsidR="007C5447" w:rsidRDefault="00F6308C">
            <w:pPr>
              <w:pStyle w:val="TableParagraph"/>
              <w:spacing w:before="70"/>
              <w:ind w:right="98"/>
              <w:rPr>
                <w:sz w:val="20"/>
              </w:rPr>
            </w:pPr>
            <w:r>
              <w:rPr>
                <w:w w:val="95"/>
                <w:sz w:val="20"/>
              </w:rPr>
              <w:t>24.21</w:t>
            </w:r>
          </w:p>
        </w:tc>
        <w:tc>
          <w:tcPr>
            <w:tcW w:w="1467" w:type="dxa"/>
          </w:tcPr>
          <w:p w:rsidR="007C5447" w:rsidRDefault="00F6308C">
            <w:pPr>
              <w:pStyle w:val="TableParagraph"/>
              <w:spacing w:before="70"/>
              <w:ind w:right="96"/>
              <w:rPr>
                <w:sz w:val="20"/>
              </w:rPr>
            </w:pPr>
            <w:r>
              <w:rPr>
                <w:sz w:val="20"/>
              </w:rPr>
              <w:t>21.84</w:t>
            </w:r>
          </w:p>
        </w:tc>
        <w:tc>
          <w:tcPr>
            <w:tcW w:w="1272" w:type="dxa"/>
          </w:tcPr>
          <w:p w:rsidR="007C5447" w:rsidRDefault="00F6308C">
            <w:pPr>
              <w:pStyle w:val="TableParagraph"/>
              <w:spacing w:before="70"/>
              <w:ind w:right="93"/>
              <w:rPr>
                <w:sz w:val="20"/>
              </w:rPr>
            </w:pPr>
            <w:r>
              <w:rPr>
                <w:sz w:val="20"/>
              </w:rPr>
              <w:t>13.07</w:t>
            </w:r>
          </w:p>
        </w:tc>
        <w:tc>
          <w:tcPr>
            <w:tcW w:w="1707" w:type="dxa"/>
          </w:tcPr>
          <w:p w:rsidR="007C5447" w:rsidRDefault="00F6308C">
            <w:pPr>
              <w:pStyle w:val="TableParagraph"/>
              <w:spacing w:before="70"/>
              <w:ind w:right="101"/>
              <w:rPr>
                <w:sz w:val="20"/>
              </w:rPr>
            </w:pPr>
            <w:r>
              <w:rPr>
                <w:w w:val="95"/>
                <w:sz w:val="20"/>
              </w:rPr>
              <w:t>25.71</w:t>
            </w:r>
          </w:p>
        </w:tc>
        <w:tc>
          <w:tcPr>
            <w:tcW w:w="1450" w:type="dxa"/>
          </w:tcPr>
          <w:p w:rsidR="007C5447" w:rsidRDefault="00F6308C">
            <w:pPr>
              <w:pStyle w:val="TableParagraph"/>
              <w:spacing w:before="70"/>
              <w:ind w:right="96"/>
              <w:rPr>
                <w:sz w:val="20"/>
              </w:rPr>
            </w:pPr>
            <w:r>
              <w:rPr>
                <w:sz w:val="20"/>
              </w:rPr>
              <w:t>24.51</w:t>
            </w:r>
          </w:p>
        </w:tc>
      </w:tr>
      <w:tr w:rsidR="007C5447">
        <w:trPr>
          <w:trHeight w:val="371"/>
        </w:trPr>
        <w:tc>
          <w:tcPr>
            <w:tcW w:w="708" w:type="dxa"/>
          </w:tcPr>
          <w:p w:rsidR="007C5447" w:rsidRDefault="00F6308C">
            <w:pPr>
              <w:pStyle w:val="TableParagraph"/>
              <w:spacing w:before="72"/>
              <w:ind w:left="97" w:right="90"/>
              <w:jc w:val="center"/>
              <w:rPr>
                <w:sz w:val="20"/>
              </w:rPr>
            </w:pPr>
            <w:r>
              <w:rPr>
                <w:sz w:val="20"/>
              </w:rPr>
              <w:t>15</w:t>
            </w:r>
          </w:p>
        </w:tc>
        <w:tc>
          <w:tcPr>
            <w:tcW w:w="2688" w:type="dxa"/>
          </w:tcPr>
          <w:p w:rsidR="007C5447" w:rsidRDefault="00F6308C">
            <w:pPr>
              <w:pStyle w:val="TableParagraph"/>
              <w:spacing w:before="72"/>
              <w:ind w:left="105"/>
              <w:jc w:val="left"/>
              <w:rPr>
                <w:sz w:val="20"/>
              </w:rPr>
            </w:pPr>
            <w:r>
              <w:rPr>
                <w:sz w:val="20"/>
              </w:rPr>
              <w:t>Ennore Expansion</w:t>
            </w:r>
          </w:p>
        </w:tc>
        <w:tc>
          <w:tcPr>
            <w:tcW w:w="1400" w:type="dxa"/>
          </w:tcPr>
          <w:p w:rsidR="007C5447" w:rsidRDefault="00F6308C">
            <w:pPr>
              <w:pStyle w:val="TableParagraph"/>
              <w:spacing w:before="72"/>
              <w:ind w:right="97"/>
              <w:rPr>
                <w:sz w:val="20"/>
              </w:rPr>
            </w:pPr>
            <w:r>
              <w:rPr>
                <w:w w:val="99"/>
                <w:sz w:val="20"/>
              </w:rPr>
              <w:t>-</w:t>
            </w:r>
          </w:p>
        </w:tc>
        <w:tc>
          <w:tcPr>
            <w:tcW w:w="1795" w:type="dxa"/>
          </w:tcPr>
          <w:p w:rsidR="007C5447" w:rsidRDefault="00F6308C">
            <w:pPr>
              <w:pStyle w:val="TableParagraph"/>
              <w:spacing w:before="72"/>
              <w:ind w:right="97"/>
              <w:rPr>
                <w:sz w:val="20"/>
              </w:rPr>
            </w:pPr>
            <w:r>
              <w:rPr>
                <w:w w:val="99"/>
                <w:sz w:val="20"/>
              </w:rPr>
              <w:t>-</w:t>
            </w:r>
          </w:p>
        </w:tc>
        <w:tc>
          <w:tcPr>
            <w:tcW w:w="1467" w:type="dxa"/>
          </w:tcPr>
          <w:p w:rsidR="007C5447" w:rsidRDefault="00F6308C">
            <w:pPr>
              <w:pStyle w:val="TableParagraph"/>
              <w:spacing w:before="72"/>
              <w:ind w:right="97"/>
              <w:rPr>
                <w:sz w:val="20"/>
              </w:rPr>
            </w:pPr>
            <w:r>
              <w:rPr>
                <w:w w:val="99"/>
                <w:sz w:val="20"/>
              </w:rPr>
              <w:t>-</w:t>
            </w:r>
          </w:p>
        </w:tc>
        <w:tc>
          <w:tcPr>
            <w:tcW w:w="1272" w:type="dxa"/>
          </w:tcPr>
          <w:p w:rsidR="007C5447" w:rsidRDefault="00F6308C">
            <w:pPr>
              <w:pStyle w:val="TableParagraph"/>
              <w:spacing w:before="72"/>
              <w:ind w:right="93"/>
              <w:rPr>
                <w:sz w:val="20"/>
              </w:rPr>
            </w:pPr>
            <w:r>
              <w:rPr>
                <w:sz w:val="20"/>
              </w:rPr>
              <w:t>36.58</w:t>
            </w:r>
          </w:p>
        </w:tc>
        <w:tc>
          <w:tcPr>
            <w:tcW w:w="1707" w:type="dxa"/>
          </w:tcPr>
          <w:p w:rsidR="007C5447" w:rsidRDefault="00F6308C">
            <w:pPr>
              <w:pStyle w:val="TableParagraph"/>
              <w:spacing w:before="72"/>
              <w:ind w:right="99"/>
              <w:rPr>
                <w:sz w:val="20"/>
              </w:rPr>
            </w:pPr>
            <w:r>
              <w:rPr>
                <w:w w:val="99"/>
                <w:sz w:val="20"/>
              </w:rPr>
              <w:t>-</w:t>
            </w:r>
          </w:p>
        </w:tc>
        <w:tc>
          <w:tcPr>
            <w:tcW w:w="1450" w:type="dxa"/>
          </w:tcPr>
          <w:p w:rsidR="007C5447" w:rsidRDefault="00F6308C">
            <w:pPr>
              <w:pStyle w:val="TableParagraph"/>
              <w:spacing w:before="72"/>
              <w:ind w:right="97"/>
              <w:rPr>
                <w:sz w:val="20"/>
              </w:rPr>
            </w:pPr>
            <w:r>
              <w:rPr>
                <w:w w:val="99"/>
                <w:sz w:val="20"/>
              </w:rPr>
              <w:t>-</w:t>
            </w:r>
          </w:p>
        </w:tc>
      </w:tr>
      <w:tr w:rsidR="007C5447">
        <w:trPr>
          <w:trHeight w:val="369"/>
        </w:trPr>
        <w:tc>
          <w:tcPr>
            <w:tcW w:w="708" w:type="dxa"/>
          </w:tcPr>
          <w:p w:rsidR="007C5447" w:rsidRDefault="00F6308C">
            <w:pPr>
              <w:pStyle w:val="TableParagraph"/>
              <w:spacing w:before="70"/>
              <w:ind w:left="97" w:right="92"/>
              <w:jc w:val="center"/>
              <w:rPr>
                <w:b/>
                <w:sz w:val="20"/>
              </w:rPr>
            </w:pPr>
            <w:r>
              <w:rPr>
                <w:b/>
                <w:sz w:val="20"/>
              </w:rPr>
              <w:t>16</w:t>
            </w:r>
          </w:p>
        </w:tc>
        <w:tc>
          <w:tcPr>
            <w:tcW w:w="2688" w:type="dxa"/>
          </w:tcPr>
          <w:p w:rsidR="007C5447" w:rsidRDefault="00F6308C">
            <w:pPr>
              <w:pStyle w:val="TableParagraph"/>
              <w:spacing w:before="70"/>
              <w:ind w:left="105"/>
              <w:jc w:val="left"/>
              <w:rPr>
                <w:b/>
                <w:sz w:val="20"/>
              </w:rPr>
            </w:pPr>
            <w:r>
              <w:rPr>
                <w:b/>
                <w:sz w:val="20"/>
              </w:rPr>
              <w:t>Grand Total Generation</w:t>
            </w:r>
          </w:p>
        </w:tc>
        <w:tc>
          <w:tcPr>
            <w:tcW w:w="1400" w:type="dxa"/>
          </w:tcPr>
          <w:p w:rsidR="007C5447" w:rsidRDefault="00F6308C">
            <w:pPr>
              <w:pStyle w:val="TableParagraph"/>
              <w:spacing w:before="70"/>
              <w:ind w:right="96"/>
              <w:rPr>
                <w:b/>
                <w:sz w:val="20"/>
              </w:rPr>
            </w:pPr>
            <w:r>
              <w:rPr>
                <w:b/>
                <w:w w:val="95"/>
                <w:sz w:val="20"/>
              </w:rPr>
              <w:t>843.87</w:t>
            </w:r>
          </w:p>
        </w:tc>
        <w:tc>
          <w:tcPr>
            <w:tcW w:w="1795" w:type="dxa"/>
          </w:tcPr>
          <w:p w:rsidR="007C5447" w:rsidRDefault="00F6308C">
            <w:pPr>
              <w:pStyle w:val="TableParagraph"/>
              <w:spacing w:before="70"/>
              <w:ind w:right="98"/>
              <w:rPr>
                <w:b/>
                <w:sz w:val="20"/>
              </w:rPr>
            </w:pPr>
            <w:r>
              <w:rPr>
                <w:b/>
                <w:w w:val="95"/>
                <w:sz w:val="20"/>
              </w:rPr>
              <w:t>760.17</w:t>
            </w:r>
          </w:p>
        </w:tc>
        <w:tc>
          <w:tcPr>
            <w:tcW w:w="1467" w:type="dxa"/>
          </w:tcPr>
          <w:p w:rsidR="007C5447" w:rsidRDefault="00F6308C">
            <w:pPr>
              <w:pStyle w:val="TableParagraph"/>
              <w:spacing w:before="70"/>
              <w:ind w:right="96"/>
              <w:rPr>
                <w:b/>
                <w:sz w:val="20"/>
              </w:rPr>
            </w:pPr>
            <w:r>
              <w:rPr>
                <w:b/>
                <w:w w:val="95"/>
                <w:sz w:val="20"/>
              </w:rPr>
              <w:t>698.82</w:t>
            </w:r>
          </w:p>
        </w:tc>
        <w:tc>
          <w:tcPr>
            <w:tcW w:w="1272" w:type="dxa"/>
          </w:tcPr>
          <w:p w:rsidR="007C5447" w:rsidRDefault="00F6308C">
            <w:pPr>
              <w:pStyle w:val="TableParagraph"/>
              <w:spacing w:before="70"/>
              <w:ind w:right="93"/>
              <w:rPr>
                <w:b/>
                <w:sz w:val="20"/>
              </w:rPr>
            </w:pPr>
            <w:r>
              <w:rPr>
                <w:b/>
                <w:w w:val="95"/>
                <w:sz w:val="20"/>
              </w:rPr>
              <w:t>762.92</w:t>
            </w:r>
          </w:p>
        </w:tc>
        <w:tc>
          <w:tcPr>
            <w:tcW w:w="1707" w:type="dxa"/>
          </w:tcPr>
          <w:p w:rsidR="007C5447" w:rsidRDefault="00F6308C">
            <w:pPr>
              <w:pStyle w:val="TableParagraph"/>
              <w:spacing w:before="70"/>
              <w:ind w:right="101"/>
              <w:rPr>
                <w:b/>
                <w:sz w:val="20"/>
              </w:rPr>
            </w:pPr>
            <w:r>
              <w:rPr>
                <w:b/>
                <w:w w:val="95"/>
                <w:sz w:val="20"/>
              </w:rPr>
              <w:t>937.60</w:t>
            </w:r>
          </w:p>
        </w:tc>
        <w:tc>
          <w:tcPr>
            <w:tcW w:w="1450" w:type="dxa"/>
          </w:tcPr>
          <w:p w:rsidR="007C5447" w:rsidRDefault="00F6308C">
            <w:pPr>
              <w:pStyle w:val="TableParagraph"/>
              <w:spacing w:before="70"/>
              <w:ind w:right="96"/>
              <w:rPr>
                <w:b/>
                <w:sz w:val="20"/>
              </w:rPr>
            </w:pPr>
            <w:r>
              <w:rPr>
                <w:b/>
                <w:w w:val="95"/>
                <w:sz w:val="20"/>
              </w:rPr>
              <w:t>976.47</w:t>
            </w:r>
          </w:p>
        </w:tc>
      </w:tr>
      <w:tr w:rsidR="007C5447">
        <w:trPr>
          <w:trHeight w:val="369"/>
        </w:trPr>
        <w:tc>
          <w:tcPr>
            <w:tcW w:w="708" w:type="dxa"/>
          </w:tcPr>
          <w:p w:rsidR="007C5447" w:rsidRDefault="00F6308C">
            <w:pPr>
              <w:pStyle w:val="TableParagraph"/>
              <w:spacing w:before="70"/>
              <w:ind w:left="97" w:right="92"/>
              <w:jc w:val="center"/>
              <w:rPr>
                <w:b/>
                <w:sz w:val="20"/>
              </w:rPr>
            </w:pPr>
            <w:r>
              <w:rPr>
                <w:b/>
                <w:sz w:val="20"/>
              </w:rPr>
              <w:t>17</w:t>
            </w:r>
          </w:p>
        </w:tc>
        <w:tc>
          <w:tcPr>
            <w:tcW w:w="2688" w:type="dxa"/>
          </w:tcPr>
          <w:p w:rsidR="007C5447" w:rsidRDefault="00F6308C">
            <w:pPr>
              <w:pStyle w:val="TableParagraph"/>
              <w:spacing w:before="70"/>
              <w:ind w:left="105"/>
              <w:jc w:val="left"/>
              <w:rPr>
                <w:b/>
                <w:sz w:val="20"/>
              </w:rPr>
            </w:pPr>
            <w:r>
              <w:rPr>
                <w:b/>
                <w:sz w:val="20"/>
              </w:rPr>
              <w:t>Distribution</w:t>
            </w:r>
          </w:p>
        </w:tc>
        <w:tc>
          <w:tcPr>
            <w:tcW w:w="1400" w:type="dxa"/>
          </w:tcPr>
          <w:p w:rsidR="007C5447" w:rsidRDefault="00F6308C">
            <w:pPr>
              <w:pStyle w:val="TableParagraph"/>
              <w:spacing w:before="70"/>
              <w:ind w:right="96"/>
              <w:rPr>
                <w:b/>
                <w:sz w:val="20"/>
              </w:rPr>
            </w:pPr>
            <w:r>
              <w:rPr>
                <w:b/>
                <w:w w:val="95"/>
                <w:sz w:val="20"/>
              </w:rPr>
              <w:t>435.26</w:t>
            </w:r>
          </w:p>
        </w:tc>
        <w:tc>
          <w:tcPr>
            <w:tcW w:w="1795" w:type="dxa"/>
          </w:tcPr>
          <w:p w:rsidR="007C5447" w:rsidRDefault="00F6308C">
            <w:pPr>
              <w:pStyle w:val="TableParagraph"/>
              <w:spacing w:before="70"/>
              <w:ind w:right="98"/>
              <w:rPr>
                <w:b/>
                <w:sz w:val="20"/>
              </w:rPr>
            </w:pPr>
            <w:r>
              <w:rPr>
                <w:b/>
                <w:w w:val="95"/>
                <w:sz w:val="20"/>
              </w:rPr>
              <w:t>525.28</w:t>
            </w:r>
          </w:p>
        </w:tc>
        <w:tc>
          <w:tcPr>
            <w:tcW w:w="1467" w:type="dxa"/>
          </w:tcPr>
          <w:p w:rsidR="007C5447" w:rsidRDefault="00F6308C">
            <w:pPr>
              <w:pStyle w:val="TableParagraph"/>
              <w:spacing w:before="70"/>
              <w:ind w:right="96"/>
              <w:rPr>
                <w:b/>
                <w:sz w:val="20"/>
              </w:rPr>
            </w:pPr>
            <w:r>
              <w:rPr>
                <w:b/>
                <w:w w:val="95"/>
                <w:sz w:val="20"/>
              </w:rPr>
              <w:t>552.44</w:t>
            </w:r>
          </w:p>
        </w:tc>
        <w:tc>
          <w:tcPr>
            <w:tcW w:w="1272" w:type="dxa"/>
          </w:tcPr>
          <w:p w:rsidR="007C5447" w:rsidRDefault="00F6308C">
            <w:pPr>
              <w:pStyle w:val="TableParagraph"/>
              <w:spacing w:before="70"/>
              <w:ind w:right="93"/>
              <w:rPr>
                <w:b/>
                <w:sz w:val="20"/>
              </w:rPr>
            </w:pPr>
            <w:r>
              <w:rPr>
                <w:b/>
                <w:w w:val="95"/>
                <w:sz w:val="20"/>
              </w:rPr>
              <w:t>519.14</w:t>
            </w:r>
          </w:p>
        </w:tc>
        <w:tc>
          <w:tcPr>
            <w:tcW w:w="1707" w:type="dxa"/>
          </w:tcPr>
          <w:p w:rsidR="007C5447" w:rsidRDefault="00F6308C">
            <w:pPr>
              <w:pStyle w:val="TableParagraph"/>
              <w:spacing w:before="70"/>
              <w:ind w:right="101"/>
              <w:rPr>
                <w:b/>
                <w:sz w:val="20"/>
              </w:rPr>
            </w:pPr>
            <w:r>
              <w:rPr>
                <w:b/>
                <w:w w:val="95"/>
                <w:sz w:val="20"/>
              </w:rPr>
              <w:t>670.46</w:t>
            </w:r>
          </w:p>
        </w:tc>
        <w:tc>
          <w:tcPr>
            <w:tcW w:w="1450" w:type="dxa"/>
          </w:tcPr>
          <w:p w:rsidR="007C5447" w:rsidRDefault="00F6308C">
            <w:pPr>
              <w:pStyle w:val="TableParagraph"/>
              <w:spacing w:before="70"/>
              <w:ind w:right="96"/>
              <w:rPr>
                <w:b/>
                <w:sz w:val="20"/>
              </w:rPr>
            </w:pPr>
            <w:r>
              <w:rPr>
                <w:b/>
                <w:w w:val="95"/>
                <w:sz w:val="20"/>
              </w:rPr>
              <w:t>664.47</w:t>
            </w:r>
          </w:p>
        </w:tc>
      </w:tr>
      <w:tr w:rsidR="007C5447">
        <w:trPr>
          <w:trHeight w:val="371"/>
        </w:trPr>
        <w:tc>
          <w:tcPr>
            <w:tcW w:w="708" w:type="dxa"/>
          </w:tcPr>
          <w:p w:rsidR="007C5447" w:rsidRDefault="00F6308C">
            <w:pPr>
              <w:pStyle w:val="TableParagraph"/>
              <w:spacing w:before="72"/>
              <w:ind w:left="97" w:right="92"/>
              <w:jc w:val="center"/>
              <w:rPr>
                <w:b/>
                <w:sz w:val="20"/>
              </w:rPr>
            </w:pPr>
            <w:r>
              <w:rPr>
                <w:b/>
                <w:sz w:val="20"/>
              </w:rPr>
              <w:t>18</w:t>
            </w:r>
          </w:p>
        </w:tc>
        <w:tc>
          <w:tcPr>
            <w:tcW w:w="2688" w:type="dxa"/>
          </w:tcPr>
          <w:p w:rsidR="007C5447" w:rsidRDefault="00F6308C">
            <w:pPr>
              <w:pStyle w:val="TableParagraph"/>
              <w:spacing w:before="72"/>
              <w:ind w:left="105"/>
              <w:jc w:val="left"/>
              <w:rPr>
                <w:b/>
                <w:sz w:val="20"/>
              </w:rPr>
            </w:pPr>
            <w:r>
              <w:rPr>
                <w:b/>
                <w:sz w:val="20"/>
              </w:rPr>
              <w:t>Generation + Distribution</w:t>
            </w:r>
          </w:p>
        </w:tc>
        <w:tc>
          <w:tcPr>
            <w:tcW w:w="1400" w:type="dxa"/>
          </w:tcPr>
          <w:p w:rsidR="007C5447" w:rsidRDefault="00F6308C">
            <w:pPr>
              <w:pStyle w:val="TableParagraph"/>
              <w:spacing w:before="72"/>
              <w:ind w:right="96"/>
              <w:rPr>
                <w:b/>
                <w:sz w:val="20"/>
              </w:rPr>
            </w:pPr>
            <w:r>
              <w:rPr>
                <w:b/>
                <w:w w:val="95"/>
                <w:sz w:val="20"/>
              </w:rPr>
              <w:t>1,279.13</w:t>
            </w:r>
          </w:p>
        </w:tc>
        <w:tc>
          <w:tcPr>
            <w:tcW w:w="1795" w:type="dxa"/>
          </w:tcPr>
          <w:p w:rsidR="007C5447" w:rsidRDefault="00F6308C">
            <w:pPr>
              <w:pStyle w:val="TableParagraph"/>
              <w:spacing w:before="72"/>
              <w:ind w:right="96"/>
              <w:rPr>
                <w:b/>
                <w:sz w:val="20"/>
              </w:rPr>
            </w:pPr>
            <w:r>
              <w:rPr>
                <w:b/>
                <w:w w:val="95"/>
                <w:sz w:val="20"/>
              </w:rPr>
              <w:t>1,285.45</w:t>
            </w:r>
          </w:p>
        </w:tc>
        <w:tc>
          <w:tcPr>
            <w:tcW w:w="1467" w:type="dxa"/>
          </w:tcPr>
          <w:p w:rsidR="007C5447" w:rsidRDefault="00F6308C">
            <w:pPr>
              <w:pStyle w:val="TableParagraph"/>
              <w:spacing w:before="72"/>
              <w:ind w:right="98"/>
              <w:rPr>
                <w:b/>
                <w:sz w:val="20"/>
              </w:rPr>
            </w:pPr>
            <w:r>
              <w:rPr>
                <w:b/>
                <w:sz w:val="20"/>
              </w:rPr>
              <w:t>1251.26</w:t>
            </w:r>
          </w:p>
        </w:tc>
        <w:tc>
          <w:tcPr>
            <w:tcW w:w="1272" w:type="dxa"/>
          </w:tcPr>
          <w:p w:rsidR="007C5447" w:rsidRDefault="00F6308C">
            <w:pPr>
              <w:pStyle w:val="TableParagraph"/>
              <w:spacing w:before="72"/>
              <w:ind w:right="94"/>
              <w:rPr>
                <w:b/>
                <w:sz w:val="20"/>
              </w:rPr>
            </w:pPr>
            <w:r>
              <w:rPr>
                <w:b/>
                <w:w w:val="95"/>
                <w:sz w:val="20"/>
              </w:rPr>
              <w:t>1,282.06</w:t>
            </w:r>
          </w:p>
        </w:tc>
        <w:tc>
          <w:tcPr>
            <w:tcW w:w="1707" w:type="dxa"/>
          </w:tcPr>
          <w:p w:rsidR="007C5447" w:rsidRDefault="00F6308C">
            <w:pPr>
              <w:pStyle w:val="TableParagraph"/>
              <w:spacing w:before="72"/>
              <w:ind w:right="99"/>
              <w:rPr>
                <w:b/>
                <w:sz w:val="20"/>
              </w:rPr>
            </w:pPr>
            <w:r>
              <w:rPr>
                <w:b/>
                <w:w w:val="95"/>
                <w:sz w:val="20"/>
              </w:rPr>
              <w:t>1,608.06</w:t>
            </w:r>
          </w:p>
        </w:tc>
        <w:tc>
          <w:tcPr>
            <w:tcW w:w="1450" w:type="dxa"/>
          </w:tcPr>
          <w:p w:rsidR="007C5447" w:rsidRDefault="00F6308C">
            <w:pPr>
              <w:pStyle w:val="TableParagraph"/>
              <w:spacing w:before="72"/>
              <w:ind w:right="96"/>
              <w:rPr>
                <w:b/>
                <w:sz w:val="20"/>
              </w:rPr>
            </w:pPr>
            <w:r>
              <w:rPr>
                <w:b/>
                <w:sz w:val="20"/>
              </w:rPr>
              <w:t>1640.94</w:t>
            </w:r>
          </w:p>
        </w:tc>
      </w:tr>
    </w:tbl>
    <w:p w:rsidR="007C5447" w:rsidRDefault="007C5447">
      <w:pPr>
        <w:rPr>
          <w:sz w:val="20"/>
        </w:rPr>
        <w:sectPr w:rsidR="007C5447">
          <w:pgSz w:w="16840" w:h="11910" w:orient="landscape"/>
          <w:pgMar w:top="1100" w:right="740" w:bottom="1240" w:left="1760" w:header="0" w:footer="1057" w:gutter="0"/>
          <w:cols w:space="720"/>
        </w:sectPr>
      </w:pPr>
    </w:p>
    <w:p w:rsidR="007C5447" w:rsidRDefault="00F6308C">
      <w:pPr>
        <w:pStyle w:val="Heading2"/>
        <w:numPr>
          <w:ilvl w:val="1"/>
          <w:numId w:val="92"/>
        </w:numPr>
        <w:tabs>
          <w:tab w:val="left" w:pos="683"/>
          <w:tab w:val="left" w:pos="684"/>
        </w:tabs>
        <w:spacing w:before="61"/>
        <w:ind w:left="683"/>
        <w:jc w:val="left"/>
      </w:pPr>
      <w:bookmarkStart w:id="43" w:name="_bookmark43"/>
      <w:bookmarkEnd w:id="43"/>
      <w:r>
        <w:lastRenderedPageBreak/>
        <w:t>Interest on Loan and Other Financing</w:t>
      </w:r>
      <w:r>
        <w:rPr>
          <w:spacing w:val="-2"/>
        </w:rPr>
        <w:t xml:space="preserve"> </w:t>
      </w:r>
      <w:r>
        <w:t>Charges</w:t>
      </w:r>
    </w:p>
    <w:p w:rsidR="007C5447" w:rsidRDefault="007C5447">
      <w:pPr>
        <w:pStyle w:val="BodyText"/>
        <w:spacing w:before="11"/>
        <w:rPr>
          <w:b/>
          <w:sz w:val="27"/>
        </w:rPr>
      </w:pPr>
    </w:p>
    <w:p w:rsidR="007C5447" w:rsidRDefault="00F6308C">
      <w:pPr>
        <w:pStyle w:val="ListParagraph"/>
        <w:numPr>
          <w:ilvl w:val="2"/>
          <w:numId w:val="92"/>
        </w:numPr>
        <w:tabs>
          <w:tab w:val="left" w:pos="970"/>
        </w:tabs>
        <w:spacing w:line="312" w:lineRule="auto"/>
        <w:ind w:left="969" w:right="119"/>
        <w:jc w:val="both"/>
        <w:rPr>
          <w:sz w:val="24"/>
        </w:rPr>
      </w:pPr>
      <w:r>
        <w:rPr>
          <w:sz w:val="24"/>
        </w:rPr>
        <w:t>TANGEDCO submitted that the opening balance of loans as on November 1, 2010 is based on the provisional Transfer Scheme notified as on January 2, 2012 after taking over of loans from the erstwhile TNEB. Therefore, there is an obligation to service the debt</w:t>
      </w:r>
      <w:r>
        <w:rPr>
          <w:sz w:val="24"/>
        </w:rPr>
        <w:t xml:space="preserve"> transferred to TANGEDCO as per GoTN</w:t>
      </w:r>
      <w:r>
        <w:rPr>
          <w:spacing w:val="-3"/>
          <w:sz w:val="24"/>
        </w:rPr>
        <w:t xml:space="preserve"> </w:t>
      </w:r>
      <w:r>
        <w:rPr>
          <w:sz w:val="24"/>
        </w:rPr>
        <w:t>Notification.</w:t>
      </w:r>
    </w:p>
    <w:p w:rsidR="007C5447" w:rsidRDefault="007C5447">
      <w:pPr>
        <w:pStyle w:val="BodyText"/>
        <w:spacing w:before="10"/>
        <w:rPr>
          <w:sz w:val="20"/>
        </w:rPr>
      </w:pPr>
    </w:p>
    <w:p w:rsidR="007C5447" w:rsidRDefault="00F6308C">
      <w:pPr>
        <w:pStyle w:val="ListParagraph"/>
        <w:numPr>
          <w:ilvl w:val="2"/>
          <w:numId w:val="92"/>
        </w:numPr>
        <w:tabs>
          <w:tab w:val="left" w:pos="970"/>
        </w:tabs>
        <w:spacing w:line="312" w:lineRule="auto"/>
        <w:ind w:left="969" w:right="116"/>
        <w:jc w:val="both"/>
        <w:rPr>
          <w:sz w:val="24"/>
        </w:rPr>
      </w:pPr>
      <w:r>
        <w:rPr>
          <w:sz w:val="24"/>
        </w:rPr>
        <w:t>TANGEDCO submitted that the loan from Financial Institutions as shown in the books of accounts is not linked with any particular generating plant or the capex schemes, as the erstwhile TNEB used to have a</w:t>
      </w:r>
      <w:r>
        <w:rPr>
          <w:sz w:val="24"/>
        </w:rPr>
        <w:t xml:space="preserve"> basket of loans, which was used to meet the total capital expenditure of erstwhile TNEB. Hence, it is difficult to identify the debt / interest and equity of the generating plant or distribution function</w:t>
      </w:r>
      <w:r>
        <w:rPr>
          <w:spacing w:val="-15"/>
          <w:sz w:val="24"/>
        </w:rPr>
        <w:t xml:space="preserve"> </w:t>
      </w:r>
      <w:r>
        <w:rPr>
          <w:sz w:val="24"/>
        </w:rPr>
        <w:t>separately.</w:t>
      </w:r>
    </w:p>
    <w:p w:rsidR="007C5447" w:rsidRDefault="007C5447">
      <w:pPr>
        <w:pStyle w:val="BodyText"/>
        <w:rPr>
          <w:sz w:val="21"/>
        </w:rPr>
      </w:pPr>
    </w:p>
    <w:p w:rsidR="007C5447" w:rsidRDefault="00F6308C">
      <w:pPr>
        <w:pStyle w:val="ListParagraph"/>
        <w:numPr>
          <w:ilvl w:val="2"/>
          <w:numId w:val="92"/>
        </w:numPr>
        <w:tabs>
          <w:tab w:val="left" w:pos="970"/>
        </w:tabs>
        <w:spacing w:before="1" w:line="312" w:lineRule="auto"/>
        <w:ind w:left="969" w:right="117"/>
        <w:jc w:val="both"/>
        <w:rPr>
          <w:sz w:val="24"/>
        </w:rPr>
      </w:pPr>
      <w:r>
        <w:rPr>
          <w:sz w:val="24"/>
        </w:rPr>
        <w:t>TANGEDCO further submitted that the in</w:t>
      </w:r>
      <w:r>
        <w:rPr>
          <w:sz w:val="24"/>
        </w:rPr>
        <w:t>terest and finance charges claimed are with respect to the interest and finance charges reflecting in the individual balance sheet of each station for generating function and consolidated interest and finance charges figure reflecting in balance sheet of e</w:t>
      </w:r>
      <w:r>
        <w:rPr>
          <w:sz w:val="24"/>
        </w:rPr>
        <w:t>ach of the 39 distribution circles of TANGEDCO for distribution</w:t>
      </w:r>
      <w:r>
        <w:rPr>
          <w:spacing w:val="-3"/>
          <w:sz w:val="24"/>
        </w:rPr>
        <w:t xml:space="preserve"> </w:t>
      </w:r>
      <w:r>
        <w:rPr>
          <w:sz w:val="24"/>
        </w:rPr>
        <w:t>function.</w:t>
      </w:r>
    </w:p>
    <w:p w:rsidR="007C5447" w:rsidRDefault="007C5447">
      <w:pPr>
        <w:pStyle w:val="BodyText"/>
        <w:spacing w:before="8"/>
        <w:rPr>
          <w:sz w:val="20"/>
        </w:rPr>
      </w:pPr>
    </w:p>
    <w:p w:rsidR="007C5447" w:rsidRDefault="00F6308C">
      <w:pPr>
        <w:pStyle w:val="ListParagraph"/>
        <w:numPr>
          <w:ilvl w:val="2"/>
          <w:numId w:val="92"/>
        </w:numPr>
        <w:tabs>
          <w:tab w:val="left" w:pos="970"/>
        </w:tabs>
        <w:spacing w:before="1" w:line="312" w:lineRule="auto"/>
        <w:ind w:left="969" w:right="118"/>
        <w:jc w:val="both"/>
        <w:rPr>
          <w:sz w:val="24"/>
        </w:rPr>
      </w:pPr>
      <w:r>
        <w:rPr>
          <w:sz w:val="24"/>
        </w:rPr>
        <w:t>The total interest and finance charges for FY 2011-12, FY 2012-13, FY 2013-14, FY 2014-15, and FY 2015-16 as submitted by TANGEDCO are Rs. 2353.75 Crore, Rs. 3340.82 Crore, Rs. 5423</w:t>
      </w:r>
      <w:r>
        <w:rPr>
          <w:sz w:val="24"/>
        </w:rPr>
        <w:t>.82 Crore, Rs. 6702.03 Crore, and Rs. 7472.15 Crore, respectively, as shown in the Table below:</w:t>
      </w:r>
    </w:p>
    <w:p w:rsidR="007C5447" w:rsidRDefault="007C5447">
      <w:pPr>
        <w:pStyle w:val="BodyText"/>
        <w:rPr>
          <w:sz w:val="21"/>
        </w:rPr>
      </w:pPr>
    </w:p>
    <w:p w:rsidR="007C5447" w:rsidRDefault="00F6308C">
      <w:pPr>
        <w:ind w:left="1158"/>
        <w:rPr>
          <w:b/>
        </w:rPr>
      </w:pPr>
      <w:r>
        <w:rPr>
          <w:b/>
        </w:rPr>
        <w:t>Table 3-19: Interest and Finance charges as submitted by TANGEDCO (Rs. Crore)</w:t>
      </w:r>
    </w:p>
    <w:p w:rsidR="007C5447" w:rsidRDefault="007C5447">
      <w:pPr>
        <w:pStyle w:val="BodyText"/>
        <w:rPr>
          <w:b/>
          <w:sz w:val="17"/>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986"/>
        <w:gridCol w:w="1277"/>
        <w:gridCol w:w="1275"/>
        <w:gridCol w:w="1419"/>
        <w:gridCol w:w="1278"/>
        <w:gridCol w:w="1275"/>
      </w:tblGrid>
      <w:tr w:rsidR="007C5447">
        <w:trPr>
          <w:trHeight w:val="290"/>
        </w:trPr>
        <w:tc>
          <w:tcPr>
            <w:tcW w:w="562" w:type="dxa"/>
            <w:shd w:val="clear" w:color="auto" w:fill="F7C9AC"/>
          </w:tcPr>
          <w:p w:rsidR="007C5447" w:rsidRDefault="00F6308C">
            <w:pPr>
              <w:pStyle w:val="TableParagraph"/>
              <w:spacing w:before="29"/>
              <w:ind w:left="107"/>
              <w:jc w:val="left"/>
              <w:rPr>
                <w:b/>
                <w:sz w:val="20"/>
              </w:rPr>
            </w:pPr>
            <w:r>
              <w:rPr>
                <w:b/>
                <w:sz w:val="20"/>
              </w:rPr>
              <w:t>Sl.</w:t>
            </w:r>
          </w:p>
        </w:tc>
        <w:tc>
          <w:tcPr>
            <w:tcW w:w="1986" w:type="dxa"/>
            <w:shd w:val="clear" w:color="auto" w:fill="F7C9AC"/>
          </w:tcPr>
          <w:p w:rsidR="007C5447" w:rsidRDefault="00F6308C">
            <w:pPr>
              <w:pStyle w:val="TableParagraph"/>
              <w:spacing w:before="29"/>
              <w:ind w:left="107"/>
              <w:jc w:val="left"/>
              <w:rPr>
                <w:b/>
                <w:sz w:val="20"/>
              </w:rPr>
            </w:pPr>
            <w:r>
              <w:rPr>
                <w:b/>
                <w:sz w:val="20"/>
              </w:rPr>
              <w:t>Particulars</w:t>
            </w:r>
          </w:p>
        </w:tc>
        <w:tc>
          <w:tcPr>
            <w:tcW w:w="1277" w:type="dxa"/>
            <w:shd w:val="clear" w:color="auto" w:fill="F7C9AC"/>
          </w:tcPr>
          <w:p w:rsidR="007C5447" w:rsidRDefault="00F6308C">
            <w:pPr>
              <w:pStyle w:val="TableParagraph"/>
              <w:spacing w:before="29"/>
              <w:ind w:left="145"/>
              <w:jc w:val="left"/>
              <w:rPr>
                <w:b/>
                <w:sz w:val="20"/>
              </w:rPr>
            </w:pPr>
            <w:r>
              <w:rPr>
                <w:b/>
                <w:sz w:val="20"/>
              </w:rPr>
              <w:t>FY 2011-12</w:t>
            </w:r>
          </w:p>
        </w:tc>
        <w:tc>
          <w:tcPr>
            <w:tcW w:w="1275" w:type="dxa"/>
            <w:shd w:val="clear" w:color="auto" w:fill="F7C9AC"/>
          </w:tcPr>
          <w:p w:rsidR="007C5447" w:rsidRDefault="00F6308C">
            <w:pPr>
              <w:pStyle w:val="TableParagraph"/>
              <w:spacing w:before="29"/>
              <w:ind w:left="142"/>
              <w:jc w:val="left"/>
              <w:rPr>
                <w:b/>
                <w:sz w:val="20"/>
              </w:rPr>
            </w:pPr>
            <w:r>
              <w:rPr>
                <w:b/>
                <w:sz w:val="20"/>
              </w:rPr>
              <w:t>FY 2012-13</w:t>
            </w:r>
          </w:p>
        </w:tc>
        <w:tc>
          <w:tcPr>
            <w:tcW w:w="1419" w:type="dxa"/>
            <w:shd w:val="clear" w:color="auto" w:fill="F7C9AC"/>
          </w:tcPr>
          <w:p w:rsidR="007C5447" w:rsidRDefault="00F6308C">
            <w:pPr>
              <w:pStyle w:val="TableParagraph"/>
              <w:spacing w:before="29"/>
              <w:ind w:right="206"/>
              <w:rPr>
                <w:b/>
                <w:sz w:val="20"/>
              </w:rPr>
            </w:pPr>
            <w:r>
              <w:rPr>
                <w:b/>
                <w:sz w:val="20"/>
              </w:rPr>
              <w:t>FY 2013-14</w:t>
            </w:r>
          </w:p>
        </w:tc>
        <w:tc>
          <w:tcPr>
            <w:tcW w:w="1278" w:type="dxa"/>
            <w:shd w:val="clear" w:color="auto" w:fill="F7C9AC"/>
          </w:tcPr>
          <w:p w:rsidR="007C5447" w:rsidRDefault="00F6308C">
            <w:pPr>
              <w:pStyle w:val="TableParagraph"/>
              <w:spacing w:before="29"/>
              <w:ind w:left="144"/>
              <w:jc w:val="left"/>
              <w:rPr>
                <w:b/>
                <w:sz w:val="20"/>
              </w:rPr>
            </w:pPr>
            <w:r>
              <w:rPr>
                <w:b/>
                <w:sz w:val="20"/>
              </w:rPr>
              <w:t>FY 2014-15</w:t>
            </w:r>
          </w:p>
        </w:tc>
        <w:tc>
          <w:tcPr>
            <w:tcW w:w="1275" w:type="dxa"/>
            <w:shd w:val="clear" w:color="auto" w:fill="F7C9AC"/>
          </w:tcPr>
          <w:p w:rsidR="007C5447" w:rsidRDefault="00F6308C">
            <w:pPr>
              <w:pStyle w:val="TableParagraph"/>
              <w:spacing w:before="29"/>
              <w:ind w:left="138"/>
              <w:jc w:val="left"/>
              <w:rPr>
                <w:b/>
                <w:sz w:val="20"/>
              </w:rPr>
            </w:pPr>
            <w:r>
              <w:rPr>
                <w:b/>
                <w:sz w:val="20"/>
              </w:rPr>
              <w:t>FY 2015-16</w:t>
            </w:r>
          </w:p>
        </w:tc>
      </w:tr>
      <w:tr w:rsidR="007C5447">
        <w:trPr>
          <w:trHeight w:val="388"/>
        </w:trPr>
        <w:tc>
          <w:tcPr>
            <w:tcW w:w="562" w:type="dxa"/>
          </w:tcPr>
          <w:p w:rsidR="007C5447" w:rsidRDefault="00F6308C">
            <w:pPr>
              <w:pStyle w:val="TableParagraph"/>
              <w:spacing w:before="79"/>
              <w:ind w:left="107"/>
              <w:jc w:val="left"/>
              <w:rPr>
                <w:sz w:val="20"/>
              </w:rPr>
            </w:pPr>
            <w:r>
              <w:rPr>
                <w:w w:val="99"/>
                <w:sz w:val="20"/>
              </w:rPr>
              <w:t>1</w:t>
            </w:r>
          </w:p>
        </w:tc>
        <w:tc>
          <w:tcPr>
            <w:tcW w:w="1986" w:type="dxa"/>
          </w:tcPr>
          <w:p w:rsidR="007C5447" w:rsidRDefault="00F6308C">
            <w:pPr>
              <w:pStyle w:val="TableParagraph"/>
              <w:spacing w:before="79"/>
              <w:ind w:left="107"/>
              <w:jc w:val="left"/>
              <w:rPr>
                <w:sz w:val="20"/>
              </w:rPr>
            </w:pPr>
            <w:r>
              <w:rPr>
                <w:sz w:val="20"/>
              </w:rPr>
              <w:t>Ennore TPS</w:t>
            </w:r>
          </w:p>
        </w:tc>
        <w:tc>
          <w:tcPr>
            <w:tcW w:w="1277" w:type="dxa"/>
          </w:tcPr>
          <w:p w:rsidR="007C5447" w:rsidRDefault="00F6308C">
            <w:pPr>
              <w:pStyle w:val="TableParagraph"/>
              <w:spacing w:before="79"/>
              <w:ind w:left="437"/>
              <w:jc w:val="left"/>
              <w:rPr>
                <w:sz w:val="20"/>
              </w:rPr>
            </w:pPr>
            <w:r>
              <w:rPr>
                <w:sz w:val="20"/>
              </w:rPr>
              <w:t>174.69</w:t>
            </w:r>
          </w:p>
        </w:tc>
        <w:tc>
          <w:tcPr>
            <w:tcW w:w="1275" w:type="dxa"/>
          </w:tcPr>
          <w:p w:rsidR="007C5447" w:rsidRDefault="00F6308C">
            <w:pPr>
              <w:pStyle w:val="TableParagraph"/>
              <w:spacing w:before="79"/>
              <w:ind w:left="437"/>
              <w:jc w:val="left"/>
              <w:rPr>
                <w:sz w:val="20"/>
              </w:rPr>
            </w:pPr>
            <w:r>
              <w:rPr>
                <w:sz w:val="20"/>
              </w:rPr>
              <w:t>193.52</w:t>
            </w:r>
          </w:p>
        </w:tc>
        <w:tc>
          <w:tcPr>
            <w:tcW w:w="1419" w:type="dxa"/>
          </w:tcPr>
          <w:p w:rsidR="007C5447" w:rsidRDefault="00F6308C">
            <w:pPr>
              <w:pStyle w:val="TableParagraph"/>
              <w:spacing w:before="79"/>
              <w:ind w:right="275"/>
              <w:rPr>
                <w:sz w:val="20"/>
              </w:rPr>
            </w:pPr>
            <w:r>
              <w:rPr>
                <w:w w:val="95"/>
                <w:sz w:val="20"/>
              </w:rPr>
              <w:t>311.12</w:t>
            </w:r>
          </w:p>
        </w:tc>
        <w:tc>
          <w:tcPr>
            <w:tcW w:w="1278" w:type="dxa"/>
          </w:tcPr>
          <w:p w:rsidR="007C5447" w:rsidRDefault="00F6308C">
            <w:pPr>
              <w:pStyle w:val="TableParagraph"/>
              <w:spacing w:before="79"/>
              <w:ind w:left="439"/>
              <w:jc w:val="left"/>
              <w:rPr>
                <w:sz w:val="20"/>
              </w:rPr>
            </w:pPr>
            <w:r>
              <w:rPr>
                <w:sz w:val="20"/>
              </w:rPr>
              <w:t>389.94</w:t>
            </w:r>
          </w:p>
        </w:tc>
        <w:tc>
          <w:tcPr>
            <w:tcW w:w="1275" w:type="dxa"/>
          </w:tcPr>
          <w:p w:rsidR="007C5447" w:rsidRDefault="00F6308C">
            <w:pPr>
              <w:pStyle w:val="TableParagraph"/>
              <w:spacing w:before="79"/>
              <w:ind w:left="436"/>
              <w:jc w:val="left"/>
              <w:rPr>
                <w:sz w:val="20"/>
              </w:rPr>
            </w:pPr>
            <w:r>
              <w:rPr>
                <w:sz w:val="20"/>
              </w:rPr>
              <w:t>422.44</w:t>
            </w:r>
          </w:p>
        </w:tc>
      </w:tr>
      <w:tr w:rsidR="007C5447">
        <w:trPr>
          <w:trHeight w:val="290"/>
        </w:trPr>
        <w:tc>
          <w:tcPr>
            <w:tcW w:w="562" w:type="dxa"/>
          </w:tcPr>
          <w:p w:rsidR="007C5447" w:rsidRDefault="00F6308C">
            <w:pPr>
              <w:pStyle w:val="TableParagraph"/>
              <w:spacing w:before="29"/>
              <w:ind w:left="107"/>
              <w:jc w:val="left"/>
              <w:rPr>
                <w:sz w:val="20"/>
              </w:rPr>
            </w:pPr>
            <w:r>
              <w:rPr>
                <w:w w:val="99"/>
                <w:sz w:val="20"/>
              </w:rPr>
              <w:t>2</w:t>
            </w:r>
          </w:p>
        </w:tc>
        <w:tc>
          <w:tcPr>
            <w:tcW w:w="1986" w:type="dxa"/>
          </w:tcPr>
          <w:p w:rsidR="007C5447" w:rsidRDefault="00F6308C">
            <w:pPr>
              <w:pStyle w:val="TableParagraph"/>
              <w:spacing w:before="29"/>
              <w:ind w:left="107"/>
              <w:jc w:val="left"/>
              <w:rPr>
                <w:sz w:val="20"/>
              </w:rPr>
            </w:pPr>
            <w:r>
              <w:rPr>
                <w:sz w:val="20"/>
              </w:rPr>
              <w:t>Tuticorin TPS</w:t>
            </w:r>
          </w:p>
        </w:tc>
        <w:tc>
          <w:tcPr>
            <w:tcW w:w="1277" w:type="dxa"/>
          </w:tcPr>
          <w:p w:rsidR="007C5447" w:rsidRDefault="00F6308C">
            <w:pPr>
              <w:pStyle w:val="TableParagraph"/>
              <w:spacing w:before="29"/>
              <w:ind w:left="437"/>
              <w:jc w:val="left"/>
              <w:rPr>
                <w:sz w:val="20"/>
              </w:rPr>
            </w:pPr>
            <w:r>
              <w:rPr>
                <w:sz w:val="20"/>
              </w:rPr>
              <w:t>302.59</w:t>
            </w:r>
          </w:p>
        </w:tc>
        <w:tc>
          <w:tcPr>
            <w:tcW w:w="1275" w:type="dxa"/>
          </w:tcPr>
          <w:p w:rsidR="007C5447" w:rsidRDefault="00F6308C">
            <w:pPr>
              <w:pStyle w:val="TableParagraph"/>
              <w:spacing w:before="29"/>
              <w:ind w:left="437"/>
              <w:jc w:val="left"/>
              <w:rPr>
                <w:sz w:val="20"/>
              </w:rPr>
            </w:pPr>
            <w:r>
              <w:rPr>
                <w:sz w:val="20"/>
              </w:rPr>
              <w:t>340.85</w:t>
            </w:r>
          </w:p>
        </w:tc>
        <w:tc>
          <w:tcPr>
            <w:tcW w:w="1419" w:type="dxa"/>
          </w:tcPr>
          <w:p w:rsidR="007C5447" w:rsidRDefault="00F6308C">
            <w:pPr>
              <w:pStyle w:val="TableParagraph"/>
              <w:spacing w:before="29"/>
              <w:ind w:right="275"/>
              <w:rPr>
                <w:sz w:val="20"/>
              </w:rPr>
            </w:pPr>
            <w:r>
              <w:rPr>
                <w:w w:val="95"/>
                <w:sz w:val="20"/>
              </w:rPr>
              <w:t>548.39</w:t>
            </w:r>
          </w:p>
        </w:tc>
        <w:tc>
          <w:tcPr>
            <w:tcW w:w="1278" w:type="dxa"/>
          </w:tcPr>
          <w:p w:rsidR="007C5447" w:rsidRDefault="00F6308C">
            <w:pPr>
              <w:pStyle w:val="TableParagraph"/>
              <w:spacing w:before="29"/>
              <w:ind w:left="439"/>
              <w:jc w:val="left"/>
              <w:rPr>
                <w:sz w:val="20"/>
              </w:rPr>
            </w:pPr>
            <w:r>
              <w:rPr>
                <w:sz w:val="20"/>
              </w:rPr>
              <w:t>686.50</w:t>
            </w:r>
          </w:p>
        </w:tc>
        <w:tc>
          <w:tcPr>
            <w:tcW w:w="1275" w:type="dxa"/>
          </w:tcPr>
          <w:p w:rsidR="007C5447" w:rsidRDefault="00F6308C">
            <w:pPr>
              <w:pStyle w:val="TableParagraph"/>
              <w:spacing w:before="29"/>
              <w:ind w:left="436"/>
              <w:jc w:val="left"/>
              <w:rPr>
                <w:sz w:val="20"/>
              </w:rPr>
            </w:pPr>
            <w:r>
              <w:rPr>
                <w:sz w:val="20"/>
              </w:rPr>
              <w:t>743.69</w:t>
            </w:r>
          </w:p>
        </w:tc>
      </w:tr>
      <w:tr w:rsidR="007C5447">
        <w:trPr>
          <w:trHeight w:val="287"/>
        </w:trPr>
        <w:tc>
          <w:tcPr>
            <w:tcW w:w="562" w:type="dxa"/>
          </w:tcPr>
          <w:p w:rsidR="007C5447" w:rsidRDefault="00F6308C">
            <w:pPr>
              <w:pStyle w:val="TableParagraph"/>
              <w:spacing w:before="29"/>
              <w:ind w:left="107"/>
              <w:jc w:val="left"/>
              <w:rPr>
                <w:sz w:val="20"/>
              </w:rPr>
            </w:pPr>
            <w:r>
              <w:rPr>
                <w:w w:val="99"/>
                <w:sz w:val="20"/>
              </w:rPr>
              <w:t>3</w:t>
            </w:r>
          </w:p>
        </w:tc>
        <w:tc>
          <w:tcPr>
            <w:tcW w:w="1986" w:type="dxa"/>
          </w:tcPr>
          <w:p w:rsidR="007C5447" w:rsidRDefault="00F6308C">
            <w:pPr>
              <w:pStyle w:val="TableParagraph"/>
              <w:spacing w:before="29"/>
              <w:ind w:left="107"/>
              <w:jc w:val="left"/>
              <w:rPr>
                <w:sz w:val="20"/>
              </w:rPr>
            </w:pPr>
            <w:r>
              <w:rPr>
                <w:sz w:val="20"/>
              </w:rPr>
              <w:t>Mettur TPS</w:t>
            </w:r>
          </w:p>
        </w:tc>
        <w:tc>
          <w:tcPr>
            <w:tcW w:w="1277" w:type="dxa"/>
          </w:tcPr>
          <w:p w:rsidR="007C5447" w:rsidRDefault="00F6308C">
            <w:pPr>
              <w:pStyle w:val="TableParagraph"/>
              <w:spacing w:before="29"/>
              <w:ind w:left="437"/>
              <w:jc w:val="left"/>
              <w:rPr>
                <w:sz w:val="20"/>
              </w:rPr>
            </w:pPr>
            <w:r>
              <w:rPr>
                <w:sz w:val="20"/>
              </w:rPr>
              <w:t>175.77</w:t>
            </w:r>
          </w:p>
        </w:tc>
        <w:tc>
          <w:tcPr>
            <w:tcW w:w="1275" w:type="dxa"/>
          </w:tcPr>
          <w:p w:rsidR="007C5447" w:rsidRDefault="00F6308C">
            <w:pPr>
              <w:pStyle w:val="TableParagraph"/>
              <w:spacing w:before="29"/>
              <w:ind w:left="437"/>
              <w:jc w:val="left"/>
              <w:rPr>
                <w:sz w:val="20"/>
              </w:rPr>
            </w:pPr>
            <w:r>
              <w:rPr>
                <w:sz w:val="20"/>
              </w:rPr>
              <w:t>202.37</w:t>
            </w:r>
          </w:p>
        </w:tc>
        <w:tc>
          <w:tcPr>
            <w:tcW w:w="1419" w:type="dxa"/>
          </w:tcPr>
          <w:p w:rsidR="007C5447" w:rsidRDefault="00F6308C">
            <w:pPr>
              <w:pStyle w:val="TableParagraph"/>
              <w:spacing w:before="29"/>
              <w:ind w:right="275"/>
              <w:rPr>
                <w:sz w:val="20"/>
              </w:rPr>
            </w:pPr>
            <w:r>
              <w:rPr>
                <w:w w:val="95"/>
                <w:sz w:val="20"/>
              </w:rPr>
              <w:t>325.91</w:t>
            </w:r>
          </w:p>
        </w:tc>
        <w:tc>
          <w:tcPr>
            <w:tcW w:w="1278" w:type="dxa"/>
          </w:tcPr>
          <w:p w:rsidR="007C5447" w:rsidRDefault="00F6308C">
            <w:pPr>
              <w:pStyle w:val="TableParagraph"/>
              <w:spacing w:before="29"/>
              <w:ind w:left="439"/>
              <w:jc w:val="left"/>
              <w:rPr>
                <w:sz w:val="20"/>
              </w:rPr>
            </w:pPr>
            <w:r>
              <w:rPr>
                <w:sz w:val="20"/>
              </w:rPr>
              <w:t>332.85</w:t>
            </w:r>
          </w:p>
        </w:tc>
        <w:tc>
          <w:tcPr>
            <w:tcW w:w="1275" w:type="dxa"/>
          </w:tcPr>
          <w:p w:rsidR="007C5447" w:rsidRDefault="00F6308C">
            <w:pPr>
              <w:pStyle w:val="TableParagraph"/>
              <w:spacing w:before="29"/>
              <w:ind w:left="436"/>
              <w:jc w:val="left"/>
              <w:rPr>
                <w:sz w:val="20"/>
              </w:rPr>
            </w:pPr>
            <w:r>
              <w:rPr>
                <w:sz w:val="20"/>
              </w:rPr>
              <w:t>441.29</w:t>
            </w:r>
          </w:p>
        </w:tc>
      </w:tr>
      <w:tr w:rsidR="007C5447">
        <w:trPr>
          <w:trHeight w:val="290"/>
        </w:trPr>
        <w:tc>
          <w:tcPr>
            <w:tcW w:w="562" w:type="dxa"/>
          </w:tcPr>
          <w:p w:rsidR="007C5447" w:rsidRDefault="00F6308C">
            <w:pPr>
              <w:pStyle w:val="TableParagraph"/>
              <w:spacing w:before="29"/>
              <w:ind w:left="107"/>
              <w:jc w:val="left"/>
              <w:rPr>
                <w:sz w:val="20"/>
              </w:rPr>
            </w:pPr>
            <w:r>
              <w:rPr>
                <w:w w:val="99"/>
                <w:sz w:val="20"/>
              </w:rPr>
              <w:t>4</w:t>
            </w:r>
          </w:p>
        </w:tc>
        <w:tc>
          <w:tcPr>
            <w:tcW w:w="1986" w:type="dxa"/>
          </w:tcPr>
          <w:p w:rsidR="007C5447" w:rsidRDefault="00F6308C">
            <w:pPr>
              <w:pStyle w:val="TableParagraph"/>
              <w:spacing w:before="29"/>
              <w:ind w:left="107"/>
              <w:jc w:val="left"/>
              <w:rPr>
                <w:sz w:val="20"/>
              </w:rPr>
            </w:pPr>
            <w:r>
              <w:rPr>
                <w:sz w:val="20"/>
              </w:rPr>
              <w:t>North Chennai TPS</w:t>
            </w:r>
          </w:p>
        </w:tc>
        <w:tc>
          <w:tcPr>
            <w:tcW w:w="1277" w:type="dxa"/>
          </w:tcPr>
          <w:p w:rsidR="007C5447" w:rsidRDefault="00F6308C">
            <w:pPr>
              <w:pStyle w:val="TableParagraph"/>
              <w:spacing w:before="29"/>
              <w:ind w:left="437"/>
              <w:jc w:val="left"/>
              <w:rPr>
                <w:sz w:val="20"/>
              </w:rPr>
            </w:pPr>
            <w:r>
              <w:rPr>
                <w:sz w:val="20"/>
              </w:rPr>
              <w:t>314.40</w:t>
            </w:r>
          </w:p>
        </w:tc>
        <w:tc>
          <w:tcPr>
            <w:tcW w:w="1275" w:type="dxa"/>
          </w:tcPr>
          <w:p w:rsidR="007C5447" w:rsidRDefault="00F6308C">
            <w:pPr>
              <w:pStyle w:val="TableParagraph"/>
              <w:spacing w:before="29"/>
              <w:ind w:left="437"/>
              <w:jc w:val="left"/>
              <w:rPr>
                <w:sz w:val="20"/>
              </w:rPr>
            </w:pPr>
            <w:r>
              <w:rPr>
                <w:sz w:val="20"/>
              </w:rPr>
              <w:t>364.21</w:t>
            </w:r>
          </w:p>
        </w:tc>
        <w:tc>
          <w:tcPr>
            <w:tcW w:w="1419" w:type="dxa"/>
          </w:tcPr>
          <w:p w:rsidR="007C5447" w:rsidRDefault="00F6308C">
            <w:pPr>
              <w:pStyle w:val="TableParagraph"/>
              <w:spacing w:before="29"/>
              <w:ind w:right="275"/>
              <w:rPr>
                <w:sz w:val="20"/>
              </w:rPr>
            </w:pPr>
            <w:r>
              <w:rPr>
                <w:w w:val="95"/>
                <w:sz w:val="20"/>
              </w:rPr>
              <w:t>586.69</w:t>
            </w:r>
          </w:p>
        </w:tc>
        <w:tc>
          <w:tcPr>
            <w:tcW w:w="1278" w:type="dxa"/>
          </w:tcPr>
          <w:p w:rsidR="007C5447" w:rsidRDefault="00F6308C">
            <w:pPr>
              <w:pStyle w:val="TableParagraph"/>
              <w:spacing w:before="29"/>
              <w:ind w:left="439"/>
              <w:jc w:val="left"/>
              <w:rPr>
                <w:sz w:val="20"/>
              </w:rPr>
            </w:pPr>
            <w:r>
              <w:rPr>
                <w:sz w:val="20"/>
              </w:rPr>
              <w:t>729.51</w:t>
            </w:r>
          </w:p>
        </w:tc>
        <w:tc>
          <w:tcPr>
            <w:tcW w:w="1275" w:type="dxa"/>
          </w:tcPr>
          <w:p w:rsidR="007C5447" w:rsidRDefault="00F6308C">
            <w:pPr>
              <w:pStyle w:val="TableParagraph"/>
              <w:spacing w:before="29"/>
              <w:ind w:left="436"/>
              <w:jc w:val="left"/>
              <w:rPr>
                <w:sz w:val="20"/>
              </w:rPr>
            </w:pPr>
            <w:r>
              <w:rPr>
                <w:sz w:val="20"/>
              </w:rPr>
              <w:t>824.36</w:t>
            </w:r>
          </w:p>
        </w:tc>
      </w:tr>
      <w:tr w:rsidR="007C5447">
        <w:trPr>
          <w:trHeight w:val="287"/>
        </w:trPr>
        <w:tc>
          <w:tcPr>
            <w:tcW w:w="562" w:type="dxa"/>
          </w:tcPr>
          <w:p w:rsidR="007C5447" w:rsidRDefault="00F6308C">
            <w:pPr>
              <w:pStyle w:val="TableParagraph"/>
              <w:spacing w:before="29"/>
              <w:ind w:left="107"/>
              <w:jc w:val="left"/>
              <w:rPr>
                <w:sz w:val="20"/>
              </w:rPr>
            </w:pPr>
            <w:r>
              <w:rPr>
                <w:w w:val="99"/>
                <w:sz w:val="20"/>
              </w:rPr>
              <w:t>5</w:t>
            </w:r>
          </w:p>
        </w:tc>
        <w:tc>
          <w:tcPr>
            <w:tcW w:w="1986" w:type="dxa"/>
          </w:tcPr>
          <w:p w:rsidR="007C5447" w:rsidRDefault="00F6308C">
            <w:pPr>
              <w:pStyle w:val="TableParagraph"/>
              <w:spacing w:before="29"/>
              <w:ind w:left="107"/>
              <w:jc w:val="left"/>
              <w:rPr>
                <w:sz w:val="20"/>
              </w:rPr>
            </w:pPr>
            <w:r>
              <w:rPr>
                <w:sz w:val="20"/>
              </w:rPr>
              <w:t>Mettur TPS Stage III</w:t>
            </w:r>
          </w:p>
        </w:tc>
        <w:tc>
          <w:tcPr>
            <w:tcW w:w="1277" w:type="dxa"/>
          </w:tcPr>
          <w:p w:rsidR="007C5447" w:rsidRDefault="00F6308C">
            <w:pPr>
              <w:pStyle w:val="TableParagraph"/>
              <w:spacing w:before="29"/>
              <w:ind w:right="273"/>
              <w:rPr>
                <w:sz w:val="20"/>
              </w:rPr>
            </w:pPr>
            <w:r>
              <w:rPr>
                <w:w w:val="99"/>
                <w:sz w:val="20"/>
              </w:rPr>
              <w:t>-</w:t>
            </w:r>
          </w:p>
        </w:tc>
        <w:tc>
          <w:tcPr>
            <w:tcW w:w="1275" w:type="dxa"/>
          </w:tcPr>
          <w:p w:rsidR="007C5447" w:rsidRDefault="007C5447">
            <w:pPr>
              <w:pStyle w:val="TableParagraph"/>
              <w:jc w:val="left"/>
              <w:rPr>
                <w:sz w:val="20"/>
              </w:rPr>
            </w:pPr>
          </w:p>
        </w:tc>
        <w:tc>
          <w:tcPr>
            <w:tcW w:w="1419" w:type="dxa"/>
          </w:tcPr>
          <w:p w:rsidR="007C5447" w:rsidRDefault="00F6308C">
            <w:pPr>
              <w:pStyle w:val="TableParagraph"/>
              <w:spacing w:before="29"/>
              <w:ind w:right="271"/>
              <w:rPr>
                <w:sz w:val="20"/>
              </w:rPr>
            </w:pPr>
            <w:r>
              <w:rPr>
                <w:w w:val="99"/>
                <w:sz w:val="20"/>
              </w:rPr>
              <w:t>-</w:t>
            </w:r>
          </w:p>
        </w:tc>
        <w:tc>
          <w:tcPr>
            <w:tcW w:w="1278" w:type="dxa"/>
          </w:tcPr>
          <w:p w:rsidR="007C5447" w:rsidRDefault="00F6308C">
            <w:pPr>
              <w:pStyle w:val="TableParagraph"/>
              <w:spacing w:before="29"/>
              <w:ind w:right="277"/>
              <w:rPr>
                <w:sz w:val="20"/>
              </w:rPr>
            </w:pPr>
            <w:r>
              <w:rPr>
                <w:w w:val="99"/>
                <w:sz w:val="20"/>
              </w:rPr>
              <w:t>-</w:t>
            </w:r>
          </w:p>
        </w:tc>
        <w:tc>
          <w:tcPr>
            <w:tcW w:w="1275" w:type="dxa"/>
          </w:tcPr>
          <w:p w:rsidR="007C5447" w:rsidRDefault="00F6308C">
            <w:pPr>
              <w:pStyle w:val="TableParagraph"/>
              <w:spacing w:before="29"/>
              <w:ind w:left="534"/>
              <w:jc w:val="left"/>
              <w:rPr>
                <w:sz w:val="20"/>
              </w:rPr>
            </w:pPr>
            <w:r>
              <w:rPr>
                <w:sz w:val="20"/>
              </w:rPr>
              <w:t>29.90</w:t>
            </w:r>
          </w:p>
        </w:tc>
      </w:tr>
      <w:tr w:rsidR="007C5447">
        <w:trPr>
          <w:trHeight w:val="290"/>
        </w:trPr>
        <w:tc>
          <w:tcPr>
            <w:tcW w:w="562" w:type="dxa"/>
          </w:tcPr>
          <w:p w:rsidR="007C5447" w:rsidRDefault="00F6308C">
            <w:pPr>
              <w:pStyle w:val="TableParagraph"/>
              <w:spacing w:before="31"/>
              <w:ind w:left="107"/>
              <w:jc w:val="left"/>
              <w:rPr>
                <w:sz w:val="20"/>
              </w:rPr>
            </w:pPr>
            <w:r>
              <w:rPr>
                <w:w w:val="99"/>
                <w:sz w:val="20"/>
              </w:rPr>
              <w:t>6</w:t>
            </w:r>
          </w:p>
        </w:tc>
        <w:tc>
          <w:tcPr>
            <w:tcW w:w="1986" w:type="dxa"/>
          </w:tcPr>
          <w:p w:rsidR="007C5447" w:rsidRDefault="00F6308C">
            <w:pPr>
              <w:pStyle w:val="TableParagraph"/>
              <w:spacing w:before="31"/>
              <w:ind w:left="107"/>
              <w:jc w:val="left"/>
              <w:rPr>
                <w:sz w:val="20"/>
              </w:rPr>
            </w:pPr>
            <w:r>
              <w:rPr>
                <w:sz w:val="20"/>
              </w:rPr>
              <w:t>NCTPS Stage II</w:t>
            </w:r>
          </w:p>
        </w:tc>
        <w:tc>
          <w:tcPr>
            <w:tcW w:w="1277" w:type="dxa"/>
          </w:tcPr>
          <w:p w:rsidR="007C5447" w:rsidRDefault="007C5447">
            <w:pPr>
              <w:pStyle w:val="TableParagraph"/>
              <w:jc w:val="left"/>
              <w:rPr>
                <w:sz w:val="20"/>
              </w:rPr>
            </w:pPr>
          </w:p>
        </w:tc>
        <w:tc>
          <w:tcPr>
            <w:tcW w:w="1275" w:type="dxa"/>
          </w:tcPr>
          <w:p w:rsidR="007C5447" w:rsidRDefault="007C5447">
            <w:pPr>
              <w:pStyle w:val="TableParagraph"/>
              <w:jc w:val="left"/>
              <w:rPr>
                <w:sz w:val="20"/>
              </w:rPr>
            </w:pPr>
          </w:p>
        </w:tc>
        <w:tc>
          <w:tcPr>
            <w:tcW w:w="1419" w:type="dxa"/>
          </w:tcPr>
          <w:p w:rsidR="007C5447" w:rsidRDefault="007C5447">
            <w:pPr>
              <w:pStyle w:val="TableParagraph"/>
              <w:jc w:val="left"/>
              <w:rPr>
                <w:sz w:val="20"/>
              </w:rPr>
            </w:pPr>
          </w:p>
        </w:tc>
        <w:tc>
          <w:tcPr>
            <w:tcW w:w="1278" w:type="dxa"/>
          </w:tcPr>
          <w:p w:rsidR="007C5447" w:rsidRDefault="00F6308C">
            <w:pPr>
              <w:pStyle w:val="TableParagraph"/>
              <w:spacing w:before="31"/>
              <w:ind w:right="277"/>
              <w:rPr>
                <w:sz w:val="20"/>
              </w:rPr>
            </w:pPr>
            <w:r>
              <w:rPr>
                <w:w w:val="99"/>
                <w:sz w:val="20"/>
              </w:rPr>
              <w:t>-</w:t>
            </w:r>
          </w:p>
        </w:tc>
        <w:tc>
          <w:tcPr>
            <w:tcW w:w="1275" w:type="dxa"/>
          </w:tcPr>
          <w:p w:rsidR="007C5447" w:rsidRDefault="00F6308C">
            <w:pPr>
              <w:pStyle w:val="TableParagraph"/>
              <w:spacing w:before="31"/>
              <w:ind w:left="301"/>
              <w:jc w:val="left"/>
              <w:rPr>
                <w:sz w:val="20"/>
              </w:rPr>
            </w:pPr>
            <w:r>
              <w:rPr>
                <w:sz w:val="20"/>
              </w:rPr>
              <w:t>(166.51)</w:t>
            </w:r>
          </w:p>
        </w:tc>
      </w:tr>
      <w:tr w:rsidR="007C5447">
        <w:trPr>
          <w:trHeight w:val="290"/>
        </w:trPr>
        <w:tc>
          <w:tcPr>
            <w:tcW w:w="562" w:type="dxa"/>
          </w:tcPr>
          <w:p w:rsidR="007C5447" w:rsidRDefault="00F6308C">
            <w:pPr>
              <w:pStyle w:val="TableParagraph"/>
              <w:spacing w:before="29"/>
              <w:ind w:left="107"/>
              <w:jc w:val="left"/>
              <w:rPr>
                <w:sz w:val="20"/>
              </w:rPr>
            </w:pPr>
            <w:r>
              <w:rPr>
                <w:w w:val="99"/>
                <w:sz w:val="20"/>
              </w:rPr>
              <w:t>7</w:t>
            </w:r>
          </w:p>
        </w:tc>
        <w:tc>
          <w:tcPr>
            <w:tcW w:w="1986" w:type="dxa"/>
          </w:tcPr>
          <w:p w:rsidR="007C5447" w:rsidRDefault="00F6308C">
            <w:pPr>
              <w:pStyle w:val="TableParagraph"/>
              <w:spacing w:before="29"/>
              <w:ind w:left="107"/>
              <w:jc w:val="left"/>
              <w:rPr>
                <w:sz w:val="20"/>
              </w:rPr>
            </w:pPr>
            <w:r>
              <w:rPr>
                <w:sz w:val="20"/>
              </w:rPr>
              <w:t>Tirumakottai GTPS</w:t>
            </w:r>
          </w:p>
        </w:tc>
        <w:tc>
          <w:tcPr>
            <w:tcW w:w="1277" w:type="dxa"/>
          </w:tcPr>
          <w:p w:rsidR="007C5447" w:rsidRDefault="00F6308C">
            <w:pPr>
              <w:pStyle w:val="TableParagraph"/>
              <w:spacing w:before="29"/>
              <w:ind w:left="538"/>
              <w:jc w:val="left"/>
              <w:rPr>
                <w:sz w:val="20"/>
              </w:rPr>
            </w:pPr>
            <w:r>
              <w:rPr>
                <w:sz w:val="20"/>
              </w:rPr>
              <w:t>72.33</w:t>
            </w:r>
          </w:p>
        </w:tc>
        <w:tc>
          <w:tcPr>
            <w:tcW w:w="1275" w:type="dxa"/>
          </w:tcPr>
          <w:p w:rsidR="007C5447" w:rsidRDefault="00F6308C">
            <w:pPr>
              <w:pStyle w:val="TableParagraph"/>
              <w:spacing w:before="29"/>
              <w:ind w:left="538"/>
              <w:jc w:val="left"/>
              <w:rPr>
                <w:sz w:val="20"/>
              </w:rPr>
            </w:pPr>
            <w:r>
              <w:rPr>
                <w:sz w:val="20"/>
              </w:rPr>
              <w:t>82.55</w:t>
            </w:r>
          </w:p>
        </w:tc>
        <w:tc>
          <w:tcPr>
            <w:tcW w:w="1419" w:type="dxa"/>
          </w:tcPr>
          <w:p w:rsidR="007C5447" w:rsidRDefault="00F6308C">
            <w:pPr>
              <w:pStyle w:val="TableParagraph"/>
              <w:spacing w:before="29"/>
              <w:ind w:right="275"/>
              <w:rPr>
                <w:sz w:val="20"/>
              </w:rPr>
            </w:pPr>
            <w:r>
              <w:rPr>
                <w:w w:val="95"/>
                <w:sz w:val="20"/>
              </w:rPr>
              <w:t>132.90</w:t>
            </w:r>
          </w:p>
        </w:tc>
        <w:tc>
          <w:tcPr>
            <w:tcW w:w="1278" w:type="dxa"/>
          </w:tcPr>
          <w:p w:rsidR="007C5447" w:rsidRDefault="00F6308C">
            <w:pPr>
              <w:pStyle w:val="TableParagraph"/>
              <w:spacing w:before="29"/>
              <w:ind w:left="439"/>
              <w:jc w:val="left"/>
              <w:rPr>
                <w:sz w:val="20"/>
              </w:rPr>
            </w:pPr>
            <w:r>
              <w:rPr>
                <w:sz w:val="20"/>
              </w:rPr>
              <w:t>166.92</w:t>
            </w:r>
          </w:p>
        </w:tc>
        <w:tc>
          <w:tcPr>
            <w:tcW w:w="1275" w:type="dxa"/>
          </w:tcPr>
          <w:p w:rsidR="007C5447" w:rsidRDefault="00F6308C">
            <w:pPr>
              <w:pStyle w:val="TableParagraph"/>
              <w:spacing w:before="29"/>
              <w:ind w:left="436"/>
              <w:jc w:val="left"/>
              <w:rPr>
                <w:sz w:val="20"/>
              </w:rPr>
            </w:pPr>
            <w:r>
              <w:rPr>
                <w:sz w:val="20"/>
              </w:rPr>
              <w:t>178.90</w:t>
            </w:r>
          </w:p>
        </w:tc>
      </w:tr>
      <w:tr w:rsidR="007C5447">
        <w:trPr>
          <w:trHeight w:val="287"/>
        </w:trPr>
        <w:tc>
          <w:tcPr>
            <w:tcW w:w="562" w:type="dxa"/>
          </w:tcPr>
          <w:p w:rsidR="007C5447" w:rsidRDefault="00F6308C">
            <w:pPr>
              <w:pStyle w:val="TableParagraph"/>
              <w:spacing w:before="29"/>
              <w:ind w:left="107"/>
              <w:jc w:val="left"/>
              <w:rPr>
                <w:sz w:val="20"/>
              </w:rPr>
            </w:pPr>
            <w:r>
              <w:rPr>
                <w:w w:val="99"/>
                <w:sz w:val="20"/>
              </w:rPr>
              <w:t>8</w:t>
            </w:r>
          </w:p>
        </w:tc>
        <w:tc>
          <w:tcPr>
            <w:tcW w:w="1986" w:type="dxa"/>
          </w:tcPr>
          <w:p w:rsidR="007C5447" w:rsidRDefault="00F6308C">
            <w:pPr>
              <w:pStyle w:val="TableParagraph"/>
              <w:spacing w:before="29"/>
              <w:ind w:left="107"/>
              <w:jc w:val="left"/>
              <w:rPr>
                <w:sz w:val="20"/>
              </w:rPr>
            </w:pPr>
            <w:r>
              <w:rPr>
                <w:sz w:val="20"/>
              </w:rPr>
              <w:t>Kuttalam GTPS</w:t>
            </w:r>
          </w:p>
        </w:tc>
        <w:tc>
          <w:tcPr>
            <w:tcW w:w="1277" w:type="dxa"/>
          </w:tcPr>
          <w:p w:rsidR="007C5447" w:rsidRDefault="00F6308C">
            <w:pPr>
              <w:pStyle w:val="TableParagraph"/>
              <w:spacing w:before="29"/>
              <w:ind w:left="538"/>
              <w:jc w:val="left"/>
              <w:rPr>
                <w:sz w:val="20"/>
              </w:rPr>
            </w:pPr>
            <w:r>
              <w:rPr>
                <w:sz w:val="20"/>
              </w:rPr>
              <w:t>49.30</w:t>
            </w:r>
          </w:p>
        </w:tc>
        <w:tc>
          <w:tcPr>
            <w:tcW w:w="1275" w:type="dxa"/>
          </w:tcPr>
          <w:p w:rsidR="007C5447" w:rsidRDefault="00F6308C">
            <w:pPr>
              <w:pStyle w:val="TableParagraph"/>
              <w:spacing w:before="29"/>
              <w:ind w:left="538"/>
              <w:jc w:val="left"/>
              <w:rPr>
                <w:sz w:val="20"/>
              </w:rPr>
            </w:pPr>
            <w:r>
              <w:rPr>
                <w:sz w:val="20"/>
              </w:rPr>
              <w:t>64.28</w:t>
            </w:r>
          </w:p>
        </w:tc>
        <w:tc>
          <w:tcPr>
            <w:tcW w:w="1419" w:type="dxa"/>
          </w:tcPr>
          <w:p w:rsidR="007C5447" w:rsidRDefault="00F6308C">
            <w:pPr>
              <w:pStyle w:val="TableParagraph"/>
              <w:spacing w:before="29"/>
              <w:ind w:right="275"/>
              <w:rPr>
                <w:sz w:val="20"/>
              </w:rPr>
            </w:pPr>
            <w:r>
              <w:rPr>
                <w:w w:val="95"/>
                <w:sz w:val="20"/>
              </w:rPr>
              <w:t>104.04</w:t>
            </w:r>
          </w:p>
        </w:tc>
        <w:tc>
          <w:tcPr>
            <w:tcW w:w="1278" w:type="dxa"/>
          </w:tcPr>
          <w:p w:rsidR="007C5447" w:rsidRDefault="00F6308C">
            <w:pPr>
              <w:pStyle w:val="TableParagraph"/>
              <w:spacing w:before="29"/>
              <w:ind w:left="439"/>
              <w:jc w:val="left"/>
              <w:rPr>
                <w:sz w:val="20"/>
              </w:rPr>
            </w:pPr>
            <w:r>
              <w:rPr>
                <w:sz w:val="20"/>
              </w:rPr>
              <w:t>128.05</w:t>
            </w:r>
          </w:p>
        </w:tc>
        <w:tc>
          <w:tcPr>
            <w:tcW w:w="1275" w:type="dxa"/>
          </w:tcPr>
          <w:p w:rsidR="007C5447" w:rsidRDefault="00F6308C">
            <w:pPr>
              <w:pStyle w:val="TableParagraph"/>
              <w:spacing w:before="29"/>
              <w:ind w:left="436"/>
              <w:jc w:val="left"/>
              <w:rPr>
                <w:sz w:val="20"/>
              </w:rPr>
            </w:pPr>
            <w:r>
              <w:rPr>
                <w:sz w:val="20"/>
              </w:rPr>
              <w:t>141.47</w:t>
            </w:r>
          </w:p>
        </w:tc>
      </w:tr>
      <w:tr w:rsidR="007C5447">
        <w:trPr>
          <w:trHeight w:val="290"/>
        </w:trPr>
        <w:tc>
          <w:tcPr>
            <w:tcW w:w="562" w:type="dxa"/>
          </w:tcPr>
          <w:p w:rsidR="007C5447" w:rsidRDefault="00F6308C">
            <w:pPr>
              <w:pStyle w:val="TableParagraph"/>
              <w:spacing w:before="29"/>
              <w:ind w:left="107"/>
              <w:jc w:val="left"/>
              <w:rPr>
                <w:sz w:val="20"/>
              </w:rPr>
            </w:pPr>
            <w:r>
              <w:rPr>
                <w:w w:val="99"/>
                <w:sz w:val="20"/>
              </w:rPr>
              <w:t>9</w:t>
            </w:r>
          </w:p>
        </w:tc>
        <w:tc>
          <w:tcPr>
            <w:tcW w:w="1986" w:type="dxa"/>
          </w:tcPr>
          <w:p w:rsidR="007C5447" w:rsidRDefault="00F6308C">
            <w:pPr>
              <w:pStyle w:val="TableParagraph"/>
              <w:spacing w:before="29"/>
              <w:ind w:left="107"/>
              <w:jc w:val="left"/>
              <w:rPr>
                <w:sz w:val="20"/>
              </w:rPr>
            </w:pPr>
            <w:r>
              <w:rPr>
                <w:sz w:val="20"/>
              </w:rPr>
              <w:t>Basin Bridge GTPS</w:t>
            </w:r>
          </w:p>
        </w:tc>
        <w:tc>
          <w:tcPr>
            <w:tcW w:w="1277" w:type="dxa"/>
          </w:tcPr>
          <w:p w:rsidR="007C5447" w:rsidRDefault="00F6308C">
            <w:pPr>
              <w:pStyle w:val="TableParagraph"/>
              <w:spacing w:before="29"/>
              <w:ind w:left="538"/>
              <w:jc w:val="left"/>
              <w:rPr>
                <w:sz w:val="20"/>
              </w:rPr>
            </w:pPr>
            <w:r>
              <w:rPr>
                <w:sz w:val="20"/>
              </w:rPr>
              <w:t>91.20</w:t>
            </w:r>
          </w:p>
        </w:tc>
        <w:tc>
          <w:tcPr>
            <w:tcW w:w="1275" w:type="dxa"/>
          </w:tcPr>
          <w:p w:rsidR="007C5447" w:rsidRDefault="00F6308C">
            <w:pPr>
              <w:pStyle w:val="TableParagraph"/>
              <w:spacing w:before="29"/>
              <w:ind w:left="437"/>
              <w:jc w:val="left"/>
              <w:rPr>
                <w:sz w:val="20"/>
              </w:rPr>
            </w:pPr>
            <w:r>
              <w:rPr>
                <w:sz w:val="20"/>
              </w:rPr>
              <w:t>100.95</w:t>
            </w:r>
          </w:p>
        </w:tc>
        <w:tc>
          <w:tcPr>
            <w:tcW w:w="1419" w:type="dxa"/>
          </w:tcPr>
          <w:p w:rsidR="007C5447" w:rsidRDefault="00F6308C">
            <w:pPr>
              <w:pStyle w:val="TableParagraph"/>
              <w:spacing w:before="29"/>
              <w:ind w:right="275"/>
              <w:rPr>
                <w:sz w:val="20"/>
              </w:rPr>
            </w:pPr>
            <w:r>
              <w:rPr>
                <w:w w:val="95"/>
                <w:sz w:val="20"/>
              </w:rPr>
              <w:t>162.30</w:t>
            </w:r>
          </w:p>
        </w:tc>
        <w:tc>
          <w:tcPr>
            <w:tcW w:w="1278" w:type="dxa"/>
          </w:tcPr>
          <w:p w:rsidR="007C5447" w:rsidRDefault="00F6308C">
            <w:pPr>
              <w:pStyle w:val="TableParagraph"/>
              <w:spacing w:before="29"/>
              <w:ind w:left="439"/>
              <w:jc w:val="left"/>
              <w:rPr>
                <w:sz w:val="20"/>
              </w:rPr>
            </w:pPr>
            <w:r>
              <w:rPr>
                <w:sz w:val="20"/>
              </w:rPr>
              <w:t>203.75</w:t>
            </w:r>
          </w:p>
        </w:tc>
        <w:tc>
          <w:tcPr>
            <w:tcW w:w="1275" w:type="dxa"/>
          </w:tcPr>
          <w:p w:rsidR="007C5447" w:rsidRDefault="00F6308C">
            <w:pPr>
              <w:pStyle w:val="TableParagraph"/>
              <w:spacing w:before="29"/>
              <w:ind w:left="436"/>
              <w:jc w:val="left"/>
              <w:rPr>
                <w:sz w:val="20"/>
              </w:rPr>
            </w:pPr>
            <w:r>
              <w:rPr>
                <w:sz w:val="20"/>
              </w:rPr>
              <w:t>220.26</w:t>
            </w:r>
          </w:p>
        </w:tc>
      </w:tr>
      <w:tr w:rsidR="007C5447">
        <w:trPr>
          <w:trHeight w:val="287"/>
        </w:trPr>
        <w:tc>
          <w:tcPr>
            <w:tcW w:w="562" w:type="dxa"/>
          </w:tcPr>
          <w:p w:rsidR="007C5447" w:rsidRDefault="00F6308C">
            <w:pPr>
              <w:pStyle w:val="TableParagraph"/>
              <w:spacing w:before="29"/>
              <w:ind w:left="107"/>
              <w:jc w:val="left"/>
              <w:rPr>
                <w:sz w:val="20"/>
              </w:rPr>
            </w:pPr>
            <w:r>
              <w:rPr>
                <w:sz w:val="20"/>
              </w:rPr>
              <w:t>10</w:t>
            </w:r>
          </w:p>
        </w:tc>
        <w:tc>
          <w:tcPr>
            <w:tcW w:w="1986" w:type="dxa"/>
          </w:tcPr>
          <w:p w:rsidR="007C5447" w:rsidRDefault="00F6308C">
            <w:pPr>
              <w:pStyle w:val="TableParagraph"/>
              <w:spacing w:before="29"/>
              <w:ind w:left="107"/>
              <w:jc w:val="left"/>
              <w:rPr>
                <w:sz w:val="20"/>
              </w:rPr>
            </w:pPr>
            <w:r>
              <w:rPr>
                <w:sz w:val="20"/>
              </w:rPr>
              <w:t>Valuthur GTPS</w:t>
            </w:r>
          </w:p>
        </w:tc>
        <w:tc>
          <w:tcPr>
            <w:tcW w:w="1277" w:type="dxa"/>
          </w:tcPr>
          <w:p w:rsidR="007C5447" w:rsidRDefault="00F6308C">
            <w:pPr>
              <w:pStyle w:val="TableParagraph"/>
              <w:spacing w:before="29"/>
              <w:ind w:left="538"/>
              <w:jc w:val="left"/>
              <w:rPr>
                <w:sz w:val="20"/>
              </w:rPr>
            </w:pPr>
            <w:r>
              <w:rPr>
                <w:sz w:val="20"/>
              </w:rPr>
              <w:t>82.93</w:t>
            </w:r>
          </w:p>
        </w:tc>
        <w:tc>
          <w:tcPr>
            <w:tcW w:w="1275" w:type="dxa"/>
          </w:tcPr>
          <w:p w:rsidR="007C5447" w:rsidRDefault="00F6308C">
            <w:pPr>
              <w:pStyle w:val="TableParagraph"/>
              <w:spacing w:before="29"/>
              <w:ind w:left="538"/>
              <w:jc w:val="left"/>
              <w:rPr>
                <w:sz w:val="20"/>
              </w:rPr>
            </w:pPr>
            <w:r>
              <w:rPr>
                <w:sz w:val="20"/>
              </w:rPr>
              <w:t>99.03</w:t>
            </w:r>
          </w:p>
        </w:tc>
        <w:tc>
          <w:tcPr>
            <w:tcW w:w="1419" w:type="dxa"/>
          </w:tcPr>
          <w:p w:rsidR="007C5447" w:rsidRDefault="00F6308C">
            <w:pPr>
              <w:pStyle w:val="TableParagraph"/>
              <w:spacing w:before="29"/>
              <w:ind w:right="275"/>
              <w:rPr>
                <w:sz w:val="20"/>
              </w:rPr>
            </w:pPr>
            <w:r>
              <w:rPr>
                <w:w w:val="95"/>
                <w:sz w:val="20"/>
              </w:rPr>
              <w:t>159.72</w:t>
            </w:r>
          </w:p>
        </w:tc>
        <w:tc>
          <w:tcPr>
            <w:tcW w:w="1278" w:type="dxa"/>
          </w:tcPr>
          <w:p w:rsidR="007C5447" w:rsidRDefault="00F6308C">
            <w:pPr>
              <w:pStyle w:val="TableParagraph"/>
              <w:spacing w:before="29"/>
              <w:ind w:left="439"/>
              <w:jc w:val="left"/>
              <w:rPr>
                <w:sz w:val="20"/>
              </w:rPr>
            </w:pPr>
            <w:r>
              <w:rPr>
                <w:sz w:val="20"/>
              </w:rPr>
              <w:t>199.95</w:t>
            </w:r>
          </w:p>
        </w:tc>
        <w:tc>
          <w:tcPr>
            <w:tcW w:w="1275" w:type="dxa"/>
          </w:tcPr>
          <w:p w:rsidR="007C5447" w:rsidRDefault="00F6308C">
            <w:pPr>
              <w:pStyle w:val="TableParagraph"/>
              <w:spacing w:before="29"/>
              <w:ind w:left="436"/>
              <w:jc w:val="left"/>
              <w:rPr>
                <w:sz w:val="20"/>
              </w:rPr>
            </w:pPr>
            <w:r>
              <w:rPr>
                <w:sz w:val="20"/>
              </w:rPr>
              <w:t>214.84</w:t>
            </w:r>
          </w:p>
        </w:tc>
      </w:tr>
      <w:tr w:rsidR="007C5447">
        <w:trPr>
          <w:trHeight w:val="290"/>
        </w:trPr>
        <w:tc>
          <w:tcPr>
            <w:tcW w:w="562" w:type="dxa"/>
          </w:tcPr>
          <w:p w:rsidR="007C5447" w:rsidRDefault="00F6308C">
            <w:pPr>
              <w:pStyle w:val="TableParagraph"/>
              <w:spacing w:before="31"/>
              <w:ind w:left="107"/>
              <w:jc w:val="left"/>
              <w:rPr>
                <w:sz w:val="20"/>
              </w:rPr>
            </w:pPr>
            <w:r>
              <w:rPr>
                <w:sz w:val="20"/>
              </w:rPr>
              <w:t>11</w:t>
            </w:r>
          </w:p>
        </w:tc>
        <w:tc>
          <w:tcPr>
            <w:tcW w:w="1986" w:type="dxa"/>
          </w:tcPr>
          <w:p w:rsidR="007C5447" w:rsidRDefault="00F6308C">
            <w:pPr>
              <w:pStyle w:val="TableParagraph"/>
              <w:spacing w:before="31"/>
              <w:ind w:left="107"/>
              <w:jc w:val="left"/>
              <w:rPr>
                <w:sz w:val="20"/>
              </w:rPr>
            </w:pPr>
            <w:r>
              <w:rPr>
                <w:sz w:val="20"/>
              </w:rPr>
              <w:t>Erode HEP</w:t>
            </w:r>
          </w:p>
        </w:tc>
        <w:tc>
          <w:tcPr>
            <w:tcW w:w="1277" w:type="dxa"/>
          </w:tcPr>
          <w:p w:rsidR="007C5447" w:rsidRDefault="00F6308C">
            <w:pPr>
              <w:pStyle w:val="TableParagraph"/>
              <w:spacing w:before="31"/>
              <w:ind w:left="437"/>
              <w:jc w:val="left"/>
              <w:rPr>
                <w:sz w:val="20"/>
              </w:rPr>
            </w:pPr>
            <w:r>
              <w:rPr>
                <w:sz w:val="20"/>
              </w:rPr>
              <w:t>114.20</w:t>
            </w:r>
          </w:p>
        </w:tc>
        <w:tc>
          <w:tcPr>
            <w:tcW w:w="1275" w:type="dxa"/>
          </w:tcPr>
          <w:p w:rsidR="007C5447" w:rsidRDefault="00F6308C">
            <w:pPr>
              <w:pStyle w:val="TableParagraph"/>
              <w:spacing w:before="31"/>
              <w:ind w:left="437"/>
              <w:jc w:val="left"/>
              <w:rPr>
                <w:sz w:val="20"/>
              </w:rPr>
            </w:pPr>
            <w:r>
              <w:rPr>
                <w:sz w:val="20"/>
              </w:rPr>
              <w:t>127.46</w:t>
            </w:r>
          </w:p>
        </w:tc>
        <w:tc>
          <w:tcPr>
            <w:tcW w:w="1419" w:type="dxa"/>
          </w:tcPr>
          <w:p w:rsidR="007C5447" w:rsidRDefault="00F6308C">
            <w:pPr>
              <w:pStyle w:val="TableParagraph"/>
              <w:spacing w:before="31"/>
              <w:ind w:right="275"/>
              <w:rPr>
                <w:sz w:val="20"/>
              </w:rPr>
            </w:pPr>
            <w:r>
              <w:rPr>
                <w:w w:val="95"/>
                <w:sz w:val="20"/>
              </w:rPr>
              <w:t>204.98</w:t>
            </w:r>
          </w:p>
        </w:tc>
        <w:tc>
          <w:tcPr>
            <w:tcW w:w="1278" w:type="dxa"/>
          </w:tcPr>
          <w:p w:rsidR="007C5447" w:rsidRDefault="00F6308C">
            <w:pPr>
              <w:pStyle w:val="TableParagraph"/>
              <w:spacing w:before="31"/>
              <w:ind w:left="439"/>
              <w:jc w:val="left"/>
              <w:rPr>
                <w:sz w:val="20"/>
              </w:rPr>
            </w:pPr>
            <w:r>
              <w:rPr>
                <w:sz w:val="20"/>
              </w:rPr>
              <w:t>243.99</w:t>
            </w:r>
          </w:p>
        </w:tc>
        <w:tc>
          <w:tcPr>
            <w:tcW w:w="1275" w:type="dxa"/>
          </w:tcPr>
          <w:p w:rsidR="007C5447" w:rsidRDefault="00F6308C">
            <w:pPr>
              <w:pStyle w:val="TableParagraph"/>
              <w:spacing w:before="31"/>
              <w:ind w:left="436"/>
              <w:jc w:val="left"/>
              <w:rPr>
                <w:sz w:val="20"/>
              </w:rPr>
            </w:pPr>
            <w:r>
              <w:rPr>
                <w:sz w:val="20"/>
              </w:rPr>
              <w:t>305.90</w:t>
            </w:r>
          </w:p>
        </w:tc>
      </w:tr>
      <w:tr w:rsidR="007C5447">
        <w:trPr>
          <w:trHeight w:val="287"/>
        </w:trPr>
        <w:tc>
          <w:tcPr>
            <w:tcW w:w="562" w:type="dxa"/>
          </w:tcPr>
          <w:p w:rsidR="007C5447" w:rsidRDefault="00F6308C">
            <w:pPr>
              <w:pStyle w:val="TableParagraph"/>
              <w:spacing w:before="29"/>
              <w:ind w:left="107"/>
              <w:jc w:val="left"/>
              <w:rPr>
                <w:sz w:val="20"/>
              </w:rPr>
            </w:pPr>
            <w:r>
              <w:rPr>
                <w:sz w:val="20"/>
              </w:rPr>
              <w:t>12</w:t>
            </w:r>
          </w:p>
        </w:tc>
        <w:tc>
          <w:tcPr>
            <w:tcW w:w="1986" w:type="dxa"/>
          </w:tcPr>
          <w:p w:rsidR="007C5447" w:rsidRDefault="00F6308C">
            <w:pPr>
              <w:pStyle w:val="TableParagraph"/>
              <w:spacing w:before="29"/>
              <w:ind w:left="107"/>
              <w:jc w:val="left"/>
              <w:rPr>
                <w:sz w:val="20"/>
              </w:rPr>
            </w:pPr>
            <w:r>
              <w:rPr>
                <w:sz w:val="20"/>
              </w:rPr>
              <w:t>Kadamparai HEP</w:t>
            </w:r>
          </w:p>
        </w:tc>
        <w:tc>
          <w:tcPr>
            <w:tcW w:w="1277" w:type="dxa"/>
          </w:tcPr>
          <w:p w:rsidR="007C5447" w:rsidRDefault="00F6308C">
            <w:pPr>
              <w:pStyle w:val="TableParagraph"/>
              <w:spacing w:before="29"/>
              <w:ind w:left="538"/>
              <w:jc w:val="left"/>
              <w:rPr>
                <w:sz w:val="20"/>
              </w:rPr>
            </w:pPr>
            <w:r>
              <w:rPr>
                <w:sz w:val="20"/>
              </w:rPr>
              <w:t>58.45</w:t>
            </w:r>
          </w:p>
        </w:tc>
        <w:tc>
          <w:tcPr>
            <w:tcW w:w="1275" w:type="dxa"/>
          </w:tcPr>
          <w:p w:rsidR="007C5447" w:rsidRDefault="00F6308C">
            <w:pPr>
              <w:pStyle w:val="TableParagraph"/>
              <w:spacing w:before="29"/>
              <w:ind w:left="538"/>
              <w:jc w:val="left"/>
              <w:rPr>
                <w:sz w:val="20"/>
              </w:rPr>
            </w:pPr>
            <w:r>
              <w:rPr>
                <w:sz w:val="20"/>
              </w:rPr>
              <w:t>66.56</w:t>
            </w:r>
          </w:p>
        </w:tc>
        <w:tc>
          <w:tcPr>
            <w:tcW w:w="1419" w:type="dxa"/>
          </w:tcPr>
          <w:p w:rsidR="007C5447" w:rsidRDefault="00F6308C">
            <w:pPr>
              <w:pStyle w:val="TableParagraph"/>
              <w:spacing w:before="29"/>
              <w:ind w:right="275"/>
              <w:rPr>
                <w:sz w:val="20"/>
              </w:rPr>
            </w:pPr>
            <w:r>
              <w:rPr>
                <w:w w:val="95"/>
                <w:sz w:val="20"/>
              </w:rPr>
              <w:t>107.14</w:t>
            </w:r>
          </w:p>
        </w:tc>
        <w:tc>
          <w:tcPr>
            <w:tcW w:w="1278" w:type="dxa"/>
          </w:tcPr>
          <w:p w:rsidR="007C5447" w:rsidRDefault="00F6308C">
            <w:pPr>
              <w:pStyle w:val="TableParagraph"/>
              <w:spacing w:before="29"/>
              <w:ind w:left="439"/>
              <w:jc w:val="left"/>
              <w:rPr>
                <w:sz w:val="20"/>
              </w:rPr>
            </w:pPr>
            <w:r>
              <w:rPr>
                <w:sz w:val="20"/>
              </w:rPr>
              <w:t>134.20</w:t>
            </w:r>
          </w:p>
        </w:tc>
        <w:tc>
          <w:tcPr>
            <w:tcW w:w="1275" w:type="dxa"/>
          </w:tcPr>
          <w:p w:rsidR="007C5447" w:rsidRDefault="00F6308C">
            <w:pPr>
              <w:pStyle w:val="TableParagraph"/>
              <w:spacing w:before="29"/>
              <w:ind w:left="436"/>
              <w:jc w:val="left"/>
              <w:rPr>
                <w:sz w:val="20"/>
              </w:rPr>
            </w:pPr>
            <w:r>
              <w:rPr>
                <w:sz w:val="20"/>
              </w:rPr>
              <w:t>130.19</w:t>
            </w:r>
          </w:p>
        </w:tc>
      </w:tr>
      <w:tr w:rsidR="007C5447">
        <w:trPr>
          <w:trHeight w:val="290"/>
        </w:trPr>
        <w:tc>
          <w:tcPr>
            <w:tcW w:w="562" w:type="dxa"/>
          </w:tcPr>
          <w:p w:rsidR="007C5447" w:rsidRDefault="00F6308C">
            <w:pPr>
              <w:pStyle w:val="TableParagraph"/>
              <w:spacing w:before="31"/>
              <w:ind w:left="107"/>
              <w:jc w:val="left"/>
              <w:rPr>
                <w:sz w:val="20"/>
              </w:rPr>
            </w:pPr>
            <w:r>
              <w:rPr>
                <w:sz w:val="20"/>
              </w:rPr>
              <w:t>13</w:t>
            </w:r>
          </w:p>
        </w:tc>
        <w:tc>
          <w:tcPr>
            <w:tcW w:w="1986" w:type="dxa"/>
          </w:tcPr>
          <w:p w:rsidR="007C5447" w:rsidRDefault="00F6308C">
            <w:pPr>
              <w:pStyle w:val="TableParagraph"/>
              <w:spacing w:before="31"/>
              <w:ind w:left="107"/>
              <w:jc w:val="left"/>
              <w:rPr>
                <w:sz w:val="20"/>
              </w:rPr>
            </w:pPr>
            <w:r>
              <w:rPr>
                <w:sz w:val="20"/>
              </w:rPr>
              <w:t>Kundah HEP</w:t>
            </w:r>
          </w:p>
        </w:tc>
        <w:tc>
          <w:tcPr>
            <w:tcW w:w="1277" w:type="dxa"/>
          </w:tcPr>
          <w:p w:rsidR="007C5447" w:rsidRDefault="00F6308C">
            <w:pPr>
              <w:pStyle w:val="TableParagraph"/>
              <w:spacing w:before="31"/>
              <w:ind w:left="437"/>
              <w:jc w:val="left"/>
              <w:rPr>
                <w:sz w:val="20"/>
              </w:rPr>
            </w:pPr>
            <w:r>
              <w:rPr>
                <w:sz w:val="20"/>
              </w:rPr>
              <w:t>155.49</w:t>
            </w:r>
          </w:p>
        </w:tc>
        <w:tc>
          <w:tcPr>
            <w:tcW w:w="1275" w:type="dxa"/>
          </w:tcPr>
          <w:p w:rsidR="007C5447" w:rsidRDefault="00F6308C">
            <w:pPr>
              <w:pStyle w:val="TableParagraph"/>
              <w:spacing w:before="31"/>
              <w:ind w:left="437"/>
              <w:jc w:val="left"/>
              <w:rPr>
                <w:sz w:val="20"/>
              </w:rPr>
            </w:pPr>
            <w:r>
              <w:rPr>
                <w:sz w:val="20"/>
              </w:rPr>
              <w:t>175.03</w:t>
            </w:r>
          </w:p>
        </w:tc>
        <w:tc>
          <w:tcPr>
            <w:tcW w:w="1419" w:type="dxa"/>
          </w:tcPr>
          <w:p w:rsidR="007C5447" w:rsidRDefault="00F6308C">
            <w:pPr>
              <w:pStyle w:val="TableParagraph"/>
              <w:spacing w:before="31"/>
              <w:ind w:right="275"/>
              <w:rPr>
                <w:sz w:val="20"/>
              </w:rPr>
            </w:pPr>
            <w:r>
              <w:rPr>
                <w:w w:val="95"/>
                <w:sz w:val="20"/>
              </w:rPr>
              <w:t>281.60</w:t>
            </w:r>
          </w:p>
        </w:tc>
        <w:tc>
          <w:tcPr>
            <w:tcW w:w="1278" w:type="dxa"/>
          </w:tcPr>
          <w:p w:rsidR="007C5447" w:rsidRDefault="00F6308C">
            <w:pPr>
              <w:pStyle w:val="TableParagraph"/>
              <w:spacing w:before="31"/>
              <w:ind w:left="439"/>
              <w:jc w:val="left"/>
              <w:rPr>
                <w:sz w:val="20"/>
              </w:rPr>
            </w:pPr>
            <w:r>
              <w:rPr>
                <w:sz w:val="20"/>
              </w:rPr>
              <w:t>353.43</w:t>
            </w:r>
          </w:p>
        </w:tc>
        <w:tc>
          <w:tcPr>
            <w:tcW w:w="1275" w:type="dxa"/>
          </w:tcPr>
          <w:p w:rsidR="007C5447" w:rsidRDefault="00F6308C">
            <w:pPr>
              <w:pStyle w:val="TableParagraph"/>
              <w:spacing w:before="31"/>
              <w:ind w:left="436"/>
              <w:jc w:val="left"/>
              <w:rPr>
                <w:sz w:val="20"/>
              </w:rPr>
            </w:pPr>
            <w:r>
              <w:rPr>
                <w:sz w:val="20"/>
              </w:rPr>
              <w:t>395.99</w:t>
            </w:r>
          </w:p>
        </w:tc>
      </w:tr>
      <w:tr w:rsidR="007C5447">
        <w:trPr>
          <w:trHeight w:val="290"/>
        </w:trPr>
        <w:tc>
          <w:tcPr>
            <w:tcW w:w="562" w:type="dxa"/>
          </w:tcPr>
          <w:p w:rsidR="007C5447" w:rsidRDefault="00F6308C">
            <w:pPr>
              <w:pStyle w:val="TableParagraph"/>
              <w:spacing w:before="29"/>
              <w:ind w:left="107"/>
              <w:jc w:val="left"/>
              <w:rPr>
                <w:sz w:val="20"/>
              </w:rPr>
            </w:pPr>
            <w:r>
              <w:rPr>
                <w:sz w:val="20"/>
              </w:rPr>
              <w:t>14</w:t>
            </w:r>
          </w:p>
        </w:tc>
        <w:tc>
          <w:tcPr>
            <w:tcW w:w="1986" w:type="dxa"/>
          </w:tcPr>
          <w:p w:rsidR="007C5447" w:rsidRDefault="00F6308C">
            <w:pPr>
              <w:pStyle w:val="TableParagraph"/>
              <w:spacing w:before="29"/>
              <w:ind w:left="107"/>
              <w:jc w:val="left"/>
              <w:rPr>
                <w:sz w:val="20"/>
              </w:rPr>
            </w:pPr>
            <w:r>
              <w:rPr>
                <w:sz w:val="20"/>
              </w:rPr>
              <w:t>Tirunelveli HEP</w:t>
            </w:r>
          </w:p>
        </w:tc>
        <w:tc>
          <w:tcPr>
            <w:tcW w:w="1277" w:type="dxa"/>
          </w:tcPr>
          <w:p w:rsidR="007C5447" w:rsidRDefault="00F6308C">
            <w:pPr>
              <w:pStyle w:val="TableParagraph"/>
              <w:spacing w:before="29"/>
              <w:ind w:left="538"/>
              <w:jc w:val="left"/>
              <w:rPr>
                <w:sz w:val="20"/>
              </w:rPr>
            </w:pPr>
            <w:r>
              <w:rPr>
                <w:sz w:val="20"/>
              </w:rPr>
              <w:t>54.20</w:t>
            </w:r>
          </w:p>
        </w:tc>
        <w:tc>
          <w:tcPr>
            <w:tcW w:w="1275" w:type="dxa"/>
          </w:tcPr>
          <w:p w:rsidR="007C5447" w:rsidRDefault="00F6308C">
            <w:pPr>
              <w:pStyle w:val="TableParagraph"/>
              <w:spacing w:before="29"/>
              <w:ind w:left="538"/>
              <w:jc w:val="left"/>
              <w:rPr>
                <w:sz w:val="20"/>
              </w:rPr>
            </w:pPr>
            <w:r>
              <w:rPr>
                <w:sz w:val="20"/>
              </w:rPr>
              <w:t>69.90</w:t>
            </w:r>
          </w:p>
        </w:tc>
        <w:tc>
          <w:tcPr>
            <w:tcW w:w="1419" w:type="dxa"/>
          </w:tcPr>
          <w:p w:rsidR="007C5447" w:rsidRDefault="00F6308C">
            <w:pPr>
              <w:pStyle w:val="TableParagraph"/>
              <w:spacing w:before="29"/>
              <w:ind w:right="275"/>
              <w:rPr>
                <w:sz w:val="20"/>
              </w:rPr>
            </w:pPr>
            <w:r>
              <w:rPr>
                <w:w w:val="95"/>
                <w:sz w:val="20"/>
              </w:rPr>
              <w:t>113.08</w:t>
            </w:r>
          </w:p>
        </w:tc>
        <w:tc>
          <w:tcPr>
            <w:tcW w:w="1278" w:type="dxa"/>
          </w:tcPr>
          <w:p w:rsidR="007C5447" w:rsidRDefault="00F6308C">
            <w:pPr>
              <w:pStyle w:val="TableParagraph"/>
              <w:spacing w:before="29"/>
              <w:ind w:left="439"/>
              <w:jc w:val="left"/>
              <w:rPr>
                <w:sz w:val="20"/>
              </w:rPr>
            </w:pPr>
            <w:r>
              <w:rPr>
                <w:sz w:val="20"/>
              </w:rPr>
              <w:t>140.71</w:t>
            </w:r>
          </w:p>
        </w:tc>
        <w:tc>
          <w:tcPr>
            <w:tcW w:w="1275" w:type="dxa"/>
          </w:tcPr>
          <w:p w:rsidR="007C5447" w:rsidRDefault="00F6308C">
            <w:pPr>
              <w:pStyle w:val="TableParagraph"/>
              <w:spacing w:before="29"/>
              <w:ind w:left="534"/>
              <w:jc w:val="left"/>
              <w:rPr>
                <w:sz w:val="20"/>
              </w:rPr>
            </w:pPr>
            <w:r>
              <w:rPr>
                <w:sz w:val="20"/>
              </w:rPr>
              <w:t>88.10</w:t>
            </w:r>
          </w:p>
        </w:tc>
      </w:tr>
    </w:tbl>
    <w:p w:rsidR="007C5447" w:rsidRDefault="007C5447">
      <w:pPr>
        <w:rPr>
          <w:sz w:val="20"/>
        </w:rPr>
        <w:sectPr w:rsidR="007C5447">
          <w:footerReference w:type="default" r:id="rId17"/>
          <w:pgSz w:w="11910" w:h="16840"/>
          <w:pgMar w:top="1480" w:right="1320" w:bottom="1240" w:left="1160" w:header="0" w:footer="1057" w:gutter="0"/>
          <w:pgNumType w:start="104"/>
          <w:cols w:space="720"/>
        </w:sect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986"/>
        <w:gridCol w:w="1277"/>
        <w:gridCol w:w="1275"/>
        <w:gridCol w:w="1419"/>
        <w:gridCol w:w="1278"/>
        <w:gridCol w:w="1275"/>
      </w:tblGrid>
      <w:tr w:rsidR="007C5447">
        <w:trPr>
          <w:trHeight w:val="290"/>
        </w:trPr>
        <w:tc>
          <w:tcPr>
            <w:tcW w:w="562" w:type="dxa"/>
            <w:shd w:val="clear" w:color="auto" w:fill="F7C9AC"/>
          </w:tcPr>
          <w:p w:rsidR="007C5447" w:rsidRDefault="00F6308C">
            <w:pPr>
              <w:pStyle w:val="TableParagraph"/>
              <w:spacing w:before="29"/>
              <w:ind w:left="107"/>
              <w:jc w:val="left"/>
              <w:rPr>
                <w:b/>
                <w:sz w:val="20"/>
              </w:rPr>
            </w:pPr>
            <w:r>
              <w:rPr>
                <w:b/>
                <w:sz w:val="20"/>
              </w:rPr>
              <w:lastRenderedPageBreak/>
              <w:t>Sl.</w:t>
            </w:r>
          </w:p>
        </w:tc>
        <w:tc>
          <w:tcPr>
            <w:tcW w:w="1986" w:type="dxa"/>
            <w:shd w:val="clear" w:color="auto" w:fill="F7C9AC"/>
          </w:tcPr>
          <w:p w:rsidR="007C5447" w:rsidRDefault="00F6308C">
            <w:pPr>
              <w:pStyle w:val="TableParagraph"/>
              <w:spacing w:before="29"/>
              <w:ind w:left="107"/>
              <w:jc w:val="left"/>
              <w:rPr>
                <w:b/>
                <w:sz w:val="20"/>
              </w:rPr>
            </w:pPr>
            <w:r>
              <w:rPr>
                <w:b/>
                <w:sz w:val="20"/>
              </w:rPr>
              <w:t>Particulars</w:t>
            </w:r>
          </w:p>
        </w:tc>
        <w:tc>
          <w:tcPr>
            <w:tcW w:w="1277" w:type="dxa"/>
            <w:shd w:val="clear" w:color="auto" w:fill="F7C9AC"/>
          </w:tcPr>
          <w:p w:rsidR="007C5447" w:rsidRDefault="00F6308C">
            <w:pPr>
              <w:pStyle w:val="TableParagraph"/>
              <w:spacing w:before="29"/>
              <w:ind w:left="145"/>
              <w:jc w:val="left"/>
              <w:rPr>
                <w:b/>
                <w:sz w:val="20"/>
              </w:rPr>
            </w:pPr>
            <w:r>
              <w:rPr>
                <w:b/>
                <w:sz w:val="20"/>
              </w:rPr>
              <w:t>FY 2011-12</w:t>
            </w:r>
          </w:p>
        </w:tc>
        <w:tc>
          <w:tcPr>
            <w:tcW w:w="1275" w:type="dxa"/>
            <w:shd w:val="clear" w:color="auto" w:fill="F7C9AC"/>
          </w:tcPr>
          <w:p w:rsidR="007C5447" w:rsidRDefault="00F6308C">
            <w:pPr>
              <w:pStyle w:val="TableParagraph"/>
              <w:spacing w:before="29"/>
              <w:ind w:left="120" w:right="114"/>
              <w:jc w:val="center"/>
              <w:rPr>
                <w:b/>
                <w:sz w:val="20"/>
              </w:rPr>
            </w:pPr>
            <w:r>
              <w:rPr>
                <w:b/>
                <w:sz w:val="20"/>
              </w:rPr>
              <w:t>FY 2012-13</w:t>
            </w:r>
          </w:p>
        </w:tc>
        <w:tc>
          <w:tcPr>
            <w:tcW w:w="1419" w:type="dxa"/>
            <w:shd w:val="clear" w:color="auto" w:fill="F7C9AC"/>
          </w:tcPr>
          <w:p w:rsidR="007C5447" w:rsidRDefault="00F6308C">
            <w:pPr>
              <w:pStyle w:val="TableParagraph"/>
              <w:spacing w:before="29"/>
              <w:ind w:left="214"/>
              <w:jc w:val="left"/>
              <w:rPr>
                <w:b/>
                <w:sz w:val="20"/>
              </w:rPr>
            </w:pPr>
            <w:r>
              <w:rPr>
                <w:b/>
                <w:sz w:val="20"/>
              </w:rPr>
              <w:t>FY 2013-14</w:t>
            </w:r>
          </w:p>
        </w:tc>
        <w:tc>
          <w:tcPr>
            <w:tcW w:w="1278" w:type="dxa"/>
            <w:shd w:val="clear" w:color="auto" w:fill="F7C9AC"/>
          </w:tcPr>
          <w:p w:rsidR="007C5447" w:rsidRDefault="00F6308C">
            <w:pPr>
              <w:pStyle w:val="TableParagraph"/>
              <w:spacing w:before="29"/>
              <w:ind w:left="125" w:right="119"/>
              <w:jc w:val="center"/>
              <w:rPr>
                <w:b/>
                <w:sz w:val="20"/>
              </w:rPr>
            </w:pPr>
            <w:r>
              <w:rPr>
                <w:b/>
                <w:sz w:val="20"/>
              </w:rPr>
              <w:t>FY 2014-15</w:t>
            </w:r>
          </w:p>
        </w:tc>
        <w:tc>
          <w:tcPr>
            <w:tcW w:w="1275" w:type="dxa"/>
            <w:shd w:val="clear" w:color="auto" w:fill="F7C9AC"/>
          </w:tcPr>
          <w:p w:rsidR="007C5447" w:rsidRDefault="00F6308C">
            <w:pPr>
              <w:pStyle w:val="TableParagraph"/>
              <w:spacing w:before="29"/>
              <w:ind w:left="116" w:right="117"/>
              <w:jc w:val="center"/>
              <w:rPr>
                <w:b/>
                <w:sz w:val="20"/>
              </w:rPr>
            </w:pPr>
            <w:r>
              <w:rPr>
                <w:b/>
                <w:sz w:val="20"/>
              </w:rPr>
              <w:t>FY 2015-16</w:t>
            </w:r>
          </w:p>
        </w:tc>
      </w:tr>
      <w:tr w:rsidR="007C5447">
        <w:trPr>
          <w:trHeight w:val="288"/>
        </w:trPr>
        <w:tc>
          <w:tcPr>
            <w:tcW w:w="562" w:type="dxa"/>
          </w:tcPr>
          <w:p w:rsidR="007C5447" w:rsidRDefault="00F6308C">
            <w:pPr>
              <w:pStyle w:val="TableParagraph"/>
              <w:spacing w:before="29"/>
              <w:ind w:left="107"/>
              <w:jc w:val="left"/>
              <w:rPr>
                <w:b/>
                <w:sz w:val="20"/>
              </w:rPr>
            </w:pPr>
            <w:r>
              <w:rPr>
                <w:b/>
                <w:sz w:val="20"/>
              </w:rPr>
              <w:t>15</w:t>
            </w:r>
          </w:p>
        </w:tc>
        <w:tc>
          <w:tcPr>
            <w:tcW w:w="1986" w:type="dxa"/>
          </w:tcPr>
          <w:p w:rsidR="007C5447" w:rsidRDefault="00F6308C">
            <w:pPr>
              <w:pStyle w:val="TableParagraph"/>
              <w:spacing w:before="29"/>
              <w:ind w:left="107"/>
              <w:jc w:val="left"/>
              <w:rPr>
                <w:b/>
                <w:sz w:val="20"/>
              </w:rPr>
            </w:pPr>
            <w:r>
              <w:rPr>
                <w:b/>
                <w:sz w:val="20"/>
              </w:rPr>
              <w:t>Total Generation</w:t>
            </w:r>
          </w:p>
        </w:tc>
        <w:tc>
          <w:tcPr>
            <w:tcW w:w="1277" w:type="dxa"/>
          </w:tcPr>
          <w:p w:rsidR="007C5447" w:rsidRDefault="00F6308C">
            <w:pPr>
              <w:pStyle w:val="TableParagraph"/>
              <w:spacing w:before="29"/>
              <w:ind w:left="289"/>
              <w:jc w:val="left"/>
              <w:rPr>
                <w:b/>
                <w:sz w:val="20"/>
              </w:rPr>
            </w:pPr>
            <w:r>
              <w:rPr>
                <w:b/>
                <w:sz w:val="20"/>
              </w:rPr>
              <w:t>1,645.54</w:t>
            </w:r>
          </w:p>
        </w:tc>
        <w:tc>
          <w:tcPr>
            <w:tcW w:w="1275" w:type="dxa"/>
          </w:tcPr>
          <w:p w:rsidR="007C5447" w:rsidRDefault="00F6308C">
            <w:pPr>
              <w:pStyle w:val="TableParagraph"/>
              <w:spacing w:before="29"/>
              <w:ind w:left="120" w:right="107"/>
              <w:jc w:val="center"/>
              <w:rPr>
                <w:b/>
                <w:sz w:val="20"/>
              </w:rPr>
            </w:pPr>
            <w:r>
              <w:rPr>
                <w:b/>
                <w:sz w:val="20"/>
              </w:rPr>
              <w:t>1,886.73</w:t>
            </w:r>
          </w:p>
        </w:tc>
        <w:tc>
          <w:tcPr>
            <w:tcW w:w="1419" w:type="dxa"/>
          </w:tcPr>
          <w:p w:rsidR="007C5447" w:rsidRDefault="00F6308C">
            <w:pPr>
              <w:pStyle w:val="TableParagraph"/>
              <w:spacing w:before="29"/>
              <w:ind w:left="432"/>
              <w:jc w:val="left"/>
              <w:rPr>
                <w:b/>
                <w:sz w:val="20"/>
              </w:rPr>
            </w:pPr>
            <w:r>
              <w:rPr>
                <w:b/>
                <w:sz w:val="20"/>
              </w:rPr>
              <w:t>3,037.88</w:t>
            </w:r>
          </w:p>
        </w:tc>
        <w:tc>
          <w:tcPr>
            <w:tcW w:w="1278" w:type="dxa"/>
          </w:tcPr>
          <w:p w:rsidR="007C5447" w:rsidRDefault="00F6308C">
            <w:pPr>
              <w:pStyle w:val="TableParagraph"/>
              <w:spacing w:before="29"/>
              <w:ind w:left="125" w:right="66"/>
              <w:jc w:val="center"/>
              <w:rPr>
                <w:b/>
                <w:sz w:val="20"/>
              </w:rPr>
            </w:pPr>
            <w:r>
              <w:rPr>
                <w:b/>
                <w:sz w:val="20"/>
              </w:rPr>
              <w:t>3709.81</w:t>
            </w:r>
          </w:p>
        </w:tc>
        <w:tc>
          <w:tcPr>
            <w:tcW w:w="1275" w:type="dxa"/>
          </w:tcPr>
          <w:p w:rsidR="007C5447" w:rsidRDefault="00F6308C">
            <w:pPr>
              <w:pStyle w:val="TableParagraph"/>
              <w:spacing w:before="29"/>
              <w:ind w:left="120" w:right="64"/>
              <w:jc w:val="center"/>
              <w:rPr>
                <w:b/>
                <w:sz w:val="20"/>
              </w:rPr>
            </w:pPr>
            <w:r>
              <w:rPr>
                <w:b/>
                <w:sz w:val="20"/>
              </w:rPr>
              <w:t>3970.82</w:t>
            </w:r>
          </w:p>
        </w:tc>
      </w:tr>
      <w:tr w:rsidR="007C5447">
        <w:trPr>
          <w:trHeight w:val="290"/>
        </w:trPr>
        <w:tc>
          <w:tcPr>
            <w:tcW w:w="562" w:type="dxa"/>
          </w:tcPr>
          <w:p w:rsidR="007C5447" w:rsidRDefault="00F6308C">
            <w:pPr>
              <w:pStyle w:val="TableParagraph"/>
              <w:spacing w:before="29"/>
              <w:ind w:left="107"/>
              <w:jc w:val="left"/>
              <w:rPr>
                <w:b/>
                <w:sz w:val="20"/>
              </w:rPr>
            </w:pPr>
            <w:r>
              <w:rPr>
                <w:b/>
                <w:sz w:val="20"/>
              </w:rPr>
              <w:t>16</w:t>
            </w:r>
          </w:p>
        </w:tc>
        <w:tc>
          <w:tcPr>
            <w:tcW w:w="1986" w:type="dxa"/>
          </w:tcPr>
          <w:p w:rsidR="007C5447" w:rsidRDefault="00F6308C">
            <w:pPr>
              <w:pStyle w:val="TableParagraph"/>
              <w:spacing w:before="29"/>
              <w:ind w:left="107"/>
              <w:jc w:val="left"/>
              <w:rPr>
                <w:b/>
                <w:sz w:val="20"/>
              </w:rPr>
            </w:pPr>
            <w:r>
              <w:rPr>
                <w:b/>
                <w:sz w:val="20"/>
              </w:rPr>
              <w:t>Distribution</w:t>
            </w:r>
          </w:p>
        </w:tc>
        <w:tc>
          <w:tcPr>
            <w:tcW w:w="1277" w:type="dxa"/>
          </w:tcPr>
          <w:p w:rsidR="007C5447" w:rsidRDefault="00F6308C">
            <w:pPr>
              <w:pStyle w:val="TableParagraph"/>
              <w:spacing w:before="29"/>
              <w:ind w:left="437"/>
              <w:jc w:val="left"/>
              <w:rPr>
                <w:b/>
                <w:sz w:val="20"/>
              </w:rPr>
            </w:pPr>
            <w:r>
              <w:rPr>
                <w:b/>
                <w:sz w:val="20"/>
              </w:rPr>
              <w:t>708.20</w:t>
            </w:r>
          </w:p>
        </w:tc>
        <w:tc>
          <w:tcPr>
            <w:tcW w:w="1275" w:type="dxa"/>
          </w:tcPr>
          <w:p w:rsidR="007C5447" w:rsidRDefault="00F6308C">
            <w:pPr>
              <w:pStyle w:val="TableParagraph"/>
              <w:spacing w:before="29"/>
              <w:ind w:left="120" w:right="107"/>
              <w:jc w:val="center"/>
              <w:rPr>
                <w:b/>
                <w:sz w:val="20"/>
              </w:rPr>
            </w:pPr>
            <w:r>
              <w:rPr>
                <w:b/>
                <w:sz w:val="20"/>
              </w:rPr>
              <w:t>1,454.09</w:t>
            </w:r>
          </w:p>
        </w:tc>
        <w:tc>
          <w:tcPr>
            <w:tcW w:w="1419" w:type="dxa"/>
          </w:tcPr>
          <w:p w:rsidR="007C5447" w:rsidRDefault="00F6308C">
            <w:pPr>
              <w:pStyle w:val="TableParagraph"/>
              <w:spacing w:before="29"/>
              <w:ind w:left="432"/>
              <w:jc w:val="left"/>
              <w:rPr>
                <w:b/>
                <w:sz w:val="20"/>
              </w:rPr>
            </w:pPr>
            <w:r>
              <w:rPr>
                <w:b/>
                <w:sz w:val="20"/>
              </w:rPr>
              <w:t>2,385.94</w:t>
            </w:r>
          </w:p>
        </w:tc>
        <w:tc>
          <w:tcPr>
            <w:tcW w:w="1278" w:type="dxa"/>
          </w:tcPr>
          <w:p w:rsidR="007C5447" w:rsidRDefault="00F6308C">
            <w:pPr>
              <w:pStyle w:val="TableParagraph"/>
              <w:spacing w:before="29"/>
              <w:ind w:left="125" w:right="66"/>
              <w:jc w:val="center"/>
              <w:rPr>
                <w:b/>
                <w:sz w:val="20"/>
              </w:rPr>
            </w:pPr>
            <w:r>
              <w:rPr>
                <w:b/>
                <w:sz w:val="20"/>
              </w:rPr>
              <w:t>2992.22</w:t>
            </w:r>
          </w:p>
        </w:tc>
        <w:tc>
          <w:tcPr>
            <w:tcW w:w="1275" w:type="dxa"/>
          </w:tcPr>
          <w:p w:rsidR="007C5447" w:rsidRDefault="00F6308C">
            <w:pPr>
              <w:pStyle w:val="TableParagraph"/>
              <w:spacing w:before="29"/>
              <w:ind w:left="120" w:right="64"/>
              <w:jc w:val="center"/>
              <w:rPr>
                <w:b/>
                <w:sz w:val="20"/>
              </w:rPr>
            </w:pPr>
            <w:r>
              <w:rPr>
                <w:b/>
                <w:sz w:val="20"/>
              </w:rPr>
              <w:t>3501.33</w:t>
            </w:r>
          </w:p>
        </w:tc>
      </w:tr>
      <w:tr w:rsidR="007C5447">
        <w:trPr>
          <w:trHeight w:val="287"/>
        </w:trPr>
        <w:tc>
          <w:tcPr>
            <w:tcW w:w="562" w:type="dxa"/>
          </w:tcPr>
          <w:p w:rsidR="007C5447" w:rsidRDefault="00F6308C">
            <w:pPr>
              <w:pStyle w:val="TableParagraph"/>
              <w:spacing w:before="29"/>
              <w:ind w:left="107"/>
              <w:jc w:val="left"/>
              <w:rPr>
                <w:b/>
                <w:sz w:val="20"/>
              </w:rPr>
            </w:pPr>
            <w:r>
              <w:rPr>
                <w:b/>
                <w:sz w:val="20"/>
              </w:rPr>
              <w:t>17</w:t>
            </w:r>
          </w:p>
        </w:tc>
        <w:tc>
          <w:tcPr>
            <w:tcW w:w="1986" w:type="dxa"/>
          </w:tcPr>
          <w:p w:rsidR="007C5447" w:rsidRDefault="00F6308C">
            <w:pPr>
              <w:pStyle w:val="TableParagraph"/>
              <w:spacing w:before="29"/>
              <w:ind w:left="107"/>
              <w:jc w:val="left"/>
              <w:rPr>
                <w:b/>
                <w:sz w:val="20"/>
              </w:rPr>
            </w:pPr>
            <w:r>
              <w:rPr>
                <w:b/>
                <w:sz w:val="20"/>
              </w:rPr>
              <w:t>Total TANGEDCO</w:t>
            </w:r>
          </w:p>
        </w:tc>
        <w:tc>
          <w:tcPr>
            <w:tcW w:w="1277" w:type="dxa"/>
          </w:tcPr>
          <w:p w:rsidR="007C5447" w:rsidRDefault="00F6308C">
            <w:pPr>
              <w:pStyle w:val="TableParagraph"/>
              <w:spacing w:before="29"/>
              <w:ind w:left="289"/>
              <w:jc w:val="left"/>
              <w:rPr>
                <w:b/>
                <w:sz w:val="20"/>
              </w:rPr>
            </w:pPr>
            <w:r>
              <w:rPr>
                <w:b/>
                <w:sz w:val="20"/>
              </w:rPr>
              <w:t>2,353.75</w:t>
            </w:r>
          </w:p>
        </w:tc>
        <w:tc>
          <w:tcPr>
            <w:tcW w:w="1275" w:type="dxa"/>
          </w:tcPr>
          <w:p w:rsidR="007C5447" w:rsidRDefault="00F6308C">
            <w:pPr>
              <w:pStyle w:val="TableParagraph"/>
              <w:spacing w:before="29"/>
              <w:ind w:left="120" w:right="106"/>
              <w:jc w:val="center"/>
              <w:rPr>
                <w:b/>
                <w:sz w:val="20"/>
              </w:rPr>
            </w:pPr>
            <w:r>
              <w:rPr>
                <w:b/>
                <w:sz w:val="20"/>
              </w:rPr>
              <w:t>3,340.82</w:t>
            </w:r>
          </w:p>
        </w:tc>
        <w:tc>
          <w:tcPr>
            <w:tcW w:w="1419" w:type="dxa"/>
          </w:tcPr>
          <w:p w:rsidR="007C5447" w:rsidRDefault="00F6308C">
            <w:pPr>
              <w:pStyle w:val="TableParagraph"/>
              <w:spacing w:before="29"/>
              <w:ind w:left="432"/>
              <w:jc w:val="left"/>
              <w:rPr>
                <w:b/>
                <w:sz w:val="20"/>
              </w:rPr>
            </w:pPr>
            <w:r>
              <w:rPr>
                <w:b/>
                <w:sz w:val="20"/>
              </w:rPr>
              <w:t>5,423.82</w:t>
            </w:r>
          </w:p>
        </w:tc>
        <w:tc>
          <w:tcPr>
            <w:tcW w:w="1278" w:type="dxa"/>
          </w:tcPr>
          <w:p w:rsidR="007C5447" w:rsidRDefault="00F6308C">
            <w:pPr>
              <w:pStyle w:val="TableParagraph"/>
              <w:spacing w:before="29"/>
              <w:ind w:left="125" w:right="66"/>
              <w:jc w:val="center"/>
              <w:rPr>
                <w:b/>
                <w:sz w:val="20"/>
              </w:rPr>
            </w:pPr>
            <w:r>
              <w:rPr>
                <w:b/>
                <w:sz w:val="20"/>
              </w:rPr>
              <w:t>6702.03</w:t>
            </w:r>
          </w:p>
        </w:tc>
        <w:tc>
          <w:tcPr>
            <w:tcW w:w="1275" w:type="dxa"/>
          </w:tcPr>
          <w:p w:rsidR="007C5447" w:rsidRDefault="00F6308C">
            <w:pPr>
              <w:pStyle w:val="TableParagraph"/>
              <w:spacing w:before="29"/>
              <w:ind w:left="120" w:right="64"/>
              <w:jc w:val="center"/>
              <w:rPr>
                <w:b/>
                <w:sz w:val="20"/>
              </w:rPr>
            </w:pPr>
            <w:r>
              <w:rPr>
                <w:b/>
                <w:sz w:val="20"/>
              </w:rPr>
              <w:t>7472.15</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1"/>
        <w:rPr>
          <w:b/>
          <w:sz w:val="25"/>
        </w:rPr>
      </w:pPr>
    </w:p>
    <w:p w:rsidR="007C5447" w:rsidRDefault="00F6308C">
      <w:pPr>
        <w:pStyle w:val="Heading2"/>
        <w:spacing w:before="90"/>
        <w:ind w:left="969"/>
      </w:pPr>
      <w:r>
        <w:t>Commission’s Views</w:t>
      </w:r>
    </w:p>
    <w:p w:rsidR="007C5447" w:rsidRDefault="007C5447">
      <w:pPr>
        <w:pStyle w:val="BodyText"/>
        <w:rPr>
          <w:b/>
          <w:sz w:val="28"/>
        </w:rPr>
      </w:pPr>
    </w:p>
    <w:p w:rsidR="007C5447" w:rsidRDefault="00F6308C">
      <w:pPr>
        <w:ind w:left="969"/>
        <w:rPr>
          <w:b/>
          <w:sz w:val="24"/>
        </w:rPr>
      </w:pPr>
      <w:r>
        <w:rPr>
          <w:b/>
          <w:sz w:val="24"/>
        </w:rPr>
        <w:t>Interest on Loan</w:t>
      </w:r>
    </w:p>
    <w:p w:rsidR="007C5447" w:rsidRDefault="00F6308C">
      <w:pPr>
        <w:pStyle w:val="ListParagraph"/>
        <w:numPr>
          <w:ilvl w:val="2"/>
          <w:numId w:val="92"/>
        </w:numPr>
        <w:tabs>
          <w:tab w:val="left" w:pos="970"/>
        </w:tabs>
        <w:spacing w:before="204" w:line="312" w:lineRule="auto"/>
        <w:ind w:left="969" w:right="112"/>
        <w:jc w:val="both"/>
        <w:rPr>
          <w:sz w:val="24"/>
        </w:rPr>
      </w:pPr>
      <w:r>
        <w:rPr>
          <w:sz w:val="24"/>
        </w:rPr>
        <w:t>In the Tariff Order dated June 20, 2013, the Commission had observed a discrepancy in TANGEDCO’s submission of loan and its bifurcation based on Gross Fixed Assets (GFA). As TANGEDCO had not separated the capital and revenue account since the date of indep</w:t>
      </w:r>
      <w:r>
        <w:rPr>
          <w:sz w:val="24"/>
        </w:rPr>
        <w:t>endent operations, the Commission approved interest on loans based on certain assumptions. This approach was continued by the Commission in the Suo- Motu Order dated December 11, 2014, the relevant excerpts of which are reproduced below:</w:t>
      </w:r>
    </w:p>
    <w:p w:rsidR="007C5447" w:rsidRDefault="007C5447">
      <w:pPr>
        <w:pStyle w:val="BodyText"/>
        <w:spacing w:before="10"/>
        <w:rPr>
          <w:sz w:val="20"/>
        </w:rPr>
      </w:pPr>
    </w:p>
    <w:p w:rsidR="007C5447" w:rsidRDefault="00F6308C">
      <w:pPr>
        <w:ind w:left="1557" w:right="841"/>
        <w:jc w:val="both"/>
        <w:rPr>
          <w:i/>
          <w:sz w:val="24"/>
        </w:rPr>
      </w:pPr>
      <w:r>
        <w:rPr>
          <w:i/>
          <w:sz w:val="24"/>
        </w:rPr>
        <w:t>“xi. Revised open</w:t>
      </w:r>
      <w:r>
        <w:rPr>
          <w:i/>
          <w:sz w:val="24"/>
        </w:rPr>
        <w:t>ing loans as on 1st November 2010 has been arrived considering the net addition during first seven months of FY 11 based on information provided by TANGEDCO.</w:t>
      </w:r>
    </w:p>
    <w:p w:rsidR="007C5447" w:rsidRDefault="007C5447">
      <w:pPr>
        <w:pStyle w:val="BodyText"/>
        <w:spacing w:before="10"/>
        <w:rPr>
          <w:i/>
          <w:sz w:val="20"/>
        </w:rPr>
      </w:pPr>
    </w:p>
    <w:p w:rsidR="007C5447" w:rsidRDefault="00F6308C">
      <w:pPr>
        <w:pStyle w:val="ListParagraph"/>
        <w:numPr>
          <w:ilvl w:val="0"/>
          <w:numId w:val="90"/>
        </w:numPr>
        <w:tabs>
          <w:tab w:val="left" w:pos="1996"/>
        </w:tabs>
        <w:ind w:right="838" w:firstLine="0"/>
        <w:jc w:val="both"/>
        <w:rPr>
          <w:i/>
          <w:sz w:val="24"/>
        </w:rPr>
      </w:pPr>
      <w:r>
        <w:rPr>
          <w:i/>
          <w:sz w:val="24"/>
        </w:rPr>
        <w:t>The repayment of existing loans as per audited accounts also includes the repayment of loans borr</w:t>
      </w:r>
      <w:r>
        <w:rPr>
          <w:i/>
          <w:sz w:val="24"/>
        </w:rPr>
        <w:t xml:space="preserve">owed for revenue account. Commission is treating the revenue account separately and also allowing the interest expenses on account of regulatory asset approved in its last tariff order. Hence, allowing the borrowings and interest expenses corresponding to </w:t>
      </w:r>
      <w:r>
        <w:rPr>
          <w:i/>
          <w:sz w:val="24"/>
        </w:rPr>
        <w:t>the repayment of loans borrowed for funding of revenue account will result in double accounting of the interest expenses allowed for funding the revenue gap. In view of this, Commission is accepting the opening loans as on 1st November 2010 and is assuming</w:t>
      </w:r>
      <w:r>
        <w:rPr>
          <w:i/>
          <w:sz w:val="24"/>
        </w:rPr>
        <w:t xml:space="preserve"> a repayment period of 10</w:t>
      </w:r>
      <w:r>
        <w:rPr>
          <w:i/>
          <w:spacing w:val="-2"/>
          <w:sz w:val="24"/>
        </w:rPr>
        <w:t xml:space="preserve"> </w:t>
      </w:r>
      <w:r>
        <w:rPr>
          <w:i/>
          <w:sz w:val="24"/>
        </w:rPr>
        <w:t>years.</w:t>
      </w:r>
    </w:p>
    <w:p w:rsidR="007C5447" w:rsidRDefault="007C5447">
      <w:pPr>
        <w:pStyle w:val="BodyText"/>
        <w:spacing w:before="10"/>
        <w:rPr>
          <w:i/>
          <w:sz w:val="20"/>
        </w:rPr>
      </w:pPr>
    </w:p>
    <w:p w:rsidR="007C5447" w:rsidRDefault="00F6308C">
      <w:pPr>
        <w:pStyle w:val="ListParagraph"/>
        <w:numPr>
          <w:ilvl w:val="0"/>
          <w:numId w:val="90"/>
        </w:numPr>
        <w:tabs>
          <w:tab w:val="left" w:pos="2025"/>
        </w:tabs>
        <w:ind w:right="842" w:firstLine="0"/>
        <w:jc w:val="both"/>
        <w:rPr>
          <w:i/>
          <w:sz w:val="24"/>
        </w:rPr>
      </w:pPr>
      <w:r>
        <w:rPr>
          <w:i/>
          <w:sz w:val="24"/>
        </w:rPr>
        <w:t>The repayment period of new loans borrowed during the control period is assumed to be 10</w:t>
      </w:r>
      <w:r>
        <w:rPr>
          <w:i/>
          <w:spacing w:val="-1"/>
          <w:sz w:val="24"/>
        </w:rPr>
        <w:t xml:space="preserve"> </w:t>
      </w:r>
      <w:r>
        <w:rPr>
          <w:i/>
          <w:sz w:val="24"/>
        </w:rPr>
        <w:t>years</w:t>
      </w:r>
    </w:p>
    <w:p w:rsidR="007C5447" w:rsidRDefault="007C5447">
      <w:pPr>
        <w:pStyle w:val="BodyText"/>
        <w:spacing w:before="10"/>
        <w:rPr>
          <w:i/>
          <w:sz w:val="20"/>
        </w:rPr>
      </w:pPr>
    </w:p>
    <w:p w:rsidR="007C5447" w:rsidRDefault="00F6308C">
      <w:pPr>
        <w:pStyle w:val="ListParagraph"/>
        <w:numPr>
          <w:ilvl w:val="0"/>
          <w:numId w:val="90"/>
        </w:numPr>
        <w:tabs>
          <w:tab w:val="left" w:pos="1968"/>
        </w:tabs>
        <w:spacing w:before="1"/>
        <w:ind w:right="836" w:firstLine="0"/>
        <w:jc w:val="both"/>
        <w:rPr>
          <w:i/>
          <w:sz w:val="24"/>
        </w:rPr>
      </w:pPr>
      <w:r>
        <w:rPr>
          <w:i/>
          <w:sz w:val="24"/>
        </w:rPr>
        <w:t>The borrowings required for loan repayment will be estimated after taking into account the depreciation allowed during the</w:t>
      </w:r>
      <w:r>
        <w:rPr>
          <w:i/>
          <w:spacing w:val="-4"/>
          <w:sz w:val="24"/>
        </w:rPr>
        <w:t xml:space="preserve"> </w:t>
      </w:r>
      <w:r>
        <w:rPr>
          <w:i/>
          <w:sz w:val="24"/>
        </w:rPr>
        <w:t>yea</w:t>
      </w:r>
      <w:r>
        <w:rPr>
          <w:i/>
          <w:sz w:val="24"/>
        </w:rPr>
        <w:t>r.</w:t>
      </w:r>
    </w:p>
    <w:p w:rsidR="007C5447" w:rsidRDefault="007C5447">
      <w:pPr>
        <w:pStyle w:val="BodyText"/>
        <w:spacing w:before="10"/>
        <w:rPr>
          <w:i/>
          <w:sz w:val="20"/>
        </w:rPr>
      </w:pPr>
    </w:p>
    <w:p w:rsidR="007C5447" w:rsidRDefault="00F6308C">
      <w:pPr>
        <w:pStyle w:val="ListParagraph"/>
        <w:numPr>
          <w:ilvl w:val="0"/>
          <w:numId w:val="90"/>
        </w:numPr>
        <w:tabs>
          <w:tab w:val="left" w:pos="2006"/>
        </w:tabs>
        <w:ind w:right="838" w:firstLine="0"/>
        <w:jc w:val="both"/>
        <w:rPr>
          <w:i/>
          <w:sz w:val="24"/>
        </w:rPr>
      </w:pPr>
      <w:r>
        <w:rPr>
          <w:i/>
          <w:sz w:val="24"/>
        </w:rPr>
        <w:t>Loans required for the capital works will be arrived after considering the approved capital expenditure and available grants and consumer contribution during the control period. Equity required for funding the capital expenditure is assumed to be nil a</w:t>
      </w:r>
      <w:r>
        <w:rPr>
          <w:i/>
          <w:sz w:val="24"/>
        </w:rPr>
        <w:t>s Commission is not allowing any return on</w:t>
      </w:r>
      <w:r>
        <w:rPr>
          <w:i/>
          <w:spacing w:val="-1"/>
          <w:sz w:val="24"/>
        </w:rPr>
        <w:t xml:space="preserve"> </w:t>
      </w:r>
      <w:r>
        <w:rPr>
          <w:i/>
          <w:sz w:val="24"/>
        </w:rPr>
        <w:t>equity.</w:t>
      </w:r>
    </w:p>
    <w:p w:rsidR="007C5447" w:rsidRDefault="007C5447">
      <w:pPr>
        <w:pStyle w:val="BodyText"/>
        <w:spacing w:before="10"/>
        <w:rPr>
          <w:i/>
          <w:sz w:val="20"/>
        </w:rPr>
      </w:pPr>
    </w:p>
    <w:p w:rsidR="007C5447" w:rsidRDefault="00F6308C">
      <w:pPr>
        <w:pStyle w:val="ListParagraph"/>
        <w:numPr>
          <w:ilvl w:val="0"/>
          <w:numId w:val="90"/>
        </w:numPr>
        <w:tabs>
          <w:tab w:val="left" w:pos="1997"/>
        </w:tabs>
        <w:ind w:left="1996" w:hanging="440"/>
        <w:jc w:val="both"/>
        <w:rPr>
          <w:i/>
          <w:sz w:val="24"/>
        </w:rPr>
      </w:pPr>
      <w:r>
        <w:rPr>
          <w:i/>
          <w:sz w:val="24"/>
        </w:rPr>
        <w:t>The</w:t>
      </w:r>
      <w:r>
        <w:rPr>
          <w:i/>
          <w:spacing w:val="40"/>
          <w:sz w:val="24"/>
        </w:rPr>
        <w:t xml:space="preserve"> </w:t>
      </w:r>
      <w:r>
        <w:rPr>
          <w:i/>
          <w:sz w:val="24"/>
        </w:rPr>
        <w:t>consumer</w:t>
      </w:r>
      <w:r>
        <w:rPr>
          <w:i/>
          <w:spacing w:val="42"/>
          <w:sz w:val="24"/>
        </w:rPr>
        <w:t xml:space="preserve"> </w:t>
      </w:r>
      <w:r>
        <w:rPr>
          <w:i/>
          <w:sz w:val="24"/>
        </w:rPr>
        <w:t>contribution</w:t>
      </w:r>
      <w:r>
        <w:rPr>
          <w:i/>
          <w:spacing w:val="41"/>
          <w:sz w:val="24"/>
        </w:rPr>
        <w:t xml:space="preserve"> </w:t>
      </w:r>
      <w:r>
        <w:rPr>
          <w:i/>
          <w:sz w:val="24"/>
        </w:rPr>
        <w:t>and</w:t>
      </w:r>
      <w:r>
        <w:rPr>
          <w:i/>
          <w:spacing w:val="40"/>
          <w:sz w:val="24"/>
        </w:rPr>
        <w:t xml:space="preserve"> </w:t>
      </w:r>
      <w:r>
        <w:rPr>
          <w:i/>
          <w:sz w:val="24"/>
        </w:rPr>
        <w:t>grants</w:t>
      </w:r>
      <w:r>
        <w:rPr>
          <w:i/>
          <w:spacing w:val="40"/>
          <w:sz w:val="24"/>
        </w:rPr>
        <w:t xml:space="preserve"> </w:t>
      </w:r>
      <w:r>
        <w:rPr>
          <w:i/>
          <w:sz w:val="24"/>
        </w:rPr>
        <w:t>for</w:t>
      </w:r>
      <w:r>
        <w:rPr>
          <w:i/>
          <w:spacing w:val="43"/>
          <w:sz w:val="24"/>
        </w:rPr>
        <w:t xml:space="preserve"> </w:t>
      </w:r>
      <w:r>
        <w:rPr>
          <w:i/>
          <w:sz w:val="24"/>
        </w:rPr>
        <w:t>FY</w:t>
      </w:r>
      <w:r>
        <w:rPr>
          <w:i/>
          <w:spacing w:val="43"/>
          <w:sz w:val="24"/>
        </w:rPr>
        <w:t xml:space="preserve"> </w:t>
      </w:r>
      <w:r>
        <w:rPr>
          <w:i/>
          <w:sz w:val="24"/>
        </w:rPr>
        <w:t>11</w:t>
      </w:r>
      <w:r>
        <w:rPr>
          <w:i/>
          <w:spacing w:val="40"/>
          <w:sz w:val="24"/>
        </w:rPr>
        <w:t xml:space="preserve"> </w:t>
      </w:r>
      <w:r>
        <w:rPr>
          <w:i/>
          <w:sz w:val="24"/>
        </w:rPr>
        <w:t>and</w:t>
      </w:r>
      <w:r>
        <w:rPr>
          <w:i/>
          <w:spacing w:val="39"/>
          <w:sz w:val="24"/>
        </w:rPr>
        <w:t xml:space="preserve"> </w:t>
      </w:r>
      <w:r>
        <w:rPr>
          <w:i/>
          <w:sz w:val="24"/>
        </w:rPr>
        <w:t>FY</w:t>
      </w:r>
      <w:r>
        <w:rPr>
          <w:i/>
          <w:spacing w:val="43"/>
          <w:sz w:val="24"/>
        </w:rPr>
        <w:t xml:space="preserve"> </w:t>
      </w:r>
      <w:r>
        <w:rPr>
          <w:i/>
          <w:sz w:val="24"/>
        </w:rPr>
        <w:t>12</w:t>
      </w:r>
      <w:r>
        <w:rPr>
          <w:i/>
          <w:spacing w:val="40"/>
          <w:sz w:val="24"/>
        </w:rPr>
        <w:t xml:space="preserve"> </w:t>
      </w:r>
      <w:r>
        <w:rPr>
          <w:i/>
          <w:sz w:val="24"/>
        </w:rPr>
        <w:t>has</w:t>
      </w:r>
    </w:p>
    <w:p w:rsidR="007C5447" w:rsidRDefault="007C5447">
      <w:pPr>
        <w:jc w:val="both"/>
        <w:rPr>
          <w:sz w:val="24"/>
        </w:rPr>
        <w:sectPr w:rsidR="007C5447">
          <w:pgSz w:w="11910" w:h="16840"/>
          <w:pgMar w:top="1420" w:right="1320" w:bottom="1240" w:left="1160" w:header="0" w:footer="1057" w:gutter="0"/>
          <w:cols w:space="720"/>
        </w:sectPr>
      </w:pPr>
    </w:p>
    <w:p w:rsidR="007C5447" w:rsidRDefault="00F6308C">
      <w:pPr>
        <w:spacing w:before="60"/>
        <w:ind w:left="1557" w:right="838"/>
        <w:jc w:val="both"/>
        <w:rPr>
          <w:i/>
          <w:sz w:val="24"/>
        </w:rPr>
      </w:pPr>
      <w:r>
        <w:rPr>
          <w:i/>
          <w:sz w:val="24"/>
        </w:rPr>
        <w:lastRenderedPageBreak/>
        <w:t>been considered as per audited accounts while for FY 13 they are approved based on historical data.</w:t>
      </w:r>
    </w:p>
    <w:p w:rsidR="007C5447" w:rsidRDefault="007C5447">
      <w:pPr>
        <w:pStyle w:val="BodyText"/>
        <w:spacing w:before="11"/>
        <w:rPr>
          <w:i/>
          <w:sz w:val="20"/>
        </w:rPr>
      </w:pPr>
    </w:p>
    <w:p w:rsidR="007C5447" w:rsidRDefault="00F6308C">
      <w:pPr>
        <w:pStyle w:val="ListParagraph"/>
        <w:numPr>
          <w:ilvl w:val="0"/>
          <w:numId w:val="90"/>
        </w:numPr>
        <w:tabs>
          <w:tab w:val="left" w:pos="2049"/>
        </w:tabs>
        <w:ind w:right="833" w:firstLine="0"/>
        <w:jc w:val="both"/>
        <w:rPr>
          <w:i/>
          <w:sz w:val="24"/>
        </w:rPr>
      </w:pPr>
      <w:r>
        <w:rPr>
          <w:i/>
          <w:sz w:val="24"/>
        </w:rPr>
        <w:t>Interest expenses on account of capital works for wind assets has not been considered as borrowings on account of wind assets cannot be loaded on tariff fo</w:t>
      </w:r>
      <w:r>
        <w:rPr>
          <w:i/>
          <w:sz w:val="24"/>
        </w:rPr>
        <w:t>r other generating stations and distribution business. Commission has already approved generation cost for wind assets based on transfer price</w:t>
      </w:r>
      <w:r>
        <w:rPr>
          <w:i/>
          <w:spacing w:val="-2"/>
          <w:sz w:val="24"/>
        </w:rPr>
        <w:t xml:space="preserve"> </w:t>
      </w:r>
      <w:r>
        <w:rPr>
          <w:i/>
          <w:sz w:val="24"/>
        </w:rPr>
        <w:t>mechanism.</w:t>
      </w:r>
    </w:p>
    <w:p w:rsidR="007C5447" w:rsidRDefault="007C5447">
      <w:pPr>
        <w:pStyle w:val="BodyText"/>
        <w:spacing w:before="10"/>
        <w:rPr>
          <w:i/>
          <w:sz w:val="20"/>
        </w:rPr>
      </w:pPr>
    </w:p>
    <w:p w:rsidR="007C5447" w:rsidRDefault="00F6308C">
      <w:pPr>
        <w:pStyle w:val="ListParagraph"/>
        <w:numPr>
          <w:ilvl w:val="0"/>
          <w:numId w:val="90"/>
        </w:numPr>
        <w:tabs>
          <w:tab w:val="left" w:pos="2109"/>
        </w:tabs>
        <w:ind w:right="838" w:firstLine="0"/>
        <w:jc w:val="both"/>
        <w:rPr>
          <w:i/>
          <w:sz w:val="24"/>
        </w:rPr>
      </w:pPr>
      <w:r>
        <w:rPr>
          <w:i/>
          <w:sz w:val="24"/>
        </w:rPr>
        <w:t>Interest on cogeneration sugar mills is also not considered as the tariff for these generating statio</w:t>
      </w:r>
      <w:r>
        <w:rPr>
          <w:i/>
          <w:sz w:val="24"/>
        </w:rPr>
        <w:t>ns is taken as per Commission’s tariff order for procurement of power from</w:t>
      </w:r>
      <w:r>
        <w:rPr>
          <w:i/>
          <w:spacing w:val="1"/>
          <w:sz w:val="24"/>
        </w:rPr>
        <w:t xml:space="preserve"> </w:t>
      </w:r>
      <w:r>
        <w:rPr>
          <w:i/>
          <w:sz w:val="24"/>
        </w:rPr>
        <w:t>cogeneration.</w:t>
      </w:r>
    </w:p>
    <w:p w:rsidR="007C5447" w:rsidRDefault="007C5447">
      <w:pPr>
        <w:pStyle w:val="BodyText"/>
        <w:spacing w:before="10"/>
        <w:rPr>
          <w:i/>
          <w:sz w:val="20"/>
        </w:rPr>
      </w:pPr>
    </w:p>
    <w:p w:rsidR="007C5447" w:rsidRDefault="00F6308C">
      <w:pPr>
        <w:pStyle w:val="ListParagraph"/>
        <w:numPr>
          <w:ilvl w:val="0"/>
          <w:numId w:val="90"/>
        </w:numPr>
        <w:tabs>
          <w:tab w:val="left" w:pos="1989"/>
        </w:tabs>
        <w:ind w:right="840" w:firstLine="0"/>
        <w:jc w:val="both"/>
        <w:rPr>
          <w:i/>
          <w:sz w:val="24"/>
        </w:rPr>
      </w:pPr>
      <w:r>
        <w:rPr>
          <w:i/>
          <w:sz w:val="24"/>
        </w:rPr>
        <w:t>Average interest rate for FY 11 and FY 12 is estimated based on interest expenses as per audited accounts and revised loan profile considering the borrowings during t</w:t>
      </w:r>
      <w:r>
        <w:rPr>
          <w:i/>
          <w:sz w:val="24"/>
        </w:rPr>
        <w:t>he first seven months of FY 11. Interest rate for FY 13 is assumed as 11.98% i.e. the average interest rate of FY 11 and FY</w:t>
      </w:r>
      <w:r>
        <w:rPr>
          <w:i/>
          <w:spacing w:val="2"/>
          <w:sz w:val="24"/>
        </w:rPr>
        <w:t xml:space="preserve"> </w:t>
      </w:r>
      <w:r>
        <w:rPr>
          <w:i/>
          <w:sz w:val="24"/>
        </w:rPr>
        <w:t>12.</w:t>
      </w:r>
    </w:p>
    <w:p w:rsidR="007C5447" w:rsidRDefault="007C5447">
      <w:pPr>
        <w:pStyle w:val="BodyText"/>
        <w:spacing w:before="11"/>
        <w:rPr>
          <w:i/>
          <w:sz w:val="20"/>
        </w:rPr>
      </w:pPr>
    </w:p>
    <w:p w:rsidR="007C5447" w:rsidRDefault="00F6308C">
      <w:pPr>
        <w:pStyle w:val="ListParagraph"/>
        <w:numPr>
          <w:ilvl w:val="0"/>
          <w:numId w:val="90"/>
        </w:numPr>
        <w:tabs>
          <w:tab w:val="left" w:pos="1949"/>
        </w:tabs>
        <w:ind w:right="841" w:firstLine="0"/>
        <w:jc w:val="both"/>
        <w:rPr>
          <w:i/>
          <w:sz w:val="24"/>
        </w:rPr>
      </w:pPr>
      <w:r>
        <w:rPr>
          <w:i/>
          <w:sz w:val="24"/>
        </w:rPr>
        <w:t>Interest during construction (IDC) is approved based on capital works in</w:t>
      </w:r>
      <w:r>
        <w:rPr>
          <w:i/>
          <w:spacing w:val="-2"/>
          <w:sz w:val="24"/>
        </w:rPr>
        <w:t xml:space="preserve"> </w:t>
      </w:r>
      <w:r>
        <w:rPr>
          <w:i/>
          <w:sz w:val="24"/>
        </w:rPr>
        <w:t>progress.”</w:t>
      </w:r>
    </w:p>
    <w:p w:rsidR="007C5447" w:rsidRDefault="00F6308C">
      <w:pPr>
        <w:pStyle w:val="ListParagraph"/>
        <w:numPr>
          <w:ilvl w:val="2"/>
          <w:numId w:val="92"/>
        </w:numPr>
        <w:tabs>
          <w:tab w:val="left" w:pos="970"/>
        </w:tabs>
        <w:spacing w:before="120" w:line="312" w:lineRule="auto"/>
        <w:ind w:left="969" w:right="120"/>
        <w:jc w:val="both"/>
        <w:rPr>
          <w:sz w:val="24"/>
        </w:rPr>
      </w:pPr>
      <w:r>
        <w:rPr>
          <w:sz w:val="24"/>
        </w:rPr>
        <w:t>The Suo-Motu Order of the Commission was challenged by the Tamil Nadu Electricity Consumers Association (TECA) before the Hon’ble APTEL in Appeal No. 62 and 63 of 2015. The Hon’ble APTEL in its Judgment dated March 2, 2016, upheld the Suo-Motu Order in its</w:t>
      </w:r>
      <w:r>
        <w:rPr>
          <w:sz w:val="24"/>
        </w:rPr>
        <w:t xml:space="preserve"> entirety, the relevant excerpts of which are reproduced below:</w:t>
      </w:r>
    </w:p>
    <w:p w:rsidR="007C5447" w:rsidRDefault="007C5447">
      <w:pPr>
        <w:pStyle w:val="BodyText"/>
        <w:spacing w:before="9"/>
        <w:rPr>
          <w:sz w:val="20"/>
        </w:rPr>
      </w:pPr>
    </w:p>
    <w:p w:rsidR="007C5447" w:rsidRDefault="00F6308C">
      <w:pPr>
        <w:ind w:left="1557" w:right="835"/>
        <w:jc w:val="both"/>
        <w:rPr>
          <w:i/>
          <w:sz w:val="24"/>
        </w:rPr>
      </w:pPr>
      <w:r>
        <w:rPr>
          <w:i/>
          <w:sz w:val="24"/>
        </w:rPr>
        <w:t xml:space="preserve">“15. The present Appeals, being Appeal Nos. 62 of 2015 and 63 of 2015, are hereby dismissed and </w:t>
      </w:r>
      <w:r>
        <w:rPr>
          <w:b/>
          <w:i/>
          <w:sz w:val="24"/>
        </w:rPr>
        <w:t>the impugned suo-motu tariff orders, being SMT Order Nos. 8 of 2014 and 9 of 2014, each dated 1</w:t>
      </w:r>
      <w:r>
        <w:rPr>
          <w:b/>
          <w:i/>
          <w:sz w:val="24"/>
        </w:rPr>
        <w:t xml:space="preserve">1.12.2014, passed by the Tamil Nadu Electricity Regulatory Commission, are hereby upheld. </w:t>
      </w:r>
      <w:r>
        <w:rPr>
          <w:i/>
          <w:sz w:val="24"/>
        </w:rPr>
        <w:t>There shall be no order as to costs.”</w:t>
      </w:r>
    </w:p>
    <w:p w:rsidR="007C5447" w:rsidRDefault="00F6308C">
      <w:pPr>
        <w:pStyle w:val="ListParagraph"/>
        <w:numPr>
          <w:ilvl w:val="2"/>
          <w:numId w:val="92"/>
        </w:numPr>
        <w:tabs>
          <w:tab w:val="left" w:pos="970"/>
        </w:tabs>
        <w:spacing w:before="120" w:line="312" w:lineRule="auto"/>
        <w:ind w:left="969" w:right="114"/>
        <w:jc w:val="both"/>
        <w:rPr>
          <w:sz w:val="24"/>
        </w:rPr>
      </w:pPr>
      <w:r>
        <w:rPr>
          <w:sz w:val="24"/>
        </w:rPr>
        <w:t>As the Suo-Motu Order of the Commission has not been further appealed before any higher authority, it has attained finality. Hen</w:t>
      </w:r>
      <w:r>
        <w:rPr>
          <w:sz w:val="24"/>
        </w:rPr>
        <w:t>ce, the Commission has adopted the same approach while approving the interest on loan as adopted in earlier orders. Further, as stated above, impact of approval for capital expenditure given vide M.P. No 39 of 2012, has been factored in while approving int</w:t>
      </w:r>
      <w:r>
        <w:rPr>
          <w:sz w:val="24"/>
        </w:rPr>
        <w:t>erest on loan for the period from FY 2011-12 to FY</w:t>
      </w:r>
      <w:r>
        <w:rPr>
          <w:spacing w:val="-1"/>
          <w:sz w:val="24"/>
        </w:rPr>
        <w:t xml:space="preserve"> </w:t>
      </w:r>
      <w:r>
        <w:rPr>
          <w:sz w:val="24"/>
        </w:rPr>
        <w:t>2015-16.</w:t>
      </w:r>
    </w:p>
    <w:p w:rsidR="007C5447" w:rsidRDefault="007C5447">
      <w:pPr>
        <w:spacing w:line="312" w:lineRule="auto"/>
        <w:jc w:val="both"/>
        <w:rPr>
          <w:sz w:val="24"/>
        </w:rPr>
        <w:sectPr w:rsidR="007C5447">
          <w:pgSz w:w="11910" w:h="16840"/>
          <w:pgMar w:top="1360" w:right="1320" w:bottom="1240" w:left="1160" w:header="0" w:footer="1057" w:gutter="0"/>
          <w:cols w:space="720"/>
        </w:sectPr>
      </w:pPr>
    </w:p>
    <w:p w:rsidR="007C5447" w:rsidRDefault="007C5447">
      <w:pPr>
        <w:pStyle w:val="BodyText"/>
        <w:rPr>
          <w:sz w:val="20"/>
        </w:rPr>
      </w:pPr>
    </w:p>
    <w:p w:rsidR="007C5447" w:rsidRDefault="007C5447">
      <w:pPr>
        <w:pStyle w:val="BodyText"/>
        <w:spacing w:before="6"/>
        <w:rPr>
          <w:sz w:val="19"/>
        </w:rPr>
      </w:pPr>
    </w:p>
    <w:p w:rsidR="007C5447" w:rsidRDefault="00F6308C">
      <w:pPr>
        <w:ind w:left="2274"/>
        <w:rPr>
          <w:b/>
        </w:rPr>
      </w:pPr>
      <w:r>
        <w:rPr>
          <w:b/>
        </w:rPr>
        <w:t>Table 3-20: Loan and Interest Expenses approved by the Commission after true-up for FY 2011-12 to FY 2015-16 (Rs. Crore)</w:t>
      </w:r>
    </w:p>
    <w:p w:rsidR="007C5447" w:rsidRDefault="007C5447">
      <w:pPr>
        <w:pStyle w:val="BodyText"/>
        <w:spacing w:before="11"/>
        <w:rPr>
          <w:b/>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0"/>
        <w:gridCol w:w="1274"/>
        <w:gridCol w:w="1282"/>
        <w:gridCol w:w="1113"/>
        <w:gridCol w:w="1295"/>
        <w:gridCol w:w="1135"/>
        <w:gridCol w:w="1276"/>
        <w:gridCol w:w="995"/>
        <w:gridCol w:w="1276"/>
        <w:gridCol w:w="1131"/>
        <w:gridCol w:w="1261"/>
      </w:tblGrid>
      <w:tr w:rsidR="007C5447">
        <w:trPr>
          <w:trHeight w:val="330"/>
        </w:trPr>
        <w:tc>
          <w:tcPr>
            <w:tcW w:w="2830" w:type="dxa"/>
            <w:shd w:val="clear" w:color="auto" w:fill="F7C9AC"/>
          </w:tcPr>
          <w:p w:rsidR="007C5447" w:rsidRDefault="00F6308C">
            <w:pPr>
              <w:pStyle w:val="TableParagraph"/>
              <w:spacing w:before="84" w:line="227" w:lineRule="exact"/>
              <w:ind w:left="107"/>
              <w:jc w:val="left"/>
              <w:rPr>
                <w:b/>
                <w:sz w:val="20"/>
              </w:rPr>
            </w:pPr>
            <w:r>
              <w:rPr>
                <w:b/>
                <w:sz w:val="20"/>
              </w:rPr>
              <w:t>Particulars</w:t>
            </w:r>
          </w:p>
        </w:tc>
        <w:tc>
          <w:tcPr>
            <w:tcW w:w="2556" w:type="dxa"/>
            <w:gridSpan w:val="2"/>
            <w:shd w:val="clear" w:color="auto" w:fill="F7C9AC"/>
          </w:tcPr>
          <w:p w:rsidR="007C5447" w:rsidRDefault="00F6308C">
            <w:pPr>
              <w:pStyle w:val="TableParagraph"/>
              <w:spacing w:before="14"/>
              <w:ind w:left="924" w:right="915"/>
              <w:jc w:val="center"/>
              <w:rPr>
                <w:b/>
                <w:sz w:val="20"/>
              </w:rPr>
            </w:pPr>
            <w:r>
              <w:rPr>
                <w:b/>
                <w:sz w:val="20"/>
              </w:rPr>
              <w:t>2011-12</w:t>
            </w:r>
          </w:p>
        </w:tc>
        <w:tc>
          <w:tcPr>
            <w:tcW w:w="2408" w:type="dxa"/>
            <w:gridSpan w:val="2"/>
            <w:shd w:val="clear" w:color="auto" w:fill="F7C9AC"/>
          </w:tcPr>
          <w:p w:rsidR="007C5447" w:rsidRDefault="00F6308C">
            <w:pPr>
              <w:pStyle w:val="TableParagraph"/>
              <w:spacing w:before="14"/>
              <w:ind w:left="852" w:right="838"/>
              <w:jc w:val="center"/>
              <w:rPr>
                <w:b/>
                <w:sz w:val="20"/>
              </w:rPr>
            </w:pPr>
            <w:r>
              <w:rPr>
                <w:b/>
                <w:sz w:val="20"/>
              </w:rPr>
              <w:t>2012-13</w:t>
            </w:r>
          </w:p>
        </w:tc>
        <w:tc>
          <w:tcPr>
            <w:tcW w:w="2411" w:type="dxa"/>
            <w:gridSpan w:val="2"/>
            <w:shd w:val="clear" w:color="auto" w:fill="F7C9AC"/>
          </w:tcPr>
          <w:p w:rsidR="007C5447" w:rsidRDefault="00F6308C">
            <w:pPr>
              <w:pStyle w:val="TableParagraph"/>
              <w:spacing w:before="14"/>
              <w:ind w:left="854" w:right="839"/>
              <w:jc w:val="center"/>
              <w:rPr>
                <w:b/>
                <w:sz w:val="20"/>
              </w:rPr>
            </w:pPr>
            <w:r>
              <w:rPr>
                <w:b/>
                <w:sz w:val="20"/>
              </w:rPr>
              <w:t>2013-14</w:t>
            </w:r>
          </w:p>
        </w:tc>
        <w:tc>
          <w:tcPr>
            <w:tcW w:w="2271" w:type="dxa"/>
            <w:gridSpan w:val="2"/>
            <w:shd w:val="clear" w:color="auto" w:fill="F7C9AC"/>
          </w:tcPr>
          <w:p w:rsidR="007C5447" w:rsidRDefault="00F6308C">
            <w:pPr>
              <w:pStyle w:val="TableParagraph"/>
              <w:spacing w:before="14"/>
              <w:ind w:left="783" w:right="770"/>
              <w:jc w:val="center"/>
              <w:rPr>
                <w:b/>
                <w:sz w:val="20"/>
              </w:rPr>
            </w:pPr>
            <w:r>
              <w:rPr>
                <w:b/>
                <w:sz w:val="20"/>
              </w:rPr>
              <w:t>2014-15</w:t>
            </w:r>
          </w:p>
        </w:tc>
        <w:tc>
          <w:tcPr>
            <w:tcW w:w="2392" w:type="dxa"/>
            <w:gridSpan w:val="2"/>
            <w:shd w:val="clear" w:color="auto" w:fill="F7C9AC"/>
          </w:tcPr>
          <w:p w:rsidR="007C5447" w:rsidRDefault="00F6308C">
            <w:pPr>
              <w:pStyle w:val="TableParagraph"/>
              <w:spacing w:before="14"/>
              <w:ind w:left="851" w:right="824"/>
              <w:jc w:val="center"/>
              <w:rPr>
                <w:b/>
                <w:sz w:val="20"/>
              </w:rPr>
            </w:pPr>
            <w:r>
              <w:rPr>
                <w:b/>
                <w:sz w:val="20"/>
              </w:rPr>
              <w:t>2015-16</w:t>
            </w:r>
          </w:p>
        </w:tc>
      </w:tr>
      <w:tr w:rsidR="007C5447">
        <w:trPr>
          <w:trHeight w:val="719"/>
        </w:trPr>
        <w:tc>
          <w:tcPr>
            <w:tcW w:w="2830" w:type="dxa"/>
            <w:shd w:val="clear" w:color="auto" w:fill="F7C9AC"/>
          </w:tcPr>
          <w:p w:rsidR="007C5447" w:rsidRDefault="007C5447">
            <w:pPr>
              <w:pStyle w:val="TableParagraph"/>
              <w:spacing w:before="3"/>
              <w:jc w:val="left"/>
              <w:rPr>
                <w:b/>
                <w:sz w:val="21"/>
              </w:rPr>
            </w:pPr>
          </w:p>
          <w:p w:rsidR="007C5447" w:rsidRDefault="00F6308C">
            <w:pPr>
              <w:pStyle w:val="TableParagraph"/>
              <w:ind w:left="107"/>
              <w:jc w:val="left"/>
              <w:rPr>
                <w:b/>
                <w:sz w:val="20"/>
              </w:rPr>
            </w:pPr>
            <w:r>
              <w:rPr>
                <w:b/>
                <w:sz w:val="20"/>
              </w:rPr>
              <w:t>Loan Profile</w:t>
            </w:r>
          </w:p>
        </w:tc>
        <w:tc>
          <w:tcPr>
            <w:tcW w:w="1274" w:type="dxa"/>
            <w:shd w:val="clear" w:color="auto" w:fill="F7C9AC"/>
          </w:tcPr>
          <w:p w:rsidR="007C5447" w:rsidRDefault="007C5447">
            <w:pPr>
              <w:pStyle w:val="TableParagraph"/>
              <w:spacing w:before="3"/>
              <w:jc w:val="left"/>
              <w:rPr>
                <w:b/>
                <w:sz w:val="21"/>
              </w:rPr>
            </w:pPr>
          </w:p>
          <w:p w:rsidR="007C5447" w:rsidRDefault="00F6308C">
            <w:pPr>
              <w:pStyle w:val="TableParagraph"/>
              <w:ind w:right="116"/>
              <w:rPr>
                <w:b/>
                <w:sz w:val="20"/>
              </w:rPr>
            </w:pPr>
            <w:r>
              <w:rPr>
                <w:b/>
                <w:sz w:val="20"/>
              </w:rPr>
              <w:t>SMT Order</w:t>
            </w:r>
          </w:p>
        </w:tc>
        <w:tc>
          <w:tcPr>
            <w:tcW w:w="1282" w:type="dxa"/>
            <w:shd w:val="clear" w:color="auto" w:fill="F7C9AC"/>
          </w:tcPr>
          <w:p w:rsidR="007C5447" w:rsidRDefault="00F6308C">
            <w:pPr>
              <w:pStyle w:val="TableParagraph"/>
              <w:spacing w:before="14" w:line="230" w:lineRule="atLeast"/>
              <w:ind w:left="213" w:right="202"/>
              <w:jc w:val="center"/>
              <w:rPr>
                <w:b/>
                <w:sz w:val="20"/>
              </w:rPr>
            </w:pPr>
            <w:r>
              <w:rPr>
                <w:b/>
                <w:w w:val="95"/>
                <w:sz w:val="20"/>
              </w:rPr>
              <w:t xml:space="preserve">Approved </w:t>
            </w:r>
            <w:r>
              <w:rPr>
                <w:b/>
                <w:sz w:val="20"/>
              </w:rPr>
              <w:t>after true up</w:t>
            </w:r>
          </w:p>
        </w:tc>
        <w:tc>
          <w:tcPr>
            <w:tcW w:w="1113" w:type="dxa"/>
            <w:shd w:val="clear" w:color="auto" w:fill="F7C9AC"/>
          </w:tcPr>
          <w:p w:rsidR="007C5447" w:rsidRDefault="00F6308C">
            <w:pPr>
              <w:pStyle w:val="TableParagraph"/>
              <w:spacing w:before="130"/>
              <w:ind w:left="338"/>
              <w:jc w:val="left"/>
              <w:rPr>
                <w:b/>
                <w:sz w:val="20"/>
              </w:rPr>
            </w:pPr>
            <w:r>
              <w:rPr>
                <w:b/>
                <w:sz w:val="20"/>
              </w:rPr>
              <w:t>SMT</w:t>
            </w:r>
          </w:p>
          <w:p w:rsidR="007C5447" w:rsidRDefault="00F6308C">
            <w:pPr>
              <w:pStyle w:val="TableParagraph"/>
              <w:ind w:left="288"/>
              <w:jc w:val="left"/>
              <w:rPr>
                <w:b/>
                <w:sz w:val="20"/>
              </w:rPr>
            </w:pPr>
            <w:r>
              <w:rPr>
                <w:b/>
                <w:sz w:val="20"/>
              </w:rPr>
              <w:t>Order</w:t>
            </w:r>
          </w:p>
        </w:tc>
        <w:tc>
          <w:tcPr>
            <w:tcW w:w="1295" w:type="dxa"/>
            <w:shd w:val="clear" w:color="auto" w:fill="F7C9AC"/>
          </w:tcPr>
          <w:p w:rsidR="007C5447" w:rsidRDefault="00F6308C">
            <w:pPr>
              <w:pStyle w:val="TableParagraph"/>
              <w:spacing w:before="14" w:line="230" w:lineRule="atLeast"/>
              <w:ind w:left="219" w:right="209"/>
              <w:jc w:val="center"/>
              <w:rPr>
                <w:b/>
                <w:sz w:val="20"/>
              </w:rPr>
            </w:pPr>
            <w:r>
              <w:rPr>
                <w:b/>
                <w:w w:val="95"/>
                <w:sz w:val="20"/>
              </w:rPr>
              <w:t xml:space="preserve">Approved </w:t>
            </w:r>
            <w:r>
              <w:rPr>
                <w:b/>
                <w:sz w:val="20"/>
              </w:rPr>
              <w:t>after true up</w:t>
            </w:r>
          </w:p>
        </w:tc>
        <w:tc>
          <w:tcPr>
            <w:tcW w:w="1135" w:type="dxa"/>
            <w:shd w:val="clear" w:color="auto" w:fill="F7C9AC"/>
          </w:tcPr>
          <w:p w:rsidR="007C5447" w:rsidRDefault="00F6308C">
            <w:pPr>
              <w:pStyle w:val="TableParagraph"/>
              <w:spacing w:before="130"/>
              <w:ind w:left="350"/>
              <w:jc w:val="left"/>
              <w:rPr>
                <w:b/>
                <w:sz w:val="20"/>
              </w:rPr>
            </w:pPr>
            <w:r>
              <w:rPr>
                <w:b/>
                <w:sz w:val="20"/>
              </w:rPr>
              <w:t>SMT</w:t>
            </w:r>
          </w:p>
          <w:p w:rsidR="007C5447" w:rsidRDefault="00F6308C">
            <w:pPr>
              <w:pStyle w:val="TableParagraph"/>
              <w:ind w:left="302"/>
              <w:jc w:val="left"/>
              <w:rPr>
                <w:b/>
                <w:sz w:val="20"/>
              </w:rPr>
            </w:pPr>
            <w:r>
              <w:rPr>
                <w:b/>
                <w:sz w:val="20"/>
              </w:rPr>
              <w:t>Order</w:t>
            </w:r>
          </w:p>
        </w:tc>
        <w:tc>
          <w:tcPr>
            <w:tcW w:w="1276" w:type="dxa"/>
            <w:shd w:val="clear" w:color="auto" w:fill="F7C9AC"/>
          </w:tcPr>
          <w:p w:rsidR="007C5447" w:rsidRDefault="00F6308C">
            <w:pPr>
              <w:pStyle w:val="TableParagraph"/>
              <w:spacing w:before="14" w:line="230" w:lineRule="atLeast"/>
              <w:ind w:left="211" w:right="194"/>
              <w:jc w:val="center"/>
              <w:rPr>
                <w:b/>
                <w:sz w:val="20"/>
              </w:rPr>
            </w:pPr>
            <w:r>
              <w:rPr>
                <w:b/>
                <w:w w:val="95"/>
                <w:sz w:val="20"/>
              </w:rPr>
              <w:t xml:space="preserve">Approved </w:t>
            </w:r>
            <w:r>
              <w:rPr>
                <w:b/>
                <w:sz w:val="20"/>
              </w:rPr>
              <w:t>after true up</w:t>
            </w:r>
          </w:p>
        </w:tc>
        <w:tc>
          <w:tcPr>
            <w:tcW w:w="995" w:type="dxa"/>
            <w:shd w:val="clear" w:color="auto" w:fill="F7C9AC"/>
          </w:tcPr>
          <w:p w:rsidR="007C5447" w:rsidRDefault="00F6308C">
            <w:pPr>
              <w:pStyle w:val="TableParagraph"/>
              <w:spacing w:before="130"/>
              <w:ind w:left="281"/>
              <w:jc w:val="left"/>
              <w:rPr>
                <w:b/>
                <w:sz w:val="20"/>
              </w:rPr>
            </w:pPr>
            <w:r>
              <w:rPr>
                <w:b/>
                <w:sz w:val="20"/>
              </w:rPr>
              <w:t>SMT</w:t>
            </w:r>
          </w:p>
          <w:p w:rsidR="007C5447" w:rsidRDefault="00F6308C">
            <w:pPr>
              <w:pStyle w:val="TableParagraph"/>
              <w:ind w:left="231"/>
              <w:jc w:val="left"/>
              <w:rPr>
                <w:b/>
                <w:sz w:val="20"/>
              </w:rPr>
            </w:pPr>
            <w:r>
              <w:rPr>
                <w:b/>
                <w:sz w:val="20"/>
              </w:rPr>
              <w:t>Order</w:t>
            </w:r>
          </w:p>
        </w:tc>
        <w:tc>
          <w:tcPr>
            <w:tcW w:w="1276" w:type="dxa"/>
            <w:shd w:val="clear" w:color="auto" w:fill="F7C9AC"/>
          </w:tcPr>
          <w:p w:rsidR="007C5447" w:rsidRDefault="00F6308C">
            <w:pPr>
              <w:pStyle w:val="TableParagraph"/>
              <w:spacing w:before="14" w:line="230" w:lineRule="atLeast"/>
              <w:ind w:left="213" w:right="192"/>
              <w:jc w:val="center"/>
              <w:rPr>
                <w:b/>
                <w:sz w:val="20"/>
              </w:rPr>
            </w:pPr>
            <w:r>
              <w:rPr>
                <w:b/>
                <w:w w:val="95"/>
                <w:sz w:val="20"/>
              </w:rPr>
              <w:t xml:space="preserve">Approved </w:t>
            </w:r>
            <w:r>
              <w:rPr>
                <w:b/>
                <w:sz w:val="20"/>
              </w:rPr>
              <w:t>after true up</w:t>
            </w:r>
          </w:p>
        </w:tc>
        <w:tc>
          <w:tcPr>
            <w:tcW w:w="1131" w:type="dxa"/>
            <w:shd w:val="clear" w:color="auto" w:fill="F7C9AC"/>
          </w:tcPr>
          <w:p w:rsidR="007C5447" w:rsidRDefault="007C5447">
            <w:pPr>
              <w:pStyle w:val="TableParagraph"/>
              <w:spacing w:before="3"/>
              <w:jc w:val="left"/>
              <w:rPr>
                <w:b/>
                <w:sz w:val="21"/>
              </w:rPr>
            </w:pPr>
          </w:p>
          <w:p w:rsidR="007C5447" w:rsidRDefault="00F6308C">
            <w:pPr>
              <w:pStyle w:val="TableParagraph"/>
              <w:ind w:left="176"/>
              <w:jc w:val="left"/>
              <w:rPr>
                <w:b/>
                <w:sz w:val="20"/>
              </w:rPr>
            </w:pPr>
            <w:r>
              <w:rPr>
                <w:b/>
                <w:sz w:val="20"/>
              </w:rPr>
              <w:t>T.O 2013</w:t>
            </w:r>
          </w:p>
        </w:tc>
        <w:tc>
          <w:tcPr>
            <w:tcW w:w="1261" w:type="dxa"/>
            <w:shd w:val="clear" w:color="auto" w:fill="F7C9AC"/>
          </w:tcPr>
          <w:p w:rsidR="007C5447" w:rsidRDefault="00F6308C">
            <w:pPr>
              <w:pStyle w:val="TableParagraph"/>
              <w:spacing w:before="14" w:line="230" w:lineRule="atLeast"/>
              <w:ind w:left="211" w:right="183"/>
              <w:jc w:val="center"/>
              <w:rPr>
                <w:b/>
                <w:sz w:val="20"/>
              </w:rPr>
            </w:pPr>
            <w:r>
              <w:rPr>
                <w:b/>
                <w:w w:val="95"/>
                <w:sz w:val="20"/>
              </w:rPr>
              <w:t xml:space="preserve">Approved </w:t>
            </w:r>
            <w:r>
              <w:rPr>
                <w:b/>
                <w:sz w:val="20"/>
              </w:rPr>
              <w:t>after true up</w:t>
            </w:r>
          </w:p>
        </w:tc>
      </w:tr>
      <w:tr w:rsidR="007C5447">
        <w:trPr>
          <w:trHeight w:val="330"/>
        </w:trPr>
        <w:tc>
          <w:tcPr>
            <w:tcW w:w="2830" w:type="dxa"/>
          </w:tcPr>
          <w:p w:rsidR="007C5447" w:rsidRDefault="00F6308C">
            <w:pPr>
              <w:pStyle w:val="TableParagraph"/>
              <w:spacing w:before="84" w:line="227" w:lineRule="exact"/>
              <w:ind w:left="107"/>
              <w:jc w:val="left"/>
              <w:rPr>
                <w:b/>
                <w:sz w:val="20"/>
              </w:rPr>
            </w:pPr>
            <w:r>
              <w:rPr>
                <w:b/>
                <w:sz w:val="20"/>
              </w:rPr>
              <w:t>Op. Balance</w:t>
            </w:r>
          </w:p>
        </w:tc>
        <w:tc>
          <w:tcPr>
            <w:tcW w:w="1274" w:type="dxa"/>
          </w:tcPr>
          <w:p w:rsidR="007C5447" w:rsidRDefault="00F6308C">
            <w:pPr>
              <w:pStyle w:val="TableParagraph"/>
              <w:spacing w:before="50"/>
              <w:ind w:right="93"/>
              <w:rPr>
                <w:b/>
                <w:sz w:val="20"/>
              </w:rPr>
            </w:pPr>
            <w:r>
              <w:rPr>
                <w:b/>
                <w:w w:val="95"/>
                <w:sz w:val="20"/>
              </w:rPr>
              <w:t>20,726</w:t>
            </w:r>
          </w:p>
        </w:tc>
        <w:tc>
          <w:tcPr>
            <w:tcW w:w="1282" w:type="dxa"/>
          </w:tcPr>
          <w:p w:rsidR="007C5447" w:rsidRDefault="00F6308C">
            <w:pPr>
              <w:pStyle w:val="TableParagraph"/>
              <w:spacing w:before="50"/>
              <w:ind w:right="98"/>
              <w:rPr>
                <w:b/>
                <w:sz w:val="20"/>
              </w:rPr>
            </w:pPr>
            <w:r>
              <w:rPr>
                <w:b/>
                <w:w w:val="95"/>
                <w:sz w:val="20"/>
              </w:rPr>
              <w:t>20,726.19</w:t>
            </w:r>
          </w:p>
        </w:tc>
        <w:tc>
          <w:tcPr>
            <w:tcW w:w="1113" w:type="dxa"/>
          </w:tcPr>
          <w:p w:rsidR="007C5447" w:rsidRDefault="00F6308C">
            <w:pPr>
              <w:pStyle w:val="TableParagraph"/>
              <w:spacing w:before="50"/>
              <w:ind w:right="97"/>
              <w:rPr>
                <w:b/>
                <w:sz w:val="20"/>
              </w:rPr>
            </w:pPr>
            <w:r>
              <w:rPr>
                <w:b/>
                <w:w w:val="95"/>
                <w:sz w:val="20"/>
              </w:rPr>
              <w:t>26,046</w:t>
            </w:r>
          </w:p>
        </w:tc>
        <w:tc>
          <w:tcPr>
            <w:tcW w:w="1295" w:type="dxa"/>
          </w:tcPr>
          <w:p w:rsidR="007C5447" w:rsidRDefault="00F6308C">
            <w:pPr>
              <w:pStyle w:val="TableParagraph"/>
              <w:spacing w:before="50"/>
              <w:ind w:right="95"/>
              <w:rPr>
                <w:b/>
                <w:sz w:val="20"/>
              </w:rPr>
            </w:pPr>
            <w:r>
              <w:rPr>
                <w:b/>
                <w:w w:val="95"/>
                <w:sz w:val="20"/>
              </w:rPr>
              <w:t>26,824.32</w:t>
            </w:r>
          </w:p>
        </w:tc>
        <w:tc>
          <w:tcPr>
            <w:tcW w:w="1135" w:type="dxa"/>
          </w:tcPr>
          <w:p w:rsidR="007C5447" w:rsidRDefault="00F6308C">
            <w:pPr>
              <w:pStyle w:val="TableParagraph"/>
              <w:spacing w:before="50"/>
              <w:ind w:right="95"/>
              <w:rPr>
                <w:b/>
                <w:sz w:val="20"/>
              </w:rPr>
            </w:pPr>
            <w:r>
              <w:rPr>
                <w:b/>
                <w:w w:val="95"/>
                <w:sz w:val="20"/>
              </w:rPr>
              <w:t>28,924</w:t>
            </w:r>
          </w:p>
        </w:tc>
        <w:tc>
          <w:tcPr>
            <w:tcW w:w="1276" w:type="dxa"/>
          </w:tcPr>
          <w:p w:rsidR="007C5447" w:rsidRDefault="00F6308C">
            <w:pPr>
              <w:pStyle w:val="TableParagraph"/>
              <w:spacing w:before="50"/>
              <w:ind w:right="95"/>
              <w:rPr>
                <w:b/>
                <w:sz w:val="20"/>
              </w:rPr>
            </w:pPr>
            <w:r>
              <w:rPr>
                <w:b/>
                <w:w w:val="95"/>
                <w:sz w:val="20"/>
              </w:rPr>
              <w:t>29,814.06</w:t>
            </w:r>
          </w:p>
        </w:tc>
        <w:tc>
          <w:tcPr>
            <w:tcW w:w="995" w:type="dxa"/>
          </w:tcPr>
          <w:p w:rsidR="007C5447" w:rsidRDefault="00F6308C">
            <w:pPr>
              <w:pStyle w:val="TableParagraph"/>
              <w:spacing w:before="50"/>
              <w:ind w:right="93"/>
              <w:rPr>
                <w:b/>
                <w:sz w:val="20"/>
              </w:rPr>
            </w:pPr>
            <w:r>
              <w:rPr>
                <w:b/>
                <w:w w:val="95"/>
                <w:sz w:val="20"/>
              </w:rPr>
              <w:t>31,187</w:t>
            </w:r>
          </w:p>
        </w:tc>
        <w:tc>
          <w:tcPr>
            <w:tcW w:w="1276" w:type="dxa"/>
          </w:tcPr>
          <w:p w:rsidR="007C5447" w:rsidRDefault="00F6308C">
            <w:pPr>
              <w:pStyle w:val="TableParagraph"/>
              <w:spacing w:before="50"/>
              <w:ind w:right="91"/>
              <w:rPr>
                <w:b/>
                <w:sz w:val="20"/>
              </w:rPr>
            </w:pPr>
            <w:r>
              <w:rPr>
                <w:b/>
                <w:w w:val="95"/>
                <w:sz w:val="20"/>
              </w:rPr>
              <w:t>33,565.05</w:t>
            </w:r>
          </w:p>
        </w:tc>
        <w:tc>
          <w:tcPr>
            <w:tcW w:w="1131" w:type="dxa"/>
          </w:tcPr>
          <w:p w:rsidR="007C5447" w:rsidRDefault="00F6308C">
            <w:pPr>
              <w:pStyle w:val="TableParagraph"/>
              <w:spacing w:before="50"/>
              <w:ind w:right="88"/>
              <w:rPr>
                <w:b/>
                <w:sz w:val="20"/>
              </w:rPr>
            </w:pPr>
            <w:r>
              <w:rPr>
                <w:b/>
                <w:w w:val="95"/>
                <w:sz w:val="20"/>
              </w:rPr>
              <w:t>34,965</w:t>
            </w:r>
          </w:p>
        </w:tc>
        <w:tc>
          <w:tcPr>
            <w:tcW w:w="1261" w:type="dxa"/>
          </w:tcPr>
          <w:p w:rsidR="007C5447" w:rsidRDefault="00F6308C">
            <w:pPr>
              <w:pStyle w:val="TableParagraph"/>
              <w:spacing w:before="50"/>
              <w:ind w:right="88"/>
              <w:rPr>
                <w:b/>
                <w:sz w:val="20"/>
              </w:rPr>
            </w:pPr>
            <w:r>
              <w:rPr>
                <w:b/>
                <w:w w:val="95"/>
                <w:sz w:val="20"/>
              </w:rPr>
              <w:t>35,954.28</w:t>
            </w:r>
          </w:p>
        </w:tc>
      </w:tr>
      <w:tr w:rsidR="007C5447">
        <w:trPr>
          <w:trHeight w:val="328"/>
        </w:trPr>
        <w:tc>
          <w:tcPr>
            <w:tcW w:w="2830" w:type="dxa"/>
          </w:tcPr>
          <w:p w:rsidR="007C5447" w:rsidRDefault="00F6308C">
            <w:pPr>
              <w:pStyle w:val="TableParagraph"/>
              <w:spacing w:before="84" w:line="224" w:lineRule="exact"/>
              <w:ind w:left="107"/>
              <w:jc w:val="left"/>
              <w:rPr>
                <w:sz w:val="20"/>
              </w:rPr>
            </w:pPr>
            <w:r>
              <w:rPr>
                <w:sz w:val="20"/>
              </w:rPr>
              <w:t>Add: Addition for CAPEX</w:t>
            </w:r>
          </w:p>
        </w:tc>
        <w:tc>
          <w:tcPr>
            <w:tcW w:w="1274" w:type="dxa"/>
          </w:tcPr>
          <w:p w:rsidR="007C5447" w:rsidRDefault="00F6308C">
            <w:pPr>
              <w:pStyle w:val="TableParagraph"/>
              <w:spacing w:before="48"/>
              <w:ind w:right="93"/>
              <w:rPr>
                <w:sz w:val="20"/>
              </w:rPr>
            </w:pPr>
            <w:r>
              <w:rPr>
                <w:sz w:val="20"/>
              </w:rPr>
              <w:t>5,926</w:t>
            </w:r>
          </w:p>
        </w:tc>
        <w:tc>
          <w:tcPr>
            <w:tcW w:w="1282" w:type="dxa"/>
          </w:tcPr>
          <w:p w:rsidR="007C5447" w:rsidRDefault="00F6308C">
            <w:pPr>
              <w:pStyle w:val="TableParagraph"/>
              <w:spacing w:before="48"/>
              <w:ind w:right="95"/>
              <w:rPr>
                <w:sz w:val="20"/>
              </w:rPr>
            </w:pPr>
            <w:r>
              <w:rPr>
                <w:sz w:val="20"/>
              </w:rPr>
              <w:t>6,671.86</w:t>
            </w:r>
          </w:p>
        </w:tc>
        <w:tc>
          <w:tcPr>
            <w:tcW w:w="1113" w:type="dxa"/>
          </w:tcPr>
          <w:p w:rsidR="007C5447" w:rsidRDefault="00F6308C">
            <w:pPr>
              <w:pStyle w:val="TableParagraph"/>
              <w:spacing w:before="48"/>
              <w:ind w:right="97"/>
              <w:rPr>
                <w:sz w:val="20"/>
              </w:rPr>
            </w:pPr>
            <w:r>
              <w:rPr>
                <w:sz w:val="20"/>
              </w:rPr>
              <w:t>2,886</w:t>
            </w:r>
          </w:p>
        </w:tc>
        <w:tc>
          <w:tcPr>
            <w:tcW w:w="1295" w:type="dxa"/>
          </w:tcPr>
          <w:p w:rsidR="007C5447" w:rsidRDefault="00F6308C">
            <w:pPr>
              <w:pStyle w:val="TableParagraph"/>
              <w:spacing w:before="48"/>
              <w:ind w:right="93"/>
              <w:rPr>
                <w:sz w:val="20"/>
              </w:rPr>
            </w:pPr>
            <w:r>
              <w:rPr>
                <w:sz w:val="20"/>
              </w:rPr>
              <w:t>3,592.81</w:t>
            </w:r>
          </w:p>
        </w:tc>
        <w:tc>
          <w:tcPr>
            <w:tcW w:w="1135" w:type="dxa"/>
          </w:tcPr>
          <w:p w:rsidR="007C5447" w:rsidRDefault="00F6308C">
            <w:pPr>
              <w:pStyle w:val="TableParagraph"/>
              <w:spacing w:before="48"/>
              <w:ind w:right="95"/>
              <w:rPr>
                <w:sz w:val="20"/>
              </w:rPr>
            </w:pPr>
            <w:r>
              <w:rPr>
                <w:sz w:val="20"/>
              </w:rPr>
              <w:t>3,666</w:t>
            </w:r>
          </w:p>
        </w:tc>
        <w:tc>
          <w:tcPr>
            <w:tcW w:w="1276" w:type="dxa"/>
          </w:tcPr>
          <w:p w:rsidR="007C5447" w:rsidRDefault="00F6308C">
            <w:pPr>
              <w:pStyle w:val="TableParagraph"/>
              <w:spacing w:before="48"/>
              <w:ind w:right="92"/>
              <w:rPr>
                <w:sz w:val="20"/>
              </w:rPr>
            </w:pPr>
            <w:r>
              <w:rPr>
                <w:sz w:val="20"/>
              </w:rPr>
              <w:t>4,420.65</w:t>
            </w:r>
          </w:p>
        </w:tc>
        <w:tc>
          <w:tcPr>
            <w:tcW w:w="995" w:type="dxa"/>
          </w:tcPr>
          <w:p w:rsidR="007C5447" w:rsidRDefault="00F6308C">
            <w:pPr>
              <w:pStyle w:val="TableParagraph"/>
              <w:spacing w:before="48"/>
              <w:ind w:right="93"/>
              <w:rPr>
                <w:sz w:val="20"/>
              </w:rPr>
            </w:pPr>
            <w:r>
              <w:rPr>
                <w:sz w:val="20"/>
              </w:rPr>
              <w:t>3,189</w:t>
            </w:r>
          </w:p>
        </w:tc>
        <w:tc>
          <w:tcPr>
            <w:tcW w:w="1276" w:type="dxa"/>
          </w:tcPr>
          <w:p w:rsidR="007C5447" w:rsidRDefault="00F6308C">
            <w:pPr>
              <w:pStyle w:val="TableParagraph"/>
              <w:spacing w:before="48"/>
              <w:ind w:right="89"/>
              <w:rPr>
                <w:sz w:val="20"/>
              </w:rPr>
            </w:pPr>
            <w:r>
              <w:rPr>
                <w:sz w:val="20"/>
              </w:rPr>
              <w:t>3,658.36</w:t>
            </w:r>
          </w:p>
        </w:tc>
        <w:tc>
          <w:tcPr>
            <w:tcW w:w="1131" w:type="dxa"/>
          </w:tcPr>
          <w:p w:rsidR="007C5447" w:rsidRDefault="00F6308C">
            <w:pPr>
              <w:pStyle w:val="TableParagraph"/>
              <w:spacing w:before="48"/>
              <w:ind w:right="88"/>
              <w:rPr>
                <w:sz w:val="20"/>
              </w:rPr>
            </w:pPr>
            <w:r>
              <w:rPr>
                <w:sz w:val="20"/>
              </w:rPr>
              <w:t>4,068</w:t>
            </w:r>
          </w:p>
        </w:tc>
        <w:tc>
          <w:tcPr>
            <w:tcW w:w="1261" w:type="dxa"/>
          </w:tcPr>
          <w:p w:rsidR="007C5447" w:rsidRDefault="00F6308C">
            <w:pPr>
              <w:pStyle w:val="TableParagraph"/>
              <w:spacing w:before="48"/>
              <w:ind w:right="86"/>
              <w:rPr>
                <w:sz w:val="20"/>
              </w:rPr>
            </w:pPr>
            <w:r>
              <w:rPr>
                <w:w w:val="95"/>
                <w:sz w:val="20"/>
              </w:rPr>
              <w:t>4,283.40</w:t>
            </w:r>
          </w:p>
        </w:tc>
      </w:tr>
      <w:tr w:rsidR="007C5447">
        <w:trPr>
          <w:trHeight w:val="489"/>
        </w:trPr>
        <w:tc>
          <w:tcPr>
            <w:tcW w:w="2830" w:type="dxa"/>
          </w:tcPr>
          <w:p w:rsidR="007C5447" w:rsidRDefault="00F6308C">
            <w:pPr>
              <w:pStyle w:val="TableParagraph"/>
              <w:spacing w:before="15" w:line="230" w:lineRule="atLeast"/>
              <w:ind w:left="107"/>
              <w:jc w:val="left"/>
              <w:rPr>
                <w:sz w:val="20"/>
              </w:rPr>
            </w:pPr>
            <w:r>
              <w:rPr>
                <w:sz w:val="20"/>
              </w:rPr>
              <w:t>Add: Addition for Loan Repayment of Existing Loans</w:t>
            </w:r>
          </w:p>
        </w:tc>
        <w:tc>
          <w:tcPr>
            <w:tcW w:w="1274" w:type="dxa"/>
            <w:vMerge w:val="restart"/>
          </w:tcPr>
          <w:p w:rsidR="007C5447" w:rsidRDefault="007C5447">
            <w:pPr>
              <w:pStyle w:val="TableParagraph"/>
              <w:jc w:val="left"/>
              <w:rPr>
                <w:b/>
              </w:rPr>
            </w:pPr>
          </w:p>
          <w:p w:rsidR="007C5447" w:rsidRDefault="00F6308C">
            <w:pPr>
              <w:pStyle w:val="TableParagraph"/>
              <w:spacing w:before="127"/>
              <w:ind w:left="717"/>
              <w:jc w:val="left"/>
              <w:rPr>
                <w:sz w:val="20"/>
              </w:rPr>
            </w:pPr>
            <w:r>
              <w:rPr>
                <w:sz w:val="20"/>
              </w:rPr>
              <w:t>2,409</w:t>
            </w:r>
          </w:p>
        </w:tc>
        <w:tc>
          <w:tcPr>
            <w:tcW w:w="1282" w:type="dxa"/>
          </w:tcPr>
          <w:p w:rsidR="007C5447" w:rsidRDefault="00F6308C">
            <w:pPr>
              <w:pStyle w:val="TableParagraph"/>
              <w:spacing w:before="130"/>
              <w:ind w:right="94"/>
              <w:rPr>
                <w:sz w:val="20"/>
              </w:rPr>
            </w:pPr>
            <w:r>
              <w:rPr>
                <w:sz w:val="20"/>
              </w:rPr>
              <w:t>1,301.00</w:t>
            </w:r>
          </w:p>
        </w:tc>
        <w:tc>
          <w:tcPr>
            <w:tcW w:w="1113" w:type="dxa"/>
            <w:vMerge w:val="restart"/>
          </w:tcPr>
          <w:p w:rsidR="007C5447" w:rsidRDefault="007C5447">
            <w:pPr>
              <w:pStyle w:val="TableParagraph"/>
              <w:jc w:val="left"/>
              <w:rPr>
                <w:b/>
              </w:rPr>
            </w:pPr>
          </w:p>
          <w:p w:rsidR="007C5447" w:rsidRDefault="00F6308C">
            <w:pPr>
              <w:pStyle w:val="TableParagraph"/>
              <w:spacing w:before="127"/>
              <w:ind w:left="552"/>
              <w:jc w:val="left"/>
              <w:rPr>
                <w:sz w:val="20"/>
              </w:rPr>
            </w:pPr>
            <w:r>
              <w:rPr>
                <w:sz w:val="20"/>
              </w:rPr>
              <w:t>2,962</w:t>
            </w:r>
          </w:p>
        </w:tc>
        <w:tc>
          <w:tcPr>
            <w:tcW w:w="1295" w:type="dxa"/>
          </w:tcPr>
          <w:p w:rsidR="007C5447" w:rsidRDefault="00F6308C">
            <w:pPr>
              <w:pStyle w:val="TableParagraph"/>
              <w:spacing w:before="130"/>
              <w:ind w:right="93"/>
              <w:rPr>
                <w:sz w:val="20"/>
              </w:rPr>
            </w:pPr>
            <w:r>
              <w:rPr>
                <w:sz w:val="20"/>
              </w:rPr>
              <w:t>1,271.65</w:t>
            </w:r>
          </w:p>
        </w:tc>
        <w:tc>
          <w:tcPr>
            <w:tcW w:w="1135" w:type="dxa"/>
            <w:vMerge w:val="restart"/>
          </w:tcPr>
          <w:p w:rsidR="007C5447" w:rsidRDefault="007C5447">
            <w:pPr>
              <w:pStyle w:val="TableParagraph"/>
              <w:jc w:val="left"/>
              <w:rPr>
                <w:b/>
              </w:rPr>
            </w:pPr>
          </w:p>
          <w:p w:rsidR="007C5447" w:rsidRDefault="00F6308C">
            <w:pPr>
              <w:pStyle w:val="TableParagraph"/>
              <w:spacing w:before="127"/>
              <w:ind w:left="576"/>
              <w:jc w:val="left"/>
              <w:rPr>
                <w:sz w:val="20"/>
              </w:rPr>
            </w:pPr>
            <w:r>
              <w:rPr>
                <w:sz w:val="20"/>
              </w:rPr>
              <w:t>3,547</w:t>
            </w:r>
          </w:p>
        </w:tc>
        <w:tc>
          <w:tcPr>
            <w:tcW w:w="1276" w:type="dxa"/>
          </w:tcPr>
          <w:p w:rsidR="007C5447" w:rsidRDefault="00F6308C">
            <w:pPr>
              <w:pStyle w:val="TableParagraph"/>
              <w:spacing w:before="130"/>
              <w:ind w:right="92"/>
              <w:rPr>
                <w:sz w:val="20"/>
              </w:rPr>
            </w:pPr>
            <w:r>
              <w:rPr>
                <w:w w:val="95"/>
                <w:sz w:val="20"/>
              </w:rPr>
              <w:t>1,205.06</w:t>
            </w:r>
          </w:p>
        </w:tc>
        <w:tc>
          <w:tcPr>
            <w:tcW w:w="995" w:type="dxa"/>
            <w:vMerge w:val="restart"/>
          </w:tcPr>
          <w:p w:rsidR="007C5447" w:rsidRDefault="007C5447">
            <w:pPr>
              <w:pStyle w:val="TableParagraph"/>
              <w:jc w:val="left"/>
              <w:rPr>
                <w:b/>
              </w:rPr>
            </w:pPr>
          </w:p>
          <w:p w:rsidR="007C5447" w:rsidRDefault="00F6308C">
            <w:pPr>
              <w:pStyle w:val="TableParagraph"/>
              <w:spacing w:before="127"/>
              <w:ind w:left="437"/>
              <w:jc w:val="left"/>
              <w:rPr>
                <w:sz w:val="20"/>
              </w:rPr>
            </w:pPr>
            <w:r>
              <w:rPr>
                <w:sz w:val="20"/>
              </w:rPr>
              <w:t>3,734</w:t>
            </w:r>
          </w:p>
        </w:tc>
        <w:tc>
          <w:tcPr>
            <w:tcW w:w="1276" w:type="dxa"/>
          </w:tcPr>
          <w:p w:rsidR="007C5447" w:rsidRDefault="00F6308C">
            <w:pPr>
              <w:pStyle w:val="TableParagraph"/>
              <w:spacing w:before="130"/>
              <w:ind w:right="92"/>
              <w:rPr>
                <w:sz w:val="20"/>
              </w:rPr>
            </w:pPr>
            <w:r>
              <w:rPr>
                <w:w w:val="95"/>
                <w:sz w:val="20"/>
              </w:rPr>
              <w:t>605.59</w:t>
            </w:r>
          </w:p>
        </w:tc>
        <w:tc>
          <w:tcPr>
            <w:tcW w:w="1131" w:type="dxa"/>
            <w:vMerge w:val="restart"/>
          </w:tcPr>
          <w:p w:rsidR="007C5447" w:rsidRDefault="007C5447">
            <w:pPr>
              <w:pStyle w:val="TableParagraph"/>
              <w:jc w:val="left"/>
              <w:rPr>
                <w:b/>
              </w:rPr>
            </w:pPr>
          </w:p>
          <w:p w:rsidR="007C5447" w:rsidRDefault="00F6308C">
            <w:pPr>
              <w:pStyle w:val="TableParagraph"/>
              <w:spacing w:before="127"/>
              <w:ind w:left="579"/>
              <w:jc w:val="left"/>
              <w:rPr>
                <w:sz w:val="20"/>
              </w:rPr>
            </w:pPr>
            <w:r>
              <w:rPr>
                <w:sz w:val="20"/>
              </w:rPr>
              <w:t>4,843</w:t>
            </w:r>
          </w:p>
        </w:tc>
        <w:tc>
          <w:tcPr>
            <w:tcW w:w="1261" w:type="dxa"/>
          </w:tcPr>
          <w:p w:rsidR="007C5447" w:rsidRDefault="00F6308C">
            <w:pPr>
              <w:pStyle w:val="TableParagraph"/>
              <w:spacing w:before="130"/>
              <w:ind w:right="88"/>
              <w:rPr>
                <w:sz w:val="20"/>
              </w:rPr>
            </w:pPr>
            <w:r>
              <w:rPr>
                <w:w w:val="95"/>
                <w:sz w:val="20"/>
              </w:rPr>
              <w:t>215.91</w:t>
            </w:r>
          </w:p>
        </w:tc>
      </w:tr>
      <w:tr w:rsidR="007C5447">
        <w:trPr>
          <w:trHeight w:val="491"/>
        </w:trPr>
        <w:tc>
          <w:tcPr>
            <w:tcW w:w="2830" w:type="dxa"/>
          </w:tcPr>
          <w:p w:rsidR="007C5447" w:rsidRDefault="00F6308C">
            <w:pPr>
              <w:pStyle w:val="TableParagraph"/>
              <w:spacing w:before="17" w:line="230" w:lineRule="atLeast"/>
              <w:ind w:left="107" w:right="404"/>
              <w:jc w:val="left"/>
              <w:rPr>
                <w:sz w:val="20"/>
              </w:rPr>
            </w:pPr>
            <w:r>
              <w:rPr>
                <w:sz w:val="20"/>
              </w:rPr>
              <w:t>Add: For Repayment of new loans</w:t>
            </w:r>
          </w:p>
        </w:tc>
        <w:tc>
          <w:tcPr>
            <w:tcW w:w="1274" w:type="dxa"/>
            <w:vMerge/>
            <w:tcBorders>
              <w:top w:val="nil"/>
            </w:tcBorders>
          </w:tcPr>
          <w:p w:rsidR="007C5447" w:rsidRDefault="007C5447">
            <w:pPr>
              <w:rPr>
                <w:sz w:val="2"/>
                <w:szCs w:val="2"/>
              </w:rPr>
            </w:pPr>
          </w:p>
        </w:tc>
        <w:tc>
          <w:tcPr>
            <w:tcW w:w="1282" w:type="dxa"/>
          </w:tcPr>
          <w:p w:rsidR="007C5447" w:rsidRDefault="00F6308C">
            <w:pPr>
              <w:pStyle w:val="TableParagraph"/>
              <w:spacing w:before="132"/>
              <w:ind w:right="95"/>
              <w:rPr>
                <w:sz w:val="20"/>
              </w:rPr>
            </w:pPr>
            <w:r>
              <w:rPr>
                <w:sz w:val="20"/>
              </w:rPr>
              <w:t>1,226.63</w:t>
            </w:r>
          </w:p>
        </w:tc>
        <w:tc>
          <w:tcPr>
            <w:tcW w:w="1113" w:type="dxa"/>
            <w:vMerge/>
            <w:tcBorders>
              <w:top w:val="nil"/>
            </w:tcBorders>
          </w:tcPr>
          <w:p w:rsidR="007C5447" w:rsidRDefault="007C5447">
            <w:pPr>
              <w:rPr>
                <w:sz w:val="2"/>
                <w:szCs w:val="2"/>
              </w:rPr>
            </w:pPr>
          </w:p>
        </w:tc>
        <w:tc>
          <w:tcPr>
            <w:tcW w:w="1295" w:type="dxa"/>
          </w:tcPr>
          <w:p w:rsidR="007C5447" w:rsidRDefault="00F6308C">
            <w:pPr>
              <w:pStyle w:val="TableParagraph"/>
              <w:spacing w:before="132"/>
              <w:ind w:right="93"/>
              <w:rPr>
                <w:sz w:val="20"/>
              </w:rPr>
            </w:pPr>
            <w:r>
              <w:rPr>
                <w:sz w:val="20"/>
              </w:rPr>
              <w:t>1,903.41</w:t>
            </w:r>
          </w:p>
        </w:tc>
        <w:tc>
          <w:tcPr>
            <w:tcW w:w="1135" w:type="dxa"/>
            <w:vMerge/>
            <w:tcBorders>
              <w:top w:val="nil"/>
            </w:tcBorders>
          </w:tcPr>
          <w:p w:rsidR="007C5447" w:rsidRDefault="007C5447">
            <w:pPr>
              <w:rPr>
                <w:sz w:val="2"/>
                <w:szCs w:val="2"/>
              </w:rPr>
            </w:pPr>
          </w:p>
        </w:tc>
        <w:tc>
          <w:tcPr>
            <w:tcW w:w="1276" w:type="dxa"/>
          </w:tcPr>
          <w:p w:rsidR="007C5447" w:rsidRDefault="00F6308C">
            <w:pPr>
              <w:pStyle w:val="TableParagraph"/>
              <w:spacing w:before="132"/>
              <w:ind w:right="90"/>
              <w:rPr>
                <w:sz w:val="20"/>
              </w:rPr>
            </w:pPr>
            <w:r>
              <w:rPr>
                <w:sz w:val="20"/>
              </w:rPr>
              <w:t>2,739.98</w:t>
            </w:r>
          </w:p>
        </w:tc>
        <w:tc>
          <w:tcPr>
            <w:tcW w:w="995" w:type="dxa"/>
            <w:vMerge/>
            <w:tcBorders>
              <w:top w:val="nil"/>
            </w:tcBorders>
          </w:tcPr>
          <w:p w:rsidR="007C5447" w:rsidRDefault="007C5447">
            <w:pPr>
              <w:rPr>
                <w:sz w:val="2"/>
                <w:szCs w:val="2"/>
              </w:rPr>
            </w:pPr>
          </w:p>
        </w:tc>
        <w:tc>
          <w:tcPr>
            <w:tcW w:w="1276" w:type="dxa"/>
          </w:tcPr>
          <w:p w:rsidR="007C5447" w:rsidRDefault="00F6308C">
            <w:pPr>
              <w:pStyle w:val="TableParagraph"/>
              <w:spacing w:before="132"/>
              <w:ind w:right="89"/>
              <w:rPr>
                <w:sz w:val="20"/>
              </w:rPr>
            </w:pPr>
            <w:r>
              <w:rPr>
                <w:sz w:val="20"/>
              </w:rPr>
              <w:t>3,517.83</w:t>
            </w:r>
          </w:p>
        </w:tc>
        <w:tc>
          <w:tcPr>
            <w:tcW w:w="1131" w:type="dxa"/>
            <w:vMerge/>
            <w:tcBorders>
              <w:top w:val="nil"/>
            </w:tcBorders>
          </w:tcPr>
          <w:p w:rsidR="007C5447" w:rsidRDefault="007C5447">
            <w:pPr>
              <w:rPr>
                <w:sz w:val="2"/>
                <w:szCs w:val="2"/>
              </w:rPr>
            </w:pPr>
          </w:p>
        </w:tc>
        <w:tc>
          <w:tcPr>
            <w:tcW w:w="1261" w:type="dxa"/>
          </w:tcPr>
          <w:p w:rsidR="007C5447" w:rsidRDefault="00F6308C">
            <w:pPr>
              <w:pStyle w:val="TableParagraph"/>
              <w:spacing w:before="132"/>
              <w:ind w:right="86"/>
              <w:rPr>
                <w:sz w:val="20"/>
              </w:rPr>
            </w:pPr>
            <w:r>
              <w:rPr>
                <w:w w:val="95"/>
                <w:sz w:val="20"/>
              </w:rPr>
              <w:t>4,406.87</w:t>
            </w:r>
          </w:p>
        </w:tc>
      </w:tr>
      <w:tr w:rsidR="007C5447">
        <w:trPr>
          <w:trHeight w:val="328"/>
        </w:trPr>
        <w:tc>
          <w:tcPr>
            <w:tcW w:w="2830" w:type="dxa"/>
          </w:tcPr>
          <w:p w:rsidR="007C5447" w:rsidRDefault="00F6308C">
            <w:pPr>
              <w:pStyle w:val="TableParagraph"/>
              <w:spacing w:before="84" w:line="224" w:lineRule="exact"/>
              <w:ind w:left="107"/>
              <w:jc w:val="left"/>
              <w:rPr>
                <w:sz w:val="20"/>
              </w:rPr>
            </w:pPr>
            <w:r>
              <w:rPr>
                <w:sz w:val="20"/>
              </w:rPr>
              <w:t>Less: Loan Repayment</w:t>
            </w:r>
          </w:p>
        </w:tc>
        <w:tc>
          <w:tcPr>
            <w:tcW w:w="1274" w:type="dxa"/>
          </w:tcPr>
          <w:p w:rsidR="007C5447" w:rsidRDefault="00F6308C">
            <w:pPr>
              <w:pStyle w:val="TableParagraph"/>
              <w:spacing w:before="50"/>
              <w:ind w:right="93"/>
              <w:rPr>
                <w:sz w:val="20"/>
              </w:rPr>
            </w:pPr>
            <w:r>
              <w:rPr>
                <w:sz w:val="20"/>
              </w:rPr>
              <w:t>3,015</w:t>
            </w:r>
          </w:p>
        </w:tc>
        <w:tc>
          <w:tcPr>
            <w:tcW w:w="1282" w:type="dxa"/>
          </w:tcPr>
          <w:p w:rsidR="007C5447" w:rsidRDefault="00F6308C">
            <w:pPr>
              <w:pStyle w:val="TableParagraph"/>
              <w:spacing w:before="50"/>
              <w:ind w:right="94"/>
              <w:rPr>
                <w:sz w:val="20"/>
              </w:rPr>
            </w:pPr>
            <w:r>
              <w:rPr>
                <w:sz w:val="20"/>
              </w:rPr>
              <w:t>3,101.35</w:t>
            </w:r>
          </w:p>
        </w:tc>
        <w:tc>
          <w:tcPr>
            <w:tcW w:w="1113" w:type="dxa"/>
          </w:tcPr>
          <w:p w:rsidR="007C5447" w:rsidRDefault="00F6308C">
            <w:pPr>
              <w:pStyle w:val="TableParagraph"/>
              <w:spacing w:before="50"/>
              <w:ind w:right="97"/>
              <w:rPr>
                <w:sz w:val="20"/>
              </w:rPr>
            </w:pPr>
            <w:r>
              <w:rPr>
                <w:sz w:val="20"/>
              </w:rPr>
              <w:t>3,600</w:t>
            </w:r>
          </w:p>
        </w:tc>
        <w:tc>
          <w:tcPr>
            <w:tcW w:w="1295" w:type="dxa"/>
          </w:tcPr>
          <w:p w:rsidR="007C5447" w:rsidRDefault="00F6308C">
            <w:pPr>
              <w:pStyle w:val="TableParagraph"/>
              <w:spacing w:before="50"/>
              <w:ind w:right="93"/>
              <w:rPr>
                <w:sz w:val="20"/>
              </w:rPr>
            </w:pPr>
            <w:r>
              <w:rPr>
                <w:w w:val="95"/>
                <w:sz w:val="20"/>
              </w:rPr>
              <w:t>3,778.14</w:t>
            </w:r>
          </w:p>
        </w:tc>
        <w:tc>
          <w:tcPr>
            <w:tcW w:w="1135" w:type="dxa"/>
          </w:tcPr>
          <w:p w:rsidR="007C5447" w:rsidRDefault="00F6308C">
            <w:pPr>
              <w:pStyle w:val="TableParagraph"/>
              <w:spacing w:before="50"/>
              <w:ind w:right="95"/>
              <w:rPr>
                <w:sz w:val="20"/>
              </w:rPr>
            </w:pPr>
            <w:r>
              <w:rPr>
                <w:sz w:val="20"/>
              </w:rPr>
              <w:t>4,321</w:t>
            </w:r>
          </w:p>
        </w:tc>
        <w:tc>
          <w:tcPr>
            <w:tcW w:w="1276" w:type="dxa"/>
          </w:tcPr>
          <w:p w:rsidR="007C5447" w:rsidRDefault="00F6308C">
            <w:pPr>
              <w:pStyle w:val="TableParagraph"/>
              <w:spacing w:before="50"/>
              <w:ind w:right="91"/>
              <w:rPr>
                <w:sz w:val="20"/>
              </w:rPr>
            </w:pPr>
            <w:r>
              <w:rPr>
                <w:w w:val="95"/>
                <w:sz w:val="20"/>
              </w:rPr>
              <w:t>4,614.71</w:t>
            </w:r>
          </w:p>
        </w:tc>
        <w:tc>
          <w:tcPr>
            <w:tcW w:w="995" w:type="dxa"/>
          </w:tcPr>
          <w:p w:rsidR="007C5447" w:rsidRDefault="00F6308C">
            <w:pPr>
              <w:pStyle w:val="TableParagraph"/>
              <w:spacing w:before="50"/>
              <w:ind w:right="93"/>
              <w:rPr>
                <w:sz w:val="20"/>
              </w:rPr>
            </w:pPr>
            <w:r>
              <w:rPr>
                <w:sz w:val="20"/>
              </w:rPr>
              <w:t>5,013</w:t>
            </w:r>
          </w:p>
        </w:tc>
        <w:tc>
          <w:tcPr>
            <w:tcW w:w="1276" w:type="dxa"/>
          </w:tcPr>
          <w:p w:rsidR="007C5447" w:rsidRDefault="00F6308C">
            <w:pPr>
              <w:pStyle w:val="TableParagraph"/>
              <w:spacing w:before="50"/>
              <w:ind w:right="89"/>
              <w:rPr>
                <w:sz w:val="20"/>
              </w:rPr>
            </w:pPr>
            <w:r>
              <w:rPr>
                <w:sz w:val="20"/>
              </w:rPr>
              <w:t>5,392.55</w:t>
            </w:r>
          </w:p>
        </w:tc>
        <w:tc>
          <w:tcPr>
            <w:tcW w:w="1131" w:type="dxa"/>
          </w:tcPr>
          <w:p w:rsidR="007C5447" w:rsidRDefault="00F6308C">
            <w:pPr>
              <w:pStyle w:val="TableParagraph"/>
              <w:spacing w:before="50"/>
              <w:ind w:right="88"/>
              <w:rPr>
                <w:sz w:val="20"/>
              </w:rPr>
            </w:pPr>
            <w:r>
              <w:rPr>
                <w:sz w:val="20"/>
              </w:rPr>
              <w:t>6,125</w:t>
            </w:r>
          </w:p>
        </w:tc>
        <w:tc>
          <w:tcPr>
            <w:tcW w:w="1261" w:type="dxa"/>
          </w:tcPr>
          <w:p w:rsidR="007C5447" w:rsidRDefault="00F6308C">
            <w:pPr>
              <w:pStyle w:val="TableParagraph"/>
              <w:spacing w:before="50"/>
              <w:ind w:right="86"/>
              <w:rPr>
                <w:sz w:val="20"/>
              </w:rPr>
            </w:pPr>
            <w:r>
              <w:rPr>
                <w:w w:val="95"/>
                <w:sz w:val="20"/>
              </w:rPr>
              <w:t>6,281.59</w:t>
            </w:r>
          </w:p>
        </w:tc>
      </w:tr>
      <w:tr w:rsidR="007C5447">
        <w:trPr>
          <w:trHeight w:val="330"/>
        </w:trPr>
        <w:tc>
          <w:tcPr>
            <w:tcW w:w="2830" w:type="dxa"/>
          </w:tcPr>
          <w:p w:rsidR="007C5447" w:rsidRDefault="00F6308C">
            <w:pPr>
              <w:pStyle w:val="TableParagraph"/>
              <w:spacing w:before="86" w:line="224" w:lineRule="exact"/>
              <w:ind w:left="107"/>
              <w:jc w:val="left"/>
              <w:rPr>
                <w:b/>
                <w:sz w:val="20"/>
              </w:rPr>
            </w:pPr>
            <w:r>
              <w:rPr>
                <w:b/>
                <w:sz w:val="20"/>
              </w:rPr>
              <w:t>Closing Balance</w:t>
            </w:r>
          </w:p>
        </w:tc>
        <w:tc>
          <w:tcPr>
            <w:tcW w:w="1274" w:type="dxa"/>
          </w:tcPr>
          <w:p w:rsidR="007C5447" w:rsidRDefault="00F6308C">
            <w:pPr>
              <w:pStyle w:val="TableParagraph"/>
              <w:spacing w:before="50"/>
              <w:ind w:right="93"/>
              <w:rPr>
                <w:b/>
                <w:sz w:val="20"/>
              </w:rPr>
            </w:pPr>
            <w:r>
              <w:rPr>
                <w:b/>
                <w:w w:val="95"/>
                <w:sz w:val="20"/>
              </w:rPr>
              <w:t>26,046</w:t>
            </w:r>
          </w:p>
        </w:tc>
        <w:tc>
          <w:tcPr>
            <w:tcW w:w="1282" w:type="dxa"/>
          </w:tcPr>
          <w:p w:rsidR="007C5447" w:rsidRDefault="00F6308C">
            <w:pPr>
              <w:pStyle w:val="TableParagraph"/>
              <w:spacing w:before="50"/>
              <w:ind w:right="98"/>
              <w:rPr>
                <w:b/>
                <w:sz w:val="20"/>
              </w:rPr>
            </w:pPr>
            <w:r>
              <w:rPr>
                <w:b/>
                <w:w w:val="95"/>
                <w:sz w:val="20"/>
              </w:rPr>
              <w:t>26,824.32</w:t>
            </w:r>
          </w:p>
        </w:tc>
        <w:tc>
          <w:tcPr>
            <w:tcW w:w="1113" w:type="dxa"/>
          </w:tcPr>
          <w:p w:rsidR="007C5447" w:rsidRDefault="00F6308C">
            <w:pPr>
              <w:pStyle w:val="TableParagraph"/>
              <w:spacing w:before="50"/>
              <w:ind w:right="97"/>
              <w:rPr>
                <w:b/>
                <w:sz w:val="20"/>
              </w:rPr>
            </w:pPr>
            <w:r>
              <w:rPr>
                <w:b/>
                <w:w w:val="95"/>
                <w:sz w:val="20"/>
              </w:rPr>
              <w:t>28,294</w:t>
            </w:r>
          </w:p>
        </w:tc>
        <w:tc>
          <w:tcPr>
            <w:tcW w:w="1295" w:type="dxa"/>
          </w:tcPr>
          <w:p w:rsidR="007C5447" w:rsidRDefault="00F6308C">
            <w:pPr>
              <w:pStyle w:val="TableParagraph"/>
              <w:spacing w:before="50"/>
              <w:ind w:right="95"/>
              <w:rPr>
                <w:b/>
                <w:sz w:val="20"/>
              </w:rPr>
            </w:pPr>
            <w:r>
              <w:rPr>
                <w:b/>
                <w:w w:val="95"/>
                <w:sz w:val="20"/>
              </w:rPr>
              <w:t>29,814.06</w:t>
            </w:r>
          </w:p>
        </w:tc>
        <w:tc>
          <w:tcPr>
            <w:tcW w:w="1135" w:type="dxa"/>
          </w:tcPr>
          <w:p w:rsidR="007C5447" w:rsidRDefault="00F6308C">
            <w:pPr>
              <w:pStyle w:val="TableParagraph"/>
              <w:spacing w:before="50"/>
              <w:ind w:right="95"/>
              <w:rPr>
                <w:b/>
                <w:sz w:val="20"/>
              </w:rPr>
            </w:pPr>
            <w:r>
              <w:rPr>
                <w:b/>
                <w:w w:val="95"/>
                <w:sz w:val="20"/>
              </w:rPr>
              <w:t>31,187</w:t>
            </w:r>
          </w:p>
        </w:tc>
        <w:tc>
          <w:tcPr>
            <w:tcW w:w="1276" w:type="dxa"/>
          </w:tcPr>
          <w:p w:rsidR="007C5447" w:rsidRDefault="00F6308C">
            <w:pPr>
              <w:pStyle w:val="TableParagraph"/>
              <w:spacing w:before="50"/>
              <w:ind w:right="94"/>
              <w:rPr>
                <w:b/>
                <w:sz w:val="20"/>
              </w:rPr>
            </w:pPr>
            <w:r>
              <w:rPr>
                <w:b/>
                <w:w w:val="95"/>
                <w:sz w:val="20"/>
              </w:rPr>
              <w:t>33,565.05</w:t>
            </w:r>
          </w:p>
        </w:tc>
        <w:tc>
          <w:tcPr>
            <w:tcW w:w="995" w:type="dxa"/>
          </w:tcPr>
          <w:p w:rsidR="007C5447" w:rsidRDefault="00F6308C">
            <w:pPr>
              <w:pStyle w:val="TableParagraph"/>
              <w:spacing w:before="50"/>
              <w:ind w:right="93"/>
              <w:rPr>
                <w:b/>
                <w:sz w:val="20"/>
              </w:rPr>
            </w:pPr>
            <w:r>
              <w:rPr>
                <w:b/>
                <w:w w:val="95"/>
                <w:sz w:val="20"/>
              </w:rPr>
              <w:t>33,097</w:t>
            </w:r>
          </w:p>
        </w:tc>
        <w:tc>
          <w:tcPr>
            <w:tcW w:w="1276" w:type="dxa"/>
          </w:tcPr>
          <w:p w:rsidR="007C5447" w:rsidRDefault="00F6308C">
            <w:pPr>
              <w:pStyle w:val="TableParagraph"/>
              <w:spacing w:before="50"/>
              <w:ind w:right="91"/>
              <w:rPr>
                <w:b/>
                <w:sz w:val="20"/>
              </w:rPr>
            </w:pPr>
            <w:r>
              <w:rPr>
                <w:b/>
                <w:w w:val="95"/>
                <w:sz w:val="20"/>
              </w:rPr>
              <w:t>35,954.28</w:t>
            </w:r>
          </w:p>
        </w:tc>
        <w:tc>
          <w:tcPr>
            <w:tcW w:w="1131" w:type="dxa"/>
          </w:tcPr>
          <w:p w:rsidR="007C5447" w:rsidRDefault="00F6308C">
            <w:pPr>
              <w:pStyle w:val="TableParagraph"/>
              <w:spacing w:before="50"/>
              <w:ind w:right="88"/>
              <w:rPr>
                <w:b/>
                <w:sz w:val="20"/>
              </w:rPr>
            </w:pPr>
            <w:r>
              <w:rPr>
                <w:b/>
                <w:w w:val="95"/>
                <w:sz w:val="20"/>
              </w:rPr>
              <w:t>37,751</w:t>
            </w:r>
          </w:p>
        </w:tc>
        <w:tc>
          <w:tcPr>
            <w:tcW w:w="1261" w:type="dxa"/>
          </w:tcPr>
          <w:p w:rsidR="007C5447" w:rsidRDefault="00F6308C">
            <w:pPr>
              <w:pStyle w:val="TableParagraph"/>
              <w:spacing w:before="50"/>
              <w:ind w:right="88"/>
              <w:rPr>
                <w:b/>
                <w:sz w:val="20"/>
              </w:rPr>
            </w:pPr>
            <w:r>
              <w:rPr>
                <w:b/>
                <w:w w:val="95"/>
                <w:sz w:val="20"/>
              </w:rPr>
              <w:t>38,578.87</w:t>
            </w:r>
          </w:p>
        </w:tc>
      </w:tr>
      <w:tr w:rsidR="007C5447">
        <w:trPr>
          <w:trHeight w:val="330"/>
        </w:trPr>
        <w:tc>
          <w:tcPr>
            <w:tcW w:w="2830" w:type="dxa"/>
          </w:tcPr>
          <w:p w:rsidR="007C5447" w:rsidRDefault="00F6308C">
            <w:pPr>
              <w:pStyle w:val="TableParagraph"/>
              <w:spacing w:before="86" w:line="224" w:lineRule="exact"/>
              <w:ind w:left="107"/>
              <w:jc w:val="left"/>
              <w:rPr>
                <w:sz w:val="20"/>
              </w:rPr>
            </w:pPr>
            <w:r>
              <w:rPr>
                <w:sz w:val="20"/>
              </w:rPr>
              <w:t>Gross Interest Expenses</w:t>
            </w:r>
          </w:p>
        </w:tc>
        <w:tc>
          <w:tcPr>
            <w:tcW w:w="1274" w:type="dxa"/>
          </w:tcPr>
          <w:p w:rsidR="007C5447" w:rsidRDefault="00F6308C">
            <w:pPr>
              <w:pStyle w:val="TableParagraph"/>
              <w:spacing w:before="50"/>
              <w:ind w:right="93"/>
              <w:rPr>
                <w:sz w:val="20"/>
              </w:rPr>
            </w:pPr>
            <w:r>
              <w:rPr>
                <w:sz w:val="20"/>
              </w:rPr>
              <w:t>2,504</w:t>
            </w:r>
          </w:p>
        </w:tc>
        <w:tc>
          <w:tcPr>
            <w:tcW w:w="1282" w:type="dxa"/>
          </w:tcPr>
          <w:p w:rsidR="007C5447" w:rsidRDefault="00F6308C">
            <w:pPr>
              <w:pStyle w:val="TableParagraph"/>
              <w:spacing w:before="50"/>
              <w:ind w:right="95"/>
              <w:rPr>
                <w:sz w:val="20"/>
              </w:rPr>
            </w:pPr>
            <w:r>
              <w:rPr>
                <w:sz w:val="20"/>
              </w:rPr>
              <w:t>2,545.70</w:t>
            </w:r>
          </w:p>
        </w:tc>
        <w:tc>
          <w:tcPr>
            <w:tcW w:w="1113" w:type="dxa"/>
          </w:tcPr>
          <w:p w:rsidR="007C5447" w:rsidRDefault="00F6308C">
            <w:pPr>
              <w:pStyle w:val="TableParagraph"/>
              <w:spacing w:before="50"/>
              <w:ind w:right="97"/>
              <w:rPr>
                <w:sz w:val="20"/>
              </w:rPr>
            </w:pPr>
            <w:r>
              <w:rPr>
                <w:sz w:val="20"/>
              </w:rPr>
              <w:t>3,256</w:t>
            </w:r>
          </w:p>
        </w:tc>
        <w:tc>
          <w:tcPr>
            <w:tcW w:w="1295" w:type="dxa"/>
          </w:tcPr>
          <w:p w:rsidR="007C5447" w:rsidRDefault="00F6308C">
            <w:pPr>
              <w:pStyle w:val="TableParagraph"/>
              <w:spacing w:before="50"/>
              <w:ind w:right="93"/>
              <w:rPr>
                <w:sz w:val="20"/>
              </w:rPr>
            </w:pPr>
            <w:r>
              <w:rPr>
                <w:sz w:val="20"/>
              </w:rPr>
              <w:t>3,393.33</w:t>
            </w:r>
          </w:p>
        </w:tc>
        <w:tc>
          <w:tcPr>
            <w:tcW w:w="1135" w:type="dxa"/>
          </w:tcPr>
          <w:p w:rsidR="007C5447" w:rsidRDefault="00F6308C">
            <w:pPr>
              <w:pStyle w:val="TableParagraph"/>
              <w:spacing w:before="50"/>
              <w:ind w:right="95"/>
              <w:rPr>
                <w:sz w:val="20"/>
              </w:rPr>
            </w:pPr>
            <w:r>
              <w:rPr>
                <w:sz w:val="20"/>
              </w:rPr>
              <w:t>3,569</w:t>
            </w:r>
          </w:p>
        </w:tc>
        <w:tc>
          <w:tcPr>
            <w:tcW w:w="1276" w:type="dxa"/>
          </w:tcPr>
          <w:p w:rsidR="007C5447" w:rsidRDefault="00F6308C">
            <w:pPr>
              <w:pStyle w:val="TableParagraph"/>
              <w:spacing w:before="50"/>
              <w:ind w:right="90"/>
              <w:rPr>
                <w:sz w:val="20"/>
              </w:rPr>
            </w:pPr>
            <w:r>
              <w:rPr>
                <w:sz w:val="20"/>
              </w:rPr>
              <w:t>3,802.75</w:t>
            </w:r>
          </w:p>
        </w:tc>
        <w:tc>
          <w:tcPr>
            <w:tcW w:w="995" w:type="dxa"/>
          </w:tcPr>
          <w:p w:rsidR="007C5447" w:rsidRDefault="00F6308C">
            <w:pPr>
              <w:pStyle w:val="TableParagraph"/>
              <w:spacing w:before="50"/>
              <w:ind w:right="93"/>
              <w:rPr>
                <w:sz w:val="20"/>
              </w:rPr>
            </w:pPr>
            <w:r>
              <w:rPr>
                <w:sz w:val="20"/>
              </w:rPr>
              <w:t>3,857</w:t>
            </w:r>
          </w:p>
        </w:tc>
        <w:tc>
          <w:tcPr>
            <w:tcW w:w="1276" w:type="dxa"/>
          </w:tcPr>
          <w:p w:rsidR="007C5447" w:rsidRDefault="00F6308C">
            <w:pPr>
              <w:pStyle w:val="TableParagraph"/>
              <w:spacing w:before="50"/>
              <w:ind w:right="89"/>
              <w:rPr>
                <w:sz w:val="20"/>
              </w:rPr>
            </w:pPr>
            <w:r>
              <w:rPr>
                <w:sz w:val="20"/>
              </w:rPr>
              <w:t>4,170.96</w:t>
            </w:r>
          </w:p>
        </w:tc>
        <w:tc>
          <w:tcPr>
            <w:tcW w:w="1131" w:type="dxa"/>
          </w:tcPr>
          <w:p w:rsidR="007C5447" w:rsidRDefault="00F6308C">
            <w:pPr>
              <w:pStyle w:val="TableParagraph"/>
              <w:spacing w:before="50"/>
              <w:ind w:right="88"/>
              <w:rPr>
                <w:sz w:val="20"/>
              </w:rPr>
            </w:pPr>
            <w:r>
              <w:rPr>
                <w:sz w:val="20"/>
              </w:rPr>
              <w:t>4,357</w:t>
            </w:r>
          </w:p>
        </w:tc>
        <w:tc>
          <w:tcPr>
            <w:tcW w:w="1261" w:type="dxa"/>
          </w:tcPr>
          <w:p w:rsidR="007C5447" w:rsidRDefault="00F6308C">
            <w:pPr>
              <w:pStyle w:val="TableParagraph"/>
              <w:spacing w:before="50"/>
              <w:ind w:right="86"/>
              <w:rPr>
                <w:sz w:val="20"/>
              </w:rPr>
            </w:pPr>
            <w:r>
              <w:rPr>
                <w:w w:val="95"/>
                <w:sz w:val="20"/>
              </w:rPr>
              <w:t>4,471.04</w:t>
            </w:r>
          </w:p>
        </w:tc>
      </w:tr>
      <w:tr w:rsidR="007C5447">
        <w:trPr>
          <w:trHeight w:val="299"/>
        </w:trPr>
        <w:tc>
          <w:tcPr>
            <w:tcW w:w="2830" w:type="dxa"/>
          </w:tcPr>
          <w:p w:rsidR="007C5447" w:rsidRDefault="00F6308C">
            <w:pPr>
              <w:pStyle w:val="TableParagraph"/>
              <w:spacing w:before="55" w:line="224" w:lineRule="exact"/>
              <w:ind w:left="107"/>
              <w:jc w:val="left"/>
              <w:rPr>
                <w:sz w:val="20"/>
              </w:rPr>
            </w:pPr>
            <w:r>
              <w:rPr>
                <w:sz w:val="20"/>
              </w:rPr>
              <w:t>IDC</w:t>
            </w:r>
          </w:p>
        </w:tc>
        <w:tc>
          <w:tcPr>
            <w:tcW w:w="1274" w:type="dxa"/>
          </w:tcPr>
          <w:p w:rsidR="007C5447" w:rsidRDefault="00F6308C">
            <w:pPr>
              <w:pStyle w:val="TableParagraph"/>
              <w:spacing w:before="34"/>
              <w:ind w:right="92"/>
              <w:rPr>
                <w:sz w:val="20"/>
              </w:rPr>
            </w:pPr>
            <w:r>
              <w:rPr>
                <w:sz w:val="20"/>
              </w:rPr>
              <w:t>938</w:t>
            </w:r>
          </w:p>
        </w:tc>
        <w:tc>
          <w:tcPr>
            <w:tcW w:w="1282" w:type="dxa"/>
          </w:tcPr>
          <w:p w:rsidR="007C5447" w:rsidRDefault="00F6308C">
            <w:pPr>
              <w:pStyle w:val="TableParagraph"/>
              <w:spacing w:before="34"/>
              <w:ind w:right="95"/>
              <w:rPr>
                <w:sz w:val="20"/>
              </w:rPr>
            </w:pPr>
            <w:r>
              <w:rPr>
                <w:sz w:val="20"/>
              </w:rPr>
              <w:t>977.20</w:t>
            </w:r>
          </w:p>
        </w:tc>
        <w:tc>
          <w:tcPr>
            <w:tcW w:w="1113" w:type="dxa"/>
          </w:tcPr>
          <w:p w:rsidR="007C5447" w:rsidRDefault="00F6308C">
            <w:pPr>
              <w:pStyle w:val="TableParagraph"/>
              <w:spacing w:before="34"/>
              <w:ind w:right="97"/>
              <w:rPr>
                <w:sz w:val="20"/>
              </w:rPr>
            </w:pPr>
            <w:r>
              <w:rPr>
                <w:sz w:val="20"/>
              </w:rPr>
              <w:t>1,439</w:t>
            </w:r>
          </w:p>
        </w:tc>
        <w:tc>
          <w:tcPr>
            <w:tcW w:w="1295" w:type="dxa"/>
          </w:tcPr>
          <w:p w:rsidR="007C5447" w:rsidRDefault="00F6308C">
            <w:pPr>
              <w:pStyle w:val="TableParagraph"/>
              <w:spacing w:before="34"/>
              <w:ind w:right="93"/>
              <w:rPr>
                <w:sz w:val="20"/>
              </w:rPr>
            </w:pPr>
            <w:r>
              <w:rPr>
                <w:w w:val="95"/>
                <w:sz w:val="20"/>
              </w:rPr>
              <w:t>1,568.15</w:t>
            </w:r>
          </w:p>
        </w:tc>
        <w:tc>
          <w:tcPr>
            <w:tcW w:w="1135" w:type="dxa"/>
          </w:tcPr>
          <w:p w:rsidR="007C5447" w:rsidRDefault="00F6308C">
            <w:pPr>
              <w:pStyle w:val="TableParagraph"/>
              <w:spacing w:before="34"/>
              <w:ind w:right="95"/>
              <w:rPr>
                <w:sz w:val="20"/>
              </w:rPr>
            </w:pPr>
            <w:r>
              <w:rPr>
                <w:sz w:val="20"/>
              </w:rPr>
              <w:t>1,121</w:t>
            </w:r>
          </w:p>
        </w:tc>
        <w:tc>
          <w:tcPr>
            <w:tcW w:w="1276" w:type="dxa"/>
          </w:tcPr>
          <w:p w:rsidR="007C5447" w:rsidRDefault="00F6308C">
            <w:pPr>
              <w:pStyle w:val="TableParagraph"/>
              <w:spacing w:before="34"/>
              <w:ind w:right="92"/>
              <w:rPr>
                <w:sz w:val="20"/>
              </w:rPr>
            </w:pPr>
            <w:r>
              <w:rPr>
                <w:w w:val="95"/>
                <w:sz w:val="20"/>
              </w:rPr>
              <w:t>1,297.73</w:t>
            </w:r>
          </w:p>
        </w:tc>
        <w:tc>
          <w:tcPr>
            <w:tcW w:w="995" w:type="dxa"/>
          </w:tcPr>
          <w:p w:rsidR="007C5447" w:rsidRDefault="00F6308C">
            <w:pPr>
              <w:pStyle w:val="TableParagraph"/>
              <w:spacing w:before="34"/>
              <w:ind w:right="91"/>
              <w:rPr>
                <w:sz w:val="20"/>
              </w:rPr>
            </w:pPr>
            <w:r>
              <w:rPr>
                <w:sz w:val="20"/>
              </w:rPr>
              <w:t>555</w:t>
            </w:r>
          </w:p>
        </w:tc>
        <w:tc>
          <w:tcPr>
            <w:tcW w:w="1276" w:type="dxa"/>
          </w:tcPr>
          <w:p w:rsidR="007C5447" w:rsidRDefault="00F6308C">
            <w:pPr>
              <w:pStyle w:val="TableParagraph"/>
              <w:spacing w:before="34"/>
              <w:ind w:right="91"/>
              <w:rPr>
                <w:sz w:val="20"/>
              </w:rPr>
            </w:pPr>
            <w:r>
              <w:rPr>
                <w:w w:val="95"/>
                <w:sz w:val="20"/>
              </w:rPr>
              <w:t>744.24</w:t>
            </w:r>
          </w:p>
        </w:tc>
        <w:tc>
          <w:tcPr>
            <w:tcW w:w="1131" w:type="dxa"/>
          </w:tcPr>
          <w:p w:rsidR="007C5447" w:rsidRDefault="00F6308C">
            <w:pPr>
              <w:pStyle w:val="TableParagraph"/>
              <w:spacing w:before="34"/>
              <w:ind w:right="87"/>
              <w:rPr>
                <w:sz w:val="20"/>
              </w:rPr>
            </w:pPr>
            <w:r>
              <w:rPr>
                <w:sz w:val="20"/>
              </w:rPr>
              <w:t>738</w:t>
            </w:r>
          </w:p>
        </w:tc>
        <w:tc>
          <w:tcPr>
            <w:tcW w:w="1261" w:type="dxa"/>
          </w:tcPr>
          <w:p w:rsidR="007C5447" w:rsidRDefault="00F6308C">
            <w:pPr>
              <w:pStyle w:val="TableParagraph"/>
              <w:spacing w:before="34"/>
              <w:ind w:right="86"/>
              <w:rPr>
                <w:sz w:val="20"/>
              </w:rPr>
            </w:pPr>
            <w:r>
              <w:rPr>
                <w:w w:val="95"/>
                <w:sz w:val="20"/>
              </w:rPr>
              <w:t>697.56</w:t>
            </w:r>
          </w:p>
        </w:tc>
      </w:tr>
      <w:tr w:rsidR="007C5447">
        <w:trPr>
          <w:trHeight w:val="300"/>
        </w:trPr>
        <w:tc>
          <w:tcPr>
            <w:tcW w:w="2830" w:type="dxa"/>
          </w:tcPr>
          <w:p w:rsidR="007C5447" w:rsidRDefault="00F6308C">
            <w:pPr>
              <w:pStyle w:val="TableParagraph"/>
              <w:spacing w:before="56" w:line="224" w:lineRule="exact"/>
              <w:ind w:left="107"/>
              <w:jc w:val="left"/>
              <w:rPr>
                <w:b/>
                <w:sz w:val="20"/>
              </w:rPr>
            </w:pPr>
            <w:r>
              <w:rPr>
                <w:b/>
                <w:sz w:val="20"/>
              </w:rPr>
              <w:t>Net Interest Expenses</w:t>
            </w:r>
          </w:p>
        </w:tc>
        <w:tc>
          <w:tcPr>
            <w:tcW w:w="1274" w:type="dxa"/>
          </w:tcPr>
          <w:p w:rsidR="007C5447" w:rsidRDefault="00F6308C">
            <w:pPr>
              <w:pStyle w:val="TableParagraph"/>
              <w:spacing w:before="36"/>
              <w:ind w:right="93"/>
              <w:rPr>
                <w:b/>
                <w:sz w:val="20"/>
              </w:rPr>
            </w:pPr>
            <w:r>
              <w:rPr>
                <w:b/>
                <w:sz w:val="20"/>
              </w:rPr>
              <w:t>1,566</w:t>
            </w:r>
          </w:p>
        </w:tc>
        <w:tc>
          <w:tcPr>
            <w:tcW w:w="1282" w:type="dxa"/>
          </w:tcPr>
          <w:p w:rsidR="007C5447" w:rsidRDefault="00F6308C">
            <w:pPr>
              <w:pStyle w:val="TableParagraph"/>
              <w:spacing w:before="36"/>
              <w:ind w:right="93"/>
              <w:rPr>
                <w:b/>
                <w:sz w:val="20"/>
              </w:rPr>
            </w:pPr>
            <w:r>
              <w:rPr>
                <w:b/>
                <w:sz w:val="20"/>
              </w:rPr>
              <w:t>1,568.49</w:t>
            </w:r>
          </w:p>
        </w:tc>
        <w:tc>
          <w:tcPr>
            <w:tcW w:w="1113" w:type="dxa"/>
          </w:tcPr>
          <w:p w:rsidR="007C5447" w:rsidRDefault="00F6308C">
            <w:pPr>
              <w:pStyle w:val="TableParagraph"/>
              <w:spacing w:before="36"/>
              <w:ind w:right="97"/>
              <w:rPr>
                <w:b/>
                <w:sz w:val="20"/>
              </w:rPr>
            </w:pPr>
            <w:r>
              <w:rPr>
                <w:b/>
                <w:sz w:val="20"/>
              </w:rPr>
              <w:t>1,817</w:t>
            </w:r>
          </w:p>
        </w:tc>
        <w:tc>
          <w:tcPr>
            <w:tcW w:w="1295" w:type="dxa"/>
          </w:tcPr>
          <w:p w:rsidR="007C5447" w:rsidRDefault="00F6308C">
            <w:pPr>
              <w:pStyle w:val="TableParagraph"/>
              <w:spacing w:before="36"/>
              <w:ind w:right="93"/>
              <w:rPr>
                <w:b/>
                <w:sz w:val="20"/>
              </w:rPr>
            </w:pPr>
            <w:r>
              <w:rPr>
                <w:b/>
                <w:sz w:val="20"/>
              </w:rPr>
              <w:t>1,825.18</w:t>
            </w:r>
          </w:p>
        </w:tc>
        <w:tc>
          <w:tcPr>
            <w:tcW w:w="1135" w:type="dxa"/>
          </w:tcPr>
          <w:p w:rsidR="007C5447" w:rsidRDefault="00F6308C">
            <w:pPr>
              <w:pStyle w:val="TableParagraph"/>
              <w:spacing w:before="36"/>
              <w:ind w:right="95"/>
              <w:rPr>
                <w:b/>
                <w:sz w:val="20"/>
              </w:rPr>
            </w:pPr>
            <w:r>
              <w:rPr>
                <w:b/>
                <w:sz w:val="20"/>
              </w:rPr>
              <w:t>2,448</w:t>
            </w:r>
          </w:p>
        </w:tc>
        <w:tc>
          <w:tcPr>
            <w:tcW w:w="1276" w:type="dxa"/>
          </w:tcPr>
          <w:p w:rsidR="007C5447" w:rsidRDefault="00F6308C">
            <w:pPr>
              <w:pStyle w:val="TableParagraph"/>
              <w:spacing w:before="36"/>
              <w:ind w:right="92"/>
              <w:rPr>
                <w:b/>
                <w:sz w:val="20"/>
              </w:rPr>
            </w:pPr>
            <w:r>
              <w:rPr>
                <w:b/>
                <w:sz w:val="20"/>
              </w:rPr>
              <w:t>2,505.01</w:t>
            </w:r>
          </w:p>
        </w:tc>
        <w:tc>
          <w:tcPr>
            <w:tcW w:w="995" w:type="dxa"/>
          </w:tcPr>
          <w:p w:rsidR="007C5447" w:rsidRDefault="00F6308C">
            <w:pPr>
              <w:pStyle w:val="TableParagraph"/>
              <w:spacing w:before="36"/>
              <w:ind w:right="93"/>
              <w:rPr>
                <w:b/>
                <w:sz w:val="20"/>
              </w:rPr>
            </w:pPr>
            <w:r>
              <w:rPr>
                <w:b/>
                <w:sz w:val="20"/>
              </w:rPr>
              <w:t>3,302</w:t>
            </w:r>
          </w:p>
        </w:tc>
        <w:tc>
          <w:tcPr>
            <w:tcW w:w="1276" w:type="dxa"/>
          </w:tcPr>
          <w:p w:rsidR="007C5447" w:rsidRDefault="00F6308C">
            <w:pPr>
              <w:pStyle w:val="TableParagraph"/>
              <w:spacing w:before="36"/>
              <w:ind w:right="89"/>
              <w:rPr>
                <w:b/>
                <w:sz w:val="20"/>
              </w:rPr>
            </w:pPr>
            <w:r>
              <w:rPr>
                <w:b/>
                <w:sz w:val="20"/>
              </w:rPr>
              <w:t>3,426.72</w:t>
            </w:r>
          </w:p>
        </w:tc>
        <w:tc>
          <w:tcPr>
            <w:tcW w:w="1131" w:type="dxa"/>
          </w:tcPr>
          <w:p w:rsidR="007C5447" w:rsidRDefault="00F6308C">
            <w:pPr>
              <w:pStyle w:val="TableParagraph"/>
              <w:spacing w:before="36"/>
              <w:ind w:right="88"/>
              <w:rPr>
                <w:b/>
                <w:sz w:val="20"/>
              </w:rPr>
            </w:pPr>
            <w:r>
              <w:rPr>
                <w:b/>
                <w:w w:val="95"/>
                <w:sz w:val="20"/>
              </w:rPr>
              <w:t>3,487*</w:t>
            </w:r>
          </w:p>
        </w:tc>
        <w:tc>
          <w:tcPr>
            <w:tcW w:w="1261" w:type="dxa"/>
          </w:tcPr>
          <w:p w:rsidR="007C5447" w:rsidRDefault="00F6308C">
            <w:pPr>
              <w:pStyle w:val="TableParagraph"/>
              <w:spacing w:before="36"/>
              <w:ind w:right="85"/>
              <w:rPr>
                <w:b/>
                <w:sz w:val="20"/>
              </w:rPr>
            </w:pPr>
            <w:r>
              <w:rPr>
                <w:b/>
                <w:w w:val="95"/>
                <w:sz w:val="20"/>
              </w:rPr>
              <w:t>3,773.48</w:t>
            </w:r>
          </w:p>
        </w:tc>
      </w:tr>
    </w:tbl>
    <w:p w:rsidR="007C5447" w:rsidRDefault="007C5447">
      <w:pPr>
        <w:pStyle w:val="BodyText"/>
        <w:spacing w:before="9"/>
        <w:rPr>
          <w:b/>
          <w:sz w:val="20"/>
        </w:rPr>
      </w:pPr>
    </w:p>
    <w:p w:rsidR="007C5447" w:rsidRDefault="00F6308C">
      <w:pPr>
        <w:spacing w:before="1"/>
        <w:ind w:left="392"/>
        <w:rPr>
          <w:b/>
          <w:sz w:val="18"/>
        </w:rPr>
      </w:pPr>
      <w:r>
        <w:rPr>
          <w:b/>
          <w:sz w:val="18"/>
        </w:rPr>
        <w:t>*Including reduction of Rs. 131 Crore on account of interest for cogeneration plants</w:t>
      </w: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F6308C">
      <w:pPr>
        <w:pStyle w:val="BodyText"/>
        <w:spacing w:before="4"/>
        <w:rPr>
          <w:b/>
          <w:sz w:val="19"/>
        </w:rPr>
      </w:pPr>
      <w:r>
        <w:pict>
          <v:line id="_x0000_s1060" style="position:absolute;z-index:-251651072;mso-wrap-distance-left:0;mso-wrap-distance-right:0;mso-position-horizontal-relative:page" from="70.55pt,13.85pt" to="771.45pt,13.85pt" strokeweight="1.44pt">
            <w10:wrap type="topAndBottom" anchorx="page"/>
          </v:line>
        </w:pict>
      </w:r>
    </w:p>
    <w:p w:rsidR="007C5447" w:rsidRDefault="007C5447">
      <w:pPr>
        <w:rPr>
          <w:sz w:val="19"/>
        </w:rPr>
        <w:sectPr w:rsidR="007C5447">
          <w:footerReference w:type="default" r:id="rId18"/>
          <w:pgSz w:w="16840" w:h="11910" w:orient="landscape"/>
          <w:pgMar w:top="1100" w:right="1100" w:bottom="1040" w:left="620" w:header="0" w:footer="857" w:gutter="0"/>
          <w:cols w:space="720"/>
        </w:sectPr>
      </w:pPr>
    </w:p>
    <w:p w:rsidR="007C5447" w:rsidRDefault="00F6308C">
      <w:pPr>
        <w:spacing w:before="62" w:line="312" w:lineRule="auto"/>
        <w:ind w:left="2779" w:right="431" w:hanging="1698"/>
        <w:rPr>
          <w:b/>
        </w:rPr>
      </w:pPr>
      <w:r>
        <w:rPr>
          <w:b/>
        </w:rPr>
        <w:lastRenderedPageBreak/>
        <w:t>Table 3-21: Break up of Interest Expenses approved by the Commission after true-up for FY 2011-12 to FY 2015-16 (Rs. Crore)</w:t>
      </w:r>
    </w:p>
    <w:p w:rsidR="007C5447" w:rsidRDefault="007C5447">
      <w:pPr>
        <w:pStyle w:val="BodyText"/>
        <w:spacing w:before="4" w:after="1"/>
        <w:rPr>
          <w:b/>
          <w:sz w:val="1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3"/>
        <w:gridCol w:w="2177"/>
        <w:gridCol w:w="1200"/>
        <w:gridCol w:w="1200"/>
        <w:gridCol w:w="1272"/>
        <w:gridCol w:w="1381"/>
        <w:gridCol w:w="1551"/>
      </w:tblGrid>
      <w:tr w:rsidR="007C5447">
        <w:trPr>
          <w:trHeight w:val="330"/>
        </w:trPr>
        <w:tc>
          <w:tcPr>
            <w:tcW w:w="463" w:type="dxa"/>
            <w:shd w:val="clear" w:color="auto" w:fill="F7C9AC"/>
          </w:tcPr>
          <w:p w:rsidR="007C5447" w:rsidRDefault="00F6308C">
            <w:pPr>
              <w:pStyle w:val="TableParagraph"/>
              <w:spacing w:before="50"/>
              <w:ind w:left="90" w:right="84"/>
              <w:jc w:val="center"/>
              <w:rPr>
                <w:b/>
                <w:sz w:val="20"/>
              </w:rPr>
            </w:pPr>
            <w:r>
              <w:rPr>
                <w:b/>
                <w:sz w:val="20"/>
              </w:rPr>
              <w:t>Sl.</w:t>
            </w:r>
          </w:p>
        </w:tc>
        <w:tc>
          <w:tcPr>
            <w:tcW w:w="2177" w:type="dxa"/>
            <w:shd w:val="clear" w:color="auto" w:fill="F7C9AC"/>
          </w:tcPr>
          <w:p w:rsidR="007C5447" w:rsidRDefault="00F6308C">
            <w:pPr>
              <w:pStyle w:val="TableParagraph"/>
              <w:spacing w:before="50"/>
              <w:ind w:left="484"/>
              <w:jc w:val="left"/>
              <w:rPr>
                <w:b/>
                <w:sz w:val="20"/>
              </w:rPr>
            </w:pPr>
            <w:r>
              <w:rPr>
                <w:b/>
                <w:sz w:val="20"/>
              </w:rPr>
              <w:t>Power Station</w:t>
            </w:r>
          </w:p>
        </w:tc>
        <w:tc>
          <w:tcPr>
            <w:tcW w:w="1200" w:type="dxa"/>
            <w:shd w:val="clear" w:color="auto" w:fill="F7C9AC"/>
          </w:tcPr>
          <w:p w:rsidR="007C5447" w:rsidRDefault="00F6308C">
            <w:pPr>
              <w:pStyle w:val="TableParagraph"/>
              <w:spacing w:before="50"/>
              <w:ind w:right="93"/>
              <w:rPr>
                <w:b/>
                <w:sz w:val="20"/>
              </w:rPr>
            </w:pPr>
            <w:r>
              <w:rPr>
                <w:b/>
                <w:sz w:val="20"/>
              </w:rPr>
              <w:t>FY 2011-12</w:t>
            </w:r>
          </w:p>
        </w:tc>
        <w:tc>
          <w:tcPr>
            <w:tcW w:w="1200" w:type="dxa"/>
            <w:shd w:val="clear" w:color="auto" w:fill="F7C9AC"/>
          </w:tcPr>
          <w:p w:rsidR="007C5447" w:rsidRDefault="00F6308C">
            <w:pPr>
              <w:pStyle w:val="TableParagraph"/>
              <w:spacing w:before="50"/>
              <w:ind w:right="93"/>
              <w:rPr>
                <w:b/>
                <w:sz w:val="20"/>
              </w:rPr>
            </w:pPr>
            <w:r>
              <w:rPr>
                <w:b/>
                <w:sz w:val="20"/>
              </w:rPr>
              <w:t>FY 2012-13</w:t>
            </w:r>
          </w:p>
        </w:tc>
        <w:tc>
          <w:tcPr>
            <w:tcW w:w="1272" w:type="dxa"/>
            <w:shd w:val="clear" w:color="auto" w:fill="F7C9AC"/>
          </w:tcPr>
          <w:p w:rsidR="007C5447" w:rsidRDefault="00F6308C">
            <w:pPr>
              <w:pStyle w:val="TableParagraph"/>
              <w:spacing w:before="50"/>
              <w:ind w:right="128"/>
              <w:rPr>
                <w:b/>
                <w:sz w:val="20"/>
              </w:rPr>
            </w:pPr>
            <w:r>
              <w:rPr>
                <w:b/>
                <w:sz w:val="20"/>
              </w:rPr>
              <w:t>FY 2013-14</w:t>
            </w:r>
          </w:p>
        </w:tc>
        <w:tc>
          <w:tcPr>
            <w:tcW w:w="1381" w:type="dxa"/>
            <w:shd w:val="clear" w:color="auto" w:fill="F7C9AC"/>
          </w:tcPr>
          <w:p w:rsidR="007C5447" w:rsidRDefault="00F6308C">
            <w:pPr>
              <w:pStyle w:val="TableParagraph"/>
              <w:spacing w:before="50"/>
              <w:ind w:left="199"/>
              <w:jc w:val="left"/>
              <w:rPr>
                <w:b/>
                <w:sz w:val="20"/>
              </w:rPr>
            </w:pPr>
            <w:r>
              <w:rPr>
                <w:b/>
                <w:sz w:val="20"/>
              </w:rPr>
              <w:t>FY 2014-15</w:t>
            </w:r>
          </w:p>
        </w:tc>
        <w:tc>
          <w:tcPr>
            <w:tcW w:w="1551" w:type="dxa"/>
            <w:shd w:val="clear" w:color="auto" w:fill="F7C9AC"/>
          </w:tcPr>
          <w:p w:rsidR="007C5447" w:rsidRDefault="00F6308C">
            <w:pPr>
              <w:pStyle w:val="TableParagraph"/>
              <w:spacing w:before="50"/>
              <w:ind w:left="281"/>
              <w:jc w:val="left"/>
              <w:rPr>
                <w:b/>
                <w:sz w:val="20"/>
              </w:rPr>
            </w:pPr>
            <w:r>
              <w:rPr>
                <w:b/>
                <w:sz w:val="20"/>
              </w:rPr>
              <w:t>FY 2015-16</w:t>
            </w:r>
          </w:p>
        </w:tc>
      </w:tr>
      <w:tr w:rsidR="007C5447">
        <w:trPr>
          <w:trHeight w:val="299"/>
        </w:trPr>
        <w:tc>
          <w:tcPr>
            <w:tcW w:w="463" w:type="dxa"/>
          </w:tcPr>
          <w:p w:rsidR="007C5447" w:rsidRDefault="00F6308C">
            <w:pPr>
              <w:pStyle w:val="TableParagraph"/>
              <w:spacing w:before="34"/>
              <w:ind w:right="135"/>
              <w:jc w:val="center"/>
              <w:rPr>
                <w:sz w:val="20"/>
              </w:rPr>
            </w:pPr>
            <w:r>
              <w:rPr>
                <w:w w:val="99"/>
                <w:sz w:val="20"/>
              </w:rPr>
              <w:t>1</w:t>
            </w:r>
          </w:p>
        </w:tc>
        <w:tc>
          <w:tcPr>
            <w:tcW w:w="2177" w:type="dxa"/>
          </w:tcPr>
          <w:p w:rsidR="007C5447" w:rsidRDefault="00F6308C">
            <w:pPr>
              <w:pStyle w:val="TableParagraph"/>
              <w:spacing w:before="34"/>
              <w:ind w:left="108"/>
              <w:jc w:val="left"/>
              <w:rPr>
                <w:sz w:val="20"/>
              </w:rPr>
            </w:pPr>
            <w:r>
              <w:rPr>
                <w:sz w:val="20"/>
              </w:rPr>
              <w:t>Ennore TPS</w:t>
            </w:r>
          </w:p>
        </w:tc>
        <w:tc>
          <w:tcPr>
            <w:tcW w:w="1200" w:type="dxa"/>
          </w:tcPr>
          <w:p w:rsidR="007C5447" w:rsidRDefault="00F6308C">
            <w:pPr>
              <w:pStyle w:val="TableParagraph"/>
              <w:spacing w:before="34"/>
              <w:ind w:right="98"/>
              <w:rPr>
                <w:sz w:val="20"/>
              </w:rPr>
            </w:pPr>
            <w:r>
              <w:rPr>
                <w:sz w:val="20"/>
              </w:rPr>
              <w:t>98.64</w:t>
            </w:r>
          </w:p>
        </w:tc>
        <w:tc>
          <w:tcPr>
            <w:tcW w:w="1200" w:type="dxa"/>
          </w:tcPr>
          <w:p w:rsidR="007C5447" w:rsidRDefault="00F6308C">
            <w:pPr>
              <w:pStyle w:val="TableParagraph"/>
              <w:spacing w:before="34"/>
              <w:ind w:right="95"/>
              <w:rPr>
                <w:sz w:val="20"/>
              </w:rPr>
            </w:pPr>
            <w:r>
              <w:rPr>
                <w:sz w:val="20"/>
              </w:rPr>
              <w:t>106.11</w:t>
            </w:r>
          </w:p>
        </w:tc>
        <w:tc>
          <w:tcPr>
            <w:tcW w:w="1272" w:type="dxa"/>
          </w:tcPr>
          <w:p w:rsidR="007C5447" w:rsidRDefault="00F6308C">
            <w:pPr>
              <w:pStyle w:val="TableParagraph"/>
              <w:spacing w:before="34"/>
              <w:ind w:right="96"/>
              <w:rPr>
                <w:sz w:val="20"/>
              </w:rPr>
            </w:pPr>
            <w:r>
              <w:rPr>
                <w:w w:val="95"/>
                <w:sz w:val="20"/>
              </w:rPr>
              <w:t>105.08</w:t>
            </w:r>
          </w:p>
        </w:tc>
        <w:tc>
          <w:tcPr>
            <w:tcW w:w="1381" w:type="dxa"/>
          </w:tcPr>
          <w:p w:rsidR="007C5447" w:rsidRDefault="00F6308C">
            <w:pPr>
              <w:pStyle w:val="TableParagraph"/>
              <w:spacing w:before="34"/>
              <w:ind w:right="95"/>
              <w:rPr>
                <w:sz w:val="20"/>
              </w:rPr>
            </w:pPr>
            <w:r>
              <w:rPr>
                <w:w w:val="95"/>
                <w:sz w:val="20"/>
              </w:rPr>
              <w:t>102.76</w:t>
            </w:r>
          </w:p>
        </w:tc>
        <w:tc>
          <w:tcPr>
            <w:tcW w:w="1551" w:type="dxa"/>
          </w:tcPr>
          <w:p w:rsidR="007C5447" w:rsidRDefault="00F6308C">
            <w:pPr>
              <w:pStyle w:val="TableParagraph"/>
              <w:spacing w:before="34"/>
              <w:ind w:right="98"/>
              <w:rPr>
                <w:sz w:val="20"/>
              </w:rPr>
            </w:pPr>
            <w:r>
              <w:rPr>
                <w:sz w:val="20"/>
              </w:rPr>
              <w:t>96.37</w:t>
            </w:r>
          </w:p>
        </w:tc>
      </w:tr>
      <w:tr w:rsidR="007C5447">
        <w:trPr>
          <w:trHeight w:val="299"/>
        </w:trPr>
        <w:tc>
          <w:tcPr>
            <w:tcW w:w="463" w:type="dxa"/>
          </w:tcPr>
          <w:p w:rsidR="007C5447" w:rsidRDefault="00F6308C">
            <w:pPr>
              <w:pStyle w:val="TableParagraph"/>
              <w:spacing w:before="34"/>
              <w:ind w:right="135"/>
              <w:jc w:val="center"/>
              <w:rPr>
                <w:sz w:val="20"/>
              </w:rPr>
            </w:pPr>
            <w:r>
              <w:rPr>
                <w:w w:val="99"/>
                <w:sz w:val="20"/>
              </w:rPr>
              <w:t>2</w:t>
            </w:r>
          </w:p>
        </w:tc>
        <w:tc>
          <w:tcPr>
            <w:tcW w:w="2177" w:type="dxa"/>
          </w:tcPr>
          <w:p w:rsidR="007C5447" w:rsidRDefault="00F6308C">
            <w:pPr>
              <w:pStyle w:val="TableParagraph"/>
              <w:spacing w:before="34"/>
              <w:ind w:left="108"/>
              <w:jc w:val="left"/>
              <w:rPr>
                <w:sz w:val="20"/>
              </w:rPr>
            </w:pPr>
            <w:r>
              <w:rPr>
                <w:sz w:val="20"/>
              </w:rPr>
              <w:t>Tuticorin TPS</w:t>
            </w:r>
          </w:p>
        </w:tc>
        <w:tc>
          <w:tcPr>
            <w:tcW w:w="1200" w:type="dxa"/>
          </w:tcPr>
          <w:p w:rsidR="007C5447" w:rsidRDefault="00F6308C">
            <w:pPr>
              <w:pStyle w:val="TableParagraph"/>
              <w:spacing w:before="34"/>
              <w:ind w:right="97"/>
              <w:rPr>
                <w:sz w:val="20"/>
              </w:rPr>
            </w:pPr>
            <w:r>
              <w:rPr>
                <w:w w:val="95"/>
                <w:sz w:val="20"/>
              </w:rPr>
              <w:t>121.64</w:t>
            </w:r>
          </w:p>
        </w:tc>
        <w:tc>
          <w:tcPr>
            <w:tcW w:w="1200" w:type="dxa"/>
          </w:tcPr>
          <w:p w:rsidR="007C5447" w:rsidRDefault="00F6308C">
            <w:pPr>
              <w:pStyle w:val="TableParagraph"/>
              <w:spacing w:before="34"/>
              <w:ind w:right="97"/>
              <w:rPr>
                <w:sz w:val="20"/>
              </w:rPr>
            </w:pPr>
            <w:r>
              <w:rPr>
                <w:w w:val="95"/>
                <w:sz w:val="20"/>
              </w:rPr>
              <w:t>134.85</w:t>
            </w:r>
          </w:p>
        </w:tc>
        <w:tc>
          <w:tcPr>
            <w:tcW w:w="1272" w:type="dxa"/>
          </w:tcPr>
          <w:p w:rsidR="007C5447" w:rsidRDefault="00F6308C">
            <w:pPr>
              <w:pStyle w:val="TableParagraph"/>
              <w:spacing w:before="34"/>
              <w:ind w:right="96"/>
              <w:rPr>
                <w:sz w:val="20"/>
              </w:rPr>
            </w:pPr>
            <w:r>
              <w:rPr>
                <w:w w:val="95"/>
                <w:sz w:val="20"/>
              </w:rPr>
              <w:t>138.67</w:t>
            </w:r>
          </w:p>
        </w:tc>
        <w:tc>
          <w:tcPr>
            <w:tcW w:w="1381" w:type="dxa"/>
          </w:tcPr>
          <w:p w:rsidR="007C5447" w:rsidRDefault="00F6308C">
            <w:pPr>
              <w:pStyle w:val="TableParagraph"/>
              <w:spacing w:before="34"/>
              <w:ind w:right="95"/>
              <w:rPr>
                <w:sz w:val="20"/>
              </w:rPr>
            </w:pPr>
            <w:r>
              <w:rPr>
                <w:w w:val="95"/>
                <w:sz w:val="20"/>
              </w:rPr>
              <w:t>143.32</w:t>
            </w:r>
          </w:p>
        </w:tc>
        <w:tc>
          <w:tcPr>
            <w:tcW w:w="1551" w:type="dxa"/>
          </w:tcPr>
          <w:p w:rsidR="007C5447" w:rsidRDefault="00F6308C">
            <w:pPr>
              <w:pStyle w:val="TableParagraph"/>
              <w:spacing w:before="34"/>
              <w:ind w:right="100"/>
              <w:rPr>
                <w:sz w:val="20"/>
              </w:rPr>
            </w:pPr>
            <w:r>
              <w:rPr>
                <w:w w:val="95"/>
                <w:sz w:val="20"/>
              </w:rPr>
              <w:t>147.34</w:t>
            </w:r>
          </w:p>
        </w:tc>
      </w:tr>
      <w:tr w:rsidR="007C5447">
        <w:trPr>
          <w:trHeight w:val="299"/>
        </w:trPr>
        <w:tc>
          <w:tcPr>
            <w:tcW w:w="463" w:type="dxa"/>
          </w:tcPr>
          <w:p w:rsidR="007C5447" w:rsidRDefault="00F6308C">
            <w:pPr>
              <w:pStyle w:val="TableParagraph"/>
              <w:spacing w:before="36"/>
              <w:ind w:right="135"/>
              <w:jc w:val="center"/>
              <w:rPr>
                <w:sz w:val="20"/>
              </w:rPr>
            </w:pPr>
            <w:r>
              <w:rPr>
                <w:w w:val="99"/>
                <w:sz w:val="20"/>
              </w:rPr>
              <w:t>3</w:t>
            </w:r>
          </w:p>
        </w:tc>
        <w:tc>
          <w:tcPr>
            <w:tcW w:w="2177" w:type="dxa"/>
          </w:tcPr>
          <w:p w:rsidR="007C5447" w:rsidRDefault="00F6308C">
            <w:pPr>
              <w:pStyle w:val="TableParagraph"/>
              <w:spacing w:before="36"/>
              <w:ind w:left="108"/>
              <w:jc w:val="left"/>
              <w:rPr>
                <w:sz w:val="20"/>
              </w:rPr>
            </w:pPr>
            <w:r>
              <w:rPr>
                <w:sz w:val="20"/>
              </w:rPr>
              <w:t>Mettur TPS</w:t>
            </w:r>
          </w:p>
        </w:tc>
        <w:tc>
          <w:tcPr>
            <w:tcW w:w="1200" w:type="dxa"/>
          </w:tcPr>
          <w:p w:rsidR="007C5447" w:rsidRDefault="00F6308C">
            <w:pPr>
              <w:pStyle w:val="TableParagraph"/>
              <w:spacing w:before="36"/>
              <w:ind w:right="96"/>
              <w:rPr>
                <w:sz w:val="20"/>
              </w:rPr>
            </w:pPr>
            <w:r>
              <w:rPr>
                <w:w w:val="95"/>
                <w:sz w:val="20"/>
              </w:rPr>
              <w:t>62.54</w:t>
            </w:r>
          </w:p>
        </w:tc>
        <w:tc>
          <w:tcPr>
            <w:tcW w:w="1200" w:type="dxa"/>
          </w:tcPr>
          <w:p w:rsidR="007C5447" w:rsidRDefault="00F6308C">
            <w:pPr>
              <w:pStyle w:val="TableParagraph"/>
              <w:spacing w:before="36"/>
              <w:ind w:right="98"/>
              <w:rPr>
                <w:sz w:val="20"/>
              </w:rPr>
            </w:pPr>
            <w:r>
              <w:rPr>
                <w:sz w:val="20"/>
              </w:rPr>
              <w:t>70.87</w:t>
            </w:r>
          </w:p>
        </w:tc>
        <w:tc>
          <w:tcPr>
            <w:tcW w:w="1272" w:type="dxa"/>
          </w:tcPr>
          <w:p w:rsidR="007C5447" w:rsidRDefault="00F6308C">
            <w:pPr>
              <w:pStyle w:val="TableParagraph"/>
              <w:spacing w:before="36"/>
              <w:ind w:right="97"/>
              <w:rPr>
                <w:sz w:val="20"/>
              </w:rPr>
            </w:pPr>
            <w:r>
              <w:rPr>
                <w:sz w:val="20"/>
              </w:rPr>
              <w:t>76.76</w:t>
            </w:r>
          </w:p>
        </w:tc>
        <w:tc>
          <w:tcPr>
            <w:tcW w:w="1381" w:type="dxa"/>
          </w:tcPr>
          <w:p w:rsidR="007C5447" w:rsidRDefault="00F6308C">
            <w:pPr>
              <w:pStyle w:val="TableParagraph"/>
              <w:spacing w:before="36"/>
              <w:ind w:right="96"/>
              <w:rPr>
                <w:sz w:val="20"/>
              </w:rPr>
            </w:pPr>
            <w:r>
              <w:rPr>
                <w:sz w:val="20"/>
              </w:rPr>
              <w:t>83.64</w:t>
            </w:r>
          </w:p>
        </w:tc>
        <w:tc>
          <w:tcPr>
            <w:tcW w:w="1551" w:type="dxa"/>
          </w:tcPr>
          <w:p w:rsidR="007C5447" w:rsidRDefault="00F6308C">
            <w:pPr>
              <w:pStyle w:val="TableParagraph"/>
              <w:spacing w:before="36"/>
              <w:ind w:right="99"/>
              <w:rPr>
                <w:sz w:val="20"/>
              </w:rPr>
            </w:pPr>
            <w:r>
              <w:rPr>
                <w:w w:val="95"/>
                <w:sz w:val="20"/>
              </w:rPr>
              <w:t>90.09</w:t>
            </w:r>
          </w:p>
        </w:tc>
      </w:tr>
      <w:tr w:rsidR="007C5447">
        <w:trPr>
          <w:trHeight w:val="299"/>
        </w:trPr>
        <w:tc>
          <w:tcPr>
            <w:tcW w:w="463" w:type="dxa"/>
          </w:tcPr>
          <w:p w:rsidR="007C5447" w:rsidRDefault="00F6308C">
            <w:pPr>
              <w:pStyle w:val="TableParagraph"/>
              <w:spacing w:before="36"/>
              <w:ind w:right="135"/>
              <w:jc w:val="center"/>
              <w:rPr>
                <w:sz w:val="20"/>
              </w:rPr>
            </w:pPr>
            <w:r>
              <w:rPr>
                <w:w w:val="99"/>
                <w:sz w:val="20"/>
              </w:rPr>
              <w:t>4</w:t>
            </w:r>
          </w:p>
        </w:tc>
        <w:tc>
          <w:tcPr>
            <w:tcW w:w="2177" w:type="dxa"/>
          </w:tcPr>
          <w:p w:rsidR="007C5447" w:rsidRDefault="00F6308C">
            <w:pPr>
              <w:pStyle w:val="TableParagraph"/>
              <w:spacing w:before="36"/>
              <w:ind w:left="108"/>
              <w:jc w:val="left"/>
              <w:rPr>
                <w:sz w:val="20"/>
              </w:rPr>
            </w:pPr>
            <w:r>
              <w:rPr>
                <w:sz w:val="20"/>
              </w:rPr>
              <w:t>North Chennai TPS</w:t>
            </w:r>
          </w:p>
        </w:tc>
        <w:tc>
          <w:tcPr>
            <w:tcW w:w="1200" w:type="dxa"/>
          </w:tcPr>
          <w:p w:rsidR="007C5447" w:rsidRDefault="00F6308C">
            <w:pPr>
              <w:pStyle w:val="TableParagraph"/>
              <w:spacing w:before="36"/>
              <w:ind w:right="96"/>
              <w:rPr>
                <w:sz w:val="20"/>
              </w:rPr>
            </w:pPr>
            <w:r>
              <w:rPr>
                <w:w w:val="95"/>
                <w:sz w:val="20"/>
              </w:rPr>
              <w:t>105.37</w:t>
            </w:r>
          </w:p>
        </w:tc>
        <w:tc>
          <w:tcPr>
            <w:tcW w:w="1200" w:type="dxa"/>
          </w:tcPr>
          <w:p w:rsidR="007C5447" w:rsidRDefault="00F6308C">
            <w:pPr>
              <w:pStyle w:val="TableParagraph"/>
              <w:spacing w:before="36"/>
              <w:ind w:right="97"/>
              <w:rPr>
                <w:sz w:val="20"/>
              </w:rPr>
            </w:pPr>
            <w:r>
              <w:rPr>
                <w:w w:val="95"/>
                <w:sz w:val="20"/>
              </w:rPr>
              <w:t>113.96</w:t>
            </w:r>
          </w:p>
        </w:tc>
        <w:tc>
          <w:tcPr>
            <w:tcW w:w="1272" w:type="dxa"/>
          </w:tcPr>
          <w:p w:rsidR="007C5447" w:rsidRDefault="00F6308C">
            <w:pPr>
              <w:pStyle w:val="TableParagraph"/>
              <w:spacing w:before="36"/>
              <w:ind w:right="96"/>
              <w:rPr>
                <w:sz w:val="20"/>
              </w:rPr>
            </w:pPr>
            <w:r>
              <w:rPr>
                <w:w w:val="95"/>
                <w:sz w:val="20"/>
              </w:rPr>
              <w:t>111.11</w:t>
            </w:r>
          </w:p>
        </w:tc>
        <w:tc>
          <w:tcPr>
            <w:tcW w:w="1381" w:type="dxa"/>
          </w:tcPr>
          <w:p w:rsidR="007C5447" w:rsidRDefault="00F6308C">
            <w:pPr>
              <w:pStyle w:val="TableParagraph"/>
              <w:spacing w:before="36"/>
              <w:ind w:right="95"/>
              <w:rPr>
                <w:sz w:val="20"/>
              </w:rPr>
            </w:pPr>
            <w:r>
              <w:rPr>
                <w:w w:val="95"/>
                <w:sz w:val="20"/>
              </w:rPr>
              <w:t>106.64</w:t>
            </w:r>
          </w:p>
        </w:tc>
        <w:tc>
          <w:tcPr>
            <w:tcW w:w="1551" w:type="dxa"/>
          </w:tcPr>
          <w:p w:rsidR="007C5447" w:rsidRDefault="00F6308C">
            <w:pPr>
              <w:pStyle w:val="TableParagraph"/>
              <w:spacing w:before="36"/>
              <w:ind w:right="100"/>
              <w:rPr>
                <w:sz w:val="20"/>
              </w:rPr>
            </w:pPr>
            <w:r>
              <w:rPr>
                <w:w w:val="95"/>
                <w:sz w:val="20"/>
              </w:rPr>
              <w:t>102.73</w:t>
            </w:r>
          </w:p>
        </w:tc>
      </w:tr>
      <w:tr w:rsidR="007C5447">
        <w:trPr>
          <w:trHeight w:val="302"/>
        </w:trPr>
        <w:tc>
          <w:tcPr>
            <w:tcW w:w="463" w:type="dxa"/>
          </w:tcPr>
          <w:p w:rsidR="007C5447" w:rsidRDefault="00F6308C">
            <w:pPr>
              <w:pStyle w:val="TableParagraph"/>
              <w:spacing w:before="36"/>
              <w:ind w:right="135"/>
              <w:jc w:val="center"/>
              <w:rPr>
                <w:sz w:val="20"/>
              </w:rPr>
            </w:pPr>
            <w:r>
              <w:rPr>
                <w:w w:val="99"/>
                <w:sz w:val="20"/>
              </w:rPr>
              <w:t>5</w:t>
            </w:r>
          </w:p>
        </w:tc>
        <w:tc>
          <w:tcPr>
            <w:tcW w:w="2177" w:type="dxa"/>
          </w:tcPr>
          <w:p w:rsidR="007C5447" w:rsidRDefault="00F6308C">
            <w:pPr>
              <w:pStyle w:val="TableParagraph"/>
              <w:spacing w:before="36"/>
              <w:ind w:left="108"/>
              <w:jc w:val="left"/>
              <w:rPr>
                <w:sz w:val="20"/>
              </w:rPr>
            </w:pPr>
            <w:r>
              <w:rPr>
                <w:sz w:val="20"/>
              </w:rPr>
              <w:t>NCTPS Stage-II (unit 1)</w:t>
            </w:r>
          </w:p>
        </w:tc>
        <w:tc>
          <w:tcPr>
            <w:tcW w:w="1200" w:type="dxa"/>
          </w:tcPr>
          <w:p w:rsidR="007C5447" w:rsidRDefault="00F6308C">
            <w:pPr>
              <w:pStyle w:val="TableParagraph"/>
              <w:spacing w:before="36"/>
              <w:ind w:right="97"/>
              <w:rPr>
                <w:sz w:val="20"/>
              </w:rPr>
            </w:pPr>
            <w:r>
              <w:rPr>
                <w:sz w:val="20"/>
              </w:rPr>
              <w:t>0.00</w:t>
            </w:r>
          </w:p>
        </w:tc>
        <w:tc>
          <w:tcPr>
            <w:tcW w:w="1200" w:type="dxa"/>
          </w:tcPr>
          <w:p w:rsidR="007C5447" w:rsidRDefault="00F6308C">
            <w:pPr>
              <w:pStyle w:val="TableParagraph"/>
              <w:spacing w:before="36"/>
              <w:ind w:right="97"/>
              <w:rPr>
                <w:sz w:val="20"/>
              </w:rPr>
            </w:pPr>
            <w:r>
              <w:rPr>
                <w:sz w:val="20"/>
              </w:rPr>
              <w:t>0.00</w:t>
            </w:r>
          </w:p>
        </w:tc>
        <w:tc>
          <w:tcPr>
            <w:tcW w:w="1272" w:type="dxa"/>
          </w:tcPr>
          <w:p w:rsidR="007C5447" w:rsidRDefault="00F6308C">
            <w:pPr>
              <w:pStyle w:val="TableParagraph"/>
              <w:spacing w:before="36"/>
              <w:ind w:right="97"/>
              <w:rPr>
                <w:sz w:val="20"/>
              </w:rPr>
            </w:pPr>
            <w:r>
              <w:rPr>
                <w:w w:val="95"/>
                <w:sz w:val="20"/>
              </w:rPr>
              <w:t>197.54</w:t>
            </w:r>
          </w:p>
        </w:tc>
        <w:tc>
          <w:tcPr>
            <w:tcW w:w="1381" w:type="dxa"/>
          </w:tcPr>
          <w:p w:rsidR="007C5447" w:rsidRDefault="00F6308C">
            <w:pPr>
              <w:pStyle w:val="TableParagraph"/>
              <w:spacing w:before="36"/>
              <w:ind w:right="95"/>
              <w:rPr>
                <w:sz w:val="20"/>
              </w:rPr>
            </w:pPr>
            <w:r>
              <w:rPr>
                <w:w w:val="95"/>
                <w:sz w:val="20"/>
              </w:rPr>
              <w:t>395.08</w:t>
            </w:r>
          </w:p>
        </w:tc>
        <w:tc>
          <w:tcPr>
            <w:tcW w:w="1551" w:type="dxa"/>
          </w:tcPr>
          <w:p w:rsidR="007C5447" w:rsidRDefault="00F6308C">
            <w:pPr>
              <w:pStyle w:val="TableParagraph"/>
              <w:spacing w:before="36"/>
              <w:ind w:right="100"/>
              <w:rPr>
                <w:sz w:val="20"/>
              </w:rPr>
            </w:pPr>
            <w:r>
              <w:rPr>
                <w:w w:val="95"/>
                <w:sz w:val="20"/>
              </w:rPr>
              <w:t>377.94</w:t>
            </w:r>
          </w:p>
        </w:tc>
      </w:tr>
      <w:tr w:rsidR="007C5447">
        <w:trPr>
          <w:trHeight w:val="299"/>
        </w:trPr>
        <w:tc>
          <w:tcPr>
            <w:tcW w:w="463" w:type="dxa"/>
          </w:tcPr>
          <w:p w:rsidR="007C5447" w:rsidRDefault="00F6308C">
            <w:pPr>
              <w:pStyle w:val="TableParagraph"/>
              <w:spacing w:before="34"/>
              <w:ind w:right="135"/>
              <w:jc w:val="center"/>
              <w:rPr>
                <w:sz w:val="20"/>
              </w:rPr>
            </w:pPr>
            <w:r>
              <w:rPr>
                <w:w w:val="99"/>
                <w:sz w:val="20"/>
              </w:rPr>
              <w:t>6</w:t>
            </w:r>
          </w:p>
        </w:tc>
        <w:tc>
          <w:tcPr>
            <w:tcW w:w="2177" w:type="dxa"/>
          </w:tcPr>
          <w:p w:rsidR="007C5447" w:rsidRDefault="00F6308C">
            <w:pPr>
              <w:pStyle w:val="TableParagraph"/>
              <w:spacing w:before="34"/>
              <w:ind w:left="108"/>
              <w:jc w:val="left"/>
              <w:rPr>
                <w:sz w:val="20"/>
              </w:rPr>
            </w:pPr>
            <w:r>
              <w:rPr>
                <w:sz w:val="20"/>
              </w:rPr>
              <w:t>NCTPS Stage-II (unit 2)</w:t>
            </w:r>
          </w:p>
        </w:tc>
        <w:tc>
          <w:tcPr>
            <w:tcW w:w="1200" w:type="dxa"/>
          </w:tcPr>
          <w:p w:rsidR="007C5447" w:rsidRDefault="00F6308C">
            <w:pPr>
              <w:pStyle w:val="TableParagraph"/>
              <w:spacing w:before="34"/>
              <w:ind w:right="97"/>
              <w:rPr>
                <w:sz w:val="20"/>
              </w:rPr>
            </w:pPr>
            <w:r>
              <w:rPr>
                <w:sz w:val="20"/>
              </w:rPr>
              <w:t>0.00</w:t>
            </w:r>
          </w:p>
        </w:tc>
        <w:tc>
          <w:tcPr>
            <w:tcW w:w="1200" w:type="dxa"/>
          </w:tcPr>
          <w:p w:rsidR="007C5447" w:rsidRDefault="00F6308C">
            <w:pPr>
              <w:pStyle w:val="TableParagraph"/>
              <w:spacing w:before="34"/>
              <w:ind w:right="97"/>
              <w:rPr>
                <w:sz w:val="20"/>
              </w:rPr>
            </w:pPr>
            <w:r>
              <w:rPr>
                <w:sz w:val="20"/>
              </w:rPr>
              <w:t>0.00</w:t>
            </w:r>
          </w:p>
        </w:tc>
        <w:tc>
          <w:tcPr>
            <w:tcW w:w="1272" w:type="dxa"/>
          </w:tcPr>
          <w:p w:rsidR="007C5447" w:rsidRDefault="00F6308C">
            <w:pPr>
              <w:pStyle w:val="TableParagraph"/>
              <w:spacing w:before="34"/>
              <w:ind w:right="97"/>
              <w:rPr>
                <w:sz w:val="20"/>
              </w:rPr>
            </w:pPr>
            <w:r>
              <w:rPr>
                <w:sz w:val="20"/>
              </w:rPr>
              <w:t>0.00</w:t>
            </w:r>
          </w:p>
        </w:tc>
        <w:tc>
          <w:tcPr>
            <w:tcW w:w="1381" w:type="dxa"/>
          </w:tcPr>
          <w:p w:rsidR="007C5447" w:rsidRDefault="00F6308C">
            <w:pPr>
              <w:pStyle w:val="TableParagraph"/>
              <w:spacing w:before="34"/>
              <w:ind w:right="95"/>
              <w:rPr>
                <w:sz w:val="20"/>
              </w:rPr>
            </w:pPr>
            <w:r>
              <w:rPr>
                <w:w w:val="95"/>
                <w:sz w:val="20"/>
              </w:rPr>
              <w:t>197.54</w:t>
            </w:r>
          </w:p>
        </w:tc>
        <w:tc>
          <w:tcPr>
            <w:tcW w:w="1551" w:type="dxa"/>
          </w:tcPr>
          <w:p w:rsidR="007C5447" w:rsidRDefault="00F6308C">
            <w:pPr>
              <w:pStyle w:val="TableParagraph"/>
              <w:spacing w:before="34"/>
              <w:ind w:right="100"/>
              <w:rPr>
                <w:sz w:val="20"/>
              </w:rPr>
            </w:pPr>
            <w:r>
              <w:rPr>
                <w:w w:val="95"/>
                <w:sz w:val="20"/>
              </w:rPr>
              <w:t>395.08</w:t>
            </w:r>
          </w:p>
        </w:tc>
      </w:tr>
      <w:tr w:rsidR="007C5447">
        <w:trPr>
          <w:trHeight w:val="299"/>
        </w:trPr>
        <w:tc>
          <w:tcPr>
            <w:tcW w:w="463" w:type="dxa"/>
          </w:tcPr>
          <w:p w:rsidR="007C5447" w:rsidRDefault="00F6308C">
            <w:pPr>
              <w:pStyle w:val="TableParagraph"/>
              <w:spacing w:before="34"/>
              <w:ind w:right="135"/>
              <w:jc w:val="center"/>
              <w:rPr>
                <w:sz w:val="20"/>
              </w:rPr>
            </w:pPr>
            <w:r>
              <w:rPr>
                <w:w w:val="99"/>
                <w:sz w:val="20"/>
              </w:rPr>
              <w:t>7</w:t>
            </w:r>
          </w:p>
        </w:tc>
        <w:tc>
          <w:tcPr>
            <w:tcW w:w="2177" w:type="dxa"/>
          </w:tcPr>
          <w:p w:rsidR="007C5447" w:rsidRDefault="00F6308C">
            <w:pPr>
              <w:pStyle w:val="TableParagraph"/>
              <w:spacing w:before="34"/>
              <w:ind w:left="108"/>
              <w:jc w:val="left"/>
              <w:rPr>
                <w:sz w:val="20"/>
              </w:rPr>
            </w:pPr>
            <w:r>
              <w:rPr>
                <w:sz w:val="20"/>
              </w:rPr>
              <w:t>MTPS Stage-III**</w:t>
            </w:r>
          </w:p>
        </w:tc>
        <w:tc>
          <w:tcPr>
            <w:tcW w:w="1200" w:type="dxa"/>
          </w:tcPr>
          <w:p w:rsidR="007C5447" w:rsidRDefault="00F6308C">
            <w:pPr>
              <w:pStyle w:val="TableParagraph"/>
              <w:spacing w:before="34"/>
              <w:ind w:right="94"/>
              <w:rPr>
                <w:sz w:val="20"/>
              </w:rPr>
            </w:pPr>
            <w:r>
              <w:rPr>
                <w:w w:val="99"/>
                <w:sz w:val="20"/>
              </w:rPr>
              <w:t>-</w:t>
            </w:r>
          </w:p>
        </w:tc>
        <w:tc>
          <w:tcPr>
            <w:tcW w:w="1200" w:type="dxa"/>
          </w:tcPr>
          <w:p w:rsidR="007C5447" w:rsidRDefault="00F6308C">
            <w:pPr>
              <w:pStyle w:val="TableParagraph"/>
              <w:spacing w:before="34"/>
              <w:ind w:right="94"/>
              <w:rPr>
                <w:sz w:val="20"/>
              </w:rPr>
            </w:pPr>
            <w:r>
              <w:rPr>
                <w:w w:val="99"/>
                <w:sz w:val="20"/>
              </w:rPr>
              <w:t>-</w:t>
            </w:r>
          </w:p>
        </w:tc>
        <w:tc>
          <w:tcPr>
            <w:tcW w:w="1272" w:type="dxa"/>
          </w:tcPr>
          <w:p w:rsidR="007C5447" w:rsidRDefault="00F6308C">
            <w:pPr>
              <w:pStyle w:val="TableParagraph"/>
              <w:spacing w:before="34"/>
              <w:ind w:right="97"/>
              <w:rPr>
                <w:sz w:val="20"/>
              </w:rPr>
            </w:pPr>
            <w:r>
              <w:rPr>
                <w:w w:val="95"/>
                <w:sz w:val="20"/>
              </w:rPr>
              <w:t>194.91</w:t>
            </w:r>
          </w:p>
        </w:tc>
        <w:tc>
          <w:tcPr>
            <w:tcW w:w="1381" w:type="dxa"/>
          </w:tcPr>
          <w:p w:rsidR="007C5447" w:rsidRDefault="00F6308C">
            <w:pPr>
              <w:pStyle w:val="TableParagraph"/>
              <w:spacing w:before="34"/>
              <w:ind w:right="95"/>
              <w:rPr>
                <w:sz w:val="20"/>
              </w:rPr>
            </w:pPr>
            <w:r>
              <w:rPr>
                <w:w w:val="95"/>
                <w:sz w:val="20"/>
              </w:rPr>
              <w:t>415.60</w:t>
            </w:r>
          </w:p>
        </w:tc>
        <w:tc>
          <w:tcPr>
            <w:tcW w:w="1551" w:type="dxa"/>
          </w:tcPr>
          <w:p w:rsidR="007C5447" w:rsidRDefault="00F6308C">
            <w:pPr>
              <w:pStyle w:val="TableParagraph"/>
              <w:spacing w:before="34"/>
              <w:ind w:right="100"/>
              <w:rPr>
                <w:sz w:val="20"/>
              </w:rPr>
            </w:pPr>
            <w:r>
              <w:rPr>
                <w:w w:val="95"/>
                <w:sz w:val="20"/>
              </w:rPr>
              <w:t>398.27</w:t>
            </w:r>
          </w:p>
        </w:tc>
      </w:tr>
      <w:tr w:rsidR="007C5447">
        <w:trPr>
          <w:trHeight w:val="330"/>
        </w:trPr>
        <w:tc>
          <w:tcPr>
            <w:tcW w:w="463" w:type="dxa"/>
          </w:tcPr>
          <w:p w:rsidR="007C5447" w:rsidRDefault="00F6308C">
            <w:pPr>
              <w:pStyle w:val="TableParagraph"/>
              <w:spacing w:before="50"/>
              <w:ind w:right="135"/>
              <w:jc w:val="center"/>
              <w:rPr>
                <w:sz w:val="20"/>
              </w:rPr>
            </w:pPr>
            <w:r>
              <w:rPr>
                <w:w w:val="99"/>
                <w:sz w:val="20"/>
              </w:rPr>
              <w:t>8</w:t>
            </w:r>
          </w:p>
        </w:tc>
        <w:tc>
          <w:tcPr>
            <w:tcW w:w="2177" w:type="dxa"/>
          </w:tcPr>
          <w:p w:rsidR="007C5447" w:rsidRDefault="00F6308C">
            <w:pPr>
              <w:pStyle w:val="TableParagraph"/>
              <w:spacing w:before="50"/>
              <w:ind w:left="108"/>
              <w:jc w:val="left"/>
              <w:rPr>
                <w:b/>
                <w:sz w:val="20"/>
              </w:rPr>
            </w:pPr>
            <w:r>
              <w:rPr>
                <w:b/>
                <w:sz w:val="20"/>
              </w:rPr>
              <w:t>Total Thermal</w:t>
            </w:r>
          </w:p>
        </w:tc>
        <w:tc>
          <w:tcPr>
            <w:tcW w:w="1200" w:type="dxa"/>
          </w:tcPr>
          <w:p w:rsidR="007C5447" w:rsidRDefault="00F6308C">
            <w:pPr>
              <w:pStyle w:val="TableParagraph"/>
              <w:spacing w:before="50"/>
              <w:ind w:right="97"/>
              <w:rPr>
                <w:b/>
                <w:sz w:val="20"/>
              </w:rPr>
            </w:pPr>
            <w:r>
              <w:rPr>
                <w:b/>
                <w:w w:val="95"/>
                <w:sz w:val="20"/>
              </w:rPr>
              <w:t>388.19</w:t>
            </w:r>
          </w:p>
        </w:tc>
        <w:tc>
          <w:tcPr>
            <w:tcW w:w="1200" w:type="dxa"/>
          </w:tcPr>
          <w:p w:rsidR="007C5447" w:rsidRDefault="00F6308C">
            <w:pPr>
              <w:pStyle w:val="TableParagraph"/>
              <w:spacing w:before="50"/>
              <w:ind w:right="97"/>
              <w:rPr>
                <w:b/>
                <w:sz w:val="20"/>
              </w:rPr>
            </w:pPr>
            <w:r>
              <w:rPr>
                <w:b/>
                <w:w w:val="95"/>
                <w:sz w:val="20"/>
              </w:rPr>
              <w:t>425.79</w:t>
            </w:r>
          </w:p>
        </w:tc>
        <w:tc>
          <w:tcPr>
            <w:tcW w:w="1272" w:type="dxa"/>
          </w:tcPr>
          <w:p w:rsidR="007C5447" w:rsidRDefault="00F6308C">
            <w:pPr>
              <w:pStyle w:val="TableParagraph"/>
              <w:spacing w:before="50"/>
              <w:ind w:right="96"/>
              <w:rPr>
                <w:b/>
                <w:sz w:val="20"/>
              </w:rPr>
            </w:pPr>
            <w:r>
              <w:rPr>
                <w:b/>
                <w:w w:val="95"/>
                <w:sz w:val="20"/>
              </w:rPr>
              <w:t>824.07</w:t>
            </w:r>
          </w:p>
        </w:tc>
        <w:tc>
          <w:tcPr>
            <w:tcW w:w="1381" w:type="dxa"/>
          </w:tcPr>
          <w:p w:rsidR="007C5447" w:rsidRDefault="00F6308C">
            <w:pPr>
              <w:pStyle w:val="TableParagraph"/>
              <w:spacing w:before="50"/>
              <w:ind w:right="93"/>
              <w:rPr>
                <w:b/>
                <w:sz w:val="20"/>
              </w:rPr>
            </w:pPr>
            <w:r>
              <w:rPr>
                <w:b/>
                <w:w w:val="95"/>
                <w:sz w:val="20"/>
              </w:rPr>
              <w:t>1,444.59</w:t>
            </w:r>
          </w:p>
        </w:tc>
        <w:tc>
          <w:tcPr>
            <w:tcW w:w="1551" w:type="dxa"/>
          </w:tcPr>
          <w:p w:rsidR="007C5447" w:rsidRDefault="00F6308C">
            <w:pPr>
              <w:pStyle w:val="TableParagraph"/>
              <w:spacing w:before="50"/>
              <w:ind w:right="98"/>
              <w:rPr>
                <w:b/>
                <w:sz w:val="20"/>
              </w:rPr>
            </w:pPr>
            <w:r>
              <w:rPr>
                <w:b/>
                <w:w w:val="95"/>
                <w:sz w:val="20"/>
              </w:rPr>
              <w:t>1,607.82</w:t>
            </w:r>
          </w:p>
        </w:tc>
      </w:tr>
      <w:tr w:rsidR="007C5447">
        <w:trPr>
          <w:trHeight w:val="300"/>
        </w:trPr>
        <w:tc>
          <w:tcPr>
            <w:tcW w:w="463" w:type="dxa"/>
          </w:tcPr>
          <w:p w:rsidR="007C5447" w:rsidRDefault="00F6308C">
            <w:pPr>
              <w:pStyle w:val="TableParagraph"/>
              <w:spacing w:before="34"/>
              <w:ind w:right="135"/>
              <w:jc w:val="center"/>
              <w:rPr>
                <w:sz w:val="20"/>
              </w:rPr>
            </w:pPr>
            <w:r>
              <w:rPr>
                <w:w w:val="99"/>
                <w:sz w:val="20"/>
              </w:rPr>
              <w:t>9</w:t>
            </w:r>
          </w:p>
        </w:tc>
        <w:tc>
          <w:tcPr>
            <w:tcW w:w="2177" w:type="dxa"/>
          </w:tcPr>
          <w:p w:rsidR="007C5447" w:rsidRDefault="00F6308C">
            <w:pPr>
              <w:pStyle w:val="TableParagraph"/>
              <w:spacing w:before="34"/>
              <w:ind w:left="108"/>
              <w:jc w:val="left"/>
              <w:rPr>
                <w:sz w:val="20"/>
              </w:rPr>
            </w:pPr>
            <w:r>
              <w:rPr>
                <w:sz w:val="20"/>
              </w:rPr>
              <w:t>Tirumakottai GTPS</w:t>
            </w:r>
          </w:p>
        </w:tc>
        <w:tc>
          <w:tcPr>
            <w:tcW w:w="1200" w:type="dxa"/>
          </w:tcPr>
          <w:p w:rsidR="007C5447" w:rsidRDefault="00F6308C">
            <w:pPr>
              <w:pStyle w:val="TableParagraph"/>
              <w:spacing w:before="34"/>
              <w:ind w:right="96"/>
              <w:rPr>
                <w:sz w:val="20"/>
              </w:rPr>
            </w:pPr>
            <w:r>
              <w:rPr>
                <w:w w:val="95"/>
                <w:sz w:val="20"/>
              </w:rPr>
              <w:t>43.42</w:t>
            </w:r>
          </w:p>
        </w:tc>
        <w:tc>
          <w:tcPr>
            <w:tcW w:w="1200" w:type="dxa"/>
          </w:tcPr>
          <w:p w:rsidR="007C5447" w:rsidRDefault="00F6308C">
            <w:pPr>
              <w:pStyle w:val="TableParagraph"/>
              <w:spacing w:before="34"/>
              <w:ind w:right="98"/>
              <w:rPr>
                <w:sz w:val="20"/>
              </w:rPr>
            </w:pPr>
            <w:r>
              <w:rPr>
                <w:sz w:val="20"/>
              </w:rPr>
              <w:t>47.28</w:t>
            </w:r>
          </w:p>
        </w:tc>
        <w:tc>
          <w:tcPr>
            <w:tcW w:w="1272" w:type="dxa"/>
          </w:tcPr>
          <w:p w:rsidR="007C5447" w:rsidRDefault="00F6308C">
            <w:pPr>
              <w:pStyle w:val="TableParagraph"/>
              <w:spacing w:before="34"/>
              <w:ind w:right="97"/>
              <w:rPr>
                <w:sz w:val="20"/>
              </w:rPr>
            </w:pPr>
            <w:r>
              <w:rPr>
                <w:sz w:val="20"/>
              </w:rPr>
              <w:t>46.02</w:t>
            </w:r>
          </w:p>
        </w:tc>
        <w:tc>
          <w:tcPr>
            <w:tcW w:w="1381" w:type="dxa"/>
          </w:tcPr>
          <w:p w:rsidR="007C5447" w:rsidRDefault="00F6308C">
            <w:pPr>
              <w:pStyle w:val="TableParagraph"/>
              <w:spacing w:before="34"/>
              <w:ind w:right="95"/>
              <w:rPr>
                <w:sz w:val="20"/>
              </w:rPr>
            </w:pPr>
            <w:r>
              <w:rPr>
                <w:w w:val="95"/>
                <w:sz w:val="20"/>
              </w:rPr>
              <w:t>44.29</w:t>
            </w:r>
          </w:p>
        </w:tc>
        <w:tc>
          <w:tcPr>
            <w:tcW w:w="1551" w:type="dxa"/>
          </w:tcPr>
          <w:p w:rsidR="007C5447" w:rsidRDefault="00F6308C">
            <w:pPr>
              <w:pStyle w:val="TableParagraph"/>
              <w:spacing w:before="34"/>
              <w:ind w:right="100"/>
              <w:rPr>
                <w:sz w:val="20"/>
              </w:rPr>
            </w:pPr>
            <w:r>
              <w:rPr>
                <w:w w:val="95"/>
                <w:sz w:val="20"/>
              </w:rPr>
              <w:t>41.97</w:t>
            </w:r>
          </w:p>
        </w:tc>
      </w:tr>
      <w:tr w:rsidR="007C5447">
        <w:trPr>
          <w:trHeight w:val="299"/>
        </w:trPr>
        <w:tc>
          <w:tcPr>
            <w:tcW w:w="463" w:type="dxa"/>
          </w:tcPr>
          <w:p w:rsidR="007C5447" w:rsidRDefault="00F6308C">
            <w:pPr>
              <w:pStyle w:val="TableParagraph"/>
              <w:spacing w:before="34"/>
              <w:ind w:left="62" w:right="95"/>
              <w:jc w:val="center"/>
              <w:rPr>
                <w:sz w:val="20"/>
              </w:rPr>
            </w:pPr>
            <w:r>
              <w:rPr>
                <w:sz w:val="20"/>
              </w:rPr>
              <w:t>10</w:t>
            </w:r>
          </w:p>
        </w:tc>
        <w:tc>
          <w:tcPr>
            <w:tcW w:w="2177" w:type="dxa"/>
          </w:tcPr>
          <w:p w:rsidR="007C5447" w:rsidRDefault="00F6308C">
            <w:pPr>
              <w:pStyle w:val="TableParagraph"/>
              <w:spacing w:before="34"/>
              <w:ind w:left="108"/>
              <w:jc w:val="left"/>
              <w:rPr>
                <w:sz w:val="20"/>
              </w:rPr>
            </w:pPr>
            <w:r>
              <w:rPr>
                <w:sz w:val="20"/>
              </w:rPr>
              <w:t>Kuttalam GTPS</w:t>
            </w:r>
          </w:p>
        </w:tc>
        <w:tc>
          <w:tcPr>
            <w:tcW w:w="1200" w:type="dxa"/>
          </w:tcPr>
          <w:p w:rsidR="007C5447" w:rsidRDefault="00F6308C">
            <w:pPr>
              <w:pStyle w:val="TableParagraph"/>
              <w:spacing w:before="34"/>
              <w:ind w:right="96"/>
              <w:rPr>
                <w:sz w:val="20"/>
              </w:rPr>
            </w:pPr>
            <w:r>
              <w:rPr>
                <w:w w:val="95"/>
                <w:sz w:val="20"/>
              </w:rPr>
              <w:t>37.25</w:t>
            </w:r>
          </w:p>
        </w:tc>
        <w:tc>
          <w:tcPr>
            <w:tcW w:w="1200" w:type="dxa"/>
          </w:tcPr>
          <w:p w:rsidR="007C5447" w:rsidRDefault="00F6308C">
            <w:pPr>
              <w:pStyle w:val="TableParagraph"/>
              <w:spacing w:before="34"/>
              <w:ind w:right="96"/>
              <w:rPr>
                <w:sz w:val="20"/>
              </w:rPr>
            </w:pPr>
            <w:r>
              <w:rPr>
                <w:w w:val="95"/>
                <w:sz w:val="20"/>
              </w:rPr>
              <w:t>49.54</w:t>
            </w:r>
          </w:p>
        </w:tc>
        <w:tc>
          <w:tcPr>
            <w:tcW w:w="1272" w:type="dxa"/>
          </w:tcPr>
          <w:p w:rsidR="007C5447" w:rsidRDefault="00F6308C">
            <w:pPr>
              <w:pStyle w:val="TableParagraph"/>
              <w:spacing w:before="34"/>
              <w:ind w:right="97"/>
              <w:rPr>
                <w:sz w:val="20"/>
              </w:rPr>
            </w:pPr>
            <w:r>
              <w:rPr>
                <w:sz w:val="20"/>
              </w:rPr>
              <w:t>56.61</w:t>
            </w:r>
          </w:p>
        </w:tc>
        <w:tc>
          <w:tcPr>
            <w:tcW w:w="1381" w:type="dxa"/>
          </w:tcPr>
          <w:p w:rsidR="007C5447" w:rsidRDefault="00F6308C">
            <w:pPr>
              <w:pStyle w:val="TableParagraph"/>
              <w:spacing w:before="34"/>
              <w:ind w:right="96"/>
              <w:rPr>
                <w:sz w:val="20"/>
              </w:rPr>
            </w:pPr>
            <w:r>
              <w:rPr>
                <w:sz w:val="20"/>
              </w:rPr>
              <w:t>54.87</w:t>
            </w:r>
          </w:p>
        </w:tc>
        <w:tc>
          <w:tcPr>
            <w:tcW w:w="1551" w:type="dxa"/>
          </w:tcPr>
          <w:p w:rsidR="007C5447" w:rsidRDefault="00F6308C">
            <w:pPr>
              <w:pStyle w:val="TableParagraph"/>
              <w:spacing w:before="34"/>
              <w:ind w:right="101"/>
              <w:rPr>
                <w:sz w:val="20"/>
              </w:rPr>
            </w:pPr>
            <w:r>
              <w:rPr>
                <w:sz w:val="20"/>
              </w:rPr>
              <w:t>52.40</w:t>
            </w:r>
          </w:p>
        </w:tc>
      </w:tr>
      <w:tr w:rsidR="007C5447">
        <w:trPr>
          <w:trHeight w:val="299"/>
        </w:trPr>
        <w:tc>
          <w:tcPr>
            <w:tcW w:w="463" w:type="dxa"/>
          </w:tcPr>
          <w:p w:rsidR="007C5447" w:rsidRDefault="00F6308C">
            <w:pPr>
              <w:pStyle w:val="TableParagraph"/>
              <w:spacing w:before="34"/>
              <w:ind w:left="62" w:right="95"/>
              <w:jc w:val="center"/>
              <w:rPr>
                <w:sz w:val="20"/>
              </w:rPr>
            </w:pPr>
            <w:r>
              <w:rPr>
                <w:sz w:val="20"/>
              </w:rPr>
              <w:t>11</w:t>
            </w:r>
          </w:p>
        </w:tc>
        <w:tc>
          <w:tcPr>
            <w:tcW w:w="2177" w:type="dxa"/>
          </w:tcPr>
          <w:p w:rsidR="007C5447" w:rsidRDefault="00F6308C">
            <w:pPr>
              <w:pStyle w:val="TableParagraph"/>
              <w:spacing w:before="34"/>
              <w:ind w:left="108"/>
              <w:jc w:val="left"/>
              <w:rPr>
                <w:sz w:val="20"/>
              </w:rPr>
            </w:pPr>
            <w:r>
              <w:rPr>
                <w:sz w:val="20"/>
              </w:rPr>
              <w:t>Basin Bridge GTPS</w:t>
            </w:r>
          </w:p>
        </w:tc>
        <w:tc>
          <w:tcPr>
            <w:tcW w:w="1200" w:type="dxa"/>
          </w:tcPr>
          <w:p w:rsidR="007C5447" w:rsidRDefault="00F6308C">
            <w:pPr>
              <w:pStyle w:val="TableParagraph"/>
              <w:spacing w:before="34"/>
              <w:ind w:right="98"/>
              <w:rPr>
                <w:sz w:val="20"/>
              </w:rPr>
            </w:pPr>
            <w:r>
              <w:rPr>
                <w:sz w:val="20"/>
              </w:rPr>
              <w:t>18.79</w:t>
            </w:r>
          </w:p>
        </w:tc>
        <w:tc>
          <w:tcPr>
            <w:tcW w:w="1200" w:type="dxa"/>
          </w:tcPr>
          <w:p w:rsidR="007C5447" w:rsidRDefault="00F6308C">
            <w:pPr>
              <w:pStyle w:val="TableParagraph"/>
              <w:spacing w:before="34"/>
              <w:ind w:right="98"/>
              <w:rPr>
                <w:sz w:val="20"/>
              </w:rPr>
            </w:pPr>
            <w:r>
              <w:rPr>
                <w:sz w:val="20"/>
              </w:rPr>
              <w:t>18.88</w:t>
            </w:r>
          </w:p>
        </w:tc>
        <w:tc>
          <w:tcPr>
            <w:tcW w:w="1272" w:type="dxa"/>
          </w:tcPr>
          <w:p w:rsidR="007C5447" w:rsidRDefault="00F6308C">
            <w:pPr>
              <w:pStyle w:val="TableParagraph"/>
              <w:spacing w:before="34"/>
              <w:ind w:right="96"/>
              <w:rPr>
                <w:sz w:val="20"/>
              </w:rPr>
            </w:pPr>
            <w:r>
              <w:rPr>
                <w:sz w:val="20"/>
              </w:rPr>
              <w:t>16.71</w:t>
            </w:r>
          </w:p>
        </w:tc>
        <w:tc>
          <w:tcPr>
            <w:tcW w:w="1381" w:type="dxa"/>
          </w:tcPr>
          <w:p w:rsidR="007C5447" w:rsidRDefault="00F6308C">
            <w:pPr>
              <w:pStyle w:val="TableParagraph"/>
              <w:spacing w:before="34"/>
              <w:ind w:right="95"/>
              <w:rPr>
                <w:sz w:val="20"/>
              </w:rPr>
            </w:pPr>
            <w:r>
              <w:rPr>
                <w:w w:val="95"/>
                <w:sz w:val="20"/>
              </w:rPr>
              <w:t>13.88</w:t>
            </w:r>
          </w:p>
        </w:tc>
        <w:tc>
          <w:tcPr>
            <w:tcW w:w="1551" w:type="dxa"/>
          </w:tcPr>
          <w:p w:rsidR="007C5447" w:rsidRDefault="00F6308C">
            <w:pPr>
              <w:pStyle w:val="TableParagraph"/>
              <w:spacing w:before="34"/>
              <w:ind w:right="100"/>
              <w:rPr>
                <w:sz w:val="20"/>
              </w:rPr>
            </w:pPr>
            <w:r>
              <w:rPr>
                <w:w w:val="95"/>
                <w:sz w:val="20"/>
              </w:rPr>
              <w:t>10.45</w:t>
            </w:r>
          </w:p>
        </w:tc>
      </w:tr>
      <w:tr w:rsidR="007C5447">
        <w:trPr>
          <w:trHeight w:val="299"/>
        </w:trPr>
        <w:tc>
          <w:tcPr>
            <w:tcW w:w="463" w:type="dxa"/>
          </w:tcPr>
          <w:p w:rsidR="007C5447" w:rsidRDefault="00F6308C">
            <w:pPr>
              <w:pStyle w:val="TableParagraph"/>
              <w:spacing w:before="36"/>
              <w:ind w:left="62" w:right="95"/>
              <w:jc w:val="center"/>
              <w:rPr>
                <w:sz w:val="20"/>
              </w:rPr>
            </w:pPr>
            <w:r>
              <w:rPr>
                <w:sz w:val="20"/>
              </w:rPr>
              <w:t>12</w:t>
            </w:r>
          </w:p>
        </w:tc>
        <w:tc>
          <w:tcPr>
            <w:tcW w:w="2177" w:type="dxa"/>
          </w:tcPr>
          <w:p w:rsidR="007C5447" w:rsidRDefault="00F6308C">
            <w:pPr>
              <w:pStyle w:val="TableParagraph"/>
              <w:spacing w:before="36"/>
              <w:ind w:left="108"/>
              <w:jc w:val="left"/>
              <w:rPr>
                <w:sz w:val="20"/>
              </w:rPr>
            </w:pPr>
            <w:r>
              <w:rPr>
                <w:sz w:val="20"/>
              </w:rPr>
              <w:t>Valuthur Unit-I</w:t>
            </w:r>
          </w:p>
        </w:tc>
        <w:tc>
          <w:tcPr>
            <w:tcW w:w="1200" w:type="dxa"/>
          </w:tcPr>
          <w:p w:rsidR="007C5447" w:rsidRDefault="00F6308C">
            <w:pPr>
              <w:pStyle w:val="TableParagraph"/>
              <w:spacing w:before="36"/>
              <w:ind w:right="98"/>
              <w:rPr>
                <w:sz w:val="20"/>
              </w:rPr>
            </w:pPr>
            <w:r>
              <w:rPr>
                <w:sz w:val="20"/>
              </w:rPr>
              <w:t>93.79</w:t>
            </w:r>
          </w:p>
        </w:tc>
        <w:tc>
          <w:tcPr>
            <w:tcW w:w="1200" w:type="dxa"/>
          </w:tcPr>
          <w:p w:rsidR="007C5447" w:rsidRDefault="00F6308C">
            <w:pPr>
              <w:pStyle w:val="TableParagraph"/>
              <w:spacing w:before="36"/>
              <w:ind w:right="95"/>
              <w:rPr>
                <w:sz w:val="20"/>
              </w:rPr>
            </w:pPr>
            <w:r>
              <w:rPr>
                <w:sz w:val="20"/>
              </w:rPr>
              <w:t>107.72</w:t>
            </w:r>
          </w:p>
        </w:tc>
        <w:tc>
          <w:tcPr>
            <w:tcW w:w="1272" w:type="dxa"/>
          </w:tcPr>
          <w:p w:rsidR="007C5447" w:rsidRDefault="00F6308C">
            <w:pPr>
              <w:pStyle w:val="TableParagraph"/>
              <w:spacing w:before="36"/>
              <w:ind w:right="95"/>
              <w:rPr>
                <w:sz w:val="20"/>
              </w:rPr>
            </w:pPr>
            <w:r>
              <w:rPr>
                <w:sz w:val="20"/>
              </w:rPr>
              <w:t>110.35</w:t>
            </w:r>
          </w:p>
        </w:tc>
        <w:tc>
          <w:tcPr>
            <w:tcW w:w="1381" w:type="dxa"/>
          </w:tcPr>
          <w:p w:rsidR="007C5447" w:rsidRDefault="00F6308C">
            <w:pPr>
              <w:pStyle w:val="TableParagraph"/>
              <w:spacing w:before="36"/>
              <w:ind w:right="93"/>
              <w:rPr>
                <w:sz w:val="20"/>
              </w:rPr>
            </w:pPr>
            <w:r>
              <w:rPr>
                <w:sz w:val="20"/>
              </w:rPr>
              <w:t>108.09</w:t>
            </w:r>
          </w:p>
        </w:tc>
        <w:tc>
          <w:tcPr>
            <w:tcW w:w="1551" w:type="dxa"/>
          </w:tcPr>
          <w:p w:rsidR="007C5447" w:rsidRDefault="00F6308C">
            <w:pPr>
              <w:pStyle w:val="TableParagraph"/>
              <w:spacing w:before="36"/>
              <w:ind w:right="100"/>
              <w:rPr>
                <w:sz w:val="20"/>
              </w:rPr>
            </w:pPr>
            <w:r>
              <w:rPr>
                <w:w w:val="95"/>
                <w:sz w:val="20"/>
              </w:rPr>
              <w:t>104.67</w:t>
            </w:r>
          </w:p>
        </w:tc>
      </w:tr>
      <w:tr w:rsidR="007C5447">
        <w:trPr>
          <w:trHeight w:val="330"/>
        </w:trPr>
        <w:tc>
          <w:tcPr>
            <w:tcW w:w="463" w:type="dxa"/>
          </w:tcPr>
          <w:p w:rsidR="007C5447" w:rsidRDefault="00F6308C">
            <w:pPr>
              <w:pStyle w:val="TableParagraph"/>
              <w:spacing w:before="50"/>
              <w:ind w:left="62" w:right="95"/>
              <w:jc w:val="center"/>
              <w:rPr>
                <w:sz w:val="20"/>
              </w:rPr>
            </w:pPr>
            <w:r>
              <w:rPr>
                <w:sz w:val="20"/>
              </w:rPr>
              <w:t>13</w:t>
            </w:r>
          </w:p>
        </w:tc>
        <w:tc>
          <w:tcPr>
            <w:tcW w:w="2177" w:type="dxa"/>
          </w:tcPr>
          <w:p w:rsidR="007C5447" w:rsidRDefault="00F6308C">
            <w:pPr>
              <w:pStyle w:val="TableParagraph"/>
              <w:spacing w:before="50"/>
              <w:ind w:left="108"/>
              <w:jc w:val="left"/>
              <w:rPr>
                <w:b/>
                <w:sz w:val="20"/>
              </w:rPr>
            </w:pPr>
            <w:r>
              <w:rPr>
                <w:b/>
                <w:sz w:val="20"/>
              </w:rPr>
              <w:t>Total Gas</w:t>
            </w:r>
          </w:p>
        </w:tc>
        <w:tc>
          <w:tcPr>
            <w:tcW w:w="1200" w:type="dxa"/>
          </w:tcPr>
          <w:p w:rsidR="007C5447" w:rsidRDefault="00F6308C">
            <w:pPr>
              <w:pStyle w:val="TableParagraph"/>
              <w:spacing w:before="50"/>
              <w:ind w:right="95"/>
              <w:rPr>
                <w:b/>
                <w:sz w:val="20"/>
              </w:rPr>
            </w:pPr>
            <w:r>
              <w:rPr>
                <w:b/>
                <w:sz w:val="20"/>
              </w:rPr>
              <w:t>193.25</w:t>
            </w:r>
          </w:p>
        </w:tc>
        <w:tc>
          <w:tcPr>
            <w:tcW w:w="1200" w:type="dxa"/>
          </w:tcPr>
          <w:p w:rsidR="007C5447" w:rsidRDefault="00F6308C">
            <w:pPr>
              <w:pStyle w:val="TableParagraph"/>
              <w:spacing w:before="50"/>
              <w:ind w:right="95"/>
              <w:rPr>
                <w:b/>
                <w:sz w:val="20"/>
              </w:rPr>
            </w:pPr>
            <w:r>
              <w:rPr>
                <w:b/>
                <w:sz w:val="20"/>
              </w:rPr>
              <w:t>223.42</w:t>
            </w:r>
          </w:p>
        </w:tc>
        <w:tc>
          <w:tcPr>
            <w:tcW w:w="1272" w:type="dxa"/>
          </w:tcPr>
          <w:p w:rsidR="007C5447" w:rsidRDefault="00F6308C">
            <w:pPr>
              <w:pStyle w:val="TableParagraph"/>
              <w:spacing w:before="50"/>
              <w:ind w:right="97"/>
              <w:rPr>
                <w:b/>
                <w:sz w:val="20"/>
              </w:rPr>
            </w:pPr>
            <w:r>
              <w:rPr>
                <w:b/>
                <w:w w:val="95"/>
                <w:sz w:val="20"/>
              </w:rPr>
              <w:t>229.68</w:t>
            </w:r>
          </w:p>
        </w:tc>
        <w:tc>
          <w:tcPr>
            <w:tcW w:w="1381" w:type="dxa"/>
          </w:tcPr>
          <w:p w:rsidR="007C5447" w:rsidRDefault="00F6308C">
            <w:pPr>
              <w:pStyle w:val="TableParagraph"/>
              <w:spacing w:before="50"/>
              <w:ind w:right="95"/>
              <w:rPr>
                <w:b/>
                <w:sz w:val="20"/>
              </w:rPr>
            </w:pPr>
            <w:r>
              <w:rPr>
                <w:b/>
                <w:w w:val="95"/>
                <w:sz w:val="20"/>
              </w:rPr>
              <w:t>221.13</w:t>
            </w:r>
          </w:p>
        </w:tc>
        <w:tc>
          <w:tcPr>
            <w:tcW w:w="1551" w:type="dxa"/>
          </w:tcPr>
          <w:p w:rsidR="007C5447" w:rsidRDefault="00F6308C">
            <w:pPr>
              <w:pStyle w:val="TableParagraph"/>
              <w:spacing w:before="50"/>
              <w:ind w:right="100"/>
              <w:rPr>
                <w:b/>
                <w:sz w:val="20"/>
              </w:rPr>
            </w:pPr>
            <w:r>
              <w:rPr>
                <w:b/>
                <w:w w:val="95"/>
                <w:sz w:val="20"/>
              </w:rPr>
              <w:t>209.49</w:t>
            </w:r>
          </w:p>
        </w:tc>
      </w:tr>
      <w:tr w:rsidR="007C5447">
        <w:trPr>
          <w:trHeight w:val="760"/>
        </w:trPr>
        <w:tc>
          <w:tcPr>
            <w:tcW w:w="463" w:type="dxa"/>
          </w:tcPr>
          <w:p w:rsidR="007C5447" w:rsidRDefault="007C5447">
            <w:pPr>
              <w:pStyle w:val="TableParagraph"/>
              <w:spacing w:before="2"/>
              <w:jc w:val="left"/>
              <w:rPr>
                <w:b/>
                <w:sz w:val="23"/>
              </w:rPr>
            </w:pPr>
          </w:p>
          <w:p w:rsidR="007C5447" w:rsidRDefault="00F6308C">
            <w:pPr>
              <w:pStyle w:val="TableParagraph"/>
              <w:ind w:left="62" w:right="95"/>
              <w:jc w:val="center"/>
              <w:rPr>
                <w:sz w:val="20"/>
              </w:rPr>
            </w:pPr>
            <w:r>
              <w:rPr>
                <w:sz w:val="20"/>
              </w:rPr>
              <w:t>14</w:t>
            </w:r>
          </w:p>
        </w:tc>
        <w:tc>
          <w:tcPr>
            <w:tcW w:w="2177" w:type="dxa"/>
          </w:tcPr>
          <w:p w:rsidR="007C5447" w:rsidRDefault="00F6308C">
            <w:pPr>
              <w:pStyle w:val="TableParagraph"/>
              <w:spacing w:before="36"/>
              <w:ind w:left="108"/>
              <w:jc w:val="left"/>
              <w:rPr>
                <w:sz w:val="20"/>
              </w:rPr>
            </w:pPr>
            <w:r>
              <w:rPr>
                <w:sz w:val="20"/>
              </w:rPr>
              <w:t>Erode HEP - (incl. Bhavani Barrage and Bhavani Khattai)</w:t>
            </w:r>
          </w:p>
        </w:tc>
        <w:tc>
          <w:tcPr>
            <w:tcW w:w="1200" w:type="dxa"/>
          </w:tcPr>
          <w:p w:rsidR="007C5447" w:rsidRDefault="007C5447">
            <w:pPr>
              <w:pStyle w:val="TableParagraph"/>
              <w:spacing w:before="2"/>
              <w:jc w:val="left"/>
              <w:rPr>
                <w:b/>
                <w:sz w:val="23"/>
              </w:rPr>
            </w:pPr>
          </w:p>
          <w:p w:rsidR="007C5447" w:rsidRDefault="00F6308C">
            <w:pPr>
              <w:pStyle w:val="TableParagraph"/>
              <w:ind w:right="98"/>
              <w:rPr>
                <w:sz w:val="20"/>
              </w:rPr>
            </w:pPr>
            <w:r>
              <w:rPr>
                <w:sz w:val="20"/>
              </w:rPr>
              <w:t>75.17</w:t>
            </w:r>
          </w:p>
        </w:tc>
        <w:tc>
          <w:tcPr>
            <w:tcW w:w="1200" w:type="dxa"/>
          </w:tcPr>
          <w:p w:rsidR="007C5447" w:rsidRDefault="007C5447">
            <w:pPr>
              <w:pStyle w:val="TableParagraph"/>
              <w:spacing w:before="2"/>
              <w:jc w:val="left"/>
              <w:rPr>
                <w:b/>
                <w:sz w:val="23"/>
              </w:rPr>
            </w:pPr>
          </w:p>
          <w:p w:rsidR="007C5447" w:rsidRDefault="00F6308C">
            <w:pPr>
              <w:pStyle w:val="TableParagraph"/>
              <w:ind w:right="96"/>
              <w:rPr>
                <w:sz w:val="20"/>
              </w:rPr>
            </w:pPr>
            <w:r>
              <w:rPr>
                <w:w w:val="95"/>
                <w:sz w:val="20"/>
              </w:rPr>
              <w:t>84.98</w:t>
            </w:r>
          </w:p>
        </w:tc>
        <w:tc>
          <w:tcPr>
            <w:tcW w:w="1272" w:type="dxa"/>
          </w:tcPr>
          <w:p w:rsidR="007C5447" w:rsidRDefault="007C5447">
            <w:pPr>
              <w:pStyle w:val="TableParagraph"/>
              <w:spacing w:before="2"/>
              <w:jc w:val="left"/>
              <w:rPr>
                <w:b/>
                <w:sz w:val="23"/>
              </w:rPr>
            </w:pPr>
          </w:p>
          <w:p w:rsidR="007C5447" w:rsidRDefault="00F6308C">
            <w:pPr>
              <w:pStyle w:val="TableParagraph"/>
              <w:ind w:right="95"/>
              <w:rPr>
                <w:sz w:val="20"/>
              </w:rPr>
            </w:pPr>
            <w:r>
              <w:rPr>
                <w:sz w:val="20"/>
              </w:rPr>
              <w:t>152.52</w:t>
            </w:r>
          </w:p>
        </w:tc>
        <w:tc>
          <w:tcPr>
            <w:tcW w:w="1381" w:type="dxa"/>
          </w:tcPr>
          <w:p w:rsidR="007C5447" w:rsidRDefault="007C5447">
            <w:pPr>
              <w:pStyle w:val="TableParagraph"/>
              <w:spacing w:before="2"/>
              <w:jc w:val="left"/>
              <w:rPr>
                <w:b/>
                <w:sz w:val="23"/>
              </w:rPr>
            </w:pPr>
          </w:p>
          <w:p w:rsidR="007C5447" w:rsidRDefault="00F6308C">
            <w:pPr>
              <w:pStyle w:val="TableParagraph"/>
              <w:ind w:right="94"/>
              <w:rPr>
                <w:sz w:val="20"/>
              </w:rPr>
            </w:pPr>
            <w:r>
              <w:rPr>
                <w:w w:val="95"/>
                <w:sz w:val="20"/>
              </w:rPr>
              <w:t>221.68</w:t>
            </w:r>
          </w:p>
        </w:tc>
        <w:tc>
          <w:tcPr>
            <w:tcW w:w="1551" w:type="dxa"/>
          </w:tcPr>
          <w:p w:rsidR="007C5447" w:rsidRDefault="007C5447">
            <w:pPr>
              <w:pStyle w:val="TableParagraph"/>
              <w:spacing w:before="2"/>
              <w:jc w:val="left"/>
              <w:rPr>
                <w:b/>
                <w:sz w:val="23"/>
              </w:rPr>
            </w:pPr>
          </w:p>
          <w:p w:rsidR="007C5447" w:rsidRDefault="00F6308C">
            <w:pPr>
              <w:pStyle w:val="TableParagraph"/>
              <w:ind w:right="100"/>
              <w:rPr>
                <w:sz w:val="20"/>
              </w:rPr>
            </w:pPr>
            <w:r>
              <w:rPr>
                <w:w w:val="95"/>
                <w:sz w:val="20"/>
              </w:rPr>
              <w:t>220.30</w:t>
            </w:r>
          </w:p>
        </w:tc>
      </w:tr>
      <w:tr w:rsidR="007C5447">
        <w:trPr>
          <w:trHeight w:val="299"/>
        </w:trPr>
        <w:tc>
          <w:tcPr>
            <w:tcW w:w="463" w:type="dxa"/>
          </w:tcPr>
          <w:p w:rsidR="007C5447" w:rsidRDefault="00F6308C">
            <w:pPr>
              <w:pStyle w:val="TableParagraph"/>
              <w:spacing w:before="36"/>
              <w:ind w:left="62" w:right="95"/>
              <w:jc w:val="center"/>
              <w:rPr>
                <w:sz w:val="20"/>
              </w:rPr>
            </w:pPr>
            <w:r>
              <w:rPr>
                <w:sz w:val="20"/>
              </w:rPr>
              <w:t>15</w:t>
            </w:r>
          </w:p>
        </w:tc>
        <w:tc>
          <w:tcPr>
            <w:tcW w:w="2177" w:type="dxa"/>
          </w:tcPr>
          <w:p w:rsidR="007C5447" w:rsidRDefault="00F6308C">
            <w:pPr>
              <w:pStyle w:val="TableParagraph"/>
              <w:spacing w:before="36"/>
              <w:ind w:left="108"/>
              <w:jc w:val="left"/>
              <w:rPr>
                <w:sz w:val="20"/>
              </w:rPr>
            </w:pPr>
            <w:r>
              <w:rPr>
                <w:sz w:val="20"/>
              </w:rPr>
              <w:t>Kadamparai HEP</w:t>
            </w:r>
          </w:p>
        </w:tc>
        <w:tc>
          <w:tcPr>
            <w:tcW w:w="1200" w:type="dxa"/>
          </w:tcPr>
          <w:p w:rsidR="007C5447" w:rsidRDefault="00F6308C">
            <w:pPr>
              <w:pStyle w:val="TableParagraph"/>
              <w:spacing w:before="36"/>
              <w:ind w:right="96"/>
              <w:rPr>
                <w:sz w:val="20"/>
              </w:rPr>
            </w:pPr>
            <w:r>
              <w:rPr>
                <w:w w:val="95"/>
                <w:sz w:val="20"/>
              </w:rPr>
              <w:t>33.02</w:t>
            </w:r>
          </w:p>
        </w:tc>
        <w:tc>
          <w:tcPr>
            <w:tcW w:w="1200" w:type="dxa"/>
          </w:tcPr>
          <w:p w:rsidR="007C5447" w:rsidRDefault="00F6308C">
            <w:pPr>
              <w:pStyle w:val="TableParagraph"/>
              <w:spacing w:before="36"/>
              <w:ind w:right="97"/>
              <w:rPr>
                <w:sz w:val="20"/>
              </w:rPr>
            </w:pPr>
            <w:r>
              <w:rPr>
                <w:sz w:val="20"/>
              </w:rPr>
              <w:t>35.94</w:t>
            </w:r>
          </w:p>
        </w:tc>
        <w:tc>
          <w:tcPr>
            <w:tcW w:w="1272" w:type="dxa"/>
          </w:tcPr>
          <w:p w:rsidR="007C5447" w:rsidRDefault="00F6308C">
            <w:pPr>
              <w:pStyle w:val="TableParagraph"/>
              <w:spacing w:before="36"/>
              <w:ind w:right="96"/>
              <w:rPr>
                <w:sz w:val="20"/>
              </w:rPr>
            </w:pPr>
            <w:r>
              <w:rPr>
                <w:sz w:val="20"/>
              </w:rPr>
              <w:t>34.77</w:t>
            </w:r>
          </w:p>
        </w:tc>
        <w:tc>
          <w:tcPr>
            <w:tcW w:w="1381" w:type="dxa"/>
          </w:tcPr>
          <w:p w:rsidR="007C5447" w:rsidRDefault="00F6308C">
            <w:pPr>
              <w:pStyle w:val="TableParagraph"/>
              <w:spacing w:before="36"/>
              <w:ind w:right="96"/>
              <w:rPr>
                <w:sz w:val="20"/>
              </w:rPr>
            </w:pPr>
            <w:r>
              <w:rPr>
                <w:sz w:val="20"/>
              </w:rPr>
              <w:t>33.00</w:t>
            </w:r>
          </w:p>
        </w:tc>
        <w:tc>
          <w:tcPr>
            <w:tcW w:w="1551" w:type="dxa"/>
          </w:tcPr>
          <w:p w:rsidR="007C5447" w:rsidRDefault="00F6308C">
            <w:pPr>
              <w:pStyle w:val="TableParagraph"/>
              <w:spacing w:before="36"/>
              <w:ind w:right="100"/>
              <w:rPr>
                <w:sz w:val="20"/>
              </w:rPr>
            </w:pPr>
            <w:r>
              <w:rPr>
                <w:w w:val="95"/>
                <w:sz w:val="20"/>
              </w:rPr>
              <w:t>30.71</w:t>
            </w:r>
          </w:p>
        </w:tc>
      </w:tr>
      <w:tr w:rsidR="007C5447">
        <w:trPr>
          <w:trHeight w:val="299"/>
        </w:trPr>
        <w:tc>
          <w:tcPr>
            <w:tcW w:w="463" w:type="dxa"/>
          </w:tcPr>
          <w:p w:rsidR="007C5447" w:rsidRDefault="00F6308C">
            <w:pPr>
              <w:pStyle w:val="TableParagraph"/>
              <w:spacing w:before="36"/>
              <w:ind w:left="62" w:right="95"/>
              <w:jc w:val="center"/>
              <w:rPr>
                <w:sz w:val="20"/>
              </w:rPr>
            </w:pPr>
            <w:r>
              <w:rPr>
                <w:sz w:val="20"/>
              </w:rPr>
              <w:t>16</w:t>
            </w:r>
          </w:p>
        </w:tc>
        <w:tc>
          <w:tcPr>
            <w:tcW w:w="2177" w:type="dxa"/>
          </w:tcPr>
          <w:p w:rsidR="007C5447" w:rsidRDefault="00F6308C">
            <w:pPr>
              <w:pStyle w:val="TableParagraph"/>
              <w:spacing w:before="36"/>
              <w:ind w:left="108"/>
              <w:jc w:val="left"/>
              <w:rPr>
                <w:sz w:val="20"/>
              </w:rPr>
            </w:pPr>
            <w:r>
              <w:rPr>
                <w:sz w:val="20"/>
              </w:rPr>
              <w:t>Kundah HEP</w:t>
            </w:r>
          </w:p>
        </w:tc>
        <w:tc>
          <w:tcPr>
            <w:tcW w:w="1200" w:type="dxa"/>
          </w:tcPr>
          <w:p w:rsidR="007C5447" w:rsidRDefault="00F6308C">
            <w:pPr>
              <w:pStyle w:val="TableParagraph"/>
              <w:spacing w:before="36"/>
              <w:ind w:right="95"/>
              <w:rPr>
                <w:sz w:val="20"/>
              </w:rPr>
            </w:pPr>
            <w:r>
              <w:rPr>
                <w:sz w:val="20"/>
              </w:rPr>
              <w:t>115.69</w:t>
            </w:r>
          </w:p>
        </w:tc>
        <w:tc>
          <w:tcPr>
            <w:tcW w:w="1200" w:type="dxa"/>
          </w:tcPr>
          <w:p w:rsidR="007C5447" w:rsidRDefault="00F6308C">
            <w:pPr>
              <w:pStyle w:val="TableParagraph"/>
              <w:spacing w:before="36"/>
              <w:ind w:right="97"/>
              <w:rPr>
                <w:sz w:val="20"/>
              </w:rPr>
            </w:pPr>
            <w:r>
              <w:rPr>
                <w:w w:val="95"/>
                <w:sz w:val="20"/>
              </w:rPr>
              <w:t>126.87</w:t>
            </w:r>
          </w:p>
        </w:tc>
        <w:tc>
          <w:tcPr>
            <w:tcW w:w="1272" w:type="dxa"/>
          </w:tcPr>
          <w:p w:rsidR="007C5447" w:rsidRDefault="00F6308C">
            <w:pPr>
              <w:pStyle w:val="TableParagraph"/>
              <w:spacing w:before="36"/>
              <w:ind w:right="96"/>
              <w:rPr>
                <w:sz w:val="20"/>
              </w:rPr>
            </w:pPr>
            <w:r>
              <w:rPr>
                <w:w w:val="95"/>
                <w:sz w:val="20"/>
              </w:rPr>
              <w:t>124.07</w:t>
            </w:r>
          </w:p>
        </w:tc>
        <w:tc>
          <w:tcPr>
            <w:tcW w:w="1381" w:type="dxa"/>
          </w:tcPr>
          <w:p w:rsidR="007C5447" w:rsidRDefault="00F6308C">
            <w:pPr>
              <w:pStyle w:val="TableParagraph"/>
              <w:spacing w:before="36"/>
              <w:ind w:right="95"/>
              <w:rPr>
                <w:sz w:val="20"/>
              </w:rPr>
            </w:pPr>
            <w:r>
              <w:rPr>
                <w:w w:val="95"/>
                <w:sz w:val="20"/>
              </w:rPr>
              <w:t>119.30</w:t>
            </w:r>
          </w:p>
        </w:tc>
        <w:tc>
          <w:tcPr>
            <w:tcW w:w="1551" w:type="dxa"/>
          </w:tcPr>
          <w:p w:rsidR="007C5447" w:rsidRDefault="00F6308C">
            <w:pPr>
              <w:pStyle w:val="TableParagraph"/>
              <w:spacing w:before="36"/>
              <w:ind w:right="100"/>
              <w:rPr>
                <w:sz w:val="20"/>
              </w:rPr>
            </w:pPr>
            <w:r>
              <w:rPr>
                <w:w w:val="95"/>
                <w:sz w:val="20"/>
              </w:rPr>
              <w:t>112.91</w:t>
            </w:r>
          </w:p>
        </w:tc>
      </w:tr>
      <w:tr w:rsidR="007C5447">
        <w:trPr>
          <w:trHeight w:val="570"/>
        </w:trPr>
        <w:tc>
          <w:tcPr>
            <w:tcW w:w="463" w:type="dxa"/>
          </w:tcPr>
          <w:p w:rsidR="007C5447" w:rsidRDefault="00F6308C">
            <w:pPr>
              <w:pStyle w:val="TableParagraph"/>
              <w:spacing w:before="170"/>
              <w:ind w:left="62" w:right="95"/>
              <w:jc w:val="center"/>
              <w:rPr>
                <w:sz w:val="20"/>
              </w:rPr>
            </w:pPr>
            <w:r>
              <w:rPr>
                <w:sz w:val="20"/>
              </w:rPr>
              <w:t>17</w:t>
            </w:r>
          </w:p>
        </w:tc>
        <w:tc>
          <w:tcPr>
            <w:tcW w:w="2177" w:type="dxa"/>
          </w:tcPr>
          <w:p w:rsidR="007C5447" w:rsidRDefault="00F6308C">
            <w:pPr>
              <w:pStyle w:val="TableParagraph"/>
              <w:spacing w:before="55"/>
              <w:ind w:left="108" w:right="189"/>
              <w:jc w:val="left"/>
              <w:rPr>
                <w:sz w:val="20"/>
              </w:rPr>
            </w:pPr>
            <w:r>
              <w:rPr>
                <w:sz w:val="20"/>
              </w:rPr>
              <w:t>Tirunelveli HEP (incl - Periyar)</w:t>
            </w:r>
          </w:p>
        </w:tc>
        <w:tc>
          <w:tcPr>
            <w:tcW w:w="1200" w:type="dxa"/>
          </w:tcPr>
          <w:p w:rsidR="007C5447" w:rsidRDefault="00F6308C">
            <w:pPr>
              <w:pStyle w:val="TableParagraph"/>
              <w:spacing w:before="170"/>
              <w:ind w:right="98"/>
              <w:rPr>
                <w:sz w:val="20"/>
              </w:rPr>
            </w:pPr>
            <w:r>
              <w:rPr>
                <w:sz w:val="20"/>
              </w:rPr>
              <w:t>44.72</w:t>
            </w:r>
          </w:p>
        </w:tc>
        <w:tc>
          <w:tcPr>
            <w:tcW w:w="1200" w:type="dxa"/>
          </w:tcPr>
          <w:p w:rsidR="007C5447" w:rsidRDefault="00F6308C">
            <w:pPr>
              <w:pStyle w:val="TableParagraph"/>
              <w:spacing w:before="170"/>
              <w:ind w:right="98"/>
              <w:rPr>
                <w:sz w:val="20"/>
              </w:rPr>
            </w:pPr>
            <w:r>
              <w:rPr>
                <w:sz w:val="20"/>
              </w:rPr>
              <w:t>51.39</w:t>
            </w:r>
          </w:p>
        </w:tc>
        <w:tc>
          <w:tcPr>
            <w:tcW w:w="1272" w:type="dxa"/>
          </w:tcPr>
          <w:p w:rsidR="007C5447" w:rsidRDefault="00F6308C">
            <w:pPr>
              <w:pStyle w:val="TableParagraph"/>
              <w:spacing w:before="170"/>
              <w:ind w:right="96"/>
              <w:rPr>
                <w:sz w:val="20"/>
              </w:rPr>
            </w:pPr>
            <w:r>
              <w:rPr>
                <w:w w:val="95"/>
                <w:sz w:val="20"/>
              </w:rPr>
              <w:t>60.06</w:t>
            </w:r>
          </w:p>
        </w:tc>
        <w:tc>
          <w:tcPr>
            <w:tcW w:w="1381" w:type="dxa"/>
          </w:tcPr>
          <w:p w:rsidR="007C5447" w:rsidRDefault="00F6308C">
            <w:pPr>
              <w:pStyle w:val="TableParagraph"/>
              <w:spacing w:before="170"/>
              <w:ind w:right="96"/>
              <w:rPr>
                <w:sz w:val="20"/>
              </w:rPr>
            </w:pPr>
            <w:r>
              <w:rPr>
                <w:sz w:val="20"/>
              </w:rPr>
              <w:t>69.04</w:t>
            </w:r>
          </w:p>
        </w:tc>
        <w:tc>
          <w:tcPr>
            <w:tcW w:w="1551" w:type="dxa"/>
          </w:tcPr>
          <w:p w:rsidR="007C5447" w:rsidRDefault="00F6308C">
            <w:pPr>
              <w:pStyle w:val="TableParagraph"/>
              <w:spacing w:before="170"/>
              <w:ind w:right="101"/>
              <w:rPr>
                <w:sz w:val="20"/>
              </w:rPr>
            </w:pPr>
            <w:r>
              <w:rPr>
                <w:sz w:val="20"/>
              </w:rPr>
              <w:t>69.06</w:t>
            </w:r>
          </w:p>
        </w:tc>
      </w:tr>
      <w:tr w:rsidR="007C5447">
        <w:trPr>
          <w:trHeight w:val="331"/>
        </w:trPr>
        <w:tc>
          <w:tcPr>
            <w:tcW w:w="463" w:type="dxa"/>
          </w:tcPr>
          <w:p w:rsidR="007C5447" w:rsidRDefault="00F6308C">
            <w:pPr>
              <w:pStyle w:val="TableParagraph"/>
              <w:spacing w:before="51"/>
              <w:ind w:left="62" w:right="95"/>
              <w:jc w:val="center"/>
              <w:rPr>
                <w:sz w:val="20"/>
              </w:rPr>
            </w:pPr>
            <w:r>
              <w:rPr>
                <w:sz w:val="20"/>
              </w:rPr>
              <w:t>18</w:t>
            </w:r>
          </w:p>
        </w:tc>
        <w:tc>
          <w:tcPr>
            <w:tcW w:w="2177" w:type="dxa"/>
          </w:tcPr>
          <w:p w:rsidR="007C5447" w:rsidRDefault="00F6308C">
            <w:pPr>
              <w:pStyle w:val="TableParagraph"/>
              <w:spacing w:before="51"/>
              <w:ind w:left="108"/>
              <w:jc w:val="left"/>
              <w:rPr>
                <w:b/>
                <w:sz w:val="20"/>
              </w:rPr>
            </w:pPr>
            <w:r>
              <w:rPr>
                <w:b/>
                <w:sz w:val="20"/>
              </w:rPr>
              <w:t>Total Hydro</w:t>
            </w:r>
          </w:p>
        </w:tc>
        <w:tc>
          <w:tcPr>
            <w:tcW w:w="1200" w:type="dxa"/>
          </w:tcPr>
          <w:p w:rsidR="007C5447" w:rsidRDefault="00F6308C">
            <w:pPr>
              <w:pStyle w:val="TableParagraph"/>
              <w:spacing w:before="51"/>
              <w:ind w:right="95"/>
              <w:rPr>
                <w:b/>
                <w:sz w:val="20"/>
              </w:rPr>
            </w:pPr>
            <w:r>
              <w:rPr>
                <w:b/>
                <w:sz w:val="20"/>
              </w:rPr>
              <w:t>268.58</w:t>
            </w:r>
          </w:p>
        </w:tc>
        <w:tc>
          <w:tcPr>
            <w:tcW w:w="1200" w:type="dxa"/>
          </w:tcPr>
          <w:p w:rsidR="007C5447" w:rsidRDefault="00F6308C">
            <w:pPr>
              <w:pStyle w:val="TableParagraph"/>
              <w:spacing w:before="51"/>
              <w:ind w:right="95"/>
              <w:rPr>
                <w:b/>
                <w:sz w:val="20"/>
              </w:rPr>
            </w:pPr>
            <w:r>
              <w:rPr>
                <w:b/>
                <w:sz w:val="20"/>
              </w:rPr>
              <w:t>298.17</w:t>
            </w:r>
          </w:p>
        </w:tc>
        <w:tc>
          <w:tcPr>
            <w:tcW w:w="1272" w:type="dxa"/>
          </w:tcPr>
          <w:p w:rsidR="007C5447" w:rsidRDefault="00F6308C">
            <w:pPr>
              <w:pStyle w:val="TableParagraph"/>
              <w:spacing w:before="51"/>
              <w:ind w:right="95"/>
              <w:rPr>
                <w:b/>
                <w:sz w:val="20"/>
              </w:rPr>
            </w:pPr>
            <w:r>
              <w:rPr>
                <w:b/>
                <w:sz w:val="20"/>
              </w:rPr>
              <w:t>371.41</w:t>
            </w:r>
          </w:p>
        </w:tc>
        <w:tc>
          <w:tcPr>
            <w:tcW w:w="1381" w:type="dxa"/>
          </w:tcPr>
          <w:p w:rsidR="007C5447" w:rsidRDefault="00F6308C">
            <w:pPr>
              <w:pStyle w:val="TableParagraph"/>
              <w:spacing w:before="51"/>
              <w:ind w:right="94"/>
              <w:rPr>
                <w:b/>
                <w:sz w:val="20"/>
              </w:rPr>
            </w:pPr>
            <w:r>
              <w:rPr>
                <w:b/>
                <w:w w:val="95"/>
                <w:sz w:val="20"/>
              </w:rPr>
              <w:t>443.02</w:t>
            </w:r>
          </w:p>
        </w:tc>
        <w:tc>
          <w:tcPr>
            <w:tcW w:w="1551" w:type="dxa"/>
          </w:tcPr>
          <w:p w:rsidR="007C5447" w:rsidRDefault="00F6308C">
            <w:pPr>
              <w:pStyle w:val="TableParagraph"/>
              <w:spacing w:before="51"/>
              <w:ind w:right="100"/>
              <w:rPr>
                <w:b/>
                <w:sz w:val="20"/>
              </w:rPr>
            </w:pPr>
            <w:r>
              <w:rPr>
                <w:b/>
                <w:w w:val="95"/>
                <w:sz w:val="20"/>
              </w:rPr>
              <w:t>432.98</w:t>
            </w:r>
          </w:p>
        </w:tc>
      </w:tr>
      <w:tr w:rsidR="007C5447">
        <w:trPr>
          <w:trHeight w:val="594"/>
        </w:trPr>
        <w:tc>
          <w:tcPr>
            <w:tcW w:w="463" w:type="dxa"/>
          </w:tcPr>
          <w:p w:rsidR="007C5447" w:rsidRDefault="00F6308C">
            <w:pPr>
              <w:pStyle w:val="TableParagraph"/>
              <w:spacing w:before="182"/>
              <w:ind w:left="62" w:right="95"/>
              <w:jc w:val="center"/>
              <w:rPr>
                <w:sz w:val="20"/>
              </w:rPr>
            </w:pPr>
            <w:r>
              <w:rPr>
                <w:sz w:val="20"/>
              </w:rPr>
              <w:t>19</w:t>
            </w:r>
          </w:p>
        </w:tc>
        <w:tc>
          <w:tcPr>
            <w:tcW w:w="2177" w:type="dxa"/>
          </w:tcPr>
          <w:p w:rsidR="007C5447" w:rsidRDefault="00F6308C">
            <w:pPr>
              <w:pStyle w:val="TableParagraph"/>
              <w:spacing w:before="67"/>
              <w:ind w:left="108" w:right="189"/>
              <w:jc w:val="left"/>
              <w:rPr>
                <w:sz w:val="20"/>
              </w:rPr>
            </w:pPr>
            <w:r>
              <w:rPr>
                <w:sz w:val="20"/>
              </w:rPr>
              <w:t>Cogen Sugar Mills Under Modernisation</w:t>
            </w:r>
          </w:p>
        </w:tc>
        <w:tc>
          <w:tcPr>
            <w:tcW w:w="1200" w:type="dxa"/>
          </w:tcPr>
          <w:p w:rsidR="007C5447" w:rsidRDefault="00F6308C">
            <w:pPr>
              <w:pStyle w:val="TableParagraph"/>
              <w:spacing w:before="182"/>
              <w:ind w:right="94"/>
              <w:rPr>
                <w:sz w:val="20"/>
              </w:rPr>
            </w:pPr>
            <w:r>
              <w:rPr>
                <w:w w:val="99"/>
                <w:sz w:val="20"/>
              </w:rPr>
              <w:t>-</w:t>
            </w:r>
          </w:p>
        </w:tc>
        <w:tc>
          <w:tcPr>
            <w:tcW w:w="1200" w:type="dxa"/>
          </w:tcPr>
          <w:p w:rsidR="007C5447" w:rsidRDefault="00F6308C">
            <w:pPr>
              <w:pStyle w:val="TableParagraph"/>
              <w:spacing w:before="182"/>
              <w:ind w:right="94"/>
              <w:rPr>
                <w:sz w:val="20"/>
              </w:rPr>
            </w:pPr>
            <w:r>
              <w:rPr>
                <w:w w:val="99"/>
                <w:sz w:val="20"/>
              </w:rPr>
              <w:t>-</w:t>
            </w:r>
          </w:p>
        </w:tc>
        <w:tc>
          <w:tcPr>
            <w:tcW w:w="1272" w:type="dxa"/>
          </w:tcPr>
          <w:p w:rsidR="007C5447" w:rsidRDefault="00F6308C">
            <w:pPr>
              <w:pStyle w:val="TableParagraph"/>
              <w:spacing w:before="182"/>
              <w:ind w:right="97"/>
              <w:rPr>
                <w:sz w:val="20"/>
              </w:rPr>
            </w:pPr>
            <w:r>
              <w:rPr>
                <w:w w:val="95"/>
                <w:sz w:val="20"/>
              </w:rPr>
              <w:t>42.69</w:t>
            </w:r>
          </w:p>
        </w:tc>
        <w:tc>
          <w:tcPr>
            <w:tcW w:w="1381" w:type="dxa"/>
          </w:tcPr>
          <w:p w:rsidR="007C5447" w:rsidRDefault="00F6308C">
            <w:pPr>
              <w:pStyle w:val="TableParagraph"/>
              <w:spacing w:before="182"/>
              <w:ind w:right="95"/>
              <w:rPr>
                <w:sz w:val="20"/>
              </w:rPr>
            </w:pPr>
            <w:r>
              <w:rPr>
                <w:w w:val="95"/>
                <w:sz w:val="20"/>
              </w:rPr>
              <w:t>108.52</w:t>
            </w:r>
          </w:p>
        </w:tc>
        <w:tc>
          <w:tcPr>
            <w:tcW w:w="1551" w:type="dxa"/>
          </w:tcPr>
          <w:p w:rsidR="007C5447" w:rsidRDefault="00F6308C">
            <w:pPr>
              <w:pStyle w:val="TableParagraph"/>
              <w:spacing w:before="182"/>
              <w:ind w:right="100"/>
              <w:rPr>
                <w:sz w:val="20"/>
              </w:rPr>
            </w:pPr>
            <w:r>
              <w:rPr>
                <w:w w:val="95"/>
                <w:sz w:val="20"/>
              </w:rPr>
              <w:t>131.66</w:t>
            </w:r>
          </w:p>
        </w:tc>
      </w:tr>
      <w:tr w:rsidR="007C5447">
        <w:trPr>
          <w:trHeight w:val="330"/>
        </w:trPr>
        <w:tc>
          <w:tcPr>
            <w:tcW w:w="463" w:type="dxa"/>
          </w:tcPr>
          <w:p w:rsidR="007C5447" w:rsidRDefault="00F6308C">
            <w:pPr>
              <w:pStyle w:val="TableParagraph"/>
              <w:spacing w:before="50"/>
              <w:ind w:left="62" w:right="95"/>
              <w:jc w:val="center"/>
              <w:rPr>
                <w:b/>
                <w:sz w:val="20"/>
              </w:rPr>
            </w:pPr>
            <w:r>
              <w:rPr>
                <w:b/>
                <w:sz w:val="20"/>
              </w:rPr>
              <w:t>20</w:t>
            </w:r>
          </w:p>
        </w:tc>
        <w:tc>
          <w:tcPr>
            <w:tcW w:w="2177" w:type="dxa"/>
          </w:tcPr>
          <w:p w:rsidR="007C5447" w:rsidRDefault="00F6308C">
            <w:pPr>
              <w:pStyle w:val="TableParagraph"/>
              <w:spacing w:before="50"/>
              <w:ind w:left="108"/>
              <w:jc w:val="left"/>
              <w:rPr>
                <w:b/>
                <w:sz w:val="20"/>
              </w:rPr>
            </w:pPr>
            <w:r>
              <w:rPr>
                <w:b/>
                <w:sz w:val="20"/>
              </w:rPr>
              <w:t>Total Generation</w:t>
            </w:r>
          </w:p>
        </w:tc>
        <w:tc>
          <w:tcPr>
            <w:tcW w:w="1200" w:type="dxa"/>
          </w:tcPr>
          <w:p w:rsidR="007C5447" w:rsidRDefault="00F6308C">
            <w:pPr>
              <w:pStyle w:val="TableParagraph"/>
              <w:spacing w:before="50"/>
              <w:ind w:right="97"/>
              <w:rPr>
                <w:b/>
                <w:sz w:val="20"/>
              </w:rPr>
            </w:pPr>
            <w:r>
              <w:rPr>
                <w:b/>
                <w:w w:val="95"/>
                <w:sz w:val="20"/>
              </w:rPr>
              <w:t>850.03</w:t>
            </w:r>
          </w:p>
        </w:tc>
        <w:tc>
          <w:tcPr>
            <w:tcW w:w="1200" w:type="dxa"/>
          </w:tcPr>
          <w:p w:rsidR="007C5447" w:rsidRDefault="00F6308C">
            <w:pPr>
              <w:pStyle w:val="TableParagraph"/>
              <w:spacing w:before="50"/>
              <w:ind w:right="97"/>
              <w:rPr>
                <w:b/>
                <w:sz w:val="20"/>
              </w:rPr>
            </w:pPr>
            <w:r>
              <w:rPr>
                <w:b/>
                <w:w w:val="95"/>
                <w:sz w:val="20"/>
              </w:rPr>
              <w:t>947.38</w:t>
            </w:r>
          </w:p>
        </w:tc>
        <w:tc>
          <w:tcPr>
            <w:tcW w:w="1272" w:type="dxa"/>
          </w:tcPr>
          <w:p w:rsidR="007C5447" w:rsidRDefault="00F6308C">
            <w:pPr>
              <w:pStyle w:val="TableParagraph"/>
              <w:spacing w:before="50"/>
              <w:ind w:right="92"/>
              <w:rPr>
                <w:b/>
                <w:sz w:val="20"/>
              </w:rPr>
            </w:pPr>
            <w:r>
              <w:rPr>
                <w:b/>
                <w:sz w:val="20"/>
              </w:rPr>
              <w:t>1,467.86</w:t>
            </w:r>
          </w:p>
        </w:tc>
        <w:tc>
          <w:tcPr>
            <w:tcW w:w="1381" w:type="dxa"/>
          </w:tcPr>
          <w:p w:rsidR="007C5447" w:rsidRDefault="00F6308C">
            <w:pPr>
              <w:pStyle w:val="TableParagraph"/>
              <w:spacing w:before="50"/>
              <w:ind w:right="92"/>
              <w:rPr>
                <w:b/>
                <w:sz w:val="20"/>
              </w:rPr>
            </w:pPr>
            <w:r>
              <w:rPr>
                <w:b/>
                <w:w w:val="95"/>
                <w:sz w:val="20"/>
              </w:rPr>
              <w:t>2,217.26</w:t>
            </w:r>
          </w:p>
        </w:tc>
        <w:tc>
          <w:tcPr>
            <w:tcW w:w="1551" w:type="dxa"/>
          </w:tcPr>
          <w:p w:rsidR="007C5447" w:rsidRDefault="00F6308C">
            <w:pPr>
              <w:pStyle w:val="TableParagraph"/>
              <w:spacing w:before="50"/>
              <w:ind w:right="98"/>
              <w:rPr>
                <w:b/>
                <w:sz w:val="20"/>
              </w:rPr>
            </w:pPr>
            <w:r>
              <w:rPr>
                <w:b/>
                <w:w w:val="95"/>
                <w:sz w:val="20"/>
              </w:rPr>
              <w:t>2,381.95</w:t>
            </w:r>
          </w:p>
        </w:tc>
      </w:tr>
      <w:tr w:rsidR="007C5447">
        <w:trPr>
          <w:trHeight w:val="328"/>
        </w:trPr>
        <w:tc>
          <w:tcPr>
            <w:tcW w:w="463" w:type="dxa"/>
          </w:tcPr>
          <w:p w:rsidR="007C5447" w:rsidRDefault="00F6308C">
            <w:pPr>
              <w:pStyle w:val="TableParagraph"/>
              <w:spacing w:before="48"/>
              <w:ind w:left="62" w:right="95"/>
              <w:jc w:val="center"/>
              <w:rPr>
                <w:b/>
                <w:sz w:val="20"/>
              </w:rPr>
            </w:pPr>
            <w:r>
              <w:rPr>
                <w:b/>
                <w:sz w:val="20"/>
              </w:rPr>
              <w:t>21</w:t>
            </w:r>
          </w:p>
        </w:tc>
        <w:tc>
          <w:tcPr>
            <w:tcW w:w="2177" w:type="dxa"/>
          </w:tcPr>
          <w:p w:rsidR="007C5447" w:rsidRDefault="00F6308C">
            <w:pPr>
              <w:pStyle w:val="TableParagraph"/>
              <w:spacing w:before="84" w:line="224" w:lineRule="exact"/>
              <w:ind w:left="108"/>
              <w:jc w:val="left"/>
              <w:rPr>
                <w:b/>
                <w:sz w:val="20"/>
              </w:rPr>
            </w:pPr>
            <w:r>
              <w:rPr>
                <w:b/>
                <w:sz w:val="20"/>
              </w:rPr>
              <w:t>Total Distribution</w:t>
            </w:r>
          </w:p>
        </w:tc>
        <w:tc>
          <w:tcPr>
            <w:tcW w:w="1200" w:type="dxa"/>
          </w:tcPr>
          <w:p w:rsidR="007C5447" w:rsidRDefault="00F6308C">
            <w:pPr>
              <w:pStyle w:val="TableParagraph"/>
              <w:spacing w:before="84" w:line="224" w:lineRule="exact"/>
              <w:ind w:right="97"/>
              <w:rPr>
                <w:b/>
                <w:sz w:val="20"/>
              </w:rPr>
            </w:pPr>
            <w:r>
              <w:rPr>
                <w:b/>
                <w:w w:val="95"/>
                <w:sz w:val="20"/>
              </w:rPr>
              <w:t>718.47</w:t>
            </w:r>
          </w:p>
        </w:tc>
        <w:tc>
          <w:tcPr>
            <w:tcW w:w="1200" w:type="dxa"/>
          </w:tcPr>
          <w:p w:rsidR="007C5447" w:rsidRDefault="00F6308C">
            <w:pPr>
              <w:pStyle w:val="TableParagraph"/>
              <w:spacing w:before="84" w:line="224" w:lineRule="exact"/>
              <w:ind w:right="95"/>
              <w:rPr>
                <w:b/>
                <w:sz w:val="20"/>
              </w:rPr>
            </w:pPr>
            <w:r>
              <w:rPr>
                <w:b/>
                <w:sz w:val="20"/>
              </w:rPr>
              <w:t>877.80</w:t>
            </w:r>
          </w:p>
        </w:tc>
        <w:tc>
          <w:tcPr>
            <w:tcW w:w="1272" w:type="dxa"/>
          </w:tcPr>
          <w:p w:rsidR="007C5447" w:rsidRDefault="00F6308C">
            <w:pPr>
              <w:pStyle w:val="TableParagraph"/>
              <w:spacing w:before="84" w:line="224" w:lineRule="exact"/>
              <w:ind w:right="94"/>
              <w:rPr>
                <w:b/>
                <w:sz w:val="20"/>
              </w:rPr>
            </w:pPr>
            <w:r>
              <w:rPr>
                <w:b/>
                <w:sz w:val="20"/>
              </w:rPr>
              <w:t>1,037.16</w:t>
            </w:r>
          </w:p>
        </w:tc>
        <w:tc>
          <w:tcPr>
            <w:tcW w:w="1381" w:type="dxa"/>
          </w:tcPr>
          <w:p w:rsidR="007C5447" w:rsidRDefault="00F6308C">
            <w:pPr>
              <w:pStyle w:val="TableParagraph"/>
              <w:spacing w:before="84" w:line="224" w:lineRule="exact"/>
              <w:ind w:right="93"/>
              <w:rPr>
                <w:b/>
                <w:sz w:val="20"/>
              </w:rPr>
            </w:pPr>
            <w:r>
              <w:rPr>
                <w:b/>
                <w:w w:val="95"/>
                <w:sz w:val="20"/>
              </w:rPr>
              <w:t>1,209.47</w:t>
            </w:r>
          </w:p>
        </w:tc>
        <w:tc>
          <w:tcPr>
            <w:tcW w:w="1551" w:type="dxa"/>
          </w:tcPr>
          <w:p w:rsidR="007C5447" w:rsidRDefault="00F6308C">
            <w:pPr>
              <w:pStyle w:val="TableParagraph"/>
              <w:spacing w:before="84" w:line="224" w:lineRule="exact"/>
              <w:ind w:right="98"/>
              <w:rPr>
                <w:b/>
                <w:sz w:val="20"/>
              </w:rPr>
            </w:pPr>
            <w:r>
              <w:rPr>
                <w:b/>
                <w:sz w:val="20"/>
              </w:rPr>
              <w:t>1,391.53</w:t>
            </w:r>
          </w:p>
        </w:tc>
      </w:tr>
      <w:tr w:rsidR="007C5447">
        <w:trPr>
          <w:trHeight w:val="330"/>
        </w:trPr>
        <w:tc>
          <w:tcPr>
            <w:tcW w:w="463" w:type="dxa"/>
          </w:tcPr>
          <w:p w:rsidR="007C5447" w:rsidRDefault="00F6308C">
            <w:pPr>
              <w:pStyle w:val="TableParagraph"/>
              <w:spacing w:before="50"/>
              <w:ind w:left="62" w:right="95"/>
              <w:jc w:val="center"/>
              <w:rPr>
                <w:b/>
                <w:sz w:val="20"/>
              </w:rPr>
            </w:pPr>
            <w:r>
              <w:rPr>
                <w:b/>
                <w:sz w:val="20"/>
              </w:rPr>
              <w:t>22</w:t>
            </w:r>
          </w:p>
        </w:tc>
        <w:tc>
          <w:tcPr>
            <w:tcW w:w="2177" w:type="dxa"/>
          </w:tcPr>
          <w:p w:rsidR="007C5447" w:rsidRDefault="00F6308C">
            <w:pPr>
              <w:pStyle w:val="TableParagraph"/>
              <w:spacing w:before="86" w:line="224" w:lineRule="exact"/>
              <w:ind w:left="108"/>
              <w:jc w:val="left"/>
              <w:rPr>
                <w:b/>
                <w:sz w:val="20"/>
              </w:rPr>
            </w:pPr>
            <w:r>
              <w:rPr>
                <w:b/>
                <w:sz w:val="20"/>
              </w:rPr>
              <w:t>Total TANGEDCO</w:t>
            </w:r>
          </w:p>
        </w:tc>
        <w:tc>
          <w:tcPr>
            <w:tcW w:w="1200" w:type="dxa"/>
          </w:tcPr>
          <w:p w:rsidR="007C5447" w:rsidRDefault="00F6308C">
            <w:pPr>
              <w:pStyle w:val="TableParagraph"/>
              <w:spacing w:before="86" w:line="224" w:lineRule="exact"/>
              <w:ind w:right="93"/>
              <w:rPr>
                <w:b/>
                <w:sz w:val="20"/>
              </w:rPr>
            </w:pPr>
            <w:r>
              <w:rPr>
                <w:b/>
                <w:sz w:val="20"/>
              </w:rPr>
              <w:t>1,568.49</w:t>
            </w:r>
          </w:p>
        </w:tc>
        <w:tc>
          <w:tcPr>
            <w:tcW w:w="1200" w:type="dxa"/>
          </w:tcPr>
          <w:p w:rsidR="007C5447" w:rsidRDefault="00F6308C">
            <w:pPr>
              <w:pStyle w:val="TableParagraph"/>
              <w:spacing w:before="86" w:line="224" w:lineRule="exact"/>
              <w:ind w:right="95"/>
              <w:rPr>
                <w:b/>
                <w:sz w:val="20"/>
              </w:rPr>
            </w:pPr>
            <w:r>
              <w:rPr>
                <w:b/>
                <w:sz w:val="20"/>
              </w:rPr>
              <w:t>1,825.18</w:t>
            </w:r>
          </w:p>
        </w:tc>
        <w:tc>
          <w:tcPr>
            <w:tcW w:w="1272" w:type="dxa"/>
          </w:tcPr>
          <w:p w:rsidR="007C5447" w:rsidRDefault="00F6308C">
            <w:pPr>
              <w:pStyle w:val="TableParagraph"/>
              <w:spacing w:before="86" w:line="224" w:lineRule="exact"/>
              <w:ind w:right="94"/>
              <w:rPr>
                <w:b/>
                <w:sz w:val="20"/>
              </w:rPr>
            </w:pPr>
            <w:r>
              <w:rPr>
                <w:b/>
                <w:sz w:val="20"/>
              </w:rPr>
              <w:t>2,505.01</w:t>
            </w:r>
          </w:p>
        </w:tc>
        <w:tc>
          <w:tcPr>
            <w:tcW w:w="1381" w:type="dxa"/>
          </w:tcPr>
          <w:p w:rsidR="007C5447" w:rsidRDefault="00F6308C">
            <w:pPr>
              <w:pStyle w:val="TableParagraph"/>
              <w:spacing w:before="86" w:line="224" w:lineRule="exact"/>
              <w:ind w:right="93"/>
              <w:rPr>
                <w:b/>
                <w:sz w:val="20"/>
              </w:rPr>
            </w:pPr>
            <w:r>
              <w:rPr>
                <w:b/>
                <w:w w:val="95"/>
                <w:sz w:val="20"/>
              </w:rPr>
              <w:t>3,426.72</w:t>
            </w:r>
          </w:p>
        </w:tc>
        <w:tc>
          <w:tcPr>
            <w:tcW w:w="1551" w:type="dxa"/>
          </w:tcPr>
          <w:p w:rsidR="007C5447" w:rsidRDefault="00F6308C">
            <w:pPr>
              <w:pStyle w:val="TableParagraph"/>
              <w:spacing w:before="86" w:line="224" w:lineRule="exact"/>
              <w:ind w:right="98"/>
              <w:rPr>
                <w:b/>
                <w:sz w:val="20"/>
              </w:rPr>
            </w:pPr>
            <w:r>
              <w:rPr>
                <w:b/>
                <w:w w:val="95"/>
                <w:sz w:val="20"/>
              </w:rPr>
              <w:t>3,773.48</w:t>
            </w:r>
          </w:p>
        </w:tc>
      </w:tr>
    </w:tbl>
    <w:p w:rsidR="007C5447" w:rsidRDefault="007C5447">
      <w:pPr>
        <w:pStyle w:val="BodyText"/>
        <w:spacing w:before="9"/>
        <w:rPr>
          <w:b/>
          <w:sz w:val="20"/>
        </w:rPr>
      </w:pPr>
    </w:p>
    <w:p w:rsidR="007C5447" w:rsidRDefault="00F6308C">
      <w:pPr>
        <w:pStyle w:val="Heading2"/>
      </w:pPr>
      <w:r>
        <w:t>Other Finance Charges</w:t>
      </w:r>
    </w:p>
    <w:p w:rsidR="007C5447" w:rsidRDefault="00F6308C">
      <w:pPr>
        <w:pStyle w:val="ListParagraph"/>
        <w:numPr>
          <w:ilvl w:val="2"/>
          <w:numId w:val="92"/>
        </w:numPr>
        <w:tabs>
          <w:tab w:val="left" w:pos="1073"/>
        </w:tabs>
        <w:spacing w:before="204" w:line="312" w:lineRule="auto"/>
        <w:ind w:left="1072" w:right="299"/>
        <w:jc w:val="both"/>
        <w:rPr>
          <w:sz w:val="24"/>
        </w:rPr>
      </w:pPr>
      <w:r>
        <w:rPr>
          <w:sz w:val="24"/>
        </w:rPr>
        <w:t>Other Finance Charges comprise interest on consumers’ security deposit and other charges such as cost of raising finance, bank charges, etc., and the same have been approved based on the Audited Accounts for FY 2011-12 to FY</w:t>
      </w:r>
      <w:r>
        <w:rPr>
          <w:spacing w:val="-4"/>
          <w:sz w:val="24"/>
        </w:rPr>
        <w:t xml:space="preserve"> </w:t>
      </w:r>
      <w:r>
        <w:rPr>
          <w:sz w:val="24"/>
        </w:rPr>
        <w:t>2015-16.</w:t>
      </w:r>
    </w:p>
    <w:p w:rsidR="007C5447" w:rsidRDefault="007C5447">
      <w:pPr>
        <w:pStyle w:val="BodyText"/>
        <w:spacing w:before="9"/>
        <w:rPr>
          <w:sz w:val="20"/>
        </w:rPr>
      </w:pPr>
    </w:p>
    <w:p w:rsidR="007C5447" w:rsidRDefault="00F6308C">
      <w:pPr>
        <w:pStyle w:val="ListParagraph"/>
        <w:numPr>
          <w:ilvl w:val="2"/>
          <w:numId w:val="92"/>
        </w:numPr>
        <w:tabs>
          <w:tab w:val="left" w:pos="1073"/>
        </w:tabs>
        <w:spacing w:line="312" w:lineRule="auto"/>
        <w:ind w:left="1072" w:right="301"/>
        <w:jc w:val="both"/>
        <w:rPr>
          <w:sz w:val="24"/>
        </w:rPr>
      </w:pPr>
      <w:r>
        <w:rPr>
          <w:sz w:val="24"/>
        </w:rPr>
        <w:t>The interest on consu</w:t>
      </w:r>
      <w:r>
        <w:rPr>
          <w:sz w:val="24"/>
        </w:rPr>
        <w:t>mer security deposit approved by the Commission is shown in the Table</w:t>
      </w:r>
      <w:r>
        <w:rPr>
          <w:spacing w:val="-1"/>
          <w:sz w:val="24"/>
        </w:rPr>
        <w:t xml:space="preserve"> </w:t>
      </w:r>
      <w:r>
        <w:rPr>
          <w:sz w:val="24"/>
        </w:rPr>
        <w:t>below:</w:t>
      </w:r>
    </w:p>
    <w:p w:rsidR="007C5447" w:rsidRDefault="007C5447">
      <w:pPr>
        <w:spacing w:line="312" w:lineRule="auto"/>
        <w:jc w:val="both"/>
        <w:rPr>
          <w:sz w:val="24"/>
        </w:rPr>
        <w:sectPr w:rsidR="007C5447">
          <w:footerReference w:type="default" r:id="rId19"/>
          <w:pgSz w:w="11910" w:h="16840"/>
          <w:pgMar w:top="1480" w:right="1140" w:bottom="1240" w:left="1220" w:header="0" w:footer="1057" w:gutter="0"/>
          <w:pgNumType w:start="108"/>
          <w:cols w:space="720"/>
        </w:sectPr>
      </w:pPr>
    </w:p>
    <w:p w:rsidR="007C5447" w:rsidRDefault="00F6308C">
      <w:pPr>
        <w:spacing w:before="62" w:line="312" w:lineRule="auto"/>
        <w:ind w:left="230" w:right="305"/>
        <w:jc w:val="center"/>
        <w:rPr>
          <w:b/>
        </w:rPr>
      </w:pPr>
      <w:r>
        <w:rPr>
          <w:b/>
        </w:rPr>
        <w:lastRenderedPageBreak/>
        <w:t>Table 3-22: Interest on Consumer Security Deposit approved by the Commission after true-up for FY 2011-12 to FY 2015-16 (Rs. Crore)</w:t>
      </w:r>
    </w:p>
    <w:p w:rsidR="007C5447" w:rsidRDefault="007C5447">
      <w:pPr>
        <w:pStyle w:val="BodyText"/>
        <w:spacing w:before="4" w:after="1"/>
        <w:rPr>
          <w:b/>
          <w:sz w:val="10"/>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4"/>
        <w:gridCol w:w="2395"/>
        <w:gridCol w:w="1276"/>
        <w:gridCol w:w="1276"/>
        <w:gridCol w:w="1273"/>
        <w:gridCol w:w="1276"/>
        <w:gridCol w:w="1273"/>
      </w:tblGrid>
      <w:tr w:rsidR="007C5447">
        <w:trPr>
          <w:trHeight w:val="297"/>
        </w:trPr>
        <w:tc>
          <w:tcPr>
            <w:tcW w:w="434" w:type="dxa"/>
            <w:shd w:val="clear" w:color="auto" w:fill="FBD4B4"/>
          </w:tcPr>
          <w:p w:rsidR="007C5447" w:rsidRDefault="00F6308C">
            <w:pPr>
              <w:pStyle w:val="TableParagraph"/>
              <w:spacing w:before="34"/>
              <w:ind w:left="86" w:right="80"/>
              <w:jc w:val="center"/>
              <w:rPr>
                <w:b/>
                <w:sz w:val="20"/>
              </w:rPr>
            </w:pPr>
            <w:r>
              <w:rPr>
                <w:b/>
                <w:sz w:val="20"/>
              </w:rPr>
              <w:t>Sl.</w:t>
            </w:r>
          </w:p>
        </w:tc>
        <w:tc>
          <w:tcPr>
            <w:tcW w:w="2395" w:type="dxa"/>
            <w:shd w:val="clear" w:color="auto" w:fill="FBD4B4"/>
          </w:tcPr>
          <w:p w:rsidR="007C5447" w:rsidRDefault="00F6308C">
            <w:pPr>
              <w:pStyle w:val="TableParagraph"/>
              <w:spacing w:before="34"/>
              <w:ind w:left="717"/>
              <w:jc w:val="left"/>
              <w:rPr>
                <w:b/>
                <w:sz w:val="20"/>
              </w:rPr>
            </w:pPr>
            <w:r>
              <w:rPr>
                <w:b/>
                <w:sz w:val="20"/>
              </w:rPr>
              <w:t>Particulars</w:t>
            </w:r>
          </w:p>
        </w:tc>
        <w:tc>
          <w:tcPr>
            <w:tcW w:w="1276" w:type="dxa"/>
            <w:shd w:val="clear" w:color="auto" w:fill="FBD4B4"/>
          </w:tcPr>
          <w:p w:rsidR="007C5447" w:rsidRDefault="00F6308C">
            <w:pPr>
              <w:pStyle w:val="TableParagraph"/>
              <w:spacing w:before="34"/>
              <w:ind w:right="130"/>
              <w:rPr>
                <w:b/>
                <w:sz w:val="20"/>
              </w:rPr>
            </w:pPr>
            <w:r>
              <w:rPr>
                <w:b/>
                <w:sz w:val="20"/>
              </w:rPr>
              <w:t>FY 2011-12</w:t>
            </w:r>
          </w:p>
        </w:tc>
        <w:tc>
          <w:tcPr>
            <w:tcW w:w="1276" w:type="dxa"/>
            <w:shd w:val="clear" w:color="auto" w:fill="FBD4B4"/>
          </w:tcPr>
          <w:p w:rsidR="007C5447" w:rsidRDefault="00F6308C">
            <w:pPr>
              <w:pStyle w:val="TableParagraph"/>
              <w:spacing w:before="34"/>
              <w:ind w:right="129"/>
              <w:rPr>
                <w:b/>
                <w:sz w:val="20"/>
              </w:rPr>
            </w:pPr>
            <w:r>
              <w:rPr>
                <w:b/>
                <w:sz w:val="20"/>
              </w:rPr>
              <w:t>FY 2012-13</w:t>
            </w:r>
          </w:p>
        </w:tc>
        <w:tc>
          <w:tcPr>
            <w:tcW w:w="1273" w:type="dxa"/>
            <w:shd w:val="clear" w:color="auto" w:fill="FBD4B4"/>
          </w:tcPr>
          <w:p w:rsidR="007C5447" w:rsidRDefault="00F6308C">
            <w:pPr>
              <w:pStyle w:val="TableParagraph"/>
              <w:spacing w:before="34"/>
              <w:ind w:right="125"/>
              <w:rPr>
                <w:b/>
                <w:sz w:val="20"/>
              </w:rPr>
            </w:pPr>
            <w:r>
              <w:rPr>
                <w:b/>
                <w:sz w:val="20"/>
              </w:rPr>
              <w:t>FY 2013-14</w:t>
            </w:r>
          </w:p>
        </w:tc>
        <w:tc>
          <w:tcPr>
            <w:tcW w:w="1276" w:type="dxa"/>
            <w:shd w:val="clear" w:color="auto" w:fill="FBD4B4"/>
          </w:tcPr>
          <w:p w:rsidR="007C5447" w:rsidRDefault="00F6308C">
            <w:pPr>
              <w:pStyle w:val="TableParagraph"/>
              <w:spacing w:before="34"/>
              <w:ind w:right="128"/>
              <w:rPr>
                <w:b/>
                <w:sz w:val="20"/>
              </w:rPr>
            </w:pPr>
            <w:r>
              <w:rPr>
                <w:b/>
                <w:sz w:val="20"/>
              </w:rPr>
              <w:t>FY 2014-15</w:t>
            </w:r>
          </w:p>
        </w:tc>
        <w:tc>
          <w:tcPr>
            <w:tcW w:w="1273" w:type="dxa"/>
            <w:shd w:val="clear" w:color="auto" w:fill="FBD4B4"/>
          </w:tcPr>
          <w:p w:rsidR="007C5447" w:rsidRDefault="00F6308C">
            <w:pPr>
              <w:pStyle w:val="TableParagraph"/>
              <w:spacing w:before="34"/>
              <w:ind w:right="124"/>
              <w:rPr>
                <w:b/>
                <w:sz w:val="20"/>
              </w:rPr>
            </w:pPr>
            <w:r>
              <w:rPr>
                <w:b/>
                <w:sz w:val="20"/>
              </w:rPr>
              <w:t>FY 2015-16</w:t>
            </w:r>
          </w:p>
        </w:tc>
      </w:tr>
      <w:tr w:rsidR="007C5447">
        <w:trPr>
          <w:trHeight w:val="299"/>
        </w:trPr>
        <w:tc>
          <w:tcPr>
            <w:tcW w:w="434" w:type="dxa"/>
          </w:tcPr>
          <w:p w:rsidR="007C5447" w:rsidRDefault="00F6308C">
            <w:pPr>
              <w:pStyle w:val="TableParagraph"/>
              <w:spacing w:before="17"/>
              <w:ind w:right="106"/>
              <w:jc w:val="center"/>
              <w:rPr>
                <w:sz w:val="20"/>
              </w:rPr>
            </w:pPr>
            <w:r>
              <w:rPr>
                <w:w w:val="99"/>
                <w:sz w:val="20"/>
              </w:rPr>
              <w:t>1</w:t>
            </w:r>
          </w:p>
        </w:tc>
        <w:tc>
          <w:tcPr>
            <w:tcW w:w="2395" w:type="dxa"/>
          </w:tcPr>
          <w:p w:rsidR="007C5447" w:rsidRDefault="00F6308C">
            <w:pPr>
              <w:pStyle w:val="TableParagraph"/>
              <w:spacing w:before="17"/>
              <w:ind w:left="105"/>
              <w:jc w:val="left"/>
              <w:rPr>
                <w:sz w:val="20"/>
              </w:rPr>
            </w:pPr>
            <w:r>
              <w:rPr>
                <w:sz w:val="20"/>
              </w:rPr>
              <w:t>Opening Security Deposit</w:t>
            </w:r>
          </w:p>
        </w:tc>
        <w:tc>
          <w:tcPr>
            <w:tcW w:w="1276" w:type="dxa"/>
          </w:tcPr>
          <w:p w:rsidR="007C5447" w:rsidRDefault="00F6308C">
            <w:pPr>
              <w:pStyle w:val="TableParagraph"/>
              <w:spacing w:before="36"/>
              <w:ind w:right="94"/>
              <w:rPr>
                <w:sz w:val="20"/>
              </w:rPr>
            </w:pPr>
            <w:r>
              <w:rPr>
                <w:w w:val="95"/>
                <w:sz w:val="20"/>
              </w:rPr>
              <w:t>4,893.81</w:t>
            </w:r>
          </w:p>
        </w:tc>
        <w:tc>
          <w:tcPr>
            <w:tcW w:w="1276" w:type="dxa"/>
          </w:tcPr>
          <w:p w:rsidR="007C5447" w:rsidRDefault="00F6308C">
            <w:pPr>
              <w:pStyle w:val="TableParagraph"/>
              <w:spacing w:before="36"/>
              <w:ind w:right="93"/>
              <w:rPr>
                <w:sz w:val="20"/>
              </w:rPr>
            </w:pPr>
            <w:r>
              <w:rPr>
                <w:w w:val="95"/>
                <w:sz w:val="20"/>
              </w:rPr>
              <w:t>5,443.84</w:t>
            </w:r>
          </w:p>
        </w:tc>
        <w:tc>
          <w:tcPr>
            <w:tcW w:w="1273" w:type="dxa"/>
          </w:tcPr>
          <w:p w:rsidR="007C5447" w:rsidRDefault="00F6308C">
            <w:pPr>
              <w:pStyle w:val="TableParagraph"/>
              <w:spacing w:before="36"/>
              <w:ind w:right="89"/>
              <w:rPr>
                <w:sz w:val="20"/>
              </w:rPr>
            </w:pPr>
            <w:r>
              <w:rPr>
                <w:w w:val="95"/>
                <w:sz w:val="20"/>
              </w:rPr>
              <w:t>5,906.77</w:t>
            </w:r>
          </w:p>
        </w:tc>
        <w:tc>
          <w:tcPr>
            <w:tcW w:w="1276" w:type="dxa"/>
          </w:tcPr>
          <w:p w:rsidR="007C5447" w:rsidRDefault="00F6308C">
            <w:pPr>
              <w:pStyle w:val="TableParagraph"/>
              <w:spacing w:before="36"/>
              <w:ind w:right="93"/>
              <w:rPr>
                <w:sz w:val="20"/>
              </w:rPr>
            </w:pPr>
            <w:r>
              <w:rPr>
                <w:w w:val="95"/>
                <w:sz w:val="20"/>
              </w:rPr>
              <w:t>6,651.71</w:t>
            </w:r>
          </w:p>
        </w:tc>
        <w:tc>
          <w:tcPr>
            <w:tcW w:w="1273" w:type="dxa"/>
          </w:tcPr>
          <w:p w:rsidR="007C5447" w:rsidRDefault="00F6308C">
            <w:pPr>
              <w:pStyle w:val="TableParagraph"/>
              <w:spacing w:before="36"/>
              <w:ind w:right="88"/>
              <w:rPr>
                <w:sz w:val="20"/>
              </w:rPr>
            </w:pPr>
            <w:r>
              <w:rPr>
                <w:w w:val="95"/>
                <w:sz w:val="20"/>
              </w:rPr>
              <w:t>7,815.39</w:t>
            </w:r>
          </w:p>
        </w:tc>
      </w:tr>
      <w:tr w:rsidR="007C5447">
        <w:trPr>
          <w:trHeight w:val="297"/>
        </w:trPr>
        <w:tc>
          <w:tcPr>
            <w:tcW w:w="434" w:type="dxa"/>
          </w:tcPr>
          <w:p w:rsidR="007C5447" w:rsidRDefault="00F6308C">
            <w:pPr>
              <w:pStyle w:val="TableParagraph"/>
              <w:spacing w:before="14"/>
              <w:ind w:right="106"/>
              <w:jc w:val="center"/>
              <w:rPr>
                <w:sz w:val="20"/>
              </w:rPr>
            </w:pPr>
            <w:r>
              <w:rPr>
                <w:w w:val="99"/>
                <w:sz w:val="20"/>
              </w:rPr>
              <w:t>2</w:t>
            </w:r>
          </w:p>
        </w:tc>
        <w:tc>
          <w:tcPr>
            <w:tcW w:w="2395" w:type="dxa"/>
          </w:tcPr>
          <w:p w:rsidR="007C5447" w:rsidRDefault="00F6308C">
            <w:pPr>
              <w:pStyle w:val="TableParagraph"/>
              <w:spacing w:before="14"/>
              <w:ind w:left="105"/>
              <w:jc w:val="left"/>
              <w:rPr>
                <w:sz w:val="20"/>
              </w:rPr>
            </w:pPr>
            <w:r>
              <w:rPr>
                <w:sz w:val="20"/>
              </w:rPr>
              <w:t>Closing Security deposit</w:t>
            </w:r>
          </w:p>
        </w:tc>
        <w:tc>
          <w:tcPr>
            <w:tcW w:w="1276" w:type="dxa"/>
          </w:tcPr>
          <w:p w:rsidR="007C5447" w:rsidRDefault="00F6308C">
            <w:pPr>
              <w:pStyle w:val="TableParagraph"/>
              <w:spacing w:before="34"/>
              <w:ind w:right="94"/>
              <w:rPr>
                <w:sz w:val="20"/>
              </w:rPr>
            </w:pPr>
            <w:r>
              <w:rPr>
                <w:w w:val="95"/>
                <w:sz w:val="20"/>
              </w:rPr>
              <w:t>5,443.83</w:t>
            </w:r>
          </w:p>
        </w:tc>
        <w:tc>
          <w:tcPr>
            <w:tcW w:w="1276" w:type="dxa"/>
          </w:tcPr>
          <w:p w:rsidR="007C5447" w:rsidRDefault="00F6308C">
            <w:pPr>
              <w:pStyle w:val="TableParagraph"/>
              <w:spacing w:before="34"/>
              <w:ind w:right="93"/>
              <w:rPr>
                <w:sz w:val="20"/>
              </w:rPr>
            </w:pPr>
            <w:r>
              <w:rPr>
                <w:w w:val="95"/>
                <w:sz w:val="20"/>
              </w:rPr>
              <w:t>5,906.77</w:t>
            </w:r>
          </w:p>
        </w:tc>
        <w:tc>
          <w:tcPr>
            <w:tcW w:w="1273" w:type="dxa"/>
          </w:tcPr>
          <w:p w:rsidR="007C5447" w:rsidRDefault="00F6308C">
            <w:pPr>
              <w:pStyle w:val="TableParagraph"/>
              <w:spacing w:before="34"/>
              <w:ind w:right="89"/>
              <w:rPr>
                <w:sz w:val="20"/>
              </w:rPr>
            </w:pPr>
            <w:r>
              <w:rPr>
                <w:w w:val="95"/>
                <w:sz w:val="20"/>
              </w:rPr>
              <w:t>6,651.72</w:t>
            </w:r>
          </w:p>
        </w:tc>
        <w:tc>
          <w:tcPr>
            <w:tcW w:w="1276" w:type="dxa"/>
          </w:tcPr>
          <w:p w:rsidR="007C5447" w:rsidRDefault="00F6308C">
            <w:pPr>
              <w:pStyle w:val="TableParagraph"/>
              <w:spacing w:before="34"/>
              <w:ind w:right="93"/>
              <w:rPr>
                <w:sz w:val="20"/>
              </w:rPr>
            </w:pPr>
            <w:r>
              <w:rPr>
                <w:w w:val="95"/>
                <w:sz w:val="20"/>
              </w:rPr>
              <w:t>7,815.39</w:t>
            </w:r>
          </w:p>
        </w:tc>
        <w:tc>
          <w:tcPr>
            <w:tcW w:w="1273" w:type="dxa"/>
          </w:tcPr>
          <w:p w:rsidR="007C5447" w:rsidRDefault="00F6308C">
            <w:pPr>
              <w:pStyle w:val="TableParagraph"/>
              <w:spacing w:before="34"/>
              <w:ind w:right="88"/>
              <w:rPr>
                <w:sz w:val="20"/>
              </w:rPr>
            </w:pPr>
            <w:r>
              <w:rPr>
                <w:w w:val="95"/>
                <w:sz w:val="20"/>
              </w:rPr>
              <w:t>7,940.29</w:t>
            </w:r>
          </w:p>
        </w:tc>
      </w:tr>
      <w:tr w:rsidR="007C5447">
        <w:trPr>
          <w:trHeight w:val="297"/>
        </w:trPr>
        <w:tc>
          <w:tcPr>
            <w:tcW w:w="434" w:type="dxa"/>
          </w:tcPr>
          <w:p w:rsidR="007C5447" w:rsidRDefault="00F6308C">
            <w:pPr>
              <w:pStyle w:val="TableParagraph"/>
              <w:spacing w:before="14"/>
              <w:ind w:right="106"/>
              <w:jc w:val="center"/>
              <w:rPr>
                <w:sz w:val="20"/>
              </w:rPr>
            </w:pPr>
            <w:r>
              <w:rPr>
                <w:w w:val="99"/>
                <w:sz w:val="20"/>
              </w:rPr>
              <w:t>3</w:t>
            </w:r>
          </w:p>
        </w:tc>
        <w:tc>
          <w:tcPr>
            <w:tcW w:w="2395" w:type="dxa"/>
          </w:tcPr>
          <w:p w:rsidR="007C5447" w:rsidRDefault="00F6308C">
            <w:pPr>
              <w:pStyle w:val="TableParagraph"/>
              <w:spacing w:before="14"/>
              <w:ind w:left="105"/>
              <w:jc w:val="left"/>
              <w:rPr>
                <w:sz w:val="20"/>
              </w:rPr>
            </w:pPr>
            <w:r>
              <w:rPr>
                <w:sz w:val="20"/>
              </w:rPr>
              <w:t>Average Deposit</w:t>
            </w:r>
          </w:p>
        </w:tc>
        <w:tc>
          <w:tcPr>
            <w:tcW w:w="1276" w:type="dxa"/>
          </w:tcPr>
          <w:p w:rsidR="007C5447" w:rsidRDefault="00F6308C">
            <w:pPr>
              <w:pStyle w:val="TableParagraph"/>
              <w:spacing w:before="34"/>
              <w:ind w:right="94"/>
              <w:rPr>
                <w:sz w:val="20"/>
              </w:rPr>
            </w:pPr>
            <w:r>
              <w:rPr>
                <w:w w:val="95"/>
                <w:sz w:val="20"/>
              </w:rPr>
              <w:t>5,168.82</w:t>
            </w:r>
          </w:p>
        </w:tc>
        <w:tc>
          <w:tcPr>
            <w:tcW w:w="1276" w:type="dxa"/>
          </w:tcPr>
          <w:p w:rsidR="007C5447" w:rsidRDefault="00F6308C">
            <w:pPr>
              <w:pStyle w:val="TableParagraph"/>
              <w:spacing w:before="34"/>
              <w:ind w:right="93"/>
              <w:rPr>
                <w:sz w:val="20"/>
              </w:rPr>
            </w:pPr>
            <w:r>
              <w:rPr>
                <w:w w:val="95"/>
                <w:sz w:val="20"/>
              </w:rPr>
              <w:t>5,675.30</w:t>
            </w:r>
          </w:p>
        </w:tc>
        <w:tc>
          <w:tcPr>
            <w:tcW w:w="1273" w:type="dxa"/>
          </w:tcPr>
          <w:p w:rsidR="007C5447" w:rsidRDefault="00F6308C">
            <w:pPr>
              <w:pStyle w:val="TableParagraph"/>
              <w:spacing w:before="34"/>
              <w:ind w:right="89"/>
              <w:rPr>
                <w:sz w:val="20"/>
              </w:rPr>
            </w:pPr>
            <w:r>
              <w:rPr>
                <w:w w:val="95"/>
                <w:sz w:val="20"/>
              </w:rPr>
              <w:t>6,279.24</w:t>
            </w:r>
          </w:p>
        </w:tc>
        <w:tc>
          <w:tcPr>
            <w:tcW w:w="1276" w:type="dxa"/>
          </w:tcPr>
          <w:p w:rsidR="007C5447" w:rsidRDefault="00F6308C">
            <w:pPr>
              <w:pStyle w:val="TableParagraph"/>
              <w:spacing w:before="34"/>
              <w:ind w:right="93"/>
              <w:rPr>
                <w:sz w:val="20"/>
              </w:rPr>
            </w:pPr>
            <w:r>
              <w:rPr>
                <w:w w:val="95"/>
                <w:sz w:val="20"/>
              </w:rPr>
              <w:t>7,233.55</w:t>
            </w:r>
          </w:p>
        </w:tc>
        <w:tc>
          <w:tcPr>
            <w:tcW w:w="1273" w:type="dxa"/>
          </w:tcPr>
          <w:p w:rsidR="007C5447" w:rsidRDefault="00F6308C">
            <w:pPr>
              <w:pStyle w:val="TableParagraph"/>
              <w:spacing w:before="34"/>
              <w:ind w:right="88"/>
              <w:rPr>
                <w:sz w:val="20"/>
              </w:rPr>
            </w:pPr>
            <w:r>
              <w:rPr>
                <w:w w:val="95"/>
                <w:sz w:val="20"/>
              </w:rPr>
              <w:t>7,877.84</w:t>
            </w:r>
          </w:p>
        </w:tc>
      </w:tr>
      <w:tr w:rsidR="007C5447">
        <w:trPr>
          <w:trHeight w:val="491"/>
        </w:trPr>
        <w:tc>
          <w:tcPr>
            <w:tcW w:w="434" w:type="dxa"/>
          </w:tcPr>
          <w:p w:rsidR="007C5447" w:rsidRDefault="00F6308C">
            <w:pPr>
              <w:pStyle w:val="TableParagraph"/>
              <w:spacing w:before="17"/>
              <w:ind w:right="106"/>
              <w:jc w:val="center"/>
              <w:rPr>
                <w:b/>
                <w:sz w:val="20"/>
              </w:rPr>
            </w:pPr>
            <w:r>
              <w:rPr>
                <w:b/>
                <w:w w:val="99"/>
                <w:sz w:val="20"/>
              </w:rPr>
              <w:t>4</w:t>
            </w:r>
          </w:p>
        </w:tc>
        <w:tc>
          <w:tcPr>
            <w:tcW w:w="2395" w:type="dxa"/>
          </w:tcPr>
          <w:p w:rsidR="007C5447" w:rsidRDefault="00F6308C">
            <w:pPr>
              <w:pStyle w:val="TableParagraph"/>
              <w:spacing w:before="21" w:line="228" w:lineRule="exact"/>
              <w:ind w:left="105"/>
              <w:jc w:val="left"/>
              <w:rPr>
                <w:b/>
                <w:sz w:val="20"/>
              </w:rPr>
            </w:pPr>
            <w:r>
              <w:rPr>
                <w:b/>
                <w:sz w:val="20"/>
              </w:rPr>
              <w:t>Interest on Security Deposit</w:t>
            </w:r>
          </w:p>
        </w:tc>
        <w:tc>
          <w:tcPr>
            <w:tcW w:w="1276" w:type="dxa"/>
          </w:tcPr>
          <w:p w:rsidR="007C5447" w:rsidRDefault="00F6308C">
            <w:pPr>
              <w:pStyle w:val="TableParagraph"/>
              <w:spacing w:before="132"/>
              <w:ind w:right="96"/>
              <w:rPr>
                <w:b/>
                <w:sz w:val="20"/>
              </w:rPr>
            </w:pPr>
            <w:r>
              <w:rPr>
                <w:b/>
                <w:w w:val="95"/>
                <w:sz w:val="20"/>
              </w:rPr>
              <w:t>310.13</w:t>
            </w:r>
          </w:p>
        </w:tc>
        <w:tc>
          <w:tcPr>
            <w:tcW w:w="1276" w:type="dxa"/>
          </w:tcPr>
          <w:p w:rsidR="007C5447" w:rsidRDefault="00F6308C">
            <w:pPr>
              <w:pStyle w:val="TableParagraph"/>
              <w:spacing w:before="132"/>
              <w:ind w:right="95"/>
              <w:rPr>
                <w:b/>
                <w:sz w:val="20"/>
              </w:rPr>
            </w:pPr>
            <w:r>
              <w:rPr>
                <w:b/>
                <w:w w:val="95"/>
                <w:sz w:val="20"/>
              </w:rPr>
              <w:t>493.12</w:t>
            </w:r>
          </w:p>
        </w:tc>
        <w:tc>
          <w:tcPr>
            <w:tcW w:w="1273" w:type="dxa"/>
          </w:tcPr>
          <w:p w:rsidR="007C5447" w:rsidRDefault="00F6308C">
            <w:pPr>
              <w:pStyle w:val="TableParagraph"/>
              <w:spacing w:before="132"/>
              <w:ind w:right="91"/>
              <w:rPr>
                <w:b/>
                <w:sz w:val="20"/>
              </w:rPr>
            </w:pPr>
            <w:r>
              <w:rPr>
                <w:b/>
                <w:w w:val="95"/>
                <w:sz w:val="20"/>
              </w:rPr>
              <w:t>565.13</w:t>
            </w:r>
          </w:p>
        </w:tc>
        <w:tc>
          <w:tcPr>
            <w:tcW w:w="1276" w:type="dxa"/>
          </w:tcPr>
          <w:p w:rsidR="007C5447" w:rsidRDefault="00F6308C">
            <w:pPr>
              <w:pStyle w:val="TableParagraph"/>
              <w:spacing w:before="132"/>
              <w:ind w:right="95"/>
              <w:rPr>
                <w:b/>
                <w:sz w:val="20"/>
              </w:rPr>
            </w:pPr>
            <w:r>
              <w:rPr>
                <w:b/>
                <w:w w:val="95"/>
                <w:sz w:val="20"/>
              </w:rPr>
              <w:t>625.59</w:t>
            </w:r>
          </w:p>
        </w:tc>
        <w:tc>
          <w:tcPr>
            <w:tcW w:w="1273" w:type="dxa"/>
          </w:tcPr>
          <w:p w:rsidR="007C5447" w:rsidRDefault="00F6308C">
            <w:pPr>
              <w:pStyle w:val="TableParagraph"/>
              <w:spacing w:before="132"/>
              <w:ind w:right="90"/>
              <w:rPr>
                <w:b/>
                <w:sz w:val="20"/>
              </w:rPr>
            </w:pPr>
            <w:r>
              <w:rPr>
                <w:b/>
                <w:w w:val="95"/>
                <w:sz w:val="20"/>
              </w:rPr>
              <w:t>491.94</w:t>
            </w:r>
          </w:p>
        </w:tc>
      </w:tr>
    </w:tbl>
    <w:p w:rsidR="007C5447" w:rsidRDefault="00F6308C">
      <w:pPr>
        <w:pStyle w:val="ListParagraph"/>
        <w:numPr>
          <w:ilvl w:val="2"/>
          <w:numId w:val="92"/>
        </w:numPr>
        <w:tabs>
          <w:tab w:val="left" w:pos="1073"/>
        </w:tabs>
        <w:spacing w:before="119" w:line="312" w:lineRule="auto"/>
        <w:ind w:left="1072" w:right="296"/>
        <w:jc w:val="both"/>
        <w:rPr>
          <w:sz w:val="24"/>
        </w:rPr>
      </w:pPr>
      <w:r>
        <w:rPr>
          <w:sz w:val="24"/>
        </w:rPr>
        <w:t>The Commission has approved Other Finance Charges such as cost of raising finance, bank charges, etc., as shown in the Audited Accounts for FY 2011-12 to FY 2015-16. In accordance with the approach adopted in the Suo-Motu Order dated December 11, 2014, oth</w:t>
      </w:r>
      <w:r>
        <w:rPr>
          <w:sz w:val="24"/>
        </w:rPr>
        <w:t>er interest as shown in Schedule 12 of the Audited Accounts has not been allowed while approving the Other Finance</w:t>
      </w:r>
      <w:r>
        <w:rPr>
          <w:spacing w:val="-5"/>
          <w:sz w:val="24"/>
        </w:rPr>
        <w:t xml:space="preserve"> </w:t>
      </w:r>
      <w:r>
        <w:rPr>
          <w:sz w:val="24"/>
        </w:rPr>
        <w:t>Charges.</w:t>
      </w:r>
    </w:p>
    <w:p w:rsidR="007C5447" w:rsidRDefault="007C5447">
      <w:pPr>
        <w:pStyle w:val="BodyText"/>
        <w:rPr>
          <w:sz w:val="21"/>
        </w:rPr>
      </w:pPr>
    </w:p>
    <w:p w:rsidR="007C5447" w:rsidRDefault="00F6308C">
      <w:pPr>
        <w:spacing w:line="312" w:lineRule="auto"/>
        <w:ind w:left="230" w:right="308"/>
        <w:jc w:val="center"/>
        <w:rPr>
          <w:b/>
        </w:rPr>
      </w:pPr>
      <w:r>
        <w:rPr>
          <w:b/>
          <w:sz w:val="20"/>
        </w:rPr>
        <w:t xml:space="preserve">Table 3-23: </w:t>
      </w:r>
      <w:r>
        <w:rPr>
          <w:b/>
        </w:rPr>
        <w:t>Other Finance Charges approved by the Commission after true-up for FY 2011-12 to FY 2015-16 (Rs. Crore)</w:t>
      </w:r>
    </w:p>
    <w:p w:rsidR="007C5447" w:rsidRDefault="007C5447">
      <w:pPr>
        <w:pStyle w:val="BodyText"/>
        <w:spacing w:before="3" w:after="1"/>
        <w:rPr>
          <w:b/>
          <w:sz w:val="10"/>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4"/>
        <w:gridCol w:w="2395"/>
        <w:gridCol w:w="1276"/>
        <w:gridCol w:w="1276"/>
        <w:gridCol w:w="1273"/>
        <w:gridCol w:w="1276"/>
        <w:gridCol w:w="1273"/>
      </w:tblGrid>
      <w:tr w:rsidR="007C5447">
        <w:trPr>
          <w:trHeight w:val="299"/>
        </w:trPr>
        <w:tc>
          <w:tcPr>
            <w:tcW w:w="434" w:type="dxa"/>
            <w:shd w:val="clear" w:color="auto" w:fill="FBD4B4"/>
          </w:tcPr>
          <w:p w:rsidR="007C5447" w:rsidRDefault="00F6308C">
            <w:pPr>
              <w:pStyle w:val="TableParagraph"/>
              <w:spacing w:before="36"/>
              <w:ind w:left="86" w:right="79"/>
              <w:jc w:val="center"/>
              <w:rPr>
                <w:b/>
                <w:sz w:val="20"/>
              </w:rPr>
            </w:pPr>
            <w:r>
              <w:rPr>
                <w:b/>
                <w:sz w:val="20"/>
              </w:rPr>
              <w:t>Sl.</w:t>
            </w:r>
          </w:p>
        </w:tc>
        <w:tc>
          <w:tcPr>
            <w:tcW w:w="2395" w:type="dxa"/>
            <w:shd w:val="clear" w:color="auto" w:fill="FBD4B4"/>
          </w:tcPr>
          <w:p w:rsidR="007C5447" w:rsidRDefault="00F6308C">
            <w:pPr>
              <w:pStyle w:val="TableParagraph"/>
              <w:spacing w:before="36"/>
              <w:ind w:left="717"/>
              <w:jc w:val="left"/>
              <w:rPr>
                <w:b/>
                <w:sz w:val="20"/>
              </w:rPr>
            </w:pPr>
            <w:r>
              <w:rPr>
                <w:b/>
                <w:sz w:val="20"/>
              </w:rPr>
              <w:t>Particulars</w:t>
            </w:r>
          </w:p>
        </w:tc>
        <w:tc>
          <w:tcPr>
            <w:tcW w:w="1276" w:type="dxa"/>
            <w:shd w:val="clear" w:color="auto" w:fill="FBD4B4"/>
          </w:tcPr>
          <w:p w:rsidR="007C5447" w:rsidRDefault="00F6308C">
            <w:pPr>
              <w:pStyle w:val="TableParagraph"/>
              <w:spacing w:before="36"/>
              <w:ind w:left="147"/>
              <w:jc w:val="left"/>
              <w:rPr>
                <w:b/>
                <w:sz w:val="20"/>
              </w:rPr>
            </w:pPr>
            <w:r>
              <w:rPr>
                <w:b/>
                <w:sz w:val="20"/>
              </w:rPr>
              <w:t>FY 2011-12</w:t>
            </w:r>
          </w:p>
        </w:tc>
        <w:tc>
          <w:tcPr>
            <w:tcW w:w="1276" w:type="dxa"/>
            <w:shd w:val="clear" w:color="auto" w:fill="FBD4B4"/>
          </w:tcPr>
          <w:p w:rsidR="007C5447" w:rsidRDefault="00F6308C">
            <w:pPr>
              <w:pStyle w:val="TableParagraph"/>
              <w:spacing w:before="36"/>
              <w:ind w:left="148"/>
              <w:jc w:val="left"/>
              <w:rPr>
                <w:b/>
                <w:sz w:val="20"/>
              </w:rPr>
            </w:pPr>
            <w:r>
              <w:rPr>
                <w:b/>
                <w:sz w:val="20"/>
              </w:rPr>
              <w:t>FY 2012-13</w:t>
            </w:r>
          </w:p>
        </w:tc>
        <w:tc>
          <w:tcPr>
            <w:tcW w:w="1273" w:type="dxa"/>
            <w:shd w:val="clear" w:color="auto" w:fill="FBD4B4"/>
          </w:tcPr>
          <w:p w:rsidR="007C5447" w:rsidRDefault="00F6308C">
            <w:pPr>
              <w:pStyle w:val="TableParagraph"/>
              <w:spacing w:before="36"/>
              <w:ind w:left="149"/>
              <w:jc w:val="left"/>
              <w:rPr>
                <w:b/>
                <w:sz w:val="20"/>
              </w:rPr>
            </w:pPr>
            <w:r>
              <w:rPr>
                <w:b/>
                <w:sz w:val="20"/>
              </w:rPr>
              <w:t>FY 2013-14</w:t>
            </w:r>
          </w:p>
        </w:tc>
        <w:tc>
          <w:tcPr>
            <w:tcW w:w="1276" w:type="dxa"/>
            <w:shd w:val="clear" w:color="auto" w:fill="FBD4B4"/>
          </w:tcPr>
          <w:p w:rsidR="007C5447" w:rsidRDefault="00F6308C">
            <w:pPr>
              <w:pStyle w:val="TableParagraph"/>
              <w:spacing w:before="36"/>
              <w:ind w:left="148"/>
              <w:jc w:val="left"/>
              <w:rPr>
                <w:b/>
                <w:sz w:val="20"/>
              </w:rPr>
            </w:pPr>
            <w:r>
              <w:rPr>
                <w:b/>
                <w:sz w:val="20"/>
              </w:rPr>
              <w:t>FY 2014-15</w:t>
            </w:r>
          </w:p>
        </w:tc>
        <w:tc>
          <w:tcPr>
            <w:tcW w:w="1273" w:type="dxa"/>
            <w:shd w:val="clear" w:color="auto" w:fill="FBD4B4"/>
          </w:tcPr>
          <w:p w:rsidR="007C5447" w:rsidRDefault="00F6308C">
            <w:pPr>
              <w:pStyle w:val="TableParagraph"/>
              <w:spacing w:before="36"/>
              <w:ind w:left="149"/>
              <w:jc w:val="left"/>
              <w:rPr>
                <w:b/>
                <w:sz w:val="20"/>
              </w:rPr>
            </w:pPr>
            <w:r>
              <w:rPr>
                <w:b/>
                <w:sz w:val="20"/>
              </w:rPr>
              <w:t>FY 2015-16</w:t>
            </w:r>
          </w:p>
        </w:tc>
      </w:tr>
      <w:tr w:rsidR="007C5447">
        <w:trPr>
          <w:trHeight w:val="297"/>
        </w:trPr>
        <w:tc>
          <w:tcPr>
            <w:tcW w:w="434" w:type="dxa"/>
          </w:tcPr>
          <w:p w:rsidR="007C5447" w:rsidRDefault="00F6308C">
            <w:pPr>
              <w:pStyle w:val="TableParagraph"/>
              <w:spacing w:before="14"/>
              <w:ind w:right="106"/>
              <w:jc w:val="center"/>
              <w:rPr>
                <w:b/>
                <w:sz w:val="20"/>
              </w:rPr>
            </w:pPr>
            <w:r>
              <w:rPr>
                <w:b/>
                <w:w w:val="99"/>
                <w:sz w:val="20"/>
              </w:rPr>
              <w:t>1</w:t>
            </w:r>
          </w:p>
        </w:tc>
        <w:tc>
          <w:tcPr>
            <w:tcW w:w="2395" w:type="dxa"/>
          </w:tcPr>
          <w:p w:rsidR="007C5447" w:rsidRDefault="00F6308C">
            <w:pPr>
              <w:pStyle w:val="TableParagraph"/>
              <w:spacing w:before="14"/>
              <w:ind w:left="105"/>
              <w:jc w:val="left"/>
              <w:rPr>
                <w:b/>
                <w:sz w:val="20"/>
              </w:rPr>
            </w:pPr>
            <w:r>
              <w:rPr>
                <w:b/>
                <w:sz w:val="20"/>
              </w:rPr>
              <w:t>Other Finance Charges</w:t>
            </w:r>
          </w:p>
        </w:tc>
        <w:tc>
          <w:tcPr>
            <w:tcW w:w="1276" w:type="dxa"/>
          </w:tcPr>
          <w:p w:rsidR="007C5447" w:rsidRDefault="00F6308C">
            <w:pPr>
              <w:pStyle w:val="TableParagraph"/>
              <w:spacing w:before="34"/>
              <w:ind w:left="540"/>
              <w:jc w:val="left"/>
              <w:rPr>
                <w:b/>
                <w:sz w:val="20"/>
              </w:rPr>
            </w:pPr>
            <w:r>
              <w:rPr>
                <w:b/>
                <w:sz w:val="20"/>
              </w:rPr>
              <w:t>87.14</w:t>
            </w:r>
          </w:p>
        </w:tc>
        <w:tc>
          <w:tcPr>
            <w:tcW w:w="1276" w:type="dxa"/>
          </w:tcPr>
          <w:p w:rsidR="007C5447" w:rsidRDefault="00F6308C">
            <w:pPr>
              <w:pStyle w:val="TableParagraph"/>
              <w:spacing w:before="34"/>
              <w:ind w:left="541"/>
              <w:jc w:val="left"/>
              <w:rPr>
                <w:b/>
                <w:sz w:val="20"/>
              </w:rPr>
            </w:pPr>
            <w:r>
              <w:rPr>
                <w:b/>
                <w:sz w:val="20"/>
              </w:rPr>
              <w:t>95.94</w:t>
            </w:r>
          </w:p>
        </w:tc>
        <w:tc>
          <w:tcPr>
            <w:tcW w:w="1273" w:type="dxa"/>
          </w:tcPr>
          <w:p w:rsidR="007C5447" w:rsidRDefault="00F6308C">
            <w:pPr>
              <w:pStyle w:val="TableParagraph"/>
              <w:spacing w:before="34"/>
              <w:ind w:left="442"/>
              <w:jc w:val="left"/>
              <w:rPr>
                <w:b/>
                <w:sz w:val="20"/>
              </w:rPr>
            </w:pPr>
            <w:r>
              <w:rPr>
                <w:b/>
                <w:sz w:val="20"/>
              </w:rPr>
              <w:t>255.89</w:t>
            </w:r>
          </w:p>
        </w:tc>
        <w:tc>
          <w:tcPr>
            <w:tcW w:w="1276" w:type="dxa"/>
          </w:tcPr>
          <w:p w:rsidR="007C5447" w:rsidRDefault="00F6308C">
            <w:pPr>
              <w:pStyle w:val="TableParagraph"/>
              <w:spacing w:before="34"/>
              <w:ind w:left="441"/>
              <w:jc w:val="left"/>
              <w:rPr>
                <w:b/>
                <w:sz w:val="20"/>
              </w:rPr>
            </w:pPr>
            <w:r>
              <w:rPr>
                <w:b/>
                <w:sz w:val="20"/>
              </w:rPr>
              <w:t>244.42</w:t>
            </w:r>
          </w:p>
        </w:tc>
        <w:tc>
          <w:tcPr>
            <w:tcW w:w="1273" w:type="dxa"/>
          </w:tcPr>
          <w:p w:rsidR="007C5447" w:rsidRDefault="00F6308C">
            <w:pPr>
              <w:pStyle w:val="TableParagraph"/>
              <w:spacing w:before="34"/>
              <w:ind w:left="442"/>
              <w:jc w:val="left"/>
              <w:rPr>
                <w:b/>
                <w:sz w:val="20"/>
              </w:rPr>
            </w:pPr>
            <w:r>
              <w:rPr>
                <w:b/>
                <w:sz w:val="20"/>
              </w:rPr>
              <w:t>245.15</w:t>
            </w:r>
          </w:p>
        </w:tc>
      </w:tr>
    </w:tbl>
    <w:p w:rsidR="007C5447" w:rsidRDefault="007C5447">
      <w:pPr>
        <w:pStyle w:val="BodyText"/>
        <w:spacing w:before="9"/>
        <w:rPr>
          <w:b/>
          <w:sz w:val="20"/>
        </w:rPr>
      </w:pPr>
    </w:p>
    <w:p w:rsidR="007C5447" w:rsidRDefault="00F6308C">
      <w:pPr>
        <w:pStyle w:val="Heading2"/>
        <w:numPr>
          <w:ilvl w:val="1"/>
          <w:numId w:val="92"/>
        </w:numPr>
        <w:tabs>
          <w:tab w:val="left" w:pos="787"/>
        </w:tabs>
        <w:ind w:left="786"/>
        <w:jc w:val="left"/>
      </w:pPr>
      <w:bookmarkStart w:id="44" w:name="_bookmark44"/>
      <w:bookmarkEnd w:id="44"/>
      <w:r>
        <w:t>Return on</w:t>
      </w:r>
      <w:r>
        <w:rPr>
          <w:spacing w:val="-4"/>
        </w:rPr>
        <w:t xml:space="preserve"> </w:t>
      </w:r>
      <w:r>
        <w:t>Equity</w:t>
      </w:r>
    </w:p>
    <w:p w:rsidR="007C5447" w:rsidRDefault="007C5447">
      <w:pPr>
        <w:pStyle w:val="BodyText"/>
        <w:spacing w:before="2"/>
        <w:rPr>
          <w:b/>
          <w:sz w:val="28"/>
        </w:rPr>
      </w:pPr>
    </w:p>
    <w:p w:rsidR="007C5447" w:rsidRDefault="00F6308C">
      <w:pPr>
        <w:pStyle w:val="ListParagraph"/>
        <w:numPr>
          <w:ilvl w:val="2"/>
          <w:numId w:val="92"/>
        </w:numPr>
        <w:tabs>
          <w:tab w:val="left" w:pos="1073"/>
        </w:tabs>
        <w:spacing w:line="312" w:lineRule="auto"/>
        <w:ind w:left="1072" w:right="293"/>
        <w:jc w:val="both"/>
        <w:rPr>
          <w:sz w:val="24"/>
        </w:rPr>
      </w:pPr>
      <w:r>
        <w:rPr>
          <w:sz w:val="24"/>
        </w:rPr>
        <w:t>TANGEDCO submitted that the total equity balance as on March 31, 2011 has been bifurcated into generation and distribution function based on the opening balance of GFA allocated to generation and distribution function. TANGEDCO has further allocated equity</w:t>
      </w:r>
      <w:r>
        <w:rPr>
          <w:sz w:val="24"/>
        </w:rPr>
        <w:t xml:space="preserve"> for generation function into plant wise based on opening gross block for each of the plant. The additions and deductions during the year for FY 2011-12 to FY 2015-16 have been considered by TANGEDCO as per</w:t>
      </w:r>
      <w:r>
        <w:rPr>
          <w:spacing w:val="-6"/>
          <w:sz w:val="24"/>
        </w:rPr>
        <w:t xml:space="preserve"> </w:t>
      </w:r>
      <w:r>
        <w:rPr>
          <w:sz w:val="24"/>
        </w:rPr>
        <w:t>actuals.</w:t>
      </w:r>
    </w:p>
    <w:p w:rsidR="007C5447" w:rsidRDefault="007C5447">
      <w:pPr>
        <w:pStyle w:val="BodyText"/>
        <w:spacing w:before="8"/>
        <w:rPr>
          <w:sz w:val="20"/>
        </w:rPr>
      </w:pPr>
    </w:p>
    <w:p w:rsidR="007C5447" w:rsidRDefault="00F6308C">
      <w:pPr>
        <w:pStyle w:val="ListParagraph"/>
        <w:numPr>
          <w:ilvl w:val="2"/>
          <w:numId w:val="92"/>
        </w:numPr>
        <w:tabs>
          <w:tab w:val="left" w:pos="1073"/>
        </w:tabs>
        <w:spacing w:line="312" w:lineRule="auto"/>
        <w:ind w:left="1072" w:right="297"/>
        <w:jc w:val="both"/>
        <w:rPr>
          <w:sz w:val="24"/>
        </w:rPr>
      </w:pPr>
      <w:r>
        <w:rPr>
          <w:sz w:val="24"/>
        </w:rPr>
        <w:t>TANGEDCO submitted that it has consider</w:t>
      </w:r>
      <w:r>
        <w:rPr>
          <w:sz w:val="24"/>
        </w:rPr>
        <w:t>ed rate of return on equity at 14% based on the Tariff Regulations and RoE has been calculated on the average equity balance of each generating station and distribution</w:t>
      </w:r>
      <w:r>
        <w:rPr>
          <w:spacing w:val="-2"/>
          <w:sz w:val="24"/>
        </w:rPr>
        <w:t xml:space="preserve"> </w:t>
      </w:r>
      <w:r>
        <w:rPr>
          <w:sz w:val="24"/>
        </w:rPr>
        <w:t>function.</w:t>
      </w:r>
    </w:p>
    <w:p w:rsidR="007C5447" w:rsidRDefault="007C5447">
      <w:pPr>
        <w:pStyle w:val="BodyText"/>
        <w:rPr>
          <w:sz w:val="21"/>
        </w:rPr>
      </w:pPr>
    </w:p>
    <w:p w:rsidR="007C5447" w:rsidRDefault="00F6308C">
      <w:pPr>
        <w:pStyle w:val="ListParagraph"/>
        <w:numPr>
          <w:ilvl w:val="2"/>
          <w:numId w:val="92"/>
        </w:numPr>
        <w:tabs>
          <w:tab w:val="left" w:pos="1073"/>
        </w:tabs>
        <w:spacing w:line="312" w:lineRule="auto"/>
        <w:ind w:left="1072" w:right="298"/>
        <w:jc w:val="both"/>
        <w:rPr>
          <w:sz w:val="24"/>
        </w:rPr>
      </w:pPr>
      <w:r>
        <w:rPr>
          <w:sz w:val="24"/>
        </w:rPr>
        <w:t>TANGEDCO further submitted that the Commission in its last Tariff Order disa</w:t>
      </w:r>
      <w:r>
        <w:rPr>
          <w:sz w:val="24"/>
        </w:rPr>
        <w:t xml:space="preserve">llowed RoE on the grounds that loan borrowing is more than the capital expenditure incurred. TANGEDCO submitted that the Utility is entitled for RoE on the amount invested every year to carry out future capacity additions, in accordance with Regulation 21 </w:t>
      </w:r>
      <w:r>
        <w:rPr>
          <w:sz w:val="24"/>
        </w:rPr>
        <w:t>of the Tariff Regulations reproduced</w:t>
      </w:r>
      <w:r>
        <w:rPr>
          <w:spacing w:val="-1"/>
          <w:sz w:val="24"/>
        </w:rPr>
        <w:t xml:space="preserve"> </w:t>
      </w:r>
      <w:r>
        <w:rPr>
          <w:sz w:val="24"/>
        </w:rPr>
        <w:t>below:</w:t>
      </w:r>
    </w:p>
    <w:p w:rsidR="007C5447" w:rsidRDefault="007C5447">
      <w:pPr>
        <w:pStyle w:val="BodyText"/>
        <w:spacing w:before="9"/>
        <w:rPr>
          <w:sz w:val="20"/>
        </w:rPr>
      </w:pPr>
    </w:p>
    <w:p w:rsidR="007C5447" w:rsidRDefault="00F6308C">
      <w:pPr>
        <w:ind w:left="1660"/>
        <w:rPr>
          <w:i/>
          <w:sz w:val="24"/>
        </w:rPr>
      </w:pPr>
      <w:r>
        <w:rPr>
          <w:i/>
          <w:sz w:val="24"/>
        </w:rPr>
        <w:t>“21. Debt-Equity Ratio</w:t>
      </w:r>
    </w:p>
    <w:p w:rsidR="007C5447" w:rsidRDefault="007C5447">
      <w:pPr>
        <w:rPr>
          <w:sz w:val="24"/>
        </w:rPr>
        <w:sectPr w:rsidR="007C5447">
          <w:pgSz w:w="11910" w:h="16840"/>
          <w:pgMar w:top="1360" w:right="1140" w:bottom="1240" w:left="1220" w:header="0" w:footer="1057" w:gutter="0"/>
          <w:cols w:space="720"/>
        </w:sectPr>
      </w:pPr>
    </w:p>
    <w:p w:rsidR="007C5447" w:rsidRDefault="00F6308C">
      <w:pPr>
        <w:spacing w:before="60"/>
        <w:ind w:left="1660" w:right="1015"/>
        <w:jc w:val="both"/>
        <w:rPr>
          <w:i/>
          <w:sz w:val="24"/>
        </w:rPr>
      </w:pPr>
      <w:r>
        <w:rPr>
          <w:i/>
          <w:sz w:val="24"/>
        </w:rPr>
        <w:lastRenderedPageBreak/>
        <w:t>For the purpose of determination of tariff, debt-equity ratio as on the date of commercial operation of Generating Station and transmission projects, sub-station, distrib</w:t>
      </w:r>
      <w:r>
        <w:rPr>
          <w:i/>
          <w:sz w:val="24"/>
        </w:rPr>
        <w:t>ution lines or capacity expanded after the notification of these Regulations shall be 70:30. Where equity employed is more than 30% the amount of equity shall be limited to 30% and the balance amount shall be considered as loans, advanced at the weighted a</w:t>
      </w:r>
      <w:r>
        <w:rPr>
          <w:i/>
          <w:sz w:val="24"/>
        </w:rPr>
        <w:t>verage rate of interest and for weighted average tenor of the long term debt component of the</w:t>
      </w:r>
      <w:r>
        <w:rPr>
          <w:i/>
          <w:spacing w:val="-5"/>
          <w:sz w:val="24"/>
        </w:rPr>
        <w:t xml:space="preserve"> </w:t>
      </w:r>
      <w:r>
        <w:rPr>
          <w:i/>
          <w:sz w:val="24"/>
        </w:rPr>
        <w:t>investment”</w:t>
      </w:r>
    </w:p>
    <w:p w:rsidR="007C5447" w:rsidRDefault="007C5447">
      <w:pPr>
        <w:pStyle w:val="BodyText"/>
        <w:spacing w:before="11"/>
        <w:rPr>
          <w:i/>
          <w:sz w:val="20"/>
        </w:rPr>
      </w:pPr>
    </w:p>
    <w:p w:rsidR="007C5447" w:rsidRDefault="00F6308C">
      <w:pPr>
        <w:ind w:left="1660" w:right="1020"/>
        <w:jc w:val="both"/>
        <w:rPr>
          <w:i/>
          <w:sz w:val="24"/>
        </w:rPr>
      </w:pPr>
      <w:r>
        <w:rPr>
          <w:i/>
          <w:sz w:val="24"/>
        </w:rPr>
        <w:t>“Provided that in case of a Generating Company or other licensees, where actual equity employed is less than 30%, the actual debt and equity shall be</w:t>
      </w:r>
      <w:r>
        <w:rPr>
          <w:i/>
          <w:sz w:val="24"/>
        </w:rPr>
        <w:t xml:space="preserve"> considered for determination of return on equity in tariff computation.”</w:t>
      </w:r>
    </w:p>
    <w:p w:rsidR="007C5447" w:rsidRDefault="00F6308C">
      <w:pPr>
        <w:pStyle w:val="ListParagraph"/>
        <w:numPr>
          <w:ilvl w:val="2"/>
          <w:numId w:val="92"/>
        </w:numPr>
        <w:tabs>
          <w:tab w:val="left" w:pos="1073"/>
        </w:tabs>
        <w:spacing w:before="120" w:line="312" w:lineRule="auto"/>
        <w:ind w:left="1072" w:right="300"/>
        <w:jc w:val="both"/>
        <w:rPr>
          <w:sz w:val="24"/>
        </w:rPr>
      </w:pPr>
      <w:r>
        <w:rPr>
          <w:sz w:val="24"/>
        </w:rPr>
        <w:t>TANGEDCO also submitted that the cost of equity is always higher than the cost of finance and depriving TANGEDCO of RoE of 14% is resulting in additional cost burden on the cash star</w:t>
      </w:r>
      <w:r>
        <w:rPr>
          <w:sz w:val="24"/>
        </w:rPr>
        <w:t>ved</w:t>
      </w:r>
      <w:r>
        <w:rPr>
          <w:spacing w:val="-1"/>
          <w:sz w:val="24"/>
        </w:rPr>
        <w:t xml:space="preserve"> </w:t>
      </w:r>
      <w:r>
        <w:rPr>
          <w:sz w:val="24"/>
        </w:rPr>
        <w:t>Utility.</w:t>
      </w:r>
    </w:p>
    <w:p w:rsidR="007C5447" w:rsidRDefault="007C5447">
      <w:pPr>
        <w:pStyle w:val="BodyText"/>
        <w:spacing w:before="9"/>
        <w:rPr>
          <w:sz w:val="20"/>
        </w:rPr>
      </w:pPr>
    </w:p>
    <w:p w:rsidR="007C5447" w:rsidRDefault="00F6308C">
      <w:pPr>
        <w:pStyle w:val="ListParagraph"/>
        <w:numPr>
          <w:ilvl w:val="2"/>
          <w:numId w:val="92"/>
        </w:numPr>
        <w:tabs>
          <w:tab w:val="left" w:pos="1073"/>
        </w:tabs>
        <w:spacing w:before="1" w:line="312" w:lineRule="auto"/>
        <w:ind w:left="1072" w:right="294"/>
        <w:jc w:val="both"/>
        <w:rPr>
          <w:sz w:val="24"/>
        </w:rPr>
      </w:pPr>
      <w:r>
        <w:rPr>
          <w:sz w:val="24"/>
        </w:rPr>
        <w:t xml:space="preserve">TANGEDCO submitted that it has claimed RoE based on the opening balance of actual equity reflected in the Audited Accounts of FY 2011-12 to FY 2015-16 and requested that RoE may be allowed on the grounds that actual equity is being infused in the TANGEDCO </w:t>
      </w:r>
      <w:r>
        <w:rPr>
          <w:sz w:val="24"/>
        </w:rPr>
        <w:t>system during that respective year. RoE claimed by TANGEDCO in truing up for FY 2011-12 to FY 2015-16 has been shown in the Table</w:t>
      </w:r>
      <w:r>
        <w:rPr>
          <w:spacing w:val="-1"/>
          <w:sz w:val="24"/>
        </w:rPr>
        <w:t xml:space="preserve"> </w:t>
      </w:r>
      <w:r>
        <w:rPr>
          <w:sz w:val="24"/>
        </w:rPr>
        <w:t>below:</w:t>
      </w:r>
    </w:p>
    <w:p w:rsidR="007C5447" w:rsidRDefault="007C5447">
      <w:pPr>
        <w:pStyle w:val="BodyText"/>
        <w:rPr>
          <w:sz w:val="21"/>
        </w:rPr>
      </w:pPr>
    </w:p>
    <w:p w:rsidR="007C5447" w:rsidRDefault="00F6308C">
      <w:pPr>
        <w:spacing w:before="1"/>
        <w:ind w:left="230" w:right="307"/>
        <w:jc w:val="center"/>
        <w:rPr>
          <w:b/>
        </w:rPr>
      </w:pPr>
      <w:r>
        <w:rPr>
          <w:b/>
        </w:rPr>
        <w:t>Table 3-24: Return on Equity as claimed by TANGEDCO (Rs. Crore)</w:t>
      </w:r>
    </w:p>
    <w:p w:rsidR="007C5447" w:rsidRDefault="007C5447">
      <w:pPr>
        <w:pStyle w:val="BodyText"/>
        <w:spacing w:before="5"/>
        <w:rPr>
          <w:b/>
          <w:sz w:val="6"/>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1"/>
        <w:gridCol w:w="2206"/>
        <w:gridCol w:w="1229"/>
        <w:gridCol w:w="1232"/>
        <w:gridCol w:w="1232"/>
        <w:gridCol w:w="1233"/>
        <w:gridCol w:w="1232"/>
      </w:tblGrid>
      <w:tr w:rsidR="007C5447">
        <w:trPr>
          <w:trHeight w:val="297"/>
        </w:trPr>
        <w:tc>
          <w:tcPr>
            <w:tcW w:w="821" w:type="dxa"/>
            <w:shd w:val="clear" w:color="auto" w:fill="F7C9AC"/>
          </w:tcPr>
          <w:p w:rsidR="007C5447" w:rsidRDefault="00F6308C">
            <w:pPr>
              <w:pStyle w:val="TableParagraph"/>
              <w:spacing w:before="34"/>
              <w:ind w:left="281" w:right="273"/>
              <w:jc w:val="center"/>
              <w:rPr>
                <w:b/>
                <w:sz w:val="20"/>
              </w:rPr>
            </w:pPr>
            <w:r>
              <w:rPr>
                <w:b/>
                <w:sz w:val="20"/>
              </w:rPr>
              <w:t>Sl.</w:t>
            </w:r>
          </w:p>
        </w:tc>
        <w:tc>
          <w:tcPr>
            <w:tcW w:w="2206" w:type="dxa"/>
            <w:shd w:val="clear" w:color="auto" w:fill="F7C9AC"/>
          </w:tcPr>
          <w:p w:rsidR="007C5447" w:rsidRDefault="00F6308C">
            <w:pPr>
              <w:pStyle w:val="TableParagraph"/>
              <w:spacing w:before="34"/>
              <w:ind w:left="623"/>
              <w:jc w:val="left"/>
              <w:rPr>
                <w:b/>
                <w:sz w:val="20"/>
              </w:rPr>
            </w:pPr>
            <w:r>
              <w:rPr>
                <w:b/>
                <w:sz w:val="20"/>
              </w:rPr>
              <w:t>Particulars</w:t>
            </w:r>
          </w:p>
        </w:tc>
        <w:tc>
          <w:tcPr>
            <w:tcW w:w="1229" w:type="dxa"/>
            <w:shd w:val="clear" w:color="auto" w:fill="F7C9AC"/>
          </w:tcPr>
          <w:p w:rsidR="007C5447" w:rsidRDefault="00F6308C">
            <w:pPr>
              <w:pStyle w:val="TableParagraph"/>
              <w:spacing w:before="34"/>
              <w:ind w:left="119"/>
              <w:jc w:val="left"/>
              <w:rPr>
                <w:b/>
                <w:sz w:val="20"/>
              </w:rPr>
            </w:pPr>
            <w:r>
              <w:rPr>
                <w:b/>
                <w:sz w:val="20"/>
              </w:rPr>
              <w:t>FY 2011-12</w:t>
            </w:r>
          </w:p>
        </w:tc>
        <w:tc>
          <w:tcPr>
            <w:tcW w:w="1232" w:type="dxa"/>
            <w:shd w:val="clear" w:color="auto" w:fill="F7C9AC"/>
          </w:tcPr>
          <w:p w:rsidR="007C5447" w:rsidRDefault="00F6308C">
            <w:pPr>
              <w:pStyle w:val="TableParagraph"/>
              <w:spacing w:before="34"/>
              <w:ind w:left="121"/>
              <w:jc w:val="left"/>
              <w:rPr>
                <w:b/>
                <w:sz w:val="20"/>
              </w:rPr>
            </w:pPr>
            <w:r>
              <w:rPr>
                <w:b/>
                <w:sz w:val="20"/>
              </w:rPr>
              <w:t>FY 2012-13</w:t>
            </w:r>
          </w:p>
        </w:tc>
        <w:tc>
          <w:tcPr>
            <w:tcW w:w="1232" w:type="dxa"/>
            <w:shd w:val="clear" w:color="auto" w:fill="F7C9AC"/>
          </w:tcPr>
          <w:p w:rsidR="007C5447" w:rsidRDefault="00F6308C">
            <w:pPr>
              <w:pStyle w:val="TableParagraph"/>
              <w:spacing w:before="34"/>
              <w:ind w:left="121"/>
              <w:jc w:val="left"/>
              <w:rPr>
                <w:b/>
                <w:sz w:val="20"/>
              </w:rPr>
            </w:pPr>
            <w:r>
              <w:rPr>
                <w:b/>
                <w:sz w:val="20"/>
              </w:rPr>
              <w:t>FY 2013-14</w:t>
            </w:r>
          </w:p>
        </w:tc>
        <w:tc>
          <w:tcPr>
            <w:tcW w:w="1233" w:type="dxa"/>
            <w:shd w:val="clear" w:color="auto" w:fill="F7C9AC"/>
          </w:tcPr>
          <w:p w:rsidR="007C5447" w:rsidRDefault="00F6308C">
            <w:pPr>
              <w:pStyle w:val="TableParagraph"/>
              <w:spacing w:before="34"/>
              <w:ind w:left="120"/>
              <w:jc w:val="left"/>
              <w:rPr>
                <w:b/>
                <w:sz w:val="20"/>
              </w:rPr>
            </w:pPr>
            <w:r>
              <w:rPr>
                <w:b/>
                <w:sz w:val="20"/>
              </w:rPr>
              <w:t>FY 2</w:t>
            </w:r>
            <w:r>
              <w:rPr>
                <w:b/>
                <w:sz w:val="20"/>
              </w:rPr>
              <w:t>014-15</w:t>
            </w:r>
          </w:p>
        </w:tc>
        <w:tc>
          <w:tcPr>
            <w:tcW w:w="1232" w:type="dxa"/>
            <w:shd w:val="clear" w:color="auto" w:fill="F7C9AC"/>
          </w:tcPr>
          <w:p w:rsidR="007C5447" w:rsidRDefault="00F6308C">
            <w:pPr>
              <w:pStyle w:val="TableParagraph"/>
              <w:spacing w:before="34"/>
              <w:ind w:left="119"/>
              <w:jc w:val="left"/>
              <w:rPr>
                <w:b/>
                <w:sz w:val="20"/>
              </w:rPr>
            </w:pPr>
            <w:r>
              <w:rPr>
                <w:b/>
                <w:sz w:val="20"/>
              </w:rPr>
              <w:t>FY 2015-16</w:t>
            </w:r>
          </w:p>
        </w:tc>
      </w:tr>
      <w:tr w:rsidR="007C5447">
        <w:trPr>
          <w:trHeight w:val="294"/>
        </w:trPr>
        <w:tc>
          <w:tcPr>
            <w:tcW w:w="821" w:type="dxa"/>
          </w:tcPr>
          <w:p w:rsidR="007C5447" w:rsidRDefault="00F6308C">
            <w:pPr>
              <w:pStyle w:val="TableParagraph"/>
              <w:spacing w:before="34"/>
              <w:ind w:left="107"/>
              <w:jc w:val="left"/>
              <w:rPr>
                <w:sz w:val="20"/>
              </w:rPr>
            </w:pPr>
            <w:r>
              <w:rPr>
                <w:w w:val="99"/>
                <w:sz w:val="20"/>
              </w:rPr>
              <w:t>1</w:t>
            </w:r>
          </w:p>
        </w:tc>
        <w:tc>
          <w:tcPr>
            <w:tcW w:w="2206" w:type="dxa"/>
          </w:tcPr>
          <w:p w:rsidR="007C5447" w:rsidRDefault="00F6308C">
            <w:pPr>
              <w:pStyle w:val="TableParagraph"/>
              <w:spacing w:before="34"/>
              <w:ind w:left="107"/>
              <w:jc w:val="left"/>
              <w:rPr>
                <w:sz w:val="20"/>
              </w:rPr>
            </w:pPr>
            <w:r>
              <w:rPr>
                <w:sz w:val="20"/>
              </w:rPr>
              <w:t>Ennore TPS</w:t>
            </w:r>
          </w:p>
        </w:tc>
        <w:tc>
          <w:tcPr>
            <w:tcW w:w="1229" w:type="dxa"/>
          </w:tcPr>
          <w:p w:rsidR="007C5447" w:rsidRDefault="00F6308C">
            <w:pPr>
              <w:pStyle w:val="TableParagraph"/>
              <w:spacing w:before="34"/>
              <w:ind w:left="494"/>
              <w:jc w:val="left"/>
              <w:rPr>
                <w:sz w:val="20"/>
              </w:rPr>
            </w:pPr>
            <w:r>
              <w:rPr>
                <w:sz w:val="20"/>
              </w:rPr>
              <w:t>34.69</w:t>
            </w:r>
          </w:p>
        </w:tc>
        <w:tc>
          <w:tcPr>
            <w:tcW w:w="1232" w:type="dxa"/>
          </w:tcPr>
          <w:p w:rsidR="007C5447" w:rsidRDefault="00F6308C">
            <w:pPr>
              <w:pStyle w:val="TableParagraph"/>
              <w:spacing w:before="34"/>
              <w:ind w:left="496"/>
              <w:jc w:val="left"/>
              <w:rPr>
                <w:sz w:val="20"/>
              </w:rPr>
            </w:pPr>
            <w:r>
              <w:rPr>
                <w:sz w:val="20"/>
              </w:rPr>
              <w:t>62.69</w:t>
            </w:r>
          </w:p>
        </w:tc>
        <w:tc>
          <w:tcPr>
            <w:tcW w:w="1232" w:type="dxa"/>
          </w:tcPr>
          <w:p w:rsidR="007C5447" w:rsidRDefault="00F6308C">
            <w:pPr>
              <w:pStyle w:val="TableParagraph"/>
              <w:spacing w:before="34"/>
              <w:ind w:left="495"/>
              <w:jc w:val="left"/>
              <w:rPr>
                <w:sz w:val="20"/>
              </w:rPr>
            </w:pPr>
            <w:r>
              <w:rPr>
                <w:sz w:val="20"/>
              </w:rPr>
              <w:t>77.23</w:t>
            </w:r>
          </w:p>
        </w:tc>
        <w:tc>
          <w:tcPr>
            <w:tcW w:w="1233" w:type="dxa"/>
          </w:tcPr>
          <w:p w:rsidR="007C5447" w:rsidRDefault="00F6308C">
            <w:pPr>
              <w:pStyle w:val="TableParagraph"/>
              <w:spacing w:before="34"/>
              <w:ind w:left="495"/>
              <w:jc w:val="left"/>
              <w:rPr>
                <w:sz w:val="20"/>
              </w:rPr>
            </w:pPr>
            <w:r>
              <w:rPr>
                <w:sz w:val="20"/>
              </w:rPr>
              <w:t>63.82</w:t>
            </w:r>
          </w:p>
        </w:tc>
        <w:tc>
          <w:tcPr>
            <w:tcW w:w="1232" w:type="dxa"/>
          </w:tcPr>
          <w:p w:rsidR="007C5447" w:rsidRDefault="00F6308C">
            <w:pPr>
              <w:pStyle w:val="TableParagraph"/>
              <w:spacing w:before="34"/>
              <w:ind w:left="493"/>
              <w:jc w:val="left"/>
              <w:rPr>
                <w:sz w:val="20"/>
              </w:rPr>
            </w:pPr>
            <w:r>
              <w:rPr>
                <w:sz w:val="20"/>
              </w:rPr>
              <w:t>63.82</w:t>
            </w:r>
          </w:p>
        </w:tc>
      </w:tr>
      <w:tr w:rsidR="007C5447">
        <w:trPr>
          <w:trHeight w:val="297"/>
        </w:trPr>
        <w:tc>
          <w:tcPr>
            <w:tcW w:w="821" w:type="dxa"/>
          </w:tcPr>
          <w:p w:rsidR="007C5447" w:rsidRDefault="00F6308C">
            <w:pPr>
              <w:pStyle w:val="TableParagraph"/>
              <w:spacing w:before="34"/>
              <w:ind w:left="107"/>
              <w:jc w:val="left"/>
              <w:rPr>
                <w:sz w:val="20"/>
              </w:rPr>
            </w:pPr>
            <w:r>
              <w:rPr>
                <w:w w:val="99"/>
                <w:sz w:val="20"/>
              </w:rPr>
              <w:t>2</w:t>
            </w:r>
          </w:p>
        </w:tc>
        <w:tc>
          <w:tcPr>
            <w:tcW w:w="2206" w:type="dxa"/>
          </w:tcPr>
          <w:p w:rsidR="007C5447" w:rsidRDefault="00F6308C">
            <w:pPr>
              <w:pStyle w:val="TableParagraph"/>
              <w:spacing w:before="34"/>
              <w:ind w:left="107"/>
              <w:jc w:val="left"/>
              <w:rPr>
                <w:sz w:val="20"/>
              </w:rPr>
            </w:pPr>
            <w:r>
              <w:rPr>
                <w:sz w:val="20"/>
              </w:rPr>
              <w:t>Tuticorin TPS</w:t>
            </w:r>
          </w:p>
        </w:tc>
        <w:tc>
          <w:tcPr>
            <w:tcW w:w="1229" w:type="dxa"/>
          </w:tcPr>
          <w:p w:rsidR="007C5447" w:rsidRDefault="00F6308C">
            <w:pPr>
              <w:pStyle w:val="TableParagraph"/>
              <w:spacing w:before="34"/>
              <w:ind w:left="494"/>
              <w:jc w:val="left"/>
              <w:rPr>
                <w:sz w:val="20"/>
              </w:rPr>
            </w:pPr>
            <w:r>
              <w:rPr>
                <w:sz w:val="20"/>
              </w:rPr>
              <w:t>61.09</w:t>
            </w:r>
          </w:p>
        </w:tc>
        <w:tc>
          <w:tcPr>
            <w:tcW w:w="1232" w:type="dxa"/>
          </w:tcPr>
          <w:p w:rsidR="007C5447" w:rsidRDefault="00F6308C">
            <w:pPr>
              <w:pStyle w:val="TableParagraph"/>
              <w:spacing w:before="34"/>
              <w:ind w:left="395"/>
              <w:jc w:val="left"/>
              <w:rPr>
                <w:sz w:val="20"/>
              </w:rPr>
            </w:pPr>
            <w:r>
              <w:rPr>
                <w:sz w:val="20"/>
              </w:rPr>
              <w:t>110.41</w:t>
            </w:r>
          </w:p>
        </w:tc>
        <w:tc>
          <w:tcPr>
            <w:tcW w:w="1232" w:type="dxa"/>
          </w:tcPr>
          <w:p w:rsidR="007C5447" w:rsidRDefault="00F6308C">
            <w:pPr>
              <w:pStyle w:val="TableParagraph"/>
              <w:spacing w:before="34"/>
              <w:ind w:left="395"/>
              <w:jc w:val="left"/>
              <w:rPr>
                <w:sz w:val="20"/>
              </w:rPr>
            </w:pPr>
            <w:r>
              <w:rPr>
                <w:sz w:val="20"/>
              </w:rPr>
              <w:t>136.93</w:t>
            </w:r>
          </w:p>
        </w:tc>
        <w:tc>
          <w:tcPr>
            <w:tcW w:w="1233" w:type="dxa"/>
          </w:tcPr>
          <w:p w:rsidR="007C5447" w:rsidRDefault="00F6308C">
            <w:pPr>
              <w:pStyle w:val="TableParagraph"/>
              <w:spacing w:before="34"/>
              <w:ind w:left="396"/>
              <w:jc w:val="left"/>
              <w:rPr>
                <w:sz w:val="20"/>
              </w:rPr>
            </w:pPr>
            <w:r>
              <w:rPr>
                <w:sz w:val="20"/>
              </w:rPr>
              <w:t>115.10</w:t>
            </w:r>
          </w:p>
        </w:tc>
        <w:tc>
          <w:tcPr>
            <w:tcW w:w="1232" w:type="dxa"/>
          </w:tcPr>
          <w:p w:rsidR="007C5447" w:rsidRDefault="00F6308C">
            <w:pPr>
              <w:pStyle w:val="TableParagraph"/>
              <w:spacing w:before="34"/>
              <w:ind w:left="395"/>
              <w:jc w:val="left"/>
              <w:rPr>
                <w:sz w:val="20"/>
              </w:rPr>
            </w:pPr>
            <w:r>
              <w:rPr>
                <w:sz w:val="20"/>
              </w:rPr>
              <w:t>115.10</w:t>
            </w:r>
          </w:p>
        </w:tc>
      </w:tr>
      <w:tr w:rsidR="007C5447">
        <w:trPr>
          <w:trHeight w:val="294"/>
        </w:trPr>
        <w:tc>
          <w:tcPr>
            <w:tcW w:w="821" w:type="dxa"/>
          </w:tcPr>
          <w:p w:rsidR="007C5447" w:rsidRDefault="00F6308C">
            <w:pPr>
              <w:pStyle w:val="TableParagraph"/>
              <w:spacing w:before="34"/>
              <w:ind w:left="107"/>
              <w:jc w:val="left"/>
              <w:rPr>
                <w:sz w:val="20"/>
              </w:rPr>
            </w:pPr>
            <w:r>
              <w:rPr>
                <w:w w:val="99"/>
                <w:sz w:val="20"/>
              </w:rPr>
              <w:t>3</w:t>
            </w:r>
          </w:p>
        </w:tc>
        <w:tc>
          <w:tcPr>
            <w:tcW w:w="2206" w:type="dxa"/>
          </w:tcPr>
          <w:p w:rsidR="007C5447" w:rsidRDefault="00F6308C">
            <w:pPr>
              <w:pStyle w:val="TableParagraph"/>
              <w:spacing w:before="34"/>
              <w:ind w:left="107"/>
              <w:jc w:val="left"/>
              <w:rPr>
                <w:sz w:val="20"/>
              </w:rPr>
            </w:pPr>
            <w:r>
              <w:rPr>
                <w:sz w:val="20"/>
              </w:rPr>
              <w:t>Mettur TPS</w:t>
            </w:r>
          </w:p>
        </w:tc>
        <w:tc>
          <w:tcPr>
            <w:tcW w:w="1229" w:type="dxa"/>
          </w:tcPr>
          <w:p w:rsidR="007C5447" w:rsidRDefault="00F6308C">
            <w:pPr>
              <w:pStyle w:val="TableParagraph"/>
              <w:spacing w:before="34"/>
              <w:ind w:left="494"/>
              <w:jc w:val="left"/>
              <w:rPr>
                <w:sz w:val="20"/>
              </w:rPr>
            </w:pPr>
            <w:r>
              <w:rPr>
                <w:sz w:val="20"/>
              </w:rPr>
              <w:t>36.27</w:t>
            </w:r>
          </w:p>
        </w:tc>
        <w:tc>
          <w:tcPr>
            <w:tcW w:w="1232" w:type="dxa"/>
          </w:tcPr>
          <w:p w:rsidR="007C5447" w:rsidRDefault="00F6308C">
            <w:pPr>
              <w:pStyle w:val="TableParagraph"/>
              <w:spacing w:before="34"/>
              <w:ind w:left="496"/>
              <w:jc w:val="left"/>
              <w:rPr>
                <w:sz w:val="20"/>
              </w:rPr>
            </w:pPr>
            <w:r>
              <w:rPr>
                <w:sz w:val="20"/>
              </w:rPr>
              <w:t>65.56</w:t>
            </w:r>
          </w:p>
        </w:tc>
        <w:tc>
          <w:tcPr>
            <w:tcW w:w="1232" w:type="dxa"/>
          </w:tcPr>
          <w:p w:rsidR="007C5447" w:rsidRDefault="00F6308C">
            <w:pPr>
              <w:pStyle w:val="TableParagraph"/>
              <w:spacing w:before="34"/>
              <w:ind w:left="495"/>
              <w:jc w:val="left"/>
              <w:rPr>
                <w:sz w:val="20"/>
              </w:rPr>
            </w:pPr>
            <w:r>
              <w:rPr>
                <w:sz w:val="20"/>
              </w:rPr>
              <w:t>80.58</w:t>
            </w:r>
          </w:p>
        </w:tc>
        <w:tc>
          <w:tcPr>
            <w:tcW w:w="1233" w:type="dxa"/>
          </w:tcPr>
          <w:p w:rsidR="007C5447" w:rsidRDefault="00F6308C">
            <w:pPr>
              <w:pStyle w:val="TableParagraph"/>
              <w:spacing w:before="34"/>
              <w:ind w:left="495"/>
              <w:jc w:val="left"/>
              <w:rPr>
                <w:sz w:val="20"/>
              </w:rPr>
            </w:pPr>
            <w:r>
              <w:rPr>
                <w:sz w:val="20"/>
              </w:rPr>
              <w:t>66.89</w:t>
            </w:r>
          </w:p>
        </w:tc>
        <w:tc>
          <w:tcPr>
            <w:tcW w:w="1232" w:type="dxa"/>
          </w:tcPr>
          <w:p w:rsidR="007C5447" w:rsidRDefault="00F6308C">
            <w:pPr>
              <w:pStyle w:val="TableParagraph"/>
              <w:spacing w:before="34"/>
              <w:ind w:left="493"/>
              <w:jc w:val="left"/>
              <w:rPr>
                <w:sz w:val="20"/>
              </w:rPr>
            </w:pPr>
            <w:r>
              <w:rPr>
                <w:sz w:val="20"/>
              </w:rPr>
              <w:t>66.89</w:t>
            </w:r>
          </w:p>
        </w:tc>
      </w:tr>
      <w:tr w:rsidR="007C5447">
        <w:trPr>
          <w:trHeight w:val="297"/>
        </w:trPr>
        <w:tc>
          <w:tcPr>
            <w:tcW w:w="821" w:type="dxa"/>
          </w:tcPr>
          <w:p w:rsidR="007C5447" w:rsidRDefault="00F6308C">
            <w:pPr>
              <w:pStyle w:val="TableParagraph"/>
              <w:spacing w:before="34"/>
              <w:ind w:left="107"/>
              <w:jc w:val="left"/>
              <w:rPr>
                <w:sz w:val="20"/>
              </w:rPr>
            </w:pPr>
            <w:r>
              <w:rPr>
                <w:w w:val="99"/>
                <w:sz w:val="20"/>
              </w:rPr>
              <w:t>4</w:t>
            </w:r>
          </w:p>
        </w:tc>
        <w:tc>
          <w:tcPr>
            <w:tcW w:w="2206" w:type="dxa"/>
          </w:tcPr>
          <w:p w:rsidR="007C5447" w:rsidRDefault="00F6308C">
            <w:pPr>
              <w:pStyle w:val="TableParagraph"/>
              <w:spacing w:before="34"/>
              <w:ind w:left="107"/>
              <w:jc w:val="left"/>
              <w:rPr>
                <w:sz w:val="20"/>
              </w:rPr>
            </w:pPr>
            <w:r>
              <w:rPr>
                <w:sz w:val="20"/>
              </w:rPr>
              <w:t>North Chennai TPS</w:t>
            </w:r>
          </w:p>
        </w:tc>
        <w:tc>
          <w:tcPr>
            <w:tcW w:w="1229" w:type="dxa"/>
          </w:tcPr>
          <w:p w:rsidR="007C5447" w:rsidRDefault="00F6308C">
            <w:pPr>
              <w:pStyle w:val="TableParagraph"/>
              <w:spacing w:before="34"/>
              <w:ind w:left="494"/>
              <w:jc w:val="left"/>
              <w:rPr>
                <w:sz w:val="20"/>
              </w:rPr>
            </w:pPr>
            <w:r>
              <w:rPr>
                <w:sz w:val="20"/>
              </w:rPr>
              <w:t>65.28</w:t>
            </w:r>
          </w:p>
        </w:tc>
        <w:tc>
          <w:tcPr>
            <w:tcW w:w="1232" w:type="dxa"/>
          </w:tcPr>
          <w:p w:rsidR="007C5447" w:rsidRDefault="00F6308C">
            <w:pPr>
              <w:pStyle w:val="TableParagraph"/>
              <w:spacing w:before="34"/>
              <w:ind w:left="395"/>
              <w:jc w:val="left"/>
              <w:rPr>
                <w:sz w:val="20"/>
              </w:rPr>
            </w:pPr>
            <w:r>
              <w:rPr>
                <w:sz w:val="20"/>
              </w:rPr>
              <w:t>117.98</w:t>
            </w:r>
          </w:p>
        </w:tc>
        <w:tc>
          <w:tcPr>
            <w:tcW w:w="1232" w:type="dxa"/>
          </w:tcPr>
          <w:p w:rsidR="007C5447" w:rsidRDefault="00F6308C">
            <w:pPr>
              <w:pStyle w:val="TableParagraph"/>
              <w:spacing w:before="34"/>
              <w:ind w:left="395"/>
              <w:jc w:val="left"/>
              <w:rPr>
                <w:sz w:val="20"/>
              </w:rPr>
            </w:pPr>
            <w:r>
              <w:rPr>
                <w:sz w:val="20"/>
              </w:rPr>
              <w:t>150.93</w:t>
            </w:r>
          </w:p>
        </w:tc>
        <w:tc>
          <w:tcPr>
            <w:tcW w:w="1233" w:type="dxa"/>
          </w:tcPr>
          <w:p w:rsidR="007C5447" w:rsidRDefault="00F6308C">
            <w:pPr>
              <w:pStyle w:val="TableParagraph"/>
              <w:spacing w:before="34"/>
              <w:ind w:left="396"/>
              <w:jc w:val="left"/>
              <w:rPr>
                <w:sz w:val="20"/>
              </w:rPr>
            </w:pPr>
            <w:r>
              <w:rPr>
                <w:sz w:val="20"/>
              </w:rPr>
              <w:t>135.19</w:t>
            </w:r>
          </w:p>
        </w:tc>
        <w:tc>
          <w:tcPr>
            <w:tcW w:w="1232" w:type="dxa"/>
          </w:tcPr>
          <w:p w:rsidR="007C5447" w:rsidRDefault="00F6308C">
            <w:pPr>
              <w:pStyle w:val="TableParagraph"/>
              <w:spacing w:before="34"/>
              <w:ind w:left="395"/>
              <w:jc w:val="left"/>
              <w:rPr>
                <w:sz w:val="20"/>
              </w:rPr>
            </w:pPr>
            <w:r>
              <w:rPr>
                <w:sz w:val="20"/>
              </w:rPr>
              <w:t>135.19</w:t>
            </w:r>
          </w:p>
        </w:tc>
      </w:tr>
      <w:tr w:rsidR="007C5447">
        <w:trPr>
          <w:trHeight w:val="294"/>
        </w:trPr>
        <w:tc>
          <w:tcPr>
            <w:tcW w:w="821" w:type="dxa"/>
          </w:tcPr>
          <w:p w:rsidR="007C5447" w:rsidRDefault="00F6308C">
            <w:pPr>
              <w:pStyle w:val="TableParagraph"/>
              <w:spacing w:before="34"/>
              <w:ind w:left="107"/>
              <w:jc w:val="left"/>
              <w:rPr>
                <w:sz w:val="20"/>
              </w:rPr>
            </w:pPr>
            <w:r>
              <w:rPr>
                <w:w w:val="99"/>
                <w:sz w:val="20"/>
              </w:rPr>
              <w:t>5</w:t>
            </w:r>
          </w:p>
        </w:tc>
        <w:tc>
          <w:tcPr>
            <w:tcW w:w="2206" w:type="dxa"/>
          </w:tcPr>
          <w:p w:rsidR="007C5447" w:rsidRDefault="00F6308C">
            <w:pPr>
              <w:pStyle w:val="TableParagraph"/>
              <w:spacing w:before="34"/>
              <w:ind w:left="107"/>
              <w:jc w:val="left"/>
              <w:rPr>
                <w:sz w:val="20"/>
              </w:rPr>
            </w:pPr>
            <w:r>
              <w:rPr>
                <w:sz w:val="20"/>
              </w:rPr>
              <w:t>Mettur TPS Stage III</w:t>
            </w:r>
          </w:p>
        </w:tc>
        <w:tc>
          <w:tcPr>
            <w:tcW w:w="1229" w:type="dxa"/>
          </w:tcPr>
          <w:p w:rsidR="007C5447" w:rsidRDefault="00F6308C">
            <w:pPr>
              <w:pStyle w:val="TableParagraph"/>
              <w:spacing w:before="34"/>
              <w:ind w:right="270"/>
              <w:rPr>
                <w:sz w:val="20"/>
              </w:rPr>
            </w:pPr>
            <w:r>
              <w:rPr>
                <w:w w:val="99"/>
                <w:sz w:val="20"/>
              </w:rPr>
              <w:t>-</w:t>
            </w:r>
          </w:p>
        </w:tc>
        <w:tc>
          <w:tcPr>
            <w:tcW w:w="1232" w:type="dxa"/>
          </w:tcPr>
          <w:p w:rsidR="007C5447" w:rsidRDefault="00F6308C">
            <w:pPr>
              <w:pStyle w:val="TableParagraph"/>
              <w:spacing w:before="34"/>
              <w:ind w:right="270"/>
              <w:rPr>
                <w:sz w:val="20"/>
              </w:rPr>
            </w:pPr>
            <w:r>
              <w:rPr>
                <w:w w:val="99"/>
                <w:sz w:val="20"/>
              </w:rPr>
              <w:t>-</w:t>
            </w:r>
          </w:p>
        </w:tc>
        <w:tc>
          <w:tcPr>
            <w:tcW w:w="1232" w:type="dxa"/>
          </w:tcPr>
          <w:p w:rsidR="007C5447" w:rsidRDefault="00F6308C">
            <w:pPr>
              <w:pStyle w:val="TableParagraph"/>
              <w:spacing w:before="34"/>
              <w:ind w:right="271"/>
              <w:rPr>
                <w:sz w:val="20"/>
              </w:rPr>
            </w:pPr>
            <w:r>
              <w:rPr>
                <w:w w:val="99"/>
                <w:sz w:val="20"/>
              </w:rPr>
              <w:t>-</w:t>
            </w:r>
          </w:p>
        </w:tc>
        <w:tc>
          <w:tcPr>
            <w:tcW w:w="1233" w:type="dxa"/>
          </w:tcPr>
          <w:p w:rsidR="007C5447" w:rsidRDefault="00F6308C">
            <w:pPr>
              <w:pStyle w:val="TableParagraph"/>
              <w:spacing w:before="34"/>
              <w:ind w:right="274"/>
              <w:rPr>
                <w:sz w:val="20"/>
              </w:rPr>
            </w:pPr>
            <w:r>
              <w:rPr>
                <w:w w:val="99"/>
                <w:sz w:val="20"/>
              </w:rPr>
              <w:t>-</w:t>
            </w:r>
          </w:p>
        </w:tc>
        <w:tc>
          <w:tcPr>
            <w:tcW w:w="1232" w:type="dxa"/>
          </w:tcPr>
          <w:p w:rsidR="007C5447" w:rsidRDefault="00F6308C">
            <w:pPr>
              <w:pStyle w:val="TableParagraph"/>
              <w:spacing w:before="34"/>
              <w:ind w:left="395"/>
              <w:jc w:val="left"/>
              <w:rPr>
                <w:sz w:val="20"/>
              </w:rPr>
            </w:pPr>
            <w:r>
              <w:rPr>
                <w:sz w:val="20"/>
              </w:rPr>
              <w:t>163.83</w:t>
            </w:r>
          </w:p>
        </w:tc>
      </w:tr>
      <w:tr w:rsidR="007C5447">
        <w:trPr>
          <w:trHeight w:val="297"/>
        </w:trPr>
        <w:tc>
          <w:tcPr>
            <w:tcW w:w="821" w:type="dxa"/>
          </w:tcPr>
          <w:p w:rsidR="007C5447" w:rsidRDefault="00F6308C">
            <w:pPr>
              <w:pStyle w:val="TableParagraph"/>
              <w:spacing w:before="34"/>
              <w:ind w:left="107"/>
              <w:jc w:val="left"/>
              <w:rPr>
                <w:sz w:val="20"/>
              </w:rPr>
            </w:pPr>
            <w:r>
              <w:rPr>
                <w:w w:val="99"/>
                <w:sz w:val="20"/>
              </w:rPr>
              <w:t>6</w:t>
            </w:r>
          </w:p>
        </w:tc>
        <w:tc>
          <w:tcPr>
            <w:tcW w:w="2206" w:type="dxa"/>
          </w:tcPr>
          <w:p w:rsidR="007C5447" w:rsidRDefault="00F6308C">
            <w:pPr>
              <w:pStyle w:val="TableParagraph"/>
              <w:spacing w:before="34"/>
              <w:ind w:left="107"/>
              <w:jc w:val="left"/>
              <w:rPr>
                <w:sz w:val="20"/>
              </w:rPr>
            </w:pPr>
            <w:r>
              <w:rPr>
                <w:sz w:val="20"/>
              </w:rPr>
              <w:t>NCTPS Stage II</w:t>
            </w:r>
          </w:p>
        </w:tc>
        <w:tc>
          <w:tcPr>
            <w:tcW w:w="1229" w:type="dxa"/>
          </w:tcPr>
          <w:p w:rsidR="007C5447" w:rsidRDefault="007C5447">
            <w:pPr>
              <w:pStyle w:val="TableParagraph"/>
              <w:jc w:val="left"/>
            </w:pPr>
          </w:p>
        </w:tc>
        <w:tc>
          <w:tcPr>
            <w:tcW w:w="1232" w:type="dxa"/>
          </w:tcPr>
          <w:p w:rsidR="007C5447" w:rsidRDefault="007C5447">
            <w:pPr>
              <w:pStyle w:val="TableParagraph"/>
              <w:jc w:val="left"/>
            </w:pPr>
          </w:p>
        </w:tc>
        <w:tc>
          <w:tcPr>
            <w:tcW w:w="1232" w:type="dxa"/>
          </w:tcPr>
          <w:p w:rsidR="007C5447" w:rsidRDefault="007C5447">
            <w:pPr>
              <w:pStyle w:val="TableParagraph"/>
              <w:jc w:val="left"/>
            </w:pPr>
          </w:p>
        </w:tc>
        <w:tc>
          <w:tcPr>
            <w:tcW w:w="1233" w:type="dxa"/>
          </w:tcPr>
          <w:p w:rsidR="007C5447" w:rsidRDefault="00F6308C">
            <w:pPr>
              <w:pStyle w:val="TableParagraph"/>
              <w:spacing w:before="34"/>
              <w:ind w:right="274"/>
              <w:rPr>
                <w:sz w:val="20"/>
              </w:rPr>
            </w:pPr>
            <w:r>
              <w:rPr>
                <w:w w:val="99"/>
                <w:sz w:val="20"/>
              </w:rPr>
              <w:t>-</w:t>
            </w:r>
          </w:p>
        </w:tc>
        <w:tc>
          <w:tcPr>
            <w:tcW w:w="1232" w:type="dxa"/>
          </w:tcPr>
          <w:p w:rsidR="007C5447" w:rsidRDefault="00F6308C">
            <w:pPr>
              <w:pStyle w:val="TableParagraph"/>
              <w:spacing w:before="34"/>
              <w:ind w:right="275"/>
              <w:rPr>
                <w:sz w:val="20"/>
              </w:rPr>
            </w:pPr>
            <w:r>
              <w:rPr>
                <w:w w:val="99"/>
                <w:sz w:val="20"/>
              </w:rPr>
              <w:t>-</w:t>
            </w:r>
          </w:p>
        </w:tc>
      </w:tr>
      <w:tr w:rsidR="007C5447">
        <w:trPr>
          <w:trHeight w:val="294"/>
        </w:trPr>
        <w:tc>
          <w:tcPr>
            <w:tcW w:w="821" w:type="dxa"/>
          </w:tcPr>
          <w:p w:rsidR="007C5447" w:rsidRDefault="00F6308C">
            <w:pPr>
              <w:pStyle w:val="TableParagraph"/>
              <w:spacing w:before="34"/>
              <w:ind w:left="107"/>
              <w:jc w:val="left"/>
              <w:rPr>
                <w:sz w:val="20"/>
              </w:rPr>
            </w:pPr>
            <w:r>
              <w:rPr>
                <w:w w:val="99"/>
                <w:sz w:val="20"/>
              </w:rPr>
              <w:t>7</w:t>
            </w:r>
          </w:p>
        </w:tc>
        <w:tc>
          <w:tcPr>
            <w:tcW w:w="2206" w:type="dxa"/>
          </w:tcPr>
          <w:p w:rsidR="007C5447" w:rsidRDefault="00F6308C">
            <w:pPr>
              <w:pStyle w:val="TableParagraph"/>
              <w:spacing w:before="34"/>
              <w:ind w:left="107"/>
              <w:jc w:val="left"/>
              <w:rPr>
                <w:sz w:val="20"/>
              </w:rPr>
            </w:pPr>
            <w:r>
              <w:rPr>
                <w:sz w:val="20"/>
              </w:rPr>
              <w:t>Tirumakottai GTPS</w:t>
            </w:r>
          </w:p>
        </w:tc>
        <w:tc>
          <w:tcPr>
            <w:tcW w:w="1229" w:type="dxa"/>
          </w:tcPr>
          <w:p w:rsidR="007C5447" w:rsidRDefault="00F6308C">
            <w:pPr>
              <w:pStyle w:val="TableParagraph"/>
              <w:spacing w:before="34"/>
              <w:ind w:left="494"/>
              <w:jc w:val="left"/>
              <w:rPr>
                <w:sz w:val="20"/>
              </w:rPr>
            </w:pPr>
            <w:r>
              <w:rPr>
                <w:sz w:val="20"/>
              </w:rPr>
              <w:t>14.80</w:t>
            </w:r>
          </w:p>
        </w:tc>
        <w:tc>
          <w:tcPr>
            <w:tcW w:w="1232" w:type="dxa"/>
          </w:tcPr>
          <w:p w:rsidR="007C5447" w:rsidRDefault="00F6308C">
            <w:pPr>
              <w:pStyle w:val="TableParagraph"/>
              <w:spacing w:before="34"/>
              <w:ind w:left="496"/>
              <w:jc w:val="left"/>
              <w:rPr>
                <w:sz w:val="20"/>
              </w:rPr>
            </w:pPr>
            <w:r>
              <w:rPr>
                <w:sz w:val="20"/>
              </w:rPr>
              <w:t>26.74</w:t>
            </w:r>
          </w:p>
        </w:tc>
        <w:tc>
          <w:tcPr>
            <w:tcW w:w="1232" w:type="dxa"/>
          </w:tcPr>
          <w:p w:rsidR="007C5447" w:rsidRDefault="00F6308C">
            <w:pPr>
              <w:pStyle w:val="TableParagraph"/>
              <w:spacing w:before="34"/>
              <w:ind w:left="495"/>
              <w:jc w:val="left"/>
              <w:rPr>
                <w:sz w:val="20"/>
              </w:rPr>
            </w:pPr>
            <w:r>
              <w:rPr>
                <w:sz w:val="20"/>
              </w:rPr>
              <w:t>32.71</w:t>
            </w:r>
          </w:p>
        </w:tc>
        <w:tc>
          <w:tcPr>
            <w:tcW w:w="1233" w:type="dxa"/>
          </w:tcPr>
          <w:p w:rsidR="007C5447" w:rsidRDefault="00F6308C">
            <w:pPr>
              <w:pStyle w:val="TableParagraph"/>
              <w:spacing w:before="34"/>
              <w:ind w:left="495"/>
              <w:jc w:val="left"/>
              <w:rPr>
                <w:sz w:val="20"/>
              </w:rPr>
            </w:pPr>
            <w:r>
              <w:rPr>
                <w:sz w:val="20"/>
              </w:rPr>
              <w:t>26.84</w:t>
            </w:r>
          </w:p>
        </w:tc>
        <w:tc>
          <w:tcPr>
            <w:tcW w:w="1232" w:type="dxa"/>
          </w:tcPr>
          <w:p w:rsidR="007C5447" w:rsidRDefault="00F6308C">
            <w:pPr>
              <w:pStyle w:val="TableParagraph"/>
              <w:spacing w:before="34"/>
              <w:ind w:left="493"/>
              <w:jc w:val="left"/>
              <w:rPr>
                <w:sz w:val="20"/>
              </w:rPr>
            </w:pPr>
            <w:r>
              <w:rPr>
                <w:sz w:val="20"/>
              </w:rPr>
              <w:t>26.84</w:t>
            </w:r>
          </w:p>
        </w:tc>
      </w:tr>
      <w:tr w:rsidR="007C5447">
        <w:trPr>
          <w:trHeight w:val="297"/>
        </w:trPr>
        <w:tc>
          <w:tcPr>
            <w:tcW w:w="821" w:type="dxa"/>
          </w:tcPr>
          <w:p w:rsidR="007C5447" w:rsidRDefault="00F6308C">
            <w:pPr>
              <w:pStyle w:val="TableParagraph"/>
              <w:spacing w:before="34"/>
              <w:ind w:left="107"/>
              <w:jc w:val="left"/>
              <w:rPr>
                <w:sz w:val="20"/>
              </w:rPr>
            </w:pPr>
            <w:r>
              <w:rPr>
                <w:w w:val="99"/>
                <w:sz w:val="20"/>
              </w:rPr>
              <w:t>8</w:t>
            </w:r>
          </w:p>
        </w:tc>
        <w:tc>
          <w:tcPr>
            <w:tcW w:w="2206" w:type="dxa"/>
          </w:tcPr>
          <w:p w:rsidR="007C5447" w:rsidRDefault="00F6308C">
            <w:pPr>
              <w:pStyle w:val="TableParagraph"/>
              <w:spacing w:before="34"/>
              <w:ind w:left="107"/>
              <w:jc w:val="left"/>
              <w:rPr>
                <w:sz w:val="20"/>
              </w:rPr>
            </w:pPr>
            <w:r>
              <w:rPr>
                <w:sz w:val="20"/>
              </w:rPr>
              <w:t>Kuttalam GTPS</w:t>
            </w:r>
          </w:p>
        </w:tc>
        <w:tc>
          <w:tcPr>
            <w:tcW w:w="1229" w:type="dxa"/>
          </w:tcPr>
          <w:p w:rsidR="007C5447" w:rsidRDefault="00F6308C">
            <w:pPr>
              <w:pStyle w:val="TableParagraph"/>
              <w:spacing w:before="34"/>
              <w:ind w:left="494"/>
              <w:jc w:val="left"/>
              <w:rPr>
                <w:sz w:val="20"/>
              </w:rPr>
            </w:pPr>
            <w:r>
              <w:rPr>
                <w:sz w:val="20"/>
              </w:rPr>
              <w:t>11.52</w:t>
            </w:r>
          </w:p>
        </w:tc>
        <w:tc>
          <w:tcPr>
            <w:tcW w:w="1232" w:type="dxa"/>
          </w:tcPr>
          <w:p w:rsidR="007C5447" w:rsidRDefault="00F6308C">
            <w:pPr>
              <w:pStyle w:val="TableParagraph"/>
              <w:spacing w:before="34"/>
              <w:ind w:left="496"/>
              <w:jc w:val="left"/>
              <w:rPr>
                <w:sz w:val="20"/>
              </w:rPr>
            </w:pPr>
            <w:r>
              <w:rPr>
                <w:sz w:val="20"/>
              </w:rPr>
              <w:t>20.82</w:t>
            </w:r>
          </w:p>
        </w:tc>
        <w:tc>
          <w:tcPr>
            <w:tcW w:w="1232" w:type="dxa"/>
          </w:tcPr>
          <w:p w:rsidR="007C5447" w:rsidRDefault="00F6308C">
            <w:pPr>
              <w:pStyle w:val="TableParagraph"/>
              <w:spacing w:before="34"/>
              <w:ind w:left="495"/>
              <w:jc w:val="left"/>
              <w:rPr>
                <w:sz w:val="20"/>
              </w:rPr>
            </w:pPr>
            <w:r>
              <w:rPr>
                <w:sz w:val="20"/>
              </w:rPr>
              <w:t>28.01</w:t>
            </w:r>
          </w:p>
        </w:tc>
        <w:tc>
          <w:tcPr>
            <w:tcW w:w="1233" w:type="dxa"/>
          </w:tcPr>
          <w:p w:rsidR="007C5447" w:rsidRDefault="00F6308C">
            <w:pPr>
              <w:pStyle w:val="TableParagraph"/>
              <w:spacing w:before="34"/>
              <w:ind w:left="495"/>
              <w:jc w:val="left"/>
              <w:rPr>
                <w:sz w:val="20"/>
              </w:rPr>
            </w:pPr>
            <w:r>
              <w:rPr>
                <w:sz w:val="20"/>
              </w:rPr>
              <w:t>27.80</w:t>
            </w:r>
          </w:p>
        </w:tc>
        <w:tc>
          <w:tcPr>
            <w:tcW w:w="1232" w:type="dxa"/>
          </w:tcPr>
          <w:p w:rsidR="007C5447" w:rsidRDefault="00F6308C">
            <w:pPr>
              <w:pStyle w:val="TableParagraph"/>
              <w:spacing w:before="34"/>
              <w:ind w:left="493"/>
              <w:jc w:val="left"/>
              <w:rPr>
                <w:sz w:val="20"/>
              </w:rPr>
            </w:pPr>
            <w:r>
              <w:rPr>
                <w:sz w:val="20"/>
              </w:rPr>
              <w:t>27.80</w:t>
            </w:r>
          </w:p>
        </w:tc>
      </w:tr>
      <w:tr w:rsidR="007C5447">
        <w:trPr>
          <w:trHeight w:val="294"/>
        </w:trPr>
        <w:tc>
          <w:tcPr>
            <w:tcW w:w="821" w:type="dxa"/>
          </w:tcPr>
          <w:p w:rsidR="007C5447" w:rsidRDefault="00F6308C">
            <w:pPr>
              <w:pStyle w:val="TableParagraph"/>
              <w:spacing w:before="34"/>
              <w:ind w:left="107"/>
              <w:jc w:val="left"/>
              <w:rPr>
                <w:sz w:val="20"/>
              </w:rPr>
            </w:pPr>
            <w:r>
              <w:rPr>
                <w:w w:val="99"/>
                <w:sz w:val="20"/>
              </w:rPr>
              <w:t>9</w:t>
            </w:r>
          </w:p>
        </w:tc>
        <w:tc>
          <w:tcPr>
            <w:tcW w:w="2206" w:type="dxa"/>
          </w:tcPr>
          <w:p w:rsidR="007C5447" w:rsidRDefault="00F6308C">
            <w:pPr>
              <w:pStyle w:val="TableParagraph"/>
              <w:spacing w:before="34"/>
              <w:ind w:left="107"/>
              <w:jc w:val="left"/>
              <w:rPr>
                <w:sz w:val="20"/>
              </w:rPr>
            </w:pPr>
            <w:r>
              <w:rPr>
                <w:sz w:val="20"/>
              </w:rPr>
              <w:t>Basin Bridge GTPS</w:t>
            </w:r>
          </w:p>
        </w:tc>
        <w:tc>
          <w:tcPr>
            <w:tcW w:w="1229" w:type="dxa"/>
          </w:tcPr>
          <w:p w:rsidR="007C5447" w:rsidRDefault="00F6308C">
            <w:pPr>
              <w:pStyle w:val="TableParagraph"/>
              <w:spacing w:before="34"/>
              <w:ind w:left="494"/>
              <w:jc w:val="left"/>
              <w:rPr>
                <w:sz w:val="20"/>
              </w:rPr>
            </w:pPr>
            <w:r>
              <w:rPr>
                <w:sz w:val="20"/>
              </w:rPr>
              <w:t>18.09</w:t>
            </w:r>
          </w:p>
        </w:tc>
        <w:tc>
          <w:tcPr>
            <w:tcW w:w="1232" w:type="dxa"/>
          </w:tcPr>
          <w:p w:rsidR="007C5447" w:rsidRDefault="00F6308C">
            <w:pPr>
              <w:pStyle w:val="TableParagraph"/>
              <w:spacing w:before="34"/>
              <w:ind w:left="496"/>
              <w:jc w:val="left"/>
              <w:rPr>
                <w:sz w:val="20"/>
              </w:rPr>
            </w:pPr>
            <w:r>
              <w:rPr>
                <w:sz w:val="20"/>
              </w:rPr>
              <w:t>32.70</w:t>
            </w:r>
          </w:p>
        </w:tc>
        <w:tc>
          <w:tcPr>
            <w:tcW w:w="1232" w:type="dxa"/>
          </w:tcPr>
          <w:p w:rsidR="007C5447" w:rsidRDefault="00F6308C">
            <w:pPr>
              <w:pStyle w:val="TableParagraph"/>
              <w:spacing w:before="34"/>
              <w:ind w:left="495"/>
              <w:jc w:val="left"/>
              <w:rPr>
                <w:sz w:val="20"/>
              </w:rPr>
            </w:pPr>
            <w:r>
              <w:rPr>
                <w:sz w:val="20"/>
              </w:rPr>
              <w:t>39.99</w:t>
            </w:r>
          </w:p>
        </w:tc>
        <w:tc>
          <w:tcPr>
            <w:tcW w:w="1233" w:type="dxa"/>
          </w:tcPr>
          <w:p w:rsidR="007C5447" w:rsidRDefault="00F6308C">
            <w:pPr>
              <w:pStyle w:val="TableParagraph"/>
              <w:spacing w:before="34"/>
              <w:ind w:left="495"/>
              <w:jc w:val="left"/>
              <w:rPr>
                <w:sz w:val="20"/>
              </w:rPr>
            </w:pPr>
            <w:r>
              <w:rPr>
                <w:sz w:val="20"/>
              </w:rPr>
              <w:t>32.56</w:t>
            </w:r>
          </w:p>
        </w:tc>
        <w:tc>
          <w:tcPr>
            <w:tcW w:w="1232" w:type="dxa"/>
          </w:tcPr>
          <w:p w:rsidR="007C5447" w:rsidRDefault="00F6308C">
            <w:pPr>
              <w:pStyle w:val="TableParagraph"/>
              <w:spacing w:before="34"/>
              <w:ind w:left="493"/>
              <w:jc w:val="left"/>
              <w:rPr>
                <w:sz w:val="20"/>
              </w:rPr>
            </w:pPr>
            <w:r>
              <w:rPr>
                <w:sz w:val="20"/>
              </w:rPr>
              <w:t>32.56</w:t>
            </w:r>
          </w:p>
        </w:tc>
      </w:tr>
      <w:tr w:rsidR="007C5447">
        <w:trPr>
          <w:trHeight w:val="297"/>
        </w:trPr>
        <w:tc>
          <w:tcPr>
            <w:tcW w:w="821" w:type="dxa"/>
          </w:tcPr>
          <w:p w:rsidR="007C5447" w:rsidRDefault="00F6308C">
            <w:pPr>
              <w:pStyle w:val="TableParagraph"/>
              <w:spacing w:before="34"/>
              <w:ind w:left="107"/>
              <w:jc w:val="left"/>
              <w:rPr>
                <w:sz w:val="20"/>
              </w:rPr>
            </w:pPr>
            <w:r>
              <w:rPr>
                <w:sz w:val="20"/>
              </w:rPr>
              <w:t>10</w:t>
            </w:r>
          </w:p>
        </w:tc>
        <w:tc>
          <w:tcPr>
            <w:tcW w:w="2206" w:type="dxa"/>
          </w:tcPr>
          <w:p w:rsidR="007C5447" w:rsidRDefault="00F6308C">
            <w:pPr>
              <w:pStyle w:val="TableParagraph"/>
              <w:spacing w:before="34"/>
              <w:ind w:left="107"/>
              <w:jc w:val="left"/>
              <w:rPr>
                <w:sz w:val="20"/>
              </w:rPr>
            </w:pPr>
            <w:r>
              <w:rPr>
                <w:sz w:val="20"/>
              </w:rPr>
              <w:t>Valuthur GTPS</w:t>
            </w:r>
          </w:p>
        </w:tc>
        <w:tc>
          <w:tcPr>
            <w:tcW w:w="1229" w:type="dxa"/>
          </w:tcPr>
          <w:p w:rsidR="007C5447" w:rsidRDefault="00F6308C">
            <w:pPr>
              <w:pStyle w:val="TableParagraph"/>
              <w:spacing w:before="34"/>
              <w:ind w:left="494"/>
              <w:jc w:val="left"/>
              <w:rPr>
                <w:sz w:val="20"/>
              </w:rPr>
            </w:pPr>
            <w:r>
              <w:rPr>
                <w:sz w:val="20"/>
              </w:rPr>
              <w:t>17.75</w:t>
            </w:r>
          </w:p>
        </w:tc>
        <w:tc>
          <w:tcPr>
            <w:tcW w:w="1232" w:type="dxa"/>
          </w:tcPr>
          <w:p w:rsidR="007C5447" w:rsidRDefault="00F6308C">
            <w:pPr>
              <w:pStyle w:val="TableParagraph"/>
              <w:spacing w:before="34"/>
              <w:ind w:left="496"/>
              <w:jc w:val="left"/>
              <w:rPr>
                <w:sz w:val="20"/>
              </w:rPr>
            </w:pPr>
            <w:r>
              <w:rPr>
                <w:sz w:val="20"/>
              </w:rPr>
              <w:t>32.08</w:t>
            </w:r>
          </w:p>
        </w:tc>
        <w:tc>
          <w:tcPr>
            <w:tcW w:w="1232" w:type="dxa"/>
          </w:tcPr>
          <w:p w:rsidR="007C5447" w:rsidRDefault="00F6308C">
            <w:pPr>
              <w:pStyle w:val="TableParagraph"/>
              <w:spacing w:before="34"/>
              <w:ind w:left="495"/>
              <w:jc w:val="left"/>
              <w:rPr>
                <w:sz w:val="20"/>
              </w:rPr>
            </w:pPr>
            <w:r>
              <w:rPr>
                <w:sz w:val="20"/>
              </w:rPr>
              <w:t>39.96</w:t>
            </w:r>
          </w:p>
        </w:tc>
        <w:tc>
          <w:tcPr>
            <w:tcW w:w="1233" w:type="dxa"/>
          </w:tcPr>
          <w:p w:rsidR="007C5447" w:rsidRDefault="00F6308C">
            <w:pPr>
              <w:pStyle w:val="TableParagraph"/>
              <w:spacing w:before="34"/>
              <w:ind w:left="495"/>
              <w:jc w:val="left"/>
              <w:rPr>
                <w:sz w:val="20"/>
              </w:rPr>
            </w:pPr>
            <w:r>
              <w:rPr>
                <w:sz w:val="20"/>
              </w:rPr>
              <w:t>34.31</w:t>
            </w:r>
          </w:p>
        </w:tc>
        <w:tc>
          <w:tcPr>
            <w:tcW w:w="1232" w:type="dxa"/>
          </w:tcPr>
          <w:p w:rsidR="007C5447" w:rsidRDefault="00F6308C">
            <w:pPr>
              <w:pStyle w:val="TableParagraph"/>
              <w:spacing w:before="34"/>
              <w:ind w:left="493"/>
              <w:jc w:val="left"/>
              <w:rPr>
                <w:sz w:val="20"/>
              </w:rPr>
            </w:pPr>
            <w:r>
              <w:rPr>
                <w:sz w:val="20"/>
              </w:rPr>
              <w:t>34.31</w:t>
            </w:r>
          </w:p>
        </w:tc>
      </w:tr>
      <w:tr w:rsidR="007C5447">
        <w:trPr>
          <w:trHeight w:val="294"/>
        </w:trPr>
        <w:tc>
          <w:tcPr>
            <w:tcW w:w="821" w:type="dxa"/>
          </w:tcPr>
          <w:p w:rsidR="007C5447" w:rsidRDefault="00F6308C">
            <w:pPr>
              <w:pStyle w:val="TableParagraph"/>
              <w:spacing w:before="34"/>
              <w:ind w:left="107"/>
              <w:jc w:val="left"/>
              <w:rPr>
                <w:sz w:val="20"/>
              </w:rPr>
            </w:pPr>
            <w:r>
              <w:rPr>
                <w:sz w:val="20"/>
              </w:rPr>
              <w:t>11</w:t>
            </w:r>
          </w:p>
        </w:tc>
        <w:tc>
          <w:tcPr>
            <w:tcW w:w="2206" w:type="dxa"/>
          </w:tcPr>
          <w:p w:rsidR="007C5447" w:rsidRDefault="00F6308C">
            <w:pPr>
              <w:pStyle w:val="TableParagraph"/>
              <w:spacing w:before="34"/>
              <w:ind w:left="107"/>
              <w:jc w:val="left"/>
              <w:rPr>
                <w:sz w:val="20"/>
              </w:rPr>
            </w:pPr>
            <w:r>
              <w:rPr>
                <w:sz w:val="20"/>
              </w:rPr>
              <w:t>Erode HEP</w:t>
            </w:r>
          </w:p>
        </w:tc>
        <w:tc>
          <w:tcPr>
            <w:tcW w:w="1229" w:type="dxa"/>
          </w:tcPr>
          <w:p w:rsidR="007C5447" w:rsidRDefault="00F6308C">
            <w:pPr>
              <w:pStyle w:val="TableParagraph"/>
              <w:spacing w:before="34"/>
              <w:ind w:left="494"/>
              <w:jc w:val="left"/>
              <w:rPr>
                <w:sz w:val="20"/>
              </w:rPr>
            </w:pPr>
            <w:r>
              <w:rPr>
                <w:sz w:val="20"/>
              </w:rPr>
              <w:t>22.84</w:t>
            </w:r>
          </w:p>
        </w:tc>
        <w:tc>
          <w:tcPr>
            <w:tcW w:w="1232" w:type="dxa"/>
          </w:tcPr>
          <w:p w:rsidR="007C5447" w:rsidRDefault="00F6308C">
            <w:pPr>
              <w:pStyle w:val="TableParagraph"/>
              <w:spacing w:before="34"/>
              <w:ind w:left="496"/>
              <w:jc w:val="left"/>
              <w:rPr>
                <w:sz w:val="20"/>
              </w:rPr>
            </w:pPr>
            <w:r>
              <w:rPr>
                <w:sz w:val="20"/>
              </w:rPr>
              <w:t>41.29</w:t>
            </w:r>
          </w:p>
        </w:tc>
        <w:tc>
          <w:tcPr>
            <w:tcW w:w="1232" w:type="dxa"/>
          </w:tcPr>
          <w:p w:rsidR="007C5447" w:rsidRDefault="00F6308C">
            <w:pPr>
              <w:pStyle w:val="TableParagraph"/>
              <w:spacing w:before="34"/>
              <w:ind w:left="495"/>
              <w:jc w:val="left"/>
              <w:rPr>
                <w:sz w:val="20"/>
              </w:rPr>
            </w:pPr>
            <w:r>
              <w:rPr>
                <w:sz w:val="20"/>
              </w:rPr>
              <w:t>62.14</w:t>
            </w:r>
          </w:p>
        </w:tc>
        <w:tc>
          <w:tcPr>
            <w:tcW w:w="1233" w:type="dxa"/>
          </w:tcPr>
          <w:p w:rsidR="007C5447" w:rsidRDefault="00F6308C">
            <w:pPr>
              <w:pStyle w:val="TableParagraph"/>
              <w:spacing w:before="34"/>
              <w:ind w:left="495"/>
              <w:jc w:val="left"/>
              <w:rPr>
                <w:sz w:val="20"/>
              </w:rPr>
            </w:pPr>
            <w:r>
              <w:rPr>
                <w:sz w:val="20"/>
              </w:rPr>
              <w:t>70.00</w:t>
            </w:r>
          </w:p>
        </w:tc>
        <w:tc>
          <w:tcPr>
            <w:tcW w:w="1232" w:type="dxa"/>
          </w:tcPr>
          <w:p w:rsidR="007C5447" w:rsidRDefault="00F6308C">
            <w:pPr>
              <w:pStyle w:val="TableParagraph"/>
              <w:spacing w:before="34"/>
              <w:ind w:left="493"/>
              <w:jc w:val="left"/>
              <w:rPr>
                <w:sz w:val="20"/>
              </w:rPr>
            </w:pPr>
            <w:r>
              <w:rPr>
                <w:sz w:val="20"/>
              </w:rPr>
              <w:t>70.00</w:t>
            </w:r>
          </w:p>
        </w:tc>
      </w:tr>
      <w:tr w:rsidR="007C5447">
        <w:trPr>
          <w:trHeight w:val="297"/>
        </w:trPr>
        <w:tc>
          <w:tcPr>
            <w:tcW w:w="821" w:type="dxa"/>
          </w:tcPr>
          <w:p w:rsidR="007C5447" w:rsidRDefault="00F6308C">
            <w:pPr>
              <w:pStyle w:val="TableParagraph"/>
              <w:spacing w:before="34"/>
              <w:ind w:left="107"/>
              <w:jc w:val="left"/>
              <w:rPr>
                <w:sz w:val="20"/>
              </w:rPr>
            </w:pPr>
            <w:r>
              <w:rPr>
                <w:sz w:val="20"/>
              </w:rPr>
              <w:t>12</w:t>
            </w:r>
          </w:p>
        </w:tc>
        <w:tc>
          <w:tcPr>
            <w:tcW w:w="2206" w:type="dxa"/>
          </w:tcPr>
          <w:p w:rsidR="007C5447" w:rsidRDefault="00F6308C">
            <w:pPr>
              <w:pStyle w:val="TableParagraph"/>
              <w:spacing w:before="34"/>
              <w:ind w:left="107"/>
              <w:jc w:val="left"/>
              <w:rPr>
                <w:sz w:val="20"/>
              </w:rPr>
            </w:pPr>
            <w:r>
              <w:rPr>
                <w:sz w:val="20"/>
              </w:rPr>
              <w:t>Kadamparai HEP</w:t>
            </w:r>
          </w:p>
        </w:tc>
        <w:tc>
          <w:tcPr>
            <w:tcW w:w="1229" w:type="dxa"/>
          </w:tcPr>
          <w:p w:rsidR="007C5447" w:rsidRDefault="00F6308C">
            <w:pPr>
              <w:pStyle w:val="TableParagraph"/>
              <w:spacing w:before="34"/>
              <w:ind w:left="494"/>
              <w:jc w:val="left"/>
              <w:rPr>
                <w:sz w:val="20"/>
              </w:rPr>
            </w:pPr>
            <w:r>
              <w:rPr>
                <w:sz w:val="20"/>
              </w:rPr>
              <w:t>11.93</w:t>
            </w:r>
          </w:p>
        </w:tc>
        <w:tc>
          <w:tcPr>
            <w:tcW w:w="1232" w:type="dxa"/>
          </w:tcPr>
          <w:p w:rsidR="007C5447" w:rsidRDefault="00F6308C">
            <w:pPr>
              <w:pStyle w:val="TableParagraph"/>
              <w:spacing w:before="34"/>
              <w:ind w:left="496"/>
              <w:jc w:val="left"/>
              <w:rPr>
                <w:sz w:val="20"/>
              </w:rPr>
            </w:pPr>
            <w:r>
              <w:rPr>
                <w:sz w:val="20"/>
              </w:rPr>
              <w:t>21.56</w:t>
            </w:r>
          </w:p>
        </w:tc>
        <w:tc>
          <w:tcPr>
            <w:tcW w:w="1232" w:type="dxa"/>
          </w:tcPr>
          <w:p w:rsidR="007C5447" w:rsidRDefault="00F6308C">
            <w:pPr>
              <w:pStyle w:val="TableParagraph"/>
              <w:spacing w:before="34"/>
              <w:ind w:left="495"/>
              <w:jc w:val="left"/>
              <w:rPr>
                <w:sz w:val="20"/>
              </w:rPr>
            </w:pPr>
            <w:r>
              <w:rPr>
                <w:sz w:val="20"/>
              </w:rPr>
              <w:t>26.70</w:t>
            </w:r>
          </w:p>
        </w:tc>
        <w:tc>
          <w:tcPr>
            <w:tcW w:w="1233" w:type="dxa"/>
          </w:tcPr>
          <w:p w:rsidR="007C5447" w:rsidRDefault="00F6308C">
            <w:pPr>
              <w:pStyle w:val="TableParagraph"/>
              <w:spacing w:before="34"/>
              <w:ind w:left="495"/>
              <w:jc w:val="left"/>
              <w:rPr>
                <w:sz w:val="20"/>
              </w:rPr>
            </w:pPr>
            <w:r>
              <w:rPr>
                <w:sz w:val="20"/>
              </w:rPr>
              <w:t>22.43</w:t>
            </w:r>
          </w:p>
        </w:tc>
        <w:tc>
          <w:tcPr>
            <w:tcW w:w="1232" w:type="dxa"/>
          </w:tcPr>
          <w:p w:rsidR="007C5447" w:rsidRDefault="00F6308C">
            <w:pPr>
              <w:pStyle w:val="TableParagraph"/>
              <w:spacing w:before="34"/>
              <w:ind w:left="493"/>
              <w:jc w:val="left"/>
              <w:rPr>
                <w:sz w:val="20"/>
              </w:rPr>
            </w:pPr>
            <w:r>
              <w:rPr>
                <w:sz w:val="20"/>
              </w:rPr>
              <w:t>22.43</w:t>
            </w:r>
          </w:p>
        </w:tc>
      </w:tr>
      <w:tr w:rsidR="007C5447">
        <w:trPr>
          <w:trHeight w:val="294"/>
        </w:trPr>
        <w:tc>
          <w:tcPr>
            <w:tcW w:w="821" w:type="dxa"/>
          </w:tcPr>
          <w:p w:rsidR="007C5447" w:rsidRDefault="00F6308C">
            <w:pPr>
              <w:pStyle w:val="TableParagraph"/>
              <w:spacing w:before="34"/>
              <w:ind w:left="107"/>
              <w:jc w:val="left"/>
              <w:rPr>
                <w:sz w:val="20"/>
              </w:rPr>
            </w:pPr>
            <w:r>
              <w:rPr>
                <w:sz w:val="20"/>
              </w:rPr>
              <w:t>13</w:t>
            </w:r>
          </w:p>
        </w:tc>
        <w:tc>
          <w:tcPr>
            <w:tcW w:w="2206" w:type="dxa"/>
          </w:tcPr>
          <w:p w:rsidR="007C5447" w:rsidRDefault="00F6308C">
            <w:pPr>
              <w:pStyle w:val="TableParagraph"/>
              <w:spacing w:before="34"/>
              <w:ind w:left="107"/>
              <w:jc w:val="left"/>
              <w:rPr>
                <w:sz w:val="20"/>
              </w:rPr>
            </w:pPr>
            <w:r>
              <w:rPr>
                <w:sz w:val="20"/>
              </w:rPr>
              <w:t>Kundah HEP</w:t>
            </w:r>
          </w:p>
        </w:tc>
        <w:tc>
          <w:tcPr>
            <w:tcW w:w="1229" w:type="dxa"/>
          </w:tcPr>
          <w:p w:rsidR="007C5447" w:rsidRDefault="00F6308C">
            <w:pPr>
              <w:pStyle w:val="TableParagraph"/>
              <w:spacing w:before="34"/>
              <w:ind w:left="494"/>
              <w:jc w:val="left"/>
              <w:rPr>
                <w:sz w:val="20"/>
              </w:rPr>
            </w:pPr>
            <w:r>
              <w:rPr>
                <w:sz w:val="20"/>
              </w:rPr>
              <w:t>31.37</w:t>
            </w:r>
          </w:p>
        </w:tc>
        <w:tc>
          <w:tcPr>
            <w:tcW w:w="1232" w:type="dxa"/>
          </w:tcPr>
          <w:p w:rsidR="007C5447" w:rsidRDefault="00F6308C">
            <w:pPr>
              <w:pStyle w:val="TableParagraph"/>
              <w:spacing w:before="34"/>
              <w:ind w:left="496"/>
              <w:jc w:val="left"/>
              <w:rPr>
                <w:sz w:val="20"/>
              </w:rPr>
            </w:pPr>
            <w:r>
              <w:rPr>
                <w:sz w:val="20"/>
              </w:rPr>
              <w:t>56.70</w:t>
            </w:r>
          </w:p>
        </w:tc>
        <w:tc>
          <w:tcPr>
            <w:tcW w:w="1232" w:type="dxa"/>
          </w:tcPr>
          <w:p w:rsidR="007C5447" w:rsidRDefault="00F6308C">
            <w:pPr>
              <w:pStyle w:val="TableParagraph"/>
              <w:spacing w:before="34"/>
              <w:ind w:left="495"/>
              <w:jc w:val="left"/>
              <w:rPr>
                <w:sz w:val="20"/>
              </w:rPr>
            </w:pPr>
            <w:r>
              <w:rPr>
                <w:sz w:val="20"/>
              </w:rPr>
              <w:t>69.52</w:t>
            </w:r>
          </w:p>
        </w:tc>
        <w:tc>
          <w:tcPr>
            <w:tcW w:w="1233" w:type="dxa"/>
          </w:tcPr>
          <w:p w:rsidR="007C5447" w:rsidRDefault="00F6308C">
            <w:pPr>
              <w:pStyle w:val="TableParagraph"/>
              <w:spacing w:before="34"/>
              <w:ind w:left="495"/>
              <w:jc w:val="left"/>
              <w:rPr>
                <w:sz w:val="20"/>
              </w:rPr>
            </w:pPr>
            <w:r>
              <w:rPr>
                <w:sz w:val="20"/>
              </w:rPr>
              <w:t>57.12</w:t>
            </w:r>
          </w:p>
        </w:tc>
        <w:tc>
          <w:tcPr>
            <w:tcW w:w="1232" w:type="dxa"/>
          </w:tcPr>
          <w:p w:rsidR="007C5447" w:rsidRDefault="00F6308C">
            <w:pPr>
              <w:pStyle w:val="TableParagraph"/>
              <w:spacing w:before="34"/>
              <w:ind w:left="493"/>
              <w:jc w:val="left"/>
              <w:rPr>
                <w:sz w:val="20"/>
              </w:rPr>
            </w:pPr>
            <w:r>
              <w:rPr>
                <w:sz w:val="20"/>
              </w:rPr>
              <w:t>57.12</w:t>
            </w:r>
          </w:p>
        </w:tc>
      </w:tr>
      <w:tr w:rsidR="007C5447">
        <w:trPr>
          <w:trHeight w:val="297"/>
        </w:trPr>
        <w:tc>
          <w:tcPr>
            <w:tcW w:w="821" w:type="dxa"/>
          </w:tcPr>
          <w:p w:rsidR="007C5447" w:rsidRDefault="00F6308C">
            <w:pPr>
              <w:pStyle w:val="TableParagraph"/>
              <w:spacing w:before="34"/>
              <w:ind w:left="107"/>
              <w:jc w:val="left"/>
              <w:rPr>
                <w:sz w:val="20"/>
              </w:rPr>
            </w:pPr>
            <w:r>
              <w:rPr>
                <w:sz w:val="20"/>
              </w:rPr>
              <w:t>14</w:t>
            </w:r>
          </w:p>
        </w:tc>
        <w:tc>
          <w:tcPr>
            <w:tcW w:w="2206" w:type="dxa"/>
          </w:tcPr>
          <w:p w:rsidR="007C5447" w:rsidRDefault="00F6308C">
            <w:pPr>
              <w:pStyle w:val="TableParagraph"/>
              <w:spacing w:before="34"/>
              <w:ind w:left="107"/>
              <w:jc w:val="left"/>
              <w:rPr>
                <w:sz w:val="20"/>
              </w:rPr>
            </w:pPr>
            <w:r>
              <w:rPr>
                <w:sz w:val="20"/>
              </w:rPr>
              <w:t>Tirunelveli HEP</w:t>
            </w:r>
          </w:p>
        </w:tc>
        <w:tc>
          <w:tcPr>
            <w:tcW w:w="1229" w:type="dxa"/>
          </w:tcPr>
          <w:p w:rsidR="007C5447" w:rsidRDefault="00F6308C">
            <w:pPr>
              <w:pStyle w:val="TableParagraph"/>
              <w:spacing w:before="34"/>
              <w:ind w:left="494"/>
              <w:jc w:val="left"/>
              <w:rPr>
                <w:sz w:val="20"/>
              </w:rPr>
            </w:pPr>
            <w:r>
              <w:rPr>
                <w:sz w:val="20"/>
              </w:rPr>
              <w:t>12.53</w:t>
            </w:r>
          </w:p>
        </w:tc>
        <w:tc>
          <w:tcPr>
            <w:tcW w:w="1232" w:type="dxa"/>
          </w:tcPr>
          <w:p w:rsidR="007C5447" w:rsidRDefault="00F6308C">
            <w:pPr>
              <w:pStyle w:val="TableParagraph"/>
              <w:spacing w:before="34"/>
              <w:ind w:left="496"/>
              <w:jc w:val="left"/>
              <w:rPr>
                <w:sz w:val="20"/>
              </w:rPr>
            </w:pPr>
            <w:r>
              <w:rPr>
                <w:sz w:val="20"/>
              </w:rPr>
              <w:t>22.64</w:t>
            </w:r>
          </w:p>
        </w:tc>
        <w:tc>
          <w:tcPr>
            <w:tcW w:w="1232" w:type="dxa"/>
          </w:tcPr>
          <w:p w:rsidR="007C5447" w:rsidRDefault="00F6308C">
            <w:pPr>
              <w:pStyle w:val="TableParagraph"/>
              <w:spacing w:before="34"/>
              <w:ind w:left="495"/>
              <w:jc w:val="left"/>
              <w:rPr>
                <w:sz w:val="20"/>
              </w:rPr>
            </w:pPr>
            <w:r>
              <w:rPr>
                <w:sz w:val="20"/>
              </w:rPr>
              <w:t>29.11</w:t>
            </w:r>
          </w:p>
        </w:tc>
        <w:tc>
          <w:tcPr>
            <w:tcW w:w="1233" w:type="dxa"/>
          </w:tcPr>
          <w:p w:rsidR="007C5447" w:rsidRDefault="00F6308C">
            <w:pPr>
              <w:pStyle w:val="TableParagraph"/>
              <w:spacing w:before="34"/>
              <w:ind w:left="495"/>
              <w:jc w:val="left"/>
              <w:rPr>
                <w:sz w:val="20"/>
              </w:rPr>
            </w:pPr>
            <w:r>
              <w:rPr>
                <w:sz w:val="20"/>
              </w:rPr>
              <w:t>26.84</w:t>
            </w:r>
          </w:p>
        </w:tc>
        <w:tc>
          <w:tcPr>
            <w:tcW w:w="1232" w:type="dxa"/>
          </w:tcPr>
          <w:p w:rsidR="007C5447" w:rsidRDefault="00F6308C">
            <w:pPr>
              <w:pStyle w:val="TableParagraph"/>
              <w:spacing w:before="34"/>
              <w:ind w:left="493"/>
              <w:jc w:val="left"/>
              <w:rPr>
                <w:sz w:val="20"/>
              </w:rPr>
            </w:pPr>
            <w:r>
              <w:rPr>
                <w:sz w:val="20"/>
              </w:rPr>
              <w:t>26.84</w:t>
            </w:r>
          </w:p>
        </w:tc>
      </w:tr>
      <w:tr w:rsidR="007C5447">
        <w:trPr>
          <w:trHeight w:val="294"/>
        </w:trPr>
        <w:tc>
          <w:tcPr>
            <w:tcW w:w="821" w:type="dxa"/>
          </w:tcPr>
          <w:p w:rsidR="007C5447" w:rsidRDefault="00F6308C">
            <w:pPr>
              <w:pStyle w:val="TableParagraph"/>
              <w:spacing w:before="34"/>
              <w:ind w:left="107"/>
              <w:jc w:val="left"/>
              <w:rPr>
                <w:b/>
                <w:sz w:val="20"/>
              </w:rPr>
            </w:pPr>
            <w:r>
              <w:rPr>
                <w:b/>
                <w:sz w:val="20"/>
              </w:rPr>
              <w:t>15</w:t>
            </w:r>
          </w:p>
        </w:tc>
        <w:tc>
          <w:tcPr>
            <w:tcW w:w="2206" w:type="dxa"/>
          </w:tcPr>
          <w:p w:rsidR="007C5447" w:rsidRDefault="00F6308C">
            <w:pPr>
              <w:pStyle w:val="TableParagraph"/>
              <w:spacing w:before="34"/>
              <w:ind w:left="107"/>
              <w:jc w:val="left"/>
              <w:rPr>
                <w:b/>
                <w:sz w:val="20"/>
              </w:rPr>
            </w:pPr>
            <w:r>
              <w:rPr>
                <w:b/>
                <w:sz w:val="20"/>
              </w:rPr>
              <w:t>Total Generation</w:t>
            </w:r>
          </w:p>
        </w:tc>
        <w:tc>
          <w:tcPr>
            <w:tcW w:w="1229" w:type="dxa"/>
          </w:tcPr>
          <w:p w:rsidR="007C5447" w:rsidRDefault="00F6308C">
            <w:pPr>
              <w:pStyle w:val="TableParagraph"/>
              <w:spacing w:before="34"/>
              <w:ind w:left="393"/>
              <w:jc w:val="left"/>
              <w:rPr>
                <w:b/>
                <w:sz w:val="20"/>
              </w:rPr>
            </w:pPr>
            <w:r>
              <w:rPr>
                <w:b/>
                <w:sz w:val="20"/>
              </w:rPr>
              <w:t>338.17</w:t>
            </w:r>
          </w:p>
        </w:tc>
        <w:tc>
          <w:tcPr>
            <w:tcW w:w="1232" w:type="dxa"/>
          </w:tcPr>
          <w:p w:rsidR="007C5447" w:rsidRDefault="00F6308C">
            <w:pPr>
              <w:pStyle w:val="TableParagraph"/>
              <w:spacing w:before="34"/>
              <w:ind w:left="395"/>
              <w:jc w:val="left"/>
              <w:rPr>
                <w:b/>
                <w:sz w:val="20"/>
              </w:rPr>
            </w:pPr>
            <w:r>
              <w:rPr>
                <w:b/>
                <w:sz w:val="20"/>
              </w:rPr>
              <w:t>611.17</w:t>
            </w:r>
          </w:p>
        </w:tc>
        <w:tc>
          <w:tcPr>
            <w:tcW w:w="1232" w:type="dxa"/>
          </w:tcPr>
          <w:p w:rsidR="007C5447" w:rsidRDefault="00F6308C">
            <w:pPr>
              <w:pStyle w:val="TableParagraph"/>
              <w:spacing w:before="34"/>
              <w:ind w:left="395"/>
              <w:jc w:val="left"/>
              <w:rPr>
                <w:b/>
                <w:sz w:val="20"/>
              </w:rPr>
            </w:pPr>
            <w:r>
              <w:rPr>
                <w:b/>
                <w:sz w:val="20"/>
              </w:rPr>
              <w:t>773.82</w:t>
            </w:r>
          </w:p>
        </w:tc>
        <w:tc>
          <w:tcPr>
            <w:tcW w:w="1233" w:type="dxa"/>
          </w:tcPr>
          <w:p w:rsidR="007C5447" w:rsidRDefault="00F6308C">
            <w:pPr>
              <w:pStyle w:val="TableParagraph"/>
              <w:spacing w:before="34"/>
              <w:ind w:left="396"/>
              <w:jc w:val="left"/>
              <w:rPr>
                <w:b/>
                <w:sz w:val="20"/>
              </w:rPr>
            </w:pPr>
            <w:r>
              <w:rPr>
                <w:b/>
                <w:sz w:val="20"/>
              </w:rPr>
              <w:t>678.89</w:t>
            </w:r>
          </w:p>
        </w:tc>
        <w:tc>
          <w:tcPr>
            <w:tcW w:w="1232" w:type="dxa"/>
          </w:tcPr>
          <w:p w:rsidR="007C5447" w:rsidRDefault="00F6308C">
            <w:pPr>
              <w:pStyle w:val="TableParagraph"/>
              <w:spacing w:before="34"/>
              <w:ind w:left="395"/>
              <w:jc w:val="left"/>
              <w:rPr>
                <w:b/>
                <w:sz w:val="20"/>
              </w:rPr>
            </w:pPr>
            <w:r>
              <w:rPr>
                <w:b/>
                <w:sz w:val="20"/>
              </w:rPr>
              <w:t>842.72</w:t>
            </w:r>
          </w:p>
        </w:tc>
      </w:tr>
      <w:tr w:rsidR="007C5447">
        <w:trPr>
          <w:trHeight w:val="297"/>
        </w:trPr>
        <w:tc>
          <w:tcPr>
            <w:tcW w:w="821" w:type="dxa"/>
          </w:tcPr>
          <w:p w:rsidR="007C5447" w:rsidRDefault="00F6308C">
            <w:pPr>
              <w:pStyle w:val="TableParagraph"/>
              <w:spacing w:before="34"/>
              <w:ind w:left="107"/>
              <w:jc w:val="left"/>
              <w:rPr>
                <w:b/>
                <w:sz w:val="20"/>
              </w:rPr>
            </w:pPr>
            <w:r>
              <w:rPr>
                <w:b/>
                <w:sz w:val="20"/>
              </w:rPr>
              <w:t>16</w:t>
            </w:r>
          </w:p>
        </w:tc>
        <w:tc>
          <w:tcPr>
            <w:tcW w:w="2206" w:type="dxa"/>
          </w:tcPr>
          <w:p w:rsidR="007C5447" w:rsidRDefault="00F6308C">
            <w:pPr>
              <w:pStyle w:val="TableParagraph"/>
              <w:spacing w:before="34"/>
              <w:ind w:left="107"/>
              <w:jc w:val="left"/>
              <w:rPr>
                <w:b/>
                <w:sz w:val="20"/>
              </w:rPr>
            </w:pPr>
            <w:r>
              <w:rPr>
                <w:b/>
                <w:sz w:val="20"/>
              </w:rPr>
              <w:t>Distribution</w:t>
            </w:r>
          </w:p>
        </w:tc>
        <w:tc>
          <w:tcPr>
            <w:tcW w:w="1229" w:type="dxa"/>
          </w:tcPr>
          <w:p w:rsidR="007C5447" w:rsidRDefault="00F6308C">
            <w:pPr>
              <w:pStyle w:val="TableParagraph"/>
              <w:spacing w:before="34"/>
              <w:ind w:left="393"/>
              <w:jc w:val="left"/>
              <w:rPr>
                <w:b/>
                <w:sz w:val="20"/>
              </w:rPr>
            </w:pPr>
            <w:r>
              <w:rPr>
                <w:b/>
                <w:sz w:val="20"/>
              </w:rPr>
              <w:t>260.62</w:t>
            </w:r>
          </w:p>
        </w:tc>
        <w:tc>
          <w:tcPr>
            <w:tcW w:w="1232" w:type="dxa"/>
          </w:tcPr>
          <w:p w:rsidR="007C5447" w:rsidRDefault="00F6308C">
            <w:pPr>
              <w:pStyle w:val="TableParagraph"/>
              <w:spacing w:before="34"/>
              <w:ind w:left="395"/>
              <w:jc w:val="left"/>
              <w:rPr>
                <w:b/>
                <w:sz w:val="20"/>
              </w:rPr>
            </w:pPr>
            <w:r>
              <w:rPr>
                <w:b/>
                <w:sz w:val="20"/>
              </w:rPr>
              <w:t>471.02</w:t>
            </w:r>
          </w:p>
        </w:tc>
        <w:tc>
          <w:tcPr>
            <w:tcW w:w="1232" w:type="dxa"/>
          </w:tcPr>
          <w:p w:rsidR="007C5447" w:rsidRDefault="00F6308C">
            <w:pPr>
              <w:pStyle w:val="TableParagraph"/>
              <w:spacing w:before="34"/>
              <w:ind w:left="395"/>
              <w:jc w:val="left"/>
              <w:rPr>
                <w:b/>
                <w:sz w:val="20"/>
              </w:rPr>
            </w:pPr>
            <w:r>
              <w:rPr>
                <w:b/>
                <w:sz w:val="20"/>
              </w:rPr>
              <w:t>600.44</w:t>
            </w:r>
          </w:p>
        </w:tc>
        <w:tc>
          <w:tcPr>
            <w:tcW w:w="1233" w:type="dxa"/>
          </w:tcPr>
          <w:p w:rsidR="007C5447" w:rsidRDefault="00F6308C">
            <w:pPr>
              <w:pStyle w:val="TableParagraph"/>
              <w:spacing w:before="34"/>
              <w:ind w:left="396"/>
              <w:jc w:val="left"/>
              <w:rPr>
                <w:b/>
                <w:sz w:val="20"/>
              </w:rPr>
            </w:pPr>
            <w:r>
              <w:rPr>
                <w:b/>
                <w:sz w:val="20"/>
              </w:rPr>
              <w:t>582.32</w:t>
            </w:r>
          </w:p>
        </w:tc>
        <w:tc>
          <w:tcPr>
            <w:tcW w:w="1232" w:type="dxa"/>
          </w:tcPr>
          <w:p w:rsidR="007C5447" w:rsidRDefault="00F6308C">
            <w:pPr>
              <w:pStyle w:val="TableParagraph"/>
              <w:spacing w:before="34"/>
              <w:ind w:left="395"/>
              <w:jc w:val="left"/>
              <w:rPr>
                <w:b/>
                <w:sz w:val="20"/>
              </w:rPr>
            </w:pPr>
            <w:r>
              <w:rPr>
                <w:b/>
                <w:sz w:val="20"/>
              </w:rPr>
              <w:t>582.32</w:t>
            </w:r>
          </w:p>
        </w:tc>
      </w:tr>
      <w:tr w:rsidR="007C5447">
        <w:trPr>
          <w:trHeight w:val="294"/>
        </w:trPr>
        <w:tc>
          <w:tcPr>
            <w:tcW w:w="821" w:type="dxa"/>
          </w:tcPr>
          <w:p w:rsidR="007C5447" w:rsidRDefault="00F6308C">
            <w:pPr>
              <w:pStyle w:val="TableParagraph"/>
              <w:spacing w:before="34"/>
              <w:ind w:left="107"/>
              <w:jc w:val="left"/>
              <w:rPr>
                <w:b/>
                <w:sz w:val="20"/>
              </w:rPr>
            </w:pPr>
            <w:r>
              <w:rPr>
                <w:b/>
                <w:sz w:val="20"/>
              </w:rPr>
              <w:t>17</w:t>
            </w:r>
          </w:p>
        </w:tc>
        <w:tc>
          <w:tcPr>
            <w:tcW w:w="2206" w:type="dxa"/>
          </w:tcPr>
          <w:p w:rsidR="007C5447" w:rsidRDefault="00F6308C">
            <w:pPr>
              <w:pStyle w:val="TableParagraph"/>
              <w:spacing w:before="34"/>
              <w:ind w:left="107"/>
              <w:jc w:val="left"/>
              <w:rPr>
                <w:b/>
                <w:sz w:val="20"/>
              </w:rPr>
            </w:pPr>
            <w:r>
              <w:rPr>
                <w:b/>
                <w:sz w:val="20"/>
              </w:rPr>
              <w:t>Total TANGEDCO</w:t>
            </w:r>
          </w:p>
        </w:tc>
        <w:tc>
          <w:tcPr>
            <w:tcW w:w="1229" w:type="dxa"/>
          </w:tcPr>
          <w:p w:rsidR="007C5447" w:rsidRDefault="00F6308C">
            <w:pPr>
              <w:pStyle w:val="TableParagraph"/>
              <w:spacing w:before="34"/>
              <w:ind w:left="393"/>
              <w:jc w:val="left"/>
              <w:rPr>
                <w:b/>
                <w:sz w:val="20"/>
              </w:rPr>
            </w:pPr>
            <w:r>
              <w:rPr>
                <w:b/>
                <w:sz w:val="20"/>
              </w:rPr>
              <w:t>598.79</w:t>
            </w:r>
          </w:p>
        </w:tc>
        <w:tc>
          <w:tcPr>
            <w:tcW w:w="1232" w:type="dxa"/>
          </w:tcPr>
          <w:p w:rsidR="007C5447" w:rsidRDefault="00F6308C">
            <w:pPr>
              <w:pStyle w:val="TableParagraph"/>
              <w:spacing w:before="34"/>
              <w:ind w:left="246"/>
              <w:jc w:val="left"/>
              <w:rPr>
                <w:b/>
                <w:sz w:val="20"/>
              </w:rPr>
            </w:pPr>
            <w:r>
              <w:rPr>
                <w:b/>
                <w:sz w:val="20"/>
              </w:rPr>
              <w:t>1,082.19</w:t>
            </w:r>
          </w:p>
        </w:tc>
        <w:tc>
          <w:tcPr>
            <w:tcW w:w="1232" w:type="dxa"/>
          </w:tcPr>
          <w:p w:rsidR="007C5447" w:rsidRDefault="00F6308C">
            <w:pPr>
              <w:pStyle w:val="TableParagraph"/>
              <w:spacing w:before="34"/>
              <w:ind w:left="246"/>
              <w:jc w:val="left"/>
              <w:rPr>
                <w:b/>
                <w:sz w:val="20"/>
              </w:rPr>
            </w:pPr>
            <w:r>
              <w:rPr>
                <w:b/>
                <w:sz w:val="20"/>
              </w:rPr>
              <w:t>1,374.26</w:t>
            </w:r>
          </w:p>
        </w:tc>
        <w:tc>
          <w:tcPr>
            <w:tcW w:w="1233" w:type="dxa"/>
          </w:tcPr>
          <w:p w:rsidR="007C5447" w:rsidRDefault="00F6308C">
            <w:pPr>
              <w:pStyle w:val="TableParagraph"/>
              <w:spacing w:before="34"/>
              <w:ind w:left="295"/>
              <w:jc w:val="left"/>
              <w:rPr>
                <w:b/>
                <w:sz w:val="20"/>
              </w:rPr>
            </w:pPr>
            <w:r>
              <w:rPr>
                <w:b/>
                <w:sz w:val="20"/>
              </w:rPr>
              <w:t>1261.22</w:t>
            </w:r>
          </w:p>
        </w:tc>
        <w:tc>
          <w:tcPr>
            <w:tcW w:w="1232" w:type="dxa"/>
          </w:tcPr>
          <w:p w:rsidR="007C5447" w:rsidRDefault="00F6308C">
            <w:pPr>
              <w:pStyle w:val="TableParagraph"/>
              <w:spacing w:before="34"/>
              <w:ind w:left="294"/>
              <w:jc w:val="left"/>
              <w:rPr>
                <w:b/>
                <w:sz w:val="20"/>
              </w:rPr>
            </w:pPr>
            <w:r>
              <w:rPr>
                <w:b/>
                <w:sz w:val="20"/>
              </w:rPr>
              <w:t>1425.04</w:t>
            </w:r>
          </w:p>
        </w:tc>
      </w:tr>
    </w:tbl>
    <w:p w:rsidR="007C5447" w:rsidRDefault="007C5447">
      <w:pPr>
        <w:rPr>
          <w:sz w:val="20"/>
        </w:rPr>
        <w:sectPr w:rsidR="007C5447">
          <w:footerReference w:type="default" r:id="rId20"/>
          <w:pgSz w:w="11910" w:h="16840"/>
          <w:pgMar w:top="1360" w:right="1140" w:bottom="1240" w:left="1220" w:header="0" w:footer="1057" w:gutter="0"/>
          <w:cols w:space="720"/>
        </w:sectPr>
      </w:pPr>
    </w:p>
    <w:p w:rsidR="007C5447" w:rsidRDefault="00F6308C">
      <w:pPr>
        <w:pStyle w:val="Heading2"/>
        <w:spacing w:before="60"/>
      </w:pPr>
      <w:r>
        <w:lastRenderedPageBreak/>
        <w:t>Commission’s Views</w:t>
      </w:r>
    </w:p>
    <w:p w:rsidR="007C5447" w:rsidRDefault="00F6308C">
      <w:pPr>
        <w:pStyle w:val="ListParagraph"/>
        <w:numPr>
          <w:ilvl w:val="2"/>
          <w:numId w:val="92"/>
        </w:numPr>
        <w:tabs>
          <w:tab w:val="left" w:pos="1072"/>
          <w:tab w:val="left" w:pos="1073"/>
        </w:tabs>
        <w:spacing w:before="202" w:line="312" w:lineRule="auto"/>
        <w:ind w:left="1072" w:right="303"/>
        <w:rPr>
          <w:sz w:val="24"/>
        </w:rPr>
      </w:pPr>
      <w:r>
        <w:rPr>
          <w:sz w:val="24"/>
        </w:rPr>
        <w:t>In the Suo-Motu Order dated December 11, 2014, the Commission has stated the following reason for disallowing RoE to</w:t>
      </w:r>
      <w:r>
        <w:rPr>
          <w:spacing w:val="-6"/>
          <w:sz w:val="24"/>
        </w:rPr>
        <w:t xml:space="preserve"> </w:t>
      </w:r>
      <w:r>
        <w:rPr>
          <w:sz w:val="24"/>
        </w:rPr>
        <w:t>TANGEDCO:</w:t>
      </w:r>
    </w:p>
    <w:p w:rsidR="007C5447" w:rsidRDefault="007C5447">
      <w:pPr>
        <w:pStyle w:val="BodyText"/>
        <w:spacing w:before="10"/>
        <w:rPr>
          <w:sz w:val="20"/>
        </w:rPr>
      </w:pPr>
    </w:p>
    <w:p w:rsidR="007C5447" w:rsidRDefault="00F6308C">
      <w:pPr>
        <w:spacing w:before="1"/>
        <w:ind w:left="1660" w:right="1014"/>
        <w:jc w:val="both"/>
        <w:rPr>
          <w:i/>
          <w:sz w:val="24"/>
        </w:rPr>
      </w:pPr>
      <w:r>
        <w:rPr>
          <w:i/>
          <w:sz w:val="24"/>
        </w:rPr>
        <w:t>“3.106 In last year order Commission has not considered the equity requirement while approving the funding requirement of capita</w:t>
      </w:r>
      <w:r>
        <w:rPr>
          <w:i/>
          <w:sz w:val="24"/>
        </w:rPr>
        <w:t>l expenditure. This stand was taken because Commission is of the view that TANGEDCO is mixing the revenue account with capital account and the equity approved may be again diverted to revenue account. This can also be observed from TANGEDCO audited account</w:t>
      </w:r>
      <w:r>
        <w:rPr>
          <w:i/>
          <w:sz w:val="24"/>
        </w:rPr>
        <w:t>s wherein the actual borrowings for FY 11 and FY 12 are significantly higher than capital expenditure. TNERC Tariff Regulations also allow the Commission for approving the equity below the norms of 30% requirement. The relevant extracts of the regulation a</w:t>
      </w:r>
      <w:r>
        <w:rPr>
          <w:i/>
          <w:sz w:val="24"/>
        </w:rPr>
        <w:t>re reproduced below:</w:t>
      </w:r>
    </w:p>
    <w:p w:rsidR="007C5447" w:rsidRDefault="007C5447">
      <w:pPr>
        <w:pStyle w:val="BodyText"/>
        <w:spacing w:before="10"/>
        <w:rPr>
          <w:i/>
          <w:sz w:val="20"/>
        </w:rPr>
      </w:pPr>
    </w:p>
    <w:p w:rsidR="007C5447" w:rsidRDefault="00F6308C">
      <w:pPr>
        <w:ind w:left="1660"/>
        <w:jc w:val="both"/>
        <w:rPr>
          <w:i/>
          <w:sz w:val="24"/>
        </w:rPr>
      </w:pPr>
      <w:r>
        <w:rPr>
          <w:i/>
          <w:sz w:val="24"/>
        </w:rPr>
        <w:t>“21. Debt-Equity Ratio</w:t>
      </w:r>
    </w:p>
    <w:p w:rsidR="007C5447" w:rsidRDefault="007C5447">
      <w:pPr>
        <w:pStyle w:val="BodyText"/>
        <w:spacing w:before="10"/>
        <w:rPr>
          <w:i/>
          <w:sz w:val="20"/>
        </w:rPr>
      </w:pPr>
    </w:p>
    <w:p w:rsidR="007C5447" w:rsidRDefault="00F6308C">
      <w:pPr>
        <w:ind w:left="1660" w:right="1015"/>
        <w:jc w:val="both"/>
        <w:rPr>
          <w:i/>
          <w:sz w:val="24"/>
        </w:rPr>
      </w:pPr>
      <w:r>
        <w:rPr>
          <w:i/>
          <w:sz w:val="24"/>
        </w:rPr>
        <w:t>For the purpose of determination of tariff, debt-equity ratio as on the date of commercial operation of Generating Station and transmission projects, sub-station, distribution lines or capacity expanded after t</w:t>
      </w:r>
      <w:r>
        <w:rPr>
          <w:i/>
          <w:sz w:val="24"/>
        </w:rPr>
        <w:t>he notification of these Regulations shall be 70:30. Where equity employed is more than 30% the amount of equity shall be limited to 30% and the balance amount shall be considered as loans, advanced at the weighted average rate of interest and for weighted</w:t>
      </w:r>
      <w:r>
        <w:rPr>
          <w:i/>
          <w:sz w:val="24"/>
        </w:rPr>
        <w:t xml:space="preserve"> average tenor of the long term debt component of the</w:t>
      </w:r>
      <w:r>
        <w:rPr>
          <w:i/>
          <w:spacing w:val="-5"/>
          <w:sz w:val="24"/>
        </w:rPr>
        <w:t xml:space="preserve"> </w:t>
      </w:r>
      <w:r>
        <w:rPr>
          <w:i/>
          <w:sz w:val="24"/>
        </w:rPr>
        <w:t>investment”</w:t>
      </w:r>
    </w:p>
    <w:p w:rsidR="007C5447" w:rsidRDefault="007C5447">
      <w:pPr>
        <w:pStyle w:val="BodyText"/>
        <w:spacing w:before="11"/>
        <w:rPr>
          <w:i/>
          <w:sz w:val="20"/>
        </w:rPr>
      </w:pPr>
    </w:p>
    <w:p w:rsidR="007C5447" w:rsidRDefault="00F6308C">
      <w:pPr>
        <w:ind w:left="1660" w:right="1021"/>
        <w:jc w:val="both"/>
        <w:rPr>
          <w:i/>
          <w:sz w:val="24"/>
        </w:rPr>
      </w:pPr>
      <w:r>
        <w:rPr>
          <w:i/>
          <w:sz w:val="24"/>
        </w:rPr>
        <w:t xml:space="preserve">“Provided that in case of a Generating Company or other licensees, where actual equity employed is less than 30%, the actual debt and equity shall be considered for determination of return </w:t>
      </w:r>
      <w:r>
        <w:rPr>
          <w:i/>
          <w:sz w:val="24"/>
        </w:rPr>
        <w:t>on equity in tariff computation.”</w:t>
      </w:r>
    </w:p>
    <w:p w:rsidR="007C5447" w:rsidRDefault="007C5447">
      <w:pPr>
        <w:pStyle w:val="BodyText"/>
        <w:spacing w:before="10"/>
        <w:rPr>
          <w:i/>
          <w:sz w:val="20"/>
        </w:rPr>
      </w:pPr>
    </w:p>
    <w:p w:rsidR="007C5447" w:rsidRDefault="00F6308C">
      <w:pPr>
        <w:pStyle w:val="ListParagraph"/>
        <w:numPr>
          <w:ilvl w:val="1"/>
          <w:numId w:val="89"/>
        </w:numPr>
        <w:tabs>
          <w:tab w:val="left" w:pos="2292"/>
        </w:tabs>
        <w:ind w:right="1019" w:firstLine="0"/>
        <w:jc w:val="both"/>
        <w:rPr>
          <w:i/>
          <w:sz w:val="24"/>
        </w:rPr>
      </w:pPr>
      <w:r>
        <w:rPr>
          <w:i/>
          <w:sz w:val="24"/>
        </w:rPr>
        <w:t>Based on the above submissions, Commission has not allowed any return on equity due to the following</w:t>
      </w:r>
      <w:r>
        <w:rPr>
          <w:i/>
          <w:spacing w:val="-3"/>
          <w:sz w:val="24"/>
        </w:rPr>
        <w:t xml:space="preserve"> </w:t>
      </w:r>
      <w:r>
        <w:rPr>
          <w:i/>
          <w:sz w:val="24"/>
        </w:rPr>
        <w:t>reasons:</w:t>
      </w:r>
    </w:p>
    <w:p w:rsidR="007C5447" w:rsidRDefault="007C5447">
      <w:pPr>
        <w:pStyle w:val="BodyText"/>
        <w:spacing w:before="10"/>
        <w:rPr>
          <w:i/>
          <w:sz w:val="20"/>
        </w:rPr>
      </w:pPr>
    </w:p>
    <w:p w:rsidR="007C5447" w:rsidRDefault="00F6308C">
      <w:pPr>
        <w:pStyle w:val="ListParagraph"/>
        <w:numPr>
          <w:ilvl w:val="0"/>
          <w:numId w:val="88"/>
        </w:numPr>
        <w:tabs>
          <w:tab w:val="left" w:pos="1869"/>
        </w:tabs>
        <w:ind w:right="1018" w:firstLine="0"/>
        <w:jc w:val="both"/>
        <w:rPr>
          <w:i/>
          <w:sz w:val="24"/>
        </w:rPr>
      </w:pPr>
      <w:r>
        <w:rPr>
          <w:i/>
          <w:sz w:val="24"/>
        </w:rPr>
        <w:t>Commission has approved interest on total outstanding loans as on November</w:t>
      </w:r>
      <w:r>
        <w:rPr>
          <w:i/>
          <w:spacing w:val="-1"/>
          <w:sz w:val="24"/>
        </w:rPr>
        <w:t xml:space="preserve"> </w:t>
      </w:r>
      <w:r>
        <w:rPr>
          <w:i/>
          <w:sz w:val="24"/>
        </w:rPr>
        <w:t>2010</w:t>
      </w:r>
    </w:p>
    <w:p w:rsidR="007C5447" w:rsidRDefault="007C5447">
      <w:pPr>
        <w:pStyle w:val="BodyText"/>
        <w:spacing w:before="10"/>
        <w:rPr>
          <w:i/>
          <w:sz w:val="20"/>
        </w:rPr>
      </w:pPr>
    </w:p>
    <w:p w:rsidR="007C5447" w:rsidRDefault="00F6308C">
      <w:pPr>
        <w:pStyle w:val="ListParagraph"/>
        <w:numPr>
          <w:ilvl w:val="0"/>
          <w:numId w:val="88"/>
        </w:numPr>
        <w:tabs>
          <w:tab w:val="left" w:pos="1963"/>
        </w:tabs>
        <w:ind w:right="1016" w:firstLine="0"/>
        <w:jc w:val="both"/>
        <w:rPr>
          <w:i/>
          <w:sz w:val="24"/>
        </w:rPr>
      </w:pPr>
      <w:r>
        <w:rPr>
          <w:i/>
          <w:sz w:val="24"/>
        </w:rPr>
        <w:t>Based on available sources of funding, equity has been diverted towards revenue account from FY 2003 and hence the addition in equity base as per audited accounts is on accoun</w:t>
      </w:r>
      <w:r>
        <w:rPr>
          <w:i/>
          <w:sz w:val="24"/>
        </w:rPr>
        <w:t>t of funding the revenue expenditure and not for creation of capital assets.</w:t>
      </w:r>
    </w:p>
    <w:p w:rsidR="007C5447" w:rsidRDefault="007C5447">
      <w:pPr>
        <w:pStyle w:val="BodyText"/>
        <w:spacing w:before="11"/>
        <w:rPr>
          <w:i/>
          <w:sz w:val="20"/>
        </w:rPr>
      </w:pPr>
    </w:p>
    <w:p w:rsidR="007C5447" w:rsidRDefault="00F6308C">
      <w:pPr>
        <w:pStyle w:val="ListParagraph"/>
        <w:numPr>
          <w:ilvl w:val="0"/>
          <w:numId w:val="88"/>
        </w:numPr>
        <w:tabs>
          <w:tab w:val="left" w:pos="1999"/>
        </w:tabs>
        <w:ind w:right="1021" w:firstLine="0"/>
        <w:jc w:val="both"/>
        <w:rPr>
          <w:i/>
          <w:sz w:val="24"/>
        </w:rPr>
      </w:pPr>
      <w:r>
        <w:rPr>
          <w:i/>
          <w:sz w:val="24"/>
        </w:rPr>
        <w:t>Loans approved for funding the capital expenditure for generating stations and distribution business during the control period are without considering the</w:t>
      </w:r>
      <w:r>
        <w:rPr>
          <w:i/>
          <w:spacing w:val="-1"/>
          <w:sz w:val="24"/>
        </w:rPr>
        <w:t xml:space="preserve"> </w:t>
      </w:r>
      <w:r>
        <w:rPr>
          <w:i/>
          <w:sz w:val="24"/>
        </w:rPr>
        <w:t>equity</w:t>
      </w:r>
    </w:p>
    <w:p w:rsidR="007C5447" w:rsidRDefault="007C5447">
      <w:pPr>
        <w:pStyle w:val="BodyText"/>
        <w:spacing w:before="10"/>
        <w:rPr>
          <w:i/>
          <w:sz w:val="20"/>
        </w:rPr>
      </w:pPr>
    </w:p>
    <w:p w:rsidR="007C5447" w:rsidRDefault="00F6308C">
      <w:pPr>
        <w:pStyle w:val="ListParagraph"/>
        <w:numPr>
          <w:ilvl w:val="1"/>
          <w:numId w:val="89"/>
        </w:numPr>
        <w:tabs>
          <w:tab w:val="left" w:pos="2304"/>
        </w:tabs>
        <w:ind w:left="2303" w:hanging="644"/>
        <w:jc w:val="both"/>
        <w:rPr>
          <w:i/>
          <w:sz w:val="24"/>
        </w:rPr>
      </w:pPr>
      <w:r>
        <w:rPr>
          <w:i/>
          <w:sz w:val="24"/>
        </w:rPr>
        <w:t>The</w:t>
      </w:r>
      <w:r>
        <w:rPr>
          <w:i/>
          <w:spacing w:val="41"/>
          <w:sz w:val="24"/>
        </w:rPr>
        <w:t xml:space="preserve"> </w:t>
      </w:r>
      <w:r>
        <w:rPr>
          <w:i/>
          <w:sz w:val="24"/>
        </w:rPr>
        <w:t>Commission</w:t>
      </w:r>
      <w:r>
        <w:rPr>
          <w:i/>
          <w:spacing w:val="43"/>
          <w:sz w:val="24"/>
        </w:rPr>
        <w:t xml:space="preserve"> </w:t>
      </w:r>
      <w:r>
        <w:rPr>
          <w:i/>
          <w:sz w:val="24"/>
        </w:rPr>
        <w:t>continues</w:t>
      </w:r>
      <w:r>
        <w:rPr>
          <w:i/>
          <w:spacing w:val="43"/>
          <w:sz w:val="24"/>
        </w:rPr>
        <w:t xml:space="preserve"> </w:t>
      </w:r>
      <w:r>
        <w:rPr>
          <w:i/>
          <w:sz w:val="24"/>
        </w:rPr>
        <w:t>to</w:t>
      </w:r>
      <w:r>
        <w:rPr>
          <w:i/>
          <w:spacing w:val="43"/>
          <w:sz w:val="24"/>
        </w:rPr>
        <w:t xml:space="preserve"> </w:t>
      </w:r>
      <w:r>
        <w:rPr>
          <w:i/>
          <w:sz w:val="24"/>
        </w:rPr>
        <w:t>take</w:t>
      </w:r>
      <w:r>
        <w:rPr>
          <w:i/>
          <w:spacing w:val="41"/>
          <w:sz w:val="24"/>
        </w:rPr>
        <w:t xml:space="preserve"> </w:t>
      </w:r>
      <w:r>
        <w:rPr>
          <w:i/>
          <w:sz w:val="24"/>
        </w:rPr>
        <w:t>the</w:t>
      </w:r>
      <w:r>
        <w:rPr>
          <w:i/>
          <w:spacing w:val="44"/>
          <w:sz w:val="24"/>
        </w:rPr>
        <w:t xml:space="preserve"> </w:t>
      </w:r>
      <w:r>
        <w:rPr>
          <w:i/>
          <w:sz w:val="24"/>
        </w:rPr>
        <w:t>same</w:t>
      </w:r>
      <w:r>
        <w:rPr>
          <w:i/>
          <w:spacing w:val="40"/>
          <w:sz w:val="24"/>
        </w:rPr>
        <w:t xml:space="preserve"> </w:t>
      </w:r>
      <w:r>
        <w:rPr>
          <w:i/>
          <w:sz w:val="24"/>
        </w:rPr>
        <w:t>stand</w:t>
      </w:r>
      <w:r>
        <w:rPr>
          <w:i/>
          <w:spacing w:val="43"/>
          <w:sz w:val="24"/>
        </w:rPr>
        <w:t xml:space="preserve"> </w:t>
      </w:r>
      <w:r>
        <w:rPr>
          <w:i/>
          <w:sz w:val="24"/>
        </w:rPr>
        <w:t>and</w:t>
      </w:r>
      <w:r>
        <w:rPr>
          <w:i/>
          <w:spacing w:val="42"/>
          <w:sz w:val="24"/>
        </w:rPr>
        <w:t xml:space="preserve"> </w:t>
      </w:r>
      <w:r>
        <w:rPr>
          <w:i/>
          <w:sz w:val="24"/>
        </w:rPr>
        <w:t>is</w:t>
      </w:r>
      <w:r>
        <w:rPr>
          <w:i/>
          <w:spacing w:val="43"/>
          <w:sz w:val="24"/>
        </w:rPr>
        <w:t xml:space="preserve"> </w:t>
      </w:r>
      <w:r>
        <w:rPr>
          <w:i/>
          <w:sz w:val="24"/>
        </w:rPr>
        <w:t>not</w:t>
      </w:r>
    </w:p>
    <w:p w:rsidR="007C5447" w:rsidRDefault="007C5447">
      <w:pPr>
        <w:jc w:val="both"/>
        <w:rPr>
          <w:sz w:val="24"/>
        </w:rPr>
        <w:sectPr w:rsidR="007C5447">
          <w:footerReference w:type="default" r:id="rId21"/>
          <w:pgSz w:w="11910" w:h="16840"/>
          <w:pgMar w:top="1360" w:right="1140" w:bottom="1240" w:left="1220" w:header="0" w:footer="1057" w:gutter="0"/>
          <w:pgNumType w:start="111"/>
          <w:cols w:space="720"/>
        </w:sectPr>
      </w:pPr>
    </w:p>
    <w:p w:rsidR="007C5447" w:rsidRDefault="00F6308C">
      <w:pPr>
        <w:spacing w:before="60"/>
        <w:ind w:left="1660"/>
        <w:jc w:val="both"/>
        <w:rPr>
          <w:i/>
          <w:sz w:val="24"/>
        </w:rPr>
      </w:pPr>
      <w:r>
        <w:rPr>
          <w:i/>
          <w:sz w:val="24"/>
        </w:rPr>
        <w:lastRenderedPageBreak/>
        <w:t>allowing any return on equity for the current tariff order also.”</w:t>
      </w:r>
    </w:p>
    <w:p w:rsidR="007C5447" w:rsidRDefault="00F6308C">
      <w:pPr>
        <w:pStyle w:val="ListParagraph"/>
        <w:numPr>
          <w:ilvl w:val="2"/>
          <w:numId w:val="92"/>
        </w:numPr>
        <w:tabs>
          <w:tab w:val="left" w:pos="1073"/>
        </w:tabs>
        <w:spacing w:before="121" w:line="312" w:lineRule="auto"/>
        <w:ind w:left="1072" w:right="296"/>
        <w:jc w:val="both"/>
        <w:rPr>
          <w:sz w:val="24"/>
        </w:rPr>
      </w:pPr>
      <w:r>
        <w:rPr>
          <w:sz w:val="24"/>
        </w:rPr>
        <w:t xml:space="preserve">The Suo-Motu Order of the Commission was challenged by Tamil Nadu Electricity Consumers Association (TECA) before the Hon’ble APTEL in Appeal No. 62 and 63 of 2015. The Hon’ble APTEL in its </w:t>
      </w:r>
      <w:r>
        <w:rPr>
          <w:sz w:val="24"/>
        </w:rPr>
        <w:t>Judgment dated March 2, 2016, upheld the Suo-Motu Order in its</w:t>
      </w:r>
      <w:r>
        <w:rPr>
          <w:spacing w:val="-1"/>
          <w:sz w:val="24"/>
        </w:rPr>
        <w:t xml:space="preserve"> </w:t>
      </w:r>
      <w:r>
        <w:rPr>
          <w:sz w:val="24"/>
        </w:rPr>
        <w:t>entirety.</w:t>
      </w:r>
    </w:p>
    <w:p w:rsidR="007C5447" w:rsidRDefault="007C5447">
      <w:pPr>
        <w:pStyle w:val="BodyText"/>
        <w:spacing w:before="10"/>
        <w:rPr>
          <w:sz w:val="20"/>
        </w:rPr>
      </w:pPr>
    </w:p>
    <w:p w:rsidR="007C5447" w:rsidRDefault="00F6308C">
      <w:pPr>
        <w:ind w:left="1660" w:right="1015"/>
        <w:jc w:val="both"/>
        <w:rPr>
          <w:i/>
          <w:sz w:val="24"/>
        </w:rPr>
      </w:pPr>
      <w:r>
        <w:rPr>
          <w:i/>
          <w:sz w:val="24"/>
        </w:rPr>
        <w:t xml:space="preserve">“15. The present Appeals, being Appeal Nos. 62 of 2015 and 63 of 2015, are hereby dismissed and </w:t>
      </w:r>
      <w:r>
        <w:rPr>
          <w:b/>
          <w:i/>
          <w:sz w:val="24"/>
        </w:rPr>
        <w:t>the impugned suo-motu tariff orders, being SMT Order Nos. 8 of 2014 and 9 of 2014, eac</w:t>
      </w:r>
      <w:r>
        <w:rPr>
          <w:b/>
          <w:i/>
          <w:sz w:val="24"/>
        </w:rPr>
        <w:t xml:space="preserve">h dated 11.12.2014, passed by the Tamil Nadu Electricity Regulatory Commission, are hereby upheld. </w:t>
      </w:r>
      <w:r>
        <w:rPr>
          <w:i/>
          <w:sz w:val="24"/>
        </w:rPr>
        <w:t>There shall be no order as to costs.”</w:t>
      </w:r>
    </w:p>
    <w:p w:rsidR="007C5447" w:rsidRDefault="00F6308C">
      <w:pPr>
        <w:pStyle w:val="ListParagraph"/>
        <w:numPr>
          <w:ilvl w:val="2"/>
          <w:numId w:val="92"/>
        </w:numPr>
        <w:tabs>
          <w:tab w:val="left" w:pos="1073"/>
        </w:tabs>
        <w:spacing w:before="120" w:line="312" w:lineRule="auto"/>
        <w:ind w:left="1072" w:right="295"/>
        <w:jc w:val="both"/>
        <w:rPr>
          <w:sz w:val="24"/>
        </w:rPr>
      </w:pPr>
      <w:r>
        <w:rPr>
          <w:sz w:val="24"/>
        </w:rPr>
        <w:t>As the Suo-Motu Order of the Commission has not been further appealed before any higher authority, it has attained fina</w:t>
      </w:r>
      <w:r>
        <w:rPr>
          <w:sz w:val="24"/>
        </w:rPr>
        <w:t>lity. Hence, the Commission has adopted the same approach while approving RoE as adopted in the earlier Orders. Funding of capital expenditure has been considered entirely through loans and hence, no RoE has been approved in the truing up for FY 2011-12 to</w:t>
      </w:r>
      <w:r>
        <w:rPr>
          <w:sz w:val="24"/>
        </w:rPr>
        <w:t xml:space="preserve"> FY</w:t>
      </w:r>
      <w:r>
        <w:rPr>
          <w:spacing w:val="-2"/>
          <w:sz w:val="24"/>
        </w:rPr>
        <w:t xml:space="preserve"> </w:t>
      </w:r>
      <w:r>
        <w:rPr>
          <w:sz w:val="24"/>
        </w:rPr>
        <w:t>2015-16.</w:t>
      </w:r>
    </w:p>
    <w:p w:rsidR="007C5447" w:rsidRDefault="007C5447">
      <w:pPr>
        <w:pStyle w:val="BodyText"/>
        <w:spacing w:before="10"/>
        <w:rPr>
          <w:sz w:val="20"/>
        </w:rPr>
      </w:pPr>
    </w:p>
    <w:p w:rsidR="007C5447" w:rsidRDefault="00F6308C">
      <w:pPr>
        <w:pStyle w:val="Heading2"/>
        <w:numPr>
          <w:ilvl w:val="1"/>
          <w:numId w:val="92"/>
        </w:numPr>
        <w:tabs>
          <w:tab w:val="left" w:pos="787"/>
        </w:tabs>
        <w:ind w:left="786"/>
        <w:jc w:val="left"/>
      </w:pPr>
      <w:bookmarkStart w:id="45" w:name="_bookmark45"/>
      <w:bookmarkEnd w:id="45"/>
      <w:r>
        <w:t>Interest on Working Capital</w:t>
      </w:r>
      <w:r>
        <w:rPr>
          <w:spacing w:val="-2"/>
        </w:rPr>
        <w:t xml:space="preserve"> </w:t>
      </w:r>
      <w:r>
        <w:t>(IoWC)</w:t>
      </w:r>
    </w:p>
    <w:p w:rsidR="007C5447" w:rsidRDefault="007C5447">
      <w:pPr>
        <w:pStyle w:val="BodyText"/>
        <w:spacing w:before="2"/>
        <w:rPr>
          <w:b/>
          <w:sz w:val="28"/>
        </w:rPr>
      </w:pPr>
    </w:p>
    <w:p w:rsidR="007C5447" w:rsidRDefault="00F6308C">
      <w:pPr>
        <w:pStyle w:val="ListParagraph"/>
        <w:numPr>
          <w:ilvl w:val="2"/>
          <w:numId w:val="92"/>
        </w:numPr>
        <w:tabs>
          <w:tab w:val="left" w:pos="1073"/>
        </w:tabs>
        <w:spacing w:line="312" w:lineRule="auto"/>
        <w:ind w:left="1072" w:right="293"/>
        <w:jc w:val="both"/>
        <w:rPr>
          <w:sz w:val="24"/>
        </w:rPr>
      </w:pPr>
      <w:r>
        <w:rPr>
          <w:sz w:val="24"/>
        </w:rPr>
        <w:t>TANGEDCO has submitted that it has claimed normative IoWC as specified in the Tariff Regulations. However, in accordance with the past Tariff Order, the Security Deposit amount has been excluded from the wo</w:t>
      </w:r>
      <w:r>
        <w:rPr>
          <w:sz w:val="24"/>
        </w:rPr>
        <w:t>rking capital requirement of Distribution for computation of IoWC, though the same is not specified in the Tariff Regulations. This has resulted in zero IoWC for the Distribution</w:t>
      </w:r>
      <w:r>
        <w:rPr>
          <w:spacing w:val="-5"/>
          <w:sz w:val="24"/>
        </w:rPr>
        <w:t xml:space="preserve"> </w:t>
      </w:r>
      <w:r>
        <w:rPr>
          <w:sz w:val="24"/>
        </w:rPr>
        <w:t>function.</w:t>
      </w:r>
    </w:p>
    <w:p w:rsidR="007C5447" w:rsidRDefault="007C5447">
      <w:pPr>
        <w:pStyle w:val="BodyText"/>
        <w:spacing w:before="9"/>
        <w:rPr>
          <w:sz w:val="20"/>
        </w:rPr>
      </w:pPr>
    </w:p>
    <w:p w:rsidR="007C5447" w:rsidRDefault="00F6308C">
      <w:pPr>
        <w:pStyle w:val="ListParagraph"/>
        <w:numPr>
          <w:ilvl w:val="2"/>
          <w:numId w:val="92"/>
        </w:numPr>
        <w:tabs>
          <w:tab w:val="left" w:pos="1072"/>
          <w:tab w:val="left" w:pos="1073"/>
        </w:tabs>
        <w:ind w:left="1072" w:hanging="853"/>
        <w:rPr>
          <w:sz w:val="24"/>
        </w:rPr>
      </w:pPr>
      <w:r>
        <w:rPr>
          <w:sz w:val="24"/>
        </w:rPr>
        <w:t>The IoWC claimed by TANGEDCO is shown in the Table</w:t>
      </w:r>
      <w:r>
        <w:rPr>
          <w:spacing w:val="-6"/>
          <w:sz w:val="24"/>
        </w:rPr>
        <w:t xml:space="preserve"> </w:t>
      </w:r>
      <w:r>
        <w:rPr>
          <w:sz w:val="24"/>
        </w:rPr>
        <w:t>below:</w:t>
      </w:r>
    </w:p>
    <w:p w:rsidR="007C5447" w:rsidRDefault="007C5447">
      <w:pPr>
        <w:pStyle w:val="BodyText"/>
        <w:spacing w:before="4"/>
        <w:rPr>
          <w:sz w:val="28"/>
        </w:rPr>
      </w:pPr>
    </w:p>
    <w:p w:rsidR="007C5447" w:rsidRDefault="00F6308C">
      <w:pPr>
        <w:ind w:left="940"/>
        <w:rPr>
          <w:b/>
        </w:rPr>
      </w:pPr>
      <w:r>
        <w:rPr>
          <w:b/>
        </w:rPr>
        <w:t>Table 3-25: Interest on Working Capital as submitted by TANGEDCO (Rs. Crore)</w:t>
      </w:r>
    </w:p>
    <w:p w:rsidR="007C5447" w:rsidRDefault="007C5447">
      <w:pPr>
        <w:pStyle w:val="BodyText"/>
        <w:spacing w:before="11"/>
        <w:rPr>
          <w:b/>
          <w:sz w:val="16"/>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986"/>
        <w:gridCol w:w="1277"/>
        <w:gridCol w:w="1275"/>
        <w:gridCol w:w="1419"/>
        <w:gridCol w:w="1278"/>
        <w:gridCol w:w="1275"/>
      </w:tblGrid>
      <w:tr w:rsidR="007C5447">
        <w:trPr>
          <w:trHeight w:val="287"/>
        </w:trPr>
        <w:tc>
          <w:tcPr>
            <w:tcW w:w="562" w:type="dxa"/>
            <w:shd w:val="clear" w:color="auto" w:fill="F7C9AC"/>
          </w:tcPr>
          <w:p w:rsidR="007C5447" w:rsidRDefault="00F6308C">
            <w:pPr>
              <w:pStyle w:val="TableParagraph"/>
              <w:spacing w:before="29"/>
              <w:ind w:left="107"/>
              <w:jc w:val="left"/>
              <w:rPr>
                <w:b/>
                <w:sz w:val="20"/>
              </w:rPr>
            </w:pPr>
            <w:r>
              <w:rPr>
                <w:b/>
                <w:sz w:val="20"/>
              </w:rPr>
              <w:t>Sl.</w:t>
            </w:r>
          </w:p>
        </w:tc>
        <w:tc>
          <w:tcPr>
            <w:tcW w:w="1986" w:type="dxa"/>
            <w:shd w:val="clear" w:color="auto" w:fill="F7C9AC"/>
          </w:tcPr>
          <w:p w:rsidR="007C5447" w:rsidRDefault="00F6308C">
            <w:pPr>
              <w:pStyle w:val="TableParagraph"/>
              <w:spacing w:before="29"/>
              <w:ind w:left="107"/>
              <w:jc w:val="left"/>
              <w:rPr>
                <w:b/>
                <w:sz w:val="20"/>
              </w:rPr>
            </w:pPr>
            <w:r>
              <w:rPr>
                <w:b/>
                <w:sz w:val="20"/>
              </w:rPr>
              <w:t>Particulars</w:t>
            </w:r>
          </w:p>
        </w:tc>
        <w:tc>
          <w:tcPr>
            <w:tcW w:w="1277" w:type="dxa"/>
            <w:shd w:val="clear" w:color="auto" w:fill="F7C9AC"/>
          </w:tcPr>
          <w:p w:rsidR="007C5447" w:rsidRDefault="00F6308C">
            <w:pPr>
              <w:pStyle w:val="TableParagraph"/>
              <w:spacing w:before="29"/>
              <w:ind w:left="145"/>
              <w:jc w:val="left"/>
              <w:rPr>
                <w:b/>
                <w:sz w:val="20"/>
              </w:rPr>
            </w:pPr>
            <w:r>
              <w:rPr>
                <w:b/>
                <w:sz w:val="20"/>
              </w:rPr>
              <w:t>FY 2011-12</w:t>
            </w:r>
          </w:p>
        </w:tc>
        <w:tc>
          <w:tcPr>
            <w:tcW w:w="1275" w:type="dxa"/>
            <w:shd w:val="clear" w:color="auto" w:fill="F7C9AC"/>
          </w:tcPr>
          <w:p w:rsidR="007C5447" w:rsidRDefault="00F6308C">
            <w:pPr>
              <w:pStyle w:val="TableParagraph"/>
              <w:spacing w:before="29"/>
              <w:ind w:left="142"/>
              <w:jc w:val="left"/>
              <w:rPr>
                <w:b/>
                <w:sz w:val="20"/>
              </w:rPr>
            </w:pPr>
            <w:r>
              <w:rPr>
                <w:b/>
                <w:sz w:val="20"/>
              </w:rPr>
              <w:t>FY 2012-13</w:t>
            </w:r>
          </w:p>
        </w:tc>
        <w:tc>
          <w:tcPr>
            <w:tcW w:w="1419" w:type="dxa"/>
            <w:shd w:val="clear" w:color="auto" w:fill="F7C9AC"/>
          </w:tcPr>
          <w:p w:rsidR="007C5447" w:rsidRDefault="00F6308C">
            <w:pPr>
              <w:pStyle w:val="TableParagraph"/>
              <w:spacing w:before="29"/>
              <w:ind w:right="206"/>
              <w:rPr>
                <w:b/>
                <w:sz w:val="20"/>
              </w:rPr>
            </w:pPr>
            <w:r>
              <w:rPr>
                <w:b/>
                <w:sz w:val="20"/>
              </w:rPr>
              <w:t>FY 2013-14</w:t>
            </w:r>
          </w:p>
        </w:tc>
        <w:tc>
          <w:tcPr>
            <w:tcW w:w="1278" w:type="dxa"/>
            <w:shd w:val="clear" w:color="auto" w:fill="F7C9AC"/>
          </w:tcPr>
          <w:p w:rsidR="007C5447" w:rsidRDefault="00F6308C">
            <w:pPr>
              <w:pStyle w:val="TableParagraph"/>
              <w:spacing w:before="29"/>
              <w:ind w:left="144"/>
              <w:jc w:val="left"/>
              <w:rPr>
                <w:b/>
                <w:sz w:val="20"/>
              </w:rPr>
            </w:pPr>
            <w:r>
              <w:rPr>
                <w:b/>
                <w:sz w:val="20"/>
              </w:rPr>
              <w:t>FY 2014-15</w:t>
            </w:r>
          </w:p>
        </w:tc>
        <w:tc>
          <w:tcPr>
            <w:tcW w:w="1275" w:type="dxa"/>
            <w:shd w:val="clear" w:color="auto" w:fill="F7C9AC"/>
          </w:tcPr>
          <w:p w:rsidR="007C5447" w:rsidRDefault="00F6308C">
            <w:pPr>
              <w:pStyle w:val="TableParagraph"/>
              <w:spacing w:before="29"/>
              <w:ind w:left="141"/>
              <w:jc w:val="left"/>
              <w:rPr>
                <w:b/>
                <w:sz w:val="20"/>
              </w:rPr>
            </w:pPr>
            <w:r>
              <w:rPr>
                <w:b/>
                <w:sz w:val="20"/>
              </w:rPr>
              <w:t>FY 2015-16</w:t>
            </w:r>
          </w:p>
        </w:tc>
      </w:tr>
      <w:tr w:rsidR="007C5447">
        <w:trPr>
          <w:trHeight w:val="388"/>
        </w:trPr>
        <w:tc>
          <w:tcPr>
            <w:tcW w:w="562" w:type="dxa"/>
          </w:tcPr>
          <w:p w:rsidR="007C5447" w:rsidRDefault="00F6308C">
            <w:pPr>
              <w:pStyle w:val="TableParagraph"/>
              <w:spacing w:before="79"/>
              <w:ind w:left="107"/>
              <w:jc w:val="left"/>
              <w:rPr>
                <w:sz w:val="20"/>
              </w:rPr>
            </w:pPr>
            <w:r>
              <w:rPr>
                <w:w w:val="99"/>
                <w:sz w:val="20"/>
              </w:rPr>
              <w:t>1</w:t>
            </w:r>
          </w:p>
        </w:tc>
        <w:tc>
          <w:tcPr>
            <w:tcW w:w="1986" w:type="dxa"/>
          </w:tcPr>
          <w:p w:rsidR="007C5447" w:rsidRDefault="00F6308C">
            <w:pPr>
              <w:pStyle w:val="TableParagraph"/>
              <w:spacing w:before="79"/>
              <w:ind w:left="107"/>
              <w:jc w:val="left"/>
              <w:rPr>
                <w:sz w:val="20"/>
              </w:rPr>
            </w:pPr>
            <w:r>
              <w:rPr>
                <w:sz w:val="20"/>
              </w:rPr>
              <w:t>Ennore TPS</w:t>
            </w:r>
          </w:p>
        </w:tc>
        <w:tc>
          <w:tcPr>
            <w:tcW w:w="1277" w:type="dxa"/>
          </w:tcPr>
          <w:p w:rsidR="007C5447" w:rsidRDefault="00F6308C">
            <w:pPr>
              <w:pStyle w:val="TableParagraph"/>
              <w:spacing w:before="79"/>
              <w:ind w:left="538"/>
              <w:jc w:val="left"/>
              <w:rPr>
                <w:sz w:val="20"/>
              </w:rPr>
            </w:pPr>
            <w:r>
              <w:rPr>
                <w:sz w:val="20"/>
              </w:rPr>
              <w:t>24.31</w:t>
            </w:r>
          </w:p>
        </w:tc>
        <w:tc>
          <w:tcPr>
            <w:tcW w:w="1275" w:type="dxa"/>
          </w:tcPr>
          <w:p w:rsidR="007C5447" w:rsidRDefault="00F6308C">
            <w:pPr>
              <w:pStyle w:val="TableParagraph"/>
              <w:spacing w:before="79"/>
              <w:ind w:left="538"/>
              <w:jc w:val="left"/>
              <w:rPr>
                <w:sz w:val="20"/>
              </w:rPr>
            </w:pPr>
            <w:r>
              <w:rPr>
                <w:sz w:val="20"/>
              </w:rPr>
              <w:t>28.03</w:t>
            </w:r>
          </w:p>
        </w:tc>
        <w:tc>
          <w:tcPr>
            <w:tcW w:w="1419" w:type="dxa"/>
          </w:tcPr>
          <w:p w:rsidR="007C5447" w:rsidRDefault="00F6308C">
            <w:pPr>
              <w:pStyle w:val="TableParagraph"/>
              <w:spacing w:before="79"/>
              <w:ind w:right="275"/>
              <w:rPr>
                <w:sz w:val="20"/>
              </w:rPr>
            </w:pPr>
            <w:r>
              <w:rPr>
                <w:w w:val="95"/>
                <w:sz w:val="20"/>
              </w:rPr>
              <w:t>37.15</w:t>
            </w:r>
          </w:p>
        </w:tc>
        <w:tc>
          <w:tcPr>
            <w:tcW w:w="1278" w:type="dxa"/>
          </w:tcPr>
          <w:p w:rsidR="007C5447" w:rsidRDefault="00F6308C">
            <w:pPr>
              <w:pStyle w:val="TableParagraph"/>
              <w:spacing w:before="79"/>
              <w:ind w:left="537"/>
              <w:jc w:val="left"/>
              <w:rPr>
                <w:sz w:val="20"/>
              </w:rPr>
            </w:pPr>
            <w:r>
              <w:rPr>
                <w:sz w:val="20"/>
              </w:rPr>
              <w:t>25.81</w:t>
            </w:r>
          </w:p>
        </w:tc>
        <w:tc>
          <w:tcPr>
            <w:tcW w:w="1275" w:type="dxa"/>
          </w:tcPr>
          <w:p w:rsidR="007C5447" w:rsidRDefault="00F6308C">
            <w:pPr>
              <w:pStyle w:val="TableParagraph"/>
              <w:spacing w:before="79"/>
              <w:ind w:left="537"/>
              <w:jc w:val="left"/>
              <w:rPr>
                <w:sz w:val="20"/>
              </w:rPr>
            </w:pPr>
            <w:r>
              <w:rPr>
                <w:sz w:val="20"/>
              </w:rPr>
              <w:t>28.17</w:t>
            </w:r>
          </w:p>
        </w:tc>
      </w:tr>
      <w:tr w:rsidR="007C5447">
        <w:trPr>
          <w:trHeight w:val="290"/>
        </w:trPr>
        <w:tc>
          <w:tcPr>
            <w:tcW w:w="562" w:type="dxa"/>
          </w:tcPr>
          <w:p w:rsidR="007C5447" w:rsidRDefault="00F6308C">
            <w:pPr>
              <w:pStyle w:val="TableParagraph"/>
              <w:spacing w:before="31"/>
              <w:ind w:left="107"/>
              <w:jc w:val="left"/>
              <w:rPr>
                <w:sz w:val="20"/>
              </w:rPr>
            </w:pPr>
            <w:r>
              <w:rPr>
                <w:w w:val="99"/>
                <w:sz w:val="20"/>
              </w:rPr>
              <w:t>2</w:t>
            </w:r>
          </w:p>
        </w:tc>
        <w:tc>
          <w:tcPr>
            <w:tcW w:w="1986" w:type="dxa"/>
          </w:tcPr>
          <w:p w:rsidR="007C5447" w:rsidRDefault="00F6308C">
            <w:pPr>
              <w:pStyle w:val="TableParagraph"/>
              <w:spacing w:before="31"/>
              <w:ind w:left="107"/>
              <w:jc w:val="left"/>
              <w:rPr>
                <w:sz w:val="20"/>
              </w:rPr>
            </w:pPr>
            <w:r>
              <w:rPr>
                <w:sz w:val="20"/>
              </w:rPr>
              <w:t>Tuticorin TPS</w:t>
            </w:r>
          </w:p>
        </w:tc>
        <w:tc>
          <w:tcPr>
            <w:tcW w:w="1277" w:type="dxa"/>
          </w:tcPr>
          <w:p w:rsidR="007C5447" w:rsidRDefault="00F6308C">
            <w:pPr>
              <w:pStyle w:val="TableParagraph"/>
              <w:spacing w:before="31"/>
              <w:ind w:left="437"/>
              <w:jc w:val="left"/>
              <w:rPr>
                <w:sz w:val="20"/>
              </w:rPr>
            </w:pPr>
            <w:r>
              <w:rPr>
                <w:sz w:val="20"/>
              </w:rPr>
              <w:t>126.90</w:t>
            </w:r>
          </w:p>
        </w:tc>
        <w:tc>
          <w:tcPr>
            <w:tcW w:w="1275" w:type="dxa"/>
          </w:tcPr>
          <w:p w:rsidR="007C5447" w:rsidRDefault="00F6308C">
            <w:pPr>
              <w:pStyle w:val="TableParagraph"/>
              <w:spacing w:before="31"/>
              <w:ind w:left="437"/>
              <w:jc w:val="left"/>
              <w:rPr>
                <w:sz w:val="20"/>
              </w:rPr>
            </w:pPr>
            <w:r>
              <w:rPr>
                <w:sz w:val="20"/>
              </w:rPr>
              <w:t>150.17</w:t>
            </w:r>
          </w:p>
        </w:tc>
        <w:tc>
          <w:tcPr>
            <w:tcW w:w="1419" w:type="dxa"/>
          </w:tcPr>
          <w:p w:rsidR="007C5447" w:rsidRDefault="00F6308C">
            <w:pPr>
              <w:pStyle w:val="TableParagraph"/>
              <w:spacing w:before="31"/>
              <w:ind w:right="275"/>
              <w:rPr>
                <w:sz w:val="20"/>
              </w:rPr>
            </w:pPr>
            <w:r>
              <w:rPr>
                <w:w w:val="95"/>
                <w:sz w:val="20"/>
              </w:rPr>
              <w:t>149.06</w:t>
            </w:r>
          </w:p>
        </w:tc>
        <w:tc>
          <w:tcPr>
            <w:tcW w:w="1278" w:type="dxa"/>
          </w:tcPr>
          <w:p w:rsidR="007C5447" w:rsidRDefault="00F6308C">
            <w:pPr>
              <w:pStyle w:val="TableParagraph"/>
              <w:spacing w:before="31"/>
              <w:ind w:left="439"/>
              <w:jc w:val="left"/>
              <w:rPr>
                <w:sz w:val="20"/>
              </w:rPr>
            </w:pPr>
            <w:r>
              <w:rPr>
                <w:sz w:val="20"/>
              </w:rPr>
              <w:t>136.98</w:t>
            </w:r>
          </w:p>
        </w:tc>
        <w:tc>
          <w:tcPr>
            <w:tcW w:w="1275" w:type="dxa"/>
          </w:tcPr>
          <w:p w:rsidR="007C5447" w:rsidRDefault="00F6308C">
            <w:pPr>
              <w:pStyle w:val="TableParagraph"/>
              <w:spacing w:before="31"/>
              <w:ind w:left="438"/>
              <w:jc w:val="left"/>
              <w:rPr>
                <w:sz w:val="20"/>
              </w:rPr>
            </w:pPr>
            <w:r>
              <w:rPr>
                <w:sz w:val="20"/>
              </w:rPr>
              <w:t>122.95</w:t>
            </w:r>
          </w:p>
        </w:tc>
      </w:tr>
      <w:tr w:rsidR="007C5447">
        <w:trPr>
          <w:trHeight w:val="290"/>
        </w:trPr>
        <w:tc>
          <w:tcPr>
            <w:tcW w:w="562" w:type="dxa"/>
          </w:tcPr>
          <w:p w:rsidR="007C5447" w:rsidRDefault="00F6308C">
            <w:pPr>
              <w:pStyle w:val="TableParagraph"/>
              <w:spacing w:before="29"/>
              <w:ind w:left="107"/>
              <w:jc w:val="left"/>
              <w:rPr>
                <w:sz w:val="20"/>
              </w:rPr>
            </w:pPr>
            <w:r>
              <w:rPr>
                <w:w w:val="99"/>
                <w:sz w:val="20"/>
              </w:rPr>
              <w:t>3</w:t>
            </w:r>
          </w:p>
        </w:tc>
        <w:tc>
          <w:tcPr>
            <w:tcW w:w="1986" w:type="dxa"/>
          </w:tcPr>
          <w:p w:rsidR="007C5447" w:rsidRDefault="00F6308C">
            <w:pPr>
              <w:pStyle w:val="TableParagraph"/>
              <w:spacing w:before="29"/>
              <w:ind w:left="107"/>
              <w:jc w:val="left"/>
              <w:rPr>
                <w:sz w:val="20"/>
              </w:rPr>
            </w:pPr>
            <w:r>
              <w:rPr>
                <w:sz w:val="20"/>
              </w:rPr>
              <w:t>Mettur TPS</w:t>
            </w:r>
          </w:p>
        </w:tc>
        <w:tc>
          <w:tcPr>
            <w:tcW w:w="1277" w:type="dxa"/>
          </w:tcPr>
          <w:p w:rsidR="007C5447" w:rsidRDefault="00F6308C">
            <w:pPr>
              <w:pStyle w:val="TableParagraph"/>
              <w:spacing w:before="29"/>
              <w:ind w:left="538"/>
              <w:jc w:val="left"/>
              <w:rPr>
                <w:sz w:val="20"/>
              </w:rPr>
            </w:pPr>
            <w:r>
              <w:rPr>
                <w:sz w:val="20"/>
              </w:rPr>
              <w:t>89.74</w:t>
            </w:r>
          </w:p>
        </w:tc>
        <w:tc>
          <w:tcPr>
            <w:tcW w:w="1275" w:type="dxa"/>
          </w:tcPr>
          <w:p w:rsidR="007C5447" w:rsidRDefault="00F6308C">
            <w:pPr>
              <w:pStyle w:val="TableParagraph"/>
              <w:spacing w:before="29"/>
              <w:ind w:left="437"/>
              <w:jc w:val="left"/>
              <w:rPr>
                <w:sz w:val="20"/>
              </w:rPr>
            </w:pPr>
            <w:r>
              <w:rPr>
                <w:sz w:val="20"/>
              </w:rPr>
              <w:t>111.03</w:t>
            </w:r>
          </w:p>
        </w:tc>
        <w:tc>
          <w:tcPr>
            <w:tcW w:w="1419" w:type="dxa"/>
          </w:tcPr>
          <w:p w:rsidR="007C5447" w:rsidRDefault="00F6308C">
            <w:pPr>
              <w:pStyle w:val="TableParagraph"/>
              <w:spacing w:before="29"/>
              <w:ind w:right="275"/>
              <w:rPr>
                <w:sz w:val="20"/>
              </w:rPr>
            </w:pPr>
            <w:r>
              <w:rPr>
                <w:w w:val="95"/>
                <w:sz w:val="20"/>
              </w:rPr>
              <w:t>136.07</w:t>
            </w:r>
          </w:p>
        </w:tc>
        <w:tc>
          <w:tcPr>
            <w:tcW w:w="1278" w:type="dxa"/>
          </w:tcPr>
          <w:p w:rsidR="007C5447" w:rsidRDefault="00F6308C">
            <w:pPr>
              <w:pStyle w:val="TableParagraph"/>
              <w:spacing w:before="29"/>
              <w:ind w:left="439"/>
              <w:jc w:val="left"/>
              <w:rPr>
                <w:sz w:val="20"/>
              </w:rPr>
            </w:pPr>
            <w:r>
              <w:rPr>
                <w:sz w:val="20"/>
              </w:rPr>
              <w:t>122.73</w:t>
            </w:r>
          </w:p>
        </w:tc>
        <w:tc>
          <w:tcPr>
            <w:tcW w:w="1275" w:type="dxa"/>
          </w:tcPr>
          <w:p w:rsidR="007C5447" w:rsidRDefault="00F6308C">
            <w:pPr>
              <w:pStyle w:val="TableParagraph"/>
              <w:spacing w:before="29"/>
              <w:ind w:left="537"/>
              <w:jc w:val="left"/>
              <w:rPr>
                <w:sz w:val="20"/>
              </w:rPr>
            </w:pPr>
            <w:r>
              <w:rPr>
                <w:sz w:val="20"/>
              </w:rPr>
              <w:t>98.01</w:t>
            </w:r>
          </w:p>
        </w:tc>
      </w:tr>
      <w:tr w:rsidR="007C5447">
        <w:trPr>
          <w:trHeight w:val="287"/>
        </w:trPr>
        <w:tc>
          <w:tcPr>
            <w:tcW w:w="562" w:type="dxa"/>
          </w:tcPr>
          <w:p w:rsidR="007C5447" w:rsidRDefault="00F6308C">
            <w:pPr>
              <w:pStyle w:val="TableParagraph"/>
              <w:spacing w:before="29"/>
              <w:ind w:left="107"/>
              <w:jc w:val="left"/>
              <w:rPr>
                <w:sz w:val="20"/>
              </w:rPr>
            </w:pPr>
            <w:r>
              <w:rPr>
                <w:w w:val="99"/>
                <w:sz w:val="20"/>
              </w:rPr>
              <w:t>4</w:t>
            </w:r>
          </w:p>
        </w:tc>
        <w:tc>
          <w:tcPr>
            <w:tcW w:w="1986" w:type="dxa"/>
          </w:tcPr>
          <w:p w:rsidR="007C5447" w:rsidRDefault="00F6308C">
            <w:pPr>
              <w:pStyle w:val="TableParagraph"/>
              <w:spacing w:before="29"/>
              <w:ind w:left="107"/>
              <w:jc w:val="left"/>
              <w:rPr>
                <w:sz w:val="20"/>
              </w:rPr>
            </w:pPr>
            <w:r>
              <w:rPr>
                <w:sz w:val="20"/>
              </w:rPr>
              <w:t>North Chennai TPS</w:t>
            </w:r>
          </w:p>
        </w:tc>
        <w:tc>
          <w:tcPr>
            <w:tcW w:w="1277" w:type="dxa"/>
          </w:tcPr>
          <w:p w:rsidR="007C5447" w:rsidRDefault="00F6308C">
            <w:pPr>
              <w:pStyle w:val="TableParagraph"/>
              <w:spacing w:before="29"/>
              <w:ind w:left="538"/>
              <w:jc w:val="left"/>
              <w:rPr>
                <w:sz w:val="20"/>
              </w:rPr>
            </w:pPr>
            <w:r>
              <w:rPr>
                <w:sz w:val="20"/>
              </w:rPr>
              <w:t>61.91</w:t>
            </w:r>
          </w:p>
        </w:tc>
        <w:tc>
          <w:tcPr>
            <w:tcW w:w="1275" w:type="dxa"/>
          </w:tcPr>
          <w:p w:rsidR="007C5447" w:rsidRDefault="00F6308C">
            <w:pPr>
              <w:pStyle w:val="TableParagraph"/>
              <w:spacing w:before="29"/>
              <w:ind w:left="538"/>
              <w:jc w:val="left"/>
              <w:rPr>
                <w:sz w:val="20"/>
              </w:rPr>
            </w:pPr>
            <w:r>
              <w:rPr>
                <w:sz w:val="20"/>
              </w:rPr>
              <w:t>87.25</w:t>
            </w:r>
          </w:p>
        </w:tc>
        <w:tc>
          <w:tcPr>
            <w:tcW w:w="1419" w:type="dxa"/>
          </w:tcPr>
          <w:p w:rsidR="007C5447" w:rsidRDefault="00F6308C">
            <w:pPr>
              <w:pStyle w:val="TableParagraph"/>
              <w:spacing w:before="29"/>
              <w:ind w:right="275"/>
              <w:rPr>
                <w:sz w:val="20"/>
              </w:rPr>
            </w:pPr>
            <w:r>
              <w:rPr>
                <w:w w:val="95"/>
                <w:sz w:val="20"/>
              </w:rPr>
              <w:t>90.20</w:t>
            </w:r>
          </w:p>
        </w:tc>
        <w:tc>
          <w:tcPr>
            <w:tcW w:w="1278" w:type="dxa"/>
          </w:tcPr>
          <w:p w:rsidR="007C5447" w:rsidRDefault="00F6308C">
            <w:pPr>
              <w:pStyle w:val="TableParagraph"/>
              <w:spacing w:before="29"/>
              <w:ind w:left="537"/>
              <w:jc w:val="left"/>
              <w:rPr>
                <w:sz w:val="20"/>
              </w:rPr>
            </w:pPr>
            <w:r>
              <w:rPr>
                <w:sz w:val="20"/>
              </w:rPr>
              <w:t>82.88</w:t>
            </w:r>
          </w:p>
        </w:tc>
        <w:tc>
          <w:tcPr>
            <w:tcW w:w="1275" w:type="dxa"/>
          </w:tcPr>
          <w:p w:rsidR="007C5447" w:rsidRDefault="00F6308C">
            <w:pPr>
              <w:pStyle w:val="TableParagraph"/>
              <w:spacing w:before="29"/>
              <w:ind w:left="537"/>
              <w:jc w:val="left"/>
              <w:rPr>
                <w:sz w:val="20"/>
              </w:rPr>
            </w:pPr>
            <w:r>
              <w:rPr>
                <w:sz w:val="20"/>
              </w:rPr>
              <w:t>75.18</w:t>
            </w:r>
          </w:p>
        </w:tc>
      </w:tr>
      <w:tr w:rsidR="007C5447">
        <w:trPr>
          <w:trHeight w:val="290"/>
        </w:trPr>
        <w:tc>
          <w:tcPr>
            <w:tcW w:w="562" w:type="dxa"/>
          </w:tcPr>
          <w:p w:rsidR="007C5447" w:rsidRDefault="00F6308C">
            <w:pPr>
              <w:pStyle w:val="TableParagraph"/>
              <w:spacing w:before="32"/>
              <w:ind w:left="107"/>
              <w:jc w:val="left"/>
              <w:rPr>
                <w:sz w:val="20"/>
              </w:rPr>
            </w:pPr>
            <w:r>
              <w:rPr>
                <w:w w:val="99"/>
                <w:sz w:val="20"/>
              </w:rPr>
              <w:t>5</w:t>
            </w:r>
          </w:p>
        </w:tc>
        <w:tc>
          <w:tcPr>
            <w:tcW w:w="1986" w:type="dxa"/>
          </w:tcPr>
          <w:p w:rsidR="007C5447" w:rsidRDefault="00F6308C">
            <w:pPr>
              <w:pStyle w:val="TableParagraph"/>
              <w:spacing w:before="32"/>
              <w:ind w:left="107"/>
              <w:jc w:val="left"/>
              <w:rPr>
                <w:sz w:val="20"/>
              </w:rPr>
            </w:pPr>
            <w:r>
              <w:rPr>
                <w:sz w:val="20"/>
              </w:rPr>
              <w:t>Mettur TPS Stage III</w:t>
            </w:r>
          </w:p>
        </w:tc>
        <w:tc>
          <w:tcPr>
            <w:tcW w:w="1277" w:type="dxa"/>
          </w:tcPr>
          <w:p w:rsidR="007C5447" w:rsidRDefault="00F6308C">
            <w:pPr>
              <w:pStyle w:val="TableParagraph"/>
              <w:spacing w:before="32"/>
              <w:ind w:right="273"/>
              <w:rPr>
                <w:sz w:val="20"/>
              </w:rPr>
            </w:pPr>
            <w:r>
              <w:rPr>
                <w:w w:val="99"/>
                <w:sz w:val="20"/>
              </w:rPr>
              <w:t>-</w:t>
            </w:r>
          </w:p>
        </w:tc>
        <w:tc>
          <w:tcPr>
            <w:tcW w:w="1275" w:type="dxa"/>
          </w:tcPr>
          <w:p w:rsidR="007C5447" w:rsidRDefault="00F6308C">
            <w:pPr>
              <w:pStyle w:val="TableParagraph"/>
              <w:spacing w:before="32"/>
              <w:ind w:right="271"/>
              <w:rPr>
                <w:sz w:val="20"/>
              </w:rPr>
            </w:pPr>
            <w:r>
              <w:rPr>
                <w:w w:val="99"/>
                <w:sz w:val="20"/>
              </w:rPr>
              <w:t>-</w:t>
            </w:r>
          </w:p>
        </w:tc>
        <w:tc>
          <w:tcPr>
            <w:tcW w:w="1419" w:type="dxa"/>
          </w:tcPr>
          <w:p w:rsidR="007C5447" w:rsidRDefault="00F6308C">
            <w:pPr>
              <w:pStyle w:val="TableParagraph"/>
              <w:spacing w:before="32"/>
              <w:ind w:right="271"/>
              <w:rPr>
                <w:sz w:val="20"/>
              </w:rPr>
            </w:pPr>
            <w:r>
              <w:rPr>
                <w:w w:val="99"/>
                <w:sz w:val="20"/>
              </w:rPr>
              <w:t>-</w:t>
            </w:r>
          </w:p>
        </w:tc>
        <w:tc>
          <w:tcPr>
            <w:tcW w:w="1278" w:type="dxa"/>
          </w:tcPr>
          <w:p w:rsidR="007C5447" w:rsidRDefault="00F6308C">
            <w:pPr>
              <w:pStyle w:val="TableParagraph"/>
              <w:spacing w:before="32"/>
              <w:ind w:left="537"/>
              <w:jc w:val="left"/>
              <w:rPr>
                <w:sz w:val="20"/>
              </w:rPr>
            </w:pPr>
            <w:r>
              <w:rPr>
                <w:sz w:val="20"/>
              </w:rPr>
              <w:t>45.04</w:t>
            </w:r>
          </w:p>
        </w:tc>
        <w:tc>
          <w:tcPr>
            <w:tcW w:w="1275" w:type="dxa"/>
          </w:tcPr>
          <w:p w:rsidR="007C5447" w:rsidRDefault="00F6308C">
            <w:pPr>
              <w:pStyle w:val="TableParagraph"/>
              <w:spacing w:before="32"/>
              <w:ind w:left="537"/>
              <w:jc w:val="left"/>
              <w:rPr>
                <w:sz w:val="20"/>
              </w:rPr>
            </w:pPr>
            <w:r>
              <w:rPr>
                <w:sz w:val="20"/>
              </w:rPr>
              <w:t>61.69</w:t>
            </w:r>
          </w:p>
        </w:tc>
      </w:tr>
      <w:tr w:rsidR="007C5447">
        <w:trPr>
          <w:trHeight w:val="287"/>
        </w:trPr>
        <w:tc>
          <w:tcPr>
            <w:tcW w:w="562" w:type="dxa"/>
          </w:tcPr>
          <w:p w:rsidR="007C5447" w:rsidRDefault="00F6308C">
            <w:pPr>
              <w:pStyle w:val="TableParagraph"/>
              <w:spacing w:before="29"/>
              <w:ind w:left="107"/>
              <w:jc w:val="left"/>
              <w:rPr>
                <w:sz w:val="20"/>
              </w:rPr>
            </w:pPr>
            <w:r>
              <w:rPr>
                <w:w w:val="99"/>
                <w:sz w:val="20"/>
              </w:rPr>
              <w:t>6</w:t>
            </w:r>
          </w:p>
        </w:tc>
        <w:tc>
          <w:tcPr>
            <w:tcW w:w="1986" w:type="dxa"/>
          </w:tcPr>
          <w:p w:rsidR="007C5447" w:rsidRDefault="00F6308C">
            <w:pPr>
              <w:pStyle w:val="TableParagraph"/>
              <w:spacing w:before="29"/>
              <w:ind w:left="107"/>
              <w:jc w:val="left"/>
              <w:rPr>
                <w:sz w:val="20"/>
              </w:rPr>
            </w:pPr>
            <w:r>
              <w:rPr>
                <w:sz w:val="20"/>
              </w:rPr>
              <w:t>NCTPS Stage II</w:t>
            </w:r>
          </w:p>
        </w:tc>
        <w:tc>
          <w:tcPr>
            <w:tcW w:w="1277" w:type="dxa"/>
          </w:tcPr>
          <w:p w:rsidR="007C5447" w:rsidRDefault="00F6308C">
            <w:pPr>
              <w:pStyle w:val="TableParagraph"/>
              <w:spacing w:before="29"/>
              <w:ind w:right="275"/>
              <w:rPr>
                <w:sz w:val="20"/>
              </w:rPr>
            </w:pPr>
            <w:r>
              <w:rPr>
                <w:w w:val="99"/>
                <w:sz w:val="20"/>
              </w:rPr>
              <w:t>-</w:t>
            </w:r>
          </w:p>
        </w:tc>
        <w:tc>
          <w:tcPr>
            <w:tcW w:w="1275" w:type="dxa"/>
          </w:tcPr>
          <w:p w:rsidR="007C5447" w:rsidRDefault="00F6308C">
            <w:pPr>
              <w:pStyle w:val="TableParagraph"/>
              <w:spacing w:before="29"/>
              <w:ind w:right="274"/>
              <w:rPr>
                <w:sz w:val="20"/>
              </w:rPr>
            </w:pPr>
            <w:r>
              <w:rPr>
                <w:w w:val="99"/>
                <w:sz w:val="20"/>
              </w:rPr>
              <w:t>-</w:t>
            </w:r>
          </w:p>
        </w:tc>
        <w:tc>
          <w:tcPr>
            <w:tcW w:w="1419" w:type="dxa"/>
          </w:tcPr>
          <w:p w:rsidR="007C5447" w:rsidRDefault="00F6308C">
            <w:pPr>
              <w:pStyle w:val="TableParagraph"/>
              <w:spacing w:before="29"/>
              <w:ind w:right="274"/>
              <w:rPr>
                <w:sz w:val="20"/>
              </w:rPr>
            </w:pPr>
            <w:r>
              <w:rPr>
                <w:w w:val="99"/>
                <w:sz w:val="20"/>
              </w:rPr>
              <w:t>-</w:t>
            </w:r>
          </w:p>
        </w:tc>
        <w:tc>
          <w:tcPr>
            <w:tcW w:w="1278" w:type="dxa"/>
          </w:tcPr>
          <w:p w:rsidR="007C5447" w:rsidRDefault="00F6308C">
            <w:pPr>
              <w:pStyle w:val="TableParagraph"/>
              <w:spacing w:before="29"/>
              <w:ind w:left="537"/>
              <w:jc w:val="left"/>
              <w:rPr>
                <w:sz w:val="20"/>
              </w:rPr>
            </w:pPr>
            <w:r>
              <w:rPr>
                <w:sz w:val="20"/>
              </w:rPr>
              <w:t>77.87</w:t>
            </w:r>
          </w:p>
        </w:tc>
        <w:tc>
          <w:tcPr>
            <w:tcW w:w="1275" w:type="dxa"/>
          </w:tcPr>
          <w:p w:rsidR="007C5447" w:rsidRDefault="00F6308C">
            <w:pPr>
              <w:pStyle w:val="TableParagraph"/>
              <w:spacing w:before="29"/>
              <w:ind w:left="537"/>
              <w:jc w:val="left"/>
              <w:rPr>
                <w:sz w:val="20"/>
              </w:rPr>
            </w:pPr>
            <w:r>
              <w:rPr>
                <w:sz w:val="20"/>
              </w:rPr>
              <w:t>90.79</w:t>
            </w:r>
          </w:p>
        </w:tc>
      </w:tr>
      <w:tr w:rsidR="007C5447">
        <w:trPr>
          <w:trHeight w:val="290"/>
        </w:trPr>
        <w:tc>
          <w:tcPr>
            <w:tcW w:w="562" w:type="dxa"/>
          </w:tcPr>
          <w:p w:rsidR="007C5447" w:rsidRDefault="00F6308C">
            <w:pPr>
              <w:pStyle w:val="TableParagraph"/>
              <w:spacing w:before="31"/>
              <w:ind w:left="107"/>
              <w:jc w:val="left"/>
              <w:rPr>
                <w:sz w:val="20"/>
              </w:rPr>
            </w:pPr>
            <w:r>
              <w:rPr>
                <w:w w:val="99"/>
                <w:sz w:val="20"/>
              </w:rPr>
              <w:t>7</w:t>
            </w:r>
          </w:p>
        </w:tc>
        <w:tc>
          <w:tcPr>
            <w:tcW w:w="1986" w:type="dxa"/>
          </w:tcPr>
          <w:p w:rsidR="007C5447" w:rsidRDefault="00F6308C">
            <w:pPr>
              <w:pStyle w:val="TableParagraph"/>
              <w:spacing w:before="31"/>
              <w:ind w:left="107"/>
              <w:jc w:val="left"/>
              <w:rPr>
                <w:sz w:val="20"/>
              </w:rPr>
            </w:pPr>
            <w:r>
              <w:rPr>
                <w:sz w:val="20"/>
              </w:rPr>
              <w:t>Tirumakottai GTPS</w:t>
            </w:r>
          </w:p>
        </w:tc>
        <w:tc>
          <w:tcPr>
            <w:tcW w:w="1277" w:type="dxa"/>
          </w:tcPr>
          <w:p w:rsidR="007C5447" w:rsidRDefault="00F6308C">
            <w:pPr>
              <w:pStyle w:val="TableParagraph"/>
              <w:spacing w:before="31"/>
              <w:ind w:left="637"/>
              <w:jc w:val="left"/>
              <w:rPr>
                <w:sz w:val="20"/>
              </w:rPr>
            </w:pPr>
            <w:r>
              <w:rPr>
                <w:sz w:val="20"/>
              </w:rPr>
              <w:t>8.17</w:t>
            </w:r>
          </w:p>
        </w:tc>
        <w:tc>
          <w:tcPr>
            <w:tcW w:w="1275" w:type="dxa"/>
          </w:tcPr>
          <w:p w:rsidR="007C5447" w:rsidRDefault="00F6308C">
            <w:pPr>
              <w:pStyle w:val="TableParagraph"/>
              <w:spacing w:before="31"/>
              <w:ind w:left="538"/>
              <w:jc w:val="left"/>
              <w:rPr>
                <w:sz w:val="20"/>
              </w:rPr>
            </w:pPr>
            <w:r>
              <w:rPr>
                <w:sz w:val="20"/>
              </w:rPr>
              <w:t>10.83</w:t>
            </w:r>
          </w:p>
        </w:tc>
        <w:tc>
          <w:tcPr>
            <w:tcW w:w="1419" w:type="dxa"/>
          </w:tcPr>
          <w:p w:rsidR="007C5447" w:rsidRDefault="00F6308C">
            <w:pPr>
              <w:pStyle w:val="TableParagraph"/>
              <w:spacing w:before="31"/>
              <w:ind w:right="275"/>
              <w:rPr>
                <w:sz w:val="20"/>
              </w:rPr>
            </w:pPr>
            <w:r>
              <w:rPr>
                <w:w w:val="95"/>
                <w:sz w:val="20"/>
              </w:rPr>
              <w:t>11.07</w:t>
            </w:r>
          </w:p>
        </w:tc>
        <w:tc>
          <w:tcPr>
            <w:tcW w:w="1278" w:type="dxa"/>
          </w:tcPr>
          <w:p w:rsidR="007C5447" w:rsidRDefault="00F6308C">
            <w:pPr>
              <w:pStyle w:val="TableParagraph"/>
              <w:spacing w:before="31"/>
              <w:ind w:left="537"/>
              <w:jc w:val="left"/>
              <w:rPr>
                <w:sz w:val="20"/>
              </w:rPr>
            </w:pPr>
            <w:r>
              <w:rPr>
                <w:sz w:val="20"/>
              </w:rPr>
              <w:t>10.16</w:t>
            </w:r>
          </w:p>
        </w:tc>
        <w:tc>
          <w:tcPr>
            <w:tcW w:w="1275" w:type="dxa"/>
          </w:tcPr>
          <w:p w:rsidR="007C5447" w:rsidRDefault="00F6308C">
            <w:pPr>
              <w:pStyle w:val="TableParagraph"/>
              <w:spacing w:before="31"/>
              <w:ind w:left="537"/>
              <w:jc w:val="left"/>
              <w:rPr>
                <w:sz w:val="20"/>
              </w:rPr>
            </w:pPr>
            <w:r>
              <w:rPr>
                <w:sz w:val="20"/>
              </w:rPr>
              <w:t>11.26</w:t>
            </w:r>
          </w:p>
        </w:tc>
      </w:tr>
      <w:tr w:rsidR="007C5447">
        <w:trPr>
          <w:trHeight w:val="290"/>
        </w:trPr>
        <w:tc>
          <w:tcPr>
            <w:tcW w:w="562" w:type="dxa"/>
          </w:tcPr>
          <w:p w:rsidR="007C5447" w:rsidRDefault="00F6308C">
            <w:pPr>
              <w:pStyle w:val="TableParagraph"/>
              <w:spacing w:before="29"/>
              <w:ind w:left="107"/>
              <w:jc w:val="left"/>
              <w:rPr>
                <w:sz w:val="20"/>
              </w:rPr>
            </w:pPr>
            <w:r>
              <w:rPr>
                <w:w w:val="99"/>
                <w:sz w:val="20"/>
              </w:rPr>
              <w:t>8</w:t>
            </w:r>
          </w:p>
        </w:tc>
        <w:tc>
          <w:tcPr>
            <w:tcW w:w="1986" w:type="dxa"/>
          </w:tcPr>
          <w:p w:rsidR="007C5447" w:rsidRDefault="00F6308C">
            <w:pPr>
              <w:pStyle w:val="TableParagraph"/>
              <w:spacing w:before="29"/>
              <w:ind w:left="107"/>
              <w:jc w:val="left"/>
              <w:rPr>
                <w:sz w:val="20"/>
              </w:rPr>
            </w:pPr>
            <w:r>
              <w:rPr>
                <w:sz w:val="20"/>
              </w:rPr>
              <w:t>Kuttalam GTPS</w:t>
            </w:r>
          </w:p>
        </w:tc>
        <w:tc>
          <w:tcPr>
            <w:tcW w:w="1277" w:type="dxa"/>
          </w:tcPr>
          <w:p w:rsidR="007C5447" w:rsidRDefault="00F6308C">
            <w:pPr>
              <w:pStyle w:val="TableParagraph"/>
              <w:spacing w:before="29"/>
              <w:ind w:left="637"/>
              <w:jc w:val="left"/>
              <w:rPr>
                <w:sz w:val="20"/>
              </w:rPr>
            </w:pPr>
            <w:r>
              <w:rPr>
                <w:sz w:val="20"/>
              </w:rPr>
              <w:t>5.53</w:t>
            </w:r>
          </w:p>
        </w:tc>
        <w:tc>
          <w:tcPr>
            <w:tcW w:w="1275" w:type="dxa"/>
          </w:tcPr>
          <w:p w:rsidR="007C5447" w:rsidRDefault="00F6308C">
            <w:pPr>
              <w:pStyle w:val="TableParagraph"/>
              <w:spacing w:before="29"/>
              <w:ind w:left="636"/>
              <w:jc w:val="left"/>
              <w:rPr>
                <w:sz w:val="20"/>
              </w:rPr>
            </w:pPr>
            <w:r>
              <w:rPr>
                <w:sz w:val="20"/>
              </w:rPr>
              <w:t>2.62</w:t>
            </w:r>
          </w:p>
        </w:tc>
        <w:tc>
          <w:tcPr>
            <w:tcW w:w="1419" w:type="dxa"/>
          </w:tcPr>
          <w:p w:rsidR="007C5447" w:rsidRDefault="00F6308C">
            <w:pPr>
              <w:pStyle w:val="TableParagraph"/>
              <w:spacing w:before="29"/>
              <w:ind w:right="275"/>
              <w:rPr>
                <w:sz w:val="20"/>
              </w:rPr>
            </w:pPr>
            <w:r>
              <w:rPr>
                <w:w w:val="95"/>
                <w:sz w:val="20"/>
              </w:rPr>
              <w:t>13.46</w:t>
            </w:r>
          </w:p>
        </w:tc>
        <w:tc>
          <w:tcPr>
            <w:tcW w:w="1278" w:type="dxa"/>
          </w:tcPr>
          <w:p w:rsidR="007C5447" w:rsidRDefault="00F6308C">
            <w:pPr>
              <w:pStyle w:val="TableParagraph"/>
              <w:spacing w:before="29"/>
              <w:ind w:left="638"/>
              <w:jc w:val="left"/>
              <w:rPr>
                <w:sz w:val="20"/>
              </w:rPr>
            </w:pPr>
            <w:r>
              <w:rPr>
                <w:sz w:val="20"/>
              </w:rPr>
              <w:t>8.78</w:t>
            </w:r>
          </w:p>
        </w:tc>
        <w:tc>
          <w:tcPr>
            <w:tcW w:w="1275" w:type="dxa"/>
          </w:tcPr>
          <w:p w:rsidR="007C5447" w:rsidRDefault="00F6308C">
            <w:pPr>
              <w:pStyle w:val="TableParagraph"/>
              <w:spacing w:before="29"/>
              <w:ind w:left="537"/>
              <w:jc w:val="left"/>
              <w:rPr>
                <w:sz w:val="20"/>
              </w:rPr>
            </w:pPr>
            <w:r>
              <w:rPr>
                <w:sz w:val="20"/>
              </w:rPr>
              <w:t>11.89</w:t>
            </w:r>
          </w:p>
        </w:tc>
      </w:tr>
      <w:tr w:rsidR="007C5447">
        <w:trPr>
          <w:trHeight w:val="287"/>
        </w:trPr>
        <w:tc>
          <w:tcPr>
            <w:tcW w:w="562" w:type="dxa"/>
          </w:tcPr>
          <w:p w:rsidR="007C5447" w:rsidRDefault="00F6308C">
            <w:pPr>
              <w:pStyle w:val="TableParagraph"/>
              <w:spacing w:before="29"/>
              <w:ind w:left="107"/>
              <w:jc w:val="left"/>
              <w:rPr>
                <w:sz w:val="20"/>
              </w:rPr>
            </w:pPr>
            <w:r>
              <w:rPr>
                <w:w w:val="99"/>
                <w:sz w:val="20"/>
              </w:rPr>
              <w:t>9</w:t>
            </w:r>
          </w:p>
        </w:tc>
        <w:tc>
          <w:tcPr>
            <w:tcW w:w="1986" w:type="dxa"/>
          </w:tcPr>
          <w:p w:rsidR="007C5447" w:rsidRDefault="00F6308C">
            <w:pPr>
              <w:pStyle w:val="TableParagraph"/>
              <w:spacing w:before="29"/>
              <w:ind w:left="107"/>
              <w:jc w:val="left"/>
              <w:rPr>
                <w:sz w:val="20"/>
              </w:rPr>
            </w:pPr>
            <w:r>
              <w:rPr>
                <w:sz w:val="20"/>
              </w:rPr>
              <w:t>Basin Bridge GTPS</w:t>
            </w:r>
          </w:p>
        </w:tc>
        <w:tc>
          <w:tcPr>
            <w:tcW w:w="1277" w:type="dxa"/>
          </w:tcPr>
          <w:p w:rsidR="007C5447" w:rsidRDefault="00F6308C">
            <w:pPr>
              <w:pStyle w:val="TableParagraph"/>
              <w:spacing w:before="29"/>
              <w:ind w:left="637"/>
              <w:jc w:val="left"/>
              <w:rPr>
                <w:sz w:val="20"/>
              </w:rPr>
            </w:pPr>
            <w:r>
              <w:rPr>
                <w:sz w:val="20"/>
              </w:rPr>
              <w:t>5.98</w:t>
            </w:r>
          </w:p>
        </w:tc>
        <w:tc>
          <w:tcPr>
            <w:tcW w:w="1275" w:type="dxa"/>
          </w:tcPr>
          <w:p w:rsidR="007C5447" w:rsidRDefault="00F6308C">
            <w:pPr>
              <w:pStyle w:val="TableParagraph"/>
              <w:spacing w:before="29"/>
              <w:ind w:left="636"/>
              <w:jc w:val="left"/>
              <w:rPr>
                <w:sz w:val="20"/>
              </w:rPr>
            </w:pPr>
            <w:r>
              <w:rPr>
                <w:sz w:val="20"/>
              </w:rPr>
              <w:t>5.13</w:t>
            </w:r>
          </w:p>
        </w:tc>
        <w:tc>
          <w:tcPr>
            <w:tcW w:w="1419" w:type="dxa"/>
          </w:tcPr>
          <w:p w:rsidR="007C5447" w:rsidRDefault="00F6308C">
            <w:pPr>
              <w:pStyle w:val="TableParagraph"/>
              <w:spacing w:before="29"/>
              <w:ind w:right="275"/>
              <w:rPr>
                <w:sz w:val="20"/>
              </w:rPr>
            </w:pPr>
            <w:r>
              <w:rPr>
                <w:sz w:val="20"/>
              </w:rPr>
              <w:t>6.87</w:t>
            </w:r>
          </w:p>
        </w:tc>
        <w:tc>
          <w:tcPr>
            <w:tcW w:w="1278" w:type="dxa"/>
          </w:tcPr>
          <w:p w:rsidR="007C5447" w:rsidRDefault="00F6308C">
            <w:pPr>
              <w:pStyle w:val="TableParagraph"/>
              <w:spacing w:before="29"/>
              <w:ind w:left="638"/>
              <w:jc w:val="left"/>
              <w:rPr>
                <w:sz w:val="20"/>
              </w:rPr>
            </w:pPr>
            <w:r>
              <w:rPr>
                <w:sz w:val="20"/>
              </w:rPr>
              <w:t>6.93</w:t>
            </w:r>
          </w:p>
        </w:tc>
        <w:tc>
          <w:tcPr>
            <w:tcW w:w="1275" w:type="dxa"/>
          </w:tcPr>
          <w:p w:rsidR="007C5447" w:rsidRDefault="00F6308C">
            <w:pPr>
              <w:pStyle w:val="TableParagraph"/>
              <w:spacing w:before="29"/>
              <w:ind w:left="637"/>
              <w:jc w:val="left"/>
              <w:rPr>
                <w:sz w:val="20"/>
              </w:rPr>
            </w:pPr>
            <w:r>
              <w:rPr>
                <w:sz w:val="20"/>
              </w:rPr>
              <w:t>9.72</w:t>
            </w:r>
          </w:p>
        </w:tc>
      </w:tr>
      <w:tr w:rsidR="007C5447">
        <w:trPr>
          <w:trHeight w:val="290"/>
        </w:trPr>
        <w:tc>
          <w:tcPr>
            <w:tcW w:w="562" w:type="dxa"/>
          </w:tcPr>
          <w:p w:rsidR="007C5447" w:rsidRDefault="00F6308C">
            <w:pPr>
              <w:pStyle w:val="TableParagraph"/>
              <w:spacing w:before="29"/>
              <w:ind w:left="107"/>
              <w:jc w:val="left"/>
              <w:rPr>
                <w:sz w:val="20"/>
              </w:rPr>
            </w:pPr>
            <w:r>
              <w:rPr>
                <w:sz w:val="20"/>
              </w:rPr>
              <w:t>10</w:t>
            </w:r>
          </w:p>
        </w:tc>
        <w:tc>
          <w:tcPr>
            <w:tcW w:w="1986" w:type="dxa"/>
          </w:tcPr>
          <w:p w:rsidR="007C5447" w:rsidRDefault="00F6308C">
            <w:pPr>
              <w:pStyle w:val="TableParagraph"/>
              <w:spacing w:before="29"/>
              <w:ind w:left="107"/>
              <w:jc w:val="left"/>
              <w:rPr>
                <w:sz w:val="20"/>
              </w:rPr>
            </w:pPr>
            <w:r>
              <w:rPr>
                <w:sz w:val="20"/>
              </w:rPr>
              <w:t>Valuthur GTPS</w:t>
            </w:r>
          </w:p>
        </w:tc>
        <w:tc>
          <w:tcPr>
            <w:tcW w:w="1277" w:type="dxa"/>
          </w:tcPr>
          <w:p w:rsidR="007C5447" w:rsidRDefault="00F6308C">
            <w:pPr>
              <w:pStyle w:val="TableParagraph"/>
              <w:spacing w:before="29"/>
              <w:ind w:left="538"/>
              <w:jc w:val="left"/>
              <w:rPr>
                <w:sz w:val="20"/>
              </w:rPr>
            </w:pPr>
            <w:r>
              <w:rPr>
                <w:sz w:val="20"/>
              </w:rPr>
              <w:t>12.38</w:t>
            </w:r>
          </w:p>
        </w:tc>
        <w:tc>
          <w:tcPr>
            <w:tcW w:w="1275" w:type="dxa"/>
          </w:tcPr>
          <w:p w:rsidR="007C5447" w:rsidRDefault="00F6308C">
            <w:pPr>
              <w:pStyle w:val="TableParagraph"/>
              <w:spacing w:before="29"/>
              <w:ind w:left="538"/>
              <w:jc w:val="left"/>
              <w:rPr>
                <w:sz w:val="20"/>
              </w:rPr>
            </w:pPr>
            <w:r>
              <w:rPr>
                <w:sz w:val="20"/>
              </w:rPr>
              <w:t>14.31</w:t>
            </w:r>
          </w:p>
        </w:tc>
        <w:tc>
          <w:tcPr>
            <w:tcW w:w="1419" w:type="dxa"/>
          </w:tcPr>
          <w:p w:rsidR="007C5447" w:rsidRDefault="00F6308C">
            <w:pPr>
              <w:pStyle w:val="TableParagraph"/>
              <w:spacing w:before="29"/>
              <w:ind w:right="275"/>
              <w:rPr>
                <w:sz w:val="20"/>
              </w:rPr>
            </w:pPr>
            <w:r>
              <w:rPr>
                <w:w w:val="95"/>
                <w:sz w:val="20"/>
              </w:rPr>
              <w:t>19.78</w:t>
            </w:r>
          </w:p>
        </w:tc>
        <w:tc>
          <w:tcPr>
            <w:tcW w:w="1278" w:type="dxa"/>
          </w:tcPr>
          <w:p w:rsidR="007C5447" w:rsidRDefault="00F6308C">
            <w:pPr>
              <w:pStyle w:val="TableParagraph"/>
              <w:spacing w:before="29"/>
              <w:ind w:left="537"/>
              <w:jc w:val="left"/>
              <w:rPr>
                <w:sz w:val="20"/>
              </w:rPr>
            </w:pPr>
            <w:r>
              <w:rPr>
                <w:sz w:val="20"/>
              </w:rPr>
              <w:t>16.86</w:t>
            </w:r>
          </w:p>
        </w:tc>
        <w:tc>
          <w:tcPr>
            <w:tcW w:w="1275" w:type="dxa"/>
          </w:tcPr>
          <w:p w:rsidR="007C5447" w:rsidRDefault="00F6308C">
            <w:pPr>
              <w:pStyle w:val="TableParagraph"/>
              <w:spacing w:before="29"/>
              <w:ind w:left="537"/>
              <w:jc w:val="left"/>
              <w:rPr>
                <w:sz w:val="20"/>
              </w:rPr>
            </w:pPr>
            <w:r>
              <w:rPr>
                <w:sz w:val="20"/>
              </w:rPr>
              <w:t>18.45</w:t>
            </w:r>
          </w:p>
        </w:tc>
      </w:tr>
      <w:tr w:rsidR="007C5447">
        <w:trPr>
          <w:trHeight w:val="287"/>
        </w:trPr>
        <w:tc>
          <w:tcPr>
            <w:tcW w:w="562" w:type="dxa"/>
          </w:tcPr>
          <w:p w:rsidR="007C5447" w:rsidRDefault="00F6308C">
            <w:pPr>
              <w:pStyle w:val="TableParagraph"/>
              <w:spacing w:before="29"/>
              <w:ind w:left="107"/>
              <w:jc w:val="left"/>
              <w:rPr>
                <w:sz w:val="20"/>
              </w:rPr>
            </w:pPr>
            <w:r>
              <w:rPr>
                <w:sz w:val="20"/>
              </w:rPr>
              <w:t>11</w:t>
            </w:r>
          </w:p>
        </w:tc>
        <w:tc>
          <w:tcPr>
            <w:tcW w:w="1986" w:type="dxa"/>
          </w:tcPr>
          <w:p w:rsidR="007C5447" w:rsidRDefault="00F6308C">
            <w:pPr>
              <w:pStyle w:val="TableParagraph"/>
              <w:spacing w:before="29"/>
              <w:ind w:left="107"/>
              <w:jc w:val="left"/>
              <w:rPr>
                <w:sz w:val="20"/>
              </w:rPr>
            </w:pPr>
            <w:r>
              <w:rPr>
                <w:sz w:val="20"/>
              </w:rPr>
              <w:t>Erode HEP</w:t>
            </w:r>
          </w:p>
        </w:tc>
        <w:tc>
          <w:tcPr>
            <w:tcW w:w="1277" w:type="dxa"/>
          </w:tcPr>
          <w:p w:rsidR="007C5447" w:rsidRDefault="00F6308C">
            <w:pPr>
              <w:pStyle w:val="TableParagraph"/>
              <w:spacing w:before="29"/>
              <w:ind w:left="637"/>
              <w:jc w:val="left"/>
              <w:rPr>
                <w:sz w:val="20"/>
              </w:rPr>
            </w:pPr>
            <w:r>
              <w:rPr>
                <w:sz w:val="20"/>
              </w:rPr>
              <w:t>5.44</w:t>
            </w:r>
          </w:p>
        </w:tc>
        <w:tc>
          <w:tcPr>
            <w:tcW w:w="1275" w:type="dxa"/>
          </w:tcPr>
          <w:p w:rsidR="007C5447" w:rsidRDefault="00F6308C">
            <w:pPr>
              <w:pStyle w:val="TableParagraph"/>
              <w:spacing w:before="29"/>
              <w:ind w:left="636"/>
              <w:jc w:val="left"/>
              <w:rPr>
                <w:sz w:val="20"/>
              </w:rPr>
            </w:pPr>
            <w:r>
              <w:rPr>
                <w:sz w:val="20"/>
              </w:rPr>
              <w:t>7.09</w:t>
            </w:r>
          </w:p>
        </w:tc>
        <w:tc>
          <w:tcPr>
            <w:tcW w:w="1419" w:type="dxa"/>
          </w:tcPr>
          <w:p w:rsidR="007C5447" w:rsidRDefault="00F6308C">
            <w:pPr>
              <w:pStyle w:val="TableParagraph"/>
              <w:spacing w:before="29"/>
              <w:ind w:right="275"/>
              <w:rPr>
                <w:sz w:val="20"/>
              </w:rPr>
            </w:pPr>
            <w:r>
              <w:rPr>
                <w:w w:val="95"/>
                <w:sz w:val="20"/>
              </w:rPr>
              <w:t>10.61</w:t>
            </w:r>
          </w:p>
        </w:tc>
        <w:tc>
          <w:tcPr>
            <w:tcW w:w="1278" w:type="dxa"/>
          </w:tcPr>
          <w:p w:rsidR="007C5447" w:rsidRDefault="00F6308C">
            <w:pPr>
              <w:pStyle w:val="TableParagraph"/>
              <w:spacing w:before="29"/>
              <w:ind w:left="638"/>
              <w:jc w:val="left"/>
              <w:rPr>
                <w:sz w:val="20"/>
              </w:rPr>
            </w:pPr>
            <w:r>
              <w:rPr>
                <w:sz w:val="20"/>
              </w:rPr>
              <w:t>4.86</w:t>
            </w:r>
          </w:p>
        </w:tc>
        <w:tc>
          <w:tcPr>
            <w:tcW w:w="1275" w:type="dxa"/>
          </w:tcPr>
          <w:p w:rsidR="007C5447" w:rsidRDefault="00F6308C">
            <w:pPr>
              <w:pStyle w:val="TableParagraph"/>
              <w:spacing w:before="29"/>
              <w:ind w:left="637"/>
              <w:jc w:val="left"/>
              <w:rPr>
                <w:sz w:val="20"/>
              </w:rPr>
            </w:pPr>
            <w:r>
              <w:rPr>
                <w:sz w:val="20"/>
              </w:rPr>
              <w:t>5.64</w:t>
            </w:r>
          </w:p>
        </w:tc>
      </w:tr>
      <w:tr w:rsidR="007C5447">
        <w:trPr>
          <w:trHeight w:val="290"/>
        </w:trPr>
        <w:tc>
          <w:tcPr>
            <w:tcW w:w="562" w:type="dxa"/>
          </w:tcPr>
          <w:p w:rsidR="007C5447" w:rsidRDefault="00F6308C">
            <w:pPr>
              <w:pStyle w:val="TableParagraph"/>
              <w:spacing w:before="31"/>
              <w:ind w:left="107"/>
              <w:jc w:val="left"/>
              <w:rPr>
                <w:sz w:val="20"/>
              </w:rPr>
            </w:pPr>
            <w:r>
              <w:rPr>
                <w:sz w:val="20"/>
              </w:rPr>
              <w:t>12</w:t>
            </w:r>
          </w:p>
        </w:tc>
        <w:tc>
          <w:tcPr>
            <w:tcW w:w="1986" w:type="dxa"/>
          </w:tcPr>
          <w:p w:rsidR="007C5447" w:rsidRDefault="00F6308C">
            <w:pPr>
              <w:pStyle w:val="TableParagraph"/>
              <w:spacing w:before="31"/>
              <w:ind w:left="107"/>
              <w:jc w:val="left"/>
              <w:rPr>
                <w:sz w:val="20"/>
              </w:rPr>
            </w:pPr>
            <w:r>
              <w:rPr>
                <w:sz w:val="20"/>
              </w:rPr>
              <w:t>Kadamparai HEP</w:t>
            </w:r>
          </w:p>
        </w:tc>
        <w:tc>
          <w:tcPr>
            <w:tcW w:w="1277" w:type="dxa"/>
          </w:tcPr>
          <w:p w:rsidR="007C5447" w:rsidRDefault="00F6308C">
            <w:pPr>
              <w:pStyle w:val="TableParagraph"/>
              <w:spacing w:before="31"/>
              <w:ind w:left="637"/>
              <w:jc w:val="left"/>
              <w:rPr>
                <w:sz w:val="20"/>
              </w:rPr>
            </w:pPr>
            <w:r>
              <w:rPr>
                <w:sz w:val="20"/>
              </w:rPr>
              <w:t>3.13</w:t>
            </w:r>
          </w:p>
        </w:tc>
        <w:tc>
          <w:tcPr>
            <w:tcW w:w="1275" w:type="dxa"/>
          </w:tcPr>
          <w:p w:rsidR="007C5447" w:rsidRDefault="00F6308C">
            <w:pPr>
              <w:pStyle w:val="TableParagraph"/>
              <w:spacing w:before="31"/>
              <w:ind w:left="636"/>
              <w:jc w:val="left"/>
              <w:rPr>
                <w:sz w:val="20"/>
              </w:rPr>
            </w:pPr>
            <w:r>
              <w:rPr>
                <w:sz w:val="20"/>
              </w:rPr>
              <w:t>4.08</w:t>
            </w:r>
          </w:p>
        </w:tc>
        <w:tc>
          <w:tcPr>
            <w:tcW w:w="1419" w:type="dxa"/>
          </w:tcPr>
          <w:p w:rsidR="007C5447" w:rsidRDefault="00F6308C">
            <w:pPr>
              <w:pStyle w:val="TableParagraph"/>
              <w:spacing w:before="31"/>
              <w:ind w:right="275"/>
              <w:rPr>
                <w:sz w:val="20"/>
              </w:rPr>
            </w:pPr>
            <w:r>
              <w:rPr>
                <w:sz w:val="20"/>
              </w:rPr>
              <w:t>6.91</w:t>
            </w:r>
          </w:p>
        </w:tc>
        <w:tc>
          <w:tcPr>
            <w:tcW w:w="1278" w:type="dxa"/>
          </w:tcPr>
          <w:p w:rsidR="007C5447" w:rsidRDefault="00F6308C">
            <w:pPr>
              <w:pStyle w:val="TableParagraph"/>
              <w:spacing w:before="31"/>
              <w:ind w:left="638"/>
              <w:jc w:val="left"/>
              <w:rPr>
                <w:sz w:val="20"/>
              </w:rPr>
            </w:pPr>
            <w:r>
              <w:rPr>
                <w:sz w:val="20"/>
              </w:rPr>
              <w:t>5.15</w:t>
            </w:r>
          </w:p>
        </w:tc>
        <w:tc>
          <w:tcPr>
            <w:tcW w:w="1275" w:type="dxa"/>
          </w:tcPr>
          <w:p w:rsidR="007C5447" w:rsidRDefault="00F6308C">
            <w:pPr>
              <w:pStyle w:val="TableParagraph"/>
              <w:spacing w:before="31"/>
              <w:ind w:left="637"/>
              <w:jc w:val="left"/>
              <w:rPr>
                <w:sz w:val="20"/>
              </w:rPr>
            </w:pPr>
            <w:r>
              <w:rPr>
                <w:sz w:val="20"/>
              </w:rPr>
              <w:t>5.38</w:t>
            </w:r>
          </w:p>
        </w:tc>
      </w:tr>
    </w:tbl>
    <w:p w:rsidR="007C5447" w:rsidRDefault="007C5447">
      <w:pPr>
        <w:rPr>
          <w:sz w:val="20"/>
        </w:rPr>
        <w:sectPr w:rsidR="007C5447">
          <w:pgSz w:w="11910" w:h="16840"/>
          <w:pgMar w:top="1360" w:right="1140" w:bottom="1240" w:left="1220" w:header="0" w:footer="1057" w:gutter="0"/>
          <w:cols w:space="720"/>
        </w:sect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986"/>
        <w:gridCol w:w="1277"/>
        <w:gridCol w:w="1275"/>
        <w:gridCol w:w="1419"/>
        <w:gridCol w:w="1278"/>
        <w:gridCol w:w="1275"/>
      </w:tblGrid>
      <w:tr w:rsidR="007C5447">
        <w:trPr>
          <w:trHeight w:val="290"/>
        </w:trPr>
        <w:tc>
          <w:tcPr>
            <w:tcW w:w="562" w:type="dxa"/>
            <w:shd w:val="clear" w:color="auto" w:fill="F7C9AC"/>
          </w:tcPr>
          <w:p w:rsidR="007C5447" w:rsidRDefault="00F6308C">
            <w:pPr>
              <w:pStyle w:val="TableParagraph"/>
              <w:spacing w:before="29"/>
              <w:ind w:left="107"/>
              <w:jc w:val="left"/>
              <w:rPr>
                <w:b/>
                <w:sz w:val="20"/>
              </w:rPr>
            </w:pPr>
            <w:r>
              <w:rPr>
                <w:b/>
                <w:sz w:val="20"/>
              </w:rPr>
              <w:lastRenderedPageBreak/>
              <w:t>Sl.</w:t>
            </w:r>
          </w:p>
        </w:tc>
        <w:tc>
          <w:tcPr>
            <w:tcW w:w="1986" w:type="dxa"/>
            <w:shd w:val="clear" w:color="auto" w:fill="F7C9AC"/>
          </w:tcPr>
          <w:p w:rsidR="007C5447" w:rsidRDefault="00F6308C">
            <w:pPr>
              <w:pStyle w:val="TableParagraph"/>
              <w:spacing w:before="29"/>
              <w:ind w:left="107"/>
              <w:jc w:val="left"/>
              <w:rPr>
                <w:b/>
                <w:sz w:val="20"/>
              </w:rPr>
            </w:pPr>
            <w:r>
              <w:rPr>
                <w:b/>
                <w:sz w:val="20"/>
              </w:rPr>
              <w:t>Particulars</w:t>
            </w:r>
          </w:p>
        </w:tc>
        <w:tc>
          <w:tcPr>
            <w:tcW w:w="1277" w:type="dxa"/>
            <w:shd w:val="clear" w:color="auto" w:fill="F7C9AC"/>
          </w:tcPr>
          <w:p w:rsidR="007C5447" w:rsidRDefault="00F6308C">
            <w:pPr>
              <w:pStyle w:val="TableParagraph"/>
              <w:spacing w:before="29"/>
              <w:ind w:left="145"/>
              <w:jc w:val="left"/>
              <w:rPr>
                <w:b/>
                <w:sz w:val="20"/>
              </w:rPr>
            </w:pPr>
            <w:r>
              <w:rPr>
                <w:b/>
                <w:sz w:val="20"/>
              </w:rPr>
              <w:t>FY 2011-12</w:t>
            </w:r>
          </w:p>
        </w:tc>
        <w:tc>
          <w:tcPr>
            <w:tcW w:w="1275" w:type="dxa"/>
            <w:shd w:val="clear" w:color="auto" w:fill="F7C9AC"/>
          </w:tcPr>
          <w:p w:rsidR="007C5447" w:rsidRDefault="00F6308C">
            <w:pPr>
              <w:pStyle w:val="TableParagraph"/>
              <w:spacing w:before="29"/>
              <w:ind w:left="142"/>
              <w:jc w:val="left"/>
              <w:rPr>
                <w:b/>
                <w:sz w:val="20"/>
              </w:rPr>
            </w:pPr>
            <w:r>
              <w:rPr>
                <w:b/>
                <w:sz w:val="20"/>
              </w:rPr>
              <w:t>FY 2012-13</w:t>
            </w:r>
          </w:p>
        </w:tc>
        <w:tc>
          <w:tcPr>
            <w:tcW w:w="1419" w:type="dxa"/>
            <w:shd w:val="clear" w:color="auto" w:fill="F7C9AC"/>
          </w:tcPr>
          <w:p w:rsidR="007C5447" w:rsidRDefault="00F6308C">
            <w:pPr>
              <w:pStyle w:val="TableParagraph"/>
              <w:spacing w:before="29"/>
              <w:ind w:right="206"/>
              <w:rPr>
                <w:b/>
                <w:sz w:val="20"/>
              </w:rPr>
            </w:pPr>
            <w:r>
              <w:rPr>
                <w:b/>
                <w:sz w:val="20"/>
              </w:rPr>
              <w:t>FY 2013-14</w:t>
            </w:r>
          </w:p>
        </w:tc>
        <w:tc>
          <w:tcPr>
            <w:tcW w:w="1278" w:type="dxa"/>
            <w:shd w:val="clear" w:color="auto" w:fill="F7C9AC"/>
          </w:tcPr>
          <w:p w:rsidR="007C5447" w:rsidRDefault="00F6308C">
            <w:pPr>
              <w:pStyle w:val="TableParagraph"/>
              <w:spacing w:before="29"/>
              <w:ind w:left="144"/>
              <w:jc w:val="left"/>
              <w:rPr>
                <w:b/>
                <w:sz w:val="20"/>
              </w:rPr>
            </w:pPr>
            <w:r>
              <w:rPr>
                <w:b/>
                <w:sz w:val="20"/>
              </w:rPr>
              <w:t>FY 2014-15</w:t>
            </w:r>
          </w:p>
        </w:tc>
        <w:tc>
          <w:tcPr>
            <w:tcW w:w="1275" w:type="dxa"/>
            <w:shd w:val="clear" w:color="auto" w:fill="F7C9AC"/>
          </w:tcPr>
          <w:p w:rsidR="007C5447" w:rsidRDefault="00F6308C">
            <w:pPr>
              <w:pStyle w:val="TableParagraph"/>
              <w:spacing w:before="29"/>
              <w:ind w:left="141"/>
              <w:jc w:val="left"/>
              <w:rPr>
                <w:b/>
                <w:sz w:val="20"/>
              </w:rPr>
            </w:pPr>
            <w:r>
              <w:rPr>
                <w:b/>
                <w:sz w:val="20"/>
              </w:rPr>
              <w:t>FY 2015-16</w:t>
            </w:r>
          </w:p>
        </w:tc>
      </w:tr>
      <w:tr w:rsidR="007C5447">
        <w:trPr>
          <w:trHeight w:val="288"/>
        </w:trPr>
        <w:tc>
          <w:tcPr>
            <w:tcW w:w="562" w:type="dxa"/>
          </w:tcPr>
          <w:p w:rsidR="007C5447" w:rsidRDefault="00F6308C">
            <w:pPr>
              <w:pStyle w:val="TableParagraph"/>
              <w:spacing w:before="29"/>
              <w:ind w:left="107"/>
              <w:jc w:val="left"/>
              <w:rPr>
                <w:sz w:val="20"/>
              </w:rPr>
            </w:pPr>
            <w:r>
              <w:rPr>
                <w:sz w:val="20"/>
              </w:rPr>
              <w:t>13</w:t>
            </w:r>
          </w:p>
        </w:tc>
        <w:tc>
          <w:tcPr>
            <w:tcW w:w="1986" w:type="dxa"/>
          </w:tcPr>
          <w:p w:rsidR="007C5447" w:rsidRDefault="00F6308C">
            <w:pPr>
              <w:pStyle w:val="TableParagraph"/>
              <w:spacing w:before="29"/>
              <w:ind w:left="107"/>
              <w:jc w:val="left"/>
              <w:rPr>
                <w:sz w:val="20"/>
              </w:rPr>
            </w:pPr>
            <w:r>
              <w:rPr>
                <w:sz w:val="20"/>
              </w:rPr>
              <w:t>Kundah HEP</w:t>
            </w:r>
          </w:p>
        </w:tc>
        <w:tc>
          <w:tcPr>
            <w:tcW w:w="1277" w:type="dxa"/>
          </w:tcPr>
          <w:p w:rsidR="007C5447" w:rsidRDefault="00F6308C">
            <w:pPr>
              <w:pStyle w:val="TableParagraph"/>
              <w:spacing w:before="29"/>
              <w:ind w:left="637"/>
              <w:jc w:val="left"/>
              <w:rPr>
                <w:sz w:val="20"/>
              </w:rPr>
            </w:pPr>
            <w:r>
              <w:rPr>
                <w:sz w:val="20"/>
              </w:rPr>
              <w:t>7.22</w:t>
            </w:r>
          </w:p>
        </w:tc>
        <w:tc>
          <w:tcPr>
            <w:tcW w:w="1275" w:type="dxa"/>
          </w:tcPr>
          <w:p w:rsidR="007C5447" w:rsidRDefault="00F6308C">
            <w:pPr>
              <w:pStyle w:val="TableParagraph"/>
              <w:spacing w:before="29"/>
              <w:ind w:left="636"/>
              <w:jc w:val="left"/>
              <w:rPr>
                <w:sz w:val="20"/>
              </w:rPr>
            </w:pPr>
            <w:r>
              <w:rPr>
                <w:sz w:val="20"/>
              </w:rPr>
              <w:t>9.75</w:t>
            </w:r>
          </w:p>
        </w:tc>
        <w:tc>
          <w:tcPr>
            <w:tcW w:w="1419" w:type="dxa"/>
          </w:tcPr>
          <w:p w:rsidR="007C5447" w:rsidRDefault="00F6308C">
            <w:pPr>
              <w:pStyle w:val="TableParagraph"/>
              <w:spacing w:before="29"/>
              <w:ind w:right="275"/>
              <w:rPr>
                <w:sz w:val="20"/>
              </w:rPr>
            </w:pPr>
            <w:r>
              <w:rPr>
                <w:w w:val="95"/>
                <w:sz w:val="20"/>
              </w:rPr>
              <w:t>13.02</w:t>
            </w:r>
          </w:p>
        </w:tc>
        <w:tc>
          <w:tcPr>
            <w:tcW w:w="1278" w:type="dxa"/>
          </w:tcPr>
          <w:p w:rsidR="007C5447" w:rsidRDefault="00F6308C">
            <w:pPr>
              <w:pStyle w:val="TableParagraph"/>
              <w:spacing w:before="29"/>
              <w:ind w:left="537"/>
              <w:jc w:val="left"/>
              <w:rPr>
                <w:sz w:val="20"/>
              </w:rPr>
            </w:pPr>
            <w:r>
              <w:rPr>
                <w:sz w:val="20"/>
              </w:rPr>
              <w:t>12.44</w:t>
            </w:r>
          </w:p>
        </w:tc>
        <w:tc>
          <w:tcPr>
            <w:tcW w:w="1275" w:type="dxa"/>
          </w:tcPr>
          <w:p w:rsidR="007C5447" w:rsidRDefault="00F6308C">
            <w:pPr>
              <w:pStyle w:val="TableParagraph"/>
              <w:spacing w:before="29"/>
              <w:ind w:left="537"/>
              <w:jc w:val="left"/>
              <w:rPr>
                <w:sz w:val="20"/>
              </w:rPr>
            </w:pPr>
            <w:r>
              <w:rPr>
                <w:sz w:val="20"/>
              </w:rPr>
              <w:t>14.86</w:t>
            </w:r>
          </w:p>
        </w:tc>
      </w:tr>
      <w:tr w:rsidR="007C5447">
        <w:trPr>
          <w:trHeight w:val="290"/>
        </w:trPr>
        <w:tc>
          <w:tcPr>
            <w:tcW w:w="562" w:type="dxa"/>
          </w:tcPr>
          <w:p w:rsidR="007C5447" w:rsidRDefault="00F6308C">
            <w:pPr>
              <w:pStyle w:val="TableParagraph"/>
              <w:spacing w:before="29"/>
              <w:ind w:left="107"/>
              <w:jc w:val="left"/>
              <w:rPr>
                <w:sz w:val="20"/>
              </w:rPr>
            </w:pPr>
            <w:r>
              <w:rPr>
                <w:sz w:val="20"/>
              </w:rPr>
              <w:t>14</w:t>
            </w:r>
          </w:p>
        </w:tc>
        <w:tc>
          <w:tcPr>
            <w:tcW w:w="1986" w:type="dxa"/>
          </w:tcPr>
          <w:p w:rsidR="007C5447" w:rsidRDefault="00F6308C">
            <w:pPr>
              <w:pStyle w:val="TableParagraph"/>
              <w:spacing w:before="29"/>
              <w:ind w:left="107"/>
              <w:jc w:val="left"/>
              <w:rPr>
                <w:sz w:val="20"/>
              </w:rPr>
            </w:pPr>
            <w:r>
              <w:rPr>
                <w:sz w:val="20"/>
              </w:rPr>
              <w:t>Tirunelveli HEP</w:t>
            </w:r>
          </w:p>
        </w:tc>
        <w:tc>
          <w:tcPr>
            <w:tcW w:w="1277" w:type="dxa"/>
          </w:tcPr>
          <w:p w:rsidR="007C5447" w:rsidRDefault="00F6308C">
            <w:pPr>
              <w:pStyle w:val="TableParagraph"/>
              <w:spacing w:before="29"/>
              <w:ind w:left="637"/>
              <w:jc w:val="left"/>
              <w:rPr>
                <w:sz w:val="20"/>
              </w:rPr>
            </w:pPr>
            <w:r>
              <w:rPr>
                <w:sz w:val="20"/>
              </w:rPr>
              <w:t>3.13</w:t>
            </w:r>
          </w:p>
        </w:tc>
        <w:tc>
          <w:tcPr>
            <w:tcW w:w="1275" w:type="dxa"/>
          </w:tcPr>
          <w:p w:rsidR="007C5447" w:rsidRDefault="00F6308C">
            <w:pPr>
              <w:pStyle w:val="TableParagraph"/>
              <w:spacing w:before="29"/>
              <w:ind w:left="636"/>
              <w:jc w:val="left"/>
              <w:rPr>
                <w:sz w:val="20"/>
              </w:rPr>
            </w:pPr>
            <w:r>
              <w:rPr>
                <w:sz w:val="20"/>
              </w:rPr>
              <w:t>3.85</w:t>
            </w:r>
          </w:p>
        </w:tc>
        <w:tc>
          <w:tcPr>
            <w:tcW w:w="1419" w:type="dxa"/>
          </w:tcPr>
          <w:p w:rsidR="007C5447" w:rsidRDefault="00F6308C">
            <w:pPr>
              <w:pStyle w:val="TableParagraph"/>
              <w:spacing w:before="29"/>
              <w:ind w:right="275"/>
              <w:rPr>
                <w:sz w:val="20"/>
              </w:rPr>
            </w:pPr>
            <w:r>
              <w:rPr>
                <w:sz w:val="20"/>
              </w:rPr>
              <w:t>5.67</w:t>
            </w:r>
          </w:p>
        </w:tc>
        <w:tc>
          <w:tcPr>
            <w:tcW w:w="1278" w:type="dxa"/>
          </w:tcPr>
          <w:p w:rsidR="007C5447" w:rsidRDefault="00F6308C">
            <w:pPr>
              <w:pStyle w:val="TableParagraph"/>
              <w:spacing w:before="29"/>
              <w:ind w:left="638"/>
              <w:jc w:val="left"/>
              <w:rPr>
                <w:sz w:val="20"/>
              </w:rPr>
            </w:pPr>
            <w:r>
              <w:rPr>
                <w:sz w:val="20"/>
              </w:rPr>
              <w:t>5.91</w:t>
            </w:r>
          </w:p>
        </w:tc>
        <w:tc>
          <w:tcPr>
            <w:tcW w:w="1275" w:type="dxa"/>
          </w:tcPr>
          <w:p w:rsidR="007C5447" w:rsidRDefault="00F6308C">
            <w:pPr>
              <w:pStyle w:val="TableParagraph"/>
              <w:spacing w:before="29"/>
              <w:ind w:left="637"/>
              <w:jc w:val="left"/>
              <w:rPr>
                <w:sz w:val="20"/>
              </w:rPr>
            </w:pPr>
            <w:r>
              <w:rPr>
                <w:sz w:val="20"/>
              </w:rPr>
              <w:t>5.63</w:t>
            </w:r>
          </w:p>
        </w:tc>
      </w:tr>
      <w:tr w:rsidR="007C5447">
        <w:trPr>
          <w:trHeight w:val="287"/>
        </w:trPr>
        <w:tc>
          <w:tcPr>
            <w:tcW w:w="562" w:type="dxa"/>
          </w:tcPr>
          <w:p w:rsidR="007C5447" w:rsidRDefault="00F6308C">
            <w:pPr>
              <w:pStyle w:val="TableParagraph"/>
              <w:spacing w:before="29"/>
              <w:ind w:left="107"/>
              <w:jc w:val="left"/>
              <w:rPr>
                <w:b/>
                <w:sz w:val="20"/>
              </w:rPr>
            </w:pPr>
            <w:r>
              <w:rPr>
                <w:b/>
                <w:sz w:val="20"/>
              </w:rPr>
              <w:t>15</w:t>
            </w:r>
          </w:p>
        </w:tc>
        <w:tc>
          <w:tcPr>
            <w:tcW w:w="1986" w:type="dxa"/>
          </w:tcPr>
          <w:p w:rsidR="007C5447" w:rsidRDefault="00F6308C">
            <w:pPr>
              <w:pStyle w:val="TableParagraph"/>
              <w:spacing w:before="29"/>
              <w:ind w:left="107"/>
              <w:jc w:val="left"/>
              <w:rPr>
                <w:b/>
                <w:sz w:val="20"/>
              </w:rPr>
            </w:pPr>
            <w:r>
              <w:rPr>
                <w:b/>
                <w:sz w:val="20"/>
              </w:rPr>
              <w:t>Total Generation</w:t>
            </w:r>
          </w:p>
        </w:tc>
        <w:tc>
          <w:tcPr>
            <w:tcW w:w="1277" w:type="dxa"/>
          </w:tcPr>
          <w:p w:rsidR="007C5447" w:rsidRDefault="00F6308C">
            <w:pPr>
              <w:pStyle w:val="TableParagraph"/>
              <w:spacing w:before="29"/>
              <w:ind w:left="437"/>
              <w:jc w:val="left"/>
              <w:rPr>
                <w:b/>
                <w:sz w:val="20"/>
              </w:rPr>
            </w:pPr>
            <w:r>
              <w:rPr>
                <w:b/>
                <w:sz w:val="20"/>
              </w:rPr>
              <w:t>353.84</w:t>
            </w:r>
          </w:p>
        </w:tc>
        <w:tc>
          <w:tcPr>
            <w:tcW w:w="1275" w:type="dxa"/>
          </w:tcPr>
          <w:p w:rsidR="007C5447" w:rsidRDefault="00F6308C">
            <w:pPr>
              <w:pStyle w:val="TableParagraph"/>
              <w:spacing w:before="29"/>
              <w:ind w:left="437"/>
              <w:jc w:val="left"/>
              <w:rPr>
                <w:b/>
                <w:sz w:val="20"/>
              </w:rPr>
            </w:pPr>
            <w:r>
              <w:rPr>
                <w:b/>
                <w:sz w:val="20"/>
              </w:rPr>
              <w:t>434.12</w:t>
            </w:r>
          </w:p>
        </w:tc>
        <w:tc>
          <w:tcPr>
            <w:tcW w:w="1419" w:type="dxa"/>
          </w:tcPr>
          <w:p w:rsidR="007C5447" w:rsidRDefault="00F6308C">
            <w:pPr>
              <w:pStyle w:val="TableParagraph"/>
              <w:spacing w:before="29"/>
              <w:ind w:left="581"/>
              <w:jc w:val="left"/>
              <w:rPr>
                <w:b/>
                <w:sz w:val="20"/>
              </w:rPr>
            </w:pPr>
            <w:r>
              <w:rPr>
                <w:b/>
                <w:sz w:val="20"/>
              </w:rPr>
              <w:t>499.87</w:t>
            </w:r>
          </w:p>
        </w:tc>
        <w:tc>
          <w:tcPr>
            <w:tcW w:w="1278" w:type="dxa"/>
          </w:tcPr>
          <w:p w:rsidR="007C5447" w:rsidRDefault="00F6308C">
            <w:pPr>
              <w:pStyle w:val="TableParagraph"/>
              <w:spacing w:before="29"/>
              <w:ind w:left="439"/>
              <w:jc w:val="left"/>
              <w:rPr>
                <w:b/>
                <w:sz w:val="20"/>
              </w:rPr>
            </w:pPr>
            <w:r>
              <w:rPr>
                <w:b/>
                <w:sz w:val="20"/>
              </w:rPr>
              <w:t>562.40</w:t>
            </w:r>
          </w:p>
        </w:tc>
        <w:tc>
          <w:tcPr>
            <w:tcW w:w="1275" w:type="dxa"/>
          </w:tcPr>
          <w:p w:rsidR="007C5447" w:rsidRDefault="00F6308C">
            <w:pPr>
              <w:pStyle w:val="TableParagraph"/>
              <w:spacing w:before="29"/>
              <w:ind w:left="438"/>
              <w:jc w:val="left"/>
              <w:rPr>
                <w:b/>
                <w:sz w:val="20"/>
              </w:rPr>
            </w:pPr>
            <w:r>
              <w:rPr>
                <w:b/>
                <w:sz w:val="20"/>
              </w:rPr>
              <w:t>559.61</w:t>
            </w:r>
          </w:p>
        </w:tc>
      </w:tr>
      <w:tr w:rsidR="007C5447">
        <w:trPr>
          <w:trHeight w:val="290"/>
        </w:trPr>
        <w:tc>
          <w:tcPr>
            <w:tcW w:w="562" w:type="dxa"/>
          </w:tcPr>
          <w:p w:rsidR="007C5447" w:rsidRDefault="00F6308C">
            <w:pPr>
              <w:pStyle w:val="TableParagraph"/>
              <w:spacing w:before="31"/>
              <w:ind w:left="107"/>
              <w:jc w:val="left"/>
              <w:rPr>
                <w:b/>
                <w:sz w:val="20"/>
              </w:rPr>
            </w:pPr>
            <w:r>
              <w:rPr>
                <w:b/>
                <w:sz w:val="20"/>
              </w:rPr>
              <w:t>16</w:t>
            </w:r>
          </w:p>
        </w:tc>
        <w:tc>
          <w:tcPr>
            <w:tcW w:w="1986" w:type="dxa"/>
          </w:tcPr>
          <w:p w:rsidR="007C5447" w:rsidRDefault="00F6308C">
            <w:pPr>
              <w:pStyle w:val="TableParagraph"/>
              <w:spacing w:before="31"/>
              <w:ind w:left="107"/>
              <w:jc w:val="left"/>
              <w:rPr>
                <w:b/>
                <w:sz w:val="20"/>
              </w:rPr>
            </w:pPr>
            <w:r>
              <w:rPr>
                <w:b/>
                <w:sz w:val="20"/>
              </w:rPr>
              <w:t>Distribution</w:t>
            </w:r>
          </w:p>
        </w:tc>
        <w:tc>
          <w:tcPr>
            <w:tcW w:w="1277" w:type="dxa"/>
          </w:tcPr>
          <w:p w:rsidR="007C5447" w:rsidRDefault="00F6308C">
            <w:pPr>
              <w:pStyle w:val="TableParagraph"/>
              <w:spacing w:before="31"/>
              <w:ind w:right="275"/>
              <w:rPr>
                <w:b/>
                <w:sz w:val="20"/>
              </w:rPr>
            </w:pPr>
            <w:r>
              <w:rPr>
                <w:b/>
                <w:w w:val="99"/>
                <w:sz w:val="20"/>
              </w:rPr>
              <w:t>-</w:t>
            </w:r>
          </w:p>
        </w:tc>
        <w:tc>
          <w:tcPr>
            <w:tcW w:w="1275" w:type="dxa"/>
          </w:tcPr>
          <w:p w:rsidR="007C5447" w:rsidRDefault="00F6308C">
            <w:pPr>
              <w:pStyle w:val="TableParagraph"/>
              <w:spacing w:before="31"/>
              <w:ind w:right="274"/>
              <w:rPr>
                <w:b/>
                <w:sz w:val="20"/>
              </w:rPr>
            </w:pPr>
            <w:r>
              <w:rPr>
                <w:b/>
                <w:w w:val="99"/>
                <w:sz w:val="20"/>
              </w:rPr>
              <w:t>-</w:t>
            </w:r>
          </w:p>
        </w:tc>
        <w:tc>
          <w:tcPr>
            <w:tcW w:w="1419" w:type="dxa"/>
          </w:tcPr>
          <w:p w:rsidR="007C5447" w:rsidRDefault="00F6308C">
            <w:pPr>
              <w:pStyle w:val="TableParagraph"/>
              <w:spacing w:before="31"/>
              <w:ind w:right="274"/>
              <w:rPr>
                <w:b/>
                <w:sz w:val="20"/>
              </w:rPr>
            </w:pPr>
            <w:r>
              <w:rPr>
                <w:b/>
                <w:w w:val="99"/>
                <w:sz w:val="20"/>
              </w:rPr>
              <w:t>-</w:t>
            </w:r>
          </w:p>
        </w:tc>
        <w:tc>
          <w:tcPr>
            <w:tcW w:w="1278" w:type="dxa"/>
          </w:tcPr>
          <w:p w:rsidR="007C5447" w:rsidRDefault="00F6308C">
            <w:pPr>
              <w:pStyle w:val="TableParagraph"/>
              <w:spacing w:before="31"/>
              <w:ind w:left="439"/>
              <w:jc w:val="left"/>
              <w:rPr>
                <w:b/>
                <w:sz w:val="20"/>
              </w:rPr>
            </w:pPr>
            <w:r>
              <w:rPr>
                <w:b/>
                <w:sz w:val="20"/>
              </w:rPr>
              <w:t>189.53</w:t>
            </w:r>
          </w:p>
        </w:tc>
        <w:tc>
          <w:tcPr>
            <w:tcW w:w="1275" w:type="dxa"/>
          </w:tcPr>
          <w:p w:rsidR="007C5447" w:rsidRDefault="00F6308C">
            <w:pPr>
              <w:pStyle w:val="TableParagraph"/>
              <w:spacing w:before="31"/>
              <w:ind w:left="438"/>
              <w:jc w:val="left"/>
              <w:rPr>
                <w:b/>
                <w:sz w:val="20"/>
              </w:rPr>
            </w:pPr>
            <w:r>
              <w:rPr>
                <w:b/>
                <w:sz w:val="20"/>
              </w:rPr>
              <w:t>178.74</w:t>
            </w:r>
          </w:p>
        </w:tc>
      </w:tr>
      <w:tr w:rsidR="007C5447">
        <w:trPr>
          <w:trHeight w:val="290"/>
        </w:trPr>
        <w:tc>
          <w:tcPr>
            <w:tcW w:w="562" w:type="dxa"/>
          </w:tcPr>
          <w:p w:rsidR="007C5447" w:rsidRDefault="00F6308C">
            <w:pPr>
              <w:pStyle w:val="TableParagraph"/>
              <w:spacing w:before="29"/>
              <w:ind w:left="107"/>
              <w:jc w:val="left"/>
              <w:rPr>
                <w:b/>
                <w:sz w:val="20"/>
              </w:rPr>
            </w:pPr>
            <w:r>
              <w:rPr>
                <w:b/>
                <w:sz w:val="20"/>
              </w:rPr>
              <w:t>17</w:t>
            </w:r>
          </w:p>
        </w:tc>
        <w:tc>
          <w:tcPr>
            <w:tcW w:w="1986" w:type="dxa"/>
          </w:tcPr>
          <w:p w:rsidR="007C5447" w:rsidRDefault="00F6308C">
            <w:pPr>
              <w:pStyle w:val="TableParagraph"/>
              <w:spacing w:before="29"/>
              <w:ind w:left="107"/>
              <w:jc w:val="left"/>
              <w:rPr>
                <w:b/>
                <w:sz w:val="20"/>
              </w:rPr>
            </w:pPr>
            <w:r>
              <w:rPr>
                <w:b/>
                <w:sz w:val="20"/>
              </w:rPr>
              <w:t>Total TANGEDCO</w:t>
            </w:r>
          </w:p>
        </w:tc>
        <w:tc>
          <w:tcPr>
            <w:tcW w:w="1277" w:type="dxa"/>
          </w:tcPr>
          <w:p w:rsidR="007C5447" w:rsidRDefault="00F6308C">
            <w:pPr>
              <w:pStyle w:val="TableParagraph"/>
              <w:spacing w:before="29"/>
              <w:ind w:left="437"/>
              <w:jc w:val="left"/>
              <w:rPr>
                <w:b/>
                <w:sz w:val="20"/>
              </w:rPr>
            </w:pPr>
            <w:r>
              <w:rPr>
                <w:b/>
                <w:sz w:val="20"/>
              </w:rPr>
              <w:t>353.84</w:t>
            </w:r>
          </w:p>
        </w:tc>
        <w:tc>
          <w:tcPr>
            <w:tcW w:w="1275" w:type="dxa"/>
          </w:tcPr>
          <w:p w:rsidR="007C5447" w:rsidRDefault="00F6308C">
            <w:pPr>
              <w:pStyle w:val="TableParagraph"/>
              <w:spacing w:before="29"/>
              <w:ind w:left="437"/>
              <w:jc w:val="left"/>
              <w:rPr>
                <w:b/>
                <w:sz w:val="20"/>
              </w:rPr>
            </w:pPr>
            <w:r>
              <w:rPr>
                <w:b/>
                <w:sz w:val="20"/>
              </w:rPr>
              <w:t>434.12</w:t>
            </w:r>
          </w:p>
        </w:tc>
        <w:tc>
          <w:tcPr>
            <w:tcW w:w="1419" w:type="dxa"/>
          </w:tcPr>
          <w:p w:rsidR="007C5447" w:rsidRDefault="00F6308C">
            <w:pPr>
              <w:pStyle w:val="TableParagraph"/>
              <w:spacing w:before="29"/>
              <w:ind w:left="581"/>
              <w:jc w:val="left"/>
              <w:rPr>
                <w:b/>
                <w:sz w:val="20"/>
              </w:rPr>
            </w:pPr>
            <w:r>
              <w:rPr>
                <w:b/>
                <w:sz w:val="20"/>
              </w:rPr>
              <w:t>499.87</w:t>
            </w:r>
          </w:p>
        </w:tc>
        <w:tc>
          <w:tcPr>
            <w:tcW w:w="1278" w:type="dxa"/>
          </w:tcPr>
          <w:p w:rsidR="007C5447" w:rsidRDefault="00F6308C">
            <w:pPr>
              <w:pStyle w:val="TableParagraph"/>
              <w:spacing w:before="29"/>
              <w:ind w:left="439"/>
              <w:jc w:val="left"/>
              <w:rPr>
                <w:b/>
                <w:sz w:val="20"/>
              </w:rPr>
            </w:pPr>
            <w:r>
              <w:rPr>
                <w:b/>
                <w:sz w:val="20"/>
              </w:rPr>
              <w:t>751.94</w:t>
            </w:r>
          </w:p>
        </w:tc>
        <w:tc>
          <w:tcPr>
            <w:tcW w:w="1275" w:type="dxa"/>
          </w:tcPr>
          <w:p w:rsidR="007C5447" w:rsidRDefault="00F6308C">
            <w:pPr>
              <w:pStyle w:val="TableParagraph"/>
              <w:spacing w:before="29"/>
              <w:ind w:left="438"/>
              <w:jc w:val="left"/>
              <w:rPr>
                <w:b/>
                <w:sz w:val="20"/>
              </w:rPr>
            </w:pPr>
            <w:r>
              <w:rPr>
                <w:b/>
                <w:sz w:val="20"/>
              </w:rPr>
              <w:t>738.35</w:t>
            </w:r>
          </w:p>
        </w:tc>
      </w:tr>
    </w:tbl>
    <w:p w:rsidR="007C5447" w:rsidRDefault="007C5447">
      <w:pPr>
        <w:pStyle w:val="BodyText"/>
        <w:spacing w:before="11"/>
        <w:rPr>
          <w:b/>
          <w:sz w:val="12"/>
        </w:rPr>
      </w:pPr>
    </w:p>
    <w:p w:rsidR="007C5447" w:rsidRDefault="00F6308C">
      <w:pPr>
        <w:pStyle w:val="Heading2"/>
        <w:spacing w:before="90"/>
      </w:pPr>
      <w:r>
        <w:t>Commission’s Views</w:t>
      </w:r>
    </w:p>
    <w:p w:rsidR="007C5447" w:rsidRDefault="00F6308C">
      <w:pPr>
        <w:pStyle w:val="ListParagraph"/>
        <w:numPr>
          <w:ilvl w:val="2"/>
          <w:numId w:val="92"/>
        </w:numPr>
        <w:tabs>
          <w:tab w:val="left" w:pos="1073"/>
        </w:tabs>
        <w:spacing w:before="201" w:line="312" w:lineRule="auto"/>
        <w:ind w:left="1072" w:right="295"/>
        <w:jc w:val="both"/>
        <w:rPr>
          <w:sz w:val="24"/>
        </w:rPr>
      </w:pPr>
      <w:r>
        <w:rPr>
          <w:sz w:val="24"/>
        </w:rPr>
        <w:t>The Commission has approved the IoWC separately for generation and distribution function of TANGEDCO in accordance with Regulation 26 of the Tariff Regulations as reproduced below, and after deducting the amount of consumer security deposit from the workin</w:t>
      </w:r>
      <w:r>
        <w:rPr>
          <w:sz w:val="24"/>
        </w:rPr>
        <w:t>g capital requirement, in line with the approach adopted in the suo- motu</w:t>
      </w:r>
      <w:r>
        <w:rPr>
          <w:spacing w:val="-1"/>
          <w:sz w:val="24"/>
        </w:rPr>
        <w:t xml:space="preserve"> </w:t>
      </w:r>
      <w:r>
        <w:rPr>
          <w:sz w:val="24"/>
        </w:rPr>
        <w:t>Order.</w:t>
      </w:r>
    </w:p>
    <w:p w:rsidR="007C5447" w:rsidRDefault="007C5447">
      <w:pPr>
        <w:pStyle w:val="BodyText"/>
        <w:spacing w:before="1"/>
        <w:rPr>
          <w:sz w:val="21"/>
        </w:rPr>
      </w:pPr>
    </w:p>
    <w:p w:rsidR="007C5447" w:rsidRDefault="00F6308C">
      <w:pPr>
        <w:spacing w:line="448" w:lineRule="auto"/>
        <w:ind w:left="1660" w:right="5769"/>
        <w:rPr>
          <w:i/>
          <w:sz w:val="24"/>
        </w:rPr>
      </w:pPr>
      <w:r>
        <w:rPr>
          <w:i/>
          <w:sz w:val="24"/>
        </w:rPr>
        <w:t>“26. Working Capital (1)…</w:t>
      </w:r>
    </w:p>
    <w:p w:rsidR="007C5447" w:rsidRDefault="00F6308C">
      <w:pPr>
        <w:ind w:left="1660" w:right="890"/>
        <w:rPr>
          <w:i/>
          <w:sz w:val="24"/>
        </w:rPr>
      </w:pPr>
      <w:r>
        <w:rPr>
          <w:i/>
          <w:sz w:val="24"/>
        </w:rPr>
        <w:t>(2) Till such a formula is evolved, the norms for Working Capital shall be as below:</w:t>
      </w:r>
    </w:p>
    <w:p w:rsidR="007C5447" w:rsidRDefault="007C5447">
      <w:pPr>
        <w:pStyle w:val="BodyText"/>
        <w:spacing w:before="10"/>
        <w:rPr>
          <w:i/>
          <w:sz w:val="20"/>
        </w:rPr>
      </w:pPr>
    </w:p>
    <w:p w:rsidR="007C5447" w:rsidRDefault="00F6308C">
      <w:pPr>
        <w:pStyle w:val="ListParagraph"/>
        <w:numPr>
          <w:ilvl w:val="0"/>
          <w:numId w:val="87"/>
        </w:numPr>
        <w:tabs>
          <w:tab w:val="left" w:pos="1999"/>
        </w:tabs>
        <w:jc w:val="both"/>
        <w:rPr>
          <w:i/>
          <w:sz w:val="24"/>
        </w:rPr>
      </w:pPr>
      <w:r>
        <w:rPr>
          <w:i/>
          <w:sz w:val="24"/>
        </w:rPr>
        <w:t>For Coal based / Lignite fired Generating</w:t>
      </w:r>
      <w:r>
        <w:rPr>
          <w:i/>
          <w:spacing w:val="-1"/>
          <w:sz w:val="24"/>
        </w:rPr>
        <w:t xml:space="preserve"> </w:t>
      </w:r>
      <w:r>
        <w:rPr>
          <w:i/>
          <w:sz w:val="24"/>
        </w:rPr>
        <w:t>Stations</w:t>
      </w:r>
    </w:p>
    <w:p w:rsidR="007C5447" w:rsidRDefault="00F6308C">
      <w:pPr>
        <w:pStyle w:val="ListParagraph"/>
        <w:numPr>
          <w:ilvl w:val="0"/>
          <w:numId w:val="86"/>
        </w:numPr>
        <w:tabs>
          <w:tab w:val="left" w:pos="2218"/>
        </w:tabs>
        <w:spacing w:line="312" w:lineRule="auto"/>
        <w:ind w:right="302"/>
        <w:jc w:val="both"/>
        <w:rPr>
          <w:i/>
          <w:sz w:val="24"/>
        </w:rPr>
      </w:pPr>
      <w:r>
        <w:rPr>
          <w:i/>
          <w:sz w:val="24"/>
        </w:rPr>
        <w:t>Cost of coal or lignite for one and half month for pit head generating stations and two months for non pit head generating stations corresponding to the target</w:t>
      </w:r>
      <w:r>
        <w:rPr>
          <w:i/>
          <w:spacing w:val="-2"/>
          <w:sz w:val="24"/>
        </w:rPr>
        <w:t xml:space="preserve"> </w:t>
      </w:r>
      <w:r>
        <w:rPr>
          <w:i/>
          <w:sz w:val="24"/>
        </w:rPr>
        <w:t>availability;</w:t>
      </w:r>
    </w:p>
    <w:p w:rsidR="007C5447" w:rsidRDefault="00F6308C">
      <w:pPr>
        <w:pStyle w:val="ListParagraph"/>
        <w:numPr>
          <w:ilvl w:val="0"/>
          <w:numId w:val="86"/>
        </w:numPr>
        <w:tabs>
          <w:tab w:val="left" w:pos="2218"/>
        </w:tabs>
        <w:spacing w:line="312" w:lineRule="auto"/>
        <w:ind w:right="301" w:hanging="555"/>
        <w:jc w:val="both"/>
        <w:rPr>
          <w:i/>
          <w:sz w:val="24"/>
        </w:rPr>
      </w:pPr>
      <w:r>
        <w:rPr>
          <w:i/>
          <w:sz w:val="24"/>
        </w:rPr>
        <w:t xml:space="preserve">Cost of secondary fuel oil for </w:t>
      </w:r>
      <w:r>
        <w:rPr>
          <w:i/>
          <w:sz w:val="24"/>
        </w:rPr>
        <w:t>two months corresponding to the target availability;</w:t>
      </w:r>
    </w:p>
    <w:p w:rsidR="007C5447" w:rsidRDefault="00F6308C">
      <w:pPr>
        <w:pStyle w:val="ListParagraph"/>
        <w:numPr>
          <w:ilvl w:val="0"/>
          <w:numId w:val="86"/>
        </w:numPr>
        <w:tabs>
          <w:tab w:val="left" w:pos="2218"/>
        </w:tabs>
        <w:ind w:hanging="623"/>
        <w:jc w:val="both"/>
        <w:rPr>
          <w:i/>
          <w:sz w:val="24"/>
        </w:rPr>
      </w:pPr>
      <w:r>
        <w:rPr>
          <w:i/>
          <w:sz w:val="24"/>
        </w:rPr>
        <w:t>Operation and Maintenance expenses for one</w:t>
      </w:r>
      <w:r>
        <w:rPr>
          <w:i/>
          <w:spacing w:val="-1"/>
          <w:sz w:val="24"/>
        </w:rPr>
        <w:t xml:space="preserve"> </w:t>
      </w:r>
      <w:r>
        <w:rPr>
          <w:i/>
          <w:sz w:val="24"/>
        </w:rPr>
        <w:t>month;</w:t>
      </w:r>
    </w:p>
    <w:p w:rsidR="007C5447" w:rsidRDefault="00F6308C">
      <w:pPr>
        <w:pStyle w:val="ListParagraph"/>
        <w:numPr>
          <w:ilvl w:val="0"/>
          <w:numId w:val="86"/>
        </w:numPr>
        <w:tabs>
          <w:tab w:val="left" w:pos="2218"/>
        </w:tabs>
        <w:spacing w:before="81" w:line="312" w:lineRule="auto"/>
        <w:ind w:right="304" w:hanging="596"/>
        <w:jc w:val="both"/>
        <w:rPr>
          <w:i/>
          <w:sz w:val="24"/>
        </w:rPr>
      </w:pPr>
      <w:r>
        <w:rPr>
          <w:i/>
          <w:sz w:val="24"/>
        </w:rPr>
        <w:t>Maintenance spares @ 1% of the historical cost escalated @ 6% per annum from the date of commercial operation;</w:t>
      </w:r>
      <w:r>
        <w:rPr>
          <w:i/>
          <w:spacing w:val="-3"/>
          <w:sz w:val="24"/>
        </w:rPr>
        <w:t xml:space="preserve"> </w:t>
      </w:r>
      <w:r>
        <w:rPr>
          <w:i/>
          <w:sz w:val="24"/>
        </w:rPr>
        <w:t>and</w:t>
      </w:r>
    </w:p>
    <w:p w:rsidR="007C5447" w:rsidRDefault="00F6308C">
      <w:pPr>
        <w:pStyle w:val="ListParagraph"/>
        <w:numPr>
          <w:ilvl w:val="0"/>
          <w:numId w:val="86"/>
        </w:numPr>
        <w:tabs>
          <w:tab w:val="left" w:pos="2218"/>
        </w:tabs>
        <w:spacing w:line="312" w:lineRule="auto"/>
        <w:ind w:right="299" w:hanging="528"/>
        <w:jc w:val="both"/>
        <w:rPr>
          <w:i/>
          <w:sz w:val="24"/>
        </w:rPr>
      </w:pPr>
      <w:r>
        <w:rPr>
          <w:i/>
          <w:sz w:val="24"/>
        </w:rPr>
        <w:t>Receivables equivalent to two months o</w:t>
      </w:r>
      <w:r>
        <w:rPr>
          <w:i/>
          <w:sz w:val="24"/>
        </w:rPr>
        <w:t>f fixed and variable charges for sale of electricity calculated on target</w:t>
      </w:r>
      <w:r>
        <w:rPr>
          <w:i/>
          <w:spacing w:val="-2"/>
          <w:sz w:val="24"/>
        </w:rPr>
        <w:t xml:space="preserve"> </w:t>
      </w:r>
      <w:r>
        <w:rPr>
          <w:i/>
          <w:sz w:val="24"/>
        </w:rPr>
        <w:t>availability.</w:t>
      </w:r>
    </w:p>
    <w:p w:rsidR="007C5447" w:rsidRDefault="007C5447">
      <w:pPr>
        <w:pStyle w:val="BodyText"/>
        <w:spacing w:before="10"/>
        <w:rPr>
          <w:i/>
          <w:sz w:val="20"/>
        </w:rPr>
      </w:pPr>
    </w:p>
    <w:p w:rsidR="007C5447" w:rsidRDefault="00F6308C">
      <w:pPr>
        <w:pStyle w:val="ListParagraph"/>
        <w:numPr>
          <w:ilvl w:val="0"/>
          <w:numId w:val="87"/>
        </w:numPr>
        <w:tabs>
          <w:tab w:val="left" w:pos="1999"/>
        </w:tabs>
        <w:jc w:val="both"/>
        <w:rPr>
          <w:i/>
          <w:sz w:val="24"/>
        </w:rPr>
      </w:pPr>
      <w:r>
        <w:rPr>
          <w:i/>
          <w:sz w:val="24"/>
        </w:rPr>
        <w:t>For Gas Turbine / combined cycle Generating</w:t>
      </w:r>
      <w:r>
        <w:rPr>
          <w:i/>
          <w:spacing w:val="-2"/>
          <w:sz w:val="24"/>
        </w:rPr>
        <w:t xml:space="preserve"> </w:t>
      </w:r>
      <w:r>
        <w:rPr>
          <w:i/>
          <w:sz w:val="24"/>
        </w:rPr>
        <w:t>Stations</w:t>
      </w:r>
    </w:p>
    <w:p w:rsidR="007C5447" w:rsidRDefault="00F6308C">
      <w:pPr>
        <w:pStyle w:val="ListParagraph"/>
        <w:numPr>
          <w:ilvl w:val="0"/>
          <w:numId w:val="85"/>
        </w:numPr>
        <w:tabs>
          <w:tab w:val="left" w:pos="2218"/>
        </w:tabs>
        <w:spacing w:line="312" w:lineRule="auto"/>
        <w:ind w:right="298"/>
        <w:jc w:val="both"/>
        <w:rPr>
          <w:i/>
          <w:sz w:val="24"/>
        </w:rPr>
      </w:pPr>
      <w:r>
        <w:rPr>
          <w:i/>
          <w:sz w:val="24"/>
        </w:rPr>
        <w:t>Fuel cost for one month corresponding to the target availability duly taking into account the mode of operation of the Generating Station on gas fuel and liquid</w:t>
      </w:r>
      <w:r>
        <w:rPr>
          <w:i/>
          <w:spacing w:val="-1"/>
          <w:sz w:val="24"/>
        </w:rPr>
        <w:t xml:space="preserve"> </w:t>
      </w:r>
      <w:r>
        <w:rPr>
          <w:i/>
          <w:sz w:val="24"/>
        </w:rPr>
        <w:t>fuel;</w:t>
      </w:r>
    </w:p>
    <w:p w:rsidR="007C5447" w:rsidRDefault="00F6308C">
      <w:pPr>
        <w:pStyle w:val="ListParagraph"/>
        <w:numPr>
          <w:ilvl w:val="0"/>
          <w:numId w:val="85"/>
        </w:numPr>
        <w:tabs>
          <w:tab w:val="left" w:pos="2218"/>
        </w:tabs>
        <w:spacing w:before="2"/>
        <w:ind w:hanging="556"/>
        <w:jc w:val="both"/>
        <w:rPr>
          <w:i/>
          <w:sz w:val="24"/>
        </w:rPr>
      </w:pPr>
      <w:r>
        <w:rPr>
          <w:i/>
          <w:sz w:val="24"/>
        </w:rPr>
        <w:t>Liquid fuel stock for half</w:t>
      </w:r>
      <w:r>
        <w:rPr>
          <w:i/>
          <w:spacing w:val="-4"/>
          <w:sz w:val="24"/>
        </w:rPr>
        <w:t xml:space="preserve"> </w:t>
      </w:r>
      <w:r>
        <w:rPr>
          <w:i/>
          <w:sz w:val="24"/>
        </w:rPr>
        <w:t>month;</w:t>
      </w:r>
    </w:p>
    <w:p w:rsidR="007C5447" w:rsidRDefault="00F6308C">
      <w:pPr>
        <w:pStyle w:val="ListParagraph"/>
        <w:numPr>
          <w:ilvl w:val="0"/>
          <w:numId w:val="85"/>
        </w:numPr>
        <w:tabs>
          <w:tab w:val="left" w:pos="2218"/>
        </w:tabs>
        <w:spacing w:before="82"/>
        <w:ind w:hanging="623"/>
        <w:jc w:val="both"/>
        <w:rPr>
          <w:i/>
          <w:sz w:val="24"/>
        </w:rPr>
      </w:pPr>
      <w:r>
        <w:rPr>
          <w:i/>
          <w:sz w:val="24"/>
        </w:rPr>
        <w:t>Operation and Maintenance expenses for one</w:t>
      </w:r>
      <w:r>
        <w:rPr>
          <w:i/>
          <w:spacing w:val="-1"/>
          <w:sz w:val="24"/>
        </w:rPr>
        <w:t xml:space="preserve"> </w:t>
      </w:r>
      <w:r>
        <w:rPr>
          <w:i/>
          <w:sz w:val="24"/>
        </w:rPr>
        <w:t>month;</w:t>
      </w:r>
    </w:p>
    <w:p w:rsidR="007C5447" w:rsidRDefault="00F6308C">
      <w:pPr>
        <w:pStyle w:val="ListParagraph"/>
        <w:numPr>
          <w:ilvl w:val="0"/>
          <w:numId w:val="85"/>
        </w:numPr>
        <w:tabs>
          <w:tab w:val="left" w:pos="2218"/>
        </w:tabs>
        <w:spacing w:before="84" w:line="312" w:lineRule="auto"/>
        <w:ind w:right="300" w:hanging="596"/>
        <w:jc w:val="both"/>
        <w:rPr>
          <w:i/>
          <w:sz w:val="24"/>
        </w:rPr>
      </w:pPr>
      <w:r>
        <w:rPr>
          <w:i/>
          <w:sz w:val="24"/>
        </w:rPr>
        <w:t>Maintenance spares @ 1% of the historical cost escalated @ 6% per annum from the date of commercial operation;</w:t>
      </w:r>
      <w:r>
        <w:rPr>
          <w:i/>
          <w:spacing w:val="-2"/>
          <w:sz w:val="24"/>
        </w:rPr>
        <w:t xml:space="preserve"> </w:t>
      </w:r>
      <w:r>
        <w:rPr>
          <w:i/>
          <w:sz w:val="24"/>
        </w:rPr>
        <w:t>and</w:t>
      </w:r>
    </w:p>
    <w:p w:rsidR="007C5447" w:rsidRDefault="007C5447">
      <w:pPr>
        <w:spacing w:line="312" w:lineRule="auto"/>
        <w:jc w:val="both"/>
        <w:rPr>
          <w:sz w:val="24"/>
        </w:rPr>
        <w:sectPr w:rsidR="007C5447">
          <w:pgSz w:w="11910" w:h="16840"/>
          <w:pgMar w:top="1420" w:right="1140" w:bottom="1240" w:left="1220" w:header="0" w:footer="1057" w:gutter="0"/>
          <w:cols w:space="720"/>
        </w:sectPr>
      </w:pPr>
    </w:p>
    <w:p w:rsidR="007C5447" w:rsidRDefault="00F6308C">
      <w:pPr>
        <w:pStyle w:val="ListParagraph"/>
        <w:numPr>
          <w:ilvl w:val="0"/>
          <w:numId w:val="85"/>
        </w:numPr>
        <w:tabs>
          <w:tab w:val="left" w:pos="2217"/>
          <w:tab w:val="left" w:pos="2218"/>
        </w:tabs>
        <w:spacing w:before="60" w:line="312" w:lineRule="auto"/>
        <w:ind w:right="299" w:hanging="528"/>
        <w:jc w:val="left"/>
        <w:rPr>
          <w:i/>
          <w:sz w:val="24"/>
        </w:rPr>
      </w:pPr>
      <w:r>
        <w:rPr>
          <w:i/>
          <w:sz w:val="24"/>
        </w:rPr>
        <w:lastRenderedPageBreak/>
        <w:t>Receivables equivalent to two months of fixed and variable charges for sa</w:t>
      </w:r>
      <w:r>
        <w:rPr>
          <w:i/>
          <w:sz w:val="24"/>
        </w:rPr>
        <w:t>le of electricity calculated on target</w:t>
      </w:r>
      <w:r>
        <w:rPr>
          <w:i/>
          <w:spacing w:val="-2"/>
          <w:sz w:val="24"/>
        </w:rPr>
        <w:t xml:space="preserve"> </w:t>
      </w:r>
      <w:r>
        <w:rPr>
          <w:i/>
          <w:sz w:val="24"/>
        </w:rPr>
        <w:t>availability.</w:t>
      </w:r>
    </w:p>
    <w:p w:rsidR="007C5447" w:rsidRDefault="00F6308C">
      <w:pPr>
        <w:pStyle w:val="ListParagraph"/>
        <w:numPr>
          <w:ilvl w:val="0"/>
          <w:numId w:val="87"/>
        </w:numPr>
        <w:tabs>
          <w:tab w:val="left" w:pos="1929"/>
        </w:tabs>
        <w:spacing w:before="7" w:line="510" w:lineRule="atLeast"/>
        <w:ind w:left="1660" w:right="3911" w:firstLine="0"/>
        <w:rPr>
          <w:i/>
          <w:sz w:val="24"/>
        </w:rPr>
      </w:pPr>
      <w:r>
        <w:rPr>
          <w:i/>
          <w:sz w:val="24"/>
        </w:rPr>
        <w:t>For Hydro Power Generating Stations The working Capital shall</w:t>
      </w:r>
      <w:r>
        <w:rPr>
          <w:i/>
          <w:spacing w:val="-2"/>
          <w:sz w:val="24"/>
        </w:rPr>
        <w:t xml:space="preserve"> </w:t>
      </w:r>
      <w:r>
        <w:rPr>
          <w:i/>
          <w:sz w:val="24"/>
        </w:rPr>
        <w:t>cover:</w:t>
      </w:r>
    </w:p>
    <w:p w:rsidR="007C5447" w:rsidRDefault="00F6308C">
      <w:pPr>
        <w:pStyle w:val="ListParagraph"/>
        <w:numPr>
          <w:ilvl w:val="0"/>
          <w:numId w:val="84"/>
        </w:numPr>
        <w:tabs>
          <w:tab w:val="left" w:pos="2217"/>
          <w:tab w:val="left" w:pos="2218"/>
        </w:tabs>
        <w:spacing w:before="6"/>
        <w:jc w:val="left"/>
        <w:rPr>
          <w:i/>
          <w:sz w:val="24"/>
        </w:rPr>
      </w:pPr>
      <w:r>
        <w:rPr>
          <w:i/>
          <w:sz w:val="24"/>
        </w:rPr>
        <w:t>Operation and Maintenance expenses for one</w:t>
      </w:r>
      <w:r>
        <w:rPr>
          <w:i/>
          <w:spacing w:val="-1"/>
          <w:sz w:val="24"/>
        </w:rPr>
        <w:t xml:space="preserve"> </w:t>
      </w:r>
      <w:r>
        <w:rPr>
          <w:i/>
          <w:sz w:val="24"/>
        </w:rPr>
        <w:t>month;</w:t>
      </w:r>
    </w:p>
    <w:p w:rsidR="007C5447" w:rsidRDefault="00F6308C">
      <w:pPr>
        <w:pStyle w:val="ListParagraph"/>
        <w:numPr>
          <w:ilvl w:val="0"/>
          <w:numId w:val="84"/>
        </w:numPr>
        <w:tabs>
          <w:tab w:val="left" w:pos="2217"/>
          <w:tab w:val="left" w:pos="2218"/>
        </w:tabs>
        <w:spacing w:before="82" w:line="312" w:lineRule="auto"/>
        <w:ind w:right="304" w:hanging="555"/>
        <w:jc w:val="left"/>
        <w:rPr>
          <w:i/>
          <w:sz w:val="24"/>
        </w:rPr>
      </w:pPr>
      <w:r>
        <w:rPr>
          <w:i/>
          <w:sz w:val="24"/>
        </w:rPr>
        <w:t xml:space="preserve">Maintenance spares @ 1% of the historical cost escalated @ 6% </w:t>
      </w:r>
      <w:r>
        <w:rPr>
          <w:i/>
          <w:spacing w:val="-5"/>
          <w:sz w:val="24"/>
        </w:rPr>
        <w:t xml:space="preserve">per </w:t>
      </w:r>
      <w:r>
        <w:rPr>
          <w:i/>
          <w:sz w:val="24"/>
        </w:rPr>
        <w:t>annum from the date of commercial operation;</w:t>
      </w:r>
      <w:r>
        <w:rPr>
          <w:i/>
          <w:spacing w:val="-2"/>
          <w:sz w:val="24"/>
        </w:rPr>
        <w:t xml:space="preserve"> </w:t>
      </w:r>
      <w:r>
        <w:rPr>
          <w:i/>
          <w:sz w:val="24"/>
        </w:rPr>
        <w:t>and</w:t>
      </w:r>
    </w:p>
    <w:p w:rsidR="007C5447" w:rsidRDefault="00F6308C">
      <w:pPr>
        <w:pStyle w:val="ListParagraph"/>
        <w:numPr>
          <w:ilvl w:val="0"/>
          <w:numId w:val="84"/>
        </w:numPr>
        <w:tabs>
          <w:tab w:val="left" w:pos="2217"/>
          <w:tab w:val="left" w:pos="2218"/>
        </w:tabs>
        <w:spacing w:line="312" w:lineRule="auto"/>
        <w:ind w:right="301" w:hanging="622"/>
        <w:jc w:val="left"/>
        <w:rPr>
          <w:i/>
          <w:sz w:val="24"/>
        </w:rPr>
      </w:pPr>
      <w:r>
        <w:rPr>
          <w:i/>
          <w:sz w:val="24"/>
        </w:rPr>
        <w:t>Receivables equivalent to two months of fixed charges for sale of electricity, calculated on normative capacity</w:t>
      </w:r>
      <w:r>
        <w:rPr>
          <w:i/>
          <w:spacing w:val="-2"/>
          <w:sz w:val="24"/>
        </w:rPr>
        <w:t xml:space="preserve"> </w:t>
      </w:r>
      <w:r>
        <w:rPr>
          <w:i/>
          <w:sz w:val="24"/>
        </w:rPr>
        <w:t>index.</w:t>
      </w:r>
    </w:p>
    <w:p w:rsidR="007C5447" w:rsidRDefault="007C5447">
      <w:pPr>
        <w:pStyle w:val="BodyText"/>
        <w:spacing w:before="10"/>
        <w:rPr>
          <w:i/>
          <w:sz w:val="20"/>
        </w:rPr>
      </w:pPr>
    </w:p>
    <w:p w:rsidR="007C5447" w:rsidRDefault="00F6308C">
      <w:pPr>
        <w:ind w:left="1660"/>
        <w:rPr>
          <w:i/>
          <w:sz w:val="24"/>
        </w:rPr>
      </w:pPr>
      <w:r>
        <w:rPr>
          <w:i/>
          <w:sz w:val="24"/>
        </w:rPr>
        <w:t>...</w:t>
      </w:r>
    </w:p>
    <w:p w:rsidR="007C5447" w:rsidRDefault="007C5447">
      <w:pPr>
        <w:pStyle w:val="BodyText"/>
        <w:spacing w:before="10"/>
        <w:rPr>
          <w:i/>
          <w:sz w:val="20"/>
        </w:rPr>
      </w:pPr>
    </w:p>
    <w:p w:rsidR="007C5447" w:rsidRDefault="00F6308C">
      <w:pPr>
        <w:pStyle w:val="ListParagraph"/>
        <w:numPr>
          <w:ilvl w:val="0"/>
          <w:numId w:val="87"/>
        </w:numPr>
        <w:tabs>
          <w:tab w:val="left" w:pos="1999"/>
        </w:tabs>
        <w:rPr>
          <w:i/>
          <w:sz w:val="24"/>
        </w:rPr>
      </w:pPr>
      <w:r>
        <w:rPr>
          <w:i/>
          <w:sz w:val="24"/>
        </w:rPr>
        <w:t>For Distribution</w:t>
      </w:r>
      <w:r>
        <w:rPr>
          <w:i/>
          <w:spacing w:val="-1"/>
          <w:sz w:val="24"/>
        </w:rPr>
        <w:t xml:space="preserve"> </w:t>
      </w:r>
      <w:r>
        <w:rPr>
          <w:i/>
          <w:sz w:val="24"/>
        </w:rPr>
        <w:t>System</w:t>
      </w:r>
    </w:p>
    <w:p w:rsidR="007C5447" w:rsidRDefault="00F6308C">
      <w:pPr>
        <w:pStyle w:val="ListParagraph"/>
        <w:numPr>
          <w:ilvl w:val="0"/>
          <w:numId w:val="83"/>
        </w:numPr>
        <w:tabs>
          <w:tab w:val="left" w:pos="2217"/>
          <w:tab w:val="left" w:pos="2218"/>
        </w:tabs>
        <w:jc w:val="left"/>
        <w:rPr>
          <w:i/>
          <w:sz w:val="24"/>
        </w:rPr>
      </w:pPr>
      <w:r>
        <w:rPr>
          <w:i/>
          <w:sz w:val="24"/>
        </w:rPr>
        <w:t>Operation and Maintenance expenses for one</w:t>
      </w:r>
      <w:r>
        <w:rPr>
          <w:i/>
          <w:spacing w:val="-1"/>
          <w:sz w:val="24"/>
        </w:rPr>
        <w:t xml:space="preserve"> </w:t>
      </w:r>
      <w:r>
        <w:rPr>
          <w:i/>
          <w:sz w:val="24"/>
        </w:rPr>
        <w:t>month</w:t>
      </w:r>
    </w:p>
    <w:p w:rsidR="007C5447" w:rsidRDefault="00F6308C">
      <w:pPr>
        <w:pStyle w:val="ListParagraph"/>
        <w:numPr>
          <w:ilvl w:val="0"/>
          <w:numId w:val="83"/>
        </w:numPr>
        <w:tabs>
          <w:tab w:val="left" w:pos="2217"/>
          <w:tab w:val="left" w:pos="2218"/>
        </w:tabs>
        <w:spacing w:before="84" w:line="312" w:lineRule="auto"/>
        <w:ind w:right="301" w:hanging="555"/>
        <w:jc w:val="left"/>
        <w:rPr>
          <w:i/>
          <w:sz w:val="24"/>
        </w:rPr>
      </w:pPr>
      <w:r>
        <w:rPr>
          <w:i/>
          <w:sz w:val="24"/>
        </w:rPr>
        <w:t>Maintenance spares for two months based on annual requirement considered at 1% of the gross fixed cost at the beginning of the</w:t>
      </w:r>
      <w:r>
        <w:rPr>
          <w:i/>
          <w:spacing w:val="-6"/>
          <w:sz w:val="24"/>
        </w:rPr>
        <w:t xml:space="preserve"> </w:t>
      </w:r>
      <w:r>
        <w:rPr>
          <w:i/>
          <w:sz w:val="24"/>
        </w:rPr>
        <w:t>year.</w:t>
      </w:r>
    </w:p>
    <w:p w:rsidR="007C5447" w:rsidRDefault="00F6308C">
      <w:pPr>
        <w:pStyle w:val="ListParagraph"/>
        <w:numPr>
          <w:ilvl w:val="0"/>
          <w:numId w:val="83"/>
        </w:numPr>
        <w:tabs>
          <w:tab w:val="left" w:pos="2217"/>
          <w:tab w:val="left" w:pos="2218"/>
        </w:tabs>
        <w:ind w:hanging="623"/>
        <w:jc w:val="left"/>
        <w:rPr>
          <w:i/>
          <w:sz w:val="24"/>
        </w:rPr>
      </w:pPr>
      <w:r>
        <w:rPr>
          <w:i/>
          <w:sz w:val="24"/>
        </w:rPr>
        <w:t>Receivable equivalent to sixty days consumption</w:t>
      </w:r>
      <w:r>
        <w:rPr>
          <w:i/>
          <w:spacing w:val="-4"/>
          <w:sz w:val="24"/>
        </w:rPr>
        <w:t xml:space="preserve"> </w:t>
      </w:r>
      <w:r>
        <w:rPr>
          <w:i/>
          <w:sz w:val="24"/>
        </w:rPr>
        <w:t>charges.”</w:t>
      </w:r>
    </w:p>
    <w:p w:rsidR="007C5447" w:rsidRDefault="00F6308C">
      <w:pPr>
        <w:pStyle w:val="ListParagraph"/>
        <w:numPr>
          <w:ilvl w:val="2"/>
          <w:numId w:val="92"/>
        </w:numPr>
        <w:tabs>
          <w:tab w:val="left" w:pos="1073"/>
        </w:tabs>
        <w:spacing w:before="202" w:line="309" w:lineRule="auto"/>
        <w:ind w:left="1072" w:right="293"/>
        <w:jc w:val="both"/>
        <w:rPr>
          <w:sz w:val="24"/>
        </w:rPr>
      </w:pPr>
      <w:r>
        <w:rPr>
          <w:sz w:val="24"/>
        </w:rPr>
        <w:t>Further,</w:t>
      </w:r>
      <w:r>
        <w:rPr>
          <w:sz w:val="24"/>
        </w:rPr>
        <w:t xml:space="preserve"> as it is difficult to estimate the historical cost of assets for the generation function, the Commission has approved maintenance spares at 1% of opening GFA for respective years. The assets have been segregated between generation and distribution functio</w:t>
      </w:r>
      <w:r>
        <w:rPr>
          <w:sz w:val="24"/>
        </w:rPr>
        <w:t>n based on the GFA details submitted by TANGEDCO. The interest rate for approving IoWC has been considered as specified in the Tariff Regulations, i.e., Prime Lending Rate of State Bank of India as on April 1</w:t>
      </w:r>
      <w:r>
        <w:rPr>
          <w:position w:val="9"/>
          <w:sz w:val="16"/>
        </w:rPr>
        <w:t xml:space="preserve">st </w:t>
      </w:r>
      <w:r>
        <w:rPr>
          <w:sz w:val="24"/>
        </w:rPr>
        <w:t>of the respective</w:t>
      </w:r>
      <w:r>
        <w:rPr>
          <w:spacing w:val="2"/>
          <w:sz w:val="24"/>
        </w:rPr>
        <w:t xml:space="preserve"> </w:t>
      </w:r>
      <w:r>
        <w:rPr>
          <w:sz w:val="24"/>
        </w:rPr>
        <w:t>year.</w:t>
      </w:r>
    </w:p>
    <w:p w:rsidR="007C5447" w:rsidRDefault="007C5447">
      <w:pPr>
        <w:pStyle w:val="BodyText"/>
        <w:spacing w:before="4"/>
        <w:rPr>
          <w:sz w:val="21"/>
        </w:rPr>
      </w:pPr>
    </w:p>
    <w:p w:rsidR="007C5447" w:rsidRDefault="00F6308C">
      <w:pPr>
        <w:pStyle w:val="ListParagraph"/>
        <w:numPr>
          <w:ilvl w:val="2"/>
          <w:numId w:val="92"/>
        </w:numPr>
        <w:tabs>
          <w:tab w:val="left" w:pos="1073"/>
        </w:tabs>
        <w:spacing w:line="312" w:lineRule="auto"/>
        <w:ind w:left="1072" w:right="304"/>
        <w:jc w:val="both"/>
        <w:rPr>
          <w:sz w:val="24"/>
        </w:rPr>
      </w:pPr>
      <w:r>
        <w:rPr>
          <w:sz w:val="24"/>
        </w:rPr>
        <w:t>The normative IoWC for Distribution function works out to be negative and has hence, been considered as</w:t>
      </w:r>
      <w:r>
        <w:rPr>
          <w:spacing w:val="1"/>
          <w:sz w:val="24"/>
        </w:rPr>
        <w:t xml:space="preserve"> </w:t>
      </w:r>
      <w:r>
        <w:rPr>
          <w:sz w:val="24"/>
        </w:rPr>
        <w:t>zero.</w:t>
      </w:r>
    </w:p>
    <w:p w:rsidR="007C5447" w:rsidRDefault="007C5447">
      <w:pPr>
        <w:pStyle w:val="BodyText"/>
        <w:spacing w:before="10"/>
        <w:rPr>
          <w:sz w:val="20"/>
        </w:rPr>
      </w:pPr>
    </w:p>
    <w:p w:rsidR="007C5447" w:rsidRDefault="00F6308C">
      <w:pPr>
        <w:pStyle w:val="ListParagraph"/>
        <w:numPr>
          <w:ilvl w:val="2"/>
          <w:numId w:val="92"/>
        </w:numPr>
        <w:tabs>
          <w:tab w:val="left" w:pos="1073"/>
        </w:tabs>
        <w:spacing w:line="312" w:lineRule="auto"/>
        <w:ind w:left="1072" w:right="296"/>
        <w:jc w:val="both"/>
        <w:rPr>
          <w:sz w:val="24"/>
        </w:rPr>
      </w:pPr>
      <w:r>
        <w:rPr>
          <w:sz w:val="24"/>
        </w:rPr>
        <w:t>IoWC approved by the Commission after true up from FY 2011-12 to FY 2015-16 has been shown in the Tables</w:t>
      </w:r>
      <w:r>
        <w:rPr>
          <w:spacing w:val="-1"/>
          <w:sz w:val="24"/>
        </w:rPr>
        <w:t xml:space="preserve"> </w:t>
      </w:r>
      <w:r>
        <w:rPr>
          <w:sz w:val="24"/>
        </w:rPr>
        <w:t>below:</w:t>
      </w:r>
    </w:p>
    <w:p w:rsidR="007C5447" w:rsidRDefault="007C5447">
      <w:pPr>
        <w:spacing w:line="312" w:lineRule="auto"/>
        <w:jc w:val="both"/>
        <w:rPr>
          <w:sz w:val="24"/>
        </w:rPr>
        <w:sectPr w:rsidR="007C5447">
          <w:pgSz w:w="11910" w:h="16840"/>
          <w:pgMar w:top="1360" w:right="1140" w:bottom="1240" w:left="1220" w:header="0" w:footer="1057" w:gutter="0"/>
          <w:cols w:space="720"/>
        </w:sectPr>
      </w:pPr>
    </w:p>
    <w:p w:rsidR="007C5447" w:rsidRDefault="007C5447">
      <w:pPr>
        <w:pStyle w:val="BodyText"/>
        <w:rPr>
          <w:sz w:val="20"/>
        </w:rPr>
      </w:pPr>
    </w:p>
    <w:p w:rsidR="007C5447" w:rsidRDefault="007C5447">
      <w:pPr>
        <w:pStyle w:val="BodyText"/>
        <w:spacing w:before="6"/>
        <w:rPr>
          <w:sz w:val="19"/>
        </w:rPr>
      </w:pPr>
    </w:p>
    <w:p w:rsidR="007C5447" w:rsidRDefault="00F6308C">
      <w:pPr>
        <w:ind w:left="1523"/>
        <w:rPr>
          <w:b/>
        </w:rPr>
      </w:pPr>
      <w:r>
        <w:rPr>
          <w:b/>
        </w:rPr>
        <w:t>Table 3-26: Interest on Working Capital approved by the Commission after true-up for FY 2011-12 to FY 2013-14 (Rs. Crore)</w:t>
      </w:r>
    </w:p>
    <w:p w:rsidR="007C5447" w:rsidRDefault="007C5447">
      <w:pPr>
        <w:pStyle w:val="BodyText"/>
        <w:spacing w:before="11"/>
        <w:rPr>
          <w:b/>
          <w:sz w:val="16"/>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3"/>
        <w:gridCol w:w="1099"/>
        <w:gridCol w:w="1373"/>
        <w:gridCol w:w="1372"/>
        <w:gridCol w:w="1122"/>
        <w:gridCol w:w="1406"/>
        <w:gridCol w:w="1425"/>
        <w:gridCol w:w="1438"/>
        <w:gridCol w:w="1421"/>
        <w:gridCol w:w="1421"/>
      </w:tblGrid>
      <w:tr w:rsidR="007C5447">
        <w:trPr>
          <w:trHeight w:val="405"/>
        </w:trPr>
        <w:tc>
          <w:tcPr>
            <w:tcW w:w="1983" w:type="dxa"/>
            <w:vMerge w:val="restart"/>
            <w:shd w:val="clear" w:color="auto" w:fill="F7C9AC"/>
          </w:tcPr>
          <w:p w:rsidR="007C5447" w:rsidRDefault="007C5447">
            <w:pPr>
              <w:pStyle w:val="TableParagraph"/>
              <w:spacing w:before="5"/>
              <w:jc w:val="left"/>
              <w:rPr>
                <w:b/>
                <w:sz w:val="29"/>
              </w:rPr>
            </w:pPr>
          </w:p>
          <w:p w:rsidR="007C5447" w:rsidRDefault="00F6308C">
            <w:pPr>
              <w:pStyle w:val="TableParagraph"/>
              <w:ind w:left="513"/>
              <w:jc w:val="left"/>
              <w:rPr>
                <w:b/>
                <w:sz w:val="20"/>
              </w:rPr>
            </w:pPr>
            <w:r>
              <w:rPr>
                <w:b/>
                <w:sz w:val="20"/>
              </w:rPr>
              <w:t>Particulars</w:t>
            </w:r>
          </w:p>
        </w:tc>
        <w:tc>
          <w:tcPr>
            <w:tcW w:w="3844" w:type="dxa"/>
            <w:gridSpan w:val="3"/>
            <w:shd w:val="clear" w:color="auto" w:fill="FBD4B4"/>
          </w:tcPr>
          <w:p w:rsidR="007C5447" w:rsidRDefault="00F6308C">
            <w:pPr>
              <w:pStyle w:val="TableParagraph"/>
              <w:spacing w:before="86"/>
              <w:ind w:left="1411" w:right="1398"/>
              <w:jc w:val="center"/>
              <w:rPr>
                <w:b/>
                <w:sz w:val="20"/>
              </w:rPr>
            </w:pPr>
            <w:r>
              <w:rPr>
                <w:b/>
                <w:sz w:val="20"/>
              </w:rPr>
              <w:t>FY 2011-12</w:t>
            </w:r>
          </w:p>
        </w:tc>
        <w:tc>
          <w:tcPr>
            <w:tcW w:w="3953" w:type="dxa"/>
            <w:gridSpan w:val="3"/>
            <w:shd w:val="clear" w:color="auto" w:fill="FBD4B4"/>
          </w:tcPr>
          <w:p w:rsidR="007C5447" w:rsidRDefault="00F6308C">
            <w:pPr>
              <w:pStyle w:val="TableParagraph"/>
              <w:spacing w:before="86"/>
              <w:ind w:left="1468" w:right="1451"/>
              <w:jc w:val="center"/>
              <w:rPr>
                <w:b/>
                <w:sz w:val="20"/>
              </w:rPr>
            </w:pPr>
            <w:r>
              <w:rPr>
                <w:b/>
                <w:sz w:val="20"/>
              </w:rPr>
              <w:t>FY 2012-13</w:t>
            </w:r>
          </w:p>
        </w:tc>
        <w:tc>
          <w:tcPr>
            <w:tcW w:w="4280" w:type="dxa"/>
            <w:gridSpan w:val="3"/>
            <w:shd w:val="clear" w:color="auto" w:fill="FBD4B4"/>
          </w:tcPr>
          <w:p w:rsidR="007C5447" w:rsidRDefault="00F6308C">
            <w:pPr>
              <w:pStyle w:val="TableParagraph"/>
              <w:spacing w:before="86"/>
              <w:ind w:left="1629" w:right="1617"/>
              <w:jc w:val="center"/>
              <w:rPr>
                <w:b/>
                <w:sz w:val="20"/>
              </w:rPr>
            </w:pPr>
            <w:r>
              <w:rPr>
                <w:b/>
                <w:sz w:val="20"/>
              </w:rPr>
              <w:t>FY 2013-14</w:t>
            </w:r>
          </w:p>
        </w:tc>
      </w:tr>
      <w:tr w:rsidR="007C5447">
        <w:trPr>
          <w:trHeight w:val="489"/>
        </w:trPr>
        <w:tc>
          <w:tcPr>
            <w:tcW w:w="1983" w:type="dxa"/>
            <w:vMerge/>
            <w:tcBorders>
              <w:top w:val="nil"/>
            </w:tcBorders>
            <w:shd w:val="clear" w:color="auto" w:fill="F7C9AC"/>
          </w:tcPr>
          <w:p w:rsidR="007C5447" w:rsidRDefault="007C5447">
            <w:pPr>
              <w:rPr>
                <w:sz w:val="2"/>
                <w:szCs w:val="2"/>
              </w:rPr>
            </w:pPr>
          </w:p>
        </w:tc>
        <w:tc>
          <w:tcPr>
            <w:tcW w:w="1099" w:type="dxa"/>
            <w:shd w:val="clear" w:color="auto" w:fill="FBD4B4"/>
          </w:tcPr>
          <w:p w:rsidR="007C5447" w:rsidRDefault="00F6308C">
            <w:pPr>
              <w:pStyle w:val="TableParagraph"/>
              <w:spacing w:before="14"/>
              <w:ind w:left="330"/>
              <w:jc w:val="left"/>
              <w:rPr>
                <w:b/>
                <w:sz w:val="20"/>
              </w:rPr>
            </w:pPr>
            <w:r>
              <w:rPr>
                <w:b/>
                <w:sz w:val="20"/>
              </w:rPr>
              <w:t>SMT</w:t>
            </w:r>
          </w:p>
          <w:p w:rsidR="007C5447" w:rsidRDefault="00F6308C">
            <w:pPr>
              <w:pStyle w:val="TableParagraph"/>
              <w:spacing w:before="1" w:line="224" w:lineRule="exact"/>
              <w:ind w:left="282"/>
              <w:jc w:val="left"/>
              <w:rPr>
                <w:b/>
                <w:sz w:val="20"/>
              </w:rPr>
            </w:pPr>
            <w:r>
              <w:rPr>
                <w:b/>
                <w:sz w:val="20"/>
              </w:rPr>
              <w:t>Order</w:t>
            </w:r>
          </w:p>
        </w:tc>
        <w:tc>
          <w:tcPr>
            <w:tcW w:w="1373" w:type="dxa"/>
            <w:shd w:val="clear" w:color="auto" w:fill="FBD4B4"/>
          </w:tcPr>
          <w:p w:rsidR="007C5447" w:rsidRDefault="00F6308C">
            <w:pPr>
              <w:pStyle w:val="TableParagraph"/>
              <w:spacing w:before="130"/>
              <w:ind w:left="107"/>
              <w:jc w:val="left"/>
              <w:rPr>
                <w:b/>
                <w:sz w:val="20"/>
              </w:rPr>
            </w:pPr>
            <w:r>
              <w:rPr>
                <w:b/>
                <w:sz w:val="20"/>
              </w:rPr>
              <w:t>TANGEDCO</w:t>
            </w:r>
          </w:p>
        </w:tc>
        <w:tc>
          <w:tcPr>
            <w:tcW w:w="1372" w:type="dxa"/>
            <w:shd w:val="clear" w:color="auto" w:fill="FBD4B4"/>
          </w:tcPr>
          <w:p w:rsidR="007C5447" w:rsidRDefault="00F6308C">
            <w:pPr>
              <w:pStyle w:val="TableParagraph"/>
              <w:spacing w:before="14" w:line="230" w:lineRule="atLeast"/>
              <w:ind w:left="141" w:right="112" w:firstLine="117"/>
              <w:jc w:val="left"/>
              <w:rPr>
                <w:b/>
                <w:sz w:val="20"/>
              </w:rPr>
            </w:pPr>
            <w:r>
              <w:rPr>
                <w:b/>
                <w:sz w:val="20"/>
              </w:rPr>
              <w:t>Approved after true up</w:t>
            </w:r>
          </w:p>
        </w:tc>
        <w:tc>
          <w:tcPr>
            <w:tcW w:w="1122" w:type="dxa"/>
            <w:shd w:val="clear" w:color="auto" w:fill="FBD4B4"/>
          </w:tcPr>
          <w:p w:rsidR="007C5447" w:rsidRDefault="00F6308C">
            <w:pPr>
              <w:pStyle w:val="TableParagraph"/>
              <w:spacing w:before="14"/>
              <w:ind w:left="346"/>
              <w:jc w:val="left"/>
              <w:rPr>
                <w:b/>
                <w:sz w:val="20"/>
              </w:rPr>
            </w:pPr>
            <w:r>
              <w:rPr>
                <w:b/>
                <w:sz w:val="20"/>
              </w:rPr>
              <w:t>SMT</w:t>
            </w:r>
          </w:p>
          <w:p w:rsidR="007C5447" w:rsidRDefault="00F6308C">
            <w:pPr>
              <w:pStyle w:val="TableParagraph"/>
              <w:spacing w:before="1" w:line="224" w:lineRule="exact"/>
              <w:ind w:left="296"/>
              <w:jc w:val="left"/>
              <w:rPr>
                <w:b/>
                <w:sz w:val="20"/>
              </w:rPr>
            </w:pPr>
            <w:r>
              <w:rPr>
                <w:b/>
                <w:sz w:val="20"/>
              </w:rPr>
              <w:t>Order</w:t>
            </w:r>
          </w:p>
        </w:tc>
        <w:tc>
          <w:tcPr>
            <w:tcW w:w="1406" w:type="dxa"/>
            <w:shd w:val="clear" w:color="auto" w:fill="FBD4B4"/>
          </w:tcPr>
          <w:p w:rsidR="007C5447" w:rsidRDefault="00F6308C">
            <w:pPr>
              <w:pStyle w:val="TableParagraph"/>
              <w:spacing w:before="130"/>
              <w:ind w:left="124"/>
              <w:jc w:val="left"/>
              <w:rPr>
                <w:b/>
                <w:sz w:val="20"/>
              </w:rPr>
            </w:pPr>
            <w:r>
              <w:rPr>
                <w:b/>
                <w:sz w:val="20"/>
              </w:rPr>
              <w:t>TANGEDCO</w:t>
            </w:r>
          </w:p>
        </w:tc>
        <w:tc>
          <w:tcPr>
            <w:tcW w:w="1425" w:type="dxa"/>
            <w:shd w:val="clear" w:color="auto" w:fill="FBD4B4"/>
          </w:tcPr>
          <w:p w:rsidR="007C5447" w:rsidRDefault="00F6308C">
            <w:pPr>
              <w:pStyle w:val="TableParagraph"/>
              <w:spacing w:before="14" w:line="230" w:lineRule="atLeast"/>
              <w:ind w:left="170" w:right="136" w:firstLine="117"/>
              <w:jc w:val="left"/>
              <w:rPr>
                <w:b/>
                <w:sz w:val="20"/>
              </w:rPr>
            </w:pPr>
            <w:r>
              <w:rPr>
                <w:b/>
                <w:sz w:val="20"/>
              </w:rPr>
              <w:t>Approved after true up</w:t>
            </w:r>
          </w:p>
        </w:tc>
        <w:tc>
          <w:tcPr>
            <w:tcW w:w="1438" w:type="dxa"/>
            <w:shd w:val="clear" w:color="auto" w:fill="FBD4B4"/>
          </w:tcPr>
          <w:p w:rsidR="007C5447" w:rsidRDefault="00F6308C">
            <w:pPr>
              <w:pStyle w:val="TableParagraph"/>
              <w:spacing w:before="130"/>
              <w:ind w:right="199"/>
              <w:rPr>
                <w:b/>
                <w:sz w:val="20"/>
              </w:rPr>
            </w:pPr>
            <w:r>
              <w:rPr>
                <w:b/>
                <w:sz w:val="20"/>
              </w:rPr>
              <w:t>SMT Order</w:t>
            </w:r>
          </w:p>
        </w:tc>
        <w:tc>
          <w:tcPr>
            <w:tcW w:w="1421" w:type="dxa"/>
            <w:shd w:val="clear" w:color="auto" w:fill="FBD4B4"/>
          </w:tcPr>
          <w:p w:rsidR="007C5447" w:rsidRDefault="00F6308C">
            <w:pPr>
              <w:pStyle w:val="TableParagraph"/>
              <w:spacing w:before="130"/>
              <w:ind w:right="120"/>
              <w:rPr>
                <w:b/>
                <w:sz w:val="20"/>
              </w:rPr>
            </w:pPr>
            <w:r>
              <w:rPr>
                <w:b/>
                <w:w w:val="95"/>
                <w:sz w:val="20"/>
              </w:rPr>
              <w:t>TANGEDCO</w:t>
            </w:r>
          </w:p>
        </w:tc>
        <w:tc>
          <w:tcPr>
            <w:tcW w:w="1421" w:type="dxa"/>
            <w:shd w:val="clear" w:color="auto" w:fill="FBD4B4"/>
          </w:tcPr>
          <w:p w:rsidR="007C5447" w:rsidRDefault="00F6308C">
            <w:pPr>
              <w:pStyle w:val="TableParagraph"/>
              <w:spacing w:before="14" w:line="230" w:lineRule="atLeast"/>
              <w:ind w:left="169" w:right="133" w:firstLine="117"/>
              <w:jc w:val="left"/>
              <w:rPr>
                <w:b/>
                <w:sz w:val="20"/>
              </w:rPr>
            </w:pPr>
            <w:r>
              <w:rPr>
                <w:b/>
                <w:sz w:val="20"/>
              </w:rPr>
              <w:t>Approved after true up</w:t>
            </w:r>
          </w:p>
        </w:tc>
      </w:tr>
      <w:tr w:rsidR="007C5447">
        <w:trPr>
          <w:trHeight w:val="299"/>
        </w:trPr>
        <w:tc>
          <w:tcPr>
            <w:tcW w:w="1983" w:type="dxa"/>
          </w:tcPr>
          <w:p w:rsidR="007C5447" w:rsidRDefault="00F6308C">
            <w:pPr>
              <w:pStyle w:val="TableParagraph"/>
              <w:spacing w:before="36"/>
              <w:ind w:left="107"/>
              <w:jc w:val="left"/>
              <w:rPr>
                <w:sz w:val="20"/>
              </w:rPr>
            </w:pPr>
            <w:r>
              <w:rPr>
                <w:sz w:val="20"/>
              </w:rPr>
              <w:t>Ennore TPS</w:t>
            </w:r>
          </w:p>
        </w:tc>
        <w:tc>
          <w:tcPr>
            <w:tcW w:w="1099" w:type="dxa"/>
          </w:tcPr>
          <w:p w:rsidR="007C5447" w:rsidRDefault="00F6308C">
            <w:pPr>
              <w:pStyle w:val="TableParagraph"/>
              <w:spacing w:before="36"/>
              <w:ind w:right="273"/>
              <w:rPr>
                <w:sz w:val="20"/>
              </w:rPr>
            </w:pPr>
            <w:r>
              <w:rPr>
                <w:w w:val="95"/>
                <w:sz w:val="20"/>
              </w:rPr>
              <w:t>18.94</w:t>
            </w:r>
          </w:p>
        </w:tc>
        <w:tc>
          <w:tcPr>
            <w:tcW w:w="1373" w:type="dxa"/>
          </w:tcPr>
          <w:p w:rsidR="007C5447" w:rsidRDefault="00F6308C">
            <w:pPr>
              <w:pStyle w:val="TableParagraph"/>
              <w:spacing w:before="36"/>
              <w:ind w:left="635"/>
              <w:jc w:val="left"/>
              <w:rPr>
                <w:sz w:val="20"/>
              </w:rPr>
            </w:pPr>
            <w:r>
              <w:rPr>
                <w:sz w:val="20"/>
              </w:rPr>
              <w:t>24.31</w:t>
            </w:r>
          </w:p>
        </w:tc>
        <w:tc>
          <w:tcPr>
            <w:tcW w:w="1372" w:type="dxa"/>
          </w:tcPr>
          <w:p w:rsidR="007C5447" w:rsidRDefault="00F6308C">
            <w:pPr>
              <w:pStyle w:val="TableParagraph"/>
              <w:spacing w:before="36"/>
              <w:ind w:right="276"/>
              <w:rPr>
                <w:sz w:val="20"/>
              </w:rPr>
            </w:pPr>
            <w:r>
              <w:rPr>
                <w:sz w:val="20"/>
              </w:rPr>
              <w:t>22.24</w:t>
            </w:r>
          </w:p>
        </w:tc>
        <w:tc>
          <w:tcPr>
            <w:tcW w:w="1122" w:type="dxa"/>
          </w:tcPr>
          <w:p w:rsidR="007C5447" w:rsidRDefault="00F6308C">
            <w:pPr>
              <w:pStyle w:val="TableParagraph"/>
              <w:spacing w:before="36"/>
              <w:ind w:right="270"/>
              <w:rPr>
                <w:sz w:val="20"/>
              </w:rPr>
            </w:pPr>
            <w:r>
              <w:rPr>
                <w:w w:val="95"/>
                <w:sz w:val="20"/>
              </w:rPr>
              <w:t>21.90</w:t>
            </w:r>
          </w:p>
        </w:tc>
        <w:tc>
          <w:tcPr>
            <w:tcW w:w="1406" w:type="dxa"/>
          </w:tcPr>
          <w:p w:rsidR="007C5447" w:rsidRDefault="00F6308C">
            <w:pPr>
              <w:pStyle w:val="TableParagraph"/>
              <w:spacing w:before="36"/>
              <w:ind w:left="672"/>
              <w:jc w:val="left"/>
              <w:rPr>
                <w:sz w:val="20"/>
              </w:rPr>
            </w:pPr>
            <w:r>
              <w:rPr>
                <w:sz w:val="20"/>
              </w:rPr>
              <w:t>28.03</w:t>
            </w:r>
          </w:p>
        </w:tc>
        <w:tc>
          <w:tcPr>
            <w:tcW w:w="1425" w:type="dxa"/>
          </w:tcPr>
          <w:p w:rsidR="007C5447" w:rsidRDefault="00F6308C">
            <w:pPr>
              <w:pStyle w:val="TableParagraph"/>
              <w:spacing w:before="36"/>
              <w:ind w:right="272"/>
              <w:rPr>
                <w:sz w:val="20"/>
              </w:rPr>
            </w:pPr>
            <w:r>
              <w:rPr>
                <w:sz w:val="20"/>
              </w:rPr>
              <w:t>27.17</w:t>
            </w:r>
          </w:p>
        </w:tc>
        <w:tc>
          <w:tcPr>
            <w:tcW w:w="1438" w:type="dxa"/>
          </w:tcPr>
          <w:p w:rsidR="007C5447" w:rsidRDefault="00F6308C">
            <w:pPr>
              <w:pStyle w:val="TableParagraph"/>
              <w:spacing w:before="36"/>
              <w:ind w:right="272"/>
              <w:rPr>
                <w:sz w:val="20"/>
              </w:rPr>
            </w:pPr>
            <w:r>
              <w:rPr>
                <w:sz w:val="20"/>
              </w:rPr>
              <w:t>25.33</w:t>
            </w:r>
          </w:p>
        </w:tc>
        <w:tc>
          <w:tcPr>
            <w:tcW w:w="1421" w:type="dxa"/>
          </w:tcPr>
          <w:p w:rsidR="007C5447" w:rsidRDefault="00F6308C">
            <w:pPr>
              <w:pStyle w:val="TableParagraph"/>
              <w:spacing w:before="36"/>
              <w:ind w:right="269"/>
              <w:rPr>
                <w:sz w:val="20"/>
              </w:rPr>
            </w:pPr>
            <w:r>
              <w:rPr>
                <w:w w:val="95"/>
                <w:sz w:val="20"/>
              </w:rPr>
              <w:t>37.15</w:t>
            </w:r>
          </w:p>
        </w:tc>
        <w:tc>
          <w:tcPr>
            <w:tcW w:w="1421" w:type="dxa"/>
          </w:tcPr>
          <w:p w:rsidR="007C5447" w:rsidRDefault="00F6308C">
            <w:pPr>
              <w:pStyle w:val="TableParagraph"/>
              <w:spacing w:before="36"/>
              <w:ind w:right="270"/>
              <w:rPr>
                <w:sz w:val="20"/>
              </w:rPr>
            </w:pPr>
            <w:r>
              <w:rPr>
                <w:sz w:val="20"/>
              </w:rPr>
              <w:t>36.64</w:t>
            </w:r>
          </w:p>
        </w:tc>
      </w:tr>
      <w:tr w:rsidR="007C5447">
        <w:trPr>
          <w:trHeight w:val="302"/>
        </w:trPr>
        <w:tc>
          <w:tcPr>
            <w:tcW w:w="1983" w:type="dxa"/>
          </w:tcPr>
          <w:p w:rsidR="007C5447" w:rsidRDefault="00F6308C">
            <w:pPr>
              <w:pStyle w:val="TableParagraph"/>
              <w:spacing w:before="36"/>
              <w:ind w:left="107"/>
              <w:jc w:val="left"/>
              <w:rPr>
                <w:sz w:val="20"/>
              </w:rPr>
            </w:pPr>
            <w:r>
              <w:rPr>
                <w:sz w:val="20"/>
              </w:rPr>
              <w:t>Tuticorin TPS</w:t>
            </w:r>
          </w:p>
        </w:tc>
        <w:tc>
          <w:tcPr>
            <w:tcW w:w="1099" w:type="dxa"/>
          </w:tcPr>
          <w:p w:rsidR="007C5447" w:rsidRDefault="00F6308C">
            <w:pPr>
              <w:pStyle w:val="TableParagraph"/>
              <w:spacing w:before="36"/>
              <w:ind w:right="273"/>
              <w:rPr>
                <w:sz w:val="20"/>
              </w:rPr>
            </w:pPr>
            <w:r>
              <w:rPr>
                <w:w w:val="95"/>
                <w:sz w:val="20"/>
              </w:rPr>
              <w:t>112.27</w:t>
            </w:r>
          </w:p>
        </w:tc>
        <w:tc>
          <w:tcPr>
            <w:tcW w:w="1373" w:type="dxa"/>
          </w:tcPr>
          <w:p w:rsidR="007C5447" w:rsidRDefault="00F6308C">
            <w:pPr>
              <w:pStyle w:val="TableParagraph"/>
              <w:spacing w:before="36"/>
              <w:ind w:left="534"/>
              <w:jc w:val="left"/>
              <w:rPr>
                <w:sz w:val="20"/>
              </w:rPr>
            </w:pPr>
            <w:r>
              <w:rPr>
                <w:sz w:val="20"/>
              </w:rPr>
              <w:t>126.90</w:t>
            </w:r>
          </w:p>
        </w:tc>
        <w:tc>
          <w:tcPr>
            <w:tcW w:w="1372" w:type="dxa"/>
          </w:tcPr>
          <w:p w:rsidR="007C5447" w:rsidRDefault="00F6308C">
            <w:pPr>
              <w:pStyle w:val="TableParagraph"/>
              <w:spacing w:before="36"/>
              <w:ind w:right="272"/>
              <w:rPr>
                <w:sz w:val="20"/>
              </w:rPr>
            </w:pPr>
            <w:r>
              <w:rPr>
                <w:sz w:val="20"/>
              </w:rPr>
              <w:t>131.84</w:t>
            </w:r>
          </w:p>
        </w:tc>
        <w:tc>
          <w:tcPr>
            <w:tcW w:w="1122" w:type="dxa"/>
          </w:tcPr>
          <w:p w:rsidR="007C5447" w:rsidRDefault="00F6308C">
            <w:pPr>
              <w:pStyle w:val="TableParagraph"/>
              <w:spacing w:before="36"/>
              <w:ind w:right="271"/>
              <w:rPr>
                <w:sz w:val="20"/>
              </w:rPr>
            </w:pPr>
            <w:r>
              <w:rPr>
                <w:w w:val="95"/>
                <w:sz w:val="20"/>
              </w:rPr>
              <w:t>123.07</w:t>
            </w:r>
          </w:p>
        </w:tc>
        <w:tc>
          <w:tcPr>
            <w:tcW w:w="1406" w:type="dxa"/>
          </w:tcPr>
          <w:p w:rsidR="007C5447" w:rsidRDefault="00F6308C">
            <w:pPr>
              <w:pStyle w:val="TableParagraph"/>
              <w:spacing w:before="36"/>
              <w:ind w:left="571"/>
              <w:jc w:val="left"/>
              <w:rPr>
                <w:sz w:val="20"/>
              </w:rPr>
            </w:pPr>
            <w:r>
              <w:rPr>
                <w:sz w:val="20"/>
              </w:rPr>
              <w:t>150.17</w:t>
            </w:r>
          </w:p>
        </w:tc>
        <w:tc>
          <w:tcPr>
            <w:tcW w:w="1425" w:type="dxa"/>
          </w:tcPr>
          <w:p w:rsidR="007C5447" w:rsidRDefault="00F6308C">
            <w:pPr>
              <w:pStyle w:val="TableParagraph"/>
              <w:spacing w:before="36"/>
              <w:ind w:right="271"/>
              <w:rPr>
                <w:sz w:val="20"/>
              </w:rPr>
            </w:pPr>
            <w:r>
              <w:rPr>
                <w:sz w:val="20"/>
              </w:rPr>
              <w:t>152.71</w:t>
            </w:r>
          </w:p>
        </w:tc>
        <w:tc>
          <w:tcPr>
            <w:tcW w:w="1438" w:type="dxa"/>
          </w:tcPr>
          <w:p w:rsidR="007C5447" w:rsidRDefault="00F6308C">
            <w:pPr>
              <w:pStyle w:val="TableParagraph"/>
              <w:spacing w:before="36"/>
              <w:ind w:right="272"/>
              <w:rPr>
                <w:sz w:val="20"/>
              </w:rPr>
            </w:pPr>
            <w:r>
              <w:rPr>
                <w:w w:val="95"/>
                <w:sz w:val="20"/>
              </w:rPr>
              <w:t>130.77</w:t>
            </w:r>
          </w:p>
        </w:tc>
        <w:tc>
          <w:tcPr>
            <w:tcW w:w="1421" w:type="dxa"/>
          </w:tcPr>
          <w:p w:rsidR="007C5447" w:rsidRDefault="00F6308C">
            <w:pPr>
              <w:pStyle w:val="TableParagraph"/>
              <w:spacing w:before="36"/>
              <w:ind w:right="269"/>
              <w:rPr>
                <w:sz w:val="20"/>
              </w:rPr>
            </w:pPr>
            <w:r>
              <w:rPr>
                <w:w w:val="95"/>
                <w:sz w:val="20"/>
              </w:rPr>
              <w:t>149.06</w:t>
            </w:r>
          </w:p>
        </w:tc>
        <w:tc>
          <w:tcPr>
            <w:tcW w:w="1421" w:type="dxa"/>
          </w:tcPr>
          <w:p w:rsidR="007C5447" w:rsidRDefault="00F6308C">
            <w:pPr>
              <w:pStyle w:val="TableParagraph"/>
              <w:spacing w:before="36"/>
              <w:ind w:right="270"/>
              <w:rPr>
                <w:sz w:val="20"/>
              </w:rPr>
            </w:pPr>
            <w:r>
              <w:rPr>
                <w:w w:val="95"/>
                <w:sz w:val="20"/>
              </w:rPr>
              <w:t>189.18</w:t>
            </w:r>
          </w:p>
        </w:tc>
      </w:tr>
      <w:tr w:rsidR="007C5447">
        <w:trPr>
          <w:trHeight w:val="300"/>
        </w:trPr>
        <w:tc>
          <w:tcPr>
            <w:tcW w:w="1983" w:type="dxa"/>
          </w:tcPr>
          <w:p w:rsidR="007C5447" w:rsidRDefault="00F6308C">
            <w:pPr>
              <w:pStyle w:val="TableParagraph"/>
              <w:spacing w:before="34"/>
              <w:ind w:left="107"/>
              <w:jc w:val="left"/>
              <w:rPr>
                <w:sz w:val="20"/>
              </w:rPr>
            </w:pPr>
            <w:r>
              <w:rPr>
                <w:sz w:val="20"/>
              </w:rPr>
              <w:t>Mettur TPS</w:t>
            </w:r>
          </w:p>
        </w:tc>
        <w:tc>
          <w:tcPr>
            <w:tcW w:w="1099" w:type="dxa"/>
          </w:tcPr>
          <w:p w:rsidR="007C5447" w:rsidRDefault="00F6308C">
            <w:pPr>
              <w:pStyle w:val="TableParagraph"/>
              <w:spacing w:before="34"/>
              <w:ind w:right="273"/>
              <w:rPr>
                <w:sz w:val="20"/>
              </w:rPr>
            </w:pPr>
            <w:r>
              <w:rPr>
                <w:w w:val="95"/>
                <w:sz w:val="20"/>
              </w:rPr>
              <w:t>108.01</w:t>
            </w:r>
          </w:p>
        </w:tc>
        <w:tc>
          <w:tcPr>
            <w:tcW w:w="1373" w:type="dxa"/>
          </w:tcPr>
          <w:p w:rsidR="007C5447" w:rsidRDefault="00F6308C">
            <w:pPr>
              <w:pStyle w:val="TableParagraph"/>
              <w:spacing w:before="34"/>
              <w:ind w:left="635"/>
              <w:jc w:val="left"/>
              <w:rPr>
                <w:sz w:val="20"/>
              </w:rPr>
            </w:pPr>
            <w:r>
              <w:rPr>
                <w:sz w:val="20"/>
              </w:rPr>
              <w:t>89.74</w:t>
            </w:r>
          </w:p>
        </w:tc>
        <w:tc>
          <w:tcPr>
            <w:tcW w:w="1372" w:type="dxa"/>
          </w:tcPr>
          <w:p w:rsidR="007C5447" w:rsidRDefault="00F6308C">
            <w:pPr>
              <w:pStyle w:val="TableParagraph"/>
              <w:spacing w:before="34"/>
              <w:ind w:right="272"/>
              <w:rPr>
                <w:sz w:val="20"/>
              </w:rPr>
            </w:pPr>
            <w:r>
              <w:rPr>
                <w:sz w:val="20"/>
              </w:rPr>
              <w:t>126.83</w:t>
            </w:r>
          </w:p>
        </w:tc>
        <w:tc>
          <w:tcPr>
            <w:tcW w:w="1122" w:type="dxa"/>
          </w:tcPr>
          <w:p w:rsidR="007C5447" w:rsidRDefault="00F6308C">
            <w:pPr>
              <w:pStyle w:val="TableParagraph"/>
              <w:spacing w:before="34"/>
              <w:ind w:right="271"/>
              <w:rPr>
                <w:sz w:val="20"/>
              </w:rPr>
            </w:pPr>
            <w:r>
              <w:rPr>
                <w:w w:val="95"/>
                <w:sz w:val="20"/>
              </w:rPr>
              <w:t>113.24</w:t>
            </w:r>
          </w:p>
        </w:tc>
        <w:tc>
          <w:tcPr>
            <w:tcW w:w="1406" w:type="dxa"/>
          </w:tcPr>
          <w:p w:rsidR="007C5447" w:rsidRDefault="00F6308C">
            <w:pPr>
              <w:pStyle w:val="TableParagraph"/>
              <w:spacing w:before="34"/>
              <w:ind w:left="571"/>
              <w:jc w:val="left"/>
              <w:rPr>
                <w:sz w:val="20"/>
              </w:rPr>
            </w:pPr>
            <w:r>
              <w:rPr>
                <w:sz w:val="20"/>
              </w:rPr>
              <w:t>111.03</w:t>
            </w:r>
          </w:p>
        </w:tc>
        <w:tc>
          <w:tcPr>
            <w:tcW w:w="1425" w:type="dxa"/>
          </w:tcPr>
          <w:p w:rsidR="007C5447" w:rsidRDefault="00F6308C">
            <w:pPr>
              <w:pStyle w:val="TableParagraph"/>
              <w:spacing w:before="34"/>
              <w:ind w:right="271"/>
              <w:rPr>
                <w:sz w:val="20"/>
              </w:rPr>
            </w:pPr>
            <w:r>
              <w:rPr>
                <w:sz w:val="20"/>
              </w:rPr>
              <w:t>140.52</w:t>
            </w:r>
          </w:p>
        </w:tc>
        <w:tc>
          <w:tcPr>
            <w:tcW w:w="1438" w:type="dxa"/>
          </w:tcPr>
          <w:p w:rsidR="007C5447" w:rsidRDefault="00F6308C">
            <w:pPr>
              <w:pStyle w:val="TableParagraph"/>
              <w:spacing w:before="34"/>
              <w:ind w:right="272"/>
              <w:rPr>
                <w:sz w:val="20"/>
              </w:rPr>
            </w:pPr>
            <w:r>
              <w:rPr>
                <w:w w:val="95"/>
                <w:sz w:val="20"/>
              </w:rPr>
              <w:t>114.72</w:t>
            </w:r>
          </w:p>
        </w:tc>
        <w:tc>
          <w:tcPr>
            <w:tcW w:w="1421" w:type="dxa"/>
          </w:tcPr>
          <w:p w:rsidR="007C5447" w:rsidRDefault="00F6308C">
            <w:pPr>
              <w:pStyle w:val="TableParagraph"/>
              <w:spacing w:before="34"/>
              <w:ind w:right="269"/>
              <w:rPr>
                <w:sz w:val="20"/>
              </w:rPr>
            </w:pPr>
            <w:r>
              <w:rPr>
                <w:w w:val="95"/>
                <w:sz w:val="20"/>
              </w:rPr>
              <w:t>136.07</w:t>
            </w:r>
          </w:p>
        </w:tc>
        <w:tc>
          <w:tcPr>
            <w:tcW w:w="1421" w:type="dxa"/>
          </w:tcPr>
          <w:p w:rsidR="007C5447" w:rsidRDefault="00F6308C">
            <w:pPr>
              <w:pStyle w:val="TableParagraph"/>
              <w:spacing w:before="34"/>
              <w:ind w:right="269"/>
              <w:rPr>
                <w:sz w:val="20"/>
              </w:rPr>
            </w:pPr>
            <w:r>
              <w:rPr>
                <w:w w:val="95"/>
                <w:sz w:val="20"/>
              </w:rPr>
              <w:t>165.96</w:t>
            </w:r>
          </w:p>
        </w:tc>
      </w:tr>
      <w:tr w:rsidR="007C5447">
        <w:trPr>
          <w:trHeight w:val="299"/>
        </w:trPr>
        <w:tc>
          <w:tcPr>
            <w:tcW w:w="1983" w:type="dxa"/>
          </w:tcPr>
          <w:p w:rsidR="007C5447" w:rsidRDefault="00F6308C">
            <w:pPr>
              <w:pStyle w:val="TableParagraph"/>
              <w:spacing w:before="34"/>
              <w:ind w:left="107"/>
              <w:jc w:val="left"/>
              <w:rPr>
                <w:sz w:val="20"/>
              </w:rPr>
            </w:pPr>
            <w:r>
              <w:rPr>
                <w:sz w:val="20"/>
              </w:rPr>
              <w:t>North Chennai TPS</w:t>
            </w:r>
          </w:p>
        </w:tc>
        <w:tc>
          <w:tcPr>
            <w:tcW w:w="1099" w:type="dxa"/>
          </w:tcPr>
          <w:p w:rsidR="007C5447" w:rsidRDefault="00F6308C">
            <w:pPr>
              <w:pStyle w:val="TableParagraph"/>
              <w:spacing w:before="34"/>
              <w:ind w:right="273"/>
              <w:rPr>
                <w:sz w:val="20"/>
              </w:rPr>
            </w:pPr>
            <w:r>
              <w:rPr>
                <w:w w:val="95"/>
                <w:sz w:val="20"/>
              </w:rPr>
              <w:t>50.69</w:t>
            </w:r>
          </w:p>
        </w:tc>
        <w:tc>
          <w:tcPr>
            <w:tcW w:w="1373" w:type="dxa"/>
          </w:tcPr>
          <w:p w:rsidR="007C5447" w:rsidRDefault="00F6308C">
            <w:pPr>
              <w:pStyle w:val="TableParagraph"/>
              <w:spacing w:before="34"/>
              <w:ind w:left="635"/>
              <w:jc w:val="left"/>
              <w:rPr>
                <w:sz w:val="20"/>
              </w:rPr>
            </w:pPr>
            <w:r>
              <w:rPr>
                <w:sz w:val="20"/>
              </w:rPr>
              <w:t>61.91</w:t>
            </w:r>
          </w:p>
        </w:tc>
        <w:tc>
          <w:tcPr>
            <w:tcW w:w="1372" w:type="dxa"/>
          </w:tcPr>
          <w:p w:rsidR="007C5447" w:rsidRDefault="00F6308C">
            <w:pPr>
              <w:pStyle w:val="TableParagraph"/>
              <w:spacing w:before="34"/>
              <w:ind w:right="276"/>
              <w:rPr>
                <w:sz w:val="20"/>
              </w:rPr>
            </w:pPr>
            <w:r>
              <w:rPr>
                <w:sz w:val="20"/>
              </w:rPr>
              <w:t>59.52</w:t>
            </w:r>
          </w:p>
        </w:tc>
        <w:tc>
          <w:tcPr>
            <w:tcW w:w="1122" w:type="dxa"/>
          </w:tcPr>
          <w:p w:rsidR="007C5447" w:rsidRDefault="00F6308C">
            <w:pPr>
              <w:pStyle w:val="TableParagraph"/>
              <w:spacing w:before="34"/>
              <w:ind w:right="270"/>
              <w:rPr>
                <w:sz w:val="20"/>
              </w:rPr>
            </w:pPr>
            <w:r>
              <w:rPr>
                <w:w w:val="95"/>
                <w:sz w:val="20"/>
              </w:rPr>
              <w:t>74.05</w:t>
            </w:r>
          </w:p>
        </w:tc>
        <w:tc>
          <w:tcPr>
            <w:tcW w:w="1406" w:type="dxa"/>
          </w:tcPr>
          <w:p w:rsidR="007C5447" w:rsidRDefault="00F6308C">
            <w:pPr>
              <w:pStyle w:val="TableParagraph"/>
              <w:spacing w:before="34"/>
              <w:ind w:left="672"/>
              <w:jc w:val="left"/>
              <w:rPr>
                <w:sz w:val="20"/>
              </w:rPr>
            </w:pPr>
            <w:r>
              <w:rPr>
                <w:sz w:val="20"/>
              </w:rPr>
              <w:t>87.25</w:t>
            </w:r>
          </w:p>
        </w:tc>
        <w:tc>
          <w:tcPr>
            <w:tcW w:w="1425" w:type="dxa"/>
          </w:tcPr>
          <w:p w:rsidR="007C5447" w:rsidRDefault="00F6308C">
            <w:pPr>
              <w:pStyle w:val="TableParagraph"/>
              <w:spacing w:before="34"/>
              <w:ind w:right="272"/>
              <w:rPr>
                <w:sz w:val="20"/>
              </w:rPr>
            </w:pPr>
            <w:r>
              <w:rPr>
                <w:sz w:val="20"/>
              </w:rPr>
              <w:t>91.89</w:t>
            </w:r>
          </w:p>
        </w:tc>
        <w:tc>
          <w:tcPr>
            <w:tcW w:w="1438" w:type="dxa"/>
          </w:tcPr>
          <w:p w:rsidR="007C5447" w:rsidRDefault="00F6308C">
            <w:pPr>
              <w:pStyle w:val="TableParagraph"/>
              <w:spacing w:before="34"/>
              <w:ind w:right="272"/>
              <w:rPr>
                <w:sz w:val="20"/>
              </w:rPr>
            </w:pPr>
            <w:r>
              <w:rPr>
                <w:sz w:val="20"/>
              </w:rPr>
              <w:t>61.06</w:t>
            </w:r>
          </w:p>
        </w:tc>
        <w:tc>
          <w:tcPr>
            <w:tcW w:w="1421" w:type="dxa"/>
          </w:tcPr>
          <w:p w:rsidR="007C5447" w:rsidRDefault="00F6308C">
            <w:pPr>
              <w:pStyle w:val="TableParagraph"/>
              <w:spacing w:before="34"/>
              <w:ind w:right="269"/>
              <w:rPr>
                <w:sz w:val="20"/>
              </w:rPr>
            </w:pPr>
            <w:r>
              <w:rPr>
                <w:w w:val="95"/>
                <w:sz w:val="20"/>
              </w:rPr>
              <w:t>90.20</w:t>
            </w:r>
          </w:p>
        </w:tc>
        <w:tc>
          <w:tcPr>
            <w:tcW w:w="1421" w:type="dxa"/>
          </w:tcPr>
          <w:p w:rsidR="007C5447" w:rsidRDefault="00F6308C">
            <w:pPr>
              <w:pStyle w:val="TableParagraph"/>
              <w:spacing w:before="34"/>
              <w:ind w:right="270"/>
              <w:rPr>
                <w:sz w:val="20"/>
              </w:rPr>
            </w:pPr>
            <w:r>
              <w:rPr>
                <w:sz w:val="20"/>
              </w:rPr>
              <w:t>88.33</w:t>
            </w:r>
          </w:p>
        </w:tc>
      </w:tr>
      <w:tr w:rsidR="007C5447">
        <w:trPr>
          <w:trHeight w:val="489"/>
        </w:trPr>
        <w:tc>
          <w:tcPr>
            <w:tcW w:w="1983" w:type="dxa"/>
          </w:tcPr>
          <w:p w:rsidR="007C5447" w:rsidRDefault="00F6308C">
            <w:pPr>
              <w:pStyle w:val="TableParagraph"/>
              <w:spacing w:before="14" w:line="230" w:lineRule="atLeast"/>
              <w:ind w:left="107" w:right="412"/>
              <w:jc w:val="left"/>
              <w:rPr>
                <w:sz w:val="20"/>
              </w:rPr>
            </w:pPr>
            <w:r>
              <w:rPr>
                <w:sz w:val="20"/>
              </w:rPr>
              <w:t>Mettur TPS Stage III</w:t>
            </w:r>
          </w:p>
        </w:tc>
        <w:tc>
          <w:tcPr>
            <w:tcW w:w="1099" w:type="dxa"/>
          </w:tcPr>
          <w:p w:rsidR="007C5447" w:rsidRDefault="007C5447">
            <w:pPr>
              <w:pStyle w:val="TableParagraph"/>
              <w:jc w:val="left"/>
              <w:rPr>
                <w:sz w:val="20"/>
              </w:rPr>
            </w:pPr>
          </w:p>
        </w:tc>
        <w:tc>
          <w:tcPr>
            <w:tcW w:w="1373" w:type="dxa"/>
          </w:tcPr>
          <w:p w:rsidR="007C5447" w:rsidRDefault="007C5447">
            <w:pPr>
              <w:pStyle w:val="TableParagraph"/>
              <w:jc w:val="left"/>
              <w:rPr>
                <w:sz w:val="20"/>
              </w:rPr>
            </w:pPr>
          </w:p>
        </w:tc>
        <w:tc>
          <w:tcPr>
            <w:tcW w:w="1372" w:type="dxa"/>
          </w:tcPr>
          <w:p w:rsidR="007C5447" w:rsidRDefault="007C5447">
            <w:pPr>
              <w:pStyle w:val="TableParagraph"/>
              <w:jc w:val="left"/>
              <w:rPr>
                <w:sz w:val="20"/>
              </w:rPr>
            </w:pPr>
          </w:p>
        </w:tc>
        <w:tc>
          <w:tcPr>
            <w:tcW w:w="1122" w:type="dxa"/>
          </w:tcPr>
          <w:p w:rsidR="007C5447" w:rsidRDefault="007C5447">
            <w:pPr>
              <w:pStyle w:val="TableParagraph"/>
              <w:jc w:val="left"/>
              <w:rPr>
                <w:sz w:val="20"/>
              </w:rPr>
            </w:pPr>
          </w:p>
        </w:tc>
        <w:tc>
          <w:tcPr>
            <w:tcW w:w="1406" w:type="dxa"/>
          </w:tcPr>
          <w:p w:rsidR="007C5447" w:rsidRDefault="007C5447">
            <w:pPr>
              <w:pStyle w:val="TableParagraph"/>
              <w:jc w:val="left"/>
              <w:rPr>
                <w:sz w:val="20"/>
              </w:rPr>
            </w:pPr>
          </w:p>
        </w:tc>
        <w:tc>
          <w:tcPr>
            <w:tcW w:w="1425" w:type="dxa"/>
          </w:tcPr>
          <w:p w:rsidR="007C5447" w:rsidRDefault="007C5447">
            <w:pPr>
              <w:pStyle w:val="TableParagraph"/>
              <w:jc w:val="left"/>
              <w:rPr>
                <w:sz w:val="20"/>
              </w:rPr>
            </w:pPr>
          </w:p>
        </w:tc>
        <w:tc>
          <w:tcPr>
            <w:tcW w:w="1438" w:type="dxa"/>
          </w:tcPr>
          <w:p w:rsidR="007C5447" w:rsidRDefault="00F6308C">
            <w:pPr>
              <w:pStyle w:val="TableParagraph"/>
              <w:spacing w:before="130"/>
              <w:ind w:right="272"/>
              <w:rPr>
                <w:sz w:val="20"/>
              </w:rPr>
            </w:pPr>
            <w:r>
              <w:rPr>
                <w:sz w:val="20"/>
              </w:rPr>
              <w:t>18.95</w:t>
            </w:r>
          </w:p>
        </w:tc>
        <w:tc>
          <w:tcPr>
            <w:tcW w:w="1421" w:type="dxa"/>
          </w:tcPr>
          <w:p w:rsidR="007C5447" w:rsidRDefault="00F6308C">
            <w:pPr>
              <w:pStyle w:val="TableParagraph"/>
              <w:spacing w:before="130"/>
              <w:ind w:right="266"/>
              <w:rPr>
                <w:sz w:val="20"/>
              </w:rPr>
            </w:pPr>
            <w:r>
              <w:rPr>
                <w:w w:val="99"/>
                <w:sz w:val="20"/>
              </w:rPr>
              <w:t>-</w:t>
            </w:r>
          </w:p>
        </w:tc>
        <w:tc>
          <w:tcPr>
            <w:tcW w:w="1421" w:type="dxa"/>
          </w:tcPr>
          <w:p w:rsidR="007C5447" w:rsidRDefault="007C5447">
            <w:pPr>
              <w:pStyle w:val="TableParagraph"/>
              <w:jc w:val="left"/>
              <w:rPr>
                <w:sz w:val="20"/>
              </w:rPr>
            </w:pPr>
          </w:p>
        </w:tc>
      </w:tr>
      <w:tr w:rsidR="007C5447">
        <w:trPr>
          <w:trHeight w:val="491"/>
        </w:trPr>
        <w:tc>
          <w:tcPr>
            <w:tcW w:w="1983" w:type="dxa"/>
          </w:tcPr>
          <w:p w:rsidR="007C5447" w:rsidRDefault="00F6308C">
            <w:pPr>
              <w:pStyle w:val="TableParagraph"/>
              <w:spacing w:before="14" w:line="230" w:lineRule="atLeast"/>
              <w:ind w:left="107" w:right="268"/>
              <w:jc w:val="left"/>
              <w:rPr>
                <w:sz w:val="20"/>
              </w:rPr>
            </w:pPr>
            <w:r>
              <w:rPr>
                <w:sz w:val="20"/>
              </w:rPr>
              <w:t>North Chennai TPS II</w:t>
            </w:r>
          </w:p>
        </w:tc>
        <w:tc>
          <w:tcPr>
            <w:tcW w:w="1099" w:type="dxa"/>
          </w:tcPr>
          <w:p w:rsidR="007C5447" w:rsidRDefault="007C5447">
            <w:pPr>
              <w:pStyle w:val="TableParagraph"/>
              <w:jc w:val="left"/>
              <w:rPr>
                <w:sz w:val="20"/>
              </w:rPr>
            </w:pPr>
          </w:p>
        </w:tc>
        <w:tc>
          <w:tcPr>
            <w:tcW w:w="1373" w:type="dxa"/>
          </w:tcPr>
          <w:p w:rsidR="007C5447" w:rsidRDefault="007C5447">
            <w:pPr>
              <w:pStyle w:val="TableParagraph"/>
              <w:jc w:val="left"/>
              <w:rPr>
                <w:sz w:val="20"/>
              </w:rPr>
            </w:pPr>
          </w:p>
        </w:tc>
        <w:tc>
          <w:tcPr>
            <w:tcW w:w="1372" w:type="dxa"/>
          </w:tcPr>
          <w:p w:rsidR="007C5447" w:rsidRDefault="007C5447">
            <w:pPr>
              <w:pStyle w:val="TableParagraph"/>
              <w:jc w:val="left"/>
              <w:rPr>
                <w:sz w:val="20"/>
              </w:rPr>
            </w:pPr>
          </w:p>
        </w:tc>
        <w:tc>
          <w:tcPr>
            <w:tcW w:w="1122" w:type="dxa"/>
          </w:tcPr>
          <w:p w:rsidR="007C5447" w:rsidRDefault="007C5447">
            <w:pPr>
              <w:pStyle w:val="TableParagraph"/>
              <w:jc w:val="left"/>
              <w:rPr>
                <w:sz w:val="20"/>
              </w:rPr>
            </w:pPr>
          </w:p>
        </w:tc>
        <w:tc>
          <w:tcPr>
            <w:tcW w:w="1406" w:type="dxa"/>
          </w:tcPr>
          <w:p w:rsidR="007C5447" w:rsidRDefault="007C5447">
            <w:pPr>
              <w:pStyle w:val="TableParagraph"/>
              <w:jc w:val="left"/>
              <w:rPr>
                <w:sz w:val="20"/>
              </w:rPr>
            </w:pPr>
          </w:p>
        </w:tc>
        <w:tc>
          <w:tcPr>
            <w:tcW w:w="1425" w:type="dxa"/>
          </w:tcPr>
          <w:p w:rsidR="007C5447" w:rsidRDefault="007C5447">
            <w:pPr>
              <w:pStyle w:val="TableParagraph"/>
              <w:jc w:val="left"/>
              <w:rPr>
                <w:sz w:val="20"/>
              </w:rPr>
            </w:pPr>
          </w:p>
        </w:tc>
        <w:tc>
          <w:tcPr>
            <w:tcW w:w="1438" w:type="dxa"/>
          </w:tcPr>
          <w:p w:rsidR="007C5447" w:rsidRDefault="00F6308C">
            <w:pPr>
              <w:pStyle w:val="TableParagraph"/>
              <w:spacing w:before="130"/>
              <w:ind w:right="269"/>
              <w:rPr>
                <w:sz w:val="20"/>
              </w:rPr>
            </w:pPr>
            <w:r>
              <w:rPr>
                <w:sz w:val="20"/>
              </w:rPr>
              <w:t>1.37</w:t>
            </w:r>
          </w:p>
        </w:tc>
        <w:tc>
          <w:tcPr>
            <w:tcW w:w="1421" w:type="dxa"/>
          </w:tcPr>
          <w:p w:rsidR="007C5447" w:rsidRDefault="00F6308C">
            <w:pPr>
              <w:pStyle w:val="TableParagraph"/>
              <w:spacing w:before="130"/>
              <w:ind w:right="268"/>
              <w:rPr>
                <w:sz w:val="20"/>
              </w:rPr>
            </w:pPr>
            <w:r>
              <w:rPr>
                <w:w w:val="99"/>
                <w:sz w:val="20"/>
              </w:rPr>
              <w:t>-</w:t>
            </w:r>
          </w:p>
        </w:tc>
        <w:tc>
          <w:tcPr>
            <w:tcW w:w="1421" w:type="dxa"/>
          </w:tcPr>
          <w:p w:rsidR="007C5447" w:rsidRDefault="007C5447">
            <w:pPr>
              <w:pStyle w:val="TableParagraph"/>
              <w:jc w:val="left"/>
              <w:rPr>
                <w:sz w:val="20"/>
              </w:rPr>
            </w:pPr>
          </w:p>
        </w:tc>
      </w:tr>
      <w:tr w:rsidR="007C5447">
        <w:trPr>
          <w:trHeight w:val="299"/>
        </w:trPr>
        <w:tc>
          <w:tcPr>
            <w:tcW w:w="1983" w:type="dxa"/>
          </w:tcPr>
          <w:p w:rsidR="007C5447" w:rsidRDefault="00F6308C">
            <w:pPr>
              <w:pStyle w:val="TableParagraph"/>
              <w:spacing w:before="34"/>
              <w:ind w:left="107"/>
              <w:jc w:val="left"/>
              <w:rPr>
                <w:sz w:val="20"/>
              </w:rPr>
            </w:pPr>
            <w:r>
              <w:rPr>
                <w:sz w:val="20"/>
              </w:rPr>
              <w:t>Tirumakottai GTPS</w:t>
            </w:r>
          </w:p>
        </w:tc>
        <w:tc>
          <w:tcPr>
            <w:tcW w:w="1099" w:type="dxa"/>
          </w:tcPr>
          <w:p w:rsidR="007C5447" w:rsidRDefault="00F6308C">
            <w:pPr>
              <w:pStyle w:val="TableParagraph"/>
              <w:spacing w:before="34"/>
              <w:ind w:right="273"/>
              <w:rPr>
                <w:sz w:val="20"/>
              </w:rPr>
            </w:pPr>
            <w:r>
              <w:rPr>
                <w:sz w:val="20"/>
              </w:rPr>
              <w:t>7.36</w:t>
            </w:r>
          </w:p>
        </w:tc>
        <w:tc>
          <w:tcPr>
            <w:tcW w:w="1373" w:type="dxa"/>
          </w:tcPr>
          <w:p w:rsidR="007C5447" w:rsidRDefault="00F6308C">
            <w:pPr>
              <w:pStyle w:val="TableParagraph"/>
              <w:spacing w:before="34"/>
              <w:ind w:left="734"/>
              <w:jc w:val="left"/>
              <w:rPr>
                <w:sz w:val="20"/>
              </w:rPr>
            </w:pPr>
            <w:r>
              <w:rPr>
                <w:sz w:val="20"/>
              </w:rPr>
              <w:t>8.17</w:t>
            </w:r>
          </w:p>
        </w:tc>
        <w:tc>
          <w:tcPr>
            <w:tcW w:w="1372" w:type="dxa"/>
          </w:tcPr>
          <w:p w:rsidR="007C5447" w:rsidRDefault="00F6308C">
            <w:pPr>
              <w:pStyle w:val="TableParagraph"/>
              <w:spacing w:before="34"/>
              <w:ind w:right="273"/>
              <w:rPr>
                <w:sz w:val="20"/>
              </w:rPr>
            </w:pPr>
            <w:r>
              <w:rPr>
                <w:sz w:val="20"/>
              </w:rPr>
              <w:t>8.64</w:t>
            </w:r>
          </w:p>
        </w:tc>
        <w:tc>
          <w:tcPr>
            <w:tcW w:w="1122" w:type="dxa"/>
          </w:tcPr>
          <w:p w:rsidR="007C5447" w:rsidRDefault="00F6308C">
            <w:pPr>
              <w:pStyle w:val="TableParagraph"/>
              <w:spacing w:before="34"/>
              <w:ind w:right="270"/>
              <w:rPr>
                <w:sz w:val="20"/>
              </w:rPr>
            </w:pPr>
            <w:r>
              <w:rPr>
                <w:sz w:val="20"/>
              </w:rPr>
              <w:t>8.94</w:t>
            </w:r>
          </w:p>
        </w:tc>
        <w:tc>
          <w:tcPr>
            <w:tcW w:w="1406" w:type="dxa"/>
          </w:tcPr>
          <w:p w:rsidR="007C5447" w:rsidRDefault="00F6308C">
            <w:pPr>
              <w:pStyle w:val="TableParagraph"/>
              <w:spacing w:before="34"/>
              <w:ind w:left="672"/>
              <w:jc w:val="left"/>
              <w:rPr>
                <w:sz w:val="20"/>
              </w:rPr>
            </w:pPr>
            <w:r>
              <w:rPr>
                <w:sz w:val="20"/>
              </w:rPr>
              <w:t>10.83</w:t>
            </w:r>
          </w:p>
        </w:tc>
        <w:tc>
          <w:tcPr>
            <w:tcW w:w="1425" w:type="dxa"/>
          </w:tcPr>
          <w:p w:rsidR="007C5447" w:rsidRDefault="00F6308C">
            <w:pPr>
              <w:pStyle w:val="TableParagraph"/>
              <w:spacing w:before="34"/>
              <w:ind w:right="272"/>
              <w:rPr>
                <w:sz w:val="20"/>
              </w:rPr>
            </w:pPr>
            <w:r>
              <w:rPr>
                <w:sz w:val="20"/>
              </w:rPr>
              <w:t>11.09</w:t>
            </w:r>
          </w:p>
        </w:tc>
        <w:tc>
          <w:tcPr>
            <w:tcW w:w="1438" w:type="dxa"/>
          </w:tcPr>
          <w:p w:rsidR="007C5447" w:rsidRDefault="00F6308C">
            <w:pPr>
              <w:pStyle w:val="TableParagraph"/>
              <w:spacing w:before="34"/>
              <w:ind w:right="272"/>
              <w:rPr>
                <w:sz w:val="20"/>
              </w:rPr>
            </w:pPr>
            <w:r>
              <w:rPr>
                <w:sz w:val="20"/>
              </w:rPr>
              <w:t>7.66</w:t>
            </w:r>
          </w:p>
        </w:tc>
        <w:tc>
          <w:tcPr>
            <w:tcW w:w="1421" w:type="dxa"/>
          </w:tcPr>
          <w:p w:rsidR="007C5447" w:rsidRDefault="00F6308C">
            <w:pPr>
              <w:pStyle w:val="TableParagraph"/>
              <w:spacing w:before="34"/>
              <w:ind w:right="269"/>
              <w:rPr>
                <w:sz w:val="20"/>
              </w:rPr>
            </w:pPr>
            <w:r>
              <w:rPr>
                <w:w w:val="95"/>
                <w:sz w:val="20"/>
              </w:rPr>
              <w:t>11.07</w:t>
            </w:r>
          </w:p>
        </w:tc>
        <w:tc>
          <w:tcPr>
            <w:tcW w:w="1421" w:type="dxa"/>
          </w:tcPr>
          <w:p w:rsidR="007C5447" w:rsidRDefault="00F6308C">
            <w:pPr>
              <w:pStyle w:val="TableParagraph"/>
              <w:spacing w:before="34"/>
              <w:ind w:right="270"/>
              <w:rPr>
                <w:sz w:val="20"/>
              </w:rPr>
            </w:pPr>
            <w:r>
              <w:rPr>
                <w:sz w:val="20"/>
              </w:rPr>
              <w:t>11.08</w:t>
            </w:r>
          </w:p>
        </w:tc>
      </w:tr>
      <w:tr w:rsidR="007C5447">
        <w:trPr>
          <w:trHeight w:val="299"/>
        </w:trPr>
        <w:tc>
          <w:tcPr>
            <w:tcW w:w="1983" w:type="dxa"/>
          </w:tcPr>
          <w:p w:rsidR="007C5447" w:rsidRDefault="00F6308C">
            <w:pPr>
              <w:pStyle w:val="TableParagraph"/>
              <w:spacing w:before="34"/>
              <w:ind w:left="107"/>
              <w:jc w:val="left"/>
              <w:rPr>
                <w:sz w:val="20"/>
              </w:rPr>
            </w:pPr>
            <w:r>
              <w:rPr>
                <w:sz w:val="20"/>
              </w:rPr>
              <w:t>Kuttalam GTPS</w:t>
            </w:r>
          </w:p>
        </w:tc>
        <w:tc>
          <w:tcPr>
            <w:tcW w:w="1099" w:type="dxa"/>
          </w:tcPr>
          <w:p w:rsidR="007C5447" w:rsidRDefault="00F6308C">
            <w:pPr>
              <w:pStyle w:val="TableParagraph"/>
              <w:spacing w:before="34"/>
              <w:ind w:right="273"/>
              <w:rPr>
                <w:sz w:val="20"/>
              </w:rPr>
            </w:pPr>
            <w:r>
              <w:rPr>
                <w:sz w:val="20"/>
              </w:rPr>
              <w:t>4.97</w:t>
            </w:r>
          </w:p>
        </w:tc>
        <w:tc>
          <w:tcPr>
            <w:tcW w:w="1373" w:type="dxa"/>
          </w:tcPr>
          <w:p w:rsidR="007C5447" w:rsidRDefault="00F6308C">
            <w:pPr>
              <w:pStyle w:val="TableParagraph"/>
              <w:spacing w:before="34"/>
              <w:ind w:left="734"/>
              <w:jc w:val="left"/>
              <w:rPr>
                <w:sz w:val="20"/>
              </w:rPr>
            </w:pPr>
            <w:r>
              <w:rPr>
                <w:sz w:val="20"/>
              </w:rPr>
              <w:t>5.53</w:t>
            </w:r>
          </w:p>
        </w:tc>
        <w:tc>
          <w:tcPr>
            <w:tcW w:w="1372" w:type="dxa"/>
          </w:tcPr>
          <w:p w:rsidR="007C5447" w:rsidRDefault="00F6308C">
            <w:pPr>
              <w:pStyle w:val="TableParagraph"/>
              <w:spacing w:before="34"/>
              <w:ind w:right="273"/>
              <w:rPr>
                <w:sz w:val="20"/>
              </w:rPr>
            </w:pPr>
            <w:r>
              <w:rPr>
                <w:sz w:val="20"/>
              </w:rPr>
              <w:t>5.84</w:t>
            </w:r>
          </w:p>
        </w:tc>
        <w:tc>
          <w:tcPr>
            <w:tcW w:w="1122" w:type="dxa"/>
          </w:tcPr>
          <w:p w:rsidR="007C5447" w:rsidRDefault="00F6308C">
            <w:pPr>
              <w:pStyle w:val="TableParagraph"/>
              <w:spacing w:before="34"/>
              <w:ind w:right="270"/>
              <w:rPr>
                <w:sz w:val="20"/>
              </w:rPr>
            </w:pPr>
            <w:r>
              <w:rPr>
                <w:sz w:val="20"/>
              </w:rPr>
              <w:t>3.43</w:t>
            </w:r>
          </w:p>
        </w:tc>
        <w:tc>
          <w:tcPr>
            <w:tcW w:w="1406" w:type="dxa"/>
          </w:tcPr>
          <w:p w:rsidR="007C5447" w:rsidRDefault="00F6308C">
            <w:pPr>
              <w:pStyle w:val="TableParagraph"/>
              <w:spacing w:before="34"/>
              <w:ind w:left="770"/>
              <w:jc w:val="left"/>
              <w:rPr>
                <w:sz w:val="20"/>
              </w:rPr>
            </w:pPr>
            <w:r>
              <w:rPr>
                <w:sz w:val="20"/>
              </w:rPr>
              <w:t>2.62</w:t>
            </w:r>
          </w:p>
        </w:tc>
        <w:tc>
          <w:tcPr>
            <w:tcW w:w="1425" w:type="dxa"/>
          </w:tcPr>
          <w:p w:rsidR="007C5447" w:rsidRDefault="00F6308C">
            <w:pPr>
              <w:pStyle w:val="TableParagraph"/>
              <w:spacing w:before="34"/>
              <w:ind w:right="271"/>
              <w:rPr>
                <w:sz w:val="20"/>
              </w:rPr>
            </w:pPr>
            <w:r>
              <w:rPr>
                <w:sz w:val="20"/>
              </w:rPr>
              <w:t>4.26</w:t>
            </w:r>
          </w:p>
        </w:tc>
        <w:tc>
          <w:tcPr>
            <w:tcW w:w="1438" w:type="dxa"/>
          </w:tcPr>
          <w:p w:rsidR="007C5447" w:rsidRDefault="00F6308C">
            <w:pPr>
              <w:pStyle w:val="TableParagraph"/>
              <w:spacing w:before="34"/>
              <w:ind w:right="272"/>
              <w:rPr>
                <w:sz w:val="20"/>
              </w:rPr>
            </w:pPr>
            <w:r>
              <w:rPr>
                <w:sz w:val="20"/>
              </w:rPr>
              <w:t>9.98</w:t>
            </w:r>
          </w:p>
        </w:tc>
        <w:tc>
          <w:tcPr>
            <w:tcW w:w="1421" w:type="dxa"/>
          </w:tcPr>
          <w:p w:rsidR="007C5447" w:rsidRDefault="00F6308C">
            <w:pPr>
              <w:pStyle w:val="TableParagraph"/>
              <w:spacing w:before="34"/>
              <w:ind w:right="269"/>
              <w:rPr>
                <w:sz w:val="20"/>
              </w:rPr>
            </w:pPr>
            <w:r>
              <w:rPr>
                <w:w w:val="95"/>
                <w:sz w:val="20"/>
              </w:rPr>
              <w:t>13.46</w:t>
            </w:r>
          </w:p>
        </w:tc>
        <w:tc>
          <w:tcPr>
            <w:tcW w:w="1421" w:type="dxa"/>
          </w:tcPr>
          <w:p w:rsidR="007C5447" w:rsidRDefault="00F6308C">
            <w:pPr>
              <w:pStyle w:val="TableParagraph"/>
              <w:spacing w:before="34"/>
              <w:ind w:right="270"/>
              <w:rPr>
                <w:sz w:val="20"/>
              </w:rPr>
            </w:pPr>
            <w:r>
              <w:rPr>
                <w:w w:val="95"/>
                <w:sz w:val="20"/>
              </w:rPr>
              <w:t>14.44</w:t>
            </w:r>
          </w:p>
        </w:tc>
      </w:tr>
      <w:tr w:rsidR="007C5447">
        <w:trPr>
          <w:trHeight w:val="299"/>
        </w:trPr>
        <w:tc>
          <w:tcPr>
            <w:tcW w:w="1983" w:type="dxa"/>
          </w:tcPr>
          <w:p w:rsidR="007C5447" w:rsidRDefault="00F6308C">
            <w:pPr>
              <w:pStyle w:val="TableParagraph"/>
              <w:spacing w:before="34"/>
              <w:ind w:left="107"/>
              <w:jc w:val="left"/>
              <w:rPr>
                <w:sz w:val="20"/>
              </w:rPr>
            </w:pPr>
            <w:r>
              <w:rPr>
                <w:sz w:val="20"/>
              </w:rPr>
              <w:t>Basin Bridge GTPS</w:t>
            </w:r>
          </w:p>
        </w:tc>
        <w:tc>
          <w:tcPr>
            <w:tcW w:w="1099" w:type="dxa"/>
          </w:tcPr>
          <w:p w:rsidR="007C5447" w:rsidRDefault="00F6308C">
            <w:pPr>
              <w:pStyle w:val="TableParagraph"/>
              <w:spacing w:before="34"/>
              <w:ind w:right="273"/>
              <w:rPr>
                <w:sz w:val="20"/>
              </w:rPr>
            </w:pPr>
            <w:r>
              <w:rPr>
                <w:sz w:val="20"/>
              </w:rPr>
              <w:t>3.93</w:t>
            </w:r>
          </w:p>
        </w:tc>
        <w:tc>
          <w:tcPr>
            <w:tcW w:w="1373" w:type="dxa"/>
          </w:tcPr>
          <w:p w:rsidR="007C5447" w:rsidRDefault="00F6308C">
            <w:pPr>
              <w:pStyle w:val="TableParagraph"/>
              <w:spacing w:before="34"/>
              <w:ind w:left="734"/>
              <w:jc w:val="left"/>
              <w:rPr>
                <w:sz w:val="20"/>
              </w:rPr>
            </w:pPr>
            <w:r>
              <w:rPr>
                <w:sz w:val="20"/>
              </w:rPr>
              <w:t>5.98</w:t>
            </w:r>
          </w:p>
        </w:tc>
        <w:tc>
          <w:tcPr>
            <w:tcW w:w="1372" w:type="dxa"/>
          </w:tcPr>
          <w:p w:rsidR="007C5447" w:rsidRDefault="00F6308C">
            <w:pPr>
              <w:pStyle w:val="TableParagraph"/>
              <w:spacing w:before="34"/>
              <w:ind w:right="273"/>
              <w:rPr>
                <w:sz w:val="20"/>
              </w:rPr>
            </w:pPr>
            <w:r>
              <w:rPr>
                <w:sz w:val="20"/>
              </w:rPr>
              <w:t>4.61</w:t>
            </w:r>
          </w:p>
        </w:tc>
        <w:tc>
          <w:tcPr>
            <w:tcW w:w="1122" w:type="dxa"/>
          </w:tcPr>
          <w:p w:rsidR="007C5447" w:rsidRDefault="00F6308C">
            <w:pPr>
              <w:pStyle w:val="TableParagraph"/>
              <w:spacing w:before="34"/>
              <w:ind w:right="270"/>
              <w:rPr>
                <w:sz w:val="20"/>
              </w:rPr>
            </w:pPr>
            <w:r>
              <w:rPr>
                <w:sz w:val="20"/>
              </w:rPr>
              <w:t>2.08</w:t>
            </w:r>
          </w:p>
        </w:tc>
        <w:tc>
          <w:tcPr>
            <w:tcW w:w="1406" w:type="dxa"/>
          </w:tcPr>
          <w:p w:rsidR="007C5447" w:rsidRDefault="00F6308C">
            <w:pPr>
              <w:pStyle w:val="TableParagraph"/>
              <w:spacing w:before="34"/>
              <w:ind w:left="770"/>
              <w:jc w:val="left"/>
              <w:rPr>
                <w:sz w:val="20"/>
              </w:rPr>
            </w:pPr>
            <w:r>
              <w:rPr>
                <w:sz w:val="20"/>
              </w:rPr>
              <w:t>5.13</w:t>
            </w:r>
          </w:p>
        </w:tc>
        <w:tc>
          <w:tcPr>
            <w:tcW w:w="1425" w:type="dxa"/>
          </w:tcPr>
          <w:p w:rsidR="007C5447" w:rsidRDefault="00F6308C">
            <w:pPr>
              <w:pStyle w:val="TableParagraph"/>
              <w:spacing w:before="34"/>
              <w:ind w:right="271"/>
              <w:rPr>
                <w:sz w:val="20"/>
              </w:rPr>
            </w:pPr>
            <w:r>
              <w:rPr>
                <w:sz w:val="20"/>
              </w:rPr>
              <w:t>2.58</w:t>
            </w:r>
          </w:p>
        </w:tc>
        <w:tc>
          <w:tcPr>
            <w:tcW w:w="1438" w:type="dxa"/>
          </w:tcPr>
          <w:p w:rsidR="007C5447" w:rsidRDefault="00F6308C">
            <w:pPr>
              <w:pStyle w:val="TableParagraph"/>
              <w:spacing w:before="34"/>
              <w:ind w:right="271"/>
              <w:rPr>
                <w:sz w:val="20"/>
              </w:rPr>
            </w:pPr>
            <w:r>
              <w:rPr>
                <w:sz w:val="20"/>
              </w:rPr>
              <w:t>2.09</w:t>
            </w:r>
          </w:p>
        </w:tc>
        <w:tc>
          <w:tcPr>
            <w:tcW w:w="1421" w:type="dxa"/>
          </w:tcPr>
          <w:p w:rsidR="007C5447" w:rsidRDefault="00F6308C">
            <w:pPr>
              <w:pStyle w:val="TableParagraph"/>
              <w:spacing w:before="34"/>
              <w:ind w:right="269"/>
              <w:rPr>
                <w:sz w:val="20"/>
              </w:rPr>
            </w:pPr>
            <w:r>
              <w:rPr>
                <w:sz w:val="20"/>
              </w:rPr>
              <w:t>6.87</w:t>
            </w:r>
          </w:p>
        </w:tc>
        <w:tc>
          <w:tcPr>
            <w:tcW w:w="1421" w:type="dxa"/>
          </w:tcPr>
          <w:p w:rsidR="007C5447" w:rsidRDefault="00F6308C">
            <w:pPr>
              <w:pStyle w:val="TableParagraph"/>
              <w:spacing w:before="34"/>
              <w:ind w:right="270"/>
              <w:rPr>
                <w:sz w:val="20"/>
              </w:rPr>
            </w:pPr>
            <w:r>
              <w:rPr>
                <w:sz w:val="20"/>
              </w:rPr>
              <w:t>3.02</w:t>
            </w:r>
          </w:p>
        </w:tc>
      </w:tr>
      <w:tr w:rsidR="007C5447">
        <w:trPr>
          <w:trHeight w:val="300"/>
        </w:trPr>
        <w:tc>
          <w:tcPr>
            <w:tcW w:w="1983" w:type="dxa"/>
          </w:tcPr>
          <w:p w:rsidR="007C5447" w:rsidRDefault="00F6308C">
            <w:pPr>
              <w:pStyle w:val="TableParagraph"/>
              <w:spacing w:before="36"/>
              <w:ind w:left="107"/>
              <w:jc w:val="left"/>
              <w:rPr>
                <w:sz w:val="20"/>
              </w:rPr>
            </w:pPr>
            <w:r>
              <w:rPr>
                <w:sz w:val="20"/>
              </w:rPr>
              <w:t>Valuthur Unit-I</w:t>
            </w:r>
          </w:p>
        </w:tc>
        <w:tc>
          <w:tcPr>
            <w:tcW w:w="1099" w:type="dxa"/>
          </w:tcPr>
          <w:p w:rsidR="007C5447" w:rsidRDefault="00F6308C">
            <w:pPr>
              <w:pStyle w:val="TableParagraph"/>
              <w:spacing w:before="36"/>
              <w:ind w:right="273"/>
              <w:rPr>
                <w:sz w:val="20"/>
              </w:rPr>
            </w:pPr>
            <w:r>
              <w:rPr>
                <w:w w:val="95"/>
                <w:sz w:val="20"/>
              </w:rPr>
              <w:t>10.49</w:t>
            </w:r>
          </w:p>
        </w:tc>
        <w:tc>
          <w:tcPr>
            <w:tcW w:w="1373" w:type="dxa"/>
          </w:tcPr>
          <w:p w:rsidR="007C5447" w:rsidRDefault="00F6308C">
            <w:pPr>
              <w:pStyle w:val="TableParagraph"/>
              <w:spacing w:before="36"/>
              <w:ind w:left="635"/>
              <w:jc w:val="left"/>
              <w:rPr>
                <w:sz w:val="20"/>
              </w:rPr>
            </w:pPr>
            <w:r>
              <w:rPr>
                <w:sz w:val="20"/>
              </w:rPr>
              <w:t>12.38</w:t>
            </w:r>
          </w:p>
        </w:tc>
        <w:tc>
          <w:tcPr>
            <w:tcW w:w="1372" w:type="dxa"/>
          </w:tcPr>
          <w:p w:rsidR="007C5447" w:rsidRDefault="00F6308C">
            <w:pPr>
              <w:pStyle w:val="TableParagraph"/>
              <w:spacing w:before="36"/>
              <w:ind w:right="276"/>
              <w:rPr>
                <w:sz w:val="20"/>
              </w:rPr>
            </w:pPr>
            <w:r>
              <w:rPr>
                <w:sz w:val="20"/>
              </w:rPr>
              <w:t>12.32</w:t>
            </w:r>
          </w:p>
        </w:tc>
        <w:tc>
          <w:tcPr>
            <w:tcW w:w="1122" w:type="dxa"/>
          </w:tcPr>
          <w:p w:rsidR="007C5447" w:rsidRDefault="00F6308C">
            <w:pPr>
              <w:pStyle w:val="TableParagraph"/>
              <w:spacing w:before="36"/>
              <w:ind w:right="270"/>
              <w:rPr>
                <w:sz w:val="20"/>
              </w:rPr>
            </w:pPr>
            <w:r>
              <w:rPr>
                <w:w w:val="95"/>
                <w:sz w:val="20"/>
              </w:rPr>
              <w:t>12.61</w:t>
            </w:r>
          </w:p>
        </w:tc>
        <w:tc>
          <w:tcPr>
            <w:tcW w:w="1406" w:type="dxa"/>
          </w:tcPr>
          <w:p w:rsidR="007C5447" w:rsidRDefault="00F6308C">
            <w:pPr>
              <w:pStyle w:val="TableParagraph"/>
              <w:spacing w:before="36"/>
              <w:ind w:left="672"/>
              <w:jc w:val="left"/>
              <w:rPr>
                <w:sz w:val="20"/>
              </w:rPr>
            </w:pPr>
            <w:r>
              <w:rPr>
                <w:sz w:val="20"/>
              </w:rPr>
              <w:t>14.31</w:t>
            </w:r>
          </w:p>
        </w:tc>
        <w:tc>
          <w:tcPr>
            <w:tcW w:w="1425" w:type="dxa"/>
          </w:tcPr>
          <w:p w:rsidR="007C5447" w:rsidRDefault="00F6308C">
            <w:pPr>
              <w:pStyle w:val="TableParagraph"/>
              <w:spacing w:before="36"/>
              <w:ind w:right="271"/>
              <w:rPr>
                <w:sz w:val="20"/>
              </w:rPr>
            </w:pPr>
            <w:r>
              <w:rPr>
                <w:w w:val="95"/>
                <w:sz w:val="20"/>
              </w:rPr>
              <w:t>15.65</w:t>
            </w:r>
          </w:p>
        </w:tc>
        <w:tc>
          <w:tcPr>
            <w:tcW w:w="1438" w:type="dxa"/>
          </w:tcPr>
          <w:p w:rsidR="007C5447" w:rsidRDefault="00F6308C">
            <w:pPr>
              <w:pStyle w:val="TableParagraph"/>
              <w:spacing w:before="36"/>
              <w:ind w:right="272"/>
              <w:rPr>
                <w:sz w:val="20"/>
              </w:rPr>
            </w:pPr>
            <w:r>
              <w:rPr>
                <w:sz w:val="20"/>
              </w:rPr>
              <w:t>18.83</w:t>
            </w:r>
          </w:p>
        </w:tc>
        <w:tc>
          <w:tcPr>
            <w:tcW w:w="1421" w:type="dxa"/>
          </w:tcPr>
          <w:p w:rsidR="007C5447" w:rsidRDefault="00F6308C">
            <w:pPr>
              <w:pStyle w:val="TableParagraph"/>
              <w:spacing w:before="36"/>
              <w:ind w:right="269"/>
              <w:rPr>
                <w:sz w:val="20"/>
              </w:rPr>
            </w:pPr>
            <w:r>
              <w:rPr>
                <w:w w:val="95"/>
                <w:sz w:val="20"/>
              </w:rPr>
              <w:t>19.78</w:t>
            </w:r>
          </w:p>
        </w:tc>
        <w:tc>
          <w:tcPr>
            <w:tcW w:w="1421" w:type="dxa"/>
          </w:tcPr>
          <w:p w:rsidR="007C5447" w:rsidRDefault="00F6308C">
            <w:pPr>
              <w:pStyle w:val="TableParagraph"/>
              <w:spacing w:before="36"/>
              <w:ind w:right="270"/>
              <w:rPr>
                <w:sz w:val="20"/>
              </w:rPr>
            </w:pPr>
            <w:r>
              <w:rPr>
                <w:sz w:val="20"/>
              </w:rPr>
              <w:t>27.24</w:t>
            </w:r>
          </w:p>
        </w:tc>
      </w:tr>
      <w:tr w:rsidR="007C5447">
        <w:trPr>
          <w:trHeight w:val="299"/>
        </w:trPr>
        <w:tc>
          <w:tcPr>
            <w:tcW w:w="1983" w:type="dxa"/>
          </w:tcPr>
          <w:p w:rsidR="007C5447" w:rsidRDefault="00F6308C">
            <w:pPr>
              <w:pStyle w:val="TableParagraph"/>
              <w:spacing w:before="36"/>
              <w:ind w:left="107"/>
              <w:jc w:val="left"/>
              <w:rPr>
                <w:sz w:val="20"/>
              </w:rPr>
            </w:pPr>
            <w:r>
              <w:rPr>
                <w:sz w:val="20"/>
              </w:rPr>
              <w:t>Erode HEP</w:t>
            </w:r>
          </w:p>
        </w:tc>
        <w:tc>
          <w:tcPr>
            <w:tcW w:w="1099" w:type="dxa"/>
          </w:tcPr>
          <w:p w:rsidR="007C5447" w:rsidRDefault="00F6308C">
            <w:pPr>
              <w:pStyle w:val="TableParagraph"/>
              <w:spacing w:before="36"/>
              <w:ind w:right="273"/>
              <w:rPr>
                <w:sz w:val="20"/>
              </w:rPr>
            </w:pPr>
            <w:r>
              <w:rPr>
                <w:sz w:val="20"/>
              </w:rPr>
              <w:t>4.00</w:t>
            </w:r>
          </w:p>
        </w:tc>
        <w:tc>
          <w:tcPr>
            <w:tcW w:w="1373" w:type="dxa"/>
          </w:tcPr>
          <w:p w:rsidR="007C5447" w:rsidRDefault="00F6308C">
            <w:pPr>
              <w:pStyle w:val="TableParagraph"/>
              <w:spacing w:before="36"/>
              <w:ind w:left="734"/>
              <w:jc w:val="left"/>
              <w:rPr>
                <w:sz w:val="20"/>
              </w:rPr>
            </w:pPr>
            <w:r>
              <w:rPr>
                <w:sz w:val="20"/>
              </w:rPr>
              <w:t>5.44</w:t>
            </w:r>
          </w:p>
        </w:tc>
        <w:tc>
          <w:tcPr>
            <w:tcW w:w="1372" w:type="dxa"/>
          </w:tcPr>
          <w:p w:rsidR="007C5447" w:rsidRDefault="00F6308C">
            <w:pPr>
              <w:pStyle w:val="TableParagraph"/>
              <w:spacing w:before="36"/>
              <w:ind w:right="272"/>
              <w:rPr>
                <w:sz w:val="20"/>
              </w:rPr>
            </w:pPr>
            <w:r>
              <w:rPr>
                <w:sz w:val="20"/>
              </w:rPr>
              <w:t>4.70</w:t>
            </w:r>
          </w:p>
        </w:tc>
        <w:tc>
          <w:tcPr>
            <w:tcW w:w="1122" w:type="dxa"/>
          </w:tcPr>
          <w:p w:rsidR="007C5447" w:rsidRDefault="00F6308C">
            <w:pPr>
              <w:pStyle w:val="TableParagraph"/>
              <w:spacing w:before="36"/>
              <w:ind w:right="270"/>
              <w:rPr>
                <w:sz w:val="20"/>
              </w:rPr>
            </w:pPr>
            <w:r>
              <w:rPr>
                <w:sz w:val="20"/>
              </w:rPr>
              <w:t>5.01</w:t>
            </w:r>
          </w:p>
        </w:tc>
        <w:tc>
          <w:tcPr>
            <w:tcW w:w="1406" w:type="dxa"/>
          </w:tcPr>
          <w:p w:rsidR="007C5447" w:rsidRDefault="00F6308C">
            <w:pPr>
              <w:pStyle w:val="TableParagraph"/>
              <w:spacing w:before="36"/>
              <w:ind w:left="770"/>
              <w:jc w:val="left"/>
              <w:rPr>
                <w:sz w:val="20"/>
              </w:rPr>
            </w:pPr>
            <w:r>
              <w:rPr>
                <w:sz w:val="20"/>
              </w:rPr>
              <w:t>7.09</w:t>
            </w:r>
          </w:p>
        </w:tc>
        <w:tc>
          <w:tcPr>
            <w:tcW w:w="1425" w:type="dxa"/>
          </w:tcPr>
          <w:p w:rsidR="007C5447" w:rsidRDefault="00F6308C">
            <w:pPr>
              <w:pStyle w:val="TableParagraph"/>
              <w:spacing w:before="36"/>
              <w:ind w:right="271"/>
              <w:rPr>
                <w:sz w:val="20"/>
              </w:rPr>
            </w:pPr>
            <w:r>
              <w:rPr>
                <w:sz w:val="20"/>
              </w:rPr>
              <w:t>6.22</w:t>
            </w:r>
          </w:p>
        </w:tc>
        <w:tc>
          <w:tcPr>
            <w:tcW w:w="1438" w:type="dxa"/>
          </w:tcPr>
          <w:p w:rsidR="007C5447" w:rsidRDefault="00F6308C">
            <w:pPr>
              <w:pStyle w:val="TableParagraph"/>
              <w:spacing w:before="36"/>
              <w:ind w:right="272"/>
              <w:rPr>
                <w:sz w:val="20"/>
              </w:rPr>
            </w:pPr>
            <w:r>
              <w:rPr>
                <w:sz w:val="20"/>
              </w:rPr>
              <w:t>6.83</w:t>
            </w:r>
          </w:p>
        </w:tc>
        <w:tc>
          <w:tcPr>
            <w:tcW w:w="1421" w:type="dxa"/>
          </w:tcPr>
          <w:p w:rsidR="007C5447" w:rsidRDefault="00F6308C">
            <w:pPr>
              <w:pStyle w:val="TableParagraph"/>
              <w:spacing w:before="36"/>
              <w:ind w:right="269"/>
              <w:rPr>
                <w:sz w:val="20"/>
              </w:rPr>
            </w:pPr>
            <w:r>
              <w:rPr>
                <w:w w:val="95"/>
                <w:sz w:val="20"/>
              </w:rPr>
              <w:t>10.61</w:t>
            </w:r>
          </w:p>
        </w:tc>
        <w:tc>
          <w:tcPr>
            <w:tcW w:w="1421" w:type="dxa"/>
          </w:tcPr>
          <w:p w:rsidR="007C5447" w:rsidRDefault="00F6308C">
            <w:pPr>
              <w:pStyle w:val="TableParagraph"/>
              <w:spacing w:before="36"/>
              <w:ind w:right="267"/>
              <w:rPr>
                <w:sz w:val="20"/>
              </w:rPr>
            </w:pPr>
            <w:r>
              <w:rPr>
                <w:sz w:val="20"/>
              </w:rPr>
              <w:t>9.88</w:t>
            </w:r>
          </w:p>
        </w:tc>
      </w:tr>
      <w:tr w:rsidR="007C5447">
        <w:trPr>
          <w:trHeight w:val="302"/>
        </w:trPr>
        <w:tc>
          <w:tcPr>
            <w:tcW w:w="1983" w:type="dxa"/>
          </w:tcPr>
          <w:p w:rsidR="007C5447" w:rsidRDefault="00F6308C">
            <w:pPr>
              <w:pStyle w:val="TableParagraph"/>
              <w:spacing w:before="36"/>
              <w:ind w:left="107"/>
              <w:jc w:val="left"/>
              <w:rPr>
                <w:sz w:val="20"/>
              </w:rPr>
            </w:pPr>
            <w:r>
              <w:rPr>
                <w:sz w:val="20"/>
              </w:rPr>
              <w:t>Kadamparai HEP</w:t>
            </w:r>
          </w:p>
        </w:tc>
        <w:tc>
          <w:tcPr>
            <w:tcW w:w="1099" w:type="dxa"/>
          </w:tcPr>
          <w:p w:rsidR="007C5447" w:rsidRDefault="00F6308C">
            <w:pPr>
              <w:pStyle w:val="TableParagraph"/>
              <w:spacing w:before="36"/>
              <w:ind w:right="273"/>
              <w:rPr>
                <w:sz w:val="20"/>
              </w:rPr>
            </w:pPr>
            <w:r>
              <w:rPr>
                <w:sz w:val="20"/>
              </w:rPr>
              <w:t>2.10</w:t>
            </w:r>
          </w:p>
        </w:tc>
        <w:tc>
          <w:tcPr>
            <w:tcW w:w="1373" w:type="dxa"/>
          </w:tcPr>
          <w:p w:rsidR="007C5447" w:rsidRDefault="00F6308C">
            <w:pPr>
              <w:pStyle w:val="TableParagraph"/>
              <w:spacing w:before="36"/>
              <w:ind w:left="734"/>
              <w:jc w:val="left"/>
              <w:rPr>
                <w:sz w:val="20"/>
              </w:rPr>
            </w:pPr>
            <w:r>
              <w:rPr>
                <w:sz w:val="20"/>
              </w:rPr>
              <w:t>3.13</w:t>
            </w:r>
          </w:p>
        </w:tc>
        <w:tc>
          <w:tcPr>
            <w:tcW w:w="1372" w:type="dxa"/>
          </w:tcPr>
          <w:p w:rsidR="007C5447" w:rsidRDefault="00F6308C">
            <w:pPr>
              <w:pStyle w:val="TableParagraph"/>
              <w:spacing w:before="36"/>
              <w:ind w:right="273"/>
              <w:rPr>
                <w:sz w:val="20"/>
              </w:rPr>
            </w:pPr>
            <w:r>
              <w:rPr>
                <w:sz w:val="20"/>
              </w:rPr>
              <w:t>2.47</w:t>
            </w:r>
          </w:p>
        </w:tc>
        <w:tc>
          <w:tcPr>
            <w:tcW w:w="1122" w:type="dxa"/>
          </w:tcPr>
          <w:p w:rsidR="007C5447" w:rsidRDefault="00F6308C">
            <w:pPr>
              <w:pStyle w:val="TableParagraph"/>
              <w:spacing w:before="36"/>
              <w:ind w:right="270"/>
              <w:rPr>
                <w:sz w:val="20"/>
              </w:rPr>
            </w:pPr>
            <w:r>
              <w:rPr>
                <w:sz w:val="20"/>
              </w:rPr>
              <w:t>2.54</w:t>
            </w:r>
          </w:p>
        </w:tc>
        <w:tc>
          <w:tcPr>
            <w:tcW w:w="1406" w:type="dxa"/>
          </w:tcPr>
          <w:p w:rsidR="007C5447" w:rsidRDefault="00F6308C">
            <w:pPr>
              <w:pStyle w:val="TableParagraph"/>
              <w:spacing w:before="36"/>
              <w:ind w:left="770"/>
              <w:jc w:val="left"/>
              <w:rPr>
                <w:sz w:val="20"/>
              </w:rPr>
            </w:pPr>
            <w:r>
              <w:rPr>
                <w:sz w:val="20"/>
              </w:rPr>
              <w:t>4.08</w:t>
            </w:r>
          </w:p>
        </w:tc>
        <w:tc>
          <w:tcPr>
            <w:tcW w:w="1425" w:type="dxa"/>
          </w:tcPr>
          <w:p w:rsidR="007C5447" w:rsidRDefault="00F6308C">
            <w:pPr>
              <w:pStyle w:val="TableParagraph"/>
              <w:spacing w:before="36"/>
              <w:ind w:right="271"/>
              <w:rPr>
                <w:sz w:val="20"/>
              </w:rPr>
            </w:pPr>
            <w:r>
              <w:rPr>
                <w:sz w:val="20"/>
              </w:rPr>
              <w:t>3.15</w:t>
            </w:r>
          </w:p>
        </w:tc>
        <w:tc>
          <w:tcPr>
            <w:tcW w:w="1438" w:type="dxa"/>
          </w:tcPr>
          <w:p w:rsidR="007C5447" w:rsidRDefault="00F6308C">
            <w:pPr>
              <w:pStyle w:val="TableParagraph"/>
              <w:spacing w:before="36"/>
              <w:ind w:right="272"/>
              <w:rPr>
                <w:sz w:val="20"/>
              </w:rPr>
            </w:pPr>
            <w:r>
              <w:rPr>
                <w:sz w:val="20"/>
              </w:rPr>
              <w:t>2.71</w:t>
            </w:r>
          </w:p>
        </w:tc>
        <w:tc>
          <w:tcPr>
            <w:tcW w:w="1421" w:type="dxa"/>
          </w:tcPr>
          <w:p w:rsidR="007C5447" w:rsidRDefault="00F6308C">
            <w:pPr>
              <w:pStyle w:val="TableParagraph"/>
              <w:spacing w:before="36"/>
              <w:ind w:right="269"/>
              <w:rPr>
                <w:sz w:val="20"/>
              </w:rPr>
            </w:pPr>
            <w:r>
              <w:rPr>
                <w:sz w:val="20"/>
              </w:rPr>
              <w:t>6.91</w:t>
            </w:r>
          </w:p>
        </w:tc>
        <w:tc>
          <w:tcPr>
            <w:tcW w:w="1421" w:type="dxa"/>
          </w:tcPr>
          <w:p w:rsidR="007C5447" w:rsidRDefault="00F6308C">
            <w:pPr>
              <w:pStyle w:val="TableParagraph"/>
              <w:spacing w:before="36"/>
              <w:ind w:right="266"/>
              <w:rPr>
                <w:sz w:val="20"/>
              </w:rPr>
            </w:pPr>
            <w:r>
              <w:rPr>
                <w:sz w:val="20"/>
              </w:rPr>
              <w:t>3.92</w:t>
            </w:r>
          </w:p>
        </w:tc>
      </w:tr>
      <w:tr w:rsidR="007C5447">
        <w:trPr>
          <w:trHeight w:val="328"/>
        </w:trPr>
        <w:tc>
          <w:tcPr>
            <w:tcW w:w="1983" w:type="dxa"/>
          </w:tcPr>
          <w:p w:rsidR="007C5447" w:rsidRDefault="00F6308C">
            <w:pPr>
              <w:pStyle w:val="TableParagraph"/>
              <w:spacing w:before="48"/>
              <w:ind w:left="107"/>
              <w:jc w:val="left"/>
              <w:rPr>
                <w:sz w:val="20"/>
              </w:rPr>
            </w:pPr>
            <w:r>
              <w:rPr>
                <w:sz w:val="20"/>
              </w:rPr>
              <w:t>Kundah HEP</w:t>
            </w:r>
          </w:p>
        </w:tc>
        <w:tc>
          <w:tcPr>
            <w:tcW w:w="1099" w:type="dxa"/>
          </w:tcPr>
          <w:p w:rsidR="007C5447" w:rsidRDefault="00F6308C">
            <w:pPr>
              <w:pStyle w:val="TableParagraph"/>
              <w:spacing w:before="48"/>
              <w:ind w:right="273"/>
              <w:rPr>
                <w:sz w:val="20"/>
              </w:rPr>
            </w:pPr>
            <w:r>
              <w:rPr>
                <w:sz w:val="20"/>
              </w:rPr>
              <w:t>5.77</w:t>
            </w:r>
          </w:p>
        </w:tc>
        <w:tc>
          <w:tcPr>
            <w:tcW w:w="1373" w:type="dxa"/>
          </w:tcPr>
          <w:p w:rsidR="007C5447" w:rsidRDefault="00F6308C">
            <w:pPr>
              <w:pStyle w:val="TableParagraph"/>
              <w:spacing w:before="48"/>
              <w:ind w:left="734"/>
              <w:jc w:val="left"/>
              <w:rPr>
                <w:sz w:val="20"/>
              </w:rPr>
            </w:pPr>
            <w:r>
              <w:rPr>
                <w:sz w:val="20"/>
              </w:rPr>
              <w:t>7.22</w:t>
            </w:r>
          </w:p>
        </w:tc>
        <w:tc>
          <w:tcPr>
            <w:tcW w:w="1372" w:type="dxa"/>
          </w:tcPr>
          <w:p w:rsidR="007C5447" w:rsidRDefault="00F6308C">
            <w:pPr>
              <w:pStyle w:val="TableParagraph"/>
              <w:spacing w:before="48"/>
              <w:ind w:right="273"/>
              <w:rPr>
                <w:sz w:val="20"/>
              </w:rPr>
            </w:pPr>
            <w:r>
              <w:rPr>
                <w:sz w:val="20"/>
              </w:rPr>
              <w:t>6.78</w:t>
            </w:r>
          </w:p>
        </w:tc>
        <w:tc>
          <w:tcPr>
            <w:tcW w:w="1122" w:type="dxa"/>
          </w:tcPr>
          <w:p w:rsidR="007C5447" w:rsidRDefault="00F6308C">
            <w:pPr>
              <w:pStyle w:val="TableParagraph"/>
              <w:spacing w:before="48"/>
              <w:ind w:right="270"/>
              <w:rPr>
                <w:sz w:val="20"/>
              </w:rPr>
            </w:pPr>
            <w:r>
              <w:rPr>
                <w:sz w:val="20"/>
              </w:rPr>
              <w:t>6.96</w:t>
            </w:r>
          </w:p>
        </w:tc>
        <w:tc>
          <w:tcPr>
            <w:tcW w:w="1406" w:type="dxa"/>
          </w:tcPr>
          <w:p w:rsidR="007C5447" w:rsidRDefault="00F6308C">
            <w:pPr>
              <w:pStyle w:val="TableParagraph"/>
              <w:spacing w:before="48"/>
              <w:ind w:left="770"/>
              <w:jc w:val="left"/>
              <w:rPr>
                <w:sz w:val="20"/>
              </w:rPr>
            </w:pPr>
            <w:r>
              <w:rPr>
                <w:sz w:val="20"/>
              </w:rPr>
              <w:t>9.75</w:t>
            </w:r>
          </w:p>
        </w:tc>
        <w:tc>
          <w:tcPr>
            <w:tcW w:w="1425" w:type="dxa"/>
          </w:tcPr>
          <w:p w:rsidR="007C5447" w:rsidRDefault="00F6308C">
            <w:pPr>
              <w:pStyle w:val="TableParagraph"/>
              <w:spacing w:before="48"/>
              <w:ind w:right="271"/>
              <w:rPr>
                <w:sz w:val="20"/>
              </w:rPr>
            </w:pPr>
            <w:r>
              <w:rPr>
                <w:sz w:val="20"/>
              </w:rPr>
              <w:t>8.64</w:t>
            </w:r>
          </w:p>
        </w:tc>
        <w:tc>
          <w:tcPr>
            <w:tcW w:w="1438" w:type="dxa"/>
          </w:tcPr>
          <w:p w:rsidR="007C5447" w:rsidRDefault="00F6308C">
            <w:pPr>
              <w:pStyle w:val="TableParagraph"/>
              <w:spacing w:before="48"/>
              <w:ind w:right="272"/>
              <w:rPr>
                <w:sz w:val="20"/>
              </w:rPr>
            </w:pPr>
            <w:r>
              <w:rPr>
                <w:sz w:val="20"/>
              </w:rPr>
              <w:t>6.86</w:t>
            </w:r>
          </w:p>
        </w:tc>
        <w:tc>
          <w:tcPr>
            <w:tcW w:w="1421" w:type="dxa"/>
          </w:tcPr>
          <w:p w:rsidR="007C5447" w:rsidRDefault="00F6308C">
            <w:pPr>
              <w:pStyle w:val="TableParagraph"/>
              <w:spacing w:before="48"/>
              <w:ind w:right="269"/>
              <w:rPr>
                <w:sz w:val="20"/>
              </w:rPr>
            </w:pPr>
            <w:r>
              <w:rPr>
                <w:w w:val="95"/>
                <w:sz w:val="20"/>
              </w:rPr>
              <w:t>13.02</w:t>
            </w:r>
          </w:p>
        </w:tc>
        <w:tc>
          <w:tcPr>
            <w:tcW w:w="1421" w:type="dxa"/>
          </w:tcPr>
          <w:p w:rsidR="007C5447" w:rsidRDefault="00F6308C">
            <w:pPr>
              <w:pStyle w:val="TableParagraph"/>
              <w:spacing w:before="48"/>
              <w:ind w:right="270"/>
              <w:rPr>
                <w:sz w:val="20"/>
              </w:rPr>
            </w:pPr>
            <w:r>
              <w:rPr>
                <w:sz w:val="20"/>
              </w:rPr>
              <w:t>9.92</w:t>
            </w:r>
          </w:p>
        </w:tc>
      </w:tr>
      <w:tr w:rsidR="007C5447">
        <w:trPr>
          <w:trHeight w:val="330"/>
        </w:trPr>
        <w:tc>
          <w:tcPr>
            <w:tcW w:w="1983" w:type="dxa"/>
          </w:tcPr>
          <w:p w:rsidR="007C5447" w:rsidRDefault="00F6308C">
            <w:pPr>
              <w:pStyle w:val="TableParagraph"/>
              <w:spacing w:before="50"/>
              <w:ind w:left="107"/>
              <w:jc w:val="left"/>
              <w:rPr>
                <w:sz w:val="20"/>
              </w:rPr>
            </w:pPr>
            <w:r>
              <w:rPr>
                <w:sz w:val="20"/>
              </w:rPr>
              <w:t>Tirunelveli HEP</w:t>
            </w:r>
          </w:p>
        </w:tc>
        <w:tc>
          <w:tcPr>
            <w:tcW w:w="1099" w:type="dxa"/>
          </w:tcPr>
          <w:p w:rsidR="007C5447" w:rsidRDefault="00F6308C">
            <w:pPr>
              <w:pStyle w:val="TableParagraph"/>
              <w:spacing w:before="50"/>
              <w:ind w:right="273"/>
              <w:rPr>
                <w:sz w:val="20"/>
              </w:rPr>
            </w:pPr>
            <w:r>
              <w:rPr>
                <w:sz w:val="20"/>
              </w:rPr>
              <w:t>2.49</w:t>
            </w:r>
          </w:p>
        </w:tc>
        <w:tc>
          <w:tcPr>
            <w:tcW w:w="1373" w:type="dxa"/>
          </w:tcPr>
          <w:p w:rsidR="007C5447" w:rsidRDefault="00F6308C">
            <w:pPr>
              <w:pStyle w:val="TableParagraph"/>
              <w:spacing w:before="50"/>
              <w:ind w:left="734"/>
              <w:jc w:val="left"/>
              <w:rPr>
                <w:sz w:val="20"/>
              </w:rPr>
            </w:pPr>
            <w:r>
              <w:rPr>
                <w:sz w:val="20"/>
              </w:rPr>
              <w:t>3.13</w:t>
            </w:r>
          </w:p>
        </w:tc>
        <w:tc>
          <w:tcPr>
            <w:tcW w:w="1372" w:type="dxa"/>
          </w:tcPr>
          <w:p w:rsidR="007C5447" w:rsidRDefault="00F6308C">
            <w:pPr>
              <w:pStyle w:val="TableParagraph"/>
              <w:spacing w:before="50"/>
              <w:ind w:right="274"/>
              <w:rPr>
                <w:sz w:val="20"/>
              </w:rPr>
            </w:pPr>
            <w:r>
              <w:rPr>
                <w:sz w:val="20"/>
              </w:rPr>
              <w:t>2.92</w:t>
            </w:r>
          </w:p>
        </w:tc>
        <w:tc>
          <w:tcPr>
            <w:tcW w:w="1122" w:type="dxa"/>
          </w:tcPr>
          <w:p w:rsidR="007C5447" w:rsidRDefault="00F6308C">
            <w:pPr>
              <w:pStyle w:val="TableParagraph"/>
              <w:spacing w:before="50"/>
              <w:ind w:right="270"/>
              <w:rPr>
                <w:sz w:val="20"/>
              </w:rPr>
            </w:pPr>
            <w:r>
              <w:rPr>
                <w:sz w:val="20"/>
              </w:rPr>
              <w:t>3.11</w:t>
            </w:r>
          </w:p>
        </w:tc>
        <w:tc>
          <w:tcPr>
            <w:tcW w:w="1406" w:type="dxa"/>
          </w:tcPr>
          <w:p w:rsidR="007C5447" w:rsidRDefault="00F6308C">
            <w:pPr>
              <w:pStyle w:val="TableParagraph"/>
              <w:spacing w:before="50"/>
              <w:ind w:left="770"/>
              <w:jc w:val="left"/>
              <w:rPr>
                <w:sz w:val="20"/>
              </w:rPr>
            </w:pPr>
            <w:r>
              <w:rPr>
                <w:sz w:val="20"/>
              </w:rPr>
              <w:t>3.85</w:t>
            </w:r>
          </w:p>
        </w:tc>
        <w:tc>
          <w:tcPr>
            <w:tcW w:w="1425" w:type="dxa"/>
          </w:tcPr>
          <w:p w:rsidR="007C5447" w:rsidRDefault="00F6308C">
            <w:pPr>
              <w:pStyle w:val="TableParagraph"/>
              <w:spacing w:before="50"/>
              <w:ind w:right="271"/>
              <w:rPr>
                <w:sz w:val="20"/>
              </w:rPr>
            </w:pPr>
            <w:r>
              <w:rPr>
                <w:sz w:val="20"/>
              </w:rPr>
              <w:t>3.86</w:t>
            </w:r>
          </w:p>
        </w:tc>
        <w:tc>
          <w:tcPr>
            <w:tcW w:w="1438" w:type="dxa"/>
          </w:tcPr>
          <w:p w:rsidR="007C5447" w:rsidRDefault="00F6308C">
            <w:pPr>
              <w:pStyle w:val="TableParagraph"/>
              <w:spacing w:before="50"/>
              <w:ind w:right="272"/>
              <w:rPr>
                <w:sz w:val="20"/>
              </w:rPr>
            </w:pPr>
            <w:r>
              <w:rPr>
                <w:sz w:val="20"/>
              </w:rPr>
              <w:t>3.47</w:t>
            </w:r>
          </w:p>
        </w:tc>
        <w:tc>
          <w:tcPr>
            <w:tcW w:w="1421" w:type="dxa"/>
          </w:tcPr>
          <w:p w:rsidR="007C5447" w:rsidRDefault="00F6308C">
            <w:pPr>
              <w:pStyle w:val="TableParagraph"/>
              <w:spacing w:before="50"/>
              <w:ind w:right="269"/>
              <w:rPr>
                <w:sz w:val="20"/>
              </w:rPr>
            </w:pPr>
            <w:r>
              <w:rPr>
                <w:sz w:val="20"/>
              </w:rPr>
              <w:t>5.67</w:t>
            </w:r>
          </w:p>
        </w:tc>
        <w:tc>
          <w:tcPr>
            <w:tcW w:w="1421" w:type="dxa"/>
          </w:tcPr>
          <w:p w:rsidR="007C5447" w:rsidRDefault="00F6308C">
            <w:pPr>
              <w:pStyle w:val="TableParagraph"/>
              <w:spacing w:before="50"/>
              <w:ind w:right="270"/>
              <w:rPr>
                <w:sz w:val="20"/>
              </w:rPr>
            </w:pPr>
            <w:r>
              <w:rPr>
                <w:sz w:val="20"/>
              </w:rPr>
              <w:t>5.02</w:t>
            </w:r>
          </w:p>
        </w:tc>
      </w:tr>
      <w:tr w:rsidR="007C5447">
        <w:trPr>
          <w:trHeight w:val="489"/>
        </w:trPr>
        <w:tc>
          <w:tcPr>
            <w:tcW w:w="1983" w:type="dxa"/>
          </w:tcPr>
          <w:p w:rsidR="007C5447" w:rsidRDefault="00F6308C">
            <w:pPr>
              <w:pStyle w:val="TableParagraph"/>
              <w:spacing w:before="14" w:line="230" w:lineRule="atLeast"/>
              <w:ind w:left="107" w:right="773"/>
              <w:jc w:val="left"/>
              <w:rPr>
                <w:b/>
                <w:sz w:val="20"/>
              </w:rPr>
            </w:pPr>
            <w:r>
              <w:rPr>
                <w:b/>
                <w:sz w:val="20"/>
              </w:rPr>
              <w:t>Grand Total Generation</w:t>
            </w:r>
          </w:p>
        </w:tc>
        <w:tc>
          <w:tcPr>
            <w:tcW w:w="1099" w:type="dxa"/>
          </w:tcPr>
          <w:p w:rsidR="007C5447" w:rsidRDefault="00F6308C">
            <w:pPr>
              <w:pStyle w:val="TableParagraph"/>
              <w:spacing w:before="130"/>
              <w:ind w:right="273"/>
              <w:rPr>
                <w:b/>
                <w:sz w:val="20"/>
              </w:rPr>
            </w:pPr>
            <w:r>
              <w:rPr>
                <w:b/>
                <w:w w:val="95"/>
                <w:sz w:val="20"/>
              </w:rPr>
              <w:t>331.02</w:t>
            </w:r>
          </w:p>
        </w:tc>
        <w:tc>
          <w:tcPr>
            <w:tcW w:w="1373" w:type="dxa"/>
          </w:tcPr>
          <w:p w:rsidR="007C5447" w:rsidRDefault="00F6308C">
            <w:pPr>
              <w:pStyle w:val="TableParagraph"/>
              <w:spacing w:before="130"/>
              <w:ind w:left="534"/>
              <w:jc w:val="left"/>
              <w:rPr>
                <w:b/>
                <w:sz w:val="20"/>
              </w:rPr>
            </w:pPr>
            <w:r>
              <w:rPr>
                <w:b/>
                <w:sz w:val="20"/>
              </w:rPr>
              <w:t>353.84</w:t>
            </w:r>
          </w:p>
        </w:tc>
        <w:tc>
          <w:tcPr>
            <w:tcW w:w="1372" w:type="dxa"/>
          </w:tcPr>
          <w:p w:rsidR="007C5447" w:rsidRDefault="00F6308C">
            <w:pPr>
              <w:pStyle w:val="TableParagraph"/>
              <w:spacing w:before="130"/>
              <w:ind w:right="273"/>
              <w:rPr>
                <w:b/>
                <w:sz w:val="20"/>
              </w:rPr>
            </w:pPr>
            <w:r>
              <w:rPr>
                <w:b/>
                <w:w w:val="95"/>
                <w:sz w:val="20"/>
              </w:rPr>
              <w:t>388.71</w:t>
            </w:r>
          </w:p>
        </w:tc>
        <w:tc>
          <w:tcPr>
            <w:tcW w:w="1122" w:type="dxa"/>
          </w:tcPr>
          <w:p w:rsidR="007C5447" w:rsidRDefault="00F6308C">
            <w:pPr>
              <w:pStyle w:val="TableParagraph"/>
              <w:spacing w:before="130"/>
              <w:ind w:right="271"/>
              <w:rPr>
                <w:b/>
                <w:sz w:val="20"/>
              </w:rPr>
            </w:pPr>
            <w:r>
              <w:rPr>
                <w:b/>
                <w:w w:val="95"/>
                <w:sz w:val="20"/>
              </w:rPr>
              <w:t>376.94</w:t>
            </w:r>
          </w:p>
        </w:tc>
        <w:tc>
          <w:tcPr>
            <w:tcW w:w="1406" w:type="dxa"/>
          </w:tcPr>
          <w:p w:rsidR="007C5447" w:rsidRDefault="00F6308C">
            <w:pPr>
              <w:pStyle w:val="TableParagraph"/>
              <w:spacing w:before="130"/>
              <w:ind w:left="571"/>
              <w:jc w:val="left"/>
              <w:rPr>
                <w:b/>
                <w:sz w:val="20"/>
              </w:rPr>
            </w:pPr>
            <w:r>
              <w:rPr>
                <w:b/>
                <w:sz w:val="20"/>
              </w:rPr>
              <w:t>434.12</w:t>
            </w:r>
          </w:p>
        </w:tc>
        <w:tc>
          <w:tcPr>
            <w:tcW w:w="1425" w:type="dxa"/>
          </w:tcPr>
          <w:p w:rsidR="007C5447" w:rsidRDefault="00F6308C">
            <w:pPr>
              <w:pStyle w:val="TableParagraph"/>
              <w:spacing w:before="130"/>
              <w:ind w:right="271"/>
              <w:rPr>
                <w:b/>
                <w:sz w:val="20"/>
              </w:rPr>
            </w:pPr>
            <w:r>
              <w:rPr>
                <w:b/>
                <w:w w:val="95"/>
                <w:sz w:val="20"/>
              </w:rPr>
              <w:t>467.73</w:t>
            </w:r>
          </w:p>
        </w:tc>
        <w:tc>
          <w:tcPr>
            <w:tcW w:w="1438" w:type="dxa"/>
          </w:tcPr>
          <w:p w:rsidR="007C5447" w:rsidRDefault="00F6308C">
            <w:pPr>
              <w:pStyle w:val="TableParagraph"/>
              <w:spacing w:before="130"/>
              <w:ind w:right="272"/>
              <w:rPr>
                <w:b/>
                <w:sz w:val="20"/>
              </w:rPr>
            </w:pPr>
            <w:r>
              <w:rPr>
                <w:b/>
                <w:w w:val="95"/>
                <w:sz w:val="20"/>
              </w:rPr>
              <w:t>410.63</w:t>
            </w:r>
          </w:p>
        </w:tc>
        <w:tc>
          <w:tcPr>
            <w:tcW w:w="1421" w:type="dxa"/>
          </w:tcPr>
          <w:p w:rsidR="007C5447" w:rsidRDefault="00F6308C">
            <w:pPr>
              <w:pStyle w:val="TableParagraph"/>
              <w:spacing w:before="130"/>
              <w:ind w:right="269"/>
              <w:rPr>
                <w:b/>
                <w:sz w:val="20"/>
              </w:rPr>
            </w:pPr>
            <w:r>
              <w:rPr>
                <w:b/>
                <w:w w:val="95"/>
                <w:sz w:val="20"/>
              </w:rPr>
              <w:t>499.87</w:t>
            </w:r>
          </w:p>
        </w:tc>
        <w:tc>
          <w:tcPr>
            <w:tcW w:w="1421" w:type="dxa"/>
          </w:tcPr>
          <w:p w:rsidR="007C5447" w:rsidRDefault="00F6308C">
            <w:pPr>
              <w:pStyle w:val="TableParagraph"/>
              <w:spacing w:before="130"/>
              <w:ind w:right="269"/>
              <w:rPr>
                <w:b/>
                <w:sz w:val="20"/>
              </w:rPr>
            </w:pPr>
            <w:r>
              <w:rPr>
                <w:b/>
                <w:w w:val="95"/>
                <w:sz w:val="20"/>
              </w:rPr>
              <w:t>564.65</w:t>
            </w:r>
          </w:p>
        </w:tc>
      </w:tr>
      <w:tr w:rsidR="007C5447">
        <w:trPr>
          <w:trHeight w:val="330"/>
        </w:trPr>
        <w:tc>
          <w:tcPr>
            <w:tcW w:w="1983" w:type="dxa"/>
          </w:tcPr>
          <w:p w:rsidR="007C5447" w:rsidRDefault="00F6308C">
            <w:pPr>
              <w:pStyle w:val="TableParagraph"/>
              <w:spacing w:before="86" w:line="224" w:lineRule="exact"/>
              <w:ind w:left="107"/>
              <w:jc w:val="left"/>
              <w:rPr>
                <w:b/>
                <w:sz w:val="20"/>
              </w:rPr>
            </w:pPr>
            <w:r>
              <w:rPr>
                <w:b/>
                <w:sz w:val="20"/>
              </w:rPr>
              <w:t>Distribution</w:t>
            </w:r>
          </w:p>
        </w:tc>
        <w:tc>
          <w:tcPr>
            <w:tcW w:w="1099" w:type="dxa"/>
          </w:tcPr>
          <w:p w:rsidR="007C5447" w:rsidRDefault="00F6308C">
            <w:pPr>
              <w:pStyle w:val="TableParagraph"/>
              <w:spacing w:before="50"/>
              <w:ind w:right="272"/>
              <w:rPr>
                <w:b/>
                <w:sz w:val="20"/>
              </w:rPr>
            </w:pPr>
            <w:r>
              <w:rPr>
                <w:b/>
                <w:w w:val="99"/>
                <w:sz w:val="20"/>
              </w:rPr>
              <w:t>-</w:t>
            </w:r>
          </w:p>
        </w:tc>
        <w:tc>
          <w:tcPr>
            <w:tcW w:w="1373" w:type="dxa"/>
          </w:tcPr>
          <w:p w:rsidR="007C5447" w:rsidRDefault="00F6308C">
            <w:pPr>
              <w:pStyle w:val="TableParagraph"/>
              <w:spacing w:before="50"/>
              <w:ind w:right="274"/>
              <w:rPr>
                <w:b/>
                <w:sz w:val="20"/>
              </w:rPr>
            </w:pPr>
            <w:r>
              <w:rPr>
                <w:b/>
                <w:w w:val="99"/>
                <w:sz w:val="20"/>
              </w:rPr>
              <w:t>-</w:t>
            </w:r>
          </w:p>
        </w:tc>
        <w:tc>
          <w:tcPr>
            <w:tcW w:w="1372" w:type="dxa"/>
          </w:tcPr>
          <w:p w:rsidR="007C5447" w:rsidRDefault="00F6308C">
            <w:pPr>
              <w:pStyle w:val="TableParagraph"/>
              <w:spacing w:before="50"/>
              <w:ind w:right="271"/>
              <w:rPr>
                <w:sz w:val="20"/>
              </w:rPr>
            </w:pPr>
            <w:r>
              <w:rPr>
                <w:w w:val="99"/>
                <w:sz w:val="20"/>
              </w:rPr>
              <w:t>-</w:t>
            </w:r>
          </w:p>
        </w:tc>
        <w:tc>
          <w:tcPr>
            <w:tcW w:w="1122" w:type="dxa"/>
          </w:tcPr>
          <w:p w:rsidR="007C5447" w:rsidRDefault="00F6308C">
            <w:pPr>
              <w:pStyle w:val="TableParagraph"/>
              <w:spacing w:before="50"/>
              <w:ind w:right="267"/>
              <w:rPr>
                <w:sz w:val="20"/>
              </w:rPr>
            </w:pPr>
            <w:r>
              <w:rPr>
                <w:w w:val="99"/>
                <w:sz w:val="20"/>
              </w:rPr>
              <w:t>-</w:t>
            </w:r>
          </w:p>
        </w:tc>
        <w:tc>
          <w:tcPr>
            <w:tcW w:w="1406" w:type="dxa"/>
          </w:tcPr>
          <w:p w:rsidR="007C5447" w:rsidRDefault="00F6308C">
            <w:pPr>
              <w:pStyle w:val="TableParagraph"/>
              <w:spacing w:before="50"/>
              <w:ind w:right="269"/>
              <w:rPr>
                <w:sz w:val="20"/>
              </w:rPr>
            </w:pPr>
            <w:r>
              <w:rPr>
                <w:w w:val="99"/>
                <w:sz w:val="20"/>
              </w:rPr>
              <w:t>-</w:t>
            </w:r>
          </w:p>
        </w:tc>
        <w:tc>
          <w:tcPr>
            <w:tcW w:w="1425" w:type="dxa"/>
          </w:tcPr>
          <w:p w:rsidR="007C5447" w:rsidRDefault="00F6308C">
            <w:pPr>
              <w:pStyle w:val="TableParagraph"/>
              <w:spacing w:before="50"/>
              <w:ind w:right="268"/>
              <w:rPr>
                <w:sz w:val="20"/>
              </w:rPr>
            </w:pPr>
            <w:r>
              <w:rPr>
                <w:w w:val="99"/>
                <w:sz w:val="20"/>
              </w:rPr>
              <w:t>-</w:t>
            </w:r>
          </w:p>
        </w:tc>
        <w:tc>
          <w:tcPr>
            <w:tcW w:w="1438" w:type="dxa"/>
          </w:tcPr>
          <w:p w:rsidR="007C5447" w:rsidRDefault="00F6308C">
            <w:pPr>
              <w:pStyle w:val="TableParagraph"/>
              <w:spacing w:before="50"/>
              <w:ind w:right="271"/>
              <w:rPr>
                <w:sz w:val="20"/>
              </w:rPr>
            </w:pPr>
            <w:r>
              <w:rPr>
                <w:w w:val="99"/>
                <w:sz w:val="20"/>
              </w:rPr>
              <w:t>-</w:t>
            </w:r>
          </w:p>
        </w:tc>
        <w:tc>
          <w:tcPr>
            <w:tcW w:w="1421" w:type="dxa"/>
          </w:tcPr>
          <w:p w:rsidR="007C5447" w:rsidRDefault="00F6308C">
            <w:pPr>
              <w:pStyle w:val="TableParagraph"/>
              <w:spacing w:before="50"/>
              <w:ind w:right="268"/>
              <w:rPr>
                <w:sz w:val="20"/>
              </w:rPr>
            </w:pPr>
            <w:r>
              <w:rPr>
                <w:w w:val="99"/>
                <w:sz w:val="20"/>
              </w:rPr>
              <w:t>-</w:t>
            </w:r>
          </w:p>
        </w:tc>
        <w:tc>
          <w:tcPr>
            <w:tcW w:w="1421" w:type="dxa"/>
          </w:tcPr>
          <w:p w:rsidR="007C5447" w:rsidRDefault="00F6308C">
            <w:pPr>
              <w:pStyle w:val="TableParagraph"/>
              <w:spacing w:before="50"/>
              <w:ind w:right="268"/>
              <w:rPr>
                <w:sz w:val="20"/>
              </w:rPr>
            </w:pPr>
            <w:r>
              <w:rPr>
                <w:w w:val="99"/>
                <w:sz w:val="20"/>
              </w:rPr>
              <w:t>-</w:t>
            </w:r>
          </w:p>
        </w:tc>
      </w:tr>
      <w:tr w:rsidR="007C5447">
        <w:trPr>
          <w:trHeight w:val="489"/>
        </w:trPr>
        <w:tc>
          <w:tcPr>
            <w:tcW w:w="1983" w:type="dxa"/>
          </w:tcPr>
          <w:p w:rsidR="007C5447" w:rsidRDefault="00F6308C">
            <w:pPr>
              <w:pStyle w:val="TableParagraph"/>
              <w:spacing w:before="14" w:line="230" w:lineRule="atLeast"/>
              <w:ind w:left="107" w:right="715"/>
              <w:jc w:val="left"/>
              <w:rPr>
                <w:b/>
                <w:sz w:val="20"/>
              </w:rPr>
            </w:pPr>
            <w:r>
              <w:rPr>
                <w:b/>
                <w:sz w:val="20"/>
              </w:rPr>
              <w:t>Generation + Distribution</w:t>
            </w:r>
          </w:p>
        </w:tc>
        <w:tc>
          <w:tcPr>
            <w:tcW w:w="1099" w:type="dxa"/>
          </w:tcPr>
          <w:p w:rsidR="007C5447" w:rsidRDefault="00F6308C">
            <w:pPr>
              <w:pStyle w:val="TableParagraph"/>
              <w:spacing w:before="130"/>
              <w:ind w:right="273"/>
              <w:rPr>
                <w:b/>
                <w:sz w:val="20"/>
              </w:rPr>
            </w:pPr>
            <w:r>
              <w:rPr>
                <w:b/>
                <w:w w:val="95"/>
                <w:sz w:val="20"/>
              </w:rPr>
              <w:t>331.02</w:t>
            </w:r>
          </w:p>
        </w:tc>
        <w:tc>
          <w:tcPr>
            <w:tcW w:w="1373" w:type="dxa"/>
          </w:tcPr>
          <w:p w:rsidR="007C5447" w:rsidRDefault="00F6308C">
            <w:pPr>
              <w:pStyle w:val="TableParagraph"/>
              <w:spacing w:before="130"/>
              <w:ind w:left="534"/>
              <w:jc w:val="left"/>
              <w:rPr>
                <w:b/>
                <w:sz w:val="20"/>
              </w:rPr>
            </w:pPr>
            <w:r>
              <w:rPr>
                <w:b/>
                <w:sz w:val="20"/>
              </w:rPr>
              <w:t>353.84</w:t>
            </w:r>
          </w:p>
        </w:tc>
        <w:tc>
          <w:tcPr>
            <w:tcW w:w="1372" w:type="dxa"/>
          </w:tcPr>
          <w:p w:rsidR="007C5447" w:rsidRDefault="00F6308C">
            <w:pPr>
              <w:pStyle w:val="TableParagraph"/>
              <w:spacing w:before="130"/>
              <w:ind w:right="273"/>
              <w:rPr>
                <w:b/>
                <w:sz w:val="20"/>
              </w:rPr>
            </w:pPr>
            <w:r>
              <w:rPr>
                <w:b/>
                <w:w w:val="95"/>
                <w:sz w:val="20"/>
              </w:rPr>
              <w:t>388.71</w:t>
            </w:r>
          </w:p>
        </w:tc>
        <w:tc>
          <w:tcPr>
            <w:tcW w:w="1122" w:type="dxa"/>
          </w:tcPr>
          <w:p w:rsidR="007C5447" w:rsidRDefault="00F6308C">
            <w:pPr>
              <w:pStyle w:val="TableParagraph"/>
              <w:spacing w:before="130"/>
              <w:ind w:right="271"/>
              <w:rPr>
                <w:b/>
                <w:sz w:val="20"/>
              </w:rPr>
            </w:pPr>
            <w:r>
              <w:rPr>
                <w:b/>
                <w:w w:val="95"/>
                <w:sz w:val="20"/>
              </w:rPr>
              <w:t>376.94</w:t>
            </w:r>
          </w:p>
        </w:tc>
        <w:tc>
          <w:tcPr>
            <w:tcW w:w="1406" w:type="dxa"/>
          </w:tcPr>
          <w:p w:rsidR="007C5447" w:rsidRDefault="00F6308C">
            <w:pPr>
              <w:pStyle w:val="TableParagraph"/>
              <w:spacing w:before="130"/>
              <w:ind w:left="571"/>
              <w:jc w:val="left"/>
              <w:rPr>
                <w:b/>
                <w:sz w:val="20"/>
              </w:rPr>
            </w:pPr>
            <w:r>
              <w:rPr>
                <w:b/>
                <w:sz w:val="20"/>
              </w:rPr>
              <w:t>434.12</w:t>
            </w:r>
          </w:p>
        </w:tc>
        <w:tc>
          <w:tcPr>
            <w:tcW w:w="1425" w:type="dxa"/>
          </w:tcPr>
          <w:p w:rsidR="007C5447" w:rsidRDefault="00F6308C">
            <w:pPr>
              <w:pStyle w:val="TableParagraph"/>
              <w:spacing w:before="130"/>
              <w:ind w:right="271"/>
              <w:rPr>
                <w:b/>
                <w:sz w:val="20"/>
              </w:rPr>
            </w:pPr>
            <w:r>
              <w:rPr>
                <w:b/>
                <w:w w:val="95"/>
                <w:sz w:val="20"/>
              </w:rPr>
              <w:t>467.73</w:t>
            </w:r>
          </w:p>
        </w:tc>
        <w:tc>
          <w:tcPr>
            <w:tcW w:w="1438" w:type="dxa"/>
          </w:tcPr>
          <w:p w:rsidR="007C5447" w:rsidRDefault="00F6308C">
            <w:pPr>
              <w:pStyle w:val="TableParagraph"/>
              <w:spacing w:before="130"/>
              <w:ind w:right="272"/>
              <w:rPr>
                <w:b/>
                <w:sz w:val="20"/>
              </w:rPr>
            </w:pPr>
            <w:r>
              <w:rPr>
                <w:b/>
                <w:w w:val="95"/>
                <w:sz w:val="20"/>
              </w:rPr>
              <w:t>410.63</w:t>
            </w:r>
          </w:p>
        </w:tc>
        <w:tc>
          <w:tcPr>
            <w:tcW w:w="1421" w:type="dxa"/>
          </w:tcPr>
          <w:p w:rsidR="007C5447" w:rsidRDefault="00F6308C">
            <w:pPr>
              <w:pStyle w:val="TableParagraph"/>
              <w:spacing w:before="130"/>
              <w:ind w:right="269"/>
              <w:rPr>
                <w:b/>
                <w:sz w:val="20"/>
              </w:rPr>
            </w:pPr>
            <w:r>
              <w:rPr>
                <w:b/>
                <w:w w:val="95"/>
                <w:sz w:val="20"/>
              </w:rPr>
              <w:t>499.87</w:t>
            </w:r>
          </w:p>
        </w:tc>
        <w:tc>
          <w:tcPr>
            <w:tcW w:w="1421" w:type="dxa"/>
          </w:tcPr>
          <w:p w:rsidR="007C5447" w:rsidRDefault="00F6308C">
            <w:pPr>
              <w:pStyle w:val="TableParagraph"/>
              <w:spacing w:before="130"/>
              <w:ind w:right="267"/>
              <w:rPr>
                <w:b/>
                <w:sz w:val="20"/>
              </w:rPr>
            </w:pPr>
            <w:r>
              <w:rPr>
                <w:b/>
                <w:w w:val="95"/>
                <w:sz w:val="20"/>
              </w:rPr>
              <w:t>564.65</w:t>
            </w:r>
          </w:p>
        </w:tc>
      </w:tr>
    </w:tbl>
    <w:p w:rsidR="007C5447" w:rsidRDefault="007C5447">
      <w:pPr>
        <w:rPr>
          <w:sz w:val="20"/>
        </w:rPr>
        <w:sectPr w:rsidR="007C5447">
          <w:footerReference w:type="default" r:id="rId22"/>
          <w:pgSz w:w="16840" w:h="11910" w:orient="landscape"/>
          <w:pgMar w:top="1100" w:right="920" w:bottom="1240" w:left="1340" w:header="0" w:footer="1057" w:gutter="0"/>
          <w:pgNumType w:start="115"/>
          <w:cols w:space="720"/>
        </w:sectPr>
      </w:pPr>
    </w:p>
    <w:p w:rsidR="007C5447" w:rsidRDefault="007C5447">
      <w:pPr>
        <w:pStyle w:val="BodyText"/>
        <w:spacing w:before="2"/>
        <w:rPr>
          <w:b/>
          <w:sz w:val="21"/>
        </w:rPr>
      </w:pPr>
    </w:p>
    <w:p w:rsidR="007C5447" w:rsidRDefault="00F6308C">
      <w:pPr>
        <w:spacing w:before="91"/>
        <w:ind w:left="1439"/>
        <w:rPr>
          <w:b/>
        </w:rPr>
      </w:pPr>
      <w:r>
        <w:rPr>
          <w:b/>
        </w:rPr>
        <w:t>Table 3-27: Interest on Working Capital approved by the Commission after true-up for FY 2014-15 and FY 2015-16 (Rs. Crore)</w:t>
      </w:r>
    </w:p>
    <w:p w:rsidR="007C5447" w:rsidRDefault="007C5447">
      <w:pPr>
        <w:pStyle w:val="BodyText"/>
        <w:spacing w:before="11"/>
        <w:rPr>
          <w:b/>
          <w:sz w:val="16"/>
        </w:rPr>
      </w:pPr>
    </w:p>
    <w:tbl>
      <w:tblPr>
        <w:tblW w:w="0" w:type="auto"/>
        <w:tblInd w:w="9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22"/>
        <w:gridCol w:w="1435"/>
        <w:gridCol w:w="1790"/>
        <w:gridCol w:w="1790"/>
        <w:gridCol w:w="1466"/>
        <w:gridCol w:w="1834"/>
        <w:gridCol w:w="1860"/>
      </w:tblGrid>
      <w:tr w:rsidR="007C5447">
        <w:trPr>
          <w:trHeight w:val="410"/>
        </w:trPr>
        <w:tc>
          <w:tcPr>
            <w:tcW w:w="3322" w:type="dxa"/>
            <w:vMerge w:val="restart"/>
            <w:shd w:val="clear" w:color="auto" w:fill="F7C9AC"/>
          </w:tcPr>
          <w:p w:rsidR="007C5447" w:rsidRDefault="007C5447">
            <w:pPr>
              <w:pStyle w:val="TableParagraph"/>
              <w:spacing w:before="5"/>
              <w:jc w:val="left"/>
              <w:rPr>
                <w:b/>
                <w:sz w:val="29"/>
              </w:rPr>
            </w:pPr>
          </w:p>
          <w:p w:rsidR="007C5447" w:rsidRDefault="00F6308C">
            <w:pPr>
              <w:pStyle w:val="TableParagraph"/>
              <w:ind w:left="107"/>
              <w:jc w:val="left"/>
              <w:rPr>
                <w:b/>
                <w:sz w:val="20"/>
              </w:rPr>
            </w:pPr>
            <w:r>
              <w:rPr>
                <w:b/>
                <w:sz w:val="20"/>
              </w:rPr>
              <w:t>Particulars</w:t>
            </w:r>
          </w:p>
        </w:tc>
        <w:tc>
          <w:tcPr>
            <w:tcW w:w="5015" w:type="dxa"/>
            <w:gridSpan w:val="3"/>
            <w:shd w:val="clear" w:color="auto" w:fill="FBD4B4"/>
          </w:tcPr>
          <w:p w:rsidR="007C5447" w:rsidRDefault="00F6308C">
            <w:pPr>
              <w:pStyle w:val="TableParagraph"/>
              <w:spacing w:before="89"/>
              <w:ind w:left="1997" w:right="1984"/>
              <w:jc w:val="center"/>
              <w:rPr>
                <w:b/>
                <w:sz w:val="20"/>
              </w:rPr>
            </w:pPr>
            <w:r>
              <w:rPr>
                <w:b/>
                <w:sz w:val="20"/>
              </w:rPr>
              <w:t>FY 2014-15</w:t>
            </w:r>
          </w:p>
        </w:tc>
        <w:tc>
          <w:tcPr>
            <w:tcW w:w="5160" w:type="dxa"/>
            <w:gridSpan w:val="3"/>
            <w:shd w:val="clear" w:color="auto" w:fill="FBD4B4"/>
          </w:tcPr>
          <w:p w:rsidR="007C5447" w:rsidRDefault="00F6308C">
            <w:pPr>
              <w:pStyle w:val="TableParagraph"/>
              <w:spacing w:before="89"/>
              <w:ind w:left="2071" w:right="2055"/>
              <w:jc w:val="center"/>
              <w:rPr>
                <w:b/>
                <w:sz w:val="20"/>
              </w:rPr>
            </w:pPr>
            <w:r>
              <w:rPr>
                <w:b/>
                <w:sz w:val="20"/>
              </w:rPr>
              <w:t>FY 2015-16</w:t>
            </w:r>
          </w:p>
        </w:tc>
      </w:tr>
      <w:tr w:rsidR="007C5447">
        <w:trPr>
          <w:trHeight w:val="489"/>
        </w:trPr>
        <w:tc>
          <w:tcPr>
            <w:tcW w:w="3322" w:type="dxa"/>
            <w:vMerge/>
            <w:tcBorders>
              <w:top w:val="nil"/>
            </w:tcBorders>
            <w:shd w:val="clear" w:color="auto" w:fill="F7C9AC"/>
          </w:tcPr>
          <w:p w:rsidR="007C5447" w:rsidRDefault="007C5447">
            <w:pPr>
              <w:rPr>
                <w:sz w:val="2"/>
                <w:szCs w:val="2"/>
              </w:rPr>
            </w:pPr>
          </w:p>
        </w:tc>
        <w:tc>
          <w:tcPr>
            <w:tcW w:w="1435" w:type="dxa"/>
            <w:shd w:val="clear" w:color="auto" w:fill="FBD4B4"/>
          </w:tcPr>
          <w:p w:rsidR="007C5447" w:rsidRDefault="00F6308C">
            <w:pPr>
              <w:pStyle w:val="TableParagraph"/>
              <w:spacing w:before="130"/>
              <w:ind w:right="197"/>
              <w:rPr>
                <w:b/>
                <w:sz w:val="20"/>
              </w:rPr>
            </w:pPr>
            <w:r>
              <w:rPr>
                <w:b/>
                <w:sz w:val="20"/>
              </w:rPr>
              <w:t>SMT Order</w:t>
            </w:r>
          </w:p>
        </w:tc>
        <w:tc>
          <w:tcPr>
            <w:tcW w:w="1790" w:type="dxa"/>
            <w:shd w:val="clear" w:color="auto" w:fill="FBD4B4"/>
          </w:tcPr>
          <w:p w:rsidR="007C5447" w:rsidRDefault="00F6308C">
            <w:pPr>
              <w:pStyle w:val="TableParagraph"/>
              <w:spacing w:before="130"/>
              <w:ind w:right="308"/>
              <w:rPr>
                <w:b/>
                <w:sz w:val="20"/>
              </w:rPr>
            </w:pPr>
            <w:r>
              <w:rPr>
                <w:b/>
                <w:w w:val="95"/>
                <w:sz w:val="20"/>
              </w:rPr>
              <w:t>TANGEDCO</w:t>
            </w:r>
          </w:p>
        </w:tc>
        <w:tc>
          <w:tcPr>
            <w:tcW w:w="1790" w:type="dxa"/>
            <w:shd w:val="clear" w:color="auto" w:fill="FBD4B4"/>
          </w:tcPr>
          <w:p w:rsidR="007C5447" w:rsidRDefault="00F6308C">
            <w:pPr>
              <w:pStyle w:val="TableParagraph"/>
              <w:spacing w:before="14" w:line="230" w:lineRule="atLeast"/>
              <w:ind w:left="581" w:right="208" w:hanging="346"/>
              <w:jc w:val="left"/>
              <w:rPr>
                <w:b/>
                <w:sz w:val="20"/>
              </w:rPr>
            </w:pPr>
            <w:r>
              <w:rPr>
                <w:b/>
                <w:sz w:val="20"/>
              </w:rPr>
              <w:t>Approved after true up</w:t>
            </w:r>
          </w:p>
        </w:tc>
        <w:tc>
          <w:tcPr>
            <w:tcW w:w="1466" w:type="dxa"/>
            <w:shd w:val="clear" w:color="auto" w:fill="FBD4B4"/>
          </w:tcPr>
          <w:p w:rsidR="007C5447" w:rsidRDefault="00F6308C">
            <w:pPr>
              <w:pStyle w:val="TableParagraph"/>
              <w:spacing w:before="130"/>
              <w:ind w:left="363"/>
              <w:jc w:val="left"/>
              <w:rPr>
                <w:b/>
                <w:sz w:val="20"/>
              </w:rPr>
            </w:pPr>
            <w:r>
              <w:rPr>
                <w:b/>
                <w:sz w:val="20"/>
              </w:rPr>
              <w:t>TO 2013</w:t>
            </w:r>
          </w:p>
        </w:tc>
        <w:tc>
          <w:tcPr>
            <w:tcW w:w="1834" w:type="dxa"/>
            <w:shd w:val="clear" w:color="auto" w:fill="FBD4B4"/>
          </w:tcPr>
          <w:p w:rsidR="007C5447" w:rsidRDefault="00F6308C">
            <w:pPr>
              <w:pStyle w:val="TableParagraph"/>
              <w:spacing w:before="130"/>
              <w:ind w:left="340"/>
              <w:jc w:val="left"/>
              <w:rPr>
                <w:b/>
                <w:sz w:val="20"/>
              </w:rPr>
            </w:pPr>
            <w:r>
              <w:rPr>
                <w:b/>
                <w:sz w:val="20"/>
              </w:rPr>
              <w:t>TANGEDCO</w:t>
            </w:r>
          </w:p>
        </w:tc>
        <w:tc>
          <w:tcPr>
            <w:tcW w:w="1860" w:type="dxa"/>
            <w:shd w:val="clear" w:color="auto" w:fill="FBD4B4"/>
          </w:tcPr>
          <w:p w:rsidR="007C5447" w:rsidRDefault="00F6308C">
            <w:pPr>
              <w:pStyle w:val="TableParagraph"/>
              <w:spacing w:before="14" w:line="230" w:lineRule="atLeast"/>
              <w:ind w:left="616" w:right="241" w:hanging="344"/>
              <w:jc w:val="left"/>
              <w:rPr>
                <w:b/>
                <w:sz w:val="20"/>
              </w:rPr>
            </w:pPr>
            <w:r>
              <w:rPr>
                <w:b/>
                <w:sz w:val="20"/>
              </w:rPr>
              <w:t>Approved after true up</w:t>
            </w:r>
          </w:p>
        </w:tc>
      </w:tr>
      <w:tr w:rsidR="007C5447">
        <w:trPr>
          <w:trHeight w:val="261"/>
        </w:trPr>
        <w:tc>
          <w:tcPr>
            <w:tcW w:w="3322" w:type="dxa"/>
          </w:tcPr>
          <w:p w:rsidR="007C5447" w:rsidRDefault="00F6308C">
            <w:pPr>
              <w:pStyle w:val="TableParagraph"/>
              <w:spacing w:before="17" w:line="224" w:lineRule="exact"/>
              <w:ind w:left="107"/>
              <w:jc w:val="left"/>
              <w:rPr>
                <w:sz w:val="20"/>
              </w:rPr>
            </w:pPr>
            <w:r>
              <w:rPr>
                <w:sz w:val="20"/>
              </w:rPr>
              <w:t>Ennore TPS</w:t>
            </w:r>
          </w:p>
        </w:tc>
        <w:tc>
          <w:tcPr>
            <w:tcW w:w="1435" w:type="dxa"/>
          </w:tcPr>
          <w:p w:rsidR="007C5447" w:rsidRDefault="00F6308C">
            <w:pPr>
              <w:pStyle w:val="TableParagraph"/>
              <w:spacing w:before="17" w:line="224" w:lineRule="exact"/>
              <w:ind w:right="272"/>
              <w:rPr>
                <w:sz w:val="20"/>
              </w:rPr>
            </w:pPr>
            <w:r>
              <w:rPr>
                <w:sz w:val="20"/>
              </w:rPr>
              <w:t>22.80</w:t>
            </w:r>
          </w:p>
        </w:tc>
        <w:tc>
          <w:tcPr>
            <w:tcW w:w="1790" w:type="dxa"/>
          </w:tcPr>
          <w:p w:rsidR="007C5447" w:rsidRDefault="00F6308C">
            <w:pPr>
              <w:pStyle w:val="TableParagraph"/>
              <w:spacing w:before="17" w:line="224" w:lineRule="exact"/>
              <w:ind w:right="274"/>
              <w:rPr>
                <w:sz w:val="20"/>
              </w:rPr>
            </w:pPr>
            <w:r>
              <w:rPr>
                <w:w w:val="95"/>
                <w:sz w:val="20"/>
              </w:rPr>
              <w:t>25.81</w:t>
            </w:r>
          </w:p>
        </w:tc>
        <w:tc>
          <w:tcPr>
            <w:tcW w:w="1790" w:type="dxa"/>
          </w:tcPr>
          <w:p w:rsidR="007C5447" w:rsidRDefault="00F6308C">
            <w:pPr>
              <w:pStyle w:val="TableParagraph"/>
              <w:spacing w:before="17" w:line="224" w:lineRule="exact"/>
              <w:ind w:right="274"/>
              <w:rPr>
                <w:sz w:val="20"/>
              </w:rPr>
            </w:pPr>
            <w:r>
              <w:rPr>
                <w:w w:val="95"/>
                <w:sz w:val="20"/>
              </w:rPr>
              <w:t>32.95</w:t>
            </w:r>
          </w:p>
        </w:tc>
        <w:tc>
          <w:tcPr>
            <w:tcW w:w="1466" w:type="dxa"/>
          </w:tcPr>
          <w:p w:rsidR="007C5447" w:rsidRDefault="00F6308C">
            <w:pPr>
              <w:pStyle w:val="TableParagraph"/>
              <w:spacing w:before="17" w:line="224" w:lineRule="exact"/>
              <w:ind w:right="271"/>
              <w:rPr>
                <w:sz w:val="20"/>
              </w:rPr>
            </w:pPr>
            <w:r>
              <w:rPr>
                <w:w w:val="95"/>
                <w:sz w:val="20"/>
              </w:rPr>
              <w:t>22.10</w:t>
            </w:r>
          </w:p>
        </w:tc>
        <w:tc>
          <w:tcPr>
            <w:tcW w:w="1834" w:type="dxa"/>
          </w:tcPr>
          <w:p w:rsidR="007C5447" w:rsidRDefault="00F6308C">
            <w:pPr>
              <w:pStyle w:val="TableParagraph"/>
              <w:spacing w:before="17" w:line="224" w:lineRule="exact"/>
              <w:ind w:right="273"/>
              <w:rPr>
                <w:sz w:val="20"/>
              </w:rPr>
            </w:pPr>
            <w:r>
              <w:rPr>
                <w:w w:val="95"/>
                <w:sz w:val="20"/>
              </w:rPr>
              <w:t>28.17</w:t>
            </w:r>
          </w:p>
        </w:tc>
        <w:tc>
          <w:tcPr>
            <w:tcW w:w="1860" w:type="dxa"/>
          </w:tcPr>
          <w:p w:rsidR="007C5447" w:rsidRDefault="00F6308C">
            <w:pPr>
              <w:pStyle w:val="TableParagraph"/>
              <w:spacing w:before="17" w:line="224" w:lineRule="exact"/>
              <w:ind w:right="270"/>
              <w:rPr>
                <w:sz w:val="20"/>
              </w:rPr>
            </w:pPr>
            <w:r>
              <w:rPr>
                <w:w w:val="95"/>
                <w:sz w:val="20"/>
              </w:rPr>
              <w:t>39.42</w:t>
            </w:r>
          </w:p>
        </w:tc>
      </w:tr>
      <w:tr w:rsidR="007C5447">
        <w:trPr>
          <w:trHeight w:val="263"/>
        </w:trPr>
        <w:tc>
          <w:tcPr>
            <w:tcW w:w="3322" w:type="dxa"/>
          </w:tcPr>
          <w:p w:rsidR="007C5447" w:rsidRDefault="00F6308C">
            <w:pPr>
              <w:pStyle w:val="TableParagraph"/>
              <w:spacing w:before="17" w:line="227" w:lineRule="exact"/>
              <w:ind w:left="107"/>
              <w:jc w:val="left"/>
              <w:rPr>
                <w:sz w:val="20"/>
              </w:rPr>
            </w:pPr>
            <w:r>
              <w:rPr>
                <w:sz w:val="20"/>
              </w:rPr>
              <w:t>Tuticorin TPS</w:t>
            </w:r>
          </w:p>
        </w:tc>
        <w:tc>
          <w:tcPr>
            <w:tcW w:w="1435" w:type="dxa"/>
          </w:tcPr>
          <w:p w:rsidR="007C5447" w:rsidRDefault="00F6308C">
            <w:pPr>
              <w:pStyle w:val="TableParagraph"/>
              <w:spacing w:before="17" w:line="227" w:lineRule="exact"/>
              <w:ind w:right="273"/>
              <w:rPr>
                <w:sz w:val="20"/>
              </w:rPr>
            </w:pPr>
            <w:r>
              <w:rPr>
                <w:w w:val="95"/>
                <w:sz w:val="20"/>
              </w:rPr>
              <w:t>128.27</w:t>
            </w:r>
          </w:p>
        </w:tc>
        <w:tc>
          <w:tcPr>
            <w:tcW w:w="1790" w:type="dxa"/>
          </w:tcPr>
          <w:p w:rsidR="007C5447" w:rsidRDefault="00F6308C">
            <w:pPr>
              <w:pStyle w:val="TableParagraph"/>
              <w:spacing w:before="17" w:line="227" w:lineRule="exact"/>
              <w:ind w:right="275"/>
              <w:rPr>
                <w:sz w:val="20"/>
              </w:rPr>
            </w:pPr>
            <w:r>
              <w:rPr>
                <w:w w:val="95"/>
                <w:sz w:val="20"/>
              </w:rPr>
              <w:t>136.98</w:t>
            </w:r>
          </w:p>
        </w:tc>
        <w:tc>
          <w:tcPr>
            <w:tcW w:w="1790" w:type="dxa"/>
          </w:tcPr>
          <w:p w:rsidR="007C5447" w:rsidRDefault="00F6308C">
            <w:pPr>
              <w:pStyle w:val="TableParagraph"/>
              <w:spacing w:before="17" w:line="227" w:lineRule="exact"/>
              <w:ind w:right="274"/>
              <w:rPr>
                <w:sz w:val="20"/>
              </w:rPr>
            </w:pPr>
            <w:r>
              <w:rPr>
                <w:w w:val="95"/>
                <w:sz w:val="20"/>
              </w:rPr>
              <w:t>174.86</w:t>
            </w:r>
          </w:p>
        </w:tc>
        <w:tc>
          <w:tcPr>
            <w:tcW w:w="1466" w:type="dxa"/>
          </w:tcPr>
          <w:p w:rsidR="007C5447" w:rsidRDefault="00F6308C">
            <w:pPr>
              <w:pStyle w:val="TableParagraph"/>
              <w:spacing w:before="17" w:line="227" w:lineRule="exact"/>
              <w:ind w:right="271"/>
              <w:rPr>
                <w:sz w:val="20"/>
              </w:rPr>
            </w:pPr>
            <w:r>
              <w:rPr>
                <w:w w:val="95"/>
                <w:sz w:val="20"/>
              </w:rPr>
              <w:t>122.52</w:t>
            </w:r>
          </w:p>
        </w:tc>
        <w:tc>
          <w:tcPr>
            <w:tcW w:w="1834" w:type="dxa"/>
          </w:tcPr>
          <w:p w:rsidR="007C5447" w:rsidRDefault="00F6308C">
            <w:pPr>
              <w:pStyle w:val="TableParagraph"/>
              <w:spacing w:before="17" w:line="227" w:lineRule="exact"/>
              <w:ind w:right="273"/>
              <w:rPr>
                <w:sz w:val="20"/>
              </w:rPr>
            </w:pPr>
            <w:r>
              <w:rPr>
                <w:w w:val="95"/>
                <w:sz w:val="20"/>
              </w:rPr>
              <w:t>122.95</w:t>
            </w:r>
          </w:p>
        </w:tc>
        <w:tc>
          <w:tcPr>
            <w:tcW w:w="1860" w:type="dxa"/>
          </w:tcPr>
          <w:p w:rsidR="007C5447" w:rsidRDefault="00F6308C">
            <w:pPr>
              <w:pStyle w:val="TableParagraph"/>
              <w:spacing w:before="17" w:line="227" w:lineRule="exact"/>
              <w:ind w:right="271"/>
              <w:rPr>
                <w:sz w:val="20"/>
              </w:rPr>
            </w:pPr>
            <w:r>
              <w:rPr>
                <w:w w:val="95"/>
                <w:sz w:val="20"/>
              </w:rPr>
              <w:t>172.07</w:t>
            </w:r>
          </w:p>
        </w:tc>
      </w:tr>
      <w:tr w:rsidR="007C5447">
        <w:trPr>
          <w:trHeight w:val="261"/>
        </w:trPr>
        <w:tc>
          <w:tcPr>
            <w:tcW w:w="3322" w:type="dxa"/>
          </w:tcPr>
          <w:p w:rsidR="007C5447" w:rsidRDefault="00F6308C">
            <w:pPr>
              <w:pStyle w:val="TableParagraph"/>
              <w:spacing w:before="14" w:line="227" w:lineRule="exact"/>
              <w:ind w:left="107"/>
              <w:jc w:val="left"/>
              <w:rPr>
                <w:sz w:val="20"/>
              </w:rPr>
            </w:pPr>
            <w:r>
              <w:rPr>
                <w:sz w:val="20"/>
              </w:rPr>
              <w:t>Mettur TPS</w:t>
            </w:r>
          </w:p>
        </w:tc>
        <w:tc>
          <w:tcPr>
            <w:tcW w:w="1435" w:type="dxa"/>
          </w:tcPr>
          <w:p w:rsidR="007C5447" w:rsidRDefault="00F6308C">
            <w:pPr>
              <w:pStyle w:val="TableParagraph"/>
              <w:spacing w:before="14" w:line="227" w:lineRule="exact"/>
              <w:ind w:right="273"/>
              <w:rPr>
                <w:sz w:val="20"/>
              </w:rPr>
            </w:pPr>
            <w:r>
              <w:rPr>
                <w:w w:val="95"/>
                <w:sz w:val="20"/>
              </w:rPr>
              <w:t>101.67</w:t>
            </w:r>
          </w:p>
        </w:tc>
        <w:tc>
          <w:tcPr>
            <w:tcW w:w="1790" w:type="dxa"/>
          </w:tcPr>
          <w:p w:rsidR="007C5447" w:rsidRDefault="00F6308C">
            <w:pPr>
              <w:pStyle w:val="TableParagraph"/>
              <w:spacing w:before="14" w:line="227" w:lineRule="exact"/>
              <w:ind w:right="275"/>
              <w:rPr>
                <w:sz w:val="20"/>
              </w:rPr>
            </w:pPr>
            <w:r>
              <w:rPr>
                <w:w w:val="95"/>
                <w:sz w:val="20"/>
              </w:rPr>
              <w:t>122.73</w:t>
            </w:r>
          </w:p>
        </w:tc>
        <w:tc>
          <w:tcPr>
            <w:tcW w:w="1790" w:type="dxa"/>
          </w:tcPr>
          <w:p w:rsidR="007C5447" w:rsidRDefault="00F6308C">
            <w:pPr>
              <w:pStyle w:val="TableParagraph"/>
              <w:spacing w:before="14" w:line="227" w:lineRule="exact"/>
              <w:ind w:right="274"/>
              <w:rPr>
                <w:sz w:val="20"/>
              </w:rPr>
            </w:pPr>
            <w:r>
              <w:rPr>
                <w:w w:val="95"/>
                <w:sz w:val="20"/>
              </w:rPr>
              <w:t>156.67</w:t>
            </w:r>
          </w:p>
        </w:tc>
        <w:tc>
          <w:tcPr>
            <w:tcW w:w="1466" w:type="dxa"/>
          </w:tcPr>
          <w:p w:rsidR="007C5447" w:rsidRDefault="00F6308C">
            <w:pPr>
              <w:pStyle w:val="TableParagraph"/>
              <w:spacing w:before="14" w:line="227" w:lineRule="exact"/>
              <w:ind w:right="271"/>
              <w:rPr>
                <w:sz w:val="20"/>
              </w:rPr>
            </w:pPr>
            <w:r>
              <w:rPr>
                <w:w w:val="95"/>
                <w:sz w:val="20"/>
              </w:rPr>
              <w:t>101.53</w:t>
            </w:r>
          </w:p>
        </w:tc>
        <w:tc>
          <w:tcPr>
            <w:tcW w:w="1834" w:type="dxa"/>
          </w:tcPr>
          <w:p w:rsidR="007C5447" w:rsidRDefault="00F6308C">
            <w:pPr>
              <w:pStyle w:val="TableParagraph"/>
              <w:spacing w:before="14" w:line="227" w:lineRule="exact"/>
              <w:ind w:right="273"/>
              <w:rPr>
                <w:sz w:val="20"/>
              </w:rPr>
            </w:pPr>
            <w:r>
              <w:rPr>
                <w:w w:val="95"/>
                <w:sz w:val="20"/>
              </w:rPr>
              <w:t>98.01</w:t>
            </w:r>
          </w:p>
        </w:tc>
        <w:tc>
          <w:tcPr>
            <w:tcW w:w="1860" w:type="dxa"/>
          </w:tcPr>
          <w:p w:rsidR="007C5447" w:rsidRDefault="00F6308C">
            <w:pPr>
              <w:pStyle w:val="TableParagraph"/>
              <w:spacing w:before="14" w:line="227" w:lineRule="exact"/>
              <w:ind w:right="269"/>
              <w:rPr>
                <w:sz w:val="20"/>
              </w:rPr>
            </w:pPr>
            <w:r>
              <w:rPr>
                <w:sz w:val="20"/>
              </w:rPr>
              <w:t>137.16</w:t>
            </w:r>
          </w:p>
        </w:tc>
      </w:tr>
      <w:tr w:rsidR="007C5447">
        <w:trPr>
          <w:trHeight w:val="261"/>
        </w:trPr>
        <w:tc>
          <w:tcPr>
            <w:tcW w:w="3322" w:type="dxa"/>
          </w:tcPr>
          <w:p w:rsidR="007C5447" w:rsidRDefault="00F6308C">
            <w:pPr>
              <w:pStyle w:val="TableParagraph"/>
              <w:spacing w:before="17" w:line="224" w:lineRule="exact"/>
              <w:ind w:left="107"/>
              <w:jc w:val="left"/>
              <w:rPr>
                <w:sz w:val="20"/>
              </w:rPr>
            </w:pPr>
            <w:r>
              <w:rPr>
                <w:sz w:val="20"/>
              </w:rPr>
              <w:t>North Chennai TPS</w:t>
            </w:r>
          </w:p>
        </w:tc>
        <w:tc>
          <w:tcPr>
            <w:tcW w:w="1435" w:type="dxa"/>
          </w:tcPr>
          <w:p w:rsidR="007C5447" w:rsidRDefault="00F6308C">
            <w:pPr>
              <w:pStyle w:val="TableParagraph"/>
              <w:spacing w:before="17" w:line="224" w:lineRule="exact"/>
              <w:ind w:right="272"/>
              <w:rPr>
                <w:sz w:val="20"/>
              </w:rPr>
            </w:pPr>
            <w:r>
              <w:rPr>
                <w:sz w:val="20"/>
              </w:rPr>
              <w:t>71.90</w:t>
            </w:r>
          </w:p>
        </w:tc>
        <w:tc>
          <w:tcPr>
            <w:tcW w:w="1790" w:type="dxa"/>
          </w:tcPr>
          <w:p w:rsidR="007C5447" w:rsidRDefault="00F6308C">
            <w:pPr>
              <w:pStyle w:val="TableParagraph"/>
              <w:spacing w:before="17" w:line="224" w:lineRule="exact"/>
              <w:ind w:right="274"/>
              <w:rPr>
                <w:sz w:val="20"/>
              </w:rPr>
            </w:pPr>
            <w:r>
              <w:rPr>
                <w:w w:val="95"/>
                <w:sz w:val="20"/>
              </w:rPr>
              <w:t>82.88</w:t>
            </w:r>
          </w:p>
        </w:tc>
        <w:tc>
          <w:tcPr>
            <w:tcW w:w="1790" w:type="dxa"/>
          </w:tcPr>
          <w:p w:rsidR="007C5447" w:rsidRDefault="00F6308C">
            <w:pPr>
              <w:pStyle w:val="TableParagraph"/>
              <w:spacing w:before="17" w:line="224" w:lineRule="exact"/>
              <w:ind w:right="274"/>
              <w:rPr>
                <w:sz w:val="20"/>
              </w:rPr>
            </w:pPr>
            <w:r>
              <w:rPr>
                <w:w w:val="95"/>
                <w:sz w:val="20"/>
              </w:rPr>
              <w:t>105.80</w:t>
            </w:r>
          </w:p>
        </w:tc>
        <w:tc>
          <w:tcPr>
            <w:tcW w:w="1466" w:type="dxa"/>
          </w:tcPr>
          <w:p w:rsidR="007C5447" w:rsidRDefault="00F6308C">
            <w:pPr>
              <w:pStyle w:val="TableParagraph"/>
              <w:spacing w:before="17" w:line="224" w:lineRule="exact"/>
              <w:ind w:right="271"/>
              <w:rPr>
                <w:sz w:val="20"/>
              </w:rPr>
            </w:pPr>
            <w:r>
              <w:rPr>
                <w:w w:val="95"/>
                <w:sz w:val="20"/>
              </w:rPr>
              <w:t>71.64</w:t>
            </w:r>
          </w:p>
        </w:tc>
        <w:tc>
          <w:tcPr>
            <w:tcW w:w="1834" w:type="dxa"/>
          </w:tcPr>
          <w:p w:rsidR="007C5447" w:rsidRDefault="00F6308C">
            <w:pPr>
              <w:pStyle w:val="TableParagraph"/>
              <w:spacing w:before="17" w:line="224" w:lineRule="exact"/>
              <w:ind w:right="273"/>
              <w:rPr>
                <w:sz w:val="20"/>
              </w:rPr>
            </w:pPr>
            <w:r>
              <w:rPr>
                <w:w w:val="95"/>
                <w:sz w:val="20"/>
              </w:rPr>
              <w:t>75.18</w:t>
            </w:r>
          </w:p>
        </w:tc>
        <w:tc>
          <w:tcPr>
            <w:tcW w:w="1860" w:type="dxa"/>
          </w:tcPr>
          <w:p w:rsidR="007C5447" w:rsidRDefault="00F6308C">
            <w:pPr>
              <w:pStyle w:val="TableParagraph"/>
              <w:spacing w:before="17" w:line="224" w:lineRule="exact"/>
              <w:ind w:right="271"/>
              <w:rPr>
                <w:sz w:val="20"/>
              </w:rPr>
            </w:pPr>
            <w:r>
              <w:rPr>
                <w:w w:val="95"/>
                <w:sz w:val="20"/>
              </w:rPr>
              <w:t>105.22</w:t>
            </w:r>
          </w:p>
        </w:tc>
      </w:tr>
      <w:tr w:rsidR="007C5447">
        <w:trPr>
          <w:trHeight w:val="263"/>
        </w:trPr>
        <w:tc>
          <w:tcPr>
            <w:tcW w:w="3322" w:type="dxa"/>
          </w:tcPr>
          <w:p w:rsidR="007C5447" w:rsidRDefault="00F6308C">
            <w:pPr>
              <w:pStyle w:val="TableParagraph"/>
              <w:spacing w:before="17" w:line="227" w:lineRule="exact"/>
              <w:ind w:left="107"/>
              <w:jc w:val="left"/>
              <w:rPr>
                <w:sz w:val="20"/>
              </w:rPr>
            </w:pPr>
            <w:r>
              <w:rPr>
                <w:sz w:val="20"/>
              </w:rPr>
              <w:t>Mettur TPS Stage III</w:t>
            </w:r>
          </w:p>
        </w:tc>
        <w:tc>
          <w:tcPr>
            <w:tcW w:w="1435" w:type="dxa"/>
          </w:tcPr>
          <w:p w:rsidR="007C5447" w:rsidRDefault="00F6308C">
            <w:pPr>
              <w:pStyle w:val="TableParagraph"/>
              <w:spacing w:before="17" w:line="227" w:lineRule="exact"/>
              <w:ind w:right="272"/>
              <w:rPr>
                <w:sz w:val="20"/>
              </w:rPr>
            </w:pPr>
            <w:r>
              <w:rPr>
                <w:sz w:val="20"/>
              </w:rPr>
              <w:t>87.65</w:t>
            </w:r>
          </w:p>
        </w:tc>
        <w:tc>
          <w:tcPr>
            <w:tcW w:w="1790" w:type="dxa"/>
          </w:tcPr>
          <w:p w:rsidR="007C5447" w:rsidRDefault="00F6308C">
            <w:pPr>
              <w:pStyle w:val="TableParagraph"/>
              <w:spacing w:before="17" w:line="227" w:lineRule="exact"/>
              <w:ind w:right="274"/>
              <w:rPr>
                <w:sz w:val="20"/>
              </w:rPr>
            </w:pPr>
            <w:r>
              <w:rPr>
                <w:w w:val="95"/>
                <w:sz w:val="20"/>
              </w:rPr>
              <w:t>45.04</w:t>
            </w:r>
          </w:p>
        </w:tc>
        <w:tc>
          <w:tcPr>
            <w:tcW w:w="1790" w:type="dxa"/>
          </w:tcPr>
          <w:p w:rsidR="007C5447" w:rsidRDefault="00F6308C">
            <w:pPr>
              <w:pStyle w:val="TableParagraph"/>
              <w:spacing w:before="17" w:line="227" w:lineRule="exact"/>
              <w:ind w:right="274"/>
              <w:rPr>
                <w:sz w:val="20"/>
              </w:rPr>
            </w:pPr>
            <w:r>
              <w:rPr>
                <w:w w:val="95"/>
                <w:sz w:val="20"/>
              </w:rPr>
              <w:t>57.49</w:t>
            </w:r>
          </w:p>
        </w:tc>
        <w:tc>
          <w:tcPr>
            <w:tcW w:w="1466" w:type="dxa"/>
          </w:tcPr>
          <w:p w:rsidR="007C5447" w:rsidRDefault="00F6308C">
            <w:pPr>
              <w:pStyle w:val="TableParagraph"/>
              <w:spacing w:before="17" w:line="227" w:lineRule="exact"/>
              <w:ind w:right="271"/>
              <w:rPr>
                <w:sz w:val="20"/>
              </w:rPr>
            </w:pPr>
            <w:r>
              <w:rPr>
                <w:w w:val="95"/>
                <w:sz w:val="20"/>
              </w:rPr>
              <w:t>58.38</w:t>
            </w:r>
          </w:p>
        </w:tc>
        <w:tc>
          <w:tcPr>
            <w:tcW w:w="1834" w:type="dxa"/>
          </w:tcPr>
          <w:p w:rsidR="007C5447" w:rsidRDefault="00F6308C">
            <w:pPr>
              <w:pStyle w:val="TableParagraph"/>
              <w:spacing w:before="17" w:line="227" w:lineRule="exact"/>
              <w:ind w:right="273"/>
              <w:rPr>
                <w:sz w:val="20"/>
              </w:rPr>
            </w:pPr>
            <w:r>
              <w:rPr>
                <w:w w:val="95"/>
                <w:sz w:val="20"/>
              </w:rPr>
              <w:t>61.69</w:t>
            </w:r>
          </w:p>
        </w:tc>
        <w:tc>
          <w:tcPr>
            <w:tcW w:w="1860" w:type="dxa"/>
          </w:tcPr>
          <w:p w:rsidR="007C5447" w:rsidRDefault="00F6308C">
            <w:pPr>
              <w:pStyle w:val="TableParagraph"/>
              <w:spacing w:before="17" w:line="227" w:lineRule="exact"/>
              <w:ind w:right="271"/>
              <w:rPr>
                <w:sz w:val="20"/>
              </w:rPr>
            </w:pPr>
            <w:r>
              <w:rPr>
                <w:w w:val="95"/>
                <w:sz w:val="20"/>
              </w:rPr>
              <w:t>86.33</w:t>
            </w:r>
          </w:p>
        </w:tc>
      </w:tr>
      <w:tr w:rsidR="007C5447">
        <w:trPr>
          <w:trHeight w:val="261"/>
        </w:trPr>
        <w:tc>
          <w:tcPr>
            <w:tcW w:w="3322" w:type="dxa"/>
          </w:tcPr>
          <w:p w:rsidR="007C5447" w:rsidRDefault="00F6308C">
            <w:pPr>
              <w:pStyle w:val="TableParagraph"/>
              <w:spacing w:before="14" w:line="227" w:lineRule="exact"/>
              <w:ind w:left="107"/>
              <w:jc w:val="left"/>
              <w:rPr>
                <w:sz w:val="20"/>
              </w:rPr>
            </w:pPr>
            <w:r>
              <w:rPr>
                <w:sz w:val="20"/>
              </w:rPr>
              <w:t>North Chennai TPS II</w:t>
            </w:r>
          </w:p>
        </w:tc>
        <w:tc>
          <w:tcPr>
            <w:tcW w:w="1435" w:type="dxa"/>
          </w:tcPr>
          <w:p w:rsidR="007C5447" w:rsidRDefault="00F6308C">
            <w:pPr>
              <w:pStyle w:val="TableParagraph"/>
              <w:spacing w:before="14" w:line="227" w:lineRule="exact"/>
              <w:ind w:right="273"/>
              <w:rPr>
                <w:sz w:val="20"/>
              </w:rPr>
            </w:pPr>
            <w:r>
              <w:rPr>
                <w:w w:val="95"/>
                <w:sz w:val="20"/>
              </w:rPr>
              <w:t>125.52</w:t>
            </w:r>
          </w:p>
        </w:tc>
        <w:tc>
          <w:tcPr>
            <w:tcW w:w="1790" w:type="dxa"/>
          </w:tcPr>
          <w:p w:rsidR="007C5447" w:rsidRDefault="00F6308C">
            <w:pPr>
              <w:pStyle w:val="TableParagraph"/>
              <w:spacing w:before="14" w:line="227" w:lineRule="exact"/>
              <w:ind w:right="274"/>
              <w:rPr>
                <w:sz w:val="20"/>
              </w:rPr>
            </w:pPr>
            <w:r>
              <w:rPr>
                <w:w w:val="95"/>
                <w:sz w:val="20"/>
              </w:rPr>
              <w:t>77.87</w:t>
            </w:r>
          </w:p>
        </w:tc>
        <w:tc>
          <w:tcPr>
            <w:tcW w:w="1790" w:type="dxa"/>
          </w:tcPr>
          <w:p w:rsidR="007C5447" w:rsidRDefault="00F6308C">
            <w:pPr>
              <w:pStyle w:val="TableParagraph"/>
              <w:spacing w:before="14" w:line="227" w:lineRule="exact"/>
              <w:ind w:right="274"/>
              <w:rPr>
                <w:sz w:val="20"/>
              </w:rPr>
            </w:pPr>
            <w:r>
              <w:rPr>
                <w:w w:val="95"/>
                <w:sz w:val="20"/>
              </w:rPr>
              <w:t>99.40</w:t>
            </w:r>
          </w:p>
        </w:tc>
        <w:tc>
          <w:tcPr>
            <w:tcW w:w="1466" w:type="dxa"/>
          </w:tcPr>
          <w:p w:rsidR="007C5447" w:rsidRDefault="00F6308C">
            <w:pPr>
              <w:pStyle w:val="TableParagraph"/>
              <w:spacing w:before="14" w:line="227" w:lineRule="exact"/>
              <w:ind w:right="271"/>
              <w:rPr>
                <w:sz w:val="20"/>
              </w:rPr>
            </w:pPr>
            <w:r>
              <w:rPr>
                <w:w w:val="95"/>
                <w:sz w:val="20"/>
              </w:rPr>
              <w:t>112.56</w:t>
            </w:r>
          </w:p>
        </w:tc>
        <w:tc>
          <w:tcPr>
            <w:tcW w:w="1834" w:type="dxa"/>
          </w:tcPr>
          <w:p w:rsidR="007C5447" w:rsidRDefault="00F6308C">
            <w:pPr>
              <w:pStyle w:val="TableParagraph"/>
              <w:spacing w:before="14" w:line="227" w:lineRule="exact"/>
              <w:ind w:right="273"/>
              <w:rPr>
                <w:sz w:val="20"/>
              </w:rPr>
            </w:pPr>
            <w:r>
              <w:rPr>
                <w:w w:val="95"/>
                <w:sz w:val="20"/>
              </w:rPr>
              <w:t>90.79</w:t>
            </w:r>
          </w:p>
        </w:tc>
        <w:tc>
          <w:tcPr>
            <w:tcW w:w="1860" w:type="dxa"/>
          </w:tcPr>
          <w:p w:rsidR="007C5447" w:rsidRDefault="00F6308C">
            <w:pPr>
              <w:pStyle w:val="TableParagraph"/>
              <w:spacing w:before="14" w:line="227" w:lineRule="exact"/>
              <w:ind w:right="271"/>
              <w:rPr>
                <w:sz w:val="20"/>
              </w:rPr>
            </w:pPr>
            <w:r>
              <w:rPr>
                <w:w w:val="95"/>
                <w:sz w:val="20"/>
              </w:rPr>
              <w:t>127.06</w:t>
            </w:r>
          </w:p>
        </w:tc>
      </w:tr>
      <w:tr w:rsidR="007C5447">
        <w:trPr>
          <w:trHeight w:val="261"/>
        </w:trPr>
        <w:tc>
          <w:tcPr>
            <w:tcW w:w="3322" w:type="dxa"/>
          </w:tcPr>
          <w:p w:rsidR="007C5447" w:rsidRDefault="00F6308C">
            <w:pPr>
              <w:pStyle w:val="TableParagraph"/>
              <w:spacing w:before="17" w:line="224" w:lineRule="exact"/>
              <w:ind w:left="107"/>
              <w:jc w:val="left"/>
              <w:rPr>
                <w:sz w:val="20"/>
              </w:rPr>
            </w:pPr>
            <w:r>
              <w:rPr>
                <w:sz w:val="20"/>
              </w:rPr>
              <w:t>Ennore Expansion</w:t>
            </w:r>
          </w:p>
        </w:tc>
        <w:tc>
          <w:tcPr>
            <w:tcW w:w="1435" w:type="dxa"/>
          </w:tcPr>
          <w:p w:rsidR="007C5447" w:rsidRDefault="007C5447">
            <w:pPr>
              <w:pStyle w:val="TableParagraph"/>
              <w:jc w:val="left"/>
              <w:rPr>
                <w:sz w:val="18"/>
              </w:rPr>
            </w:pPr>
          </w:p>
        </w:tc>
        <w:tc>
          <w:tcPr>
            <w:tcW w:w="1790" w:type="dxa"/>
          </w:tcPr>
          <w:p w:rsidR="007C5447" w:rsidRDefault="007C5447">
            <w:pPr>
              <w:pStyle w:val="TableParagraph"/>
              <w:jc w:val="left"/>
              <w:rPr>
                <w:sz w:val="18"/>
              </w:rPr>
            </w:pPr>
          </w:p>
        </w:tc>
        <w:tc>
          <w:tcPr>
            <w:tcW w:w="1790" w:type="dxa"/>
          </w:tcPr>
          <w:p w:rsidR="007C5447" w:rsidRDefault="007C5447">
            <w:pPr>
              <w:pStyle w:val="TableParagraph"/>
              <w:jc w:val="left"/>
              <w:rPr>
                <w:sz w:val="18"/>
              </w:rPr>
            </w:pPr>
          </w:p>
        </w:tc>
        <w:tc>
          <w:tcPr>
            <w:tcW w:w="1466" w:type="dxa"/>
          </w:tcPr>
          <w:p w:rsidR="007C5447" w:rsidRDefault="00F6308C">
            <w:pPr>
              <w:pStyle w:val="TableParagraph"/>
              <w:spacing w:before="17" w:line="224" w:lineRule="exact"/>
              <w:ind w:right="269"/>
              <w:rPr>
                <w:sz w:val="20"/>
              </w:rPr>
            </w:pPr>
            <w:r>
              <w:rPr>
                <w:sz w:val="20"/>
              </w:rPr>
              <w:t>10.53</w:t>
            </w:r>
          </w:p>
        </w:tc>
        <w:tc>
          <w:tcPr>
            <w:tcW w:w="1834" w:type="dxa"/>
          </w:tcPr>
          <w:p w:rsidR="007C5447" w:rsidRDefault="007C5447">
            <w:pPr>
              <w:pStyle w:val="TableParagraph"/>
              <w:jc w:val="left"/>
              <w:rPr>
                <w:sz w:val="18"/>
              </w:rPr>
            </w:pPr>
          </w:p>
        </w:tc>
        <w:tc>
          <w:tcPr>
            <w:tcW w:w="1860" w:type="dxa"/>
          </w:tcPr>
          <w:p w:rsidR="007C5447" w:rsidRDefault="007C5447">
            <w:pPr>
              <w:pStyle w:val="TableParagraph"/>
              <w:jc w:val="left"/>
              <w:rPr>
                <w:sz w:val="18"/>
              </w:rPr>
            </w:pPr>
          </w:p>
        </w:tc>
      </w:tr>
      <w:tr w:rsidR="007C5447">
        <w:trPr>
          <w:trHeight w:val="263"/>
        </w:trPr>
        <w:tc>
          <w:tcPr>
            <w:tcW w:w="3322" w:type="dxa"/>
          </w:tcPr>
          <w:p w:rsidR="007C5447" w:rsidRDefault="00F6308C">
            <w:pPr>
              <w:pStyle w:val="TableParagraph"/>
              <w:spacing w:before="17" w:line="227" w:lineRule="exact"/>
              <w:ind w:left="107"/>
              <w:jc w:val="left"/>
              <w:rPr>
                <w:sz w:val="20"/>
              </w:rPr>
            </w:pPr>
            <w:r>
              <w:rPr>
                <w:sz w:val="20"/>
              </w:rPr>
              <w:t>Tirumakottai GTPS</w:t>
            </w:r>
          </w:p>
        </w:tc>
        <w:tc>
          <w:tcPr>
            <w:tcW w:w="1435" w:type="dxa"/>
          </w:tcPr>
          <w:p w:rsidR="007C5447" w:rsidRDefault="00F6308C">
            <w:pPr>
              <w:pStyle w:val="TableParagraph"/>
              <w:spacing w:before="17" w:line="227" w:lineRule="exact"/>
              <w:ind w:right="272"/>
              <w:rPr>
                <w:sz w:val="20"/>
              </w:rPr>
            </w:pPr>
            <w:r>
              <w:rPr>
                <w:sz w:val="20"/>
              </w:rPr>
              <w:t>10.16</w:t>
            </w:r>
          </w:p>
        </w:tc>
        <w:tc>
          <w:tcPr>
            <w:tcW w:w="1790" w:type="dxa"/>
          </w:tcPr>
          <w:p w:rsidR="007C5447" w:rsidRDefault="00F6308C">
            <w:pPr>
              <w:pStyle w:val="TableParagraph"/>
              <w:spacing w:before="17" w:line="227" w:lineRule="exact"/>
              <w:ind w:right="274"/>
              <w:rPr>
                <w:sz w:val="20"/>
              </w:rPr>
            </w:pPr>
            <w:r>
              <w:rPr>
                <w:w w:val="95"/>
                <w:sz w:val="20"/>
              </w:rPr>
              <w:t>10.16</w:t>
            </w:r>
          </w:p>
        </w:tc>
        <w:tc>
          <w:tcPr>
            <w:tcW w:w="1790" w:type="dxa"/>
          </w:tcPr>
          <w:p w:rsidR="007C5447" w:rsidRDefault="00F6308C">
            <w:pPr>
              <w:pStyle w:val="TableParagraph"/>
              <w:spacing w:before="17" w:line="227" w:lineRule="exact"/>
              <w:ind w:right="273"/>
              <w:rPr>
                <w:sz w:val="20"/>
              </w:rPr>
            </w:pPr>
            <w:r>
              <w:rPr>
                <w:w w:val="95"/>
                <w:sz w:val="20"/>
              </w:rPr>
              <w:t>12.97</w:t>
            </w:r>
          </w:p>
        </w:tc>
        <w:tc>
          <w:tcPr>
            <w:tcW w:w="1466" w:type="dxa"/>
          </w:tcPr>
          <w:p w:rsidR="007C5447" w:rsidRDefault="00F6308C">
            <w:pPr>
              <w:pStyle w:val="TableParagraph"/>
              <w:spacing w:before="17" w:line="227" w:lineRule="exact"/>
              <w:ind w:right="271"/>
              <w:rPr>
                <w:sz w:val="20"/>
              </w:rPr>
            </w:pPr>
            <w:r>
              <w:rPr>
                <w:sz w:val="20"/>
              </w:rPr>
              <w:t>7.55</w:t>
            </w:r>
          </w:p>
        </w:tc>
        <w:tc>
          <w:tcPr>
            <w:tcW w:w="1834" w:type="dxa"/>
          </w:tcPr>
          <w:p w:rsidR="007C5447" w:rsidRDefault="00F6308C">
            <w:pPr>
              <w:pStyle w:val="TableParagraph"/>
              <w:spacing w:before="17" w:line="227" w:lineRule="exact"/>
              <w:ind w:right="273"/>
              <w:rPr>
                <w:sz w:val="20"/>
              </w:rPr>
            </w:pPr>
            <w:r>
              <w:rPr>
                <w:w w:val="95"/>
                <w:sz w:val="20"/>
              </w:rPr>
              <w:t>11.26</w:t>
            </w:r>
          </w:p>
        </w:tc>
        <w:tc>
          <w:tcPr>
            <w:tcW w:w="1860" w:type="dxa"/>
          </w:tcPr>
          <w:p w:rsidR="007C5447" w:rsidRDefault="00F6308C">
            <w:pPr>
              <w:pStyle w:val="TableParagraph"/>
              <w:spacing w:before="17" w:line="227" w:lineRule="exact"/>
              <w:ind w:right="270"/>
              <w:rPr>
                <w:sz w:val="20"/>
              </w:rPr>
            </w:pPr>
            <w:r>
              <w:rPr>
                <w:w w:val="95"/>
                <w:sz w:val="20"/>
              </w:rPr>
              <w:t>15.75</w:t>
            </w:r>
          </w:p>
        </w:tc>
      </w:tr>
      <w:tr w:rsidR="007C5447">
        <w:trPr>
          <w:trHeight w:val="261"/>
        </w:trPr>
        <w:tc>
          <w:tcPr>
            <w:tcW w:w="3322" w:type="dxa"/>
          </w:tcPr>
          <w:p w:rsidR="007C5447" w:rsidRDefault="00F6308C">
            <w:pPr>
              <w:pStyle w:val="TableParagraph"/>
              <w:spacing w:before="14" w:line="227" w:lineRule="exact"/>
              <w:ind w:left="107"/>
              <w:jc w:val="left"/>
              <w:rPr>
                <w:sz w:val="20"/>
              </w:rPr>
            </w:pPr>
            <w:r>
              <w:rPr>
                <w:sz w:val="20"/>
              </w:rPr>
              <w:t>Kuttalam GTPS</w:t>
            </w:r>
          </w:p>
        </w:tc>
        <w:tc>
          <w:tcPr>
            <w:tcW w:w="1435" w:type="dxa"/>
          </w:tcPr>
          <w:p w:rsidR="007C5447" w:rsidRDefault="00F6308C">
            <w:pPr>
              <w:pStyle w:val="TableParagraph"/>
              <w:spacing w:before="14" w:line="227" w:lineRule="exact"/>
              <w:ind w:right="272"/>
              <w:rPr>
                <w:sz w:val="20"/>
              </w:rPr>
            </w:pPr>
            <w:r>
              <w:rPr>
                <w:sz w:val="20"/>
              </w:rPr>
              <w:t>10.06</w:t>
            </w:r>
          </w:p>
        </w:tc>
        <w:tc>
          <w:tcPr>
            <w:tcW w:w="1790" w:type="dxa"/>
          </w:tcPr>
          <w:p w:rsidR="007C5447" w:rsidRDefault="00F6308C">
            <w:pPr>
              <w:pStyle w:val="TableParagraph"/>
              <w:spacing w:before="14" w:line="227" w:lineRule="exact"/>
              <w:ind w:right="274"/>
              <w:rPr>
                <w:sz w:val="20"/>
              </w:rPr>
            </w:pPr>
            <w:r>
              <w:rPr>
                <w:sz w:val="20"/>
              </w:rPr>
              <w:t>8.78</w:t>
            </w:r>
          </w:p>
        </w:tc>
        <w:tc>
          <w:tcPr>
            <w:tcW w:w="1790" w:type="dxa"/>
          </w:tcPr>
          <w:p w:rsidR="007C5447" w:rsidRDefault="00F6308C">
            <w:pPr>
              <w:pStyle w:val="TableParagraph"/>
              <w:spacing w:before="14" w:line="227" w:lineRule="exact"/>
              <w:ind w:right="274"/>
              <w:rPr>
                <w:sz w:val="20"/>
              </w:rPr>
            </w:pPr>
            <w:r>
              <w:rPr>
                <w:sz w:val="20"/>
              </w:rPr>
              <w:t>11.20</w:t>
            </w:r>
          </w:p>
        </w:tc>
        <w:tc>
          <w:tcPr>
            <w:tcW w:w="1466" w:type="dxa"/>
          </w:tcPr>
          <w:p w:rsidR="007C5447" w:rsidRDefault="00F6308C">
            <w:pPr>
              <w:pStyle w:val="TableParagraph"/>
              <w:spacing w:before="14" w:line="227" w:lineRule="exact"/>
              <w:ind w:right="271"/>
              <w:rPr>
                <w:sz w:val="20"/>
              </w:rPr>
            </w:pPr>
            <w:r>
              <w:rPr>
                <w:sz w:val="20"/>
              </w:rPr>
              <w:t>7.44</w:t>
            </w:r>
          </w:p>
        </w:tc>
        <w:tc>
          <w:tcPr>
            <w:tcW w:w="1834" w:type="dxa"/>
          </w:tcPr>
          <w:p w:rsidR="007C5447" w:rsidRDefault="00F6308C">
            <w:pPr>
              <w:pStyle w:val="TableParagraph"/>
              <w:spacing w:before="14" w:line="227" w:lineRule="exact"/>
              <w:ind w:right="273"/>
              <w:rPr>
                <w:sz w:val="20"/>
              </w:rPr>
            </w:pPr>
            <w:r>
              <w:rPr>
                <w:w w:val="95"/>
                <w:sz w:val="20"/>
              </w:rPr>
              <w:t>11.89</w:t>
            </w:r>
          </w:p>
        </w:tc>
        <w:tc>
          <w:tcPr>
            <w:tcW w:w="1860" w:type="dxa"/>
          </w:tcPr>
          <w:p w:rsidR="007C5447" w:rsidRDefault="00F6308C">
            <w:pPr>
              <w:pStyle w:val="TableParagraph"/>
              <w:spacing w:before="14" w:line="227" w:lineRule="exact"/>
              <w:ind w:right="270"/>
              <w:rPr>
                <w:sz w:val="20"/>
              </w:rPr>
            </w:pPr>
            <w:r>
              <w:rPr>
                <w:w w:val="95"/>
                <w:sz w:val="20"/>
              </w:rPr>
              <w:t>16.64</w:t>
            </w:r>
          </w:p>
        </w:tc>
      </w:tr>
      <w:tr w:rsidR="007C5447">
        <w:trPr>
          <w:trHeight w:val="261"/>
        </w:trPr>
        <w:tc>
          <w:tcPr>
            <w:tcW w:w="3322" w:type="dxa"/>
          </w:tcPr>
          <w:p w:rsidR="007C5447" w:rsidRDefault="00F6308C">
            <w:pPr>
              <w:pStyle w:val="TableParagraph"/>
              <w:spacing w:before="17" w:line="224" w:lineRule="exact"/>
              <w:ind w:left="107"/>
              <w:jc w:val="left"/>
              <w:rPr>
                <w:sz w:val="20"/>
              </w:rPr>
            </w:pPr>
            <w:r>
              <w:rPr>
                <w:sz w:val="20"/>
              </w:rPr>
              <w:t>Basin Bridge GTPS</w:t>
            </w:r>
          </w:p>
        </w:tc>
        <w:tc>
          <w:tcPr>
            <w:tcW w:w="1435" w:type="dxa"/>
          </w:tcPr>
          <w:p w:rsidR="007C5447" w:rsidRDefault="00F6308C">
            <w:pPr>
              <w:pStyle w:val="TableParagraph"/>
              <w:spacing w:before="17" w:line="224" w:lineRule="exact"/>
              <w:ind w:right="272"/>
              <w:rPr>
                <w:sz w:val="20"/>
              </w:rPr>
            </w:pPr>
            <w:r>
              <w:rPr>
                <w:sz w:val="20"/>
              </w:rPr>
              <w:t>7.94</w:t>
            </w:r>
          </w:p>
        </w:tc>
        <w:tc>
          <w:tcPr>
            <w:tcW w:w="1790" w:type="dxa"/>
          </w:tcPr>
          <w:p w:rsidR="007C5447" w:rsidRDefault="00F6308C">
            <w:pPr>
              <w:pStyle w:val="TableParagraph"/>
              <w:spacing w:before="17" w:line="224" w:lineRule="exact"/>
              <w:ind w:right="274"/>
              <w:rPr>
                <w:sz w:val="20"/>
              </w:rPr>
            </w:pPr>
            <w:r>
              <w:rPr>
                <w:sz w:val="20"/>
              </w:rPr>
              <w:t>6.93</w:t>
            </w:r>
          </w:p>
        </w:tc>
        <w:tc>
          <w:tcPr>
            <w:tcW w:w="1790" w:type="dxa"/>
          </w:tcPr>
          <w:p w:rsidR="007C5447" w:rsidRDefault="00F6308C">
            <w:pPr>
              <w:pStyle w:val="TableParagraph"/>
              <w:spacing w:before="17" w:line="224" w:lineRule="exact"/>
              <w:ind w:right="274"/>
              <w:rPr>
                <w:sz w:val="20"/>
              </w:rPr>
            </w:pPr>
            <w:r>
              <w:rPr>
                <w:sz w:val="20"/>
              </w:rPr>
              <w:t>8.85</w:t>
            </w:r>
          </w:p>
        </w:tc>
        <w:tc>
          <w:tcPr>
            <w:tcW w:w="1466" w:type="dxa"/>
          </w:tcPr>
          <w:p w:rsidR="007C5447" w:rsidRDefault="00F6308C">
            <w:pPr>
              <w:pStyle w:val="TableParagraph"/>
              <w:spacing w:before="17" w:line="224" w:lineRule="exact"/>
              <w:ind w:right="271"/>
              <w:rPr>
                <w:sz w:val="20"/>
              </w:rPr>
            </w:pPr>
            <w:r>
              <w:rPr>
                <w:sz w:val="20"/>
              </w:rPr>
              <w:t>4.69</w:t>
            </w:r>
          </w:p>
        </w:tc>
        <w:tc>
          <w:tcPr>
            <w:tcW w:w="1834" w:type="dxa"/>
          </w:tcPr>
          <w:p w:rsidR="007C5447" w:rsidRDefault="00F6308C">
            <w:pPr>
              <w:pStyle w:val="TableParagraph"/>
              <w:spacing w:before="17" w:line="224" w:lineRule="exact"/>
              <w:ind w:right="273"/>
              <w:rPr>
                <w:sz w:val="20"/>
              </w:rPr>
            </w:pPr>
            <w:r>
              <w:rPr>
                <w:sz w:val="20"/>
              </w:rPr>
              <w:t>9.72</w:t>
            </w:r>
          </w:p>
        </w:tc>
        <w:tc>
          <w:tcPr>
            <w:tcW w:w="1860" w:type="dxa"/>
          </w:tcPr>
          <w:p w:rsidR="007C5447" w:rsidRDefault="00F6308C">
            <w:pPr>
              <w:pStyle w:val="TableParagraph"/>
              <w:spacing w:before="17" w:line="224" w:lineRule="exact"/>
              <w:ind w:right="271"/>
              <w:rPr>
                <w:sz w:val="20"/>
              </w:rPr>
            </w:pPr>
            <w:r>
              <w:rPr>
                <w:w w:val="95"/>
                <w:sz w:val="20"/>
              </w:rPr>
              <w:t>13.60</w:t>
            </w:r>
          </w:p>
        </w:tc>
      </w:tr>
      <w:tr w:rsidR="007C5447">
        <w:trPr>
          <w:trHeight w:val="263"/>
        </w:trPr>
        <w:tc>
          <w:tcPr>
            <w:tcW w:w="3322" w:type="dxa"/>
          </w:tcPr>
          <w:p w:rsidR="007C5447" w:rsidRDefault="00F6308C">
            <w:pPr>
              <w:pStyle w:val="TableParagraph"/>
              <w:spacing w:before="17" w:line="227" w:lineRule="exact"/>
              <w:ind w:left="107"/>
              <w:jc w:val="left"/>
              <w:rPr>
                <w:sz w:val="20"/>
              </w:rPr>
            </w:pPr>
            <w:r>
              <w:rPr>
                <w:sz w:val="20"/>
              </w:rPr>
              <w:t>Valuthur Unit-I</w:t>
            </w:r>
          </w:p>
        </w:tc>
        <w:tc>
          <w:tcPr>
            <w:tcW w:w="1435" w:type="dxa"/>
          </w:tcPr>
          <w:p w:rsidR="007C5447" w:rsidRDefault="00F6308C">
            <w:pPr>
              <w:pStyle w:val="TableParagraph"/>
              <w:spacing w:before="17" w:line="227" w:lineRule="exact"/>
              <w:ind w:right="272"/>
              <w:rPr>
                <w:sz w:val="20"/>
              </w:rPr>
            </w:pPr>
            <w:r>
              <w:rPr>
                <w:sz w:val="20"/>
              </w:rPr>
              <w:t>17.85</w:t>
            </w:r>
          </w:p>
        </w:tc>
        <w:tc>
          <w:tcPr>
            <w:tcW w:w="1790" w:type="dxa"/>
          </w:tcPr>
          <w:p w:rsidR="007C5447" w:rsidRDefault="00F6308C">
            <w:pPr>
              <w:pStyle w:val="TableParagraph"/>
              <w:spacing w:before="17" w:line="227" w:lineRule="exact"/>
              <w:ind w:right="274"/>
              <w:rPr>
                <w:sz w:val="20"/>
              </w:rPr>
            </w:pPr>
            <w:r>
              <w:rPr>
                <w:w w:val="95"/>
                <w:sz w:val="20"/>
              </w:rPr>
              <w:t>16.86</w:t>
            </w:r>
          </w:p>
        </w:tc>
        <w:tc>
          <w:tcPr>
            <w:tcW w:w="1790" w:type="dxa"/>
          </w:tcPr>
          <w:p w:rsidR="007C5447" w:rsidRDefault="00F6308C">
            <w:pPr>
              <w:pStyle w:val="TableParagraph"/>
              <w:spacing w:before="17" w:line="227" w:lineRule="exact"/>
              <w:ind w:right="273"/>
              <w:rPr>
                <w:sz w:val="20"/>
              </w:rPr>
            </w:pPr>
            <w:r>
              <w:rPr>
                <w:w w:val="95"/>
                <w:sz w:val="20"/>
              </w:rPr>
              <w:t>21.52</w:t>
            </w:r>
          </w:p>
        </w:tc>
        <w:tc>
          <w:tcPr>
            <w:tcW w:w="1466" w:type="dxa"/>
          </w:tcPr>
          <w:p w:rsidR="007C5447" w:rsidRDefault="00F6308C">
            <w:pPr>
              <w:pStyle w:val="TableParagraph"/>
              <w:spacing w:before="17" w:line="227" w:lineRule="exact"/>
              <w:ind w:right="271"/>
              <w:rPr>
                <w:sz w:val="20"/>
              </w:rPr>
            </w:pPr>
            <w:r>
              <w:rPr>
                <w:w w:val="95"/>
                <w:sz w:val="20"/>
              </w:rPr>
              <w:t>12.55</w:t>
            </w:r>
          </w:p>
        </w:tc>
        <w:tc>
          <w:tcPr>
            <w:tcW w:w="1834" w:type="dxa"/>
          </w:tcPr>
          <w:p w:rsidR="007C5447" w:rsidRDefault="00F6308C">
            <w:pPr>
              <w:pStyle w:val="TableParagraph"/>
              <w:spacing w:before="17" w:line="227" w:lineRule="exact"/>
              <w:ind w:right="273"/>
              <w:rPr>
                <w:sz w:val="20"/>
              </w:rPr>
            </w:pPr>
            <w:r>
              <w:rPr>
                <w:w w:val="95"/>
                <w:sz w:val="20"/>
              </w:rPr>
              <w:t>18.45</w:t>
            </w:r>
          </w:p>
        </w:tc>
        <w:tc>
          <w:tcPr>
            <w:tcW w:w="1860" w:type="dxa"/>
          </w:tcPr>
          <w:p w:rsidR="007C5447" w:rsidRDefault="00F6308C">
            <w:pPr>
              <w:pStyle w:val="TableParagraph"/>
              <w:spacing w:before="17" w:line="227" w:lineRule="exact"/>
              <w:ind w:right="271"/>
              <w:rPr>
                <w:sz w:val="20"/>
              </w:rPr>
            </w:pPr>
            <w:r>
              <w:rPr>
                <w:w w:val="95"/>
                <w:sz w:val="20"/>
              </w:rPr>
              <w:t>25.82</w:t>
            </w:r>
          </w:p>
        </w:tc>
      </w:tr>
      <w:tr w:rsidR="007C5447">
        <w:trPr>
          <w:trHeight w:val="261"/>
        </w:trPr>
        <w:tc>
          <w:tcPr>
            <w:tcW w:w="3322" w:type="dxa"/>
          </w:tcPr>
          <w:p w:rsidR="007C5447" w:rsidRDefault="00F6308C">
            <w:pPr>
              <w:pStyle w:val="TableParagraph"/>
              <w:spacing w:before="14" w:line="227" w:lineRule="exact"/>
              <w:ind w:left="107"/>
              <w:jc w:val="left"/>
              <w:rPr>
                <w:sz w:val="20"/>
              </w:rPr>
            </w:pPr>
            <w:r>
              <w:rPr>
                <w:sz w:val="20"/>
              </w:rPr>
              <w:t>Erode HEP</w:t>
            </w:r>
          </w:p>
        </w:tc>
        <w:tc>
          <w:tcPr>
            <w:tcW w:w="1435" w:type="dxa"/>
          </w:tcPr>
          <w:p w:rsidR="007C5447" w:rsidRDefault="00F6308C">
            <w:pPr>
              <w:pStyle w:val="TableParagraph"/>
              <w:spacing w:before="14" w:line="227" w:lineRule="exact"/>
              <w:ind w:right="272"/>
              <w:rPr>
                <w:sz w:val="20"/>
              </w:rPr>
            </w:pPr>
            <w:r>
              <w:rPr>
                <w:sz w:val="20"/>
              </w:rPr>
              <w:t>11.25</w:t>
            </w:r>
          </w:p>
        </w:tc>
        <w:tc>
          <w:tcPr>
            <w:tcW w:w="1790" w:type="dxa"/>
          </w:tcPr>
          <w:p w:rsidR="007C5447" w:rsidRDefault="00F6308C">
            <w:pPr>
              <w:pStyle w:val="TableParagraph"/>
              <w:spacing w:before="14" w:line="227" w:lineRule="exact"/>
              <w:ind w:right="274"/>
              <w:rPr>
                <w:sz w:val="20"/>
              </w:rPr>
            </w:pPr>
            <w:r>
              <w:rPr>
                <w:sz w:val="20"/>
              </w:rPr>
              <w:t>4.86</w:t>
            </w:r>
          </w:p>
        </w:tc>
        <w:tc>
          <w:tcPr>
            <w:tcW w:w="1790" w:type="dxa"/>
          </w:tcPr>
          <w:p w:rsidR="007C5447" w:rsidRDefault="00F6308C">
            <w:pPr>
              <w:pStyle w:val="TableParagraph"/>
              <w:spacing w:before="14" w:line="227" w:lineRule="exact"/>
              <w:ind w:right="272"/>
              <w:rPr>
                <w:sz w:val="20"/>
              </w:rPr>
            </w:pPr>
            <w:r>
              <w:rPr>
                <w:sz w:val="20"/>
              </w:rPr>
              <w:t>6.20</w:t>
            </w:r>
          </w:p>
        </w:tc>
        <w:tc>
          <w:tcPr>
            <w:tcW w:w="1466" w:type="dxa"/>
          </w:tcPr>
          <w:p w:rsidR="007C5447" w:rsidRDefault="00F6308C">
            <w:pPr>
              <w:pStyle w:val="TableParagraph"/>
              <w:spacing w:before="14" w:line="227" w:lineRule="exact"/>
              <w:ind w:right="271"/>
              <w:rPr>
                <w:sz w:val="20"/>
              </w:rPr>
            </w:pPr>
            <w:r>
              <w:rPr>
                <w:w w:val="95"/>
                <w:sz w:val="20"/>
              </w:rPr>
              <w:t>11.72</w:t>
            </w:r>
          </w:p>
        </w:tc>
        <w:tc>
          <w:tcPr>
            <w:tcW w:w="1834" w:type="dxa"/>
          </w:tcPr>
          <w:p w:rsidR="007C5447" w:rsidRDefault="00F6308C">
            <w:pPr>
              <w:pStyle w:val="TableParagraph"/>
              <w:spacing w:before="14" w:line="227" w:lineRule="exact"/>
              <w:ind w:right="273"/>
              <w:rPr>
                <w:sz w:val="20"/>
              </w:rPr>
            </w:pPr>
            <w:r>
              <w:rPr>
                <w:sz w:val="20"/>
              </w:rPr>
              <w:t>5.64</w:t>
            </w:r>
          </w:p>
        </w:tc>
        <w:tc>
          <w:tcPr>
            <w:tcW w:w="1860" w:type="dxa"/>
          </w:tcPr>
          <w:p w:rsidR="007C5447" w:rsidRDefault="00F6308C">
            <w:pPr>
              <w:pStyle w:val="TableParagraph"/>
              <w:spacing w:before="14" w:line="227" w:lineRule="exact"/>
              <w:ind w:right="270"/>
              <w:rPr>
                <w:sz w:val="20"/>
              </w:rPr>
            </w:pPr>
            <w:r>
              <w:rPr>
                <w:sz w:val="20"/>
              </w:rPr>
              <w:t>7.89</w:t>
            </w:r>
          </w:p>
        </w:tc>
      </w:tr>
      <w:tr w:rsidR="007C5447">
        <w:trPr>
          <w:trHeight w:val="287"/>
        </w:trPr>
        <w:tc>
          <w:tcPr>
            <w:tcW w:w="3322" w:type="dxa"/>
          </w:tcPr>
          <w:p w:rsidR="007C5447" w:rsidRDefault="00F6308C">
            <w:pPr>
              <w:pStyle w:val="TableParagraph"/>
              <w:spacing w:before="29"/>
              <w:ind w:left="107"/>
              <w:jc w:val="left"/>
              <w:rPr>
                <w:sz w:val="20"/>
              </w:rPr>
            </w:pPr>
            <w:r>
              <w:rPr>
                <w:sz w:val="20"/>
              </w:rPr>
              <w:t>Kadamparai HEP</w:t>
            </w:r>
          </w:p>
        </w:tc>
        <w:tc>
          <w:tcPr>
            <w:tcW w:w="1435" w:type="dxa"/>
          </w:tcPr>
          <w:p w:rsidR="007C5447" w:rsidRDefault="00F6308C">
            <w:pPr>
              <w:pStyle w:val="TableParagraph"/>
              <w:spacing w:before="29"/>
              <w:ind w:right="272"/>
              <w:rPr>
                <w:sz w:val="20"/>
              </w:rPr>
            </w:pPr>
            <w:r>
              <w:rPr>
                <w:sz w:val="20"/>
              </w:rPr>
              <w:t>2.80</w:t>
            </w:r>
          </w:p>
        </w:tc>
        <w:tc>
          <w:tcPr>
            <w:tcW w:w="1790" w:type="dxa"/>
          </w:tcPr>
          <w:p w:rsidR="007C5447" w:rsidRDefault="00F6308C">
            <w:pPr>
              <w:pStyle w:val="TableParagraph"/>
              <w:spacing w:before="29"/>
              <w:ind w:right="274"/>
              <w:rPr>
                <w:sz w:val="20"/>
              </w:rPr>
            </w:pPr>
            <w:r>
              <w:rPr>
                <w:sz w:val="20"/>
              </w:rPr>
              <w:t>5.15</w:t>
            </w:r>
          </w:p>
        </w:tc>
        <w:tc>
          <w:tcPr>
            <w:tcW w:w="1790" w:type="dxa"/>
          </w:tcPr>
          <w:p w:rsidR="007C5447" w:rsidRDefault="00F6308C">
            <w:pPr>
              <w:pStyle w:val="TableParagraph"/>
              <w:spacing w:before="29"/>
              <w:ind w:right="272"/>
              <w:rPr>
                <w:sz w:val="20"/>
              </w:rPr>
            </w:pPr>
            <w:r>
              <w:rPr>
                <w:sz w:val="20"/>
              </w:rPr>
              <w:t>6.58</w:t>
            </w:r>
          </w:p>
        </w:tc>
        <w:tc>
          <w:tcPr>
            <w:tcW w:w="1466" w:type="dxa"/>
          </w:tcPr>
          <w:p w:rsidR="007C5447" w:rsidRDefault="00F6308C">
            <w:pPr>
              <w:pStyle w:val="TableParagraph"/>
              <w:spacing w:before="29"/>
              <w:ind w:right="271"/>
              <w:rPr>
                <w:sz w:val="20"/>
              </w:rPr>
            </w:pPr>
            <w:r>
              <w:rPr>
                <w:sz w:val="20"/>
              </w:rPr>
              <w:t>2.80</w:t>
            </w:r>
          </w:p>
        </w:tc>
        <w:tc>
          <w:tcPr>
            <w:tcW w:w="1834" w:type="dxa"/>
          </w:tcPr>
          <w:p w:rsidR="007C5447" w:rsidRDefault="00F6308C">
            <w:pPr>
              <w:pStyle w:val="TableParagraph"/>
              <w:spacing w:before="29"/>
              <w:ind w:right="273"/>
              <w:rPr>
                <w:sz w:val="20"/>
              </w:rPr>
            </w:pPr>
            <w:r>
              <w:rPr>
                <w:sz w:val="20"/>
              </w:rPr>
              <w:t>5.38</w:t>
            </w:r>
          </w:p>
        </w:tc>
        <w:tc>
          <w:tcPr>
            <w:tcW w:w="1860" w:type="dxa"/>
          </w:tcPr>
          <w:p w:rsidR="007C5447" w:rsidRDefault="00F6308C">
            <w:pPr>
              <w:pStyle w:val="TableParagraph"/>
              <w:spacing w:before="29"/>
              <w:ind w:right="271"/>
              <w:rPr>
                <w:sz w:val="20"/>
              </w:rPr>
            </w:pPr>
            <w:r>
              <w:rPr>
                <w:sz w:val="20"/>
              </w:rPr>
              <w:t>7.53</w:t>
            </w:r>
          </w:p>
        </w:tc>
      </w:tr>
      <w:tr w:rsidR="007C5447">
        <w:trPr>
          <w:trHeight w:val="287"/>
        </w:trPr>
        <w:tc>
          <w:tcPr>
            <w:tcW w:w="3322" w:type="dxa"/>
          </w:tcPr>
          <w:p w:rsidR="007C5447" w:rsidRDefault="00F6308C">
            <w:pPr>
              <w:pStyle w:val="TableParagraph"/>
              <w:spacing w:before="29"/>
              <w:ind w:left="107"/>
              <w:jc w:val="left"/>
              <w:rPr>
                <w:sz w:val="20"/>
              </w:rPr>
            </w:pPr>
            <w:r>
              <w:rPr>
                <w:sz w:val="20"/>
              </w:rPr>
              <w:t>Kundah HEP</w:t>
            </w:r>
          </w:p>
        </w:tc>
        <w:tc>
          <w:tcPr>
            <w:tcW w:w="1435" w:type="dxa"/>
          </w:tcPr>
          <w:p w:rsidR="007C5447" w:rsidRDefault="00F6308C">
            <w:pPr>
              <w:pStyle w:val="TableParagraph"/>
              <w:spacing w:before="29"/>
              <w:ind w:right="272"/>
              <w:rPr>
                <w:sz w:val="20"/>
              </w:rPr>
            </w:pPr>
            <w:r>
              <w:rPr>
                <w:sz w:val="20"/>
              </w:rPr>
              <w:t>6.99</w:t>
            </w:r>
          </w:p>
        </w:tc>
        <w:tc>
          <w:tcPr>
            <w:tcW w:w="1790" w:type="dxa"/>
          </w:tcPr>
          <w:p w:rsidR="007C5447" w:rsidRDefault="00F6308C">
            <w:pPr>
              <w:pStyle w:val="TableParagraph"/>
              <w:spacing w:before="29"/>
              <w:ind w:right="274"/>
              <w:rPr>
                <w:sz w:val="20"/>
              </w:rPr>
            </w:pPr>
            <w:r>
              <w:rPr>
                <w:w w:val="95"/>
                <w:sz w:val="20"/>
              </w:rPr>
              <w:t>12.44</w:t>
            </w:r>
          </w:p>
        </w:tc>
        <w:tc>
          <w:tcPr>
            <w:tcW w:w="1790" w:type="dxa"/>
          </w:tcPr>
          <w:p w:rsidR="007C5447" w:rsidRDefault="00F6308C">
            <w:pPr>
              <w:pStyle w:val="TableParagraph"/>
              <w:spacing w:before="29"/>
              <w:ind w:right="273"/>
              <w:rPr>
                <w:sz w:val="20"/>
              </w:rPr>
            </w:pPr>
            <w:r>
              <w:rPr>
                <w:w w:val="95"/>
                <w:sz w:val="20"/>
              </w:rPr>
              <w:t>15.89</w:t>
            </w:r>
          </w:p>
        </w:tc>
        <w:tc>
          <w:tcPr>
            <w:tcW w:w="1466" w:type="dxa"/>
          </w:tcPr>
          <w:p w:rsidR="007C5447" w:rsidRDefault="00F6308C">
            <w:pPr>
              <w:pStyle w:val="TableParagraph"/>
              <w:spacing w:before="29"/>
              <w:ind w:right="271"/>
              <w:rPr>
                <w:sz w:val="20"/>
              </w:rPr>
            </w:pPr>
            <w:r>
              <w:rPr>
                <w:sz w:val="20"/>
              </w:rPr>
              <w:t>6.94</w:t>
            </w:r>
          </w:p>
        </w:tc>
        <w:tc>
          <w:tcPr>
            <w:tcW w:w="1834" w:type="dxa"/>
          </w:tcPr>
          <w:p w:rsidR="007C5447" w:rsidRDefault="00F6308C">
            <w:pPr>
              <w:pStyle w:val="TableParagraph"/>
              <w:spacing w:before="29"/>
              <w:ind w:right="273"/>
              <w:rPr>
                <w:sz w:val="20"/>
              </w:rPr>
            </w:pPr>
            <w:r>
              <w:rPr>
                <w:w w:val="95"/>
                <w:sz w:val="20"/>
              </w:rPr>
              <w:t>14.86</w:t>
            </w:r>
          </w:p>
        </w:tc>
        <w:tc>
          <w:tcPr>
            <w:tcW w:w="1860" w:type="dxa"/>
          </w:tcPr>
          <w:p w:rsidR="007C5447" w:rsidRDefault="00F6308C">
            <w:pPr>
              <w:pStyle w:val="TableParagraph"/>
              <w:spacing w:before="29"/>
              <w:ind w:right="271"/>
              <w:rPr>
                <w:sz w:val="20"/>
              </w:rPr>
            </w:pPr>
            <w:r>
              <w:rPr>
                <w:w w:val="95"/>
                <w:sz w:val="20"/>
              </w:rPr>
              <w:t>20.80</w:t>
            </w:r>
          </w:p>
        </w:tc>
      </w:tr>
      <w:tr w:rsidR="007C5447">
        <w:trPr>
          <w:trHeight w:val="287"/>
        </w:trPr>
        <w:tc>
          <w:tcPr>
            <w:tcW w:w="3322" w:type="dxa"/>
          </w:tcPr>
          <w:p w:rsidR="007C5447" w:rsidRDefault="00F6308C">
            <w:pPr>
              <w:pStyle w:val="TableParagraph"/>
              <w:spacing w:before="29"/>
              <w:ind w:left="107"/>
              <w:jc w:val="left"/>
              <w:rPr>
                <w:sz w:val="20"/>
              </w:rPr>
            </w:pPr>
            <w:r>
              <w:rPr>
                <w:sz w:val="20"/>
              </w:rPr>
              <w:t>Tirunelveli HEP</w:t>
            </w:r>
          </w:p>
        </w:tc>
        <w:tc>
          <w:tcPr>
            <w:tcW w:w="1435" w:type="dxa"/>
          </w:tcPr>
          <w:p w:rsidR="007C5447" w:rsidRDefault="00F6308C">
            <w:pPr>
              <w:pStyle w:val="TableParagraph"/>
              <w:spacing w:before="29"/>
              <w:ind w:right="272"/>
              <w:rPr>
                <w:sz w:val="20"/>
              </w:rPr>
            </w:pPr>
            <w:r>
              <w:rPr>
                <w:sz w:val="20"/>
              </w:rPr>
              <w:t>4.12</w:t>
            </w:r>
          </w:p>
        </w:tc>
        <w:tc>
          <w:tcPr>
            <w:tcW w:w="1790" w:type="dxa"/>
          </w:tcPr>
          <w:p w:rsidR="007C5447" w:rsidRDefault="00F6308C">
            <w:pPr>
              <w:pStyle w:val="TableParagraph"/>
              <w:spacing w:before="29"/>
              <w:ind w:right="274"/>
              <w:rPr>
                <w:sz w:val="20"/>
              </w:rPr>
            </w:pPr>
            <w:r>
              <w:rPr>
                <w:sz w:val="20"/>
              </w:rPr>
              <w:t>5.91</w:t>
            </w:r>
          </w:p>
        </w:tc>
        <w:tc>
          <w:tcPr>
            <w:tcW w:w="1790" w:type="dxa"/>
          </w:tcPr>
          <w:p w:rsidR="007C5447" w:rsidRDefault="00F6308C">
            <w:pPr>
              <w:pStyle w:val="TableParagraph"/>
              <w:spacing w:before="29"/>
              <w:ind w:right="272"/>
              <w:rPr>
                <w:sz w:val="20"/>
              </w:rPr>
            </w:pPr>
            <w:r>
              <w:rPr>
                <w:sz w:val="20"/>
              </w:rPr>
              <w:t>7.55</w:t>
            </w:r>
          </w:p>
        </w:tc>
        <w:tc>
          <w:tcPr>
            <w:tcW w:w="1466" w:type="dxa"/>
          </w:tcPr>
          <w:p w:rsidR="007C5447" w:rsidRDefault="00F6308C">
            <w:pPr>
              <w:pStyle w:val="TableParagraph"/>
              <w:spacing w:before="29"/>
              <w:ind w:right="271"/>
              <w:rPr>
                <w:sz w:val="20"/>
              </w:rPr>
            </w:pPr>
            <w:r>
              <w:rPr>
                <w:sz w:val="20"/>
              </w:rPr>
              <w:t>3.93</w:t>
            </w:r>
          </w:p>
        </w:tc>
        <w:tc>
          <w:tcPr>
            <w:tcW w:w="1834" w:type="dxa"/>
          </w:tcPr>
          <w:p w:rsidR="007C5447" w:rsidRDefault="00F6308C">
            <w:pPr>
              <w:pStyle w:val="TableParagraph"/>
              <w:spacing w:before="29"/>
              <w:ind w:right="273"/>
              <w:rPr>
                <w:sz w:val="20"/>
              </w:rPr>
            </w:pPr>
            <w:r>
              <w:rPr>
                <w:sz w:val="20"/>
              </w:rPr>
              <w:t>5.63</w:t>
            </w:r>
          </w:p>
        </w:tc>
        <w:tc>
          <w:tcPr>
            <w:tcW w:w="1860" w:type="dxa"/>
          </w:tcPr>
          <w:p w:rsidR="007C5447" w:rsidRDefault="00F6308C">
            <w:pPr>
              <w:pStyle w:val="TableParagraph"/>
              <w:spacing w:before="29"/>
              <w:ind w:right="271"/>
              <w:rPr>
                <w:sz w:val="20"/>
              </w:rPr>
            </w:pPr>
            <w:r>
              <w:rPr>
                <w:sz w:val="20"/>
              </w:rPr>
              <w:t>7.88</w:t>
            </w:r>
          </w:p>
        </w:tc>
      </w:tr>
      <w:tr w:rsidR="007C5447">
        <w:trPr>
          <w:trHeight w:val="290"/>
        </w:trPr>
        <w:tc>
          <w:tcPr>
            <w:tcW w:w="3322" w:type="dxa"/>
          </w:tcPr>
          <w:p w:rsidR="007C5447" w:rsidRDefault="00F6308C">
            <w:pPr>
              <w:pStyle w:val="TableParagraph"/>
              <w:spacing w:before="31"/>
              <w:ind w:left="107"/>
              <w:jc w:val="left"/>
              <w:rPr>
                <w:b/>
                <w:sz w:val="20"/>
              </w:rPr>
            </w:pPr>
            <w:r>
              <w:rPr>
                <w:b/>
                <w:sz w:val="20"/>
              </w:rPr>
              <w:t>Grand Total Generation</w:t>
            </w:r>
          </w:p>
        </w:tc>
        <w:tc>
          <w:tcPr>
            <w:tcW w:w="1435" w:type="dxa"/>
          </w:tcPr>
          <w:p w:rsidR="007C5447" w:rsidRDefault="00F6308C">
            <w:pPr>
              <w:pStyle w:val="TableParagraph"/>
              <w:spacing w:before="31"/>
              <w:ind w:right="273"/>
              <w:rPr>
                <w:b/>
                <w:sz w:val="20"/>
              </w:rPr>
            </w:pPr>
            <w:r>
              <w:rPr>
                <w:b/>
                <w:w w:val="95"/>
                <w:sz w:val="20"/>
              </w:rPr>
              <w:t>608.98</w:t>
            </w:r>
          </w:p>
        </w:tc>
        <w:tc>
          <w:tcPr>
            <w:tcW w:w="1790" w:type="dxa"/>
          </w:tcPr>
          <w:p w:rsidR="007C5447" w:rsidRDefault="00F6308C">
            <w:pPr>
              <w:pStyle w:val="TableParagraph"/>
              <w:spacing w:before="31"/>
              <w:ind w:right="275"/>
              <w:rPr>
                <w:b/>
                <w:sz w:val="20"/>
              </w:rPr>
            </w:pPr>
            <w:r>
              <w:rPr>
                <w:b/>
                <w:w w:val="95"/>
                <w:sz w:val="20"/>
              </w:rPr>
              <w:t>562.40</w:t>
            </w:r>
          </w:p>
        </w:tc>
        <w:tc>
          <w:tcPr>
            <w:tcW w:w="1790" w:type="dxa"/>
          </w:tcPr>
          <w:p w:rsidR="007C5447" w:rsidRDefault="00F6308C">
            <w:pPr>
              <w:pStyle w:val="TableParagraph"/>
              <w:spacing w:before="31"/>
              <w:ind w:right="274"/>
              <w:rPr>
                <w:b/>
                <w:sz w:val="20"/>
              </w:rPr>
            </w:pPr>
            <w:r>
              <w:rPr>
                <w:b/>
                <w:w w:val="95"/>
                <w:sz w:val="20"/>
              </w:rPr>
              <w:t>717.93</w:t>
            </w:r>
          </w:p>
        </w:tc>
        <w:tc>
          <w:tcPr>
            <w:tcW w:w="1466" w:type="dxa"/>
          </w:tcPr>
          <w:p w:rsidR="007C5447" w:rsidRDefault="00F6308C">
            <w:pPr>
              <w:pStyle w:val="TableParagraph"/>
              <w:spacing w:before="31"/>
              <w:ind w:right="271"/>
              <w:rPr>
                <w:b/>
                <w:sz w:val="20"/>
              </w:rPr>
            </w:pPr>
            <w:r>
              <w:rPr>
                <w:b/>
                <w:w w:val="95"/>
                <w:sz w:val="20"/>
              </w:rPr>
              <w:t>556.88</w:t>
            </w:r>
          </w:p>
        </w:tc>
        <w:tc>
          <w:tcPr>
            <w:tcW w:w="1834" w:type="dxa"/>
          </w:tcPr>
          <w:p w:rsidR="007C5447" w:rsidRDefault="00F6308C">
            <w:pPr>
              <w:pStyle w:val="TableParagraph"/>
              <w:spacing w:before="31"/>
              <w:ind w:right="273"/>
              <w:rPr>
                <w:b/>
                <w:sz w:val="20"/>
              </w:rPr>
            </w:pPr>
            <w:r>
              <w:rPr>
                <w:b/>
                <w:w w:val="95"/>
                <w:sz w:val="20"/>
              </w:rPr>
              <w:t>559.61</w:t>
            </w:r>
          </w:p>
        </w:tc>
        <w:tc>
          <w:tcPr>
            <w:tcW w:w="1860" w:type="dxa"/>
          </w:tcPr>
          <w:p w:rsidR="007C5447" w:rsidRDefault="00F6308C">
            <w:pPr>
              <w:pStyle w:val="TableParagraph"/>
              <w:spacing w:before="31"/>
              <w:ind w:right="270"/>
              <w:rPr>
                <w:b/>
                <w:sz w:val="20"/>
              </w:rPr>
            </w:pPr>
            <w:r>
              <w:rPr>
                <w:b/>
                <w:w w:val="95"/>
                <w:sz w:val="20"/>
              </w:rPr>
              <w:t>783.17</w:t>
            </w:r>
          </w:p>
        </w:tc>
      </w:tr>
      <w:tr w:rsidR="007C5447">
        <w:trPr>
          <w:trHeight w:val="287"/>
        </w:trPr>
        <w:tc>
          <w:tcPr>
            <w:tcW w:w="3322" w:type="dxa"/>
          </w:tcPr>
          <w:p w:rsidR="007C5447" w:rsidRDefault="00F6308C">
            <w:pPr>
              <w:pStyle w:val="TableParagraph"/>
              <w:spacing w:before="29"/>
              <w:ind w:left="107"/>
              <w:jc w:val="left"/>
              <w:rPr>
                <w:b/>
                <w:sz w:val="20"/>
              </w:rPr>
            </w:pPr>
            <w:r>
              <w:rPr>
                <w:b/>
                <w:sz w:val="20"/>
              </w:rPr>
              <w:t>Distribution</w:t>
            </w:r>
          </w:p>
        </w:tc>
        <w:tc>
          <w:tcPr>
            <w:tcW w:w="1435" w:type="dxa"/>
          </w:tcPr>
          <w:p w:rsidR="007C5447" w:rsidRDefault="00F6308C">
            <w:pPr>
              <w:pStyle w:val="TableParagraph"/>
              <w:spacing w:before="29"/>
              <w:ind w:right="271"/>
              <w:rPr>
                <w:b/>
                <w:sz w:val="20"/>
              </w:rPr>
            </w:pPr>
            <w:r>
              <w:rPr>
                <w:b/>
                <w:w w:val="99"/>
                <w:sz w:val="20"/>
              </w:rPr>
              <w:t>-</w:t>
            </w:r>
          </w:p>
        </w:tc>
        <w:tc>
          <w:tcPr>
            <w:tcW w:w="1790" w:type="dxa"/>
          </w:tcPr>
          <w:p w:rsidR="007C5447" w:rsidRDefault="00F6308C">
            <w:pPr>
              <w:pStyle w:val="TableParagraph"/>
              <w:spacing w:before="29"/>
              <w:ind w:right="275"/>
              <w:rPr>
                <w:b/>
                <w:sz w:val="20"/>
              </w:rPr>
            </w:pPr>
            <w:r>
              <w:rPr>
                <w:b/>
                <w:w w:val="95"/>
                <w:sz w:val="20"/>
              </w:rPr>
              <w:t>189.53</w:t>
            </w:r>
          </w:p>
        </w:tc>
        <w:tc>
          <w:tcPr>
            <w:tcW w:w="1790" w:type="dxa"/>
          </w:tcPr>
          <w:p w:rsidR="007C5447" w:rsidRDefault="00F6308C">
            <w:pPr>
              <w:pStyle w:val="TableParagraph"/>
              <w:spacing w:before="29"/>
              <w:ind w:right="273"/>
              <w:rPr>
                <w:b/>
                <w:sz w:val="20"/>
              </w:rPr>
            </w:pPr>
            <w:r>
              <w:rPr>
                <w:b/>
                <w:w w:val="99"/>
                <w:sz w:val="20"/>
              </w:rPr>
              <w:t>-</w:t>
            </w:r>
          </w:p>
        </w:tc>
        <w:tc>
          <w:tcPr>
            <w:tcW w:w="1466" w:type="dxa"/>
          </w:tcPr>
          <w:p w:rsidR="007C5447" w:rsidRDefault="00F6308C">
            <w:pPr>
              <w:pStyle w:val="TableParagraph"/>
              <w:spacing w:before="29"/>
              <w:ind w:right="267"/>
              <w:rPr>
                <w:sz w:val="20"/>
              </w:rPr>
            </w:pPr>
            <w:r>
              <w:rPr>
                <w:w w:val="99"/>
                <w:sz w:val="20"/>
              </w:rPr>
              <w:t>-</w:t>
            </w:r>
          </w:p>
        </w:tc>
        <w:tc>
          <w:tcPr>
            <w:tcW w:w="1834" w:type="dxa"/>
          </w:tcPr>
          <w:p w:rsidR="007C5447" w:rsidRDefault="00F6308C">
            <w:pPr>
              <w:pStyle w:val="TableParagraph"/>
              <w:spacing w:before="29"/>
              <w:ind w:right="273"/>
              <w:rPr>
                <w:b/>
                <w:sz w:val="20"/>
              </w:rPr>
            </w:pPr>
            <w:r>
              <w:rPr>
                <w:b/>
                <w:w w:val="95"/>
                <w:sz w:val="20"/>
              </w:rPr>
              <w:t>178.74</w:t>
            </w:r>
          </w:p>
        </w:tc>
        <w:tc>
          <w:tcPr>
            <w:tcW w:w="1860" w:type="dxa"/>
          </w:tcPr>
          <w:p w:rsidR="007C5447" w:rsidRDefault="00F6308C">
            <w:pPr>
              <w:pStyle w:val="TableParagraph"/>
              <w:spacing w:before="29"/>
              <w:ind w:right="270"/>
              <w:rPr>
                <w:b/>
                <w:sz w:val="20"/>
              </w:rPr>
            </w:pPr>
            <w:r>
              <w:rPr>
                <w:b/>
                <w:w w:val="99"/>
                <w:sz w:val="20"/>
              </w:rPr>
              <w:t>-</w:t>
            </w:r>
          </w:p>
        </w:tc>
      </w:tr>
      <w:tr w:rsidR="007C5447">
        <w:trPr>
          <w:trHeight w:val="287"/>
        </w:trPr>
        <w:tc>
          <w:tcPr>
            <w:tcW w:w="3322" w:type="dxa"/>
          </w:tcPr>
          <w:p w:rsidR="007C5447" w:rsidRDefault="00F6308C">
            <w:pPr>
              <w:pStyle w:val="TableParagraph"/>
              <w:spacing w:before="29"/>
              <w:ind w:left="107"/>
              <w:jc w:val="left"/>
              <w:rPr>
                <w:b/>
                <w:sz w:val="20"/>
              </w:rPr>
            </w:pPr>
            <w:r>
              <w:rPr>
                <w:b/>
                <w:sz w:val="20"/>
              </w:rPr>
              <w:t>Generation + Distribution</w:t>
            </w:r>
          </w:p>
        </w:tc>
        <w:tc>
          <w:tcPr>
            <w:tcW w:w="1435" w:type="dxa"/>
          </w:tcPr>
          <w:p w:rsidR="007C5447" w:rsidRDefault="00F6308C">
            <w:pPr>
              <w:pStyle w:val="TableParagraph"/>
              <w:spacing w:before="29"/>
              <w:ind w:right="270"/>
              <w:rPr>
                <w:b/>
                <w:sz w:val="20"/>
              </w:rPr>
            </w:pPr>
            <w:r>
              <w:rPr>
                <w:b/>
                <w:w w:val="95"/>
                <w:sz w:val="20"/>
              </w:rPr>
              <w:t>608.98</w:t>
            </w:r>
          </w:p>
        </w:tc>
        <w:tc>
          <w:tcPr>
            <w:tcW w:w="1790" w:type="dxa"/>
          </w:tcPr>
          <w:p w:rsidR="007C5447" w:rsidRDefault="00F6308C">
            <w:pPr>
              <w:pStyle w:val="TableParagraph"/>
              <w:spacing w:before="29"/>
              <w:ind w:right="272"/>
              <w:rPr>
                <w:b/>
                <w:sz w:val="20"/>
              </w:rPr>
            </w:pPr>
            <w:r>
              <w:rPr>
                <w:b/>
                <w:w w:val="95"/>
                <w:sz w:val="20"/>
              </w:rPr>
              <w:t>751.94</w:t>
            </w:r>
          </w:p>
        </w:tc>
        <w:tc>
          <w:tcPr>
            <w:tcW w:w="1790" w:type="dxa"/>
          </w:tcPr>
          <w:p w:rsidR="007C5447" w:rsidRDefault="00F6308C">
            <w:pPr>
              <w:pStyle w:val="TableParagraph"/>
              <w:spacing w:before="29"/>
              <w:ind w:right="274"/>
              <w:rPr>
                <w:b/>
                <w:sz w:val="20"/>
              </w:rPr>
            </w:pPr>
            <w:r>
              <w:rPr>
                <w:b/>
                <w:w w:val="95"/>
                <w:sz w:val="20"/>
              </w:rPr>
              <w:t>717.93</w:t>
            </w:r>
          </w:p>
        </w:tc>
        <w:tc>
          <w:tcPr>
            <w:tcW w:w="1466" w:type="dxa"/>
          </w:tcPr>
          <w:p w:rsidR="007C5447" w:rsidRDefault="00F6308C">
            <w:pPr>
              <w:pStyle w:val="TableParagraph"/>
              <w:spacing w:before="29"/>
              <w:ind w:right="269"/>
              <w:rPr>
                <w:b/>
                <w:sz w:val="20"/>
              </w:rPr>
            </w:pPr>
            <w:r>
              <w:rPr>
                <w:b/>
                <w:w w:val="95"/>
                <w:sz w:val="20"/>
              </w:rPr>
              <w:t>556.88</w:t>
            </w:r>
          </w:p>
        </w:tc>
        <w:tc>
          <w:tcPr>
            <w:tcW w:w="1834" w:type="dxa"/>
          </w:tcPr>
          <w:p w:rsidR="007C5447" w:rsidRDefault="00F6308C">
            <w:pPr>
              <w:pStyle w:val="TableParagraph"/>
              <w:spacing w:before="29"/>
              <w:ind w:right="271"/>
              <w:rPr>
                <w:b/>
                <w:sz w:val="20"/>
              </w:rPr>
            </w:pPr>
            <w:r>
              <w:rPr>
                <w:b/>
                <w:w w:val="95"/>
                <w:sz w:val="20"/>
              </w:rPr>
              <w:t>738.35</w:t>
            </w:r>
          </w:p>
        </w:tc>
        <w:tc>
          <w:tcPr>
            <w:tcW w:w="1860" w:type="dxa"/>
          </w:tcPr>
          <w:p w:rsidR="007C5447" w:rsidRDefault="00F6308C">
            <w:pPr>
              <w:pStyle w:val="TableParagraph"/>
              <w:spacing w:before="29"/>
              <w:ind w:right="270"/>
              <w:rPr>
                <w:b/>
                <w:sz w:val="20"/>
              </w:rPr>
            </w:pPr>
            <w:r>
              <w:rPr>
                <w:b/>
                <w:w w:val="95"/>
                <w:sz w:val="20"/>
              </w:rPr>
              <w:t>783.17</w:t>
            </w:r>
          </w:p>
        </w:tc>
      </w:tr>
    </w:tbl>
    <w:p w:rsidR="007C5447" w:rsidRDefault="007C5447">
      <w:pPr>
        <w:rPr>
          <w:sz w:val="20"/>
        </w:rPr>
        <w:sectPr w:rsidR="007C5447">
          <w:pgSz w:w="16840" w:h="11910" w:orient="landscape"/>
          <w:pgMar w:top="1100" w:right="920" w:bottom="1240" w:left="1340" w:header="0" w:footer="1057" w:gutter="0"/>
          <w:cols w:space="720"/>
        </w:sectPr>
      </w:pPr>
    </w:p>
    <w:p w:rsidR="007C5447" w:rsidRDefault="00F6308C">
      <w:pPr>
        <w:pStyle w:val="Heading2"/>
        <w:numPr>
          <w:ilvl w:val="1"/>
          <w:numId w:val="92"/>
        </w:numPr>
        <w:tabs>
          <w:tab w:val="left" w:pos="1247"/>
        </w:tabs>
        <w:spacing w:before="61"/>
        <w:jc w:val="left"/>
      </w:pPr>
      <w:bookmarkStart w:id="46" w:name="_bookmark46"/>
      <w:bookmarkEnd w:id="46"/>
      <w:r>
        <w:lastRenderedPageBreak/>
        <w:t>Other</w:t>
      </w:r>
      <w:r>
        <w:rPr>
          <w:spacing w:val="-2"/>
        </w:rPr>
        <w:t xml:space="preserve"> </w:t>
      </w:r>
      <w:r>
        <w:t>Debits</w:t>
      </w:r>
    </w:p>
    <w:p w:rsidR="007C5447" w:rsidRDefault="007C5447">
      <w:pPr>
        <w:pStyle w:val="BodyText"/>
        <w:spacing w:before="11"/>
        <w:rPr>
          <w:b/>
          <w:sz w:val="27"/>
        </w:rPr>
      </w:pPr>
    </w:p>
    <w:p w:rsidR="007C5447" w:rsidRDefault="00F6308C">
      <w:pPr>
        <w:pStyle w:val="ListParagraph"/>
        <w:numPr>
          <w:ilvl w:val="2"/>
          <w:numId w:val="92"/>
        </w:numPr>
        <w:tabs>
          <w:tab w:val="left" w:pos="1533"/>
        </w:tabs>
        <w:spacing w:line="312" w:lineRule="auto"/>
        <w:ind w:right="1355"/>
        <w:jc w:val="both"/>
        <w:rPr>
          <w:sz w:val="24"/>
        </w:rPr>
      </w:pPr>
      <w:r>
        <w:rPr>
          <w:sz w:val="24"/>
        </w:rPr>
        <w:t>TANGEDCO submitted that Other Debits incurred during FY 2011-12 to FY 2015- 16 are related to the relevant revenue expenditure discussed in the above sections and hence may be allowed</w:t>
      </w:r>
      <w:r>
        <w:rPr>
          <w:spacing w:val="-6"/>
          <w:sz w:val="24"/>
        </w:rPr>
        <w:t xml:space="preserve"> </w:t>
      </w:r>
      <w:r>
        <w:rPr>
          <w:sz w:val="24"/>
        </w:rPr>
        <w:t>entirely.</w:t>
      </w:r>
    </w:p>
    <w:p w:rsidR="007C5447" w:rsidRDefault="007C5447">
      <w:pPr>
        <w:pStyle w:val="BodyText"/>
        <w:spacing w:before="1"/>
        <w:rPr>
          <w:sz w:val="21"/>
        </w:rPr>
      </w:pPr>
    </w:p>
    <w:p w:rsidR="007C5447" w:rsidRDefault="00F6308C">
      <w:pPr>
        <w:spacing w:before="1"/>
        <w:ind w:left="823" w:right="783"/>
        <w:jc w:val="center"/>
        <w:rPr>
          <w:b/>
        </w:rPr>
      </w:pPr>
      <w:r>
        <w:rPr>
          <w:b/>
        </w:rPr>
        <w:t>Table 3-28: Other Debits as submitted by TANGEDCO (Rs. Crore)</w:t>
      </w:r>
    </w:p>
    <w:p w:rsidR="007C5447" w:rsidRDefault="007C5447">
      <w:pPr>
        <w:pStyle w:val="BodyText"/>
        <w:spacing w:before="10"/>
        <w:rPr>
          <w:b/>
          <w:sz w:val="16"/>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957"/>
        <w:gridCol w:w="1313"/>
        <w:gridCol w:w="1311"/>
        <w:gridCol w:w="1311"/>
        <w:gridCol w:w="1312"/>
        <w:gridCol w:w="1314"/>
      </w:tblGrid>
      <w:tr w:rsidR="007C5447">
        <w:trPr>
          <w:trHeight w:val="294"/>
        </w:trPr>
        <w:tc>
          <w:tcPr>
            <w:tcW w:w="562" w:type="dxa"/>
            <w:shd w:val="clear" w:color="auto" w:fill="F7C9AC"/>
          </w:tcPr>
          <w:p w:rsidR="007C5447" w:rsidRDefault="00F6308C">
            <w:pPr>
              <w:pStyle w:val="TableParagraph"/>
              <w:spacing w:before="31"/>
              <w:ind w:left="107"/>
              <w:jc w:val="left"/>
              <w:rPr>
                <w:b/>
                <w:sz w:val="20"/>
              </w:rPr>
            </w:pPr>
            <w:r>
              <w:rPr>
                <w:b/>
                <w:sz w:val="20"/>
              </w:rPr>
              <w:t>Sl.</w:t>
            </w:r>
          </w:p>
        </w:tc>
        <w:tc>
          <w:tcPr>
            <w:tcW w:w="1957" w:type="dxa"/>
            <w:shd w:val="clear" w:color="auto" w:fill="F7C9AC"/>
          </w:tcPr>
          <w:p w:rsidR="007C5447" w:rsidRDefault="00F6308C">
            <w:pPr>
              <w:pStyle w:val="TableParagraph"/>
              <w:spacing w:before="31"/>
              <w:ind w:left="107"/>
              <w:jc w:val="left"/>
              <w:rPr>
                <w:b/>
                <w:sz w:val="20"/>
              </w:rPr>
            </w:pPr>
            <w:r>
              <w:rPr>
                <w:b/>
                <w:sz w:val="20"/>
              </w:rPr>
              <w:t>Particulars</w:t>
            </w:r>
          </w:p>
        </w:tc>
        <w:tc>
          <w:tcPr>
            <w:tcW w:w="1313" w:type="dxa"/>
            <w:shd w:val="clear" w:color="auto" w:fill="F7C9AC"/>
          </w:tcPr>
          <w:p w:rsidR="007C5447" w:rsidRDefault="00F6308C">
            <w:pPr>
              <w:pStyle w:val="TableParagraph"/>
              <w:spacing w:before="31"/>
              <w:ind w:left="162"/>
              <w:jc w:val="left"/>
              <w:rPr>
                <w:b/>
                <w:sz w:val="20"/>
              </w:rPr>
            </w:pPr>
            <w:r>
              <w:rPr>
                <w:b/>
                <w:sz w:val="20"/>
              </w:rPr>
              <w:t>FY 2011-12</w:t>
            </w:r>
          </w:p>
        </w:tc>
        <w:tc>
          <w:tcPr>
            <w:tcW w:w="1311" w:type="dxa"/>
            <w:shd w:val="clear" w:color="auto" w:fill="F7C9AC"/>
          </w:tcPr>
          <w:p w:rsidR="007C5447" w:rsidRDefault="00F6308C">
            <w:pPr>
              <w:pStyle w:val="TableParagraph"/>
              <w:spacing w:before="31"/>
              <w:ind w:right="153"/>
              <w:rPr>
                <w:b/>
                <w:sz w:val="20"/>
              </w:rPr>
            </w:pPr>
            <w:r>
              <w:rPr>
                <w:b/>
                <w:sz w:val="20"/>
              </w:rPr>
              <w:t>FY 2012-13</w:t>
            </w:r>
          </w:p>
        </w:tc>
        <w:tc>
          <w:tcPr>
            <w:tcW w:w="1311" w:type="dxa"/>
            <w:shd w:val="clear" w:color="auto" w:fill="F7C9AC"/>
          </w:tcPr>
          <w:p w:rsidR="007C5447" w:rsidRDefault="00F6308C">
            <w:pPr>
              <w:pStyle w:val="TableParagraph"/>
              <w:spacing w:before="31"/>
              <w:ind w:left="161"/>
              <w:jc w:val="left"/>
              <w:rPr>
                <w:b/>
                <w:sz w:val="20"/>
              </w:rPr>
            </w:pPr>
            <w:r>
              <w:rPr>
                <w:b/>
                <w:sz w:val="20"/>
              </w:rPr>
              <w:t>FY 2013-14</w:t>
            </w:r>
          </w:p>
        </w:tc>
        <w:tc>
          <w:tcPr>
            <w:tcW w:w="1312" w:type="dxa"/>
            <w:shd w:val="clear" w:color="auto" w:fill="F7C9AC"/>
          </w:tcPr>
          <w:p w:rsidR="007C5447" w:rsidRDefault="00F6308C">
            <w:pPr>
              <w:pStyle w:val="TableParagraph"/>
              <w:spacing w:before="31"/>
              <w:ind w:right="151"/>
              <w:rPr>
                <w:b/>
                <w:sz w:val="20"/>
              </w:rPr>
            </w:pPr>
            <w:r>
              <w:rPr>
                <w:b/>
                <w:sz w:val="20"/>
              </w:rPr>
              <w:t>FY 2014-15</w:t>
            </w:r>
          </w:p>
        </w:tc>
        <w:tc>
          <w:tcPr>
            <w:tcW w:w="1314" w:type="dxa"/>
            <w:shd w:val="clear" w:color="auto" w:fill="F7C9AC"/>
          </w:tcPr>
          <w:p w:rsidR="007C5447" w:rsidRDefault="00F6308C">
            <w:pPr>
              <w:pStyle w:val="TableParagraph"/>
              <w:spacing w:before="31"/>
              <w:ind w:right="155"/>
              <w:rPr>
                <w:b/>
                <w:sz w:val="20"/>
              </w:rPr>
            </w:pPr>
            <w:r>
              <w:rPr>
                <w:b/>
                <w:sz w:val="20"/>
              </w:rPr>
              <w:t>FY 2015-16</w:t>
            </w:r>
          </w:p>
        </w:tc>
      </w:tr>
      <w:tr w:rsidR="007C5447">
        <w:trPr>
          <w:trHeight w:val="294"/>
        </w:trPr>
        <w:tc>
          <w:tcPr>
            <w:tcW w:w="562" w:type="dxa"/>
          </w:tcPr>
          <w:p w:rsidR="007C5447" w:rsidRDefault="00F6308C">
            <w:pPr>
              <w:pStyle w:val="TableParagraph"/>
              <w:spacing w:before="31"/>
              <w:ind w:left="107"/>
              <w:jc w:val="left"/>
              <w:rPr>
                <w:sz w:val="20"/>
              </w:rPr>
            </w:pPr>
            <w:r>
              <w:rPr>
                <w:w w:val="99"/>
                <w:sz w:val="20"/>
              </w:rPr>
              <w:t>1</w:t>
            </w:r>
          </w:p>
        </w:tc>
        <w:tc>
          <w:tcPr>
            <w:tcW w:w="1957" w:type="dxa"/>
          </w:tcPr>
          <w:p w:rsidR="007C5447" w:rsidRDefault="00F6308C">
            <w:pPr>
              <w:pStyle w:val="TableParagraph"/>
              <w:spacing w:before="50" w:line="224" w:lineRule="exact"/>
              <w:ind w:left="107"/>
              <w:jc w:val="left"/>
              <w:rPr>
                <w:sz w:val="20"/>
              </w:rPr>
            </w:pPr>
            <w:r>
              <w:rPr>
                <w:sz w:val="20"/>
              </w:rPr>
              <w:t>Ennore TPS</w:t>
            </w:r>
          </w:p>
        </w:tc>
        <w:tc>
          <w:tcPr>
            <w:tcW w:w="1313" w:type="dxa"/>
          </w:tcPr>
          <w:p w:rsidR="007C5447" w:rsidRDefault="00F6308C">
            <w:pPr>
              <w:pStyle w:val="TableParagraph"/>
              <w:spacing w:before="31"/>
              <w:ind w:right="273"/>
              <w:rPr>
                <w:sz w:val="20"/>
              </w:rPr>
            </w:pPr>
            <w:r>
              <w:rPr>
                <w:w w:val="99"/>
                <w:sz w:val="20"/>
              </w:rPr>
              <w:t>-</w:t>
            </w:r>
          </w:p>
        </w:tc>
        <w:tc>
          <w:tcPr>
            <w:tcW w:w="1311" w:type="dxa"/>
          </w:tcPr>
          <w:p w:rsidR="007C5447" w:rsidRDefault="00F6308C">
            <w:pPr>
              <w:pStyle w:val="TableParagraph"/>
              <w:spacing w:before="31"/>
              <w:ind w:right="273"/>
              <w:rPr>
                <w:sz w:val="20"/>
              </w:rPr>
            </w:pPr>
            <w:r>
              <w:rPr>
                <w:w w:val="99"/>
                <w:sz w:val="20"/>
              </w:rPr>
              <w:t>-</w:t>
            </w:r>
          </w:p>
        </w:tc>
        <w:tc>
          <w:tcPr>
            <w:tcW w:w="1311" w:type="dxa"/>
          </w:tcPr>
          <w:p w:rsidR="007C5447" w:rsidRDefault="00F6308C">
            <w:pPr>
              <w:pStyle w:val="TableParagraph"/>
              <w:spacing w:before="31"/>
              <w:ind w:right="271"/>
              <w:rPr>
                <w:sz w:val="20"/>
              </w:rPr>
            </w:pPr>
            <w:r>
              <w:rPr>
                <w:w w:val="99"/>
                <w:sz w:val="20"/>
              </w:rPr>
              <w:t>-</w:t>
            </w:r>
          </w:p>
        </w:tc>
        <w:tc>
          <w:tcPr>
            <w:tcW w:w="1312" w:type="dxa"/>
          </w:tcPr>
          <w:p w:rsidR="007C5447" w:rsidRDefault="00F6308C">
            <w:pPr>
              <w:pStyle w:val="TableParagraph"/>
              <w:spacing w:before="14"/>
              <w:ind w:right="275"/>
              <w:rPr>
                <w:sz w:val="20"/>
              </w:rPr>
            </w:pPr>
            <w:r>
              <w:rPr>
                <w:w w:val="99"/>
                <w:sz w:val="20"/>
              </w:rPr>
              <w:t>-</w:t>
            </w:r>
          </w:p>
        </w:tc>
        <w:tc>
          <w:tcPr>
            <w:tcW w:w="1314" w:type="dxa"/>
          </w:tcPr>
          <w:p w:rsidR="007C5447" w:rsidRDefault="00F6308C">
            <w:pPr>
              <w:pStyle w:val="TableParagraph"/>
              <w:spacing w:before="14"/>
              <w:ind w:right="278"/>
              <w:rPr>
                <w:sz w:val="20"/>
              </w:rPr>
            </w:pPr>
            <w:r>
              <w:rPr>
                <w:w w:val="99"/>
                <w:sz w:val="20"/>
              </w:rPr>
              <w:t>-</w:t>
            </w:r>
          </w:p>
        </w:tc>
      </w:tr>
      <w:tr w:rsidR="007C5447">
        <w:trPr>
          <w:trHeight w:val="294"/>
        </w:trPr>
        <w:tc>
          <w:tcPr>
            <w:tcW w:w="562" w:type="dxa"/>
          </w:tcPr>
          <w:p w:rsidR="007C5447" w:rsidRDefault="00F6308C">
            <w:pPr>
              <w:pStyle w:val="TableParagraph"/>
              <w:spacing w:before="34"/>
              <w:ind w:left="107"/>
              <w:jc w:val="left"/>
              <w:rPr>
                <w:sz w:val="20"/>
              </w:rPr>
            </w:pPr>
            <w:r>
              <w:rPr>
                <w:w w:val="99"/>
                <w:sz w:val="20"/>
              </w:rPr>
              <w:t>2</w:t>
            </w:r>
          </w:p>
        </w:tc>
        <w:tc>
          <w:tcPr>
            <w:tcW w:w="1957" w:type="dxa"/>
          </w:tcPr>
          <w:p w:rsidR="007C5447" w:rsidRDefault="00F6308C">
            <w:pPr>
              <w:pStyle w:val="TableParagraph"/>
              <w:spacing w:before="50" w:line="224" w:lineRule="exact"/>
              <w:ind w:left="107"/>
              <w:jc w:val="left"/>
              <w:rPr>
                <w:sz w:val="20"/>
              </w:rPr>
            </w:pPr>
            <w:r>
              <w:rPr>
                <w:sz w:val="20"/>
              </w:rPr>
              <w:t>Tuticorin TPS</w:t>
            </w:r>
          </w:p>
        </w:tc>
        <w:tc>
          <w:tcPr>
            <w:tcW w:w="1313" w:type="dxa"/>
          </w:tcPr>
          <w:p w:rsidR="007C5447" w:rsidRDefault="00F6308C">
            <w:pPr>
              <w:pStyle w:val="TableParagraph"/>
              <w:spacing w:before="34"/>
              <w:ind w:left="673"/>
              <w:jc w:val="left"/>
              <w:rPr>
                <w:sz w:val="20"/>
              </w:rPr>
            </w:pPr>
            <w:r>
              <w:rPr>
                <w:sz w:val="20"/>
              </w:rPr>
              <w:t>0.79</w:t>
            </w:r>
          </w:p>
        </w:tc>
        <w:tc>
          <w:tcPr>
            <w:tcW w:w="1311" w:type="dxa"/>
          </w:tcPr>
          <w:p w:rsidR="007C5447" w:rsidRDefault="00F6308C">
            <w:pPr>
              <w:pStyle w:val="TableParagraph"/>
              <w:spacing w:before="34"/>
              <w:ind w:right="277"/>
              <w:rPr>
                <w:sz w:val="20"/>
              </w:rPr>
            </w:pPr>
            <w:r>
              <w:rPr>
                <w:sz w:val="20"/>
              </w:rPr>
              <w:t>0.47</w:t>
            </w:r>
          </w:p>
        </w:tc>
        <w:tc>
          <w:tcPr>
            <w:tcW w:w="1311" w:type="dxa"/>
          </w:tcPr>
          <w:p w:rsidR="007C5447" w:rsidRDefault="00F6308C">
            <w:pPr>
              <w:pStyle w:val="TableParagraph"/>
              <w:spacing w:before="34"/>
              <w:ind w:left="672"/>
              <w:jc w:val="left"/>
              <w:rPr>
                <w:sz w:val="20"/>
              </w:rPr>
            </w:pPr>
            <w:r>
              <w:rPr>
                <w:sz w:val="20"/>
              </w:rPr>
              <w:t>0.03</w:t>
            </w:r>
          </w:p>
        </w:tc>
        <w:tc>
          <w:tcPr>
            <w:tcW w:w="1312" w:type="dxa"/>
          </w:tcPr>
          <w:p w:rsidR="007C5447" w:rsidRDefault="00F6308C">
            <w:pPr>
              <w:pStyle w:val="TableParagraph"/>
              <w:spacing w:before="14"/>
              <w:ind w:right="274"/>
              <w:rPr>
                <w:sz w:val="20"/>
              </w:rPr>
            </w:pPr>
            <w:r>
              <w:rPr>
                <w:sz w:val="20"/>
              </w:rPr>
              <w:t>0.64</w:t>
            </w:r>
          </w:p>
        </w:tc>
        <w:tc>
          <w:tcPr>
            <w:tcW w:w="1314" w:type="dxa"/>
          </w:tcPr>
          <w:p w:rsidR="007C5447" w:rsidRDefault="00F6308C">
            <w:pPr>
              <w:pStyle w:val="TableParagraph"/>
              <w:spacing w:before="14"/>
              <w:ind w:right="277"/>
              <w:rPr>
                <w:sz w:val="20"/>
              </w:rPr>
            </w:pPr>
            <w:r>
              <w:rPr>
                <w:sz w:val="20"/>
              </w:rPr>
              <w:t>0.86</w:t>
            </w:r>
          </w:p>
        </w:tc>
      </w:tr>
      <w:tr w:rsidR="007C5447">
        <w:trPr>
          <w:trHeight w:val="294"/>
        </w:trPr>
        <w:tc>
          <w:tcPr>
            <w:tcW w:w="562" w:type="dxa"/>
          </w:tcPr>
          <w:p w:rsidR="007C5447" w:rsidRDefault="00F6308C">
            <w:pPr>
              <w:pStyle w:val="TableParagraph"/>
              <w:spacing w:before="34"/>
              <w:ind w:left="107"/>
              <w:jc w:val="left"/>
              <w:rPr>
                <w:sz w:val="20"/>
              </w:rPr>
            </w:pPr>
            <w:r>
              <w:rPr>
                <w:w w:val="99"/>
                <w:sz w:val="20"/>
              </w:rPr>
              <w:t>3</w:t>
            </w:r>
          </w:p>
        </w:tc>
        <w:tc>
          <w:tcPr>
            <w:tcW w:w="1957" w:type="dxa"/>
          </w:tcPr>
          <w:p w:rsidR="007C5447" w:rsidRDefault="00F6308C">
            <w:pPr>
              <w:pStyle w:val="TableParagraph"/>
              <w:spacing w:before="50" w:line="224" w:lineRule="exact"/>
              <w:ind w:left="107"/>
              <w:jc w:val="left"/>
              <w:rPr>
                <w:sz w:val="20"/>
              </w:rPr>
            </w:pPr>
            <w:r>
              <w:rPr>
                <w:sz w:val="20"/>
              </w:rPr>
              <w:t>Mettur TPS</w:t>
            </w:r>
          </w:p>
        </w:tc>
        <w:tc>
          <w:tcPr>
            <w:tcW w:w="1313" w:type="dxa"/>
          </w:tcPr>
          <w:p w:rsidR="007C5447" w:rsidRDefault="00F6308C">
            <w:pPr>
              <w:pStyle w:val="TableParagraph"/>
              <w:spacing w:before="34"/>
              <w:ind w:left="673"/>
              <w:jc w:val="left"/>
              <w:rPr>
                <w:sz w:val="20"/>
              </w:rPr>
            </w:pPr>
            <w:r>
              <w:rPr>
                <w:sz w:val="20"/>
              </w:rPr>
              <w:t>0.06</w:t>
            </w:r>
          </w:p>
        </w:tc>
        <w:tc>
          <w:tcPr>
            <w:tcW w:w="1311" w:type="dxa"/>
          </w:tcPr>
          <w:p w:rsidR="007C5447" w:rsidRDefault="00F6308C">
            <w:pPr>
              <w:pStyle w:val="TableParagraph"/>
              <w:spacing w:before="34"/>
              <w:ind w:right="277"/>
              <w:rPr>
                <w:sz w:val="20"/>
              </w:rPr>
            </w:pPr>
            <w:r>
              <w:rPr>
                <w:sz w:val="20"/>
              </w:rPr>
              <w:t>0.14</w:t>
            </w:r>
          </w:p>
        </w:tc>
        <w:tc>
          <w:tcPr>
            <w:tcW w:w="1311" w:type="dxa"/>
          </w:tcPr>
          <w:p w:rsidR="007C5447" w:rsidRDefault="00F6308C">
            <w:pPr>
              <w:pStyle w:val="TableParagraph"/>
              <w:spacing w:before="34"/>
              <w:ind w:left="672"/>
              <w:jc w:val="left"/>
              <w:rPr>
                <w:sz w:val="20"/>
              </w:rPr>
            </w:pPr>
            <w:r>
              <w:rPr>
                <w:sz w:val="20"/>
              </w:rPr>
              <w:t>0.06</w:t>
            </w:r>
          </w:p>
        </w:tc>
        <w:tc>
          <w:tcPr>
            <w:tcW w:w="1312" w:type="dxa"/>
          </w:tcPr>
          <w:p w:rsidR="007C5447" w:rsidRDefault="00F6308C">
            <w:pPr>
              <w:pStyle w:val="TableParagraph"/>
              <w:spacing w:before="14"/>
              <w:ind w:right="274"/>
              <w:rPr>
                <w:sz w:val="20"/>
              </w:rPr>
            </w:pPr>
            <w:r>
              <w:rPr>
                <w:sz w:val="20"/>
              </w:rPr>
              <w:t>0.09</w:t>
            </w:r>
          </w:p>
        </w:tc>
        <w:tc>
          <w:tcPr>
            <w:tcW w:w="1314" w:type="dxa"/>
          </w:tcPr>
          <w:p w:rsidR="007C5447" w:rsidRDefault="00F6308C">
            <w:pPr>
              <w:pStyle w:val="TableParagraph"/>
              <w:spacing w:before="14"/>
              <w:ind w:right="277"/>
              <w:rPr>
                <w:sz w:val="20"/>
              </w:rPr>
            </w:pPr>
            <w:r>
              <w:rPr>
                <w:sz w:val="20"/>
              </w:rPr>
              <w:t>1.13</w:t>
            </w:r>
          </w:p>
        </w:tc>
      </w:tr>
      <w:tr w:rsidR="007C5447">
        <w:trPr>
          <w:trHeight w:val="295"/>
        </w:trPr>
        <w:tc>
          <w:tcPr>
            <w:tcW w:w="562" w:type="dxa"/>
          </w:tcPr>
          <w:p w:rsidR="007C5447" w:rsidRDefault="00F6308C">
            <w:pPr>
              <w:pStyle w:val="TableParagraph"/>
              <w:spacing w:before="34"/>
              <w:ind w:left="107"/>
              <w:jc w:val="left"/>
              <w:rPr>
                <w:sz w:val="20"/>
              </w:rPr>
            </w:pPr>
            <w:r>
              <w:rPr>
                <w:w w:val="99"/>
                <w:sz w:val="20"/>
              </w:rPr>
              <w:t>4</w:t>
            </w:r>
          </w:p>
        </w:tc>
        <w:tc>
          <w:tcPr>
            <w:tcW w:w="1957" w:type="dxa"/>
          </w:tcPr>
          <w:p w:rsidR="007C5447" w:rsidRDefault="00F6308C">
            <w:pPr>
              <w:pStyle w:val="TableParagraph"/>
              <w:spacing w:before="51" w:line="224" w:lineRule="exact"/>
              <w:ind w:left="107"/>
              <w:jc w:val="left"/>
              <w:rPr>
                <w:sz w:val="20"/>
              </w:rPr>
            </w:pPr>
            <w:r>
              <w:rPr>
                <w:sz w:val="20"/>
              </w:rPr>
              <w:t>North Chennai TPS</w:t>
            </w:r>
          </w:p>
        </w:tc>
        <w:tc>
          <w:tcPr>
            <w:tcW w:w="1313" w:type="dxa"/>
          </w:tcPr>
          <w:p w:rsidR="007C5447" w:rsidRDefault="00F6308C">
            <w:pPr>
              <w:pStyle w:val="TableParagraph"/>
              <w:spacing w:before="34"/>
              <w:ind w:right="273"/>
              <w:rPr>
                <w:sz w:val="20"/>
              </w:rPr>
            </w:pPr>
            <w:r>
              <w:rPr>
                <w:w w:val="99"/>
                <w:sz w:val="20"/>
              </w:rPr>
              <w:t>-</w:t>
            </w:r>
          </w:p>
        </w:tc>
        <w:tc>
          <w:tcPr>
            <w:tcW w:w="1311" w:type="dxa"/>
          </w:tcPr>
          <w:p w:rsidR="007C5447" w:rsidRDefault="00F6308C">
            <w:pPr>
              <w:pStyle w:val="TableParagraph"/>
              <w:spacing w:before="34"/>
              <w:ind w:right="273"/>
              <w:rPr>
                <w:sz w:val="20"/>
              </w:rPr>
            </w:pPr>
            <w:r>
              <w:rPr>
                <w:w w:val="99"/>
                <w:sz w:val="20"/>
              </w:rPr>
              <w:t>-</w:t>
            </w:r>
          </w:p>
        </w:tc>
        <w:tc>
          <w:tcPr>
            <w:tcW w:w="1311" w:type="dxa"/>
          </w:tcPr>
          <w:p w:rsidR="007C5447" w:rsidRDefault="00F6308C">
            <w:pPr>
              <w:pStyle w:val="TableParagraph"/>
              <w:spacing w:before="34"/>
              <w:ind w:left="672"/>
              <w:jc w:val="left"/>
              <w:rPr>
                <w:sz w:val="20"/>
              </w:rPr>
            </w:pPr>
            <w:r>
              <w:rPr>
                <w:sz w:val="20"/>
              </w:rPr>
              <w:t>0.03</w:t>
            </w:r>
          </w:p>
        </w:tc>
        <w:tc>
          <w:tcPr>
            <w:tcW w:w="1312" w:type="dxa"/>
          </w:tcPr>
          <w:p w:rsidR="007C5447" w:rsidRDefault="00F6308C">
            <w:pPr>
              <w:pStyle w:val="TableParagraph"/>
              <w:spacing w:before="15"/>
              <w:ind w:right="275"/>
              <w:rPr>
                <w:sz w:val="20"/>
              </w:rPr>
            </w:pPr>
            <w:r>
              <w:rPr>
                <w:w w:val="99"/>
                <w:sz w:val="20"/>
              </w:rPr>
              <w:t>-</w:t>
            </w:r>
          </w:p>
        </w:tc>
        <w:tc>
          <w:tcPr>
            <w:tcW w:w="1314" w:type="dxa"/>
          </w:tcPr>
          <w:p w:rsidR="007C5447" w:rsidRDefault="00F6308C">
            <w:pPr>
              <w:pStyle w:val="TableParagraph"/>
              <w:spacing w:before="15"/>
              <w:ind w:right="277"/>
              <w:rPr>
                <w:sz w:val="20"/>
              </w:rPr>
            </w:pPr>
            <w:r>
              <w:rPr>
                <w:sz w:val="20"/>
              </w:rPr>
              <w:t>0.25</w:t>
            </w:r>
          </w:p>
        </w:tc>
      </w:tr>
      <w:tr w:rsidR="007C5447">
        <w:trPr>
          <w:trHeight w:val="294"/>
        </w:trPr>
        <w:tc>
          <w:tcPr>
            <w:tcW w:w="562" w:type="dxa"/>
          </w:tcPr>
          <w:p w:rsidR="007C5447" w:rsidRDefault="00F6308C">
            <w:pPr>
              <w:pStyle w:val="TableParagraph"/>
              <w:spacing w:before="34"/>
              <w:ind w:left="107"/>
              <w:jc w:val="left"/>
              <w:rPr>
                <w:sz w:val="20"/>
              </w:rPr>
            </w:pPr>
            <w:r>
              <w:rPr>
                <w:w w:val="99"/>
                <w:sz w:val="20"/>
              </w:rPr>
              <w:t>5</w:t>
            </w:r>
          </w:p>
        </w:tc>
        <w:tc>
          <w:tcPr>
            <w:tcW w:w="1957" w:type="dxa"/>
          </w:tcPr>
          <w:p w:rsidR="007C5447" w:rsidRDefault="00F6308C">
            <w:pPr>
              <w:pStyle w:val="TableParagraph"/>
              <w:spacing w:before="50" w:line="224" w:lineRule="exact"/>
              <w:ind w:left="107"/>
              <w:jc w:val="left"/>
              <w:rPr>
                <w:sz w:val="20"/>
              </w:rPr>
            </w:pPr>
            <w:r>
              <w:rPr>
                <w:sz w:val="20"/>
              </w:rPr>
              <w:t>Mettur TPS Stage III</w:t>
            </w:r>
          </w:p>
        </w:tc>
        <w:tc>
          <w:tcPr>
            <w:tcW w:w="1313" w:type="dxa"/>
          </w:tcPr>
          <w:p w:rsidR="007C5447" w:rsidRDefault="00F6308C">
            <w:pPr>
              <w:pStyle w:val="TableParagraph"/>
              <w:spacing w:before="34"/>
              <w:ind w:right="273"/>
              <w:rPr>
                <w:sz w:val="20"/>
              </w:rPr>
            </w:pPr>
            <w:r>
              <w:rPr>
                <w:w w:val="99"/>
                <w:sz w:val="20"/>
              </w:rPr>
              <w:t>-</w:t>
            </w:r>
          </w:p>
        </w:tc>
        <w:tc>
          <w:tcPr>
            <w:tcW w:w="1311" w:type="dxa"/>
          </w:tcPr>
          <w:p w:rsidR="007C5447" w:rsidRDefault="00F6308C">
            <w:pPr>
              <w:pStyle w:val="TableParagraph"/>
              <w:spacing w:before="34"/>
              <w:ind w:right="273"/>
              <w:rPr>
                <w:sz w:val="20"/>
              </w:rPr>
            </w:pPr>
            <w:r>
              <w:rPr>
                <w:w w:val="99"/>
                <w:sz w:val="20"/>
              </w:rPr>
              <w:t>-</w:t>
            </w:r>
          </w:p>
        </w:tc>
        <w:tc>
          <w:tcPr>
            <w:tcW w:w="1311" w:type="dxa"/>
          </w:tcPr>
          <w:p w:rsidR="007C5447" w:rsidRDefault="00F6308C">
            <w:pPr>
              <w:pStyle w:val="TableParagraph"/>
              <w:spacing w:before="34"/>
              <w:ind w:right="271"/>
              <w:rPr>
                <w:sz w:val="20"/>
              </w:rPr>
            </w:pPr>
            <w:r>
              <w:rPr>
                <w:w w:val="99"/>
                <w:sz w:val="20"/>
              </w:rPr>
              <w:t>-</w:t>
            </w:r>
          </w:p>
        </w:tc>
        <w:tc>
          <w:tcPr>
            <w:tcW w:w="1312" w:type="dxa"/>
          </w:tcPr>
          <w:p w:rsidR="007C5447" w:rsidRDefault="00F6308C">
            <w:pPr>
              <w:pStyle w:val="TableParagraph"/>
              <w:spacing w:before="17"/>
              <w:ind w:right="275"/>
              <w:rPr>
                <w:sz w:val="20"/>
              </w:rPr>
            </w:pPr>
            <w:r>
              <w:rPr>
                <w:w w:val="99"/>
                <w:sz w:val="20"/>
              </w:rPr>
              <w:t>-</w:t>
            </w:r>
          </w:p>
        </w:tc>
        <w:tc>
          <w:tcPr>
            <w:tcW w:w="1314" w:type="dxa"/>
          </w:tcPr>
          <w:p w:rsidR="007C5447" w:rsidRDefault="00F6308C">
            <w:pPr>
              <w:pStyle w:val="TableParagraph"/>
              <w:spacing w:before="17"/>
              <w:ind w:right="277"/>
              <w:rPr>
                <w:sz w:val="20"/>
              </w:rPr>
            </w:pPr>
            <w:r>
              <w:rPr>
                <w:sz w:val="20"/>
              </w:rPr>
              <w:t>0.99</w:t>
            </w:r>
          </w:p>
        </w:tc>
      </w:tr>
      <w:tr w:rsidR="007C5447">
        <w:trPr>
          <w:trHeight w:val="294"/>
        </w:trPr>
        <w:tc>
          <w:tcPr>
            <w:tcW w:w="562" w:type="dxa"/>
          </w:tcPr>
          <w:p w:rsidR="007C5447" w:rsidRDefault="00F6308C">
            <w:pPr>
              <w:pStyle w:val="TableParagraph"/>
              <w:spacing w:before="34"/>
              <w:ind w:left="107"/>
              <w:jc w:val="left"/>
              <w:rPr>
                <w:sz w:val="20"/>
              </w:rPr>
            </w:pPr>
            <w:r>
              <w:rPr>
                <w:w w:val="99"/>
                <w:sz w:val="20"/>
              </w:rPr>
              <w:t>6</w:t>
            </w:r>
          </w:p>
        </w:tc>
        <w:tc>
          <w:tcPr>
            <w:tcW w:w="1957" w:type="dxa"/>
          </w:tcPr>
          <w:p w:rsidR="007C5447" w:rsidRDefault="00F6308C">
            <w:pPr>
              <w:pStyle w:val="TableParagraph"/>
              <w:spacing w:before="50" w:line="224" w:lineRule="exact"/>
              <w:ind w:left="107"/>
              <w:jc w:val="left"/>
              <w:rPr>
                <w:sz w:val="20"/>
              </w:rPr>
            </w:pPr>
            <w:r>
              <w:rPr>
                <w:sz w:val="20"/>
              </w:rPr>
              <w:t>NCTPS stage II</w:t>
            </w:r>
          </w:p>
        </w:tc>
        <w:tc>
          <w:tcPr>
            <w:tcW w:w="1313" w:type="dxa"/>
          </w:tcPr>
          <w:p w:rsidR="007C5447" w:rsidRDefault="007C5447">
            <w:pPr>
              <w:pStyle w:val="TableParagraph"/>
              <w:jc w:val="left"/>
            </w:pPr>
          </w:p>
        </w:tc>
        <w:tc>
          <w:tcPr>
            <w:tcW w:w="1311" w:type="dxa"/>
          </w:tcPr>
          <w:p w:rsidR="007C5447" w:rsidRDefault="007C5447">
            <w:pPr>
              <w:pStyle w:val="TableParagraph"/>
              <w:jc w:val="left"/>
            </w:pPr>
          </w:p>
        </w:tc>
        <w:tc>
          <w:tcPr>
            <w:tcW w:w="1311" w:type="dxa"/>
          </w:tcPr>
          <w:p w:rsidR="007C5447" w:rsidRDefault="007C5447">
            <w:pPr>
              <w:pStyle w:val="TableParagraph"/>
              <w:jc w:val="left"/>
            </w:pPr>
          </w:p>
        </w:tc>
        <w:tc>
          <w:tcPr>
            <w:tcW w:w="1312" w:type="dxa"/>
          </w:tcPr>
          <w:p w:rsidR="007C5447" w:rsidRDefault="00F6308C">
            <w:pPr>
              <w:pStyle w:val="TableParagraph"/>
              <w:spacing w:before="17"/>
              <w:ind w:right="275"/>
              <w:rPr>
                <w:sz w:val="20"/>
              </w:rPr>
            </w:pPr>
            <w:r>
              <w:rPr>
                <w:w w:val="99"/>
                <w:sz w:val="20"/>
              </w:rPr>
              <w:t>-</w:t>
            </w:r>
          </w:p>
        </w:tc>
        <w:tc>
          <w:tcPr>
            <w:tcW w:w="1314" w:type="dxa"/>
          </w:tcPr>
          <w:p w:rsidR="007C5447" w:rsidRDefault="00F6308C">
            <w:pPr>
              <w:pStyle w:val="TableParagraph"/>
              <w:spacing w:before="17"/>
              <w:ind w:right="278"/>
              <w:rPr>
                <w:sz w:val="20"/>
              </w:rPr>
            </w:pPr>
            <w:r>
              <w:rPr>
                <w:w w:val="99"/>
                <w:sz w:val="20"/>
              </w:rPr>
              <w:t>-</w:t>
            </w:r>
          </w:p>
        </w:tc>
      </w:tr>
      <w:tr w:rsidR="007C5447">
        <w:trPr>
          <w:trHeight w:val="297"/>
        </w:trPr>
        <w:tc>
          <w:tcPr>
            <w:tcW w:w="562" w:type="dxa"/>
          </w:tcPr>
          <w:p w:rsidR="007C5447" w:rsidRDefault="00F6308C">
            <w:pPr>
              <w:pStyle w:val="TableParagraph"/>
              <w:spacing w:before="34"/>
              <w:ind w:left="107"/>
              <w:jc w:val="left"/>
              <w:rPr>
                <w:sz w:val="20"/>
              </w:rPr>
            </w:pPr>
            <w:r>
              <w:rPr>
                <w:w w:val="99"/>
                <w:sz w:val="20"/>
              </w:rPr>
              <w:t>7</w:t>
            </w:r>
          </w:p>
        </w:tc>
        <w:tc>
          <w:tcPr>
            <w:tcW w:w="1957" w:type="dxa"/>
          </w:tcPr>
          <w:p w:rsidR="007C5447" w:rsidRDefault="00F6308C">
            <w:pPr>
              <w:pStyle w:val="TableParagraph"/>
              <w:spacing w:before="50" w:line="227" w:lineRule="exact"/>
              <w:ind w:left="107"/>
              <w:jc w:val="left"/>
              <w:rPr>
                <w:sz w:val="20"/>
              </w:rPr>
            </w:pPr>
            <w:r>
              <w:rPr>
                <w:sz w:val="20"/>
              </w:rPr>
              <w:t>Tirumakottai GTPS</w:t>
            </w:r>
          </w:p>
        </w:tc>
        <w:tc>
          <w:tcPr>
            <w:tcW w:w="1313" w:type="dxa"/>
          </w:tcPr>
          <w:p w:rsidR="007C5447" w:rsidRDefault="00F6308C">
            <w:pPr>
              <w:pStyle w:val="TableParagraph"/>
              <w:spacing w:before="34"/>
              <w:ind w:right="273"/>
              <w:rPr>
                <w:sz w:val="20"/>
              </w:rPr>
            </w:pPr>
            <w:r>
              <w:rPr>
                <w:w w:val="99"/>
                <w:sz w:val="20"/>
              </w:rPr>
              <w:t>-</w:t>
            </w:r>
          </w:p>
        </w:tc>
        <w:tc>
          <w:tcPr>
            <w:tcW w:w="1311" w:type="dxa"/>
          </w:tcPr>
          <w:p w:rsidR="007C5447" w:rsidRDefault="00F6308C">
            <w:pPr>
              <w:pStyle w:val="TableParagraph"/>
              <w:spacing w:before="34"/>
              <w:ind w:right="273"/>
              <w:rPr>
                <w:sz w:val="20"/>
              </w:rPr>
            </w:pPr>
            <w:r>
              <w:rPr>
                <w:w w:val="99"/>
                <w:sz w:val="20"/>
              </w:rPr>
              <w:t>-</w:t>
            </w:r>
          </w:p>
        </w:tc>
        <w:tc>
          <w:tcPr>
            <w:tcW w:w="1311" w:type="dxa"/>
          </w:tcPr>
          <w:p w:rsidR="007C5447" w:rsidRDefault="00F6308C">
            <w:pPr>
              <w:pStyle w:val="TableParagraph"/>
              <w:spacing w:before="34"/>
              <w:ind w:right="271"/>
              <w:rPr>
                <w:sz w:val="20"/>
              </w:rPr>
            </w:pPr>
            <w:r>
              <w:rPr>
                <w:w w:val="99"/>
                <w:sz w:val="20"/>
              </w:rPr>
              <w:t>-</w:t>
            </w:r>
          </w:p>
        </w:tc>
        <w:tc>
          <w:tcPr>
            <w:tcW w:w="1312" w:type="dxa"/>
          </w:tcPr>
          <w:p w:rsidR="007C5447" w:rsidRDefault="00F6308C">
            <w:pPr>
              <w:pStyle w:val="TableParagraph"/>
              <w:spacing w:before="17"/>
              <w:ind w:right="275"/>
              <w:rPr>
                <w:sz w:val="20"/>
              </w:rPr>
            </w:pPr>
            <w:r>
              <w:rPr>
                <w:w w:val="99"/>
                <w:sz w:val="20"/>
              </w:rPr>
              <w:t>-</w:t>
            </w:r>
          </w:p>
        </w:tc>
        <w:tc>
          <w:tcPr>
            <w:tcW w:w="1314" w:type="dxa"/>
          </w:tcPr>
          <w:p w:rsidR="007C5447" w:rsidRDefault="00F6308C">
            <w:pPr>
              <w:pStyle w:val="TableParagraph"/>
              <w:spacing w:before="17"/>
              <w:ind w:right="278"/>
              <w:rPr>
                <w:sz w:val="20"/>
              </w:rPr>
            </w:pPr>
            <w:r>
              <w:rPr>
                <w:w w:val="99"/>
                <w:sz w:val="20"/>
              </w:rPr>
              <w:t>-</w:t>
            </w:r>
          </w:p>
        </w:tc>
      </w:tr>
      <w:tr w:rsidR="007C5447">
        <w:trPr>
          <w:trHeight w:val="294"/>
        </w:trPr>
        <w:tc>
          <w:tcPr>
            <w:tcW w:w="562" w:type="dxa"/>
          </w:tcPr>
          <w:p w:rsidR="007C5447" w:rsidRDefault="00F6308C">
            <w:pPr>
              <w:pStyle w:val="TableParagraph"/>
              <w:spacing w:before="31"/>
              <w:ind w:left="107"/>
              <w:jc w:val="left"/>
              <w:rPr>
                <w:sz w:val="20"/>
              </w:rPr>
            </w:pPr>
            <w:r>
              <w:rPr>
                <w:w w:val="99"/>
                <w:sz w:val="20"/>
              </w:rPr>
              <w:t>8</w:t>
            </w:r>
          </w:p>
        </w:tc>
        <w:tc>
          <w:tcPr>
            <w:tcW w:w="1957" w:type="dxa"/>
          </w:tcPr>
          <w:p w:rsidR="007C5447" w:rsidRDefault="00F6308C">
            <w:pPr>
              <w:pStyle w:val="TableParagraph"/>
              <w:spacing w:before="48" w:line="227" w:lineRule="exact"/>
              <w:ind w:left="107"/>
              <w:jc w:val="left"/>
              <w:rPr>
                <w:sz w:val="20"/>
              </w:rPr>
            </w:pPr>
            <w:r>
              <w:rPr>
                <w:sz w:val="20"/>
              </w:rPr>
              <w:t>Kuttalam GTPS</w:t>
            </w:r>
          </w:p>
        </w:tc>
        <w:tc>
          <w:tcPr>
            <w:tcW w:w="1313" w:type="dxa"/>
          </w:tcPr>
          <w:p w:rsidR="007C5447" w:rsidRDefault="00F6308C">
            <w:pPr>
              <w:pStyle w:val="TableParagraph"/>
              <w:spacing w:before="31"/>
              <w:ind w:right="273"/>
              <w:rPr>
                <w:sz w:val="20"/>
              </w:rPr>
            </w:pPr>
            <w:r>
              <w:rPr>
                <w:w w:val="99"/>
                <w:sz w:val="20"/>
              </w:rPr>
              <w:t>-</w:t>
            </w:r>
          </w:p>
        </w:tc>
        <w:tc>
          <w:tcPr>
            <w:tcW w:w="1311" w:type="dxa"/>
          </w:tcPr>
          <w:p w:rsidR="007C5447" w:rsidRDefault="00F6308C">
            <w:pPr>
              <w:pStyle w:val="TableParagraph"/>
              <w:spacing w:before="31"/>
              <w:ind w:right="273"/>
              <w:rPr>
                <w:sz w:val="20"/>
              </w:rPr>
            </w:pPr>
            <w:r>
              <w:rPr>
                <w:w w:val="99"/>
                <w:sz w:val="20"/>
              </w:rPr>
              <w:t>-</w:t>
            </w:r>
          </w:p>
        </w:tc>
        <w:tc>
          <w:tcPr>
            <w:tcW w:w="1311" w:type="dxa"/>
          </w:tcPr>
          <w:p w:rsidR="007C5447" w:rsidRDefault="00F6308C">
            <w:pPr>
              <w:pStyle w:val="TableParagraph"/>
              <w:spacing w:before="31"/>
              <w:ind w:right="271"/>
              <w:rPr>
                <w:sz w:val="20"/>
              </w:rPr>
            </w:pPr>
            <w:r>
              <w:rPr>
                <w:w w:val="99"/>
                <w:sz w:val="20"/>
              </w:rPr>
              <w:t>-</w:t>
            </w:r>
          </w:p>
        </w:tc>
        <w:tc>
          <w:tcPr>
            <w:tcW w:w="1312" w:type="dxa"/>
          </w:tcPr>
          <w:p w:rsidR="007C5447" w:rsidRDefault="00F6308C">
            <w:pPr>
              <w:pStyle w:val="TableParagraph"/>
              <w:spacing w:before="14"/>
              <w:ind w:right="275"/>
              <w:rPr>
                <w:sz w:val="20"/>
              </w:rPr>
            </w:pPr>
            <w:r>
              <w:rPr>
                <w:w w:val="99"/>
                <w:sz w:val="20"/>
              </w:rPr>
              <w:t>-</w:t>
            </w:r>
          </w:p>
        </w:tc>
        <w:tc>
          <w:tcPr>
            <w:tcW w:w="1314" w:type="dxa"/>
          </w:tcPr>
          <w:p w:rsidR="007C5447" w:rsidRDefault="00F6308C">
            <w:pPr>
              <w:pStyle w:val="TableParagraph"/>
              <w:spacing w:before="14"/>
              <w:ind w:right="278"/>
              <w:rPr>
                <w:sz w:val="20"/>
              </w:rPr>
            </w:pPr>
            <w:r>
              <w:rPr>
                <w:w w:val="99"/>
                <w:sz w:val="20"/>
              </w:rPr>
              <w:t>-</w:t>
            </w:r>
          </w:p>
        </w:tc>
      </w:tr>
      <w:tr w:rsidR="007C5447">
        <w:trPr>
          <w:trHeight w:val="294"/>
        </w:trPr>
        <w:tc>
          <w:tcPr>
            <w:tcW w:w="562" w:type="dxa"/>
          </w:tcPr>
          <w:p w:rsidR="007C5447" w:rsidRDefault="00F6308C">
            <w:pPr>
              <w:pStyle w:val="TableParagraph"/>
              <w:spacing w:before="31"/>
              <w:ind w:left="107"/>
              <w:jc w:val="left"/>
              <w:rPr>
                <w:sz w:val="20"/>
              </w:rPr>
            </w:pPr>
            <w:r>
              <w:rPr>
                <w:w w:val="99"/>
                <w:sz w:val="20"/>
              </w:rPr>
              <w:t>9</w:t>
            </w:r>
          </w:p>
        </w:tc>
        <w:tc>
          <w:tcPr>
            <w:tcW w:w="1957" w:type="dxa"/>
          </w:tcPr>
          <w:p w:rsidR="007C5447" w:rsidRDefault="00F6308C">
            <w:pPr>
              <w:pStyle w:val="TableParagraph"/>
              <w:spacing w:before="48" w:line="227" w:lineRule="exact"/>
              <w:ind w:left="107"/>
              <w:jc w:val="left"/>
              <w:rPr>
                <w:sz w:val="20"/>
              </w:rPr>
            </w:pPr>
            <w:r>
              <w:rPr>
                <w:sz w:val="20"/>
              </w:rPr>
              <w:t>Basin Bridge GTPS</w:t>
            </w:r>
          </w:p>
        </w:tc>
        <w:tc>
          <w:tcPr>
            <w:tcW w:w="1313" w:type="dxa"/>
          </w:tcPr>
          <w:p w:rsidR="007C5447" w:rsidRDefault="00F6308C">
            <w:pPr>
              <w:pStyle w:val="TableParagraph"/>
              <w:spacing w:before="31"/>
              <w:ind w:right="273"/>
              <w:rPr>
                <w:sz w:val="20"/>
              </w:rPr>
            </w:pPr>
            <w:r>
              <w:rPr>
                <w:w w:val="99"/>
                <w:sz w:val="20"/>
              </w:rPr>
              <w:t>-</w:t>
            </w:r>
          </w:p>
        </w:tc>
        <w:tc>
          <w:tcPr>
            <w:tcW w:w="1311" w:type="dxa"/>
          </w:tcPr>
          <w:p w:rsidR="007C5447" w:rsidRDefault="00F6308C">
            <w:pPr>
              <w:pStyle w:val="TableParagraph"/>
              <w:spacing w:before="31"/>
              <w:ind w:right="277"/>
              <w:rPr>
                <w:sz w:val="20"/>
              </w:rPr>
            </w:pPr>
            <w:r>
              <w:rPr>
                <w:sz w:val="20"/>
              </w:rPr>
              <w:t>0.00</w:t>
            </w:r>
          </w:p>
        </w:tc>
        <w:tc>
          <w:tcPr>
            <w:tcW w:w="1311" w:type="dxa"/>
          </w:tcPr>
          <w:p w:rsidR="007C5447" w:rsidRDefault="00F6308C">
            <w:pPr>
              <w:pStyle w:val="TableParagraph"/>
              <w:spacing w:before="31"/>
              <w:ind w:right="271"/>
              <w:rPr>
                <w:sz w:val="20"/>
              </w:rPr>
            </w:pPr>
            <w:r>
              <w:rPr>
                <w:w w:val="99"/>
                <w:sz w:val="20"/>
              </w:rPr>
              <w:t>-</w:t>
            </w:r>
          </w:p>
        </w:tc>
        <w:tc>
          <w:tcPr>
            <w:tcW w:w="1312" w:type="dxa"/>
          </w:tcPr>
          <w:p w:rsidR="007C5447" w:rsidRDefault="00F6308C">
            <w:pPr>
              <w:pStyle w:val="TableParagraph"/>
              <w:spacing w:before="14"/>
              <w:ind w:right="275"/>
              <w:rPr>
                <w:sz w:val="20"/>
              </w:rPr>
            </w:pPr>
            <w:r>
              <w:rPr>
                <w:w w:val="99"/>
                <w:sz w:val="20"/>
              </w:rPr>
              <w:t>-</w:t>
            </w:r>
          </w:p>
        </w:tc>
        <w:tc>
          <w:tcPr>
            <w:tcW w:w="1314" w:type="dxa"/>
          </w:tcPr>
          <w:p w:rsidR="007C5447" w:rsidRDefault="00F6308C">
            <w:pPr>
              <w:pStyle w:val="TableParagraph"/>
              <w:spacing w:before="14"/>
              <w:ind w:right="278"/>
              <w:rPr>
                <w:sz w:val="20"/>
              </w:rPr>
            </w:pPr>
            <w:r>
              <w:rPr>
                <w:w w:val="99"/>
                <w:sz w:val="20"/>
              </w:rPr>
              <w:t>-</w:t>
            </w:r>
          </w:p>
        </w:tc>
      </w:tr>
      <w:tr w:rsidR="007C5447">
        <w:trPr>
          <w:trHeight w:val="294"/>
        </w:trPr>
        <w:tc>
          <w:tcPr>
            <w:tcW w:w="562" w:type="dxa"/>
          </w:tcPr>
          <w:p w:rsidR="007C5447" w:rsidRDefault="00F6308C">
            <w:pPr>
              <w:pStyle w:val="TableParagraph"/>
              <w:spacing w:before="31"/>
              <w:ind w:left="107"/>
              <w:jc w:val="left"/>
              <w:rPr>
                <w:sz w:val="20"/>
              </w:rPr>
            </w:pPr>
            <w:r>
              <w:rPr>
                <w:sz w:val="20"/>
              </w:rPr>
              <w:t>10</w:t>
            </w:r>
          </w:p>
        </w:tc>
        <w:tc>
          <w:tcPr>
            <w:tcW w:w="1957" w:type="dxa"/>
          </w:tcPr>
          <w:p w:rsidR="007C5447" w:rsidRDefault="00F6308C">
            <w:pPr>
              <w:pStyle w:val="TableParagraph"/>
              <w:spacing w:before="50" w:line="224" w:lineRule="exact"/>
              <w:ind w:left="107"/>
              <w:jc w:val="left"/>
              <w:rPr>
                <w:sz w:val="20"/>
              </w:rPr>
            </w:pPr>
            <w:r>
              <w:rPr>
                <w:sz w:val="20"/>
              </w:rPr>
              <w:t>Valuthur GTPS</w:t>
            </w:r>
          </w:p>
        </w:tc>
        <w:tc>
          <w:tcPr>
            <w:tcW w:w="1313" w:type="dxa"/>
          </w:tcPr>
          <w:p w:rsidR="007C5447" w:rsidRDefault="00F6308C">
            <w:pPr>
              <w:pStyle w:val="TableParagraph"/>
              <w:spacing w:before="31"/>
              <w:ind w:right="273"/>
              <w:rPr>
                <w:sz w:val="20"/>
              </w:rPr>
            </w:pPr>
            <w:r>
              <w:rPr>
                <w:w w:val="99"/>
                <w:sz w:val="20"/>
              </w:rPr>
              <w:t>-</w:t>
            </w:r>
          </w:p>
        </w:tc>
        <w:tc>
          <w:tcPr>
            <w:tcW w:w="1311" w:type="dxa"/>
          </w:tcPr>
          <w:p w:rsidR="007C5447" w:rsidRDefault="00F6308C">
            <w:pPr>
              <w:pStyle w:val="TableParagraph"/>
              <w:spacing w:before="31"/>
              <w:ind w:right="273"/>
              <w:rPr>
                <w:sz w:val="20"/>
              </w:rPr>
            </w:pPr>
            <w:r>
              <w:rPr>
                <w:w w:val="99"/>
                <w:sz w:val="20"/>
              </w:rPr>
              <w:t>-</w:t>
            </w:r>
          </w:p>
        </w:tc>
        <w:tc>
          <w:tcPr>
            <w:tcW w:w="1311" w:type="dxa"/>
          </w:tcPr>
          <w:p w:rsidR="007C5447" w:rsidRDefault="00F6308C">
            <w:pPr>
              <w:pStyle w:val="TableParagraph"/>
              <w:spacing w:before="31"/>
              <w:ind w:right="271"/>
              <w:rPr>
                <w:sz w:val="20"/>
              </w:rPr>
            </w:pPr>
            <w:r>
              <w:rPr>
                <w:w w:val="99"/>
                <w:sz w:val="20"/>
              </w:rPr>
              <w:t>-</w:t>
            </w:r>
          </w:p>
        </w:tc>
        <w:tc>
          <w:tcPr>
            <w:tcW w:w="1312" w:type="dxa"/>
          </w:tcPr>
          <w:p w:rsidR="007C5447" w:rsidRDefault="00F6308C">
            <w:pPr>
              <w:pStyle w:val="TableParagraph"/>
              <w:spacing w:before="14"/>
              <w:ind w:right="275"/>
              <w:rPr>
                <w:sz w:val="20"/>
              </w:rPr>
            </w:pPr>
            <w:r>
              <w:rPr>
                <w:w w:val="99"/>
                <w:sz w:val="20"/>
              </w:rPr>
              <w:t>-</w:t>
            </w:r>
          </w:p>
        </w:tc>
        <w:tc>
          <w:tcPr>
            <w:tcW w:w="1314" w:type="dxa"/>
          </w:tcPr>
          <w:p w:rsidR="007C5447" w:rsidRDefault="00F6308C">
            <w:pPr>
              <w:pStyle w:val="TableParagraph"/>
              <w:spacing w:before="14"/>
              <w:ind w:right="278"/>
              <w:rPr>
                <w:sz w:val="20"/>
              </w:rPr>
            </w:pPr>
            <w:r>
              <w:rPr>
                <w:w w:val="99"/>
                <w:sz w:val="20"/>
              </w:rPr>
              <w:t>-</w:t>
            </w:r>
          </w:p>
        </w:tc>
      </w:tr>
      <w:tr w:rsidR="007C5447">
        <w:trPr>
          <w:trHeight w:val="294"/>
        </w:trPr>
        <w:tc>
          <w:tcPr>
            <w:tcW w:w="562" w:type="dxa"/>
          </w:tcPr>
          <w:p w:rsidR="007C5447" w:rsidRDefault="00F6308C">
            <w:pPr>
              <w:pStyle w:val="TableParagraph"/>
              <w:spacing w:before="31"/>
              <w:ind w:left="107"/>
              <w:jc w:val="left"/>
              <w:rPr>
                <w:sz w:val="20"/>
              </w:rPr>
            </w:pPr>
            <w:r>
              <w:rPr>
                <w:sz w:val="20"/>
              </w:rPr>
              <w:t>11</w:t>
            </w:r>
          </w:p>
        </w:tc>
        <w:tc>
          <w:tcPr>
            <w:tcW w:w="1957" w:type="dxa"/>
          </w:tcPr>
          <w:p w:rsidR="007C5447" w:rsidRDefault="00F6308C">
            <w:pPr>
              <w:pStyle w:val="TableParagraph"/>
              <w:spacing w:before="50" w:line="224" w:lineRule="exact"/>
              <w:ind w:left="107"/>
              <w:jc w:val="left"/>
              <w:rPr>
                <w:sz w:val="20"/>
              </w:rPr>
            </w:pPr>
            <w:r>
              <w:rPr>
                <w:sz w:val="20"/>
              </w:rPr>
              <w:t>Erode HEP</w:t>
            </w:r>
          </w:p>
        </w:tc>
        <w:tc>
          <w:tcPr>
            <w:tcW w:w="1313" w:type="dxa"/>
          </w:tcPr>
          <w:p w:rsidR="007C5447" w:rsidRDefault="00F6308C">
            <w:pPr>
              <w:pStyle w:val="TableParagraph"/>
              <w:spacing w:before="31"/>
              <w:ind w:left="673"/>
              <w:jc w:val="left"/>
              <w:rPr>
                <w:sz w:val="20"/>
              </w:rPr>
            </w:pPr>
            <w:r>
              <w:rPr>
                <w:sz w:val="20"/>
              </w:rPr>
              <w:t>0.00</w:t>
            </w:r>
          </w:p>
        </w:tc>
        <w:tc>
          <w:tcPr>
            <w:tcW w:w="1311" w:type="dxa"/>
          </w:tcPr>
          <w:p w:rsidR="007C5447" w:rsidRDefault="00F6308C">
            <w:pPr>
              <w:pStyle w:val="TableParagraph"/>
              <w:spacing w:before="31"/>
              <w:ind w:right="273"/>
              <w:rPr>
                <w:sz w:val="20"/>
              </w:rPr>
            </w:pPr>
            <w:r>
              <w:rPr>
                <w:w w:val="99"/>
                <w:sz w:val="20"/>
              </w:rPr>
              <w:t>-</w:t>
            </w:r>
          </w:p>
        </w:tc>
        <w:tc>
          <w:tcPr>
            <w:tcW w:w="1311" w:type="dxa"/>
          </w:tcPr>
          <w:p w:rsidR="007C5447" w:rsidRDefault="00F6308C">
            <w:pPr>
              <w:pStyle w:val="TableParagraph"/>
              <w:spacing w:before="31"/>
              <w:ind w:right="271"/>
              <w:rPr>
                <w:sz w:val="20"/>
              </w:rPr>
            </w:pPr>
            <w:r>
              <w:rPr>
                <w:w w:val="99"/>
                <w:sz w:val="20"/>
              </w:rPr>
              <w:t>-</w:t>
            </w:r>
          </w:p>
        </w:tc>
        <w:tc>
          <w:tcPr>
            <w:tcW w:w="1312" w:type="dxa"/>
          </w:tcPr>
          <w:p w:rsidR="007C5447" w:rsidRDefault="00F6308C">
            <w:pPr>
              <w:pStyle w:val="TableParagraph"/>
              <w:spacing w:before="14"/>
              <w:ind w:right="275"/>
              <w:rPr>
                <w:sz w:val="20"/>
              </w:rPr>
            </w:pPr>
            <w:r>
              <w:rPr>
                <w:w w:val="99"/>
                <w:sz w:val="20"/>
              </w:rPr>
              <w:t>-</w:t>
            </w:r>
          </w:p>
        </w:tc>
        <w:tc>
          <w:tcPr>
            <w:tcW w:w="1314" w:type="dxa"/>
          </w:tcPr>
          <w:p w:rsidR="007C5447" w:rsidRDefault="00F6308C">
            <w:pPr>
              <w:pStyle w:val="TableParagraph"/>
              <w:spacing w:before="14"/>
              <w:ind w:right="278"/>
              <w:rPr>
                <w:sz w:val="20"/>
              </w:rPr>
            </w:pPr>
            <w:r>
              <w:rPr>
                <w:w w:val="99"/>
                <w:sz w:val="20"/>
              </w:rPr>
              <w:t>-</w:t>
            </w:r>
          </w:p>
        </w:tc>
      </w:tr>
      <w:tr w:rsidR="007C5447">
        <w:trPr>
          <w:trHeight w:val="294"/>
        </w:trPr>
        <w:tc>
          <w:tcPr>
            <w:tcW w:w="562" w:type="dxa"/>
          </w:tcPr>
          <w:p w:rsidR="007C5447" w:rsidRDefault="00F6308C">
            <w:pPr>
              <w:pStyle w:val="TableParagraph"/>
              <w:spacing w:before="31"/>
              <w:ind w:left="107"/>
              <w:jc w:val="left"/>
              <w:rPr>
                <w:sz w:val="20"/>
              </w:rPr>
            </w:pPr>
            <w:r>
              <w:rPr>
                <w:sz w:val="20"/>
              </w:rPr>
              <w:t>12</w:t>
            </w:r>
          </w:p>
        </w:tc>
        <w:tc>
          <w:tcPr>
            <w:tcW w:w="1957" w:type="dxa"/>
          </w:tcPr>
          <w:p w:rsidR="007C5447" w:rsidRDefault="00F6308C">
            <w:pPr>
              <w:pStyle w:val="TableParagraph"/>
              <w:spacing w:before="50" w:line="224" w:lineRule="exact"/>
              <w:ind w:left="107"/>
              <w:jc w:val="left"/>
              <w:rPr>
                <w:sz w:val="20"/>
              </w:rPr>
            </w:pPr>
            <w:r>
              <w:rPr>
                <w:sz w:val="20"/>
              </w:rPr>
              <w:t>Kadamparai HEP</w:t>
            </w:r>
          </w:p>
        </w:tc>
        <w:tc>
          <w:tcPr>
            <w:tcW w:w="1313" w:type="dxa"/>
          </w:tcPr>
          <w:p w:rsidR="007C5447" w:rsidRDefault="00F6308C">
            <w:pPr>
              <w:pStyle w:val="TableParagraph"/>
              <w:spacing w:before="31"/>
              <w:ind w:left="673"/>
              <w:jc w:val="left"/>
              <w:rPr>
                <w:sz w:val="20"/>
              </w:rPr>
            </w:pPr>
            <w:r>
              <w:rPr>
                <w:sz w:val="20"/>
              </w:rPr>
              <w:t>0.00</w:t>
            </w:r>
          </w:p>
        </w:tc>
        <w:tc>
          <w:tcPr>
            <w:tcW w:w="1311" w:type="dxa"/>
          </w:tcPr>
          <w:p w:rsidR="007C5447" w:rsidRDefault="00F6308C">
            <w:pPr>
              <w:pStyle w:val="TableParagraph"/>
              <w:spacing w:before="31"/>
              <w:ind w:right="277"/>
              <w:rPr>
                <w:sz w:val="20"/>
              </w:rPr>
            </w:pPr>
            <w:r>
              <w:rPr>
                <w:sz w:val="20"/>
              </w:rPr>
              <w:t>0.00</w:t>
            </w:r>
          </w:p>
        </w:tc>
        <w:tc>
          <w:tcPr>
            <w:tcW w:w="1311" w:type="dxa"/>
          </w:tcPr>
          <w:p w:rsidR="007C5447" w:rsidRDefault="00F6308C">
            <w:pPr>
              <w:pStyle w:val="TableParagraph"/>
              <w:spacing w:before="31"/>
              <w:ind w:left="672"/>
              <w:jc w:val="left"/>
              <w:rPr>
                <w:sz w:val="20"/>
              </w:rPr>
            </w:pPr>
            <w:r>
              <w:rPr>
                <w:sz w:val="20"/>
              </w:rPr>
              <w:t>0.00</w:t>
            </w:r>
          </w:p>
        </w:tc>
        <w:tc>
          <w:tcPr>
            <w:tcW w:w="1312" w:type="dxa"/>
          </w:tcPr>
          <w:p w:rsidR="007C5447" w:rsidRDefault="00F6308C">
            <w:pPr>
              <w:pStyle w:val="TableParagraph"/>
              <w:spacing w:before="14"/>
              <w:ind w:right="274"/>
              <w:rPr>
                <w:sz w:val="20"/>
              </w:rPr>
            </w:pPr>
            <w:r>
              <w:rPr>
                <w:sz w:val="20"/>
              </w:rPr>
              <w:t>0.02</w:t>
            </w:r>
          </w:p>
        </w:tc>
        <w:tc>
          <w:tcPr>
            <w:tcW w:w="1314" w:type="dxa"/>
          </w:tcPr>
          <w:p w:rsidR="007C5447" w:rsidRDefault="00F6308C">
            <w:pPr>
              <w:pStyle w:val="TableParagraph"/>
              <w:spacing w:before="14"/>
              <w:ind w:right="277"/>
              <w:rPr>
                <w:sz w:val="20"/>
              </w:rPr>
            </w:pPr>
            <w:r>
              <w:rPr>
                <w:sz w:val="20"/>
              </w:rPr>
              <w:t>0.00</w:t>
            </w:r>
          </w:p>
        </w:tc>
      </w:tr>
      <w:tr w:rsidR="007C5447">
        <w:trPr>
          <w:trHeight w:val="294"/>
        </w:trPr>
        <w:tc>
          <w:tcPr>
            <w:tcW w:w="562" w:type="dxa"/>
          </w:tcPr>
          <w:p w:rsidR="007C5447" w:rsidRDefault="00F6308C">
            <w:pPr>
              <w:pStyle w:val="TableParagraph"/>
              <w:spacing w:before="31"/>
              <w:ind w:left="107"/>
              <w:jc w:val="left"/>
              <w:rPr>
                <w:sz w:val="20"/>
              </w:rPr>
            </w:pPr>
            <w:r>
              <w:rPr>
                <w:sz w:val="20"/>
              </w:rPr>
              <w:t>13</w:t>
            </w:r>
          </w:p>
        </w:tc>
        <w:tc>
          <w:tcPr>
            <w:tcW w:w="1957" w:type="dxa"/>
          </w:tcPr>
          <w:p w:rsidR="007C5447" w:rsidRDefault="00F6308C">
            <w:pPr>
              <w:pStyle w:val="TableParagraph"/>
              <w:spacing w:before="50" w:line="224" w:lineRule="exact"/>
              <w:ind w:left="107"/>
              <w:jc w:val="left"/>
              <w:rPr>
                <w:sz w:val="20"/>
              </w:rPr>
            </w:pPr>
            <w:r>
              <w:rPr>
                <w:sz w:val="20"/>
              </w:rPr>
              <w:t>Kundah HEP</w:t>
            </w:r>
          </w:p>
        </w:tc>
        <w:tc>
          <w:tcPr>
            <w:tcW w:w="1313" w:type="dxa"/>
          </w:tcPr>
          <w:p w:rsidR="007C5447" w:rsidRDefault="00F6308C">
            <w:pPr>
              <w:pStyle w:val="TableParagraph"/>
              <w:spacing w:before="31"/>
              <w:ind w:left="673"/>
              <w:jc w:val="left"/>
              <w:rPr>
                <w:sz w:val="20"/>
              </w:rPr>
            </w:pPr>
            <w:r>
              <w:rPr>
                <w:sz w:val="20"/>
              </w:rPr>
              <w:t>0.15</w:t>
            </w:r>
          </w:p>
        </w:tc>
        <w:tc>
          <w:tcPr>
            <w:tcW w:w="1311" w:type="dxa"/>
          </w:tcPr>
          <w:p w:rsidR="007C5447" w:rsidRDefault="00F6308C">
            <w:pPr>
              <w:pStyle w:val="TableParagraph"/>
              <w:spacing w:before="31"/>
              <w:ind w:right="277"/>
              <w:rPr>
                <w:sz w:val="20"/>
              </w:rPr>
            </w:pPr>
            <w:r>
              <w:rPr>
                <w:sz w:val="20"/>
              </w:rPr>
              <w:t>0.03</w:t>
            </w:r>
          </w:p>
        </w:tc>
        <w:tc>
          <w:tcPr>
            <w:tcW w:w="1311" w:type="dxa"/>
          </w:tcPr>
          <w:p w:rsidR="007C5447" w:rsidRDefault="00F6308C">
            <w:pPr>
              <w:pStyle w:val="TableParagraph"/>
              <w:spacing w:before="31"/>
              <w:ind w:left="672"/>
              <w:jc w:val="left"/>
              <w:rPr>
                <w:sz w:val="20"/>
              </w:rPr>
            </w:pPr>
            <w:r>
              <w:rPr>
                <w:sz w:val="20"/>
              </w:rPr>
              <w:t>0.10</w:t>
            </w:r>
          </w:p>
        </w:tc>
        <w:tc>
          <w:tcPr>
            <w:tcW w:w="1312" w:type="dxa"/>
          </w:tcPr>
          <w:p w:rsidR="007C5447" w:rsidRDefault="00F6308C">
            <w:pPr>
              <w:pStyle w:val="TableParagraph"/>
              <w:spacing w:before="14"/>
              <w:ind w:right="274"/>
              <w:rPr>
                <w:sz w:val="20"/>
              </w:rPr>
            </w:pPr>
            <w:r>
              <w:rPr>
                <w:sz w:val="20"/>
              </w:rPr>
              <w:t>0.16</w:t>
            </w:r>
          </w:p>
        </w:tc>
        <w:tc>
          <w:tcPr>
            <w:tcW w:w="1314" w:type="dxa"/>
          </w:tcPr>
          <w:p w:rsidR="007C5447" w:rsidRDefault="00F6308C">
            <w:pPr>
              <w:pStyle w:val="TableParagraph"/>
              <w:spacing w:before="14"/>
              <w:ind w:right="277"/>
              <w:rPr>
                <w:sz w:val="20"/>
              </w:rPr>
            </w:pPr>
            <w:r>
              <w:rPr>
                <w:sz w:val="20"/>
              </w:rPr>
              <w:t>0.09</w:t>
            </w:r>
          </w:p>
        </w:tc>
      </w:tr>
      <w:tr w:rsidR="007C5447">
        <w:trPr>
          <w:trHeight w:val="294"/>
        </w:trPr>
        <w:tc>
          <w:tcPr>
            <w:tcW w:w="562" w:type="dxa"/>
          </w:tcPr>
          <w:p w:rsidR="007C5447" w:rsidRDefault="00F6308C">
            <w:pPr>
              <w:pStyle w:val="TableParagraph"/>
              <w:spacing w:before="34"/>
              <w:ind w:left="107"/>
              <w:jc w:val="left"/>
              <w:rPr>
                <w:sz w:val="20"/>
              </w:rPr>
            </w:pPr>
            <w:r>
              <w:rPr>
                <w:sz w:val="20"/>
              </w:rPr>
              <w:t>14</w:t>
            </w:r>
          </w:p>
        </w:tc>
        <w:tc>
          <w:tcPr>
            <w:tcW w:w="1957" w:type="dxa"/>
          </w:tcPr>
          <w:p w:rsidR="007C5447" w:rsidRDefault="00F6308C">
            <w:pPr>
              <w:pStyle w:val="TableParagraph"/>
              <w:spacing w:before="50" w:line="224" w:lineRule="exact"/>
              <w:ind w:left="107"/>
              <w:jc w:val="left"/>
              <w:rPr>
                <w:sz w:val="20"/>
              </w:rPr>
            </w:pPr>
            <w:r>
              <w:rPr>
                <w:sz w:val="20"/>
              </w:rPr>
              <w:t>Tirunelveli HEP</w:t>
            </w:r>
          </w:p>
        </w:tc>
        <w:tc>
          <w:tcPr>
            <w:tcW w:w="1313" w:type="dxa"/>
          </w:tcPr>
          <w:p w:rsidR="007C5447" w:rsidRDefault="00F6308C">
            <w:pPr>
              <w:pStyle w:val="TableParagraph"/>
              <w:spacing w:before="34"/>
              <w:ind w:left="673"/>
              <w:jc w:val="left"/>
              <w:rPr>
                <w:sz w:val="20"/>
              </w:rPr>
            </w:pPr>
            <w:r>
              <w:rPr>
                <w:sz w:val="20"/>
              </w:rPr>
              <w:t>0.01</w:t>
            </w:r>
          </w:p>
        </w:tc>
        <w:tc>
          <w:tcPr>
            <w:tcW w:w="1311" w:type="dxa"/>
          </w:tcPr>
          <w:p w:rsidR="007C5447" w:rsidRDefault="00F6308C">
            <w:pPr>
              <w:pStyle w:val="TableParagraph"/>
              <w:spacing w:before="34"/>
              <w:ind w:right="277"/>
              <w:rPr>
                <w:sz w:val="20"/>
              </w:rPr>
            </w:pPr>
            <w:r>
              <w:rPr>
                <w:sz w:val="20"/>
              </w:rPr>
              <w:t>0.03</w:t>
            </w:r>
          </w:p>
        </w:tc>
        <w:tc>
          <w:tcPr>
            <w:tcW w:w="1311" w:type="dxa"/>
          </w:tcPr>
          <w:p w:rsidR="007C5447" w:rsidRDefault="00F6308C">
            <w:pPr>
              <w:pStyle w:val="TableParagraph"/>
              <w:spacing w:before="34"/>
              <w:ind w:left="672"/>
              <w:jc w:val="left"/>
              <w:rPr>
                <w:sz w:val="20"/>
              </w:rPr>
            </w:pPr>
            <w:r>
              <w:rPr>
                <w:sz w:val="20"/>
              </w:rPr>
              <w:t>0.00</w:t>
            </w:r>
          </w:p>
        </w:tc>
        <w:tc>
          <w:tcPr>
            <w:tcW w:w="1312" w:type="dxa"/>
          </w:tcPr>
          <w:p w:rsidR="007C5447" w:rsidRDefault="00F6308C">
            <w:pPr>
              <w:pStyle w:val="TableParagraph"/>
              <w:spacing w:before="14"/>
              <w:ind w:right="275"/>
              <w:rPr>
                <w:sz w:val="20"/>
              </w:rPr>
            </w:pPr>
            <w:r>
              <w:rPr>
                <w:w w:val="99"/>
                <w:sz w:val="20"/>
              </w:rPr>
              <w:t>-</w:t>
            </w:r>
          </w:p>
        </w:tc>
        <w:tc>
          <w:tcPr>
            <w:tcW w:w="1314" w:type="dxa"/>
          </w:tcPr>
          <w:p w:rsidR="007C5447" w:rsidRDefault="00F6308C">
            <w:pPr>
              <w:pStyle w:val="TableParagraph"/>
              <w:spacing w:before="14"/>
              <w:ind w:right="277"/>
              <w:rPr>
                <w:sz w:val="20"/>
              </w:rPr>
            </w:pPr>
            <w:r>
              <w:rPr>
                <w:sz w:val="20"/>
              </w:rPr>
              <w:t>0.08</w:t>
            </w:r>
          </w:p>
        </w:tc>
      </w:tr>
      <w:tr w:rsidR="007C5447">
        <w:trPr>
          <w:trHeight w:val="294"/>
        </w:trPr>
        <w:tc>
          <w:tcPr>
            <w:tcW w:w="562" w:type="dxa"/>
          </w:tcPr>
          <w:p w:rsidR="007C5447" w:rsidRDefault="00F6308C">
            <w:pPr>
              <w:pStyle w:val="TableParagraph"/>
              <w:spacing w:before="34"/>
              <w:ind w:left="107"/>
              <w:jc w:val="left"/>
              <w:rPr>
                <w:b/>
                <w:sz w:val="20"/>
              </w:rPr>
            </w:pPr>
            <w:r>
              <w:rPr>
                <w:b/>
                <w:sz w:val="20"/>
              </w:rPr>
              <w:t>15</w:t>
            </w:r>
          </w:p>
        </w:tc>
        <w:tc>
          <w:tcPr>
            <w:tcW w:w="1957" w:type="dxa"/>
          </w:tcPr>
          <w:p w:rsidR="007C5447" w:rsidRDefault="00F6308C">
            <w:pPr>
              <w:pStyle w:val="TableParagraph"/>
              <w:spacing w:before="50" w:line="224" w:lineRule="exact"/>
              <w:ind w:left="107"/>
              <w:jc w:val="left"/>
              <w:rPr>
                <w:b/>
                <w:sz w:val="20"/>
              </w:rPr>
            </w:pPr>
            <w:r>
              <w:rPr>
                <w:b/>
                <w:sz w:val="20"/>
              </w:rPr>
              <w:t>Total Generation</w:t>
            </w:r>
          </w:p>
        </w:tc>
        <w:tc>
          <w:tcPr>
            <w:tcW w:w="1313" w:type="dxa"/>
          </w:tcPr>
          <w:p w:rsidR="007C5447" w:rsidRDefault="00F6308C">
            <w:pPr>
              <w:pStyle w:val="TableParagraph"/>
              <w:spacing w:before="34"/>
              <w:ind w:left="673"/>
              <w:jc w:val="left"/>
              <w:rPr>
                <w:b/>
                <w:sz w:val="20"/>
              </w:rPr>
            </w:pPr>
            <w:r>
              <w:rPr>
                <w:b/>
                <w:sz w:val="20"/>
              </w:rPr>
              <w:t>1.00</w:t>
            </w:r>
          </w:p>
        </w:tc>
        <w:tc>
          <w:tcPr>
            <w:tcW w:w="1311" w:type="dxa"/>
          </w:tcPr>
          <w:p w:rsidR="007C5447" w:rsidRDefault="00F6308C">
            <w:pPr>
              <w:pStyle w:val="TableParagraph"/>
              <w:spacing w:before="34"/>
              <w:ind w:right="274"/>
              <w:rPr>
                <w:b/>
                <w:sz w:val="20"/>
              </w:rPr>
            </w:pPr>
            <w:r>
              <w:rPr>
                <w:b/>
                <w:sz w:val="20"/>
              </w:rPr>
              <w:t>0.67</w:t>
            </w:r>
          </w:p>
        </w:tc>
        <w:tc>
          <w:tcPr>
            <w:tcW w:w="1311" w:type="dxa"/>
          </w:tcPr>
          <w:p w:rsidR="007C5447" w:rsidRDefault="00F6308C">
            <w:pPr>
              <w:pStyle w:val="TableParagraph"/>
              <w:spacing w:before="34"/>
              <w:ind w:left="672"/>
              <w:jc w:val="left"/>
              <w:rPr>
                <w:b/>
                <w:sz w:val="20"/>
              </w:rPr>
            </w:pPr>
            <w:r>
              <w:rPr>
                <w:b/>
                <w:sz w:val="20"/>
              </w:rPr>
              <w:t>0.22</w:t>
            </w:r>
          </w:p>
        </w:tc>
        <w:tc>
          <w:tcPr>
            <w:tcW w:w="1312" w:type="dxa"/>
          </w:tcPr>
          <w:p w:rsidR="007C5447" w:rsidRDefault="00F6308C">
            <w:pPr>
              <w:pStyle w:val="TableParagraph"/>
              <w:spacing w:before="14"/>
              <w:ind w:right="274"/>
              <w:rPr>
                <w:b/>
                <w:sz w:val="20"/>
              </w:rPr>
            </w:pPr>
            <w:r>
              <w:rPr>
                <w:b/>
                <w:sz w:val="20"/>
              </w:rPr>
              <w:t>0.91</w:t>
            </w:r>
          </w:p>
        </w:tc>
        <w:tc>
          <w:tcPr>
            <w:tcW w:w="1314" w:type="dxa"/>
          </w:tcPr>
          <w:p w:rsidR="007C5447" w:rsidRDefault="00F6308C">
            <w:pPr>
              <w:pStyle w:val="TableParagraph"/>
              <w:spacing w:before="14"/>
              <w:ind w:right="277"/>
              <w:rPr>
                <w:b/>
                <w:sz w:val="20"/>
              </w:rPr>
            </w:pPr>
            <w:r>
              <w:rPr>
                <w:b/>
                <w:sz w:val="20"/>
              </w:rPr>
              <w:t>3.41</w:t>
            </w:r>
          </w:p>
        </w:tc>
      </w:tr>
      <w:tr w:rsidR="007C5447">
        <w:trPr>
          <w:trHeight w:val="295"/>
        </w:trPr>
        <w:tc>
          <w:tcPr>
            <w:tcW w:w="562" w:type="dxa"/>
          </w:tcPr>
          <w:p w:rsidR="007C5447" w:rsidRDefault="00F6308C">
            <w:pPr>
              <w:pStyle w:val="TableParagraph"/>
              <w:spacing w:before="34"/>
              <w:ind w:left="107"/>
              <w:jc w:val="left"/>
              <w:rPr>
                <w:b/>
                <w:sz w:val="20"/>
              </w:rPr>
            </w:pPr>
            <w:r>
              <w:rPr>
                <w:b/>
                <w:sz w:val="20"/>
              </w:rPr>
              <w:t>16</w:t>
            </w:r>
          </w:p>
        </w:tc>
        <w:tc>
          <w:tcPr>
            <w:tcW w:w="1957" w:type="dxa"/>
          </w:tcPr>
          <w:p w:rsidR="007C5447" w:rsidRDefault="00F6308C">
            <w:pPr>
              <w:pStyle w:val="TableParagraph"/>
              <w:spacing w:before="51" w:line="224" w:lineRule="exact"/>
              <w:ind w:left="107"/>
              <w:jc w:val="left"/>
              <w:rPr>
                <w:b/>
                <w:sz w:val="20"/>
              </w:rPr>
            </w:pPr>
            <w:r>
              <w:rPr>
                <w:b/>
                <w:sz w:val="20"/>
              </w:rPr>
              <w:t>Distribution</w:t>
            </w:r>
          </w:p>
        </w:tc>
        <w:tc>
          <w:tcPr>
            <w:tcW w:w="1313" w:type="dxa"/>
          </w:tcPr>
          <w:p w:rsidR="007C5447" w:rsidRDefault="00F6308C">
            <w:pPr>
              <w:pStyle w:val="TableParagraph"/>
              <w:spacing w:before="34"/>
              <w:ind w:left="574"/>
              <w:jc w:val="left"/>
              <w:rPr>
                <w:b/>
                <w:sz w:val="20"/>
              </w:rPr>
            </w:pPr>
            <w:r>
              <w:rPr>
                <w:b/>
                <w:sz w:val="20"/>
              </w:rPr>
              <w:t>36.52</w:t>
            </w:r>
          </w:p>
        </w:tc>
        <w:tc>
          <w:tcPr>
            <w:tcW w:w="1311" w:type="dxa"/>
          </w:tcPr>
          <w:p w:rsidR="007C5447" w:rsidRDefault="00F6308C">
            <w:pPr>
              <w:pStyle w:val="TableParagraph"/>
              <w:spacing w:before="34"/>
              <w:ind w:right="277"/>
              <w:rPr>
                <w:b/>
                <w:sz w:val="20"/>
              </w:rPr>
            </w:pPr>
            <w:r>
              <w:rPr>
                <w:b/>
                <w:w w:val="95"/>
                <w:sz w:val="20"/>
              </w:rPr>
              <w:t>10.14</w:t>
            </w:r>
          </w:p>
        </w:tc>
        <w:tc>
          <w:tcPr>
            <w:tcW w:w="1311" w:type="dxa"/>
          </w:tcPr>
          <w:p w:rsidR="007C5447" w:rsidRDefault="00F6308C">
            <w:pPr>
              <w:pStyle w:val="TableParagraph"/>
              <w:spacing w:before="34"/>
              <w:ind w:left="574"/>
              <w:jc w:val="left"/>
              <w:rPr>
                <w:b/>
                <w:sz w:val="20"/>
              </w:rPr>
            </w:pPr>
            <w:r>
              <w:rPr>
                <w:b/>
                <w:sz w:val="20"/>
              </w:rPr>
              <w:t>21.70</w:t>
            </w:r>
          </w:p>
        </w:tc>
        <w:tc>
          <w:tcPr>
            <w:tcW w:w="1312" w:type="dxa"/>
          </w:tcPr>
          <w:p w:rsidR="007C5447" w:rsidRDefault="00F6308C">
            <w:pPr>
              <w:pStyle w:val="TableParagraph"/>
              <w:spacing w:before="15"/>
              <w:ind w:right="274"/>
              <w:rPr>
                <w:b/>
                <w:sz w:val="20"/>
              </w:rPr>
            </w:pPr>
            <w:r>
              <w:rPr>
                <w:b/>
                <w:sz w:val="20"/>
              </w:rPr>
              <w:t>25.98</w:t>
            </w:r>
          </w:p>
        </w:tc>
        <w:tc>
          <w:tcPr>
            <w:tcW w:w="1314" w:type="dxa"/>
          </w:tcPr>
          <w:p w:rsidR="007C5447" w:rsidRDefault="00F6308C">
            <w:pPr>
              <w:pStyle w:val="TableParagraph"/>
              <w:spacing w:before="15"/>
              <w:ind w:left="572"/>
              <w:jc w:val="left"/>
              <w:rPr>
                <w:b/>
                <w:sz w:val="20"/>
              </w:rPr>
            </w:pPr>
            <w:r>
              <w:rPr>
                <w:b/>
                <w:sz w:val="20"/>
              </w:rPr>
              <w:t>13.19</w:t>
            </w:r>
          </w:p>
        </w:tc>
      </w:tr>
      <w:tr w:rsidR="007C5447">
        <w:trPr>
          <w:trHeight w:val="297"/>
        </w:trPr>
        <w:tc>
          <w:tcPr>
            <w:tcW w:w="562" w:type="dxa"/>
          </w:tcPr>
          <w:p w:rsidR="007C5447" w:rsidRDefault="00F6308C">
            <w:pPr>
              <w:pStyle w:val="TableParagraph"/>
              <w:spacing w:before="34"/>
              <w:ind w:left="107"/>
              <w:jc w:val="left"/>
              <w:rPr>
                <w:b/>
                <w:sz w:val="20"/>
              </w:rPr>
            </w:pPr>
            <w:r>
              <w:rPr>
                <w:b/>
                <w:sz w:val="20"/>
              </w:rPr>
              <w:t>17</w:t>
            </w:r>
          </w:p>
        </w:tc>
        <w:tc>
          <w:tcPr>
            <w:tcW w:w="1957" w:type="dxa"/>
          </w:tcPr>
          <w:p w:rsidR="007C5447" w:rsidRDefault="00F6308C">
            <w:pPr>
              <w:pStyle w:val="TableParagraph"/>
              <w:spacing w:before="34"/>
              <w:ind w:left="107"/>
              <w:jc w:val="left"/>
              <w:rPr>
                <w:b/>
                <w:sz w:val="20"/>
              </w:rPr>
            </w:pPr>
            <w:r>
              <w:rPr>
                <w:b/>
                <w:sz w:val="20"/>
              </w:rPr>
              <w:t>Total TANGEDCO</w:t>
            </w:r>
          </w:p>
        </w:tc>
        <w:tc>
          <w:tcPr>
            <w:tcW w:w="1313" w:type="dxa"/>
          </w:tcPr>
          <w:p w:rsidR="007C5447" w:rsidRDefault="00F6308C">
            <w:pPr>
              <w:pStyle w:val="TableParagraph"/>
              <w:spacing w:before="34"/>
              <w:ind w:left="574"/>
              <w:jc w:val="left"/>
              <w:rPr>
                <w:b/>
                <w:sz w:val="20"/>
              </w:rPr>
            </w:pPr>
            <w:r>
              <w:rPr>
                <w:b/>
                <w:sz w:val="20"/>
              </w:rPr>
              <w:t>37.52</w:t>
            </w:r>
          </w:p>
        </w:tc>
        <w:tc>
          <w:tcPr>
            <w:tcW w:w="1311" w:type="dxa"/>
          </w:tcPr>
          <w:p w:rsidR="007C5447" w:rsidRDefault="00F6308C">
            <w:pPr>
              <w:pStyle w:val="TableParagraph"/>
              <w:spacing w:before="34"/>
              <w:ind w:right="276"/>
              <w:rPr>
                <w:b/>
                <w:sz w:val="20"/>
              </w:rPr>
            </w:pPr>
            <w:r>
              <w:rPr>
                <w:b/>
                <w:w w:val="95"/>
                <w:sz w:val="20"/>
              </w:rPr>
              <w:t>10.82</w:t>
            </w:r>
          </w:p>
        </w:tc>
        <w:tc>
          <w:tcPr>
            <w:tcW w:w="1311" w:type="dxa"/>
          </w:tcPr>
          <w:p w:rsidR="007C5447" w:rsidRDefault="00F6308C">
            <w:pPr>
              <w:pStyle w:val="TableParagraph"/>
              <w:spacing w:before="34"/>
              <w:ind w:left="574"/>
              <w:jc w:val="left"/>
              <w:rPr>
                <w:b/>
                <w:sz w:val="20"/>
              </w:rPr>
            </w:pPr>
            <w:r>
              <w:rPr>
                <w:b/>
                <w:sz w:val="20"/>
              </w:rPr>
              <w:t>21.92</w:t>
            </w:r>
          </w:p>
        </w:tc>
        <w:tc>
          <w:tcPr>
            <w:tcW w:w="1312" w:type="dxa"/>
          </w:tcPr>
          <w:p w:rsidR="007C5447" w:rsidRDefault="00F6308C">
            <w:pPr>
              <w:pStyle w:val="TableParagraph"/>
              <w:spacing w:before="17"/>
              <w:ind w:right="274"/>
              <w:rPr>
                <w:b/>
                <w:sz w:val="20"/>
              </w:rPr>
            </w:pPr>
            <w:r>
              <w:rPr>
                <w:b/>
                <w:sz w:val="20"/>
              </w:rPr>
              <w:t>26.90</w:t>
            </w:r>
          </w:p>
        </w:tc>
        <w:tc>
          <w:tcPr>
            <w:tcW w:w="1314" w:type="dxa"/>
          </w:tcPr>
          <w:p w:rsidR="007C5447" w:rsidRDefault="00F6308C">
            <w:pPr>
              <w:pStyle w:val="TableParagraph"/>
              <w:spacing w:before="17"/>
              <w:ind w:left="572"/>
              <w:jc w:val="left"/>
              <w:rPr>
                <w:b/>
                <w:sz w:val="20"/>
              </w:rPr>
            </w:pPr>
            <w:r>
              <w:rPr>
                <w:b/>
                <w:sz w:val="20"/>
              </w:rPr>
              <w:t>16.59</w:t>
            </w:r>
          </w:p>
        </w:tc>
      </w:tr>
    </w:tbl>
    <w:p w:rsidR="007C5447" w:rsidRDefault="007C5447">
      <w:pPr>
        <w:pStyle w:val="BodyText"/>
        <w:spacing w:before="9"/>
        <w:rPr>
          <w:b/>
          <w:sz w:val="20"/>
        </w:rPr>
      </w:pPr>
    </w:p>
    <w:p w:rsidR="007C5447" w:rsidRDefault="00F6308C">
      <w:pPr>
        <w:pStyle w:val="Heading2"/>
        <w:ind w:left="1532"/>
      </w:pPr>
      <w:r>
        <w:t>Commission’s Views</w:t>
      </w:r>
    </w:p>
    <w:p w:rsidR="007C5447" w:rsidRDefault="00F6308C">
      <w:pPr>
        <w:pStyle w:val="ListParagraph"/>
        <w:numPr>
          <w:ilvl w:val="2"/>
          <w:numId w:val="92"/>
        </w:numPr>
        <w:tabs>
          <w:tab w:val="left" w:pos="1533"/>
        </w:tabs>
        <w:spacing w:before="201" w:line="312" w:lineRule="auto"/>
        <w:ind w:right="1357"/>
        <w:jc w:val="both"/>
        <w:rPr>
          <w:sz w:val="24"/>
        </w:rPr>
      </w:pPr>
      <w:r>
        <w:rPr>
          <w:sz w:val="24"/>
        </w:rPr>
        <w:t>The Commission has approved Bad and Doubtful debts under Other Debits for FY 2011-12 to FY 2013-14 as per the Audited Accounts of the respective years, as the same are lower than the ceiling limit of provision for bad and d</w:t>
      </w:r>
      <w:r>
        <w:rPr>
          <w:sz w:val="24"/>
        </w:rPr>
        <w:t>oubtful debts allowed in the Tariff Regulations till FY 2013-14. The Commission has disallowed Bad and Doubtful debts under Other Debits for FY 2014-15 and FY 2015-16, as the provision pertaining to Bad and Doubtful debts was removed from the Tariff Regula</w:t>
      </w:r>
      <w:r>
        <w:rPr>
          <w:sz w:val="24"/>
        </w:rPr>
        <w:t>tions post amendment. The other expenses claimed under Other Debits have been disallowed, as they are required to be recovered under O&amp;M expenses, which have been allowed on normative basis separately. The Other Debits approved by the Commission for FY 201</w:t>
      </w:r>
      <w:r>
        <w:rPr>
          <w:sz w:val="24"/>
        </w:rPr>
        <w:t>1-12 to FY 2015-16 are shown in the Tables</w:t>
      </w:r>
      <w:r>
        <w:rPr>
          <w:spacing w:val="-3"/>
          <w:sz w:val="24"/>
        </w:rPr>
        <w:t xml:space="preserve"> </w:t>
      </w:r>
      <w:r>
        <w:rPr>
          <w:sz w:val="24"/>
        </w:rPr>
        <w:t>below:</w:t>
      </w:r>
    </w:p>
    <w:p w:rsidR="007C5447" w:rsidRDefault="007C5447">
      <w:pPr>
        <w:spacing w:line="312" w:lineRule="auto"/>
        <w:jc w:val="both"/>
        <w:rPr>
          <w:sz w:val="24"/>
        </w:rPr>
        <w:sectPr w:rsidR="007C5447">
          <w:footerReference w:type="default" r:id="rId23"/>
          <w:pgSz w:w="11910" w:h="16840"/>
          <w:pgMar w:top="1480" w:right="80" w:bottom="1240" w:left="760" w:header="0" w:footer="1057" w:gutter="0"/>
          <w:pgNumType w:start="117"/>
          <w:cols w:space="720"/>
        </w:sectPr>
      </w:pPr>
    </w:p>
    <w:p w:rsidR="007C5447" w:rsidRDefault="00F6308C">
      <w:pPr>
        <w:spacing w:before="62"/>
        <w:ind w:left="823" w:right="781"/>
        <w:jc w:val="center"/>
        <w:rPr>
          <w:b/>
        </w:rPr>
      </w:pPr>
      <w:r>
        <w:rPr>
          <w:b/>
        </w:rPr>
        <w:lastRenderedPageBreak/>
        <w:t>Table 3-29: Other Debits approved by the Commission after true-up for FY 2011-12 to</w:t>
      </w:r>
    </w:p>
    <w:p w:rsidR="007C5447" w:rsidRDefault="00F6308C">
      <w:pPr>
        <w:spacing w:before="77"/>
        <w:ind w:left="671" w:right="1348"/>
        <w:jc w:val="center"/>
        <w:rPr>
          <w:b/>
        </w:rPr>
      </w:pPr>
      <w:r>
        <w:rPr>
          <w:b/>
        </w:rPr>
        <w:t>FY 2013-14 (Rs. Crore)</w:t>
      </w:r>
    </w:p>
    <w:p w:rsidR="007C5447" w:rsidRDefault="007C5447">
      <w:pPr>
        <w:pStyle w:val="BodyText"/>
        <w:spacing w:before="10"/>
        <w:rPr>
          <w:b/>
          <w:sz w:val="16"/>
        </w:rPr>
      </w:pPr>
    </w:p>
    <w:tbl>
      <w:tblPr>
        <w:tblW w:w="0" w:type="auto"/>
        <w:tblInd w:w="6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2"/>
        <w:gridCol w:w="852"/>
        <w:gridCol w:w="1258"/>
        <w:gridCol w:w="1003"/>
        <w:gridCol w:w="696"/>
        <w:gridCol w:w="1255"/>
        <w:gridCol w:w="989"/>
        <w:gridCol w:w="697"/>
        <w:gridCol w:w="1256"/>
        <w:gridCol w:w="990"/>
      </w:tblGrid>
      <w:tr w:rsidR="007C5447">
        <w:trPr>
          <w:trHeight w:val="237"/>
        </w:trPr>
        <w:tc>
          <w:tcPr>
            <w:tcW w:w="1262" w:type="dxa"/>
            <w:vMerge w:val="restart"/>
            <w:shd w:val="clear" w:color="auto" w:fill="F7C9AC"/>
          </w:tcPr>
          <w:p w:rsidR="007C5447" w:rsidRDefault="007C5447">
            <w:pPr>
              <w:pStyle w:val="TableParagraph"/>
              <w:jc w:val="left"/>
              <w:rPr>
                <w:b/>
                <w:sz w:val="20"/>
              </w:rPr>
            </w:pPr>
          </w:p>
          <w:p w:rsidR="007C5447" w:rsidRDefault="00F6308C">
            <w:pPr>
              <w:pStyle w:val="TableParagraph"/>
              <w:spacing w:before="115"/>
              <w:ind w:left="201"/>
              <w:jc w:val="left"/>
              <w:rPr>
                <w:b/>
                <w:sz w:val="18"/>
              </w:rPr>
            </w:pPr>
            <w:r>
              <w:rPr>
                <w:b/>
                <w:sz w:val="18"/>
              </w:rPr>
              <w:t>Particulars</w:t>
            </w:r>
          </w:p>
        </w:tc>
        <w:tc>
          <w:tcPr>
            <w:tcW w:w="3113" w:type="dxa"/>
            <w:gridSpan w:val="3"/>
            <w:shd w:val="clear" w:color="auto" w:fill="F7C9AC"/>
          </w:tcPr>
          <w:p w:rsidR="007C5447" w:rsidRDefault="00F6308C">
            <w:pPr>
              <w:pStyle w:val="TableParagraph"/>
              <w:spacing w:before="14" w:line="203" w:lineRule="exact"/>
              <w:ind w:left="1093" w:right="1085"/>
              <w:jc w:val="center"/>
              <w:rPr>
                <w:b/>
                <w:sz w:val="18"/>
              </w:rPr>
            </w:pPr>
            <w:r>
              <w:rPr>
                <w:b/>
                <w:sz w:val="18"/>
              </w:rPr>
              <w:t>FY 2011-12</w:t>
            </w:r>
          </w:p>
        </w:tc>
        <w:tc>
          <w:tcPr>
            <w:tcW w:w="2940" w:type="dxa"/>
            <w:gridSpan w:val="3"/>
            <w:shd w:val="clear" w:color="auto" w:fill="F7C9AC"/>
          </w:tcPr>
          <w:p w:rsidR="007C5447" w:rsidRDefault="00F6308C">
            <w:pPr>
              <w:pStyle w:val="TableParagraph"/>
              <w:spacing w:before="14" w:line="203" w:lineRule="exact"/>
              <w:ind w:left="1007" w:right="998"/>
              <w:jc w:val="center"/>
              <w:rPr>
                <w:b/>
                <w:sz w:val="18"/>
              </w:rPr>
            </w:pPr>
            <w:r>
              <w:rPr>
                <w:b/>
                <w:sz w:val="18"/>
              </w:rPr>
              <w:t>FY 2012-13</w:t>
            </w:r>
          </w:p>
        </w:tc>
        <w:tc>
          <w:tcPr>
            <w:tcW w:w="2943" w:type="dxa"/>
            <w:gridSpan w:val="3"/>
            <w:shd w:val="clear" w:color="auto" w:fill="F7C9AC"/>
          </w:tcPr>
          <w:p w:rsidR="007C5447" w:rsidRDefault="00F6308C">
            <w:pPr>
              <w:pStyle w:val="TableParagraph"/>
              <w:spacing w:before="14" w:line="203" w:lineRule="exact"/>
              <w:ind w:left="1007" w:right="1000"/>
              <w:jc w:val="center"/>
              <w:rPr>
                <w:b/>
                <w:sz w:val="18"/>
              </w:rPr>
            </w:pPr>
            <w:r>
              <w:rPr>
                <w:b/>
                <w:sz w:val="18"/>
              </w:rPr>
              <w:t>FY 2013-14</w:t>
            </w:r>
          </w:p>
        </w:tc>
      </w:tr>
      <w:tr w:rsidR="007C5447">
        <w:trPr>
          <w:trHeight w:val="650"/>
        </w:trPr>
        <w:tc>
          <w:tcPr>
            <w:tcW w:w="1262" w:type="dxa"/>
            <w:vMerge/>
            <w:tcBorders>
              <w:top w:val="nil"/>
            </w:tcBorders>
            <w:shd w:val="clear" w:color="auto" w:fill="F7C9AC"/>
          </w:tcPr>
          <w:p w:rsidR="007C5447" w:rsidRDefault="007C5447">
            <w:pPr>
              <w:rPr>
                <w:sz w:val="2"/>
                <w:szCs w:val="2"/>
              </w:rPr>
            </w:pPr>
          </w:p>
        </w:tc>
        <w:tc>
          <w:tcPr>
            <w:tcW w:w="852" w:type="dxa"/>
            <w:shd w:val="clear" w:color="auto" w:fill="F7C9AC"/>
          </w:tcPr>
          <w:p w:rsidR="007C5447" w:rsidRDefault="00F6308C">
            <w:pPr>
              <w:pStyle w:val="TableParagraph"/>
              <w:spacing w:before="119" w:line="207" w:lineRule="exact"/>
              <w:ind w:left="230"/>
              <w:jc w:val="left"/>
              <w:rPr>
                <w:b/>
                <w:sz w:val="18"/>
              </w:rPr>
            </w:pPr>
            <w:r>
              <w:rPr>
                <w:b/>
                <w:sz w:val="18"/>
              </w:rPr>
              <w:t>SMT</w:t>
            </w:r>
          </w:p>
          <w:p w:rsidR="007C5447" w:rsidRDefault="00F6308C">
            <w:pPr>
              <w:pStyle w:val="TableParagraph"/>
              <w:spacing w:line="207" w:lineRule="exact"/>
              <w:ind w:left="184"/>
              <w:jc w:val="left"/>
              <w:rPr>
                <w:b/>
                <w:sz w:val="18"/>
              </w:rPr>
            </w:pPr>
            <w:r>
              <w:rPr>
                <w:b/>
                <w:sz w:val="18"/>
              </w:rPr>
              <w:t>Order</w:t>
            </w:r>
          </w:p>
        </w:tc>
        <w:tc>
          <w:tcPr>
            <w:tcW w:w="1258" w:type="dxa"/>
            <w:shd w:val="clear" w:color="auto" w:fill="F7C9AC"/>
          </w:tcPr>
          <w:p w:rsidR="007C5447" w:rsidRDefault="007C5447">
            <w:pPr>
              <w:pStyle w:val="TableParagraph"/>
              <w:spacing w:before="4"/>
              <w:jc w:val="left"/>
              <w:rPr>
                <w:b/>
                <w:sz w:val="19"/>
              </w:rPr>
            </w:pPr>
          </w:p>
          <w:p w:rsidR="007C5447" w:rsidRDefault="00F6308C">
            <w:pPr>
              <w:pStyle w:val="TableParagraph"/>
              <w:ind w:right="100"/>
              <w:rPr>
                <w:b/>
                <w:sz w:val="18"/>
              </w:rPr>
            </w:pPr>
            <w:r>
              <w:rPr>
                <w:b/>
                <w:sz w:val="18"/>
              </w:rPr>
              <w:t>TANGEDCO</w:t>
            </w:r>
          </w:p>
        </w:tc>
        <w:tc>
          <w:tcPr>
            <w:tcW w:w="1003" w:type="dxa"/>
            <w:shd w:val="clear" w:color="auto" w:fill="F7C9AC"/>
          </w:tcPr>
          <w:p w:rsidR="007C5447" w:rsidRDefault="00F6308C">
            <w:pPr>
              <w:pStyle w:val="TableParagraph"/>
              <w:spacing w:before="14"/>
              <w:ind w:left="134" w:hanging="17"/>
              <w:jc w:val="left"/>
              <w:rPr>
                <w:b/>
                <w:sz w:val="18"/>
              </w:rPr>
            </w:pPr>
            <w:r>
              <w:rPr>
                <w:b/>
                <w:sz w:val="18"/>
              </w:rPr>
              <w:t>Approved</w:t>
            </w:r>
          </w:p>
          <w:p w:rsidR="007C5447" w:rsidRDefault="00F6308C">
            <w:pPr>
              <w:pStyle w:val="TableParagraph"/>
              <w:spacing w:before="5" w:line="206" w:lineRule="exact"/>
              <w:ind w:left="401" w:right="104" w:hanging="267"/>
              <w:jc w:val="left"/>
              <w:rPr>
                <w:b/>
                <w:sz w:val="18"/>
              </w:rPr>
            </w:pPr>
            <w:r>
              <w:rPr>
                <w:b/>
                <w:sz w:val="18"/>
              </w:rPr>
              <w:t>after true up</w:t>
            </w:r>
          </w:p>
        </w:tc>
        <w:tc>
          <w:tcPr>
            <w:tcW w:w="696" w:type="dxa"/>
            <w:shd w:val="clear" w:color="auto" w:fill="F7C9AC"/>
          </w:tcPr>
          <w:p w:rsidR="007C5447" w:rsidRDefault="00F6308C">
            <w:pPr>
              <w:pStyle w:val="TableParagraph"/>
              <w:spacing w:before="119" w:line="207" w:lineRule="exact"/>
              <w:ind w:left="149"/>
              <w:jc w:val="left"/>
              <w:rPr>
                <w:b/>
                <w:sz w:val="18"/>
              </w:rPr>
            </w:pPr>
            <w:r>
              <w:rPr>
                <w:b/>
                <w:sz w:val="18"/>
              </w:rPr>
              <w:t>SMT</w:t>
            </w:r>
          </w:p>
          <w:p w:rsidR="007C5447" w:rsidRDefault="00F6308C">
            <w:pPr>
              <w:pStyle w:val="TableParagraph"/>
              <w:spacing w:line="207" w:lineRule="exact"/>
              <w:ind w:left="106"/>
              <w:jc w:val="left"/>
              <w:rPr>
                <w:b/>
                <w:sz w:val="18"/>
              </w:rPr>
            </w:pPr>
            <w:r>
              <w:rPr>
                <w:b/>
                <w:sz w:val="18"/>
              </w:rPr>
              <w:t>Order</w:t>
            </w:r>
          </w:p>
        </w:tc>
        <w:tc>
          <w:tcPr>
            <w:tcW w:w="1255" w:type="dxa"/>
            <w:shd w:val="clear" w:color="auto" w:fill="F7C9AC"/>
          </w:tcPr>
          <w:p w:rsidR="007C5447" w:rsidRDefault="007C5447">
            <w:pPr>
              <w:pStyle w:val="TableParagraph"/>
              <w:spacing w:before="4"/>
              <w:jc w:val="left"/>
              <w:rPr>
                <w:b/>
                <w:sz w:val="19"/>
              </w:rPr>
            </w:pPr>
          </w:p>
          <w:p w:rsidR="007C5447" w:rsidRDefault="00F6308C">
            <w:pPr>
              <w:pStyle w:val="TableParagraph"/>
              <w:ind w:right="98"/>
              <w:rPr>
                <w:b/>
                <w:sz w:val="18"/>
              </w:rPr>
            </w:pPr>
            <w:r>
              <w:rPr>
                <w:b/>
                <w:sz w:val="18"/>
              </w:rPr>
              <w:t>TANGEDCO</w:t>
            </w:r>
          </w:p>
        </w:tc>
        <w:tc>
          <w:tcPr>
            <w:tcW w:w="989" w:type="dxa"/>
            <w:shd w:val="clear" w:color="auto" w:fill="F7C9AC"/>
          </w:tcPr>
          <w:p w:rsidR="007C5447" w:rsidRDefault="00F6308C">
            <w:pPr>
              <w:pStyle w:val="TableParagraph"/>
              <w:spacing w:before="14"/>
              <w:ind w:left="128" w:hanging="20"/>
              <w:jc w:val="left"/>
              <w:rPr>
                <w:b/>
                <w:sz w:val="18"/>
              </w:rPr>
            </w:pPr>
            <w:r>
              <w:rPr>
                <w:b/>
                <w:sz w:val="18"/>
              </w:rPr>
              <w:t>Approved</w:t>
            </w:r>
          </w:p>
          <w:p w:rsidR="007C5447" w:rsidRDefault="00F6308C">
            <w:pPr>
              <w:pStyle w:val="TableParagraph"/>
              <w:spacing w:before="5" w:line="206" w:lineRule="exact"/>
              <w:ind w:left="394" w:right="97" w:hanging="267"/>
              <w:jc w:val="left"/>
              <w:rPr>
                <w:b/>
                <w:sz w:val="18"/>
              </w:rPr>
            </w:pPr>
            <w:r>
              <w:rPr>
                <w:b/>
                <w:sz w:val="18"/>
              </w:rPr>
              <w:t>after true up</w:t>
            </w:r>
          </w:p>
        </w:tc>
        <w:tc>
          <w:tcPr>
            <w:tcW w:w="697" w:type="dxa"/>
            <w:shd w:val="clear" w:color="auto" w:fill="F7C9AC"/>
          </w:tcPr>
          <w:p w:rsidR="007C5447" w:rsidRDefault="00F6308C">
            <w:pPr>
              <w:pStyle w:val="TableParagraph"/>
              <w:spacing w:before="119" w:line="207" w:lineRule="exact"/>
              <w:ind w:left="150"/>
              <w:jc w:val="left"/>
              <w:rPr>
                <w:b/>
                <w:sz w:val="18"/>
              </w:rPr>
            </w:pPr>
            <w:r>
              <w:rPr>
                <w:b/>
                <w:sz w:val="18"/>
              </w:rPr>
              <w:t>SMT</w:t>
            </w:r>
          </w:p>
          <w:p w:rsidR="007C5447" w:rsidRDefault="00F6308C">
            <w:pPr>
              <w:pStyle w:val="TableParagraph"/>
              <w:spacing w:line="207" w:lineRule="exact"/>
              <w:ind w:left="107"/>
              <w:jc w:val="left"/>
              <w:rPr>
                <w:b/>
                <w:sz w:val="18"/>
              </w:rPr>
            </w:pPr>
            <w:r>
              <w:rPr>
                <w:b/>
                <w:sz w:val="18"/>
              </w:rPr>
              <w:t>Order</w:t>
            </w:r>
          </w:p>
        </w:tc>
        <w:tc>
          <w:tcPr>
            <w:tcW w:w="1256" w:type="dxa"/>
            <w:shd w:val="clear" w:color="auto" w:fill="F7C9AC"/>
          </w:tcPr>
          <w:p w:rsidR="007C5447" w:rsidRDefault="007C5447">
            <w:pPr>
              <w:pStyle w:val="TableParagraph"/>
              <w:spacing w:before="4"/>
              <w:jc w:val="left"/>
              <w:rPr>
                <w:b/>
                <w:sz w:val="19"/>
              </w:rPr>
            </w:pPr>
          </w:p>
          <w:p w:rsidR="007C5447" w:rsidRDefault="00F6308C">
            <w:pPr>
              <w:pStyle w:val="TableParagraph"/>
              <w:ind w:right="100"/>
              <w:rPr>
                <w:b/>
                <w:sz w:val="18"/>
              </w:rPr>
            </w:pPr>
            <w:r>
              <w:rPr>
                <w:b/>
                <w:sz w:val="18"/>
              </w:rPr>
              <w:t>TANGEDCO</w:t>
            </w:r>
          </w:p>
        </w:tc>
        <w:tc>
          <w:tcPr>
            <w:tcW w:w="990" w:type="dxa"/>
            <w:shd w:val="clear" w:color="auto" w:fill="F7C9AC"/>
          </w:tcPr>
          <w:p w:rsidR="007C5447" w:rsidRDefault="00F6308C">
            <w:pPr>
              <w:pStyle w:val="TableParagraph"/>
              <w:spacing w:before="14"/>
              <w:ind w:left="126" w:hanging="20"/>
              <w:jc w:val="left"/>
              <w:rPr>
                <w:b/>
                <w:sz w:val="18"/>
              </w:rPr>
            </w:pPr>
            <w:r>
              <w:rPr>
                <w:b/>
                <w:sz w:val="18"/>
              </w:rPr>
              <w:t>Approved</w:t>
            </w:r>
          </w:p>
          <w:p w:rsidR="007C5447" w:rsidRDefault="00F6308C">
            <w:pPr>
              <w:pStyle w:val="TableParagraph"/>
              <w:spacing w:before="5" w:line="206" w:lineRule="exact"/>
              <w:ind w:left="393" w:right="99" w:hanging="267"/>
              <w:jc w:val="left"/>
              <w:rPr>
                <w:b/>
                <w:sz w:val="18"/>
              </w:rPr>
            </w:pPr>
            <w:r>
              <w:rPr>
                <w:b/>
                <w:sz w:val="18"/>
              </w:rPr>
              <w:t>after true up</w:t>
            </w:r>
          </w:p>
        </w:tc>
      </w:tr>
      <w:tr w:rsidR="007C5447">
        <w:trPr>
          <w:trHeight w:val="301"/>
        </w:trPr>
        <w:tc>
          <w:tcPr>
            <w:tcW w:w="1262" w:type="dxa"/>
          </w:tcPr>
          <w:p w:rsidR="007C5447" w:rsidRDefault="00F6308C">
            <w:pPr>
              <w:pStyle w:val="TableParagraph"/>
              <w:spacing w:before="47"/>
              <w:ind w:left="107"/>
              <w:jc w:val="left"/>
              <w:rPr>
                <w:sz w:val="18"/>
              </w:rPr>
            </w:pPr>
            <w:r>
              <w:rPr>
                <w:sz w:val="18"/>
              </w:rPr>
              <w:t>Generation</w:t>
            </w:r>
          </w:p>
        </w:tc>
        <w:tc>
          <w:tcPr>
            <w:tcW w:w="852" w:type="dxa"/>
          </w:tcPr>
          <w:p w:rsidR="007C5447" w:rsidRDefault="00F6308C">
            <w:pPr>
              <w:pStyle w:val="TableParagraph"/>
              <w:spacing w:before="36"/>
              <w:ind w:right="95"/>
              <w:rPr>
                <w:sz w:val="20"/>
              </w:rPr>
            </w:pPr>
            <w:r>
              <w:rPr>
                <w:sz w:val="20"/>
              </w:rPr>
              <w:t>2.08</w:t>
            </w:r>
          </w:p>
        </w:tc>
        <w:tc>
          <w:tcPr>
            <w:tcW w:w="1258" w:type="dxa"/>
          </w:tcPr>
          <w:p w:rsidR="007C5447" w:rsidRDefault="00F6308C">
            <w:pPr>
              <w:pStyle w:val="TableParagraph"/>
              <w:spacing w:before="36"/>
              <w:ind w:right="95"/>
              <w:rPr>
                <w:sz w:val="20"/>
              </w:rPr>
            </w:pPr>
            <w:r>
              <w:rPr>
                <w:sz w:val="20"/>
              </w:rPr>
              <w:t>1.00</w:t>
            </w:r>
          </w:p>
        </w:tc>
        <w:tc>
          <w:tcPr>
            <w:tcW w:w="1003" w:type="dxa"/>
          </w:tcPr>
          <w:p w:rsidR="007C5447" w:rsidRDefault="00F6308C">
            <w:pPr>
              <w:pStyle w:val="TableParagraph"/>
              <w:spacing w:before="36"/>
              <w:ind w:right="94"/>
              <w:rPr>
                <w:sz w:val="20"/>
              </w:rPr>
            </w:pPr>
            <w:r>
              <w:rPr>
                <w:sz w:val="20"/>
              </w:rPr>
              <w:t>2.17</w:t>
            </w:r>
          </w:p>
        </w:tc>
        <w:tc>
          <w:tcPr>
            <w:tcW w:w="696" w:type="dxa"/>
          </w:tcPr>
          <w:p w:rsidR="007C5447" w:rsidRDefault="00F6308C">
            <w:pPr>
              <w:pStyle w:val="TableParagraph"/>
              <w:spacing w:before="36"/>
              <w:ind w:left="216" w:right="80"/>
              <w:jc w:val="center"/>
              <w:rPr>
                <w:sz w:val="20"/>
              </w:rPr>
            </w:pPr>
            <w:r>
              <w:rPr>
                <w:sz w:val="20"/>
              </w:rPr>
              <w:t>2.08</w:t>
            </w:r>
          </w:p>
        </w:tc>
        <w:tc>
          <w:tcPr>
            <w:tcW w:w="1255" w:type="dxa"/>
          </w:tcPr>
          <w:p w:rsidR="007C5447" w:rsidRDefault="00F6308C">
            <w:pPr>
              <w:pStyle w:val="TableParagraph"/>
              <w:spacing w:before="36"/>
              <w:ind w:right="94"/>
              <w:rPr>
                <w:sz w:val="20"/>
              </w:rPr>
            </w:pPr>
            <w:r>
              <w:rPr>
                <w:sz w:val="20"/>
              </w:rPr>
              <w:t>0.67</w:t>
            </w:r>
          </w:p>
        </w:tc>
        <w:tc>
          <w:tcPr>
            <w:tcW w:w="989" w:type="dxa"/>
          </w:tcPr>
          <w:p w:rsidR="007C5447" w:rsidRDefault="00F6308C">
            <w:pPr>
              <w:pStyle w:val="TableParagraph"/>
              <w:spacing w:before="36"/>
              <w:ind w:right="96"/>
              <w:rPr>
                <w:sz w:val="20"/>
              </w:rPr>
            </w:pPr>
            <w:r>
              <w:rPr>
                <w:sz w:val="20"/>
              </w:rPr>
              <w:t>0.35</w:t>
            </w:r>
          </w:p>
        </w:tc>
        <w:tc>
          <w:tcPr>
            <w:tcW w:w="697" w:type="dxa"/>
          </w:tcPr>
          <w:p w:rsidR="007C5447" w:rsidRDefault="00F6308C">
            <w:pPr>
              <w:pStyle w:val="TableParagraph"/>
              <w:spacing w:before="36"/>
              <w:ind w:right="97"/>
              <w:rPr>
                <w:sz w:val="20"/>
              </w:rPr>
            </w:pPr>
            <w:r>
              <w:rPr>
                <w:sz w:val="20"/>
              </w:rPr>
              <w:t>2.08</w:t>
            </w:r>
          </w:p>
        </w:tc>
        <w:tc>
          <w:tcPr>
            <w:tcW w:w="1256" w:type="dxa"/>
          </w:tcPr>
          <w:p w:rsidR="007C5447" w:rsidRDefault="00F6308C">
            <w:pPr>
              <w:pStyle w:val="TableParagraph"/>
              <w:spacing w:before="36"/>
              <w:ind w:right="95"/>
              <w:rPr>
                <w:sz w:val="20"/>
              </w:rPr>
            </w:pPr>
            <w:r>
              <w:rPr>
                <w:sz w:val="20"/>
              </w:rPr>
              <w:t>0.22</w:t>
            </w:r>
          </w:p>
        </w:tc>
        <w:tc>
          <w:tcPr>
            <w:tcW w:w="990" w:type="dxa"/>
          </w:tcPr>
          <w:p w:rsidR="007C5447" w:rsidRDefault="00F6308C">
            <w:pPr>
              <w:pStyle w:val="TableParagraph"/>
              <w:spacing w:before="36"/>
              <w:ind w:right="99"/>
              <w:rPr>
                <w:sz w:val="20"/>
              </w:rPr>
            </w:pPr>
            <w:r>
              <w:rPr>
                <w:sz w:val="20"/>
              </w:rPr>
              <w:t>1.47</w:t>
            </w:r>
          </w:p>
        </w:tc>
      </w:tr>
      <w:tr w:rsidR="007C5447">
        <w:trPr>
          <w:trHeight w:val="299"/>
        </w:trPr>
        <w:tc>
          <w:tcPr>
            <w:tcW w:w="1262" w:type="dxa"/>
          </w:tcPr>
          <w:p w:rsidR="007C5447" w:rsidRDefault="00F6308C">
            <w:pPr>
              <w:pStyle w:val="TableParagraph"/>
              <w:spacing w:before="45"/>
              <w:ind w:left="107"/>
              <w:jc w:val="left"/>
              <w:rPr>
                <w:sz w:val="18"/>
              </w:rPr>
            </w:pPr>
            <w:r>
              <w:rPr>
                <w:sz w:val="18"/>
              </w:rPr>
              <w:t>Distribution</w:t>
            </w:r>
          </w:p>
        </w:tc>
        <w:tc>
          <w:tcPr>
            <w:tcW w:w="852" w:type="dxa"/>
          </w:tcPr>
          <w:p w:rsidR="007C5447" w:rsidRDefault="00F6308C">
            <w:pPr>
              <w:pStyle w:val="TableParagraph"/>
              <w:spacing w:before="34"/>
              <w:ind w:right="95"/>
              <w:rPr>
                <w:sz w:val="20"/>
              </w:rPr>
            </w:pPr>
            <w:r>
              <w:rPr>
                <w:sz w:val="20"/>
              </w:rPr>
              <w:t>14.26</w:t>
            </w:r>
          </w:p>
        </w:tc>
        <w:tc>
          <w:tcPr>
            <w:tcW w:w="1258" w:type="dxa"/>
          </w:tcPr>
          <w:p w:rsidR="007C5447" w:rsidRDefault="00F6308C">
            <w:pPr>
              <w:pStyle w:val="TableParagraph"/>
              <w:spacing w:before="34"/>
              <w:ind w:right="95"/>
              <w:rPr>
                <w:sz w:val="20"/>
              </w:rPr>
            </w:pPr>
            <w:r>
              <w:rPr>
                <w:sz w:val="20"/>
              </w:rPr>
              <w:t>36.52</w:t>
            </w:r>
          </w:p>
        </w:tc>
        <w:tc>
          <w:tcPr>
            <w:tcW w:w="1003" w:type="dxa"/>
          </w:tcPr>
          <w:p w:rsidR="007C5447" w:rsidRDefault="00F6308C">
            <w:pPr>
              <w:pStyle w:val="TableParagraph"/>
              <w:spacing w:before="34"/>
              <w:ind w:right="95"/>
              <w:rPr>
                <w:sz w:val="20"/>
              </w:rPr>
            </w:pPr>
            <w:r>
              <w:rPr>
                <w:sz w:val="20"/>
              </w:rPr>
              <w:t>14.86</w:t>
            </w:r>
          </w:p>
        </w:tc>
        <w:tc>
          <w:tcPr>
            <w:tcW w:w="696" w:type="dxa"/>
          </w:tcPr>
          <w:p w:rsidR="007C5447" w:rsidRDefault="00F6308C">
            <w:pPr>
              <w:pStyle w:val="TableParagraph"/>
              <w:spacing w:before="34"/>
              <w:ind w:left="115" w:right="80"/>
              <w:jc w:val="center"/>
              <w:rPr>
                <w:sz w:val="20"/>
              </w:rPr>
            </w:pPr>
            <w:r>
              <w:rPr>
                <w:sz w:val="20"/>
              </w:rPr>
              <w:t>16.90</w:t>
            </w:r>
          </w:p>
        </w:tc>
        <w:tc>
          <w:tcPr>
            <w:tcW w:w="1255" w:type="dxa"/>
          </w:tcPr>
          <w:p w:rsidR="007C5447" w:rsidRDefault="00F6308C">
            <w:pPr>
              <w:pStyle w:val="TableParagraph"/>
              <w:spacing w:before="34"/>
              <w:ind w:right="94"/>
              <w:rPr>
                <w:sz w:val="20"/>
              </w:rPr>
            </w:pPr>
            <w:r>
              <w:rPr>
                <w:sz w:val="20"/>
              </w:rPr>
              <w:t>10.14</w:t>
            </w:r>
          </w:p>
        </w:tc>
        <w:tc>
          <w:tcPr>
            <w:tcW w:w="989" w:type="dxa"/>
          </w:tcPr>
          <w:p w:rsidR="007C5447" w:rsidRDefault="00F6308C">
            <w:pPr>
              <w:pStyle w:val="TableParagraph"/>
              <w:spacing w:before="34"/>
              <w:ind w:right="96"/>
              <w:rPr>
                <w:sz w:val="20"/>
              </w:rPr>
            </w:pPr>
            <w:r>
              <w:rPr>
                <w:sz w:val="20"/>
              </w:rPr>
              <w:t>2.87</w:t>
            </w:r>
          </w:p>
        </w:tc>
        <w:tc>
          <w:tcPr>
            <w:tcW w:w="697" w:type="dxa"/>
          </w:tcPr>
          <w:p w:rsidR="007C5447" w:rsidRDefault="00F6308C">
            <w:pPr>
              <w:pStyle w:val="TableParagraph"/>
              <w:spacing w:before="34"/>
              <w:ind w:right="97"/>
              <w:rPr>
                <w:sz w:val="20"/>
              </w:rPr>
            </w:pPr>
            <w:r>
              <w:rPr>
                <w:sz w:val="20"/>
              </w:rPr>
              <w:t>19.93</w:t>
            </w:r>
          </w:p>
        </w:tc>
        <w:tc>
          <w:tcPr>
            <w:tcW w:w="1256" w:type="dxa"/>
          </w:tcPr>
          <w:p w:rsidR="007C5447" w:rsidRDefault="00F6308C">
            <w:pPr>
              <w:pStyle w:val="TableParagraph"/>
              <w:spacing w:before="34"/>
              <w:ind w:right="95"/>
              <w:rPr>
                <w:sz w:val="20"/>
              </w:rPr>
            </w:pPr>
            <w:r>
              <w:rPr>
                <w:sz w:val="20"/>
              </w:rPr>
              <w:t>21.70</w:t>
            </w:r>
          </w:p>
        </w:tc>
        <w:tc>
          <w:tcPr>
            <w:tcW w:w="990" w:type="dxa"/>
          </w:tcPr>
          <w:p w:rsidR="007C5447" w:rsidRDefault="00F6308C">
            <w:pPr>
              <w:pStyle w:val="TableParagraph"/>
              <w:spacing w:before="34"/>
              <w:ind w:right="99"/>
              <w:rPr>
                <w:sz w:val="20"/>
              </w:rPr>
            </w:pPr>
            <w:r>
              <w:rPr>
                <w:sz w:val="20"/>
              </w:rPr>
              <w:t>14.04</w:t>
            </w:r>
          </w:p>
        </w:tc>
      </w:tr>
      <w:tr w:rsidR="007C5447">
        <w:trPr>
          <w:trHeight w:val="299"/>
        </w:trPr>
        <w:tc>
          <w:tcPr>
            <w:tcW w:w="1262" w:type="dxa"/>
          </w:tcPr>
          <w:p w:rsidR="007C5447" w:rsidRDefault="00F6308C">
            <w:pPr>
              <w:pStyle w:val="TableParagraph"/>
              <w:spacing w:before="45"/>
              <w:ind w:left="107"/>
              <w:jc w:val="left"/>
              <w:rPr>
                <w:b/>
                <w:sz w:val="18"/>
              </w:rPr>
            </w:pPr>
            <w:r>
              <w:rPr>
                <w:b/>
                <w:sz w:val="18"/>
              </w:rPr>
              <w:t>Total</w:t>
            </w:r>
          </w:p>
        </w:tc>
        <w:tc>
          <w:tcPr>
            <w:tcW w:w="852" w:type="dxa"/>
          </w:tcPr>
          <w:p w:rsidR="007C5447" w:rsidRDefault="00F6308C">
            <w:pPr>
              <w:pStyle w:val="TableParagraph"/>
              <w:spacing w:before="34"/>
              <w:ind w:right="95"/>
              <w:rPr>
                <w:b/>
                <w:sz w:val="20"/>
              </w:rPr>
            </w:pPr>
            <w:r>
              <w:rPr>
                <w:b/>
                <w:sz w:val="20"/>
              </w:rPr>
              <w:t>16.34</w:t>
            </w:r>
          </w:p>
        </w:tc>
        <w:tc>
          <w:tcPr>
            <w:tcW w:w="1258" w:type="dxa"/>
          </w:tcPr>
          <w:p w:rsidR="007C5447" w:rsidRDefault="00F6308C">
            <w:pPr>
              <w:pStyle w:val="TableParagraph"/>
              <w:spacing w:before="34"/>
              <w:ind w:right="95"/>
              <w:rPr>
                <w:b/>
                <w:sz w:val="20"/>
              </w:rPr>
            </w:pPr>
            <w:r>
              <w:rPr>
                <w:b/>
                <w:sz w:val="20"/>
              </w:rPr>
              <w:t>37.52</w:t>
            </w:r>
          </w:p>
        </w:tc>
        <w:tc>
          <w:tcPr>
            <w:tcW w:w="1003" w:type="dxa"/>
          </w:tcPr>
          <w:p w:rsidR="007C5447" w:rsidRDefault="00F6308C">
            <w:pPr>
              <w:pStyle w:val="TableParagraph"/>
              <w:spacing w:before="34"/>
              <w:ind w:right="95"/>
              <w:rPr>
                <w:b/>
                <w:sz w:val="20"/>
              </w:rPr>
            </w:pPr>
            <w:r>
              <w:rPr>
                <w:b/>
                <w:sz w:val="20"/>
              </w:rPr>
              <w:t>17.03</w:t>
            </w:r>
          </w:p>
        </w:tc>
        <w:tc>
          <w:tcPr>
            <w:tcW w:w="696" w:type="dxa"/>
          </w:tcPr>
          <w:p w:rsidR="007C5447" w:rsidRDefault="00F6308C">
            <w:pPr>
              <w:pStyle w:val="TableParagraph"/>
              <w:spacing w:before="34"/>
              <w:ind w:left="115" w:right="80"/>
              <w:jc w:val="center"/>
              <w:rPr>
                <w:b/>
                <w:sz w:val="20"/>
              </w:rPr>
            </w:pPr>
            <w:r>
              <w:rPr>
                <w:b/>
                <w:sz w:val="20"/>
              </w:rPr>
              <w:t>18.98</w:t>
            </w:r>
          </w:p>
        </w:tc>
        <w:tc>
          <w:tcPr>
            <w:tcW w:w="1255" w:type="dxa"/>
          </w:tcPr>
          <w:p w:rsidR="007C5447" w:rsidRDefault="00F6308C">
            <w:pPr>
              <w:pStyle w:val="TableParagraph"/>
              <w:spacing w:before="34"/>
              <w:ind w:right="94"/>
              <w:rPr>
                <w:b/>
                <w:sz w:val="20"/>
              </w:rPr>
            </w:pPr>
            <w:r>
              <w:rPr>
                <w:b/>
                <w:sz w:val="20"/>
              </w:rPr>
              <w:t>10.82</w:t>
            </w:r>
          </w:p>
        </w:tc>
        <w:tc>
          <w:tcPr>
            <w:tcW w:w="989" w:type="dxa"/>
          </w:tcPr>
          <w:p w:rsidR="007C5447" w:rsidRDefault="00F6308C">
            <w:pPr>
              <w:pStyle w:val="TableParagraph"/>
              <w:spacing w:before="34"/>
              <w:ind w:right="96"/>
              <w:rPr>
                <w:b/>
                <w:sz w:val="20"/>
              </w:rPr>
            </w:pPr>
            <w:r>
              <w:rPr>
                <w:b/>
                <w:sz w:val="20"/>
              </w:rPr>
              <w:t>3.22</w:t>
            </w:r>
          </w:p>
        </w:tc>
        <w:tc>
          <w:tcPr>
            <w:tcW w:w="697" w:type="dxa"/>
          </w:tcPr>
          <w:p w:rsidR="007C5447" w:rsidRDefault="00F6308C">
            <w:pPr>
              <w:pStyle w:val="TableParagraph"/>
              <w:spacing w:before="34"/>
              <w:ind w:right="97"/>
              <w:rPr>
                <w:b/>
                <w:sz w:val="20"/>
              </w:rPr>
            </w:pPr>
            <w:r>
              <w:rPr>
                <w:b/>
                <w:sz w:val="20"/>
              </w:rPr>
              <w:t>22.01</w:t>
            </w:r>
          </w:p>
        </w:tc>
        <w:tc>
          <w:tcPr>
            <w:tcW w:w="1256" w:type="dxa"/>
          </w:tcPr>
          <w:p w:rsidR="007C5447" w:rsidRDefault="00F6308C">
            <w:pPr>
              <w:pStyle w:val="TableParagraph"/>
              <w:spacing w:before="34"/>
              <w:ind w:right="95"/>
              <w:rPr>
                <w:b/>
                <w:sz w:val="20"/>
              </w:rPr>
            </w:pPr>
            <w:r>
              <w:rPr>
                <w:b/>
                <w:sz w:val="20"/>
              </w:rPr>
              <w:t>21.92</w:t>
            </w:r>
          </w:p>
        </w:tc>
        <w:tc>
          <w:tcPr>
            <w:tcW w:w="990" w:type="dxa"/>
          </w:tcPr>
          <w:p w:rsidR="007C5447" w:rsidRDefault="00F6308C">
            <w:pPr>
              <w:pStyle w:val="TableParagraph"/>
              <w:spacing w:before="34"/>
              <w:ind w:right="99"/>
              <w:rPr>
                <w:b/>
                <w:sz w:val="20"/>
              </w:rPr>
            </w:pPr>
            <w:r>
              <w:rPr>
                <w:b/>
                <w:sz w:val="20"/>
              </w:rPr>
              <w:t>15.51</w:t>
            </w:r>
          </w:p>
        </w:tc>
      </w:tr>
    </w:tbl>
    <w:p w:rsidR="007C5447" w:rsidRDefault="007C5447">
      <w:pPr>
        <w:pStyle w:val="BodyText"/>
        <w:spacing w:before="11"/>
        <w:rPr>
          <w:b/>
          <w:sz w:val="20"/>
        </w:rPr>
      </w:pPr>
    </w:p>
    <w:p w:rsidR="007C5447" w:rsidRDefault="00F6308C">
      <w:pPr>
        <w:ind w:left="823" w:right="783"/>
        <w:jc w:val="center"/>
        <w:rPr>
          <w:b/>
        </w:rPr>
      </w:pPr>
      <w:r>
        <w:rPr>
          <w:b/>
        </w:rPr>
        <w:t>Table 3-30: Other Debits approved by the Commission after true-up for FY 2014-15 and</w:t>
      </w:r>
    </w:p>
    <w:p w:rsidR="007C5447" w:rsidRDefault="00F6308C">
      <w:pPr>
        <w:spacing w:before="76"/>
        <w:ind w:left="671" w:right="1348"/>
        <w:jc w:val="center"/>
        <w:rPr>
          <w:b/>
        </w:rPr>
      </w:pPr>
      <w:r>
        <w:rPr>
          <w:b/>
        </w:rPr>
        <w:t>FY 2015-16 (Rs. Crore)</w:t>
      </w:r>
    </w:p>
    <w:p w:rsidR="007C5447" w:rsidRDefault="007C5447">
      <w:pPr>
        <w:pStyle w:val="BodyText"/>
        <w:spacing w:before="10"/>
        <w:rPr>
          <w:b/>
          <w:sz w:val="16"/>
        </w:rPr>
      </w:pPr>
    </w:p>
    <w:tbl>
      <w:tblPr>
        <w:tblW w:w="0" w:type="auto"/>
        <w:tblInd w:w="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6"/>
        <w:gridCol w:w="1131"/>
        <w:gridCol w:w="1373"/>
        <w:gridCol w:w="1481"/>
        <w:gridCol w:w="1073"/>
        <w:gridCol w:w="1374"/>
        <w:gridCol w:w="1095"/>
      </w:tblGrid>
      <w:tr w:rsidR="007C5447">
        <w:trPr>
          <w:trHeight w:val="237"/>
        </w:trPr>
        <w:tc>
          <w:tcPr>
            <w:tcW w:w="1706" w:type="dxa"/>
            <w:vMerge w:val="restart"/>
            <w:shd w:val="clear" w:color="auto" w:fill="F7C9AC"/>
          </w:tcPr>
          <w:p w:rsidR="007C5447" w:rsidRDefault="007C5447">
            <w:pPr>
              <w:pStyle w:val="TableParagraph"/>
              <w:jc w:val="left"/>
              <w:rPr>
                <w:b/>
                <w:sz w:val="20"/>
              </w:rPr>
            </w:pPr>
          </w:p>
          <w:p w:rsidR="007C5447" w:rsidRDefault="00F6308C">
            <w:pPr>
              <w:pStyle w:val="TableParagraph"/>
              <w:spacing w:before="116"/>
              <w:ind w:left="422"/>
              <w:jc w:val="left"/>
              <w:rPr>
                <w:b/>
                <w:sz w:val="18"/>
              </w:rPr>
            </w:pPr>
            <w:r>
              <w:rPr>
                <w:b/>
                <w:sz w:val="18"/>
              </w:rPr>
              <w:t>Particulars</w:t>
            </w:r>
          </w:p>
        </w:tc>
        <w:tc>
          <w:tcPr>
            <w:tcW w:w="3985" w:type="dxa"/>
            <w:gridSpan w:val="3"/>
            <w:shd w:val="clear" w:color="auto" w:fill="F7C9AC"/>
          </w:tcPr>
          <w:p w:rsidR="007C5447" w:rsidRDefault="00F6308C">
            <w:pPr>
              <w:pStyle w:val="TableParagraph"/>
              <w:spacing w:before="16" w:line="201" w:lineRule="exact"/>
              <w:ind w:left="1530" w:right="1520"/>
              <w:jc w:val="center"/>
              <w:rPr>
                <w:b/>
                <w:sz w:val="18"/>
              </w:rPr>
            </w:pPr>
            <w:r>
              <w:rPr>
                <w:b/>
                <w:sz w:val="18"/>
              </w:rPr>
              <w:t>FY 2014-15</w:t>
            </w:r>
          </w:p>
        </w:tc>
        <w:tc>
          <w:tcPr>
            <w:tcW w:w="3542" w:type="dxa"/>
            <w:gridSpan w:val="3"/>
            <w:shd w:val="clear" w:color="auto" w:fill="F7C9AC"/>
          </w:tcPr>
          <w:p w:rsidR="007C5447" w:rsidRDefault="00F6308C">
            <w:pPr>
              <w:pStyle w:val="TableParagraph"/>
              <w:spacing w:before="16" w:line="201" w:lineRule="exact"/>
              <w:ind w:left="1309" w:right="1298"/>
              <w:jc w:val="center"/>
              <w:rPr>
                <w:b/>
                <w:sz w:val="18"/>
              </w:rPr>
            </w:pPr>
            <w:r>
              <w:rPr>
                <w:b/>
                <w:sz w:val="18"/>
              </w:rPr>
              <w:t>FY 2015-16</w:t>
            </w:r>
          </w:p>
        </w:tc>
      </w:tr>
      <w:tr w:rsidR="007C5447">
        <w:trPr>
          <w:trHeight w:val="650"/>
        </w:trPr>
        <w:tc>
          <w:tcPr>
            <w:tcW w:w="1706" w:type="dxa"/>
            <w:vMerge/>
            <w:tcBorders>
              <w:top w:val="nil"/>
            </w:tcBorders>
            <w:shd w:val="clear" w:color="auto" w:fill="F7C9AC"/>
          </w:tcPr>
          <w:p w:rsidR="007C5447" w:rsidRDefault="007C5447">
            <w:pPr>
              <w:rPr>
                <w:sz w:val="2"/>
                <w:szCs w:val="2"/>
              </w:rPr>
            </w:pPr>
          </w:p>
        </w:tc>
        <w:tc>
          <w:tcPr>
            <w:tcW w:w="1131" w:type="dxa"/>
            <w:shd w:val="clear" w:color="auto" w:fill="F7C9AC"/>
          </w:tcPr>
          <w:p w:rsidR="007C5447" w:rsidRDefault="00F6308C">
            <w:pPr>
              <w:pStyle w:val="TableParagraph"/>
              <w:spacing w:before="120" w:line="207" w:lineRule="exact"/>
              <w:ind w:left="370"/>
              <w:jc w:val="left"/>
              <w:rPr>
                <w:b/>
                <w:sz w:val="18"/>
              </w:rPr>
            </w:pPr>
            <w:r>
              <w:rPr>
                <w:b/>
                <w:sz w:val="18"/>
              </w:rPr>
              <w:t>SMT</w:t>
            </w:r>
          </w:p>
          <w:p w:rsidR="007C5447" w:rsidRDefault="00F6308C">
            <w:pPr>
              <w:pStyle w:val="TableParagraph"/>
              <w:spacing w:line="207" w:lineRule="exact"/>
              <w:ind w:left="324"/>
              <w:jc w:val="left"/>
              <w:rPr>
                <w:b/>
                <w:sz w:val="18"/>
              </w:rPr>
            </w:pPr>
            <w:r>
              <w:rPr>
                <w:b/>
                <w:sz w:val="18"/>
              </w:rPr>
              <w:t>Order</w:t>
            </w:r>
          </w:p>
        </w:tc>
        <w:tc>
          <w:tcPr>
            <w:tcW w:w="1373" w:type="dxa"/>
            <w:shd w:val="clear" w:color="auto" w:fill="F7C9AC"/>
          </w:tcPr>
          <w:p w:rsidR="007C5447" w:rsidRDefault="007C5447">
            <w:pPr>
              <w:pStyle w:val="TableParagraph"/>
              <w:spacing w:before="5"/>
              <w:jc w:val="left"/>
              <w:rPr>
                <w:b/>
                <w:sz w:val="19"/>
              </w:rPr>
            </w:pPr>
          </w:p>
          <w:p w:rsidR="007C5447" w:rsidRDefault="00F6308C">
            <w:pPr>
              <w:pStyle w:val="TableParagraph"/>
              <w:ind w:right="157"/>
              <w:rPr>
                <w:b/>
                <w:sz w:val="18"/>
              </w:rPr>
            </w:pPr>
            <w:r>
              <w:rPr>
                <w:b/>
                <w:sz w:val="18"/>
              </w:rPr>
              <w:t>TANGEDCO</w:t>
            </w:r>
          </w:p>
        </w:tc>
        <w:tc>
          <w:tcPr>
            <w:tcW w:w="1481" w:type="dxa"/>
            <w:shd w:val="clear" w:color="auto" w:fill="F7C9AC"/>
          </w:tcPr>
          <w:p w:rsidR="007C5447" w:rsidRDefault="00F6308C">
            <w:pPr>
              <w:pStyle w:val="TableParagraph"/>
              <w:spacing w:before="120"/>
              <w:ind w:left="458" w:right="118" w:hanging="310"/>
              <w:jc w:val="left"/>
              <w:rPr>
                <w:b/>
                <w:sz w:val="18"/>
              </w:rPr>
            </w:pPr>
            <w:r>
              <w:rPr>
                <w:b/>
                <w:sz w:val="18"/>
              </w:rPr>
              <w:t>Approved after true up</w:t>
            </w:r>
          </w:p>
        </w:tc>
        <w:tc>
          <w:tcPr>
            <w:tcW w:w="1073" w:type="dxa"/>
            <w:shd w:val="clear" w:color="auto" w:fill="F7C9AC"/>
          </w:tcPr>
          <w:p w:rsidR="007C5447" w:rsidRDefault="007C5447">
            <w:pPr>
              <w:pStyle w:val="TableParagraph"/>
              <w:spacing w:before="5"/>
              <w:jc w:val="left"/>
              <w:rPr>
                <w:b/>
                <w:sz w:val="18"/>
              </w:rPr>
            </w:pPr>
          </w:p>
          <w:p w:rsidR="007C5447" w:rsidRDefault="00F6308C">
            <w:pPr>
              <w:pStyle w:val="TableParagraph"/>
              <w:ind w:right="155"/>
              <w:rPr>
                <w:b/>
                <w:sz w:val="20"/>
              </w:rPr>
            </w:pPr>
            <w:r>
              <w:rPr>
                <w:b/>
                <w:sz w:val="20"/>
              </w:rPr>
              <w:t>TO 2013</w:t>
            </w:r>
          </w:p>
        </w:tc>
        <w:tc>
          <w:tcPr>
            <w:tcW w:w="1374" w:type="dxa"/>
            <w:shd w:val="clear" w:color="auto" w:fill="F7C9AC"/>
          </w:tcPr>
          <w:p w:rsidR="007C5447" w:rsidRDefault="007C5447">
            <w:pPr>
              <w:pStyle w:val="TableParagraph"/>
              <w:spacing w:before="5"/>
              <w:jc w:val="left"/>
              <w:rPr>
                <w:b/>
                <w:sz w:val="19"/>
              </w:rPr>
            </w:pPr>
          </w:p>
          <w:p w:rsidR="007C5447" w:rsidRDefault="00F6308C">
            <w:pPr>
              <w:pStyle w:val="TableParagraph"/>
              <w:ind w:right="158"/>
              <w:rPr>
                <w:b/>
                <w:sz w:val="18"/>
              </w:rPr>
            </w:pPr>
            <w:r>
              <w:rPr>
                <w:b/>
                <w:sz w:val="18"/>
              </w:rPr>
              <w:t>TANGEDCO</w:t>
            </w:r>
          </w:p>
        </w:tc>
        <w:tc>
          <w:tcPr>
            <w:tcW w:w="1095" w:type="dxa"/>
            <w:shd w:val="clear" w:color="auto" w:fill="F7C9AC"/>
          </w:tcPr>
          <w:p w:rsidR="007C5447" w:rsidRDefault="00F6308C">
            <w:pPr>
              <w:pStyle w:val="TableParagraph"/>
              <w:spacing w:before="14"/>
              <w:ind w:left="179" w:hanging="20"/>
              <w:jc w:val="left"/>
              <w:rPr>
                <w:b/>
                <w:sz w:val="18"/>
              </w:rPr>
            </w:pPr>
            <w:r>
              <w:rPr>
                <w:b/>
                <w:sz w:val="18"/>
              </w:rPr>
              <w:t>Approved</w:t>
            </w:r>
          </w:p>
          <w:p w:rsidR="007C5447" w:rsidRDefault="00F6308C">
            <w:pPr>
              <w:pStyle w:val="TableParagraph"/>
              <w:spacing w:before="6" w:line="206" w:lineRule="exact"/>
              <w:ind w:left="445" w:right="152" w:hanging="267"/>
              <w:jc w:val="left"/>
              <w:rPr>
                <w:b/>
                <w:sz w:val="18"/>
              </w:rPr>
            </w:pPr>
            <w:r>
              <w:rPr>
                <w:b/>
                <w:sz w:val="18"/>
              </w:rPr>
              <w:t>after true up</w:t>
            </w:r>
          </w:p>
        </w:tc>
      </w:tr>
      <w:tr w:rsidR="007C5447">
        <w:trPr>
          <w:trHeight w:val="304"/>
        </w:trPr>
        <w:tc>
          <w:tcPr>
            <w:tcW w:w="1706" w:type="dxa"/>
          </w:tcPr>
          <w:p w:rsidR="007C5447" w:rsidRDefault="00F6308C">
            <w:pPr>
              <w:pStyle w:val="TableParagraph"/>
              <w:spacing w:before="50"/>
              <w:ind w:left="107"/>
              <w:jc w:val="left"/>
              <w:rPr>
                <w:sz w:val="18"/>
              </w:rPr>
            </w:pPr>
            <w:r>
              <w:rPr>
                <w:sz w:val="18"/>
              </w:rPr>
              <w:t>Generation</w:t>
            </w:r>
          </w:p>
        </w:tc>
        <w:tc>
          <w:tcPr>
            <w:tcW w:w="1131" w:type="dxa"/>
          </w:tcPr>
          <w:p w:rsidR="007C5447" w:rsidRDefault="00F6308C">
            <w:pPr>
              <w:pStyle w:val="TableParagraph"/>
              <w:spacing w:before="38"/>
              <w:ind w:right="97"/>
              <w:rPr>
                <w:sz w:val="20"/>
              </w:rPr>
            </w:pPr>
            <w:r>
              <w:rPr>
                <w:sz w:val="20"/>
              </w:rPr>
              <w:t>2.08</w:t>
            </w:r>
          </w:p>
        </w:tc>
        <w:tc>
          <w:tcPr>
            <w:tcW w:w="1373" w:type="dxa"/>
          </w:tcPr>
          <w:p w:rsidR="007C5447" w:rsidRDefault="00F6308C">
            <w:pPr>
              <w:pStyle w:val="TableParagraph"/>
              <w:spacing w:before="38"/>
              <w:ind w:right="97"/>
              <w:rPr>
                <w:sz w:val="20"/>
              </w:rPr>
            </w:pPr>
            <w:r>
              <w:rPr>
                <w:sz w:val="20"/>
              </w:rPr>
              <w:t>0.91</w:t>
            </w:r>
          </w:p>
        </w:tc>
        <w:tc>
          <w:tcPr>
            <w:tcW w:w="1481" w:type="dxa"/>
          </w:tcPr>
          <w:p w:rsidR="007C5447" w:rsidRDefault="00F6308C">
            <w:pPr>
              <w:pStyle w:val="TableParagraph"/>
              <w:spacing w:before="38"/>
              <w:ind w:right="94"/>
              <w:rPr>
                <w:sz w:val="20"/>
              </w:rPr>
            </w:pPr>
            <w:r>
              <w:rPr>
                <w:w w:val="99"/>
                <w:sz w:val="20"/>
              </w:rPr>
              <w:t>-</w:t>
            </w:r>
          </w:p>
        </w:tc>
        <w:tc>
          <w:tcPr>
            <w:tcW w:w="1073" w:type="dxa"/>
          </w:tcPr>
          <w:p w:rsidR="007C5447" w:rsidRDefault="00F6308C">
            <w:pPr>
              <w:pStyle w:val="TableParagraph"/>
              <w:spacing w:before="38"/>
              <w:ind w:right="97"/>
              <w:rPr>
                <w:sz w:val="20"/>
              </w:rPr>
            </w:pPr>
            <w:r>
              <w:rPr>
                <w:sz w:val="20"/>
              </w:rPr>
              <w:t>2.08</w:t>
            </w:r>
          </w:p>
        </w:tc>
        <w:tc>
          <w:tcPr>
            <w:tcW w:w="1374" w:type="dxa"/>
          </w:tcPr>
          <w:p w:rsidR="007C5447" w:rsidRDefault="00F6308C">
            <w:pPr>
              <w:pStyle w:val="TableParagraph"/>
              <w:spacing w:before="38"/>
              <w:ind w:right="98"/>
              <w:rPr>
                <w:sz w:val="20"/>
              </w:rPr>
            </w:pPr>
            <w:r>
              <w:rPr>
                <w:sz w:val="20"/>
              </w:rPr>
              <w:t>3.41</w:t>
            </w:r>
          </w:p>
        </w:tc>
        <w:tc>
          <w:tcPr>
            <w:tcW w:w="1095" w:type="dxa"/>
          </w:tcPr>
          <w:p w:rsidR="007C5447" w:rsidRDefault="00F6308C">
            <w:pPr>
              <w:pStyle w:val="TableParagraph"/>
              <w:spacing w:before="38"/>
              <w:ind w:right="98"/>
              <w:rPr>
                <w:sz w:val="20"/>
              </w:rPr>
            </w:pPr>
            <w:r>
              <w:rPr>
                <w:w w:val="99"/>
                <w:sz w:val="20"/>
              </w:rPr>
              <w:t>-</w:t>
            </w:r>
          </w:p>
        </w:tc>
      </w:tr>
      <w:tr w:rsidR="007C5447">
        <w:trPr>
          <w:trHeight w:val="301"/>
        </w:trPr>
        <w:tc>
          <w:tcPr>
            <w:tcW w:w="1706" w:type="dxa"/>
          </w:tcPr>
          <w:p w:rsidR="007C5447" w:rsidRDefault="00F6308C">
            <w:pPr>
              <w:pStyle w:val="TableParagraph"/>
              <w:spacing w:before="47"/>
              <w:ind w:left="107"/>
              <w:jc w:val="left"/>
              <w:rPr>
                <w:sz w:val="18"/>
              </w:rPr>
            </w:pPr>
            <w:r>
              <w:rPr>
                <w:sz w:val="18"/>
              </w:rPr>
              <w:t>Distribution</w:t>
            </w:r>
          </w:p>
        </w:tc>
        <w:tc>
          <w:tcPr>
            <w:tcW w:w="1131" w:type="dxa"/>
          </w:tcPr>
          <w:p w:rsidR="007C5447" w:rsidRDefault="00F6308C">
            <w:pPr>
              <w:pStyle w:val="TableParagraph"/>
              <w:spacing w:before="36"/>
              <w:ind w:right="97"/>
              <w:rPr>
                <w:sz w:val="20"/>
              </w:rPr>
            </w:pPr>
            <w:r>
              <w:rPr>
                <w:sz w:val="20"/>
              </w:rPr>
              <w:t>6.30</w:t>
            </w:r>
          </w:p>
        </w:tc>
        <w:tc>
          <w:tcPr>
            <w:tcW w:w="1373" w:type="dxa"/>
          </w:tcPr>
          <w:p w:rsidR="007C5447" w:rsidRDefault="00F6308C">
            <w:pPr>
              <w:pStyle w:val="TableParagraph"/>
              <w:spacing w:before="36"/>
              <w:ind w:right="97"/>
              <w:rPr>
                <w:sz w:val="20"/>
              </w:rPr>
            </w:pPr>
            <w:r>
              <w:rPr>
                <w:sz w:val="20"/>
              </w:rPr>
              <w:t>25.98</w:t>
            </w:r>
          </w:p>
        </w:tc>
        <w:tc>
          <w:tcPr>
            <w:tcW w:w="1481" w:type="dxa"/>
          </w:tcPr>
          <w:p w:rsidR="007C5447" w:rsidRDefault="00F6308C">
            <w:pPr>
              <w:pStyle w:val="TableParagraph"/>
              <w:spacing w:before="36"/>
              <w:ind w:right="94"/>
              <w:rPr>
                <w:sz w:val="20"/>
              </w:rPr>
            </w:pPr>
            <w:r>
              <w:rPr>
                <w:w w:val="99"/>
                <w:sz w:val="20"/>
              </w:rPr>
              <w:t>-</w:t>
            </w:r>
          </w:p>
        </w:tc>
        <w:tc>
          <w:tcPr>
            <w:tcW w:w="1073" w:type="dxa"/>
          </w:tcPr>
          <w:p w:rsidR="007C5447" w:rsidRDefault="00F6308C">
            <w:pPr>
              <w:pStyle w:val="TableParagraph"/>
              <w:spacing w:before="36"/>
              <w:ind w:right="97"/>
              <w:rPr>
                <w:sz w:val="20"/>
              </w:rPr>
            </w:pPr>
            <w:r>
              <w:rPr>
                <w:w w:val="95"/>
                <w:sz w:val="20"/>
              </w:rPr>
              <w:t>28.42</w:t>
            </w:r>
          </w:p>
        </w:tc>
        <w:tc>
          <w:tcPr>
            <w:tcW w:w="1374" w:type="dxa"/>
          </w:tcPr>
          <w:p w:rsidR="007C5447" w:rsidRDefault="00F6308C">
            <w:pPr>
              <w:pStyle w:val="TableParagraph"/>
              <w:spacing w:before="36"/>
              <w:ind w:right="98"/>
              <w:rPr>
                <w:sz w:val="20"/>
              </w:rPr>
            </w:pPr>
            <w:r>
              <w:rPr>
                <w:sz w:val="20"/>
              </w:rPr>
              <w:t>13.19</w:t>
            </w:r>
          </w:p>
        </w:tc>
        <w:tc>
          <w:tcPr>
            <w:tcW w:w="1095" w:type="dxa"/>
          </w:tcPr>
          <w:p w:rsidR="007C5447" w:rsidRDefault="00F6308C">
            <w:pPr>
              <w:pStyle w:val="TableParagraph"/>
              <w:spacing w:before="36"/>
              <w:ind w:right="98"/>
              <w:rPr>
                <w:sz w:val="20"/>
              </w:rPr>
            </w:pPr>
            <w:r>
              <w:rPr>
                <w:w w:val="99"/>
                <w:sz w:val="20"/>
              </w:rPr>
              <w:t>-</w:t>
            </w:r>
          </w:p>
        </w:tc>
      </w:tr>
      <w:tr w:rsidR="007C5447">
        <w:trPr>
          <w:trHeight w:val="304"/>
        </w:trPr>
        <w:tc>
          <w:tcPr>
            <w:tcW w:w="1706" w:type="dxa"/>
          </w:tcPr>
          <w:p w:rsidR="007C5447" w:rsidRDefault="00F6308C">
            <w:pPr>
              <w:pStyle w:val="TableParagraph"/>
              <w:spacing w:before="47"/>
              <w:ind w:left="107"/>
              <w:jc w:val="left"/>
              <w:rPr>
                <w:b/>
                <w:sz w:val="18"/>
              </w:rPr>
            </w:pPr>
            <w:r>
              <w:rPr>
                <w:b/>
                <w:sz w:val="18"/>
              </w:rPr>
              <w:t>Total</w:t>
            </w:r>
          </w:p>
        </w:tc>
        <w:tc>
          <w:tcPr>
            <w:tcW w:w="1131" w:type="dxa"/>
          </w:tcPr>
          <w:p w:rsidR="007C5447" w:rsidRDefault="00F6308C">
            <w:pPr>
              <w:pStyle w:val="TableParagraph"/>
              <w:spacing w:before="36"/>
              <w:ind w:right="97"/>
              <w:rPr>
                <w:b/>
                <w:sz w:val="20"/>
              </w:rPr>
            </w:pPr>
            <w:r>
              <w:rPr>
                <w:b/>
                <w:sz w:val="20"/>
              </w:rPr>
              <w:t>8.38</w:t>
            </w:r>
          </w:p>
        </w:tc>
        <w:tc>
          <w:tcPr>
            <w:tcW w:w="1373" w:type="dxa"/>
          </w:tcPr>
          <w:p w:rsidR="007C5447" w:rsidRDefault="00F6308C">
            <w:pPr>
              <w:pStyle w:val="TableParagraph"/>
              <w:spacing w:before="36"/>
              <w:ind w:right="97"/>
              <w:rPr>
                <w:b/>
                <w:sz w:val="20"/>
              </w:rPr>
            </w:pPr>
            <w:r>
              <w:rPr>
                <w:b/>
                <w:sz w:val="20"/>
              </w:rPr>
              <w:t>26.90</w:t>
            </w:r>
          </w:p>
        </w:tc>
        <w:tc>
          <w:tcPr>
            <w:tcW w:w="1481" w:type="dxa"/>
          </w:tcPr>
          <w:p w:rsidR="007C5447" w:rsidRDefault="00F6308C">
            <w:pPr>
              <w:pStyle w:val="TableParagraph"/>
              <w:spacing w:before="36"/>
              <w:ind w:right="96"/>
              <w:rPr>
                <w:b/>
                <w:sz w:val="20"/>
              </w:rPr>
            </w:pPr>
            <w:r>
              <w:rPr>
                <w:b/>
                <w:w w:val="99"/>
                <w:sz w:val="20"/>
              </w:rPr>
              <w:t>-</w:t>
            </w:r>
          </w:p>
        </w:tc>
        <w:tc>
          <w:tcPr>
            <w:tcW w:w="1073" w:type="dxa"/>
          </w:tcPr>
          <w:p w:rsidR="007C5447" w:rsidRDefault="00F6308C">
            <w:pPr>
              <w:pStyle w:val="TableParagraph"/>
              <w:spacing w:before="36"/>
              <w:ind w:right="97"/>
              <w:rPr>
                <w:b/>
                <w:sz w:val="20"/>
              </w:rPr>
            </w:pPr>
            <w:r>
              <w:rPr>
                <w:b/>
                <w:w w:val="95"/>
                <w:sz w:val="20"/>
              </w:rPr>
              <w:t>30.50</w:t>
            </w:r>
          </w:p>
        </w:tc>
        <w:tc>
          <w:tcPr>
            <w:tcW w:w="1374" w:type="dxa"/>
          </w:tcPr>
          <w:p w:rsidR="007C5447" w:rsidRDefault="00F6308C">
            <w:pPr>
              <w:pStyle w:val="TableParagraph"/>
              <w:spacing w:before="36"/>
              <w:ind w:right="98"/>
              <w:rPr>
                <w:b/>
                <w:sz w:val="20"/>
              </w:rPr>
            </w:pPr>
            <w:r>
              <w:rPr>
                <w:b/>
                <w:sz w:val="20"/>
              </w:rPr>
              <w:t>16.59</w:t>
            </w:r>
          </w:p>
        </w:tc>
        <w:tc>
          <w:tcPr>
            <w:tcW w:w="1095" w:type="dxa"/>
          </w:tcPr>
          <w:p w:rsidR="007C5447" w:rsidRDefault="00F6308C">
            <w:pPr>
              <w:pStyle w:val="TableParagraph"/>
              <w:spacing w:before="36"/>
              <w:ind w:right="100"/>
              <w:rPr>
                <w:b/>
                <w:sz w:val="20"/>
              </w:rPr>
            </w:pPr>
            <w:r>
              <w:rPr>
                <w:b/>
                <w:w w:val="99"/>
                <w:sz w:val="20"/>
              </w:rPr>
              <w:t>-</w:t>
            </w:r>
          </w:p>
        </w:tc>
      </w:tr>
    </w:tbl>
    <w:p w:rsidR="007C5447" w:rsidRDefault="007C5447">
      <w:pPr>
        <w:pStyle w:val="BodyText"/>
        <w:rPr>
          <w:b/>
        </w:rPr>
      </w:pPr>
    </w:p>
    <w:p w:rsidR="007C5447" w:rsidRDefault="007C5447">
      <w:pPr>
        <w:pStyle w:val="BodyText"/>
        <w:rPr>
          <w:b/>
        </w:rPr>
      </w:pPr>
    </w:p>
    <w:p w:rsidR="007C5447" w:rsidRDefault="007C5447">
      <w:pPr>
        <w:pStyle w:val="BodyText"/>
        <w:spacing w:before="8"/>
        <w:rPr>
          <w:b/>
        </w:rPr>
      </w:pPr>
    </w:p>
    <w:p w:rsidR="007C5447" w:rsidRDefault="00F6308C">
      <w:pPr>
        <w:pStyle w:val="Heading2"/>
        <w:numPr>
          <w:ilvl w:val="1"/>
          <w:numId w:val="92"/>
        </w:numPr>
        <w:tabs>
          <w:tab w:val="left" w:pos="1247"/>
        </w:tabs>
        <w:spacing w:before="1"/>
        <w:jc w:val="left"/>
      </w:pPr>
      <w:bookmarkStart w:id="47" w:name="_bookmark47"/>
      <w:bookmarkEnd w:id="47"/>
      <w:r>
        <w:t>Operating Charges and Extra-Ordinary</w:t>
      </w:r>
      <w:r>
        <w:rPr>
          <w:spacing w:val="-2"/>
        </w:rPr>
        <w:t xml:space="preserve"> </w:t>
      </w:r>
      <w:r>
        <w:t>Items</w:t>
      </w:r>
    </w:p>
    <w:p w:rsidR="007C5447" w:rsidRDefault="007C5447">
      <w:pPr>
        <w:pStyle w:val="BodyText"/>
        <w:spacing w:before="1"/>
        <w:rPr>
          <w:b/>
          <w:sz w:val="28"/>
        </w:rPr>
      </w:pPr>
    </w:p>
    <w:p w:rsidR="007C5447" w:rsidRDefault="00F6308C">
      <w:pPr>
        <w:pStyle w:val="ListParagraph"/>
        <w:numPr>
          <w:ilvl w:val="2"/>
          <w:numId w:val="92"/>
        </w:numPr>
        <w:tabs>
          <w:tab w:val="left" w:pos="1533"/>
        </w:tabs>
        <w:spacing w:before="1" w:line="312" w:lineRule="auto"/>
        <w:ind w:right="1359"/>
        <w:jc w:val="both"/>
        <w:rPr>
          <w:sz w:val="24"/>
        </w:rPr>
      </w:pPr>
      <w:r>
        <w:rPr>
          <w:sz w:val="24"/>
        </w:rPr>
        <w:t>TANGEDCO submitted that in order to run a generating station effectively and efficiently, certain costs are incurred, which are not covered under any of the fixed cost components specified in the Tariff Regulations. These costs are minimal but necessary in</w:t>
      </w:r>
      <w:r>
        <w:rPr>
          <w:sz w:val="24"/>
        </w:rPr>
        <w:t xml:space="preserve"> order to run a plant at its optimum level and hence, TANGEDCO is entitled to recover such cost through its ARR. These costs include other fuel related costs, cost of water and lubricants and consumables for thermal and gas generating stations. For hydro g</w:t>
      </w:r>
      <w:r>
        <w:rPr>
          <w:sz w:val="24"/>
        </w:rPr>
        <w:t>enerating stations, these costs are relating to station supplies and cost of water for hydel</w:t>
      </w:r>
      <w:r>
        <w:rPr>
          <w:spacing w:val="-3"/>
          <w:sz w:val="24"/>
        </w:rPr>
        <w:t xml:space="preserve"> </w:t>
      </w:r>
      <w:r>
        <w:rPr>
          <w:sz w:val="24"/>
        </w:rPr>
        <w:t>power.</w:t>
      </w:r>
    </w:p>
    <w:p w:rsidR="007C5447" w:rsidRDefault="007C5447">
      <w:pPr>
        <w:pStyle w:val="BodyText"/>
        <w:spacing w:before="10"/>
        <w:rPr>
          <w:sz w:val="20"/>
        </w:rPr>
      </w:pPr>
    </w:p>
    <w:p w:rsidR="007C5447" w:rsidRDefault="00F6308C">
      <w:pPr>
        <w:pStyle w:val="ListParagraph"/>
        <w:numPr>
          <w:ilvl w:val="2"/>
          <w:numId w:val="92"/>
        </w:numPr>
        <w:tabs>
          <w:tab w:val="left" w:pos="1533"/>
        </w:tabs>
        <w:spacing w:line="312" w:lineRule="auto"/>
        <w:ind w:right="1354"/>
        <w:jc w:val="both"/>
        <w:rPr>
          <w:sz w:val="24"/>
        </w:rPr>
      </w:pPr>
      <w:r>
        <w:rPr>
          <w:sz w:val="24"/>
        </w:rPr>
        <w:t>TANGEDCO submitted that it has categorized such costs under the head Operating Charges. The Operating Charges and extra-ordinary items as submitted by TANG</w:t>
      </w:r>
      <w:r>
        <w:rPr>
          <w:sz w:val="24"/>
        </w:rPr>
        <w:t>EDCO are shown in the Table</w:t>
      </w:r>
      <w:r>
        <w:rPr>
          <w:spacing w:val="-3"/>
          <w:sz w:val="24"/>
        </w:rPr>
        <w:t xml:space="preserve"> </w:t>
      </w:r>
      <w:r>
        <w:rPr>
          <w:sz w:val="24"/>
        </w:rPr>
        <w:t>below:</w:t>
      </w:r>
    </w:p>
    <w:p w:rsidR="007C5447" w:rsidRDefault="007C5447">
      <w:pPr>
        <w:pStyle w:val="BodyText"/>
        <w:rPr>
          <w:sz w:val="21"/>
        </w:rPr>
      </w:pPr>
    </w:p>
    <w:p w:rsidR="007C5447" w:rsidRDefault="00F6308C">
      <w:pPr>
        <w:ind w:left="667" w:right="1348"/>
        <w:jc w:val="center"/>
        <w:rPr>
          <w:b/>
        </w:rPr>
      </w:pPr>
      <w:r>
        <w:rPr>
          <w:b/>
        </w:rPr>
        <w:t>Table 3-31: Operating Charges and Extra-ordinary Items as submitted by TANGEDCO (Rs.</w:t>
      </w:r>
    </w:p>
    <w:p w:rsidR="007C5447" w:rsidRDefault="00F6308C">
      <w:pPr>
        <w:spacing w:before="76"/>
        <w:ind w:left="673" w:right="1348"/>
        <w:jc w:val="center"/>
        <w:rPr>
          <w:b/>
        </w:rPr>
      </w:pPr>
      <w:r>
        <w:rPr>
          <w:b/>
        </w:rPr>
        <w:t>Crore)</w:t>
      </w:r>
    </w:p>
    <w:p w:rsidR="007C5447" w:rsidRDefault="007C5447">
      <w:pPr>
        <w:pStyle w:val="BodyText"/>
        <w:spacing w:before="11"/>
        <w:rPr>
          <w:b/>
          <w:sz w:val="16"/>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2160"/>
        <w:gridCol w:w="1202"/>
        <w:gridCol w:w="1205"/>
        <w:gridCol w:w="1205"/>
        <w:gridCol w:w="1203"/>
        <w:gridCol w:w="1205"/>
      </w:tblGrid>
      <w:tr w:rsidR="007C5447">
        <w:trPr>
          <w:trHeight w:val="323"/>
        </w:trPr>
        <w:tc>
          <w:tcPr>
            <w:tcW w:w="703" w:type="dxa"/>
            <w:shd w:val="clear" w:color="auto" w:fill="F7C9AC"/>
          </w:tcPr>
          <w:p w:rsidR="007C5447" w:rsidRDefault="00F6308C">
            <w:pPr>
              <w:pStyle w:val="TableParagraph"/>
              <w:spacing w:before="46"/>
              <w:ind w:left="107"/>
              <w:jc w:val="left"/>
              <w:rPr>
                <w:b/>
                <w:sz w:val="20"/>
              </w:rPr>
            </w:pPr>
            <w:r>
              <w:rPr>
                <w:b/>
                <w:sz w:val="20"/>
              </w:rPr>
              <w:t>Sl.</w:t>
            </w:r>
          </w:p>
        </w:tc>
        <w:tc>
          <w:tcPr>
            <w:tcW w:w="2160" w:type="dxa"/>
            <w:shd w:val="clear" w:color="auto" w:fill="F7C9AC"/>
          </w:tcPr>
          <w:p w:rsidR="007C5447" w:rsidRDefault="00F6308C">
            <w:pPr>
              <w:pStyle w:val="TableParagraph"/>
              <w:spacing w:before="46"/>
              <w:ind w:left="107"/>
              <w:jc w:val="left"/>
              <w:rPr>
                <w:b/>
                <w:sz w:val="20"/>
              </w:rPr>
            </w:pPr>
            <w:r>
              <w:rPr>
                <w:b/>
                <w:sz w:val="20"/>
              </w:rPr>
              <w:t>Particulars</w:t>
            </w:r>
          </w:p>
        </w:tc>
        <w:tc>
          <w:tcPr>
            <w:tcW w:w="1202" w:type="dxa"/>
            <w:shd w:val="clear" w:color="auto" w:fill="F7C9AC"/>
          </w:tcPr>
          <w:p w:rsidR="007C5447" w:rsidRDefault="00F6308C">
            <w:pPr>
              <w:pStyle w:val="TableParagraph"/>
              <w:spacing w:before="46"/>
              <w:ind w:left="110"/>
              <w:jc w:val="left"/>
              <w:rPr>
                <w:b/>
                <w:sz w:val="20"/>
              </w:rPr>
            </w:pPr>
            <w:r>
              <w:rPr>
                <w:b/>
                <w:sz w:val="20"/>
              </w:rPr>
              <w:t>FY 2011-12</w:t>
            </w:r>
          </w:p>
        </w:tc>
        <w:tc>
          <w:tcPr>
            <w:tcW w:w="1205" w:type="dxa"/>
            <w:shd w:val="clear" w:color="auto" w:fill="F7C9AC"/>
          </w:tcPr>
          <w:p w:rsidR="007C5447" w:rsidRDefault="00F6308C">
            <w:pPr>
              <w:pStyle w:val="TableParagraph"/>
              <w:spacing w:before="46"/>
              <w:ind w:left="111"/>
              <w:jc w:val="left"/>
              <w:rPr>
                <w:b/>
                <w:sz w:val="20"/>
              </w:rPr>
            </w:pPr>
            <w:r>
              <w:rPr>
                <w:b/>
                <w:sz w:val="20"/>
              </w:rPr>
              <w:t>FY 2012-13</w:t>
            </w:r>
          </w:p>
        </w:tc>
        <w:tc>
          <w:tcPr>
            <w:tcW w:w="1205" w:type="dxa"/>
            <w:shd w:val="clear" w:color="auto" w:fill="F7C9AC"/>
          </w:tcPr>
          <w:p w:rsidR="007C5447" w:rsidRDefault="00F6308C">
            <w:pPr>
              <w:pStyle w:val="TableParagraph"/>
              <w:spacing w:before="46"/>
              <w:ind w:left="111"/>
              <w:jc w:val="left"/>
              <w:rPr>
                <w:b/>
                <w:sz w:val="20"/>
              </w:rPr>
            </w:pPr>
            <w:r>
              <w:rPr>
                <w:b/>
                <w:sz w:val="20"/>
              </w:rPr>
              <w:t>FY 2013-14</w:t>
            </w:r>
          </w:p>
        </w:tc>
        <w:tc>
          <w:tcPr>
            <w:tcW w:w="1203" w:type="dxa"/>
            <w:shd w:val="clear" w:color="auto" w:fill="F7C9AC"/>
          </w:tcPr>
          <w:p w:rsidR="007C5447" w:rsidRDefault="00F6308C">
            <w:pPr>
              <w:pStyle w:val="TableParagraph"/>
              <w:spacing w:before="46"/>
              <w:ind w:right="92"/>
              <w:rPr>
                <w:b/>
                <w:sz w:val="20"/>
              </w:rPr>
            </w:pPr>
            <w:r>
              <w:rPr>
                <w:b/>
                <w:sz w:val="20"/>
              </w:rPr>
              <w:t>FY 2014-15</w:t>
            </w:r>
          </w:p>
        </w:tc>
        <w:tc>
          <w:tcPr>
            <w:tcW w:w="1205" w:type="dxa"/>
            <w:shd w:val="clear" w:color="auto" w:fill="F7C9AC"/>
          </w:tcPr>
          <w:p w:rsidR="007C5447" w:rsidRDefault="00F6308C">
            <w:pPr>
              <w:pStyle w:val="TableParagraph"/>
              <w:spacing w:before="46"/>
              <w:ind w:right="95"/>
              <w:rPr>
                <w:b/>
                <w:sz w:val="20"/>
              </w:rPr>
            </w:pPr>
            <w:r>
              <w:rPr>
                <w:b/>
                <w:sz w:val="20"/>
              </w:rPr>
              <w:t>FY 2015-16</w:t>
            </w:r>
          </w:p>
        </w:tc>
      </w:tr>
      <w:tr w:rsidR="007C5447">
        <w:trPr>
          <w:trHeight w:val="323"/>
        </w:trPr>
        <w:tc>
          <w:tcPr>
            <w:tcW w:w="703" w:type="dxa"/>
          </w:tcPr>
          <w:p w:rsidR="007C5447" w:rsidRDefault="00F6308C">
            <w:pPr>
              <w:pStyle w:val="TableParagraph"/>
              <w:spacing w:before="46"/>
              <w:ind w:left="107"/>
              <w:jc w:val="left"/>
              <w:rPr>
                <w:sz w:val="20"/>
              </w:rPr>
            </w:pPr>
            <w:r>
              <w:rPr>
                <w:w w:val="99"/>
                <w:sz w:val="20"/>
              </w:rPr>
              <w:t>1</w:t>
            </w:r>
          </w:p>
        </w:tc>
        <w:tc>
          <w:tcPr>
            <w:tcW w:w="2160" w:type="dxa"/>
          </w:tcPr>
          <w:p w:rsidR="007C5447" w:rsidRDefault="00F6308C">
            <w:pPr>
              <w:pStyle w:val="TableParagraph"/>
              <w:spacing w:before="46"/>
              <w:ind w:left="107"/>
              <w:jc w:val="left"/>
              <w:rPr>
                <w:sz w:val="20"/>
              </w:rPr>
            </w:pPr>
            <w:r>
              <w:rPr>
                <w:sz w:val="20"/>
              </w:rPr>
              <w:t>Ennore TPS</w:t>
            </w:r>
          </w:p>
        </w:tc>
        <w:tc>
          <w:tcPr>
            <w:tcW w:w="1202" w:type="dxa"/>
          </w:tcPr>
          <w:p w:rsidR="007C5447" w:rsidRDefault="00F6308C">
            <w:pPr>
              <w:pStyle w:val="TableParagraph"/>
              <w:spacing w:before="46"/>
              <w:ind w:left="550"/>
              <w:jc w:val="left"/>
              <w:rPr>
                <w:sz w:val="20"/>
              </w:rPr>
            </w:pPr>
            <w:r>
              <w:rPr>
                <w:sz w:val="20"/>
              </w:rPr>
              <w:t>12.19</w:t>
            </w:r>
          </w:p>
        </w:tc>
        <w:tc>
          <w:tcPr>
            <w:tcW w:w="1205" w:type="dxa"/>
          </w:tcPr>
          <w:p w:rsidR="007C5447" w:rsidRDefault="00F6308C">
            <w:pPr>
              <w:pStyle w:val="TableParagraph"/>
              <w:spacing w:before="46"/>
              <w:ind w:left="550"/>
              <w:jc w:val="left"/>
              <w:rPr>
                <w:sz w:val="20"/>
              </w:rPr>
            </w:pPr>
            <w:r>
              <w:rPr>
                <w:sz w:val="20"/>
              </w:rPr>
              <w:t>11.19</w:t>
            </w:r>
          </w:p>
        </w:tc>
        <w:tc>
          <w:tcPr>
            <w:tcW w:w="1205" w:type="dxa"/>
          </w:tcPr>
          <w:p w:rsidR="007C5447" w:rsidRDefault="00F6308C">
            <w:pPr>
              <w:pStyle w:val="TableParagraph"/>
              <w:spacing w:before="46"/>
              <w:ind w:left="550"/>
              <w:jc w:val="left"/>
              <w:rPr>
                <w:sz w:val="20"/>
              </w:rPr>
            </w:pPr>
            <w:r>
              <w:rPr>
                <w:sz w:val="20"/>
              </w:rPr>
              <w:t>17.21</w:t>
            </w:r>
          </w:p>
        </w:tc>
        <w:tc>
          <w:tcPr>
            <w:tcW w:w="1203" w:type="dxa"/>
          </w:tcPr>
          <w:p w:rsidR="007C5447" w:rsidRDefault="00F6308C">
            <w:pPr>
              <w:pStyle w:val="TableParagraph"/>
              <w:spacing w:before="46"/>
              <w:ind w:right="188"/>
              <w:rPr>
                <w:sz w:val="20"/>
              </w:rPr>
            </w:pPr>
            <w:r>
              <w:rPr>
                <w:sz w:val="20"/>
              </w:rPr>
              <w:t>11.85</w:t>
            </w:r>
          </w:p>
        </w:tc>
        <w:tc>
          <w:tcPr>
            <w:tcW w:w="1205" w:type="dxa"/>
          </w:tcPr>
          <w:p w:rsidR="007C5447" w:rsidRDefault="00F6308C">
            <w:pPr>
              <w:pStyle w:val="TableParagraph"/>
              <w:spacing w:before="46"/>
              <w:ind w:right="190"/>
              <w:rPr>
                <w:sz w:val="20"/>
              </w:rPr>
            </w:pPr>
            <w:r>
              <w:rPr>
                <w:sz w:val="20"/>
              </w:rPr>
              <w:t>11.62</w:t>
            </w:r>
          </w:p>
        </w:tc>
      </w:tr>
      <w:tr w:rsidR="007C5447">
        <w:trPr>
          <w:trHeight w:val="323"/>
        </w:trPr>
        <w:tc>
          <w:tcPr>
            <w:tcW w:w="703" w:type="dxa"/>
          </w:tcPr>
          <w:p w:rsidR="007C5447" w:rsidRDefault="00F6308C">
            <w:pPr>
              <w:pStyle w:val="TableParagraph"/>
              <w:spacing w:before="46"/>
              <w:ind w:left="107"/>
              <w:jc w:val="left"/>
              <w:rPr>
                <w:sz w:val="20"/>
              </w:rPr>
            </w:pPr>
            <w:r>
              <w:rPr>
                <w:w w:val="99"/>
                <w:sz w:val="20"/>
              </w:rPr>
              <w:t>2</w:t>
            </w:r>
          </w:p>
        </w:tc>
        <w:tc>
          <w:tcPr>
            <w:tcW w:w="2160" w:type="dxa"/>
          </w:tcPr>
          <w:p w:rsidR="007C5447" w:rsidRDefault="00F6308C">
            <w:pPr>
              <w:pStyle w:val="TableParagraph"/>
              <w:spacing w:before="46"/>
              <w:ind w:left="107"/>
              <w:jc w:val="left"/>
              <w:rPr>
                <w:sz w:val="20"/>
              </w:rPr>
            </w:pPr>
            <w:r>
              <w:rPr>
                <w:sz w:val="20"/>
              </w:rPr>
              <w:t>Tuticorin TPS</w:t>
            </w:r>
          </w:p>
        </w:tc>
        <w:tc>
          <w:tcPr>
            <w:tcW w:w="1202" w:type="dxa"/>
          </w:tcPr>
          <w:p w:rsidR="007C5447" w:rsidRDefault="00F6308C">
            <w:pPr>
              <w:pStyle w:val="TableParagraph"/>
              <w:spacing w:before="46"/>
              <w:ind w:left="648"/>
              <w:jc w:val="left"/>
              <w:rPr>
                <w:sz w:val="20"/>
              </w:rPr>
            </w:pPr>
            <w:r>
              <w:rPr>
                <w:sz w:val="20"/>
              </w:rPr>
              <w:t>6.97</w:t>
            </w:r>
          </w:p>
        </w:tc>
        <w:tc>
          <w:tcPr>
            <w:tcW w:w="1205" w:type="dxa"/>
          </w:tcPr>
          <w:p w:rsidR="007C5447" w:rsidRDefault="00F6308C">
            <w:pPr>
              <w:pStyle w:val="TableParagraph"/>
              <w:spacing w:before="46"/>
              <w:ind w:left="550"/>
              <w:jc w:val="left"/>
              <w:rPr>
                <w:sz w:val="20"/>
              </w:rPr>
            </w:pPr>
            <w:r>
              <w:rPr>
                <w:sz w:val="20"/>
              </w:rPr>
              <w:t>12.96</w:t>
            </w:r>
          </w:p>
        </w:tc>
        <w:tc>
          <w:tcPr>
            <w:tcW w:w="1205" w:type="dxa"/>
          </w:tcPr>
          <w:p w:rsidR="007C5447" w:rsidRDefault="00F6308C">
            <w:pPr>
              <w:pStyle w:val="TableParagraph"/>
              <w:spacing w:before="46"/>
              <w:ind w:left="550"/>
              <w:jc w:val="left"/>
              <w:rPr>
                <w:sz w:val="20"/>
              </w:rPr>
            </w:pPr>
            <w:r>
              <w:rPr>
                <w:sz w:val="20"/>
              </w:rPr>
              <w:t>12.97</w:t>
            </w:r>
          </w:p>
        </w:tc>
        <w:tc>
          <w:tcPr>
            <w:tcW w:w="1203" w:type="dxa"/>
          </w:tcPr>
          <w:p w:rsidR="007C5447" w:rsidRDefault="00F6308C">
            <w:pPr>
              <w:pStyle w:val="TableParagraph"/>
              <w:spacing w:before="46"/>
              <w:ind w:right="188"/>
              <w:rPr>
                <w:sz w:val="20"/>
              </w:rPr>
            </w:pPr>
            <w:r>
              <w:rPr>
                <w:sz w:val="20"/>
              </w:rPr>
              <w:t>8.80</w:t>
            </w:r>
          </w:p>
        </w:tc>
        <w:tc>
          <w:tcPr>
            <w:tcW w:w="1205" w:type="dxa"/>
          </w:tcPr>
          <w:p w:rsidR="007C5447" w:rsidRDefault="00F6308C">
            <w:pPr>
              <w:pStyle w:val="TableParagraph"/>
              <w:spacing w:before="46"/>
              <w:ind w:right="190"/>
              <w:rPr>
                <w:sz w:val="20"/>
              </w:rPr>
            </w:pPr>
            <w:r>
              <w:rPr>
                <w:sz w:val="20"/>
              </w:rPr>
              <w:t>9.46</w:t>
            </w:r>
          </w:p>
        </w:tc>
      </w:tr>
    </w:tbl>
    <w:p w:rsidR="007C5447" w:rsidRDefault="007C5447">
      <w:pPr>
        <w:rPr>
          <w:sz w:val="20"/>
        </w:rPr>
        <w:sectPr w:rsidR="007C5447">
          <w:pgSz w:w="11910" w:h="16840"/>
          <w:pgMar w:top="1360" w:right="80" w:bottom="1240" w:left="760" w:header="0" w:footer="1057" w:gutter="0"/>
          <w:cols w:space="720"/>
        </w:sect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2160"/>
        <w:gridCol w:w="1202"/>
        <w:gridCol w:w="1205"/>
        <w:gridCol w:w="1205"/>
        <w:gridCol w:w="1203"/>
        <w:gridCol w:w="1205"/>
      </w:tblGrid>
      <w:tr w:rsidR="007C5447">
        <w:trPr>
          <w:trHeight w:val="321"/>
        </w:trPr>
        <w:tc>
          <w:tcPr>
            <w:tcW w:w="703" w:type="dxa"/>
            <w:tcBorders>
              <w:bottom w:val="single" w:sz="6" w:space="0" w:color="000000"/>
            </w:tcBorders>
            <w:shd w:val="clear" w:color="auto" w:fill="F7C9AC"/>
          </w:tcPr>
          <w:p w:rsidR="007C5447" w:rsidRDefault="00F6308C">
            <w:pPr>
              <w:pStyle w:val="TableParagraph"/>
              <w:spacing w:before="46"/>
              <w:ind w:left="107"/>
              <w:jc w:val="left"/>
              <w:rPr>
                <w:b/>
                <w:sz w:val="20"/>
              </w:rPr>
            </w:pPr>
            <w:r>
              <w:rPr>
                <w:b/>
                <w:sz w:val="20"/>
              </w:rPr>
              <w:lastRenderedPageBreak/>
              <w:t>Sl.</w:t>
            </w:r>
          </w:p>
        </w:tc>
        <w:tc>
          <w:tcPr>
            <w:tcW w:w="2160" w:type="dxa"/>
            <w:tcBorders>
              <w:bottom w:val="single" w:sz="6" w:space="0" w:color="000000"/>
            </w:tcBorders>
            <w:shd w:val="clear" w:color="auto" w:fill="F7C9AC"/>
          </w:tcPr>
          <w:p w:rsidR="007C5447" w:rsidRDefault="00F6308C">
            <w:pPr>
              <w:pStyle w:val="TableParagraph"/>
              <w:spacing w:before="46"/>
              <w:ind w:left="107"/>
              <w:jc w:val="left"/>
              <w:rPr>
                <w:b/>
                <w:sz w:val="20"/>
              </w:rPr>
            </w:pPr>
            <w:r>
              <w:rPr>
                <w:b/>
                <w:sz w:val="20"/>
              </w:rPr>
              <w:t>Particulars</w:t>
            </w:r>
          </w:p>
        </w:tc>
        <w:tc>
          <w:tcPr>
            <w:tcW w:w="1202" w:type="dxa"/>
            <w:tcBorders>
              <w:bottom w:val="single" w:sz="6" w:space="0" w:color="000000"/>
            </w:tcBorders>
            <w:shd w:val="clear" w:color="auto" w:fill="F7C9AC"/>
          </w:tcPr>
          <w:p w:rsidR="007C5447" w:rsidRDefault="00F6308C">
            <w:pPr>
              <w:pStyle w:val="TableParagraph"/>
              <w:spacing w:before="46"/>
              <w:ind w:left="110"/>
              <w:jc w:val="left"/>
              <w:rPr>
                <w:b/>
                <w:sz w:val="20"/>
              </w:rPr>
            </w:pPr>
            <w:r>
              <w:rPr>
                <w:b/>
                <w:sz w:val="20"/>
              </w:rPr>
              <w:t>FY 2011-12</w:t>
            </w:r>
          </w:p>
        </w:tc>
        <w:tc>
          <w:tcPr>
            <w:tcW w:w="1205" w:type="dxa"/>
            <w:tcBorders>
              <w:bottom w:val="single" w:sz="6" w:space="0" w:color="000000"/>
            </w:tcBorders>
            <w:shd w:val="clear" w:color="auto" w:fill="F7C9AC"/>
          </w:tcPr>
          <w:p w:rsidR="007C5447" w:rsidRDefault="00F6308C">
            <w:pPr>
              <w:pStyle w:val="TableParagraph"/>
              <w:spacing w:before="46"/>
              <w:ind w:left="111"/>
              <w:jc w:val="left"/>
              <w:rPr>
                <w:b/>
                <w:sz w:val="20"/>
              </w:rPr>
            </w:pPr>
            <w:r>
              <w:rPr>
                <w:b/>
                <w:sz w:val="20"/>
              </w:rPr>
              <w:t>FY 2012-13</w:t>
            </w:r>
          </w:p>
        </w:tc>
        <w:tc>
          <w:tcPr>
            <w:tcW w:w="1205" w:type="dxa"/>
            <w:tcBorders>
              <w:bottom w:val="single" w:sz="6" w:space="0" w:color="000000"/>
            </w:tcBorders>
            <w:shd w:val="clear" w:color="auto" w:fill="F7C9AC"/>
          </w:tcPr>
          <w:p w:rsidR="007C5447" w:rsidRDefault="00F6308C">
            <w:pPr>
              <w:pStyle w:val="TableParagraph"/>
              <w:spacing w:before="46"/>
              <w:ind w:left="111"/>
              <w:jc w:val="left"/>
              <w:rPr>
                <w:b/>
                <w:sz w:val="20"/>
              </w:rPr>
            </w:pPr>
            <w:r>
              <w:rPr>
                <w:b/>
                <w:sz w:val="20"/>
              </w:rPr>
              <w:t>FY 2013-14</w:t>
            </w:r>
          </w:p>
        </w:tc>
        <w:tc>
          <w:tcPr>
            <w:tcW w:w="1203" w:type="dxa"/>
            <w:tcBorders>
              <w:bottom w:val="single" w:sz="6" w:space="0" w:color="000000"/>
            </w:tcBorders>
            <w:shd w:val="clear" w:color="auto" w:fill="F7C9AC"/>
          </w:tcPr>
          <w:p w:rsidR="007C5447" w:rsidRDefault="00F6308C">
            <w:pPr>
              <w:pStyle w:val="TableParagraph"/>
              <w:spacing w:before="46"/>
              <w:ind w:right="92"/>
              <w:rPr>
                <w:b/>
                <w:sz w:val="20"/>
              </w:rPr>
            </w:pPr>
            <w:r>
              <w:rPr>
                <w:b/>
                <w:sz w:val="20"/>
              </w:rPr>
              <w:t>FY 2014-15</w:t>
            </w:r>
          </w:p>
        </w:tc>
        <w:tc>
          <w:tcPr>
            <w:tcW w:w="1205" w:type="dxa"/>
            <w:tcBorders>
              <w:bottom w:val="single" w:sz="6" w:space="0" w:color="000000"/>
            </w:tcBorders>
            <w:shd w:val="clear" w:color="auto" w:fill="F7C9AC"/>
          </w:tcPr>
          <w:p w:rsidR="007C5447" w:rsidRDefault="00F6308C">
            <w:pPr>
              <w:pStyle w:val="TableParagraph"/>
              <w:spacing w:before="46"/>
              <w:ind w:right="95"/>
              <w:rPr>
                <w:b/>
                <w:sz w:val="20"/>
              </w:rPr>
            </w:pPr>
            <w:r>
              <w:rPr>
                <w:b/>
                <w:sz w:val="20"/>
              </w:rPr>
              <w:t>FY 2015-16</w:t>
            </w:r>
          </w:p>
        </w:tc>
      </w:tr>
      <w:tr w:rsidR="007C5447">
        <w:trPr>
          <w:trHeight w:val="318"/>
        </w:trPr>
        <w:tc>
          <w:tcPr>
            <w:tcW w:w="703" w:type="dxa"/>
            <w:tcBorders>
              <w:top w:val="single" w:sz="6" w:space="0" w:color="000000"/>
            </w:tcBorders>
          </w:tcPr>
          <w:p w:rsidR="007C5447" w:rsidRDefault="00F6308C">
            <w:pPr>
              <w:pStyle w:val="TableParagraph"/>
              <w:spacing w:before="43"/>
              <w:ind w:left="107"/>
              <w:jc w:val="left"/>
              <w:rPr>
                <w:sz w:val="20"/>
              </w:rPr>
            </w:pPr>
            <w:r>
              <w:rPr>
                <w:w w:val="99"/>
                <w:sz w:val="20"/>
              </w:rPr>
              <w:t>3</w:t>
            </w:r>
          </w:p>
        </w:tc>
        <w:tc>
          <w:tcPr>
            <w:tcW w:w="2160" w:type="dxa"/>
            <w:tcBorders>
              <w:top w:val="single" w:sz="6" w:space="0" w:color="000000"/>
            </w:tcBorders>
          </w:tcPr>
          <w:p w:rsidR="007C5447" w:rsidRDefault="00F6308C">
            <w:pPr>
              <w:pStyle w:val="TableParagraph"/>
              <w:spacing w:before="43"/>
              <w:ind w:left="107"/>
              <w:jc w:val="left"/>
              <w:rPr>
                <w:sz w:val="20"/>
              </w:rPr>
            </w:pPr>
            <w:r>
              <w:rPr>
                <w:sz w:val="20"/>
              </w:rPr>
              <w:t>Mettur TPS</w:t>
            </w:r>
          </w:p>
        </w:tc>
        <w:tc>
          <w:tcPr>
            <w:tcW w:w="1202" w:type="dxa"/>
            <w:tcBorders>
              <w:top w:val="single" w:sz="6" w:space="0" w:color="000000"/>
            </w:tcBorders>
          </w:tcPr>
          <w:p w:rsidR="007C5447" w:rsidRDefault="00F6308C">
            <w:pPr>
              <w:pStyle w:val="TableParagraph"/>
              <w:spacing w:before="43"/>
              <w:ind w:left="648"/>
              <w:jc w:val="left"/>
              <w:rPr>
                <w:sz w:val="20"/>
              </w:rPr>
            </w:pPr>
            <w:r>
              <w:rPr>
                <w:sz w:val="20"/>
              </w:rPr>
              <w:t>3.53</w:t>
            </w:r>
          </w:p>
        </w:tc>
        <w:tc>
          <w:tcPr>
            <w:tcW w:w="1205" w:type="dxa"/>
            <w:tcBorders>
              <w:top w:val="single" w:sz="6" w:space="0" w:color="000000"/>
            </w:tcBorders>
          </w:tcPr>
          <w:p w:rsidR="007C5447" w:rsidRDefault="00F6308C">
            <w:pPr>
              <w:pStyle w:val="TableParagraph"/>
              <w:spacing w:before="43"/>
              <w:ind w:left="648"/>
              <w:jc w:val="left"/>
              <w:rPr>
                <w:sz w:val="20"/>
              </w:rPr>
            </w:pPr>
            <w:r>
              <w:rPr>
                <w:sz w:val="20"/>
              </w:rPr>
              <w:t>5.58</w:t>
            </w:r>
          </w:p>
        </w:tc>
        <w:tc>
          <w:tcPr>
            <w:tcW w:w="1205" w:type="dxa"/>
            <w:tcBorders>
              <w:top w:val="single" w:sz="6" w:space="0" w:color="000000"/>
            </w:tcBorders>
          </w:tcPr>
          <w:p w:rsidR="007C5447" w:rsidRDefault="00F6308C">
            <w:pPr>
              <w:pStyle w:val="TableParagraph"/>
              <w:spacing w:before="43"/>
              <w:ind w:left="649"/>
              <w:jc w:val="left"/>
              <w:rPr>
                <w:sz w:val="20"/>
              </w:rPr>
            </w:pPr>
            <w:r>
              <w:rPr>
                <w:sz w:val="20"/>
              </w:rPr>
              <w:t>6.46</w:t>
            </w:r>
          </w:p>
        </w:tc>
        <w:tc>
          <w:tcPr>
            <w:tcW w:w="1203" w:type="dxa"/>
            <w:tcBorders>
              <w:top w:val="single" w:sz="6" w:space="0" w:color="000000"/>
            </w:tcBorders>
          </w:tcPr>
          <w:p w:rsidR="007C5447" w:rsidRDefault="00F6308C">
            <w:pPr>
              <w:pStyle w:val="TableParagraph"/>
              <w:spacing w:before="43"/>
              <w:ind w:right="188"/>
              <w:rPr>
                <w:sz w:val="20"/>
              </w:rPr>
            </w:pPr>
            <w:r>
              <w:rPr>
                <w:sz w:val="20"/>
              </w:rPr>
              <w:t>10.11</w:t>
            </w:r>
          </w:p>
        </w:tc>
        <w:tc>
          <w:tcPr>
            <w:tcW w:w="1205" w:type="dxa"/>
            <w:tcBorders>
              <w:top w:val="single" w:sz="6" w:space="0" w:color="000000"/>
            </w:tcBorders>
          </w:tcPr>
          <w:p w:rsidR="007C5447" w:rsidRDefault="00F6308C">
            <w:pPr>
              <w:pStyle w:val="TableParagraph"/>
              <w:spacing w:before="43"/>
              <w:ind w:right="190"/>
              <w:rPr>
                <w:sz w:val="20"/>
              </w:rPr>
            </w:pPr>
            <w:r>
              <w:rPr>
                <w:sz w:val="20"/>
              </w:rPr>
              <w:t>3.51</w:t>
            </w:r>
          </w:p>
        </w:tc>
      </w:tr>
      <w:tr w:rsidR="007C5447">
        <w:trPr>
          <w:trHeight w:val="323"/>
        </w:trPr>
        <w:tc>
          <w:tcPr>
            <w:tcW w:w="703" w:type="dxa"/>
          </w:tcPr>
          <w:p w:rsidR="007C5447" w:rsidRDefault="00F6308C">
            <w:pPr>
              <w:pStyle w:val="TableParagraph"/>
              <w:spacing w:before="48"/>
              <w:ind w:left="107"/>
              <w:jc w:val="left"/>
              <w:rPr>
                <w:sz w:val="20"/>
              </w:rPr>
            </w:pPr>
            <w:r>
              <w:rPr>
                <w:w w:val="99"/>
                <w:sz w:val="20"/>
              </w:rPr>
              <w:t>4</w:t>
            </w:r>
          </w:p>
        </w:tc>
        <w:tc>
          <w:tcPr>
            <w:tcW w:w="2160" w:type="dxa"/>
          </w:tcPr>
          <w:p w:rsidR="007C5447" w:rsidRDefault="00F6308C">
            <w:pPr>
              <w:pStyle w:val="TableParagraph"/>
              <w:spacing w:before="48"/>
              <w:ind w:left="107"/>
              <w:jc w:val="left"/>
              <w:rPr>
                <w:sz w:val="20"/>
              </w:rPr>
            </w:pPr>
            <w:r>
              <w:rPr>
                <w:sz w:val="20"/>
              </w:rPr>
              <w:t>North Chennai TPS</w:t>
            </w:r>
          </w:p>
        </w:tc>
        <w:tc>
          <w:tcPr>
            <w:tcW w:w="1202" w:type="dxa"/>
          </w:tcPr>
          <w:p w:rsidR="007C5447" w:rsidRDefault="00F6308C">
            <w:pPr>
              <w:pStyle w:val="TableParagraph"/>
              <w:spacing w:before="48"/>
              <w:ind w:left="550"/>
              <w:jc w:val="left"/>
              <w:rPr>
                <w:sz w:val="20"/>
              </w:rPr>
            </w:pPr>
            <w:r>
              <w:rPr>
                <w:sz w:val="20"/>
              </w:rPr>
              <w:t>24.91</w:t>
            </w:r>
          </w:p>
        </w:tc>
        <w:tc>
          <w:tcPr>
            <w:tcW w:w="1205" w:type="dxa"/>
          </w:tcPr>
          <w:p w:rsidR="007C5447" w:rsidRDefault="00F6308C">
            <w:pPr>
              <w:pStyle w:val="TableParagraph"/>
              <w:spacing w:before="48"/>
              <w:ind w:left="550"/>
              <w:jc w:val="left"/>
              <w:rPr>
                <w:sz w:val="20"/>
              </w:rPr>
            </w:pPr>
            <w:r>
              <w:rPr>
                <w:sz w:val="20"/>
              </w:rPr>
              <w:t>29.20</w:t>
            </w:r>
          </w:p>
        </w:tc>
        <w:tc>
          <w:tcPr>
            <w:tcW w:w="1205" w:type="dxa"/>
          </w:tcPr>
          <w:p w:rsidR="007C5447" w:rsidRDefault="00F6308C">
            <w:pPr>
              <w:pStyle w:val="TableParagraph"/>
              <w:spacing w:before="48"/>
              <w:ind w:left="550"/>
              <w:jc w:val="left"/>
              <w:rPr>
                <w:sz w:val="20"/>
              </w:rPr>
            </w:pPr>
            <w:r>
              <w:rPr>
                <w:sz w:val="20"/>
              </w:rPr>
              <w:t>42.51</w:t>
            </w:r>
          </w:p>
        </w:tc>
        <w:tc>
          <w:tcPr>
            <w:tcW w:w="1203" w:type="dxa"/>
          </w:tcPr>
          <w:p w:rsidR="007C5447" w:rsidRDefault="00F6308C">
            <w:pPr>
              <w:pStyle w:val="TableParagraph"/>
              <w:spacing w:before="48"/>
              <w:ind w:right="188"/>
              <w:rPr>
                <w:sz w:val="20"/>
              </w:rPr>
            </w:pPr>
            <w:r>
              <w:rPr>
                <w:sz w:val="20"/>
              </w:rPr>
              <w:t>46.49</w:t>
            </w:r>
          </w:p>
        </w:tc>
        <w:tc>
          <w:tcPr>
            <w:tcW w:w="1205" w:type="dxa"/>
          </w:tcPr>
          <w:p w:rsidR="007C5447" w:rsidRDefault="00F6308C">
            <w:pPr>
              <w:pStyle w:val="TableParagraph"/>
              <w:spacing w:before="48"/>
              <w:ind w:right="190"/>
              <w:rPr>
                <w:sz w:val="20"/>
              </w:rPr>
            </w:pPr>
            <w:r>
              <w:rPr>
                <w:sz w:val="20"/>
              </w:rPr>
              <w:t>50.03</w:t>
            </w:r>
          </w:p>
        </w:tc>
      </w:tr>
      <w:tr w:rsidR="007C5447">
        <w:trPr>
          <w:trHeight w:val="323"/>
        </w:trPr>
        <w:tc>
          <w:tcPr>
            <w:tcW w:w="703" w:type="dxa"/>
          </w:tcPr>
          <w:p w:rsidR="007C5447" w:rsidRDefault="00F6308C">
            <w:pPr>
              <w:pStyle w:val="TableParagraph"/>
              <w:spacing w:before="48"/>
              <w:ind w:left="107"/>
              <w:jc w:val="left"/>
              <w:rPr>
                <w:sz w:val="20"/>
              </w:rPr>
            </w:pPr>
            <w:r>
              <w:rPr>
                <w:w w:val="99"/>
                <w:sz w:val="20"/>
              </w:rPr>
              <w:t>5</w:t>
            </w:r>
          </w:p>
        </w:tc>
        <w:tc>
          <w:tcPr>
            <w:tcW w:w="2160" w:type="dxa"/>
          </w:tcPr>
          <w:p w:rsidR="007C5447" w:rsidRDefault="00F6308C">
            <w:pPr>
              <w:pStyle w:val="TableParagraph"/>
              <w:spacing w:before="48"/>
              <w:ind w:left="107"/>
              <w:jc w:val="left"/>
              <w:rPr>
                <w:sz w:val="20"/>
              </w:rPr>
            </w:pPr>
            <w:r>
              <w:rPr>
                <w:sz w:val="20"/>
              </w:rPr>
              <w:t>Mettur TPS Stage III</w:t>
            </w:r>
          </w:p>
        </w:tc>
        <w:tc>
          <w:tcPr>
            <w:tcW w:w="1202" w:type="dxa"/>
          </w:tcPr>
          <w:p w:rsidR="007C5447" w:rsidRDefault="00F6308C">
            <w:pPr>
              <w:pStyle w:val="TableParagraph"/>
              <w:spacing w:before="48"/>
              <w:ind w:right="187"/>
              <w:rPr>
                <w:sz w:val="20"/>
              </w:rPr>
            </w:pPr>
            <w:r>
              <w:rPr>
                <w:w w:val="99"/>
                <w:sz w:val="20"/>
              </w:rPr>
              <w:t>-</w:t>
            </w:r>
          </w:p>
        </w:tc>
        <w:tc>
          <w:tcPr>
            <w:tcW w:w="1205" w:type="dxa"/>
          </w:tcPr>
          <w:p w:rsidR="007C5447" w:rsidRDefault="00F6308C">
            <w:pPr>
              <w:pStyle w:val="TableParagraph"/>
              <w:spacing w:before="48"/>
              <w:ind w:right="189"/>
              <w:rPr>
                <w:sz w:val="20"/>
              </w:rPr>
            </w:pPr>
            <w:r>
              <w:rPr>
                <w:w w:val="99"/>
                <w:sz w:val="20"/>
              </w:rPr>
              <w:t>-</w:t>
            </w:r>
          </w:p>
        </w:tc>
        <w:tc>
          <w:tcPr>
            <w:tcW w:w="1205" w:type="dxa"/>
          </w:tcPr>
          <w:p w:rsidR="007C5447" w:rsidRDefault="00F6308C">
            <w:pPr>
              <w:pStyle w:val="TableParagraph"/>
              <w:spacing w:before="48"/>
              <w:ind w:right="189"/>
              <w:rPr>
                <w:sz w:val="20"/>
              </w:rPr>
            </w:pPr>
            <w:r>
              <w:rPr>
                <w:w w:val="99"/>
                <w:sz w:val="20"/>
              </w:rPr>
              <w:t>-</w:t>
            </w:r>
          </w:p>
        </w:tc>
        <w:tc>
          <w:tcPr>
            <w:tcW w:w="1203" w:type="dxa"/>
          </w:tcPr>
          <w:p w:rsidR="007C5447" w:rsidRDefault="00F6308C">
            <w:pPr>
              <w:pStyle w:val="TableParagraph"/>
              <w:spacing w:before="48"/>
              <w:ind w:right="188"/>
              <w:rPr>
                <w:sz w:val="20"/>
              </w:rPr>
            </w:pPr>
            <w:r>
              <w:rPr>
                <w:sz w:val="20"/>
              </w:rPr>
              <w:t>1.70</w:t>
            </w:r>
          </w:p>
        </w:tc>
        <w:tc>
          <w:tcPr>
            <w:tcW w:w="1205" w:type="dxa"/>
          </w:tcPr>
          <w:p w:rsidR="007C5447" w:rsidRDefault="00F6308C">
            <w:pPr>
              <w:pStyle w:val="TableParagraph"/>
              <w:spacing w:before="48"/>
              <w:ind w:right="190"/>
              <w:rPr>
                <w:sz w:val="20"/>
              </w:rPr>
            </w:pPr>
            <w:r>
              <w:rPr>
                <w:sz w:val="20"/>
              </w:rPr>
              <w:t>1.40</w:t>
            </w:r>
          </w:p>
        </w:tc>
      </w:tr>
      <w:tr w:rsidR="007C5447">
        <w:trPr>
          <w:trHeight w:val="323"/>
        </w:trPr>
        <w:tc>
          <w:tcPr>
            <w:tcW w:w="703" w:type="dxa"/>
          </w:tcPr>
          <w:p w:rsidR="007C5447" w:rsidRDefault="00F6308C">
            <w:pPr>
              <w:pStyle w:val="TableParagraph"/>
              <w:spacing w:before="46"/>
              <w:ind w:left="107"/>
              <w:jc w:val="left"/>
              <w:rPr>
                <w:sz w:val="20"/>
              </w:rPr>
            </w:pPr>
            <w:r>
              <w:rPr>
                <w:w w:val="99"/>
                <w:sz w:val="20"/>
              </w:rPr>
              <w:t>6</w:t>
            </w:r>
          </w:p>
        </w:tc>
        <w:tc>
          <w:tcPr>
            <w:tcW w:w="2160" w:type="dxa"/>
          </w:tcPr>
          <w:p w:rsidR="007C5447" w:rsidRDefault="00F6308C">
            <w:pPr>
              <w:pStyle w:val="TableParagraph"/>
              <w:spacing w:before="46"/>
              <w:ind w:left="107"/>
              <w:jc w:val="left"/>
              <w:rPr>
                <w:sz w:val="20"/>
              </w:rPr>
            </w:pPr>
            <w:r>
              <w:rPr>
                <w:sz w:val="20"/>
              </w:rPr>
              <w:t>NCTPS stage II</w:t>
            </w:r>
          </w:p>
        </w:tc>
        <w:tc>
          <w:tcPr>
            <w:tcW w:w="1202" w:type="dxa"/>
          </w:tcPr>
          <w:p w:rsidR="007C5447" w:rsidRDefault="007C5447">
            <w:pPr>
              <w:pStyle w:val="TableParagraph"/>
              <w:jc w:val="left"/>
            </w:pPr>
          </w:p>
        </w:tc>
        <w:tc>
          <w:tcPr>
            <w:tcW w:w="1205" w:type="dxa"/>
          </w:tcPr>
          <w:p w:rsidR="007C5447" w:rsidRDefault="007C5447">
            <w:pPr>
              <w:pStyle w:val="TableParagraph"/>
              <w:jc w:val="left"/>
            </w:pPr>
          </w:p>
        </w:tc>
        <w:tc>
          <w:tcPr>
            <w:tcW w:w="1205" w:type="dxa"/>
          </w:tcPr>
          <w:p w:rsidR="007C5447" w:rsidRDefault="007C5447">
            <w:pPr>
              <w:pStyle w:val="TableParagraph"/>
              <w:jc w:val="left"/>
            </w:pPr>
          </w:p>
        </w:tc>
        <w:tc>
          <w:tcPr>
            <w:tcW w:w="1203" w:type="dxa"/>
          </w:tcPr>
          <w:p w:rsidR="007C5447" w:rsidRDefault="00F6308C">
            <w:pPr>
              <w:pStyle w:val="TableParagraph"/>
              <w:spacing w:before="46"/>
              <w:ind w:right="188"/>
              <w:rPr>
                <w:sz w:val="20"/>
              </w:rPr>
            </w:pPr>
            <w:r>
              <w:rPr>
                <w:sz w:val="20"/>
              </w:rPr>
              <w:t>14.18</w:t>
            </w:r>
          </w:p>
        </w:tc>
        <w:tc>
          <w:tcPr>
            <w:tcW w:w="1205" w:type="dxa"/>
          </w:tcPr>
          <w:p w:rsidR="007C5447" w:rsidRDefault="00F6308C">
            <w:pPr>
              <w:pStyle w:val="TableParagraph"/>
              <w:spacing w:before="46"/>
              <w:ind w:right="190"/>
              <w:rPr>
                <w:sz w:val="20"/>
              </w:rPr>
            </w:pPr>
            <w:r>
              <w:rPr>
                <w:sz w:val="20"/>
              </w:rPr>
              <w:t>14.09</w:t>
            </w:r>
          </w:p>
        </w:tc>
      </w:tr>
      <w:tr w:rsidR="007C5447">
        <w:trPr>
          <w:trHeight w:val="321"/>
        </w:trPr>
        <w:tc>
          <w:tcPr>
            <w:tcW w:w="703" w:type="dxa"/>
          </w:tcPr>
          <w:p w:rsidR="007C5447" w:rsidRDefault="00F6308C">
            <w:pPr>
              <w:pStyle w:val="TableParagraph"/>
              <w:spacing w:before="46"/>
              <w:ind w:left="107"/>
              <w:jc w:val="left"/>
              <w:rPr>
                <w:sz w:val="20"/>
              </w:rPr>
            </w:pPr>
            <w:r>
              <w:rPr>
                <w:w w:val="99"/>
                <w:sz w:val="20"/>
              </w:rPr>
              <w:t>7</w:t>
            </w:r>
          </w:p>
        </w:tc>
        <w:tc>
          <w:tcPr>
            <w:tcW w:w="2160" w:type="dxa"/>
          </w:tcPr>
          <w:p w:rsidR="007C5447" w:rsidRDefault="00F6308C">
            <w:pPr>
              <w:pStyle w:val="TableParagraph"/>
              <w:spacing w:before="46"/>
              <w:ind w:left="107"/>
              <w:jc w:val="left"/>
              <w:rPr>
                <w:sz w:val="20"/>
              </w:rPr>
            </w:pPr>
            <w:r>
              <w:rPr>
                <w:sz w:val="20"/>
              </w:rPr>
              <w:t>Tirumakottai GTPS</w:t>
            </w:r>
          </w:p>
        </w:tc>
        <w:tc>
          <w:tcPr>
            <w:tcW w:w="1202" w:type="dxa"/>
          </w:tcPr>
          <w:p w:rsidR="007C5447" w:rsidRDefault="00F6308C">
            <w:pPr>
              <w:pStyle w:val="TableParagraph"/>
              <w:spacing w:before="46"/>
              <w:ind w:left="648"/>
              <w:jc w:val="left"/>
              <w:rPr>
                <w:sz w:val="20"/>
              </w:rPr>
            </w:pPr>
            <w:r>
              <w:rPr>
                <w:sz w:val="20"/>
              </w:rPr>
              <w:t>0.41</w:t>
            </w:r>
          </w:p>
        </w:tc>
        <w:tc>
          <w:tcPr>
            <w:tcW w:w="1205" w:type="dxa"/>
          </w:tcPr>
          <w:p w:rsidR="007C5447" w:rsidRDefault="00F6308C">
            <w:pPr>
              <w:pStyle w:val="TableParagraph"/>
              <w:spacing w:before="46"/>
              <w:ind w:left="648"/>
              <w:jc w:val="left"/>
              <w:rPr>
                <w:sz w:val="20"/>
              </w:rPr>
            </w:pPr>
            <w:r>
              <w:rPr>
                <w:sz w:val="20"/>
              </w:rPr>
              <w:t>0.40</w:t>
            </w:r>
          </w:p>
        </w:tc>
        <w:tc>
          <w:tcPr>
            <w:tcW w:w="1205" w:type="dxa"/>
          </w:tcPr>
          <w:p w:rsidR="007C5447" w:rsidRDefault="00F6308C">
            <w:pPr>
              <w:pStyle w:val="TableParagraph"/>
              <w:spacing w:before="46"/>
              <w:ind w:left="649"/>
              <w:jc w:val="left"/>
              <w:rPr>
                <w:sz w:val="20"/>
              </w:rPr>
            </w:pPr>
            <w:r>
              <w:rPr>
                <w:sz w:val="20"/>
              </w:rPr>
              <w:t>0.29</w:t>
            </w:r>
          </w:p>
        </w:tc>
        <w:tc>
          <w:tcPr>
            <w:tcW w:w="1203" w:type="dxa"/>
          </w:tcPr>
          <w:p w:rsidR="007C5447" w:rsidRDefault="00F6308C">
            <w:pPr>
              <w:pStyle w:val="TableParagraph"/>
              <w:spacing w:before="46"/>
              <w:ind w:right="188"/>
              <w:rPr>
                <w:sz w:val="20"/>
              </w:rPr>
            </w:pPr>
            <w:r>
              <w:rPr>
                <w:sz w:val="20"/>
              </w:rPr>
              <w:t>0.36</w:t>
            </w:r>
          </w:p>
        </w:tc>
        <w:tc>
          <w:tcPr>
            <w:tcW w:w="1205" w:type="dxa"/>
          </w:tcPr>
          <w:p w:rsidR="007C5447" w:rsidRDefault="00F6308C">
            <w:pPr>
              <w:pStyle w:val="TableParagraph"/>
              <w:spacing w:before="46"/>
              <w:ind w:right="190"/>
              <w:rPr>
                <w:sz w:val="20"/>
              </w:rPr>
            </w:pPr>
            <w:r>
              <w:rPr>
                <w:sz w:val="20"/>
              </w:rPr>
              <w:t>0.52</w:t>
            </w:r>
          </w:p>
        </w:tc>
      </w:tr>
      <w:tr w:rsidR="007C5447">
        <w:trPr>
          <w:trHeight w:val="323"/>
        </w:trPr>
        <w:tc>
          <w:tcPr>
            <w:tcW w:w="703" w:type="dxa"/>
          </w:tcPr>
          <w:p w:rsidR="007C5447" w:rsidRDefault="00F6308C">
            <w:pPr>
              <w:pStyle w:val="TableParagraph"/>
              <w:spacing w:before="48"/>
              <w:ind w:left="107"/>
              <w:jc w:val="left"/>
              <w:rPr>
                <w:sz w:val="20"/>
              </w:rPr>
            </w:pPr>
            <w:r>
              <w:rPr>
                <w:w w:val="99"/>
                <w:sz w:val="20"/>
              </w:rPr>
              <w:t>8</w:t>
            </w:r>
          </w:p>
        </w:tc>
        <w:tc>
          <w:tcPr>
            <w:tcW w:w="2160" w:type="dxa"/>
          </w:tcPr>
          <w:p w:rsidR="007C5447" w:rsidRDefault="00F6308C">
            <w:pPr>
              <w:pStyle w:val="TableParagraph"/>
              <w:spacing w:before="48"/>
              <w:ind w:left="107"/>
              <w:jc w:val="left"/>
              <w:rPr>
                <w:sz w:val="20"/>
              </w:rPr>
            </w:pPr>
            <w:r>
              <w:rPr>
                <w:sz w:val="20"/>
              </w:rPr>
              <w:t>Kuttalam GTPS</w:t>
            </w:r>
          </w:p>
        </w:tc>
        <w:tc>
          <w:tcPr>
            <w:tcW w:w="1202" w:type="dxa"/>
          </w:tcPr>
          <w:p w:rsidR="007C5447" w:rsidRDefault="00F6308C">
            <w:pPr>
              <w:pStyle w:val="TableParagraph"/>
              <w:spacing w:before="48"/>
              <w:ind w:left="648"/>
              <w:jc w:val="left"/>
              <w:rPr>
                <w:sz w:val="20"/>
              </w:rPr>
            </w:pPr>
            <w:r>
              <w:rPr>
                <w:sz w:val="20"/>
              </w:rPr>
              <w:t>0.13</w:t>
            </w:r>
          </w:p>
        </w:tc>
        <w:tc>
          <w:tcPr>
            <w:tcW w:w="1205" w:type="dxa"/>
          </w:tcPr>
          <w:p w:rsidR="007C5447" w:rsidRDefault="00F6308C">
            <w:pPr>
              <w:pStyle w:val="TableParagraph"/>
              <w:spacing w:before="48"/>
              <w:ind w:left="648"/>
              <w:jc w:val="left"/>
              <w:rPr>
                <w:sz w:val="20"/>
              </w:rPr>
            </w:pPr>
            <w:r>
              <w:rPr>
                <w:sz w:val="20"/>
              </w:rPr>
              <w:t>0.18</w:t>
            </w:r>
          </w:p>
        </w:tc>
        <w:tc>
          <w:tcPr>
            <w:tcW w:w="1205" w:type="dxa"/>
          </w:tcPr>
          <w:p w:rsidR="007C5447" w:rsidRDefault="00F6308C">
            <w:pPr>
              <w:pStyle w:val="TableParagraph"/>
              <w:spacing w:before="48"/>
              <w:ind w:left="649"/>
              <w:jc w:val="left"/>
              <w:rPr>
                <w:sz w:val="20"/>
              </w:rPr>
            </w:pPr>
            <w:r>
              <w:rPr>
                <w:sz w:val="20"/>
              </w:rPr>
              <w:t>0.12</w:t>
            </w:r>
          </w:p>
        </w:tc>
        <w:tc>
          <w:tcPr>
            <w:tcW w:w="1203" w:type="dxa"/>
          </w:tcPr>
          <w:p w:rsidR="007C5447" w:rsidRDefault="00F6308C">
            <w:pPr>
              <w:pStyle w:val="TableParagraph"/>
              <w:spacing w:before="48"/>
              <w:ind w:right="188"/>
              <w:rPr>
                <w:sz w:val="20"/>
              </w:rPr>
            </w:pPr>
            <w:r>
              <w:rPr>
                <w:sz w:val="20"/>
              </w:rPr>
              <w:t>0.16</w:t>
            </w:r>
          </w:p>
        </w:tc>
        <w:tc>
          <w:tcPr>
            <w:tcW w:w="1205" w:type="dxa"/>
          </w:tcPr>
          <w:p w:rsidR="007C5447" w:rsidRDefault="00F6308C">
            <w:pPr>
              <w:pStyle w:val="TableParagraph"/>
              <w:spacing w:before="48"/>
              <w:ind w:right="190"/>
              <w:rPr>
                <w:sz w:val="20"/>
              </w:rPr>
            </w:pPr>
            <w:r>
              <w:rPr>
                <w:sz w:val="20"/>
              </w:rPr>
              <w:t>0.15</w:t>
            </w:r>
          </w:p>
        </w:tc>
      </w:tr>
      <w:tr w:rsidR="007C5447">
        <w:trPr>
          <w:trHeight w:val="323"/>
        </w:trPr>
        <w:tc>
          <w:tcPr>
            <w:tcW w:w="703" w:type="dxa"/>
          </w:tcPr>
          <w:p w:rsidR="007C5447" w:rsidRDefault="00F6308C">
            <w:pPr>
              <w:pStyle w:val="TableParagraph"/>
              <w:spacing w:before="48"/>
              <w:ind w:left="107"/>
              <w:jc w:val="left"/>
              <w:rPr>
                <w:sz w:val="20"/>
              </w:rPr>
            </w:pPr>
            <w:r>
              <w:rPr>
                <w:w w:val="99"/>
                <w:sz w:val="20"/>
              </w:rPr>
              <w:t>9</w:t>
            </w:r>
          </w:p>
        </w:tc>
        <w:tc>
          <w:tcPr>
            <w:tcW w:w="2160" w:type="dxa"/>
          </w:tcPr>
          <w:p w:rsidR="007C5447" w:rsidRDefault="00F6308C">
            <w:pPr>
              <w:pStyle w:val="TableParagraph"/>
              <w:spacing w:before="48"/>
              <w:ind w:left="107"/>
              <w:jc w:val="left"/>
              <w:rPr>
                <w:sz w:val="20"/>
              </w:rPr>
            </w:pPr>
            <w:r>
              <w:rPr>
                <w:sz w:val="20"/>
              </w:rPr>
              <w:t>Basin Bridge GTPS</w:t>
            </w:r>
          </w:p>
        </w:tc>
        <w:tc>
          <w:tcPr>
            <w:tcW w:w="1202" w:type="dxa"/>
          </w:tcPr>
          <w:p w:rsidR="007C5447" w:rsidRDefault="00F6308C">
            <w:pPr>
              <w:pStyle w:val="TableParagraph"/>
              <w:spacing w:before="48"/>
              <w:ind w:left="518"/>
              <w:jc w:val="left"/>
              <w:rPr>
                <w:sz w:val="20"/>
              </w:rPr>
            </w:pPr>
            <w:r>
              <w:rPr>
                <w:sz w:val="20"/>
              </w:rPr>
              <w:t>(0.01)</w:t>
            </w:r>
          </w:p>
        </w:tc>
        <w:tc>
          <w:tcPr>
            <w:tcW w:w="1205" w:type="dxa"/>
          </w:tcPr>
          <w:p w:rsidR="007C5447" w:rsidRDefault="00F6308C">
            <w:pPr>
              <w:pStyle w:val="TableParagraph"/>
              <w:spacing w:before="48"/>
              <w:ind w:right="189"/>
              <w:rPr>
                <w:sz w:val="20"/>
              </w:rPr>
            </w:pPr>
            <w:r>
              <w:rPr>
                <w:w w:val="99"/>
                <w:sz w:val="20"/>
              </w:rPr>
              <w:t>-</w:t>
            </w:r>
          </w:p>
        </w:tc>
        <w:tc>
          <w:tcPr>
            <w:tcW w:w="1205" w:type="dxa"/>
          </w:tcPr>
          <w:p w:rsidR="007C5447" w:rsidRDefault="00F6308C">
            <w:pPr>
              <w:pStyle w:val="TableParagraph"/>
              <w:spacing w:before="48"/>
              <w:ind w:right="189"/>
              <w:rPr>
                <w:sz w:val="20"/>
              </w:rPr>
            </w:pPr>
            <w:r>
              <w:rPr>
                <w:w w:val="99"/>
                <w:sz w:val="20"/>
              </w:rPr>
              <w:t>-</w:t>
            </w:r>
          </w:p>
        </w:tc>
        <w:tc>
          <w:tcPr>
            <w:tcW w:w="1203" w:type="dxa"/>
          </w:tcPr>
          <w:p w:rsidR="007C5447" w:rsidRDefault="00F6308C">
            <w:pPr>
              <w:pStyle w:val="TableParagraph"/>
              <w:spacing w:before="48"/>
              <w:ind w:right="189"/>
              <w:rPr>
                <w:sz w:val="20"/>
              </w:rPr>
            </w:pPr>
            <w:r>
              <w:rPr>
                <w:w w:val="99"/>
                <w:sz w:val="20"/>
              </w:rPr>
              <w:t>-</w:t>
            </w:r>
          </w:p>
        </w:tc>
        <w:tc>
          <w:tcPr>
            <w:tcW w:w="1205" w:type="dxa"/>
          </w:tcPr>
          <w:p w:rsidR="007C5447" w:rsidRDefault="00F6308C">
            <w:pPr>
              <w:pStyle w:val="TableParagraph"/>
              <w:spacing w:before="48"/>
              <w:ind w:right="192"/>
              <w:rPr>
                <w:sz w:val="20"/>
              </w:rPr>
            </w:pPr>
            <w:r>
              <w:rPr>
                <w:w w:val="99"/>
                <w:sz w:val="20"/>
              </w:rPr>
              <w:t>-</w:t>
            </w:r>
          </w:p>
        </w:tc>
      </w:tr>
      <w:tr w:rsidR="007C5447">
        <w:trPr>
          <w:trHeight w:val="323"/>
        </w:trPr>
        <w:tc>
          <w:tcPr>
            <w:tcW w:w="703" w:type="dxa"/>
          </w:tcPr>
          <w:p w:rsidR="007C5447" w:rsidRDefault="00F6308C">
            <w:pPr>
              <w:pStyle w:val="TableParagraph"/>
              <w:spacing w:before="46"/>
              <w:ind w:left="107"/>
              <w:jc w:val="left"/>
              <w:rPr>
                <w:sz w:val="20"/>
              </w:rPr>
            </w:pPr>
            <w:r>
              <w:rPr>
                <w:sz w:val="20"/>
              </w:rPr>
              <w:t>10</w:t>
            </w:r>
          </w:p>
        </w:tc>
        <w:tc>
          <w:tcPr>
            <w:tcW w:w="2160" w:type="dxa"/>
          </w:tcPr>
          <w:p w:rsidR="007C5447" w:rsidRDefault="00F6308C">
            <w:pPr>
              <w:pStyle w:val="TableParagraph"/>
              <w:spacing w:before="46"/>
              <w:ind w:left="107"/>
              <w:jc w:val="left"/>
              <w:rPr>
                <w:sz w:val="20"/>
              </w:rPr>
            </w:pPr>
            <w:r>
              <w:rPr>
                <w:sz w:val="20"/>
              </w:rPr>
              <w:t>Valuthur GTPS</w:t>
            </w:r>
          </w:p>
        </w:tc>
        <w:tc>
          <w:tcPr>
            <w:tcW w:w="1202" w:type="dxa"/>
          </w:tcPr>
          <w:p w:rsidR="007C5447" w:rsidRDefault="00F6308C">
            <w:pPr>
              <w:pStyle w:val="TableParagraph"/>
              <w:spacing w:before="46"/>
              <w:ind w:left="648"/>
              <w:jc w:val="left"/>
              <w:rPr>
                <w:sz w:val="20"/>
              </w:rPr>
            </w:pPr>
            <w:r>
              <w:rPr>
                <w:sz w:val="20"/>
              </w:rPr>
              <w:t>0.00</w:t>
            </w:r>
          </w:p>
        </w:tc>
        <w:tc>
          <w:tcPr>
            <w:tcW w:w="1205" w:type="dxa"/>
          </w:tcPr>
          <w:p w:rsidR="007C5447" w:rsidRDefault="00F6308C">
            <w:pPr>
              <w:pStyle w:val="TableParagraph"/>
              <w:spacing w:before="46"/>
              <w:ind w:right="189"/>
              <w:rPr>
                <w:sz w:val="20"/>
              </w:rPr>
            </w:pPr>
            <w:r>
              <w:rPr>
                <w:w w:val="99"/>
                <w:sz w:val="20"/>
              </w:rPr>
              <w:t>-</w:t>
            </w:r>
          </w:p>
        </w:tc>
        <w:tc>
          <w:tcPr>
            <w:tcW w:w="1205" w:type="dxa"/>
          </w:tcPr>
          <w:p w:rsidR="007C5447" w:rsidRDefault="00F6308C">
            <w:pPr>
              <w:pStyle w:val="TableParagraph"/>
              <w:spacing w:before="46"/>
              <w:ind w:right="189"/>
              <w:rPr>
                <w:sz w:val="20"/>
              </w:rPr>
            </w:pPr>
            <w:r>
              <w:rPr>
                <w:w w:val="99"/>
                <w:sz w:val="20"/>
              </w:rPr>
              <w:t>-</w:t>
            </w:r>
          </w:p>
        </w:tc>
        <w:tc>
          <w:tcPr>
            <w:tcW w:w="1203" w:type="dxa"/>
          </w:tcPr>
          <w:p w:rsidR="007C5447" w:rsidRDefault="00F6308C">
            <w:pPr>
              <w:pStyle w:val="TableParagraph"/>
              <w:spacing w:before="46"/>
              <w:ind w:right="189"/>
              <w:rPr>
                <w:sz w:val="20"/>
              </w:rPr>
            </w:pPr>
            <w:r>
              <w:rPr>
                <w:w w:val="99"/>
                <w:sz w:val="20"/>
              </w:rPr>
              <w:t>-</w:t>
            </w:r>
          </w:p>
        </w:tc>
        <w:tc>
          <w:tcPr>
            <w:tcW w:w="1205" w:type="dxa"/>
          </w:tcPr>
          <w:p w:rsidR="007C5447" w:rsidRDefault="00F6308C">
            <w:pPr>
              <w:pStyle w:val="TableParagraph"/>
              <w:spacing w:before="46"/>
              <w:ind w:right="192"/>
              <w:rPr>
                <w:sz w:val="20"/>
              </w:rPr>
            </w:pPr>
            <w:r>
              <w:rPr>
                <w:w w:val="99"/>
                <w:sz w:val="20"/>
              </w:rPr>
              <w:t>-</w:t>
            </w:r>
          </w:p>
        </w:tc>
      </w:tr>
      <w:tr w:rsidR="007C5447">
        <w:trPr>
          <w:trHeight w:val="321"/>
        </w:trPr>
        <w:tc>
          <w:tcPr>
            <w:tcW w:w="703" w:type="dxa"/>
          </w:tcPr>
          <w:p w:rsidR="007C5447" w:rsidRDefault="00F6308C">
            <w:pPr>
              <w:pStyle w:val="TableParagraph"/>
              <w:spacing w:before="46"/>
              <w:ind w:left="107"/>
              <w:jc w:val="left"/>
              <w:rPr>
                <w:sz w:val="20"/>
              </w:rPr>
            </w:pPr>
            <w:r>
              <w:rPr>
                <w:sz w:val="20"/>
              </w:rPr>
              <w:t>11</w:t>
            </w:r>
          </w:p>
        </w:tc>
        <w:tc>
          <w:tcPr>
            <w:tcW w:w="2160" w:type="dxa"/>
          </w:tcPr>
          <w:p w:rsidR="007C5447" w:rsidRDefault="00F6308C">
            <w:pPr>
              <w:pStyle w:val="TableParagraph"/>
              <w:spacing w:before="46"/>
              <w:ind w:left="107"/>
              <w:jc w:val="left"/>
              <w:rPr>
                <w:sz w:val="20"/>
              </w:rPr>
            </w:pPr>
            <w:r>
              <w:rPr>
                <w:sz w:val="20"/>
              </w:rPr>
              <w:t>Erode HEP</w:t>
            </w:r>
          </w:p>
        </w:tc>
        <w:tc>
          <w:tcPr>
            <w:tcW w:w="1202" w:type="dxa"/>
          </w:tcPr>
          <w:p w:rsidR="007C5447" w:rsidRDefault="00F6308C">
            <w:pPr>
              <w:pStyle w:val="TableParagraph"/>
              <w:spacing w:before="46"/>
              <w:ind w:left="648"/>
              <w:jc w:val="left"/>
              <w:rPr>
                <w:sz w:val="20"/>
              </w:rPr>
            </w:pPr>
            <w:r>
              <w:rPr>
                <w:sz w:val="20"/>
              </w:rPr>
              <w:t>0.10</w:t>
            </w:r>
          </w:p>
        </w:tc>
        <w:tc>
          <w:tcPr>
            <w:tcW w:w="1205" w:type="dxa"/>
          </w:tcPr>
          <w:p w:rsidR="007C5447" w:rsidRDefault="00F6308C">
            <w:pPr>
              <w:pStyle w:val="TableParagraph"/>
              <w:spacing w:before="46"/>
              <w:ind w:left="648"/>
              <w:jc w:val="left"/>
              <w:rPr>
                <w:sz w:val="20"/>
              </w:rPr>
            </w:pPr>
            <w:r>
              <w:rPr>
                <w:sz w:val="20"/>
              </w:rPr>
              <w:t>0.03</w:t>
            </w:r>
          </w:p>
        </w:tc>
        <w:tc>
          <w:tcPr>
            <w:tcW w:w="1205" w:type="dxa"/>
          </w:tcPr>
          <w:p w:rsidR="007C5447" w:rsidRDefault="00F6308C">
            <w:pPr>
              <w:pStyle w:val="TableParagraph"/>
              <w:spacing w:before="46"/>
              <w:ind w:left="649"/>
              <w:jc w:val="left"/>
              <w:rPr>
                <w:sz w:val="20"/>
              </w:rPr>
            </w:pPr>
            <w:r>
              <w:rPr>
                <w:sz w:val="20"/>
              </w:rPr>
              <w:t>0.13</w:t>
            </w:r>
          </w:p>
        </w:tc>
        <w:tc>
          <w:tcPr>
            <w:tcW w:w="1203" w:type="dxa"/>
          </w:tcPr>
          <w:p w:rsidR="007C5447" w:rsidRDefault="00F6308C">
            <w:pPr>
              <w:pStyle w:val="TableParagraph"/>
              <w:spacing w:before="46"/>
              <w:ind w:right="188"/>
              <w:rPr>
                <w:sz w:val="20"/>
              </w:rPr>
            </w:pPr>
            <w:r>
              <w:rPr>
                <w:sz w:val="20"/>
              </w:rPr>
              <w:t>0.12</w:t>
            </w:r>
          </w:p>
        </w:tc>
        <w:tc>
          <w:tcPr>
            <w:tcW w:w="1205" w:type="dxa"/>
          </w:tcPr>
          <w:p w:rsidR="007C5447" w:rsidRDefault="00F6308C">
            <w:pPr>
              <w:pStyle w:val="TableParagraph"/>
              <w:spacing w:before="46"/>
              <w:ind w:right="190"/>
              <w:rPr>
                <w:sz w:val="20"/>
              </w:rPr>
            </w:pPr>
            <w:r>
              <w:rPr>
                <w:sz w:val="20"/>
              </w:rPr>
              <w:t>0.08</w:t>
            </w:r>
          </w:p>
        </w:tc>
      </w:tr>
      <w:tr w:rsidR="007C5447">
        <w:trPr>
          <w:trHeight w:val="323"/>
        </w:trPr>
        <w:tc>
          <w:tcPr>
            <w:tcW w:w="703" w:type="dxa"/>
          </w:tcPr>
          <w:p w:rsidR="007C5447" w:rsidRDefault="00F6308C">
            <w:pPr>
              <w:pStyle w:val="TableParagraph"/>
              <w:spacing w:before="48"/>
              <w:ind w:left="107"/>
              <w:jc w:val="left"/>
              <w:rPr>
                <w:sz w:val="20"/>
              </w:rPr>
            </w:pPr>
            <w:r>
              <w:rPr>
                <w:sz w:val="20"/>
              </w:rPr>
              <w:t>12</w:t>
            </w:r>
          </w:p>
        </w:tc>
        <w:tc>
          <w:tcPr>
            <w:tcW w:w="2160" w:type="dxa"/>
          </w:tcPr>
          <w:p w:rsidR="007C5447" w:rsidRDefault="00F6308C">
            <w:pPr>
              <w:pStyle w:val="TableParagraph"/>
              <w:spacing w:before="48"/>
              <w:ind w:left="107"/>
              <w:jc w:val="left"/>
              <w:rPr>
                <w:sz w:val="20"/>
              </w:rPr>
            </w:pPr>
            <w:r>
              <w:rPr>
                <w:sz w:val="20"/>
              </w:rPr>
              <w:t>Kadamparai HEP</w:t>
            </w:r>
          </w:p>
        </w:tc>
        <w:tc>
          <w:tcPr>
            <w:tcW w:w="1202" w:type="dxa"/>
          </w:tcPr>
          <w:p w:rsidR="007C5447" w:rsidRDefault="00F6308C">
            <w:pPr>
              <w:pStyle w:val="TableParagraph"/>
              <w:spacing w:before="48"/>
              <w:ind w:left="648"/>
              <w:jc w:val="left"/>
              <w:rPr>
                <w:sz w:val="20"/>
              </w:rPr>
            </w:pPr>
            <w:r>
              <w:rPr>
                <w:sz w:val="20"/>
              </w:rPr>
              <w:t>2.90</w:t>
            </w:r>
          </w:p>
        </w:tc>
        <w:tc>
          <w:tcPr>
            <w:tcW w:w="1205" w:type="dxa"/>
          </w:tcPr>
          <w:p w:rsidR="007C5447" w:rsidRDefault="00F6308C">
            <w:pPr>
              <w:pStyle w:val="TableParagraph"/>
              <w:spacing w:before="48"/>
              <w:ind w:left="648"/>
              <w:jc w:val="left"/>
              <w:rPr>
                <w:sz w:val="20"/>
              </w:rPr>
            </w:pPr>
            <w:r>
              <w:rPr>
                <w:sz w:val="20"/>
              </w:rPr>
              <w:t>0.96</w:t>
            </w:r>
          </w:p>
        </w:tc>
        <w:tc>
          <w:tcPr>
            <w:tcW w:w="1205" w:type="dxa"/>
          </w:tcPr>
          <w:p w:rsidR="007C5447" w:rsidRDefault="00F6308C">
            <w:pPr>
              <w:pStyle w:val="TableParagraph"/>
              <w:spacing w:before="48"/>
              <w:ind w:left="649"/>
              <w:jc w:val="left"/>
              <w:rPr>
                <w:sz w:val="20"/>
              </w:rPr>
            </w:pPr>
            <w:r>
              <w:rPr>
                <w:sz w:val="20"/>
              </w:rPr>
              <w:t>2.10</w:t>
            </w:r>
          </w:p>
        </w:tc>
        <w:tc>
          <w:tcPr>
            <w:tcW w:w="1203" w:type="dxa"/>
          </w:tcPr>
          <w:p w:rsidR="007C5447" w:rsidRDefault="00F6308C">
            <w:pPr>
              <w:pStyle w:val="TableParagraph"/>
              <w:spacing w:before="48"/>
              <w:ind w:right="188"/>
              <w:rPr>
                <w:sz w:val="20"/>
              </w:rPr>
            </w:pPr>
            <w:r>
              <w:rPr>
                <w:sz w:val="20"/>
              </w:rPr>
              <w:t>1.66</w:t>
            </w:r>
          </w:p>
        </w:tc>
        <w:tc>
          <w:tcPr>
            <w:tcW w:w="1205" w:type="dxa"/>
          </w:tcPr>
          <w:p w:rsidR="007C5447" w:rsidRDefault="00F6308C">
            <w:pPr>
              <w:pStyle w:val="TableParagraph"/>
              <w:spacing w:before="48"/>
              <w:ind w:right="190"/>
              <w:rPr>
                <w:sz w:val="20"/>
              </w:rPr>
            </w:pPr>
            <w:r>
              <w:rPr>
                <w:sz w:val="20"/>
              </w:rPr>
              <w:t>1.76</w:t>
            </w:r>
          </w:p>
        </w:tc>
      </w:tr>
      <w:tr w:rsidR="007C5447">
        <w:trPr>
          <w:trHeight w:val="324"/>
        </w:trPr>
        <w:tc>
          <w:tcPr>
            <w:tcW w:w="703" w:type="dxa"/>
          </w:tcPr>
          <w:p w:rsidR="007C5447" w:rsidRDefault="00F6308C">
            <w:pPr>
              <w:pStyle w:val="TableParagraph"/>
              <w:spacing w:before="49"/>
              <w:ind w:left="107"/>
              <w:jc w:val="left"/>
              <w:rPr>
                <w:sz w:val="20"/>
              </w:rPr>
            </w:pPr>
            <w:r>
              <w:rPr>
                <w:sz w:val="20"/>
              </w:rPr>
              <w:t>13</w:t>
            </w:r>
          </w:p>
        </w:tc>
        <w:tc>
          <w:tcPr>
            <w:tcW w:w="2160" w:type="dxa"/>
          </w:tcPr>
          <w:p w:rsidR="007C5447" w:rsidRDefault="00F6308C">
            <w:pPr>
              <w:pStyle w:val="TableParagraph"/>
              <w:spacing w:before="49"/>
              <w:ind w:left="107"/>
              <w:jc w:val="left"/>
              <w:rPr>
                <w:sz w:val="20"/>
              </w:rPr>
            </w:pPr>
            <w:r>
              <w:rPr>
                <w:sz w:val="20"/>
              </w:rPr>
              <w:t>Kundah HEP</w:t>
            </w:r>
          </w:p>
        </w:tc>
        <w:tc>
          <w:tcPr>
            <w:tcW w:w="1202" w:type="dxa"/>
          </w:tcPr>
          <w:p w:rsidR="007C5447" w:rsidRDefault="00F6308C">
            <w:pPr>
              <w:pStyle w:val="TableParagraph"/>
              <w:spacing w:before="49"/>
              <w:ind w:left="648"/>
              <w:jc w:val="left"/>
              <w:rPr>
                <w:sz w:val="20"/>
              </w:rPr>
            </w:pPr>
            <w:r>
              <w:rPr>
                <w:sz w:val="20"/>
              </w:rPr>
              <w:t>7.91</w:t>
            </w:r>
          </w:p>
        </w:tc>
        <w:tc>
          <w:tcPr>
            <w:tcW w:w="1205" w:type="dxa"/>
          </w:tcPr>
          <w:p w:rsidR="007C5447" w:rsidRDefault="00F6308C">
            <w:pPr>
              <w:pStyle w:val="TableParagraph"/>
              <w:spacing w:before="49"/>
              <w:ind w:left="648"/>
              <w:jc w:val="left"/>
              <w:rPr>
                <w:sz w:val="20"/>
              </w:rPr>
            </w:pPr>
            <w:r>
              <w:rPr>
                <w:sz w:val="20"/>
              </w:rPr>
              <w:t>9.21</w:t>
            </w:r>
          </w:p>
        </w:tc>
        <w:tc>
          <w:tcPr>
            <w:tcW w:w="1205" w:type="dxa"/>
          </w:tcPr>
          <w:p w:rsidR="007C5447" w:rsidRDefault="00F6308C">
            <w:pPr>
              <w:pStyle w:val="TableParagraph"/>
              <w:spacing w:before="49"/>
              <w:ind w:left="649"/>
              <w:jc w:val="left"/>
              <w:rPr>
                <w:sz w:val="20"/>
              </w:rPr>
            </w:pPr>
            <w:r>
              <w:rPr>
                <w:sz w:val="20"/>
              </w:rPr>
              <w:t>9.93</w:t>
            </w:r>
          </w:p>
        </w:tc>
        <w:tc>
          <w:tcPr>
            <w:tcW w:w="1203" w:type="dxa"/>
          </w:tcPr>
          <w:p w:rsidR="007C5447" w:rsidRDefault="00F6308C">
            <w:pPr>
              <w:pStyle w:val="TableParagraph"/>
              <w:spacing w:before="49"/>
              <w:ind w:right="188"/>
              <w:rPr>
                <w:sz w:val="20"/>
              </w:rPr>
            </w:pPr>
            <w:r>
              <w:rPr>
                <w:sz w:val="20"/>
              </w:rPr>
              <w:t>11.00</w:t>
            </w:r>
          </w:p>
        </w:tc>
        <w:tc>
          <w:tcPr>
            <w:tcW w:w="1205" w:type="dxa"/>
          </w:tcPr>
          <w:p w:rsidR="007C5447" w:rsidRDefault="00F6308C">
            <w:pPr>
              <w:pStyle w:val="TableParagraph"/>
              <w:spacing w:before="49"/>
              <w:ind w:right="190"/>
              <w:rPr>
                <w:sz w:val="20"/>
              </w:rPr>
            </w:pPr>
            <w:r>
              <w:rPr>
                <w:sz w:val="20"/>
              </w:rPr>
              <w:t>9.06</w:t>
            </w:r>
          </w:p>
        </w:tc>
      </w:tr>
      <w:tr w:rsidR="007C5447">
        <w:trPr>
          <w:trHeight w:val="323"/>
        </w:trPr>
        <w:tc>
          <w:tcPr>
            <w:tcW w:w="703" w:type="dxa"/>
          </w:tcPr>
          <w:p w:rsidR="007C5447" w:rsidRDefault="00F6308C">
            <w:pPr>
              <w:pStyle w:val="TableParagraph"/>
              <w:spacing w:before="46"/>
              <w:ind w:left="107"/>
              <w:jc w:val="left"/>
              <w:rPr>
                <w:sz w:val="20"/>
              </w:rPr>
            </w:pPr>
            <w:r>
              <w:rPr>
                <w:sz w:val="20"/>
              </w:rPr>
              <w:t>14</w:t>
            </w:r>
          </w:p>
        </w:tc>
        <w:tc>
          <w:tcPr>
            <w:tcW w:w="2160" w:type="dxa"/>
          </w:tcPr>
          <w:p w:rsidR="007C5447" w:rsidRDefault="00F6308C">
            <w:pPr>
              <w:pStyle w:val="TableParagraph"/>
              <w:spacing w:before="46"/>
              <w:ind w:left="107"/>
              <w:jc w:val="left"/>
              <w:rPr>
                <w:sz w:val="20"/>
              </w:rPr>
            </w:pPr>
            <w:r>
              <w:rPr>
                <w:sz w:val="20"/>
              </w:rPr>
              <w:t>Tirunelveli HEP</w:t>
            </w:r>
          </w:p>
        </w:tc>
        <w:tc>
          <w:tcPr>
            <w:tcW w:w="1202" w:type="dxa"/>
          </w:tcPr>
          <w:p w:rsidR="007C5447" w:rsidRDefault="00F6308C">
            <w:pPr>
              <w:pStyle w:val="TableParagraph"/>
              <w:spacing w:before="46"/>
              <w:ind w:left="648"/>
              <w:jc w:val="left"/>
              <w:rPr>
                <w:sz w:val="20"/>
              </w:rPr>
            </w:pPr>
            <w:r>
              <w:rPr>
                <w:sz w:val="20"/>
              </w:rPr>
              <w:t>2.87</w:t>
            </w:r>
          </w:p>
        </w:tc>
        <w:tc>
          <w:tcPr>
            <w:tcW w:w="1205" w:type="dxa"/>
          </w:tcPr>
          <w:p w:rsidR="007C5447" w:rsidRDefault="00F6308C">
            <w:pPr>
              <w:pStyle w:val="TableParagraph"/>
              <w:spacing w:before="46"/>
              <w:ind w:left="648"/>
              <w:jc w:val="left"/>
              <w:rPr>
                <w:sz w:val="20"/>
              </w:rPr>
            </w:pPr>
            <w:r>
              <w:rPr>
                <w:sz w:val="20"/>
              </w:rPr>
              <w:t>1.98</w:t>
            </w:r>
          </w:p>
        </w:tc>
        <w:tc>
          <w:tcPr>
            <w:tcW w:w="1205" w:type="dxa"/>
          </w:tcPr>
          <w:p w:rsidR="007C5447" w:rsidRDefault="00F6308C">
            <w:pPr>
              <w:pStyle w:val="TableParagraph"/>
              <w:spacing w:before="46"/>
              <w:ind w:left="649"/>
              <w:jc w:val="left"/>
              <w:rPr>
                <w:sz w:val="20"/>
              </w:rPr>
            </w:pPr>
            <w:r>
              <w:rPr>
                <w:sz w:val="20"/>
              </w:rPr>
              <w:t>3.11</w:t>
            </w:r>
          </w:p>
        </w:tc>
        <w:tc>
          <w:tcPr>
            <w:tcW w:w="1203" w:type="dxa"/>
          </w:tcPr>
          <w:p w:rsidR="007C5447" w:rsidRDefault="00F6308C">
            <w:pPr>
              <w:pStyle w:val="TableParagraph"/>
              <w:spacing w:before="46"/>
              <w:ind w:right="188"/>
              <w:rPr>
                <w:sz w:val="20"/>
              </w:rPr>
            </w:pPr>
            <w:r>
              <w:rPr>
                <w:sz w:val="20"/>
              </w:rPr>
              <w:t>2.75</w:t>
            </w:r>
          </w:p>
        </w:tc>
        <w:tc>
          <w:tcPr>
            <w:tcW w:w="1205" w:type="dxa"/>
          </w:tcPr>
          <w:p w:rsidR="007C5447" w:rsidRDefault="00F6308C">
            <w:pPr>
              <w:pStyle w:val="TableParagraph"/>
              <w:spacing w:before="46"/>
              <w:ind w:right="190"/>
              <w:rPr>
                <w:sz w:val="20"/>
              </w:rPr>
            </w:pPr>
            <w:r>
              <w:rPr>
                <w:sz w:val="20"/>
              </w:rPr>
              <w:t>2.69</w:t>
            </w:r>
          </w:p>
        </w:tc>
      </w:tr>
      <w:tr w:rsidR="007C5447">
        <w:trPr>
          <w:trHeight w:val="321"/>
        </w:trPr>
        <w:tc>
          <w:tcPr>
            <w:tcW w:w="703" w:type="dxa"/>
          </w:tcPr>
          <w:p w:rsidR="007C5447" w:rsidRDefault="00F6308C">
            <w:pPr>
              <w:pStyle w:val="TableParagraph"/>
              <w:spacing w:before="46"/>
              <w:ind w:left="107"/>
              <w:jc w:val="left"/>
              <w:rPr>
                <w:b/>
                <w:sz w:val="20"/>
              </w:rPr>
            </w:pPr>
            <w:r>
              <w:rPr>
                <w:b/>
                <w:sz w:val="20"/>
              </w:rPr>
              <w:t>15</w:t>
            </w:r>
          </w:p>
        </w:tc>
        <w:tc>
          <w:tcPr>
            <w:tcW w:w="2160" w:type="dxa"/>
          </w:tcPr>
          <w:p w:rsidR="007C5447" w:rsidRDefault="00F6308C">
            <w:pPr>
              <w:pStyle w:val="TableParagraph"/>
              <w:spacing w:before="46"/>
              <w:ind w:left="107"/>
              <w:jc w:val="left"/>
              <w:rPr>
                <w:b/>
                <w:sz w:val="20"/>
              </w:rPr>
            </w:pPr>
            <w:r>
              <w:rPr>
                <w:b/>
                <w:sz w:val="20"/>
              </w:rPr>
              <w:t>Total Generation</w:t>
            </w:r>
          </w:p>
        </w:tc>
        <w:tc>
          <w:tcPr>
            <w:tcW w:w="1202" w:type="dxa"/>
          </w:tcPr>
          <w:p w:rsidR="007C5447" w:rsidRDefault="00F6308C">
            <w:pPr>
              <w:pStyle w:val="TableParagraph"/>
              <w:spacing w:before="46"/>
              <w:ind w:left="550"/>
              <w:jc w:val="left"/>
              <w:rPr>
                <w:b/>
                <w:sz w:val="20"/>
              </w:rPr>
            </w:pPr>
            <w:r>
              <w:rPr>
                <w:b/>
                <w:sz w:val="20"/>
              </w:rPr>
              <w:t>61.91</w:t>
            </w:r>
          </w:p>
        </w:tc>
        <w:tc>
          <w:tcPr>
            <w:tcW w:w="1205" w:type="dxa"/>
          </w:tcPr>
          <w:p w:rsidR="007C5447" w:rsidRDefault="00F6308C">
            <w:pPr>
              <w:pStyle w:val="TableParagraph"/>
              <w:spacing w:before="46"/>
              <w:ind w:left="550"/>
              <w:jc w:val="left"/>
              <w:rPr>
                <w:b/>
                <w:sz w:val="20"/>
              </w:rPr>
            </w:pPr>
            <w:r>
              <w:rPr>
                <w:b/>
                <w:sz w:val="20"/>
              </w:rPr>
              <w:t>71.68</w:t>
            </w:r>
          </w:p>
        </w:tc>
        <w:tc>
          <w:tcPr>
            <w:tcW w:w="1205" w:type="dxa"/>
          </w:tcPr>
          <w:p w:rsidR="007C5447" w:rsidRDefault="00F6308C">
            <w:pPr>
              <w:pStyle w:val="TableParagraph"/>
              <w:spacing w:before="46"/>
              <w:ind w:left="550"/>
              <w:jc w:val="left"/>
              <w:rPr>
                <w:b/>
                <w:sz w:val="20"/>
              </w:rPr>
            </w:pPr>
            <w:r>
              <w:rPr>
                <w:b/>
                <w:sz w:val="20"/>
              </w:rPr>
              <w:t>94.83</w:t>
            </w:r>
          </w:p>
        </w:tc>
        <w:tc>
          <w:tcPr>
            <w:tcW w:w="1203" w:type="dxa"/>
          </w:tcPr>
          <w:p w:rsidR="007C5447" w:rsidRDefault="00F6308C">
            <w:pPr>
              <w:pStyle w:val="TableParagraph"/>
              <w:spacing w:before="46"/>
              <w:ind w:right="188"/>
              <w:rPr>
                <w:b/>
                <w:sz w:val="20"/>
              </w:rPr>
            </w:pPr>
            <w:r>
              <w:rPr>
                <w:b/>
                <w:w w:val="95"/>
                <w:sz w:val="20"/>
              </w:rPr>
              <w:t>109.18</w:t>
            </w:r>
          </w:p>
        </w:tc>
        <w:tc>
          <w:tcPr>
            <w:tcW w:w="1205" w:type="dxa"/>
          </w:tcPr>
          <w:p w:rsidR="007C5447" w:rsidRDefault="00F6308C">
            <w:pPr>
              <w:pStyle w:val="TableParagraph"/>
              <w:spacing w:before="46"/>
              <w:ind w:right="190"/>
              <w:rPr>
                <w:b/>
                <w:sz w:val="20"/>
              </w:rPr>
            </w:pPr>
            <w:r>
              <w:rPr>
                <w:b/>
                <w:w w:val="95"/>
                <w:sz w:val="20"/>
              </w:rPr>
              <w:t>104.37</w:t>
            </w:r>
          </w:p>
        </w:tc>
      </w:tr>
      <w:tr w:rsidR="007C5447">
        <w:trPr>
          <w:trHeight w:val="323"/>
        </w:trPr>
        <w:tc>
          <w:tcPr>
            <w:tcW w:w="703" w:type="dxa"/>
          </w:tcPr>
          <w:p w:rsidR="007C5447" w:rsidRDefault="00F6308C">
            <w:pPr>
              <w:pStyle w:val="TableParagraph"/>
              <w:spacing w:before="48"/>
              <w:ind w:left="107"/>
              <w:jc w:val="left"/>
              <w:rPr>
                <w:b/>
                <w:sz w:val="20"/>
              </w:rPr>
            </w:pPr>
            <w:r>
              <w:rPr>
                <w:b/>
                <w:sz w:val="20"/>
              </w:rPr>
              <w:t>16</w:t>
            </w:r>
          </w:p>
        </w:tc>
        <w:tc>
          <w:tcPr>
            <w:tcW w:w="2160" w:type="dxa"/>
          </w:tcPr>
          <w:p w:rsidR="007C5447" w:rsidRDefault="00F6308C">
            <w:pPr>
              <w:pStyle w:val="TableParagraph"/>
              <w:spacing w:before="48"/>
              <w:ind w:left="107"/>
              <w:jc w:val="left"/>
              <w:rPr>
                <w:b/>
                <w:sz w:val="20"/>
              </w:rPr>
            </w:pPr>
            <w:r>
              <w:rPr>
                <w:b/>
                <w:sz w:val="20"/>
              </w:rPr>
              <w:t>Distribution</w:t>
            </w:r>
          </w:p>
        </w:tc>
        <w:tc>
          <w:tcPr>
            <w:tcW w:w="1202" w:type="dxa"/>
          </w:tcPr>
          <w:p w:rsidR="007C5447" w:rsidRDefault="00F6308C">
            <w:pPr>
              <w:pStyle w:val="TableParagraph"/>
              <w:spacing w:before="48"/>
              <w:ind w:left="648"/>
              <w:jc w:val="left"/>
              <w:rPr>
                <w:b/>
                <w:sz w:val="20"/>
              </w:rPr>
            </w:pPr>
            <w:r>
              <w:rPr>
                <w:b/>
                <w:sz w:val="20"/>
              </w:rPr>
              <w:t>2.22</w:t>
            </w:r>
          </w:p>
        </w:tc>
        <w:tc>
          <w:tcPr>
            <w:tcW w:w="1205" w:type="dxa"/>
          </w:tcPr>
          <w:p w:rsidR="007C5447" w:rsidRDefault="00F6308C">
            <w:pPr>
              <w:pStyle w:val="TableParagraph"/>
              <w:spacing w:before="48"/>
              <w:ind w:left="648"/>
              <w:jc w:val="left"/>
              <w:rPr>
                <w:b/>
                <w:sz w:val="20"/>
              </w:rPr>
            </w:pPr>
            <w:r>
              <w:rPr>
                <w:b/>
                <w:sz w:val="20"/>
              </w:rPr>
              <w:t>0.13</w:t>
            </w:r>
          </w:p>
        </w:tc>
        <w:tc>
          <w:tcPr>
            <w:tcW w:w="1205" w:type="dxa"/>
          </w:tcPr>
          <w:p w:rsidR="007C5447" w:rsidRDefault="00F6308C">
            <w:pPr>
              <w:pStyle w:val="TableParagraph"/>
              <w:spacing w:before="48"/>
              <w:ind w:left="649"/>
              <w:jc w:val="left"/>
              <w:rPr>
                <w:b/>
                <w:sz w:val="20"/>
              </w:rPr>
            </w:pPr>
            <w:r>
              <w:rPr>
                <w:b/>
                <w:sz w:val="20"/>
              </w:rPr>
              <w:t>0.08</w:t>
            </w:r>
          </w:p>
        </w:tc>
        <w:tc>
          <w:tcPr>
            <w:tcW w:w="1203" w:type="dxa"/>
          </w:tcPr>
          <w:p w:rsidR="007C5447" w:rsidRDefault="00F6308C">
            <w:pPr>
              <w:pStyle w:val="TableParagraph"/>
              <w:spacing w:before="48"/>
              <w:ind w:right="189"/>
              <w:rPr>
                <w:b/>
                <w:sz w:val="20"/>
              </w:rPr>
            </w:pPr>
            <w:r>
              <w:rPr>
                <w:b/>
                <w:w w:val="99"/>
                <w:sz w:val="20"/>
              </w:rPr>
              <w:t>-</w:t>
            </w:r>
          </w:p>
        </w:tc>
        <w:tc>
          <w:tcPr>
            <w:tcW w:w="1205" w:type="dxa"/>
          </w:tcPr>
          <w:p w:rsidR="007C5447" w:rsidRDefault="00F6308C">
            <w:pPr>
              <w:pStyle w:val="TableParagraph"/>
              <w:spacing w:before="48"/>
              <w:ind w:right="192"/>
              <w:rPr>
                <w:b/>
                <w:sz w:val="20"/>
              </w:rPr>
            </w:pPr>
            <w:r>
              <w:rPr>
                <w:b/>
                <w:w w:val="99"/>
                <w:sz w:val="20"/>
              </w:rPr>
              <w:t>-</w:t>
            </w:r>
          </w:p>
        </w:tc>
      </w:tr>
      <w:tr w:rsidR="007C5447">
        <w:trPr>
          <w:trHeight w:val="323"/>
        </w:trPr>
        <w:tc>
          <w:tcPr>
            <w:tcW w:w="703" w:type="dxa"/>
          </w:tcPr>
          <w:p w:rsidR="007C5447" w:rsidRDefault="00F6308C">
            <w:pPr>
              <w:pStyle w:val="TableParagraph"/>
              <w:spacing w:before="48"/>
              <w:ind w:left="107"/>
              <w:jc w:val="left"/>
              <w:rPr>
                <w:b/>
                <w:sz w:val="20"/>
              </w:rPr>
            </w:pPr>
            <w:r>
              <w:rPr>
                <w:b/>
                <w:sz w:val="20"/>
              </w:rPr>
              <w:t>17</w:t>
            </w:r>
          </w:p>
        </w:tc>
        <w:tc>
          <w:tcPr>
            <w:tcW w:w="2160" w:type="dxa"/>
          </w:tcPr>
          <w:p w:rsidR="007C5447" w:rsidRDefault="00F6308C">
            <w:pPr>
              <w:pStyle w:val="TableParagraph"/>
              <w:spacing w:before="48"/>
              <w:ind w:left="107"/>
              <w:jc w:val="left"/>
              <w:rPr>
                <w:b/>
                <w:sz w:val="20"/>
              </w:rPr>
            </w:pPr>
            <w:r>
              <w:rPr>
                <w:b/>
                <w:sz w:val="20"/>
              </w:rPr>
              <w:t>Total TANGEDCO</w:t>
            </w:r>
          </w:p>
        </w:tc>
        <w:tc>
          <w:tcPr>
            <w:tcW w:w="1202" w:type="dxa"/>
          </w:tcPr>
          <w:p w:rsidR="007C5447" w:rsidRDefault="00F6308C">
            <w:pPr>
              <w:pStyle w:val="TableParagraph"/>
              <w:spacing w:before="48"/>
              <w:ind w:left="550"/>
              <w:jc w:val="left"/>
              <w:rPr>
                <w:b/>
                <w:sz w:val="20"/>
              </w:rPr>
            </w:pPr>
            <w:r>
              <w:rPr>
                <w:b/>
                <w:sz w:val="20"/>
              </w:rPr>
              <w:t>64.13</w:t>
            </w:r>
          </w:p>
        </w:tc>
        <w:tc>
          <w:tcPr>
            <w:tcW w:w="1205" w:type="dxa"/>
          </w:tcPr>
          <w:p w:rsidR="007C5447" w:rsidRDefault="00F6308C">
            <w:pPr>
              <w:pStyle w:val="TableParagraph"/>
              <w:spacing w:before="48"/>
              <w:ind w:left="550"/>
              <w:jc w:val="left"/>
              <w:rPr>
                <w:b/>
                <w:sz w:val="20"/>
              </w:rPr>
            </w:pPr>
            <w:r>
              <w:rPr>
                <w:b/>
                <w:sz w:val="20"/>
              </w:rPr>
              <w:t>71.82</w:t>
            </w:r>
          </w:p>
        </w:tc>
        <w:tc>
          <w:tcPr>
            <w:tcW w:w="1205" w:type="dxa"/>
          </w:tcPr>
          <w:p w:rsidR="007C5447" w:rsidRDefault="00F6308C">
            <w:pPr>
              <w:pStyle w:val="TableParagraph"/>
              <w:spacing w:before="48"/>
              <w:ind w:left="550"/>
              <w:jc w:val="left"/>
              <w:rPr>
                <w:b/>
                <w:sz w:val="20"/>
              </w:rPr>
            </w:pPr>
            <w:r>
              <w:rPr>
                <w:b/>
                <w:sz w:val="20"/>
              </w:rPr>
              <w:t>94.91</w:t>
            </w:r>
          </w:p>
        </w:tc>
        <w:tc>
          <w:tcPr>
            <w:tcW w:w="1203" w:type="dxa"/>
          </w:tcPr>
          <w:p w:rsidR="007C5447" w:rsidRDefault="00F6308C">
            <w:pPr>
              <w:pStyle w:val="TableParagraph"/>
              <w:spacing w:before="48"/>
              <w:ind w:right="188"/>
              <w:rPr>
                <w:b/>
                <w:sz w:val="20"/>
              </w:rPr>
            </w:pPr>
            <w:r>
              <w:rPr>
                <w:b/>
                <w:w w:val="95"/>
                <w:sz w:val="20"/>
              </w:rPr>
              <w:t>109.18</w:t>
            </w:r>
          </w:p>
        </w:tc>
        <w:tc>
          <w:tcPr>
            <w:tcW w:w="1205" w:type="dxa"/>
          </w:tcPr>
          <w:p w:rsidR="007C5447" w:rsidRDefault="00F6308C">
            <w:pPr>
              <w:pStyle w:val="TableParagraph"/>
              <w:spacing w:before="48"/>
              <w:ind w:right="190"/>
              <w:rPr>
                <w:b/>
                <w:sz w:val="20"/>
              </w:rPr>
            </w:pPr>
            <w:r>
              <w:rPr>
                <w:b/>
                <w:w w:val="95"/>
                <w:sz w:val="20"/>
              </w:rPr>
              <w:t>104.37</w:t>
            </w:r>
          </w:p>
        </w:tc>
      </w:tr>
    </w:tbl>
    <w:p w:rsidR="007C5447" w:rsidRDefault="007C5447">
      <w:pPr>
        <w:pStyle w:val="BodyText"/>
        <w:spacing w:before="11"/>
        <w:rPr>
          <w:b/>
          <w:sz w:val="12"/>
        </w:rPr>
      </w:pPr>
    </w:p>
    <w:p w:rsidR="007C5447" w:rsidRDefault="00F6308C">
      <w:pPr>
        <w:pStyle w:val="Heading2"/>
        <w:spacing w:before="90"/>
        <w:ind w:left="1532"/>
      </w:pPr>
      <w:r>
        <w:t>Commission’s Views</w:t>
      </w:r>
    </w:p>
    <w:p w:rsidR="007C5447" w:rsidRDefault="00F6308C">
      <w:pPr>
        <w:pStyle w:val="ListParagraph"/>
        <w:numPr>
          <w:ilvl w:val="2"/>
          <w:numId w:val="92"/>
        </w:numPr>
        <w:tabs>
          <w:tab w:val="left" w:pos="1533"/>
        </w:tabs>
        <w:spacing w:before="204" w:line="312" w:lineRule="auto"/>
        <w:ind w:right="1353"/>
        <w:jc w:val="both"/>
        <w:rPr>
          <w:sz w:val="24"/>
        </w:rPr>
      </w:pPr>
      <w:r>
        <w:rPr>
          <w:sz w:val="24"/>
        </w:rPr>
        <w:t>It is clarified that the Operating Charges and Extra-Ordinary Items claimed by TANGEDCO separately, are actually a part of the normative O&amp;M expenses, and have been considered there, as discussed earlier in this Chapter. Hence, the Operating Charges and Ex</w:t>
      </w:r>
      <w:r>
        <w:rPr>
          <w:sz w:val="24"/>
        </w:rPr>
        <w:t>tra-Ordinary Items have not been allowed</w:t>
      </w:r>
      <w:r>
        <w:rPr>
          <w:spacing w:val="-10"/>
          <w:sz w:val="24"/>
        </w:rPr>
        <w:t xml:space="preserve"> </w:t>
      </w:r>
      <w:r>
        <w:rPr>
          <w:sz w:val="24"/>
        </w:rPr>
        <w:t>separately.</w:t>
      </w:r>
    </w:p>
    <w:p w:rsidR="007C5447" w:rsidRDefault="007C5447">
      <w:pPr>
        <w:pStyle w:val="BodyText"/>
        <w:spacing w:before="10"/>
        <w:rPr>
          <w:sz w:val="20"/>
        </w:rPr>
      </w:pPr>
    </w:p>
    <w:p w:rsidR="007C5447" w:rsidRDefault="00F6308C">
      <w:pPr>
        <w:pStyle w:val="Heading2"/>
        <w:numPr>
          <w:ilvl w:val="1"/>
          <w:numId w:val="92"/>
        </w:numPr>
        <w:tabs>
          <w:tab w:val="left" w:pos="1247"/>
        </w:tabs>
        <w:jc w:val="left"/>
      </w:pPr>
      <w:bookmarkStart w:id="48" w:name="_bookmark48"/>
      <w:bookmarkEnd w:id="48"/>
      <w:r>
        <w:t>Prior Period</w:t>
      </w:r>
      <w:r>
        <w:rPr>
          <w:spacing w:val="1"/>
        </w:rPr>
        <w:t xml:space="preserve"> </w:t>
      </w:r>
      <w:r>
        <w:t>Items</w:t>
      </w:r>
    </w:p>
    <w:p w:rsidR="007C5447" w:rsidRDefault="007C5447">
      <w:pPr>
        <w:pStyle w:val="BodyText"/>
        <w:rPr>
          <w:b/>
          <w:sz w:val="28"/>
        </w:rPr>
      </w:pPr>
    </w:p>
    <w:p w:rsidR="007C5447" w:rsidRDefault="00F6308C">
      <w:pPr>
        <w:pStyle w:val="ListParagraph"/>
        <w:numPr>
          <w:ilvl w:val="2"/>
          <w:numId w:val="92"/>
        </w:numPr>
        <w:tabs>
          <w:tab w:val="left" w:pos="1533"/>
        </w:tabs>
        <w:spacing w:line="312" w:lineRule="auto"/>
        <w:ind w:right="1356"/>
        <w:jc w:val="both"/>
        <w:rPr>
          <w:sz w:val="24"/>
        </w:rPr>
      </w:pPr>
      <w:r>
        <w:rPr>
          <w:sz w:val="24"/>
        </w:rPr>
        <w:t xml:space="preserve">TANGEDCO submitted that the prior period items are mainly on account of payments made relating to power purchase, revision in tariff payments and fuel price adjustment to Central Generating Stations. </w:t>
      </w:r>
      <w:r>
        <w:rPr>
          <w:spacing w:val="-3"/>
          <w:sz w:val="24"/>
        </w:rPr>
        <w:t xml:space="preserve">It </w:t>
      </w:r>
      <w:r>
        <w:rPr>
          <w:sz w:val="24"/>
        </w:rPr>
        <w:t>also includes employee cost, interest and other admin</w:t>
      </w:r>
      <w:r>
        <w:rPr>
          <w:sz w:val="24"/>
        </w:rPr>
        <w:t>istrative expenses relating to prior period. TANGEDCO has claimed Prior Period (Income)/Expense of Rs. 577.23 Crore, Rs. 1701.28 Crore, Rs. 36.31 Crore, Rs. (270.03) Crore and Rs. (1443.47) Crore for FY 2011-12, FY 2012-13, FY 2013-14, FY 2014-15, and FY 2</w:t>
      </w:r>
      <w:r>
        <w:rPr>
          <w:sz w:val="24"/>
        </w:rPr>
        <w:t>015-16,</w:t>
      </w:r>
      <w:r>
        <w:rPr>
          <w:spacing w:val="-1"/>
          <w:sz w:val="24"/>
        </w:rPr>
        <w:t xml:space="preserve"> </w:t>
      </w:r>
      <w:r>
        <w:rPr>
          <w:sz w:val="24"/>
        </w:rPr>
        <w:t>respectively.</w:t>
      </w:r>
    </w:p>
    <w:p w:rsidR="007C5447" w:rsidRDefault="007C5447">
      <w:pPr>
        <w:pStyle w:val="BodyText"/>
        <w:spacing w:before="10"/>
        <w:rPr>
          <w:sz w:val="20"/>
        </w:rPr>
      </w:pPr>
    </w:p>
    <w:p w:rsidR="007C5447" w:rsidRDefault="00F6308C">
      <w:pPr>
        <w:pStyle w:val="Heading2"/>
        <w:ind w:left="1532"/>
      </w:pPr>
      <w:r>
        <w:t>Commission’s Views</w:t>
      </w:r>
    </w:p>
    <w:p w:rsidR="007C5447" w:rsidRDefault="00F6308C">
      <w:pPr>
        <w:pStyle w:val="ListParagraph"/>
        <w:numPr>
          <w:ilvl w:val="2"/>
          <w:numId w:val="92"/>
        </w:numPr>
        <w:tabs>
          <w:tab w:val="left" w:pos="1533"/>
        </w:tabs>
        <w:spacing w:before="204" w:line="312" w:lineRule="auto"/>
        <w:ind w:right="1356"/>
        <w:jc w:val="both"/>
        <w:rPr>
          <w:sz w:val="24"/>
        </w:rPr>
      </w:pPr>
      <w:r>
        <w:rPr>
          <w:sz w:val="24"/>
        </w:rPr>
        <w:t>In the previous Tariff Orders, the Commission has not considered the Prior Period (Income)/Expenses. However, as the Prior Period (Income)/Expense claimed by TANGEDCO were very high, the Commission asked TANGEDCO t</w:t>
      </w:r>
      <w:r>
        <w:rPr>
          <w:sz w:val="24"/>
        </w:rPr>
        <w:t>o submit details of Prior Period (Income)/Expenses along with identification of the year to which these</w:t>
      </w:r>
      <w:r>
        <w:rPr>
          <w:spacing w:val="9"/>
          <w:sz w:val="24"/>
        </w:rPr>
        <w:t xml:space="preserve"> </w:t>
      </w:r>
      <w:r>
        <w:rPr>
          <w:sz w:val="24"/>
        </w:rPr>
        <w:t>entries</w:t>
      </w:r>
      <w:r>
        <w:rPr>
          <w:spacing w:val="11"/>
          <w:sz w:val="24"/>
        </w:rPr>
        <w:t xml:space="preserve"> </w:t>
      </w:r>
      <w:r>
        <w:rPr>
          <w:sz w:val="24"/>
        </w:rPr>
        <w:t>pertain.</w:t>
      </w:r>
      <w:r>
        <w:rPr>
          <w:spacing w:val="13"/>
          <w:sz w:val="24"/>
        </w:rPr>
        <w:t xml:space="preserve"> </w:t>
      </w:r>
      <w:r>
        <w:rPr>
          <w:sz w:val="24"/>
        </w:rPr>
        <w:t>In</w:t>
      </w:r>
      <w:r>
        <w:rPr>
          <w:spacing w:val="10"/>
          <w:sz w:val="24"/>
        </w:rPr>
        <w:t xml:space="preserve"> </w:t>
      </w:r>
      <w:r>
        <w:rPr>
          <w:sz w:val="24"/>
        </w:rPr>
        <w:t>reply,</w:t>
      </w:r>
      <w:r>
        <w:rPr>
          <w:spacing w:val="10"/>
          <w:sz w:val="24"/>
        </w:rPr>
        <w:t xml:space="preserve"> </w:t>
      </w:r>
      <w:r>
        <w:rPr>
          <w:sz w:val="24"/>
        </w:rPr>
        <w:t>TANGEDCO</w:t>
      </w:r>
      <w:r>
        <w:rPr>
          <w:spacing w:val="11"/>
          <w:sz w:val="24"/>
        </w:rPr>
        <w:t xml:space="preserve"> </w:t>
      </w:r>
      <w:r>
        <w:rPr>
          <w:sz w:val="24"/>
        </w:rPr>
        <w:t>submitted</w:t>
      </w:r>
      <w:r>
        <w:rPr>
          <w:spacing w:val="10"/>
          <w:sz w:val="24"/>
        </w:rPr>
        <w:t xml:space="preserve"> </w:t>
      </w:r>
      <w:r>
        <w:rPr>
          <w:sz w:val="24"/>
        </w:rPr>
        <w:t>the</w:t>
      </w:r>
      <w:r>
        <w:rPr>
          <w:spacing w:val="10"/>
          <w:sz w:val="24"/>
        </w:rPr>
        <w:t xml:space="preserve"> </w:t>
      </w:r>
      <w:r>
        <w:rPr>
          <w:sz w:val="24"/>
        </w:rPr>
        <w:t>complete</w:t>
      </w:r>
      <w:r>
        <w:rPr>
          <w:spacing w:val="10"/>
          <w:sz w:val="24"/>
        </w:rPr>
        <w:t xml:space="preserve"> </w:t>
      </w:r>
      <w:r>
        <w:rPr>
          <w:sz w:val="24"/>
        </w:rPr>
        <w:t>details</w:t>
      </w:r>
      <w:r>
        <w:rPr>
          <w:spacing w:val="11"/>
          <w:sz w:val="24"/>
        </w:rPr>
        <w:t xml:space="preserve"> </w:t>
      </w:r>
      <w:r>
        <w:rPr>
          <w:sz w:val="24"/>
        </w:rPr>
        <w:t>only</w:t>
      </w:r>
      <w:r>
        <w:rPr>
          <w:spacing w:val="4"/>
          <w:sz w:val="24"/>
        </w:rPr>
        <w:t xml:space="preserve"> </w:t>
      </w:r>
      <w:r>
        <w:rPr>
          <w:sz w:val="24"/>
        </w:rPr>
        <w:t>for</w:t>
      </w:r>
    </w:p>
    <w:p w:rsidR="007C5447" w:rsidRDefault="007C5447">
      <w:pPr>
        <w:spacing w:line="312" w:lineRule="auto"/>
        <w:jc w:val="both"/>
        <w:rPr>
          <w:sz w:val="24"/>
        </w:rPr>
        <w:sectPr w:rsidR="007C5447">
          <w:pgSz w:w="11910" w:h="16840"/>
          <w:pgMar w:top="1420" w:right="80" w:bottom="1240" w:left="760" w:header="0" w:footer="1057" w:gutter="0"/>
          <w:cols w:space="720"/>
        </w:sectPr>
      </w:pPr>
    </w:p>
    <w:p w:rsidR="007C5447" w:rsidRDefault="00F6308C">
      <w:pPr>
        <w:pStyle w:val="BodyText"/>
        <w:spacing w:before="60"/>
        <w:ind w:left="1532"/>
      </w:pPr>
      <w:r>
        <w:lastRenderedPageBreak/>
        <w:t>FY 2014-15 and partial details for FY 2015-16.</w:t>
      </w:r>
    </w:p>
    <w:p w:rsidR="007C5447" w:rsidRDefault="007C5447">
      <w:pPr>
        <w:pStyle w:val="BodyText"/>
        <w:rPr>
          <w:sz w:val="28"/>
        </w:rPr>
      </w:pPr>
    </w:p>
    <w:p w:rsidR="007C5447" w:rsidRDefault="00F6308C">
      <w:pPr>
        <w:pStyle w:val="ListParagraph"/>
        <w:numPr>
          <w:ilvl w:val="2"/>
          <w:numId w:val="92"/>
        </w:numPr>
        <w:tabs>
          <w:tab w:val="left" w:pos="1533"/>
        </w:tabs>
        <w:spacing w:line="312" w:lineRule="auto"/>
        <w:ind w:right="1357"/>
        <w:jc w:val="both"/>
        <w:rPr>
          <w:sz w:val="24"/>
        </w:rPr>
      </w:pPr>
      <w:r>
        <w:rPr>
          <w:sz w:val="24"/>
        </w:rPr>
        <w:t>The Commission has analysed the details and justification for Net Prior Period expenses/(income). The Commission has considered the treatment of prior period items based on the treatment allowed to that parti</w:t>
      </w:r>
      <w:r>
        <w:rPr>
          <w:sz w:val="24"/>
        </w:rPr>
        <w:t>cular item in the true-up of the year to which the expenses/(income) pertain. The Commission has disallowed the prior period expenses/(income) towards depreciation and interest and finance charges since, these expenses had not been allowed by the Commissio</w:t>
      </w:r>
      <w:r>
        <w:rPr>
          <w:sz w:val="24"/>
        </w:rPr>
        <w:t xml:space="preserve">n based on audited accounts. The Commission in the past Orders had allowed depreciation and Interest and finance charges based on its own computations. </w:t>
      </w:r>
      <w:r>
        <w:rPr>
          <w:spacing w:val="-3"/>
          <w:sz w:val="24"/>
        </w:rPr>
        <w:t xml:space="preserve">In </w:t>
      </w:r>
      <w:r>
        <w:rPr>
          <w:sz w:val="24"/>
        </w:rPr>
        <w:t>cases, where the expenses/(income) have been allowed on actuals earlier, then the prior period expens</w:t>
      </w:r>
      <w:r>
        <w:rPr>
          <w:sz w:val="24"/>
        </w:rPr>
        <w:t>es/(income) have been accepted. The Prior period Expenses/(Income) approved by the Commission after true-up for FY 2011-12 to FY 2015-16 are given in the Tables</w:t>
      </w:r>
      <w:r>
        <w:rPr>
          <w:spacing w:val="-2"/>
          <w:sz w:val="24"/>
        </w:rPr>
        <w:t xml:space="preserve"> </w:t>
      </w:r>
      <w:r>
        <w:rPr>
          <w:sz w:val="24"/>
        </w:rPr>
        <w:t>below:</w:t>
      </w:r>
    </w:p>
    <w:p w:rsidR="007C5447" w:rsidRDefault="007C5447">
      <w:pPr>
        <w:pStyle w:val="BodyText"/>
        <w:spacing w:before="2"/>
        <w:rPr>
          <w:sz w:val="21"/>
        </w:rPr>
      </w:pPr>
    </w:p>
    <w:p w:rsidR="007C5447" w:rsidRDefault="00F6308C">
      <w:pPr>
        <w:spacing w:line="312" w:lineRule="auto"/>
        <w:ind w:left="3580" w:right="1436" w:hanging="2823"/>
        <w:rPr>
          <w:b/>
        </w:rPr>
      </w:pPr>
      <w:r>
        <w:rPr>
          <w:b/>
        </w:rPr>
        <w:t>Table 3-32: Prior Period Expenses/(Income) approved by the Commission after true up for</w:t>
      </w:r>
      <w:r>
        <w:rPr>
          <w:b/>
        </w:rPr>
        <w:t xml:space="preserve"> FY 2011-12 to FY 2013-14 (Rs. Crore)</w:t>
      </w:r>
    </w:p>
    <w:p w:rsidR="007C5447" w:rsidRDefault="007C5447">
      <w:pPr>
        <w:pStyle w:val="BodyText"/>
        <w:spacing w:before="4"/>
        <w:rPr>
          <w:b/>
          <w:sz w:val="10"/>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0"/>
        <w:gridCol w:w="1414"/>
        <w:gridCol w:w="1425"/>
        <w:gridCol w:w="1392"/>
        <w:gridCol w:w="1240"/>
        <w:gridCol w:w="1392"/>
        <w:gridCol w:w="1413"/>
      </w:tblGrid>
      <w:tr w:rsidR="007C5447">
        <w:trPr>
          <w:trHeight w:val="251"/>
        </w:trPr>
        <w:tc>
          <w:tcPr>
            <w:tcW w:w="2040" w:type="dxa"/>
            <w:vMerge w:val="restart"/>
            <w:shd w:val="clear" w:color="auto" w:fill="FBD4B4"/>
          </w:tcPr>
          <w:p w:rsidR="007C5447" w:rsidRDefault="00F6308C">
            <w:pPr>
              <w:pStyle w:val="TableParagraph"/>
              <w:spacing w:before="146"/>
              <w:ind w:left="146"/>
              <w:jc w:val="left"/>
              <w:rPr>
                <w:b/>
                <w:sz w:val="18"/>
              </w:rPr>
            </w:pPr>
            <w:r>
              <w:rPr>
                <w:b/>
                <w:sz w:val="18"/>
              </w:rPr>
              <w:t>Particulars</w:t>
            </w:r>
          </w:p>
        </w:tc>
        <w:tc>
          <w:tcPr>
            <w:tcW w:w="2839" w:type="dxa"/>
            <w:gridSpan w:val="2"/>
            <w:shd w:val="clear" w:color="auto" w:fill="FBD4B4"/>
          </w:tcPr>
          <w:p w:rsidR="007C5447" w:rsidRDefault="00F6308C">
            <w:pPr>
              <w:pStyle w:val="TableParagraph"/>
              <w:spacing w:before="23"/>
              <w:ind w:left="963" w:right="940"/>
              <w:jc w:val="center"/>
              <w:rPr>
                <w:b/>
                <w:sz w:val="18"/>
              </w:rPr>
            </w:pPr>
            <w:r>
              <w:rPr>
                <w:b/>
                <w:sz w:val="18"/>
              </w:rPr>
              <w:t>FY 2011-12</w:t>
            </w:r>
          </w:p>
        </w:tc>
        <w:tc>
          <w:tcPr>
            <w:tcW w:w="2632" w:type="dxa"/>
            <w:gridSpan w:val="2"/>
            <w:shd w:val="clear" w:color="auto" w:fill="FBD4B4"/>
          </w:tcPr>
          <w:p w:rsidR="007C5447" w:rsidRDefault="00F6308C">
            <w:pPr>
              <w:pStyle w:val="TableParagraph"/>
              <w:spacing w:before="23"/>
              <w:ind w:left="879"/>
              <w:jc w:val="left"/>
              <w:rPr>
                <w:b/>
                <w:sz w:val="18"/>
              </w:rPr>
            </w:pPr>
            <w:r>
              <w:rPr>
                <w:b/>
                <w:sz w:val="18"/>
              </w:rPr>
              <w:t>FY 2012-13</w:t>
            </w:r>
          </w:p>
        </w:tc>
        <w:tc>
          <w:tcPr>
            <w:tcW w:w="2805" w:type="dxa"/>
            <w:gridSpan w:val="2"/>
            <w:shd w:val="clear" w:color="auto" w:fill="FBD4B4"/>
          </w:tcPr>
          <w:p w:rsidR="007C5447" w:rsidRDefault="00F6308C">
            <w:pPr>
              <w:pStyle w:val="TableParagraph"/>
              <w:spacing w:before="23"/>
              <w:ind w:left="941" w:right="928"/>
              <w:jc w:val="center"/>
              <w:rPr>
                <w:b/>
                <w:sz w:val="18"/>
              </w:rPr>
            </w:pPr>
            <w:r>
              <w:rPr>
                <w:b/>
                <w:sz w:val="18"/>
              </w:rPr>
              <w:t>FY 2013-14</w:t>
            </w:r>
          </w:p>
        </w:tc>
      </w:tr>
      <w:tr w:rsidR="007C5447">
        <w:trPr>
          <w:trHeight w:val="443"/>
        </w:trPr>
        <w:tc>
          <w:tcPr>
            <w:tcW w:w="2040" w:type="dxa"/>
            <w:vMerge/>
            <w:tcBorders>
              <w:top w:val="nil"/>
            </w:tcBorders>
            <w:shd w:val="clear" w:color="auto" w:fill="FBD4B4"/>
          </w:tcPr>
          <w:p w:rsidR="007C5447" w:rsidRDefault="007C5447">
            <w:pPr>
              <w:rPr>
                <w:sz w:val="2"/>
                <w:szCs w:val="2"/>
              </w:rPr>
            </w:pPr>
          </w:p>
        </w:tc>
        <w:tc>
          <w:tcPr>
            <w:tcW w:w="1414" w:type="dxa"/>
            <w:shd w:val="clear" w:color="auto" w:fill="FBD4B4"/>
          </w:tcPr>
          <w:p w:rsidR="007C5447" w:rsidRDefault="00F6308C">
            <w:pPr>
              <w:pStyle w:val="TableParagraph"/>
              <w:spacing w:before="117"/>
              <w:ind w:left="187"/>
              <w:jc w:val="left"/>
              <w:rPr>
                <w:b/>
                <w:sz w:val="18"/>
              </w:rPr>
            </w:pPr>
            <w:r>
              <w:rPr>
                <w:b/>
                <w:sz w:val="18"/>
              </w:rPr>
              <w:t>TANGEDCO</w:t>
            </w:r>
          </w:p>
        </w:tc>
        <w:tc>
          <w:tcPr>
            <w:tcW w:w="1425" w:type="dxa"/>
            <w:shd w:val="clear" w:color="auto" w:fill="FBD4B4"/>
          </w:tcPr>
          <w:p w:rsidR="007C5447" w:rsidRDefault="00F6308C">
            <w:pPr>
              <w:pStyle w:val="TableParagraph"/>
              <w:spacing w:before="17" w:line="206" w:lineRule="exact"/>
              <w:ind w:left="430" w:right="90" w:hanging="310"/>
              <w:jc w:val="left"/>
              <w:rPr>
                <w:b/>
                <w:sz w:val="18"/>
              </w:rPr>
            </w:pPr>
            <w:r>
              <w:rPr>
                <w:b/>
                <w:sz w:val="18"/>
              </w:rPr>
              <w:t>Approved after true up</w:t>
            </w:r>
          </w:p>
        </w:tc>
        <w:tc>
          <w:tcPr>
            <w:tcW w:w="1392" w:type="dxa"/>
            <w:shd w:val="clear" w:color="auto" w:fill="FBD4B4"/>
          </w:tcPr>
          <w:p w:rsidR="007C5447" w:rsidRDefault="00F6308C">
            <w:pPr>
              <w:pStyle w:val="TableParagraph"/>
              <w:spacing w:before="117"/>
              <w:ind w:right="166"/>
              <w:rPr>
                <w:b/>
                <w:sz w:val="18"/>
              </w:rPr>
            </w:pPr>
            <w:r>
              <w:rPr>
                <w:b/>
                <w:sz w:val="18"/>
              </w:rPr>
              <w:t>TANGEDCO</w:t>
            </w:r>
          </w:p>
        </w:tc>
        <w:tc>
          <w:tcPr>
            <w:tcW w:w="1240" w:type="dxa"/>
            <w:shd w:val="clear" w:color="auto" w:fill="FBD4B4"/>
          </w:tcPr>
          <w:p w:rsidR="007C5447" w:rsidRDefault="00F6308C">
            <w:pPr>
              <w:pStyle w:val="TableParagraph"/>
              <w:spacing w:before="17" w:line="206" w:lineRule="exact"/>
              <w:ind w:left="131" w:right="99" w:firstLine="105"/>
              <w:jc w:val="left"/>
              <w:rPr>
                <w:b/>
                <w:sz w:val="18"/>
              </w:rPr>
            </w:pPr>
            <w:r>
              <w:rPr>
                <w:b/>
                <w:sz w:val="18"/>
              </w:rPr>
              <w:t>Approved after true up</w:t>
            </w:r>
          </w:p>
        </w:tc>
        <w:tc>
          <w:tcPr>
            <w:tcW w:w="1392" w:type="dxa"/>
            <w:shd w:val="clear" w:color="auto" w:fill="FBD4B4"/>
          </w:tcPr>
          <w:p w:rsidR="007C5447" w:rsidRDefault="00F6308C">
            <w:pPr>
              <w:pStyle w:val="TableParagraph"/>
              <w:spacing w:before="117"/>
              <w:ind w:left="177"/>
              <w:jc w:val="left"/>
              <w:rPr>
                <w:b/>
                <w:sz w:val="18"/>
              </w:rPr>
            </w:pPr>
            <w:r>
              <w:rPr>
                <w:b/>
                <w:sz w:val="18"/>
              </w:rPr>
              <w:t>TANGEDCO</w:t>
            </w:r>
          </w:p>
        </w:tc>
        <w:tc>
          <w:tcPr>
            <w:tcW w:w="1413" w:type="dxa"/>
            <w:shd w:val="clear" w:color="auto" w:fill="FBD4B4"/>
          </w:tcPr>
          <w:p w:rsidR="007C5447" w:rsidRDefault="00F6308C">
            <w:pPr>
              <w:pStyle w:val="TableParagraph"/>
              <w:spacing w:before="17" w:line="206" w:lineRule="exact"/>
              <w:ind w:left="425" w:right="83" w:hanging="310"/>
              <w:jc w:val="left"/>
              <w:rPr>
                <w:b/>
                <w:sz w:val="18"/>
              </w:rPr>
            </w:pPr>
            <w:r>
              <w:rPr>
                <w:b/>
                <w:sz w:val="18"/>
              </w:rPr>
              <w:t>Approved after true up</w:t>
            </w:r>
          </w:p>
        </w:tc>
      </w:tr>
      <w:tr w:rsidR="007C5447">
        <w:trPr>
          <w:trHeight w:val="354"/>
        </w:trPr>
        <w:tc>
          <w:tcPr>
            <w:tcW w:w="2040" w:type="dxa"/>
          </w:tcPr>
          <w:p w:rsidR="007C5447" w:rsidRDefault="00F6308C">
            <w:pPr>
              <w:pStyle w:val="TableParagraph"/>
              <w:spacing w:before="74"/>
              <w:ind w:left="107"/>
              <w:jc w:val="left"/>
              <w:rPr>
                <w:b/>
                <w:sz w:val="18"/>
              </w:rPr>
            </w:pPr>
            <w:r>
              <w:rPr>
                <w:b/>
                <w:sz w:val="18"/>
              </w:rPr>
              <w:t>Prior Period Income</w:t>
            </w:r>
          </w:p>
        </w:tc>
        <w:tc>
          <w:tcPr>
            <w:tcW w:w="1414" w:type="dxa"/>
          </w:tcPr>
          <w:p w:rsidR="007C5447" w:rsidRDefault="007C5447">
            <w:pPr>
              <w:pStyle w:val="TableParagraph"/>
              <w:jc w:val="left"/>
              <w:rPr>
                <w:sz w:val="20"/>
              </w:rPr>
            </w:pPr>
          </w:p>
        </w:tc>
        <w:tc>
          <w:tcPr>
            <w:tcW w:w="1425" w:type="dxa"/>
          </w:tcPr>
          <w:p w:rsidR="007C5447" w:rsidRDefault="007C5447">
            <w:pPr>
              <w:pStyle w:val="TableParagraph"/>
              <w:jc w:val="left"/>
              <w:rPr>
                <w:sz w:val="20"/>
              </w:rPr>
            </w:pPr>
          </w:p>
        </w:tc>
        <w:tc>
          <w:tcPr>
            <w:tcW w:w="1392" w:type="dxa"/>
          </w:tcPr>
          <w:p w:rsidR="007C5447" w:rsidRDefault="007C5447">
            <w:pPr>
              <w:pStyle w:val="TableParagraph"/>
              <w:jc w:val="left"/>
              <w:rPr>
                <w:sz w:val="20"/>
              </w:rPr>
            </w:pPr>
          </w:p>
        </w:tc>
        <w:tc>
          <w:tcPr>
            <w:tcW w:w="1240" w:type="dxa"/>
          </w:tcPr>
          <w:p w:rsidR="007C5447" w:rsidRDefault="007C5447">
            <w:pPr>
              <w:pStyle w:val="TableParagraph"/>
              <w:jc w:val="left"/>
              <w:rPr>
                <w:sz w:val="20"/>
              </w:rPr>
            </w:pPr>
          </w:p>
        </w:tc>
        <w:tc>
          <w:tcPr>
            <w:tcW w:w="1392" w:type="dxa"/>
          </w:tcPr>
          <w:p w:rsidR="007C5447" w:rsidRDefault="007C5447">
            <w:pPr>
              <w:pStyle w:val="TableParagraph"/>
              <w:jc w:val="left"/>
              <w:rPr>
                <w:sz w:val="20"/>
              </w:rPr>
            </w:pPr>
          </w:p>
        </w:tc>
        <w:tc>
          <w:tcPr>
            <w:tcW w:w="1413" w:type="dxa"/>
          </w:tcPr>
          <w:p w:rsidR="007C5447" w:rsidRDefault="007C5447">
            <w:pPr>
              <w:pStyle w:val="TableParagraph"/>
              <w:jc w:val="left"/>
              <w:rPr>
                <w:sz w:val="20"/>
              </w:rPr>
            </w:pPr>
          </w:p>
        </w:tc>
      </w:tr>
      <w:tr w:rsidR="007C5447">
        <w:trPr>
          <w:trHeight w:val="352"/>
        </w:trPr>
        <w:tc>
          <w:tcPr>
            <w:tcW w:w="2040" w:type="dxa"/>
          </w:tcPr>
          <w:p w:rsidR="007C5447" w:rsidRDefault="00F6308C">
            <w:pPr>
              <w:pStyle w:val="TableParagraph"/>
              <w:spacing w:before="71"/>
              <w:ind w:left="107"/>
              <w:jc w:val="left"/>
              <w:rPr>
                <w:sz w:val="18"/>
              </w:rPr>
            </w:pPr>
            <w:r>
              <w:rPr>
                <w:sz w:val="18"/>
              </w:rPr>
              <w:t>Fuel Related Gains</w:t>
            </w:r>
          </w:p>
        </w:tc>
        <w:tc>
          <w:tcPr>
            <w:tcW w:w="1414" w:type="dxa"/>
          </w:tcPr>
          <w:p w:rsidR="007C5447" w:rsidRDefault="00F6308C">
            <w:pPr>
              <w:pStyle w:val="TableParagraph"/>
              <w:spacing w:before="71"/>
              <w:ind w:right="97"/>
              <w:rPr>
                <w:sz w:val="18"/>
              </w:rPr>
            </w:pPr>
            <w:r>
              <w:rPr>
                <w:sz w:val="18"/>
              </w:rPr>
              <w:t>5.47</w:t>
            </w:r>
          </w:p>
        </w:tc>
        <w:tc>
          <w:tcPr>
            <w:tcW w:w="1425" w:type="dxa"/>
          </w:tcPr>
          <w:p w:rsidR="007C5447" w:rsidRDefault="00F6308C">
            <w:pPr>
              <w:pStyle w:val="TableParagraph"/>
              <w:spacing w:before="71"/>
              <w:ind w:right="94"/>
              <w:rPr>
                <w:sz w:val="18"/>
              </w:rPr>
            </w:pPr>
            <w:r>
              <w:rPr>
                <w:sz w:val="18"/>
              </w:rPr>
              <w:t>98.94</w:t>
            </w:r>
          </w:p>
        </w:tc>
        <w:tc>
          <w:tcPr>
            <w:tcW w:w="1392" w:type="dxa"/>
          </w:tcPr>
          <w:p w:rsidR="007C5447" w:rsidRDefault="00F6308C">
            <w:pPr>
              <w:pStyle w:val="TableParagraph"/>
              <w:spacing w:before="71"/>
              <w:ind w:right="94"/>
              <w:rPr>
                <w:sz w:val="18"/>
              </w:rPr>
            </w:pPr>
            <w:r>
              <w:rPr>
                <w:w w:val="99"/>
                <w:sz w:val="18"/>
              </w:rPr>
              <w:t>-</w:t>
            </w:r>
          </w:p>
        </w:tc>
        <w:tc>
          <w:tcPr>
            <w:tcW w:w="1240" w:type="dxa"/>
          </w:tcPr>
          <w:p w:rsidR="007C5447" w:rsidRDefault="00F6308C">
            <w:pPr>
              <w:pStyle w:val="TableParagraph"/>
              <w:spacing w:before="71"/>
              <w:ind w:right="93"/>
              <w:rPr>
                <w:sz w:val="18"/>
              </w:rPr>
            </w:pPr>
            <w:r>
              <w:rPr>
                <w:w w:val="99"/>
                <w:sz w:val="18"/>
              </w:rPr>
              <w:t>-</w:t>
            </w:r>
          </w:p>
        </w:tc>
        <w:tc>
          <w:tcPr>
            <w:tcW w:w="1392" w:type="dxa"/>
          </w:tcPr>
          <w:p w:rsidR="007C5447" w:rsidRDefault="00F6308C">
            <w:pPr>
              <w:pStyle w:val="TableParagraph"/>
              <w:spacing w:before="71"/>
              <w:ind w:right="94"/>
              <w:rPr>
                <w:sz w:val="18"/>
              </w:rPr>
            </w:pPr>
            <w:r>
              <w:rPr>
                <w:sz w:val="18"/>
              </w:rPr>
              <w:t>7.18</w:t>
            </w:r>
          </w:p>
        </w:tc>
        <w:tc>
          <w:tcPr>
            <w:tcW w:w="1413" w:type="dxa"/>
          </w:tcPr>
          <w:p w:rsidR="007C5447" w:rsidRDefault="00F6308C">
            <w:pPr>
              <w:pStyle w:val="TableParagraph"/>
              <w:spacing w:before="71"/>
              <w:ind w:right="96"/>
              <w:rPr>
                <w:sz w:val="18"/>
              </w:rPr>
            </w:pPr>
            <w:r>
              <w:rPr>
                <w:sz w:val="18"/>
              </w:rPr>
              <w:t>7.18</w:t>
            </w:r>
          </w:p>
        </w:tc>
      </w:tr>
      <w:tr w:rsidR="007C5447">
        <w:trPr>
          <w:trHeight w:val="355"/>
        </w:trPr>
        <w:tc>
          <w:tcPr>
            <w:tcW w:w="2040" w:type="dxa"/>
          </w:tcPr>
          <w:p w:rsidR="007C5447" w:rsidRDefault="00F6308C">
            <w:pPr>
              <w:pStyle w:val="TableParagraph"/>
              <w:spacing w:before="74"/>
              <w:ind w:left="107"/>
              <w:jc w:val="left"/>
              <w:rPr>
                <w:sz w:val="18"/>
              </w:rPr>
            </w:pPr>
            <w:r>
              <w:rPr>
                <w:sz w:val="18"/>
              </w:rPr>
              <w:t>Receipt from Consumers</w:t>
            </w:r>
          </w:p>
        </w:tc>
        <w:tc>
          <w:tcPr>
            <w:tcW w:w="1414" w:type="dxa"/>
          </w:tcPr>
          <w:p w:rsidR="007C5447" w:rsidRDefault="00F6308C">
            <w:pPr>
              <w:pStyle w:val="TableParagraph"/>
              <w:spacing w:before="74"/>
              <w:ind w:right="94"/>
              <w:rPr>
                <w:sz w:val="18"/>
              </w:rPr>
            </w:pPr>
            <w:r>
              <w:rPr>
                <w:sz w:val="18"/>
              </w:rPr>
              <w:t>40.93</w:t>
            </w:r>
          </w:p>
        </w:tc>
        <w:tc>
          <w:tcPr>
            <w:tcW w:w="1425" w:type="dxa"/>
          </w:tcPr>
          <w:p w:rsidR="007C5447" w:rsidRDefault="00F6308C">
            <w:pPr>
              <w:pStyle w:val="TableParagraph"/>
              <w:spacing w:before="74"/>
              <w:ind w:right="94"/>
              <w:rPr>
                <w:sz w:val="18"/>
              </w:rPr>
            </w:pPr>
            <w:r>
              <w:rPr>
                <w:sz w:val="18"/>
              </w:rPr>
              <w:t>40.93</w:t>
            </w:r>
          </w:p>
        </w:tc>
        <w:tc>
          <w:tcPr>
            <w:tcW w:w="1392" w:type="dxa"/>
          </w:tcPr>
          <w:p w:rsidR="007C5447" w:rsidRDefault="00F6308C">
            <w:pPr>
              <w:pStyle w:val="TableParagraph"/>
              <w:spacing w:before="74"/>
              <w:ind w:right="93"/>
              <w:rPr>
                <w:sz w:val="18"/>
              </w:rPr>
            </w:pPr>
            <w:r>
              <w:rPr>
                <w:sz w:val="18"/>
              </w:rPr>
              <w:t>16.46</w:t>
            </w:r>
          </w:p>
        </w:tc>
        <w:tc>
          <w:tcPr>
            <w:tcW w:w="1240" w:type="dxa"/>
          </w:tcPr>
          <w:p w:rsidR="007C5447" w:rsidRDefault="00F6308C">
            <w:pPr>
              <w:pStyle w:val="TableParagraph"/>
              <w:spacing w:before="74"/>
              <w:ind w:right="92"/>
              <w:rPr>
                <w:sz w:val="18"/>
              </w:rPr>
            </w:pPr>
            <w:r>
              <w:rPr>
                <w:sz w:val="18"/>
              </w:rPr>
              <w:t>16.46</w:t>
            </w:r>
          </w:p>
        </w:tc>
        <w:tc>
          <w:tcPr>
            <w:tcW w:w="1392" w:type="dxa"/>
          </w:tcPr>
          <w:p w:rsidR="007C5447" w:rsidRDefault="00F6308C">
            <w:pPr>
              <w:pStyle w:val="TableParagraph"/>
              <w:spacing w:before="74"/>
              <w:ind w:right="96"/>
              <w:rPr>
                <w:sz w:val="18"/>
              </w:rPr>
            </w:pPr>
            <w:r>
              <w:rPr>
                <w:sz w:val="18"/>
              </w:rPr>
              <w:t>160.43</w:t>
            </w:r>
          </w:p>
        </w:tc>
        <w:tc>
          <w:tcPr>
            <w:tcW w:w="1413" w:type="dxa"/>
          </w:tcPr>
          <w:p w:rsidR="007C5447" w:rsidRDefault="00F6308C">
            <w:pPr>
              <w:pStyle w:val="TableParagraph"/>
              <w:spacing w:before="74"/>
              <w:ind w:right="96"/>
              <w:rPr>
                <w:sz w:val="18"/>
              </w:rPr>
            </w:pPr>
            <w:r>
              <w:rPr>
                <w:sz w:val="18"/>
              </w:rPr>
              <w:t>160.43</w:t>
            </w:r>
          </w:p>
        </w:tc>
      </w:tr>
      <w:tr w:rsidR="007C5447">
        <w:trPr>
          <w:trHeight w:val="354"/>
        </w:trPr>
        <w:tc>
          <w:tcPr>
            <w:tcW w:w="2040" w:type="dxa"/>
          </w:tcPr>
          <w:p w:rsidR="007C5447" w:rsidRDefault="00F6308C">
            <w:pPr>
              <w:pStyle w:val="TableParagraph"/>
              <w:spacing w:before="74"/>
              <w:ind w:left="107"/>
              <w:jc w:val="left"/>
              <w:rPr>
                <w:sz w:val="18"/>
              </w:rPr>
            </w:pPr>
            <w:r>
              <w:rPr>
                <w:sz w:val="18"/>
              </w:rPr>
              <w:t>Interest Income</w:t>
            </w:r>
          </w:p>
        </w:tc>
        <w:tc>
          <w:tcPr>
            <w:tcW w:w="1414" w:type="dxa"/>
          </w:tcPr>
          <w:p w:rsidR="007C5447" w:rsidRDefault="00F6308C">
            <w:pPr>
              <w:pStyle w:val="TableParagraph"/>
              <w:spacing w:before="74"/>
              <w:ind w:right="97"/>
              <w:rPr>
                <w:sz w:val="18"/>
              </w:rPr>
            </w:pPr>
            <w:r>
              <w:rPr>
                <w:sz w:val="18"/>
              </w:rPr>
              <w:t>0.11</w:t>
            </w:r>
          </w:p>
        </w:tc>
        <w:tc>
          <w:tcPr>
            <w:tcW w:w="1425" w:type="dxa"/>
          </w:tcPr>
          <w:p w:rsidR="007C5447" w:rsidRDefault="00F6308C">
            <w:pPr>
              <w:pStyle w:val="TableParagraph"/>
              <w:spacing w:before="74"/>
              <w:ind w:right="96"/>
              <w:rPr>
                <w:sz w:val="18"/>
              </w:rPr>
            </w:pPr>
            <w:r>
              <w:rPr>
                <w:sz w:val="18"/>
              </w:rPr>
              <w:t>0.11</w:t>
            </w:r>
          </w:p>
        </w:tc>
        <w:tc>
          <w:tcPr>
            <w:tcW w:w="1392" w:type="dxa"/>
          </w:tcPr>
          <w:p w:rsidR="007C5447" w:rsidRDefault="00F6308C">
            <w:pPr>
              <w:pStyle w:val="TableParagraph"/>
              <w:spacing w:before="74"/>
              <w:ind w:right="96"/>
              <w:rPr>
                <w:sz w:val="18"/>
              </w:rPr>
            </w:pPr>
            <w:r>
              <w:rPr>
                <w:sz w:val="18"/>
              </w:rPr>
              <w:t>5.47</w:t>
            </w:r>
          </w:p>
        </w:tc>
        <w:tc>
          <w:tcPr>
            <w:tcW w:w="1240" w:type="dxa"/>
          </w:tcPr>
          <w:p w:rsidR="007C5447" w:rsidRDefault="00F6308C">
            <w:pPr>
              <w:pStyle w:val="TableParagraph"/>
              <w:spacing w:before="74"/>
              <w:ind w:right="95"/>
              <w:rPr>
                <w:sz w:val="18"/>
              </w:rPr>
            </w:pPr>
            <w:r>
              <w:rPr>
                <w:sz w:val="18"/>
              </w:rPr>
              <w:t>5.47</w:t>
            </w:r>
          </w:p>
        </w:tc>
        <w:tc>
          <w:tcPr>
            <w:tcW w:w="1392" w:type="dxa"/>
          </w:tcPr>
          <w:p w:rsidR="007C5447" w:rsidRDefault="00F6308C">
            <w:pPr>
              <w:pStyle w:val="TableParagraph"/>
              <w:spacing w:before="74"/>
              <w:ind w:right="94"/>
              <w:rPr>
                <w:sz w:val="18"/>
              </w:rPr>
            </w:pPr>
            <w:r>
              <w:rPr>
                <w:sz w:val="18"/>
              </w:rPr>
              <w:t>0.19</w:t>
            </w:r>
          </w:p>
        </w:tc>
        <w:tc>
          <w:tcPr>
            <w:tcW w:w="1413" w:type="dxa"/>
          </w:tcPr>
          <w:p w:rsidR="007C5447" w:rsidRDefault="00F6308C">
            <w:pPr>
              <w:pStyle w:val="TableParagraph"/>
              <w:spacing w:before="74"/>
              <w:ind w:right="96"/>
              <w:rPr>
                <w:sz w:val="18"/>
              </w:rPr>
            </w:pPr>
            <w:r>
              <w:rPr>
                <w:sz w:val="18"/>
              </w:rPr>
              <w:t>0.19</w:t>
            </w:r>
          </w:p>
        </w:tc>
      </w:tr>
      <w:tr w:rsidR="007C5447">
        <w:trPr>
          <w:trHeight w:val="352"/>
        </w:trPr>
        <w:tc>
          <w:tcPr>
            <w:tcW w:w="2040" w:type="dxa"/>
          </w:tcPr>
          <w:p w:rsidR="007C5447" w:rsidRDefault="00F6308C">
            <w:pPr>
              <w:pStyle w:val="TableParagraph"/>
              <w:spacing w:before="71"/>
              <w:ind w:left="107"/>
              <w:jc w:val="left"/>
              <w:rPr>
                <w:sz w:val="18"/>
              </w:rPr>
            </w:pPr>
            <w:r>
              <w:rPr>
                <w:sz w:val="18"/>
              </w:rPr>
              <w:t>Excess Provision for IT</w:t>
            </w:r>
          </w:p>
        </w:tc>
        <w:tc>
          <w:tcPr>
            <w:tcW w:w="1414" w:type="dxa"/>
          </w:tcPr>
          <w:p w:rsidR="007C5447" w:rsidRDefault="00F6308C">
            <w:pPr>
              <w:pStyle w:val="TableParagraph"/>
              <w:spacing w:before="71"/>
              <w:ind w:right="95"/>
              <w:rPr>
                <w:sz w:val="18"/>
              </w:rPr>
            </w:pPr>
            <w:r>
              <w:rPr>
                <w:w w:val="99"/>
                <w:sz w:val="18"/>
              </w:rPr>
              <w:t>-</w:t>
            </w:r>
          </w:p>
        </w:tc>
        <w:tc>
          <w:tcPr>
            <w:tcW w:w="1425" w:type="dxa"/>
          </w:tcPr>
          <w:p w:rsidR="007C5447" w:rsidRDefault="007C5447">
            <w:pPr>
              <w:pStyle w:val="TableParagraph"/>
              <w:jc w:val="left"/>
              <w:rPr>
                <w:sz w:val="20"/>
              </w:rPr>
            </w:pPr>
          </w:p>
        </w:tc>
        <w:tc>
          <w:tcPr>
            <w:tcW w:w="1392" w:type="dxa"/>
          </w:tcPr>
          <w:p w:rsidR="007C5447" w:rsidRDefault="00F6308C">
            <w:pPr>
              <w:pStyle w:val="TableParagraph"/>
              <w:spacing w:before="71"/>
              <w:ind w:right="94"/>
              <w:rPr>
                <w:sz w:val="18"/>
              </w:rPr>
            </w:pPr>
            <w:r>
              <w:rPr>
                <w:w w:val="99"/>
                <w:sz w:val="18"/>
              </w:rPr>
              <w:t>-</w:t>
            </w:r>
          </w:p>
        </w:tc>
        <w:tc>
          <w:tcPr>
            <w:tcW w:w="1240" w:type="dxa"/>
          </w:tcPr>
          <w:p w:rsidR="007C5447" w:rsidRDefault="00F6308C">
            <w:pPr>
              <w:pStyle w:val="TableParagraph"/>
              <w:spacing w:before="71"/>
              <w:ind w:right="93"/>
              <w:rPr>
                <w:sz w:val="18"/>
              </w:rPr>
            </w:pPr>
            <w:r>
              <w:rPr>
                <w:w w:val="99"/>
                <w:sz w:val="18"/>
              </w:rPr>
              <w:t>-</w:t>
            </w:r>
          </w:p>
        </w:tc>
        <w:tc>
          <w:tcPr>
            <w:tcW w:w="1392" w:type="dxa"/>
          </w:tcPr>
          <w:p w:rsidR="007C5447" w:rsidRDefault="00F6308C">
            <w:pPr>
              <w:pStyle w:val="TableParagraph"/>
              <w:spacing w:before="71"/>
              <w:ind w:right="93"/>
              <w:rPr>
                <w:sz w:val="18"/>
              </w:rPr>
            </w:pPr>
            <w:r>
              <w:rPr>
                <w:w w:val="99"/>
                <w:sz w:val="18"/>
              </w:rPr>
              <w:t>-</w:t>
            </w:r>
          </w:p>
        </w:tc>
        <w:tc>
          <w:tcPr>
            <w:tcW w:w="1413" w:type="dxa"/>
          </w:tcPr>
          <w:p w:rsidR="007C5447" w:rsidRDefault="00F6308C">
            <w:pPr>
              <w:pStyle w:val="TableParagraph"/>
              <w:spacing w:before="71"/>
              <w:ind w:right="95"/>
              <w:rPr>
                <w:sz w:val="18"/>
              </w:rPr>
            </w:pPr>
            <w:r>
              <w:rPr>
                <w:w w:val="99"/>
                <w:sz w:val="18"/>
              </w:rPr>
              <w:t>-</w:t>
            </w:r>
          </w:p>
        </w:tc>
      </w:tr>
      <w:tr w:rsidR="007C5447">
        <w:trPr>
          <w:trHeight w:val="443"/>
        </w:trPr>
        <w:tc>
          <w:tcPr>
            <w:tcW w:w="2040" w:type="dxa"/>
          </w:tcPr>
          <w:p w:rsidR="007C5447" w:rsidRDefault="00F6308C">
            <w:pPr>
              <w:pStyle w:val="TableParagraph"/>
              <w:spacing w:before="20" w:line="206" w:lineRule="exact"/>
              <w:ind w:left="107" w:right="413"/>
              <w:jc w:val="left"/>
              <w:rPr>
                <w:sz w:val="18"/>
              </w:rPr>
            </w:pPr>
            <w:r>
              <w:rPr>
                <w:sz w:val="18"/>
              </w:rPr>
              <w:t>Excess Provision for Depreciation</w:t>
            </w:r>
          </w:p>
        </w:tc>
        <w:tc>
          <w:tcPr>
            <w:tcW w:w="1414" w:type="dxa"/>
          </w:tcPr>
          <w:p w:rsidR="007C5447" w:rsidRDefault="00F6308C">
            <w:pPr>
              <w:pStyle w:val="TableParagraph"/>
              <w:spacing w:before="119"/>
              <w:ind w:right="95"/>
              <w:rPr>
                <w:sz w:val="18"/>
              </w:rPr>
            </w:pPr>
            <w:r>
              <w:rPr>
                <w:w w:val="99"/>
                <w:sz w:val="18"/>
              </w:rPr>
              <w:t>-</w:t>
            </w:r>
          </w:p>
        </w:tc>
        <w:tc>
          <w:tcPr>
            <w:tcW w:w="1425" w:type="dxa"/>
          </w:tcPr>
          <w:p w:rsidR="007C5447" w:rsidRDefault="00F6308C">
            <w:pPr>
              <w:pStyle w:val="TableParagraph"/>
              <w:spacing w:before="119"/>
              <w:ind w:right="95"/>
              <w:rPr>
                <w:sz w:val="18"/>
              </w:rPr>
            </w:pPr>
            <w:r>
              <w:rPr>
                <w:w w:val="99"/>
                <w:sz w:val="18"/>
              </w:rPr>
              <w:t>-</w:t>
            </w:r>
          </w:p>
        </w:tc>
        <w:tc>
          <w:tcPr>
            <w:tcW w:w="1392" w:type="dxa"/>
          </w:tcPr>
          <w:p w:rsidR="007C5447" w:rsidRDefault="00F6308C">
            <w:pPr>
              <w:pStyle w:val="TableParagraph"/>
              <w:spacing w:before="119"/>
              <w:ind w:right="94"/>
              <w:rPr>
                <w:sz w:val="18"/>
              </w:rPr>
            </w:pPr>
            <w:r>
              <w:rPr>
                <w:w w:val="99"/>
                <w:sz w:val="18"/>
              </w:rPr>
              <w:t>-</w:t>
            </w:r>
          </w:p>
        </w:tc>
        <w:tc>
          <w:tcPr>
            <w:tcW w:w="1240" w:type="dxa"/>
          </w:tcPr>
          <w:p w:rsidR="007C5447" w:rsidRDefault="00F6308C">
            <w:pPr>
              <w:pStyle w:val="TableParagraph"/>
              <w:spacing w:before="119"/>
              <w:ind w:right="93"/>
              <w:rPr>
                <w:sz w:val="18"/>
              </w:rPr>
            </w:pPr>
            <w:r>
              <w:rPr>
                <w:w w:val="99"/>
                <w:sz w:val="18"/>
              </w:rPr>
              <w:t>-</w:t>
            </w:r>
          </w:p>
        </w:tc>
        <w:tc>
          <w:tcPr>
            <w:tcW w:w="1392" w:type="dxa"/>
          </w:tcPr>
          <w:p w:rsidR="007C5447" w:rsidRDefault="00F6308C">
            <w:pPr>
              <w:pStyle w:val="TableParagraph"/>
              <w:spacing w:before="119"/>
              <w:ind w:right="93"/>
              <w:rPr>
                <w:sz w:val="18"/>
              </w:rPr>
            </w:pPr>
            <w:r>
              <w:rPr>
                <w:w w:val="99"/>
                <w:sz w:val="18"/>
              </w:rPr>
              <w:t>-</w:t>
            </w:r>
          </w:p>
        </w:tc>
        <w:tc>
          <w:tcPr>
            <w:tcW w:w="1413" w:type="dxa"/>
          </w:tcPr>
          <w:p w:rsidR="007C5447" w:rsidRDefault="00F6308C">
            <w:pPr>
              <w:pStyle w:val="TableParagraph"/>
              <w:spacing w:before="119"/>
              <w:ind w:right="95"/>
              <w:rPr>
                <w:sz w:val="18"/>
              </w:rPr>
            </w:pPr>
            <w:r>
              <w:rPr>
                <w:w w:val="99"/>
                <w:sz w:val="18"/>
              </w:rPr>
              <w:t>-</w:t>
            </w:r>
          </w:p>
        </w:tc>
      </w:tr>
      <w:tr w:rsidR="007C5447">
        <w:trPr>
          <w:trHeight w:val="678"/>
        </w:trPr>
        <w:tc>
          <w:tcPr>
            <w:tcW w:w="2040" w:type="dxa"/>
          </w:tcPr>
          <w:p w:rsidR="007C5447" w:rsidRDefault="00F6308C">
            <w:pPr>
              <w:pStyle w:val="TableParagraph"/>
              <w:spacing w:before="31"/>
              <w:ind w:left="107" w:right="431"/>
              <w:jc w:val="both"/>
              <w:rPr>
                <w:sz w:val="18"/>
              </w:rPr>
            </w:pPr>
            <w:r>
              <w:rPr>
                <w:sz w:val="18"/>
              </w:rPr>
              <w:t>Excess Provision for Interest and Finance Charges</w:t>
            </w:r>
          </w:p>
        </w:tc>
        <w:tc>
          <w:tcPr>
            <w:tcW w:w="1414" w:type="dxa"/>
          </w:tcPr>
          <w:p w:rsidR="007C5447" w:rsidRDefault="007C5447">
            <w:pPr>
              <w:pStyle w:val="TableParagraph"/>
              <w:spacing w:before="7"/>
              <w:jc w:val="left"/>
              <w:rPr>
                <w:b/>
                <w:sz w:val="20"/>
              </w:rPr>
            </w:pPr>
          </w:p>
          <w:p w:rsidR="007C5447" w:rsidRDefault="00F6308C">
            <w:pPr>
              <w:pStyle w:val="TableParagraph"/>
              <w:ind w:right="99"/>
              <w:rPr>
                <w:sz w:val="18"/>
              </w:rPr>
            </w:pPr>
            <w:r>
              <w:rPr>
                <w:sz w:val="18"/>
              </w:rPr>
              <w:t>206.42</w:t>
            </w:r>
          </w:p>
        </w:tc>
        <w:tc>
          <w:tcPr>
            <w:tcW w:w="1425" w:type="dxa"/>
          </w:tcPr>
          <w:p w:rsidR="007C5447" w:rsidRDefault="007C5447">
            <w:pPr>
              <w:pStyle w:val="TableParagraph"/>
              <w:spacing w:before="7"/>
              <w:jc w:val="left"/>
              <w:rPr>
                <w:b/>
                <w:sz w:val="20"/>
              </w:rPr>
            </w:pPr>
          </w:p>
          <w:p w:rsidR="007C5447" w:rsidRDefault="00F6308C">
            <w:pPr>
              <w:pStyle w:val="TableParagraph"/>
              <w:ind w:right="95"/>
              <w:rPr>
                <w:sz w:val="18"/>
              </w:rPr>
            </w:pPr>
            <w:r>
              <w:rPr>
                <w:w w:val="99"/>
                <w:sz w:val="18"/>
              </w:rPr>
              <w:t>-</w:t>
            </w:r>
          </w:p>
        </w:tc>
        <w:tc>
          <w:tcPr>
            <w:tcW w:w="1392" w:type="dxa"/>
          </w:tcPr>
          <w:p w:rsidR="007C5447" w:rsidRDefault="007C5447">
            <w:pPr>
              <w:pStyle w:val="TableParagraph"/>
              <w:spacing w:before="7"/>
              <w:jc w:val="left"/>
              <w:rPr>
                <w:b/>
                <w:sz w:val="20"/>
              </w:rPr>
            </w:pPr>
          </w:p>
          <w:p w:rsidR="007C5447" w:rsidRDefault="00F6308C">
            <w:pPr>
              <w:pStyle w:val="TableParagraph"/>
              <w:ind w:right="96"/>
              <w:rPr>
                <w:sz w:val="18"/>
              </w:rPr>
            </w:pPr>
            <w:r>
              <w:rPr>
                <w:sz w:val="18"/>
              </w:rPr>
              <w:t>466.96</w:t>
            </w:r>
          </w:p>
        </w:tc>
        <w:tc>
          <w:tcPr>
            <w:tcW w:w="1240" w:type="dxa"/>
          </w:tcPr>
          <w:p w:rsidR="007C5447" w:rsidRDefault="007C5447">
            <w:pPr>
              <w:pStyle w:val="TableParagraph"/>
              <w:spacing w:before="7"/>
              <w:jc w:val="left"/>
              <w:rPr>
                <w:b/>
                <w:sz w:val="20"/>
              </w:rPr>
            </w:pPr>
          </w:p>
          <w:p w:rsidR="007C5447" w:rsidRDefault="00F6308C">
            <w:pPr>
              <w:pStyle w:val="TableParagraph"/>
              <w:ind w:right="93"/>
              <w:rPr>
                <w:sz w:val="18"/>
              </w:rPr>
            </w:pPr>
            <w:r>
              <w:rPr>
                <w:w w:val="99"/>
                <w:sz w:val="18"/>
              </w:rPr>
              <w:t>-</w:t>
            </w:r>
          </w:p>
        </w:tc>
        <w:tc>
          <w:tcPr>
            <w:tcW w:w="1392" w:type="dxa"/>
          </w:tcPr>
          <w:p w:rsidR="007C5447" w:rsidRDefault="007C5447">
            <w:pPr>
              <w:pStyle w:val="TableParagraph"/>
              <w:spacing w:before="7"/>
              <w:jc w:val="left"/>
              <w:rPr>
                <w:b/>
                <w:sz w:val="20"/>
              </w:rPr>
            </w:pPr>
          </w:p>
          <w:p w:rsidR="007C5447" w:rsidRDefault="00F6308C">
            <w:pPr>
              <w:pStyle w:val="TableParagraph"/>
              <w:ind w:right="96"/>
              <w:rPr>
                <w:sz w:val="18"/>
              </w:rPr>
            </w:pPr>
            <w:r>
              <w:rPr>
                <w:sz w:val="18"/>
              </w:rPr>
              <w:t>427.63</w:t>
            </w:r>
          </w:p>
        </w:tc>
        <w:tc>
          <w:tcPr>
            <w:tcW w:w="1413" w:type="dxa"/>
          </w:tcPr>
          <w:p w:rsidR="007C5447" w:rsidRDefault="007C5447">
            <w:pPr>
              <w:pStyle w:val="TableParagraph"/>
              <w:spacing w:before="7"/>
              <w:jc w:val="left"/>
              <w:rPr>
                <w:b/>
                <w:sz w:val="20"/>
              </w:rPr>
            </w:pPr>
          </w:p>
          <w:p w:rsidR="007C5447" w:rsidRDefault="00F6308C">
            <w:pPr>
              <w:pStyle w:val="TableParagraph"/>
              <w:ind w:right="95"/>
              <w:rPr>
                <w:sz w:val="18"/>
              </w:rPr>
            </w:pPr>
            <w:r>
              <w:rPr>
                <w:w w:val="99"/>
                <w:sz w:val="18"/>
              </w:rPr>
              <w:t>-</w:t>
            </w:r>
          </w:p>
        </w:tc>
      </w:tr>
      <w:tr w:rsidR="007C5447">
        <w:trPr>
          <w:trHeight w:val="354"/>
        </w:trPr>
        <w:tc>
          <w:tcPr>
            <w:tcW w:w="2040" w:type="dxa"/>
          </w:tcPr>
          <w:p w:rsidR="007C5447" w:rsidRDefault="00F6308C">
            <w:pPr>
              <w:pStyle w:val="TableParagraph"/>
              <w:spacing w:before="74"/>
              <w:ind w:left="107"/>
              <w:jc w:val="left"/>
              <w:rPr>
                <w:sz w:val="18"/>
              </w:rPr>
            </w:pPr>
            <w:r>
              <w:rPr>
                <w:sz w:val="18"/>
              </w:rPr>
              <w:t>Other Excess Provision</w:t>
            </w:r>
          </w:p>
        </w:tc>
        <w:tc>
          <w:tcPr>
            <w:tcW w:w="1414" w:type="dxa"/>
          </w:tcPr>
          <w:p w:rsidR="007C5447" w:rsidRDefault="00F6308C">
            <w:pPr>
              <w:pStyle w:val="TableParagraph"/>
              <w:spacing w:before="74"/>
              <w:ind w:right="94"/>
              <w:rPr>
                <w:sz w:val="18"/>
              </w:rPr>
            </w:pPr>
            <w:r>
              <w:rPr>
                <w:sz w:val="18"/>
              </w:rPr>
              <w:t>58.64</w:t>
            </w:r>
          </w:p>
        </w:tc>
        <w:tc>
          <w:tcPr>
            <w:tcW w:w="1425" w:type="dxa"/>
          </w:tcPr>
          <w:p w:rsidR="007C5447" w:rsidRDefault="00F6308C">
            <w:pPr>
              <w:pStyle w:val="TableParagraph"/>
              <w:spacing w:before="74"/>
              <w:ind w:right="94"/>
              <w:rPr>
                <w:sz w:val="18"/>
              </w:rPr>
            </w:pPr>
            <w:r>
              <w:rPr>
                <w:sz w:val="18"/>
              </w:rPr>
              <w:t>58.64</w:t>
            </w:r>
          </w:p>
        </w:tc>
        <w:tc>
          <w:tcPr>
            <w:tcW w:w="1392" w:type="dxa"/>
          </w:tcPr>
          <w:p w:rsidR="007C5447" w:rsidRDefault="00F6308C">
            <w:pPr>
              <w:pStyle w:val="TableParagraph"/>
              <w:spacing w:before="74"/>
              <w:ind w:right="93"/>
              <w:rPr>
                <w:sz w:val="18"/>
              </w:rPr>
            </w:pPr>
            <w:r>
              <w:rPr>
                <w:sz w:val="18"/>
              </w:rPr>
              <w:t>79.84</w:t>
            </w:r>
          </w:p>
        </w:tc>
        <w:tc>
          <w:tcPr>
            <w:tcW w:w="1240" w:type="dxa"/>
          </w:tcPr>
          <w:p w:rsidR="007C5447" w:rsidRDefault="00F6308C">
            <w:pPr>
              <w:pStyle w:val="TableParagraph"/>
              <w:spacing w:before="74"/>
              <w:ind w:right="92"/>
              <w:rPr>
                <w:sz w:val="18"/>
              </w:rPr>
            </w:pPr>
            <w:r>
              <w:rPr>
                <w:sz w:val="18"/>
              </w:rPr>
              <w:t>79.84</w:t>
            </w:r>
          </w:p>
        </w:tc>
        <w:tc>
          <w:tcPr>
            <w:tcW w:w="1392" w:type="dxa"/>
          </w:tcPr>
          <w:p w:rsidR="007C5447" w:rsidRDefault="00F6308C">
            <w:pPr>
              <w:pStyle w:val="TableParagraph"/>
              <w:spacing w:before="74"/>
              <w:ind w:right="96"/>
              <w:rPr>
                <w:sz w:val="18"/>
              </w:rPr>
            </w:pPr>
            <w:r>
              <w:rPr>
                <w:sz w:val="18"/>
              </w:rPr>
              <w:t>100.95</w:t>
            </w:r>
          </w:p>
        </w:tc>
        <w:tc>
          <w:tcPr>
            <w:tcW w:w="1413" w:type="dxa"/>
          </w:tcPr>
          <w:p w:rsidR="007C5447" w:rsidRDefault="00F6308C">
            <w:pPr>
              <w:pStyle w:val="TableParagraph"/>
              <w:spacing w:before="74"/>
              <w:ind w:right="96"/>
              <w:rPr>
                <w:sz w:val="18"/>
              </w:rPr>
            </w:pPr>
            <w:r>
              <w:rPr>
                <w:sz w:val="18"/>
              </w:rPr>
              <w:t>100.95</w:t>
            </w:r>
          </w:p>
        </w:tc>
      </w:tr>
      <w:tr w:rsidR="007C5447">
        <w:trPr>
          <w:trHeight w:val="354"/>
        </w:trPr>
        <w:tc>
          <w:tcPr>
            <w:tcW w:w="2040" w:type="dxa"/>
          </w:tcPr>
          <w:p w:rsidR="007C5447" w:rsidRDefault="00F6308C">
            <w:pPr>
              <w:pStyle w:val="TableParagraph"/>
              <w:spacing w:before="74"/>
              <w:ind w:left="107"/>
              <w:jc w:val="left"/>
              <w:rPr>
                <w:sz w:val="18"/>
              </w:rPr>
            </w:pPr>
            <w:r>
              <w:rPr>
                <w:sz w:val="18"/>
              </w:rPr>
              <w:t>Other Income</w:t>
            </w:r>
          </w:p>
        </w:tc>
        <w:tc>
          <w:tcPr>
            <w:tcW w:w="1414" w:type="dxa"/>
          </w:tcPr>
          <w:p w:rsidR="007C5447" w:rsidRDefault="00F6308C">
            <w:pPr>
              <w:pStyle w:val="TableParagraph"/>
              <w:spacing w:before="74"/>
              <w:ind w:right="99"/>
              <w:rPr>
                <w:sz w:val="18"/>
              </w:rPr>
            </w:pPr>
            <w:r>
              <w:rPr>
                <w:sz w:val="18"/>
              </w:rPr>
              <w:t>933.28</w:t>
            </w:r>
          </w:p>
        </w:tc>
        <w:tc>
          <w:tcPr>
            <w:tcW w:w="1425" w:type="dxa"/>
          </w:tcPr>
          <w:p w:rsidR="007C5447" w:rsidRDefault="00F6308C">
            <w:pPr>
              <w:pStyle w:val="TableParagraph"/>
              <w:spacing w:before="74"/>
              <w:ind w:right="96"/>
              <w:rPr>
                <w:sz w:val="18"/>
              </w:rPr>
            </w:pPr>
            <w:r>
              <w:rPr>
                <w:sz w:val="18"/>
              </w:rPr>
              <w:t>933.28</w:t>
            </w:r>
          </w:p>
        </w:tc>
        <w:tc>
          <w:tcPr>
            <w:tcW w:w="1392" w:type="dxa"/>
          </w:tcPr>
          <w:p w:rsidR="007C5447" w:rsidRDefault="00F6308C">
            <w:pPr>
              <w:pStyle w:val="TableParagraph"/>
              <w:spacing w:before="74"/>
              <w:ind w:right="96"/>
              <w:rPr>
                <w:sz w:val="18"/>
              </w:rPr>
            </w:pPr>
            <w:r>
              <w:rPr>
                <w:sz w:val="18"/>
              </w:rPr>
              <w:t>461.91</w:t>
            </w:r>
          </w:p>
        </w:tc>
        <w:tc>
          <w:tcPr>
            <w:tcW w:w="1240" w:type="dxa"/>
          </w:tcPr>
          <w:p w:rsidR="007C5447" w:rsidRDefault="00F6308C">
            <w:pPr>
              <w:pStyle w:val="TableParagraph"/>
              <w:spacing w:before="74"/>
              <w:ind w:right="95"/>
              <w:rPr>
                <w:sz w:val="18"/>
              </w:rPr>
            </w:pPr>
            <w:r>
              <w:rPr>
                <w:sz w:val="18"/>
              </w:rPr>
              <w:t>461.91</w:t>
            </w:r>
          </w:p>
        </w:tc>
        <w:tc>
          <w:tcPr>
            <w:tcW w:w="1392" w:type="dxa"/>
          </w:tcPr>
          <w:p w:rsidR="007C5447" w:rsidRDefault="00F6308C">
            <w:pPr>
              <w:pStyle w:val="TableParagraph"/>
              <w:spacing w:before="74"/>
              <w:ind w:right="96"/>
              <w:rPr>
                <w:sz w:val="18"/>
              </w:rPr>
            </w:pPr>
            <w:r>
              <w:rPr>
                <w:sz w:val="18"/>
              </w:rPr>
              <w:t>719.29</w:t>
            </w:r>
          </w:p>
        </w:tc>
        <w:tc>
          <w:tcPr>
            <w:tcW w:w="1413" w:type="dxa"/>
          </w:tcPr>
          <w:p w:rsidR="007C5447" w:rsidRDefault="00F6308C">
            <w:pPr>
              <w:pStyle w:val="TableParagraph"/>
              <w:spacing w:before="74"/>
              <w:ind w:right="96"/>
              <w:rPr>
                <w:sz w:val="18"/>
              </w:rPr>
            </w:pPr>
            <w:r>
              <w:rPr>
                <w:sz w:val="18"/>
              </w:rPr>
              <w:t>719.29</w:t>
            </w:r>
          </w:p>
        </w:tc>
      </w:tr>
      <w:tr w:rsidR="007C5447">
        <w:trPr>
          <w:trHeight w:val="443"/>
        </w:trPr>
        <w:tc>
          <w:tcPr>
            <w:tcW w:w="2040" w:type="dxa"/>
          </w:tcPr>
          <w:p w:rsidR="007C5447" w:rsidRDefault="00F6308C">
            <w:pPr>
              <w:pStyle w:val="TableParagraph"/>
              <w:spacing w:before="17" w:line="206" w:lineRule="exact"/>
              <w:ind w:left="107" w:right="483"/>
              <w:jc w:val="left"/>
              <w:rPr>
                <w:b/>
                <w:sz w:val="18"/>
              </w:rPr>
            </w:pPr>
            <w:r>
              <w:rPr>
                <w:b/>
                <w:sz w:val="18"/>
              </w:rPr>
              <w:t>Total Prior Period Income</w:t>
            </w:r>
          </w:p>
        </w:tc>
        <w:tc>
          <w:tcPr>
            <w:tcW w:w="1414" w:type="dxa"/>
          </w:tcPr>
          <w:p w:rsidR="007C5447" w:rsidRDefault="00F6308C">
            <w:pPr>
              <w:pStyle w:val="TableParagraph"/>
              <w:spacing w:before="117"/>
              <w:ind w:right="98"/>
              <w:rPr>
                <w:b/>
                <w:sz w:val="18"/>
              </w:rPr>
            </w:pPr>
            <w:r>
              <w:rPr>
                <w:b/>
                <w:sz w:val="18"/>
              </w:rPr>
              <w:t>1,244.86</w:t>
            </w:r>
          </w:p>
        </w:tc>
        <w:tc>
          <w:tcPr>
            <w:tcW w:w="1425" w:type="dxa"/>
          </w:tcPr>
          <w:p w:rsidR="007C5447" w:rsidRDefault="00F6308C">
            <w:pPr>
              <w:pStyle w:val="TableParagraph"/>
              <w:spacing w:before="117"/>
              <w:ind w:right="97"/>
              <w:rPr>
                <w:b/>
                <w:sz w:val="18"/>
              </w:rPr>
            </w:pPr>
            <w:r>
              <w:rPr>
                <w:b/>
                <w:sz w:val="18"/>
              </w:rPr>
              <w:t>1,131.91</w:t>
            </w:r>
          </w:p>
        </w:tc>
        <w:tc>
          <w:tcPr>
            <w:tcW w:w="1392" w:type="dxa"/>
          </w:tcPr>
          <w:p w:rsidR="007C5447" w:rsidRDefault="00F6308C">
            <w:pPr>
              <w:pStyle w:val="TableParagraph"/>
              <w:spacing w:before="117"/>
              <w:ind w:right="96"/>
              <w:rPr>
                <w:b/>
                <w:sz w:val="18"/>
              </w:rPr>
            </w:pPr>
            <w:r>
              <w:rPr>
                <w:b/>
                <w:sz w:val="18"/>
              </w:rPr>
              <w:t>1,030.64</w:t>
            </w:r>
          </w:p>
        </w:tc>
        <w:tc>
          <w:tcPr>
            <w:tcW w:w="1240" w:type="dxa"/>
          </w:tcPr>
          <w:p w:rsidR="007C5447" w:rsidRDefault="00F6308C">
            <w:pPr>
              <w:pStyle w:val="TableParagraph"/>
              <w:spacing w:before="117"/>
              <w:ind w:right="95"/>
              <w:rPr>
                <w:b/>
                <w:sz w:val="18"/>
              </w:rPr>
            </w:pPr>
            <w:r>
              <w:rPr>
                <w:b/>
                <w:sz w:val="18"/>
              </w:rPr>
              <w:t>563.68</w:t>
            </w:r>
          </w:p>
        </w:tc>
        <w:tc>
          <w:tcPr>
            <w:tcW w:w="1392" w:type="dxa"/>
          </w:tcPr>
          <w:p w:rsidR="007C5447" w:rsidRDefault="00F6308C">
            <w:pPr>
              <w:pStyle w:val="TableParagraph"/>
              <w:spacing w:before="117"/>
              <w:ind w:right="95"/>
              <w:rPr>
                <w:b/>
                <w:sz w:val="18"/>
              </w:rPr>
            </w:pPr>
            <w:r>
              <w:rPr>
                <w:b/>
                <w:sz w:val="18"/>
              </w:rPr>
              <w:t>1,415.67</w:t>
            </w:r>
          </w:p>
        </w:tc>
        <w:tc>
          <w:tcPr>
            <w:tcW w:w="1413" w:type="dxa"/>
          </w:tcPr>
          <w:p w:rsidR="007C5447" w:rsidRDefault="00F6308C">
            <w:pPr>
              <w:pStyle w:val="TableParagraph"/>
              <w:spacing w:before="117"/>
              <w:ind w:right="96"/>
              <w:rPr>
                <w:b/>
                <w:sz w:val="18"/>
              </w:rPr>
            </w:pPr>
            <w:r>
              <w:rPr>
                <w:b/>
                <w:sz w:val="18"/>
              </w:rPr>
              <w:t>988.04</w:t>
            </w:r>
          </w:p>
        </w:tc>
      </w:tr>
      <w:tr w:rsidR="007C5447">
        <w:trPr>
          <w:trHeight w:val="355"/>
        </w:trPr>
        <w:tc>
          <w:tcPr>
            <w:tcW w:w="2040" w:type="dxa"/>
          </w:tcPr>
          <w:p w:rsidR="007C5447" w:rsidRDefault="00F6308C">
            <w:pPr>
              <w:pStyle w:val="TableParagraph"/>
              <w:spacing w:before="74"/>
              <w:ind w:left="107"/>
              <w:jc w:val="left"/>
              <w:rPr>
                <w:b/>
                <w:sz w:val="18"/>
              </w:rPr>
            </w:pPr>
            <w:r>
              <w:rPr>
                <w:b/>
                <w:sz w:val="18"/>
              </w:rPr>
              <w:t>Prior Period Expenses</w:t>
            </w:r>
          </w:p>
        </w:tc>
        <w:tc>
          <w:tcPr>
            <w:tcW w:w="1414" w:type="dxa"/>
          </w:tcPr>
          <w:p w:rsidR="007C5447" w:rsidRDefault="007C5447">
            <w:pPr>
              <w:pStyle w:val="TableParagraph"/>
              <w:jc w:val="left"/>
              <w:rPr>
                <w:sz w:val="20"/>
              </w:rPr>
            </w:pPr>
          </w:p>
        </w:tc>
        <w:tc>
          <w:tcPr>
            <w:tcW w:w="1425" w:type="dxa"/>
          </w:tcPr>
          <w:p w:rsidR="007C5447" w:rsidRDefault="007C5447">
            <w:pPr>
              <w:pStyle w:val="TableParagraph"/>
              <w:jc w:val="left"/>
              <w:rPr>
                <w:sz w:val="20"/>
              </w:rPr>
            </w:pPr>
          </w:p>
        </w:tc>
        <w:tc>
          <w:tcPr>
            <w:tcW w:w="1392" w:type="dxa"/>
          </w:tcPr>
          <w:p w:rsidR="007C5447" w:rsidRDefault="007C5447">
            <w:pPr>
              <w:pStyle w:val="TableParagraph"/>
              <w:jc w:val="left"/>
              <w:rPr>
                <w:sz w:val="20"/>
              </w:rPr>
            </w:pPr>
          </w:p>
        </w:tc>
        <w:tc>
          <w:tcPr>
            <w:tcW w:w="1240" w:type="dxa"/>
          </w:tcPr>
          <w:p w:rsidR="007C5447" w:rsidRDefault="007C5447">
            <w:pPr>
              <w:pStyle w:val="TableParagraph"/>
              <w:jc w:val="left"/>
              <w:rPr>
                <w:sz w:val="20"/>
              </w:rPr>
            </w:pPr>
          </w:p>
        </w:tc>
        <w:tc>
          <w:tcPr>
            <w:tcW w:w="1392" w:type="dxa"/>
          </w:tcPr>
          <w:p w:rsidR="007C5447" w:rsidRDefault="007C5447">
            <w:pPr>
              <w:pStyle w:val="TableParagraph"/>
              <w:jc w:val="left"/>
              <w:rPr>
                <w:sz w:val="20"/>
              </w:rPr>
            </w:pPr>
          </w:p>
        </w:tc>
        <w:tc>
          <w:tcPr>
            <w:tcW w:w="1413" w:type="dxa"/>
          </w:tcPr>
          <w:p w:rsidR="007C5447" w:rsidRDefault="007C5447">
            <w:pPr>
              <w:pStyle w:val="TableParagraph"/>
              <w:jc w:val="left"/>
              <w:rPr>
                <w:sz w:val="20"/>
              </w:rPr>
            </w:pPr>
          </w:p>
        </w:tc>
      </w:tr>
      <w:tr w:rsidR="007C5447">
        <w:trPr>
          <w:trHeight w:val="678"/>
        </w:trPr>
        <w:tc>
          <w:tcPr>
            <w:tcW w:w="2040" w:type="dxa"/>
          </w:tcPr>
          <w:p w:rsidR="007C5447" w:rsidRDefault="00F6308C">
            <w:pPr>
              <w:pStyle w:val="TableParagraph"/>
              <w:spacing w:before="131"/>
              <w:ind w:left="107" w:right="158"/>
              <w:jc w:val="left"/>
              <w:rPr>
                <w:sz w:val="18"/>
              </w:rPr>
            </w:pPr>
            <w:r>
              <w:rPr>
                <w:sz w:val="18"/>
              </w:rPr>
              <w:t>Short term provision for Power Purchase</w:t>
            </w:r>
          </w:p>
        </w:tc>
        <w:tc>
          <w:tcPr>
            <w:tcW w:w="1414" w:type="dxa"/>
          </w:tcPr>
          <w:p w:rsidR="007C5447" w:rsidRDefault="007C5447">
            <w:pPr>
              <w:pStyle w:val="TableParagraph"/>
              <w:spacing w:before="4"/>
              <w:jc w:val="left"/>
              <w:rPr>
                <w:b/>
                <w:sz w:val="20"/>
              </w:rPr>
            </w:pPr>
          </w:p>
          <w:p w:rsidR="007C5447" w:rsidRDefault="00F6308C">
            <w:pPr>
              <w:pStyle w:val="TableParagraph"/>
              <w:spacing w:before="1"/>
              <w:ind w:right="98"/>
              <w:rPr>
                <w:sz w:val="18"/>
              </w:rPr>
            </w:pPr>
            <w:r>
              <w:rPr>
                <w:sz w:val="18"/>
              </w:rPr>
              <w:t>1,350.84</w:t>
            </w:r>
          </w:p>
        </w:tc>
        <w:tc>
          <w:tcPr>
            <w:tcW w:w="1425" w:type="dxa"/>
          </w:tcPr>
          <w:p w:rsidR="007C5447" w:rsidRDefault="007C5447">
            <w:pPr>
              <w:pStyle w:val="TableParagraph"/>
              <w:spacing w:before="4"/>
              <w:jc w:val="left"/>
              <w:rPr>
                <w:b/>
                <w:sz w:val="20"/>
              </w:rPr>
            </w:pPr>
          </w:p>
          <w:p w:rsidR="007C5447" w:rsidRDefault="00F6308C">
            <w:pPr>
              <w:pStyle w:val="TableParagraph"/>
              <w:spacing w:before="1"/>
              <w:ind w:right="95"/>
              <w:rPr>
                <w:sz w:val="18"/>
              </w:rPr>
            </w:pPr>
            <w:r>
              <w:rPr>
                <w:w w:val="99"/>
                <w:sz w:val="18"/>
              </w:rPr>
              <w:t>-</w:t>
            </w:r>
          </w:p>
        </w:tc>
        <w:tc>
          <w:tcPr>
            <w:tcW w:w="1392" w:type="dxa"/>
          </w:tcPr>
          <w:p w:rsidR="007C5447" w:rsidRDefault="007C5447">
            <w:pPr>
              <w:pStyle w:val="TableParagraph"/>
              <w:spacing w:before="4"/>
              <w:jc w:val="left"/>
              <w:rPr>
                <w:b/>
                <w:sz w:val="20"/>
              </w:rPr>
            </w:pPr>
          </w:p>
          <w:p w:rsidR="007C5447" w:rsidRDefault="00F6308C">
            <w:pPr>
              <w:pStyle w:val="TableParagraph"/>
              <w:spacing w:before="1"/>
              <w:ind w:right="96"/>
              <w:rPr>
                <w:sz w:val="18"/>
              </w:rPr>
            </w:pPr>
            <w:r>
              <w:rPr>
                <w:sz w:val="18"/>
              </w:rPr>
              <w:t>1,567.43</w:t>
            </w:r>
          </w:p>
        </w:tc>
        <w:tc>
          <w:tcPr>
            <w:tcW w:w="1240" w:type="dxa"/>
          </w:tcPr>
          <w:p w:rsidR="007C5447" w:rsidRDefault="007C5447">
            <w:pPr>
              <w:pStyle w:val="TableParagraph"/>
              <w:spacing w:before="4"/>
              <w:jc w:val="left"/>
              <w:rPr>
                <w:b/>
                <w:sz w:val="20"/>
              </w:rPr>
            </w:pPr>
          </w:p>
          <w:p w:rsidR="007C5447" w:rsidRDefault="00F6308C">
            <w:pPr>
              <w:pStyle w:val="TableParagraph"/>
              <w:spacing w:before="1"/>
              <w:ind w:right="93"/>
              <w:rPr>
                <w:sz w:val="18"/>
              </w:rPr>
            </w:pPr>
            <w:r>
              <w:rPr>
                <w:w w:val="99"/>
                <w:sz w:val="18"/>
              </w:rPr>
              <w:t>-</w:t>
            </w:r>
          </w:p>
        </w:tc>
        <w:tc>
          <w:tcPr>
            <w:tcW w:w="1392" w:type="dxa"/>
          </w:tcPr>
          <w:p w:rsidR="007C5447" w:rsidRDefault="007C5447">
            <w:pPr>
              <w:pStyle w:val="TableParagraph"/>
              <w:spacing w:before="4"/>
              <w:jc w:val="left"/>
              <w:rPr>
                <w:b/>
                <w:sz w:val="20"/>
              </w:rPr>
            </w:pPr>
          </w:p>
          <w:p w:rsidR="007C5447" w:rsidRDefault="00F6308C">
            <w:pPr>
              <w:pStyle w:val="TableParagraph"/>
              <w:spacing w:before="1"/>
              <w:ind w:right="96"/>
              <w:rPr>
                <w:sz w:val="18"/>
              </w:rPr>
            </w:pPr>
            <w:r>
              <w:rPr>
                <w:sz w:val="18"/>
              </w:rPr>
              <w:t>374.56</w:t>
            </w:r>
          </w:p>
        </w:tc>
        <w:tc>
          <w:tcPr>
            <w:tcW w:w="1413" w:type="dxa"/>
          </w:tcPr>
          <w:p w:rsidR="007C5447" w:rsidRDefault="007C5447">
            <w:pPr>
              <w:pStyle w:val="TableParagraph"/>
              <w:spacing w:before="4"/>
              <w:jc w:val="left"/>
              <w:rPr>
                <w:b/>
                <w:sz w:val="20"/>
              </w:rPr>
            </w:pPr>
          </w:p>
          <w:p w:rsidR="007C5447" w:rsidRDefault="00F6308C">
            <w:pPr>
              <w:pStyle w:val="TableParagraph"/>
              <w:spacing w:before="1"/>
              <w:ind w:right="95"/>
              <w:rPr>
                <w:sz w:val="18"/>
              </w:rPr>
            </w:pPr>
            <w:r>
              <w:rPr>
                <w:w w:val="99"/>
                <w:sz w:val="18"/>
              </w:rPr>
              <w:t>-</w:t>
            </w:r>
          </w:p>
        </w:tc>
      </w:tr>
      <w:tr w:rsidR="007C5447">
        <w:trPr>
          <w:trHeight w:val="443"/>
        </w:trPr>
        <w:tc>
          <w:tcPr>
            <w:tcW w:w="2040" w:type="dxa"/>
          </w:tcPr>
          <w:p w:rsidR="007C5447" w:rsidRDefault="00F6308C">
            <w:pPr>
              <w:pStyle w:val="TableParagraph"/>
              <w:spacing w:before="17" w:line="206" w:lineRule="exact"/>
              <w:ind w:left="107" w:right="268"/>
              <w:jc w:val="left"/>
              <w:rPr>
                <w:sz w:val="18"/>
              </w:rPr>
            </w:pPr>
            <w:r>
              <w:rPr>
                <w:sz w:val="18"/>
              </w:rPr>
              <w:t>Fuel related losses and expenses</w:t>
            </w:r>
          </w:p>
        </w:tc>
        <w:tc>
          <w:tcPr>
            <w:tcW w:w="1414" w:type="dxa"/>
          </w:tcPr>
          <w:p w:rsidR="007C5447" w:rsidRDefault="00F6308C">
            <w:pPr>
              <w:pStyle w:val="TableParagraph"/>
              <w:spacing w:before="117"/>
              <w:ind w:right="97"/>
              <w:rPr>
                <w:sz w:val="18"/>
              </w:rPr>
            </w:pPr>
            <w:r>
              <w:rPr>
                <w:sz w:val="18"/>
              </w:rPr>
              <w:t>8.62</w:t>
            </w:r>
          </w:p>
        </w:tc>
        <w:tc>
          <w:tcPr>
            <w:tcW w:w="1425" w:type="dxa"/>
          </w:tcPr>
          <w:p w:rsidR="007C5447" w:rsidRDefault="00F6308C">
            <w:pPr>
              <w:pStyle w:val="TableParagraph"/>
              <w:spacing w:before="117"/>
              <w:ind w:right="96"/>
              <w:rPr>
                <w:sz w:val="18"/>
              </w:rPr>
            </w:pPr>
            <w:r>
              <w:rPr>
                <w:sz w:val="18"/>
              </w:rPr>
              <w:t>8.62</w:t>
            </w:r>
          </w:p>
        </w:tc>
        <w:tc>
          <w:tcPr>
            <w:tcW w:w="1392" w:type="dxa"/>
          </w:tcPr>
          <w:p w:rsidR="007C5447" w:rsidRDefault="00F6308C">
            <w:pPr>
              <w:pStyle w:val="TableParagraph"/>
              <w:spacing w:before="117"/>
              <w:ind w:right="96"/>
              <w:rPr>
                <w:sz w:val="18"/>
              </w:rPr>
            </w:pPr>
            <w:r>
              <w:rPr>
                <w:sz w:val="18"/>
              </w:rPr>
              <w:t>0.46</w:t>
            </w:r>
          </w:p>
        </w:tc>
        <w:tc>
          <w:tcPr>
            <w:tcW w:w="1240" w:type="dxa"/>
          </w:tcPr>
          <w:p w:rsidR="007C5447" w:rsidRDefault="00F6308C">
            <w:pPr>
              <w:pStyle w:val="TableParagraph"/>
              <w:spacing w:before="117"/>
              <w:ind w:right="95"/>
              <w:rPr>
                <w:sz w:val="18"/>
              </w:rPr>
            </w:pPr>
            <w:r>
              <w:rPr>
                <w:sz w:val="18"/>
              </w:rPr>
              <w:t>0.46</w:t>
            </w:r>
          </w:p>
        </w:tc>
        <w:tc>
          <w:tcPr>
            <w:tcW w:w="1392" w:type="dxa"/>
          </w:tcPr>
          <w:p w:rsidR="007C5447" w:rsidRDefault="00F6308C">
            <w:pPr>
              <w:pStyle w:val="TableParagraph"/>
              <w:spacing w:before="117"/>
              <w:ind w:right="92"/>
              <w:rPr>
                <w:sz w:val="18"/>
              </w:rPr>
            </w:pPr>
            <w:r>
              <w:rPr>
                <w:sz w:val="18"/>
              </w:rPr>
              <w:t>11.48</w:t>
            </w:r>
          </w:p>
        </w:tc>
        <w:tc>
          <w:tcPr>
            <w:tcW w:w="1413" w:type="dxa"/>
          </w:tcPr>
          <w:p w:rsidR="007C5447" w:rsidRDefault="00F6308C">
            <w:pPr>
              <w:pStyle w:val="TableParagraph"/>
              <w:spacing w:before="117"/>
              <w:ind w:right="94"/>
              <w:rPr>
                <w:sz w:val="18"/>
              </w:rPr>
            </w:pPr>
            <w:r>
              <w:rPr>
                <w:sz w:val="18"/>
              </w:rPr>
              <w:t>11.48</w:t>
            </w:r>
          </w:p>
        </w:tc>
      </w:tr>
      <w:tr w:rsidR="007C5447">
        <w:trPr>
          <w:trHeight w:val="352"/>
        </w:trPr>
        <w:tc>
          <w:tcPr>
            <w:tcW w:w="2040" w:type="dxa"/>
          </w:tcPr>
          <w:p w:rsidR="007C5447" w:rsidRDefault="00F6308C">
            <w:pPr>
              <w:pStyle w:val="TableParagraph"/>
              <w:spacing w:before="74"/>
              <w:ind w:left="107"/>
              <w:jc w:val="left"/>
              <w:rPr>
                <w:sz w:val="18"/>
              </w:rPr>
            </w:pPr>
            <w:r>
              <w:rPr>
                <w:sz w:val="18"/>
              </w:rPr>
              <w:t>Operating Expenses</w:t>
            </w:r>
          </w:p>
        </w:tc>
        <w:tc>
          <w:tcPr>
            <w:tcW w:w="1414" w:type="dxa"/>
          </w:tcPr>
          <w:p w:rsidR="007C5447" w:rsidRDefault="00F6308C">
            <w:pPr>
              <w:pStyle w:val="TableParagraph"/>
              <w:spacing w:before="74"/>
              <w:ind w:right="97"/>
              <w:rPr>
                <w:sz w:val="18"/>
              </w:rPr>
            </w:pPr>
            <w:r>
              <w:rPr>
                <w:sz w:val="18"/>
              </w:rPr>
              <w:t>0.02</w:t>
            </w:r>
          </w:p>
        </w:tc>
        <w:tc>
          <w:tcPr>
            <w:tcW w:w="1425" w:type="dxa"/>
          </w:tcPr>
          <w:p w:rsidR="007C5447" w:rsidRDefault="00F6308C">
            <w:pPr>
              <w:pStyle w:val="TableParagraph"/>
              <w:spacing w:before="74"/>
              <w:ind w:right="96"/>
              <w:rPr>
                <w:sz w:val="18"/>
              </w:rPr>
            </w:pPr>
            <w:r>
              <w:rPr>
                <w:sz w:val="18"/>
              </w:rPr>
              <w:t>0.02</w:t>
            </w:r>
          </w:p>
        </w:tc>
        <w:tc>
          <w:tcPr>
            <w:tcW w:w="1392" w:type="dxa"/>
          </w:tcPr>
          <w:p w:rsidR="007C5447" w:rsidRDefault="00F6308C">
            <w:pPr>
              <w:pStyle w:val="TableParagraph"/>
              <w:spacing w:before="74"/>
              <w:ind w:right="96"/>
              <w:rPr>
                <w:sz w:val="18"/>
              </w:rPr>
            </w:pPr>
            <w:r>
              <w:rPr>
                <w:sz w:val="18"/>
              </w:rPr>
              <w:t>1.06</w:t>
            </w:r>
          </w:p>
        </w:tc>
        <w:tc>
          <w:tcPr>
            <w:tcW w:w="1240" w:type="dxa"/>
          </w:tcPr>
          <w:p w:rsidR="007C5447" w:rsidRDefault="00F6308C">
            <w:pPr>
              <w:pStyle w:val="TableParagraph"/>
              <w:spacing w:before="74"/>
              <w:ind w:right="95"/>
              <w:rPr>
                <w:sz w:val="18"/>
              </w:rPr>
            </w:pPr>
            <w:r>
              <w:rPr>
                <w:sz w:val="18"/>
              </w:rPr>
              <w:t>1.06</w:t>
            </w:r>
          </w:p>
        </w:tc>
        <w:tc>
          <w:tcPr>
            <w:tcW w:w="1392" w:type="dxa"/>
          </w:tcPr>
          <w:p w:rsidR="007C5447" w:rsidRDefault="00F6308C">
            <w:pPr>
              <w:pStyle w:val="TableParagraph"/>
              <w:spacing w:before="74"/>
              <w:ind w:right="94"/>
              <w:rPr>
                <w:sz w:val="18"/>
              </w:rPr>
            </w:pPr>
            <w:r>
              <w:rPr>
                <w:sz w:val="18"/>
              </w:rPr>
              <w:t>0.06</w:t>
            </w:r>
          </w:p>
        </w:tc>
        <w:tc>
          <w:tcPr>
            <w:tcW w:w="1413" w:type="dxa"/>
          </w:tcPr>
          <w:p w:rsidR="007C5447" w:rsidRDefault="00F6308C">
            <w:pPr>
              <w:pStyle w:val="TableParagraph"/>
              <w:spacing w:before="74"/>
              <w:ind w:right="96"/>
              <w:rPr>
                <w:sz w:val="18"/>
              </w:rPr>
            </w:pPr>
            <w:r>
              <w:rPr>
                <w:sz w:val="18"/>
              </w:rPr>
              <w:t>0.06</w:t>
            </w:r>
          </w:p>
        </w:tc>
      </w:tr>
      <w:tr w:rsidR="007C5447">
        <w:trPr>
          <w:trHeight w:val="446"/>
        </w:trPr>
        <w:tc>
          <w:tcPr>
            <w:tcW w:w="2040" w:type="dxa"/>
          </w:tcPr>
          <w:p w:rsidR="007C5447" w:rsidRDefault="00F6308C">
            <w:pPr>
              <w:pStyle w:val="TableParagraph"/>
              <w:spacing w:before="19" w:line="206" w:lineRule="exact"/>
              <w:ind w:left="107" w:right="758"/>
              <w:jc w:val="left"/>
              <w:rPr>
                <w:sz w:val="18"/>
              </w:rPr>
            </w:pPr>
            <w:r>
              <w:rPr>
                <w:sz w:val="18"/>
              </w:rPr>
              <w:t>Material related Expenses</w:t>
            </w:r>
          </w:p>
        </w:tc>
        <w:tc>
          <w:tcPr>
            <w:tcW w:w="1414" w:type="dxa"/>
          </w:tcPr>
          <w:p w:rsidR="007C5447" w:rsidRDefault="00F6308C">
            <w:pPr>
              <w:pStyle w:val="TableParagraph"/>
              <w:spacing w:before="119"/>
              <w:ind w:right="97"/>
              <w:rPr>
                <w:sz w:val="18"/>
              </w:rPr>
            </w:pPr>
            <w:r>
              <w:rPr>
                <w:sz w:val="18"/>
              </w:rPr>
              <w:t>0.15</w:t>
            </w:r>
          </w:p>
        </w:tc>
        <w:tc>
          <w:tcPr>
            <w:tcW w:w="1425" w:type="dxa"/>
          </w:tcPr>
          <w:p w:rsidR="007C5447" w:rsidRDefault="00F6308C">
            <w:pPr>
              <w:pStyle w:val="TableParagraph"/>
              <w:spacing w:before="119"/>
              <w:ind w:right="96"/>
              <w:rPr>
                <w:sz w:val="18"/>
              </w:rPr>
            </w:pPr>
            <w:r>
              <w:rPr>
                <w:sz w:val="18"/>
              </w:rPr>
              <w:t>0.15</w:t>
            </w:r>
          </w:p>
        </w:tc>
        <w:tc>
          <w:tcPr>
            <w:tcW w:w="1392" w:type="dxa"/>
          </w:tcPr>
          <w:p w:rsidR="007C5447" w:rsidRDefault="00F6308C">
            <w:pPr>
              <w:pStyle w:val="TableParagraph"/>
              <w:spacing w:before="119"/>
              <w:ind w:right="96"/>
              <w:rPr>
                <w:sz w:val="18"/>
              </w:rPr>
            </w:pPr>
            <w:r>
              <w:rPr>
                <w:sz w:val="18"/>
              </w:rPr>
              <w:t>0.00</w:t>
            </w:r>
          </w:p>
        </w:tc>
        <w:tc>
          <w:tcPr>
            <w:tcW w:w="1240" w:type="dxa"/>
          </w:tcPr>
          <w:p w:rsidR="007C5447" w:rsidRDefault="00F6308C">
            <w:pPr>
              <w:pStyle w:val="TableParagraph"/>
              <w:spacing w:before="119"/>
              <w:ind w:right="95"/>
              <w:rPr>
                <w:sz w:val="18"/>
              </w:rPr>
            </w:pPr>
            <w:r>
              <w:rPr>
                <w:sz w:val="18"/>
              </w:rPr>
              <w:t>0.00</w:t>
            </w:r>
          </w:p>
        </w:tc>
        <w:tc>
          <w:tcPr>
            <w:tcW w:w="1392" w:type="dxa"/>
          </w:tcPr>
          <w:p w:rsidR="007C5447" w:rsidRDefault="00F6308C">
            <w:pPr>
              <w:pStyle w:val="TableParagraph"/>
              <w:spacing w:before="119"/>
              <w:ind w:right="94"/>
              <w:rPr>
                <w:sz w:val="18"/>
              </w:rPr>
            </w:pPr>
            <w:r>
              <w:rPr>
                <w:sz w:val="18"/>
              </w:rPr>
              <w:t>4.83</w:t>
            </w:r>
          </w:p>
        </w:tc>
        <w:tc>
          <w:tcPr>
            <w:tcW w:w="1413" w:type="dxa"/>
          </w:tcPr>
          <w:p w:rsidR="007C5447" w:rsidRDefault="00F6308C">
            <w:pPr>
              <w:pStyle w:val="TableParagraph"/>
              <w:spacing w:before="119"/>
              <w:ind w:right="96"/>
              <w:rPr>
                <w:sz w:val="18"/>
              </w:rPr>
            </w:pPr>
            <w:r>
              <w:rPr>
                <w:sz w:val="18"/>
              </w:rPr>
              <w:t>4.83</w:t>
            </w:r>
          </w:p>
        </w:tc>
      </w:tr>
    </w:tbl>
    <w:p w:rsidR="007C5447" w:rsidRDefault="007C5447">
      <w:pPr>
        <w:rPr>
          <w:sz w:val="18"/>
        </w:rPr>
        <w:sectPr w:rsidR="007C5447">
          <w:footerReference w:type="default" r:id="rId24"/>
          <w:pgSz w:w="11910" w:h="16840"/>
          <w:pgMar w:top="1360" w:right="80" w:bottom="1240" w:left="760" w:header="0" w:footer="1057" w:gutter="0"/>
          <w:cols w:space="720"/>
        </w:sect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0"/>
        <w:gridCol w:w="1414"/>
        <w:gridCol w:w="1425"/>
        <w:gridCol w:w="1392"/>
        <w:gridCol w:w="1240"/>
        <w:gridCol w:w="1392"/>
        <w:gridCol w:w="1413"/>
      </w:tblGrid>
      <w:tr w:rsidR="007C5447">
        <w:trPr>
          <w:trHeight w:val="249"/>
        </w:trPr>
        <w:tc>
          <w:tcPr>
            <w:tcW w:w="2040" w:type="dxa"/>
            <w:vMerge w:val="restart"/>
            <w:shd w:val="clear" w:color="auto" w:fill="FBD4B4"/>
          </w:tcPr>
          <w:p w:rsidR="007C5447" w:rsidRDefault="00F6308C">
            <w:pPr>
              <w:pStyle w:val="TableParagraph"/>
              <w:spacing w:before="146"/>
              <w:ind w:left="146"/>
              <w:jc w:val="left"/>
              <w:rPr>
                <w:b/>
                <w:sz w:val="18"/>
              </w:rPr>
            </w:pPr>
            <w:r>
              <w:rPr>
                <w:b/>
                <w:sz w:val="18"/>
              </w:rPr>
              <w:lastRenderedPageBreak/>
              <w:t>Particulars</w:t>
            </w:r>
          </w:p>
        </w:tc>
        <w:tc>
          <w:tcPr>
            <w:tcW w:w="2839" w:type="dxa"/>
            <w:gridSpan w:val="2"/>
            <w:shd w:val="clear" w:color="auto" w:fill="FBD4B4"/>
          </w:tcPr>
          <w:p w:rsidR="007C5447" w:rsidRDefault="00F6308C">
            <w:pPr>
              <w:pStyle w:val="TableParagraph"/>
              <w:spacing w:before="21"/>
              <w:ind w:left="963" w:right="940"/>
              <w:jc w:val="center"/>
              <w:rPr>
                <w:b/>
                <w:sz w:val="18"/>
              </w:rPr>
            </w:pPr>
            <w:r>
              <w:rPr>
                <w:b/>
                <w:sz w:val="18"/>
              </w:rPr>
              <w:t>FY 2011-12</w:t>
            </w:r>
          </w:p>
        </w:tc>
        <w:tc>
          <w:tcPr>
            <w:tcW w:w="2632" w:type="dxa"/>
            <w:gridSpan w:val="2"/>
            <w:shd w:val="clear" w:color="auto" w:fill="FBD4B4"/>
          </w:tcPr>
          <w:p w:rsidR="007C5447" w:rsidRDefault="00F6308C">
            <w:pPr>
              <w:pStyle w:val="TableParagraph"/>
              <w:spacing w:before="21"/>
              <w:ind w:left="879"/>
              <w:jc w:val="left"/>
              <w:rPr>
                <w:b/>
                <w:sz w:val="18"/>
              </w:rPr>
            </w:pPr>
            <w:r>
              <w:rPr>
                <w:b/>
                <w:sz w:val="18"/>
              </w:rPr>
              <w:t>FY 2012-13</w:t>
            </w:r>
          </w:p>
        </w:tc>
        <w:tc>
          <w:tcPr>
            <w:tcW w:w="2805" w:type="dxa"/>
            <w:gridSpan w:val="2"/>
            <w:shd w:val="clear" w:color="auto" w:fill="FBD4B4"/>
          </w:tcPr>
          <w:p w:rsidR="007C5447" w:rsidRDefault="00F6308C">
            <w:pPr>
              <w:pStyle w:val="TableParagraph"/>
              <w:spacing w:before="21"/>
              <w:ind w:left="941" w:right="928"/>
              <w:jc w:val="center"/>
              <w:rPr>
                <w:b/>
                <w:sz w:val="18"/>
              </w:rPr>
            </w:pPr>
            <w:r>
              <w:rPr>
                <w:b/>
                <w:sz w:val="18"/>
              </w:rPr>
              <w:t>FY 2013-14</w:t>
            </w:r>
          </w:p>
        </w:tc>
      </w:tr>
      <w:tr w:rsidR="007C5447">
        <w:trPr>
          <w:trHeight w:val="444"/>
        </w:trPr>
        <w:tc>
          <w:tcPr>
            <w:tcW w:w="2040" w:type="dxa"/>
            <w:vMerge/>
            <w:tcBorders>
              <w:top w:val="nil"/>
            </w:tcBorders>
            <w:shd w:val="clear" w:color="auto" w:fill="FBD4B4"/>
          </w:tcPr>
          <w:p w:rsidR="007C5447" w:rsidRDefault="007C5447">
            <w:pPr>
              <w:rPr>
                <w:sz w:val="2"/>
                <w:szCs w:val="2"/>
              </w:rPr>
            </w:pPr>
          </w:p>
        </w:tc>
        <w:tc>
          <w:tcPr>
            <w:tcW w:w="1414" w:type="dxa"/>
            <w:shd w:val="clear" w:color="auto" w:fill="FBD4B4"/>
          </w:tcPr>
          <w:p w:rsidR="007C5447" w:rsidRDefault="00F6308C">
            <w:pPr>
              <w:pStyle w:val="TableParagraph"/>
              <w:spacing w:before="120"/>
              <w:ind w:left="187"/>
              <w:jc w:val="left"/>
              <w:rPr>
                <w:b/>
                <w:sz w:val="18"/>
              </w:rPr>
            </w:pPr>
            <w:r>
              <w:rPr>
                <w:b/>
                <w:sz w:val="18"/>
              </w:rPr>
              <w:t>TANGEDCO</w:t>
            </w:r>
          </w:p>
        </w:tc>
        <w:tc>
          <w:tcPr>
            <w:tcW w:w="1425" w:type="dxa"/>
            <w:shd w:val="clear" w:color="auto" w:fill="FBD4B4"/>
          </w:tcPr>
          <w:p w:rsidR="007C5447" w:rsidRDefault="00F6308C">
            <w:pPr>
              <w:pStyle w:val="TableParagraph"/>
              <w:spacing w:before="20" w:line="206" w:lineRule="exact"/>
              <w:ind w:left="430" w:right="90" w:hanging="310"/>
              <w:jc w:val="left"/>
              <w:rPr>
                <w:b/>
                <w:sz w:val="18"/>
              </w:rPr>
            </w:pPr>
            <w:r>
              <w:rPr>
                <w:b/>
                <w:sz w:val="18"/>
              </w:rPr>
              <w:t>Approved after true up</w:t>
            </w:r>
          </w:p>
        </w:tc>
        <w:tc>
          <w:tcPr>
            <w:tcW w:w="1392" w:type="dxa"/>
            <w:shd w:val="clear" w:color="auto" w:fill="FBD4B4"/>
          </w:tcPr>
          <w:p w:rsidR="007C5447" w:rsidRDefault="00F6308C">
            <w:pPr>
              <w:pStyle w:val="TableParagraph"/>
              <w:spacing w:before="120"/>
              <w:ind w:right="166"/>
              <w:rPr>
                <w:b/>
                <w:sz w:val="18"/>
              </w:rPr>
            </w:pPr>
            <w:r>
              <w:rPr>
                <w:b/>
                <w:sz w:val="18"/>
              </w:rPr>
              <w:t>TANGEDCO</w:t>
            </w:r>
          </w:p>
        </w:tc>
        <w:tc>
          <w:tcPr>
            <w:tcW w:w="1240" w:type="dxa"/>
            <w:shd w:val="clear" w:color="auto" w:fill="FBD4B4"/>
          </w:tcPr>
          <w:p w:rsidR="007C5447" w:rsidRDefault="00F6308C">
            <w:pPr>
              <w:pStyle w:val="TableParagraph"/>
              <w:spacing w:before="20" w:line="206" w:lineRule="exact"/>
              <w:ind w:left="131" w:right="99" w:firstLine="105"/>
              <w:jc w:val="left"/>
              <w:rPr>
                <w:b/>
                <w:sz w:val="18"/>
              </w:rPr>
            </w:pPr>
            <w:r>
              <w:rPr>
                <w:b/>
                <w:sz w:val="18"/>
              </w:rPr>
              <w:t>Approved after true up</w:t>
            </w:r>
          </w:p>
        </w:tc>
        <w:tc>
          <w:tcPr>
            <w:tcW w:w="1392" w:type="dxa"/>
            <w:shd w:val="clear" w:color="auto" w:fill="FBD4B4"/>
          </w:tcPr>
          <w:p w:rsidR="007C5447" w:rsidRDefault="00F6308C">
            <w:pPr>
              <w:pStyle w:val="TableParagraph"/>
              <w:spacing w:before="120"/>
              <w:ind w:left="177"/>
              <w:jc w:val="left"/>
              <w:rPr>
                <w:b/>
                <w:sz w:val="18"/>
              </w:rPr>
            </w:pPr>
            <w:r>
              <w:rPr>
                <w:b/>
                <w:sz w:val="18"/>
              </w:rPr>
              <w:t>TANGEDCO</w:t>
            </w:r>
          </w:p>
        </w:tc>
        <w:tc>
          <w:tcPr>
            <w:tcW w:w="1413" w:type="dxa"/>
            <w:shd w:val="clear" w:color="auto" w:fill="FBD4B4"/>
          </w:tcPr>
          <w:p w:rsidR="007C5447" w:rsidRDefault="00F6308C">
            <w:pPr>
              <w:pStyle w:val="TableParagraph"/>
              <w:spacing w:before="20" w:line="206" w:lineRule="exact"/>
              <w:ind w:left="425" w:right="83" w:hanging="310"/>
              <w:jc w:val="left"/>
              <w:rPr>
                <w:b/>
                <w:sz w:val="18"/>
              </w:rPr>
            </w:pPr>
            <w:r>
              <w:rPr>
                <w:b/>
                <w:sz w:val="18"/>
              </w:rPr>
              <w:t>Approved after true up</w:t>
            </w:r>
          </w:p>
        </w:tc>
      </w:tr>
      <w:tr w:rsidR="007C5447">
        <w:trPr>
          <w:trHeight w:val="354"/>
        </w:trPr>
        <w:tc>
          <w:tcPr>
            <w:tcW w:w="2040" w:type="dxa"/>
          </w:tcPr>
          <w:p w:rsidR="007C5447" w:rsidRDefault="00F6308C">
            <w:pPr>
              <w:pStyle w:val="TableParagraph"/>
              <w:spacing w:before="74"/>
              <w:ind w:left="107"/>
              <w:jc w:val="left"/>
              <w:rPr>
                <w:b/>
                <w:sz w:val="18"/>
              </w:rPr>
            </w:pPr>
            <w:r>
              <w:rPr>
                <w:b/>
                <w:sz w:val="18"/>
              </w:rPr>
              <w:t>Prior Period Income</w:t>
            </w:r>
          </w:p>
        </w:tc>
        <w:tc>
          <w:tcPr>
            <w:tcW w:w="1414" w:type="dxa"/>
          </w:tcPr>
          <w:p w:rsidR="007C5447" w:rsidRDefault="007C5447">
            <w:pPr>
              <w:pStyle w:val="TableParagraph"/>
              <w:jc w:val="left"/>
              <w:rPr>
                <w:sz w:val="18"/>
              </w:rPr>
            </w:pPr>
          </w:p>
        </w:tc>
        <w:tc>
          <w:tcPr>
            <w:tcW w:w="1425" w:type="dxa"/>
          </w:tcPr>
          <w:p w:rsidR="007C5447" w:rsidRDefault="007C5447">
            <w:pPr>
              <w:pStyle w:val="TableParagraph"/>
              <w:jc w:val="left"/>
              <w:rPr>
                <w:sz w:val="18"/>
              </w:rPr>
            </w:pPr>
          </w:p>
        </w:tc>
        <w:tc>
          <w:tcPr>
            <w:tcW w:w="1392" w:type="dxa"/>
          </w:tcPr>
          <w:p w:rsidR="007C5447" w:rsidRDefault="007C5447">
            <w:pPr>
              <w:pStyle w:val="TableParagraph"/>
              <w:jc w:val="left"/>
              <w:rPr>
                <w:sz w:val="18"/>
              </w:rPr>
            </w:pPr>
          </w:p>
        </w:tc>
        <w:tc>
          <w:tcPr>
            <w:tcW w:w="1240" w:type="dxa"/>
          </w:tcPr>
          <w:p w:rsidR="007C5447" w:rsidRDefault="007C5447">
            <w:pPr>
              <w:pStyle w:val="TableParagraph"/>
              <w:jc w:val="left"/>
              <w:rPr>
                <w:sz w:val="18"/>
              </w:rPr>
            </w:pPr>
          </w:p>
        </w:tc>
        <w:tc>
          <w:tcPr>
            <w:tcW w:w="1392" w:type="dxa"/>
          </w:tcPr>
          <w:p w:rsidR="007C5447" w:rsidRDefault="007C5447">
            <w:pPr>
              <w:pStyle w:val="TableParagraph"/>
              <w:jc w:val="left"/>
              <w:rPr>
                <w:sz w:val="18"/>
              </w:rPr>
            </w:pPr>
          </w:p>
        </w:tc>
        <w:tc>
          <w:tcPr>
            <w:tcW w:w="1413" w:type="dxa"/>
          </w:tcPr>
          <w:p w:rsidR="007C5447" w:rsidRDefault="007C5447">
            <w:pPr>
              <w:pStyle w:val="TableParagraph"/>
              <w:jc w:val="left"/>
              <w:rPr>
                <w:sz w:val="18"/>
              </w:rPr>
            </w:pPr>
          </w:p>
        </w:tc>
      </w:tr>
      <w:tr w:rsidR="007C5447">
        <w:trPr>
          <w:trHeight w:val="354"/>
        </w:trPr>
        <w:tc>
          <w:tcPr>
            <w:tcW w:w="2040" w:type="dxa"/>
          </w:tcPr>
          <w:p w:rsidR="007C5447" w:rsidRDefault="00F6308C">
            <w:pPr>
              <w:pStyle w:val="TableParagraph"/>
              <w:spacing w:before="74"/>
              <w:ind w:left="107"/>
              <w:jc w:val="left"/>
              <w:rPr>
                <w:sz w:val="18"/>
              </w:rPr>
            </w:pPr>
            <w:r>
              <w:rPr>
                <w:sz w:val="18"/>
              </w:rPr>
              <w:t>Employee cost</w:t>
            </w:r>
          </w:p>
        </w:tc>
        <w:tc>
          <w:tcPr>
            <w:tcW w:w="1414" w:type="dxa"/>
          </w:tcPr>
          <w:p w:rsidR="007C5447" w:rsidRDefault="00F6308C">
            <w:pPr>
              <w:pStyle w:val="TableParagraph"/>
              <w:spacing w:before="74"/>
              <w:ind w:right="94"/>
              <w:rPr>
                <w:sz w:val="18"/>
              </w:rPr>
            </w:pPr>
            <w:r>
              <w:rPr>
                <w:sz w:val="18"/>
              </w:rPr>
              <w:t>26.42</w:t>
            </w:r>
          </w:p>
        </w:tc>
        <w:tc>
          <w:tcPr>
            <w:tcW w:w="1425" w:type="dxa"/>
          </w:tcPr>
          <w:p w:rsidR="007C5447" w:rsidRDefault="00F6308C">
            <w:pPr>
              <w:pStyle w:val="TableParagraph"/>
              <w:spacing w:before="74"/>
              <w:ind w:right="94"/>
              <w:rPr>
                <w:sz w:val="18"/>
              </w:rPr>
            </w:pPr>
            <w:r>
              <w:rPr>
                <w:sz w:val="18"/>
              </w:rPr>
              <w:t>26.42</w:t>
            </w:r>
          </w:p>
        </w:tc>
        <w:tc>
          <w:tcPr>
            <w:tcW w:w="1392" w:type="dxa"/>
          </w:tcPr>
          <w:p w:rsidR="007C5447" w:rsidRDefault="00F6308C">
            <w:pPr>
              <w:pStyle w:val="TableParagraph"/>
              <w:spacing w:before="74"/>
              <w:ind w:right="93"/>
              <w:rPr>
                <w:sz w:val="18"/>
              </w:rPr>
            </w:pPr>
            <w:r>
              <w:rPr>
                <w:sz w:val="18"/>
              </w:rPr>
              <w:t>14.64</w:t>
            </w:r>
          </w:p>
        </w:tc>
        <w:tc>
          <w:tcPr>
            <w:tcW w:w="1240" w:type="dxa"/>
          </w:tcPr>
          <w:p w:rsidR="007C5447" w:rsidRDefault="00F6308C">
            <w:pPr>
              <w:pStyle w:val="TableParagraph"/>
              <w:spacing w:before="74"/>
              <w:ind w:right="92"/>
              <w:rPr>
                <w:sz w:val="18"/>
              </w:rPr>
            </w:pPr>
            <w:r>
              <w:rPr>
                <w:sz w:val="18"/>
              </w:rPr>
              <w:t>14.64</w:t>
            </w:r>
          </w:p>
        </w:tc>
        <w:tc>
          <w:tcPr>
            <w:tcW w:w="1392" w:type="dxa"/>
          </w:tcPr>
          <w:p w:rsidR="007C5447" w:rsidRDefault="00F6308C">
            <w:pPr>
              <w:pStyle w:val="TableParagraph"/>
              <w:spacing w:before="74"/>
              <w:ind w:right="96"/>
              <w:rPr>
                <w:sz w:val="18"/>
              </w:rPr>
            </w:pPr>
            <w:r>
              <w:rPr>
                <w:sz w:val="18"/>
              </w:rPr>
              <w:t>562.62</w:t>
            </w:r>
          </w:p>
        </w:tc>
        <w:tc>
          <w:tcPr>
            <w:tcW w:w="1413" w:type="dxa"/>
          </w:tcPr>
          <w:p w:rsidR="007C5447" w:rsidRDefault="00F6308C">
            <w:pPr>
              <w:pStyle w:val="TableParagraph"/>
              <w:spacing w:before="74"/>
              <w:ind w:right="96"/>
              <w:rPr>
                <w:sz w:val="18"/>
              </w:rPr>
            </w:pPr>
            <w:r>
              <w:rPr>
                <w:sz w:val="18"/>
              </w:rPr>
              <w:t>562.62</w:t>
            </w:r>
          </w:p>
        </w:tc>
      </w:tr>
      <w:tr w:rsidR="007C5447">
        <w:trPr>
          <w:trHeight w:val="443"/>
        </w:trPr>
        <w:tc>
          <w:tcPr>
            <w:tcW w:w="2040" w:type="dxa"/>
          </w:tcPr>
          <w:p w:rsidR="007C5447" w:rsidRDefault="00F6308C">
            <w:pPr>
              <w:pStyle w:val="TableParagraph"/>
              <w:spacing w:before="17" w:line="206" w:lineRule="exact"/>
              <w:ind w:left="107" w:right="518"/>
              <w:jc w:val="left"/>
              <w:rPr>
                <w:sz w:val="18"/>
              </w:rPr>
            </w:pPr>
            <w:r>
              <w:rPr>
                <w:sz w:val="18"/>
              </w:rPr>
              <w:t>Depreciation under provided</w:t>
            </w:r>
          </w:p>
        </w:tc>
        <w:tc>
          <w:tcPr>
            <w:tcW w:w="1414" w:type="dxa"/>
          </w:tcPr>
          <w:p w:rsidR="007C5447" w:rsidRDefault="00F6308C">
            <w:pPr>
              <w:pStyle w:val="TableParagraph"/>
              <w:spacing w:before="117"/>
              <w:ind w:right="95"/>
              <w:rPr>
                <w:sz w:val="18"/>
              </w:rPr>
            </w:pPr>
            <w:r>
              <w:rPr>
                <w:w w:val="99"/>
                <w:sz w:val="18"/>
              </w:rPr>
              <w:t>-</w:t>
            </w:r>
          </w:p>
        </w:tc>
        <w:tc>
          <w:tcPr>
            <w:tcW w:w="1425" w:type="dxa"/>
          </w:tcPr>
          <w:p w:rsidR="007C5447" w:rsidRDefault="00F6308C">
            <w:pPr>
              <w:pStyle w:val="TableParagraph"/>
              <w:spacing w:before="117"/>
              <w:ind w:right="95"/>
              <w:rPr>
                <w:sz w:val="18"/>
              </w:rPr>
            </w:pPr>
            <w:r>
              <w:rPr>
                <w:w w:val="99"/>
                <w:sz w:val="18"/>
              </w:rPr>
              <w:t>-</w:t>
            </w:r>
          </w:p>
        </w:tc>
        <w:tc>
          <w:tcPr>
            <w:tcW w:w="1392" w:type="dxa"/>
          </w:tcPr>
          <w:p w:rsidR="007C5447" w:rsidRDefault="00F6308C">
            <w:pPr>
              <w:pStyle w:val="TableParagraph"/>
              <w:spacing w:before="117"/>
              <w:ind w:right="94"/>
              <w:rPr>
                <w:sz w:val="18"/>
              </w:rPr>
            </w:pPr>
            <w:r>
              <w:rPr>
                <w:w w:val="99"/>
                <w:sz w:val="18"/>
              </w:rPr>
              <w:t>-</w:t>
            </w:r>
          </w:p>
        </w:tc>
        <w:tc>
          <w:tcPr>
            <w:tcW w:w="1240" w:type="dxa"/>
          </w:tcPr>
          <w:p w:rsidR="007C5447" w:rsidRDefault="00F6308C">
            <w:pPr>
              <w:pStyle w:val="TableParagraph"/>
              <w:spacing w:before="117"/>
              <w:ind w:right="93"/>
              <w:rPr>
                <w:sz w:val="18"/>
              </w:rPr>
            </w:pPr>
            <w:r>
              <w:rPr>
                <w:w w:val="99"/>
                <w:sz w:val="18"/>
              </w:rPr>
              <w:t>-</w:t>
            </w:r>
          </w:p>
        </w:tc>
        <w:tc>
          <w:tcPr>
            <w:tcW w:w="1392" w:type="dxa"/>
          </w:tcPr>
          <w:p w:rsidR="007C5447" w:rsidRDefault="00F6308C">
            <w:pPr>
              <w:pStyle w:val="TableParagraph"/>
              <w:spacing w:before="117"/>
              <w:ind w:right="93"/>
              <w:rPr>
                <w:sz w:val="18"/>
              </w:rPr>
            </w:pPr>
            <w:r>
              <w:rPr>
                <w:w w:val="99"/>
                <w:sz w:val="18"/>
              </w:rPr>
              <w:t>-</w:t>
            </w:r>
          </w:p>
        </w:tc>
        <w:tc>
          <w:tcPr>
            <w:tcW w:w="1413" w:type="dxa"/>
          </w:tcPr>
          <w:p w:rsidR="007C5447" w:rsidRDefault="00F6308C">
            <w:pPr>
              <w:pStyle w:val="TableParagraph"/>
              <w:spacing w:before="117"/>
              <w:ind w:right="95"/>
              <w:rPr>
                <w:sz w:val="18"/>
              </w:rPr>
            </w:pPr>
            <w:r>
              <w:rPr>
                <w:w w:val="99"/>
                <w:sz w:val="18"/>
              </w:rPr>
              <w:t>-</w:t>
            </w:r>
          </w:p>
        </w:tc>
      </w:tr>
      <w:tr w:rsidR="007C5447">
        <w:trPr>
          <w:trHeight w:val="443"/>
        </w:trPr>
        <w:tc>
          <w:tcPr>
            <w:tcW w:w="2040" w:type="dxa"/>
          </w:tcPr>
          <w:p w:rsidR="007C5447" w:rsidRDefault="00F6308C">
            <w:pPr>
              <w:pStyle w:val="TableParagraph"/>
              <w:spacing w:before="11" w:line="210" w:lineRule="atLeast"/>
              <w:ind w:left="107" w:right="483"/>
              <w:jc w:val="left"/>
              <w:rPr>
                <w:sz w:val="18"/>
              </w:rPr>
            </w:pPr>
            <w:r>
              <w:rPr>
                <w:sz w:val="18"/>
              </w:rPr>
              <w:t>Interest and finance charges</w:t>
            </w:r>
          </w:p>
        </w:tc>
        <w:tc>
          <w:tcPr>
            <w:tcW w:w="1414" w:type="dxa"/>
          </w:tcPr>
          <w:p w:rsidR="007C5447" w:rsidRDefault="00F6308C">
            <w:pPr>
              <w:pStyle w:val="TableParagraph"/>
              <w:spacing w:before="119"/>
              <w:ind w:right="99"/>
              <w:rPr>
                <w:sz w:val="18"/>
              </w:rPr>
            </w:pPr>
            <w:r>
              <w:rPr>
                <w:sz w:val="18"/>
              </w:rPr>
              <w:t>298.10</w:t>
            </w:r>
          </w:p>
        </w:tc>
        <w:tc>
          <w:tcPr>
            <w:tcW w:w="1425" w:type="dxa"/>
          </w:tcPr>
          <w:p w:rsidR="007C5447" w:rsidRDefault="00F6308C">
            <w:pPr>
              <w:pStyle w:val="TableParagraph"/>
              <w:spacing w:before="119"/>
              <w:ind w:right="95"/>
              <w:rPr>
                <w:sz w:val="18"/>
              </w:rPr>
            </w:pPr>
            <w:r>
              <w:rPr>
                <w:w w:val="99"/>
                <w:sz w:val="18"/>
              </w:rPr>
              <w:t>-</w:t>
            </w:r>
          </w:p>
        </w:tc>
        <w:tc>
          <w:tcPr>
            <w:tcW w:w="1392" w:type="dxa"/>
          </w:tcPr>
          <w:p w:rsidR="007C5447" w:rsidRDefault="00F6308C">
            <w:pPr>
              <w:pStyle w:val="TableParagraph"/>
              <w:spacing w:before="119"/>
              <w:ind w:right="96"/>
              <w:rPr>
                <w:sz w:val="18"/>
              </w:rPr>
            </w:pPr>
            <w:r>
              <w:rPr>
                <w:sz w:val="18"/>
              </w:rPr>
              <w:t>518.89</w:t>
            </w:r>
          </w:p>
        </w:tc>
        <w:tc>
          <w:tcPr>
            <w:tcW w:w="1240" w:type="dxa"/>
          </w:tcPr>
          <w:p w:rsidR="007C5447" w:rsidRDefault="00F6308C">
            <w:pPr>
              <w:pStyle w:val="TableParagraph"/>
              <w:spacing w:before="119"/>
              <w:ind w:right="93"/>
              <w:rPr>
                <w:sz w:val="18"/>
              </w:rPr>
            </w:pPr>
            <w:r>
              <w:rPr>
                <w:w w:val="99"/>
                <w:sz w:val="18"/>
              </w:rPr>
              <w:t>-</w:t>
            </w:r>
          </w:p>
        </w:tc>
        <w:tc>
          <w:tcPr>
            <w:tcW w:w="1392" w:type="dxa"/>
          </w:tcPr>
          <w:p w:rsidR="007C5447" w:rsidRDefault="00F6308C">
            <w:pPr>
              <w:pStyle w:val="TableParagraph"/>
              <w:spacing w:before="119"/>
              <w:ind w:right="96"/>
              <w:rPr>
                <w:sz w:val="18"/>
              </w:rPr>
            </w:pPr>
            <w:r>
              <w:rPr>
                <w:sz w:val="18"/>
              </w:rPr>
              <w:t>204.23</w:t>
            </w:r>
          </w:p>
        </w:tc>
        <w:tc>
          <w:tcPr>
            <w:tcW w:w="1413" w:type="dxa"/>
          </w:tcPr>
          <w:p w:rsidR="007C5447" w:rsidRDefault="00F6308C">
            <w:pPr>
              <w:pStyle w:val="TableParagraph"/>
              <w:spacing w:before="119"/>
              <w:ind w:right="95"/>
              <w:rPr>
                <w:sz w:val="18"/>
              </w:rPr>
            </w:pPr>
            <w:r>
              <w:rPr>
                <w:w w:val="99"/>
                <w:sz w:val="18"/>
              </w:rPr>
              <w:t>-</w:t>
            </w:r>
          </w:p>
        </w:tc>
      </w:tr>
      <w:tr w:rsidR="007C5447">
        <w:trPr>
          <w:trHeight w:val="354"/>
        </w:trPr>
        <w:tc>
          <w:tcPr>
            <w:tcW w:w="2040" w:type="dxa"/>
          </w:tcPr>
          <w:p w:rsidR="007C5447" w:rsidRDefault="00F6308C">
            <w:pPr>
              <w:pStyle w:val="TableParagraph"/>
              <w:spacing w:before="74"/>
              <w:ind w:left="107"/>
              <w:jc w:val="left"/>
              <w:rPr>
                <w:sz w:val="18"/>
              </w:rPr>
            </w:pPr>
            <w:r>
              <w:rPr>
                <w:sz w:val="18"/>
              </w:rPr>
              <w:t>Other Charges</w:t>
            </w:r>
          </w:p>
        </w:tc>
        <w:tc>
          <w:tcPr>
            <w:tcW w:w="1414" w:type="dxa"/>
          </w:tcPr>
          <w:p w:rsidR="007C5447" w:rsidRDefault="00F6308C">
            <w:pPr>
              <w:pStyle w:val="TableParagraph"/>
              <w:spacing w:before="74"/>
              <w:ind w:right="99"/>
              <w:rPr>
                <w:sz w:val="18"/>
              </w:rPr>
            </w:pPr>
            <w:r>
              <w:rPr>
                <w:sz w:val="18"/>
              </w:rPr>
              <w:t>230.98</w:t>
            </w:r>
          </w:p>
        </w:tc>
        <w:tc>
          <w:tcPr>
            <w:tcW w:w="1425" w:type="dxa"/>
          </w:tcPr>
          <w:p w:rsidR="007C5447" w:rsidRDefault="00F6308C">
            <w:pPr>
              <w:pStyle w:val="TableParagraph"/>
              <w:spacing w:before="74"/>
              <w:ind w:right="96"/>
              <w:rPr>
                <w:sz w:val="18"/>
              </w:rPr>
            </w:pPr>
            <w:r>
              <w:rPr>
                <w:sz w:val="18"/>
              </w:rPr>
              <w:t>230.98</w:t>
            </w:r>
          </w:p>
        </w:tc>
        <w:tc>
          <w:tcPr>
            <w:tcW w:w="1392" w:type="dxa"/>
          </w:tcPr>
          <w:p w:rsidR="007C5447" w:rsidRDefault="00F6308C">
            <w:pPr>
              <w:pStyle w:val="TableParagraph"/>
              <w:spacing w:before="74"/>
              <w:ind w:right="96"/>
              <w:rPr>
                <w:sz w:val="18"/>
              </w:rPr>
            </w:pPr>
            <w:r>
              <w:rPr>
                <w:sz w:val="18"/>
              </w:rPr>
              <w:t>629.32</w:t>
            </w:r>
          </w:p>
        </w:tc>
        <w:tc>
          <w:tcPr>
            <w:tcW w:w="1240" w:type="dxa"/>
          </w:tcPr>
          <w:p w:rsidR="007C5447" w:rsidRDefault="00F6308C">
            <w:pPr>
              <w:pStyle w:val="TableParagraph"/>
              <w:spacing w:before="74"/>
              <w:ind w:right="95"/>
              <w:rPr>
                <w:sz w:val="18"/>
              </w:rPr>
            </w:pPr>
            <w:r>
              <w:rPr>
                <w:sz w:val="18"/>
              </w:rPr>
              <w:t>629.32</w:t>
            </w:r>
          </w:p>
        </w:tc>
        <w:tc>
          <w:tcPr>
            <w:tcW w:w="1392" w:type="dxa"/>
          </w:tcPr>
          <w:p w:rsidR="007C5447" w:rsidRDefault="00F6308C">
            <w:pPr>
              <w:pStyle w:val="TableParagraph"/>
              <w:spacing w:before="74"/>
              <w:ind w:right="96"/>
              <w:rPr>
                <w:sz w:val="18"/>
              </w:rPr>
            </w:pPr>
            <w:r>
              <w:rPr>
                <w:sz w:val="18"/>
              </w:rPr>
              <w:t>296.62</w:t>
            </w:r>
          </w:p>
        </w:tc>
        <w:tc>
          <w:tcPr>
            <w:tcW w:w="1413" w:type="dxa"/>
          </w:tcPr>
          <w:p w:rsidR="007C5447" w:rsidRDefault="00F6308C">
            <w:pPr>
              <w:pStyle w:val="TableParagraph"/>
              <w:spacing w:before="74"/>
              <w:ind w:right="96"/>
              <w:rPr>
                <w:sz w:val="18"/>
              </w:rPr>
            </w:pPr>
            <w:r>
              <w:rPr>
                <w:sz w:val="18"/>
              </w:rPr>
              <w:t>296.62</w:t>
            </w:r>
          </w:p>
        </w:tc>
      </w:tr>
      <w:tr w:rsidR="007C5447">
        <w:trPr>
          <w:trHeight w:val="443"/>
        </w:trPr>
        <w:tc>
          <w:tcPr>
            <w:tcW w:w="2040" w:type="dxa"/>
          </w:tcPr>
          <w:p w:rsidR="007C5447" w:rsidRDefault="00F6308C">
            <w:pPr>
              <w:pStyle w:val="TableParagraph"/>
              <w:spacing w:before="17" w:line="206" w:lineRule="exact"/>
              <w:ind w:left="107" w:right="483"/>
              <w:jc w:val="left"/>
              <w:rPr>
                <w:b/>
                <w:sz w:val="18"/>
              </w:rPr>
            </w:pPr>
            <w:r>
              <w:rPr>
                <w:b/>
                <w:sz w:val="18"/>
              </w:rPr>
              <w:t>Total Prior Period Expenses</w:t>
            </w:r>
          </w:p>
        </w:tc>
        <w:tc>
          <w:tcPr>
            <w:tcW w:w="1414" w:type="dxa"/>
          </w:tcPr>
          <w:p w:rsidR="007C5447" w:rsidRDefault="00F6308C">
            <w:pPr>
              <w:pStyle w:val="TableParagraph"/>
              <w:spacing w:before="117"/>
              <w:ind w:right="98"/>
              <w:rPr>
                <w:b/>
                <w:sz w:val="18"/>
              </w:rPr>
            </w:pPr>
            <w:r>
              <w:rPr>
                <w:b/>
                <w:sz w:val="18"/>
              </w:rPr>
              <w:t>1,915.14</w:t>
            </w:r>
          </w:p>
        </w:tc>
        <w:tc>
          <w:tcPr>
            <w:tcW w:w="1425" w:type="dxa"/>
          </w:tcPr>
          <w:p w:rsidR="007C5447" w:rsidRDefault="00F6308C">
            <w:pPr>
              <w:pStyle w:val="TableParagraph"/>
              <w:spacing w:before="117"/>
              <w:ind w:right="96"/>
              <w:rPr>
                <w:b/>
                <w:sz w:val="18"/>
              </w:rPr>
            </w:pPr>
            <w:r>
              <w:rPr>
                <w:b/>
                <w:sz w:val="18"/>
              </w:rPr>
              <w:t>266.20</w:t>
            </w:r>
          </w:p>
        </w:tc>
        <w:tc>
          <w:tcPr>
            <w:tcW w:w="1392" w:type="dxa"/>
          </w:tcPr>
          <w:p w:rsidR="007C5447" w:rsidRDefault="00F6308C">
            <w:pPr>
              <w:pStyle w:val="TableParagraph"/>
              <w:spacing w:before="117"/>
              <w:ind w:right="96"/>
              <w:rPr>
                <w:b/>
                <w:sz w:val="18"/>
              </w:rPr>
            </w:pPr>
            <w:r>
              <w:rPr>
                <w:b/>
                <w:sz w:val="18"/>
              </w:rPr>
              <w:t>2,731.79</w:t>
            </w:r>
          </w:p>
        </w:tc>
        <w:tc>
          <w:tcPr>
            <w:tcW w:w="1240" w:type="dxa"/>
          </w:tcPr>
          <w:p w:rsidR="007C5447" w:rsidRDefault="00F6308C">
            <w:pPr>
              <w:pStyle w:val="TableParagraph"/>
              <w:spacing w:before="117"/>
              <w:ind w:right="95"/>
              <w:rPr>
                <w:b/>
                <w:sz w:val="18"/>
              </w:rPr>
            </w:pPr>
            <w:r>
              <w:rPr>
                <w:b/>
                <w:sz w:val="18"/>
              </w:rPr>
              <w:t>645.47</w:t>
            </w:r>
          </w:p>
        </w:tc>
        <w:tc>
          <w:tcPr>
            <w:tcW w:w="1392" w:type="dxa"/>
          </w:tcPr>
          <w:p w:rsidR="007C5447" w:rsidRDefault="00F6308C">
            <w:pPr>
              <w:pStyle w:val="TableParagraph"/>
              <w:spacing w:before="117"/>
              <w:ind w:right="95"/>
              <w:rPr>
                <w:b/>
                <w:sz w:val="18"/>
              </w:rPr>
            </w:pPr>
            <w:r>
              <w:rPr>
                <w:b/>
                <w:sz w:val="18"/>
              </w:rPr>
              <w:t>1,454.40</w:t>
            </w:r>
          </w:p>
        </w:tc>
        <w:tc>
          <w:tcPr>
            <w:tcW w:w="1413" w:type="dxa"/>
          </w:tcPr>
          <w:p w:rsidR="007C5447" w:rsidRDefault="00F6308C">
            <w:pPr>
              <w:pStyle w:val="TableParagraph"/>
              <w:spacing w:before="117"/>
              <w:ind w:right="96"/>
              <w:rPr>
                <w:b/>
                <w:sz w:val="18"/>
              </w:rPr>
            </w:pPr>
            <w:r>
              <w:rPr>
                <w:b/>
                <w:sz w:val="18"/>
              </w:rPr>
              <w:t>875.61</w:t>
            </w:r>
          </w:p>
        </w:tc>
      </w:tr>
      <w:tr w:rsidR="007C5447">
        <w:trPr>
          <w:trHeight w:val="443"/>
        </w:trPr>
        <w:tc>
          <w:tcPr>
            <w:tcW w:w="2040" w:type="dxa"/>
          </w:tcPr>
          <w:p w:rsidR="007C5447" w:rsidRDefault="00F6308C">
            <w:pPr>
              <w:pStyle w:val="TableParagraph"/>
              <w:spacing w:before="11" w:line="210" w:lineRule="atLeast"/>
              <w:ind w:left="107" w:right="623"/>
              <w:jc w:val="left"/>
              <w:rPr>
                <w:b/>
                <w:sz w:val="18"/>
              </w:rPr>
            </w:pPr>
            <w:r>
              <w:rPr>
                <w:b/>
                <w:sz w:val="18"/>
              </w:rPr>
              <w:t>Net Prior Period Expenses</w:t>
            </w:r>
          </w:p>
        </w:tc>
        <w:tc>
          <w:tcPr>
            <w:tcW w:w="1414" w:type="dxa"/>
          </w:tcPr>
          <w:p w:rsidR="007C5447" w:rsidRDefault="00F6308C">
            <w:pPr>
              <w:pStyle w:val="TableParagraph"/>
              <w:spacing w:before="117"/>
              <w:ind w:right="99"/>
              <w:rPr>
                <w:b/>
                <w:sz w:val="18"/>
              </w:rPr>
            </w:pPr>
            <w:r>
              <w:rPr>
                <w:b/>
                <w:sz w:val="18"/>
              </w:rPr>
              <w:t>670.28</w:t>
            </w:r>
          </w:p>
        </w:tc>
        <w:tc>
          <w:tcPr>
            <w:tcW w:w="1425" w:type="dxa"/>
          </w:tcPr>
          <w:p w:rsidR="007C5447" w:rsidRDefault="00F6308C">
            <w:pPr>
              <w:pStyle w:val="TableParagraph"/>
              <w:spacing w:before="117"/>
              <w:ind w:right="93"/>
              <w:rPr>
                <w:b/>
                <w:sz w:val="18"/>
              </w:rPr>
            </w:pPr>
            <w:r>
              <w:rPr>
                <w:b/>
                <w:sz w:val="18"/>
              </w:rPr>
              <w:t>(865.71)</w:t>
            </w:r>
          </w:p>
        </w:tc>
        <w:tc>
          <w:tcPr>
            <w:tcW w:w="1392" w:type="dxa"/>
          </w:tcPr>
          <w:p w:rsidR="007C5447" w:rsidRDefault="00F6308C">
            <w:pPr>
              <w:pStyle w:val="TableParagraph"/>
              <w:spacing w:before="117"/>
              <w:ind w:right="96"/>
              <w:rPr>
                <w:b/>
                <w:sz w:val="18"/>
              </w:rPr>
            </w:pPr>
            <w:r>
              <w:rPr>
                <w:b/>
                <w:sz w:val="18"/>
              </w:rPr>
              <w:t>1,701.15</w:t>
            </w:r>
          </w:p>
        </w:tc>
        <w:tc>
          <w:tcPr>
            <w:tcW w:w="1240" w:type="dxa"/>
          </w:tcPr>
          <w:p w:rsidR="007C5447" w:rsidRDefault="00F6308C">
            <w:pPr>
              <w:pStyle w:val="TableParagraph"/>
              <w:spacing w:before="117"/>
              <w:ind w:right="92"/>
              <w:rPr>
                <w:b/>
                <w:sz w:val="18"/>
              </w:rPr>
            </w:pPr>
            <w:r>
              <w:rPr>
                <w:b/>
                <w:sz w:val="18"/>
              </w:rPr>
              <w:t>81.79</w:t>
            </w:r>
          </w:p>
        </w:tc>
        <w:tc>
          <w:tcPr>
            <w:tcW w:w="1392" w:type="dxa"/>
          </w:tcPr>
          <w:p w:rsidR="007C5447" w:rsidRDefault="00F6308C">
            <w:pPr>
              <w:pStyle w:val="TableParagraph"/>
              <w:spacing w:before="117"/>
              <w:ind w:right="92"/>
              <w:rPr>
                <w:b/>
                <w:sz w:val="18"/>
              </w:rPr>
            </w:pPr>
            <w:r>
              <w:rPr>
                <w:b/>
                <w:sz w:val="18"/>
              </w:rPr>
              <w:t>38.73</w:t>
            </w:r>
          </w:p>
        </w:tc>
        <w:tc>
          <w:tcPr>
            <w:tcW w:w="1413" w:type="dxa"/>
          </w:tcPr>
          <w:p w:rsidR="007C5447" w:rsidRDefault="00F6308C">
            <w:pPr>
              <w:pStyle w:val="TableParagraph"/>
              <w:spacing w:before="117"/>
              <w:ind w:right="93"/>
              <w:rPr>
                <w:b/>
                <w:sz w:val="18"/>
              </w:rPr>
            </w:pPr>
            <w:r>
              <w:rPr>
                <w:b/>
                <w:sz w:val="18"/>
              </w:rPr>
              <w:t>(112.44)</w:t>
            </w:r>
          </w:p>
        </w:tc>
      </w:tr>
    </w:tbl>
    <w:p w:rsidR="007C5447" w:rsidRDefault="007C5447">
      <w:pPr>
        <w:pStyle w:val="BodyText"/>
        <w:rPr>
          <w:b/>
          <w:sz w:val="13"/>
        </w:rPr>
      </w:pPr>
    </w:p>
    <w:p w:rsidR="007C5447" w:rsidRDefault="00F6308C">
      <w:pPr>
        <w:spacing w:before="92" w:line="312" w:lineRule="auto"/>
        <w:ind w:left="3580" w:right="1441" w:hanging="2823"/>
        <w:rPr>
          <w:b/>
        </w:rPr>
      </w:pPr>
      <w:r>
        <w:rPr>
          <w:b/>
        </w:rPr>
        <w:t>Table 3-33: Prior Period Expenses/(Income) approved by the Commission after true up for FY 2014-15 to FY 2015-16 (Rs. Crore)</w:t>
      </w:r>
    </w:p>
    <w:p w:rsidR="007C5447" w:rsidRDefault="007C5447">
      <w:pPr>
        <w:pStyle w:val="BodyText"/>
        <w:spacing w:before="3" w:after="1"/>
        <w:rPr>
          <w:b/>
          <w:sz w:val="10"/>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22"/>
        <w:gridCol w:w="1882"/>
        <w:gridCol w:w="1915"/>
        <w:gridCol w:w="1841"/>
        <w:gridCol w:w="1656"/>
      </w:tblGrid>
      <w:tr w:rsidR="007C5447">
        <w:trPr>
          <w:trHeight w:val="246"/>
        </w:trPr>
        <w:tc>
          <w:tcPr>
            <w:tcW w:w="2722" w:type="dxa"/>
            <w:vMerge w:val="restart"/>
            <w:shd w:val="clear" w:color="auto" w:fill="FBD4B4"/>
          </w:tcPr>
          <w:p w:rsidR="007C5447" w:rsidRDefault="00F6308C">
            <w:pPr>
              <w:pStyle w:val="TableParagraph"/>
              <w:spacing w:before="143"/>
              <w:ind w:left="146"/>
              <w:jc w:val="left"/>
              <w:rPr>
                <w:b/>
                <w:sz w:val="18"/>
              </w:rPr>
            </w:pPr>
            <w:r>
              <w:rPr>
                <w:b/>
                <w:sz w:val="18"/>
              </w:rPr>
              <w:t>Particulars</w:t>
            </w:r>
          </w:p>
        </w:tc>
        <w:tc>
          <w:tcPr>
            <w:tcW w:w="3797" w:type="dxa"/>
            <w:gridSpan w:val="2"/>
            <w:shd w:val="clear" w:color="auto" w:fill="FBD4B4"/>
          </w:tcPr>
          <w:p w:rsidR="007C5447" w:rsidRDefault="00F6308C">
            <w:pPr>
              <w:pStyle w:val="TableParagraph"/>
              <w:spacing w:before="21" w:line="205" w:lineRule="exact"/>
              <w:ind w:left="1436" w:right="1426"/>
              <w:jc w:val="center"/>
              <w:rPr>
                <w:b/>
                <w:sz w:val="18"/>
              </w:rPr>
            </w:pPr>
            <w:r>
              <w:rPr>
                <w:b/>
                <w:sz w:val="18"/>
              </w:rPr>
              <w:t>FY 2014-15</w:t>
            </w:r>
          </w:p>
        </w:tc>
        <w:tc>
          <w:tcPr>
            <w:tcW w:w="3497" w:type="dxa"/>
            <w:gridSpan w:val="2"/>
            <w:shd w:val="clear" w:color="auto" w:fill="FBD4B4"/>
          </w:tcPr>
          <w:p w:rsidR="007C5447" w:rsidRDefault="00F6308C">
            <w:pPr>
              <w:pStyle w:val="TableParagraph"/>
              <w:spacing w:before="21" w:line="205" w:lineRule="exact"/>
              <w:ind w:left="1288" w:right="1274"/>
              <w:jc w:val="center"/>
              <w:rPr>
                <w:b/>
                <w:sz w:val="18"/>
              </w:rPr>
            </w:pPr>
            <w:r>
              <w:rPr>
                <w:b/>
                <w:sz w:val="18"/>
              </w:rPr>
              <w:t>FY 2015-16</w:t>
            </w:r>
          </w:p>
        </w:tc>
      </w:tr>
      <w:tr w:rsidR="007C5447">
        <w:trPr>
          <w:trHeight w:val="443"/>
        </w:trPr>
        <w:tc>
          <w:tcPr>
            <w:tcW w:w="2722" w:type="dxa"/>
            <w:vMerge/>
            <w:tcBorders>
              <w:top w:val="nil"/>
            </w:tcBorders>
            <w:shd w:val="clear" w:color="auto" w:fill="FBD4B4"/>
          </w:tcPr>
          <w:p w:rsidR="007C5447" w:rsidRDefault="007C5447">
            <w:pPr>
              <w:rPr>
                <w:sz w:val="2"/>
                <w:szCs w:val="2"/>
              </w:rPr>
            </w:pPr>
          </w:p>
        </w:tc>
        <w:tc>
          <w:tcPr>
            <w:tcW w:w="1882" w:type="dxa"/>
            <w:shd w:val="clear" w:color="auto" w:fill="FBD4B4"/>
          </w:tcPr>
          <w:p w:rsidR="007C5447" w:rsidRDefault="00F6308C">
            <w:pPr>
              <w:pStyle w:val="TableParagraph"/>
              <w:spacing w:before="119"/>
              <w:ind w:left="420"/>
              <w:jc w:val="left"/>
              <w:rPr>
                <w:b/>
                <w:sz w:val="18"/>
              </w:rPr>
            </w:pPr>
            <w:r>
              <w:rPr>
                <w:b/>
                <w:sz w:val="18"/>
              </w:rPr>
              <w:t>TANGEDCO</w:t>
            </w:r>
          </w:p>
        </w:tc>
        <w:tc>
          <w:tcPr>
            <w:tcW w:w="1915" w:type="dxa"/>
            <w:shd w:val="clear" w:color="auto" w:fill="FBD4B4"/>
          </w:tcPr>
          <w:p w:rsidR="007C5447" w:rsidRDefault="00F6308C">
            <w:pPr>
              <w:pStyle w:val="TableParagraph"/>
              <w:spacing w:before="11" w:line="210" w:lineRule="atLeast"/>
              <w:ind w:left="857" w:right="153" w:hanging="675"/>
              <w:jc w:val="left"/>
              <w:rPr>
                <w:b/>
                <w:sz w:val="18"/>
              </w:rPr>
            </w:pPr>
            <w:r>
              <w:rPr>
                <w:b/>
                <w:sz w:val="18"/>
              </w:rPr>
              <w:t>Approved after true up</w:t>
            </w:r>
          </w:p>
        </w:tc>
        <w:tc>
          <w:tcPr>
            <w:tcW w:w="1841" w:type="dxa"/>
            <w:shd w:val="clear" w:color="auto" w:fill="FBD4B4"/>
          </w:tcPr>
          <w:p w:rsidR="007C5447" w:rsidRDefault="00F6308C">
            <w:pPr>
              <w:pStyle w:val="TableParagraph"/>
              <w:spacing w:before="119"/>
              <w:ind w:left="401"/>
              <w:jc w:val="left"/>
              <w:rPr>
                <w:b/>
                <w:sz w:val="18"/>
              </w:rPr>
            </w:pPr>
            <w:r>
              <w:rPr>
                <w:b/>
                <w:sz w:val="18"/>
              </w:rPr>
              <w:t>TANGEDCO</w:t>
            </w:r>
          </w:p>
        </w:tc>
        <w:tc>
          <w:tcPr>
            <w:tcW w:w="1656" w:type="dxa"/>
            <w:shd w:val="clear" w:color="auto" w:fill="FBD4B4"/>
          </w:tcPr>
          <w:p w:rsidR="007C5447" w:rsidRDefault="00F6308C">
            <w:pPr>
              <w:pStyle w:val="TableParagraph"/>
              <w:spacing w:before="11" w:line="210" w:lineRule="atLeast"/>
              <w:ind w:left="545" w:right="206" w:hanging="310"/>
              <w:jc w:val="left"/>
              <w:rPr>
                <w:b/>
                <w:sz w:val="18"/>
              </w:rPr>
            </w:pPr>
            <w:r>
              <w:rPr>
                <w:b/>
                <w:sz w:val="18"/>
              </w:rPr>
              <w:t>Approved after true up</w:t>
            </w:r>
          </w:p>
        </w:tc>
      </w:tr>
      <w:tr w:rsidR="007C5447">
        <w:trPr>
          <w:trHeight w:val="330"/>
        </w:trPr>
        <w:tc>
          <w:tcPr>
            <w:tcW w:w="2722" w:type="dxa"/>
          </w:tcPr>
          <w:p w:rsidR="007C5447" w:rsidRDefault="00F6308C">
            <w:pPr>
              <w:pStyle w:val="TableParagraph"/>
              <w:spacing w:before="62"/>
              <w:ind w:left="107"/>
              <w:jc w:val="left"/>
              <w:rPr>
                <w:sz w:val="18"/>
              </w:rPr>
            </w:pPr>
            <w:r>
              <w:rPr>
                <w:sz w:val="18"/>
              </w:rPr>
              <w:t>Fuel Related Gains</w:t>
            </w:r>
          </w:p>
        </w:tc>
        <w:tc>
          <w:tcPr>
            <w:tcW w:w="1882" w:type="dxa"/>
          </w:tcPr>
          <w:p w:rsidR="007C5447" w:rsidRDefault="00F6308C">
            <w:pPr>
              <w:pStyle w:val="TableParagraph"/>
              <w:spacing w:before="62"/>
              <w:ind w:right="97"/>
              <w:rPr>
                <w:sz w:val="18"/>
              </w:rPr>
            </w:pPr>
            <w:r>
              <w:rPr>
                <w:sz w:val="18"/>
              </w:rPr>
              <w:t>150.25</w:t>
            </w:r>
          </w:p>
        </w:tc>
        <w:tc>
          <w:tcPr>
            <w:tcW w:w="1915" w:type="dxa"/>
          </w:tcPr>
          <w:p w:rsidR="007C5447" w:rsidRDefault="00F6308C">
            <w:pPr>
              <w:pStyle w:val="TableParagraph"/>
              <w:spacing w:before="62"/>
              <w:ind w:right="97"/>
              <w:rPr>
                <w:sz w:val="18"/>
              </w:rPr>
            </w:pPr>
            <w:r>
              <w:rPr>
                <w:sz w:val="18"/>
              </w:rPr>
              <w:t>150.25</w:t>
            </w:r>
          </w:p>
        </w:tc>
        <w:tc>
          <w:tcPr>
            <w:tcW w:w="1841" w:type="dxa"/>
          </w:tcPr>
          <w:p w:rsidR="007C5447" w:rsidRDefault="00F6308C">
            <w:pPr>
              <w:pStyle w:val="TableParagraph"/>
              <w:spacing w:before="62"/>
              <w:ind w:right="97"/>
              <w:rPr>
                <w:sz w:val="18"/>
              </w:rPr>
            </w:pPr>
            <w:r>
              <w:rPr>
                <w:sz w:val="18"/>
              </w:rPr>
              <w:t>1.19</w:t>
            </w:r>
          </w:p>
        </w:tc>
        <w:tc>
          <w:tcPr>
            <w:tcW w:w="1656" w:type="dxa"/>
          </w:tcPr>
          <w:p w:rsidR="007C5447" w:rsidRDefault="00F6308C">
            <w:pPr>
              <w:pStyle w:val="TableParagraph"/>
              <w:spacing w:before="62"/>
              <w:ind w:right="96"/>
              <w:rPr>
                <w:sz w:val="18"/>
              </w:rPr>
            </w:pPr>
            <w:r>
              <w:rPr>
                <w:sz w:val="18"/>
              </w:rPr>
              <w:t>1.19</w:t>
            </w:r>
          </w:p>
        </w:tc>
      </w:tr>
      <w:tr w:rsidR="007C5447">
        <w:trPr>
          <w:trHeight w:val="328"/>
        </w:trPr>
        <w:tc>
          <w:tcPr>
            <w:tcW w:w="2722" w:type="dxa"/>
          </w:tcPr>
          <w:p w:rsidR="007C5447" w:rsidRDefault="00F6308C">
            <w:pPr>
              <w:pStyle w:val="TableParagraph"/>
              <w:spacing w:before="62"/>
              <w:ind w:left="107"/>
              <w:jc w:val="left"/>
              <w:rPr>
                <w:sz w:val="18"/>
              </w:rPr>
            </w:pPr>
            <w:r>
              <w:rPr>
                <w:sz w:val="18"/>
              </w:rPr>
              <w:t>Reciept from Consumers</w:t>
            </w:r>
          </w:p>
        </w:tc>
        <w:tc>
          <w:tcPr>
            <w:tcW w:w="1882" w:type="dxa"/>
          </w:tcPr>
          <w:p w:rsidR="007C5447" w:rsidRDefault="00F6308C">
            <w:pPr>
              <w:pStyle w:val="TableParagraph"/>
              <w:spacing w:before="62"/>
              <w:ind w:right="97"/>
              <w:rPr>
                <w:sz w:val="18"/>
              </w:rPr>
            </w:pPr>
            <w:r>
              <w:rPr>
                <w:sz w:val="18"/>
              </w:rPr>
              <w:t>104.96</w:t>
            </w:r>
          </w:p>
        </w:tc>
        <w:tc>
          <w:tcPr>
            <w:tcW w:w="1915" w:type="dxa"/>
          </w:tcPr>
          <w:p w:rsidR="007C5447" w:rsidRDefault="00F6308C">
            <w:pPr>
              <w:pStyle w:val="TableParagraph"/>
              <w:spacing w:before="62"/>
              <w:ind w:right="97"/>
              <w:rPr>
                <w:sz w:val="18"/>
              </w:rPr>
            </w:pPr>
            <w:r>
              <w:rPr>
                <w:sz w:val="18"/>
              </w:rPr>
              <w:t>104.96</w:t>
            </w:r>
          </w:p>
        </w:tc>
        <w:tc>
          <w:tcPr>
            <w:tcW w:w="1841" w:type="dxa"/>
          </w:tcPr>
          <w:p w:rsidR="007C5447" w:rsidRDefault="00F6308C">
            <w:pPr>
              <w:pStyle w:val="TableParagraph"/>
              <w:spacing w:before="62"/>
              <w:ind w:right="94"/>
              <w:rPr>
                <w:sz w:val="18"/>
              </w:rPr>
            </w:pPr>
            <w:r>
              <w:rPr>
                <w:sz w:val="18"/>
              </w:rPr>
              <w:t>39.83</w:t>
            </w:r>
          </w:p>
        </w:tc>
        <w:tc>
          <w:tcPr>
            <w:tcW w:w="1656" w:type="dxa"/>
          </w:tcPr>
          <w:p w:rsidR="007C5447" w:rsidRDefault="00F6308C">
            <w:pPr>
              <w:pStyle w:val="TableParagraph"/>
              <w:spacing w:before="62"/>
              <w:ind w:right="94"/>
              <w:rPr>
                <w:sz w:val="18"/>
              </w:rPr>
            </w:pPr>
            <w:r>
              <w:rPr>
                <w:sz w:val="18"/>
              </w:rPr>
              <w:t>39.83</w:t>
            </w:r>
          </w:p>
        </w:tc>
      </w:tr>
      <w:tr w:rsidR="007C5447">
        <w:trPr>
          <w:trHeight w:val="330"/>
        </w:trPr>
        <w:tc>
          <w:tcPr>
            <w:tcW w:w="2722" w:type="dxa"/>
          </w:tcPr>
          <w:p w:rsidR="007C5447" w:rsidRDefault="00F6308C">
            <w:pPr>
              <w:pStyle w:val="TableParagraph"/>
              <w:spacing w:before="62"/>
              <w:ind w:left="107"/>
              <w:jc w:val="left"/>
              <w:rPr>
                <w:sz w:val="18"/>
              </w:rPr>
            </w:pPr>
            <w:r>
              <w:rPr>
                <w:sz w:val="18"/>
              </w:rPr>
              <w:t>Interest Income</w:t>
            </w:r>
          </w:p>
        </w:tc>
        <w:tc>
          <w:tcPr>
            <w:tcW w:w="1882" w:type="dxa"/>
          </w:tcPr>
          <w:p w:rsidR="007C5447" w:rsidRDefault="00F6308C">
            <w:pPr>
              <w:pStyle w:val="TableParagraph"/>
              <w:spacing w:before="62"/>
              <w:ind w:right="97"/>
              <w:rPr>
                <w:sz w:val="18"/>
              </w:rPr>
            </w:pPr>
            <w:r>
              <w:rPr>
                <w:sz w:val="18"/>
              </w:rPr>
              <w:t>0.64</w:t>
            </w:r>
          </w:p>
        </w:tc>
        <w:tc>
          <w:tcPr>
            <w:tcW w:w="1915" w:type="dxa"/>
          </w:tcPr>
          <w:p w:rsidR="007C5447" w:rsidRDefault="00F6308C">
            <w:pPr>
              <w:pStyle w:val="TableParagraph"/>
              <w:spacing w:before="62"/>
              <w:ind w:right="97"/>
              <w:rPr>
                <w:sz w:val="18"/>
              </w:rPr>
            </w:pPr>
            <w:r>
              <w:rPr>
                <w:sz w:val="18"/>
              </w:rPr>
              <w:t>0.64</w:t>
            </w:r>
          </w:p>
        </w:tc>
        <w:tc>
          <w:tcPr>
            <w:tcW w:w="1841" w:type="dxa"/>
          </w:tcPr>
          <w:p w:rsidR="007C5447" w:rsidRDefault="00F6308C">
            <w:pPr>
              <w:pStyle w:val="TableParagraph"/>
              <w:spacing w:before="62"/>
              <w:ind w:right="97"/>
              <w:rPr>
                <w:sz w:val="18"/>
              </w:rPr>
            </w:pPr>
            <w:r>
              <w:rPr>
                <w:sz w:val="18"/>
              </w:rPr>
              <w:t>0.51</w:t>
            </w:r>
          </w:p>
        </w:tc>
        <w:tc>
          <w:tcPr>
            <w:tcW w:w="1656" w:type="dxa"/>
          </w:tcPr>
          <w:p w:rsidR="007C5447" w:rsidRDefault="00F6308C">
            <w:pPr>
              <w:pStyle w:val="TableParagraph"/>
              <w:spacing w:before="62"/>
              <w:ind w:right="96"/>
              <w:rPr>
                <w:sz w:val="18"/>
              </w:rPr>
            </w:pPr>
            <w:r>
              <w:rPr>
                <w:sz w:val="18"/>
              </w:rPr>
              <w:t>0.51</w:t>
            </w:r>
          </w:p>
        </w:tc>
      </w:tr>
      <w:tr w:rsidR="007C5447">
        <w:trPr>
          <w:trHeight w:val="330"/>
        </w:trPr>
        <w:tc>
          <w:tcPr>
            <w:tcW w:w="2722" w:type="dxa"/>
          </w:tcPr>
          <w:p w:rsidR="007C5447" w:rsidRDefault="00F6308C">
            <w:pPr>
              <w:pStyle w:val="TableParagraph"/>
              <w:spacing w:before="62"/>
              <w:ind w:left="107"/>
              <w:jc w:val="left"/>
              <w:rPr>
                <w:sz w:val="18"/>
              </w:rPr>
            </w:pPr>
            <w:r>
              <w:rPr>
                <w:sz w:val="18"/>
              </w:rPr>
              <w:t>Excess Provision for IT</w:t>
            </w:r>
          </w:p>
        </w:tc>
        <w:tc>
          <w:tcPr>
            <w:tcW w:w="1882" w:type="dxa"/>
          </w:tcPr>
          <w:p w:rsidR="007C5447" w:rsidRDefault="00F6308C">
            <w:pPr>
              <w:pStyle w:val="TableParagraph"/>
              <w:spacing w:before="62"/>
              <w:ind w:right="96"/>
              <w:rPr>
                <w:sz w:val="18"/>
              </w:rPr>
            </w:pPr>
            <w:r>
              <w:rPr>
                <w:w w:val="99"/>
                <w:sz w:val="18"/>
              </w:rPr>
              <w:t>-</w:t>
            </w:r>
          </w:p>
        </w:tc>
        <w:tc>
          <w:tcPr>
            <w:tcW w:w="1915" w:type="dxa"/>
          </w:tcPr>
          <w:p w:rsidR="007C5447" w:rsidRDefault="00F6308C">
            <w:pPr>
              <w:pStyle w:val="TableParagraph"/>
              <w:spacing w:before="62"/>
              <w:ind w:right="95"/>
              <w:rPr>
                <w:sz w:val="18"/>
              </w:rPr>
            </w:pPr>
            <w:r>
              <w:rPr>
                <w:w w:val="99"/>
                <w:sz w:val="18"/>
              </w:rPr>
              <w:t>-</w:t>
            </w:r>
          </w:p>
        </w:tc>
        <w:tc>
          <w:tcPr>
            <w:tcW w:w="1841" w:type="dxa"/>
          </w:tcPr>
          <w:p w:rsidR="007C5447" w:rsidRDefault="00F6308C">
            <w:pPr>
              <w:pStyle w:val="TableParagraph"/>
              <w:spacing w:before="62"/>
              <w:ind w:right="95"/>
              <w:rPr>
                <w:sz w:val="18"/>
              </w:rPr>
            </w:pPr>
            <w:r>
              <w:rPr>
                <w:w w:val="99"/>
                <w:sz w:val="18"/>
              </w:rPr>
              <w:t>-</w:t>
            </w:r>
          </w:p>
        </w:tc>
        <w:tc>
          <w:tcPr>
            <w:tcW w:w="1656" w:type="dxa"/>
          </w:tcPr>
          <w:p w:rsidR="007C5447" w:rsidRDefault="00F6308C">
            <w:pPr>
              <w:pStyle w:val="TableParagraph"/>
              <w:spacing w:before="62"/>
              <w:ind w:right="95"/>
              <w:rPr>
                <w:sz w:val="18"/>
              </w:rPr>
            </w:pPr>
            <w:r>
              <w:rPr>
                <w:w w:val="99"/>
                <w:sz w:val="18"/>
              </w:rPr>
              <w:t>-</w:t>
            </w:r>
          </w:p>
        </w:tc>
      </w:tr>
      <w:tr w:rsidR="007C5447">
        <w:trPr>
          <w:trHeight w:val="328"/>
        </w:trPr>
        <w:tc>
          <w:tcPr>
            <w:tcW w:w="2722" w:type="dxa"/>
          </w:tcPr>
          <w:p w:rsidR="007C5447" w:rsidRDefault="00F6308C">
            <w:pPr>
              <w:pStyle w:val="TableParagraph"/>
              <w:spacing w:before="62"/>
              <w:ind w:left="107"/>
              <w:jc w:val="left"/>
              <w:rPr>
                <w:sz w:val="18"/>
              </w:rPr>
            </w:pPr>
            <w:r>
              <w:rPr>
                <w:sz w:val="18"/>
              </w:rPr>
              <w:t>Excess Provision for Depreciation</w:t>
            </w:r>
          </w:p>
        </w:tc>
        <w:tc>
          <w:tcPr>
            <w:tcW w:w="1882" w:type="dxa"/>
          </w:tcPr>
          <w:p w:rsidR="007C5447" w:rsidRDefault="00F6308C">
            <w:pPr>
              <w:pStyle w:val="TableParagraph"/>
              <w:spacing w:before="62"/>
              <w:ind w:right="95"/>
              <w:rPr>
                <w:sz w:val="18"/>
              </w:rPr>
            </w:pPr>
            <w:r>
              <w:rPr>
                <w:sz w:val="18"/>
              </w:rPr>
              <w:t>11.26</w:t>
            </w:r>
          </w:p>
        </w:tc>
        <w:tc>
          <w:tcPr>
            <w:tcW w:w="1915" w:type="dxa"/>
          </w:tcPr>
          <w:p w:rsidR="007C5447" w:rsidRDefault="00F6308C">
            <w:pPr>
              <w:pStyle w:val="TableParagraph"/>
              <w:spacing w:before="62"/>
              <w:ind w:right="94"/>
              <w:rPr>
                <w:sz w:val="18"/>
              </w:rPr>
            </w:pPr>
            <w:r>
              <w:rPr>
                <w:sz w:val="18"/>
              </w:rPr>
              <w:t>11.26</w:t>
            </w:r>
          </w:p>
        </w:tc>
        <w:tc>
          <w:tcPr>
            <w:tcW w:w="1841" w:type="dxa"/>
          </w:tcPr>
          <w:p w:rsidR="007C5447" w:rsidRDefault="00F6308C">
            <w:pPr>
              <w:pStyle w:val="TableParagraph"/>
              <w:spacing w:before="62"/>
              <w:ind w:right="97"/>
              <w:rPr>
                <w:sz w:val="18"/>
              </w:rPr>
            </w:pPr>
            <w:r>
              <w:rPr>
                <w:sz w:val="18"/>
              </w:rPr>
              <w:t>715.41</w:t>
            </w:r>
          </w:p>
        </w:tc>
        <w:tc>
          <w:tcPr>
            <w:tcW w:w="1656" w:type="dxa"/>
          </w:tcPr>
          <w:p w:rsidR="007C5447" w:rsidRDefault="00F6308C">
            <w:pPr>
              <w:pStyle w:val="TableParagraph"/>
              <w:spacing w:before="62"/>
              <w:ind w:right="96"/>
              <w:rPr>
                <w:sz w:val="18"/>
              </w:rPr>
            </w:pPr>
            <w:r>
              <w:rPr>
                <w:sz w:val="18"/>
              </w:rPr>
              <w:t>715.41</w:t>
            </w:r>
          </w:p>
        </w:tc>
      </w:tr>
      <w:tr w:rsidR="007C5447">
        <w:trPr>
          <w:trHeight w:val="631"/>
        </w:trPr>
        <w:tc>
          <w:tcPr>
            <w:tcW w:w="2722" w:type="dxa"/>
          </w:tcPr>
          <w:p w:rsidR="007C5447" w:rsidRDefault="00F6308C">
            <w:pPr>
              <w:pStyle w:val="TableParagraph"/>
              <w:spacing w:before="110"/>
              <w:ind w:left="107" w:right="205"/>
              <w:jc w:val="left"/>
              <w:rPr>
                <w:sz w:val="18"/>
              </w:rPr>
            </w:pPr>
            <w:r>
              <w:rPr>
                <w:sz w:val="18"/>
              </w:rPr>
              <w:t>Excess Provision for Interest and Finance Charges</w:t>
            </w:r>
          </w:p>
        </w:tc>
        <w:tc>
          <w:tcPr>
            <w:tcW w:w="1882" w:type="dxa"/>
          </w:tcPr>
          <w:p w:rsidR="007C5447" w:rsidRDefault="007C5447">
            <w:pPr>
              <w:pStyle w:val="TableParagraph"/>
              <w:spacing w:before="6"/>
              <w:jc w:val="left"/>
              <w:rPr>
                <w:b/>
                <w:sz w:val="18"/>
              </w:rPr>
            </w:pPr>
          </w:p>
          <w:p w:rsidR="007C5447" w:rsidRDefault="00F6308C">
            <w:pPr>
              <w:pStyle w:val="TableParagraph"/>
              <w:ind w:right="97"/>
              <w:rPr>
                <w:sz w:val="18"/>
              </w:rPr>
            </w:pPr>
            <w:r>
              <w:rPr>
                <w:sz w:val="18"/>
              </w:rPr>
              <w:t>221.35</w:t>
            </w:r>
          </w:p>
        </w:tc>
        <w:tc>
          <w:tcPr>
            <w:tcW w:w="1915" w:type="dxa"/>
          </w:tcPr>
          <w:p w:rsidR="007C5447" w:rsidRDefault="007C5447">
            <w:pPr>
              <w:pStyle w:val="TableParagraph"/>
              <w:spacing w:before="6"/>
              <w:jc w:val="left"/>
              <w:rPr>
                <w:b/>
                <w:sz w:val="18"/>
              </w:rPr>
            </w:pPr>
          </w:p>
          <w:p w:rsidR="007C5447" w:rsidRDefault="00F6308C">
            <w:pPr>
              <w:pStyle w:val="TableParagraph"/>
              <w:ind w:right="95"/>
              <w:rPr>
                <w:sz w:val="18"/>
              </w:rPr>
            </w:pPr>
            <w:r>
              <w:rPr>
                <w:w w:val="99"/>
                <w:sz w:val="18"/>
              </w:rPr>
              <w:t>-</w:t>
            </w:r>
          </w:p>
        </w:tc>
        <w:tc>
          <w:tcPr>
            <w:tcW w:w="1841" w:type="dxa"/>
          </w:tcPr>
          <w:p w:rsidR="007C5447" w:rsidRDefault="007C5447">
            <w:pPr>
              <w:pStyle w:val="TableParagraph"/>
              <w:spacing w:before="6"/>
              <w:jc w:val="left"/>
              <w:rPr>
                <w:b/>
                <w:sz w:val="18"/>
              </w:rPr>
            </w:pPr>
          </w:p>
          <w:p w:rsidR="007C5447" w:rsidRDefault="00F6308C">
            <w:pPr>
              <w:pStyle w:val="TableParagraph"/>
              <w:ind w:right="97"/>
              <w:rPr>
                <w:sz w:val="18"/>
              </w:rPr>
            </w:pPr>
            <w:r>
              <w:rPr>
                <w:sz w:val="18"/>
              </w:rPr>
              <w:t>1,751.11</w:t>
            </w:r>
          </w:p>
        </w:tc>
        <w:tc>
          <w:tcPr>
            <w:tcW w:w="1656" w:type="dxa"/>
          </w:tcPr>
          <w:p w:rsidR="007C5447" w:rsidRDefault="007C5447">
            <w:pPr>
              <w:pStyle w:val="TableParagraph"/>
              <w:spacing w:before="6"/>
              <w:jc w:val="left"/>
              <w:rPr>
                <w:b/>
                <w:sz w:val="18"/>
              </w:rPr>
            </w:pPr>
          </w:p>
          <w:p w:rsidR="007C5447" w:rsidRDefault="00F6308C">
            <w:pPr>
              <w:pStyle w:val="TableParagraph"/>
              <w:ind w:right="95"/>
              <w:rPr>
                <w:sz w:val="18"/>
              </w:rPr>
            </w:pPr>
            <w:r>
              <w:rPr>
                <w:w w:val="99"/>
                <w:sz w:val="18"/>
              </w:rPr>
              <w:t>-</w:t>
            </w:r>
          </w:p>
        </w:tc>
      </w:tr>
      <w:tr w:rsidR="007C5447">
        <w:trPr>
          <w:trHeight w:val="330"/>
        </w:trPr>
        <w:tc>
          <w:tcPr>
            <w:tcW w:w="2722" w:type="dxa"/>
          </w:tcPr>
          <w:p w:rsidR="007C5447" w:rsidRDefault="00F6308C">
            <w:pPr>
              <w:pStyle w:val="TableParagraph"/>
              <w:spacing w:before="62"/>
              <w:ind w:left="107"/>
              <w:jc w:val="left"/>
              <w:rPr>
                <w:sz w:val="18"/>
              </w:rPr>
            </w:pPr>
            <w:r>
              <w:rPr>
                <w:sz w:val="18"/>
              </w:rPr>
              <w:t>Other Excess Provision</w:t>
            </w:r>
          </w:p>
        </w:tc>
        <w:tc>
          <w:tcPr>
            <w:tcW w:w="1882" w:type="dxa"/>
          </w:tcPr>
          <w:p w:rsidR="007C5447" w:rsidRDefault="00F6308C">
            <w:pPr>
              <w:pStyle w:val="TableParagraph"/>
              <w:spacing w:before="62"/>
              <w:ind w:right="97"/>
              <w:rPr>
                <w:sz w:val="18"/>
              </w:rPr>
            </w:pPr>
            <w:r>
              <w:rPr>
                <w:sz w:val="18"/>
              </w:rPr>
              <w:t>352.51</w:t>
            </w:r>
          </w:p>
        </w:tc>
        <w:tc>
          <w:tcPr>
            <w:tcW w:w="1915" w:type="dxa"/>
          </w:tcPr>
          <w:p w:rsidR="007C5447" w:rsidRDefault="00F6308C">
            <w:pPr>
              <w:pStyle w:val="TableParagraph"/>
              <w:spacing w:before="62"/>
              <w:ind w:right="97"/>
              <w:rPr>
                <w:sz w:val="18"/>
              </w:rPr>
            </w:pPr>
            <w:r>
              <w:rPr>
                <w:sz w:val="18"/>
              </w:rPr>
              <w:t>352.51</w:t>
            </w:r>
          </w:p>
        </w:tc>
        <w:tc>
          <w:tcPr>
            <w:tcW w:w="1841" w:type="dxa"/>
          </w:tcPr>
          <w:p w:rsidR="007C5447" w:rsidRDefault="00F6308C">
            <w:pPr>
              <w:pStyle w:val="TableParagraph"/>
              <w:spacing w:before="62"/>
              <w:ind w:right="94"/>
              <w:rPr>
                <w:sz w:val="18"/>
              </w:rPr>
            </w:pPr>
            <w:r>
              <w:rPr>
                <w:sz w:val="18"/>
              </w:rPr>
              <w:t>86.29</w:t>
            </w:r>
          </w:p>
        </w:tc>
        <w:tc>
          <w:tcPr>
            <w:tcW w:w="1656" w:type="dxa"/>
          </w:tcPr>
          <w:p w:rsidR="007C5447" w:rsidRDefault="00F6308C">
            <w:pPr>
              <w:pStyle w:val="TableParagraph"/>
              <w:spacing w:before="62"/>
              <w:ind w:right="94"/>
              <w:rPr>
                <w:sz w:val="18"/>
              </w:rPr>
            </w:pPr>
            <w:r>
              <w:rPr>
                <w:sz w:val="18"/>
              </w:rPr>
              <w:t>86.29</w:t>
            </w:r>
          </w:p>
        </w:tc>
      </w:tr>
      <w:tr w:rsidR="007C5447">
        <w:trPr>
          <w:trHeight w:val="328"/>
        </w:trPr>
        <w:tc>
          <w:tcPr>
            <w:tcW w:w="2722" w:type="dxa"/>
          </w:tcPr>
          <w:p w:rsidR="007C5447" w:rsidRDefault="00F6308C">
            <w:pPr>
              <w:pStyle w:val="TableParagraph"/>
              <w:spacing w:before="62"/>
              <w:ind w:left="107"/>
              <w:jc w:val="left"/>
              <w:rPr>
                <w:sz w:val="18"/>
              </w:rPr>
            </w:pPr>
            <w:r>
              <w:rPr>
                <w:sz w:val="18"/>
              </w:rPr>
              <w:t>Other Income</w:t>
            </w:r>
          </w:p>
        </w:tc>
        <w:tc>
          <w:tcPr>
            <w:tcW w:w="1882" w:type="dxa"/>
          </w:tcPr>
          <w:p w:rsidR="007C5447" w:rsidRDefault="00F6308C">
            <w:pPr>
              <w:pStyle w:val="TableParagraph"/>
              <w:spacing w:before="62"/>
              <w:ind w:right="97"/>
              <w:rPr>
                <w:sz w:val="18"/>
              </w:rPr>
            </w:pPr>
            <w:r>
              <w:rPr>
                <w:sz w:val="18"/>
              </w:rPr>
              <w:t>642.52</w:t>
            </w:r>
          </w:p>
        </w:tc>
        <w:tc>
          <w:tcPr>
            <w:tcW w:w="1915" w:type="dxa"/>
          </w:tcPr>
          <w:p w:rsidR="007C5447" w:rsidRDefault="00F6308C">
            <w:pPr>
              <w:pStyle w:val="TableParagraph"/>
              <w:spacing w:before="62"/>
              <w:ind w:right="97"/>
              <w:rPr>
                <w:sz w:val="18"/>
              </w:rPr>
            </w:pPr>
            <w:r>
              <w:rPr>
                <w:sz w:val="18"/>
              </w:rPr>
              <w:t>642.52</w:t>
            </w:r>
          </w:p>
        </w:tc>
        <w:tc>
          <w:tcPr>
            <w:tcW w:w="1841" w:type="dxa"/>
          </w:tcPr>
          <w:p w:rsidR="007C5447" w:rsidRDefault="00F6308C">
            <w:pPr>
              <w:pStyle w:val="TableParagraph"/>
              <w:spacing w:before="62"/>
              <w:ind w:right="97"/>
              <w:rPr>
                <w:sz w:val="18"/>
              </w:rPr>
            </w:pPr>
            <w:r>
              <w:rPr>
                <w:sz w:val="18"/>
              </w:rPr>
              <w:t>696.16</w:t>
            </w:r>
          </w:p>
        </w:tc>
        <w:tc>
          <w:tcPr>
            <w:tcW w:w="1656" w:type="dxa"/>
          </w:tcPr>
          <w:p w:rsidR="007C5447" w:rsidRDefault="00F6308C">
            <w:pPr>
              <w:pStyle w:val="TableParagraph"/>
              <w:spacing w:before="62"/>
              <w:ind w:right="96"/>
              <w:rPr>
                <w:sz w:val="18"/>
              </w:rPr>
            </w:pPr>
            <w:r>
              <w:rPr>
                <w:sz w:val="18"/>
              </w:rPr>
              <w:t>696.16</w:t>
            </w:r>
          </w:p>
        </w:tc>
      </w:tr>
      <w:tr w:rsidR="007C5447">
        <w:trPr>
          <w:trHeight w:val="330"/>
        </w:trPr>
        <w:tc>
          <w:tcPr>
            <w:tcW w:w="2722" w:type="dxa"/>
          </w:tcPr>
          <w:p w:rsidR="007C5447" w:rsidRDefault="00F6308C">
            <w:pPr>
              <w:pStyle w:val="TableParagraph"/>
              <w:spacing w:before="62"/>
              <w:ind w:left="107"/>
              <w:jc w:val="left"/>
              <w:rPr>
                <w:b/>
                <w:sz w:val="18"/>
              </w:rPr>
            </w:pPr>
            <w:r>
              <w:rPr>
                <w:b/>
                <w:sz w:val="18"/>
              </w:rPr>
              <w:t>Total Prior Period Income</w:t>
            </w:r>
          </w:p>
        </w:tc>
        <w:tc>
          <w:tcPr>
            <w:tcW w:w="1882" w:type="dxa"/>
          </w:tcPr>
          <w:p w:rsidR="007C5447" w:rsidRDefault="00F6308C">
            <w:pPr>
              <w:pStyle w:val="TableParagraph"/>
              <w:spacing w:before="62"/>
              <w:ind w:right="98"/>
              <w:rPr>
                <w:b/>
                <w:sz w:val="18"/>
              </w:rPr>
            </w:pPr>
            <w:r>
              <w:rPr>
                <w:b/>
                <w:sz w:val="18"/>
              </w:rPr>
              <w:t>1,483.49</w:t>
            </w:r>
          </w:p>
        </w:tc>
        <w:tc>
          <w:tcPr>
            <w:tcW w:w="1915" w:type="dxa"/>
          </w:tcPr>
          <w:p w:rsidR="007C5447" w:rsidRDefault="00F6308C">
            <w:pPr>
              <w:pStyle w:val="TableParagraph"/>
              <w:spacing w:before="62"/>
              <w:ind w:right="97"/>
              <w:rPr>
                <w:b/>
                <w:sz w:val="18"/>
              </w:rPr>
            </w:pPr>
            <w:r>
              <w:rPr>
                <w:b/>
                <w:sz w:val="18"/>
              </w:rPr>
              <w:t>1,262.15</w:t>
            </w:r>
          </w:p>
        </w:tc>
        <w:tc>
          <w:tcPr>
            <w:tcW w:w="1841" w:type="dxa"/>
          </w:tcPr>
          <w:p w:rsidR="007C5447" w:rsidRDefault="00F6308C">
            <w:pPr>
              <w:pStyle w:val="TableParagraph"/>
              <w:spacing w:before="62"/>
              <w:ind w:right="97"/>
              <w:rPr>
                <w:b/>
                <w:sz w:val="18"/>
              </w:rPr>
            </w:pPr>
            <w:r>
              <w:rPr>
                <w:b/>
                <w:sz w:val="18"/>
              </w:rPr>
              <w:t>3,290.50</w:t>
            </w:r>
          </w:p>
        </w:tc>
        <w:tc>
          <w:tcPr>
            <w:tcW w:w="1656" w:type="dxa"/>
          </w:tcPr>
          <w:p w:rsidR="007C5447" w:rsidRDefault="00F6308C">
            <w:pPr>
              <w:pStyle w:val="TableParagraph"/>
              <w:spacing w:before="62"/>
              <w:ind w:right="97"/>
              <w:rPr>
                <w:b/>
                <w:sz w:val="18"/>
              </w:rPr>
            </w:pPr>
            <w:r>
              <w:rPr>
                <w:b/>
                <w:sz w:val="18"/>
              </w:rPr>
              <w:t>1,539.38</w:t>
            </w:r>
          </w:p>
        </w:tc>
      </w:tr>
      <w:tr w:rsidR="007C5447">
        <w:trPr>
          <w:trHeight w:val="330"/>
        </w:trPr>
        <w:tc>
          <w:tcPr>
            <w:tcW w:w="2722" w:type="dxa"/>
          </w:tcPr>
          <w:p w:rsidR="007C5447" w:rsidRDefault="00F6308C">
            <w:pPr>
              <w:pStyle w:val="TableParagraph"/>
              <w:spacing w:before="62"/>
              <w:ind w:left="107"/>
              <w:jc w:val="left"/>
              <w:rPr>
                <w:b/>
                <w:sz w:val="18"/>
              </w:rPr>
            </w:pPr>
            <w:r>
              <w:rPr>
                <w:b/>
                <w:sz w:val="18"/>
              </w:rPr>
              <w:t>Prior Period Expenses</w:t>
            </w:r>
          </w:p>
        </w:tc>
        <w:tc>
          <w:tcPr>
            <w:tcW w:w="1882" w:type="dxa"/>
          </w:tcPr>
          <w:p w:rsidR="007C5447" w:rsidRDefault="007C5447">
            <w:pPr>
              <w:pStyle w:val="TableParagraph"/>
              <w:jc w:val="left"/>
              <w:rPr>
                <w:sz w:val="18"/>
              </w:rPr>
            </w:pPr>
          </w:p>
        </w:tc>
        <w:tc>
          <w:tcPr>
            <w:tcW w:w="1915" w:type="dxa"/>
          </w:tcPr>
          <w:p w:rsidR="007C5447" w:rsidRDefault="007C5447">
            <w:pPr>
              <w:pStyle w:val="TableParagraph"/>
              <w:jc w:val="left"/>
              <w:rPr>
                <w:sz w:val="18"/>
              </w:rPr>
            </w:pPr>
          </w:p>
        </w:tc>
        <w:tc>
          <w:tcPr>
            <w:tcW w:w="1841" w:type="dxa"/>
          </w:tcPr>
          <w:p w:rsidR="007C5447" w:rsidRDefault="007C5447">
            <w:pPr>
              <w:pStyle w:val="TableParagraph"/>
              <w:jc w:val="left"/>
              <w:rPr>
                <w:sz w:val="18"/>
              </w:rPr>
            </w:pPr>
          </w:p>
        </w:tc>
        <w:tc>
          <w:tcPr>
            <w:tcW w:w="1656" w:type="dxa"/>
          </w:tcPr>
          <w:p w:rsidR="007C5447" w:rsidRDefault="007C5447">
            <w:pPr>
              <w:pStyle w:val="TableParagraph"/>
              <w:jc w:val="left"/>
              <w:rPr>
                <w:sz w:val="18"/>
              </w:rPr>
            </w:pPr>
          </w:p>
        </w:tc>
      </w:tr>
      <w:tr w:rsidR="007C5447">
        <w:trPr>
          <w:trHeight w:val="628"/>
        </w:trPr>
        <w:tc>
          <w:tcPr>
            <w:tcW w:w="2722" w:type="dxa"/>
          </w:tcPr>
          <w:p w:rsidR="007C5447" w:rsidRDefault="00F6308C">
            <w:pPr>
              <w:pStyle w:val="TableParagraph"/>
              <w:spacing w:before="107"/>
              <w:ind w:left="107" w:right="335"/>
              <w:jc w:val="left"/>
              <w:rPr>
                <w:sz w:val="18"/>
              </w:rPr>
            </w:pPr>
            <w:r>
              <w:rPr>
                <w:sz w:val="18"/>
              </w:rPr>
              <w:t>Short term provision for Power Purchase</w:t>
            </w:r>
          </w:p>
        </w:tc>
        <w:tc>
          <w:tcPr>
            <w:tcW w:w="1882" w:type="dxa"/>
          </w:tcPr>
          <w:p w:rsidR="007C5447" w:rsidRDefault="007C5447">
            <w:pPr>
              <w:pStyle w:val="TableParagraph"/>
              <w:spacing w:before="3"/>
              <w:jc w:val="left"/>
              <w:rPr>
                <w:b/>
                <w:sz w:val="18"/>
              </w:rPr>
            </w:pPr>
          </w:p>
          <w:p w:rsidR="007C5447" w:rsidRDefault="00F6308C">
            <w:pPr>
              <w:pStyle w:val="TableParagraph"/>
              <w:spacing w:before="1"/>
              <w:ind w:right="97"/>
              <w:rPr>
                <w:sz w:val="18"/>
              </w:rPr>
            </w:pPr>
            <w:r>
              <w:rPr>
                <w:sz w:val="18"/>
              </w:rPr>
              <w:t>896.64</w:t>
            </w:r>
          </w:p>
        </w:tc>
        <w:tc>
          <w:tcPr>
            <w:tcW w:w="1915" w:type="dxa"/>
          </w:tcPr>
          <w:p w:rsidR="007C5447" w:rsidRDefault="007C5447">
            <w:pPr>
              <w:pStyle w:val="TableParagraph"/>
              <w:spacing w:before="3"/>
              <w:jc w:val="left"/>
              <w:rPr>
                <w:b/>
                <w:sz w:val="18"/>
              </w:rPr>
            </w:pPr>
          </w:p>
          <w:p w:rsidR="007C5447" w:rsidRDefault="00F6308C">
            <w:pPr>
              <w:pStyle w:val="TableParagraph"/>
              <w:spacing w:before="1"/>
              <w:ind w:right="95"/>
              <w:rPr>
                <w:sz w:val="18"/>
              </w:rPr>
            </w:pPr>
            <w:r>
              <w:rPr>
                <w:w w:val="99"/>
                <w:sz w:val="18"/>
              </w:rPr>
              <w:t>-</w:t>
            </w:r>
          </w:p>
        </w:tc>
        <w:tc>
          <w:tcPr>
            <w:tcW w:w="1841" w:type="dxa"/>
          </w:tcPr>
          <w:p w:rsidR="007C5447" w:rsidRDefault="007C5447">
            <w:pPr>
              <w:pStyle w:val="TableParagraph"/>
              <w:spacing w:before="3"/>
              <w:jc w:val="left"/>
              <w:rPr>
                <w:b/>
                <w:sz w:val="18"/>
              </w:rPr>
            </w:pPr>
          </w:p>
          <w:p w:rsidR="007C5447" w:rsidRDefault="00F6308C">
            <w:pPr>
              <w:pStyle w:val="TableParagraph"/>
              <w:spacing w:before="1"/>
              <w:ind w:right="97"/>
              <w:rPr>
                <w:sz w:val="18"/>
              </w:rPr>
            </w:pPr>
            <w:r>
              <w:rPr>
                <w:sz w:val="18"/>
              </w:rPr>
              <w:t>360.60</w:t>
            </w:r>
          </w:p>
        </w:tc>
        <w:tc>
          <w:tcPr>
            <w:tcW w:w="1656" w:type="dxa"/>
          </w:tcPr>
          <w:p w:rsidR="007C5447" w:rsidRDefault="007C5447">
            <w:pPr>
              <w:pStyle w:val="TableParagraph"/>
              <w:spacing w:before="3"/>
              <w:jc w:val="left"/>
              <w:rPr>
                <w:b/>
                <w:sz w:val="18"/>
              </w:rPr>
            </w:pPr>
          </w:p>
          <w:p w:rsidR="007C5447" w:rsidRDefault="00F6308C">
            <w:pPr>
              <w:pStyle w:val="TableParagraph"/>
              <w:spacing w:before="1"/>
              <w:ind w:right="95"/>
              <w:rPr>
                <w:sz w:val="18"/>
              </w:rPr>
            </w:pPr>
            <w:r>
              <w:rPr>
                <w:w w:val="99"/>
                <w:sz w:val="18"/>
              </w:rPr>
              <w:t>-</w:t>
            </w:r>
          </w:p>
        </w:tc>
      </w:tr>
      <w:tr w:rsidR="007C5447">
        <w:trPr>
          <w:trHeight w:val="330"/>
        </w:trPr>
        <w:tc>
          <w:tcPr>
            <w:tcW w:w="2722" w:type="dxa"/>
          </w:tcPr>
          <w:p w:rsidR="007C5447" w:rsidRDefault="00F6308C">
            <w:pPr>
              <w:pStyle w:val="TableParagraph"/>
              <w:spacing w:before="62"/>
              <w:ind w:left="107"/>
              <w:jc w:val="left"/>
              <w:rPr>
                <w:sz w:val="18"/>
              </w:rPr>
            </w:pPr>
            <w:r>
              <w:rPr>
                <w:sz w:val="18"/>
              </w:rPr>
              <w:t>Fuel related losses and expenses</w:t>
            </w:r>
          </w:p>
        </w:tc>
        <w:tc>
          <w:tcPr>
            <w:tcW w:w="1882" w:type="dxa"/>
          </w:tcPr>
          <w:p w:rsidR="007C5447" w:rsidRDefault="00F6308C">
            <w:pPr>
              <w:pStyle w:val="TableParagraph"/>
              <w:spacing w:before="62"/>
              <w:ind w:right="95"/>
              <w:rPr>
                <w:sz w:val="18"/>
              </w:rPr>
            </w:pPr>
            <w:r>
              <w:rPr>
                <w:sz w:val="18"/>
              </w:rPr>
              <w:t>48.75</w:t>
            </w:r>
          </w:p>
        </w:tc>
        <w:tc>
          <w:tcPr>
            <w:tcW w:w="1915" w:type="dxa"/>
          </w:tcPr>
          <w:p w:rsidR="007C5447" w:rsidRDefault="00F6308C">
            <w:pPr>
              <w:pStyle w:val="TableParagraph"/>
              <w:spacing w:before="62"/>
              <w:ind w:right="94"/>
              <w:rPr>
                <w:sz w:val="18"/>
              </w:rPr>
            </w:pPr>
            <w:r>
              <w:rPr>
                <w:sz w:val="18"/>
              </w:rPr>
              <w:t>48.75</w:t>
            </w:r>
          </w:p>
        </w:tc>
        <w:tc>
          <w:tcPr>
            <w:tcW w:w="1841" w:type="dxa"/>
          </w:tcPr>
          <w:p w:rsidR="007C5447" w:rsidRDefault="00F6308C">
            <w:pPr>
              <w:pStyle w:val="TableParagraph"/>
              <w:spacing w:before="62"/>
              <w:ind w:right="94"/>
              <w:rPr>
                <w:sz w:val="18"/>
              </w:rPr>
            </w:pPr>
            <w:r>
              <w:rPr>
                <w:sz w:val="18"/>
              </w:rPr>
              <w:t>30.47</w:t>
            </w:r>
          </w:p>
        </w:tc>
        <w:tc>
          <w:tcPr>
            <w:tcW w:w="1656" w:type="dxa"/>
          </w:tcPr>
          <w:p w:rsidR="007C5447" w:rsidRDefault="00F6308C">
            <w:pPr>
              <w:pStyle w:val="TableParagraph"/>
              <w:spacing w:before="62"/>
              <w:ind w:right="94"/>
              <w:rPr>
                <w:sz w:val="18"/>
              </w:rPr>
            </w:pPr>
            <w:r>
              <w:rPr>
                <w:sz w:val="18"/>
              </w:rPr>
              <w:t>30.47</w:t>
            </w:r>
          </w:p>
        </w:tc>
      </w:tr>
      <w:tr w:rsidR="007C5447">
        <w:trPr>
          <w:trHeight w:val="330"/>
        </w:trPr>
        <w:tc>
          <w:tcPr>
            <w:tcW w:w="2722" w:type="dxa"/>
          </w:tcPr>
          <w:p w:rsidR="007C5447" w:rsidRDefault="00F6308C">
            <w:pPr>
              <w:pStyle w:val="TableParagraph"/>
              <w:spacing w:before="62"/>
              <w:ind w:left="107"/>
              <w:jc w:val="left"/>
              <w:rPr>
                <w:sz w:val="18"/>
              </w:rPr>
            </w:pPr>
            <w:r>
              <w:rPr>
                <w:sz w:val="18"/>
              </w:rPr>
              <w:t>Operating Expenses</w:t>
            </w:r>
          </w:p>
        </w:tc>
        <w:tc>
          <w:tcPr>
            <w:tcW w:w="1882" w:type="dxa"/>
          </w:tcPr>
          <w:p w:rsidR="007C5447" w:rsidRDefault="00F6308C">
            <w:pPr>
              <w:pStyle w:val="TableParagraph"/>
              <w:spacing w:before="62"/>
              <w:ind w:right="97"/>
              <w:rPr>
                <w:sz w:val="18"/>
              </w:rPr>
            </w:pPr>
            <w:r>
              <w:rPr>
                <w:sz w:val="18"/>
              </w:rPr>
              <w:t>8.93</w:t>
            </w:r>
          </w:p>
        </w:tc>
        <w:tc>
          <w:tcPr>
            <w:tcW w:w="1915" w:type="dxa"/>
          </w:tcPr>
          <w:p w:rsidR="007C5447" w:rsidRDefault="00F6308C">
            <w:pPr>
              <w:pStyle w:val="TableParagraph"/>
              <w:spacing w:before="62"/>
              <w:ind w:right="97"/>
              <w:rPr>
                <w:sz w:val="18"/>
              </w:rPr>
            </w:pPr>
            <w:r>
              <w:rPr>
                <w:sz w:val="18"/>
              </w:rPr>
              <w:t>8.93</w:t>
            </w:r>
          </w:p>
        </w:tc>
        <w:tc>
          <w:tcPr>
            <w:tcW w:w="1841" w:type="dxa"/>
          </w:tcPr>
          <w:p w:rsidR="007C5447" w:rsidRDefault="00F6308C">
            <w:pPr>
              <w:pStyle w:val="TableParagraph"/>
              <w:spacing w:before="62"/>
              <w:ind w:right="97"/>
              <w:rPr>
                <w:sz w:val="18"/>
              </w:rPr>
            </w:pPr>
            <w:r>
              <w:rPr>
                <w:sz w:val="18"/>
              </w:rPr>
              <w:t>2.94</w:t>
            </w:r>
          </w:p>
        </w:tc>
        <w:tc>
          <w:tcPr>
            <w:tcW w:w="1656" w:type="dxa"/>
          </w:tcPr>
          <w:p w:rsidR="007C5447" w:rsidRDefault="00F6308C">
            <w:pPr>
              <w:pStyle w:val="TableParagraph"/>
              <w:spacing w:before="62"/>
              <w:ind w:right="96"/>
              <w:rPr>
                <w:sz w:val="18"/>
              </w:rPr>
            </w:pPr>
            <w:r>
              <w:rPr>
                <w:sz w:val="18"/>
              </w:rPr>
              <w:t>2.94</w:t>
            </w:r>
          </w:p>
        </w:tc>
      </w:tr>
      <w:tr w:rsidR="007C5447">
        <w:trPr>
          <w:trHeight w:val="328"/>
        </w:trPr>
        <w:tc>
          <w:tcPr>
            <w:tcW w:w="2722" w:type="dxa"/>
          </w:tcPr>
          <w:p w:rsidR="007C5447" w:rsidRDefault="00F6308C">
            <w:pPr>
              <w:pStyle w:val="TableParagraph"/>
              <w:spacing w:before="62"/>
              <w:ind w:left="107"/>
              <w:jc w:val="left"/>
              <w:rPr>
                <w:sz w:val="18"/>
              </w:rPr>
            </w:pPr>
            <w:r>
              <w:rPr>
                <w:sz w:val="18"/>
              </w:rPr>
              <w:t>Material related Expenses</w:t>
            </w:r>
          </w:p>
        </w:tc>
        <w:tc>
          <w:tcPr>
            <w:tcW w:w="1882" w:type="dxa"/>
          </w:tcPr>
          <w:p w:rsidR="007C5447" w:rsidRDefault="00F6308C">
            <w:pPr>
              <w:pStyle w:val="TableParagraph"/>
              <w:spacing w:before="62"/>
              <w:ind w:right="96"/>
              <w:rPr>
                <w:sz w:val="18"/>
              </w:rPr>
            </w:pPr>
            <w:r>
              <w:rPr>
                <w:w w:val="99"/>
                <w:sz w:val="18"/>
              </w:rPr>
              <w:t>-</w:t>
            </w:r>
          </w:p>
        </w:tc>
        <w:tc>
          <w:tcPr>
            <w:tcW w:w="1915" w:type="dxa"/>
          </w:tcPr>
          <w:p w:rsidR="007C5447" w:rsidRDefault="00F6308C">
            <w:pPr>
              <w:pStyle w:val="TableParagraph"/>
              <w:spacing w:before="62"/>
              <w:ind w:right="95"/>
              <w:rPr>
                <w:sz w:val="18"/>
              </w:rPr>
            </w:pPr>
            <w:r>
              <w:rPr>
                <w:w w:val="99"/>
                <w:sz w:val="18"/>
              </w:rPr>
              <w:t>-</w:t>
            </w:r>
          </w:p>
        </w:tc>
        <w:tc>
          <w:tcPr>
            <w:tcW w:w="1841" w:type="dxa"/>
          </w:tcPr>
          <w:p w:rsidR="007C5447" w:rsidRDefault="00F6308C">
            <w:pPr>
              <w:pStyle w:val="TableParagraph"/>
              <w:spacing w:before="62"/>
              <w:ind w:right="95"/>
              <w:rPr>
                <w:sz w:val="18"/>
              </w:rPr>
            </w:pPr>
            <w:r>
              <w:rPr>
                <w:w w:val="99"/>
                <w:sz w:val="18"/>
              </w:rPr>
              <w:t>-</w:t>
            </w:r>
          </w:p>
        </w:tc>
        <w:tc>
          <w:tcPr>
            <w:tcW w:w="1656" w:type="dxa"/>
          </w:tcPr>
          <w:p w:rsidR="007C5447" w:rsidRDefault="00F6308C">
            <w:pPr>
              <w:pStyle w:val="TableParagraph"/>
              <w:spacing w:before="62"/>
              <w:ind w:right="95"/>
              <w:rPr>
                <w:sz w:val="18"/>
              </w:rPr>
            </w:pPr>
            <w:r>
              <w:rPr>
                <w:w w:val="99"/>
                <w:sz w:val="18"/>
              </w:rPr>
              <w:t>-</w:t>
            </w:r>
          </w:p>
        </w:tc>
      </w:tr>
      <w:tr w:rsidR="007C5447">
        <w:trPr>
          <w:trHeight w:val="331"/>
        </w:trPr>
        <w:tc>
          <w:tcPr>
            <w:tcW w:w="2722" w:type="dxa"/>
          </w:tcPr>
          <w:p w:rsidR="007C5447" w:rsidRDefault="00F6308C">
            <w:pPr>
              <w:pStyle w:val="TableParagraph"/>
              <w:spacing w:before="62"/>
              <w:ind w:left="107"/>
              <w:jc w:val="left"/>
              <w:rPr>
                <w:sz w:val="18"/>
              </w:rPr>
            </w:pPr>
            <w:r>
              <w:rPr>
                <w:sz w:val="18"/>
              </w:rPr>
              <w:t>Employee cost</w:t>
            </w:r>
          </w:p>
        </w:tc>
        <w:tc>
          <w:tcPr>
            <w:tcW w:w="1882" w:type="dxa"/>
          </w:tcPr>
          <w:p w:rsidR="007C5447" w:rsidRDefault="00F6308C">
            <w:pPr>
              <w:pStyle w:val="TableParagraph"/>
              <w:spacing w:before="62"/>
              <w:ind w:right="97"/>
              <w:rPr>
                <w:sz w:val="18"/>
              </w:rPr>
            </w:pPr>
            <w:r>
              <w:rPr>
                <w:sz w:val="18"/>
              </w:rPr>
              <w:t>178.71</w:t>
            </w:r>
          </w:p>
        </w:tc>
        <w:tc>
          <w:tcPr>
            <w:tcW w:w="1915" w:type="dxa"/>
          </w:tcPr>
          <w:p w:rsidR="007C5447" w:rsidRDefault="00F6308C">
            <w:pPr>
              <w:pStyle w:val="TableParagraph"/>
              <w:spacing w:before="62"/>
              <w:ind w:right="97"/>
              <w:rPr>
                <w:sz w:val="18"/>
              </w:rPr>
            </w:pPr>
            <w:r>
              <w:rPr>
                <w:sz w:val="18"/>
              </w:rPr>
              <w:t>178.71</w:t>
            </w:r>
          </w:p>
        </w:tc>
        <w:tc>
          <w:tcPr>
            <w:tcW w:w="1841" w:type="dxa"/>
          </w:tcPr>
          <w:p w:rsidR="007C5447" w:rsidRDefault="00F6308C">
            <w:pPr>
              <w:pStyle w:val="TableParagraph"/>
              <w:spacing w:before="62"/>
              <w:ind w:right="94"/>
              <w:rPr>
                <w:sz w:val="18"/>
              </w:rPr>
            </w:pPr>
            <w:r>
              <w:rPr>
                <w:sz w:val="18"/>
              </w:rPr>
              <w:t>34.43</w:t>
            </w:r>
          </w:p>
        </w:tc>
        <w:tc>
          <w:tcPr>
            <w:tcW w:w="1656" w:type="dxa"/>
          </w:tcPr>
          <w:p w:rsidR="007C5447" w:rsidRDefault="00F6308C">
            <w:pPr>
              <w:pStyle w:val="TableParagraph"/>
              <w:spacing w:before="62"/>
              <w:ind w:right="94"/>
              <w:rPr>
                <w:sz w:val="18"/>
              </w:rPr>
            </w:pPr>
            <w:r>
              <w:rPr>
                <w:sz w:val="18"/>
              </w:rPr>
              <w:t>34.43</w:t>
            </w:r>
          </w:p>
        </w:tc>
      </w:tr>
      <w:tr w:rsidR="007C5447">
        <w:trPr>
          <w:trHeight w:val="330"/>
        </w:trPr>
        <w:tc>
          <w:tcPr>
            <w:tcW w:w="2722" w:type="dxa"/>
          </w:tcPr>
          <w:p w:rsidR="007C5447" w:rsidRDefault="00F6308C">
            <w:pPr>
              <w:pStyle w:val="TableParagraph"/>
              <w:spacing w:before="62"/>
              <w:ind w:left="107"/>
              <w:jc w:val="left"/>
              <w:rPr>
                <w:sz w:val="18"/>
              </w:rPr>
            </w:pPr>
            <w:r>
              <w:rPr>
                <w:sz w:val="18"/>
              </w:rPr>
              <w:t>Depreciation under provided</w:t>
            </w:r>
          </w:p>
        </w:tc>
        <w:tc>
          <w:tcPr>
            <w:tcW w:w="1882" w:type="dxa"/>
          </w:tcPr>
          <w:p w:rsidR="007C5447" w:rsidRDefault="00F6308C">
            <w:pPr>
              <w:pStyle w:val="TableParagraph"/>
              <w:spacing w:before="62"/>
              <w:ind w:right="97"/>
              <w:rPr>
                <w:sz w:val="18"/>
              </w:rPr>
            </w:pPr>
            <w:r>
              <w:rPr>
                <w:sz w:val="18"/>
              </w:rPr>
              <w:t>0.25</w:t>
            </w:r>
          </w:p>
        </w:tc>
        <w:tc>
          <w:tcPr>
            <w:tcW w:w="1915" w:type="dxa"/>
          </w:tcPr>
          <w:p w:rsidR="007C5447" w:rsidRDefault="00F6308C">
            <w:pPr>
              <w:pStyle w:val="TableParagraph"/>
              <w:spacing w:before="62"/>
              <w:ind w:right="97"/>
              <w:rPr>
                <w:sz w:val="18"/>
              </w:rPr>
            </w:pPr>
            <w:r>
              <w:rPr>
                <w:sz w:val="18"/>
              </w:rPr>
              <w:t>0.25</w:t>
            </w:r>
          </w:p>
        </w:tc>
        <w:tc>
          <w:tcPr>
            <w:tcW w:w="1841" w:type="dxa"/>
          </w:tcPr>
          <w:p w:rsidR="007C5447" w:rsidRDefault="00F6308C">
            <w:pPr>
              <w:pStyle w:val="TableParagraph"/>
              <w:spacing w:before="62"/>
              <w:ind w:right="97"/>
              <w:rPr>
                <w:sz w:val="18"/>
              </w:rPr>
            </w:pPr>
            <w:r>
              <w:rPr>
                <w:sz w:val="18"/>
              </w:rPr>
              <w:t>120.85</w:t>
            </w:r>
          </w:p>
        </w:tc>
        <w:tc>
          <w:tcPr>
            <w:tcW w:w="1656" w:type="dxa"/>
          </w:tcPr>
          <w:p w:rsidR="007C5447" w:rsidRDefault="00F6308C">
            <w:pPr>
              <w:pStyle w:val="TableParagraph"/>
              <w:spacing w:before="62"/>
              <w:ind w:right="96"/>
              <w:rPr>
                <w:sz w:val="18"/>
              </w:rPr>
            </w:pPr>
            <w:r>
              <w:rPr>
                <w:sz w:val="18"/>
              </w:rPr>
              <w:t>120.85</w:t>
            </w:r>
          </w:p>
        </w:tc>
      </w:tr>
      <w:tr w:rsidR="007C5447">
        <w:trPr>
          <w:trHeight w:val="328"/>
        </w:trPr>
        <w:tc>
          <w:tcPr>
            <w:tcW w:w="2722" w:type="dxa"/>
          </w:tcPr>
          <w:p w:rsidR="007C5447" w:rsidRDefault="00F6308C">
            <w:pPr>
              <w:pStyle w:val="TableParagraph"/>
              <w:spacing w:before="62"/>
              <w:ind w:left="107"/>
              <w:jc w:val="left"/>
              <w:rPr>
                <w:sz w:val="18"/>
              </w:rPr>
            </w:pPr>
            <w:r>
              <w:rPr>
                <w:sz w:val="18"/>
              </w:rPr>
              <w:t>Interest and finance charges</w:t>
            </w:r>
          </w:p>
        </w:tc>
        <w:tc>
          <w:tcPr>
            <w:tcW w:w="1882" w:type="dxa"/>
          </w:tcPr>
          <w:p w:rsidR="007C5447" w:rsidRDefault="00F6308C">
            <w:pPr>
              <w:pStyle w:val="TableParagraph"/>
              <w:spacing w:before="62"/>
              <w:ind w:right="95"/>
              <w:rPr>
                <w:sz w:val="18"/>
              </w:rPr>
            </w:pPr>
            <w:r>
              <w:rPr>
                <w:sz w:val="18"/>
              </w:rPr>
              <w:t>23.68</w:t>
            </w:r>
          </w:p>
        </w:tc>
        <w:tc>
          <w:tcPr>
            <w:tcW w:w="1915" w:type="dxa"/>
          </w:tcPr>
          <w:p w:rsidR="007C5447" w:rsidRDefault="00F6308C">
            <w:pPr>
              <w:pStyle w:val="TableParagraph"/>
              <w:spacing w:before="62"/>
              <w:ind w:right="95"/>
              <w:rPr>
                <w:sz w:val="18"/>
              </w:rPr>
            </w:pPr>
            <w:r>
              <w:rPr>
                <w:w w:val="99"/>
                <w:sz w:val="18"/>
              </w:rPr>
              <w:t>-</w:t>
            </w:r>
          </w:p>
        </w:tc>
        <w:tc>
          <w:tcPr>
            <w:tcW w:w="1841" w:type="dxa"/>
          </w:tcPr>
          <w:p w:rsidR="007C5447" w:rsidRDefault="00F6308C">
            <w:pPr>
              <w:pStyle w:val="TableParagraph"/>
              <w:spacing w:before="62"/>
              <w:ind w:right="97"/>
              <w:rPr>
                <w:sz w:val="18"/>
              </w:rPr>
            </w:pPr>
            <w:r>
              <w:rPr>
                <w:sz w:val="18"/>
              </w:rPr>
              <w:t>900.44</w:t>
            </w:r>
          </w:p>
        </w:tc>
        <w:tc>
          <w:tcPr>
            <w:tcW w:w="1656" w:type="dxa"/>
          </w:tcPr>
          <w:p w:rsidR="007C5447" w:rsidRDefault="00F6308C">
            <w:pPr>
              <w:pStyle w:val="TableParagraph"/>
              <w:spacing w:before="62"/>
              <w:ind w:right="95"/>
              <w:rPr>
                <w:sz w:val="18"/>
              </w:rPr>
            </w:pPr>
            <w:r>
              <w:rPr>
                <w:w w:val="99"/>
                <w:sz w:val="18"/>
              </w:rPr>
              <w:t>-</w:t>
            </w:r>
          </w:p>
        </w:tc>
      </w:tr>
      <w:tr w:rsidR="007C5447">
        <w:trPr>
          <w:trHeight w:val="330"/>
        </w:trPr>
        <w:tc>
          <w:tcPr>
            <w:tcW w:w="2722" w:type="dxa"/>
          </w:tcPr>
          <w:p w:rsidR="007C5447" w:rsidRDefault="00F6308C">
            <w:pPr>
              <w:pStyle w:val="TableParagraph"/>
              <w:spacing w:before="62"/>
              <w:ind w:left="107"/>
              <w:jc w:val="left"/>
              <w:rPr>
                <w:sz w:val="18"/>
              </w:rPr>
            </w:pPr>
            <w:r>
              <w:rPr>
                <w:sz w:val="18"/>
              </w:rPr>
              <w:t>Other Charges</w:t>
            </w:r>
          </w:p>
        </w:tc>
        <w:tc>
          <w:tcPr>
            <w:tcW w:w="1882" w:type="dxa"/>
          </w:tcPr>
          <w:p w:rsidR="007C5447" w:rsidRDefault="00F6308C">
            <w:pPr>
              <w:pStyle w:val="TableParagraph"/>
              <w:spacing w:before="62"/>
              <w:ind w:right="95"/>
              <w:rPr>
                <w:sz w:val="18"/>
              </w:rPr>
            </w:pPr>
            <w:r>
              <w:rPr>
                <w:sz w:val="18"/>
              </w:rPr>
              <w:t>57.37</w:t>
            </w:r>
          </w:p>
        </w:tc>
        <w:tc>
          <w:tcPr>
            <w:tcW w:w="1915" w:type="dxa"/>
          </w:tcPr>
          <w:p w:rsidR="007C5447" w:rsidRDefault="00F6308C">
            <w:pPr>
              <w:pStyle w:val="TableParagraph"/>
              <w:spacing w:before="62"/>
              <w:ind w:right="94"/>
              <w:rPr>
                <w:sz w:val="18"/>
              </w:rPr>
            </w:pPr>
            <w:r>
              <w:rPr>
                <w:sz w:val="18"/>
              </w:rPr>
              <w:t>57.37</w:t>
            </w:r>
          </w:p>
        </w:tc>
        <w:tc>
          <w:tcPr>
            <w:tcW w:w="1841" w:type="dxa"/>
          </w:tcPr>
          <w:p w:rsidR="007C5447" w:rsidRDefault="00F6308C">
            <w:pPr>
              <w:pStyle w:val="TableParagraph"/>
              <w:spacing w:before="62"/>
              <w:ind w:right="97"/>
              <w:rPr>
                <w:sz w:val="18"/>
              </w:rPr>
            </w:pPr>
            <w:r>
              <w:rPr>
                <w:sz w:val="18"/>
              </w:rPr>
              <w:t>397.07</w:t>
            </w:r>
          </w:p>
        </w:tc>
        <w:tc>
          <w:tcPr>
            <w:tcW w:w="1656" w:type="dxa"/>
          </w:tcPr>
          <w:p w:rsidR="007C5447" w:rsidRDefault="00F6308C">
            <w:pPr>
              <w:pStyle w:val="TableParagraph"/>
              <w:spacing w:before="62"/>
              <w:ind w:right="96"/>
              <w:rPr>
                <w:sz w:val="18"/>
              </w:rPr>
            </w:pPr>
            <w:r>
              <w:rPr>
                <w:sz w:val="18"/>
              </w:rPr>
              <w:t>397.07</w:t>
            </w:r>
          </w:p>
        </w:tc>
      </w:tr>
      <w:tr w:rsidR="007C5447">
        <w:trPr>
          <w:trHeight w:val="330"/>
        </w:trPr>
        <w:tc>
          <w:tcPr>
            <w:tcW w:w="2722" w:type="dxa"/>
          </w:tcPr>
          <w:p w:rsidR="007C5447" w:rsidRDefault="00F6308C">
            <w:pPr>
              <w:pStyle w:val="TableParagraph"/>
              <w:spacing w:before="62"/>
              <w:ind w:left="107"/>
              <w:jc w:val="left"/>
              <w:rPr>
                <w:b/>
                <w:sz w:val="18"/>
              </w:rPr>
            </w:pPr>
            <w:r>
              <w:rPr>
                <w:b/>
                <w:sz w:val="18"/>
              </w:rPr>
              <w:t>Total Prior Period Expenses</w:t>
            </w:r>
          </w:p>
        </w:tc>
        <w:tc>
          <w:tcPr>
            <w:tcW w:w="1882" w:type="dxa"/>
          </w:tcPr>
          <w:p w:rsidR="007C5447" w:rsidRDefault="00F6308C">
            <w:pPr>
              <w:pStyle w:val="TableParagraph"/>
              <w:spacing w:before="62"/>
              <w:ind w:right="98"/>
              <w:rPr>
                <w:b/>
                <w:sz w:val="18"/>
              </w:rPr>
            </w:pPr>
            <w:r>
              <w:rPr>
                <w:b/>
                <w:sz w:val="18"/>
              </w:rPr>
              <w:t>1,214.34</w:t>
            </w:r>
          </w:p>
        </w:tc>
        <w:tc>
          <w:tcPr>
            <w:tcW w:w="1915" w:type="dxa"/>
          </w:tcPr>
          <w:p w:rsidR="007C5447" w:rsidRDefault="00F6308C">
            <w:pPr>
              <w:pStyle w:val="TableParagraph"/>
              <w:spacing w:before="62"/>
              <w:ind w:right="97"/>
              <w:rPr>
                <w:b/>
                <w:sz w:val="18"/>
              </w:rPr>
            </w:pPr>
            <w:r>
              <w:rPr>
                <w:b/>
                <w:sz w:val="18"/>
              </w:rPr>
              <w:t>294.01</w:t>
            </w:r>
          </w:p>
        </w:tc>
        <w:tc>
          <w:tcPr>
            <w:tcW w:w="1841" w:type="dxa"/>
          </w:tcPr>
          <w:p w:rsidR="007C5447" w:rsidRDefault="00F6308C">
            <w:pPr>
              <w:pStyle w:val="TableParagraph"/>
              <w:spacing w:before="62"/>
              <w:ind w:right="97"/>
              <w:rPr>
                <w:b/>
                <w:sz w:val="18"/>
              </w:rPr>
            </w:pPr>
            <w:r>
              <w:rPr>
                <w:b/>
                <w:sz w:val="18"/>
              </w:rPr>
              <w:t>1,846.79</w:t>
            </w:r>
          </w:p>
        </w:tc>
        <w:tc>
          <w:tcPr>
            <w:tcW w:w="1656" w:type="dxa"/>
          </w:tcPr>
          <w:p w:rsidR="007C5447" w:rsidRDefault="00F6308C">
            <w:pPr>
              <w:pStyle w:val="TableParagraph"/>
              <w:spacing w:before="62"/>
              <w:ind w:right="96"/>
              <w:rPr>
                <w:b/>
                <w:sz w:val="18"/>
              </w:rPr>
            </w:pPr>
            <w:r>
              <w:rPr>
                <w:b/>
                <w:sz w:val="18"/>
              </w:rPr>
              <w:t>585.75</w:t>
            </w:r>
          </w:p>
        </w:tc>
      </w:tr>
      <w:tr w:rsidR="007C5447">
        <w:trPr>
          <w:trHeight w:val="330"/>
        </w:trPr>
        <w:tc>
          <w:tcPr>
            <w:tcW w:w="2722" w:type="dxa"/>
          </w:tcPr>
          <w:p w:rsidR="007C5447" w:rsidRDefault="00F6308C">
            <w:pPr>
              <w:pStyle w:val="TableParagraph"/>
              <w:spacing w:before="62"/>
              <w:ind w:left="107"/>
              <w:jc w:val="left"/>
              <w:rPr>
                <w:b/>
                <w:sz w:val="18"/>
              </w:rPr>
            </w:pPr>
            <w:r>
              <w:rPr>
                <w:b/>
                <w:sz w:val="18"/>
              </w:rPr>
              <w:t>Net Prior Period Expenses</w:t>
            </w:r>
          </w:p>
        </w:tc>
        <w:tc>
          <w:tcPr>
            <w:tcW w:w="1882" w:type="dxa"/>
          </w:tcPr>
          <w:p w:rsidR="007C5447" w:rsidRDefault="00F6308C">
            <w:pPr>
              <w:pStyle w:val="TableParagraph"/>
              <w:spacing w:before="62"/>
              <w:ind w:right="94"/>
              <w:rPr>
                <w:b/>
                <w:sz w:val="18"/>
              </w:rPr>
            </w:pPr>
            <w:r>
              <w:rPr>
                <w:b/>
                <w:sz w:val="18"/>
              </w:rPr>
              <w:t>(269.16)</w:t>
            </w:r>
          </w:p>
        </w:tc>
        <w:tc>
          <w:tcPr>
            <w:tcW w:w="1915" w:type="dxa"/>
          </w:tcPr>
          <w:p w:rsidR="007C5447" w:rsidRDefault="00F6308C">
            <w:pPr>
              <w:pStyle w:val="TableParagraph"/>
              <w:spacing w:before="62"/>
              <w:ind w:right="93"/>
              <w:rPr>
                <w:b/>
                <w:sz w:val="18"/>
              </w:rPr>
            </w:pPr>
            <w:r>
              <w:rPr>
                <w:b/>
                <w:sz w:val="18"/>
              </w:rPr>
              <w:t>(968.14)</w:t>
            </w:r>
          </w:p>
        </w:tc>
        <w:tc>
          <w:tcPr>
            <w:tcW w:w="1841" w:type="dxa"/>
          </w:tcPr>
          <w:p w:rsidR="007C5447" w:rsidRDefault="00F6308C">
            <w:pPr>
              <w:pStyle w:val="TableParagraph"/>
              <w:spacing w:before="62"/>
              <w:ind w:right="94"/>
              <w:rPr>
                <w:b/>
                <w:sz w:val="18"/>
              </w:rPr>
            </w:pPr>
            <w:r>
              <w:rPr>
                <w:b/>
                <w:sz w:val="18"/>
              </w:rPr>
              <w:t>(1,443.71)</w:t>
            </w:r>
          </w:p>
        </w:tc>
        <w:tc>
          <w:tcPr>
            <w:tcW w:w="1656" w:type="dxa"/>
          </w:tcPr>
          <w:p w:rsidR="007C5447" w:rsidRDefault="00F6308C">
            <w:pPr>
              <w:pStyle w:val="TableParagraph"/>
              <w:spacing w:before="62"/>
              <w:ind w:right="93"/>
              <w:rPr>
                <w:b/>
                <w:sz w:val="18"/>
              </w:rPr>
            </w:pPr>
            <w:r>
              <w:rPr>
                <w:b/>
                <w:sz w:val="18"/>
              </w:rPr>
              <w:t>(953.64)</w:t>
            </w:r>
          </w:p>
        </w:tc>
      </w:tr>
    </w:tbl>
    <w:p w:rsidR="007C5447" w:rsidRDefault="007C5447">
      <w:pPr>
        <w:rPr>
          <w:sz w:val="18"/>
        </w:rPr>
        <w:sectPr w:rsidR="007C5447">
          <w:footerReference w:type="default" r:id="rId25"/>
          <w:pgSz w:w="11910" w:h="16840"/>
          <w:pgMar w:top="1420" w:right="80" w:bottom="1240" w:left="760" w:header="0" w:footer="1057" w:gutter="0"/>
          <w:pgNumType w:start="121"/>
          <w:cols w:space="720"/>
        </w:sectPr>
      </w:pPr>
    </w:p>
    <w:p w:rsidR="007C5447" w:rsidRDefault="00F6308C">
      <w:pPr>
        <w:pStyle w:val="Heading2"/>
        <w:numPr>
          <w:ilvl w:val="1"/>
          <w:numId w:val="92"/>
        </w:numPr>
        <w:tabs>
          <w:tab w:val="left" w:pos="1247"/>
        </w:tabs>
        <w:spacing w:before="60"/>
        <w:jc w:val="left"/>
      </w:pPr>
      <w:bookmarkStart w:id="49" w:name="_bookmark49"/>
      <w:bookmarkEnd w:id="49"/>
      <w:r>
        <w:lastRenderedPageBreak/>
        <w:t>Other Income and Non-Tariff</w:t>
      </w:r>
      <w:r>
        <w:rPr>
          <w:spacing w:val="-4"/>
        </w:rPr>
        <w:t xml:space="preserve"> </w:t>
      </w:r>
      <w:r>
        <w:t>Income</w:t>
      </w:r>
    </w:p>
    <w:p w:rsidR="007C5447" w:rsidRDefault="007C5447">
      <w:pPr>
        <w:pStyle w:val="BodyText"/>
        <w:rPr>
          <w:b/>
          <w:sz w:val="28"/>
        </w:rPr>
      </w:pPr>
    </w:p>
    <w:p w:rsidR="007C5447" w:rsidRDefault="00F6308C">
      <w:pPr>
        <w:pStyle w:val="ListParagraph"/>
        <w:numPr>
          <w:ilvl w:val="2"/>
          <w:numId w:val="92"/>
        </w:numPr>
        <w:tabs>
          <w:tab w:val="left" w:pos="1533"/>
        </w:tabs>
        <w:spacing w:line="312" w:lineRule="auto"/>
        <w:ind w:right="1355"/>
        <w:jc w:val="both"/>
        <w:rPr>
          <w:sz w:val="24"/>
        </w:rPr>
      </w:pPr>
      <w:r>
        <w:rPr>
          <w:sz w:val="24"/>
        </w:rPr>
        <w:t>TANGEDCO submitted that Other Income mainly comprises interest on staff loans and advances, income from investments, income from trading, rebate on power purchase bills, interest on staff welfare, and gain on sale of fixed asset.  Other Income for FY 2011-</w:t>
      </w:r>
      <w:r>
        <w:rPr>
          <w:sz w:val="24"/>
        </w:rPr>
        <w:t>12 to FY 2015-16 as submitted by TANGEDCO is shown in the Table</w:t>
      </w:r>
      <w:r>
        <w:rPr>
          <w:spacing w:val="-1"/>
          <w:sz w:val="24"/>
        </w:rPr>
        <w:t xml:space="preserve"> </w:t>
      </w:r>
      <w:r>
        <w:rPr>
          <w:sz w:val="24"/>
        </w:rPr>
        <w:t>below:</w:t>
      </w:r>
    </w:p>
    <w:p w:rsidR="007C5447" w:rsidRDefault="007C5447">
      <w:pPr>
        <w:pStyle w:val="BodyText"/>
        <w:spacing w:before="2"/>
        <w:rPr>
          <w:sz w:val="21"/>
        </w:rPr>
      </w:pPr>
    </w:p>
    <w:p w:rsidR="007C5447" w:rsidRDefault="00F6308C">
      <w:pPr>
        <w:ind w:left="668" w:right="1348"/>
        <w:jc w:val="center"/>
        <w:rPr>
          <w:b/>
        </w:rPr>
      </w:pPr>
      <w:r>
        <w:rPr>
          <w:b/>
        </w:rPr>
        <w:t>Table 3-34: Other Income as submitted by TANGEDCO (Rs. Crore)</w:t>
      </w:r>
    </w:p>
    <w:p w:rsidR="007C5447" w:rsidRDefault="007C5447">
      <w:pPr>
        <w:pStyle w:val="BodyText"/>
        <w:spacing w:before="11"/>
        <w:rPr>
          <w:b/>
          <w:sz w:val="16"/>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8"/>
        <w:gridCol w:w="2203"/>
        <w:gridCol w:w="1228"/>
        <w:gridCol w:w="1228"/>
        <w:gridCol w:w="1228"/>
        <w:gridCol w:w="1229"/>
        <w:gridCol w:w="1228"/>
      </w:tblGrid>
      <w:tr w:rsidR="007C5447">
        <w:trPr>
          <w:trHeight w:val="299"/>
        </w:trPr>
        <w:tc>
          <w:tcPr>
            <w:tcW w:w="818" w:type="dxa"/>
            <w:shd w:val="clear" w:color="auto" w:fill="F7C9AC"/>
          </w:tcPr>
          <w:p w:rsidR="007C5447" w:rsidRDefault="00F6308C">
            <w:pPr>
              <w:pStyle w:val="TableParagraph"/>
              <w:spacing w:before="34"/>
              <w:ind w:left="107"/>
              <w:jc w:val="left"/>
              <w:rPr>
                <w:b/>
                <w:sz w:val="20"/>
              </w:rPr>
            </w:pPr>
            <w:r>
              <w:rPr>
                <w:b/>
                <w:sz w:val="20"/>
              </w:rPr>
              <w:t>Sl.</w:t>
            </w:r>
          </w:p>
        </w:tc>
        <w:tc>
          <w:tcPr>
            <w:tcW w:w="2203" w:type="dxa"/>
            <w:shd w:val="clear" w:color="auto" w:fill="F7C9AC"/>
          </w:tcPr>
          <w:p w:rsidR="007C5447" w:rsidRDefault="00F6308C">
            <w:pPr>
              <w:pStyle w:val="TableParagraph"/>
              <w:spacing w:before="34"/>
              <w:ind w:left="108"/>
              <w:jc w:val="left"/>
              <w:rPr>
                <w:b/>
                <w:sz w:val="20"/>
              </w:rPr>
            </w:pPr>
            <w:r>
              <w:rPr>
                <w:b/>
                <w:sz w:val="20"/>
              </w:rPr>
              <w:t>Particulars</w:t>
            </w:r>
          </w:p>
        </w:tc>
        <w:tc>
          <w:tcPr>
            <w:tcW w:w="1228" w:type="dxa"/>
            <w:shd w:val="clear" w:color="auto" w:fill="F7C9AC"/>
          </w:tcPr>
          <w:p w:rsidR="007C5447" w:rsidRDefault="00F6308C">
            <w:pPr>
              <w:pStyle w:val="TableParagraph"/>
              <w:spacing w:before="34"/>
              <w:ind w:left="123"/>
              <w:jc w:val="left"/>
              <w:rPr>
                <w:b/>
                <w:sz w:val="20"/>
              </w:rPr>
            </w:pPr>
            <w:r>
              <w:rPr>
                <w:b/>
                <w:sz w:val="20"/>
              </w:rPr>
              <w:t>FY 2011-12</w:t>
            </w:r>
          </w:p>
        </w:tc>
        <w:tc>
          <w:tcPr>
            <w:tcW w:w="1228" w:type="dxa"/>
            <w:shd w:val="clear" w:color="auto" w:fill="F7C9AC"/>
          </w:tcPr>
          <w:p w:rsidR="007C5447" w:rsidRDefault="00F6308C">
            <w:pPr>
              <w:pStyle w:val="TableParagraph"/>
              <w:spacing w:before="34"/>
              <w:ind w:left="124"/>
              <w:jc w:val="left"/>
              <w:rPr>
                <w:b/>
                <w:sz w:val="20"/>
              </w:rPr>
            </w:pPr>
            <w:r>
              <w:rPr>
                <w:b/>
                <w:sz w:val="20"/>
              </w:rPr>
              <w:t>FY 2012-13</w:t>
            </w:r>
          </w:p>
        </w:tc>
        <w:tc>
          <w:tcPr>
            <w:tcW w:w="1228" w:type="dxa"/>
            <w:shd w:val="clear" w:color="auto" w:fill="F7C9AC"/>
          </w:tcPr>
          <w:p w:rsidR="007C5447" w:rsidRDefault="00F6308C">
            <w:pPr>
              <w:pStyle w:val="TableParagraph"/>
              <w:spacing w:before="34"/>
              <w:ind w:left="125"/>
              <w:jc w:val="left"/>
              <w:rPr>
                <w:b/>
                <w:sz w:val="20"/>
              </w:rPr>
            </w:pPr>
            <w:r>
              <w:rPr>
                <w:b/>
                <w:sz w:val="20"/>
              </w:rPr>
              <w:t>FY 2013-14</w:t>
            </w:r>
          </w:p>
        </w:tc>
        <w:tc>
          <w:tcPr>
            <w:tcW w:w="1229" w:type="dxa"/>
            <w:shd w:val="clear" w:color="auto" w:fill="F7C9AC"/>
          </w:tcPr>
          <w:p w:rsidR="007C5447" w:rsidRDefault="00F6308C">
            <w:pPr>
              <w:pStyle w:val="TableParagraph"/>
              <w:spacing w:before="34"/>
              <w:ind w:left="126"/>
              <w:jc w:val="left"/>
              <w:rPr>
                <w:b/>
                <w:sz w:val="20"/>
              </w:rPr>
            </w:pPr>
            <w:r>
              <w:rPr>
                <w:b/>
                <w:sz w:val="20"/>
              </w:rPr>
              <w:t>FY 2014-15</w:t>
            </w:r>
          </w:p>
        </w:tc>
        <w:tc>
          <w:tcPr>
            <w:tcW w:w="1228" w:type="dxa"/>
            <w:shd w:val="clear" w:color="auto" w:fill="F7C9AC"/>
          </w:tcPr>
          <w:p w:rsidR="007C5447" w:rsidRDefault="00F6308C">
            <w:pPr>
              <w:pStyle w:val="TableParagraph"/>
              <w:spacing w:before="34"/>
              <w:ind w:left="126"/>
              <w:jc w:val="left"/>
              <w:rPr>
                <w:b/>
                <w:sz w:val="20"/>
              </w:rPr>
            </w:pPr>
            <w:r>
              <w:rPr>
                <w:b/>
                <w:sz w:val="20"/>
              </w:rPr>
              <w:t>FY 2015-16</w:t>
            </w:r>
          </w:p>
        </w:tc>
      </w:tr>
      <w:tr w:rsidR="007C5447">
        <w:trPr>
          <w:trHeight w:val="297"/>
        </w:trPr>
        <w:tc>
          <w:tcPr>
            <w:tcW w:w="818" w:type="dxa"/>
          </w:tcPr>
          <w:p w:rsidR="007C5447" w:rsidRDefault="00F6308C">
            <w:pPr>
              <w:pStyle w:val="TableParagraph"/>
              <w:spacing w:before="34"/>
              <w:ind w:left="107"/>
              <w:jc w:val="left"/>
              <w:rPr>
                <w:sz w:val="20"/>
              </w:rPr>
            </w:pPr>
            <w:r>
              <w:rPr>
                <w:w w:val="99"/>
                <w:sz w:val="20"/>
              </w:rPr>
              <w:t>1</w:t>
            </w:r>
          </w:p>
        </w:tc>
        <w:tc>
          <w:tcPr>
            <w:tcW w:w="2203" w:type="dxa"/>
          </w:tcPr>
          <w:p w:rsidR="007C5447" w:rsidRDefault="00F6308C">
            <w:pPr>
              <w:pStyle w:val="TableParagraph"/>
              <w:spacing w:before="34"/>
              <w:ind w:left="108"/>
              <w:jc w:val="left"/>
              <w:rPr>
                <w:sz w:val="20"/>
              </w:rPr>
            </w:pPr>
            <w:r>
              <w:rPr>
                <w:sz w:val="20"/>
              </w:rPr>
              <w:t>Ennore TPS</w:t>
            </w:r>
          </w:p>
        </w:tc>
        <w:tc>
          <w:tcPr>
            <w:tcW w:w="1228" w:type="dxa"/>
          </w:tcPr>
          <w:p w:rsidR="007C5447" w:rsidRDefault="00F6308C">
            <w:pPr>
              <w:pStyle w:val="TableParagraph"/>
              <w:spacing w:before="34"/>
              <w:ind w:left="500"/>
              <w:jc w:val="left"/>
              <w:rPr>
                <w:sz w:val="20"/>
              </w:rPr>
            </w:pPr>
            <w:r>
              <w:rPr>
                <w:sz w:val="20"/>
              </w:rPr>
              <w:t>11.05</w:t>
            </w:r>
          </w:p>
        </w:tc>
        <w:tc>
          <w:tcPr>
            <w:tcW w:w="1228" w:type="dxa"/>
          </w:tcPr>
          <w:p w:rsidR="007C5447" w:rsidRDefault="00F6308C">
            <w:pPr>
              <w:pStyle w:val="TableParagraph"/>
              <w:spacing w:before="34"/>
              <w:ind w:left="500"/>
              <w:jc w:val="left"/>
              <w:rPr>
                <w:sz w:val="20"/>
              </w:rPr>
            </w:pPr>
            <w:r>
              <w:rPr>
                <w:sz w:val="20"/>
              </w:rPr>
              <w:t>12.21</w:t>
            </w:r>
          </w:p>
        </w:tc>
        <w:tc>
          <w:tcPr>
            <w:tcW w:w="1228" w:type="dxa"/>
          </w:tcPr>
          <w:p w:rsidR="007C5447" w:rsidRDefault="00F6308C">
            <w:pPr>
              <w:pStyle w:val="TableParagraph"/>
              <w:spacing w:before="34"/>
              <w:ind w:left="502"/>
              <w:jc w:val="left"/>
              <w:rPr>
                <w:sz w:val="20"/>
              </w:rPr>
            </w:pPr>
            <w:r>
              <w:rPr>
                <w:sz w:val="20"/>
              </w:rPr>
              <w:t>13.19</w:t>
            </w:r>
          </w:p>
        </w:tc>
        <w:tc>
          <w:tcPr>
            <w:tcW w:w="1229" w:type="dxa"/>
          </w:tcPr>
          <w:p w:rsidR="007C5447" w:rsidRDefault="00F6308C">
            <w:pPr>
              <w:pStyle w:val="TableParagraph"/>
              <w:spacing w:before="34"/>
              <w:ind w:left="502"/>
              <w:jc w:val="left"/>
              <w:rPr>
                <w:sz w:val="20"/>
              </w:rPr>
            </w:pPr>
            <w:r>
              <w:rPr>
                <w:sz w:val="20"/>
              </w:rPr>
              <w:t>18.46</w:t>
            </w:r>
          </w:p>
        </w:tc>
        <w:tc>
          <w:tcPr>
            <w:tcW w:w="1228" w:type="dxa"/>
          </w:tcPr>
          <w:p w:rsidR="007C5447" w:rsidRDefault="00F6308C">
            <w:pPr>
              <w:pStyle w:val="TableParagraph"/>
              <w:spacing w:before="34"/>
              <w:ind w:left="503"/>
              <w:jc w:val="left"/>
              <w:rPr>
                <w:sz w:val="20"/>
              </w:rPr>
            </w:pPr>
            <w:r>
              <w:rPr>
                <w:sz w:val="20"/>
              </w:rPr>
              <w:t>12.72</w:t>
            </w:r>
          </w:p>
        </w:tc>
      </w:tr>
      <w:tr w:rsidR="007C5447">
        <w:trPr>
          <w:trHeight w:val="300"/>
        </w:trPr>
        <w:tc>
          <w:tcPr>
            <w:tcW w:w="818" w:type="dxa"/>
          </w:tcPr>
          <w:p w:rsidR="007C5447" w:rsidRDefault="00F6308C">
            <w:pPr>
              <w:pStyle w:val="TableParagraph"/>
              <w:spacing w:before="37"/>
              <w:ind w:left="107"/>
              <w:jc w:val="left"/>
              <w:rPr>
                <w:sz w:val="20"/>
              </w:rPr>
            </w:pPr>
            <w:r>
              <w:rPr>
                <w:w w:val="99"/>
                <w:sz w:val="20"/>
              </w:rPr>
              <w:t>2</w:t>
            </w:r>
          </w:p>
        </w:tc>
        <w:tc>
          <w:tcPr>
            <w:tcW w:w="2203" w:type="dxa"/>
          </w:tcPr>
          <w:p w:rsidR="007C5447" w:rsidRDefault="00F6308C">
            <w:pPr>
              <w:pStyle w:val="TableParagraph"/>
              <w:spacing w:before="37"/>
              <w:ind w:left="108"/>
              <w:jc w:val="left"/>
              <w:rPr>
                <w:sz w:val="20"/>
              </w:rPr>
            </w:pPr>
            <w:r>
              <w:rPr>
                <w:sz w:val="20"/>
              </w:rPr>
              <w:t>Tuticorin TPS</w:t>
            </w:r>
          </w:p>
        </w:tc>
        <w:tc>
          <w:tcPr>
            <w:tcW w:w="1228" w:type="dxa"/>
          </w:tcPr>
          <w:p w:rsidR="007C5447" w:rsidRDefault="00F6308C">
            <w:pPr>
              <w:pStyle w:val="TableParagraph"/>
              <w:spacing w:before="37"/>
              <w:ind w:left="500"/>
              <w:jc w:val="left"/>
              <w:rPr>
                <w:sz w:val="20"/>
              </w:rPr>
            </w:pPr>
            <w:r>
              <w:rPr>
                <w:sz w:val="20"/>
              </w:rPr>
              <w:t>41.63</w:t>
            </w:r>
          </w:p>
        </w:tc>
        <w:tc>
          <w:tcPr>
            <w:tcW w:w="1228" w:type="dxa"/>
          </w:tcPr>
          <w:p w:rsidR="007C5447" w:rsidRDefault="00F6308C">
            <w:pPr>
              <w:pStyle w:val="TableParagraph"/>
              <w:spacing w:before="37"/>
              <w:ind w:left="500"/>
              <w:jc w:val="left"/>
              <w:rPr>
                <w:sz w:val="20"/>
              </w:rPr>
            </w:pPr>
            <w:r>
              <w:rPr>
                <w:sz w:val="20"/>
              </w:rPr>
              <w:t>44.16</w:t>
            </w:r>
          </w:p>
        </w:tc>
        <w:tc>
          <w:tcPr>
            <w:tcW w:w="1228" w:type="dxa"/>
          </w:tcPr>
          <w:p w:rsidR="007C5447" w:rsidRDefault="00F6308C">
            <w:pPr>
              <w:pStyle w:val="TableParagraph"/>
              <w:spacing w:before="37"/>
              <w:ind w:left="502"/>
              <w:jc w:val="left"/>
              <w:rPr>
                <w:sz w:val="20"/>
              </w:rPr>
            </w:pPr>
            <w:r>
              <w:rPr>
                <w:sz w:val="20"/>
              </w:rPr>
              <w:t>52.17</w:t>
            </w:r>
          </w:p>
        </w:tc>
        <w:tc>
          <w:tcPr>
            <w:tcW w:w="1229" w:type="dxa"/>
          </w:tcPr>
          <w:p w:rsidR="007C5447" w:rsidRDefault="00F6308C">
            <w:pPr>
              <w:pStyle w:val="TableParagraph"/>
              <w:spacing w:before="37"/>
              <w:ind w:left="502"/>
              <w:jc w:val="left"/>
              <w:rPr>
                <w:sz w:val="20"/>
              </w:rPr>
            </w:pPr>
            <w:r>
              <w:rPr>
                <w:sz w:val="20"/>
              </w:rPr>
              <w:t>42.02</w:t>
            </w:r>
          </w:p>
        </w:tc>
        <w:tc>
          <w:tcPr>
            <w:tcW w:w="1228" w:type="dxa"/>
          </w:tcPr>
          <w:p w:rsidR="007C5447" w:rsidRDefault="00F6308C">
            <w:pPr>
              <w:pStyle w:val="TableParagraph"/>
              <w:spacing w:before="37"/>
              <w:ind w:left="503"/>
              <w:jc w:val="left"/>
              <w:rPr>
                <w:sz w:val="20"/>
              </w:rPr>
            </w:pPr>
            <w:r>
              <w:rPr>
                <w:sz w:val="20"/>
              </w:rPr>
              <w:t>36.40</w:t>
            </w:r>
          </w:p>
        </w:tc>
      </w:tr>
      <w:tr w:rsidR="007C5447">
        <w:trPr>
          <w:trHeight w:val="299"/>
        </w:trPr>
        <w:tc>
          <w:tcPr>
            <w:tcW w:w="818" w:type="dxa"/>
          </w:tcPr>
          <w:p w:rsidR="007C5447" w:rsidRDefault="00F6308C">
            <w:pPr>
              <w:pStyle w:val="TableParagraph"/>
              <w:spacing w:before="34"/>
              <w:ind w:left="107"/>
              <w:jc w:val="left"/>
              <w:rPr>
                <w:sz w:val="20"/>
              </w:rPr>
            </w:pPr>
            <w:r>
              <w:rPr>
                <w:w w:val="99"/>
                <w:sz w:val="20"/>
              </w:rPr>
              <w:t>3</w:t>
            </w:r>
          </w:p>
        </w:tc>
        <w:tc>
          <w:tcPr>
            <w:tcW w:w="2203" w:type="dxa"/>
          </w:tcPr>
          <w:p w:rsidR="007C5447" w:rsidRDefault="00F6308C">
            <w:pPr>
              <w:pStyle w:val="TableParagraph"/>
              <w:spacing w:before="34"/>
              <w:ind w:left="108"/>
              <w:jc w:val="left"/>
              <w:rPr>
                <w:sz w:val="20"/>
              </w:rPr>
            </w:pPr>
            <w:r>
              <w:rPr>
                <w:sz w:val="20"/>
              </w:rPr>
              <w:t>Mettur TPS</w:t>
            </w:r>
          </w:p>
        </w:tc>
        <w:tc>
          <w:tcPr>
            <w:tcW w:w="1228" w:type="dxa"/>
          </w:tcPr>
          <w:p w:rsidR="007C5447" w:rsidRDefault="00F6308C">
            <w:pPr>
              <w:pStyle w:val="TableParagraph"/>
              <w:spacing w:before="34"/>
              <w:ind w:left="500"/>
              <w:jc w:val="left"/>
              <w:rPr>
                <w:sz w:val="20"/>
              </w:rPr>
            </w:pPr>
            <w:r>
              <w:rPr>
                <w:sz w:val="20"/>
              </w:rPr>
              <w:t>39.89</w:t>
            </w:r>
          </w:p>
        </w:tc>
        <w:tc>
          <w:tcPr>
            <w:tcW w:w="1228" w:type="dxa"/>
          </w:tcPr>
          <w:p w:rsidR="007C5447" w:rsidRDefault="00F6308C">
            <w:pPr>
              <w:pStyle w:val="TableParagraph"/>
              <w:spacing w:before="34"/>
              <w:ind w:left="500"/>
              <w:jc w:val="left"/>
              <w:rPr>
                <w:sz w:val="20"/>
              </w:rPr>
            </w:pPr>
            <w:r>
              <w:rPr>
                <w:sz w:val="20"/>
              </w:rPr>
              <w:t>33.12</w:t>
            </w:r>
          </w:p>
        </w:tc>
        <w:tc>
          <w:tcPr>
            <w:tcW w:w="1228" w:type="dxa"/>
          </w:tcPr>
          <w:p w:rsidR="007C5447" w:rsidRDefault="00F6308C">
            <w:pPr>
              <w:pStyle w:val="TableParagraph"/>
              <w:spacing w:before="34"/>
              <w:ind w:left="502"/>
              <w:jc w:val="left"/>
              <w:rPr>
                <w:sz w:val="20"/>
              </w:rPr>
            </w:pPr>
            <w:r>
              <w:rPr>
                <w:sz w:val="20"/>
              </w:rPr>
              <w:t>28.88</w:t>
            </w:r>
          </w:p>
        </w:tc>
        <w:tc>
          <w:tcPr>
            <w:tcW w:w="1229" w:type="dxa"/>
          </w:tcPr>
          <w:p w:rsidR="007C5447" w:rsidRDefault="00F6308C">
            <w:pPr>
              <w:pStyle w:val="TableParagraph"/>
              <w:spacing w:before="34"/>
              <w:ind w:left="502"/>
              <w:jc w:val="left"/>
              <w:rPr>
                <w:sz w:val="20"/>
              </w:rPr>
            </w:pPr>
            <w:r>
              <w:rPr>
                <w:sz w:val="20"/>
              </w:rPr>
              <w:t>31.26</w:t>
            </w:r>
          </w:p>
        </w:tc>
        <w:tc>
          <w:tcPr>
            <w:tcW w:w="1228" w:type="dxa"/>
          </w:tcPr>
          <w:p w:rsidR="007C5447" w:rsidRDefault="00F6308C">
            <w:pPr>
              <w:pStyle w:val="TableParagraph"/>
              <w:spacing w:before="34"/>
              <w:ind w:left="503"/>
              <w:jc w:val="left"/>
              <w:rPr>
                <w:sz w:val="20"/>
              </w:rPr>
            </w:pPr>
            <w:r>
              <w:rPr>
                <w:sz w:val="20"/>
              </w:rPr>
              <w:t>32.36</w:t>
            </w:r>
          </w:p>
        </w:tc>
      </w:tr>
      <w:tr w:rsidR="007C5447">
        <w:trPr>
          <w:trHeight w:val="299"/>
        </w:trPr>
        <w:tc>
          <w:tcPr>
            <w:tcW w:w="818" w:type="dxa"/>
          </w:tcPr>
          <w:p w:rsidR="007C5447" w:rsidRDefault="00F6308C">
            <w:pPr>
              <w:pStyle w:val="TableParagraph"/>
              <w:spacing w:before="34"/>
              <w:ind w:left="107"/>
              <w:jc w:val="left"/>
              <w:rPr>
                <w:sz w:val="20"/>
              </w:rPr>
            </w:pPr>
            <w:r>
              <w:rPr>
                <w:w w:val="99"/>
                <w:sz w:val="20"/>
              </w:rPr>
              <w:t>4</w:t>
            </w:r>
          </w:p>
        </w:tc>
        <w:tc>
          <w:tcPr>
            <w:tcW w:w="2203" w:type="dxa"/>
          </w:tcPr>
          <w:p w:rsidR="007C5447" w:rsidRDefault="00F6308C">
            <w:pPr>
              <w:pStyle w:val="TableParagraph"/>
              <w:spacing w:before="34"/>
              <w:ind w:left="108"/>
              <w:jc w:val="left"/>
              <w:rPr>
                <w:sz w:val="20"/>
              </w:rPr>
            </w:pPr>
            <w:r>
              <w:rPr>
                <w:sz w:val="20"/>
              </w:rPr>
              <w:t>North Chennai TPS</w:t>
            </w:r>
          </w:p>
        </w:tc>
        <w:tc>
          <w:tcPr>
            <w:tcW w:w="1228" w:type="dxa"/>
          </w:tcPr>
          <w:p w:rsidR="007C5447" w:rsidRDefault="00F6308C">
            <w:pPr>
              <w:pStyle w:val="TableParagraph"/>
              <w:spacing w:before="34"/>
              <w:ind w:left="500"/>
              <w:jc w:val="left"/>
              <w:rPr>
                <w:sz w:val="20"/>
              </w:rPr>
            </w:pPr>
            <w:r>
              <w:rPr>
                <w:sz w:val="20"/>
              </w:rPr>
              <w:t>19.64</w:t>
            </w:r>
          </w:p>
        </w:tc>
        <w:tc>
          <w:tcPr>
            <w:tcW w:w="1228" w:type="dxa"/>
          </w:tcPr>
          <w:p w:rsidR="007C5447" w:rsidRDefault="00F6308C">
            <w:pPr>
              <w:pStyle w:val="TableParagraph"/>
              <w:spacing w:before="34"/>
              <w:ind w:left="500"/>
              <w:jc w:val="left"/>
              <w:rPr>
                <w:sz w:val="20"/>
              </w:rPr>
            </w:pPr>
            <w:r>
              <w:rPr>
                <w:sz w:val="20"/>
              </w:rPr>
              <w:t>24.26</w:t>
            </w:r>
          </w:p>
        </w:tc>
        <w:tc>
          <w:tcPr>
            <w:tcW w:w="1228" w:type="dxa"/>
          </w:tcPr>
          <w:p w:rsidR="007C5447" w:rsidRDefault="00F6308C">
            <w:pPr>
              <w:pStyle w:val="TableParagraph"/>
              <w:spacing w:before="34"/>
              <w:ind w:left="502"/>
              <w:jc w:val="left"/>
              <w:rPr>
                <w:sz w:val="20"/>
              </w:rPr>
            </w:pPr>
            <w:r>
              <w:rPr>
                <w:sz w:val="20"/>
              </w:rPr>
              <w:t>39.64</w:t>
            </w:r>
          </w:p>
        </w:tc>
        <w:tc>
          <w:tcPr>
            <w:tcW w:w="1229" w:type="dxa"/>
          </w:tcPr>
          <w:p w:rsidR="007C5447" w:rsidRDefault="00F6308C">
            <w:pPr>
              <w:pStyle w:val="TableParagraph"/>
              <w:spacing w:before="34"/>
              <w:ind w:left="502"/>
              <w:jc w:val="left"/>
              <w:rPr>
                <w:sz w:val="20"/>
              </w:rPr>
            </w:pPr>
            <w:r>
              <w:rPr>
                <w:sz w:val="20"/>
              </w:rPr>
              <w:t>44.15</w:t>
            </w:r>
          </w:p>
        </w:tc>
        <w:tc>
          <w:tcPr>
            <w:tcW w:w="1228" w:type="dxa"/>
          </w:tcPr>
          <w:p w:rsidR="007C5447" w:rsidRDefault="00F6308C">
            <w:pPr>
              <w:pStyle w:val="TableParagraph"/>
              <w:spacing w:before="34"/>
              <w:ind w:left="503"/>
              <w:jc w:val="left"/>
              <w:rPr>
                <w:sz w:val="20"/>
              </w:rPr>
            </w:pPr>
            <w:r>
              <w:rPr>
                <w:sz w:val="20"/>
              </w:rPr>
              <w:t>29.11</w:t>
            </w:r>
          </w:p>
        </w:tc>
      </w:tr>
      <w:tr w:rsidR="007C5447">
        <w:trPr>
          <w:trHeight w:val="297"/>
        </w:trPr>
        <w:tc>
          <w:tcPr>
            <w:tcW w:w="818" w:type="dxa"/>
          </w:tcPr>
          <w:p w:rsidR="007C5447" w:rsidRDefault="00F6308C">
            <w:pPr>
              <w:pStyle w:val="TableParagraph"/>
              <w:spacing w:before="34"/>
              <w:ind w:left="107"/>
              <w:jc w:val="left"/>
              <w:rPr>
                <w:sz w:val="20"/>
              </w:rPr>
            </w:pPr>
            <w:r>
              <w:rPr>
                <w:w w:val="99"/>
                <w:sz w:val="20"/>
              </w:rPr>
              <w:t>5</w:t>
            </w:r>
          </w:p>
        </w:tc>
        <w:tc>
          <w:tcPr>
            <w:tcW w:w="2203" w:type="dxa"/>
          </w:tcPr>
          <w:p w:rsidR="007C5447" w:rsidRDefault="00F6308C">
            <w:pPr>
              <w:pStyle w:val="TableParagraph"/>
              <w:spacing w:before="34"/>
              <w:ind w:left="108"/>
              <w:jc w:val="left"/>
              <w:rPr>
                <w:sz w:val="20"/>
              </w:rPr>
            </w:pPr>
            <w:r>
              <w:rPr>
                <w:sz w:val="20"/>
              </w:rPr>
              <w:t>Mettur TPS Stage III</w:t>
            </w:r>
          </w:p>
        </w:tc>
        <w:tc>
          <w:tcPr>
            <w:tcW w:w="1228" w:type="dxa"/>
          </w:tcPr>
          <w:p w:rsidR="007C5447" w:rsidRDefault="00F6308C">
            <w:pPr>
              <w:pStyle w:val="TableParagraph"/>
              <w:spacing w:before="34"/>
              <w:ind w:right="263"/>
              <w:rPr>
                <w:sz w:val="20"/>
              </w:rPr>
            </w:pPr>
            <w:r>
              <w:rPr>
                <w:w w:val="99"/>
                <w:sz w:val="20"/>
              </w:rPr>
              <w:t>-</w:t>
            </w:r>
          </w:p>
        </w:tc>
        <w:tc>
          <w:tcPr>
            <w:tcW w:w="1228" w:type="dxa"/>
          </w:tcPr>
          <w:p w:rsidR="007C5447" w:rsidRDefault="00F6308C">
            <w:pPr>
              <w:pStyle w:val="TableParagraph"/>
              <w:spacing w:before="34"/>
              <w:ind w:right="261"/>
              <w:rPr>
                <w:sz w:val="20"/>
              </w:rPr>
            </w:pPr>
            <w:r>
              <w:rPr>
                <w:w w:val="99"/>
                <w:sz w:val="20"/>
              </w:rPr>
              <w:t>-</w:t>
            </w:r>
          </w:p>
        </w:tc>
        <w:tc>
          <w:tcPr>
            <w:tcW w:w="1228" w:type="dxa"/>
          </w:tcPr>
          <w:p w:rsidR="007C5447" w:rsidRDefault="00F6308C">
            <w:pPr>
              <w:pStyle w:val="TableParagraph"/>
              <w:spacing w:before="34"/>
              <w:ind w:left="502"/>
              <w:jc w:val="left"/>
              <w:rPr>
                <w:sz w:val="20"/>
              </w:rPr>
            </w:pPr>
            <w:r>
              <w:rPr>
                <w:sz w:val="20"/>
              </w:rPr>
              <w:t>17.96</w:t>
            </w:r>
          </w:p>
        </w:tc>
        <w:tc>
          <w:tcPr>
            <w:tcW w:w="1229" w:type="dxa"/>
          </w:tcPr>
          <w:p w:rsidR="007C5447" w:rsidRDefault="00F6308C">
            <w:pPr>
              <w:pStyle w:val="TableParagraph"/>
              <w:spacing w:before="34"/>
              <w:ind w:left="502"/>
              <w:jc w:val="left"/>
              <w:rPr>
                <w:sz w:val="20"/>
              </w:rPr>
            </w:pPr>
            <w:r>
              <w:rPr>
                <w:sz w:val="20"/>
              </w:rPr>
              <w:t>27.55</w:t>
            </w:r>
          </w:p>
        </w:tc>
        <w:tc>
          <w:tcPr>
            <w:tcW w:w="1228" w:type="dxa"/>
          </w:tcPr>
          <w:p w:rsidR="007C5447" w:rsidRDefault="00F6308C">
            <w:pPr>
              <w:pStyle w:val="TableParagraph"/>
              <w:spacing w:before="34"/>
              <w:ind w:left="503"/>
              <w:jc w:val="left"/>
              <w:rPr>
                <w:sz w:val="20"/>
              </w:rPr>
            </w:pPr>
            <w:r>
              <w:rPr>
                <w:sz w:val="20"/>
              </w:rPr>
              <w:t>34.50</w:t>
            </w:r>
          </w:p>
        </w:tc>
      </w:tr>
      <w:tr w:rsidR="007C5447">
        <w:trPr>
          <w:trHeight w:val="299"/>
        </w:trPr>
        <w:tc>
          <w:tcPr>
            <w:tcW w:w="818" w:type="dxa"/>
          </w:tcPr>
          <w:p w:rsidR="007C5447" w:rsidRDefault="00F6308C">
            <w:pPr>
              <w:pStyle w:val="TableParagraph"/>
              <w:spacing w:before="36"/>
              <w:ind w:left="107"/>
              <w:jc w:val="left"/>
              <w:rPr>
                <w:sz w:val="20"/>
              </w:rPr>
            </w:pPr>
            <w:r>
              <w:rPr>
                <w:w w:val="99"/>
                <w:sz w:val="20"/>
              </w:rPr>
              <w:t>6</w:t>
            </w:r>
          </w:p>
        </w:tc>
        <w:tc>
          <w:tcPr>
            <w:tcW w:w="2203" w:type="dxa"/>
          </w:tcPr>
          <w:p w:rsidR="007C5447" w:rsidRDefault="00F6308C">
            <w:pPr>
              <w:pStyle w:val="TableParagraph"/>
              <w:spacing w:before="36"/>
              <w:ind w:left="108"/>
              <w:jc w:val="left"/>
              <w:rPr>
                <w:sz w:val="20"/>
              </w:rPr>
            </w:pPr>
            <w:r>
              <w:rPr>
                <w:sz w:val="20"/>
              </w:rPr>
              <w:t>NCTPS Stage II</w:t>
            </w:r>
          </w:p>
        </w:tc>
        <w:tc>
          <w:tcPr>
            <w:tcW w:w="1228" w:type="dxa"/>
          </w:tcPr>
          <w:p w:rsidR="007C5447" w:rsidRDefault="007C5447">
            <w:pPr>
              <w:pStyle w:val="TableParagraph"/>
              <w:jc w:val="left"/>
              <w:rPr>
                <w:sz w:val="20"/>
              </w:rPr>
            </w:pPr>
          </w:p>
        </w:tc>
        <w:tc>
          <w:tcPr>
            <w:tcW w:w="1228" w:type="dxa"/>
          </w:tcPr>
          <w:p w:rsidR="007C5447" w:rsidRDefault="007C5447">
            <w:pPr>
              <w:pStyle w:val="TableParagraph"/>
              <w:jc w:val="left"/>
              <w:rPr>
                <w:sz w:val="20"/>
              </w:rPr>
            </w:pPr>
          </w:p>
        </w:tc>
        <w:tc>
          <w:tcPr>
            <w:tcW w:w="1228" w:type="dxa"/>
          </w:tcPr>
          <w:p w:rsidR="007C5447" w:rsidRDefault="00F6308C">
            <w:pPr>
              <w:pStyle w:val="TableParagraph"/>
              <w:spacing w:before="36"/>
              <w:ind w:right="261"/>
              <w:rPr>
                <w:sz w:val="20"/>
              </w:rPr>
            </w:pPr>
            <w:r>
              <w:rPr>
                <w:w w:val="99"/>
                <w:sz w:val="20"/>
              </w:rPr>
              <w:t>-</w:t>
            </w:r>
          </w:p>
        </w:tc>
        <w:tc>
          <w:tcPr>
            <w:tcW w:w="1229" w:type="dxa"/>
          </w:tcPr>
          <w:p w:rsidR="007C5447" w:rsidRDefault="00F6308C">
            <w:pPr>
              <w:pStyle w:val="TableParagraph"/>
              <w:spacing w:before="36"/>
              <w:ind w:left="603"/>
              <w:jc w:val="left"/>
              <w:rPr>
                <w:sz w:val="20"/>
              </w:rPr>
            </w:pPr>
            <w:r>
              <w:rPr>
                <w:sz w:val="20"/>
              </w:rPr>
              <w:t>8.77</w:t>
            </w:r>
          </w:p>
        </w:tc>
        <w:tc>
          <w:tcPr>
            <w:tcW w:w="1228" w:type="dxa"/>
          </w:tcPr>
          <w:p w:rsidR="007C5447" w:rsidRDefault="00F6308C">
            <w:pPr>
              <w:pStyle w:val="TableParagraph"/>
              <w:spacing w:before="36"/>
              <w:ind w:left="604"/>
              <w:jc w:val="left"/>
              <w:rPr>
                <w:sz w:val="20"/>
              </w:rPr>
            </w:pPr>
            <w:r>
              <w:rPr>
                <w:sz w:val="20"/>
              </w:rPr>
              <w:t>9.78</w:t>
            </w:r>
          </w:p>
        </w:tc>
      </w:tr>
      <w:tr w:rsidR="007C5447">
        <w:trPr>
          <w:trHeight w:val="299"/>
        </w:trPr>
        <w:tc>
          <w:tcPr>
            <w:tcW w:w="818" w:type="dxa"/>
          </w:tcPr>
          <w:p w:rsidR="007C5447" w:rsidRDefault="00F6308C">
            <w:pPr>
              <w:pStyle w:val="TableParagraph"/>
              <w:spacing w:before="34"/>
              <w:ind w:left="107"/>
              <w:jc w:val="left"/>
              <w:rPr>
                <w:sz w:val="20"/>
              </w:rPr>
            </w:pPr>
            <w:r>
              <w:rPr>
                <w:w w:val="99"/>
                <w:sz w:val="20"/>
              </w:rPr>
              <w:t>7</w:t>
            </w:r>
          </w:p>
        </w:tc>
        <w:tc>
          <w:tcPr>
            <w:tcW w:w="2203" w:type="dxa"/>
          </w:tcPr>
          <w:p w:rsidR="007C5447" w:rsidRDefault="00F6308C">
            <w:pPr>
              <w:pStyle w:val="TableParagraph"/>
              <w:spacing w:before="34"/>
              <w:ind w:left="108"/>
              <w:jc w:val="left"/>
              <w:rPr>
                <w:sz w:val="20"/>
              </w:rPr>
            </w:pPr>
            <w:r>
              <w:rPr>
                <w:sz w:val="20"/>
              </w:rPr>
              <w:t>Tirumakottai GTPS</w:t>
            </w:r>
          </w:p>
        </w:tc>
        <w:tc>
          <w:tcPr>
            <w:tcW w:w="1228" w:type="dxa"/>
          </w:tcPr>
          <w:p w:rsidR="007C5447" w:rsidRDefault="00F6308C">
            <w:pPr>
              <w:pStyle w:val="TableParagraph"/>
              <w:spacing w:before="34"/>
              <w:ind w:left="598"/>
              <w:jc w:val="left"/>
              <w:rPr>
                <w:sz w:val="20"/>
              </w:rPr>
            </w:pPr>
            <w:r>
              <w:rPr>
                <w:sz w:val="20"/>
              </w:rPr>
              <w:t>1.93</w:t>
            </w:r>
          </w:p>
        </w:tc>
        <w:tc>
          <w:tcPr>
            <w:tcW w:w="1228" w:type="dxa"/>
          </w:tcPr>
          <w:p w:rsidR="007C5447" w:rsidRDefault="00F6308C">
            <w:pPr>
              <w:pStyle w:val="TableParagraph"/>
              <w:spacing w:before="34"/>
              <w:ind w:left="599"/>
              <w:jc w:val="left"/>
              <w:rPr>
                <w:sz w:val="20"/>
              </w:rPr>
            </w:pPr>
            <w:r>
              <w:rPr>
                <w:sz w:val="20"/>
              </w:rPr>
              <w:t>0.11</w:t>
            </w:r>
          </w:p>
        </w:tc>
        <w:tc>
          <w:tcPr>
            <w:tcW w:w="1228" w:type="dxa"/>
          </w:tcPr>
          <w:p w:rsidR="007C5447" w:rsidRDefault="00F6308C">
            <w:pPr>
              <w:pStyle w:val="TableParagraph"/>
              <w:spacing w:before="34"/>
              <w:ind w:left="600"/>
              <w:jc w:val="left"/>
              <w:rPr>
                <w:sz w:val="20"/>
              </w:rPr>
            </w:pPr>
            <w:r>
              <w:rPr>
                <w:sz w:val="20"/>
              </w:rPr>
              <w:t>0.14</w:t>
            </w:r>
          </w:p>
        </w:tc>
        <w:tc>
          <w:tcPr>
            <w:tcW w:w="1229" w:type="dxa"/>
          </w:tcPr>
          <w:p w:rsidR="007C5447" w:rsidRDefault="00F6308C">
            <w:pPr>
              <w:pStyle w:val="TableParagraph"/>
              <w:spacing w:before="34"/>
              <w:ind w:left="603"/>
              <w:jc w:val="left"/>
              <w:rPr>
                <w:sz w:val="20"/>
              </w:rPr>
            </w:pPr>
            <w:r>
              <w:rPr>
                <w:sz w:val="20"/>
              </w:rPr>
              <w:t>0.15</w:t>
            </w:r>
          </w:p>
        </w:tc>
        <w:tc>
          <w:tcPr>
            <w:tcW w:w="1228" w:type="dxa"/>
          </w:tcPr>
          <w:p w:rsidR="007C5447" w:rsidRDefault="00F6308C">
            <w:pPr>
              <w:pStyle w:val="TableParagraph"/>
              <w:spacing w:before="34"/>
              <w:ind w:left="604"/>
              <w:jc w:val="left"/>
              <w:rPr>
                <w:sz w:val="20"/>
              </w:rPr>
            </w:pPr>
            <w:r>
              <w:rPr>
                <w:sz w:val="20"/>
              </w:rPr>
              <w:t>0.15</w:t>
            </w:r>
          </w:p>
        </w:tc>
      </w:tr>
      <w:tr w:rsidR="007C5447">
        <w:trPr>
          <w:trHeight w:val="299"/>
        </w:trPr>
        <w:tc>
          <w:tcPr>
            <w:tcW w:w="818" w:type="dxa"/>
          </w:tcPr>
          <w:p w:rsidR="007C5447" w:rsidRDefault="00F6308C">
            <w:pPr>
              <w:pStyle w:val="TableParagraph"/>
              <w:spacing w:before="34"/>
              <w:ind w:left="107"/>
              <w:jc w:val="left"/>
              <w:rPr>
                <w:sz w:val="20"/>
              </w:rPr>
            </w:pPr>
            <w:r>
              <w:rPr>
                <w:w w:val="99"/>
                <w:sz w:val="20"/>
              </w:rPr>
              <w:t>8</w:t>
            </w:r>
          </w:p>
        </w:tc>
        <w:tc>
          <w:tcPr>
            <w:tcW w:w="2203" w:type="dxa"/>
          </w:tcPr>
          <w:p w:rsidR="007C5447" w:rsidRDefault="00F6308C">
            <w:pPr>
              <w:pStyle w:val="TableParagraph"/>
              <w:spacing w:before="34"/>
              <w:ind w:left="108"/>
              <w:jc w:val="left"/>
              <w:rPr>
                <w:sz w:val="20"/>
              </w:rPr>
            </w:pPr>
            <w:r>
              <w:rPr>
                <w:sz w:val="20"/>
              </w:rPr>
              <w:t>Kuttalam GTPS</w:t>
            </w:r>
          </w:p>
        </w:tc>
        <w:tc>
          <w:tcPr>
            <w:tcW w:w="1228" w:type="dxa"/>
          </w:tcPr>
          <w:p w:rsidR="007C5447" w:rsidRDefault="00F6308C">
            <w:pPr>
              <w:pStyle w:val="TableParagraph"/>
              <w:spacing w:before="34"/>
              <w:ind w:left="598"/>
              <w:jc w:val="left"/>
              <w:rPr>
                <w:sz w:val="20"/>
              </w:rPr>
            </w:pPr>
            <w:r>
              <w:rPr>
                <w:sz w:val="20"/>
              </w:rPr>
              <w:t>0.02</w:t>
            </w:r>
          </w:p>
        </w:tc>
        <w:tc>
          <w:tcPr>
            <w:tcW w:w="1228" w:type="dxa"/>
          </w:tcPr>
          <w:p w:rsidR="007C5447" w:rsidRDefault="00F6308C">
            <w:pPr>
              <w:pStyle w:val="TableParagraph"/>
              <w:spacing w:before="34"/>
              <w:ind w:left="599"/>
              <w:jc w:val="left"/>
              <w:rPr>
                <w:sz w:val="20"/>
              </w:rPr>
            </w:pPr>
            <w:r>
              <w:rPr>
                <w:sz w:val="20"/>
              </w:rPr>
              <w:t>0.02</w:t>
            </w:r>
          </w:p>
        </w:tc>
        <w:tc>
          <w:tcPr>
            <w:tcW w:w="1228" w:type="dxa"/>
          </w:tcPr>
          <w:p w:rsidR="007C5447" w:rsidRDefault="00F6308C">
            <w:pPr>
              <w:pStyle w:val="TableParagraph"/>
              <w:spacing w:before="34"/>
              <w:ind w:left="600"/>
              <w:jc w:val="left"/>
              <w:rPr>
                <w:sz w:val="20"/>
              </w:rPr>
            </w:pPr>
            <w:r>
              <w:rPr>
                <w:sz w:val="20"/>
              </w:rPr>
              <w:t>0.08</w:t>
            </w:r>
          </w:p>
        </w:tc>
        <w:tc>
          <w:tcPr>
            <w:tcW w:w="1229" w:type="dxa"/>
          </w:tcPr>
          <w:p w:rsidR="007C5447" w:rsidRDefault="00F6308C">
            <w:pPr>
              <w:pStyle w:val="TableParagraph"/>
              <w:spacing w:before="34"/>
              <w:ind w:left="603"/>
              <w:jc w:val="left"/>
              <w:rPr>
                <w:sz w:val="20"/>
              </w:rPr>
            </w:pPr>
            <w:r>
              <w:rPr>
                <w:sz w:val="20"/>
              </w:rPr>
              <w:t>0.70</w:t>
            </w:r>
          </w:p>
        </w:tc>
        <w:tc>
          <w:tcPr>
            <w:tcW w:w="1228" w:type="dxa"/>
          </w:tcPr>
          <w:p w:rsidR="007C5447" w:rsidRDefault="00F6308C">
            <w:pPr>
              <w:pStyle w:val="TableParagraph"/>
              <w:spacing w:before="34"/>
              <w:ind w:left="604"/>
              <w:jc w:val="left"/>
              <w:rPr>
                <w:sz w:val="20"/>
              </w:rPr>
            </w:pPr>
            <w:r>
              <w:rPr>
                <w:sz w:val="20"/>
              </w:rPr>
              <w:t>0.12</w:t>
            </w:r>
          </w:p>
        </w:tc>
      </w:tr>
      <w:tr w:rsidR="007C5447">
        <w:trPr>
          <w:trHeight w:val="297"/>
        </w:trPr>
        <w:tc>
          <w:tcPr>
            <w:tcW w:w="818" w:type="dxa"/>
          </w:tcPr>
          <w:p w:rsidR="007C5447" w:rsidRDefault="00F6308C">
            <w:pPr>
              <w:pStyle w:val="TableParagraph"/>
              <w:spacing w:before="34"/>
              <w:ind w:left="107"/>
              <w:jc w:val="left"/>
              <w:rPr>
                <w:sz w:val="20"/>
              </w:rPr>
            </w:pPr>
            <w:r>
              <w:rPr>
                <w:w w:val="99"/>
                <w:sz w:val="20"/>
              </w:rPr>
              <w:t>9</w:t>
            </w:r>
          </w:p>
        </w:tc>
        <w:tc>
          <w:tcPr>
            <w:tcW w:w="2203" w:type="dxa"/>
          </w:tcPr>
          <w:p w:rsidR="007C5447" w:rsidRDefault="00F6308C">
            <w:pPr>
              <w:pStyle w:val="TableParagraph"/>
              <w:spacing w:before="34"/>
              <w:ind w:left="108"/>
              <w:jc w:val="left"/>
              <w:rPr>
                <w:sz w:val="20"/>
              </w:rPr>
            </w:pPr>
            <w:r>
              <w:rPr>
                <w:sz w:val="20"/>
              </w:rPr>
              <w:t>Basin Bridge GTPS</w:t>
            </w:r>
          </w:p>
        </w:tc>
        <w:tc>
          <w:tcPr>
            <w:tcW w:w="1228" w:type="dxa"/>
          </w:tcPr>
          <w:p w:rsidR="007C5447" w:rsidRDefault="00F6308C">
            <w:pPr>
              <w:pStyle w:val="TableParagraph"/>
              <w:spacing w:before="34"/>
              <w:ind w:left="598"/>
              <w:jc w:val="left"/>
              <w:rPr>
                <w:sz w:val="20"/>
              </w:rPr>
            </w:pPr>
            <w:r>
              <w:rPr>
                <w:sz w:val="20"/>
              </w:rPr>
              <w:t>0.22</w:t>
            </w:r>
          </w:p>
        </w:tc>
        <w:tc>
          <w:tcPr>
            <w:tcW w:w="1228" w:type="dxa"/>
          </w:tcPr>
          <w:p w:rsidR="007C5447" w:rsidRDefault="00F6308C">
            <w:pPr>
              <w:pStyle w:val="TableParagraph"/>
              <w:spacing w:before="34"/>
              <w:ind w:left="599"/>
              <w:jc w:val="left"/>
              <w:rPr>
                <w:sz w:val="20"/>
              </w:rPr>
            </w:pPr>
            <w:r>
              <w:rPr>
                <w:sz w:val="20"/>
              </w:rPr>
              <w:t>0.06</w:t>
            </w:r>
          </w:p>
        </w:tc>
        <w:tc>
          <w:tcPr>
            <w:tcW w:w="1228" w:type="dxa"/>
          </w:tcPr>
          <w:p w:rsidR="007C5447" w:rsidRDefault="00F6308C">
            <w:pPr>
              <w:pStyle w:val="TableParagraph"/>
              <w:spacing w:before="34"/>
              <w:ind w:left="600"/>
              <w:jc w:val="left"/>
              <w:rPr>
                <w:sz w:val="20"/>
              </w:rPr>
            </w:pPr>
            <w:r>
              <w:rPr>
                <w:sz w:val="20"/>
              </w:rPr>
              <w:t>0.08</w:t>
            </w:r>
          </w:p>
        </w:tc>
        <w:tc>
          <w:tcPr>
            <w:tcW w:w="1229" w:type="dxa"/>
          </w:tcPr>
          <w:p w:rsidR="007C5447" w:rsidRDefault="00F6308C">
            <w:pPr>
              <w:pStyle w:val="TableParagraph"/>
              <w:spacing w:before="34"/>
              <w:ind w:left="603"/>
              <w:jc w:val="left"/>
              <w:rPr>
                <w:sz w:val="20"/>
              </w:rPr>
            </w:pPr>
            <w:r>
              <w:rPr>
                <w:sz w:val="20"/>
              </w:rPr>
              <w:t>0.03</w:t>
            </w:r>
          </w:p>
        </w:tc>
        <w:tc>
          <w:tcPr>
            <w:tcW w:w="1228" w:type="dxa"/>
          </w:tcPr>
          <w:p w:rsidR="007C5447" w:rsidRDefault="00F6308C">
            <w:pPr>
              <w:pStyle w:val="TableParagraph"/>
              <w:spacing w:before="34"/>
              <w:ind w:left="604"/>
              <w:jc w:val="left"/>
              <w:rPr>
                <w:sz w:val="20"/>
              </w:rPr>
            </w:pPr>
            <w:r>
              <w:rPr>
                <w:sz w:val="20"/>
              </w:rPr>
              <w:t>0.05</w:t>
            </w:r>
          </w:p>
        </w:tc>
      </w:tr>
      <w:tr w:rsidR="007C5447">
        <w:trPr>
          <w:trHeight w:val="299"/>
        </w:trPr>
        <w:tc>
          <w:tcPr>
            <w:tcW w:w="818" w:type="dxa"/>
          </w:tcPr>
          <w:p w:rsidR="007C5447" w:rsidRDefault="00F6308C">
            <w:pPr>
              <w:pStyle w:val="TableParagraph"/>
              <w:spacing w:before="36"/>
              <w:ind w:left="107"/>
              <w:jc w:val="left"/>
              <w:rPr>
                <w:sz w:val="20"/>
              </w:rPr>
            </w:pPr>
            <w:r>
              <w:rPr>
                <w:sz w:val="20"/>
              </w:rPr>
              <w:t>10</w:t>
            </w:r>
          </w:p>
        </w:tc>
        <w:tc>
          <w:tcPr>
            <w:tcW w:w="2203" w:type="dxa"/>
          </w:tcPr>
          <w:p w:rsidR="007C5447" w:rsidRDefault="00F6308C">
            <w:pPr>
              <w:pStyle w:val="TableParagraph"/>
              <w:spacing w:before="36"/>
              <w:ind w:left="108"/>
              <w:jc w:val="left"/>
              <w:rPr>
                <w:sz w:val="20"/>
              </w:rPr>
            </w:pPr>
            <w:r>
              <w:rPr>
                <w:sz w:val="20"/>
              </w:rPr>
              <w:t>Valuthur GTPS</w:t>
            </w:r>
          </w:p>
        </w:tc>
        <w:tc>
          <w:tcPr>
            <w:tcW w:w="1228" w:type="dxa"/>
          </w:tcPr>
          <w:p w:rsidR="007C5447" w:rsidRDefault="00F6308C">
            <w:pPr>
              <w:pStyle w:val="TableParagraph"/>
              <w:spacing w:before="36"/>
              <w:ind w:left="598"/>
              <w:jc w:val="left"/>
              <w:rPr>
                <w:sz w:val="20"/>
              </w:rPr>
            </w:pPr>
            <w:r>
              <w:rPr>
                <w:sz w:val="20"/>
              </w:rPr>
              <w:t>0.05</w:t>
            </w:r>
          </w:p>
        </w:tc>
        <w:tc>
          <w:tcPr>
            <w:tcW w:w="1228" w:type="dxa"/>
          </w:tcPr>
          <w:p w:rsidR="007C5447" w:rsidRDefault="00F6308C">
            <w:pPr>
              <w:pStyle w:val="TableParagraph"/>
              <w:spacing w:before="36"/>
              <w:ind w:left="599"/>
              <w:jc w:val="left"/>
              <w:rPr>
                <w:sz w:val="20"/>
              </w:rPr>
            </w:pPr>
            <w:r>
              <w:rPr>
                <w:sz w:val="20"/>
              </w:rPr>
              <w:t>0.16</w:t>
            </w:r>
          </w:p>
        </w:tc>
        <w:tc>
          <w:tcPr>
            <w:tcW w:w="1228" w:type="dxa"/>
          </w:tcPr>
          <w:p w:rsidR="007C5447" w:rsidRDefault="00F6308C">
            <w:pPr>
              <w:pStyle w:val="TableParagraph"/>
              <w:spacing w:before="36"/>
              <w:ind w:left="600"/>
              <w:jc w:val="left"/>
              <w:rPr>
                <w:sz w:val="20"/>
              </w:rPr>
            </w:pPr>
            <w:r>
              <w:rPr>
                <w:sz w:val="20"/>
              </w:rPr>
              <w:t>0.18</w:t>
            </w:r>
          </w:p>
        </w:tc>
        <w:tc>
          <w:tcPr>
            <w:tcW w:w="1229" w:type="dxa"/>
          </w:tcPr>
          <w:p w:rsidR="007C5447" w:rsidRDefault="00F6308C">
            <w:pPr>
              <w:pStyle w:val="TableParagraph"/>
              <w:spacing w:before="36"/>
              <w:ind w:left="603"/>
              <w:jc w:val="left"/>
              <w:rPr>
                <w:sz w:val="20"/>
              </w:rPr>
            </w:pPr>
            <w:r>
              <w:rPr>
                <w:sz w:val="20"/>
              </w:rPr>
              <w:t>0.29</w:t>
            </w:r>
          </w:p>
        </w:tc>
        <w:tc>
          <w:tcPr>
            <w:tcW w:w="1228" w:type="dxa"/>
          </w:tcPr>
          <w:p w:rsidR="007C5447" w:rsidRDefault="00F6308C">
            <w:pPr>
              <w:pStyle w:val="TableParagraph"/>
              <w:spacing w:before="36"/>
              <w:ind w:left="604"/>
              <w:jc w:val="left"/>
              <w:rPr>
                <w:sz w:val="20"/>
              </w:rPr>
            </w:pPr>
            <w:r>
              <w:rPr>
                <w:sz w:val="20"/>
              </w:rPr>
              <w:t>0.16</w:t>
            </w:r>
          </w:p>
        </w:tc>
      </w:tr>
      <w:tr w:rsidR="007C5447">
        <w:trPr>
          <w:trHeight w:val="299"/>
        </w:trPr>
        <w:tc>
          <w:tcPr>
            <w:tcW w:w="818" w:type="dxa"/>
          </w:tcPr>
          <w:p w:rsidR="007C5447" w:rsidRDefault="00F6308C">
            <w:pPr>
              <w:pStyle w:val="TableParagraph"/>
              <w:spacing w:before="34"/>
              <w:ind w:left="107"/>
              <w:jc w:val="left"/>
              <w:rPr>
                <w:sz w:val="20"/>
              </w:rPr>
            </w:pPr>
            <w:r>
              <w:rPr>
                <w:sz w:val="20"/>
              </w:rPr>
              <w:t>11</w:t>
            </w:r>
          </w:p>
        </w:tc>
        <w:tc>
          <w:tcPr>
            <w:tcW w:w="2203" w:type="dxa"/>
          </w:tcPr>
          <w:p w:rsidR="007C5447" w:rsidRDefault="00F6308C">
            <w:pPr>
              <w:pStyle w:val="TableParagraph"/>
              <w:spacing w:before="34"/>
              <w:ind w:left="108"/>
              <w:jc w:val="left"/>
              <w:rPr>
                <w:sz w:val="20"/>
              </w:rPr>
            </w:pPr>
            <w:r>
              <w:rPr>
                <w:sz w:val="20"/>
              </w:rPr>
              <w:t>Erode HEP</w:t>
            </w:r>
          </w:p>
        </w:tc>
        <w:tc>
          <w:tcPr>
            <w:tcW w:w="1228" w:type="dxa"/>
          </w:tcPr>
          <w:p w:rsidR="007C5447" w:rsidRDefault="00F6308C">
            <w:pPr>
              <w:pStyle w:val="TableParagraph"/>
              <w:spacing w:before="34"/>
              <w:ind w:left="598"/>
              <w:jc w:val="left"/>
              <w:rPr>
                <w:sz w:val="20"/>
              </w:rPr>
            </w:pPr>
            <w:r>
              <w:rPr>
                <w:sz w:val="20"/>
              </w:rPr>
              <w:t>0.25</w:t>
            </w:r>
          </w:p>
        </w:tc>
        <w:tc>
          <w:tcPr>
            <w:tcW w:w="1228" w:type="dxa"/>
          </w:tcPr>
          <w:p w:rsidR="007C5447" w:rsidRDefault="00F6308C">
            <w:pPr>
              <w:pStyle w:val="TableParagraph"/>
              <w:spacing w:before="34"/>
              <w:ind w:left="599"/>
              <w:jc w:val="left"/>
              <w:rPr>
                <w:sz w:val="20"/>
              </w:rPr>
            </w:pPr>
            <w:r>
              <w:rPr>
                <w:sz w:val="20"/>
              </w:rPr>
              <w:t>0.05</w:t>
            </w:r>
          </w:p>
        </w:tc>
        <w:tc>
          <w:tcPr>
            <w:tcW w:w="1228" w:type="dxa"/>
          </w:tcPr>
          <w:p w:rsidR="007C5447" w:rsidRDefault="00F6308C">
            <w:pPr>
              <w:pStyle w:val="TableParagraph"/>
              <w:spacing w:before="34"/>
              <w:ind w:left="600"/>
              <w:jc w:val="left"/>
              <w:rPr>
                <w:sz w:val="20"/>
              </w:rPr>
            </w:pPr>
            <w:r>
              <w:rPr>
                <w:sz w:val="20"/>
              </w:rPr>
              <w:t>0.26</w:t>
            </w:r>
          </w:p>
        </w:tc>
        <w:tc>
          <w:tcPr>
            <w:tcW w:w="1229" w:type="dxa"/>
          </w:tcPr>
          <w:p w:rsidR="007C5447" w:rsidRDefault="00F6308C">
            <w:pPr>
              <w:pStyle w:val="TableParagraph"/>
              <w:spacing w:before="34"/>
              <w:ind w:left="603"/>
              <w:jc w:val="left"/>
              <w:rPr>
                <w:sz w:val="20"/>
              </w:rPr>
            </w:pPr>
            <w:r>
              <w:rPr>
                <w:sz w:val="20"/>
              </w:rPr>
              <w:t>0.11</w:t>
            </w:r>
          </w:p>
        </w:tc>
        <w:tc>
          <w:tcPr>
            <w:tcW w:w="1228" w:type="dxa"/>
          </w:tcPr>
          <w:p w:rsidR="007C5447" w:rsidRDefault="00F6308C">
            <w:pPr>
              <w:pStyle w:val="TableParagraph"/>
              <w:spacing w:before="34"/>
              <w:ind w:left="604"/>
              <w:jc w:val="left"/>
              <w:rPr>
                <w:sz w:val="20"/>
              </w:rPr>
            </w:pPr>
            <w:r>
              <w:rPr>
                <w:sz w:val="20"/>
              </w:rPr>
              <w:t>0.10</w:t>
            </w:r>
          </w:p>
        </w:tc>
      </w:tr>
      <w:tr w:rsidR="007C5447">
        <w:trPr>
          <w:trHeight w:val="299"/>
        </w:trPr>
        <w:tc>
          <w:tcPr>
            <w:tcW w:w="818" w:type="dxa"/>
          </w:tcPr>
          <w:p w:rsidR="007C5447" w:rsidRDefault="00F6308C">
            <w:pPr>
              <w:pStyle w:val="TableParagraph"/>
              <w:spacing w:before="34"/>
              <w:ind w:left="107"/>
              <w:jc w:val="left"/>
              <w:rPr>
                <w:sz w:val="20"/>
              </w:rPr>
            </w:pPr>
            <w:r>
              <w:rPr>
                <w:sz w:val="20"/>
              </w:rPr>
              <w:t>12</w:t>
            </w:r>
          </w:p>
        </w:tc>
        <w:tc>
          <w:tcPr>
            <w:tcW w:w="2203" w:type="dxa"/>
          </w:tcPr>
          <w:p w:rsidR="007C5447" w:rsidRDefault="00F6308C">
            <w:pPr>
              <w:pStyle w:val="TableParagraph"/>
              <w:spacing w:before="34"/>
              <w:ind w:left="108"/>
              <w:jc w:val="left"/>
              <w:rPr>
                <w:sz w:val="20"/>
              </w:rPr>
            </w:pPr>
            <w:r>
              <w:rPr>
                <w:sz w:val="20"/>
              </w:rPr>
              <w:t>Kadamparai HEP</w:t>
            </w:r>
          </w:p>
        </w:tc>
        <w:tc>
          <w:tcPr>
            <w:tcW w:w="1228" w:type="dxa"/>
          </w:tcPr>
          <w:p w:rsidR="007C5447" w:rsidRDefault="00F6308C">
            <w:pPr>
              <w:pStyle w:val="TableParagraph"/>
              <w:spacing w:before="34"/>
              <w:ind w:left="598"/>
              <w:jc w:val="left"/>
              <w:rPr>
                <w:sz w:val="20"/>
              </w:rPr>
            </w:pPr>
            <w:r>
              <w:rPr>
                <w:sz w:val="20"/>
              </w:rPr>
              <w:t>0.30</w:t>
            </w:r>
          </w:p>
        </w:tc>
        <w:tc>
          <w:tcPr>
            <w:tcW w:w="1228" w:type="dxa"/>
          </w:tcPr>
          <w:p w:rsidR="007C5447" w:rsidRDefault="00F6308C">
            <w:pPr>
              <w:pStyle w:val="TableParagraph"/>
              <w:spacing w:before="34"/>
              <w:ind w:left="599"/>
              <w:jc w:val="left"/>
              <w:rPr>
                <w:sz w:val="20"/>
              </w:rPr>
            </w:pPr>
            <w:r>
              <w:rPr>
                <w:sz w:val="20"/>
              </w:rPr>
              <w:t>0.41</w:t>
            </w:r>
          </w:p>
        </w:tc>
        <w:tc>
          <w:tcPr>
            <w:tcW w:w="1228" w:type="dxa"/>
          </w:tcPr>
          <w:p w:rsidR="007C5447" w:rsidRDefault="00F6308C">
            <w:pPr>
              <w:pStyle w:val="TableParagraph"/>
              <w:spacing w:before="34"/>
              <w:ind w:left="600"/>
              <w:jc w:val="left"/>
              <w:rPr>
                <w:sz w:val="20"/>
              </w:rPr>
            </w:pPr>
            <w:r>
              <w:rPr>
                <w:sz w:val="20"/>
              </w:rPr>
              <w:t>0.25</w:t>
            </w:r>
          </w:p>
        </w:tc>
        <w:tc>
          <w:tcPr>
            <w:tcW w:w="1229" w:type="dxa"/>
          </w:tcPr>
          <w:p w:rsidR="007C5447" w:rsidRDefault="00F6308C">
            <w:pPr>
              <w:pStyle w:val="TableParagraph"/>
              <w:spacing w:before="34"/>
              <w:ind w:left="603"/>
              <w:jc w:val="left"/>
              <w:rPr>
                <w:sz w:val="20"/>
              </w:rPr>
            </w:pPr>
            <w:r>
              <w:rPr>
                <w:sz w:val="20"/>
              </w:rPr>
              <w:t>0.25</w:t>
            </w:r>
          </w:p>
        </w:tc>
        <w:tc>
          <w:tcPr>
            <w:tcW w:w="1228" w:type="dxa"/>
          </w:tcPr>
          <w:p w:rsidR="007C5447" w:rsidRDefault="00F6308C">
            <w:pPr>
              <w:pStyle w:val="TableParagraph"/>
              <w:spacing w:before="34"/>
              <w:ind w:left="604"/>
              <w:jc w:val="left"/>
              <w:rPr>
                <w:sz w:val="20"/>
              </w:rPr>
            </w:pPr>
            <w:r>
              <w:rPr>
                <w:sz w:val="20"/>
              </w:rPr>
              <w:t>0.25</w:t>
            </w:r>
          </w:p>
        </w:tc>
      </w:tr>
      <w:tr w:rsidR="007C5447">
        <w:trPr>
          <w:trHeight w:val="297"/>
        </w:trPr>
        <w:tc>
          <w:tcPr>
            <w:tcW w:w="818" w:type="dxa"/>
          </w:tcPr>
          <w:p w:rsidR="007C5447" w:rsidRDefault="00F6308C">
            <w:pPr>
              <w:pStyle w:val="TableParagraph"/>
              <w:spacing w:before="34"/>
              <w:ind w:left="107"/>
              <w:jc w:val="left"/>
              <w:rPr>
                <w:sz w:val="20"/>
              </w:rPr>
            </w:pPr>
            <w:r>
              <w:rPr>
                <w:sz w:val="20"/>
              </w:rPr>
              <w:t>13</w:t>
            </w:r>
          </w:p>
        </w:tc>
        <w:tc>
          <w:tcPr>
            <w:tcW w:w="2203" w:type="dxa"/>
          </w:tcPr>
          <w:p w:rsidR="007C5447" w:rsidRDefault="00F6308C">
            <w:pPr>
              <w:pStyle w:val="TableParagraph"/>
              <w:spacing w:before="34"/>
              <w:ind w:left="108"/>
              <w:jc w:val="left"/>
              <w:rPr>
                <w:sz w:val="20"/>
              </w:rPr>
            </w:pPr>
            <w:r>
              <w:rPr>
                <w:sz w:val="20"/>
              </w:rPr>
              <w:t>Kundah HEP</w:t>
            </w:r>
          </w:p>
        </w:tc>
        <w:tc>
          <w:tcPr>
            <w:tcW w:w="1228" w:type="dxa"/>
          </w:tcPr>
          <w:p w:rsidR="007C5447" w:rsidRDefault="00F6308C">
            <w:pPr>
              <w:pStyle w:val="TableParagraph"/>
              <w:spacing w:before="34"/>
              <w:ind w:left="598"/>
              <w:jc w:val="left"/>
              <w:rPr>
                <w:sz w:val="20"/>
              </w:rPr>
            </w:pPr>
            <w:r>
              <w:rPr>
                <w:sz w:val="20"/>
              </w:rPr>
              <w:t>1.05</w:t>
            </w:r>
          </w:p>
        </w:tc>
        <w:tc>
          <w:tcPr>
            <w:tcW w:w="1228" w:type="dxa"/>
          </w:tcPr>
          <w:p w:rsidR="007C5447" w:rsidRDefault="00F6308C">
            <w:pPr>
              <w:pStyle w:val="TableParagraph"/>
              <w:spacing w:before="34"/>
              <w:ind w:left="599"/>
              <w:jc w:val="left"/>
              <w:rPr>
                <w:sz w:val="20"/>
              </w:rPr>
            </w:pPr>
            <w:r>
              <w:rPr>
                <w:sz w:val="20"/>
              </w:rPr>
              <w:t>0.69</w:t>
            </w:r>
          </w:p>
        </w:tc>
        <w:tc>
          <w:tcPr>
            <w:tcW w:w="1228" w:type="dxa"/>
          </w:tcPr>
          <w:p w:rsidR="007C5447" w:rsidRDefault="00F6308C">
            <w:pPr>
              <w:pStyle w:val="TableParagraph"/>
              <w:spacing w:before="34"/>
              <w:ind w:left="600"/>
              <w:jc w:val="left"/>
              <w:rPr>
                <w:sz w:val="20"/>
              </w:rPr>
            </w:pPr>
            <w:r>
              <w:rPr>
                <w:sz w:val="20"/>
              </w:rPr>
              <w:t>0.89</w:t>
            </w:r>
          </w:p>
        </w:tc>
        <w:tc>
          <w:tcPr>
            <w:tcW w:w="1229" w:type="dxa"/>
          </w:tcPr>
          <w:p w:rsidR="007C5447" w:rsidRDefault="00F6308C">
            <w:pPr>
              <w:pStyle w:val="TableParagraph"/>
              <w:spacing w:before="34"/>
              <w:ind w:left="603"/>
              <w:jc w:val="left"/>
              <w:rPr>
                <w:sz w:val="20"/>
              </w:rPr>
            </w:pPr>
            <w:r>
              <w:rPr>
                <w:sz w:val="20"/>
              </w:rPr>
              <w:t>0.64</w:t>
            </w:r>
          </w:p>
        </w:tc>
        <w:tc>
          <w:tcPr>
            <w:tcW w:w="1228" w:type="dxa"/>
          </w:tcPr>
          <w:p w:rsidR="007C5447" w:rsidRDefault="00F6308C">
            <w:pPr>
              <w:pStyle w:val="TableParagraph"/>
              <w:spacing w:before="34"/>
              <w:ind w:left="604"/>
              <w:jc w:val="left"/>
              <w:rPr>
                <w:sz w:val="20"/>
              </w:rPr>
            </w:pPr>
            <w:r>
              <w:rPr>
                <w:sz w:val="20"/>
              </w:rPr>
              <w:t>0.90</w:t>
            </w:r>
          </w:p>
        </w:tc>
      </w:tr>
      <w:tr w:rsidR="007C5447">
        <w:trPr>
          <w:trHeight w:val="300"/>
        </w:trPr>
        <w:tc>
          <w:tcPr>
            <w:tcW w:w="818" w:type="dxa"/>
          </w:tcPr>
          <w:p w:rsidR="007C5447" w:rsidRDefault="00F6308C">
            <w:pPr>
              <w:pStyle w:val="TableParagraph"/>
              <w:spacing w:before="36"/>
              <w:ind w:left="107"/>
              <w:jc w:val="left"/>
              <w:rPr>
                <w:sz w:val="20"/>
              </w:rPr>
            </w:pPr>
            <w:r>
              <w:rPr>
                <w:sz w:val="20"/>
              </w:rPr>
              <w:t>14</w:t>
            </w:r>
          </w:p>
        </w:tc>
        <w:tc>
          <w:tcPr>
            <w:tcW w:w="2203" w:type="dxa"/>
          </w:tcPr>
          <w:p w:rsidR="007C5447" w:rsidRDefault="00F6308C">
            <w:pPr>
              <w:pStyle w:val="TableParagraph"/>
              <w:spacing w:before="36"/>
              <w:ind w:left="108"/>
              <w:jc w:val="left"/>
              <w:rPr>
                <w:sz w:val="20"/>
              </w:rPr>
            </w:pPr>
            <w:r>
              <w:rPr>
                <w:sz w:val="20"/>
              </w:rPr>
              <w:t>Tirunelveli HEP</w:t>
            </w:r>
          </w:p>
        </w:tc>
        <w:tc>
          <w:tcPr>
            <w:tcW w:w="1228" w:type="dxa"/>
          </w:tcPr>
          <w:p w:rsidR="007C5447" w:rsidRDefault="00F6308C">
            <w:pPr>
              <w:pStyle w:val="TableParagraph"/>
              <w:spacing w:before="36"/>
              <w:ind w:left="598"/>
              <w:jc w:val="left"/>
              <w:rPr>
                <w:sz w:val="20"/>
              </w:rPr>
            </w:pPr>
            <w:r>
              <w:rPr>
                <w:sz w:val="20"/>
              </w:rPr>
              <w:t>3.77</w:t>
            </w:r>
          </w:p>
        </w:tc>
        <w:tc>
          <w:tcPr>
            <w:tcW w:w="1228" w:type="dxa"/>
          </w:tcPr>
          <w:p w:rsidR="007C5447" w:rsidRDefault="00F6308C">
            <w:pPr>
              <w:pStyle w:val="TableParagraph"/>
              <w:spacing w:before="36"/>
              <w:ind w:left="599"/>
              <w:jc w:val="left"/>
              <w:rPr>
                <w:sz w:val="20"/>
              </w:rPr>
            </w:pPr>
            <w:r>
              <w:rPr>
                <w:sz w:val="20"/>
              </w:rPr>
              <w:t>1.35</w:t>
            </w:r>
          </w:p>
        </w:tc>
        <w:tc>
          <w:tcPr>
            <w:tcW w:w="1228" w:type="dxa"/>
          </w:tcPr>
          <w:p w:rsidR="007C5447" w:rsidRDefault="00F6308C">
            <w:pPr>
              <w:pStyle w:val="TableParagraph"/>
              <w:spacing w:before="36"/>
              <w:ind w:left="600"/>
              <w:jc w:val="left"/>
              <w:rPr>
                <w:sz w:val="20"/>
              </w:rPr>
            </w:pPr>
            <w:r>
              <w:rPr>
                <w:sz w:val="20"/>
              </w:rPr>
              <w:t>1.38</w:t>
            </w:r>
          </w:p>
        </w:tc>
        <w:tc>
          <w:tcPr>
            <w:tcW w:w="1229" w:type="dxa"/>
          </w:tcPr>
          <w:p w:rsidR="007C5447" w:rsidRDefault="00F6308C">
            <w:pPr>
              <w:pStyle w:val="TableParagraph"/>
              <w:spacing w:before="36"/>
              <w:ind w:left="603"/>
              <w:jc w:val="left"/>
              <w:rPr>
                <w:sz w:val="20"/>
              </w:rPr>
            </w:pPr>
            <w:r>
              <w:rPr>
                <w:sz w:val="20"/>
              </w:rPr>
              <w:t>0.56</w:t>
            </w:r>
          </w:p>
        </w:tc>
        <w:tc>
          <w:tcPr>
            <w:tcW w:w="1228" w:type="dxa"/>
          </w:tcPr>
          <w:p w:rsidR="007C5447" w:rsidRDefault="00F6308C">
            <w:pPr>
              <w:pStyle w:val="TableParagraph"/>
              <w:spacing w:before="36"/>
              <w:ind w:left="604"/>
              <w:jc w:val="left"/>
              <w:rPr>
                <w:sz w:val="20"/>
              </w:rPr>
            </w:pPr>
            <w:r>
              <w:rPr>
                <w:sz w:val="20"/>
              </w:rPr>
              <w:t>0.47</w:t>
            </w:r>
          </w:p>
        </w:tc>
      </w:tr>
      <w:tr w:rsidR="007C5447">
        <w:trPr>
          <w:trHeight w:val="299"/>
        </w:trPr>
        <w:tc>
          <w:tcPr>
            <w:tcW w:w="818" w:type="dxa"/>
          </w:tcPr>
          <w:p w:rsidR="007C5447" w:rsidRDefault="00F6308C">
            <w:pPr>
              <w:pStyle w:val="TableParagraph"/>
              <w:spacing w:before="34"/>
              <w:ind w:left="107"/>
              <w:jc w:val="left"/>
              <w:rPr>
                <w:b/>
                <w:sz w:val="20"/>
              </w:rPr>
            </w:pPr>
            <w:r>
              <w:rPr>
                <w:b/>
                <w:sz w:val="20"/>
              </w:rPr>
              <w:t>15</w:t>
            </w:r>
          </w:p>
        </w:tc>
        <w:tc>
          <w:tcPr>
            <w:tcW w:w="2203" w:type="dxa"/>
          </w:tcPr>
          <w:p w:rsidR="007C5447" w:rsidRDefault="00F6308C">
            <w:pPr>
              <w:pStyle w:val="TableParagraph"/>
              <w:spacing w:before="34"/>
              <w:ind w:left="108"/>
              <w:jc w:val="left"/>
              <w:rPr>
                <w:b/>
                <w:sz w:val="20"/>
              </w:rPr>
            </w:pPr>
            <w:r>
              <w:rPr>
                <w:b/>
                <w:sz w:val="20"/>
              </w:rPr>
              <w:t>Total Generation</w:t>
            </w:r>
          </w:p>
        </w:tc>
        <w:tc>
          <w:tcPr>
            <w:tcW w:w="1228" w:type="dxa"/>
          </w:tcPr>
          <w:p w:rsidR="007C5447" w:rsidRDefault="00F6308C">
            <w:pPr>
              <w:pStyle w:val="TableParagraph"/>
              <w:spacing w:before="34"/>
              <w:ind w:left="399"/>
              <w:jc w:val="left"/>
              <w:rPr>
                <w:b/>
                <w:sz w:val="20"/>
              </w:rPr>
            </w:pPr>
            <w:r>
              <w:rPr>
                <w:b/>
                <w:sz w:val="20"/>
              </w:rPr>
              <w:t>119.79</w:t>
            </w:r>
          </w:p>
        </w:tc>
        <w:tc>
          <w:tcPr>
            <w:tcW w:w="1228" w:type="dxa"/>
          </w:tcPr>
          <w:p w:rsidR="007C5447" w:rsidRDefault="00F6308C">
            <w:pPr>
              <w:pStyle w:val="TableParagraph"/>
              <w:spacing w:before="34"/>
              <w:ind w:left="400"/>
              <w:jc w:val="left"/>
              <w:rPr>
                <w:b/>
                <w:sz w:val="20"/>
              </w:rPr>
            </w:pPr>
            <w:r>
              <w:rPr>
                <w:b/>
                <w:sz w:val="20"/>
              </w:rPr>
              <w:t>116.61</w:t>
            </w:r>
          </w:p>
        </w:tc>
        <w:tc>
          <w:tcPr>
            <w:tcW w:w="1228" w:type="dxa"/>
          </w:tcPr>
          <w:p w:rsidR="007C5447" w:rsidRDefault="00F6308C">
            <w:pPr>
              <w:pStyle w:val="TableParagraph"/>
              <w:spacing w:before="34"/>
              <w:ind w:left="401"/>
              <w:jc w:val="left"/>
              <w:rPr>
                <w:b/>
                <w:sz w:val="20"/>
              </w:rPr>
            </w:pPr>
            <w:r>
              <w:rPr>
                <w:b/>
                <w:sz w:val="20"/>
              </w:rPr>
              <w:t>155.09</w:t>
            </w:r>
          </w:p>
        </w:tc>
        <w:tc>
          <w:tcPr>
            <w:tcW w:w="1229" w:type="dxa"/>
          </w:tcPr>
          <w:p w:rsidR="007C5447" w:rsidRDefault="00F6308C">
            <w:pPr>
              <w:pStyle w:val="TableParagraph"/>
              <w:spacing w:before="34"/>
              <w:ind w:left="404"/>
              <w:jc w:val="left"/>
              <w:rPr>
                <w:b/>
                <w:sz w:val="20"/>
              </w:rPr>
            </w:pPr>
            <w:r>
              <w:rPr>
                <w:b/>
                <w:sz w:val="20"/>
              </w:rPr>
              <w:t>174.94</w:t>
            </w:r>
          </w:p>
        </w:tc>
        <w:tc>
          <w:tcPr>
            <w:tcW w:w="1228" w:type="dxa"/>
          </w:tcPr>
          <w:p w:rsidR="007C5447" w:rsidRDefault="00F6308C">
            <w:pPr>
              <w:pStyle w:val="TableParagraph"/>
              <w:spacing w:before="34"/>
              <w:ind w:left="404"/>
              <w:jc w:val="left"/>
              <w:rPr>
                <w:b/>
                <w:sz w:val="20"/>
              </w:rPr>
            </w:pPr>
            <w:r>
              <w:rPr>
                <w:b/>
                <w:sz w:val="20"/>
              </w:rPr>
              <w:t>157.07</w:t>
            </w:r>
          </w:p>
        </w:tc>
      </w:tr>
      <w:tr w:rsidR="007C5447">
        <w:trPr>
          <w:trHeight w:val="299"/>
        </w:trPr>
        <w:tc>
          <w:tcPr>
            <w:tcW w:w="818" w:type="dxa"/>
          </w:tcPr>
          <w:p w:rsidR="007C5447" w:rsidRDefault="00F6308C">
            <w:pPr>
              <w:pStyle w:val="TableParagraph"/>
              <w:spacing w:before="34"/>
              <w:ind w:left="107"/>
              <w:jc w:val="left"/>
              <w:rPr>
                <w:b/>
                <w:sz w:val="20"/>
              </w:rPr>
            </w:pPr>
            <w:r>
              <w:rPr>
                <w:b/>
                <w:sz w:val="20"/>
              </w:rPr>
              <w:t>16</w:t>
            </w:r>
          </w:p>
        </w:tc>
        <w:tc>
          <w:tcPr>
            <w:tcW w:w="2203" w:type="dxa"/>
          </w:tcPr>
          <w:p w:rsidR="007C5447" w:rsidRDefault="00F6308C">
            <w:pPr>
              <w:pStyle w:val="TableParagraph"/>
              <w:spacing w:before="34"/>
              <w:ind w:left="108"/>
              <w:jc w:val="left"/>
              <w:rPr>
                <w:b/>
                <w:sz w:val="20"/>
              </w:rPr>
            </w:pPr>
            <w:r>
              <w:rPr>
                <w:b/>
                <w:sz w:val="20"/>
              </w:rPr>
              <w:t>Distribution</w:t>
            </w:r>
          </w:p>
        </w:tc>
        <w:tc>
          <w:tcPr>
            <w:tcW w:w="1228" w:type="dxa"/>
          </w:tcPr>
          <w:p w:rsidR="007C5447" w:rsidRDefault="00F6308C">
            <w:pPr>
              <w:pStyle w:val="TableParagraph"/>
              <w:spacing w:before="34"/>
              <w:ind w:left="399"/>
              <w:jc w:val="left"/>
              <w:rPr>
                <w:b/>
                <w:sz w:val="20"/>
              </w:rPr>
            </w:pPr>
            <w:r>
              <w:rPr>
                <w:b/>
                <w:sz w:val="20"/>
              </w:rPr>
              <w:t>144.13</w:t>
            </w:r>
          </w:p>
        </w:tc>
        <w:tc>
          <w:tcPr>
            <w:tcW w:w="1228" w:type="dxa"/>
          </w:tcPr>
          <w:p w:rsidR="007C5447" w:rsidRDefault="00F6308C">
            <w:pPr>
              <w:pStyle w:val="TableParagraph"/>
              <w:spacing w:before="34"/>
              <w:ind w:left="400"/>
              <w:jc w:val="left"/>
              <w:rPr>
                <w:b/>
                <w:sz w:val="20"/>
              </w:rPr>
            </w:pPr>
            <w:r>
              <w:rPr>
                <w:b/>
                <w:sz w:val="20"/>
              </w:rPr>
              <w:t>196.41</w:t>
            </w:r>
          </w:p>
        </w:tc>
        <w:tc>
          <w:tcPr>
            <w:tcW w:w="1228" w:type="dxa"/>
          </w:tcPr>
          <w:p w:rsidR="007C5447" w:rsidRDefault="00F6308C">
            <w:pPr>
              <w:pStyle w:val="TableParagraph"/>
              <w:spacing w:before="34"/>
              <w:ind w:left="401"/>
              <w:jc w:val="left"/>
              <w:rPr>
                <w:b/>
                <w:sz w:val="20"/>
              </w:rPr>
            </w:pPr>
            <w:r>
              <w:rPr>
                <w:b/>
                <w:sz w:val="20"/>
              </w:rPr>
              <w:t>229.61</w:t>
            </w:r>
          </w:p>
        </w:tc>
        <w:tc>
          <w:tcPr>
            <w:tcW w:w="1229" w:type="dxa"/>
          </w:tcPr>
          <w:p w:rsidR="007C5447" w:rsidRDefault="00F6308C">
            <w:pPr>
              <w:pStyle w:val="TableParagraph"/>
              <w:spacing w:before="34"/>
              <w:ind w:left="404"/>
              <w:jc w:val="left"/>
              <w:rPr>
                <w:b/>
                <w:sz w:val="20"/>
              </w:rPr>
            </w:pPr>
            <w:r>
              <w:rPr>
                <w:b/>
                <w:sz w:val="20"/>
              </w:rPr>
              <w:t>302.23</w:t>
            </w:r>
          </w:p>
        </w:tc>
        <w:tc>
          <w:tcPr>
            <w:tcW w:w="1228" w:type="dxa"/>
          </w:tcPr>
          <w:p w:rsidR="007C5447" w:rsidRDefault="00F6308C">
            <w:pPr>
              <w:pStyle w:val="TableParagraph"/>
              <w:spacing w:before="34"/>
              <w:ind w:left="404"/>
              <w:jc w:val="left"/>
              <w:rPr>
                <w:b/>
                <w:sz w:val="20"/>
              </w:rPr>
            </w:pPr>
            <w:r>
              <w:rPr>
                <w:b/>
                <w:sz w:val="20"/>
              </w:rPr>
              <w:t>322.02</w:t>
            </w:r>
          </w:p>
        </w:tc>
      </w:tr>
      <w:tr w:rsidR="007C5447">
        <w:trPr>
          <w:trHeight w:val="297"/>
        </w:trPr>
        <w:tc>
          <w:tcPr>
            <w:tcW w:w="818" w:type="dxa"/>
          </w:tcPr>
          <w:p w:rsidR="007C5447" w:rsidRDefault="00F6308C">
            <w:pPr>
              <w:pStyle w:val="TableParagraph"/>
              <w:spacing w:before="34"/>
              <w:ind w:left="107"/>
              <w:jc w:val="left"/>
              <w:rPr>
                <w:b/>
                <w:sz w:val="20"/>
              </w:rPr>
            </w:pPr>
            <w:r>
              <w:rPr>
                <w:b/>
                <w:sz w:val="20"/>
              </w:rPr>
              <w:t>17</w:t>
            </w:r>
          </w:p>
        </w:tc>
        <w:tc>
          <w:tcPr>
            <w:tcW w:w="2203" w:type="dxa"/>
          </w:tcPr>
          <w:p w:rsidR="007C5447" w:rsidRDefault="00F6308C">
            <w:pPr>
              <w:pStyle w:val="TableParagraph"/>
              <w:spacing w:before="34"/>
              <w:ind w:left="108"/>
              <w:jc w:val="left"/>
              <w:rPr>
                <w:b/>
                <w:sz w:val="20"/>
              </w:rPr>
            </w:pPr>
            <w:r>
              <w:rPr>
                <w:b/>
                <w:sz w:val="20"/>
              </w:rPr>
              <w:t>Total TANGEDCO</w:t>
            </w:r>
          </w:p>
        </w:tc>
        <w:tc>
          <w:tcPr>
            <w:tcW w:w="1228" w:type="dxa"/>
          </w:tcPr>
          <w:p w:rsidR="007C5447" w:rsidRDefault="00F6308C">
            <w:pPr>
              <w:pStyle w:val="TableParagraph"/>
              <w:spacing w:before="34"/>
              <w:ind w:left="399"/>
              <w:jc w:val="left"/>
              <w:rPr>
                <w:b/>
                <w:sz w:val="20"/>
              </w:rPr>
            </w:pPr>
            <w:r>
              <w:rPr>
                <w:b/>
                <w:sz w:val="20"/>
              </w:rPr>
              <w:t>263.92</w:t>
            </w:r>
          </w:p>
        </w:tc>
        <w:tc>
          <w:tcPr>
            <w:tcW w:w="1228" w:type="dxa"/>
          </w:tcPr>
          <w:p w:rsidR="007C5447" w:rsidRDefault="00F6308C">
            <w:pPr>
              <w:pStyle w:val="TableParagraph"/>
              <w:spacing w:before="34"/>
              <w:ind w:left="400"/>
              <w:jc w:val="left"/>
              <w:rPr>
                <w:b/>
                <w:sz w:val="20"/>
              </w:rPr>
            </w:pPr>
            <w:r>
              <w:rPr>
                <w:b/>
                <w:sz w:val="20"/>
              </w:rPr>
              <w:t>313.02</w:t>
            </w:r>
          </w:p>
        </w:tc>
        <w:tc>
          <w:tcPr>
            <w:tcW w:w="1228" w:type="dxa"/>
          </w:tcPr>
          <w:p w:rsidR="007C5447" w:rsidRDefault="00F6308C">
            <w:pPr>
              <w:pStyle w:val="TableParagraph"/>
              <w:spacing w:before="34"/>
              <w:ind w:left="401"/>
              <w:jc w:val="left"/>
              <w:rPr>
                <w:b/>
                <w:sz w:val="20"/>
              </w:rPr>
            </w:pPr>
            <w:r>
              <w:rPr>
                <w:b/>
                <w:sz w:val="20"/>
              </w:rPr>
              <w:t>384.70</w:t>
            </w:r>
          </w:p>
        </w:tc>
        <w:tc>
          <w:tcPr>
            <w:tcW w:w="1229" w:type="dxa"/>
          </w:tcPr>
          <w:p w:rsidR="007C5447" w:rsidRDefault="00F6308C">
            <w:pPr>
              <w:pStyle w:val="TableParagraph"/>
              <w:spacing w:before="34"/>
              <w:ind w:left="404"/>
              <w:jc w:val="left"/>
              <w:rPr>
                <w:b/>
                <w:sz w:val="20"/>
              </w:rPr>
            </w:pPr>
            <w:r>
              <w:rPr>
                <w:b/>
                <w:sz w:val="20"/>
              </w:rPr>
              <w:t>477.17</w:t>
            </w:r>
          </w:p>
        </w:tc>
        <w:tc>
          <w:tcPr>
            <w:tcW w:w="1228" w:type="dxa"/>
          </w:tcPr>
          <w:p w:rsidR="007C5447" w:rsidRDefault="00F6308C">
            <w:pPr>
              <w:pStyle w:val="TableParagraph"/>
              <w:spacing w:before="34"/>
              <w:ind w:left="404"/>
              <w:jc w:val="left"/>
              <w:rPr>
                <w:b/>
                <w:sz w:val="20"/>
              </w:rPr>
            </w:pPr>
            <w:r>
              <w:rPr>
                <w:b/>
                <w:sz w:val="20"/>
              </w:rPr>
              <w:t>479.09</w:t>
            </w:r>
          </w:p>
        </w:tc>
      </w:tr>
    </w:tbl>
    <w:p w:rsidR="007C5447" w:rsidRDefault="00F6308C">
      <w:pPr>
        <w:pStyle w:val="ListParagraph"/>
        <w:numPr>
          <w:ilvl w:val="2"/>
          <w:numId w:val="92"/>
        </w:numPr>
        <w:tabs>
          <w:tab w:val="left" w:pos="1533"/>
        </w:tabs>
        <w:spacing w:before="119" w:line="312" w:lineRule="auto"/>
        <w:ind w:right="1357"/>
        <w:jc w:val="both"/>
        <w:rPr>
          <w:sz w:val="24"/>
        </w:rPr>
      </w:pPr>
      <w:r>
        <w:rPr>
          <w:sz w:val="24"/>
        </w:rPr>
        <w:t>TANGEDCO submitted that Non-Tariff Income pertains only to distribution business. Non-Tariff Income as submitted by TANGEDCO is shown in the Table below:</w:t>
      </w:r>
    </w:p>
    <w:p w:rsidR="007C5447" w:rsidRDefault="007C5447">
      <w:pPr>
        <w:pStyle w:val="BodyText"/>
        <w:spacing w:before="1"/>
        <w:rPr>
          <w:sz w:val="21"/>
        </w:rPr>
      </w:pPr>
    </w:p>
    <w:p w:rsidR="007C5447" w:rsidRDefault="00F6308C">
      <w:pPr>
        <w:spacing w:before="1"/>
        <w:ind w:left="672" w:right="1348"/>
        <w:jc w:val="center"/>
        <w:rPr>
          <w:b/>
        </w:rPr>
      </w:pPr>
      <w:r>
        <w:rPr>
          <w:b/>
        </w:rPr>
        <w:t>Table 3-35: Non-Tariff income as submitted by TANGEDCO (Rs. Crore)</w:t>
      </w:r>
    </w:p>
    <w:p w:rsidR="007C5447" w:rsidRDefault="007C5447">
      <w:pPr>
        <w:pStyle w:val="BodyText"/>
        <w:spacing w:before="10"/>
        <w:rPr>
          <w:b/>
          <w:sz w:val="16"/>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2388"/>
        <w:gridCol w:w="1204"/>
        <w:gridCol w:w="1204"/>
        <w:gridCol w:w="1206"/>
        <w:gridCol w:w="1204"/>
        <w:gridCol w:w="1206"/>
      </w:tblGrid>
      <w:tr w:rsidR="007C5447">
        <w:trPr>
          <w:trHeight w:val="354"/>
        </w:trPr>
        <w:tc>
          <w:tcPr>
            <w:tcW w:w="590" w:type="dxa"/>
            <w:shd w:val="clear" w:color="auto" w:fill="F7C9AC"/>
          </w:tcPr>
          <w:p w:rsidR="007C5447" w:rsidRDefault="00F6308C">
            <w:pPr>
              <w:pStyle w:val="TableParagraph"/>
              <w:spacing w:before="62"/>
              <w:ind w:left="163" w:right="155"/>
              <w:jc w:val="center"/>
              <w:rPr>
                <w:b/>
                <w:sz w:val="20"/>
              </w:rPr>
            </w:pPr>
            <w:r>
              <w:rPr>
                <w:b/>
                <w:sz w:val="20"/>
              </w:rPr>
              <w:t>Sl.</w:t>
            </w:r>
          </w:p>
        </w:tc>
        <w:tc>
          <w:tcPr>
            <w:tcW w:w="2388" w:type="dxa"/>
            <w:shd w:val="clear" w:color="auto" w:fill="F7C9AC"/>
          </w:tcPr>
          <w:p w:rsidR="007C5447" w:rsidRDefault="00F6308C">
            <w:pPr>
              <w:pStyle w:val="TableParagraph"/>
              <w:spacing w:before="62"/>
              <w:ind w:left="715"/>
              <w:jc w:val="left"/>
              <w:rPr>
                <w:b/>
                <w:sz w:val="20"/>
              </w:rPr>
            </w:pPr>
            <w:r>
              <w:rPr>
                <w:b/>
                <w:sz w:val="20"/>
              </w:rPr>
              <w:t>Particulars</w:t>
            </w:r>
          </w:p>
        </w:tc>
        <w:tc>
          <w:tcPr>
            <w:tcW w:w="1204" w:type="dxa"/>
            <w:shd w:val="clear" w:color="auto" w:fill="F7C9AC"/>
          </w:tcPr>
          <w:p w:rsidR="007C5447" w:rsidRDefault="00F6308C">
            <w:pPr>
              <w:pStyle w:val="TableParagraph"/>
              <w:spacing w:before="62"/>
              <w:ind w:right="94"/>
              <w:rPr>
                <w:b/>
                <w:sz w:val="20"/>
              </w:rPr>
            </w:pPr>
            <w:r>
              <w:rPr>
                <w:b/>
                <w:sz w:val="20"/>
              </w:rPr>
              <w:t>FY 2011-12</w:t>
            </w:r>
          </w:p>
        </w:tc>
        <w:tc>
          <w:tcPr>
            <w:tcW w:w="1204" w:type="dxa"/>
            <w:shd w:val="clear" w:color="auto" w:fill="F7C9AC"/>
          </w:tcPr>
          <w:p w:rsidR="007C5447" w:rsidRDefault="00F6308C">
            <w:pPr>
              <w:pStyle w:val="TableParagraph"/>
              <w:spacing w:before="62"/>
              <w:ind w:right="93"/>
              <w:rPr>
                <w:b/>
                <w:sz w:val="20"/>
              </w:rPr>
            </w:pPr>
            <w:r>
              <w:rPr>
                <w:b/>
                <w:sz w:val="20"/>
              </w:rPr>
              <w:t>FY 201</w:t>
            </w:r>
            <w:r>
              <w:rPr>
                <w:b/>
                <w:sz w:val="20"/>
              </w:rPr>
              <w:t>2-13</w:t>
            </w:r>
          </w:p>
        </w:tc>
        <w:tc>
          <w:tcPr>
            <w:tcW w:w="1206" w:type="dxa"/>
            <w:shd w:val="clear" w:color="auto" w:fill="F7C9AC"/>
          </w:tcPr>
          <w:p w:rsidR="007C5447" w:rsidRDefault="00F6308C">
            <w:pPr>
              <w:pStyle w:val="TableParagraph"/>
              <w:spacing w:before="62"/>
              <w:ind w:right="94"/>
              <w:rPr>
                <w:b/>
                <w:sz w:val="20"/>
              </w:rPr>
            </w:pPr>
            <w:r>
              <w:rPr>
                <w:b/>
                <w:sz w:val="20"/>
              </w:rPr>
              <w:t>FY 2013-14</w:t>
            </w:r>
          </w:p>
        </w:tc>
        <w:tc>
          <w:tcPr>
            <w:tcW w:w="1204" w:type="dxa"/>
            <w:shd w:val="clear" w:color="auto" w:fill="F7C9AC"/>
          </w:tcPr>
          <w:p w:rsidR="007C5447" w:rsidRDefault="00F6308C">
            <w:pPr>
              <w:pStyle w:val="TableParagraph"/>
              <w:spacing w:before="62"/>
              <w:ind w:left="114"/>
              <w:jc w:val="left"/>
              <w:rPr>
                <w:b/>
                <w:sz w:val="20"/>
              </w:rPr>
            </w:pPr>
            <w:r>
              <w:rPr>
                <w:b/>
                <w:sz w:val="20"/>
              </w:rPr>
              <w:t>FY 2014-15</w:t>
            </w:r>
          </w:p>
        </w:tc>
        <w:tc>
          <w:tcPr>
            <w:tcW w:w="1206" w:type="dxa"/>
            <w:shd w:val="clear" w:color="auto" w:fill="F7C9AC"/>
          </w:tcPr>
          <w:p w:rsidR="007C5447" w:rsidRDefault="00F6308C">
            <w:pPr>
              <w:pStyle w:val="TableParagraph"/>
              <w:spacing w:before="62"/>
              <w:ind w:left="115"/>
              <w:jc w:val="left"/>
              <w:rPr>
                <w:b/>
                <w:sz w:val="20"/>
              </w:rPr>
            </w:pPr>
            <w:r>
              <w:rPr>
                <w:b/>
                <w:sz w:val="20"/>
              </w:rPr>
              <w:t>FY 2015-16</w:t>
            </w:r>
          </w:p>
        </w:tc>
      </w:tr>
      <w:tr w:rsidR="007C5447">
        <w:trPr>
          <w:trHeight w:val="585"/>
        </w:trPr>
        <w:tc>
          <w:tcPr>
            <w:tcW w:w="590" w:type="dxa"/>
          </w:tcPr>
          <w:p w:rsidR="007C5447" w:rsidRDefault="00F6308C">
            <w:pPr>
              <w:pStyle w:val="TableParagraph"/>
              <w:spacing w:before="178"/>
              <w:ind w:left="8"/>
              <w:jc w:val="center"/>
              <w:rPr>
                <w:sz w:val="20"/>
              </w:rPr>
            </w:pPr>
            <w:r>
              <w:rPr>
                <w:w w:val="99"/>
                <w:sz w:val="20"/>
              </w:rPr>
              <w:t>1</w:t>
            </w:r>
          </w:p>
        </w:tc>
        <w:tc>
          <w:tcPr>
            <w:tcW w:w="2388" w:type="dxa"/>
          </w:tcPr>
          <w:p w:rsidR="007C5447" w:rsidRDefault="00F6308C">
            <w:pPr>
              <w:pStyle w:val="TableParagraph"/>
              <w:spacing w:before="63"/>
              <w:ind w:left="108"/>
              <w:jc w:val="left"/>
              <w:rPr>
                <w:sz w:val="20"/>
              </w:rPr>
            </w:pPr>
            <w:r>
              <w:rPr>
                <w:sz w:val="20"/>
              </w:rPr>
              <w:t>Meter Rent/Service Line Rentals</w:t>
            </w:r>
          </w:p>
        </w:tc>
        <w:tc>
          <w:tcPr>
            <w:tcW w:w="1204" w:type="dxa"/>
          </w:tcPr>
          <w:p w:rsidR="007C5447" w:rsidRDefault="00F6308C">
            <w:pPr>
              <w:pStyle w:val="TableParagraph"/>
              <w:spacing w:before="178"/>
              <w:ind w:right="206"/>
              <w:rPr>
                <w:sz w:val="20"/>
              </w:rPr>
            </w:pPr>
            <w:r>
              <w:rPr>
                <w:w w:val="95"/>
                <w:sz w:val="20"/>
              </w:rPr>
              <w:t>19.31</w:t>
            </w:r>
          </w:p>
        </w:tc>
        <w:tc>
          <w:tcPr>
            <w:tcW w:w="1204" w:type="dxa"/>
          </w:tcPr>
          <w:p w:rsidR="007C5447" w:rsidRDefault="00F6308C">
            <w:pPr>
              <w:pStyle w:val="TableParagraph"/>
              <w:spacing w:before="178"/>
              <w:ind w:right="205"/>
              <w:rPr>
                <w:sz w:val="20"/>
              </w:rPr>
            </w:pPr>
            <w:r>
              <w:rPr>
                <w:w w:val="95"/>
                <w:sz w:val="20"/>
              </w:rPr>
              <w:t>18.06</w:t>
            </w:r>
          </w:p>
        </w:tc>
        <w:tc>
          <w:tcPr>
            <w:tcW w:w="1206" w:type="dxa"/>
          </w:tcPr>
          <w:p w:rsidR="007C5447" w:rsidRDefault="00F6308C">
            <w:pPr>
              <w:pStyle w:val="TableParagraph"/>
              <w:spacing w:before="178"/>
              <w:ind w:right="206"/>
              <w:rPr>
                <w:sz w:val="20"/>
              </w:rPr>
            </w:pPr>
            <w:r>
              <w:rPr>
                <w:w w:val="95"/>
                <w:sz w:val="20"/>
              </w:rPr>
              <w:t>19.39</w:t>
            </w:r>
          </w:p>
        </w:tc>
        <w:tc>
          <w:tcPr>
            <w:tcW w:w="1204" w:type="dxa"/>
          </w:tcPr>
          <w:p w:rsidR="007C5447" w:rsidRDefault="00F6308C">
            <w:pPr>
              <w:pStyle w:val="TableParagraph"/>
              <w:spacing w:before="178"/>
              <w:ind w:left="539"/>
              <w:jc w:val="left"/>
              <w:rPr>
                <w:sz w:val="20"/>
              </w:rPr>
            </w:pPr>
            <w:r>
              <w:rPr>
                <w:sz w:val="20"/>
              </w:rPr>
              <w:t>28.63</w:t>
            </w:r>
          </w:p>
        </w:tc>
        <w:tc>
          <w:tcPr>
            <w:tcW w:w="1206" w:type="dxa"/>
          </w:tcPr>
          <w:p w:rsidR="007C5447" w:rsidRDefault="00F6308C">
            <w:pPr>
              <w:pStyle w:val="TableParagraph"/>
              <w:spacing w:before="178"/>
              <w:ind w:left="540"/>
              <w:jc w:val="left"/>
              <w:rPr>
                <w:sz w:val="20"/>
              </w:rPr>
            </w:pPr>
            <w:r>
              <w:rPr>
                <w:sz w:val="20"/>
              </w:rPr>
              <w:t>22.22</w:t>
            </w:r>
          </w:p>
        </w:tc>
      </w:tr>
      <w:tr w:rsidR="007C5447">
        <w:trPr>
          <w:trHeight w:val="585"/>
        </w:trPr>
        <w:tc>
          <w:tcPr>
            <w:tcW w:w="590" w:type="dxa"/>
          </w:tcPr>
          <w:p w:rsidR="007C5447" w:rsidRDefault="00F6308C">
            <w:pPr>
              <w:pStyle w:val="TableParagraph"/>
              <w:spacing w:before="178"/>
              <w:ind w:left="8"/>
              <w:jc w:val="center"/>
              <w:rPr>
                <w:sz w:val="20"/>
              </w:rPr>
            </w:pPr>
            <w:r>
              <w:rPr>
                <w:w w:val="99"/>
                <w:sz w:val="20"/>
              </w:rPr>
              <w:t>2</w:t>
            </w:r>
          </w:p>
        </w:tc>
        <w:tc>
          <w:tcPr>
            <w:tcW w:w="2388" w:type="dxa"/>
          </w:tcPr>
          <w:p w:rsidR="007C5447" w:rsidRDefault="00F6308C">
            <w:pPr>
              <w:pStyle w:val="TableParagraph"/>
              <w:spacing w:before="62"/>
              <w:ind w:left="108" w:right="445"/>
              <w:jc w:val="left"/>
              <w:rPr>
                <w:sz w:val="20"/>
              </w:rPr>
            </w:pPr>
            <w:r>
              <w:rPr>
                <w:sz w:val="20"/>
              </w:rPr>
              <w:t>Recoveries of Theft of Power/Malpractices</w:t>
            </w:r>
          </w:p>
        </w:tc>
        <w:tc>
          <w:tcPr>
            <w:tcW w:w="1204" w:type="dxa"/>
          </w:tcPr>
          <w:p w:rsidR="007C5447" w:rsidRDefault="00F6308C">
            <w:pPr>
              <w:pStyle w:val="TableParagraph"/>
              <w:spacing w:before="178"/>
              <w:ind w:right="206"/>
              <w:rPr>
                <w:sz w:val="20"/>
              </w:rPr>
            </w:pPr>
            <w:r>
              <w:rPr>
                <w:w w:val="95"/>
                <w:sz w:val="20"/>
              </w:rPr>
              <w:t>91.56</w:t>
            </w:r>
          </w:p>
        </w:tc>
        <w:tc>
          <w:tcPr>
            <w:tcW w:w="1204" w:type="dxa"/>
          </w:tcPr>
          <w:p w:rsidR="007C5447" w:rsidRDefault="00F6308C">
            <w:pPr>
              <w:pStyle w:val="TableParagraph"/>
              <w:spacing w:before="178"/>
              <w:ind w:right="206"/>
              <w:rPr>
                <w:sz w:val="20"/>
              </w:rPr>
            </w:pPr>
            <w:r>
              <w:rPr>
                <w:w w:val="95"/>
                <w:sz w:val="20"/>
              </w:rPr>
              <w:t>101.99</w:t>
            </w:r>
          </w:p>
        </w:tc>
        <w:tc>
          <w:tcPr>
            <w:tcW w:w="1206" w:type="dxa"/>
          </w:tcPr>
          <w:p w:rsidR="007C5447" w:rsidRDefault="00F6308C">
            <w:pPr>
              <w:pStyle w:val="TableParagraph"/>
              <w:spacing w:before="178"/>
              <w:ind w:right="206"/>
              <w:rPr>
                <w:sz w:val="20"/>
              </w:rPr>
            </w:pPr>
            <w:r>
              <w:rPr>
                <w:w w:val="95"/>
                <w:sz w:val="20"/>
              </w:rPr>
              <w:t>82.83</w:t>
            </w:r>
          </w:p>
        </w:tc>
        <w:tc>
          <w:tcPr>
            <w:tcW w:w="1204" w:type="dxa"/>
          </w:tcPr>
          <w:p w:rsidR="007C5447" w:rsidRDefault="00F6308C">
            <w:pPr>
              <w:pStyle w:val="TableParagraph"/>
              <w:spacing w:before="178"/>
              <w:ind w:left="539"/>
              <w:jc w:val="left"/>
              <w:rPr>
                <w:sz w:val="20"/>
              </w:rPr>
            </w:pPr>
            <w:r>
              <w:rPr>
                <w:sz w:val="20"/>
              </w:rPr>
              <w:t>54.61</w:t>
            </w:r>
          </w:p>
        </w:tc>
        <w:tc>
          <w:tcPr>
            <w:tcW w:w="1206" w:type="dxa"/>
          </w:tcPr>
          <w:p w:rsidR="007C5447" w:rsidRDefault="00F6308C">
            <w:pPr>
              <w:pStyle w:val="TableParagraph"/>
              <w:spacing w:before="178"/>
              <w:ind w:left="540"/>
              <w:jc w:val="left"/>
              <w:rPr>
                <w:sz w:val="20"/>
              </w:rPr>
            </w:pPr>
            <w:r>
              <w:rPr>
                <w:sz w:val="20"/>
              </w:rPr>
              <w:t>56.94</w:t>
            </w:r>
          </w:p>
        </w:tc>
      </w:tr>
      <w:tr w:rsidR="007C5447">
        <w:trPr>
          <w:trHeight w:val="585"/>
        </w:trPr>
        <w:tc>
          <w:tcPr>
            <w:tcW w:w="590" w:type="dxa"/>
          </w:tcPr>
          <w:p w:rsidR="007C5447" w:rsidRDefault="00F6308C">
            <w:pPr>
              <w:pStyle w:val="TableParagraph"/>
              <w:spacing w:before="178"/>
              <w:ind w:left="8"/>
              <w:jc w:val="center"/>
              <w:rPr>
                <w:sz w:val="20"/>
              </w:rPr>
            </w:pPr>
            <w:r>
              <w:rPr>
                <w:w w:val="99"/>
                <w:sz w:val="20"/>
              </w:rPr>
              <w:t>3</w:t>
            </w:r>
          </w:p>
        </w:tc>
        <w:tc>
          <w:tcPr>
            <w:tcW w:w="2388" w:type="dxa"/>
          </w:tcPr>
          <w:p w:rsidR="007C5447" w:rsidRDefault="00F6308C">
            <w:pPr>
              <w:pStyle w:val="TableParagraph"/>
              <w:spacing w:before="62"/>
              <w:ind w:left="108"/>
              <w:jc w:val="left"/>
              <w:rPr>
                <w:sz w:val="20"/>
              </w:rPr>
            </w:pPr>
            <w:r>
              <w:rPr>
                <w:sz w:val="20"/>
              </w:rPr>
              <w:t>Wheeling Charge Recoveries</w:t>
            </w:r>
          </w:p>
        </w:tc>
        <w:tc>
          <w:tcPr>
            <w:tcW w:w="1204" w:type="dxa"/>
          </w:tcPr>
          <w:p w:rsidR="007C5447" w:rsidRDefault="00F6308C">
            <w:pPr>
              <w:pStyle w:val="TableParagraph"/>
              <w:spacing w:before="178"/>
              <w:ind w:right="206"/>
              <w:rPr>
                <w:sz w:val="20"/>
              </w:rPr>
            </w:pPr>
            <w:r>
              <w:rPr>
                <w:w w:val="95"/>
                <w:sz w:val="20"/>
              </w:rPr>
              <w:t>71.80</w:t>
            </w:r>
          </w:p>
        </w:tc>
        <w:tc>
          <w:tcPr>
            <w:tcW w:w="1204" w:type="dxa"/>
          </w:tcPr>
          <w:p w:rsidR="007C5447" w:rsidRDefault="00F6308C">
            <w:pPr>
              <w:pStyle w:val="TableParagraph"/>
              <w:spacing w:before="178"/>
              <w:ind w:right="206"/>
              <w:rPr>
                <w:sz w:val="20"/>
              </w:rPr>
            </w:pPr>
            <w:r>
              <w:rPr>
                <w:w w:val="95"/>
                <w:sz w:val="20"/>
              </w:rPr>
              <w:t>322.55</w:t>
            </w:r>
          </w:p>
        </w:tc>
        <w:tc>
          <w:tcPr>
            <w:tcW w:w="1206" w:type="dxa"/>
          </w:tcPr>
          <w:p w:rsidR="007C5447" w:rsidRDefault="00F6308C">
            <w:pPr>
              <w:pStyle w:val="TableParagraph"/>
              <w:spacing w:before="178"/>
              <w:ind w:left="437"/>
              <w:jc w:val="left"/>
              <w:rPr>
                <w:sz w:val="20"/>
              </w:rPr>
            </w:pPr>
            <w:r>
              <w:rPr>
                <w:sz w:val="20"/>
              </w:rPr>
              <w:t>181.54</w:t>
            </w:r>
          </w:p>
        </w:tc>
        <w:tc>
          <w:tcPr>
            <w:tcW w:w="1204" w:type="dxa"/>
          </w:tcPr>
          <w:p w:rsidR="007C5447" w:rsidRDefault="00F6308C">
            <w:pPr>
              <w:pStyle w:val="TableParagraph"/>
              <w:spacing w:before="178"/>
              <w:ind w:left="440"/>
              <w:jc w:val="left"/>
              <w:rPr>
                <w:sz w:val="20"/>
              </w:rPr>
            </w:pPr>
            <w:r>
              <w:rPr>
                <w:sz w:val="20"/>
              </w:rPr>
              <w:t>192.80</w:t>
            </w:r>
          </w:p>
        </w:tc>
        <w:tc>
          <w:tcPr>
            <w:tcW w:w="1206" w:type="dxa"/>
          </w:tcPr>
          <w:p w:rsidR="007C5447" w:rsidRDefault="00F6308C">
            <w:pPr>
              <w:pStyle w:val="TableParagraph"/>
              <w:spacing w:before="178"/>
              <w:ind w:left="442"/>
              <w:jc w:val="left"/>
              <w:rPr>
                <w:sz w:val="20"/>
              </w:rPr>
            </w:pPr>
            <w:r>
              <w:rPr>
                <w:sz w:val="20"/>
              </w:rPr>
              <w:t>175.51</w:t>
            </w:r>
          </w:p>
        </w:tc>
      </w:tr>
      <w:tr w:rsidR="007C5447">
        <w:trPr>
          <w:trHeight w:val="522"/>
        </w:trPr>
        <w:tc>
          <w:tcPr>
            <w:tcW w:w="590" w:type="dxa"/>
          </w:tcPr>
          <w:p w:rsidR="007C5447" w:rsidRDefault="00F6308C">
            <w:pPr>
              <w:pStyle w:val="TableParagraph"/>
              <w:spacing w:before="146"/>
              <w:ind w:left="8"/>
              <w:jc w:val="center"/>
              <w:rPr>
                <w:sz w:val="20"/>
              </w:rPr>
            </w:pPr>
            <w:r>
              <w:rPr>
                <w:w w:val="99"/>
                <w:sz w:val="20"/>
              </w:rPr>
              <w:t>4</w:t>
            </w:r>
          </w:p>
        </w:tc>
        <w:tc>
          <w:tcPr>
            <w:tcW w:w="2388" w:type="dxa"/>
          </w:tcPr>
          <w:p w:rsidR="007C5447" w:rsidRDefault="00F6308C">
            <w:pPr>
              <w:pStyle w:val="TableParagraph"/>
              <w:spacing w:before="31"/>
              <w:ind w:left="108"/>
              <w:jc w:val="left"/>
              <w:rPr>
                <w:sz w:val="20"/>
              </w:rPr>
            </w:pPr>
            <w:r>
              <w:rPr>
                <w:sz w:val="20"/>
              </w:rPr>
              <w:t>Miscellaneous Charges collected from Consumers</w:t>
            </w:r>
          </w:p>
        </w:tc>
        <w:tc>
          <w:tcPr>
            <w:tcW w:w="1204" w:type="dxa"/>
          </w:tcPr>
          <w:p w:rsidR="007C5447" w:rsidRDefault="00F6308C">
            <w:pPr>
              <w:pStyle w:val="TableParagraph"/>
              <w:spacing w:before="146"/>
              <w:ind w:right="206"/>
              <w:rPr>
                <w:sz w:val="20"/>
              </w:rPr>
            </w:pPr>
            <w:r>
              <w:rPr>
                <w:w w:val="95"/>
                <w:sz w:val="20"/>
              </w:rPr>
              <w:t>370.33</w:t>
            </w:r>
          </w:p>
        </w:tc>
        <w:tc>
          <w:tcPr>
            <w:tcW w:w="1204" w:type="dxa"/>
          </w:tcPr>
          <w:p w:rsidR="007C5447" w:rsidRDefault="00F6308C">
            <w:pPr>
              <w:pStyle w:val="TableParagraph"/>
              <w:spacing w:before="146"/>
              <w:ind w:right="206"/>
              <w:rPr>
                <w:sz w:val="20"/>
              </w:rPr>
            </w:pPr>
            <w:r>
              <w:rPr>
                <w:w w:val="95"/>
                <w:sz w:val="20"/>
              </w:rPr>
              <w:t>493.21</w:t>
            </w:r>
          </w:p>
        </w:tc>
        <w:tc>
          <w:tcPr>
            <w:tcW w:w="1206" w:type="dxa"/>
          </w:tcPr>
          <w:p w:rsidR="007C5447" w:rsidRDefault="00F6308C">
            <w:pPr>
              <w:pStyle w:val="TableParagraph"/>
              <w:spacing w:before="146"/>
              <w:ind w:left="437"/>
              <w:jc w:val="left"/>
              <w:rPr>
                <w:sz w:val="20"/>
              </w:rPr>
            </w:pPr>
            <w:r>
              <w:rPr>
                <w:sz w:val="20"/>
              </w:rPr>
              <w:t>538.40</w:t>
            </w:r>
          </w:p>
        </w:tc>
        <w:tc>
          <w:tcPr>
            <w:tcW w:w="1204" w:type="dxa"/>
          </w:tcPr>
          <w:p w:rsidR="007C5447" w:rsidRDefault="00F6308C">
            <w:pPr>
              <w:pStyle w:val="TableParagraph"/>
              <w:spacing w:before="146"/>
              <w:ind w:left="440"/>
              <w:jc w:val="left"/>
              <w:rPr>
                <w:sz w:val="20"/>
              </w:rPr>
            </w:pPr>
            <w:r>
              <w:rPr>
                <w:sz w:val="20"/>
              </w:rPr>
              <w:t>576.93</w:t>
            </w:r>
          </w:p>
        </w:tc>
        <w:tc>
          <w:tcPr>
            <w:tcW w:w="1206" w:type="dxa"/>
          </w:tcPr>
          <w:p w:rsidR="007C5447" w:rsidRDefault="00F6308C">
            <w:pPr>
              <w:pStyle w:val="TableParagraph"/>
              <w:spacing w:before="146"/>
              <w:ind w:left="442"/>
              <w:jc w:val="left"/>
              <w:rPr>
                <w:sz w:val="20"/>
              </w:rPr>
            </w:pPr>
            <w:r>
              <w:rPr>
                <w:sz w:val="20"/>
              </w:rPr>
              <w:t>526.20</w:t>
            </w:r>
          </w:p>
        </w:tc>
      </w:tr>
    </w:tbl>
    <w:p w:rsidR="007C5447" w:rsidRDefault="007C5447">
      <w:pPr>
        <w:rPr>
          <w:sz w:val="20"/>
        </w:rPr>
        <w:sectPr w:rsidR="007C5447">
          <w:pgSz w:w="11910" w:h="16840"/>
          <w:pgMar w:top="1360" w:right="80" w:bottom="1240" w:left="760" w:header="0" w:footer="1057" w:gutter="0"/>
          <w:cols w:space="720"/>
        </w:sect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2388"/>
        <w:gridCol w:w="1204"/>
        <w:gridCol w:w="1204"/>
        <w:gridCol w:w="1206"/>
        <w:gridCol w:w="1204"/>
        <w:gridCol w:w="1206"/>
      </w:tblGrid>
      <w:tr w:rsidR="007C5447">
        <w:trPr>
          <w:trHeight w:val="355"/>
        </w:trPr>
        <w:tc>
          <w:tcPr>
            <w:tcW w:w="590" w:type="dxa"/>
            <w:shd w:val="clear" w:color="auto" w:fill="F7C9AC"/>
          </w:tcPr>
          <w:p w:rsidR="007C5447" w:rsidRDefault="00F6308C">
            <w:pPr>
              <w:pStyle w:val="TableParagraph"/>
              <w:spacing w:before="62"/>
              <w:ind w:left="163" w:right="155"/>
              <w:jc w:val="center"/>
              <w:rPr>
                <w:b/>
                <w:sz w:val="20"/>
              </w:rPr>
            </w:pPr>
            <w:r>
              <w:rPr>
                <w:b/>
                <w:sz w:val="20"/>
              </w:rPr>
              <w:lastRenderedPageBreak/>
              <w:t>Sl.</w:t>
            </w:r>
          </w:p>
        </w:tc>
        <w:tc>
          <w:tcPr>
            <w:tcW w:w="2388" w:type="dxa"/>
            <w:shd w:val="clear" w:color="auto" w:fill="F7C9AC"/>
          </w:tcPr>
          <w:p w:rsidR="007C5447" w:rsidRDefault="00F6308C">
            <w:pPr>
              <w:pStyle w:val="TableParagraph"/>
              <w:spacing w:before="62"/>
              <w:ind w:left="715"/>
              <w:jc w:val="left"/>
              <w:rPr>
                <w:b/>
                <w:sz w:val="20"/>
              </w:rPr>
            </w:pPr>
            <w:r>
              <w:rPr>
                <w:b/>
                <w:sz w:val="20"/>
              </w:rPr>
              <w:t>Particulars</w:t>
            </w:r>
          </w:p>
        </w:tc>
        <w:tc>
          <w:tcPr>
            <w:tcW w:w="1204" w:type="dxa"/>
            <w:shd w:val="clear" w:color="auto" w:fill="F7C9AC"/>
          </w:tcPr>
          <w:p w:rsidR="007C5447" w:rsidRDefault="00F6308C">
            <w:pPr>
              <w:pStyle w:val="TableParagraph"/>
              <w:spacing w:before="62"/>
              <w:ind w:right="94"/>
              <w:rPr>
                <w:b/>
                <w:sz w:val="20"/>
              </w:rPr>
            </w:pPr>
            <w:r>
              <w:rPr>
                <w:b/>
                <w:sz w:val="20"/>
              </w:rPr>
              <w:t>FY 2011-12</w:t>
            </w:r>
          </w:p>
        </w:tc>
        <w:tc>
          <w:tcPr>
            <w:tcW w:w="1204" w:type="dxa"/>
            <w:shd w:val="clear" w:color="auto" w:fill="F7C9AC"/>
          </w:tcPr>
          <w:p w:rsidR="007C5447" w:rsidRDefault="00F6308C">
            <w:pPr>
              <w:pStyle w:val="TableParagraph"/>
              <w:spacing w:before="62"/>
              <w:ind w:right="93"/>
              <w:rPr>
                <w:b/>
                <w:sz w:val="20"/>
              </w:rPr>
            </w:pPr>
            <w:r>
              <w:rPr>
                <w:b/>
                <w:sz w:val="20"/>
              </w:rPr>
              <w:t>FY 2012-13</w:t>
            </w:r>
          </w:p>
        </w:tc>
        <w:tc>
          <w:tcPr>
            <w:tcW w:w="1206" w:type="dxa"/>
            <w:shd w:val="clear" w:color="auto" w:fill="F7C9AC"/>
          </w:tcPr>
          <w:p w:rsidR="007C5447" w:rsidRDefault="00F6308C">
            <w:pPr>
              <w:pStyle w:val="TableParagraph"/>
              <w:spacing w:before="62"/>
              <w:ind w:left="113"/>
              <w:jc w:val="left"/>
              <w:rPr>
                <w:b/>
                <w:sz w:val="20"/>
              </w:rPr>
            </w:pPr>
            <w:r>
              <w:rPr>
                <w:b/>
                <w:sz w:val="20"/>
              </w:rPr>
              <w:t>FY 2013-14</w:t>
            </w:r>
          </w:p>
        </w:tc>
        <w:tc>
          <w:tcPr>
            <w:tcW w:w="1204" w:type="dxa"/>
            <w:shd w:val="clear" w:color="auto" w:fill="F7C9AC"/>
          </w:tcPr>
          <w:p w:rsidR="007C5447" w:rsidRDefault="00F6308C">
            <w:pPr>
              <w:pStyle w:val="TableParagraph"/>
              <w:spacing w:before="62"/>
              <w:ind w:left="114"/>
              <w:jc w:val="left"/>
              <w:rPr>
                <w:b/>
                <w:sz w:val="20"/>
              </w:rPr>
            </w:pPr>
            <w:r>
              <w:rPr>
                <w:b/>
                <w:sz w:val="20"/>
              </w:rPr>
              <w:t>FY 2014-15</w:t>
            </w:r>
          </w:p>
        </w:tc>
        <w:tc>
          <w:tcPr>
            <w:tcW w:w="1206" w:type="dxa"/>
            <w:shd w:val="clear" w:color="auto" w:fill="F7C9AC"/>
          </w:tcPr>
          <w:p w:rsidR="007C5447" w:rsidRDefault="00F6308C">
            <w:pPr>
              <w:pStyle w:val="TableParagraph"/>
              <w:spacing w:before="62"/>
              <w:ind w:left="115"/>
              <w:jc w:val="left"/>
              <w:rPr>
                <w:b/>
                <w:sz w:val="20"/>
              </w:rPr>
            </w:pPr>
            <w:r>
              <w:rPr>
                <w:b/>
                <w:sz w:val="20"/>
              </w:rPr>
              <w:t>FY 2015-16</w:t>
            </w:r>
          </w:p>
        </w:tc>
      </w:tr>
      <w:tr w:rsidR="007C5447">
        <w:trPr>
          <w:trHeight w:val="354"/>
        </w:trPr>
        <w:tc>
          <w:tcPr>
            <w:tcW w:w="590" w:type="dxa"/>
          </w:tcPr>
          <w:p w:rsidR="007C5447" w:rsidRDefault="00F6308C">
            <w:pPr>
              <w:pStyle w:val="TableParagraph"/>
              <w:spacing w:before="62"/>
              <w:ind w:left="8"/>
              <w:jc w:val="center"/>
              <w:rPr>
                <w:b/>
                <w:sz w:val="20"/>
              </w:rPr>
            </w:pPr>
            <w:r>
              <w:rPr>
                <w:b/>
                <w:w w:val="99"/>
                <w:sz w:val="20"/>
              </w:rPr>
              <w:t>5</w:t>
            </w:r>
          </w:p>
        </w:tc>
        <w:tc>
          <w:tcPr>
            <w:tcW w:w="2388" w:type="dxa"/>
          </w:tcPr>
          <w:p w:rsidR="007C5447" w:rsidRDefault="00F6308C">
            <w:pPr>
              <w:pStyle w:val="TableParagraph"/>
              <w:spacing w:before="62"/>
              <w:ind w:left="108"/>
              <w:jc w:val="left"/>
              <w:rPr>
                <w:b/>
                <w:sz w:val="20"/>
              </w:rPr>
            </w:pPr>
            <w:r>
              <w:rPr>
                <w:b/>
                <w:sz w:val="20"/>
              </w:rPr>
              <w:t>Total</w:t>
            </w:r>
          </w:p>
        </w:tc>
        <w:tc>
          <w:tcPr>
            <w:tcW w:w="1204" w:type="dxa"/>
          </w:tcPr>
          <w:p w:rsidR="007C5447" w:rsidRDefault="00F6308C">
            <w:pPr>
              <w:pStyle w:val="TableParagraph"/>
              <w:spacing w:before="62"/>
              <w:ind w:right="206"/>
              <w:rPr>
                <w:b/>
                <w:sz w:val="20"/>
              </w:rPr>
            </w:pPr>
            <w:r>
              <w:rPr>
                <w:b/>
                <w:w w:val="95"/>
                <w:sz w:val="20"/>
              </w:rPr>
              <w:t>553.00</w:t>
            </w:r>
          </w:p>
        </w:tc>
        <w:tc>
          <w:tcPr>
            <w:tcW w:w="1204" w:type="dxa"/>
          </w:tcPr>
          <w:p w:rsidR="007C5447" w:rsidRDefault="00F6308C">
            <w:pPr>
              <w:pStyle w:val="TableParagraph"/>
              <w:spacing w:before="62"/>
              <w:ind w:right="206"/>
              <w:rPr>
                <w:b/>
                <w:sz w:val="20"/>
              </w:rPr>
            </w:pPr>
            <w:r>
              <w:rPr>
                <w:b/>
                <w:w w:val="95"/>
                <w:sz w:val="20"/>
              </w:rPr>
              <w:t>935.80</w:t>
            </w:r>
          </w:p>
        </w:tc>
        <w:tc>
          <w:tcPr>
            <w:tcW w:w="1206" w:type="dxa"/>
          </w:tcPr>
          <w:p w:rsidR="007C5447" w:rsidRDefault="00F6308C">
            <w:pPr>
              <w:pStyle w:val="TableParagraph"/>
              <w:spacing w:before="62"/>
              <w:ind w:left="437"/>
              <w:jc w:val="left"/>
              <w:rPr>
                <w:b/>
                <w:sz w:val="20"/>
              </w:rPr>
            </w:pPr>
            <w:r>
              <w:rPr>
                <w:b/>
                <w:sz w:val="20"/>
              </w:rPr>
              <w:t>822.16</w:t>
            </w:r>
          </w:p>
        </w:tc>
        <w:tc>
          <w:tcPr>
            <w:tcW w:w="1204" w:type="dxa"/>
          </w:tcPr>
          <w:p w:rsidR="007C5447" w:rsidRDefault="00F6308C">
            <w:pPr>
              <w:pStyle w:val="TableParagraph"/>
              <w:spacing w:before="62"/>
              <w:ind w:left="440"/>
              <w:jc w:val="left"/>
              <w:rPr>
                <w:b/>
                <w:sz w:val="20"/>
              </w:rPr>
            </w:pPr>
            <w:r>
              <w:rPr>
                <w:b/>
                <w:sz w:val="20"/>
              </w:rPr>
              <w:t>852.97</w:t>
            </w:r>
          </w:p>
        </w:tc>
        <w:tc>
          <w:tcPr>
            <w:tcW w:w="1206" w:type="dxa"/>
          </w:tcPr>
          <w:p w:rsidR="007C5447" w:rsidRDefault="00F6308C">
            <w:pPr>
              <w:pStyle w:val="TableParagraph"/>
              <w:spacing w:before="62"/>
              <w:ind w:left="442"/>
              <w:jc w:val="left"/>
              <w:rPr>
                <w:b/>
                <w:sz w:val="20"/>
              </w:rPr>
            </w:pPr>
            <w:r>
              <w:rPr>
                <w:b/>
                <w:sz w:val="20"/>
              </w:rPr>
              <w:t>780.86</w:t>
            </w:r>
          </w:p>
        </w:tc>
      </w:tr>
    </w:tbl>
    <w:p w:rsidR="007C5447" w:rsidRDefault="007C5447">
      <w:pPr>
        <w:pStyle w:val="BodyText"/>
        <w:spacing w:before="11"/>
        <w:rPr>
          <w:b/>
          <w:sz w:val="12"/>
        </w:rPr>
      </w:pPr>
    </w:p>
    <w:p w:rsidR="007C5447" w:rsidRDefault="00F6308C">
      <w:pPr>
        <w:pStyle w:val="Heading2"/>
        <w:spacing w:before="90"/>
        <w:ind w:left="1532"/>
      </w:pPr>
      <w:r>
        <w:t>Commission’s Views</w:t>
      </w:r>
    </w:p>
    <w:p w:rsidR="007C5447" w:rsidRDefault="00F6308C">
      <w:pPr>
        <w:pStyle w:val="ListParagraph"/>
        <w:numPr>
          <w:ilvl w:val="2"/>
          <w:numId w:val="92"/>
        </w:numPr>
        <w:tabs>
          <w:tab w:val="left" w:pos="1533"/>
        </w:tabs>
        <w:spacing w:before="204" w:line="312" w:lineRule="auto"/>
        <w:ind w:right="1358"/>
        <w:jc w:val="both"/>
        <w:rPr>
          <w:sz w:val="24"/>
        </w:rPr>
      </w:pPr>
      <w:r>
        <w:rPr>
          <w:sz w:val="24"/>
        </w:rPr>
        <w:t>The Commission has approved the Other Income and Non-Tariff Income based on Audited Accounts for FY 2011-12 to FY 2015-16. As break up of Other Income between generating stations and distribution function was not available in the Accounts, it has segregate</w:t>
      </w:r>
      <w:r>
        <w:rPr>
          <w:sz w:val="24"/>
        </w:rPr>
        <w:t>d the approved Other Income between generating stations and distribution function proportionately in accordance with the approach followed in earlier Orders. The Non-Tariff Income has been allocated to distribution function only, based on TANGEDCO’s</w:t>
      </w:r>
      <w:r>
        <w:rPr>
          <w:spacing w:val="-2"/>
          <w:sz w:val="24"/>
        </w:rPr>
        <w:t xml:space="preserve"> </w:t>
      </w:r>
      <w:r>
        <w:rPr>
          <w:sz w:val="24"/>
        </w:rPr>
        <w:t>submis</w:t>
      </w:r>
      <w:r>
        <w:rPr>
          <w:sz w:val="24"/>
        </w:rPr>
        <w:t>sion.</w:t>
      </w:r>
    </w:p>
    <w:p w:rsidR="007C5447" w:rsidRDefault="007C5447">
      <w:pPr>
        <w:pStyle w:val="BodyText"/>
        <w:spacing w:before="9"/>
        <w:rPr>
          <w:sz w:val="20"/>
        </w:rPr>
      </w:pPr>
    </w:p>
    <w:p w:rsidR="007C5447" w:rsidRDefault="00F6308C">
      <w:pPr>
        <w:pStyle w:val="ListParagraph"/>
        <w:numPr>
          <w:ilvl w:val="2"/>
          <w:numId w:val="92"/>
        </w:numPr>
        <w:tabs>
          <w:tab w:val="left" w:pos="1533"/>
        </w:tabs>
        <w:spacing w:before="1" w:line="312" w:lineRule="auto"/>
        <w:ind w:right="1357"/>
        <w:jc w:val="both"/>
        <w:rPr>
          <w:sz w:val="24"/>
        </w:rPr>
      </w:pPr>
      <w:r>
        <w:rPr>
          <w:sz w:val="24"/>
        </w:rPr>
        <w:t>The Other Income and Non-Tariff Income approved by the Commission after true- up for FY 2011-12 to FY 2015-16 is shown in the Tables</w:t>
      </w:r>
      <w:r>
        <w:rPr>
          <w:spacing w:val="-3"/>
          <w:sz w:val="24"/>
        </w:rPr>
        <w:t xml:space="preserve"> </w:t>
      </w:r>
      <w:r>
        <w:rPr>
          <w:sz w:val="24"/>
        </w:rPr>
        <w:t>below:</w:t>
      </w:r>
    </w:p>
    <w:p w:rsidR="007C5447" w:rsidRDefault="007C5447">
      <w:pPr>
        <w:pStyle w:val="BodyText"/>
        <w:rPr>
          <w:sz w:val="21"/>
        </w:rPr>
      </w:pPr>
    </w:p>
    <w:p w:rsidR="007C5447" w:rsidRDefault="00F6308C">
      <w:pPr>
        <w:spacing w:line="312" w:lineRule="auto"/>
        <w:ind w:left="3405" w:right="1366" w:hanging="2706"/>
        <w:rPr>
          <w:b/>
        </w:rPr>
      </w:pPr>
      <w:r>
        <w:rPr>
          <w:b/>
          <w:sz w:val="20"/>
        </w:rPr>
        <w:t xml:space="preserve">Table 3-36: </w:t>
      </w:r>
      <w:r>
        <w:rPr>
          <w:b/>
        </w:rPr>
        <w:t>Other Income and Non-Tariff Income approved by the Commission after true-up for FY 2011-12 to FY 2013-1</w:t>
      </w:r>
      <w:r>
        <w:rPr>
          <w:b/>
        </w:rPr>
        <w:t>4 (Rs. Crore)</w:t>
      </w:r>
    </w:p>
    <w:p w:rsidR="007C5447" w:rsidRDefault="007C5447">
      <w:pPr>
        <w:pStyle w:val="BodyText"/>
        <w:spacing w:before="4"/>
        <w:rPr>
          <w:b/>
          <w:sz w:val="10"/>
        </w:rPr>
      </w:pPr>
    </w:p>
    <w:tbl>
      <w:tblPr>
        <w:tblW w:w="0" w:type="auto"/>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40"/>
        <w:gridCol w:w="766"/>
        <w:gridCol w:w="841"/>
        <w:gridCol w:w="1186"/>
        <w:gridCol w:w="768"/>
        <w:gridCol w:w="840"/>
        <w:gridCol w:w="1185"/>
        <w:gridCol w:w="765"/>
        <w:gridCol w:w="842"/>
        <w:gridCol w:w="1185"/>
      </w:tblGrid>
      <w:tr w:rsidR="007C5447">
        <w:trPr>
          <w:trHeight w:val="330"/>
        </w:trPr>
        <w:tc>
          <w:tcPr>
            <w:tcW w:w="1040" w:type="dxa"/>
            <w:vMerge w:val="restart"/>
            <w:shd w:val="clear" w:color="auto" w:fill="FBD4B4"/>
          </w:tcPr>
          <w:p w:rsidR="007C5447" w:rsidRDefault="007C5447">
            <w:pPr>
              <w:pStyle w:val="TableParagraph"/>
              <w:spacing w:before="2"/>
              <w:jc w:val="left"/>
              <w:rPr>
                <w:b/>
                <w:sz w:val="23"/>
              </w:rPr>
            </w:pPr>
          </w:p>
          <w:p w:rsidR="007C5447" w:rsidRDefault="00F6308C">
            <w:pPr>
              <w:pStyle w:val="TableParagraph"/>
              <w:ind w:left="437" w:right="96" w:hanging="312"/>
              <w:jc w:val="left"/>
              <w:rPr>
                <w:b/>
                <w:sz w:val="20"/>
              </w:rPr>
            </w:pPr>
            <w:r>
              <w:rPr>
                <w:b/>
                <w:sz w:val="20"/>
              </w:rPr>
              <w:t>Particula rs</w:t>
            </w:r>
          </w:p>
        </w:tc>
        <w:tc>
          <w:tcPr>
            <w:tcW w:w="2793" w:type="dxa"/>
            <w:gridSpan w:val="3"/>
            <w:shd w:val="clear" w:color="auto" w:fill="FBD4B4"/>
          </w:tcPr>
          <w:p w:rsidR="007C5447" w:rsidRDefault="00F6308C">
            <w:pPr>
              <w:pStyle w:val="TableParagraph"/>
              <w:spacing w:before="50"/>
              <w:ind w:left="901"/>
              <w:jc w:val="left"/>
              <w:rPr>
                <w:b/>
                <w:sz w:val="20"/>
              </w:rPr>
            </w:pPr>
            <w:r>
              <w:rPr>
                <w:b/>
                <w:sz w:val="20"/>
              </w:rPr>
              <w:t>FY 2011-12</w:t>
            </w:r>
          </w:p>
        </w:tc>
        <w:tc>
          <w:tcPr>
            <w:tcW w:w="2793" w:type="dxa"/>
            <w:gridSpan w:val="3"/>
            <w:shd w:val="clear" w:color="auto" w:fill="FBD4B4"/>
          </w:tcPr>
          <w:p w:rsidR="007C5447" w:rsidRDefault="00F6308C">
            <w:pPr>
              <w:pStyle w:val="TableParagraph"/>
              <w:spacing w:before="50"/>
              <w:ind w:left="902"/>
              <w:jc w:val="left"/>
              <w:rPr>
                <w:b/>
                <w:sz w:val="20"/>
              </w:rPr>
            </w:pPr>
            <w:r>
              <w:rPr>
                <w:b/>
                <w:sz w:val="20"/>
              </w:rPr>
              <w:t>FY 2012-13</w:t>
            </w:r>
          </w:p>
        </w:tc>
        <w:tc>
          <w:tcPr>
            <w:tcW w:w="2792" w:type="dxa"/>
            <w:gridSpan w:val="3"/>
            <w:shd w:val="clear" w:color="auto" w:fill="FBD4B4"/>
          </w:tcPr>
          <w:p w:rsidR="007C5447" w:rsidRDefault="00F6308C">
            <w:pPr>
              <w:pStyle w:val="TableParagraph"/>
              <w:spacing w:before="50"/>
              <w:ind w:left="904"/>
              <w:jc w:val="left"/>
              <w:rPr>
                <w:b/>
                <w:sz w:val="20"/>
              </w:rPr>
            </w:pPr>
            <w:r>
              <w:rPr>
                <w:b/>
                <w:sz w:val="20"/>
              </w:rPr>
              <w:t>FY 2013-14</w:t>
            </w:r>
          </w:p>
        </w:tc>
      </w:tr>
      <w:tr w:rsidR="007C5447">
        <w:trPr>
          <w:trHeight w:val="650"/>
        </w:trPr>
        <w:tc>
          <w:tcPr>
            <w:tcW w:w="1040" w:type="dxa"/>
            <w:vMerge/>
            <w:tcBorders>
              <w:top w:val="nil"/>
            </w:tcBorders>
            <w:shd w:val="clear" w:color="auto" w:fill="FBD4B4"/>
          </w:tcPr>
          <w:p w:rsidR="007C5447" w:rsidRDefault="007C5447">
            <w:pPr>
              <w:rPr>
                <w:sz w:val="2"/>
                <w:szCs w:val="2"/>
              </w:rPr>
            </w:pPr>
          </w:p>
        </w:tc>
        <w:tc>
          <w:tcPr>
            <w:tcW w:w="766" w:type="dxa"/>
            <w:shd w:val="clear" w:color="auto" w:fill="FBD4B4"/>
          </w:tcPr>
          <w:p w:rsidR="007C5447" w:rsidRDefault="00F6308C">
            <w:pPr>
              <w:pStyle w:val="TableParagraph"/>
              <w:spacing w:before="96"/>
              <w:ind w:left="164"/>
              <w:jc w:val="left"/>
              <w:rPr>
                <w:b/>
                <w:sz w:val="20"/>
              </w:rPr>
            </w:pPr>
            <w:r>
              <w:rPr>
                <w:b/>
                <w:sz w:val="20"/>
              </w:rPr>
              <w:t>SMT</w:t>
            </w:r>
          </w:p>
          <w:p w:rsidR="007C5447" w:rsidRDefault="00F6308C">
            <w:pPr>
              <w:pStyle w:val="TableParagraph"/>
              <w:ind w:left="114"/>
              <w:jc w:val="left"/>
              <w:rPr>
                <w:b/>
                <w:sz w:val="20"/>
              </w:rPr>
            </w:pPr>
            <w:r>
              <w:rPr>
                <w:b/>
                <w:sz w:val="20"/>
              </w:rPr>
              <w:t>Order</w:t>
            </w:r>
          </w:p>
        </w:tc>
        <w:tc>
          <w:tcPr>
            <w:tcW w:w="841" w:type="dxa"/>
            <w:shd w:val="clear" w:color="auto" w:fill="FBD4B4"/>
          </w:tcPr>
          <w:p w:rsidR="007C5447" w:rsidRDefault="00F6308C">
            <w:pPr>
              <w:pStyle w:val="TableParagraph"/>
              <w:spacing w:before="96"/>
              <w:ind w:left="128" w:right="105"/>
              <w:jc w:val="left"/>
              <w:rPr>
                <w:b/>
                <w:sz w:val="20"/>
              </w:rPr>
            </w:pPr>
            <w:r>
              <w:rPr>
                <w:b/>
                <w:sz w:val="20"/>
              </w:rPr>
              <w:t>TANG EDCO</w:t>
            </w:r>
          </w:p>
        </w:tc>
        <w:tc>
          <w:tcPr>
            <w:tcW w:w="1186" w:type="dxa"/>
            <w:shd w:val="clear" w:color="auto" w:fill="FBD4B4"/>
          </w:tcPr>
          <w:p w:rsidR="007C5447" w:rsidRDefault="00F6308C">
            <w:pPr>
              <w:pStyle w:val="TableParagraph"/>
              <w:spacing w:before="14"/>
              <w:ind w:left="224" w:hanging="17"/>
              <w:jc w:val="left"/>
              <w:rPr>
                <w:b/>
                <w:sz w:val="18"/>
              </w:rPr>
            </w:pPr>
            <w:r>
              <w:rPr>
                <w:b/>
                <w:sz w:val="18"/>
              </w:rPr>
              <w:t>Approved</w:t>
            </w:r>
          </w:p>
          <w:p w:rsidR="007C5447" w:rsidRDefault="00F6308C">
            <w:pPr>
              <w:pStyle w:val="TableParagraph"/>
              <w:spacing w:before="5" w:line="206" w:lineRule="exact"/>
              <w:ind w:left="490" w:right="198" w:hanging="267"/>
              <w:jc w:val="left"/>
              <w:rPr>
                <w:b/>
                <w:sz w:val="18"/>
              </w:rPr>
            </w:pPr>
            <w:r>
              <w:rPr>
                <w:b/>
                <w:sz w:val="18"/>
              </w:rPr>
              <w:t>after true up</w:t>
            </w:r>
          </w:p>
        </w:tc>
        <w:tc>
          <w:tcPr>
            <w:tcW w:w="768" w:type="dxa"/>
            <w:shd w:val="clear" w:color="auto" w:fill="FBD4B4"/>
          </w:tcPr>
          <w:p w:rsidR="007C5447" w:rsidRDefault="00F6308C">
            <w:pPr>
              <w:pStyle w:val="TableParagraph"/>
              <w:spacing w:before="96"/>
              <w:ind w:left="163"/>
              <w:jc w:val="left"/>
              <w:rPr>
                <w:b/>
                <w:sz w:val="20"/>
              </w:rPr>
            </w:pPr>
            <w:r>
              <w:rPr>
                <w:b/>
                <w:sz w:val="20"/>
              </w:rPr>
              <w:t>SMT</w:t>
            </w:r>
          </w:p>
          <w:p w:rsidR="007C5447" w:rsidRDefault="00F6308C">
            <w:pPr>
              <w:pStyle w:val="TableParagraph"/>
              <w:ind w:left="113"/>
              <w:jc w:val="left"/>
              <w:rPr>
                <w:b/>
                <w:sz w:val="20"/>
              </w:rPr>
            </w:pPr>
            <w:r>
              <w:rPr>
                <w:b/>
                <w:sz w:val="20"/>
              </w:rPr>
              <w:t>Order</w:t>
            </w:r>
          </w:p>
        </w:tc>
        <w:tc>
          <w:tcPr>
            <w:tcW w:w="840" w:type="dxa"/>
            <w:shd w:val="clear" w:color="auto" w:fill="FBD4B4"/>
          </w:tcPr>
          <w:p w:rsidR="007C5447" w:rsidRDefault="00F6308C">
            <w:pPr>
              <w:pStyle w:val="TableParagraph"/>
              <w:spacing w:before="96"/>
              <w:ind w:left="125" w:right="107"/>
              <w:jc w:val="left"/>
              <w:rPr>
                <w:b/>
                <w:sz w:val="20"/>
              </w:rPr>
            </w:pPr>
            <w:r>
              <w:rPr>
                <w:b/>
                <w:sz w:val="20"/>
              </w:rPr>
              <w:t>TANG EDCO</w:t>
            </w:r>
          </w:p>
        </w:tc>
        <w:tc>
          <w:tcPr>
            <w:tcW w:w="1185" w:type="dxa"/>
            <w:shd w:val="clear" w:color="auto" w:fill="FBD4B4"/>
          </w:tcPr>
          <w:p w:rsidR="007C5447" w:rsidRDefault="00F6308C">
            <w:pPr>
              <w:pStyle w:val="TableParagraph"/>
              <w:spacing w:before="14"/>
              <w:ind w:left="224" w:hanging="17"/>
              <w:jc w:val="left"/>
              <w:rPr>
                <w:b/>
                <w:sz w:val="18"/>
              </w:rPr>
            </w:pPr>
            <w:r>
              <w:rPr>
                <w:b/>
                <w:sz w:val="18"/>
              </w:rPr>
              <w:t>Approved</w:t>
            </w:r>
          </w:p>
          <w:p w:rsidR="007C5447" w:rsidRDefault="00F6308C">
            <w:pPr>
              <w:pStyle w:val="TableParagraph"/>
              <w:spacing w:before="5" w:line="206" w:lineRule="exact"/>
              <w:ind w:left="490" w:right="197" w:hanging="267"/>
              <w:jc w:val="left"/>
              <w:rPr>
                <w:b/>
                <w:sz w:val="18"/>
              </w:rPr>
            </w:pPr>
            <w:r>
              <w:rPr>
                <w:b/>
                <w:sz w:val="18"/>
              </w:rPr>
              <w:t>after true up</w:t>
            </w:r>
          </w:p>
        </w:tc>
        <w:tc>
          <w:tcPr>
            <w:tcW w:w="765" w:type="dxa"/>
            <w:shd w:val="clear" w:color="auto" w:fill="FBD4B4"/>
          </w:tcPr>
          <w:p w:rsidR="007C5447" w:rsidRDefault="00F6308C">
            <w:pPr>
              <w:pStyle w:val="TableParagraph"/>
              <w:spacing w:before="96"/>
              <w:ind w:left="164"/>
              <w:jc w:val="left"/>
              <w:rPr>
                <w:b/>
                <w:sz w:val="20"/>
              </w:rPr>
            </w:pPr>
            <w:r>
              <w:rPr>
                <w:b/>
                <w:sz w:val="20"/>
              </w:rPr>
              <w:t>SMT</w:t>
            </w:r>
          </w:p>
          <w:p w:rsidR="007C5447" w:rsidRDefault="00F6308C">
            <w:pPr>
              <w:pStyle w:val="TableParagraph"/>
              <w:ind w:left="114"/>
              <w:jc w:val="left"/>
              <w:rPr>
                <w:b/>
                <w:sz w:val="20"/>
              </w:rPr>
            </w:pPr>
            <w:r>
              <w:rPr>
                <w:b/>
                <w:sz w:val="20"/>
              </w:rPr>
              <w:t>Order</w:t>
            </w:r>
          </w:p>
        </w:tc>
        <w:tc>
          <w:tcPr>
            <w:tcW w:w="842" w:type="dxa"/>
            <w:shd w:val="clear" w:color="auto" w:fill="FBD4B4"/>
          </w:tcPr>
          <w:p w:rsidR="007C5447" w:rsidRDefault="00F6308C">
            <w:pPr>
              <w:pStyle w:val="TableParagraph"/>
              <w:spacing w:before="96"/>
              <w:ind w:left="129" w:right="105"/>
              <w:jc w:val="left"/>
              <w:rPr>
                <w:b/>
                <w:sz w:val="20"/>
              </w:rPr>
            </w:pPr>
            <w:r>
              <w:rPr>
                <w:b/>
                <w:sz w:val="20"/>
              </w:rPr>
              <w:t>TANG EDCO</w:t>
            </w:r>
          </w:p>
        </w:tc>
        <w:tc>
          <w:tcPr>
            <w:tcW w:w="1185" w:type="dxa"/>
            <w:shd w:val="clear" w:color="auto" w:fill="FBD4B4"/>
          </w:tcPr>
          <w:p w:rsidR="007C5447" w:rsidRDefault="00F6308C">
            <w:pPr>
              <w:pStyle w:val="TableParagraph"/>
              <w:spacing w:before="14"/>
              <w:ind w:left="226" w:hanging="17"/>
              <w:jc w:val="left"/>
              <w:rPr>
                <w:b/>
                <w:sz w:val="18"/>
              </w:rPr>
            </w:pPr>
            <w:r>
              <w:rPr>
                <w:b/>
                <w:sz w:val="18"/>
              </w:rPr>
              <w:t>Approved</w:t>
            </w:r>
          </w:p>
          <w:p w:rsidR="007C5447" w:rsidRDefault="00F6308C">
            <w:pPr>
              <w:pStyle w:val="TableParagraph"/>
              <w:spacing w:before="5" w:line="206" w:lineRule="exact"/>
              <w:ind w:left="492" w:right="195" w:hanging="267"/>
              <w:jc w:val="left"/>
              <w:rPr>
                <w:b/>
                <w:sz w:val="18"/>
              </w:rPr>
            </w:pPr>
            <w:r>
              <w:rPr>
                <w:b/>
                <w:sz w:val="18"/>
              </w:rPr>
              <w:t>after true up</w:t>
            </w:r>
          </w:p>
        </w:tc>
      </w:tr>
      <w:tr w:rsidR="007C5447">
        <w:trPr>
          <w:trHeight w:val="720"/>
        </w:trPr>
        <w:tc>
          <w:tcPr>
            <w:tcW w:w="1040" w:type="dxa"/>
          </w:tcPr>
          <w:p w:rsidR="007C5447" w:rsidRDefault="00F6308C">
            <w:pPr>
              <w:pStyle w:val="TableParagraph"/>
              <w:spacing w:before="17"/>
              <w:ind w:left="108" w:right="435"/>
              <w:jc w:val="left"/>
              <w:rPr>
                <w:sz w:val="20"/>
              </w:rPr>
            </w:pPr>
            <w:r>
              <w:rPr>
                <w:sz w:val="20"/>
              </w:rPr>
              <w:t>Non- Tariff</w:t>
            </w:r>
          </w:p>
          <w:p w:rsidR="007C5447" w:rsidRDefault="00F6308C">
            <w:pPr>
              <w:pStyle w:val="TableParagraph"/>
              <w:spacing w:line="223" w:lineRule="exact"/>
              <w:ind w:left="108"/>
              <w:jc w:val="left"/>
              <w:rPr>
                <w:sz w:val="20"/>
              </w:rPr>
            </w:pPr>
            <w:r>
              <w:rPr>
                <w:sz w:val="20"/>
              </w:rPr>
              <w:t>Income</w:t>
            </w:r>
          </w:p>
        </w:tc>
        <w:tc>
          <w:tcPr>
            <w:tcW w:w="766" w:type="dxa"/>
          </w:tcPr>
          <w:p w:rsidR="007C5447" w:rsidRDefault="00F6308C">
            <w:pPr>
              <w:pStyle w:val="TableParagraph"/>
              <w:spacing w:before="130"/>
              <w:ind w:left="102" w:right="96"/>
              <w:jc w:val="center"/>
              <w:rPr>
                <w:sz w:val="20"/>
              </w:rPr>
            </w:pPr>
            <w:r>
              <w:rPr>
                <w:sz w:val="20"/>
              </w:rPr>
              <w:t>553.0</w:t>
            </w:r>
          </w:p>
          <w:p w:rsidR="007C5447" w:rsidRDefault="00F6308C">
            <w:pPr>
              <w:pStyle w:val="TableParagraph"/>
              <w:ind w:left="4"/>
              <w:jc w:val="center"/>
              <w:rPr>
                <w:sz w:val="20"/>
              </w:rPr>
            </w:pPr>
            <w:r>
              <w:rPr>
                <w:w w:val="99"/>
                <w:sz w:val="20"/>
              </w:rPr>
              <w:t>0</w:t>
            </w:r>
          </w:p>
        </w:tc>
        <w:tc>
          <w:tcPr>
            <w:tcW w:w="841" w:type="dxa"/>
          </w:tcPr>
          <w:p w:rsidR="007C5447" w:rsidRDefault="007C5447">
            <w:pPr>
              <w:pStyle w:val="TableParagraph"/>
              <w:spacing w:before="3"/>
              <w:jc w:val="left"/>
              <w:rPr>
                <w:b/>
                <w:sz w:val="21"/>
              </w:rPr>
            </w:pPr>
          </w:p>
          <w:p w:rsidR="007C5447" w:rsidRDefault="00F6308C">
            <w:pPr>
              <w:pStyle w:val="TableParagraph"/>
              <w:ind w:left="122" w:right="118"/>
              <w:jc w:val="center"/>
              <w:rPr>
                <w:sz w:val="20"/>
              </w:rPr>
            </w:pPr>
            <w:r>
              <w:rPr>
                <w:sz w:val="20"/>
              </w:rPr>
              <w:t>553.00</w:t>
            </w:r>
          </w:p>
        </w:tc>
        <w:tc>
          <w:tcPr>
            <w:tcW w:w="1186" w:type="dxa"/>
          </w:tcPr>
          <w:p w:rsidR="007C5447" w:rsidRDefault="007C5447">
            <w:pPr>
              <w:pStyle w:val="TableParagraph"/>
              <w:spacing w:before="3"/>
              <w:jc w:val="left"/>
              <w:rPr>
                <w:b/>
                <w:sz w:val="21"/>
              </w:rPr>
            </w:pPr>
          </w:p>
          <w:p w:rsidR="007C5447" w:rsidRDefault="00F6308C">
            <w:pPr>
              <w:pStyle w:val="TableParagraph"/>
              <w:ind w:left="315"/>
              <w:jc w:val="left"/>
              <w:rPr>
                <w:sz w:val="20"/>
              </w:rPr>
            </w:pPr>
            <w:r>
              <w:rPr>
                <w:sz w:val="20"/>
              </w:rPr>
              <w:t>553.01</w:t>
            </w:r>
          </w:p>
        </w:tc>
        <w:tc>
          <w:tcPr>
            <w:tcW w:w="768" w:type="dxa"/>
          </w:tcPr>
          <w:p w:rsidR="007C5447" w:rsidRDefault="007C5447">
            <w:pPr>
              <w:pStyle w:val="TableParagraph"/>
              <w:spacing w:before="3"/>
              <w:jc w:val="left"/>
              <w:rPr>
                <w:b/>
                <w:sz w:val="21"/>
              </w:rPr>
            </w:pPr>
          </w:p>
          <w:p w:rsidR="007C5447" w:rsidRDefault="00F6308C">
            <w:pPr>
              <w:pStyle w:val="TableParagraph"/>
              <w:ind w:right="99"/>
              <w:rPr>
                <w:sz w:val="20"/>
              </w:rPr>
            </w:pPr>
            <w:r>
              <w:rPr>
                <w:w w:val="95"/>
                <w:sz w:val="20"/>
              </w:rPr>
              <w:t>936.00</w:t>
            </w:r>
          </w:p>
        </w:tc>
        <w:tc>
          <w:tcPr>
            <w:tcW w:w="840" w:type="dxa"/>
          </w:tcPr>
          <w:p w:rsidR="007C5447" w:rsidRDefault="007C5447">
            <w:pPr>
              <w:pStyle w:val="TableParagraph"/>
              <w:spacing w:before="3"/>
              <w:jc w:val="left"/>
              <w:rPr>
                <w:b/>
                <w:sz w:val="21"/>
              </w:rPr>
            </w:pPr>
          </w:p>
          <w:p w:rsidR="007C5447" w:rsidRDefault="00F6308C">
            <w:pPr>
              <w:pStyle w:val="TableParagraph"/>
              <w:ind w:right="138"/>
              <w:rPr>
                <w:sz w:val="20"/>
              </w:rPr>
            </w:pPr>
            <w:r>
              <w:rPr>
                <w:w w:val="95"/>
                <w:sz w:val="20"/>
              </w:rPr>
              <w:t>935.80</w:t>
            </w:r>
          </w:p>
        </w:tc>
        <w:tc>
          <w:tcPr>
            <w:tcW w:w="1185" w:type="dxa"/>
          </w:tcPr>
          <w:p w:rsidR="007C5447" w:rsidRDefault="007C5447">
            <w:pPr>
              <w:pStyle w:val="TableParagraph"/>
              <w:spacing w:before="3"/>
              <w:jc w:val="left"/>
              <w:rPr>
                <w:b/>
                <w:sz w:val="21"/>
              </w:rPr>
            </w:pPr>
          </w:p>
          <w:p w:rsidR="007C5447" w:rsidRDefault="00F6308C">
            <w:pPr>
              <w:pStyle w:val="TableParagraph"/>
              <w:ind w:left="174" w:right="169"/>
              <w:jc w:val="center"/>
              <w:rPr>
                <w:sz w:val="20"/>
              </w:rPr>
            </w:pPr>
            <w:r>
              <w:rPr>
                <w:sz w:val="20"/>
              </w:rPr>
              <w:t>935.81</w:t>
            </w:r>
          </w:p>
        </w:tc>
        <w:tc>
          <w:tcPr>
            <w:tcW w:w="765" w:type="dxa"/>
          </w:tcPr>
          <w:p w:rsidR="007C5447" w:rsidRDefault="007C5447">
            <w:pPr>
              <w:pStyle w:val="TableParagraph"/>
              <w:spacing w:before="3"/>
              <w:jc w:val="left"/>
              <w:rPr>
                <w:b/>
                <w:sz w:val="21"/>
              </w:rPr>
            </w:pPr>
          </w:p>
          <w:p w:rsidR="007C5447" w:rsidRDefault="00F6308C">
            <w:pPr>
              <w:pStyle w:val="TableParagraph"/>
              <w:ind w:right="95"/>
              <w:rPr>
                <w:sz w:val="20"/>
              </w:rPr>
            </w:pPr>
            <w:r>
              <w:rPr>
                <w:w w:val="95"/>
                <w:sz w:val="20"/>
              </w:rPr>
              <w:t>822.00</w:t>
            </w:r>
          </w:p>
        </w:tc>
        <w:tc>
          <w:tcPr>
            <w:tcW w:w="842" w:type="dxa"/>
          </w:tcPr>
          <w:p w:rsidR="007C5447" w:rsidRDefault="007C5447">
            <w:pPr>
              <w:pStyle w:val="TableParagraph"/>
              <w:spacing w:before="3"/>
              <w:jc w:val="left"/>
              <w:rPr>
                <w:b/>
                <w:sz w:val="21"/>
              </w:rPr>
            </w:pPr>
          </w:p>
          <w:p w:rsidR="007C5447" w:rsidRDefault="00F6308C">
            <w:pPr>
              <w:pStyle w:val="TableParagraph"/>
              <w:ind w:right="136"/>
              <w:rPr>
                <w:sz w:val="20"/>
              </w:rPr>
            </w:pPr>
            <w:r>
              <w:rPr>
                <w:w w:val="95"/>
                <w:sz w:val="20"/>
              </w:rPr>
              <w:t>822.16</w:t>
            </w:r>
          </w:p>
        </w:tc>
        <w:tc>
          <w:tcPr>
            <w:tcW w:w="1185" w:type="dxa"/>
          </w:tcPr>
          <w:p w:rsidR="007C5447" w:rsidRDefault="007C5447">
            <w:pPr>
              <w:pStyle w:val="TableParagraph"/>
              <w:spacing w:before="3"/>
              <w:jc w:val="left"/>
              <w:rPr>
                <w:b/>
                <w:sz w:val="21"/>
              </w:rPr>
            </w:pPr>
          </w:p>
          <w:p w:rsidR="007C5447" w:rsidRDefault="00F6308C">
            <w:pPr>
              <w:pStyle w:val="TableParagraph"/>
              <w:ind w:left="179" w:right="169"/>
              <w:jc w:val="center"/>
              <w:rPr>
                <w:sz w:val="20"/>
              </w:rPr>
            </w:pPr>
            <w:r>
              <w:rPr>
                <w:sz w:val="20"/>
              </w:rPr>
              <w:t>822.32</w:t>
            </w:r>
          </w:p>
        </w:tc>
      </w:tr>
      <w:tr w:rsidR="007C5447">
        <w:trPr>
          <w:trHeight w:val="491"/>
        </w:trPr>
        <w:tc>
          <w:tcPr>
            <w:tcW w:w="1040" w:type="dxa"/>
          </w:tcPr>
          <w:p w:rsidR="007C5447" w:rsidRDefault="00F6308C">
            <w:pPr>
              <w:pStyle w:val="TableParagraph"/>
              <w:spacing w:before="17" w:line="230" w:lineRule="atLeast"/>
              <w:ind w:left="108" w:right="96"/>
              <w:jc w:val="left"/>
              <w:rPr>
                <w:sz w:val="20"/>
              </w:rPr>
            </w:pPr>
            <w:r>
              <w:rPr>
                <w:sz w:val="20"/>
              </w:rPr>
              <w:t xml:space="preserve">Other </w:t>
            </w:r>
            <w:r>
              <w:rPr>
                <w:w w:val="95"/>
                <w:sz w:val="20"/>
              </w:rPr>
              <w:t>Income</w:t>
            </w:r>
          </w:p>
        </w:tc>
        <w:tc>
          <w:tcPr>
            <w:tcW w:w="766" w:type="dxa"/>
          </w:tcPr>
          <w:p w:rsidR="007C5447" w:rsidRDefault="00F6308C">
            <w:pPr>
              <w:pStyle w:val="TableParagraph"/>
              <w:spacing w:before="17"/>
              <w:ind w:left="102" w:right="96"/>
              <w:jc w:val="center"/>
              <w:rPr>
                <w:sz w:val="20"/>
              </w:rPr>
            </w:pPr>
            <w:r>
              <w:rPr>
                <w:sz w:val="20"/>
              </w:rPr>
              <w:t>251.9</w:t>
            </w:r>
          </w:p>
          <w:p w:rsidR="007C5447" w:rsidRDefault="00F6308C">
            <w:pPr>
              <w:pStyle w:val="TableParagraph"/>
              <w:spacing w:line="224" w:lineRule="exact"/>
              <w:ind w:left="4"/>
              <w:jc w:val="center"/>
              <w:rPr>
                <w:sz w:val="20"/>
              </w:rPr>
            </w:pPr>
            <w:r>
              <w:rPr>
                <w:w w:val="99"/>
                <w:sz w:val="20"/>
              </w:rPr>
              <w:t>3</w:t>
            </w:r>
          </w:p>
        </w:tc>
        <w:tc>
          <w:tcPr>
            <w:tcW w:w="841" w:type="dxa"/>
          </w:tcPr>
          <w:p w:rsidR="007C5447" w:rsidRDefault="00F6308C">
            <w:pPr>
              <w:pStyle w:val="TableParagraph"/>
              <w:spacing w:before="132"/>
              <w:ind w:left="122" w:right="118"/>
              <w:jc w:val="center"/>
              <w:rPr>
                <w:sz w:val="20"/>
              </w:rPr>
            </w:pPr>
            <w:r>
              <w:rPr>
                <w:sz w:val="20"/>
              </w:rPr>
              <w:t>263.92</w:t>
            </w:r>
          </w:p>
        </w:tc>
        <w:tc>
          <w:tcPr>
            <w:tcW w:w="1186" w:type="dxa"/>
          </w:tcPr>
          <w:p w:rsidR="007C5447" w:rsidRDefault="00F6308C">
            <w:pPr>
              <w:pStyle w:val="TableParagraph"/>
              <w:spacing w:before="132"/>
              <w:ind w:left="315"/>
              <w:jc w:val="left"/>
              <w:rPr>
                <w:sz w:val="20"/>
              </w:rPr>
            </w:pPr>
            <w:r>
              <w:rPr>
                <w:sz w:val="20"/>
              </w:rPr>
              <w:t>271.38</w:t>
            </w:r>
          </w:p>
        </w:tc>
        <w:tc>
          <w:tcPr>
            <w:tcW w:w="768" w:type="dxa"/>
          </w:tcPr>
          <w:p w:rsidR="007C5447" w:rsidRDefault="00F6308C">
            <w:pPr>
              <w:pStyle w:val="TableParagraph"/>
              <w:spacing w:before="132"/>
              <w:ind w:right="99"/>
              <w:rPr>
                <w:sz w:val="20"/>
              </w:rPr>
            </w:pPr>
            <w:r>
              <w:rPr>
                <w:w w:val="95"/>
                <w:sz w:val="20"/>
              </w:rPr>
              <w:t>337.33</w:t>
            </w:r>
          </w:p>
        </w:tc>
        <w:tc>
          <w:tcPr>
            <w:tcW w:w="840" w:type="dxa"/>
          </w:tcPr>
          <w:p w:rsidR="007C5447" w:rsidRDefault="00F6308C">
            <w:pPr>
              <w:pStyle w:val="TableParagraph"/>
              <w:spacing w:before="132"/>
              <w:ind w:right="138"/>
              <w:rPr>
                <w:sz w:val="20"/>
              </w:rPr>
            </w:pPr>
            <w:r>
              <w:rPr>
                <w:w w:val="95"/>
                <w:sz w:val="20"/>
              </w:rPr>
              <w:t>313.02</w:t>
            </w:r>
          </w:p>
        </w:tc>
        <w:tc>
          <w:tcPr>
            <w:tcW w:w="1185" w:type="dxa"/>
          </w:tcPr>
          <w:p w:rsidR="007C5447" w:rsidRDefault="00F6308C">
            <w:pPr>
              <w:pStyle w:val="TableParagraph"/>
              <w:spacing w:before="132"/>
              <w:ind w:left="174" w:right="169"/>
              <w:jc w:val="center"/>
              <w:rPr>
                <w:sz w:val="20"/>
              </w:rPr>
            </w:pPr>
            <w:r>
              <w:rPr>
                <w:sz w:val="20"/>
              </w:rPr>
              <w:t>321.54</w:t>
            </w:r>
          </w:p>
        </w:tc>
        <w:tc>
          <w:tcPr>
            <w:tcW w:w="765" w:type="dxa"/>
          </w:tcPr>
          <w:p w:rsidR="007C5447" w:rsidRDefault="00F6308C">
            <w:pPr>
              <w:pStyle w:val="TableParagraph"/>
              <w:spacing w:before="132"/>
              <w:ind w:right="95"/>
              <w:rPr>
                <w:sz w:val="20"/>
              </w:rPr>
            </w:pPr>
            <w:r>
              <w:rPr>
                <w:w w:val="95"/>
                <w:sz w:val="20"/>
              </w:rPr>
              <w:t>391.00</w:t>
            </w:r>
          </w:p>
        </w:tc>
        <w:tc>
          <w:tcPr>
            <w:tcW w:w="842" w:type="dxa"/>
          </w:tcPr>
          <w:p w:rsidR="007C5447" w:rsidRDefault="00F6308C">
            <w:pPr>
              <w:pStyle w:val="TableParagraph"/>
              <w:spacing w:before="132"/>
              <w:ind w:right="136"/>
              <w:rPr>
                <w:sz w:val="20"/>
              </w:rPr>
            </w:pPr>
            <w:r>
              <w:rPr>
                <w:w w:val="95"/>
                <w:sz w:val="20"/>
              </w:rPr>
              <w:t>384.70</w:t>
            </w:r>
          </w:p>
        </w:tc>
        <w:tc>
          <w:tcPr>
            <w:tcW w:w="1185" w:type="dxa"/>
          </w:tcPr>
          <w:p w:rsidR="007C5447" w:rsidRDefault="00F6308C">
            <w:pPr>
              <w:pStyle w:val="TableParagraph"/>
              <w:spacing w:before="132"/>
              <w:ind w:left="179" w:right="169"/>
              <w:jc w:val="center"/>
              <w:rPr>
                <w:sz w:val="20"/>
              </w:rPr>
            </w:pPr>
            <w:r>
              <w:rPr>
                <w:sz w:val="20"/>
              </w:rPr>
              <w:t>391.28</w:t>
            </w:r>
          </w:p>
        </w:tc>
      </w:tr>
      <w:tr w:rsidR="007C5447">
        <w:trPr>
          <w:trHeight w:val="489"/>
        </w:trPr>
        <w:tc>
          <w:tcPr>
            <w:tcW w:w="1040" w:type="dxa"/>
          </w:tcPr>
          <w:p w:rsidR="007C5447" w:rsidRDefault="007C5447">
            <w:pPr>
              <w:pStyle w:val="TableParagraph"/>
              <w:spacing w:before="3"/>
              <w:jc w:val="left"/>
              <w:rPr>
                <w:b/>
                <w:sz w:val="21"/>
              </w:rPr>
            </w:pPr>
          </w:p>
          <w:p w:rsidR="007C5447" w:rsidRDefault="00F6308C">
            <w:pPr>
              <w:pStyle w:val="TableParagraph"/>
              <w:spacing w:line="224" w:lineRule="exact"/>
              <w:ind w:left="108"/>
              <w:jc w:val="left"/>
              <w:rPr>
                <w:b/>
                <w:sz w:val="20"/>
              </w:rPr>
            </w:pPr>
            <w:r>
              <w:rPr>
                <w:b/>
                <w:sz w:val="20"/>
              </w:rPr>
              <w:t>Total</w:t>
            </w:r>
          </w:p>
        </w:tc>
        <w:tc>
          <w:tcPr>
            <w:tcW w:w="766" w:type="dxa"/>
          </w:tcPr>
          <w:p w:rsidR="007C5447" w:rsidRDefault="00F6308C">
            <w:pPr>
              <w:pStyle w:val="TableParagraph"/>
              <w:spacing w:before="14"/>
              <w:ind w:left="102" w:right="96"/>
              <w:jc w:val="center"/>
              <w:rPr>
                <w:b/>
                <w:sz w:val="20"/>
              </w:rPr>
            </w:pPr>
            <w:r>
              <w:rPr>
                <w:b/>
                <w:sz w:val="20"/>
              </w:rPr>
              <w:t>804.9</w:t>
            </w:r>
          </w:p>
          <w:p w:rsidR="007C5447" w:rsidRDefault="00F6308C">
            <w:pPr>
              <w:pStyle w:val="TableParagraph"/>
              <w:spacing w:before="1" w:line="224" w:lineRule="exact"/>
              <w:ind w:left="4"/>
              <w:jc w:val="center"/>
              <w:rPr>
                <w:b/>
                <w:sz w:val="20"/>
              </w:rPr>
            </w:pPr>
            <w:r>
              <w:rPr>
                <w:b/>
                <w:w w:val="99"/>
                <w:sz w:val="20"/>
              </w:rPr>
              <w:t>3</w:t>
            </w:r>
          </w:p>
        </w:tc>
        <w:tc>
          <w:tcPr>
            <w:tcW w:w="841" w:type="dxa"/>
          </w:tcPr>
          <w:p w:rsidR="007C5447" w:rsidRDefault="00F6308C">
            <w:pPr>
              <w:pStyle w:val="TableParagraph"/>
              <w:spacing w:before="130"/>
              <w:ind w:left="122" w:right="118"/>
              <w:jc w:val="center"/>
              <w:rPr>
                <w:b/>
                <w:sz w:val="20"/>
              </w:rPr>
            </w:pPr>
            <w:r>
              <w:rPr>
                <w:b/>
                <w:sz w:val="20"/>
              </w:rPr>
              <w:t>816.92</w:t>
            </w:r>
          </w:p>
        </w:tc>
        <w:tc>
          <w:tcPr>
            <w:tcW w:w="1186" w:type="dxa"/>
          </w:tcPr>
          <w:p w:rsidR="007C5447" w:rsidRDefault="00F6308C">
            <w:pPr>
              <w:pStyle w:val="TableParagraph"/>
              <w:spacing w:before="130"/>
              <w:ind w:left="315"/>
              <w:jc w:val="left"/>
              <w:rPr>
                <w:b/>
                <w:sz w:val="20"/>
              </w:rPr>
            </w:pPr>
            <w:r>
              <w:rPr>
                <w:b/>
                <w:sz w:val="20"/>
              </w:rPr>
              <w:t>824.39</w:t>
            </w:r>
          </w:p>
        </w:tc>
        <w:tc>
          <w:tcPr>
            <w:tcW w:w="768" w:type="dxa"/>
          </w:tcPr>
          <w:p w:rsidR="007C5447" w:rsidRDefault="00F6308C">
            <w:pPr>
              <w:pStyle w:val="TableParagraph"/>
              <w:spacing w:before="14"/>
              <w:ind w:left="110" w:right="108"/>
              <w:jc w:val="center"/>
              <w:rPr>
                <w:b/>
                <w:sz w:val="20"/>
              </w:rPr>
            </w:pPr>
            <w:r>
              <w:rPr>
                <w:b/>
                <w:sz w:val="20"/>
              </w:rPr>
              <w:t>1,273.</w:t>
            </w:r>
          </w:p>
          <w:p w:rsidR="007C5447" w:rsidRDefault="00F6308C">
            <w:pPr>
              <w:pStyle w:val="TableParagraph"/>
              <w:spacing w:before="1" w:line="224" w:lineRule="exact"/>
              <w:ind w:left="110" w:right="104"/>
              <w:jc w:val="center"/>
              <w:rPr>
                <w:b/>
                <w:sz w:val="20"/>
              </w:rPr>
            </w:pPr>
            <w:r>
              <w:rPr>
                <w:b/>
                <w:sz w:val="20"/>
              </w:rPr>
              <w:t>33</w:t>
            </w:r>
          </w:p>
        </w:tc>
        <w:tc>
          <w:tcPr>
            <w:tcW w:w="840" w:type="dxa"/>
          </w:tcPr>
          <w:p w:rsidR="007C5447" w:rsidRDefault="00F6308C">
            <w:pPr>
              <w:pStyle w:val="TableParagraph"/>
              <w:spacing w:before="14"/>
              <w:ind w:left="95" w:right="94"/>
              <w:jc w:val="center"/>
              <w:rPr>
                <w:b/>
                <w:sz w:val="20"/>
              </w:rPr>
            </w:pPr>
            <w:r>
              <w:rPr>
                <w:b/>
                <w:sz w:val="20"/>
              </w:rPr>
              <w:t>1,248.8</w:t>
            </w:r>
          </w:p>
          <w:p w:rsidR="007C5447" w:rsidRDefault="00F6308C">
            <w:pPr>
              <w:pStyle w:val="TableParagraph"/>
              <w:spacing w:before="1" w:line="224" w:lineRule="exact"/>
              <w:jc w:val="center"/>
              <w:rPr>
                <w:b/>
                <w:sz w:val="20"/>
              </w:rPr>
            </w:pPr>
            <w:r>
              <w:rPr>
                <w:b/>
                <w:w w:val="99"/>
                <w:sz w:val="20"/>
              </w:rPr>
              <w:t>2</w:t>
            </w:r>
          </w:p>
        </w:tc>
        <w:tc>
          <w:tcPr>
            <w:tcW w:w="1185" w:type="dxa"/>
          </w:tcPr>
          <w:p w:rsidR="007C5447" w:rsidRDefault="00F6308C">
            <w:pPr>
              <w:pStyle w:val="TableParagraph"/>
              <w:spacing w:before="130"/>
              <w:ind w:left="176" w:right="169"/>
              <w:jc w:val="center"/>
              <w:rPr>
                <w:b/>
                <w:sz w:val="20"/>
              </w:rPr>
            </w:pPr>
            <w:r>
              <w:rPr>
                <w:b/>
                <w:sz w:val="20"/>
              </w:rPr>
              <w:t>1,257.34</w:t>
            </w:r>
          </w:p>
        </w:tc>
        <w:tc>
          <w:tcPr>
            <w:tcW w:w="765" w:type="dxa"/>
          </w:tcPr>
          <w:p w:rsidR="007C5447" w:rsidRDefault="00F6308C">
            <w:pPr>
              <w:pStyle w:val="TableParagraph"/>
              <w:spacing w:before="14"/>
              <w:ind w:left="111" w:right="104"/>
              <w:jc w:val="center"/>
              <w:rPr>
                <w:b/>
                <w:sz w:val="20"/>
              </w:rPr>
            </w:pPr>
            <w:r>
              <w:rPr>
                <w:b/>
                <w:sz w:val="20"/>
              </w:rPr>
              <w:t>1,213.</w:t>
            </w:r>
          </w:p>
          <w:p w:rsidR="007C5447" w:rsidRDefault="00F6308C">
            <w:pPr>
              <w:pStyle w:val="TableParagraph"/>
              <w:spacing w:before="1" w:line="224" w:lineRule="exact"/>
              <w:ind w:left="111" w:right="100"/>
              <w:jc w:val="center"/>
              <w:rPr>
                <w:b/>
                <w:sz w:val="20"/>
              </w:rPr>
            </w:pPr>
            <w:r>
              <w:rPr>
                <w:b/>
                <w:sz w:val="20"/>
              </w:rPr>
              <w:t>00</w:t>
            </w:r>
          </w:p>
        </w:tc>
        <w:tc>
          <w:tcPr>
            <w:tcW w:w="842" w:type="dxa"/>
          </w:tcPr>
          <w:p w:rsidR="007C5447" w:rsidRDefault="00F6308C">
            <w:pPr>
              <w:pStyle w:val="TableParagraph"/>
              <w:spacing w:before="14"/>
              <w:ind w:left="99" w:right="92"/>
              <w:jc w:val="center"/>
              <w:rPr>
                <w:b/>
                <w:sz w:val="20"/>
              </w:rPr>
            </w:pPr>
            <w:r>
              <w:rPr>
                <w:b/>
                <w:sz w:val="20"/>
              </w:rPr>
              <w:t>1,206.8</w:t>
            </w:r>
          </w:p>
          <w:p w:rsidR="007C5447" w:rsidRDefault="00F6308C">
            <w:pPr>
              <w:pStyle w:val="TableParagraph"/>
              <w:spacing w:before="1" w:line="224" w:lineRule="exact"/>
              <w:ind w:left="7"/>
              <w:jc w:val="center"/>
              <w:rPr>
                <w:b/>
                <w:sz w:val="20"/>
              </w:rPr>
            </w:pPr>
            <w:r>
              <w:rPr>
                <w:b/>
                <w:w w:val="99"/>
                <w:sz w:val="20"/>
              </w:rPr>
              <w:t>6</w:t>
            </w:r>
          </w:p>
        </w:tc>
        <w:tc>
          <w:tcPr>
            <w:tcW w:w="1185" w:type="dxa"/>
          </w:tcPr>
          <w:p w:rsidR="007C5447" w:rsidRDefault="00F6308C">
            <w:pPr>
              <w:pStyle w:val="TableParagraph"/>
              <w:spacing w:before="130"/>
              <w:ind w:left="178" w:right="169"/>
              <w:jc w:val="center"/>
              <w:rPr>
                <w:b/>
                <w:sz w:val="20"/>
              </w:rPr>
            </w:pPr>
            <w:r>
              <w:rPr>
                <w:b/>
                <w:sz w:val="20"/>
              </w:rPr>
              <w:t>1213.60</w:t>
            </w:r>
          </w:p>
        </w:tc>
      </w:tr>
    </w:tbl>
    <w:p w:rsidR="007C5447" w:rsidRDefault="007C5447">
      <w:pPr>
        <w:pStyle w:val="BodyText"/>
        <w:spacing w:before="11"/>
        <w:rPr>
          <w:b/>
          <w:sz w:val="20"/>
        </w:rPr>
      </w:pPr>
    </w:p>
    <w:p w:rsidR="007C5447" w:rsidRDefault="00F6308C">
      <w:pPr>
        <w:spacing w:line="312" w:lineRule="auto"/>
        <w:ind w:left="3321" w:right="1366" w:hanging="2622"/>
        <w:rPr>
          <w:b/>
        </w:rPr>
      </w:pPr>
      <w:r>
        <w:rPr>
          <w:b/>
          <w:sz w:val="20"/>
        </w:rPr>
        <w:t xml:space="preserve">Table 3-37: </w:t>
      </w:r>
      <w:r>
        <w:rPr>
          <w:b/>
        </w:rPr>
        <w:t>Other Income and Non-Tariff Income approved by the Commission after true-up for FY 2014-15 and FY 2015-16 (Rs. Crore)</w:t>
      </w:r>
    </w:p>
    <w:p w:rsidR="007C5447" w:rsidRDefault="007C5447">
      <w:pPr>
        <w:pStyle w:val="BodyText"/>
        <w:spacing w:before="3" w:after="1"/>
        <w:rPr>
          <w:b/>
          <w:sz w:val="10"/>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7"/>
        <w:gridCol w:w="994"/>
        <w:gridCol w:w="1370"/>
        <w:gridCol w:w="1030"/>
        <w:gridCol w:w="1142"/>
        <w:gridCol w:w="1371"/>
        <w:gridCol w:w="1162"/>
      </w:tblGrid>
      <w:tr w:rsidR="007C5447">
        <w:trPr>
          <w:trHeight w:val="330"/>
        </w:trPr>
        <w:tc>
          <w:tcPr>
            <w:tcW w:w="1697" w:type="dxa"/>
            <w:vMerge w:val="restart"/>
            <w:shd w:val="clear" w:color="auto" w:fill="FBD4B4"/>
          </w:tcPr>
          <w:p w:rsidR="007C5447" w:rsidRDefault="007C5447">
            <w:pPr>
              <w:pStyle w:val="TableParagraph"/>
              <w:jc w:val="left"/>
              <w:rPr>
                <w:b/>
              </w:rPr>
            </w:pPr>
          </w:p>
          <w:p w:rsidR="007C5447" w:rsidRDefault="00F6308C">
            <w:pPr>
              <w:pStyle w:val="TableParagraph"/>
              <w:spacing w:before="129"/>
              <w:ind w:left="369"/>
              <w:jc w:val="left"/>
              <w:rPr>
                <w:b/>
                <w:sz w:val="20"/>
              </w:rPr>
            </w:pPr>
            <w:r>
              <w:rPr>
                <w:b/>
                <w:sz w:val="20"/>
              </w:rPr>
              <w:t>Particulars</w:t>
            </w:r>
          </w:p>
        </w:tc>
        <w:tc>
          <w:tcPr>
            <w:tcW w:w="3394" w:type="dxa"/>
            <w:gridSpan w:val="3"/>
            <w:shd w:val="clear" w:color="auto" w:fill="FBD4B4"/>
          </w:tcPr>
          <w:p w:rsidR="007C5447" w:rsidRDefault="00F6308C">
            <w:pPr>
              <w:pStyle w:val="TableParagraph"/>
              <w:spacing w:before="50"/>
              <w:ind w:left="1186" w:right="1174"/>
              <w:jc w:val="center"/>
              <w:rPr>
                <w:b/>
                <w:sz w:val="20"/>
              </w:rPr>
            </w:pPr>
            <w:r>
              <w:rPr>
                <w:b/>
                <w:sz w:val="20"/>
              </w:rPr>
              <w:t>FY 2014-15</w:t>
            </w:r>
          </w:p>
        </w:tc>
        <w:tc>
          <w:tcPr>
            <w:tcW w:w="3675" w:type="dxa"/>
            <w:gridSpan w:val="3"/>
            <w:shd w:val="clear" w:color="auto" w:fill="FBD4B4"/>
          </w:tcPr>
          <w:p w:rsidR="007C5447" w:rsidRDefault="00F6308C">
            <w:pPr>
              <w:pStyle w:val="TableParagraph"/>
              <w:spacing w:before="50"/>
              <w:ind w:left="1325" w:right="1316"/>
              <w:jc w:val="center"/>
              <w:rPr>
                <w:b/>
                <w:sz w:val="20"/>
              </w:rPr>
            </w:pPr>
            <w:r>
              <w:rPr>
                <w:b/>
                <w:sz w:val="20"/>
              </w:rPr>
              <w:t>FY 2015-16</w:t>
            </w:r>
          </w:p>
        </w:tc>
      </w:tr>
      <w:tr w:rsidR="007C5447">
        <w:trPr>
          <w:trHeight w:val="650"/>
        </w:trPr>
        <w:tc>
          <w:tcPr>
            <w:tcW w:w="1697" w:type="dxa"/>
            <w:vMerge/>
            <w:tcBorders>
              <w:top w:val="nil"/>
            </w:tcBorders>
            <w:shd w:val="clear" w:color="auto" w:fill="FBD4B4"/>
          </w:tcPr>
          <w:p w:rsidR="007C5447" w:rsidRDefault="007C5447">
            <w:pPr>
              <w:rPr>
                <w:sz w:val="2"/>
                <w:szCs w:val="2"/>
              </w:rPr>
            </w:pPr>
          </w:p>
        </w:tc>
        <w:tc>
          <w:tcPr>
            <w:tcW w:w="994" w:type="dxa"/>
            <w:shd w:val="clear" w:color="auto" w:fill="FBD4B4"/>
          </w:tcPr>
          <w:p w:rsidR="007C5447" w:rsidRDefault="00F6308C">
            <w:pPr>
              <w:pStyle w:val="TableParagraph"/>
              <w:spacing w:before="96"/>
              <w:ind w:left="277"/>
              <w:jc w:val="left"/>
              <w:rPr>
                <w:b/>
                <w:sz w:val="20"/>
              </w:rPr>
            </w:pPr>
            <w:r>
              <w:rPr>
                <w:b/>
                <w:sz w:val="20"/>
              </w:rPr>
              <w:t>SMT</w:t>
            </w:r>
          </w:p>
          <w:p w:rsidR="007C5447" w:rsidRDefault="00F6308C">
            <w:pPr>
              <w:pStyle w:val="TableParagraph"/>
              <w:ind w:left="229"/>
              <w:jc w:val="left"/>
              <w:rPr>
                <w:b/>
                <w:sz w:val="20"/>
              </w:rPr>
            </w:pPr>
            <w:r>
              <w:rPr>
                <w:b/>
                <w:sz w:val="20"/>
              </w:rPr>
              <w:t>Order</w:t>
            </w:r>
          </w:p>
        </w:tc>
        <w:tc>
          <w:tcPr>
            <w:tcW w:w="1370" w:type="dxa"/>
            <w:shd w:val="clear" w:color="auto" w:fill="FBD4B4"/>
          </w:tcPr>
          <w:p w:rsidR="007C5447" w:rsidRDefault="007C5447">
            <w:pPr>
              <w:pStyle w:val="TableParagraph"/>
              <w:spacing w:before="4"/>
              <w:jc w:val="left"/>
              <w:rPr>
                <w:b/>
                <w:sz w:val="18"/>
              </w:rPr>
            </w:pPr>
          </w:p>
          <w:p w:rsidR="007C5447" w:rsidRDefault="00F6308C">
            <w:pPr>
              <w:pStyle w:val="TableParagraph"/>
              <w:ind w:right="99"/>
              <w:rPr>
                <w:b/>
                <w:sz w:val="20"/>
              </w:rPr>
            </w:pPr>
            <w:r>
              <w:rPr>
                <w:b/>
                <w:w w:val="95"/>
                <w:sz w:val="20"/>
              </w:rPr>
              <w:t>TANGEDCO</w:t>
            </w:r>
          </w:p>
        </w:tc>
        <w:tc>
          <w:tcPr>
            <w:tcW w:w="1030" w:type="dxa"/>
            <w:shd w:val="clear" w:color="auto" w:fill="FBD4B4"/>
          </w:tcPr>
          <w:p w:rsidR="007C5447" w:rsidRDefault="00F6308C">
            <w:pPr>
              <w:pStyle w:val="TableParagraph"/>
              <w:spacing w:before="14"/>
              <w:ind w:left="148" w:hanging="20"/>
              <w:jc w:val="left"/>
              <w:rPr>
                <w:b/>
                <w:sz w:val="18"/>
              </w:rPr>
            </w:pPr>
            <w:r>
              <w:rPr>
                <w:b/>
                <w:sz w:val="18"/>
              </w:rPr>
              <w:t>Approved</w:t>
            </w:r>
          </w:p>
          <w:p w:rsidR="007C5447" w:rsidRDefault="00F6308C">
            <w:pPr>
              <w:pStyle w:val="TableParagraph"/>
              <w:spacing w:before="5" w:line="206" w:lineRule="exact"/>
              <w:ind w:left="415" w:right="117" w:hanging="267"/>
              <w:jc w:val="left"/>
              <w:rPr>
                <w:b/>
                <w:sz w:val="18"/>
              </w:rPr>
            </w:pPr>
            <w:r>
              <w:rPr>
                <w:b/>
                <w:sz w:val="18"/>
              </w:rPr>
              <w:t>after true up</w:t>
            </w:r>
          </w:p>
        </w:tc>
        <w:tc>
          <w:tcPr>
            <w:tcW w:w="1142" w:type="dxa"/>
            <w:shd w:val="clear" w:color="auto" w:fill="FBD4B4"/>
          </w:tcPr>
          <w:p w:rsidR="007C5447" w:rsidRDefault="007C5447">
            <w:pPr>
              <w:pStyle w:val="TableParagraph"/>
              <w:spacing w:before="4"/>
              <w:jc w:val="left"/>
              <w:rPr>
                <w:b/>
                <w:sz w:val="18"/>
              </w:rPr>
            </w:pPr>
          </w:p>
          <w:p w:rsidR="007C5447" w:rsidRDefault="00F6308C">
            <w:pPr>
              <w:pStyle w:val="TableParagraph"/>
              <w:ind w:left="201"/>
              <w:jc w:val="left"/>
              <w:rPr>
                <w:b/>
                <w:sz w:val="20"/>
              </w:rPr>
            </w:pPr>
            <w:r>
              <w:rPr>
                <w:b/>
                <w:sz w:val="20"/>
              </w:rPr>
              <w:t>TO 2013</w:t>
            </w:r>
          </w:p>
        </w:tc>
        <w:tc>
          <w:tcPr>
            <w:tcW w:w="1371" w:type="dxa"/>
            <w:shd w:val="clear" w:color="auto" w:fill="FBD4B4"/>
          </w:tcPr>
          <w:p w:rsidR="007C5447" w:rsidRDefault="007C5447">
            <w:pPr>
              <w:pStyle w:val="TableParagraph"/>
              <w:spacing w:before="4"/>
              <w:jc w:val="left"/>
              <w:rPr>
                <w:b/>
                <w:sz w:val="18"/>
              </w:rPr>
            </w:pPr>
          </w:p>
          <w:p w:rsidR="007C5447" w:rsidRDefault="00F6308C">
            <w:pPr>
              <w:pStyle w:val="TableParagraph"/>
              <w:ind w:right="97"/>
              <w:rPr>
                <w:b/>
                <w:sz w:val="20"/>
              </w:rPr>
            </w:pPr>
            <w:r>
              <w:rPr>
                <w:b/>
                <w:w w:val="95"/>
                <w:sz w:val="20"/>
              </w:rPr>
              <w:t>TANGEDCO</w:t>
            </w:r>
          </w:p>
        </w:tc>
        <w:tc>
          <w:tcPr>
            <w:tcW w:w="1162" w:type="dxa"/>
            <w:shd w:val="clear" w:color="auto" w:fill="FBD4B4"/>
          </w:tcPr>
          <w:p w:rsidR="007C5447" w:rsidRDefault="00F6308C">
            <w:pPr>
              <w:pStyle w:val="TableParagraph"/>
              <w:spacing w:before="14"/>
              <w:ind w:left="214" w:hanging="20"/>
              <w:jc w:val="left"/>
              <w:rPr>
                <w:b/>
                <w:sz w:val="18"/>
              </w:rPr>
            </w:pPr>
            <w:r>
              <w:rPr>
                <w:b/>
                <w:sz w:val="18"/>
              </w:rPr>
              <w:t>Approved</w:t>
            </w:r>
          </w:p>
          <w:p w:rsidR="007C5447" w:rsidRDefault="00F6308C">
            <w:pPr>
              <w:pStyle w:val="TableParagraph"/>
              <w:spacing w:before="5" w:line="206" w:lineRule="exact"/>
              <w:ind w:left="480" w:right="184" w:hanging="267"/>
              <w:jc w:val="left"/>
              <w:rPr>
                <w:b/>
                <w:sz w:val="18"/>
              </w:rPr>
            </w:pPr>
            <w:r>
              <w:rPr>
                <w:b/>
                <w:sz w:val="18"/>
              </w:rPr>
              <w:t>after true up</w:t>
            </w:r>
          </w:p>
        </w:tc>
      </w:tr>
      <w:tr w:rsidR="007C5447">
        <w:trPr>
          <w:trHeight w:val="492"/>
        </w:trPr>
        <w:tc>
          <w:tcPr>
            <w:tcW w:w="1697" w:type="dxa"/>
          </w:tcPr>
          <w:p w:rsidR="007C5447" w:rsidRDefault="00F6308C">
            <w:pPr>
              <w:pStyle w:val="TableParagraph"/>
              <w:spacing w:before="21" w:line="228" w:lineRule="exact"/>
              <w:ind w:left="107" w:right="682"/>
              <w:jc w:val="left"/>
              <w:rPr>
                <w:sz w:val="20"/>
              </w:rPr>
            </w:pPr>
            <w:r>
              <w:rPr>
                <w:sz w:val="20"/>
              </w:rPr>
              <w:t>Non-Tariff Income</w:t>
            </w:r>
          </w:p>
        </w:tc>
        <w:tc>
          <w:tcPr>
            <w:tcW w:w="994" w:type="dxa"/>
          </w:tcPr>
          <w:p w:rsidR="007C5447" w:rsidRDefault="00F6308C">
            <w:pPr>
              <w:pStyle w:val="TableParagraph"/>
              <w:spacing w:before="133"/>
              <w:ind w:right="98"/>
              <w:rPr>
                <w:sz w:val="20"/>
              </w:rPr>
            </w:pPr>
            <w:r>
              <w:rPr>
                <w:w w:val="95"/>
                <w:sz w:val="20"/>
              </w:rPr>
              <w:t>680.00</w:t>
            </w:r>
          </w:p>
        </w:tc>
        <w:tc>
          <w:tcPr>
            <w:tcW w:w="1370" w:type="dxa"/>
          </w:tcPr>
          <w:p w:rsidR="007C5447" w:rsidRDefault="00F6308C">
            <w:pPr>
              <w:pStyle w:val="TableParagraph"/>
              <w:spacing w:before="133"/>
              <w:ind w:right="97"/>
              <w:rPr>
                <w:sz w:val="20"/>
              </w:rPr>
            </w:pPr>
            <w:r>
              <w:rPr>
                <w:w w:val="95"/>
                <w:sz w:val="20"/>
              </w:rPr>
              <w:t>852.97</w:t>
            </w:r>
          </w:p>
        </w:tc>
        <w:tc>
          <w:tcPr>
            <w:tcW w:w="1030" w:type="dxa"/>
          </w:tcPr>
          <w:p w:rsidR="007C5447" w:rsidRDefault="00F6308C">
            <w:pPr>
              <w:pStyle w:val="TableParagraph"/>
              <w:spacing w:before="133"/>
              <w:ind w:right="98"/>
              <w:rPr>
                <w:sz w:val="20"/>
              </w:rPr>
            </w:pPr>
            <w:r>
              <w:rPr>
                <w:w w:val="95"/>
                <w:sz w:val="20"/>
              </w:rPr>
              <w:t>852.97</w:t>
            </w:r>
          </w:p>
        </w:tc>
        <w:tc>
          <w:tcPr>
            <w:tcW w:w="1142" w:type="dxa"/>
          </w:tcPr>
          <w:p w:rsidR="007C5447" w:rsidRDefault="00F6308C">
            <w:pPr>
              <w:pStyle w:val="TableParagraph"/>
              <w:spacing w:before="133"/>
              <w:ind w:right="95"/>
              <w:rPr>
                <w:sz w:val="20"/>
              </w:rPr>
            </w:pPr>
            <w:r>
              <w:rPr>
                <w:w w:val="95"/>
                <w:sz w:val="20"/>
              </w:rPr>
              <w:t>728.70</w:t>
            </w:r>
          </w:p>
        </w:tc>
        <w:tc>
          <w:tcPr>
            <w:tcW w:w="1371" w:type="dxa"/>
          </w:tcPr>
          <w:p w:rsidR="007C5447" w:rsidRDefault="00F6308C">
            <w:pPr>
              <w:pStyle w:val="TableParagraph"/>
              <w:spacing w:before="133"/>
              <w:ind w:right="95"/>
              <w:rPr>
                <w:sz w:val="20"/>
              </w:rPr>
            </w:pPr>
            <w:r>
              <w:rPr>
                <w:w w:val="95"/>
                <w:sz w:val="20"/>
              </w:rPr>
              <w:t>780.86</w:t>
            </w:r>
          </w:p>
        </w:tc>
        <w:tc>
          <w:tcPr>
            <w:tcW w:w="1162" w:type="dxa"/>
          </w:tcPr>
          <w:p w:rsidR="007C5447" w:rsidRDefault="00F6308C">
            <w:pPr>
              <w:pStyle w:val="TableParagraph"/>
              <w:spacing w:before="133"/>
              <w:ind w:right="100"/>
              <w:rPr>
                <w:sz w:val="20"/>
              </w:rPr>
            </w:pPr>
            <w:r>
              <w:rPr>
                <w:w w:val="95"/>
                <w:sz w:val="20"/>
              </w:rPr>
              <w:t>780.86</w:t>
            </w:r>
          </w:p>
        </w:tc>
      </w:tr>
      <w:tr w:rsidR="007C5447">
        <w:trPr>
          <w:trHeight w:val="328"/>
        </w:trPr>
        <w:tc>
          <w:tcPr>
            <w:tcW w:w="1697" w:type="dxa"/>
          </w:tcPr>
          <w:p w:rsidR="007C5447" w:rsidRDefault="00F6308C">
            <w:pPr>
              <w:pStyle w:val="TableParagraph"/>
              <w:spacing w:before="84" w:line="224" w:lineRule="exact"/>
              <w:ind w:left="107"/>
              <w:jc w:val="left"/>
              <w:rPr>
                <w:sz w:val="20"/>
              </w:rPr>
            </w:pPr>
            <w:r>
              <w:rPr>
                <w:sz w:val="20"/>
              </w:rPr>
              <w:t>Other Income</w:t>
            </w:r>
          </w:p>
        </w:tc>
        <w:tc>
          <w:tcPr>
            <w:tcW w:w="994" w:type="dxa"/>
          </w:tcPr>
          <w:p w:rsidR="007C5447" w:rsidRDefault="00F6308C">
            <w:pPr>
              <w:pStyle w:val="TableParagraph"/>
              <w:spacing w:before="50"/>
              <w:ind w:right="98"/>
              <w:rPr>
                <w:sz w:val="20"/>
              </w:rPr>
            </w:pPr>
            <w:r>
              <w:rPr>
                <w:w w:val="95"/>
                <w:sz w:val="20"/>
              </w:rPr>
              <w:t>297.76</w:t>
            </w:r>
          </w:p>
        </w:tc>
        <w:tc>
          <w:tcPr>
            <w:tcW w:w="1370" w:type="dxa"/>
          </w:tcPr>
          <w:p w:rsidR="007C5447" w:rsidRDefault="00F6308C">
            <w:pPr>
              <w:pStyle w:val="TableParagraph"/>
              <w:spacing w:before="50"/>
              <w:ind w:right="97"/>
              <w:rPr>
                <w:sz w:val="20"/>
              </w:rPr>
            </w:pPr>
            <w:r>
              <w:rPr>
                <w:w w:val="95"/>
                <w:sz w:val="20"/>
              </w:rPr>
              <w:t>477.17</w:t>
            </w:r>
          </w:p>
        </w:tc>
        <w:tc>
          <w:tcPr>
            <w:tcW w:w="1030" w:type="dxa"/>
          </w:tcPr>
          <w:p w:rsidR="007C5447" w:rsidRDefault="00F6308C">
            <w:pPr>
              <w:pStyle w:val="TableParagraph"/>
              <w:spacing w:before="50"/>
              <w:ind w:right="95"/>
              <w:rPr>
                <w:sz w:val="20"/>
              </w:rPr>
            </w:pPr>
            <w:r>
              <w:rPr>
                <w:w w:val="95"/>
                <w:sz w:val="20"/>
              </w:rPr>
              <w:t>481.87</w:t>
            </w:r>
          </w:p>
        </w:tc>
        <w:tc>
          <w:tcPr>
            <w:tcW w:w="1142" w:type="dxa"/>
          </w:tcPr>
          <w:p w:rsidR="007C5447" w:rsidRDefault="00F6308C">
            <w:pPr>
              <w:pStyle w:val="TableParagraph"/>
              <w:spacing w:before="50"/>
              <w:ind w:right="95"/>
              <w:rPr>
                <w:sz w:val="20"/>
              </w:rPr>
            </w:pPr>
            <w:r>
              <w:rPr>
                <w:w w:val="95"/>
                <w:sz w:val="20"/>
              </w:rPr>
              <w:t>521.36</w:t>
            </w:r>
          </w:p>
        </w:tc>
        <w:tc>
          <w:tcPr>
            <w:tcW w:w="1371" w:type="dxa"/>
          </w:tcPr>
          <w:p w:rsidR="007C5447" w:rsidRDefault="00F6308C">
            <w:pPr>
              <w:pStyle w:val="TableParagraph"/>
              <w:spacing w:before="50"/>
              <w:ind w:right="95"/>
              <w:rPr>
                <w:sz w:val="20"/>
              </w:rPr>
            </w:pPr>
            <w:r>
              <w:rPr>
                <w:w w:val="95"/>
                <w:sz w:val="20"/>
              </w:rPr>
              <w:t>479.09</w:t>
            </w:r>
          </w:p>
        </w:tc>
        <w:tc>
          <w:tcPr>
            <w:tcW w:w="1162" w:type="dxa"/>
          </w:tcPr>
          <w:p w:rsidR="007C5447" w:rsidRDefault="00F6308C">
            <w:pPr>
              <w:pStyle w:val="TableParagraph"/>
              <w:spacing w:before="50"/>
              <w:ind w:right="100"/>
              <w:rPr>
                <w:sz w:val="20"/>
              </w:rPr>
            </w:pPr>
            <w:r>
              <w:rPr>
                <w:w w:val="95"/>
                <w:sz w:val="20"/>
              </w:rPr>
              <w:t>494.54</w:t>
            </w:r>
          </w:p>
        </w:tc>
      </w:tr>
      <w:tr w:rsidR="007C5447">
        <w:trPr>
          <w:trHeight w:val="330"/>
        </w:trPr>
        <w:tc>
          <w:tcPr>
            <w:tcW w:w="1697" w:type="dxa"/>
          </w:tcPr>
          <w:p w:rsidR="007C5447" w:rsidRDefault="00F6308C">
            <w:pPr>
              <w:pStyle w:val="TableParagraph"/>
              <w:spacing w:before="86" w:line="224" w:lineRule="exact"/>
              <w:ind w:left="107"/>
              <w:jc w:val="left"/>
              <w:rPr>
                <w:b/>
                <w:sz w:val="20"/>
              </w:rPr>
            </w:pPr>
            <w:r>
              <w:rPr>
                <w:b/>
                <w:sz w:val="20"/>
              </w:rPr>
              <w:t>Total</w:t>
            </w:r>
          </w:p>
        </w:tc>
        <w:tc>
          <w:tcPr>
            <w:tcW w:w="994" w:type="dxa"/>
          </w:tcPr>
          <w:p w:rsidR="007C5447" w:rsidRDefault="00F6308C">
            <w:pPr>
              <w:pStyle w:val="TableParagraph"/>
              <w:spacing w:before="50"/>
              <w:ind w:right="96"/>
              <w:rPr>
                <w:b/>
                <w:sz w:val="20"/>
              </w:rPr>
            </w:pPr>
            <w:r>
              <w:rPr>
                <w:b/>
                <w:w w:val="95"/>
                <w:sz w:val="20"/>
              </w:rPr>
              <w:t>977.76</w:t>
            </w:r>
          </w:p>
        </w:tc>
        <w:tc>
          <w:tcPr>
            <w:tcW w:w="1370" w:type="dxa"/>
          </w:tcPr>
          <w:p w:rsidR="007C5447" w:rsidRDefault="00F6308C">
            <w:pPr>
              <w:pStyle w:val="TableParagraph"/>
              <w:spacing w:before="50"/>
              <w:ind w:right="95"/>
              <w:rPr>
                <w:b/>
                <w:sz w:val="20"/>
              </w:rPr>
            </w:pPr>
            <w:r>
              <w:rPr>
                <w:b/>
                <w:w w:val="95"/>
                <w:sz w:val="20"/>
              </w:rPr>
              <w:t>1,330.14</w:t>
            </w:r>
          </w:p>
        </w:tc>
        <w:tc>
          <w:tcPr>
            <w:tcW w:w="1030" w:type="dxa"/>
          </w:tcPr>
          <w:p w:rsidR="007C5447" w:rsidRDefault="00F6308C">
            <w:pPr>
              <w:pStyle w:val="TableParagraph"/>
              <w:spacing w:before="50"/>
              <w:ind w:right="96"/>
              <w:rPr>
                <w:b/>
                <w:sz w:val="20"/>
              </w:rPr>
            </w:pPr>
            <w:r>
              <w:rPr>
                <w:b/>
                <w:w w:val="95"/>
                <w:sz w:val="20"/>
              </w:rPr>
              <w:t>1,334.84</w:t>
            </w:r>
          </w:p>
        </w:tc>
        <w:tc>
          <w:tcPr>
            <w:tcW w:w="1142" w:type="dxa"/>
          </w:tcPr>
          <w:p w:rsidR="007C5447" w:rsidRDefault="00F6308C">
            <w:pPr>
              <w:pStyle w:val="TableParagraph"/>
              <w:spacing w:before="50"/>
              <w:ind w:right="95"/>
              <w:rPr>
                <w:b/>
                <w:sz w:val="20"/>
              </w:rPr>
            </w:pPr>
            <w:r>
              <w:rPr>
                <w:b/>
                <w:w w:val="95"/>
                <w:sz w:val="20"/>
              </w:rPr>
              <w:t>1,250.06</w:t>
            </w:r>
          </w:p>
        </w:tc>
        <w:tc>
          <w:tcPr>
            <w:tcW w:w="1371" w:type="dxa"/>
          </w:tcPr>
          <w:p w:rsidR="007C5447" w:rsidRDefault="00F6308C">
            <w:pPr>
              <w:pStyle w:val="TableParagraph"/>
              <w:spacing w:before="50"/>
              <w:ind w:right="93"/>
              <w:rPr>
                <w:b/>
                <w:sz w:val="20"/>
              </w:rPr>
            </w:pPr>
            <w:r>
              <w:rPr>
                <w:b/>
                <w:w w:val="95"/>
                <w:sz w:val="20"/>
              </w:rPr>
              <w:t>1,259.95</w:t>
            </w:r>
          </w:p>
        </w:tc>
        <w:tc>
          <w:tcPr>
            <w:tcW w:w="1162" w:type="dxa"/>
          </w:tcPr>
          <w:p w:rsidR="007C5447" w:rsidRDefault="00F6308C">
            <w:pPr>
              <w:pStyle w:val="TableParagraph"/>
              <w:spacing w:before="50"/>
              <w:ind w:right="98"/>
              <w:rPr>
                <w:b/>
                <w:sz w:val="20"/>
              </w:rPr>
            </w:pPr>
            <w:r>
              <w:rPr>
                <w:b/>
                <w:w w:val="95"/>
                <w:sz w:val="20"/>
              </w:rPr>
              <w:t>1,275.40</w:t>
            </w:r>
          </w:p>
        </w:tc>
      </w:tr>
    </w:tbl>
    <w:p w:rsidR="007C5447" w:rsidRDefault="007C5447">
      <w:pPr>
        <w:pStyle w:val="BodyText"/>
        <w:spacing w:before="9"/>
        <w:rPr>
          <w:b/>
          <w:sz w:val="20"/>
        </w:rPr>
      </w:pPr>
    </w:p>
    <w:p w:rsidR="007C5447" w:rsidRDefault="00F6308C">
      <w:pPr>
        <w:pStyle w:val="Heading2"/>
        <w:numPr>
          <w:ilvl w:val="1"/>
          <w:numId w:val="92"/>
        </w:numPr>
        <w:tabs>
          <w:tab w:val="left" w:pos="1247"/>
        </w:tabs>
        <w:jc w:val="left"/>
      </w:pPr>
      <w:bookmarkStart w:id="50" w:name="_bookmark50"/>
      <w:bookmarkEnd w:id="50"/>
      <w:r>
        <w:t>Summary of Fixed</w:t>
      </w:r>
      <w:r>
        <w:rPr>
          <w:spacing w:val="2"/>
        </w:rPr>
        <w:t xml:space="preserve"> </w:t>
      </w:r>
      <w:r>
        <w:t>Charges</w:t>
      </w:r>
    </w:p>
    <w:p w:rsidR="007C5447" w:rsidRDefault="007C5447">
      <w:pPr>
        <w:pStyle w:val="BodyText"/>
        <w:spacing w:before="2"/>
        <w:rPr>
          <w:b/>
          <w:sz w:val="28"/>
        </w:rPr>
      </w:pPr>
    </w:p>
    <w:p w:rsidR="007C5447" w:rsidRDefault="00F6308C">
      <w:pPr>
        <w:pStyle w:val="ListParagraph"/>
        <w:numPr>
          <w:ilvl w:val="2"/>
          <w:numId w:val="92"/>
        </w:numPr>
        <w:tabs>
          <w:tab w:val="left" w:pos="1533"/>
        </w:tabs>
        <w:spacing w:line="312" w:lineRule="auto"/>
        <w:ind w:right="1357"/>
        <w:jc w:val="both"/>
        <w:rPr>
          <w:sz w:val="24"/>
        </w:rPr>
      </w:pPr>
      <w:r>
        <w:rPr>
          <w:sz w:val="24"/>
        </w:rPr>
        <w:t>The summary of fixed cost for FY 2011-12 to FY 2015-16 as submitted by TANGEDCO is shown in the Tables</w:t>
      </w:r>
      <w:r>
        <w:rPr>
          <w:spacing w:val="-1"/>
          <w:sz w:val="24"/>
        </w:rPr>
        <w:t xml:space="preserve"> </w:t>
      </w:r>
      <w:r>
        <w:rPr>
          <w:sz w:val="24"/>
        </w:rPr>
        <w:t>below:</w:t>
      </w:r>
    </w:p>
    <w:p w:rsidR="007C5447" w:rsidRDefault="007C5447">
      <w:pPr>
        <w:spacing w:line="312" w:lineRule="auto"/>
        <w:jc w:val="both"/>
        <w:rPr>
          <w:sz w:val="24"/>
        </w:rPr>
        <w:sectPr w:rsidR="007C5447">
          <w:pgSz w:w="11910" w:h="16840"/>
          <w:pgMar w:top="1420" w:right="80" w:bottom="1240" w:left="760" w:header="0" w:footer="1057" w:gutter="0"/>
          <w:cols w:space="720"/>
        </w:sectPr>
      </w:pPr>
    </w:p>
    <w:p w:rsidR="007C5447" w:rsidRDefault="007C5447">
      <w:pPr>
        <w:pStyle w:val="BodyText"/>
        <w:rPr>
          <w:sz w:val="20"/>
        </w:rPr>
      </w:pPr>
    </w:p>
    <w:p w:rsidR="007C5447" w:rsidRDefault="007C5447">
      <w:pPr>
        <w:pStyle w:val="BodyText"/>
        <w:spacing w:before="6"/>
        <w:rPr>
          <w:sz w:val="19"/>
        </w:rPr>
      </w:pPr>
    </w:p>
    <w:p w:rsidR="007C5447" w:rsidRDefault="00F6308C">
      <w:pPr>
        <w:ind w:left="2986" w:right="3162"/>
        <w:jc w:val="center"/>
        <w:rPr>
          <w:b/>
        </w:rPr>
      </w:pPr>
      <w:r>
        <w:rPr>
          <w:b/>
        </w:rPr>
        <w:t>Table 3-38: Fixed Cost summary for FY 2011-12 as submitted by TANGEDCO (Rs. Crore)</w:t>
      </w:r>
    </w:p>
    <w:p w:rsidR="007C5447" w:rsidRDefault="007C5447">
      <w:pPr>
        <w:pStyle w:val="BodyText"/>
        <w:spacing w:before="11"/>
        <w:rPr>
          <w:b/>
          <w:sz w:val="16"/>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891"/>
        <w:gridCol w:w="1034"/>
        <w:gridCol w:w="1035"/>
        <w:gridCol w:w="1034"/>
        <w:gridCol w:w="1034"/>
        <w:gridCol w:w="1106"/>
        <w:gridCol w:w="1056"/>
        <w:gridCol w:w="1056"/>
        <w:gridCol w:w="1056"/>
        <w:gridCol w:w="1057"/>
        <w:gridCol w:w="1056"/>
        <w:gridCol w:w="1056"/>
        <w:gridCol w:w="1083"/>
      </w:tblGrid>
      <w:tr w:rsidR="007C5447">
        <w:trPr>
          <w:trHeight w:val="313"/>
        </w:trPr>
        <w:tc>
          <w:tcPr>
            <w:tcW w:w="703" w:type="dxa"/>
            <w:vMerge w:val="restart"/>
            <w:shd w:val="clear" w:color="auto" w:fill="F7C9AC"/>
          </w:tcPr>
          <w:p w:rsidR="007C5447" w:rsidRDefault="007C5447">
            <w:pPr>
              <w:pStyle w:val="TableParagraph"/>
              <w:jc w:val="left"/>
              <w:rPr>
                <w:b/>
                <w:sz w:val="20"/>
              </w:rPr>
            </w:pPr>
          </w:p>
          <w:p w:rsidR="007C5447" w:rsidRDefault="007C5447">
            <w:pPr>
              <w:pStyle w:val="TableParagraph"/>
              <w:jc w:val="left"/>
              <w:rPr>
                <w:b/>
                <w:sz w:val="20"/>
              </w:rPr>
            </w:pPr>
          </w:p>
          <w:p w:rsidR="007C5447" w:rsidRDefault="00F6308C">
            <w:pPr>
              <w:pStyle w:val="TableParagraph"/>
              <w:spacing w:before="132"/>
              <w:ind w:left="234" w:right="223"/>
              <w:jc w:val="center"/>
              <w:rPr>
                <w:b/>
                <w:sz w:val="18"/>
              </w:rPr>
            </w:pPr>
            <w:r>
              <w:rPr>
                <w:b/>
                <w:sz w:val="18"/>
              </w:rPr>
              <w:t>Sl.</w:t>
            </w:r>
          </w:p>
        </w:tc>
        <w:tc>
          <w:tcPr>
            <w:tcW w:w="1891" w:type="dxa"/>
            <w:vMerge w:val="restart"/>
            <w:shd w:val="clear" w:color="auto" w:fill="F7C9AC"/>
          </w:tcPr>
          <w:p w:rsidR="007C5447" w:rsidRDefault="007C5447">
            <w:pPr>
              <w:pStyle w:val="TableParagraph"/>
              <w:jc w:val="left"/>
              <w:rPr>
                <w:b/>
                <w:sz w:val="20"/>
              </w:rPr>
            </w:pPr>
          </w:p>
          <w:p w:rsidR="007C5447" w:rsidRDefault="007C5447">
            <w:pPr>
              <w:pStyle w:val="TableParagraph"/>
              <w:jc w:val="left"/>
              <w:rPr>
                <w:b/>
                <w:sz w:val="20"/>
              </w:rPr>
            </w:pPr>
          </w:p>
          <w:p w:rsidR="007C5447" w:rsidRDefault="00F6308C">
            <w:pPr>
              <w:pStyle w:val="TableParagraph"/>
              <w:spacing w:before="132"/>
              <w:ind w:left="403"/>
              <w:jc w:val="left"/>
              <w:rPr>
                <w:b/>
                <w:sz w:val="18"/>
              </w:rPr>
            </w:pPr>
            <w:r>
              <w:rPr>
                <w:b/>
                <w:sz w:val="18"/>
              </w:rPr>
              <w:t>Power Station</w:t>
            </w:r>
          </w:p>
        </w:tc>
        <w:tc>
          <w:tcPr>
            <w:tcW w:w="12663" w:type="dxa"/>
            <w:gridSpan w:val="12"/>
            <w:shd w:val="clear" w:color="auto" w:fill="F7C9AC"/>
          </w:tcPr>
          <w:p w:rsidR="007C5447" w:rsidRDefault="00F6308C">
            <w:pPr>
              <w:pStyle w:val="TableParagraph"/>
              <w:spacing w:before="55"/>
              <w:ind w:left="5870" w:right="5858"/>
              <w:jc w:val="center"/>
              <w:rPr>
                <w:b/>
                <w:sz w:val="18"/>
              </w:rPr>
            </w:pPr>
            <w:r>
              <w:rPr>
                <w:b/>
                <w:sz w:val="18"/>
              </w:rPr>
              <w:t>FY 2011-12</w:t>
            </w:r>
          </w:p>
        </w:tc>
      </w:tr>
      <w:tr w:rsidR="007C5447">
        <w:trPr>
          <w:trHeight w:val="1065"/>
        </w:trPr>
        <w:tc>
          <w:tcPr>
            <w:tcW w:w="703" w:type="dxa"/>
            <w:vMerge/>
            <w:tcBorders>
              <w:top w:val="nil"/>
            </w:tcBorders>
            <w:shd w:val="clear" w:color="auto" w:fill="F7C9AC"/>
          </w:tcPr>
          <w:p w:rsidR="007C5447" w:rsidRDefault="007C5447">
            <w:pPr>
              <w:rPr>
                <w:sz w:val="2"/>
                <w:szCs w:val="2"/>
              </w:rPr>
            </w:pPr>
          </w:p>
        </w:tc>
        <w:tc>
          <w:tcPr>
            <w:tcW w:w="1891" w:type="dxa"/>
            <w:vMerge/>
            <w:tcBorders>
              <w:top w:val="nil"/>
            </w:tcBorders>
            <w:shd w:val="clear" w:color="auto" w:fill="F7C9AC"/>
          </w:tcPr>
          <w:p w:rsidR="007C5447" w:rsidRDefault="007C5447">
            <w:pPr>
              <w:rPr>
                <w:sz w:val="2"/>
                <w:szCs w:val="2"/>
              </w:rPr>
            </w:pP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42" w:right="332"/>
              <w:jc w:val="center"/>
              <w:rPr>
                <w:b/>
                <w:sz w:val="18"/>
              </w:rPr>
            </w:pPr>
            <w:r>
              <w:rPr>
                <w:b/>
                <w:sz w:val="18"/>
              </w:rPr>
              <w:t>Dep</w:t>
            </w:r>
          </w:p>
        </w:tc>
        <w:tc>
          <w:tcPr>
            <w:tcW w:w="1035" w:type="dxa"/>
            <w:shd w:val="clear" w:color="auto" w:fill="F7C9AC"/>
          </w:tcPr>
          <w:p w:rsidR="007C5447" w:rsidRDefault="00F6308C">
            <w:pPr>
              <w:pStyle w:val="TableParagraph"/>
              <w:spacing w:before="119"/>
              <w:ind w:left="197" w:right="186" w:firstLine="2"/>
              <w:jc w:val="center"/>
              <w:rPr>
                <w:b/>
                <w:sz w:val="18"/>
              </w:rPr>
            </w:pPr>
            <w:r>
              <w:rPr>
                <w:b/>
                <w:sz w:val="18"/>
              </w:rPr>
              <w:t>Interest and Finance Charges</w:t>
            </w: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27"/>
              <w:jc w:val="left"/>
              <w:rPr>
                <w:b/>
                <w:sz w:val="18"/>
              </w:rPr>
            </w:pPr>
            <w:r>
              <w:rPr>
                <w:b/>
                <w:sz w:val="18"/>
              </w:rPr>
              <w:t>IWC</w:t>
            </w: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23"/>
              <w:jc w:val="left"/>
              <w:rPr>
                <w:b/>
                <w:sz w:val="18"/>
              </w:rPr>
            </w:pPr>
            <w:r>
              <w:rPr>
                <w:b/>
                <w:sz w:val="18"/>
              </w:rPr>
              <w:t>ROE</w:t>
            </w:r>
          </w:p>
        </w:tc>
        <w:tc>
          <w:tcPr>
            <w:tcW w:w="1106" w:type="dxa"/>
            <w:shd w:val="clear" w:color="auto" w:fill="F7C9AC"/>
          </w:tcPr>
          <w:p w:rsidR="007C5447" w:rsidRDefault="007C5447">
            <w:pPr>
              <w:pStyle w:val="TableParagraph"/>
              <w:spacing w:before="4"/>
              <w:jc w:val="left"/>
              <w:rPr>
                <w:b/>
                <w:sz w:val="28"/>
              </w:rPr>
            </w:pPr>
          </w:p>
          <w:p w:rsidR="007C5447" w:rsidRDefault="00F6308C">
            <w:pPr>
              <w:pStyle w:val="TableParagraph"/>
              <w:ind w:left="198" w:right="167" w:firstLine="124"/>
              <w:jc w:val="left"/>
              <w:rPr>
                <w:b/>
                <w:sz w:val="18"/>
              </w:rPr>
            </w:pPr>
            <w:r>
              <w:rPr>
                <w:b/>
                <w:sz w:val="18"/>
              </w:rPr>
              <w:t>O&amp;M Expenses</w:t>
            </w:r>
          </w:p>
        </w:tc>
        <w:tc>
          <w:tcPr>
            <w:tcW w:w="1056" w:type="dxa"/>
            <w:shd w:val="clear" w:color="auto" w:fill="F7C9AC"/>
          </w:tcPr>
          <w:p w:rsidR="007C5447" w:rsidRDefault="007C5447">
            <w:pPr>
              <w:pStyle w:val="TableParagraph"/>
              <w:spacing w:before="4"/>
              <w:jc w:val="left"/>
              <w:rPr>
                <w:b/>
                <w:sz w:val="28"/>
              </w:rPr>
            </w:pPr>
          </w:p>
          <w:p w:rsidR="007C5447" w:rsidRDefault="00F6308C">
            <w:pPr>
              <w:pStyle w:val="TableParagraph"/>
              <w:ind w:left="285" w:right="251" w:firstLine="14"/>
              <w:jc w:val="left"/>
              <w:rPr>
                <w:b/>
                <w:sz w:val="18"/>
              </w:rPr>
            </w:pPr>
            <w:r>
              <w:rPr>
                <w:b/>
                <w:sz w:val="18"/>
              </w:rPr>
              <w:t>Other Debits</w:t>
            </w:r>
          </w:p>
        </w:tc>
        <w:tc>
          <w:tcPr>
            <w:tcW w:w="1056" w:type="dxa"/>
            <w:shd w:val="clear" w:color="auto" w:fill="F7C9AC"/>
          </w:tcPr>
          <w:p w:rsidR="007C5447" w:rsidRDefault="007C5447">
            <w:pPr>
              <w:pStyle w:val="TableParagraph"/>
              <w:spacing w:before="4"/>
              <w:jc w:val="left"/>
              <w:rPr>
                <w:b/>
                <w:sz w:val="28"/>
              </w:rPr>
            </w:pPr>
          </w:p>
          <w:p w:rsidR="007C5447" w:rsidRDefault="00F6308C">
            <w:pPr>
              <w:pStyle w:val="TableParagraph"/>
              <w:ind w:left="276" w:right="240" w:firstLine="50"/>
              <w:jc w:val="left"/>
              <w:rPr>
                <w:b/>
                <w:sz w:val="18"/>
              </w:rPr>
            </w:pPr>
            <w:r>
              <w:rPr>
                <w:b/>
                <w:sz w:val="18"/>
              </w:rPr>
              <w:t>Prior Period</w:t>
            </w:r>
          </w:p>
        </w:tc>
        <w:tc>
          <w:tcPr>
            <w:tcW w:w="1056" w:type="dxa"/>
            <w:shd w:val="clear" w:color="auto" w:fill="F7C9AC"/>
          </w:tcPr>
          <w:p w:rsidR="007C5447" w:rsidRDefault="007C5447">
            <w:pPr>
              <w:pStyle w:val="TableParagraph"/>
              <w:spacing w:before="4"/>
              <w:jc w:val="left"/>
              <w:rPr>
                <w:b/>
                <w:sz w:val="19"/>
              </w:rPr>
            </w:pPr>
          </w:p>
          <w:p w:rsidR="007C5447" w:rsidRDefault="00F6308C">
            <w:pPr>
              <w:pStyle w:val="TableParagraph"/>
              <w:ind w:left="232" w:right="219" w:firstLine="5"/>
              <w:jc w:val="center"/>
              <w:rPr>
                <w:b/>
                <w:sz w:val="18"/>
              </w:rPr>
            </w:pPr>
            <w:r>
              <w:rPr>
                <w:b/>
                <w:sz w:val="18"/>
              </w:rPr>
              <w:t>Op. Ch and Ex. Ord</w:t>
            </w:r>
          </w:p>
        </w:tc>
        <w:tc>
          <w:tcPr>
            <w:tcW w:w="1057" w:type="dxa"/>
            <w:shd w:val="clear" w:color="auto" w:fill="F7C9AC"/>
          </w:tcPr>
          <w:p w:rsidR="007C5447" w:rsidRDefault="007C5447">
            <w:pPr>
              <w:pStyle w:val="TableParagraph"/>
              <w:spacing w:before="4"/>
              <w:jc w:val="left"/>
              <w:rPr>
                <w:b/>
                <w:sz w:val="28"/>
              </w:rPr>
            </w:pPr>
          </w:p>
          <w:p w:rsidR="007C5447" w:rsidRDefault="00F6308C">
            <w:pPr>
              <w:pStyle w:val="TableParagraph"/>
              <w:ind w:left="245" w:firstLine="55"/>
              <w:jc w:val="left"/>
              <w:rPr>
                <w:b/>
                <w:sz w:val="18"/>
              </w:rPr>
            </w:pPr>
            <w:r>
              <w:rPr>
                <w:b/>
                <w:sz w:val="18"/>
              </w:rPr>
              <w:t>Other Income</w:t>
            </w:r>
          </w:p>
        </w:tc>
        <w:tc>
          <w:tcPr>
            <w:tcW w:w="1056" w:type="dxa"/>
            <w:shd w:val="clear" w:color="auto" w:fill="F7C9AC"/>
          </w:tcPr>
          <w:p w:rsidR="007C5447" w:rsidRDefault="007C5447">
            <w:pPr>
              <w:pStyle w:val="TableParagraph"/>
              <w:spacing w:before="4"/>
              <w:jc w:val="left"/>
              <w:rPr>
                <w:b/>
                <w:sz w:val="28"/>
              </w:rPr>
            </w:pPr>
          </w:p>
          <w:p w:rsidR="007C5447" w:rsidRDefault="00F6308C">
            <w:pPr>
              <w:pStyle w:val="TableParagraph"/>
              <w:ind w:left="244" w:right="77" w:hanging="135"/>
              <w:jc w:val="left"/>
              <w:rPr>
                <w:b/>
                <w:sz w:val="18"/>
              </w:rPr>
            </w:pPr>
            <w:r>
              <w:rPr>
                <w:b/>
                <w:sz w:val="18"/>
              </w:rPr>
              <w:t>Non-Tariff Income</w:t>
            </w:r>
          </w:p>
        </w:tc>
        <w:tc>
          <w:tcPr>
            <w:tcW w:w="1056" w:type="dxa"/>
            <w:shd w:val="clear" w:color="auto" w:fill="F7C9AC"/>
          </w:tcPr>
          <w:p w:rsidR="007C5447" w:rsidRDefault="00F6308C">
            <w:pPr>
              <w:pStyle w:val="TableParagraph"/>
              <w:spacing w:before="16"/>
              <w:ind w:left="225" w:right="212" w:hanging="1"/>
              <w:jc w:val="center"/>
              <w:rPr>
                <w:b/>
                <w:sz w:val="18"/>
              </w:rPr>
            </w:pPr>
            <w:r>
              <w:rPr>
                <w:b/>
                <w:sz w:val="18"/>
              </w:rPr>
              <w:t>Other Interest and</w:t>
            </w:r>
          </w:p>
          <w:p w:rsidR="007C5447" w:rsidRDefault="00F6308C">
            <w:pPr>
              <w:pStyle w:val="TableParagraph"/>
              <w:spacing w:before="4" w:line="206" w:lineRule="exact"/>
              <w:ind w:left="208" w:right="196" w:firstLine="2"/>
              <w:jc w:val="center"/>
              <w:rPr>
                <w:b/>
                <w:sz w:val="18"/>
              </w:rPr>
            </w:pPr>
            <w:r>
              <w:rPr>
                <w:b/>
                <w:sz w:val="18"/>
              </w:rPr>
              <w:t>Finance Charges</w:t>
            </w:r>
          </w:p>
        </w:tc>
        <w:tc>
          <w:tcPr>
            <w:tcW w:w="1083" w:type="dxa"/>
            <w:shd w:val="clear" w:color="auto" w:fill="F7C9AC"/>
          </w:tcPr>
          <w:p w:rsidR="007C5447" w:rsidRDefault="007C5447">
            <w:pPr>
              <w:pStyle w:val="TableParagraph"/>
              <w:spacing w:before="4"/>
              <w:jc w:val="left"/>
              <w:rPr>
                <w:b/>
                <w:sz w:val="28"/>
              </w:rPr>
            </w:pPr>
          </w:p>
          <w:p w:rsidR="007C5447" w:rsidRDefault="00F6308C">
            <w:pPr>
              <w:pStyle w:val="TableParagraph"/>
              <w:ind w:left="129" w:right="99" w:firstLine="208"/>
              <w:jc w:val="left"/>
              <w:rPr>
                <w:b/>
                <w:sz w:val="18"/>
              </w:rPr>
            </w:pPr>
            <w:r>
              <w:rPr>
                <w:b/>
                <w:sz w:val="18"/>
              </w:rPr>
              <w:t>Total Fixed Cost</w:t>
            </w:r>
          </w:p>
        </w:tc>
      </w:tr>
      <w:tr w:rsidR="007C5447">
        <w:trPr>
          <w:trHeight w:val="316"/>
        </w:trPr>
        <w:tc>
          <w:tcPr>
            <w:tcW w:w="703" w:type="dxa"/>
          </w:tcPr>
          <w:p w:rsidR="007C5447" w:rsidRDefault="00F6308C">
            <w:pPr>
              <w:pStyle w:val="TableParagraph"/>
              <w:spacing w:before="55"/>
              <w:ind w:left="107"/>
              <w:jc w:val="left"/>
              <w:rPr>
                <w:sz w:val="18"/>
              </w:rPr>
            </w:pPr>
            <w:r>
              <w:rPr>
                <w:sz w:val="18"/>
              </w:rPr>
              <w:t>1</w:t>
            </w:r>
          </w:p>
        </w:tc>
        <w:tc>
          <w:tcPr>
            <w:tcW w:w="1891" w:type="dxa"/>
          </w:tcPr>
          <w:p w:rsidR="007C5447" w:rsidRDefault="00F6308C">
            <w:pPr>
              <w:pStyle w:val="TableParagraph"/>
              <w:spacing w:before="55"/>
              <w:ind w:left="107"/>
              <w:jc w:val="left"/>
              <w:rPr>
                <w:sz w:val="18"/>
              </w:rPr>
            </w:pPr>
            <w:r>
              <w:rPr>
                <w:sz w:val="18"/>
              </w:rPr>
              <w:t>Ennore TPS</w:t>
            </w:r>
          </w:p>
        </w:tc>
        <w:tc>
          <w:tcPr>
            <w:tcW w:w="1034" w:type="dxa"/>
          </w:tcPr>
          <w:p w:rsidR="007C5447" w:rsidRDefault="00F6308C">
            <w:pPr>
              <w:pStyle w:val="TableParagraph"/>
              <w:spacing w:before="55"/>
              <w:ind w:right="94"/>
              <w:rPr>
                <w:sz w:val="18"/>
              </w:rPr>
            </w:pPr>
            <w:r>
              <w:rPr>
                <w:sz w:val="18"/>
              </w:rPr>
              <w:t>36.05</w:t>
            </w:r>
          </w:p>
        </w:tc>
        <w:tc>
          <w:tcPr>
            <w:tcW w:w="1035" w:type="dxa"/>
          </w:tcPr>
          <w:p w:rsidR="007C5447" w:rsidRDefault="00F6308C">
            <w:pPr>
              <w:pStyle w:val="TableParagraph"/>
              <w:spacing w:before="55"/>
              <w:ind w:right="97"/>
              <w:rPr>
                <w:sz w:val="18"/>
              </w:rPr>
            </w:pPr>
            <w:r>
              <w:rPr>
                <w:sz w:val="18"/>
              </w:rPr>
              <w:t>174.69</w:t>
            </w:r>
          </w:p>
        </w:tc>
        <w:tc>
          <w:tcPr>
            <w:tcW w:w="1034" w:type="dxa"/>
          </w:tcPr>
          <w:p w:rsidR="007C5447" w:rsidRDefault="00F6308C">
            <w:pPr>
              <w:pStyle w:val="TableParagraph"/>
              <w:spacing w:before="55"/>
              <w:ind w:right="93"/>
              <w:rPr>
                <w:sz w:val="18"/>
              </w:rPr>
            </w:pPr>
            <w:r>
              <w:rPr>
                <w:sz w:val="18"/>
              </w:rPr>
              <w:t>24.31</w:t>
            </w:r>
          </w:p>
        </w:tc>
        <w:tc>
          <w:tcPr>
            <w:tcW w:w="1034" w:type="dxa"/>
          </w:tcPr>
          <w:p w:rsidR="007C5447" w:rsidRDefault="00F6308C">
            <w:pPr>
              <w:pStyle w:val="TableParagraph"/>
              <w:spacing w:before="55"/>
              <w:ind w:right="93"/>
              <w:rPr>
                <w:sz w:val="18"/>
              </w:rPr>
            </w:pPr>
            <w:r>
              <w:rPr>
                <w:sz w:val="18"/>
              </w:rPr>
              <w:t>34.69</w:t>
            </w:r>
          </w:p>
        </w:tc>
        <w:tc>
          <w:tcPr>
            <w:tcW w:w="1106" w:type="dxa"/>
          </w:tcPr>
          <w:p w:rsidR="007C5447" w:rsidRDefault="00F6308C">
            <w:pPr>
              <w:pStyle w:val="TableParagraph"/>
              <w:spacing w:before="55"/>
              <w:ind w:right="95"/>
              <w:rPr>
                <w:sz w:val="18"/>
              </w:rPr>
            </w:pPr>
            <w:r>
              <w:rPr>
                <w:sz w:val="18"/>
              </w:rPr>
              <w:t>103.78</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0.55</w:t>
            </w:r>
          </w:p>
        </w:tc>
        <w:tc>
          <w:tcPr>
            <w:tcW w:w="1056" w:type="dxa"/>
          </w:tcPr>
          <w:p w:rsidR="007C5447" w:rsidRDefault="00F6308C">
            <w:pPr>
              <w:pStyle w:val="TableParagraph"/>
              <w:spacing w:before="55"/>
              <w:ind w:right="92"/>
              <w:rPr>
                <w:sz w:val="18"/>
              </w:rPr>
            </w:pPr>
            <w:r>
              <w:rPr>
                <w:sz w:val="18"/>
              </w:rPr>
              <w:t>12.19</w:t>
            </w:r>
          </w:p>
        </w:tc>
        <w:tc>
          <w:tcPr>
            <w:tcW w:w="1057" w:type="dxa"/>
          </w:tcPr>
          <w:p w:rsidR="007C5447" w:rsidRDefault="00F6308C">
            <w:pPr>
              <w:pStyle w:val="TableParagraph"/>
              <w:spacing w:before="55"/>
              <w:ind w:right="93"/>
              <w:rPr>
                <w:sz w:val="18"/>
              </w:rPr>
            </w:pPr>
            <w:r>
              <w:rPr>
                <w:sz w:val="18"/>
              </w:rPr>
              <w:t>11.05</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1.59</w:t>
            </w:r>
          </w:p>
        </w:tc>
        <w:tc>
          <w:tcPr>
            <w:tcW w:w="1083" w:type="dxa"/>
          </w:tcPr>
          <w:p w:rsidR="007C5447" w:rsidRDefault="00F6308C">
            <w:pPr>
              <w:pStyle w:val="TableParagraph"/>
              <w:spacing w:before="55"/>
              <w:ind w:right="96"/>
              <w:rPr>
                <w:sz w:val="18"/>
              </w:rPr>
            </w:pPr>
            <w:r>
              <w:rPr>
                <w:sz w:val="18"/>
              </w:rPr>
              <w:t>376.80</w:t>
            </w:r>
          </w:p>
        </w:tc>
      </w:tr>
      <w:tr w:rsidR="007C5447">
        <w:trPr>
          <w:trHeight w:val="314"/>
        </w:trPr>
        <w:tc>
          <w:tcPr>
            <w:tcW w:w="703" w:type="dxa"/>
          </w:tcPr>
          <w:p w:rsidR="007C5447" w:rsidRDefault="00F6308C">
            <w:pPr>
              <w:pStyle w:val="TableParagraph"/>
              <w:spacing w:before="53"/>
              <w:ind w:left="107"/>
              <w:jc w:val="left"/>
              <w:rPr>
                <w:sz w:val="18"/>
              </w:rPr>
            </w:pPr>
            <w:r>
              <w:rPr>
                <w:sz w:val="18"/>
              </w:rPr>
              <w:t>2</w:t>
            </w:r>
          </w:p>
        </w:tc>
        <w:tc>
          <w:tcPr>
            <w:tcW w:w="1891" w:type="dxa"/>
          </w:tcPr>
          <w:p w:rsidR="007C5447" w:rsidRDefault="00F6308C">
            <w:pPr>
              <w:pStyle w:val="TableParagraph"/>
              <w:spacing w:before="53"/>
              <w:ind w:left="107"/>
              <w:jc w:val="left"/>
              <w:rPr>
                <w:sz w:val="18"/>
              </w:rPr>
            </w:pPr>
            <w:r>
              <w:rPr>
                <w:sz w:val="18"/>
              </w:rPr>
              <w:t>Tuticorin TPS</w:t>
            </w:r>
          </w:p>
        </w:tc>
        <w:tc>
          <w:tcPr>
            <w:tcW w:w="1034" w:type="dxa"/>
          </w:tcPr>
          <w:p w:rsidR="007C5447" w:rsidRDefault="00F6308C">
            <w:pPr>
              <w:pStyle w:val="TableParagraph"/>
              <w:spacing w:before="53"/>
              <w:ind w:right="94"/>
              <w:rPr>
                <w:sz w:val="18"/>
              </w:rPr>
            </w:pPr>
            <w:r>
              <w:rPr>
                <w:sz w:val="18"/>
              </w:rPr>
              <w:t>63.45</w:t>
            </w:r>
          </w:p>
        </w:tc>
        <w:tc>
          <w:tcPr>
            <w:tcW w:w="1035" w:type="dxa"/>
          </w:tcPr>
          <w:p w:rsidR="007C5447" w:rsidRDefault="00F6308C">
            <w:pPr>
              <w:pStyle w:val="TableParagraph"/>
              <w:spacing w:before="53"/>
              <w:ind w:right="97"/>
              <w:rPr>
                <w:sz w:val="18"/>
              </w:rPr>
            </w:pPr>
            <w:r>
              <w:rPr>
                <w:sz w:val="18"/>
              </w:rPr>
              <w:t>302.59</w:t>
            </w:r>
          </w:p>
        </w:tc>
        <w:tc>
          <w:tcPr>
            <w:tcW w:w="1034" w:type="dxa"/>
          </w:tcPr>
          <w:p w:rsidR="007C5447" w:rsidRDefault="00F6308C">
            <w:pPr>
              <w:pStyle w:val="TableParagraph"/>
              <w:spacing w:before="53"/>
              <w:ind w:right="96"/>
              <w:rPr>
                <w:sz w:val="18"/>
              </w:rPr>
            </w:pPr>
            <w:r>
              <w:rPr>
                <w:sz w:val="18"/>
              </w:rPr>
              <w:t>126.90</w:t>
            </w:r>
          </w:p>
        </w:tc>
        <w:tc>
          <w:tcPr>
            <w:tcW w:w="1034" w:type="dxa"/>
          </w:tcPr>
          <w:p w:rsidR="007C5447" w:rsidRDefault="00F6308C">
            <w:pPr>
              <w:pStyle w:val="TableParagraph"/>
              <w:spacing w:before="53"/>
              <w:ind w:right="93"/>
              <w:rPr>
                <w:sz w:val="18"/>
              </w:rPr>
            </w:pPr>
            <w:r>
              <w:rPr>
                <w:sz w:val="18"/>
              </w:rPr>
              <w:t>61.09</w:t>
            </w:r>
          </w:p>
        </w:tc>
        <w:tc>
          <w:tcPr>
            <w:tcW w:w="1106" w:type="dxa"/>
          </w:tcPr>
          <w:p w:rsidR="007C5447" w:rsidRDefault="00F6308C">
            <w:pPr>
              <w:pStyle w:val="TableParagraph"/>
              <w:spacing w:before="53"/>
              <w:ind w:right="95"/>
              <w:rPr>
                <w:sz w:val="18"/>
              </w:rPr>
            </w:pPr>
            <w:r>
              <w:rPr>
                <w:sz w:val="18"/>
              </w:rPr>
              <w:t>191.36</w:t>
            </w:r>
          </w:p>
        </w:tc>
        <w:tc>
          <w:tcPr>
            <w:tcW w:w="1056" w:type="dxa"/>
          </w:tcPr>
          <w:p w:rsidR="007C5447" w:rsidRDefault="00F6308C">
            <w:pPr>
              <w:pStyle w:val="TableParagraph"/>
              <w:spacing w:before="53"/>
              <w:ind w:right="95"/>
              <w:rPr>
                <w:sz w:val="18"/>
              </w:rPr>
            </w:pPr>
            <w:r>
              <w:rPr>
                <w:sz w:val="18"/>
              </w:rPr>
              <w:t>0.79</w:t>
            </w:r>
          </w:p>
        </w:tc>
        <w:tc>
          <w:tcPr>
            <w:tcW w:w="1056" w:type="dxa"/>
          </w:tcPr>
          <w:p w:rsidR="007C5447" w:rsidRDefault="00F6308C">
            <w:pPr>
              <w:pStyle w:val="TableParagraph"/>
              <w:spacing w:before="53"/>
              <w:ind w:right="95"/>
              <w:rPr>
                <w:sz w:val="18"/>
              </w:rPr>
            </w:pPr>
            <w:r>
              <w:rPr>
                <w:sz w:val="18"/>
              </w:rPr>
              <w:t>4.69</w:t>
            </w:r>
          </w:p>
        </w:tc>
        <w:tc>
          <w:tcPr>
            <w:tcW w:w="1056" w:type="dxa"/>
          </w:tcPr>
          <w:p w:rsidR="007C5447" w:rsidRDefault="00F6308C">
            <w:pPr>
              <w:pStyle w:val="TableParagraph"/>
              <w:spacing w:before="53"/>
              <w:ind w:right="95"/>
              <w:rPr>
                <w:sz w:val="18"/>
              </w:rPr>
            </w:pPr>
            <w:r>
              <w:rPr>
                <w:sz w:val="18"/>
              </w:rPr>
              <w:t>6.97</w:t>
            </w:r>
          </w:p>
        </w:tc>
        <w:tc>
          <w:tcPr>
            <w:tcW w:w="1057" w:type="dxa"/>
          </w:tcPr>
          <w:p w:rsidR="007C5447" w:rsidRDefault="00F6308C">
            <w:pPr>
              <w:pStyle w:val="TableParagraph"/>
              <w:spacing w:before="53"/>
              <w:ind w:right="93"/>
              <w:rPr>
                <w:sz w:val="18"/>
              </w:rPr>
            </w:pPr>
            <w:r>
              <w:rPr>
                <w:sz w:val="18"/>
              </w:rPr>
              <w:t>41.63</w:t>
            </w:r>
          </w:p>
        </w:tc>
        <w:tc>
          <w:tcPr>
            <w:tcW w:w="1056" w:type="dxa"/>
          </w:tcPr>
          <w:p w:rsidR="007C5447" w:rsidRDefault="00F6308C">
            <w:pPr>
              <w:pStyle w:val="TableParagraph"/>
              <w:spacing w:before="53"/>
              <w:ind w:right="93"/>
              <w:rPr>
                <w:sz w:val="18"/>
              </w:rPr>
            </w:pPr>
            <w:r>
              <w:rPr>
                <w:w w:val="99"/>
                <w:sz w:val="18"/>
              </w:rPr>
              <w:t>-</w:t>
            </w:r>
          </w:p>
        </w:tc>
        <w:tc>
          <w:tcPr>
            <w:tcW w:w="1056" w:type="dxa"/>
          </w:tcPr>
          <w:p w:rsidR="007C5447" w:rsidRDefault="00F6308C">
            <w:pPr>
              <w:pStyle w:val="TableParagraph"/>
              <w:spacing w:before="53"/>
              <w:ind w:right="95"/>
              <w:rPr>
                <w:sz w:val="18"/>
              </w:rPr>
            </w:pPr>
            <w:r>
              <w:rPr>
                <w:sz w:val="18"/>
              </w:rPr>
              <w:t>0.36</w:t>
            </w:r>
          </w:p>
        </w:tc>
        <w:tc>
          <w:tcPr>
            <w:tcW w:w="1083" w:type="dxa"/>
          </w:tcPr>
          <w:p w:rsidR="007C5447" w:rsidRDefault="00F6308C">
            <w:pPr>
              <w:pStyle w:val="TableParagraph"/>
              <w:spacing w:before="53"/>
              <w:ind w:right="96"/>
              <w:rPr>
                <w:sz w:val="18"/>
              </w:rPr>
            </w:pPr>
            <w:r>
              <w:rPr>
                <w:sz w:val="18"/>
              </w:rPr>
              <w:t>716.59</w:t>
            </w:r>
          </w:p>
        </w:tc>
      </w:tr>
      <w:tr w:rsidR="007C5447">
        <w:trPr>
          <w:trHeight w:val="316"/>
        </w:trPr>
        <w:tc>
          <w:tcPr>
            <w:tcW w:w="703" w:type="dxa"/>
          </w:tcPr>
          <w:p w:rsidR="007C5447" w:rsidRDefault="00F6308C">
            <w:pPr>
              <w:pStyle w:val="TableParagraph"/>
              <w:spacing w:before="55"/>
              <w:ind w:left="107"/>
              <w:jc w:val="left"/>
              <w:rPr>
                <w:sz w:val="18"/>
              </w:rPr>
            </w:pPr>
            <w:r>
              <w:rPr>
                <w:sz w:val="18"/>
              </w:rPr>
              <w:t>3</w:t>
            </w:r>
          </w:p>
        </w:tc>
        <w:tc>
          <w:tcPr>
            <w:tcW w:w="1891" w:type="dxa"/>
          </w:tcPr>
          <w:p w:rsidR="007C5447" w:rsidRDefault="00F6308C">
            <w:pPr>
              <w:pStyle w:val="TableParagraph"/>
              <w:spacing w:before="55"/>
              <w:ind w:left="107"/>
              <w:jc w:val="left"/>
              <w:rPr>
                <w:sz w:val="18"/>
              </w:rPr>
            </w:pPr>
            <w:r>
              <w:rPr>
                <w:sz w:val="18"/>
              </w:rPr>
              <w:t>Mettur TPS</w:t>
            </w:r>
          </w:p>
        </w:tc>
        <w:tc>
          <w:tcPr>
            <w:tcW w:w="1034" w:type="dxa"/>
          </w:tcPr>
          <w:p w:rsidR="007C5447" w:rsidRDefault="00F6308C">
            <w:pPr>
              <w:pStyle w:val="TableParagraph"/>
              <w:spacing w:before="55"/>
              <w:ind w:right="94"/>
              <w:rPr>
                <w:sz w:val="18"/>
              </w:rPr>
            </w:pPr>
            <w:r>
              <w:rPr>
                <w:sz w:val="18"/>
              </w:rPr>
              <w:t>37.65</w:t>
            </w:r>
          </w:p>
        </w:tc>
        <w:tc>
          <w:tcPr>
            <w:tcW w:w="1035" w:type="dxa"/>
          </w:tcPr>
          <w:p w:rsidR="007C5447" w:rsidRDefault="00F6308C">
            <w:pPr>
              <w:pStyle w:val="TableParagraph"/>
              <w:spacing w:before="55"/>
              <w:ind w:right="96"/>
              <w:rPr>
                <w:sz w:val="18"/>
              </w:rPr>
            </w:pPr>
            <w:r>
              <w:rPr>
                <w:sz w:val="18"/>
              </w:rPr>
              <w:t>175.77</w:t>
            </w:r>
          </w:p>
        </w:tc>
        <w:tc>
          <w:tcPr>
            <w:tcW w:w="1034" w:type="dxa"/>
          </w:tcPr>
          <w:p w:rsidR="007C5447" w:rsidRDefault="00F6308C">
            <w:pPr>
              <w:pStyle w:val="TableParagraph"/>
              <w:spacing w:before="55"/>
              <w:ind w:right="93"/>
              <w:rPr>
                <w:sz w:val="18"/>
              </w:rPr>
            </w:pPr>
            <w:r>
              <w:rPr>
                <w:sz w:val="18"/>
              </w:rPr>
              <w:t>89.74</w:t>
            </w:r>
          </w:p>
        </w:tc>
        <w:tc>
          <w:tcPr>
            <w:tcW w:w="1034" w:type="dxa"/>
          </w:tcPr>
          <w:p w:rsidR="007C5447" w:rsidRDefault="00F6308C">
            <w:pPr>
              <w:pStyle w:val="TableParagraph"/>
              <w:spacing w:before="55"/>
              <w:ind w:right="93"/>
              <w:rPr>
                <w:sz w:val="18"/>
              </w:rPr>
            </w:pPr>
            <w:r>
              <w:rPr>
                <w:sz w:val="18"/>
              </w:rPr>
              <w:t>36.27</w:t>
            </w:r>
          </w:p>
        </w:tc>
        <w:tc>
          <w:tcPr>
            <w:tcW w:w="1106" w:type="dxa"/>
          </w:tcPr>
          <w:p w:rsidR="007C5447" w:rsidRDefault="00F6308C">
            <w:pPr>
              <w:pStyle w:val="TableParagraph"/>
              <w:spacing w:before="55"/>
              <w:ind w:right="95"/>
              <w:rPr>
                <w:sz w:val="18"/>
              </w:rPr>
            </w:pPr>
            <w:r>
              <w:rPr>
                <w:sz w:val="18"/>
              </w:rPr>
              <w:t>104.74</w:t>
            </w:r>
          </w:p>
        </w:tc>
        <w:tc>
          <w:tcPr>
            <w:tcW w:w="1056" w:type="dxa"/>
          </w:tcPr>
          <w:p w:rsidR="007C5447" w:rsidRDefault="00F6308C">
            <w:pPr>
              <w:pStyle w:val="TableParagraph"/>
              <w:spacing w:before="55"/>
              <w:ind w:right="95"/>
              <w:rPr>
                <w:sz w:val="18"/>
              </w:rPr>
            </w:pPr>
            <w:r>
              <w:rPr>
                <w:sz w:val="18"/>
              </w:rPr>
              <w:t>0.06</w:t>
            </w:r>
          </w:p>
        </w:tc>
        <w:tc>
          <w:tcPr>
            <w:tcW w:w="1056" w:type="dxa"/>
          </w:tcPr>
          <w:p w:rsidR="007C5447" w:rsidRDefault="00F6308C">
            <w:pPr>
              <w:pStyle w:val="TableParagraph"/>
              <w:spacing w:before="55"/>
              <w:ind w:right="91"/>
              <w:rPr>
                <w:sz w:val="18"/>
              </w:rPr>
            </w:pPr>
            <w:r>
              <w:rPr>
                <w:sz w:val="18"/>
              </w:rPr>
              <w:t>(11.52)</w:t>
            </w:r>
          </w:p>
        </w:tc>
        <w:tc>
          <w:tcPr>
            <w:tcW w:w="1056" w:type="dxa"/>
          </w:tcPr>
          <w:p w:rsidR="007C5447" w:rsidRDefault="00F6308C">
            <w:pPr>
              <w:pStyle w:val="TableParagraph"/>
              <w:spacing w:before="55"/>
              <w:ind w:right="95"/>
              <w:rPr>
                <w:sz w:val="18"/>
              </w:rPr>
            </w:pPr>
            <w:r>
              <w:rPr>
                <w:sz w:val="18"/>
              </w:rPr>
              <w:t>3.53</w:t>
            </w:r>
          </w:p>
        </w:tc>
        <w:tc>
          <w:tcPr>
            <w:tcW w:w="1057" w:type="dxa"/>
          </w:tcPr>
          <w:p w:rsidR="007C5447" w:rsidRDefault="00F6308C">
            <w:pPr>
              <w:pStyle w:val="TableParagraph"/>
              <w:spacing w:before="55"/>
              <w:ind w:right="93"/>
              <w:rPr>
                <w:sz w:val="18"/>
              </w:rPr>
            </w:pPr>
            <w:r>
              <w:rPr>
                <w:sz w:val="18"/>
              </w:rPr>
              <w:t>39.89</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0.30</w:t>
            </w:r>
          </w:p>
        </w:tc>
        <w:tc>
          <w:tcPr>
            <w:tcW w:w="1083" w:type="dxa"/>
          </w:tcPr>
          <w:p w:rsidR="007C5447" w:rsidRDefault="00F6308C">
            <w:pPr>
              <w:pStyle w:val="TableParagraph"/>
              <w:spacing w:before="55"/>
              <w:ind w:right="96"/>
              <w:rPr>
                <w:sz w:val="18"/>
              </w:rPr>
            </w:pPr>
            <w:r>
              <w:rPr>
                <w:sz w:val="18"/>
              </w:rPr>
              <w:t>396.66</w:t>
            </w:r>
          </w:p>
        </w:tc>
      </w:tr>
      <w:tr w:rsidR="007C5447">
        <w:trPr>
          <w:trHeight w:val="314"/>
        </w:trPr>
        <w:tc>
          <w:tcPr>
            <w:tcW w:w="703" w:type="dxa"/>
          </w:tcPr>
          <w:p w:rsidR="007C5447" w:rsidRDefault="00F6308C">
            <w:pPr>
              <w:pStyle w:val="TableParagraph"/>
              <w:spacing w:before="52"/>
              <w:ind w:left="107"/>
              <w:jc w:val="left"/>
              <w:rPr>
                <w:sz w:val="18"/>
              </w:rPr>
            </w:pPr>
            <w:r>
              <w:rPr>
                <w:sz w:val="18"/>
              </w:rPr>
              <w:t>4</w:t>
            </w:r>
          </w:p>
        </w:tc>
        <w:tc>
          <w:tcPr>
            <w:tcW w:w="1891" w:type="dxa"/>
          </w:tcPr>
          <w:p w:rsidR="007C5447" w:rsidRDefault="00F6308C">
            <w:pPr>
              <w:pStyle w:val="TableParagraph"/>
              <w:spacing w:before="52"/>
              <w:ind w:left="107"/>
              <w:jc w:val="left"/>
              <w:rPr>
                <w:sz w:val="18"/>
              </w:rPr>
            </w:pPr>
            <w:r>
              <w:rPr>
                <w:sz w:val="18"/>
              </w:rPr>
              <w:t>North Chennai TPS</w:t>
            </w:r>
          </w:p>
        </w:tc>
        <w:tc>
          <w:tcPr>
            <w:tcW w:w="1034" w:type="dxa"/>
          </w:tcPr>
          <w:p w:rsidR="007C5447" w:rsidRDefault="00F6308C">
            <w:pPr>
              <w:pStyle w:val="TableParagraph"/>
              <w:spacing w:before="52"/>
              <w:ind w:right="94"/>
              <w:rPr>
                <w:sz w:val="18"/>
              </w:rPr>
            </w:pPr>
            <w:r>
              <w:rPr>
                <w:sz w:val="18"/>
              </w:rPr>
              <w:t>67.60</w:t>
            </w:r>
          </w:p>
        </w:tc>
        <w:tc>
          <w:tcPr>
            <w:tcW w:w="1035" w:type="dxa"/>
          </w:tcPr>
          <w:p w:rsidR="007C5447" w:rsidRDefault="00F6308C">
            <w:pPr>
              <w:pStyle w:val="TableParagraph"/>
              <w:spacing w:before="52"/>
              <w:ind w:right="97"/>
              <w:rPr>
                <w:sz w:val="18"/>
              </w:rPr>
            </w:pPr>
            <w:r>
              <w:rPr>
                <w:sz w:val="18"/>
              </w:rPr>
              <w:t>314.40</w:t>
            </w:r>
          </w:p>
        </w:tc>
        <w:tc>
          <w:tcPr>
            <w:tcW w:w="1034" w:type="dxa"/>
          </w:tcPr>
          <w:p w:rsidR="007C5447" w:rsidRDefault="00F6308C">
            <w:pPr>
              <w:pStyle w:val="TableParagraph"/>
              <w:spacing w:before="52"/>
              <w:ind w:right="93"/>
              <w:rPr>
                <w:sz w:val="18"/>
              </w:rPr>
            </w:pPr>
            <w:r>
              <w:rPr>
                <w:sz w:val="18"/>
              </w:rPr>
              <w:t>61.91</w:t>
            </w:r>
          </w:p>
        </w:tc>
        <w:tc>
          <w:tcPr>
            <w:tcW w:w="1034" w:type="dxa"/>
          </w:tcPr>
          <w:p w:rsidR="007C5447" w:rsidRDefault="00F6308C">
            <w:pPr>
              <w:pStyle w:val="TableParagraph"/>
              <w:spacing w:before="52"/>
              <w:ind w:right="93"/>
              <w:rPr>
                <w:sz w:val="18"/>
              </w:rPr>
            </w:pPr>
            <w:r>
              <w:rPr>
                <w:sz w:val="18"/>
              </w:rPr>
              <w:t>65.28</w:t>
            </w:r>
          </w:p>
        </w:tc>
        <w:tc>
          <w:tcPr>
            <w:tcW w:w="1106" w:type="dxa"/>
          </w:tcPr>
          <w:p w:rsidR="007C5447" w:rsidRDefault="00F6308C">
            <w:pPr>
              <w:pStyle w:val="TableParagraph"/>
              <w:spacing w:before="52"/>
              <w:ind w:right="95"/>
              <w:rPr>
                <w:sz w:val="18"/>
              </w:rPr>
            </w:pPr>
            <w:r>
              <w:rPr>
                <w:sz w:val="18"/>
              </w:rPr>
              <w:t>121.32</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5.13</w:t>
            </w:r>
          </w:p>
        </w:tc>
        <w:tc>
          <w:tcPr>
            <w:tcW w:w="1056" w:type="dxa"/>
          </w:tcPr>
          <w:p w:rsidR="007C5447" w:rsidRDefault="00F6308C">
            <w:pPr>
              <w:pStyle w:val="TableParagraph"/>
              <w:spacing w:before="52"/>
              <w:ind w:right="92"/>
              <w:rPr>
                <w:sz w:val="18"/>
              </w:rPr>
            </w:pPr>
            <w:r>
              <w:rPr>
                <w:sz w:val="18"/>
              </w:rPr>
              <w:t>24.91</w:t>
            </w:r>
          </w:p>
        </w:tc>
        <w:tc>
          <w:tcPr>
            <w:tcW w:w="1057" w:type="dxa"/>
          </w:tcPr>
          <w:p w:rsidR="007C5447" w:rsidRDefault="00F6308C">
            <w:pPr>
              <w:pStyle w:val="TableParagraph"/>
              <w:spacing w:before="52"/>
              <w:ind w:right="93"/>
              <w:rPr>
                <w:sz w:val="18"/>
              </w:rPr>
            </w:pPr>
            <w:r>
              <w:rPr>
                <w:sz w:val="18"/>
              </w:rPr>
              <w:t>19.64</w:t>
            </w:r>
          </w:p>
        </w:tc>
        <w:tc>
          <w:tcPr>
            <w:tcW w:w="1056" w:type="dxa"/>
          </w:tcPr>
          <w:p w:rsidR="007C5447" w:rsidRDefault="00F6308C">
            <w:pPr>
              <w:pStyle w:val="TableParagraph"/>
              <w:spacing w:before="52"/>
              <w:ind w:right="95"/>
              <w:rPr>
                <w:sz w:val="18"/>
              </w:rPr>
            </w:pPr>
            <w:r>
              <w:rPr>
                <w:sz w:val="18"/>
              </w:rPr>
              <w:t>0.00</w:t>
            </w:r>
          </w:p>
        </w:tc>
        <w:tc>
          <w:tcPr>
            <w:tcW w:w="1056" w:type="dxa"/>
          </w:tcPr>
          <w:p w:rsidR="007C5447" w:rsidRDefault="00F6308C">
            <w:pPr>
              <w:pStyle w:val="TableParagraph"/>
              <w:spacing w:before="52"/>
              <w:ind w:right="95"/>
              <w:rPr>
                <w:sz w:val="18"/>
              </w:rPr>
            </w:pPr>
            <w:r>
              <w:rPr>
                <w:sz w:val="18"/>
              </w:rPr>
              <w:t>0.28</w:t>
            </w:r>
          </w:p>
        </w:tc>
        <w:tc>
          <w:tcPr>
            <w:tcW w:w="1083" w:type="dxa"/>
          </w:tcPr>
          <w:p w:rsidR="007C5447" w:rsidRDefault="00F6308C">
            <w:pPr>
              <w:pStyle w:val="TableParagraph"/>
              <w:spacing w:before="52"/>
              <w:ind w:right="96"/>
              <w:rPr>
                <w:sz w:val="18"/>
              </w:rPr>
            </w:pPr>
            <w:r>
              <w:rPr>
                <w:sz w:val="18"/>
              </w:rPr>
              <w:t>641.18</w:t>
            </w:r>
          </w:p>
        </w:tc>
      </w:tr>
      <w:tr w:rsidR="007C5447">
        <w:trPr>
          <w:trHeight w:val="314"/>
        </w:trPr>
        <w:tc>
          <w:tcPr>
            <w:tcW w:w="703" w:type="dxa"/>
          </w:tcPr>
          <w:p w:rsidR="007C5447" w:rsidRDefault="00F6308C">
            <w:pPr>
              <w:pStyle w:val="TableParagraph"/>
              <w:spacing w:before="55"/>
              <w:ind w:left="107"/>
              <w:jc w:val="left"/>
              <w:rPr>
                <w:sz w:val="18"/>
              </w:rPr>
            </w:pPr>
            <w:r>
              <w:rPr>
                <w:sz w:val="18"/>
              </w:rPr>
              <w:t>7</w:t>
            </w:r>
          </w:p>
        </w:tc>
        <w:tc>
          <w:tcPr>
            <w:tcW w:w="1891" w:type="dxa"/>
          </w:tcPr>
          <w:p w:rsidR="007C5447" w:rsidRDefault="00F6308C">
            <w:pPr>
              <w:pStyle w:val="TableParagraph"/>
              <w:spacing w:before="55"/>
              <w:ind w:left="107"/>
              <w:jc w:val="left"/>
              <w:rPr>
                <w:sz w:val="18"/>
              </w:rPr>
            </w:pPr>
            <w:r>
              <w:rPr>
                <w:sz w:val="18"/>
              </w:rPr>
              <w:t>Tirumakottai GTPS</w:t>
            </w:r>
          </w:p>
        </w:tc>
        <w:tc>
          <w:tcPr>
            <w:tcW w:w="1034" w:type="dxa"/>
          </w:tcPr>
          <w:p w:rsidR="007C5447" w:rsidRDefault="00F6308C">
            <w:pPr>
              <w:pStyle w:val="TableParagraph"/>
              <w:spacing w:before="55"/>
              <w:ind w:right="94"/>
              <w:rPr>
                <w:sz w:val="18"/>
              </w:rPr>
            </w:pPr>
            <w:r>
              <w:rPr>
                <w:sz w:val="18"/>
              </w:rPr>
              <w:t>15.38</w:t>
            </w:r>
          </w:p>
        </w:tc>
        <w:tc>
          <w:tcPr>
            <w:tcW w:w="1035" w:type="dxa"/>
          </w:tcPr>
          <w:p w:rsidR="007C5447" w:rsidRDefault="00F6308C">
            <w:pPr>
              <w:pStyle w:val="TableParagraph"/>
              <w:spacing w:before="55"/>
              <w:ind w:right="94"/>
              <w:rPr>
                <w:sz w:val="18"/>
              </w:rPr>
            </w:pPr>
            <w:r>
              <w:rPr>
                <w:sz w:val="18"/>
              </w:rPr>
              <w:t>72.33</w:t>
            </w:r>
          </w:p>
        </w:tc>
        <w:tc>
          <w:tcPr>
            <w:tcW w:w="1034" w:type="dxa"/>
          </w:tcPr>
          <w:p w:rsidR="007C5447" w:rsidRDefault="00F6308C">
            <w:pPr>
              <w:pStyle w:val="TableParagraph"/>
              <w:spacing w:before="55"/>
              <w:ind w:right="96"/>
              <w:rPr>
                <w:sz w:val="18"/>
              </w:rPr>
            </w:pPr>
            <w:r>
              <w:rPr>
                <w:sz w:val="18"/>
              </w:rPr>
              <w:t>8.17</w:t>
            </w:r>
          </w:p>
        </w:tc>
        <w:tc>
          <w:tcPr>
            <w:tcW w:w="1034" w:type="dxa"/>
          </w:tcPr>
          <w:p w:rsidR="007C5447" w:rsidRDefault="00F6308C">
            <w:pPr>
              <w:pStyle w:val="TableParagraph"/>
              <w:spacing w:before="55"/>
              <w:ind w:right="93"/>
              <w:rPr>
                <w:sz w:val="18"/>
              </w:rPr>
            </w:pPr>
            <w:r>
              <w:rPr>
                <w:sz w:val="18"/>
              </w:rPr>
              <w:t>14.80</w:t>
            </w:r>
          </w:p>
        </w:tc>
        <w:tc>
          <w:tcPr>
            <w:tcW w:w="1106" w:type="dxa"/>
          </w:tcPr>
          <w:p w:rsidR="007C5447" w:rsidRDefault="00F6308C">
            <w:pPr>
              <w:pStyle w:val="TableParagraph"/>
              <w:spacing w:before="55"/>
              <w:ind w:right="95"/>
              <w:rPr>
                <w:sz w:val="18"/>
              </w:rPr>
            </w:pPr>
            <w:r>
              <w:rPr>
                <w:sz w:val="18"/>
              </w:rPr>
              <w:t>6.13</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1"/>
              <w:rPr>
                <w:sz w:val="18"/>
              </w:rPr>
            </w:pPr>
            <w:r>
              <w:rPr>
                <w:sz w:val="18"/>
              </w:rPr>
              <w:t>(0.41)</w:t>
            </w:r>
          </w:p>
        </w:tc>
        <w:tc>
          <w:tcPr>
            <w:tcW w:w="1056" w:type="dxa"/>
          </w:tcPr>
          <w:p w:rsidR="007C5447" w:rsidRDefault="00F6308C">
            <w:pPr>
              <w:pStyle w:val="TableParagraph"/>
              <w:spacing w:before="55"/>
              <w:ind w:right="95"/>
              <w:rPr>
                <w:sz w:val="18"/>
              </w:rPr>
            </w:pPr>
            <w:r>
              <w:rPr>
                <w:sz w:val="18"/>
              </w:rPr>
              <w:t>0.41</w:t>
            </w:r>
          </w:p>
        </w:tc>
        <w:tc>
          <w:tcPr>
            <w:tcW w:w="1057" w:type="dxa"/>
          </w:tcPr>
          <w:p w:rsidR="007C5447" w:rsidRDefault="00F6308C">
            <w:pPr>
              <w:pStyle w:val="TableParagraph"/>
              <w:spacing w:before="55"/>
              <w:ind w:right="95"/>
              <w:rPr>
                <w:sz w:val="18"/>
              </w:rPr>
            </w:pPr>
            <w:r>
              <w:rPr>
                <w:sz w:val="18"/>
              </w:rPr>
              <w:t>1.93</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0.01</w:t>
            </w:r>
          </w:p>
        </w:tc>
        <w:tc>
          <w:tcPr>
            <w:tcW w:w="1083" w:type="dxa"/>
          </w:tcPr>
          <w:p w:rsidR="007C5447" w:rsidRDefault="00F6308C">
            <w:pPr>
              <w:pStyle w:val="TableParagraph"/>
              <w:spacing w:before="55"/>
              <w:ind w:right="96"/>
              <w:rPr>
                <w:sz w:val="18"/>
              </w:rPr>
            </w:pPr>
            <w:r>
              <w:rPr>
                <w:sz w:val="18"/>
              </w:rPr>
              <w:t>114.88</w:t>
            </w:r>
          </w:p>
        </w:tc>
      </w:tr>
      <w:tr w:rsidR="007C5447">
        <w:trPr>
          <w:trHeight w:val="316"/>
        </w:trPr>
        <w:tc>
          <w:tcPr>
            <w:tcW w:w="703" w:type="dxa"/>
          </w:tcPr>
          <w:p w:rsidR="007C5447" w:rsidRDefault="00F6308C">
            <w:pPr>
              <w:pStyle w:val="TableParagraph"/>
              <w:spacing w:before="55"/>
              <w:ind w:left="107"/>
              <w:jc w:val="left"/>
              <w:rPr>
                <w:sz w:val="18"/>
              </w:rPr>
            </w:pPr>
            <w:r>
              <w:rPr>
                <w:sz w:val="18"/>
              </w:rPr>
              <w:t>8</w:t>
            </w:r>
          </w:p>
        </w:tc>
        <w:tc>
          <w:tcPr>
            <w:tcW w:w="1891" w:type="dxa"/>
          </w:tcPr>
          <w:p w:rsidR="007C5447" w:rsidRDefault="00F6308C">
            <w:pPr>
              <w:pStyle w:val="TableParagraph"/>
              <w:spacing w:before="55"/>
              <w:ind w:left="107"/>
              <w:jc w:val="left"/>
              <w:rPr>
                <w:sz w:val="18"/>
              </w:rPr>
            </w:pPr>
            <w:r>
              <w:rPr>
                <w:sz w:val="18"/>
              </w:rPr>
              <w:t>Kuttalam GTPS</w:t>
            </w:r>
          </w:p>
        </w:tc>
        <w:tc>
          <w:tcPr>
            <w:tcW w:w="1034" w:type="dxa"/>
          </w:tcPr>
          <w:p w:rsidR="007C5447" w:rsidRDefault="00F6308C">
            <w:pPr>
              <w:pStyle w:val="TableParagraph"/>
              <w:spacing w:before="55"/>
              <w:ind w:right="94"/>
              <w:rPr>
                <w:sz w:val="18"/>
              </w:rPr>
            </w:pPr>
            <w:r>
              <w:rPr>
                <w:sz w:val="18"/>
              </w:rPr>
              <w:t>11.98</w:t>
            </w:r>
          </w:p>
        </w:tc>
        <w:tc>
          <w:tcPr>
            <w:tcW w:w="1035" w:type="dxa"/>
          </w:tcPr>
          <w:p w:rsidR="007C5447" w:rsidRDefault="00F6308C">
            <w:pPr>
              <w:pStyle w:val="TableParagraph"/>
              <w:spacing w:before="55"/>
              <w:ind w:right="94"/>
              <w:rPr>
                <w:sz w:val="18"/>
              </w:rPr>
            </w:pPr>
            <w:r>
              <w:rPr>
                <w:sz w:val="18"/>
              </w:rPr>
              <w:t>49.30</w:t>
            </w:r>
          </w:p>
        </w:tc>
        <w:tc>
          <w:tcPr>
            <w:tcW w:w="1034" w:type="dxa"/>
          </w:tcPr>
          <w:p w:rsidR="007C5447" w:rsidRDefault="00F6308C">
            <w:pPr>
              <w:pStyle w:val="TableParagraph"/>
              <w:spacing w:before="55"/>
              <w:ind w:right="96"/>
              <w:rPr>
                <w:sz w:val="18"/>
              </w:rPr>
            </w:pPr>
            <w:r>
              <w:rPr>
                <w:sz w:val="18"/>
              </w:rPr>
              <w:t>5.53</w:t>
            </w:r>
          </w:p>
        </w:tc>
        <w:tc>
          <w:tcPr>
            <w:tcW w:w="1034" w:type="dxa"/>
          </w:tcPr>
          <w:p w:rsidR="007C5447" w:rsidRDefault="00F6308C">
            <w:pPr>
              <w:pStyle w:val="TableParagraph"/>
              <w:spacing w:before="55"/>
              <w:ind w:right="93"/>
              <w:rPr>
                <w:sz w:val="18"/>
              </w:rPr>
            </w:pPr>
            <w:r>
              <w:rPr>
                <w:sz w:val="18"/>
              </w:rPr>
              <w:t>11.52</w:t>
            </w:r>
          </w:p>
        </w:tc>
        <w:tc>
          <w:tcPr>
            <w:tcW w:w="1106" w:type="dxa"/>
          </w:tcPr>
          <w:p w:rsidR="007C5447" w:rsidRDefault="00F6308C">
            <w:pPr>
              <w:pStyle w:val="TableParagraph"/>
              <w:spacing w:before="55"/>
              <w:ind w:right="95"/>
              <w:rPr>
                <w:sz w:val="18"/>
              </w:rPr>
            </w:pPr>
            <w:r>
              <w:rPr>
                <w:sz w:val="18"/>
              </w:rPr>
              <w:t>5.79</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1"/>
              <w:rPr>
                <w:sz w:val="18"/>
              </w:rPr>
            </w:pPr>
            <w:r>
              <w:rPr>
                <w:sz w:val="18"/>
              </w:rPr>
              <w:t>(1.05)</w:t>
            </w:r>
          </w:p>
        </w:tc>
        <w:tc>
          <w:tcPr>
            <w:tcW w:w="1056" w:type="dxa"/>
          </w:tcPr>
          <w:p w:rsidR="007C5447" w:rsidRDefault="00F6308C">
            <w:pPr>
              <w:pStyle w:val="TableParagraph"/>
              <w:spacing w:before="55"/>
              <w:ind w:right="95"/>
              <w:rPr>
                <w:sz w:val="18"/>
              </w:rPr>
            </w:pPr>
            <w:r>
              <w:rPr>
                <w:sz w:val="18"/>
              </w:rPr>
              <w:t>0.13</w:t>
            </w:r>
          </w:p>
        </w:tc>
        <w:tc>
          <w:tcPr>
            <w:tcW w:w="1057" w:type="dxa"/>
          </w:tcPr>
          <w:p w:rsidR="007C5447" w:rsidRDefault="00F6308C">
            <w:pPr>
              <w:pStyle w:val="TableParagraph"/>
              <w:spacing w:before="55"/>
              <w:ind w:right="95"/>
              <w:rPr>
                <w:sz w:val="18"/>
              </w:rPr>
            </w:pPr>
            <w:r>
              <w:rPr>
                <w:sz w:val="18"/>
              </w:rPr>
              <w:t>0.02</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0.01</w:t>
            </w:r>
          </w:p>
        </w:tc>
        <w:tc>
          <w:tcPr>
            <w:tcW w:w="1083" w:type="dxa"/>
          </w:tcPr>
          <w:p w:rsidR="007C5447" w:rsidRDefault="00F6308C">
            <w:pPr>
              <w:pStyle w:val="TableParagraph"/>
              <w:spacing w:before="55"/>
              <w:ind w:right="93"/>
              <w:rPr>
                <w:sz w:val="18"/>
              </w:rPr>
            </w:pPr>
            <w:r>
              <w:rPr>
                <w:sz w:val="18"/>
              </w:rPr>
              <w:t>83.20</w:t>
            </w:r>
          </w:p>
        </w:tc>
      </w:tr>
      <w:tr w:rsidR="007C5447">
        <w:trPr>
          <w:trHeight w:val="314"/>
        </w:trPr>
        <w:tc>
          <w:tcPr>
            <w:tcW w:w="703" w:type="dxa"/>
          </w:tcPr>
          <w:p w:rsidR="007C5447" w:rsidRDefault="00F6308C">
            <w:pPr>
              <w:pStyle w:val="TableParagraph"/>
              <w:spacing w:before="52"/>
              <w:ind w:left="107"/>
              <w:jc w:val="left"/>
              <w:rPr>
                <w:sz w:val="18"/>
              </w:rPr>
            </w:pPr>
            <w:r>
              <w:rPr>
                <w:sz w:val="18"/>
              </w:rPr>
              <w:t>9</w:t>
            </w:r>
          </w:p>
        </w:tc>
        <w:tc>
          <w:tcPr>
            <w:tcW w:w="1891" w:type="dxa"/>
          </w:tcPr>
          <w:p w:rsidR="007C5447" w:rsidRDefault="00F6308C">
            <w:pPr>
              <w:pStyle w:val="TableParagraph"/>
              <w:spacing w:before="52"/>
              <w:ind w:left="107"/>
              <w:jc w:val="left"/>
              <w:rPr>
                <w:sz w:val="18"/>
              </w:rPr>
            </w:pPr>
            <w:r>
              <w:rPr>
                <w:sz w:val="18"/>
              </w:rPr>
              <w:t>Basin Bridge GTPS</w:t>
            </w:r>
          </w:p>
        </w:tc>
        <w:tc>
          <w:tcPr>
            <w:tcW w:w="1034" w:type="dxa"/>
          </w:tcPr>
          <w:p w:rsidR="007C5447" w:rsidRDefault="00F6308C">
            <w:pPr>
              <w:pStyle w:val="TableParagraph"/>
              <w:spacing w:before="52"/>
              <w:ind w:right="94"/>
              <w:rPr>
                <w:sz w:val="18"/>
              </w:rPr>
            </w:pPr>
            <w:r>
              <w:rPr>
                <w:sz w:val="18"/>
              </w:rPr>
              <w:t>18.81</w:t>
            </w:r>
          </w:p>
        </w:tc>
        <w:tc>
          <w:tcPr>
            <w:tcW w:w="1035" w:type="dxa"/>
          </w:tcPr>
          <w:p w:rsidR="007C5447" w:rsidRDefault="00F6308C">
            <w:pPr>
              <w:pStyle w:val="TableParagraph"/>
              <w:spacing w:before="52"/>
              <w:ind w:right="94"/>
              <w:rPr>
                <w:sz w:val="18"/>
              </w:rPr>
            </w:pPr>
            <w:r>
              <w:rPr>
                <w:sz w:val="18"/>
              </w:rPr>
              <w:t>91.20</w:t>
            </w:r>
          </w:p>
        </w:tc>
        <w:tc>
          <w:tcPr>
            <w:tcW w:w="1034" w:type="dxa"/>
          </w:tcPr>
          <w:p w:rsidR="007C5447" w:rsidRDefault="00F6308C">
            <w:pPr>
              <w:pStyle w:val="TableParagraph"/>
              <w:spacing w:before="52"/>
              <w:ind w:right="96"/>
              <w:rPr>
                <w:sz w:val="18"/>
              </w:rPr>
            </w:pPr>
            <w:r>
              <w:rPr>
                <w:sz w:val="18"/>
              </w:rPr>
              <w:t>5.98</w:t>
            </w:r>
          </w:p>
        </w:tc>
        <w:tc>
          <w:tcPr>
            <w:tcW w:w="1034" w:type="dxa"/>
          </w:tcPr>
          <w:p w:rsidR="007C5447" w:rsidRDefault="00F6308C">
            <w:pPr>
              <w:pStyle w:val="TableParagraph"/>
              <w:spacing w:before="52"/>
              <w:ind w:right="93"/>
              <w:rPr>
                <w:sz w:val="18"/>
              </w:rPr>
            </w:pPr>
            <w:r>
              <w:rPr>
                <w:sz w:val="18"/>
              </w:rPr>
              <w:t>18.09</w:t>
            </w:r>
          </w:p>
        </w:tc>
        <w:tc>
          <w:tcPr>
            <w:tcW w:w="1106" w:type="dxa"/>
          </w:tcPr>
          <w:p w:rsidR="007C5447" w:rsidRDefault="00F6308C">
            <w:pPr>
              <w:pStyle w:val="TableParagraph"/>
              <w:spacing w:before="52"/>
              <w:ind w:right="95"/>
              <w:rPr>
                <w:sz w:val="18"/>
              </w:rPr>
            </w:pPr>
            <w:r>
              <w:rPr>
                <w:sz w:val="18"/>
              </w:rPr>
              <w:t>5.04</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0.04</w:t>
            </w:r>
          </w:p>
        </w:tc>
        <w:tc>
          <w:tcPr>
            <w:tcW w:w="1056" w:type="dxa"/>
          </w:tcPr>
          <w:p w:rsidR="007C5447" w:rsidRDefault="00F6308C">
            <w:pPr>
              <w:pStyle w:val="TableParagraph"/>
              <w:spacing w:before="52"/>
              <w:ind w:right="91"/>
              <w:rPr>
                <w:sz w:val="18"/>
              </w:rPr>
            </w:pPr>
            <w:r>
              <w:rPr>
                <w:sz w:val="18"/>
              </w:rPr>
              <w:t>(0.01)</w:t>
            </w:r>
          </w:p>
        </w:tc>
        <w:tc>
          <w:tcPr>
            <w:tcW w:w="1057" w:type="dxa"/>
          </w:tcPr>
          <w:p w:rsidR="007C5447" w:rsidRDefault="00F6308C">
            <w:pPr>
              <w:pStyle w:val="TableParagraph"/>
              <w:spacing w:before="52"/>
              <w:ind w:right="95"/>
              <w:rPr>
                <w:sz w:val="18"/>
              </w:rPr>
            </w:pPr>
            <w:r>
              <w:rPr>
                <w:sz w:val="18"/>
              </w:rPr>
              <w:t>0.22</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0.14</w:t>
            </w:r>
          </w:p>
        </w:tc>
        <w:tc>
          <w:tcPr>
            <w:tcW w:w="1083" w:type="dxa"/>
          </w:tcPr>
          <w:p w:rsidR="007C5447" w:rsidRDefault="00F6308C">
            <w:pPr>
              <w:pStyle w:val="TableParagraph"/>
              <w:spacing w:before="52"/>
              <w:ind w:right="96"/>
              <w:rPr>
                <w:sz w:val="18"/>
              </w:rPr>
            </w:pPr>
            <w:r>
              <w:rPr>
                <w:sz w:val="18"/>
              </w:rPr>
              <w:t>139.08</w:t>
            </w:r>
          </w:p>
        </w:tc>
      </w:tr>
      <w:tr w:rsidR="007C5447">
        <w:trPr>
          <w:trHeight w:val="316"/>
        </w:trPr>
        <w:tc>
          <w:tcPr>
            <w:tcW w:w="703" w:type="dxa"/>
          </w:tcPr>
          <w:p w:rsidR="007C5447" w:rsidRDefault="00F6308C">
            <w:pPr>
              <w:pStyle w:val="TableParagraph"/>
              <w:spacing w:before="55"/>
              <w:ind w:left="107"/>
              <w:jc w:val="left"/>
              <w:rPr>
                <w:sz w:val="18"/>
              </w:rPr>
            </w:pPr>
            <w:r>
              <w:rPr>
                <w:sz w:val="18"/>
              </w:rPr>
              <w:t>10</w:t>
            </w:r>
          </w:p>
        </w:tc>
        <w:tc>
          <w:tcPr>
            <w:tcW w:w="1891" w:type="dxa"/>
          </w:tcPr>
          <w:p w:rsidR="007C5447" w:rsidRDefault="00F6308C">
            <w:pPr>
              <w:pStyle w:val="TableParagraph"/>
              <w:spacing w:before="55"/>
              <w:ind w:left="107"/>
              <w:jc w:val="left"/>
              <w:rPr>
                <w:sz w:val="18"/>
              </w:rPr>
            </w:pPr>
            <w:r>
              <w:rPr>
                <w:sz w:val="18"/>
              </w:rPr>
              <w:t>Valuthur GTPS</w:t>
            </w:r>
          </w:p>
        </w:tc>
        <w:tc>
          <w:tcPr>
            <w:tcW w:w="1034" w:type="dxa"/>
          </w:tcPr>
          <w:p w:rsidR="007C5447" w:rsidRDefault="00F6308C">
            <w:pPr>
              <w:pStyle w:val="TableParagraph"/>
              <w:spacing w:before="55"/>
              <w:ind w:right="94"/>
              <w:rPr>
                <w:sz w:val="18"/>
              </w:rPr>
            </w:pPr>
            <w:r>
              <w:rPr>
                <w:sz w:val="18"/>
              </w:rPr>
              <w:t>18.25</w:t>
            </w:r>
          </w:p>
        </w:tc>
        <w:tc>
          <w:tcPr>
            <w:tcW w:w="1035" w:type="dxa"/>
          </w:tcPr>
          <w:p w:rsidR="007C5447" w:rsidRDefault="00F6308C">
            <w:pPr>
              <w:pStyle w:val="TableParagraph"/>
              <w:spacing w:before="55"/>
              <w:ind w:right="94"/>
              <w:rPr>
                <w:sz w:val="18"/>
              </w:rPr>
            </w:pPr>
            <w:r>
              <w:rPr>
                <w:sz w:val="18"/>
              </w:rPr>
              <w:t>82.93</w:t>
            </w:r>
          </w:p>
        </w:tc>
        <w:tc>
          <w:tcPr>
            <w:tcW w:w="1034" w:type="dxa"/>
          </w:tcPr>
          <w:p w:rsidR="007C5447" w:rsidRDefault="00F6308C">
            <w:pPr>
              <w:pStyle w:val="TableParagraph"/>
              <w:spacing w:before="55"/>
              <w:ind w:right="93"/>
              <w:rPr>
                <w:sz w:val="18"/>
              </w:rPr>
            </w:pPr>
            <w:r>
              <w:rPr>
                <w:sz w:val="18"/>
              </w:rPr>
              <w:t>12.38</w:t>
            </w:r>
          </w:p>
        </w:tc>
        <w:tc>
          <w:tcPr>
            <w:tcW w:w="1034" w:type="dxa"/>
          </w:tcPr>
          <w:p w:rsidR="007C5447" w:rsidRDefault="00F6308C">
            <w:pPr>
              <w:pStyle w:val="TableParagraph"/>
              <w:spacing w:before="55"/>
              <w:ind w:right="93"/>
              <w:rPr>
                <w:sz w:val="18"/>
              </w:rPr>
            </w:pPr>
            <w:r>
              <w:rPr>
                <w:sz w:val="18"/>
              </w:rPr>
              <w:t>17.75</w:t>
            </w:r>
          </w:p>
        </w:tc>
        <w:tc>
          <w:tcPr>
            <w:tcW w:w="1106" w:type="dxa"/>
          </w:tcPr>
          <w:p w:rsidR="007C5447" w:rsidRDefault="00F6308C">
            <w:pPr>
              <w:pStyle w:val="TableParagraph"/>
              <w:spacing w:before="55"/>
              <w:ind w:right="95"/>
              <w:rPr>
                <w:sz w:val="18"/>
              </w:rPr>
            </w:pPr>
            <w:r>
              <w:rPr>
                <w:sz w:val="18"/>
              </w:rPr>
              <w:t>5.89</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1"/>
              <w:rPr>
                <w:sz w:val="18"/>
              </w:rPr>
            </w:pPr>
            <w:r>
              <w:rPr>
                <w:sz w:val="18"/>
              </w:rPr>
              <w:t>(7.54)</w:t>
            </w:r>
          </w:p>
        </w:tc>
        <w:tc>
          <w:tcPr>
            <w:tcW w:w="1056" w:type="dxa"/>
          </w:tcPr>
          <w:p w:rsidR="007C5447" w:rsidRDefault="00F6308C">
            <w:pPr>
              <w:pStyle w:val="TableParagraph"/>
              <w:spacing w:before="55"/>
              <w:ind w:right="95"/>
              <w:rPr>
                <w:sz w:val="18"/>
              </w:rPr>
            </w:pPr>
            <w:r>
              <w:rPr>
                <w:sz w:val="18"/>
              </w:rPr>
              <w:t>0.00</w:t>
            </w:r>
          </w:p>
        </w:tc>
        <w:tc>
          <w:tcPr>
            <w:tcW w:w="1057" w:type="dxa"/>
          </w:tcPr>
          <w:p w:rsidR="007C5447" w:rsidRDefault="00F6308C">
            <w:pPr>
              <w:pStyle w:val="TableParagraph"/>
              <w:spacing w:before="55"/>
              <w:ind w:right="95"/>
              <w:rPr>
                <w:sz w:val="18"/>
              </w:rPr>
            </w:pPr>
            <w:r>
              <w:rPr>
                <w:sz w:val="18"/>
              </w:rPr>
              <w:t>0.05</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0.19</w:t>
            </w:r>
          </w:p>
        </w:tc>
        <w:tc>
          <w:tcPr>
            <w:tcW w:w="1083" w:type="dxa"/>
          </w:tcPr>
          <w:p w:rsidR="007C5447" w:rsidRDefault="00F6308C">
            <w:pPr>
              <w:pStyle w:val="TableParagraph"/>
              <w:spacing w:before="55"/>
              <w:ind w:right="96"/>
              <w:rPr>
                <w:sz w:val="18"/>
              </w:rPr>
            </w:pPr>
            <w:r>
              <w:rPr>
                <w:sz w:val="18"/>
              </w:rPr>
              <w:t>129.80</w:t>
            </w:r>
          </w:p>
        </w:tc>
      </w:tr>
      <w:tr w:rsidR="007C5447">
        <w:trPr>
          <w:trHeight w:val="314"/>
        </w:trPr>
        <w:tc>
          <w:tcPr>
            <w:tcW w:w="703" w:type="dxa"/>
          </w:tcPr>
          <w:p w:rsidR="007C5447" w:rsidRDefault="00F6308C">
            <w:pPr>
              <w:pStyle w:val="TableParagraph"/>
              <w:spacing w:before="52"/>
              <w:ind w:left="107"/>
              <w:jc w:val="left"/>
              <w:rPr>
                <w:sz w:val="18"/>
              </w:rPr>
            </w:pPr>
            <w:r>
              <w:rPr>
                <w:sz w:val="18"/>
              </w:rPr>
              <w:t>11</w:t>
            </w:r>
          </w:p>
        </w:tc>
        <w:tc>
          <w:tcPr>
            <w:tcW w:w="1891" w:type="dxa"/>
          </w:tcPr>
          <w:p w:rsidR="007C5447" w:rsidRDefault="00F6308C">
            <w:pPr>
              <w:pStyle w:val="TableParagraph"/>
              <w:spacing w:before="52"/>
              <w:ind w:left="107"/>
              <w:jc w:val="left"/>
              <w:rPr>
                <w:sz w:val="18"/>
              </w:rPr>
            </w:pPr>
            <w:r>
              <w:rPr>
                <w:sz w:val="18"/>
              </w:rPr>
              <w:t>Erode HEP</w:t>
            </w:r>
          </w:p>
        </w:tc>
        <w:tc>
          <w:tcPr>
            <w:tcW w:w="1034" w:type="dxa"/>
          </w:tcPr>
          <w:p w:rsidR="007C5447" w:rsidRDefault="00F6308C">
            <w:pPr>
              <w:pStyle w:val="TableParagraph"/>
              <w:spacing w:before="52"/>
              <w:ind w:right="94"/>
              <w:rPr>
                <w:sz w:val="18"/>
              </w:rPr>
            </w:pPr>
            <w:r>
              <w:rPr>
                <w:sz w:val="18"/>
              </w:rPr>
              <w:t>23.75</w:t>
            </w:r>
          </w:p>
        </w:tc>
        <w:tc>
          <w:tcPr>
            <w:tcW w:w="1035" w:type="dxa"/>
          </w:tcPr>
          <w:p w:rsidR="007C5447" w:rsidRDefault="00F6308C">
            <w:pPr>
              <w:pStyle w:val="TableParagraph"/>
              <w:spacing w:before="52"/>
              <w:ind w:right="97"/>
              <w:rPr>
                <w:sz w:val="18"/>
              </w:rPr>
            </w:pPr>
            <w:r>
              <w:rPr>
                <w:sz w:val="18"/>
              </w:rPr>
              <w:t>114.20</w:t>
            </w:r>
          </w:p>
        </w:tc>
        <w:tc>
          <w:tcPr>
            <w:tcW w:w="1034" w:type="dxa"/>
          </w:tcPr>
          <w:p w:rsidR="007C5447" w:rsidRDefault="00F6308C">
            <w:pPr>
              <w:pStyle w:val="TableParagraph"/>
              <w:spacing w:before="52"/>
              <w:ind w:right="96"/>
              <w:rPr>
                <w:sz w:val="18"/>
              </w:rPr>
            </w:pPr>
            <w:r>
              <w:rPr>
                <w:sz w:val="18"/>
              </w:rPr>
              <w:t>5.44</w:t>
            </w:r>
          </w:p>
        </w:tc>
        <w:tc>
          <w:tcPr>
            <w:tcW w:w="1034" w:type="dxa"/>
          </w:tcPr>
          <w:p w:rsidR="007C5447" w:rsidRDefault="00F6308C">
            <w:pPr>
              <w:pStyle w:val="TableParagraph"/>
              <w:spacing w:before="52"/>
              <w:ind w:right="93"/>
              <w:rPr>
                <w:sz w:val="18"/>
              </w:rPr>
            </w:pPr>
            <w:r>
              <w:rPr>
                <w:sz w:val="18"/>
              </w:rPr>
              <w:t>22.84</w:t>
            </w:r>
          </w:p>
        </w:tc>
        <w:tc>
          <w:tcPr>
            <w:tcW w:w="1106" w:type="dxa"/>
          </w:tcPr>
          <w:p w:rsidR="007C5447" w:rsidRDefault="00F6308C">
            <w:pPr>
              <w:pStyle w:val="TableParagraph"/>
              <w:spacing w:before="52"/>
              <w:ind w:right="92"/>
              <w:rPr>
                <w:sz w:val="18"/>
              </w:rPr>
            </w:pPr>
            <w:r>
              <w:rPr>
                <w:sz w:val="18"/>
              </w:rPr>
              <w:t>26.43</w:t>
            </w:r>
          </w:p>
        </w:tc>
        <w:tc>
          <w:tcPr>
            <w:tcW w:w="1056" w:type="dxa"/>
          </w:tcPr>
          <w:p w:rsidR="007C5447" w:rsidRDefault="00F6308C">
            <w:pPr>
              <w:pStyle w:val="TableParagraph"/>
              <w:spacing w:before="52"/>
              <w:ind w:right="95"/>
              <w:rPr>
                <w:sz w:val="18"/>
              </w:rPr>
            </w:pPr>
            <w:r>
              <w:rPr>
                <w:sz w:val="18"/>
              </w:rPr>
              <w:t>0.00</w:t>
            </w:r>
          </w:p>
        </w:tc>
        <w:tc>
          <w:tcPr>
            <w:tcW w:w="1056" w:type="dxa"/>
          </w:tcPr>
          <w:p w:rsidR="007C5447" w:rsidRDefault="00F6308C">
            <w:pPr>
              <w:pStyle w:val="TableParagraph"/>
              <w:spacing w:before="52"/>
              <w:ind w:right="95"/>
              <w:rPr>
                <w:sz w:val="18"/>
              </w:rPr>
            </w:pPr>
            <w:r>
              <w:rPr>
                <w:sz w:val="18"/>
              </w:rPr>
              <w:t>0.18</w:t>
            </w:r>
          </w:p>
        </w:tc>
        <w:tc>
          <w:tcPr>
            <w:tcW w:w="1056" w:type="dxa"/>
          </w:tcPr>
          <w:p w:rsidR="007C5447" w:rsidRDefault="00F6308C">
            <w:pPr>
              <w:pStyle w:val="TableParagraph"/>
              <w:spacing w:before="52"/>
              <w:ind w:right="95"/>
              <w:rPr>
                <w:sz w:val="18"/>
              </w:rPr>
            </w:pPr>
            <w:r>
              <w:rPr>
                <w:sz w:val="18"/>
              </w:rPr>
              <w:t>0.10</w:t>
            </w:r>
          </w:p>
        </w:tc>
        <w:tc>
          <w:tcPr>
            <w:tcW w:w="1057" w:type="dxa"/>
          </w:tcPr>
          <w:p w:rsidR="007C5447" w:rsidRDefault="00F6308C">
            <w:pPr>
              <w:pStyle w:val="TableParagraph"/>
              <w:spacing w:before="52"/>
              <w:ind w:right="95"/>
              <w:rPr>
                <w:sz w:val="18"/>
              </w:rPr>
            </w:pPr>
            <w:r>
              <w:rPr>
                <w:sz w:val="18"/>
              </w:rPr>
              <w:t>0.25</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0.77</w:t>
            </w:r>
          </w:p>
        </w:tc>
        <w:tc>
          <w:tcPr>
            <w:tcW w:w="1083" w:type="dxa"/>
          </w:tcPr>
          <w:p w:rsidR="007C5447" w:rsidRDefault="00F6308C">
            <w:pPr>
              <w:pStyle w:val="TableParagraph"/>
              <w:spacing w:before="52"/>
              <w:ind w:right="96"/>
              <w:rPr>
                <w:sz w:val="18"/>
              </w:rPr>
            </w:pPr>
            <w:r>
              <w:rPr>
                <w:sz w:val="18"/>
              </w:rPr>
              <w:t>193.46</w:t>
            </w:r>
          </w:p>
        </w:tc>
      </w:tr>
      <w:tr w:rsidR="007C5447">
        <w:trPr>
          <w:trHeight w:val="313"/>
        </w:trPr>
        <w:tc>
          <w:tcPr>
            <w:tcW w:w="703" w:type="dxa"/>
          </w:tcPr>
          <w:p w:rsidR="007C5447" w:rsidRDefault="00F6308C">
            <w:pPr>
              <w:pStyle w:val="TableParagraph"/>
              <w:spacing w:before="55"/>
              <w:ind w:left="107"/>
              <w:jc w:val="left"/>
              <w:rPr>
                <w:sz w:val="18"/>
              </w:rPr>
            </w:pPr>
            <w:r>
              <w:rPr>
                <w:sz w:val="18"/>
              </w:rPr>
              <w:t>12</w:t>
            </w:r>
          </w:p>
        </w:tc>
        <w:tc>
          <w:tcPr>
            <w:tcW w:w="1891" w:type="dxa"/>
          </w:tcPr>
          <w:p w:rsidR="007C5447" w:rsidRDefault="00F6308C">
            <w:pPr>
              <w:pStyle w:val="TableParagraph"/>
              <w:spacing w:before="55"/>
              <w:ind w:left="107"/>
              <w:jc w:val="left"/>
              <w:rPr>
                <w:sz w:val="18"/>
              </w:rPr>
            </w:pPr>
            <w:r>
              <w:rPr>
                <w:sz w:val="18"/>
              </w:rPr>
              <w:t>Kadamparai HEP</w:t>
            </w:r>
          </w:p>
        </w:tc>
        <w:tc>
          <w:tcPr>
            <w:tcW w:w="1034" w:type="dxa"/>
          </w:tcPr>
          <w:p w:rsidR="007C5447" w:rsidRDefault="00F6308C">
            <w:pPr>
              <w:pStyle w:val="TableParagraph"/>
              <w:spacing w:before="55"/>
              <w:ind w:right="94"/>
              <w:rPr>
                <w:sz w:val="18"/>
              </w:rPr>
            </w:pPr>
            <w:r>
              <w:rPr>
                <w:sz w:val="18"/>
              </w:rPr>
              <w:t>12.40</w:t>
            </w:r>
          </w:p>
        </w:tc>
        <w:tc>
          <w:tcPr>
            <w:tcW w:w="1035" w:type="dxa"/>
          </w:tcPr>
          <w:p w:rsidR="007C5447" w:rsidRDefault="00F6308C">
            <w:pPr>
              <w:pStyle w:val="TableParagraph"/>
              <w:spacing w:before="55"/>
              <w:ind w:right="94"/>
              <w:rPr>
                <w:sz w:val="18"/>
              </w:rPr>
            </w:pPr>
            <w:r>
              <w:rPr>
                <w:sz w:val="18"/>
              </w:rPr>
              <w:t>58.45</w:t>
            </w:r>
          </w:p>
        </w:tc>
        <w:tc>
          <w:tcPr>
            <w:tcW w:w="1034" w:type="dxa"/>
          </w:tcPr>
          <w:p w:rsidR="007C5447" w:rsidRDefault="00F6308C">
            <w:pPr>
              <w:pStyle w:val="TableParagraph"/>
              <w:spacing w:before="55"/>
              <w:ind w:right="95"/>
              <w:rPr>
                <w:sz w:val="18"/>
              </w:rPr>
            </w:pPr>
            <w:r>
              <w:rPr>
                <w:sz w:val="18"/>
              </w:rPr>
              <w:t>3.13</w:t>
            </w:r>
          </w:p>
        </w:tc>
        <w:tc>
          <w:tcPr>
            <w:tcW w:w="1034" w:type="dxa"/>
          </w:tcPr>
          <w:p w:rsidR="007C5447" w:rsidRDefault="00F6308C">
            <w:pPr>
              <w:pStyle w:val="TableParagraph"/>
              <w:spacing w:before="55"/>
              <w:ind w:right="93"/>
              <w:rPr>
                <w:sz w:val="18"/>
              </w:rPr>
            </w:pPr>
            <w:r>
              <w:rPr>
                <w:sz w:val="18"/>
              </w:rPr>
              <w:t>11.93</w:t>
            </w:r>
          </w:p>
        </w:tc>
        <w:tc>
          <w:tcPr>
            <w:tcW w:w="1106" w:type="dxa"/>
          </w:tcPr>
          <w:p w:rsidR="007C5447" w:rsidRDefault="00F6308C">
            <w:pPr>
              <w:pStyle w:val="TableParagraph"/>
              <w:spacing w:before="55"/>
              <w:ind w:right="92"/>
              <w:rPr>
                <w:sz w:val="18"/>
              </w:rPr>
            </w:pPr>
            <w:r>
              <w:rPr>
                <w:sz w:val="18"/>
              </w:rPr>
              <w:t>20.80</w:t>
            </w:r>
          </w:p>
        </w:tc>
        <w:tc>
          <w:tcPr>
            <w:tcW w:w="1056" w:type="dxa"/>
          </w:tcPr>
          <w:p w:rsidR="007C5447" w:rsidRDefault="00F6308C">
            <w:pPr>
              <w:pStyle w:val="TableParagraph"/>
              <w:spacing w:before="55"/>
              <w:ind w:right="95"/>
              <w:rPr>
                <w:sz w:val="18"/>
              </w:rPr>
            </w:pPr>
            <w:r>
              <w:rPr>
                <w:sz w:val="18"/>
              </w:rPr>
              <w:t>0.00</w:t>
            </w:r>
          </w:p>
        </w:tc>
        <w:tc>
          <w:tcPr>
            <w:tcW w:w="1056" w:type="dxa"/>
          </w:tcPr>
          <w:p w:rsidR="007C5447" w:rsidRDefault="00F6308C">
            <w:pPr>
              <w:pStyle w:val="TableParagraph"/>
              <w:spacing w:before="55"/>
              <w:ind w:right="95"/>
              <w:rPr>
                <w:sz w:val="18"/>
              </w:rPr>
            </w:pPr>
            <w:r>
              <w:rPr>
                <w:sz w:val="18"/>
              </w:rPr>
              <w:t>0.81</w:t>
            </w:r>
          </w:p>
        </w:tc>
        <w:tc>
          <w:tcPr>
            <w:tcW w:w="1056" w:type="dxa"/>
          </w:tcPr>
          <w:p w:rsidR="007C5447" w:rsidRDefault="00F6308C">
            <w:pPr>
              <w:pStyle w:val="TableParagraph"/>
              <w:spacing w:before="55"/>
              <w:ind w:right="95"/>
              <w:rPr>
                <w:sz w:val="18"/>
              </w:rPr>
            </w:pPr>
            <w:r>
              <w:rPr>
                <w:sz w:val="18"/>
              </w:rPr>
              <w:t>2.90</w:t>
            </w:r>
          </w:p>
        </w:tc>
        <w:tc>
          <w:tcPr>
            <w:tcW w:w="1057" w:type="dxa"/>
          </w:tcPr>
          <w:p w:rsidR="007C5447" w:rsidRDefault="00F6308C">
            <w:pPr>
              <w:pStyle w:val="TableParagraph"/>
              <w:spacing w:before="55"/>
              <w:ind w:right="95"/>
              <w:rPr>
                <w:sz w:val="18"/>
              </w:rPr>
            </w:pPr>
            <w:r>
              <w:rPr>
                <w:sz w:val="18"/>
              </w:rPr>
              <w:t>0.30</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0.55</w:t>
            </w:r>
          </w:p>
        </w:tc>
        <w:tc>
          <w:tcPr>
            <w:tcW w:w="1083" w:type="dxa"/>
          </w:tcPr>
          <w:p w:rsidR="007C5447" w:rsidRDefault="00F6308C">
            <w:pPr>
              <w:pStyle w:val="TableParagraph"/>
              <w:spacing w:before="55"/>
              <w:ind w:right="96"/>
              <w:rPr>
                <w:sz w:val="18"/>
              </w:rPr>
            </w:pPr>
            <w:r>
              <w:rPr>
                <w:sz w:val="18"/>
              </w:rPr>
              <w:t>110.68</w:t>
            </w:r>
          </w:p>
        </w:tc>
      </w:tr>
      <w:tr w:rsidR="007C5447">
        <w:trPr>
          <w:trHeight w:val="316"/>
        </w:trPr>
        <w:tc>
          <w:tcPr>
            <w:tcW w:w="703" w:type="dxa"/>
          </w:tcPr>
          <w:p w:rsidR="007C5447" w:rsidRDefault="00F6308C">
            <w:pPr>
              <w:pStyle w:val="TableParagraph"/>
              <w:spacing w:before="55"/>
              <w:ind w:left="107"/>
              <w:jc w:val="left"/>
              <w:rPr>
                <w:sz w:val="18"/>
              </w:rPr>
            </w:pPr>
            <w:r>
              <w:rPr>
                <w:sz w:val="18"/>
              </w:rPr>
              <w:t>13</w:t>
            </w:r>
          </w:p>
        </w:tc>
        <w:tc>
          <w:tcPr>
            <w:tcW w:w="1891" w:type="dxa"/>
          </w:tcPr>
          <w:p w:rsidR="007C5447" w:rsidRDefault="00F6308C">
            <w:pPr>
              <w:pStyle w:val="TableParagraph"/>
              <w:spacing w:before="55"/>
              <w:ind w:left="107"/>
              <w:jc w:val="left"/>
              <w:rPr>
                <w:sz w:val="18"/>
              </w:rPr>
            </w:pPr>
            <w:r>
              <w:rPr>
                <w:sz w:val="18"/>
              </w:rPr>
              <w:t>Kundah HEP</w:t>
            </w:r>
          </w:p>
        </w:tc>
        <w:tc>
          <w:tcPr>
            <w:tcW w:w="1034" w:type="dxa"/>
          </w:tcPr>
          <w:p w:rsidR="007C5447" w:rsidRDefault="00F6308C">
            <w:pPr>
              <w:pStyle w:val="TableParagraph"/>
              <w:spacing w:before="55"/>
              <w:ind w:right="94"/>
              <w:rPr>
                <w:sz w:val="18"/>
              </w:rPr>
            </w:pPr>
            <w:r>
              <w:rPr>
                <w:sz w:val="18"/>
              </w:rPr>
              <w:t>32.61</w:t>
            </w:r>
          </w:p>
        </w:tc>
        <w:tc>
          <w:tcPr>
            <w:tcW w:w="1035" w:type="dxa"/>
          </w:tcPr>
          <w:p w:rsidR="007C5447" w:rsidRDefault="00F6308C">
            <w:pPr>
              <w:pStyle w:val="TableParagraph"/>
              <w:spacing w:before="55"/>
              <w:ind w:right="97"/>
              <w:rPr>
                <w:sz w:val="18"/>
              </w:rPr>
            </w:pPr>
            <w:r>
              <w:rPr>
                <w:sz w:val="18"/>
              </w:rPr>
              <w:t>155.49</w:t>
            </w:r>
          </w:p>
        </w:tc>
        <w:tc>
          <w:tcPr>
            <w:tcW w:w="1034" w:type="dxa"/>
          </w:tcPr>
          <w:p w:rsidR="007C5447" w:rsidRDefault="00F6308C">
            <w:pPr>
              <w:pStyle w:val="TableParagraph"/>
              <w:spacing w:before="55"/>
              <w:ind w:right="96"/>
              <w:rPr>
                <w:sz w:val="18"/>
              </w:rPr>
            </w:pPr>
            <w:r>
              <w:rPr>
                <w:sz w:val="18"/>
              </w:rPr>
              <w:t>7.22</w:t>
            </w:r>
          </w:p>
        </w:tc>
        <w:tc>
          <w:tcPr>
            <w:tcW w:w="1034" w:type="dxa"/>
          </w:tcPr>
          <w:p w:rsidR="007C5447" w:rsidRDefault="00F6308C">
            <w:pPr>
              <w:pStyle w:val="TableParagraph"/>
              <w:spacing w:before="55"/>
              <w:ind w:right="93"/>
              <w:rPr>
                <w:sz w:val="18"/>
              </w:rPr>
            </w:pPr>
            <w:r>
              <w:rPr>
                <w:sz w:val="18"/>
              </w:rPr>
              <w:t>31.37</w:t>
            </w:r>
          </w:p>
        </w:tc>
        <w:tc>
          <w:tcPr>
            <w:tcW w:w="1106" w:type="dxa"/>
          </w:tcPr>
          <w:p w:rsidR="007C5447" w:rsidRDefault="00F6308C">
            <w:pPr>
              <w:pStyle w:val="TableParagraph"/>
              <w:spacing w:before="55"/>
              <w:ind w:right="92"/>
              <w:rPr>
                <w:sz w:val="18"/>
              </w:rPr>
            </w:pPr>
            <w:r>
              <w:rPr>
                <w:sz w:val="18"/>
              </w:rPr>
              <w:t>24.65</w:t>
            </w:r>
          </w:p>
        </w:tc>
        <w:tc>
          <w:tcPr>
            <w:tcW w:w="1056" w:type="dxa"/>
          </w:tcPr>
          <w:p w:rsidR="007C5447" w:rsidRDefault="00F6308C">
            <w:pPr>
              <w:pStyle w:val="TableParagraph"/>
              <w:spacing w:before="55"/>
              <w:ind w:right="95"/>
              <w:rPr>
                <w:sz w:val="18"/>
              </w:rPr>
            </w:pPr>
            <w:r>
              <w:rPr>
                <w:sz w:val="18"/>
              </w:rPr>
              <w:t>0.15</w:t>
            </w:r>
          </w:p>
        </w:tc>
        <w:tc>
          <w:tcPr>
            <w:tcW w:w="1056" w:type="dxa"/>
          </w:tcPr>
          <w:p w:rsidR="007C5447" w:rsidRDefault="00F6308C">
            <w:pPr>
              <w:pStyle w:val="TableParagraph"/>
              <w:spacing w:before="55"/>
              <w:ind w:right="95"/>
              <w:rPr>
                <w:sz w:val="18"/>
              </w:rPr>
            </w:pPr>
            <w:r>
              <w:rPr>
                <w:sz w:val="18"/>
              </w:rPr>
              <w:t>1.01</w:t>
            </w:r>
          </w:p>
        </w:tc>
        <w:tc>
          <w:tcPr>
            <w:tcW w:w="1056" w:type="dxa"/>
          </w:tcPr>
          <w:p w:rsidR="007C5447" w:rsidRDefault="00F6308C">
            <w:pPr>
              <w:pStyle w:val="TableParagraph"/>
              <w:spacing w:before="55"/>
              <w:ind w:right="95"/>
              <w:rPr>
                <w:sz w:val="18"/>
              </w:rPr>
            </w:pPr>
            <w:r>
              <w:rPr>
                <w:sz w:val="18"/>
              </w:rPr>
              <w:t>7.91</w:t>
            </w:r>
          </w:p>
        </w:tc>
        <w:tc>
          <w:tcPr>
            <w:tcW w:w="1057" w:type="dxa"/>
          </w:tcPr>
          <w:p w:rsidR="007C5447" w:rsidRDefault="00F6308C">
            <w:pPr>
              <w:pStyle w:val="TableParagraph"/>
              <w:spacing w:before="55"/>
              <w:ind w:right="95"/>
              <w:rPr>
                <w:sz w:val="18"/>
              </w:rPr>
            </w:pPr>
            <w:r>
              <w:rPr>
                <w:sz w:val="18"/>
              </w:rPr>
              <w:t>1.05</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0.30</w:t>
            </w:r>
          </w:p>
        </w:tc>
        <w:tc>
          <w:tcPr>
            <w:tcW w:w="1083" w:type="dxa"/>
          </w:tcPr>
          <w:p w:rsidR="007C5447" w:rsidRDefault="00F6308C">
            <w:pPr>
              <w:pStyle w:val="TableParagraph"/>
              <w:spacing w:before="55"/>
              <w:ind w:right="96"/>
              <w:rPr>
                <w:sz w:val="18"/>
              </w:rPr>
            </w:pPr>
            <w:r>
              <w:rPr>
                <w:sz w:val="18"/>
              </w:rPr>
              <w:t>259.64</w:t>
            </w:r>
          </w:p>
        </w:tc>
      </w:tr>
      <w:tr w:rsidR="007C5447">
        <w:trPr>
          <w:trHeight w:val="314"/>
        </w:trPr>
        <w:tc>
          <w:tcPr>
            <w:tcW w:w="703" w:type="dxa"/>
          </w:tcPr>
          <w:p w:rsidR="007C5447" w:rsidRDefault="00F6308C">
            <w:pPr>
              <w:pStyle w:val="TableParagraph"/>
              <w:spacing w:before="55"/>
              <w:ind w:left="107"/>
              <w:jc w:val="left"/>
              <w:rPr>
                <w:sz w:val="18"/>
              </w:rPr>
            </w:pPr>
            <w:r>
              <w:rPr>
                <w:sz w:val="18"/>
              </w:rPr>
              <w:t>14</w:t>
            </w:r>
          </w:p>
        </w:tc>
        <w:tc>
          <w:tcPr>
            <w:tcW w:w="1891" w:type="dxa"/>
          </w:tcPr>
          <w:p w:rsidR="007C5447" w:rsidRDefault="00F6308C">
            <w:pPr>
              <w:pStyle w:val="TableParagraph"/>
              <w:spacing w:before="55"/>
              <w:ind w:left="107"/>
              <w:jc w:val="left"/>
              <w:rPr>
                <w:sz w:val="18"/>
              </w:rPr>
            </w:pPr>
            <w:r>
              <w:rPr>
                <w:sz w:val="18"/>
              </w:rPr>
              <w:t>Tirunelveli HEP</w:t>
            </w:r>
          </w:p>
        </w:tc>
        <w:tc>
          <w:tcPr>
            <w:tcW w:w="1034" w:type="dxa"/>
          </w:tcPr>
          <w:p w:rsidR="007C5447" w:rsidRDefault="00F6308C">
            <w:pPr>
              <w:pStyle w:val="TableParagraph"/>
              <w:spacing w:before="55"/>
              <w:ind w:right="94"/>
              <w:rPr>
                <w:sz w:val="18"/>
              </w:rPr>
            </w:pPr>
            <w:r>
              <w:rPr>
                <w:sz w:val="18"/>
              </w:rPr>
              <w:t>13.01</w:t>
            </w:r>
          </w:p>
        </w:tc>
        <w:tc>
          <w:tcPr>
            <w:tcW w:w="1035" w:type="dxa"/>
          </w:tcPr>
          <w:p w:rsidR="007C5447" w:rsidRDefault="00F6308C">
            <w:pPr>
              <w:pStyle w:val="TableParagraph"/>
              <w:spacing w:before="55"/>
              <w:ind w:right="94"/>
              <w:rPr>
                <w:sz w:val="18"/>
              </w:rPr>
            </w:pPr>
            <w:r>
              <w:rPr>
                <w:sz w:val="18"/>
              </w:rPr>
              <w:t>54.20</w:t>
            </w:r>
          </w:p>
        </w:tc>
        <w:tc>
          <w:tcPr>
            <w:tcW w:w="1034" w:type="dxa"/>
          </w:tcPr>
          <w:p w:rsidR="007C5447" w:rsidRDefault="00F6308C">
            <w:pPr>
              <w:pStyle w:val="TableParagraph"/>
              <w:spacing w:before="55"/>
              <w:ind w:right="96"/>
              <w:rPr>
                <w:sz w:val="18"/>
              </w:rPr>
            </w:pPr>
            <w:r>
              <w:rPr>
                <w:sz w:val="18"/>
              </w:rPr>
              <w:t>3.13</w:t>
            </w:r>
          </w:p>
        </w:tc>
        <w:tc>
          <w:tcPr>
            <w:tcW w:w="1034" w:type="dxa"/>
          </w:tcPr>
          <w:p w:rsidR="007C5447" w:rsidRDefault="00F6308C">
            <w:pPr>
              <w:pStyle w:val="TableParagraph"/>
              <w:spacing w:before="55"/>
              <w:ind w:right="93"/>
              <w:rPr>
                <w:sz w:val="18"/>
              </w:rPr>
            </w:pPr>
            <w:r>
              <w:rPr>
                <w:sz w:val="18"/>
              </w:rPr>
              <w:t>12.53</w:t>
            </w:r>
          </w:p>
        </w:tc>
        <w:tc>
          <w:tcPr>
            <w:tcW w:w="1106" w:type="dxa"/>
          </w:tcPr>
          <w:p w:rsidR="007C5447" w:rsidRDefault="00F6308C">
            <w:pPr>
              <w:pStyle w:val="TableParagraph"/>
              <w:spacing w:before="55"/>
              <w:ind w:right="92"/>
              <w:rPr>
                <w:sz w:val="18"/>
              </w:rPr>
            </w:pPr>
            <w:r>
              <w:rPr>
                <w:sz w:val="18"/>
              </w:rPr>
              <w:t>23.25</w:t>
            </w:r>
          </w:p>
        </w:tc>
        <w:tc>
          <w:tcPr>
            <w:tcW w:w="1056" w:type="dxa"/>
          </w:tcPr>
          <w:p w:rsidR="007C5447" w:rsidRDefault="00F6308C">
            <w:pPr>
              <w:pStyle w:val="TableParagraph"/>
              <w:spacing w:before="55"/>
              <w:ind w:right="95"/>
              <w:rPr>
                <w:sz w:val="18"/>
              </w:rPr>
            </w:pPr>
            <w:r>
              <w:rPr>
                <w:sz w:val="18"/>
              </w:rPr>
              <w:t>0.01</w:t>
            </w:r>
          </w:p>
        </w:tc>
        <w:tc>
          <w:tcPr>
            <w:tcW w:w="1056" w:type="dxa"/>
          </w:tcPr>
          <w:p w:rsidR="007C5447" w:rsidRDefault="00F6308C">
            <w:pPr>
              <w:pStyle w:val="TableParagraph"/>
              <w:spacing w:before="55"/>
              <w:ind w:right="95"/>
              <w:rPr>
                <w:sz w:val="18"/>
              </w:rPr>
            </w:pPr>
            <w:r>
              <w:rPr>
                <w:sz w:val="18"/>
              </w:rPr>
              <w:t>1.50</w:t>
            </w:r>
          </w:p>
        </w:tc>
        <w:tc>
          <w:tcPr>
            <w:tcW w:w="1056" w:type="dxa"/>
          </w:tcPr>
          <w:p w:rsidR="007C5447" w:rsidRDefault="00F6308C">
            <w:pPr>
              <w:pStyle w:val="TableParagraph"/>
              <w:spacing w:before="55"/>
              <w:ind w:right="95"/>
              <w:rPr>
                <w:sz w:val="18"/>
              </w:rPr>
            </w:pPr>
            <w:r>
              <w:rPr>
                <w:sz w:val="18"/>
              </w:rPr>
              <w:t>2.87</w:t>
            </w:r>
          </w:p>
        </w:tc>
        <w:tc>
          <w:tcPr>
            <w:tcW w:w="1057" w:type="dxa"/>
          </w:tcPr>
          <w:p w:rsidR="007C5447" w:rsidRDefault="00F6308C">
            <w:pPr>
              <w:pStyle w:val="TableParagraph"/>
              <w:spacing w:before="55"/>
              <w:ind w:right="95"/>
              <w:rPr>
                <w:sz w:val="18"/>
              </w:rPr>
            </w:pPr>
            <w:r>
              <w:rPr>
                <w:sz w:val="18"/>
              </w:rPr>
              <w:t>3.77</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0.86</w:t>
            </w:r>
          </w:p>
        </w:tc>
        <w:tc>
          <w:tcPr>
            <w:tcW w:w="1083" w:type="dxa"/>
          </w:tcPr>
          <w:p w:rsidR="007C5447" w:rsidRDefault="00F6308C">
            <w:pPr>
              <w:pStyle w:val="TableParagraph"/>
              <w:spacing w:before="55"/>
              <w:ind w:right="96"/>
              <w:rPr>
                <w:sz w:val="18"/>
              </w:rPr>
            </w:pPr>
            <w:r>
              <w:rPr>
                <w:sz w:val="18"/>
              </w:rPr>
              <w:t>107.58</w:t>
            </w:r>
          </w:p>
        </w:tc>
      </w:tr>
      <w:tr w:rsidR="007C5447">
        <w:trPr>
          <w:trHeight w:val="316"/>
        </w:trPr>
        <w:tc>
          <w:tcPr>
            <w:tcW w:w="703" w:type="dxa"/>
          </w:tcPr>
          <w:p w:rsidR="007C5447" w:rsidRDefault="00F6308C">
            <w:pPr>
              <w:pStyle w:val="TableParagraph"/>
              <w:spacing w:before="55"/>
              <w:ind w:left="107"/>
              <w:jc w:val="left"/>
              <w:rPr>
                <w:sz w:val="18"/>
              </w:rPr>
            </w:pPr>
            <w:r>
              <w:rPr>
                <w:sz w:val="18"/>
              </w:rPr>
              <w:t>15</w:t>
            </w:r>
          </w:p>
        </w:tc>
        <w:tc>
          <w:tcPr>
            <w:tcW w:w="1891" w:type="dxa"/>
          </w:tcPr>
          <w:p w:rsidR="007C5447" w:rsidRDefault="00F6308C">
            <w:pPr>
              <w:pStyle w:val="TableParagraph"/>
              <w:spacing w:before="55"/>
              <w:ind w:left="107"/>
              <w:jc w:val="left"/>
              <w:rPr>
                <w:b/>
                <w:sz w:val="18"/>
              </w:rPr>
            </w:pPr>
            <w:r>
              <w:rPr>
                <w:b/>
                <w:sz w:val="18"/>
              </w:rPr>
              <w:t>Total Generation</w:t>
            </w:r>
          </w:p>
        </w:tc>
        <w:tc>
          <w:tcPr>
            <w:tcW w:w="1034" w:type="dxa"/>
          </w:tcPr>
          <w:p w:rsidR="007C5447" w:rsidRDefault="00F6308C">
            <w:pPr>
              <w:pStyle w:val="TableParagraph"/>
              <w:spacing w:before="55"/>
              <w:ind w:right="96"/>
              <w:rPr>
                <w:b/>
                <w:sz w:val="18"/>
              </w:rPr>
            </w:pPr>
            <w:r>
              <w:rPr>
                <w:b/>
                <w:sz w:val="18"/>
              </w:rPr>
              <w:t>350.93</w:t>
            </w:r>
          </w:p>
        </w:tc>
        <w:tc>
          <w:tcPr>
            <w:tcW w:w="1035" w:type="dxa"/>
          </w:tcPr>
          <w:p w:rsidR="007C5447" w:rsidRDefault="00F6308C">
            <w:pPr>
              <w:pStyle w:val="TableParagraph"/>
              <w:spacing w:before="55"/>
              <w:ind w:right="97"/>
              <w:rPr>
                <w:b/>
                <w:sz w:val="18"/>
              </w:rPr>
            </w:pPr>
            <w:r>
              <w:rPr>
                <w:b/>
                <w:sz w:val="18"/>
              </w:rPr>
              <w:t>1,645.54</w:t>
            </w:r>
          </w:p>
        </w:tc>
        <w:tc>
          <w:tcPr>
            <w:tcW w:w="1034" w:type="dxa"/>
          </w:tcPr>
          <w:p w:rsidR="007C5447" w:rsidRDefault="00F6308C">
            <w:pPr>
              <w:pStyle w:val="TableParagraph"/>
              <w:spacing w:before="55"/>
              <w:ind w:right="96"/>
              <w:rPr>
                <w:b/>
                <w:sz w:val="18"/>
              </w:rPr>
            </w:pPr>
            <w:r>
              <w:rPr>
                <w:b/>
                <w:sz w:val="18"/>
              </w:rPr>
              <w:t>353.84</w:t>
            </w:r>
          </w:p>
        </w:tc>
        <w:tc>
          <w:tcPr>
            <w:tcW w:w="1034" w:type="dxa"/>
          </w:tcPr>
          <w:p w:rsidR="007C5447" w:rsidRDefault="00F6308C">
            <w:pPr>
              <w:pStyle w:val="TableParagraph"/>
              <w:spacing w:before="55"/>
              <w:ind w:right="97"/>
              <w:rPr>
                <w:b/>
                <w:sz w:val="18"/>
              </w:rPr>
            </w:pPr>
            <w:r>
              <w:rPr>
                <w:b/>
                <w:sz w:val="18"/>
              </w:rPr>
              <w:t>338.17</w:t>
            </w:r>
          </w:p>
        </w:tc>
        <w:tc>
          <w:tcPr>
            <w:tcW w:w="1106" w:type="dxa"/>
          </w:tcPr>
          <w:p w:rsidR="007C5447" w:rsidRDefault="00F6308C">
            <w:pPr>
              <w:pStyle w:val="TableParagraph"/>
              <w:spacing w:before="55"/>
              <w:ind w:right="95"/>
              <w:rPr>
                <w:b/>
                <w:sz w:val="18"/>
              </w:rPr>
            </w:pPr>
            <w:r>
              <w:rPr>
                <w:b/>
                <w:sz w:val="18"/>
              </w:rPr>
              <w:t>639.18</w:t>
            </w:r>
          </w:p>
        </w:tc>
        <w:tc>
          <w:tcPr>
            <w:tcW w:w="1056" w:type="dxa"/>
          </w:tcPr>
          <w:p w:rsidR="007C5447" w:rsidRDefault="00F6308C">
            <w:pPr>
              <w:pStyle w:val="TableParagraph"/>
              <w:spacing w:before="55"/>
              <w:ind w:right="95"/>
              <w:rPr>
                <w:b/>
                <w:sz w:val="18"/>
              </w:rPr>
            </w:pPr>
            <w:r>
              <w:rPr>
                <w:b/>
                <w:sz w:val="18"/>
              </w:rPr>
              <w:t>1.00</w:t>
            </w:r>
          </w:p>
        </w:tc>
        <w:tc>
          <w:tcPr>
            <w:tcW w:w="1056" w:type="dxa"/>
          </w:tcPr>
          <w:p w:rsidR="007C5447" w:rsidRDefault="00F6308C">
            <w:pPr>
              <w:pStyle w:val="TableParagraph"/>
              <w:spacing w:before="55"/>
              <w:ind w:right="91"/>
              <w:rPr>
                <w:b/>
                <w:sz w:val="18"/>
              </w:rPr>
            </w:pPr>
            <w:r>
              <w:rPr>
                <w:b/>
                <w:sz w:val="18"/>
              </w:rPr>
              <w:t>(6.61)</w:t>
            </w:r>
          </w:p>
        </w:tc>
        <w:tc>
          <w:tcPr>
            <w:tcW w:w="1056" w:type="dxa"/>
          </w:tcPr>
          <w:p w:rsidR="007C5447" w:rsidRDefault="00F6308C">
            <w:pPr>
              <w:pStyle w:val="TableParagraph"/>
              <w:spacing w:before="55"/>
              <w:ind w:right="92"/>
              <w:rPr>
                <w:b/>
                <w:sz w:val="18"/>
              </w:rPr>
            </w:pPr>
            <w:r>
              <w:rPr>
                <w:b/>
                <w:sz w:val="18"/>
              </w:rPr>
              <w:t>61.91</w:t>
            </w:r>
          </w:p>
        </w:tc>
        <w:tc>
          <w:tcPr>
            <w:tcW w:w="1057" w:type="dxa"/>
          </w:tcPr>
          <w:p w:rsidR="007C5447" w:rsidRDefault="00F6308C">
            <w:pPr>
              <w:pStyle w:val="TableParagraph"/>
              <w:spacing w:before="55"/>
              <w:ind w:right="96"/>
              <w:rPr>
                <w:b/>
                <w:sz w:val="18"/>
              </w:rPr>
            </w:pPr>
            <w:r>
              <w:rPr>
                <w:b/>
                <w:sz w:val="18"/>
              </w:rPr>
              <w:t>119.79</w:t>
            </w:r>
          </w:p>
        </w:tc>
        <w:tc>
          <w:tcPr>
            <w:tcW w:w="1056" w:type="dxa"/>
          </w:tcPr>
          <w:p w:rsidR="007C5447" w:rsidRDefault="00F6308C">
            <w:pPr>
              <w:pStyle w:val="TableParagraph"/>
              <w:spacing w:before="55"/>
              <w:ind w:right="95"/>
              <w:rPr>
                <w:b/>
                <w:sz w:val="18"/>
              </w:rPr>
            </w:pPr>
            <w:r>
              <w:rPr>
                <w:b/>
                <w:sz w:val="18"/>
              </w:rPr>
              <w:t>0.00</w:t>
            </w:r>
          </w:p>
        </w:tc>
        <w:tc>
          <w:tcPr>
            <w:tcW w:w="1056" w:type="dxa"/>
          </w:tcPr>
          <w:p w:rsidR="007C5447" w:rsidRDefault="00F6308C">
            <w:pPr>
              <w:pStyle w:val="TableParagraph"/>
              <w:spacing w:before="55"/>
              <w:ind w:right="95"/>
              <w:rPr>
                <w:b/>
                <w:sz w:val="18"/>
              </w:rPr>
            </w:pPr>
            <w:r>
              <w:rPr>
                <w:b/>
                <w:sz w:val="18"/>
              </w:rPr>
              <w:t>5.36</w:t>
            </w:r>
          </w:p>
        </w:tc>
        <w:tc>
          <w:tcPr>
            <w:tcW w:w="1083" w:type="dxa"/>
          </w:tcPr>
          <w:p w:rsidR="007C5447" w:rsidRDefault="00F6308C">
            <w:pPr>
              <w:pStyle w:val="TableParagraph"/>
              <w:spacing w:before="55"/>
              <w:ind w:right="96"/>
              <w:rPr>
                <w:b/>
                <w:sz w:val="18"/>
              </w:rPr>
            </w:pPr>
            <w:r>
              <w:rPr>
                <w:b/>
                <w:sz w:val="18"/>
              </w:rPr>
              <w:t>3,269.54</w:t>
            </w:r>
          </w:p>
        </w:tc>
      </w:tr>
      <w:tr w:rsidR="007C5447">
        <w:trPr>
          <w:trHeight w:val="314"/>
        </w:trPr>
        <w:tc>
          <w:tcPr>
            <w:tcW w:w="703" w:type="dxa"/>
          </w:tcPr>
          <w:p w:rsidR="007C5447" w:rsidRDefault="00F6308C">
            <w:pPr>
              <w:pStyle w:val="TableParagraph"/>
              <w:spacing w:before="52"/>
              <w:ind w:left="107"/>
              <w:jc w:val="left"/>
              <w:rPr>
                <w:sz w:val="18"/>
              </w:rPr>
            </w:pPr>
            <w:r>
              <w:rPr>
                <w:sz w:val="18"/>
              </w:rPr>
              <w:t>16</w:t>
            </w:r>
          </w:p>
        </w:tc>
        <w:tc>
          <w:tcPr>
            <w:tcW w:w="1891" w:type="dxa"/>
          </w:tcPr>
          <w:p w:rsidR="007C5447" w:rsidRDefault="00F6308C">
            <w:pPr>
              <w:pStyle w:val="TableParagraph"/>
              <w:spacing w:before="52"/>
              <w:ind w:left="107"/>
              <w:jc w:val="left"/>
              <w:rPr>
                <w:b/>
                <w:sz w:val="18"/>
              </w:rPr>
            </w:pPr>
            <w:r>
              <w:rPr>
                <w:b/>
                <w:sz w:val="18"/>
              </w:rPr>
              <w:t>Distribution</w:t>
            </w:r>
          </w:p>
        </w:tc>
        <w:tc>
          <w:tcPr>
            <w:tcW w:w="1034" w:type="dxa"/>
          </w:tcPr>
          <w:p w:rsidR="007C5447" w:rsidRDefault="00F6308C">
            <w:pPr>
              <w:pStyle w:val="TableParagraph"/>
              <w:spacing w:before="52"/>
              <w:ind w:right="96"/>
              <w:rPr>
                <w:b/>
                <w:sz w:val="18"/>
              </w:rPr>
            </w:pPr>
            <w:r>
              <w:rPr>
                <w:b/>
                <w:sz w:val="18"/>
              </w:rPr>
              <w:t>265.10</w:t>
            </w:r>
          </w:p>
        </w:tc>
        <w:tc>
          <w:tcPr>
            <w:tcW w:w="1035" w:type="dxa"/>
          </w:tcPr>
          <w:p w:rsidR="007C5447" w:rsidRDefault="00F6308C">
            <w:pPr>
              <w:pStyle w:val="TableParagraph"/>
              <w:spacing w:before="52"/>
              <w:ind w:right="97"/>
              <w:rPr>
                <w:b/>
                <w:sz w:val="18"/>
              </w:rPr>
            </w:pPr>
            <w:r>
              <w:rPr>
                <w:b/>
                <w:sz w:val="18"/>
              </w:rPr>
              <w:t>708.20</w:t>
            </w:r>
          </w:p>
        </w:tc>
        <w:tc>
          <w:tcPr>
            <w:tcW w:w="1034" w:type="dxa"/>
          </w:tcPr>
          <w:p w:rsidR="007C5447" w:rsidRDefault="00F6308C">
            <w:pPr>
              <w:pStyle w:val="TableParagraph"/>
              <w:spacing w:before="52"/>
              <w:ind w:right="94"/>
              <w:rPr>
                <w:b/>
                <w:sz w:val="18"/>
              </w:rPr>
            </w:pPr>
            <w:r>
              <w:rPr>
                <w:b/>
                <w:w w:val="99"/>
                <w:sz w:val="18"/>
              </w:rPr>
              <w:t>-</w:t>
            </w:r>
          </w:p>
        </w:tc>
        <w:tc>
          <w:tcPr>
            <w:tcW w:w="1034" w:type="dxa"/>
          </w:tcPr>
          <w:p w:rsidR="007C5447" w:rsidRDefault="00F6308C">
            <w:pPr>
              <w:pStyle w:val="TableParagraph"/>
              <w:spacing w:before="52"/>
              <w:ind w:right="97"/>
              <w:rPr>
                <w:b/>
                <w:sz w:val="18"/>
              </w:rPr>
            </w:pPr>
            <w:r>
              <w:rPr>
                <w:b/>
                <w:sz w:val="18"/>
              </w:rPr>
              <w:t>260.62</w:t>
            </w:r>
          </w:p>
        </w:tc>
        <w:tc>
          <w:tcPr>
            <w:tcW w:w="1106" w:type="dxa"/>
          </w:tcPr>
          <w:p w:rsidR="007C5447" w:rsidRDefault="00F6308C">
            <w:pPr>
              <w:pStyle w:val="TableParagraph"/>
              <w:spacing w:before="52"/>
              <w:ind w:right="95"/>
              <w:rPr>
                <w:b/>
                <w:sz w:val="18"/>
              </w:rPr>
            </w:pPr>
            <w:r>
              <w:rPr>
                <w:b/>
                <w:sz w:val="18"/>
              </w:rPr>
              <w:t>3,626.33</w:t>
            </w:r>
          </w:p>
        </w:tc>
        <w:tc>
          <w:tcPr>
            <w:tcW w:w="1056" w:type="dxa"/>
          </w:tcPr>
          <w:p w:rsidR="007C5447" w:rsidRDefault="00F6308C">
            <w:pPr>
              <w:pStyle w:val="TableParagraph"/>
              <w:spacing w:before="52"/>
              <w:ind w:right="92"/>
              <w:rPr>
                <w:b/>
                <w:sz w:val="18"/>
              </w:rPr>
            </w:pPr>
            <w:r>
              <w:rPr>
                <w:b/>
                <w:sz w:val="18"/>
              </w:rPr>
              <w:t>36.52</w:t>
            </w:r>
          </w:p>
        </w:tc>
        <w:tc>
          <w:tcPr>
            <w:tcW w:w="1056" w:type="dxa"/>
          </w:tcPr>
          <w:p w:rsidR="007C5447" w:rsidRDefault="00F6308C">
            <w:pPr>
              <w:pStyle w:val="TableParagraph"/>
              <w:spacing w:before="52"/>
              <w:ind w:right="95"/>
              <w:rPr>
                <w:b/>
                <w:sz w:val="18"/>
              </w:rPr>
            </w:pPr>
            <w:r>
              <w:rPr>
                <w:b/>
                <w:sz w:val="18"/>
              </w:rPr>
              <w:t>583.84</w:t>
            </w:r>
          </w:p>
        </w:tc>
        <w:tc>
          <w:tcPr>
            <w:tcW w:w="1056" w:type="dxa"/>
          </w:tcPr>
          <w:p w:rsidR="007C5447" w:rsidRDefault="00F6308C">
            <w:pPr>
              <w:pStyle w:val="TableParagraph"/>
              <w:spacing w:before="52"/>
              <w:ind w:right="95"/>
              <w:rPr>
                <w:b/>
                <w:sz w:val="18"/>
              </w:rPr>
            </w:pPr>
            <w:r>
              <w:rPr>
                <w:b/>
                <w:sz w:val="18"/>
              </w:rPr>
              <w:t>2.22</w:t>
            </w:r>
          </w:p>
        </w:tc>
        <w:tc>
          <w:tcPr>
            <w:tcW w:w="1057" w:type="dxa"/>
          </w:tcPr>
          <w:p w:rsidR="007C5447" w:rsidRDefault="00F6308C">
            <w:pPr>
              <w:pStyle w:val="TableParagraph"/>
              <w:spacing w:before="52"/>
              <w:ind w:right="96"/>
              <w:rPr>
                <w:b/>
                <w:sz w:val="18"/>
              </w:rPr>
            </w:pPr>
            <w:r>
              <w:rPr>
                <w:b/>
                <w:sz w:val="18"/>
              </w:rPr>
              <w:t>144.13</w:t>
            </w:r>
          </w:p>
        </w:tc>
        <w:tc>
          <w:tcPr>
            <w:tcW w:w="1056" w:type="dxa"/>
          </w:tcPr>
          <w:p w:rsidR="007C5447" w:rsidRDefault="00F6308C">
            <w:pPr>
              <w:pStyle w:val="TableParagraph"/>
              <w:spacing w:before="52"/>
              <w:ind w:right="95"/>
              <w:rPr>
                <w:b/>
                <w:sz w:val="18"/>
              </w:rPr>
            </w:pPr>
            <w:r>
              <w:rPr>
                <w:b/>
                <w:sz w:val="18"/>
              </w:rPr>
              <w:t>553.00</w:t>
            </w:r>
          </w:p>
        </w:tc>
        <w:tc>
          <w:tcPr>
            <w:tcW w:w="1056" w:type="dxa"/>
          </w:tcPr>
          <w:p w:rsidR="007C5447" w:rsidRDefault="00F6308C">
            <w:pPr>
              <w:pStyle w:val="TableParagraph"/>
              <w:spacing w:before="52"/>
              <w:ind w:right="95"/>
              <w:rPr>
                <w:b/>
                <w:sz w:val="18"/>
              </w:rPr>
            </w:pPr>
            <w:r>
              <w:rPr>
                <w:b/>
                <w:sz w:val="18"/>
              </w:rPr>
              <w:t>531.17</w:t>
            </w:r>
          </w:p>
        </w:tc>
        <w:tc>
          <w:tcPr>
            <w:tcW w:w="1083" w:type="dxa"/>
          </w:tcPr>
          <w:p w:rsidR="007C5447" w:rsidRDefault="00F6308C">
            <w:pPr>
              <w:pStyle w:val="TableParagraph"/>
              <w:spacing w:before="52"/>
              <w:ind w:right="96"/>
              <w:rPr>
                <w:b/>
                <w:sz w:val="18"/>
              </w:rPr>
            </w:pPr>
            <w:r>
              <w:rPr>
                <w:b/>
                <w:sz w:val="18"/>
              </w:rPr>
              <w:t>5,316.88</w:t>
            </w:r>
          </w:p>
        </w:tc>
      </w:tr>
      <w:tr w:rsidR="007C5447">
        <w:trPr>
          <w:trHeight w:val="316"/>
        </w:trPr>
        <w:tc>
          <w:tcPr>
            <w:tcW w:w="703" w:type="dxa"/>
          </w:tcPr>
          <w:p w:rsidR="007C5447" w:rsidRDefault="00F6308C">
            <w:pPr>
              <w:pStyle w:val="TableParagraph"/>
              <w:spacing w:before="55"/>
              <w:ind w:left="107"/>
              <w:jc w:val="left"/>
              <w:rPr>
                <w:sz w:val="18"/>
              </w:rPr>
            </w:pPr>
            <w:r>
              <w:rPr>
                <w:sz w:val="18"/>
              </w:rPr>
              <w:t>17</w:t>
            </w:r>
          </w:p>
        </w:tc>
        <w:tc>
          <w:tcPr>
            <w:tcW w:w="1891" w:type="dxa"/>
          </w:tcPr>
          <w:p w:rsidR="007C5447" w:rsidRDefault="00F6308C">
            <w:pPr>
              <w:pStyle w:val="TableParagraph"/>
              <w:spacing w:before="55"/>
              <w:ind w:left="107"/>
              <w:jc w:val="left"/>
              <w:rPr>
                <w:b/>
                <w:sz w:val="18"/>
              </w:rPr>
            </w:pPr>
            <w:r>
              <w:rPr>
                <w:b/>
                <w:sz w:val="18"/>
              </w:rPr>
              <w:t>Total TANGEDCO</w:t>
            </w:r>
          </w:p>
        </w:tc>
        <w:tc>
          <w:tcPr>
            <w:tcW w:w="1034" w:type="dxa"/>
          </w:tcPr>
          <w:p w:rsidR="007C5447" w:rsidRDefault="00F6308C">
            <w:pPr>
              <w:pStyle w:val="TableParagraph"/>
              <w:spacing w:before="55"/>
              <w:ind w:right="96"/>
              <w:rPr>
                <w:b/>
                <w:sz w:val="18"/>
              </w:rPr>
            </w:pPr>
            <w:r>
              <w:rPr>
                <w:b/>
                <w:sz w:val="18"/>
              </w:rPr>
              <w:t>616.03</w:t>
            </w:r>
          </w:p>
        </w:tc>
        <w:tc>
          <w:tcPr>
            <w:tcW w:w="1035" w:type="dxa"/>
          </w:tcPr>
          <w:p w:rsidR="007C5447" w:rsidRDefault="00F6308C">
            <w:pPr>
              <w:pStyle w:val="TableParagraph"/>
              <w:spacing w:before="55"/>
              <w:ind w:right="95"/>
              <w:rPr>
                <w:b/>
                <w:sz w:val="18"/>
              </w:rPr>
            </w:pPr>
            <w:r>
              <w:rPr>
                <w:b/>
                <w:sz w:val="18"/>
              </w:rPr>
              <w:t>2,353.75</w:t>
            </w:r>
          </w:p>
        </w:tc>
        <w:tc>
          <w:tcPr>
            <w:tcW w:w="1034" w:type="dxa"/>
          </w:tcPr>
          <w:p w:rsidR="007C5447" w:rsidRDefault="00F6308C">
            <w:pPr>
              <w:pStyle w:val="TableParagraph"/>
              <w:spacing w:before="55"/>
              <w:ind w:right="96"/>
              <w:rPr>
                <w:b/>
                <w:sz w:val="18"/>
              </w:rPr>
            </w:pPr>
            <w:r>
              <w:rPr>
                <w:b/>
                <w:sz w:val="18"/>
              </w:rPr>
              <w:t>353.84</w:t>
            </w:r>
          </w:p>
        </w:tc>
        <w:tc>
          <w:tcPr>
            <w:tcW w:w="1034" w:type="dxa"/>
          </w:tcPr>
          <w:p w:rsidR="007C5447" w:rsidRDefault="00F6308C">
            <w:pPr>
              <w:pStyle w:val="TableParagraph"/>
              <w:spacing w:before="55"/>
              <w:ind w:right="97"/>
              <w:rPr>
                <w:b/>
                <w:sz w:val="18"/>
              </w:rPr>
            </w:pPr>
            <w:r>
              <w:rPr>
                <w:b/>
                <w:sz w:val="18"/>
              </w:rPr>
              <w:t>598.79</w:t>
            </w:r>
          </w:p>
        </w:tc>
        <w:tc>
          <w:tcPr>
            <w:tcW w:w="1106" w:type="dxa"/>
          </w:tcPr>
          <w:p w:rsidR="007C5447" w:rsidRDefault="00F6308C">
            <w:pPr>
              <w:pStyle w:val="TableParagraph"/>
              <w:spacing w:before="55"/>
              <w:ind w:right="95"/>
              <w:rPr>
                <w:b/>
                <w:sz w:val="18"/>
              </w:rPr>
            </w:pPr>
            <w:r>
              <w:rPr>
                <w:b/>
                <w:sz w:val="18"/>
              </w:rPr>
              <w:t>4,265.51</w:t>
            </w:r>
          </w:p>
        </w:tc>
        <w:tc>
          <w:tcPr>
            <w:tcW w:w="1056" w:type="dxa"/>
          </w:tcPr>
          <w:p w:rsidR="007C5447" w:rsidRDefault="00F6308C">
            <w:pPr>
              <w:pStyle w:val="TableParagraph"/>
              <w:spacing w:before="55"/>
              <w:ind w:right="92"/>
              <w:rPr>
                <w:b/>
                <w:sz w:val="18"/>
              </w:rPr>
            </w:pPr>
            <w:r>
              <w:rPr>
                <w:b/>
                <w:sz w:val="18"/>
              </w:rPr>
              <w:t>37.52</w:t>
            </w:r>
          </w:p>
        </w:tc>
        <w:tc>
          <w:tcPr>
            <w:tcW w:w="1056" w:type="dxa"/>
          </w:tcPr>
          <w:p w:rsidR="007C5447" w:rsidRDefault="00F6308C">
            <w:pPr>
              <w:pStyle w:val="TableParagraph"/>
              <w:spacing w:before="55"/>
              <w:ind w:right="95"/>
              <w:rPr>
                <w:b/>
                <w:sz w:val="18"/>
              </w:rPr>
            </w:pPr>
            <w:r>
              <w:rPr>
                <w:b/>
                <w:sz w:val="18"/>
              </w:rPr>
              <w:t>577.23</w:t>
            </w:r>
          </w:p>
        </w:tc>
        <w:tc>
          <w:tcPr>
            <w:tcW w:w="1056" w:type="dxa"/>
          </w:tcPr>
          <w:p w:rsidR="007C5447" w:rsidRDefault="00F6308C">
            <w:pPr>
              <w:pStyle w:val="TableParagraph"/>
              <w:spacing w:before="55"/>
              <w:ind w:right="92"/>
              <w:rPr>
                <w:b/>
                <w:sz w:val="18"/>
              </w:rPr>
            </w:pPr>
            <w:r>
              <w:rPr>
                <w:b/>
                <w:sz w:val="18"/>
              </w:rPr>
              <w:t>64.13</w:t>
            </w:r>
          </w:p>
        </w:tc>
        <w:tc>
          <w:tcPr>
            <w:tcW w:w="1057" w:type="dxa"/>
          </w:tcPr>
          <w:p w:rsidR="007C5447" w:rsidRDefault="00F6308C">
            <w:pPr>
              <w:pStyle w:val="TableParagraph"/>
              <w:spacing w:before="55"/>
              <w:ind w:right="96"/>
              <w:rPr>
                <w:b/>
                <w:sz w:val="18"/>
              </w:rPr>
            </w:pPr>
            <w:r>
              <w:rPr>
                <w:b/>
                <w:sz w:val="18"/>
              </w:rPr>
              <w:t>263.92</w:t>
            </w:r>
          </w:p>
        </w:tc>
        <w:tc>
          <w:tcPr>
            <w:tcW w:w="1056" w:type="dxa"/>
          </w:tcPr>
          <w:p w:rsidR="007C5447" w:rsidRDefault="00F6308C">
            <w:pPr>
              <w:pStyle w:val="TableParagraph"/>
              <w:spacing w:before="55"/>
              <w:ind w:right="95"/>
              <w:rPr>
                <w:b/>
                <w:sz w:val="18"/>
              </w:rPr>
            </w:pPr>
            <w:r>
              <w:rPr>
                <w:b/>
                <w:sz w:val="18"/>
              </w:rPr>
              <w:t>553.01</w:t>
            </w:r>
          </w:p>
        </w:tc>
        <w:tc>
          <w:tcPr>
            <w:tcW w:w="1056" w:type="dxa"/>
          </w:tcPr>
          <w:p w:rsidR="007C5447" w:rsidRDefault="00F6308C">
            <w:pPr>
              <w:pStyle w:val="TableParagraph"/>
              <w:spacing w:before="55"/>
              <w:ind w:right="95"/>
              <w:rPr>
                <w:b/>
                <w:sz w:val="18"/>
              </w:rPr>
            </w:pPr>
            <w:r>
              <w:rPr>
                <w:b/>
                <w:sz w:val="18"/>
              </w:rPr>
              <w:t>536.53</w:t>
            </w:r>
          </w:p>
        </w:tc>
        <w:tc>
          <w:tcPr>
            <w:tcW w:w="1083" w:type="dxa"/>
          </w:tcPr>
          <w:p w:rsidR="007C5447" w:rsidRDefault="00F6308C">
            <w:pPr>
              <w:pStyle w:val="TableParagraph"/>
              <w:spacing w:before="55"/>
              <w:ind w:right="96"/>
              <w:rPr>
                <w:b/>
                <w:sz w:val="18"/>
              </w:rPr>
            </w:pPr>
            <w:r>
              <w:rPr>
                <w:b/>
                <w:sz w:val="18"/>
              </w:rPr>
              <w:t>8,586.42</w:t>
            </w:r>
          </w:p>
        </w:tc>
      </w:tr>
    </w:tbl>
    <w:p w:rsidR="007C5447" w:rsidRDefault="007C5447">
      <w:pPr>
        <w:rPr>
          <w:sz w:val="18"/>
        </w:rPr>
        <w:sectPr w:rsidR="007C5447">
          <w:footerReference w:type="default" r:id="rId26"/>
          <w:pgSz w:w="16840" w:h="11910" w:orient="landscape"/>
          <w:pgMar w:top="1100" w:right="580" w:bottom="1240" w:left="760" w:header="0" w:footer="1057" w:gutter="0"/>
          <w:pgNumType w:start="124"/>
          <w:cols w:space="720"/>
        </w:sectPr>
      </w:pPr>
    </w:p>
    <w:p w:rsidR="007C5447" w:rsidRDefault="007C5447">
      <w:pPr>
        <w:pStyle w:val="BodyText"/>
        <w:rPr>
          <w:b/>
          <w:sz w:val="20"/>
        </w:rPr>
      </w:pPr>
    </w:p>
    <w:p w:rsidR="007C5447" w:rsidRDefault="00F6308C">
      <w:pPr>
        <w:pStyle w:val="Heading2"/>
        <w:spacing w:before="223"/>
        <w:ind w:left="2986" w:right="3167"/>
        <w:jc w:val="center"/>
      </w:pPr>
      <w:r>
        <w:t>Table 3-39: Fixed Cost summary for FY 2012-13 as submitted by TANGEDCO (Rs. Crore)</w:t>
      </w:r>
    </w:p>
    <w:p w:rsidR="007C5447" w:rsidRDefault="007C5447">
      <w:pPr>
        <w:pStyle w:val="BodyText"/>
        <w:spacing w:before="7"/>
        <w:rPr>
          <w:b/>
          <w:sz w:val="17"/>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891"/>
        <w:gridCol w:w="1034"/>
        <w:gridCol w:w="1035"/>
        <w:gridCol w:w="1034"/>
        <w:gridCol w:w="1034"/>
        <w:gridCol w:w="1106"/>
        <w:gridCol w:w="1056"/>
        <w:gridCol w:w="1056"/>
        <w:gridCol w:w="1056"/>
        <w:gridCol w:w="1057"/>
        <w:gridCol w:w="1056"/>
        <w:gridCol w:w="1056"/>
        <w:gridCol w:w="1083"/>
      </w:tblGrid>
      <w:tr w:rsidR="007C5447">
        <w:trPr>
          <w:trHeight w:val="316"/>
        </w:trPr>
        <w:tc>
          <w:tcPr>
            <w:tcW w:w="703" w:type="dxa"/>
            <w:vMerge w:val="restart"/>
            <w:shd w:val="clear" w:color="auto" w:fill="F7C9AC"/>
          </w:tcPr>
          <w:p w:rsidR="007C5447" w:rsidRDefault="007C5447">
            <w:pPr>
              <w:pStyle w:val="TableParagraph"/>
              <w:jc w:val="left"/>
              <w:rPr>
                <w:b/>
                <w:sz w:val="20"/>
              </w:rPr>
            </w:pPr>
          </w:p>
          <w:p w:rsidR="007C5447" w:rsidRDefault="007C5447">
            <w:pPr>
              <w:pStyle w:val="TableParagraph"/>
              <w:jc w:val="left"/>
              <w:rPr>
                <w:b/>
                <w:sz w:val="20"/>
              </w:rPr>
            </w:pPr>
          </w:p>
          <w:p w:rsidR="007C5447" w:rsidRDefault="00F6308C">
            <w:pPr>
              <w:pStyle w:val="TableParagraph"/>
              <w:spacing w:before="132"/>
              <w:ind w:left="234" w:right="223"/>
              <w:jc w:val="center"/>
              <w:rPr>
                <w:b/>
                <w:sz w:val="18"/>
              </w:rPr>
            </w:pPr>
            <w:r>
              <w:rPr>
                <w:b/>
                <w:sz w:val="18"/>
              </w:rPr>
              <w:t>Sl.</w:t>
            </w:r>
          </w:p>
        </w:tc>
        <w:tc>
          <w:tcPr>
            <w:tcW w:w="1891" w:type="dxa"/>
            <w:vMerge w:val="restart"/>
            <w:shd w:val="clear" w:color="auto" w:fill="F7C9AC"/>
          </w:tcPr>
          <w:p w:rsidR="007C5447" w:rsidRDefault="007C5447">
            <w:pPr>
              <w:pStyle w:val="TableParagraph"/>
              <w:jc w:val="left"/>
              <w:rPr>
                <w:b/>
                <w:sz w:val="20"/>
              </w:rPr>
            </w:pPr>
          </w:p>
          <w:p w:rsidR="007C5447" w:rsidRDefault="007C5447">
            <w:pPr>
              <w:pStyle w:val="TableParagraph"/>
              <w:jc w:val="left"/>
              <w:rPr>
                <w:b/>
                <w:sz w:val="20"/>
              </w:rPr>
            </w:pPr>
          </w:p>
          <w:p w:rsidR="007C5447" w:rsidRDefault="00F6308C">
            <w:pPr>
              <w:pStyle w:val="TableParagraph"/>
              <w:spacing w:before="132"/>
              <w:ind w:left="403"/>
              <w:jc w:val="left"/>
              <w:rPr>
                <w:b/>
                <w:sz w:val="18"/>
              </w:rPr>
            </w:pPr>
            <w:r>
              <w:rPr>
                <w:b/>
                <w:sz w:val="18"/>
              </w:rPr>
              <w:t>Power Station</w:t>
            </w:r>
          </w:p>
        </w:tc>
        <w:tc>
          <w:tcPr>
            <w:tcW w:w="12663" w:type="dxa"/>
            <w:gridSpan w:val="12"/>
            <w:shd w:val="clear" w:color="auto" w:fill="F7C9AC"/>
          </w:tcPr>
          <w:p w:rsidR="007C5447" w:rsidRDefault="00F6308C">
            <w:pPr>
              <w:pStyle w:val="TableParagraph"/>
              <w:spacing w:before="55"/>
              <w:ind w:left="5870" w:right="5858"/>
              <w:jc w:val="center"/>
              <w:rPr>
                <w:b/>
                <w:sz w:val="18"/>
              </w:rPr>
            </w:pPr>
            <w:r>
              <w:rPr>
                <w:b/>
                <w:sz w:val="18"/>
              </w:rPr>
              <w:t>FY 2012-13</w:t>
            </w:r>
          </w:p>
        </w:tc>
      </w:tr>
      <w:tr w:rsidR="007C5447">
        <w:trPr>
          <w:trHeight w:val="1065"/>
        </w:trPr>
        <w:tc>
          <w:tcPr>
            <w:tcW w:w="703" w:type="dxa"/>
            <w:vMerge/>
            <w:tcBorders>
              <w:top w:val="nil"/>
            </w:tcBorders>
            <w:shd w:val="clear" w:color="auto" w:fill="F7C9AC"/>
          </w:tcPr>
          <w:p w:rsidR="007C5447" w:rsidRDefault="007C5447">
            <w:pPr>
              <w:rPr>
                <w:sz w:val="2"/>
                <w:szCs w:val="2"/>
              </w:rPr>
            </w:pPr>
          </w:p>
        </w:tc>
        <w:tc>
          <w:tcPr>
            <w:tcW w:w="1891" w:type="dxa"/>
            <w:vMerge/>
            <w:tcBorders>
              <w:top w:val="nil"/>
            </w:tcBorders>
            <w:shd w:val="clear" w:color="auto" w:fill="F7C9AC"/>
          </w:tcPr>
          <w:p w:rsidR="007C5447" w:rsidRDefault="007C5447">
            <w:pPr>
              <w:rPr>
                <w:sz w:val="2"/>
                <w:szCs w:val="2"/>
              </w:rPr>
            </w:pP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42" w:right="332"/>
              <w:jc w:val="center"/>
              <w:rPr>
                <w:b/>
                <w:sz w:val="18"/>
              </w:rPr>
            </w:pPr>
            <w:r>
              <w:rPr>
                <w:b/>
                <w:sz w:val="18"/>
              </w:rPr>
              <w:t>Dep</w:t>
            </w:r>
          </w:p>
        </w:tc>
        <w:tc>
          <w:tcPr>
            <w:tcW w:w="1035" w:type="dxa"/>
            <w:shd w:val="clear" w:color="auto" w:fill="F7C9AC"/>
          </w:tcPr>
          <w:p w:rsidR="007C5447" w:rsidRDefault="00F6308C">
            <w:pPr>
              <w:pStyle w:val="TableParagraph"/>
              <w:spacing w:before="117"/>
              <w:ind w:left="197" w:right="186" w:firstLine="2"/>
              <w:jc w:val="center"/>
              <w:rPr>
                <w:b/>
                <w:sz w:val="18"/>
              </w:rPr>
            </w:pPr>
            <w:r>
              <w:rPr>
                <w:b/>
                <w:sz w:val="18"/>
              </w:rPr>
              <w:t>Interest and Finance Charges</w:t>
            </w: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27"/>
              <w:jc w:val="left"/>
              <w:rPr>
                <w:b/>
                <w:sz w:val="18"/>
              </w:rPr>
            </w:pPr>
            <w:r>
              <w:rPr>
                <w:b/>
                <w:sz w:val="18"/>
              </w:rPr>
              <w:t>IWC</w:t>
            </w: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23"/>
              <w:jc w:val="left"/>
              <w:rPr>
                <w:b/>
                <w:sz w:val="18"/>
              </w:rPr>
            </w:pPr>
            <w:r>
              <w:rPr>
                <w:b/>
                <w:sz w:val="18"/>
              </w:rPr>
              <w:t>ROE</w:t>
            </w:r>
          </w:p>
        </w:tc>
        <w:tc>
          <w:tcPr>
            <w:tcW w:w="1106" w:type="dxa"/>
            <w:shd w:val="clear" w:color="auto" w:fill="F7C9AC"/>
          </w:tcPr>
          <w:p w:rsidR="007C5447" w:rsidRDefault="007C5447">
            <w:pPr>
              <w:pStyle w:val="TableParagraph"/>
              <w:spacing w:before="4"/>
              <w:jc w:val="left"/>
              <w:rPr>
                <w:b/>
                <w:sz w:val="28"/>
              </w:rPr>
            </w:pPr>
          </w:p>
          <w:p w:rsidR="007C5447" w:rsidRDefault="00F6308C">
            <w:pPr>
              <w:pStyle w:val="TableParagraph"/>
              <w:ind w:left="198" w:right="167" w:firstLine="124"/>
              <w:jc w:val="left"/>
              <w:rPr>
                <w:b/>
                <w:sz w:val="18"/>
              </w:rPr>
            </w:pPr>
            <w:r>
              <w:rPr>
                <w:b/>
                <w:sz w:val="18"/>
              </w:rPr>
              <w:t>O&amp;M Expenses</w:t>
            </w:r>
          </w:p>
        </w:tc>
        <w:tc>
          <w:tcPr>
            <w:tcW w:w="1056" w:type="dxa"/>
            <w:shd w:val="clear" w:color="auto" w:fill="F7C9AC"/>
          </w:tcPr>
          <w:p w:rsidR="007C5447" w:rsidRDefault="007C5447">
            <w:pPr>
              <w:pStyle w:val="TableParagraph"/>
              <w:spacing w:before="4"/>
              <w:jc w:val="left"/>
              <w:rPr>
                <w:b/>
                <w:sz w:val="28"/>
              </w:rPr>
            </w:pPr>
          </w:p>
          <w:p w:rsidR="007C5447" w:rsidRDefault="00F6308C">
            <w:pPr>
              <w:pStyle w:val="TableParagraph"/>
              <w:ind w:left="285" w:right="251" w:firstLine="14"/>
              <w:jc w:val="left"/>
              <w:rPr>
                <w:b/>
                <w:sz w:val="18"/>
              </w:rPr>
            </w:pPr>
            <w:r>
              <w:rPr>
                <w:b/>
                <w:sz w:val="18"/>
              </w:rPr>
              <w:t>Other Debits</w:t>
            </w:r>
          </w:p>
        </w:tc>
        <w:tc>
          <w:tcPr>
            <w:tcW w:w="1056" w:type="dxa"/>
            <w:shd w:val="clear" w:color="auto" w:fill="F7C9AC"/>
          </w:tcPr>
          <w:p w:rsidR="007C5447" w:rsidRDefault="007C5447">
            <w:pPr>
              <w:pStyle w:val="TableParagraph"/>
              <w:spacing w:before="4"/>
              <w:jc w:val="left"/>
              <w:rPr>
                <w:b/>
                <w:sz w:val="28"/>
              </w:rPr>
            </w:pPr>
          </w:p>
          <w:p w:rsidR="007C5447" w:rsidRDefault="00F6308C">
            <w:pPr>
              <w:pStyle w:val="TableParagraph"/>
              <w:ind w:left="276" w:right="240" w:firstLine="50"/>
              <w:jc w:val="left"/>
              <w:rPr>
                <w:b/>
                <w:sz w:val="18"/>
              </w:rPr>
            </w:pPr>
            <w:r>
              <w:rPr>
                <w:b/>
                <w:sz w:val="18"/>
              </w:rPr>
              <w:t>Prior Period</w:t>
            </w:r>
          </w:p>
        </w:tc>
        <w:tc>
          <w:tcPr>
            <w:tcW w:w="1056" w:type="dxa"/>
            <w:shd w:val="clear" w:color="auto" w:fill="F7C9AC"/>
          </w:tcPr>
          <w:p w:rsidR="007C5447" w:rsidRDefault="007C5447">
            <w:pPr>
              <w:pStyle w:val="TableParagraph"/>
              <w:spacing w:before="4"/>
              <w:jc w:val="left"/>
              <w:rPr>
                <w:b/>
                <w:sz w:val="19"/>
              </w:rPr>
            </w:pPr>
          </w:p>
          <w:p w:rsidR="007C5447" w:rsidRDefault="00F6308C">
            <w:pPr>
              <w:pStyle w:val="TableParagraph"/>
              <w:ind w:left="232" w:right="219" w:firstLine="5"/>
              <w:jc w:val="center"/>
              <w:rPr>
                <w:b/>
                <w:sz w:val="18"/>
              </w:rPr>
            </w:pPr>
            <w:r>
              <w:rPr>
                <w:b/>
                <w:sz w:val="18"/>
              </w:rPr>
              <w:t>Op. Ch and Ex. Ord</w:t>
            </w:r>
          </w:p>
        </w:tc>
        <w:tc>
          <w:tcPr>
            <w:tcW w:w="1057" w:type="dxa"/>
            <w:shd w:val="clear" w:color="auto" w:fill="F7C9AC"/>
          </w:tcPr>
          <w:p w:rsidR="007C5447" w:rsidRDefault="007C5447">
            <w:pPr>
              <w:pStyle w:val="TableParagraph"/>
              <w:spacing w:before="4"/>
              <w:jc w:val="left"/>
              <w:rPr>
                <w:b/>
                <w:sz w:val="28"/>
              </w:rPr>
            </w:pPr>
          </w:p>
          <w:p w:rsidR="007C5447" w:rsidRDefault="00F6308C">
            <w:pPr>
              <w:pStyle w:val="TableParagraph"/>
              <w:ind w:left="245" w:firstLine="55"/>
              <w:jc w:val="left"/>
              <w:rPr>
                <w:b/>
                <w:sz w:val="18"/>
              </w:rPr>
            </w:pPr>
            <w:r>
              <w:rPr>
                <w:b/>
                <w:sz w:val="18"/>
              </w:rPr>
              <w:t>Other Income</w:t>
            </w:r>
          </w:p>
        </w:tc>
        <w:tc>
          <w:tcPr>
            <w:tcW w:w="1056" w:type="dxa"/>
            <w:shd w:val="clear" w:color="auto" w:fill="F7C9AC"/>
          </w:tcPr>
          <w:p w:rsidR="007C5447" w:rsidRDefault="007C5447">
            <w:pPr>
              <w:pStyle w:val="TableParagraph"/>
              <w:spacing w:before="4"/>
              <w:jc w:val="left"/>
              <w:rPr>
                <w:b/>
                <w:sz w:val="28"/>
              </w:rPr>
            </w:pPr>
          </w:p>
          <w:p w:rsidR="007C5447" w:rsidRDefault="00F6308C">
            <w:pPr>
              <w:pStyle w:val="TableParagraph"/>
              <w:ind w:left="244" w:right="77" w:hanging="135"/>
              <w:jc w:val="left"/>
              <w:rPr>
                <w:b/>
                <w:sz w:val="18"/>
              </w:rPr>
            </w:pPr>
            <w:r>
              <w:rPr>
                <w:b/>
                <w:sz w:val="18"/>
              </w:rPr>
              <w:t>Non-Tariff Income</w:t>
            </w:r>
          </w:p>
        </w:tc>
        <w:tc>
          <w:tcPr>
            <w:tcW w:w="1056" w:type="dxa"/>
            <w:shd w:val="clear" w:color="auto" w:fill="F7C9AC"/>
          </w:tcPr>
          <w:p w:rsidR="007C5447" w:rsidRDefault="00F6308C">
            <w:pPr>
              <w:pStyle w:val="TableParagraph"/>
              <w:spacing w:before="14"/>
              <w:ind w:left="225" w:right="212" w:hanging="1"/>
              <w:jc w:val="center"/>
              <w:rPr>
                <w:b/>
                <w:sz w:val="18"/>
              </w:rPr>
            </w:pPr>
            <w:r>
              <w:rPr>
                <w:b/>
                <w:sz w:val="18"/>
              </w:rPr>
              <w:t>Other Interest and</w:t>
            </w:r>
          </w:p>
          <w:p w:rsidR="007C5447" w:rsidRDefault="00F6308C">
            <w:pPr>
              <w:pStyle w:val="TableParagraph"/>
              <w:spacing w:before="4" w:line="206" w:lineRule="exact"/>
              <w:ind w:left="208" w:right="196" w:firstLine="2"/>
              <w:jc w:val="center"/>
              <w:rPr>
                <w:b/>
                <w:sz w:val="18"/>
              </w:rPr>
            </w:pPr>
            <w:r>
              <w:rPr>
                <w:b/>
                <w:sz w:val="18"/>
              </w:rPr>
              <w:t>Finance Charges</w:t>
            </w:r>
          </w:p>
        </w:tc>
        <w:tc>
          <w:tcPr>
            <w:tcW w:w="1083" w:type="dxa"/>
            <w:shd w:val="clear" w:color="auto" w:fill="F7C9AC"/>
          </w:tcPr>
          <w:p w:rsidR="007C5447" w:rsidRDefault="007C5447">
            <w:pPr>
              <w:pStyle w:val="TableParagraph"/>
              <w:spacing w:before="4"/>
              <w:jc w:val="left"/>
              <w:rPr>
                <w:b/>
                <w:sz w:val="28"/>
              </w:rPr>
            </w:pPr>
          </w:p>
          <w:p w:rsidR="007C5447" w:rsidRDefault="00F6308C">
            <w:pPr>
              <w:pStyle w:val="TableParagraph"/>
              <w:ind w:left="129" w:right="99" w:firstLine="208"/>
              <w:jc w:val="left"/>
              <w:rPr>
                <w:b/>
                <w:sz w:val="18"/>
              </w:rPr>
            </w:pPr>
            <w:r>
              <w:rPr>
                <w:b/>
                <w:sz w:val="18"/>
              </w:rPr>
              <w:t>Total Fixed Cost</w:t>
            </w:r>
          </w:p>
        </w:tc>
      </w:tr>
      <w:tr w:rsidR="007C5447">
        <w:trPr>
          <w:trHeight w:val="313"/>
        </w:trPr>
        <w:tc>
          <w:tcPr>
            <w:tcW w:w="703" w:type="dxa"/>
          </w:tcPr>
          <w:p w:rsidR="007C5447" w:rsidRDefault="00F6308C">
            <w:pPr>
              <w:pStyle w:val="TableParagraph"/>
              <w:spacing w:before="52"/>
              <w:ind w:left="107"/>
              <w:jc w:val="left"/>
              <w:rPr>
                <w:sz w:val="18"/>
              </w:rPr>
            </w:pPr>
            <w:r>
              <w:rPr>
                <w:sz w:val="18"/>
              </w:rPr>
              <w:t>1</w:t>
            </w:r>
          </w:p>
        </w:tc>
        <w:tc>
          <w:tcPr>
            <w:tcW w:w="1891" w:type="dxa"/>
          </w:tcPr>
          <w:p w:rsidR="007C5447" w:rsidRDefault="00F6308C">
            <w:pPr>
              <w:pStyle w:val="TableParagraph"/>
              <w:spacing w:before="52"/>
              <w:ind w:left="107"/>
              <w:jc w:val="left"/>
              <w:rPr>
                <w:sz w:val="18"/>
              </w:rPr>
            </w:pPr>
            <w:r>
              <w:rPr>
                <w:sz w:val="18"/>
              </w:rPr>
              <w:t>Ennore TPS</w:t>
            </w:r>
          </w:p>
        </w:tc>
        <w:tc>
          <w:tcPr>
            <w:tcW w:w="1034" w:type="dxa"/>
          </w:tcPr>
          <w:p w:rsidR="007C5447" w:rsidRDefault="00F6308C">
            <w:pPr>
              <w:pStyle w:val="TableParagraph"/>
              <w:spacing w:before="52"/>
              <w:ind w:right="94"/>
              <w:rPr>
                <w:sz w:val="18"/>
              </w:rPr>
            </w:pPr>
            <w:r>
              <w:rPr>
                <w:sz w:val="18"/>
              </w:rPr>
              <w:t>36.32</w:t>
            </w:r>
          </w:p>
        </w:tc>
        <w:tc>
          <w:tcPr>
            <w:tcW w:w="1035" w:type="dxa"/>
          </w:tcPr>
          <w:p w:rsidR="007C5447" w:rsidRDefault="00F6308C">
            <w:pPr>
              <w:pStyle w:val="TableParagraph"/>
              <w:spacing w:before="52"/>
              <w:ind w:right="97"/>
              <w:rPr>
                <w:sz w:val="18"/>
              </w:rPr>
            </w:pPr>
            <w:r>
              <w:rPr>
                <w:sz w:val="18"/>
              </w:rPr>
              <w:t>193.52</w:t>
            </w:r>
          </w:p>
        </w:tc>
        <w:tc>
          <w:tcPr>
            <w:tcW w:w="1034" w:type="dxa"/>
          </w:tcPr>
          <w:p w:rsidR="007C5447" w:rsidRDefault="00F6308C">
            <w:pPr>
              <w:pStyle w:val="TableParagraph"/>
              <w:spacing w:before="52"/>
              <w:ind w:right="93"/>
              <w:rPr>
                <w:sz w:val="18"/>
              </w:rPr>
            </w:pPr>
            <w:r>
              <w:rPr>
                <w:sz w:val="18"/>
              </w:rPr>
              <w:t>28.03</w:t>
            </w:r>
          </w:p>
        </w:tc>
        <w:tc>
          <w:tcPr>
            <w:tcW w:w="1034" w:type="dxa"/>
          </w:tcPr>
          <w:p w:rsidR="007C5447" w:rsidRDefault="00F6308C">
            <w:pPr>
              <w:pStyle w:val="TableParagraph"/>
              <w:spacing w:before="52"/>
              <w:ind w:right="93"/>
              <w:rPr>
                <w:sz w:val="18"/>
              </w:rPr>
            </w:pPr>
            <w:r>
              <w:rPr>
                <w:sz w:val="18"/>
              </w:rPr>
              <w:t>62.69</w:t>
            </w:r>
          </w:p>
        </w:tc>
        <w:tc>
          <w:tcPr>
            <w:tcW w:w="1106" w:type="dxa"/>
          </w:tcPr>
          <w:p w:rsidR="007C5447" w:rsidRDefault="00F6308C">
            <w:pPr>
              <w:pStyle w:val="TableParagraph"/>
              <w:spacing w:before="52"/>
              <w:ind w:right="92"/>
              <w:rPr>
                <w:sz w:val="18"/>
              </w:rPr>
            </w:pPr>
            <w:r>
              <w:rPr>
                <w:sz w:val="18"/>
              </w:rPr>
              <w:t>88.71</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3.42</w:t>
            </w:r>
          </w:p>
        </w:tc>
        <w:tc>
          <w:tcPr>
            <w:tcW w:w="1056" w:type="dxa"/>
          </w:tcPr>
          <w:p w:rsidR="007C5447" w:rsidRDefault="00F6308C">
            <w:pPr>
              <w:pStyle w:val="TableParagraph"/>
              <w:spacing w:before="52"/>
              <w:ind w:right="92"/>
              <w:rPr>
                <w:sz w:val="18"/>
              </w:rPr>
            </w:pPr>
            <w:r>
              <w:rPr>
                <w:sz w:val="18"/>
              </w:rPr>
              <w:t>11.19</w:t>
            </w:r>
          </w:p>
        </w:tc>
        <w:tc>
          <w:tcPr>
            <w:tcW w:w="1057" w:type="dxa"/>
          </w:tcPr>
          <w:p w:rsidR="007C5447" w:rsidRDefault="00F6308C">
            <w:pPr>
              <w:pStyle w:val="TableParagraph"/>
              <w:spacing w:before="52"/>
              <w:ind w:right="93"/>
              <w:rPr>
                <w:sz w:val="18"/>
              </w:rPr>
            </w:pPr>
            <w:r>
              <w:rPr>
                <w:sz w:val="18"/>
              </w:rPr>
              <w:t>12.21</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2.24</w:t>
            </w:r>
          </w:p>
        </w:tc>
        <w:tc>
          <w:tcPr>
            <w:tcW w:w="1083" w:type="dxa"/>
          </w:tcPr>
          <w:p w:rsidR="007C5447" w:rsidRDefault="00F6308C">
            <w:pPr>
              <w:pStyle w:val="TableParagraph"/>
              <w:spacing w:before="52"/>
              <w:ind w:right="96"/>
              <w:rPr>
                <w:sz w:val="18"/>
              </w:rPr>
            </w:pPr>
            <w:r>
              <w:rPr>
                <w:sz w:val="18"/>
              </w:rPr>
              <w:t>413.89</w:t>
            </w:r>
          </w:p>
        </w:tc>
      </w:tr>
      <w:tr w:rsidR="007C5447">
        <w:trPr>
          <w:trHeight w:val="317"/>
        </w:trPr>
        <w:tc>
          <w:tcPr>
            <w:tcW w:w="703" w:type="dxa"/>
          </w:tcPr>
          <w:p w:rsidR="007C5447" w:rsidRDefault="00F6308C">
            <w:pPr>
              <w:pStyle w:val="TableParagraph"/>
              <w:spacing w:before="55"/>
              <w:ind w:left="107"/>
              <w:jc w:val="left"/>
              <w:rPr>
                <w:sz w:val="18"/>
              </w:rPr>
            </w:pPr>
            <w:r>
              <w:rPr>
                <w:sz w:val="18"/>
              </w:rPr>
              <w:t>2</w:t>
            </w:r>
          </w:p>
        </w:tc>
        <w:tc>
          <w:tcPr>
            <w:tcW w:w="1891" w:type="dxa"/>
          </w:tcPr>
          <w:p w:rsidR="007C5447" w:rsidRDefault="00F6308C">
            <w:pPr>
              <w:pStyle w:val="TableParagraph"/>
              <w:spacing w:before="55"/>
              <w:ind w:left="107"/>
              <w:jc w:val="left"/>
              <w:rPr>
                <w:sz w:val="18"/>
              </w:rPr>
            </w:pPr>
            <w:r>
              <w:rPr>
                <w:sz w:val="18"/>
              </w:rPr>
              <w:t>Tuticorin TPS</w:t>
            </w:r>
          </w:p>
        </w:tc>
        <w:tc>
          <w:tcPr>
            <w:tcW w:w="1034" w:type="dxa"/>
          </w:tcPr>
          <w:p w:rsidR="007C5447" w:rsidRDefault="00F6308C">
            <w:pPr>
              <w:pStyle w:val="TableParagraph"/>
              <w:spacing w:before="55"/>
              <w:ind w:right="94"/>
              <w:rPr>
                <w:sz w:val="18"/>
              </w:rPr>
            </w:pPr>
            <w:r>
              <w:rPr>
                <w:sz w:val="18"/>
              </w:rPr>
              <w:t>63.96</w:t>
            </w:r>
          </w:p>
        </w:tc>
        <w:tc>
          <w:tcPr>
            <w:tcW w:w="1035" w:type="dxa"/>
          </w:tcPr>
          <w:p w:rsidR="007C5447" w:rsidRDefault="00F6308C">
            <w:pPr>
              <w:pStyle w:val="TableParagraph"/>
              <w:spacing w:before="55"/>
              <w:ind w:right="97"/>
              <w:rPr>
                <w:sz w:val="18"/>
              </w:rPr>
            </w:pPr>
            <w:r>
              <w:rPr>
                <w:sz w:val="18"/>
              </w:rPr>
              <w:t>340.85</w:t>
            </w:r>
          </w:p>
        </w:tc>
        <w:tc>
          <w:tcPr>
            <w:tcW w:w="1034" w:type="dxa"/>
          </w:tcPr>
          <w:p w:rsidR="007C5447" w:rsidRDefault="00F6308C">
            <w:pPr>
              <w:pStyle w:val="TableParagraph"/>
              <w:spacing w:before="55"/>
              <w:ind w:right="96"/>
              <w:rPr>
                <w:sz w:val="18"/>
              </w:rPr>
            </w:pPr>
            <w:r>
              <w:rPr>
                <w:sz w:val="18"/>
              </w:rPr>
              <w:t>150.17</w:t>
            </w:r>
          </w:p>
        </w:tc>
        <w:tc>
          <w:tcPr>
            <w:tcW w:w="1034" w:type="dxa"/>
          </w:tcPr>
          <w:p w:rsidR="007C5447" w:rsidRDefault="00F6308C">
            <w:pPr>
              <w:pStyle w:val="TableParagraph"/>
              <w:spacing w:before="55"/>
              <w:ind w:right="97"/>
              <w:rPr>
                <w:sz w:val="18"/>
              </w:rPr>
            </w:pPr>
            <w:r>
              <w:rPr>
                <w:sz w:val="18"/>
              </w:rPr>
              <w:t>110.41</w:t>
            </w:r>
          </w:p>
        </w:tc>
        <w:tc>
          <w:tcPr>
            <w:tcW w:w="1106" w:type="dxa"/>
          </w:tcPr>
          <w:p w:rsidR="007C5447" w:rsidRDefault="00F6308C">
            <w:pPr>
              <w:pStyle w:val="TableParagraph"/>
              <w:spacing w:before="55"/>
              <w:ind w:right="95"/>
              <w:rPr>
                <w:sz w:val="18"/>
              </w:rPr>
            </w:pPr>
            <w:r>
              <w:rPr>
                <w:sz w:val="18"/>
              </w:rPr>
              <w:t>244.51</w:t>
            </w:r>
          </w:p>
        </w:tc>
        <w:tc>
          <w:tcPr>
            <w:tcW w:w="1056" w:type="dxa"/>
          </w:tcPr>
          <w:p w:rsidR="007C5447" w:rsidRDefault="00F6308C">
            <w:pPr>
              <w:pStyle w:val="TableParagraph"/>
              <w:spacing w:before="55"/>
              <w:ind w:right="95"/>
              <w:rPr>
                <w:sz w:val="18"/>
              </w:rPr>
            </w:pPr>
            <w:r>
              <w:rPr>
                <w:sz w:val="18"/>
              </w:rPr>
              <w:t>0.47</w:t>
            </w:r>
          </w:p>
        </w:tc>
        <w:tc>
          <w:tcPr>
            <w:tcW w:w="1056" w:type="dxa"/>
          </w:tcPr>
          <w:p w:rsidR="007C5447" w:rsidRDefault="00F6308C">
            <w:pPr>
              <w:pStyle w:val="TableParagraph"/>
              <w:spacing w:before="55"/>
              <w:ind w:right="91"/>
              <w:rPr>
                <w:sz w:val="18"/>
              </w:rPr>
            </w:pPr>
            <w:r>
              <w:rPr>
                <w:sz w:val="18"/>
              </w:rPr>
              <w:t>(2.95)</w:t>
            </w:r>
          </w:p>
        </w:tc>
        <w:tc>
          <w:tcPr>
            <w:tcW w:w="1056" w:type="dxa"/>
          </w:tcPr>
          <w:p w:rsidR="007C5447" w:rsidRDefault="00F6308C">
            <w:pPr>
              <w:pStyle w:val="TableParagraph"/>
              <w:spacing w:before="55"/>
              <w:ind w:right="92"/>
              <w:rPr>
                <w:sz w:val="18"/>
              </w:rPr>
            </w:pPr>
            <w:r>
              <w:rPr>
                <w:sz w:val="18"/>
              </w:rPr>
              <w:t>12.96</w:t>
            </w:r>
          </w:p>
        </w:tc>
        <w:tc>
          <w:tcPr>
            <w:tcW w:w="1057" w:type="dxa"/>
          </w:tcPr>
          <w:p w:rsidR="007C5447" w:rsidRDefault="00F6308C">
            <w:pPr>
              <w:pStyle w:val="TableParagraph"/>
              <w:spacing w:before="55"/>
              <w:ind w:right="93"/>
              <w:rPr>
                <w:sz w:val="18"/>
              </w:rPr>
            </w:pPr>
            <w:r>
              <w:rPr>
                <w:sz w:val="18"/>
              </w:rPr>
              <w:t>44.16</w:t>
            </w:r>
          </w:p>
        </w:tc>
        <w:tc>
          <w:tcPr>
            <w:tcW w:w="1056" w:type="dxa"/>
          </w:tcPr>
          <w:p w:rsidR="007C5447" w:rsidRDefault="00F6308C">
            <w:pPr>
              <w:pStyle w:val="TableParagraph"/>
              <w:spacing w:before="55"/>
              <w:ind w:right="95"/>
              <w:rPr>
                <w:sz w:val="18"/>
              </w:rPr>
            </w:pPr>
            <w:r>
              <w:rPr>
                <w:sz w:val="18"/>
              </w:rPr>
              <w:t>0.00</w:t>
            </w:r>
          </w:p>
        </w:tc>
        <w:tc>
          <w:tcPr>
            <w:tcW w:w="1056" w:type="dxa"/>
          </w:tcPr>
          <w:p w:rsidR="007C5447" w:rsidRDefault="00F6308C">
            <w:pPr>
              <w:pStyle w:val="TableParagraph"/>
              <w:spacing w:before="55"/>
              <w:ind w:right="95"/>
              <w:rPr>
                <w:sz w:val="18"/>
              </w:rPr>
            </w:pPr>
            <w:r>
              <w:rPr>
                <w:sz w:val="18"/>
              </w:rPr>
              <w:t>8.39</w:t>
            </w:r>
          </w:p>
        </w:tc>
        <w:tc>
          <w:tcPr>
            <w:tcW w:w="1083" w:type="dxa"/>
          </w:tcPr>
          <w:p w:rsidR="007C5447" w:rsidRDefault="00F6308C">
            <w:pPr>
              <w:pStyle w:val="TableParagraph"/>
              <w:spacing w:before="55"/>
              <w:ind w:right="96"/>
              <w:rPr>
                <w:sz w:val="18"/>
              </w:rPr>
            </w:pPr>
            <w:r>
              <w:rPr>
                <w:sz w:val="18"/>
              </w:rPr>
              <w:t>884.62</w:t>
            </w:r>
          </w:p>
        </w:tc>
      </w:tr>
      <w:tr w:rsidR="007C5447">
        <w:trPr>
          <w:trHeight w:val="313"/>
        </w:trPr>
        <w:tc>
          <w:tcPr>
            <w:tcW w:w="703" w:type="dxa"/>
          </w:tcPr>
          <w:p w:rsidR="007C5447" w:rsidRDefault="00F6308C">
            <w:pPr>
              <w:pStyle w:val="TableParagraph"/>
              <w:spacing w:before="52"/>
              <w:ind w:left="107"/>
              <w:jc w:val="left"/>
              <w:rPr>
                <w:sz w:val="18"/>
              </w:rPr>
            </w:pPr>
            <w:r>
              <w:rPr>
                <w:sz w:val="18"/>
              </w:rPr>
              <w:t>3</w:t>
            </w:r>
          </w:p>
        </w:tc>
        <w:tc>
          <w:tcPr>
            <w:tcW w:w="1891" w:type="dxa"/>
          </w:tcPr>
          <w:p w:rsidR="007C5447" w:rsidRDefault="00F6308C">
            <w:pPr>
              <w:pStyle w:val="TableParagraph"/>
              <w:spacing w:before="52"/>
              <w:ind w:left="107"/>
              <w:jc w:val="left"/>
              <w:rPr>
                <w:sz w:val="18"/>
              </w:rPr>
            </w:pPr>
            <w:r>
              <w:rPr>
                <w:sz w:val="18"/>
              </w:rPr>
              <w:t>Mettur TPS</w:t>
            </w:r>
          </w:p>
        </w:tc>
        <w:tc>
          <w:tcPr>
            <w:tcW w:w="1034" w:type="dxa"/>
          </w:tcPr>
          <w:p w:rsidR="007C5447" w:rsidRDefault="00F6308C">
            <w:pPr>
              <w:pStyle w:val="TableParagraph"/>
              <w:spacing w:before="52"/>
              <w:ind w:right="94"/>
              <w:rPr>
                <w:sz w:val="18"/>
              </w:rPr>
            </w:pPr>
            <w:r>
              <w:rPr>
                <w:sz w:val="18"/>
              </w:rPr>
              <w:t>37.92</w:t>
            </w:r>
          </w:p>
        </w:tc>
        <w:tc>
          <w:tcPr>
            <w:tcW w:w="1035" w:type="dxa"/>
          </w:tcPr>
          <w:p w:rsidR="007C5447" w:rsidRDefault="00F6308C">
            <w:pPr>
              <w:pStyle w:val="TableParagraph"/>
              <w:spacing w:before="52"/>
              <w:ind w:right="97"/>
              <w:rPr>
                <w:sz w:val="18"/>
              </w:rPr>
            </w:pPr>
            <w:r>
              <w:rPr>
                <w:sz w:val="18"/>
              </w:rPr>
              <w:t>202.37</w:t>
            </w:r>
          </w:p>
        </w:tc>
        <w:tc>
          <w:tcPr>
            <w:tcW w:w="1034" w:type="dxa"/>
          </w:tcPr>
          <w:p w:rsidR="007C5447" w:rsidRDefault="00F6308C">
            <w:pPr>
              <w:pStyle w:val="TableParagraph"/>
              <w:spacing w:before="52"/>
              <w:ind w:right="96"/>
              <w:rPr>
                <w:sz w:val="18"/>
              </w:rPr>
            </w:pPr>
            <w:r>
              <w:rPr>
                <w:sz w:val="18"/>
              </w:rPr>
              <w:t>111.03</w:t>
            </w:r>
          </w:p>
        </w:tc>
        <w:tc>
          <w:tcPr>
            <w:tcW w:w="1034" w:type="dxa"/>
          </w:tcPr>
          <w:p w:rsidR="007C5447" w:rsidRDefault="00F6308C">
            <w:pPr>
              <w:pStyle w:val="TableParagraph"/>
              <w:spacing w:before="52"/>
              <w:ind w:right="93"/>
              <w:rPr>
                <w:sz w:val="18"/>
              </w:rPr>
            </w:pPr>
            <w:r>
              <w:rPr>
                <w:sz w:val="18"/>
              </w:rPr>
              <w:t>65.56</w:t>
            </w:r>
          </w:p>
        </w:tc>
        <w:tc>
          <w:tcPr>
            <w:tcW w:w="1106" w:type="dxa"/>
          </w:tcPr>
          <w:p w:rsidR="007C5447" w:rsidRDefault="00F6308C">
            <w:pPr>
              <w:pStyle w:val="TableParagraph"/>
              <w:spacing w:before="52"/>
              <w:ind w:right="95"/>
              <w:rPr>
                <w:sz w:val="18"/>
              </w:rPr>
            </w:pPr>
            <w:r>
              <w:rPr>
                <w:sz w:val="18"/>
              </w:rPr>
              <w:t>115.03</w:t>
            </w:r>
          </w:p>
        </w:tc>
        <w:tc>
          <w:tcPr>
            <w:tcW w:w="1056" w:type="dxa"/>
          </w:tcPr>
          <w:p w:rsidR="007C5447" w:rsidRDefault="00F6308C">
            <w:pPr>
              <w:pStyle w:val="TableParagraph"/>
              <w:spacing w:before="52"/>
              <w:ind w:right="95"/>
              <w:rPr>
                <w:sz w:val="18"/>
              </w:rPr>
            </w:pPr>
            <w:r>
              <w:rPr>
                <w:sz w:val="18"/>
              </w:rPr>
              <w:t>0.14</w:t>
            </w:r>
          </w:p>
        </w:tc>
        <w:tc>
          <w:tcPr>
            <w:tcW w:w="1056" w:type="dxa"/>
          </w:tcPr>
          <w:p w:rsidR="007C5447" w:rsidRDefault="00F6308C">
            <w:pPr>
              <w:pStyle w:val="TableParagraph"/>
              <w:spacing w:before="52"/>
              <w:ind w:right="91"/>
              <w:rPr>
                <w:sz w:val="18"/>
              </w:rPr>
            </w:pPr>
            <w:r>
              <w:rPr>
                <w:sz w:val="18"/>
              </w:rPr>
              <w:t>(0.62)</w:t>
            </w:r>
          </w:p>
        </w:tc>
        <w:tc>
          <w:tcPr>
            <w:tcW w:w="1056" w:type="dxa"/>
          </w:tcPr>
          <w:p w:rsidR="007C5447" w:rsidRDefault="00F6308C">
            <w:pPr>
              <w:pStyle w:val="TableParagraph"/>
              <w:spacing w:before="52"/>
              <w:ind w:right="95"/>
              <w:rPr>
                <w:sz w:val="18"/>
              </w:rPr>
            </w:pPr>
            <w:r>
              <w:rPr>
                <w:sz w:val="18"/>
              </w:rPr>
              <w:t>5.58</w:t>
            </w:r>
          </w:p>
        </w:tc>
        <w:tc>
          <w:tcPr>
            <w:tcW w:w="1057" w:type="dxa"/>
          </w:tcPr>
          <w:p w:rsidR="007C5447" w:rsidRDefault="00F6308C">
            <w:pPr>
              <w:pStyle w:val="TableParagraph"/>
              <w:spacing w:before="52"/>
              <w:ind w:right="93"/>
              <w:rPr>
                <w:sz w:val="18"/>
              </w:rPr>
            </w:pPr>
            <w:r>
              <w:rPr>
                <w:sz w:val="18"/>
              </w:rPr>
              <w:t>33.12</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2.87</w:t>
            </w:r>
          </w:p>
        </w:tc>
        <w:tc>
          <w:tcPr>
            <w:tcW w:w="1083" w:type="dxa"/>
          </w:tcPr>
          <w:p w:rsidR="007C5447" w:rsidRDefault="00F6308C">
            <w:pPr>
              <w:pStyle w:val="TableParagraph"/>
              <w:spacing w:before="52"/>
              <w:ind w:right="96"/>
              <w:rPr>
                <w:sz w:val="18"/>
              </w:rPr>
            </w:pPr>
            <w:r>
              <w:rPr>
                <w:sz w:val="18"/>
              </w:rPr>
              <w:t>506.76</w:t>
            </w:r>
          </w:p>
        </w:tc>
      </w:tr>
      <w:tr w:rsidR="007C5447">
        <w:trPr>
          <w:trHeight w:val="314"/>
        </w:trPr>
        <w:tc>
          <w:tcPr>
            <w:tcW w:w="703" w:type="dxa"/>
          </w:tcPr>
          <w:p w:rsidR="007C5447" w:rsidRDefault="00F6308C">
            <w:pPr>
              <w:pStyle w:val="TableParagraph"/>
              <w:spacing w:before="55"/>
              <w:ind w:left="107"/>
              <w:jc w:val="left"/>
              <w:rPr>
                <w:sz w:val="18"/>
              </w:rPr>
            </w:pPr>
            <w:r>
              <w:rPr>
                <w:sz w:val="18"/>
              </w:rPr>
              <w:t>4</w:t>
            </w:r>
          </w:p>
        </w:tc>
        <w:tc>
          <w:tcPr>
            <w:tcW w:w="1891" w:type="dxa"/>
          </w:tcPr>
          <w:p w:rsidR="007C5447" w:rsidRDefault="00F6308C">
            <w:pPr>
              <w:pStyle w:val="TableParagraph"/>
              <w:spacing w:before="55"/>
              <w:ind w:left="107"/>
              <w:jc w:val="left"/>
              <w:rPr>
                <w:sz w:val="18"/>
              </w:rPr>
            </w:pPr>
            <w:r>
              <w:rPr>
                <w:sz w:val="18"/>
              </w:rPr>
              <w:t>North Chennai TPS</w:t>
            </w:r>
          </w:p>
        </w:tc>
        <w:tc>
          <w:tcPr>
            <w:tcW w:w="1034" w:type="dxa"/>
          </w:tcPr>
          <w:p w:rsidR="007C5447" w:rsidRDefault="00F6308C">
            <w:pPr>
              <w:pStyle w:val="TableParagraph"/>
              <w:spacing w:before="55"/>
              <w:ind w:right="94"/>
              <w:rPr>
                <w:sz w:val="18"/>
              </w:rPr>
            </w:pPr>
            <w:r>
              <w:rPr>
                <w:sz w:val="18"/>
              </w:rPr>
              <w:t>68.30</w:t>
            </w:r>
          </w:p>
        </w:tc>
        <w:tc>
          <w:tcPr>
            <w:tcW w:w="1035" w:type="dxa"/>
          </w:tcPr>
          <w:p w:rsidR="007C5447" w:rsidRDefault="00F6308C">
            <w:pPr>
              <w:pStyle w:val="TableParagraph"/>
              <w:spacing w:before="55"/>
              <w:ind w:right="97"/>
              <w:rPr>
                <w:sz w:val="18"/>
              </w:rPr>
            </w:pPr>
            <w:r>
              <w:rPr>
                <w:sz w:val="18"/>
              </w:rPr>
              <w:t>364.21</w:t>
            </w:r>
          </w:p>
        </w:tc>
        <w:tc>
          <w:tcPr>
            <w:tcW w:w="1034" w:type="dxa"/>
          </w:tcPr>
          <w:p w:rsidR="007C5447" w:rsidRDefault="00F6308C">
            <w:pPr>
              <w:pStyle w:val="TableParagraph"/>
              <w:spacing w:before="55"/>
              <w:ind w:right="93"/>
              <w:rPr>
                <w:sz w:val="18"/>
              </w:rPr>
            </w:pPr>
            <w:r>
              <w:rPr>
                <w:sz w:val="18"/>
              </w:rPr>
              <w:t>87.25</w:t>
            </w:r>
          </w:p>
        </w:tc>
        <w:tc>
          <w:tcPr>
            <w:tcW w:w="1034" w:type="dxa"/>
          </w:tcPr>
          <w:p w:rsidR="007C5447" w:rsidRDefault="00F6308C">
            <w:pPr>
              <w:pStyle w:val="TableParagraph"/>
              <w:spacing w:before="55"/>
              <w:ind w:right="97"/>
              <w:rPr>
                <w:sz w:val="18"/>
              </w:rPr>
            </w:pPr>
            <w:r>
              <w:rPr>
                <w:sz w:val="18"/>
              </w:rPr>
              <w:t>117.98</w:t>
            </w:r>
          </w:p>
        </w:tc>
        <w:tc>
          <w:tcPr>
            <w:tcW w:w="1106" w:type="dxa"/>
          </w:tcPr>
          <w:p w:rsidR="007C5447" w:rsidRDefault="00F6308C">
            <w:pPr>
              <w:pStyle w:val="TableParagraph"/>
              <w:spacing w:before="55"/>
              <w:ind w:right="95"/>
              <w:rPr>
                <w:sz w:val="18"/>
              </w:rPr>
            </w:pPr>
            <w:r>
              <w:rPr>
                <w:sz w:val="18"/>
              </w:rPr>
              <w:t>143.97</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0.64</w:t>
            </w:r>
          </w:p>
        </w:tc>
        <w:tc>
          <w:tcPr>
            <w:tcW w:w="1056" w:type="dxa"/>
          </w:tcPr>
          <w:p w:rsidR="007C5447" w:rsidRDefault="00F6308C">
            <w:pPr>
              <w:pStyle w:val="TableParagraph"/>
              <w:spacing w:before="55"/>
              <w:ind w:right="92"/>
              <w:rPr>
                <w:sz w:val="18"/>
              </w:rPr>
            </w:pPr>
            <w:r>
              <w:rPr>
                <w:sz w:val="18"/>
              </w:rPr>
              <w:t>29.20</w:t>
            </w:r>
          </w:p>
        </w:tc>
        <w:tc>
          <w:tcPr>
            <w:tcW w:w="1057" w:type="dxa"/>
          </w:tcPr>
          <w:p w:rsidR="007C5447" w:rsidRDefault="00F6308C">
            <w:pPr>
              <w:pStyle w:val="TableParagraph"/>
              <w:spacing w:before="55"/>
              <w:ind w:right="93"/>
              <w:rPr>
                <w:sz w:val="18"/>
              </w:rPr>
            </w:pPr>
            <w:r>
              <w:rPr>
                <w:sz w:val="18"/>
              </w:rPr>
              <w:t>24.26</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2.91</w:t>
            </w:r>
          </w:p>
        </w:tc>
        <w:tc>
          <w:tcPr>
            <w:tcW w:w="1083" w:type="dxa"/>
          </w:tcPr>
          <w:p w:rsidR="007C5447" w:rsidRDefault="00F6308C">
            <w:pPr>
              <w:pStyle w:val="TableParagraph"/>
              <w:spacing w:before="55"/>
              <w:ind w:right="96"/>
              <w:rPr>
                <w:sz w:val="18"/>
              </w:rPr>
            </w:pPr>
            <w:r>
              <w:rPr>
                <w:sz w:val="18"/>
              </w:rPr>
              <w:t>790.20</w:t>
            </w:r>
          </w:p>
        </w:tc>
      </w:tr>
      <w:tr w:rsidR="007C5447">
        <w:trPr>
          <w:trHeight w:val="316"/>
        </w:trPr>
        <w:tc>
          <w:tcPr>
            <w:tcW w:w="703" w:type="dxa"/>
          </w:tcPr>
          <w:p w:rsidR="007C5447" w:rsidRDefault="00F6308C">
            <w:pPr>
              <w:pStyle w:val="TableParagraph"/>
              <w:spacing w:before="55"/>
              <w:ind w:left="107"/>
              <w:jc w:val="left"/>
              <w:rPr>
                <w:sz w:val="18"/>
              </w:rPr>
            </w:pPr>
            <w:r>
              <w:rPr>
                <w:sz w:val="18"/>
              </w:rPr>
              <w:t>7</w:t>
            </w:r>
          </w:p>
        </w:tc>
        <w:tc>
          <w:tcPr>
            <w:tcW w:w="1891" w:type="dxa"/>
          </w:tcPr>
          <w:p w:rsidR="007C5447" w:rsidRDefault="00F6308C">
            <w:pPr>
              <w:pStyle w:val="TableParagraph"/>
              <w:spacing w:before="55"/>
              <w:ind w:left="107"/>
              <w:jc w:val="left"/>
              <w:rPr>
                <w:sz w:val="18"/>
              </w:rPr>
            </w:pPr>
            <w:r>
              <w:rPr>
                <w:sz w:val="18"/>
              </w:rPr>
              <w:t>Tirumakottai GTPS</w:t>
            </w:r>
          </w:p>
        </w:tc>
        <w:tc>
          <w:tcPr>
            <w:tcW w:w="1034" w:type="dxa"/>
          </w:tcPr>
          <w:p w:rsidR="007C5447" w:rsidRDefault="00F6308C">
            <w:pPr>
              <w:pStyle w:val="TableParagraph"/>
              <w:spacing w:before="55"/>
              <w:ind w:right="94"/>
              <w:rPr>
                <w:sz w:val="18"/>
              </w:rPr>
            </w:pPr>
            <w:r>
              <w:rPr>
                <w:sz w:val="18"/>
              </w:rPr>
              <w:t>15.48</w:t>
            </w:r>
          </w:p>
        </w:tc>
        <w:tc>
          <w:tcPr>
            <w:tcW w:w="1035" w:type="dxa"/>
          </w:tcPr>
          <w:p w:rsidR="007C5447" w:rsidRDefault="00F6308C">
            <w:pPr>
              <w:pStyle w:val="TableParagraph"/>
              <w:spacing w:before="55"/>
              <w:ind w:right="94"/>
              <w:rPr>
                <w:sz w:val="18"/>
              </w:rPr>
            </w:pPr>
            <w:r>
              <w:rPr>
                <w:sz w:val="18"/>
              </w:rPr>
              <w:t>82.55</w:t>
            </w:r>
          </w:p>
        </w:tc>
        <w:tc>
          <w:tcPr>
            <w:tcW w:w="1034" w:type="dxa"/>
          </w:tcPr>
          <w:p w:rsidR="007C5447" w:rsidRDefault="00F6308C">
            <w:pPr>
              <w:pStyle w:val="TableParagraph"/>
              <w:spacing w:before="55"/>
              <w:ind w:right="93"/>
              <w:rPr>
                <w:sz w:val="18"/>
              </w:rPr>
            </w:pPr>
            <w:r>
              <w:rPr>
                <w:sz w:val="18"/>
              </w:rPr>
              <w:t>10.83</w:t>
            </w:r>
          </w:p>
        </w:tc>
        <w:tc>
          <w:tcPr>
            <w:tcW w:w="1034" w:type="dxa"/>
          </w:tcPr>
          <w:p w:rsidR="007C5447" w:rsidRDefault="00F6308C">
            <w:pPr>
              <w:pStyle w:val="TableParagraph"/>
              <w:spacing w:before="55"/>
              <w:ind w:right="93"/>
              <w:rPr>
                <w:sz w:val="18"/>
              </w:rPr>
            </w:pPr>
            <w:r>
              <w:rPr>
                <w:sz w:val="18"/>
              </w:rPr>
              <w:t>26.74</w:t>
            </w:r>
          </w:p>
        </w:tc>
        <w:tc>
          <w:tcPr>
            <w:tcW w:w="1106" w:type="dxa"/>
          </w:tcPr>
          <w:p w:rsidR="007C5447" w:rsidRDefault="00F6308C">
            <w:pPr>
              <w:pStyle w:val="TableParagraph"/>
              <w:spacing w:before="55"/>
              <w:ind w:right="95"/>
              <w:rPr>
                <w:sz w:val="18"/>
              </w:rPr>
            </w:pPr>
            <w:r>
              <w:rPr>
                <w:sz w:val="18"/>
              </w:rPr>
              <w:t>7.06</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0.01</w:t>
            </w:r>
          </w:p>
        </w:tc>
        <w:tc>
          <w:tcPr>
            <w:tcW w:w="1056" w:type="dxa"/>
          </w:tcPr>
          <w:p w:rsidR="007C5447" w:rsidRDefault="00F6308C">
            <w:pPr>
              <w:pStyle w:val="TableParagraph"/>
              <w:spacing w:before="55"/>
              <w:ind w:right="95"/>
              <w:rPr>
                <w:sz w:val="18"/>
              </w:rPr>
            </w:pPr>
            <w:r>
              <w:rPr>
                <w:sz w:val="18"/>
              </w:rPr>
              <w:t>0.40</w:t>
            </w:r>
          </w:p>
        </w:tc>
        <w:tc>
          <w:tcPr>
            <w:tcW w:w="1057" w:type="dxa"/>
          </w:tcPr>
          <w:p w:rsidR="007C5447" w:rsidRDefault="00F6308C">
            <w:pPr>
              <w:pStyle w:val="TableParagraph"/>
              <w:spacing w:before="55"/>
              <w:ind w:right="95"/>
              <w:rPr>
                <w:sz w:val="18"/>
              </w:rPr>
            </w:pPr>
            <w:r>
              <w:rPr>
                <w:sz w:val="18"/>
              </w:rPr>
              <w:t>0.11</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0.18</w:t>
            </w:r>
          </w:p>
        </w:tc>
        <w:tc>
          <w:tcPr>
            <w:tcW w:w="1083" w:type="dxa"/>
          </w:tcPr>
          <w:p w:rsidR="007C5447" w:rsidRDefault="00F6308C">
            <w:pPr>
              <w:pStyle w:val="TableParagraph"/>
              <w:spacing w:before="55"/>
              <w:ind w:right="96"/>
              <w:rPr>
                <w:sz w:val="18"/>
              </w:rPr>
            </w:pPr>
            <w:r>
              <w:rPr>
                <w:sz w:val="18"/>
              </w:rPr>
              <w:t>143.14</w:t>
            </w:r>
          </w:p>
        </w:tc>
      </w:tr>
      <w:tr w:rsidR="007C5447">
        <w:trPr>
          <w:trHeight w:val="313"/>
        </w:trPr>
        <w:tc>
          <w:tcPr>
            <w:tcW w:w="703" w:type="dxa"/>
          </w:tcPr>
          <w:p w:rsidR="007C5447" w:rsidRDefault="00F6308C">
            <w:pPr>
              <w:pStyle w:val="TableParagraph"/>
              <w:spacing w:before="55"/>
              <w:ind w:left="107"/>
              <w:jc w:val="left"/>
              <w:rPr>
                <w:sz w:val="18"/>
              </w:rPr>
            </w:pPr>
            <w:r>
              <w:rPr>
                <w:sz w:val="18"/>
              </w:rPr>
              <w:t>8</w:t>
            </w:r>
          </w:p>
        </w:tc>
        <w:tc>
          <w:tcPr>
            <w:tcW w:w="1891" w:type="dxa"/>
          </w:tcPr>
          <w:p w:rsidR="007C5447" w:rsidRDefault="00F6308C">
            <w:pPr>
              <w:pStyle w:val="TableParagraph"/>
              <w:spacing w:before="55"/>
              <w:ind w:left="107"/>
              <w:jc w:val="left"/>
              <w:rPr>
                <w:sz w:val="18"/>
              </w:rPr>
            </w:pPr>
            <w:r>
              <w:rPr>
                <w:sz w:val="18"/>
              </w:rPr>
              <w:t>Kuttalam GTPS</w:t>
            </w:r>
          </w:p>
        </w:tc>
        <w:tc>
          <w:tcPr>
            <w:tcW w:w="1034" w:type="dxa"/>
          </w:tcPr>
          <w:p w:rsidR="007C5447" w:rsidRDefault="00F6308C">
            <w:pPr>
              <w:pStyle w:val="TableParagraph"/>
              <w:spacing w:before="55"/>
              <w:ind w:right="94"/>
              <w:rPr>
                <w:sz w:val="18"/>
              </w:rPr>
            </w:pPr>
            <w:r>
              <w:rPr>
                <w:sz w:val="18"/>
              </w:rPr>
              <w:t>11.13</w:t>
            </w:r>
          </w:p>
        </w:tc>
        <w:tc>
          <w:tcPr>
            <w:tcW w:w="1035" w:type="dxa"/>
          </w:tcPr>
          <w:p w:rsidR="007C5447" w:rsidRDefault="00F6308C">
            <w:pPr>
              <w:pStyle w:val="TableParagraph"/>
              <w:spacing w:before="55"/>
              <w:ind w:right="94"/>
              <w:rPr>
                <w:sz w:val="18"/>
              </w:rPr>
            </w:pPr>
            <w:r>
              <w:rPr>
                <w:sz w:val="18"/>
              </w:rPr>
              <w:t>64.28</w:t>
            </w:r>
          </w:p>
        </w:tc>
        <w:tc>
          <w:tcPr>
            <w:tcW w:w="1034" w:type="dxa"/>
          </w:tcPr>
          <w:p w:rsidR="007C5447" w:rsidRDefault="00F6308C">
            <w:pPr>
              <w:pStyle w:val="TableParagraph"/>
              <w:spacing w:before="55"/>
              <w:ind w:right="96"/>
              <w:rPr>
                <w:sz w:val="18"/>
              </w:rPr>
            </w:pPr>
            <w:r>
              <w:rPr>
                <w:sz w:val="18"/>
              </w:rPr>
              <w:t>2.62</w:t>
            </w:r>
          </w:p>
        </w:tc>
        <w:tc>
          <w:tcPr>
            <w:tcW w:w="1034" w:type="dxa"/>
          </w:tcPr>
          <w:p w:rsidR="007C5447" w:rsidRDefault="00F6308C">
            <w:pPr>
              <w:pStyle w:val="TableParagraph"/>
              <w:spacing w:before="55"/>
              <w:ind w:right="93"/>
              <w:rPr>
                <w:sz w:val="18"/>
              </w:rPr>
            </w:pPr>
            <w:r>
              <w:rPr>
                <w:sz w:val="18"/>
              </w:rPr>
              <w:t>20.82</w:t>
            </w:r>
          </w:p>
        </w:tc>
        <w:tc>
          <w:tcPr>
            <w:tcW w:w="1106" w:type="dxa"/>
          </w:tcPr>
          <w:p w:rsidR="007C5447" w:rsidRDefault="00F6308C">
            <w:pPr>
              <w:pStyle w:val="TableParagraph"/>
              <w:spacing w:before="55"/>
              <w:ind w:right="92"/>
              <w:rPr>
                <w:sz w:val="18"/>
              </w:rPr>
            </w:pPr>
            <w:r>
              <w:rPr>
                <w:sz w:val="18"/>
              </w:rPr>
              <w:t>(41.65)</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1"/>
              <w:rPr>
                <w:sz w:val="18"/>
              </w:rPr>
            </w:pPr>
            <w:r>
              <w:rPr>
                <w:sz w:val="18"/>
              </w:rPr>
              <w:t>(0.09)</w:t>
            </w:r>
          </w:p>
        </w:tc>
        <w:tc>
          <w:tcPr>
            <w:tcW w:w="1056" w:type="dxa"/>
          </w:tcPr>
          <w:p w:rsidR="007C5447" w:rsidRDefault="00F6308C">
            <w:pPr>
              <w:pStyle w:val="TableParagraph"/>
              <w:spacing w:before="55"/>
              <w:ind w:right="95"/>
              <w:rPr>
                <w:sz w:val="18"/>
              </w:rPr>
            </w:pPr>
            <w:r>
              <w:rPr>
                <w:sz w:val="18"/>
              </w:rPr>
              <w:t>0.18</w:t>
            </w:r>
          </w:p>
        </w:tc>
        <w:tc>
          <w:tcPr>
            <w:tcW w:w="1057" w:type="dxa"/>
          </w:tcPr>
          <w:p w:rsidR="007C5447" w:rsidRDefault="00F6308C">
            <w:pPr>
              <w:pStyle w:val="TableParagraph"/>
              <w:spacing w:before="55"/>
              <w:ind w:right="95"/>
              <w:rPr>
                <w:sz w:val="18"/>
              </w:rPr>
            </w:pPr>
            <w:r>
              <w:rPr>
                <w:sz w:val="18"/>
              </w:rPr>
              <w:t>0.02</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0.15</w:t>
            </w:r>
          </w:p>
        </w:tc>
        <w:tc>
          <w:tcPr>
            <w:tcW w:w="1083" w:type="dxa"/>
          </w:tcPr>
          <w:p w:rsidR="007C5447" w:rsidRDefault="00F6308C">
            <w:pPr>
              <w:pStyle w:val="TableParagraph"/>
              <w:spacing w:before="55"/>
              <w:ind w:right="93"/>
              <w:rPr>
                <w:sz w:val="18"/>
              </w:rPr>
            </w:pPr>
            <w:r>
              <w:rPr>
                <w:sz w:val="18"/>
              </w:rPr>
              <w:t>57.42</w:t>
            </w:r>
          </w:p>
        </w:tc>
      </w:tr>
      <w:tr w:rsidR="007C5447">
        <w:trPr>
          <w:trHeight w:val="316"/>
        </w:trPr>
        <w:tc>
          <w:tcPr>
            <w:tcW w:w="703" w:type="dxa"/>
          </w:tcPr>
          <w:p w:rsidR="007C5447" w:rsidRDefault="00F6308C">
            <w:pPr>
              <w:pStyle w:val="TableParagraph"/>
              <w:spacing w:before="55"/>
              <w:ind w:left="107"/>
              <w:jc w:val="left"/>
              <w:rPr>
                <w:sz w:val="18"/>
              </w:rPr>
            </w:pPr>
            <w:r>
              <w:rPr>
                <w:sz w:val="18"/>
              </w:rPr>
              <w:t>9</w:t>
            </w:r>
          </w:p>
        </w:tc>
        <w:tc>
          <w:tcPr>
            <w:tcW w:w="1891" w:type="dxa"/>
          </w:tcPr>
          <w:p w:rsidR="007C5447" w:rsidRDefault="00F6308C">
            <w:pPr>
              <w:pStyle w:val="TableParagraph"/>
              <w:spacing w:before="55"/>
              <w:ind w:left="107"/>
              <w:jc w:val="left"/>
              <w:rPr>
                <w:sz w:val="18"/>
              </w:rPr>
            </w:pPr>
            <w:r>
              <w:rPr>
                <w:sz w:val="18"/>
              </w:rPr>
              <w:t>Basin Bridge GTPS</w:t>
            </w:r>
          </w:p>
        </w:tc>
        <w:tc>
          <w:tcPr>
            <w:tcW w:w="1034" w:type="dxa"/>
          </w:tcPr>
          <w:p w:rsidR="007C5447" w:rsidRDefault="00F6308C">
            <w:pPr>
              <w:pStyle w:val="TableParagraph"/>
              <w:spacing w:before="55"/>
              <w:ind w:right="94"/>
              <w:rPr>
                <w:sz w:val="18"/>
              </w:rPr>
            </w:pPr>
            <w:r>
              <w:rPr>
                <w:sz w:val="18"/>
              </w:rPr>
              <w:t>18.96</w:t>
            </w:r>
          </w:p>
        </w:tc>
        <w:tc>
          <w:tcPr>
            <w:tcW w:w="1035" w:type="dxa"/>
          </w:tcPr>
          <w:p w:rsidR="007C5447" w:rsidRDefault="00F6308C">
            <w:pPr>
              <w:pStyle w:val="TableParagraph"/>
              <w:spacing w:before="55"/>
              <w:ind w:right="97"/>
              <w:rPr>
                <w:sz w:val="18"/>
              </w:rPr>
            </w:pPr>
            <w:r>
              <w:rPr>
                <w:sz w:val="18"/>
              </w:rPr>
              <w:t>100.95</w:t>
            </w:r>
          </w:p>
        </w:tc>
        <w:tc>
          <w:tcPr>
            <w:tcW w:w="1034" w:type="dxa"/>
          </w:tcPr>
          <w:p w:rsidR="007C5447" w:rsidRDefault="00F6308C">
            <w:pPr>
              <w:pStyle w:val="TableParagraph"/>
              <w:spacing w:before="55"/>
              <w:ind w:right="96"/>
              <w:rPr>
                <w:sz w:val="18"/>
              </w:rPr>
            </w:pPr>
            <w:r>
              <w:rPr>
                <w:sz w:val="18"/>
              </w:rPr>
              <w:t>5.13</w:t>
            </w:r>
          </w:p>
        </w:tc>
        <w:tc>
          <w:tcPr>
            <w:tcW w:w="1034" w:type="dxa"/>
          </w:tcPr>
          <w:p w:rsidR="007C5447" w:rsidRDefault="00F6308C">
            <w:pPr>
              <w:pStyle w:val="TableParagraph"/>
              <w:spacing w:before="55"/>
              <w:ind w:right="93"/>
              <w:rPr>
                <w:sz w:val="18"/>
              </w:rPr>
            </w:pPr>
            <w:r>
              <w:rPr>
                <w:sz w:val="18"/>
              </w:rPr>
              <w:t>32.70</w:t>
            </w:r>
          </w:p>
        </w:tc>
        <w:tc>
          <w:tcPr>
            <w:tcW w:w="1106" w:type="dxa"/>
          </w:tcPr>
          <w:p w:rsidR="007C5447" w:rsidRDefault="00F6308C">
            <w:pPr>
              <w:pStyle w:val="TableParagraph"/>
              <w:spacing w:before="55"/>
              <w:ind w:right="95"/>
              <w:rPr>
                <w:sz w:val="18"/>
              </w:rPr>
            </w:pPr>
            <w:r>
              <w:rPr>
                <w:sz w:val="18"/>
              </w:rPr>
              <w:t>5.90</w:t>
            </w:r>
          </w:p>
        </w:tc>
        <w:tc>
          <w:tcPr>
            <w:tcW w:w="1056" w:type="dxa"/>
          </w:tcPr>
          <w:p w:rsidR="007C5447" w:rsidRDefault="00F6308C">
            <w:pPr>
              <w:pStyle w:val="TableParagraph"/>
              <w:spacing w:before="55"/>
              <w:ind w:right="95"/>
              <w:rPr>
                <w:sz w:val="18"/>
              </w:rPr>
            </w:pPr>
            <w:r>
              <w:rPr>
                <w:sz w:val="18"/>
              </w:rPr>
              <w:t>0.00</w:t>
            </w:r>
          </w:p>
        </w:tc>
        <w:tc>
          <w:tcPr>
            <w:tcW w:w="1056" w:type="dxa"/>
          </w:tcPr>
          <w:p w:rsidR="007C5447" w:rsidRDefault="00F6308C">
            <w:pPr>
              <w:pStyle w:val="TableParagraph"/>
              <w:spacing w:before="55"/>
              <w:ind w:right="95"/>
              <w:rPr>
                <w:sz w:val="18"/>
              </w:rPr>
            </w:pPr>
            <w:r>
              <w:rPr>
                <w:sz w:val="18"/>
              </w:rPr>
              <w:t>0.19</w:t>
            </w:r>
          </w:p>
        </w:tc>
        <w:tc>
          <w:tcPr>
            <w:tcW w:w="1056" w:type="dxa"/>
          </w:tcPr>
          <w:p w:rsidR="007C5447" w:rsidRDefault="00F6308C">
            <w:pPr>
              <w:pStyle w:val="TableParagraph"/>
              <w:spacing w:before="55"/>
              <w:ind w:right="93"/>
              <w:rPr>
                <w:sz w:val="18"/>
              </w:rPr>
            </w:pPr>
            <w:r>
              <w:rPr>
                <w:w w:val="99"/>
                <w:sz w:val="18"/>
              </w:rPr>
              <w:t>-</w:t>
            </w:r>
          </w:p>
        </w:tc>
        <w:tc>
          <w:tcPr>
            <w:tcW w:w="1057" w:type="dxa"/>
          </w:tcPr>
          <w:p w:rsidR="007C5447" w:rsidRDefault="00F6308C">
            <w:pPr>
              <w:pStyle w:val="TableParagraph"/>
              <w:spacing w:before="55"/>
              <w:ind w:right="95"/>
              <w:rPr>
                <w:sz w:val="18"/>
              </w:rPr>
            </w:pPr>
            <w:r>
              <w:rPr>
                <w:sz w:val="18"/>
              </w:rPr>
              <w:t>0.06</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0.15</w:t>
            </w:r>
          </w:p>
        </w:tc>
        <w:tc>
          <w:tcPr>
            <w:tcW w:w="1083" w:type="dxa"/>
          </w:tcPr>
          <w:p w:rsidR="007C5447" w:rsidRDefault="00F6308C">
            <w:pPr>
              <w:pStyle w:val="TableParagraph"/>
              <w:spacing w:before="55"/>
              <w:ind w:right="96"/>
              <w:rPr>
                <w:sz w:val="18"/>
              </w:rPr>
            </w:pPr>
            <w:r>
              <w:rPr>
                <w:sz w:val="18"/>
              </w:rPr>
              <w:t>163.92</w:t>
            </w:r>
          </w:p>
        </w:tc>
      </w:tr>
      <w:tr w:rsidR="007C5447">
        <w:trPr>
          <w:trHeight w:val="314"/>
        </w:trPr>
        <w:tc>
          <w:tcPr>
            <w:tcW w:w="703" w:type="dxa"/>
          </w:tcPr>
          <w:p w:rsidR="007C5447" w:rsidRDefault="00F6308C">
            <w:pPr>
              <w:pStyle w:val="TableParagraph"/>
              <w:spacing w:before="52"/>
              <w:ind w:left="107"/>
              <w:jc w:val="left"/>
              <w:rPr>
                <w:sz w:val="18"/>
              </w:rPr>
            </w:pPr>
            <w:r>
              <w:rPr>
                <w:sz w:val="18"/>
              </w:rPr>
              <w:t>10</w:t>
            </w:r>
          </w:p>
        </w:tc>
        <w:tc>
          <w:tcPr>
            <w:tcW w:w="1891" w:type="dxa"/>
          </w:tcPr>
          <w:p w:rsidR="007C5447" w:rsidRDefault="00F6308C">
            <w:pPr>
              <w:pStyle w:val="TableParagraph"/>
              <w:spacing w:before="52"/>
              <w:ind w:left="107"/>
              <w:jc w:val="left"/>
              <w:rPr>
                <w:sz w:val="18"/>
              </w:rPr>
            </w:pPr>
            <w:r>
              <w:rPr>
                <w:sz w:val="18"/>
              </w:rPr>
              <w:t>Valuthur GTPS</w:t>
            </w:r>
          </w:p>
        </w:tc>
        <w:tc>
          <w:tcPr>
            <w:tcW w:w="1034" w:type="dxa"/>
          </w:tcPr>
          <w:p w:rsidR="007C5447" w:rsidRDefault="00F6308C">
            <w:pPr>
              <w:pStyle w:val="TableParagraph"/>
              <w:spacing w:before="52"/>
              <w:ind w:right="94"/>
              <w:rPr>
                <w:sz w:val="18"/>
              </w:rPr>
            </w:pPr>
            <w:r>
              <w:rPr>
                <w:sz w:val="18"/>
              </w:rPr>
              <w:t>18.54</w:t>
            </w:r>
          </w:p>
        </w:tc>
        <w:tc>
          <w:tcPr>
            <w:tcW w:w="1035" w:type="dxa"/>
          </w:tcPr>
          <w:p w:rsidR="007C5447" w:rsidRDefault="00F6308C">
            <w:pPr>
              <w:pStyle w:val="TableParagraph"/>
              <w:spacing w:before="52"/>
              <w:ind w:right="94"/>
              <w:rPr>
                <w:sz w:val="18"/>
              </w:rPr>
            </w:pPr>
            <w:r>
              <w:rPr>
                <w:sz w:val="18"/>
              </w:rPr>
              <w:t>99.03</w:t>
            </w:r>
          </w:p>
        </w:tc>
        <w:tc>
          <w:tcPr>
            <w:tcW w:w="1034" w:type="dxa"/>
          </w:tcPr>
          <w:p w:rsidR="007C5447" w:rsidRDefault="00F6308C">
            <w:pPr>
              <w:pStyle w:val="TableParagraph"/>
              <w:spacing w:before="52"/>
              <w:ind w:right="93"/>
              <w:rPr>
                <w:sz w:val="18"/>
              </w:rPr>
            </w:pPr>
            <w:r>
              <w:rPr>
                <w:sz w:val="18"/>
              </w:rPr>
              <w:t>14.31</w:t>
            </w:r>
          </w:p>
        </w:tc>
        <w:tc>
          <w:tcPr>
            <w:tcW w:w="1034" w:type="dxa"/>
          </w:tcPr>
          <w:p w:rsidR="007C5447" w:rsidRDefault="00F6308C">
            <w:pPr>
              <w:pStyle w:val="TableParagraph"/>
              <w:spacing w:before="52"/>
              <w:ind w:right="93"/>
              <w:rPr>
                <w:sz w:val="18"/>
              </w:rPr>
            </w:pPr>
            <w:r>
              <w:rPr>
                <w:sz w:val="18"/>
              </w:rPr>
              <w:t>32.08</w:t>
            </w:r>
          </w:p>
        </w:tc>
        <w:tc>
          <w:tcPr>
            <w:tcW w:w="1106" w:type="dxa"/>
          </w:tcPr>
          <w:p w:rsidR="007C5447" w:rsidRDefault="00F6308C">
            <w:pPr>
              <w:pStyle w:val="TableParagraph"/>
              <w:spacing w:before="52"/>
              <w:ind w:right="92"/>
              <w:rPr>
                <w:sz w:val="18"/>
              </w:rPr>
            </w:pPr>
            <w:r>
              <w:rPr>
                <w:sz w:val="18"/>
              </w:rPr>
              <w:t>14.42</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1"/>
              <w:rPr>
                <w:sz w:val="18"/>
              </w:rPr>
            </w:pPr>
            <w:r>
              <w:rPr>
                <w:sz w:val="18"/>
              </w:rPr>
              <w:t>(0.23)</w:t>
            </w:r>
          </w:p>
        </w:tc>
        <w:tc>
          <w:tcPr>
            <w:tcW w:w="1056" w:type="dxa"/>
          </w:tcPr>
          <w:p w:rsidR="007C5447" w:rsidRDefault="00F6308C">
            <w:pPr>
              <w:pStyle w:val="TableParagraph"/>
              <w:spacing w:before="52"/>
              <w:ind w:right="93"/>
              <w:rPr>
                <w:sz w:val="18"/>
              </w:rPr>
            </w:pPr>
            <w:r>
              <w:rPr>
                <w:w w:val="99"/>
                <w:sz w:val="18"/>
              </w:rPr>
              <w:t>-</w:t>
            </w:r>
          </w:p>
        </w:tc>
        <w:tc>
          <w:tcPr>
            <w:tcW w:w="1057" w:type="dxa"/>
          </w:tcPr>
          <w:p w:rsidR="007C5447" w:rsidRDefault="00F6308C">
            <w:pPr>
              <w:pStyle w:val="TableParagraph"/>
              <w:spacing w:before="52"/>
              <w:ind w:right="95"/>
              <w:rPr>
                <w:sz w:val="18"/>
              </w:rPr>
            </w:pPr>
            <w:r>
              <w:rPr>
                <w:sz w:val="18"/>
              </w:rPr>
              <w:t>0.16</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0.21</w:t>
            </w:r>
          </w:p>
        </w:tc>
        <w:tc>
          <w:tcPr>
            <w:tcW w:w="1083" w:type="dxa"/>
          </w:tcPr>
          <w:p w:rsidR="007C5447" w:rsidRDefault="00F6308C">
            <w:pPr>
              <w:pStyle w:val="TableParagraph"/>
              <w:spacing w:before="52"/>
              <w:ind w:right="96"/>
              <w:rPr>
                <w:sz w:val="18"/>
              </w:rPr>
            </w:pPr>
            <w:r>
              <w:rPr>
                <w:sz w:val="18"/>
              </w:rPr>
              <w:t>178.21</w:t>
            </w:r>
          </w:p>
        </w:tc>
      </w:tr>
      <w:tr w:rsidR="007C5447">
        <w:trPr>
          <w:trHeight w:val="316"/>
        </w:trPr>
        <w:tc>
          <w:tcPr>
            <w:tcW w:w="703" w:type="dxa"/>
          </w:tcPr>
          <w:p w:rsidR="007C5447" w:rsidRDefault="00F6308C">
            <w:pPr>
              <w:pStyle w:val="TableParagraph"/>
              <w:spacing w:before="55"/>
              <w:ind w:left="107"/>
              <w:jc w:val="left"/>
              <w:rPr>
                <w:sz w:val="18"/>
              </w:rPr>
            </w:pPr>
            <w:r>
              <w:rPr>
                <w:sz w:val="18"/>
              </w:rPr>
              <w:t>12</w:t>
            </w:r>
          </w:p>
        </w:tc>
        <w:tc>
          <w:tcPr>
            <w:tcW w:w="1891" w:type="dxa"/>
          </w:tcPr>
          <w:p w:rsidR="007C5447" w:rsidRDefault="00F6308C">
            <w:pPr>
              <w:pStyle w:val="TableParagraph"/>
              <w:spacing w:before="55"/>
              <w:ind w:left="107"/>
              <w:jc w:val="left"/>
              <w:rPr>
                <w:sz w:val="18"/>
              </w:rPr>
            </w:pPr>
            <w:r>
              <w:rPr>
                <w:sz w:val="18"/>
              </w:rPr>
              <w:t>Erode HEP</w:t>
            </w:r>
          </w:p>
        </w:tc>
        <w:tc>
          <w:tcPr>
            <w:tcW w:w="1034" w:type="dxa"/>
          </w:tcPr>
          <w:p w:rsidR="007C5447" w:rsidRDefault="00F6308C">
            <w:pPr>
              <w:pStyle w:val="TableParagraph"/>
              <w:spacing w:before="55"/>
              <w:ind w:right="94"/>
              <w:rPr>
                <w:sz w:val="18"/>
              </w:rPr>
            </w:pPr>
            <w:r>
              <w:rPr>
                <w:sz w:val="18"/>
              </w:rPr>
              <w:t>23.92</w:t>
            </w:r>
          </w:p>
        </w:tc>
        <w:tc>
          <w:tcPr>
            <w:tcW w:w="1035" w:type="dxa"/>
          </w:tcPr>
          <w:p w:rsidR="007C5447" w:rsidRDefault="00F6308C">
            <w:pPr>
              <w:pStyle w:val="TableParagraph"/>
              <w:spacing w:before="55"/>
              <w:ind w:right="97"/>
              <w:rPr>
                <w:sz w:val="18"/>
              </w:rPr>
            </w:pPr>
            <w:r>
              <w:rPr>
                <w:sz w:val="18"/>
              </w:rPr>
              <w:t>127.46</w:t>
            </w:r>
          </w:p>
        </w:tc>
        <w:tc>
          <w:tcPr>
            <w:tcW w:w="1034" w:type="dxa"/>
          </w:tcPr>
          <w:p w:rsidR="007C5447" w:rsidRDefault="00F6308C">
            <w:pPr>
              <w:pStyle w:val="TableParagraph"/>
              <w:spacing w:before="55"/>
              <w:ind w:right="96"/>
              <w:rPr>
                <w:sz w:val="18"/>
              </w:rPr>
            </w:pPr>
            <w:r>
              <w:rPr>
                <w:sz w:val="18"/>
              </w:rPr>
              <w:t>7.09</w:t>
            </w:r>
          </w:p>
        </w:tc>
        <w:tc>
          <w:tcPr>
            <w:tcW w:w="1034" w:type="dxa"/>
          </w:tcPr>
          <w:p w:rsidR="007C5447" w:rsidRDefault="00F6308C">
            <w:pPr>
              <w:pStyle w:val="TableParagraph"/>
              <w:spacing w:before="55"/>
              <w:ind w:right="93"/>
              <w:rPr>
                <w:sz w:val="18"/>
              </w:rPr>
            </w:pPr>
            <w:r>
              <w:rPr>
                <w:sz w:val="18"/>
              </w:rPr>
              <w:t>41.29</w:t>
            </w:r>
          </w:p>
        </w:tc>
        <w:tc>
          <w:tcPr>
            <w:tcW w:w="1106" w:type="dxa"/>
          </w:tcPr>
          <w:p w:rsidR="007C5447" w:rsidRDefault="00F6308C">
            <w:pPr>
              <w:pStyle w:val="TableParagraph"/>
              <w:spacing w:before="55"/>
              <w:ind w:right="92"/>
              <w:rPr>
                <w:sz w:val="18"/>
              </w:rPr>
            </w:pPr>
            <w:r>
              <w:rPr>
                <w:sz w:val="18"/>
              </w:rPr>
              <w:t>25.11</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0.01</w:t>
            </w:r>
          </w:p>
        </w:tc>
        <w:tc>
          <w:tcPr>
            <w:tcW w:w="1056" w:type="dxa"/>
          </w:tcPr>
          <w:p w:rsidR="007C5447" w:rsidRDefault="00F6308C">
            <w:pPr>
              <w:pStyle w:val="TableParagraph"/>
              <w:spacing w:before="55"/>
              <w:ind w:right="95"/>
              <w:rPr>
                <w:sz w:val="18"/>
              </w:rPr>
            </w:pPr>
            <w:r>
              <w:rPr>
                <w:sz w:val="18"/>
              </w:rPr>
              <w:t>0.03</w:t>
            </w:r>
          </w:p>
        </w:tc>
        <w:tc>
          <w:tcPr>
            <w:tcW w:w="1057" w:type="dxa"/>
          </w:tcPr>
          <w:p w:rsidR="007C5447" w:rsidRDefault="00F6308C">
            <w:pPr>
              <w:pStyle w:val="TableParagraph"/>
              <w:spacing w:before="55"/>
              <w:ind w:right="95"/>
              <w:rPr>
                <w:sz w:val="18"/>
              </w:rPr>
            </w:pPr>
            <w:r>
              <w:rPr>
                <w:sz w:val="18"/>
              </w:rPr>
              <w:t>0.05</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0.78</w:t>
            </w:r>
          </w:p>
        </w:tc>
        <w:tc>
          <w:tcPr>
            <w:tcW w:w="1083" w:type="dxa"/>
          </w:tcPr>
          <w:p w:rsidR="007C5447" w:rsidRDefault="00F6308C">
            <w:pPr>
              <w:pStyle w:val="TableParagraph"/>
              <w:spacing w:before="55"/>
              <w:ind w:right="96"/>
              <w:rPr>
                <w:sz w:val="18"/>
              </w:rPr>
            </w:pPr>
            <w:r>
              <w:rPr>
                <w:sz w:val="18"/>
              </w:rPr>
              <w:t>225.64</w:t>
            </w:r>
          </w:p>
        </w:tc>
      </w:tr>
      <w:tr w:rsidR="007C5447">
        <w:trPr>
          <w:trHeight w:val="313"/>
        </w:trPr>
        <w:tc>
          <w:tcPr>
            <w:tcW w:w="703" w:type="dxa"/>
          </w:tcPr>
          <w:p w:rsidR="007C5447" w:rsidRDefault="00F6308C">
            <w:pPr>
              <w:pStyle w:val="TableParagraph"/>
              <w:spacing w:before="52"/>
              <w:ind w:left="107"/>
              <w:jc w:val="left"/>
              <w:rPr>
                <w:sz w:val="18"/>
              </w:rPr>
            </w:pPr>
            <w:r>
              <w:rPr>
                <w:sz w:val="18"/>
              </w:rPr>
              <w:t>13</w:t>
            </w:r>
          </w:p>
        </w:tc>
        <w:tc>
          <w:tcPr>
            <w:tcW w:w="1891" w:type="dxa"/>
          </w:tcPr>
          <w:p w:rsidR="007C5447" w:rsidRDefault="00F6308C">
            <w:pPr>
              <w:pStyle w:val="TableParagraph"/>
              <w:spacing w:before="52"/>
              <w:ind w:left="107"/>
              <w:jc w:val="left"/>
              <w:rPr>
                <w:sz w:val="18"/>
              </w:rPr>
            </w:pPr>
            <w:r>
              <w:rPr>
                <w:sz w:val="18"/>
              </w:rPr>
              <w:t>Kadamparai HEP</w:t>
            </w:r>
          </w:p>
        </w:tc>
        <w:tc>
          <w:tcPr>
            <w:tcW w:w="1034" w:type="dxa"/>
          </w:tcPr>
          <w:p w:rsidR="007C5447" w:rsidRDefault="00F6308C">
            <w:pPr>
              <w:pStyle w:val="TableParagraph"/>
              <w:spacing w:before="52"/>
              <w:ind w:right="94"/>
              <w:rPr>
                <w:sz w:val="18"/>
              </w:rPr>
            </w:pPr>
            <w:r>
              <w:rPr>
                <w:sz w:val="18"/>
              </w:rPr>
              <w:t>12.50</w:t>
            </w:r>
          </w:p>
        </w:tc>
        <w:tc>
          <w:tcPr>
            <w:tcW w:w="1035" w:type="dxa"/>
          </w:tcPr>
          <w:p w:rsidR="007C5447" w:rsidRDefault="00F6308C">
            <w:pPr>
              <w:pStyle w:val="TableParagraph"/>
              <w:spacing w:before="52"/>
              <w:ind w:right="94"/>
              <w:rPr>
                <w:sz w:val="18"/>
              </w:rPr>
            </w:pPr>
            <w:r>
              <w:rPr>
                <w:sz w:val="18"/>
              </w:rPr>
              <w:t>66.56</w:t>
            </w:r>
          </w:p>
        </w:tc>
        <w:tc>
          <w:tcPr>
            <w:tcW w:w="1034" w:type="dxa"/>
          </w:tcPr>
          <w:p w:rsidR="007C5447" w:rsidRDefault="00F6308C">
            <w:pPr>
              <w:pStyle w:val="TableParagraph"/>
              <w:spacing w:before="52"/>
              <w:ind w:right="96"/>
              <w:rPr>
                <w:sz w:val="18"/>
              </w:rPr>
            </w:pPr>
            <w:r>
              <w:rPr>
                <w:sz w:val="18"/>
              </w:rPr>
              <w:t>4.08</w:t>
            </w:r>
          </w:p>
        </w:tc>
        <w:tc>
          <w:tcPr>
            <w:tcW w:w="1034" w:type="dxa"/>
          </w:tcPr>
          <w:p w:rsidR="007C5447" w:rsidRDefault="00F6308C">
            <w:pPr>
              <w:pStyle w:val="TableParagraph"/>
              <w:spacing w:before="52"/>
              <w:ind w:right="93"/>
              <w:rPr>
                <w:sz w:val="18"/>
              </w:rPr>
            </w:pPr>
            <w:r>
              <w:rPr>
                <w:sz w:val="18"/>
              </w:rPr>
              <w:t>21.56</w:t>
            </w:r>
          </w:p>
        </w:tc>
        <w:tc>
          <w:tcPr>
            <w:tcW w:w="1106" w:type="dxa"/>
          </w:tcPr>
          <w:p w:rsidR="007C5447" w:rsidRDefault="00F6308C">
            <w:pPr>
              <w:pStyle w:val="TableParagraph"/>
              <w:spacing w:before="52"/>
              <w:ind w:right="92"/>
              <w:rPr>
                <w:sz w:val="18"/>
              </w:rPr>
            </w:pPr>
            <w:r>
              <w:rPr>
                <w:sz w:val="18"/>
              </w:rPr>
              <w:t>22.83</w:t>
            </w:r>
          </w:p>
        </w:tc>
        <w:tc>
          <w:tcPr>
            <w:tcW w:w="1056" w:type="dxa"/>
          </w:tcPr>
          <w:p w:rsidR="007C5447" w:rsidRDefault="00F6308C">
            <w:pPr>
              <w:pStyle w:val="TableParagraph"/>
              <w:spacing w:before="52"/>
              <w:ind w:right="94"/>
              <w:rPr>
                <w:sz w:val="18"/>
              </w:rPr>
            </w:pPr>
            <w:r>
              <w:rPr>
                <w:sz w:val="18"/>
              </w:rPr>
              <w:t>0.00</w:t>
            </w:r>
          </w:p>
        </w:tc>
        <w:tc>
          <w:tcPr>
            <w:tcW w:w="1056" w:type="dxa"/>
          </w:tcPr>
          <w:p w:rsidR="007C5447" w:rsidRDefault="00F6308C">
            <w:pPr>
              <w:pStyle w:val="TableParagraph"/>
              <w:spacing w:before="52"/>
              <w:ind w:right="91"/>
              <w:rPr>
                <w:sz w:val="18"/>
              </w:rPr>
            </w:pPr>
            <w:r>
              <w:rPr>
                <w:sz w:val="18"/>
              </w:rPr>
              <w:t>(0.45)</w:t>
            </w:r>
          </w:p>
        </w:tc>
        <w:tc>
          <w:tcPr>
            <w:tcW w:w="1056" w:type="dxa"/>
          </w:tcPr>
          <w:p w:rsidR="007C5447" w:rsidRDefault="00F6308C">
            <w:pPr>
              <w:pStyle w:val="TableParagraph"/>
              <w:spacing w:before="52"/>
              <w:ind w:right="95"/>
              <w:rPr>
                <w:sz w:val="18"/>
              </w:rPr>
            </w:pPr>
            <w:r>
              <w:rPr>
                <w:sz w:val="18"/>
              </w:rPr>
              <w:t>0.96</w:t>
            </w:r>
          </w:p>
        </w:tc>
        <w:tc>
          <w:tcPr>
            <w:tcW w:w="1057" w:type="dxa"/>
          </w:tcPr>
          <w:p w:rsidR="007C5447" w:rsidRDefault="00F6308C">
            <w:pPr>
              <w:pStyle w:val="TableParagraph"/>
              <w:spacing w:before="52"/>
              <w:ind w:right="95"/>
              <w:rPr>
                <w:sz w:val="18"/>
              </w:rPr>
            </w:pPr>
            <w:r>
              <w:rPr>
                <w:sz w:val="18"/>
              </w:rPr>
              <w:t>0.41</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0.58</w:t>
            </w:r>
          </w:p>
        </w:tc>
        <w:tc>
          <w:tcPr>
            <w:tcW w:w="1083" w:type="dxa"/>
          </w:tcPr>
          <w:p w:rsidR="007C5447" w:rsidRDefault="00F6308C">
            <w:pPr>
              <w:pStyle w:val="TableParagraph"/>
              <w:spacing w:before="52"/>
              <w:ind w:right="96"/>
              <w:rPr>
                <w:sz w:val="18"/>
              </w:rPr>
            </w:pPr>
            <w:r>
              <w:rPr>
                <w:sz w:val="18"/>
              </w:rPr>
              <w:t>128.21</w:t>
            </w:r>
          </w:p>
        </w:tc>
      </w:tr>
      <w:tr w:rsidR="007C5447">
        <w:trPr>
          <w:trHeight w:val="313"/>
        </w:trPr>
        <w:tc>
          <w:tcPr>
            <w:tcW w:w="703" w:type="dxa"/>
          </w:tcPr>
          <w:p w:rsidR="007C5447" w:rsidRDefault="00F6308C">
            <w:pPr>
              <w:pStyle w:val="TableParagraph"/>
              <w:spacing w:before="55"/>
              <w:ind w:left="107"/>
              <w:jc w:val="left"/>
              <w:rPr>
                <w:sz w:val="18"/>
              </w:rPr>
            </w:pPr>
            <w:r>
              <w:rPr>
                <w:sz w:val="18"/>
              </w:rPr>
              <w:t>14</w:t>
            </w:r>
          </w:p>
        </w:tc>
        <w:tc>
          <w:tcPr>
            <w:tcW w:w="1891" w:type="dxa"/>
          </w:tcPr>
          <w:p w:rsidR="007C5447" w:rsidRDefault="00F6308C">
            <w:pPr>
              <w:pStyle w:val="TableParagraph"/>
              <w:spacing w:before="55"/>
              <w:ind w:left="107"/>
              <w:jc w:val="left"/>
              <w:rPr>
                <w:sz w:val="18"/>
              </w:rPr>
            </w:pPr>
            <w:r>
              <w:rPr>
                <w:sz w:val="18"/>
              </w:rPr>
              <w:t>Kundah HEP</w:t>
            </w:r>
          </w:p>
        </w:tc>
        <w:tc>
          <w:tcPr>
            <w:tcW w:w="1034" w:type="dxa"/>
          </w:tcPr>
          <w:p w:rsidR="007C5447" w:rsidRDefault="00F6308C">
            <w:pPr>
              <w:pStyle w:val="TableParagraph"/>
              <w:spacing w:before="55"/>
              <w:ind w:right="94"/>
              <w:rPr>
                <w:sz w:val="18"/>
              </w:rPr>
            </w:pPr>
            <w:r>
              <w:rPr>
                <w:sz w:val="18"/>
              </w:rPr>
              <w:t>32.86</w:t>
            </w:r>
          </w:p>
        </w:tc>
        <w:tc>
          <w:tcPr>
            <w:tcW w:w="1035" w:type="dxa"/>
          </w:tcPr>
          <w:p w:rsidR="007C5447" w:rsidRDefault="00F6308C">
            <w:pPr>
              <w:pStyle w:val="TableParagraph"/>
              <w:spacing w:before="55"/>
              <w:ind w:right="97"/>
              <w:rPr>
                <w:sz w:val="18"/>
              </w:rPr>
            </w:pPr>
            <w:r>
              <w:rPr>
                <w:sz w:val="18"/>
              </w:rPr>
              <w:t>175.03</w:t>
            </w:r>
          </w:p>
        </w:tc>
        <w:tc>
          <w:tcPr>
            <w:tcW w:w="1034" w:type="dxa"/>
          </w:tcPr>
          <w:p w:rsidR="007C5447" w:rsidRDefault="00F6308C">
            <w:pPr>
              <w:pStyle w:val="TableParagraph"/>
              <w:spacing w:before="55"/>
              <w:ind w:right="96"/>
              <w:rPr>
                <w:sz w:val="18"/>
              </w:rPr>
            </w:pPr>
            <w:r>
              <w:rPr>
                <w:sz w:val="18"/>
              </w:rPr>
              <w:t>9.75</w:t>
            </w:r>
          </w:p>
        </w:tc>
        <w:tc>
          <w:tcPr>
            <w:tcW w:w="1034" w:type="dxa"/>
          </w:tcPr>
          <w:p w:rsidR="007C5447" w:rsidRDefault="00F6308C">
            <w:pPr>
              <w:pStyle w:val="TableParagraph"/>
              <w:spacing w:before="55"/>
              <w:ind w:right="93"/>
              <w:rPr>
                <w:sz w:val="18"/>
              </w:rPr>
            </w:pPr>
            <w:r>
              <w:rPr>
                <w:sz w:val="18"/>
              </w:rPr>
              <w:t>56.70</w:t>
            </w:r>
          </w:p>
        </w:tc>
        <w:tc>
          <w:tcPr>
            <w:tcW w:w="1106" w:type="dxa"/>
          </w:tcPr>
          <w:p w:rsidR="007C5447" w:rsidRDefault="00F6308C">
            <w:pPr>
              <w:pStyle w:val="TableParagraph"/>
              <w:spacing w:before="55"/>
              <w:ind w:right="92"/>
              <w:rPr>
                <w:sz w:val="18"/>
              </w:rPr>
            </w:pPr>
            <w:r>
              <w:rPr>
                <w:sz w:val="18"/>
              </w:rPr>
              <w:t>26.64</w:t>
            </w:r>
          </w:p>
        </w:tc>
        <w:tc>
          <w:tcPr>
            <w:tcW w:w="1056" w:type="dxa"/>
          </w:tcPr>
          <w:p w:rsidR="007C5447" w:rsidRDefault="00F6308C">
            <w:pPr>
              <w:pStyle w:val="TableParagraph"/>
              <w:spacing w:before="55"/>
              <w:ind w:right="95"/>
              <w:rPr>
                <w:sz w:val="18"/>
              </w:rPr>
            </w:pPr>
            <w:r>
              <w:rPr>
                <w:sz w:val="18"/>
              </w:rPr>
              <w:t>0.03</w:t>
            </w:r>
          </w:p>
        </w:tc>
        <w:tc>
          <w:tcPr>
            <w:tcW w:w="1056" w:type="dxa"/>
          </w:tcPr>
          <w:p w:rsidR="007C5447" w:rsidRDefault="00F6308C">
            <w:pPr>
              <w:pStyle w:val="TableParagraph"/>
              <w:spacing w:before="55"/>
              <w:ind w:right="95"/>
              <w:rPr>
                <w:sz w:val="18"/>
              </w:rPr>
            </w:pPr>
            <w:r>
              <w:rPr>
                <w:sz w:val="18"/>
              </w:rPr>
              <w:t>4.32</w:t>
            </w:r>
          </w:p>
        </w:tc>
        <w:tc>
          <w:tcPr>
            <w:tcW w:w="1056" w:type="dxa"/>
          </w:tcPr>
          <w:p w:rsidR="007C5447" w:rsidRDefault="00F6308C">
            <w:pPr>
              <w:pStyle w:val="TableParagraph"/>
              <w:spacing w:before="55"/>
              <w:ind w:right="95"/>
              <w:rPr>
                <w:sz w:val="18"/>
              </w:rPr>
            </w:pPr>
            <w:r>
              <w:rPr>
                <w:sz w:val="18"/>
              </w:rPr>
              <w:t>9.21</w:t>
            </w:r>
          </w:p>
        </w:tc>
        <w:tc>
          <w:tcPr>
            <w:tcW w:w="1057" w:type="dxa"/>
          </w:tcPr>
          <w:p w:rsidR="007C5447" w:rsidRDefault="00F6308C">
            <w:pPr>
              <w:pStyle w:val="TableParagraph"/>
              <w:spacing w:before="55"/>
              <w:ind w:right="95"/>
              <w:rPr>
                <w:sz w:val="18"/>
              </w:rPr>
            </w:pPr>
            <w:r>
              <w:rPr>
                <w:sz w:val="18"/>
              </w:rPr>
              <w:t>0.69</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0.37</w:t>
            </w:r>
          </w:p>
        </w:tc>
        <w:tc>
          <w:tcPr>
            <w:tcW w:w="1083" w:type="dxa"/>
          </w:tcPr>
          <w:p w:rsidR="007C5447" w:rsidRDefault="00F6308C">
            <w:pPr>
              <w:pStyle w:val="TableParagraph"/>
              <w:spacing w:before="55"/>
              <w:ind w:right="96"/>
              <w:rPr>
                <w:sz w:val="18"/>
              </w:rPr>
            </w:pPr>
            <w:r>
              <w:rPr>
                <w:sz w:val="18"/>
              </w:rPr>
              <w:t>314.21</w:t>
            </w:r>
          </w:p>
        </w:tc>
      </w:tr>
      <w:tr w:rsidR="007C5447">
        <w:trPr>
          <w:trHeight w:val="316"/>
        </w:trPr>
        <w:tc>
          <w:tcPr>
            <w:tcW w:w="703" w:type="dxa"/>
          </w:tcPr>
          <w:p w:rsidR="007C5447" w:rsidRDefault="00F6308C">
            <w:pPr>
              <w:pStyle w:val="TableParagraph"/>
              <w:spacing w:before="55"/>
              <w:ind w:left="107"/>
              <w:jc w:val="left"/>
              <w:rPr>
                <w:sz w:val="18"/>
              </w:rPr>
            </w:pPr>
            <w:r>
              <w:rPr>
                <w:sz w:val="18"/>
              </w:rPr>
              <w:t>15</w:t>
            </w:r>
          </w:p>
        </w:tc>
        <w:tc>
          <w:tcPr>
            <w:tcW w:w="1891" w:type="dxa"/>
          </w:tcPr>
          <w:p w:rsidR="007C5447" w:rsidRDefault="00F6308C">
            <w:pPr>
              <w:pStyle w:val="TableParagraph"/>
              <w:spacing w:before="55"/>
              <w:ind w:left="107"/>
              <w:jc w:val="left"/>
              <w:rPr>
                <w:sz w:val="18"/>
              </w:rPr>
            </w:pPr>
            <w:r>
              <w:rPr>
                <w:sz w:val="18"/>
              </w:rPr>
              <w:t>Tirunelveli HEP</w:t>
            </w:r>
          </w:p>
        </w:tc>
        <w:tc>
          <w:tcPr>
            <w:tcW w:w="1034" w:type="dxa"/>
          </w:tcPr>
          <w:p w:rsidR="007C5447" w:rsidRDefault="00F6308C">
            <w:pPr>
              <w:pStyle w:val="TableParagraph"/>
              <w:spacing w:before="55"/>
              <w:ind w:right="94"/>
              <w:rPr>
                <w:sz w:val="18"/>
              </w:rPr>
            </w:pPr>
            <w:r>
              <w:rPr>
                <w:sz w:val="18"/>
              </w:rPr>
              <w:t>12.79</w:t>
            </w:r>
          </w:p>
        </w:tc>
        <w:tc>
          <w:tcPr>
            <w:tcW w:w="1035" w:type="dxa"/>
          </w:tcPr>
          <w:p w:rsidR="007C5447" w:rsidRDefault="00F6308C">
            <w:pPr>
              <w:pStyle w:val="TableParagraph"/>
              <w:spacing w:before="55"/>
              <w:ind w:right="94"/>
              <w:rPr>
                <w:sz w:val="18"/>
              </w:rPr>
            </w:pPr>
            <w:r>
              <w:rPr>
                <w:sz w:val="18"/>
              </w:rPr>
              <w:t>69.90</w:t>
            </w:r>
          </w:p>
        </w:tc>
        <w:tc>
          <w:tcPr>
            <w:tcW w:w="1034" w:type="dxa"/>
          </w:tcPr>
          <w:p w:rsidR="007C5447" w:rsidRDefault="00F6308C">
            <w:pPr>
              <w:pStyle w:val="TableParagraph"/>
              <w:spacing w:before="55"/>
              <w:ind w:right="96"/>
              <w:rPr>
                <w:sz w:val="18"/>
              </w:rPr>
            </w:pPr>
            <w:r>
              <w:rPr>
                <w:sz w:val="18"/>
              </w:rPr>
              <w:t>3.85</w:t>
            </w:r>
          </w:p>
        </w:tc>
        <w:tc>
          <w:tcPr>
            <w:tcW w:w="1034" w:type="dxa"/>
          </w:tcPr>
          <w:p w:rsidR="007C5447" w:rsidRDefault="00F6308C">
            <w:pPr>
              <w:pStyle w:val="TableParagraph"/>
              <w:spacing w:before="55"/>
              <w:ind w:right="93"/>
              <w:rPr>
                <w:sz w:val="18"/>
              </w:rPr>
            </w:pPr>
            <w:r>
              <w:rPr>
                <w:sz w:val="18"/>
              </w:rPr>
              <w:t>22.64</w:t>
            </w:r>
          </w:p>
        </w:tc>
        <w:tc>
          <w:tcPr>
            <w:tcW w:w="1106" w:type="dxa"/>
          </w:tcPr>
          <w:p w:rsidR="007C5447" w:rsidRDefault="00F6308C">
            <w:pPr>
              <w:pStyle w:val="TableParagraph"/>
              <w:spacing w:before="55"/>
              <w:ind w:right="92"/>
              <w:rPr>
                <w:sz w:val="18"/>
              </w:rPr>
            </w:pPr>
            <w:r>
              <w:rPr>
                <w:sz w:val="18"/>
              </w:rPr>
              <w:t>10.93</w:t>
            </w:r>
          </w:p>
        </w:tc>
        <w:tc>
          <w:tcPr>
            <w:tcW w:w="1056" w:type="dxa"/>
          </w:tcPr>
          <w:p w:rsidR="007C5447" w:rsidRDefault="00F6308C">
            <w:pPr>
              <w:pStyle w:val="TableParagraph"/>
              <w:spacing w:before="55"/>
              <w:ind w:right="95"/>
              <w:rPr>
                <w:sz w:val="18"/>
              </w:rPr>
            </w:pPr>
            <w:r>
              <w:rPr>
                <w:sz w:val="18"/>
              </w:rPr>
              <w:t>0.03</w:t>
            </w:r>
          </w:p>
        </w:tc>
        <w:tc>
          <w:tcPr>
            <w:tcW w:w="1056" w:type="dxa"/>
          </w:tcPr>
          <w:p w:rsidR="007C5447" w:rsidRDefault="00F6308C">
            <w:pPr>
              <w:pStyle w:val="TableParagraph"/>
              <w:spacing w:before="55"/>
              <w:ind w:right="95"/>
              <w:rPr>
                <w:sz w:val="18"/>
              </w:rPr>
            </w:pPr>
            <w:r>
              <w:rPr>
                <w:sz w:val="18"/>
              </w:rPr>
              <w:t>1.10</w:t>
            </w:r>
          </w:p>
        </w:tc>
        <w:tc>
          <w:tcPr>
            <w:tcW w:w="1056" w:type="dxa"/>
          </w:tcPr>
          <w:p w:rsidR="007C5447" w:rsidRDefault="00F6308C">
            <w:pPr>
              <w:pStyle w:val="TableParagraph"/>
              <w:spacing w:before="55"/>
              <w:ind w:right="95"/>
              <w:rPr>
                <w:sz w:val="18"/>
              </w:rPr>
            </w:pPr>
            <w:r>
              <w:rPr>
                <w:sz w:val="18"/>
              </w:rPr>
              <w:t>1.98</w:t>
            </w:r>
          </w:p>
        </w:tc>
        <w:tc>
          <w:tcPr>
            <w:tcW w:w="1057" w:type="dxa"/>
          </w:tcPr>
          <w:p w:rsidR="007C5447" w:rsidRDefault="00F6308C">
            <w:pPr>
              <w:pStyle w:val="TableParagraph"/>
              <w:spacing w:before="55"/>
              <w:ind w:right="95"/>
              <w:rPr>
                <w:sz w:val="18"/>
              </w:rPr>
            </w:pPr>
            <w:r>
              <w:rPr>
                <w:sz w:val="18"/>
              </w:rPr>
              <w:t>1.35</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0.85</w:t>
            </w:r>
          </w:p>
        </w:tc>
        <w:tc>
          <w:tcPr>
            <w:tcW w:w="1083" w:type="dxa"/>
          </w:tcPr>
          <w:p w:rsidR="007C5447" w:rsidRDefault="00F6308C">
            <w:pPr>
              <w:pStyle w:val="TableParagraph"/>
              <w:spacing w:before="55"/>
              <w:ind w:right="96"/>
              <w:rPr>
                <w:sz w:val="18"/>
              </w:rPr>
            </w:pPr>
            <w:r>
              <w:rPr>
                <w:sz w:val="18"/>
              </w:rPr>
              <w:t>122.72</w:t>
            </w:r>
          </w:p>
        </w:tc>
      </w:tr>
      <w:tr w:rsidR="007C5447">
        <w:trPr>
          <w:trHeight w:val="313"/>
        </w:trPr>
        <w:tc>
          <w:tcPr>
            <w:tcW w:w="703" w:type="dxa"/>
          </w:tcPr>
          <w:p w:rsidR="007C5447" w:rsidRDefault="00F6308C">
            <w:pPr>
              <w:pStyle w:val="TableParagraph"/>
              <w:spacing w:before="52"/>
              <w:ind w:left="107"/>
              <w:jc w:val="left"/>
              <w:rPr>
                <w:sz w:val="18"/>
              </w:rPr>
            </w:pPr>
            <w:r>
              <w:rPr>
                <w:sz w:val="18"/>
              </w:rPr>
              <w:t>16</w:t>
            </w:r>
          </w:p>
        </w:tc>
        <w:tc>
          <w:tcPr>
            <w:tcW w:w="1891" w:type="dxa"/>
          </w:tcPr>
          <w:p w:rsidR="007C5447" w:rsidRDefault="00F6308C">
            <w:pPr>
              <w:pStyle w:val="TableParagraph"/>
              <w:spacing w:before="52"/>
              <w:ind w:left="107"/>
              <w:jc w:val="left"/>
              <w:rPr>
                <w:b/>
                <w:sz w:val="18"/>
              </w:rPr>
            </w:pPr>
            <w:r>
              <w:rPr>
                <w:b/>
                <w:sz w:val="18"/>
              </w:rPr>
              <w:t>Total Generation</w:t>
            </w:r>
          </w:p>
        </w:tc>
        <w:tc>
          <w:tcPr>
            <w:tcW w:w="1034" w:type="dxa"/>
          </w:tcPr>
          <w:p w:rsidR="007C5447" w:rsidRDefault="00F6308C">
            <w:pPr>
              <w:pStyle w:val="TableParagraph"/>
              <w:spacing w:before="52"/>
              <w:ind w:right="96"/>
              <w:rPr>
                <w:b/>
                <w:sz w:val="18"/>
              </w:rPr>
            </w:pPr>
            <w:r>
              <w:rPr>
                <w:b/>
                <w:sz w:val="18"/>
              </w:rPr>
              <w:t>352.67</w:t>
            </w:r>
          </w:p>
        </w:tc>
        <w:tc>
          <w:tcPr>
            <w:tcW w:w="1035" w:type="dxa"/>
          </w:tcPr>
          <w:p w:rsidR="007C5447" w:rsidRDefault="00F6308C">
            <w:pPr>
              <w:pStyle w:val="TableParagraph"/>
              <w:spacing w:before="52"/>
              <w:ind w:right="97"/>
              <w:rPr>
                <w:b/>
                <w:sz w:val="18"/>
              </w:rPr>
            </w:pPr>
            <w:r>
              <w:rPr>
                <w:b/>
                <w:sz w:val="18"/>
              </w:rPr>
              <w:t>1,886.73</w:t>
            </w:r>
          </w:p>
        </w:tc>
        <w:tc>
          <w:tcPr>
            <w:tcW w:w="1034" w:type="dxa"/>
          </w:tcPr>
          <w:p w:rsidR="007C5447" w:rsidRDefault="00F6308C">
            <w:pPr>
              <w:pStyle w:val="TableParagraph"/>
              <w:spacing w:before="52"/>
              <w:ind w:right="96"/>
              <w:rPr>
                <w:b/>
                <w:sz w:val="18"/>
              </w:rPr>
            </w:pPr>
            <w:r>
              <w:rPr>
                <w:b/>
                <w:sz w:val="18"/>
              </w:rPr>
              <w:t>434.12</w:t>
            </w:r>
          </w:p>
        </w:tc>
        <w:tc>
          <w:tcPr>
            <w:tcW w:w="1034" w:type="dxa"/>
          </w:tcPr>
          <w:p w:rsidR="007C5447" w:rsidRDefault="00F6308C">
            <w:pPr>
              <w:pStyle w:val="TableParagraph"/>
              <w:spacing w:before="52"/>
              <w:ind w:right="97"/>
              <w:rPr>
                <w:b/>
                <w:sz w:val="18"/>
              </w:rPr>
            </w:pPr>
            <w:r>
              <w:rPr>
                <w:b/>
                <w:sz w:val="18"/>
              </w:rPr>
              <w:t>611.17</w:t>
            </w:r>
          </w:p>
        </w:tc>
        <w:tc>
          <w:tcPr>
            <w:tcW w:w="1106" w:type="dxa"/>
          </w:tcPr>
          <w:p w:rsidR="007C5447" w:rsidRDefault="00F6308C">
            <w:pPr>
              <w:pStyle w:val="TableParagraph"/>
              <w:spacing w:before="52"/>
              <w:ind w:right="95"/>
              <w:rPr>
                <w:b/>
                <w:sz w:val="18"/>
              </w:rPr>
            </w:pPr>
            <w:r>
              <w:rPr>
                <w:b/>
                <w:sz w:val="18"/>
              </w:rPr>
              <w:t>663.46</w:t>
            </w:r>
          </w:p>
        </w:tc>
        <w:tc>
          <w:tcPr>
            <w:tcW w:w="1056" w:type="dxa"/>
          </w:tcPr>
          <w:p w:rsidR="007C5447" w:rsidRDefault="00F6308C">
            <w:pPr>
              <w:pStyle w:val="TableParagraph"/>
              <w:spacing w:before="52"/>
              <w:ind w:right="95"/>
              <w:rPr>
                <w:b/>
                <w:sz w:val="18"/>
              </w:rPr>
            </w:pPr>
            <w:r>
              <w:rPr>
                <w:b/>
                <w:sz w:val="18"/>
              </w:rPr>
              <w:t>0.67</w:t>
            </w:r>
          </w:p>
        </w:tc>
        <w:tc>
          <w:tcPr>
            <w:tcW w:w="1056" w:type="dxa"/>
          </w:tcPr>
          <w:p w:rsidR="007C5447" w:rsidRDefault="00F6308C">
            <w:pPr>
              <w:pStyle w:val="TableParagraph"/>
              <w:spacing w:before="52"/>
              <w:ind w:right="95"/>
              <w:rPr>
                <w:b/>
                <w:sz w:val="18"/>
              </w:rPr>
            </w:pPr>
            <w:r>
              <w:rPr>
                <w:b/>
                <w:sz w:val="18"/>
              </w:rPr>
              <w:t>5.35</w:t>
            </w:r>
          </w:p>
        </w:tc>
        <w:tc>
          <w:tcPr>
            <w:tcW w:w="1056" w:type="dxa"/>
          </w:tcPr>
          <w:p w:rsidR="007C5447" w:rsidRDefault="00F6308C">
            <w:pPr>
              <w:pStyle w:val="TableParagraph"/>
              <w:spacing w:before="52"/>
              <w:ind w:right="92"/>
              <w:rPr>
                <w:b/>
                <w:sz w:val="18"/>
              </w:rPr>
            </w:pPr>
            <w:r>
              <w:rPr>
                <w:b/>
                <w:sz w:val="18"/>
              </w:rPr>
              <w:t>71.68</w:t>
            </w:r>
          </w:p>
        </w:tc>
        <w:tc>
          <w:tcPr>
            <w:tcW w:w="1057" w:type="dxa"/>
          </w:tcPr>
          <w:p w:rsidR="007C5447" w:rsidRDefault="00F6308C">
            <w:pPr>
              <w:pStyle w:val="TableParagraph"/>
              <w:spacing w:before="52"/>
              <w:ind w:right="96"/>
              <w:rPr>
                <w:b/>
                <w:sz w:val="18"/>
              </w:rPr>
            </w:pPr>
            <w:r>
              <w:rPr>
                <w:b/>
                <w:sz w:val="18"/>
              </w:rPr>
              <w:t>116.61</w:t>
            </w:r>
          </w:p>
        </w:tc>
        <w:tc>
          <w:tcPr>
            <w:tcW w:w="1056" w:type="dxa"/>
          </w:tcPr>
          <w:p w:rsidR="007C5447" w:rsidRDefault="00F6308C">
            <w:pPr>
              <w:pStyle w:val="TableParagraph"/>
              <w:spacing w:before="52"/>
              <w:ind w:right="95"/>
              <w:rPr>
                <w:b/>
                <w:sz w:val="18"/>
              </w:rPr>
            </w:pPr>
            <w:r>
              <w:rPr>
                <w:b/>
                <w:sz w:val="18"/>
              </w:rPr>
              <w:t>0.00</w:t>
            </w:r>
          </w:p>
        </w:tc>
        <w:tc>
          <w:tcPr>
            <w:tcW w:w="1056" w:type="dxa"/>
          </w:tcPr>
          <w:p w:rsidR="007C5447" w:rsidRDefault="00F6308C">
            <w:pPr>
              <w:pStyle w:val="TableParagraph"/>
              <w:spacing w:before="52"/>
              <w:ind w:right="92"/>
              <w:rPr>
                <w:b/>
                <w:sz w:val="18"/>
              </w:rPr>
            </w:pPr>
            <w:r>
              <w:rPr>
                <w:b/>
                <w:sz w:val="18"/>
              </w:rPr>
              <w:t>19.68</w:t>
            </w:r>
          </w:p>
        </w:tc>
        <w:tc>
          <w:tcPr>
            <w:tcW w:w="1083" w:type="dxa"/>
          </w:tcPr>
          <w:p w:rsidR="007C5447" w:rsidRDefault="00F6308C">
            <w:pPr>
              <w:pStyle w:val="TableParagraph"/>
              <w:spacing w:before="52"/>
              <w:ind w:right="96"/>
              <w:rPr>
                <w:b/>
                <w:sz w:val="18"/>
              </w:rPr>
            </w:pPr>
            <w:r>
              <w:rPr>
                <w:b/>
                <w:sz w:val="18"/>
              </w:rPr>
              <w:t>3,928.93</w:t>
            </w:r>
          </w:p>
        </w:tc>
      </w:tr>
      <w:tr w:rsidR="007C5447">
        <w:trPr>
          <w:trHeight w:val="316"/>
        </w:trPr>
        <w:tc>
          <w:tcPr>
            <w:tcW w:w="703" w:type="dxa"/>
          </w:tcPr>
          <w:p w:rsidR="007C5447" w:rsidRDefault="00F6308C">
            <w:pPr>
              <w:pStyle w:val="TableParagraph"/>
              <w:spacing w:before="55"/>
              <w:ind w:left="107"/>
              <w:jc w:val="left"/>
              <w:rPr>
                <w:sz w:val="18"/>
              </w:rPr>
            </w:pPr>
            <w:r>
              <w:rPr>
                <w:sz w:val="18"/>
              </w:rPr>
              <w:t>17</w:t>
            </w:r>
          </w:p>
        </w:tc>
        <w:tc>
          <w:tcPr>
            <w:tcW w:w="1891" w:type="dxa"/>
          </w:tcPr>
          <w:p w:rsidR="007C5447" w:rsidRDefault="00F6308C">
            <w:pPr>
              <w:pStyle w:val="TableParagraph"/>
              <w:spacing w:before="55"/>
              <w:ind w:left="107"/>
              <w:jc w:val="left"/>
              <w:rPr>
                <w:b/>
                <w:sz w:val="18"/>
              </w:rPr>
            </w:pPr>
            <w:r>
              <w:rPr>
                <w:b/>
                <w:sz w:val="18"/>
              </w:rPr>
              <w:t>Distribution</w:t>
            </w:r>
          </w:p>
        </w:tc>
        <w:tc>
          <w:tcPr>
            <w:tcW w:w="1034" w:type="dxa"/>
          </w:tcPr>
          <w:p w:rsidR="007C5447" w:rsidRDefault="00F6308C">
            <w:pPr>
              <w:pStyle w:val="TableParagraph"/>
              <w:spacing w:before="55"/>
              <w:ind w:right="96"/>
              <w:rPr>
                <w:b/>
                <w:sz w:val="18"/>
              </w:rPr>
            </w:pPr>
            <w:r>
              <w:rPr>
                <w:b/>
                <w:sz w:val="18"/>
              </w:rPr>
              <w:t>294.39</w:t>
            </w:r>
          </w:p>
        </w:tc>
        <w:tc>
          <w:tcPr>
            <w:tcW w:w="1035" w:type="dxa"/>
          </w:tcPr>
          <w:p w:rsidR="007C5447" w:rsidRDefault="00F6308C">
            <w:pPr>
              <w:pStyle w:val="TableParagraph"/>
              <w:spacing w:before="55"/>
              <w:ind w:right="97"/>
              <w:rPr>
                <w:b/>
                <w:sz w:val="18"/>
              </w:rPr>
            </w:pPr>
            <w:r>
              <w:rPr>
                <w:b/>
                <w:sz w:val="18"/>
              </w:rPr>
              <w:t>1,454.09</w:t>
            </w:r>
          </w:p>
        </w:tc>
        <w:tc>
          <w:tcPr>
            <w:tcW w:w="1034" w:type="dxa"/>
          </w:tcPr>
          <w:p w:rsidR="007C5447" w:rsidRDefault="00F6308C">
            <w:pPr>
              <w:pStyle w:val="TableParagraph"/>
              <w:spacing w:before="55"/>
              <w:ind w:right="94"/>
              <w:rPr>
                <w:b/>
                <w:sz w:val="18"/>
              </w:rPr>
            </w:pPr>
            <w:r>
              <w:rPr>
                <w:b/>
                <w:w w:val="99"/>
                <w:sz w:val="18"/>
              </w:rPr>
              <w:t>-</w:t>
            </w:r>
          </w:p>
        </w:tc>
        <w:tc>
          <w:tcPr>
            <w:tcW w:w="1034" w:type="dxa"/>
          </w:tcPr>
          <w:p w:rsidR="007C5447" w:rsidRDefault="00F6308C">
            <w:pPr>
              <w:pStyle w:val="TableParagraph"/>
              <w:spacing w:before="55"/>
              <w:ind w:right="97"/>
              <w:rPr>
                <w:b/>
                <w:sz w:val="18"/>
              </w:rPr>
            </w:pPr>
            <w:r>
              <w:rPr>
                <w:b/>
                <w:sz w:val="18"/>
              </w:rPr>
              <w:t>471.02</w:t>
            </w:r>
          </w:p>
        </w:tc>
        <w:tc>
          <w:tcPr>
            <w:tcW w:w="1106" w:type="dxa"/>
          </w:tcPr>
          <w:p w:rsidR="007C5447" w:rsidRDefault="00F6308C">
            <w:pPr>
              <w:pStyle w:val="TableParagraph"/>
              <w:spacing w:before="55"/>
              <w:ind w:right="95"/>
              <w:rPr>
                <w:b/>
                <w:sz w:val="18"/>
              </w:rPr>
            </w:pPr>
            <w:r>
              <w:rPr>
                <w:b/>
                <w:sz w:val="18"/>
              </w:rPr>
              <w:t>3,523.79</w:t>
            </w:r>
          </w:p>
        </w:tc>
        <w:tc>
          <w:tcPr>
            <w:tcW w:w="1056" w:type="dxa"/>
          </w:tcPr>
          <w:p w:rsidR="007C5447" w:rsidRDefault="00F6308C">
            <w:pPr>
              <w:pStyle w:val="TableParagraph"/>
              <w:spacing w:before="55"/>
              <w:ind w:right="92"/>
              <w:rPr>
                <w:b/>
                <w:sz w:val="18"/>
              </w:rPr>
            </w:pPr>
            <w:r>
              <w:rPr>
                <w:b/>
                <w:sz w:val="18"/>
              </w:rPr>
              <w:t>10.14</w:t>
            </w:r>
          </w:p>
        </w:tc>
        <w:tc>
          <w:tcPr>
            <w:tcW w:w="1056" w:type="dxa"/>
          </w:tcPr>
          <w:p w:rsidR="007C5447" w:rsidRDefault="00F6308C">
            <w:pPr>
              <w:pStyle w:val="TableParagraph"/>
              <w:spacing w:before="55"/>
              <w:ind w:right="95"/>
              <w:rPr>
                <w:b/>
                <w:sz w:val="18"/>
              </w:rPr>
            </w:pPr>
            <w:r>
              <w:rPr>
                <w:b/>
                <w:sz w:val="18"/>
              </w:rPr>
              <w:t>1,695.93</w:t>
            </w:r>
          </w:p>
        </w:tc>
        <w:tc>
          <w:tcPr>
            <w:tcW w:w="1056" w:type="dxa"/>
          </w:tcPr>
          <w:p w:rsidR="007C5447" w:rsidRDefault="00F6308C">
            <w:pPr>
              <w:pStyle w:val="TableParagraph"/>
              <w:spacing w:before="55"/>
              <w:ind w:right="95"/>
              <w:rPr>
                <w:b/>
                <w:sz w:val="18"/>
              </w:rPr>
            </w:pPr>
            <w:r>
              <w:rPr>
                <w:b/>
                <w:sz w:val="18"/>
              </w:rPr>
              <w:t>0.13</w:t>
            </w:r>
          </w:p>
        </w:tc>
        <w:tc>
          <w:tcPr>
            <w:tcW w:w="1057" w:type="dxa"/>
          </w:tcPr>
          <w:p w:rsidR="007C5447" w:rsidRDefault="00F6308C">
            <w:pPr>
              <w:pStyle w:val="TableParagraph"/>
              <w:spacing w:before="55"/>
              <w:ind w:right="96"/>
              <w:rPr>
                <w:b/>
                <w:sz w:val="18"/>
              </w:rPr>
            </w:pPr>
            <w:r>
              <w:rPr>
                <w:b/>
                <w:sz w:val="18"/>
              </w:rPr>
              <w:t>196.41</w:t>
            </w:r>
          </w:p>
        </w:tc>
        <w:tc>
          <w:tcPr>
            <w:tcW w:w="1056" w:type="dxa"/>
          </w:tcPr>
          <w:p w:rsidR="007C5447" w:rsidRDefault="00F6308C">
            <w:pPr>
              <w:pStyle w:val="TableParagraph"/>
              <w:spacing w:before="55"/>
              <w:ind w:right="95"/>
              <w:rPr>
                <w:b/>
                <w:sz w:val="18"/>
              </w:rPr>
            </w:pPr>
            <w:r>
              <w:rPr>
                <w:b/>
                <w:sz w:val="18"/>
              </w:rPr>
              <w:t>935.80</w:t>
            </w:r>
          </w:p>
        </w:tc>
        <w:tc>
          <w:tcPr>
            <w:tcW w:w="1056" w:type="dxa"/>
          </w:tcPr>
          <w:p w:rsidR="007C5447" w:rsidRDefault="00F6308C">
            <w:pPr>
              <w:pStyle w:val="TableParagraph"/>
              <w:spacing w:before="55"/>
              <w:ind w:right="95"/>
              <w:rPr>
                <w:b/>
                <w:sz w:val="18"/>
              </w:rPr>
            </w:pPr>
            <w:r>
              <w:rPr>
                <w:b/>
                <w:sz w:val="18"/>
              </w:rPr>
              <w:t>682.51</w:t>
            </w:r>
          </w:p>
        </w:tc>
        <w:tc>
          <w:tcPr>
            <w:tcW w:w="1083" w:type="dxa"/>
          </w:tcPr>
          <w:p w:rsidR="007C5447" w:rsidRDefault="00F6308C">
            <w:pPr>
              <w:pStyle w:val="TableParagraph"/>
              <w:spacing w:before="55"/>
              <w:ind w:right="96"/>
              <w:rPr>
                <w:b/>
                <w:sz w:val="18"/>
              </w:rPr>
            </w:pPr>
            <w:r>
              <w:rPr>
                <w:b/>
                <w:sz w:val="18"/>
              </w:rPr>
              <w:t>6,999.80</w:t>
            </w:r>
          </w:p>
        </w:tc>
      </w:tr>
      <w:tr w:rsidR="007C5447">
        <w:trPr>
          <w:trHeight w:val="314"/>
        </w:trPr>
        <w:tc>
          <w:tcPr>
            <w:tcW w:w="703" w:type="dxa"/>
          </w:tcPr>
          <w:p w:rsidR="007C5447" w:rsidRDefault="00F6308C">
            <w:pPr>
              <w:pStyle w:val="TableParagraph"/>
              <w:spacing w:before="52"/>
              <w:ind w:left="107"/>
              <w:jc w:val="left"/>
              <w:rPr>
                <w:sz w:val="18"/>
              </w:rPr>
            </w:pPr>
            <w:r>
              <w:rPr>
                <w:sz w:val="18"/>
              </w:rPr>
              <w:t>18</w:t>
            </w:r>
          </w:p>
        </w:tc>
        <w:tc>
          <w:tcPr>
            <w:tcW w:w="1891" w:type="dxa"/>
          </w:tcPr>
          <w:p w:rsidR="007C5447" w:rsidRDefault="00F6308C">
            <w:pPr>
              <w:pStyle w:val="TableParagraph"/>
              <w:spacing w:before="52"/>
              <w:ind w:left="107"/>
              <w:jc w:val="left"/>
              <w:rPr>
                <w:b/>
                <w:sz w:val="18"/>
              </w:rPr>
            </w:pPr>
            <w:r>
              <w:rPr>
                <w:b/>
                <w:sz w:val="18"/>
              </w:rPr>
              <w:t>Total TANGEDCO</w:t>
            </w:r>
          </w:p>
        </w:tc>
        <w:tc>
          <w:tcPr>
            <w:tcW w:w="1034" w:type="dxa"/>
          </w:tcPr>
          <w:p w:rsidR="007C5447" w:rsidRDefault="00F6308C">
            <w:pPr>
              <w:pStyle w:val="TableParagraph"/>
              <w:spacing w:before="52"/>
              <w:ind w:right="96"/>
              <w:rPr>
                <w:b/>
                <w:sz w:val="18"/>
              </w:rPr>
            </w:pPr>
            <w:r>
              <w:rPr>
                <w:b/>
                <w:sz w:val="18"/>
              </w:rPr>
              <w:t>647.07</w:t>
            </w:r>
          </w:p>
        </w:tc>
        <w:tc>
          <w:tcPr>
            <w:tcW w:w="1035" w:type="dxa"/>
          </w:tcPr>
          <w:p w:rsidR="007C5447" w:rsidRDefault="00F6308C">
            <w:pPr>
              <w:pStyle w:val="TableParagraph"/>
              <w:spacing w:before="52"/>
              <w:ind w:right="97"/>
              <w:rPr>
                <w:b/>
                <w:sz w:val="18"/>
              </w:rPr>
            </w:pPr>
            <w:r>
              <w:rPr>
                <w:b/>
                <w:sz w:val="18"/>
              </w:rPr>
              <w:t>3,340.82</w:t>
            </w:r>
          </w:p>
        </w:tc>
        <w:tc>
          <w:tcPr>
            <w:tcW w:w="1034" w:type="dxa"/>
          </w:tcPr>
          <w:p w:rsidR="007C5447" w:rsidRDefault="00F6308C">
            <w:pPr>
              <w:pStyle w:val="TableParagraph"/>
              <w:spacing w:before="52"/>
              <w:ind w:right="96"/>
              <w:rPr>
                <w:b/>
                <w:sz w:val="18"/>
              </w:rPr>
            </w:pPr>
            <w:r>
              <w:rPr>
                <w:b/>
                <w:sz w:val="18"/>
              </w:rPr>
              <w:t>434.12</w:t>
            </w:r>
          </w:p>
        </w:tc>
        <w:tc>
          <w:tcPr>
            <w:tcW w:w="1034" w:type="dxa"/>
          </w:tcPr>
          <w:p w:rsidR="007C5447" w:rsidRDefault="00F6308C">
            <w:pPr>
              <w:pStyle w:val="TableParagraph"/>
              <w:spacing w:before="52"/>
              <w:ind w:right="96"/>
              <w:rPr>
                <w:b/>
                <w:sz w:val="18"/>
              </w:rPr>
            </w:pPr>
            <w:r>
              <w:rPr>
                <w:b/>
                <w:sz w:val="18"/>
              </w:rPr>
              <w:t>1,082.19</w:t>
            </w:r>
          </w:p>
        </w:tc>
        <w:tc>
          <w:tcPr>
            <w:tcW w:w="1106" w:type="dxa"/>
          </w:tcPr>
          <w:p w:rsidR="007C5447" w:rsidRDefault="00F6308C">
            <w:pPr>
              <w:pStyle w:val="TableParagraph"/>
              <w:spacing w:before="52"/>
              <w:ind w:right="95"/>
              <w:rPr>
                <w:b/>
                <w:sz w:val="18"/>
              </w:rPr>
            </w:pPr>
            <w:r>
              <w:rPr>
                <w:b/>
                <w:sz w:val="18"/>
              </w:rPr>
              <w:t>4,187.25</w:t>
            </w:r>
          </w:p>
        </w:tc>
        <w:tc>
          <w:tcPr>
            <w:tcW w:w="1056" w:type="dxa"/>
          </w:tcPr>
          <w:p w:rsidR="007C5447" w:rsidRDefault="00F6308C">
            <w:pPr>
              <w:pStyle w:val="TableParagraph"/>
              <w:spacing w:before="52"/>
              <w:ind w:right="92"/>
              <w:rPr>
                <w:b/>
                <w:sz w:val="18"/>
              </w:rPr>
            </w:pPr>
            <w:r>
              <w:rPr>
                <w:b/>
                <w:sz w:val="18"/>
              </w:rPr>
              <w:t>10.82</w:t>
            </w:r>
          </w:p>
        </w:tc>
        <w:tc>
          <w:tcPr>
            <w:tcW w:w="1056" w:type="dxa"/>
          </w:tcPr>
          <w:p w:rsidR="007C5447" w:rsidRDefault="00F6308C">
            <w:pPr>
              <w:pStyle w:val="TableParagraph"/>
              <w:spacing w:before="52"/>
              <w:ind w:right="95"/>
              <w:rPr>
                <w:b/>
                <w:sz w:val="18"/>
              </w:rPr>
            </w:pPr>
            <w:r>
              <w:rPr>
                <w:b/>
                <w:sz w:val="18"/>
              </w:rPr>
              <w:t>1,701.28</w:t>
            </w:r>
          </w:p>
        </w:tc>
        <w:tc>
          <w:tcPr>
            <w:tcW w:w="1056" w:type="dxa"/>
          </w:tcPr>
          <w:p w:rsidR="007C5447" w:rsidRDefault="00F6308C">
            <w:pPr>
              <w:pStyle w:val="TableParagraph"/>
              <w:spacing w:before="52"/>
              <w:ind w:right="92"/>
              <w:rPr>
                <w:b/>
                <w:sz w:val="18"/>
              </w:rPr>
            </w:pPr>
            <w:r>
              <w:rPr>
                <w:b/>
                <w:sz w:val="18"/>
              </w:rPr>
              <w:t>71.82</w:t>
            </w:r>
          </w:p>
        </w:tc>
        <w:tc>
          <w:tcPr>
            <w:tcW w:w="1057" w:type="dxa"/>
          </w:tcPr>
          <w:p w:rsidR="007C5447" w:rsidRDefault="00F6308C">
            <w:pPr>
              <w:pStyle w:val="TableParagraph"/>
              <w:spacing w:before="52"/>
              <w:ind w:right="96"/>
              <w:rPr>
                <w:b/>
                <w:sz w:val="18"/>
              </w:rPr>
            </w:pPr>
            <w:r>
              <w:rPr>
                <w:b/>
                <w:sz w:val="18"/>
              </w:rPr>
              <w:t>313.02</w:t>
            </w:r>
          </w:p>
        </w:tc>
        <w:tc>
          <w:tcPr>
            <w:tcW w:w="1056" w:type="dxa"/>
          </w:tcPr>
          <w:p w:rsidR="007C5447" w:rsidRDefault="00F6308C">
            <w:pPr>
              <w:pStyle w:val="TableParagraph"/>
              <w:spacing w:before="52"/>
              <w:ind w:right="95"/>
              <w:rPr>
                <w:b/>
                <w:sz w:val="18"/>
              </w:rPr>
            </w:pPr>
            <w:r>
              <w:rPr>
                <w:b/>
                <w:sz w:val="18"/>
              </w:rPr>
              <w:t>935.80</w:t>
            </w:r>
          </w:p>
        </w:tc>
        <w:tc>
          <w:tcPr>
            <w:tcW w:w="1056" w:type="dxa"/>
          </w:tcPr>
          <w:p w:rsidR="007C5447" w:rsidRDefault="00F6308C">
            <w:pPr>
              <w:pStyle w:val="TableParagraph"/>
              <w:spacing w:before="52"/>
              <w:ind w:right="95"/>
              <w:rPr>
                <w:b/>
                <w:sz w:val="18"/>
              </w:rPr>
            </w:pPr>
            <w:r>
              <w:rPr>
                <w:b/>
                <w:sz w:val="18"/>
              </w:rPr>
              <w:t>702.19</w:t>
            </w:r>
          </w:p>
        </w:tc>
        <w:tc>
          <w:tcPr>
            <w:tcW w:w="1083" w:type="dxa"/>
          </w:tcPr>
          <w:p w:rsidR="007C5447" w:rsidRDefault="00F6308C">
            <w:pPr>
              <w:pStyle w:val="TableParagraph"/>
              <w:spacing w:before="52"/>
              <w:ind w:right="96"/>
              <w:rPr>
                <w:b/>
                <w:sz w:val="18"/>
              </w:rPr>
            </w:pPr>
            <w:r>
              <w:rPr>
                <w:b/>
                <w:sz w:val="18"/>
              </w:rPr>
              <w:t>10,928.73</w:t>
            </w:r>
          </w:p>
        </w:tc>
      </w:tr>
    </w:tbl>
    <w:p w:rsidR="007C5447" w:rsidRDefault="007C5447">
      <w:pPr>
        <w:rPr>
          <w:sz w:val="18"/>
        </w:rPr>
        <w:sectPr w:rsidR="007C5447">
          <w:pgSz w:w="16840" w:h="11910" w:orient="landscape"/>
          <w:pgMar w:top="1100" w:right="580" w:bottom="1240" w:left="760" w:header="0" w:footer="1057" w:gutter="0"/>
          <w:cols w:space="720"/>
        </w:sectPr>
      </w:pPr>
    </w:p>
    <w:p w:rsidR="007C5447" w:rsidRDefault="007C5447">
      <w:pPr>
        <w:pStyle w:val="BodyText"/>
        <w:rPr>
          <w:b/>
          <w:sz w:val="20"/>
        </w:rPr>
      </w:pPr>
    </w:p>
    <w:p w:rsidR="007C5447" w:rsidRDefault="007C5447">
      <w:pPr>
        <w:pStyle w:val="BodyText"/>
        <w:spacing w:before="6"/>
        <w:rPr>
          <w:b/>
          <w:sz w:val="19"/>
        </w:rPr>
      </w:pPr>
    </w:p>
    <w:p w:rsidR="007C5447" w:rsidRDefault="00F6308C">
      <w:pPr>
        <w:ind w:left="2986" w:right="3161"/>
        <w:jc w:val="center"/>
        <w:rPr>
          <w:b/>
        </w:rPr>
      </w:pPr>
      <w:r>
        <w:rPr>
          <w:b/>
        </w:rPr>
        <w:t>Table 3-40: Fixed Cost summary for FY 2013-14 as submitted by TANGEDCO (Rs. Crore)</w:t>
      </w:r>
    </w:p>
    <w:p w:rsidR="007C5447" w:rsidRDefault="007C5447">
      <w:pPr>
        <w:pStyle w:val="BodyText"/>
        <w:spacing w:before="11"/>
        <w:rPr>
          <w:b/>
          <w:sz w:val="16"/>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891"/>
        <w:gridCol w:w="1034"/>
        <w:gridCol w:w="1035"/>
        <w:gridCol w:w="1034"/>
        <w:gridCol w:w="1034"/>
        <w:gridCol w:w="1106"/>
        <w:gridCol w:w="1056"/>
        <w:gridCol w:w="1056"/>
        <w:gridCol w:w="1056"/>
        <w:gridCol w:w="1057"/>
        <w:gridCol w:w="1056"/>
        <w:gridCol w:w="1056"/>
        <w:gridCol w:w="1083"/>
      </w:tblGrid>
      <w:tr w:rsidR="007C5447">
        <w:trPr>
          <w:trHeight w:val="313"/>
        </w:trPr>
        <w:tc>
          <w:tcPr>
            <w:tcW w:w="703" w:type="dxa"/>
            <w:vMerge w:val="restart"/>
            <w:shd w:val="clear" w:color="auto" w:fill="F7C9AC"/>
          </w:tcPr>
          <w:p w:rsidR="007C5447" w:rsidRDefault="007C5447">
            <w:pPr>
              <w:pStyle w:val="TableParagraph"/>
              <w:jc w:val="left"/>
              <w:rPr>
                <w:b/>
                <w:sz w:val="20"/>
              </w:rPr>
            </w:pPr>
          </w:p>
          <w:p w:rsidR="007C5447" w:rsidRDefault="007C5447">
            <w:pPr>
              <w:pStyle w:val="TableParagraph"/>
              <w:jc w:val="left"/>
              <w:rPr>
                <w:b/>
                <w:sz w:val="20"/>
              </w:rPr>
            </w:pPr>
          </w:p>
          <w:p w:rsidR="007C5447" w:rsidRDefault="00F6308C">
            <w:pPr>
              <w:pStyle w:val="TableParagraph"/>
              <w:spacing w:before="132"/>
              <w:ind w:left="234" w:right="223"/>
              <w:jc w:val="center"/>
              <w:rPr>
                <w:b/>
                <w:sz w:val="18"/>
              </w:rPr>
            </w:pPr>
            <w:r>
              <w:rPr>
                <w:b/>
                <w:sz w:val="18"/>
              </w:rPr>
              <w:t>Sl.</w:t>
            </w:r>
          </w:p>
        </w:tc>
        <w:tc>
          <w:tcPr>
            <w:tcW w:w="1891" w:type="dxa"/>
            <w:vMerge w:val="restart"/>
            <w:shd w:val="clear" w:color="auto" w:fill="F7C9AC"/>
          </w:tcPr>
          <w:p w:rsidR="007C5447" w:rsidRDefault="007C5447">
            <w:pPr>
              <w:pStyle w:val="TableParagraph"/>
              <w:jc w:val="left"/>
              <w:rPr>
                <w:b/>
                <w:sz w:val="20"/>
              </w:rPr>
            </w:pPr>
          </w:p>
          <w:p w:rsidR="007C5447" w:rsidRDefault="007C5447">
            <w:pPr>
              <w:pStyle w:val="TableParagraph"/>
              <w:jc w:val="left"/>
              <w:rPr>
                <w:b/>
                <w:sz w:val="20"/>
              </w:rPr>
            </w:pPr>
          </w:p>
          <w:p w:rsidR="007C5447" w:rsidRDefault="00F6308C">
            <w:pPr>
              <w:pStyle w:val="TableParagraph"/>
              <w:spacing w:before="132"/>
              <w:ind w:left="403"/>
              <w:jc w:val="left"/>
              <w:rPr>
                <w:b/>
                <w:sz w:val="18"/>
              </w:rPr>
            </w:pPr>
            <w:r>
              <w:rPr>
                <w:b/>
                <w:sz w:val="18"/>
              </w:rPr>
              <w:t>Power Station</w:t>
            </w:r>
          </w:p>
        </w:tc>
        <w:tc>
          <w:tcPr>
            <w:tcW w:w="12663" w:type="dxa"/>
            <w:gridSpan w:val="12"/>
            <w:shd w:val="clear" w:color="auto" w:fill="F7C9AC"/>
          </w:tcPr>
          <w:p w:rsidR="007C5447" w:rsidRDefault="00F6308C">
            <w:pPr>
              <w:pStyle w:val="TableParagraph"/>
              <w:spacing w:before="55"/>
              <w:ind w:left="5870" w:right="5858"/>
              <w:jc w:val="center"/>
              <w:rPr>
                <w:b/>
                <w:sz w:val="18"/>
              </w:rPr>
            </w:pPr>
            <w:r>
              <w:rPr>
                <w:b/>
                <w:sz w:val="18"/>
              </w:rPr>
              <w:t>FY 2013-14</w:t>
            </w:r>
          </w:p>
        </w:tc>
      </w:tr>
      <w:tr w:rsidR="007C5447">
        <w:trPr>
          <w:trHeight w:val="1065"/>
        </w:trPr>
        <w:tc>
          <w:tcPr>
            <w:tcW w:w="703" w:type="dxa"/>
            <w:vMerge/>
            <w:tcBorders>
              <w:top w:val="nil"/>
            </w:tcBorders>
            <w:shd w:val="clear" w:color="auto" w:fill="F7C9AC"/>
          </w:tcPr>
          <w:p w:rsidR="007C5447" w:rsidRDefault="007C5447">
            <w:pPr>
              <w:rPr>
                <w:sz w:val="2"/>
                <w:szCs w:val="2"/>
              </w:rPr>
            </w:pPr>
          </w:p>
        </w:tc>
        <w:tc>
          <w:tcPr>
            <w:tcW w:w="1891" w:type="dxa"/>
            <w:vMerge/>
            <w:tcBorders>
              <w:top w:val="nil"/>
            </w:tcBorders>
            <w:shd w:val="clear" w:color="auto" w:fill="F7C9AC"/>
          </w:tcPr>
          <w:p w:rsidR="007C5447" w:rsidRDefault="007C5447">
            <w:pPr>
              <w:rPr>
                <w:sz w:val="2"/>
                <w:szCs w:val="2"/>
              </w:rPr>
            </w:pP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42" w:right="332"/>
              <w:jc w:val="center"/>
              <w:rPr>
                <w:b/>
                <w:sz w:val="18"/>
              </w:rPr>
            </w:pPr>
            <w:r>
              <w:rPr>
                <w:b/>
                <w:sz w:val="18"/>
              </w:rPr>
              <w:t>Dep</w:t>
            </w:r>
          </w:p>
        </w:tc>
        <w:tc>
          <w:tcPr>
            <w:tcW w:w="1035" w:type="dxa"/>
            <w:shd w:val="clear" w:color="auto" w:fill="F7C9AC"/>
          </w:tcPr>
          <w:p w:rsidR="007C5447" w:rsidRDefault="00F6308C">
            <w:pPr>
              <w:pStyle w:val="TableParagraph"/>
              <w:spacing w:before="119"/>
              <w:ind w:left="197" w:right="186" w:firstLine="2"/>
              <w:jc w:val="center"/>
              <w:rPr>
                <w:b/>
                <w:sz w:val="18"/>
              </w:rPr>
            </w:pPr>
            <w:r>
              <w:rPr>
                <w:b/>
                <w:sz w:val="18"/>
              </w:rPr>
              <w:t>Interest and Finance Charges</w:t>
            </w: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27"/>
              <w:jc w:val="left"/>
              <w:rPr>
                <w:b/>
                <w:sz w:val="18"/>
              </w:rPr>
            </w:pPr>
            <w:r>
              <w:rPr>
                <w:b/>
                <w:sz w:val="18"/>
              </w:rPr>
              <w:t>IWC</w:t>
            </w: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23"/>
              <w:jc w:val="left"/>
              <w:rPr>
                <w:b/>
                <w:sz w:val="18"/>
              </w:rPr>
            </w:pPr>
            <w:r>
              <w:rPr>
                <w:b/>
                <w:sz w:val="18"/>
              </w:rPr>
              <w:t>ROE</w:t>
            </w:r>
          </w:p>
        </w:tc>
        <w:tc>
          <w:tcPr>
            <w:tcW w:w="1106" w:type="dxa"/>
            <w:shd w:val="clear" w:color="auto" w:fill="F7C9AC"/>
          </w:tcPr>
          <w:p w:rsidR="007C5447" w:rsidRDefault="007C5447">
            <w:pPr>
              <w:pStyle w:val="TableParagraph"/>
              <w:spacing w:before="4"/>
              <w:jc w:val="left"/>
              <w:rPr>
                <w:b/>
                <w:sz w:val="28"/>
              </w:rPr>
            </w:pPr>
          </w:p>
          <w:p w:rsidR="007C5447" w:rsidRDefault="00F6308C">
            <w:pPr>
              <w:pStyle w:val="TableParagraph"/>
              <w:ind w:left="198" w:right="167" w:firstLine="124"/>
              <w:jc w:val="left"/>
              <w:rPr>
                <w:b/>
                <w:sz w:val="18"/>
              </w:rPr>
            </w:pPr>
            <w:r>
              <w:rPr>
                <w:b/>
                <w:sz w:val="18"/>
              </w:rPr>
              <w:t>O&amp;M Expenses</w:t>
            </w:r>
          </w:p>
        </w:tc>
        <w:tc>
          <w:tcPr>
            <w:tcW w:w="1056" w:type="dxa"/>
            <w:shd w:val="clear" w:color="auto" w:fill="F7C9AC"/>
          </w:tcPr>
          <w:p w:rsidR="007C5447" w:rsidRDefault="007C5447">
            <w:pPr>
              <w:pStyle w:val="TableParagraph"/>
              <w:spacing w:before="4"/>
              <w:jc w:val="left"/>
              <w:rPr>
                <w:b/>
                <w:sz w:val="28"/>
              </w:rPr>
            </w:pPr>
          </w:p>
          <w:p w:rsidR="007C5447" w:rsidRDefault="00F6308C">
            <w:pPr>
              <w:pStyle w:val="TableParagraph"/>
              <w:ind w:left="285" w:right="251" w:firstLine="14"/>
              <w:jc w:val="left"/>
              <w:rPr>
                <w:b/>
                <w:sz w:val="18"/>
              </w:rPr>
            </w:pPr>
            <w:r>
              <w:rPr>
                <w:b/>
                <w:sz w:val="18"/>
              </w:rPr>
              <w:t>Other Debits</w:t>
            </w:r>
          </w:p>
        </w:tc>
        <w:tc>
          <w:tcPr>
            <w:tcW w:w="1056" w:type="dxa"/>
            <w:shd w:val="clear" w:color="auto" w:fill="F7C9AC"/>
          </w:tcPr>
          <w:p w:rsidR="007C5447" w:rsidRDefault="007C5447">
            <w:pPr>
              <w:pStyle w:val="TableParagraph"/>
              <w:spacing w:before="4"/>
              <w:jc w:val="left"/>
              <w:rPr>
                <w:b/>
                <w:sz w:val="28"/>
              </w:rPr>
            </w:pPr>
          </w:p>
          <w:p w:rsidR="007C5447" w:rsidRDefault="00F6308C">
            <w:pPr>
              <w:pStyle w:val="TableParagraph"/>
              <w:ind w:left="276" w:right="240" w:firstLine="50"/>
              <w:jc w:val="left"/>
              <w:rPr>
                <w:b/>
                <w:sz w:val="18"/>
              </w:rPr>
            </w:pPr>
            <w:r>
              <w:rPr>
                <w:b/>
                <w:sz w:val="18"/>
              </w:rPr>
              <w:t>Prior Period</w:t>
            </w:r>
          </w:p>
        </w:tc>
        <w:tc>
          <w:tcPr>
            <w:tcW w:w="1056" w:type="dxa"/>
            <w:shd w:val="clear" w:color="auto" w:fill="F7C9AC"/>
          </w:tcPr>
          <w:p w:rsidR="007C5447" w:rsidRDefault="007C5447">
            <w:pPr>
              <w:pStyle w:val="TableParagraph"/>
              <w:spacing w:before="4"/>
              <w:jc w:val="left"/>
              <w:rPr>
                <w:b/>
                <w:sz w:val="19"/>
              </w:rPr>
            </w:pPr>
          </w:p>
          <w:p w:rsidR="007C5447" w:rsidRDefault="00F6308C">
            <w:pPr>
              <w:pStyle w:val="TableParagraph"/>
              <w:ind w:left="232" w:right="219" w:firstLine="5"/>
              <w:jc w:val="center"/>
              <w:rPr>
                <w:b/>
                <w:sz w:val="18"/>
              </w:rPr>
            </w:pPr>
            <w:r>
              <w:rPr>
                <w:b/>
                <w:sz w:val="18"/>
              </w:rPr>
              <w:t>Op. Ch and Ex. Ord</w:t>
            </w:r>
          </w:p>
        </w:tc>
        <w:tc>
          <w:tcPr>
            <w:tcW w:w="1057" w:type="dxa"/>
            <w:shd w:val="clear" w:color="auto" w:fill="F7C9AC"/>
          </w:tcPr>
          <w:p w:rsidR="007C5447" w:rsidRDefault="007C5447">
            <w:pPr>
              <w:pStyle w:val="TableParagraph"/>
              <w:spacing w:before="4"/>
              <w:jc w:val="left"/>
              <w:rPr>
                <w:b/>
                <w:sz w:val="28"/>
              </w:rPr>
            </w:pPr>
          </w:p>
          <w:p w:rsidR="007C5447" w:rsidRDefault="00F6308C">
            <w:pPr>
              <w:pStyle w:val="TableParagraph"/>
              <w:ind w:left="245" w:firstLine="55"/>
              <w:jc w:val="left"/>
              <w:rPr>
                <w:b/>
                <w:sz w:val="18"/>
              </w:rPr>
            </w:pPr>
            <w:r>
              <w:rPr>
                <w:b/>
                <w:sz w:val="18"/>
              </w:rPr>
              <w:t>Other Income</w:t>
            </w:r>
          </w:p>
        </w:tc>
        <w:tc>
          <w:tcPr>
            <w:tcW w:w="1056" w:type="dxa"/>
            <w:shd w:val="clear" w:color="auto" w:fill="F7C9AC"/>
          </w:tcPr>
          <w:p w:rsidR="007C5447" w:rsidRDefault="007C5447">
            <w:pPr>
              <w:pStyle w:val="TableParagraph"/>
              <w:spacing w:before="4"/>
              <w:jc w:val="left"/>
              <w:rPr>
                <w:b/>
                <w:sz w:val="28"/>
              </w:rPr>
            </w:pPr>
          </w:p>
          <w:p w:rsidR="007C5447" w:rsidRDefault="00F6308C">
            <w:pPr>
              <w:pStyle w:val="TableParagraph"/>
              <w:ind w:left="244" w:right="77" w:hanging="135"/>
              <w:jc w:val="left"/>
              <w:rPr>
                <w:b/>
                <w:sz w:val="18"/>
              </w:rPr>
            </w:pPr>
            <w:r>
              <w:rPr>
                <w:b/>
                <w:sz w:val="18"/>
              </w:rPr>
              <w:t>Non-Tariff Income</w:t>
            </w:r>
          </w:p>
        </w:tc>
        <w:tc>
          <w:tcPr>
            <w:tcW w:w="1056" w:type="dxa"/>
            <w:shd w:val="clear" w:color="auto" w:fill="F7C9AC"/>
          </w:tcPr>
          <w:p w:rsidR="007C5447" w:rsidRDefault="00F6308C">
            <w:pPr>
              <w:pStyle w:val="TableParagraph"/>
              <w:spacing w:before="16"/>
              <w:ind w:left="225" w:right="212" w:hanging="1"/>
              <w:jc w:val="center"/>
              <w:rPr>
                <w:b/>
                <w:sz w:val="18"/>
              </w:rPr>
            </w:pPr>
            <w:r>
              <w:rPr>
                <w:b/>
                <w:sz w:val="18"/>
              </w:rPr>
              <w:t>Other Interest and</w:t>
            </w:r>
          </w:p>
          <w:p w:rsidR="007C5447" w:rsidRDefault="00F6308C">
            <w:pPr>
              <w:pStyle w:val="TableParagraph"/>
              <w:spacing w:before="4" w:line="206" w:lineRule="exact"/>
              <w:ind w:left="208" w:right="196" w:firstLine="2"/>
              <w:jc w:val="center"/>
              <w:rPr>
                <w:b/>
                <w:sz w:val="18"/>
              </w:rPr>
            </w:pPr>
            <w:r>
              <w:rPr>
                <w:b/>
                <w:sz w:val="18"/>
              </w:rPr>
              <w:t>Finance Charges</w:t>
            </w:r>
          </w:p>
        </w:tc>
        <w:tc>
          <w:tcPr>
            <w:tcW w:w="1083" w:type="dxa"/>
            <w:shd w:val="clear" w:color="auto" w:fill="F7C9AC"/>
          </w:tcPr>
          <w:p w:rsidR="007C5447" w:rsidRDefault="007C5447">
            <w:pPr>
              <w:pStyle w:val="TableParagraph"/>
              <w:spacing w:before="4"/>
              <w:jc w:val="left"/>
              <w:rPr>
                <w:b/>
                <w:sz w:val="28"/>
              </w:rPr>
            </w:pPr>
          </w:p>
          <w:p w:rsidR="007C5447" w:rsidRDefault="00F6308C">
            <w:pPr>
              <w:pStyle w:val="TableParagraph"/>
              <w:ind w:left="129" w:right="99" w:firstLine="208"/>
              <w:jc w:val="left"/>
              <w:rPr>
                <w:b/>
                <w:sz w:val="18"/>
              </w:rPr>
            </w:pPr>
            <w:r>
              <w:rPr>
                <w:b/>
                <w:sz w:val="18"/>
              </w:rPr>
              <w:t>Total Fixed Cost</w:t>
            </w:r>
          </w:p>
        </w:tc>
      </w:tr>
      <w:tr w:rsidR="007C5447">
        <w:trPr>
          <w:trHeight w:val="316"/>
        </w:trPr>
        <w:tc>
          <w:tcPr>
            <w:tcW w:w="703" w:type="dxa"/>
          </w:tcPr>
          <w:p w:rsidR="007C5447" w:rsidRDefault="00F6308C">
            <w:pPr>
              <w:pStyle w:val="TableParagraph"/>
              <w:spacing w:before="55"/>
              <w:ind w:left="107"/>
              <w:jc w:val="left"/>
              <w:rPr>
                <w:sz w:val="18"/>
              </w:rPr>
            </w:pPr>
            <w:r>
              <w:rPr>
                <w:sz w:val="18"/>
              </w:rPr>
              <w:t>1</w:t>
            </w:r>
          </w:p>
        </w:tc>
        <w:tc>
          <w:tcPr>
            <w:tcW w:w="1891" w:type="dxa"/>
          </w:tcPr>
          <w:p w:rsidR="007C5447" w:rsidRDefault="00F6308C">
            <w:pPr>
              <w:pStyle w:val="TableParagraph"/>
              <w:spacing w:before="55"/>
              <w:ind w:left="107"/>
              <w:jc w:val="left"/>
              <w:rPr>
                <w:sz w:val="18"/>
              </w:rPr>
            </w:pPr>
            <w:r>
              <w:rPr>
                <w:sz w:val="18"/>
              </w:rPr>
              <w:t>Ennore TPS</w:t>
            </w:r>
          </w:p>
        </w:tc>
        <w:tc>
          <w:tcPr>
            <w:tcW w:w="1034" w:type="dxa"/>
          </w:tcPr>
          <w:p w:rsidR="007C5447" w:rsidRDefault="00F6308C">
            <w:pPr>
              <w:pStyle w:val="TableParagraph"/>
              <w:spacing w:before="55"/>
              <w:ind w:right="94"/>
              <w:rPr>
                <w:sz w:val="18"/>
              </w:rPr>
            </w:pPr>
            <w:r>
              <w:rPr>
                <w:sz w:val="18"/>
              </w:rPr>
              <w:t>40.26</w:t>
            </w:r>
          </w:p>
        </w:tc>
        <w:tc>
          <w:tcPr>
            <w:tcW w:w="1035" w:type="dxa"/>
          </w:tcPr>
          <w:p w:rsidR="007C5447" w:rsidRDefault="00F6308C">
            <w:pPr>
              <w:pStyle w:val="TableParagraph"/>
              <w:spacing w:before="55"/>
              <w:ind w:right="97"/>
              <w:rPr>
                <w:sz w:val="18"/>
              </w:rPr>
            </w:pPr>
            <w:r>
              <w:rPr>
                <w:sz w:val="18"/>
              </w:rPr>
              <w:t>311.12</w:t>
            </w:r>
          </w:p>
        </w:tc>
        <w:tc>
          <w:tcPr>
            <w:tcW w:w="1034" w:type="dxa"/>
          </w:tcPr>
          <w:p w:rsidR="007C5447" w:rsidRDefault="00F6308C">
            <w:pPr>
              <w:pStyle w:val="TableParagraph"/>
              <w:spacing w:before="55"/>
              <w:ind w:right="93"/>
              <w:rPr>
                <w:sz w:val="18"/>
              </w:rPr>
            </w:pPr>
            <w:r>
              <w:rPr>
                <w:sz w:val="18"/>
              </w:rPr>
              <w:t>37.15</w:t>
            </w:r>
          </w:p>
        </w:tc>
        <w:tc>
          <w:tcPr>
            <w:tcW w:w="1034" w:type="dxa"/>
          </w:tcPr>
          <w:p w:rsidR="007C5447" w:rsidRDefault="00F6308C">
            <w:pPr>
              <w:pStyle w:val="TableParagraph"/>
              <w:spacing w:before="55"/>
              <w:ind w:right="93"/>
              <w:rPr>
                <w:sz w:val="18"/>
              </w:rPr>
            </w:pPr>
            <w:r>
              <w:rPr>
                <w:sz w:val="18"/>
              </w:rPr>
              <w:t>77.23</w:t>
            </w:r>
          </w:p>
        </w:tc>
        <w:tc>
          <w:tcPr>
            <w:tcW w:w="1106" w:type="dxa"/>
          </w:tcPr>
          <w:p w:rsidR="007C5447" w:rsidRDefault="00F6308C">
            <w:pPr>
              <w:pStyle w:val="TableParagraph"/>
              <w:spacing w:before="55"/>
              <w:ind w:right="95"/>
              <w:rPr>
                <w:sz w:val="18"/>
              </w:rPr>
            </w:pPr>
            <w:r>
              <w:rPr>
                <w:sz w:val="18"/>
              </w:rPr>
              <w:t>106.25</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2"/>
              <w:rPr>
                <w:sz w:val="18"/>
              </w:rPr>
            </w:pPr>
            <w:r>
              <w:rPr>
                <w:sz w:val="18"/>
              </w:rPr>
              <w:t>13.49</w:t>
            </w:r>
          </w:p>
        </w:tc>
        <w:tc>
          <w:tcPr>
            <w:tcW w:w="1056" w:type="dxa"/>
          </w:tcPr>
          <w:p w:rsidR="007C5447" w:rsidRDefault="00F6308C">
            <w:pPr>
              <w:pStyle w:val="TableParagraph"/>
              <w:spacing w:before="55"/>
              <w:ind w:right="92"/>
              <w:rPr>
                <w:sz w:val="18"/>
              </w:rPr>
            </w:pPr>
            <w:r>
              <w:rPr>
                <w:sz w:val="18"/>
              </w:rPr>
              <w:t>17.21</w:t>
            </w:r>
          </w:p>
        </w:tc>
        <w:tc>
          <w:tcPr>
            <w:tcW w:w="1057" w:type="dxa"/>
          </w:tcPr>
          <w:p w:rsidR="007C5447" w:rsidRDefault="00F6308C">
            <w:pPr>
              <w:pStyle w:val="TableParagraph"/>
              <w:spacing w:before="55"/>
              <w:ind w:right="93"/>
              <w:rPr>
                <w:sz w:val="18"/>
              </w:rPr>
            </w:pPr>
            <w:r>
              <w:rPr>
                <w:sz w:val="18"/>
              </w:rPr>
              <w:t>13.19</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2.38</w:t>
            </w:r>
          </w:p>
        </w:tc>
        <w:tc>
          <w:tcPr>
            <w:tcW w:w="1083" w:type="dxa"/>
          </w:tcPr>
          <w:p w:rsidR="007C5447" w:rsidRDefault="00F6308C">
            <w:pPr>
              <w:pStyle w:val="TableParagraph"/>
              <w:spacing w:before="55"/>
              <w:ind w:right="96"/>
              <w:rPr>
                <w:sz w:val="18"/>
              </w:rPr>
            </w:pPr>
            <w:r>
              <w:rPr>
                <w:sz w:val="18"/>
              </w:rPr>
              <w:t>591.90</w:t>
            </w:r>
          </w:p>
        </w:tc>
      </w:tr>
      <w:tr w:rsidR="007C5447">
        <w:trPr>
          <w:trHeight w:val="314"/>
        </w:trPr>
        <w:tc>
          <w:tcPr>
            <w:tcW w:w="703" w:type="dxa"/>
          </w:tcPr>
          <w:p w:rsidR="007C5447" w:rsidRDefault="00F6308C">
            <w:pPr>
              <w:pStyle w:val="TableParagraph"/>
              <w:spacing w:before="53"/>
              <w:ind w:left="107"/>
              <w:jc w:val="left"/>
              <w:rPr>
                <w:sz w:val="18"/>
              </w:rPr>
            </w:pPr>
            <w:r>
              <w:rPr>
                <w:sz w:val="18"/>
              </w:rPr>
              <w:t>2</w:t>
            </w:r>
          </w:p>
        </w:tc>
        <w:tc>
          <w:tcPr>
            <w:tcW w:w="1891" w:type="dxa"/>
          </w:tcPr>
          <w:p w:rsidR="007C5447" w:rsidRDefault="00F6308C">
            <w:pPr>
              <w:pStyle w:val="TableParagraph"/>
              <w:spacing w:before="53"/>
              <w:ind w:left="107"/>
              <w:jc w:val="left"/>
              <w:rPr>
                <w:sz w:val="18"/>
              </w:rPr>
            </w:pPr>
            <w:r>
              <w:rPr>
                <w:sz w:val="18"/>
              </w:rPr>
              <w:t>Tuticorin TPS</w:t>
            </w:r>
          </w:p>
        </w:tc>
        <w:tc>
          <w:tcPr>
            <w:tcW w:w="1034" w:type="dxa"/>
          </w:tcPr>
          <w:p w:rsidR="007C5447" w:rsidRDefault="00F6308C">
            <w:pPr>
              <w:pStyle w:val="TableParagraph"/>
              <w:spacing w:before="53"/>
              <w:ind w:right="94"/>
              <w:rPr>
                <w:sz w:val="18"/>
              </w:rPr>
            </w:pPr>
            <w:r>
              <w:rPr>
                <w:sz w:val="18"/>
              </w:rPr>
              <w:t>71.20</w:t>
            </w:r>
          </w:p>
        </w:tc>
        <w:tc>
          <w:tcPr>
            <w:tcW w:w="1035" w:type="dxa"/>
          </w:tcPr>
          <w:p w:rsidR="007C5447" w:rsidRDefault="00F6308C">
            <w:pPr>
              <w:pStyle w:val="TableParagraph"/>
              <w:spacing w:before="53"/>
              <w:ind w:right="97"/>
              <w:rPr>
                <w:sz w:val="18"/>
              </w:rPr>
            </w:pPr>
            <w:r>
              <w:rPr>
                <w:sz w:val="18"/>
              </w:rPr>
              <w:t>548.39</w:t>
            </w:r>
          </w:p>
        </w:tc>
        <w:tc>
          <w:tcPr>
            <w:tcW w:w="1034" w:type="dxa"/>
          </w:tcPr>
          <w:p w:rsidR="007C5447" w:rsidRDefault="00F6308C">
            <w:pPr>
              <w:pStyle w:val="TableParagraph"/>
              <w:spacing w:before="53"/>
              <w:ind w:right="96"/>
              <w:rPr>
                <w:sz w:val="18"/>
              </w:rPr>
            </w:pPr>
            <w:r>
              <w:rPr>
                <w:sz w:val="18"/>
              </w:rPr>
              <w:t>149.06</w:t>
            </w:r>
          </w:p>
        </w:tc>
        <w:tc>
          <w:tcPr>
            <w:tcW w:w="1034" w:type="dxa"/>
          </w:tcPr>
          <w:p w:rsidR="007C5447" w:rsidRDefault="00F6308C">
            <w:pPr>
              <w:pStyle w:val="TableParagraph"/>
              <w:spacing w:before="53"/>
              <w:ind w:right="97"/>
              <w:rPr>
                <w:sz w:val="18"/>
              </w:rPr>
            </w:pPr>
            <w:r>
              <w:rPr>
                <w:sz w:val="18"/>
              </w:rPr>
              <w:t>136.93</w:t>
            </w:r>
          </w:p>
        </w:tc>
        <w:tc>
          <w:tcPr>
            <w:tcW w:w="1106" w:type="dxa"/>
          </w:tcPr>
          <w:p w:rsidR="007C5447" w:rsidRDefault="00F6308C">
            <w:pPr>
              <w:pStyle w:val="TableParagraph"/>
              <w:spacing w:before="53"/>
              <w:ind w:right="95"/>
              <w:rPr>
                <w:sz w:val="18"/>
              </w:rPr>
            </w:pPr>
            <w:r>
              <w:rPr>
                <w:sz w:val="18"/>
              </w:rPr>
              <w:t>262.42</w:t>
            </w:r>
          </w:p>
        </w:tc>
        <w:tc>
          <w:tcPr>
            <w:tcW w:w="1056" w:type="dxa"/>
          </w:tcPr>
          <w:p w:rsidR="007C5447" w:rsidRDefault="00F6308C">
            <w:pPr>
              <w:pStyle w:val="TableParagraph"/>
              <w:spacing w:before="53"/>
              <w:ind w:right="95"/>
              <w:rPr>
                <w:sz w:val="18"/>
              </w:rPr>
            </w:pPr>
            <w:r>
              <w:rPr>
                <w:sz w:val="18"/>
              </w:rPr>
              <w:t>0.03</w:t>
            </w:r>
          </w:p>
        </w:tc>
        <w:tc>
          <w:tcPr>
            <w:tcW w:w="1056" w:type="dxa"/>
          </w:tcPr>
          <w:p w:rsidR="007C5447" w:rsidRDefault="00F6308C">
            <w:pPr>
              <w:pStyle w:val="TableParagraph"/>
              <w:spacing w:before="53"/>
              <w:ind w:right="91"/>
              <w:rPr>
                <w:sz w:val="18"/>
              </w:rPr>
            </w:pPr>
            <w:r>
              <w:rPr>
                <w:sz w:val="18"/>
              </w:rPr>
              <w:t>(14.44)</w:t>
            </w:r>
          </w:p>
        </w:tc>
        <w:tc>
          <w:tcPr>
            <w:tcW w:w="1056" w:type="dxa"/>
          </w:tcPr>
          <w:p w:rsidR="007C5447" w:rsidRDefault="00F6308C">
            <w:pPr>
              <w:pStyle w:val="TableParagraph"/>
              <w:spacing w:before="53"/>
              <w:ind w:right="92"/>
              <w:rPr>
                <w:sz w:val="18"/>
              </w:rPr>
            </w:pPr>
            <w:r>
              <w:rPr>
                <w:sz w:val="18"/>
              </w:rPr>
              <w:t>12.97</w:t>
            </w:r>
          </w:p>
        </w:tc>
        <w:tc>
          <w:tcPr>
            <w:tcW w:w="1057" w:type="dxa"/>
          </w:tcPr>
          <w:p w:rsidR="007C5447" w:rsidRDefault="00F6308C">
            <w:pPr>
              <w:pStyle w:val="TableParagraph"/>
              <w:spacing w:before="53"/>
              <w:ind w:right="93"/>
              <w:rPr>
                <w:sz w:val="18"/>
              </w:rPr>
            </w:pPr>
            <w:r>
              <w:rPr>
                <w:sz w:val="18"/>
              </w:rPr>
              <w:t>52.17</w:t>
            </w:r>
          </w:p>
        </w:tc>
        <w:tc>
          <w:tcPr>
            <w:tcW w:w="1056" w:type="dxa"/>
          </w:tcPr>
          <w:p w:rsidR="007C5447" w:rsidRDefault="00F6308C">
            <w:pPr>
              <w:pStyle w:val="TableParagraph"/>
              <w:spacing w:before="53"/>
              <w:ind w:right="93"/>
              <w:rPr>
                <w:sz w:val="18"/>
              </w:rPr>
            </w:pPr>
            <w:r>
              <w:rPr>
                <w:w w:val="99"/>
                <w:sz w:val="18"/>
              </w:rPr>
              <w:t>-</w:t>
            </w:r>
          </w:p>
        </w:tc>
        <w:tc>
          <w:tcPr>
            <w:tcW w:w="1056" w:type="dxa"/>
          </w:tcPr>
          <w:p w:rsidR="007C5447" w:rsidRDefault="00F6308C">
            <w:pPr>
              <w:pStyle w:val="TableParagraph"/>
              <w:spacing w:before="53"/>
              <w:ind w:right="95"/>
              <w:rPr>
                <w:sz w:val="18"/>
              </w:rPr>
            </w:pPr>
            <w:r>
              <w:rPr>
                <w:sz w:val="18"/>
              </w:rPr>
              <w:t>4.60</w:t>
            </w:r>
          </w:p>
        </w:tc>
        <w:tc>
          <w:tcPr>
            <w:tcW w:w="1083" w:type="dxa"/>
          </w:tcPr>
          <w:p w:rsidR="007C5447" w:rsidRDefault="00F6308C">
            <w:pPr>
              <w:pStyle w:val="TableParagraph"/>
              <w:spacing w:before="53"/>
              <w:ind w:right="96"/>
              <w:rPr>
                <w:sz w:val="18"/>
              </w:rPr>
            </w:pPr>
            <w:r>
              <w:rPr>
                <w:sz w:val="18"/>
              </w:rPr>
              <w:t>1,118.99</w:t>
            </w:r>
          </w:p>
        </w:tc>
      </w:tr>
      <w:tr w:rsidR="007C5447">
        <w:trPr>
          <w:trHeight w:val="316"/>
        </w:trPr>
        <w:tc>
          <w:tcPr>
            <w:tcW w:w="703" w:type="dxa"/>
          </w:tcPr>
          <w:p w:rsidR="007C5447" w:rsidRDefault="00F6308C">
            <w:pPr>
              <w:pStyle w:val="TableParagraph"/>
              <w:spacing w:before="55"/>
              <w:ind w:left="107"/>
              <w:jc w:val="left"/>
              <w:rPr>
                <w:sz w:val="18"/>
              </w:rPr>
            </w:pPr>
            <w:r>
              <w:rPr>
                <w:sz w:val="18"/>
              </w:rPr>
              <w:t>3</w:t>
            </w:r>
          </w:p>
        </w:tc>
        <w:tc>
          <w:tcPr>
            <w:tcW w:w="1891" w:type="dxa"/>
          </w:tcPr>
          <w:p w:rsidR="007C5447" w:rsidRDefault="00F6308C">
            <w:pPr>
              <w:pStyle w:val="TableParagraph"/>
              <w:spacing w:before="55"/>
              <w:ind w:left="107"/>
              <w:jc w:val="left"/>
              <w:rPr>
                <w:sz w:val="18"/>
              </w:rPr>
            </w:pPr>
            <w:r>
              <w:rPr>
                <w:sz w:val="18"/>
              </w:rPr>
              <w:t>Mettur TPS</w:t>
            </w:r>
          </w:p>
        </w:tc>
        <w:tc>
          <w:tcPr>
            <w:tcW w:w="1034" w:type="dxa"/>
          </w:tcPr>
          <w:p w:rsidR="007C5447" w:rsidRDefault="00F6308C">
            <w:pPr>
              <w:pStyle w:val="TableParagraph"/>
              <w:spacing w:before="55"/>
              <w:ind w:right="94"/>
              <w:rPr>
                <w:sz w:val="18"/>
              </w:rPr>
            </w:pPr>
            <w:r>
              <w:rPr>
                <w:sz w:val="18"/>
              </w:rPr>
              <w:t>42.49</w:t>
            </w:r>
          </w:p>
        </w:tc>
        <w:tc>
          <w:tcPr>
            <w:tcW w:w="1035" w:type="dxa"/>
          </w:tcPr>
          <w:p w:rsidR="007C5447" w:rsidRDefault="00F6308C">
            <w:pPr>
              <w:pStyle w:val="TableParagraph"/>
              <w:spacing w:before="55"/>
              <w:ind w:right="97"/>
              <w:rPr>
                <w:sz w:val="18"/>
              </w:rPr>
            </w:pPr>
            <w:r>
              <w:rPr>
                <w:sz w:val="18"/>
              </w:rPr>
              <w:t>325.91</w:t>
            </w:r>
          </w:p>
        </w:tc>
        <w:tc>
          <w:tcPr>
            <w:tcW w:w="1034" w:type="dxa"/>
          </w:tcPr>
          <w:p w:rsidR="007C5447" w:rsidRDefault="00F6308C">
            <w:pPr>
              <w:pStyle w:val="TableParagraph"/>
              <w:spacing w:before="55"/>
              <w:ind w:right="96"/>
              <w:rPr>
                <w:sz w:val="18"/>
              </w:rPr>
            </w:pPr>
            <w:r>
              <w:rPr>
                <w:sz w:val="18"/>
              </w:rPr>
              <w:t>136.07</w:t>
            </w:r>
          </w:p>
        </w:tc>
        <w:tc>
          <w:tcPr>
            <w:tcW w:w="1034" w:type="dxa"/>
          </w:tcPr>
          <w:p w:rsidR="007C5447" w:rsidRDefault="00F6308C">
            <w:pPr>
              <w:pStyle w:val="TableParagraph"/>
              <w:spacing w:before="55"/>
              <w:ind w:right="93"/>
              <w:rPr>
                <w:sz w:val="18"/>
              </w:rPr>
            </w:pPr>
            <w:r>
              <w:rPr>
                <w:sz w:val="18"/>
              </w:rPr>
              <w:t>80.58</w:t>
            </w:r>
          </w:p>
        </w:tc>
        <w:tc>
          <w:tcPr>
            <w:tcW w:w="1106" w:type="dxa"/>
          </w:tcPr>
          <w:p w:rsidR="007C5447" w:rsidRDefault="00F6308C">
            <w:pPr>
              <w:pStyle w:val="TableParagraph"/>
              <w:spacing w:before="55"/>
              <w:ind w:right="95"/>
              <w:rPr>
                <w:sz w:val="18"/>
              </w:rPr>
            </w:pPr>
            <w:r>
              <w:rPr>
                <w:sz w:val="18"/>
              </w:rPr>
              <w:t>170.50</w:t>
            </w:r>
          </w:p>
        </w:tc>
        <w:tc>
          <w:tcPr>
            <w:tcW w:w="1056" w:type="dxa"/>
          </w:tcPr>
          <w:p w:rsidR="007C5447" w:rsidRDefault="00F6308C">
            <w:pPr>
              <w:pStyle w:val="TableParagraph"/>
              <w:spacing w:before="55"/>
              <w:ind w:right="95"/>
              <w:rPr>
                <w:sz w:val="18"/>
              </w:rPr>
            </w:pPr>
            <w:r>
              <w:rPr>
                <w:sz w:val="18"/>
              </w:rPr>
              <w:t>0.06</w:t>
            </w:r>
          </w:p>
        </w:tc>
        <w:tc>
          <w:tcPr>
            <w:tcW w:w="1056" w:type="dxa"/>
          </w:tcPr>
          <w:p w:rsidR="007C5447" w:rsidRDefault="00F6308C">
            <w:pPr>
              <w:pStyle w:val="TableParagraph"/>
              <w:spacing w:before="55"/>
              <w:ind w:right="92"/>
              <w:rPr>
                <w:sz w:val="18"/>
              </w:rPr>
            </w:pPr>
            <w:r>
              <w:rPr>
                <w:sz w:val="18"/>
              </w:rPr>
              <w:t>86.64</w:t>
            </w:r>
          </w:p>
        </w:tc>
        <w:tc>
          <w:tcPr>
            <w:tcW w:w="1056" w:type="dxa"/>
          </w:tcPr>
          <w:p w:rsidR="007C5447" w:rsidRDefault="00F6308C">
            <w:pPr>
              <w:pStyle w:val="TableParagraph"/>
              <w:spacing w:before="55"/>
              <w:ind w:right="95"/>
              <w:rPr>
                <w:sz w:val="18"/>
              </w:rPr>
            </w:pPr>
            <w:r>
              <w:rPr>
                <w:sz w:val="18"/>
              </w:rPr>
              <w:t>6.46</w:t>
            </w:r>
          </w:p>
        </w:tc>
        <w:tc>
          <w:tcPr>
            <w:tcW w:w="1057" w:type="dxa"/>
          </w:tcPr>
          <w:p w:rsidR="007C5447" w:rsidRDefault="00F6308C">
            <w:pPr>
              <w:pStyle w:val="TableParagraph"/>
              <w:spacing w:before="55"/>
              <w:ind w:right="93"/>
              <w:rPr>
                <w:sz w:val="18"/>
              </w:rPr>
            </w:pPr>
            <w:r>
              <w:rPr>
                <w:sz w:val="18"/>
              </w:rPr>
              <w:t>28.88</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3.51</w:t>
            </w:r>
          </w:p>
        </w:tc>
        <w:tc>
          <w:tcPr>
            <w:tcW w:w="1083" w:type="dxa"/>
          </w:tcPr>
          <w:p w:rsidR="007C5447" w:rsidRDefault="00F6308C">
            <w:pPr>
              <w:pStyle w:val="TableParagraph"/>
              <w:spacing w:before="55"/>
              <w:ind w:right="96"/>
              <w:rPr>
                <w:sz w:val="18"/>
              </w:rPr>
            </w:pPr>
            <w:r>
              <w:rPr>
                <w:sz w:val="18"/>
              </w:rPr>
              <w:t>823.33</w:t>
            </w:r>
          </w:p>
        </w:tc>
      </w:tr>
      <w:tr w:rsidR="007C5447">
        <w:trPr>
          <w:trHeight w:val="314"/>
        </w:trPr>
        <w:tc>
          <w:tcPr>
            <w:tcW w:w="703" w:type="dxa"/>
          </w:tcPr>
          <w:p w:rsidR="007C5447" w:rsidRDefault="00F6308C">
            <w:pPr>
              <w:pStyle w:val="TableParagraph"/>
              <w:spacing w:before="52"/>
              <w:ind w:left="107"/>
              <w:jc w:val="left"/>
              <w:rPr>
                <w:sz w:val="18"/>
              </w:rPr>
            </w:pPr>
            <w:r>
              <w:rPr>
                <w:sz w:val="18"/>
              </w:rPr>
              <w:t>4</w:t>
            </w:r>
          </w:p>
        </w:tc>
        <w:tc>
          <w:tcPr>
            <w:tcW w:w="1891" w:type="dxa"/>
          </w:tcPr>
          <w:p w:rsidR="007C5447" w:rsidRDefault="00F6308C">
            <w:pPr>
              <w:pStyle w:val="TableParagraph"/>
              <w:spacing w:before="52"/>
              <w:ind w:left="107"/>
              <w:jc w:val="left"/>
              <w:rPr>
                <w:sz w:val="18"/>
              </w:rPr>
            </w:pPr>
            <w:r>
              <w:rPr>
                <w:sz w:val="18"/>
              </w:rPr>
              <w:t>North Chennai TPS</w:t>
            </w:r>
          </w:p>
        </w:tc>
        <w:tc>
          <w:tcPr>
            <w:tcW w:w="1034" w:type="dxa"/>
          </w:tcPr>
          <w:p w:rsidR="007C5447" w:rsidRDefault="00F6308C">
            <w:pPr>
              <w:pStyle w:val="TableParagraph"/>
              <w:spacing w:before="52"/>
              <w:ind w:right="94"/>
              <w:rPr>
                <w:sz w:val="18"/>
              </w:rPr>
            </w:pPr>
            <w:r>
              <w:rPr>
                <w:sz w:val="18"/>
              </w:rPr>
              <w:t>76.58</w:t>
            </w:r>
          </w:p>
        </w:tc>
        <w:tc>
          <w:tcPr>
            <w:tcW w:w="1035" w:type="dxa"/>
          </w:tcPr>
          <w:p w:rsidR="007C5447" w:rsidRDefault="00F6308C">
            <w:pPr>
              <w:pStyle w:val="TableParagraph"/>
              <w:spacing w:before="52"/>
              <w:ind w:right="97"/>
              <w:rPr>
                <w:sz w:val="18"/>
              </w:rPr>
            </w:pPr>
            <w:r>
              <w:rPr>
                <w:sz w:val="18"/>
              </w:rPr>
              <w:t>586.69</w:t>
            </w:r>
          </w:p>
        </w:tc>
        <w:tc>
          <w:tcPr>
            <w:tcW w:w="1034" w:type="dxa"/>
          </w:tcPr>
          <w:p w:rsidR="007C5447" w:rsidRDefault="00F6308C">
            <w:pPr>
              <w:pStyle w:val="TableParagraph"/>
              <w:spacing w:before="52"/>
              <w:ind w:right="93"/>
              <w:rPr>
                <w:sz w:val="18"/>
              </w:rPr>
            </w:pPr>
            <w:r>
              <w:rPr>
                <w:sz w:val="18"/>
              </w:rPr>
              <w:t>90.20</w:t>
            </w:r>
          </w:p>
        </w:tc>
        <w:tc>
          <w:tcPr>
            <w:tcW w:w="1034" w:type="dxa"/>
          </w:tcPr>
          <w:p w:rsidR="007C5447" w:rsidRDefault="00F6308C">
            <w:pPr>
              <w:pStyle w:val="TableParagraph"/>
              <w:spacing w:before="52"/>
              <w:ind w:right="97"/>
              <w:rPr>
                <w:sz w:val="18"/>
              </w:rPr>
            </w:pPr>
            <w:r>
              <w:rPr>
                <w:sz w:val="18"/>
              </w:rPr>
              <w:t>150.93</w:t>
            </w:r>
          </w:p>
        </w:tc>
        <w:tc>
          <w:tcPr>
            <w:tcW w:w="1106" w:type="dxa"/>
          </w:tcPr>
          <w:p w:rsidR="007C5447" w:rsidRDefault="00F6308C">
            <w:pPr>
              <w:pStyle w:val="TableParagraph"/>
              <w:spacing w:before="52"/>
              <w:ind w:right="95"/>
              <w:rPr>
                <w:sz w:val="18"/>
              </w:rPr>
            </w:pPr>
            <w:r>
              <w:rPr>
                <w:sz w:val="18"/>
              </w:rPr>
              <w:t>221.02</w:t>
            </w:r>
          </w:p>
        </w:tc>
        <w:tc>
          <w:tcPr>
            <w:tcW w:w="1056" w:type="dxa"/>
          </w:tcPr>
          <w:p w:rsidR="007C5447" w:rsidRDefault="00F6308C">
            <w:pPr>
              <w:pStyle w:val="TableParagraph"/>
              <w:spacing w:before="52"/>
              <w:ind w:right="95"/>
              <w:rPr>
                <w:sz w:val="18"/>
              </w:rPr>
            </w:pPr>
            <w:r>
              <w:rPr>
                <w:sz w:val="18"/>
              </w:rPr>
              <w:t>0.03</w:t>
            </w:r>
          </w:p>
        </w:tc>
        <w:tc>
          <w:tcPr>
            <w:tcW w:w="1056" w:type="dxa"/>
          </w:tcPr>
          <w:p w:rsidR="007C5447" w:rsidRDefault="00F6308C">
            <w:pPr>
              <w:pStyle w:val="TableParagraph"/>
              <w:spacing w:before="52"/>
              <w:ind w:right="95"/>
              <w:rPr>
                <w:sz w:val="18"/>
              </w:rPr>
            </w:pPr>
            <w:r>
              <w:rPr>
                <w:sz w:val="18"/>
              </w:rPr>
              <w:t>8.27</w:t>
            </w:r>
          </w:p>
        </w:tc>
        <w:tc>
          <w:tcPr>
            <w:tcW w:w="1056" w:type="dxa"/>
          </w:tcPr>
          <w:p w:rsidR="007C5447" w:rsidRDefault="00F6308C">
            <w:pPr>
              <w:pStyle w:val="TableParagraph"/>
              <w:spacing w:before="52"/>
              <w:ind w:right="92"/>
              <w:rPr>
                <w:sz w:val="18"/>
              </w:rPr>
            </w:pPr>
            <w:r>
              <w:rPr>
                <w:sz w:val="18"/>
              </w:rPr>
              <w:t>42.51</w:t>
            </w:r>
          </w:p>
        </w:tc>
        <w:tc>
          <w:tcPr>
            <w:tcW w:w="1057" w:type="dxa"/>
          </w:tcPr>
          <w:p w:rsidR="007C5447" w:rsidRDefault="00F6308C">
            <w:pPr>
              <w:pStyle w:val="TableParagraph"/>
              <w:spacing w:before="52"/>
              <w:ind w:right="93"/>
              <w:rPr>
                <w:sz w:val="18"/>
              </w:rPr>
            </w:pPr>
            <w:r>
              <w:rPr>
                <w:sz w:val="18"/>
              </w:rPr>
              <w:t>39.64</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3.00</w:t>
            </w:r>
          </w:p>
        </w:tc>
        <w:tc>
          <w:tcPr>
            <w:tcW w:w="1083" w:type="dxa"/>
          </w:tcPr>
          <w:p w:rsidR="007C5447" w:rsidRDefault="00F6308C">
            <w:pPr>
              <w:pStyle w:val="TableParagraph"/>
              <w:spacing w:before="52"/>
              <w:ind w:right="96"/>
              <w:rPr>
                <w:sz w:val="18"/>
              </w:rPr>
            </w:pPr>
            <w:r>
              <w:rPr>
                <w:sz w:val="18"/>
              </w:rPr>
              <w:t>1,139.59</w:t>
            </w:r>
          </w:p>
        </w:tc>
      </w:tr>
      <w:tr w:rsidR="007C5447">
        <w:trPr>
          <w:trHeight w:val="314"/>
        </w:trPr>
        <w:tc>
          <w:tcPr>
            <w:tcW w:w="703" w:type="dxa"/>
          </w:tcPr>
          <w:p w:rsidR="007C5447" w:rsidRDefault="00F6308C">
            <w:pPr>
              <w:pStyle w:val="TableParagraph"/>
              <w:spacing w:before="55"/>
              <w:ind w:left="107"/>
              <w:jc w:val="left"/>
              <w:rPr>
                <w:sz w:val="18"/>
              </w:rPr>
            </w:pPr>
            <w:r>
              <w:rPr>
                <w:sz w:val="18"/>
              </w:rPr>
              <w:t>5</w:t>
            </w:r>
          </w:p>
        </w:tc>
        <w:tc>
          <w:tcPr>
            <w:tcW w:w="1891" w:type="dxa"/>
          </w:tcPr>
          <w:p w:rsidR="007C5447" w:rsidRDefault="00F6308C">
            <w:pPr>
              <w:pStyle w:val="TableParagraph"/>
              <w:spacing w:before="55"/>
              <w:ind w:left="107"/>
              <w:jc w:val="left"/>
              <w:rPr>
                <w:sz w:val="18"/>
              </w:rPr>
            </w:pPr>
            <w:r>
              <w:rPr>
                <w:sz w:val="18"/>
              </w:rPr>
              <w:t>Mettur TPS Stage III</w:t>
            </w:r>
          </w:p>
        </w:tc>
        <w:tc>
          <w:tcPr>
            <w:tcW w:w="1034" w:type="dxa"/>
          </w:tcPr>
          <w:p w:rsidR="007C5447" w:rsidRDefault="00F6308C">
            <w:pPr>
              <w:pStyle w:val="TableParagraph"/>
              <w:spacing w:before="55"/>
              <w:ind w:right="95"/>
              <w:rPr>
                <w:sz w:val="18"/>
              </w:rPr>
            </w:pPr>
            <w:r>
              <w:rPr>
                <w:w w:val="99"/>
                <w:sz w:val="18"/>
              </w:rPr>
              <w:t>-</w:t>
            </w:r>
          </w:p>
        </w:tc>
        <w:tc>
          <w:tcPr>
            <w:tcW w:w="1035" w:type="dxa"/>
          </w:tcPr>
          <w:p w:rsidR="007C5447" w:rsidRDefault="00F6308C">
            <w:pPr>
              <w:pStyle w:val="TableParagraph"/>
              <w:spacing w:before="55"/>
              <w:ind w:right="95"/>
              <w:rPr>
                <w:sz w:val="18"/>
              </w:rPr>
            </w:pPr>
            <w:r>
              <w:rPr>
                <w:w w:val="99"/>
                <w:sz w:val="18"/>
              </w:rPr>
              <w:t>-</w:t>
            </w:r>
          </w:p>
        </w:tc>
        <w:tc>
          <w:tcPr>
            <w:tcW w:w="1034" w:type="dxa"/>
          </w:tcPr>
          <w:p w:rsidR="007C5447" w:rsidRDefault="00F6308C">
            <w:pPr>
              <w:pStyle w:val="TableParagraph"/>
              <w:spacing w:before="55"/>
              <w:ind w:right="94"/>
              <w:rPr>
                <w:sz w:val="18"/>
              </w:rPr>
            </w:pPr>
            <w:r>
              <w:rPr>
                <w:w w:val="99"/>
                <w:sz w:val="18"/>
              </w:rPr>
              <w:t>-</w:t>
            </w:r>
          </w:p>
        </w:tc>
        <w:tc>
          <w:tcPr>
            <w:tcW w:w="1034" w:type="dxa"/>
          </w:tcPr>
          <w:p w:rsidR="007C5447" w:rsidRDefault="00F6308C">
            <w:pPr>
              <w:pStyle w:val="TableParagraph"/>
              <w:spacing w:before="55"/>
              <w:ind w:right="94"/>
              <w:rPr>
                <w:sz w:val="18"/>
              </w:rPr>
            </w:pPr>
            <w:r>
              <w:rPr>
                <w:w w:val="99"/>
                <w:sz w:val="18"/>
              </w:rPr>
              <w:t>-</w:t>
            </w:r>
          </w:p>
        </w:tc>
        <w:tc>
          <w:tcPr>
            <w:tcW w:w="110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197.24</w:t>
            </w:r>
          </w:p>
        </w:tc>
        <w:tc>
          <w:tcPr>
            <w:tcW w:w="1056" w:type="dxa"/>
          </w:tcPr>
          <w:p w:rsidR="007C5447" w:rsidRDefault="00F6308C">
            <w:pPr>
              <w:pStyle w:val="TableParagraph"/>
              <w:spacing w:before="55"/>
              <w:ind w:right="93"/>
              <w:rPr>
                <w:sz w:val="18"/>
              </w:rPr>
            </w:pPr>
            <w:r>
              <w:rPr>
                <w:w w:val="99"/>
                <w:sz w:val="18"/>
              </w:rPr>
              <w:t>-</w:t>
            </w:r>
          </w:p>
        </w:tc>
        <w:tc>
          <w:tcPr>
            <w:tcW w:w="1057" w:type="dxa"/>
          </w:tcPr>
          <w:p w:rsidR="007C5447" w:rsidRDefault="00F6308C">
            <w:pPr>
              <w:pStyle w:val="TableParagraph"/>
              <w:spacing w:before="55"/>
              <w:ind w:right="93"/>
              <w:rPr>
                <w:sz w:val="18"/>
              </w:rPr>
            </w:pPr>
            <w:r>
              <w:rPr>
                <w:sz w:val="18"/>
              </w:rPr>
              <w:t>17.96</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0.67</w:t>
            </w:r>
          </w:p>
        </w:tc>
        <w:tc>
          <w:tcPr>
            <w:tcW w:w="1083" w:type="dxa"/>
          </w:tcPr>
          <w:p w:rsidR="007C5447" w:rsidRDefault="00F6308C">
            <w:pPr>
              <w:pStyle w:val="TableParagraph"/>
              <w:spacing w:before="55"/>
              <w:ind w:right="96"/>
              <w:rPr>
                <w:sz w:val="18"/>
              </w:rPr>
            </w:pPr>
            <w:r>
              <w:rPr>
                <w:sz w:val="18"/>
              </w:rPr>
              <w:t>179.95</w:t>
            </w:r>
          </w:p>
        </w:tc>
      </w:tr>
      <w:tr w:rsidR="007C5447">
        <w:trPr>
          <w:trHeight w:val="316"/>
        </w:trPr>
        <w:tc>
          <w:tcPr>
            <w:tcW w:w="703" w:type="dxa"/>
          </w:tcPr>
          <w:p w:rsidR="007C5447" w:rsidRDefault="00F6308C">
            <w:pPr>
              <w:pStyle w:val="TableParagraph"/>
              <w:spacing w:before="55"/>
              <w:ind w:left="107"/>
              <w:jc w:val="left"/>
              <w:rPr>
                <w:sz w:val="18"/>
              </w:rPr>
            </w:pPr>
            <w:r>
              <w:rPr>
                <w:sz w:val="18"/>
              </w:rPr>
              <w:t>7</w:t>
            </w:r>
          </w:p>
        </w:tc>
        <w:tc>
          <w:tcPr>
            <w:tcW w:w="1891" w:type="dxa"/>
          </w:tcPr>
          <w:p w:rsidR="007C5447" w:rsidRDefault="00F6308C">
            <w:pPr>
              <w:pStyle w:val="TableParagraph"/>
              <w:spacing w:before="55"/>
              <w:ind w:left="107"/>
              <w:jc w:val="left"/>
              <w:rPr>
                <w:sz w:val="18"/>
              </w:rPr>
            </w:pPr>
            <w:r>
              <w:rPr>
                <w:sz w:val="18"/>
              </w:rPr>
              <w:t>Tirumakottai GTPS</w:t>
            </w:r>
          </w:p>
        </w:tc>
        <w:tc>
          <w:tcPr>
            <w:tcW w:w="1034" w:type="dxa"/>
          </w:tcPr>
          <w:p w:rsidR="007C5447" w:rsidRDefault="00F6308C">
            <w:pPr>
              <w:pStyle w:val="TableParagraph"/>
              <w:spacing w:before="55"/>
              <w:ind w:right="94"/>
              <w:rPr>
                <w:sz w:val="18"/>
              </w:rPr>
            </w:pPr>
            <w:r>
              <w:rPr>
                <w:sz w:val="18"/>
              </w:rPr>
              <w:t>17.30</w:t>
            </w:r>
          </w:p>
        </w:tc>
        <w:tc>
          <w:tcPr>
            <w:tcW w:w="1035" w:type="dxa"/>
          </w:tcPr>
          <w:p w:rsidR="007C5447" w:rsidRDefault="00F6308C">
            <w:pPr>
              <w:pStyle w:val="TableParagraph"/>
              <w:spacing w:before="55"/>
              <w:ind w:right="97"/>
              <w:rPr>
                <w:sz w:val="18"/>
              </w:rPr>
            </w:pPr>
            <w:r>
              <w:rPr>
                <w:sz w:val="18"/>
              </w:rPr>
              <w:t>132.90</w:t>
            </w:r>
          </w:p>
        </w:tc>
        <w:tc>
          <w:tcPr>
            <w:tcW w:w="1034" w:type="dxa"/>
          </w:tcPr>
          <w:p w:rsidR="007C5447" w:rsidRDefault="00F6308C">
            <w:pPr>
              <w:pStyle w:val="TableParagraph"/>
              <w:spacing w:before="55"/>
              <w:ind w:right="93"/>
              <w:rPr>
                <w:sz w:val="18"/>
              </w:rPr>
            </w:pPr>
            <w:r>
              <w:rPr>
                <w:sz w:val="18"/>
              </w:rPr>
              <w:t>11.07</w:t>
            </w:r>
          </w:p>
        </w:tc>
        <w:tc>
          <w:tcPr>
            <w:tcW w:w="1034" w:type="dxa"/>
          </w:tcPr>
          <w:p w:rsidR="007C5447" w:rsidRDefault="00F6308C">
            <w:pPr>
              <w:pStyle w:val="TableParagraph"/>
              <w:spacing w:before="55"/>
              <w:ind w:right="93"/>
              <w:rPr>
                <w:sz w:val="18"/>
              </w:rPr>
            </w:pPr>
            <w:r>
              <w:rPr>
                <w:sz w:val="18"/>
              </w:rPr>
              <w:t>32.71</w:t>
            </w:r>
          </w:p>
        </w:tc>
        <w:tc>
          <w:tcPr>
            <w:tcW w:w="1106" w:type="dxa"/>
          </w:tcPr>
          <w:p w:rsidR="007C5447" w:rsidRDefault="00F6308C">
            <w:pPr>
              <w:pStyle w:val="TableParagraph"/>
              <w:spacing w:before="55"/>
              <w:ind w:right="95"/>
              <w:rPr>
                <w:sz w:val="18"/>
              </w:rPr>
            </w:pPr>
            <w:r>
              <w:rPr>
                <w:sz w:val="18"/>
              </w:rPr>
              <w:t>7.45</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0.97</w:t>
            </w:r>
          </w:p>
        </w:tc>
        <w:tc>
          <w:tcPr>
            <w:tcW w:w="1056" w:type="dxa"/>
          </w:tcPr>
          <w:p w:rsidR="007C5447" w:rsidRDefault="00F6308C">
            <w:pPr>
              <w:pStyle w:val="TableParagraph"/>
              <w:spacing w:before="55"/>
              <w:ind w:right="95"/>
              <w:rPr>
                <w:sz w:val="18"/>
              </w:rPr>
            </w:pPr>
            <w:r>
              <w:rPr>
                <w:sz w:val="18"/>
              </w:rPr>
              <w:t>0.29</w:t>
            </w:r>
          </w:p>
        </w:tc>
        <w:tc>
          <w:tcPr>
            <w:tcW w:w="1057" w:type="dxa"/>
          </w:tcPr>
          <w:p w:rsidR="007C5447" w:rsidRDefault="00F6308C">
            <w:pPr>
              <w:pStyle w:val="TableParagraph"/>
              <w:spacing w:before="55"/>
              <w:ind w:right="95"/>
              <w:rPr>
                <w:sz w:val="18"/>
              </w:rPr>
            </w:pPr>
            <w:r>
              <w:rPr>
                <w:sz w:val="18"/>
              </w:rPr>
              <w:t>0.14</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0.20</w:t>
            </w:r>
          </w:p>
        </w:tc>
        <w:tc>
          <w:tcPr>
            <w:tcW w:w="1083" w:type="dxa"/>
          </w:tcPr>
          <w:p w:rsidR="007C5447" w:rsidRDefault="00F6308C">
            <w:pPr>
              <w:pStyle w:val="TableParagraph"/>
              <w:spacing w:before="55"/>
              <w:ind w:right="96"/>
              <w:rPr>
                <w:sz w:val="18"/>
              </w:rPr>
            </w:pPr>
            <w:r>
              <w:rPr>
                <w:sz w:val="18"/>
              </w:rPr>
              <w:t>202.74</w:t>
            </w:r>
          </w:p>
        </w:tc>
      </w:tr>
      <w:tr w:rsidR="007C5447">
        <w:trPr>
          <w:trHeight w:val="314"/>
        </w:trPr>
        <w:tc>
          <w:tcPr>
            <w:tcW w:w="703" w:type="dxa"/>
          </w:tcPr>
          <w:p w:rsidR="007C5447" w:rsidRDefault="00F6308C">
            <w:pPr>
              <w:pStyle w:val="TableParagraph"/>
              <w:spacing w:before="52"/>
              <w:ind w:left="107"/>
              <w:jc w:val="left"/>
              <w:rPr>
                <w:sz w:val="18"/>
              </w:rPr>
            </w:pPr>
            <w:r>
              <w:rPr>
                <w:sz w:val="18"/>
              </w:rPr>
              <w:t>8</w:t>
            </w:r>
          </w:p>
        </w:tc>
        <w:tc>
          <w:tcPr>
            <w:tcW w:w="1891" w:type="dxa"/>
          </w:tcPr>
          <w:p w:rsidR="007C5447" w:rsidRDefault="00F6308C">
            <w:pPr>
              <w:pStyle w:val="TableParagraph"/>
              <w:spacing w:before="52"/>
              <w:ind w:left="107"/>
              <w:jc w:val="left"/>
              <w:rPr>
                <w:sz w:val="18"/>
              </w:rPr>
            </w:pPr>
            <w:r>
              <w:rPr>
                <w:sz w:val="18"/>
              </w:rPr>
              <w:t>Kuttalam GTPS</w:t>
            </w:r>
          </w:p>
        </w:tc>
        <w:tc>
          <w:tcPr>
            <w:tcW w:w="1034" w:type="dxa"/>
          </w:tcPr>
          <w:p w:rsidR="007C5447" w:rsidRDefault="00F6308C">
            <w:pPr>
              <w:pStyle w:val="TableParagraph"/>
              <w:spacing w:before="52"/>
              <w:ind w:right="94"/>
              <w:rPr>
                <w:sz w:val="18"/>
              </w:rPr>
            </w:pPr>
            <w:r>
              <w:rPr>
                <w:sz w:val="18"/>
              </w:rPr>
              <w:t>13.87</w:t>
            </w:r>
          </w:p>
        </w:tc>
        <w:tc>
          <w:tcPr>
            <w:tcW w:w="1035" w:type="dxa"/>
          </w:tcPr>
          <w:p w:rsidR="007C5447" w:rsidRDefault="00F6308C">
            <w:pPr>
              <w:pStyle w:val="TableParagraph"/>
              <w:spacing w:before="52"/>
              <w:ind w:right="97"/>
              <w:rPr>
                <w:sz w:val="18"/>
              </w:rPr>
            </w:pPr>
            <w:r>
              <w:rPr>
                <w:sz w:val="18"/>
              </w:rPr>
              <w:t>104.04</w:t>
            </w:r>
          </w:p>
        </w:tc>
        <w:tc>
          <w:tcPr>
            <w:tcW w:w="1034" w:type="dxa"/>
          </w:tcPr>
          <w:p w:rsidR="007C5447" w:rsidRDefault="00F6308C">
            <w:pPr>
              <w:pStyle w:val="TableParagraph"/>
              <w:spacing w:before="52"/>
              <w:ind w:right="93"/>
              <w:rPr>
                <w:sz w:val="18"/>
              </w:rPr>
            </w:pPr>
            <w:r>
              <w:rPr>
                <w:sz w:val="18"/>
              </w:rPr>
              <w:t>13.46</w:t>
            </w:r>
          </w:p>
        </w:tc>
        <w:tc>
          <w:tcPr>
            <w:tcW w:w="1034" w:type="dxa"/>
          </w:tcPr>
          <w:p w:rsidR="007C5447" w:rsidRDefault="00F6308C">
            <w:pPr>
              <w:pStyle w:val="TableParagraph"/>
              <w:spacing w:before="52"/>
              <w:ind w:right="93"/>
              <w:rPr>
                <w:sz w:val="18"/>
              </w:rPr>
            </w:pPr>
            <w:r>
              <w:rPr>
                <w:sz w:val="18"/>
              </w:rPr>
              <w:t>28.01</w:t>
            </w:r>
          </w:p>
        </w:tc>
        <w:tc>
          <w:tcPr>
            <w:tcW w:w="1106" w:type="dxa"/>
          </w:tcPr>
          <w:p w:rsidR="007C5447" w:rsidRDefault="00F6308C">
            <w:pPr>
              <w:pStyle w:val="TableParagraph"/>
              <w:spacing w:before="52"/>
              <w:ind w:right="92"/>
              <w:rPr>
                <w:sz w:val="18"/>
              </w:rPr>
            </w:pPr>
            <w:r>
              <w:rPr>
                <w:sz w:val="18"/>
              </w:rPr>
              <w:t>64.11</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6.00</w:t>
            </w:r>
          </w:p>
        </w:tc>
        <w:tc>
          <w:tcPr>
            <w:tcW w:w="1056" w:type="dxa"/>
          </w:tcPr>
          <w:p w:rsidR="007C5447" w:rsidRDefault="00F6308C">
            <w:pPr>
              <w:pStyle w:val="TableParagraph"/>
              <w:spacing w:before="52"/>
              <w:ind w:right="95"/>
              <w:rPr>
                <w:sz w:val="18"/>
              </w:rPr>
            </w:pPr>
            <w:r>
              <w:rPr>
                <w:sz w:val="18"/>
              </w:rPr>
              <w:t>0.12</w:t>
            </w:r>
          </w:p>
        </w:tc>
        <w:tc>
          <w:tcPr>
            <w:tcW w:w="1057" w:type="dxa"/>
          </w:tcPr>
          <w:p w:rsidR="007C5447" w:rsidRDefault="00F6308C">
            <w:pPr>
              <w:pStyle w:val="TableParagraph"/>
              <w:spacing w:before="52"/>
              <w:ind w:right="95"/>
              <w:rPr>
                <w:sz w:val="18"/>
              </w:rPr>
            </w:pPr>
            <w:r>
              <w:rPr>
                <w:sz w:val="18"/>
              </w:rPr>
              <w:t>0.08</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0.10</w:t>
            </w:r>
          </w:p>
        </w:tc>
        <w:tc>
          <w:tcPr>
            <w:tcW w:w="1083" w:type="dxa"/>
          </w:tcPr>
          <w:p w:rsidR="007C5447" w:rsidRDefault="00F6308C">
            <w:pPr>
              <w:pStyle w:val="TableParagraph"/>
              <w:spacing w:before="52"/>
              <w:ind w:right="96"/>
              <w:rPr>
                <w:sz w:val="18"/>
              </w:rPr>
            </w:pPr>
            <w:r>
              <w:rPr>
                <w:sz w:val="18"/>
              </w:rPr>
              <w:t>229.62</w:t>
            </w:r>
          </w:p>
        </w:tc>
      </w:tr>
      <w:tr w:rsidR="007C5447">
        <w:trPr>
          <w:trHeight w:val="316"/>
        </w:trPr>
        <w:tc>
          <w:tcPr>
            <w:tcW w:w="703" w:type="dxa"/>
          </w:tcPr>
          <w:p w:rsidR="007C5447" w:rsidRDefault="00F6308C">
            <w:pPr>
              <w:pStyle w:val="TableParagraph"/>
              <w:spacing w:before="55"/>
              <w:ind w:left="107"/>
              <w:jc w:val="left"/>
              <w:rPr>
                <w:sz w:val="18"/>
              </w:rPr>
            </w:pPr>
            <w:r>
              <w:rPr>
                <w:sz w:val="18"/>
              </w:rPr>
              <w:t>9</w:t>
            </w:r>
          </w:p>
        </w:tc>
        <w:tc>
          <w:tcPr>
            <w:tcW w:w="1891" w:type="dxa"/>
          </w:tcPr>
          <w:p w:rsidR="007C5447" w:rsidRDefault="00F6308C">
            <w:pPr>
              <w:pStyle w:val="TableParagraph"/>
              <w:spacing w:before="55"/>
              <w:ind w:left="107"/>
              <w:jc w:val="left"/>
              <w:rPr>
                <w:sz w:val="18"/>
              </w:rPr>
            </w:pPr>
            <w:r>
              <w:rPr>
                <w:sz w:val="18"/>
              </w:rPr>
              <w:t>Basin Bridge GTPS</w:t>
            </w:r>
          </w:p>
        </w:tc>
        <w:tc>
          <w:tcPr>
            <w:tcW w:w="1034" w:type="dxa"/>
          </w:tcPr>
          <w:p w:rsidR="007C5447" w:rsidRDefault="00F6308C">
            <w:pPr>
              <w:pStyle w:val="TableParagraph"/>
              <w:spacing w:before="55"/>
              <w:ind w:right="94"/>
              <w:rPr>
                <w:sz w:val="18"/>
              </w:rPr>
            </w:pPr>
            <w:r>
              <w:rPr>
                <w:sz w:val="18"/>
              </w:rPr>
              <w:t>21.00</w:t>
            </w:r>
          </w:p>
        </w:tc>
        <w:tc>
          <w:tcPr>
            <w:tcW w:w="1035" w:type="dxa"/>
          </w:tcPr>
          <w:p w:rsidR="007C5447" w:rsidRDefault="00F6308C">
            <w:pPr>
              <w:pStyle w:val="TableParagraph"/>
              <w:spacing w:before="55"/>
              <w:ind w:right="97"/>
              <w:rPr>
                <w:sz w:val="18"/>
              </w:rPr>
            </w:pPr>
            <w:r>
              <w:rPr>
                <w:sz w:val="18"/>
              </w:rPr>
              <w:t>162.30</w:t>
            </w:r>
          </w:p>
        </w:tc>
        <w:tc>
          <w:tcPr>
            <w:tcW w:w="1034" w:type="dxa"/>
          </w:tcPr>
          <w:p w:rsidR="007C5447" w:rsidRDefault="00F6308C">
            <w:pPr>
              <w:pStyle w:val="TableParagraph"/>
              <w:spacing w:before="55"/>
              <w:ind w:right="96"/>
              <w:rPr>
                <w:sz w:val="18"/>
              </w:rPr>
            </w:pPr>
            <w:r>
              <w:rPr>
                <w:sz w:val="18"/>
              </w:rPr>
              <w:t>6.87</w:t>
            </w:r>
          </w:p>
        </w:tc>
        <w:tc>
          <w:tcPr>
            <w:tcW w:w="1034" w:type="dxa"/>
          </w:tcPr>
          <w:p w:rsidR="007C5447" w:rsidRDefault="00F6308C">
            <w:pPr>
              <w:pStyle w:val="TableParagraph"/>
              <w:spacing w:before="55"/>
              <w:ind w:right="93"/>
              <w:rPr>
                <w:sz w:val="18"/>
              </w:rPr>
            </w:pPr>
            <w:r>
              <w:rPr>
                <w:sz w:val="18"/>
              </w:rPr>
              <w:t>39.99</w:t>
            </w:r>
          </w:p>
        </w:tc>
        <w:tc>
          <w:tcPr>
            <w:tcW w:w="1106" w:type="dxa"/>
          </w:tcPr>
          <w:p w:rsidR="007C5447" w:rsidRDefault="00F6308C">
            <w:pPr>
              <w:pStyle w:val="TableParagraph"/>
              <w:spacing w:before="55"/>
              <w:ind w:right="95"/>
              <w:rPr>
                <w:sz w:val="18"/>
              </w:rPr>
            </w:pPr>
            <w:r>
              <w:rPr>
                <w:sz w:val="18"/>
              </w:rPr>
              <w:t>7.61</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0.97</w:t>
            </w:r>
          </w:p>
        </w:tc>
        <w:tc>
          <w:tcPr>
            <w:tcW w:w="1056" w:type="dxa"/>
          </w:tcPr>
          <w:p w:rsidR="007C5447" w:rsidRDefault="00F6308C">
            <w:pPr>
              <w:pStyle w:val="TableParagraph"/>
              <w:spacing w:before="55"/>
              <w:ind w:right="93"/>
              <w:rPr>
                <w:sz w:val="18"/>
              </w:rPr>
            </w:pPr>
            <w:r>
              <w:rPr>
                <w:w w:val="99"/>
                <w:sz w:val="18"/>
              </w:rPr>
              <w:t>-</w:t>
            </w:r>
          </w:p>
        </w:tc>
        <w:tc>
          <w:tcPr>
            <w:tcW w:w="1057" w:type="dxa"/>
          </w:tcPr>
          <w:p w:rsidR="007C5447" w:rsidRDefault="00F6308C">
            <w:pPr>
              <w:pStyle w:val="TableParagraph"/>
              <w:spacing w:before="55"/>
              <w:ind w:right="95"/>
              <w:rPr>
                <w:sz w:val="18"/>
              </w:rPr>
            </w:pPr>
            <w:r>
              <w:rPr>
                <w:sz w:val="18"/>
              </w:rPr>
              <w:t>0.08</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0.17</w:t>
            </w:r>
          </w:p>
        </w:tc>
        <w:tc>
          <w:tcPr>
            <w:tcW w:w="1083" w:type="dxa"/>
          </w:tcPr>
          <w:p w:rsidR="007C5447" w:rsidRDefault="00F6308C">
            <w:pPr>
              <w:pStyle w:val="TableParagraph"/>
              <w:spacing w:before="55"/>
              <w:ind w:right="96"/>
              <w:rPr>
                <w:sz w:val="18"/>
              </w:rPr>
            </w:pPr>
            <w:r>
              <w:rPr>
                <w:sz w:val="18"/>
              </w:rPr>
              <w:t>238.83</w:t>
            </w:r>
          </w:p>
        </w:tc>
      </w:tr>
      <w:tr w:rsidR="007C5447">
        <w:trPr>
          <w:trHeight w:val="314"/>
        </w:trPr>
        <w:tc>
          <w:tcPr>
            <w:tcW w:w="703" w:type="dxa"/>
          </w:tcPr>
          <w:p w:rsidR="007C5447" w:rsidRDefault="00F6308C">
            <w:pPr>
              <w:pStyle w:val="TableParagraph"/>
              <w:spacing w:before="52"/>
              <w:ind w:left="107"/>
              <w:jc w:val="left"/>
              <w:rPr>
                <w:sz w:val="18"/>
              </w:rPr>
            </w:pPr>
            <w:r>
              <w:rPr>
                <w:sz w:val="18"/>
              </w:rPr>
              <w:t>10</w:t>
            </w:r>
          </w:p>
        </w:tc>
        <w:tc>
          <w:tcPr>
            <w:tcW w:w="1891" w:type="dxa"/>
          </w:tcPr>
          <w:p w:rsidR="007C5447" w:rsidRDefault="00F6308C">
            <w:pPr>
              <w:pStyle w:val="TableParagraph"/>
              <w:spacing w:before="52"/>
              <w:ind w:left="107"/>
              <w:jc w:val="left"/>
              <w:rPr>
                <w:sz w:val="18"/>
              </w:rPr>
            </w:pPr>
            <w:r>
              <w:rPr>
                <w:sz w:val="18"/>
              </w:rPr>
              <w:t>Valuthur GTPS</w:t>
            </w:r>
          </w:p>
        </w:tc>
        <w:tc>
          <w:tcPr>
            <w:tcW w:w="1034" w:type="dxa"/>
          </w:tcPr>
          <w:p w:rsidR="007C5447" w:rsidRDefault="00F6308C">
            <w:pPr>
              <w:pStyle w:val="TableParagraph"/>
              <w:spacing w:before="52"/>
              <w:ind w:right="94"/>
              <w:rPr>
                <w:sz w:val="18"/>
              </w:rPr>
            </w:pPr>
            <w:r>
              <w:rPr>
                <w:sz w:val="18"/>
              </w:rPr>
              <w:t>20.97</w:t>
            </w:r>
          </w:p>
        </w:tc>
        <w:tc>
          <w:tcPr>
            <w:tcW w:w="1035" w:type="dxa"/>
          </w:tcPr>
          <w:p w:rsidR="007C5447" w:rsidRDefault="00F6308C">
            <w:pPr>
              <w:pStyle w:val="TableParagraph"/>
              <w:spacing w:before="52"/>
              <w:ind w:right="97"/>
              <w:rPr>
                <w:sz w:val="18"/>
              </w:rPr>
            </w:pPr>
            <w:r>
              <w:rPr>
                <w:sz w:val="18"/>
              </w:rPr>
              <w:t>159.72</w:t>
            </w:r>
          </w:p>
        </w:tc>
        <w:tc>
          <w:tcPr>
            <w:tcW w:w="1034" w:type="dxa"/>
          </w:tcPr>
          <w:p w:rsidR="007C5447" w:rsidRDefault="00F6308C">
            <w:pPr>
              <w:pStyle w:val="TableParagraph"/>
              <w:spacing w:before="52"/>
              <w:ind w:right="93"/>
              <w:rPr>
                <w:sz w:val="18"/>
              </w:rPr>
            </w:pPr>
            <w:r>
              <w:rPr>
                <w:sz w:val="18"/>
              </w:rPr>
              <w:t>19.78</w:t>
            </w:r>
          </w:p>
        </w:tc>
        <w:tc>
          <w:tcPr>
            <w:tcW w:w="1034" w:type="dxa"/>
          </w:tcPr>
          <w:p w:rsidR="007C5447" w:rsidRDefault="00F6308C">
            <w:pPr>
              <w:pStyle w:val="TableParagraph"/>
              <w:spacing w:before="52"/>
              <w:ind w:right="93"/>
              <w:rPr>
                <w:sz w:val="18"/>
              </w:rPr>
            </w:pPr>
            <w:r>
              <w:rPr>
                <w:sz w:val="18"/>
              </w:rPr>
              <w:t>39.96</w:t>
            </w:r>
          </w:p>
        </w:tc>
        <w:tc>
          <w:tcPr>
            <w:tcW w:w="1106" w:type="dxa"/>
          </w:tcPr>
          <w:p w:rsidR="007C5447" w:rsidRDefault="00F6308C">
            <w:pPr>
              <w:pStyle w:val="TableParagraph"/>
              <w:spacing w:before="52"/>
              <w:ind w:right="95"/>
              <w:rPr>
                <w:sz w:val="18"/>
              </w:rPr>
            </w:pPr>
            <w:r>
              <w:rPr>
                <w:sz w:val="18"/>
              </w:rPr>
              <w:t>8.15</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1.14</w:t>
            </w:r>
          </w:p>
        </w:tc>
        <w:tc>
          <w:tcPr>
            <w:tcW w:w="1056" w:type="dxa"/>
          </w:tcPr>
          <w:p w:rsidR="007C5447" w:rsidRDefault="00F6308C">
            <w:pPr>
              <w:pStyle w:val="TableParagraph"/>
              <w:spacing w:before="52"/>
              <w:ind w:right="93"/>
              <w:rPr>
                <w:sz w:val="18"/>
              </w:rPr>
            </w:pPr>
            <w:r>
              <w:rPr>
                <w:w w:val="99"/>
                <w:sz w:val="18"/>
              </w:rPr>
              <w:t>-</w:t>
            </w:r>
          </w:p>
        </w:tc>
        <w:tc>
          <w:tcPr>
            <w:tcW w:w="1057" w:type="dxa"/>
          </w:tcPr>
          <w:p w:rsidR="007C5447" w:rsidRDefault="00F6308C">
            <w:pPr>
              <w:pStyle w:val="TableParagraph"/>
              <w:spacing w:before="52"/>
              <w:ind w:right="95"/>
              <w:rPr>
                <w:sz w:val="18"/>
              </w:rPr>
            </w:pPr>
            <w:r>
              <w:rPr>
                <w:sz w:val="18"/>
              </w:rPr>
              <w:t>0.18</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0.28</w:t>
            </w:r>
          </w:p>
        </w:tc>
        <w:tc>
          <w:tcPr>
            <w:tcW w:w="1083" w:type="dxa"/>
          </w:tcPr>
          <w:p w:rsidR="007C5447" w:rsidRDefault="00F6308C">
            <w:pPr>
              <w:pStyle w:val="TableParagraph"/>
              <w:spacing w:before="52"/>
              <w:ind w:right="96"/>
              <w:rPr>
                <w:sz w:val="18"/>
              </w:rPr>
            </w:pPr>
            <w:r>
              <w:rPr>
                <w:sz w:val="18"/>
              </w:rPr>
              <w:t>249.81</w:t>
            </w:r>
          </w:p>
        </w:tc>
      </w:tr>
      <w:tr w:rsidR="007C5447">
        <w:trPr>
          <w:trHeight w:val="313"/>
        </w:trPr>
        <w:tc>
          <w:tcPr>
            <w:tcW w:w="703" w:type="dxa"/>
          </w:tcPr>
          <w:p w:rsidR="007C5447" w:rsidRDefault="00F6308C">
            <w:pPr>
              <w:pStyle w:val="TableParagraph"/>
              <w:spacing w:before="55"/>
              <w:ind w:left="107"/>
              <w:jc w:val="left"/>
              <w:rPr>
                <w:sz w:val="18"/>
              </w:rPr>
            </w:pPr>
            <w:r>
              <w:rPr>
                <w:sz w:val="18"/>
              </w:rPr>
              <w:t>12</w:t>
            </w:r>
          </w:p>
        </w:tc>
        <w:tc>
          <w:tcPr>
            <w:tcW w:w="1891" w:type="dxa"/>
          </w:tcPr>
          <w:p w:rsidR="007C5447" w:rsidRDefault="00F6308C">
            <w:pPr>
              <w:pStyle w:val="TableParagraph"/>
              <w:spacing w:before="55"/>
              <w:ind w:left="107"/>
              <w:jc w:val="left"/>
              <w:rPr>
                <w:sz w:val="18"/>
              </w:rPr>
            </w:pPr>
            <w:r>
              <w:rPr>
                <w:sz w:val="18"/>
              </w:rPr>
              <w:t>Erode HEP</w:t>
            </w:r>
          </w:p>
        </w:tc>
        <w:tc>
          <w:tcPr>
            <w:tcW w:w="1034" w:type="dxa"/>
          </w:tcPr>
          <w:p w:rsidR="007C5447" w:rsidRDefault="00F6308C">
            <w:pPr>
              <w:pStyle w:val="TableParagraph"/>
              <w:spacing w:before="55"/>
              <w:ind w:right="94"/>
              <w:rPr>
                <w:sz w:val="18"/>
              </w:rPr>
            </w:pPr>
            <w:r>
              <w:rPr>
                <w:sz w:val="18"/>
              </w:rPr>
              <w:t>26.56</w:t>
            </w:r>
          </w:p>
        </w:tc>
        <w:tc>
          <w:tcPr>
            <w:tcW w:w="1035" w:type="dxa"/>
          </w:tcPr>
          <w:p w:rsidR="007C5447" w:rsidRDefault="00F6308C">
            <w:pPr>
              <w:pStyle w:val="TableParagraph"/>
              <w:spacing w:before="55"/>
              <w:ind w:right="97"/>
              <w:rPr>
                <w:sz w:val="18"/>
              </w:rPr>
            </w:pPr>
            <w:r>
              <w:rPr>
                <w:sz w:val="18"/>
              </w:rPr>
              <w:t>204.98</w:t>
            </w:r>
          </w:p>
        </w:tc>
        <w:tc>
          <w:tcPr>
            <w:tcW w:w="1034" w:type="dxa"/>
          </w:tcPr>
          <w:p w:rsidR="007C5447" w:rsidRDefault="00F6308C">
            <w:pPr>
              <w:pStyle w:val="TableParagraph"/>
              <w:spacing w:before="55"/>
              <w:ind w:right="93"/>
              <w:rPr>
                <w:sz w:val="18"/>
              </w:rPr>
            </w:pPr>
            <w:r>
              <w:rPr>
                <w:sz w:val="18"/>
              </w:rPr>
              <w:t>10.61</w:t>
            </w:r>
          </w:p>
        </w:tc>
        <w:tc>
          <w:tcPr>
            <w:tcW w:w="1034" w:type="dxa"/>
          </w:tcPr>
          <w:p w:rsidR="007C5447" w:rsidRDefault="00F6308C">
            <w:pPr>
              <w:pStyle w:val="TableParagraph"/>
              <w:spacing w:before="55"/>
              <w:ind w:right="93"/>
              <w:rPr>
                <w:sz w:val="18"/>
              </w:rPr>
            </w:pPr>
            <w:r>
              <w:rPr>
                <w:sz w:val="18"/>
              </w:rPr>
              <w:t>62.14</w:t>
            </w:r>
          </w:p>
        </w:tc>
        <w:tc>
          <w:tcPr>
            <w:tcW w:w="1106" w:type="dxa"/>
          </w:tcPr>
          <w:p w:rsidR="007C5447" w:rsidRDefault="00F6308C">
            <w:pPr>
              <w:pStyle w:val="TableParagraph"/>
              <w:spacing w:before="55"/>
              <w:ind w:right="92"/>
              <w:rPr>
                <w:sz w:val="18"/>
              </w:rPr>
            </w:pPr>
            <w:r>
              <w:rPr>
                <w:sz w:val="18"/>
              </w:rPr>
              <w:t>31.79</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4.08</w:t>
            </w:r>
          </w:p>
        </w:tc>
        <w:tc>
          <w:tcPr>
            <w:tcW w:w="1056" w:type="dxa"/>
          </w:tcPr>
          <w:p w:rsidR="007C5447" w:rsidRDefault="00F6308C">
            <w:pPr>
              <w:pStyle w:val="TableParagraph"/>
              <w:spacing w:before="55"/>
              <w:ind w:right="95"/>
              <w:rPr>
                <w:sz w:val="18"/>
              </w:rPr>
            </w:pPr>
            <w:r>
              <w:rPr>
                <w:sz w:val="18"/>
              </w:rPr>
              <w:t>0.13</w:t>
            </w:r>
          </w:p>
        </w:tc>
        <w:tc>
          <w:tcPr>
            <w:tcW w:w="1057" w:type="dxa"/>
          </w:tcPr>
          <w:p w:rsidR="007C5447" w:rsidRDefault="00F6308C">
            <w:pPr>
              <w:pStyle w:val="TableParagraph"/>
              <w:spacing w:before="55"/>
              <w:ind w:right="95"/>
              <w:rPr>
                <w:sz w:val="18"/>
              </w:rPr>
            </w:pPr>
            <w:r>
              <w:rPr>
                <w:sz w:val="18"/>
              </w:rPr>
              <w:t>0.26</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1.02</w:t>
            </w:r>
          </w:p>
        </w:tc>
        <w:tc>
          <w:tcPr>
            <w:tcW w:w="1083" w:type="dxa"/>
          </w:tcPr>
          <w:p w:rsidR="007C5447" w:rsidRDefault="00F6308C">
            <w:pPr>
              <w:pStyle w:val="TableParagraph"/>
              <w:spacing w:before="55"/>
              <w:ind w:right="96"/>
              <w:rPr>
                <w:sz w:val="18"/>
              </w:rPr>
            </w:pPr>
            <w:r>
              <w:rPr>
                <w:sz w:val="18"/>
              </w:rPr>
              <w:t>341.06</w:t>
            </w:r>
          </w:p>
        </w:tc>
      </w:tr>
      <w:tr w:rsidR="007C5447">
        <w:trPr>
          <w:trHeight w:val="316"/>
        </w:trPr>
        <w:tc>
          <w:tcPr>
            <w:tcW w:w="703" w:type="dxa"/>
          </w:tcPr>
          <w:p w:rsidR="007C5447" w:rsidRDefault="00F6308C">
            <w:pPr>
              <w:pStyle w:val="TableParagraph"/>
              <w:spacing w:before="55"/>
              <w:ind w:left="107"/>
              <w:jc w:val="left"/>
              <w:rPr>
                <w:sz w:val="18"/>
              </w:rPr>
            </w:pPr>
            <w:r>
              <w:rPr>
                <w:sz w:val="18"/>
              </w:rPr>
              <w:t>13</w:t>
            </w:r>
          </w:p>
        </w:tc>
        <w:tc>
          <w:tcPr>
            <w:tcW w:w="1891" w:type="dxa"/>
          </w:tcPr>
          <w:p w:rsidR="007C5447" w:rsidRDefault="00F6308C">
            <w:pPr>
              <w:pStyle w:val="TableParagraph"/>
              <w:spacing w:before="55"/>
              <w:ind w:left="107"/>
              <w:jc w:val="left"/>
              <w:rPr>
                <w:sz w:val="18"/>
              </w:rPr>
            </w:pPr>
            <w:r>
              <w:rPr>
                <w:sz w:val="18"/>
              </w:rPr>
              <w:t>Kadamparai HEP</w:t>
            </w:r>
          </w:p>
        </w:tc>
        <w:tc>
          <w:tcPr>
            <w:tcW w:w="1034" w:type="dxa"/>
          </w:tcPr>
          <w:p w:rsidR="007C5447" w:rsidRDefault="00F6308C">
            <w:pPr>
              <w:pStyle w:val="TableParagraph"/>
              <w:spacing w:before="55"/>
              <w:ind w:right="94"/>
              <w:rPr>
                <w:sz w:val="18"/>
              </w:rPr>
            </w:pPr>
            <w:r>
              <w:rPr>
                <w:sz w:val="18"/>
              </w:rPr>
              <w:t>13.94</w:t>
            </w:r>
          </w:p>
        </w:tc>
        <w:tc>
          <w:tcPr>
            <w:tcW w:w="1035" w:type="dxa"/>
          </w:tcPr>
          <w:p w:rsidR="007C5447" w:rsidRDefault="00F6308C">
            <w:pPr>
              <w:pStyle w:val="TableParagraph"/>
              <w:spacing w:before="55"/>
              <w:ind w:right="97"/>
              <w:rPr>
                <w:sz w:val="18"/>
              </w:rPr>
            </w:pPr>
            <w:r>
              <w:rPr>
                <w:sz w:val="18"/>
              </w:rPr>
              <w:t>107.14</w:t>
            </w:r>
          </w:p>
        </w:tc>
        <w:tc>
          <w:tcPr>
            <w:tcW w:w="1034" w:type="dxa"/>
          </w:tcPr>
          <w:p w:rsidR="007C5447" w:rsidRDefault="00F6308C">
            <w:pPr>
              <w:pStyle w:val="TableParagraph"/>
              <w:spacing w:before="55"/>
              <w:ind w:right="96"/>
              <w:rPr>
                <w:sz w:val="18"/>
              </w:rPr>
            </w:pPr>
            <w:r>
              <w:rPr>
                <w:sz w:val="18"/>
              </w:rPr>
              <w:t>6.91</w:t>
            </w:r>
          </w:p>
        </w:tc>
        <w:tc>
          <w:tcPr>
            <w:tcW w:w="1034" w:type="dxa"/>
          </w:tcPr>
          <w:p w:rsidR="007C5447" w:rsidRDefault="00F6308C">
            <w:pPr>
              <w:pStyle w:val="TableParagraph"/>
              <w:spacing w:before="55"/>
              <w:ind w:right="93"/>
              <w:rPr>
                <w:sz w:val="18"/>
              </w:rPr>
            </w:pPr>
            <w:r>
              <w:rPr>
                <w:sz w:val="18"/>
              </w:rPr>
              <w:t>26.70</w:t>
            </w:r>
          </w:p>
        </w:tc>
        <w:tc>
          <w:tcPr>
            <w:tcW w:w="1106" w:type="dxa"/>
          </w:tcPr>
          <w:p w:rsidR="007C5447" w:rsidRDefault="00F6308C">
            <w:pPr>
              <w:pStyle w:val="TableParagraph"/>
              <w:spacing w:before="55"/>
              <w:ind w:right="92"/>
              <w:rPr>
                <w:sz w:val="18"/>
              </w:rPr>
            </w:pPr>
            <w:r>
              <w:rPr>
                <w:sz w:val="18"/>
              </w:rPr>
              <w:t>24.77</w:t>
            </w:r>
          </w:p>
        </w:tc>
        <w:tc>
          <w:tcPr>
            <w:tcW w:w="1056" w:type="dxa"/>
          </w:tcPr>
          <w:p w:rsidR="007C5447" w:rsidRDefault="00F6308C">
            <w:pPr>
              <w:pStyle w:val="TableParagraph"/>
              <w:spacing w:before="55"/>
              <w:ind w:right="95"/>
              <w:rPr>
                <w:sz w:val="18"/>
              </w:rPr>
            </w:pPr>
            <w:r>
              <w:rPr>
                <w:sz w:val="18"/>
              </w:rPr>
              <w:t>0.00</w:t>
            </w:r>
          </w:p>
        </w:tc>
        <w:tc>
          <w:tcPr>
            <w:tcW w:w="1056" w:type="dxa"/>
          </w:tcPr>
          <w:p w:rsidR="007C5447" w:rsidRDefault="00F6308C">
            <w:pPr>
              <w:pStyle w:val="TableParagraph"/>
              <w:spacing w:before="55"/>
              <w:ind w:right="95"/>
              <w:rPr>
                <w:sz w:val="18"/>
              </w:rPr>
            </w:pPr>
            <w:r>
              <w:rPr>
                <w:sz w:val="18"/>
              </w:rPr>
              <w:t>3.36</w:t>
            </w:r>
          </w:p>
        </w:tc>
        <w:tc>
          <w:tcPr>
            <w:tcW w:w="1056" w:type="dxa"/>
          </w:tcPr>
          <w:p w:rsidR="007C5447" w:rsidRDefault="00F6308C">
            <w:pPr>
              <w:pStyle w:val="TableParagraph"/>
              <w:spacing w:before="55"/>
              <w:ind w:right="95"/>
              <w:rPr>
                <w:sz w:val="18"/>
              </w:rPr>
            </w:pPr>
            <w:r>
              <w:rPr>
                <w:sz w:val="18"/>
              </w:rPr>
              <w:t>2.10</w:t>
            </w:r>
          </w:p>
        </w:tc>
        <w:tc>
          <w:tcPr>
            <w:tcW w:w="1057" w:type="dxa"/>
          </w:tcPr>
          <w:p w:rsidR="007C5447" w:rsidRDefault="00F6308C">
            <w:pPr>
              <w:pStyle w:val="TableParagraph"/>
              <w:spacing w:before="55"/>
              <w:ind w:right="95"/>
              <w:rPr>
                <w:sz w:val="18"/>
              </w:rPr>
            </w:pPr>
            <w:r>
              <w:rPr>
                <w:sz w:val="18"/>
              </w:rPr>
              <w:t>0.25</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0.66</w:t>
            </w:r>
          </w:p>
        </w:tc>
        <w:tc>
          <w:tcPr>
            <w:tcW w:w="1083" w:type="dxa"/>
          </w:tcPr>
          <w:p w:rsidR="007C5447" w:rsidRDefault="00F6308C">
            <w:pPr>
              <w:pStyle w:val="TableParagraph"/>
              <w:spacing w:before="55"/>
              <w:ind w:right="96"/>
              <w:rPr>
                <w:sz w:val="18"/>
              </w:rPr>
            </w:pPr>
            <w:r>
              <w:rPr>
                <w:sz w:val="18"/>
              </w:rPr>
              <w:t>185.33</w:t>
            </w:r>
          </w:p>
        </w:tc>
      </w:tr>
      <w:tr w:rsidR="007C5447">
        <w:trPr>
          <w:trHeight w:val="314"/>
        </w:trPr>
        <w:tc>
          <w:tcPr>
            <w:tcW w:w="703" w:type="dxa"/>
          </w:tcPr>
          <w:p w:rsidR="007C5447" w:rsidRDefault="00F6308C">
            <w:pPr>
              <w:pStyle w:val="TableParagraph"/>
              <w:spacing w:before="55"/>
              <w:ind w:left="107"/>
              <w:jc w:val="left"/>
              <w:rPr>
                <w:sz w:val="18"/>
              </w:rPr>
            </w:pPr>
            <w:r>
              <w:rPr>
                <w:sz w:val="18"/>
              </w:rPr>
              <w:t>14</w:t>
            </w:r>
          </w:p>
        </w:tc>
        <w:tc>
          <w:tcPr>
            <w:tcW w:w="1891" w:type="dxa"/>
          </w:tcPr>
          <w:p w:rsidR="007C5447" w:rsidRDefault="00F6308C">
            <w:pPr>
              <w:pStyle w:val="TableParagraph"/>
              <w:spacing w:before="55"/>
              <w:ind w:left="107"/>
              <w:jc w:val="left"/>
              <w:rPr>
                <w:sz w:val="18"/>
              </w:rPr>
            </w:pPr>
            <w:r>
              <w:rPr>
                <w:sz w:val="18"/>
              </w:rPr>
              <w:t>Kundah HEP</w:t>
            </w:r>
          </w:p>
        </w:tc>
        <w:tc>
          <w:tcPr>
            <w:tcW w:w="1034" w:type="dxa"/>
          </w:tcPr>
          <w:p w:rsidR="007C5447" w:rsidRDefault="00F6308C">
            <w:pPr>
              <w:pStyle w:val="TableParagraph"/>
              <w:spacing w:before="55"/>
              <w:ind w:right="94"/>
              <w:rPr>
                <w:sz w:val="18"/>
              </w:rPr>
            </w:pPr>
            <w:r>
              <w:rPr>
                <w:sz w:val="18"/>
              </w:rPr>
              <w:t>36.55</w:t>
            </w:r>
          </w:p>
        </w:tc>
        <w:tc>
          <w:tcPr>
            <w:tcW w:w="1035" w:type="dxa"/>
          </w:tcPr>
          <w:p w:rsidR="007C5447" w:rsidRDefault="00F6308C">
            <w:pPr>
              <w:pStyle w:val="TableParagraph"/>
              <w:spacing w:before="55"/>
              <w:ind w:right="97"/>
              <w:rPr>
                <w:sz w:val="18"/>
              </w:rPr>
            </w:pPr>
            <w:r>
              <w:rPr>
                <w:sz w:val="18"/>
              </w:rPr>
              <w:t>281.60</w:t>
            </w:r>
          </w:p>
        </w:tc>
        <w:tc>
          <w:tcPr>
            <w:tcW w:w="1034" w:type="dxa"/>
          </w:tcPr>
          <w:p w:rsidR="007C5447" w:rsidRDefault="00F6308C">
            <w:pPr>
              <w:pStyle w:val="TableParagraph"/>
              <w:spacing w:before="55"/>
              <w:ind w:right="93"/>
              <w:rPr>
                <w:sz w:val="18"/>
              </w:rPr>
            </w:pPr>
            <w:r>
              <w:rPr>
                <w:sz w:val="18"/>
              </w:rPr>
              <w:t>13.02</w:t>
            </w:r>
          </w:p>
        </w:tc>
        <w:tc>
          <w:tcPr>
            <w:tcW w:w="1034" w:type="dxa"/>
          </w:tcPr>
          <w:p w:rsidR="007C5447" w:rsidRDefault="00F6308C">
            <w:pPr>
              <w:pStyle w:val="TableParagraph"/>
              <w:spacing w:before="55"/>
              <w:ind w:right="93"/>
              <w:rPr>
                <w:sz w:val="18"/>
              </w:rPr>
            </w:pPr>
            <w:r>
              <w:rPr>
                <w:sz w:val="18"/>
              </w:rPr>
              <w:t>69.52</w:t>
            </w:r>
          </w:p>
        </w:tc>
        <w:tc>
          <w:tcPr>
            <w:tcW w:w="1106" w:type="dxa"/>
          </w:tcPr>
          <w:p w:rsidR="007C5447" w:rsidRDefault="00F6308C">
            <w:pPr>
              <w:pStyle w:val="TableParagraph"/>
              <w:spacing w:before="55"/>
              <w:ind w:right="92"/>
              <w:rPr>
                <w:sz w:val="18"/>
              </w:rPr>
            </w:pPr>
            <w:r>
              <w:rPr>
                <w:sz w:val="18"/>
              </w:rPr>
              <w:t>35.66</w:t>
            </w:r>
          </w:p>
        </w:tc>
        <w:tc>
          <w:tcPr>
            <w:tcW w:w="1056" w:type="dxa"/>
          </w:tcPr>
          <w:p w:rsidR="007C5447" w:rsidRDefault="00F6308C">
            <w:pPr>
              <w:pStyle w:val="TableParagraph"/>
              <w:spacing w:before="55"/>
              <w:ind w:right="95"/>
              <w:rPr>
                <w:sz w:val="18"/>
              </w:rPr>
            </w:pPr>
            <w:r>
              <w:rPr>
                <w:sz w:val="18"/>
              </w:rPr>
              <w:t>0.10</w:t>
            </w:r>
          </w:p>
        </w:tc>
        <w:tc>
          <w:tcPr>
            <w:tcW w:w="1056" w:type="dxa"/>
          </w:tcPr>
          <w:p w:rsidR="007C5447" w:rsidRDefault="00F6308C">
            <w:pPr>
              <w:pStyle w:val="TableParagraph"/>
              <w:spacing w:before="55"/>
              <w:ind w:right="95"/>
              <w:rPr>
                <w:sz w:val="18"/>
              </w:rPr>
            </w:pPr>
            <w:r>
              <w:rPr>
                <w:sz w:val="18"/>
              </w:rPr>
              <w:t>8.84</w:t>
            </w:r>
          </w:p>
        </w:tc>
        <w:tc>
          <w:tcPr>
            <w:tcW w:w="1056" w:type="dxa"/>
          </w:tcPr>
          <w:p w:rsidR="007C5447" w:rsidRDefault="00F6308C">
            <w:pPr>
              <w:pStyle w:val="TableParagraph"/>
              <w:spacing w:before="55"/>
              <w:ind w:right="95"/>
              <w:rPr>
                <w:sz w:val="18"/>
              </w:rPr>
            </w:pPr>
            <w:r>
              <w:rPr>
                <w:sz w:val="18"/>
              </w:rPr>
              <w:t>9.93</w:t>
            </w:r>
          </w:p>
        </w:tc>
        <w:tc>
          <w:tcPr>
            <w:tcW w:w="1057" w:type="dxa"/>
          </w:tcPr>
          <w:p w:rsidR="007C5447" w:rsidRDefault="00F6308C">
            <w:pPr>
              <w:pStyle w:val="TableParagraph"/>
              <w:spacing w:before="55"/>
              <w:ind w:right="95"/>
              <w:rPr>
                <w:sz w:val="18"/>
              </w:rPr>
            </w:pPr>
            <w:r>
              <w:rPr>
                <w:sz w:val="18"/>
              </w:rPr>
              <w:t>0.89</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1.34</w:t>
            </w:r>
          </w:p>
        </w:tc>
        <w:tc>
          <w:tcPr>
            <w:tcW w:w="1083" w:type="dxa"/>
          </w:tcPr>
          <w:p w:rsidR="007C5447" w:rsidRDefault="00F6308C">
            <w:pPr>
              <w:pStyle w:val="TableParagraph"/>
              <w:spacing w:before="55"/>
              <w:ind w:right="96"/>
              <w:rPr>
                <w:sz w:val="18"/>
              </w:rPr>
            </w:pPr>
            <w:r>
              <w:rPr>
                <w:sz w:val="18"/>
              </w:rPr>
              <w:t>455.66</w:t>
            </w:r>
          </w:p>
        </w:tc>
      </w:tr>
      <w:tr w:rsidR="007C5447">
        <w:trPr>
          <w:trHeight w:val="316"/>
        </w:trPr>
        <w:tc>
          <w:tcPr>
            <w:tcW w:w="703" w:type="dxa"/>
          </w:tcPr>
          <w:p w:rsidR="007C5447" w:rsidRDefault="00F6308C">
            <w:pPr>
              <w:pStyle w:val="TableParagraph"/>
              <w:spacing w:before="55"/>
              <w:ind w:left="107"/>
              <w:jc w:val="left"/>
              <w:rPr>
                <w:sz w:val="18"/>
              </w:rPr>
            </w:pPr>
            <w:r>
              <w:rPr>
                <w:sz w:val="18"/>
              </w:rPr>
              <w:t>15</w:t>
            </w:r>
          </w:p>
        </w:tc>
        <w:tc>
          <w:tcPr>
            <w:tcW w:w="1891" w:type="dxa"/>
          </w:tcPr>
          <w:p w:rsidR="007C5447" w:rsidRDefault="00F6308C">
            <w:pPr>
              <w:pStyle w:val="TableParagraph"/>
              <w:spacing w:before="55"/>
              <w:ind w:left="107"/>
              <w:jc w:val="left"/>
              <w:rPr>
                <w:sz w:val="18"/>
              </w:rPr>
            </w:pPr>
            <w:r>
              <w:rPr>
                <w:sz w:val="18"/>
              </w:rPr>
              <w:t>Tirunelveli HEP</w:t>
            </w:r>
          </w:p>
        </w:tc>
        <w:tc>
          <w:tcPr>
            <w:tcW w:w="1034" w:type="dxa"/>
          </w:tcPr>
          <w:p w:rsidR="007C5447" w:rsidRDefault="00F6308C">
            <w:pPr>
              <w:pStyle w:val="TableParagraph"/>
              <w:spacing w:before="55"/>
              <w:ind w:right="94"/>
              <w:rPr>
                <w:sz w:val="18"/>
              </w:rPr>
            </w:pPr>
            <w:r>
              <w:rPr>
                <w:sz w:val="18"/>
              </w:rPr>
              <w:t>15.04</w:t>
            </w:r>
          </w:p>
        </w:tc>
        <w:tc>
          <w:tcPr>
            <w:tcW w:w="1035" w:type="dxa"/>
          </w:tcPr>
          <w:p w:rsidR="007C5447" w:rsidRDefault="00F6308C">
            <w:pPr>
              <w:pStyle w:val="TableParagraph"/>
              <w:spacing w:before="55"/>
              <w:ind w:right="97"/>
              <w:rPr>
                <w:sz w:val="18"/>
              </w:rPr>
            </w:pPr>
            <w:r>
              <w:rPr>
                <w:sz w:val="18"/>
              </w:rPr>
              <w:t>113.08</w:t>
            </w:r>
          </w:p>
        </w:tc>
        <w:tc>
          <w:tcPr>
            <w:tcW w:w="1034" w:type="dxa"/>
          </w:tcPr>
          <w:p w:rsidR="007C5447" w:rsidRDefault="00F6308C">
            <w:pPr>
              <w:pStyle w:val="TableParagraph"/>
              <w:spacing w:before="55"/>
              <w:ind w:right="96"/>
              <w:rPr>
                <w:sz w:val="18"/>
              </w:rPr>
            </w:pPr>
            <w:r>
              <w:rPr>
                <w:sz w:val="18"/>
              </w:rPr>
              <w:t>5.67</w:t>
            </w:r>
          </w:p>
        </w:tc>
        <w:tc>
          <w:tcPr>
            <w:tcW w:w="1034" w:type="dxa"/>
          </w:tcPr>
          <w:p w:rsidR="007C5447" w:rsidRDefault="00F6308C">
            <w:pPr>
              <w:pStyle w:val="TableParagraph"/>
              <w:spacing w:before="55"/>
              <w:ind w:right="93"/>
              <w:rPr>
                <w:sz w:val="18"/>
              </w:rPr>
            </w:pPr>
            <w:r>
              <w:rPr>
                <w:sz w:val="18"/>
              </w:rPr>
              <w:t>29.11</w:t>
            </w:r>
          </w:p>
        </w:tc>
        <w:tc>
          <w:tcPr>
            <w:tcW w:w="1106" w:type="dxa"/>
          </w:tcPr>
          <w:p w:rsidR="007C5447" w:rsidRDefault="00F6308C">
            <w:pPr>
              <w:pStyle w:val="TableParagraph"/>
              <w:spacing w:before="55"/>
              <w:ind w:right="92"/>
              <w:rPr>
                <w:sz w:val="18"/>
              </w:rPr>
            </w:pPr>
            <w:r>
              <w:rPr>
                <w:sz w:val="18"/>
              </w:rPr>
              <w:t>29.52</w:t>
            </w:r>
          </w:p>
        </w:tc>
        <w:tc>
          <w:tcPr>
            <w:tcW w:w="1056" w:type="dxa"/>
          </w:tcPr>
          <w:p w:rsidR="007C5447" w:rsidRDefault="00F6308C">
            <w:pPr>
              <w:pStyle w:val="TableParagraph"/>
              <w:spacing w:before="55"/>
              <w:ind w:right="95"/>
              <w:rPr>
                <w:sz w:val="18"/>
              </w:rPr>
            </w:pPr>
            <w:r>
              <w:rPr>
                <w:sz w:val="18"/>
              </w:rPr>
              <w:t>0.00</w:t>
            </w:r>
          </w:p>
        </w:tc>
        <w:tc>
          <w:tcPr>
            <w:tcW w:w="1056" w:type="dxa"/>
          </w:tcPr>
          <w:p w:rsidR="007C5447" w:rsidRDefault="00F6308C">
            <w:pPr>
              <w:pStyle w:val="TableParagraph"/>
              <w:spacing w:before="55"/>
              <w:ind w:right="95"/>
              <w:rPr>
                <w:sz w:val="18"/>
              </w:rPr>
            </w:pPr>
            <w:r>
              <w:rPr>
                <w:sz w:val="18"/>
              </w:rPr>
              <w:t>4.03</w:t>
            </w:r>
          </w:p>
        </w:tc>
        <w:tc>
          <w:tcPr>
            <w:tcW w:w="1056" w:type="dxa"/>
          </w:tcPr>
          <w:p w:rsidR="007C5447" w:rsidRDefault="00F6308C">
            <w:pPr>
              <w:pStyle w:val="TableParagraph"/>
              <w:spacing w:before="55"/>
              <w:ind w:right="95"/>
              <w:rPr>
                <w:sz w:val="18"/>
              </w:rPr>
            </w:pPr>
            <w:r>
              <w:rPr>
                <w:sz w:val="18"/>
              </w:rPr>
              <w:t>3.11</w:t>
            </w:r>
          </w:p>
        </w:tc>
        <w:tc>
          <w:tcPr>
            <w:tcW w:w="1057" w:type="dxa"/>
          </w:tcPr>
          <w:p w:rsidR="007C5447" w:rsidRDefault="00F6308C">
            <w:pPr>
              <w:pStyle w:val="TableParagraph"/>
              <w:spacing w:before="55"/>
              <w:ind w:right="95"/>
              <w:rPr>
                <w:sz w:val="18"/>
              </w:rPr>
            </w:pPr>
            <w:r>
              <w:rPr>
                <w:sz w:val="18"/>
              </w:rPr>
              <w:t>1.38</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0.97</w:t>
            </w:r>
          </w:p>
        </w:tc>
        <w:tc>
          <w:tcPr>
            <w:tcW w:w="1083" w:type="dxa"/>
          </w:tcPr>
          <w:p w:rsidR="007C5447" w:rsidRDefault="00F6308C">
            <w:pPr>
              <w:pStyle w:val="TableParagraph"/>
              <w:spacing w:before="55"/>
              <w:ind w:right="96"/>
              <w:rPr>
                <w:sz w:val="18"/>
              </w:rPr>
            </w:pPr>
            <w:r>
              <w:rPr>
                <w:sz w:val="18"/>
              </w:rPr>
              <w:t>199.16</w:t>
            </w:r>
          </w:p>
        </w:tc>
      </w:tr>
      <w:tr w:rsidR="007C5447">
        <w:trPr>
          <w:trHeight w:val="314"/>
        </w:trPr>
        <w:tc>
          <w:tcPr>
            <w:tcW w:w="703" w:type="dxa"/>
          </w:tcPr>
          <w:p w:rsidR="007C5447" w:rsidRDefault="00F6308C">
            <w:pPr>
              <w:pStyle w:val="TableParagraph"/>
              <w:spacing w:before="52"/>
              <w:ind w:left="107"/>
              <w:jc w:val="left"/>
              <w:rPr>
                <w:sz w:val="18"/>
              </w:rPr>
            </w:pPr>
            <w:r>
              <w:rPr>
                <w:sz w:val="18"/>
              </w:rPr>
              <w:t>16</w:t>
            </w:r>
          </w:p>
        </w:tc>
        <w:tc>
          <w:tcPr>
            <w:tcW w:w="1891" w:type="dxa"/>
          </w:tcPr>
          <w:p w:rsidR="007C5447" w:rsidRDefault="00F6308C">
            <w:pPr>
              <w:pStyle w:val="TableParagraph"/>
              <w:spacing w:before="52"/>
              <w:ind w:left="107"/>
              <w:jc w:val="left"/>
              <w:rPr>
                <w:b/>
                <w:sz w:val="18"/>
              </w:rPr>
            </w:pPr>
            <w:r>
              <w:rPr>
                <w:b/>
                <w:sz w:val="18"/>
              </w:rPr>
              <w:t>Total Generation</w:t>
            </w:r>
          </w:p>
        </w:tc>
        <w:tc>
          <w:tcPr>
            <w:tcW w:w="1034" w:type="dxa"/>
          </w:tcPr>
          <w:p w:rsidR="007C5447" w:rsidRDefault="00F6308C">
            <w:pPr>
              <w:pStyle w:val="TableParagraph"/>
              <w:spacing w:before="52"/>
              <w:ind w:right="96"/>
              <w:rPr>
                <w:b/>
                <w:sz w:val="18"/>
              </w:rPr>
            </w:pPr>
            <w:r>
              <w:rPr>
                <w:b/>
                <w:sz w:val="18"/>
              </w:rPr>
              <w:t>395.75</w:t>
            </w:r>
          </w:p>
        </w:tc>
        <w:tc>
          <w:tcPr>
            <w:tcW w:w="1035" w:type="dxa"/>
          </w:tcPr>
          <w:p w:rsidR="007C5447" w:rsidRDefault="00F6308C">
            <w:pPr>
              <w:pStyle w:val="TableParagraph"/>
              <w:spacing w:before="52"/>
              <w:ind w:right="97"/>
              <w:rPr>
                <w:b/>
                <w:sz w:val="18"/>
              </w:rPr>
            </w:pPr>
            <w:r>
              <w:rPr>
                <w:b/>
                <w:sz w:val="18"/>
              </w:rPr>
              <w:t>3,037.88</w:t>
            </w:r>
          </w:p>
        </w:tc>
        <w:tc>
          <w:tcPr>
            <w:tcW w:w="1034" w:type="dxa"/>
          </w:tcPr>
          <w:p w:rsidR="007C5447" w:rsidRDefault="00F6308C">
            <w:pPr>
              <w:pStyle w:val="TableParagraph"/>
              <w:spacing w:before="52"/>
              <w:ind w:right="96"/>
              <w:rPr>
                <w:b/>
                <w:sz w:val="18"/>
              </w:rPr>
            </w:pPr>
            <w:r>
              <w:rPr>
                <w:b/>
                <w:sz w:val="18"/>
              </w:rPr>
              <w:t>499.87</w:t>
            </w:r>
          </w:p>
        </w:tc>
        <w:tc>
          <w:tcPr>
            <w:tcW w:w="1034" w:type="dxa"/>
          </w:tcPr>
          <w:p w:rsidR="007C5447" w:rsidRDefault="00F6308C">
            <w:pPr>
              <w:pStyle w:val="TableParagraph"/>
              <w:spacing w:before="52"/>
              <w:ind w:right="97"/>
              <w:rPr>
                <w:b/>
                <w:sz w:val="18"/>
              </w:rPr>
            </w:pPr>
            <w:r>
              <w:rPr>
                <w:b/>
                <w:sz w:val="18"/>
              </w:rPr>
              <w:t>773.82</w:t>
            </w:r>
          </w:p>
        </w:tc>
        <w:tc>
          <w:tcPr>
            <w:tcW w:w="1106" w:type="dxa"/>
          </w:tcPr>
          <w:p w:rsidR="007C5447" w:rsidRDefault="00F6308C">
            <w:pPr>
              <w:pStyle w:val="TableParagraph"/>
              <w:spacing w:before="52"/>
              <w:ind w:right="95"/>
              <w:rPr>
                <w:b/>
                <w:sz w:val="18"/>
              </w:rPr>
            </w:pPr>
            <w:r>
              <w:rPr>
                <w:b/>
                <w:sz w:val="18"/>
              </w:rPr>
              <w:t>969.23</w:t>
            </w:r>
          </w:p>
        </w:tc>
        <w:tc>
          <w:tcPr>
            <w:tcW w:w="1056" w:type="dxa"/>
          </w:tcPr>
          <w:p w:rsidR="007C5447" w:rsidRDefault="00F6308C">
            <w:pPr>
              <w:pStyle w:val="TableParagraph"/>
              <w:spacing w:before="52"/>
              <w:ind w:right="95"/>
              <w:rPr>
                <w:b/>
                <w:sz w:val="18"/>
              </w:rPr>
            </w:pPr>
            <w:r>
              <w:rPr>
                <w:b/>
                <w:sz w:val="18"/>
              </w:rPr>
              <w:t>0.22</w:t>
            </w:r>
          </w:p>
        </w:tc>
        <w:tc>
          <w:tcPr>
            <w:tcW w:w="1056" w:type="dxa"/>
          </w:tcPr>
          <w:p w:rsidR="007C5447" w:rsidRDefault="00F6308C">
            <w:pPr>
              <w:pStyle w:val="TableParagraph"/>
              <w:spacing w:before="52"/>
              <w:ind w:right="95"/>
              <w:rPr>
                <w:b/>
                <w:sz w:val="18"/>
              </w:rPr>
            </w:pPr>
            <w:r>
              <w:rPr>
                <w:b/>
                <w:sz w:val="18"/>
              </w:rPr>
              <w:t>320.57</w:t>
            </w:r>
          </w:p>
        </w:tc>
        <w:tc>
          <w:tcPr>
            <w:tcW w:w="1056" w:type="dxa"/>
          </w:tcPr>
          <w:p w:rsidR="007C5447" w:rsidRDefault="00F6308C">
            <w:pPr>
              <w:pStyle w:val="TableParagraph"/>
              <w:spacing w:before="52"/>
              <w:ind w:right="92"/>
              <w:rPr>
                <w:b/>
                <w:sz w:val="18"/>
              </w:rPr>
            </w:pPr>
            <w:r>
              <w:rPr>
                <w:b/>
                <w:sz w:val="18"/>
              </w:rPr>
              <w:t>94.83</w:t>
            </w:r>
          </w:p>
        </w:tc>
        <w:tc>
          <w:tcPr>
            <w:tcW w:w="1057" w:type="dxa"/>
          </w:tcPr>
          <w:p w:rsidR="007C5447" w:rsidRDefault="00F6308C">
            <w:pPr>
              <w:pStyle w:val="TableParagraph"/>
              <w:spacing w:before="52"/>
              <w:ind w:right="96"/>
              <w:rPr>
                <w:b/>
                <w:sz w:val="18"/>
              </w:rPr>
            </w:pPr>
            <w:r>
              <w:rPr>
                <w:b/>
                <w:sz w:val="18"/>
              </w:rPr>
              <w:t>155.09</w:t>
            </w:r>
          </w:p>
        </w:tc>
        <w:tc>
          <w:tcPr>
            <w:tcW w:w="1056" w:type="dxa"/>
          </w:tcPr>
          <w:p w:rsidR="007C5447" w:rsidRDefault="00F6308C">
            <w:pPr>
              <w:pStyle w:val="TableParagraph"/>
              <w:spacing w:before="52"/>
              <w:ind w:right="93"/>
              <w:rPr>
                <w:b/>
                <w:sz w:val="18"/>
              </w:rPr>
            </w:pPr>
            <w:r>
              <w:rPr>
                <w:b/>
                <w:w w:val="99"/>
                <w:sz w:val="18"/>
              </w:rPr>
              <w:t>-</w:t>
            </w:r>
          </w:p>
        </w:tc>
        <w:tc>
          <w:tcPr>
            <w:tcW w:w="1056" w:type="dxa"/>
          </w:tcPr>
          <w:p w:rsidR="007C5447" w:rsidRDefault="00F6308C">
            <w:pPr>
              <w:pStyle w:val="TableParagraph"/>
              <w:spacing w:before="52"/>
              <w:ind w:right="92"/>
              <w:rPr>
                <w:b/>
                <w:sz w:val="18"/>
              </w:rPr>
            </w:pPr>
            <w:r>
              <w:rPr>
                <w:b/>
                <w:sz w:val="18"/>
              </w:rPr>
              <w:t>18.89</w:t>
            </w:r>
          </w:p>
        </w:tc>
        <w:tc>
          <w:tcPr>
            <w:tcW w:w="1083" w:type="dxa"/>
          </w:tcPr>
          <w:p w:rsidR="007C5447" w:rsidRDefault="00F6308C">
            <w:pPr>
              <w:pStyle w:val="TableParagraph"/>
              <w:spacing w:before="52"/>
              <w:ind w:right="96"/>
              <w:rPr>
                <w:b/>
                <w:sz w:val="18"/>
              </w:rPr>
            </w:pPr>
            <w:r>
              <w:rPr>
                <w:b/>
                <w:sz w:val="18"/>
              </w:rPr>
              <w:t>5,955.97</w:t>
            </w:r>
          </w:p>
        </w:tc>
      </w:tr>
      <w:tr w:rsidR="007C5447">
        <w:trPr>
          <w:trHeight w:val="316"/>
        </w:trPr>
        <w:tc>
          <w:tcPr>
            <w:tcW w:w="703" w:type="dxa"/>
          </w:tcPr>
          <w:p w:rsidR="007C5447" w:rsidRDefault="00F6308C">
            <w:pPr>
              <w:pStyle w:val="TableParagraph"/>
              <w:spacing w:before="55"/>
              <w:ind w:left="107"/>
              <w:jc w:val="left"/>
              <w:rPr>
                <w:sz w:val="18"/>
              </w:rPr>
            </w:pPr>
            <w:r>
              <w:rPr>
                <w:sz w:val="18"/>
              </w:rPr>
              <w:t>17</w:t>
            </w:r>
          </w:p>
        </w:tc>
        <w:tc>
          <w:tcPr>
            <w:tcW w:w="1891" w:type="dxa"/>
          </w:tcPr>
          <w:p w:rsidR="007C5447" w:rsidRDefault="00F6308C">
            <w:pPr>
              <w:pStyle w:val="TableParagraph"/>
              <w:spacing w:before="55"/>
              <w:ind w:left="107"/>
              <w:jc w:val="left"/>
              <w:rPr>
                <w:b/>
                <w:sz w:val="18"/>
              </w:rPr>
            </w:pPr>
            <w:r>
              <w:rPr>
                <w:b/>
                <w:sz w:val="18"/>
              </w:rPr>
              <w:t>Distribution</w:t>
            </w:r>
          </w:p>
        </w:tc>
        <w:tc>
          <w:tcPr>
            <w:tcW w:w="1034" w:type="dxa"/>
          </w:tcPr>
          <w:p w:rsidR="007C5447" w:rsidRDefault="00F6308C">
            <w:pPr>
              <w:pStyle w:val="TableParagraph"/>
              <w:spacing w:before="55"/>
              <w:ind w:right="96"/>
              <w:rPr>
                <w:b/>
                <w:sz w:val="18"/>
              </w:rPr>
            </w:pPr>
            <w:r>
              <w:rPr>
                <w:b/>
                <w:sz w:val="18"/>
              </w:rPr>
              <w:t>327.15</w:t>
            </w:r>
          </w:p>
        </w:tc>
        <w:tc>
          <w:tcPr>
            <w:tcW w:w="1035" w:type="dxa"/>
          </w:tcPr>
          <w:p w:rsidR="007C5447" w:rsidRDefault="00F6308C">
            <w:pPr>
              <w:pStyle w:val="TableParagraph"/>
              <w:spacing w:before="55"/>
              <w:ind w:right="97"/>
              <w:rPr>
                <w:b/>
                <w:sz w:val="18"/>
              </w:rPr>
            </w:pPr>
            <w:r>
              <w:rPr>
                <w:b/>
                <w:sz w:val="18"/>
              </w:rPr>
              <w:t>2,385.94</w:t>
            </w:r>
          </w:p>
        </w:tc>
        <w:tc>
          <w:tcPr>
            <w:tcW w:w="1034" w:type="dxa"/>
          </w:tcPr>
          <w:p w:rsidR="007C5447" w:rsidRDefault="00F6308C">
            <w:pPr>
              <w:pStyle w:val="TableParagraph"/>
              <w:spacing w:before="55"/>
              <w:ind w:right="94"/>
              <w:rPr>
                <w:b/>
                <w:sz w:val="18"/>
              </w:rPr>
            </w:pPr>
            <w:r>
              <w:rPr>
                <w:b/>
                <w:w w:val="99"/>
                <w:sz w:val="18"/>
              </w:rPr>
              <w:t>-</w:t>
            </w:r>
          </w:p>
        </w:tc>
        <w:tc>
          <w:tcPr>
            <w:tcW w:w="1034" w:type="dxa"/>
          </w:tcPr>
          <w:p w:rsidR="007C5447" w:rsidRDefault="00F6308C">
            <w:pPr>
              <w:pStyle w:val="TableParagraph"/>
              <w:spacing w:before="55"/>
              <w:ind w:right="97"/>
              <w:rPr>
                <w:b/>
                <w:sz w:val="18"/>
              </w:rPr>
            </w:pPr>
            <w:r>
              <w:rPr>
                <w:b/>
                <w:sz w:val="18"/>
              </w:rPr>
              <w:t>600.44</w:t>
            </w:r>
          </w:p>
        </w:tc>
        <w:tc>
          <w:tcPr>
            <w:tcW w:w="1106" w:type="dxa"/>
          </w:tcPr>
          <w:p w:rsidR="007C5447" w:rsidRDefault="00F6308C">
            <w:pPr>
              <w:pStyle w:val="TableParagraph"/>
              <w:spacing w:before="55"/>
              <w:ind w:right="95"/>
              <w:rPr>
                <w:b/>
                <w:sz w:val="18"/>
              </w:rPr>
            </w:pPr>
            <w:r>
              <w:rPr>
                <w:b/>
                <w:sz w:val="18"/>
              </w:rPr>
              <w:t>3,970.93</w:t>
            </w:r>
          </w:p>
        </w:tc>
        <w:tc>
          <w:tcPr>
            <w:tcW w:w="1056" w:type="dxa"/>
          </w:tcPr>
          <w:p w:rsidR="007C5447" w:rsidRDefault="00F6308C">
            <w:pPr>
              <w:pStyle w:val="TableParagraph"/>
              <w:spacing w:before="55"/>
              <w:ind w:right="92"/>
              <w:rPr>
                <w:b/>
                <w:sz w:val="18"/>
              </w:rPr>
            </w:pPr>
            <w:r>
              <w:rPr>
                <w:b/>
                <w:sz w:val="18"/>
              </w:rPr>
              <w:t>21.70</w:t>
            </w:r>
          </w:p>
        </w:tc>
        <w:tc>
          <w:tcPr>
            <w:tcW w:w="1056" w:type="dxa"/>
          </w:tcPr>
          <w:p w:rsidR="007C5447" w:rsidRDefault="00F6308C">
            <w:pPr>
              <w:pStyle w:val="TableParagraph"/>
              <w:spacing w:before="55"/>
              <w:ind w:right="91"/>
              <w:rPr>
                <w:b/>
                <w:sz w:val="18"/>
              </w:rPr>
            </w:pPr>
            <w:r>
              <w:rPr>
                <w:b/>
                <w:sz w:val="18"/>
              </w:rPr>
              <w:t>(284.26)</w:t>
            </w:r>
          </w:p>
        </w:tc>
        <w:tc>
          <w:tcPr>
            <w:tcW w:w="1056" w:type="dxa"/>
          </w:tcPr>
          <w:p w:rsidR="007C5447" w:rsidRDefault="00F6308C">
            <w:pPr>
              <w:pStyle w:val="TableParagraph"/>
              <w:spacing w:before="55"/>
              <w:ind w:right="95"/>
              <w:rPr>
                <w:b/>
                <w:sz w:val="18"/>
              </w:rPr>
            </w:pPr>
            <w:r>
              <w:rPr>
                <w:b/>
                <w:sz w:val="18"/>
              </w:rPr>
              <w:t>0.08</w:t>
            </w:r>
          </w:p>
        </w:tc>
        <w:tc>
          <w:tcPr>
            <w:tcW w:w="1057" w:type="dxa"/>
          </w:tcPr>
          <w:p w:rsidR="007C5447" w:rsidRDefault="00F6308C">
            <w:pPr>
              <w:pStyle w:val="TableParagraph"/>
              <w:spacing w:before="55"/>
              <w:ind w:right="96"/>
              <w:rPr>
                <w:b/>
                <w:sz w:val="18"/>
              </w:rPr>
            </w:pPr>
            <w:r>
              <w:rPr>
                <w:b/>
                <w:sz w:val="18"/>
              </w:rPr>
              <w:t>229.61</w:t>
            </w:r>
          </w:p>
        </w:tc>
        <w:tc>
          <w:tcPr>
            <w:tcW w:w="1056" w:type="dxa"/>
          </w:tcPr>
          <w:p w:rsidR="007C5447" w:rsidRDefault="00F6308C">
            <w:pPr>
              <w:pStyle w:val="TableParagraph"/>
              <w:spacing w:before="55"/>
              <w:ind w:right="95"/>
              <w:rPr>
                <w:b/>
                <w:sz w:val="18"/>
              </w:rPr>
            </w:pPr>
            <w:r>
              <w:rPr>
                <w:b/>
                <w:sz w:val="18"/>
              </w:rPr>
              <w:t>822.16</w:t>
            </w:r>
          </w:p>
        </w:tc>
        <w:tc>
          <w:tcPr>
            <w:tcW w:w="1056" w:type="dxa"/>
          </w:tcPr>
          <w:p w:rsidR="007C5447" w:rsidRDefault="00F6308C">
            <w:pPr>
              <w:pStyle w:val="TableParagraph"/>
              <w:spacing w:before="55"/>
              <w:ind w:right="95"/>
              <w:rPr>
                <w:b/>
                <w:sz w:val="18"/>
              </w:rPr>
            </w:pPr>
            <w:r>
              <w:rPr>
                <w:b/>
                <w:sz w:val="18"/>
              </w:rPr>
              <w:t>965.35</w:t>
            </w:r>
          </w:p>
        </w:tc>
        <w:tc>
          <w:tcPr>
            <w:tcW w:w="1083" w:type="dxa"/>
          </w:tcPr>
          <w:p w:rsidR="007C5447" w:rsidRDefault="00F6308C">
            <w:pPr>
              <w:pStyle w:val="TableParagraph"/>
              <w:spacing w:before="55"/>
              <w:ind w:right="96"/>
              <w:rPr>
                <w:b/>
                <w:sz w:val="18"/>
              </w:rPr>
            </w:pPr>
            <w:r>
              <w:rPr>
                <w:b/>
                <w:sz w:val="18"/>
              </w:rPr>
              <w:t>6,935.58</w:t>
            </w:r>
          </w:p>
        </w:tc>
      </w:tr>
      <w:tr w:rsidR="007C5447">
        <w:trPr>
          <w:trHeight w:val="313"/>
        </w:trPr>
        <w:tc>
          <w:tcPr>
            <w:tcW w:w="703" w:type="dxa"/>
          </w:tcPr>
          <w:p w:rsidR="007C5447" w:rsidRDefault="00F6308C">
            <w:pPr>
              <w:pStyle w:val="TableParagraph"/>
              <w:spacing w:before="52"/>
              <w:ind w:left="107"/>
              <w:jc w:val="left"/>
              <w:rPr>
                <w:sz w:val="18"/>
              </w:rPr>
            </w:pPr>
            <w:r>
              <w:rPr>
                <w:sz w:val="18"/>
              </w:rPr>
              <w:t>18</w:t>
            </w:r>
          </w:p>
        </w:tc>
        <w:tc>
          <w:tcPr>
            <w:tcW w:w="1891" w:type="dxa"/>
          </w:tcPr>
          <w:p w:rsidR="007C5447" w:rsidRDefault="00F6308C">
            <w:pPr>
              <w:pStyle w:val="TableParagraph"/>
              <w:spacing w:before="52"/>
              <w:ind w:left="107"/>
              <w:jc w:val="left"/>
              <w:rPr>
                <w:b/>
                <w:sz w:val="18"/>
              </w:rPr>
            </w:pPr>
            <w:r>
              <w:rPr>
                <w:b/>
                <w:sz w:val="18"/>
              </w:rPr>
              <w:t>Total TANGEDCO</w:t>
            </w:r>
          </w:p>
        </w:tc>
        <w:tc>
          <w:tcPr>
            <w:tcW w:w="1034" w:type="dxa"/>
          </w:tcPr>
          <w:p w:rsidR="007C5447" w:rsidRDefault="00F6308C">
            <w:pPr>
              <w:pStyle w:val="TableParagraph"/>
              <w:spacing w:before="52"/>
              <w:ind w:right="96"/>
              <w:rPr>
                <w:b/>
                <w:sz w:val="18"/>
              </w:rPr>
            </w:pPr>
            <w:r>
              <w:rPr>
                <w:b/>
                <w:sz w:val="18"/>
              </w:rPr>
              <w:t>722.90</w:t>
            </w:r>
          </w:p>
        </w:tc>
        <w:tc>
          <w:tcPr>
            <w:tcW w:w="1035" w:type="dxa"/>
          </w:tcPr>
          <w:p w:rsidR="007C5447" w:rsidRDefault="00F6308C">
            <w:pPr>
              <w:pStyle w:val="TableParagraph"/>
              <w:spacing w:before="52"/>
              <w:ind w:right="97"/>
              <w:rPr>
                <w:b/>
                <w:sz w:val="18"/>
              </w:rPr>
            </w:pPr>
            <w:r>
              <w:rPr>
                <w:b/>
                <w:sz w:val="18"/>
              </w:rPr>
              <w:t>5,423.82</w:t>
            </w:r>
          </w:p>
        </w:tc>
        <w:tc>
          <w:tcPr>
            <w:tcW w:w="1034" w:type="dxa"/>
          </w:tcPr>
          <w:p w:rsidR="007C5447" w:rsidRDefault="00F6308C">
            <w:pPr>
              <w:pStyle w:val="TableParagraph"/>
              <w:spacing w:before="52"/>
              <w:ind w:right="96"/>
              <w:rPr>
                <w:b/>
                <w:sz w:val="18"/>
              </w:rPr>
            </w:pPr>
            <w:r>
              <w:rPr>
                <w:b/>
                <w:sz w:val="18"/>
              </w:rPr>
              <w:t>499.87</w:t>
            </w:r>
          </w:p>
        </w:tc>
        <w:tc>
          <w:tcPr>
            <w:tcW w:w="1034" w:type="dxa"/>
          </w:tcPr>
          <w:p w:rsidR="007C5447" w:rsidRDefault="00F6308C">
            <w:pPr>
              <w:pStyle w:val="TableParagraph"/>
              <w:spacing w:before="52"/>
              <w:ind w:right="96"/>
              <w:rPr>
                <w:b/>
                <w:sz w:val="18"/>
              </w:rPr>
            </w:pPr>
            <w:r>
              <w:rPr>
                <w:b/>
                <w:sz w:val="18"/>
              </w:rPr>
              <w:t>1,374.26</w:t>
            </w:r>
          </w:p>
        </w:tc>
        <w:tc>
          <w:tcPr>
            <w:tcW w:w="1106" w:type="dxa"/>
          </w:tcPr>
          <w:p w:rsidR="007C5447" w:rsidRDefault="00F6308C">
            <w:pPr>
              <w:pStyle w:val="TableParagraph"/>
              <w:spacing w:before="52"/>
              <w:ind w:right="95"/>
              <w:rPr>
                <w:b/>
                <w:sz w:val="18"/>
              </w:rPr>
            </w:pPr>
            <w:r>
              <w:rPr>
                <w:b/>
                <w:sz w:val="18"/>
              </w:rPr>
              <w:t>4,940.17</w:t>
            </w:r>
          </w:p>
        </w:tc>
        <w:tc>
          <w:tcPr>
            <w:tcW w:w="1056" w:type="dxa"/>
          </w:tcPr>
          <w:p w:rsidR="007C5447" w:rsidRDefault="00F6308C">
            <w:pPr>
              <w:pStyle w:val="TableParagraph"/>
              <w:spacing w:before="52"/>
              <w:ind w:right="92"/>
              <w:rPr>
                <w:b/>
                <w:sz w:val="18"/>
              </w:rPr>
            </w:pPr>
            <w:r>
              <w:rPr>
                <w:b/>
                <w:sz w:val="18"/>
              </w:rPr>
              <w:t>21.92</w:t>
            </w:r>
          </w:p>
        </w:tc>
        <w:tc>
          <w:tcPr>
            <w:tcW w:w="1056" w:type="dxa"/>
          </w:tcPr>
          <w:p w:rsidR="007C5447" w:rsidRDefault="00F6308C">
            <w:pPr>
              <w:pStyle w:val="TableParagraph"/>
              <w:spacing w:before="52"/>
              <w:ind w:right="92"/>
              <w:rPr>
                <w:b/>
                <w:sz w:val="18"/>
              </w:rPr>
            </w:pPr>
            <w:r>
              <w:rPr>
                <w:b/>
                <w:sz w:val="18"/>
              </w:rPr>
              <w:t>36.31</w:t>
            </w:r>
          </w:p>
        </w:tc>
        <w:tc>
          <w:tcPr>
            <w:tcW w:w="1056" w:type="dxa"/>
          </w:tcPr>
          <w:p w:rsidR="007C5447" w:rsidRDefault="00F6308C">
            <w:pPr>
              <w:pStyle w:val="TableParagraph"/>
              <w:spacing w:before="52"/>
              <w:ind w:right="92"/>
              <w:rPr>
                <w:b/>
                <w:sz w:val="18"/>
              </w:rPr>
            </w:pPr>
            <w:r>
              <w:rPr>
                <w:b/>
                <w:sz w:val="18"/>
              </w:rPr>
              <w:t>94.91</w:t>
            </w:r>
          </w:p>
        </w:tc>
        <w:tc>
          <w:tcPr>
            <w:tcW w:w="1057" w:type="dxa"/>
          </w:tcPr>
          <w:p w:rsidR="007C5447" w:rsidRDefault="00F6308C">
            <w:pPr>
              <w:pStyle w:val="TableParagraph"/>
              <w:spacing w:before="52"/>
              <w:ind w:right="96"/>
              <w:rPr>
                <w:b/>
                <w:sz w:val="18"/>
              </w:rPr>
            </w:pPr>
            <w:r>
              <w:rPr>
                <w:b/>
                <w:sz w:val="18"/>
              </w:rPr>
              <w:t>384.70</w:t>
            </w:r>
          </w:p>
        </w:tc>
        <w:tc>
          <w:tcPr>
            <w:tcW w:w="1056" w:type="dxa"/>
          </w:tcPr>
          <w:p w:rsidR="007C5447" w:rsidRDefault="00F6308C">
            <w:pPr>
              <w:pStyle w:val="TableParagraph"/>
              <w:spacing w:before="52"/>
              <w:ind w:right="95"/>
              <w:rPr>
                <w:b/>
                <w:sz w:val="18"/>
              </w:rPr>
            </w:pPr>
            <w:r>
              <w:rPr>
                <w:b/>
                <w:sz w:val="18"/>
              </w:rPr>
              <w:t>822.16</w:t>
            </w:r>
          </w:p>
        </w:tc>
        <w:tc>
          <w:tcPr>
            <w:tcW w:w="1056" w:type="dxa"/>
          </w:tcPr>
          <w:p w:rsidR="007C5447" w:rsidRDefault="00F6308C">
            <w:pPr>
              <w:pStyle w:val="TableParagraph"/>
              <w:spacing w:before="52"/>
              <w:ind w:right="95"/>
              <w:rPr>
                <w:b/>
                <w:sz w:val="18"/>
              </w:rPr>
            </w:pPr>
            <w:r>
              <w:rPr>
                <w:b/>
                <w:sz w:val="18"/>
              </w:rPr>
              <w:t>984.24</w:t>
            </w:r>
          </w:p>
        </w:tc>
        <w:tc>
          <w:tcPr>
            <w:tcW w:w="1083" w:type="dxa"/>
          </w:tcPr>
          <w:p w:rsidR="007C5447" w:rsidRDefault="00F6308C">
            <w:pPr>
              <w:pStyle w:val="TableParagraph"/>
              <w:spacing w:before="52"/>
              <w:ind w:right="96"/>
              <w:rPr>
                <w:b/>
                <w:sz w:val="18"/>
              </w:rPr>
            </w:pPr>
            <w:r>
              <w:rPr>
                <w:b/>
                <w:sz w:val="18"/>
              </w:rPr>
              <w:t>12,891.55</w:t>
            </w:r>
          </w:p>
        </w:tc>
      </w:tr>
    </w:tbl>
    <w:p w:rsidR="007C5447" w:rsidRDefault="007C5447">
      <w:pPr>
        <w:rPr>
          <w:sz w:val="18"/>
        </w:rPr>
        <w:sectPr w:rsidR="007C5447">
          <w:pgSz w:w="16840" w:h="11910" w:orient="landscape"/>
          <w:pgMar w:top="1100" w:right="580" w:bottom="1240" w:left="760" w:header="0" w:footer="1057" w:gutter="0"/>
          <w:cols w:space="720"/>
        </w:sectPr>
      </w:pPr>
    </w:p>
    <w:p w:rsidR="007C5447" w:rsidRDefault="007C5447">
      <w:pPr>
        <w:pStyle w:val="BodyText"/>
        <w:spacing w:before="2"/>
        <w:rPr>
          <w:b/>
          <w:sz w:val="21"/>
        </w:rPr>
      </w:pPr>
    </w:p>
    <w:p w:rsidR="007C5447" w:rsidRDefault="00F6308C">
      <w:pPr>
        <w:spacing w:before="91"/>
        <w:ind w:left="2986" w:right="3162"/>
        <w:jc w:val="center"/>
        <w:rPr>
          <w:b/>
        </w:rPr>
      </w:pPr>
      <w:r>
        <w:rPr>
          <w:b/>
        </w:rPr>
        <w:t>Table 3-41: Fixed Cost summary for FY 2014-15 as submitted by TANGEDCO (Rs. Crore)</w:t>
      </w:r>
    </w:p>
    <w:p w:rsidR="007C5447" w:rsidRDefault="007C5447">
      <w:pPr>
        <w:pStyle w:val="BodyText"/>
        <w:spacing w:before="11"/>
        <w:rPr>
          <w:b/>
          <w:sz w:val="16"/>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891"/>
        <w:gridCol w:w="1034"/>
        <w:gridCol w:w="1035"/>
        <w:gridCol w:w="1034"/>
        <w:gridCol w:w="1034"/>
        <w:gridCol w:w="1106"/>
        <w:gridCol w:w="1056"/>
        <w:gridCol w:w="1056"/>
        <w:gridCol w:w="1056"/>
        <w:gridCol w:w="1057"/>
        <w:gridCol w:w="1056"/>
        <w:gridCol w:w="1056"/>
        <w:gridCol w:w="1083"/>
      </w:tblGrid>
      <w:tr w:rsidR="007C5447">
        <w:trPr>
          <w:trHeight w:val="410"/>
        </w:trPr>
        <w:tc>
          <w:tcPr>
            <w:tcW w:w="703" w:type="dxa"/>
            <w:vMerge w:val="restart"/>
            <w:shd w:val="clear" w:color="auto" w:fill="F7C9AC"/>
          </w:tcPr>
          <w:p w:rsidR="007C5447" w:rsidRDefault="007C5447">
            <w:pPr>
              <w:pStyle w:val="TableParagraph"/>
              <w:jc w:val="left"/>
              <w:rPr>
                <w:b/>
                <w:sz w:val="20"/>
              </w:rPr>
            </w:pPr>
          </w:p>
          <w:p w:rsidR="007C5447" w:rsidRDefault="007C5447">
            <w:pPr>
              <w:pStyle w:val="TableParagraph"/>
              <w:jc w:val="left"/>
              <w:rPr>
                <w:b/>
                <w:sz w:val="20"/>
              </w:rPr>
            </w:pPr>
          </w:p>
          <w:p w:rsidR="007C5447" w:rsidRDefault="00F6308C">
            <w:pPr>
              <w:pStyle w:val="TableParagraph"/>
              <w:spacing w:before="178"/>
              <w:ind w:left="107"/>
              <w:jc w:val="left"/>
              <w:rPr>
                <w:b/>
                <w:sz w:val="18"/>
              </w:rPr>
            </w:pPr>
            <w:r>
              <w:rPr>
                <w:b/>
                <w:sz w:val="18"/>
              </w:rPr>
              <w:t>Sl.</w:t>
            </w:r>
          </w:p>
        </w:tc>
        <w:tc>
          <w:tcPr>
            <w:tcW w:w="1891" w:type="dxa"/>
            <w:vMerge w:val="restart"/>
            <w:shd w:val="clear" w:color="auto" w:fill="F7C9AC"/>
          </w:tcPr>
          <w:p w:rsidR="007C5447" w:rsidRDefault="007C5447">
            <w:pPr>
              <w:pStyle w:val="TableParagraph"/>
              <w:jc w:val="left"/>
              <w:rPr>
                <w:b/>
                <w:sz w:val="20"/>
              </w:rPr>
            </w:pPr>
          </w:p>
          <w:p w:rsidR="007C5447" w:rsidRDefault="007C5447">
            <w:pPr>
              <w:pStyle w:val="TableParagraph"/>
              <w:jc w:val="left"/>
              <w:rPr>
                <w:b/>
                <w:sz w:val="20"/>
              </w:rPr>
            </w:pPr>
          </w:p>
          <w:p w:rsidR="007C5447" w:rsidRDefault="00F6308C">
            <w:pPr>
              <w:pStyle w:val="TableParagraph"/>
              <w:spacing w:before="178"/>
              <w:ind w:left="107"/>
              <w:jc w:val="left"/>
              <w:rPr>
                <w:b/>
                <w:sz w:val="18"/>
              </w:rPr>
            </w:pPr>
            <w:r>
              <w:rPr>
                <w:b/>
                <w:sz w:val="18"/>
              </w:rPr>
              <w:t>Power Station</w:t>
            </w:r>
          </w:p>
        </w:tc>
        <w:tc>
          <w:tcPr>
            <w:tcW w:w="12663" w:type="dxa"/>
            <w:gridSpan w:val="12"/>
            <w:shd w:val="clear" w:color="auto" w:fill="F7C9AC"/>
          </w:tcPr>
          <w:p w:rsidR="007C5447" w:rsidRDefault="00F6308C">
            <w:pPr>
              <w:pStyle w:val="TableParagraph"/>
              <w:spacing w:before="100"/>
              <w:ind w:left="5870" w:right="5858"/>
              <w:jc w:val="center"/>
              <w:rPr>
                <w:b/>
                <w:sz w:val="18"/>
              </w:rPr>
            </w:pPr>
            <w:r>
              <w:rPr>
                <w:b/>
                <w:sz w:val="18"/>
              </w:rPr>
              <w:t>FY 2014-15</w:t>
            </w:r>
          </w:p>
        </w:tc>
      </w:tr>
      <w:tr w:rsidR="007C5447">
        <w:trPr>
          <w:trHeight w:val="1062"/>
        </w:trPr>
        <w:tc>
          <w:tcPr>
            <w:tcW w:w="703" w:type="dxa"/>
            <w:vMerge/>
            <w:tcBorders>
              <w:top w:val="nil"/>
            </w:tcBorders>
            <w:shd w:val="clear" w:color="auto" w:fill="F7C9AC"/>
          </w:tcPr>
          <w:p w:rsidR="007C5447" w:rsidRDefault="007C5447">
            <w:pPr>
              <w:rPr>
                <w:sz w:val="2"/>
                <w:szCs w:val="2"/>
              </w:rPr>
            </w:pPr>
          </w:p>
        </w:tc>
        <w:tc>
          <w:tcPr>
            <w:tcW w:w="1891" w:type="dxa"/>
            <w:vMerge/>
            <w:tcBorders>
              <w:top w:val="nil"/>
            </w:tcBorders>
            <w:shd w:val="clear" w:color="auto" w:fill="F7C9AC"/>
          </w:tcPr>
          <w:p w:rsidR="007C5447" w:rsidRDefault="007C5447">
            <w:pPr>
              <w:rPr>
                <w:sz w:val="2"/>
                <w:szCs w:val="2"/>
              </w:rPr>
            </w:pP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42" w:right="332"/>
              <w:jc w:val="center"/>
              <w:rPr>
                <w:b/>
                <w:sz w:val="18"/>
              </w:rPr>
            </w:pPr>
            <w:r>
              <w:rPr>
                <w:b/>
                <w:sz w:val="18"/>
              </w:rPr>
              <w:t>Dep</w:t>
            </w:r>
          </w:p>
        </w:tc>
        <w:tc>
          <w:tcPr>
            <w:tcW w:w="1035" w:type="dxa"/>
            <w:shd w:val="clear" w:color="auto" w:fill="F7C9AC"/>
          </w:tcPr>
          <w:p w:rsidR="007C5447" w:rsidRDefault="00F6308C">
            <w:pPr>
              <w:pStyle w:val="TableParagraph"/>
              <w:spacing w:before="117"/>
              <w:ind w:left="197" w:right="186" w:firstLine="2"/>
              <w:jc w:val="center"/>
              <w:rPr>
                <w:b/>
                <w:sz w:val="18"/>
              </w:rPr>
            </w:pPr>
            <w:r>
              <w:rPr>
                <w:b/>
                <w:sz w:val="18"/>
              </w:rPr>
              <w:t>Interest and Finance Charges</w:t>
            </w: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27"/>
              <w:jc w:val="left"/>
              <w:rPr>
                <w:b/>
                <w:sz w:val="18"/>
              </w:rPr>
            </w:pPr>
            <w:r>
              <w:rPr>
                <w:b/>
                <w:sz w:val="18"/>
              </w:rPr>
              <w:t>IWC</w:t>
            </w: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23"/>
              <w:jc w:val="left"/>
              <w:rPr>
                <w:b/>
                <w:sz w:val="18"/>
              </w:rPr>
            </w:pPr>
            <w:r>
              <w:rPr>
                <w:b/>
                <w:sz w:val="18"/>
              </w:rPr>
              <w:t>ROE</w:t>
            </w:r>
          </w:p>
        </w:tc>
        <w:tc>
          <w:tcPr>
            <w:tcW w:w="1106" w:type="dxa"/>
            <w:shd w:val="clear" w:color="auto" w:fill="F7C9AC"/>
          </w:tcPr>
          <w:p w:rsidR="007C5447" w:rsidRDefault="007C5447">
            <w:pPr>
              <w:pStyle w:val="TableParagraph"/>
              <w:spacing w:before="1"/>
              <w:jc w:val="left"/>
              <w:rPr>
                <w:b/>
                <w:sz w:val="28"/>
              </w:rPr>
            </w:pPr>
          </w:p>
          <w:p w:rsidR="007C5447" w:rsidRDefault="00F6308C">
            <w:pPr>
              <w:pStyle w:val="TableParagraph"/>
              <w:ind w:left="198" w:right="167" w:firstLine="124"/>
              <w:jc w:val="left"/>
              <w:rPr>
                <w:b/>
                <w:sz w:val="18"/>
              </w:rPr>
            </w:pPr>
            <w:r>
              <w:rPr>
                <w:b/>
                <w:sz w:val="18"/>
              </w:rPr>
              <w:t>O&amp;M Expenses</w:t>
            </w:r>
          </w:p>
        </w:tc>
        <w:tc>
          <w:tcPr>
            <w:tcW w:w="1056" w:type="dxa"/>
            <w:shd w:val="clear" w:color="auto" w:fill="F7C9AC"/>
          </w:tcPr>
          <w:p w:rsidR="007C5447" w:rsidRDefault="007C5447">
            <w:pPr>
              <w:pStyle w:val="TableParagraph"/>
              <w:spacing w:before="1"/>
              <w:jc w:val="left"/>
              <w:rPr>
                <w:b/>
                <w:sz w:val="28"/>
              </w:rPr>
            </w:pPr>
          </w:p>
          <w:p w:rsidR="007C5447" w:rsidRDefault="00F6308C">
            <w:pPr>
              <w:pStyle w:val="TableParagraph"/>
              <w:ind w:left="285" w:right="251" w:firstLine="14"/>
              <w:jc w:val="left"/>
              <w:rPr>
                <w:b/>
                <w:sz w:val="18"/>
              </w:rPr>
            </w:pPr>
            <w:r>
              <w:rPr>
                <w:b/>
                <w:sz w:val="18"/>
              </w:rPr>
              <w:t>Other Debits</w:t>
            </w:r>
          </w:p>
        </w:tc>
        <w:tc>
          <w:tcPr>
            <w:tcW w:w="1056" w:type="dxa"/>
            <w:shd w:val="clear" w:color="auto" w:fill="F7C9AC"/>
          </w:tcPr>
          <w:p w:rsidR="007C5447" w:rsidRDefault="007C5447">
            <w:pPr>
              <w:pStyle w:val="TableParagraph"/>
              <w:spacing w:before="1"/>
              <w:jc w:val="left"/>
              <w:rPr>
                <w:b/>
                <w:sz w:val="28"/>
              </w:rPr>
            </w:pPr>
          </w:p>
          <w:p w:rsidR="007C5447" w:rsidRDefault="00F6308C">
            <w:pPr>
              <w:pStyle w:val="TableParagraph"/>
              <w:ind w:left="276" w:right="240" w:firstLine="50"/>
              <w:jc w:val="left"/>
              <w:rPr>
                <w:b/>
                <w:sz w:val="18"/>
              </w:rPr>
            </w:pPr>
            <w:r>
              <w:rPr>
                <w:b/>
                <w:sz w:val="18"/>
              </w:rPr>
              <w:t>Prior Period</w:t>
            </w:r>
          </w:p>
        </w:tc>
        <w:tc>
          <w:tcPr>
            <w:tcW w:w="1056" w:type="dxa"/>
            <w:shd w:val="clear" w:color="auto" w:fill="F7C9AC"/>
          </w:tcPr>
          <w:p w:rsidR="007C5447" w:rsidRDefault="007C5447">
            <w:pPr>
              <w:pStyle w:val="TableParagraph"/>
              <w:spacing w:before="2"/>
              <w:jc w:val="left"/>
              <w:rPr>
                <w:b/>
                <w:sz w:val="19"/>
              </w:rPr>
            </w:pPr>
          </w:p>
          <w:p w:rsidR="007C5447" w:rsidRDefault="00F6308C">
            <w:pPr>
              <w:pStyle w:val="TableParagraph"/>
              <w:ind w:left="232" w:right="219" w:firstLine="5"/>
              <w:jc w:val="center"/>
              <w:rPr>
                <w:b/>
                <w:sz w:val="18"/>
              </w:rPr>
            </w:pPr>
            <w:r>
              <w:rPr>
                <w:b/>
                <w:sz w:val="18"/>
              </w:rPr>
              <w:t>Op. Ch and Ex. Ord</w:t>
            </w:r>
          </w:p>
        </w:tc>
        <w:tc>
          <w:tcPr>
            <w:tcW w:w="1057" w:type="dxa"/>
            <w:shd w:val="clear" w:color="auto" w:fill="F7C9AC"/>
          </w:tcPr>
          <w:p w:rsidR="007C5447" w:rsidRDefault="007C5447">
            <w:pPr>
              <w:pStyle w:val="TableParagraph"/>
              <w:spacing w:before="1"/>
              <w:jc w:val="left"/>
              <w:rPr>
                <w:b/>
                <w:sz w:val="28"/>
              </w:rPr>
            </w:pPr>
          </w:p>
          <w:p w:rsidR="007C5447" w:rsidRDefault="00F6308C">
            <w:pPr>
              <w:pStyle w:val="TableParagraph"/>
              <w:ind w:left="245" w:firstLine="55"/>
              <w:jc w:val="left"/>
              <w:rPr>
                <w:b/>
                <w:sz w:val="18"/>
              </w:rPr>
            </w:pPr>
            <w:r>
              <w:rPr>
                <w:b/>
                <w:sz w:val="18"/>
              </w:rPr>
              <w:t>Other Income</w:t>
            </w:r>
          </w:p>
        </w:tc>
        <w:tc>
          <w:tcPr>
            <w:tcW w:w="1056" w:type="dxa"/>
            <w:shd w:val="clear" w:color="auto" w:fill="F7C9AC"/>
          </w:tcPr>
          <w:p w:rsidR="007C5447" w:rsidRDefault="007C5447">
            <w:pPr>
              <w:pStyle w:val="TableParagraph"/>
              <w:spacing w:before="1"/>
              <w:jc w:val="left"/>
              <w:rPr>
                <w:b/>
                <w:sz w:val="28"/>
              </w:rPr>
            </w:pPr>
          </w:p>
          <w:p w:rsidR="007C5447" w:rsidRDefault="00F6308C">
            <w:pPr>
              <w:pStyle w:val="TableParagraph"/>
              <w:ind w:left="244" w:right="77" w:hanging="135"/>
              <w:jc w:val="left"/>
              <w:rPr>
                <w:b/>
                <w:sz w:val="18"/>
              </w:rPr>
            </w:pPr>
            <w:r>
              <w:rPr>
                <w:b/>
                <w:sz w:val="18"/>
              </w:rPr>
              <w:t>Non-Tariff Income</w:t>
            </w:r>
          </w:p>
        </w:tc>
        <w:tc>
          <w:tcPr>
            <w:tcW w:w="1056" w:type="dxa"/>
            <w:shd w:val="clear" w:color="auto" w:fill="F7C9AC"/>
          </w:tcPr>
          <w:p w:rsidR="007C5447" w:rsidRDefault="00F6308C">
            <w:pPr>
              <w:pStyle w:val="TableParagraph"/>
              <w:spacing w:before="14"/>
              <w:ind w:left="225" w:right="212" w:hanging="1"/>
              <w:jc w:val="center"/>
              <w:rPr>
                <w:b/>
                <w:sz w:val="18"/>
              </w:rPr>
            </w:pPr>
            <w:r>
              <w:rPr>
                <w:b/>
                <w:sz w:val="18"/>
              </w:rPr>
              <w:t xml:space="preserve">Other Interest and </w:t>
            </w:r>
            <w:r>
              <w:rPr>
                <w:b/>
                <w:spacing w:val="-1"/>
                <w:sz w:val="18"/>
              </w:rPr>
              <w:t>Finance</w:t>
            </w:r>
          </w:p>
          <w:p w:rsidR="007C5447" w:rsidRDefault="00F6308C">
            <w:pPr>
              <w:pStyle w:val="TableParagraph"/>
              <w:spacing w:line="201" w:lineRule="exact"/>
              <w:ind w:left="187" w:right="178"/>
              <w:jc w:val="center"/>
              <w:rPr>
                <w:b/>
                <w:sz w:val="18"/>
              </w:rPr>
            </w:pPr>
            <w:r>
              <w:rPr>
                <w:b/>
                <w:sz w:val="18"/>
              </w:rPr>
              <w:t>Charges</w:t>
            </w:r>
          </w:p>
        </w:tc>
        <w:tc>
          <w:tcPr>
            <w:tcW w:w="1083" w:type="dxa"/>
            <w:shd w:val="clear" w:color="auto" w:fill="F7C9AC"/>
          </w:tcPr>
          <w:p w:rsidR="007C5447" w:rsidRDefault="007C5447">
            <w:pPr>
              <w:pStyle w:val="TableParagraph"/>
              <w:spacing w:before="1"/>
              <w:jc w:val="left"/>
              <w:rPr>
                <w:b/>
                <w:sz w:val="28"/>
              </w:rPr>
            </w:pPr>
          </w:p>
          <w:p w:rsidR="007C5447" w:rsidRDefault="00F6308C">
            <w:pPr>
              <w:pStyle w:val="TableParagraph"/>
              <w:ind w:left="129" w:right="99" w:firstLine="208"/>
              <w:jc w:val="left"/>
              <w:rPr>
                <w:b/>
                <w:sz w:val="18"/>
              </w:rPr>
            </w:pPr>
            <w:r>
              <w:rPr>
                <w:b/>
                <w:sz w:val="18"/>
              </w:rPr>
              <w:t>Total Fixed Cost</w:t>
            </w:r>
          </w:p>
        </w:tc>
      </w:tr>
      <w:tr w:rsidR="007C5447">
        <w:trPr>
          <w:trHeight w:val="316"/>
        </w:trPr>
        <w:tc>
          <w:tcPr>
            <w:tcW w:w="703" w:type="dxa"/>
          </w:tcPr>
          <w:p w:rsidR="007C5447" w:rsidRDefault="00F6308C">
            <w:pPr>
              <w:pStyle w:val="TableParagraph"/>
              <w:spacing w:before="55"/>
              <w:ind w:left="107"/>
              <w:jc w:val="left"/>
              <w:rPr>
                <w:sz w:val="18"/>
              </w:rPr>
            </w:pPr>
            <w:r>
              <w:rPr>
                <w:sz w:val="18"/>
              </w:rPr>
              <w:t>1</w:t>
            </w:r>
          </w:p>
        </w:tc>
        <w:tc>
          <w:tcPr>
            <w:tcW w:w="1891" w:type="dxa"/>
          </w:tcPr>
          <w:p w:rsidR="007C5447" w:rsidRDefault="00F6308C">
            <w:pPr>
              <w:pStyle w:val="TableParagraph"/>
              <w:spacing w:before="55"/>
              <w:ind w:left="107"/>
              <w:jc w:val="left"/>
              <w:rPr>
                <w:sz w:val="18"/>
              </w:rPr>
            </w:pPr>
            <w:r>
              <w:rPr>
                <w:sz w:val="18"/>
              </w:rPr>
              <w:t>Ennore TPS</w:t>
            </w:r>
          </w:p>
        </w:tc>
        <w:tc>
          <w:tcPr>
            <w:tcW w:w="1034" w:type="dxa"/>
          </w:tcPr>
          <w:p w:rsidR="007C5447" w:rsidRDefault="00F6308C">
            <w:pPr>
              <w:pStyle w:val="TableParagraph"/>
              <w:spacing w:before="55"/>
              <w:ind w:right="94"/>
              <w:rPr>
                <w:sz w:val="18"/>
              </w:rPr>
            </w:pPr>
            <w:r>
              <w:rPr>
                <w:sz w:val="18"/>
              </w:rPr>
              <w:t>57.56</w:t>
            </w:r>
          </w:p>
        </w:tc>
        <w:tc>
          <w:tcPr>
            <w:tcW w:w="1035" w:type="dxa"/>
          </w:tcPr>
          <w:p w:rsidR="007C5447" w:rsidRDefault="00F6308C">
            <w:pPr>
              <w:pStyle w:val="TableParagraph"/>
              <w:spacing w:before="55"/>
              <w:ind w:right="97"/>
              <w:rPr>
                <w:sz w:val="18"/>
              </w:rPr>
            </w:pPr>
            <w:r>
              <w:rPr>
                <w:sz w:val="18"/>
              </w:rPr>
              <w:t>389.94</w:t>
            </w:r>
          </w:p>
        </w:tc>
        <w:tc>
          <w:tcPr>
            <w:tcW w:w="1034" w:type="dxa"/>
          </w:tcPr>
          <w:p w:rsidR="007C5447" w:rsidRDefault="00F6308C">
            <w:pPr>
              <w:pStyle w:val="TableParagraph"/>
              <w:spacing w:before="55"/>
              <w:ind w:right="93"/>
              <w:rPr>
                <w:sz w:val="18"/>
              </w:rPr>
            </w:pPr>
            <w:r>
              <w:rPr>
                <w:sz w:val="18"/>
              </w:rPr>
              <w:t>25.81</w:t>
            </w:r>
          </w:p>
        </w:tc>
        <w:tc>
          <w:tcPr>
            <w:tcW w:w="1034" w:type="dxa"/>
          </w:tcPr>
          <w:p w:rsidR="007C5447" w:rsidRDefault="00F6308C">
            <w:pPr>
              <w:pStyle w:val="TableParagraph"/>
              <w:spacing w:before="55"/>
              <w:ind w:right="93"/>
              <w:rPr>
                <w:sz w:val="18"/>
              </w:rPr>
            </w:pPr>
            <w:r>
              <w:rPr>
                <w:sz w:val="18"/>
              </w:rPr>
              <w:t>63.82</w:t>
            </w:r>
          </w:p>
        </w:tc>
        <w:tc>
          <w:tcPr>
            <w:tcW w:w="1106" w:type="dxa"/>
          </w:tcPr>
          <w:p w:rsidR="007C5447" w:rsidRDefault="00F6308C">
            <w:pPr>
              <w:pStyle w:val="TableParagraph"/>
              <w:spacing w:before="55"/>
              <w:ind w:right="95"/>
              <w:rPr>
                <w:sz w:val="18"/>
              </w:rPr>
            </w:pPr>
            <w:r>
              <w:rPr>
                <w:sz w:val="18"/>
              </w:rPr>
              <w:t>109.07</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1"/>
              <w:rPr>
                <w:sz w:val="18"/>
              </w:rPr>
            </w:pPr>
            <w:r>
              <w:rPr>
                <w:sz w:val="18"/>
              </w:rPr>
              <w:t>(2.46)</w:t>
            </w:r>
          </w:p>
        </w:tc>
        <w:tc>
          <w:tcPr>
            <w:tcW w:w="1056" w:type="dxa"/>
          </w:tcPr>
          <w:p w:rsidR="007C5447" w:rsidRDefault="00F6308C">
            <w:pPr>
              <w:pStyle w:val="TableParagraph"/>
              <w:spacing w:before="55"/>
              <w:ind w:right="94"/>
              <w:rPr>
                <w:sz w:val="18"/>
              </w:rPr>
            </w:pPr>
            <w:r>
              <w:rPr>
                <w:sz w:val="18"/>
              </w:rPr>
              <w:t>11.85</w:t>
            </w:r>
          </w:p>
        </w:tc>
        <w:tc>
          <w:tcPr>
            <w:tcW w:w="1057" w:type="dxa"/>
          </w:tcPr>
          <w:p w:rsidR="007C5447" w:rsidRDefault="00F6308C">
            <w:pPr>
              <w:pStyle w:val="TableParagraph"/>
              <w:spacing w:before="55"/>
              <w:ind w:right="93"/>
              <w:rPr>
                <w:sz w:val="18"/>
              </w:rPr>
            </w:pPr>
            <w:r>
              <w:rPr>
                <w:sz w:val="18"/>
              </w:rPr>
              <w:t>18.46</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2.58</w:t>
            </w:r>
          </w:p>
        </w:tc>
        <w:tc>
          <w:tcPr>
            <w:tcW w:w="1083" w:type="dxa"/>
          </w:tcPr>
          <w:p w:rsidR="007C5447" w:rsidRDefault="00F6308C">
            <w:pPr>
              <w:pStyle w:val="TableParagraph"/>
              <w:spacing w:before="55"/>
              <w:ind w:right="96"/>
              <w:rPr>
                <w:sz w:val="18"/>
              </w:rPr>
            </w:pPr>
            <w:r>
              <w:rPr>
                <w:sz w:val="18"/>
              </w:rPr>
              <w:t>639.71</w:t>
            </w:r>
          </w:p>
        </w:tc>
      </w:tr>
      <w:tr w:rsidR="007C5447">
        <w:trPr>
          <w:trHeight w:val="314"/>
        </w:trPr>
        <w:tc>
          <w:tcPr>
            <w:tcW w:w="703" w:type="dxa"/>
          </w:tcPr>
          <w:p w:rsidR="007C5447" w:rsidRDefault="00F6308C">
            <w:pPr>
              <w:pStyle w:val="TableParagraph"/>
              <w:spacing w:before="55"/>
              <w:ind w:left="107"/>
              <w:jc w:val="left"/>
              <w:rPr>
                <w:sz w:val="18"/>
              </w:rPr>
            </w:pPr>
            <w:r>
              <w:rPr>
                <w:sz w:val="18"/>
              </w:rPr>
              <w:t>2</w:t>
            </w:r>
          </w:p>
        </w:tc>
        <w:tc>
          <w:tcPr>
            <w:tcW w:w="1891" w:type="dxa"/>
          </w:tcPr>
          <w:p w:rsidR="007C5447" w:rsidRDefault="00F6308C">
            <w:pPr>
              <w:pStyle w:val="TableParagraph"/>
              <w:spacing w:before="55"/>
              <w:ind w:left="107"/>
              <w:jc w:val="left"/>
              <w:rPr>
                <w:sz w:val="18"/>
              </w:rPr>
            </w:pPr>
            <w:r>
              <w:rPr>
                <w:sz w:val="18"/>
              </w:rPr>
              <w:t>Tuticorin TPS</w:t>
            </w:r>
          </w:p>
        </w:tc>
        <w:tc>
          <w:tcPr>
            <w:tcW w:w="1034" w:type="dxa"/>
          </w:tcPr>
          <w:p w:rsidR="007C5447" w:rsidRDefault="00F6308C">
            <w:pPr>
              <w:pStyle w:val="TableParagraph"/>
              <w:spacing w:before="55"/>
              <w:ind w:right="96"/>
              <w:rPr>
                <w:sz w:val="18"/>
              </w:rPr>
            </w:pPr>
            <w:r>
              <w:rPr>
                <w:sz w:val="18"/>
              </w:rPr>
              <w:t>103.82</w:t>
            </w:r>
          </w:p>
        </w:tc>
        <w:tc>
          <w:tcPr>
            <w:tcW w:w="1035" w:type="dxa"/>
          </w:tcPr>
          <w:p w:rsidR="007C5447" w:rsidRDefault="00F6308C">
            <w:pPr>
              <w:pStyle w:val="TableParagraph"/>
              <w:spacing w:before="55"/>
              <w:ind w:right="97"/>
              <w:rPr>
                <w:sz w:val="18"/>
              </w:rPr>
            </w:pPr>
            <w:r>
              <w:rPr>
                <w:sz w:val="18"/>
              </w:rPr>
              <w:t>686.50</w:t>
            </w:r>
          </w:p>
        </w:tc>
        <w:tc>
          <w:tcPr>
            <w:tcW w:w="1034" w:type="dxa"/>
          </w:tcPr>
          <w:p w:rsidR="007C5447" w:rsidRDefault="00F6308C">
            <w:pPr>
              <w:pStyle w:val="TableParagraph"/>
              <w:spacing w:before="55"/>
              <w:ind w:right="96"/>
              <w:rPr>
                <w:sz w:val="18"/>
              </w:rPr>
            </w:pPr>
            <w:r>
              <w:rPr>
                <w:sz w:val="18"/>
              </w:rPr>
              <w:t>136.98</w:t>
            </w:r>
          </w:p>
        </w:tc>
        <w:tc>
          <w:tcPr>
            <w:tcW w:w="1034" w:type="dxa"/>
          </w:tcPr>
          <w:p w:rsidR="007C5447" w:rsidRDefault="00F6308C">
            <w:pPr>
              <w:pStyle w:val="TableParagraph"/>
              <w:spacing w:before="55"/>
              <w:ind w:right="97"/>
              <w:rPr>
                <w:sz w:val="18"/>
              </w:rPr>
            </w:pPr>
            <w:r>
              <w:rPr>
                <w:sz w:val="18"/>
              </w:rPr>
              <w:t>115.10</w:t>
            </w:r>
          </w:p>
        </w:tc>
        <w:tc>
          <w:tcPr>
            <w:tcW w:w="1106" w:type="dxa"/>
          </w:tcPr>
          <w:p w:rsidR="007C5447" w:rsidRDefault="00F6308C">
            <w:pPr>
              <w:pStyle w:val="TableParagraph"/>
              <w:spacing w:before="55"/>
              <w:ind w:right="95"/>
              <w:rPr>
                <w:sz w:val="18"/>
              </w:rPr>
            </w:pPr>
            <w:r>
              <w:rPr>
                <w:sz w:val="18"/>
              </w:rPr>
              <w:t>261.42</w:t>
            </w:r>
          </w:p>
        </w:tc>
        <w:tc>
          <w:tcPr>
            <w:tcW w:w="1056" w:type="dxa"/>
          </w:tcPr>
          <w:p w:rsidR="007C5447" w:rsidRDefault="00F6308C">
            <w:pPr>
              <w:pStyle w:val="TableParagraph"/>
              <w:spacing w:before="55"/>
              <w:ind w:right="95"/>
              <w:rPr>
                <w:sz w:val="18"/>
              </w:rPr>
            </w:pPr>
            <w:r>
              <w:rPr>
                <w:sz w:val="18"/>
              </w:rPr>
              <w:t>0.64</w:t>
            </w:r>
          </w:p>
        </w:tc>
        <w:tc>
          <w:tcPr>
            <w:tcW w:w="1056" w:type="dxa"/>
          </w:tcPr>
          <w:p w:rsidR="007C5447" w:rsidRDefault="00F6308C">
            <w:pPr>
              <w:pStyle w:val="TableParagraph"/>
              <w:spacing w:before="55"/>
              <w:ind w:right="95"/>
              <w:rPr>
                <w:sz w:val="18"/>
              </w:rPr>
            </w:pPr>
            <w:r>
              <w:rPr>
                <w:sz w:val="18"/>
              </w:rPr>
              <w:t>3.80</w:t>
            </w:r>
          </w:p>
        </w:tc>
        <w:tc>
          <w:tcPr>
            <w:tcW w:w="1056" w:type="dxa"/>
          </w:tcPr>
          <w:p w:rsidR="007C5447" w:rsidRDefault="00F6308C">
            <w:pPr>
              <w:pStyle w:val="TableParagraph"/>
              <w:spacing w:before="55"/>
              <w:ind w:right="94"/>
              <w:rPr>
                <w:sz w:val="18"/>
              </w:rPr>
            </w:pPr>
            <w:r>
              <w:rPr>
                <w:sz w:val="18"/>
              </w:rPr>
              <w:t>8.80</w:t>
            </w:r>
          </w:p>
        </w:tc>
        <w:tc>
          <w:tcPr>
            <w:tcW w:w="1057" w:type="dxa"/>
          </w:tcPr>
          <w:p w:rsidR="007C5447" w:rsidRDefault="00F6308C">
            <w:pPr>
              <w:pStyle w:val="TableParagraph"/>
              <w:spacing w:before="55"/>
              <w:ind w:right="93"/>
              <w:rPr>
                <w:sz w:val="18"/>
              </w:rPr>
            </w:pPr>
            <w:r>
              <w:rPr>
                <w:sz w:val="18"/>
              </w:rPr>
              <w:t>42.02</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4.83</w:t>
            </w:r>
          </w:p>
        </w:tc>
        <w:tc>
          <w:tcPr>
            <w:tcW w:w="1083" w:type="dxa"/>
          </w:tcPr>
          <w:p w:rsidR="007C5447" w:rsidRDefault="00F6308C">
            <w:pPr>
              <w:pStyle w:val="TableParagraph"/>
              <w:spacing w:before="55"/>
              <w:ind w:right="96"/>
              <w:rPr>
                <w:sz w:val="18"/>
              </w:rPr>
            </w:pPr>
            <w:r>
              <w:rPr>
                <w:sz w:val="18"/>
              </w:rPr>
              <w:t>1,279.88</w:t>
            </w:r>
          </w:p>
        </w:tc>
      </w:tr>
      <w:tr w:rsidR="007C5447">
        <w:trPr>
          <w:trHeight w:val="316"/>
        </w:trPr>
        <w:tc>
          <w:tcPr>
            <w:tcW w:w="703" w:type="dxa"/>
          </w:tcPr>
          <w:p w:rsidR="007C5447" w:rsidRDefault="00F6308C">
            <w:pPr>
              <w:pStyle w:val="TableParagraph"/>
              <w:spacing w:before="55"/>
              <w:ind w:left="107"/>
              <w:jc w:val="left"/>
              <w:rPr>
                <w:sz w:val="18"/>
              </w:rPr>
            </w:pPr>
            <w:r>
              <w:rPr>
                <w:sz w:val="18"/>
              </w:rPr>
              <w:t>3</w:t>
            </w:r>
          </w:p>
        </w:tc>
        <w:tc>
          <w:tcPr>
            <w:tcW w:w="1891" w:type="dxa"/>
          </w:tcPr>
          <w:p w:rsidR="007C5447" w:rsidRDefault="00F6308C">
            <w:pPr>
              <w:pStyle w:val="TableParagraph"/>
              <w:spacing w:before="55"/>
              <w:ind w:left="107"/>
              <w:jc w:val="left"/>
              <w:rPr>
                <w:sz w:val="18"/>
              </w:rPr>
            </w:pPr>
            <w:r>
              <w:rPr>
                <w:sz w:val="18"/>
              </w:rPr>
              <w:t>Mettur TPS</w:t>
            </w:r>
          </w:p>
        </w:tc>
        <w:tc>
          <w:tcPr>
            <w:tcW w:w="1034" w:type="dxa"/>
          </w:tcPr>
          <w:p w:rsidR="007C5447" w:rsidRDefault="00F6308C">
            <w:pPr>
              <w:pStyle w:val="TableParagraph"/>
              <w:spacing w:before="55"/>
              <w:ind w:right="96"/>
              <w:rPr>
                <w:sz w:val="18"/>
              </w:rPr>
            </w:pPr>
            <w:r>
              <w:rPr>
                <w:sz w:val="18"/>
              </w:rPr>
              <w:t>208.11</w:t>
            </w:r>
          </w:p>
        </w:tc>
        <w:tc>
          <w:tcPr>
            <w:tcW w:w="1035" w:type="dxa"/>
          </w:tcPr>
          <w:p w:rsidR="007C5447" w:rsidRDefault="00F6308C">
            <w:pPr>
              <w:pStyle w:val="TableParagraph"/>
              <w:spacing w:before="55"/>
              <w:ind w:right="97"/>
              <w:rPr>
                <w:sz w:val="18"/>
              </w:rPr>
            </w:pPr>
            <w:r>
              <w:rPr>
                <w:sz w:val="18"/>
              </w:rPr>
              <w:t>332.85</w:t>
            </w:r>
          </w:p>
        </w:tc>
        <w:tc>
          <w:tcPr>
            <w:tcW w:w="1034" w:type="dxa"/>
          </w:tcPr>
          <w:p w:rsidR="007C5447" w:rsidRDefault="00F6308C">
            <w:pPr>
              <w:pStyle w:val="TableParagraph"/>
              <w:spacing w:before="55"/>
              <w:ind w:right="96"/>
              <w:rPr>
                <w:sz w:val="18"/>
              </w:rPr>
            </w:pPr>
            <w:r>
              <w:rPr>
                <w:sz w:val="18"/>
              </w:rPr>
              <w:t>122.73</w:t>
            </w:r>
          </w:p>
        </w:tc>
        <w:tc>
          <w:tcPr>
            <w:tcW w:w="1034" w:type="dxa"/>
          </w:tcPr>
          <w:p w:rsidR="007C5447" w:rsidRDefault="00F6308C">
            <w:pPr>
              <w:pStyle w:val="TableParagraph"/>
              <w:spacing w:before="55"/>
              <w:ind w:right="93"/>
              <w:rPr>
                <w:sz w:val="18"/>
              </w:rPr>
            </w:pPr>
            <w:r>
              <w:rPr>
                <w:sz w:val="18"/>
              </w:rPr>
              <w:t>66.89</w:t>
            </w:r>
          </w:p>
        </w:tc>
        <w:tc>
          <w:tcPr>
            <w:tcW w:w="1106" w:type="dxa"/>
          </w:tcPr>
          <w:p w:rsidR="007C5447" w:rsidRDefault="00F6308C">
            <w:pPr>
              <w:pStyle w:val="TableParagraph"/>
              <w:spacing w:before="55"/>
              <w:ind w:right="95"/>
              <w:rPr>
                <w:sz w:val="18"/>
              </w:rPr>
            </w:pPr>
            <w:r>
              <w:rPr>
                <w:sz w:val="18"/>
              </w:rPr>
              <w:t>234.14</w:t>
            </w:r>
          </w:p>
        </w:tc>
        <w:tc>
          <w:tcPr>
            <w:tcW w:w="1056" w:type="dxa"/>
          </w:tcPr>
          <w:p w:rsidR="007C5447" w:rsidRDefault="00F6308C">
            <w:pPr>
              <w:pStyle w:val="TableParagraph"/>
              <w:spacing w:before="55"/>
              <w:ind w:right="95"/>
              <w:rPr>
                <w:sz w:val="18"/>
              </w:rPr>
            </w:pPr>
            <w:r>
              <w:rPr>
                <w:sz w:val="18"/>
              </w:rPr>
              <w:t>0.09</w:t>
            </w:r>
          </w:p>
        </w:tc>
        <w:tc>
          <w:tcPr>
            <w:tcW w:w="1056" w:type="dxa"/>
          </w:tcPr>
          <w:p w:rsidR="007C5447" w:rsidRDefault="00F6308C">
            <w:pPr>
              <w:pStyle w:val="TableParagraph"/>
              <w:spacing w:before="55"/>
              <w:ind w:right="92"/>
              <w:rPr>
                <w:sz w:val="18"/>
              </w:rPr>
            </w:pPr>
            <w:r>
              <w:rPr>
                <w:sz w:val="18"/>
              </w:rPr>
              <w:t>96.90</w:t>
            </w:r>
          </w:p>
        </w:tc>
        <w:tc>
          <w:tcPr>
            <w:tcW w:w="1056" w:type="dxa"/>
          </w:tcPr>
          <w:p w:rsidR="007C5447" w:rsidRDefault="00F6308C">
            <w:pPr>
              <w:pStyle w:val="TableParagraph"/>
              <w:spacing w:before="55"/>
              <w:ind w:right="92"/>
              <w:rPr>
                <w:sz w:val="18"/>
              </w:rPr>
            </w:pPr>
            <w:r>
              <w:rPr>
                <w:sz w:val="18"/>
              </w:rPr>
              <w:t>10.11</w:t>
            </w:r>
          </w:p>
        </w:tc>
        <w:tc>
          <w:tcPr>
            <w:tcW w:w="1057" w:type="dxa"/>
          </w:tcPr>
          <w:p w:rsidR="007C5447" w:rsidRDefault="00F6308C">
            <w:pPr>
              <w:pStyle w:val="TableParagraph"/>
              <w:spacing w:before="55"/>
              <w:ind w:right="93"/>
              <w:rPr>
                <w:sz w:val="18"/>
              </w:rPr>
            </w:pPr>
            <w:r>
              <w:rPr>
                <w:sz w:val="18"/>
              </w:rPr>
              <w:t>31.26</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3.80</w:t>
            </w:r>
          </w:p>
        </w:tc>
        <w:tc>
          <w:tcPr>
            <w:tcW w:w="1083" w:type="dxa"/>
          </w:tcPr>
          <w:p w:rsidR="007C5447" w:rsidRDefault="00F6308C">
            <w:pPr>
              <w:pStyle w:val="TableParagraph"/>
              <w:spacing w:before="55"/>
              <w:ind w:right="96"/>
              <w:rPr>
                <w:sz w:val="18"/>
              </w:rPr>
            </w:pPr>
            <w:r>
              <w:rPr>
                <w:sz w:val="18"/>
              </w:rPr>
              <w:t>1,044.37</w:t>
            </w:r>
          </w:p>
        </w:tc>
      </w:tr>
      <w:tr w:rsidR="007C5447">
        <w:trPr>
          <w:trHeight w:val="313"/>
        </w:trPr>
        <w:tc>
          <w:tcPr>
            <w:tcW w:w="703" w:type="dxa"/>
          </w:tcPr>
          <w:p w:rsidR="007C5447" w:rsidRDefault="00F6308C">
            <w:pPr>
              <w:pStyle w:val="TableParagraph"/>
              <w:spacing w:before="52"/>
              <w:ind w:left="107"/>
              <w:jc w:val="left"/>
              <w:rPr>
                <w:sz w:val="18"/>
              </w:rPr>
            </w:pPr>
            <w:r>
              <w:rPr>
                <w:sz w:val="18"/>
              </w:rPr>
              <w:t>4</w:t>
            </w:r>
          </w:p>
        </w:tc>
        <w:tc>
          <w:tcPr>
            <w:tcW w:w="1891" w:type="dxa"/>
          </w:tcPr>
          <w:p w:rsidR="007C5447" w:rsidRDefault="00F6308C">
            <w:pPr>
              <w:pStyle w:val="TableParagraph"/>
              <w:spacing w:before="52"/>
              <w:ind w:left="107"/>
              <w:jc w:val="left"/>
              <w:rPr>
                <w:sz w:val="18"/>
              </w:rPr>
            </w:pPr>
            <w:r>
              <w:rPr>
                <w:sz w:val="18"/>
              </w:rPr>
              <w:t>North Chennai TPS</w:t>
            </w:r>
          </w:p>
        </w:tc>
        <w:tc>
          <w:tcPr>
            <w:tcW w:w="1034" w:type="dxa"/>
          </w:tcPr>
          <w:p w:rsidR="007C5447" w:rsidRDefault="00F6308C">
            <w:pPr>
              <w:pStyle w:val="TableParagraph"/>
              <w:spacing w:before="52"/>
              <w:ind w:right="96"/>
              <w:rPr>
                <w:sz w:val="18"/>
              </w:rPr>
            </w:pPr>
            <w:r>
              <w:rPr>
                <w:sz w:val="18"/>
              </w:rPr>
              <w:t>121.94</w:t>
            </w:r>
          </w:p>
        </w:tc>
        <w:tc>
          <w:tcPr>
            <w:tcW w:w="1035" w:type="dxa"/>
          </w:tcPr>
          <w:p w:rsidR="007C5447" w:rsidRDefault="00F6308C">
            <w:pPr>
              <w:pStyle w:val="TableParagraph"/>
              <w:spacing w:before="52"/>
              <w:ind w:right="97"/>
              <w:rPr>
                <w:sz w:val="18"/>
              </w:rPr>
            </w:pPr>
            <w:r>
              <w:rPr>
                <w:sz w:val="18"/>
              </w:rPr>
              <w:t>729.51</w:t>
            </w:r>
          </w:p>
        </w:tc>
        <w:tc>
          <w:tcPr>
            <w:tcW w:w="1034" w:type="dxa"/>
          </w:tcPr>
          <w:p w:rsidR="007C5447" w:rsidRDefault="00F6308C">
            <w:pPr>
              <w:pStyle w:val="TableParagraph"/>
              <w:spacing w:before="52"/>
              <w:ind w:right="93"/>
              <w:rPr>
                <w:sz w:val="18"/>
              </w:rPr>
            </w:pPr>
            <w:r>
              <w:rPr>
                <w:sz w:val="18"/>
              </w:rPr>
              <w:t>82.88</w:t>
            </w:r>
          </w:p>
        </w:tc>
        <w:tc>
          <w:tcPr>
            <w:tcW w:w="1034" w:type="dxa"/>
          </w:tcPr>
          <w:p w:rsidR="007C5447" w:rsidRDefault="00F6308C">
            <w:pPr>
              <w:pStyle w:val="TableParagraph"/>
              <w:spacing w:before="52"/>
              <w:ind w:right="97"/>
              <w:rPr>
                <w:sz w:val="18"/>
              </w:rPr>
            </w:pPr>
            <w:r>
              <w:rPr>
                <w:sz w:val="18"/>
              </w:rPr>
              <w:t>135.19</w:t>
            </w:r>
          </w:p>
        </w:tc>
        <w:tc>
          <w:tcPr>
            <w:tcW w:w="1106" w:type="dxa"/>
          </w:tcPr>
          <w:p w:rsidR="007C5447" w:rsidRDefault="00F6308C">
            <w:pPr>
              <w:pStyle w:val="TableParagraph"/>
              <w:spacing w:before="52"/>
              <w:ind w:right="95"/>
              <w:rPr>
                <w:sz w:val="18"/>
              </w:rPr>
            </w:pPr>
            <w:r>
              <w:rPr>
                <w:sz w:val="18"/>
              </w:rPr>
              <w:t>259.35</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1"/>
              <w:rPr>
                <w:sz w:val="18"/>
              </w:rPr>
            </w:pPr>
            <w:r>
              <w:rPr>
                <w:sz w:val="18"/>
              </w:rPr>
              <w:t>(2.75)</w:t>
            </w:r>
          </w:p>
        </w:tc>
        <w:tc>
          <w:tcPr>
            <w:tcW w:w="1056" w:type="dxa"/>
          </w:tcPr>
          <w:p w:rsidR="007C5447" w:rsidRDefault="00F6308C">
            <w:pPr>
              <w:pStyle w:val="TableParagraph"/>
              <w:spacing w:before="52"/>
              <w:ind w:right="92"/>
              <w:rPr>
                <w:sz w:val="18"/>
              </w:rPr>
            </w:pPr>
            <w:r>
              <w:rPr>
                <w:sz w:val="18"/>
              </w:rPr>
              <w:t>46.49</w:t>
            </w:r>
          </w:p>
        </w:tc>
        <w:tc>
          <w:tcPr>
            <w:tcW w:w="1057" w:type="dxa"/>
          </w:tcPr>
          <w:p w:rsidR="007C5447" w:rsidRDefault="00F6308C">
            <w:pPr>
              <w:pStyle w:val="TableParagraph"/>
              <w:spacing w:before="52"/>
              <w:ind w:right="93"/>
              <w:rPr>
                <w:sz w:val="18"/>
              </w:rPr>
            </w:pPr>
            <w:r>
              <w:rPr>
                <w:sz w:val="18"/>
              </w:rPr>
              <w:t>44.15</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2"/>
              <w:ind w:right="95"/>
              <w:rPr>
                <w:sz w:val="18"/>
              </w:rPr>
            </w:pPr>
            <w:r>
              <w:rPr>
                <w:sz w:val="18"/>
              </w:rPr>
              <w:t>2.65</w:t>
            </w:r>
          </w:p>
        </w:tc>
        <w:tc>
          <w:tcPr>
            <w:tcW w:w="1083" w:type="dxa"/>
          </w:tcPr>
          <w:p w:rsidR="007C5447" w:rsidRDefault="00F6308C">
            <w:pPr>
              <w:pStyle w:val="TableParagraph"/>
              <w:spacing w:before="52"/>
              <w:ind w:right="96"/>
              <w:rPr>
                <w:sz w:val="18"/>
              </w:rPr>
            </w:pPr>
            <w:r>
              <w:rPr>
                <w:sz w:val="18"/>
              </w:rPr>
              <w:t>1,331.10</w:t>
            </w:r>
          </w:p>
        </w:tc>
      </w:tr>
      <w:tr w:rsidR="007C5447">
        <w:trPr>
          <w:trHeight w:val="316"/>
        </w:trPr>
        <w:tc>
          <w:tcPr>
            <w:tcW w:w="703" w:type="dxa"/>
          </w:tcPr>
          <w:p w:rsidR="007C5447" w:rsidRDefault="00F6308C">
            <w:pPr>
              <w:pStyle w:val="TableParagraph"/>
              <w:spacing w:before="55"/>
              <w:ind w:left="107"/>
              <w:jc w:val="left"/>
              <w:rPr>
                <w:sz w:val="18"/>
              </w:rPr>
            </w:pPr>
            <w:r>
              <w:rPr>
                <w:sz w:val="18"/>
              </w:rPr>
              <w:t>5</w:t>
            </w:r>
          </w:p>
        </w:tc>
        <w:tc>
          <w:tcPr>
            <w:tcW w:w="1891" w:type="dxa"/>
          </w:tcPr>
          <w:p w:rsidR="007C5447" w:rsidRDefault="00F6308C">
            <w:pPr>
              <w:pStyle w:val="TableParagraph"/>
              <w:spacing w:before="55"/>
              <w:ind w:left="107"/>
              <w:jc w:val="left"/>
              <w:rPr>
                <w:sz w:val="18"/>
              </w:rPr>
            </w:pPr>
            <w:r>
              <w:rPr>
                <w:sz w:val="18"/>
              </w:rPr>
              <w:t>Mettur TPS Stage III</w:t>
            </w:r>
          </w:p>
        </w:tc>
        <w:tc>
          <w:tcPr>
            <w:tcW w:w="1034" w:type="dxa"/>
          </w:tcPr>
          <w:p w:rsidR="007C5447" w:rsidRDefault="00F6308C">
            <w:pPr>
              <w:pStyle w:val="TableParagraph"/>
              <w:spacing w:before="55"/>
              <w:ind w:right="95"/>
              <w:rPr>
                <w:sz w:val="18"/>
              </w:rPr>
            </w:pPr>
            <w:r>
              <w:rPr>
                <w:w w:val="99"/>
                <w:sz w:val="18"/>
              </w:rPr>
              <w:t>-</w:t>
            </w:r>
          </w:p>
        </w:tc>
        <w:tc>
          <w:tcPr>
            <w:tcW w:w="1035" w:type="dxa"/>
          </w:tcPr>
          <w:p w:rsidR="007C5447" w:rsidRDefault="00F6308C">
            <w:pPr>
              <w:pStyle w:val="TableParagraph"/>
              <w:spacing w:before="55"/>
              <w:ind w:right="95"/>
              <w:rPr>
                <w:sz w:val="18"/>
              </w:rPr>
            </w:pPr>
            <w:r>
              <w:rPr>
                <w:w w:val="99"/>
                <w:sz w:val="18"/>
              </w:rPr>
              <w:t>-</w:t>
            </w:r>
          </w:p>
        </w:tc>
        <w:tc>
          <w:tcPr>
            <w:tcW w:w="1034" w:type="dxa"/>
          </w:tcPr>
          <w:p w:rsidR="007C5447" w:rsidRDefault="00F6308C">
            <w:pPr>
              <w:pStyle w:val="TableParagraph"/>
              <w:spacing w:before="55"/>
              <w:ind w:right="93"/>
              <w:rPr>
                <w:sz w:val="18"/>
              </w:rPr>
            </w:pPr>
            <w:r>
              <w:rPr>
                <w:sz w:val="18"/>
              </w:rPr>
              <w:t>45.04</w:t>
            </w:r>
          </w:p>
        </w:tc>
        <w:tc>
          <w:tcPr>
            <w:tcW w:w="1034" w:type="dxa"/>
          </w:tcPr>
          <w:p w:rsidR="007C5447" w:rsidRDefault="00F6308C">
            <w:pPr>
              <w:pStyle w:val="TableParagraph"/>
              <w:spacing w:before="55"/>
              <w:ind w:right="94"/>
              <w:rPr>
                <w:sz w:val="18"/>
              </w:rPr>
            </w:pPr>
            <w:r>
              <w:rPr>
                <w:w w:val="99"/>
                <w:sz w:val="18"/>
              </w:rPr>
              <w:t>-</w:t>
            </w:r>
          </w:p>
        </w:tc>
        <w:tc>
          <w:tcPr>
            <w:tcW w:w="1106" w:type="dxa"/>
          </w:tcPr>
          <w:p w:rsidR="007C5447" w:rsidRDefault="00F6308C">
            <w:pPr>
              <w:pStyle w:val="TableParagraph"/>
              <w:spacing w:before="55"/>
              <w:ind w:right="92"/>
              <w:rPr>
                <w:sz w:val="18"/>
              </w:rPr>
            </w:pPr>
            <w:r>
              <w:rPr>
                <w:sz w:val="18"/>
              </w:rPr>
              <w:t>50.29</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1"/>
              <w:rPr>
                <w:sz w:val="18"/>
              </w:rPr>
            </w:pPr>
            <w:r>
              <w:rPr>
                <w:sz w:val="18"/>
              </w:rPr>
              <w:t>(182.89)</w:t>
            </w:r>
          </w:p>
        </w:tc>
        <w:tc>
          <w:tcPr>
            <w:tcW w:w="1056" w:type="dxa"/>
          </w:tcPr>
          <w:p w:rsidR="007C5447" w:rsidRDefault="00F6308C">
            <w:pPr>
              <w:pStyle w:val="TableParagraph"/>
              <w:spacing w:before="55"/>
              <w:ind w:right="95"/>
              <w:rPr>
                <w:sz w:val="18"/>
              </w:rPr>
            </w:pPr>
            <w:r>
              <w:rPr>
                <w:sz w:val="18"/>
              </w:rPr>
              <w:t>1.70</w:t>
            </w:r>
          </w:p>
        </w:tc>
        <w:tc>
          <w:tcPr>
            <w:tcW w:w="1057" w:type="dxa"/>
          </w:tcPr>
          <w:p w:rsidR="007C5447" w:rsidRDefault="00F6308C">
            <w:pPr>
              <w:pStyle w:val="TableParagraph"/>
              <w:spacing w:before="55"/>
              <w:ind w:right="93"/>
              <w:rPr>
                <w:sz w:val="18"/>
              </w:rPr>
            </w:pPr>
            <w:r>
              <w:rPr>
                <w:sz w:val="18"/>
              </w:rPr>
              <w:t>27.55</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3"/>
              <w:rPr>
                <w:sz w:val="18"/>
              </w:rPr>
            </w:pPr>
            <w:r>
              <w:rPr>
                <w:w w:val="99"/>
                <w:sz w:val="18"/>
              </w:rPr>
              <w:t>-</w:t>
            </w:r>
          </w:p>
        </w:tc>
        <w:tc>
          <w:tcPr>
            <w:tcW w:w="1083" w:type="dxa"/>
          </w:tcPr>
          <w:p w:rsidR="007C5447" w:rsidRDefault="00F6308C">
            <w:pPr>
              <w:pStyle w:val="TableParagraph"/>
              <w:spacing w:before="55"/>
              <w:ind w:right="92"/>
              <w:rPr>
                <w:sz w:val="18"/>
              </w:rPr>
            </w:pPr>
            <w:r>
              <w:rPr>
                <w:sz w:val="18"/>
              </w:rPr>
              <w:t>(113.41)</w:t>
            </w:r>
          </w:p>
        </w:tc>
      </w:tr>
      <w:tr w:rsidR="007C5447">
        <w:trPr>
          <w:trHeight w:val="313"/>
        </w:trPr>
        <w:tc>
          <w:tcPr>
            <w:tcW w:w="703" w:type="dxa"/>
          </w:tcPr>
          <w:p w:rsidR="007C5447" w:rsidRDefault="00F6308C">
            <w:pPr>
              <w:pStyle w:val="TableParagraph"/>
              <w:spacing w:before="52"/>
              <w:ind w:left="107"/>
              <w:jc w:val="left"/>
              <w:rPr>
                <w:sz w:val="18"/>
              </w:rPr>
            </w:pPr>
            <w:r>
              <w:rPr>
                <w:sz w:val="18"/>
              </w:rPr>
              <w:t>6</w:t>
            </w:r>
          </w:p>
        </w:tc>
        <w:tc>
          <w:tcPr>
            <w:tcW w:w="1891" w:type="dxa"/>
          </w:tcPr>
          <w:p w:rsidR="007C5447" w:rsidRDefault="00F6308C">
            <w:pPr>
              <w:pStyle w:val="TableParagraph"/>
              <w:spacing w:before="52"/>
              <w:ind w:left="107"/>
              <w:jc w:val="left"/>
              <w:rPr>
                <w:sz w:val="18"/>
              </w:rPr>
            </w:pPr>
            <w:r>
              <w:rPr>
                <w:sz w:val="18"/>
              </w:rPr>
              <w:t>NCTPS Stage II</w:t>
            </w:r>
          </w:p>
        </w:tc>
        <w:tc>
          <w:tcPr>
            <w:tcW w:w="1034" w:type="dxa"/>
          </w:tcPr>
          <w:p w:rsidR="007C5447" w:rsidRDefault="00F6308C">
            <w:pPr>
              <w:pStyle w:val="TableParagraph"/>
              <w:spacing w:before="52"/>
              <w:ind w:right="95"/>
              <w:rPr>
                <w:sz w:val="18"/>
              </w:rPr>
            </w:pPr>
            <w:r>
              <w:rPr>
                <w:w w:val="99"/>
                <w:sz w:val="18"/>
              </w:rPr>
              <w:t>-</w:t>
            </w:r>
          </w:p>
        </w:tc>
        <w:tc>
          <w:tcPr>
            <w:tcW w:w="1035" w:type="dxa"/>
          </w:tcPr>
          <w:p w:rsidR="007C5447" w:rsidRDefault="00F6308C">
            <w:pPr>
              <w:pStyle w:val="TableParagraph"/>
              <w:spacing w:before="52"/>
              <w:ind w:right="95"/>
              <w:rPr>
                <w:sz w:val="18"/>
              </w:rPr>
            </w:pPr>
            <w:r>
              <w:rPr>
                <w:w w:val="99"/>
                <w:sz w:val="18"/>
              </w:rPr>
              <w:t>-</w:t>
            </w:r>
          </w:p>
        </w:tc>
        <w:tc>
          <w:tcPr>
            <w:tcW w:w="1034" w:type="dxa"/>
          </w:tcPr>
          <w:p w:rsidR="007C5447" w:rsidRDefault="00F6308C">
            <w:pPr>
              <w:pStyle w:val="TableParagraph"/>
              <w:spacing w:before="52"/>
              <w:ind w:right="93"/>
              <w:rPr>
                <w:sz w:val="18"/>
              </w:rPr>
            </w:pPr>
            <w:r>
              <w:rPr>
                <w:sz w:val="18"/>
              </w:rPr>
              <w:t>77.87</w:t>
            </w:r>
          </w:p>
        </w:tc>
        <w:tc>
          <w:tcPr>
            <w:tcW w:w="1034" w:type="dxa"/>
          </w:tcPr>
          <w:p w:rsidR="007C5447" w:rsidRDefault="00F6308C">
            <w:pPr>
              <w:pStyle w:val="TableParagraph"/>
              <w:spacing w:before="52"/>
              <w:ind w:right="94"/>
              <w:rPr>
                <w:sz w:val="18"/>
              </w:rPr>
            </w:pPr>
            <w:r>
              <w:rPr>
                <w:w w:val="99"/>
                <w:sz w:val="18"/>
              </w:rPr>
              <w:t>-</w:t>
            </w:r>
          </w:p>
        </w:tc>
        <w:tc>
          <w:tcPr>
            <w:tcW w:w="1106" w:type="dxa"/>
          </w:tcPr>
          <w:p w:rsidR="007C5447" w:rsidRDefault="00F6308C">
            <w:pPr>
              <w:pStyle w:val="TableParagraph"/>
              <w:spacing w:before="52"/>
              <w:ind w:right="92"/>
              <w:rPr>
                <w:sz w:val="18"/>
              </w:rPr>
            </w:pPr>
            <w:r>
              <w:rPr>
                <w:sz w:val="18"/>
              </w:rPr>
              <w:t>27.78</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1"/>
              <w:rPr>
                <w:sz w:val="18"/>
              </w:rPr>
            </w:pPr>
            <w:r>
              <w:rPr>
                <w:sz w:val="18"/>
              </w:rPr>
              <w:t>(10.59)</w:t>
            </w:r>
          </w:p>
        </w:tc>
        <w:tc>
          <w:tcPr>
            <w:tcW w:w="1056" w:type="dxa"/>
          </w:tcPr>
          <w:p w:rsidR="007C5447" w:rsidRDefault="00F6308C">
            <w:pPr>
              <w:pStyle w:val="TableParagraph"/>
              <w:spacing w:before="52"/>
              <w:ind w:right="92"/>
              <w:rPr>
                <w:sz w:val="18"/>
              </w:rPr>
            </w:pPr>
            <w:r>
              <w:rPr>
                <w:sz w:val="18"/>
              </w:rPr>
              <w:t>14.18</w:t>
            </w:r>
          </w:p>
        </w:tc>
        <w:tc>
          <w:tcPr>
            <w:tcW w:w="1057" w:type="dxa"/>
          </w:tcPr>
          <w:p w:rsidR="007C5447" w:rsidRDefault="00F6308C">
            <w:pPr>
              <w:pStyle w:val="TableParagraph"/>
              <w:spacing w:before="52"/>
              <w:ind w:right="95"/>
              <w:rPr>
                <w:sz w:val="18"/>
              </w:rPr>
            </w:pPr>
            <w:r>
              <w:rPr>
                <w:sz w:val="18"/>
              </w:rPr>
              <w:t>8.77</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2"/>
              <w:ind w:right="93"/>
              <w:rPr>
                <w:sz w:val="18"/>
              </w:rPr>
            </w:pPr>
            <w:r>
              <w:rPr>
                <w:w w:val="99"/>
                <w:sz w:val="18"/>
              </w:rPr>
              <w:t>-</w:t>
            </w:r>
          </w:p>
        </w:tc>
        <w:tc>
          <w:tcPr>
            <w:tcW w:w="1083" w:type="dxa"/>
          </w:tcPr>
          <w:p w:rsidR="007C5447" w:rsidRDefault="00F6308C">
            <w:pPr>
              <w:pStyle w:val="TableParagraph"/>
              <w:spacing w:before="52"/>
              <w:ind w:right="96"/>
              <w:rPr>
                <w:sz w:val="18"/>
              </w:rPr>
            </w:pPr>
            <w:r>
              <w:rPr>
                <w:sz w:val="18"/>
              </w:rPr>
              <w:t>100.46</w:t>
            </w:r>
          </w:p>
        </w:tc>
      </w:tr>
      <w:tr w:rsidR="007C5447">
        <w:trPr>
          <w:trHeight w:val="313"/>
        </w:trPr>
        <w:tc>
          <w:tcPr>
            <w:tcW w:w="703" w:type="dxa"/>
          </w:tcPr>
          <w:p w:rsidR="007C5447" w:rsidRDefault="00F6308C">
            <w:pPr>
              <w:pStyle w:val="TableParagraph"/>
              <w:spacing w:before="55"/>
              <w:ind w:left="107"/>
              <w:jc w:val="left"/>
              <w:rPr>
                <w:sz w:val="18"/>
              </w:rPr>
            </w:pPr>
            <w:r>
              <w:rPr>
                <w:sz w:val="18"/>
              </w:rPr>
              <w:t>7</w:t>
            </w:r>
          </w:p>
        </w:tc>
        <w:tc>
          <w:tcPr>
            <w:tcW w:w="1891" w:type="dxa"/>
          </w:tcPr>
          <w:p w:rsidR="007C5447" w:rsidRDefault="00F6308C">
            <w:pPr>
              <w:pStyle w:val="TableParagraph"/>
              <w:spacing w:before="55"/>
              <w:ind w:left="107"/>
              <w:jc w:val="left"/>
              <w:rPr>
                <w:sz w:val="18"/>
              </w:rPr>
            </w:pPr>
            <w:r>
              <w:rPr>
                <w:sz w:val="18"/>
              </w:rPr>
              <w:t>Tirumakottai GTPS</w:t>
            </w:r>
          </w:p>
        </w:tc>
        <w:tc>
          <w:tcPr>
            <w:tcW w:w="1034" w:type="dxa"/>
          </w:tcPr>
          <w:p w:rsidR="007C5447" w:rsidRDefault="00F6308C">
            <w:pPr>
              <w:pStyle w:val="TableParagraph"/>
              <w:spacing w:before="55"/>
              <w:ind w:right="94"/>
              <w:rPr>
                <w:sz w:val="18"/>
              </w:rPr>
            </w:pPr>
            <w:r>
              <w:rPr>
                <w:sz w:val="18"/>
              </w:rPr>
              <w:t>24.21</w:t>
            </w:r>
          </w:p>
        </w:tc>
        <w:tc>
          <w:tcPr>
            <w:tcW w:w="1035" w:type="dxa"/>
          </w:tcPr>
          <w:p w:rsidR="007C5447" w:rsidRDefault="00F6308C">
            <w:pPr>
              <w:pStyle w:val="TableParagraph"/>
              <w:spacing w:before="55"/>
              <w:ind w:right="97"/>
              <w:rPr>
                <w:sz w:val="18"/>
              </w:rPr>
            </w:pPr>
            <w:r>
              <w:rPr>
                <w:sz w:val="18"/>
              </w:rPr>
              <w:t>166.92</w:t>
            </w:r>
          </w:p>
        </w:tc>
        <w:tc>
          <w:tcPr>
            <w:tcW w:w="1034" w:type="dxa"/>
          </w:tcPr>
          <w:p w:rsidR="007C5447" w:rsidRDefault="00F6308C">
            <w:pPr>
              <w:pStyle w:val="TableParagraph"/>
              <w:spacing w:before="55"/>
              <w:ind w:right="93"/>
              <w:rPr>
                <w:sz w:val="18"/>
              </w:rPr>
            </w:pPr>
            <w:r>
              <w:rPr>
                <w:sz w:val="18"/>
              </w:rPr>
              <w:t>10.16</w:t>
            </w:r>
          </w:p>
        </w:tc>
        <w:tc>
          <w:tcPr>
            <w:tcW w:w="1034" w:type="dxa"/>
          </w:tcPr>
          <w:p w:rsidR="007C5447" w:rsidRDefault="00F6308C">
            <w:pPr>
              <w:pStyle w:val="TableParagraph"/>
              <w:spacing w:before="55"/>
              <w:ind w:right="93"/>
              <w:rPr>
                <w:sz w:val="18"/>
              </w:rPr>
            </w:pPr>
            <w:r>
              <w:rPr>
                <w:sz w:val="18"/>
              </w:rPr>
              <w:t>26.84</w:t>
            </w:r>
          </w:p>
        </w:tc>
        <w:tc>
          <w:tcPr>
            <w:tcW w:w="1106" w:type="dxa"/>
          </w:tcPr>
          <w:p w:rsidR="007C5447" w:rsidRDefault="00F6308C">
            <w:pPr>
              <w:pStyle w:val="TableParagraph"/>
              <w:spacing w:before="55"/>
              <w:ind w:right="95"/>
              <w:rPr>
                <w:sz w:val="18"/>
              </w:rPr>
            </w:pPr>
            <w:r>
              <w:rPr>
                <w:sz w:val="18"/>
              </w:rPr>
              <w:t>5.44</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1.23</w:t>
            </w:r>
          </w:p>
        </w:tc>
        <w:tc>
          <w:tcPr>
            <w:tcW w:w="1056" w:type="dxa"/>
          </w:tcPr>
          <w:p w:rsidR="007C5447" w:rsidRDefault="00F6308C">
            <w:pPr>
              <w:pStyle w:val="TableParagraph"/>
              <w:spacing w:before="55"/>
              <w:ind w:right="95"/>
              <w:rPr>
                <w:sz w:val="18"/>
              </w:rPr>
            </w:pPr>
            <w:r>
              <w:rPr>
                <w:sz w:val="18"/>
              </w:rPr>
              <w:t>0.36</w:t>
            </w:r>
          </w:p>
        </w:tc>
        <w:tc>
          <w:tcPr>
            <w:tcW w:w="1057" w:type="dxa"/>
          </w:tcPr>
          <w:p w:rsidR="007C5447" w:rsidRDefault="00F6308C">
            <w:pPr>
              <w:pStyle w:val="TableParagraph"/>
              <w:spacing w:before="55"/>
              <w:ind w:right="95"/>
              <w:rPr>
                <w:sz w:val="18"/>
              </w:rPr>
            </w:pPr>
            <w:r>
              <w:rPr>
                <w:sz w:val="18"/>
              </w:rPr>
              <w:t>0.15</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0.20</w:t>
            </w:r>
          </w:p>
        </w:tc>
        <w:tc>
          <w:tcPr>
            <w:tcW w:w="1083" w:type="dxa"/>
          </w:tcPr>
          <w:p w:rsidR="007C5447" w:rsidRDefault="00F6308C">
            <w:pPr>
              <w:pStyle w:val="TableParagraph"/>
              <w:spacing w:before="55"/>
              <w:ind w:right="96"/>
              <w:rPr>
                <w:sz w:val="18"/>
              </w:rPr>
            </w:pPr>
            <w:r>
              <w:rPr>
                <w:sz w:val="18"/>
              </w:rPr>
              <w:t>235.22</w:t>
            </w:r>
          </w:p>
        </w:tc>
      </w:tr>
      <w:tr w:rsidR="007C5447">
        <w:trPr>
          <w:trHeight w:val="316"/>
        </w:trPr>
        <w:tc>
          <w:tcPr>
            <w:tcW w:w="703" w:type="dxa"/>
          </w:tcPr>
          <w:p w:rsidR="007C5447" w:rsidRDefault="00F6308C">
            <w:pPr>
              <w:pStyle w:val="TableParagraph"/>
              <w:spacing w:before="55"/>
              <w:ind w:left="107"/>
              <w:jc w:val="left"/>
              <w:rPr>
                <w:sz w:val="18"/>
              </w:rPr>
            </w:pPr>
            <w:r>
              <w:rPr>
                <w:sz w:val="18"/>
              </w:rPr>
              <w:t>8</w:t>
            </w:r>
          </w:p>
        </w:tc>
        <w:tc>
          <w:tcPr>
            <w:tcW w:w="1891" w:type="dxa"/>
          </w:tcPr>
          <w:p w:rsidR="007C5447" w:rsidRDefault="00F6308C">
            <w:pPr>
              <w:pStyle w:val="TableParagraph"/>
              <w:spacing w:before="55"/>
              <w:ind w:left="107"/>
              <w:jc w:val="left"/>
              <w:rPr>
                <w:sz w:val="18"/>
              </w:rPr>
            </w:pPr>
            <w:r>
              <w:rPr>
                <w:sz w:val="18"/>
              </w:rPr>
              <w:t>Kuttalam GTPS</w:t>
            </w:r>
          </w:p>
        </w:tc>
        <w:tc>
          <w:tcPr>
            <w:tcW w:w="1034" w:type="dxa"/>
          </w:tcPr>
          <w:p w:rsidR="007C5447" w:rsidRDefault="00F6308C">
            <w:pPr>
              <w:pStyle w:val="TableParagraph"/>
              <w:spacing w:before="55"/>
              <w:ind w:right="94"/>
              <w:rPr>
                <w:sz w:val="18"/>
              </w:rPr>
            </w:pPr>
            <w:r>
              <w:rPr>
                <w:sz w:val="18"/>
              </w:rPr>
              <w:t>25.08</w:t>
            </w:r>
          </w:p>
        </w:tc>
        <w:tc>
          <w:tcPr>
            <w:tcW w:w="1035" w:type="dxa"/>
          </w:tcPr>
          <w:p w:rsidR="007C5447" w:rsidRDefault="00F6308C">
            <w:pPr>
              <w:pStyle w:val="TableParagraph"/>
              <w:spacing w:before="55"/>
              <w:ind w:right="97"/>
              <w:rPr>
                <w:sz w:val="18"/>
              </w:rPr>
            </w:pPr>
            <w:r>
              <w:rPr>
                <w:sz w:val="18"/>
              </w:rPr>
              <w:t>128.05</w:t>
            </w:r>
          </w:p>
        </w:tc>
        <w:tc>
          <w:tcPr>
            <w:tcW w:w="1034" w:type="dxa"/>
          </w:tcPr>
          <w:p w:rsidR="007C5447" w:rsidRDefault="00F6308C">
            <w:pPr>
              <w:pStyle w:val="TableParagraph"/>
              <w:spacing w:before="55"/>
              <w:ind w:right="96"/>
              <w:rPr>
                <w:sz w:val="18"/>
              </w:rPr>
            </w:pPr>
            <w:r>
              <w:rPr>
                <w:sz w:val="18"/>
              </w:rPr>
              <w:t>8.78</w:t>
            </w:r>
          </w:p>
        </w:tc>
        <w:tc>
          <w:tcPr>
            <w:tcW w:w="1034" w:type="dxa"/>
          </w:tcPr>
          <w:p w:rsidR="007C5447" w:rsidRDefault="00F6308C">
            <w:pPr>
              <w:pStyle w:val="TableParagraph"/>
              <w:spacing w:before="55"/>
              <w:ind w:right="93"/>
              <w:rPr>
                <w:sz w:val="18"/>
              </w:rPr>
            </w:pPr>
            <w:r>
              <w:rPr>
                <w:sz w:val="18"/>
              </w:rPr>
              <w:t>27.80</w:t>
            </w:r>
          </w:p>
        </w:tc>
        <w:tc>
          <w:tcPr>
            <w:tcW w:w="1106" w:type="dxa"/>
          </w:tcPr>
          <w:p w:rsidR="007C5447" w:rsidRDefault="00F6308C">
            <w:pPr>
              <w:pStyle w:val="TableParagraph"/>
              <w:spacing w:before="55"/>
              <w:ind w:right="92"/>
              <w:rPr>
                <w:sz w:val="18"/>
              </w:rPr>
            </w:pPr>
            <w:r>
              <w:rPr>
                <w:sz w:val="18"/>
              </w:rPr>
              <w:t>18.08</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1"/>
              <w:rPr>
                <w:sz w:val="18"/>
              </w:rPr>
            </w:pPr>
            <w:r>
              <w:rPr>
                <w:sz w:val="18"/>
              </w:rPr>
              <w:t>(85.37)</w:t>
            </w:r>
          </w:p>
        </w:tc>
        <w:tc>
          <w:tcPr>
            <w:tcW w:w="1056" w:type="dxa"/>
          </w:tcPr>
          <w:p w:rsidR="007C5447" w:rsidRDefault="00F6308C">
            <w:pPr>
              <w:pStyle w:val="TableParagraph"/>
              <w:spacing w:before="55"/>
              <w:ind w:right="95"/>
              <w:rPr>
                <w:sz w:val="18"/>
              </w:rPr>
            </w:pPr>
            <w:r>
              <w:rPr>
                <w:sz w:val="18"/>
              </w:rPr>
              <w:t>0.16</w:t>
            </w:r>
          </w:p>
        </w:tc>
        <w:tc>
          <w:tcPr>
            <w:tcW w:w="1057" w:type="dxa"/>
          </w:tcPr>
          <w:p w:rsidR="007C5447" w:rsidRDefault="00F6308C">
            <w:pPr>
              <w:pStyle w:val="TableParagraph"/>
              <w:spacing w:before="55"/>
              <w:ind w:right="95"/>
              <w:rPr>
                <w:sz w:val="18"/>
              </w:rPr>
            </w:pPr>
            <w:r>
              <w:rPr>
                <w:sz w:val="18"/>
              </w:rPr>
              <w:t>0.70</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0.20</w:t>
            </w:r>
          </w:p>
        </w:tc>
        <w:tc>
          <w:tcPr>
            <w:tcW w:w="1083" w:type="dxa"/>
          </w:tcPr>
          <w:p w:rsidR="007C5447" w:rsidRDefault="00F6308C">
            <w:pPr>
              <w:pStyle w:val="TableParagraph"/>
              <w:spacing w:before="55"/>
              <w:ind w:right="96"/>
              <w:rPr>
                <w:sz w:val="18"/>
              </w:rPr>
            </w:pPr>
            <w:r>
              <w:rPr>
                <w:sz w:val="18"/>
              </w:rPr>
              <w:t>122.07</w:t>
            </w:r>
          </w:p>
        </w:tc>
      </w:tr>
      <w:tr w:rsidR="007C5447">
        <w:trPr>
          <w:trHeight w:val="314"/>
        </w:trPr>
        <w:tc>
          <w:tcPr>
            <w:tcW w:w="703" w:type="dxa"/>
          </w:tcPr>
          <w:p w:rsidR="007C5447" w:rsidRDefault="00F6308C">
            <w:pPr>
              <w:pStyle w:val="TableParagraph"/>
              <w:spacing w:before="52"/>
              <w:ind w:left="107"/>
              <w:jc w:val="left"/>
              <w:rPr>
                <w:sz w:val="18"/>
              </w:rPr>
            </w:pPr>
            <w:r>
              <w:rPr>
                <w:sz w:val="18"/>
              </w:rPr>
              <w:t>9</w:t>
            </w:r>
          </w:p>
        </w:tc>
        <w:tc>
          <w:tcPr>
            <w:tcW w:w="1891" w:type="dxa"/>
          </w:tcPr>
          <w:p w:rsidR="007C5447" w:rsidRDefault="00F6308C">
            <w:pPr>
              <w:pStyle w:val="TableParagraph"/>
              <w:spacing w:before="52"/>
              <w:ind w:left="107"/>
              <w:jc w:val="left"/>
              <w:rPr>
                <w:sz w:val="18"/>
              </w:rPr>
            </w:pPr>
            <w:r>
              <w:rPr>
                <w:sz w:val="18"/>
              </w:rPr>
              <w:t>Basin Bridge GTPS</w:t>
            </w:r>
          </w:p>
        </w:tc>
        <w:tc>
          <w:tcPr>
            <w:tcW w:w="1034" w:type="dxa"/>
          </w:tcPr>
          <w:p w:rsidR="007C5447" w:rsidRDefault="00F6308C">
            <w:pPr>
              <w:pStyle w:val="TableParagraph"/>
              <w:spacing w:before="52"/>
              <w:ind w:right="94"/>
              <w:rPr>
                <w:sz w:val="18"/>
              </w:rPr>
            </w:pPr>
            <w:r>
              <w:rPr>
                <w:sz w:val="18"/>
              </w:rPr>
              <w:t>29.37</w:t>
            </w:r>
          </w:p>
        </w:tc>
        <w:tc>
          <w:tcPr>
            <w:tcW w:w="1035" w:type="dxa"/>
          </w:tcPr>
          <w:p w:rsidR="007C5447" w:rsidRDefault="00F6308C">
            <w:pPr>
              <w:pStyle w:val="TableParagraph"/>
              <w:spacing w:before="52"/>
              <w:ind w:right="97"/>
              <w:rPr>
                <w:sz w:val="18"/>
              </w:rPr>
            </w:pPr>
            <w:r>
              <w:rPr>
                <w:sz w:val="18"/>
              </w:rPr>
              <w:t>203.75</w:t>
            </w:r>
          </w:p>
        </w:tc>
        <w:tc>
          <w:tcPr>
            <w:tcW w:w="1034" w:type="dxa"/>
          </w:tcPr>
          <w:p w:rsidR="007C5447" w:rsidRDefault="00F6308C">
            <w:pPr>
              <w:pStyle w:val="TableParagraph"/>
              <w:spacing w:before="52"/>
              <w:ind w:right="96"/>
              <w:rPr>
                <w:sz w:val="18"/>
              </w:rPr>
            </w:pPr>
            <w:r>
              <w:rPr>
                <w:sz w:val="18"/>
              </w:rPr>
              <w:t>6.93</w:t>
            </w:r>
          </w:p>
        </w:tc>
        <w:tc>
          <w:tcPr>
            <w:tcW w:w="1034" w:type="dxa"/>
          </w:tcPr>
          <w:p w:rsidR="007C5447" w:rsidRDefault="00F6308C">
            <w:pPr>
              <w:pStyle w:val="TableParagraph"/>
              <w:spacing w:before="52"/>
              <w:ind w:right="93"/>
              <w:rPr>
                <w:sz w:val="18"/>
              </w:rPr>
            </w:pPr>
            <w:r>
              <w:rPr>
                <w:sz w:val="18"/>
              </w:rPr>
              <w:t>32.56</w:t>
            </w:r>
          </w:p>
        </w:tc>
        <w:tc>
          <w:tcPr>
            <w:tcW w:w="1106" w:type="dxa"/>
          </w:tcPr>
          <w:p w:rsidR="007C5447" w:rsidRDefault="00F6308C">
            <w:pPr>
              <w:pStyle w:val="TableParagraph"/>
              <w:spacing w:before="52"/>
              <w:ind w:right="95"/>
              <w:rPr>
                <w:sz w:val="18"/>
              </w:rPr>
            </w:pPr>
            <w:r>
              <w:rPr>
                <w:sz w:val="18"/>
              </w:rPr>
              <w:t>9.52</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0.56</w:t>
            </w:r>
          </w:p>
        </w:tc>
        <w:tc>
          <w:tcPr>
            <w:tcW w:w="1056" w:type="dxa"/>
          </w:tcPr>
          <w:p w:rsidR="007C5447" w:rsidRDefault="00F6308C">
            <w:pPr>
              <w:pStyle w:val="TableParagraph"/>
              <w:spacing w:before="52"/>
              <w:ind w:right="93"/>
              <w:rPr>
                <w:sz w:val="18"/>
              </w:rPr>
            </w:pPr>
            <w:r>
              <w:rPr>
                <w:w w:val="99"/>
                <w:sz w:val="18"/>
              </w:rPr>
              <w:t>-</w:t>
            </w:r>
          </w:p>
        </w:tc>
        <w:tc>
          <w:tcPr>
            <w:tcW w:w="1057" w:type="dxa"/>
          </w:tcPr>
          <w:p w:rsidR="007C5447" w:rsidRDefault="00F6308C">
            <w:pPr>
              <w:pStyle w:val="TableParagraph"/>
              <w:spacing w:before="52"/>
              <w:ind w:right="95"/>
              <w:rPr>
                <w:sz w:val="18"/>
              </w:rPr>
            </w:pPr>
            <w:r>
              <w:rPr>
                <w:sz w:val="18"/>
              </w:rPr>
              <w:t>0.03</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2"/>
              <w:ind w:right="95"/>
              <w:rPr>
                <w:sz w:val="18"/>
              </w:rPr>
            </w:pPr>
            <w:r>
              <w:rPr>
                <w:sz w:val="18"/>
              </w:rPr>
              <w:t>0.17</w:t>
            </w:r>
          </w:p>
        </w:tc>
        <w:tc>
          <w:tcPr>
            <w:tcW w:w="1083" w:type="dxa"/>
          </w:tcPr>
          <w:p w:rsidR="007C5447" w:rsidRDefault="00F6308C">
            <w:pPr>
              <w:pStyle w:val="TableParagraph"/>
              <w:spacing w:before="52"/>
              <w:ind w:right="96"/>
              <w:rPr>
                <w:sz w:val="18"/>
              </w:rPr>
            </w:pPr>
            <w:r>
              <w:rPr>
                <w:sz w:val="18"/>
              </w:rPr>
              <w:t>282.84</w:t>
            </w:r>
          </w:p>
        </w:tc>
      </w:tr>
      <w:tr w:rsidR="007C5447">
        <w:trPr>
          <w:trHeight w:val="316"/>
        </w:trPr>
        <w:tc>
          <w:tcPr>
            <w:tcW w:w="703" w:type="dxa"/>
          </w:tcPr>
          <w:p w:rsidR="007C5447" w:rsidRDefault="00F6308C">
            <w:pPr>
              <w:pStyle w:val="TableParagraph"/>
              <w:spacing w:before="55"/>
              <w:ind w:left="107"/>
              <w:jc w:val="left"/>
              <w:rPr>
                <w:sz w:val="18"/>
              </w:rPr>
            </w:pPr>
            <w:r>
              <w:rPr>
                <w:sz w:val="18"/>
              </w:rPr>
              <w:t>10</w:t>
            </w:r>
          </w:p>
        </w:tc>
        <w:tc>
          <w:tcPr>
            <w:tcW w:w="1891" w:type="dxa"/>
          </w:tcPr>
          <w:p w:rsidR="007C5447" w:rsidRDefault="00F6308C">
            <w:pPr>
              <w:pStyle w:val="TableParagraph"/>
              <w:spacing w:before="55"/>
              <w:ind w:left="107"/>
              <w:jc w:val="left"/>
              <w:rPr>
                <w:sz w:val="18"/>
              </w:rPr>
            </w:pPr>
            <w:r>
              <w:rPr>
                <w:sz w:val="18"/>
              </w:rPr>
              <w:t>Valuthur GTPS</w:t>
            </w:r>
          </w:p>
        </w:tc>
        <w:tc>
          <w:tcPr>
            <w:tcW w:w="1034" w:type="dxa"/>
          </w:tcPr>
          <w:p w:rsidR="007C5447" w:rsidRDefault="00F6308C">
            <w:pPr>
              <w:pStyle w:val="TableParagraph"/>
              <w:spacing w:before="55"/>
              <w:ind w:right="94"/>
              <w:rPr>
                <w:sz w:val="18"/>
              </w:rPr>
            </w:pPr>
            <w:r>
              <w:rPr>
                <w:sz w:val="18"/>
              </w:rPr>
              <w:t>30.95</w:t>
            </w:r>
          </w:p>
        </w:tc>
        <w:tc>
          <w:tcPr>
            <w:tcW w:w="1035" w:type="dxa"/>
          </w:tcPr>
          <w:p w:rsidR="007C5447" w:rsidRDefault="00F6308C">
            <w:pPr>
              <w:pStyle w:val="TableParagraph"/>
              <w:spacing w:before="55"/>
              <w:ind w:right="97"/>
              <w:rPr>
                <w:sz w:val="18"/>
              </w:rPr>
            </w:pPr>
            <w:r>
              <w:rPr>
                <w:sz w:val="18"/>
              </w:rPr>
              <w:t>199.95</w:t>
            </w:r>
          </w:p>
        </w:tc>
        <w:tc>
          <w:tcPr>
            <w:tcW w:w="1034" w:type="dxa"/>
          </w:tcPr>
          <w:p w:rsidR="007C5447" w:rsidRDefault="00F6308C">
            <w:pPr>
              <w:pStyle w:val="TableParagraph"/>
              <w:spacing w:before="55"/>
              <w:ind w:right="93"/>
              <w:rPr>
                <w:sz w:val="18"/>
              </w:rPr>
            </w:pPr>
            <w:r>
              <w:rPr>
                <w:sz w:val="18"/>
              </w:rPr>
              <w:t>16.86</w:t>
            </w:r>
          </w:p>
        </w:tc>
        <w:tc>
          <w:tcPr>
            <w:tcW w:w="1034" w:type="dxa"/>
          </w:tcPr>
          <w:p w:rsidR="007C5447" w:rsidRDefault="00F6308C">
            <w:pPr>
              <w:pStyle w:val="TableParagraph"/>
              <w:spacing w:before="55"/>
              <w:ind w:right="93"/>
              <w:rPr>
                <w:sz w:val="18"/>
              </w:rPr>
            </w:pPr>
            <w:r>
              <w:rPr>
                <w:sz w:val="18"/>
              </w:rPr>
              <w:t>34.31</w:t>
            </w:r>
          </w:p>
        </w:tc>
        <w:tc>
          <w:tcPr>
            <w:tcW w:w="1106" w:type="dxa"/>
          </w:tcPr>
          <w:p w:rsidR="007C5447" w:rsidRDefault="00F6308C">
            <w:pPr>
              <w:pStyle w:val="TableParagraph"/>
              <w:spacing w:before="55"/>
              <w:ind w:right="95"/>
              <w:rPr>
                <w:sz w:val="18"/>
              </w:rPr>
            </w:pPr>
            <w:r>
              <w:rPr>
                <w:sz w:val="18"/>
              </w:rPr>
              <w:t>6.35</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0.43</w:t>
            </w:r>
          </w:p>
        </w:tc>
        <w:tc>
          <w:tcPr>
            <w:tcW w:w="1056" w:type="dxa"/>
          </w:tcPr>
          <w:p w:rsidR="007C5447" w:rsidRDefault="00F6308C">
            <w:pPr>
              <w:pStyle w:val="TableParagraph"/>
              <w:spacing w:before="55"/>
              <w:ind w:right="93"/>
              <w:rPr>
                <w:sz w:val="18"/>
              </w:rPr>
            </w:pPr>
            <w:r>
              <w:rPr>
                <w:w w:val="99"/>
                <w:sz w:val="18"/>
              </w:rPr>
              <w:t>-</w:t>
            </w:r>
          </w:p>
        </w:tc>
        <w:tc>
          <w:tcPr>
            <w:tcW w:w="1057" w:type="dxa"/>
          </w:tcPr>
          <w:p w:rsidR="007C5447" w:rsidRDefault="00F6308C">
            <w:pPr>
              <w:pStyle w:val="TableParagraph"/>
              <w:spacing w:before="55"/>
              <w:ind w:right="95"/>
              <w:rPr>
                <w:sz w:val="18"/>
              </w:rPr>
            </w:pPr>
            <w:r>
              <w:rPr>
                <w:sz w:val="18"/>
              </w:rPr>
              <w:t>0.29</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0.26</w:t>
            </w:r>
          </w:p>
        </w:tc>
        <w:tc>
          <w:tcPr>
            <w:tcW w:w="1083" w:type="dxa"/>
          </w:tcPr>
          <w:p w:rsidR="007C5447" w:rsidRDefault="00F6308C">
            <w:pPr>
              <w:pStyle w:val="TableParagraph"/>
              <w:spacing w:before="55"/>
              <w:ind w:right="96"/>
              <w:rPr>
                <w:sz w:val="18"/>
              </w:rPr>
            </w:pPr>
            <w:r>
              <w:rPr>
                <w:sz w:val="18"/>
              </w:rPr>
              <w:t>288.83</w:t>
            </w:r>
          </w:p>
        </w:tc>
      </w:tr>
      <w:tr w:rsidR="007C5447">
        <w:trPr>
          <w:trHeight w:val="313"/>
        </w:trPr>
        <w:tc>
          <w:tcPr>
            <w:tcW w:w="703" w:type="dxa"/>
          </w:tcPr>
          <w:p w:rsidR="007C5447" w:rsidRDefault="00F6308C">
            <w:pPr>
              <w:pStyle w:val="TableParagraph"/>
              <w:spacing w:before="52"/>
              <w:ind w:left="107"/>
              <w:jc w:val="left"/>
              <w:rPr>
                <w:sz w:val="18"/>
              </w:rPr>
            </w:pPr>
            <w:r>
              <w:rPr>
                <w:sz w:val="18"/>
              </w:rPr>
              <w:t>12</w:t>
            </w:r>
          </w:p>
        </w:tc>
        <w:tc>
          <w:tcPr>
            <w:tcW w:w="1891" w:type="dxa"/>
          </w:tcPr>
          <w:p w:rsidR="007C5447" w:rsidRDefault="00F6308C">
            <w:pPr>
              <w:pStyle w:val="TableParagraph"/>
              <w:spacing w:before="52"/>
              <w:ind w:left="107"/>
              <w:jc w:val="left"/>
              <w:rPr>
                <w:sz w:val="18"/>
              </w:rPr>
            </w:pPr>
            <w:r>
              <w:rPr>
                <w:sz w:val="18"/>
              </w:rPr>
              <w:t>Erode HEP</w:t>
            </w:r>
          </w:p>
        </w:tc>
        <w:tc>
          <w:tcPr>
            <w:tcW w:w="1034" w:type="dxa"/>
          </w:tcPr>
          <w:p w:rsidR="007C5447" w:rsidRDefault="00F6308C">
            <w:pPr>
              <w:pStyle w:val="TableParagraph"/>
              <w:spacing w:before="52"/>
              <w:ind w:right="94"/>
              <w:rPr>
                <w:sz w:val="18"/>
              </w:rPr>
            </w:pPr>
            <w:r>
              <w:rPr>
                <w:sz w:val="18"/>
              </w:rPr>
              <w:t>63.14</w:t>
            </w:r>
          </w:p>
        </w:tc>
        <w:tc>
          <w:tcPr>
            <w:tcW w:w="1035" w:type="dxa"/>
          </w:tcPr>
          <w:p w:rsidR="007C5447" w:rsidRDefault="00F6308C">
            <w:pPr>
              <w:pStyle w:val="TableParagraph"/>
              <w:spacing w:before="52"/>
              <w:ind w:right="97"/>
              <w:rPr>
                <w:sz w:val="18"/>
              </w:rPr>
            </w:pPr>
            <w:r>
              <w:rPr>
                <w:sz w:val="18"/>
              </w:rPr>
              <w:t>243.99</w:t>
            </w:r>
          </w:p>
        </w:tc>
        <w:tc>
          <w:tcPr>
            <w:tcW w:w="1034" w:type="dxa"/>
          </w:tcPr>
          <w:p w:rsidR="007C5447" w:rsidRDefault="00F6308C">
            <w:pPr>
              <w:pStyle w:val="TableParagraph"/>
              <w:spacing w:before="52"/>
              <w:ind w:right="96"/>
              <w:rPr>
                <w:sz w:val="18"/>
              </w:rPr>
            </w:pPr>
            <w:r>
              <w:rPr>
                <w:sz w:val="18"/>
              </w:rPr>
              <w:t>4.86</w:t>
            </w:r>
          </w:p>
        </w:tc>
        <w:tc>
          <w:tcPr>
            <w:tcW w:w="1034" w:type="dxa"/>
          </w:tcPr>
          <w:p w:rsidR="007C5447" w:rsidRDefault="00F6308C">
            <w:pPr>
              <w:pStyle w:val="TableParagraph"/>
              <w:spacing w:before="52"/>
              <w:ind w:right="93"/>
              <w:rPr>
                <w:sz w:val="18"/>
              </w:rPr>
            </w:pPr>
            <w:r>
              <w:rPr>
                <w:sz w:val="18"/>
              </w:rPr>
              <w:t>70.00</w:t>
            </w:r>
          </w:p>
        </w:tc>
        <w:tc>
          <w:tcPr>
            <w:tcW w:w="1106" w:type="dxa"/>
          </w:tcPr>
          <w:p w:rsidR="007C5447" w:rsidRDefault="00F6308C">
            <w:pPr>
              <w:pStyle w:val="TableParagraph"/>
              <w:spacing w:before="52"/>
              <w:ind w:right="92"/>
              <w:rPr>
                <w:sz w:val="18"/>
              </w:rPr>
            </w:pPr>
            <w:r>
              <w:rPr>
                <w:sz w:val="18"/>
              </w:rPr>
              <w:t>33.19</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0.30</w:t>
            </w:r>
          </w:p>
        </w:tc>
        <w:tc>
          <w:tcPr>
            <w:tcW w:w="1056" w:type="dxa"/>
          </w:tcPr>
          <w:p w:rsidR="007C5447" w:rsidRDefault="00F6308C">
            <w:pPr>
              <w:pStyle w:val="TableParagraph"/>
              <w:spacing w:before="52"/>
              <w:ind w:right="95"/>
              <w:rPr>
                <w:sz w:val="18"/>
              </w:rPr>
            </w:pPr>
            <w:r>
              <w:rPr>
                <w:sz w:val="18"/>
              </w:rPr>
              <w:t>0.12</w:t>
            </w:r>
          </w:p>
        </w:tc>
        <w:tc>
          <w:tcPr>
            <w:tcW w:w="1057" w:type="dxa"/>
          </w:tcPr>
          <w:p w:rsidR="007C5447" w:rsidRDefault="00F6308C">
            <w:pPr>
              <w:pStyle w:val="TableParagraph"/>
              <w:spacing w:before="52"/>
              <w:ind w:right="95"/>
              <w:rPr>
                <w:sz w:val="18"/>
              </w:rPr>
            </w:pPr>
            <w:r>
              <w:rPr>
                <w:sz w:val="18"/>
              </w:rPr>
              <w:t>0.11</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2"/>
              <w:ind w:right="95"/>
              <w:rPr>
                <w:sz w:val="18"/>
              </w:rPr>
            </w:pPr>
            <w:r>
              <w:rPr>
                <w:sz w:val="18"/>
              </w:rPr>
              <w:t>1.13</w:t>
            </w:r>
          </w:p>
        </w:tc>
        <w:tc>
          <w:tcPr>
            <w:tcW w:w="1083" w:type="dxa"/>
          </w:tcPr>
          <w:p w:rsidR="007C5447" w:rsidRDefault="00F6308C">
            <w:pPr>
              <w:pStyle w:val="TableParagraph"/>
              <w:spacing w:before="52"/>
              <w:ind w:right="96"/>
              <w:rPr>
                <w:sz w:val="18"/>
              </w:rPr>
            </w:pPr>
            <w:r>
              <w:rPr>
                <w:sz w:val="18"/>
              </w:rPr>
              <w:t>416.62</w:t>
            </w:r>
          </w:p>
        </w:tc>
      </w:tr>
      <w:tr w:rsidR="007C5447">
        <w:trPr>
          <w:trHeight w:val="314"/>
        </w:trPr>
        <w:tc>
          <w:tcPr>
            <w:tcW w:w="703" w:type="dxa"/>
          </w:tcPr>
          <w:p w:rsidR="007C5447" w:rsidRDefault="00F6308C">
            <w:pPr>
              <w:pStyle w:val="TableParagraph"/>
              <w:spacing w:before="55"/>
              <w:ind w:left="107"/>
              <w:jc w:val="left"/>
              <w:rPr>
                <w:sz w:val="18"/>
              </w:rPr>
            </w:pPr>
            <w:r>
              <w:rPr>
                <w:sz w:val="18"/>
              </w:rPr>
              <w:t>13</w:t>
            </w:r>
          </w:p>
        </w:tc>
        <w:tc>
          <w:tcPr>
            <w:tcW w:w="1891" w:type="dxa"/>
          </w:tcPr>
          <w:p w:rsidR="007C5447" w:rsidRDefault="00F6308C">
            <w:pPr>
              <w:pStyle w:val="TableParagraph"/>
              <w:spacing w:before="55"/>
              <w:ind w:left="107"/>
              <w:jc w:val="left"/>
              <w:rPr>
                <w:sz w:val="18"/>
              </w:rPr>
            </w:pPr>
            <w:r>
              <w:rPr>
                <w:sz w:val="18"/>
              </w:rPr>
              <w:t>Kadamparai HEP</w:t>
            </w:r>
          </w:p>
        </w:tc>
        <w:tc>
          <w:tcPr>
            <w:tcW w:w="1034" w:type="dxa"/>
          </w:tcPr>
          <w:p w:rsidR="007C5447" w:rsidRDefault="00F6308C">
            <w:pPr>
              <w:pStyle w:val="TableParagraph"/>
              <w:spacing w:before="55"/>
              <w:ind w:right="94"/>
              <w:rPr>
                <w:sz w:val="18"/>
              </w:rPr>
            </w:pPr>
            <w:r>
              <w:rPr>
                <w:sz w:val="18"/>
              </w:rPr>
              <w:t>20.23</w:t>
            </w:r>
          </w:p>
        </w:tc>
        <w:tc>
          <w:tcPr>
            <w:tcW w:w="1035" w:type="dxa"/>
          </w:tcPr>
          <w:p w:rsidR="007C5447" w:rsidRDefault="00F6308C">
            <w:pPr>
              <w:pStyle w:val="TableParagraph"/>
              <w:spacing w:before="55"/>
              <w:ind w:right="97"/>
              <w:rPr>
                <w:sz w:val="18"/>
              </w:rPr>
            </w:pPr>
            <w:r>
              <w:rPr>
                <w:sz w:val="18"/>
              </w:rPr>
              <w:t>134.20</w:t>
            </w:r>
          </w:p>
        </w:tc>
        <w:tc>
          <w:tcPr>
            <w:tcW w:w="1034" w:type="dxa"/>
          </w:tcPr>
          <w:p w:rsidR="007C5447" w:rsidRDefault="00F6308C">
            <w:pPr>
              <w:pStyle w:val="TableParagraph"/>
              <w:spacing w:before="55"/>
              <w:ind w:right="96"/>
              <w:rPr>
                <w:sz w:val="18"/>
              </w:rPr>
            </w:pPr>
            <w:r>
              <w:rPr>
                <w:sz w:val="18"/>
              </w:rPr>
              <w:t>5.15</w:t>
            </w:r>
          </w:p>
        </w:tc>
        <w:tc>
          <w:tcPr>
            <w:tcW w:w="1034" w:type="dxa"/>
          </w:tcPr>
          <w:p w:rsidR="007C5447" w:rsidRDefault="00F6308C">
            <w:pPr>
              <w:pStyle w:val="TableParagraph"/>
              <w:spacing w:before="55"/>
              <w:ind w:right="93"/>
              <w:rPr>
                <w:sz w:val="18"/>
              </w:rPr>
            </w:pPr>
            <w:r>
              <w:rPr>
                <w:sz w:val="18"/>
              </w:rPr>
              <w:t>22.43</w:t>
            </w:r>
          </w:p>
        </w:tc>
        <w:tc>
          <w:tcPr>
            <w:tcW w:w="1106" w:type="dxa"/>
          </w:tcPr>
          <w:p w:rsidR="007C5447" w:rsidRDefault="00F6308C">
            <w:pPr>
              <w:pStyle w:val="TableParagraph"/>
              <w:spacing w:before="55"/>
              <w:ind w:right="92"/>
              <w:rPr>
                <w:sz w:val="18"/>
              </w:rPr>
            </w:pPr>
            <w:r>
              <w:rPr>
                <w:sz w:val="18"/>
              </w:rPr>
              <w:t>26.78</w:t>
            </w:r>
          </w:p>
        </w:tc>
        <w:tc>
          <w:tcPr>
            <w:tcW w:w="1056" w:type="dxa"/>
          </w:tcPr>
          <w:p w:rsidR="007C5447" w:rsidRDefault="00F6308C">
            <w:pPr>
              <w:pStyle w:val="TableParagraph"/>
              <w:spacing w:before="55"/>
              <w:ind w:right="95"/>
              <w:rPr>
                <w:sz w:val="18"/>
              </w:rPr>
            </w:pPr>
            <w:r>
              <w:rPr>
                <w:sz w:val="18"/>
              </w:rPr>
              <w:t>0.02</w:t>
            </w:r>
          </w:p>
        </w:tc>
        <w:tc>
          <w:tcPr>
            <w:tcW w:w="1056" w:type="dxa"/>
          </w:tcPr>
          <w:p w:rsidR="007C5447" w:rsidRDefault="00F6308C">
            <w:pPr>
              <w:pStyle w:val="TableParagraph"/>
              <w:spacing w:before="55"/>
              <w:ind w:right="95"/>
              <w:rPr>
                <w:sz w:val="18"/>
              </w:rPr>
            </w:pPr>
            <w:r>
              <w:rPr>
                <w:sz w:val="18"/>
              </w:rPr>
              <w:t>0.15</w:t>
            </w:r>
          </w:p>
        </w:tc>
        <w:tc>
          <w:tcPr>
            <w:tcW w:w="1056" w:type="dxa"/>
          </w:tcPr>
          <w:p w:rsidR="007C5447" w:rsidRDefault="00F6308C">
            <w:pPr>
              <w:pStyle w:val="TableParagraph"/>
              <w:spacing w:before="55"/>
              <w:ind w:right="95"/>
              <w:rPr>
                <w:sz w:val="18"/>
              </w:rPr>
            </w:pPr>
            <w:r>
              <w:rPr>
                <w:sz w:val="18"/>
              </w:rPr>
              <w:t>1.66</w:t>
            </w:r>
          </w:p>
        </w:tc>
        <w:tc>
          <w:tcPr>
            <w:tcW w:w="1057" w:type="dxa"/>
          </w:tcPr>
          <w:p w:rsidR="007C5447" w:rsidRDefault="00F6308C">
            <w:pPr>
              <w:pStyle w:val="TableParagraph"/>
              <w:spacing w:before="55"/>
              <w:ind w:right="95"/>
              <w:rPr>
                <w:sz w:val="18"/>
              </w:rPr>
            </w:pPr>
            <w:r>
              <w:rPr>
                <w:sz w:val="18"/>
              </w:rPr>
              <w:t>0.25</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0.73</w:t>
            </w:r>
          </w:p>
        </w:tc>
        <w:tc>
          <w:tcPr>
            <w:tcW w:w="1083" w:type="dxa"/>
          </w:tcPr>
          <w:p w:rsidR="007C5447" w:rsidRDefault="00F6308C">
            <w:pPr>
              <w:pStyle w:val="TableParagraph"/>
              <w:spacing w:before="55"/>
              <w:ind w:right="96"/>
              <w:rPr>
                <w:sz w:val="18"/>
              </w:rPr>
            </w:pPr>
            <w:r>
              <w:rPr>
                <w:sz w:val="18"/>
              </w:rPr>
              <w:t>211.11</w:t>
            </w:r>
          </w:p>
        </w:tc>
      </w:tr>
      <w:tr w:rsidR="007C5447">
        <w:trPr>
          <w:trHeight w:val="316"/>
        </w:trPr>
        <w:tc>
          <w:tcPr>
            <w:tcW w:w="703" w:type="dxa"/>
          </w:tcPr>
          <w:p w:rsidR="007C5447" w:rsidRDefault="00F6308C">
            <w:pPr>
              <w:pStyle w:val="TableParagraph"/>
              <w:spacing w:before="55"/>
              <w:ind w:left="107"/>
              <w:jc w:val="left"/>
              <w:rPr>
                <w:sz w:val="18"/>
              </w:rPr>
            </w:pPr>
            <w:r>
              <w:rPr>
                <w:sz w:val="18"/>
              </w:rPr>
              <w:t>14</w:t>
            </w:r>
          </w:p>
        </w:tc>
        <w:tc>
          <w:tcPr>
            <w:tcW w:w="1891" w:type="dxa"/>
          </w:tcPr>
          <w:p w:rsidR="007C5447" w:rsidRDefault="00F6308C">
            <w:pPr>
              <w:pStyle w:val="TableParagraph"/>
              <w:spacing w:before="55"/>
              <w:ind w:left="107"/>
              <w:jc w:val="left"/>
              <w:rPr>
                <w:sz w:val="18"/>
              </w:rPr>
            </w:pPr>
            <w:r>
              <w:rPr>
                <w:sz w:val="18"/>
              </w:rPr>
              <w:t>Kundah HEP</w:t>
            </w:r>
          </w:p>
        </w:tc>
        <w:tc>
          <w:tcPr>
            <w:tcW w:w="1034" w:type="dxa"/>
          </w:tcPr>
          <w:p w:rsidR="007C5447" w:rsidRDefault="00F6308C">
            <w:pPr>
              <w:pStyle w:val="TableParagraph"/>
              <w:spacing w:before="55"/>
              <w:ind w:right="94"/>
              <w:rPr>
                <w:sz w:val="18"/>
              </w:rPr>
            </w:pPr>
            <w:r>
              <w:rPr>
                <w:sz w:val="18"/>
              </w:rPr>
              <w:t>51.52</w:t>
            </w:r>
          </w:p>
        </w:tc>
        <w:tc>
          <w:tcPr>
            <w:tcW w:w="1035" w:type="dxa"/>
          </w:tcPr>
          <w:p w:rsidR="007C5447" w:rsidRDefault="00F6308C">
            <w:pPr>
              <w:pStyle w:val="TableParagraph"/>
              <w:spacing w:before="55"/>
              <w:ind w:right="97"/>
              <w:rPr>
                <w:sz w:val="18"/>
              </w:rPr>
            </w:pPr>
            <w:r>
              <w:rPr>
                <w:sz w:val="18"/>
              </w:rPr>
              <w:t>353.43</w:t>
            </w:r>
          </w:p>
        </w:tc>
        <w:tc>
          <w:tcPr>
            <w:tcW w:w="1034" w:type="dxa"/>
          </w:tcPr>
          <w:p w:rsidR="007C5447" w:rsidRDefault="00F6308C">
            <w:pPr>
              <w:pStyle w:val="TableParagraph"/>
              <w:spacing w:before="55"/>
              <w:ind w:right="93"/>
              <w:rPr>
                <w:sz w:val="18"/>
              </w:rPr>
            </w:pPr>
            <w:r>
              <w:rPr>
                <w:sz w:val="18"/>
              </w:rPr>
              <w:t>12.44</w:t>
            </w:r>
          </w:p>
        </w:tc>
        <w:tc>
          <w:tcPr>
            <w:tcW w:w="1034" w:type="dxa"/>
          </w:tcPr>
          <w:p w:rsidR="007C5447" w:rsidRDefault="00F6308C">
            <w:pPr>
              <w:pStyle w:val="TableParagraph"/>
              <w:spacing w:before="55"/>
              <w:ind w:right="93"/>
              <w:rPr>
                <w:sz w:val="18"/>
              </w:rPr>
            </w:pPr>
            <w:r>
              <w:rPr>
                <w:sz w:val="18"/>
              </w:rPr>
              <w:t>57.12</w:t>
            </w:r>
          </w:p>
        </w:tc>
        <w:tc>
          <w:tcPr>
            <w:tcW w:w="1106" w:type="dxa"/>
          </w:tcPr>
          <w:p w:rsidR="007C5447" w:rsidRDefault="00F6308C">
            <w:pPr>
              <w:pStyle w:val="TableParagraph"/>
              <w:spacing w:before="55"/>
              <w:ind w:right="92"/>
              <w:rPr>
                <w:sz w:val="18"/>
              </w:rPr>
            </w:pPr>
            <w:r>
              <w:rPr>
                <w:sz w:val="18"/>
              </w:rPr>
              <w:t>35.38</w:t>
            </w:r>
          </w:p>
        </w:tc>
        <w:tc>
          <w:tcPr>
            <w:tcW w:w="1056" w:type="dxa"/>
          </w:tcPr>
          <w:p w:rsidR="007C5447" w:rsidRDefault="00F6308C">
            <w:pPr>
              <w:pStyle w:val="TableParagraph"/>
              <w:spacing w:before="55"/>
              <w:ind w:right="95"/>
              <w:rPr>
                <w:sz w:val="18"/>
              </w:rPr>
            </w:pPr>
            <w:r>
              <w:rPr>
                <w:sz w:val="18"/>
              </w:rPr>
              <w:t>0.16</w:t>
            </w:r>
          </w:p>
        </w:tc>
        <w:tc>
          <w:tcPr>
            <w:tcW w:w="1056" w:type="dxa"/>
          </w:tcPr>
          <w:p w:rsidR="007C5447" w:rsidRDefault="00F6308C">
            <w:pPr>
              <w:pStyle w:val="TableParagraph"/>
              <w:spacing w:before="55"/>
              <w:ind w:right="95"/>
              <w:rPr>
                <w:sz w:val="18"/>
              </w:rPr>
            </w:pPr>
            <w:r>
              <w:rPr>
                <w:sz w:val="18"/>
              </w:rPr>
              <w:t>0.95</w:t>
            </w:r>
          </w:p>
        </w:tc>
        <w:tc>
          <w:tcPr>
            <w:tcW w:w="1056" w:type="dxa"/>
          </w:tcPr>
          <w:p w:rsidR="007C5447" w:rsidRDefault="00F6308C">
            <w:pPr>
              <w:pStyle w:val="TableParagraph"/>
              <w:spacing w:before="55"/>
              <w:ind w:right="92"/>
              <w:rPr>
                <w:sz w:val="18"/>
              </w:rPr>
            </w:pPr>
            <w:r>
              <w:rPr>
                <w:sz w:val="18"/>
              </w:rPr>
              <w:t>11.00</w:t>
            </w:r>
          </w:p>
        </w:tc>
        <w:tc>
          <w:tcPr>
            <w:tcW w:w="1057" w:type="dxa"/>
          </w:tcPr>
          <w:p w:rsidR="007C5447" w:rsidRDefault="00F6308C">
            <w:pPr>
              <w:pStyle w:val="TableParagraph"/>
              <w:spacing w:before="55"/>
              <w:ind w:right="95"/>
              <w:rPr>
                <w:sz w:val="18"/>
              </w:rPr>
            </w:pPr>
            <w:r>
              <w:rPr>
                <w:sz w:val="18"/>
              </w:rPr>
              <w:t>0.64</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1"/>
              <w:rPr>
                <w:sz w:val="18"/>
              </w:rPr>
            </w:pPr>
            <w:r>
              <w:rPr>
                <w:sz w:val="18"/>
              </w:rPr>
              <w:t>(0.23)</w:t>
            </w:r>
          </w:p>
        </w:tc>
        <w:tc>
          <w:tcPr>
            <w:tcW w:w="1083" w:type="dxa"/>
          </w:tcPr>
          <w:p w:rsidR="007C5447" w:rsidRDefault="00F6308C">
            <w:pPr>
              <w:pStyle w:val="TableParagraph"/>
              <w:spacing w:before="55"/>
              <w:ind w:right="96"/>
              <w:rPr>
                <w:sz w:val="18"/>
              </w:rPr>
            </w:pPr>
            <w:r>
              <w:rPr>
                <w:sz w:val="18"/>
              </w:rPr>
              <w:t>521.14</w:t>
            </w:r>
          </w:p>
        </w:tc>
      </w:tr>
      <w:tr w:rsidR="007C5447">
        <w:trPr>
          <w:trHeight w:val="313"/>
        </w:trPr>
        <w:tc>
          <w:tcPr>
            <w:tcW w:w="703" w:type="dxa"/>
          </w:tcPr>
          <w:p w:rsidR="007C5447" w:rsidRDefault="00F6308C">
            <w:pPr>
              <w:pStyle w:val="TableParagraph"/>
              <w:spacing w:before="55"/>
              <w:ind w:left="107"/>
              <w:jc w:val="left"/>
              <w:rPr>
                <w:sz w:val="18"/>
              </w:rPr>
            </w:pPr>
            <w:r>
              <w:rPr>
                <w:sz w:val="18"/>
              </w:rPr>
              <w:t>15</w:t>
            </w:r>
          </w:p>
        </w:tc>
        <w:tc>
          <w:tcPr>
            <w:tcW w:w="1891" w:type="dxa"/>
          </w:tcPr>
          <w:p w:rsidR="007C5447" w:rsidRDefault="00F6308C">
            <w:pPr>
              <w:pStyle w:val="TableParagraph"/>
              <w:spacing w:before="55"/>
              <w:ind w:left="107"/>
              <w:jc w:val="left"/>
              <w:rPr>
                <w:sz w:val="18"/>
              </w:rPr>
            </w:pPr>
            <w:r>
              <w:rPr>
                <w:sz w:val="18"/>
              </w:rPr>
              <w:t>Tirunelveli HEP</w:t>
            </w:r>
          </w:p>
        </w:tc>
        <w:tc>
          <w:tcPr>
            <w:tcW w:w="1034" w:type="dxa"/>
          </w:tcPr>
          <w:p w:rsidR="007C5447" w:rsidRDefault="00F6308C">
            <w:pPr>
              <w:pStyle w:val="TableParagraph"/>
              <w:spacing w:before="55"/>
              <w:ind w:right="94"/>
              <w:rPr>
                <w:sz w:val="18"/>
              </w:rPr>
            </w:pPr>
            <w:r>
              <w:rPr>
                <w:sz w:val="18"/>
              </w:rPr>
              <w:t>24.21</w:t>
            </w:r>
          </w:p>
        </w:tc>
        <w:tc>
          <w:tcPr>
            <w:tcW w:w="1035" w:type="dxa"/>
          </w:tcPr>
          <w:p w:rsidR="007C5447" w:rsidRDefault="00F6308C">
            <w:pPr>
              <w:pStyle w:val="TableParagraph"/>
              <w:spacing w:before="55"/>
              <w:ind w:right="97"/>
              <w:rPr>
                <w:sz w:val="18"/>
              </w:rPr>
            </w:pPr>
            <w:r>
              <w:rPr>
                <w:sz w:val="18"/>
              </w:rPr>
              <w:t>140.71</w:t>
            </w:r>
          </w:p>
        </w:tc>
        <w:tc>
          <w:tcPr>
            <w:tcW w:w="1034" w:type="dxa"/>
          </w:tcPr>
          <w:p w:rsidR="007C5447" w:rsidRDefault="00F6308C">
            <w:pPr>
              <w:pStyle w:val="TableParagraph"/>
              <w:spacing w:before="55"/>
              <w:ind w:right="96"/>
              <w:rPr>
                <w:sz w:val="18"/>
              </w:rPr>
            </w:pPr>
            <w:r>
              <w:rPr>
                <w:sz w:val="18"/>
              </w:rPr>
              <w:t>5.91</w:t>
            </w:r>
          </w:p>
        </w:tc>
        <w:tc>
          <w:tcPr>
            <w:tcW w:w="1034" w:type="dxa"/>
          </w:tcPr>
          <w:p w:rsidR="007C5447" w:rsidRDefault="00F6308C">
            <w:pPr>
              <w:pStyle w:val="TableParagraph"/>
              <w:spacing w:before="55"/>
              <w:ind w:right="93"/>
              <w:rPr>
                <w:sz w:val="18"/>
              </w:rPr>
            </w:pPr>
            <w:r>
              <w:rPr>
                <w:sz w:val="18"/>
              </w:rPr>
              <w:t>26.84</w:t>
            </w:r>
          </w:p>
        </w:tc>
        <w:tc>
          <w:tcPr>
            <w:tcW w:w="1106" w:type="dxa"/>
          </w:tcPr>
          <w:p w:rsidR="007C5447" w:rsidRDefault="00F6308C">
            <w:pPr>
              <w:pStyle w:val="TableParagraph"/>
              <w:spacing w:before="55"/>
              <w:ind w:right="92"/>
              <w:rPr>
                <w:sz w:val="18"/>
              </w:rPr>
            </w:pPr>
            <w:r>
              <w:rPr>
                <w:sz w:val="18"/>
              </w:rPr>
              <w:t>35.68</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1"/>
              <w:rPr>
                <w:sz w:val="18"/>
              </w:rPr>
            </w:pPr>
            <w:r>
              <w:rPr>
                <w:sz w:val="18"/>
              </w:rPr>
              <w:t>(1.04)</w:t>
            </w:r>
          </w:p>
        </w:tc>
        <w:tc>
          <w:tcPr>
            <w:tcW w:w="1056" w:type="dxa"/>
          </w:tcPr>
          <w:p w:rsidR="007C5447" w:rsidRDefault="00F6308C">
            <w:pPr>
              <w:pStyle w:val="TableParagraph"/>
              <w:spacing w:before="55"/>
              <w:ind w:right="95"/>
              <w:rPr>
                <w:sz w:val="18"/>
              </w:rPr>
            </w:pPr>
            <w:r>
              <w:rPr>
                <w:sz w:val="18"/>
              </w:rPr>
              <w:t>2.75</w:t>
            </w:r>
          </w:p>
        </w:tc>
        <w:tc>
          <w:tcPr>
            <w:tcW w:w="1057" w:type="dxa"/>
          </w:tcPr>
          <w:p w:rsidR="007C5447" w:rsidRDefault="00F6308C">
            <w:pPr>
              <w:pStyle w:val="TableParagraph"/>
              <w:spacing w:before="55"/>
              <w:ind w:right="95"/>
              <w:rPr>
                <w:sz w:val="18"/>
              </w:rPr>
            </w:pPr>
            <w:r>
              <w:rPr>
                <w:sz w:val="18"/>
              </w:rPr>
              <w:t>0.56</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1.09</w:t>
            </w:r>
          </w:p>
        </w:tc>
        <w:tc>
          <w:tcPr>
            <w:tcW w:w="1083" w:type="dxa"/>
          </w:tcPr>
          <w:p w:rsidR="007C5447" w:rsidRDefault="00F6308C">
            <w:pPr>
              <w:pStyle w:val="TableParagraph"/>
              <w:spacing w:before="55"/>
              <w:ind w:right="96"/>
              <w:rPr>
                <w:sz w:val="18"/>
              </w:rPr>
            </w:pPr>
            <w:r>
              <w:rPr>
                <w:sz w:val="18"/>
              </w:rPr>
              <w:t>235.59</w:t>
            </w:r>
          </w:p>
        </w:tc>
      </w:tr>
      <w:tr w:rsidR="007C5447">
        <w:trPr>
          <w:trHeight w:val="316"/>
        </w:trPr>
        <w:tc>
          <w:tcPr>
            <w:tcW w:w="703" w:type="dxa"/>
          </w:tcPr>
          <w:p w:rsidR="007C5447" w:rsidRDefault="00F6308C">
            <w:pPr>
              <w:pStyle w:val="TableParagraph"/>
              <w:spacing w:before="55"/>
              <w:ind w:left="107"/>
              <w:jc w:val="left"/>
              <w:rPr>
                <w:sz w:val="18"/>
              </w:rPr>
            </w:pPr>
            <w:r>
              <w:rPr>
                <w:sz w:val="18"/>
              </w:rPr>
              <w:t>16</w:t>
            </w:r>
          </w:p>
        </w:tc>
        <w:tc>
          <w:tcPr>
            <w:tcW w:w="1891" w:type="dxa"/>
          </w:tcPr>
          <w:p w:rsidR="007C5447" w:rsidRDefault="00F6308C">
            <w:pPr>
              <w:pStyle w:val="TableParagraph"/>
              <w:spacing w:before="55"/>
              <w:ind w:left="107"/>
              <w:jc w:val="left"/>
              <w:rPr>
                <w:b/>
                <w:sz w:val="18"/>
              </w:rPr>
            </w:pPr>
            <w:r>
              <w:rPr>
                <w:b/>
                <w:sz w:val="18"/>
              </w:rPr>
              <w:t>Total Generation</w:t>
            </w:r>
          </w:p>
        </w:tc>
        <w:tc>
          <w:tcPr>
            <w:tcW w:w="1034" w:type="dxa"/>
          </w:tcPr>
          <w:p w:rsidR="007C5447" w:rsidRDefault="00F6308C">
            <w:pPr>
              <w:pStyle w:val="TableParagraph"/>
              <w:spacing w:before="55"/>
              <w:ind w:right="96"/>
              <w:rPr>
                <w:b/>
                <w:sz w:val="18"/>
              </w:rPr>
            </w:pPr>
            <w:r>
              <w:rPr>
                <w:b/>
                <w:sz w:val="18"/>
              </w:rPr>
              <w:t>760.17</w:t>
            </w:r>
          </w:p>
        </w:tc>
        <w:tc>
          <w:tcPr>
            <w:tcW w:w="1035" w:type="dxa"/>
          </w:tcPr>
          <w:p w:rsidR="007C5447" w:rsidRDefault="00F6308C">
            <w:pPr>
              <w:pStyle w:val="TableParagraph"/>
              <w:spacing w:before="55"/>
              <w:ind w:right="97"/>
              <w:rPr>
                <w:b/>
                <w:sz w:val="18"/>
              </w:rPr>
            </w:pPr>
            <w:r>
              <w:rPr>
                <w:b/>
                <w:sz w:val="18"/>
              </w:rPr>
              <w:t>3,709.81</w:t>
            </w:r>
          </w:p>
        </w:tc>
        <w:tc>
          <w:tcPr>
            <w:tcW w:w="1034" w:type="dxa"/>
          </w:tcPr>
          <w:p w:rsidR="007C5447" w:rsidRDefault="00F6308C">
            <w:pPr>
              <w:pStyle w:val="TableParagraph"/>
              <w:spacing w:before="55"/>
              <w:ind w:right="96"/>
              <w:rPr>
                <w:b/>
                <w:sz w:val="18"/>
              </w:rPr>
            </w:pPr>
            <w:r>
              <w:rPr>
                <w:b/>
                <w:sz w:val="18"/>
              </w:rPr>
              <w:t>562.40</w:t>
            </w:r>
          </w:p>
        </w:tc>
        <w:tc>
          <w:tcPr>
            <w:tcW w:w="1034" w:type="dxa"/>
          </w:tcPr>
          <w:p w:rsidR="007C5447" w:rsidRDefault="00F6308C">
            <w:pPr>
              <w:pStyle w:val="TableParagraph"/>
              <w:spacing w:before="55"/>
              <w:ind w:right="97"/>
              <w:rPr>
                <w:b/>
                <w:sz w:val="18"/>
              </w:rPr>
            </w:pPr>
            <w:r>
              <w:rPr>
                <w:b/>
                <w:sz w:val="18"/>
              </w:rPr>
              <w:t>678.89</w:t>
            </w:r>
          </w:p>
        </w:tc>
        <w:tc>
          <w:tcPr>
            <w:tcW w:w="1106" w:type="dxa"/>
          </w:tcPr>
          <w:p w:rsidR="007C5447" w:rsidRDefault="00F6308C">
            <w:pPr>
              <w:pStyle w:val="TableParagraph"/>
              <w:spacing w:before="55"/>
              <w:ind w:right="95"/>
              <w:rPr>
                <w:b/>
                <w:sz w:val="18"/>
              </w:rPr>
            </w:pPr>
            <w:r>
              <w:rPr>
                <w:b/>
                <w:sz w:val="18"/>
              </w:rPr>
              <w:t>1,112.47</w:t>
            </w:r>
          </w:p>
        </w:tc>
        <w:tc>
          <w:tcPr>
            <w:tcW w:w="1056" w:type="dxa"/>
          </w:tcPr>
          <w:p w:rsidR="007C5447" w:rsidRDefault="00F6308C">
            <w:pPr>
              <w:pStyle w:val="TableParagraph"/>
              <w:spacing w:before="55"/>
              <w:ind w:right="95"/>
              <w:rPr>
                <w:b/>
                <w:sz w:val="18"/>
              </w:rPr>
            </w:pPr>
            <w:r>
              <w:rPr>
                <w:b/>
                <w:sz w:val="18"/>
              </w:rPr>
              <w:t>0.91</w:t>
            </w:r>
          </w:p>
        </w:tc>
        <w:tc>
          <w:tcPr>
            <w:tcW w:w="1056" w:type="dxa"/>
          </w:tcPr>
          <w:p w:rsidR="007C5447" w:rsidRDefault="00F6308C">
            <w:pPr>
              <w:pStyle w:val="TableParagraph"/>
              <w:spacing w:before="55"/>
              <w:ind w:right="91"/>
              <w:rPr>
                <w:b/>
                <w:sz w:val="18"/>
              </w:rPr>
            </w:pPr>
            <w:r>
              <w:rPr>
                <w:b/>
                <w:sz w:val="18"/>
              </w:rPr>
              <w:t>(180.79)</w:t>
            </w:r>
          </w:p>
        </w:tc>
        <w:tc>
          <w:tcPr>
            <w:tcW w:w="1056" w:type="dxa"/>
          </w:tcPr>
          <w:p w:rsidR="007C5447" w:rsidRDefault="00F6308C">
            <w:pPr>
              <w:pStyle w:val="TableParagraph"/>
              <w:spacing w:before="55"/>
              <w:ind w:right="95"/>
              <w:rPr>
                <w:b/>
                <w:sz w:val="18"/>
              </w:rPr>
            </w:pPr>
            <w:r>
              <w:rPr>
                <w:b/>
                <w:sz w:val="18"/>
              </w:rPr>
              <w:t>109.18</w:t>
            </w:r>
          </w:p>
        </w:tc>
        <w:tc>
          <w:tcPr>
            <w:tcW w:w="1057" w:type="dxa"/>
          </w:tcPr>
          <w:p w:rsidR="007C5447" w:rsidRDefault="00F6308C">
            <w:pPr>
              <w:pStyle w:val="TableParagraph"/>
              <w:spacing w:before="55"/>
              <w:ind w:right="93"/>
              <w:rPr>
                <w:b/>
                <w:sz w:val="18"/>
              </w:rPr>
            </w:pPr>
            <w:r>
              <w:rPr>
                <w:b/>
                <w:sz w:val="18"/>
              </w:rPr>
              <w:t>174.94</w:t>
            </w:r>
          </w:p>
        </w:tc>
        <w:tc>
          <w:tcPr>
            <w:tcW w:w="1056" w:type="dxa"/>
          </w:tcPr>
          <w:p w:rsidR="007C5447" w:rsidRDefault="00F6308C">
            <w:pPr>
              <w:pStyle w:val="TableParagraph"/>
              <w:spacing w:before="55"/>
              <w:ind w:right="93"/>
              <w:rPr>
                <w:b/>
                <w:sz w:val="18"/>
              </w:rPr>
            </w:pPr>
            <w:r>
              <w:rPr>
                <w:b/>
                <w:w w:val="99"/>
                <w:sz w:val="18"/>
              </w:rPr>
              <w:t>-</w:t>
            </w:r>
          </w:p>
        </w:tc>
        <w:tc>
          <w:tcPr>
            <w:tcW w:w="1056" w:type="dxa"/>
          </w:tcPr>
          <w:p w:rsidR="007C5447" w:rsidRDefault="00F6308C">
            <w:pPr>
              <w:pStyle w:val="TableParagraph"/>
              <w:spacing w:before="55"/>
              <w:ind w:right="92"/>
              <w:rPr>
                <w:b/>
                <w:sz w:val="18"/>
              </w:rPr>
            </w:pPr>
            <w:r>
              <w:rPr>
                <w:b/>
                <w:sz w:val="18"/>
              </w:rPr>
              <w:t>17.40</w:t>
            </w:r>
          </w:p>
        </w:tc>
        <w:tc>
          <w:tcPr>
            <w:tcW w:w="1083" w:type="dxa"/>
          </w:tcPr>
          <w:p w:rsidR="007C5447" w:rsidRDefault="00F6308C">
            <w:pPr>
              <w:pStyle w:val="TableParagraph"/>
              <w:spacing w:before="55"/>
              <w:ind w:right="93"/>
              <w:rPr>
                <w:b/>
                <w:sz w:val="18"/>
              </w:rPr>
            </w:pPr>
            <w:r>
              <w:rPr>
                <w:b/>
                <w:sz w:val="18"/>
              </w:rPr>
              <w:t>6595.52</w:t>
            </w:r>
          </w:p>
        </w:tc>
      </w:tr>
      <w:tr w:rsidR="007C5447">
        <w:trPr>
          <w:trHeight w:val="314"/>
        </w:trPr>
        <w:tc>
          <w:tcPr>
            <w:tcW w:w="703" w:type="dxa"/>
          </w:tcPr>
          <w:p w:rsidR="007C5447" w:rsidRDefault="00F6308C">
            <w:pPr>
              <w:pStyle w:val="TableParagraph"/>
              <w:spacing w:before="52"/>
              <w:ind w:left="107"/>
              <w:jc w:val="left"/>
              <w:rPr>
                <w:sz w:val="18"/>
              </w:rPr>
            </w:pPr>
            <w:r>
              <w:rPr>
                <w:sz w:val="18"/>
              </w:rPr>
              <w:t>17</w:t>
            </w:r>
          </w:p>
        </w:tc>
        <w:tc>
          <w:tcPr>
            <w:tcW w:w="1891" w:type="dxa"/>
          </w:tcPr>
          <w:p w:rsidR="007C5447" w:rsidRDefault="00F6308C">
            <w:pPr>
              <w:pStyle w:val="TableParagraph"/>
              <w:spacing w:before="52"/>
              <w:ind w:left="107"/>
              <w:jc w:val="left"/>
              <w:rPr>
                <w:b/>
                <w:sz w:val="18"/>
              </w:rPr>
            </w:pPr>
            <w:r>
              <w:rPr>
                <w:b/>
                <w:sz w:val="18"/>
              </w:rPr>
              <w:t>Distribution</w:t>
            </w:r>
          </w:p>
        </w:tc>
        <w:tc>
          <w:tcPr>
            <w:tcW w:w="1034" w:type="dxa"/>
          </w:tcPr>
          <w:p w:rsidR="007C5447" w:rsidRDefault="00F6308C">
            <w:pPr>
              <w:pStyle w:val="TableParagraph"/>
              <w:spacing w:before="52"/>
              <w:ind w:right="96"/>
              <w:rPr>
                <w:b/>
                <w:sz w:val="18"/>
              </w:rPr>
            </w:pPr>
            <w:r>
              <w:rPr>
                <w:b/>
                <w:sz w:val="18"/>
              </w:rPr>
              <w:t>525.28</w:t>
            </w:r>
          </w:p>
        </w:tc>
        <w:tc>
          <w:tcPr>
            <w:tcW w:w="1035" w:type="dxa"/>
          </w:tcPr>
          <w:p w:rsidR="007C5447" w:rsidRDefault="00F6308C">
            <w:pPr>
              <w:pStyle w:val="TableParagraph"/>
              <w:spacing w:before="52"/>
              <w:ind w:right="97"/>
              <w:rPr>
                <w:b/>
                <w:sz w:val="18"/>
              </w:rPr>
            </w:pPr>
            <w:r>
              <w:rPr>
                <w:b/>
                <w:sz w:val="18"/>
              </w:rPr>
              <w:t>2,992.22</w:t>
            </w:r>
          </w:p>
        </w:tc>
        <w:tc>
          <w:tcPr>
            <w:tcW w:w="1034" w:type="dxa"/>
          </w:tcPr>
          <w:p w:rsidR="007C5447" w:rsidRDefault="00F6308C">
            <w:pPr>
              <w:pStyle w:val="TableParagraph"/>
              <w:spacing w:before="52"/>
              <w:ind w:right="96"/>
              <w:rPr>
                <w:b/>
                <w:sz w:val="18"/>
              </w:rPr>
            </w:pPr>
            <w:r>
              <w:rPr>
                <w:b/>
                <w:sz w:val="18"/>
              </w:rPr>
              <w:t>189.53</w:t>
            </w:r>
          </w:p>
        </w:tc>
        <w:tc>
          <w:tcPr>
            <w:tcW w:w="1034" w:type="dxa"/>
          </w:tcPr>
          <w:p w:rsidR="007C5447" w:rsidRDefault="00F6308C">
            <w:pPr>
              <w:pStyle w:val="TableParagraph"/>
              <w:spacing w:before="52"/>
              <w:ind w:right="97"/>
              <w:rPr>
                <w:b/>
                <w:sz w:val="18"/>
              </w:rPr>
            </w:pPr>
            <w:r>
              <w:rPr>
                <w:b/>
                <w:sz w:val="18"/>
              </w:rPr>
              <w:t>582.32</w:t>
            </w:r>
          </w:p>
        </w:tc>
        <w:tc>
          <w:tcPr>
            <w:tcW w:w="1106" w:type="dxa"/>
          </w:tcPr>
          <w:p w:rsidR="007C5447" w:rsidRDefault="00F6308C">
            <w:pPr>
              <w:pStyle w:val="TableParagraph"/>
              <w:spacing w:before="52"/>
              <w:ind w:right="95"/>
              <w:rPr>
                <w:b/>
                <w:sz w:val="18"/>
              </w:rPr>
            </w:pPr>
            <w:r>
              <w:rPr>
                <w:b/>
                <w:sz w:val="18"/>
              </w:rPr>
              <w:t>4,565.07</w:t>
            </w:r>
          </w:p>
        </w:tc>
        <w:tc>
          <w:tcPr>
            <w:tcW w:w="1056" w:type="dxa"/>
          </w:tcPr>
          <w:p w:rsidR="007C5447" w:rsidRDefault="00F6308C">
            <w:pPr>
              <w:pStyle w:val="TableParagraph"/>
              <w:spacing w:before="52"/>
              <w:ind w:right="92"/>
              <w:rPr>
                <w:b/>
                <w:sz w:val="18"/>
              </w:rPr>
            </w:pPr>
            <w:r>
              <w:rPr>
                <w:b/>
                <w:sz w:val="18"/>
              </w:rPr>
              <w:t>25.98</w:t>
            </w:r>
          </w:p>
        </w:tc>
        <w:tc>
          <w:tcPr>
            <w:tcW w:w="1056" w:type="dxa"/>
          </w:tcPr>
          <w:p w:rsidR="007C5447" w:rsidRDefault="00F6308C">
            <w:pPr>
              <w:pStyle w:val="TableParagraph"/>
              <w:spacing w:before="52"/>
              <w:ind w:right="91"/>
              <w:rPr>
                <w:b/>
                <w:sz w:val="18"/>
              </w:rPr>
            </w:pPr>
            <w:r>
              <w:rPr>
                <w:b/>
                <w:sz w:val="18"/>
              </w:rPr>
              <w:t>(89.24)</w:t>
            </w:r>
          </w:p>
        </w:tc>
        <w:tc>
          <w:tcPr>
            <w:tcW w:w="1056" w:type="dxa"/>
          </w:tcPr>
          <w:p w:rsidR="007C5447" w:rsidRDefault="00F6308C">
            <w:pPr>
              <w:pStyle w:val="TableParagraph"/>
              <w:spacing w:before="52"/>
              <w:ind w:right="93"/>
              <w:rPr>
                <w:b/>
                <w:sz w:val="18"/>
              </w:rPr>
            </w:pPr>
            <w:r>
              <w:rPr>
                <w:b/>
                <w:w w:val="99"/>
                <w:sz w:val="18"/>
              </w:rPr>
              <w:t>-</w:t>
            </w:r>
          </w:p>
        </w:tc>
        <w:tc>
          <w:tcPr>
            <w:tcW w:w="1057" w:type="dxa"/>
          </w:tcPr>
          <w:p w:rsidR="007C5447" w:rsidRDefault="00F6308C">
            <w:pPr>
              <w:pStyle w:val="TableParagraph"/>
              <w:spacing w:before="52"/>
              <w:ind w:right="96"/>
              <w:rPr>
                <w:b/>
                <w:sz w:val="18"/>
              </w:rPr>
            </w:pPr>
            <w:r>
              <w:rPr>
                <w:b/>
                <w:sz w:val="18"/>
              </w:rPr>
              <w:t>302.23</w:t>
            </w:r>
          </w:p>
        </w:tc>
        <w:tc>
          <w:tcPr>
            <w:tcW w:w="1056" w:type="dxa"/>
          </w:tcPr>
          <w:p w:rsidR="007C5447" w:rsidRDefault="00F6308C">
            <w:pPr>
              <w:pStyle w:val="TableParagraph"/>
              <w:spacing w:before="52"/>
              <w:ind w:right="95"/>
              <w:rPr>
                <w:b/>
                <w:sz w:val="18"/>
              </w:rPr>
            </w:pPr>
            <w:r>
              <w:rPr>
                <w:b/>
                <w:sz w:val="18"/>
              </w:rPr>
              <w:t>852.97</w:t>
            </w:r>
          </w:p>
        </w:tc>
        <w:tc>
          <w:tcPr>
            <w:tcW w:w="1056" w:type="dxa"/>
          </w:tcPr>
          <w:p w:rsidR="007C5447" w:rsidRDefault="00F6308C">
            <w:pPr>
              <w:pStyle w:val="TableParagraph"/>
              <w:spacing w:before="52"/>
              <w:ind w:right="95"/>
              <w:rPr>
                <w:b/>
                <w:sz w:val="18"/>
              </w:rPr>
            </w:pPr>
            <w:r>
              <w:rPr>
                <w:b/>
                <w:sz w:val="18"/>
              </w:rPr>
              <w:t>1,002.90</w:t>
            </w:r>
          </w:p>
        </w:tc>
        <w:tc>
          <w:tcPr>
            <w:tcW w:w="1083" w:type="dxa"/>
          </w:tcPr>
          <w:p w:rsidR="007C5447" w:rsidRDefault="00F6308C">
            <w:pPr>
              <w:pStyle w:val="TableParagraph"/>
              <w:spacing w:before="52"/>
              <w:ind w:right="96"/>
              <w:rPr>
                <w:b/>
                <w:sz w:val="18"/>
              </w:rPr>
            </w:pPr>
            <w:r>
              <w:rPr>
                <w:b/>
                <w:sz w:val="18"/>
              </w:rPr>
              <w:t>8,638.88</w:t>
            </w:r>
          </w:p>
        </w:tc>
      </w:tr>
      <w:tr w:rsidR="007C5447">
        <w:trPr>
          <w:trHeight w:val="316"/>
        </w:trPr>
        <w:tc>
          <w:tcPr>
            <w:tcW w:w="703" w:type="dxa"/>
          </w:tcPr>
          <w:p w:rsidR="007C5447" w:rsidRDefault="00F6308C">
            <w:pPr>
              <w:pStyle w:val="TableParagraph"/>
              <w:spacing w:before="55"/>
              <w:ind w:left="107"/>
              <w:jc w:val="left"/>
              <w:rPr>
                <w:sz w:val="18"/>
              </w:rPr>
            </w:pPr>
            <w:r>
              <w:rPr>
                <w:sz w:val="18"/>
              </w:rPr>
              <w:t>18</w:t>
            </w:r>
          </w:p>
        </w:tc>
        <w:tc>
          <w:tcPr>
            <w:tcW w:w="1891" w:type="dxa"/>
          </w:tcPr>
          <w:p w:rsidR="007C5447" w:rsidRDefault="00F6308C">
            <w:pPr>
              <w:pStyle w:val="TableParagraph"/>
              <w:spacing w:before="55"/>
              <w:ind w:left="107"/>
              <w:jc w:val="left"/>
              <w:rPr>
                <w:b/>
                <w:sz w:val="18"/>
              </w:rPr>
            </w:pPr>
            <w:r>
              <w:rPr>
                <w:b/>
                <w:sz w:val="18"/>
              </w:rPr>
              <w:t>Total TANGEDCO</w:t>
            </w:r>
          </w:p>
        </w:tc>
        <w:tc>
          <w:tcPr>
            <w:tcW w:w="1034" w:type="dxa"/>
          </w:tcPr>
          <w:p w:rsidR="007C5447" w:rsidRDefault="00F6308C">
            <w:pPr>
              <w:pStyle w:val="TableParagraph"/>
              <w:spacing w:before="55"/>
              <w:ind w:right="94"/>
              <w:rPr>
                <w:b/>
                <w:sz w:val="18"/>
              </w:rPr>
            </w:pPr>
            <w:r>
              <w:rPr>
                <w:b/>
                <w:sz w:val="18"/>
              </w:rPr>
              <w:t>1285.45</w:t>
            </w:r>
          </w:p>
        </w:tc>
        <w:tc>
          <w:tcPr>
            <w:tcW w:w="1035" w:type="dxa"/>
          </w:tcPr>
          <w:p w:rsidR="007C5447" w:rsidRDefault="00F6308C">
            <w:pPr>
              <w:pStyle w:val="TableParagraph"/>
              <w:spacing w:before="55"/>
              <w:ind w:right="94"/>
              <w:rPr>
                <w:b/>
                <w:sz w:val="18"/>
              </w:rPr>
            </w:pPr>
            <w:r>
              <w:rPr>
                <w:b/>
                <w:sz w:val="18"/>
              </w:rPr>
              <w:t>6702.03</w:t>
            </w:r>
          </w:p>
        </w:tc>
        <w:tc>
          <w:tcPr>
            <w:tcW w:w="1034" w:type="dxa"/>
          </w:tcPr>
          <w:p w:rsidR="007C5447" w:rsidRDefault="00F6308C">
            <w:pPr>
              <w:pStyle w:val="TableParagraph"/>
              <w:spacing w:before="55"/>
              <w:ind w:right="95"/>
              <w:rPr>
                <w:b/>
                <w:sz w:val="18"/>
              </w:rPr>
            </w:pPr>
            <w:r>
              <w:rPr>
                <w:b/>
                <w:sz w:val="18"/>
              </w:rPr>
              <w:t>751.94</w:t>
            </w:r>
          </w:p>
        </w:tc>
        <w:tc>
          <w:tcPr>
            <w:tcW w:w="1034" w:type="dxa"/>
          </w:tcPr>
          <w:p w:rsidR="007C5447" w:rsidRDefault="00F6308C">
            <w:pPr>
              <w:pStyle w:val="TableParagraph"/>
              <w:spacing w:before="55"/>
              <w:ind w:right="93"/>
              <w:rPr>
                <w:b/>
                <w:sz w:val="18"/>
              </w:rPr>
            </w:pPr>
            <w:r>
              <w:rPr>
                <w:b/>
                <w:sz w:val="18"/>
              </w:rPr>
              <w:t>1261.22</w:t>
            </w:r>
          </w:p>
        </w:tc>
        <w:tc>
          <w:tcPr>
            <w:tcW w:w="1106" w:type="dxa"/>
          </w:tcPr>
          <w:p w:rsidR="007C5447" w:rsidRDefault="00F6308C">
            <w:pPr>
              <w:pStyle w:val="TableParagraph"/>
              <w:spacing w:before="55"/>
              <w:ind w:right="93"/>
              <w:rPr>
                <w:b/>
                <w:sz w:val="18"/>
              </w:rPr>
            </w:pPr>
            <w:r>
              <w:rPr>
                <w:b/>
                <w:sz w:val="18"/>
              </w:rPr>
              <w:t>5677.54</w:t>
            </w:r>
          </w:p>
        </w:tc>
        <w:tc>
          <w:tcPr>
            <w:tcW w:w="1056" w:type="dxa"/>
          </w:tcPr>
          <w:p w:rsidR="007C5447" w:rsidRDefault="00F6308C">
            <w:pPr>
              <w:pStyle w:val="TableParagraph"/>
              <w:spacing w:before="55"/>
              <w:ind w:right="92"/>
              <w:rPr>
                <w:b/>
                <w:sz w:val="18"/>
              </w:rPr>
            </w:pPr>
            <w:r>
              <w:rPr>
                <w:b/>
                <w:sz w:val="18"/>
              </w:rPr>
              <w:t>26.90</w:t>
            </w:r>
          </w:p>
        </w:tc>
        <w:tc>
          <w:tcPr>
            <w:tcW w:w="1056" w:type="dxa"/>
          </w:tcPr>
          <w:p w:rsidR="007C5447" w:rsidRDefault="00F6308C">
            <w:pPr>
              <w:pStyle w:val="TableParagraph"/>
              <w:spacing w:before="55"/>
              <w:ind w:right="91"/>
              <w:rPr>
                <w:b/>
                <w:sz w:val="18"/>
              </w:rPr>
            </w:pPr>
            <w:r>
              <w:rPr>
                <w:b/>
                <w:sz w:val="18"/>
              </w:rPr>
              <w:t>(270.03)</w:t>
            </w:r>
          </w:p>
        </w:tc>
        <w:tc>
          <w:tcPr>
            <w:tcW w:w="1056" w:type="dxa"/>
          </w:tcPr>
          <w:p w:rsidR="007C5447" w:rsidRDefault="00F6308C">
            <w:pPr>
              <w:pStyle w:val="TableParagraph"/>
              <w:spacing w:before="55"/>
              <w:ind w:right="92"/>
              <w:rPr>
                <w:b/>
                <w:sz w:val="18"/>
              </w:rPr>
            </w:pPr>
            <w:r>
              <w:rPr>
                <w:b/>
                <w:sz w:val="18"/>
              </w:rPr>
              <w:t>109.18</w:t>
            </w:r>
          </w:p>
        </w:tc>
        <w:tc>
          <w:tcPr>
            <w:tcW w:w="1057" w:type="dxa"/>
          </w:tcPr>
          <w:p w:rsidR="007C5447" w:rsidRDefault="00F6308C">
            <w:pPr>
              <w:pStyle w:val="TableParagraph"/>
              <w:spacing w:before="55"/>
              <w:ind w:right="93"/>
              <w:rPr>
                <w:b/>
                <w:sz w:val="18"/>
              </w:rPr>
            </w:pPr>
            <w:r>
              <w:rPr>
                <w:b/>
                <w:sz w:val="18"/>
              </w:rPr>
              <w:t>477.17</w:t>
            </w:r>
          </w:p>
        </w:tc>
        <w:tc>
          <w:tcPr>
            <w:tcW w:w="1056" w:type="dxa"/>
          </w:tcPr>
          <w:p w:rsidR="007C5447" w:rsidRDefault="00F6308C">
            <w:pPr>
              <w:pStyle w:val="TableParagraph"/>
              <w:spacing w:before="55"/>
              <w:ind w:right="93"/>
              <w:rPr>
                <w:b/>
                <w:sz w:val="18"/>
              </w:rPr>
            </w:pPr>
            <w:r>
              <w:rPr>
                <w:b/>
                <w:sz w:val="18"/>
              </w:rPr>
              <w:t>852.97</w:t>
            </w:r>
          </w:p>
        </w:tc>
        <w:tc>
          <w:tcPr>
            <w:tcW w:w="1056" w:type="dxa"/>
          </w:tcPr>
          <w:p w:rsidR="007C5447" w:rsidRDefault="00F6308C">
            <w:pPr>
              <w:pStyle w:val="TableParagraph"/>
              <w:spacing w:before="55"/>
              <w:ind w:right="93"/>
              <w:rPr>
                <w:b/>
                <w:sz w:val="18"/>
              </w:rPr>
            </w:pPr>
            <w:r>
              <w:rPr>
                <w:b/>
                <w:sz w:val="18"/>
              </w:rPr>
              <w:t>1020.30</w:t>
            </w:r>
          </w:p>
        </w:tc>
        <w:tc>
          <w:tcPr>
            <w:tcW w:w="1083" w:type="dxa"/>
          </w:tcPr>
          <w:p w:rsidR="007C5447" w:rsidRDefault="00F6308C">
            <w:pPr>
              <w:pStyle w:val="TableParagraph"/>
              <w:spacing w:before="55"/>
              <w:ind w:right="93"/>
              <w:rPr>
                <w:b/>
                <w:sz w:val="18"/>
              </w:rPr>
            </w:pPr>
            <w:r>
              <w:rPr>
                <w:b/>
                <w:sz w:val="18"/>
              </w:rPr>
              <w:t>15234.40</w:t>
            </w:r>
          </w:p>
        </w:tc>
      </w:tr>
    </w:tbl>
    <w:p w:rsidR="007C5447" w:rsidRDefault="007C5447">
      <w:pPr>
        <w:rPr>
          <w:sz w:val="18"/>
        </w:rPr>
        <w:sectPr w:rsidR="007C5447">
          <w:pgSz w:w="16840" w:h="11910" w:orient="landscape"/>
          <w:pgMar w:top="1100" w:right="580" w:bottom="1240" w:left="760" w:header="0" w:footer="1057" w:gutter="0"/>
          <w:cols w:space="720"/>
        </w:sectPr>
      </w:pPr>
    </w:p>
    <w:p w:rsidR="007C5447" w:rsidRDefault="007C5447">
      <w:pPr>
        <w:pStyle w:val="BodyText"/>
        <w:spacing w:before="2"/>
        <w:rPr>
          <w:b/>
          <w:sz w:val="21"/>
        </w:rPr>
      </w:pPr>
    </w:p>
    <w:p w:rsidR="007C5447" w:rsidRDefault="00F6308C">
      <w:pPr>
        <w:spacing w:before="91"/>
        <w:ind w:left="2986" w:right="3162"/>
        <w:jc w:val="center"/>
        <w:rPr>
          <w:b/>
        </w:rPr>
      </w:pPr>
      <w:r>
        <w:rPr>
          <w:b/>
        </w:rPr>
        <w:t>Table 3-42: Fixed Cost summary for FY 2015-16 as submitted by TANGEDCO (Rs. Crore)</w:t>
      </w:r>
    </w:p>
    <w:p w:rsidR="007C5447" w:rsidRDefault="007C5447">
      <w:pPr>
        <w:pStyle w:val="BodyText"/>
        <w:spacing w:before="11"/>
        <w:rPr>
          <w:b/>
          <w:sz w:val="16"/>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891"/>
        <w:gridCol w:w="1034"/>
        <w:gridCol w:w="1035"/>
        <w:gridCol w:w="1034"/>
        <w:gridCol w:w="1034"/>
        <w:gridCol w:w="1106"/>
        <w:gridCol w:w="1056"/>
        <w:gridCol w:w="1056"/>
        <w:gridCol w:w="1056"/>
        <w:gridCol w:w="1057"/>
        <w:gridCol w:w="1056"/>
        <w:gridCol w:w="1056"/>
        <w:gridCol w:w="1083"/>
      </w:tblGrid>
      <w:tr w:rsidR="007C5447">
        <w:trPr>
          <w:trHeight w:val="313"/>
        </w:trPr>
        <w:tc>
          <w:tcPr>
            <w:tcW w:w="703" w:type="dxa"/>
            <w:vMerge w:val="restart"/>
            <w:shd w:val="clear" w:color="auto" w:fill="F7C9AC"/>
          </w:tcPr>
          <w:p w:rsidR="007C5447" w:rsidRDefault="007C5447">
            <w:pPr>
              <w:pStyle w:val="TableParagraph"/>
              <w:jc w:val="left"/>
              <w:rPr>
                <w:b/>
                <w:sz w:val="20"/>
              </w:rPr>
            </w:pPr>
          </w:p>
          <w:p w:rsidR="007C5447" w:rsidRDefault="007C5447">
            <w:pPr>
              <w:pStyle w:val="TableParagraph"/>
              <w:spacing w:before="6"/>
              <w:jc w:val="left"/>
              <w:rPr>
                <w:b/>
              </w:rPr>
            </w:pPr>
          </w:p>
          <w:p w:rsidR="007C5447" w:rsidRDefault="00F6308C">
            <w:pPr>
              <w:pStyle w:val="TableParagraph"/>
              <w:spacing w:line="207" w:lineRule="exact"/>
              <w:ind w:left="237"/>
              <w:jc w:val="left"/>
              <w:rPr>
                <w:b/>
                <w:sz w:val="18"/>
              </w:rPr>
            </w:pPr>
            <w:r>
              <w:rPr>
                <w:b/>
                <w:sz w:val="18"/>
              </w:rPr>
              <w:t>Sr.</w:t>
            </w:r>
          </w:p>
          <w:p w:rsidR="007C5447" w:rsidRDefault="00F6308C">
            <w:pPr>
              <w:pStyle w:val="TableParagraph"/>
              <w:spacing w:line="207" w:lineRule="exact"/>
              <w:ind w:left="218"/>
              <w:jc w:val="left"/>
              <w:rPr>
                <w:b/>
                <w:sz w:val="18"/>
              </w:rPr>
            </w:pPr>
            <w:r>
              <w:rPr>
                <w:b/>
                <w:sz w:val="18"/>
              </w:rPr>
              <w:t>No.</w:t>
            </w:r>
          </w:p>
        </w:tc>
        <w:tc>
          <w:tcPr>
            <w:tcW w:w="1891" w:type="dxa"/>
            <w:vMerge w:val="restart"/>
            <w:shd w:val="clear" w:color="auto" w:fill="F7C9AC"/>
          </w:tcPr>
          <w:p w:rsidR="007C5447" w:rsidRDefault="007C5447">
            <w:pPr>
              <w:pStyle w:val="TableParagraph"/>
              <w:jc w:val="left"/>
              <w:rPr>
                <w:b/>
                <w:sz w:val="20"/>
              </w:rPr>
            </w:pPr>
          </w:p>
          <w:p w:rsidR="007C5447" w:rsidRDefault="007C5447">
            <w:pPr>
              <w:pStyle w:val="TableParagraph"/>
              <w:jc w:val="left"/>
              <w:rPr>
                <w:b/>
                <w:sz w:val="20"/>
              </w:rPr>
            </w:pPr>
          </w:p>
          <w:p w:rsidR="007C5447" w:rsidRDefault="00F6308C">
            <w:pPr>
              <w:pStyle w:val="TableParagraph"/>
              <w:spacing w:before="132"/>
              <w:ind w:left="403"/>
              <w:jc w:val="left"/>
              <w:rPr>
                <w:b/>
                <w:sz w:val="18"/>
              </w:rPr>
            </w:pPr>
            <w:r>
              <w:rPr>
                <w:b/>
                <w:sz w:val="18"/>
              </w:rPr>
              <w:t>Power Station</w:t>
            </w:r>
          </w:p>
        </w:tc>
        <w:tc>
          <w:tcPr>
            <w:tcW w:w="12663" w:type="dxa"/>
            <w:gridSpan w:val="12"/>
            <w:shd w:val="clear" w:color="auto" w:fill="F7C9AC"/>
          </w:tcPr>
          <w:p w:rsidR="007C5447" w:rsidRDefault="00F6308C">
            <w:pPr>
              <w:pStyle w:val="TableParagraph"/>
              <w:spacing w:before="55"/>
              <w:ind w:left="5870" w:right="5858"/>
              <w:jc w:val="center"/>
              <w:rPr>
                <w:b/>
                <w:sz w:val="18"/>
              </w:rPr>
            </w:pPr>
            <w:r>
              <w:rPr>
                <w:b/>
                <w:sz w:val="18"/>
              </w:rPr>
              <w:t>FY 2015-16</w:t>
            </w:r>
          </w:p>
        </w:tc>
      </w:tr>
      <w:tr w:rsidR="007C5447">
        <w:trPr>
          <w:trHeight w:val="1065"/>
        </w:trPr>
        <w:tc>
          <w:tcPr>
            <w:tcW w:w="703" w:type="dxa"/>
            <w:vMerge/>
            <w:tcBorders>
              <w:top w:val="nil"/>
            </w:tcBorders>
            <w:shd w:val="clear" w:color="auto" w:fill="F7C9AC"/>
          </w:tcPr>
          <w:p w:rsidR="007C5447" w:rsidRDefault="007C5447">
            <w:pPr>
              <w:rPr>
                <w:sz w:val="2"/>
                <w:szCs w:val="2"/>
              </w:rPr>
            </w:pPr>
          </w:p>
        </w:tc>
        <w:tc>
          <w:tcPr>
            <w:tcW w:w="1891" w:type="dxa"/>
            <w:vMerge/>
            <w:tcBorders>
              <w:top w:val="nil"/>
            </w:tcBorders>
            <w:shd w:val="clear" w:color="auto" w:fill="F7C9AC"/>
          </w:tcPr>
          <w:p w:rsidR="007C5447" w:rsidRDefault="007C5447">
            <w:pPr>
              <w:rPr>
                <w:sz w:val="2"/>
                <w:szCs w:val="2"/>
              </w:rPr>
            </w:pP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42" w:right="332"/>
              <w:jc w:val="center"/>
              <w:rPr>
                <w:b/>
                <w:sz w:val="18"/>
              </w:rPr>
            </w:pPr>
            <w:r>
              <w:rPr>
                <w:b/>
                <w:sz w:val="18"/>
              </w:rPr>
              <w:t>Dep</w:t>
            </w:r>
          </w:p>
        </w:tc>
        <w:tc>
          <w:tcPr>
            <w:tcW w:w="1035" w:type="dxa"/>
            <w:shd w:val="clear" w:color="auto" w:fill="F7C9AC"/>
          </w:tcPr>
          <w:p w:rsidR="007C5447" w:rsidRDefault="00F6308C">
            <w:pPr>
              <w:pStyle w:val="TableParagraph"/>
              <w:spacing w:before="119"/>
              <w:ind w:left="197" w:right="186" w:firstLine="2"/>
              <w:jc w:val="center"/>
              <w:rPr>
                <w:b/>
                <w:sz w:val="18"/>
              </w:rPr>
            </w:pPr>
            <w:r>
              <w:rPr>
                <w:b/>
                <w:sz w:val="18"/>
              </w:rPr>
              <w:t>Interest and Finance Charges</w:t>
            </w: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27"/>
              <w:jc w:val="left"/>
              <w:rPr>
                <w:b/>
                <w:sz w:val="18"/>
              </w:rPr>
            </w:pPr>
            <w:r>
              <w:rPr>
                <w:b/>
                <w:sz w:val="18"/>
              </w:rPr>
              <w:t>IWC</w:t>
            </w:r>
          </w:p>
        </w:tc>
        <w:tc>
          <w:tcPr>
            <w:tcW w:w="1034" w:type="dxa"/>
            <w:shd w:val="clear" w:color="auto" w:fill="F7C9AC"/>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23"/>
              <w:jc w:val="left"/>
              <w:rPr>
                <w:b/>
                <w:sz w:val="18"/>
              </w:rPr>
            </w:pPr>
            <w:r>
              <w:rPr>
                <w:b/>
                <w:sz w:val="18"/>
              </w:rPr>
              <w:t>ROE</w:t>
            </w:r>
          </w:p>
        </w:tc>
        <w:tc>
          <w:tcPr>
            <w:tcW w:w="1106" w:type="dxa"/>
            <w:shd w:val="clear" w:color="auto" w:fill="F7C9AC"/>
          </w:tcPr>
          <w:p w:rsidR="007C5447" w:rsidRDefault="007C5447">
            <w:pPr>
              <w:pStyle w:val="TableParagraph"/>
              <w:spacing w:before="4"/>
              <w:jc w:val="left"/>
              <w:rPr>
                <w:b/>
                <w:sz w:val="28"/>
              </w:rPr>
            </w:pPr>
          </w:p>
          <w:p w:rsidR="007C5447" w:rsidRDefault="00F6308C">
            <w:pPr>
              <w:pStyle w:val="TableParagraph"/>
              <w:ind w:left="198" w:right="167" w:firstLine="124"/>
              <w:jc w:val="left"/>
              <w:rPr>
                <w:b/>
                <w:sz w:val="18"/>
              </w:rPr>
            </w:pPr>
            <w:r>
              <w:rPr>
                <w:b/>
                <w:sz w:val="18"/>
              </w:rPr>
              <w:t>O&amp;M Expenses</w:t>
            </w:r>
          </w:p>
        </w:tc>
        <w:tc>
          <w:tcPr>
            <w:tcW w:w="1056" w:type="dxa"/>
            <w:shd w:val="clear" w:color="auto" w:fill="F7C9AC"/>
          </w:tcPr>
          <w:p w:rsidR="007C5447" w:rsidRDefault="007C5447">
            <w:pPr>
              <w:pStyle w:val="TableParagraph"/>
              <w:spacing w:before="4"/>
              <w:jc w:val="left"/>
              <w:rPr>
                <w:b/>
                <w:sz w:val="28"/>
              </w:rPr>
            </w:pPr>
          </w:p>
          <w:p w:rsidR="007C5447" w:rsidRDefault="00F6308C">
            <w:pPr>
              <w:pStyle w:val="TableParagraph"/>
              <w:ind w:left="285" w:right="251" w:firstLine="14"/>
              <w:jc w:val="left"/>
              <w:rPr>
                <w:b/>
                <w:sz w:val="18"/>
              </w:rPr>
            </w:pPr>
            <w:r>
              <w:rPr>
                <w:b/>
                <w:sz w:val="18"/>
              </w:rPr>
              <w:t>Other Debits</w:t>
            </w:r>
          </w:p>
        </w:tc>
        <w:tc>
          <w:tcPr>
            <w:tcW w:w="1056" w:type="dxa"/>
            <w:shd w:val="clear" w:color="auto" w:fill="F7C9AC"/>
          </w:tcPr>
          <w:p w:rsidR="007C5447" w:rsidRDefault="007C5447">
            <w:pPr>
              <w:pStyle w:val="TableParagraph"/>
              <w:spacing w:before="4"/>
              <w:jc w:val="left"/>
              <w:rPr>
                <w:b/>
                <w:sz w:val="28"/>
              </w:rPr>
            </w:pPr>
          </w:p>
          <w:p w:rsidR="007C5447" w:rsidRDefault="00F6308C">
            <w:pPr>
              <w:pStyle w:val="TableParagraph"/>
              <w:ind w:left="276" w:right="240" w:firstLine="50"/>
              <w:jc w:val="left"/>
              <w:rPr>
                <w:b/>
                <w:sz w:val="18"/>
              </w:rPr>
            </w:pPr>
            <w:r>
              <w:rPr>
                <w:b/>
                <w:sz w:val="18"/>
              </w:rPr>
              <w:t>Prior Period</w:t>
            </w:r>
          </w:p>
        </w:tc>
        <w:tc>
          <w:tcPr>
            <w:tcW w:w="1056" w:type="dxa"/>
            <w:shd w:val="clear" w:color="auto" w:fill="F7C9AC"/>
          </w:tcPr>
          <w:p w:rsidR="007C5447" w:rsidRDefault="007C5447">
            <w:pPr>
              <w:pStyle w:val="TableParagraph"/>
              <w:spacing w:before="4"/>
              <w:jc w:val="left"/>
              <w:rPr>
                <w:b/>
                <w:sz w:val="19"/>
              </w:rPr>
            </w:pPr>
          </w:p>
          <w:p w:rsidR="007C5447" w:rsidRDefault="00F6308C">
            <w:pPr>
              <w:pStyle w:val="TableParagraph"/>
              <w:ind w:left="232" w:right="219" w:firstLine="5"/>
              <w:jc w:val="center"/>
              <w:rPr>
                <w:b/>
                <w:sz w:val="18"/>
              </w:rPr>
            </w:pPr>
            <w:r>
              <w:rPr>
                <w:b/>
                <w:sz w:val="18"/>
              </w:rPr>
              <w:t>Op. Ch and Ex. Ord</w:t>
            </w:r>
          </w:p>
        </w:tc>
        <w:tc>
          <w:tcPr>
            <w:tcW w:w="1057" w:type="dxa"/>
            <w:shd w:val="clear" w:color="auto" w:fill="F7C9AC"/>
          </w:tcPr>
          <w:p w:rsidR="007C5447" w:rsidRDefault="007C5447">
            <w:pPr>
              <w:pStyle w:val="TableParagraph"/>
              <w:spacing w:before="4"/>
              <w:jc w:val="left"/>
              <w:rPr>
                <w:b/>
                <w:sz w:val="28"/>
              </w:rPr>
            </w:pPr>
          </w:p>
          <w:p w:rsidR="007C5447" w:rsidRDefault="00F6308C">
            <w:pPr>
              <w:pStyle w:val="TableParagraph"/>
              <w:ind w:left="245" w:firstLine="55"/>
              <w:jc w:val="left"/>
              <w:rPr>
                <w:b/>
                <w:sz w:val="18"/>
              </w:rPr>
            </w:pPr>
            <w:r>
              <w:rPr>
                <w:b/>
                <w:sz w:val="18"/>
              </w:rPr>
              <w:t>Other Income</w:t>
            </w:r>
          </w:p>
        </w:tc>
        <w:tc>
          <w:tcPr>
            <w:tcW w:w="1056" w:type="dxa"/>
            <w:shd w:val="clear" w:color="auto" w:fill="F7C9AC"/>
          </w:tcPr>
          <w:p w:rsidR="007C5447" w:rsidRDefault="007C5447">
            <w:pPr>
              <w:pStyle w:val="TableParagraph"/>
              <w:spacing w:before="4"/>
              <w:jc w:val="left"/>
              <w:rPr>
                <w:b/>
                <w:sz w:val="28"/>
              </w:rPr>
            </w:pPr>
          </w:p>
          <w:p w:rsidR="007C5447" w:rsidRDefault="00F6308C">
            <w:pPr>
              <w:pStyle w:val="TableParagraph"/>
              <w:ind w:left="244" w:right="77" w:hanging="135"/>
              <w:jc w:val="left"/>
              <w:rPr>
                <w:b/>
                <w:sz w:val="18"/>
              </w:rPr>
            </w:pPr>
            <w:r>
              <w:rPr>
                <w:b/>
                <w:sz w:val="18"/>
              </w:rPr>
              <w:t>Non-Tariff Income</w:t>
            </w:r>
          </w:p>
        </w:tc>
        <w:tc>
          <w:tcPr>
            <w:tcW w:w="1056" w:type="dxa"/>
            <w:shd w:val="clear" w:color="auto" w:fill="F7C9AC"/>
          </w:tcPr>
          <w:p w:rsidR="007C5447" w:rsidRDefault="00F6308C">
            <w:pPr>
              <w:pStyle w:val="TableParagraph"/>
              <w:spacing w:before="16"/>
              <w:ind w:left="225" w:right="212" w:hanging="1"/>
              <w:jc w:val="center"/>
              <w:rPr>
                <w:b/>
                <w:sz w:val="18"/>
              </w:rPr>
            </w:pPr>
            <w:r>
              <w:rPr>
                <w:b/>
                <w:sz w:val="18"/>
              </w:rPr>
              <w:t>Other Interest and</w:t>
            </w:r>
          </w:p>
          <w:p w:rsidR="007C5447" w:rsidRDefault="00F6308C">
            <w:pPr>
              <w:pStyle w:val="TableParagraph"/>
              <w:spacing w:before="4" w:line="206" w:lineRule="exact"/>
              <w:ind w:left="208" w:right="196" w:firstLine="2"/>
              <w:jc w:val="center"/>
              <w:rPr>
                <w:b/>
                <w:sz w:val="18"/>
              </w:rPr>
            </w:pPr>
            <w:r>
              <w:rPr>
                <w:b/>
                <w:sz w:val="18"/>
              </w:rPr>
              <w:t>Finance Charges</w:t>
            </w:r>
          </w:p>
        </w:tc>
        <w:tc>
          <w:tcPr>
            <w:tcW w:w="1083" w:type="dxa"/>
            <w:shd w:val="clear" w:color="auto" w:fill="F7C9AC"/>
          </w:tcPr>
          <w:p w:rsidR="007C5447" w:rsidRDefault="007C5447">
            <w:pPr>
              <w:pStyle w:val="TableParagraph"/>
              <w:spacing w:before="4"/>
              <w:jc w:val="left"/>
              <w:rPr>
                <w:b/>
                <w:sz w:val="28"/>
              </w:rPr>
            </w:pPr>
          </w:p>
          <w:p w:rsidR="007C5447" w:rsidRDefault="00F6308C">
            <w:pPr>
              <w:pStyle w:val="TableParagraph"/>
              <w:ind w:left="129" w:right="99" w:firstLine="208"/>
              <w:jc w:val="left"/>
              <w:rPr>
                <w:b/>
                <w:sz w:val="18"/>
              </w:rPr>
            </w:pPr>
            <w:r>
              <w:rPr>
                <w:b/>
                <w:sz w:val="18"/>
              </w:rPr>
              <w:t>Total Fixed Cost</w:t>
            </w:r>
          </w:p>
        </w:tc>
      </w:tr>
      <w:tr w:rsidR="007C5447">
        <w:trPr>
          <w:trHeight w:val="316"/>
        </w:trPr>
        <w:tc>
          <w:tcPr>
            <w:tcW w:w="703" w:type="dxa"/>
          </w:tcPr>
          <w:p w:rsidR="007C5447" w:rsidRDefault="00F6308C">
            <w:pPr>
              <w:pStyle w:val="TableParagraph"/>
              <w:spacing w:before="55"/>
              <w:ind w:left="107"/>
              <w:jc w:val="left"/>
              <w:rPr>
                <w:sz w:val="18"/>
              </w:rPr>
            </w:pPr>
            <w:r>
              <w:rPr>
                <w:sz w:val="18"/>
              </w:rPr>
              <w:t>1</w:t>
            </w:r>
          </w:p>
        </w:tc>
        <w:tc>
          <w:tcPr>
            <w:tcW w:w="1891" w:type="dxa"/>
          </w:tcPr>
          <w:p w:rsidR="007C5447" w:rsidRDefault="00F6308C">
            <w:pPr>
              <w:pStyle w:val="TableParagraph"/>
              <w:spacing w:before="55"/>
              <w:ind w:left="107"/>
              <w:jc w:val="left"/>
              <w:rPr>
                <w:sz w:val="18"/>
              </w:rPr>
            </w:pPr>
            <w:r>
              <w:rPr>
                <w:sz w:val="18"/>
              </w:rPr>
              <w:t>Ennore TPS</w:t>
            </w:r>
          </w:p>
        </w:tc>
        <w:tc>
          <w:tcPr>
            <w:tcW w:w="1034" w:type="dxa"/>
          </w:tcPr>
          <w:p w:rsidR="007C5447" w:rsidRDefault="00F6308C">
            <w:pPr>
              <w:pStyle w:val="TableParagraph"/>
              <w:spacing w:before="55"/>
              <w:ind w:right="94"/>
              <w:rPr>
                <w:sz w:val="18"/>
              </w:rPr>
            </w:pPr>
            <w:r>
              <w:rPr>
                <w:sz w:val="18"/>
              </w:rPr>
              <w:t>37.33</w:t>
            </w:r>
          </w:p>
        </w:tc>
        <w:tc>
          <w:tcPr>
            <w:tcW w:w="1035" w:type="dxa"/>
          </w:tcPr>
          <w:p w:rsidR="007C5447" w:rsidRDefault="00F6308C">
            <w:pPr>
              <w:pStyle w:val="TableParagraph"/>
              <w:spacing w:before="55"/>
              <w:ind w:right="97"/>
              <w:rPr>
                <w:sz w:val="18"/>
              </w:rPr>
            </w:pPr>
            <w:r>
              <w:rPr>
                <w:sz w:val="18"/>
              </w:rPr>
              <w:t>422.44</w:t>
            </w:r>
          </w:p>
        </w:tc>
        <w:tc>
          <w:tcPr>
            <w:tcW w:w="1034" w:type="dxa"/>
          </w:tcPr>
          <w:p w:rsidR="007C5447" w:rsidRDefault="00F6308C">
            <w:pPr>
              <w:pStyle w:val="TableParagraph"/>
              <w:spacing w:before="55"/>
              <w:ind w:right="96"/>
              <w:rPr>
                <w:sz w:val="18"/>
              </w:rPr>
            </w:pPr>
            <w:r>
              <w:rPr>
                <w:sz w:val="18"/>
              </w:rPr>
              <w:t>28.17</w:t>
            </w:r>
          </w:p>
        </w:tc>
        <w:tc>
          <w:tcPr>
            <w:tcW w:w="1034" w:type="dxa"/>
          </w:tcPr>
          <w:p w:rsidR="007C5447" w:rsidRDefault="00F6308C">
            <w:pPr>
              <w:pStyle w:val="TableParagraph"/>
              <w:spacing w:before="55"/>
              <w:ind w:right="93"/>
              <w:rPr>
                <w:sz w:val="18"/>
              </w:rPr>
            </w:pPr>
            <w:r>
              <w:rPr>
                <w:sz w:val="18"/>
              </w:rPr>
              <w:t>63.82</w:t>
            </w:r>
          </w:p>
        </w:tc>
        <w:tc>
          <w:tcPr>
            <w:tcW w:w="1106" w:type="dxa"/>
          </w:tcPr>
          <w:p w:rsidR="007C5447" w:rsidRDefault="00F6308C">
            <w:pPr>
              <w:pStyle w:val="TableParagraph"/>
              <w:spacing w:before="55"/>
              <w:ind w:right="95"/>
              <w:rPr>
                <w:sz w:val="18"/>
              </w:rPr>
            </w:pPr>
            <w:r>
              <w:rPr>
                <w:sz w:val="18"/>
              </w:rPr>
              <w:t>135.55</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1"/>
              <w:rPr>
                <w:sz w:val="18"/>
              </w:rPr>
            </w:pPr>
            <w:r>
              <w:rPr>
                <w:sz w:val="18"/>
              </w:rPr>
              <w:t>(18.28)</w:t>
            </w:r>
          </w:p>
        </w:tc>
        <w:tc>
          <w:tcPr>
            <w:tcW w:w="1056" w:type="dxa"/>
          </w:tcPr>
          <w:p w:rsidR="007C5447" w:rsidRDefault="00F6308C">
            <w:pPr>
              <w:pStyle w:val="TableParagraph"/>
              <w:spacing w:before="55"/>
              <w:ind w:right="92"/>
              <w:rPr>
                <w:sz w:val="18"/>
              </w:rPr>
            </w:pPr>
            <w:r>
              <w:rPr>
                <w:sz w:val="18"/>
              </w:rPr>
              <w:t>11.62</w:t>
            </w:r>
          </w:p>
        </w:tc>
        <w:tc>
          <w:tcPr>
            <w:tcW w:w="1057" w:type="dxa"/>
          </w:tcPr>
          <w:p w:rsidR="007C5447" w:rsidRDefault="00F6308C">
            <w:pPr>
              <w:pStyle w:val="TableParagraph"/>
              <w:spacing w:before="55"/>
              <w:ind w:right="93"/>
              <w:rPr>
                <w:sz w:val="18"/>
              </w:rPr>
            </w:pPr>
            <w:r>
              <w:rPr>
                <w:sz w:val="18"/>
              </w:rPr>
              <w:t>12.72</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2.93</w:t>
            </w:r>
          </w:p>
        </w:tc>
        <w:tc>
          <w:tcPr>
            <w:tcW w:w="1083" w:type="dxa"/>
          </w:tcPr>
          <w:p w:rsidR="007C5447" w:rsidRDefault="00F6308C">
            <w:pPr>
              <w:pStyle w:val="TableParagraph"/>
              <w:spacing w:before="55"/>
              <w:ind w:right="96"/>
              <w:rPr>
                <w:sz w:val="18"/>
              </w:rPr>
            </w:pPr>
            <w:r>
              <w:rPr>
                <w:sz w:val="18"/>
              </w:rPr>
              <w:t>670.85</w:t>
            </w:r>
          </w:p>
        </w:tc>
      </w:tr>
      <w:tr w:rsidR="007C5447">
        <w:trPr>
          <w:trHeight w:val="314"/>
        </w:trPr>
        <w:tc>
          <w:tcPr>
            <w:tcW w:w="703" w:type="dxa"/>
          </w:tcPr>
          <w:p w:rsidR="007C5447" w:rsidRDefault="00F6308C">
            <w:pPr>
              <w:pStyle w:val="TableParagraph"/>
              <w:spacing w:before="53"/>
              <w:ind w:left="107"/>
              <w:jc w:val="left"/>
              <w:rPr>
                <w:sz w:val="18"/>
              </w:rPr>
            </w:pPr>
            <w:r>
              <w:rPr>
                <w:sz w:val="18"/>
              </w:rPr>
              <w:t>2</w:t>
            </w:r>
          </w:p>
        </w:tc>
        <w:tc>
          <w:tcPr>
            <w:tcW w:w="1891" w:type="dxa"/>
          </w:tcPr>
          <w:p w:rsidR="007C5447" w:rsidRDefault="00F6308C">
            <w:pPr>
              <w:pStyle w:val="TableParagraph"/>
              <w:spacing w:before="53"/>
              <w:ind w:left="107"/>
              <w:jc w:val="left"/>
              <w:rPr>
                <w:sz w:val="18"/>
              </w:rPr>
            </w:pPr>
            <w:r>
              <w:rPr>
                <w:sz w:val="18"/>
              </w:rPr>
              <w:t>Tuticorin TPS</w:t>
            </w:r>
          </w:p>
        </w:tc>
        <w:tc>
          <w:tcPr>
            <w:tcW w:w="1034" w:type="dxa"/>
          </w:tcPr>
          <w:p w:rsidR="007C5447" w:rsidRDefault="00F6308C">
            <w:pPr>
              <w:pStyle w:val="TableParagraph"/>
              <w:spacing w:before="53"/>
              <w:ind w:right="94"/>
              <w:rPr>
                <w:sz w:val="18"/>
              </w:rPr>
            </w:pPr>
            <w:r>
              <w:rPr>
                <w:sz w:val="18"/>
              </w:rPr>
              <w:t>54.22</w:t>
            </w:r>
          </w:p>
        </w:tc>
        <w:tc>
          <w:tcPr>
            <w:tcW w:w="1035" w:type="dxa"/>
          </w:tcPr>
          <w:p w:rsidR="007C5447" w:rsidRDefault="00F6308C">
            <w:pPr>
              <w:pStyle w:val="TableParagraph"/>
              <w:spacing w:before="53"/>
              <w:ind w:right="97"/>
              <w:rPr>
                <w:sz w:val="18"/>
              </w:rPr>
            </w:pPr>
            <w:r>
              <w:rPr>
                <w:sz w:val="18"/>
              </w:rPr>
              <w:t>743.69</w:t>
            </w:r>
          </w:p>
        </w:tc>
        <w:tc>
          <w:tcPr>
            <w:tcW w:w="1034" w:type="dxa"/>
          </w:tcPr>
          <w:p w:rsidR="007C5447" w:rsidRDefault="00F6308C">
            <w:pPr>
              <w:pStyle w:val="TableParagraph"/>
              <w:spacing w:before="53"/>
              <w:ind w:right="96"/>
              <w:rPr>
                <w:sz w:val="18"/>
              </w:rPr>
            </w:pPr>
            <w:r>
              <w:rPr>
                <w:sz w:val="18"/>
              </w:rPr>
              <w:t>122.95</w:t>
            </w:r>
          </w:p>
        </w:tc>
        <w:tc>
          <w:tcPr>
            <w:tcW w:w="1034" w:type="dxa"/>
          </w:tcPr>
          <w:p w:rsidR="007C5447" w:rsidRDefault="00F6308C">
            <w:pPr>
              <w:pStyle w:val="TableParagraph"/>
              <w:spacing w:before="53"/>
              <w:ind w:right="97"/>
              <w:rPr>
                <w:sz w:val="18"/>
              </w:rPr>
            </w:pPr>
            <w:r>
              <w:rPr>
                <w:sz w:val="18"/>
              </w:rPr>
              <w:t>115.10</w:t>
            </w:r>
          </w:p>
        </w:tc>
        <w:tc>
          <w:tcPr>
            <w:tcW w:w="1106" w:type="dxa"/>
          </w:tcPr>
          <w:p w:rsidR="007C5447" w:rsidRDefault="00F6308C">
            <w:pPr>
              <w:pStyle w:val="TableParagraph"/>
              <w:spacing w:before="53"/>
              <w:ind w:right="95"/>
              <w:rPr>
                <w:sz w:val="18"/>
              </w:rPr>
            </w:pPr>
            <w:r>
              <w:rPr>
                <w:sz w:val="18"/>
              </w:rPr>
              <w:t>316.49</w:t>
            </w:r>
          </w:p>
        </w:tc>
        <w:tc>
          <w:tcPr>
            <w:tcW w:w="1056" w:type="dxa"/>
          </w:tcPr>
          <w:p w:rsidR="007C5447" w:rsidRDefault="00F6308C">
            <w:pPr>
              <w:pStyle w:val="TableParagraph"/>
              <w:spacing w:before="53"/>
              <w:ind w:right="95"/>
              <w:rPr>
                <w:sz w:val="18"/>
              </w:rPr>
            </w:pPr>
            <w:r>
              <w:rPr>
                <w:sz w:val="18"/>
              </w:rPr>
              <w:t>0.86</w:t>
            </w:r>
          </w:p>
        </w:tc>
        <w:tc>
          <w:tcPr>
            <w:tcW w:w="1056" w:type="dxa"/>
          </w:tcPr>
          <w:p w:rsidR="007C5447" w:rsidRDefault="00F6308C">
            <w:pPr>
              <w:pStyle w:val="TableParagraph"/>
              <w:spacing w:before="53"/>
              <w:ind w:right="95"/>
              <w:rPr>
                <w:sz w:val="18"/>
              </w:rPr>
            </w:pPr>
            <w:r>
              <w:rPr>
                <w:sz w:val="18"/>
              </w:rPr>
              <w:t>0.12</w:t>
            </w:r>
          </w:p>
        </w:tc>
        <w:tc>
          <w:tcPr>
            <w:tcW w:w="1056" w:type="dxa"/>
          </w:tcPr>
          <w:p w:rsidR="007C5447" w:rsidRDefault="00F6308C">
            <w:pPr>
              <w:pStyle w:val="TableParagraph"/>
              <w:spacing w:before="53"/>
              <w:ind w:right="95"/>
              <w:rPr>
                <w:sz w:val="18"/>
              </w:rPr>
            </w:pPr>
            <w:r>
              <w:rPr>
                <w:sz w:val="18"/>
              </w:rPr>
              <w:t>9.46</w:t>
            </w:r>
          </w:p>
        </w:tc>
        <w:tc>
          <w:tcPr>
            <w:tcW w:w="1057" w:type="dxa"/>
          </w:tcPr>
          <w:p w:rsidR="007C5447" w:rsidRDefault="00F6308C">
            <w:pPr>
              <w:pStyle w:val="TableParagraph"/>
              <w:spacing w:before="53"/>
              <w:ind w:right="93"/>
              <w:rPr>
                <w:sz w:val="18"/>
              </w:rPr>
            </w:pPr>
            <w:r>
              <w:rPr>
                <w:sz w:val="18"/>
              </w:rPr>
              <w:t>36.40</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3"/>
              <w:ind w:right="92"/>
              <w:rPr>
                <w:sz w:val="18"/>
              </w:rPr>
            </w:pPr>
            <w:r>
              <w:rPr>
                <w:sz w:val="18"/>
              </w:rPr>
              <w:t>11.69</w:t>
            </w:r>
          </w:p>
        </w:tc>
        <w:tc>
          <w:tcPr>
            <w:tcW w:w="1083" w:type="dxa"/>
          </w:tcPr>
          <w:p w:rsidR="007C5447" w:rsidRDefault="00F6308C">
            <w:pPr>
              <w:pStyle w:val="TableParagraph"/>
              <w:spacing w:before="53"/>
              <w:ind w:right="96"/>
              <w:rPr>
                <w:sz w:val="18"/>
              </w:rPr>
            </w:pPr>
            <w:r>
              <w:rPr>
                <w:sz w:val="18"/>
              </w:rPr>
              <w:t>1,338.20</w:t>
            </w:r>
          </w:p>
        </w:tc>
      </w:tr>
      <w:tr w:rsidR="007C5447">
        <w:trPr>
          <w:trHeight w:val="316"/>
        </w:trPr>
        <w:tc>
          <w:tcPr>
            <w:tcW w:w="703" w:type="dxa"/>
          </w:tcPr>
          <w:p w:rsidR="007C5447" w:rsidRDefault="00F6308C">
            <w:pPr>
              <w:pStyle w:val="TableParagraph"/>
              <w:spacing w:before="55"/>
              <w:ind w:left="107"/>
              <w:jc w:val="left"/>
              <w:rPr>
                <w:sz w:val="18"/>
              </w:rPr>
            </w:pPr>
            <w:r>
              <w:rPr>
                <w:sz w:val="18"/>
              </w:rPr>
              <w:t>3</w:t>
            </w:r>
          </w:p>
        </w:tc>
        <w:tc>
          <w:tcPr>
            <w:tcW w:w="1891" w:type="dxa"/>
          </w:tcPr>
          <w:p w:rsidR="007C5447" w:rsidRDefault="00F6308C">
            <w:pPr>
              <w:pStyle w:val="TableParagraph"/>
              <w:spacing w:before="55"/>
              <w:ind w:left="107"/>
              <w:jc w:val="left"/>
              <w:rPr>
                <w:sz w:val="18"/>
              </w:rPr>
            </w:pPr>
            <w:r>
              <w:rPr>
                <w:sz w:val="18"/>
              </w:rPr>
              <w:t>Mettur TPS</w:t>
            </w:r>
          </w:p>
        </w:tc>
        <w:tc>
          <w:tcPr>
            <w:tcW w:w="1034" w:type="dxa"/>
          </w:tcPr>
          <w:p w:rsidR="007C5447" w:rsidRDefault="00F6308C">
            <w:pPr>
              <w:pStyle w:val="TableParagraph"/>
              <w:spacing w:before="55"/>
              <w:ind w:right="94"/>
              <w:rPr>
                <w:sz w:val="18"/>
              </w:rPr>
            </w:pPr>
            <w:r>
              <w:rPr>
                <w:sz w:val="18"/>
              </w:rPr>
              <w:t>25.28</w:t>
            </w:r>
          </w:p>
        </w:tc>
        <w:tc>
          <w:tcPr>
            <w:tcW w:w="1035" w:type="dxa"/>
          </w:tcPr>
          <w:p w:rsidR="007C5447" w:rsidRDefault="00F6308C">
            <w:pPr>
              <w:pStyle w:val="TableParagraph"/>
              <w:spacing w:before="55"/>
              <w:ind w:right="97"/>
              <w:rPr>
                <w:sz w:val="18"/>
              </w:rPr>
            </w:pPr>
            <w:r>
              <w:rPr>
                <w:sz w:val="18"/>
              </w:rPr>
              <w:t>441.29</w:t>
            </w:r>
          </w:p>
        </w:tc>
        <w:tc>
          <w:tcPr>
            <w:tcW w:w="1034" w:type="dxa"/>
          </w:tcPr>
          <w:p w:rsidR="007C5447" w:rsidRDefault="00F6308C">
            <w:pPr>
              <w:pStyle w:val="TableParagraph"/>
              <w:spacing w:before="55"/>
              <w:ind w:right="93"/>
              <w:rPr>
                <w:sz w:val="18"/>
              </w:rPr>
            </w:pPr>
            <w:r>
              <w:rPr>
                <w:sz w:val="18"/>
              </w:rPr>
              <w:t>98.01</w:t>
            </w:r>
          </w:p>
        </w:tc>
        <w:tc>
          <w:tcPr>
            <w:tcW w:w="1034" w:type="dxa"/>
          </w:tcPr>
          <w:p w:rsidR="007C5447" w:rsidRDefault="00F6308C">
            <w:pPr>
              <w:pStyle w:val="TableParagraph"/>
              <w:spacing w:before="55"/>
              <w:ind w:right="93"/>
              <w:rPr>
                <w:sz w:val="18"/>
              </w:rPr>
            </w:pPr>
            <w:r>
              <w:rPr>
                <w:sz w:val="18"/>
              </w:rPr>
              <w:t>66.89</w:t>
            </w:r>
          </w:p>
        </w:tc>
        <w:tc>
          <w:tcPr>
            <w:tcW w:w="1106" w:type="dxa"/>
          </w:tcPr>
          <w:p w:rsidR="007C5447" w:rsidRDefault="00F6308C">
            <w:pPr>
              <w:pStyle w:val="TableParagraph"/>
              <w:spacing w:before="55"/>
              <w:ind w:right="95"/>
              <w:rPr>
                <w:sz w:val="18"/>
              </w:rPr>
            </w:pPr>
            <w:r>
              <w:rPr>
                <w:sz w:val="18"/>
              </w:rPr>
              <w:t>241.95</w:t>
            </w:r>
          </w:p>
        </w:tc>
        <w:tc>
          <w:tcPr>
            <w:tcW w:w="1056" w:type="dxa"/>
          </w:tcPr>
          <w:p w:rsidR="007C5447" w:rsidRDefault="00F6308C">
            <w:pPr>
              <w:pStyle w:val="TableParagraph"/>
              <w:spacing w:before="55"/>
              <w:ind w:right="95"/>
              <w:rPr>
                <w:sz w:val="18"/>
              </w:rPr>
            </w:pPr>
            <w:r>
              <w:rPr>
                <w:sz w:val="18"/>
              </w:rPr>
              <w:t>1.13</w:t>
            </w:r>
          </w:p>
        </w:tc>
        <w:tc>
          <w:tcPr>
            <w:tcW w:w="1056" w:type="dxa"/>
          </w:tcPr>
          <w:p w:rsidR="007C5447" w:rsidRDefault="00F6308C">
            <w:pPr>
              <w:pStyle w:val="TableParagraph"/>
              <w:spacing w:before="55"/>
              <w:ind w:right="92"/>
              <w:rPr>
                <w:sz w:val="18"/>
              </w:rPr>
            </w:pPr>
            <w:r>
              <w:rPr>
                <w:sz w:val="18"/>
              </w:rPr>
              <w:t>31.01</w:t>
            </w:r>
          </w:p>
        </w:tc>
        <w:tc>
          <w:tcPr>
            <w:tcW w:w="1056" w:type="dxa"/>
          </w:tcPr>
          <w:p w:rsidR="007C5447" w:rsidRDefault="00F6308C">
            <w:pPr>
              <w:pStyle w:val="TableParagraph"/>
              <w:spacing w:before="55"/>
              <w:ind w:right="95"/>
              <w:rPr>
                <w:sz w:val="18"/>
              </w:rPr>
            </w:pPr>
            <w:r>
              <w:rPr>
                <w:sz w:val="18"/>
              </w:rPr>
              <w:t>3.51</w:t>
            </w:r>
          </w:p>
        </w:tc>
        <w:tc>
          <w:tcPr>
            <w:tcW w:w="1057" w:type="dxa"/>
          </w:tcPr>
          <w:p w:rsidR="007C5447" w:rsidRDefault="00F6308C">
            <w:pPr>
              <w:pStyle w:val="TableParagraph"/>
              <w:spacing w:before="55"/>
              <w:ind w:right="93"/>
              <w:rPr>
                <w:sz w:val="18"/>
              </w:rPr>
            </w:pPr>
            <w:r>
              <w:rPr>
                <w:sz w:val="18"/>
              </w:rPr>
              <w:t>32.36</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9.94</w:t>
            </w:r>
          </w:p>
        </w:tc>
        <w:tc>
          <w:tcPr>
            <w:tcW w:w="1083" w:type="dxa"/>
          </w:tcPr>
          <w:p w:rsidR="007C5447" w:rsidRDefault="00F6308C">
            <w:pPr>
              <w:pStyle w:val="TableParagraph"/>
              <w:spacing w:before="55"/>
              <w:ind w:right="96"/>
              <w:rPr>
                <w:sz w:val="18"/>
              </w:rPr>
            </w:pPr>
            <w:r>
              <w:rPr>
                <w:sz w:val="18"/>
              </w:rPr>
              <w:t>886.63</w:t>
            </w:r>
          </w:p>
        </w:tc>
      </w:tr>
      <w:tr w:rsidR="007C5447">
        <w:trPr>
          <w:trHeight w:val="314"/>
        </w:trPr>
        <w:tc>
          <w:tcPr>
            <w:tcW w:w="703" w:type="dxa"/>
          </w:tcPr>
          <w:p w:rsidR="007C5447" w:rsidRDefault="00F6308C">
            <w:pPr>
              <w:pStyle w:val="TableParagraph"/>
              <w:spacing w:before="52"/>
              <w:ind w:left="107"/>
              <w:jc w:val="left"/>
              <w:rPr>
                <w:sz w:val="18"/>
              </w:rPr>
            </w:pPr>
            <w:r>
              <w:rPr>
                <w:sz w:val="18"/>
              </w:rPr>
              <w:t>4</w:t>
            </w:r>
          </w:p>
        </w:tc>
        <w:tc>
          <w:tcPr>
            <w:tcW w:w="1891" w:type="dxa"/>
          </w:tcPr>
          <w:p w:rsidR="007C5447" w:rsidRDefault="00F6308C">
            <w:pPr>
              <w:pStyle w:val="TableParagraph"/>
              <w:spacing w:before="52"/>
              <w:ind w:left="107"/>
              <w:jc w:val="left"/>
              <w:rPr>
                <w:sz w:val="18"/>
              </w:rPr>
            </w:pPr>
            <w:r>
              <w:rPr>
                <w:sz w:val="18"/>
              </w:rPr>
              <w:t>North Chennai TPS</w:t>
            </w:r>
          </w:p>
        </w:tc>
        <w:tc>
          <w:tcPr>
            <w:tcW w:w="1034" w:type="dxa"/>
          </w:tcPr>
          <w:p w:rsidR="007C5447" w:rsidRDefault="00F6308C">
            <w:pPr>
              <w:pStyle w:val="TableParagraph"/>
              <w:spacing w:before="52"/>
              <w:ind w:right="94"/>
              <w:rPr>
                <w:sz w:val="18"/>
              </w:rPr>
            </w:pPr>
            <w:r>
              <w:rPr>
                <w:sz w:val="18"/>
              </w:rPr>
              <w:t>49.80</w:t>
            </w:r>
          </w:p>
        </w:tc>
        <w:tc>
          <w:tcPr>
            <w:tcW w:w="1035" w:type="dxa"/>
          </w:tcPr>
          <w:p w:rsidR="007C5447" w:rsidRDefault="00F6308C">
            <w:pPr>
              <w:pStyle w:val="TableParagraph"/>
              <w:spacing w:before="52"/>
              <w:ind w:right="97"/>
              <w:rPr>
                <w:sz w:val="18"/>
              </w:rPr>
            </w:pPr>
            <w:r>
              <w:rPr>
                <w:sz w:val="18"/>
              </w:rPr>
              <w:t>824.36</w:t>
            </w:r>
          </w:p>
        </w:tc>
        <w:tc>
          <w:tcPr>
            <w:tcW w:w="1034" w:type="dxa"/>
          </w:tcPr>
          <w:p w:rsidR="007C5447" w:rsidRDefault="00F6308C">
            <w:pPr>
              <w:pStyle w:val="TableParagraph"/>
              <w:spacing w:before="52"/>
              <w:ind w:right="93"/>
              <w:rPr>
                <w:sz w:val="18"/>
              </w:rPr>
            </w:pPr>
            <w:r>
              <w:rPr>
                <w:sz w:val="18"/>
              </w:rPr>
              <w:t>75.18</w:t>
            </w:r>
          </w:p>
        </w:tc>
        <w:tc>
          <w:tcPr>
            <w:tcW w:w="1034" w:type="dxa"/>
          </w:tcPr>
          <w:p w:rsidR="007C5447" w:rsidRDefault="00F6308C">
            <w:pPr>
              <w:pStyle w:val="TableParagraph"/>
              <w:spacing w:before="52"/>
              <w:ind w:right="97"/>
              <w:rPr>
                <w:sz w:val="18"/>
              </w:rPr>
            </w:pPr>
            <w:r>
              <w:rPr>
                <w:sz w:val="18"/>
              </w:rPr>
              <w:t>135.19</w:t>
            </w:r>
          </w:p>
        </w:tc>
        <w:tc>
          <w:tcPr>
            <w:tcW w:w="1106" w:type="dxa"/>
          </w:tcPr>
          <w:p w:rsidR="007C5447" w:rsidRDefault="00F6308C">
            <w:pPr>
              <w:pStyle w:val="TableParagraph"/>
              <w:spacing w:before="52"/>
              <w:ind w:right="95"/>
              <w:rPr>
                <w:sz w:val="18"/>
              </w:rPr>
            </w:pPr>
            <w:r>
              <w:rPr>
                <w:sz w:val="18"/>
              </w:rPr>
              <w:t>225.72</w:t>
            </w:r>
          </w:p>
        </w:tc>
        <w:tc>
          <w:tcPr>
            <w:tcW w:w="1056" w:type="dxa"/>
          </w:tcPr>
          <w:p w:rsidR="007C5447" w:rsidRDefault="00F6308C">
            <w:pPr>
              <w:pStyle w:val="TableParagraph"/>
              <w:spacing w:before="52"/>
              <w:ind w:right="95"/>
              <w:rPr>
                <w:sz w:val="18"/>
              </w:rPr>
            </w:pPr>
            <w:r>
              <w:rPr>
                <w:sz w:val="18"/>
              </w:rPr>
              <w:t>0.25</w:t>
            </w:r>
          </w:p>
        </w:tc>
        <w:tc>
          <w:tcPr>
            <w:tcW w:w="1056" w:type="dxa"/>
          </w:tcPr>
          <w:p w:rsidR="007C5447" w:rsidRDefault="00F6308C">
            <w:pPr>
              <w:pStyle w:val="TableParagraph"/>
              <w:spacing w:before="52"/>
              <w:ind w:right="95"/>
              <w:rPr>
                <w:sz w:val="18"/>
              </w:rPr>
            </w:pPr>
            <w:r>
              <w:rPr>
                <w:sz w:val="18"/>
              </w:rPr>
              <w:t>133.77</w:t>
            </w:r>
          </w:p>
        </w:tc>
        <w:tc>
          <w:tcPr>
            <w:tcW w:w="1056" w:type="dxa"/>
          </w:tcPr>
          <w:p w:rsidR="007C5447" w:rsidRDefault="00F6308C">
            <w:pPr>
              <w:pStyle w:val="TableParagraph"/>
              <w:spacing w:before="52"/>
              <w:ind w:right="92"/>
              <w:rPr>
                <w:sz w:val="18"/>
              </w:rPr>
            </w:pPr>
            <w:r>
              <w:rPr>
                <w:sz w:val="18"/>
              </w:rPr>
              <w:t>50.03</w:t>
            </w:r>
          </w:p>
        </w:tc>
        <w:tc>
          <w:tcPr>
            <w:tcW w:w="1057" w:type="dxa"/>
          </w:tcPr>
          <w:p w:rsidR="007C5447" w:rsidRDefault="00F6308C">
            <w:pPr>
              <w:pStyle w:val="TableParagraph"/>
              <w:spacing w:before="52"/>
              <w:ind w:right="93"/>
              <w:rPr>
                <w:sz w:val="18"/>
              </w:rPr>
            </w:pPr>
            <w:r>
              <w:rPr>
                <w:sz w:val="18"/>
              </w:rPr>
              <w:t>29.11</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2"/>
              <w:ind w:right="95"/>
              <w:rPr>
                <w:sz w:val="18"/>
              </w:rPr>
            </w:pPr>
            <w:r>
              <w:rPr>
                <w:sz w:val="18"/>
              </w:rPr>
              <w:t>6.19</w:t>
            </w:r>
          </w:p>
        </w:tc>
        <w:tc>
          <w:tcPr>
            <w:tcW w:w="1083" w:type="dxa"/>
          </w:tcPr>
          <w:p w:rsidR="007C5447" w:rsidRDefault="00F6308C">
            <w:pPr>
              <w:pStyle w:val="TableParagraph"/>
              <w:spacing w:before="52"/>
              <w:ind w:right="96"/>
              <w:rPr>
                <w:sz w:val="18"/>
              </w:rPr>
            </w:pPr>
            <w:r>
              <w:rPr>
                <w:sz w:val="18"/>
              </w:rPr>
              <w:t>1,471.38</w:t>
            </w:r>
          </w:p>
        </w:tc>
      </w:tr>
      <w:tr w:rsidR="007C5447">
        <w:trPr>
          <w:trHeight w:val="314"/>
        </w:trPr>
        <w:tc>
          <w:tcPr>
            <w:tcW w:w="703" w:type="dxa"/>
          </w:tcPr>
          <w:p w:rsidR="007C5447" w:rsidRDefault="00F6308C">
            <w:pPr>
              <w:pStyle w:val="TableParagraph"/>
              <w:spacing w:before="55"/>
              <w:ind w:left="107"/>
              <w:jc w:val="left"/>
              <w:rPr>
                <w:sz w:val="18"/>
              </w:rPr>
            </w:pPr>
            <w:r>
              <w:rPr>
                <w:sz w:val="18"/>
              </w:rPr>
              <w:t>5</w:t>
            </w:r>
          </w:p>
        </w:tc>
        <w:tc>
          <w:tcPr>
            <w:tcW w:w="1891" w:type="dxa"/>
          </w:tcPr>
          <w:p w:rsidR="007C5447" w:rsidRDefault="00F6308C">
            <w:pPr>
              <w:pStyle w:val="TableParagraph"/>
              <w:spacing w:before="55"/>
              <w:ind w:left="107"/>
              <w:jc w:val="left"/>
              <w:rPr>
                <w:sz w:val="18"/>
              </w:rPr>
            </w:pPr>
            <w:r>
              <w:rPr>
                <w:sz w:val="18"/>
              </w:rPr>
              <w:t>Mettur TPS Stage III</w:t>
            </w:r>
          </w:p>
        </w:tc>
        <w:tc>
          <w:tcPr>
            <w:tcW w:w="1034" w:type="dxa"/>
          </w:tcPr>
          <w:p w:rsidR="007C5447" w:rsidRDefault="00F6308C">
            <w:pPr>
              <w:pStyle w:val="TableParagraph"/>
              <w:spacing w:before="55"/>
              <w:ind w:right="96"/>
              <w:rPr>
                <w:sz w:val="18"/>
              </w:rPr>
            </w:pPr>
            <w:r>
              <w:rPr>
                <w:sz w:val="18"/>
              </w:rPr>
              <w:t>171.24</w:t>
            </w:r>
          </w:p>
        </w:tc>
        <w:tc>
          <w:tcPr>
            <w:tcW w:w="1035" w:type="dxa"/>
          </w:tcPr>
          <w:p w:rsidR="007C5447" w:rsidRDefault="00F6308C">
            <w:pPr>
              <w:pStyle w:val="TableParagraph"/>
              <w:spacing w:before="55"/>
              <w:ind w:right="94"/>
              <w:rPr>
                <w:sz w:val="18"/>
              </w:rPr>
            </w:pPr>
            <w:r>
              <w:rPr>
                <w:sz w:val="18"/>
              </w:rPr>
              <w:t>29.90</w:t>
            </w:r>
          </w:p>
        </w:tc>
        <w:tc>
          <w:tcPr>
            <w:tcW w:w="1034" w:type="dxa"/>
          </w:tcPr>
          <w:p w:rsidR="007C5447" w:rsidRDefault="00F6308C">
            <w:pPr>
              <w:pStyle w:val="TableParagraph"/>
              <w:spacing w:before="55"/>
              <w:ind w:right="93"/>
              <w:rPr>
                <w:sz w:val="18"/>
              </w:rPr>
            </w:pPr>
            <w:r>
              <w:rPr>
                <w:sz w:val="18"/>
              </w:rPr>
              <w:t>61.69</w:t>
            </w:r>
          </w:p>
        </w:tc>
        <w:tc>
          <w:tcPr>
            <w:tcW w:w="1034" w:type="dxa"/>
          </w:tcPr>
          <w:p w:rsidR="007C5447" w:rsidRDefault="00F6308C">
            <w:pPr>
              <w:pStyle w:val="TableParagraph"/>
              <w:spacing w:before="55"/>
              <w:ind w:right="97"/>
              <w:rPr>
                <w:sz w:val="18"/>
              </w:rPr>
            </w:pPr>
            <w:r>
              <w:rPr>
                <w:sz w:val="18"/>
              </w:rPr>
              <w:t>163.83</w:t>
            </w:r>
          </w:p>
        </w:tc>
        <w:tc>
          <w:tcPr>
            <w:tcW w:w="1106" w:type="dxa"/>
          </w:tcPr>
          <w:p w:rsidR="007C5447" w:rsidRDefault="00F6308C">
            <w:pPr>
              <w:pStyle w:val="TableParagraph"/>
              <w:spacing w:before="55"/>
              <w:ind w:right="92"/>
              <w:rPr>
                <w:sz w:val="18"/>
              </w:rPr>
            </w:pPr>
            <w:r>
              <w:rPr>
                <w:sz w:val="18"/>
              </w:rPr>
              <w:t>(26.93)</w:t>
            </w:r>
          </w:p>
        </w:tc>
        <w:tc>
          <w:tcPr>
            <w:tcW w:w="1056" w:type="dxa"/>
          </w:tcPr>
          <w:p w:rsidR="007C5447" w:rsidRDefault="00F6308C">
            <w:pPr>
              <w:pStyle w:val="TableParagraph"/>
              <w:spacing w:before="55"/>
              <w:ind w:right="95"/>
              <w:rPr>
                <w:sz w:val="18"/>
              </w:rPr>
            </w:pPr>
            <w:r>
              <w:rPr>
                <w:sz w:val="18"/>
              </w:rPr>
              <w:t>0.99</w:t>
            </w:r>
          </w:p>
        </w:tc>
        <w:tc>
          <w:tcPr>
            <w:tcW w:w="1056" w:type="dxa"/>
          </w:tcPr>
          <w:p w:rsidR="007C5447" w:rsidRDefault="00F6308C">
            <w:pPr>
              <w:pStyle w:val="TableParagraph"/>
              <w:spacing w:before="55"/>
              <w:ind w:right="91"/>
              <w:rPr>
                <w:sz w:val="18"/>
              </w:rPr>
            </w:pPr>
            <w:r>
              <w:rPr>
                <w:sz w:val="18"/>
              </w:rPr>
              <w:t>(0.44)</w:t>
            </w:r>
          </w:p>
        </w:tc>
        <w:tc>
          <w:tcPr>
            <w:tcW w:w="1056" w:type="dxa"/>
          </w:tcPr>
          <w:p w:rsidR="007C5447" w:rsidRDefault="00F6308C">
            <w:pPr>
              <w:pStyle w:val="TableParagraph"/>
              <w:spacing w:before="55"/>
              <w:ind w:right="95"/>
              <w:rPr>
                <w:sz w:val="18"/>
              </w:rPr>
            </w:pPr>
            <w:r>
              <w:rPr>
                <w:sz w:val="18"/>
              </w:rPr>
              <w:t>1.40</w:t>
            </w:r>
          </w:p>
        </w:tc>
        <w:tc>
          <w:tcPr>
            <w:tcW w:w="1057" w:type="dxa"/>
          </w:tcPr>
          <w:p w:rsidR="007C5447" w:rsidRDefault="00F6308C">
            <w:pPr>
              <w:pStyle w:val="TableParagraph"/>
              <w:spacing w:before="55"/>
              <w:ind w:right="93"/>
              <w:rPr>
                <w:sz w:val="18"/>
              </w:rPr>
            </w:pPr>
            <w:r>
              <w:rPr>
                <w:sz w:val="18"/>
              </w:rPr>
              <w:t>34.50</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2.75</w:t>
            </w:r>
          </w:p>
        </w:tc>
        <w:tc>
          <w:tcPr>
            <w:tcW w:w="1083" w:type="dxa"/>
          </w:tcPr>
          <w:p w:rsidR="007C5447" w:rsidRDefault="00F6308C">
            <w:pPr>
              <w:pStyle w:val="TableParagraph"/>
              <w:spacing w:before="55"/>
              <w:ind w:right="96"/>
              <w:rPr>
                <w:sz w:val="18"/>
              </w:rPr>
            </w:pPr>
            <w:r>
              <w:rPr>
                <w:sz w:val="18"/>
              </w:rPr>
              <w:t>369.92</w:t>
            </w:r>
          </w:p>
        </w:tc>
      </w:tr>
      <w:tr w:rsidR="007C5447">
        <w:trPr>
          <w:trHeight w:val="316"/>
        </w:trPr>
        <w:tc>
          <w:tcPr>
            <w:tcW w:w="703" w:type="dxa"/>
          </w:tcPr>
          <w:p w:rsidR="007C5447" w:rsidRDefault="00F6308C">
            <w:pPr>
              <w:pStyle w:val="TableParagraph"/>
              <w:spacing w:before="55"/>
              <w:ind w:left="107"/>
              <w:jc w:val="left"/>
              <w:rPr>
                <w:sz w:val="18"/>
              </w:rPr>
            </w:pPr>
            <w:r>
              <w:rPr>
                <w:sz w:val="18"/>
              </w:rPr>
              <w:t>6</w:t>
            </w:r>
          </w:p>
        </w:tc>
        <w:tc>
          <w:tcPr>
            <w:tcW w:w="1891" w:type="dxa"/>
          </w:tcPr>
          <w:p w:rsidR="007C5447" w:rsidRDefault="00F6308C">
            <w:pPr>
              <w:pStyle w:val="TableParagraph"/>
              <w:spacing w:before="55"/>
              <w:ind w:left="107"/>
              <w:jc w:val="left"/>
              <w:rPr>
                <w:sz w:val="18"/>
              </w:rPr>
            </w:pPr>
            <w:r>
              <w:rPr>
                <w:sz w:val="18"/>
              </w:rPr>
              <w:t>NCTPS Stage II</w:t>
            </w:r>
          </w:p>
        </w:tc>
        <w:tc>
          <w:tcPr>
            <w:tcW w:w="1034" w:type="dxa"/>
          </w:tcPr>
          <w:p w:rsidR="007C5447" w:rsidRDefault="00F6308C">
            <w:pPr>
              <w:pStyle w:val="TableParagraph"/>
              <w:spacing w:before="55"/>
              <w:ind w:right="96"/>
              <w:rPr>
                <w:sz w:val="18"/>
              </w:rPr>
            </w:pPr>
            <w:r>
              <w:rPr>
                <w:sz w:val="18"/>
              </w:rPr>
              <w:t>372.15</w:t>
            </w:r>
          </w:p>
        </w:tc>
        <w:tc>
          <w:tcPr>
            <w:tcW w:w="1035" w:type="dxa"/>
          </w:tcPr>
          <w:p w:rsidR="007C5447" w:rsidRDefault="00F6308C">
            <w:pPr>
              <w:pStyle w:val="TableParagraph"/>
              <w:spacing w:before="55"/>
              <w:ind w:right="93"/>
              <w:rPr>
                <w:sz w:val="18"/>
              </w:rPr>
            </w:pPr>
            <w:r>
              <w:rPr>
                <w:sz w:val="18"/>
              </w:rPr>
              <w:t>(166.51)</w:t>
            </w:r>
          </w:p>
        </w:tc>
        <w:tc>
          <w:tcPr>
            <w:tcW w:w="1034" w:type="dxa"/>
          </w:tcPr>
          <w:p w:rsidR="007C5447" w:rsidRDefault="00F6308C">
            <w:pPr>
              <w:pStyle w:val="TableParagraph"/>
              <w:spacing w:before="55"/>
              <w:ind w:right="93"/>
              <w:rPr>
                <w:sz w:val="18"/>
              </w:rPr>
            </w:pPr>
            <w:r>
              <w:rPr>
                <w:sz w:val="18"/>
              </w:rPr>
              <w:t>90.79</w:t>
            </w:r>
          </w:p>
        </w:tc>
        <w:tc>
          <w:tcPr>
            <w:tcW w:w="1034" w:type="dxa"/>
          </w:tcPr>
          <w:p w:rsidR="007C5447" w:rsidRDefault="00F6308C">
            <w:pPr>
              <w:pStyle w:val="TableParagraph"/>
              <w:spacing w:before="55"/>
              <w:ind w:right="94"/>
              <w:rPr>
                <w:sz w:val="18"/>
              </w:rPr>
            </w:pPr>
            <w:r>
              <w:rPr>
                <w:w w:val="99"/>
                <w:sz w:val="18"/>
              </w:rPr>
              <w:t>-</w:t>
            </w:r>
          </w:p>
        </w:tc>
        <w:tc>
          <w:tcPr>
            <w:tcW w:w="1106" w:type="dxa"/>
          </w:tcPr>
          <w:p w:rsidR="007C5447" w:rsidRDefault="00F6308C">
            <w:pPr>
              <w:pStyle w:val="TableParagraph"/>
              <w:spacing w:before="55"/>
              <w:ind w:right="95"/>
              <w:rPr>
                <w:sz w:val="18"/>
              </w:rPr>
            </w:pPr>
            <w:r>
              <w:rPr>
                <w:sz w:val="18"/>
              </w:rPr>
              <w:t>166.59</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1"/>
              <w:rPr>
                <w:sz w:val="18"/>
              </w:rPr>
            </w:pPr>
            <w:r>
              <w:rPr>
                <w:sz w:val="18"/>
              </w:rPr>
              <w:t>(47.12)</w:t>
            </w:r>
          </w:p>
        </w:tc>
        <w:tc>
          <w:tcPr>
            <w:tcW w:w="1056" w:type="dxa"/>
          </w:tcPr>
          <w:p w:rsidR="007C5447" w:rsidRDefault="00F6308C">
            <w:pPr>
              <w:pStyle w:val="TableParagraph"/>
              <w:spacing w:before="55"/>
              <w:ind w:right="92"/>
              <w:rPr>
                <w:sz w:val="18"/>
              </w:rPr>
            </w:pPr>
            <w:r>
              <w:rPr>
                <w:sz w:val="18"/>
              </w:rPr>
              <w:t>14.09</w:t>
            </w:r>
          </w:p>
        </w:tc>
        <w:tc>
          <w:tcPr>
            <w:tcW w:w="1057" w:type="dxa"/>
          </w:tcPr>
          <w:p w:rsidR="007C5447" w:rsidRDefault="00F6308C">
            <w:pPr>
              <w:pStyle w:val="TableParagraph"/>
              <w:spacing w:before="55"/>
              <w:ind w:right="95"/>
              <w:rPr>
                <w:sz w:val="18"/>
              </w:rPr>
            </w:pPr>
            <w:r>
              <w:rPr>
                <w:sz w:val="18"/>
              </w:rPr>
              <w:t>9.78</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2.31</w:t>
            </w:r>
          </w:p>
        </w:tc>
        <w:tc>
          <w:tcPr>
            <w:tcW w:w="1083" w:type="dxa"/>
          </w:tcPr>
          <w:p w:rsidR="007C5447" w:rsidRDefault="00F6308C">
            <w:pPr>
              <w:pStyle w:val="TableParagraph"/>
              <w:spacing w:before="55"/>
              <w:ind w:right="96"/>
              <w:rPr>
                <w:sz w:val="18"/>
              </w:rPr>
            </w:pPr>
            <w:r>
              <w:rPr>
                <w:sz w:val="18"/>
              </w:rPr>
              <w:t>422.53</w:t>
            </w:r>
          </w:p>
        </w:tc>
      </w:tr>
      <w:tr w:rsidR="007C5447">
        <w:trPr>
          <w:trHeight w:val="314"/>
        </w:trPr>
        <w:tc>
          <w:tcPr>
            <w:tcW w:w="703" w:type="dxa"/>
          </w:tcPr>
          <w:p w:rsidR="007C5447" w:rsidRDefault="00F6308C">
            <w:pPr>
              <w:pStyle w:val="TableParagraph"/>
              <w:spacing w:before="52"/>
              <w:ind w:left="107"/>
              <w:jc w:val="left"/>
              <w:rPr>
                <w:sz w:val="18"/>
              </w:rPr>
            </w:pPr>
            <w:r>
              <w:rPr>
                <w:sz w:val="18"/>
              </w:rPr>
              <w:t>7</w:t>
            </w:r>
          </w:p>
        </w:tc>
        <w:tc>
          <w:tcPr>
            <w:tcW w:w="1891" w:type="dxa"/>
          </w:tcPr>
          <w:p w:rsidR="007C5447" w:rsidRDefault="00F6308C">
            <w:pPr>
              <w:pStyle w:val="TableParagraph"/>
              <w:spacing w:before="52"/>
              <w:ind w:left="107"/>
              <w:jc w:val="left"/>
              <w:rPr>
                <w:sz w:val="18"/>
              </w:rPr>
            </w:pPr>
            <w:r>
              <w:rPr>
                <w:sz w:val="18"/>
              </w:rPr>
              <w:t>Tirumakottai GTPS</w:t>
            </w:r>
          </w:p>
        </w:tc>
        <w:tc>
          <w:tcPr>
            <w:tcW w:w="1034" w:type="dxa"/>
          </w:tcPr>
          <w:p w:rsidR="007C5447" w:rsidRDefault="00F6308C">
            <w:pPr>
              <w:pStyle w:val="TableParagraph"/>
              <w:spacing w:before="52"/>
              <w:ind w:right="94"/>
              <w:rPr>
                <w:sz w:val="18"/>
              </w:rPr>
            </w:pPr>
            <w:r>
              <w:rPr>
                <w:sz w:val="18"/>
              </w:rPr>
              <w:t>19.14</w:t>
            </w:r>
          </w:p>
        </w:tc>
        <w:tc>
          <w:tcPr>
            <w:tcW w:w="1035" w:type="dxa"/>
          </w:tcPr>
          <w:p w:rsidR="007C5447" w:rsidRDefault="00F6308C">
            <w:pPr>
              <w:pStyle w:val="TableParagraph"/>
              <w:spacing w:before="52"/>
              <w:ind w:right="97"/>
              <w:rPr>
                <w:sz w:val="18"/>
              </w:rPr>
            </w:pPr>
            <w:r>
              <w:rPr>
                <w:sz w:val="18"/>
              </w:rPr>
              <w:t>178.90</w:t>
            </w:r>
          </w:p>
        </w:tc>
        <w:tc>
          <w:tcPr>
            <w:tcW w:w="1034" w:type="dxa"/>
          </w:tcPr>
          <w:p w:rsidR="007C5447" w:rsidRDefault="00F6308C">
            <w:pPr>
              <w:pStyle w:val="TableParagraph"/>
              <w:spacing w:before="52"/>
              <w:ind w:right="93"/>
              <w:rPr>
                <w:sz w:val="18"/>
              </w:rPr>
            </w:pPr>
            <w:r>
              <w:rPr>
                <w:sz w:val="18"/>
              </w:rPr>
              <w:t>11.26</w:t>
            </w:r>
          </w:p>
        </w:tc>
        <w:tc>
          <w:tcPr>
            <w:tcW w:w="1034" w:type="dxa"/>
          </w:tcPr>
          <w:p w:rsidR="007C5447" w:rsidRDefault="00F6308C">
            <w:pPr>
              <w:pStyle w:val="TableParagraph"/>
              <w:spacing w:before="52"/>
              <w:ind w:right="93"/>
              <w:rPr>
                <w:sz w:val="18"/>
              </w:rPr>
            </w:pPr>
            <w:r>
              <w:rPr>
                <w:sz w:val="18"/>
              </w:rPr>
              <w:t>26.84</w:t>
            </w:r>
          </w:p>
        </w:tc>
        <w:tc>
          <w:tcPr>
            <w:tcW w:w="1106" w:type="dxa"/>
          </w:tcPr>
          <w:p w:rsidR="007C5447" w:rsidRDefault="00F6308C">
            <w:pPr>
              <w:pStyle w:val="TableParagraph"/>
              <w:spacing w:before="52"/>
              <w:ind w:right="92"/>
              <w:rPr>
                <w:sz w:val="18"/>
              </w:rPr>
            </w:pPr>
            <w:r>
              <w:rPr>
                <w:sz w:val="18"/>
              </w:rPr>
              <w:t>12.68</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1"/>
              <w:rPr>
                <w:sz w:val="18"/>
              </w:rPr>
            </w:pPr>
            <w:r>
              <w:rPr>
                <w:sz w:val="18"/>
              </w:rPr>
              <w:t>(3.58)</w:t>
            </w:r>
          </w:p>
        </w:tc>
        <w:tc>
          <w:tcPr>
            <w:tcW w:w="1056" w:type="dxa"/>
          </w:tcPr>
          <w:p w:rsidR="007C5447" w:rsidRDefault="00F6308C">
            <w:pPr>
              <w:pStyle w:val="TableParagraph"/>
              <w:spacing w:before="52"/>
              <w:ind w:right="95"/>
              <w:rPr>
                <w:sz w:val="18"/>
              </w:rPr>
            </w:pPr>
            <w:r>
              <w:rPr>
                <w:sz w:val="18"/>
              </w:rPr>
              <w:t>0.52</w:t>
            </w:r>
          </w:p>
        </w:tc>
        <w:tc>
          <w:tcPr>
            <w:tcW w:w="1057" w:type="dxa"/>
          </w:tcPr>
          <w:p w:rsidR="007C5447" w:rsidRDefault="00F6308C">
            <w:pPr>
              <w:pStyle w:val="TableParagraph"/>
              <w:spacing w:before="52"/>
              <w:ind w:right="95"/>
              <w:rPr>
                <w:sz w:val="18"/>
              </w:rPr>
            </w:pPr>
            <w:r>
              <w:rPr>
                <w:sz w:val="18"/>
              </w:rPr>
              <w:t>0.15</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2"/>
              <w:ind w:right="95"/>
              <w:rPr>
                <w:sz w:val="18"/>
              </w:rPr>
            </w:pPr>
            <w:r>
              <w:rPr>
                <w:sz w:val="18"/>
              </w:rPr>
              <w:t>0.51</w:t>
            </w:r>
          </w:p>
        </w:tc>
        <w:tc>
          <w:tcPr>
            <w:tcW w:w="1083" w:type="dxa"/>
          </w:tcPr>
          <w:p w:rsidR="007C5447" w:rsidRDefault="00F6308C">
            <w:pPr>
              <w:pStyle w:val="TableParagraph"/>
              <w:spacing w:before="52"/>
              <w:ind w:right="96"/>
              <w:rPr>
                <w:sz w:val="18"/>
              </w:rPr>
            </w:pPr>
            <w:r>
              <w:rPr>
                <w:sz w:val="18"/>
              </w:rPr>
              <w:t>246.13</w:t>
            </w:r>
          </w:p>
        </w:tc>
      </w:tr>
      <w:tr w:rsidR="007C5447">
        <w:trPr>
          <w:trHeight w:val="316"/>
        </w:trPr>
        <w:tc>
          <w:tcPr>
            <w:tcW w:w="703" w:type="dxa"/>
          </w:tcPr>
          <w:p w:rsidR="007C5447" w:rsidRDefault="00F6308C">
            <w:pPr>
              <w:pStyle w:val="TableParagraph"/>
              <w:spacing w:before="55"/>
              <w:ind w:left="107"/>
              <w:jc w:val="left"/>
              <w:rPr>
                <w:sz w:val="18"/>
              </w:rPr>
            </w:pPr>
            <w:r>
              <w:rPr>
                <w:sz w:val="18"/>
              </w:rPr>
              <w:t>8</w:t>
            </w:r>
          </w:p>
        </w:tc>
        <w:tc>
          <w:tcPr>
            <w:tcW w:w="1891" w:type="dxa"/>
          </w:tcPr>
          <w:p w:rsidR="007C5447" w:rsidRDefault="00F6308C">
            <w:pPr>
              <w:pStyle w:val="TableParagraph"/>
              <w:spacing w:before="55"/>
              <w:ind w:left="107"/>
              <w:jc w:val="left"/>
              <w:rPr>
                <w:sz w:val="18"/>
              </w:rPr>
            </w:pPr>
            <w:r>
              <w:rPr>
                <w:sz w:val="18"/>
              </w:rPr>
              <w:t>Kuttalam GTPS</w:t>
            </w:r>
          </w:p>
        </w:tc>
        <w:tc>
          <w:tcPr>
            <w:tcW w:w="1034" w:type="dxa"/>
          </w:tcPr>
          <w:p w:rsidR="007C5447" w:rsidRDefault="00F6308C">
            <w:pPr>
              <w:pStyle w:val="TableParagraph"/>
              <w:spacing w:before="55"/>
              <w:ind w:right="94"/>
              <w:rPr>
                <w:sz w:val="18"/>
              </w:rPr>
            </w:pPr>
            <w:r>
              <w:rPr>
                <w:sz w:val="18"/>
              </w:rPr>
              <w:t>24.38</w:t>
            </w:r>
          </w:p>
        </w:tc>
        <w:tc>
          <w:tcPr>
            <w:tcW w:w="1035" w:type="dxa"/>
          </w:tcPr>
          <w:p w:rsidR="007C5447" w:rsidRDefault="00F6308C">
            <w:pPr>
              <w:pStyle w:val="TableParagraph"/>
              <w:spacing w:before="55"/>
              <w:ind w:right="97"/>
              <w:rPr>
                <w:sz w:val="18"/>
              </w:rPr>
            </w:pPr>
            <w:r>
              <w:rPr>
                <w:sz w:val="18"/>
              </w:rPr>
              <w:t>141.47</w:t>
            </w:r>
          </w:p>
        </w:tc>
        <w:tc>
          <w:tcPr>
            <w:tcW w:w="1034" w:type="dxa"/>
          </w:tcPr>
          <w:p w:rsidR="007C5447" w:rsidRDefault="00F6308C">
            <w:pPr>
              <w:pStyle w:val="TableParagraph"/>
              <w:spacing w:before="55"/>
              <w:ind w:right="93"/>
              <w:rPr>
                <w:sz w:val="18"/>
              </w:rPr>
            </w:pPr>
            <w:r>
              <w:rPr>
                <w:sz w:val="18"/>
              </w:rPr>
              <w:t>11.89</w:t>
            </w:r>
          </w:p>
        </w:tc>
        <w:tc>
          <w:tcPr>
            <w:tcW w:w="1034" w:type="dxa"/>
          </w:tcPr>
          <w:p w:rsidR="007C5447" w:rsidRDefault="00F6308C">
            <w:pPr>
              <w:pStyle w:val="TableParagraph"/>
              <w:spacing w:before="55"/>
              <w:ind w:right="93"/>
              <w:rPr>
                <w:sz w:val="18"/>
              </w:rPr>
            </w:pPr>
            <w:r>
              <w:rPr>
                <w:sz w:val="18"/>
              </w:rPr>
              <w:t>27.80</w:t>
            </w:r>
          </w:p>
        </w:tc>
        <w:tc>
          <w:tcPr>
            <w:tcW w:w="1106" w:type="dxa"/>
          </w:tcPr>
          <w:p w:rsidR="007C5447" w:rsidRDefault="00F6308C">
            <w:pPr>
              <w:pStyle w:val="TableParagraph"/>
              <w:spacing w:before="55"/>
              <w:ind w:right="95"/>
              <w:rPr>
                <w:sz w:val="18"/>
              </w:rPr>
            </w:pPr>
            <w:r>
              <w:rPr>
                <w:sz w:val="18"/>
              </w:rPr>
              <w:t>9.58</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1"/>
              <w:rPr>
                <w:sz w:val="18"/>
              </w:rPr>
            </w:pPr>
            <w:r>
              <w:rPr>
                <w:sz w:val="18"/>
              </w:rPr>
              <w:t>(0.25)</w:t>
            </w:r>
          </w:p>
        </w:tc>
        <w:tc>
          <w:tcPr>
            <w:tcW w:w="1056" w:type="dxa"/>
          </w:tcPr>
          <w:p w:rsidR="007C5447" w:rsidRDefault="00F6308C">
            <w:pPr>
              <w:pStyle w:val="TableParagraph"/>
              <w:spacing w:before="55"/>
              <w:ind w:right="95"/>
              <w:rPr>
                <w:sz w:val="18"/>
              </w:rPr>
            </w:pPr>
            <w:r>
              <w:rPr>
                <w:sz w:val="18"/>
              </w:rPr>
              <w:t>0.15</w:t>
            </w:r>
          </w:p>
        </w:tc>
        <w:tc>
          <w:tcPr>
            <w:tcW w:w="1057" w:type="dxa"/>
          </w:tcPr>
          <w:p w:rsidR="007C5447" w:rsidRDefault="00F6308C">
            <w:pPr>
              <w:pStyle w:val="TableParagraph"/>
              <w:spacing w:before="55"/>
              <w:ind w:right="95"/>
              <w:rPr>
                <w:sz w:val="18"/>
              </w:rPr>
            </w:pPr>
            <w:r>
              <w:rPr>
                <w:sz w:val="18"/>
              </w:rPr>
              <w:t>0.12</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0.48</w:t>
            </w:r>
          </w:p>
        </w:tc>
        <w:tc>
          <w:tcPr>
            <w:tcW w:w="1083" w:type="dxa"/>
          </w:tcPr>
          <w:p w:rsidR="007C5447" w:rsidRDefault="00F6308C">
            <w:pPr>
              <w:pStyle w:val="TableParagraph"/>
              <w:spacing w:before="55"/>
              <w:ind w:right="96"/>
              <w:rPr>
                <w:sz w:val="18"/>
              </w:rPr>
            </w:pPr>
            <w:r>
              <w:rPr>
                <w:sz w:val="18"/>
              </w:rPr>
              <w:t>215.37</w:t>
            </w:r>
          </w:p>
        </w:tc>
      </w:tr>
      <w:tr w:rsidR="007C5447">
        <w:trPr>
          <w:trHeight w:val="313"/>
        </w:trPr>
        <w:tc>
          <w:tcPr>
            <w:tcW w:w="703" w:type="dxa"/>
          </w:tcPr>
          <w:p w:rsidR="007C5447" w:rsidRDefault="00F6308C">
            <w:pPr>
              <w:pStyle w:val="TableParagraph"/>
              <w:spacing w:before="52"/>
              <w:ind w:left="107"/>
              <w:jc w:val="left"/>
              <w:rPr>
                <w:sz w:val="18"/>
              </w:rPr>
            </w:pPr>
            <w:r>
              <w:rPr>
                <w:sz w:val="18"/>
              </w:rPr>
              <w:t>9</w:t>
            </w:r>
          </w:p>
        </w:tc>
        <w:tc>
          <w:tcPr>
            <w:tcW w:w="1891" w:type="dxa"/>
          </w:tcPr>
          <w:p w:rsidR="007C5447" w:rsidRDefault="00F6308C">
            <w:pPr>
              <w:pStyle w:val="TableParagraph"/>
              <w:spacing w:before="52"/>
              <w:ind w:left="107"/>
              <w:jc w:val="left"/>
              <w:rPr>
                <w:sz w:val="18"/>
              </w:rPr>
            </w:pPr>
            <w:r>
              <w:rPr>
                <w:sz w:val="18"/>
              </w:rPr>
              <w:t>Basin Bridge GTPS</w:t>
            </w:r>
          </w:p>
        </w:tc>
        <w:tc>
          <w:tcPr>
            <w:tcW w:w="1034" w:type="dxa"/>
          </w:tcPr>
          <w:p w:rsidR="007C5447" w:rsidRDefault="00F6308C">
            <w:pPr>
              <w:pStyle w:val="TableParagraph"/>
              <w:spacing w:before="52"/>
              <w:ind w:right="96"/>
              <w:rPr>
                <w:sz w:val="18"/>
              </w:rPr>
            </w:pPr>
            <w:r>
              <w:rPr>
                <w:sz w:val="18"/>
              </w:rPr>
              <w:t>2.20</w:t>
            </w:r>
          </w:p>
        </w:tc>
        <w:tc>
          <w:tcPr>
            <w:tcW w:w="1035" w:type="dxa"/>
          </w:tcPr>
          <w:p w:rsidR="007C5447" w:rsidRDefault="00F6308C">
            <w:pPr>
              <w:pStyle w:val="TableParagraph"/>
              <w:spacing w:before="52"/>
              <w:ind w:right="97"/>
              <w:rPr>
                <w:sz w:val="18"/>
              </w:rPr>
            </w:pPr>
            <w:r>
              <w:rPr>
                <w:sz w:val="18"/>
              </w:rPr>
              <w:t>220.26</w:t>
            </w:r>
          </w:p>
        </w:tc>
        <w:tc>
          <w:tcPr>
            <w:tcW w:w="1034" w:type="dxa"/>
          </w:tcPr>
          <w:p w:rsidR="007C5447" w:rsidRDefault="00F6308C">
            <w:pPr>
              <w:pStyle w:val="TableParagraph"/>
              <w:spacing w:before="52"/>
              <w:ind w:right="96"/>
              <w:rPr>
                <w:sz w:val="18"/>
              </w:rPr>
            </w:pPr>
            <w:r>
              <w:rPr>
                <w:sz w:val="18"/>
              </w:rPr>
              <w:t>9.72</w:t>
            </w:r>
          </w:p>
        </w:tc>
        <w:tc>
          <w:tcPr>
            <w:tcW w:w="1034" w:type="dxa"/>
          </w:tcPr>
          <w:p w:rsidR="007C5447" w:rsidRDefault="00F6308C">
            <w:pPr>
              <w:pStyle w:val="TableParagraph"/>
              <w:spacing w:before="52"/>
              <w:ind w:right="93"/>
              <w:rPr>
                <w:sz w:val="18"/>
              </w:rPr>
            </w:pPr>
            <w:r>
              <w:rPr>
                <w:sz w:val="18"/>
              </w:rPr>
              <w:t>32.56</w:t>
            </w:r>
          </w:p>
        </w:tc>
        <w:tc>
          <w:tcPr>
            <w:tcW w:w="1106" w:type="dxa"/>
          </w:tcPr>
          <w:p w:rsidR="007C5447" w:rsidRDefault="00F6308C">
            <w:pPr>
              <w:pStyle w:val="TableParagraph"/>
              <w:spacing w:before="52"/>
              <w:ind w:right="95"/>
              <w:rPr>
                <w:sz w:val="18"/>
              </w:rPr>
            </w:pPr>
            <w:r>
              <w:rPr>
                <w:sz w:val="18"/>
              </w:rPr>
              <w:t>8.12</w:t>
            </w:r>
          </w:p>
        </w:tc>
        <w:tc>
          <w:tcPr>
            <w:tcW w:w="1056" w:type="dxa"/>
          </w:tcPr>
          <w:p w:rsidR="007C5447" w:rsidRDefault="00F6308C">
            <w:pPr>
              <w:pStyle w:val="TableParagraph"/>
              <w:spacing w:before="52"/>
              <w:ind w:right="93"/>
              <w:rPr>
                <w:sz w:val="18"/>
              </w:rPr>
            </w:pPr>
            <w:r>
              <w:rPr>
                <w:w w:val="99"/>
                <w:sz w:val="18"/>
              </w:rPr>
              <w:t>-</w:t>
            </w:r>
          </w:p>
        </w:tc>
        <w:tc>
          <w:tcPr>
            <w:tcW w:w="1056" w:type="dxa"/>
          </w:tcPr>
          <w:p w:rsidR="007C5447" w:rsidRDefault="00F6308C">
            <w:pPr>
              <w:pStyle w:val="TableParagraph"/>
              <w:spacing w:before="52"/>
              <w:ind w:right="95"/>
              <w:rPr>
                <w:sz w:val="18"/>
              </w:rPr>
            </w:pPr>
            <w:r>
              <w:rPr>
                <w:sz w:val="18"/>
              </w:rPr>
              <w:t>0.01</w:t>
            </w:r>
          </w:p>
        </w:tc>
        <w:tc>
          <w:tcPr>
            <w:tcW w:w="1056" w:type="dxa"/>
          </w:tcPr>
          <w:p w:rsidR="007C5447" w:rsidRDefault="00F6308C">
            <w:pPr>
              <w:pStyle w:val="TableParagraph"/>
              <w:spacing w:before="52"/>
              <w:ind w:right="93"/>
              <w:rPr>
                <w:sz w:val="18"/>
              </w:rPr>
            </w:pPr>
            <w:r>
              <w:rPr>
                <w:w w:val="99"/>
                <w:sz w:val="18"/>
              </w:rPr>
              <w:t>-</w:t>
            </w:r>
          </w:p>
        </w:tc>
        <w:tc>
          <w:tcPr>
            <w:tcW w:w="1057" w:type="dxa"/>
          </w:tcPr>
          <w:p w:rsidR="007C5447" w:rsidRDefault="00F6308C">
            <w:pPr>
              <w:pStyle w:val="TableParagraph"/>
              <w:spacing w:before="52"/>
              <w:ind w:right="95"/>
              <w:rPr>
                <w:sz w:val="18"/>
              </w:rPr>
            </w:pPr>
            <w:r>
              <w:rPr>
                <w:sz w:val="18"/>
              </w:rPr>
              <w:t>0.05</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2"/>
              <w:ind w:right="95"/>
              <w:rPr>
                <w:sz w:val="18"/>
              </w:rPr>
            </w:pPr>
            <w:r>
              <w:rPr>
                <w:sz w:val="18"/>
              </w:rPr>
              <w:t>0.47</w:t>
            </w:r>
          </w:p>
        </w:tc>
        <w:tc>
          <w:tcPr>
            <w:tcW w:w="1083" w:type="dxa"/>
          </w:tcPr>
          <w:p w:rsidR="007C5447" w:rsidRDefault="00F6308C">
            <w:pPr>
              <w:pStyle w:val="TableParagraph"/>
              <w:spacing w:before="52"/>
              <w:ind w:right="96"/>
              <w:rPr>
                <w:sz w:val="18"/>
              </w:rPr>
            </w:pPr>
            <w:r>
              <w:rPr>
                <w:sz w:val="18"/>
              </w:rPr>
              <w:t>273.30</w:t>
            </w:r>
          </w:p>
        </w:tc>
      </w:tr>
      <w:tr w:rsidR="007C5447">
        <w:trPr>
          <w:trHeight w:val="314"/>
        </w:trPr>
        <w:tc>
          <w:tcPr>
            <w:tcW w:w="703" w:type="dxa"/>
          </w:tcPr>
          <w:p w:rsidR="007C5447" w:rsidRDefault="00F6308C">
            <w:pPr>
              <w:pStyle w:val="TableParagraph"/>
              <w:spacing w:before="55"/>
              <w:ind w:left="107"/>
              <w:jc w:val="left"/>
              <w:rPr>
                <w:sz w:val="18"/>
              </w:rPr>
            </w:pPr>
            <w:r>
              <w:rPr>
                <w:sz w:val="18"/>
              </w:rPr>
              <w:t>10</w:t>
            </w:r>
          </w:p>
        </w:tc>
        <w:tc>
          <w:tcPr>
            <w:tcW w:w="1891" w:type="dxa"/>
          </w:tcPr>
          <w:p w:rsidR="007C5447" w:rsidRDefault="00F6308C">
            <w:pPr>
              <w:pStyle w:val="TableParagraph"/>
              <w:spacing w:before="55"/>
              <w:ind w:left="107"/>
              <w:jc w:val="left"/>
              <w:rPr>
                <w:sz w:val="18"/>
              </w:rPr>
            </w:pPr>
            <w:r>
              <w:rPr>
                <w:sz w:val="18"/>
              </w:rPr>
              <w:t>Valuthur GTPS</w:t>
            </w:r>
          </w:p>
        </w:tc>
        <w:tc>
          <w:tcPr>
            <w:tcW w:w="1034" w:type="dxa"/>
          </w:tcPr>
          <w:p w:rsidR="007C5447" w:rsidRDefault="00F6308C">
            <w:pPr>
              <w:pStyle w:val="TableParagraph"/>
              <w:spacing w:before="55"/>
              <w:ind w:right="94"/>
              <w:rPr>
                <w:sz w:val="18"/>
              </w:rPr>
            </w:pPr>
            <w:r>
              <w:rPr>
                <w:sz w:val="18"/>
              </w:rPr>
              <w:t>49.49</w:t>
            </w:r>
          </w:p>
        </w:tc>
        <w:tc>
          <w:tcPr>
            <w:tcW w:w="1035" w:type="dxa"/>
          </w:tcPr>
          <w:p w:rsidR="007C5447" w:rsidRDefault="00F6308C">
            <w:pPr>
              <w:pStyle w:val="TableParagraph"/>
              <w:spacing w:before="55"/>
              <w:ind w:right="97"/>
              <w:rPr>
                <w:sz w:val="18"/>
              </w:rPr>
            </w:pPr>
            <w:r>
              <w:rPr>
                <w:sz w:val="18"/>
              </w:rPr>
              <w:t>214.84</w:t>
            </w:r>
          </w:p>
        </w:tc>
        <w:tc>
          <w:tcPr>
            <w:tcW w:w="1034" w:type="dxa"/>
          </w:tcPr>
          <w:p w:rsidR="007C5447" w:rsidRDefault="00F6308C">
            <w:pPr>
              <w:pStyle w:val="TableParagraph"/>
              <w:spacing w:before="55"/>
              <w:ind w:right="93"/>
              <w:rPr>
                <w:sz w:val="18"/>
              </w:rPr>
            </w:pPr>
            <w:r>
              <w:rPr>
                <w:sz w:val="18"/>
              </w:rPr>
              <w:t>18.45</w:t>
            </w:r>
          </w:p>
        </w:tc>
        <w:tc>
          <w:tcPr>
            <w:tcW w:w="1034" w:type="dxa"/>
          </w:tcPr>
          <w:p w:rsidR="007C5447" w:rsidRDefault="00F6308C">
            <w:pPr>
              <w:pStyle w:val="TableParagraph"/>
              <w:spacing w:before="55"/>
              <w:ind w:right="93"/>
              <w:rPr>
                <w:sz w:val="18"/>
              </w:rPr>
            </w:pPr>
            <w:r>
              <w:rPr>
                <w:sz w:val="18"/>
              </w:rPr>
              <w:t>34.31</w:t>
            </w:r>
          </w:p>
        </w:tc>
        <w:tc>
          <w:tcPr>
            <w:tcW w:w="1106" w:type="dxa"/>
          </w:tcPr>
          <w:p w:rsidR="007C5447" w:rsidRDefault="00F6308C">
            <w:pPr>
              <w:pStyle w:val="TableParagraph"/>
              <w:spacing w:before="55"/>
              <w:ind w:right="92"/>
              <w:rPr>
                <w:sz w:val="18"/>
              </w:rPr>
            </w:pPr>
            <w:r>
              <w:rPr>
                <w:sz w:val="18"/>
              </w:rPr>
              <w:t>12.03</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5"/>
              <w:rPr>
                <w:sz w:val="18"/>
              </w:rPr>
            </w:pPr>
            <w:r>
              <w:rPr>
                <w:sz w:val="18"/>
              </w:rPr>
              <w:t>2.98</w:t>
            </w:r>
          </w:p>
        </w:tc>
        <w:tc>
          <w:tcPr>
            <w:tcW w:w="1056" w:type="dxa"/>
          </w:tcPr>
          <w:p w:rsidR="007C5447" w:rsidRDefault="00F6308C">
            <w:pPr>
              <w:pStyle w:val="TableParagraph"/>
              <w:spacing w:before="55"/>
              <w:ind w:right="93"/>
              <w:rPr>
                <w:sz w:val="18"/>
              </w:rPr>
            </w:pPr>
            <w:r>
              <w:rPr>
                <w:w w:val="99"/>
                <w:sz w:val="18"/>
              </w:rPr>
              <w:t>-</w:t>
            </w:r>
          </w:p>
        </w:tc>
        <w:tc>
          <w:tcPr>
            <w:tcW w:w="1057" w:type="dxa"/>
          </w:tcPr>
          <w:p w:rsidR="007C5447" w:rsidRDefault="00F6308C">
            <w:pPr>
              <w:pStyle w:val="TableParagraph"/>
              <w:spacing w:before="55"/>
              <w:ind w:right="95"/>
              <w:rPr>
                <w:sz w:val="18"/>
              </w:rPr>
            </w:pPr>
            <w:r>
              <w:rPr>
                <w:sz w:val="18"/>
              </w:rPr>
              <w:t>0.16</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0.86</w:t>
            </w:r>
          </w:p>
        </w:tc>
        <w:tc>
          <w:tcPr>
            <w:tcW w:w="1083" w:type="dxa"/>
          </w:tcPr>
          <w:p w:rsidR="007C5447" w:rsidRDefault="00F6308C">
            <w:pPr>
              <w:pStyle w:val="TableParagraph"/>
              <w:spacing w:before="55"/>
              <w:ind w:right="96"/>
              <w:rPr>
                <w:sz w:val="18"/>
              </w:rPr>
            </w:pPr>
            <w:r>
              <w:rPr>
                <w:sz w:val="18"/>
              </w:rPr>
              <w:t>332.79</w:t>
            </w:r>
          </w:p>
        </w:tc>
      </w:tr>
      <w:tr w:rsidR="007C5447">
        <w:trPr>
          <w:trHeight w:val="316"/>
        </w:trPr>
        <w:tc>
          <w:tcPr>
            <w:tcW w:w="703" w:type="dxa"/>
          </w:tcPr>
          <w:p w:rsidR="007C5447" w:rsidRDefault="00F6308C">
            <w:pPr>
              <w:pStyle w:val="TableParagraph"/>
              <w:spacing w:before="55"/>
              <w:ind w:left="107"/>
              <w:jc w:val="left"/>
              <w:rPr>
                <w:sz w:val="18"/>
              </w:rPr>
            </w:pPr>
            <w:r>
              <w:rPr>
                <w:sz w:val="18"/>
              </w:rPr>
              <w:t>12</w:t>
            </w:r>
          </w:p>
        </w:tc>
        <w:tc>
          <w:tcPr>
            <w:tcW w:w="1891" w:type="dxa"/>
          </w:tcPr>
          <w:p w:rsidR="007C5447" w:rsidRDefault="00F6308C">
            <w:pPr>
              <w:pStyle w:val="TableParagraph"/>
              <w:spacing w:before="55"/>
              <w:ind w:left="107"/>
              <w:jc w:val="left"/>
              <w:rPr>
                <w:sz w:val="18"/>
              </w:rPr>
            </w:pPr>
            <w:r>
              <w:rPr>
                <w:sz w:val="18"/>
              </w:rPr>
              <w:t>Erode HEP</w:t>
            </w:r>
          </w:p>
        </w:tc>
        <w:tc>
          <w:tcPr>
            <w:tcW w:w="1034" w:type="dxa"/>
          </w:tcPr>
          <w:p w:rsidR="007C5447" w:rsidRDefault="00F6308C">
            <w:pPr>
              <w:pStyle w:val="TableParagraph"/>
              <w:spacing w:before="55"/>
              <w:ind w:right="94"/>
              <w:rPr>
                <w:sz w:val="18"/>
              </w:rPr>
            </w:pPr>
            <w:r>
              <w:rPr>
                <w:sz w:val="18"/>
              </w:rPr>
              <w:t>54.67</w:t>
            </w:r>
          </w:p>
        </w:tc>
        <w:tc>
          <w:tcPr>
            <w:tcW w:w="1035" w:type="dxa"/>
          </w:tcPr>
          <w:p w:rsidR="007C5447" w:rsidRDefault="00F6308C">
            <w:pPr>
              <w:pStyle w:val="TableParagraph"/>
              <w:spacing w:before="55"/>
              <w:ind w:right="97"/>
              <w:rPr>
                <w:sz w:val="18"/>
              </w:rPr>
            </w:pPr>
            <w:r>
              <w:rPr>
                <w:sz w:val="18"/>
              </w:rPr>
              <w:t>305.90</w:t>
            </w:r>
          </w:p>
        </w:tc>
        <w:tc>
          <w:tcPr>
            <w:tcW w:w="1034" w:type="dxa"/>
          </w:tcPr>
          <w:p w:rsidR="007C5447" w:rsidRDefault="00F6308C">
            <w:pPr>
              <w:pStyle w:val="TableParagraph"/>
              <w:spacing w:before="55"/>
              <w:ind w:right="96"/>
              <w:rPr>
                <w:sz w:val="18"/>
              </w:rPr>
            </w:pPr>
            <w:r>
              <w:rPr>
                <w:sz w:val="18"/>
              </w:rPr>
              <w:t>5.64</w:t>
            </w:r>
          </w:p>
        </w:tc>
        <w:tc>
          <w:tcPr>
            <w:tcW w:w="1034" w:type="dxa"/>
          </w:tcPr>
          <w:p w:rsidR="007C5447" w:rsidRDefault="00F6308C">
            <w:pPr>
              <w:pStyle w:val="TableParagraph"/>
              <w:spacing w:before="55"/>
              <w:ind w:right="93"/>
              <w:rPr>
                <w:sz w:val="18"/>
              </w:rPr>
            </w:pPr>
            <w:r>
              <w:rPr>
                <w:sz w:val="18"/>
              </w:rPr>
              <w:t>70.00</w:t>
            </w:r>
          </w:p>
        </w:tc>
        <w:tc>
          <w:tcPr>
            <w:tcW w:w="1106" w:type="dxa"/>
          </w:tcPr>
          <w:p w:rsidR="007C5447" w:rsidRDefault="00F6308C">
            <w:pPr>
              <w:pStyle w:val="TableParagraph"/>
              <w:spacing w:before="55"/>
              <w:ind w:right="92"/>
              <w:rPr>
                <w:sz w:val="18"/>
              </w:rPr>
            </w:pPr>
            <w:r>
              <w:rPr>
                <w:sz w:val="18"/>
              </w:rPr>
              <w:t>49.00</w:t>
            </w:r>
          </w:p>
        </w:tc>
        <w:tc>
          <w:tcPr>
            <w:tcW w:w="1056" w:type="dxa"/>
          </w:tcPr>
          <w:p w:rsidR="007C5447" w:rsidRDefault="00F6308C">
            <w:pPr>
              <w:pStyle w:val="TableParagraph"/>
              <w:spacing w:before="55"/>
              <w:ind w:right="93"/>
              <w:rPr>
                <w:sz w:val="18"/>
              </w:rPr>
            </w:pPr>
            <w:r>
              <w:rPr>
                <w:w w:val="99"/>
                <w:sz w:val="18"/>
              </w:rPr>
              <w:t>-</w:t>
            </w:r>
          </w:p>
        </w:tc>
        <w:tc>
          <w:tcPr>
            <w:tcW w:w="1056" w:type="dxa"/>
          </w:tcPr>
          <w:p w:rsidR="007C5447" w:rsidRDefault="00F6308C">
            <w:pPr>
              <w:pStyle w:val="TableParagraph"/>
              <w:spacing w:before="55"/>
              <w:ind w:right="91"/>
              <w:rPr>
                <w:sz w:val="18"/>
              </w:rPr>
            </w:pPr>
            <w:r>
              <w:rPr>
                <w:sz w:val="18"/>
              </w:rPr>
              <w:t>(0.02)</w:t>
            </w:r>
          </w:p>
        </w:tc>
        <w:tc>
          <w:tcPr>
            <w:tcW w:w="1056" w:type="dxa"/>
          </w:tcPr>
          <w:p w:rsidR="007C5447" w:rsidRDefault="00F6308C">
            <w:pPr>
              <w:pStyle w:val="TableParagraph"/>
              <w:spacing w:before="55"/>
              <w:ind w:right="95"/>
              <w:rPr>
                <w:sz w:val="18"/>
              </w:rPr>
            </w:pPr>
            <w:r>
              <w:rPr>
                <w:sz w:val="18"/>
              </w:rPr>
              <w:t>0.08</w:t>
            </w:r>
          </w:p>
        </w:tc>
        <w:tc>
          <w:tcPr>
            <w:tcW w:w="1057" w:type="dxa"/>
          </w:tcPr>
          <w:p w:rsidR="007C5447" w:rsidRDefault="00F6308C">
            <w:pPr>
              <w:pStyle w:val="TableParagraph"/>
              <w:spacing w:before="55"/>
              <w:ind w:right="95"/>
              <w:rPr>
                <w:sz w:val="18"/>
              </w:rPr>
            </w:pPr>
            <w:r>
              <w:rPr>
                <w:sz w:val="18"/>
              </w:rPr>
              <w:t>0.10</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2.59</w:t>
            </w:r>
          </w:p>
        </w:tc>
        <w:tc>
          <w:tcPr>
            <w:tcW w:w="1083" w:type="dxa"/>
          </w:tcPr>
          <w:p w:rsidR="007C5447" w:rsidRDefault="00F6308C">
            <w:pPr>
              <w:pStyle w:val="TableParagraph"/>
              <w:spacing w:before="55"/>
              <w:ind w:right="96"/>
              <w:rPr>
                <w:sz w:val="18"/>
              </w:rPr>
            </w:pPr>
            <w:r>
              <w:rPr>
                <w:sz w:val="18"/>
              </w:rPr>
              <w:t>487.76</w:t>
            </w:r>
          </w:p>
        </w:tc>
      </w:tr>
      <w:tr w:rsidR="007C5447">
        <w:trPr>
          <w:trHeight w:val="314"/>
        </w:trPr>
        <w:tc>
          <w:tcPr>
            <w:tcW w:w="703" w:type="dxa"/>
          </w:tcPr>
          <w:p w:rsidR="007C5447" w:rsidRDefault="00F6308C">
            <w:pPr>
              <w:pStyle w:val="TableParagraph"/>
              <w:spacing w:before="55"/>
              <w:ind w:left="107"/>
              <w:jc w:val="left"/>
              <w:rPr>
                <w:sz w:val="18"/>
              </w:rPr>
            </w:pPr>
            <w:r>
              <w:rPr>
                <w:sz w:val="18"/>
              </w:rPr>
              <w:t>13</w:t>
            </w:r>
          </w:p>
        </w:tc>
        <w:tc>
          <w:tcPr>
            <w:tcW w:w="1891" w:type="dxa"/>
          </w:tcPr>
          <w:p w:rsidR="007C5447" w:rsidRDefault="00F6308C">
            <w:pPr>
              <w:pStyle w:val="TableParagraph"/>
              <w:spacing w:before="55"/>
              <w:ind w:left="107"/>
              <w:jc w:val="left"/>
              <w:rPr>
                <w:sz w:val="18"/>
              </w:rPr>
            </w:pPr>
            <w:r>
              <w:rPr>
                <w:sz w:val="18"/>
              </w:rPr>
              <w:t>Kadamparai HEP</w:t>
            </w:r>
          </w:p>
        </w:tc>
        <w:tc>
          <w:tcPr>
            <w:tcW w:w="1034" w:type="dxa"/>
          </w:tcPr>
          <w:p w:rsidR="007C5447" w:rsidRDefault="00F6308C">
            <w:pPr>
              <w:pStyle w:val="TableParagraph"/>
              <w:spacing w:before="55"/>
              <w:ind w:right="94"/>
              <w:rPr>
                <w:sz w:val="18"/>
              </w:rPr>
            </w:pPr>
            <w:r>
              <w:rPr>
                <w:sz w:val="18"/>
              </w:rPr>
              <w:t>12.15</w:t>
            </w:r>
          </w:p>
        </w:tc>
        <w:tc>
          <w:tcPr>
            <w:tcW w:w="1035" w:type="dxa"/>
          </w:tcPr>
          <w:p w:rsidR="007C5447" w:rsidRDefault="00F6308C">
            <w:pPr>
              <w:pStyle w:val="TableParagraph"/>
              <w:spacing w:before="55"/>
              <w:ind w:right="97"/>
              <w:rPr>
                <w:sz w:val="18"/>
              </w:rPr>
            </w:pPr>
            <w:r>
              <w:rPr>
                <w:sz w:val="18"/>
              </w:rPr>
              <w:t>130.19</w:t>
            </w:r>
          </w:p>
        </w:tc>
        <w:tc>
          <w:tcPr>
            <w:tcW w:w="1034" w:type="dxa"/>
          </w:tcPr>
          <w:p w:rsidR="007C5447" w:rsidRDefault="00F6308C">
            <w:pPr>
              <w:pStyle w:val="TableParagraph"/>
              <w:spacing w:before="55"/>
              <w:ind w:right="96"/>
              <w:rPr>
                <w:sz w:val="18"/>
              </w:rPr>
            </w:pPr>
            <w:r>
              <w:rPr>
                <w:sz w:val="18"/>
              </w:rPr>
              <w:t>5.38</w:t>
            </w:r>
          </w:p>
        </w:tc>
        <w:tc>
          <w:tcPr>
            <w:tcW w:w="1034" w:type="dxa"/>
          </w:tcPr>
          <w:p w:rsidR="007C5447" w:rsidRDefault="00F6308C">
            <w:pPr>
              <w:pStyle w:val="TableParagraph"/>
              <w:spacing w:before="55"/>
              <w:ind w:right="93"/>
              <w:rPr>
                <w:sz w:val="18"/>
              </w:rPr>
            </w:pPr>
            <w:r>
              <w:rPr>
                <w:sz w:val="18"/>
              </w:rPr>
              <w:t>22.43</w:t>
            </w:r>
          </w:p>
        </w:tc>
        <w:tc>
          <w:tcPr>
            <w:tcW w:w="1106" w:type="dxa"/>
          </w:tcPr>
          <w:p w:rsidR="007C5447" w:rsidRDefault="00F6308C">
            <w:pPr>
              <w:pStyle w:val="TableParagraph"/>
              <w:spacing w:before="55"/>
              <w:ind w:right="92"/>
              <w:rPr>
                <w:sz w:val="18"/>
              </w:rPr>
            </w:pPr>
            <w:r>
              <w:rPr>
                <w:sz w:val="18"/>
              </w:rPr>
              <w:t>32.43</w:t>
            </w:r>
          </w:p>
        </w:tc>
        <w:tc>
          <w:tcPr>
            <w:tcW w:w="1056" w:type="dxa"/>
          </w:tcPr>
          <w:p w:rsidR="007C5447" w:rsidRDefault="00F6308C">
            <w:pPr>
              <w:pStyle w:val="TableParagraph"/>
              <w:spacing w:before="55"/>
              <w:ind w:right="95"/>
              <w:rPr>
                <w:sz w:val="18"/>
              </w:rPr>
            </w:pPr>
            <w:r>
              <w:rPr>
                <w:sz w:val="18"/>
              </w:rPr>
              <w:t>0.00</w:t>
            </w:r>
          </w:p>
        </w:tc>
        <w:tc>
          <w:tcPr>
            <w:tcW w:w="1056" w:type="dxa"/>
          </w:tcPr>
          <w:p w:rsidR="007C5447" w:rsidRDefault="00F6308C">
            <w:pPr>
              <w:pStyle w:val="TableParagraph"/>
              <w:spacing w:before="55"/>
              <w:ind w:right="91"/>
              <w:rPr>
                <w:sz w:val="18"/>
              </w:rPr>
            </w:pPr>
            <w:r>
              <w:rPr>
                <w:sz w:val="18"/>
              </w:rPr>
              <w:t>(5.37)</w:t>
            </w:r>
          </w:p>
        </w:tc>
        <w:tc>
          <w:tcPr>
            <w:tcW w:w="1056" w:type="dxa"/>
          </w:tcPr>
          <w:p w:rsidR="007C5447" w:rsidRDefault="00F6308C">
            <w:pPr>
              <w:pStyle w:val="TableParagraph"/>
              <w:spacing w:before="55"/>
              <w:ind w:right="95"/>
              <w:rPr>
                <w:sz w:val="18"/>
              </w:rPr>
            </w:pPr>
            <w:r>
              <w:rPr>
                <w:sz w:val="18"/>
              </w:rPr>
              <w:t>1.76</w:t>
            </w:r>
          </w:p>
        </w:tc>
        <w:tc>
          <w:tcPr>
            <w:tcW w:w="1057" w:type="dxa"/>
          </w:tcPr>
          <w:p w:rsidR="007C5447" w:rsidRDefault="00F6308C">
            <w:pPr>
              <w:pStyle w:val="TableParagraph"/>
              <w:spacing w:before="55"/>
              <w:ind w:right="95"/>
              <w:rPr>
                <w:sz w:val="18"/>
              </w:rPr>
            </w:pPr>
            <w:r>
              <w:rPr>
                <w:sz w:val="18"/>
              </w:rPr>
              <w:t>0.25</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1.63</w:t>
            </w:r>
          </w:p>
        </w:tc>
        <w:tc>
          <w:tcPr>
            <w:tcW w:w="1083" w:type="dxa"/>
          </w:tcPr>
          <w:p w:rsidR="007C5447" w:rsidRDefault="00F6308C">
            <w:pPr>
              <w:pStyle w:val="TableParagraph"/>
              <w:spacing w:before="55"/>
              <w:ind w:right="96"/>
              <w:rPr>
                <w:sz w:val="18"/>
              </w:rPr>
            </w:pPr>
            <w:r>
              <w:rPr>
                <w:sz w:val="18"/>
              </w:rPr>
              <w:t>200.34</w:t>
            </w:r>
          </w:p>
        </w:tc>
      </w:tr>
      <w:tr w:rsidR="007C5447">
        <w:trPr>
          <w:trHeight w:val="316"/>
        </w:trPr>
        <w:tc>
          <w:tcPr>
            <w:tcW w:w="703" w:type="dxa"/>
          </w:tcPr>
          <w:p w:rsidR="007C5447" w:rsidRDefault="00F6308C">
            <w:pPr>
              <w:pStyle w:val="TableParagraph"/>
              <w:spacing w:before="55"/>
              <w:ind w:left="107"/>
              <w:jc w:val="left"/>
              <w:rPr>
                <w:sz w:val="18"/>
              </w:rPr>
            </w:pPr>
            <w:r>
              <w:rPr>
                <w:sz w:val="18"/>
              </w:rPr>
              <w:t>14</w:t>
            </w:r>
          </w:p>
        </w:tc>
        <w:tc>
          <w:tcPr>
            <w:tcW w:w="1891" w:type="dxa"/>
          </w:tcPr>
          <w:p w:rsidR="007C5447" w:rsidRDefault="00F6308C">
            <w:pPr>
              <w:pStyle w:val="TableParagraph"/>
              <w:spacing w:before="55"/>
              <w:ind w:left="107"/>
              <w:jc w:val="left"/>
              <w:rPr>
                <w:sz w:val="18"/>
              </w:rPr>
            </w:pPr>
            <w:r>
              <w:rPr>
                <w:sz w:val="18"/>
              </w:rPr>
              <w:t>Kundah HEP</w:t>
            </w:r>
          </w:p>
        </w:tc>
        <w:tc>
          <w:tcPr>
            <w:tcW w:w="1034" w:type="dxa"/>
          </w:tcPr>
          <w:p w:rsidR="007C5447" w:rsidRDefault="00F6308C">
            <w:pPr>
              <w:pStyle w:val="TableParagraph"/>
              <w:spacing w:before="55"/>
              <w:ind w:right="94"/>
              <w:rPr>
                <w:sz w:val="18"/>
              </w:rPr>
            </w:pPr>
            <w:r>
              <w:rPr>
                <w:sz w:val="18"/>
              </w:rPr>
              <w:t>39.83</w:t>
            </w:r>
          </w:p>
        </w:tc>
        <w:tc>
          <w:tcPr>
            <w:tcW w:w="1035" w:type="dxa"/>
          </w:tcPr>
          <w:p w:rsidR="007C5447" w:rsidRDefault="00F6308C">
            <w:pPr>
              <w:pStyle w:val="TableParagraph"/>
              <w:spacing w:before="55"/>
              <w:ind w:right="97"/>
              <w:rPr>
                <w:sz w:val="18"/>
              </w:rPr>
            </w:pPr>
            <w:r>
              <w:rPr>
                <w:sz w:val="18"/>
              </w:rPr>
              <w:t>395.99</w:t>
            </w:r>
          </w:p>
        </w:tc>
        <w:tc>
          <w:tcPr>
            <w:tcW w:w="1034" w:type="dxa"/>
          </w:tcPr>
          <w:p w:rsidR="007C5447" w:rsidRDefault="00F6308C">
            <w:pPr>
              <w:pStyle w:val="TableParagraph"/>
              <w:spacing w:before="55"/>
              <w:ind w:right="93"/>
              <w:rPr>
                <w:sz w:val="18"/>
              </w:rPr>
            </w:pPr>
            <w:r>
              <w:rPr>
                <w:sz w:val="18"/>
              </w:rPr>
              <w:t>14.86</w:t>
            </w:r>
          </w:p>
        </w:tc>
        <w:tc>
          <w:tcPr>
            <w:tcW w:w="1034" w:type="dxa"/>
          </w:tcPr>
          <w:p w:rsidR="007C5447" w:rsidRDefault="00F6308C">
            <w:pPr>
              <w:pStyle w:val="TableParagraph"/>
              <w:spacing w:before="55"/>
              <w:ind w:right="93"/>
              <w:rPr>
                <w:sz w:val="18"/>
              </w:rPr>
            </w:pPr>
            <w:r>
              <w:rPr>
                <w:sz w:val="18"/>
              </w:rPr>
              <w:t>57.12</w:t>
            </w:r>
          </w:p>
        </w:tc>
        <w:tc>
          <w:tcPr>
            <w:tcW w:w="1106" w:type="dxa"/>
          </w:tcPr>
          <w:p w:rsidR="007C5447" w:rsidRDefault="00F6308C">
            <w:pPr>
              <w:pStyle w:val="TableParagraph"/>
              <w:spacing w:before="55"/>
              <w:ind w:right="92"/>
              <w:rPr>
                <w:sz w:val="18"/>
              </w:rPr>
            </w:pPr>
            <w:r>
              <w:rPr>
                <w:sz w:val="18"/>
              </w:rPr>
              <w:t>50.37</w:t>
            </w:r>
          </w:p>
        </w:tc>
        <w:tc>
          <w:tcPr>
            <w:tcW w:w="1056" w:type="dxa"/>
          </w:tcPr>
          <w:p w:rsidR="007C5447" w:rsidRDefault="00F6308C">
            <w:pPr>
              <w:pStyle w:val="TableParagraph"/>
              <w:spacing w:before="55"/>
              <w:ind w:right="95"/>
              <w:rPr>
                <w:sz w:val="18"/>
              </w:rPr>
            </w:pPr>
            <w:r>
              <w:rPr>
                <w:sz w:val="18"/>
              </w:rPr>
              <w:t>0.09</w:t>
            </w:r>
          </w:p>
        </w:tc>
        <w:tc>
          <w:tcPr>
            <w:tcW w:w="1056" w:type="dxa"/>
          </w:tcPr>
          <w:p w:rsidR="007C5447" w:rsidRDefault="00F6308C">
            <w:pPr>
              <w:pStyle w:val="TableParagraph"/>
              <w:spacing w:before="55"/>
              <w:ind w:right="91"/>
              <w:rPr>
                <w:sz w:val="18"/>
              </w:rPr>
            </w:pPr>
            <w:r>
              <w:rPr>
                <w:sz w:val="18"/>
              </w:rPr>
              <w:t>(9.33)</w:t>
            </w:r>
          </w:p>
        </w:tc>
        <w:tc>
          <w:tcPr>
            <w:tcW w:w="1056" w:type="dxa"/>
          </w:tcPr>
          <w:p w:rsidR="007C5447" w:rsidRDefault="00F6308C">
            <w:pPr>
              <w:pStyle w:val="TableParagraph"/>
              <w:spacing w:before="55"/>
              <w:ind w:right="95"/>
              <w:rPr>
                <w:sz w:val="18"/>
              </w:rPr>
            </w:pPr>
            <w:r>
              <w:rPr>
                <w:sz w:val="18"/>
              </w:rPr>
              <w:t>9.06</w:t>
            </w:r>
          </w:p>
        </w:tc>
        <w:tc>
          <w:tcPr>
            <w:tcW w:w="1057" w:type="dxa"/>
          </w:tcPr>
          <w:p w:rsidR="007C5447" w:rsidRDefault="00F6308C">
            <w:pPr>
              <w:pStyle w:val="TableParagraph"/>
              <w:spacing w:before="55"/>
              <w:ind w:right="95"/>
              <w:rPr>
                <w:sz w:val="18"/>
              </w:rPr>
            </w:pPr>
            <w:r>
              <w:rPr>
                <w:sz w:val="18"/>
              </w:rPr>
              <w:t>0.90</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5"/>
              <w:ind w:right="95"/>
              <w:rPr>
                <w:sz w:val="18"/>
              </w:rPr>
            </w:pPr>
            <w:r>
              <w:rPr>
                <w:sz w:val="18"/>
              </w:rPr>
              <w:t>2.67</w:t>
            </w:r>
          </w:p>
        </w:tc>
        <w:tc>
          <w:tcPr>
            <w:tcW w:w="1083" w:type="dxa"/>
          </w:tcPr>
          <w:p w:rsidR="007C5447" w:rsidRDefault="00F6308C">
            <w:pPr>
              <w:pStyle w:val="TableParagraph"/>
              <w:spacing w:before="55"/>
              <w:ind w:right="96"/>
              <w:rPr>
                <w:sz w:val="18"/>
              </w:rPr>
            </w:pPr>
            <w:r>
              <w:rPr>
                <w:sz w:val="18"/>
              </w:rPr>
              <w:t>559.76</w:t>
            </w:r>
          </w:p>
        </w:tc>
      </w:tr>
      <w:tr w:rsidR="007C5447">
        <w:trPr>
          <w:trHeight w:val="314"/>
        </w:trPr>
        <w:tc>
          <w:tcPr>
            <w:tcW w:w="703" w:type="dxa"/>
          </w:tcPr>
          <w:p w:rsidR="007C5447" w:rsidRDefault="00F6308C">
            <w:pPr>
              <w:pStyle w:val="TableParagraph"/>
              <w:spacing w:before="52"/>
              <w:ind w:left="107"/>
              <w:jc w:val="left"/>
              <w:rPr>
                <w:sz w:val="18"/>
              </w:rPr>
            </w:pPr>
            <w:r>
              <w:rPr>
                <w:sz w:val="18"/>
              </w:rPr>
              <w:t>15</w:t>
            </w:r>
          </w:p>
        </w:tc>
        <w:tc>
          <w:tcPr>
            <w:tcW w:w="1891" w:type="dxa"/>
          </w:tcPr>
          <w:p w:rsidR="007C5447" w:rsidRDefault="00F6308C">
            <w:pPr>
              <w:pStyle w:val="TableParagraph"/>
              <w:spacing w:before="52"/>
              <w:ind w:left="107"/>
              <w:jc w:val="left"/>
              <w:rPr>
                <w:sz w:val="18"/>
              </w:rPr>
            </w:pPr>
            <w:r>
              <w:rPr>
                <w:sz w:val="18"/>
              </w:rPr>
              <w:t>Tirunelveli HEP</w:t>
            </w:r>
          </w:p>
        </w:tc>
        <w:tc>
          <w:tcPr>
            <w:tcW w:w="1034" w:type="dxa"/>
          </w:tcPr>
          <w:p w:rsidR="007C5447" w:rsidRDefault="00F6308C">
            <w:pPr>
              <w:pStyle w:val="TableParagraph"/>
              <w:spacing w:before="52"/>
              <w:ind w:right="94"/>
              <w:rPr>
                <w:sz w:val="18"/>
              </w:rPr>
            </w:pPr>
            <w:r>
              <w:rPr>
                <w:sz w:val="18"/>
              </w:rPr>
              <w:t>25.71</w:t>
            </w:r>
          </w:p>
        </w:tc>
        <w:tc>
          <w:tcPr>
            <w:tcW w:w="1035" w:type="dxa"/>
          </w:tcPr>
          <w:p w:rsidR="007C5447" w:rsidRDefault="00F6308C">
            <w:pPr>
              <w:pStyle w:val="TableParagraph"/>
              <w:spacing w:before="52"/>
              <w:ind w:right="94"/>
              <w:rPr>
                <w:sz w:val="18"/>
              </w:rPr>
            </w:pPr>
            <w:r>
              <w:rPr>
                <w:sz w:val="18"/>
              </w:rPr>
              <w:t>88.10</w:t>
            </w:r>
          </w:p>
        </w:tc>
        <w:tc>
          <w:tcPr>
            <w:tcW w:w="1034" w:type="dxa"/>
          </w:tcPr>
          <w:p w:rsidR="007C5447" w:rsidRDefault="00F6308C">
            <w:pPr>
              <w:pStyle w:val="TableParagraph"/>
              <w:spacing w:before="52"/>
              <w:ind w:right="96"/>
              <w:rPr>
                <w:sz w:val="18"/>
              </w:rPr>
            </w:pPr>
            <w:r>
              <w:rPr>
                <w:sz w:val="18"/>
              </w:rPr>
              <w:t>5.63</w:t>
            </w:r>
          </w:p>
        </w:tc>
        <w:tc>
          <w:tcPr>
            <w:tcW w:w="1034" w:type="dxa"/>
          </w:tcPr>
          <w:p w:rsidR="007C5447" w:rsidRDefault="00F6308C">
            <w:pPr>
              <w:pStyle w:val="TableParagraph"/>
              <w:spacing w:before="52"/>
              <w:ind w:right="93"/>
              <w:rPr>
                <w:sz w:val="18"/>
              </w:rPr>
            </w:pPr>
            <w:r>
              <w:rPr>
                <w:sz w:val="18"/>
              </w:rPr>
              <w:t>26.84</w:t>
            </w:r>
          </w:p>
        </w:tc>
        <w:tc>
          <w:tcPr>
            <w:tcW w:w="1106" w:type="dxa"/>
          </w:tcPr>
          <w:p w:rsidR="007C5447" w:rsidRDefault="00F6308C">
            <w:pPr>
              <w:pStyle w:val="TableParagraph"/>
              <w:spacing w:before="52"/>
              <w:ind w:right="92"/>
              <w:rPr>
                <w:sz w:val="18"/>
              </w:rPr>
            </w:pPr>
            <w:r>
              <w:rPr>
                <w:sz w:val="18"/>
              </w:rPr>
              <w:t>43.61</w:t>
            </w:r>
          </w:p>
        </w:tc>
        <w:tc>
          <w:tcPr>
            <w:tcW w:w="1056" w:type="dxa"/>
          </w:tcPr>
          <w:p w:rsidR="007C5447" w:rsidRDefault="00F6308C">
            <w:pPr>
              <w:pStyle w:val="TableParagraph"/>
              <w:spacing w:before="52"/>
              <w:ind w:right="95"/>
              <w:rPr>
                <w:sz w:val="18"/>
              </w:rPr>
            </w:pPr>
            <w:r>
              <w:rPr>
                <w:sz w:val="18"/>
              </w:rPr>
              <w:t>0.08</w:t>
            </w:r>
          </w:p>
        </w:tc>
        <w:tc>
          <w:tcPr>
            <w:tcW w:w="1056" w:type="dxa"/>
          </w:tcPr>
          <w:p w:rsidR="007C5447" w:rsidRDefault="00F6308C">
            <w:pPr>
              <w:pStyle w:val="TableParagraph"/>
              <w:spacing w:before="52"/>
              <w:ind w:right="91"/>
              <w:rPr>
                <w:sz w:val="18"/>
              </w:rPr>
            </w:pPr>
            <w:r>
              <w:rPr>
                <w:sz w:val="18"/>
              </w:rPr>
              <w:t>(0.06)</w:t>
            </w:r>
          </w:p>
        </w:tc>
        <w:tc>
          <w:tcPr>
            <w:tcW w:w="1056" w:type="dxa"/>
          </w:tcPr>
          <w:p w:rsidR="007C5447" w:rsidRDefault="00F6308C">
            <w:pPr>
              <w:pStyle w:val="TableParagraph"/>
              <w:spacing w:before="52"/>
              <w:ind w:right="95"/>
              <w:rPr>
                <w:sz w:val="18"/>
              </w:rPr>
            </w:pPr>
            <w:r>
              <w:rPr>
                <w:sz w:val="18"/>
              </w:rPr>
              <w:t>2.69</w:t>
            </w:r>
          </w:p>
        </w:tc>
        <w:tc>
          <w:tcPr>
            <w:tcW w:w="1057" w:type="dxa"/>
          </w:tcPr>
          <w:p w:rsidR="007C5447" w:rsidRDefault="00F6308C">
            <w:pPr>
              <w:pStyle w:val="TableParagraph"/>
              <w:spacing w:before="52"/>
              <w:ind w:right="95"/>
              <w:rPr>
                <w:sz w:val="18"/>
              </w:rPr>
            </w:pPr>
            <w:r>
              <w:rPr>
                <w:sz w:val="18"/>
              </w:rPr>
              <w:t>0.47</w:t>
            </w:r>
          </w:p>
        </w:tc>
        <w:tc>
          <w:tcPr>
            <w:tcW w:w="1056" w:type="dxa"/>
          </w:tcPr>
          <w:p w:rsidR="007C5447" w:rsidRDefault="007C5447">
            <w:pPr>
              <w:pStyle w:val="TableParagraph"/>
              <w:jc w:val="left"/>
              <w:rPr>
                <w:sz w:val="18"/>
              </w:rPr>
            </w:pPr>
          </w:p>
        </w:tc>
        <w:tc>
          <w:tcPr>
            <w:tcW w:w="1056" w:type="dxa"/>
          </w:tcPr>
          <w:p w:rsidR="007C5447" w:rsidRDefault="00F6308C">
            <w:pPr>
              <w:pStyle w:val="TableParagraph"/>
              <w:spacing w:before="52"/>
              <w:ind w:right="95"/>
              <w:rPr>
                <w:sz w:val="18"/>
              </w:rPr>
            </w:pPr>
            <w:r>
              <w:rPr>
                <w:sz w:val="18"/>
              </w:rPr>
              <w:t>2.84</w:t>
            </w:r>
          </w:p>
        </w:tc>
        <w:tc>
          <w:tcPr>
            <w:tcW w:w="1083" w:type="dxa"/>
          </w:tcPr>
          <w:p w:rsidR="007C5447" w:rsidRDefault="00F6308C">
            <w:pPr>
              <w:pStyle w:val="TableParagraph"/>
              <w:spacing w:before="52"/>
              <w:ind w:right="96"/>
              <w:rPr>
                <w:sz w:val="18"/>
              </w:rPr>
            </w:pPr>
            <w:r>
              <w:rPr>
                <w:sz w:val="18"/>
              </w:rPr>
              <w:t>194.97</w:t>
            </w:r>
          </w:p>
        </w:tc>
      </w:tr>
      <w:tr w:rsidR="007C5447">
        <w:trPr>
          <w:trHeight w:val="316"/>
        </w:trPr>
        <w:tc>
          <w:tcPr>
            <w:tcW w:w="703" w:type="dxa"/>
          </w:tcPr>
          <w:p w:rsidR="007C5447" w:rsidRDefault="00F6308C">
            <w:pPr>
              <w:pStyle w:val="TableParagraph"/>
              <w:spacing w:before="55"/>
              <w:ind w:left="107"/>
              <w:jc w:val="left"/>
              <w:rPr>
                <w:sz w:val="18"/>
              </w:rPr>
            </w:pPr>
            <w:r>
              <w:rPr>
                <w:sz w:val="18"/>
              </w:rPr>
              <w:t>16</w:t>
            </w:r>
          </w:p>
        </w:tc>
        <w:tc>
          <w:tcPr>
            <w:tcW w:w="1891" w:type="dxa"/>
          </w:tcPr>
          <w:p w:rsidR="007C5447" w:rsidRDefault="00F6308C">
            <w:pPr>
              <w:pStyle w:val="TableParagraph"/>
              <w:spacing w:before="55"/>
              <w:ind w:left="107"/>
              <w:jc w:val="left"/>
              <w:rPr>
                <w:b/>
                <w:sz w:val="18"/>
              </w:rPr>
            </w:pPr>
            <w:r>
              <w:rPr>
                <w:b/>
                <w:sz w:val="18"/>
              </w:rPr>
              <w:t>Total Generation</w:t>
            </w:r>
          </w:p>
        </w:tc>
        <w:tc>
          <w:tcPr>
            <w:tcW w:w="1034" w:type="dxa"/>
          </w:tcPr>
          <w:p w:rsidR="007C5447" w:rsidRDefault="00F6308C">
            <w:pPr>
              <w:pStyle w:val="TableParagraph"/>
              <w:spacing w:before="55"/>
              <w:ind w:right="96"/>
              <w:rPr>
                <w:b/>
                <w:sz w:val="18"/>
              </w:rPr>
            </w:pPr>
            <w:r>
              <w:rPr>
                <w:b/>
                <w:sz w:val="18"/>
              </w:rPr>
              <w:t>937.60</w:t>
            </w:r>
          </w:p>
        </w:tc>
        <w:tc>
          <w:tcPr>
            <w:tcW w:w="1035" w:type="dxa"/>
          </w:tcPr>
          <w:p w:rsidR="007C5447" w:rsidRDefault="00F6308C">
            <w:pPr>
              <w:pStyle w:val="TableParagraph"/>
              <w:spacing w:before="55"/>
              <w:ind w:right="97"/>
              <w:rPr>
                <w:b/>
                <w:sz w:val="18"/>
              </w:rPr>
            </w:pPr>
            <w:r>
              <w:rPr>
                <w:b/>
                <w:sz w:val="18"/>
              </w:rPr>
              <w:t>3,970.82</w:t>
            </w:r>
          </w:p>
        </w:tc>
        <w:tc>
          <w:tcPr>
            <w:tcW w:w="1034" w:type="dxa"/>
          </w:tcPr>
          <w:p w:rsidR="007C5447" w:rsidRDefault="00F6308C">
            <w:pPr>
              <w:pStyle w:val="TableParagraph"/>
              <w:spacing w:before="55"/>
              <w:ind w:right="96"/>
              <w:rPr>
                <w:b/>
                <w:sz w:val="18"/>
              </w:rPr>
            </w:pPr>
            <w:r>
              <w:rPr>
                <w:b/>
                <w:sz w:val="18"/>
              </w:rPr>
              <w:t>559.61</w:t>
            </w:r>
          </w:p>
        </w:tc>
        <w:tc>
          <w:tcPr>
            <w:tcW w:w="1034" w:type="dxa"/>
          </w:tcPr>
          <w:p w:rsidR="007C5447" w:rsidRDefault="00F6308C">
            <w:pPr>
              <w:pStyle w:val="TableParagraph"/>
              <w:spacing w:before="55"/>
              <w:ind w:right="97"/>
              <w:rPr>
                <w:b/>
                <w:sz w:val="18"/>
              </w:rPr>
            </w:pPr>
            <w:r>
              <w:rPr>
                <w:b/>
                <w:sz w:val="18"/>
              </w:rPr>
              <w:t>842.72</w:t>
            </w:r>
          </w:p>
        </w:tc>
        <w:tc>
          <w:tcPr>
            <w:tcW w:w="1106" w:type="dxa"/>
          </w:tcPr>
          <w:p w:rsidR="007C5447" w:rsidRDefault="00F6308C">
            <w:pPr>
              <w:pStyle w:val="TableParagraph"/>
              <w:spacing w:before="55"/>
              <w:ind w:right="95"/>
              <w:rPr>
                <w:b/>
                <w:sz w:val="18"/>
              </w:rPr>
            </w:pPr>
            <w:r>
              <w:rPr>
                <w:b/>
                <w:sz w:val="18"/>
              </w:rPr>
              <w:t>1,277.17</w:t>
            </w:r>
          </w:p>
        </w:tc>
        <w:tc>
          <w:tcPr>
            <w:tcW w:w="1056" w:type="dxa"/>
          </w:tcPr>
          <w:p w:rsidR="007C5447" w:rsidRDefault="00F6308C">
            <w:pPr>
              <w:pStyle w:val="TableParagraph"/>
              <w:spacing w:before="55"/>
              <w:ind w:right="95"/>
              <w:rPr>
                <w:b/>
                <w:sz w:val="18"/>
              </w:rPr>
            </w:pPr>
            <w:r>
              <w:rPr>
                <w:b/>
                <w:sz w:val="18"/>
              </w:rPr>
              <w:t>3.41</w:t>
            </w:r>
          </w:p>
        </w:tc>
        <w:tc>
          <w:tcPr>
            <w:tcW w:w="1056" w:type="dxa"/>
          </w:tcPr>
          <w:p w:rsidR="007C5447" w:rsidRDefault="00F6308C">
            <w:pPr>
              <w:pStyle w:val="TableParagraph"/>
              <w:spacing w:before="55"/>
              <w:ind w:right="92"/>
              <w:rPr>
                <w:b/>
                <w:sz w:val="18"/>
              </w:rPr>
            </w:pPr>
            <w:r>
              <w:rPr>
                <w:b/>
                <w:sz w:val="18"/>
              </w:rPr>
              <w:t>83.44</w:t>
            </w:r>
          </w:p>
        </w:tc>
        <w:tc>
          <w:tcPr>
            <w:tcW w:w="1056" w:type="dxa"/>
          </w:tcPr>
          <w:p w:rsidR="007C5447" w:rsidRDefault="00F6308C">
            <w:pPr>
              <w:pStyle w:val="TableParagraph"/>
              <w:spacing w:before="55"/>
              <w:ind w:right="95"/>
              <w:rPr>
                <w:b/>
                <w:sz w:val="18"/>
              </w:rPr>
            </w:pPr>
            <w:r>
              <w:rPr>
                <w:b/>
                <w:sz w:val="18"/>
              </w:rPr>
              <w:t>104.37</w:t>
            </w:r>
          </w:p>
        </w:tc>
        <w:tc>
          <w:tcPr>
            <w:tcW w:w="1057" w:type="dxa"/>
          </w:tcPr>
          <w:p w:rsidR="007C5447" w:rsidRDefault="00F6308C">
            <w:pPr>
              <w:pStyle w:val="TableParagraph"/>
              <w:spacing w:before="55"/>
              <w:ind w:right="96"/>
              <w:rPr>
                <w:b/>
                <w:sz w:val="18"/>
              </w:rPr>
            </w:pPr>
            <w:r>
              <w:rPr>
                <w:b/>
                <w:sz w:val="18"/>
              </w:rPr>
              <w:t>157.07</w:t>
            </w:r>
          </w:p>
        </w:tc>
        <w:tc>
          <w:tcPr>
            <w:tcW w:w="1056" w:type="dxa"/>
          </w:tcPr>
          <w:p w:rsidR="007C5447" w:rsidRDefault="00F6308C">
            <w:pPr>
              <w:pStyle w:val="TableParagraph"/>
              <w:spacing w:before="55"/>
              <w:ind w:right="93"/>
              <w:rPr>
                <w:b/>
                <w:sz w:val="18"/>
              </w:rPr>
            </w:pPr>
            <w:r>
              <w:rPr>
                <w:b/>
                <w:w w:val="99"/>
                <w:sz w:val="18"/>
              </w:rPr>
              <w:t>-</w:t>
            </w:r>
          </w:p>
        </w:tc>
        <w:tc>
          <w:tcPr>
            <w:tcW w:w="1056" w:type="dxa"/>
          </w:tcPr>
          <w:p w:rsidR="007C5447" w:rsidRDefault="00F6308C">
            <w:pPr>
              <w:pStyle w:val="TableParagraph"/>
              <w:spacing w:before="55"/>
              <w:ind w:right="91"/>
              <w:rPr>
                <w:b/>
                <w:sz w:val="18"/>
              </w:rPr>
            </w:pPr>
            <w:r>
              <w:rPr>
                <w:b/>
                <w:sz w:val="18"/>
              </w:rPr>
              <w:t>47.86</w:t>
            </w:r>
          </w:p>
        </w:tc>
        <w:tc>
          <w:tcPr>
            <w:tcW w:w="1083" w:type="dxa"/>
          </w:tcPr>
          <w:p w:rsidR="007C5447" w:rsidRDefault="00F6308C">
            <w:pPr>
              <w:pStyle w:val="TableParagraph"/>
              <w:spacing w:before="55"/>
              <w:ind w:right="94"/>
              <w:rPr>
                <w:b/>
                <w:sz w:val="18"/>
              </w:rPr>
            </w:pPr>
            <w:r>
              <w:rPr>
                <w:b/>
                <w:sz w:val="18"/>
              </w:rPr>
              <w:t>7,669.92</w:t>
            </w:r>
          </w:p>
        </w:tc>
      </w:tr>
      <w:tr w:rsidR="007C5447">
        <w:trPr>
          <w:trHeight w:val="313"/>
        </w:trPr>
        <w:tc>
          <w:tcPr>
            <w:tcW w:w="703" w:type="dxa"/>
          </w:tcPr>
          <w:p w:rsidR="007C5447" w:rsidRDefault="00F6308C">
            <w:pPr>
              <w:pStyle w:val="TableParagraph"/>
              <w:spacing w:before="52"/>
              <w:ind w:left="107"/>
              <w:jc w:val="left"/>
              <w:rPr>
                <w:sz w:val="18"/>
              </w:rPr>
            </w:pPr>
            <w:r>
              <w:rPr>
                <w:sz w:val="18"/>
              </w:rPr>
              <w:t>17</w:t>
            </w:r>
          </w:p>
        </w:tc>
        <w:tc>
          <w:tcPr>
            <w:tcW w:w="1891" w:type="dxa"/>
          </w:tcPr>
          <w:p w:rsidR="007C5447" w:rsidRDefault="00F6308C">
            <w:pPr>
              <w:pStyle w:val="TableParagraph"/>
              <w:spacing w:before="52"/>
              <w:ind w:left="107"/>
              <w:jc w:val="left"/>
              <w:rPr>
                <w:b/>
                <w:sz w:val="18"/>
              </w:rPr>
            </w:pPr>
            <w:r>
              <w:rPr>
                <w:b/>
                <w:sz w:val="18"/>
              </w:rPr>
              <w:t>Distribution</w:t>
            </w:r>
          </w:p>
        </w:tc>
        <w:tc>
          <w:tcPr>
            <w:tcW w:w="1034" w:type="dxa"/>
          </w:tcPr>
          <w:p w:rsidR="007C5447" w:rsidRDefault="00F6308C">
            <w:pPr>
              <w:pStyle w:val="TableParagraph"/>
              <w:spacing w:before="52"/>
              <w:ind w:right="96"/>
              <w:rPr>
                <w:b/>
                <w:sz w:val="18"/>
              </w:rPr>
            </w:pPr>
            <w:r>
              <w:rPr>
                <w:b/>
                <w:sz w:val="18"/>
              </w:rPr>
              <w:t>670.46</w:t>
            </w:r>
          </w:p>
        </w:tc>
        <w:tc>
          <w:tcPr>
            <w:tcW w:w="1035" w:type="dxa"/>
          </w:tcPr>
          <w:p w:rsidR="007C5447" w:rsidRDefault="00F6308C">
            <w:pPr>
              <w:pStyle w:val="TableParagraph"/>
              <w:spacing w:before="52"/>
              <w:ind w:right="97"/>
              <w:rPr>
                <w:b/>
                <w:sz w:val="18"/>
              </w:rPr>
            </w:pPr>
            <w:r>
              <w:rPr>
                <w:b/>
                <w:sz w:val="18"/>
              </w:rPr>
              <w:t>3,501.33</w:t>
            </w:r>
          </w:p>
        </w:tc>
        <w:tc>
          <w:tcPr>
            <w:tcW w:w="1034" w:type="dxa"/>
          </w:tcPr>
          <w:p w:rsidR="007C5447" w:rsidRDefault="00F6308C">
            <w:pPr>
              <w:pStyle w:val="TableParagraph"/>
              <w:spacing w:before="52"/>
              <w:ind w:right="96"/>
              <w:rPr>
                <w:b/>
                <w:sz w:val="18"/>
              </w:rPr>
            </w:pPr>
            <w:r>
              <w:rPr>
                <w:b/>
                <w:sz w:val="18"/>
              </w:rPr>
              <w:t>178.74</w:t>
            </w:r>
          </w:p>
        </w:tc>
        <w:tc>
          <w:tcPr>
            <w:tcW w:w="1034" w:type="dxa"/>
          </w:tcPr>
          <w:p w:rsidR="007C5447" w:rsidRDefault="00F6308C">
            <w:pPr>
              <w:pStyle w:val="TableParagraph"/>
              <w:spacing w:before="52"/>
              <w:ind w:right="97"/>
              <w:rPr>
                <w:b/>
                <w:sz w:val="18"/>
              </w:rPr>
            </w:pPr>
            <w:r>
              <w:rPr>
                <w:b/>
                <w:sz w:val="18"/>
              </w:rPr>
              <w:t>582.32</w:t>
            </w:r>
          </w:p>
        </w:tc>
        <w:tc>
          <w:tcPr>
            <w:tcW w:w="1106" w:type="dxa"/>
          </w:tcPr>
          <w:p w:rsidR="007C5447" w:rsidRDefault="00F6308C">
            <w:pPr>
              <w:pStyle w:val="TableParagraph"/>
              <w:spacing w:before="52"/>
              <w:ind w:right="95"/>
              <w:rPr>
                <w:b/>
                <w:sz w:val="18"/>
              </w:rPr>
            </w:pPr>
            <w:r>
              <w:rPr>
                <w:b/>
                <w:sz w:val="18"/>
              </w:rPr>
              <w:t>4,844.82</w:t>
            </w:r>
          </w:p>
        </w:tc>
        <w:tc>
          <w:tcPr>
            <w:tcW w:w="1056" w:type="dxa"/>
          </w:tcPr>
          <w:p w:rsidR="007C5447" w:rsidRDefault="00F6308C">
            <w:pPr>
              <w:pStyle w:val="TableParagraph"/>
              <w:spacing w:before="52"/>
              <w:ind w:right="92"/>
              <w:rPr>
                <w:b/>
                <w:sz w:val="18"/>
              </w:rPr>
            </w:pPr>
            <w:r>
              <w:rPr>
                <w:b/>
                <w:sz w:val="18"/>
              </w:rPr>
              <w:t>13.19</w:t>
            </w:r>
          </w:p>
        </w:tc>
        <w:tc>
          <w:tcPr>
            <w:tcW w:w="1056" w:type="dxa"/>
          </w:tcPr>
          <w:p w:rsidR="007C5447" w:rsidRDefault="00F6308C">
            <w:pPr>
              <w:pStyle w:val="TableParagraph"/>
              <w:spacing w:before="52"/>
              <w:ind w:right="91"/>
              <w:rPr>
                <w:b/>
                <w:sz w:val="18"/>
              </w:rPr>
            </w:pPr>
            <w:r>
              <w:rPr>
                <w:b/>
                <w:sz w:val="18"/>
              </w:rPr>
              <w:t>(1,526.91)</w:t>
            </w:r>
          </w:p>
        </w:tc>
        <w:tc>
          <w:tcPr>
            <w:tcW w:w="1056" w:type="dxa"/>
          </w:tcPr>
          <w:p w:rsidR="007C5447" w:rsidRDefault="007C5447">
            <w:pPr>
              <w:pStyle w:val="TableParagraph"/>
              <w:jc w:val="left"/>
              <w:rPr>
                <w:sz w:val="18"/>
              </w:rPr>
            </w:pPr>
          </w:p>
        </w:tc>
        <w:tc>
          <w:tcPr>
            <w:tcW w:w="1057" w:type="dxa"/>
          </w:tcPr>
          <w:p w:rsidR="007C5447" w:rsidRDefault="00F6308C">
            <w:pPr>
              <w:pStyle w:val="TableParagraph"/>
              <w:spacing w:before="52"/>
              <w:ind w:right="96"/>
              <w:rPr>
                <w:b/>
                <w:sz w:val="18"/>
              </w:rPr>
            </w:pPr>
            <w:r>
              <w:rPr>
                <w:b/>
                <w:sz w:val="18"/>
              </w:rPr>
              <w:t>322.02</w:t>
            </w:r>
          </w:p>
        </w:tc>
        <w:tc>
          <w:tcPr>
            <w:tcW w:w="1056" w:type="dxa"/>
          </w:tcPr>
          <w:p w:rsidR="007C5447" w:rsidRDefault="00F6308C">
            <w:pPr>
              <w:pStyle w:val="TableParagraph"/>
              <w:spacing w:before="52"/>
              <w:ind w:right="95"/>
              <w:rPr>
                <w:b/>
                <w:sz w:val="18"/>
              </w:rPr>
            </w:pPr>
            <w:r>
              <w:rPr>
                <w:b/>
                <w:sz w:val="18"/>
              </w:rPr>
              <w:t>780.86</w:t>
            </w:r>
          </w:p>
        </w:tc>
        <w:tc>
          <w:tcPr>
            <w:tcW w:w="1056" w:type="dxa"/>
          </w:tcPr>
          <w:p w:rsidR="007C5447" w:rsidRDefault="00F6308C">
            <w:pPr>
              <w:pStyle w:val="TableParagraph"/>
              <w:spacing w:before="52"/>
              <w:ind w:right="95"/>
              <w:rPr>
                <w:b/>
                <w:sz w:val="18"/>
              </w:rPr>
            </w:pPr>
            <w:r>
              <w:rPr>
                <w:b/>
                <w:sz w:val="18"/>
              </w:rPr>
              <w:t>882.25</w:t>
            </w:r>
          </w:p>
        </w:tc>
        <w:tc>
          <w:tcPr>
            <w:tcW w:w="1083" w:type="dxa"/>
          </w:tcPr>
          <w:p w:rsidR="007C5447" w:rsidRDefault="00F6308C">
            <w:pPr>
              <w:pStyle w:val="TableParagraph"/>
              <w:spacing w:before="52"/>
              <w:ind w:right="96"/>
              <w:rPr>
                <w:b/>
                <w:sz w:val="18"/>
              </w:rPr>
            </w:pPr>
            <w:r>
              <w:rPr>
                <w:b/>
                <w:sz w:val="18"/>
              </w:rPr>
              <w:t>8,043.33</w:t>
            </w:r>
          </w:p>
        </w:tc>
      </w:tr>
      <w:tr w:rsidR="007C5447">
        <w:trPr>
          <w:trHeight w:val="311"/>
        </w:trPr>
        <w:tc>
          <w:tcPr>
            <w:tcW w:w="703" w:type="dxa"/>
            <w:tcBorders>
              <w:bottom w:val="single" w:sz="6" w:space="0" w:color="000000"/>
            </w:tcBorders>
          </w:tcPr>
          <w:p w:rsidR="007C5447" w:rsidRDefault="00F6308C">
            <w:pPr>
              <w:pStyle w:val="TableParagraph"/>
              <w:spacing w:before="55"/>
              <w:ind w:left="107"/>
              <w:jc w:val="left"/>
              <w:rPr>
                <w:sz w:val="18"/>
              </w:rPr>
            </w:pPr>
            <w:r>
              <w:rPr>
                <w:sz w:val="18"/>
              </w:rPr>
              <w:t>18</w:t>
            </w:r>
          </w:p>
        </w:tc>
        <w:tc>
          <w:tcPr>
            <w:tcW w:w="1891" w:type="dxa"/>
            <w:tcBorders>
              <w:bottom w:val="single" w:sz="6" w:space="0" w:color="000000"/>
            </w:tcBorders>
          </w:tcPr>
          <w:p w:rsidR="007C5447" w:rsidRDefault="00F6308C">
            <w:pPr>
              <w:pStyle w:val="TableParagraph"/>
              <w:spacing w:before="55"/>
              <w:ind w:left="107"/>
              <w:jc w:val="left"/>
              <w:rPr>
                <w:b/>
                <w:sz w:val="18"/>
              </w:rPr>
            </w:pPr>
            <w:r>
              <w:rPr>
                <w:b/>
                <w:sz w:val="18"/>
              </w:rPr>
              <w:t>Total TANGEDCO</w:t>
            </w:r>
          </w:p>
        </w:tc>
        <w:tc>
          <w:tcPr>
            <w:tcW w:w="1034" w:type="dxa"/>
            <w:tcBorders>
              <w:bottom w:val="single" w:sz="6" w:space="0" w:color="000000"/>
            </w:tcBorders>
          </w:tcPr>
          <w:p w:rsidR="007C5447" w:rsidRDefault="00F6308C">
            <w:pPr>
              <w:pStyle w:val="TableParagraph"/>
              <w:spacing w:before="55"/>
              <w:ind w:right="97"/>
              <w:rPr>
                <w:b/>
                <w:sz w:val="18"/>
              </w:rPr>
            </w:pPr>
            <w:r>
              <w:rPr>
                <w:b/>
                <w:sz w:val="18"/>
              </w:rPr>
              <w:t>1,608.06</w:t>
            </w:r>
          </w:p>
        </w:tc>
        <w:tc>
          <w:tcPr>
            <w:tcW w:w="1035" w:type="dxa"/>
            <w:tcBorders>
              <w:bottom w:val="single" w:sz="6" w:space="0" w:color="000000"/>
            </w:tcBorders>
          </w:tcPr>
          <w:p w:rsidR="007C5447" w:rsidRDefault="00F6308C">
            <w:pPr>
              <w:pStyle w:val="TableParagraph"/>
              <w:spacing w:before="55"/>
              <w:ind w:right="97"/>
              <w:rPr>
                <w:b/>
                <w:sz w:val="18"/>
              </w:rPr>
            </w:pPr>
            <w:r>
              <w:rPr>
                <w:b/>
                <w:sz w:val="18"/>
              </w:rPr>
              <w:t>7,472.15</w:t>
            </w:r>
          </w:p>
        </w:tc>
        <w:tc>
          <w:tcPr>
            <w:tcW w:w="1034" w:type="dxa"/>
            <w:tcBorders>
              <w:bottom w:val="single" w:sz="6" w:space="0" w:color="000000"/>
            </w:tcBorders>
          </w:tcPr>
          <w:p w:rsidR="007C5447" w:rsidRDefault="00F6308C">
            <w:pPr>
              <w:pStyle w:val="TableParagraph"/>
              <w:spacing w:before="55"/>
              <w:ind w:right="96"/>
              <w:rPr>
                <w:b/>
                <w:sz w:val="18"/>
              </w:rPr>
            </w:pPr>
            <w:r>
              <w:rPr>
                <w:b/>
                <w:sz w:val="18"/>
              </w:rPr>
              <w:t>738.35</w:t>
            </w:r>
          </w:p>
        </w:tc>
        <w:tc>
          <w:tcPr>
            <w:tcW w:w="1034" w:type="dxa"/>
            <w:tcBorders>
              <w:bottom w:val="single" w:sz="6" w:space="0" w:color="000000"/>
            </w:tcBorders>
          </w:tcPr>
          <w:p w:rsidR="007C5447" w:rsidRDefault="00F6308C">
            <w:pPr>
              <w:pStyle w:val="TableParagraph"/>
              <w:spacing w:before="55"/>
              <w:ind w:right="96"/>
              <w:rPr>
                <w:b/>
                <w:sz w:val="18"/>
              </w:rPr>
            </w:pPr>
            <w:r>
              <w:rPr>
                <w:b/>
                <w:sz w:val="18"/>
              </w:rPr>
              <w:t>1,425.04</w:t>
            </w:r>
          </w:p>
        </w:tc>
        <w:tc>
          <w:tcPr>
            <w:tcW w:w="1106" w:type="dxa"/>
            <w:tcBorders>
              <w:bottom w:val="single" w:sz="6" w:space="0" w:color="000000"/>
            </w:tcBorders>
          </w:tcPr>
          <w:p w:rsidR="007C5447" w:rsidRDefault="00F6308C">
            <w:pPr>
              <w:pStyle w:val="TableParagraph"/>
              <w:spacing w:before="55"/>
              <w:ind w:right="95"/>
              <w:rPr>
                <w:b/>
                <w:sz w:val="18"/>
              </w:rPr>
            </w:pPr>
            <w:r>
              <w:rPr>
                <w:b/>
                <w:sz w:val="18"/>
              </w:rPr>
              <w:t>6,122.00</w:t>
            </w:r>
          </w:p>
        </w:tc>
        <w:tc>
          <w:tcPr>
            <w:tcW w:w="1056" w:type="dxa"/>
            <w:tcBorders>
              <w:bottom w:val="single" w:sz="6" w:space="0" w:color="000000"/>
            </w:tcBorders>
          </w:tcPr>
          <w:p w:rsidR="007C5447" w:rsidRDefault="00F6308C">
            <w:pPr>
              <w:pStyle w:val="TableParagraph"/>
              <w:spacing w:before="55"/>
              <w:ind w:right="92"/>
              <w:rPr>
                <w:b/>
                <w:sz w:val="18"/>
              </w:rPr>
            </w:pPr>
            <w:r>
              <w:rPr>
                <w:b/>
                <w:sz w:val="18"/>
              </w:rPr>
              <w:t>16.59</w:t>
            </w:r>
          </w:p>
        </w:tc>
        <w:tc>
          <w:tcPr>
            <w:tcW w:w="1056" w:type="dxa"/>
            <w:tcBorders>
              <w:bottom w:val="single" w:sz="6" w:space="0" w:color="000000"/>
            </w:tcBorders>
          </w:tcPr>
          <w:p w:rsidR="007C5447" w:rsidRDefault="00F6308C">
            <w:pPr>
              <w:pStyle w:val="TableParagraph"/>
              <w:spacing w:before="55"/>
              <w:ind w:right="91"/>
              <w:rPr>
                <w:b/>
                <w:sz w:val="18"/>
              </w:rPr>
            </w:pPr>
            <w:r>
              <w:rPr>
                <w:b/>
                <w:sz w:val="18"/>
              </w:rPr>
              <w:t>(1,443.47)</w:t>
            </w:r>
          </w:p>
        </w:tc>
        <w:tc>
          <w:tcPr>
            <w:tcW w:w="1056" w:type="dxa"/>
            <w:tcBorders>
              <w:bottom w:val="single" w:sz="6" w:space="0" w:color="000000"/>
            </w:tcBorders>
          </w:tcPr>
          <w:p w:rsidR="007C5447" w:rsidRDefault="00F6308C">
            <w:pPr>
              <w:pStyle w:val="TableParagraph"/>
              <w:spacing w:before="55"/>
              <w:ind w:right="95"/>
              <w:rPr>
                <w:b/>
                <w:sz w:val="18"/>
              </w:rPr>
            </w:pPr>
            <w:r>
              <w:rPr>
                <w:b/>
                <w:sz w:val="18"/>
              </w:rPr>
              <w:t>104.37</w:t>
            </w:r>
          </w:p>
        </w:tc>
        <w:tc>
          <w:tcPr>
            <w:tcW w:w="1057" w:type="dxa"/>
            <w:tcBorders>
              <w:bottom w:val="single" w:sz="6" w:space="0" w:color="000000"/>
            </w:tcBorders>
          </w:tcPr>
          <w:p w:rsidR="007C5447" w:rsidRDefault="00F6308C">
            <w:pPr>
              <w:pStyle w:val="TableParagraph"/>
              <w:spacing w:before="55"/>
              <w:ind w:right="96"/>
              <w:rPr>
                <w:b/>
                <w:sz w:val="18"/>
              </w:rPr>
            </w:pPr>
            <w:r>
              <w:rPr>
                <w:b/>
                <w:sz w:val="18"/>
              </w:rPr>
              <w:t>479.09</w:t>
            </w:r>
          </w:p>
        </w:tc>
        <w:tc>
          <w:tcPr>
            <w:tcW w:w="1056" w:type="dxa"/>
            <w:tcBorders>
              <w:bottom w:val="single" w:sz="6" w:space="0" w:color="000000"/>
            </w:tcBorders>
          </w:tcPr>
          <w:p w:rsidR="007C5447" w:rsidRDefault="00F6308C">
            <w:pPr>
              <w:pStyle w:val="TableParagraph"/>
              <w:spacing w:before="55"/>
              <w:ind w:right="95"/>
              <w:rPr>
                <w:b/>
                <w:sz w:val="18"/>
              </w:rPr>
            </w:pPr>
            <w:r>
              <w:rPr>
                <w:b/>
                <w:sz w:val="18"/>
              </w:rPr>
              <w:t>780.86</w:t>
            </w:r>
          </w:p>
        </w:tc>
        <w:tc>
          <w:tcPr>
            <w:tcW w:w="1056" w:type="dxa"/>
            <w:tcBorders>
              <w:bottom w:val="single" w:sz="6" w:space="0" w:color="000000"/>
            </w:tcBorders>
          </w:tcPr>
          <w:p w:rsidR="007C5447" w:rsidRDefault="00F6308C">
            <w:pPr>
              <w:pStyle w:val="TableParagraph"/>
              <w:spacing w:before="55"/>
              <w:ind w:right="96"/>
              <w:rPr>
                <w:b/>
                <w:sz w:val="18"/>
              </w:rPr>
            </w:pPr>
            <w:r>
              <w:rPr>
                <w:b/>
                <w:sz w:val="18"/>
              </w:rPr>
              <w:t>930.12</w:t>
            </w:r>
          </w:p>
        </w:tc>
        <w:tc>
          <w:tcPr>
            <w:tcW w:w="1083" w:type="dxa"/>
            <w:tcBorders>
              <w:bottom w:val="single" w:sz="6" w:space="0" w:color="000000"/>
            </w:tcBorders>
          </w:tcPr>
          <w:p w:rsidR="007C5447" w:rsidRDefault="00F6308C">
            <w:pPr>
              <w:pStyle w:val="TableParagraph"/>
              <w:spacing w:before="55"/>
              <w:ind w:right="96"/>
              <w:rPr>
                <w:b/>
                <w:sz w:val="18"/>
              </w:rPr>
            </w:pPr>
            <w:r>
              <w:rPr>
                <w:b/>
                <w:sz w:val="18"/>
              </w:rPr>
              <w:t>15,713.25</w:t>
            </w:r>
          </w:p>
        </w:tc>
      </w:tr>
    </w:tbl>
    <w:p w:rsidR="007C5447" w:rsidRDefault="007C5447">
      <w:pPr>
        <w:rPr>
          <w:sz w:val="18"/>
        </w:rPr>
        <w:sectPr w:rsidR="007C5447">
          <w:pgSz w:w="16840" w:h="11910" w:orient="landscape"/>
          <w:pgMar w:top="1100" w:right="580" w:bottom="1240" w:left="760" w:header="0" w:footer="1057" w:gutter="0"/>
          <w:cols w:space="720"/>
        </w:sectPr>
      </w:pPr>
    </w:p>
    <w:p w:rsidR="007C5447" w:rsidRDefault="00F6308C">
      <w:pPr>
        <w:pStyle w:val="Heading2"/>
        <w:spacing w:before="61"/>
        <w:ind w:left="992"/>
      </w:pPr>
      <w:r>
        <w:lastRenderedPageBreak/>
        <w:t>Commission’s Views</w:t>
      </w:r>
    </w:p>
    <w:p w:rsidR="007C5447" w:rsidRDefault="007C5447">
      <w:pPr>
        <w:pStyle w:val="BodyText"/>
        <w:spacing w:before="11"/>
        <w:rPr>
          <w:b/>
          <w:sz w:val="27"/>
        </w:rPr>
      </w:pPr>
    </w:p>
    <w:p w:rsidR="007C5447" w:rsidRDefault="00F6308C">
      <w:pPr>
        <w:ind w:left="992"/>
        <w:rPr>
          <w:b/>
          <w:sz w:val="24"/>
        </w:rPr>
      </w:pPr>
      <w:r>
        <w:rPr>
          <w:b/>
          <w:sz w:val="24"/>
        </w:rPr>
        <w:t>Distribution Function</w:t>
      </w:r>
    </w:p>
    <w:p w:rsidR="007C5447" w:rsidRDefault="00F6308C">
      <w:pPr>
        <w:pStyle w:val="ListParagraph"/>
        <w:numPr>
          <w:ilvl w:val="2"/>
          <w:numId w:val="92"/>
        </w:numPr>
        <w:tabs>
          <w:tab w:val="left" w:pos="993"/>
        </w:tabs>
        <w:spacing w:before="204" w:line="312" w:lineRule="auto"/>
        <w:ind w:left="992" w:right="137"/>
        <w:jc w:val="both"/>
        <w:rPr>
          <w:sz w:val="24"/>
        </w:rPr>
      </w:pPr>
      <w:r>
        <w:rPr>
          <w:sz w:val="24"/>
        </w:rPr>
        <w:t>TANGEDCO has deducted an amount of Rs. 1042.80 Crore and Rs. 17.76 Crore in FY 2013-14 and FY 2014-15, respectively, from its ARR on account of revenue earned during trial</w:t>
      </w:r>
      <w:r>
        <w:rPr>
          <w:spacing w:val="-4"/>
          <w:sz w:val="24"/>
        </w:rPr>
        <w:t xml:space="preserve"> </w:t>
      </w:r>
      <w:r>
        <w:rPr>
          <w:sz w:val="24"/>
        </w:rPr>
        <w:t>stage.</w:t>
      </w:r>
    </w:p>
    <w:p w:rsidR="007C5447" w:rsidRDefault="007C5447">
      <w:pPr>
        <w:pStyle w:val="BodyText"/>
        <w:spacing w:before="9"/>
        <w:rPr>
          <w:sz w:val="20"/>
        </w:rPr>
      </w:pPr>
    </w:p>
    <w:p w:rsidR="007C5447" w:rsidRDefault="00F6308C">
      <w:pPr>
        <w:pStyle w:val="ListParagraph"/>
        <w:numPr>
          <w:ilvl w:val="2"/>
          <w:numId w:val="92"/>
        </w:numPr>
        <w:tabs>
          <w:tab w:val="left" w:pos="993"/>
        </w:tabs>
        <w:spacing w:line="312" w:lineRule="auto"/>
        <w:ind w:left="992" w:right="138"/>
        <w:jc w:val="both"/>
        <w:rPr>
          <w:sz w:val="24"/>
        </w:rPr>
      </w:pPr>
      <w:r>
        <w:rPr>
          <w:sz w:val="24"/>
        </w:rPr>
        <w:t xml:space="preserve">The Commission is of the view that revenue earned from the trial stage cannot be deducted from the ARR, rather it has to be reduced from the total revenue. </w:t>
      </w:r>
      <w:r>
        <w:rPr>
          <w:spacing w:val="-3"/>
          <w:sz w:val="24"/>
        </w:rPr>
        <w:t xml:space="preserve">In </w:t>
      </w:r>
      <w:r>
        <w:rPr>
          <w:sz w:val="24"/>
        </w:rPr>
        <w:t>the annual accounts for FY 2013-14 and FY 2014-15, revenue earned from trial stage has been deduc</w:t>
      </w:r>
      <w:r>
        <w:rPr>
          <w:sz w:val="24"/>
        </w:rPr>
        <w:t>ted from the total revenue earned. Therefore, a different treatment cannot be provided for in the Tariff</w:t>
      </w:r>
      <w:r>
        <w:rPr>
          <w:spacing w:val="1"/>
          <w:sz w:val="24"/>
        </w:rPr>
        <w:t xml:space="preserve"> </w:t>
      </w:r>
      <w:r>
        <w:rPr>
          <w:sz w:val="24"/>
        </w:rPr>
        <w:t>Order.</w:t>
      </w:r>
    </w:p>
    <w:p w:rsidR="007C5447" w:rsidRDefault="007C5447">
      <w:pPr>
        <w:pStyle w:val="BodyText"/>
        <w:rPr>
          <w:sz w:val="21"/>
        </w:rPr>
      </w:pPr>
    </w:p>
    <w:p w:rsidR="007C5447" w:rsidRDefault="00F6308C">
      <w:pPr>
        <w:pStyle w:val="ListParagraph"/>
        <w:numPr>
          <w:ilvl w:val="2"/>
          <w:numId w:val="92"/>
        </w:numPr>
        <w:tabs>
          <w:tab w:val="left" w:pos="993"/>
        </w:tabs>
        <w:spacing w:line="312" w:lineRule="auto"/>
        <w:ind w:left="992" w:right="137"/>
        <w:jc w:val="both"/>
        <w:rPr>
          <w:sz w:val="24"/>
        </w:rPr>
      </w:pPr>
      <w:r>
        <w:rPr>
          <w:sz w:val="24"/>
        </w:rPr>
        <w:t>Further, revenue earned from trial stage is deducted from the total capital cost at the time of the Capital Cost approval. TANGEDCO in its repl</w:t>
      </w:r>
      <w:r>
        <w:rPr>
          <w:sz w:val="24"/>
        </w:rPr>
        <w:t xml:space="preserve">y submitted that revenue earned from trial stage pertains to NCTPS Stage II and MTPS Stage III. The Commission had provisionally approved the capital cost of NCTPS Stage II and MTPS Stage III vide M.A.P No. 1 of 2015, M.A.P. No. 2 of 2015 and M.A.P. No. 3 </w:t>
      </w:r>
      <w:r>
        <w:rPr>
          <w:sz w:val="24"/>
        </w:rPr>
        <w:t>of 2015. As it was a provisional approval, the Commission had not considered entire revenue earned from trial stage. However, while undertaking final approval of capital cost for NCTPS Stage II and MTPS Stage III, the Commission will consider the revenue e</w:t>
      </w:r>
      <w:r>
        <w:rPr>
          <w:sz w:val="24"/>
        </w:rPr>
        <w:t>arned from trial stage corresponding to the period of trial stage operations considered by the</w:t>
      </w:r>
      <w:r>
        <w:rPr>
          <w:spacing w:val="-3"/>
          <w:sz w:val="24"/>
        </w:rPr>
        <w:t xml:space="preserve"> </w:t>
      </w:r>
      <w:r>
        <w:rPr>
          <w:sz w:val="24"/>
        </w:rPr>
        <w:t>Commission.</w:t>
      </w:r>
    </w:p>
    <w:p w:rsidR="007C5447" w:rsidRDefault="007C5447">
      <w:pPr>
        <w:pStyle w:val="BodyText"/>
        <w:spacing w:before="11"/>
        <w:rPr>
          <w:sz w:val="20"/>
        </w:rPr>
      </w:pPr>
    </w:p>
    <w:p w:rsidR="007C5447" w:rsidRDefault="00F6308C">
      <w:pPr>
        <w:pStyle w:val="ListParagraph"/>
        <w:numPr>
          <w:ilvl w:val="2"/>
          <w:numId w:val="92"/>
        </w:numPr>
        <w:tabs>
          <w:tab w:val="left" w:pos="993"/>
        </w:tabs>
        <w:spacing w:line="312" w:lineRule="auto"/>
        <w:ind w:left="992" w:right="139"/>
        <w:jc w:val="both"/>
        <w:rPr>
          <w:sz w:val="24"/>
        </w:rPr>
      </w:pPr>
      <w:r>
        <w:rPr>
          <w:sz w:val="24"/>
        </w:rPr>
        <w:t>Based on the expenses and income approved after truing up as elaborated in the above Sections, the summary of approved Fixed Cost for TANGEDCO’s Dis</w:t>
      </w:r>
      <w:r>
        <w:rPr>
          <w:sz w:val="24"/>
        </w:rPr>
        <w:t>tribution function is shown in the Tables</w:t>
      </w:r>
      <w:r>
        <w:rPr>
          <w:spacing w:val="-1"/>
          <w:sz w:val="24"/>
        </w:rPr>
        <w:t xml:space="preserve"> </w:t>
      </w:r>
      <w:r>
        <w:rPr>
          <w:sz w:val="24"/>
        </w:rPr>
        <w:t>below:</w:t>
      </w: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F6308C">
      <w:pPr>
        <w:pStyle w:val="BodyText"/>
        <w:spacing w:before="3"/>
        <w:rPr>
          <w:sz w:val="17"/>
        </w:rPr>
      </w:pPr>
      <w:r>
        <w:pict>
          <v:line id="_x0000_s1059" style="position:absolute;z-index:-251650048;mso-wrap-distance-left:0;mso-wrap-distance-right:0;mso-position-horizontal-relative:page" from="70.6pt,12.65pt" to="524.85pt,12.65pt" strokeweight="1.44pt">
            <w10:wrap type="topAndBottom" anchorx="page"/>
          </v:line>
        </w:pict>
      </w:r>
    </w:p>
    <w:p w:rsidR="007C5447" w:rsidRDefault="007C5447">
      <w:pPr>
        <w:rPr>
          <w:sz w:val="17"/>
        </w:rPr>
        <w:sectPr w:rsidR="007C5447">
          <w:footerReference w:type="default" r:id="rId27"/>
          <w:pgSz w:w="11910" w:h="16840"/>
          <w:pgMar w:top="1480" w:right="1300" w:bottom="1040" w:left="1300" w:header="0" w:footer="857" w:gutter="0"/>
          <w:cols w:space="720"/>
        </w:sect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spacing w:before="1"/>
        <w:rPr>
          <w:sz w:val="21"/>
        </w:rPr>
      </w:pPr>
    </w:p>
    <w:p w:rsidR="007C5447" w:rsidRDefault="00F6308C">
      <w:pPr>
        <w:spacing w:before="91"/>
        <w:ind w:left="1506"/>
        <w:rPr>
          <w:b/>
        </w:rPr>
      </w:pPr>
      <w:r>
        <w:rPr>
          <w:b/>
        </w:rPr>
        <w:t>Table 3-43: Fixed Cost summary approved by Commission for Distribution function after true-up for FY 2011-12 to FY 2013-14 (Rs. Crore)</w:t>
      </w:r>
    </w:p>
    <w:p w:rsidR="007C5447" w:rsidRDefault="007C5447">
      <w:pPr>
        <w:pStyle w:val="BodyText"/>
        <w:spacing w:before="11"/>
        <w:rPr>
          <w:b/>
          <w:sz w:val="16"/>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5"/>
        <w:gridCol w:w="2854"/>
        <w:gridCol w:w="1373"/>
        <w:gridCol w:w="1330"/>
        <w:gridCol w:w="1221"/>
        <w:gridCol w:w="1349"/>
        <w:gridCol w:w="1351"/>
        <w:gridCol w:w="1200"/>
        <w:gridCol w:w="1378"/>
        <w:gridCol w:w="1298"/>
        <w:gridCol w:w="1360"/>
      </w:tblGrid>
      <w:tr w:rsidR="007C5447">
        <w:trPr>
          <w:trHeight w:val="350"/>
        </w:trPr>
        <w:tc>
          <w:tcPr>
            <w:tcW w:w="595" w:type="dxa"/>
            <w:vMerge w:val="restart"/>
            <w:shd w:val="clear" w:color="auto" w:fill="FBD4B4"/>
          </w:tcPr>
          <w:p w:rsidR="007C5447" w:rsidRDefault="007C5447">
            <w:pPr>
              <w:pStyle w:val="TableParagraph"/>
              <w:jc w:val="left"/>
              <w:rPr>
                <w:b/>
                <w:sz w:val="20"/>
              </w:rPr>
            </w:pPr>
          </w:p>
          <w:p w:rsidR="007C5447" w:rsidRDefault="007C5447">
            <w:pPr>
              <w:pStyle w:val="TableParagraph"/>
              <w:jc w:val="left"/>
              <w:rPr>
                <w:b/>
                <w:sz w:val="16"/>
              </w:rPr>
            </w:pPr>
          </w:p>
          <w:p w:rsidR="007C5447" w:rsidRDefault="00F6308C">
            <w:pPr>
              <w:pStyle w:val="TableParagraph"/>
              <w:spacing w:before="1"/>
              <w:ind w:left="199"/>
              <w:jc w:val="left"/>
              <w:rPr>
                <w:b/>
                <w:sz w:val="18"/>
              </w:rPr>
            </w:pPr>
            <w:r>
              <w:rPr>
                <w:b/>
                <w:sz w:val="18"/>
              </w:rPr>
              <w:t>Sl.</w:t>
            </w:r>
          </w:p>
        </w:tc>
        <w:tc>
          <w:tcPr>
            <w:tcW w:w="2854" w:type="dxa"/>
            <w:vMerge w:val="restart"/>
            <w:shd w:val="clear" w:color="auto" w:fill="F7C9AC"/>
          </w:tcPr>
          <w:p w:rsidR="007C5447" w:rsidRDefault="007C5447">
            <w:pPr>
              <w:pStyle w:val="TableParagraph"/>
              <w:jc w:val="left"/>
              <w:rPr>
                <w:b/>
                <w:sz w:val="20"/>
              </w:rPr>
            </w:pPr>
          </w:p>
          <w:p w:rsidR="007C5447" w:rsidRDefault="007C5447">
            <w:pPr>
              <w:pStyle w:val="TableParagraph"/>
              <w:jc w:val="left"/>
              <w:rPr>
                <w:b/>
                <w:sz w:val="16"/>
              </w:rPr>
            </w:pPr>
          </w:p>
          <w:p w:rsidR="007C5447" w:rsidRDefault="00F6308C">
            <w:pPr>
              <w:pStyle w:val="TableParagraph"/>
              <w:spacing w:before="1"/>
              <w:ind w:left="986" w:right="978"/>
              <w:jc w:val="center"/>
              <w:rPr>
                <w:b/>
                <w:sz w:val="18"/>
              </w:rPr>
            </w:pPr>
            <w:r>
              <w:rPr>
                <w:b/>
                <w:sz w:val="18"/>
              </w:rPr>
              <w:t>Details</w:t>
            </w:r>
          </w:p>
        </w:tc>
        <w:tc>
          <w:tcPr>
            <w:tcW w:w="3924" w:type="dxa"/>
            <w:gridSpan w:val="3"/>
            <w:shd w:val="clear" w:color="auto" w:fill="F7C9AC"/>
          </w:tcPr>
          <w:p w:rsidR="007C5447" w:rsidRDefault="00F6308C">
            <w:pPr>
              <w:pStyle w:val="TableParagraph"/>
              <w:spacing w:before="71"/>
              <w:ind w:left="1501" w:right="1488"/>
              <w:jc w:val="center"/>
              <w:rPr>
                <w:b/>
                <w:sz w:val="18"/>
              </w:rPr>
            </w:pPr>
            <w:r>
              <w:rPr>
                <w:b/>
                <w:sz w:val="18"/>
              </w:rPr>
              <w:t>FY 2011-12</w:t>
            </w:r>
          </w:p>
        </w:tc>
        <w:tc>
          <w:tcPr>
            <w:tcW w:w="3900" w:type="dxa"/>
            <w:gridSpan w:val="3"/>
            <w:shd w:val="clear" w:color="auto" w:fill="F7C9AC"/>
          </w:tcPr>
          <w:p w:rsidR="007C5447" w:rsidRDefault="00F6308C">
            <w:pPr>
              <w:pStyle w:val="TableParagraph"/>
              <w:spacing w:before="71"/>
              <w:ind w:left="1489" w:right="1475"/>
              <w:jc w:val="center"/>
              <w:rPr>
                <w:b/>
                <w:sz w:val="18"/>
              </w:rPr>
            </w:pPr>
            <w:r>
              <w:rPr>
                <w:b/>
                <w:sz w:val="18"/>
              </w:rPr>
              <w:t>FY 2012-13</w:t>
            </w:r>
          </w:p>
        </w:tc>
        <w:tc>
          <w:tcPr>
            <w:tcW w:w="4036" w:type="dxa"/>
            <w:gridSpan w:val="3"/>
            <w:shd w:val="clear" w:color="auto" w:fill="F7C9AC"/>
          </w:tcPr>
          <w:p w:rsidR="007C5447" w:rsidRDefault="00F6308C">
            <w:pPr>
              <w:pStyle w:val="TableParagraph"/>
              <w:spacing w:before="71"/>
              <w:ind w:left="1559" w:right="1541"/>
              <w:jc w:val="center"/>
              <w:rPr>
                <w:b/>
                <w:sz w:val="18"/>
              </w:rPr>
            </w:pPr>
            <w:r>
              <w:rPr>
                <w:b/>
                <w:sz w:val="18"/>
              </w:rPr>
              <w:t>FY 2013-14</w:t>
            </w:r>
          </w:p>
        </w:tc>
      </w:tr>
      <w:tr w:rsidR="007C5447">
        <w:trPr>
          <w:trHeight w:val="673"/>
        </w:trPr>
        <w:tc>
          <w:tcPr>
            <w:tcW w:w="595" w:type="dxa"/>
            <w:vMerge/>
            <w:tcBorders>
              <w:top w:val="nil"/>
            </w:tcBorders>
            <w:shd w:val="clear" w:color="auto" w:fill="FBD4B4"/>
          </w:tcPr>
          <w:p w:rsidR="007C5447" w:rsidRDefault="007C5447">
            <w:pPr>
              <w:rPr>
                <w:sz w:val="2"/>
                <w:szCs w:val="2"/>
              </w:rPr>
            </w:pPr>
          </w:p>
        </w:tc>
        <w:tc>
          <w:tcPr>
            <w:tcW w:w="2854" w:type="dxa"/>
            <w:vMerge/>
            <w:tcBorders>
              <w:top w:val="nil"/>
            </w:tcBorders>
            <w:shd w:val="clear" w:color="auto" w:fill="F7C9AC"/>
          </w:tcPr>
          <w:p w:rsidR="007C5447" w:rsidRDefault="007C5447">
            <w:pPr>
              <w:rPr>
                <w:sz w:val="2"/>
                <w:szCs w:val="2"/>
              </w:rPr>
            </w:pPr>
          </w:p>
        </w:tc>
        <w:tc>
          <w:tcPr>
            <w:tcW w:w="1373" w:type="dxa"/>
            <w:shd w:val="clear" w:color="auto" w:fill="F7C9AC"/>
          </w:tcPr>
          <w:p w:rsidR="007C5447" w:rsidRDefault="007C5447">
            <w:pPr>
              <w:pStyle w:val="TableParagraph"/>
              <w:spacing w:before="4"/>
              <w:jc w:val="left"/>
              <w:rPr>
                <w:b/>
                <w:sz w:val="20"/>
              </w:rPr>
            </w:pPr>
          </w:p>
          <w:p w:rsidR="007C5447" w:rsidRDefault="00F6308C">
            <w:pPr>
              <w:pStyle w:val="TableParagraph"/>
              <w:spacing w:before="1"/>
              <w:ind w:left="228"/>
              <w:jc w:val="left"/>
              <w:rPr>
                <w:b/>
                <w:sz w:val="18"/>
              </w:rPr>
            </w:pPr>
            <w:r>
              <w:rPr>
                <w:b/>
                <w:sz w:val="18"/>
              </w:rPr>
              <w:t>SMT Order</w:t>
            </w:r>
          </w:p>
        </w:tc>
        <w:tc>
          <w:tcPr>
            <w:tcW w:w="1330" w:type="dxa"/>
            <w:shd w:val="clear" w:color="auto" w:fill="F7C9AC"/>
          </w:tcPr>
          <w:p w:rsidR="007C5447" w:rsidRDefault="007C5447">
            <w:pPr>
              <w:pStyle w:val="TableParagraph"/>
              <w:spacing w:before="4"/>
              <w:jc w:val="left"/>
              <w:rPr>
                <w:b/>
                <w:sz w:val="20"/>
              </w:rPr>
            </w:pPr>
          </w:p>
          <w:p w:rsidR="007C5447" w:rsidRDefault="00F6308C">
            <w:pPr>
              <w:pStyle w:val="TableParagraph"/>
              <w:spacing w:before="1"/>
              <w:ind w:right="135"/>
              <w:rPr>
                <w:b/>
                <w:sz w:val="18"/>
              </w:rPr>
            </w:pPr>
            <w:r>
              <w:rPr>
                <w:b/>
                <w:sz w:val="18"/>
              </w:rPr>
              <w:t>TANGEDCO</w:t>
            </w:r>
          </w:p>
        </w:tc>
        <w:tc>
          <w:tcPr>
            <w:tcW w:w="1221" w:type="dxa"/>
            <w:shd w:val="clear" w:color="auto" w:fill="F7C9AC"/>
          </w:tcPr>
          <w:p w:rsidR="007C5447" w:rsidRDefault="00F6308C">
            <w:pPr>
              <w:pStyle w:val="TableParagraph"/>
              <w:spacing w:before="131"/>
              <w:ind w:left="122" w:right="89" w:firstLine="105"/>
              <w:jc w:val="left"/>
              <w:rPr>
                <w:b/>
                <w:sz w:val="18"/>
              </w:rPr>
            </w:pPr>
            <w:r>
              <w:rPr>
                <w:b/>
                <w:sz w:val="18"/>
              </w:rPr>
              <w:t>Approved after true up</w:t>
            </w:r>
          </w:p>
        </w:tc>
        <w:tc>
          <w:tcPr>
            <w:tcW w:w="1349" w:type="dxa"/>
            <w:shd w:val="clear" w:color="auto" w:fill="F7C9AC"/>
          </w:tcPr>
          <w:p w:rsidR="007C5447" w:rsidRDefault="007C5447">
            <w:pPr>
              <w:pStyle w:val="TableParagraph"/>
              <w:spacing w:before="4"/>
              <w:jc w:val="left"/>
              <w:rPr>
                <w:b/>
                <w:sz w:val="20"/>
              </w:rPr>
            </w:pPr>
          </w:p>
          <w:p w:rsidR="007C5447" w:rsidRDefault="00F6308C">
            <w:pPr>
              <w:pStyle w:val="TableParagraph"/>
              <w:spacing w:before="1"/>
              <w:ind w:left="216"/>
              <w:jc w:val="left"/>
              <w:rPr>
                <w:b/>
                <w:sz w:val="18"/>
              </w:rPr>
            </w:pPr>
            <w:r>
              <w:rPr>
                <w:b/>
                <w:sz w:val="18"/>
              </w:rPr>
              <w:t>SMT Order</w:t>
            </w:r>
          </w:p>
        </w:tc>
        <w:tc>
          <w:tcPr>
            <w:tcW w:w="1351" w:type="dxa"/>
            <w:shd w:val="clear" w:color="auto" w:fill="F7C9AC"/>
          </w:tcPr>
          <w:p w:rsidR="007C5447" w:rsidRDefault="007C5447">
            <w:pPr>
              <w:pStyle w:val="TableParagraph"/>
              <w:spacing w:before="4"/>
              <w:jc w:val="left"/>
              <w:rPr>
                <w:b/>
                <w:sz w:val="20"/>
              </w:rPr>
            </w:pPr>
          </w:p>
          <w:p w:rsidR="007C5447" w:rsidRDefault="00F6308C">
            <w:pPr>
              <w:pStyle w:val="TableParagraph"/>
              <w:spacing w:before="1"/>
              <w:ind w:right="146"/>
              <w:rPr>
                <w:b/>
                <w:sz w:val="18"/>
              </w:rPr>
            </w:pPr>
            <w:r>
              <w:rPr>
                <w:b/>
                <w:sz w:val="18"/>
              </w:rPr>
              <w:t>TANGEDCO</w:t>
            </w:r>
          </w:p>
        </w:tc>
        <w:tc>
          <w:tcPr>
            <w:tcW w:w="1200" w:type="dxa"/>
            <w:shd w:val="clear" w:color="auto" w:fill="F7C9AC"/>
          </w:tcPr>
          <w:p w:rsidR="007C5447" w:rsidRDefault="00F6308C">
            <w:pPr>
              <w:pStyle w:val="TableParagraph"/>
              <w:spacing w:before="131"/>
              <w:ind w:left="109" w:right="81" w:firstLine="105"/>
              <w:jc w:val="left"/>
              <w:rPr>
                <w:b/>
                <w:sz w:val="18"/>
              </w:rPr>
            </w:pPr>
            <w:r>
              <w:rPr>
                <w:b/>
                <w:sz w:val="18"/>
              </w:rPr>
              <w:t>Approved after true up</w:t>
            </w:r>
          </w:p>
        </w:tc>
        <w:tc>
          <w:tcPr>
            <w:tcW w:w="1378" w:type="dxa"/>
            <w:shd w:val="clear" w:color="auto" w:fill="F7C9AC"/>
          </w:tcPr>
          <w:p w:rsidR="007C5447" w:rsidRDefault="007C5447">
            <w:pPr>
              <w:pStyle w:val="TableParagraph"/>
              <w:spacing w:before="4"/>
              <w:jc w:val="left"/>
              <w:rPr>
                <w:b/>
                <w:sz w:val="20"/>
              </w:rPr>
            </w:pPr>
          </w:p>
          <w:p w:rsidR="007C5447" w:rsidRDefault="00F6308C">
            <w:pPr>
              <w:pStyle w:val="TableParagraph"/>
              <w:spacing w:before="1"/>
              <w:ind w:left="231"/>
              <w:jc w:val="left"/>
              <w:rPr>
                <w:b/>
                <w:sz w:val="18"/>
              </w:rPr>
            </w:pPr>
            <w:r>
              <w:rPr>
                <w:b/>
                <w:sz w:val="18"/>
              </w:rPr>
              <w:t>SMT Order</w:t>
            </w:r>
          </w:p>
        </w:tc>
        <w:tc>
          <w:tcPr>
            <w:tcW w:w="1298" w:type="dxa"/>
            <w:shd w:val="clear" w:color="auto" w:fill="F7C9AC"/>
          </w:tcPr>
          <w:p w:rsidR="007C5447" w:rsidRDefault="007C5447">
            <w:pPr>
              <w:pStyle w:val="TableParagraph"/>
              <w:spacing w:before="4"/>
              <w:jc w:val="left"/>
              <w:rPr>
                <w:b/>
                <w:sz w:val="20"/>
              </w:rPr>
            </w:pPr>
          </w:p>
          <w:p w:rsidR="007C5447" w:rsidRDefault="00F6308C">
            <w:pPr>
              <w:pStyle w:val="TableParagraph"/>
              <w:spacing w:before="1"/>
              <w:ind w:right="119"/>
              <w:rPr>
                <w:b/>
                <w:sz w:val="18"/>
              </w:rPr>
            </w:pPr>
            <w:r>
              <w:rPr>
                <w:b/>
                <w:sz w:val="18"/>
              </w:rPr>
              <w:t>TANGEDCO</w:t>
            </w:r>
          </w:p>
        </w:tc>
        <w:tc>
          <w:tcPr>
            <w:tcW w:w="1360" w:type="dxa"/>
            <w:shd w:val="clear" w:color="auto" w:fill="F7C9AC"/>
          </w:tcPr>
          <w:p w:rsidR="007C5447" w:rsidRDefault="00F6308C">
            <w:pPr>
              <w:pStyle w:val="TableParagraph"/>
              <w:spacing w:before="131"/>
              <w:ind w:left="191" w:right="159" w:firstLine="105"/>
              <w:jc w:val="left"/>
              <w:rPr>
                <w:b/>
                <w:sz w:val="18"/>
              </w:rPr>
            </w:pPr>
            <w:r>
              <w:rPr>
                <w:b/>
                <w:sz w:val="18"/>
              </w:rPr>
              <w:t>Approved after true up</w:t>
            </w:r>
          </w:p>
        </w:tc>
      </w:tr>
      <w:tr w:rsidR="007C5447">
        <w:trPr>
          <w:trHeight w:val="350"/>
        </w:trPr>
        <w:tc>
          <w:tcPr>
            <w:tcW w:w="595" w:type="dxa"/>
          </w:tcPr>
          <w:p w:rsidR="007C5447" w:rsidRDefault="00F6308C">
            <w:pPr>
              <w:pStyle w:val="TableParagraph"/>
              <w:spacing w:before="72"/>
              <w:ind w:left="249"/>
              <w:jc w:val="left"/>
              <w:rPr>
                <w:sz w:val="18"/>
              </w:rPr>
            </w:pPr>
            <w:r>
              <w:rPr>
                <w:sz w:val="18"/>
              </w:rPr>
              <w:t>1</w:t>
            </w:r>
          </w:p>
        </w:tc>
        <w:tc>
          <w:tcPr>
            <w:tcW w:w="2854" w:type="dxa"/>
          </w:tcPr>
          <w:p w:rsidR="007C5447" w:rsidRDefault="00F6308C">
            <w:pPr>
              <w:pStyle w:val="TableParagraph"/>
              <w:spacing w:before="72"/>
              <w:ind w:left="107"/>
              <w:jc w:val="left"/>
              <w:rPr>
                <w:sz w:val="18"/>
              </w:rPr>
            </w:pPr>
            <w:r>
              <w:rPr>
                <w:sz w:val="18"/>
              </w:rPr>
              <w:t>Operation &amp; Maintenance Expenses</w:t>
            </w:r>
          </w:p>
        </w:tc>
        <w:tc>
          <w:tcPr>
            <w:tcW w:w="1373" w:type="dxa"/>
          </w:tcPr>
          <w:p w:rsidR="007C5447" w:rsidRDefault="00F6308C">
            <w:pPr>
              <w:pStyle w:val="TableParagraph"/>
              <w:spacing w:before="72"/>
              <w:ind w:right="98"/>
              <w:rPr>
                <w:sz w:val="18"/>
              </w:rPr>
            </w:pPr>
            <w:r>
              <w:rPr>
                <w:sz w:val="18"/>
              </w:rPr>
              <w:t>3,327.36</w:t>
            </w:r>
          </w:p>
        </w:tc>
        <w:tc>
          <w:tcPr>
            <w:tcW w:w="1330" w:type="dxa"/>
          </w:tcPr>
          <w:p w:rsidR="007C5447" w:rsidRDefault="00F6308C">
            <w:pPr>
              <w:pStyle w:val="TableParagraph"/>
              <w:spacing w:before="72"/>
              <w:ind w:right="98"/>
              <w:rPr>
                <w:sz w:val="18"/>
              </w:rPr>
            </w:pPr>
            <w:r>
              <w:rPr>
                <w:sz w:val="18"/>
              </w:rPr>
              <w:t>3,626.33</w:t>
            </w:r>
          </w:p>
        </w:tc>
        <w:tc>
          <w:tcPr>
            <w:tcW w:w="1221" w:type="dxa"/>
          </w:tcPr>
          <w:p w:rsidR="007C5447" w:rsidRDefault="00F6308C">
            <w:pPr>
              <w:pStyle w:val="TableParagraph"/>
              <w:spacing w:before="72"/>
              <w:ind w:right="95"/>
              <w:rPr>
                <w:sz w:val="18"/>
              </w:rPr>
            </w:pPr>
            <w:r>
              <w:rPr>
                <w:sz w:val="18"/>
              </w:rPr>
              <w:t>3,327.36</w:t>
            </w:r>
          </w:p>
        </w:tc>
        <w:tc>
          <w:tcPr>
            <w:tcW w:w="1349" w:type="dxa"/>
          </w:tcPr>
          <w:p w:rsidR="007C5447" w:rsidRDefault="00F6308C">
            <w:pPr>
              <w:pStyle w:val="TableParagraph"/>
              <w:spacing w:before="72"/>
              <w:ind w:right="97"/>
              <w:rPr>
                <w:sz w:val="18"/>
              </w:rPr>
            </w:pPr>
            <w:r>
              <w:rPr>
                <w:sz w:val="18"/>
              </w:rPr>
              <w:t>3,477.42</w:t>
            </w:r>
          </w:p>
        </w:tc>
        <w:tc>
          <w:tcPr>
            <w:tcW w:w="1351" w:type="dxa"/>
          </w:tcPr>
          <w:p w:rsidR="007C5447" w:rsidRDefault="00F6308C">
            <w:pPr>
              <w:pStyle w:val="TableParagraph"/>
              <w:spacing w:before="72"/>
              <w:ind w:right="99"/>
              <w:rPr>
                <w:sz w:val="18"/>
              </w:rPr>
            </w:pPr>
            <w:r>
              <w:rPr>
                <w:sz w:val="18"/>
              </w:rPr>
              <w:t>3,523.79</w:t>
            </w:r>
          </w:p>
        </w:tc>
        <w:tc>
          <w:tcPr>
            <w:tcW w:w="1200" w:type="dxa"/>
          </w:tcPr>
          <w:p w:rsidR="007C5447" w:rsidRDefault="00F6308C">
            <w:pPr>
              <w:pStyle w:val="TableParagraph"/>
              <w:spacing w:before="72"/>
              <w:ind w:right="99"/>
              <w:rPr>
                <w:sz w:val="18"/>
              </w:rPr>
            </w:pPr>
            <w:r>
              <w:rPr>
                <w:sz w:val="18"/>
              </w:rPr>
              <w:t>3,477.42</w:t>
            </w:r>
          </w:p>
        </w:tc>
        <w:tc>
          <w:tcPr>
            <w:tcW w:w="1378" w:type="dxa"/>
          </w:tcPr>
          <w:p w:rsidR="007C5447" w:rsidRDefault="00F6308C">
            <w:pPr>
              <w:pStyle w:val="TableParagraph"/>
              <w:spacing w:before="72"/>
              <w:ind w:right="96"/>
              <w:rPr>
                <w:sz w:val="18"/>
              </w:rPr>
            </w:pPr>
            <w:r>
              <w:rPr>
                <w:sz w:val="18"/>
              </w:rPr>
              <w:t>3,852.37</w:t>
            </w:r>
          </w:p>
        </w:tc>
        <w:tc>
          <w:tcPr>
            <w:tcW w:w="1298" w:type="dxa"/>
          </w:tcPr>
          <w:p w:rsidR="007C5447" w:rsidRDefault="00F6308C">
            <w:pPr>
              <w:pStyle w:val="TableParagraph"/>
              <w:spacing w:before="72"/>
              <w:ind w:right="98"/>
              <w:rPr>
                <w:sz w:val="18"/>
              </w:rPr>
            </w:pPr>
            <w:r>
              <w:rPr>
                <w:sz w:val="18"/>
              </w:rPr>
              <w:t>3,970.93</w:t>
            </w:r>
          </w:p>
        </w:tc>
        <w:tc>
          <w:tcPr>
            <w:tcW w:w="1360" w:type="dxa"/>
          </w:tcPr>
          <w:p w:rsidR="007C5447" w:rsidRDefault="00F6308C">
            <w:pPr>
              <w:pStyle w:val="TableParagraph"/>
              <w:spacing w:before="72"/>
              <w:ind w:right="95"/>
              <w:rPr>
                <w:sz w:val="18"/>
              </w:rPr>
            </w:pPr>
            <w:r>
              <w:rPr>
                <w:sz w:val="18"/>
              </w:rPr>
              <w:t>3,851.31</w:t>
            </w:r>
          </w:p>
        </w:tc>
      </w:tr>
      <w:tr w:rsidR="007C5447">
        <w:trPr>
          <w:trHeight w:val="352"/>
        </w:trPr>
        <w:tc>
          <w:tcPr>
            <w:tcW w:w="595" w:type="dxa"/>
          </w:tcPr>
          <w:p w:rsidR="007C5447" w:rsidRDefault="00F6308C">
            <w:pPr>
              <w:pStyle w:val="TableParagraph"/>
              <w:spacing w:before="74"/>
              <w:ind w:left="249"/>
              <w:jc w:val="left"/>
              <w:rPr>
                <w:sz w:val="18"/>
              </w:rPr>
            </w:pPr>
            <w:r>
              <w:rPr>
                <w:sz w:val="18"/>
              </w:rPr>
              <w:t>2</w:t>
            </w:r>
          </w:p>
        </w:tc>
        <w:tc>
          <w:tcPr>
            <w:tcW w:w="2854" w:type="dxa"/>
          </w:tcPr>
          <w:p w:rsidR="007C5447" w:rsidRDefault="00F6308C">
            <w:pPr>
              <w:pStyle w:val="TableParagraph"/>
              <w:spacing w:before="74"/>
              <w:ind w:left="107"/>
              <w:jc w:val="left"/>
              <w:rPr>
                <w:sz w:val="18"/>
              </w:rPr>
            </w:pPr>
            <w:r>
              <w:rPr>
                <w:sz w:val="18"/>
              </w:rPr>
              <w:t>Depreciation</w:t>
            </w:r>
          </w:p>
        </w:tc>
        <w:tc>
          <w:tcPr>
            <w:tcW w:w="1373" w:type="dxa"/>
          </w:tcPr>
          <w:p w:rsidR="007C5447" w:rsidRDefault="00F6308C">
            <w:pPr>
              <w:pStyle w:val="TableParagraph"/>
              <w:spacing w:before="74"/>
              <w:ind w:right="99"/>
              <w:rPr>
                <w:sz w:val="18"/>
              </w:rPr>
            </w:pPr>
            <w:r>
              <w:rPr>
                <w:sz w:val="18"/>
              </w:rPr>
              <w:t>272.78</w:t>
            </w:r>
          </w:p>
        </w:tc>
        <w:tc>
          <w:tcPr>
            <w:tcW w:w="1330" w:type="dxa"/>
          </w:tcPr>
          <w:p w:rsidR="007C5447" w:rsidRDefault="00F6308C">
            <w:pPr>
              <w:pStyle w:val="TableParagraph"/>
              <w:spacing w:before="74"/>
              <w:ind w:right="97"/>
              <w:rPr>
                <w:sz w:val="18"/>
              </w:rPr>
            </w:pPr>
            <w:r>
              <w:rPr>
                <w:sz w:val="18"/>
              </w:rPr>
              <w:t>265.10</w:t>
            </w:r>
          </w:p>
        </w:tc>
        <w:tc>
          <w:tcPr>
            <w:tcW w:w="1221" w:type="dxa"/>
          </w:tcPr>
          <w:p w:rsidR="007C5447" w:rsidRDefault="00F6308C">
            <w:pPr>
              <w:pStyle w:val="TableParagraph"/>
              <w:spacing w:before="74"/>
              <w:ind w:right="94"/>
              <w:rPr>
                <w:sz w:val="18"/>
              </w:rPr>
            </w:pPr>
            <w:r>
              <w:rPr>
                <w:sz w:val="18"/>
              </w:rPr>
              <w:t>271.51</w:t>
            </w:r>
          </w:p>
        </w:tc>
        <w:tc>
          <w:tcPr>
            <w:tcW w:w="1349" w:type="dxa"/>
          </w:tcPr>
          <w:p w:rsidR="007C5447" w:rsidRDefault="00F6308C">
            <w:pPr>
              <w:pStyle w:val="TableParagraph"/>
              <w:spacing w:before="74"/>
              <w:ind w:right="97"/>
              <w:rPr>
                <w:sz w:val="18"/>
              </w:rPr>
            </w:pPr>
            <w:r>
              <w:rPr>
                <w:sz w:val="18"/>
              </w:rPr>
              <w:t>302.13</w:t>
            </w:r>
          </w:p>
        </w:tc>
        <w:tc>
          <w:tcPr>
            <w:tcW w:w="1351" w:type="dxa"/>
          </w:tcPr>
          <w:p w:rsidR="007C5447" w:rsidRDefault="00F6308C">
            <w:pPr>
              <w:pStyle w:val="TableParagraph"/>
              <w:spacing w:before="74"/>
              <w:ind w:right="99"/>
              <w:rPr>
                <w:sz w:val="18"/>
              </w:rPr>
            </w:pPr>
            <w:r>
              <w:rPr>
                <w:sz w:val="18"/>
              </w:rPr>
              <w:t>294.39</w:t>
            </w:r>
          </w:p>
        </w:tc>
        <w:tc>
          <w:tcPr>
            <w:tcW w:w="1200" w:type="dxa"/>
          </w:tcPr>
          <w:p w:rsidR="007C5447" w:rsidRDefault="00F6308C">
            <w:pPr>
              <w:pStyle w:val="TableParagraph"/>
              <w:spacing w:before="74"/>
              <w:ind w:right="99"/>
              <w:rPr>
                <w:sz w:val="18"/>
              </w:rPr>
            </w:pPr>
            <w:r>
              <w:rPr>
                <w:sz w:val="18"/>
              </w:rPr>
              <w:t>297.87</w:t>
            </w:r>
          </w:p>
        </w:tc>
        <w:tc>
          <w:tcPr>
            <w:tcW w:w="1378" w:type="dxa"/>
          </w:tcPr>
          <w:p w:rsidR="007C5447" w:rsidRDefault="00F6308C">
            <w:pPr>
              <w:pStyle w:val="TableParagraph"/>
              <w:spacing w:before="74"/>
              <w:ind w:right="96"/>
              <w:rPr>
                <w:sz w:val="18"/>
              </w:rPr>
            </w:pPr>
            <w:r>
              <w:rPr>
                <w:sz w:val="18"/>
              </w:rPr>
              <w:t>362.39</w:t>
            </w:r>
          </w:p>
        </w:tc>
        <w:tc>
          <w:tcPr>
            <w:tcW w:w="1298" w:type="dxa"/>
          </w:tcPr>
          <w:p w:rsidR="007C5447" w:rsidRDefault="00F6308C">
            <w:pPr>
              <w:pStyle w:val="TableParagraph"/>
              <w:spacing w:before="74"/>
              <w:ind w:right="98"/>
              <w:rPr>
                <w:sz w:val="18"/>
              </w:rPr>
            </w:pPr>
            <w:r>
              <w:rPr>
                <w:sz w:val="18"/>
              </w:rPr>
              <w:t>327.15</w:t>
            </w:r>
          </w:p>
        </w:tc>
        <w:tc>
          <w:tcPr>
            <w:tcW w:w="1360" w:type="dxa"/>
          </w:tcPr>
          <w:p w:rsidR="007C5447" w:rsidRDefault="00F6308C">
            <w:pPr>
              <w:pStyle w:val="TableParagraph"/>
              <w:spacing w:before="74"/>
              <w:ind w:right="95"/>
              <w:rPr>
                <w:sz w:val="18"/>
              </w:rPr>
            </w:pPr>
            <w:r>
              <w:rPr>
                <w:sz w:val="18"/>
              </w:rPr>
              <w:t>327.43</w:t>
            </w:r>
          </w:p>
        </w:tc>
      </w:tr>
      <w:tr w:rsidR="007C5447">
        <w:trPr>
          <w:trHeight w:val="350"/>
        </w:trPr>
        <w:tc>
          <w:tcPr>
            <w:tcW w:w="595" w:type="dxa"/>
          </w:tcPr>
          <w:p w:rsidR="007C5447" w:rsidRDefault="00F6308C">
            <w:pPr>
              <w:pStyle w:val="TableParagraph"/>
              <w:spacing w:before="71"/>
              <w:ind w:left="249"/>
              <w:jc w:val="left"/>
              <w:rPr>
                <w:sz w:val="18"/>
              </w:rPr>
            </w:pPr>
            <w:r>
              <w:rPr>
                <w:sz w:val="18"/>
              </w:rPr>
              <w:t>3</w:t>
            </w:r>
          </w:p>
        </w:tc>
        <w:tc>
          <w:tcPr>
            <w:tcW w:w="2854" w:type="dxa"/>
          </w:tcPr>
          <w:p w:rsidR="007C5447" w:rsidRDefault="00F6308C">
            <w:pPr>
              <w:pStyle w:val="TableParagraph"/>
              <w:spacing w:before="71"/>
              <w:ind w:left="107"/>
              <w:jc w:val="left"/>
              <w:rPr>
                <w:sz w:val="18"/>
              </w:rPr>
            </w:pPr>
            <w:r>
              <w:rPr>
                <w:sz w:val="18"/>
              </w:rPr>
              <w:t>Interest and Finance Charges</w:t>
            </w:r>
          </w:p>
        </w:tc>
        <w:tc>
          <w:tcPr>
            <w:tcW w:w="1373" w:type="dxa"/>
          </w:tcPr>
          <w:p w:rsidR="007C5447" w:rsidRDefault="00F6308C">
            <w:pPr>
              <w:pStyle w:val="TableParagraph"/>
              <w:spacing w:before="71"/>
              <w:ind w:right="99"/>
              <w:rPr>
                <w:sz w:val="18"/>
              </w:rPr>
            </w:pPr>
            <w:r>
              <w:rPr>
                <w:sz w:val="18"/>
              </w:rPr>
              <w:t>718.40</w:t>
            </w:r>
          </w:p>
        </w:tc>
        <w:tc>
          <w:tcPr>
            <w:tcW w:w="1330" w:type="dxa"/>
          </w:tcPr>
          <w:p w:rsidR="007C5447" w:rsidRDefault="00F6308C">
            <w:pPr>
              <w:pStyle w:val="TableParagraph"/>
              <w:spacing w:before="71"/>
              <w:ind w:right="97"/>
              <w:rPr>
                <w:sz w:val="18"/>
              </w:rPr>
            </w:pPr>
            <w:r>
              <w:rPr>
                <w:sz w:val="18"/>
              </w:rPr>
              <w:t>708.20</w:t>
            </w:r>
          </w:p>
        </w:tc>
        <w:tc>
          <w:tcPr>
            <w:tcW w:w="1221" w:type="dxa"/>
          </w:tcPr>
          <w:p w:rsidR="007C5447" w:rsidRDefault="00F6308C">
            <w:pPr>
              <w:pStyle w:val="TableParagraph"/>
              <w:spacing w:before="71"/>
              <w:ind w:right="94"/>
              <w:rPr>
                <w:sz w:val="18"/>
              </w:rPr>
            </w:pPr>
            <w:r>
              <w:rPr>
                <w:sz w:val="18"/>
              </w:rPr>
              <w:t>718.47</w:t>
            </w:r>
          </w:p>
        </w:tc>
        <w:tc>
          <w:tcPr>
            <w:tcW w:w="1349" w:type="dxa"/>
          </w:tcPr>
          <w:p w:rsidR="007C5447" w:rsidRDefault="00F6308C">
            <w:pPr>
              <w:pStyle w:val="TableParagraph"/>
              <w:spacing w:before="71"/>
              <w:ind w:right="97"/>
              <w:rPr>
                <w:sz w:val="18"/>
              </w:rPr>
            </w:pPr>
            <w:r>
              <w:rPr>
                <w:sz w:val="18"/>
              </w:rPr>
              <w:t>877.39</w:t>
            </w:r>
          </w:p>
        </w:tc>
        <w:tc>
          <w:tcPr>
            <w:tcW w:w="1351" w:type="dxa"/>
          </w:tcPr>
          <w:p w:rsidR="007C5447" w:rsidRDefault="00F6308C">
            <w:pPr>
              <w:pStyle w:val="TableParagraph"/>
              <w:spacing w:before="71"/>
              <w:ind w:right="99"/>
              <w:rPr>
                <w:sz w:val="18"/>
              </w:rPr>
            </w:pPr>
            <w:r>
              <w:rPr>
                <w:sz w:val="18"/>
              </w:rPr>
              <w:t>1,454.09</w:t>
            </w:r>
          </w:p>
        </w:tc>
        <w:tc>
          <w:tcPr>
            <w:tcW w:w="1200" w:type="dxa"/>
          </w:tcPr>
          <w:p w:rsidR="007C5447" w:rsidRDefault="00F6308C">
            <w:pPr>
              <w:pStyle w:val="TableParagraph"/>
              <w:spacing w:before="71"/>
              <w:ind w:right="99"/>
              <w:rPr>
                <w:sz w:val="18"/>
              </w:rPr>
            </w:pPr>
            <w:r>
              <w:rPr>
                <w:sz w:val="18"/>
              </w:rPr>
              <w:t>877.80</w:t>
            </w:r>
          </w:p>
        </w:tc>
        <w:tc>
          <w:tcPr>
            <w:tcW w:w="1378" w:type="dxa"/>
          </w:tcPr>
          <w:p w:rsidR="007C5447" w:rsidRDefault="00F6308C">
            <w:pPr>
              <w:pStyle w:val="TableParagraph"/>
              <w:spacing w:before="71"/>
              <w:ind w:right="97"/>
              <w:rPr>
                <w:sz w:val="18"/>
              </w:rPr>
            </w:pPr>
            <w:r>
              <w:rPr>
                <w:sz w:val="18"/>
              </w:rPr>
              <w:t>1,034.39</w:t>
            </w:r>
          </w:p>
        </w:tc>
        <w:tc>
          <w:tcPr>
            <w:tcW w:w="1298" w:type="dxa"/>
          </w:tcPr>
          <w:p w:rsidR="007C5447" w:rsidRDefault="00F6308C">
            <w:pPr>
              <w:pStyle w:val="TableParagraph"/>
              <w:spacing w:before="71"/>
              <w:ind w:right="98"/>
              <w:rPr>
                <w:sz w:val="18"/>
              </w:rPr>
            </w:pPr>
            <w:r>
              <w:rPr>
                <w:sz w:val="18"/>
              </w:rPr>
              <w:t>2,385.94</w:t>
            </w:r>
          </w:p>
        </w:tc>
        <w:tc>
          <w:tcPr>
            <w:tcW w:w="1360" w:type="dxa"/>
          </w:tcPr>
          <w:p w:rsidR="007C5447" w:rsidRDefault="00F6308C">
            <w:pPr>
              <w:pStyle w:val="TableParagraph"/>
              <w:spacing w:before="71"/>
              <w:ind w:right="95"/>
              <w:rPr>
                <w:sz w:val="18"/>
              </w:rPr>
            </w:pPr>
            <w:r>
              <w:rPr>
                <w:sz w:val="18"/>
              </w:rPr>
              <w:t>1,037.16</w:t>
            </w:r>
          </w:p>
        </w:tc>
      </w:tr>
      <w:tr w:rsidR="007C5447">
        <w:trPr>
          <w:trHeight w:val="352"/>
        </w:trPr>
        <w:tc>
          <w:tcPr>
            <w:tcW w:w="595" w:type="dxa"/>
          </w:tcPr>
          <w:p w:rsidR="007C5447" w:rsidRDefault="00F6308C">
            <w:pPr>
              <w:pStyle w:val="TableParagraph"/>
              <w:spacing w:before="71"/>
              <w:ind w:left="249"/>
              <w:jc w:val="left"/>
              <w:rPr>
                <w:sz w:val="18"/>
              </w:rPr>
            </w:pPr>
            <w:r>
              <w:rPr>
                <w:sz w:val="18"/>
              </w:rPr>
              <w:t>4</w:t>
            </w:r>
          </w:p>
        </w:tc>
        <w:tc>
          <w:tcPr>
            <w:tcW w:w="2854" w:type="dxa"/>
          </w:tcPr>
          <w:p w:rsidR="007C5447" w:rsidRDefault="00F6308C">
            <w:pPr>
              <w:pStyle w:val="TableParagraph"/>
              <w:spacing w:before="71"/>
              <w:ind w:left="107"/>
              <w:jc w:val="left"/>
              <w:rPr>
                <w:sz w:val="18"/>
              </w:rPr>
            </w:pPr>
            <w:r>
              <w:rPr>
                <w:sz w:val="18"/>
              </w:rPr>
              <w:t>Interest on Working Capital</w:t>
            </w:r>
          </w:p>
        </w:tc>
        <w:tc>
          <w:tcPr>
            <w:tcW w:w="1373" w:type="dxa"/>
          </w:tcPr>
          <w:p w:rsidR="007C5447" w:rsidRDefault="00F6308C">
            <w:pPr>
              <w:pStyle w:val="TableParagraph"/>
              <w:spacing w:before="71"/>
              <w:ind w:right="96"/>
              <w:rPr>
                <w:sz w:val="18"/>
              </w:rPr>
            </w:pPr>
            <w:r>
              <w:rPr>
                <w:w w:val="99"/>
                <w:sz w:val="18"/>
              </w:rPr>
              <w:t>-</w:t>
            </w:r>
          </w:p>
        </w:tc>
        <w:tc>
          <w:tcPr>
            <w:tcW w:w="1330" w:type="dxa"/>
          </w:tcPr>
          <w:p w:rsidR="007C5447" w:rsidRDefault="00F6308C">
            <w:pPr>
              <w:pStyle w:val="TableParagraph"/>
              <w:spacing w:before="71"/>
              <w:ind w:right="96"/>
              <w:rPr>
                <w:sz w:val="18"/>
              </w:rPr>
            </w:pPr>
            <w:r>
              <w:rPr>
                <w:w w:val="99"/>
                <w:sz w:val="18"/>
              </w:rPr>
              <w:t>-</w:t>
            </w:r>
          </w:p>
        </w:tc>
        <w:tc>
          <w:tcPr>
            <w:tcW w:w="1221" w:type="dxa"/>
          </w:tcPr>
          <w:p w:rsidR="007C5447" w:rsidRDefault="00F6308C">
            <w:pPr>
              <w:pStyle w:val="TableParagraph"/>
              <w:spacing w:before="71"/>
              <w:ind w:right="93"/>
              <w:rPr>
                <w:sz w:val="18"/>
              </w:rPr>
            </w:pPr>
            <w:r>
              <w:rPr>
                <w:w w:val="99"/>
                <w:sz w:val="18"/>
              </w:rPr>
              <w:t>-</w:t>
            </w:r>
          </w:p>
        </w:tc>
        <w:tc>
          <w:tcPr>
            <w:tcW w:w="1349" w:type="dxa"/>
          </w:tcPr>
          <w:p w:rsidR="007C5447" w:rsidRDefault="00F6308C">
            <w:pPr>
              <w:pStyle w:val="TableParagraph"/>
              <w:spacing w:before="71"/>
              <w:ind w:right="95"/>
              <w:rPr>
                <w:sz w:val="18"/>
              </w:rPr>
            </w:pPr>
            <w:r>
              <w:rPr>
                <w:w w:val="99"/>
                <w:sz w:val="18"/>
              </w:rPr>
              <w:t>-</w:t>
            </w:r>
          </w:p>
        </w:tc>
        <w:tc>
          <w:tcPr>
            <w:tcW w:w="1351" w:type="dxa"/>
          </w:tcPr>
          <w:p w:rsidR="007C5447" w:rsidRDefault="00F6308C">
            <w:pPr>
              <w:pStyle w:val="TableParagraph"/>
              <w:spacing w:before="71"/>
              <w:ind w:right="97"/>
              <w:rPr>
                <w:sz w:val="18"/>
              </w:rPr>
            </w:pPr>
            <w:r>
              <w:rPr>
                <w:w w:val="99"/>
                <w:sz w:val="18"/>
              </w:rPr>
              <w:t>-</w:t>
            </w:r>
          </w:p>
        </w:tc>
        <w:tc>
          <w:tcPr>
            <w:tcW w:w="1200" w:type="dxa"/>
          </w:tcPr>
          <w:p w:rsidR="007C5447" w:rsidRDefault="00F6308C">
            <w:pPr>
              <w:pStyle w:val="TableParagraph"/>
              <w:spacing w:before="71"/>
              <w:ind w:right="97"/>
              <w:rPr>
                <w:sz w:val="18"/>
              </w:rPr>
            </w:pPr>
            <w:r>
              <w:rPr>
                <w:w w:val="99"/>
                <w:sz w:val="18"/>
              </w:rPr>
              <w:t>-</w:t>
            </w:r>
          </w:p>
        </w:tc>
        <w:tc>
          <w:tcPr>
            <w:tcW w:w="1378" w:type="dxa"/>
          </w:tcPr>
          <w:p w:rsidR="007C5447" w:rsidRDefault="00F6308C">
            <w:pPr>
              <w:pStyle w:val="TableParagraph"/>
              <w:spacing w:before="71"/>
              <w:ind w:right="94"/>
              <w:rPr>
                <w:sz w:val="18"/>
              </w:rPr>
            </w:pPr>
            <w:r>
              <w:rPr>
                <w:w w:val="99"/>
                <w:sz w:val="18"/>
              </w:rPr>
              <w:t>-</w:t>
            </w:r>
          </w:p>
        </w:tc>
        <w:tc>
          <w:tcPr>
            <w:tcW w:w="1298" w:type="dxa"/>
          </w:tcPr>
          <w:p w:rsidR="007C5447" w:rsidRDefault="00F6308C">
            <w:pPr>
              <w:pStyle w:val="TableParagraph"/>
              <w:spacing w:before="71"/>
              <w:ind w:right="96"/>
              <w:rPr>
                <w:sz w:val="18"/>
              </w:rPr>
            </w:pPr>
            <w:r>
              <w:rPr>
                <w:w w:val="99"/>
                <w:sz w:val="18"/>
              </w:rPr>
              <w:t>-</w:t>
            </w:r>
          </w:p>
        </w:tc>
        <w:tc>
          <w:tcPr>
            <w:tcW w:w="1360" w:type="dxa"/>
          </w:tcPr>
          <w:p w:rsidR="007C5447" w:rsidRDefault="00F6308C">
            <w:pPr>
              <w:pStyle w:val="TableParagraph"/>
              <w:spacing w:before="71"/>
              <w:ind w:right="93"/>
              <w:rPr>
                <w:sz w:val="18"/>
              </w:rPr>
            </w:pPr>
            <w:r>
              <w:rPr>
                <w:w w:val="99"/>
                <w:sz w:val="18"/>
              </w:rPr>
              <w:t>-</w:t>
            </w:r>
          </w:p>
        </w:tc>
      </w:tr>
      <w:tr w:rsidR="007C5447">
        <w:trPr>
          <w:trHeight w:val="350"/>
        </w:trPr>
        <w:tc>
          <w:tcPr>
            <w:tcW w:w="595" w:type="dxa"/>
          </w:tcPr>
          <w:p w:rsidR="007C5447" w:rsidRDefault="00F6308C">
            <w:pPr>
              <w:pStyle w:val="TableParagraph"/>
              <w:spacing w:before="71"/>
              <w:ind w:left="249"/>
              <w:jc w:val="left"/>
              <w:rPr>
                <w:sz w:val="18"/>
              </w:rPr>
            </w:pPr>
            <w:r>
              <w:rPr>
                <w:sz w:val="18"/>
              </w:rPr>
              <w:t>5</w:t>
            </w:r>
          </w:p>
        </w:tc>
        <w:tc>
          <w:tcPr>
            <w:tcW w:w="2854" w:type="dxa"/>
          </w:tcPr>
          <w:p w:rsidR="007C5447" w:rsidRDefault="00F6308C">
            <w:pPr>
              <w:pStyle w:val="TableParagraph"/>
              <w:spacing w:before="71"/>
              <w:ind w:left="107"/>
              <w:jc w:val="left"/>
              <w:rPr>
                <w:sz w:val="18"/>
              </w:rPr>
            </w:pPr>
            <w:r>
              <w:rPr>
                <w:sz w:val="18"/>
              </w:rPr>
              <w:t>Return on Equity</w:t>
            </w:r>
          </w:p>
        </w:tc>
        <w:tc>
          <w:tcPr>
            <w:tcW w:w="1373" w:type="dxa"/>
          </w:tcPr>
          <w:p w:rsidR="007C5447" w:rsidRDefault="00F6308C">
            <w:pPr>
              <w:pStyle w:val="TableParagraph"/>
              <w:spacing w:before="71"/>
              <w:ind w:right="96"/>
              <w:rPr>
                <w:sz w:val="18"/>
              </w:rPr>
            </w:pPr>
            <w:r>
              <w:rPr>
                <w:w w:val="99"/>
                <w:sz w:val="18"/>
              </w:rPr>
              <w:t>-</w:t>
            </w:r>
          </w:p>
        </w:tc>
        <w:tc>
          <w:tcPr>
            <w:tcW w:w="1330" w:type="dxa"/>
          </w:tcPr>
          <w:p w:rsidR="007C5447" w:rsidRDefault="00F6308C">
            <w:pPr>
              <w:pStyle w:val="TableParagraph"/>
              <w:spacing w:before="71"/>
              <w:ind w:right="97"/>
              <w:rPr>
                <w:sz w:val="18"/>
              </w:rPr>
            </w:pPr>
            <w:r>
              <w:rPr>
                <w:sz w:val="18"/>
              </w:rPr>
              <w:t>260.62</w:t>
            </w:r>
          </w:p>
        </w:tc>
        <w:tc>
          <w:tcPr>
            <w:tcW w:w="1221" w:type="dxa"/>
          </w:tcPr>
          <w:p w:rsidR="007C5447" w:rsidRDefault="00F6308C">
            <w:pPr>
              <w:pStyle w:val="TableParagraph"/>
              <w:spacing w:before="71"/>
              <w:ind w:right="93"/>
              <w:rPr>
                <w:sz w:val="18"/>
              </w:rPr>
            </w:pPr>
            <w:r>
              <w:rPr>
                <w:w w:val="99"/>
                <w:sz w:val="18"/>
              </w:rPr>
              <w:t>-</w:t>
            </w:r>
          </w:p>
        </w:tc>
        <w:tc>
          <w:tcPr>
            <w:tcW w:w="1349" w:type="dxa"/>
          </w:tcPr>
          <w:p w:rsidR="007C5447" w:rsidRDefault="00F6308C">
            <w:pPr>
              <w:pStyle w:val="TableParagraph"/>
              <w:spacing w:before="71"/>
              <w:ind w:right="95"/>
              <w:rPr>
                <w:sz w:val="18"/>
              </w:rPr>
            </w:pPr>
            <w:r>
              <w:rPr>
                <w:w w:val="99"/>
                <w:sz w:val="18"/>
              </w:rPr>
              <w:t>-</w:t>
            </w:r>
          </w:p>
        </w:tc>
        <w:tc>
          <w:tcPr>
            <w:tcW w:w="1351" w:type="dxa"/>
          </w:tcPr>
          <w:p w:rsidR="007C5447" w:rsidRDefault="00F6308C">
            <w:pPr>
              <w:pStyle w:val="TableParagraph"/>
              <w:spacing w:before="71"/>
              <w:ind w:right="99"/>
              <w:rPr>
                <w:sz w:val="18"/>
              </w:rPr>
            </w:pPr>
            <w:r>
              <w:rPr>
                <w:sz w:val="18"/>
              </w:rPr>
              <w:t>471.02</w:t>
            </w:r>
          </w:p>
        </w:tc>
        <w:tc>
          <w:tcPr>
            <w:tcW w:w="1200" w:type="dxa"/>
          </w:tcPr>
          <w:p w:rsidR="007C5447" w:rsidRDefault="00F6308C">
            <w:pPr>
              <w:pStyle w:val="TableParagraph"/>
              <w:spacing w:before="71"/>
              <w:ind w:right="97"/>
              <w:rPr>
                <w:sz w:val="18"/>
              </w:rPr>
            </w:pPr>
            <w:r>
              <w:rPr>
                <w:w w:val="99"/>
                <w:sz w:val="18"/>
              </w:rPr>
              <w:t>-</w:t>
            </w:r>
          </w:p>
        </w:tc>
        <w:tc>
          <w:tcPr>
            <w:tcW w:w="1378" w:type="dxa"/>
          </w:tcPr>
          <w:p w:rsidR="007C5447" w:rsidRDefault="00F6308C">
            <w:pPr>
              <w:pStyle w:val="TableParagraph"/>
              <w:spacing w:before="71"/>
              <w:ind w:right="94"/>
              <w:rPr>
                <w:sz w:val="18"/>
              </w:rPr>
            </w:pPr>
            <w:r>
              <w:rPr>
                <w:w w:val="99"/>
                <w:sz w:val="18"/>
              </w:rPr>
              <w:t>-</w:t>
            </w:r>
          </w:p>
        </w:tc>
        <w:tc>
          <w:tcPr>
            <w:tcW w:w="1298" w:type="dxa"/>
          </w:tcPr>
          <w:p w:rsidR="007C5447" w:rsidRDefault="00F6308C">
            <w:pPr>
              <w:pStyle w:val="TableParagraph"/>
              <w:spacing w:before="71"/>
              <w:ind w:right="98"/>
              <w:rPr>
                <w:sz w:val="18"/>
              </w:rPr>
            </w:pPr>
            <w:r>
              <w:rPr>
                <w:sz w:val="18"/>
              </w:rPr>
              <w:t>600.44</w:t>
            </w:r>
          </w:p>
        </w:tc>
        <w:tc>
          <w:tcPr>
            <w:tcW w:w="1360" w:type="dxa"/>
          </w:tcPr>
          <w:p w:rsidR="007C5447" w:rsidRDefault="00F6308C">
            <w:pPr>
              <w:pStyle w:val="TableParagraph"/>
              <w:spacing w:before="71"/>
              <w:ind w:right="93"/>
              <w:rPr>
                <w:sz w:val="18"/>
              </w:rPr>
            </w:pPr>
            <w:r>
              <w:rPr>
                <w:w w:val="99"/>
                <w:sz w:val="18"/>
              </w:rPr>
              <w:t>-</w:t>
            </w:r>
          </w:p>
        </w:tc>
      </w:tr>
      <w:tr w:rsidR="007C5447">
        <w:trPr>
          <w:trHeight w:val="352"/>
        </w:trPr>
        <w:tc>
          <w:tcPr>
            <w:tcW w:w="595" w:type="dxa"/>
          </w:tcPr>
          <w:p w:rsidR="007C5447" w:rsidRDefault="00F6308C">
            <w:pPr>
              <w:pStyle w:val="TableParagraph"/>
              <w:spacing w:before="71"/>
              <w:ind w:left="249"/>
              <w:jc w:val="left"/>
              <w:rPr>
                <w:sz w:val="18"/>
              </w:rPr>
            </w:pPr>
            <w:r>
              <w:rPr>
                <w:sz w:val="18"/>
              </w:rPr>
              <w:t>6</w:t>
            </w:r>
          </w:p>
        </w:tc>
        <w:tc>
          <w:tcPr>
            <w:tcW w:w="2854" w:type="dxa"/>
          </w:tcPr>
          <w:p w:rsidR="007C5447" w:rsidRDefault="00F6308C">
            <w:pPr>
              <w:pStyle w:val="TableParagraph"/>
              <w:spacing w:before="71"/>
              <w:ind w:left="107"/>
              <w:jc w:val="left"/>
              <w:rPr>
                <w:sz w:val="18"/>
              </w:rPr>
            </w:pPr>
            <w:r>
              <w:rPr>
                <w:sz w:val="18"/>
              </w:rPr>
              <w:t>Other Debits</w:t>
            </w:r>
          </w:p>
        </w:tc>
        <w:tc>
          <w:tcPr>
            <w:tcW w:w="1373" w:type="dxa"/>
          </w:tcPr>
          <w:p w:rsidR="007C5447" w:rsidRDefault="00F6308C">
            <w:pPr>
              <w:pStyle w:val="TableParagraph"/>
              <w:spacing w:before="71"/>
              <w:ind w:right="95"/>
              <w:rPr>
                <w:sz w:val="18"/>
              </w:rPr>
            </w:pPr>
            <w:r>
              <w:rPr>
                <w:sz w:val="18"/>
              </w:rPr>
              <w:t>14.26</w:t>
            </w:r>
          </w:p>
        </w:tc>
        <w:tc>
          <w:tcPr>
            <w:tcW w:w="1330" w:type="dxa"/>
          </w:tcPr>
          <w:p w:rsidR="007C5447" w:rsidRDefault="00F6308C">
            <w:pPr>
              <w:pStyle w:val="TableParagraph"/>
              <w:spacing w:before="71"/>
              <w:ind w:right="95"/>
              <w:rPr>
                <w:sz w:val="18"/>
              </w:rPr>
            </w:pPr>
            <w:r>
              <w:rPr>
                <w:sz w:val="18"/>
              </w:rPr>
              <w:t>36.52</w:t>
            </w:r>
          </w:p>
        </w:tc>
        <w:tc>
          <w:tcPr>
            <w:tcW w:w="1221" w:type="dxa"/>
          </w:tcPr>
          <w:p w:rsidR="007C5447" w:rsidRDefault="00F6308C">
            <w:pPr>
              <w:pStyle w:val="TableParagraph"/>
              <w:spacing w:before="71"/>
              <w:ind w:right="92"/>
              <w:rPr>
                <w:sz w:val="18"/>
              </w:rPr>
            </w:pPr>
            <w:r>
              <w:rPr>
                <w:sz w:val="18"/>
              </w:rPr>
              <w:t>14.86</w:t>
            </w:r>
          </w:p>
        </w:tc>
        <w:tc>
          <w:tcPr>
            <w:tcW w:w="1349" w:type="dxa"/>
          </w:tcPr>
          <w:p w:rsidR="007C5447" w:rsidRDefault="00F6308C">
            <w:pPr>
              <w:pStyle w:val="TableParagraph"/>
              <w:spacing w:before="71"/>
              <w:ind w:right="94"/>
              <w:rPr>
                <w:sz w:val="18"/>
              </w:rPr>
            </w:pPr>
            <w:r>
              <w:rPr>
                <w:sz w:val="18"/>
              </w:rPr>
              <w:t>16.90</w:t>
            </w:r>
          </w:p>
        </w:tc>
        <w:tc>
          <w:tcPr>
            <w:tcW w:w="1351" w:type="dxa"/>
          </w:tcPr>
          <w:p w:rsidR="007C5447" w:rsidRDefault="00F6308C">
            <w:pPr>
              <w:pStyle w:val="TableParagraph"/>
              <w:spacing w:before="71"/>
              <w:ind w:right="96"/>
              <w:rPr>
                <w:sz w:val="18"/>
              </w:rPr>
            </w:pPr>
            <w:r>
              <w:rPr>
                <w:sz w:val="18"/>
              </w:rPr>
              <w:t>10.14</w:t>
            </w:r>
          </w:p>
        </w:tc>
        <w:tc>
          <w:tcPr>
            <w:tcW w:w="1200" w:type="dxa"/>
          </w:tcPr>
          <w:p w:rsidR="007C5447" w:rsidRDefault="00F6308C">
            <w:pPr>
              <w:pStyle w:val="TableParagraph"/>
              <w:spacing w:before="71"/>
              <w:ind w:right="99"/>
              <w:rPr>
                <w:sz w:val="18"/>
              </w:rPr>
            </w:pPr>
            <w:r>
              <w:rPr>
                <w:sz w:val="18"/>
              </w:rPr>
              <w:t>2.87</w:t>
            </w:r>
          </w:p>
        </w:tc>
        <w:tc>
          <w:tcPr>
            <w:tcW w:w="1378" w:type="dxa"/>
          </w:tcPr>
          <w:p w:rsidR="007C5447" w:rsidRDefault="00F6308C">
            <w:pPr>
              <w:pStyle w:val="TableParagraph"/>
              <w:spacing w:before="71"/>
              <w:ind w:right="93"/>
              <w:rPr>
                <w:sz w:val="18"/>
              </w:rPr>
            </w:pPr>
            <w:r>
              <w:rPr>
                <w:sz w:val="18"/>
              </w:rPr>
              <w:t>19.93</w:t>
            </w:r>
          </w:p>
        </w:tc>
        <w:tc>
          <w:tcPr>
            <w:tcW w:w="1298" w:type="dxa"/>
          </w:tcPr>
          <w:p w:rsidR="007C5447" w:rsidRDefault="00F6308C">
            <w:pPr>
              <w:pStyle w:val="TableParagraph"/>
              <w:spacing w:before="71"/>
              <w:ind w:right="95"/>
              <w:rPr>
                <w:sz w:val="18"/>
              </w:rPr>
            </w:pPr>
            <w:r>
              <w:rPr>
                <w:sz w:val="18"/>
              </w:rPr>
              <w:t>21.70</w:t>
            </w:r>
          </w:p>
        </w:tc>
        <w:tc>
          <w:tcPr>
            <w:tcW w:w="1360" w:type="dxa"/>
          </w:tcPr>
          <w:p w:rsidR="007C5447" w:rsidRDefault="00F6308C">
            <w:pPr>
              <w:pStyle w:val="TableParagraph"/>
              <w:spacing w:before="71"/>
              <w:ind w:right="92"/>
              <w:rPr>
                <w:sz w:val="18"/>
              </w:rPr>
            </w:pPr>
            <w:r>
              <w:rPr>
                <w:sz w:val="18"/>
              </w:rPr>
              <w:t>14.04</w:t>
            </w:r>
          </w:p>
        </w:tc>
      </w:tr>
      <w:tr w:rsidR="007C5447">
        <w:trPr>
          <w:trHeight w:val="443"/>
        </w:trPr>
        <w:tc>
          <w:tcPr>
            <w:tcW w:w="595" w:type="dxa"/>
          </w:tcPr>
          <w:p w:rsidR="007C5447" w:rsidRDefault="00F6308C">
            <w:pPr>
              <w:pStyle w:val="TableParagraph"/>
              <w:spacing w:before="117"/>
              <w:ind w:left="249"/>
              <w:jc w:val="left"/>
              <w:rPr>
                <w:sz w:val="18"/>
              </w:rPr>
            </w:pPr>
            <w:r>
              <w:rPr>
                <w:sz w:val="18"/>
              </w:rPr>
              <w:t>7</w:t>
            </w:r>
          </w:p>
        </w:tc>
        <w:tc>
          <w:tcPr>
            <w:tcW w:w="2854" w:type="dxa"/>
          </w:tcPr>
          <w:p w:rsidR="007C5447" w:rsidRDefault="00F6308C">
            <w:pPr>
              <w:pStyle w:val="TableParagraph"/>
              <w:spacing w:before="17" w:line="206" w:lineRule="exact"/>
              <w:ind w:left="107" w:right="107"/>
              <w:jc w:val="left"/>
              <w:rPr>
                <w:sz w:val="18"/>
              </w:rPr>
            </w:pPr>
            <w:r>
              <w:rPr>
                <w:sz w:val="18"/>
              </w:rPr>
              <w:t>Sharing of (Gains)/Losses for O&amp;M Expenses</w:t>
            </w:r>
          </w:p>
        </w:tc>
        <w:tc>
          <w:tcPr>
            <w:tcW w:w="1373" w:type="dxa"/>
          </w:tcPr>
          <w:p w:rsidR="007C5447" w:rsidRDefault="007C5447">
            <w:pPr>
              <w:pStyle w:val="TableParagraph"/>
              <w:jc w:val="left"/>
              <w:rPr>
                <w:sz w:val="18"/>
              </w:rPr>
            </w:pPr>
          </w:p>
        </w:tc>
        <w:tc>
          <w:tcPr>
            <w:tcW w:w="1330" w:type="dxa"/>
          </w:tcPr>
          <w:p w:rsidR="007C5447" w:rsidRDefault="007C5447">
            <w:pPr>
              <w:pStyle w:val="TableParagraph"/>
              <w:jc w:val="left"/>
              <w:rPr>
                <w:sz w:val="18"/>
              </w:rPr>
            </w:pPr>
          </w:p>
        </w:tc>
        <w:tc>
          <w:tcPr>
            <w:tcW w:w="1221" w:type="dxa"/>
          </w:tcPr>
          <w:p w:rsidR="007C5447" w:rsidRDefault="00F6308C">
            <w:pPr>
              <w:pStyle w:val="TableParagraph"/>
              <w:spacing w:before="117"/>
              <w:ind w:right="93"/>
              <w:rPr>
                <w:sz w:val="18"/>
              </w:rPr>
            </w:pPr>
            <w:r>
              <w:rPr>
                <w:w w:val="99"/>
                <w:sz w:val="18"/>
              </w:rPr>
              <w:t>-</w:t>
            </w:r>
          </w:p>
        </w:tc>
        <w:tc>
          <w:tcPr>
            <w:tcW w:w="1349" w:type="dxa"/>
          </w:tcPr>
          <w:p w:rsidR="007C5447" w:rsidRDefault="007C5447">
            <w:pPr>
              <w:pStyle w:val="TableParagraph"/>
              <w:jc w:val="left"/>
              <w:rPr>
                <w:sz w:val="18"/>
              </w:rPr>
            </w:pPr>
          </w:p>
        </w:tc>
        <w:tc>
          <w:tcPr>
            <w:tcW w:w="1351" w:type="dxa"/>
          </w:tcPr>
          <w:p w:rsidR="007C5447" w:rsidRDefault="007C5447">
            <w:pPr>
              <w:pStyle w:val="TableParagraph"/>
              <w:jc w:val="left"/>
              <w:rPr>
                <w:sz w:val="18"/>
              </w:rPr>
            </w:pPr>
          </w:p>
        </w:tc>
        <w:tc>
          <w:tcPr>
            <w:tcW w:w="1200" w:type="dxa"/>
          </w:tcPr>
          <w:p w:rsidR="007C5447" w:rsidRDefault="007C5447">
            <w:pPr>
              <w:pStyle w:val="TableParagraph"/>
              <w:jc w:val="left"/>
              <w:rPr>
                <w:sz w:val="18"/>
              </w:rPr>
            </w:pPr>
          </w:p>
        </w:tc>
        <w:tc>
          <w:tcPr>
            <w:tcW w:w="1378" w:type="dxa"/>
          </w:tcPr>
          <w:p w:rsidR="007C5447" w:rsidRDefault="007C5447">
            <w:pPr>
              <w:pStyle w:val="TableParagraph"/>
              <w:jc w:val="left"/>
              <w:rPr>
                <w:sz w:val="18"/>
              </w:rPr>
            </w:pPr>
          </w:p>
        </w:tc>
        <w:tc>
          <w:tcPr>
            <w:tcW w:w="1298" w:type="dxa"/>
          </w:tcPr>
          <w:p w:rsidR="007C5447" w:rsidRDefault="007C5447">
            <w:pPr>
              <w:pStyle w:val="TableParagraph"/>
              <w:jc w:val="left"/>
              <w:rPr>
                <w:sz w:val="18"/>
              </w:rPr>
            </w:pPr>
          </w:p>
        </w:tc>
        <w:tc>
          <w:tcPr>
            <w:tcW w:w="1360" w:type="dxa"/>
          </w:tcPr>
          <w:p w:rsidR="007C5447" w:rsidRDefault="00F6308C">
            <w:pPr>
              <w:pStyle w:val="TableParagraph"/>
              <w:spacing w:before="117"/>
              <w:ind w:right="93"/>
              <w:rPr>
                <w:sz w:val="18"/>
              </w:rPr>
            </w:pPr>
            <w:r>
              <w:rPr>
                <w:w w:val="99"/>
                <w:sz w:val="18"/>
              </w:rPr>
              <w:t>-</w:t>
            </w:r>
          </w:p>
        </w:tc>
      </w:tr>
      <w:tr w:rsidR="007C5447">
        <w:trPr>
          <w:trHeight w:val="350"/>
        </w:trPr>
        <w:tc>
          <w:tcPr>
            <w:tcW w:w="595" w:type="dxa"/>
          </w:tcPr>
          <w:p w:rsidR="007C5447" w:rsidRDefault="00F6308C">
            <w:pPr>
              <w:pStyle w:val="TableParagraph"/>
              <w:spacing w:before="72"/>
              <w:ind w:left="249"/>
              <w:jc w:val="left"/>
              <w:rPr>
                <w:sz w:val="18"/>
              </w:rPr>
            </w:pPr>
            <w:r>
              <w:rPr>
                <w:sz w:val="18"/>
              </w:rPr>
              <w:t>8</w:t>
            </w:r>
          </w:p>
        </w:tc>
        <w:tc>
          <w:tcPr>
            <w:tcW w:w="2854" w:type="dxa"/>
          </w:tcPr>
          <w:p w:rsidR="007C5447" w:rsidRDefault="00F6308C">
            <w:pPr>
              <w:pStyle w:val="TableParagraph"/>
              <w:spacing w:before="72"/>
              <w:ind w:left="107"/>
              <w:jc w:val="left"/>
              <w:rPr>
                <w:sz w:val="18"/>
              </w:rPr>
            </w:pPr>
            <w:r>
              <w:rPr>
                <w:sz w:val="18"/>
              </w:rPr>
              <w:t>Operating charges</w:t>
            </w:r>
          </w:p>
        </w:tc>
        <w:tc>
          <w:tcPr>
            <w:tcW w:w="1373" w:type="dxa"/>
          </w:tcPr>
          <w:p w:rsidR="007C5447" w:rsidRDefault="00F6308C">
            <w:pPr>
              <w:pStyle w:val="TableParagraph"/>
              <w:spacing w:before="72"/>
              <w:ind w:right="96"/>
              <w:rPr>
                <w:sz w:val="18"/>
              </w:rPr>
            </w:pPr>
            <w:r>
              <w:rPr>
                <w:w w:val="99"/>
                <w:sz w:val="18"/>
              </w:rPr>
              <w:t>-</w:t>
            </w:r>
          </w:p>
        </w:tc>
        <w:tc>
          <w:tcPr>
            <w:tcW w:w="1330" w:type="dxa"/>
          </w:tcPr>
          <w:p w:rsidR="007C5447" w:rsidRDefault="00F6308C">
            <w:pPr>
              <w:pStyle w:val="TableParagraph"/>
              <w:spacing w:before="72"/>
              <w:ind w:right="97"/>
              <w:rPr>
                <w:sz w:val="18"/>
              </w:rPr>
            </w:pPr>
            <w:r>
              <w:rPr>
                <w:sz w:val="18"/>
              </w:rPr>
              <w:t>2.22</w:t>
            </w:r>
          </w:p>
        </w:tc>
        <w:tc>
          <w:tcPr>
            <w:tcW w:w="1221" w:type="dxa"/>
          </w:tcPr>
          <w:p w:rsidR="007C5447" w:rsidRDefault="00F6308C">
            <w:pPr>
              <w:pStyle w:val="TableParagraph"/>
              <w:spacing w:before="72"/>
              <w:ind w:right="93"/>
              <w:rPr>
                <w:sz w:val="18"/>
              </w:rPr>
            </w:pPr>
            <w:r>
              <w:rPr>
                <w:w w:val="99"/>
                <w:sz w:val="18"/>
              </w:rPr>
              <w:t>-</w:t>
            </w:r>
          </w:p>
        </w:tc>
        <w:tc>
          <w:tcPr>
            <w:tcW w:w="1349" w:type="dxa"/>
          </w:tcPr>
          <w:p w:rsidR="007C5447" w:rsidRDefault="00F6308C">
            <w:pPr>
              <w:pStyle w:val="TableParagraph"/>
              <w:spacing w:before="72"/>
              <w:ind w:right="95"/>
              <w:rPr>
                <w:sz w:val="18"/>
              </w:rPr>
            </w:pPr>
            <w:r>
              <w:rPr>
                <w:w w:val="99"/>
                <w:sz w:val="18"/>
              </w:rPr>
              <w:t>-</w:t>
            </w:r>
          </w:p>
        </w:tc>
        <w:tc>
          <w:tcPr>
            <w:tcW w:w="1351" w:type="dxa"/>
          </w:tcPr>
          <w:p w:rsidR="007C5447" w:rsidRDefault="00F6308C">
            <w:pPr>
              <w:pStyle w:val="TableParagraph"/>
              <w:spacing w:before="72"/>
              <w:ind w:right="99"/>
              <w:rPr>
                <w:sz w:val="18"/>
              </w:rPr>
            </w:pPr>
            <w:r>
              <w:rPr>
                <w:sz w:val="18"/>
              </w:rPr>
              <w:t>0.13</w:t>
            </w:r>
          </w:p>
        </w:tc>
        <w:tc>
          <w:tcPr>
            <w:tcW w:w="1200" w:type="dxa"/>
          </w:tcPr>
          <w:p w:rsidR="007C5447" w:rsidRDefault="00F6308C">
            <w:pPr>
              <w:pStyle w:val="TableParagraph"/>
              <w:spacing w:before="72"/>
              <w:ind w:right="97"/>
              <w:rPr>
                <w:sz w:val="18"/>
              </w:rPr>
            </w:pPr>
            <w:r>
              <w:rPr>
                <w:w w:val="99"/>
                <w:sz w:val="18"/>
              </w:rPr>
              <w:t>-</w:t>
            </w:r>
          </w:p>
        </w:tc>
        <w:tc>
          <w:tcPr>
            <w:tcW w:w="1378" w:type="dxa"/>
          </w:tcPr>
          <w:p w:rsidR="007C5447" w:rsidRDefault="00F6308C">
            <w:pPr>
              <w:pStyle w:val="TableParagraph"/>
              <w:spacing w:before="72"/>
              <w:ind w:right="94"/>
              <w:rPr>
                <w:sz w:val="18"/>
              </w:rPr>
            </w:pPr>
            <w:r>
              <w:rPr>
                <w:w w:val="99"/>
                <w:sz w:val="18"/>
              </w:rPr>
              <w:t>-</w:t>
            </w:r>
          </w:p>
        </w:tc>
        <w:tc>
          <w:tcPr>
            <w:tcW w:w="1298" w:type="dxa"/>
          </w:tcPr>
          <w:p w:rsidR="007C5447" w:rsidRDefault="00F6308C">
            <w:pPr>
              <w:pStyle w:val="TableParagraph"/>
              <w:spacing w:before="72"/>
              <w:ind w:right="98"/>
              <w:rPr>
                <w:sz w:val="18"/>
              </w:rPr>
            </w:pPr>
            <w:r>
              <w:rPr>
                <w:sz w:val="18"/>
              </w:rPr>
              <w:t>0.08</w:t>
            </w:r>
          </w:p>
        </w:tc>
        <w:tc>
          <w:tcPr>
            <w:tcW w:w="1360" w:type="dxa"/>
          </w:tcPr>
          <w:p w:rsidR="007C5447" w:rsidRDefault="00F6308C">
            <w:pPr>
              <w:pStyle w:val="TableParagraph"/>
              <w:spacing w:before="72"/>
              <w:ind w:right="93"/>
              <w:rPr>
                <w:sz w:val="18"/>
              </w:rPr>
            </w:pPr>
            <w:r>
              <w:rPr>
                <w:w w:val="99"/>
                <w:sz w:val="18"/>
              </w:rPr>
              <w:t>-</w:t>
            </w:r>
          </w:p>
        </w:tc>
      </w:tr>
      <w:tr w:rsidR="007C5447">
        <w:trPr>
          <w:trHeight w:val="352"/>
        </w:trPr>
        <w:tc>
          <w:tcPr>
            <w:tcW w:w="595" w:type="dxa"/>
          </w:tcPr>
          <w:p w:rsidR="007C5447" w:rsidRDefault="00F6308C">
            <w:pPr>
              <w:pStyle w:val="TableParagraph"/>
              <w:spacing w:before="71"/>
              <w:ind w:left="249"/>
              <w:jc w:val="left"/>
              <w:rPr>
                <w:sz w:val="18"/>
              </w:rPr>
            </w:pPr>
            <w:r>
              <w:rPr>
                <w:sz w:val="18"/>
              </w:rPr>
              <w:t>9</w:t>
            </w:r>
          </w:p>
        </w:tc>
        <w:tc>
          <w:tcPr>
            <w:tcW w:w="2854" w:type="dxa"/>
          </w:tcPr>
          <w:p w:rsidR="007C5447" w:rsidRDefault="00F6308C">
            <w:pPr>
              <w:pStyle w:val="TableParagraph"/>
              <w:spacing w:before="71"/>
              <w:ind w:left="107"/>
              <w:jc w:val="left"/>
              <w:rPr>
                <w:sz w:val="18"/>
              </w:rPr>
            </w:pPr>
            <w:r>
              <w:rPr>
                <w:sz w:val="18"/>
              </w:rPr>
              <w:t>Other Interest and Finance Charges</w:t>
            </w:r>
          </w:p>
        </w:tc>
        <w:tc>
          <w:tcPr>
            <w:tcW w:w="1373" w:type="dxa"/>
          </w:tcPr>
          <w:p w:rsidR="007C5447" w:rsidRDefault="00F6308C">
            <w:pPr>
              <w:pStyle w:val="TableParagraph"/>
              <w:spacing w:before="71"/>
              <w:ind w:right="99"/>
              <w:rPr>
                <w:sz w:val="18"/>
              </w:rPr>
            </w:pPr>
            <w:r>
              <w:rPr>
                <w:sz w:val="18"/>
              </w:rPr>
              <w:t>334.69</w:t>
            </w:r>
          </w:p>
        </w:tc>
        <w:tc>
          <w:tcPr>
            <w:tcW w:w="1330" w:type="dxa"/>
          </w:tcPr>
          <w:p w:rsidR="007C5447" w:rsidRDefault="00F6308C">
            <w:pPr>
              <w:pStyle w:val="TableParagraph"/>
              <w:spacing w:before="71"/>
              <w:ind w:right="97"/>
              <w:rPr>
                <w:sz w:val="18"/>
              </w:rPr>
            </w:pPr>
            <w:r>
              <w:rPr>
                <w:sz w:val="18"/>
              </w:rPr>
              <w:t>531.17</w:t>
            </w:r>
          </w:p>
        </w:tc>
        <w:tc>
          <w:tcPr>
            <w:tcW w:w="1221" w:type="dxa"/>
          </w:tcPr>
          <w:p w:rsidR="007C5447" w:rsidRDefault="00F6308C">
            <w:pPr>
              <w:pStyle w:val="TableParagraph"/>
              <w:spacing w:before="71"/>
              <w:ind w:right="94"/>
              <w:rPr>
                <w:sz w:val="18"/>
              </w:rPr>
            </w:pPr>
            <w:r>
              <w:rPr>
                <w:sz w:val="18"/>
              </w:rPr>
              <w:t>391.91</w:t>
            </w:r>
          </w:p>
        </w:tc>
        <w:tc>
          <w:tcPr>
            <w:tcW w:w="1349" w:type="dxa"/>
          </w:tcPr>
          <w:p w:rsidR="007C5447" w:rsidRDefault="00F6308C">
            <w:pPr>
              <w:pStyle w:val="TableParagraph"/>
              <w:spacing w:before="71"/>
              <w:ind w:right="97"/>
              <w:rPr>
                <w:sz w:val="18"/>
              </w:rPr>
            </w:pPr>
            <w:r>
              <w:rPr>
                <w:sz w:val="18"/>
              </w:rPr>
              <w:t>497.62</w:t>
            </w:r>
          </w:p>
        </w:tc>
        <w:tc>
          <w:tcPr>
            <w:tcW w:w="1351" w:type="dxa"/>
          </w:tcPr>
          <w:p w:rsidR="007C5447" w:rsidRDefault="00F6308C">
            <w:pPr>
              <w:pStyle w:val="TableParagraph"/>
              <w:spacing w:before="71"/>
              <w:ind w:right="99"/>
              <w:rPr>
                <w:sz w:val="18"/>
              </w:rPr>
            </w:pPr>
            <w:r>
              <w:rPr>
                <w:sz w:val="18"/>
              </w:rPr>
              <w:t>682.51</w:t>
            </w:r>
          </w:p>
        </w:tc>
        <w:tc>
          <w:tcPr>
            <w:tcW w:w="1200" w:type="dxa"/>
          </w:tcPr>
          <w:p w:rsidR="007C5447" w:rsidRDefault="00F6308C">
            <w:pPr>
              <w:pStyle w:val="TableParagraph"/>
              <w:spacing w:before="71"/>
              <w:ind w:right="99"/>
              <w:rPr>
                <w:sz w:val="18"/>
              </w:rPr>
            </w:pPr>
            <w:r>
              <w:rPr>
                <w:sz w:val="18"/>
              </w:rPr>
              <w:t>569.39</w:t>
            </w:r>
          </w:p>
        </w:tc>
        <w:tc>
          <w:tcPr>
            <w:tcW w:w="1378" w:type="dxa"/>
          </w:tcPr>
          <w:p w:rsidR="007C5447" w:rsidRDefault="00F6308C">
            <w:pPr>
              <w:pStyle w:val="TableParagraph"/>
              <w:spacing w:before="71"/>
              <w:ind w:right="96"/>
              <w:rPr>
                <w:sz w:val="18"/>
              </w:rPr>
            </w:pPr>
            <w:r>
              <w:rPr>
                <w:sz w:val="18"/>
              </w:rPr>
              <w:t>575.99</w:t>
            </w:r>
          </w:p>
        </w:tc>
        <w:tc>
          <w:tcPr>
            <w:tcW w:w="1298" w:type="dxa"/>
          </w:tcPr>
          <w:p w:rsidR="007C5447" w:rsidRDefault="00F6308C">
            <w:pPr>
              <w:pStyle w:val="TableParagraph"/>
              <w:spacing w:before="71"/>
              <w:ind w:right="98"/>
              <w:rPr>
                <w:sz w:val="18"/>
              </w:rPr>
            </w:pPr>
            <w:r>
              <w:rPr>
                <w:sz w:val="18"/>
              </w:rPr>
              <w:t>965.35</w:t>
            </w:r>
          </w:p>
        </w:tc>
        <w:tc>
          <w:tcPr>
            <w:tcW w:w="1360" w:type="dxa"/>
          </w:tcPr>
          <w:p w:rsidR="007C5447" w:rsidRDefault="00F6308C">
            <w:pPr>
              <w:pStyle w:val="TableParagraph"/>
              <w:spacing w:before="71"/>
              <w:ind w:right="95"/>
              <w:rPr>
                <w:sz w:val="18"/>
              </w:rPr>
            </w:pPr>
            <w:r>
              <w:rPr>
                <w:sz w:val="18"/>
              </w:rPr>
              <w:t>802.14</w:t>
            </w:r>
          </w:p>
        </w:tc>
      </w:tr>
      <w:tr w:rsidR="007C5447">
        <w:trPr>
          <w:trHeight w:val="443"/>
        </w:trPr>
        <w:tc>
          <w:tcPr>
            <w:tcW w:w="595" w:type="dxa"/>
          </w:tcPr>
          <w:p w:rsidR="007C5447" w:rsidRDefault="00F6308C">
            <w:pPr>
              <w:pStyle w:val="TableParagraph"/>
              <w:spacing w:before="117"/>
              <w:ind w:left="206"/>
              <w:jc w:val="left"/>
              <w:rPr>
                <w:sz w:val="18"/>
              </w:rPr>
            </w:pPr>
            <w:r>
              <w:rPr>
                <w:sz w:val="18"/>
              </w:rPr>
              <w:t>10</w:t>
            </w:r>
          </w:p>
        </w:tc>
        <w:tc>
          <w:tcPr>
            <w:tcW w:w="2854" w:type="dxa"/>
          </w:tcPr>
          <w:p w:rsidR="007C5447" w:rsidRDefault="00F6308C">
            <w:pPr>
              <w:pStyle w:val="TableParagraph"/>
              <w:spacing w:before="17" w:line="206" w:lineRule="exact"/>
              <w:ind w:left="107" w:right="727"/>
              <w:jc w:val="left"/>
              <w:rPr>
                <w:b/>
                <w:sz w:val="18"/>
              </w:rPr>
            </w:pPr>
            <w:r>
              <w:rPr>
                <w:b/>
                <w:sz w:val="18"/>
              </w:rPr>
              <w:t>Gross Aggregate Revenue Requirement</w:t>
            </w:r>
          </w:p>
        </w:tc>
        <w:tc>
          <w:tcPr>
            <w:tcW w:w="1373" w:type="dxa"/>
          </w:tcPr>
          <w:p w:rsidR="007C5447" w:rsidRDefault="00F6308C">
            <w:pPr>
              <w:pStyle w:val="TableParagraph"/>
              <w:spacing w:before="117"/>
              <w:ind w:right="98"/>
              <w:rPr>
                <w:b/>
                <w:sz w:val="18"/>
              </w:rPr>
            </w:pPr>
            <w:r>
              <w:rPr>
                <w:b/>
                <w:sz w:val="18"/>
              </w:rPr>
              <w:t>4,667.49</w:t>
            </w:r>
          </w:p>
        </w:tc>
        <w:tc>
          <w:tcPr>
            <w:tcW w:w="1330" w:type="dxa"/>
          </w:tcPr>
          <w:p w:rsidR="007C5447" w:rsidRDefault="00F6308C">
            <w:pPr>
              <w:pStyle w:val="TableParagraph"/>
              <w:spacing w:before="117"/>
              <w:ind w:right="98"/>
              <w:rPr>
                <w:b/>
                <w:sz w:val="18"/>
              </w:rPr>
            </w:pPr>
            <w:r>
              <w:rPr>
                <w:b/>
                <w:sz w:val="18"/>
              </w:rPr>
              <w:t>5,430.18</w:t>
            </w:r>
          </w:p>
        </w:tc>
        <w:tc>
          <w:tcPr>
            <w:tcW w:w="1221" w:type="dxa"/>
          </w:tcPr>
          <w:p w:rsidR="007C5447" w:rsidRDefault="00F6308C">
            <w:pPr>
              <w:pStyle w:val="TableParagraph"/>
              <w:spacing w:before="117"/>
              <w:ind w:right="94"/>
              <w:rPr>
                <w:b/>
                <w:sz w:val="18"/>
              </w:rPr>
            </w:pPr>
            <w:r>
              <w:rPr>
                <w:b/>
                <w:sz w:val="18"/>
              </w:rPr>
              <w:t>4,724.10</w:t>
            </w:r>
          </w:p>
        </w:tc>
        <w:tc>
          <w:tcPr>
            <w:tcW w:w="1349" w:type="dxa"/>
          </w:tcPr>
          <w:p w:rsidR="007C5447" w:rsidRDefault="00F6308C">
            <w:pPr>
              <w:pStyle w:val="TableParagraph"/>
              <w:spacing w:before="117"/>
              <w:ind w:right="97"/>
              <w:rPr>
                <w:b/>
                <w:sz w:val="18"/>
              </w:rPr>
            </w:pPr>
            <w:r>
              <w:rPr>
                <w:b/>
                <w:sz w:val="18"/>
              </w:rPr>
              <w:t>5,171.46</w:t>
            </w:r>
          </w:p>
        </w:tc>
        <w:tc>
          <w:tcPr>
            <w:tcW w:w="1351" w:type="dxa"/>
          </w:tcPr>
          <w:p w:rsidR="007C5447" w:rsidRDefault="00F6308C">
            <w:pPr>
              <w:pStyle w:val="TableParagraph"/>
              <w:spacing w:before="117"/>
              <w:ind w:right="99"/>
              <w:rPr>
                <w:b/>
                <w:sz w:val="18"/>
              </w:rPr>
            </w:pPr>
            <w:r>
              <w:rPr>
                <w:b/>
                <w:sz w:val="18"/>
              </w:rPr>
              <w:t>6,436.08</w:t>
            </w:r>
          </w:p>
        </w:tc>
        <w:tc>
          <w:tcPr>
            <w:tcW w:w="1200" w:type="dxa"/>
          </w:tcPr>
          <w:p w:rsidR="007C5447" w:rsidRDefault="00F6308C">
            <w:pPr>
              <w:pStyle w:val="TableParagraph"/>
              <w:spacing w:before="117"/>
              <w:ind w:right="99"/>
              <w:rPr>
                <w:b/>
                <w:sz w:val="18"/>
              </w:rPr>
            </w:pPr>
            <w:r>
              <w:rPr>
                <w:b/>
                <w:sz w:val="18"/>
              </w:rPr>
              <w:t>5,225.34</w:t>
            </w:r>
          </w:p>
        </w:tc>
        <w:tc>
          <w:tcPr>
            <w:tcW w:w="1378" w:type="dxa"/>
          </w:tcPr>
          <w:p w:rsidR="007C5447" w:rsidRDefault="00F6308C">
            <w:pPr>
              <w:pStyle w:val="TableParagraph"/>
              <w:spacing w:before="117"/>
              <w:ind w:right="97"/>
              <w:rPr>
                <w:b/>
                <w:sz w:val="18"/>
              </w:rPr>
            </w:pPr>
            <w:r>
              <w:rPr>
                <w:b/>
                <w:sz w:val="18"/>
              </w:rPr>
              <w:t>5,845.07</w:t>
            </w:r>
          </w:p>
        </w:tc>
        <w:tc>
          <w:tcPr>
            <w:tcW w:w="1298" w:type="dxa"/>
          </w:tcPr>
          <w:p w:rsidR="007C5447" w:rsidRDefault="00F6308C">
            <w:pPr>
              <w:pStyle w:val="TableParagraph"/>
              <w:spacing w:before="117"/>
              <w:ind w:right="98"/>
              <w:rPr>
                <w:b/>
                <w:sz w:val="18"/>
              </w:rPr>
            </w:pPr>
            <w:r>
              <w:rPr>
                <w:b/>
                <w:sz w:val="18"/>
              </w:rPr>
              <w:t>8,271.61</w:t>
            </w:r>
          </w:p>
        </w:tc>
        <w:tc>
          <w:tcPr>
            <w:tcW w:w="1360" w:type="dxa"/>
          </w:tcPr>
          <w:p w:rsidR="007C5447" w:rsidRDefault="00F6308C">
            <w:pPr>
              <w:pStyle w:val="TableParagraph"/>
              <w:spacing w:before="117"/>
              <w:ind w:right="95"/>
              <w:rPr>
                <w:b/>
                <w:sz w:val="18"/>
              </w:rPr>
            </w:pPr>
            <w:r>
              <w:rPr>
                <w:b/>
                <w:sz w:val="18"/>
              </w:rPr>
              <w:t>6.032.08</w:t>
            </w:r>
          </w:p>
        </w:tc>
      </w:tr>
      <w:tr w:rsidR="007C5447">
        <w:trPr>
          <w:trHeight w:val="350"/>
        </w:trPr>
        <w:tc>
          <w:tcPr>
            <w:tcW w:w="595" w:type="dxa"/>
          </w:tcPr>
          <w:p w:rsidR="007C5447" w:rsidRDefault="00F6308C">
            <w:pPr>
              <w:pStyle w:val="TableParagraph"/>
              <w:spacing w:before="71"/>
              <w:ind w:left="206"/>
              <w:jc w:val="left"/>
              <w:rPr>
                <w:sz w:val="18"/>
              </w:rPr>
            </w:pPr>
            <w:r>
              <w:rPr>
                <w:sz w:val="18"/>
              </w:rPr>
              <w:t>11</w:t>
            </w:r>
          </w:p>
        </w:tc>
        <w:tc>
          <w:tcPr>
            <w:tcW w:w="2854" w:type="dxa"/>
          </w:tcPr>
          <w:p w:rsidR="007C5447" w:rsidRDefault="00F6308C">
            <w:pPr>
              <w:pStyle w:val="TableParagraph"/>
              <w:spacing w:before="71"/>
              <w:ind w:left="107"/>
              <w:jc w:val="left"/>
              <w:rPr>
                <w:sz w:val="18"/>
              </w:rPr>
            </w:pPr>
            <w:r>
              <w:rPr>
                <w:sz w:val="18"/>
              </w:rPr>
              <w:t>Less: Other Income</w:t>
            </w:r>
          </w:p>
        </w:tc>
        <w:tc>
          <w:tcPr>
            <w:tcW w:w="1373" w:type="dxa"/>
          </w:tcPr>
          <w:p w:rsidR="007C5447" w:rsidRDefault="00F6308C">
            <w:pPr>
              <w:pStyle w:val="TableParagraph"/>
              <w:spacing w:before="71"/>
              <w:ind w:right="95"/>
              <w:rPr>
                <w:sz w:val="18"/>
              </w:rPr>
            </w:pPr>
            <w:r>
              <w:rPr>
                <w:sz w:val="18"/>
              </w:rPr>
              <w:t>141.00</w:t>
            </w:r>
          </w:p>
        </w:tc>
        <w:tc>
          <w:tcPr>
            <w:tcW w:w="1330" w:type="dxa"/>
          </w:tcPr>
          <w:p w:rsidR="007C5447" w:rsidRDefault="00F6308C">
            <w:pPr>
              <w:pStyle w:val="TableParagraph"/>
              <w:spacing w:before="71"/>
              <w:ind w:right="97"/>
              <w:rPr>
                <w:sz w:val="18"/>
              </w:rPr>
            </w:pPr>
            <w:r>
              <w:rPr>
                <w:sz w:val="18"/>
              </w:rPr>
              <w:t>144.13</w:t>
            </w:r>
          </w:p>
        </w:tc>
        <w:tc>
          <w:tcPr>
            <w:tcW w:w="1221" w:type="dxa"/>
          </w:tcPr>
          <w:p w:rsidR="007C5447" w:rsidRDefault="00F6308C">
            <w:pPr>
              <w:pStyle w:val="TableParagraph"/>
              <w:spacing w:before="71"/>
              <w:ind w:right="94"/>
              <w:rPr>
                <w:sz w:val="18"/>
              </w:rPr>
            </w:pPr>
            <w:r>
              <w:rPr>
                <w:sz w:val="18"/>
              </w:rPr>
              <w:t>148.20</w:t>
            </w:r>
          </w:p>
        </w:tc>
        <w:tc>
          <w:tcPr>
            <w:tcW w:w="1349" w:type="dxa"/>
          </w:tcPr>
          <w:p w:rsidR="007C5447" w:rsidRDefault="00F6308C">
            <w:pPr>
              <w:pStyle w:val="TableParagraph"/>
              <w:spacing w:before="71"/>
              <w:ind w:right="97"/>
              <w:rPr>
                <w:sz w:val="18"/>
              </w:rPr>
            </w:pPr>
            <w:r>
              <w:rPr>
                <w:sz w:val="18"/>
              </w:rPr>
              <w:t>197.00</w:t>
            </w:r>
          </w:p>
        </w:tc>
        <w:tc>
          <w:tcPr>
            <w:tcW w:w="1351" w:type="dxa"/>
          </w:tcPr>
          <w:p w:rsidR="007C5447" w:rsidRDefault="00F6308C">
            <w:pPr>
              <w:pStyle w:val="TableParagraph"/>
              <w:spacing w:before="71"/>
              <w:ind w:right="99"/>
              <w:rPr>
                <w:sz w:val="18"/>
              </w:rPr>
            </w:pPr>
            <w:r>
              <w:rPr>
                <w:sz w:val="18"/>
              </w:rPr>
              <w:t>196.41</w:t>
            </w:r>
          </w:p>
        </w:tc>
        <w:tc>
          <w:tcPr>
            <w:tcW w:w="1200" w:type="dxa"/>
          </w:tcPr>
          <w:p w:rsidR="007C5447" w:rsidRDefault="00F6308C">
            <w:pPr>
              <w:pStyle w:val="TableParagraph"/>
              <w:spacing w:before="71"/>
              <w:ind w:right="99"/>
              <w:rPr>
                <w:sz w:val="18"/>
              </w:rPr>
            </w:pPr>
            <w:r>
              <w:rPr>
                <w:sz w:val="18"/>
              </w:rPr>
              <w:t>201.76</w:t>
            </w:r>
          </w:p>
        </w:tc>
        <w:tc>
          <w:tcPr>
            <w:tcW w:w="1378" w:type="dxa"/>
          </w:tcPr>
          <w:p w:rsidR="007C5447" w:rsidRDefault="00F6308C">
            <w:pPr>
              <w:pStyle w:val="TableParagraph"/>
              <w:spacing w:before="71"/>
              <w:ind w:right="96"/>
              <w:rPr>
                <w:sz w:val="18"/>
              </w:rPr>
            </w:pPr>
            <w:r>
              <w:rPr>
                <w:sz w:val="18"/>
              </w:rPr>
              <w:t>264.00</w:t>
            </w:r>
          </w:p>
        </w:tc>
        <w:tc>
          <w:tcPr>
            <w:tcW w:w="1298" w:type="dxa"/>
          </w:tcPr>
          <w:p w:rsidR="007C5447" w:rsidRDefault="00F6308C">
            <w:pPr>
              <w:pStyle w:val="TableParagraph"/>
              <w:spacing w:before="71"/>
              <w:ind w:right="98"/>
              <w:rPr>
                <w:sz w:val="18"/>
              </w:rPr>
            </w:pPr>
            <w:r>
              <w:rPr>
                <w:sz w:val="18"/>
              </w:rPr>
              <w:t>229.61</w:t>
            </w:r>
          </w:p>
        </w:tc>
        <w:tc>
          <w:tcPr>
            <w:tcW w:w="1360" w:type="dxa"/>
          </w:tcPr>
          <w:p w:rsidR="007C5447" w:rsidRDefault="00F6308C">
            <w:pPr>
              <w:pStyle w:val="TableParagraph"/>
              <w:spacing w:before="71"/>
              <w:ind w:right="94"/>
              <w:rPr>
                <w:sz w:val="18"/>
              </w:rPr>
            </w:pPr>
            <w:r>
              <w:rPr>
                <w:sz w:val="18"/>
              </w:rPr>
              <w:t>233.54</w:t>
            </w:r>
          </w:p>
        </w:tc>
      </w:tr>
      <w:tr w:rsidR="007C5447">
        <w:trPr>
          <w:trHeight w:val="352"/>
        </w:trPr>
        <w:tc>
          <w:tcPr>
            <w:tcW w:w="595" w:type="dxa"/>
          </w:tcPr>
          <w:p w:rsidR="007C5447" w:rsidRDefault="00F6308C">
            <w:pPr>
              <w:pStyle w:val="TableParagraph"/>
              <w:spacing w:before="71"/>
              <w:ind w:left="206"/>
              <w:jc w:val="left"/>
              <w:rPr>
                <w:sz w:val="18"/>
              </w:rPr>
            </w:pPr>
            <w:r>
              <w:rPr>
                <w:sz w:val="18"/>
              </w:rPr>
              <w:t>12</w:t>
            </w:r>
          </w:p>
        </w:tc>
        <w:tc>
          <w:tcPr>
            <w:tcW w:w="2854" w:type="dxa"/>
          </w:tcPr>
          <w:p w:rsidR="007C5447" w:rsidRDefault="00F6308C">
            <w:pPr>
              <w:pStyle w:val="TableParagraph"/>
              <w:spacing w:before="71"/>
              <w:ind w:left="107"/>
              <w:jc w:val="left"/>
              <w:rPr>
                <w:sz w:val="18"/>
              </w:rPr>
            </w:pPr>
            <w:r>
              <w:rPr>
                <w:sz w:val="18"/>
              </w:rPr>
              <w:t>Less: Non-Tariff Income</w:t>
            </w:r>
          </w:p>
        </w:tc>
        <w:tc>
          <w:tcPr>
            <w:tcW w:w="1373" w:type="dxa"/>
          </w:tcPr>
          <w:p w:rsidR="007C5447" w:rsidRDefault="00F6308C">
            <w:pPr>
              <w:pStyle w:val="TableParagraph"/>
              <w:spacing w:before="71"/>
              <w:ind w:right="99"/>
              <w:rPr>
                <w:sz w:val="18"/>
              </w:rPr>
            </w:pPr>
            <w:r>
              <w:rPr>
                <w:sz w:val="18"/>
              </w:rPr>
              <w:t>553.00</w:t>
            </w:r>
          </w:p>
        </w:tc>
        <w:tc>
          <w:tcPr>
            <w:tcW w:w="1330" w:type="dxa"/>
          </w:tcPr>
          <w:p w:rsidR="007C5447" w:rsidRDefault="00F6308C">
            <w:pPr>
              <w:pStyle w:val="TableParagraph"/>
              <w:spacing w:before="71"/>
              <w:ind w:right="97"/>
              <w:rPr>
                <w:sz w:val="18"/>
              </w:rPr>
            </w:pPr>
            <w:r>
              <w:rPr>
                <w:sz w:val="18"/>
              </w:rPr>
              <w:t>553.00</w:t>
            </w:r>
          </w:p>
        </w:tc>
        <w:tc>
          <w:tcPr>
            <w:tcW w:w="1221" w:type="dxa"/>
          </w:tcPr>
          <w:p w:rsidR="007C5447" w:rsidRDefault="00F6308C">
            <w:pPr>
              <w:pStyle w:val="TableParagraph"/>
              <w:spacing w:before="71"/>
              <w:ind w:right="94"/>
              <w:rPr>
                <w:sz w:val="18"/>
              </w:rPr>
            </w:pPr>
            <w:r>
              <w:rPr>
                <w:sz w:val="18"/>
              </w:rPr>
              <w:t>553.01</w:t>
            </w:r>
          </w:p>
        </w:tc>
        <w:tc>
          <w:tcPr>
            <w:tcW w:w="1349" w:type="dxa"/>
          </w:tcPr>
          <w:p w:rsidR="007C5447" w:rsidRDefault="00F6308C">
            <w:pPr>
              <w:pStyle w:val="TableParagraph"/>
              <w:spacing w:before="71"/>
              <w:ind w:right="97"/>
              <w:rPr>
                <w:sz w:val="18"/>
              </w:rPr>
            </w:pPr>
            <w:r>
              <w:rPr>
                <w:sz w:val="18"/>
              </w:rPr>
              <w:t>936.00</w:t>
            </w:r>
          </w:p>
        </w:tc>
        <w:tc>
          <w:tcPr>
            <w:tcW w:w="1351" w:type="dxa"/>
          </w:tcPr>
          <w:p w:rsidR="007C5447" w:rsidRDefault="00F6308C">
            <w:pPr>
              <w:pStyle w:val="TableParagraph"/>
              <w:spacing w:before="71"/>
              <w:ind w:right="99"/>
              <w:rPr>
                <w:sz w:val="18"/>
              </w:rPr>
            </w:pPr>
            <w:r>
              <w:rPr>
                <w:sz w:val="18"/>
              </w:rPr>
              <w:t>935.80</w:t>
            </w:r>
          </w:p>
        </w:tc>
        <w:tc>
          <w:tcPr>
            <w:tcW w:w="1200" w:type="dxa"/>
          </w:tcPr>
          <w:p w:rsidR="007C5447" w:rsidRDefault="00F6308C">
            <w:pPr>
              <w:pStyle w:val="TableParagraph"/>
              <w:spacing w:before="71"/>
              <w:ind w:right="99"/>
              <w:rPr>
                <w:sz w:val="18"/>
              </w:rPr>
            </w:pPr>
            <w:r>
              <w:rPr>
                <w:sz w:val="18"/>
              </w:rPr>
              <w:t>935.81</w:t>
            </w:r>
          </w:p>
        </w:tc>
        <w:tc>
          <w:tcPr>
            <w:tcW w:w="1378" w:type="dxa"/>
          </w:tcPr>
          <w:p w:rsidR="007C5447" w:rsidRDefault="00F6308C">
            <w:pPr>
              <w:pStyle w:val="TableParagraph"/>
              <w:spacing w:before="71"/>
              <w:ind w:right="96"/>
              <w:rPr>
                <w:sz w:val="18"/>
              </w:rPr>
            </w:pPr>
            <w:r>
              <w:rPr>
                <w:sz w:val="18"/>
              </w:rPr>
              <w:t>822.00</w:t>
            </w:r>
          </w:p>
        </w:tc>
        <w:tc>
          <w:tcPr>
            <w:tcW w:w="1298" w:type="dxa"/>
          </w:tcPr>
          <w:p w:rsidR="007C5447" w:rsidRDefault="00F6308C">
            <w:pPr>
              <w:pStyle w:val="TableParagraph"/>
              <w:spacing w:before="71"/>
              <w:ind w:right="98"/>
              <w:rPr>
                <w:sz w:val="18"/>
              </w:rPr>
            </w:pPr>
            <w:r>
              <w:rPr>
                <w:sz w:val="18"/>
              </w:rPr>
              <w:t>822.16</w:t>
            </w:r>
          </w:p>
        </w:tc>
        <w:tc>
          <w:tcPr>
            <w:tcW w:w="1360" w:type="dxa"/>
          </w:tcPr>
          <w:p w:rsidR="007C5447" w:rsidRDefault="00F6308C">
            <w:pPr>
              <w:pStyle w:val="TableParagraph"/>
              <w:spacing w:before="71"/>
              <w:ind w:right="95"/>
              <w:rPr>
                <w:sz w:val="18"/>
              </w:rPr>
            </w:pPr>
            <w:r>
              <w:rPr>
                <w:sz w:val="18"/>
              </w:rPr>
              <w:t>822.32</w:t>
            </w:r>
          </w:p>
        </w:tc>
      </w:tr>
      <w:tr w:rsidR="007C5447">
        <w:trPr>
          <w:trHeight w:val="443"/>
        </w:trPr>
        <w:tc>
          <w:tcPr>
            <w:tcW w:w="595" w:type="dxa"/>
          </w:tcPr>
          <w:p w:rsidR="007C5447" w:rsidRDefault="00F6308C">
            <w:pPr>
              <w:pStyle w:val="TableParagraph"/>
              <w:spacing w:before="117"/>
              <w:ind w:left="206"/>
              <w:jc w:val="left"/>
              <w:rPr>
                <w:sz w:val="18"/>
              </w:rPr>
            </w:pPr>
            <w:r>
              <w:rPr>
                <w:sz w:val="18"/>
              </w:rPr>
              <w:t>13</w:t>
            </w:r>
          </w:p>
        </w:tc>
        <w:tc>
          <w:tcPr>
            <w:tcW w:w="2854" w:type="dxa"/>
          </w:tcPr>
          <w:p w:rsidR="007C5447" w:rsidRDefault="00F6308C">
            <w:pPr>
              <w:pStyle w:val="TableParagraph"/>
              <w:spacing w:before="17" w:line="206" w:lineRule="exact"/>
              <w:ind w:left="107" w:right="542"/>
              <w:jc w:val="left"/>
              <w:rPr>
                <w:sz w:val="18"/>
              </w:rPr>
            </w:pPr>
            <w:r>
              <w:rPr>
                <w:sz w:val="18"/>
              </w:rPr>
              <w:t>Add: Net Prior Period Credit / Income</w:t>
            </w:r>
          </w:p>
        </w:tc>
        <w:tc>
          <w:tcPr>
            <w:tcW w:w="1373" w:type="dxa"/>
          </w:tcPr>
          <w:p w:rsidR="007C5447" w:rsidRDefault="00F6308C">
            <w:pPr>
              <w:pStyle w:val="TableParagraph"/>
              <w:spacing w:before="117"/>
              <w:ind w:right="96"/>
              <w:rPr>
                <w:sz w:val="18"/>
              </w:rPr>
            </w:pPr>
            <w:r>
              <w:rPr>
                <w:w w:val="99"/>
                <w:sz w:val="18"/>
              </w:rPr>
              <w:t>-</w:t>
            </w:r>
          </w:p>
        </w:tc>
        <w:tc>
          <w:tcPr>
            <w:tcW w:w="1330" w:type="dxa"/>
          </w:tcPr>
          <w:p w:rsidR="007C5447" w:rsidRDefault="00F6308C">
            <w:pPr>
              <w:pStyle w:val="TableParagraph"/>
              <w:spacing w:before="117"/>
              <w:ind w:right="97"/>
              <w:rPr>
                <w:sz w:val="18"/>
              </w:rPr>
            </w:pPr>
            <w:r>
              <w:rPr>
                <w:sz w:val="18"/>
              </w:rPr>
              <w:t>583.84</w:t>
            </w:r>
          </w:p>
        </w:tc>
        <w:tc>
          <w:tcPr>
            <w:tcW w:w="1221" w:type="dxa"/>
          </w:tcPr>
          <w:p w:rsidR="007C5447" w:rsidRDefault="00F6308C">
            <w:pPr>
              <w:pStyle w:val="TableParagraph"/>
              <w:spacing w:before="117"/>
              <w:ind w:right="91"/>
              <w:rPr>
                <w:sz w:val="18"/>
              </w:rPr>
            </w:pPr>
            <w:r>
              <w:rPr>
                <w:sz w:val="18"/>
              </w:rPr>
              <w:t>(859.10)</w:t>
            </w:r>
          </w:p>
        </w:tc>
        <w:tc>
          <w:tcPr>
            <w:tcW w:w="1349" w:type="dxa"/>
          </w:tcPr>
          <w:p w:rsidR="007C5447" w:rsidRDefault="00F6308C">
            <w:pPr>
              <w:pStyle w:val="TableParagraph"/>
              <w:spacing w:before="117"/>
              <w:ind w:right="95"/>
              <w:rPr>
                <w:sz w:val="18"/>
              </w:rPr>
            </w:pPr>
            <w:r>
              <w:rPr>
                <w:w w:val="99"/>
                <w:sz w:val="18"/>
              </w:rPr>
              <w:t>-</w:t>
            </w:r>
          </w:p>
        </w:tc>
        <w:tc>
          <w:tcPr>
            <w:tcW w:w="1351" w:type="dxa"/>
          </w:tcPr>
          <w:p w:rsidR="007C5447" w:rsidRDefault="00F6308C">
            <w:pPr>
              <w:pStyle w:val="TableParagraph"/>
              <w:spacing w:before="117"/>
              <w:ind w:right="99"/>
              <w:rPr>
                <w:sz w:val="18"/>
              </w:rPr>
            </w:pPr>
            <w:r>
              <w:rPr>
                <w:sz w:val="18"/>
              </w:rPr>
              <w:t>1,695.93</w:t>
            </w:r>
          </w:p>
        </w:tc>
        <w:tc>
          <w:tcPr>
            <w:tcW w:w="1200" w:type="dxa"/>
          </w:tcPr>
          <w:p w:rsidR="007C5447" w:rsidRDefault="00F6308C">
            <w:pPr>
              <w:pStyle w:val="TableParagraph"/>
              <w:spacing w:before="117"/>
              <w:ind w:right="96"/>
              <w:rPr>
                <w:sz w:val="18"/>
              </w:rPr>
            </w:pPr>
            <w:r>
              <w:rPr>
                <w:sz w:val="18"/>
              </w:rPr>
              <w:t>81.54</w:t>
            </w:r>
          </w:p>
        </w:tc>
        <w:tc>
          <w:tcPr>
            <w:tcW w:w="1378" w:type="dxa"/>
          </w:tcPr>
          <w:p w:rsidR="007C5447" w:rsidRDefault="00F6308C">
            <w:pPr>
              <w:pStyle w:val="TableParagraph"/>
              <w:spacing w:before="117"/>
              <w:ind w:right="94"/>
              <w:rPr>
                <w:sz w:val="18"/>
              </w:rPr>
            </w:pPr>
            <w:r>
              <w:rPr>
                <w:w w:val="99"/>
                <w:sz w:val="18"/>
              </w:rPr>
              <w:t>-</w:t>
            </w:r>
          </w:p>
        </w:tc>
        <w:tc>
          <w:tcPr>
            <w:tcW w:w="1298" w:type="dxa"/>
          </w:tcPr>
          <w:p w:rsidR="007C5447" w:rsidRDefault="00F6308C">
            <w:pPr>
              <w:pStyle w:val="TableParagraph"/>
              <w:spacing w:before="117"/>
              <w:ind w:right="95"/>
              <w:rPr>
                <w:sz w:val="18"/>
              </w:rPr>
            </w:pPr>
            <w:r>
              <w:rPr>
                <w:sz w:val="18"/>
              </w:rPr>
              <w:t>(284.26)</w:t>
            </w:r>
          </w:p>
        </w:tc>
        <w:tc>
          <w:tcPr>
            <w:tcW w:w="1360" w:type="dxa"/>
          </w:tcPr>
          <w:p w:rsidR="007C5447" w:rsidRDefault="00F6308C">
            <w:pPr>
              <w:pStyle w:val="TableParagraph"/>
              <w:spacing w:before="117"/>
              <w:ind w:right="91"/>
              <w:rPr>
                <w:sz w:val="18"/>
              </w:rPr>
            </w:pPr>
            <w:r>
              <w:rPr>
                <w:sz w:val="18"/>
              </w:rPr>
              <w:t>(52.84)</w:t>
            </w:r>
          </w:p>
        </w:tc>
      </w:tr>
      <w:tr w:rsidR="007C5447">
        <w:trPr>
          <w:trHeight w:val="444"/>
        </w:trPr>
        <w:tc>
          <w:tcPr>
            <w:tcW w:w="595" w:type="dxa"/>
          </w:tcPr>
          <w:p w:rsidR="007C5447" w:rsidRDefault="00F6308C">
            <w:pPr>
              <w:pStyle w:val="TableParagraph"/>
              <w:spacing w:before="118"/>
              <w:ind w:left="206"/>
              <w:jc w:val="left"/>
              <w:rPr>
                <w:sz w:val="18"/>
              </w:rPr>
            </w:pPr>
            <w:r>
              <w:rPr>
                <w:sz w:val="18"/>
              </w:rPr>
              <w:t>14</w:t>
            </w:r>
          </w:p>
        </w:tc>
        <w:tc>
          <w:tcPr>
            <w:tcW w:w="2854" w:type="dxa"/>
          </w:tcPr>
          <w:p w:rsidR="007C5447" w:rsidRDefault="00F6308C">
            <w:pPr>
              <w:pStyle w:val="TableParagraph"/>
              <w:spacing w:before="14" w:line="200" w:lineRule="atLeast"/>
              <w:ind w:left="107" w:right="468"/>
              <w:jc w:val="left"/>
              <w:rPr>
                <w:sz w:val="18"/>
              </w:rPr>
            </w:pPr>
            <w:r>
              <w:rPr>
                <w:sz w:val="18"/>
              </w:rPr>
              <w:t>Less: revenue earned from trial stage</w:t>
            </w:r>
          </w:p>
        </w:tc>
        <w:tc>
          <w:tcPr>
            <w:tcW w:w="1373" w:type="dxa"/>
          </w:tcPr>
          <w:p w:rsidR="007C5447" w:rsidRDefault="007C5447">
            <w:pPr>
              <w:pStyle w:val="TableParagraph"/>
              <w:jc w:val="left"/>
              <w:rPr>
                <w:sz w:val="18"/>
              </w:rPr>
            </w:pPr>
          </w:p>
        </w:tc>
        <w:tc>
          <w:tcPr>
            <w:tcW w:w="1330" w:type="dxa"/>
          </w:tcPr>
          <w:p w:rsidR="007C5447" w:rsidRDefault="007C5447">
            <w:pPr>
              <w:pStyle w:val="TableParagraph"/>
              <w:jc w:val="left"/>
              <w:rPr>
                <w:sz w:val="18"/>
              </w:rPr>
            </w:pPr>
          </w:p>
        </w:tc>
        <w:tc>
          <w:tcPr>
            <w:tcW w:w="1221" w:type="dxa"/>
          </w:tcPr>
          <w:p w:rsidR="007C5447" w:rsidRDefault="007C5447">
            <w:pPr>
              <w:pStyle w:val="TableParagraph"/>
              <w:jc w:val="left"/>
              <w:rPr>
                <w:sz w:val="18"/>
              </w:rPr>
            </w:pPr>
          </w:p>
        </w:tc>
        <w:tc>
          <w:tcPr>
            <w:tcW w:w="1349" w:type="dxa"/>
          </w:tcPr>
          <w:p w:rsidR="007C5447" w:rsidRDefault="007C5447">
            <w:pPr>
              <w:pStyle w:val="TableParagraph"/>
              <w:jc w:val="left"/>
              <w:rPr>
                <w:sz w:val="18"/>
              </w:rPr>
            </w:pPr>
          </w:p>
        </w:tc>
        <w:tc>
          <w:tcPr>
            <w:tcW w:w="1351" w:type="dxa"/>
          </w:tcPr>
          <w:p w:rsidR="007C5447" w:rsidRDefault="007C5447">
            <w:pPr>
              <w:pStyle w:val="TableParagraph"/>
              <w:jc w:val="left"/>
              <w:rPr>
                <w:sz w:val="18"/>
              </w:rPr>
            </w:pPr>
          </w:p>
        </w:tc>
        <w:tc>
          <w:tcPr>
            <w:tcW w:w="1200" w:type="dxa"/>
          </w:tcPr>
          <w:p w:rsidR="007C5447" w:rsidRDefault="007C5447">
            <w:pPr>
              <w:pStyle w:val="TableParagraph"/>
              <w:jc w:val="left"/>
              <w:rPr>
                <w:sz w:val="18"/>
              </w:rPr>
            </w:pPr>
          </w:p>
        </w:tc>
        <w:tc>
          <w:tcPr>
            <w:tcW w:w="1378" w:type="dxa"/>
          </w:tcPr>
          <w:p w:rsidR="007C5447" w:rsidRDefault="007C5447">
            <w:pPr>
              <w:pStyle w:val="TableParagraph"/>
              <w:jc w:val="left"/>
              <w:rPr>
                <w:sz w:val="18"/>
              </w:rPr>
            </w:pPr>
          </w:p>
        </w:tc>
        <w:tc>
          <w:tcPr>
            <w:tcW w:w="1298" w:type="dxa"/>
          </w:tcPr>
          <w:p w:rsidR="007C5447" w:rsidRDefault="00F6308C">
            <w:pPr>
              <w:pStyle w:val="TableParagraph"/>
              <w:spacing w:before="118"/>
              <w:ind w:right="95"/>
              <w:rPr>
                <w:sz w:val="18"/>
              </w:rPr>
            </w:pPr>
            <w:r>
              <w:rPr>
                <w:sz w:val="18"/>
              </w:rPr>
              <w:t>(1,042.80)</w:t>
            </w:r>
          </w:p>
        </w:tc>
        <w:tc>
          <w:tcPr>
            <w:tcW w:w="1360" w:type="dxa"/>
          </w:tcPr>
          <w:p w:rsidR="007C5447" w:rsidRDefault="007C5447">
            <w:pPr>
              <w:pStyle w:val="TableParagraph"/>
              <w:jc w:val="left"/>
              <w:rPr>
                <w:sz w:val="18"/>
              </w:rPr>
            </w:pPr>
          </w:p>
        </w:tc>
      </w:tr>
      <w:tr w:rsidR="007C5447">
        <w:trPr>
          <w:trHeight w:val="443"/>
        </w:trPr>
        <w:tc>
          <w:tcPr>
            <w:tcW w:w="595" w:type="dxa"/>
          </w:tcPr>
          <w:p w:rsidR="007C5447" w:rsidRDefault="00F6308C">
            <w:pPr>
              <w:pStyle w:val="TableParagraph"/>
              <w:spacing w:before="117"/>
              <w:ind w:left="206"/>
              <w:jc w:val="left"/>
              <w:rPr>
                <w:b/>
                <w:sz w:val="18"/>
              </w:rPr>
            </w:pPr>
            <w:r>
              <w:rPr>
                <w:b/>
                <w:sz w:val="18"/>
              </w:rPr>
              <w:t>15</w:t>
            </w:r>
          </w:p>
        </w:tc>
        <w:tc>
          <w:tcPr>
            <w:tcW w:w="2854" w:type="dxa"/>
          </w:tcPr>
          <w:p w:rsidR="007C5447" w:rsidRDefault="00F6308C">
            <w:pPr>
              <w:pStyle w:val="TableParagraph"/>
              <w:spacing w:before="17" w:line="206" w:lineRule="exact"/>
              <w:ind w:left="107" w:right="907"/>
              <w:jc w:val="left"/>
              <w:rPr>
                <w:b/>
                <w:sz w:val="18"/>
              </w:rPr>
            </w:pPr>
            <w:r>
              <w:rPr>
                <w:b/>
                <w:sz w:val="18"/>
              </w:rPr>
              <w:t>Net Aggregate Revenue Requirement</w:t>
            </w:r>
          </w:p>
        </w:tc>
        <w:tc>
          <w:tcPr>
            <w:tcW w:w="1373" w:type="dxa"/>
          </w:tcPr>
          <w:p w:rsidR="007C5447" w:rsidRDefault="00F6308C">
            <w:pPr>
              <w:pStyle w:val="TableParagraph"/>
              <w:spacing w:before="117"/>
              <w:ind w:right="98"/>
              <w:rPr>
                <w:b/>
                <w:sz w:val="18"/>
              </w:rPr>
            </w:pPr>
            <w:r>
              <w:rPr>
                <w:b/>
                <w:sz w:val="18"/>
              </w:rPr>
              <w:t>3,973.49</w:t>
            </w:r>
          </w:p>
        </w:tc>
        <w:tc>
          <w:tcPr>
            <w:tcW w:w="1330" w:type="dxa"/>
          </w:tcPr>
          <w:p w:rsidR="007C5447" w:rsidRDefault="00F6308C">
            <w:pPr>
              <w:pStyle w:val="TableParagraph"/>
              <w:spacing w:before="117"/>
              <w:ind w:right="98"/>
              <w:rPr>
                <w:b/>
                <w:sz w:val="18"/>
              </w:rPr>
            </w:pPr>
            <w:r>
              <w:rPr>
                <w:b/>
                <w:sz w:val="18"/>
              </w:rPr>
              <w:t>5,316.88</w:t>
            </w:r>
          </w:p>
        </w:tc>
        <w:tc>
          <w:tcPr>
            <w:tcW w:w="1221" w:type="dxa"/>
          </w:tcPr>
          <w:p w:rsidR="007C5447" w:rsidRDefault="00F6308C">
            <w:pPr>
              <w:pStyle w:val="TableParagraph"/>
              <w:spacing w:before="117"/>
              <w:ind w:right="94"/>
              <w:rPr>
                <w:b/>
                <w:sz w:val="18"/>
              </w:rPr>
            </w:pPr>
            <w:r>
              <w:rPr>
                <w:b/>
                <w:sz w:val="18"/>
              </w:rPr>
              <w:t>3,163.79</w:t>
            </w:r>
          </w:p>
        </w:tc>
        <w:tc>
          <w:tcPr>
            <w:tcW w:w="1349" w:type="dxa"/>
          </w:tcPr>
          <w:p w:rsidR="007C5447" w:rsidRDefault="00F6308C">
            <w:pPr>
              <w:pStyle w:val="TableParagraph"/>
              <w:spacing w:before="117"/>
              <w:ind w:right="97"/>
              <w:rPr>
                <w:b/>
                <w:sz w:val="18"/>
              </w:rPr>
            </w:pPr>
            <w:r>
              <w:rPr>
                <w:b/>
                <w:sz w:val="18"/>
              </w:rPr>
              <w:t>4,038.46</w:t>
            </w:r>
          </w:p>
        </w:tc>
        <w:tc>
          <w:tcPr>
            <w:tcW w:w="1351" w:type="dxa"/>
          </w:tcPr>
          <w:p w:rsidR="007C5447" w:rsidRDefault="00F6308C">
            <w:pPr>
              <w:pStyle w:val="TableParagraph"/>
              <w:spacing w:before="117"/>
              <w:ind w:right="99"/>
              <w:rPr>
                <w:b/>
                <w:sz w:val="18"/>
              </w:rPr>
            </w:pPr>
            <w:r>
              <w:rPr>
                <w:b/>
                <w:sz w:val="18"/>
              </w:rPr>
              <w:t>6,999.80</w:t>
            </w:r>
          </w:p>
        </w:tc>
        <w:tc>
          <w:tcPr>
            <w:tcW w:w="1200" w:type="dxa"/>
          </w:tcPr>
          <w:p w:rsidR="007C5447" w:rsidRDefault="00F6308C">
            <w:pPr>
              <w:pStyle w:val="TableParagraph"/>
              <w:spacing w:before="117"/>
              <w:ind w:right="99"/>
              <w:rPr>
                <w:b/>
                <w:sz w:val="18"/>
              </w:rPr>
            </w:pPr>
            <w:r>
              <w:rPr>
                <w:b/>
                <w:sz w:val="18"/>
              </w:rPr>
              <w:t>4,169.32</w:t>
            </w:r>
          </w:p>
        </w:tc>
        <w:tc>
          <w:tcPr>
            <w:tcW w:w="1378" w:type="dxa"/>
          </w:tcPr>
          <w:p w:rsidR="007C5447" w:rsidRDefault="00F6308C">
            <w:pPr>
              <w:pStyle w:val="TableParagraph"/>
              <w:spacing w:before="117"/>
              <w:ind w:right="97"/>
              <w:rPr>
                <w:b/>
                <w:sz w:val="18"/>
              </w:rPr>
            </w:pPr>
            <w:r>
              <w:rPr>
                <w:b/>
                <w:sz w:val="18"/>
              </w:rPr>
              <w:t>4,759.07</w:t>
            </w:r>
          </w:p>
        </w:tc>
        <w:tc>
          <w:tcPr>
            <w:tcW w:w="1298" w:type="dxa"/>
          </w:tcPr>
          <w:p w:rsidR="007C5447" w:rsidRDefault="00F6308C">
            <w:pPr>
              <w:pStyle w:val="TableParagraph"/>
              <w:spacing w:before="117"/>
              <w:ind w:right="98"/>
              <w:rPr>
                <w:b/>
                <w:sz w:val="18"/>
              </w:rPr>
            </w:pPr>
            <w:r>
              <w:rPr>
                <w:b/>
                <w:sz w:val="18"/>
              </w:rPr>
              <w:t>5,892.78</w:t>
            </w:r>
          </w:p>
        </w:tc>
        <w:tc>
          <w:tcPr>
            <w:tcW w:w="1360" w:type="dxa"/>
          </w:tcPr>
          <w:p w:rsidR="007C5447" w:rsidRDefault="00F6308C">
            <w:pPr>
              <w:pStyle w:val="TableParagraph"/>
              <w:spacing w:before="117"/>
              <w:ind w:right="95"/>
              <w:rPr>
                <w:b/>
                <w:sz w:val="18"/>
              </w:rPr>
            </w:pPr>
            <w:r>
              <w:rPr>
                <w:b/>
                <w:sz w:val="18"/>
              </w:rPr>
              <w:t>4,923.38</w:t>
            </w:r>
          </w:p>
        </w:tc>
      </w:tr>
    </w:tbl>
    <w:p w:rsidR="007C5447" w:rsidRDefault="007C5447">
      <w:pPr>
        <w:rPr>
          <w:sz w:val="18"/>
        </w:rPr>
        <w:sectPr w:rsidR="007C5447">
          <w:footerReference w:type="default" r:id="rId28"/>
          <w:pgSz w:w="16840" w:h="11910" w:orient="landscape"/>
          <w:pgMar w:top="1100" w:right="960" w:bottom="1240" w:left="340" w:header="0" w:footer="1057" w:gutter="0"/>
          <w:pgNumType w:start="130"/>
          <w:cols w:space="720"/>
        </w:sectPr>
      </w:pPr>
    </w:p>
    <w:p w:rsidR="007C5447" w:rsidRDefault="007C5447">
      <w:pPr>
        <w:pStyle w:val="BodyText"/>
        <w:spacing w:before="2"/>
        <w:rPr>
          <w:b/>
          <w:sz w:val="21"/>
        </w:rPr>
      </w:pPr>
    </w:p>
    <w:p w:rsidR="007C5447" w:rsidRDefault="00F6308C">
      <w:pPr>
        <w:spacing w:before="91"/>
        <w:ind w:left="1926"/>
        <w:rPr>
          <w:b/>
        </w:rPr>
      </w:pPr>
      <w:r>
        <w:rPr>
          <w:b/>
        </w:rPr>
        <w:t>Table 3-44: Fixed Cost summary for Distribution function from FY 2014-15 to FY 2015-16 as approved by Commission (Rs. Crore)</w:t>
      </w:r>
    </w:p>
    <w:p w:rsidR="007C5447" w:rsidRDefault="007C5447">
      <w:pPr>
        <w:pStyle w:val="BodyText"/>
        <w:spacing w:before="11"/>
        <w:rPr>
          <w:b/>
          <w:sz w:val="16"/>
        </w:rPr>
      </w:pPr>
    </w:p>
    <w:tbl>
      <w:tblPr>
        <w:tblW w:w="0" w:type="auto"/>
        <w:tblInd w:w="1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6"/>
        <w:gridCol w:w="3351"/>
        <w:gridCol w:w="1608"/>
        <w:gridCol w:w="1560"/>
        <w:gridCol w:w="1435"/>
        <w:gridCol w:w="1581"/>
        <w:gridCol w:w="1582"/>
        <w:gridCol w:w="1409"/>
      </w:tblGrid>
      <w:tr w:rsidR="007C5447">
        <w:trPr>
          <w:trHeight w:val="337"/>
        </w:trPr>
        <w:tc>
          <w:tcPr>
            <w:tcW w:w="696" w:type="dxa"/>
            <w:vMerge w:val="restart"/>
            <w:shd w:val="clear" w:color="auto" w:fill="FBD4B4"/>
          </w:tcPr>
          <w:p w:rsidR="007C5447" w:rsidRDefault="007C5447">
            <w:pPr>
              <w:pStyle w:val="TableParagraph"/>
              <w:spacing w:before="5"/>
              <w:jc w:val="left"/>
              <w:rPr>
                <w:b/>
                <w:sz w:val="25"/>
              </w:rPr>
            </w:pPr>
          </w:p>
          <w:p w:rsidR="007C5447" w:rsidRDefault="00F6308C">
            <w:pPr>
              <w:pStyle w:val="TableParagraph"/>
              <w:ind w:left="89" w:right="80"/>
              <w:jc w:val="center"/>
              <w:rPr>
                <w:b/>
                <w:sz w:val="18"/>
              </w:rPr>
            </w:pPr>
            <w:r>
              <w:rPr>
                <w:b/>
                <w:sz w:val="18"/>
              </w:rPr>
              <w:t>Sl.</w:t>
            </w:r>
          </w:p>
        </w:tc>
        <w:tc>
          <w:tcPr>
            <w:tcW w:w="3351" w:type="dxa"/>
            <w:vMerge w:val="restart"/>
            <w:shd w:val="clear" w:color="auto" w:fill="F7C9AC"/>
          </w:tcPr>
          <w:p w:rsidR="007C5447" w:rsidRDefault="007C5447">
            <w:pPr>
              <w:pStyle w:val="TableParagraph"/>
              <w:spacing w:before="5"/>
              <w:jc w:val="left"/>
              <w:rPr>
                <w:b/>
                <w:sz w:val="25"/>
              </w:rPr>
            </w:pPr>
          </w:p>
          <w:p w:rsidR="007C5447" w:rsidRDefault="00F6308C">
            <w:pPr>
              <w:pStyle w:val="TableParagraph"/>
              <w:ind w:left="1388" w:right="1383"/>
              <w:jc w:val="center"/>
              <w:rPr>
                <w:b/>
                <w:sz w:val="18"/>
              </w:rPr>
            </w:pPr>
            <w:r>
              <w:rPr>
                <w:b/>
                <w:sz w:val="18"/>
              </w:rPr>
              <w:t>Details</w:t>
            </w:r>
          </w:p>
        </w:tc>
        <w:tc>
          <w:tcPr>
            <w:tcW w:w="4603" w:type="dxa"/>
            <w:gridSpan w:val="3"/>
            <w:shd w:val="clear" w:color="auto" w:fill="F7C9AC"/>
          </w:tcPr>
          <w:p w:rsidR="007C5447" w:rsidRDefault="00F6308C">
            <w:pPr>
              <w:pStyle w:val="TableParagraph"/>
              <w:spacing w:before="67"/>
              <w:ind w:left="1839" w:right="1829"/>
              <w:jc w:val="center"/>
              <w:rPr>
                <w:b/>
                <w:sz w:val="18"/>
              </w:rPr>
            </w:pPr>
            <w:r>
              <w:rPr>
                <w:b/>
                <w:sz w:val="18"/>
              </w:rPr>
              <w:t>FY 2014-15</w:t>
            </w:r>
          </w:p>
        </w:tc>
        <w:tc>
          <w:tcPr>
            <w:tcW w:w="4572" w:type="dxa"/>
            <w:gridSpan w:val="3"/>
            <w:shd w:val="clear" w:color="auto" w:fill="F7C9AC"/>
          </w:tcPr>
          <w:p w:rsidR="007C5447" w:rsidRDefault="00F6308C">
            <w:pPr>
              <w:pStyle w:val="TableParagraph"/>
              <w:spacing w:before="67"/>
              <w:ind w:left="1825" w:right="1811"/>
              <w:jc w:val="center"/>
              <w:rPr>
                <w:b/>
                <w:sz w:val="18"/>
              </w:rPr>
            </w:pPr>
            <w:r>
              <w:rPr>
                <w:b/>
                <w:sz w:val="18"/>
              </w:rPr>
              <w:t>FY 2015-16</w:t>
            </w:r>
          </w:p>
        </w:tc>
      </w:tr>
      <w:tr w:rsidR="007C5447">
        <w:trPr>
          <w:trHeight w:val="446"/>
        </w:trPr>
        <w:tc>
          <w:tcPr>
            <w:tcW w:w="696" w:type="dxa"/>
            <w:vMerge/>
            <w:tcBorders>
              <w:top w:val="nil"/>
            </w:tcBorders>
            <w:shd w:val="clear" w:color="auto" w:fill="FBD4B4"/>
          </w:tcPr>
          <w:p w:rsidR="007C5447" w:rsidRDefault="007C5447">
            <w:pPr>
              <w:rPr>
                <w:sz w:val="2"/>
                <w:szCs w:val="2"/>
              </w:rPr>
            </w:pPr>
          </w:p>
        </w:tc>
        <w:tc>
          <w:tcPr>
            <w:tcW w:w="3351" w:type="dxa"/>
            <w:vMerge/>
            <w:tcBorders>
              <w:top w:val="nil"/>
            </w:tcBorders>
            <w:shd w:val="clear" w:color="auto" w:fill="F7C9AC"/>
          </w:tcPr>
          <w:p w:rsidR="007C5447" w:rsidRDefault="007C5447">
            <w:pPr>
              <w:rPr>
                <w:sz w:val="2"/>
                <w:szCs w:val="2"/>
              </w:rPr>
            </w:pPr>
          </w:p>
        </w:tc>
        <w:tc>
          <w:tcPr>
            <w:tcW w:w="1608" w:type="dxa"/>
            <w:shd w:val="clear" w:color="auto" w:fill="F7C9AC"/>
          </w:tcPr>
          <w:p w:rsidR="007C5447" w:rsidRDefault="00F6308C">
            <w:pPr>
              <w:pStyle w:val="TableParagraph"/>
              <w:spacing w:before="119"/>
              <w:ind w:left="345"/>
              <w:jc w:val="left"/>
              <w:rPr>
                <w:b/>
                <w:sz w:val="18"/>
              </w:rPr>
            </w:pPr>
            <w:r>
              <w:rPr>
                <w:b/>
                <w:sz w:val="18"/>
              </w:rPr>
              <w:t>SMT Order</w:t>
            </w:r>
          </w:p>
        </w:tc>
        <w:tc>
          <w:tcPr>
            <w:tcW w:w="1560" w:type="dxa"/>
            <w:shd w:val="clear" w:color="auto" w:fill="F7C9AC"/>
          </w:tcPr>
          <w:p w:rsidR="007C5447" w:rsidRDefault="00F6308C">
            <w:pPr>
              <w:pStyle w:val="TableParagraph"/>
              <w:spacing w:before="119"/>
              <w:ind w:left="259"/>
              <w:jc w:val="left"/>
              <w:rPr>
                <w:b/>
                <w:sz w:val="18"/>
              </w:rPr>
            </w:pPr>
            <w:r>
              <w:rPr>
                <w:b/>
                <w:sz w:val="18"/>
              </w:rPr>
              <w:t>TANGEDCO</w:t>
            </w:r>
          </w:p>
        </w:tc>
        <w:tc>
          <w:tcPr>
            <w:tcW w:w="1435" w:type="dxa"/>
            <w:shd w:val="clear" w:color="auto" w:fill="F7C9AC"/>
          </w:tcPr>
          <w:p w:rsidR="007C5447" w:rsidRDefault="00F6308C">
            <w:pPr>
              <w:pStyle w:val="TableParagraph"/>
              <w:spacing w:before="20" w:line="206" w:lineRule="exact"/>
              <w:ind w:left="435" w:right="95" w:hanging="310"/>
              <w:jc w:val="left"/>
              <w:rPr>
                <w:b/>
                <w:sz w:val="18"/>
              </w:rPr>
            </w:pPr>
            <w:r>
              <w:rPr>
                <w:b/>
                <w:sz w:val="18"/>
              </w:rPr>
              <w:t>Approved after true up</w:t>
            </w:r>
          </w:p>
        </w:tc>
        <w:tc>
          <w:tcPr>
            <w:tcW w:w="1581" w:type="dxa"/>
            <w:shd w:val="clear" w:color="auto" w:fill="F7C9AC"/>
          </w:tcPr>
          <w:p w:rsidR="007C5447" w:rsidRDefault="00F6308C">
            <w:pPr>
              <w:pStyle w:val="TableParagraph"/>
              <w:spacing w:before="119"/>
              <w:ind w:left="456"/>
              <w:jc w:val="left"/>
              <w:rPr>
                <w:b/>
                <w:sz w:val="18"/>
              </w:rPr>
            </w:pPr>
            <w:r>
              <w:rPr>
                <w:b/>
                <w:sz w:val="18"/>
              </w:rPr>
              <w:t>TO 2013</w:t>
            </w:r>
          </w:p>
        </w:tc>
        <w:tc>
          <w:tcPr>
            <w:tcW w:w="1582" w:type="dxa"/>
            <w:shd w:val="clear" w:color="auto" w:fill="F7C9AC"/>
          </w:tcPr>
          <w:p w:rsidR="007C5447" w:rsidRDefault="00F6308C">
            <w:pPr>
              <w:pStyle w:val="TableParagraph"/>
              <w:spacing w:before="119"/>
              <w:ind w:left="272"/>
              <w:jc w:val="left"/>
              <w:rPr>
                <w:b/>
                <w:sz w:val="18"/>
              </w:rPr>
            </w:pPr>
            <w:r>
              <w:rPr>
                <w:b/>
                <w:sz w:val="18"/>
              </w:rPr>
              <w:t>TANGEDCO</w:t>
            </w:r>
          </w:p>
        </w:tc>
        <w:tc>
          <w:tcPr>
            <w:tcW w:w="1409" w:type="dxa"/>
            <w:shd w:val="clear" w:color="auto" w:fill="F7C9AC"/>
          </w:tcPr>
          <w:p w:rsidR="007C5447" w:rsidRDefault="00F6308C">
            <w:pPr>
              <w:pStyle w:val="TableParagraph"/>
              <w:spacing w:before="20" w:line="206" w:lineRule="exact"/>
              <w:ind w:left="424" w:right="80" w:hanging="310"/>
              <w:jc w:val="left"/>
              <w:rPr>
                <w:b/>
                <w:sz w:val="18"/>
              </w:rPr>
            </w:pPr>
            <w:r>
              <w:rPr>
                <w:b/>
                <w:sz w:val="18"/>
              </w:rPr>
              <w:t>Approved after true up</w:t>
            </w:r>
          </w:p>
        </w:tc>
      </w:tr>
      <w:tr w:rsidR="007C5447">
        <w:trPr>
          <w:trHeight w:val="337"/>
        </w:trPr>
        <w:tc>
          <w:tcPr>
            <w:tcW w:w="696" w:type="dxa"/>
          </w:tcPr>
          <w:p w:rsidR="007C5447" w:rsidRDefault="00F6308C">
            <w:pPr>
              <w:pStyle w:val="TableParagraph"/>
              <w:spacing w:before="64"/>
              <w:ind w:left="9"/>
              <w:jc w:val="center"/>
              <w:rPr>
                <w:sz w:val="18"/>
              </w:rPr>
            </w:pPr>
            <w:r>
              <w:rPr>
                <w:sz w:val="18"/>
              </w:rPr>
              <w:t>1</w:t>
            </w:r>
          </w:p>
        </w:tc>
        <w:tc>
          <w:tcPr>
            <w:tcW w:w="3351" w:type="dxa"/>
          </w:tcPr>
          <w:p w:rsidR="007C5447" w:rsidRDefault="00F6308C">
            <w:pPr>
              <w:pStyle w:val="TableParagraph"/>
              <w:spacing w:before="64"/>
              <w:ind w:left="108"/>
              <w:jc w:val="left"/>
              <w:rPr>
                <w:sz w:val="18"/>
              </w:rPr>
            </w:pPr>
            <w:r>
              <w:rPr>
                <w:sz w:val="18"/>
              </w:rPr>
              <w:t>Operation &amp; Maintenance Expenses</w:t>
            </w:r>
          </w:p>
        </w:tc>
        <w:tc>
          <w:tcPr>
            <w:tcW w:w="1608" w:type="dxa"/>
          </w:tcPr>
          <w:p w:rsidR="007C5447" w:rsidRDefault="00F6308C">
            <w:pPr>
              <w:pStyle w:val="TableParagraph"/>
              <w:spacing w:before="64"/>
              <w:ind w:right="97"/>
              <w:rPr>
                <w:sz w:val="18"/>
              </w:rPr>
            </w:pPr>
            <w:r>
              <w:rPr>
                <w:sz w:val="18"/>
              </w:rPr>
              <w:t>4,303.63</w:t>
            </w:r>
          </w:p>
        </w:tc>
        <w:tc>
          <w:tcPr>
            <w:tcW w:w="1560" w:type="dxa"/>
          </w:tcPr>
          <w:p w:rsidR="007C5447" w:rsidRDefault="00F6308C">
            <w:pPr>
              <w:pStyle w:val="TableParagraph"/>
              <w:spacing w:before="64"/>
              <w:ind w:right="97"/>
              <w:rPr>
                <w:sz w:val="18"/>
              </w:rPr>
            </w:pPr>
            <w:r>
              <w:rPr>
                <w:sz w:val="18"/>
              </w:rPr>
              <w:t>4,565.07</w:t>
            </w:r>
          </w:p>
        </w:tc>
        <w:tc>
          <w:tcPr>
            <w:tcW w:w="1435" w:type="dxa"/>
          </w:tcPr>
          <w:p w:rsidR="007C5447" w:rsidRDefault="00F6308C">
            <w:pPr>
              <w:pStyle w:val="TableParagraph"/>
              <w:spacing w:before="64"/>
              <w:ind w:right="97"/>
              <w:rPr>
                <w:sz w:val="18"/>
              </w:rPr>
            </w:pPr>
            <w:r>
              <w:rPr>
                <w:sz w:val="18"/>
              </w:rPr>
              <w:t>4,150.46</w:t>
            </w:r>
          </w:p>
        </w:tc>
        <w:tc>
          <w:tcPr>
            <w:tcW w:w="1581" w:type="dxa"/>
          </w:tcPr>
          <w:p w:rsidR="007C5447" w:rsidRDefault="00F6308C">
            <w:pPr>
              <w:pStyle w:val="TableParagraph"/>
              <w:spacing w:before="64"/>
              <w:ind w:right="96"/>
              <w:rPr>
                <w:sz w:val="18"/>
              </w:rPr>
            </w:pPr>
            <w:r>
              <w:rPr>
                <w:sz w:val="18"/>
              </w:rPr>
              <w:t>4,395.62</w:t>
            </w:r>
          </w:p>
        </w:tc>
        <w:tc>
          <w:tcPr>
            <w:tcW w:w="1582" w:type="dxa"/>
          </w:tcPr>
          <w:p w:rsidR="007C5447" w:rsidRDefault="00F6308C">
            <w:pPr>
              <w:pStyle w:val="TableParagraph"/>
              <w:spacing w:before="64"/>
              <w:ind w:right="96"/>
              <w:rPr>
                <w:sz w:val="18"/>
              </w:rPr>
            </w:pPr>
            <w:r>
              <w:rPr>
                <w:sz w:val="18"/>
              </w:rPr>
              <w:t>4,844.82</w:t>
            </w:r>
          </w:p>
        </w:tc>
        <w:tc>
          <w:tcPr>
            <w:tcW w:w="1409" w:type="dxa"/>
          </w:tcPr>
          <w:p w:rsidR="007C5447" w:rsidRDefault="00F6308C">
            <w:pPr>
              <w:pStyle w:val="TableParagraph"/>
              <w:spacing w:before="64"/>
              <w:ind w:right="93"/>
              <w:rPr>
                <w:sz w:val="18"/>
              </w:rPr>
            </w:pPr>
            <w:r>
              <w:rPr>
                <w:sz w:val="18"/>
              </w:rPr>
              <w:t>4,419.95</w:t>
            </w:r>
          </w:p>
        </w:tc>
      </w:tr>
      <w:tr w:rsidR="007C5447">
        <w:trPr>
          <w:trHeight w:val="338"/>
        </w:trPr>
        <w:tc>
          <w:tcPr>
            <w:tcW w:w="696" w:type="dxa"/>
          </w:tcPr>
          <w:p w:rsidR="007C5447" w:rsidRDefault="00F6308C">
            <w:pPr>
              <w:pStyle w:val="TableParagraph"/>
              <w:spacing w:before="67"/>
              <w:ind w:left="9"/>
              <w:jc w:val="center"/>
              <w:rPr>
                <w:sz w:val="18"/>
              </w:rPr>
            </w:pPr>
            <w:r>
              <w:rPr>
                <w:sz w:val="18"/>
              </w:rPr>
              <w:t>2</w:t>
            </w:r>
          </w:p>
        </w:tc>
        <w:tc>
          <w:tcPr>
            <w:tcW w:w="3351" w:type="dxa"/>
          </w:tcPr>
          <w:p w:rsidR="007C5447" w:rsidRDefault="00F6308C">
            <w:pPr>
              <w:pStyle w:val="TableParagraph"/>
              <w:spacing w:before="67"/>
              <w:ind w:left="108"/>
              <w:jc w:val="left"/>
              <w:rPr>
                <w:sz w:val="18"/>
              </w:rPr>
            </w:pPr>
            <w:r>
              <w:rPr>
                <w:sz w:val="18"/>
              </w:rPr>
              <w:t>Depreciation</w:t>
            </w:r>
          </w:p>
        </w:tc>
        <w:tc>
          <w:tcPr>
            <w:tcW w:w="1608" w:type="dxa"/>
          </w:tcPr>
          <w:p w:rsidR="007C5447" w:rsidRDefault="00F6308C">
            <w:pPr>
              <w:pStyle w:val="TableParagraph"/>
              <w:spacing w:before="67"/>
              <w:ind w:right="97"/>
              <w:rPr>
                <w:sz w:val="18"/>
              </w:rPr>
            </w:pPr>
            <w:r>
              <w:rPr>
                <w:sz w:val="18"/>
              </w:rPr>
              <w:t>435.26</w:t>
            </w:r>
          </w:p>
        </w:tc>
        <w:tc>
          <w:tcPr>
            <w:tcW w:w="1560" w:type="dxa"/>
          </w:tcPr>
          <w:p w:rsidR="007C5447" w:rsidRDefault="00F6308C">
            <w:pPr>
              <w:pStyle w:val="TableParagraph"/>
              <w:spacing w:before="67"/>
              <w:ind w:right="97"/>
              <w:rPr>
                <w:sz w:val="18"/>
              </w:rPr>
            </w:pPr>
            <w:r>
              <w:rPr>
                <w:sz w:val="18"/>
              </w:rPr>
              <w:t>525.28</w:t>
            </w:r>
          </w:p>
        </w:tc>
        <w:tc>
          <w:tcPr>
            <w:tcW w:w="1435" w:type="dxa"/>
          </w:tcPr>
          <w:p w:rsidR="007C5447" w:rsidRDefault="00F6308C">
            <w:pPr>
              <w:pStyle w:val="TableParagraph"/>
              <w:spacing w:before="67"/>
              <w:ind w:right="98"/>
              <w:rPr>
                <w:sz w:val="18"/>
              </w:rPr>
            </w:pPr>
            <w:r>
              <w:rPr>
                <w:sz w:val="18"/>
              </w:rPr>
              <w:t>552.44</w:t>
            </w:r>
          </w:p>
        </w:tc>
        <w:tc>
          <w:tcPr>
            <w:tcW w:w="1581" w:type="dxa"/>
          </w:tcPr>
          <w:p w:rsidR="007C5447" w:rsidRDefault="00F6308C">
            <w:pPr>
              <w:pStyle w:val="TableParagraph"/>
              <w:spacing w:before="67"/>
              <w:ind w:right="96"/>
              <w:rPr>
                <w:sz w:val="18"/>
              </w:rPr>
            </w:pPr>
            <w:r>
              <w:rPr>
                <w:sz w:val="18"/>
              </w:rPr>
              <w:t>519.04</w:t>
            </w:r>
          </w:p>
        </w:tc>
        <w:tc>
          <w:tcPr>
            <w:tcW w:w="1582" w:type="dxa"/>
          </w:tcPr>
          <w:p w:rsidR="007C5447" w:rsidRDefault="00F6308C">
            <w:pPr>
              <w:pStyle w:val="TableParagraph"/>
              <w:spacing w:before="67"/>
              <w:ind w:right="96"/>
              <w:rPr>
                <w:sz w:val="18"/>
              </w:rPr>
            </w:pPr>
            <w:r>
              <w:rPr>
                <w:sz w:val="18"/>
              </w:rPr>
              <w:t>670.46</w:t>
            </w:r>
          </w:p>
        </w:tc>
        <w:tc>
          <w:tcPr>
            <w:tcW w:w="1409" w:type="dxa"/>
          </w:tcPr>
          <w:p w:rsidR="007C5447" w:rsidRDefault="00F6308C">
            <w:pPr>
              <w:pStyle w:val="TableParagraph"/>
              <w:spacing w:before="67"/>
              <w:ind w:right="96"/>
              <w:rPr>
                <w:sz w:val="18"/>
              </w:rPr>
            </w:pPr>
            <w:r>
              <w:rPr>
                <w:sz w:val="18"/>
              </w:rPr>
              <w:t>664.47</w:t>
            </w:r>
          </w:p>
        </w:tc>
      </w:tr>
      <w:tr w:rsidR="007C5447">
        <w:trPr>
          <w:trHeight w:val="340"/>
        </w:trPr>
        <w:tc>
          <w:tcPr>
            <w:tcW w:w="696" w:type="dxa"/>
          </w:tcPr>
          <w:p w:rsidR="007C5447" w:rsidRDefault="00F6308C">
            <w:pPr>
              <w:pStyle w:val="TableParagraph"/>
              <w:spacing w:before="67"/>
              <w:ind w:left="9"/>
              <w:jc w:val="center"/>
              <w:rPr>
                <w:sz w:val="18"/>
              </w:rPr>
            </w:pPr>
            <w:r>
              <w:rPr>
                <w:sz w:val="18"/>
              </w:rPr>
              <w:t>3</w:t>
            </w:r>
          </w:p>
        </w:tc>
        <w:tc>
          <w:tcPr>
            <w:tcW w:w="3351" w:type="dxa"/>
          </w:tcPr>
          <w:p w:rsidR="007C5447" w:rsidRDefault="00F6308C">
            <w:pPr>
              <w:pStyle w:val="TableParagraph"/>
              <w:spacing w:before="67"/>
              <w:ind w:left="108"/>
              <w:jc w:val="left"/>
              <w:rPr>
                <w:sz w:val="18"/>
              </w:rPr>
            </w:pPr>
            <w:r>
              <w:rPr>
                <w:sz w:val="18"/>
              </w:rPr>
              <w:t>Interest and Finance Charges</w:t>
            </w:r>
          </w:p>
        </w:tc>
        <w:tc>
          <w:tcPr>
            <w:tcW w:w="1608" w:type="dxa"/>
          </w:tcPr>
          <w:p w:rsidR="007C5447" w:rsidRDefault="00F6308C">
            <w:pPr>
              <w:pStyle w:val="TableParagraph"/>
              <w:spacing w:before="67"/>
              <w:ind w:right="97"/>
              <w:rPr>
                <w:sz w:val="18"/>
              </w:rPr>
            </w:pPr>
            <w:r>
              <w:rPr>
                <w:sz w:val="18"/>
              </w:rPr>
              <w:t>1,213.55</w:t>
            </w:r>
          </w:p>
        </w:tc>
        <w:tc>
          <w:tcPr>
            <w:tcW w:w="1560" w:type="dxa"/>
          </w:tcPr>
          <w:p w:rsidR="007C5447" w:rsidRDefault="00F6308C">
            <w:pPr>
              <w:pStyle w:val="TableParagraph"/>
              <w:spacing w:before="67"/>
              <w:ind w:right="97"/>
              <w:rPr>
                <w:sz w:val="18"/>
              </w:rPr>
            </w:pPr>
            <w:r>
              <w:rPr>
                <w:sz w:val="18"/>
              </w:rPr>
              <w:t>2,992.22</w:t>
            </w:r>
          </w:p>
        </w:tc>
        <w:tc>
          <w:tcPr>
            <w:tcW w:w="1435" w:type="dxa"/>
          </w:tcPr>
          <w:p w:rsidR="007C5447" w:rsidRDefault="00F6308C">
            <w:pPr>
              <w:pStyle w:val="TableParagraph"/>
              <w:spacing w:before="67"/>
              <w:ind w:right="96"/>
              <w:rPr>
                <w:sz w:val="18"/>
              </w:rPr>
            </w:pPr>
            <w:r>
              <w:rPr>
                <w:sz w:val="18"/>
              </w:rPr>
              <w:t>1,209.47</w:t>
            </w:r>
          </w:p>
        </w:tc>
        <w:tc>
          <w:tcPr>
            <w:tcW w:w="1581" w:type="dxa"/>
          </w:tcPr>
          <w:p w:rsidR="007C5447" w:rsidRDefault="00F6308C">
            <w:pPr>
              <w:pStyle w:val="TableParagraph"/>
              <w:spacing w:before="67"/>
              <w:ind w:right="96"/>
              <w:rPr>
                <w:sz w:val="18"/>
              </w:rPr>
            </w:pPr>
            <w:r>
              <w:rPr>
                <w:sz w:val="18"/>
              </w:rPr>
              <w:t>1938.68</w:t>
            </w:r>
          </w:p>
        </w:tc>
        <w:tc>
          <w:tcPr>
            <w:tcW w:w="1582" w:type="dxa"/>
          </w:tcPr>
          <w:p w:rsidR="007C5447" w:rsidRDefault="00F6308C">
            <w:pPr>
              <w:pStyle w:val="TableParagraph"/>
              <w:spacing w:before="67"/>
              <w:ind w:right="96"/>
              <w:rPr>
                <w:sz w:val="18"/>
              </w:rPr>
            </w:pPr>
            <w:r>
              <w:rPr>
                <w:sz w:val="18"/>
              </w:rPr>
              <w:t>3,501.33</w:t>
            </w:r>
          </w:p>
        </w:tc>
        <w:tc>
          <w:tcPr>
            <w:tcW w:w="1409" w:type="dxa"/>
          </w:tcPr>
          <w:p w:rsidR="007C5447" w:rsidRDefault="00F6308C">
            <w:pPr>
              <w:pStyle w:val="TableParagraph"/>
              <w:spacing w:before="67"/>
              <w:ind w:right="96"/>
              <w:rPr>
                <w:sz w:val="18"/>
              </w:rPr>
            </w:pPr>
            <w:r>
              <w:rPr>
                <w:sz w:val="18"/>
              </w:rPr>
              <w:t>1,391.53</w:t>
            </w:r>
          </w:p>
        </w:tc>
      </w:tr>
      <w:tr w:rsidR="007C5447">
        <w:trPr>
          <w:trHeight w:val="338"/>
        </w:trPr>
        <w:tc>
          <w:tcPr>
            <w:tcW w:w="696" w:type="dxa"/>
          </w:tcPr>
          <w:p w:rsidR="007C5447" w:rsidRDefault="00F6308C">
            <w:pPr>
              <w:pStyle w:val="TableParagraph"/>
              <w:spacing w:before="67"/>
              <w:ind w:left="9"/>
              <w:jc w:val="center"/>
              <w:rPr>
                <w:sz w:val="18"/>
              </w:rPr>
            </w:pPr>
            <w:r>
              <w:rPr>
                <w:sz w:val="18"/>
              </w:rPr>
              <w:t>4</w:t>
            </w:r>
          </w:p>
        </w:tc>
        <w:tc>
          <w:tcPr>
            <w:tcW w:w="3351" w:type="dxa"/>
          </w:tcPr>
          <w:p w:rsidR="007C5447" w:rsidRDefault="00F6308C">
            <w:pPr>
              <w:pStyle w:val="TableParagraph"/>
              <w:spacing w:before="67"/>
              <w:ind w:left="108"/>
              <w:jc w:val="left"/>
              <w:rPr>
                <w:sz w:val="18"/>
              </w:rPr>
            </w:pPr>
            <w:r>
              <w:rPr>
                <w:sz w:val="18"/>
              </w:rPr>
              <w:t>Interest on Working Capital</w:t>
            </w:r>
          </w:p>
        </w:tc>
        <w:tc>
          <w:tcPr>
            <w:tcW w:w="1608" w:type="dxa"/>
          </w:tcPr>
          <w:p w:rsidR="007C5447" w:rsidRDefault="00F6308C">
            <w:pPr>
              <w:pStyle w:val="TableParagraph"/>
              <w:spacing w:before="67"/>
              <w:ind w:right="95"/>
              <w:rPr>
                <w:sz w:val="18"/>
              </w:rPr>
            </w:pPr>
            <w:r>
              <w:rPr>
                <w:w w:val="99"/>
                <w:sz w:val="18"/>
              </w:rPr>
              <w:t>-</w:t>
            </w:r>
          </w:p>
        </w:tc>
        <w:tc>
          <w:tcPr>
            <w:tcW w:w="1560" w:type="dxa"/>
          </w:tcPr>
          <w:p w:rsidR="007C5447" w:rsidRDefault="00F6308C">
            <w:pPr>
              <w:pStyle w:val="TableParagraph"/>
              <w:spacing w:before="67"/>
              <w:ind w:right="97"/>
              <w:rPr>
                <w:sz w:val="18"/>
              </w:rPr>
            </w:pPr>
            <w:r>
              <w:rPr>
                <w:sz w:val="18"/>
              </w:rPr>
              <w:t>189.53</w:t>
            </w:r>
          </w:p>
        </w:tc>
        <w:tc>
          <w:tcPr>
            <w:tcW w:w="1435" w:type="dxa"/>
          </w:tcPr>
          <w:p w:rsidR="007C5447" w:rsidRDefault="00F6308C">
            <w:pPr>
              <w:pStyle w:val="TableParagraph"/>
              <w:spacing w:before="67"/>
              <w:ind w:right="95"/>
              <w:rPr>
                <w:sz w:val="18"/>
              </w:rPr>
            </w:pPr>
            <w:r>
              <w:rPr>
                <w:w w:val="99"/>
                <w:sz w:val="18"/>
              </w:rPr>
              <w:t>-</w:t>
            </w:r>
          </w:p>
        </w:tc>
        <w:tc>
          <w:tcPr>
            <w:tcW w:w="1581" w:type="dxa"/>
          </w:tcPr>
          <w:p w:rsidR="007C5447" w:rsidRDefault="00F6308C">
            <w:pPr>
              <w:pStyle w:val="TableParagraph"/>
              <w:spacing w:before="67"/>
              <w:ind w:right="94"/>
              <w:rPr>
                <w:sz w:val="18"/>
              </w:rPr>
            </w:pPr>
            <w:r>
              <w:rPr>
                <w:w w:val="99"/>
                <w:sz w:val="18"/>
              </w:rPr>
              <w:t>-</w:t>
            </w:r>
          </w:p>
        </w:tc>
        <w:tc>
          <w:tcPr>
            <w:tcW w:w="1582" w:type="dxa"/>
          </w:tcPr>
          <w:p w:rsidR="007C5447" w:rsidRDefault="00F6308C">
            <w:pPr>
              <w:pStyle w:val="TableParagraph"/>
              <w:spacing w:before="67"/>
              <w:ind w:right="96"/>
              <w:rPr>
                <w:sz w:val="18"/>
              </w:rPr>
            </w:pPr>
            <w:r>
              <w:rPr>
                <w:sz w:val="18"/>
              </w:rPr>
              <w:t>178.74</w:t>
            </w:r>
          </w:p>
        </w:tc>
        <w:tc>
          <w:tcPr>
            <w:tcW w:w="1409" w:type="dxa"/>
          </w:tcPr>
          <w:p w:rsidR="007C5447" w:rsidRDefault="00F6308C">
            <w:pPr>
              <w:pStyle w:val="TableParagraph"/>
              <w:spacing w:before="67"/>
              <w:ind w:right="94"/>
              <w:rPr>
                <w:sz w:val="18"/>
              </w:rPr>
            </w:pPr>
            <w:r>
              <w:rPr>
                <w:w w:val="99"/>
                <w:sz w:val="18"/>
              </w:rPr>
              <w:t>-</w:t>
            </w:r>
          </w:p>
        </w:tc>
      </w:tr>
      <w:tr w:rsidR="007C5447">
        <w:trPr>
          <w:trHeight w:val="340"/>
        </w:trPr>
        <w:tc>
          <w:tcPr>
            <w:tcW w:w="696" w:type="dxa"/>
          </w:tcPr>
          <w:p w:rsidR="007C5447" w:rsidRDefault="00F6308C">
            <w:pPr>
              <w:pStyle w:val="TableParagraph"/>
              <w:spacing w:before="67"/>
              <w:ind w:left="9"/>
              <w:jc w:val="center"/>
              <w:rPr>
                <w:sz w:val="18"/>
              </w:rPr>
            </w:pPr>
            <w:r>
              <w:rPr>
                <w:sz w:val="18"/>
              </w:rPr>
              <w:t>5</w:t>
            </w:r>
          </w:p>
        </w:tc>
        <w:tc>
          <w:tcPr>
            <w:tcW w:w="3351" w:type="dxa"/>
          </w:tcPr>
          <w:p w:rsidR="007C5447" w:rsidRDefault="00F6308C">
            <w:pPr>
              <w:pStyle w:val="TableParagraph"/>
              <w:spacing w:before="67"/>
              <w:ind w:left="108"/>
              <w:jc w:val="left"/>
              <w:rPr>
                <w:sz w:val="18"/>
              </w:rPr>
            </w:pPr>
            <w:r>
              <w:rPr>
                <w:sz w:val="18"/>
              </w:rPr>
              <w:t>Return on Equity</w:t>
            </w:r>
          </w:p>
        </w:tc>
        <w:tc>
          <w:tcPr>
            <w:tcW w:w="1608" w:type="dxa"/>
          </w:tcPr>
          <w:p w:rsidR="007C5447" w:rsidRDefault="00F6308C">
            <w:pPr>
              <w:pStyle w:val="TableParagraph"/>
              <w:spacing w:before="67"/>
              <w:ind w:right="95"/>
              <w:rPr>
                <w:sz w:val="18"/>
              </w:rPr>
            </w:pPr>
            <w:r>
              <w:rPr>
                <w:w w:val="99"/>
                <w:sz w:val="18"/>
              </w:rPr>
              <w:t>-</w:t>
            </w:r>
          </w:p>
        </w:tc>
        <w:tc>
          <w:tcPr>
            <w:tcW w:w="1560" w:type="dxa"/>
          </w:tcPr>
          <w:p w:rsidR="007C5447" w:rsidRDefault="00F6308C">
            <w:pPr>
              <w:pStyle w:val="TableParagraph"/>
              <w:spacing w:before="67"/>
              <w:ind w:right="97"/>
              <w:rPr>
                <w:sz w:val="18"/>
              </w:rPr>
            </w:pPr>
            <w:r>
              <w:rPr>
                <w:sz w:val="18"/>
              </w:rPr>
              <w:t>582.32</w:t>
            </w:r>
          </w:p>
        </w:tc>
        <w:tc>
          <w:tcPr>
            <w:tcW w:w="1435" w:type="dxa"/>
          </w:tcPr>
          <w:p w:rsidR="007C5447" w:rsidRDefault="00F6308C">
            <w:pPr>
              <w:pStyle w:val="TableParagraph"/>
              <w:spacing w:before="67"/>
              <w:ind w:right="95"/>
              <w:rPr>
                <w:sz w:val="18"/>
              </w:rPr>
            </w:pPr>
            <w:r>
              <w:rPr>
                <w:w w:val="99"/>
                <w:sz w:val="18"/>
              </w:rPr>
              <w:t>-</w:t>
            </w:r>
          </w:p>
        </w:tc>
        <w:tc>
          <w:tcPr>
            <w:tcW w:w="1581" w:type="dxa"/>
          </w:tcPr>
          <w:p w:rsidR="007C5447" w:rsidRDefault="00F6308C">
            <w:pPr>
              <w:pStyle w:val="TableParagraph"/>
              <w:spacing w:before="67"/>
              <w:ind w:right="94"/>
              <w:rPr>
                <w:sz w:val="18"/>
              </w:rPr>
            </w:pPr>
            <w:r>
              <w:rPr>
                <w:w w:val="99"/>
                <w:sz w:val="18"/>
              </w:rPr>
              <w:t>-</w:t>
            </w:r>
          </w:p>
        </w:tc>
        <w:tc>
          <w:tcPr>
            <w:tcW w:w="1582" w:type="dxa"/>
          </w:tcPr>
          <w:p w:rsidR="007C5447" w:rsidRDefault="00F6308C">
            <w:pPr>
              <w:pStyle w:val="TableParagraph"/>
              <w:spacing w:before="67"/>
              <w:ind w:right="96"/>
              <w:rPr>
                <w:sz w:val="18"/>
              </w:rPr>
            </w:pPr>
            <w:r>
              <w:rPr>
                <w:sz w:val="18"/>
              </w:rPr>
              <w:t>582.32</w:t>
            </w:r>
          </w:p>
        </w:tc>
        <w:tc>
          <w:tcPr>
            <w:tcW w:w="1409" w:type="dxa"/>
          </w:tcPr>
          <w:p w:rsidR="007C5447" w:rsidRDefault="00F6308C">
            <w:pPr>
              <w:pStyle w:val="TableParagraph"/>
              <w:spacing w:before="67"/>
              <w:ind w:right="94"/>
              <w:rPr>
                <w:sz w:val="18"/>
              </w:rPr>
            </w:pPr>
            <w:r>
              <w:rPr>
                <w:w w:val="99"/>
                <w:sz w:val="18"/>
              </w:rPr>
              <w:t>-</w:t>
            </w:r>
          </w:p>
        </w:tc>
      </w:tr>
      <w:tr w:rsidR="007C5447">
        <w:trPr>
          <w:trHeight w:val="338"/>
        </w:trPr>
        <w:tc>
          <w:tcPr>
            <w:tcW w:w="696" w:type="dxa"/>
          </w:tcPr>
          <w:p w:rsidR="007C5447" w:rsidRDefault="00F6308C">
            <w:pPr>
              <w:pStyle w:val="TableParagraph"/>
              <w:spacing w:before="64"/>
              <w:ind w:left="9"/>
              <w:jc w:val="center"/>
              <w:rPr>
                <w:sz w:val="18"/>
              </w:rPr>
            </w:pPr>
            <w:r>
              <w:rPr>
                <w:sz w:val="18"/>
              </w:rPr>
              <w:t>6</w:t>
            </w:r>
          </w:p>
        </w:tc>
        <w:tc>
          <w:tcPr>
            <w:tcW w:w="3351" w:type="dxa"/>
          </w:tcPr>
          <w:p w:rsidR="007C5447" w:rsidRDefault="00F6308C">
            <w:pPr>
              <w:pStyle w:val="TableParagraph"/>
              <w:spacing w:before="64"/>
              <w:ind w:left="108"/>
              <w:jc w:val="left"/>
              <w:rPr>
                <w:sz w:val="18"/>
              </w:rPr>
            </w:pPr>
            <w:r>
              <w:rPr>
                <w:sz w:val="18"/>
              </w:rPr>
              <w:t>Other Debits</w:t>
            </w:r>
          </w:p>
        </w:tc>
        <w:tc>
          <w:tcPr>
            <w:tcW w:w="1608" w:type="dxa"/>
          </w:tcPr>
          <w:p w:rsidR="007C5447" w:rsidRDefault="00F6308C">
            <w:pPr>
              <w:pStyle w:val="TableParagraph"/>
              <w:spacing w:before="64"/>
              <w:ind w:right="97"/>
              <w:rPr>
                <w:sz w:val="18"/>
              </w:rPr>
            </w:pPr>
            <w:r>
              <w:rPr>
                <w:sz w:val="18"/>
              </w:rPr>
              <w:t>6.30</w:t>
            </w:r>
          </w:p>
        </w:tc>
        <w:tc>
          <w:tcPr>
            <w:tcW w:w="1560" w:type="dxa"/>
          </w:tcPr>
          <w:p w:rsidR="007C5447" w:rsidRDefault="00F6308C">
            <w:pPr>
              <w:pStyle w:val="TableParagraph"/>
              <w:spacing w:before="64"/>
              <w:ind w:right="94"/>
              <w:rPr>
                <w:sz w:val="18"/>
              </w:rPr>
            </w:pPr>
            <w:r>
              <w:rPr>
                <w:sz w:val="18"/>
              </w:rPr>
              <w:t>25.98</w:t>
            </w:r>
          </w:p>
        </w:tc>
        <w:tc>
          <w:tcPr>
            <w:tcW w:w="1435" w:type="dxa"/>
          </w:tcPr>
          <w:p w:rsidR="007C5447" w:rsidRDefault="00F6308C">
            <w:pPr>
              <w:pStyle w:val="TableParagraph"/>
              <w:spacing w:before="64"/>
              <w:ind w:right="95"/>
              <w:rPr>
                <w:sz w:val="18"/>
              </w:rPr>
            </w:pPr>
            <w:r>
              <w:rPr>
                <w:w w:val="99"/>
                <w:sz w:val="18"/>
              </w:rPr>
              <w:t>-</w:t>
            </w:r>
          </w:p>
        </w:tc>
        <w:tc>
          <w:tcPr>
            <w:tcW w:w="1581" w:type="dxa"/>
          </w:tcPr>
          <w:p w:rsidR="007C5447" w:rsidRDefault="00F6308C">
            <w:pPr>
              <w:pStyle w:val="TableParagraph"/>
              <w:spacing w:before="64"/>
              <w:ind w:right="93"/>
              <w:rPr>
                <w:sz w:val="18"/>
              </w:rPr>
            </w:pPr>
            <w:r>
              <w:rPr>
                <w:sz w:val="18"/>
              </w:rPr>
              <w:t>28.42</w:t>
            </w:r>
          </w:p>
        </w:tc>
        <w:tc>
          <w:tcPr>
            <w:tcW w:w="1582" w:type="dxa"/>
          </w:tcPr>
          <w:p w:rsidR="007C5447" w:rsidRDefault="00F6308C">
            <w:pPr>
              <w:pStyle w:val="TableParagraph"/>
              <w:spacing w:before="64"/>
              <w:ind w:right="93"/>
              <w:rPr>
                <w:sz w:val="18"/>
              </w:rPr>
            </w:pPr>
            <w:r>
              <w:rPr>
                <w:sz w:val="18"/>
              </w:rPr>
              <w:t>13.19</w:t>
            </w:r>
          </w:p>
        </w:tc>
        <w:tc>
          <w:tcPr>
            <w:tcW w:w="1409" w:type="dxa"/>
          </w:tcPr>
          <w:p w:rsidR="007C5447" w:rsidRDefault="00F6308C">
            <w:pPr>
              <w:pStyle w:val="TableParagraph"/>
              <w:spacing w:before="64"/>
              <w:ind w:right="94"/>
              <w:rPr>
                <w:sz w:val="18"/>
              </w:rPr>
            </w:pPr>
            <w:r>
              <w:rPr>
                <w:w w:val="99"/>
                <w:sz w:val="18"/>
              </w:rPr>
              <w:t>-</w:t>
            </w:r>
          </w:p>
        </w:tc>
      </w:tr>
      <w:tr w:rsidR="007C5447">
        <w:trPr>
          <w:trHeight w:val="443"/>
        </w:trPr>
        <w:tc>
          <w:tcPr>
            <w:tcW w:w="696" w:type="dxa"/>
          </w:tcPr>
          <w:p w:rsidR="007C5447" w:rsidRDefault="00F6308C">
            <w:pPr>
              <w:pStyle w:val="TableParagraph"/>
              <w:spacing w:before="119"/>
              <w:ind w:left="9"/>
              <w:jc w:val="center"/>
              <w:rPr>
                <w:sz w:val="18"/>
              </w:rPr>
            </w:pPr>
            <w:r>
              <w:rPr>
                <w:sz w:val="18"/>
              </w:rPr>
              <w:t>7</w:t>
            </w:r>
          </w:p>
        </w:tc>
        <w:tc>
          <w:tcPr>
            <w:tcW w:w="3351" w:type="dxa"/>
          </w:tcPr>
          <w:p w:rsidR="007C5447" w:rsidRDefault="00F6308C">
            <w:pPr>
              <w:pStyle w:val="TableParagraph"/>
              <w:spacing w:before="20" w:line="206" w:lineRule="exact"/>
              <w:ind w:left="108" w:right="603"/>
              <w:jc w:val="left"/>
              <w:rPr>
                <w:sz w:val="18"/>
              </w:rPr>
            </w:pPr>
            <w:r>
              <w:rPr>
                <w:sz w:val="18"/>
              </w:rPr>
              <w:t>Sharing of (Gains)/Losses for O&amp;M Expenses</w:t>
            </w:r>
          </w:p>
        </w:tc>
        <w:tc>
          <w:tcPr>
            <w:tcW w:w="1608" w:type="dxa"/>
          </w:tcPr>
          <w:p w:rsidR="007C5447" w:rsidRDefault="007C5447">
            <w:pPr>
              <w:pStyle w:val="TableParagraph"/>
              <w:jc w:val="left"/>
              <w:rPr>
                <w:sz w:val="18"/>
              </w:rPr>
            </w:pPr>
          </w:p>
        </w:tc>
        <w:tc>
          <w:tcPr>
            <w:tcW w:w="1560" w:type="dxa"/>
          </w:tcPr>
          <w:p w:rsidR="007C5447" w:rsidRDefault="007C5447">
            <w:pPr>
              <w:pStyle w:val="TableParagraph"/>
              <w:jc w:val="left"/>
              <w:rPr>
                <w:sz w:val="18"/>
              </w:rPr>
            </w:pPr>
          </w:p>
        </w:tc>
        <w:tc>
          <w:tcPr>
            <w:tcW w:w="1435" w:type="dxa"/>
          </w:tcPr>
          <w:p w:rsidR="007C5447" w:rsidRDefault="00F6308C">
            <w:pPr>
              <w:pStyle w:val="TableParagraph"/>
              <w:spacing w:before="119"/>
              <w:ind w:right="95"/>
              <w:rPr>
                <w:sz w:val="18"/>
              </w:rPr>
            </w:pPr>
            <w:r>
              <w:rPr>
                <w:w w:val="99"/>
                <w:sz w:val="18"/>
              </w:rPr>
              <w:t>-</w:t>
            </w:r>
          </w:p>
        </w:tc>
        <w:tc>
          <w:tcPr>
            <w:tcW w:w="1581" w:type="dxa"/>
          </w:tcPr>
          <w:p w:rsidR="007C5447" w:rsidRDefault="007C5447">
            <w:pPr>
              <w:pStyle w:val="TableParagraph"/>
              <w:jc w:val="left"/>
              <w:rPr>
                <w:sz w:val="18"/>
              </w:rPr>
            </w:pPr>
          </w:p>
        </w:tc>
        <w:tc>
          <w:tcPr>
            <w:tcW w:w="1582" w:type="dxa"/>
          </w:tcPr>
          <w:p w:rsidR="007C5447" w:rsidRDefault="007C5447">
            <w:pPr>
              <w:pStyle w:val="TableParagraph"/>
              <w:jc w:val="left"/>
              <w:rPr>
                <w:sz w:val="18"/>
              </w:rPr>
            </w:pPr>
          </w:p>
        </w:tc>
        <w:tc>
          <w:tcPr>
            <w:tcW w:w="1409" w:type="dxa"/>
          </w:tcPr>
          <w:p w:rsidR="007C5447" w:rsidRDefault="007C5447">
            <w:pPr>
              <w:pStyle w:val="TableParagraph"/>
              <w:jc w:val="left"/>
              <w:rPr>
                <w:sz w:val="18"/>
              </w:rPr>
            </w:pPr>
          </w:p>
        </w:tc>
      </w:tr>
      <w:tr w:rsidR="007C5447">
        <w:trPr>
          <w:trHeight w:val="340"/>
        </w:trPr>
        <w:tc>
          <w:tcPr>
            <w:tcW w:w="696" w:type="dxa"/>
          </w:tcPr>
          <w:p w:rsidR="007C5447" w:rsidRDefault="00F6308C">
            <w:pPr>
              <w:pStyle w:val="TableParagraph"/>
              <w:spacing w:before="67"/>
              <w:ind w:left="9"/>
              <w:jc w:val="center"/>
              <w:rPr>
                <w:sz w:val="18"/>
              </w:rPr>
            </w:pPr>
            <w:r>
              <w:rPr>
                <w:sz w:val="18"/>
              </w:rPr>
              <w:t>8</w:t>
            </w:r>
          </w:p>
        </w:tc>
        <w:tc>
          <w:tcPr>
            <w:tcW w:w="3351" w:type="dxa"/>
          </w:tcPr>
          <w:p w:rsidR="007C5447" w:rsidRDefault="00F6308C">
            <w:pPr>
              <w:pStyle w:val="TableParagraph"/>
              <w:spacing w:before="67"/>
              <w:ind w:left="108"/>
              <w:jc w:val="left"/>
              <w:rPr>
                <w:sz w:val="18"/>
              </w:rPr>
            </w:pPr>
            <w:r>
              <w:rPr>
                <w:sz w:val="18"/>
              </w:rPr>
              <w:t>Operating charges</w:t>
            </w:r>
          </w:p>
        </w:tc>
        <w:tc>
          <w:tcPr>
            <w:tcW w:w="1608" w:type="dxa"/>
          </w:tcPr>
          <w:p w:rsidR="007C5447" w:rsidRDefault="00F6308C">
            <w:pPr>
              <w:pStyle w:val="TableParagraph"/>
              <w:spacing w:before="67"/>
              <w:ind w:right="95"/>
              <w:rPr>
                <w:sz w:val="18"/>
              </w:rPr>
            </w:pPr>
            <w:r>
              <w:rPr>
                <w:w w:val="99"/>
                <w:sz w:val="18"/>
              </w:rPr>
              <w:t>-</w:t>
            </w:r>
          </w:p>
        </w:tc>
        <w:tc>
          <w:tcPr>
            <w:tcW w:w="1560" w:type="dxa"/>
          </w:tcPr>
          <w:p w:rsidR="007C5447" w:rsidRDefault="00F6308C">
            <w:pPr>
              <w:pStyle w:val="TableParagraph"/>
              <w:spacing w:before="67"/>
              <w:ind w:right="95"/>
              <w:rPr>
                <w:sz w:val="18"/>
              </w:rPr>
            </w:pPr>
            <w:r>
              <w:rPr>
                <w:w w:val="99"/>
                <w:sz w:val="18"/>
              </w:rPr>
              <w:t>-</w:t>
            </w:r>
          </w:p>
        </w:tc>
        <w:tc>
          <w:tcPr>
            <w:tcW w:w="1435" w:type="dxa"/>
          </w:tcPr>
          <w:p w:rsidR="007C5447" w:rsidRDefault="00F6308C">
            <w:pPr>
              <w:pStyle w:val="TableParagraph"/>
              <w:spacing w:before="67"/>
              <w:ind w:right="95"/>
              <w:rPr>
                <w:sz w:val="18"/>
              </w:rPr>
            </w:pPr>
            <w:r>
              <w:rPr>
                <w:w w:val="99"/>
                <w:sz w:val="18"/>
              </w:rPr>
              <w:t>-</w:t>
            </w:r>
          </w:p>
        </w:tc>
        <w:tc>
          <w:tcPr>
            <w:tcW w:w="1581" w:type="dxa"/>
          </w:tcPr>
          <w:p w:rsidR="007C5447" w:rsidRDefault="00F6308C">
            <w:pPr>
              <w:pStyle w:val="TableParagraph"/>
              <w:spacing w:before="67"/>
              <w:ind w:right="94"/>
              <w:rPr>
                <w:sz w:val="18"/>
              </w:rPr>
            </w:pPr>
            <w:r>
              <w:rPr>
                <w:w w:val="99"/>
                <w:sz w:val="18"/>
              </w:rPr>
              <w:t>-</w:t>
            </w:r>
          </w:p>
        </w:tc>
        <w:tc>
          <w:tcPr>
            <w:tcW w:w="1582" w:type="dxa"/>
          </w:tcPr>
          <w:p w:rsidR="007C5447" w:rsidRDefault="00F6308C">
            <w:pPr>
              <w:pStyle w:val="TableParagraph"/>
              <w:spacing w:before="67"/>
              <w:ind w:right="94"/>
              <w:rPr>
                <w:sz w:val="18"/>
              </w:rPr>
            </w:pPr>
            <w:r>
              <w:rPr>
                <w:w w:val="99"/>
                <w:sz w:val="18"/>
              </w:rPr>
              <w:t>-</w:t>
            </w:r>
          </w:p>
        </w:tc>
        <w:tc>
          <w:tcPr>
            <w:tcW w:w="1409" w:type="dxa"/>
          </w:tcPr>
          <w:p w:rsidR="007C5447" w:rsidRDefault="00F6308C">
            <w:pPr>
              <w:pStyle w:val="TableParagraph"/>
              <w:spacing w:before="67"/>
              <w:ind w:right="94"/>
              <w:rPr>
                <w:sz w:val="18"/>
              </w:rPr>
            </w:pPr>
            <w:r>
              <w:rPr>
                <w:w w:val="99"/>
                <w:sz w:val="18"/>
              </w:rPr>
              <w:t>-</w:t>
            </w:r>
          </w:p>
        </w:tc>
      </w:tr>
      <w:tr w:rsidR="007C5447">
        <w:trPr>
          <w:trHeight w:val="337"/>
        </w:trPr>
        <w:tc>
          <w:tcPr>
            <w:tcW w:w="696" w:type="dxa"/>
          </w:tcPr>
          <w:p w:rsidR="007C5447" w:rsidRDefault="00F6308C">
            <w:pPr>
              <w:pStyle w:val="TableParagraph"/>
              <w:spacing w:before="64"/>
              <w:ind w:left="9"/>
              <w:jc w:val="center"/>
              <w:rPr>
                <w:sz w:val="18"/>
              </w:rPr>
            </w:pPr>
            <w:r>
              <w:rPr>
                <w:sz w:val="18"/>
              </w:rPr>
              <w:t>9</w:t>
            </w:r>
          </w:p>
        </w:tc>
        <w:tc>
          <w:tcPr>
            <w:tcW w:w="3351" w:type="dxa"/>
          </w:tcPr>
          <w:p w:rsidR="007C5447" w:rsidRDefault="00F6308C">
            <w:pPr>
              <w:pStyle w:val="TableParagraph"/>
              <w:spacing w:before="64"/>
              <w:ind w:left="108"/>
              <w:jc w:val="left"/>
              <w:rPr>
                <w:sz w:val="18"/>
              </w:rPr>
            </w:pPr>
            <w:r>
              <w:rPr>
                <w:sz w:val="18"/>
              </w:rPr>
              <w:t>Other Interest and Finance Charges</w:t>
            </w:r>
          </w:p>
        </w:tc>
        <w:tc>
          <w:tcPr>
            <w:tcW w:w="1608" w:type="dxa"/>
          </w:tcPr>
          <w:p w:rsidR="007C5447" w:rsidRDefault="00F6308C">
            <w:pPr>
              <w:pStyle w:val="TableParagraph"/>
              <w:spacing w:before="64"/>
              <w:ind w:right="97"/>
              <w:rPr>
                <w:sz w:val="18"/>
              </w:rPr>
            </w:pPr>
            <w:r>
              <w:rPr>
                <w:sz w:val="18"/>
              </w:rPr>
              <w:t>688.40</w:t>
            </w:r>
          </w:p>
        </w:tc>
        <w:tc>
          <w:tcPr>
            <w:tcW w:w="1560" w:type="dxa"/>
          </w:tcPr>
          <w:p w:rsidR="007C5447" w:rsidRDefault="00F6308C">
            <w:pPr>
              <w:pStyle w:val="TableParagraph"/>
              <w:spacing w:before="64"/>
              <w:ind w:right="97"/>
              <w:rPr>
                <w:sz w:val="18"/>
              </w:rPr>
            </w:pPr>
            <w:r>
              <w:rPr>
                <w:sz w:val="18"/>
              </w:rPr>
              <w:t>1,002.90</w:t>
            </w:r>
          </w:p>
        </w:tc>
        <w:tc>
          <w:tcPr>
            <w:tcW w:w="1435" w:type="dxa"/>
          </w:tcPr>
          <w:p w:rsidR="007C5447" w:rsidRDefault="00F6308C">
            <w:pPr>
              <w:pStyle w:val="TableParagraph"/>
              <w:spacing w:before="64"/>
              <w:ind w:right="98"/>
              <w:rPr>
                <w:sz w:val="18"/>
              </w:rPr>
            </w:pPr>
            <w:r>
              <w:rPr>
                <w:sz w:val="18"/>
              </w:rPr>
              <w:t>852.60</w:t>
            </w:r>
          </w:p>
        </w:tc>
        <w:tc>
          <w:tcPr>
            <w:tcW w:w="1581" w:type="dxa"/>
          </w:tcPr>
          <w:p w:rsidR="007C5447" w:rsidRDefault="00F6308C">
            <w:pPr>
              <w:pStyle w:val="TableParagraph"/>
              <w:spacing w:before="64"/>
              <w:ind w:right="94"/>
              <w:rPr>
                <w:sz w:val="18"/>
              </w:rPr>
            </w:pPr>
            <w:r>
              <w:rPr>
                <w:w w:val="99"/>
                <w:sz w:val="18"/>
              </w:rPr>
              <w:t>-</w:t>
            </w:r>
          </w:p>
        </w:tc>
        <w:tc>
          <w:tcPr>
            <w:tcW w:w="1582" w:type="dxa"/>
          </w:tcPr>
          <w:p w:rsidR="007C5447" w:rsidRDefault="00F6308C">
            <w:pPr>
              <w:pStyle w:val="TableParagraph"/>
              <w:spacing w:before="64"/>
              <w:ind w:right="96"/>
              <w:rPr>
                <w:sz w:val="18"/>
              </w:rPr>
            </w:pPr>
            <w:r>
              <w:rPr>
                <w:sz w:val="18"/>
              </w:rPr>
              <w:t>882.25</w:t>
            </w:r>
          </w:p>
        </w:tc>
        <w:tc>
          <w:tcPr>
            <w:tcW w:w="1409" w:type="dxa"/>
          </w:tcPr>
          <w:p w:rsidR="007C5447" w:rsidRDefault="00F6308C">
            <w:pPr>
              <w:pStyle w:val="TableParagraph"/>
              <w:spacing w:before="64"/>
              <w:ind w:right="96"/>
              <w:rPr>
                <w:sz w:val="18"/>
              </w:rPr>
            </w:pPr>
            <w:r>
              <w:rPr>
                <w:sz w:val="18"/>
              </w:rPr>
              <w:t>689.22</w:t>
            </w:r>
          </w:p>
        </w:tc>
      </w:tr>
      <w:tr w:rsidR="007C5447">
        <w:trPr>
          <w:trHeight w:val="337"/>
        </w:trPr>
        <w:tc>
          <w:tcPr>
            <w:tcW w:w="696" w:type="dxa"/>
          </w:tcPr>
          <w:p w:rsidR="007C5447" w:rsidRDefault="00F6308C">
            <w:pPr>
              <w:pStyle w:val="TableParagraph"/>
              <w:spacing w:before="67"/>
              <w:ind w:left="90" w:right="80"/>
              <w:jc w:val="center"/>
              <w:rPr>
                <w:sz w:val="18"/>
              </w:rPr>
            </w:pPr>
            <w:r>
              <w:rPr>
                <w:sz w:val="18"/>
              </w:rPr>
              <w:t>10</w:t>
            </w:r>
          </w:p>
        </w:tc>
        <w:tc>
          <w:tcPr>
            <w:tcW w:w="3351" w:type="dxa"/>
          </w:tcPr>
          <w:p w:rsidR="007C5447" w:rsidRDefault="00F6308C">
            <w:pPr>
              <w:pStyle w:val="TableParagraph"/>
              <w:spacing w:before="67"/>
              <w:ind w:left="108"/>
              <w:jc w:val="left"/>
              <w:rPr>
                <w:b/>
                <w:sz w:val="18"/>
              </w:rPr>
            </w:pPr>
            <w:r>
              <w:rPr>
                <w:b/>
                <w:sz w:val="18"/>
              </w:rPr>
              <w:t>Gross Aggregate Revenue Requirement</w:t>
            </w:r>
          </w:p>
        </w:tc>
        <w:tc>
          <w:tcPr>
            <w:tcW w:w="1608" w:type="dxa"/>
          </w:tcPr>
          <w:p w:rsidR="007C5447" w:rsidRDefault="00F6308C">
            <w:pPr>
              <w:pStyle w:val="TableParagraph"/>
              <w:spacing w:before="67"/>
              <w:ind w:right="95"/>
              <w:rPr>
                <w:b/>
                <w:sz w:val="18"/>
              </w:rPr>
            </w:pPr>
            <w:r>
              <w:rPr>
                <w:b/>
                <w:sz w:val="18"/>
              </w:rPr>
              <w:t>6647.15</w:t>
            </w:r>
          </w:p>
        </w:tc>
        <w:tc>
          <w:tcPr>
            <w:tcW w:w="1560" w:type="dxa"/>
          </w:tcPr>
          <w:p w:rsidR="007C5447" w:rsidRDefault="00F6308C">
            <w:pPr>
              <w:pStyle w:val="TableParagraph"/>
              <w:spacing w:before="67"/>
              <w:ind w:right="97"/>
              <w:rPr>
                <w:b/>
                <w:sz w:val="18"/>
              </w:rPr>
            </w:pPr>
            <w:r>
              <w:rPr>
                <w:b/>
                <w:sz w:val="18"/>
              </w:rPr>
              <w:t>9,883.31</w:t>
            </w:r>
          </w:p>
        </w:tc>
        <w:tc>
          <w:tcPr>
            <w:tcW w:w="1435" w:type="dxa"/>
          </w:tcPr>
          <w:p w:rsidR="007C5447" w:rsidRDefault="00F6308C">
            <w:pPr>
              <w:pStyle w:val="TableParagraph"/>
              <w:spacing w:before="67"/>
              <w:ind w:right="96"/>
              <w:rPr>
                <w:b/>
                <w:sz w:val="18"/>
              </w:rPr>
            </w:pPr>
            <w:r>
              <w:rPr>
                <w:b/>
                <w:sz w:val="18"/>
              </w:rPr>
              <w:t>6,764.98</w:t>
            </w:r>
          </w:p>
        </w:tc>
        <w:tc>
          <w:tcPr>
            <w:tcW w:w="1581" w:type="dxa"/>
          </w:tcPr>
          <w:p w:rsidR="007C5447" w:rsidRDefault="00F6308C">
            <w:pPr>
              <w:pStyle w:val="TableParagraph"/>
              <w:spacing w:before="67"/>
              <w:ind w:right="96"/>
              <w:rPr>
                <w:b/>
                <w:sz w:val="18"/>
              </w:rPr>
            </w:pPr>
            <w:r>
              <w:rPr>
                <w:b/>
                <w:sz w:val="18"/>
              </w:rPr>
              <w:t>6881.76</w:t>
            </w:r>
          </w:p>
        </w:tc>
        <w:tc>
          <w:tcPr>
            <w:tcW w:w="1582" w:type="dxa"/>
          </w:tcPr>
          <w:p w:rsidR="007C5447" w:rsidRDefault="00F6308C">
            <w:pPr>
              <w:pStyle w:val="TableParagraph"/>
              <w:spacing w:before="67"/>
              <w:ind w:right="96"/>
              <w:rPr>
                <w:b/>
                <w:sz w:val="18"/>
              </w:rPr>
            </w:pPr>
            <w:r>
              <w:rPr>
                <w:b/>
                <w:sz w:val="18"/>
              </w:rPr>
              <w:t>10,673.12</w:t>
            </w:r>
          </w:p>
        </w:tc>
        <w:tc>
          <w:tcPr>
            <w:tcW w:w="1409" w:type="dxa"/>
          </w:tcPr>
          <w:p w:rsidR="007C5447" w:rsidRDefault="00F6308C">
            <w:pPr>
              <w:pStyle w:val="TableParagraph"/>
              <w:spacing w:before="67"/>
              <w:ind w:right="96"/>
              <w:rPr>
                <w:b/>
                <w:sz w:val="18"/>
              </w:rPr>
            </w:pPr>
            <w:r>
              <w:rPr>
                <w:b/>
                <w:sz w:val="18"/>
              </w:rPr>
              <w:t>7,165.17</w:t>
            </w:r>
          </w:p>
        </w:tc>
      </w:tr>
      <w:tr w:rsidR="007C5447">
        <w:trPr>
          <w:trHeight w:val="340"/>
        </w:trPr>
        <w:tc>
          <w:tcPr>
            <w:tcW w:w="696" w:type="dxa"/>
          </w:tcPr>
          <w:p w:rsidR="007C5447" w:rsidRDefault="00F6308C">
            <w:pPr>
              <w:pStyle w:val="TableParagraph"/>
              <w:spacing w:before="67"/>
              <w:ind w:left="90" w:right="80"/>
              <w:jc w:val="center"/>
              <w:rPr>
                <w:sz w:val="18"/>
              </w:rPr>
            </w:pPr>
            <w:r>
              <w:rPr>
                <w:sz w:val="18"/>
              </w:rPr>
              <w:t>11</w:t>
            </w:r>
          </w:p>
        </w:tc>
        <w:tc>
          <w:tcPr>
            <w:tcW w:w="3351" w:type="dxa"/>
          </w:tcPr>
          <w:p w:rsidR="007C5447" w:rsidRDefault="00F6308C">
            <w:pPr>
              <w:pStyle w:val="TableParagraph"/>
              <w:spacing w:before="67"/>
              <w:ind w:left="108"/>
              <w:jc w:val="left"/>
              <w:rPr>
                <w:sz w:val="18"/>
              </w:rPr>
            </w:pPr>
            <w:r>
              <w:rPr>
                <w:sz w:val="18"/>
              </w:rPr>
              <w:t>Less: Other Income</w:t>
            </w:r>
          </w:p>
        </w:tc>
        <w:tc>
          <w:tcPr>
            <w:tcW w:w="1608" w:type="dxa"/>
          </w:tcPr>
          <w:p w:rsidR="007C5447" w:rsidRDefault="00F6308C">
            <w:pPr>
              <w:pStyle w:val="TableParagraph"/>
              <w:spacing w:before="67"/>
              <w:ind w:right="97"/>
              <w:rPr>
                <w:sz w:val="18"/>
              </w:rPr>
            </w:pPr>
            <w:r>
              <w:rPr>
                <w:sz w:val="18"/>
              </w:rPr>
              <w:t>146.00</w:t>
            </w:r>
          </w:p>
        </w:tc>
        <w:tc>
          <w:tcPr>
            <w:tcW w:w="1560" w:type="dxa"/>
          </w:tcPr>
          <w:p w:rsidR="007C5447" w:rsidRDefault="00F6308C">
            <w:pPr>
              <w:pStyle w:val="TableParagraph"/>
              <w:spacing w:before="67"/>
              <w:ind w:right="97"/>
              <w:rPr>
                <w:sz w:val="18"/>
              </w:rPr>
            </w:pPr>
            <w:r>
              <w:rPr>
                <w:sz w:val="18"/>
              </w:rPr>
              <w:t>302.23</w:t>
            </w:r>
          </w:p>
        </w:tc>
        <w:tc>
          <w:tcPr>
            <w:tcW w:w="1435" w:type="dxa"/>
          </w:tcPr>
          <w:p w:rsidR="007C5447" w:rsidRDefault="00F6308C">
            <w:pPr>
              <w:pStyle w:val="TableParagraph"/>
              <w:spacing w:before="67"/>
              <w:ind w:right="98"/>
              <w:rPr>
                <w:sz w:val="18"/>
              </w:rPr>
            </w:pPr>
            <w:r>
              <w:rPr>
                <w:sz w:val="18"/>
              </w:rPr>
              <w:t>236.28</w:t>
            </w:r>
          </w:p>
        </w:tc>
        <w:tc>
          <w:tcPr>
            <w:tcW w:w="1581" w:type="dxa"/>
          </w:tcPr>
          <w:p w:rsidR="007C5447" w:rsidRDefault="00F6308C">
            <w:pPr>
              <w:pStyle w:val="TableParagraph"/>
              <w:spacing w:before="67"/>
              <w:ind w:right="96"/>
              <w:rPr>
                <w:sz w:val="18"/>
              </w:rPr>
            </w:pPr>
            <w:r>
              <w:rPr>
                <w:sz w:val="18"/>
              </w:rPr>
              <w:t>363.54</w:t>
            </w:r>
          </w:p>
        </w:tc>
        <w:tc>
          <w:tcPr>
            <w:tcW w:w="1582" w:type="dxa"/>
          </w:tcPr>
          <w:p w:rsidR="007C5447" w:rsidRDefault="00F6308C">
            <w:pPr>
              <w:pStyle w:val="TableParagraph"/>
              <w:spacing w:before="67"/>
              <w:ind w:right="96"/>
              <w:rPr>
                <w:sz w:val="18"/>
              </w:rPr>
            </w:pPr>
            <w:r>
              <w:rPr>
                <w:sz w:val="18"/>
              </w:rPr>
              <w:t>322.02</w:t>
            </w:r>
          </w:p>
        </w:tc>
        <w:tc>
          <w:tcPr>
            <w:tcW w:w="1409" w:type="dxa"/>
          </w:tcPr>
          <w:p w:rsidR="007C5447" w:rsidRDefault="00F6308C">
            <w:pPr>
              <w:pStyle w:val="TableParagraph"/>
              <w:spacing w:before="67"/>
              <w:ind w:right="93"/>
              <w:rPr>
                <w:sz w:val="18"/>
              </w:rPr>
            </w:pPr>
            <w:r>
              <w:rPr>
                <w:sz w:val="18"/>
              </w:rPr>
              <w:t>344.84</w:t>
            </w:r>
          </w:p>
        </w:tc>
      </w:tr>
      <w:tr w:rsidR="007C5447">
        <w:trPr>
          <w:trHeight w:val="337"/>
        </w:trPr>
        <w:tc>
          <w:tcPr>
            <w:tcW w:w="696" w:type="dxa"/>
          </w:tcPr>
          <w:p w:rsidR="007C5447" w:rsidRDefault="00F6308C">
            <w:pPr>
              <w:pStyle w:val="TableParagraph"/>
              <w:spacing w:before="67"/>
              <w:ind w:left="90" w:right="80"/>
              <w:jc w:val="center"/>
              <w:rPr>
                <w:sz w:val="18"/>
              </w:rPr>
            </w:pPr>
            <w:r>
              <w:rPr>
                <w:sz w:val="18"/>
              </w:rPr>
              <w:t>12</w:t>
            </w:r>
          </w:p>
        </w:tc>
        <w:tc>
          <w:tcPr>
            <w:tcW w:w="3351" w:type="dxa"/>
          </w:tcPr>
          <w:p w:rsidR="007C5447" w:rsidRDefault="00F6308C">
            <w:pPr>
              <w:pStyle w:val="TableParagraph"/>
              <w:spacing w:before="67"/>
              <w:ind w:left="108"/>
              <w:jc w:val="left"/>
              <w:rPr>
                <w:sz w:val="18"/>
              </w:rPr>
            </w:pPr>
            <w:r>
              <w:rPr>
                <w:sz w:val="18"/>
              </w:rPr>
              <w:t>Less: Non-Tariff Income</w:t>
            </w:r>
          </w:p>
        </w:tc>
        <w:tc>
          <w:tcPr>
            <w:tcW w:w="1608" w:type="dxa"/>
          </w:tcPr>
          <w:p w:rsidR="007C5447" w:rsidRDefault="00F6308C">
            <w:pPr>
              <w:pStyle w:val="TableParagraph"/>
              <w:spacing w:before="67"/>
              <w:ind w:right="97"/>
              <w:rPr>
                <w:sz w:val="18"/>
              </w:rPr>
            </w:pPr>
            <w:r>
              <w:rPr>
                <w:sz w:val="18"/>
              </w:rPr>
              <w:t>680.00</w:t>
            </w:r>
          </w:p>
        </w:tc>
        <w:tc>
          <w:tcPr>
            <w:tcW w:w="1560" w:type="dxa"/>
          </w:tcPr>
          <w:p w:rsidR="007C5447" w:rsidRDefault="00F6308C">
            <w:pPr>
              <w:pStyle w:val="TableParagraph"/>
              <w:spacing w:before="67"/>
              <w:ind w:right="97"/>
              <w:rPr>
                <w:sz w:val="18"/>
              </w:rPr>
            </w:pPr>
            <w:r>
              <w:rPr>
                <w:sz w:val="18"/>
              </w:rPr>
              <w:t>852.97</w:t>
            </w:r>
          </w:p>
        </w:tc>
        <w:tc>
          <w:tcPr>
            <w:tcW w:w="1435" w:type="dxa"/>
          </w:tcPr>
          <w:p w:rsidR="007C5447" w:rsidRDefault="00F6308C">
            <w:pPr>
              <w:pStyle w:val="TableParagraph"/>
              <w:spacing w:before="67"/>
              <w:ind w:right="98"/>
              <w:rPr>
                <w:sz w:val="18"/>
              </w:rPr>
            </w:pPr>
            <w:r>
              <w:rPr>
                <w:sz w:val="18"/>
              </w:rPr>
              <w:t>852.97</w:t>
            </w:r>
          </w:p>
        </w:tc>
        <w:tc>
          <w:tcPr>
            <w:tcW w:w="1581" w:type="dxa"/>
          </w:tcPr>
          <w:p w:rsidR="007C5447" w:rsidRDefault="00F6308C">
            <w:pPr>
              <w:pStyle w:val="TableParagraph"/>
              <w:spacing w:before="67"/>
              <w:ind w:right="96"/>
              <w:rPr>
                <w:sz w:val="18"/>
              </w:rPr>
            </w:pPr>
            <w:r>
              <w:rPr>
                <w:sz w:val="18"/>
              </w:rPr>
              <w:t>728.70</w:t>
            </w:r>
          </w:p>
        </w:tc>
        <w:tc>
          <w:tcPr>
            <w:tcW w:w="1582" w:type="dxa"/>
          </w:tcPr>
          <w:p w:rsidR="007C5447" w:rsidRDefault="00F6308C">
            <w:pPr>
              <w:pStyle w:val="TableParagraph"/>
              <w:spacing w:before="67"/>
              <w:ind w:right="96"/>
              <w:rPr>
                <w:sz w:val="18"/>
              </w:rPr>
            </w:pPr>
            <w:r>
              <w:rPr>
                <w:sz w:val="18"/>
              </w:rPr>
              <w:t>780.86</w:t>
            </w:r>
          </w:p>
        </w:tc>
        <w:tc>
          <w:tcPr>
            <w:tcW w:w="1409" w:type="dxa"/>
          </w:tcPr>
          <w:p w:rsidR="007C5447" w:rsidRDefault="00F6308C">
            <w:pPr>
              <w:pStyle w:val="TableParagraph"/>
              <w:spacing w:before="67"/>
              <w:ind w:right="96"/>
              <w:rPr>
                <w:sz w:val="18"/>
              </w:rPr>
            </w:pPr>
            <w:r>
              <w:rPr>
                <w:sz w:val="18"/>
              </w:rPr>
              <w:t>780.86</w:t>
            </w:r>
          </w:p>
        </w:tc>
      </w:tr>
      <w:tr w:rsidR="007C5447">
        <w:trPr>
          <w:trHeight w:val="340"/>
        </w:trPr>
        <w:tc>
          <w:tcPr>
            <w:tcW w:w="696" w:type="dxa"/>
          </w:tcPr>
          <w:p w:rsidR="007C5447" w:rsidRDefault="00F6308C">
            <w:pPr>
              <w:pStyle w:val="TableParagraph"/>
              <w:spacing w:before="67"/>
              <w:ind w:left="90" w:right="80"/>
              <w:jc w:val="center"/>
              <w:rPr>
                <w:sz w:val="18"/>
              </w:rPr>
            </w:pPr>
            <w:r>
              <w:rPr>
                <w:sz w:val="18"/>
              </w:rPr>
              <w:t>13</w:t>
            </w:r>
          </w:p>
        </w:tc>
        <w:tc>
          <w:tcPr>
            <w:tcW w:w="3351" w:type="dxa"/>
          </w:tcPr>
          <w:p w:rsidR="007C5447" w:rsidRDefault="00F6308C">
            <w:pPr>
              <w:pStyle w:val="TableParagraph"/>
              <w:spacing w:before="67"/>
              <w:ind w:left="108"/>
              <w:jc w:val="left"/>
              <w:rPr>
                <w:sz w:val="18"/>
              </w:rPr>
            </w:pPr>
            <w:r>
              <w:rPr>
                <w:sz w:val="18"/>
              </w:rPr>
              <w:t>Add: Net Prior Period Credit / Income</w:t>
            </w:r>
          </w:p>
        </w:tc>
        <w:tc>
          <w:tcPr>
            <w:tcW w:w="1608" w:type="dxa"/>
          </w:tcPr>
          <w:p w:rsidR="007C5447" w:rsidRDefault="00F6308C">
            <w:pPr>
              <w:pStyle w:val="TableParagraph"/>
              <w:spacing w:before="67"/>
              <w:ind w:right="95"/>
              <w:rPr>
                <w:sz w:val="18"/>
              </w:rPr>
            </w:pPr>
            <w:r>
              <w:rPr>
                <w:w w:val="99"/>
                <w:sz w:val="18"/>
              </w:rPr>
              <w:t>-</w:t>
            </w:r>
          </w:p>
        </w:tc>
        <w:tc>
          <w:tcPr>
            <w:tcW w:w="1560" w:type="dxa"/>
          </w:tcPr>
          <w:p w:rsidR="007C5447" w:rsidRDefault="00F6308C">
            <w:pPr>
              <w:pStyle w:val="TableParagraph"/>
              <w:spacing w:before="67"/>
              <w:ind w:right="94"/>
              <w:rPr>
                <w:sz w:val="18"/>
              </w:rPr>
            </w:pPr>
            <w:r>
              <w:rPr>
                <w:sz w:val="18"/>
              </w:rPr>
              <w:t>(89.24)</w:t>
            </w:r>
          </w:p>
        </w:tc>
        <w:tc>
          <w:tcPr>
            <w:tcW w:w="1435" w:type="dxa"/>
          </w:tcPr>
          <w:p w:rsidR="007C5447" w:rsidRDefault="00F6308C">
            <w:pPr>
              <w:pStyle w:val="TableParagraph"/>
              <w:spacing w:before="67"/>
              <w:ind w:right="93"/>
              <w:rPr>
                <w:sz w:val="18"/>
              </w:rPr>
            </w:pPr>
            <w:r>
              <w:rPr>
                <w:sz w:val="18"/>
              </w:rPr>
              <w:t>(319.94)</w:t>
            </w:r>
          </w:p>
        </w:tc>
        <w:tc>
          <w:tcPr>
            <w:tcW w:w="1581" w:type="dxa"/>
          </w:tcPr>
          <w:p w:rsidR="007C5447" w:rsidRDefault="00F6308C">
            <w:pPr>
              <w:pStyle w:val="TableParagraph"/>
              <w:spacing w:before="67"/>
              <w:ind w:right="94"/>
              <w:rPr>
                <w:sz w:val="18"/>
              </w:rPr>
            </w:pPr>
            <w:r>
              <w:rPr>
                <w:w w:val="99"/>
                <w:sz w:val="18"/>
              </w:rPr>
              <w:t>-</w:t>
            </w:r>
          </w:p>
        </w:tc>
        <w:tc>
          <w:tcPr>
            <w:tcW w:w="1582" w:type="dxa"/>
          </w:tcPr>
          <w:p w:rsidR="007C5447" w:rsidRDefault="00F6308C">
            <w:pPr>
              <w:pStyle w:val="TableParagraph"/>
              <w:spacing w:before="67"/>
              <w:ind w:right="92"/>
              <w:rPr>
                <w:sz w:val="18"/>
              </w:rPr>
            </w:pPr>
            <w:r>
              <w:rPr>
                <w:sz w:val="18"/>
              </w:rPr>
              <w:t>(1,526.91)</w:t>
            </w:r>
          </w:p>
        </w:tc>
        <w:tc>
          <w:tcPr>
            <w:tcW w:w="1409" w:type="dxa"/>
          </w:tcPr>
          <w:p w:rsidR="007C5447" w:rsidRDefault="00F6308C">
            <w:pPr>
              <w:pStyle w:val="TableParagraph"/>
              <w:spacing w:before="67"/>
              <w:ind w:right="93"/>
              <w:rPr>
                <w:sz w:val="18"/>
              </w:rPr>
            </w:pPr>
            <w:r>
              <w:rPr>
                <w:sz w:val="18"/>
              </w:rPr>
              <w:t>(1,008.76)</w:t>
            </w:r>
          </w:p>
        </w:tc>
      </w:tr>
      <w:tr w:rsidR="007C5447">
        <w:trPr>
          <w:trHeight w:val="338"/>
        </w:trPr>
        <w:tc>
          <w:tcPr>
            <w:tcW w:w="696" w:type="dxa"/>
          </w:tcPr>
          <w:p w:rsidR="007C5447" w:rsidRDefault="00F6308C">
            <w:pPr>
              <w:pStyle w:val="TableParagraph"/>
              <w:spacing w:before="64"/>
              <w:ind w:left="90" w:right="80"/>
              <w:jc w:val="center"/>
              <w:rPr>
                <w:sz w:val="18"/>
              </w:rPr>
            </w:pPr>
            <w:r>
              <w:rPr>
                <w:sz w:val="18"/>
              </w:rPr>
              <w:t>14</w:t>
            </w:r>
          </w:p>
        </w:tc>
        <w:tc>
          <w:tcPr>
            <w:tcW w:w="3351" w:type="dxa"/>
          </w:tcPr>
          <w:p w:rsidR="007C5447" w:rsidRDefault="00F6308C">
            <w:pPr>
              <w:pStyle w:val="TableParagraph"/>
              <w:spacing w:before="64"/>
              <w:ind w:left="108"/>
              <w:jc w:val="left"/>
              <w:rPr>
                <w:sz w:val="18"/>
              </w:rPr>
            </w:pPr>
            <w:r>
              <w:rPr>
                <w:sz w:val="18"/>
              </w:rPr>
              <w:t>Less: revenue earned from trail stage</w:t>
            </w:r>
          </w:p>
        </w:tc>
        <w:tc>
          <w:tcPr>
            <w:tcW w:w="1608" w:type="dxa"/>
          </w:tcPr>
          <w:p w:rsidR="007C5447" w:rsidRDefault="007C5447">
            <w:pPr>
              <w:pStyle w:val="TableParagraph"/>
              <w:jc w:val="left"/>
              <w:rPr>
                <w:sz w:val="18"/>
              </w:rPr>
            </w:pPr>
          </w:p>
        </w:tc>
        <w:tc>
          <w:tcPr>
            <w:tcW w:w="1560" w:type="dxa"/>
          </w:tcPr>
          <w:p w:rsidR="007C5447" w:rsidRDefault="00F6308C">
            <w:pPr>
              <w:pStyle w:val="TableParagraph"/>
              <w:spacing w:before="64"/>
              <w:ind w:right="94"/>
              <w:rPr>
                <w:sz w:val="18"/>
              </w:rPr>
            </w:pPr>
            <w:r>
              <w:rPr>
                <w:sz w:val="18"/>
              </w:rPr>
              <w:t>(17.76)</w:t>
            </w:r>
          </w:p>
        </w:tc>
        <w:tc>
          <w:tcPr>
            <w:tcW w:w="1435" w:type="dxa"/>
          </w:tcPr>
          <w:p w:rsidR="007C5447" w:rsidRDefault="007C5447">
            <w:pPr>
              <w:pStyle w:val="TableParagraph"/>
              <w:jc w:val="left"/>
              <w:rPr>
                <w:sz w:val="18"/>
              </w:rPr>
            </w:pPr>
          </w:p>
        </w:tc>
        <w:tc>
          <w:tcPr>
            <w:tcW w:w="1581" w:type="dxa"/>
          </w:tcPr>
          <w:p w:rsidR="007C5447" w:rsidRDefault="007C5447">
            <w:pPr>
              <w:pStyle w:val="TableParagraph"/>
              <w:jc w:val="left"/>
              <w:rPr>
                <w:sz w:val="18"/>
              </w:rPr>
            </w:pPr>
          </w:p>
        </w:tc>
        <w:tc>
          <w:tcPr>
            <w:tcW w:w="1582" w:type="dxa"/>
          </w:tcPr>
          <w:p w:rsidR="007C5447" w:rsidRDefault="007C5447">
            <w:pPr>
              <w:pStyle w:val="TableParagraph"/>
              <w:jc w:val="left"/>
              <w:rPr>
                <w:sz w:val="18"/>
              </w:rPr>
            </w:pPr>
          </w:p>
        </w:tc>
        <w:tc>
          <w:tcPr>
            <w:tcW w:w="1409" w:type="dxa"/>
          </w:tcPr>
          <w:p w:rsidR="007C5447" w:rsidRDefault="007C5447">
            <w:pPr>
              <w:pStyle w:val="TableParagraph"/>
              <w:jc w:val="left"/>
              <w:rPr>
                <w:sz w:val="18"/>
              </w:rPr>
            </w:pPr>
          </w:p>
        </w:tc>
      </w:tr>
      <w:tr w:rsidR="007C5447">
        <w:trPr>
          <w:trHeight w:val="340"/>
        </w:trPr>
        <w:tc>
          <w:tcPr>
            <w:tcW w:w="696" w:type="dxa"/>
          </w:tcPr>
          <w:p w:rsidR="007C5447" w:rsidRDefault="00F6308C">
            <w:pPr>
              <w:pStyle w:val="TableParagraph"/>
              <w:spacing w:before="67"/>
              <w:ind w:left="90" w:right="80"/>
              <w:jc w:val="center"/>
              <w:rPr>
                <w:b/>
                <w:sz w:val="18"/>
              </w:rPr>
            </w:pPr>
            <w:r>
              <w:rPr>
                <w:b/>
                <w:sz w:val="18"/>
              </w:rPr>
              <w:t>15</w:t>
            </w:r>
          </w:p>
        </w:tc>
        <w:tc>
          <w:tcPr>
            <w:tcW w:w="3351" w:type="dxa"/>
          </w:tcPr>
          <w:p w:rsidR="007C5447" w:rsidRDefault="00F6308C">
            <w:pPr>
              <w:pStyle w:val="TableParagraph"/>
              <w:spacing w:before="67"/>
              <w:ind w:left="108"/>
              <w:jc w:val="left"/>
              <w:rPr>
                <w:b/>
                <w:sz w:val="18"/>
              </w:rPr>
            </w:pPr>
            <w:r>
              <w:rPr>
                <w:b/>
                <w:sz w:val="18"/>
              </w:rPr>
              <w:t>Net Aggregate Revenue Requirement</w:t>
            </w:r>
          </w:p>
        </w:tc>
        <w:tc>
          <w:tcPr>
            <w:tcW w:w="1608" w:type="dxa"/>
          </w:tcPr>
          <w:p w:rsidR="007C5447" w:rsidRDefault="00F6308C">
            <w:pPr>
              <w:pStyle w:val="TableParagraph"/>
              <w:spacing w:before="67"/>
              <w:ind w:right="95"/>
              <w:rPr>
                <w:b/>
                <w:sz w:val="18"/>
              </w:rPr>
            </w:pPr>
            <w:r>
              <w:rPr>
                <w:b/>
                <w:sz w:val="18"/>
              </w:rPr>
              <w:t>5821.14</w:t>
            </w:r>
          </w:p>
        </w:tc>
        <w:tc>
          <w:tcPr>
            <w:tcW w:w="1560" w:type="dxa"/>
          </w:tcPr>
          <w:p w:rsidR="007C5447" w:rsidRDefault="00F6308C">
            <w:pPr>
              <w:pStyle w:val="TableParagraph"/>
              <w:spacing w:before="67"/>
              <w:ind w:right="97"/>
              <w:rPr>
                <w:b/>
                <w:sz w:val="18"/>
              </w:rPr>
            </w:pPr>
            <w:r>
              <w:rPr>
                <w:b/>
                <w:sz w:val="18"/>
              </w:rPr>
              <w:t>8,621.12</w:t>
            </w:r>
          </w:p>
        </w:tc>
        <w:tc>
          <w:tcPr>
            <w:tcW w:w="1435" w:type="dxa"/>
          </w:tcPr>
          <w:p w:rsidR="007C5447" w:rsidRDefault="00F6308C">
            <w:pPr>
              <w:pStyle w:val="TableParagraph"/>
              <w:spacing w:before="67"/>
              <w:ind w:right="96"/>
              <w:rPr>
                <w:b/>
                <w:sz w:val="18"/>
              </w:rPr>
            </w:pPr>
            <w:r>
              <w:rPr>
                <w:b/>
                <w:sz w:val="18"/>
              </w:rPr>
              <w:t>5,355.79</w:t>
            </w:r>
          </w:p>
        </w:tc>
        <w:tc>
          <w:tcPr>
            <w:tcW w:w="1581" w:type="dxa"/>
          </w:tcPr>
          <w:p w:rsidR="007C5447" w:rsidRDefault="00F6308C">
            <w:pPr>
              <w:pStyle w:val="TableParagraph"/>
              <w:spacing w:before="67"/>
              <w:ind w:right="96"/>
              <w:rPr>
                <w:b/>
                <w:sz w:val="18"/>
              </w:rPr>
            </w:pPr>
            <w:r>
              <w:rPr>
                <w:b/>
                <w:sz w:val="18"/>
              </w:rPr>
              <w:t>5789.52</w:t>
            </w:r>
          </w:p>
        </w:tc>
        <w:tc>
          <w:tcPr>
            <w:tcW w:w="1582" w:type="dxa"/>
          </w:tcPr>
          <w:p w:rsidR="007C5447" w:rsidRDefault="00F6308C">
            <w:pPr>
              <w:pStyle w:val="TableParagraph"/>
              <w:spacing w:before="67"/>
              <w:ind w:right="96"/>
              <w:rPr>
                <w:b/>
                <w:sz w:val="18"/>
              </w:rPr>
            </w:pPr>
            <w:r>
              <w:rPr>
                <w:b/>
                <w:sz w:val="18"/>
              </w:rPr>
              <w:t>8,043.33</w:t>
            </w:r>
          </w:p>
        </w:tc>
        <w:tc>
          <w:tcPr>
            <w:tcW w:w="1409" w:type="dxa"/>
          </w:tcPr>
          <w:p w:rsidR="007C5447" w:rsidRDefault="00F6308C">
            <w:pPr>
              <w:pStyle w:val="TableParagraph"/>
              <w:spacing w:before="67"/>
              <w:ind w:right="93"/>
              <w:rPr>
                <w:b/>
                <w:sz w:val="18"/>
              </w:rPr>
            </w:pPr>
            <w:r>
              <w:rPr>
                <w:b/>
                <w:sz w:val="18"/>
              </w:rPr>
              <w:t>5,030.71</w:t>
            </w:r>
          </w:p>
        </w:tc>
      </w:tr>
    </w:tbl>
    <w:p w:rsidR="007C5447" w:rsidRDefault="007C5447">
      <w:pPr>
        <w:rPr>
          <w:sz w:val="18"/>
        </w:rPr>
        <w:sectPr w:rsidR="007C5447">
          <w:pgSz w:w="16840" w:h="11910" w:orient="landscape"/>
          <w:pgMar w:top="1100" w:right="960" w:bottom="1240" w:left="340" w:header="0" w:footer="1057" w:gutter="0"/>
          <w:cols w:space="720"/>
        </w:sectPr>
      </w:pPr>
    </w:p>
    <w:p w:rsidR="007C5447" w:rsidRDefault="00F6308C">
      <w:pPr>
        <w:pStyle w:val="Heading2"/>
        <w:spacing w:before="61"/>
        <w:ind w:left="972"/>
      </w:pPr>
      <w:r>
        <w:lastRenderedPageBreak/>
        <w:t>Generation Function (Capacity Charges)</w:t>
      </w:r>
    </w:p>
    <w:p w:rsidR="007C5447" w:rsidRDefault="00F6308C">
      <w:pPr>
        <w:pStyle w:val="ListParagraph"/>
        <w:numPr>
          <w:ilvl w:val="2"/>
          <w:numId w:val="92"/>
        </w:numPr>
        <w:tabs>
          <w:tab w:val="left" w:pos="973"/>
        </w:tabs>
        <w:spacing w:before="201" w:line="312" w:lineRule="auto"/>
        <w:ind w:left="972" w:right="116"/>
        <w:jc w:val="both"/>
        <w:rPr>
          <w:sz w:val="24"/>
        </w:rPr>
      </w:pPr>
      <w:r>
        <w:rPr>
          <w:sz w:val="24"/>
        </w:rPr>
        <w:t>As per Regulation 36 of the Tariff Regulations, fixed components of generation function</w:t>
      </w:r>
      <w:r>
        <w:rPr>
          <w:spacing w:val="-1"/>
          <w:sz w:val="24"/>
        </w:rPr>
        <w:t xml:space="preserve"> </w:t>
      </w:r>
      <w:r>
        <w:rPr>
          <w:sz w:val="24"/>
        </w:rPr>
        <w:t>comprise:</w:t>
      </w:r>
    </w:p>
    <w:p w:rsidR="007C5447" w:rsidRDefault="007C5447">
      <w:pPr>
        <w:pStyle w:val="BodyText"/>
        <w:spacing w:before="10"/>
        <w:rPr>
          <w:sz w:val="20"/>
        </w:rPr>
      </w:pPr>
    </w:p>
    <w:p w:rsidR="007C5447" w:rsidRDefault="00F6308C">
      <w:pPr>
        <w:pStyle w:val="Heading3"/>
        <w:spacing w:before="1"/>
        <w:ind w:left="1560"/>
        <w:jc w:val="both"/>
      </w:pPr>
      <w:r>
        <w:t>“36. Components of Tariff</w:t>
      </w:r>
    </w:p>
    <w:p w:rsidR="007C5447" w:rsidRDefault="00F6308C">
      <w:pPr>
        <w:pStyle w:val="ListParagraph"/>
        <w:numPr>
          <w:ilvl w:val="0"/>
          <w:numId w:val="82"/>
        </w:numPr>
        <w:tabs>
          <w:tab w:val="left" w:pos="2106"/>
        </w:tabs>
        <w:spacing w:line="312" w:lineRule="auto"/>
        <w:ind w:right="113"/>
        <w:jc w:val="both"/>
        <w:rPr>
          <w:i/>
          <w:sz w:val="24"/>
        </w:rPr>
      </w:pPr>
      <w:r>
        <w:rPr>
          <w:i/>
          <w:sz w:val="24"/>
        </w:rPr>
        <w:t>The tariff for sale of power by the Generating Companies shall be of two part namely the Fixed Charges (recovery of annual capacity</w:t>
      </w:r>
      <w:r>
        <w:rPr>
          <w:i/>
          <w:sz w:val="24"/>
        </w:rPr>
        <w:t xml:space="preserve"> charges) and variable (energy)</w:t>
      </w:r>
      <w:r>
        <w:rPr>
          <w:i/>
          <w:spacing w:val="-4"/>
          <w:sz w:val="24"/>
        </w:rPr>
        <w:t xml:space="preserve"> </w:t>
      </w:r>
      <w:r>
        <w:rPr>
          <w:i/>
          <w:sz w:val="24"/>
        </w:rPr>
        <w:t>charges.</w:t>
      </w:r>
    </w:p>
    <w:p w:rsidR="007C5447" w:rsidRDefault="00F6308C">
      <w:pPr>
        <w:pStyle w:val="ListParagraph"/>
        <w:numPr>
          <w:ilvl w:val="0"/>
          <w:numId w:val="82"/>
        </w:numPr>
        <w:tabs>
          <w:tab w:val="left" w:pos="2106"/>
        </w:tabs>
        <w:spacing w:before="1"/>
        <w:ind w:hanging="361"/>
        <w:jc w:val="both"/>
        <w:rPr>
          <w:i/>
          <w:sz w:val="24"/>
        </w:rPr>
      </w:pPr>
      <w:r>
        <w:rPr>
          <w:i/>
          <w:sz w:val="24"/>
        </w:rPr>
        <w:t>The Fixed (annual capacity) charges shall consist of the following</w:t>
      </w:r>
      <w:r>
        <w:rPr>
          <w:i/>
          <w:spacing w:val="-10"/>
          <w:sz w:val="24"/>
        </w:rPr>
        <w:t xml:space="preserve"> </w:t>
      </w:r>
      <w:r>
        <w:rPr>
          <w:i/>
          <w:sz w:val="24"/>
        </w:rPr>
        <w:t>elements:</w:t>
      </w:r>
    </w:p>
    <w:p w:rsidR="007C5447" w:rsidRDefault="00F6308C">
      <w:pPr>
        <w:pStyle w:val="ListParagraph"/>
        <w:numPr>
          <w:ilvl w:val="1"/>
          <w:numId w:val="82"/>
        </w:numPr>
        <w:tabs>
          <w:tab w:val="left" w:pos="2531"/>
        </w:tabs>
        <w:spacing w:before="81"/>
        <w:rPr>
          <w:i/>
          <w:sz w:val="24"/>
        </w:rPr>
      </w:pPr>
      <w:r>
        <w:rPr>
          <w:i/>
          <w:sz w:val="24"/>
        </w:rPr>
        <w:t>Interest on Loan</w:t>
      </w:r>
      <w:r>
        <w:rPr>
          <w:i/>
          <w:spacing w:val="-1"/>
          <w:sz w:val="24"/>
        </w:rPr>
        <w:t xml:space="preserve"> </w:t>
      </w:r>
      <w:r>
        <w:rPr>
          <w:i/>
          <w:sz w:val="24"/>
        </w:rPr>
        <w:t>Capital</w:t>
      </w:r>
    </w:p>
    <w:p w:rsidR="007C5447" w:rsidRDefault="00F6308C">
      <w:pPr>
        <w:pStyle w:val="ListParagraph"/>
        <w:numPr>
          <w:ilvl w:val="1"/>
          <w:numId w:val="82"/>
        </w:numPr>
        <w:tabs>
          <w:tab w:val="left" w:pos="2531"/>
        </w:tabs>
        <w:spacing w:before="85"/>
        <w:rPr>
          <w:i/>
          <w:sz w:val="24"/>
        </w:rPr>
      </w:pPr>
      <w:r>
        <w:rPr>
          <w:i/>
          <w:sz w:val="24"/>
        </w:rPr>
        <w:t>Depreciation</w:t>
      </w:r>
    </w:p>
    <w:p w:rsidR="007C5447" w:rsidRDefault="00F6308C">
      <w:pPr>
        <w:pStyle w:val="ListParagraph"/>
        <w:numPr>
          <w:ilvl w:val="1"/>
          <w:numId w:val="82"/>
        </w:numPr>
        <w:tabs>
          <w:tab w:val="left" w:pos="2531"/>
        </w:tabs>
        <w:spacing w:before="82"/>
        <w:rPr>
          <w:i/>
          <w:sz w:val="24"/>
        </w:rPr>
      </w:pPr>
      <w:r>
        <w:rPr>
          <w:i/>
          <w:sz w:val="24"/>
        </w:rPr>
        <w:t>Return on</w:t>
      </w:r>
      <w:r>
        <w:rPr>
          <w:i/>
          <w:spacing w:val="-1"/>
          <w:sz w:val="24"/>
        </w:rPr>
        <w:t xml:space="preserve"> </w:t>
      </w:r>
      <w:r>
        <w:rPr>
          <w:i/>
          <w:sz w:val="24"/>
        </w:rPr>
        <w:t>Equity;</w:t>
      </w:r>
    </w:p>
    <w:p w:rsidR="007C5447" w:rsidRDefault="00F6308C">
      <w:pPr>
        <w:pStyle w:val="ListParagraph"/>
        <w:numPr>
          <w:ilvl w:val="1"/>
          <w:numId w:val="82"/>
        </w:numPr>
        <w:tabs>
          <w:tab w:val="left" w:pos="2531"/>
        </w:tabs>
        <w:spacing w:before="84"/>
        <w:rPr>
          <w:i/>
          <w:sz w:val="24"/>
        </w:rPr>
      </w:pPr>
      <w:r>
        <w:rPr>
          <w:i/>
          <w:sz w:val="24"/>
        </w:rPr>
        <w:t>Operation and Maintenance expenses;</w:t>
      </w:r>
      <w:r>
        <w:rPr>
          <w:i/>
          <w:spacing w:val="-2"/>
          <w:sz w:val="24"/>
        </w:rPr>
        <w:t xml:space="preserve"> </w:t>
      </w:r>
      <w:r>
        <w:rPr>
          <w:i/>
          <w:sz w:val="24"/>
        </w:rPr>
        <w:t>and</w:t>
      </w:r>
    </w:p>
    <w:p w:rsidR="007C5447" w:rsidRDefault="00F6308C">
      <w:pPr>
        <w:pStyle w:val="ListParagraph"/>
        <w:numPr>
          <w:ilvl w:val="1"/>
          <w:numId w:val="82"/>
        </w:numPr>
        <w:tabs>
          <w:tab w:val="left" w:pos="2531"/>
        </w:tabs>
        <w:spacing w:before="81"/>
        <w:rPr>
          <w:i/>
          <w:sz w:val="24"/>
        </w:rPr>
      </w:pPr>
      <w:r>
        <w:rPr>
          <w:i/>
          <w:sz w:val="24"/>
        </w:rPr>
        <w:t>Interest on Working</w:t>
      </w:r>
      <w:r>
        <w:rPr>
          <w:i/>
          <w:spacing w:val="1"/>
          <w:sz w:val="24"/>
        </w:rPr>
        <w:t xml:space="preserve"> </w:t>
      </w:r>
      <w:r>
        <w:rPr>
          <w:i/>
          <w:sz w:val="24"/>
        </w:rPr>
        <w:t>Capital:</w:t>
      </w:r>
    </w:p>
    <w:p w:rsidR="007C5447" w:rsidRDefault="00F6308C">
      <w:pPr>
        <w:pStyle w:val="ListParagraph"/>
        <w:numPr>
          <w:ilvl w:val="0"/>
          <w:numId w:val="82"/>
        </w:numPr>
        <w:tabs>
          <w:tab w:val="left" w:pos="2106"/>
        </w:tabs>
        <w:spacing w:before="84"/>
        <w:ind w:hanging="361"/>
        <w:rPr>
          <w:i/>
          <w:sz w:val="24"/>
        </w:rPr>
      </w:pPr>
      <w:r>
        <w:rPr>
          <w:i/>
          <w:sz w:val="24"/>
        </w:rPr>
        <w:t>The energy (variable) charges shall cover fuel</w:t>
      </w:r>
      <w:r>
        <w:rPr>
          <w:i/>
          <w:spacing w:val="-8"/>
          <w:sz w:val="24"/>
        </w:rPr>
        <w:t xml:space="preserve"> </w:t>
      </w:r>
      <w:r>
        <w:rPr>
          <w:i/>
          <w:sz w:val="24"/>
        </w:rPr>
        <w:t>cost.”</w:t>
      </w:r>
    </w:p>
    <w:p w:rsidR="007C5447" w:rsidRDefault="00F6308C">
      <w:pPr>
        <w:pStyle w:val="ListParagraph"/>
        <w:numPr>
          <w:ilvl w:val="2"/>
          <w:numId w:val="92"/>
        </w:numPr>
        <w:tabs>
          <w:tab w:val="left" w:pos="973"/>
        </w:tabs>
        <w:spacing w:before="202" w:line="312" w:lineRule="auto"/>
        <w:ind w:left="972" w:right="119"/>
        <w:jc w:val="both"/>
        <w:rPr>
          <w:sz w:val="24"/>
        </w:rPr>
      </w:pPr>
      <w:r>
        <w:rPr>
          <w:sz w:val="24"/>
        </w:rPr>
        <w:t>The recovery of capacity charges are governed by Regulation 42 of TNERC Tariff Regulations, 2005 which states as</w:t>
      </w:r>
      <w:r>
        <w:rPr>
          <w:spacing w:val="1"/>
          <w:sz w:val="24"/>
        </w:rPr>
        <w:t xml:space="preserve"> </w:t>
      </w:r>
      <w:r>
        <w:rPr>
          <w:sz w:val="24"/>
        </w:rPr>
        <w:t>under:</w:t>
      </w:r>
    </w:p>
    <w:p w:rsidR="007C5447" w:rsidRDefault="007C5447">
      <w:pPr>
        <w:pStyle w:val="BodyText"/>
        <w:spacing w:before="10"/>
        <w:rPr>
          <w:sz w:val="20"/>
        </w:rPr>
      </w:pPr>
    </w:p>
    <w:p w:rsidR="007C5447" w:rsidRDefault="00F6308C">
      <w:pPr>
        <w:ind w:left="1560"/>
        <w:jc w:val="both"/>
        <w:rPr>
          <w:i/>
          <w:sz w:val="24"/>
        </w:rPr>
      </w:pPr>
      <w:r>
        <w:rPr>
          <w:i/>
          <w:sz w:val="24"/>
        </w:rPr>
        <w:t>“42. Recovery of Capacity Charges</w:t>
      </w:r>
    </w:p>
    <w:p w:rsidR="007C5447" w:rsidRDefault="007C5447">
      <w:pPr>
        <w:pStyle w:val="BodyText"/>
        <w:spacing w:before="10"/>
        <w:rPr>
          <w:i/>
          <w:sz w:val="20"/>
        </w:rPr>
      </w:pPr>
    </w:p>
    <w:p w:rsidR="007C5447" w:rsidRDefault="00F6308C">
      <w:pPr>
        <w:pStyle w:val="ListParagraph"/>
        <w:numPr>
          <w:ilvl w:val="0"/>
          <w:numId w:val="81"/>
        </w:numPr>
        <w:tabs>
          <w:tab w:val="left" w:pos="1832"/>
        </w:tabs>
        <w:ind w:right="832" w:firstLine="0"/>
        <w:jc w:val="both"/>
        <w:rPr>
          <w:i/>
          <w:sz w:val="24"/>
        </w:rPr>
      </w:pPr>
      <w:r>
        <w:rPr>
          <w:i/>
          <w:sz w:val="24"/>
        </w:rPr>
        <w:t>Full capacity charges (Fixed Charges) shall be</w:t>
      </w:r>
      <w:r>
        <w:rPr>
          <w:i/>
          <w:sz w:val="24"/>
        </w:rPr>
        <w:t xml:space="preserve"> recoverable at target availability specified in clause (1) of Regulation</w:t>
      </w:r>
      <w:r>
        <w:rPr>
          <w:i/>
          <w:spacing w:val="-3"/>
          <w:sz w:val="24"/>
        </w:rPr>
        <w:t xml:space="preserve"> </w:t>
      </w:r>
      <w:r>
        <w:rPr>
          <w:i/>
          <w:sz w:val="24"/>
        </w:rPr>
        <w:t>37.</w:t>
      </w:r>
    </w:p>
    <w:p w:rsidR="007C5447" w:rsidRDefault="007C5447">
      <w:pPr>
        <w:pStyle w:val="BodyText"/>
        <w:spacing w:before="10"/>
        <w:rPr>
          <w:i/>
          <w:sz w:val="20"/>
        </w:rPr>
      </w:pPr>
    </w:p>
    <w:p w:rsidR="007C5447" w:rsidRDefault="00F6308C">
      <w:pPr>
        <w:pStyle w:val="ListParagraph"/>
        <w:numPr>
          <w:ilvl w:val="0"/>
          <w:numId w:val="81"/>
        </w:numPr>
        <w:tabs>
          <w:tab w:val="left" w:pos="1815"/>
        </w:tabs>
        <w:spacing w:before="1"/>
        <w:ind w:right="828" w:firstLine="0"/>
        <w:jc w:val="both"/>
        <w:rPr>
          <w:i/>
          <w:sz w:val="24"/>
        </w:rPr>
      </w:pPr>
      <w:r>
        <w:rPr>
          <w:i/>
          <w:sz w:val="24"/>
        </w:rPr>
        <w:t xml:space="preserve">Recovery of capacity charges below the level of target availability will </w:t>
      </w:r>
      <w:r>
        <w:rPr>
          <w:i/>
          <w:sz w:val="24"/>
        </w:rPr>
        <w:t>be on pro rata basis. At zero availability, no capacity charges shall be payable.…”</w:t>
      </w:r>
    </w:p>
    <w:p w:rsidR="007C5447" w:rsidRDefault="00F6308C">
      <w:pPr>
        <w:pStyle w:val="ListParagraph"/>
        <w:numPr>
          <w:ilvl w:val="2"/>
          <w:numId w:val="92"/>
        </w:numPr>
        <w:tabs>
          <w:tab w:val="left" w:pos="973"/>
        </w:tabs>
        <w:spacing w:before="120" w:line="312" w:lineRule="auto"/>
        <w:ind w:left="972" w:right="105"/>
        <w:jc w:val="both"/>
        <w:rPr>
          <w:sz w:val="24"/>
        </w:rPr>
      </w:pPr>
      <w:r>
        <w:rPr>
          <w:sz w:val="24"/>
        </w:rPr>
        <w:t>The above capacity charges as determined by the Commission are to be recovered when TANGEDCO is able to meet the target in terms of norms set by the Commission. The norms s</w:t>
      </w:r>
      <w:r>
        <w:rPr>
          <w:sz w:val="24"/>
        </w:rPr>
        <w:t>pecified for recovery of fixed charges as specified in the Tariff Regulations are reproduced</w:t>
      </w:r>
      <w:r>
        <w:rPr>
          <w:spacing w:val="-1"/>
          <w:sz w:val="24"/>
        </w:rPr>
        <w:t xml:space="preserve"> </w:t>
      </w:r>
      <w:r>
        <w:rPr>
          <w:sz w:val="24"/>
        </w:rPr>
        <w:t>below:</w:t>
      </w:r>
    </w:p>
    <w:p w:rsidR="007C5447" w:rsidRDefault="007C5447">
      <w:pPr>
        <w:pStyle w:val="BodyText"/>
        <w:spacing w:before="10"/>
        <w:rPr>
          <w:sz w:val="20"/>
        </w:rPr>
      </w:pPr>
    </w:p>
    <w:p w:rsidR="007C5447" w:rsidRDefault="00F6308C">
      <w:pPr>
        <w:ind w:left="1560"/>
        <w:jc w:val="both"/>
        <w:rPr>
          <w:i/>
          <w:sz w:val="24"/>
        </w:rPr>
      </w:pPr>
      <w:r>
        <w:rPr>
          <w:i/>
          <w:sz w:val="24"/>
        </w:rPr>
        <w:t>“37. Norms of Operation</w:t>
      </w:r>
    </w:p>
    <w:p w:rsidR="007C5447" w:rsidRDefault="007C5447">
      <w:pPr>
        <w:pStyle w:val="BodyText"/>
        <w:spacing w:before="10"/>
        <w:rPr>
          <w:i/>
          <w:sz w:val="20"/>
        </w:rPr>
      </w:pPr>
    </w:p>
    <w:p w:rsidR="007C5447" w:rsidRDefault="00F6308C">
      <w:pPr>
        <w:ind w:left="1560" w:right="835"/>
        <w:jc w:val="both"/>
        <w:rPr>
          <w:i/>
          <w:sz w:val="24"/>
        </w:rPr>
      </w:pPr>
      <w:r>
        <w:rPr>
          <w:i/>
          <w:sz w:val="24"/>
        </w:rPr>
        <w:t>The norms of operation for the Thermal Generating Stations shall be as under:</w:t>
      </w:r>
    </w:p>
    <w:p w:rsidR="007C5447" w:rsidRDefault="00F6308C">
      <w:pPr>
        <w:pStyle w:val="ListParagraph"/>
        <w:numPr>
          <w:ilvl w:val="0"/>
          <w:numId w:val="80"/>
        </w:numPr>
        <w:tabs>
          <w:tab w:val="left" w:pos="2106"/>
        </w:tabs>
        <w:spacing w:before="2"/>
        <w:ind w:hanging="426"/>
        <w:jc w:val="both"/>
        <w:rPr>
          <w:i/>
        </w:rPr>
      </w:pPr>
      <w:r>
        <w:rPr>
          <w:i/>
        </w:rPr>
        <w:t>Target availability for recovery of full capacity (f</w:t>
      </w:r>
      <w:r>
        <w:rPr>
          <w:i/>
        </w:rPr>
        <w:t>ixed)</w:t>
      </w:r>
      <w:r>
        <w:rPr>
          <w:i/>
          <w:spacing w:val="-10"/>
        </w:rPr>
        <w:t xml:space="preserve"> </w:t>
      </w:r>
      <w:r>
        <w:rPr>
          <w:i/>
        </w:rPr>
        <w:t>charges</w:t>
      </w:r>
    </w:p>
    <w:p w:rsidR="007C5447" w:rsidRDefault="00F6308C">
      <w:pPr>
        <w:pStyle w:val="ListParagraph"/>
        <w:numPr>
          <w:ilvl w:val="1"/>
          <w:numId w:val="80"/>
        </w:numPr>
        <w:tabs>
          <w:tab w:val="left" w:pos="2281"/>
        </w:tabs>
        <w:spacing w:before="76" w:line="312" w:lineRule="auto"/>
        <w:ind w:right="2051"/>
        <w:jc w:val="both"/>
        <w:rPr>
          <w:i/>
        </w:rPr>
      </w:pPr>
      <w:r>
        <w:rPr>
          <w:i/>
        </w:rPr>
        <w:t>All Thermal Generating stations in Tamil Nadu except Ennore Thermal Power Generating Station</w:t>
      </w:r>
      <w:r>
        <w:rPr>
          <w:i/>
          <w:spacing w:val="6"/>
        </w:rPr>
        <w:t xml:space="preserve"> </w:t>
      </w:r>
      <w:r>
        <w:rPr>
          <w:i/>
        </w:rPr>
        <w:t>80%</w:t>
      </w:r>
    </w:p>
    <w:p w:rsidR="007C5447" w:rsidRDefault="00F6308C">
      <w:pPr>
        <w:pStyle w:val="ListParagraph"/>
        <w:numPr>
          <w:ilvl w:val="1"/>
          <w:numId w:val="80"/>
        </w:numPr>
        <w:tabs>
          <w:tab w:val="left" w:pos="2281"/>
        </w:tabs>
        <w:spacing w:line="312" w:lineRule="auto"/>
        <w:ind w:right="2074"/>
        <w:jc w:val="both"/>
        <w:rPr>
          <w:i/>
        </w:rPr>
      </w:pPr>
      <w:r>
        <w:rPr>
          <w:i/>
        </w:rPr>
        <w:t>Ennore Thermal Power Generating Station (Till Renovation and Modernization works in all units are completed)</w:t>
      </w:r>
      <w:r>
        <w:rPr>
          <w:i/>
          <w:spacing w:val="54"/>
        </w:rPr>
        <w:t xml:space="preserve"> </w:t>
      </w:r>
      <w:r>
        <w:rPr>
          <w:i/>
        </w:rPr>
        <w:t>50%</w:t>
      </w:r>
    </w:p>
    <w:p w:rsidR="007C5447" w:rsidRDefault="007C5447">
      <w:pPr>
        <w:spacing w:line="312" w:lineRule="auto"/>
        <w:jc w:val="both"/>
        <w:sectPr w:rsidR="007C5447">
          <w:footerReference w:type="default" r:id="rId29"/>
          <w:pgSz w:w="11910" w:h="16840"/>
          <w:pgMar w:top="1480" w:right="1020" w:bottom="1240" w:left="1320" w:header="0" w:footer="1057" w:gutter="0"/>
          <w:pgNumType w:start="132"/>
          <w:cols w:space="720"/>
        </w:sectPr>
      </w:pPr>
    </w:p>
    <w:p w:rsidR="007C5447" w:rsidRDefault="00F6308C">
      <w:pPr>
        <w:pStyle w:val="ListParagraph"/>
        <w:numPr>
          <w:ilvl w:val="1"/>
          <w:numId w:val="80"/>
        </w:numPr>
        <w:tabs>
          <w:tab w:val="left" w:pos="2281"/>
          <w:tab w:val="left" w:leader="dot" w:pos="5881"/>
        </w:tabs>
        <w:spacing w:before="62"/>
        <w:ind w:hanging="361"/>
        <w:rPr>
          <w:i/>
        </w:rPr>
      </w:pPr>
      <w:r>
        <w:rPr>
          <w:i/>
        </w:rPr>
        <w:lastRenderedPageBreak/>
        <w:t>In respect of Generating</w:t>
      </w:r>
      <w:r>
        <w:rPr>
          <w:i/>
          <w:spacing w:val="-6"/>
        </w:rPr>
        <w:t xml:space="preserve"> </w:t>
      </w:r>
      <w:r>
        <w:rPr>
          <w:i/>
        </w:rPr>
        <w:t>Stations</w:t>
      </w:r>
      <w:r>
        <w:rPr>
          <w:i/>
          <w:spacing w:val="-1"/>
        </w:rPr>
        <w:t xml:space="preserve"> </w:t>
      </w:r>
      <w:r>
        <w:rPr>
          <w:i/>
        </w:rPr>
        <w:t>of</w:t>
      </w:r>
      <w:r>
        <w:rPr>
          <w:i/>
        </w:rPr>
        <w:tab/>
        <w:t>As per PPA</w:t>
      </w:r>
    </w:p>
    <w:p w:rsidR="007C5447" w:rsidRDefault="00F6308C">
      <w:pPr>
        <w:spacing w:before="77"/>
        <w:ind w:left="2280"/>
        <w:rPr>
          <w:i/>
        </w:rPr>
      </w:pPr>
      <w:r>
        <w:rPr>
          <w:i/>
        </w:rPr>
        <w:t>Independent Power Producers</w:t>
      </w:r>
    </w:p>
    <w:p w:rsidR="007C5447" w:rsidRDefault="00F6308C">
      <w:pPr>
        <w:pStyle w:val="ListParagraph"/>
        <w:numPr>
          <w:ilvl w:val="1"/>
          <w:numId w:val="80"/>
        </w:numPr>
        <w:tabs>
          <w:tab w:val="left" w:pos="2281"/>
          <w:tab w:val="left" w:pos="6601"/>
        </w:tabs>
        <w:spacing w:before="75"/>
        <w:ind w:hanging="361"/>
        <w:rPr>
          <w:i/>
        </w:rPr>
      </w:pPr>
      <w:r>
        <w:rPr>
          <w:i/>
        </w:rPr>
        <w:t>New</w:t>
      </w:r>
      <w:r>
        <w:rPr>
          <w:i/>
          <w:spacing w:val="-1"/>
        </w:rPr>
        <w:t xml:space="preserve"> </w:t>
      </w:r>
      <w:r>
        <w:rPr>
          <w:i/>
        </w:rPr>
        <w:t>Thermal</w:t>
      </w:r>
      <w:r>
        <w:rPr>
          <w:i/>
          <w:spacing w:val="-3"/>
        </w:rPr>
        <w:t xml:space="preserve"> </w:t>
      </w:r>
      <w:r>
        <w:rPr>
          <w:i/>
        </w:rPr>
        <w:t>Stations</w:t>
      </w:r>
      <w:r>
        <w:rPr>
          <w:i/>
        </w:rPr>
        <w:tab/>
        <w:t>80%”</w:t>
      </w:r>
    </w:p>
    <w:p w:rsidR="007C5447" w:rsidRDefault="007C5447">
      <w:pPr>
        <w:pStyle w:val="BodyText"/>
        <w:rPr>
          <w:i/>
        </w:rPr>
      </w:pPr>
    </w:p>
    <w:p w:rsidR="007C5447" w:rsidRDefault="007C5447">
      <w:pPr>
        <w:pStyle w:val="BodyText"/>
        <w:spacing w:before="5"/>
        <w:rPr>
          <w:i/>
          <w:sz w:val="21"/>
        </w:rPr>
      </w:pPr>
    </w:p>
    <w:p w:rsidR="007C5447" w:rsidRDefault="00F6308C">
      <w:pPr>
        <w:pStyle w:val="ListParagraph"/>
        <w:numPr>
          <w:ilvl w:val="2"/>
          <w:numId w:val="92"/>
        </w:numPr>
        <w:tabs>
          <w:tab w:val="left" w:pos="973"/>
        </w:tabs>
        <w:spacing w:before="1" w:line="312" w:lineRule="auto"/>
        <w:ind w:left="972" w:right="108"/>
        <w:jc w:val="both"/>
        <w:rPr>
          <w:sz w:val="24"/>
        </w:rPr>
      </w:pPr>
      <w:r>
        <w:rPr>
          <w:sz w:val="24"/>
        </w:rPr>
        <w:t>The Commission has considered the station-wise availability for the period from FY 2011-12 to FY 2015-16 as submitted by TANGEDCO in the CIP Petition. Further, while computing recoverable capacity charges, the Commission has not considered prior period exp</w:t>
      </w:r>
      <w:r>
        <w:rPr>
          <w:sz w:val="24"/>
        </w:rPr>
        <w:t>enses/(income). Since such expenses/(income) pertain to previous years, the Commission is of the view that they should not be considered while disallowing capacity charges in cases where actual PAF has been lower than normative PAF. The Commission has adde</w:t>
      </w:r>
      <w:r>
        <w:rPr>
          <w:sz w:val="24"/>
        </w:rPr>
        <w:t>d prior period expenses/(income) after determining capacity charges based on actual</w:t>
      </w:r>
      <w:r>
        <w:rPr>
          <w:spacing w:val="-4"/>
          <w:sz w:val="24"/>
        </w:rPr>
        <w:t xml:space="preserve"> </w:t>
      </w:r>
      <w:r>
        <w:rPr>
          <w:sz w:val="24"/>
        </w:rPr>
        <w:t>PAF.</w:t>
      </w:r>
    </w:p>
    <w:p w:rsidR="007C5447" w:rsidRDefault="007C5447">
      <w:pPr>
        <w:pStyle w:val="BodyText"/>
        <w:spacing w:before="1"/>
        <w:rPr>
          <w:sz w:val="21"/>
        </w:rPr>
      </w:pPr>
    </w:p>
    <w:p w:rsidR="007C5447" w:rsidRDefault="00F6308C">
      <w:pPr>
        <w:ind w:left="2532" w:right="2524"/>
        <w:jc w:val="center"/>
        <w:rPr>
          <w:b/>
        </w:rPr>
      </w:pPr>
      <w:r>
        <w:rPr>
          <w:b/>
        </w:rPr>
        <w:t>Table 3-45: PAF considered by the Commission</w:t>
      </w:r>
    </w:p>
    <w:p w:rsidR="007C5447" w:rsidRDefault="007C5447">
      <w:pPr>
        <w:pStyle w:val="BodyText"/>
        <w:spacing w:before="11"/>
        <w:rPr>
          <w:b/>
          <w:sz w:val="1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61"/>
        <w:gridCol w:w="1239"/>
        <w:gridCol w:w="1237"/>
        <w:gridCol w:w="1239"/>
        <w:gridCol w:w="1237"/>
        <w:gridCol w:w="1239"/>
      </w:tblGrid>
      <w:tr w:rsidR="007C5447">
        <w:trPr>
          <w:trHeight w:val="333"/>
        </w:trPr>
        <w:tc>
          <w:tcPr>
            <w:tcW w:w="2761" w:type="dxa"/>
            <w:shd w:val="clear" w:color="auto" w:fill="F7C9AC"/>
          </w:tcPr>
          <w:p w:rsidR="007C5447" w:rsidRDefault="00F6308C">
            <w:pPr>
              <w:pStyle w:val="TableParagraph"/>
              <w:spacing w:before="50"/>
              <w:ind w:left="107"/>
              <w:jc w:val="left"/>
              <w:rPr>
                <w:b/>
                <w:sz w:val="20"/>
              </w:rPr>
            </w:pPr>
            <w:r>
              <w:rPr>
                <w:b/>
                <w:sz w:val="20"/>
              </w:rPr>
              <w:t>Particulars</w:t>
            </w:r>
          </w:p>
        </w:tc>
        <w:tc>
          <w:tcPr>
            <w:tcW w:w="1239" w:type="dxa"/>
            <w:shd w:val="clear" w:color="auto" w:fill="F7C9AC"/>
          </w:tcPr>
          <w:p w:rsidR="007C5447" w:rsidRDefault="00F6308C">
            <w:pPr>
              <w:pStyle w:val="TableParagraph"/>
              <w:spacing w:before="50"/>
              <w:ind w:right="116"/>
              <w:rPr>
                <w:b/>
                <w:sz w:val="20"/>
              </w:rPr>
            </w:pPr>
            <w:r>
              <w:rPr>
                <w:b/>
                <w:sz w:val="20"/>
              </w:rPr>
              <w:t>FY 2011-12</w:t>
            </w:r>
          </w:p>
        </w:tc>
        <w:tc>
          <w:tcPr>
            <w:tcW w:w="1237" w:type="dxa"/>
            <w:shd w:val="clear" w:color="auto" w:fill="F7C9AC"/>
          </w:tcPr>
          <w:p w:rsidR="007C5447" w:rsidRDefault="00F6308C">
            <w:pPr>
              <w:pStyle w:val="TableParagraph"/>
              <w:spacing w:before="50"/>
              <w:ind w:right="114"/>
              <w:rPr>
                <w:b/>
                <w:sz w:val="20"/>
              </w:rPr>
            </w:pPr>
            <w:r>
              <w:rPr>
                <w:b/>
                <w:sz w:val="20"/>
              </w:rPr>
              <w:t>FY 2012-13</w:t>
            </w:r>
          </w:p>
        </w:tc>
        <w:tc>
          <w:tcPr>
            <w:tcW w:w="1239" w:type="dxa"/>
            <w:shd w:val="clear" w:color="auto" w:fill="F7C9AC"/>
          </w:tcPr>
          <w:p w:rsidR="007C5447" w:rsidRDefault="00F6308C">
            <w:pPr>
              <w:pStyle w:val="TableParagraph"/>
              <w:spacing w:before="50"/>
              <w:ind w:right="117"/>
              <w:rPr>
                <w:b/>
                <w:sz w:val="20"/>
              </w:rPr>
            </w:pPr>
            <w:r>
              <w:rPr>
                <w:b/>
                <w:sz w:val="20"/>
              </w:rPr>
              <w:t>FY 2013-14</w:t>
            </w:r>
          </w:p>
        </w:tc>
        <w:tc>
          <w:tcPr>
            <w:tcW w:w="1237" w:type="dxa"/>
            <w:shd w:val="clear" w:color="auto" w:fill="F7C9AC"/>
          </w:tcPr>
          <w:p w:rsidR="007C5447" w:rsidRDefault="00F6308C">
            <w:pPr>
              <w:pStyle w:val="TableParagraph"/>
              <w:spacing w:before="50"/>
              <w:ind w:right="115"/>
              <w:rPr>
                <w:b/>
                <w:sz w:val="20"/>
              </w:rPr>
            </w:pPr>
            <w:r>
              <w:rPr>
                <w:b/>
                <w:sz w:val="20"/>
              </w:rPr>
              <w:t>FY 2014-15</w:t>
            </w:r>
          </w:p>
        </w:tc>
        <w:tc>
          <w:tcPr>
            <w:tcW w:w="1239" w:type="dxa"/>
            <w:shd w:val="clear" w:color="auto" w:fill="F7C9AC"/>
          </w:tcPr>
          <w:p w:rsidR="007C5447" w:rsidRDefault="00F6308C">
            <w:pPr>
              <w:pStyle w:val="TableParagraph"/>
              <w:spacing w:before="50"/>
              <w:ind w:right="118"/>
              <w:rPr>
                <w:b/>
                <w:sz w:val="20"/>
              </w:rPr>
            </w:pPr>
            <w:r>
              <w:rPr>
                <w:b/>
                <w:sz w:val="20"/>
              </w:rPr>
              <w:t>FY 2015-16</w:t>
            </w:r>
          </w:p>
        </w:tc>
      </w:tr>
      <w:tr w:rsidR="007C5447">
        <w:trPr>
          <w:trHeight w:val="302"/>
        </w:trPr>
        <w:tc>
          <w:tcPr>
            <w:tcW w:w="2761" w:type="dxa"/>
          </w:tcPr>
          <w:p w:rsidR="007C5447" w:rsidRDefault="00F6308C">
            <w:pPr>
              <w:pStyle w:val="TableParagraph"/>
              <w:spacing w:before="36"/>
              <w:ind w:left="107"/>
              <w:jc w:val="left"/>
              <w:rPr>
                <w:sz w:val="20"/>
              </w:rPr>
            </w:pPr>
            <w:r>
              <w:rPr>
                <w:sz w:val="20"/>
              </w:rPr>
              <w:t>Ennore TPS</w:t>
            </w:r>
          </w:p>
        </w:tc>
        <w:tc>
          <w:tcPr>
            <w:tcW w:w="1239" w:type="dxa"/>
          </w:tcPr>
          <w:p w:rsidR="007C5447" w:rsidRDefault="00F6308C">
            <w:pPr>
              <w:pStyle w:val="TableParagraph"/>
              <w:spacing w:before="47"/>
              <w:ind w:right="96"/>
              <w:rPr>
                <w:sz w:val="18"/>
              </w:rPr>
            </w:pPr>
            <w:r>
              <w:rPr>
                <w:sz w:val="18"/>
              </w:rPr>
              <w:t>22.66%</w:t>
            </w:r>
          </w:p>
        </w:tc>
        <w:tc>
          <w:tcPr>
            <w:tcW w:w="1237" w:type="dxa"/>
          </w:tcPr>
          <w:p w:rsidR="007C5447" w:rsidRDefault="00F6308C">
            <w:pPr>
              <w:pStyle w:val="TableParagraph"/>
              <w:spacing w:before="47"/>
              <w:ind w:right="95"/>
              <w:rPr>
                <w:sz w:val="18"/>
              </w:rPr>
            </w:pPr>
            <w:r>
              <w:rPr>
                <w:sz w:val="18"/>
              </w:rPr>
              <w:t>36.21%</w:t>
            </w:r>
          </w:p>
        </w:tc>
        <w:tc>
          <w:tcPr>
            <w:tcW w:w="1239" w:type="dxa"/>
          </w:tcPr>
          <w:p w:rsidR="007C5447" w:rsidRDefault="00F6308C">
            <w:pPr>
              <w:pStyle w:val="TableParagraph"/>
              <w:spacing w:before="47"/>
              <w:ind w:right="97"/>
              <w:rPr>
                <w:sz w:val="18"/>
              </w:rPr>
            </w:pPr>
            <w:r>
              <w:rPr>
                <w:sz w:val="18"/>
              </w:rPr>
              <w:t>73.18%</w:t>
            </w:r>
          </w:p>
        </w:tc>
        <w:tc>
          <w:tcPr>
            <w:tcW w:w="1237" w:type="dxa"/>
          </w:tcPr>
          <w:p w:rsidR="007C5447" w:rsidRDefault="00F6308C">
            <w:pPr>
              <w:pStyle w:val="TableParagraph"/>
              <w:spacing w:before="47"/>
              <w:ind w:right="96"/>
              <w:rPr>
                <w:sz w:val="18"/>
              </w:rPr>
            </w:pPr>
            <w:r>
              <w:rPr>
                <w:sz w:val="18"/>
              </w:rPr>
              <w:t>45.84%</w:t>
            </w:r>
          </w:p>
        </w:tc>
        <w:tc>
          <w:tcPr>
            <w:tcW w:w="1239" w:type="dxa"/>
          </w:tcPr>
          <w:p w:rsidR="007C5447" w:rsidRDefault="00F6308C">
            <w:pPr>
              <w:pStyle w:val="TableParagraph"/>
              <w:spacing w:before="47"/>
              <w:ind w:right="98"/>
              <w:rPr>
                <w:sz w:val="18"/>
              </w:rPr>
            </w:pPr>
            <w:r>
              <w:rPr>
                <w:sz w:val="18"/>
              </w:rPr>
              <w:t>35.80%</w:t>
            </w:r>
          </w:p>
        </w:tc>
      </w:tr>
      <w:tr w:rsidR="007C5447">
        <w:trPr>
          <w:trHeight w:val="301"/>
        </w:trPr>
        <w:tc>
          <w:tcPr>
            <w:tcW w:w="2761" w:type="dxa"/>
          </w:tcPr>
          <w:p w:rsidR="007C5447" w:rsidRDefault="00F6308C">
            <w:pPr>
              <w:pStyle w:val="TableParagraph"/>
              <w:spacing w:before="36"/>
              <w:ind w:left="107"/>
              <w:jc w:val="left"/>
              <w:rPr>
                <w:sz w:val="20"/>
              </w:rPr>
            </w:pPr>
            <w:r>
              <w:rPr>
                <w:sz w:val="20"/>
              </w:rPr>
              <w:t>Tuticorin TPS</w:t>
            </w:r>
          </w:p>
        </w:tc>
        <w:tc>
          <w:tcPr>
            <w:tcW w:w="1239" w:type="dxa"/>
          </w:tcPr>
          <w:p w:rsidR="007C5447" w:rsidRDefault="00F6308C">
            <w:pPr>
              <w:pStyle w:val="TableParagraph"/>
              <w:spacing w:before="47"/>
              <w:ind w:right="96"/>
              <w:rPr>
                <w:sz w:val="18"/>
              </w:rPr>
            </w:pPr>
            <w:r>
              <w:rPr>
                <w:sz w:val="18"/>
              </w:rPr>
              <w:t>85.80%</w:t>
            </w:r>
          </w:p>
        </w:tc>
        <w:tc>
          <w:tcPr>
            <w:tcW w:w="1237" w:type="dxa"/>
          </w:tcPr>
          <w:p w:rsidR="007C5447" w:rsidRDefault="00F6308C">
            <w:pPr>
              <w:pStyle w:val="TableParagraph"/>
              <w:spacing w:before="47"/>
              <w:ind w:right="95"/>
              <w:rPr>
                <w:sz w:val="18"/>
              </w:rPr>
            </w:pPr>
            <w:r>
              <w:rPr>
                <w:sz w:val="18"/>
              </w:rPr>
              <w:t>92.26%</w:t>
            </w:r>
          </w:p>
        </w:tc>
        <w:tc>
          <w:tcPr>
            <w:tcW w:w="1239" w:type="dxa"/>
          </w:tcPr>
          <w:p w:rsidR="007C5447" w:rsidRDefault="00F6308C">
            <w:pPr>
              <w:pStyle w:val="TableParagraph"/>
              <w:spacing w:before="47"/>
              <w:ind w:right="97"/>
              <w:rPr>
                <w:sz w:val="18"/>
              </w:rPr>
            </w:pPr>
            <w:r>
              <w:rPr>
                <w:sz w:val="18"/>
              </w:rPr>
              <w:t>89.60%</w:t>
            </w:r>
          </w:p>
        </w:tc>
        <w:tc>
          <w:tcPr>
            <w:tcW w:w="1237" w:type="dxa"/>
          </w:tcPr>
          <w:p w:rsidR="007C5447" w:rsidRDefault="00F6308C">
            <w:pPr>
              <w:pStyle w:val="TableParagraph"/>
              <w:spacing w:before="47"/>
              <w:ind w:right="96"/>
              <w:rPr>
                <w:sz w:val="18"/>
              </w:rPr>
            </w:pPr>
            <w:r>
              <w:rPr>
                <w:sz w:val="18"/>
              </w:rPr>
              <w:t>91.10%</w:t>
            </w:r>
          </w:p>
        </w:tc>
        <w:tc>
          <w:tcPr>
            <w:tcW w:w="1239" w:type="dxa"/>
          </w:tcPr>
          <w:p w:rsidR="007C5447" w:rsidRDefault="00F6308C">
            <w:pPr>
              <w:pStyle w:val="TableParagraph"/>
              <w:spacing w:before="47"/>
              <w:ind w:right="98"/>
              <w:rPr>
                <w:sz w:val="18"/>
              </w:rPr>
            </w:pPr>
            <w:r>
              <w:rPr>
                <w:sz w:val="18"/>
              </w:rPr>
              <w:t>86.80%</w:t>
            </w:r>
          </w:p>
        </w:tc>
      </w:tr>
      <w:tr w:rsidR="007C5447">
        <w:trPr>
          <w:trHeight w:val="302"/>
        </w:trPr>
        <w:tc>
          <w:tcPr>
            <w:tcW w:w="2761" w:type="dxa"/>
          </w:tcPr>
          <w:p w:rsidR="007C5447" w:rsidRDefault="00F6308C">
            <w:pPr>
              <w:pStyle w:val="TableParagraph"/>
              <w:spacing w:before="36"/>
              <w:ind w:left="107"/>
              <w:jc w:val="left"/>
              <w:rPr>
                <w:sz w:val="20"/>
              </w:rPr>
            </w:pPr>
            <w:r>
              <w:rPr>
                <w:sz w:val="20"/>
              </w:rPr>
              <w:t>Mettur TPS</w:t>
            </w:r>
          </w:p>
        </w:tc>
        <w:tc>
          <w:tcPr>
            <w:tcW w:w="1239" w:type="dxa"/>
          </w:tcPr>
          <w:p w:rsidR="007C5447" w:rsidRDefault="00F6308C">
            <w:pPr>
              <w:pStyle w:val="TableParagraph"/>
              <w:spacing w:before="47"/>
              <w:ind w:right="96"/>
              <w:rPr>
                <w:sz w:val="18"/>
              </w:rPr>
            </w:pPr>
            <w:r>
              <w:rPr>
                <w:sz w:val="18"/>
              </w:rPr>
              <w:t>93.02%</w:t>
            </w:r>
          </w:p>
        </w:tc>
        <w:tc>
          <w:tcPr>
            <w:tcW w:w="1237" w:type="dxa"/>
          </w:tcPr>
          <w:p w:rsidR="007C5447" w:rsidRDefault="00F6308C">
            <w:pPr>
              <w:pStyle w:val="TableParagraph"/>
              <w:spacing w:before="47"/>
              <w:ind w:right="95"/>
              <w:rPr>
                <w:sz w:val="18"/>
              </w:rPr>
            </w:pPr>
            <w:r>
              <w:rPr>
                <w:sz w:val="18"/>
              </w:rPr>
              <w:t>86.05%</w:t>
            </w:r>
          </w:p>
        </w:tc>
        <w:tc>
          <w:tcPr>
            <w:tcW w:w="1239" w:type="dxa"/>
          </w:tcPr>
          <w:p w:rsidR="007C5447" w:rsidRDefault="00F6308C">
            <w:pPr>
              <w:pStyle w:val="TableParagraph"/>
              <w:spacing w:before="47"/>
              <w:ind w:right="97"/>
              <w:rPr>
                <w:sz w:val="18"/>
              </w:rPr>
            </w:pPr>
            <w:r>
              <w:rPr>
                <w:sz w:val="18"/>
              </w:rPr>
              <w:t>92.14%</w:t>
            </w:r>
          </w:p>
        </w:tc>
        <w:tc>
          <w:tcPr>
            <w:tcW w:w="1237" w:type="dxa"/>
          </w:tcPr>
          <w:p w:rsidR="007C5447" w:rsidRDefault="00F6308C">
            <w:pPr>
              <w:pStyle w:val="TableParagraph"/>
              <w:spacing w:before="47"/>
              <w:ind w:right="96"/>
              <w:rPr>
                <w:sz w:val="18"/>
              </w:rPr>
            </w:pPr>
            <w:r>
              <w:rPr>
                <w:sz w:val="18"/>
              </w:rPr>
              <w:t>91.34%</w:t>
            </w:r>
          </w:p>
        </w:tc>
        <w:tc>
          <w:tcPr>
            <w:tcW w:w="1239" w:type="dxa"/>
          </w:tcPr>
          <w:p w:rsidR="007C5447" w:rsidRDefault="00F6308C">
            <w:pPr>
              <w:pStyle w:val="TableParagraph"/>
              <w:spacing w:before="47"/>
              <w:ind w:right="98"/>
              <w:rPr>
                <w:sz w:val="18"/>
              </w:rPr>
            </w:pPr>
            <w:r>
              <w:rPr>
                <w:sz w:val="18"/>
              </w:rPr>
              <w:t>86.94%</w:t>
            </w:r>
          </w:p>
        </w:tc>
      </w:tr>
      <w:tr w:rsidR="007C5447">
        <w:trPr>
          <w:trHeight w:val="301"/>
        </w:trPr>
        <w:tc>
          <w:tcPr>
            <w:tcW w:w="2761" w:type="dxa"/>
          </w:tcPr>
          <w:p w:rsidR="007C5447" w:rsidRDefault="00F6308C">
            <w:pPr>
              <w:pStyle w:val="TableParagraph"/>
              <w:spacing w:before="36"/>
              <w:ind w:left="107"/>
              <w:jc w:val="left"/>
              <w:rPr>
                <w:sz w:val="20"/>
              </w:rPr>
            </w:pPr>
            <w:r>
              <w:rPr>
                <w:sz w:val="20"/>
              </w:rPr>
              <w:t>North Chennai TPS</w:t>
            </w:r>
          </w:p>
        </w:tc>
        <w:tc>
          <w:tcPr>
            <w:tcW w:w="1239" w:type="dxa"/>
          </w:tcPr>
          <w:p w:rsidR="007C5447" w:rsidRDefault="00F6308C">
            <w:pPr>
              <w:pStyle w:val="TableParagraph"/>
              <w:spacing w:before="47"/>
              <w:ind w:right="96"/>
              <w:rPr>
                <w:sz w:val="18"/>
              </w:rPr>
            </w:pPr>
            <w:r>
              <w:rPr>
                <w:sz w:val="18"/>
              </w:rPr>
              <w:t>85.05%</w:t>
            </w:r>
          </w:p>
        </w:tc>
        <w:tc>
          <w:tcPr>
            <w:tcW w:w="1237" w:type="dxa"/>
          </w:tcPr>
          <w:p w:rsidR="007C5447" w:rsidRDefault="00F6308C">
            <w:pPr>
              <w:pStyle w:val="TableParagraph"/>
              <w:spacing w:before="47"/>
              <w:ind w:right="95"/>
              <w:rPr>
                <w:sz w:val="18"/>
              </w:rPr>
            </w:pPr>
            <w:r>
              <w:rPr>
                <w:sz w:val="18"/>
              </w:rPr>
              <w:t>93.48%</w:t>
            </w:r>
          </w:p>
        </w:tc>
        <w:tc>
          <w:tcPr>
            <w:tcW w:w="1239" w:type="dxa"/>
          </w:tcPr>
          <w:p w:rsidR="007C5447" w:rsidRDefault="00F6308C">
            <w:pPr>
              <w:pStyle w:val="TableParagraph"/>
              <w:spacing w:before="47"/>
              <w:ind w:right="97"/>
              <w:rPr>
                <w:sz w:val="18"/>
              </w:rPr>
            </w:pPr>
            <w:r>
              <w:rPr>
                <w:sz w:val="18"/>
              </w:rPr>
              <w:t>84.94%</w:t>
            </w:r>
          </w:p>
        </w:tc>
        <w:tc>
          <w:tcPr>
            <w:tcW w:w="1237" w:type="dxa"/>
          </w:tcPr>
          <w:p w:rsidR="007C5447" w:rsidRDefault="00F6308C">
            <w:pPr>
              <w:pStyle w:val="TableParagraph"/>
              <w:spacing w:before="47"/>
              <w:ind w:right="96"/>
              <w:rPr>
                <w:sz w:val="18"/>
              </w:rPr>
            </w:pPr>
            <w:r>
              <w:rPr>
                <w:sz w:val="18"/>
              </w:rPr>
              <w:t>87.08%</w:t>
            </w:r>
          </w:p>
        </w:tc>
        <w:tc>
          <w:tcPr>
            <w:tcW w:w="1239" w:type="dxa"/>
          </w:tcPr>
          <w:p w:rsidR="007C5447" w:rsidRDefault="00F6308C">
            <w:pPr>
              <w:pStyle w:val="TableParagraph"/>
              <w:spacing w:before="47"/>
              <w:ind w:right="98"/>
              <w:rPr>
                <w:sz w:val="18"/>
              </w:rPr>
            </w:pPr>
            <w:r>
              <w:rPr>
                <w:sz w:val="18"/>
              </w:rPr>
              <w:t>87.79%</w:t>
            </w:r>
          </w:p>
        </w:tc>
      </w:tr>
      <w:tr w:rsidR="007C5447">
        <w:trPr>
          <w:trHeight w:val="302"/>
        </w:trPr>
        <w:tc>
          <w:tcPr>
            <w:tcW w:w="2761" w:type="dxa"/>
          </w:tcPr>
          <w:p w:rsidR="007C5447" w:rsidRDefault="00F6308C">
            <w:pPr>
              <w:pStyle w:val="TableParagraph"/>
              <w:spacing w:before="36"/>
              <w:ind w:left="107"/>
              <w:jc w:val="left"/>
              <w:rPr>
                <w:sz w:val="20"/>
              </w:rPr>
            </w:pPr>
            <w:r>
              <w:rPr>
                <w:sz w:val="20"/>
              </w:rPr>
              <w:t>NCTPS Stage-II (Unit 1)</w:t>
            </w:r>
          </w:p>
        </w:tc>
        <w:tc>
          <w:tcPr>
            <w:tcW w:w="1239" w:type="dxa"/>
          </w:tcPr>
          <w:p w:rsidR="007C5447" w:rsidRDefault="007C5447">
            <w:pPr>
              <w:pStyle w:val="TableParagraph"/>
              <w:jc w:val="left"/>
            </w:pPr>
          </w:p>
        </w:tc>
        <w:tc>
          <w:tcPr>
            <w:tcW w:w="1237" w:type="dxa"/>
          </w:tcPr>
          <w:p w:rsidR="007C5447" w:rsidRDefault="007C5447">
            <w:pPr>
              <w:pStyle w:val="TableParagraph"/>
              <w:jc w:val="left"/>
            </w:pPr>
          </w:p>
        </w:tc>
        <w:tc>
          <w:tcPr>
            <w:tcW w:w="1239" w:type="dxa"/>
          </w:tcPr>
          <w:p w:rsidR="007C5447" w:rsidRDefault="007C5447">
            <w:pPr>
              <w:pStyle w:val="TableParagraph"/>
              <w:jc w:val="left"/>
            </w:pPr>
          </w:p>
        </w:tc>
        <w:tc>
          <w:tcPr>
            <w:tcW w:w="1237" w:type="dxa"/>
          </w:tcPr>
          <w:p w:rsidR="007C5447" w:rsidRDefault="00F6308C">
            <w:pPr>
              <w:pStyle w:val="TableParagraph"/>
              <w:spacing w:before="47"/>
              <w:ind w:right="96"/>
              <w:rPr>
                <w:sz w:val="18"/>
              </w:rPr>
            </w:pPr>
            <w:r>
              <w:rPr>
                <w:sz w:val="18"/>
              </w:rPr>
              <w:t>69.10%</w:t>
            </w:r>
          </w:p>
        </w:tc>
        <w:tc>
          <w:tcPr>
            <w:tcW w:w="1239" w:type="dxa"/>
          </w:tcPr>
          <w:p w:rsidR="007C5447" w:rsidRDefault="00F6308C">
            <w:pPr>
              <w:pStyle w:val="TableParagraph"/>
              <w:spacing w:before="47"/>
              <w:ind w:right="98"/>
              <w:rPr>
                <w:sz w:val="18"/>
              </w:rPr>
            </w:pPr>
            <w:r>
              <w:rPr>
                <w:sz w:val="18"/>
              </w:rPr>
              <w:t>77.80%</w:t>
            </w:r>
          </w:p>
        </w:tc>
      </w:tr>
      <w:tr w:rsidR="007C5447">
        <w:trPr>
          <w:trHeight w:val="302"/>
        </w:trPr>
        <w:tc>
          <w:tcPr>
            <w:tcW w:w="2761" w:type="dxa"/>
          </w:tcPr>
          <w:p w:rsidR="007C5447" w:rsidRDefault="00F6308C">
            <w:pPr>
              <w:pStyle w:val="TableParagraph"/>
              <w:spacing w:before="36"/>
              <w:ind w:left="107"/>
              <w:jc w:val="left"/>
              <w:rPr>
                <w:sz w:val="20"/>
              </w:rPr>
            </w:pPr>
            <w:r>
              <w:rPr>
                <w:sz w:val="20"/>
              </w:rPr>
              <w:t>MTPS Stage III</w:t>
            </w:r>
          </w:p>
        </w:tc>
        <w:tc>
          <w:tcPr>
            <w:tcW w:w="1239" w:type="dxa"/>
          </w:tcPr>
          <w:p w:rsidR="007C5447" w:rsidRDefault="007C5447">
            <w:pPr>
              <w:pStyle w:val="TableParagraph"/>
              <w:jc w:val="left"/>
            </w:pPr>
          </w:p>
        </w:tc>
        <w:tc>
          <w:tcPr>
            <w:tcW w:w="1237" w:type="dxa"/>
          </w:tcPr>
          <w:p w:rsidR="007C5447" w:rsidRDefault="007C5447">
            <w:pPr>
              <w:pStyle w:val="TableParagraph"/>
              <w:jc w:val="left"/>
            </w:pPr>
          </w:p>
        </w:tc>
        <w:tc>
          <w:tcPr>
            <w:tcW w:w="1239" w:type="dxa"/>
          </w:tcPr>
          <w:p w:rsidR="007C5447" w:rsidRDefault="007C5447">
            <w:pPr>
              <w:pStyle w:val="TableParagraph"/>
              <w:jc w:val="left"/>
            </w:pPr>
          </w:p>
        </w:tc>
        <w:tc>
          <w:tcPr>
            <w:tcW w:w="1237" w:type="dxa"/>
          </w:tcPr>
          <w:p w:rsidR="007C5447" w:rsidRDefault="00F6308C">
            <w:pPr>
              <w:pStyle w:val="TableParagraph"/>
              <w:spacing w:before="47"/>
              <w:ind w:right="96"/>
              <w:rPr>
                <w:sz w:val="18"/>
              </w:rPr>
            </w:pPr>
            <w:r>
              <w:rPr>
                <w:sz w:val="18"/>
              </w:rPr>
              <w:t>75.61%</w:t>
            </w:r>
          </w:p>
        </w:tc>
        <w:tc>
          <w:tcPr>
            <w:tcW w:w="1239" w:type="dxa"/>
          </w:tcPr>
          <w:p w:rsidR="007C5447" w:rsidRDefault="00F6308C">
            <w:pPr>
              <w:pStyle w:val="TableParagraph"/>
              <w:spacing w:before="47"/>
              <w:ind w:right="98"/>
              <w:rPr>
                <w:sz w:val="18"/>
              </w:rPr>
            </w:pPr>
            <w:r>
              <w:rPr>
                <w:sz w:val="18"/>
              </w:rPr>
              <w:t>87.32%</w:t>
            </w:r>
          </w:p>
        </w:tc>
      </w:tr>
      <w:tr w:rsidR="007C5447">
        <w:trPr>
          <w:trHeight w:val="302"/>
        </w:trPr>
        <w:tc>
          <w:tcPr>
            <w:tcW w:w="2761" w:type="dxa"/>
          </w:tcPr>
          <w:p w:rsidR="007C5447" w:rsidRDefault="00F6308C">
            <w:pPr>
              <w:pStyle w:val="TableParagraph"/>
              <w:spacing w:before="36"/>
              <w:ind w:left="107"/>
              <w:jc w:val="left"/>
              <w:rPr>
                <w:sz w:val="20"/>
              </w:rPr>
            </w:pPr>
            <w:r>
              <w:rPr>
                <w:sz w:val="20"/>
              </w:rPr>
              <w:t>TGTPS</w:t>
            </w:r>
          </w:p>
        </w:tc>
        <w:tc>
          <w:tcPr>
            <w:tcW w:w="1239" w:type="dxa"/>
          </w:tcPr>
          <w:p w:rsidR="007C5447" w:rsidRDefault="00F6308C">
            <w:pPr>
              <w:pStyle w:val="TableParagraph"/>
              <w:spacing w:before="47"/>
              <w:ind w:right="96"/>
              <w:rPr>
                <w:sz w:val="18"/>
              </w:rPr>
            </w:pPr>
            <w:r>
              <w:rPr>
                <w:sz w:val="18"/>
              </w:rPr>
              <w:t>74.68%</w:t>
            </w:r>
          </w:p>
        </w:tc>
        <w:tc>
          <w:tcPr>
            <w:tcW w:w="1237" w:type="dxa"/>
          </w:tcPr>
          <w:p w:rsidR="007C5447" w:rsidRDefault="00F6308C">
            <w:pPr>
              <w:pStyle w:val="TableParagraph"/>
              <w:spacing w:before="47"/>
              <w:ind w:right="95"/>
              <w:rPr>
                <w:sz w:val="18"/>
              </w:rPr>
            </w:pPr>
            <w:r>
              <w:rPr>
                <w:sz w:val="18"/>
              </w:rPr>
              <w:t>98.10%</w:t>
            </w:r>
          </w:p>
        </w:tc>
        <w:tc>
          <w:tcPr>
            <w:tcW w:w="1239" w:type="dxa"/>
          </w:tcPr>
          <w:p w:rsidR="007C5447" w:rsidRDefault="00F6308C">
            <w:pPr>
              <w:pStyle w:val="TableParagraph"/>
              <w:spacing w:before="47"/>
              <w:ind w:right="97"/>
              <w:rPr>
                <w:sz w:val="18"/>
              </w:rPr>
            </w:pPr>
            <w:r>
              <w:rPr>
                <w:sz w:val="18"/>
              </w:rPr>
              <w:t>92.61%</w:t>
            </w:r>
          </w:p>
        </w:tc>
        <w:tc>
          <w:tcPr>
            <w:tcW w:w="1237" w:type="dxa"/>
          </w:tcPr>
          <w:p w:rsidR="007C5447" w:rsidRDefault="00F6308C">
            <w:pPr>
              <w:pStyle w:val="TableParagraph"/>
              <w:spacing w:before="47"/>
              <w:ind w:right="96"/>
              <w:rPr>
                <w:sz w:val="18"/>
              </w:rPr>
            </w:pPr>
            <w:r>
              <w:rPr>
                <w:sz w:val="18"/>
              </w:rPr>
              <w:t>93.04%</w:t>
            </w:r>
          </w:p>
        </w:tc>
        <w:tc>
          <w:tcPr>
            <w:tcW w:w="1239" w:type="dxa"/>
          </w:tcPr>
          <w:p w:rsidR="007C5447" w:rsidRDefault="00F6308C">
            <w:pPr>
              <w:pStyle w:val="TableParagraph"/>
              <w:spacing w:before="47"/>
              <w:ind w:right="98"/>
              <w:rPr>
                <w:sz w:val="18"/>
              </w:rPr>
            </w:pPr>
            <w:r>
              <w:rPr>
                <w:sz w:val="18"/>
              </w:rPr>
              <w:t>82.69%</w:t>
            </w:r>
          </w:p>
        </w:tc>
      </w:tr>
      <w:tr w:rsidR="007C5447">
        <w:trPr>
          <w:trHeight w:val="302"/>
        </w:trPr>
        <w:tc>
          <w:tcPr>
            <w:tcW w:w="2761" w:type="dxa"/>
          </w:tcPr>
          <w:p w:rsidR="007C5447" w:rsidRDefault="00F6308C">
            <w:pPr>
              <w:pStyle w:val="TableParagraph"/>
              <w:spacing w:before="36"/>
              <w:ind w:left="107"/>
              <w:jc w:val="left"/>
              <w:rPr>
                <w:sz w:val="20"/>
              </w:rPr>
            </w:pPr>
            <w:r>
              <w:rPr>
                <w:sz w:val="20"/>
              </w:rPr>
              <w:t>KGTPS</w:t>
            </w:r>
          </w:p>
        </w:tc>
        <w:tc>
          <w:tcPr>
            <w:tcW w:w="1239" w:type="dxa"/>
          </w:tcPr>
          <w:p w:rsidR="007C5447" w:rsidRDefault="00F6308C">
            <w:pPr>
              <w:pStyle w:val="TableParagraph"/>
              <w:spacing w:before="47"/>
              <w:ind w:right="96"/>
              <w:rPr>
                <w:sz w:val="18"/>
              </w:rPr>
            </w:pPr>
            <w:r>
              <w:rPr>
                <w:sz w:val="18"/>
              </w:rPr>
              <w:t>47.18%</w:t>
            </w:r>
          </w:p>
        </w:tc>
        <w:tc>
          <w:tcPr>
            <w:tcW w:w="1237" w:type="dxa"/>
          </w:tcPr>
          <w:p w:rsidR="007C5447" w:rsidRDefault="00F6308C">
            <w:pPr>
              <w:pStyle w:val="TableParagraph"/>
              <w:spacing w:before="47"/>
              <w:ind w:right="97"/>
              <w:rPr>
                <w:sz w:val="18"/>
              </w:rPr>
            </w:pPr>
            <w:r>
              <w:rPr>
                <w:sz w:val="18"/>
              </w:rPr>
              <w:t>6.31%</w:t>
            </w:r>
          </w:p>
        </w:tc>
        <w:tc>
          <w:tcPr>
            <w:tcW w:w="1239" w:type="dxa"/>
          </w:tcPr>
          <w:p w:rsidR="007C5447" w:rsidRDefault="00F6308C">
            <w:pPr>
              <w:pStyle w:val="TableParagraph"/>
              <w:spacing w:before="47"/>
              <w:ind w:right="97"/>
              <w:rPr>
                <w:sz w:val="18"/>
              </w:rPr>
            </w:pPr>
            <w:r>
              <w:rPr>
                <w:sz w:val="18"/>
              </w:rPr>
              <w:t>97.66%</w:t>
            </w:r>
          </w:p>
        </w:tc>
        <w:tc>
          <w:tcPr>
            <w:tcW w:w="1237" w:type="dxa"/>
          </w:tcPr>
          <w:p w:rsidR="007C5447" w:rsidRDefault="00F6308C">
            <w:pPr>
              <w:pStyle w:val="TableParagraph"/>
              <w:spacing w:before="47"/>
              <w:ind w:right="96"/>
              <w:rPr>
                <w:sz w:val="18"/>
              </w:rPr>
            </w:pPr>
            <w:r>
              <w:rPr>
                <w:sz w:val="18"/>
              </w:rPr>
              <w:t>94.80%</w:t>
            </w:r>
          </w:p>
        </w:tc>
        <w:tc>
          <w:tcPr>
            <w:tcW w:w="1239" w:type="dxa"/>
          </w:tcPr>
          <w:p w:rsidR="007C5447" w:rsidRDefault="00F6308C">
            <w:pPr>
              <w:pStyle w:val="TableParagraph"/>
              <w:spacing w:before="47"/>
              <w:ind w:right="98"/>
              <w:rPr>
                <w:sz w:val="18"/>
              </w:rPr>
            </w:pPr>
            <w:r>
              <w:rPr>
                <w:sz w:val="18"/>
              </w:rPr>
              <w:t>98.00%</w:t>
            </w:r>
          </w:p>
        </w:tc>
      </w:tr>
      <w:tr w:rsidR="007C5447">
        <w:trPr>
          <w:trHeight w:val="301"/>
        </w:trPr>
        <w:tc>
          <w:tcPr>
            <w:tcW w:w="2761" w:type="dxa"/>
          </w:tcPr>
          <w:p w:rsidR="007C5447" w:rsidRDefault="00F6308C">
            <w:pPr>
              <w:pStyle w:val="TableParagraph"/>
              <w:spacing w:before="36"/>
              <w:ind w:left="107"/>
              <w:jc w:val="left"/>
              <w:rPr>
                <w:sz w:val="20"/>
              </w:rPr>
            </w:pPr>
            <w:r>
              <w:rPr>
                <w:sz w:val="20"/>
              </w:rPr>
              <w:t>BBGTPS</w:t>
            </w:r>
          </w:p>
        </w:tc>
        <w:tc>
          <w:tcPr>
            <w:tcW w:w="1239" w:type="dxa"/>
          </w:tcPr>
          <w:p w:rsidR="007C5447" w:rsidRDefault="00F6308C">
            <w:pPr>
              <w:pStyle w:val="TableParagraph"/>
              <w:spacing w:before="47"/>
              <w:ind w:right="96"/>
              <w:rPr>
                <w:sz w:val="18"/>
              </w:rPr>
            </w:pPr>
            <w:r>
              <w:rPr>
                <w:sz w:val="18"/>
              </w:rPr>
              <w:t>80.00%</w:t>
            </w:r>
          </w:p>
        </w:tc>
        <w:tc>
          <w:tcPr>
            <w:tcW w:w="1237" w:type="dxa"/>
          </w:tcPr>
          <w:p w:rsidR="007C5447" w:rsidRDefault="00F6308C">
            <w:pPr>
              <w:pStyle w:val="TableParagraph"/>
              <w:spacing w:before="47"/>
              <w:ind w:right="95"/>
              <w:rPr>
                <w:sz w:val="18"/>
              </w:rPr>
            </w:pPr>
            <w:r>
              <w:rPr>
                <w:sz w:val="18"/>
              </w:rPr>
              <w:t>98.95%</w:t>
            </w:r>
          </w:p>
        </w:tc>
        <w:tc>
          <w:tcPr>
            <w:tcW w:w="1239" w:type="dxa"/>
          </w:tcPr>
          <w:p w:rsidR="007C5447" w:rsidRDefault="00F6308C">
            <w:pPr>
              <w:pStyle w:val="TableParagraph"/>
              <w:spacing w:before="47"/>
              <w:ind w:right="97"/>
              <w:rPr>
                <w:sz w:val="18"/>
              </w:rPr>
            </w:pPr>
            <w:r>
              <w:rPr>
                <w:sz w:val="18"/>
              </w:rPr>
              <w:t>94.78%</w:t>
            </w:r>
          </w:p>
        </w:tc>
        <w:tc>
          <w:tcPr>
            <w:tcW w:w="1237" w:type="dxa"/>
          </w:tcPr>
          <w:p w:rsidR="007C5447" w:rsidRDefault="00F6308C">
            <w:pPr>
              <w:pStyle w:val="TableParagraph"/>
              <w:spacing w:before="47"/>
              <w:ind w:right="96"/>
              <w:rPr>
                <w:sz w:val="18"/>
              </w:rPr>
            </w:pPr>
            <w:r>
              <w:rPr>
                <w:sz w:val="18"/>
              </w:rPr>
              <w:t>95.40%</w:t>
            </w:r>
          </w:p>
        </w:tc>
        <w:tc>
          <w:tcPr>
            <w:tcW w:w="1239" w:type="dxa"/>
          </w:tcPr>
          <w:p w:rsidR="007C5447" w:rsidRDefault="00F6308C">
            <w:pPr>
              <w:pStyle w:val="TableParagraph"/>
              <w:spacing w:before="47"/>
              <w:ind w:right="98"/>
              <w:rPr>
                <w:sz w:val="18"/>
              </w:rPr>
            </w:pPr>
            <w:r>
              <w:rPr>
                <w:sz w:val="18"/>
              </w:rPr>
              <w:t>97.91%</w:t>
            </w:r>
          </w:p>
        </w:tc>
      </w:tr>
      <w:tr w:rsidR="007C5447">
        <w:trPr>
          <w:trHeight w:val="301"/>
        </w:trPr>
        <w:tc>
          <w:tcPr>
            <w:tcW w:w="2761" w:type="dxa"/>
          </w:tcPr>
          <w:p w:rsidR="007C5447" w:rsidRDefault="00F6308C">
            <w:pPr>
              <w:pStyle w:val="TableParagraph"/>
              <w:spacing w:before="36"/>
              <w:ind w:left="107"/>
              <w:jc w:val="left"/>
              <w:rPr>
                <w:sz w:val="20"/>
              </w:rPr>
            </w:pPr>
            <w:r>
              <w:rPr>
                <w:sz w:val="20"/>
              </w:rPr>
              <w:t>VGTPS</w:t>
            </w:r>
          </w:p>
        </w:tc>
        <w:tc>
          <w:tcPr>
            <w:tcW w:w="1239" w:type="dxa"/>
          </w:tcPr>
          <w:p w:rsidR="007C5447" w:rsidRDefault="00F6308C">
            <w:pPr>
              <w:pStyle w:val="TableParagraph"/>
              <w:spacing w:before="47"/>
              <w:ind w:right="96"/>
              <w:rPr>
                <w:sz w:val="18"/>
              </w:rPr>
            </w:pPr>
            <w:r>
              <w:rPr>
                <w:sz w:val="18"/>
              </w:rPr>
              <w:t>79.15%</w:t>
            </w:r>
          </w:p>
        </w:tc>
        <w:tc>
          <w:tcPr>
            <w:tcW w:w="1237" w:type="dxa"/>
          </w:tcPr>
          <w:p w:rsidR="007C5447" w:rsidRDefault="00F6308C">
            <w:pPr>
              <w:pStyle w:val="TableParagraph"/>
              <w:spacing w:before="47"/>
              <w:ind w:right="93"/>
              <w:rPr>
                <w:sz w:val="18"/>
              </w:rPr>
            </w:pPr>
            <w:r>
              <w:rPr>
                <w:sz w:val="18"/>
              </w:rPr>
              <w:t>68.90%</w:t>
            </w:r>
          </w:p>
        </w:tc>
        <w:tc>
          <w:tcPr>
            <w:tcW w:w="1239" w:type="dxa"/>
          </w:tcPr>
          <w:p w:rsidR="007C5447" w:rsidRDefault="00F6308C">
            <w:pPr>
              <w:pStyle w:val="TableParagraph"/>
              <w:spacing w:before="47"/>
              <w:ind w:right="97"/>
              <w:rPr>
                <w:sz w:val="18"/>
              </w:rPr>
            </w:pPr>
            <w:r>
              <w:rPr>
                <w:sz w:val="18"/>
              </w:rPr>
              <w:t>86.16%</w:t>
            </w:r>
          </w:p>
        </w:tc>
        <w:tc>
          <w:tcPr>
            <w:tcW w:w="1237" w:type="dxa"/>
          </w:tcPr>
          <w:p w:rsidR="007C5447" w:rsidRDefault="00F6308C">
            <w:pPr>
              <w:pStyle w:val="TableParagraph"/>
              <w:spacing w:before="47"/>
              <w:ind w:right="96"/>
              <w:rPr>
                <w:sz w:val="18"/>
              </w:rPr>
            </w:pPr>
            <w:r>
              <w:rPr>
                <w:sz w:val="18"/>
              </w:rPr>
              <w:t>76.31%</w:t>
            </w:r>
          </w:p>
        </w:tc>
        <w:tc>
          <w:tcPr>
            <w:tcW w:w="1239" w:type="dxa"/>
          </w:tcPr>
          <w:p w:rsidR="007C5447" w:rsidRDefault="00F6308C">
            <w:pPr>
              <w:pStyle w:val="TableParagraph"/>
              <w:spacing w:before="47"/>
              <w:ind w:right="98"/>
              <w:rPr>
                <w:sz w:val="18"/>
              </w:rPr>
            </w:pPr>
            <w:r>
              <w:rPr>
                <w:sz w:val="18"/>
              </w:rPr>
              <w:t>92.78%</w:t>
            </w:r>
          </w:p>
        </w:tc>
      </w:tr>
    </w:tbl>
    <w:p w:rsidR="007C5447" w:rsidRDefault="007C5447">
      <w:pPr>
        <w:pStyle w:val="BodyText"/>
        <w:rPr>
          <w:b/>
        </w:rPr>
      </w:pPr>
    </w:p>
    <w:p w:rsidR="007C5447" w:rsidRDefault="007C5447">
      <w:pPr>
        <w:pStyle w:val="BodyText"/>
        <w:rPr>
          <w:b/>
        </w:rPr>
      </w:pPr>
    </w:p>
    <w:p w:rsidR="007C5447" w:rsidRDefault="00F6308C">
      <w:pPr>
        <w:pStyle w:val="ListParagraph"/>
        <w:numPr>
          <w:ilvl w:val="2"/>
          <w:numId w:val="92"/>
        </w:numPr>
        <w:tabs>
          <w:tab w:val="left" w:pos="973"/>
        </w:tabs>
        <w:spacing w:before="164" w:line="312" w:lineRule="auto"/>
        <w:ind w:left="972" w:right="109"/>
        <w:jc w:val="both"/>
        <w:rPr>
          <w:sz w:val="24"/>
        </w:rPr>
      </w:pPr>
      <w:r>
        <w:rPr>
          <w:sz w:val="24"/>
        </w:rPr>
        <w:t>Therefore, based on component-wise approval given in the above Section and actual PAF, fixed cost/capacity charges for generating stations approved for FY 2011-12 to FY 2015-16 are shown in the Tables</w:t>
      </w:r>
      <w:r>
        <w:rPr>
          <w:spacing w:val="1"/>
          <w:sz w:val="24"/>
        </w:rPr>
        <w:t xml:space="preserve"> </w:t>
      </w:r>
      <w:r>
        <w:rPr>
          <w:sz w:val="24"/>
        </w:rPr>
        <w:t>below:</w:t>
      </w:r>
    </w:p>
    <w:p w:rsidR="007C5447" w:rsidRDefault="007C5447">
      <w:pPr>
        <w:spacing w:line="312" w:lineRule="auto"/>
        <w:jc w:val="both"/>
        <w:rPr>
          <w:sz w:val="24"/>
        </w:rPr>
        <w:sectPr w:rsidR="007C5447">
          <w:pgSz w:w="11910" w:h="16840"/>
          <w:pgMar w:top="1360" w:right="1020" w:bottom="1240" w:left="1320" w:header="0" w:footer="1057" w:gutter="0"/>
          <w:cols w:space="720"/>
        </w:sect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spacing w:before="1"/>
        <w:rPr>
          <w:sz w:val="21"/>
        </w:rPr>
      </w:pPr>
    </w:p>
    <w:p w:rsidR="007C5447" w:rsidRDefault="00F6308C">
      <w:pPr>
        <w:spacing w:before="91"/>
        <w:ind w:left="2483" w:right="2537"/>
        <w:jc w:val="center"/>
        <w:rPr>
          <w:b/>
        </w:rPr>
      </w:pPr>
      <w:r>
        <w:rPr>
          <w:b/>
        </w:rPr>
        <w:t>Table 3-46: Fixed Charges approved by the Commission for Generation function after true-up for FY 2011-12 (Rs. Crore)</w:t>
      </w:r>
    </w:p>
    <w:p w:rsidR="007C5447" w:rsidRDefault="007C5447">
      <w:pPr>
        <w:pStyle w:val="BodyText"/>
        <w:spacing w:before="11"/>
        <w:rPr>
          <w:b/>
          <w:sz w:val="16"/>
        </w:rPr>
      </w:pPr>
    </w:p>
    <w:tbl>
      <w:tblPr>
        <w:tblW w:w="0" w:type="auto"/>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1982"/>
        <w:gridCol w:w="1276"/>
        <w:gridCol w:w="991"/>
        <w:gridCol w:w="851"/>
        <w:gridCol w:w="990"/>
        <w:gridCol w:w="990"/>
        <w:gridCol w:w="992"/>
        <w:gridCol w:w="992"/>
        <w:gridCol w:w="1309"/>
        <w:gridCol w:w="990"/>
        <w:gridCol w:w="855"/>
        <w:gridCol w:w="985"/>
        <w:gridCol w:w="976"/>
      </w:tblGrid>
      <w:tr w:rsidR="007C5447">
        <w:trPr>
          <w:trHeight w:val="1065"/>
        </w:trPr>
        <w:tc>
          <w:tcPr>
            <w:tcW w:w="855" w:type="dxa"/>
            <w:shd w:val="clear" w:color="auto" w:fill="FBD4B4"/>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308" w:right="301"/>
              <w:jc w:val="center"/>
              <w:rPr>
                <w:b/>
                <w:sz w:val="18"/>
              </w:rPr>
            </w:pPr>
            <w:r>
              <w:rPr>
                <w:b/>
                <w:sz w:val="18"/>
              </w:rPr>
              <w:t>Sl.</w:t>
            </w:r>
          </w:p>
        </w:tc>
        <w:tc>
          <w:tcPr>
            <w:tcW w:w="1982" w:type="dxa"/>
            <w:shd w:val="clear" w:color="auto" w:fill="FBD4B4"/>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445"/>
              <w:jc w:val="left"/>
              <w:rPr>
                <w:b/>
                <w:sz w:val="18"/>
              </w:rPr>
            </w:pPr>
            <w:r>
              <w:rPr>
                <w:b/>
                <w:sz w:val="18"/>
              </w:rPr>
              <w:t>Power Station</w:t>
            </w:r>
          </w:p>
        </w:tc>
        <w:tc>
          <w:tcPr>
            <w:tcW w:w="1276" w:type="dxa"/>
            <w:shd w:val="clear" w:color="auto" w:fill="FBD4B4"/>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right="132"/>
              <w:rPr>
                <w:b/>
                <w:sz w:val="18"/>
              </w:rPr>
            </w:pPr>
            <w:r>
              <w:rPr>
                <w:b/>
                <w:sz w:val="18"/>
              </w:rPr>
              <w:t>Depreciation</w:t>
            </w:r>
          </w:p>
        </w:tc>
        <w:tc>
          <w:tcPr>
            <w:tcW w:w="991" w:type="dxa"/>
            <w:shd w:val="clear" w:color="auto" w:fill="FBD4B4"/>
          </w:tcPr>
          <w:p w:rsidR="007C5447" w:rsidRDefault="007C5447">
            <w:pPr>
              <w:pStyle w:val="TableParagraph"/>
              <w:spacing w:before="4"/>
              <w:jc w:val="left"/>
              <w:rPr>
                <w:b/>
                <w:sz w:val="28"/>
              </w:rPr>
            </w:pPr>
          </w:p>
          <w:p w:rsidR="007C5447" w:rsidRDefault="00F6308C">
            <w:pPr>
              <w:pStyle w:val="TableParagraph"/>
              <w:ind w:left="200" w:right="164" w:hanging="3"/>
              <w:jc w:val="left"/>
              <w:rPr>
                <w:b/>
                <w:sz w:val="18"/>
              </w:rPr>
            </w:pPr>
            <w:r>
              <w:rPr>
                <w:b/>
                <w:sz w:val="18"/>
              </w:rPr>
              <w:t>Interest charges</w:t>
            </w:r>
          </w:p>
        </w:tc>
        <w:tc>
          <w:tcPr>
            <w:tcW w:w="851" w:type="dxa"/>
            <w:shd w:val="clear" w:color="auto" w:fill="FBD4B4"/>
          </w:tcPr>
          <w:p w:rsidR="007C5447" w:rsidRDefault="007C5447">
            <w:pPr>
              <w:pStyle w:val="TableParagraph"/>
              <w:spacing w:before="4"/>
              <w:jc w:val="left"/>
              <w:rPr>
                <w:b/>
                <w:sz w:val="19"/>
              </w:rPr>
            </w:pPr>
          </w:p>
          <w:p w:rsidR="007C5447" w:rsidRDefault="00F6308C">
            <w:pPr>
              <w:pStyle w:val="TableParagraph"/>
              <w:ind w:left="152" w:right="137"/>
              <w:jc w:val="center"/>
              <w:rPr>
                <w:b/>
                <w:sz w:val="18"/>
              </w:rPr>
            </w:pPr>
            <w:r>
              <w:rPr>
                <w:b/>
                <w:sz w:val="18"/>
              </w:rPr>
              <w:t>Return on Equity</w:t>
            </w:r>
          </w:p>
        </w:tc>
        <w:tc>
          <w:tcPr>
            <w:tcW w:w="990" w:type="dxa"/>
            <w:shd w:val="clear" w:color="auto" w:fill="FBD4B4"/>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261"/>
              <w:jc w:val="left"/>
              <w:rPr>
                <w:b/>
                <w:sz w:val="18"/>
              </w:rPr>
            </w:pPr>
            <w:r>
              <w:rPr>
                <w:b/>
                <w:sz w:val="18"/>
              </w:rPr>
              <w:t>IoWC</w:t>
            </w:r>
          </w:p>
        </w:tc>
        <w:tc>
          <w:tcPr>
            <w:tcW w:w="990" w:type="dxa"/>
            <w:shd w:val="clear" w:color="auto" w:fill="FBD4B4"/>
          </w:tcPr>
          <w:p w:rsidR="007C5447" w:rsidRDefault="007C5447">
            <w:pPr>
              <w:pStyle w:val="TableParagraph"/>
              <w:spacing w:before="4"/>
              <w:jc w:val="left"/>
              <w:rPr>
                <w:b/>
                <w:sz w:val="28"/>
              </w:rPr>
            </w:pPr>
          </w:p>
          <w:p w:rsidR="007C5447" w:rsidRDefault="00F6308C">
            <w:pPr>
              <w:pStyle w:val="TableParagraph"/>
              <w:ind w:left="142" w:right="107" w:firstLine="124"/>
              <w:jc w:val="left"/>
              <w:rPr>
                <w:b/>
                <w:sz w:val="18"/>
              </w:rPr>
            </w:pPr>
            <w:r>
              <w:rPr>
                <w:b/>
                <w:sz w:val="18"/>
              </w:rPr>
              <w:t>O&amp;M Expenses</w:t>
            </w:r>
          </w:p>
        </w:tc>
        <w:tc>
          <w:tcPr>
            <w:tcW w:w="992" w:type="dxa"/>
            <w:shd w:val="clear" w:color="auto" w:fill="FBD4B4"/>
          </w:tcPr>
          <w:p w:rsidR="007C5447" w:rsidRDefault="007C5447">
            <w:pPr>
              <w:pStyle w:val="TableParagraph"/>
              <w:spacing w:before="4"/>
              <w:jc w:val="left"/>
              <w:rPr>
                <w:b/>
                <w:sz w:val="28"/>
              </w:rPr>
            </w:pPr>
          </w:p>
          <w:p w:rsidR="007C5447" w:rsidRDefault="00F6308C">
            <w:pPr>
              <w:pStyle w:val="TableParagraph"/>
              <w:ind w:left="254" w:right="218" w:firstLine="16"/>
              <w:jc w:val="left"/>
              <w:rPr>
                <w:b/>
                <w:sz w:val="18"/>
              </w:rPr>
            </w:pPr>
            <w:r>
              <w:rPr>
                <w:b/>
                <w:sz w:val="18"/>
              </w:rPr>
              <w:t>Other Debits</w:t>
            </w:r>
          </w:p>
        </w:tc>
        <w:tc>
          <w:tcPr>
            <w:tcW w:w="992" w:type="dxa"/>
            <w:shd w:val="clear" w:color="auto" w:fill="FBD4B4"/>
          </w:tcPr>
          <w:p w:rsidR="007C5447" w:rsidRDefault="00F6308C">
            <w:pPr>
              <w:pStyle w:val="TableParagraph"/>
              <w:spacing w:before="119"/>
              <w:ind w:left="114" w:right="88"/>
              <w:jc w:val="center"/>
              <w:rPr>
                <w:b/>
                <w:sz w:val="18"/>
              </w:rPr>
            </w:pPr>
            <w:r>
              <w:rPr>
                <w:b/>
                <w:sz w:val="18"/>
              </w:rPr>
              <w:t>Op. Charges and Extra Ordinary</w:t>
            </w:r>
          </w:p>
        </w:tc>
        <w:tc>
          <w:tcPr>
            <w:tcW w:w="1309" w:type="dxa"/>
            <w:shd w:val="clear" w:color="auto" w:fill="FBD4B4"/>
          </w:tcPr>
          <w:p w:rsidR="007C5447" w:rsidRDefault="007C5447">
            <w:pPr>
              <w:pStyle w:val="TableParagraph"/>
              <w:spacing w:before="4"/>
              <w:jc w:val="left"/>
              <w:rPr>
                <w:b/>
                <w:sz w:val="28"/>
              </w:rPr>
            </w:pPr>
          </w:p>
          <w:p w:rsidR="007C5447" w:rsidRDefault="00F6308C">
            <w:pPr>
              <w:pStyle w:val="TableParagraph"/>
              <w:ind w:left="114" w:firstLine="64"/>
              <w:jc w:val="left"/>
              <w:rPr>
                <w:b/>
                <w:sz w:val="18"/>
              </w:rPr>
            </w:pPr>
            <w:r>
              <w:rPr>
                <w:b/>
                <w:sz w:val="18"/>
              </w:rPr>
              <w:t>Prior Period Exp./(Income)</w:t>
            </w:r>
          </w:p>
        </w:tc>
        <w:tc>
          <w:tcPr>
            <w:tcW w:w="990" w:type="dxa"/>
            <w:shd w:val="clear" w:color="auto" w:fill="FBD4B4"/>
          </w:tcPr>
          <w:p w:rsidR="007C5447" w:rsidRDefault="007C5447">
            <w:pPr>
              <w:pStyle w:val="TableParagraph"/>
              <w:spacing w:before="4"/>
              <w:jc w:val="left"/>
              <w:rPr>
                <w:b/>
                <w:sz w:val="28"/>
              </w:rPr>
            </w:pPr>
          </w:p>
          <w:p w:rsidR="007C5447" w:rsidRDefault="00F6308C">
            <w:pPr>
              <w:pStyle w:val="TableParagraph"/>
              <w:ind w:left="221" w:firstLine="55"/>
              <w:jc w:val="left"/>
              <w:rPr>
                <w:b/>
                <w:sz w:val="18"/>
              </w:rPr>
            </w:pPr>
            <w:r>
              <w:rPr>
                <w:b/>
                <w:sz w:val="18"/>
              </w:rPr>
              <w:t>Other Income</w:t>
            </w:r>
          </w:p>
        </w:tc>
        <w:tc>
          <w:tcPr>
            <w:tcW w:w="855" w:type="dxa"/>
            <w:shd w:val="clear" w:color="auto" w:fill="FBD4B4"/>
          </w:tcPr>
          <w:p w:rsidR="007C5447" w:rsidRDefault="00F6308C">
            <w:pPr>
              <w:pStyle w:val="TableParagraph"/>
              <w:spacing w:before="119"/>
              <w:ind w:left="119" w:right="84" w:firstLine="2"/>
              <w:jc w:val="center"/>
              <w:rPr>
                <w:b/>
                <w:sz w:val="18"/>
              </w:rPr>
            </w:pPr>
            <w:r>
              <w:rPr>
                <w:b/>
                <w:sz w:val="18"/>
              </w:rPr>
              <w:t>Other Int. &amp; Fin. Charges</w:t>
            </w:r>
          </w:p>
        </w:tc>
        <w:tc>
          <w:tcPr>
            <w:tcW w:w="985" w:type="dxa"/>
            <w:shd w:val="clear" w:color="auto" w:fill="FBD4B4"/>
          </w:tcPr>
          <w:p w:rsidR="007C5447" w:rsidRDefault="007C5447">
            <w:pPr>
              <w:pStyle w:val="TableParagraph"/>
              <w:spacing w:before="4"/>
              <w:jc w:val="left"/>
              <w:rPr>
                <w:b/>
                <w:sz w:val="19"/>
              </w:rPr>
            </w:pPr>
          </w:p>
          <w:p w:rsidR="007C5447" w:rsidRDefault="00F6308C">
            <w:pPr>
              <w:pStyle w:val="TableParagraph"/>
              <w:ind w:left="291" w:right="249" w:firstLine="9"/>
              <w:jc w:val="both"/>
              <w:rPr>
                <w:b/>
                <w:sz w:val="18"/>
              </w:rPr>
            </w:pPr>
            <w:r>
              <w:rPr>
                <w:b/>
                <w:sz w:val="18"/>
              </w:rPr>
              <w:t>Total Fixed Cost</w:t>
            </w:r>
          </w:p>
        </w:tc>
        <w:tc>
          <w:tcPr>
            <w:tcW w:w="976" w:type="dxa"/>
            <w:shd w:val="clear" w:color="auto" w:fill="FBD4B4"/>
          </w:tcPr>
          <w:p w:rsidR="007C5447" w:rsidRDefault="00F6308C">
            <w:pPr>
              <w:pStyle w:val="TableParagraph"/>
              <w:spacing w:before="14"/>
              <w:ind w:left="206" w:right="165" w:firstLine="2"/>
              <w:jc w:val="center"/>
              <w:rPr>
                <w:b/>
                <w:sz w:val="18"/>
              </w:rPr>
            </w:pPr>
            <w:r>
              <w:rPr>
                <w:b/>
                <w:sz w:val="18"/>
              </w:rPr>
              <w:t>Fixed cost allowed</w:t>
            </w:r>
          </w:p>
          <w:p w:rsidR="007C5447" w:rsidRDefault="00F6308C">
            <w:pPr>
              <w:pStyle w:val="TableParagraph"/>
              <w:spacing w:before="4" w:line="206" w:lineRule="exact"/>
              <w:ind w:left="122" w:right="83" w:firstLine="4"/>
              <w:jc w:val="center"/>
              <w:rPr>
                <w:b/>
                <w:sz w:val="18"/>
              </w:rPr>
            </w:pPr>
            <w:r>
              <w:rPr>
                <w:b/>
                <w:sz w:val="18"/>
              </w:rPr>
              <w:t>to be recovered</w:t>
            </w:r>
          </w:p>
        </w:tc>
      </w:tr>
      <w:tr w:rsidR="007C5447">
        <w:trPr>
          <w:trHeight w:val="300"/>
        </w:trPr>
        <w:tc>
          <w:tcPr>
            <w:tcW w:w="855" w:type="dxa"/>
          </w:tcPr>
          <w:p w:rsidR="007C5447" w:rsidRDefault="00F6308C">
            <w:pPr>
              <w:pStyle w:val="TableParagraph"/>
              <w:spacing w:before="79" w:line="201" w:lineRule="exact"/>
              <w:ind w:left="3"/>
              <w:jc w:val="center"/>
              <w:rPr>
                <w:sz w:val="18"/>
              </w:rPr>
            </w:pPr>
            <w:r>
              <w:rPr>
                <w:sz w:val="18"/>
              </w:rPr>
              <w:t>1</w:t>
            </w:r>
          </w:p>
        </w:tc>
        <w:tc>
          <w:tcPr>
            <w:tcW w:w="1982" w:type="dxa"/>
          </w:tcPr>
          <w:p w:rsidR="007C5447" w:rsidRDefault="00F6308C">
            <w:pPr>
              <w:pStyle w:val="TableParagraph"/>
              <w:spacing w:before="46"/>
              <w:ind w:left="105"/>
              <w:jc w:val="left"/>
              <w:rPr>
                <w:sz w:val="18"/>
              </w:rPr>
            </w:pPr>
            <w:r>
              <w:rPr>
                <w:sz w:val="18"/>
              </w:rPr>
              <w:t>Ennore TPS</w:t>
            </w:r>
          </w:p>
        </w:tc>
        <w:tc>
          <w:tcPr>
            <w:tcW w:w="1276" w:type="dxa"/>
          </w:tcPr>
          <w:p w:rsidR="007C5447" w:rsidRDefault="00F6308C">
            <w:pPr>
              <w:pStyle w:val="TableParagraph"/>
              <w:spacing w:before="46"/>
              <w:ind w:right="130"/>
              <w:rPr>
                <w:sz w:val="18"/>
              </w:rPr>
            </w:pPr>
            <w:r>
              <w:rPr>
                <w:sz w:val="18"/>
              </w:rPr>
              <w:t>37.03</w:t>
            </w:r>
          </w:p>
        </w:tc>
        <w:tc>
          <w:tcPr>
            <w:tcW w:w="991" w:type="dxa"/>
          </w:tcPr>
          <w:p w:rsidR="007C5447" w:rsidRDefault="00F6308C">
            <w:pPr>
              <w:pStyle w:val="TableParagraph"/>
              <w:spacing w:before="46"/>
              <w:ind w:right="127"/>
              <w:rPr>
                <w:sz w:val="18"/>
              </w:rPr>
            </w:pPr>
            <w:r>
              <w:rPr>
                <w:sz w:val="18"/>
              </w:rPr>
              <w:t>98.89</w:t>
            </w:r>
          </w:p>
        </w:tc>
        <w:tc>
          <w:tcPr>
            <w:tcW w:w="851" w:type="dxa"/>
          </w:tcPr>
          <w:p w:rsidR="007C5447" w:rsidRDefault="00F6308C">
            <w:pPr>
              <w:pStyle w:val="TableParagraph"/>
              <w:spacing w:before="46"/>
              <w:ind w:right="129"/>
              <w:rPr>
                <w:sz w:val="18"/>
              </w:rPr>
            </w:pPr>
            <w:r>
              <w:rPr>
                <w:w w:val="99"/>
                <w:sz w:val="18"/>
              </w:rPr>
              <w:t>-</w:t>
            </w:r>
          </w:p>
        </w:tc>
        <w:tc>
          <w:tcPr>
            <w:tcW w:w="990" w:type="dxa"/>
          </w:tcPr>
          <w:p w:rsidR="007C5447" w:rsidRDefault="00F6308C">
            <w:pPr>
              <w:pStyle w:val="TableParagraph"/>
              <w:spacing w:before="46"/>
              <w:ind w:right="124"/>
              <w:rPr>
                <w:sz w:val="18"/>
              </w:rPr>
            </w:pPr>
            <w:r>
              <w:rPr>
                <w:sz w:val="18"/>
              </w:rPr>
              <w:t>22.24</w:t>
            </w:r>
          </w:p>
        </w:tc>
        <w:tc>
          <w:tcPr>
            <w:tcW w:w="990" w:type="dxa"/>
          </w:tcPr>
          <w:p w:rsidR="007C5447" w:rsidRDefault="00F6308C">
            <w:pPr>
              <w:pStyle w:val="TableParagraph"/>
              <w:spacing w:before="46"/>
              <w:ind w:right="126"/>
              <w:rPr>
                <w:sz w:val="18"/>
              </w:rPr>
            </w:pPr>
            <w:r>
              <w:rPr>
                <w:sz w:val="18"/>
              </w:rPr>
              <w:t>104.72</w:t>
            </w:r>
          </w:p>
        </w:tc>
        <w:tc>
          <w:tcPr>
            <w:tcW w:w="992" w:type="dxa"/>
          </w:tcPr>
          <w:p w:rsidR="007C5447" w:rsidRDefault="00F6308C">
            <w:pPr>
              <w:pStyle w:val="TableParagraph"/>
              <w:spacing w:before="46"/>
              <w:ind w:right="126"/>
              <w:rPr>
                <w:sz w:val="18"/>
              </w:rPr>
            </w:pPr>
            <w:r>
              <w:rPr>
                <w:sz w:val="18"/>
              </w:rPr>
              <w:t>0.21</w:t>
            </w:r>
          </w:p>
        </w:tc>
        <w:tc>
          <w:tcPr>
            <w:tcW w:w="992" w:type="dxa"/>
          </w:tcPr>
          <w:p w:rsidR="007C5447" w:rsidRDefault="00F6308C">
            <w:pPr>
              <w:pStyle w:val="TableParagraph"/>
              <w:spacing w:before="46"/>
              <w:ind w:right="123"/>
              <w:rPr>
                <w:sz w:val="18"/>
              </w:rPr>
            </w:pPr>
            <w:r>
              <w:rPr>
                <w:w w:val="99"/>
                <w:sz w:val="18"/>
              </w:rPr>
              <w:t>-</w:t>
            </w:r>
          </w:p>
        </w:tc>
        <w:tc>
          <w:tcPr>
            <w:tcW w:w="1309" w:type="dxa"/>
          </w:tcPr>
          <w:p w:rsidR="007C5447" w:rsidRDefault="00F6308C">
            <w:pPr>
              <w:pStyle w:val="TableParagraph"/>
              <w:spacing w:before="46"/>
              <w:ind w:right="123"/>
              <w:rPr>
                <w:sz w:val="18"/>
              </w:rPr>
            </w:pPr>
            <w:r>
              <w:rPr>
                <w:sz w:val="18"/>
              </w:rPr>
              <w:t>0.55</w:t>
            </w:r>
          </w:p>
        </w:tc>
        <w:tc>
          <w:tcPr>
            <w:tcW w:w="990" w:type="dxa"/>
          </w:tcPr>
          <w:p w:rsidR="007C5447" w:rsidRDefault="00F6308C">
            <w:pPr>
              <w:pStyle w:val="TableParagraph"/>
              <w:spacing w:before="46"/>
              <w:ind w:right="119"/>
              <w:rPr>
                <w:sz w:val="18"/>
              </w:rPr>
            </w:pPr>
            <w:r>
              <w:rPr>
                <w:sz w:val="18"/>
              </w:rPr>
              <w:t>2.66</w:t>
            </w:r>
          </w:p>
        </w:tc>
        <w:tc>
          <w:tcPr>
            <w:tcW w:w="855" w:type="dxa"/>
          </w:tcPr>
          <w:p w:rsidR="007C5447" w:rsidRDefault="00F6308C">
            <w:pPr>
              <w:pStyle w:val="TableParagraph"/>
              <w:spacing w:before="46"/>
              <w:ind w:right="120"/>
              <w:rPr>
                <w:sz w:val="18"/>
              </w:rPr>
            </w:pPr>
            <w:r>
              <w:rPr>
                <w:sz w:val="18"/>
              </w:rPr>
              <w:t>1.59</w:t>
            </w:r>
          </w:p>
        </w:tc>
        <w:tc>
          <w:tcPr>
            <w:tcW w:w="985" w:type="dxa"/>
          </w:tcPr>
          <w:p w:rsidR="007C5447" w:rsidRDefault="00F6308C">
            <w:pPr>
              <w:pStyle w:val="TableParagraph"/>
              <w:spacing w:before="46"/>
              <w:ind w:right="116"/>
              <w:rPr>
                <w:sz w:val="18"/>
              </w:rPr>
            </w:pPr>
            <w:r>
              <w:rPr>
                <w:sz w:val="18"/>
              </w:rPr>
              <w:t>262.57</w:t>
            </w:r>
          </w:p>
        </w:tc>
        <w:tc>
          <w:tcPr>
            <w:tcW w:w="976" w:type="dxa"/>
          </w:tcPr>
          <w:p w:rsidR="007C5447" w:rsidRDefault="00F6308C">
            <w:pPr>
              <w:pStyle w:val="TableParagraph"/>
              <w:spacing w:before="46"/>
              <w:ind w:right="115"/>
              <w:rPr>
                <w:sz w:val="18"/>
              </w:rPr>
            </w:pPr>
            <w:r>
              <w:rPr>
                <w:sz w:val="18"/>
              </w:rPr>
              <w:t>119.00</w:t>
            </w:r>
          </w:p>
        </w:tc>
      </w:tr>
      <w:tr w:rsidR="007C5447">
        <w:trPr>
          <w:trHeight w:val="299"/>
        </w:trPr>
        <w:tc>
          <w:tcPr>
            <w:tcW w:w="855" w:type="dxa"/>
          </w:tcPr>
          <w:p w:rsidR="007C5447" w:rsidRDefault="00F6308C">
            <w:pPr>
              <w:pStyle w:val="TableParagraph"/>
              <w:spacing w:before="79" w:line="201" w:lineRule="exact"/>
              <w:ind w:left="3"/>
              <w:jc w:val="center"/>
              <w:rPr>
                <w:sz w:val="18"/>
              </w:rPr>
            </w:pPr>
            <w:r>
              <w:rPr>
                <w:sz w:val="18"/>
              </w:rPr>
              <w:t>2</w:t>
            </w:r>
          </w:p>
        </w:tc>
        <w:tc>
          <w:tcPr>
            <w:tcW w:w="1982" w:type="dxa"/>
          </w:tcPr>
          <w:p w:rsidR="007C5447" w:rsidRDefault="00F6308C">
            <w:pPr>
              <w:pStyle w:val="TableParagraph"/>
              <w:spacing w:before="47"/>
              <w:ind w:left="105"/>
              <w:jc w:val="left"/>
              <w:rPr>
                <w:sz w:val="18"/>
              </w:rPr>
            </w:pPr>
            <w:r>
              <w:rPr>
                <w:sz w:val="18"/>
              </w:rPr>
              <w:t>Tuticorin TPS</w:t>
            </w:r>
          </w:p>
        </w:tc>
        <w:tc>
          <w:tcPr>
            <w:tcW w:w="1276" w:type="dxa"/>
          </w:tcPr>
          <w:p w:rsidR="007C5447" w:rsidRDefault="00F6308C">
            <w:pPr>
              <w:pStyle w:val="TableParagraph"/>
              <w:spacing w:before="47"/>
              <w:ind w:right="130"/>
              <w:rPr>
                <w:sz w:val="18"/>
              </w:rPr>
            </w:pPr>
            <w:r>
              <w:rPr>
                <w:sz w:val="18"/>
              </w:rPr>
              <w:t>42.67</w:t>
            </w:r>
          </w:p>
        </w:tc>
        <w:tc>
          <w:tcPr>
            <w:tcW w:w="991" w:type="dxa"/>
          </w:tcPr>
          <w:p w:rsidR="007C5447" w:rsidRDefault="00F6308C">
            <w:pPr>
              <w:pStyle w:val="TableParagraph"/>
              <w:spacing w:before="47"/>
              <w:ind w:right="129"/>
              <w:rPr>
                <w:sz w:val="18"/>
              </w:rPr>
            </w:pPr>
            <w:r>
              <w:rPr>
                <w:sz w:val="18"/>
              </w:rPr>
              <w:t>120.81</w:t>
            </w:r>
          </w:p>
        </w:tc>
        <w:tc>
          <w:tcPr>
            <w:tcW w:w="851" w:type="dxa"/>
          </w:tcPr>
          <w:p w:rsidR="007C5447" w:rsidRDefault="00F6308C">
            <w:pPr>
              <w:pStyle w:val="TableParagraph"/>
              <w:spacing w:before="47"/>
              <w:ind w:right="129"/>
              <w:rPr>
                <w:sz w:val="18"/>
              </w:rPr>
            </w:pPr>
            <w:r>
              <w:rPr>
                <w:w w:val="99"/>
                <w:sz w:val="18"/>
              </w:rPr>
              <w:t>-</w:t>
            </w:r>
          </w:p>
        </w:tc>
        <w:tc>
          <w:tcPr>
            <w:tcW w:w="990" w:type="dxa"/>
          </w:tcPr>
          <w:p w:rsidR="007C5447" w:rsidRDefault="00F6308C">
            <w:pPr>
              <w:pStyle w:val="TableParagraph"/>
              <w:spacing w:before="47"/>
              <w:ind w:right="127"/>
              <w:rPr>
                <w:sz w:val="18"/>
              </w:rPr>
            </w:pPr>
            <w:r>
              <w:rPr>
                <w:sz w:val="18"/>
              </w:rPr>
              <w:t>131.84</w:t>
            </w:r>
          </w:p>
        </w:tc>
        <w:tc>
          <w:tcPr>
            <w:tcW w:w="990" w:type="dxa"/>
          </w:tcPr>
          <w:p w:rsidR="007C5447" w:rsidRDefault="00F6308C">
            <w:pPr>
              <w:pStyle w:val="TableParagraph"/>
              <w:spacing w:before="47"/>
              <w:ind w:right="126"/>
              <w:rPr>
                <w:sz w:val="18"/>
              </w:rPr>
            </w:pPr>
            <w:r>
              <w:rPr>
                <w:sz w:val="18"/>
              </w:rPr>
              <w:t>142.19</w:t>
            </w:r>
          </w:p>
        </w:tc>
        <w:tc>
          <w:tcPr>
            <w:tcW w:w="992" w:type="dxa"/>
          </w:tcPr>
          <w:p w:rsidR="007C5447" w:rsidRDefault="00F6308C">
            <w:pPr>
              <w:pStyle w:val="TableParagraph"/>
              <w:spacing w:before="47"/>
              <w:ind w:right="126"/>
              <w:rPr>
                <w:sz w:val="18"/>
              </w:rPr>
            </w:pPr>
            <w:r>
              <w:rPr>
                <w:sz w:val="18"/>
              </w:rPr>
              <w:t>0.31</w:t>
            </w:r>
          </w:p>
        </w:tc>
        <w:tc>
          <w:tcPr>
            <w:tcW w:w="992" w:type="dxa"/>
          </w:tcPr>
          <w:p w:rsidR="007C5447" w:rsidRDefault="00F6308C">
            <w:pPr>
              <w:pStyle w:val="TableParagraph"/>
              <w:spacing w:before="47"/>
              <w:ind w:right="123"/>
              <w:rPr>
                <w:sz w:val="18"/>
              </w:rPr>
            </w:pPr>
            <w:r>
              <w:rPr>
                <w:w w:val="99"/>
                <w:sz w:val="18"/>
              </w:rPr>
              <w:t>-</w:t>
            </w:r>
          </w:p>
        </w:tc>
        <w:tc>
          <w:tcPr>
            <w:tcW w:w="1309" w:type="dxa"/>
          </w:tcPr>
          <w:p w:rsidR="007C5447" w:rsidRDefault="00F6308C">
            <w:pPr>
              <w:pStyle w:val="TableParagraph"/>
              <w:spacing w:before="47"/>
              <w:ind w:right="123"/>
              <w:rPr>
                <w:sz w:val="18"/>
              </w:rPr>
            </w:pPr>
            <w:r>
              <w:rPr>
                <w:sz w:val="18"/>
              </w:rPr>
              <w:t>4.69</w:t>
            </w:r>
          </w:p>
        </w:tc>
        <w:tc>
          <w:tcPr>
            <w:tcW w:w="990" w:type="dxa"/>
          </w:tcPr>
          <w:p w:rsidR="007C5447" w:rsidRDefault="00F6308C">
            <w:pPr>
              <w:pStyle w:val="TableParagraph"/>
              <w:spacing w:before="47"/>
              <w:ind w:right="116"/>
              <w:rPr>
                <w:sz w:val="18"/>
              </w:rPr>
            </w:pPr>
            <w:r>
              <w:rPr>
                <w:sz w:val="18"/>
              </w:rPr>
              <w:t>44.53</w:t>
            </w:r>
          </w:p>
        </w:tc>
        <w:tc>
          <w:tcPr>
            <w:tcW w:w="855" w:type="dxa"/>
          </w:tcPr>
          <w:p w:rsidR="007C5447" w:rsidRDefault="00F6308C">
            <w:pPr>
              <w:pStyle w:val="TableParagraph"/>
              <w:spacing w:before="47"/>
              <w:ind w:right="120"/>
              <w:rPr>
                <w:sz w:val="18"/>
              </w:rPr>
            </w:pPr>
            <w:r>
              <w:rPr>
                <w:sz w:val="18"/>
              </w:rPr>
              <w:t>0.36</w:t>
            </w:r>
          </w:p>
        </w:tc>
        <w:tc>
          <w:tcPr>
            <w:tcW w:w="985" w:type="dxa"/>
          </w:tcPr>
          <w:p w:rsidR="007C5447" w:rsidRDefault="00F6308C">
            <w:pPr>
              <w:pStyle w:val="TableParagraph"/>
              <w:spacing w:before="47"/>
              <w:ind w:right="116"/>
              <w:rPr>
                <w:sz w:val="18"/>
              </w:rPr>
            </w:pPr>
            <w:r>
              <w:rPr>
                <w:sz w:val="18"/>
              </w:rPr>
              <w:t>398.35</w:t>
            </w:r>
          </w:p>
        </w:tc>
        <w:tc>
          <w:tcPr>
            <w:tcW w:w="976" w:type="dxa"/>
          </w:tcPr>
          <w:p w:rsidR="007C5447" w:rsidRDefault="00F6308C">
            <w:pPr>
              <w:pStyle w:val="TableParagraph"/>
              <w:spacing w:before="47"/>
              <w:ind w:right="115"/>
              <w:rPr>
                <w:sz w:val="18"/>
              </w:rPr>
            </w:pPr>
            <w:r>
              <w:rPr>
                <w:sz w:val="18"/>
              </w:rPr>
              <w:t>398.35</w:t>
            </w:r>
          </w:p>
        </w:tc>
      </w:tr>
      <w:tr w:rsidR="007C5447">
        <w:trPr>
          <w:trHeight w:val="299"/>
        </w:trPr>
        <w:tc>
          <w:tcPr>
            <w:tcW w:w="855" w:type="dxa"/>
          </w:tcPr>
          <w:p w:rsidR="007C5447" w:rsidRDefault="00F6308C">
            <w:pPr>
              <w:pStyle w:val="TableParagraph"/>
              <w:spacing w:before="79" w:line="201" w:lineRule="exact"/>
              <w:ind w:left="3"/>
              <w:jc w:val="center"/>
              <w:rPr>
                <w:sz w:val="18"/>
              </w:rPr>
            </w:pPr>
            <w:r>
              <w:rPr>
                <w:sz w:val="18"/>
              </w:rPr>
              <w:t>3</w:t>
            </w:r>
          </w:p>
        </w:tc>
        <w:tc>
          <w:tcPr>
            <w:tcW w:w="1982" w:type="dxa"/>
          </w:tcPr>
          <w:p w:rsidR="007C5447" w:rsidRDefault="00F6308C">
            <w:pPr>
              <w:pStyle w:val="TableParagraph"/>
              <w:spacing w:before="47"/>
              <w:ind w:left="105"/>
              <w:jc w:val="left"/>
              <w:rPr>
                <w:sz w:val="18"/>
              </w:rPr>
            </w:pPr>
            <w:r>
              <w:rPr>
                <w:sz w:val="18"/>
              </w:rPr>
              <w:t>Mettur TPS</w:t>
            </w:r>
          </w:p>
        </w:tc>
        <w:tc>
          <w:tcPr>
            <w:tcW w:w="1276" w:type="dxa"/>
          </w:tcPr>
          <w:p w:rsidR="007C5447" w:rsidRDefault="00F6308C">
            <w:pPr>
              <w:pStyle w:val="TableParagraph"/>
              <w:spacing w:before="47"/>
              <w:ind w:right="130"/>
              <w:rPr>
                <w:sz w:val="18"/>
              </w:rPr>
            </w:pPr>
            <w:r>
              <w:rPr>
                <w:sz w:val="18"/>
              </w:rPr>
              <w:t>29.37</w:t>
            </w:r>
          </w:p>
        </w:tc>
        <w:tc>
          <w:tcPr>
            <w:tcW w:w="991" w:type="dxa"/>
          </w:tcPr>
          <w:p w:rsidR="007C5447" w:rsidRDefault="00F6308C">
            <w:pPr>
              <w:pStyle w:val="TableParagraph"/>
              <w:spacing w:before="47"/>
              <w:ind w:right="127"/>
              <w:rPr>
                <w:sz w:val="18"/>
              </w:rPr>
            </w:pPr>
            <w:r>
              <w:rPr>
                <w:sz w:val="18"/>
              </w:rPr>
              <w:t>62.35</w:t>
            </w:r>
          </w:p>
        </w:tc>
        <w:tc>
          <w:tcPr>
            <w:tcW w:w="851" w:type="dxa"/>
          </w:tcPr>
          <w:p w:rsidR="007C5447" w:rsidRDefault="00F6308C">
            <w:pPr>
              <w:pStyle w:val="TableParagraph"/>
              <w:spacing w:before="47"/>
              <w:ind w:right="129"/>
              <w:rPr>
                <w:sz w:val="18"/>
              </w:rPr>
            </w:pPr>
            <w:r>
              <w:rPr>
                <w:w w:val="99"/>
                <w:sz w:val="18"/>
              </w:rPr>
              <w:t>-</w:t>
            </w:r>
          </w:p>
        </w:tc>
        <w:tc>
          <w:tcPr>
            <w:tcW w:w="990" w:type="dxa"/>
          </w:tcPr>
          <w:p w:rsidR="007C5447" w:rsidRDefault="00F6308C">
            <w:pPr>
              <w:pStyle w:val="TableParagraph"/>
              <w:spacing w:before="47"/>
              <w:ind w:right="127"/>
              <w:rPr>
                <w:sz w:val="18"/>
              </w:rPr>
            </w:pPr>
            <w:r>
              <w:rPr>
                <w:sz w:val="18"/>
              </w:rPr>
              <w:t>126.83</w:t>
            </w:r>
          </w:p>
        </w:tc>
        <w:tc>
          <w:tcPr>
            <w:tcW w:w="990" w:type="dxa"/>
          </w:tcPr>
          <w:p w:rsidR="007C5447" w:rsidRDefault="00F6308C">
            <w:pPr>
              <w:pStyle w:val="TableParagraph"/>
              <w:spacing w:before="47"/>
              <w:ind w:right="126"/>
              <w:rPr>
                <w:sz w:val="18"/>
              </w:rPr>
            </w:pPr>
            <w:r>
              <w:rPr>
                <w:sz w:val="18"/>
              </w:rPr>
              <w:t>116.61</w:t>
            </w:r>
          </w:p>
        </w:tc>
        <w:tc>
          <w:tcPr>
            <w:tcW w:w="992" w:type="dxa"/>
          </w:tcPr>
          <w:p w:rsidR="007C5447" w:rsidRDefault="00F6308C">
            <w:pPr>
              <w:pStyle w:val="TableParagraph"/>
              <w:spacing w:before="47"/>
              <w:ind w:right="126"/>
              <w:rPr>
                <w:sz w:val="18"/>
              </w:rPr>
            </w:pPr>
            <w:r>
              <w:rPr>
                <w:sz w:val="18"/>
              </w:rPr>
              <w:t>0.21</w:t>
            </w:r>
          </w:p>
        </w:tc>
        <w:tc>
          <w:tcPr>
            <w:tcW w:w="992" w:type="dxa"/>
          </w:tcPr>
          <w:p w:rsidR="007C5447" w:rsidRDefault="00F6308C">
            <w:pPr>
              <w:pStyle w:val="TableParagraph"/>
              <w:spacing w:before="47"/>
              <w:ind w:right="123"/>
              <w:rPr>
                <w:sz w:val="18"/>
              </w:rPr>
            </w:pPr>
            <w:r>
              <w:rPr>
                <w:w w:val="99"/>
                <w:sz w:val="18"/>
              </w:rPr>
              <w:t>-</w:t>
            </w:r>
          </w:p>
        </w:tc>
        <w:tc>
          <w:tcPr>
            <w:tcW w:w="1309" w:type="dxa"/>
          </w:tcPr>
          <w:p w:rsidR="007C5447" w:rsidRDefault="00F6308C">
            <w:pPr>
              <w:pStyle w:val="TableParagraph"/>
              <w:spacing w:before="47"/>
              <w:ind w:right="120"/>
              <w:rPr>
                <w:sz w:val="18"/>
              </w:rPr>
            </w:pPr>
            <w:r>
              <w:rPr>
                <w:sz w:val="18"/>
              </w:rPr>
              <w:t>(11.52)</w:t>
            </w:r>
          </w:p>
        </w:tc>
        <w:tc>
          <w:tcPr>
            <w:tcW w:w="990" w:type="dxa"/>
          </w:tcPr>
          <w:p w:rsidR="007C5447" w:rsidRDefault="00F6308C">
            <w:pPr>
              <w:pStyle w:val="TableParagraph"/>
              <w:spacing w:before="47"/>
              <w:ind w:right="116"/>
              <w:rPr>
                <w:sz w:val="18"/>
              </w:rPr>
            </w:pPr>
            <w:r>
              <w:rPr>
                <w:sz w:val="18"/>
              </w:rPr>
              <w:t>46.19</w:t>
            </w:r>
          </w:p>
        </w:tc>
        <w:tc>
          <w:tcPr>
            <w:tcW w:w="855" w:type="dxa"/>
          </w:tcPr>
          <w:p w:rsidR="007C5447" w:rsidRDefault="00F6308C">
            <w:pPr>
              <w:pStyle w:val="TableParagraph"/>
              <w:spacing w:before="47"/>
              <w:ind w:right="120"/>
              <w:rPr>
                <w:sz w:val="18"/>
              </w:rPr>
            </w:pPr>
            <w:r>
              <w:rPr>
                <w:sz w:val="18"/>
              </w:rPr>
              <w:t>0.30</w:t>
            </w:r>
          </w:p>
        </w:tc>
        <w:tc>
          <w:tcPr>
            <w:tcW w:w="985" w:type="dxa"/>
          </w:tcPr>
          <w:p w:rsidR="007C5447" w:rsidRDefault="00F6308C">
            <w:pPr>
              <w:pStyle w:val="TableParagraph"/>
              <w:spacing w:before="47"/>
              <w:ind w:right="116"/>
              <w:rPr>
                <w:sz w:val="18"/>
              </w:rPr>
            </w:pPr>
            <w:r>
              <w:rPr>
                <w:sz w:val="18"/>
              </w:rPr>
              <w:t>277.96</w:t>
            </w:r>
          </w:p>
        </w:tc>
        <w:tc>
          <w:tcPr>
            <w:tcW w:w="976" w:type="dxa"/>
          </w:tcPr>
          <w:p w:rsidR="007C5447" w:rsidRDefault="00F6308C">
            <w:pPr>
              <w:pStyle w:val="TableParagraph"/>
              <w:spacing w:before="47"/>
              <w:ind w:right="119"/>
              <w:rPr>
                <w:sz w:val="18"/>
              </w:rPr>
            </w:pPr>
            <w:r>
              <w:rPr>
                <w:sz w:val="18"/>
              </w:rPr>
              <w:t>277.96</w:t>
            </w:r>
          </w:p>
        </w:tc>
      </w:tr>
      <w:tr w:rsidR="007C5447">
        <w:trPr>
          <w:trHeight w:val="301"/>
        </w:trPr>
        <w:tc>
          <w:tcPr>
            <w:tcW w:w="855" w:type="dxa"/>
          </w:tcPr>
          <w:p w:rsidR="007C5447" w:rsidRDefault="00F6308C">
            <w:pPr>
              <w:pStyle w:val="TableParagraph"/>
              <w:spacing w:before="79" w:line="203" w:lineRule="exact"/>
              <w:ind w:left="3"/>
              <w:jc w:val="center"/>
              <w:rPr>
                <w:sz w:val="18"/>
              </w:rPr>
            </w:pPr>
            <w:r>
              <w:rPr>
                <w:sz w:val="18"/>
              </w:rPr>
              <w:t>4</w:t>
            </w:r>
          </w:p>
        </w:tc>
        <w:tc>
          <w:tcPr>
            <w:tcW w:w="1982" w:type="dxa"/>
          </w:tcPr>
          <w:p w:rsidR="007C5447" w:rsidRDefault="00F6308C">
            <w:pPr>
              <w:pStyle w:val="TableParagraph"/>
              <w:spacing w:before="47"/>
              <w:ind w:left="105"/>
              <w:jc w:val="left"/>
              <w:rPr>
                <w:sz w:val="18"/>
              </w:rPr>
            </w:pPr>
            <w:r>
              <w:rPr>
                <w:sz w:val="18"/>
              </w:rPr>
              <w:t>North Chennai TPS</w:t>
            </w:r>
          </w:p>
        </w:tc>
        <w:tc>
          <w:tcPr>
            <w:tcW w:w="1276" w:type="dxa"/>
          </w:tcPr>
          <w:p w:rsidR="007C5447" w:rsidRDefault="00F6308C">
            <w:pPr>
              <w:pStyle w:val="TableParagraph"/>
              <w:spacing w:before="47"/>
              <w:ind w:right="130"/>
              <w:rPr>
                <w:sz w:val="18"/>
              </w:rPr>
            </w:pPr>
            <w:r>
              <w:rPr>
                <w:sz w:val="18"/>
              </w:rPr>
              <w:t>57.39</w:t>
            </w:r>
          </w:p>
        </w:tc>
        <w:tc>
          <w:tcPr>
            <w:tcW w:w="991" w:type="dxa"/>
          </w:tcPr>
          <w:p w:rsidR="007C5447" w:rsidRDefault="00F6308C">
            <w:pPr>
              <w:pStyle w:val="TableParagraph"/>
              <w:spacing w:before="47"/>
              <w:ind w:right="129"/>
              <w:rPr>
                <w:sz w:val="18"/>
              </w:rPr>
            </w:pPr>
            <w:r>
              <w:rPr>
                <w:sz w:val="18"/>
              </w:rPr>
              <w:t>105.44</w:t>
            </w:r>
          </w:p>
        </w:tc>
        <w:tc>
          <w:tcPr>
            <w:tcW w:w="851" w:type="dxa"/>
          </w:tcPr>
          <w:p w:rsidR="007C5447" w:rsidRDefault="00F6308C">
            <w:pPr>
              <w:pStyle w:val="TableParagraph"/>
              <w:spacing w:before="47"/>
              <w:ind w:right="129"/>
              <w:rPr>
                <w:sz w:val="18"/>
              </w:rPr>
            </w:pPr>
            <w:r>
              <w:rPr>
                <w:w w:val="99"/>
                <w:sz w:val="18"/>
              </w:rPr>
              <w:t>-</w:t>
            </w:r>
          </w:p>
        </w:tc>
        <w:tc>
          <w:tcPr>
            <w:tcW w:w="990" w:type="dxa"/>
          </w:tcPr>
          <w:p w:rsidR="007C5447" w:rsidRDefault="00F6308C">
            <w:pPr>
              <w:pStyle w:val="TableParagraph"/>
              <w:spacing w:before="47"/>
              <w:ind w:right="124"/>
              <w:rPr>
                <w:sz w:val="18"/>
              </w:rPr>
            </w:pPr>
            <w:r>
              <w:rPr>
                <w:sz w:val="18"/>
              </w:rPr>
              <w:t>59.52</w:t>
            </w:r>
          </w:p>
        </w:tc>
        <w:tc>
          <w:tcPr>
            <w:tcW w:w="990" w:type="dxa"/>
          </w:tcPr>
          <w:p w:rsidR="007C5447" w:rsidRDefault="00F6308C">
            <w:pPr>
              <w:pStyle w:val="TableParagraph"/>
              <w:spacing w:before="47"/>
              <w:ind w:right="126"/>
              <w:rPr>
                <w:sz w:val="18"/>
              </w:rPr>
            </w:pPr>
            <w:r>
              <w:rPr>
                <w:sz w:val="18"/>
              </w:rPr>
              <w:t>117.64</w:t>
            </w:r>
          </w:p>
        </w:tc>
        <w:tc>
          <w:tcPr>
            <w:tcW w:w="992" w:type="dxa"/>
          </w:tcPr>
          <w:p w:rsidR="007C5447" w:rsidRDefault="00F6308C">
            <w:pPr>
              <w:pStyle w:val="TableParagraph"/>
              <w:spacing w:before="47"/>
              <w:ind w:right="126"/>
              <w:rPr>
                <w:sz w:val="18"/>
              </w:rPr>
            </w:pPr>
            <w:r>
              <w:rPr>
                <w:sz w:val="18"/>
              </w:rPr>
              <w:t>0.42</w:t>
            </w:r>
          </w:p>
        </w:tc>
        <w:tc>
          <w:tcPr>
            <w:tcW w:w="992" w:type="dxa"/>
          </w:tcPr>
          <w:p w:rsidR="007C5447" w:rsidRDefault="00F6308C">
            <w:pPr>
              <w:pStyle w:val="TableParagraph"/>
              <w:spacing w:before="47"/>
              <w:ind w:right="123"/>
              <w:rPr>
                <w:sz w:val="18"/>
              </w:rPr>
            </w:pPr>
            <w:r>
              <w:rPr>
                <w:w w:val="99"/>
                <w:sz w:val="18"/>
              </w:rPr>
              <w:t>-</w:t>
            </w:r>
          </w:p>
        </w:tc>
        <w:tc>
          <w:tcPr>
            <w:tcW w:w="1309" w:type="dxa"/>
          </w:tcPr>
          <w:p w:rsidR="007C5447" w:rsidRDefault="00F6308C">
            <w:pPr>
              <w:pStyle w:val="TableParagraph"/>
              <w:spacing w:before="47"/>
              <w:ind w:right="123"/>
              <w:rPr>
                <w:sz w:val="18"/>
              </w:rPr>
            </w:pPr>
            <w:r>
              <w:rPr>
                <w:sz w:val="18"/>
              </w:rPr>
              <w:t>5.13</w:t>
            </w:r>
          </w:p>
        </w:tc>
        <w:tc>
          <w:tcPr>
            <w:tcW w:w="990" w:type="dxa"/>
          </w:tcPr>
          <w:p w:rsidR="007C5447" w:rsidRDefault="00F6308C">
            <w:pPr>
              <w:pStyle w:val="TableParagraph"/>
              <w:spacing w:before="47"/>
              <w:ind w:right="116"/>
              <w:rPr>
                <w:sz w:val="18"/>
              </w:rPr>
            </w:pPr>
            <w:r>
              <w:rPr>
                <w:sz w:val="18"/>
              </w:rPr>
              <w:t>21.79</w:t>
            </w:r>
          </w:p>
        </w:tc>
        <w:tc>
          <w:tcPr>
            <w:tcW w:w="855" w:type="dxa"/>
          </w:tcPr>
          <w:p w:rsidR="007C5447" w:rsidRDefault="00F6308C">
            <w:pPr>
              <w:pStyle w:val="TableParagraph"/>
              <w:spacing w:before="47"/>
              <w:ind w:right="120"/>
              <w:rPr>
                <w:sz w:val="18"/>
              </w:rPr>
            </w:pPr>
            <w:r>
              <w:rPr>
                <w:sz w:val="18"/>
              </w:rPr>
              <w:t>0.28</w:t>
            </w:r>
          </w:p>
        </w:tc>
        <w:tc>
          <w:tcPr>
            <w:tcW w:w="985" w:type="dxa"/>
          </w:tcPr>
          <w:p w:rsidR="007C5447" w:rsidRDefault="00F6308C">
            <w:pPr>
              <w:pStyle w:val="TableParagraph"/>
              <w:spacing w:before="47"/>
              <w:ind w:right="116"/>
              <w:rPr>
                <w:sz w:val="18"/>
              </w:rPr>
            </w:pPr>
            <w:r>
              <w:rPr>
                <w:sz w:val="18"/>
              </w:rPr>
              <w:t>324.03</w:t>
            </w:r>
          </w:p>
        </w:tc>
        <w:tc>
          <w:tcPr>
            <w:tcW w:w="976" w:type="dxa"/>
          </w:tcPr>
          <w:p w:rsidR="007C5447" w:rsidRDefault="00F6308C">
            <w:pPr>
              <w:pStyle w:val="TableParagraph"/>
              <w:spacing w:before="47"/>
              <w:ind w:right="119"/>
              <w:rPr>
                <w:sz w:val="18"/>
              </w:rPr>
            </w:pPr>
            <w:r>
              <w:rPr>
                <w:sz w:val="18"/>
              </w:rPr>
              <w:t>324.03</w:t>
            </w:r>
          </w:p>
        </w:tc>
      </w:tr>
      <w:tr w:rsidR="007C5447">
        <w:trPr>
          <w:trHeight w:val="299"/>
        </w:trPr>
        <w:tc>
          <w:tcPr>
            <w:tcW w:w="855" w:type="dxa"/>
          </w:tcPr>
          <w:p w:rsidR="007C5447" w:rsidRDefault="00F6308C">
            <w:pPr>
              <w:pStyle w:val="TableParagraph"/>
              <w:spacing w:before="76" w:line="203" w:lineRule="exact"/>
              <w:ind w:left="3"/>
              <w:jc w:val="center"/>
              <w:rPr>
                <w:sz w:val="18"/>
              </w:rPr>
            </w:pPr>
            <w:r>
              <w:rPr>
                <w:sz w:val="18"/>
              </w:rPr>
              <w:t>5</w:t>
            </w:r>
          </w:p>
        </w:tc>
        <w:tc>
          <w:tcPr>
            <w:tcW w:w="1982" w:type="dxa"/>
          </w:tcPr>
          <w:p w:rsidR="007C5447" w:rsidRDefault="00F6308C">
            <w:pPr>
              <w:pStyle w:val="TableParagraph"/>
              <w:spacing w:before="45"/>
              <w:ind w:left="105"/>
              <w:jc w:val="left"/>
              <w:rPr>
                <w:sz w:val="18"/>
              </w:rPr>
            </w:pPr>
            <w:r>
              <w:rPr>
                <w:sz w:val="18"/>
              </w:rPr>
              <w:t>Tirumakottai GTPS</w:t>
            </w:r>
          </w:p>
        </w:tc>
        <w:tc>
          <w:tcPr>
            <w:tcW w:w="1276" w:type="dxa"/>
          </w:tcPr>
          <w:p w:rsidR="007C5447" w:rsidRDefault="00F6308C">
            <w:pPr>
              <w:pStyle w:val="TableParagraph"/>
              <w:spacing w:before="45"/>
              <w:ind w:right="130"/>
              <w:rPr>
                <w:sz w:val="18"/>
              </w:rPr>
            </w:pPr>
            <w:r>
              <w:rPr>
                <w:sz w:val="18"/>
              </w:rPr>
              <w:t>14.37</w:t>
            </w:r>
          </w:p>
        </w:tc>
        <w:tc>
          <w:tcPr>
            <w:tcW w:w="991" w:type="dxa"/>
          </w:tcPr>
          <w:p w:rsidR="007C5447" w:rsidRDefault="00F6308C">
            <w:pPr>
              <w:pStyle w:val="TableParagraph"/>
              <w:spacing w:before="45"/>
              <w:ind w:right="127"/>
              <w:rPr>
                <w:sz w:val="18"/>
              </w:rPr>
            </w:pPr>
            <w:r>
              <w:rPr>
                <w:sz w:val="18"/>
              </w:rPr>
              <w:t>43.46</w:t>
            </w:r>
          </w:p>
        </w:tc>
        <w:tc>
          <w:tcPr>
            <w:tcW w:w="851" w:type="dxa"/>
          </w:tcPr>
          <w:p w:rsidR="007C5447" w:rsidRDefault="00F6308C">
            <w:pPr>
              <w:pStyle w:val="TableParagraph"/>
              <w:spacing w:before="45"/>
              <w:ind w:right="129"/>
              <w:rPr>
                <w:sz w:val="18"/>
              </w:rPr>
            </w:pPr>
            <w:r>
              <w:rPr>
                <w:w w:val="99"/>
                <w:sz w:val="18"/>
              </w:rPr>
              <w:t>-</w:t>
            </w:r>
          </w:p>
        </w:tc>
        <w:tc>
          <w:tcPr>
            <w:tcW w:w="990" w:type="dxa"/>
          </w:tcPr>
          <w:p w:rsidR="007C5447" w:rsidRDefault="00F6308C">
            <w:pPr>
              <w:pStyle w:val="TableParagraph"/>
              <w:spacing w:before="45"/>
              <w:ind w:right="127"/>
              <w:rPr>
                <w:sz w:val="18"/>
              </w:rPr>
            </w:pPr>
            <w:r>
              <w:rPr>
                <w:sz w:val="18"/>
              </w:rPr>
              <w:t>8.64</w:t>
            </w:r>
          </w:p>
        </w:tc>
        <w:tc>
          <w:tcPr>
            <w:tcW w:w="990" w:type="dxa"/>
          </w:tcPr>
          <w:p w:rsidR="007C5447" w:rsidRDefault="00F6308C">
            <w:pPr>
              <w:pStyle w:val="TableParagraph"/>
              <w:spacing w:before="45"/>
              <w:ind w:right="126"/>
              <w:rPr>
                <w:sz w:val="18"/>
              </w:rPr>
            </w:pPr>
            <w:r>
              <w:rPr>
                <w:sz w:val="18"/>
              </w:rPr>
              <w:t>7.92</w:t>
            </w:r>
          </w:p>
        </w:tc>
        <w:tc>
          <w:tcPr>
            <w:tcW w:w="992" w:type="dxa"/>
          </w:tcPr>
          <w:p w:rsidR="007C5447" w:rsidRDefault="00F6308C">
            <w:pPr>
              <w:pStyle w:val="TableParagraph"/>
              <w:spacing w:before="45"/>
              <w:ind w:right="126"/>
              <w:rPr>
                <w:sz w:val="18"/>
              </w:rPr>
            </w:pPr>
            <w:r>
              <w:rPr>
                <w:sz w:val="18"/>
              </w:rPr>
              <w:t>0.10</w:t>
            </w:r>
          </w:p>
        </w:tc>
        <w:tc>
          <w:tcPr>
            <w:tcW w:w="992" w:type="dxa"/>
          </w:tcPr>
          <w:p w:rsidR="007C5447" w:rsidRDefault="00F6308C">
            <w:pPr>
              <w:pStyle w:val="TableParagraph"/>
              <w:spacing w:before="45"/>
              <w:ind w:right="123"/>
              <w:rPr>
                <w:sz w:val="18"/>
              </w:rPr>
            </w:pPr>
            <w:r>
              <w:rPr>
                <w:w w:val="99"/>
                <w:sz w:val="18"/>
              </w:rPr>
              <w:t>-</w:t>
            </w:r>
          </w:p>
        </w:tc>
        <w:tc>
          <w:tcPr>
            <w:tcW w:w="1309" w:type="dxa"/>
          </w:tcPr>
          <w:p w:rsidR="007C5447" w:rsidRDefault="00F6308C">
            <w:pPr>
              <w:pStyle w:val="TableParagraph"/>
              <w:spacing w:before="45"/>
              <w:ind w:right="120"/>
              <w:rPr>
                <w:sz w:val="18"/>
              </w:rPr>
            </w:pPr>
            <w:r>
              <w:rPr>
                <w:sz w:val="18"/>
              </w:rPr>
              <w:t>(0.41)</w:t>
            </w:r>
          </w:p>
        </w:tc>
        <w:tc>
          <w:tcPr>
            <w:tcW w:w="990" w:type="dxa"/>
          </w:tcPr>
          <w:p w:rsidR="007C5447" w:rsidRDefault="00F6308C">
            <w:pPr>
              <w:pStyle w:val="TableParagraph"/>
              <w:spacing w:before="45"/>
              <w:ind w:right="119"/>
              <w:rPr>
                <w:sz w:val="18"/>
              </w:rPr>
            </w:pPr>
            <w:r>
              <w:rPr>
                <w:sz w:val="18"/>
              </w:rPr>
              <w:t>1.67</w:t>
            </w:r>
          </w:p>
        </w:tc>
        <w:tc>
          <w:tcPr>
            <w:tcW w:w="855" w:type="dxa"/>
          </w:tcPr>
          <w:p w:rsidR="007C5447" w:rsidRDefault="00F6308C">
            <w:pPr>
              <w:pStyle w:val="TableParagraph"/>
              <w:spacing w:before="45"/>
              <w:ind w:right="120"/>
              <w:rPr>
                <w:sz w:val="18"/>
              </w:rPr>
            </w:pPr>
            <w:r>
              <w:rPr>
                <w:sz w:val="18"/>
              </w:rPr>
              <w:t>0.01</w:t>
            </w:r>
          </w:p>
        </w:tc>
        <w:tc>
          <w:tcPr>
            <w:tcW w:w="985" w:type="dxa"/>
          </w:tcPr>
          <w:p w:rsidR="007C5447" w:rsidRDefault="00F6308C">
            <w:pPr>
              <w:pStyle w:val="TableParagraph"/>
              <w:spacing w:before="45"/>
              <w:ind w:right="113"/>
              <w:rPr>
                <w:sz w:val="18"/>
              </w:rPr>
            </w:pPr>
            <w:r>
              <w:rPr>
                <w:sz w:val="18"/>
              </w:rPr>
              <w:t>72.43</w:t>
            </w:r>
          </w:p>
        </w:tc>
        <w:tc>
          <w:tcPr>
            <w:tcW w:w="976" w:type="dxa"/>
          </w:tcPr>
          <w:p w:rsidR="007C5447" w:rsidRDefault="00F6308C">
            <w:pPr>
              <w:pStyle w:val="TableParagraph"/>
              <w:spacing w:before="45"/>
              <w:ind w:right="115"/>
              <w:rPr>
                <w:sz w:val="18"/>
              </w:rPr>
            </w:pPr>
            <w:r>
              <w:rPr>
                <w:sz w:val="18"/>
              </w:rPr>
              <w:t>67.61</w:t>
            </w:r>
          </w:p>
        </w:tc>
      </w:tr>
      <w:tr w:rsidR="007C5447">
        <w:trPr>
          <w:trHeight w:val="299"/>
        </w:trPr>
        <w:tc>
          <w:tcPr>
            <w:tcW w:w="855" w:type="dxa"/>
          </w:tcPr>
          <w:p w:rsidR="007C5447" w:rsidRDefault="00F6308C">
            <w:pPr>
              <w:pStyle w:val="TableParagraph"/>
              <w:spacing w:before="76" w:line="203" w:lineRule="exact"/>
              <w:ind w:left="3"/>
              <w:jc w:val="center"/>
              <w:rPr>
                <w:sz w:val="18"/>
              </w:rPr>
            </w:pPr>
            <w:r>
              <w:rPr>
                <w:sz w:val="18"/>
              </w:rPr>
              <w:t>6</w:t>
            </w:r>
          </w:p>
        </w:tc>
        <w:tc>
          <w:tcPr>
            <w:tcW w:w="1982" w:type="dxa"/>
          </w:tcPr>
          <w:p w:rsidR="007C5447" w:rsidRDefault="00F6308C">
            <w:pPr>
              <w:pStyle w:val="TableParagraph"/>
              <w:spacing w:before="45"/>
              <w:ind w:left="105"/>
              <w:jc w:val="left"/>
              <w:rPr>
                <w:sz w:val="18"/>
              </w:rPr>
            </w:pPr>
            <w:r>
              <w:rPr>
                <w:sz w:val="18"/>
              </w:rPr>
              <w:t>Kuttalam GTPS</w:t>
            </w:r>
          </w:p>
        </w:tc>
        <w:tc>
          <w:tcPr>
            <w:tcW w:w="1276" w:type="dxa"/>
          </w:tcPr>
          <w:p w:rsidR="007C5447" w:rsidRDefault="00F6308C">
            <w:pPr>
              <w:pStyle w:val="TableParagraph"/>
              <w:spacing w:before="45"/>
              <w:ind w:right="130"/>
              <w:rPr>
                <w:sz w:val="18"/>
              </w:rPr>
            </w:pPr>
            <w:r>
              <w:rPr>
                <w:sz w:val="18"/>
              </w:rPr>
              <w:t>10.33</w:t>
            </w:r>
          </w:p>
        </w:tc>
        <w:tc>
          <w:tcPr>
            <w:tcW w:w="991" w:type="dxa"/>
          </w:tcPr>
          <w:p w:rsidR="007C5447" w:rsidRDefault="00F6308C">
            <w:pPr>
              <w:pStyle w:val="TableParagraph"/>
              <w:spacing w:before="45"/>
              <w:ind w:right="127"/>
              <w:rPr>
                <w:sz w:val="18"/>
              </w:rPr>
            </w:pPr>
            <w:r>
              <w:rPr>
                <w:sz w:val="18"/>
              </w:rPr>
              <w:t>37.24</w:t>
            </w:r>
          </w:p>
        </w:tc>
        <w:tc>
          <w:tcPr>
            <w:tcW w:w="851" w:type="dxa"/>
          </w:tcPr>
          <w:p w:rsidR="007C5447" w:rsidRDefault="00F6308C">
            <w:pPr>
              <w:pStyle w:val="TableParagraph"/>
              <w:spacing w:before="45"/>
              <w:ind w:right="129"/>
              <w:rPr>
                <w:sz w:val="18"/>
              </w:rPr>
            </w:pPr>
            <w:r>
              <w:rPr>
                <w:w w:val="99"/>
                <w:sz w:val="18"/>
              </w:rPr>
              <w:t>-</w:t>
            </w:r>
          </w:p>
        </w:tc>
        <w:tc>
          <w:tcPr>
            <w:tcW w:w="990" w:type="dxa"/>
          </w:tcPr>
          <w:p w:rsidR="007C5447" w:rsidRDefault="00F6308C">
            <w:pPr>
              <w:pStyle w:val="TableParagraph"/>
              <w:spacing w:before="45"/>
              <w:ind w:right="127"/>
              <w:rPr>
                <w:sz w:val="18"/>
              </w:rPr>
            </w:pPr>
            <w:r>
              <w:rPr>
                <w:sz w:val="18"/>
              </w:rPr>
              <w:t>5.84</w:t>
            </w:r>
          </w:p>
        </w:tc>
        <w:tc>
          <w:tcPr>
            <w:tcW w:w="990" w:type="dxa"/>
          </w:tcPr>
          <w:p w:rsidR="007C5447" w:rsidRDefault="00F6308C">
            <w:pPr>
              <w:pStyle w:val="TableParagraph"/>
              <w:spacing w:before="45"/>
              <w:ind w:right="126"/>
              <w:rPr>
                <w:sz w:val="18"/>
              </w:rPr>
            </w:pPr>
            <w:r>
              <w:rPr>
                <w:sz w:val="18"/>
              </w:rPr>
              <w:t>9.82</w:t>
            </w:r>
          </w:p>
        </w:tc>
        <w:tc>
          <w:tcPr>
            <w:tcW w:w="992" w:type="dxa"/>
          </w:tcPr>
          <w:p w:rsidR="007C5447" w:rsidRDefault="00F6308C">
            <w:pPr>
              <w:pStyle w:val="TableParagraph"/>
              <w:spacing w:before="45"/>
              <w:ind w:right="126"/>
              <w:rPr>
                <w:sz w:val="18"/>
              </w:rPr>
            </w:pPr>
            <w:r>
              <w:rPr>
                <w:sz w:val="18"/>
              </w:rPr>
              <w:t>0.06</w:t>
            </w:r>
          </w:p>
        </w:tc>
        <w:tc>
          <w:tcPr>
            <w:tcW w:w="992" w:type="dxa"/>
          </w:tcPr>
          <w:p w:rsidR="007C5447" w:rsidRDefault="00F6308C">
            <w:pPr>
              <w:pStyle w:val="TableParagraph"/>
              <w:spacing w:before="45"/>
              <w:ind w:right="123"/>
              <w:rPr>
                <w:sz w:val="18"/>
              </w:rPr>
            </w:pPr>
            <w:r>
              <w:rPr>
                <w:w w:val="99"/>
                <w:sz w:val="18"/>
              </w:rPr>
              <w:t>-</w:t>
            </w:r>
          </w:p>
        </w:tc>
        <w:tc>
          <w:tcPr>
            <w:tcW w:w="1309" w:type="dxa"/>
          </w:tcPr>
          <w:p w:rsidR="007C5447" w:rsidRDefault="00F6308C">
            <w:pPr>
              <w:pStyle w:val="TableParagraph"/>
              <w:spacing w:before="45"/>
              <w:ind w:right="120"/>
              <w:rPr>
                <w:sz w:val="18"/>
              </w:rPr>
            </w:pPr>
            <w:r>
              <w:rPr>
                <w:sz w:val="18"/>
              </w:rPr>
              <w:t>(1.05)</w:t>
            </w:r>
          </w:p>
        </w:tc>
        <w:tc>
          <w:tcPr>
            <w:tcW w:w="990" w:type="dxa"/>
          </w:tcPr>
          <w:p w:rsidR="007C5447" w:rsidRDefault="00F6308C">
            <w:pPr>
              <w:pStyle w:val="TableParagraph"/>
              <w:spacing w:before="45"/>
              <w:ind w:right="119"/>
              <w:rPr>
                <w:sz w:val="18"/>
              </w:rPr>
            </w:pPr>
            <w:r>
              <w:rPr>
                <w:sz w:val="18"/>
              </w:rPr>
              <w:t>0.01</w:t>
            </w:r>
          </w:p>
        </w:tc>
        <w:tc>
          <w:tcPr>
            <w:tcW w:w="855" w:type="dxa"/>
          </w:tcPr>
          <w:p w:rsidR="007C5447" w:rsidRDefault="00F6308C">
            <w:pPr>
              <w:pStyle w:val="TableParagraph"/>
              <w:spacing w:before="45"/>
              <w:ind w:right="120"/>
              <w:rPr>
                <w:sz w:val="18"/>
              </w:rPr>
            </w:pPr>
            <w:r>
              <w:rPr>
                <w:sz w:val="18"/>
              </w:rPr>
              <w:t>0.01</w:t>
            </w:r>
          </w:p>
        </w:tc>
        <w:tc>
          <w:tcPr>
            <w:tcW w:w="985" w:type="dxa"/>
          </w:tcPr>
          <w:p w:rsidR="007C5447" w:rsidRDefault="00F6308C">
            <w:pPr>
              <w:pStyle w:val="TableParagraph"/>
              <w:spacing w:before="45"/>
              <w:ind w:right="113"/>
              <w:rPr>
                <w:sz w:val="18"/>
              </w:rPr>
            </w:pPr>
            <w:r>
              <w:rPr>
                <w:sz w:val="18"/>
              </w:rPr>
              <w:t>62.24</w:t>
            </w:r>
          </w:p>
        </w:tc>
        <w:tc>
          <w:tcPr>
            <w:tcW w:w="976" w:type="dxa"/>
          </w:tcPr>
          <w:p w:rsidR="007C5447" w:rsidRDefault="00F6308C">
            <w:pPr>
              <w:pStyle w:val="TableParagraph"/>
              <w:spacing w:before="45"/>
              <w:ind w:right="115"/>
              <w:rPr>
                <w:sz w:val="18"/>
              </w:rPr>
            </w:pPr>
            <w:r>
              <w:rPr>
                <w:sz w:val="18"/>
              </w:rPr>
              <w:t>36.71</w:t>
            </w:r>
          </w:p>
        </w:tc>
      </w:tr>
      <w:tr w:rsidR="007C5447">
        <w:trPr>
          <w:trHeight w:val="299"/>
        </w:trPr>
        <w:tc>
          <w:tcPr>
            <w:tcW w:w="855" w:type="dxa"/>
          </w:tcPr>
          <w:p w:rsidR="007C5447" w:rsidRDefault="00F6308C">
            <w:pPr>
              <w:pStyle w:val="TableParagraph"/>
              <w:spacing w:before="79" w:line="201" w:lineRule="exact"/>
              <w:ind w:left="3"/>
              <w:jc w:val="center"/>
              <w:rPr>
                <w:sz w:val="18"/>
              </w:rPr>
            </w:pPr>
            <w:r>
              <w:rPr>
                <w:sz w:val="18"/>
              </w:rPr>
              <w:t>7</w:t>
            </w:r>
          </w:p>
        </w:tc>
        <w:tc>
          <w:tcPr>
            <w:tcW w:w="1982" w:type="dxa"/>
          </w:tcPr>
          <w:p w:rsidR="007C5447" w:rsidRDefault="00F6308C">
            <w:pPr>
              <w:pStyle w:val="TableParagraph"/>
              <w:spacing w:before="45"/>
              <w:ind w:left="105"/>
              <w:jc w:val="left"/>
              <w:rPr>
                <w:sz w:val="18"/>
              </w:rPr>
            </w:pPr>
            <w:r>
              <w:rPr>
                <w:sz w:val="18"/>
              </w:rPr>
              <w:t>Basin Bridge GTPS</w:t>
            </w:r>
          </w:p>
        </w:tc>
        <w:tc>
          <w:tcPr>
            <w:tcW w:w="1276" w:type="dxa"/>
          </w:tcPr>
          <w:p w:rsidR="007C5447" w:rsidRDefault="00F6308C">
            <w:pPr>
              <w:pStyle w:val="TableParagraph"/>
              <w:spacing w:before="45"/>
              <w:ind w:right="130"/>
              <w:rPr>
                <w:sz w:val="18"/>
              </w:rPr>
            </w:pPr>
            <w:r>
              <w:rPr>
                <w:sz w:val="18"/>
              </w:rPr>
              <w:t>17.91</w:t>
            </w:r>
          </w:p>
        </w:tc>
        <w:tc>
          <w:tcPr>
            <w:tcW w:w="991" w:type="dxa"/>
          </w:tcPr>
          <w:p w:rsidR="007C5447" w:rsidRDefault="00F6308C">
            <w:pPr>
              <w:pStyle w:val="TableParagraph"/>
              <w:spacing w:before="45"/>
              <w:ind w:right="127"/>
              <w:rPr>
                <w:sz w:val="18"/>
              </w:rPr>
            </w:pPr>
            <w:r>
              <w:rPr>
                <w:sz w:val="18"/>
              </w:rPr>
              <w:t>18.74</w:t>
            </w:r>
          </w:p>
        </w:tc>
        <w:tc>
          <w:tcPr>
            <w:tcW w:w="851" w:type="dxa"/>
          </w:tcPr>
          <w:p w:rsidR="007C5447" w:rsidRDefault="00F6308C">
            <w:pPr>
              <w:pStyle w:val="TableParagraph"/>
              <w:spacing w:before="45"/>
              <w:ind w:right="129"/>
              <w:rPr>
                <w:sz w:val="18"/>
              </w:rPr>
            </w:pPr>
            <w:r>
              <w:rPr>
                <w:w w:val="99"/>
                <w:sz w:val="18"/>
              </w:rPr>
              <w:t>-</w:t>
            </w:r>
          </w:p>
        </w:tc>
        <w:tc>
          <w:tcPr>
            <w:tcW w:w="990" w:type="dxa"/>
          </w:tcPr>
          <w:p w:rsidR="007C5447" w:rsidRDefault="00F6308C">
            <w:pPr>
              <w:pStyle w:val="TableParagraph"/>
              <w:spacing w:before="45"/>
              <w:ind w:right="127"/>
              <w:rPr>
                <w:sz w:val="18"/>
              </w:rPr>
            </w:pPr>
            <w:r>
              <w:rPr>
                <w:sz w:val="18"/>
              </w:rPr>
              <w:t>4.61</w:t>
            </w:r>
          </w:p>
        </w:tc>
        <w:tc>
          <w:tcPr>
            <w:tcW w:w="990" w:type="dxa"/>
          </w:tcPr>
          <w:p w:rsidR="007C5447" w:rsidRDefault="00F6308C">
            <w:pPr>
              <w:pStyle w:val="TableParagraph"/>
              <w:spacing w:before="45"/>
              <w:ind w:right="126"/>
              <w:rPr>
                <w:sz w:val="18"/>
              </w:rPr>
            </w:pPr>
            <w:r>
              <w:rPr>
                <w:sz w:val="18"/>
              </w:rPr>
              <w:t>5.93</w:t>
            </w:r>
          </w:p>
        </w:tc>
        <w:tc>
          <w:tcPr>
            <w:tcW w:w="992" w:type="dxa"/>
          </w:tcPr>
          <w:p w:rsidR="007C5447" w:rsidRDefault="00F6308C">
            <w:pPr>
              <w:pStyle w:val="TableParagraph"/>
              <w:spacing w:before="45"/>
              <w:ind w:right="126"/>
              <w:rPr>
                <w:sz w:val="18"/>
              </w:rPr>
            </w:pPr>
            <w:r>
              <w:rPr>
                <w:sz w:val="18"/>
              </w:rPr>
              <w:t>0.10</w:t>
            </w:r>
          </w:p>
        </w:tc>
        <w:tc>
          <w:tcPr>
            <w:tcW w:w="992" w:type="dxa"/>
          </w:tcPr>
          <w:p w:rsidR="007C5447" w:rsidRDefault="00F6308C">
            <w:pPr>
              <w:pStyle w:val="TableParagraph"/>
              <w:spacing w:before="45"/>
              <w:ind w:right="123"/>
              <w:rPr>
                <w:sz w:val="18"/>
              </w:rPr>
            </w:pPr>
            <w:r>
              <w:rPr>
                <w:w w:val="99"/>
                <w:sz w:val="18"/>
              </w:rPr>
              <w:t>-</w:t>
            </w:r>
          </w:p>
        </w:tc>
        <w:tc>
          <w:tcPr>
            <w:tcW w:w="1309" w:type="dxa"/>
          </w:tcPr>
          <w:p w:rsidR="007C5447" w:rsidRDefault="00F6308C">
            <w:pPr>
              <w:pStyle w:val="TableParagraph"/>
              <w:spacing w:before="45"/>
              <w:ind w:right="123"/>
              <w:rPr>
                <w:sz w:val="18"/>
              </w:rPr>
            </w:pPr>
            <w:r>
              <w:rPr>
                <w:sz w:val="18"/>
              </w:rPr>
              <w:t>0.04</w:t>
            </w:r>
          </w:p>
        </w:tc>
        <w:tc>
          <w:tcPr>
            <w:tcW w:w="990" w:type="dxa"/>
          </w:tcPr>
          <w:p w:rsidR="007C5447" w:rsidRDefault="00F6308C">
            <w:pPr>
              <w:pStyle w:val="TableParagraph"/>
              <w:spacing w:before="45"/>
              <w:ind w:right="119"/>
              <w:rPr>
                <w:sz w:val="18"/>
              </w:rPr>
            </w:pPr>
            <w:r>
              <w:rPr>
                <w:sz w:val="18"/>
              </w:rPr>
              <w:t>0.22</w:t>
            </w:r>
          </w:p>
        </w:tc>
        <w:tc>
          <w:tcPr>
            <w:tcW w:w="855" w:type="dxa"/>
          </w:tcPr>
          <w:p w:rsidR="007C5447" w:rsidRDefault="00F6308C">
            <w:pPr>
              <w:pStyle w:val="TableParagraph"/>
              <w:spacing w:before="45"/>
              <w:ind w:right="120"/>
              <w:rPr>
                <w:sz w:val="18"/>
              </w:rPr>
            </w:pPr>
            <w:r>
              <w:rPr>
                <w:sz w:val="18"/>
              </w:rPr>
              <w:t>0.14</w:t>
            </w:r>
          </w:p>
        </w:tc>
        <w:tc>
          <w:tcPr>
            <w:tcW w:w="985" w:type="dxa"/>
          </w:tcPr>
          <w:p w:rsidR="007C5447" w:rsidRDefault="00F6308C">
            <w:pPr>
              <w:pStyle w:val="TableParagraph"/>
              <w:spacing w:before="45"/>
              <w:ind w:right="113"/>
              <w:rPr>
                <w:sz w:val="18"/>
              </w:rPr>
            </w:pPr>
            <w:r>
              <w:rPr>
                <w:sz w:val="18"/>
              </w:rPr>
              <w:t>47.25</w:t>
            </w:r>
          </w:p>
        </w:tc>
        <w:tc>
          <w:tcPr>
            <w:tcW w:w="976" w:type="dxa"/>
          </w:tcPr>
          <w:p w:rsidR="007C5447" w:rsidRDefault="00F6308C">
            <w:pPr>
              <w:pStyle w:val="TableParagraph"/>
              <w:spacing w:before="45"/>
              <w:ind w:right="115"/>
              <w:rPr>
                <w:sz w:val="18"/>
              </w:rPr>
            </w:pPr>
            <w:r>
              <w:rPr>
                <w:sz w:val="18"/>
              </w:rPr>
              <w:t>47.25</w:t>
            </w:r>
          </w:p>
        </w:tc>
      </w:tr>
      <w:tr w:rsidR="007C5447">
        <w:trPr>
          <w:trHeight w:val="299"/>
        </w:trPr>
        <w:tc>
          <w:tcPr>
            <w:tcW w:w="855" w:type="dxa"/>
          </w:tcPr>
          <w:p w:rsidR="007C5447" w:rsidRDefault="00F6308C">
            <w:pPr>
              <w:pStyle w:val="TableParagraph"/>
              <w:spacing w:before="79" w:line="201" w:lineRule="exact"/>
              <w:ind w:left="3"/>
              <w:jc w:val="center"/>
              <w:rPr>
                <w:sz w:val="18"/>
              </w:rPr>
            </w:pPr>
            <w:r>
              <w:rPr>
                <w:sz w:val="18"/>
              </w:rPr>
              <w:t>8</w:t>
            </w:r>
          </w:p>
        </w:tc>
        <w:tc>
          <w:tcPr>
            <w:tcW w:w="1982" w:type="dxa"/>
          </w:tcPr>
          <w:p w:rsidR="007C5447" w:rsidRDefault="00F6308C">
            <w:pPr>
              <w:pStyle w:val="TableParagraph"/>
              <w:spacing w:before="47"/>
              <w:ind w:left="105"/>
              <w:jc w:val="left"/>
              <w:rPr>
                <w:sz w:val="18"/>
              </w:rPr>
            </w:pPr>
            <w:r>
              <w:rPr>
                <w:sz w:val="18"/>
              </w:rPr>
              <w:t>Valuthur Unit</w:t>
            </w:r>
          </w:p>
        </w:tc>
        <w:tc>
          <w:tcPr>
            <w:tcW w:w="1276" w:type="dxa"/>
          </w:tcPr>
          <w:p w:rsidR="007C5447" w:rsidRDefault="00F6308C">
            <w:pPr>
              <w:pStyle w:val="TableParagraph"/>
              <w:spacing w:before="47"/>
              <w:ind w:right="130"/>
              <w:rPr>
                <w:sz w:val="18"/>
              </w:rPr>
            </w:pPr>
            <w:r>
              <w:rPr>
                <w:sz w:val="18"/>
              </w:rPr>
              <w:t>17.72</w:t>
            </w:r>
          </w:p>
        </w:tc>
        <w:tc>
          <w:tcPr>
            <w:tcW w:w="991" w:type="dxa"/>
          </w:tcPr>
          <w:p w:rsidR="007C5447" w:rsidRDefault="00F6308C">
            <w:pPr>
              <w:pStyle w:val="TableParagraph"/>
              <w:spacing w:before="47"/>
              <w:ind w:right="127"/>
              <w:rPr>
                <w:sz w:val="18"/>
              </w:rPr>
            </w:pPr>
            <w:r>
              <w:rPr>
                <w:sz w:val="18"/>
              </w:rPr>
              <w:t>93.98</w:t>
            </w:r>
          </w:p>
        </w:tc>
        <w:tc>
          <w:tcPr>
            <w:tcW w:w="851" w:type="dxa"/>
          </w:tcPr>
          <w:p w:rsidR="007C5447" w:rsidRDefault="00F6308C">
            <w:pPr>
              <w:pStyle w:val="TableParagraph"/>
              <w:spacing w:before="47"/>
              <w:ind w:right="129"/>
              <w:rPr>
                <w:sz w:val="18"/>
              </w:rPr>
            </w:pPr>
            <w:r>
              <w:rPr>
                <w:w w:val="99"/>
                <w:sz w:val="18"/>
              </w:rPr>
              <w:t>-</w:t>
            </w:r>
          </w:p>
        </w:tc>
        <w:tc>
          <w:tcPr>
            <w:tcW w:w="990" w:type="dxa"/>
          </w:tcPr>
          <w:p w:rsidR="007C5447" w:rsidRDefault="00F6308C">
            <w:pPr>
              <w:pStyle w:val="TableParagraph"/>
              <w:spacing w:before="47"/>
              <w:ind w:right="124"/>
              <w:rPr>
                <w:sz w:val="18"/>
              </w:rPr>
            </w:pPr>
            <w:r>
              <w:rPr>
                <w:sz w:val="18"/>
              </w:rPr>
              <w:t>12.32</w:t>
            </w:r>
          </w:p>
        </w:tc>
        <w:tc>
          <w:tcPr>
            <w:tcW w:w="990" w:type="dxa"/>
          </w:tcPr>
          <w:p w:rsidR="007C5447" w:rsidRDefault="00F6308C">
            <w:pPr>
              <w:pStyle w:val="TableParagraph"/>
              <w:spacing w:before="47"/>
              <w:ind w:right="123"/>
              <w:rPr>
                <w:sz w:val="18"/>
              </w:rPr>
            </w:pPr>
            <w:r>
              <w:rPr>
                <w:sz w:val="18"/>
              </w:rPr>
              <w:t>14.04</w:t>
            </w:r>
          </w:p>
        </w:tc>
        <w:tc>
          <w:tcPr>
            <w:tcW w:w="992" w:type="dxa"/>
          </w:tcPr>
          <w:p w:rsidR="007C5447" w:rsidRDefault="00F6308C">
            <w:pPr>
              <w:pStyle w:val="TableParagraph"/>
              <w:spacing w:before="47"/>
              <w:ind w:right="126"/>
              <w:rPr>
                <w:sz w:val="18"/>
              </w:rPr>
            </w:pPr>
            <w:r>
              <w:rPr>
                <w:sz w:val="18"/>
              </w:rPr>
              <w:t>0.21</w:t>
            </w:r>
          </w:p>
        </w:tc>
        <w:tc>
          <w:tcPr>
            <w:tcW w:w="992" w:type="dxa"/>
          </w:tcPr>
          <w:p w:rsidR="007C5447" w:rsidRDefault="00F6308C">
            <w:pPr>
              <w:pStyle w:val="TableParagraph"/>
              <w:spacing w:before="47"/>
              <w:ind w:right="123"/>
              <w:rPr>
                <w:sz w:val="18"/>
              </w:rPr>
            </w:pPr>
            <w:r>
              <w:rPr>
                <w:w w:val="99"/>
                <w:sz w:val="18"/>
              </w:rPr>
              <w:t>-</w:t>
            </w:r>
          </w:p>
        </w:tc>
        <w:tc>
          <w:tcPr>
            <w:tcW w:w="1309" w:type="dxa"/>
          </w:tcPr>
          <w:p w:rsidR="007C5447" w:rsidRDefault="00F6308C">
            <w:pPr>
              <w:pStyle w:val="TableParagraph"/>
              <w:spacing w:before="47"/>
              <w:ind w:right="120"/>
              <w:rPr>
                <w:sz w:val="18"/>
              </w:rPr>
            </w:pPr>
            <w:r>
              <w:rPr>
                <w:sz w:val="18"/>
              </w:rPr>
              <w:t>(7.54)</w:t>
            </w:r>
          </w:p>
        </w:tc>
        <w:tc>
          <w:tcPr>
            <w:tcW w:w="990" w:type="dxa"/>
          </w:tcPr>
          <w:p w:rsidR="007C5447" w:rsidRDefault="00F6308C">
            <w:pPr>
              <w:pStyle w:val="TableParagraph"/>
              <w:spacing w:before="47"/>
              <w:ind w:right="119"/>
              <w:rPr>
                <w:sz w:val="18"/>
              </w:rPr>
            </w:pPr>
            <w:r>
              <w:rPr>
                <w:sz w:val="18"/>
              </w:rPr>
              <w:t>0.06</w:t>
            </w:r>
          </w:p>
        </w:tc>
        <w:tc>
          <w:tcPr>
            <w:tcW w:w="855" w:type="dxa"/>
          </w:tcPr>
          <w:p w:rsidR="007C5447" w:rsidRDefault="00F6308C">
            <w:pPr>
              <w:pStyle w:val="TableParagraph"/>
              <w:spacing w:before="47"/>
              <w:ind w:right="120"/>
              <w:rPr>
                <w:sz w:val="18"/>
              </w:rPr>
            </w:pPr>
            <w:r>
              <w:rPr>
                <w:sz w:val="18"/>
              </w:rPr>
              <w:t>0.19</w:t>
            </w:r>
          </w:p>
        </w:tc>
        <w:tc>
          <w:tcPr>
            <w:tcW w:w="985" w:type="dxa"/>
          </w:tcPr>
          <w:p w:rsidR="007C5447" w:rsidRDefault="00F6308C">
            <w:pPr>
              <w:pStyle w:val="TableParagraph"/>
              <w:spacing w:before="47"/>
              <w:ind w:right="116"/>
              <w:rPr>
                <w:sz w:val="18"/>
              </w:rPr>
            </w:pPr>
            <w:r>
              <w:rPr>
                <w:sz w:val="18"/>
              </w:rPr>
              <w:t>130.85</w:t>
            </w:r>
          </w:p>
        </w:tc>
        <w:tc>
          <w:tcPr>
            <w:tcW w:w="976" w:type="dxa"/>
          </w:tcPr>
          <w:p w:rsidR="007C5447" w:rsidRDefault="00F6308C">
            <w:pPr>
              <w:pStyle w:val="TableParagraph"/>
              <w:spacing w:before="47"/>
              <w:ind w:right="115"/>
              <w:rPr>
                <w:sz w:val="18"/>
              </w:rPr>
            </w:pPr>
            <w:r>
              <w:rPr>
                <w:sz w:val="18"/>
              </w:rPr>
              <w:t>129.46</w:t>
            </w:r>
          </w:p>
        </w:tc>
      </w:tr>
      <w:tr w:rsidR="007C5447">
        <w:trPr>
          <w:trHeight w:val="300"/>
        </w:trPr>
        <w:tc>
          <w:tcPr>
            <w:tcW w:w="855" w:type="dxa"/>
          </w:tcPr>
          <w:p w:rsidR="007C5447" w:rsidRDefault="00F6308C">
            <w:pPr>
              <w:pStyle w:val="TableParagraph"/>
              <w:spacing w:before="79" w:line="201" w:lineRule="exact"/>
              <w:ind w:left="3"/>
              <w:jc w:val="center"/>
              <w:rPr>
                <w:sz w:val="18"/>
              </w:rPr>
            </w:pPr>
            <w:r>
              <w:rPr>
                <w:sz w:val="18"/>
              </w:rPr>
              <w:t>9</w:t>
            </w:r>
          </w:p>
        </w:tc>
        <w:tc>
          <w:tcPr>
            <w:tcW w:w="1982" w:type="dxa"/>
          </w:tcPr>
          <w:p w:rsidR="007C5447" w:rsidRDefault="00F6308C">
            <w:pPr>
              <w:pStyle w:val="TableParagraph"/>
              <w:spacing w:before="48"/>
              <w:ind w:left="105"/>
              <w:jc w:val="left"/>
              <w:rPr>
                <w:sz w:val="18"/>
              </w:rPr>
            </w:pPr>
            <w:r>
              <w:rPr>
                <w:sz w:val="18"/>
              </w:rPr>
              <w:t>Erode HEP</w:t>
            </w:r>
          </w:p>
        </w:tc>
        <w:tc>
          <w:tcPr>
            <w:tcW w:w="1276" w:type="dxa"/>
          </w:tcPr>
          <w:p w:rsidR="007C5447" w:rsidRDefault="00F6308C">
            <w:pPr>
              <w:pStyle w:val="TableParagraph"/>
              <w:spacing w:before="48"/>
              <w:ind w:right="130"/>
              <w:rPr>
                <w:sz w:val="18"/>
              </w:rPr>
            </w:pPr>
            <w:r>
              <w:rPr>
                <w:sz w:val="18"/>
              </w:rPr>
              <w:t>19.73</w:t>
            </w:r>
          </w:p>
        </w:tc>
        <w:tc>
          <w:tcPr>
            <w:tcW w:w="991" w:type="dxa"/>
          </w:tcPr>
          <w:p w:rsidR="007C5447" w:rsidRDefault="00F6308C">
            <w:pPr>
              <w:pStyle w:val="TableParagraph"/>
              <w:spacing w:before="48"/>
              <w:ind w:right="127"/>
              <w:rPr>
                <w:sz w:val="18"/>
              </w:rPr>
            </w:pPr>
            <w:r>
              <w:rPr>
                <w:sz w:val="18"/>
              </w:rPr>
              <w:t>75.34</w:t>
            </w:r>
          </w:p>
        </w:tc>
        <w:tc>
          <w:tcPr>
            <w:tcW w:w="851" w:type="dxa"/>
          </w:tcPr>
          <w:p w:rsidR="007C5447" w:rsidRDefault="00F6308C">
            <w:pPr>
              <w:pStyle w:val="TableParagraph"/>
              <w:spacing w:before="48"/>
              <w:ind w:right="129"/>
              <w:rPr>
                <w:sz w:val="18"/>
              </w:rPr>
            </w:pPr>
            <w:r>
              <w:rPr>
                <w:w w:val="99"/>
                <w:sz w:val="18"/>
              </w:rPr>
              <w:t>-</w:t>
            </w:r>
          </w:p>
        </w:tc>
        <w:tc>
          <w:tcPr>
            <w:tcW w:w="990" w:type="dxa"/>
          </w:tcPr>
          <w:p w:rsidR="007C5447" w:rsidRDefault="00F6308C">
            <w:pPr>
              <w:pStyle w:val="TableParagraph"/>
              <w:spacing w:before="48"/>
              <w:ind w:right="127"/>
              <w:rPr>
                <w:sz w:val="18"/>
              </w:rPr>
            </w:pPr>
            <w:r>
              <w:rPr>
                <w:sz w:val="18"/>
              </w:rPr>
              <w:t>4.70</w:t>
            </w:r>
          </w:p>
        </w:tc>
        <w:tc>
          <w:tcPr>
            <w:tcW w:w="990" w:type="dxa"/>
          </w:tcPr>
          <w:p w:rsidR="007C5447" w:rsidRDefault="00F6308C">
            <w:pPr>
              <w:pStyle w:val="TableParagraph"/>
              <w:spacing w:before="48"/>
              <w:ind w:right="123"/>
              <w:rPr>
                <w:sz w:val="18"/>
              </w:rPr>
            </w:pPr>
            <w:r>
              <w:rPr>
                <w:sz w:val="18"/>
              </w:rPr>
              <w:t>28.88</w:t>
            </w:r>
          </w:p>
        </w:tc>
        <w:tc>
          <w:tcPr>
            <w:tcW w:w="992" w:type="dxa"/>
          </w:tcPr>
          <w:p w:rsidR="007C5447" w:rsidRDefault="00F6308C">
            <w:pPr>
              <w:pStyle w:val="TableParagraph"/>
              <w:spacing w:before="48"/>
              <w:ind w:right="126"/>
              <w:rPr>
                <w:sz w:val="18"/>
              </w:rPr>
            </w:pPr>
            <w:r>
              <w:rPr>
                <w:sz w:val="18"/>
              </w:rPr>
              <w:t>0.13</w:t>
            </w:r>
          </w:p>
        </w:tc>
        <w:tc>
          <w:tcPr>
            <w:tcW w:w="992" w:type="dxa"/>
          </w:tcPr>
          <w:p w:rsidR="007C5447" w:rsidRDefault="00F6308C">
            <w:pPr>
              <w:pStyle w:val="TableParagraph"/>
              <w:spacing w:before="48"/>
              <w:ind w:right="123"/>
              <w:rPr>
                <w:sz w:val="18"/>
              </w:rPr>
            </w:pPr>
            <w:r>
              <w:rPr>
                <w:w w:val="99"/>
                <w:sz w:val="18"/>
              </w:rPr>
              <w:t>-</w:t>
            </w:r>
          </w:p>
        </w:tc>
        <w:tc>
          <w:tcPr>
            <w:tcW w:w="1309" w:type="dxa"/>
          </w:tcPr>
          <w:p w:rsidR="007C5447" w:rsidRDefault="00F6308C">
            <w:pPr>
              <w:pStyle w:val="TableParagraph"/>
              <w:spacing w:before="48"/>
              <w:ind w:right="123"/>
              <w:rPr>
                <w:sz w:val="18"/>
              </w:rPr>
            </w:pPr>
            <w:r>
              <w:rPr>
                <w:sz w:val="18"/>
              </w:rPr>
              <w:t>0.18</w:t>
            </w:r>
          </w:p>
        </w:tc>
        <w:tc>
          <w:tcPr>
            <w:tcW w:w="990" w:type="dxa"/>
          </w:tcPr>
          <w:p w:rsidR="007C5447" w:rsidRDefault="00F6308C">
            <w:pPr>
              <w:pStyle w:val="TableParagraph"/>
              <w:spacing w:before="48"/>
              <w:ind w:right="119"/>
              <w:rPr>
                <w:sz w:val="18"/>
              </w:rPr>
            </w:pPr>
            <w:r>
              <w:rPr>
                <w:sz w:val="18"/>
              </w:rPr>
              <w:t>0.29</w:t>
            </w:r>
          </w:p>
        </w:tc>
        <w:tc>
          <w:tcPr>
            <w:tcW w:w="855" w:type="dxa"/>
          </w:tcPr>
          <w:p w:rsidR="007C5447" w:rsidRDefault="00F6308C">
            <w:pPr>
              <w:pStyle w:val="TableParagraph"/>
              <w:spacing w:before="48"/>
              <w:ind w:right="120"/>
              <w:rPr>
                <w:sz w:val="18"/>
              </w:rPr>
            </w:pPr>
            <w:r>
              <w:rPr>
                <w:sz w:val="18"/>
              </w:rPr>
              <w:t>0.77</w:t>
            </w:r>
          </w:p>
        </w:tc>
        <w:tc>
          <w:tcPr>
            <w:tcW w:w="985" w:type="dxa"/>
          </w:tcPr>
          <w:p w:rsidR="007C5447" w:rsidRDefault="00F6308C">
            <w:pPr>
              <w:pStyle w:val="TableParagraph"/>
              <w:spacing w:before="48"/>
              <w:ind w:right="116"/>
              <w:rPr>
                <w:sz w:val="18"/>
              </w:rPr>
            </w:pPr>
            <w:r>
              <w:rPr>
                <w:sz w:val="18"/>
              </w:rPr>
              <w:t>129.44</w:t>
            </w:r>
          </w:p>
        </w:tc>
        <w:tc>
          <w:tcPr>
            <w:tcW w:w="976" w:type="dxa"/>
          </w:tcPr>
          <w:p w:rsidR="007C5447" w:rsidRDefault="00F6308C">
            <w:pPr>
              <w:pStyle w:val="TableParagraph"/>
              <w:spacing w:before="48"/>
              <w:ind w:right="119"/>
              <w:rPr>
                <w:sz w:val="18"/>
              </w:rPr>
            </w:pPr>
            <w:r>
              <w:rPr>
                <w:sz w:val="18"/>
              </w:rPr>
              <w:t>129.44</w:t>
            </w:r>
          </w:p>
        </w:tc>
      </w:tr>
      <w:tr w:rsidR="007C5447">
        <w:trPr>
          <w:trHeight w:val="302"/>
        </w:trPr>
        <w:tc>
          <w:tcPr>
            <w:tcW w:w="855" w:type="dxa"/>
          </w:tcPr>
          <w:p w:rsidR="007C5447" w:rsidRDefault="00F6308C">
            <w:pPr>
              <w:pStyle w:val="TableParagraph"/>
              <w:spacing w:before="79" w:line="203" w:lineRule="exact"/>
              <w:ind w:left="308" w:right="299"/>
              <w:jc w:val="center"/>
              <w:rPr>
                <w:sz w:val="18"/>
              </w:rPr>
            </w:pPr>
            <w:r>
              <w:rPr>
                <w:sz w:val="18"/>
              </w:rPr>
              <w:t>10</w:t>
            </w:r>
          </w:p>
        </w:tc>
        <w:tc>
          <w:tcPr>
            <w:tcW w:w="1982" w:type="dxa"/>
          </w:tcPr>
          <w:p w:rsidR="007C5447" w:rsidRDefault="00F6308C">
            <w:pPr>
              <w:pStyle w:val="TableParagraph"/>
              <w:spacing w:before="47"/>
              <w:ind w:left="105"/>
              <w:jc w:val="left"/>
              <w:rPr>
                <w:sz w:val="18"/>
              </w:rPr>
            </w:pPr>
            <w:r>
              <w:rPr>
                <w:sz w:val="18"/>
              </w:rPr>
              <w:t>Kadamparai HEP</w:t>
            </w:r>
          </w:p>
        </w:tc>
        <w:tc>
          <w:tcPr>
            <w:tcW w:w="1276" w:type="dxa"/>
          </w:tcPr>
          <w:p w:rsidR="007C5447" w:rsidRDefault="00F6308C">
            <w:pPr>
              <w:pStyle w:val="TableParagraph"/>
              <w:spacing w:before="47"/>
              <w:ind w:right="132"/>
              <w:rPr>
                <w:sz w:val="18"/>
              </w:rPr>
            </w:pPr>
            <w:r>
              <w:rPr>
                <w:sz w:val="18"/>
              </w:rPr>
              <w:t>9.84</w:t>
            </w:r>
          </w:p>
        </w:tc>
        <w:tc>
          <w:tcPr>
            <w:tcW w:w="991" w:type="dxa"/>
          </w:tcPr>
          <w:p w:rsidR="007C5447" w:rsidRDefault="00F6308C">
            <w:pPr>
              <w:pStyle w:val="TableParagraph"/>
              <w:spacing w:before="47"/>
              <w:ind w:right="127"/>
              <w:rPr>
                <w:sz w:val="18"/>
              </w:rPr>
            </w:pPr>
            <w:r>
              <w:rPr>
                <w:sz w:val="18"/>
              </w:rPr>
              <w:t>33.07</w:t>
            </w:r>
          </w:p>
        </w:tc>
        <w:tc>
          <w:tcPr>
            <w:tcW w:w="851" w:type="dxa"/>
          </w:tcPr>
          <w:p w:rsidR="007C5447" w:rsidRDefault="00F6308C">
            <w:pPr>
              <w:pStyle w:val="TableParagraph"/>
              <w:spacing w:before="47"/>
              <w:ind w:right="129"/>
              <w:rPr>
                <w:sz w:val="18"/>
              </w:rPr>
            </w:pPr>
            <w:r>
              <w:rPr>
                <w:w w:val="99"/>
                <w:sz w:val="18"/>
              </w:rPr>
              <w:t>-</w:t>
            </w:r>
          </w:p>
        </w:tc>
        <w:tc>
          <w:tcPr>
            <w:tcW w:w="990" w:type="dxa"/>
          </w:tcPr>
          <w:p w:rsidR="007C5447" w:rsidRDefault="00F6308C">
            <w:pPr>
              <w:pStyle w:val="TableParagraph"/>
              <w:spacing w:before="47"/>
              <w:ind w:right="127"/>
              <w:rPr>
                <w:sz w:val="18"/>
              </w:rPr>
            </w:pPr>
            <w:r>
              <w:rPr>
                <w:sz w:val="18"/>
              </w:rPr>
              <w:t>2.47</w:t>
            </w:r>
          </w:p>
        </w:tc>
        <w:tc>
          <w:tcPr>
            <w:tcW w:w="990" w:type="dxa"/>
          </w:tcPr>
          <w:p w:rsidR="007C5447" w:rsidRDefault="00F6308C">
            <w:pPr>
              <w:pStyle w:val="TableParagraph"/>
              <w:spacing w:before="47"/>
              <w:ind w:right="123"/>
              <w:rPr>
                <w:sz w:val="18"/>
              </w:rPr>
            </w:pPr>
            <w:r>
              <w:rPr>
                <w:sz w:val="18"/>
              </w:rPr>
              <w:t>19.82</w:t>
            </w:r>
          </w:p>
        </w:tc>
        <w:tc>
          <w:tcPr>
            <w:tcW w:w="992" w:type="dxa"/>
          </w:tcPr>
          <w:p w:rsidR="007C5447" w:rsidRDefault="00F6308C">
            <w:pPr>
              <w:pStyle w:val="TableParagraph"/>
              <w:spacing w:before="47"/>
              <w:ind w:right="126"/>
              <w:rPr>
                <w:sz w:val="18"/>
              </w:rPr>
            </w:pPr>
            <w:r>
              <w:rPr>
                <w:sz w:val="18"/>
              </w:rPr>
              <w:t>0.10</w:t>
            </w:r>
          </w:p>
        </w:tc>
        <w:tc>
          <w:tcPr>
            <w:tcW w:w="992" w:type="dxa"/>
          </w:tcPr>
          <w:p w:rsidR="007C5447" w:rsidRDefault="00F6308C">
            <w:pPr>
              <w:pStyle w:val="TableParagraph"/>
              <w:spacing w:before="47"/>
              <w:ind w:right="123"/>
              <w:rPr>
                <w:sz w:val="18"/>
              </w:rPr>
            </w:pPr>
            <w:r>
              <w:rPr>
                <w:w w:val="99"/>
                <w:sz w:val="18"/>
              </w:rPr>
              <w:t>-</w:t>
            </w:r>
          </w:p>
        </w:tc>
        <w:tc>
          <w:tcPr>
            <w:tcW w:w="1309" w:type="dxa"/>
          </w:tcPr>
          <w:p w:rsidR="007C5447" w:rsidRDefault="00F6308C">
            <w:pPr>
              <w:pStyle w:val="TableParagraph"/>
              <w:spacing w:before="47"/>
              <w:ind w:right="123"/>
              <w:rPr>
                <w:sz w:val="18"/>
              </w:rPr>
            </w:pPr>
            <w:r>
              <w:rPr>
                <w:sz w:val="18"/>
              </w:rPr>
              <w:t>0.81</w:t>
            </w:r>
          </w:p>
        </w:tc>
        <w:tc>
          <w:tcPr>
            <w:tcW w:w="990" w:type="dxa"/>
          </w:tcPr>
          <w:p w:rsidR="007C5447" w:rsidRDefault="00F6308C">
            <w:pPr>
              <w:pStyle w:val="TableParagraph"/>
              <w:spacing w:before="47"/>
              <w:ind w:right="119"/>
              <w:rPr>
                <w:sz w:val="18"/>
              </w:rPr>
            </w:pPr>
            <w:r>
              <w:rPr>
                <w:sz w:val="18"/>
              </w:rPr>
              <w:t>0.33</w:t>
            </w:r>
          </w:p>
        </w:tc>
        <w:tc>
          <w:tcPr>
            <w:tcW w:w="855" w:type="dxa"/>
          </w:tcPr>
          <w:p w:rsidR="007C5447" w:rsidRDefault="00F6308C">
            <w:pPr>
              <w:pStyle w:val="TableParagraph"/>
              <w:spacing w:before="47"/>
              <w:ind w:right="120"/>
              <w:rPr>
                <w:sz w:val="18"/>
              </w:rPr>
            </w:pPr>
            <w:r>
              <w:rPr>
                <w:sz w:val="18"/>
              </w:rPr>
              <w:t>0.55</w:t>
            </w:r>
          </w:p>
        </w:tc>
        <w:tc>
          <w:tcPr>
            <w:tcW w:w="985" w:type="dxa"/>
          </w:tcPr>
          <w:p w:rsidR="007C5447" w:rsidRDefault="00F6308C">
            <w:pPr>
              <w:pStyle w:val="TableParagraph"/>
              <w:spacing w:before="47"/>
              <w:ind w:right="113"/>
              <w:rPr>
                <w:sz w:val="18"/>
              </w:rPr>
            </w:pPr>
            <w:r>
              <w:rPr>
                <w:sz w:val="18"/>
              </w:rPr>
              <w:t>66.33</w:t>
            </w:r>
          </w:p>
        </w:tc>
        <w:tc>
          <w:tcPr>
            <w:tcW w:w="976" w:type="dxa"/>
          </w:tcPr>
          <w:p w:rsidR="007C5447" w:rsidRDefault="00F6308C">
            <w:pPr>
              <w:pStyle w:val="TableParagraph"/>
              <w:spacing w:before="47"/>
              <w:ind w:right="115"/>
              <w:rPr>
                <w:sz w:val="18"/>
              </w:rPr>
            </w:pPr>
            <w:r>
              <w:rPr>
                <w:sz w:val="18"/>
              </w:rPr>
              <w:t>66.33</w:t>
            </w:r>
          </w:p>
        </w:tc>
      </w:tr>
      <w:tr w:rsidR="007C5447">
        <w:trPr>
          <w:trHeight w:val="328"/>
        </w:trPr>
        <w:tc>
          <w:tcPr>
            <w:tcW w:w="855" w:type="dxa"/>
          </w:tcPr>
          <w:p w:rsidR="007C5447" w:rsidRDefault="00F6308C">
            <w:pPr>
              <w:pStyle w:val="TableParagraph"/>
              <w:spacing w:before="107" w:line="201" w:lineRule="exact"/>
              <w:ind w:left="308" w:right="299"/>
              <w:jc w:val="center"/>
              <w:rPr>
                <w:sz w:val="18"/>
              </w:rPr>
            </w:pPr>
            <w:r>
              <w:rPr>
                <w:sz w:val="18"/>
              </w:rPr>
              <w:t>11</w:t>
            </w:r>
          </w:p>
        </w:tc>
        <w:tc>
          <w:tcPr>
            <w:tcW w:w="1982" w:type="dxa"/>
          </w:tcPr>
          <w:p w:rsidR="007C5447" w:rsidRDefault="00F6308C">
            <w:pPr>
              <w:pStyle w:val="TableParagraph"/>
              <w:spacing w:before="59"/>
              <w:ind w:left="105"/>
              <w:jc w:val="left"/>
              <w:rPr>
                <w:sz w:val="18"/>
              </w:rPr>
            </w:pPr>
            <w:r>
              <w:rPr>
                <w:sz w:val="18"/>
              </w:rPr>
              <w:t>Kundah HEP</w:t>
            </w:r>
          </w:p>
        </w:tc>
        <w:tc>
          <w:tcPr>
            <w:tcW w:w="1276" w:type="dxa"/>
          </w:tcPr>
          <w:p w:rsidR="007C5447" w:rsidRDefault="00F6308C">
            <w:pPr>
              <w:pStyle w:val="TableParagraph"/>
              <w:spacing w:before="59"/>
              <w:ind w:right="130"/>
              <w:rPr>
                <w:sz w:val="18"/>
              </w:rPr>
            </w:pPr>
            <w:r>
              <w:rPr>
                <w:sz w:val="18"/>
              </w:rPr>
              <w:t>24.49</w:t>
            </w:r>
          </w:p>
        </w:tc>
        <w:tc>
          <w:tcPr>
            <w:tcW w:w="991" w:type="dxa"/>
          </w:tcPr>
          <w:p w:rsidR="007C5447" w:rsidRDefault="00F6308C">
            <w:pPr>
              <w:pStyle w:val="TableParagraph"/>
              <w:spacing w:before="59"/>
              <w:ind w:right="129"/>
              <w:rPr>
                <w:sz w:val="18"/>
              </w:rPr>
            </w:pPr>
            <w:r>
              <w:rPr>
                <w:sz w:val="18"/>
              </w:rPr>
              <w:t>115.97</w:t>
            </w:r>
          </w:p>
        </w:tc>
        <w:tc>
          <w:tcPr>
            <w:tcW w:w="851" w:type="dxa"/>
          </w:tcPr>
          <w:p w:rsidR="007C5447" w:rsidRDefault="00F6308C">
            <w:pPr>
              <w:pStyle w:val="TableParagraph"/>
              <w:spacing w:before="59"/>
              <w:ind w:right="129"/>
              <w:rPr>
                <w:sz w:val="18"/>
              </w:rPr>
            </w:pPr>
            <w:r>
              <w:rPr>
                <w:w w:val="99"/>
                <w:sz w:val="18"/>
              </w:rPr>
              <w:t>-</w:t>
            </w:r>
          </w:p>
        </w:tc>
        <w:tc>
          <w:tcPr>
            <w:tcW w:w="990" w:type="dxa"/>
          </w:tcPr>
          <w:p w:rsidR="007C5447" w:rsidRDefault="00F6308C">
            <w:pPr>
              <w:pStyle w:val="TableParagraph"/>
              <w:spacing w:before="59"/>
              <w:ind w:right="127"/>
              <w:rPr>
                <w:sz w:val="18"/>
              </w:rPr>
            </w:pPr>
            <w:r>
              <w:rPr>
                <w:sz w:val="18"/>
              </w:rPr>
              <w:t>6.78</w:t>
            </w:r>
          </w:p>
        </w:tc>
        <w:tc>
          <w:tcPr>
            <w:tcW w:w="990" w:type="dxa"/>
          </w:tcPr>
          <w:p w:rsidR="007C5447" w:rsidRDefault="00F6308C">
            <w:pPr>
              <w:pStyle w:val="TableParagraph"/>
              <w:spacing w:before="59"/>
              <w:ind w:right="123"/>
              <w:rPr>
                <w:sz w:val="18"/>
              </w:rPr>
            </w:pPr>
            <w:r>
              <w:rPr>
                <w:sz w:val="18"/>
              </w:rPr>
              <w:t>41.88</w:t>
            </w:r>
          </w:p>
        </w:tc>
        <w:tc>
          <w:tcPr>
            <w:tcW w:w="992" w:type="dxa"/>
          </w:tcPr>
          <w:p w:rsidR="007C5447" w:rsidRDefault="00F6308C">
            <w:pPr>
              <w:pStyle w:val="TableParagraph"/>
              <w:spacing w:before="59"/>
              <w:ind w:right="126"/>
              <w:rPr>
                <w:sz w:val="18"/>
              </w:rPr>
            </w:pPr>
            <w:r>
              <w:rPr>
                <w:sz w:val="18"/>
              </w:rPr>
              <w:t>0.21</w:t>
            </w:r>
          </w:p>
        </w:tc>
        <w:tc>
          <w:tcPr>
            <w:tcW w:w="992" w:type="dxa"/>
          </w:tcPr>
          <w:p w:rsidR="007C5447" w:rsidRDefault="00F6308C">
            <w:pPr>
              <w:pStyle w:val="TableParagraph"/>
              <w:spacing w:before="59"/>
              <w:ind w:right="123"/>
              <w:rPr>
                <w:sz w:val="18"/>
              </w:rPr>
            </w:pPr>
            <w:r>
              <w:rPr>
                <w:w w:val="99"/>
                <w:sz w:val="18"/>
              </w:rPr>
              <w:t>-</w:t>
            </w:r>
          </w:p>
        </w:tc>
        <w:tc>
          <w:tcPr>
            <w:tcW w:w="1309" w:type="dxa"/>
          </w:tcPr>
          <w:p w:rsidR="007C5447" w:rsidRDefault="00F6308C">
            <w:pPr>
              <w:pStyle w:val="TableParagraph"/>
              <w:spacing w:before="59"/>
              <w:ind w:right="123"/>
              <w:rPr>
                <w:sz w:val="18"/>
              </w:rPr>
            </w:pPr>
            <w:r>
              <w:rPr>
                <w:sz w:val="18"/>
              </w:rPr>
              <w:t>1.01</w:t>
            </w:r>
          </w:p>
        </w:tc>
        <w:tc>
          <w:tcPr>
            <w:tcW w:w="990" w:type="dxa"/>
          </w:tcPr>
          <w:p w:rsidR="007C5447" w:rsidRDefault="00F6308C">
            <w:pPr>
              <w:pStyle w:val="TableParagraph"/>
              <w:spacing w:before="59"/>
              <w:ind w:right="119"/>
              <w:rPr>
                <w:sz w:val="18"/>
              </w:rPr>
            </w:pPr>
            <w:r>
              <w:rPr>
                <w:sz w:val="18"/>
              </w:rPr>
              <w:t>1.22</w:t>
            </w:r>
          </w:p>
        </w:tc>
        <w:tc>
          <w:tcPr>
            <w:tcW w:w="855" w:type="dxa"/>
          </w:tcPr>
          <w:p w:rsidR="007C5447" w:rsidRDefault="00F6308C">
            <w:pPr>
              <w:pStyle w:val="TableParagraph"/>
              <w:spacing w:before="59"/>
              <w:ind w:right="120"/>
              <w:rPr>
                <w:sz w:val="18"/>
              </w:rPr>
            </w:pPr>
            <w:r>
              <w:rPr>
                <w:sz w:val="18"/>
              </w:rPr>
              <w:t>0.30</w:t>
            </w:r>
          </w:p>
        </w:tc>
        <w:tc>
          <w:tcPr>
            <w:tcW w:w="985" w:type="dxa"/>
          </w:tcPr>
          <w:p w:rsidR="007C5447" w:rsidRDefault="00F6308C">
            <w:pPr>
              <w:pStyle w:val="TableParagraph"/>
              <w:spacing w:before="59"/>
              <w:ind w:right="116"/>
              <w:rPr>
                <w:sz w:val="18"/>
              </w:rPr>
            </w:pPr>
            <w:r>
              <w:rPr>
                <w:sz w:val="18"/>
              </w:rPr>
              <w:t>189.41</w:t>
            </w:r>
          </w:p>
        </w:tc>
        <w:tc>
          <w:tcPr>
            <w:tcW w:w="976" w:type="dxa"/>
          </w:tcPr>
          <w:p w:rsidR="007C5447" w:rsidRDefault="00F6308C">
            <w:pPr>
              <w:pStyle w:val="TableParagraph"/>
              <w:spacing w:before="59"/>
              <w:ind w:right="119"/>
              <w:rPr>
                <w:sz w:val="18"/>
              </w:rPr>
            </w:pPr>
            <w:r>
              <w:rPr>
                <w:sz w:val="18"/>
              </w:rPr>
              <w:t>189.41</w:t>
            </w:r>
          </w:p>
        </w:tc>
      </w:tr>
      <w:tr w:rsidR="007C5447">
        <w:trPr>
          <w:trHeight w:val="330"/>
        </w:trPr>
        <w:tc>
          <w:tcPr>
            <w:tcW w:w="855" w:type="dxa"/>
          </w:tcPr>
          <w:p w:rsidR="007C5447" w:rsidRDefault="00F6308C">
            <w:pPr>
              <w:pStyle w:val="TableParagraph"/>
              <w:spacing w:before="107" w:line="203" w:lineRule="exact"/>
              <w:ind w:left="308" w:right="299"/>
              <w:jc w:val="center"/>
              <w:rPr>
                <w:sz w:val="18"/>
              </w:rPr>
            </w:pPr>
            <w:r>
              <w:rPr>
                <w:sz w:val="18"/>
              </w:rPr>
              <w:t>12</w:t>
            </w:r>
          </w:p>
        </w:tc>
        <w:tc>
          <w:tcPr>
            <w:tcW w:w="1982" w:type="dxa"/>
          </w:tcPr>
          <w:p w:rsidR="007C5447" w:rsidRDefault="00F6308C">
            <w:pPr>
              <w:pStyle w:val="TableParagraph"/>
              <w:spacing w:before="62"/>
              <w:ind w:left="105"/>
              <w:jc w:val="left"/>
              <w:rPr>
                <w:sz w:val="18"/>
              </w:rPr>
            </w:pPr>
            <w:r>
              <w:rPr>
                <w:sz w:val="18"/>
              </w:rPr>
              <w:t>Tirunelveli HEP</w:t>
            </w:r>
          </w:p>
        </w:tc>
        <w:tc>
          <w:tcPr>
            <w:tcW w:w="1276" w:type="dxa"/>
          </w:tcPr>
          <w:p w:rsidR="007C5447" w:rsidRDefault="00F6308C">
            <w:pPr>
              <w:pStyle w:val="TableParagraph"/>
              <w:spacing w:before="62"/>
              <w:ind w:right="132"/>
              <w:rPr>
                <w:sz w:val="18"/>
              </w:rPr>
            </w:pPr>
            <w:r>
              <w:rPr>
                <w:sz w:val="18"/>
              </w:rPr>
              <w:t>9.14</w:t>
            </w:r>
          </w:p>
        </w:tc>
        <w:tc>
          <w:tcPr>
            <w:tcW w:w="991" w:type="dxa"/>
          </w:tcPr>
          <w:p w:rsidR="007C5447" w:rsidRDefault="00F6308C">
            <w:pPr>
              <w:pStyle w:val="TableParagraph"/>
              <w:spacing w:before="62"/>
              <w:ind w:right="127"/>
              <w:rPr>
                <w:sz w:val="18"/>
              </w:rPr>
            </w:pPr>
            <w:r>
              <w:rPr>
                <w:sz w:val="18"/>
              </w:rPr>
              <w:t>44.74</w:t>
            </w:r>
          </w:p>
        </w:tc>
        <w:tc>
          <w:tcPr>
            <w:tcW w:w="851" w:type="dxa"/>
          </w:tcPr>
          <w:p w:rsidR="007C5447" w:rsidRDefault="00F6308C">
            <w:pPr>
              <w:pStyle w:val="TableParagraph"/>
              <w:spacing w:before="62"/>
              <w:ind w:right="129"/>
              <w:rPr>
                <w:sz w:val="18"/>
              </w:rPr>
            </w:pPr>
            <w:r>
              <w:rPr>
                <w:w w:val="99"/>
                <w:sz w:val="18"/>
              </w:rPr>
              <w:t>-</w:t>
            </w:r>
          </w:p>
        </w:tc>
        <w:tc>
          <w:tcPr>
            <w:tcW w:w="990" w:type="dxa"/>
          </w:tcPr>
          <w:p w:rsidR="007C5447" w:rsidRDefault="00F6308C">
            <w:pPr>
              <w:pStyle w:val="TableParagraph"/>
              <w:spacing w:before="62"/>
              <w:ind w:right="127"/>
              <w:rPr>
                <w:sz w:val="18"/>
              </w:rPr>
            </w:pPr>
            <w:r>
              <w:rPr>
                <w:sz w:val="18"/>
              </w:rPr>
              <w:t>2.92</w:t>
            </w:r>
          </w:p>
        </w:tc>
        <w:tc>
          <w:tcPr>
            <w:tcW w:w="990" w:type="dxa"/>
          </w:tcPr>
          <w:p w:rsidR="007C5447" w:rsidRDefault="00F6308C">
            <w:pPr>
              <w:pStyle w:val="TableParagraph"/>
              <w:spacing w:before="62"/>
              <w:ind w:right="123"/>
              <w:rPr>
                <w:sz w:val="18"/>
              </w:rPr>
            </w:pPr>
            <w:r>
              <w:rPr>
                <w:sz w:val="18"/>
              </w:rPr>
              <w:t>24.76</w:t>
            </w:r>
          </w:p>
        </w:tc>
        <w:tc>
          <w:tcPr>
            <w:tcW w:w="992" w:type="dxa"/>
          </w:tcPr>
          <w:p w:rsidR="007C5447" w:rsidRDefault="00F6308C">
            <w:pPr>
              <w:pStyle w:val="TableParagraph"/>
              <w:spacing w:before="62"/>
              <w:ind w:right="126"/>
              <w:rPr>
                <w:sz w:val="18"/>
              </w:rPr>
            </w:pPr>
            <w:r>
              <w:rPr>
                <w:sz w:val="18"/>
              </w:rPr>
              <w:t>0.10</w:t>
            </w:r>
          </w:p>
        </w:tc>
        <w:tc>
          <w:tcPr>
            <w:tcW w:w="992" w:type="dxa"/>
          </w:tcPr>
          <w:p w:rsidR="007C5447" w:rsidRDefault="00F6308C">
            <w:pPr>
              <w:pStyle w:val="TableParagraph"/>
              <w:spacing w:before="62"/>
              <w:ind w:right="123"/>
              <w:rPr>
                <w:sz w:val="18"/>
              </w:rPr>
            </w:pPr>
            <w:r>
              <w:rPr>
                <w:w w:val="99"/>
                <w:sz w:val="18"/>
              </w:rPr>
              <w:t>-</w:t>
            </w:r>
          </w:p>
        </w:tc>
        <w:tc>
          <w:tcPr>
            <w:tcW w:w="1309" w:type="dxa"/>
          </w:tcPr>
          <w:p w:rsidR="007C5447" w:rsidRDefault="00F6308C">
            <w:pPr>
              <w:pStyle w:val="TableParagraph"/>
              <w:spacing w:before="62"/>
              <w:ind w:right="123"/>
              <w:rPr>
                <w:sz w:val="18"/>
              </w:rPr>
            </w:pPr>
            <w:r>
              <w:rPr>
                <w:sz w:val="18"/>
              </w:rPr>
              <w:t>1.50</w:t>
            </w:r>
          </w:p>
        </w:tc>
        <w:tc>
          <w:tcPr>
            <w:tcW w:w="990" w:type="dxa"/>
          </w:tcPr>
          <w:p w:rsidR="007C5447" w:rsidRDefault="00F6308C">
            <w:pPr>
              <w:pStyle w:val="TableParagraph"/>
              <w:spacing w:before="62"/>
              <w:ind w:right="119"/>
              <w:rPr>
                <w:sz w:val="18"/>
              </w:rPr>
            </w:pPr>
            <w:r>
              <w:rPr>
                <w:sz w:val="18"/>
              </w:rPr>
              <w:t>4.21</w:t>
            </w:r>
          </w:p>
        </w:tc>
        <w:tc>
          <w:tcPr>
            <w:tcW w:w="855" w:type="dxa"/>
          </w:tcPr>
          <w:p w:rsidR="007C5447" w:rsidRDefault="00F6308C">
            <w:pPr>
              <w:pStyle w:val="TableParagraph"/>
              <w:spacing w:before="62"/>
              <w:ind w:right="120"/>
              <w:rPr>
                <w:sz w:val="18"/>
              </w:rPr>
            </w:pPr>
            <w:r>
              <w:rPr>
                <w:sz w:val="18"/>
              </w:rPr>
              <w:t>0.86</w:t>
            </w:r>
          </w:p>
        </w:tc>
        <w:tc>
          <w:tcPr>
            <w:tcW w:w="985" w:type="dxa"/>
          </w:tcPr>
          <w:p w:rsidR="007C5447" w:rsidRDefault="00F6308C">
            <w:pPr>
              <w:pStyle w:val="TableParagraph"/>
              <w:spacing w:before="62"/>
              <w:ind w:right="113"/>
              <w:rPr>
                <w:sz w:val="18"/>
              </w:rPr>
            </w:pPr>
            <w:r>
              <w:rPr>
                <w:sz w:val="18"/>
              </w:rPr>
              <w:t>79.83</w:t>
            </w:r>
          </w:p>
        </w:tc>
        <w:tc>
          <w:tcPr>
            <w:tcW w:w="976" w:type="dxa"/>
          </w:tcPr>
          <w:p w:rsidR="007C5447" w:rsidRDefault="00F6308C">
            <w:pPr>
              <w:pStyle w:val="TableParagraph"/>
              <w:spacing w:before="62"/>
              <w:ind w:right="115"/>
              <w:rPr>
                <w:sz w:val="18"/>
              </w:rPr>
            </w:pPr>
            <w:r>
              <w:rPr>
                <w:sz w:val="18"/>
              </w:rPr>
              <w:t>79.83</w:t>
            </w:r>
          </w:p>
        </w:tc>
      </w:tr>
      <w:tr w:rsidR="007C5447">
        <w:trPr>
          <w:trHeight w:val="330"/>
        </w:trPr>
        <w:tc>
          <w:tcPr>
            <w:tcW w:w="855" w:type="dxa"/>
          </w:tcPr>
          <w:p w:rsidR="007C5447" w:rsidRDefault="007C5447">
            <w:pPr>
              <w:pStyle w:val="TableParagraph"/>
              <w:jc w:val="left"/>
              <w:rPr>
                <w:sz w:val="18"/>
              </w:rPr>
            </w:pPr>
          </w:p>
        </w:tc>
        <w:tc>
          <w:tcPr>
            <w:tcW w:w="1982" w:type="dxa"/>
          </w:tcPr>
          <w:p w:rsidR="007C5447" w:rsidRDefault="00F6308C">
            <w:pPr>
              <w:pStyle w:val="TableParagraph"/>
              <w:spacing w:before="62"/>
              <w:ind w:left="105"/>
              <w:jc w:val="left"/>
              <w:rPr>
                <w:b/>
                <w:sz w:val="18"/>
              </w:rPr>
            </w:pPr>
            <w:r>
              <w:rPr>
                <w:b/>
                <w:sz w:val="18"/>
              </w:rPr>
              <w:t>Total Generation</w:t>
            </w:r>
          </w:p>
        </w:tc>
        <w:tc>
          <w:tcPr>
            <w:tcW w:w="1276" w:type="dxa"/>
          </w:tcPr>
          <w:p w:rsidR="007C5447" w:rsidRDefault="00F6308C">
            <w:pPr>
              <w:pStyle w:val="TableParagraph"/>
              <w:spacing w:before="62"/>
              <w:ind w:right="134"/>
              <w:rPr>
                <w:b/>
                <w:sz w:val="18"/>
              </w:rPr>
            </w:pPr>
            <w:r>
              <w:rPr>
                <w:b/>
                <w:sz w:val="18"/>
              </w:rPr>
              <w:t>289.98</w:t>
            </w:r>
          </w:p>
        </w:tc>
        <w:tc>
          <w:tcPr>
            <w:tcW w:w="991" w:type="dxa"/>
          </w:tcPr>
          <w:p w:rsidR="007C5447" w:rsidRDefault="00F6308C">
            <w:pPr>
              <w:pStyle w:val="TableParagraph"/>
              <w:spacing w:before="62"/>
              <w:ind w:right="129"/>
              <w:rPr>
                <w:b/>
                <w:sz w:val="18"/>
              </w:rPr>
            </w:pPr>
            <w:r>
              <w:rPr>
                <w:b/>
                <w:sz w:val="18"/>
              </w:rPr>
              <w:t>850.03</w:t>
            </w:r>
          </w:p>
        </w:tc>
        <w:tc>
          <w:tcPr>
            <w:tcW w:w="851" w:type="dxa"/>
          </w:tcPr>
          <w:p w:rsidR="007C5447" w:rsidRDefault="00F6308C">
            <w:pPr>
              <w:pStyle w:val="TableParagraph"/>
              <w:spacing w:before="62"/>
              <w:ind w:right="129"/>
              <w:rPr>
                <w:b/>
                <w:sz w:val="18"/>
              </w:rPr>
            </w:pPr>
            <w:r>
              <w:rPr>
                <w:b/>
                <w:w w:val="99"/>
                <w:sz w:val="18"/>
              </w:rPr>
              <w:t>-</w:t>
            </w:r>
          </w:p>
        </w:tc>
        <w:tc>
          <w:tcPr>
            <w:tcW w:w="990" w:type="dxa"/>
          </w:tcPr>
          <w:p w:rsidR="007C5447" w:rsidRDefault="00F6308C">
            <w:pPr>
              <w:pStyle w:val="TableParagraph"/>
              <w:spacing w:before="62"/>
              <w:ind w:right="127"/>
              <w:rPr>
                <w:b/>
                <w:sz w:val="18"/>
              </w:rPr>
            </w:pPr>
            <w:r>
              <w:rPr>
                <w:b/>
                <w:sz w:val="18"/>
              </w:rPr>
              <w:t>388.71</w:t>
            </w:r>
          </w:p>
        </w:tc>
        <w:tc>
          <w:tcPr>
            <w:tcW w:w="990" w:type="dxa"/>
          </w:tcPr>
          <w:p w:rsidR="007C5447" w:rsidRDefault="00F6308C">
            <w:pPr>
              <w:pStyle w:val="TableParagraph"/>
              <w:spacing w:before="62"/>
              <w:ind w:right="126"/>
              <w:rPr>
                <w:b/>
                <w:sz w:val="18"/>
              </w:rPr>
            </w:pPr>
            <w:r>
              <w:rPr>
                <w:b/>
                <w:sz w:val="18"/>
              </w:rPr>
              <w:t>634.21</w:t>
            </w:r>
          </w:p>
        </w:tc>
        <w:tc>
          <w:tcPr>
            <w:tcW w:w="992" w:type="dxa"/>
          </w:tcPr>
          <w:p w:rsidR="007C5447" w:rsidRDefault="00F6308C">
            <w:pPr>
              <w:pStyle w:val="TableParagraph"/>
              <w:spacing w:before="62"/>
              <w:ind w:right="126"/>
              <w:rPr>
                <w:b/>
                <w:sz w:val="18"/>
              </w:rPr>
            </w:pPr>
            <w:r>
              <w:rPr>
                <w:b/>
                <w:sz w:val="18"/>
              </w:rPr>
              <w:t>2.17</w:t>
            </w:r>
          </w:p>
        </w:tc>
        <w:tc>
          <w:tcPr>
            <w:tcW w:w="992" w:type="dxa"/>
          </w:tcPr>
          <w:p w:rsidR="007C5447" w:rsidRDefault="00F6308C">
            <w:pPr>
              <w:pStyle w:val="TableParagraph"/>
              <w:spacing w:before="62"/>
              <w:ind w:right="123"/>
              <w:rPr>
                <w:b/>
                <w:sz w:val="18"/>
              </w:rPr>
            </w:pPr>
            <w:r>
              <w:rPr>
                <w:b/>
                <w:w w:val="99"/>
                <w:sz w:val="18"/>
              </w:rPr>
              <w:t>-</w:t>
            </w:r>
          </w:p>
        </w:tc>
        <w:tc>
          <w:tcPr>
            <w:tcW w:w="1309" w:type="dxa"/>
          </w:tcPr>
          <w:p w:rsidR="007C5447" w:rsidRDefault="00F6308C">
            <w:pPr>
              <w:pStyle w:val="TableParagraph"/>
              <w:spacing w:before="62"/>
              <w:ind w:right="120"/>
              <w:rPr>
                <w:b/>
                <w:sz w:val="18"/>
              </w:rPr>
            </w:pPr>
            <w:r>
              <w:rPr>
                <w:b/>
                <w:sz w:val="18"/>
              </w:rPr>
              <w:t>(6.61)</w:t>
            </w:r>
          </w:p>
        </w:tc>
        <w:tc>
          <w:tcPr>
            <w:tcW w:w="990" w:type="dxa"/>
          </w:tcPr>
          <w:p w:rsidR="007C5447" w:rsidRDefault="00F6308C">
            <w:pPr>
              <w:pStyle w:val="TableParagraph"/>
              <w:spacing w:before="62"/>
              <w:ind w:right="119"/>
              <w:rPr>
                <w:b/>
                <w:sz w:val="18"/>
              </w:rPr>
            </w:pPr>
            <w:r>
              <w:rPr>
                <w:b/>
                <w:sz w:val="18"/>
              </w:rPr>
              <w:t>123.18</w:t>
            </w:r>
          </w:p>
        </w:tc>
        <w:tc>
          <w:tcPr>
            <w:tcW w:w="855" w:type="dxa"/>
          </w:tcPr>
          <w:p w:rsidR="007C5447" w:rsidRDefault="00F6308C">
            <w:pPr>
              <w:pStyle w:val="TableParagraph"/>
              <w:spacing w:before="62"/>
              <w:ind w:right="120"/>
              <w:rPr>
                <w:b/>
                <w:sz w:val="18"/>
              </w:rPr>
            </w:pPr>
            <w:r>
              <w:rPr>
                <w:b/>
                <w:sz w:val="18"/>
              </w:rPr>
              <w:t>5.36</w:t>
            </w:r>
          </w:p>
        </w:tc>
        <w:tc>
          <w:tcPr>
            <w:tcW w:w="985" w:type="dxa"/>
          </w:tcPr>
          <w:p w:rsidR="007C5447" w:rsidRDefault="00F6308C">
            <w:pPr>
              <w:pStyle w:val="TableParagraph"/>
              <w:spacing w:before="62"/>
              <w:ind w:right="114"/>
              <w:rPr>
                <w:b/>
                <w:sz w:val="18"/>
              </w:rPr>
            </w:pPr>
            <w:r>
              <w:rPr>
                <w:b/>
                <w:sz w:val="18"/>
              </w:rPr>
              <w:t>2,040.68</w:t>
            </w:r>
          </w:p>
        </w:tc>
        <w:tc>
          <w:tcPr>
            <w:tcW w:w="976" w:type="dxa"/>
          </w:tcPr>
          <w:p w:rsidR="007C5447" w:rsidRDefault="00F6308C">
            <w:pPr>
              <w:pStyle w:val="TableParagraph"/>
              <w:spacing w:before="62"/>
              <w:ind w:right="115"/>
              <w:rPr>
                <w:b/>
                <w:sz w:val="18"/>
              </w:rPr>
            </w:pPr>
            <w:r>
              <w:rPr>
                <w:b/>
                <w:sz w:val="18"/>
              </w:rPr>
              <w:t>1,865.37</w:t>
            </w:r>
          </w:p>
        </w:tc>
      </w:tr>
    </w:tbl>
    <w:p w:rsidR="007C5447" w:rsidRDefault="007C5447">
      <w:pPr>
        <w:rPr>
          <w:sz w:val="18"/>
        </w:rPr>
        <w:sectPr w:rsidR="007C5447">
          <w:footerReference w:type="default" r:id="rId30"/>
          <w:pgSz w:w="16840" w:h="11910" w:orient="landscape"/>
          <w:pgMar w:top="1100" w:right="140" w:bottom="1240" w:left="200" w:header="0" w:footer="1057" w:gutter="0"/>
          <w:pgNumType w:start="134"/>
          <w:cols w:space="720"/>
        </w:sectPr>
      </w:pPr>
    </w:p>
    <w:p w:rsidR="007C5447" w:rsidRDefault="007C5447">
      <w:pPr>
        <w:pStyle w:val="BodyText"/>
        <w:rPr>
          <w:b/>
          <w:sz w:val="20"/>
        </w:rPr>
      </w:pPr>
    </w:p>
    <w:p w:rsidR="007C5447" w:rsidRDefault="007C5447">
      <w:pPr>
        <w:pStyle w:val="BodyText"/>
        <w:rPr>
          <w:b/>
          <w:sz w:val="20"/>
        </w:rPr>
      </w:pPr>
    </w:p>
    <w:p w:rsidR="007C5447" w:rsidRDefault="007C5447">
      <w:pPr>
        <w:pStyle w:val="BodyText"/>
        <w:spacing w:before="10"/>
        <w:rPr>
          <w:b/>
          <w:sz w:val="16"/>
        </w:rPr>
      </w:pPr>
    </w:p>
    <w:p w:rsidR="007C5447" w:rsidRDefault="00F6308C">
      <w:pPr>
        <w:spacing w:before="91" w:after="3"/>
        <w:ind w:left="2483" w:right="2537"/>
        <w:jc w:val="center"/>
        <w:rPr>
          <w:b/>
        </w:rPr>
      </w:pPr>
      <w:r>
        <w:rPr>
          <w:b/>
        </w:rPr>
        <w:t>Table 3-47: Fixed Charges approved by the Commission for Generation function after true-up for FY 2012-13 (Rs. Crore)</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3"/>
        <w:gridCol w:w="1447"/>
        <w:gridCol w:w="1204"/>
        <w:gridCol w:w="1055"/>
        <w:gridCol w:w="849"/>
        <w:gridCol w:w="992"/>
        <w:gridCol w:w="1054"/>
        <w:gridCol w:w="1273"/>
        <w:gridCol w:w="1133"/>
        <w:gridCol w:w="1308"/>
        <w:gridCol w:w="1237"/>
        <w:gridCol w:w="1215"/>
        <w:gridCol w:w="1237"/>
        <w:gridCol w:w="1331"/>
      </w:tblGrid>
      <w:tr w:rsidR="007C5447">
        <w:trPr>
          <w:trHeight w:val="858"/>
        </w:trPr>
        <w:tc>
          <w:tcPr>
            <w:tcW w:w="823" w:type="dxa"/>
            <w:shd w:val="clear" w:color="auto" w:fill="FBD4B4"/>
          </w:tcPr>
          <w:p w:rsidR="007C5447" w:rsidRDefault="007C5447">
            <w:pPr>
              <w:pStyle w:val="TableParagraph"/>
              <w:spacing w:before="4"/>
              <w:jc w:val="left"/>
              <w:rPr>
                <w:b/>
                <w:sz w:val="28"/>
              </w:rPr>
            </w:pPr>
          </w:p>
          <w:p w:rsidR="007C5447" w:rsidRDefault="00F6308C">
            <w:pPr>
              <w:pStyle w:val="TableParagraph"/>
              <w:ind w:left="291" w:right="285"/>
              <w:jc w:val="center"/>
              <w:rPr>
                <w:b/>
                <w:sz w:val="18"/>
              </w:rPr>
            </w:pPr>
            <w:r>
              <w:rPr>
                <w:b/>
                <w:sz w:val="18"/>
              </w:rPr>
              <w:t>Sl.</w:t>
            </w:r>
          </w:p>
        </w:tc>
        <w:tc>
          <w:tcPr>
            <w:tcW w:w="1447" w:type="dxa"/>
            <w:shd w:val="clear" w:color="auto" w:fill="FBD4B4"/>
          </w:tcPr>
          <w:p w:rsidR="007C5447" w:rsidRDefault="007C5447">
            <w:pPr>
              <w:pStyle w:val="TableParagraph"/>
              <w:spacing w:before="4"/>
              <w:jc w:val="left"/>
              <w:rPr>
                <w:b/>
                <w:sz w:val="28"/>
              </w:rPr>
            </w:pPr>
          </w:p>
          <w:p w:rsidR="007C5447" w:rsidRDefault="00F6308C">
            <w:pPr>
              <w:pStyle w:val="TableParagraph"/>
              <w:ind w:left="180"/>
              <w:jc w:val="left"/>
              <w:rPr>
                <w:b/>
                <w:sz w:val="18"/>
              </w:rPr>
            </w:pPr>
            <w:r>
              <w:rPr>
                <w:b/>
                <w:sz w:val="18"/>
              </w:rPr>
              <w:t>Power Station</w:t>
            </w:r>
          </w:p>
        </w:tc>
        <w:tc>
          <w:tcPr>
            <w:tcW w:w="1204" w:type="dxa"/>
            <w:shd w:val="clear" w:color="auto" w:fill="FBD4B4"/>
          </w:tcPr>
          <w:p w:rsidR="007C5447" w:rsidRDefault="007C5447">
            <w:pPr>
              <w:pStyle w:val="TableParagraph"/>
              <w:spacing w:before="4"/>
              <w:jc w:val="left"/>
              <w:rPr>
                <w:b/>
                <w:sz w:val="28"/>
              </w:rPr>
            </w:pPr>
          </w:p>
          <w:p w:rsidR="007C5447" w:rsidRDefault="00F6308C">
            <w:pPr>
              <w:pStyle w:val="TableParagraph"/>
              <w:ind w:right="98"/>
              <w:rPr>
                <w:b/>
                <w:sz w:val="18"/>
              </w:rPr>
            </w:pPr>
            <w:r>
              <w:rPr>
                <w:b/>
                <w:sz w:val="18"/>
              </w:rPr>
              <w:t>Depreciation</w:t>
            </w:r>
          </w:p>
        </w:tc>
        <w:tc>
          <w:tcPr>
            <w:tcW w:w="1055" w:type="dxa"/>
            <w:shd w:val="clear" w:color="auto" w:fill="FBD4B4"/>
          </w:tcPr>
          <w:p w:rsidR="007C5447" w:rsidRDefault="007C5447">
            <w:pPr>
              <w:pStyle w:val="TableParagraph"/>
              <w:spacing w:before="4"/>
              <w:jc w:val="left"/>
              <w:rPr>
                <w:b/>
                <w:sz w:val="19"/>
              </w:rPr>
            </w:pPr>
          </w:p>
          <w:p w:rsidR="007C5447" w:rsidRDefault="00F6308C">
            <w:pPr>
              <w:pStyle w:val="TableParagraph"/>
              <w:ind w:left="234" w:right="196" w:hanging="5"/>
              <w:jc w:val="left"/>
              <w:rPr>
                <w:b/>
                <w:sz w:val="18"/>
              </w:rPr>
            </w:pPr>
            <w:r>
              <w:rPr>
                <w:b/>
                <w:sz w:val="18"/>
              </w:rPr>
              <w:t>Interest charges</w:t>
            </w:r>
          </w:p>
        </w:tc>
        <w:tc>
          <w:tcPr>
            <w:tcW w:w="849" w:type="dxa"/>
            <w:shd w:val="clear" w:color="auto" w:fill="FBD4B4"/>
          </w:tcPr>
          <w:p w:rsidR="007C5447" w:rsidRDefault="00F6308C">
            <w:pPr>
              <w:pStyle w:val="TableParagraph"/>
              <w:spacing w:before="117"/>
              <w:ind w:left="153" w:right="134"/>
              <w:jc w:val="center"/>
              <w:rPr>
                <w:b/>
                <w:sz w:val="18"/>
              </w:rPr>
            </w:pPr>
            <w:r>
              <w:rPr>
                <w:b/>
                <w:sz w:val="18"/>
              </w:rPr>
              <w:t>Return on Equity</w:t>
            </w:r>
          </w:p>
        </w:tc>
        <w:tc>
          <w:tcPr>
            <w:tcW w:w="992" w:type="dxa"/>
            <w:shd w:val="clear" w:color="auto" w:fill="FBD4B4"/>
          </w:tcPr>
          <w:p w:rsidR="007C5447" w:rsidRDefault="007C5447">
            <w:pPr>
              <w:pStyle w:val="TableParagraph"/>
              <w:spacing w:before="4"/>
              <w:jc w:val="left"/>
              <w:rPr>
                <w:b/>
                <w:sz w:val="28"/>
              </w:rPr>
            </w:pPr>
          </w:p>
          <w:p w:rsidR="007C5447" w:rsidRDefault="00F6308C">
            <w:pPr>
              <w:pStyle w:val="TableParagraph"/>
              <w:ind w:left="265"/>
              <w:jc w:val="left"/>
              <w:rPr>
                <w:b/>
                <w:sz w:val="18"/>
              </w:rPr>
            </w:pPr>
            <w:r>
              <w:rPr>
                <w:b/>
                <w:sz w:val="18"/>
              </w:rPr>
              <w:t>IoWC</w:t>
            </w:r>
          </w:p>
        </w:tc>
        <w:tc>
          <w:tcPr>
            <w:tcW w:w="1054" w:type="dxa"/>
            <w:shd w:val="clear" w:color="auto" w:fill="FBD4B4"/>
          </w:tcPr>
          <w:p w:rsidR="007C5447" w:rsidRDefault="007C5447">
            <w:pPr>
              <w:pStyle w:val="TableParagraph"/>
              <w:spacing w:before="4"/>
              <w:jc w:val="left"/>
              <w:rPr>
                <w:b/>
                <w:sz w:val="19"/>
              </w:rPr>
            </w:pPr>
          </w:p>
          <w:p w:rsidR="007C5447" w:rsidRDefault="00F6308C">
            <w:pPr>
              <w:pStyle w:val="TableParagraph"/>
              <w:ind w:left="177" w:right="136" w:firstLine="124"/>
              <w:jc w:val="left"/>
              <w:rPr>
                <w:b/>
                <w:sz w:val="18"/>
              </w:rPr>
            </w:pPr>
            <w:r>
              <w:rPr>
                <w:b/>
                <w:sz w:val="18"/>
              </w:rPr>
              <w:t>O&amp;M Expenses</w:t>
            </w:r>
          </w:p>
        </w:tc>
        <w:tc>
          <w:tcPr>
            <w:tcW w:w="1273" w:type="dxa"/>
            <w:shd w:val="clear" w:color="auto" w:fill="FBD4B4"/>
          </w:tcPr>
          <w:p w:rsidR="007C5447" w:rsidRDefault="007C5447">
            <w:pPr>
              <w:pStyle w:val="TableParagraph"/>
              <w:spacing w:before="4"/>
              <w:jc w:val="left"/>
              <w:rPr>
                <w:b/>
                <w:sz w:val="28"/>
              </w:rPr>
            </w:pPr>
          </w:p>
          <w:p w:rsidR="007C5447" w:rsidRDefault="00F6308C">
            <w:pPr>
              <w:pStyle w:val="TableParagraph"/>
              <w:ind w:right="121"/>
              <w:rPr>
                <w:b/>
                <w:sz w:val="18"/>
              </w:rPr>
            </w:pPr>
            <w:r>
              <w:rPr>
                <w:b/>
                <w:sz w:val="18"/>
              </w:rPr>
              <w:t>Other Debits</w:t>
            </w:r>
          </w:p>
        </w:tc>
        <w:tc>
          <w:tcPr>
            <w:tcW w:w="1133" w:type="dxa"/>
            <w:shd w:val="clear" w:color="auto" w:fill="FBD4B4"/>
          </w:tcPr>
          <w:p w:rsidR="007C5447" w:rsidRDefault="00F6308C">
            <w:pPr>
              <w:pStyle w:val="TableParagraph"/>
              <w:spacing w:before="14"/>
              <w:ind w:left="186" w:right="141" w:firstLine="247"/>
              <w:jc w:val="left"/>
              <w:rPr>
                <w:b/>
                <w:sz w:val="18"/>
              </w:rPr>
            </w:pPr>
            <w:r>
              <w:rPr>
                <w:b/>
                <w:sz w:val="18"/>
              </w:rPr>
              <w:t>Op. Charges</w:t>
            </w:r>
          </w:p>
          <w:p w:rsidR="007C5447" w:rsidRDefault="00F6308C">
            <w:pPr>
              <w:pStyle w:val="TableParagraph"/>
              <w:spacing w:before="4" w:line="206" w:lineRule="exact"/>
              <w:ind w:left="210" w:right="141" w:hanging="24"/>
              <w:jc w:val="left"/>
              <w:rPr>
                <w:b/>
                <w:sz w:val="18"/>
              </w:rPr>
            </w:pPr>
            <w:r>
              <w:rPr>
                <w:b/>
                <w:sz w:val="18"/>
              </w:rPr>
              <w:t>and Extra Ordinary</w:t>
            </w:r>
          </w:p>
        </w:tc>
        <w:tc>
          <w:tcPr>
            <w:tcW w:w="1308" w:type="dxa"/>
            <w:shd w:val="clear" w:color="auto" w:fill="FBD4B4"/>
          </w:tcPr>
          <w:p w:rsidR="007C5447" w:rsidRDefault="007C5447">
            <w:pPr>
              <w:pStyle w:val="TableParagraph"/>
              <w:spacing w:before="4"/>
              <w:jc w:val="left"/>
              <w:rPr>
                <w:b/>
                <w:sz w:val="19"/>
              </w:rPr>
            </w:pPr>
          </w:p>
          <w:p w:rsidR="007C5447" w:rsidRDefault="00F6308C">
            <w:pPr>
              <w:pStyle w:val="TableParagraph"/>
              <w:ind w:left="119" w:firstLine="64"/>
              <w:jc w:val="left"/>
              <w:rPr>
                <w:b/>
                <w:sz w:val="18"/>
              </w:rPr>
            </w:pPr>
            <w:r>
              <w:rPr>
                <w:b/>
                <w:sz w:val="18"/>
              </w:rPr>
              <w:t>Prior Period Exp./(Income)</w:t>
            </w:r>
          </w:p>
        </w:tc>
        <w:tc>
          <w:tcPr>
            <w:tcW w:w="1237" w:type="dxa"/>
            <w:shd w:val="clear" w:color="auto" w:fill="FBD4B4"/>
          </w:tcPr>
          <w:p w:rsidR="007C5447" w:rsidRDefault="007C5447">
            <w:pPr>
              <w:pStyle w:val="TableParagraph"/>
              <w:spacing w:before="4"/>
              <w:jc w:val="left"/>
              <w:rPr>
                <w:b/>
                <w:sz w:val="19"/>
              </w:rPr>
            </w:pPr>
          </w:p>
          <w:p w:rsidR="007C5447" w:rsidRDefault="00F6308C">
            <w:pPr>
              <w:pStyle w:val="TableParagraph"/>
              <w:ind w:left="347" w:right="130" w:firstLine="55"/>
              <w:jc w:val="left"/>
              <w:rPr>
                <w:b/>
                <w:sz w:val="18"/>
              </w:rPr>
            </w:pPr>
            <w:r>
              <w:rPr>
                <w:b/>
                <w:sz w:val="18"/>
              </w:rPr>
              <w:t>Other Income</w:t>
            </w:r>
          </w:p>
        </w:tc>
        <w:tc>
          <w:tcPr>
            <w:tcW w:w="1215" w:type="dxa"/>
            <w:shd w:val="clear" w:color="auto" w:fill="FBD4B4"/>
          </w:tcPr>
          <w:p w:rsidR="007C5447" w:rsidRDefault="007C5447">
            <w:pPr>
              <w:pStyle w:val="TableParagraph"/>
              <w:spacing w:before="4"/>
              <w:jc w:val="left"/>
              <w:rPr>
                <w:b/>
                <w:sz w:val="19"/>
              </w:rPr>
            </w:pPr>
          </w:p>
          <w:p w:rsidR="007C5447" w:rsidRDefault="00F6308C">
            <w:pPr>
              <w:pStyle w:val="TableParagraph"/>
              <w:ind w:left="128" w:right="67" w:firstLine="9"/>
              <w:jc w:val="left"/>
              <w:rPr>
                <w:b/>
                <w:sz w:val="18"/>
              </w:rPr>
            </w:pPr>
            <w:r>
              <w:rPr>
                <w:b/>
                <w:sz w:val="18"/>
              </w:rPr>
              <w:t>Other Int. &amp; Fin. Charges</w:t>
            </w:r>
          </w:p>
        </w:tc>
        <w:tc>
          <w:tcPr>
            <w:tcW w:w="1237" w:type="dxa"/>
            <w:shd w:val="clear" w:color="auto" w:fill="FBD4B4"/>
          </w:tcPr>
          <w:p w:rsidR="007C5447" w:rsidRDefault="007C5447">
            <w:pPr>
              <w:pStyle w:val="TableParagraph"/>
              <w:spacing w:before="4"/>
              <w:jc w:val="left"/>
              <w:rPr>
                <w:b/>
                <w:sz w:val="19"/>
              </w:rPr>
            </w:pPr>
          </w:p>
          <w:p w:rsidR="007C5447" w:rsidRDefault="00F6308C">
            <w:pPr>
              <w:pStyle w:val="TableParagraph"/>
              <w:ind w:left="461" w:right="130" w:hanging="269"/>
              <w:jc w:val="left"/>
              <w:rPr>
                <w:b/>
                <w:sz w:val="18"/>
              </w:rPr>
            </w:pPr>
            <w:r>
              <w:rPr>
                <w:b/>
                <w:sz w:val="18"/>
              </w:rPr>
              <w:t>Total Fixed Cost</w:t>
            </w:r>
          </w:p>
        </w:tc>
        <w:tc>
          <w:tcPr>
            <w:tcW w:w="1331" w:type="dxa"/>
            <w:shd w:val="clear" w:color="auto" w:fill="FBD4B4"/>
          </w:tcPr>
          <w:p w:rsidR="007C5447" w:rsidRDefault="00F6308C">
            <w:pPr>
              <w:pStyle w:val="TableParagraph"/>
              <w:spacing w:before="117"/>
              <w:ind w:left="179" w:right="131" w:hanging="1"/>
              <w:jc w:val="center"/>
              <w:rPr>
                <w:b/>
                <w:sz w:val="18"/>
              </w:rPr>
            </w:pPr>
            <w:r>
              <w:rPr>
                <w:b/>
                <w:sz w:val="18"/>
              </w:rPr>
              <w:t>Fixed cost allowed to be recovered</w:t>
            </w:r>
          </w:p>
        </w:tc>
      </w:tr>
      <w:tr w:rsidR="007C5447">
        <w:trPr>
          <w:trHeight w:val="299"/>
        </w:trPr>
        <w:tc>
          <w:tcPr>
            <w:tcW w:w="823" w:type="dxa"/>
          </w:tcPr>
          <w:p w:rsidR="007C5447" w:rsidRDefault="00F6308C">
            <w:pPr>
              <w:pStyle w:val="TableParagraph"/>
              <w:spacing w:before="45"/>
              <w:ind w:left="6"/>
              <w:jc w:val="center"/>
              <w:rPr>
                <w:sz w:val="18"/>
              </w:rPr>
            </w:pPr>
            <w:r>
              <w:rPr>
                <w:sz w:val="18"/>
              </w:rPr>
              <w:t>1</w:t>
            </w:r>
          </w:p>
        </w:tc>
        <w:tc>
          <w:tcPr>
            <w:tcW w:w="1447" w:type="dxa"/>
          </w:tcPr>
          <w:p w:rsidR="007C5447" w:rsidRDefault="00F6308C">
            <w:pPr>
              <w:pStyle w:val="TableParagraph"/>
              <w:spacing w:before="45"/>
              <w:ind w:left="107"/>
              <w:jc w:val="left"/>
              <w:rPr>
                <w:sz w:val="18"/>
              </w:rPr>
            </w:pPr>
            <w:r>
              <w:rPr>
                <w:sz w:val="18"/>
              </w:rPr>
              <w:t>Ennore TPS</w:t>
            </w:r>
          </w:p>
        </w:tc>
        <w:tc>
          <w:tcPr>
            <w:tcW w:w="1204" w:type="dxa"/>
          </w:tcPr>
          <w:p w:rsidR="007C5447" w:rsidRDefault="00F6308C">
            <w:pPr>
              <w:pStyle w:val="TableParagraph"/>
              <w:spacing w:before="45"/>
              <w:ind w:right="129"/>
              <w:rPr>
                <w:sz w:val="18"/>
              </w:rPr>
            </w:pPr>
            <w:r>
              <w:rPr>
                <w:sz w:val="18"/>
              </w:rPr>
              <w:t>37.04</w:t>
            </w:r>
          </w:p>
        </w:tc>
        <w:tc>
          <w:tcPr>
            <w:tcW w:w="1055" w:type="dxa"/>
          </w:tcPr>
          <w:p w:rsidR="007C5447" w:rsidRDefault="00F6308C">
            <w:pPr>
              <w:pStyle w:val="TableParagraph"/>
              <w:spacing w:before="45"/>
              <w:ind w:right="131"/>
              <w:rPr>
                <w:sz w:val="18"/>
              </w:rPr>
            </w:pPr>
            <w:r>
              <w:rPr>
                <w:sz w:val="18"/>
              </w:rPr>
              <w:t>106.91</w:t>
            </w:r>
          </w:p>
        </w:tc>
        <w:tc>
          <w:tcPr>
            <w:tcW w:w="849" w:type="dxa"/>
          </w:tcPr>
          <w:p w:rsidR="007C5447" w:rsidRDefault="00F6308C">
            <w:pPr>
              <w:pStyle w:val="TableParagraph"/>
              <w:spacing w:before="45"/>
              <w:ind w:right="126"/>
              <w:rPr>
                <w:sz w:val="18"/>
              </w:rPr>
            </w:pPr>
            <w:r>
              <w:rPr>
                <w:w w:val="99"/>
                <w:sz w:val="18"/>
              </w:rPr>
              <w:t>-</w:t>
            </w:r>
          </w:p>
        </w:tc>
        <w:tc>
          <w:tcPr>
            <w:tcW w:w="992" w:type="dxa"/>
          </w:tcPr>
          <w:p w:rsidR="007C5447" w:rsidRDefault="00F6308C">
            <w:pPr>
              <w:pStyle w:val="TableParagraph"/>
              <w:spacing w:before="45"/>
              <w:ind w:right="125"/>
              <w:rPr>
                <w:sz w:val="18"/>
              </w:rPr>
            </w:pPr>
            <w:r>
              <w:rPr>
                <w:sz w:val="18"/>
              </w:rPr>
              <w:t>27.17</w:t>
            </w:r>
          </w:p>
        </w:tc>
        <w:tc>
          <w:tcPr>
            <w:tcW w:w="1054" w:type="dxa"/>
          </w:tcPr>
          <w:p w:rsidR="007C5447" w:rsidRDefault="00F6308C">
            <w:pPr>
              <w:pStyle w:val="TableParagraph"/>
              <w:spacing w:before="45"/>
              <w:ind w:right="126"/>
              <w:rPr>
                <w:sz w:val="18"/>
              </w:rPr>
            </w:pPr>
            <w:r>
              <w:rPr>
                <w:sz w:val="18"/>
              </w:rPr>
              <w:t>110.28</w:t>
            </w:r>
          </w:p>
        </w:tc>
        <w:tc>
          <w:tcPr>
            <w:tcW w:w="1273" w:type="dxa"/>
          </w:tcPr>
          <w:p w:rsidR="007C5447" w:rsidRDefault="00F6308C">
            <w:pPr>
              <w:pStyle w:val="TableParagraph"/>
              <w:spacing w:before="45"/>
              <w:ind w:right="122"/>
              <w:rPr>
                <w:sz w:val="18"/>
              </w:rPr>
            </w:pPr>
            <w:r>
              <w:rPr>
                <w:sz w:val="18"/>
              </w:rPr>
              <w:t>0.03</w:t>
            </w:r>
          </w:p>
        </w:tc>
        <w:tc>
          <w:tcPr>
            <w:tcW w:w="1133" w:type="dxa"/>
          </w:tcPr>
          <w:p w:rsidR="007C5447" w:rsidRDefault="00F6308C">
            <w:pPr>
              <w:pStyle w:val="TableParagraph"/>
              <w:spacing w:before="45"/>
              <w:ind w:right="120"/>
              <w:rPr>
                <w:sz w:val="18"/>
              </w:rPr>
            </w:pPr>
            <w:r>
              <w:rPr>
                <w:w w:val="99"/>
                <w:sz w:val="18"/>
              </w:rPr>
              <w:t>-</w:t>
            </w:r>
          </w:p>
        </w:tc>
        <w:tc>
          <w:tcPr>
            <w:tcW w:w="1308" w:type="dxa"/>
          </w:tcPr>
          <w:p w:rsidR="007C5447" w:rsidRDefault="00F6308C">
            <w:pPr>
              <w:pStyle w:val="TableParagraph"/>
              <w:spacing w:before="45"/>
              <w:ind w:right="117"/>
              <w:rPr>
                <w:sz w:val="18"/>
              </w:rPr>
            </w:pPr>
            <w:r>
              <w:rPr>
                <w:sz w:val="18"/>
              </w:rPr>
              <w:t>0.16</w:t>
            </w:r>
          </w:p>
        </w:tc>
        <w:tc>
          <w:tcPr>
            <w:tcW w:w="1237" w:type="dxa"/>
          </w:tcPr>
          <w:p w:rsidR="007C5447" w:rsidRDefault="00F6308C">
            <w:pPr>
              <w:pStyle w:val="TableParagraph"/>
              <w:spacing w:before="45"/>
              <w:ind w:right="116"/>
              <w:rPr>
                <w:sz w:val="18"/>
              </w:rPr>
            </w:pPr>
            <w:r>
              <w:rPr>
                <w:sz w:val="18"/>
              </w:rPr>
              <w:t>23.41</w:t>
            </w:r>
          </w:p>
        </w:tc>
        <w:tc>
          <w:tcPr>
            <w:tcW w:w="1215" w:type="dxa"/>
          </w:tcPr>
          <w:p w:rsidR="007C5447" w:rsidRDefault="00F6308C">
            <w:pPr>
              <w:pStyle w:val="TableParagraph"/>
              <w:spacing w:before="45"/>
              <w:ind w:right="113"/>
              <w:rPr>
                <w:sz w:val="18"/>
              </w:rPr>
            </w:pPr>
            <w:r>
              <w:rPr>
                <w:sz w:val="18"/>
              </w:rPr>
              <w:t>2.24</w:t>
            </w:r>
          </w:p>
        </w:tc>
        <w:tc>
          <w:tcPr>
            <w:tcW w:w="1237" w:type="dxa"/>
          </w:tcPr>
          <w:p w:rsidR="007C5447" w:rsidRDefault="00F6308C">
            <w:pPr>
              <w:pStyle w:val="TableParagraph"/>
              <w:spacing w:before="45"/>
              <w:ind w:right="112"/>
              <w:rPr>
                <w:sz w:val="18"/>
              </w:rPr>
            </w:pPr>
            <w:r>
              <w:rPr>
                <w:sz w:val="18"/>
              </w:rPr>
              <w:t>260.44</w:t>
            </w:r>
          </w:p>
        </w:tc>
        <w:tc>
          <w:tcPr>
            <w:tcW w:w="1331" w:type="dxa"/>
          </w:tcPr>
          <w:p w:rsidR="007C5447" w:rsidRDefault="00F6308C">
            <w:pPr>
              <w:pStyle w:val="TableParagraph"/>
              <w:spacing w:before="45"/>
              <w:ind w:right="111"/>
              <w:rPr>
                <w:sz w:val="18"/>
              </w:rPr>
            </w:pPr>
            <w:r>
              <w:rPr>
                <w:sz w:val="18"/>
              </w:rPr>
              <w:t>188.61</w:t>
            </w:r>
          </w:p>
        </w:tc>
      </w:tr>
      <w:tr w:rsidR="007C5447">
        <w:trPr>
          <w:trHeight w:val="299"/>
        </w:trPr>
        <w:tc>
          <w:tcPr>
            <w:tcW w:w="823" w:type="dxa"/>
          </w:tcPr>
          <w:p w:rsidR="007C5447" w:rsidRDefault="00F6308C">
            <w:pPr>
              <w:pStyle w:val="TableParagraph"/>
              <w:spacing w:before="45"/>
              <w:ind w:left="6"/>
              <w:jc w:val="center"/>
              <w:rPr>
                <w:sz w:val="18"/>
              </w:rPr>
            </w:pPr>
            <w:r>
              <w:rPr>
                <w:sz w:val="18"/>
              </w:rPr>
              <w:t>2</w:t>
            </w:r>
          </w:p>
        </w:tc>
        <w:tc>
          <w:tcPr>
            <w:tcW w:w="1447" w:type="dxa"/>
          </w:tcPr>
          <w:p w:rsidR="007C5447" w:rsidRDefault="00F6308C">
            <w:pPr>
              <w:pStyle w:val="TableParagraph"/>
              <w:spacing w:before="45"/>
              <w:ind w:left="107"/>
              <w:jc w:val="left"/>
              <w:rPr>
                <w:sz w:val="18"/>
              </w:rPr>
            </w:pPr>
            <w:r>
              <w:rPr>
                <w:sz w:val="18"/>
              </w:rPr>
              <w:t>Tuticorin TPS</w:t>
            </w:r>
          </w:p>
        </w:tc>
        <w:tc>
          <w:tcPr>
            <w:tcW w:w="1204" w:type="dxa"/>
          </w:tcPr>
          <w:p w:rsidR="007C5447" w:rsidRDefault="00F6308C">
            <w:pPr>
              <w:pStyle w:val="TableParagraph"/>
              <w:spacing w:before="45"/>
              <w:ind w:right="129"/>
              <w:rPr>
                <w:sz w:val="18"/>
              </w:rPr>
            </w:pPr>
            <w:r>
              <w:rPr>
                <w:sz w:val="18"/>
              </w:rPr>
              <w:t>42.91</w:t>
            </w:r>
          </w:p>
        </w:tc>
        <w:tc>
          <w:tcPr>
            <w:tcW w:w="1055" w:type="dxa"/>
          </w:tcPr>
          <w:p w:rsidR="007C5447" w:rsidRDefault="00F6308C">
            <w:pPr>
              <w:pStyle w:val="TableParagraph"/>
              <w:spacing w:before="45"/>
              <w:ind w:right="131"/>
              <w:rPr>
                <w:sz w:val="18"/>
              </w:rPr>
            </w:pPr>
            <w:r>
              <w:rPr>
                <w:sz w:val="18"/>
              </w:rPr>
              <w:t>132.06</w:t>
            </w:r>
          </w:p>
        </w:tc>
        <w:tc>
          <w:tcPr>
            <w:tcW w:w="849" w:type="dxa"/>
          </w:tcPr>
          <w:p w:rsidR="007C5447" w:rsidRDefault="00F6308C">
            <w:pPr>
              <w:pStyle w:val="TableParagraph"/>
              <w:spacing w:before="45"/>
              <w:ind w:right="126"/>
              <w:rPr>
                <w:sz w:val="18"/>
              </w:rPr>
            </w:pPr>
            <w:r>
              <w:rPr>
                <w:w w:val="99"/>
                <w:sz w:val="18"/>
              </w:rPr>
              <w:t>-</w:t>
            </w:r>
          </w:p>
        </w:tc>
        <w:tc>
          <w:tcPr>
            <w:tcW w:w="992" w:type="dxa"/>
          </w:tcPr>
          <w:p w:rsidR="007C5447" w:rsidRDefault="00F6308C">
            <w:pPr>
              <w:pStyle w:val="TableParagraph"/>
              <w:spacing w:before="45"/>
              <w:ind w:right="128"/>
              <w:rPr>
                <w:sz w:val="18"/>
              </w:rPr>
            </w:pPr>
            <w:r>
              <w:rPr>
                <w:sz w:val="18"/>
              </w:rPr>
              <w:t>152.71</w:t>
            </w:r>
          </w:p>
        </w:tc>
        <w:tc>
          <w:tcPr>
            <w:tcW w:w="1054" w:type="dxa"/>
          </w:tcPr>
          <w:p w:rsidR="007C5447" w:rsidRDefault="00F6308C">
            <w:pPr>
              <w:pStyle w:val="TableParagraph"/>
              <w:spacing w:before="45"/>
              <w:ind w:right="126"/>
              <w:rPr>
                <w:sz w:val="18"/>
              </w:rPr>
            </w:pPr>
            <w:r>
              <w:rPr>
                <w:sz w:val="18"/>
              </w:rPr>
              <w:t>154.00</w:t>
            </w:r>
          </w:p>
        </w:tc>
        <w:tc>
          <w:tcPr>
            <w:tcW w:w="1273" w:type="dxa"/>
          </w:tcPr>
          <w:p w:rsidR="007C5447" w:rsidRDefault="00F6308C">
            <w:pPr>
              <w:pStyle w:val="TableParagraph"/>
              <w:spacing w:before="45"/>
              <w:ind w:right="122"/>
              <w:rPr>
                <w:sz w:val="18"/>
              </w:rPr>
            </w:pPr>
            <w:r>
              <w:rPr>
                <w:sz w:val="18"/>
              </w:rPr>
              <w:t>0.05</w:t>
            </w:r>
          </w:p>
        </w:tc>
        <w:tc>
          <w:tcPr>
            <w:tcW w:w="1133" w:type="dxa"/>
          </w:tcPr>
          <w:p w:rsidR="007C5447" w:rsidRDefault="00F6308C">
            <w:pPr>
              <w:pStyle w:val="TableParagraph"/>
              <w:spacing w:before="45"/>
              <w:ind w:right="120"/>
              <w:rPr>
                <w:sz w:val="18"/>
              </w:rPr>
            </w:pPr>
            <w:r>
              <w:rPr>
                <w:w w:val="99"/>
                <w:sz w:val="18"/>
              </w:rPr>
              <w:t>-</w:t>
            </w:r>
          </w:p>
        </w:tc>
        <w:tc>
          <w:tcPr>
            <w:tcW w:w="1308" w:type="dxa"/>
          </w:tcPr>
          <w:p w:rsidR="007C5447" w:rsidRDefault="00F6308C">
            <w:pPr>
              <w:pStyle w:val="TableParagraph"/>
              <w:spacing w:before="45"/>
              <w:ind w:right="114"/>
              <w:rPr>
                <w:sz w:val="18"/>
              </w:rPr>
            </w:pPr>
            <w:r>
              <w:rPr>
                <w:sz w:val="18"/>
              </w:rPr>
              <w:t>(0.14)</w:t>
            </w:r>
          </w:p>
        </w:tc>
        <w:tc>
          <w:tcPr>
            <w:tcW w:w="1237" w:type="dxa"/>
          </w:tcPr>
          <w:p w:rsidR="007C5447" w:rsidRDefault="00F6308C">
            <w:pPr>
              <w:pStyle w:val="TableParagraph"/>
              <w:spacing w:before="45"/>
              <w:ind w:right="116"/>
              <w:rPr>
                <w:sz w:val="18"/>
              </w:rPr>
            </w:pPr>
            <w:r>
              <w:rPr>
                <w:sz w:val="18"/>
              </w:rPr>
              <w:t>35.59</w:t>
            </w:r>
          </w:p>
        </w:tc>
        <w:tc>
          <w:tcPr>
            <w:tcW w:w="1215" w:type="dxa"/>
          </w:tcPr>
          <w:p w:rsidR="007C5447" w:rsidRDefault="00F6308C">
            <w:pPr>
              <w:pStyle w:val="TableParagraph"/>
              <w:spacing w:before="45"/>
              <w:ind w:right="113"/>
              <w:rPr>
                <w:sz w:val="18"/>
              </w:rPr>
            </w:pPr>
            <w:r>
              <w:rPr>
                <w:sz w:val="18"/>
              </w:rPr>
              <w:t>8.39</w:t>
            </w:r>
          </w:p>
        </w:tc>
        <w:tc>
          <w:tcPr>
            <w:tcW w:w="1237" w:type="dxa"/>
          </w:tcPr>
          <w:p w:rsidR="007C5447" w:rsidRDefault="00F6308C">
            <w:pPr>
              <w:pStyle w:val="TableParagraph"/>
              <w:spacing w:before="45"/>
              <w:ind w:right="116"/>
              <w:rPr>
                <w:sz w:val="18"/>
              </w:rPr>
            </w:pPr>
            <w:r>
              <w:rPr>
                <w:sz w:val="18"/>
              </w:rPr>
              <w:t>454.40</w:t>
            </w:r>
          </w:p>
        </w:tc>
        <w:tc>
          <w:tcPr>
            <w:tcW w:w="1331" w:type="dxa"/>
          </w:tcPr>
          <w:p w:rsidR="007C5447" w:rsidRDefault="00F6308C">
            <w:pPr>
              <w:pStyle w:val="TableParagraph"/>
              <w:spacing w:before="45"/>
              <w:ind w:right="111"/>
              <w:rPr>
                <w:sz w:val="18"/>
              </w:rPr>
            </w:pPr>
            <w:r>
              <w:rPr>
                <w:sz w:val="18"/>
              </w:rPr>
              <w:t>454.40</w:t>
            </w:r>
          </w:p>
        </w:tc>
      </w:tr>
      <w:tr w:rsidR="007C5447">
        <w:trPr>
          <w:trHeight w:val="300"/>
        </w:trPr>
        <w:tc>
          <w:tcPr>
            <w:tcW w:w="823" w:type="dxa"/>
          </w:tcPr>
          <w:p w:rsidR="007C5447" w:rsidRDefault="00F6308C">
            <w:pPr>
              <w:pStyle w:val="TableParagraph"/>
              <w:spacing w:before="46"/>
              <w:ind w:left="6"/>
              <w:jc w:val="center"/>
              <w:rPr>
                <w:sz w:val="18"/>
              </w:rPr>
            </w:pPr>
            <w:r>
              <w:rPr>
                <w:sz w:val="18"/>
              </w:rPr>
              <w:t>3</w:t>
            </w:r>
          </w:p>
        </w:tc>
        <w:tc>
          <w:tcPr>
            <w:tcW w:w="1447" w:type="dxa"/>
          </w:tcPr>
          <w:p w:rsidR="007C5447" w:rsidRDefault="00F6308C">
            <w:pPr>
              <w:pStyle w:val="TableParagraph"/>
              <w:spacing w:before="46"/>
              <w:ind w:left="107"/>
              <w:jc w:val="left"/>
              <w:rPr>
                <w:sz w:val="18"/>
              </w:rPr>
            </w:pPr>
            <w:r>
              <w:rPr>
                <w:sz w:val="18"/>
              </w:rPr>
              <w:t>Mettur TPS</w:t>
            </w:r>
          </w:p>
        </w:tc>
        <w:tc>
          <w:tcPr>
            <w:tcW w:w="1204" w:type="dxa"/>
          </w:tcPr>
          <w:p w:rsidR="007C5447" w:rsidRDefault="00F6308C">
            <w:pPr>
              <w:pStyle w:val="TableParagraph"/>
              <w:spacing w:before="46"/>
              <w:ind w:right="129"/>
              <w:rPr>
                <w:sz w:val="18"/>
              </w:rPr>
            </w:pPr>
            <w:r>
              <w:rPr>
                <w:sz w:val="18"/>
              </w:rPr>
              <w:t>29.78</w:t>
            </w:r>
          </w:p>
        </w:tc>
        <w:tc>
          <w:tcPr>
            <w:tcW w:w="1055" w:type="dxa"/>
          </w:tcPr>
          <w:p w:rsidR="007C5447" w:rsidRDefault="00F6308C">
            <w:pPr>
              <w:pStyle w:val="TableParagraph"/>
              <w:spacing w:before="46"/>
              <w:ind w:right="128"/>
              <w:rPr>
                <w:sz w:val="18"/>
              </w:rPr>
            </w:pPr>
            <w:r>
              <w:rPr>
                <w:sz w:val="18"/>
              </w:rPr>
              <w:t>70.31</w:t>
            </w:r>
          </w:p>
        </w:tc>
        <w:tc>
          <w:tcPr>
            <w:tcW w:w="849" w:type="dxa"/>
          </w:tcPr>
          <w:p w:rsidR="007C5447" w:rsidRDefault="00F6308C">
            <w:pPr>
              <w:pStyle w:val="TableParagraph"/>
              <w:spacing w:before="46"/>
              <w:ind w:right="126"/>
              <w:rPr>
                <w:sz w:val="18"/>
              </w:rPr>
            </w:pPr>
            <w:r>
              <w:rPr>
                <w:w w:val="99"/>
                <w:sz w:val="18"/>
              </w:rPr>
              <w:t>-</w:t>
            </w:r>
          </w:p>
        </w:tc>
        <w:tc>
          <w:tcPr>
            <w:tcW w:w="992" w:type="dxa"/>
          </w:tcPr>
          <w:p w:rsidR="007C5447" w:rsidRDefault="00F6308C">
            <w:pPr>
              <w:pStyle w:val="TableParagraph"/>
              <w:spacing w:before="46"/>
              <w:ind w:right="128"/>
              <w:rPr>
                <w:sz w:val="18"/>
              </w:rPr>
            </w:pPr>
            <w:r>
              <w:rPr>
                <w:sz w:val="18"/>
              </w:rPr>
              <w:t>140.52</w:t>
            </w:r>
          </w:p>
        </w:tc>
        <w:tc>
          <w:tcPr>
            <w:tcW w:w="1054" w:type="dxa"/>
          </w:tcPr>
          <w:p w:rsidR="007C5447" w:rsidRDefault="00F6308C">
            <w:pPr>
              <w:pStyle w:val="TableParagraph"/>
              <w:spacing w:before="46"/>
              <w:ind w:right="126"/>
              <w:rPr>
                <w:sz w:val="18"/>
              </w:rPr>
            </w:pPr>
            <w:r>
              <w:rPr>
                <w:sz w:val="18"/>
              </w:rPr>
              <w:t>126.82</w:t>
            </w:r>
          </w:p>
        </w:tc>
        <w:tc>
          <w:tcPr>
            <w:tcW w:w="1273" w:type="dxa"/>
          </w:tcPr>
          <w:p w:rsidR="007C5447" w:rsidRDefault="00F6308C">
            <w:pPr>
              <w:pStyle w:val="TableParagraph"/>
              <w:spacing w:before="46"/>
              <w:ind w:right="122"/>
              <w:rPr>
                <w:sz w:val="18"/>
              </w:rPr>
            </w:pPr>
            <w:r>
              <w:rPr>
                <w:sz w:val="18"/>
              </w:rPr>
              <w:t>0.03</w:t>
            </w:r>
          </w:p>
        </w:tc>
        <w:tc>
          <w:tcPr>
            <w:tcW w:w="1133" w:type="dxa"/>
          </w:tcPr>
          <w:p w:rsidR="007C5447" w:rsidRDefault="00F6308C">
            <w:pPr>
              <w:pStyle w:val="TableParagraph"/>
              <w:spacing w:before="46"/>
              <w:ind w:right="120"/>
              <w:rPr>
                <w:sz w:val="18"/>
              </w:rPr>
            </w:pPr>
            <w:r>
              <w:rPr>
                <w:w w:val="99"/>
                <w:sz w:val="18"/>
              </w:rPr>
              <w:t>-</w:t>
            </w:r>
          </w:p>
        </w:tc>
        <w:tc>
          <w:tcPr>
            <w:tcW w:w="1308" w:type="dxa"/>
          </w:tcPr>
          <w:p w:rsidR="007C5447" w:rsidRDefault="00F6308C">
            <w:pPr>
              <w:pStyle w:val="TableParagraph"/>
              <w:spacing w:before="46"/>
              <w:ind w:right="114"/>
              <w:rPr>
                <w:sz w:val="18"/>
              </w:rPr>
            </w:pPr>
            <w:r>
              <w:rPr>
                <w:sz w:val="18"/>
              </w:rPr>
              <w:t>(0.03)</w:t>
            </w:r>
          </w:p>
        </w:tc>
        <w:tc>
          <w:tcPr>
            <w:tcW w:w="1237" w:type="dxa"/>
          </w:tcPr>
          <w:p w:rsidR="007C5447" w:rsidRDefault="00F6308C">
            <w:pPr>
              <w:pStyle w:val="TableParagraph"/>
              <w:spacing w:before="46"/>
              <w:ind w:right="116"/>
              <w:rPr>
                <w:sz w:val="18"/>
              </w:rPr>
            </w:pPr>
            <w:r>
              <w:rPr>
                <w:sz w:val="18"/>
              </w:rPr>
              <w:t>36.96</w:t>
            </w:r>
          </w:p>
        </w:tc>
        <w:tc>
          <w:tcPr>
            <w:tcW w:w="1215" w:type="dxa"/>
          </w:tcPr>
          <w:p w:rsidR="007C5447" w:rsidRDefault="00F6308C">
            <w:pPr>
              <w:pStyle w:val="TableParagraph"/>
              <w:spacing w:before="46"/>
              <w:ind w:right="113"/>
              <w:rPr>
                <w:sz w:val="18"/>
              </w:rPr>
            </w:pPr>
            <w:r>
              <w:rPr>
                <w:sz w:val="18"/>
              </w:rPr>
              <w:t>2.87</w:t>
            </w:r>
          </w:p>
        </w:tc>
        <w:tc>
          <w:tcPr>
            <w:tcW w:w="1237" w:type="dxa"/>
          </w:tcPr>
          <w:p w:rsidR="007C5447" w:rsidRDefault="00F6308C">
            <w:pPr>
              <w:pStyle w:val="TableParagraph"/>
              <w:spacing w:before="46"/>
              <w:ind w:right="116"/>
              <w:rPr>
                <w:sz w:val="18"/>
              </w:rPr>
            </w:pPr>
            <w:r>
              <w:rPr>
                <w:sz w:val="18"/>
              </w:rPr>
              <w:t>333.33</w:t>
            </w:r>
          </w:p>
        </w:tc>
        <w:tc>
          <w:tcPr>
            <w:tcW w:w="1331" w:type="dxa"/>
          </w:tcPr>
          <w:p w:rsidR="007C5447" w:rsidRDefault="00F6308C">
            <w:pPr>
              <w:pStyle w:val="TableParagraph"/>
              <w:spacing w:before="46"/>
              <w:ind w:right="111"/>
              <w:rPr>
                <w:sz w:val="18"/>
              </w:rPr>
            </w:pPr>
            <w:r>
              <w:rPr>
                <w:sz w:val="18"/>
              </w:rPr>
              <w:t>333.33</w:t>
            </w:r>
          </w:p>
        </w:tc>
      </w:tr>
      <w:tr w:rsidR="007C5447">
        <w:trPr>
          <w:trHeight w:val="443"/>
        </w:trPr>
        <w:tc>
          <w:tcPr>
            <w:tcW w:w="823" w:type="dxa"/>
          </w:tcPr>
          <w:p w:rsidR="007C5447" w:rsidRDefault="00F6308C">
            <w:pPr>
              <w:pStyle w:val="TableParagraph"/>
              <w:spacing w:before="119"/>
              <w:ind w:left="6"/>
              <w:jc w:val="center"/>
              <w:rPr>
                <w:sz w:val="18"/>
              </w:rPr>
            </w:pPr>
            <w:r>
              <w:rPr>
                <w:sz w:val="18"/>
              </w:rPr>
              <w:t>4</w:t>
            </w:r>
          </w:p>
        </w:tc>
        <w:tc>
          <w:tcPr>
            <w:tcW w:w="1447" w:type="dxa"/>
          </w:tcPr>
          <w:p w:rsidR="007C5447" w:rsidRDefault="00F6308C">
            <w:pPr>
              <w:pStyle w:val="TableParagraph"/>
              <w:spacing w:before="11" w:line="210" w:lineRule="atLeast"/>
              <w:ind w:left="107" w:right="245"/>
              <w:jc w:val="left"/>
              <w:rPr>
                <w:sz w:val="18"/>
              </w:rPr>
            </w:pPr>
            <w:r>
              <w:rPr>
                <w:sz w:val="18"/>
              </w:rPr>
              <w:t>North Chennai TPS</w:t>
            </w:r>
          </w:p>
        </w:tc>
        <w:tc>
          <w:tcPr>
            <w:tcW w:w="1204" w:type="dxa"/>
          </w:tcPr>
          <w:p w:rsidR="007C5447" w:rsidRDefault="00F6308C">
            <w:pPr>
              <w:pStyle w:val="TableParagraph"/>
              <w:spacing w:before="119"/>
              <w:ind w:right="129"/>
              <w:rPr>
                <w:sz w:val="18"/>
              </w:rPr>
            </w:pPr>
            <w:r>
              <w:rPr>
                <w:sz w:val="18"/>
              </w:rPr>
              <w:t>58.22</w:t>
            </w:r>
          </w:p>
        </w:tc>
        <w:tc>
          <w:tcPr>
            <w:tcW w:w="1055" w:type="dxa"/>
          </w:tcPr>
          <w:p w:rsidR="007C5447" w:rsidRDefault="00F6308C">
            <w:pPr>
              <w:pStyle w:val="TableParagraph"/>
              <w:spacing w:before="119"/>
              <w:ind w:right="131"/>
              <w:rPr>
                <w:sz w:val="18"/>
              </w:rPr>
            </w:pPr>
            <w:r>
              <w:rPr>
                <w:sz w:val="18"/>
              </w:rPr>
              <w:t>114.14</w:t>
            </w:r>
          </w:p>
        </w:tc>
        <w:tc>
          <w:tcPr>
            <w:tcW w:w="849" w:type="dxa"/>
          </w:tcPr>
          <w:p w:rsidR="007C5447" w:rsidRDefault="00F6308C">
            <w:pPr>
              <w:pStyle w:val="TableParagraph"/>
              <w:spacing w:before="119"/>
              <w:ind w:right="126"/>
              <w:rPr>
                <w:sz w:val="18"/>
              </w:rPr>
            </w:pPr>
            <w:r>
              <w:rPr>
                <w:w w:val="99"/>
                <w:sz w:val="18"/>
              </w:rPr>
              <w:t>-</w:t>
            </w:r>
          </w:p>
        </w:tc>
        <w:tc>
          <w:tcPr>
            <w:tcW w:w="992" w:type="dxa"/>
          </w:tcPr>
          <w:p w:rsidR="007C5447" w:rsidRDefault="00F6308C">
            <w:pPr>
              <w:pStyle w:val="TableParagraph"/>
              <w:spacing w:before="119"/>
              <w:ind w:right="125"/>
              <w:rPr>
                <w:sz w:val="18"/>
              </w:rPr>
            </w:pPr>
            <w:r>
              <w:rPr>
                <w:sz w:val="18"/>
              </w:rPr>
              <w:t>91.89</w:t>
            </w:r>
          </w:p>
        </w:tc>
        <w:tc>
          <w:tcPr>
            <w:tcW w:w="1054" w:type="dxa"/>
          </w:tcPr>
          <w:p w:rsidR="007C5447" w:rsidRDefault="00F6308C">
            <w:pPr>
              <w:pStyle w:val="TableParagraph"/>
              <w:spacing w:before="119"/>
              <w:ind w:right="126"/>
              <w:rPr>
                <w:sz w:val="18"/>
              </w:rPr>
            </w:pPr>
            <w:r>
              <w:rPr>
                <w:sz w:val="18"/>
              </w:rPr>
              <w:t>129.26</w:t>
            </w:r>
          </w:p>
        </w:tc>
        <w:tc>
          <w:tcPr>
            <w:tcW w:w="1273" w:type="dxa"/>
          </w:tcPr>
          <w:p w:rsidR="007C5447" w:rsidRDefault="00F6308C">
            <w:pPr>
              <w:pStyle w:val="TableParagraph"/>
              <w:spacing w:before="119"/>
              <w:ind w:right="122"/>
              <w:rPr>
                <w:sz w:val="18"/>
              </w:rPr>
            </w:pPr>
            <w:r>
              <w:rPr>
                <w:sz w:val="18"/>
              </w:rPr>
              <w:t>0.07</w:t>
            </w:r>
          </w:p>
        </w:tc>
        <w:tc>
          <w:tcPr>
            <w:tcW w:w="1133" w:type="dxa"/>
          </w:tcPr>
          <w:p w:rsidR="007C5447" w:rsidRDefault="00F6308C">
            <w:pPr>
              <w:pStyle w:val="TableParagraph"/>
              <w:spacing w:before="119"/>
              <w:ind w:right="120"/>
              <w:rPr>
                <w:sz w:val="18"/>
              </w:rPr>
            </w:pPr>
            <w:r>
              <w:rPr>
                <w:w w:val="99"/>
                <w:sz w:val="18"/>
              </w:rPr>
              <w:t>-</w:t>
            </w:r>
          </w:p>
        </w:tc>
        <w:tc>
          <w:tcPr>
            <w:tcW w:w="1308" w:type="dxa"/>
          </w:tcPr>
          <w:p w:rsidR="007C5447" w:rsidRDefault="00F6308C">
            <w:pPr>
              <w:pStyle w:val="TableParagraph"/>
              <w:spacing w:before="119"/>
              <w:ind w:right="117"/>
              <w:rPr>
                <w:sz w:val="18"/>
              </w:rPr>
            </w:pPr>
            <w:r>
              <w:rPr>
                <w:sz w:val="18"/>
              </w:rPr>
              <w:t>0.03</w:t>
            </w:r>
          </w:p>
        </w:tc>
        <w:tc>
          <w:tcPr>
            <w:tcW w:w="1237" w:type="dxa"/>
          </w:tcPr>
          <w:p w:rsidR="007C5447" w:rsidRDefault="00F6308C">
            <w:pPr>
              <w:pStyle w:val="TableParagraph"/>
              <w:spacing w:before="119"/>
              <w:ind w:right="116"/>
              <w:rPr>
                <w:sz w:val="18"/>
              </w:rPr>
            </w:pPr>
            <w:r>
              <w:rPr>
                <w:sz w:val="18"/>
              </w:rPr>
              <w:t>17.41</w:t>
            </w:r>
          </w:p>
        </w:tc>
        <w:tc>
          <w:tcPr>
            <w:tcW w:w="1215" w:type="dxa"/>
          </w:tcPr>
          <w:p w:rsidR="007C5447" w:rsidRDefault="00F6308C">
            <w:pPr>
              <w:pStyle w:val="TableParagraph"/>
              <w:spacing w:before="119"/>
              <w:ind w:right="113"/>
              <w:rPr>
                <w:sz w:val="18"/>
              </w:rPr>
            </w:pPr>
            <w:r>
              <w:rPr>
                <w:sz w:val="18"/>
              </w:rPr>
              <w:t>2.91</w:t>
            </w:r>
          </w:p>
        </w:tc>
        <w:tc>
          <w:tcPr>
            <w:tcW w:w="1237" w:type="dxa"/>
          </w:tcPr>
          <w:p w:rsidR="007C5447" w:rsidRDefault="00F6308C">
            <w:pPr>
              <w:pStyle w:val="TableParagraph"/>
              <w:spacing w:before="119"/>
              <w:ind w:right="116"/>
              <w:rPr>
                <w:sz w:val="18"/>
              </w:rPr>
            </w:pPr>
            <w:r>
              <w:rPr>
                <w:sz w:val="18"/>
              </w:rPr>
              <w:t>379.09</w:t>
            </w:r>
          </w:p>
        </w:tc>
        <w:tc>
          <w:tcPr>
            <w:tcW w:w="1331" w:type="dxa"/>
          </w:tcPr>
          <w:p w:rsidR="007C5447" w:rsidRDefault="00F6308C">
            <w:pPr>
              <w:pStyle w:val="TableParagraph"/>
              <w:spacing w:before="119"/>
              <w:ind w:right="111"/>
              <w:rPr>
                <w:sz w:val="18"/>
              </w:rPr>
            </w:pPr>
            <w:r>
              <w:rPr>
                <w:sz w:val="18"/>
              </w:rPr>
              <w:t>379.09</w:t>
            </w:r>
          </w:p>
        </w:tc>
      </w:tr>
      <w:tr w:rsidR="007C5447">
        <w:trPr>
          <w:trHeight w:val="443"/>
        </w:trPr>
        <w:tc>
          <w:tcPr>
            <w:tcW w:w="823" w:type="dxa"/>
          </w:tcPr>
          <w:p w:rsidR="007C5447" w:rsidRDefault="00F6308C">
            <w:pPr>
              <w:pStyle w:val="TableParagraph"/>
              <w:spacing w:before="119"/>
              <w:ind w:left="6"/>
              <w:jc w:val="center"/>
              <w:rPr>
                <w:sz w:val="18"/>
              </w:rPr>
            </w:pPr>
            <w:r>
              <w:rPr>
                <w:sz w:val="18"/>
              </w:rPr>
              <w:t>5</w:t>
            </w:r>
          </w:p>
        </w:tc>
        <w:tc>
          <w:tcPr>
            <w:tcW w:w="1447" w:type="dxa"/>
          </w:tcPr>
          <w:p w:rsidR="007C5447" w:rsidRDefault="00F6308C">
            <w:pPr>
              <w:pStyle w:val="TableParagraph"/>
              <w:spacing w:before="19" w:line="206" w:lineRule="exact"/>
              <w:ind w:left="107" w:right="370"/>
              <w:jc w:val="left"/>
              <w:rPr>
                <w:sz w:val="18"/>
              </w:rPr>
            </w:pPr>
            <w:r>
              <w:rPr>
                <w:sz w:val="18"/>
              </w:rPr>
              <w:t>Tirumakottai GTPS</w:t>
            </w:r>
          </w:p>
        </w:tc>
        <w:tc>
          <w:tcPr>
            <w:tcW w:w="1204" w:type="dxa"/>
          </w:tcPr>
          <w:p w:rsidR="007C5447" w:rsidRDefault="00F6308C">
            <w:pPr>
              <w:pStyle w:val="TableParagraph"/>
              <w:spacing w:before="119"/>
              <w:ind w:right="129"/>
              <w:rPr>
                <w:sz w:val="18"/>
              </w:rPr>
            </w:pPr>
            <w:r>
              <w:rPr>
                <w:sz w:val="18"/>
              </w:rPr>
              <w:t>14.50</w:t>
            </w:r>
          </w:p>
        </w:tc>
        <w:tc>
          <w:tcPr>
            <w:tcW w:w="1055" w:type="dxa"/>
          </w:tcPr>
          <w:p w:rsidR="007C5447" w:rsidRDefault="00F6308C">
            <w:pPr>
              <w:pStyle w:val="TableParagraph"/>
              <w:spacing w:before="119"/>
              <w:ind w:right="128"/>
              <w:rPr>
                <w:sz w:val="18"/>
              </w:rPr>
            </w:pPr>
            <w:r>
              <w:rPr>
                <w:sz w:val="18"/>
              </w:rPr>
              <w:t>47.39</w:t>
            </w:r>
          </w:p>
        </w:tc>
        <w:tc>
          <w:tcPr>
            <w:tcW w:w="849" w:type="dxa"/>
          </w:tcPr>
          <w:p w:rsidR="007C5447" w:rsidRDefault="00F6308C">
            <w:pPr>
              <w:pStyle w:val="TableParagraph"/>
              <w:spacing w:before="119"/>
              <w:ind w:right="126"/>
              <w:rPr>
                <w:sz w:val="18"/>
              </w:rPr>
            </w:pPr>
            <w:r>
              <w:rPr>
                <w:w w:val="99"/>
                <w:sz w:val="18"/>
              </w:rPr>
              <w:t>-</w:t>
            </w:r>
          </w:p>
        </w:tc>
        <w:tc>
          <w:tcPr>
            <w:tcW w:w="992" w:type="dxa"/>
          </w:tcPr>
          <w:p w:rsidR="007C5447" w:rsidRDefault="00F6308C">
            <w:pPr>
              <w:pStyle w:val="TableParagraph"/>
              <w:spacing w:before="119"/>
              <w:ind w:right="125"/>
              <w:rPr>
                <w:sz w:val="18"/>
              </w:rPr>
            </w:pPr>
            <w:r>
              <w:rPr>
                <w:sz w:val="18"/>
              </w:rPr>
              <w:t>11.09</w:t>
            </w:r>
          </w:p>
        </w:tc>
        <w:tc>
          <w:tcPr>
            <w:tcW w:w="1054" w:type="dxa"/>
          </w:tcPr>
          <w:p w:rsidR="007C5447" w:rsidRDefault="00F6308C">
            <w:pPr>
              <w:pStyle w:val="TableParagraph"/>
              <w:spacing w:before="119"/>
              <w:ind w:right="126"/>
              <w:rPr>
                <w:sz w:val="18"/>
              </w:rPr>
            </w:pPr>
            <w:r>
              <w:rPr>
                <w:sz w:val="18"/>
              </w:rPr>
              <w:t>8.50</w:t>
            </w:r>
          </w:p>
        </w:tc>
        <w:tc>
          <w:tcPr>
            <w:tcW w:w="1273" w:type="dxa"/>
          </w:tcPr>
          <w:p w:rsidR="007C5447" w:rsidRDefault="00F6308C">
            <w:pPr>
              <w:pStyle w:val="TableParagraph"/>
              <w:spacing w:before="119"/>
              <w:ind w:right="122"/>
              <w:rPr>
                <w:sz w:val="18"/>
              </w:rPr>
            </w:pPr>
            <w:r>
              <w:rPr>
                <w:sz w:val="18"/>
              </w:rPr>
              <w:t>0.02</w:t>
            </w:r>
          </w:p>
        </w:tc>
        <w:tc>
          <w:tcPr>
            <w:tcW w:w="1133" w:type="dxa"/>
          </w:tcPr>
          <w:p w:rsidR="007C5447" w:rsidRDefault="00F6308C">
            <w:pPr>
              <w:pStyle w:val="TableParagraph"/>
              <w:spacing w:before="119"/>
              <w:ind w:right="120"/>
              <w:rPr>
                <w:sz w:val="18"/>
              </w:rPr>
            </w:pPr>
            <w:r>
              <w:rPr>
                <w:w w:val="99"/>
                <w:sz w:val="18"/>
              </w:rPr>
              <w:t>-</w:t>
            </w:r>
          </w:p>
        </w:tc>
        <w:tc>
          <w:tcPr>
            <w:tcW w:w="1308" w:type="dxa"/>
          </w:tcPr>
          <w:p w:rsidR="007C5447" w:rsidRDefault="00F6308C">
            <w:pPr>
              <w:pStyle w:val="TableParagraph"/>
              <w:spacing w:before="119"/>
              <w:ind w:right="117"/>
              <w:rPr>
                <w:sz w:val="18"/>
              </w:rPr>
            </w:pPr>
            <w:r>
              <w:rPr>
                <w:sz w:val="18"/>
              </w:rPr>
              <w:t>0.00</w:t>
            </w:r>
          </w:p>
        </w:tc>
        <w:tc>
          <w:tcPr>
            <w:tcW w:w="1237" w:type="dxa"/>
          </w:tcPr>
          <w:p w:rsidR="007C5447" w:rsidRDefault="00F6308C">
            <w:pPr>
              <w:pStyle w:val="TableParagraph"/>
              <w:spacing w:before="119"/>
              <w:ind w:right="116"/>
              <w:rPr>
                <w:sz w:val="18"/>
              </w:rPr>
            </w:pPr>
            <w:r>
              <w:rPr>
                <w:sz w:val="18"/>
              </w:rPr>
              <w:t>1.37</w:t>
            </w:r>
          </w:p>
        </w:tc>
        <w:tc>
          <w:tcPr>
            <w:tcW w:w="1215" w:type="dxa"/>
          </w:tcPr>
          <w:p w:rsidR="007C5447" w:rsidRDefault="00F6308C">
            <w:pPr>
              <w:pStyle w:val="TableParagraph"/>
              <w:spacing w:before="119"/>
              <w:ind w:right="113"/>
              <w:rPr>
                <w:sz w:val="18"/>
              </w:rPr>
            </w:pPr>
            <w:r>
              <w:rPr>
                <w:sz w:val="18"/>
              </w:rPr>
              <w:t>0.18</w:t>
            </w:r>
          </w:p>
        </w:tc>
        <w:tc>
          <w:tcPr>
            <w:tcW w:w="1237" w:type="dxa"/>
          </w:tcPr>
          <w:p w:rsidR="007C5447" w:rsidRDefault="00F6308C">
            <w:pPr>
              <w:pStyle w:val="TableParagraph"/>
              <w:spacing w:before="119"/>
              <w:ind w:right="112"/>
              <w:rPr>
                <w:sz w:val="18"/>
              </w:rPr>
            </w:pPr>
            <w:r>
              <w:rPr>
                <w:sz w:val="18"/>
              </w:rPr>
              <w:t>80.30</w:t>
            </w:r>
          </w:p>
        </w:tc>
        <w:tc>
          <w:tcPr>
            <w:tcW w:w="1331" w:type="dxa"/>
          </w:tcPr>
          <w:p w:rsidR="007C5447" w:rsidRDefault="00F6308C">
            <w:pPr>
              <w:pStyle w:val="TableParagraph"/>
              <w:spacing w:before="119"/>
              <w:ind w:right="111"/>
              <w:rPr>
                <w:sz w:val="18"/>
              </w:rPr>
            </w:pPr>
            <w:r>
              <w:rPr>
                <w:sz w:val="18"/>
              </w:rPr>
              <w:t>80.30</w:t>
            </w:r>
          </w:p>
        </w:tc>
      </w:tr>
      <w:tr w:rsidR="007C5447">
        <w:trPr>
          <w:trHeight w:val="302"/>
        </w:trPr>
        <w:tc>
          <w:tcPr>
            <w:tcW w:w="823" w:type="dxa"/>
          </w:tcPr>
          <w:p w:rsidR="007C5447" w:rsidRDefault="00F6308C">
            <w:pPr>
              <w:pStyle w:val="TableParagraph"/>
              <w:spacing w:before="47"/>
              <w:ind w:left="6"/>
              <w:jc w:val="center"/>
              <w:rPr>
                <w:sz w:val="18"/>
              </w:rPr>
            </w:pPr>
            <w:r>
              <w:rPr>
                <w:sz w:val="18"/>
              </w:rPr>
              <w:t>6</w:t>
            </w:r>
          </w:p>
        </w:tc>
        <w:tc>
          <w:tcPr>
            <w:tcW w:w="1447" w:type="dxa"/>
          </w:tcPr>
          <w:p w:rsidR="007C5447" w:rsidRDefault="00F6308C">
            <w:pPr>
              <w:pStyle w:val="TableParagraph"/>
              <w:spacing w:before="47"/>
              <w:ind w:left="107"/>
              <w:jc w:val="left"/>
              <w:rPr>
                <w:sz w:val="18"/>
              </w:rPr>
            </w:pPr>
            <w:r>
              <w:rPr>
                <w:sz w:val="18"/>
              </w:rPr>
              <w:t>Kuttalam GTPS</w:t>
            </w:r>
          </w:p>
        </w:tc>
        <w:tc>
          <w:tcPr>
            <w:tcW w:w="1204" w:type="dxa"/>
          </w:tcPr>
          <w:p w:rsidR="007C5447" w:rsidRDefault="00F6308C">
            <w:pPr>
              <w:pStyle w:val="TableParagraph"/>
              <w:spacing w:before="47"/>
              <w:ind w:right="129"/>
              <w:rPr>
                <w:sz w:val="18"/>
              </w:rPr>
            </w:pPr>
            <w:r>
              <w:rPr>
                <w:sz w:val="18"/>
              </w:rPr>
              <w:t>10.83</w:t>
            </w:r>
          </w:p>
        </w:tc>
        <w:tc>
          <w:tcPr>
            <w:tcW w:w="1055" w:type="dxa"/>
          </w:tcPr>
          <w:p w:rsidR="007C5447" w:rsidRDefault="00F6308C">
            <w:pPr>
              <w:pStyle w:val="TableParagraph"/>
              <w:spacing w:before="47"/>
              <w:ind w:right="128"/>
              <w:rPr>
                <w:sz w:val="18"/>
              </w:rPr>
            </w:pPr>
            <w:r>
              <w:rPr>
                <w:sz w:val="18"/>
              </w:rPr>
              <w:t>49.59</w:t>
            </w:r>
          </w:p>
        </w:tc>
        <w:tc>
          <w:tcPr>
            <w:tcW w:w="849" w:type="dxa"/>
          </w:tcPr>
          <w:p w:rsidR="007C5447" w:rsidRDefault="00F6308C">
            <w:pPr>
              <w:pStyle w:val="TableParagraph"/>
              <w:spacing w:before="47"/>
              <w:ind w:right="126"/>
              <w:rPr>
                <w:sz w:val="18"/>
              </w:rPr>
            </w:pPr>
            <w:r>
              <w:rPr>
                <w:w w:val="99"/>
                <w:sz w:val="18"/>
              </w:rPr>
              <w:t>-</w:t>
            </w:r>
          </w:p>
        </w:tc>
        <w:tc>
          <w:tcPr>
            <w:tcW w:w="992" w:type="dxa"/>
          </w:tcPr>
          <w:p w:rsidR="007C5447" w:rsidRDefault="00F6308C">
            <w:pPr>
              <w:pStyle w:val="TableParagraph"/>
              <w:spacing w:before="47"/>
              <w:ind w:right="128"/>
              <w:rPr>
                <w:sz w:val="18"/>
              </w:rPr>
            </w:pPr>
            <w:r>
              <w:rPr>
                <w:sz w:val="18"/>
              </w:rPr>
              <w:t>4.26</w:t>
            </w:r>
          </w:p>
        </w:tc>
        <w:tc>
          <w:tcPr>
            <w:tcW w:w="1054" w:type="dxa"/>
          </w:tcPr>
          <w:p w:rsidR="007C5447" w:rsidRDefault="00F6308C">
            <w:pPr>
              <w:pStyle w:val="TableParagraph"/>
              <w:spacing w:before="47"/>
              <w:ind w:right="126"/>
              <w:rPr>
                <w:sz w:val="18"/>
              </w:rPr>
            </w:pPr>
            <w:r>
              <w:rPr>
                <w:sz w:val="18"/>
              </w:rPr>
              <w:t>9.30</w:t>
            </w:r>
          </w:p>
        </w:tc>
        <w:tc>
          <w:tcPr>
            <w:tcW w:w="1273" w:type="dxa"/>
          </w:tcPr>
          <w:p w:rsidR="007C5447" w:rsidRDefault="00F6308C">
            <w:pPr>
              <w:pStyle w:val="TableParagraph"/>
              <w:spacing w:before="47"/>
              <w:ind w:right="122"/>
              <w:rPr>
                <w:sz w:val="18"/>
              </w:rPr>
            </w:pPr>
            <w:r>
              <w:rPr>
                <w:sz w:val="18"/>
              </w:rPr>
              <w:t>0.01</w:t>
            </w:r>
          </w:p>
        </w:tc>
        <w:tc>
          <w:tcPr>
            <w:tcW w:w="1133" w:type="dxa"/>
          </w:tcPr>
          <w:p w:rsidR="007C5447" w:rsidRDefault="00F6308C">
            <w:pPr>
              <w:pStyle w:val="TableParagraph"/>
              <w:spacing w:before="47"/>
              <w:ind w:right="120"/>
              <w:rPr>
                <w:sz w:val="18"/>
              </w:rPr>
            </w:pPr>
            <w:r>
              <w:rPr>
                <w:w w:val="99"/>
                <w:sz w:val="18"/>
              </w:rPr>
              <w:t>-</w:t>
            </w:r>
          </w:p>
        </w:tc>
        <w:tc>
          <w:tcPr>
            <w:tcW w:w="1308" w:type="dxa"/>
          </w:tcPr>
          <w:p w:rsidR="007C5447" w:rsidRDefault="00F6308C">
            <w:pPr>
              <w:pStyle w:val="TableParagraph"/>
              <w:spacing w:before="47"/>
              <w:ind w:right="114"/>
              <w:rPr>
                <w:sz w:val="18"/>
              </w:rPr>
            </w:pPr>
            <w:r>
              <w:rPr>
                <w:sz w:val="18"/>
              </w:rPr>
              <w:t>(0.00)</w:t>
            </w:r>
          </w:p>
        </w:tc>
        <w:tc>
          <w:tcPr>
            <w:tcW w:w="1237" w:type="dxa"/>
          </w:tcPr>
          <w:p w:rsidR="007C5447" w:rsidRDefault="00F6308C">
            <w:pPr>
              <w:pStyle w:val="TableParagraph"/>
              <w:spacing w:before="47"/>
              <w:ind w:right="116"/>
              <w:rPr>
                <w:sz w:val="18"/>
              </w:rPr>
            </w:pPr>
            <w:r>
              <w:rPr>
                <w:sz w:val="18"/>
              </w:rPr>
              <w:t>0.01</w:t>
            </w:r>
          </w:p>
        </w:tc>
        <w:tc>
          <w:tcPr>
            <w:tcW w:w="1215" w:type="dxa"/>
          </w:tcPr>
          <w:p w:rsidR="007C5447" w:rsidRDefault="00F6308C">
            <w:pPr>
              <w:pStyle w:val="TableParagraph"/>
              <w:spacing w:before="47"/>
              <w:ind w:right="113"/>
              <w:rPr>
                <w:sz w:val="18"/>
              </w:rPr>
            </w:pPr>
            <w:r>
              <w:rPr>
                <w:sz w:val="18"/>
              </w:rPr>
              <w:t>0.15</w:t>
            </w:r>
          </w:p>
        </w:tc>
        <w:tc>
          <w:tcPr>
            <w:tcW w:w="1237" w:type="dxa"/>
          </w:tcPr>
          <w:p w:rsidR="007C5447" w:rsidRDefault="00F6308C">
            <w:pPr>
              <w:pStyle w:val="TableParagraph"/>
              <w:spacing w:before="47"/>
              <w:ind w:right="112"/>
              <w:rPr>
                <w:sz w:val="18"/>
              </w:rPr>
            </w:pPr>
            <w:r>
              <w:rPr>
                <w:sz w:val="18"/>
              </w:rPr>
              <w:t>74.11</w:t>
            </w:r>
          </w:p>
        </w:tc>
        <w:tc>
          <w:tcPr>
            <w:tcW w:w="1331" w:type="dxa"/>
          </w:tcPr>
          <w:p w:rsidR="007C5447" w:rsidRDefault="00F6308C">
            <w:pPr>
              <w:pStyle w:val="TableParagraph"/>
              <w:spacing w:before="47"/>
              <w:ind w:right="111"/>
              <w:rPr>
                <w:sz w:val="18"/>
              </w:rPr>
            </w:pPr>
            <w:r>
              <w:rPr>
                <w:sz w:val="18"/>
              </w:rPr>
              <w:t>5.85</w:t>
            </w:r>
          </w:p>
        </w:tc>
      </w:tr>
      <w:tr w:rsidR="007C5447">
        <w:trPr>
          <w:trHeight w:val="443"/>
        </w:trPr>
        <w:tc>
          <w:tcPr>
            <w:tcW w:w="823" w:type="dxa"/>
          </w:tcPr>
          <w:p w:rsidR="007C5447" w:rsidRDefault="00F6308C">
            <w:pPr>
              <w:pStyle w:val="TableParagraph"/>
              <w:spacing w:before="117"/>
              <w:ind w:left="6"/>
              <w:jc w:val="center"/>
              <w:rPr>
                <w:sz w:val="18"/>
              </w:rPr>
            </w:pPr>
            <w:r>
              <w:rPr>
                <w:sz w:val="18"/>
              </w:rPr>
              <w:t>7</w:t>
            </w:r>
          </w:p>
        </w:tc>
        <w:tc>
          <w:tcPr>
            <w:tcW w:w="1447" w:type="dxa"/>
          </w:tcPr>
          <w:p w:rsidR="007C5447" w:rsidRDefault="00F6308C">
            <w:pPr>
              <w:pStyle w:val="TableParagraph"/>
              <w:spacing w:before="17" w:line="206" w:lineRule="exact"/>
              <w:ind w:left="107" w:right="365"/>
              <w:jc w:val="left"/>
              <w:rPr>
                <w:sz w:val="18"/>
              </w:rPr>
            </w:pPr>
            <w:r>
              <w:rPr>
                <w:sz w:val="18"/>
              </w:rPr>
              <w:t>Basin Bridge GTPS</w:t>
            </w:r>
          </w:p>
        </w:tc>
        <w:tc>
          <w:tcPr>
            <w:tcW w:w="1204" w:type="dxa"/>
          </w:tcPr>
          <w:p w:rsidR="007C5447" w:rsidRDefault="00F6308C">
            <w:pPr>
              <w:pStyle w:val="TableParagraph"/>
              <w:spacing w:before="117"/>
              <w:ind w:right="129"/>
              <w:rPr>
                <w:sz w:val="18"/>
              </w:rPr>
            </w:pPr>
            <w:r>
              <w:rPr>
                <w:sz w:val="18"/>
              </w:rPr>
              <w:t>17.91</w:t>
            </w:r>
          </w:p>
        </w:tc>
        <w:tc>
          <w:tcPr>
            <w:tcW w:w="1055" w:type="dxa"/>
          </w:tcPr>
          <w:p w:rsidR="007C5447" w:rsidRDefault="00F6308C">
            <w:pPr>
              <w:pStyle w:val="TableParagraph"/>
              <w:spacing w:before="117"/>
              <w:ind w:right="128"/>
              <w:rPr>
                <w:sz w:val="18"/>
              </w:rPr>
            </w:pPr>
            <w:r>
              <w:rPr>
                <w:sz w:val="18"/>
              </w:rPr>
              <w:t>18.69</w:t>
            </w:r>
          </w:p>
        </w:tc>
        <w:tc>
          <w:tcPr>
            <w:tcW w:w="849" w:type="dxa"/>
          </w:tcPr>
          <w:p w:rsidR="007C5447" w:rsidRDefault="00F6308C">
            <w:pPr>
              <w:pStyle w:val="TableParagraph"/>
              <w:spacing w:before="117"/>
              <w:ind w:right="126"/>
              <w:rPr>
                <w:sz w:val="18"/>
              </w:rPr>
            </w:pPr>
            <w:r>
              <w:rPr>
                <w:w w:val="99"/>
                <w:sz w:val="18"/>
              </w:rPr>
              <w:t>-</w:t>
            </w:r>
          </w:p>
        </w:tc>
        <w:tc>
          <w:tcPr>
            <w:tcW w:w="992" w:type="dxa"/>
          </w:tcPr>
          <w:p w:rsidR="007C5447" w:rsidRDefault="00F6308C">
            <w:pPr>
              <w:pStyle w:val="TableParagraph"/>
              <w:spacing w:before="117"/>
              <w:ind w:right="128"/>
              <w:rPr>
                <w:sz w:val="18"/>
              </w:rPr>
            </w:pPr>
            <w:r>
              <w:rPr>
                <w:sz w:val="18"/>
              </w:rPr>
              <w:t>2.58</w:t>
            </w:r>
          </w:p>
        </w:tc>
        <w:tc>
          <w:tcPr>
            <w:tcW w:w="1054" w:type="dxa"/>
          </w:tcPr>
          <w:p w:rsidR="007C5447" w:rsidRDefault="00F6308C">
            <w:pPr>
              <w:pStyle w:val="TableParagraph"/>
              <w:spacing w:before="117"/>
              <w:ind w:right="126"/>
              <w:rPr>
                <w:sz w:val="18"/>
              </w:rPr>
            </w:pPr>
            <w:r>
              <w:rPr>
                <w:sz w:val="18"/>
              </w:rPr>
              <w:t>6.39</w:t>
            </w:r>
          </w:p>
        </w:tc>
        <w:tc>
          <w:tcPr>
            <w:tcW w:w="1273" w:type="dxa"/>
          </w:tcPr>
          <w:p w:rsidR="007C5447" w:rsidRDefault="00F6308C">
            <w:pPr>
              <w:pStyle w:val="TableParagraph"/>
              <w:spacing w:before="117"/>
              <w:ind w:right="122"/>
              <w:rPr>
                <w:sz w:val="18"/>
              </w:rPr>
            </w:pPr>
            <w:r>
              <w:rPr>
                <w:sz w:val="18"/>
              </w:rPr>
              <w:t>0.02</w:t>
            </w:r>
          </w:p>
        </w:tc>
        <w:tc>
          <w:tcPr>
            <w:tcW w:w="1133" w:type="dxa"/>
          </w:tcPr>
          <w:p w:rsidR="007C5447" w:rsidRDefault="00F6308C">
            <w:pPr>
              <w:pStyle w:val="TableParagraph"/>
              <w:spacing w:before="117"/>
              <w:ind w:right="120"/>
              <w:rPr>
                <w:sz w:val="18"/>
              </w:rPr>
            </w:pPr>
            <w:r>
              <w:rPr>
                <w:w w:val="99"/>
                <w:sz w:val="18"/>
              </w:rPr>
              <w:t>-</w:t>
            </w:r>
          </w:p>
        </w:tc>
        <w:tc>
          <w:tcPr>
            <w:tcW w:w="1308" w:type="dxa"/>
          </w:tcPr>
          <w:p w:rsidR="007C5447" w:rsidRDefault="00F6308C">
            <w:pPr>
              <w:pStyle w:val="TableParagraph"/>
              <w:spacing w:before="117"/>
              <w:ind w:right="117"/>
              <w:rPr>
                <w:sz w:val="18"/>
              </w:rPr>
            </w:pPr>
            <w:r>
              <w:rPr>
                <w:sz w:val="18"/>
              </w:rPr>
              <w:t>0.01</w:t>
            </w:r>
          </w:p>
        </w:tc>
        <w:tc>
          <w:tcPr>
            <w:tcW w:w="1237" w:type="dxa"/>
          </w:tcPr>
          <w:p w:rsidR="007C5447" w:rsidRDefault="00F6308C">
            <w:pPr>
              <w:pStyle w:val="TableParagraph"/>
              <w:spacing w:before="117"/>
              <w:ind w:right="116"/>
              <w:rPr>
                <w:sz w:val="18"/>
              </w:rPr>
            </w:pPr>
            <w:r>
              <w:rPr>
                <w:sz w:val="18"/>
              </w:rPr>
              <w:t>0.17</w:t>
            </w:r>
          </w:p>
        </w:tc>
        <w:tc>
          <w:tcPr>
            <w:tcW w:w="1215" w:type="dxa"/>
          </w:tcPr>
          <w:p w:rsidR="007C5447" w:rsidRDefault="00F6308C">
            <w:pPr>
              <w:pStyle w:val="TableParagraph"/>
              <w:spacing w:before="117"/>
              <w:ind w:right="113"/>
              <w:rPr>
                <w:sz w:val="18"/>
              </w:rPr>
            </w:pPr>
            <w:r>
              <w:rPr>
                <w:sz w:val="18"/>
              </w:rPr>
              <w:t>0.15</w:t>
            </w:r>
          </w:p>
        </w:tc>
        <w:tc>
          <w:tcPr>
            <w:tcW w:w="1237" w:type="dxa"/>
          </w:tcPr>
          <w:p w:rsidR="007C5447" w:rsidRDefault="00F6308C">
            <w:pPr>
              <w:pStyle w:val="TableParagraph"/>
              <w:spacing w:before="117"/>
              <w:ind w:right="112"/>
              <w:rPr>
                <w:sz w:val="18"/>
              </w:rPr>
            </w:pPr>
            <w:r>
              <w:rPr>
                <w:sz w:val="18"/>
              </w:rPr>
              <w:t>45.58</w:t>
            </w:r>
          </w:p>
        </w:tc>
        <w:tc>
          <w:tcPr>
            <w:tcW w:w="1331" w:type="dxa"/>
          </w:tcPr>
          <w:p w:rsidR="007C5447" w:rsidRDefault="00F6308C">
            <w:pPr>
              <w:pStyle w:val="TableParagraph"/>
              <w:spacing w:before="117"/>
              <w:ind w:right="111"/>
              <w:rPr>
                <w:sz w:val="18"/>
              </w:rPr>
            </w:pPr>
            <w:r>
              <w:rPr>
                <w:sz w:val="18"/>
              </w:rPr>
              <w:t>45.58</w:t>
            </w:r>
          </w:p>
        </w:tc>
      </w:tr>
      <w:tr w:rsidR="007C5447">
        <w:trPr>
          <w:trHeight w:val="299"/>
        </w:trPr>
        <w:tc>
          <w:tcPr>
            <w:tcW w:w="823" w:type="dxa"/>
          </w:tcPr>
          <w:p w:rsidR="007C5447" w:rsidRDefault="00F6308C">
            <w:pPr>
              <w:pStyle w:val="TableParagraph"/>
              <w:spacing w:before="45"/>
              <w:ind w:left="6"/>
              <w:jc w:val="center"/>
              <w:rPr>
                <w:sz w:val="18"/>
              </w:rPr>
            </w:pPr>
            <w:r>
              <w:rPr>
                <w:sz w:val="18"/>
              </w:rPr>
              <w:t>8</w:t>
            </w:r>
          </w:p>
        </w:tc>
        <w:tc>
          <w:tcPr>
            <w:tcW w:w="1447" w:type="dxa"/>
          </w:tcPr>
          <w:p w:rsidR="007C5447" w:rsidRDefault="00F6308C">
            <w:pPr>
              <w:pStyle w:val="TableParagraph"/>
              <w:spacing w:before="45"/>
              <w:ind w:left="107"/>
              <w:jc w:val="left"/>
              <w:rPr>
                <w:sz w:val="18"/>
              </w:rPr>
            </w:pPr>
            <w:r>
              <w:rPr>
                <w:sz w:val="18"/>
              </w:rPr>
              <w:t>Valuthur Unit</w:t>
            </w:r>
          </w:p>
        </w:tc>
        <w:tc>
          <w:tcPr>
            <w:tcW w:w="1204" w:type="dxa"/>
          </w:tcPr>
          <w:p w:rsidR="007C5447" w:rsidRDefault="00F6308C">
            <w:pPr>
              <w:pStyle w:val="TableParagraph"/>
              <w:spacing w:before="45"/>
              <w:ind w:right="129"/>
              <w:rPr>
                <w:sz w:val="18"/>
              </w:rPr>
            </w:pPr>
            <w:r>
              <w:rPr>
                <w:sz w:val="18"/>
              </w:rPr>
              <w:t>18.09</w:t>
            </w:r>
          </w:p>
        </w:tc>
        <w:tc>
          <w:tcPr>
            <w:tcW w:w="1055" w:type="dxa"/>
          </w:tcPr>
          <w:p w:rsidR="007C5447" w:rsidRDefault="00F6308C">
            <w:pPr>
              <w:pStyle w:val="TableParagraph"/>
              <w:spacing w:before="45"/>
              <w:ind w:right="131"/>
              <w:rPr>
                <w:sz w:val="18"/>
              </w:rPr>
            </w:pPr>
            <w:r>
              <w:rPr>
                <w:sz w:val="18"/>
              </w:rPr>
              <w:t>108.36</w:t>
            </w:r>
          </w:p>
        </w:tc>
        <w:tc>
          <w:tcPr>
            <w:tcW w:w="849" w:type="dxa"/>
          </w:tcPr>
          <w:p w:rsidR="007C5447" w:rsidRDefault="00F6308C">
            <w:pPr>
              <w:pStyle w:val="TableParagraph"/>
              <w:spacing w:before="45"/>
              <w:ind w:right="126"/>
              <w:rPr>
                <w:sz w:val="18"/>
              </w:rPr>
            </w:pPr>
            <w:r>
              <w:rPr>
                <w:w w:val="99"/>
                <w:sz w:val="18"/>
              </w:rPr>
              <w:t>-</w:t>
            </w:r>
          </w:p>
        </w:tc>
        <w:tc>
          <w:tcPr>
            <w:tcW w:w="992" w:type="dxa"/>
          </w:tcPr>
          <w:p w:rsidR="007C5447" w:rsidRDefault="00F6308C">
            <w:pPr>
              <w:pStyle w:val="TableParagraph"/>
              <w:spacing w:before="45"/>
              <w:ind w:right="125"/>
              <w:rPr>
                <w:sz w:val="18"/>
              </w:rPr>
            </w:pPr>
            <w:r>
              <w:rPr>
                <w:sz w:val="18"/>
              </w:rPr>
              <w:t>15.65</w:t>
            </w:r>
          </w:p>
        </w:tc>
        <w:tc>
          <w:tcPr>
            <w:tcW w:w="1054" w:type="dxa"/>
          </w:tcPr>
          <w:p w:rsidR="007C5447" w:rsidRDefault="00F6308C">
            <w:pPr>
              <w:pStyle w:val="TableParagraph"/>
              <w:spacing w:before="45"/>
              <w:ind w:right="123"/>
              <w:rPr>
                <w:sz w:val="18"/>
              </w:rPr>
            </w:pPr>
            <w:r>
              <w:rPr>
                <w:sz w:val="18"/>
              </w:rPr>
              <w:t>15.06</w:t>
            </w:r>
          </w:p>
        </w:tc>
        <w:tc>
          <w:tcPr>
            <w:tcW w:w="1273" w:type="dxa"/>
          </w:tcPr>
          <w:p w:rsidR="007C5447" w:rsidRDefault="00F6308C">
            <w:pPr>
              <w:pStyle w:val="TableParagraph"/>
              <w:spacing w:before="45"/>
              <w:ind w:right="122"/>
              <w:rPr>
                <w:sz w:val="18"/>
              </w:rPr>
            </w:pPr>
            <w:r>
              <w:rPr>
                <w:sz w:val="18"/>
              </w:rPr>
              <w:t>0.03</w:t>
            </w:r>
          </w:p>
        </w:tc>
        <w:tc>
          <w:tcPr>
            <w:tcW w:w="1133" w:type="dxa"/>
          </w:tcPr>
          <w:p w:rsidR="007C5447" w:rsidRDefault="00F6308C">
            <w:pPr>
              <w:pStyle w:val="TableParagraph"/>
              <w:spacing w:before="45"/>
              <w:ind w:right="120"/>
              <w:rPr>
                <w:sz w:val="18"/>
              </w:rPr>
            </w:pPr>
            <w:r>
              <w:rPr>
                <w:w w:val="99"/>
                <w:sz w:val="18"/>
              </w:rPr>
              <w:t>-</w:t>
            </w:r>
          </w:p>
        </w:tc>
        <w:tc>
          <w:tcPr>
            <w:tcW w:w="1308" w:type="dxa"/>
          </w:tcPr>
          <w:p w:rsidR="007C5447" w:rsidRDefault="00F6308C">
            <w:pPr>
              <w:pStyle w:val="TableParagraph"/>
              <w:spacing w:before="45"/>
              <w:ind w:right="114"/>
              <w:rPr>
                <w:sz w:val="18"/>
              </w:rPr>
            </w:pPr>
            <w:r>
              <w:rPr>
                <w:sz w:val="18"/>
              </w:rPr>
              <w:t>(0.01)</w:t>
            </w:r>
          </w:p>
        </w:tc>
        <w:tc>
          <w:tcPr>
            <w:tcW w:w="1237" w:type="dxa"/>
          </w:tcPr>
          <w:p w:rsidR="007C5447" w:rsidRDefault="00F6308C">
            <w:pPr>
              <w:pStyle w:val="TableParagraph"/>
              <w:spacing w:before="45"/>
              <w:ind w:right="116"/>
              <w:rPr>
                <w:sz w:val="18"/>
              </w:rPr>
            </w:pPr>
            <w:r>
              <w:rPr>
                <w:sz w:val="18"/>
              </w:rPr>
              <w:t>0.04</w:t>
            </w:r>
          </w:p>
        </w:tc>
        <w:tc>
          <w:tcPr>
            <w:tcW w:w="1215" w:type="dxa"/>
          </w:tcPr>
          <w:p w:rsidR="007C5447" w:rsidRDefault="00F6308C">
            <w:pPr>
              <w:pStyle w:val="TableParagraph"/>
              <w:spacing w:before="45"/>
              <w:ind w:right="113"/>
              <w:rPr>
                <w:sz w:val="18"/>
              </w:rPr>
            </w:pPr>
            <w:r>
              <w:rPr>
                <w:sz w:val="18"/>
              </w:rPr>
              <w:t>0.21</w:t>
            </w:r>
          </w:p>
        </w:tc>
        <w:tc>
          <w:tcPr>
            <w:tcW w:w="1237" w:type="dxa"/>
          </w:tcPr>
          <w:p w:rsidR="007C5447" w:rsidRDefault="00F6308C">
            <w:pPr>
              <w:pStyle w:val="TableParagraph"/>
              <w:spacing w:before="45"/>
              <w:ind w:right="116"/>
              <w:rPr>
                <w:sz w:val="18"/>
              </w:rPr>
            </w:pPr>
            <w:r>
              <w:rPr>
                <w:sz w:val="18"/>
              </w:rPr>
              <w:t>157.35</w:t>
            </w:r>
          </w:p>
        </w:tc>
        <w:tc>
          <w:tcPr>
            <w:tcW w:w="1331" w:type="dxa"/>
          </w:tcPr>
          <w:p w:rsidR="007C5447" w:rsidRDefault="00F6308C">
            <w:pPr>
              <w:pStyle w:val="TableParagraph"/>
              <w:spacing w:before="45"/>
              <w:ind w:right="111"/>
              <w:rPr>
                <w:sz w:val="18"/>
              </w:rPr>
            </w:pPr>
            <w:r>
              <w:rPr>
                <w:sz w:val="18"/>
              </w:rPr>
              <w:t>135.52</w:t>
            </w:r>
          </w:p>
        </w:tc>
      </w:tr>
      <w:tr w:rsidR="007C5447">
        <w:trPr>
          <w:trHeight w:val="299"/>
        </w:trPr>
        <w:tc>
          <w:tcPr>
            <w:tcW w:w="823" w:type="dxa"/>
          </w:tcPr>
          <w:p w:rsidR="007C5447" w:rsidRDefault="00F6308C">
            <w:pPr>
              <w:pStyle w:val="TableParagraph"/>
              <w:spacing w:before="45"/>
              <w:ind w:left="6"/>
              <w:jc w:val="center"/>
              <w:rPr>
                <w:sz w:val="18"/>
              </w:rPr>
            </w:pPr>
            <w:r>
              <w:rPr>
                <w:sz w:val="18"/>
              </w:rPr>
              <w:t>9</w:t>
            </w:r>
          </w:p>
        </w:tc>
        <w:tc>
          <w:tcPr>
            <w:tcW w:w="1447" w:type="dxa"/>
          </w:tcPr>
          <w:p w:rsidR="007C5447" w:rsidRDefault="00F6308C">
            <w:pPr>
              <w:pStyle w:val="TableParagraph"/>
              <w:spacing w:before="45"/>
              <w:ind w:left="107"/>
              <w:jc w:val="left"/>
              <w:rPr>
                <w:sz w:val="18"/>
              </w:rPr>
            </w:pPr>
            <w:r>
              <w:rPr>
                <w:sz w:val="18"/>
              </w:rPr>
              <w:t>Erode HEP</w:t>
            </w:r>
          </w:p>
        </w:tc>
        <w:tc>
          <w:tcPr>
            <w:tcW w:w="1204" w:type="dxa"/>
          </w:tcPr>
          <w:p w:rsidR="007C5447" w:rsidRDefault="00F6308C">
            <w:pPr>
              <w:pStyle w:val="TableParagraph"/>
              <w:spacing w:before="45"/>
              <w:ind w:right="129"/>
              <w:rPr>
                <w:sz w:val="18"/>
              </w:rPr>
            </w:pPr>
            <w:r>
              <w:rPr>
                <w:sz w:val="18"/>
              </w:rPr>
              <w:t>19.78</w:t>
            </w:r>
          </w:p>
        </w:tc>
        <w:tc>
          <w:tcPr>
            <w:tcW w:w="1055" w:type="dxa"/>
          </w:tcPr>
          <w:p w:rsidR="007C5447" w:rsidRDefault="00F6308C">
            <w:pPr>
              <w:pStyle w:val="TableParagraph"/>
              <w:spacing w:before="45"/>
              <w:ind w:right="128"/>
              <w:rPr>
                <w:sz w:val="18"/>
              </w:rPr>
            </w:pPr>
            <w:r>
              <w:rPr>
                <w:sz w:val="18"/>
              </w:rPr>
              <w:t>84.55</w:t>
            </w:r>
          </w:p>
        </w:tc>
        <w:tc>
          <w:tcPr>
            <w:tcW w:w="849" w:type="dxa"/>
          </w:tcPr>
          <w:p w:rsidR="007C5447" w:rsidRDefault="00F6308C">
            <w:pPr>
              <w:pStyle w:val="TableParagraph"/>
              <w:spacing w:before="45"/>
              <w:ind w:right="126"/>
              <w:rPr>
                <w:sz w:val="18"/>
              </w:rPr>
            </w:pPr>
            <w:r>
              <w:rPr>
                <w:w w:val="99"/>
                <w:sz w:val="18"/>
              </w:rPr>
              <w:t>-</w:t>
            </w:r>
          </w:p>
        </w:tc>
        <w:tc>
          <w:tcPr>
            <w:tcW w:w="992" w:type="dxa"/>
          </w:tcPr>
          <w:p w:rsidR="007C5447" w:rsidRDefault="00F6308C">
            <w:pPr>
              <w:pStyle w:val="TableParagraph"/>
              <w:spacing w:before="45"/>
              <w:ind w:right="128"/>
              <w:rPr>
                <w:sz w:val="18"/>
              </w:rPr>
            </w:pPr>
            <w:r>
              <w:rPr>
                <w:sz w:val="18"/>
              </w:rPr>
              <w:t>6.22</w:t>
            </w:r>
          </w:p>
        </w:tc>
        <w:tc>
          <w:tcPr>
            <w:tcW w:w="1054" w:type="dxa"/>
          </w:tcPr>
          <w:p w:rsidR="007C5447" w:rsidRDefault="00F6308C">
            <w:pPr>
              <w:pStyle w:val="TableParagraph"/>
              <w:spacing w:before="45"/>
              <w:ind w:right="123"/>
              <w:rPr>
                <w:sz w:val="18"/>
              </w:rPr>
            </w:pPr>
            <w:r>
              <w:rPr>
                <w:sz w:val="18"/>
              </w:rPr>
              <w:t>35.07</w:t>
            </w:r>
          </w:p>
        </w:tc>
        <w:tc>
          <w:tcPr>
            <w:tcW w:w="1273" w:type="dxa"/>
          </w:tcPr>
          <w:p w:rsidR="007C5447" w:rsidRDefault="00F6308C">
            <w:pPr>
              <w:pStyle w:val="TableParagraph"/>
              <w:spacing w:before="45"/>
              <w:ind w:right="122"/>
              <w:rPr>
                <w:sz w:val="18"/>
              </w:rPr>
            </w:pPr>
            <w:r>
              <w:rPr>
                <w:sz w:val="18"/>
              </w:rPr>
              <w:t>0.02</w:t>
            </w:r>
          </w:p>
        </w:tc>
        <w:tc>
          <w:tcPr>
            <w:tcW w:w="1133" w:type="dxa"/>
          </w:tcPr>
          <w:p w:rsidR="007C5447" w:rsidRDefault="00F6308C">
            <w:pPr>
              <w:pStyle w:val="TableParagraph"/>
              <w:spacing w:before="45"/>
              <w:ind w:right="120"/>
              <w:rPr>
                <w:sz w:val="18"/>
              </w:rPr>
            </w:pPr>
            <w:r>
              <w:rPr>
                <w:w w:val="99"/>
                <w:sz w:val="18"/>
              </w:rPr>
              <w:t>-</w:t>
            </w:r>
          </w:p>
        </w:tc>
        <w:tc>
          <w:tcPr>
            <w:tcW w:w="1308" w:type="dxa"/>
          </w:tcPr>
          <w:p w:rsidR="007C5447" w:rsidRDefault="00F6308C">
            <w:pPr>
              <w:pStyle w:val="TableParagraph"/>
              <w:spacing w:before="45"/>
              <w:ind w:right="117"/>
              <w:rPr>
                <w:sz w:val="18"/>
              </w:rPr>
            </w:pPr>
            <w:r>
              <w:rPr>
                <w:sz w:val="18"/>
              </w:rPr>
              <w:t>0.00</w:t>
            </w:r>
          </w:p>
        </w:tc>
        <w:tc>
          <w:tcPr>
            <w:tcW w:w="1237" w:type="dxa"/>
          </w:tcPr>
          <w:p w:rsidR="007C5447" w:rsidRDefault="00F6308C">
            <w:pPr>
              <w:pStyle w:val="TableParagraph"/>
              <w:spacing w:before="45"/>
              <w:ind w:right="116"/>
              <w:rPr>
                <w:sz w:val="18"/>
              </w:rPr>
            </w:pPr>
            <w:r>
              <w:rPr>
                <w:sz w:val="18"/>
              </w:rPr>
              <w:t>0.23</w:t>
            </w:r>
          </w:p>
        </w:tc>
        <w:tc>
          <w:tcPr>
            <w:tcW w:w="1215" w:type="dxa"/>
          </w:tcPr>
          <w:p w:rsidR="007C5447" w:rsidRDefault="00F6308C">
            <w:pPr>
              <w:pStyle w:val="TableParagraph"/>
              <w:spacing w:before="45"/>
              <w:ind w:right="113"/>
              <w:rPr>
                <w:sz w:val="18"/>
              </w:rPr>
            </w:pPr>
            <w:r>
              <w:rPr>
                <w:sz w:val="18"/>
              </w:rPr>
              <w:t>0.78</w:t>
            </w:r>
          </w:p>
        </w:tc>
        <w:tc>
          <w:tcPr>
            <w:tcW w:w="1237" w:type="dxa"/>
          </w:tcPr>
          <w:p w:rsidR="007C5447" w:rsidRDefault="00F6308C">
            <w:pPr>
              <w:pStyle w:val="TableParagraph"/>
              <w:spacing w:before="45"/>
              <w:ind w:right="116"/>
              <w:rPr>
                <w:sz w:val="18"/>
              </w:rPr>
            </w:pPr>
            <w:r>
              <w:rPr>
                <w:sz w:val="18"/>
              </w:rPr>
              <w:t>146.20</w:t>
            </w:r>
          </w:p>
        </w:tc>
        <w:tc>
          <w:tcPr>
            <w:tcW w:w="1331" w:type="dxa"/>
          </w:tcPr>
          <w:p w:rsidR="007C5447" w:rsidRDefault="00F6308C">
            <w:pPr>
              <w:pStyle w:val="TableParagraph"/>
              <w:spacing w:before="45"/>
              <w:ind w:right="115"/>
              <w:rPr>
                <w:sz w:val="18"/>
              </w:rPr>
            </w:pPr>
            <w:r>
              <w:rPr>
                <w:sz w:val="18"/>
              </w:rPr>
              <w:t>146.20</w:t>
            </w:r>
          </w:p>
        </w:tc>
      </w:tr>
      <w:tr w:rsidR="007C5447">
        <w:trPr>
          <w:trHeight w:val="444"/>
        </w:trPr>
        <w:tc>
          <w:tcPr>
            <w:tcW w:w="823" w:type="dxa"/>
          </w:tcPr>
          <w:p w:rsidR="007C5447" w:rsidRDefault="00F6308C">
            <w:pPr>
              <w:pStyle w:val="TableParagraph"/>
              <w:spacing w:before="120"/>
              <w:ind w:left="291" w:right="284"/>
              <w:jc w:val="center"/>
              <w:rPr>
                <w:sz w:val="18"/>
              </w:rPr>
            </w:pPr>
            <w:r>
              <w:rPr>
                <w:sz w:val="18"/>
              </w:rPr>
              <w:t>10</w:t>
            </w:r>
          </w:p>
        </w:tc>
        <w:tc>
          <w:tcPr>
            <w:tcW w:w="1447" w:type="dxa"/>
          </w:tcPr>
          <w:p w:rsidR="007C5447" w:rsidRDefault="00F6308C">
            <w:pPr>
              <w:pStyle w:val="TableParagraph"/>
              <w:spacing w:before="11" w:line="210" w:lineRule="atLeast"/>
              <w:ind w:left="107" w:right="430"/>
              <w:jc w:val="left"/>
              <w:rPr>
                <w:sz w:val="18"/>
              </w:rPr>
            </w:pPr>
            <w:r>
              <w:rPr>
                <w:sz w:val="18"/>
              </w:rPr>
              <w:t>Kadamparai HEP</w:t>
            </w:r>
          </w:p>
        </w:tc>
        <w:tc>
          <w:tcPr>
            <w:tcW w:w="1204" w:type="dxa"/>
          </w:tcPr>
          <w:p w:rsidR="007C5447" w:rsidRDefault="00F6308C">
            <w:pPr>
              <w:pStyle w:val="TableParagraph"/>
              <w:spacing w:before="120"/>
              <w:ind w:right="132"/>
              <w:rPr>
                <w:sz w:val="18"/>
              </w:rPr>
            </w:pPr>
            <w:r>
              <w:rPr>
                <w:sz w:val="18"/>
              </w:rPr>
              <w:t>9.89</w:t>
            </w:r>
          </w:p>
        </w:tc>
        <w:tc>
          <w:tcPr>
            <w:tcW w:w="1055" w:type="dxa"/>
          </w:tcPr>
          <w:p w:rsidR="007C5447" w:rsidRDefault="00F6308C">
            <w:pPr>
              <w:pStyle w:val="TableParagraph"/>
              <w:spacing w:before="120"/>
              <w:ind w:right="128"/>
              <w:rPr>
                <w:sz w:val="18"/>
              </w:rPr>
            </w:pPr>
            <w:r>
              <w:rPr>
                <w:sz w:val="18"/>
              </w:rPr>
              <w:t>36.12</w:t>
            </w:r>
          </w:p>
        </w:tc>
        <w:tc>
          <w:tcPr>
            <w:tcW w:w="849" w:type="dxa"/>
          </w:tcPr>
          <w:p w:rsidR="007C5447" w:rsidRDefault="00F6308C">
            <w:pPr>
              <w:pStyle w:val="TableParagraph"/>
              <w:spacing w:before="120"/>
              <w:ind w:right="126"/>
              <w:rPr>
                <w:sz w:val="18"/>
              </w:rPr>
            </w:pPr>
            <w:r>
              <w:rPr>
                <w:w w:val="99"/>
                <w:sz w:val="18"/>
              </w:rPr>
              <w:t>-</w:t>
            </w:r>
          </w:p>
        </w:tc>
        <w:tc>
          <w:tcPr>
            <w:tcW w:w="992" w:type="dxa"/>
          </w:tcPr>
          <w:p w:rsidR="007C5447" w:rsidRDefault="00F6308C">
            <w:pPr>
              <w:pStyle w:val="TableParagraph"/>
              <w:spacing w:before="120"/>
              <w:ind w:right="128"/>
              <w:rPr>
                <w:sz w:val="18"/>
              </w:rPr>
            </w:pPr>
            <w:r>
              <w:rPr>
                <w:sz w:val="18"/>
              </w:rPr>
              <w:t>3.15</w:t>
            </w:r>
          </w:p>
        </w:tc>
        <w:tc>
          <w:tcPr>
            <w:tcW w:w="1054" w:type="dxa"/>
          </w:tcPr>
          <w:p w:rsidR="007C5447" w:rsidRDefault="00F6308C">
            <w:pPr>
              <w:pStyle w:val="TableParagraph"/>
              <w:spacing w:before="120"/>
              <w:ind w:right="123"/>
              <w:rPr>
                <w:sz w:val="18"/>
              </w:rPr>
            </w:pPr>
            <w:r>
              <w:rPr>
                <w:sz w:val="18"/>
              </w:rPr>
              <w:t>21.72</w:t>
            </w:r>
          </w:p>
        </w:tc>
        <w:tc>
          <w:tcPr>
            <w:tcW w:w="1273" w:type="dxa"/>
          </w:tcPr>
          <w:p w:rsidR="007C5447" w:rsidRDefault="00F6308C">
            <w:pPr>
              <w:pStyle w:val="TableParagraph"/>
              <w:spacing w:before="120"/>
              <w:ind w:right="122"/>
              <w:rPr>
                <w:sz w:val="18"/>
              </w:rPr>
            </w:pPr>
            <w:r>
              <w:rPr>
                <w:sz w:val="18"/>
              </w:rPr>
              <w:t>0.02</w:t>
            </w:r>
          </w:p>
        </w:tc>
        <w:tc>
          <w:tcPr>
            <w:tcW w:w="1133" w:type="dxa"/>
          </w:tcPr>
          <w:p w:rsidR="007C5447" w:rsidRDefault="00F6308C">
            <w:pPr>
              <w:pStyle w:val="TableParagraph"/>
              <w:spacing w:before="120"/>
              <w:ind w:right="120"/>
              <w:rPr>
                <w:sz w:val="18"/>
              </w:rPr>
            </w:pPr>
            <w:r>
              <w:rPr>
                <w:w w:val="99"/>
                <w:sz w:val="18"/>
              </w:rPr>
              <w:t>-</w:t>
            </w:r>
          </w:p>
        </w:tc>
        <w:tc>
          <w:tcPr>
            <w:tcW w:w="1308" w:type="dxa"/>
          </w:tcPr>
          <w:p w:rsidR="007C5447" w:rsidRDefault="00F6308C">
            <w:pPr>
              <w:pStyle w:val="TableParagraph"/>
              <w:spacing w:before="120"/>
              <w:ind w:right="114"/>
              <w:rPr>
                <w:sz w:val="18"/>
              </w:rPr>
            </w:pPr>
            <w:r>
              <w:rPr>
                <w:sz w:val="18"/>
              </w:rPr>
              <w:t>(0.02)</w:t>
            </w:r>
          </w:p>
        </w:tc>
        <w:tc>
          <w:tcPr>
            <w:tcW w:w="1237" w:type="dxa"/>
          </w:tcPr>
          <w:p w:rsidR="007C5447" w:rsidRDefault="00F6308C">
            <w:pPr>
              <w:pStyle w:val="TableParagraph"/>
              <w:spacing w:before="120"/>
              <w:ind w:right="116"/>
              <w:rPr>
                <w:sz w:val="18"/>
              </w:rPr>
            </w:pPr>
            <w:r>
              <w:rPr>
                <w:sz w:val="18"/>
              </w:rPr>
              <w:t>0.26</w:t>
            </w:r>
          </w:p>
        </w:tc>
        <w:tc>
          <w:tcPr>
            <w:tcW w:w="1215" w:type="dxa"/>
          </w:tcPr>
          <w:p w:rsidR="007C5447" w:rsidRDefault="00F6308C">
            <w:pPr>
              <w:pStyle w:val="TableParagraph"/>
              <w:spacing w:before="120"/>
              <w:ind w:right="113"/>
              <w:rPr>
                <w:sz w:val="18"/>
              </w:rPr>
            </w:pPr>
            <w:r>
              <w:rPr>
                <w:sz w:val="18"/>
              </w:rPr>
              <w:t>0.58</w:t>
            </w:r>
          </w:p>
        </w:tc>
        <w:tc>
          <w:tcPr>
            <w:tcW w:w="1237" w:type="dxa"/>
          </w:tcPr>
          <w:p w:rsidR="007C5447" w:rsidRDefault="00F6308C">
            <w:pPr>
              <w:pStyle w:val="TableParagraph"/>
              <w:spacing w:before="120"/>
              <w:ind w:right="112"/>
              <w:rPr>
                <w:sz w:val="18"/>
              </w:rPr>
            </w:pPr>
            <w:r>
              <w:rPr>
                <w:sz w:val="18"/>
              </w:rPr>
              <w:t>71.19</w:t>
            </w:r>
          </w:p>
        </w:tc>
        <w:tc>
          <w:tcPr>
            <w:tcW w:w="1331" w:type="dxa"/>
          </w:tcPr>
          <w:p w:rsidR="007C5447" w:rsidRDefault="00F6308C">
            <w:pPr>
              <w:pStyle w:val="TableParagraph"/>
              <w:spacing w:before="120"/>
              <w:ind w:right="111"/>
              <w:rPr>
                <w:sz w:val="18"/>
              </w:rPr>
            </w:pPr>
            <w:r>
              <w:rPr>
                <w:sz w:val="18"/>
              </w:rPr>
              <w:t>71.19</w:t>
            </w:r>
          </w:p>
        </w:tc>
      </w:tr>
      <w:tr w:rsidR="007C5447">
        <w:trPr>
          <w:trHeight w:val="330"/>
        </w:trPr>
        <w:tc>
          <w:tcPr>
            <w:tcW w:w="823" w:type="dxa"/>
          </w:tcPr>
          <w:p w:rsidR="007C5447" w:rsidRDefault="00F6308C">
            <w:pPr>
              <w:pStyle w:val="TableParagraph"/>
              <w:spacing w:before="62"/>
              <w:ind w:left="291" w:right="284"/>
              <w:jc w:val="center"/>
              <w:rPr>
                <w:sz w:val="18"/>
              </w:rPr>
            </w:pPr>
            <w:r>
              <w:rPr>
                <w:sz w:val="18"/>
              </w:rPr>
              <w:t>11</w:t>
            </w:r>
          </w:p>
        </w:tc>
        <w:tc>
          <w:tcPr>
            <w:tcW w:w="1447" w:type="dxa"/>
          </w:tcPr>
          <w:p w:rsidR="007C5447" w:rsidRDefault="00F6308C">
            <w:pPr>
              <w:pStyle w:val="TableParagraph"/>
              <w:spacing w:before="62"/>
              <w:ind w:left="107"/>
              <w:jc w:val="left"/>
              <w:rPr>
                <w:sz w:val="18"/>
              </w:rPr>
            </w:pPr>
            <w:r>
              <w:rPr>
                <w:sz w:val="18"/>
              </w:rPr>
              <w:t>Kundah HEP</w:t>
            </w:r>
          </w:p>
        </w:tc>
        <w:tc>
          <w:tcPr>
            <w:tcW w:w="1204" w:type="dxa"/>
          </w:tcPr>
          <w:p w:rsidR="007C5447" w:rsidRDefault="00F6308C">
            <w:pPr>
              <w:pStyle w:val="TableParagraph"/>
              <w:spacing w:before="62"/>
              <w:ind w:right="129"/>
              <w:rPr>
                <w:sz w:val="18"/>
              </w:rPr>
            </w:pPr>
            <w:r>
              <w:rPr>
                <w:sz w:val="18"/>
              </w:rPr>
              <w:t>24.58</w:t>
            </w:r>
          </w:p>
        </w:tc>
        <w:tc>
          <w:tcPr>
            <w:tcW w:w="1055" w:type="dxa"/>
          </w:tcPr>
          <w:p w:rsidR="007C5447" w:rsidRDefault="00F6308C">
            <w:pPr>
              <w:pStyle w:val="TableParagraph"/>
              <w:spacing w:before="62"/>
              <w:ind w:right="131"/>
              <w:rPr>
                <w:sz w:val="18"/>
              </w:rPr>
            </w:pPr>
            <w:r>
              <w:rPr>
                <w:sz w:val="18"/>
              </w:rPr>
              <w:t>127.80</w:t>
            </w:r>
          </w:p>
        </w:tc>
        <w:tc>
          <w:tcPr>
            <w:tcW w:w="849" w:type="dxa"/>
          </w:tcPr>
          <w:p w:rsidR="007C5447" w:rsidRDefault="00F6308C">
            <w:pPr>
              <w:pStyle w:val="TableParagraph"/>
              <w:spacing w:before="62"/>
              <w:ind w:right="126"/>
              <w:rPr>
                <w:sz w:val="18"/>
              </w:rPr>
            </w:pPr>
            <w:r>
              <w:rPr>
                <w:w w:val="99"/>
                <w:sz w:val="18"/>
              </w:rPr>
              <w:t>-</w:t>
            </w:r>
          </w:p>
        </w:tc>
        <w:tc>
          <w:tcPr>
            <w:tcW w:w="992" w:type="dxa"/>
          </w:tcPr>
          <w:p w:rsidR="007C5447" w:rsidRDefault="00F6308C">
            <w:pPr>
              <w:pStyle w:val="TableParagraph"/>
              <w:spacing w:before="62"/>
              <w:ind w:right="128"/>
              <w:rPr>
                <w:sz w:val="18"/>
              </w:rPr>
            </w:pPr>
            <w:r>
              <w:rPr>
                <w:sz w:val="18"/>
              </w:rPr>
              <w:t>8.64</w:t>
            </w:r>
          </w:p>
        </w:tc>
        <w:tc>
          <w:tcPr>
            <w:tcW w:w="1054" w:type="dxa"/>
          </w:tcPr>
          <w:p w:rsidR="007C5447" w:rsidRDefault="00F6308C">
            <w:pPr>
              <w:pStyle w:val="TableParagraph"/>
              <w:spacing w:before="62"/>
              <w:ind w:right="123"/>
              <w:rPr>
                <w:sz w:val="18"/>
              </w:rPr>
            </w:pPr>
            <w:r>
              <w:rPr>
                <w:sz w:val="18"/>
              </w:rPr>
              <w:t>44.93</w:t>
            </w:r>
          </w:p>
        </w:tc>
        <w:tc>
          <w:tcPr>
            <w:tcW w:w="1273" w:type="dxa"/>
          </w:tcPr>
          <w:p w:rsidR="007C5447" w:rsidRDefault="00F6308C">
            <w:pPr>
              <w:pStyle w:val="TableParagraph"/>
              <w:spacing w:before="62"/>
              <w:ind w:right="122"/>
              <w:rPr>
                <w:sz w:val="18"/>
              </w:rPr>
            </w:pPr>
            <w:r>
              <w:rPr>
                <w:sz w:val="18"/>
              </w:rPr>
              <w:t>0.03</w:t>
            </w:r>
          </w:p>
        </w:tc>
        <w:tc>
          <w:tcPr>
            <w:tcW w:w="1133" w:type="dxa"/>
          </w:tcPr>
          <w:p w:rsidR="007C5447" w:rsidRDefault="00F6308C">
            <w:pPr>
              <w:pStyle w:val="TableParagraph"/>
              <w:spacing w:before="62"/>
              <w:ind w:right="120"/>
              <w:rPr>
                <w:sz w:val="18"/>
              </w:rPr>
            </w:pPr>
            <w:r>
              <w:rPr>
                <w:w w:val="99"/>
                <w:sz w:val="18"/>
              </w:rPr>
              <w:t>-</w:t>
            </w:r>
          </w:p>
        </w:tc>
        <w:tc>
          <w:tcPr>
            <w:tcW w:w="1308" w:type="dxa"/>
          </w:tcPr>
          <w:p w:rsidR="007C5447" w:rsidRDefault="00F6308C">
            <w:pPr>
              <w:pStyle w:val="TableParagraph"/>
              <w:spacing w:before="62"/>
              <w:ind w:right="117"/>
              <w:rPr>
                <w:sz w:val="18"/>
              </w:rPr>
            </w:pPr>
            <w:r>
              <w:rPr>
                <w:sz w:val="18"/>
              </w:rPr>
              <w:t>0.21</w:t>
            </w:r>
          </w:p>
        </w:tc>
        <w:tc>
          <w:tcPr>
            <w:tcW w:w="1237" w:type="dxa"/>
          </w:tcPr>
          <w:p w:rsidR="007C5447" w:rsidRDefault="00F6308C">
            <w:pPr>
              <w:pStyle w:val="TableParagraph"/>
              <w:spacing w:before="62"/>
              <w:ind w:right="116"/>
              <w:rPr>
                <w:sz w:val="18"/>
              </w:rPr>
            </w:pPr>
            <w:r>
              <w:rPr>
                <w:sz w:val="18"/>
              </w:rPr>
              <w:t>0.96</w:t>
            </w:r>
          </w:p>
        </w:tc>
        <w:tc>
          <w:tcPr>
            <w:tcW w:w="1215" w:type="dxa"/>
          </w:tcPr>
          <w:p w:rsidR="007C5447" w:rsidRDefault="00F6308C">
            <w:pPr>
              <w:pStyle w:val="TableParagraph"/>
              <w:spacing w:before="62"/>
              <w:ind w:right="113"/>
              <w:rPr>
                <w:sz w:val="18"/>
              </w:rPr>
            </w:pPr>
            <w:r>
              <w:rPr>
                <w:sz w:val="18"/>
              </w:rPr>
              <w:t>0.37</w:t>
            </w:r>
          </w:p>
        </w:tc>
        <w:tc>
          <w:tcPr>
            <w:tcW w:w="1237" w:type="dxa"/>
          </w:tcPr>
          <w:p w:rsidR="007C5447" w:rsidRDefault="00F6308C">
            <w:pPr>
              <w:pStyle w:val="TableParagraph"/>
              <w:spacing w:before="62"/>
              <w:ind w:right="116"/>
              <w:rPr>
                <w:sz w:val="18"/>
              </w:rPr>
            </w:pPr>
            <w:r>
              <w:rPr>
                <w:sz w:val="18"/>
              </w:rPr>
              <w:t>205.60</w:t>
            </w:r>
          </w:p>
        </w:tc>
        <w:tc>
          <w:tcPr>
            <w:tcW w:w="1331" w:type="dxa"/>
          </w:tcPr>
          <w:p w:rsidR="007C5447" w:rsidRDefault="00F6308C">
            <w:pPr>
              <w:pStyle w:val="TableParagraph"/>
              <w:spacing w:before="62"/>
              <w:ind w:right="115"/>
              <w:rPr>
                <w:sz w:val="18"/>
              </w:rPr>
            </w:pPr>
            <w:r>
              <w:rPr>
                <w:sz w:val="18"/>
              </w:rPr>
              <w:t>205.60</w:t>
            </w:r>
          </w:p>
        </w:tc>
      </w:tr>
      <w:tr w:rsidR="007C5447">
        <w:trPr>
          <w:trHeight w:val="328"/>
        </w:trPr>
        <w:tc>
          <w:tcPr>
            <w:tcW w:w="823" w:type="dxa"/>
          </w:tcPr>
          <w:p w:rsidR="007C5447" w:rsidRDefault="00F6308C">
            <w:pPr>
              <w:pStyle w:val="TableParagraph"/>
              <w:spacing w:before="62"/>
              <w:ind w:left="291" w:right="284"/>
              <w:jc w:val="center"/>
              <w:rPr>
                <w:sz w:val="18"/>
              </w:rPr>
            </w:pPr>
            <w:r>
              <w:rPr>
                <w:sz w:val="18"/>
              </w:rPr>
              <w:t>12</w:t>
            </w:r>
          </w:p>
        </w:tc>
        <w:tc>
          <w:tcPr>
            <w:tcW w:w="1447" w:type="dxa"/>
          </w:tcPr>
          <w:p w:rsidR="007C5447" w:rsidRDefault="00F6308C">
            <w:pPr>
              <w:pStyle w:val="TableParagraph"/>
              <w:spacing w:before="62"/>
              <w:ind w:left="107"/>
              <w:jc w:val="left"/>
              <w:rPr>
                <w:sz w:val="18"/>
              </w:rPr>
            </w:pPr>
            <w:r>
              <w:rPr>
                <w:sz w:val="18"/>
              </w:rPr>
              <w:t>Tirunelveli HEP</w:t>
            </w:r>
          </w:p>
        </w:tc>
        <w:tc>
          <w:tcPr>
            <w:tcW w:w="1204" w:type="dxa"/>
          </w:tcPr>
          <w:p w:rsidR="007C5447" w:rsidRDefault="00F6308C">
            <w:pPr>
              <w:pStyle w:val="TableParagraph"/>
              <w:spacing w:before="62"/>
              <w:ind w:right="132"/>
              <w:rPr>
                <w:sz w:val="18"/>
              </w:rPr>
            </w:pPr>
            <w:r>
              <w:rPr>
                <w:sz w:val="18"/>
              </w:rPr>
              <w:t>9.44</w:t>
            </w:r>
          </w:p>
        </w:tc>
        <w:tc>
          <w:tcPr>
            <w:tcW w:w="1055" w:type="dxa"/>
          </w:tcPr>
          <w:p w:rsidR="007C5447" w:rsidRDefault="00F6308C">
            <w:pPr>
              <w:pStyle w:val="TableParagraph"/>
              <w:spacing w:before="62"/>
              <w:ind w:right="128"/>
              <w:rPr>
                <w:sz w:val="18"/>
              </w:rPr>
            </w:pPr>
            <w:r>
              <w:rPr>
                <w:sz w:val="18"/>
              </w:rPr>
              <w:t>51.46</w:t>
            </w:r>
          </w:p>
        </w:tc>
        <w:tc>
          <w:tcPr>
            <w:tcW w:w="849" w:type="dxa"/>
          </w:tcPr>
          <w:p w:rsidR="007C5447" w:rsidRDefault="00F6308C">
            <w:pPr>
              <w:pStyle w:val="TableParagraph"/>
              <w:spacing w:before="62"/>
              <w:ind w:right="126"/>
              <w:rPr>
                <w:sz w:val="18"/>
              </w:rPr>
            </w:pPr>
            <w:r>
              <w:rPr>
                <w:w w:val="99"/>
                <w:sz w:val="18"/>
              </w:rPr>
              <w:t>-</w:t>
            </w:r>
          </w:p>
        </w:tc>
        <w:tc>
          <w:tcPr>
            <w:tcW w:w="992" w:type="dxa"/>
          </w:tcPr>
          <w:p w:rsidR="007C5447" w:rsidRDefault="00F6308C">
            <w:pPr>
              <w:pStyle w:val="TableParagraph"/>
              <w:spacing w:before="62"/>
              <w:ind w:right="128"/>
              <w:rPr>
                <w:sz w:val="18"/>
              </w:rPr>
            </w:pPr>
            <w:r>
              <w:rPr>
                <w:sz w:val="18"/>
              </w:rPr>
              <w:t>3.86</w:t>
            </w:r>
          </w:p>
        </w:tc>
        <w:tc>
          <w:tcPr>
            <w:tcW w:w="1054" w:type="dxa"/>
          </w:tcPr>
          <w:p w:rsidR="007C5447" w:rsidRDefault="00F6308C">
            <w:pPr>
              <w:pStyle w:val="TableParagraph"/>
              <w:spacing w:before="62"/>
              <w:ind w:right="123"/>
              <w:rPr>
                <w:sz w:val="18"/>
              </w:rPr>
            </w:pPr>
            <w:r>
              <w:rPr>
                <w:sz w:val="18"/>
              </w:rPr>
              <w:t>27.15</w:t>
            </w:r>
          </w:p>
        </w:tc>
        <w:tc>
          <w:tcPr>
            <w:tcW w:w="1273" w:type="dxa"/>
          </w:tcPr>
          <w:p w:rsidR="007C5447" w:rsidRDefault="00F6308C">
            <w:pPr>
              <w:pStyle w:val="TableParagraph"/>
              <w:spacing w:before="62"/>
              <w:ind w:right="122"/>
              <w:rPr>
                <w:sz w:val="18"/>
              </w:rPr>
            </w:pPr>
            <w:r>
              <w:rPr>
                <w:sz w:val="18"/>
              </w:rPr>
              <w:t>0.02</w:t>
            </w:r>
          </w:p>
        </w:tc>
        <w:tc>
          <w:tcPr>
            <w:tcW w:w="1133" w:type="dxa"/>
          </w:tcPr>
          <w:p w:rsidR="007C5447" w:rsidRDefault="00F6308C">
            <w:pPr>
              <w:pStyle w:val="TableParagraph"/>
              <w:spacing w:before="62"/>
              <w:ind w:right="120"/>
              <w:rPr>
                <w:sz w:val="18"/>
              </w:rPr>
            </w:pPr>
            <w:r>
              <w:rPr>
                <w:w w:val="99"/>
                <w:sz w:val="18"/>
              </w:rPr>
              <w:t>-</w:t>
            </w:r>
          </w:p>
        </w:tc>
        <w:tc>
          <w:tcPr>
            <w:tcW w:w="1308" w:type="dxa"/>
          </w:tcPr>
          <w:p w:rsidR="007C5447" w:rsidRDefault="00F6308C">
            <w:pPr>
              <w:pStyle w:val="TableParagraph"/>
              <w:spacing w:before="62"/>
              <w:ind w:right="117"/>
              <w:rPr>
                <w:sz w:val="18"/>
              </w:rPr>
            </w:pPr>
            <w:r>
              <w:rPr>
                <w:sz w:val="18"/>
              </w:rPr>
              <w:t>0.05</w:t>
            </w:r>
          </w:p>
        </w:tc>
        <w:tc>
          <w:tcPr>
            <w:tcW w:w="1237" w:type="dxa"/>
          </w:tcPr>
          <w:p w:rsidR="007C5447" w:rsidRDefault="00F6308C">
            <w:pPr>
              <w:pStyle w:val="TableParagraph"/>
              <w:spacing w:before="62"/>
              <w:ind w:right="116"/>
              <w:rPr>
                <w:sz w:val="18"/>
              </w:rPr>
            </w:pPr>
            <w:r>
              <w:rPr>
                <w:sz w:val="18"/>
              </w:rPr>
              <w:t>3.36</w:t>
            </w:r>
          </w:p>
        </w:tc>
        <w:tc>
          <w:tcPr>
            <w:tcW w:w="1215" w:type="dxa"/>
          </w:tcPr>
          <w:p w:rsidR="007C5447" w:rsidRDefault="00F6308C">
            <w:pPr>
              <w:pStyle w:val="TableParagraph"/>
              <w:spacing w:before="62"/>
              <w:ind w:right="113"/>
              <w:rPr>
                <w:sz w:val="18"/>
              </w:rPr>
            </w:pPr>
            <w:r>
              <w:rPr>
                <w:sz w:val="18"/>
              </w:rPr>
              <w:t>0.85</w:t>
            </w:r>
          </w:p>
        </w:tc>
        <w:tc>
          <w:tcPr>
            <w:tcW w:w="1237" w:type="dxa"/>
          </w:tcPr>
          <w:p w:rsidR="007C5447" w:rsidRDefault="00F6308C">
            <w:pPr>
              <w:pStyle w:val="TableParagraph"/>
              <w:spacing w:before="62"/>
              <w:ind w:right="112"/>
              <w:rPr>
                <w:sz w:val="18"/>
              </w:rPr>
            </w:pPr>
            <w:r>
              <w:rPr>
                <w:sz w:val="18"/>
              </w:rPr>
              <w:t>89.47</w:t>
            </w:r>
          </w:p>
        </w:tc>
        <w:tc>
          <w:tcPr>
            <w:tcW w:w="1331" w:type="dxa"/>
          </w:tcPr>
          <w:p w:rsidR="007C5447" w:rsidRDefault="00F6308C">
            <w:pPr>
              <w:pStyle w:val="TableParagraph"/>
              <w:spacing w:before="62"/>
              <w:ind w:right="111"/>
              <w:rPr>
                <w:sz w:val="18"/>
              </w:rPr>
            </w:pPr>
            <w:r>
              <w:rPr>
                <w:sz w:val="18"/>
              </w:rPr>
              <w:t>89.47</w:t>
            </w:r>
          </w:p>
        </w:tc>
      </w:tr>
      <w:tr w:rsidR="007C5447">
        <w:trPr>
          <w:trHeight w:val="445"/>
        </w:trPr>
        <w:tc>
          <w:tcPr>
            <w:tcW w:w="823" w:type="dxa"/>
          </w:tcPr>
          <w:p w:rsidR="007C5447" w:rsidRDefault="007C5447">
            <w:pPr>
              <w:pStyle w:val="TableParagraph"/>
              <w:jc w:val="left"/>
              <w:rPr>
                <w:sz w:val="18"/>
              </w:rPr>
            </w:pPr>
          </w:p>
        </w:tc>
        <w:tc>
          <w:tcPr>
            <w:tcW w:w="1447" w:type="dxa"/>
          </w:tcPr>
          <w:p w:rsidR="007C5447" w:rsidRDefault="00F6308C">
            <w:pPr>
              <w:pStyle w:val="TableParagraph"/>
              <w:spacing w:before="20" w:line="206" w:lineRule="exact"/>
              <w:ind w:left="107"/>
              <w:jc w:val="left"/>
              <w:rPr>
                <w:b/>
                <w:sz w:val="18"/>
              </w:rPr>
            </w:pPr>
            <w:r>
              <w:rPr>
                <w:b/>
                <w:sz w:val="18"/>
              </w:rPr>
              <w:t>Grand Total Generation</w:t>
            </w:r>
          </w:p>
        </w:tc>
        <w:tc>
          <w:tcPr>
            <w:tcW w:w="1204" w:type="dxa"/>
          </w:tcPr>
          <w:p w:rsidR="007C5447" w:rsidRDefault="00F6308C">
            <w:pPr>
              <w:pStyle w:val="TableParagraph"/>
              <w:spacing w:before="119"/>
              <w:ind w:right="132"/>
              <w:rPr>
                <w:b/>
                <w:sz w:val="18"/>
              </w:rPr>
            </w:pPr>
            <w:r>
              <w:rPr>
                <w:b/>
                <w:sz w:val="18"/>
              </w:rPr>
              <w:t>292.97</w:t>
            </w:r>
          </w:p>
        </w:tc>
        <w:tc>
          <w:tcPr>
            <w:tcW w:w="1055" w:type="dxa"/>
          </w:tcPr>
          <w:p w:rsidR="007C5447" w:rsidRDefault="00F6308C">
            <w:pPr>
              <w:pStyle w:val="TableParagraph"/>
              <w:spacing w:before="119"/>
              <w:ind w:right="131"/>
              <w:rPr>
                <w:b/>
                <w:sz w:val="18"/>
              </w:rPr>
            </w:pPr>
            <w:r>
              <w:rPr>
                <w:b/>
                <w:sz w:val="18"/>
              </w:rPr>
              <w:t>947.38</w:t>
            </w:r>
          </w:p>
        </w:tc>
        <w:tc>
          <w:tcPr>
            <w:tcW w:w="849" w:type="dxa"/>
          </w:tcPr>
          <w:p w:rsidR="007C5447" w:rsidRDefault="00F6308C">
            <w:pPr>
              <w:pStyle w:val="TableParagraph"/>
              <w:spacing w:before="119"/>
              <w:ind w:right="126"/>
              <w:rPr>
                <w:b/>
                <w:sz w:val="18"/>
              </w:rPr>
            </w:pPr>
            <w:r>
              <w:rPr>
                <w:b/>
                <w:w w:val="99"/>
                <w:sz w:val="18"/>
              </w:rPr>
              <w:t>-</w:t>
            </w:r>
          </w:p>
        </w:tc>
        <w:tc>
          <w:tcPr>
            <w:tcW w:w="992" w:type="dxa"/>
          </w:tcPr>
          <w:p w:rsidR="007C5447" w:rsidRDefault="00F6308C">
            <w:pPr>
              <w:pStyle w:val="TableParagraph"/>
              <w:spacing w:before="119"/>
              <w:ind w:right="128"/>
              <w:rPr>
                <w:b/>
                <w:sz w:val="18"/>
              </w:rPr>
            </w:pPr>
            <w:r>
              <w:rPr>
                <w:b/>
                <w:sz w:val="18"/>
              </w:rPr>
              <w:t>467.73</w:t>
            </w:r>
          </w:p>
        </w:tc>
        <w:tc>
          <w:tcPr>
            <w:tcW w:w="1054" w:type="dxa"/>
          </w:tcPr>
          <w:p w:rsidR="007C5447" w:rsidRDefault="00F6308C">
            <w:pPr>
              <w:pStyle w:val="TableParagraph"/>
              <w:spacing w:before="119"/>
              <w:ind w:right="126"/>
              <w:rPr>
                <w:b/>
                <w:sz w:val="18"/>
              </w:rPr>
            </w:pPr>
            <w:r>
              <w:rPr>
                <w:b/>
                <w:sz w:val="18"/>
              </w:rPr>
              <w:t>688.48</w:t>
            </w:r>
          </w:p>
        </w:tc>
        <w:tc>
          <w:tcPr>
            <w:tcW w:w="1273" w:type="dxa"/>
          </w:tcPr>
          <w:p w:rsidR="007C5447" w:rsidRDefault="00F6308C">
            <w:pPr>
              <w:pStyle w:val="TableParagraph"/>
              <w:spacing w:before="119"/>
              <w:ind w:right="122"/>
              <w:rPr>
                <w:b/>
                <w:sz w:val="18"/>
              </w:rPr>
            </w:pPr>
            <w:r>
              <w:rPr>
                <w:b/>
                <w:sz w:val="18"/>
              </w:rPr>
              <w:t>0.35</w:t>
            </w:r>
          </w:p>
        </w:tc>
        <w:tc>
          <w:tcPr>
            <w:tcW w:w="1133" w:type="dxa"/>
          </w:tcPr>
          <w:p w:rsidR="007C5447" w:rsidRDefault="00F6308C">
            <w:pPr>
              <w:pStyle w:val="TableParagraph"/>
              <w:spacing w:before="119"/>
              <w:ind w:right="120"/>
              <w:rPr>
                <w:b/>
                <w:sz w:val="18"/>
              </w:rPr>
            </w:pPr>
            <w:r>
              <w:rPr>
                <w:b/>
                <w:w w:val="99"/>
                <w:sz w:val="18"/>
              </w:rPr>
              <w:t>-</w:t>
            </w:r>
          </w:p>
        </w:tc>
        <w:tc>
          <w:tcPr>
            <w:tcW w:w="1308" w:type="dxa"/>
          </w:tcPr>
          <w:p w:rsidR="007C5447" w:rsidRDefault="00F6308C">
            <w:pPr>
              <w:pStyle w:val="TableParagraph"/>
              <w:spacing w:before="119"/>
              <w:ind w:right="117"/>
              <w:rPr>
                <w:b/>
                <w:sz w:val="18"/>
              </w:rPr>
            </w:pPr>
            <w:r>
              <w:rPr>
                <w:b/>
                <w:sz w:val="18"/>
              </w:rPr>
              <w:t>0.26</w:t>
            </w:r>
          </w:p>
        </w:tc>
        <w:tc>
          <w:tcPr>
            <w:tcW w:w="1237" w:type="dxa"/>
          </w:tcPr>
          <w:p w:rsidR="007C5447" w:rsidRDefault="00F6308C">
            <w:pPr>
              <w:pStyle w:val="TableParagraph"/>
              <w:spacing w:before="119"/>
              <w:ind w:right="116"/>
              <w:rPr>
                <w:b/>
                <w:sz w:val="18"/>
              </w:rPr>
            </w:pPr>
            <w:r>
              <w:rPr>
                <w:b/>
                <w:sz w:val="18"/>
              </w:rPr>
              <w:t>119.78</w:t>
            </w:r>
          </w:p>
        </w:tc>
        <w:tc>
          <w:tcPr>
            <w:tcW w:w="1215" w:type="dxa"/>
          </w:tcPr>
          <w:p w:rsidR="007C5447" w:rsidRDefault="00F6308C">
            <w:pPr>
              <w:pStyle w:val="TableParagraph"/>
              <w:spacing w:before="119"/>
              <w:ind w:right="111"/>
              <w:rPr>
                <w:b/>
                <w:sz w:val="18"/>
              </w:rPr>
            </w:pPr>
            <w:r>
              <w:rPr>
                <w:b/>
                <w:sz w:val="18"/>
              </w:rPr>
              <w:t>19.68</w:t>
            </w:r>
          </w:p>
        </w:tc>
        <w:tc>
          <w:tcPr>
            <w:tcW w:w="1237" w:type="dxa"/>
          </w:tcPr>
          <w:p w:rsidR="007C5447" w:rsidRDefault="00F6308C">
            <w:pPr>
              <w:pStyle w:val="TableParagraph"/>
              <w:spacing w:before="119"/>
              <w:ind w:right="115"/>
              <w:rPr>
                <w:b/>
                <w:sz w:val="18"/>
              </w:rPr>
            </w:pPr>
            <w:r>
              <w:rPr>
                <w:b/>
                <w:sz w:val="18"/>
              </w:rPr>
              <w:t>2,297.07</w:t>
            </w:r>
          </w:p>
        </w:tc>
        <w:tc>
          <w:tcPr>
            <w:tcW w:w="1331" w:type="dxa"/>
          </w:tcPr>
          <w:p w:rsidR="007C5447" w:rsidRDefault="00F6308C">
            <w:pPr>
              <w:pStyle w:val="TableParagraph"/>
              <w:spacing w:before="119"/>
              <w:ind w:right="111"/>
              <w:rPr>
                <w:b/>
                <w:sz w:val="18"/>
              </w:rPr>
            </w:pPr>
            <w:r>
              <w:rPr>
                <w:b/>
                <w:sz w:val="18"/>
              </w:rPr>
              <w:t>2,135.13</w:t>
            </w:r>
          </w:p>
        </w:tc>
      </w:tr>
    </w:tbl>
    <w:p w:rsidR="007C5447" w:rsidRDefault="007C5447">
      <w:pPr>
        <w:rPr>
          <w:sz w:val="18"/>
        </w:rPr>
        <w:sectPr w:rsidR="007C5447">
          <w:pgSz w:w="16840" w:h="11910" w:orient="landscape"/>
          <w:pgMar w:top="1100" w:right="140" w:bottom="1240" w:left="200" w:header="0" w:footer="1057" w:gutter="0"/>
          <w:cols w:space="720"/>
        </w:sectPr>
      </w:pPr>
    </w:p>
    <w:p w:rsidR="007C5447" w:rsidRDefault="007C5447">
      <w:pPr>
        <w:pStyle w:val="BodyText"/>
        <w:rPr>
          <w:b/>
          <w:sz w:val="20"/>
        </w:rPr>
      </w:pPr>
    </w:p>
    <w:p w:rsidR="007C5447" w:rsidRDefault="007C5447">
      <w:pPr>
        <w:pStyle w:val="BodyText"/>
        <w:spacing w:before="6"/>
        <w:rPr>
          <w:b/>
          <w:sz w:val="19"/>
        </w:rPr>
      </w:pPr>
    </w:p>
    <w:p w:rsidR="007C5447" w:rsidRDefault="00F6308C">
      <w:pPr>
        <w:ind w:left="3220"/>
        <w:rPr>
          <w:b/>
        </w:rPr>
      </w:pPr>
      <w:r>
        <w:rPr>
          <w:b/>
        </w:rPr>
        <w:t>Table 3-48: Fixed Charges approved by the Commission for Generation function after true-up for FY 2013-14 (Rs. Crore)</w:t>
      </w:r>
    </w:p>
    <w:p w:rsidR="007C5447" w:rsidRDefault="007C5447">
      <w:pPr>
        <w:pStyle w:val="BodyText"/>
        <w:spacing w:before="11"/>
        <w:rPr>
          <w:b/>
          <w:sz w:val="16"/>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1704"/>
        <w:gridCol w:w="1204"/>
        <w:gridCol w:w="1062"/>
        <w:gridCol w:w="969"/>
        <w:gridCol w:w="992"/>
        <w:gridCol w:w="1134"/>
        <w:gridCol w:w="1154"/>
        <w:gridCol w:w="1132"/>
        <w:gridCol w:w="1312"/>
        <w:gridCol w:w="1097"/>
        <w:gridCol w:w="1219"/>
        <w:gridCol w:w="1238"/>
        <w:gridCol w:w="1332"/>
      </w:tblGrid>
      <w:tr w:rsidR="007C5447">
        <w:trPr>
          <w:trHeight w:val="858"/>
        </w:trPr>
        <w:tc>
          <w:tcPr>
            <w:tcW w:w="708" w:type="dxa"/>
            <w:shd w:val="clear" w:color="auto" w:fill="FBD4B4"/>
          </w:tcPr>
          <w:p w:rsidR="007C5447" w:rsidRDefault="007C5447">
            <w:pPr>
              <w:pStyle w:val="TableParagraph"/>
              <w:spacing w:before="4"/>
              <w:jc w:val="left"/>
              <w:rPr>
                <w:b/>
                <w:sz w:val="28"/>
              </w:rPr>
            </w:pPr>
          </w:p>
          <w:p w:rsidR="007C5447" w:rsidRDefault="00F6308C">
            <w:pPr>
              <w:pStyle w:val="TableParagraph"/>
              <w:ind w:left="256"/>
              <w:jc w:val="left"/>
              <w:rPr>
                <w:b/>
                <w:sz w:val="18"/>
              </w:rPr>
            </w:pPr>
            <w:r>
              <w:rPr>
                <w:b/>
                <w:sz w:val="18"/>
              </w:rPr>
              <w:t>Sl.</w:t>
            </w:r>
          </w:p>
        </w:tc>
        <w:tc>
          <w:tcPr>
            <w:tcW w:w="1704" w:type="dxa"/>
            <w:shd w:val="clear" w:color="auto" w:fill="FBD4B4"/>
          </w:tcPr>
          <w:p w:rsidR="007C5447" w:rsidRDefault="007C5447">
            <w:pPr>
              <w:pStyle w:val="TableParagraph"/>
              <w:spacing w:before="4"/>
              <w:jc w:val="left"/>
              <w:rPr>
                <w:b/>
                <w:sz w:val="28"/>
              </w:rPr>
            </w:pPr>
          </w:p>
          <w:p w:rsidR="007C5447" w:rsidRDefault="00F6308C">
            <w:pPr>
              <w:pStyle w:val="TableParagraph"/>
              <w:ind w:left="307"/>
              <w:jc w:val="left"/>
              <w:rPr>
                <w:b/>
                <w:sz w:val="18"/>
              </w:rPr>
            </w:pPr>
            <w:r>
              <w:rPr>
                <w:b/>
                <w:sz w:val="18"/>
              </w:rPr>
              <w:t>Power Station</w:t>
            </w:r>
          </w:p>
        </w:tc>
        <w:tc>
          <w:tcPr>
            <w:tcW w:w="1204" w:type="dxa"/>
            <w:shd w:val="clear" w:color="auto" w:fill="FBD4B4"/>
          </w:tcPr>
          <w:p w:rsidR="007C5447" w:rsidRDefault="007C5447">
            <w:pPr>
              <w:pStyle w:val="TableParagraph"/>
              <w:spacing w:before="4"/>
              <w:jc w:val="left"/>
              <w:rPr>
                <w:b/>
                <w:sz w:val="28"/>
              </w:rPr>
            </w:pPr>
          </w:p>
          <w:p w:rsidR="007C5447" w:rsidRDefault="00F6308C">
            <w:pPr>
              <w:pStyle w:val="TableParagraph"/>
              <w:ind w:right="96"/>
              <w:rPr>
                <w:b/>
                <w:sz w:val="18"/>
              </w:rPr>
            </w:pPr>
            <w:r>
              <w:rPr>
                <w:b/>
                <w:sz w:val="18"/>
              </w:rPr>
              <w:t>Depreciation</w:t>
            </w:r>
          </w:p>
        </w:tc>
        <w:tc>
          <w:tcPr>
            <w:tcW w:w="1062" w:type="dxa"/>
            <w:shd w:val="clear" w:color="auto" w:fill="FBD4B4"/>
          </w:tcPr>
          <w:p w:rsidR="007C5447" w:rsidRDefault="007C5447">
            <w:pPr>
              <w:pStyle w:val="TableParagraph"/>
              <w:spacing w:before="4"/>
              <w:jc w:val="left"/>
              <w:rPr>
                <w:b/>
                <w:sz w:val="19"/>
              </w:rPr>
            </w:pPr>
          </w:p>
          <w:p w:rsidR="007C5447" w:rsidRDefault="00F6308C">
            <w:pPr>
              <w:pStyle w:val="TableParagraph"/>
              <w:ind w:left="236" w:right="199" w:hanging="3"/>
              <w:jc w:val="left"/>
              <w:rPr>
                <w:b/>
                <w:sz w:val="18"/>
              </w:rPr>
            </w:pPr>
            <w:r>
              <w:rPr>
                <w:b/>
                <w:sz w:val="18"/>
              </w:rPr>
              <w:t>Interest charges</w:t>
            </w:r>
          </w:p>
        </w:tc>
        <w:tc>
          <w:tcPr>
            <w:tcW w:w="969" w:type="dxa"/>
            <w:shd w:val="clear" w:color="auto" w:fill="FBD4B4"/>
          </w:tcPr>
          <w:p w:rsidR="007C5447" w:rsidRDefault="00F6308C">
            <w:pPr>
              <w:pStyle w:val="TableParagraph"/>
              <w:spacing w:before="119"/>
              <w:ind w:left="213" w:right="195"/>
              <w:jc w:val="center"/>
              <w:rPr>
                <w:b/>
                <w:sz w:val="18"/>
              </w:rPr>
            </w:pPr>
            <w:r>
              <w:rPr>
                <w:b/>
                <w:sz w:val="18"/>
              </w:rPr>
              <w:t>Return on Equity</w:t>
            </w:r>
          </w:p>
        </w:tc>
        <w:tc>
          <w:tcPr>
            <w:tcW w:w="992" w:type="dxa"/>
            <w:shd w:val="clear" w:color="auto" w:fill="FBD4B4"/>
          </w:tcPr>
          <w:p w:rsidR="007C5447" w:rsidRDefault="007C5447">
            <w:pPr>
              <w:pStyle w:val="TableParagraph"/>
              <w:spacing w:before="4"/>
              <w:jc w:val="left"/>
              <w:rPr>
                <w:b/>
                <w:sz w:val="28"/>
              </w:rPr>
            </w:pPr>
          </w:p>
          <w:p w:rsidR="007C5447" w:rsidRDefault="00F6308C">
            <w:pPr>
              <w:pStyle w:val="TableParagraph"/>
              <w:ind w:left="265"/>
              <w:jc w:val="left"/>
              <w:rPr>
                <w:b/>
                <w:sz w:val="18"/>
              </w:rPr>
            </w:pPr>
            <w:r>
              <w:rPr>
                <w:b/>
                <w:sz w:val="18"/>
              </w:rPr>
              <w:t>IoWC</w:t>
            </w:r>
          </w:p>
        </w:tc>
        <w:tc>
          <w:tcPr>
            <w:tcW w:w="1134" w:type="dxa"/>
            <w:shd w:val="clear" w:color="auto" w:fill="FBD4B4"/>
          </w:tcPr>
          <w:p w:rsidR="007C5447" w:rsidRDefault="007C5447">
            <w:pPr>
              <w:pStyle w:val="TableParagraph"/>
              <w:spacing w:before="4"/>
              <w:jc w:val="left"/>
              <w:rPr>
                <w:b/>
                <w:sz w:val="19"/>
              </w:rPr>
            </w:pPr>
          </w:p>
          <w:p w:rsidR="007C5447" w:rsidRDefault="00F6308C">
            <w:pPr>
              <w:pStyle w:val="TableParagraph"/>
              <w:ind w:left="216" w:right="177" w:firstLine="124"/>
              <w:jc w:val="left"/>
              <w:rPr>
                <w:b/>
                <w:sz w:val="18"/>
              </w:rPr>
            </w:pPr>
            <w:r>
              <w:rPr>
                <w:b/>
                <w:sz w:val="18"/>
              </w:rPr>
              <w:t>O&amp;M Expenses</w:t>
            </w:r>
          </w:p>
        </w:tc>
        <w:tc>
          <w:tcPr>
            <w:tcW w:w="1154" w:type="dxa"/>
            <w:shd w:val="clear" w:color="auto" w:fill="FBD4B4"/>
          </w:tcPr>
          <w:p w:rsidR="007C5447" w:rsidRDefault="007C5447">
            <w:pPr>
              <w:pStyle w:val="TableParagraph"/>
              <w:spacing w:before="4"/>
              <w:jc w:val="left"/>
              <w:rPr>
                <w:b/>
                <w:sz w:val="19"/>
              </w:rPr>
            </w:pPr>
          </w:p>
          <w:p w:rsidR="007C5447" w:rsidRDefault="00F6308C">
            <w:pPr>
              <w:pStyle w:val="TableParagraph"/>
              <w:ind w:left="337" w:right="297" w:firstLine="16"/>
              <w:jc w:val="left"/>
              <w:rPr>
                <w:b/>
                <w:sz w:val="18"/>
              </w:rPr>
            </w:pPr>
            <w:r>
              <w:rPr>
                <w:b/>
                <w:sz w:val="18"/>
              </w:rPr>
              <w:t>Other Debits</w:t>
            </w:r>
          </w:p>
        </w:tc>
        <w:tc>
          <w:tcPr>
            <w:tcW w:w="1132" w:type="dxa"/>
            <w:shd w:val="clear" w:color="auto" w:fill="FBD4B4"/>
          </w:tcPr>
          <w:p w:rsidR="007C5447" w:rsidRDefault="00F6308C">
            <w:pPr>
              <w:pStyle w:val="TableParagraph"/>
              <w:spacing w:before="14"/>
              <w:ind w:left="184" w:right="142" w:firstLine="247"/>
              <w:jc w:val="left"/>
              <w:rPr>
                <w:b/>
                <w:sz w:val="18"/>
              </w:rPr>
            </w:pPr>
            <w:r>
              <w:rPr>
                <w:b/>
                <w:sz w:val="18"/>
              </w:rPr>
              <w:t>Op. Charges</w:t>
            </w:r>
          </w:p>
          <w:p w:rsidR="007C5447" w:rsidRDefault="00F6308C">
            <w:pPr>
              <w:pStyle w:val="TableParagraph"/>
              <w:spacing w:before="4" w:line="206" w:lineRule="exact"/>
              <w:ind w:left="208" w:right="142" w:hanging="24"/>
              <w:jc w:val="left"/>
              <w:rPr>
                <w:b/>
                <w:sz w:val="18"/>
              </w:rPr>
            </w:pPr>
            <w:r>
              <w:rPr>
                <w:b/>
                <w:sz w:val="18"/>
              </w:rPr>
              <w:t>and Extra Ordinary</w:t>
            </w:r>
          </w:p>
        </w:tc>
        <w:tc>
          <w:tcPr>
            <w:tcW w:w="1312" w:type="dxa"/>
            <w:shd w:val="clear" w:color="auto" w:fill="FBD4B4"/>
          </w:tcPr>
          <w:p w:rsidR="007C5447" w:rsidRDefault="007C5447">
            <w:pPr>
              <w:pStyle w:val="TableParagraph"/>
              <w:spacing w:before="4"/>
              <w:jc w:val="left"/>
              <w:rPr>
                <w:b/>
                <w:sz w:val="19"/>
              </w:rPr>
            </w:pPr>
          </w:p>
          <w:p w:rsidR="007C5447" w:rsidRDefault="00F6308C">
            <w:pPr>
              <w:pStyle w:val="TableParagraph"/>
              <w:ind w:left="115" w:right="72" w:firstLine="64"/>
              <w:jc w:val="left"/>
              <w:rPr>
                <w:b/>
                <w:sz w:val="18"/>
              </w:rPr>
            </w:pPr>
            <w:r>
              <w:rPr>
                <w:b/>
                <w:sz w:val="18"/>
              </w:rPr>
              <w:t>Prior Period Exp./(Income)</w:t>
            </w:r>
          </w:p>
        </w:tc>
        <w:tc>
          <w:tcPr>
            <w:tcW w:w="1097" w:type="dxa"/>
            <w:shd w:val="clear" w:color="auto" w:fill="FBD4B4"/>
          </w:tcPr>
          <w:p w:rsidR="007C5447" w:rsidRDefault="007C5447">
            <w:pPr>
              <w:pStyle w:val="TableParagraph"/>
              <w:spacing w:before="4"/>
              <w:jc w:val="left"/>
              <w:rPr>
                <w:b/>
                <w:sz w:val="19"/>
              </w:rPr>
            </w:pPr>
          </w:p>
          <w:p w:rsidR="007C5447" w:rsidRDefault="00F6308C">
            <w:pPr>
              <w:pStyle w:val="TableParagraph"/>
              <w:ind w:left="272" w:right="225" w:firstLine="55"/>
              <w:jc w:val="left"/>
              <w:rPr>
                <w:b/>
                <w:sz w:val="18"/>
              </w:rPr>
            </w:pPr>
            <w:r>
              <w:rPr>
                <w:b/>
                <w:sz w:val="18"/>
              </w:rPr>
              <w:t>Other Income</w:t>
            </w:r>
          </w:p>
        </w:tc>
        <w:tc>
          <w:tcPr>
            <w:tcW w:w="1219" w:type="dxa"/>
            <w:shd w:val="clear" w:color="auto" w:fill="FBD4B4"/>
          </w:tcPr>
          <w:p w:rsidR="007C5447" w:rsidRDefault="007C5447">
            <w:pPr>
              <w:pStyle w:val="TableParagraph"/>
              <w:spacing w:before="4"/>
              <w:jc w:val="left"/>
              <w:rPr>
                <w:b/>
                <w:sz w:val="19"/>
              </w:rPr>
            </w:pPr>
          </w:p>
          <w:p w:rsidR="007C5447" w:rsidRDefault="00F6308C">
            <w:pPr>
              <w:pStyle w:val="TableParagraph"/>
              <w:ind w:left="121" w:right="78" w:firstLine="9"/>
              <w:jc w:val="left"/>
              <w:rPr>
                <w:b/>
                <w:sz w:val="18"/>
              </w:rPr>
            </w:pPr>
            <w:r>
              <w:rPr>
                <w:b/>
                <w:sz w:val="18"/>
              </w:rPr>
              <w:t>Other Int. &amp; Fin. Charges</w:t>
            </w:r>
          </w:p>
        </w:tc>
        <w:tc>
          <w:tcPr>
            <w:tcW w:w="1238" w:type="dxa"/>
            <w:shd w:val="clear" w:color="auto" w:fill="FBD4B4"/>
          </w:tcPr>
          <w:p w:rsidR="007C5447" w:rsidRDefault="007C5447">
            <w:pPr>
              <w:pStyle w:val="TableParagraph"/>
              <w:spacing w:before="4"/>
              <w:jc w:val="left"/>
              <w:rPr>
                <w:b/>
                <w:sz w:val="19"/>
              </w:rPr>
            </w:pPr>
          </w:p>
          <w:p w:rsidR="007C5447" w:rsidRDefault="00F6308C">
            <w:pPr>
              <w:pStyle w:val="TableParagraph"/>
              <w:ind w:left="453" w:right="139" w:hanging="269"/>
              <w:jc w:val="left"/>
              <w:rPr>
                <w:b/>
                <w:sz w:val="18"/>
              </w:rPr>
            </w:pPr>
            <w:r>
              <w:rPr>
                <w:b/>
                <w:sz w:val="18"/>
              </w:rPr>
              <w:t>Total Fixed Cost</w:t>
            </w:r>
          </w:p>
        </w:tc>
        <w:tc>
          <w:tcPr>
            <w:tcW w:w="1332" w:type="dxa"/>
            <w:shd w:val="clear" w:color="auto" w:fill="FBD4B4"/>
          </w:tcPr>
          <w:p w:rsidR="007C5447" w:rsidRDefault="00F6308C">
            <w:pPr>
              <w:pStyle w:val="TableParagraph"/>
              <w:spacing w:before="119"/>
              <w:ind w:left="170" w:right="141" w:hanging="1"/>
              <w:jc w:val="center"/>
              <w:rPr>
                <w:b/>
                <w:sz w:val="18"/>
              </w:rPr>
            </w:pPr>
            <w:r>
              <w:rPr>
                <w:b/>
                <w:sz w:val="18"/>
              </w:rPr>
              <w:t>Fixed cost allowed to be recovered</w:t>
            </w:r>
          </w:p>
        </w:tc>
      </w:tr>
      <w:tr w:rsidR="007C5447">
        <w:trPr>
          <w:trHeight w:val="299"/>
        </w:trPr>
        <w:tc>
          <w:tcPr>
            <w:tcW w:w="708" w:type="dxa"/>
          </w:tcPr>
          <w:p w:rsidR="007C5447" w:rsidRDefault="00F6308C">
            <w:pPr>
              <w:pStyle w:val="TableParagraph"/>
              <w:spacing w:before="45"/>
              <w:ind w:left="307"/>
              <w:jc w:val="left"/>
              <w:rPr>
                <w:sz w:val="18"/>
              </w:rPr>
            </w:pPr>
            <w:r>
              <w:rPr>
                <w:sz w:val="18"/>
              </w:rPr>
              <w:t>1</w:t>
            </w:r>
          </w:p>
        </w:tc>
        <w:tc>
          <w:tcPr>
            <w:tcW w:w="1704" w:type="dxa"/>
          </w:tcPr>
          <w:p w:rsidR="007C5447" w:rsidRDefault="00F6308C">
            <w:pPr>
              <w:pStyle w:val="TableParagraph"/>
              <w:spacing w:before="45"/>
              <w:ind w:left="107"/>
              <w:jc w:val="left"/>
              <w:rPr>
                <w:sz w:val="18"/>
              </w:rPr>
            </w:pPr>
            <w:r>
              <w:rPr>
                <w:sz w:val="18"/>
              </w:rPr>
              <w:t>Ennore TPS</w:t>
            </w:r>
          </w:p>
        </w:tc>
        <w:tc>
          <w:tcPr>
            <w:tcW w:w="1204" w:type="dxa"/>
          </w:tcPr>
          <w:p w:rsidR="007C5447" w:rsidRDefault="00F6308C">
            <w:pPr>
              <w:pStyle w:val="TableParagraph"/>
              <w:spacing w:before="45"/>
              <w:ind w:right="127"/>
              <w:rPr>
                <w:sz w:val="18"/>
              </w:rPr>
            </w:pPr>
            <w:r>
              <w:rPr>
                <w:sz w:val="18"/>
              </w:rPr>
              <w:t>42.11</w:t>
            </w:r>
          </w:p>
        </w:tc>
        <w:tc>
          <w:tcPr>
            <w:tcW w:w="1062" w:type="dxa"/>
          </w:tcPr>
          <w:p w:rsidR="007C5447" w:rsidRDefault="00F6308C">
            <w:pPr>
              <w:pStyle w:val="TableParagraph"/>
              <w:spacing w:before="45"/>
              <w:ind w:right="131"/>
              <w:rPr>
                <w:sz w:val="18"/>
              </w:rPr>
            </w:pPr>
            <w:r>
              <w:rPr>
                <w:sz w:val="18"/>
              </w:rPr>
              <w:t>105.08</w:t>
            </w:r>
          </w:p>
        </w:tc>
        <w:tc>
          <w:tcPr>
            <w:tcW w:w="969" w:type="dxa"/>
          </w:tcPr>
          <w:p w:rsidR="007C5447" w:rsidRDefault="00F6308C">
            <w:pPr>
              <w:pStyle w:val="TableParagraph"/>
              <w:spacing w:before="45"/>
              <w:ind w:right="126"/>
              <w:rPr>
                <w:sz w:val="18"/>
              </w:rPr>
            </w:pPr>
            <w:r>
              <w:rPr>
                <w:w w:val="99"/>
                <w:sz w:val="18"/>
              </w:rPr>
              <w:t>-</w:t>
            </w:r>
          </w:p>
        </w:tc>
        <w:tc>
          <w:tcPr>
            <w:tcW w:w="992" w:type="dxa"/>
          </w:tcPr>
          <w:p w:rsidR="007C5447" w:rsidRDefault="00F6308C">
            <w:pPr>
              <w:pStyle w:val="TableParagraph"/>
              <w:spacing w:before="45"/>
              <w:ind w:right="126"/>
              <w:rPr>
                <w:sz w:val="18"/>
              </w:rPr>
            </w:pPr>
            <w:r>
              <w:rPr>
                <w:sz w:val="18"/>
              </w:rPr>
              <w:t>36.64</w:t>
            </w:r>
          </w:p>
        </w:tc>
        <w:tc>
          <w:tcPr>
            <w:tcW w:w="1134" w:type="dxa"/>
          </w:tcPr>
          <w:p w:rsidR="007C5447" w:rsidRDefault="00F6308C">
            <w:pPr>
              <w:pStyle w:val="TableParagraph"/>
              <w:spacing w:before="45"/>
              <w:ind w:right="127"/>
              <w:rPr>
                <w:sz w:val="18"/>
              </w:rPr>
            </w:pPr>
            <w:r>
              <w:rPr>
                <w:sz w:val="18"/>
              </w:rPr>
              <w:t>124.60</w:t>
            </w:r>
          </w:p>
        </w:tc>
        <w:tc>
          <w:tcPr>
            <w:tcW w:w="1154" w:type="dxa"/>
          </w:tcPr>
          <w:p w:rsidR="007C5447" w:rsidRDefault="00F6308C">
            <w:pPr>
              <w:pStyle w:val="TableParagraph"/>
              <w:spacing w:before="45"/>
              <w:ind w:right="124"/>
              <w:rPr>
                <w:sz w:val="18"/>
              </w:rPr>
            </w:pPr>
            <w:r>
              <w:rPr>
                <w:sz w:val="18"/>
              </w:rPr>
              <w:t>0.14</w:t>
            </w:r>
          </w:p>
        </w:tc>
        <w:tc>
          <w:tcPr>
            <w:tcW w:w="1132" w:type="dxa"/>
          </w:tcPr>
          <w:p w:rsidR="007C5447" w:rsidRDefault="00F6308C">
            <w:pPr>
              <w:pStyle w:val="TableParagraph"/>
              <w:spacing w:before="45"/>
              <w:ind w:right="121"/>
              <w:rPr>
                <w:sz w:val="18"/>
              </w:rPr>
            </w:pPr>
            <w:r>
              <w:rPr>
                <w:w w:val="99"/>
                <w:sz w:val="18"/>
              </w:rPr>
              <w:t>-</w:t>
            </w:r>
          </w:p>
        </w:tc>
        <w:tc>
          <w:tcPr>
            <w:tcW w:w="1312" w:type="dxa"/>
          </w:tcPr>
          <w:p w:rsidR="007C5447" w:rsidRDefault="00F6308C">
            <w:pPr>
              <w:pStyle w:val="TableParagraph"/>
              <w:spacing w:before="45"/>
              <w:ind w:right="121"/>
              <w:rPr>
                <w:sz w:val="18"/>
              </w:rPr>
            </w:pPr>
            <w:r>
              <w:rPr>
                <w:sz w:val="18"/>
              </w:rPr>
              <w:t>(2.51)</w:t>
            </w:r>
          </w:p>
        </w:tc>
        <w:tc>
          <w:tcPr>
            <w:tcW w:w="1097" w:type="dxa"/>
          </w:tcPr>
          <w:p w:rsidR="007C5447" w:rsidRDefault="00F6308C">
            <w:pPr>
              <w:pStyle w:val="TableParagraph"/>
              <w:spacing w:before="45"/>
              <w:ind w:right="119"/>
              <w:rPr>
                <w:sz w:val="18"/>
              </w:rPr>
            </w:pPr>
            <w:r>
              <w:rPr>
                <w:sz w:val="18"/>
              </w:rPr>
              <w:t>30.80</w:t>
            </w:r>
          </w:p>
        </w:tc>
        <w:tc>
          <w:tcPr>
            <w:tcW w:w="1219" w:type="dxa"/>
          </w:tcPr>
          <w:p w:rsidR="007C5447" w:rsidRDefault="00F6308C">
            <w:pPr>
              <w:pStyle w:val="TableParagraph"/>
              <w:spacing w:before="45"/>
              <w:ind w:right="124"/>
              <w:rPr>
                <w:sz w:val="18"/>
              </w:rPr>
            </w:pPr>
            <w:r>
              <w:rPr>
                <w:sz w:val="18"/>
              </w:rPr>
              <w:t>2.38</w:t>
            </w:r>
          </w:p>
        </w:tc>
        <w:tc>
          <w:tcPr>
            <w:tcW w:w="1238" w:type="dxa"/>
          </w:tcPr>
          <w:p w:rsidR="007C5447" w:rsidRDefault="00F6308C">
            <w:pPr>
              <w:pStyle w:val="TableParagraph"/>
              <w:spacing w:before="45"/>
              <w:ind w:right="121"/>
              <w:rPr>
                <w:sz w:val="18"/>
              </w:rPr>
            </w:pPr>
            <w:r>
              <w:rPr>
                <w:sz w:val="18"/>
              </w:rPr>
              <w:t>277.65</w:t>
            </w:r>
          </w:p>
        </w:tc>
        <w:tc>
          <w:tcPr>
            <w:tcW w:w="1332" w:type="dxa"/>
          </w:tcPr>
          <w:p w:rsidR="007C5447" w:rsidRDefault="00F6308C">
            <w:pPr>
              <w:pStyle w:val="TableParagraph"/>
              <w:spacing w:before="45"/>
              <w:ind w:right="121"/>
              <w:rPr>
                <w:sz w:val="18"/>
              </w:rPr>
            </w:pPr>
            <w:r>
              <w:rPr>
                <w:sz w:val="18"/>
              </w:rPr>
              <w:t>277.65</w:t>
            </w:r>
          </w:p>
        </w:tc>
      </w:tr>
      <w:tr w:rsidR="007C5447">
        <w:trPr>
          <w:trHeight w:val="299"/>
        </w:trPr>
        <w:tc>
          <w:tcPr>
            <w:tcW w:w="708" w:type="dxa"/>
          </w:tcPr>
          <w:p w:rsidR="007C5447" w:rsidRDefault="00F6308C">
            <w:pPr>
              <w:pStyle w:val="TableParagraph"/>
              <w:spacing w:before="45"/>
              <w:ind w:left="307"/>
              <w:jc w:val="left"/>
              <w:rPr>
                <w:sz w:val="18"/>
              </w:rPr>
            </w:pPr>
            <w:r>
              <w:rPr>
                <w:sz w:val="18"/>
              </w:rPr>
              <w:t>2</w:t>
            </w:r>
          </w:p>
        </w:tc>
        <w:tc>
          <w:tcPr>
            <w:tcW w:w="1704" w:type="dxa"/>
          </w:tcPr>
          <w:p w:rsidR="007C5447" w:rsidRDefault="00F6308C">
            <w:pPr>
              <w:pStyle w:val="TableParagraph"/>
              <w:spacing w:before="45"/>
              <w:ind w:left="107"/>
              <w:jc w:val="left"/>
              <w:rPr>
                <w:sz w:val="18"/>
              </w:rPr>
            </w:pPr>
            <w:r>
              <w:rPr>
                <w:sz w:val="18"/>
              </w:rPr>
              <w:t>Tuticorin TPS</w:t>
            </w:r>
          </w:p>
        </w:tc>
        <w:tc>
          <w:tcPr>
            <w:tcW w:w="1204" w:type="dxa"/>
          </w:tcPr>
          <w:p w:rsidR="007C5447" w:rsidRDefault="00F6308C">
            <w:pPr>
              <w:pStyle w:val="TableParagraph"/>
              <w:spacing w:before="45"/>
              <w:ind w:right="127"/>
              <w:rPr>
                <w:sz w:val="18"/>
              </w:rPr>
            </w:pPr>
            <w:r>
              <w:rPr>
                <w:sz w:val="18"/>
              </w:rPr>
              <w:t>48.76</w:t>
            </w:r>
          </w:p>
        </w:tc>
        <w:tc>
          <w:tcPr>
            <w:tcW w:w="1062" w:type="dxa"/>
          </w:tcPr>
          <w:p w:rsidR="007C5447" w:rsidRDefault="00F6308C">
            <w:pPr>
              <w:pStyle w:val="TableParagraph"/>
              <w:spacing w:before="45"/>
              <w:ind w:right="131"/>
              <w:rPr>
                <w:sz w:val="18"/>
              </w:rPr>
            </w:pPr>
            <w:r>
              <w:rPr>
                <w:sz w:val="18"/>
              </w:rPr>
              <w:t>138.67</w:t>
            </w:r>
          </w:p>
        </w:tc>
        <w:tc>
          <w:tcPr>
            <w:tcW w:w="969" w:type="dxa"/>
          </w:tcPr>
          <w:p w:rsidR="007C5447" w:rsidRDefault="00F6308C">
            <w:pPr>
              <w:pStyle w:val="TableParagraph"/>
              <w:spacing w:before="45"/>
              <w:ind w:right="126"/>
              <w:rPr>
                <w:sz w:val="18"/>
              </w:rPr>
            </w:pPr>
            <w:r>
              <w:rPr>
                <w:w w:val="99"/>
                <w:sz w:val="18"/>
              </w:rPr>
              <w:t>-</w:t>
            </w:r>
          </w:p>
        </w:tc>
        <w:tc>
          <w:tcPr>
            <w:tcW w:w="992" w:type="dxa"/>
          </w:tcPr>
          <w:p w:rsidR="007C5447" w:rsidRDefault="00F6308C">
            <w:pPr>
              <w:pStyle w:val="TableParagraph"/>
              <w:spacing w:before="45"/>
              <w:ind w:right="128"/>
              <w:rPr>
                <w:sz w:val="18"/>
              </w:rPr>
            </w:pPr>
            <w:r>
              <w:rPr>
                <w:sz w:val="18"/>
              </w:rPr>
              <w:t>189.18</w:t>
            </w:r>
          </w:p>
        </w:tc>
        <w:tc>
          <w:tcPr>
            <w:tcW w:w="1134" w:type="dxa"/>
          </w:tcPr>
          <w:p w:rsidR="007C5447" w:rsidRDefault="00F6308C">
            <w:pPr>
              <w:pStyle w:val="TableParagraph"/>
              <w:spacing w:before="45"/>
              <w:ind w:right="127"/>
              <w:rPr>
                <w:sz w:val="18"/>
              </w:rPr>
            </w:pPr>
            <w:r>
              <w:rPr>
                <w:sz w:val="18"/>
              </w:rPr>
              <w:t>159.43</w:t>
            </w:r>
          </w:p>
        </w:tc>
        <w:tc>
          <w:tcPr>
            <w:tcW w:w="1154" w:type="dxa"/>
          </w:tcPr>
          <w:p w:rsidR="007C5447" w:rsidRDefault="00F6308C">
            <w:pPr>
              <w:pStyle w:val="TableParagraph"/>
              <w:spacing w:before="45"/>
              <w:ind w:right="124"/>
              <w:rPr>
                <w:sz w:val="18"/>
              </w:rPr>
            </w:pPr>
            <w:r>
              <w:rPr>
                <w:sz w:val="18"/>
              </w:rPr>
              <w:t>0.21</w:t>
            </w:r>
          </w:p>
        </w:tc>
        <w:tc>
          <w:tcPr>
            <w:tcW w:w="1132" w:type="dxa"/>
          </w:tcPr>
          <w:p w:rsidR="007C5447" w:rsidRDefault="00F6308C">
            <w:pPr>
              <w:pStyle w:val="TableParagraph"/>
              <w:spacing w:before="45"/>
              <w:ind w:right="121"/>
              <w:rPr>
                <w:sz w:val="18"/>
              </w:rPr>
            </w:pPr>
            <w:r>
              <w:rPr>
                <w:w w:val="99"/>
                <w:sz w:val="18"/>
              </w:rPr>
              <w:t>-</w:t>
            </w:r>
          </w:p>
        </w:tc>
        <w:tc>
          <w:tcPr>
            <w:tcW w:w="1312" w:type="dxa"/>
          </w:tcPr>
          <w:p w:rsidR="007C5447" w:rsidRDefault="00F6308C">
            <w:pPr>
              <w:pStyle w:val="TableParagraph"/>
              <w:spacing w:before="45"/>
              <w:ind w:right="125"/>
              <w:rPr>
                <w:sz w:val="18"/>
              </w:rPr>
            </w:pPr>
            <w:r>
              <w:rPr>
                <w:sz w:val="18"/>
              </w:rPr>
              <w:t>2.68</w:t>
            </w:r>
          </w:p>
        </w:tc>
        <w:tc>
          <w:tcPr>
            <w:tcW w:w="1097" w:type="dxa"/>
          </w:tcPr>
          <w:p w:rsidR="007C5447" w:rsidRDefault="00F6308C">
            <w:pPr>
              <w:pStyle w:val="TableParagraph"/>
              <w:spacing w:before="45"/>
              <w:ind w:right="120"/>
              <w:rPr>
                <w:sz w:val="18"/>
              </w:rPr>
            </w:pPr>
            <w:r>
              <w:rPr>
                <w:sz w:val="18"/>
              </w:rPr>
              <w:t>46.83</w:t>
            </w:r>
          </w:p>
        </w:tc>
        <w:tc>
          <w:tcPr>
            <w:tcW w:w="1219" w:type="dxa"/>
          </w:tcPr>
          <w:p w:rsidR="007C5447" w:rsidRDefault="00F6308C">
            <w:pPr>
              <w:pStyle w:val="TableParagraph"/>
              <w:spacing w:before="45"/>
              <w:ind w:right="124"/>
              <w:rPr>
                <w:sz w:val="18"/>
              </w:rPr>
            </w:pPr>
            <w:r>
              <w:rPr>
                <w:sz w:val="18"/>
              </w:rPr>
              <w:t>4.60</w:t>
            </w:r>
          </w:p>
        </w:tc>
        <w:tc>
          <w:tcPr>
            <w:tcW w:w="1238" w:type="dxa"/>
          </w:tcPr>
          <w:p w:rsidR="007C5447" w:rsidRDefault="00F6308C">
            <w:pPr>
              <w:pStyle w:val="TableParagraph"/>
              <w:spacing w:before="45"/>
              <w:ind w:right="121"/>
              <w:rPr>
                <w:sz w:val="18"/>
              </w:rPr>
            </w:pPr>
            <w:r>
              <w:rPr>
                <w:sz w:val="18"/>
              </w:rPr>
              <w:t>496.71</w:t>
            </w:r>
          </w:p>
        </w:tc>
        <w:tc>
          <w:tcPr>
            <w:tcW w:w="1332" w:type="dxa"/>
          </w:tcPr>
          <w:p w:rsidR="007C5447" w:rsidRDefault="00F6308C">
            <w:pPr>
              <w:pStyle w:val="TableParagraph"/>
              <w:spacing w:before="45"/>
              <w:ind w:right="121"/>
              <w:rPr>
                <w:sz w:val="18"/>
              </w:rPr>
            </w:pPr>
            <w:r>
              <w:rPr>
                <w:sz w:val="18"/>
              </w:rPr>
              <w:t>496.71</w:t>
            </w:r>
          </w:p>
        </w:tc>
      </w:tr>
      <w:tr w:rsidR="007C5447">
        <w:trPr>
          <w:trHeight w:val="300"/>
        </w:trPr>
        <w:tc>
          <w:tcPr>
            <w:tcW w:w="708" w:type="dxa"/>
          </w:tcPr>
          <w:p w:rsidR="007C5447" w:rsidRDefault="00F6308C">
            <w:pPr>
              <w:pStyle w:val="TableParagraph"/>
              <w:spacing w:before="47"/>
              <w:ind w:left="307"/>
              <w:jc w:val="left"/>
              <w:rPr>
                <w:sz w:val="18"/>
              </w:rPr>
            </w:pPr>
            <w:r>
              <w:rPr>
                <w:sz w:val="18"/>
              </w:rPr>
              <w:t>3</w:t>
            </w:r>
          </w:p>
        </w:tc>
        <w:tc>
          <w:tcPr>
            <w:tcW w:w="1704" w:type="dxa"/>
          </w:tcPr>
          <w:p w:rsidR="007C5447" w:rsidRDefault="00F6308C">
            <w:pPr>
              <w:pStyle w:val="TableParagraph"/>
              <w:spacing w:before="47"/>
              <w:ind w:left="107"/>
              <w:jc w:val="left"/>
              <w:rPr>
                <w:sz w:val="18"/>
              </w:rPr>
            </w:pPr>
            <w:r>
              <w:rPr>
                <w:sz w:val="18"/>
              </w:rPr>
              <w:t>Mettur TPS</w:t>
            </w:r>
          </w:p>
        </w:tc>
        <w:tc>
          <w:tcPr>
            <w:tcW w:w="1204" w:type="dxa"/>
          </w:tcPr>
          <w:p w:rsidR="007C5447" w:rsidRDefault="00F6308C">
            <w:pPr>
              <w:pStyle w:val="TableParagraph"/>
              <w:spacing w:before="47"/>
              <w:ind w:right="127"/>
              <w:rPr>
                <w:sz w:val="18"/>
              </w:rPr>
            </w:pPr>
            <w:r>
              <w:rPr>
                <w:sz w:val="18"/>
              </w:rPr>
              <w:t>33.93</w:t>
            </w:r>
          </w:p>
        </w:tc>
        <w:tc>
          <w:tcPr>
            <w:tcW w:w="1062" w:type="dxa"/>
          </w:tcPr>
          <w:p w:rsidR="007C5447" w:rsidRDefault="00F6308C">
            <w:pPr>
              <w:pStyle w:val="TableParagraph"/>
              <w:spacing w:before="47"/>
              <w:ind w:right="128"/>
              <w:rPr>
                <w:sz w:val="18"/>
              </w:rPr>
            </w:pPr>
            <w:r>
              <w:rPr>
                <w:sz w:val="18"/>
              </w:rPr>
              <w:t>76.76</w:t>
            </w:r>
          </w:p>
        </w:tc>
        <w:tc>
          <w:tcPr>
            <w:tcW w:w="969" w:type="dxa"/>
          </w:tcPr>
          <w:p w:rsidR="007C5447" w:rsidRDefault="00F6308C">
            <w:pPr>
              <w:pStyle w:val="TableParagraph"/>
              <w:spacing w:before="47"/>
              <w:ind w:right="126"/>
              <w:rPr>
                <w:sz w:val="18"/>
              </w:rPr>
            </w:pPr>
            <w:r>
              <w:rPr>
                <w:w w:val="99"/>
                <w:sz w:val="18"/>
              </w:rPr>
              <w:t>-</w:t>
            </w:r>
          </w:p>
        </w:tc>
        <w:tc>
          <w:tcPr>
            <w:tcW w:w="992" w:type="dxa"/>
          </w:tcPr>
          <w:p w:rsidR="007C5447" w:rsidRDefault="00F6308C">
            <w:pPr>
              <w:pStyle w:val="TableParagraph"/>
              <w:spacing w:before="47"/>
              <w:ind w:right="128"/>
              <w:rPr>
                <w:sz w:val="18"/>
              </w:rPr>
            </w:pPr>
            <w:r>
              <w:rPr>
                <w:sz w:val="18"/>
              </w:rPr>
              <w:t>165.96</w:t>
            </w:r>
          </w:p>
        </w:tc>
        <w:tc>
          <w:tcPr>
            <w:tcW w:w="1134" w:type="dxa"/>
          </w:tcPr>
          <w:p w:rsidR="007C5447" w:rsidRDefault="00F6308C">
            <w:pPr>
              <w:pStyle w:val="TableParagraph"/>
              <w:spacing w:before="47"/>
              <w:ind w:right="127"/>
              <w:rPr>
                <w:sz w:val="18"/>
              </w:rPr>
            </w:pPr>
            <w:r>
              <w:rPr>
                <w:sz w:val="18"/>
              </w:rPr>
              <w:t>134.18</w:t>
            </w:r>
          </w:p>
        </w:tc>
        <w:tc>
          <w:tcPr>
            <w:tcW w:w="1154" w:type="dxa"/>
          </w:tcPr>
          <w:p w:rsidR="007C5447" w:rsidRDefault="00F6308C">
            <w:pPr>
              <w:pStyle w:val="TableParagraph"/>
              <w:spacing w:before="47"/>
              <w:ind w:right="124"/>
              <w:rPr>
                <w:sz w:val="18"/>
              </w:rPr>
            </w:pPr>
            <w:r>
              <w:rPr>
                <w:sz w:val="18"/>
              </w:rPr>
              <w:t>0.14</w:t>
            </w:r>
          </w:p>
        </w:tc>
        <w:tc>
          <w:tcPr>
            <w:tcW w:w="1132" w:type="dxa"/>
          </w:tcPr>
          <w:p w:rsidR="007C5447" w:rsidRDefault="00F6308C">
            <w:pPr>
              <w:pStyle w:val="TableParagraph"/>
              <w:spacing w:before="47"/>
              <w:ind w:right="121"/>
              <w:rPr>
                <w:sz w:val="18"/>
              </w:rPr>
            </w:pPr>
            <w:r>
              <w:rPr>
                <w:w w:val="99"/>
                <w:sz w:val="18"/>
              </w:rPr>
              <w:t>-</w:t>
            </w:r>
          </w:p>
        </w:tc>
        <w:tc>
          <w:tcPr>
            <w:tcW w:w="1312" w:type="dxa"/>
          </w:tcPr>
          <w:p w:rsidR="007C5447" w:rsidRDefault="00F6308C">
            <w:pPr>
              <w:pStyle w:val="TableParagraph"/>
              <w:spacing w:before="47"/>
              <w:ind w:right="121"/>
              <w:rPr>
                <w:sz w:val="18"/>
              </w:rPr>
            </w:pPr>
            <w:r>
              <w:rPr>
                <w:sz w:val="18"/>
              </w:rPr>
              <w:t>(16.11)</w:t>
            </w:r>
          </w:p>
        </w:tc>
        <w:tc>
          <w:tcPr>
            <w:tcW w:w="1097" w:type="dxa"/>
          </w:tcPr>
          <w:p w:rsidR="007C5447" w:rsidRDefault="00F6308C">
            <w:pPr>
              <w:pStyle w:val="TableParagraph"/>
              <w:spacing w:before="47"/>
              <w:ind w:right="120"/>
              <w:rPr>
                <w:sz w:val="18"/>
              </w:rPr>
            </w:pPr>
            <w:r>
              <w:rPr>
                <w:sz w:val="18"/>
              </w:rPr>
              <w:t>48.69</w:t>
            </w:r>
          </w:p>
        </w:tc>
        <w:tc>
          <w:tcPr>
            <w:tcW w:w="1219" w:type="dxa"/>
          </w:tcPr>
          <w:p w:rsidR="007C5447" w:rsidRDefault="00F6308C">
            <w:pPr>
              <w:pStyle w:val="TableParagraph"/>
              <w:spacing w:before="47"/>
              <w:ind w:right="124"/>
              <w:rPr>
                <w:sz w:val="18"/>
              </w:rPr>
            </w:pPr>
            <w:r>
              <w:rPr>
                <w:sz w:val="18"/>
              </w:rPr>
              <w:t>3.51</w:t>
            </w:r>
          </w:p>
        </w:tc>
        <w:tc>
          <w:tcPr>
            <w:tcW w:w="1238" w:type="dxa"/>
          </w:tcPr>
          <w:p w:rsidR="007C5447" w:rsidRDefault="00F6308C">
            <w:pPr>
              <w:pStyle w:val="TableParagraph"/>
              <w:spacing w:before="47"/>
              <w:ind w:right="121"/>
              <w:rPr>
                <w:sz w:val="18"/>
              </w:rPr>
            </w:pPr>
            <w:r>
              <w:rPr>
                <w:sz w:val="18"/>
              </w:rPr>
              <w:t>349.69</w:t>
            </w:r>
          </w:p>
        </w:tc>
        <w:tc>
          <w:tcPr>
            <w:tcW w:w="1332" w:type="dxa"/>
          </w:tcPr>
          <w:p w:rsidR="007C5447" w:rsidRDefault="00F6308C">
            <w:pPr>
              <w:pStyle w:val="TableParagraph"/>
              <w:spacing w:before="47"/>
              <w:ind w:right="121"/>
              <w:rPr>
                <w:sz w:val="18"/>
              </w:rPr>
            </w:pPr>
            <w:r>
              <w:rPr>
                <w:sz w:val="18"/>
              </w:rPr>
              <w:t>349.69</w:t>
            </w:r>
          </w:p>
        </w:tc>
      </w:tr>
      <w:tr w:rsidR="007C5447">
        <w:trPr>
          <w:trHeight w:val="299"/>
        </w:trPr>
        <w:tc>
          <w:tcPr>
            <w:tcW w:w="708" w:type="dxa"/>
          </w:tcPr>
          <w:p w:rsidR="007C5447" w:rsidRDefault="00F6308C">
            <w:pPr>
              <w:pStyle w:val="TableParagraph"/>
              <w:spacing w:before="47"/>
              <w:ind w:left="307"/>
              <w:jc w:val="left"/>
              <w:rPr>
                <w:sz w:val="18"/>
              </w:rPr>
            </w:pPr>
            <w:r>
              <w:rPr>
                <w:sz w:val="18"/>
              </w:rPr>
              <w:t>4</w:t>
            </w:r>
          </w:p>
        </w:tc>
        <w:tc>
          <w:tcPr>
            <w:tcW w:w="1704" w:type="dxa"/>
          </w:tcPr>
          <w:p w:rsidR="007C5447" w:rsidRDefault="00F6308C">
            <w:pPr>
              <w:pStyle w:val="TableParagraph"/>
              <w:spacing w:before="47"/>
              <w:ind w:left="107"/>
              <w:jc w:val="left"/>
              <w:rPr>
                <w:sz w:val="18"/>
              </w:rPr>
            </w:pPr>
            <w:r>
              <w:rPr>
                <w:sz w:val="18"/>
              </w:rPr>
              <w:t>North Chennai TPS</w:t>
            </w:r>
          </w:p>
        </w:tc>
        <w:tc>
          <w:tcPr>
            <w:tcW w:w="1204" w:type="dxa"/>
          </w:tcPr>
          <w:p w:rsidR="007C5447" w:rsidRDefault="00F6308C">
            <w:pPr>
              <w:pStyle w:val="TableParagraph"/>
              <w:spacing w:before="47"/>
              <w:ind w:right="127"/>
              <w:rPr>
                <w:sz w:val="18"/>
              </w:rPr>
            </w:pPr>
            <w:r>
              <w:rPr>
                <w:sz w:val="18"/>
              </w:rPr>
              <w:t>66.10</w:t>
            </w:r>
          </w:p>
        </w:tc>
        <w:tc>
          <w:tcPr>
            <w:tcW w:w="1062" w:type="dxa"/>
          </w:tcPr>
          <w:p w:rsidR="007C5447" w:rsidRDefault="00F6308C">
            <w:pPr>
              <w:pStyle w:val="TableParagraph"/>
              <w:spacing w:before="47"/>
              <w:ind w:right="131"/>
              <w:rPr>
                <w:sz w:val="18"/>
              </w:rPr>
            </w:pPr>
            <w:r>
              <w:rPr>
                <w:sz w:val="18"/>
              </w:rPr>
              <w:t>111.11</w:t>
            </w:r>
          </w:p>
        </w:tc>
        <w:tc>
          <w:tcPr>
            <w:tcW w:w="969" w:type="dxa"/>
          </w:tcPr>
          <w:p w:rsidR="007C5447" w:rsidRDefault="00F6308C">
            <w:pPr>
              <w:pStyle w:val="TableParagraph"/>
              <w:spacing w:before="47"/>
              <w:ind w:right="126"/>
              <w:rPr>
                <w:sz w:val="18"/>
              </w:rPr>
            </w:pPr>
            <w:r>
              <w:rPr>
                <w:w w:val="99"/>
                <w:sz w:val="18"/>
              </w:rPr>
              <w:t>-</w:t>
            </w:r>
          </w:p>
        </w:tc>
        <w:tc>
          <w:tcPr>
            <w:tcW w:w="992" w:type="dxa"/>
          </w:tcPr>
          <w:p w:rsidR="007C5447" w:rsidRDefault="00F6308C">
            <w:pPr>
              <w:pStyle w:val="TableParagraph"/>
              <w:spacing w:before="47"/>
              <w:ind w:right="126"/>
              <w:rPr>
                <w:sz w:val="18"/>
              </w:rPr>
            </w:pPr>
            <w:r>
              <w:rPr>
                <w:sz w:val="18"/>
              </w:rPr>
              <w:t>88.33</w:t>
            </w:r>
          </w:p>
        </w:tc>
        <w:tc>
          <w:tcPr>
            <w:tcW w:w="1134" w:type="dxa"/>
          </w:tcPr>
          <w:p w:rsidR="007C5447" w:rsidRDefault="00F6308C">
            <w:pPr>
              <w:pStyle w:val="TableParagraph"/>
              <w:spacing w:before="47"/>
              <w:ind w:right="127"/>
              <w:rPr>
                <w:sz w:val="18"/>
              </w:rPr>
            </w:pPr>
            <w:r>
              <w:rPr>
                <w:sz w:val="18"/>
              </w:rPr>
              <w:t>138.05</w:t>
            </w:r>
          </w:p>
        </w:tc>
        <w:tc>
          <w:tcPr>
            <w:tcW w:w="1154" w:type="dxa"/>
          </w:tcPr>
          <w:p w:rsidR="007C5447" w:rsidRDefault="00F6308C">
            <w:pPr>
              <w:pStyle w:val="TableParagraph"/>
              <w:spacing w:before="47"/>
              <w:ind w:right="124"/>
              <w:rPr>
                <w:sz w:val="18"/>
              </w:rPr>
            </w:pPr>
            <w:r>
              <w:rPr>
                <w:sz w:val="18"/>
              </w:rPr>
              <w:t>0.28</w:t>
            </w:r>
          </w:p>
        </w:tc>
        <w:tc>
          <w:tcPr>
            <w:tcW w:w="1132" w:type="dxa"/>
          </w:tcPr>
          <w:p w:rsidR="007C5447" w:rsidRDefault="00F6308C">
            <w:pPr>
              <w:pStyle w:val="TableParagraph"/>
              <w:spacing w:before="47"/>
              <w:ind w:right="121"/>
              <w:rPr>
                <w:sz w:val="18"/>
              </w:rPr>
            </w:pPr>
            <w:r>
              <w:rPr>
                <w:w w:val="99"/>
                <w:sz w:val="18"/>
              </w:rPr>
              <w:t>-</w:t>
            </w:r>
          </w:p>
        </w:tc>
        <w:tc>
          <w:tcPr>
            <w:tcW w:w="1312" w:type="dxa"/>
          </w:tcPr>
          <w:p w:rsidR="007C5447" w:rsidRDefault="00F6308C">
            <w:pPr>
              <w:pStyle w:val="TableParagraph"/>
              <w:spacing w:before="47"/>
              <w:ind w:right="121"/>
              <w:rPr>
                <w:sz w:val="18"/>
              </w:rPr>
            </w:pPr>
            <w:r>
              <w:rPr>
                <w:sz w:val="18"/>
              </w:rPr>
              <w:t>(1.54)</w:t>
            </w:r>
          </w:p>
        </w:tc>
        <w:tc>
          <w:tcPr>
            <w:tcW w:w="1097" w:type="dxa"/>
          </w:tcPr>
          <w:p w:rsidR="007C5447" w:rsidRDefault="00F6308C">
            <w:pPr>
              <w:pStyle w:val="TableParagraph"/>
              <w:spacing w:before="47"/>
              <w:ind w:right="120"/>
              <w:rPr>
                <w:sz w:val="18"/>
              </w:rPr>
            </w:pPr>
            <w:r>
              <w:rPr>
                <w:sz w:val="18"/>
              </w:rPr>
              <w:t>22.98</w:t>
            </w:r>
          </w:p>
        </w:tc>
        <w:tc>
          <w:tcPr>
            <w:tcW w:w="1219" w:type="dxa"/>
          </w:tcPr>
          <w:p w:rsidR="007C5447" w:rsidRDefault="00F6308C">
            <w:pPr>
              <w:pStyle w:val="TableParagraph"/>
              <w:spacing w:before="47"/>
              <w:ind w:right="124"/>
              <w:rPr>
                <w:sz w:val="18"/>
              </w:rPr>
            </w:pPr>
            <w:r>
              <w:rPr>
                <w:sz w:val="18"/>
              </w:rPr>
              <w:t>3.00</w:t>
            </w:r>
          </w:p>
        </w:tc>
        <w:tc>
          <w:tcPr>
            <w:tcW w:w="1238" w:type="dxa"/>
          </w:tcPr>
          <w:p w:rsidR="007C5447" w:rsidRDefault="00F6308C">
            <w:pPr>
              <w:pStyle w:val="TableParagraph"/>
              <w:spacing w:before="47"/>
              <w:ind w:right="121"/>
              <w:rPr>
                <w:sz w:val="18"/>
              </w:rPr>
            </w:pPr>
            <w:r>
              <w:rPr>
                <w:sz w:val="18"/>
              </w:rPr>
              <w:t>382.37</w:t>
            </w:r>
          </w:p>
        </w:tc>
        <w:tc>
          <w:tcPr>
            <w:tcW w:w="1332" w:type="dxa"/>
          </w:tcPr>
          <w:p w:rsidR="007C5447" w:rsidRDefault="00F6308C">
            <w:pPr>
              <w:pStyle w:val="TableParagraph"/>
              <w:spacing w:before="47"/>
              <w:ind w:right="121"/>
              <w:rPr>
                <w:sz w:val="18"/>
              </w:rPr>
            </w:pPr>
            <w:r>
              <w:rPr>
                <w:sz w:val="18"/>
              </w:rPr>
              <w:t>382.37</w:t>
            </w:r>
          </w:p>
        </w:tc>
      </w:tr>
      <w:tr w:rsidR="007C5447">
        <w:trPr>
          <w:trHeight w:val="443"/>
        </w:trPr>
        <w:tc>
          <w:tcPr>
            <w:tcW w:w="708" w:type="dxa"/>
          </w:tcPr>
          <w:p w:rsidR="007C5447" w:rsidRDefault="00F6308C">
            <w:pPr>
              <w:pStyle w:val="TableParagraph"/>
              <w:spacing w:before="119"/>
              <w:ind w:left="307"/>
              <w:jc w:val="left"/>
              <w:rPr>
                <w:sz w:val="18"/>
              </w:rPr>
            </w:pPr>
            <w:r>
              <w:rPr>
                <w:sz w:val="18"/>
              </w:rPr>
              <w:t>5</w:t>
            </w:r>
          </w:p>
        </w:tc>
        <w:tc>
          <w:tcPr>
            <w:tcW w:w="1704" w:type="dxa"/>
          </w:tcPr>
          <w:p w:rsidR="007C5447" w:rsidRDefault="00F6308C">
            <w:pPr>
              <w:pStyle w:val="TableParagraph"/>
              <w:spacing w:before="20" w:line="206" w:lineRule="exact"/>
              <w:ind w:left="107" w:right="277"/>
              <w:jc w:val="left"/>
              <w:rPr>
                <w:sz w:val="18"/>
              </w:rPr>
            </w:pPr>
            <w:r>
              <w:rPr>
                <w:sz w:val="18"/>
              </w:rPr>
              <w:t>Mettur TPS Stage III</w:t>
            </w:r>
          </w:p>
        </w:tc>
        <w:tc>
          <w:tcPr>
            <w:tcW w:w="1204" w:type="dxa"/>
          </w:tcPr>
          <w:p w:rsidR="007C5447" w:rsidRDefault="00F6308C">
            <w:pPr>
              <w:pStyle w:val="TableParagraph"/>
              <w:spacing w:before="119"/>
              <w:ind w:right="128"/>
              <w:rPr>
                <w:sz w:val="18"/>
              </w:rPr>
            </w:pPr>
            <w:r>
              <w:rPr>
                <w:w w:val="99"/>
                <w:sz w:val="18"/>
              </w:rPr>
              <w:t>-</w:t>
            </w:r>
          </w:p>
        </w:tc>
        <w:tc>
          <w:tcPr>
            <w:tcW w:w="1062" w:type="dxa"/>
          </w:tcPr>
          <w:p w:rsidR="007C5447" w:rsidRDefault="00F6308C">
            <w:pPr>
              <w:pStyle w:val="TableParagraph"/>
              <w:spacing w:before="119"/>
              <w:ind w:right="131"/>
              <w:rPr>
                <w:sz w:val="18"/>
              </w:rPr>
            </w:pPr>
            <w:r>
              <w:rPr>
                <w:sz w:val="18"/>
              </w:rPr>
              <w:t>194.91</w:t>
            </w:r>
          </w:p>
        </w:tc>
        <w:tc>
          <w:tcPr>
            <w:tcW w:w="969" w:type="dxa"/>
          </w:tcPr>
          <w:p w:rsidR="007C5447" w:rsidRDefault="00F6308C">
            <w:pPr>
              <w:pStyle w:val="TableParagraph"/>
              <w:spacing w:before="119"/>
              <w:ind w:right="126"/>
              <w:rPr>
                <w:sz w:val="18"/>
              </w:rPr>
            </w:pPr>
            <w:r>
              <w:rPr>
                <w:w w:val="99"/>
                <w:sz w:val="18"/>
              </w:rPr>
              <w:t>-</w:t>
            </w:r>
          </w:p>
        </w:tc>
        <w:tc>
          <w:tcPr>
            <w:tcW w:w="992" w:type="dxa"/>
          </w:tcPr>
          <w:p w:rsidR="007C5447" w:rsidRDefault="007C5447">
            <w:pPr>
              <w:pStyle w:val="TableParagraph"/>
              <w:jc w:val="left"/>
              <w:rPr>
                <w:sz w:val="18"/>
              </w:rPr>
            </w:pPr>
          </w:p>
        </w:tc>
        <w:tc>
          <w:tcPr>
            <w:tcW w:w="1134" w:type="dxa"/>
          </w:tcPr>
          <w:p w:rsidR="007C5447" w:rsidRDefault="00F6308C">
            <w:pPr>
              <w:pStyle w:val="TableParagraph"/>
              <w:spacing w:before="119"/>
              <w:ind w:right="125"/>
              <w:rPr>
                <w:sz w:val="18"/>
              </w:rPr>
            </w:pPr>
            <w:r>
              <w:rPr>
                <w:w w:val="99"/>
                <w:sz w:val="18"/>
              </w:rPr>
              <w:t>-</w:t>
            </w:r>
          </w:p>
        </w:tc>
        <w:tc>
          <w:tcPr>
            <w:tcW w:w="1154" w:type="dxa"/>
          </w:tcPr>
          <w:p w:rsidR="007C5447" w:rsidRDefault="00F6308C">
            <w:pPr>
              <w:pStyle w:val="TableParagraph"/>
              <w:spacing w:before="119"/>
              <w:ind w:right="122"/>
              <w:rPr>
                <w:sz w:val="18"/>
              </w:rPr>
            </w:pPr>
            <w:r>
              <w:rPr>
                <w:w w:val="99"/>
                <w:sz w:val="18"/>
              </w:rPr>
              <w:t>-</w:t>
            </w:r>
          </w:p>
        </w:tc>
        <w:tc>
          <w:tcPr>
            <w:tcW w:w="1132" w:type="dxa"/>
          </w:tcPr>
          <w:p w:rsidR="007C5447" w:rsidRDefault="00F6308C">
            <w:pPr>
              <w:pStyle w:val="TableParagraph"/>
              <w:spacing w:before="119"/>
              <w:ind w:right="121"/>
              <w:rPr>
                <w:sz w:val="18"/>
              </w:rPr>
            </w:pPr>
            <w:r>
              <w:rPr>
                <w:w w:val="99"/>
                <w:sz w:val="18"/>
              </w:rPr>
              <w:t>-</w:t>
            </w:r>
          </w:p>
        </w:tc>
        <w:tc>
          <w:tcPr>
            <w:tcW w:w="1312" w:type="dxa"/>
          </w:tcPr>
          <w:p w:rsidR="007C5447" w:rsidRDefault="00F6308C">
            <w:pPr>
              <w:pStyle w:val="TableParagraph"/>
              <w:spacing w:before="119"/>
              <w:ind w:right="121"/>
              <w:rPr>
                <w:sz w:val="18"/>
              </w:rPr>
            </w:pPr>
            <w:r>
              <w:rPr>
                <w:sz w:val="18"/>
              </w:rPr>
              <w:t>(36.67)</w:t>
            </w:r>
          </w:p>
        </w:tc>
        <w:tc>
          <w:tcPr>
            <w:tcW w:w="1097" w:type="dxa"/>
          </w:tcPr>
          <w:p w:rsidR="007C5447" w:rsidRDefault="007C5447">
            <w:pPr>
              <w:pStyle w:val="TableParagraph"/>
              <w:jc w:val="left"/>
              <w:rPr>
                <w:sz w:val="18"/>
              </w:rPr>
            </w:pPr>
          </w:p>
        </w:tc>
        <w:tc>
          <w:tcPr>
            <w:tcW w:w="1219" w:type="dxa"/>
          </w:tcPr>
          <w:p w:rsidR="007C5447" w:rsidRDefault="00F6308C">
            <w:pPr>
              <w:pStyle w:val="TableParagraph"/>
              <w:spacing w:before="119"/>
              <w:ind w:right="124"/>
              <w:rPr>
                <w:sz w:val="18"/>
              </w:rPr>
            </w:pPr>
            <w:r>
              <w:rPr>
                <w:sz w:val="18"/>
              </w:rPr>
              <w:t>0.67</w:t>
            </w:r>
          </w:p>
        </w:tc>
        <w:tc>
          <w:tcPr>
            <w:tcW w:w="1238" w:type="dxa"/>
          </w:tcPr>
          <w:p w:rsidR="007C5447" w:rsidRDefault="00F6308C">
            <w:pPr>
              <w:pStyle w:val="TableParagraph"/>
              <w:spacing w:before="119"/>
              <w:ind w:right="121"/>
              <w:rPr>
                <w:sz w:val="18"/>
              </w:rPr>
            </w:pPr>
            <w:r>
              <w:rPr>
                <w:sz w:val="18"/>
              </w:rPr>
              <w:t>158.92</w:t>
            </w:r>
          </w:p>
        </w:tc>
        <w:tc>
          <w:tcPr>
            <w:tcW w:w="1332" w:type="dxa"/>
          </w:tcPr>
          <w:p w:rsidR="007C5447" w:rsidRDefault="00F6308C">
            <w:pPr>
              <w:pStyle w:val="TableParagraph"/>
              <w:spacing w:before="119"/>
              <w:ind w:right="121"/>
              <w:rPr>
                <w:sz w:val="18"/>
              </w:rPr>
            </w:pPr>
            <w:r>
              <w:rPr>
                <w:sz w:val="18"/>
              </w:rPr>
              <w:t>158.92</w:t>
            </w:r>
          </w:p>
        </w:tc>
      </w:tr>
      <w:tr w:rsidR="007C5447">
        <w:trPr>
          <w:trHeight w:val="302"/>
        </w:trPr>
        <w:tc>
          <w:tcPr>
            <w:tcW w:w="708" w:type="dxa"/>
          </w:tcPr>
          <w:p w:rsidR="007C5447" w:rsidRDefault="007C5447">
            <w:pPr>
              <w:pStyle w:val="TableParagraph"/>
              <w:jc w:val="left"/>
              <w:rPr>
                <w:sz w:val="18"/>
              </w:rPr>
            </w:pPr>
          </w:p>
        </w:tc>
        <w:tc>
          <w:tcPr>
            <w:tcW w:w="1704" w:type="dxa"/>
          </w:tcPr>
          <w:p w:rsidR="007C5447" w:rsidRDefault="00F6308C">
            <w:pPr>
              <w:pStyle w:val="TableParagraph"/>
              <w:spacing w:before="47"/>
              <w:ind w:left="107"/>
              <w:jc w:val="left"/>
              <w:rPr>
                <w:sz w:val="18"/>
              </w:rPr>
            </w:pPr>
            <w:r>
              <w:rPr>
                <w:sz w:val="18"/>
              </w:rPr>
              <w:t>NCTPS Stage II</w:t>
            </w:r>
          </w:p>
        </w:tc>
        <w:tc>
          <w:tcPr>
            <w:tcW w:w="1204" w:type="dxa"/>
          </w:tcPr>
          <w:p w:rsidR="007C5447" w:rsidRDefault="007C5447">
            <w:pPr>
              <w:pStyle w:val="TableParagraph"/>
              <w:jc w:val="left"/>
              <w:rPr>
                <w:sz w:val="18"/>
              </w:rPr>
            </w:pPr>
          </w:p>
        </w:tc>
        <w:tc>
          <w:tcPr>
            <w:tcW w:w="1062" w:type="dxa"/>
          </w:tcPr>
          <w:p w:rsidR="007C5447" w:rsidRDefault="00F6308C">
            <w:pPr>
              <w:pStyle w:val="TableParagraph"/>
              <w:spacing w:before="47"/>
              <w:ind w:right="131"/>
              <w:rPr>
                <w:sz w:val="18"/>
              </w:rPr>
            </w:pPr>
            <w:r>
              <w:rPr>
                <w:sz w:val="18"/>
              </w:rPr>
              <w:t>197.54</w:t>
            </w:r>
          </w:p>
        </w:tc>
        <w:tc>
          <w:tcPr>
            <w:tcW w:w="969" w:type="dxa"/>
          </w:tcPr>
          <w:p w:rsidR="007C5447" w:rsidRDefault="00F6308C">
            <w:pPr>
              <w:pStyle w:val="TableParagraph"/>
              <w:spacing w:before="47"/>
              <w:ind w:right="126"/>
              <w:rPr>
                <w:sz w:val="18"/>
              </w:rPr>
            </w:pPr>
            <w:r>
              <w:rPr>
                <w:w w:val="99"/>
                <w:sz w:val="18"/>
              </w:rPr>
              <w:t>-</w:t>
            </w:r>
          </w:p>
        </w:tc>
        <w:tc>
          <w:tcPr>
            <w:tcW w:w="992" w:type="dxa"/>
          </w:tcPr>
          <w:p w:rsidR="007C5447" w:rsidRDefault="007C5447">
            <w:pPr>
              <w:pStyle w:val="TableParagraph"/>
              <w:jc w:val="left"/>
              <w:rPr>
                <w:sz w:val="18"/>
              </w:rPr>
            </w:pPr>
          </w:p>
        </w:tc>
        <w:tc>
          <w:tcPr>
            <w:tcW w:w="1134" w:type="dxa"/>
          </w:tcPr>
          <w:p w:rsidR="007C5447" w:rsidRDefault="00F6308C">
            <w:pPr>
              <w:pStyle w:val="TableParagraph"/>
              <w:spacing w:before="47"/>
              <w:ind w:right="125"/>
              <w:rPr>
                <w:sz w:val="18"/>
              </w:rPr>
            </w:pPr>
            <w:r>
              <w:rPr>
                <w:w w:val="99"/>
                <w:sz w:val="18"/>
              </w:rPr>
              <w:t>-</w:t>
            </w:r>
          </w:p>
        </w:tc>
        <w:tc>
          <w:tcPr>
            <w:tcW w:w="1154" w:type="dxa"/>
          </w:tcPr>
          <w:p w:rsidR="007C5447" w:rsidRDefault="00F6308C">
            <w:pPr>
              <w:pStyle w:val="TableParagraph"/>
              <w:spacing w:before="47"/>
              <w:ind w:right="122"/>
              <w:rPr>
                <w:sz w:val="18"/>
              </w:rPr>
            </w:pPr>
            <w:r>
              <w:rPr>
                <w:w w:val="99"/>
                <w:sz w:val="18"/>
              </w:rPr>
              <w:t>-</w:t>
            </w:r>
          </w:p>
        </w:tc>
        <w:tc>
          <w:tcPr>
            <w:tcW w:w="1132" w:type="dxa"/>
          </w:tcPr>
          <w:p w:rsidR="007C5447" w:rsidRDefault="00F6308C">
            <w:pPr>
              <w:pStyle w:val="TableParagraph"/>
              <w:spacing w:before="47"/>
              <w:ind w:right="121"/>
              <w:rPr>
                <w:sz w:val="18"/>
              </w:rPr>
            </w:pPr>
            <w:r>
              <w:rPr>
                <w:w w:val="99"/>
                <w:sz w:val="18"/>
              </w:rPr>
              <w:t>-</w:t>
            </w:r>
          </w:p>
        </w:tc>
        <w:tc>
          <w:tcPr>
            <w:tcW w:w="1312" w:type="dxa"/>
          </w:tcPr>
          <w:p w:rsidR="007C5447" w:rsidRDefault="00F6308C">
            <w:pPr>
              <w:pStyle w:val="TableParagraph"/>
              <w:spacing w:before="47"/>
              <w:ind w:right="123"/>
              <w:rPr>
                <w:sz w:val="18"/>
              </w:rPr>
            </w:pPr>
            <w:r>
              <w:rPr>
                <w:w w:val="99"/>
                <w:sz w:val="18"/>
              </w:rPr>
              <w:t>-</w:t>
            </w:r>
          </w:p>
        </w:tc>
        <w:tc>
          <w:tcPr>
            <w:tcW w:w="1097" w:type="dxa"/>
          </w:tcPr>
          <w:p w:rsidR="007C5447" w:rsidRDefault="007C5447">
            <w:pPr>
              <w:pStyle w:val="TableParagraph"/>
              <w:jc w:val="left"/>
              <w:rPr>
                <w:sz w:val="18"/>
              </w:rPr>
            </w:pPr>
          </w:p>
        </w:tc>
        <w:tc>
          <w:tcPr>
            <w:tcW w:w="1219" w:type="dxa"/>
          </w:tcPr>
          <w:p w:rsidR="007C5447" w:rsidRDefault="00F6308C">
            <w:pPr>
              <w:pStyle w:val="TableParagraph"/>
              <w:spacing w:before="47"/>
              <w:ind w:right="122"/>
              <w:rPr>
                <w:sz w:val="18"/>
              </w:rPr>
            </w:pPr>
            <w:r>
              <w:rPr>
                <w:w w:val="99"/>
                <w:sz w:val="18"/>
              </w:rPr>
              <w:t>-</w:t>
            </w:r>
          </w:p>
        </w:tc>
        <w:tc>
          <w:tcPr>
            <w:tcW w:w="1238" w:type="dxa"/>
          </w:tcPr>
          <w:p w:rsidR="007C5447" w:rsidRDefault="00F6308C">
            <w:pPr>
              <w:pStyle w:val="TableParagraph"/>
              <w:spacing w:before="47"/>
              <w:ind w:right="121"/>
              <w:rPr>
                <w:sz w:val="18"/>
              </w:rPr>
            </w:pPr>
            <w:r>
              <w:rPr>
                <w:sz w:val="18"/>
              </w:rPr>
              <w:t>197.54</w:t>
            </w:r>
          </w:p>
        </w:tc>
        <w:tc>
          <w:tcPr>
            <w:tcW w:w="1332" w:type="dxa"/>
          </w:tcPr>
          <w:p w:rsidR="007C5447" w:rsidRDefault="00F6308C">
            <w:pPr>
              <w:pStyle w:val="TableParagraph"/>
              <w:spacing w:before="47"/>
              <w:ind w:right="121"/>
              <w:rPr>
                <w:sz w:val="18"/>
              </w:rPr>
            </w:pPr>
            <w:r>
              <w:rPr>
                <w:sz w:val="18"/>
              </w:rPr>
              <w:t>197.54</w:t>
            </w:r>
          </w:p>
        </w:tc>
      </w:tr>
      <w:tr w:rsidR="007C5447">
        <w:trPr>
          <w:trHeight w:val="299"/>
        </w:trPr>
        <w:tc>
          <w:tcPr>
            <w:tcW w:w="708" w:type="dxa"/>
          </w:tcPr>
          <w:p w:rsidR="007C5447" w:rsidRDefault="00F6308C">
            <w:pPr>
              <w:pStyle w:val="TableParagraph"/>
              <w:spacing w:before="45"/>
              <w:ind w:left="307"/>
              <w:jc w:val="left"/>
              <w:rPr>
                <w:sz w:val="18"/>
              </w:rPr>
            </w:pPr>
            <w:r>
              <w:rPr>
                <w:sz w:val="18"/>
              </w:rPr>
              <w:t>6</w:t>
            </w:r>
          </w:p>
        </w:tc>
        <w:tc>
          <w:tcPr>
            <w:tcW w:w="1704" w:type="dxa"/>
          </w:tcPr>
          <w:p w:rsidR="007C5447" w:rsidRDefault="00F6308C">
            <w:pPr>
              <w:pStyle w:val="TableParagraph"/>
              <w:spacing w:before="45"/>
              <w:ind w:left="107"/>
              <w:jc w:val="left"/>
              <w:rPr>
                <w:sz w:val="18"/>
              </w:rPr>
            </w:pPr>
            <w:r>
              <w:rPr>
                <w:sz w:val="18"/>
              </w:rPr>
              <w:t>Tirumakottai GTPS</w:t>
            </w:r>
          </w:p>
        </w:tc>
        <w:tc>
          <w:tcPr>
            <w:tcW w:w="1204" w:type="dxa"/>
          </w:tcPr>
          <w:p w:rsidR="007C5447" w:rsidRDefault="00F6308C">
            <w:pPr>
              <w:pStyle w:val="TableParagraph"/>
              <w:spacing w:before="45"/>
              <w:ind w:right="127"/>
              <w:rPr>
                <w:sz w:val="18"/>
              </w:rPr>
            </w:pPr>
            <w:r>
              <w:rPr>
                <w:sz w:val="18"/>
              </w:rPr>
              <w:t>16.47</w:t>
            </w:r>
          </w:p>
        </w:tc>
        <w:tc>
          <w:tcPr>
            <w:tcW w:w="1062" w:type="dxa"/>
          </w:tcPr>
          <w:p w:rsidR="007C5447" w:rsidRDefault="00F6308C">
            <w:pPr>
              <w:pStyle w:val="TableParagraph"/>
              <w:spacing w:before="45"/>
              <w:ind w:right="128"/>
              <w:rPr>
                <w:sz w:val="18"/>
              </w:rPr>
            </w:pPr>
            <w:r>
              <w:rPr>
                <w:sz w:val="18"/>
              </w:rPr>
              <w:t>46.02</w:t>
            </w:r>
          </w:p>
        </w:tc>
        <w:tc>
          <w:tcPr>
            <w:tcW w:w="969" w:type="dxa"/>
          </w:tcPr>
          <w:p w:rsidR="007C5447" w:rsidRDefault="00F6308C">
            <w:pPr>
              <w:pStyle w:val="TableParagraph"/>
              <w:spacing w:before="45"/>
              <w:ind w:right="126"/>
              <w:rPr>
                <w:sz w:val="18"/>
              </w:rPr>
            </w:pPr>
            <w:r>
              <w:rPr>
                <w:w w:val="99"/>
                <w:sz w:val="18"/>
              </w:rPr>
              <w:t>-</w:t>
            </w:r>
          </w:p>
        </w:tc>
        <w:tc>
          <w:tcPr>
            <w:tcW w:w="992" w:type="dxa"/>
          </w:tcPr>
          <w:p w:rsidR="007C5447" w:rsidRDefault="00F6308C">
            <w:pPr>
              <w:pStyle w:val="TableParagraph"/>
              <w:spacing w:before="45"/>
              <w:ind w:right="126"/>
              <w:rPr>
                <w:sz w:val="18"/>
              </w:rPr>
            </w:pPr>
            <w:r>
              <w:rPr>
                <w:sz w:val="18"/>
              </w:rPr>
              <w:t>11.08</w:t>
            </w:r>
          </w:p>
        </w:tc>
        <w:tc>
          <w:tcPr>
            <w:tcW w:w="1134" w:type="dxa"/>
          </w:tcPr>
          <w:p w:rsidR="007C5447" w:rsidRDefault="00F6308C">
            <w:pPr>
              <w:pStyle w:val="TableParagraph"/>
              <w:spacing w:before="45"/>
              <w:ind w:right="124"/>
              <w:rPr>
                <w:sz w:val="18"/>
              </w:rPr>
            </w:pPr>
            <w:r>
              <w:rPr>
                <w:sz w:val="18"/>
              </w:rPr>
              <w:t>11.90</w:t>
            </w:r>
          </w:p>
        </w:tc>
        <w:tc>
          <w:tcPr>
            <w:tcW w:w="1154" w:type="dxa"/>
          </w:tcPr>
          <w:p w:rsidR="007C5447" w:rsidRDefault="00F6308C">
            <w:pPr>
              <w:pStyle w:val="TableParagraph"/>
              <w:spacing w:before="45"/>
              <w:ind w:right="124"/>
              <w:rPr>
                <w:sz w:val="18"/>
              </w:rPr>
            </w:pPr>
            <w:r>
              <w:rPr>
                <w:sz w:val="18"/>
              </w:rPr>
              <w:t>0.07</w:t>
            </w:r>
          </w:p>
        </w:tc>
        <w:tc>
          <w:tcPr>
            <w:tcW w:w="1132" w:type="dxa"/>
          </w:tcPr>
          <w:p w:rsidR="007C5447" w:rsidRDefault="00F6308C">
            <w:pPr>
              <w:pStyle w:val="TableParagraph"/>
              <w:spacing w:before="45"/>
              <w:ind w:right="121"/>
              <w:rPr>
                <w:sz w:val="18"/>
              </w:rPr>
            </w:pPr>
            <w:r>
              <w:rPr>
                <w:w w:val="99"/>
                <w:sz w:val="18"/>
              </w:rPr>
              <w:t>-</w:t>
            </w:r>
          </w:p>
        </w:tc>
        <w:tc>
          <w:tcPr>
            <w:tcW w:w="1312" w:type="dxa"/>
          </w:tcPr>
          <w:p w:rsidR="007C5447" w:rsidRDefault="00F6308C">
            <w:pPr>
              <w:pStyle w:val="TableParagraph"/>
              <w:spacing w:before="45"/>
              <w:ind w:right="121"/>
              <w:rPr>
                <w:sz w:val="18"/>
              </w:rPr>
            </w:pPr>
            <w:r>
              <w:rPr>
                <w:sz w:val="18"/>
              </w:rPr>
              <w:t>(0.18)</w:t>
            </w:r>
          </w:p>
        </w:tc>
        <w:tc>
          <w:tcPr>
            <w:tcW w:w="1097" w:type="dxa"/>
          </w:tcPr>
          <w:p w:rsidR="007C5447" w:rsidRDefault="00F6308C">
            <w:pPr>
              <w:pStyle w:val="TableParagraph"/>
              <w:spacing w:before="45"/>
              <w:ind w:right="120"/>
              <w:rPr>
                <w:sz w:val="18"/>
              </w:rPr>
            </w:pPr>
            <w:r>
              <w:rPr>
                <w:sz w:val="18"/>
              </w:rPr>
              <w:t>1.86</w:t>
            </w:r>
          </w:p>
        </w:tc>
        <w:tc>
          <w:tcPr>
            <w:tcW w:w="1219" w:type="dxa"/>
          </w:tcPr>
          <w:p w:rsidR="007C5447" w:rsidRDefault="00F6308C">
            <w:pPr>
              <w:pStyle w:val="TableParagraph"/>
              <w:spacing w:before="45"/>
              <w:ind w:right="124"/>
              <w:rPr>
                <w:sz w:val="18"/>
              </w:rPr>
            </w:pPr>
            <w:r>
              <w:rPr>
                <w:sz w:val="18"/>
              </w:rPr>
              <w:t>0.20</w:t>
            </w:r>
          </w:p>
        </w:tc>
        <w:tc>
          <w:tcPr>
            <w:tcW w:w="1238" w:type="dxa"/>
          </w:tcPr>
          <w:p w:rsidR="007C5447" w:rsidRDefault="00F6308C">
            <w:pPr>
              <w:pStyle w:val="TableParagraph"/>
              <w:spacing w:before="45"/>
              <w:ind w:right="121"/>
              <w:rPr>
                <w:sz w:val="18"/>
              </w:rPr>
            </w:pPr>
            <w:r>
              <w:rPr>
                <w:sz w:val="18"/>
              </w:rPr>
              <w:t>83.69</w:t>
            </w:r>
          </w:p>
        </w:tc>
        <w:tc>
          <w:tcPr>
            <w:tcW w:w="1332" w:type="dxa"/>
          </w:tcPr>
          <w:p w:rsidR="007C5447" w:rsidRDefault="00F6308C">
            <w:pPr>
              <w:pStyle w:val="TableParagraph"/>
              <w:spacing w:before="45"/>
              <w:ind w:right="121"/>
              <w:rPr>
                <w:sz w:val="18"/>
              </w:rPr>
            </w:pPr>
            <w:r>
              <w:rPr>
                <w:sz w:val="18"/>
              </w:rPr>
              <w:t>83.69</w:t>
            </w:r>
          </w:p>
        </w:tc>
      </w:tr>
      <w:tr w:rsidR="007C5447">
        <w:trPr>
          <w:trHeight w:val="299"/>
        </w:trPr>
        <w:tc>
          <w:tcPr>
            <w:tcW w:w="708" w:type="dxa"/>
          </w:tcPr>
          <w:p w:rsidR="007C5447" w:rsidRDefault="00F6308C">
            <w:pPr>
              <w:pStyle w:val="TableParagraph"/>
              <w:spacing w:before="45"/>
              <w:ind w:left="307"/>
              <w:jc w:val="left"/>
              <w:rPr>
                <w:sz w:val="18"/>
              </w:rPr>
            </w:pPr>
            <w:r>
              <w:rPr>
                <w:sz w:val="18"/>
              </w:rPr>
              <w:t>7</w:t>
            </w:r>
          </w:p>
        </w:tc>
        <w:tc>
          <w:tcPr>
            <w:tcW w:w="1704" w:type="dxa"/>
          </w:tcPr>
          <w:p w:rsidR="007C5447" w:rsidRDefault="00F6308C">
            <w:pPr>
              <w:pStyle w:val="TableParagraph"/>
              <w:spacing w:before="45"/>
              <w:ind w:left="107"/>
              <w:jc w:val="left"/>
              <w:rPr>
                <w:sz w:val="18"/>
              </w:rPr>
            </w:pPr>
            <w:r>
              <w:rPr>
                <w:sz w:val="18"/>
              </w:rPr>
              <w:t>Kuttalam GTPS</w:t>
            </w:r>
          </w:p>
        </w:tc>
        <w:tc>
          <w:tcPr>
            <w:tcW w:w="1204" w:type="dxa"/>
          </w:tcPr>
          <w:p w:rsidR="007C5447" w:rsidRDefault="00F6308C">
            <w:pPr>
              <w:pStyle w:val="TableParagraph"/>
              <w:spacing w:before="45"/>
              <w:ind w:right="127"/>
              <w:rPr>
                <w:sz w:val="18"/>
              </w:rPr>
            </w:pPr>
            <w:r>
              <w:rPr>
                <w:sz w:val="18"/>
              </w:rPr>
              <w:t>12.25</w:t>
            </w:r>
          </w:p>
        </w:tc>
        <w:tc>
          <w:tcPr>
            <w:tcW w:w="1062" w:type="dxa"/>
          </w:tcPr>
          <w:p w:rsidR="007C5447" w:rsidRDefault="00F6308C">
            <w:pPr>
              <w:pStyle w:val="TableParagraph"/>
              <w:spacing w:before="45"/>
              <w:ind w:right="128"/>
              <w:rPr>
                <w:sz w:val="18"/>
              </w:rPr>
            </w:pPr>
            <w:r>
              <w:rPr>
                <w:sz w:val="18"/>
              </w:rPr>
              <w:t>56.61</w:t>
            </w:r>
          </w:p>
        </w:tc>
        <w:tc>
          <w:tcPr>
            <w:tcW w:w="969" w:type="dxa"/>
          </w:tcPr>
          <w:p w:rsidR="007C5447" w:rsidRDefault="00F6308C">
            <w:pPr>
              <w:pStyle w:val="TableParagraph"/>
              <w:spacing w:before="45"/>
              <w:ind w:right="126"/>
              <w:rPr>
                <w:sz w:val="18"/>
              </w:rPr>
            </w:pPr>
            <w:r>
              <w:rPr>
                <w:w w:val="99"/>
                <w:sz w:val="18"/>
              </w:rPr>
              <w:t>-</w:t>
            </w:r>
          </w:p>
        </w:tc>
        <w:tc>
          <w:tcPr>
            <w:tcW w:w="992" w:type="dxa"/>
          </w:tcPr>
          <w:p w:rsidR="007C5447" w:rsidRDefault="00F6308C">
            <w:pPr>
              <w:pStyle w:val="TableParagraph"/>
              <w:spacing w:before="45"/>
              <w:ind w:right="126"/>
              <w:rPr>
                <w:sz w:val="18"/>
              </w:rPr>
            </w:pPr>
            <w:r>
              <w:rPr>
                <w:sz w:val="18"/>
              </w:rPr>
              <w:t>14.44</w:t>
            </w:r>
          </w:p>
        </w:tc>
        <w:tc>
          <w:tcPr>
            <w:tcW w:w="1134" w:type="dxa"/>
          </w:tcPr>
          <w:p w:rsidR="007C5447" w:rsidRDefault="00F6308C">
            <w:pPr>
              <w:pStyle w:val="TableParagraph"/>
              <w:spacing w:before="45"/>
              <w:ind w:right="127"/>
              <w:rPr>
                <w:sz w:val="18"/>
              </w:rPr>
            </w:pPr>
            <w:r>
              <w:rPr>
                <w:sz w:val="18"/>
              </w:rPr>
              <w:t>8.19</w:t>
            </w:r>
          </w:p>
        </w:tc>
        <w:tc>
          <w:tcPr>
            <w:tcW w:w="1154" w:type="dxa"/>
          </w:tcPr>
          <w:p w:rsidR="007C5447" w:rsidRDefault="00F6308C">
            <w:pPr>
              <w:pStyle w:val="TableParagraph"/>
              <w:spacing w:before="45"/>
              <w:ind w:right="124"/>
              <w:rPr>
                <w:sz w:val="18"/>
              </w:rPr>
            </w:pPr>
            <w:r>
              <w:rPr>
                <w:sz w:val="18"/>
              </w:rPr>
              <w:t>0.04</w:t>
            </w:r>
          </w:p>
        </w:tc>
        <w:tc>
          <w:tcPr>
            <w:tcW w:w="1132" w:type="dxa"/>
          </w:tcPr>
          <w:p w:rsidR="007C5447" w:rsidRDefault="00F6308C">
            <w:pPr>
              <w:pStyle w:val="TableParagraph"/>
              <w:spacing w:before="45"/>
              <w:ind w:right="121"/>
              <w:rPr>
                <w:sz w:val="18"/>
              </w:rPr>
            </w:pPr>
            <w:r>
              <w:rPr>
                <w:w w:val="99"/>
                <w:sz w:val="18"/>
              </w:rPr>
              <w:t>-</w:t>
            </w:r>
          </w:p>
        </w:tc>
        <w:tc>
          <w:tcPr>
            <w:tcW w:w="1312" w:type="dxa"/>
          </w:tcPr>
          <w:p w:rsidR="007C5447" w:rsidRDefault="00F6308C">
            <w:pPr>
              <w:pStyle w:val="TableParagraph"/>
              <w:spacing w:before="45"/>
              <w:ind w:right="121"/>
              <w:rPr>
                <w:sz w:val="18"/>
              </w:rPr>
            </w:pPr>
            <w:r>
              <w:rPr>
                <w:sz w:val="18"/>
              </w:rPr>
              <w:t>(1.12)</w:t>
            </w:r>
          </w:p>
        </w:tc>
        <w:tc>
          <w:tcPr>
            <w:tcW w:w="1097" w:type="dxa"/>
          </w:tcPr>
          <w:p w:rsidR="007C5447" w:rsidRDefault="00F6308C">
            <w:pPr>
              <w:pStyle w:val="TableParagraph"/>
              <w:spacing w:before="45"/>
              <w:ind w:right="120"/>
              <w:rPr>
                <w:sz w:val="18"/>
              </w:rPr>
            </w:pPr>
            <w:r>
              <w:rPr>
                <w:w w:val="99"/>
                <w:sz w:val="18"/>
              </w:rPr>
              <w:t>-</w:t>
            </w:r>
          </w:p>
        </w:tc>
        <w:tc>
          <w:tcPr>
            <w:tcW w:w="1219" w:type="dxa"/>
          </w:tcPr>
          <w:p w:rsidR="007C5447" w:rsidRDefault="00F6308C">
            <w:pPr>
              <w:pStyle w:val="TableParagraph"/>
              <w:spacing w:before="45"/>
              <w:ind w:right="124"/>
              <w:rPr>
                <w:sz w:val="18"/>
              </w:rPr>
            </w:pPr>
            <w:r>
              <w:rPr>
                <w:sz w:val="18"/>
              </w:rPr>
              <w:t>0.10</w:t>
            </w:r>
          </w:p>
        </w:tc>
        <w:tc>
          <w:tcPr>
            <w:tcW w:w="1238" w:type="dxa"/>
          </w:tcPr>
          <w:p w:rsidR="007C5447" w:rsidRDefault="00F6308C">
            <w:pPr>
              <w:pStyle w:val="TableParagraph"/>
              <w:spacing w:before="45"/>
              <w:ind w:right="121"/>
              <w:rPr>
                <w:sz w:val="18"/>
              </w:rPr>
            </w:pPr>
            <w:r>
              <w:rPr>
                <w:sz w:val="18"/>
              </w:rPr>
              <w:t>90.51</w:t>
            </w:r>
          </w:p>
        </w:tc>
        <w:tc>
          <w:tcPr>
            <w:tcW w:w="1332" w:type="dxa"/>
          </w:tcPr>
          <w:p w:rsidR="007C5447" w:rsidRDefault="00F6308C">
            <w:pPr>
              <w:pStyle w:val="TableParagraph"/>
              <w:spacing w:before="45"/>
              <w:ind w:right="121"/>
              <w:rPr>
                <w:sz w:val="18"/>
              </w:rPr>
            </w:pPr>
            <w:r>
              <w:rPr>
                <w:sz w:val="18"/>
              </w:rPr>
              <w:t>90.51</w:t>
            </w:r>
          </w:p>
        </w:tc>
      </w:tr>
      <w:tr w:rsidR="007C5447">
        <w:trPr>
          <w:trHeight w:val="299"/>
        </w:trPr>
        <w:tc>
          <w:tcPr>
            <w:tcW w:w="708" w:type="dxa"/>
          </w:tcPr>
          <w:p w:rsidR="007C5447" w:rsidRDefault="00F6308C">
            <w:pPr>
              <w:pStyle w:val="TableParagraph"/>
              <w:spacing w:before="47"/>
              <w:ind w:left="307"/>
              <w:jc w:val="left"/>
              <w:rPr>
                <w:sz w:val="18"/>
              </w:rPr>
            </w:pPr>
            <w:r>
              <w:rPr>
                <w:sz w:val="18"/>
              </w:rPr>
              <w:t>8</w:t>
            </w:r>
          </w:p>
        </w:tc>
        <w:tc>
          <w:tcPr>
            <w:tcW w:w="1704" w:type="dxa"/>
          </w:tcPr>
          <w:p w:rsidR="007C5447" w:rsidRDefault="00F6308C">
            <w:pPr>
              <w:pStyle w:val="TableParagraph"/>
              <w:spacing w:before="47"/>
              <w:ind w:left="107"/>
              <w:jc w:val="left"/>
              <w:rPr>
                <w:sz w:val="18"/>
              </w:rPr>
            </w:pPr>
            <w:r>
              <w:rPr>
                <w:sz w:val="18"/>
              </w:rPr>
              <w:t>Basin Bridge GTPS</w:t>
            </w:r>
          </w:p>
        </w:tc>
        <w:tc>
          <w:tcPr>
            <w:tcW w:w="1204" w:type="dxa"/>
          </w:tcPr>
          <w:p w:rsidR="007C5447" w:rsidRDefault="00F6308C">
            <w:pPr>
              <w:pStyle w:val="TableParagraph"/>
              <w:spacing w:before="47"/>
              <w:ind w:right="127"/>
              <w:rPr>
                <w:sz w:val="18"/>
              </w:rPr>
            </w:pPr>
            <w:r>
              <w:rPr>
                <w:sz w:val="18"/>
              </w:rPr>
              <w:t>20.37</w:t>
            </w:r>
          </w:p>
        </w:tc>
        <w:tc>
          <w:tcPr>
            <w:tcW w:w="1062" w:type="dxa"/>
          </w:tcPr>
          <w:p w:rsidR="007C5447" w:rsidRDefault="00F6308C">
            <w:pPr>
              <w:pStyle w:val="TableParagraph"/>
              <w:spacing w:before="47"/>
              <w:ind w:right="128"/>
              <w:rPr>
                <w:sz w:val="18"/>
              </w:rPr>
            </w:pPr>
            <w:r>
              <w:rPr>
                <w:sz w:val="18"/>
              </w:rPr>
              <w:t>16.71</w:t>
            </w:r>
          </w:p>
        </w:tc>
        <w:tc>
          <w:tcPr>
            <w:tcW w:w="969" w:type="dxa"/>
          </w:tcPr>
          <w:p w:rsidR="007C5447" w:rsidRDefault="00F6308C">
            <w:pPr>
              <w:pStyle w:val="TableParagraph"/>
              <w:spacing w:before="47"/>
              <w:ind w:right="126"/>
              <w:rPr>
                <w:sz w:val="18"/>
              </w:rPr>
            </w:pPr>
            <w:r>
              <w:rPr>
                <w:w w:val="99"/>
                <w:sz w:val="18"/>
              </w:rPr>
              <w:t>-</w:t>
            </w:r>
          </w:p>
        </w:tc>
        <w:tc>
          <w:tcPr>
            <w:tcW w:w="992" w:type="dxa"/>
          </w:tcPr>
          <w:p w:rsidR="007C5447" w:rsidRDefault="00F6308C">
            <w:pPr>
              <w:pStyle w:val="TableParagraph"/>
              <w:spacing w:before="47"/>
              <w:ind w:right="128"/>
              <w:rPr>
                <w:sz w:val="18"/>
              </w:rPr>
            </w:pPr>
            <w:r>
              <w:rPr>
                <w:sz w:val="18"/>
              </w:rPr>
              <w:t>3.02</w:t>
            </w:r>
          </w:p>
        </w:tc>
        <w:tc>
          <w:tcPr>
            <w:tcW w:w="1134" w:type="dxa"/>
          </w:tcPr>
          <w:p w:rsidR="007C5447" w:rsidRDefault="00F6308C">
            <w:pPr>
              <w:pStyle w:val="TableParagraph"/>
              <w:spacing w:before="47"/>
              <w:ind w:right="127"/>
              <w:rPr>
                <w:sz w:val="18"/>
              </w:rPr>
            </w:pPr>
            <w:r>
              <w:rPr>
                <w:sz w:val="18"/>
              </w:rPr>
              <w:t>8.08</w:t>
            </w:r>
          </w:p>
        </w:tc>
        <w:tc>
          <w:tcPr>
            <w:tcW w:w="1154" w:type="dxa"/>
          </w:tcPr>
          <w:p w:rsidR="007C5447" w:rsidRDefault="00F6308C">
            <w:pPr>
              <w:pStyle w:val="TableParagraph"/>
              <w:spacing w:before="47"/>
              <w:ind w:right="124"/>
              <w:rPr>
                <w:sz w:val="18"/>
              </w:rPr>
            </w:pPr>
            <w:r>
              <w:rPr>
                <w:sz w:val="18"/>
              </w:rPr>
              <w:t>0.07</w:t>
            </w:r>
          </w:p>
        </w:tc>
        <w:tc>
          <w:tcPr>
            <w:tcW w:w="1132" w:type="dxa"/>
          </w:tcPr>
          <w:p w:rsidR="007C5447" w:rsidRDefault="00F6308C">
            <w:pPr>
              <w:pStyle w:val="TableParagraph"/>
              <w:spacing w:before="47"/>
              <w:ind w:right="121"/>
              <w:rPr>
                <w:sz w:val="18"/>
              </w:rPr>
            </w:pPr>
            <w:r>
              <w:rPr>
                <w:w w:val="99"/>
                <w:sz w:val="18"/>
              </w:rPr>
              <w:t>-</w:t>
            </w:r>
          </w:p>
        </w:tc>
        <w:tc>
          <w:tcPr>
            <w:tcW w:w="1312" w:type="dxa"/>
          </w:tcPr>
          <w:p w:rsidR="007C5447" w:rsidRDefault="00F6308C">
            <w:pPr>
              <w:pStyle w:val="TableParagraph"/>
              <w:spacing w:before="47"/>
              <w:ind w:right="121"/>
              <w:rPr>
                <w:sz w:val="18"/>
              </w:rPr>
            </w:pPr>
            <w:r>
              <w:rPr>
                <w:sz w:val="18"/>
              </w:rPr>
              <w:t>(0.18)</w:t>
            </w:r>
          </w:p>
        </w:tc>
        <w:tc>
          <w:tcPr>
            <w:tcW w:w="1097" w:type="dxa"/>
          </w:tcPr>
          <w:p w:rsidR="007C5447" w:rsidRDefault="00F6308C">
            <w:pPr>
              <w:pStyle w:val="TableParagraph"/>
              <w:spacing w:before="47"/>
              <w:ind w:right="120"/>
              <w:rPr>
                <w:sz w:val="18"/>
              </w:rPr>
            </w:pPr>
            <w:r>
              <w:rPr>
                <w:sz w:val="18"/>
              </w:rPr>
              <w:t>0.25</w:t>
            </w:r>
          </w:p>
        </w:tc>
        <w:tc>
          <w:tcPr>
            <w:tcW w:w="1219" w:type="dxa"/>
          </w:tcPr>
          <w:p w:rsidR="007C5447" w:rsidRDefault="00F6308C">
            <w:pPr>
              <w:pStyle w:val="TableParagraph"/>
              <w:spacing w:before="47"/>
              <w:ind w:right="124"/>
              <w:rPr>
                <w:sz w:val="18"/>
              </w:rPr>
            </w:pPr>
            <w:r>
              <w:rPr>
                <w:sz w:val="18"/>
              </w:rPr>
              <w:t>0.17</w:t>
            </w:r>
          </w:p>
        </w:tc>
        <w:tc>
          <w:tcPr>
            <w:tcW w:w="1238" w:type="dxa"/>
          </w:tcPr>
          <w:p w:rsidR="007C5447" w:rsidRDefault="00F6308C">
            <w:pPr>
              <w:pStyle w:val="TableParagraph"/>
              <w:spacing w:before="47"/>
              <w:ind w:right="121"/>
              <w:rPr>
                <w:sz w:val="18"/>
              </w:rPr>
            </w:pPr>
            <w:r>
              <w:rPr>
                <w:sz w:val="18"/>
              </w:rPr>
              <w:t>47.99</w:t>
            </w:r>
          </w:p>
        </w:tc>
        <w:tc>
          <w:tcPr>
            <w:tcW w:w="1332" w:type="dxa"/>
          </w:tcPr>
          <w:p w:rsidR="007C5447" w:rsidRDefault="00F6308C">
            <w:pPr>
              <w:pStyle w:val="TableParagraph"/>
              <w:spacing w:before="47"/>
              <w:ind w:right="121"/>
              <w:rPr>
                <w:sz w:val="18"/>
              </w:rPr>
            </w:pPr>
            <w:r>
              <w:rPr>
                <w:sz w:val="18"/>
              </w:rPr>
              <w:t>47.99</w:t>
            </w:r>
          </w:p>
        </w:tc>
      </w:tr>
      <w:tr w:rsidR="007C5447">
        <w:trPr>
          <w:trHeight w:val="299"/>
        </w:trPr>
        <w:tc>
          <w:tcPr>
            <w:tcW w:w="708" w:type="dxa"/>
          </w:tcPr>
          <w:p w:rsidR="007C5447" w:rsidRDefault="00F6308C">
            <w:pPr>
              <w:pStyle w:val="TableParagraph"/>
              <w:spacing w:before="47"/>
              <w:ind w:left="307"/>
              <w:jc w:val="left"/>
              <w:rPr>
                <w:sz w:val="18"/>
              </w:rPr>
            </w:pPr>
            <w:r>
              <w:rPr>
                <w:sz w:val="18"/>
              </w:rPr>
              <w:t>9</w:t>
            </w:r>
          </w:p>
        </w:tc>
        <w:tc>
          <w:tcPr>
            <w:tcW w:w="1704" w:type="dxa"/>
          </w:tcPr>
          <w:p w:rsidR="007C5447" w:rsidRDefault="00F6308C">
            <w:pPr>
              <w:pStyle w:val="TableParagraph"/>
              <w:spacing w:before="47"/>
              <w:ind w:left="107"/>
              <w:jc w:val="left"/>
              <w:rPr>
                <w:sz w:val="18"/>
              </w:rPr>
            </w:pPr>
            <w:r>
              <w:rPr>
                <w:sz w:val="18"/>
              </w:rPr>
              <w:t>Valuthur Unit</w:t>
            </w:r>
          </w:p>
        </w:tc>
        <w:tc>
          <w:tcPr>
            <w:tcW w:w="1204" w:type="dxa"/>
          </w:tcPr>
          <w:p w:rsidR="007C5447" w:rsidRDefault="00F6308C">
            <w:pPr>
              <w:pStyle w:val="TableParagraph"/>
              <w:spacing w:before="47"/>
              <w:ind w:right="127"/>
              <w:rPr>
                <w:sz w:val="18"/>
              </w:rPr>
            </w:pPr>
            <w:r>
              <w:rPr>
                <w:sz w:val="18"/>
              </w:rPr>
              <w:t>20.52</w:t>
            </w:r>
          </w:p>
        </w:tc>
        <w:tc>
          <w:tcPr>
            <w:tcW w:w="1062" w:type="dxa"/>
          </w:tcPr>
          <w:p w:rsidR="007C5447" w:rsidRDefault="00F6308C">
            <w:pPr>
              <w:pStyle w:val="TableParagraph"/>
              <w:spacing w:before="47"/>
              <w:ind w:right="131"/>
              <w:rPr>
                <w:sz w:val="18"/>
              </w:rPr>
            </w:pPr>
            <w:r>
              <w:rPr>
                <w:sz w:val="18"/>
              </w:rPr>
              <w:t>110.35</w:t>
            </w:r>
          </w:p>
        </w:tc>
        <w:tc>
          <w:tcPr>
            <w:tcW w:w="969" w:type="dxa"/>
          </w:tcPr>
          <w:p w:rsidR="007C5447" w:rsidRDefault="00F6308C">
            <w:pPr>
              <w:pStyle w:val="TableParagraph"/>
              <w:spacing w:before="47"/>
              <w:ind w:right="126"/>
              <w:rPr>
                <w:sz w:val="18"/>
              </w:rPr>
            </w:pPr>
            <w:r>
              <w:rPr>
                <w:w w:val="99"/>
                <w:sz w:val="18"/>
              </w:rPr>
              <w:t>-</w:t>
            </w:r>
          </w:p>
        </w:tc>
        <w:tc>
          <w:tcPr>
            <w:tcW w:w="992" w:type="dxa"/>
          </w:tcPr>
          <w:p w:rsidR="007C5447" w:rsidRDefault="00F6308C">
            <w:pPr>
              <w:pStyle w:val="TableParagraph"/>
              <w:spacing w:before="47"/>
              <w:ind w:right="126"/>
              <w:rPr>
                <w:sz w:val="18"/>
              </w:rPr>
            </w:pPr>
            <w:r>
              <w:rPr>
                <w:sz w:val="18"/>
              </w:rPr>
              <w:t>27.24</w:t>
            </w:r>
          </w:p>
        </w:tc>
        <w:tc>
          <w:tcPr>
            <w:tcW w:w="1134" w:type="dxa"/>
          </w:tcPr>
          <w:p w:rsidR="007C5447" w:rsidRDefault="00F6308C">
            <w:pPr>
              <w:pStyle w:val="TableParagraph"/>
              <w:spacing w:before="47"/>
              <w:ind w:right="124"/>
              <w:rPr>
                <w:sz w:val="18"/>
              </w:rPr>
            </w:pPr>
            <w:r>
              <w:rPr>
                <w:sz w:val="18"/>
              </w:rPr>
              <w:t>12.81</w:t>
            </w:r>
          </w:p>
        </w:tc>
        <w:tc>
          <w:tcPr>
            <w:tcW w:w="1154" w:type="dxa"/>
          </w:tcPr>
          <w:p w:rsidR="007C5447" w:rsidRDefault="00F6308C">
            <w:pPr>
              <w:pStyle w:val="TableParagraph"/>
              <w:spacing w:before="47"/>
              <w:ind w:right="124"/>
              <w:rPr>
                <w:sz w:val="18"/>
              </w:rPr>
            </w:pPr>
            <w:r>
              <w:rPr>
                <w:sz w:val="18"/>
              </w:rPr>
              <w:t>0.14</w:t>
            </w:r>
          </w:p>
        </w:tc>
        <w:tc>
          <w:tcPr>
            <w:tcW w:w="1132" w:type="dxa"/>
          </w:tcPr>
          <w:p w:rsidR="007C5447" w:rsidRDefault="00F6308C">
            <w:pPr>
              <w:pStyle w:val="TableParagraph"/>
              <w:spacing w:before="47"/>
              <w:ind w:right="121"/>
              <w:rPr>
                <w:sz w:val="18"/>
              </w:rPr>
            </w:pPr>
            <w:r>
              <w:rPr>
                <w:w w:val="99"/>
                <w:sz w:val="18"/>
              </w:rPr>
              <w:t>-</w:t>
            </w:r>
          </w:p>
        </w:tc>
        <w:tc>
          <w:tcPr>
            <w:tcW w:w="1312" w:type="dxa"/>
          </w:tcPr>
          <w:p w:rsidR="007C5447" w:rsidRDefault="00F6308C">
            <w:pPr>
              <w:pStyle w:val="TableParagraph"/>
              <w:spacing w:before="47"/>
              <w:ind w:right="121"/>
              <w:rPr>
                <w:sz w:val="18"/>
              </w:rPr>
            </w:pPr>
            <w:r>
              <w:rPr>
                <w:sz w:val="18"/>
              </w:rPr>
              <w:t>(0.21)</w:t>
            </w:r>
          </w:p>
        </w:tc>
        <w:tc>
          <w:tcPr>
            <w:tcW w:w="1097" w:type="dxa"/>
          </w:tcPr>
          <w:p w:rsidR="007C5447" w:rsidRDefault="00F6308C">
            <w:pPr>
              <w:pStyle w:val="TableParagraph"/>
              <w:spacing w:before="47"/>
              <w:ind w:right="120"/>
              <w:rPr>
                <w:sz w:val="18"/>
              </w:rPr>
            </w:pPr>
            <w:r>
              <w:rPr>
                <w:w w:val="99"/>
                <w:sz w:val="18"/>
              </w:rPr>
              <w:t>-</w:t>
            </w:r>
          </w:p>
        </w:tc>
        <w:tc>
          <w:tcPr>
            <w:tcW w:w="1219" w:type="dxa"/>
          </w:tcPr>
          <w:p w:rsidR="007C5447" w:rsidRDefault="00F6308C">
            <w:pPr>
              <w:pStyle w:val="TableParagraph"/>
              <w:spacing w:before="47"/>
              <w:ind w:right="124"/>
              <w:rPr>
                <w:sz w:val="18"/>
              </w:rPr>
            </w:pPr>
            <w:r>
              <w:rPr>
                <w:sz w:val="18"/>
              </w:rPr>
              <w:t>0.28</w:t>
            </w:r>
          </w:p>
        </w:tc>
        <w:tc>
          <w:tcPr>
            <w:tcW w:w="1238" w:type="dxa"/>
          </w:tcPr>
          <w:p w:rsidR="007C5447" w:rsidRDefault="00F6308C">
            <w:pPr>
              <w:pStyle w:val="TableParagraph"/>
              <w:spacing w:before="47"/>
              <w:ind w:right="121"/>
              <w:rPr>
                <w:sz w:val="18"/>
              </w:rPr>
            </w:pPr>
            <w:r>
              <w:rPr>
                <w:sz w:val="18"/>
              </w:rPr>
              <w:t>171.22</w:t>
            </w:r>
          </w:p>
        </w:tc>
        <w:tc>
          <w:tcPr>
            <w:tcW w:w="1332" w:type="dxa"/>
          </w:tcPr>
          <w:p w:rsidR="007C5447" w:rsidRDefault="00F6308C">
            <w:pPr>
              <w:pStyle w:val="TableParagraph"/>
              <w:spacing w:before="47"/>
              <w:ind w:right="121"/>
              <w:rPr>
                <w:sz w:val="18"/>
              </w:rPr>
            </w:pPr>
            <w:r>
              <w:rPr>
                <w:sz w:val="18"/>
              </w:rPr>
              <w:t>171.22</w:t>
            </w:r>
          </w:p>
        </w:tc>
      </w:tr>
      <w:tr w:rsidR="007C5447">
        <w:trPr>
          <w:trHeight w:val="300"/>
        </w:trPr>
        <w:tc>
          <w:tcPr>
            <w:tcW w:w="708" w:type="dxa"/>
          </w:tcPr>
          <w:p w:rsidR="007C5447" w:rsidRDefault="00F6308C">
            <w:pPr>
              <w:pStyle w:val="TableParagraph"/>
              <w:spacing w:before="48"/>
              <w:ind w:left="263"/>
              <w:jc w:val="left"/>
              <w:rPr>
                <w:sz w:val="18"/>
              </w:rPr>
            </w:pPr>
            <w:r>
              <w:rPr>
                <w:sz w:val="18"/>
              </w:rPr>
              <w:t>10</w:t>
            </w:r>
          </w:p>
        </w:tc>
        <w:tc>
          <w:tcPr>
            <w:tcW w:w="1704" w:type="dxa"/>
          </w:tcPr>
          <w:p w:rsidR="007C5447" w:rsidRDefault="00F6308C">
            <w:pPr>
              <w:pStyle w:val="TableParagraph"/>
              <w:spacing w:before="48"/>
              <w:ind w:left="107"/>
              <w:jc w:val="left"/>
              <w:rPr>
                <w:sz w:val="18"/>
              </w:rPr>
            </w:pPr>
            <w:r>
              <w:rPr>
                <w:sz w:val="18"/>
              </w:rPr>
              <w:t>Erode HEP</w:t>
            </w:r>
          </w:p>
        </w:tc>
        <w:tc>
          <w:tcPr>
            <w:tcW w:w="1204" w:type="dxa"/>
          </w:tcPr>
          <w:p w:rsidR="007C5447" w:rsidRDefault="00F6308C">
            <w:pPr>
              <w:pStyle w:val="TableParagraph"/>
              <w:spacing w:before="48"/>
              <w:ind w:right="127"/>
              <w:rPr>
                <w:sz w:val="18"/>
              </w:rPr>
            </w:pPr>
            <w:r>
              <w:rPr>
                <w:sz w:val="18"/>
              </w:rPr>
              <w:t>19.60</w:t>
            </w:r>
          </w:p>
        </w:tc>
        <w:tc>
          <w:tcPr>
            <w:tcW w:w="1062" w:type="dxa"/>
          </w:tcPr>
          <w:p w:rsidR="007C5447" w:rsidRDefault="00F6308C">
            <w:pPr>
              <w:pStyle w:val="TableParagraph"/>
              <w:spacing w:before="48"/>
              <w:ind w:right="131"/>
              <w:rPr>
                <w:sz w:val="18"/>
              </w:rPr>
            </w:pPr>
            <w:r>
              <w:rPr>
                <w:sz w:val="18"/>
              </w:rPr>
              <w:t>152.52</w:t>
            </w:r>
          </w:p>
        </w:tc>
        <w:tc>
          <w:tcPr>
            <w:tcW w:w="969" w:type="dxa"/>
          </w:tcPr>
          <w:p w:rsidR="007C5447" w:rsidRDefault="00F6308C">
            <w:pPr>
              <w:pStyle w:val="TableParagraph"/>
              <w:spacing w:before="48"/>
              <w:ind w:right="126"/>
              <w:rPr>
                <w:sz w:val="18"/>
              </w:rPr>
            </w:pPr>
            <w:r>
              <w:rPr>
                <w:w w:val="99"/>
                <w:sz w:val="18"/>
              </w:rPr>
              <w:t>-</w:t>
            </w:r>
          </w:p>
        </w:tc>
        <w:tc>
          <w:tcPr>
            <w:tcW w:w="992" w:type="dxa"/>
          </w:tcPr>
          <w:p w:rsidR="007C5447" w:rsidRDefault="00F6308C">
            <w:pPr>
              <w:pStyle w:val="TableParagraph"/>
              <w:spacing w:before="48"/>
              <w:ind w:right="128"/>
              <w:rPr>
                <w:sz w:val="18"/>
              </w:rPr>
            </w:pPr>
            <w:r>
              <w:rPr>
                <w:sz w:val="18"/>
              </w:rPr>
              <w:t>9.98</w:t>
            </w:r>
          </w:p>
        </w:tc>
        <w:tc>
          <w:tcPr>
            <w:tcW w:w="1134" w:type="dxa"/>
          </w:tcPr>
          <w:p w:rsidR="007C5447" w:rsidRDefault="00F6308C">
            <w:pPr>
              <w:pStyle w:val="TableParagraph"/>
              <w:spacing w:before="48"/>
              <w:ind w:right="124"/>
              <w:rPr>
                <w:sz w:val="18"/>
              </w:rPr>
            </w:pPr>
            <w:r>
              <w:rPr>
                <w:sz w:val="18"/>
              </w:rPr>
              <w:t>39.29</w:t>
            </w:r>
          </w:p>
        </w:tc>
        <w:tc>
          <w:tcPr>
            <w:tcW w:w="1154" w:type="dxa"/>
          </w:tcPr>
          <w:p w:rsidR="007C5447" w:rsidRDefault="00F6308C">
            <w:pPr>
              <w:pStyle w:val="TableParagraph"/>
              <w:spacing w:before="48"/>
              <w:ind w:right="124"/>
              <w:rPr>
                <w:sz w:val="18"/>
              </w:rPr>
            </w:pPr>
            <w:r>
              <w:rPr>
                <w:sz w:val="18"/>
              </w:rPr>
              <w:t>0.08</w:t>
            </w:r>
          </w:p>
        </w:tc>
        <w:tc>
          <w:tcPr>
            <w:tcW w:w="1132" w:type="dxa"/>
          </w:tcPr>
          <w:p w:rsidR="007C5447" w:rsidRDefault="00F6308C">
            <w:pPr>
              <w:pStyle w:val="TableParagraph"/>
              <w:spacing w:before="48"/>
              <w:ind w:right="121"/>
              <w:rPr>
                <w:sz w:val="18"/>
              </w:rPr>
            </w:pPr>
            <w:r>
              <w:rPr>
                <w:w w:val="99"/>
                <w:sz w:val="18"/>
              </w:rPr>
              <w:t>-</w:t>
            </w:r>
          </w:p>
        </w:tc>
        <w:tc>
          <w:tcPr>
            <w:tcW w:w="1312" w:type="dxa"/>
          </w:tcPr>
          <w:p w:rsidR="007C5447" w:rsidRDefault="00F6308C">
            <w:pPr>
              <w:pStyle w:val="TableParagraph"/>
              <w:spacing w:before="48"/>
              <w:ind w:right="121"/>
              <w:rPr>
                <w:sz w:val="18"/>
              </w:rPr>
            </w:pPr>
            <w:r>
              <w:rPr>
                <w:sz w:val="18"/>
              </w:rPr>
              <w:t>(0.76)</w:t>
            </w:r>
          </w:p>
        </w:tc>
        <w:tc>
          <w:tcPr>
            <w:tcW w:w="1097" w:type="dxa"/>
          </w:tcPr>
          <w:p w:rsidR="007C5447" w:rsidRDefault="00F6308C">
            <w:pPr>
              <w:pStyle w:val="TableParagraph"/>
              <w:spacing w:before="48"/>
              <w:ind w:right="120"/>
              <w:rPr>
                <w:sz w:val="18"/>
              </w:rPr>
            </w:pPr>
            <w:r>
              <w:rPr>
                <w:sz w:val="18"/>
              </w:rPr>
              <w:t>0.25</w:t>
            </w:r>
          </w:p>
        </w:tc>
        <w:tc>
          <w:tcPr>
            <w:tcW w:w="1219" w:type="dxa"/>
          </w:tcPr>
          <w:p w:rsidR="007C5447" w:rsidRDefault="00F6308C">
            <w:pPr>
              <w:pStyle w:val="TableParagraph"/>
              <w:spacing w:before="48"/>
              <w:ind w:right="124"/>
              <w:rPr>
                <w:sz w:val="18"/>
              </w:rPr>
            </w:pPr>
            <w:r>
              <w:rPr>
                <w:sz w:val="18"/>
              </w:rPr>
              <w:t>1.02</w:t>
            </w:r>
          </w:p>
        </w:tc>
        <w:tc>
          <w:tcPr>
            <w:tcW w:w="1238" w:type="dxa"/>
          </w:tcPr>
          <w:p w:rsidR="007C5447" w:rsidRDefault="00F6308C">
            <w:pPr>
              <w:pStyle w:val="TableParagraph"/>
              <w:spacing w:before="48"/>
              <w:ind w:right="121"/>
              <w:rPr>
                <w:sz w:val="18"/>
              </w:rPr>
            </w:pPr>
            <w:r>
              <w:rPr>
                <w:sz w:val="18"/>
              </w:rPr>
              <w:t>221.39</w:t>
            </w:r>
          </w:p>
        </w:tc>
        <w:tc>
          <w:tcPr>
            <w:tcW w:w="1332" w:type="dxa"/>
          </w:tcPr>
          <w:p w:rsidR="007C5447" w:rsidRDefault="00F6308C">
            <w:pPr>
              <w:pStyle w:val="TableParagraph"/>
              <w:spacing w:before="48"/>
              <w:ind w:right="121"/>
              <w:rPr>
                <w:sz w:val="18"/>
              </w:rPr>
            </w:pPr>
            <w:r>
              <w:rPr>
                <w:sz w:val="18"/>
              </w:rPr>
              <w:t>221.39</w:t>
            </w:r>
          </w:p>
        </w:tc>
      </w:tr>
      <w:tr w:rsidR="007C5447">
        <w:trPr>
          <w:trHeight w:val="302"/>
        </w:trPr>
        <w:tc>
          <w:tcPr>
            <w:tcW w:w="708" w:type="dxa"/>
          </w:tcPr>
          <w:p w:rsidR="007C5447" w:rsidRDefault="00F6308C">
            <w:pPr>
              <w:pStyle w:val="TableParagraph"/>
              <w:spacing w:before="47"/>
              <w:ind w:left="263"/>
              <w:jc w:val="left"/>
              <w:rPr>
                <w:sz w:val="18"/>
              </w:rPr>
            </w:pPr>
            <w:r>
              <w:rPr>
                <w:sz w:val="18"/>
              </w:rPr>
              <w:t>11</w:t>
            </w:r>
          </w:p>
        </w:tc>
        <w:tc>
          <w:tcPr>
            <w:tcW w:w="1704" w:type="dxa"/>
          </w:tcPr>
          <w:p w:rsidR="007C5447" w:rsidRDefault="00F6308C">
            <w:pPr>
              <w:pStyle w:val="TableParagraph"/>
              <w:spacing w:before="47"/>
              <w:ind w:left="107"/>
              <w:jc w:val="left"/>
              <w:rPr>
                <w:sz w:val="18"/>
              </w:rPr>
            </w:pPr>
            <w:r>
              <w:rPr>
                <w:sz w:val="18"/>
              </w:rPr>
              <w:t>Kadamparai HEP</w:t>
            </w:r>
          </w:p>
        </w:tc>
        <w:tc>
          <w:tcPr>
            <w:tcW w:w="1204" w:type="dxa"/>
          </w:tcPr>
          <w:p w:rsidR="007C5447" w:rsidRDefault="00F6308C">
            <w:pPr>
              <w:pStyle w:val="TableParagraph"/>
              <w:spacing w:before="47"/>
              <w:ind w:right="127"/>
              <w:rPr>
                <w:sz w:val="18"/>
              </w:rPr>
            </w:pPr>
            <w:r>
              <w:rPr>
                <w:sz w:val="18"/>
              </w:rPr>
              <w:t>11.24</w:t>
            </w:r>
          </w:p>
        </w:tc>
        <w:tc>
          <w:tcPr>
            <w:tcW w:w="1062" w:type="dxa"/>
          </w:tcPr>
          <w:p w:rsidR="007C5447" w:rsidRDefault="00F6308C">
            <w:pPr>
              <w:pStyle w:val="TableParagraph"/>
              <w:spacing w:before="47"/>
              <w:ind w:right="128"/>
              <w:rPr>
                <w:sz w:val="18"/>
              </w:rPr>
            </w:pPr>
            <w:r>
              <w:rPr>
                <w:sz w:val="18"/>
              </w:rPr>
              <w:t>34.77</w:t>
            </w:r>
          </w:p>
        </w:tc>
        <w:tc>
          <w:tcPr>
            <w:tcW w:w="969" w:type="dxa"/>
          </w:tcPr>
          <w:p w:rsidR="007C5447" w:rsidRDefault="00F6308C">
            <w:pPr>
              <w:pStyle w:val="TableParagraph"/>
              <w:spacing w:before="47"/>
              <w:ind w:right="126"/>
              <w:rPr>
                <w:sz w:val="18"/>
              </w:rPr>
            </w:pPr>
            <w:r>
              <w:rPr>
                <w:w w:val="99"/>
                <w:sz w:val="18"/>
              </w:rPr>
              <w:t>-</w:t>
            </w:r>
          </w:p>
        </w:tc>
        <w:tc>
          <w:tcPr>
            <w:tcW w:w="992" w:type="dxa"/>
          </w:tcPr>
          <w:p w:rsidR="007C5447" w:rsidRDefault="00F6308C">
            <w:pPr>
              <w:pStyle w:val="TableParagraph"/>
              <w:spacing w:before="47"/>
              <w:ind w:right="128"/>
              <w:rPr>
                <w:sz w:val="18"/>
              </w:rPr>
            </w:pPr>
            <w:r>
              <w:rPr>
                <w:sz w:val="18"/>
              </w:rPr>
              <w:t>3.92</w:t>
            </w:r>
          </w:p>
        </w:tc>
        <w:tc>
          <w:tcPr>
            <w:tcW w:w="1134" w:type="dxa"/>
          </w:tcPr>
          <w:p w:rsidR="007C5447" w:rsidRDefault="00F6308C">
            <w:pPr>
              <w:pStyle w:val="TableParagraph"/>
              <w:spacing w:before="47"/>
              <w:ind w:right="124"/>
              <w:rPr>
                <w:sz w:val="18"/>
              </w:rPr>
            </w:pPr>
            <w:r>
              <w:rPr>
                <w:sz w:val="18"/>
              </w:rPr>
              <w:t>28.56</w:t>
            </w:r>
          </w:p>
        </w:tc>
        <w:tc>
          <w:tcPr>
            <w:tcW w:w="1154" w:type="dxa"/>
          </w:tcPr>
          <w:p w:rsidR="007C5447" w:rsidRDefault="00F6308C">
            <w:pPr>
              <w:pStyle w:val="TableParagraph"/>
              <w:spacing w:before="47"/>
              <w:ind w:right="124"/>
              <w:rPr>
                <w:sz w:val="18"/>
              </w:rPr>
            </w:pPr>
            <w:r>
              <w:rPr>
                <w:sz w:val="18"/>
              </w:rPr>
              <w:t>0.07</w:t>
            </w:r>
          </w:p>
        </w:tc>
        <w:tc>
          <w:tcPr>
            <w:tcW w:w="1132" w:type="dxa"/>
          </w:tcPr>
          <w:p w:rsidR="007C5447" w:rsidRDefault="00F6308C">
            <w:pPr>
              <w:pStyle w:val="TableParagraph"/>
              <w:spacing w:before="47"/>
              <w:ind w:right="121"/>
              <w:rPr>
                <w:sz w:val="18"/>
              </w:rPr>
            </w:pPr>
            <w:r>
              <w:rPr>
                <w:w w:val="99"/>
                <w:sz w:val="18"/>
              </w:rPr>
              <w:t>-</w:t>
            </w:r>
          </w:p>
        </w:tc>
        <w:tc>
          <w:tcPr>
            <w:tcW w:w="1312" w:type="dxa"/>
          </w:tcPr>
          <w:p w:rsidR="007C5447" w:rsidRDefault="00F6308C">
            <w:pPr>
              <w:pStyle w:val="TableParagraph"/>
              <w:spacing w:before="47"/>
              <w:ind w:right="121"/>
              <w:rPr>
                <w:sz w:val="18"/>
              </w:rPr>
            </w:pPr>
            <w:r>
              <w:rPr>
                <w:sz w:val="18"/>
              </w:rPr>
              <w:t>(0.62)</w:t>
            </w:r>
          </w:p>
        </w:tc>
        <w:tc>
          <w:tcPr>
            <w:tcW w:w="1097" w:type="dxa"/>
          </w:tcPr>
          <w:p w:rsidR="007C5447" w:rsidRDefault="00F6308C">
            <w:pPr>
              <w:pStyle w:val="TableParagraph"/>
              <w:spacing w:before="47"/>
              <w:ind w:right="120"/>
              <w:rPr>
                <w:sz w:val="18"/>
              </w:rPr>
            </w:pPr>
            <w:r>
              <w:rPr>
                <w:sz w:val="18"/>
              </w:rPr>
              <w:t>0.37</w:t>
            </w:r>
          </w:p>
        </w:tc>
        <w:tc>
          <w:tcPr>
            <w:tcW w:w="1219" w:type="dxa"/>
          </w:tcPr>
          <w:p w:rsidR="007C5447" w:rsidRDefault="00F6308C">
            <w:pPr>
              <w:pStyle w:val="TableParagraph"/>
              <w:spacing w:before="47"/>
              <w:ind w:right="124"/>
              <w:rPr>
                <w:sz w:val="18"/>
              </w:rPr>
            </w:pPr>
            <w:r>
              <w:rPr>
                <w:sz w:val="18"/>
              </w:rPr>
              <w:t>0.66</w:t>
            </w:r>
          </w:p>
        </w:tc>
        <w:tc>
          <w:tcPr>
            <w:tcW w:w="1238" w:type="dxa"/>
          </w:tcPr>
          <w:p w:rsidR="007C5447" w:rsidRDefault="00F6308C">
            <w:pPr>
              <w:pStyle w:val="TableParagraph"/>
              <w:spacing w:before="47"/>
              <w:ind w:right="121"/>
              <w:rPr>
                <w:sz w:val="18"/>
              </w:rPr>
            </w:pPr>
            <w:r>
              <w:rPr>
                <w:sz w:val="18"/>
              </w:rPr>
              <w:t>78.22</w:t>
            </w:r>
          </w:p>
        </w:tc>
        <w:tc>
          <w:tcPr>
            <w:tcW w:w="1332" w:type="dxa"/>
          </w:tcPr>
          <w:p w:rsidR="007C5447" w:rsidRDefault="00F6308C">
            <w:pPr>
              <w:pStyle w:val="TableParagraph"/>
              <w:spacing w:before="47"/>
              <w:ind w:right="120"/>
              <w:rPr>
                <w:sz w:val="18"/>
              </w:rPr>
            </w:pPr>
            <w:r>
              <w:rPr>
                <w:sz w:val="18"/>
              </w:rPr>
              <w:t>78.22</w:t>
            </w:r>
          </w:p>
        </w:tc>
      </w:tr>
      <w:tr w:rsidR="007C5447">
        <w:trPr>
          <w:trHeight w:val="328"/>
        </w:trPr>
        <w:tc>
          <w:tcPr>
            <w:tcW w:w="708" w:type="dxa"/>
          </w:tcPr>
          <w:p w:rsidR="007C5447" w:rsidRDefault="00F6308C">
            <w:pPr>
              <w:pStyle w:val="TableParagraph"/>
              <w:spacing w:before="59"/>
              <w:ind w:left="263"/>
              <w:jc w:val="left"/>
              <w:rPr>
                <w:sz w:val="18"/>
              </w:rPr>
            </w:pPr>
            <w:r>
              <w:rPr>
                <w:sz w:val="18"/>
              </w:rPr>
              <w:t>12</w:t>
            </w:r>
          </w:p>
        </w:tc>
        <w:tc>
          <w:tcPr>
            <w:tcW w:w="1704" w:type="dxa"/>
          </w:tcPr>
          <w:p w:rsidR="007C5447" w:rsidRDefault="00F6308C">
            <w:pPr>
              <w:pStyle w:val="TableParagraph"/>
              <w:spacing w:before="59"/>
              <w:ind w:left="107"/>
              <w:jc w:val="left"/>
              <w:rPr>
                <w:sz w:val="18"/>
              </w:rPr>
            </w:pPr>
            <w:r>
              <w:rPr>
                <w:sz w:val="18"/>
              </w:rPr>
              <w:t>Kundah HEP</w:t>
            </w:r>
          </w:p>
        </w:tc>
        <w:tc>
          <w:tcPr>
            <w:tcW w:w="1204" w:type="dxa"/>
          </w:tcPr>
          <w:p w:rsidR="007C5447" w:rsidRDefault="00F6308C">
            <w:pPr>
              <w:pStyle w:val="TableParagraph"/>
              <w:spacing w:before="59"/>
              <w:ind w:right="127"/>
              <w:rPr>
                <w:sz w:val="18"/>
              </w:rPr>
            </w:pPr>
            <w:r>
              <w:rPr>
                <w:sz w:val="18"/>
              </w:rPr>
              <w:t>27.95</w:t>
            </w:r>
          </w:p>
        </w:tc>
        <w:tc>
          <w:tcPr>
            <w:tcW w:w="1062" w:type="dxa"/>
          </w:tcPr>
          <w:p w:rsidR="007C5447" w:rsidRDefault="00F6308C">
            <w:pPr>
              <w:pStyle w:val="TableParagraph"/>
              <w:spacing w:before="59"/>
              <w:ind w:right="131"/>
              <w:rPr>
                <w:sz w:val="18"/>
              </w:rPr>
            </w:pPr>
            <w:r>
              <w:rPr>
                <w:sz w:val="18"/>
              </w:rPr>
              <w:t>124.07</w:t>
            </w:r>
          </w:p>
        </w:tc>
        <w:tc>
          <w:tcPr>
            <w:tcW w:w="969" w:type="dxa"/>
          </w:tcPr>
          <w:p w:rsidR="007C5447" w:rsidRDefault="00F6308C">
            <w:pPr>
              <w:pStyle w:val="TableParagraph"/>
              <w:spacing w:before="59"/>
              <w:ind w:right="126"/>
              <w:rPr>
                <w:b/>
                <w:sz w:val="18"/>
              </w:rPr>
            </w:pPr>
            <w:r>
              <w:rPr>
                <w:b/>
                <w:w w:val="99"/>
                <w:sz w:val="18"/>
              </w:rPr>
              <w:t>-</w:t>
            </w:r>
          </w:p>
        </w:tc>
        <w:tc>
          <w:tcPr>
            <w:tcW w:w="992" w:type="dxa"/>
          </w:tcPr>
          <w:p w:rsidR="007C5447" w:rsidRDefault="00F6308C">
            <w:pPr>
              <w:pStyle w:val="TableParagraph"/>
              <w:spacing w:before="59"/>
              <w:ind w:right="128"/>
              <w:rPr>
                <w:sz w:val="18"/>
              </w:rPr>
            </w:pPr>
            <w:r>
              <w:rPr>
                <w:sz w:val="18"/>
              </w:rPr>
              <w:t>9.92</w:t>
            </w:r>
          </w:p>
        </w:tc>
        <w:tc>
          <w:tcPr>
            <w:tcW w:w="1134" w:type="dxa"/>
          </w:tcPr>
          <w:p w:rsidR="007C5447" w:rsidRDefault="00F6308C">
            <w:pPr>
              <w:pStyle w:val="TableParagraph"/>
              <w:spacing w:before="59"/>
              <w:ind w:right="124"/>
              <w:rPr>
                <w:sz w:val="18"/>
              </w:rPr>
            </w:pPr>
            <w:r>
              <w:rPr>
                <w:sz w:val="18"/>
              </w:rPr>
              <w:t>47.71</w:t>
            </w:r>
          </w:p>
        </w:tc>
        <w:tc>
          <w:tcPr>
            <w:tcW w:w="1154" w:type="dxa"/>
          </w:tcPr>
          <w:p w:rsidR="007C5447" w:rsidRDefault="00F6308C">
            <w:pPr>
              <w:pStyle w:val="TableParagraph"/>
              <w:spacing w:before="59"/>
              <w:ind w:right="124"/>
              <w:rPr>
                <w:sz w:val="18"/>
              </w:rPr>
            </w:pPr>
            <w:r>
              <w:rPr>
                <w:sz w:val="18"/>
              </w:rPr>
              <w:t>0.14</w:t>
            </w:r>
          </w:p>
        </w:tc>
        <w:tc>
          <w:tcPr>
            <w:tcW w:w="1132" w:type="dxa"/>
          </w:tcPr>
          <w:p w:rsidR="007C5447" w:rsidRDefault="00F6308C">
            <w:pPr>
              <w:pStyle w:val="TableParagraph"/>
              <w:spacing w:before="59"/>
              <w:ind w:right="121"/>
              <w:rPr>
                <w:b/>
                <w:sz w:val="18"/>
              </w:rPr>
            </w:pPr>
            <w:r>
              <w:rPr>
                <w:b/>
                <w:w w:val="99"/>
                <w:sz w:val="18"/>
              </w:rPr>
              <w:t>-</w:t>
            </w:r>
          </w:p>
        </w:tc>
        <w:tc>
          <w:tcPr>
            <w:tcW w:w="1312" w:type="dxa"/>
          </w:tcPr>
          <w:p w:rsidR="007C5447" w:rsidRDefault="00F6308C">
            <w:pPr>
              <w:pStyle w:val="TableParagraph"/>
              <w:spacing w:before="59"/>
              <w:ind w:right="121"/>
              <w:rPr>
                <w:sz w:val="18"/>
              </w:rPr>
            </w:pPr>
            <w:r>
              <w:rPr>
                <w:sz w:val="18"/>
              </w:rPr>
              <w:t>(1.64)</w:t>
            </w:r>
          </w:p>
        </w:tc>
        <w:tc>
          <w:tcPr>
            <w:tcW w:w="1097" w:type="dxa"/>
          </w:tcPr>
          <w:p w:rsidR="007C5447" w:rsidRDefault="00F6308C">
            <w:pPr>
              <w:pStyle w:val="TableParagraph"/>
              <w:spacing w:before="59"/>
              <w:ind w:right="120"/>
              <w:rPr>
                <w:sz w:val="18"/>
              </w:rPr>
            </w:pPr>
            <w:r>
              <w:rPr>
                <w:sz w:val="18"/>
              </w:rPr>
              <w:t>1.24</w:t>
            </w:r>
          </w:p>
        </w:tc>
        <w:tc>
          <w:tcPr>
            <w:tcW w:w="1219" w:type="dxa"/>
          </w:tcPr>
          <w:p w:rsidR="007C5447" w:rsidRDefault="00F6308C">
            <w:pPr>
              <w:pStyle w:val="TableParagraph"/>
              <w:spacing w:before="59"/>
              <w:ind w:right="124"/>
              <w:rPr>
                <w:sz w:val="18"/>
              </w:rPr>
            </w:pPr>
            <w:r>
              <w:rPr>
                <w:sz w:val="18"/>
              </w:rPr>
              <w:t>1.34</w:t>
            </w:r>
          </w:p>
        </w:tc>
        <w:tc>
          <w:tcPr>
            <w:tcW w:w="1238" w:type="dxa"/>
          </w:tcPr>
          <w:p w:rsidR="007C5447" w:rsidRDefault="00F6308C">
            <w:pPr>
              <w:pStyle w:val="TableParagraph"/>
              <w:spacing w:before="59"/>
              <w:ind w:right="121"/>
              <w:rPr>
                <w:sz w:val="18"/>
              </w:rPr>
            </w:pPr>
            <w:r>
              <w:rPr>
                <w:sz w:val="18"/>
              </w:rPr>
              <w:t>208.24</w:t>
            </w:r>
          </w:p>
        </w:tc>
        <w:tc>
          <w:tcPr>
            <w:tcW w:w="1332" w:type="dxa"/>
          </w:tcPr>
          <w:p w:rsidR="007C5447" w:rsidRDefault="00F6308C">
            <w:pPr>
              <w:pStyle w:val="TableParagraph"/>
              <w:spacing w:before="59"/>
              <w:ind w:right="121"/>
              <w:rPr>
                <w:sz w:val="18"/>
              </w:rPr>
            </w:pPr>
            <w:r>
              <w:rPr>
                <w:sz w:val="18"/>
              </w:rPr>
              <w:t>208.24</w:t>
            </w:r>
          </w:p>
        </w:tc>
      </w:tr>
      <w:tr w:rsidR="007C5447">
        <w:trPr>
          <w:trHeight w:val="330"/>
        </w:trPr>
        <w:tc>
          <w:tcPr>
            <w:tcW w:w="708" w:type="dxa"/>
          </w:tcPr>
          <w:p w:rsidR="007C5447" w:rsidRDefault="00F6308C">
            <w:pPr>
              <w:pStyle w:val="TableParagraph"/>
              <w:spacing w:before="62"/>
              <w:ind w:left="263"/>
              <w:jc w:val="left"/>
              <w:rPr>
                <w:sz w:val="18"/>
              </w:rPr>
            </w:pPr>
            <w:r>
              <w:rPr>
                <w:sz w:val="18"/>
              </w:rPr>
              <w:t>13</w:t>
            </w:r>
          </w:p>
        </w:tc>
        <w:tc>
          <w:tcPr>
            <w:tcW w:w="1704" w:type="dxa"/>
          </w:tcPr>
          <w:p w:rsidR="007C5447" w:rsidRDefault="00F6308C">
            <w:pPr>
              <w:pStyle w:val="TableParagraph"/>
              <w:spacing w:before="62"/>
              <w:ind w:left="107"/>
              <w:jc w:val="left"/>
              <w:rPr>
                <w:sz w:val="18"/>
              </w:rPr>
            </w:pPr>
            <w:r>
              <w:rPr>
                <w:sz w:val="18"/>
              </w:rPr>
              <w:t>Tirunelveli HEP</w:t>
            </w:r>
          </w:p>
        </w:tc>
        <w:tc>
          <w:tcPr>
            <w:tcW w:w="1204" w:type="dxa"/>
          </w:tcPr>
          <w:p w:rsidR="007C5447" w:rsidRDefault="00F6308C">
            <w:pPr>
              <w:pStyle w:val="TableParagraph"/>
              <w:spacing w:before="62"/>
              <w:ind w:right="127"/>
              <w:rPr>
                <w:sz w:val="18"/>
              </w:rPr>
            </w:pPr>
            <w:r>
              <w:rPr>
                <w:sz w:val="18"/>
              </w:rPr>
              <w:t>10.69</w:t>
            </w:r>
          </w:p>
        </w:tc>
        <w:tc>
          <w:tcPr>
            <w:tcW w:w="1062" w:type="dxa"/>
          </w:tcPr>
          <w:p w:rsidR="007C5447" w:rsidRDefault="00F6308C">
            <w:pPr>
              <w:pStyle w:val="TableParagraph"/>
              <w:spacing w:before="62"/>
              <w:ind w:right="128"/>
              <w:rPr>
                <w:sz w:val="18"/>
              </w:rPr>
            </w:pPr>
            <w:r>
              <w:rPr>
                <w:sz w:val="18"/>
              </w:rPr>
              <w:t>60.06</w:t>
            </w:r>
          </w:p>
        </w:tc>
        <w:tc>
          <w:tcPr>
            <w:tcW w:w="969" w:type="dxa"/>
          </w:tcPr>
          <w:p w:rsidR="007C5447" w:rsidRDefault="00F6308C">
            <w:pPr>
              <w:pStyle w:val="TableParagraph"/>
              <w:spacing w:before="62"/>
              <w:ind w:right="126"/>
              <w:rPr>
                <w:sz w:val="18"/>
              </w:rPr>
            </w:pPr>
            <w:r>
              <w:rPr>
                <w:w w:val="99"/>
                <w:sz w:val="18"/>
              </w:rPr>
              <w:t>-</w:t>
            </w:r>
          </w:p>
        </w:tc>
        <w:tc>
          <w:tcPr>
            <w:tcW w:w="992" w:type="dxa"/>
          </w:tcPr>
          <w:p w:rsidR="007C5447" w:rsidRDefault="00F6308C">
            <w:pPr>
              <w:pStyle w:val="TableParagraph"/>
              <w:spacing w:before="62"/>
              <w:ind w:right="128"/>
              <w:rPr>
                <w:sz w:val="18"/>
              </w:rPr>
            </w:pPr>
            <w:r>
              <w:rPr>
                <w:sz w:val="18"/>
              </w:rPr>
              <w:t>5.03</w:t>
            </w:r>
          </w:p>
        </w:tc>
        <w:tc>
          <w:tcPr>
            <w:tcW w:w="1134" w:type="dxa"/>
          </w:tcPr>
          <w:p w:rsidR="007C5447" w:rsidRDefault="00F6308C">
            <w:pPr>
              <w:pStyle w:val="TableParagraph"/>
              <w:spacing w:before="62"/>
              <w:ind w:right="124"/>
              <w:rPr>
                <w:sz w:val="18"/>
              </w:rPr>
            </w:pPr>
            <w:r>
              <w:rPr>
                <w:sz w:val="18"/>
              </w:rPr>
              <w:t>30.96</w:t>
            </w:r>
          </w:p>
        </w:tc>
        <w:tc>
          <w:tcPr>
            <w:tcW w:w="1154" w:type="dxa"/>
          </w:tcPr>
          <w:p w:rsidR="007C5447" w:rsidRDefault="00F6308C">
            <w:pPr>
              <w:pStyle w:val="TableParagraph"/>
              <w:spacing w:before="62"/>
              <w:ind w:right="124"/>
              <w:rPr>
                <w:sz w:val="18"/>
              </w:rPr>
            </w:pPr>
            <w:r>
              <w:rPr>
                <w:sz w:val="18"/>
              </w:rPr>
              <w:t>0.07</w:t>
            </w:r>
          </w:p>
        </w:tc>
        <w:tc>
          <w:tcPr>
            <w:tcW w:w="1132" w:type="dxa"/>
          </w:tcPr>
          <w:p w:rsidR="007C5447" w:rsidRDefault="00F6308C">
            <w:pPr>
              <w:pStyle w:val="TableParagraph"/>
              <w:spacing w:before="62"/>
              <w:ind w:right="121"/>
              <w:rPr>
                <w:sz w:val="18"/>
              </w:rPr>
            </w:pPr>
            <w:r>
              <w:rPr>
                <w:w w:val="99"/>
                <w:sz w:val="18"/>
              </w:rPr>
              <w:t>-</w:t>
            </w:r>
          </w:p>
        </w:tc>
        <w:tc>
          <w:tcPr>
            <w:tcW w:w="1312" w:type="dxa"/>
          </w:tcPr>
          <w:p w:rsidR="007C5447" w:rsidRDefault="00F6308C">
            <w:pPr>
              <w:pStyle w:val="TableParagraph"/>
              <w:spacing w:before="62"/>
              <w:ind w:right="121"/>
              <w:rPr>
                <w:sz w:val="18"/>
              </w:rPr>
            </w:pPr>
            <w:r>
              <w:rPr>
                <w:sz w:val="18"/>
              </w:rPr>
              <w:t>(0.75)</w:t>
            </w:r>
          </w:p>
        </w:tc>
        <w:tc>
          <w:tcPr>
            <w:tcW w:w="1097" w:type="dxa"/>
          </w:tcPr>
          <w:p w:rsidR="007C5447" w:rsidRDefault="00F6308C">
            <w:pPr>
              <w:pStyle w:val="TableParagraph"/>
              <w:spacing w:before="62"/>
              <w:ind w:right="120"/>
              <w:rPr>
                <w:sz w:val="18"/>
              </w:rPr>
            </w:pPr>
            <w:r>
              <w:rPr>
                <w:sz w:val="18"/>
              </w:rPr>
              <w:t>4.47</w:t>
            </w:r>
          </w:p>
        </w:tc>
        <w:tc>
          <w:tcPr>
            <w:tcW w:w="1219" w:type="dxa"/>
          </w:tcPr>
          <w:p w:rsidR="007C5447" w:rsidRDefault="00F6308C">
            <w:pPr>
              <w:pStyle w:val="TableParagraph"/>
              <w:spacing w:before="62"/>
              <w:ind w:right="124"/>
              <w:rPr>
                <w:sz w:val="18"/>
              </w:rPr>
            </w:pPr>
            <w:r>
              <w:rPr>
                <w:sz w:val="18"/>
              </w:rPr>
              <w:t>0.97</w:t>
            </w:r>
          </w:p>
        </w:tc>
        <w:tc>
          <w:tcPr>
            <w:tcW w:w="1238" w:type="dxa"/>
          </w:tcPr>
          <w:p w:rsidR="007C5447" w:rsidRDefault="00F6308C">
            <w:pPr>
              <w:pStyle w:val="TableParagraph"/>
              <w:spacing w:before="62"/>
              <w:ind w:right="121"/>
              <w:rPr>
                <w:sz w:val="18"/>
              </w:rPr>
            </w:pPr>
            <w:r>
              <w:rPr>
                <w:sz w:val="18"/>
              </w:rPr>
              <w:t>102.55</w:t>
            </w:r>
          </w:p>
        </w:tc>
        <w:tc>
          <w:tcPr>
            <w:tcW w:w="1332" w:type="dxa"/>
          </w:tcPr>
          <w:p w:rsidR="007C5447" w:rsidRDefault="00F6308C">
            <w:pPr>
              <w:pStyle w:val="TableParagraph"/>
              <w:spacing w:before="62"/>
              <w:ind w:right="121"/>
              <w:rPr>
                <w:sz w:val="18"/>
              </w:rPr>
            </w:pPr>
            <w:r>
              <w:rPr>
                <w:sz w:val="18"/>
              </w:rPr>
              <w:t>102.55</w:t>
            </w:r>
          </w:p>
        </w:tc>
      </w:tr>
      <w:tr w:rsidR="007C5447">
        <w:trPr>
          <w:trHeight w:val="443"/>
        </w:trPr>
        <w:tc>
          <w:tcPr>
            <w:tcW w:w="708" w:type="dxa"/>
          </w:tcPr>
          <w:p w:rsidR="007C5447" w:rsidRDefault="00F6308C">
            <w:pPr>
              <w:pStyle w:val="TableParagraph"/>
              <w:spacing w:before="119"/>
              <w:ind w:left="263"/>
              <w:jc w:val="left"/>
              <w:rPr>
                <w:sz w:val="18"/>
              </w:rPr>
            </w:pPr>
            <w:r>
              <w:rPr>
                <w:sz w:val="18"/>
              </w:rPr>
              <w:t>14</w:t>
            </w:r>
          </w:p>
        </w:tc>
        <w:tc>
          <w:tcPr>
            <w:tcW w:w="1704" w:type="dxa"/>
          </w:tcPr>
          <w:p w:rsidR="007C5447" w:rsidRDefault="00F6308C">
            <w:pPr>
              <w:pStyle w:val="TableParagraph"/>
              <w:spacing w:before="11" w:line="210" w:lineRule="atLeast"/>
              <w:ind w:left="107" w:right="222"/>
              <w:jc w:val="left"/>
              <w:rPr>
                <w:sz w:val="18"/>
              </w:rPr>
            </w:pPr>
            <w:r>
              <w:rPr>
                <w:sz w:val="18"/>
              </w:rPr>
              <w:t>Cogen sugar mills under construction</w:t>
            </w:r>
          </w:p>
        </w:tc>
        <w:tc>
          <w:tcPr>
            <w:tcW w:w="1204" w:type="dxa"/>
          </w:tcPr>
          <w:p w:rsidR="007C5447" w:rsidRDefault="007C5447">
            <w:pPr>
              <w:pStyle w:val="TableParagraph"/>
              <w:jc w:val="left"/>
              <w:rPr>
                <w:sz w:val="18"/>
              </w:rPr>
            </w:pPr>
          </w:p>
        </w:tc>
        <w:tc>
          <w:tcPr>
            <w:tcW w:w="1062" w:type="dxa"/>
          </w:tcPr>
          <w:p w:rsidR="007C5447" w:rsidRDefault="00F6308C">
            <w:pPr>
              <w:pStyle w:val="TableParagraph"/>
              <w:spacing w:before="119"/>
              <w:ind w:right="128"/>
              <w:rPr>
                <w:sz w:val="18"/>
              </w:rPr>
            </w:pPr>
            <w:r>
              <w:rPr>
                <w:sz w:val="18"/>
              </w:rPr>
              <w:t>42.69</w:t>
            </w:r>
          </w:p>
        </w:tc>
        <w:tc>
          <w:tcPr>
            <w:tcW w:w="969" w:type="dxa"/>
          </w:tcPr>
          <w:p w:rsidR="007C5447" w:rsidRDefault="00F6308C">
            <w:pPr>
              <w:pStyle w:val="TableParagraph"/>
              <w:spacing w:before="119"/>
              <w:ind w:right="126"/>
              <w:rPr>
                <w:sz w:val="18"/>
              </w:rPr>
            </w:pPr>
            <w:r>
              <w:rPr>
                <w:w w:val="99"/>
                <w:sz w:val="18"/>
              </w:rPr>
              <w:t>-</w:t>
            </w:r>
          </w:p>
        </w:tc>
        <w:tc>
          <w:tcPr>
            <w:tcW w:w="992" w:type="dxa"/>
          </w:tcPr>
          <w:p w:rsidR="007C5447" w:rsidRDefault="007C5447">
            <w:pPr>
              <w:pStyle w:val="TableParagraph"/>
              <w:jc w:val="left"/>
              <w:rPr>
                <w:sz w:val="18"/>
              </w:rPr>
            </w:pPr>
          </w:p>
        </w:tc>
        <w:tc>
          <w:tcPr>
            <w:tcW w:w="1134" w:type="dxa"/>
          </w:tcPr>
          <w:p w:rsidR="007C5447" w:rsidRDefault="007C5447">
            <w:pPr>
              <w:pStyle w:val="TableParagraph"/>
              <w:jc w:val="left"/>
              <w:rPr>
                <w:sz w:val="18"/>
              </w:rPr>
            </w:pPr>
          </w:p>
        </w:tc>
        <w:tc>
          <w:tcPr>
            <w:tcW w:w="1154" w:type="dxa"/>
          </w:tcPr>
          <w:p w:rsidR="007C5447" w:rsidRDefault="007C5447">
            <w:pPr>
              <w:pStyle w:val="TableParagraph"/>
              <w:jc w:val="left"/>
              <w:rPr>
                <w:sz w:val="18"/>
              </w:rPr>
            </w:pPr>
          </w:p>
        </w:tc>
        <w:tc>
          <w:tcPr>
            <w:tcW w:w="1132" w:type="dxa"/>
          </w:tcPr>
          <w:p w:rsidR="007C5447" w:rsidRDefault="00F6308C">
            <w:pPr>
              <w:pStyle w:val="TableParagraph"/>
              <w:spacing w:before="119"/>
              <w:ind w:right="121"/>
              <w:rPr>
                <w:sz w:val="18"/>
              </w:rPr>
            </w:pPr>
            <w:r>
              <w:rPr>
                <w:w w:val="99"/>
                <w:sz w:val="18"/>
              </w:rPr>
              <w:t>-</w:t>
            </w:r>
          </w:p>
        </w:tc>
        <w:tc>
          <w:tcPr>
            <w:tcW w:w="1312" w:type="dxa"/>
          </w:tcPr>
          <w:p w:rsidR="007C5447" w:rsidRDefault="007C5447">
            <w:pPr>
              <w:pStyle w:val="TableParagraph"/>
              <w:jc w:val="left"/>
              <w:rPr>
                <w:sz w:val="18"/>
              </w:rPr>
            </w:pPr>
          </w:p>
        </w:tc>
        <w:tc>
          <w:tcPr>
            <w:tcW w:w="1097" w:type="dxa"/>
          </w:tcPr>
          <w:p w:rsidR="007C5447" w:rsidRDefault="007C5447">
            <w:pPr>
              <w:pStyle w:val="TableParagraph"/>
              <w:jc w:val="left"/>
              <w:rPr>
                <w:sz w:val="18"/>
              </w:rPr>
            </w:pPr>
          </w:p>
        </w:tc>
        <w:tc>
          <w:tcPr>
            <w:tcW w:w="1219" w:type="dxa"/>
          </w:tcPr>
          <w:p w:rsidR="007C5447" w:rsidRDefault="007C5447">
            <w:pPr>
              <w:pStyle w:val="TableParagraph"/>
              <w:jc w:val="left"/>
              <w:rPr>
                <w:sz w:val="18"/>
              </w:rPr>
            </w:pPr>
          </w:p>
        </w:tc>
        <w:tc>
          <w:tcPr>
            <w:tcW w:w="1238" w:type="dxa"/>
          </w:tcPr>
          <w:p w:rsidR="007C5447" w:rsidRDefault="00F6308C">
            <w:pPr>
              <w:pStyle w:val="TableParagraph"/>
              <w:spacing w:before="119"/>
              <w:ind w:right="121"/>
              <w:rPr>
                <w:sz w:val="18"/>
              </w:rPr>
            </w:pPr>
            <w:r>
              <w:rPr>
                <w:sz w:val="18"/>
              </w:rPr>
              <w:t>42.69</w:t>
            </w:r>
          </w:p>
        </w:tc>
        <w:tc>
          <w:tcPr>
            <w:tcW w:w="1332" w:type="dxa"/>
          </w:tcPr>
          <w:p w:rsidR="007C5447" w:rsidRDefault="00F6308C">
            <w:pPr>
              <w:pStyle w:val="TableParagraph"/>
              <w:spacing w:before="119"/>
              <w:ind w:right="121"/>
              <w:rPr>
                <w:sz w:val="18"/>
              </w:rPr>
            </w:pPr>
            <w:r>
              <w:rPr>
                <w:sz w:val="18"/>
              </w:rPr>
              <w:t>42.69</w:t>
            </w:r>
          </w:p>
        </w:tc>
      </w:tr>
      <w:tr w:rsidR="007C5447">
        <w:trPr>
          <w:trHeight w:val="443"/>
        </w:trPr>
        <w:tc>
          <w:tcPr>
            <w:tcW w:w="708" w:type="dxa"/>
          </w:tcPr>
          <w:p w:rsidR="007C5447" w:rsidRDefault="007C5447">
            <w:pPr>
              <w:pStyle w:val="TableParagraph"/>
              <w:jc w:val="left"/>
              <w:rPr>
                <w:sz w:val="18"/>
              </w:rPr>
            </w:pPr>
          </w:p>
        </w:tc>
        <w:tc>
          <w:tcPr>
            <w:tcW w:w="1704" w:type="dxa"/>
          </w:tcPr>
          <w:p w:rsidR="007C5447" w:rsidRDefault="00F6308C">
            <w:pPr>
              <w:pStyle w:val="TableParagraph"/>
              <w:spacing w:before="20" w:line="206" w:lineRule="exact"/>
              <w:ind w:left="107"/>
              <w:jc w:val="left"/>
              <w:rPr>
                <w:b/>
                <w:sz w:val="18"/>
              </w:rPr>
            </w:pPr>
            <w:r>
              <w:rPr>
                <w:b/>
                <w:sz w:val="18"/>
              </w:rPr>
              <w:t>Grand Total Generation</w:t>
            </w:r>
          </w:p>
        </w:tc>
        <w:tc>
          <w:tcPr>
            <w:tcW w:w="1204" w:type="dxa"/>
          </w:tcPr>
          <w:p w:rsidR="007C5447" w:rsidRDefault="00F6308C">
            <w:pPr>
              <w:pStyle w:val="TableParagraph"/>
              <w:spacing w:before="119"/>
              <w:ind w:right="130"/>
              <w:rPr>
                <w:b/>
                <w:sz w:val="18"/>
              </w:rPr>
            </w:pPr>
            <w:r>
              <w:rPr>
                <w:b/>
                <w:sz w:val="18"/>
              </w:rPr>
              <w:t>329.99</w:t>
            </w:r>
          </w:p>
        </w:tc>
        <w:tc>
          <w:tcPr>
            <w:tcW w:w="1062" w:type="dxa"/>
          </w:tcPr>
          <w:p w:rsidR="007C5447" w:rsidRDefault="00F6308C">
            <w:pPr>
              <w:pStyle w:val="TableParagraph"/>
              <w:spacing w:before="119"/>
              <w:ind w:right="131"/>
              <w:rPr>
                <w:b/>
                <w:sz w:val="18"/>
              </w:rPr>
            </w:pPr>
            <w:r>
              <w:rPr>
                <w:b/>
                <w:sz w:val="18"/>
              </w:rPr>
              <w:t>1,467.86</w:t>
            </w:r>
          </w:p>
        </w:tc>
        <w:tc>
          <w:tcPr>
            <w:tcW w:w="969" w:type="dxa"/>
          </w:tcPr>
          <w:p w:rsidR="007C5447" w:rsidRDefault="00F6308C">
            <w:pPr>
              <w:pStyle w:val="TableParagraph"/>
              <w:spacing w:before="119"/>
              <w:ind w:right="126"/>
              <w:rPr>
                <w:sz w:val="18"/>
              </w:rPr>
            </w:pPr>
            <w:r>
              <w:rPr>
                <w:w w:val="99"/>
                <w:sz w:val="18"/>
              </w:rPr>
              <w:t>-</w:t>
            </w:r>
          </w:p>
        </w:tc>
        <w:tc>
          <w:tcPr>
            <w:tcW w:w="992" w:type="dxa"/>
          </w:tcPr>
          <w:p w:rsidR="007C5447" w:rsidRDefault="00F6308C">
            <w:pPr>
              <w:pStyle w:val="TableParagraph"/>
              <w:spacing w:before="119"/>
              <w:ind w:right="128"/>
              <w:rPr>
                <w:b/>
                <w:sz w:val="18"/>
              </w:rPr>
            </w:pPr>
            <w:r>
              <w:rPr>
                <w:b/>
                <w:sz w:val="18"/>
              </w:rPr>
              <w:t>564.65</w:t>
            </w:r>
          </w:p>
        </w:tc>
        <w:tc>
          <w:tcPr>
            <w:tcW w:w="1134" w:type="dxa"/>
          </w:tcPr>
          <w:p w:rsidR="007C5447" w:rsidRDefault="00F6308C">
            <w:pPr>
              <w:pStyle w:val="TableParagraph"/>
              <w:spacing w:before="119"/>
              <w:ind w:right="127"/>
              <w:rPr>
                <w:b/>
                <w:sz w:val="18"/>
              </w:rPr>
            </w:pPr>
            <w:r>
              <w:rPr>
                <w:b/>
                <w:sz w:val="18"/>
              </w:rPr>
              <w:t>743.75</w:t>
            </w:r>
          </w:p>
        </w:tc>
        <w:tc>
          <w:tcPr>
            <w:tcW w:w="1154" w:type="dxa"/>
          </w:tcPr>
          <w:p w:rsidR="007C5447" w:rsidRDefault="00F6308C">
            <w:pPr>
              <w:pStyle w:val="TableParagraph"/>
              <w:spacing w:before="119"/>
              <w:ind w:right="124"/>
              <w:rPr>
                <w:b/>
                <w:sz w:val="18"/>
              </w:rPr>
            </w:pPr>
            <w:r>
              <w:rPr>
                <w:b/>
                <w:sz w:val="18"/>
              </w:rPr>
              <w:t>1.47</w:t>
            </w:r>
          </w:p>
        </w:tc>
        <w:tc>
          <w:tcPr>
            <w:tcW w:w="1132" w:type="dxa"/>
          </w:tcPr>
          <w:p w:rsidR="007C5447" w:rsidRDefault="00F6308C">
            <w:pPr>
              <w:pStyle w:val="TableParagraph"/>
              <w:spacing w:before="119"/>
              <w:ind w:right="121"/>
              <w:rPr>
                <w:sz w:val="18"/>
              </w:rPr>
            </w:pPr>
            <w:r>
              <w:rPr>
                <w:w w:val="99"/>
                <w:sz w:val="18"/>
              </w:rPr>
              <w:t>-</w:t>
            </w:r>
          </w:p>
        </w:tc>
        <w:tc>
          <w:tcPr>
            <w:tcW w:w="1312" w:type="dxa"/>
          </w:tcPr>
          <w:p w:rsidR="007C5447" w:rsidRDefault="00F6308C">
            <w:pPr>
              <w:pStyle w:val="TableParagraph"/>
              <w:spacing w:before="119"/>
              <w:ind w:right="121"/>
              <w:rPr>
                <w:b/>
                <w:sz w:val="18"/>
              </w:rPr>
            </w:pPr>
            <w:r>
              <w:rPr>
                <w:b/>
                <w:sz w:val="18"/>
              </w:rPr>
              <w:t>(59.59)</w:t>
            </w:r>
          </w:p>
        </w:tc>
        <w:tc>
          <w:tcPr>
            <w:tcW w:w="1097" w:type="dxa"/>
          </w:tcPr>
          <w:p w:rsidR="007C5447" w:rsidRDefault="00F6308C">
            <w:pPr>
              <w:pStyle w:val="TableParagraph"/>
              <w:spacing w:before="119"/>
              <w:ind w:right="120"/>
              <w:rPr>
                <w:b/>
                <w:sz w:val="18"/>
              </w:rPr>
            </w:pPr>
            <w:r>
              <w:rPr>
                <w:b/>
                <w:sz w:val="18"/>
              </w:rPr>
              <w:t>157.74</w:t>
            </w:r>
          </w:p>
        </w:tc>
        <w:tc>
          <w:tcPr>
            <w:tcW w:w="1219" w:type="dxa"/>
          </w:tcPr>
          <w:p w:rsidR="007C5447" w:rsidRDefault="00F6308C">
            <w:pPr>
              <w:pStyle w:val="TableParagraph"/>
              <w:spacing w:before="119"/>
              <w:ind w:right="121"/>
              <w:rPr>
                <w:b/>
                <w:sz w:val="18"/>
              </w:rPr>
            </w:pPr>
            <w:r>
              <w:rPr>
                <w:b/>
                <w:sz w:val="18"/>
              </w:rPr>
              <w:t>18.89</w:t>
            </w:r>
          </w:p>
        </w:tc>
        <w:tc>
          <w:tcPr>
            <w:tcW w:w="1238" w:type="dxa"/>
          </w:tcPr>
          <w:p w:rsidR="007C5447" w:rsidRDefault="00F6308C">
            <w:pPr>
              <w:pStyle w:val="TableParagraph"/>
              <w:spacing w:before="119"/>
              <w:ind w:right="121"/>
              <w:rPr>
                <w:b/>
                <w:sz w:val="18"/>
              </w:rPr>
            </w:pPr>
            <w:r>
              <w:rPr>
                <w:b/>
                <w:sz w:val="18"/>
              </w:rPr>
              <w:t>2,909.26</w:t>
            </w:r>
          </w:p>
        </w:tc>
        <w:tc>
          <w:tcPr>
            <w:tcW w:w="1332" w:type="dxa"/>
          </w:tcPr>
          <w:p w:rsidR="007C5447" w:rsidRDefault="00F6308C">
            <w:pPr>
              <w:pStyle w:val="TableParagraph"/>
              <w:spacing w:before="119"/>
              <w:ind w:right="121"/>
              <w:rPr>
                <w:b/>
                <w:sz w:val="18"/>
              </w:rPr>
            </w:pPr>
            <w:r>
              <w:rPr>
                <w:b/>
                <w:sz w:val="18"/>
              </w:rPr>
              <w:t>2,909.26</w:t>
            </w:r>
          </w:p>
        </w:tc>
      </w:tr>
    </w:tbl>
    <w:p w:rsidR="007C5447" w:rsidRDefault="007C5447">
      <w:pPr>
        <w:rPr>
          <w:sz w:val="18"/>
        </w:rPr>
        <w:sectPr w:rsidR="007C5447">
          <w:pgSz w:w="16840" w:h="11910" w:orient="landscape"/>
          <w:pgMar w:top="1100" w:right="140" w:bottom="1240" w:left="200" w:header="0" w:footer="1057" w:gutter="0"/>
          <w:cols w:space="720"/>
        </w:sectPr>
      </w:pPr>
    </w:p>
    <w:p w:rsidR="007C5447" w:rsidRDefault="007C5447">
      <w:pPr>
        <w:pStyle w:val="BodyText"/>
        <w:rPr>
          <w:b/>
          <w:sz w:val="20"/>
        </w:rPr>
      </w:pPr>
    </w:p>
    <w:p w:rsidR="007C5447" w:rsidRDefault="007C5447">
      <w:pPr>
        <w:pStyle w:val="BodyText"/>
        <w:rPr>
          <w:b/>
          <w:sz w:val="22"/>
        </w:rPr>
      </w:pPr>
    </w:p>
    <w:p w:rsidR="007C5447" w:rsidRDefault="00F6308C">
      <w:pPr>
        <w:spacing w:before="92"/>
        <w:ind w:left="2483" w:right="2537"/>
        <w:jc w:val="center"/>
        <w:rPr>
          <w:b/>
        </w:rPr>
      </w:pPr>
      <w:r>
        <w:rPr>
          <w:b/>
        </w:rPr>
        <w:t>Table 3-49: Fixed Charges approved by the Commission for Generation function after true-up for FY 2014-15 (Rs. Crore)</w:t>
      </w:r>
    </w:p>
    <w:p w:rsidR="007C5447" w:rsidRDefault="007C5447">
      <w:pPr>
        <w:pStyle w:val="BodyText"/>
        <w:spacing w:before="10" w:after="1"/>
        <w:rPr>
          <w:b/>
          <w:sz w:val="16"/>
        </w:rPr>
      </w:pPr>
    </w:p>
    <w:tbl>
      <w:tblPr>
        <w:tblW w:w="0" w:type="auto"/>
        <w:tblInd w:w="1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5"/>
        <w:gridCol w:w="2095"/>
        <w:gridCol w:w="1207"/>
        <w:gridCol w:w="924"/>
        <w:gridCol w:w="767"/>
        <w:gridCol w:w="789"/>
        <w:gridCol w:w="926"/>
        <w:gridCol w:w="708"/>
        <w:gridCol w:w="1065"/>
        <w:gridCol w:w="1310"/>
        <w:gridCol w:w="830"/>
        <w:gridCol w:w="922"/>
        <w:gridCol w:w="1025"/>
        <w:gridCol w:w="1119"/>
      </w:tblGrid>
      <w:tr w:rsidR="007C5447">
        <w:trPr>
          <w:trHeight w:val="858"/>
        </w:trPr>
        <w:tc>
          <w:tcPr>
            <w:tcW w:w="485" w:type="dxa"/>
            <w:shd w:val="clear" w:color="auto" w:fill="FBD4B4"/>
          </w:tcPr>
          <w:p w:rsidR="007C5447" w:rsidRDefault="007C5447">
            <w:pPr>
              <w:pStyle w:val="TableParagraph"/>
              <w:spacing w:before="4"/>
              <w:jc w:val="left"/>
              <w:rPr>
                <w:b/>
                <w:sz w:val="28"/>
              </w:rPr>
            </w:pPr>
          </w:p>
          <w:p w:rsidR="007C5447" w:rsidRDefault="00F6308C">
            <w:pPr>
              <w:pStyle w:val="TableParagraph"/>
              <w:ind w:right="133"/>
              <w:rPr>
                <w:b/>
                <w:sz w:val="18"/>
              </w:rPr>
            </w:pPr>
            <w:r>
              <w:rPr>
                <w:b/>
                <w:w w:val="95"/>
                <w:sz w:val="18"/>
              </w:rPr>
              <w:t>Sl.</w:t>
            </w:r>
          </w:p>
        </w:tc>
        <w:tc>
          <w:tcPr>
            <w:tcW w:w="2095" w:type="dxa"/>
            <w:shd w:val="clear" w:color="auto" w:fill="FBD4B4"/>
          </w:tcPr>
          <w:p w:rsidR="007C5447" w:rsidRDefault="007C5447">
            <w:pPr>
              <w:pStyle w:val="TableParagraph"/>
              <w:spacing w:before="4"/>
              <w:jc w:val="left"/>
              <w:rPr>
                <w:b/>
                <w:sz w:val="28"/>
              </w:rPr>
            </w:pPr>
          </w:p>
          <w:p w:rsidR="007C5447" w:rsidRDefault="00F6308C">
            <w:pPr>
              <w:pStyle w:val="TableParagraph"/>
              <w:ind w:left="504"/>
              <w:jc w:val="left"/>
              <w:rPr>
                <w:b/>
                <w:sz w:val="18"/>
              </w:rPr>
            </w:pPr>
            <w:r>
              <w:rPr>
                <w:b/>
                <w:sz w:val="18"/>
              </w:rPr>
              <w:t>Power Station</w:t>
            </w:r>
          </w:p>
        </w:tc>
        <w:tc>
          <w:tcPr>
            <w:tcW w:w="1207" w:type="dxa"/>
            <w:shd w:val="clear" w:color="auto" w:fill="FBD4B4"/>
          </w:tcPr>
          <w:p w:rsidR="007C5447" w:rsidRDefault="007C5447">
            <w:pPr>
              <w:pStyle w:val="TableParagraph"/>
              <w:spacing w:before="4"/>
              <w:jc w:val="left"/>
              <w:rPr>
                <w:b/>
                <w:sz w:val="28"/>
              </w:rPr>
            </w:pPr>
          </w:p>
          <w:p w:rsidR="007C5447" w:rsidRDefault="00F6308C">
            <w:pPr>
              <w:pStyle w:val="TableParagraph"/>
              <w:ind w:right="99"/>
              <w:rPr>
                <w:b/>
                <w:sz w:val="18"/>
              </w:rPr>
            </w:pPr>
            <w:r>
              <w:rPr>
                <w:b/>
                <w:sz w:val="18"/>
              </w:rPr>
              <w:t>Depreciation</w:t>
            </w:r>
          </w:p>
        </w:tc>
        <w:tc>
          <w:tcPr>
            <w:tcW w:w="924" w:type="dxa"/>
            <w:shd w:val="clear" w:color="auto" w:fill="FBD4B4"/>
          </w:tcPr>
          <w:p w:rsidR="007C5447" w:rsidRDefault="007C5447">
            <w:pPr>
              <w:pStyle w:val="TableParagraph"/>
              <w:spacing w:before="4"/>
              <w:jc w:val="left"/>
              <w:rPr>
                <w:b/>
                <w:sz w:val="19"/>
              </w:rPr>
            </w:pPr>
          </w:p>
          <w:p w:rsidR="007C5447" w:rsidRDefault="00F6308C">
            <w:pPr>
              <w:pStyle w:val="TableParagraph"/>
              <w:ind w:left="166" w:right="133" w:hanging="5"/>
              <w:jc w:val="left"/>
              <w:rPr>
                <w:b/>
                <w:sz w:val="18"/>
              </w:rPr>
            </w:pPr>
            <w:r>
              <w:rPr>
                <w:b/>
                <w:sz w:val="18"/>
              </w:rPr>
              <w:t>Interest charges</w:t>
            </w:r>
          </w:p>
        </w:tc>
        <w:tc>
          <w:tcPr>
            <w:tcW w:w="767" w:type="dxa"/>
            <w:shd w:val="clear" w:color="auto" w:fill="FBD4B4"/>
          </w:tcPr>
          <w:p w:rsidR="007C5447" w:rsidRDefault="00F6308C">
            <w:pPr>
              <w:pStyle w:val="TableParagraph"/>
              <w:spacing w:before="119"/>
              <w:ind w:left="109" w:right="97"/>
              <w:jc w:val="center"/>
              <w:rPr>
                <w:b/>
                <w:sz w:val="18"/>
              </w:rPr>
            </w:pPr>
            <w:r>
              <w:rPr>
                <w:b/>
                <w:sz w:val="18"/>
              </w:rPr>
              <w:t>Return on Equity</w:t>
            </w:r>
          </w:p>
        </w:tc>
        <w:tc>
          <w:tcPr>
            <w:tcW w:w="789" w:type="dxa"/>
            <w:shd w:val="clear" w:color="auto" w:fill="FBD4B4"/>
          </w:tcPr>
          <w:p w:rsidR="007C5447" w:rsidRDefault="007C5447">
            <w:pPr>
              <w:pStyle w:val="TableParagraph"/>
              <w:spacing w:before="4"/>
              <w:jc w:val="left"/>
              <w:rPr>
                <w:b/>
                <w:sz w:val="28"/>
              </w:rPr>
            </w:pPr>
          </w:p>
          <w:p w:rsidR="007C5447" w:rsidRDefault="00F6308C">
            <w:pPr>
              <w:pStyle w:val="TableParagraph"/>
              <w:ind w:right="148"/>
              <w:rPr>
                <w:b/>
                <w:sz w:val="18"/>
              </w:rPr>
            </w:pPr>
            <w:r>
              <w:rPr>
                <w:b/>
                <w:sz w:val="18"/>
              </w:rPr>
              <w:t>IoWC</w:t>
            </w:r>
          </w:p>
        </w:tc>
        <w:tc>
          <w:tcPr>
            <w:tcW w:w="926" w:type="dxa"/>
            <w:shd w:val="clear" w:color="auto" w:fill="FBD4B4"/>
          </w:tcPr>
          <w:p w:rsidR="007C5447" w:rsidRDefault="007C5447">
            <w:pPr>
              <w:pStyle w:val="TableParagraph"/>
              <w:spacing w:before="4"/>
              <w:jc w:val="left"/>
              <w:rPr>
                <w:b/>
                <w:sz w:val="19"/>
              </w:rPr>
            </w:pPr>
          </w:p>
          <w:p w:rsidR="007C5447" w:rsidRDefault="00F6308C">
            <w:pPr>
              <w:pStyle w:val="TableParagraph"/>
              <w:ind w:left="110" w:right="75" w:firstLine="124"/>
              <w:jc w:val="left"/>
              <w:rPr>
                <w:b/>
                <w:sz w:val="18"/>
              </w:rPr>
            </w:pPr>
            <w:r>
              <w:rPr>
                <w:b/>
                <w:sz w:val="18"/>
              </w:rPr>
              <w:t>O&amp;M Expenses</w:t>
            </w:r>
          </w:p>
        </w:tc>
        <w:tc>
          <w:tcPr>
            <w:tcW w:w="708" w:type="dxa"/>
            <w:shd w:val="clear" w:color="auto" w:fill="FBD4B4"/>
          </w:tcPr>
          <w:p w:rsidR="007C5447" w:rsidRDefault="007C5447">
            <w:pPr>
              <w:pStyle w:val="TableParagraph"/>
              <w:spacing w:before="4"/>
              <w:jc w:val="left"/>
              <w:rPr>
                <w:b/>
                <w:sz w:val="19"/>
              </w:rPr>
            </w:pPr>
          </w:p>
          <w:p w:rsidR="007C5447" w:rsidRDefault="00F6308C">
            <w:pPr>
              <w:pStyle w:val="TableParagraph"/>
              <w:ind w:left="111" w:right="77" w:firstLine="14"/>
              <w:jc w:val="left"/>
              <w:rPr>
                <w:b/>
                <w:sz w:val="18"/>
              </w:rPr>
            </w:pPr>
            <w:r>
              <w:rPr>
                <w:b/>
                <w:sz w:val="18"/>
              </w:rPr>
              <w:t>Other Debits</w:t>
            </w:r>
          </w:p>
        </w:tc>
        <w:tc>
          <w:tcPr>
            <w:tcW w:w="1065" w:type="dxa"/>
            <w:shd w:val="clear" w:color="auto" w:fill="FBD4B4"/>
          </w:tcPr>
          <w:p w:rsidR="007C5447" w:rsidRDefault="00F6308C">
            <w:pPr>
              <w:pStyle w:val="TableParagraph"/>
              <w:spacing w:before="14"/>
              <w:ind w:left="145" w:right="114" w:firstLine="247"/>
              <w:jc w:val="left"/>
              <w:rPr>
                <w:b/>
                <w:sz w:val="18"/>
              </w:rPr>
            </w:pPr>
            <w:r>
              <w:rPr>
                <w:b/>
                <w:sz w:val="18"/>
              </w:rPr>
              <w:t>Op. Charges</w:t>
            </w:r>
          </w:p>
          <w:p w:rsidR="007C5447" w:rsidRDefault="00F6308C">
            <w:pPr>
              <w:pStyle w:val="TableParagraph"/>
              <w:spacing w:before="4" w:line="206" w:lineRule="exact"/>
              <w:ind w:left="169" w:right="114" w:hanging="24"/>
              <w:jc w:val="left"/>
              <w:rPr>
                <w:b/>
                <w:sz w:val="18"/>
              </w:rPr>
            </w:pPr>
            <w:r>
              <w:rPr>
                <w:b/>
                <w:sz w:val="18"/>
              </w:rPr>
              <w:t>and Extra Ordinary</w:t>
            </w:r>
          </w:p>
        </w:tc>
        <w:tc>
          <w:tcPr>
            <w:tcW w:w="1310" w:type="dxa"/>
            <w:shd w:val="clear" w:color="auto" w:fill="FBD4B4"/>
          </w:tcPr>
          <w:p w:rsidR="007C5447" w:rsidRDefault="007C5447">
            <w:pPr>
              <w:pStyle w:val="TableParagraph"/>
              <w:spacing w:before="4"/>
              <w:jc w:val="left"/>
              <w:rPr>
                <w:b/>
                <w:sz w:val="19"/>
              </w:rPr>
            </w:pPr>
          </w:p>
          <w:p w:rsidR="007C5447" w:rsidRDefault="00F6308C">
            <w:pPr>
              <w:pStyle w:val="TableParagraph"/>
              <w:ind w:left="112" w:firstLine="64"/>
              <w:jc w:val="left"/>
              <w:rPr>
                <w:b/>
                <w:sz w:val="18"/>
              </w:rPr>
            </w:pPr>
            <w:r>
              <w:rPr>
                <w:b/>
                <w:sz w:val="18"/>
              </w:rPr>
              <w:t>Prior Period Exp./(Income)</w:t>
            </w:r>
          </w:p>
        </w:tc>
        <w:tc>
          <w:tcPr>
            <w:tcW w:w="830" w:type="dxa"/>
            <w:shd w:val="clear" w:color="auto" w:fill="FBD4B4"/>
          </w:tcPr>
          <w:p w:rsidR="007C5447" w:rsidRDefault="007C5447">
            <w:pPr>
              <w:pStyle w:val="TableParagraph"/>
              <w:spacing w:before="4"/>
              <w:jc w:val="left"/>
              <w:rPr>
                <w:b/>
                <w:sz w:val="19"/>
              </w:rPr>
            </w:pPr>
          </w:p>
          <w:p w:rsidR="007C5447" w:rsidRDefault="00F6308C">
            <w:pPr>
              <w:pStyle w:val="TableParagraph"/>
              <w:ind w:left="134" w:firstLine="55"/>
              <w:jc w:val="left"/>
              <w:rPr>
                <w:b/>
                <w:sz w:val="18"/>
              </w:rPr>
            </w:pPr>
            <w:r>
              <w:rPr>
                <w:b/>
                <w:sz w:val="18"/>
              </w:rPr>
              <w:t>Other Income</w:t>
            </w:r>
          </w:p>
        </w:tc>
        <w:tc>
          <w:tcPr>
            <w:tcW w:w="922" w:type="dxa"/>
            <w:shd w:val="clear" w:color="auto" w:fill="FBD4B4"/>
          </w:tcPr>
          <w:p w:rsidR="007C5447" w:rsidRDefault="00F6308C">
            <w:pPr>
              <w:pStyle w:val="TableParagraph"/>
              <w:spacing w:before="14"/>
              <w:ind w:left="231" w:right="190" w:firstLine="4"/>
              <w:jc w:val="left"/>
              <w:rPr>
                <w:b/>
                <w:sz w:val="18"/>
              </w:rPr>
            </w:pPr>
            <w:r>
              <w:rPr>
                <w:b/>
                <w:sz w:val="18"/>
              </w:rPr>
              <w:t>Other Int. &amp;</w:t>
            </w:r>
          </w:p>
          <w:p w:rsidR="007C5447" w:rsidRDefault="00F6308C">
            <w:pPr>
              <w:pStyle w:val="TableParagraph"/>
              <w:spacing w:before="4" w:line="206" w:lineRule="exact"/>
              <w:ind w:left="144" w:right="108" w:firstLine="168"/>
              <w:jc w:val="left"/>
              <w:rPr>
                <w:b/>
                <w:sz w:val="18"/>
              </w:rPr>
            </w:pPr>
            <w:r>
              <w:rPr>
                <w:b/>
                <w:sz w:val="18"/>
              </w:rPr>
              <w:t>Fin. Charges</w:t>
            </w:r>
          </w:p>
        </w:tc>
        <w:tc>
          <w:tcPr>
            <w:tcW w:w="1025" w:type="dxa"/>
            <w:shd w:val="clear" w:color="auto" w:fill="FBD4B4"/>
          </w:tcPr>
          <w:p w:rsidR="007C5447" w:rsidRDefault="00F6308C">
            <w:pPr>
              <w:pStyle w:val="TableParagraph"/>
              <w:spacing w:before="119"/>
              <w:ind w:left="302" w:right="279" w:firstLine="12"/>
              <w:jc w:val="both"/>
              <w:rPr>
                <w:b/>
                <w:sz w:val="18"/>
              </w:rPr>
            </w:pPr>
            <w:r>
              <w:rPr>
                <w:b/>
                <w:sz w:val="18"/>
              </w:rPr>
              <w:t>Total Fixed Cost</w:t>
            </w:r>
          </w:p>
        </w:tc>
        <w:tc>
          <w:tcPr>
            <w:tcW w:w="1119" w:type="dxa"/>
            <w:shd w:val="clear" w:color="auto" w:fill="FBD4B4"/>
          </w:tcPr>
          <w:p w:rsidR="007C5447" w:rsidRDefault="00F6308C">
            <w:pPr>
              <w:pStyle w:val="TableParagraph"/>
              <w:spacing w:before="14"/>
              <w:ind w:left="170" w:right="151" w:hanging="4"/>
              <w:jc w:val="center"/>
              <w:rPr>
                <w:b/>
                <w:sz w:val="18"/>
              </w:rPr>
            </w:pPr>
            <w:r>
              <w:rPr>
                <w:b/>
                <w:sz w:val="18"/>
              </w:rPr>
              <w:t>Fixed cost allowed</w:t>
            </w:r>
            <w:r>
              <w:rPr>
                <w:b/>
                <w:spacing w:val="-1"/>
                <w:sz w:val="18"/>
              </w:rPr>
              <w:t xml:space="preserve"> </w:t>
            </w:r>
            <w:r>
              <w:rPr>
                <w:b/>
                <w:spacing w:val="-8"/>
                <w:sz w:val="18"/>
              </w:rPr>
              <w:t>to</w:t>
            </w:r>
          </w:p>
          <w:p w:rsidR="007C5447" w:rsidRDefault="00F6308C">
            <w:pPr>
              <w:pStyle w:val="TableParagraph"/>
              <w:spacing w:before="4" w:line="206" w:lineRule="exact"/>
              <w:ind w:left="182" w:right="167" w:firstLine="1"/>
              <w:jc w:val="center"/>
              <w:rPr>
                <w:b/>
                <w:sz w:val="18"/>
              </w:rPr>
            </w:pPr>
            <w:r>
              <w:rPr>
                <w:b/>
                <w:sz w:val="18"/>
              </w:rPr>
              <w:t xml:space="preserve">be   </w:t>
            </w:r>
            <w:r>
              <w:rPr>
                <w:b/>
                <w:spacing w:val="-1"/>
                <w:sz w:val="18"/>
              </w:rPr>
              <w:t>recovered</w:t>
            </w:r>
          </w:p>
        </w:tc>
      </w:tr>
      <w:tr w:rsidR="007C5447">
        <w:trPr>
          <w:trHeight w:val="299"/>
        </w:trPr>
        <w:tc>
          <w:tcPr>
            <w:tcW w:w="485" w:type="dxa"/>
          </w:tcPr>
          <w:p w:rsidR="007C5447" w:rsidRDefault="00F6308C">
            <w:pPr>
              <w:pStyle w:val="TableParagraph"/>
              <w:spacing w:before="45"/>
              <w:ind w:right="186"/>
              <w:rPr>
                <w:sz w:val="18"/>
              </w:rPr>
            </w:pPr>
            <w:r>
              <w:rPr>
                <w:sz w:val="18"/>
              </w:rPr>
              <w:t>1</w:t>
            </w:r>
          </w:p>
        </w:tc>
        <w:tc>
          <w:tcPr>
            <w:tcW w:w="2095" w:type="dxa"/>
          </w:tcPr>
          <w:p w:rsidR="007C5447" w:rsidRDefault="00F6308C">
            <w:pPr>
              <w:pStyle w:val="TableParagraph"/>
              <w:spacing w:before="45"/>
              <w:ind w:left="108"/>
              <w:jc w:val="left"/>
              <w:rPr>
                <w:sz w:val="18"/>
              </w:rPr>
            </w:pPr>
            <w:r>
              <w:rPr>
                <w:sz w:val="18"/>
              </w:rPr>
              <w:t>Ennore TPS</w:t>
            </w:r>
          </w:p>
        </w:tc>
        <w:tc>
          <w:tcPr>
            <w:tcW w:w="1207" w:type="dxa"/>
          </w:tcPr>
          <w:p w:rsidR="007C5447" w:rsidRDefault="00F6308C">
            <w:pPr>
              <w:pStyle w:val="TableParagraph"/>
              <w:spacing w:before="45"/>
              <w:ind w:right="130"/>
              <w:rPr>
                <w:sz w:val="18"/>
              </w:rPr>
            </w:pPr>
            <w:r>
              <w:rPr>
                <w:sz w:val="18"/>
              </w:rPr>
              <w:t>63.18</w:t>
            </w:r>
          </w:p>
        </w:tc>
        <w:tc>
          <w:tcPr>
            <w:tcW w:w="924" w:type="dxa"/>
          </w:tcPr>
          <w:p w:rsidR="007C5447" w:rsidRDefault="00F6308C">
            <w:pPr>
              <w:pStyle w:val="TableParagraph"/>
              <w:spacing w:before="45"/>
              <w:ind w:right="132"/>
              <w:rPr>
                <w:sz w:val="18"/>
              </w:rPr>
            </w:pPr>
            <w:r>
              <w:rPr>
                <w:sz w:val="18"/>
              </w:rPr>
              <w:t>102.76</w:t>
            </w:r>
          </w:p>
        </w:tc>
        <w:tc>
          <w:tcPr>
            <w:tcW w:w="767" w:type="dxa"/>
          </w:tcPr>
          <w:p w:rsidR="007C5447" w:rsidRDefault="00F6308C">
            <w:pPr>
              <w:pStyle w:val="TableParagraph"/>
              <w:spacing w:before="45"/>
              <w:ind w:right="130"/>
              <w:rPr>
                <w:sz w:val="18"/>
              </w:rPr>
            </w:pPr>
            <w:r>
              <w:rPr>
                <w:w w:val="99"/>
                <w:sz w:val="18"/>
              </w:rPr>
              <w:t>-</w:t>
            </w:r>
          </w:p>
        </w:tc>
        <w:tc>
          <w:tcPr>
            <w:tcW w:w="789" w:type="dxa"/>
          </w:tcPr>
          <w:p w:rsidR="007C5447" w:rsidRDefault="00F6308C">
            <w:pPr>
              <w:pStyle w:val="TableParagraph"/>
              <w:spacing w:before="45"/>
              <w:ind w:right="128"/>
              <w:rPr>
                <w:sz w:val="18"/>
              </w:rPr>
            </w:pPr>
            <w:r>
              <w:rPr>
                <w:sz w:val="18"/>
              </w:rPr>
              <w:t>32.95</w:t>
            </w:r>
          </w:p>
        </w:tc>
        <w:tc>
          <w:tcPr>
            <w:tcW w:w="926" w:type="dxa"/>
          </w:tcPr>
          <w:p w:rsidR="007C5447" w:rsidRDefault="00F6308C">
            <w:pPr>
              <w:pStyle w:val="TableParagraph"/>
              <w:spacing w:before="45"/>
              <w:ind w:right="125"/>
              <w:rPr>
                <w:sz w:val="18"/>
              </w:rPr>
            </w:pPr>
            <w:r>
              <w:rPr>
                <w:sz w:val="18"/>
              </w:rPr>
              <w:t>99.17</w:t>
            </w:r>
          </w:p>
        </w:tc>
        <w:tc>
          <w:tcPr>
            <w:tcW w:w="708" w:type="dxa"/>
          </w:tcPr>
          <w:p w:rsidR="007C5447" w:rsidRDefault="00F6308C">
            <w:pPr>
              <w:pStyle w:val="TableParagraph"/>
              <w:spacing w:before="45"/>
              <w:ind w:right="128"/>
              <w:rPr>
                <w:sz w:val="18"/>
              </w:rPr>
            </w:pPr>
            <w:r>
              <w:rPr>
                <w:w w:val="99"/>
                <w:sz w:val="18"/>
              </w:rPr>
              <w:t>-</w:t>
            </w:r>
          </w:p>
        </w:tc>
        <w:tc>
          <w:tcPr>
            <w:tcW w:w="1065" w:type="dxa"/>
          </w:tcPr>
          <w:p w:rsidR="007C5447" w:rsidRDefault="00F6308C">
            <w:pPr>
              <w:pStyle w:val="TableParagraph"/>
              <w:spacing w:before="45"/>
              <w:ind w:right="128"/>
              <w:rPr>
                <w:sz w:val="18"/>
              </w:rPr>
            </w:pPr>
            <w:r>
              <w:rPr>
                <w:w w:val="99"/>
                <w:sz w:val="18"/>
              </w:rPr>
              <w:t>-</w:t>
            </w:r>
          </w:p>
        </w:tc>
        <w:tc>
          <w:tcPr>
            <w:tcW w:w="1310" w:type="dxa"/>
          </w:tcPr>
          <w:p w:rsidR="007C5447" w:rsidRDefault="00F6308C">
            <w:pPr>
              <w:pStyle w:val="TableParagraph"/>
              <w:spacing w:before="45"/>
              <w:ind w:right="123"/>
              <w:rPr>
                <w:sz w:val="18"/>
              </w:rPr>
            </w:pPr>
            <w:r>
              <w:rPr>
                <w:sz w:val="18"/>
              </w:rPr>
              <w:t>(8.84)</w:t>
            </w:r>
          </w:p>
        </w:tc>
        <w:tc>
          <w:tcPr>
            <w:tcW w:w="830" w:type="dxa"/>
          </w:tcPr>
          <w:p w:rsidR="007C5447" w:rsidRDefault="00F6308C">
            <w:pPr>
              <w:pStyle w:val="TableParagraph"/>
              <w:spacing w:before="45"/>
              <w:ind w:right="123"/>
              <w:rPr>
                <w:sz w:val="18"/>
              </w:rPr>
            </w:pPr>
            <w:r>
              <w:rPr>
                <w:sz w:val="18"/>
              </w:rPr>
              <w:t>25.91</w:t>
            </w:r>
          </w:p>
        </w:tc>
        <w:tc>
          <w:tcPr>
            <w:tcW w:w="922" w:type="dxa"/>
          </w:tcPr>
          <w:p w:rsidR="007C5447" w:rsidRDefault="00F6308C">
            <w:pPr>
              <w:pStyle w:val="TableParagraph"/>
              <w:spacing w:before="45"/>
              <w:ind w:right="128"/>
              <w:rPr>
                <w:sz w:val="18"/>
              </w:rPr>
            </w:pPr>
            <w:r>
              <w:rPr>
                <w:sz w:val="18"/>
              </w:rPr>
              <w:t>2.58</w:t>
            </w:r>
          </w:p>
        </w:tc>
        <w:tc>
          <w:tcPr>
            <w:tcW w:w="1025" w:type="dxa"/>
          </w:tcPr>
          <w:p w:rsidR="007C5447" w:rsidRDefault="00F6308C">
            <w:pPr>
              <w:pStyle w:val="TableParagraph"/>
              <w:spacing w:before="45"/>
              <w:ind w:right="124"/>
              <w:rPr>
                <w:sz w:val="18"/>
              </w:rPr>
            </w:pPr>
            <w:r>
              <w:rPr>
                <w:sz w:val="18"/>
              </w:rPr>
              <w:t>265.88</w:t>
            </w:r>
          </w:p>
        </w:tc>
        <w:tc>
          <w:tcPr>
            <w:tcW w:w="1119" w:type="dxa"/>
          </w:tcPr>
          <w:p w:rsidR="007C5447" w:rsidRDefault="00F6308C">
            <w:pPr>
              <w:pStyle w:val="TableParagraph"/>
              <w:spacing w:before="45"/>
              <w:ind w:right="127"/>
              <w:rPr>
                <w:sz w:val="18"/>
              </w:rPr>
            </w:pPr>
            <w:r>
              <w:rPr>
                <w:sz w:val="18"/>
              </w:rPr>
              <w:t>243.76</w:t>
            </w:r>
          </w:p>
        </w:tc>
      </w:tr>
      <w:tr w:rsidR="007C5447">
        <w:trPr>
          <w:trHeight w:val="299"/>
        </w:trPr>
        <w:tc>
          <w:tcPr>
            <w:tcW w:w="485" w:type="dxa"/>
          </w:tcPr>
          <w:p w:rsidR="007C5447" w:rsidRDefault="00F6308C">
            <w:pPr>
              <w:pStyle w:val="TableParagraph"/>
              <w:spacing w:before="45"/>
              <w:ind w:right="186"/>
              <w:rPr>
                <w:sz w:val="18"/>
              </w:rPr>
            </w:pPr>
            <w:r>
              <w:rPr>
                <w:sz w:val="18"/>
              </w:rPr>
              <w:t>2</w:t>
            </w:r>
          </w:p>
        </w:tc>
        <w:tc>
          <w:tcPr>
            <w:tcW w:w="2095" w:type="dxa"/>
          </w:tcPr>
          <w:p w:rsidR="007C5447" w:rsidRDefault="00F6308C">
            <w:pPr>
              <w:pStyle w:val="TableParagraph"/>
              <w:spacing w:before="45"/>
              <w:ind w:left="108"/>
              <w:jc w:val="left"/>
              <w:rPr>
                <w:sz w:val="18"/>
              </w:rPr>
            </w:pPr>
            <w:r>
              <w:rPr>
                <w:sz w:val="18"/>
              </w:rPr>
              <w:t>Tuticorin TPS</w:t>
            </w:r>
          </w:p>
        </w:tc>
        <w:tc>
          <w:tcPr>
            <w:tcW w:w="1207" w:type="dxa"/>
          </w:tcPr>
          <w:p w:rsidR="007C5447" w:rsidRDefault="00F6308C">
            <w:pPr>
              <w:pStyle w:val="TableParagraph"/>
              <w:spacing w:before="45"/>
              <w:ind w:right="130"/>
              <w:rPr>
                <w:sz w:val="18"/>
              </w:rPr>
            </w:pPr>
            <w:r>
              <w:rPr>
                <w:sz w:val="18"/>
              </w:rPr>
              <w:t>75.75</w:t>
            </w:r>
          </w:p>
        </w:tc>
        <w:tc>
          <w:tcPr>
            <w:tcW w:w="924" w:type="dxa"/>
          </w:tcPr>
          <w:p w:rsidR="007C5447" w:rsidRDefault="00F6308C">
            <w:pPr>
              <w:pStyle w:val="TableParagraph"/>
              <w:spacing w:before="45"/>
              <w:ind w:right="132"/>
              <w:rPr>
                <w:sz w:val="18"/>
              </w:rPr>
            </w:pPr>
            <w:r>
              <w:rPr>
                <w:sz w:val="18"/>
              </w:rPr>
              <w:t>143.32</w:t>
            </w:r>
          </w:p>
        </w:tc>
        <w:tc>
          <w:tcPr>
            <w:tcW w:w="767" w:type="dxa"/>
          </w:tcPr>
          <w:p w:rsidR="007C5447" w:rsidRDefault="00F6308C">
            <w:pPr>
              <w:pStyle w:val="TableParagraph"/>
              <w:spacing w:before="45"/>
              <w:ind w:right="130"/>
              <w:rPr>
                <w:sz w:val="18"/>
              </w:rPr>
            </w:pPr>
            <w:r>
              <w:rPr>
                <w:w w:val="99"/>
                <w:sz w:val="18"/>
              </w:rPr>
              <w:t>-</w:t>
            </w:r>
          </w:p>
        </w:tc>
        <w:tc>
          <w:tcPr>
            <w:tcW w:w="789" w:type="dxa"/>
          </w:tcPr>
          <w:p w:rsidR="007C5447" w:rsidRDefault="00F6308C">
            <w:pPr>
              <w:pStyle w:val="TableParagraph"/>
              <w:spacing w:before="45"/>
              <w:ind w:right="128"/>
              <w:rPr>
                <w:sz w:val="18"/>
              </w:rPr>
            </w:pPr>
            <w:r>
              <w:rPr>
                <w:sz w:val="18"/>
              </w:rPr>
              <w:t>174.86</w:t>
            </w:r>
          </w:p>
        </w:tc>
        <w:tc>
          <w:tcPr>
            <w:tcW w:w="926" w:type="dxa"/>
          </w:tcPr>
          <w:p w:rsidR="007C5447" w:rsidRDefault="00F6308C">
            <w:pPr>
              <w:pStyle w:val="TableParagraph"/>
              <w:spacing w:before="45"/>
              <w:ind w:right="128"/>
              <w:rPr>
                <w:sz w:val="18"/>
              </w:rPr>
            </w:pPr>
            <w:r>
              <w:rPr>
                <w:sz w:val="18"/>
              </w:rPr>
              <w:t>237.68</w:t>
            </w:r>
          </w:p>
        </w:tc>
        <w:tc>
          <w:tcPr>
            <w:tcW w:w="708" w:type="dxa"/>
          </w:tcPr>
          <w:p w:rsidR="007C5447" w:rsidRDefault="00F6308C">
            <w:pPr>
              <w:pStyle w:val="TableParagraph"/>
              <w:spacing w:before="45"/>
              <w:ind w:right="128"/>
              <w:rPr>
                <w:sz w:val="18"/>
              </w:rPr>
            </w:pPr>
            <w:r>
              <w:rPr>
                <w:w w:val="99"/>
                <w:sz w:val="18"/>
              </w:rPr>
              <w:t>-</w:t>
            </w:r>
          </w:p>
        </w:tc>
        <w:tc>
          <w:tcPr>
            <w:tcW w:w="1065" w:type="dxa"/>
          </w:tcPr>
          <w:p w:rsidR="007C5447" w:rsidRDefault="00F6308C">
            <w:pPr>
              <w:pStyle w:val="TableParagraph"/>
              <w:spacing w:before="45"/>
              <w:ind w:right="128"/>
              <w:rPr>
                <w:sz w:val="18"/>
              </w:rPr>
            </w:pPr>
            <w:r>
              <w:rPr>
                <w:w w:val="99"/>
                <w:sz w:val="18"/>
              </w:rPr>
              <w:t>-</w:t>
            </w:r>
          </w:p>
        </w:tc>
        <w:tc>
          <w:tcPr>
            <w:tcW w:w="1310" w:type="dxa"/>
          </w:tcPr>
          <w:p w:rsidR="007C5447" w:rsidRDefault="00F6308C">
            <w:pPr>
              <w:pStyle w:val="TableParagraph"/>
              <w:spacing w:before="45"/>
              <w:ind w:right="124"/>
              <w:rPr>
                <w:sz w:val="18"/>
              </w:rPr>
            </w:pPr>
            <w:r>
              <w:rPr>
                <w:sz w:val="18"/>
              </w:rPr>
              <w:t>13.62</w:t>
            </w:r>
          </w:p>
        </w:tc>
        <w:tc>
          <w:tcPr>
            <w:tcW w:w="830" w:type="dxa"/>
          </w:tcPr>
          <w:p w:rsidR="007C5447" w:rsidRDefault="00F6308C">
            <w:pPr>
              <w:pStyle w:val="TableParagraph"/>
              <w:spacing w:before="45"/>
              <w:ind w:right="123"/>
              <w:rPr>
                <w:sz w:val="18"/>
              </w:rPr>
            </w:pPr>
            <w:r>
              <w:rPr>
                <w:sz w:val="18"/>
              </w:rPr>
              <w:t>58.99</w:t>
            </w:r>
          </w:p>
        </w:tc>
        <w:tc>
          <w:tcPr>
            <w:tcW w:w="922" w:type="dxa"/>
          </w:tcPr>
          <w:p w:rsidR="007C5447" w:rsidRDefault="00F6308C">
            <w:pPr>
              <w:pStyle w:val="TableParagraph"/>
              <w:spacing w:before="45"/>
              <w:ind w:right="128"/>
              <w:rPr>
                <w:sz w:val="18"/>
              </w:rPr>
            </w:pPr>
            <w:r>
              <w:rPr>
                <w:sz w:val="18"/>
              </w:rPr>
              <w:t>4.83</w:t>
            </w:r>
          </w:p>
        </w:tc>
        <w:tc>
          <w:tcPr>
            <w:tcW w:w="1025" w:type="dxa"/>
          </w:tcPr>
          <w:p w:rsidR="007C5447" w:rsidRDefault="00F6308C">
            <w:pPr>
              <w:pStyle w:val="TableParagraph"/>
              <w:spacing w:before="45"/>
              <w:ind w:right="124"/>
              <w:rPr>
                <w:sz w:val="18"/>
              </w:rPr>
            </w:pPr>
            <w:r>
              <w:rPr>
                <w:sz w:val="18"/>
              </w:rPr>
              <w:t>591.08</w:t>
            </w:r>
          </w:p>
        </w:tc>
        <w:tc>
          <w:tcPr>
            <w:tcW w:w="1119" w:type="dxa"/>
          </w:tcPr>
          <w:p w:rsidR="007C5447" w:rsidRDefault="00F6308C">
            <w:pPr>
              <w:pStyle w:val="TableParagraph"/>
              <w:spacing w:before="45"/>
              <w:ind w:right="127"/>
              <w:rPr>
                <w:sz w:val="18"/>
              </w:rPr>
            </w:pPr>
            <w:r>
              <w:rPr>
                <w:sz w:val="18"/>
              </w:rPr>
              <w:t>591.08</w:t>
            </w:r>
          </w:p>
        </w:tc>
      </w:tr>
      <w:tr w:rsidR="007C5447">
        <w:trPr>
          <w:trHeight w:val="300"/>
        </w:trPr>
        <w:tc>
          <w:tcPr>
            <w:tcW w:w="485" w:type="dxa"/>
          </w:tcPr>
          <w:p w:rsidR="007C5447" w:rsidRDefault="00F6308C">
            <w:pPr>
              <w:pStyle w:val="TableParagraph"/>
              <w:spacing w:before="48"/>
              <w:ind w:right="186"/>
              <w:rPr>
                <w:sz w:val="18"/>
              </w:rPr>
            </w:pPr>
            <w:r>
              <w:rPr>
                <w:sz w:val="18"/>
              </w:rPr>
              <w:t>3</w:t>
            </w:r>
          </w:p>
        </w:tc>
        <w:tc>
          <w:tcPr>
            <w:tcW w:w="2095" w:type="dxa"/>
          </w:tcPr>
          <w:p w:rsidR="007C5447" w:rsidRDefault="00F6308C">
            <w:pPr>
              <w:pStyle w:val="TableParagraph"/>
              <w:spacing w:before="48"/>
              <w:ind w:left="108"/>
              <w:jc w:val="left"/>
              <w:rPr>
                <w:sz w:val="18"/>
              </w:rPr>
            </w:pPr>
            <w:r>
              <w:rPr>
                <w:sz w:val="18"/>
              </w:rPr>
              <w:t>Mettur TPS</w:t>
            </w:r>
          </w:p>
        </w:tc>
        <w:tc>
          <w:tcPr>
            <w:tcW w:w="1207" w:type="dxa"/>
          </w:tcPr>
          <w:p w:rsidR="007C5447" w:rsidRDefault="00F6308C">
            <w:pPr>
              <w:pStyle w:val="TableParagraph"/>
              <w:spacing w:before="48"/>
              <w:ind w:right="130"/>
              <w:rPr>
                <w:sz w:val="18"/>
              </w:rPr>
            </w:pPr>
            <w:r>
              <w:rPr>
                <w:sz w:val="18"/>
              </w:rPr>
              <w:t>50.41</w:t>
            </w:r>
          </w:p>
        </w:tc>
        <w:tc>
          <w:tcPr>
            <w:tcW w:w="924" w:type="dxa"/>
          </w:tcPr>
          <w:p w:rsidR="007C5447" w:rsidRDefault="00F6308C">
            <w:pPr>
              <w:pStyle w:val="TableParagraph"/>
              <w:spacing w:before="48"/>
              <w:ind w:right="130"/>
              <w:rPr>
                <w:sz w:val="18"/>
              </w:rPr>
            </w:pPr>
            <w:r>
              <w:rPr>
                <w:sz w:val="18"/>
              </w:rPr>
              <w:t>83.64</w:t>
            </w:r>
          </w:p>
        </w:tc>
        <w:tc>
          <w:tcPr>
            <w:tcW w:w="767" w:type="dxa"/>
          </w:tcPr>
          <w:p w:rsidR="007C5447" w:rsidRDefault="00F6308C">
            <w:pPr>
              <w:pStyle w:val="TableParagraph"/>
              <w:spacing w:before="48"/>
              <w:ind w:right="130"/>
              <w:rPr>
                <w:sz w:val="18"/>
              </w:rPr>
            </w:pPr>
            <w:r>
              <w:rPr>
                <w:w w:val="99"/>
                <w:sz w:val="18"/>
              </w:rPr>
              <w:t>-</w:t>
            </w:r>
          </w:p>
        </w:tc>
        <w:tc>
          <w:tcPr>
            <w:tcW w:w="789" w:type="dxa"/>
          </w:tcPr>
          <w:p w:rsidR="007C5447" w:rsidRDefault="00F6308C">
            <w:pPr>
              <w:pStyle w:val="TableParagraph"/>
              <w:spacing w:before="48"/>
              <w:ind w:right="128"/>
              <w:rPr>
                <w:sz w:val="18"/>
              </w:rPr>
            </w:pPr>
            <w:r>
              <w:rPr>
                <w:sz w:val="18"/>
              </w:rPr>
              <w:t>156.67</w:t>
            </w:r>
          </w:p>
        </w:tc>
        <w:tc>
          <w:tcPr>
            <w:tcW w:w="926" w:type="dxa"/>
          </w:tcPr>
          <w:p w:rsidR="007C5447" w:rsidRDefault="00F6308C">
            <w:pPr>
              <w:pStyle w:val="TableParagraph"/>
              <w:spacing w:before="48"/>
              <w:ind w:right="128"/>
              <w:rPr>
                <w:sz w:val="18"/>
              </w:rPr>
            </w:pPr>
            <w:r>
              <w:rPr>
                <w:sz w:val="18"/>
              </w:rPr>
              <w:t>212.88</w:t>
            </w:r>
          </w:p>
        </w:tc>
        <w:tc>
          <w:tcPr>
            <w:tcW w:w="708" w:type="dxa"/>
          </w:tcPr>
          <w:p w:rsidR="007C5447" w:rsidRDefault="00F6308C">
            <w:pPr>
              <w:pStyle w:val="TableParagraph"/>
              <w:spacing w:before="48"/>
              <w:ind w:right="128"/>
              <w:rPr>
                <w:sz w:val="18"/>
              </w:rPr>
            </w:pPr>
            <w:r>
              <w:rPr>
                <w:w w:val="99"/>
                <w:sz w:val="18"/>
              </w:rPr>
              <w:t>-</w:t>
            </w:r>
          </w:p>
        </w:tc>
        <w:tc>
          <w:tcPr>
            <w:tcW w:w="1065" w:type="dxa"/>
          </w:tcPr>
          <w:p w:rsidR="007C5447" w:rsidRDefault="00F6308C">
            <w:pPr>
              <w:pStyle w:val="TableParagraph"/>
              <w:spacing w:before="48"/>
              <w:ind w:right="128"/>
              <w:rPr>
                <w:sz w:val="18"/>
              </w:rPr>
            </w:pPr>
            <w:r>
              <w:rPr>
                <w:w w:val="99"/>
                <w:sz w:val="18"/>
              </w:rPr>
              <w:t>-</w:t>
            </w:r>
          </w:p>
        </w:tc>
        <w:tc>
          <w:tcPr>
            <w:tcW w:w="1310" w:type="dxa"/>
          </w:tcPr>
          <w:p w:rsidR="007C5447" w:rsidRDefault="00F6308C">
            <w:pPr>
              <w:pStyle w:val="TableParagraph"/>
              <w:spacing w:before="48"/>
              <w:ind w:right="128"/>
              <w:rPr>
                <w:sz w:val="18"/>
              </w:rPr>
            </w:pPr>
            <w:r>
              <w:rPr>
                <w:sz w:val="18"/>
              </w:rPr>
              <w:t>347.42</w:t>
            </w:r>
          </w:p>
        </w:tc>
        <w:tc>
          <w:tcPr>
            <w:tcW w:w="830" w:type="dxa"/>
          </w:tcPr>
          <w:p w:rsidR="007C5447" w:rsidRDefault="00F6308C">
            <w:pPr>
              <w:pStyle w:val="TableParagraph"/>
              <w:spacing w:before="48"/>
              <w:ind w:right="123"/>
              <w:rPr>
                <w:sz w:val="18"/>
              </w:rPr>
            </w:pPr>
            <w:r>
              <w:rPr>
                <w:sz w:val="18"/>
              </w:rPr>
              <w:t>43.88</w:t>
            </w:r>
          </w:p>
        </w:tc>
        <w:tc>
          <w:tcPr>
            <w:tcW w:w="922" w:type="dxa"/>
          </w:tcPr>
          <w:p w:rsidR="007C5447" w:rsidRDefault="00F6308C">
            <w:pPr>
              <w:pStyle w:val="TableParagraph"/>
              <w:spacing w:before="48"/>
              <w:ind w:right="128"/>
              <w:rPr>
                <w:sz w:val="18"/>
              </w:rPr>
            </w:pPr>
            <w:r>
              <w:rPr>
                <w:sz w:val="18"/>
              </w:rPr>
              <w:t>3.80</w:t>
            </w:r>
          </w:p>
        </w:tc>
        <w:tc>
          <w:tcPr>
            <w:tcW w:w="1025" w:type="dxa"/>
          </w:tcPr>
          <w:p w:rsidR="007C5447" w:rsidRDefault="00F6308C">
            <w:pPr>
              <w:pStyle w:val="TableParagraph"/>
              <w:spacing w:before="48"/>
              <w:ind w:right="124"/>
              <w:rPr>
                <w:sz w:val="18"/>
              </w:rPr>
            </w:pPr>
            <w:r>
              <w:rPr>
                <w:sz w:val="18"/>
              </w:rPr>
              <w:t>810.94</w:t>
            </w:r>
          </w:p>
        </w:tc>
        <w:tc>
          <w:tcPr>
            <w:tcW w:w="1119" w:type="dxa"/>
          </w:tcPr>
          <w:p w:rsidR="007C5447" w:rsidRDefault="00F6308C">
            <w:pPr>
              <w:pStyle w:val="TableParagraph"/>
              <w:spacing w:before="48"/>
              <w:ind w:right="127"/>
              <w:rPr>
                <w:sz w:val="18"/>
              </w:rPr>
            </w:pPr>
            <w:r>
              <w:rPr>
                <w:sz w:val="18"/>
              </w:rPr>
              <w:t>810.94</w:t>
            </w:r>
          </w:p>
        </w:tc>
      </w:tr>
      <w:tr w:rsidR="007C5447">
        <w:trPr>
          <w:trHeight w:val="299"/>
        </w:trPr>
        <w:tc>
          <w:tcPr>
            <w:tcW w:w="485" w:type="dxa"/>
          </w:tcPr>
          <w:p w:rsidR="007C5447" w:rsidRDefault="00F6308C">
            <w:pPr>
              <w:pStyle w:val="TableParagraph"/>
              <w:spacing w:before="47"/>
              <w:ind w:right="186"/>
              <w:rPr>
                <w:sz w:val="18"/>
              </w:rPr>
            </w:pPr>
            <w:r>
              <w:rPr>
                <w:sz w:val="18"/>
              </w:rPr>
              <w:t>4</w:t>
            </w:r>
          </w:p>
        </w:tc>
        <w:tc>
          <w:tcPr>
            <w:tcW w:w="2095" w:type="dxa"/>
          </w:tcPr>
          <w:p w:rsidR="007C5447" w:rsidRDefault="00F6308C">
            <w:pPr>
              <w:pStyle w:val="TableParagraph"/>
              <w:spacing w:before="47"/>
              <w:ind w:left="108"/>
              <w:jc w:val="left"/>
              <w:rPr>
                <w:sz w:val="18"/>
              </w:rPr>
            </w:pPr>
            <w:r>
              <w:rPr>
                <w:sz w:val="18"/>
              </w:rPr>
              <w:t>North Chennai TPS</w:t>
            </w:r>
          </w:p>
        </w:tc>
        <w:tc>
          <w:tcPr>
            <w:tcW w:w="1207" w:type="dxa"/>
          </w:tcPr>
          <w:p w:rsidR="007C5447" w:rsidRDefault="00F6308C">
            <w:pPr>
              <w:pStyle w:val="TableParagraph"/>
              <w:spacing w:before="47"/>
              <w:ind w:right="133"/>
              <w:rPr>
                <w:sz w:val="18"/>
              </w:rPr>
            </w:pPr>
            <w:r>
              <w:rPr>
                <w:sz w:val="18"/>
              </w:rPr>
              <w:t>115.18</w:t>
            </w:r>
          </w:p>
        </w:tc>
        <w:tc>
          <w:tcPr>
            <w:tcW w:w="924" w:type="dxa"/>
          </w:tcPr>
          <w:p w:rsidR="007C5447" w:rsidRDefault="00F6308C">
            <w:pPr>
              <w:pStyle w:val="TableParagraph"/>
              <w:spacing w:before="47"/>
              <w:ind w:right="132"/>
              <w:rPr>
                <w:sz w:val="18"/>
              </w:rPr>
            </w:pPr>
            <w:r>
              <w:rPr>
                <w:sz w:val="18"/>
              </w:rPr>
              <w:t>106.64</w:t>
            </w:r>
          </w:p>
        </w:tc>
        <w:tc>
          <w:tcPr>
            <w:tcW w:w="767" w:type="dxa"/>
          </w:tcPr>
          <w:p w:rsidR="007C5447" w:rsidRDefault="00F6308C">
            <w:pPr>
              <w:pStyle w:val="TableParagraph"/>
              <w:spacing w:before="47"/>
              <w:ind w:right="130"/>
              <w:rPr>
                <w:sz w:val="18"/>
              </w:rPr>
            </w:pPr>
            <w:r>
              <w:rPr>
                <w:w w:val="99"/>
                <w:sz w:val="18"/>
              </w:rPr>
              <w:t>-</w:t>
            </w:r>
          </w:p>
        </w:tc>
        <w:tc>
          <w:tcPr>
            <w:tcW w:w="789" w:type="dxa"/>
          </w:tcPr>
          <w:p w:rsidR="007C5447" w:rsidRDefault="00F6308C">
            <w:pPr>
              <w:pStyle w:val="TableParagraph"/>
              <w:spacing w:before="47"/>
              <w:ind w:right="128"/>
              <w:rPr>
                <w:sz w:val="18"/>
              </w:rPr>
            </w:pPr>
            <w:r>
              <w:rPr>
                <w:sz w:val="18"/>
              </w:rPr>
              <w:t>105.80</w:t>
            </w:r>
          </w:p>
        </w:tc>
        <w:tc>
          <w:tcPr>
            <w:tcW w:w="926" w:type="dxa"/>
          </w:tcPr>
          <w:p w:rsidR="007C5447" w:rsidRDefault="00F6308C">
            <w:pPr>
              <w:pStyle w:val="TableParagraph"/>
              <w:spacing w:before="47"/>
              <w:ind w:right="128"/>
              <w:rPr>
                <w:sz w:val="18"/>
              </w:rPr>
            </w:pPr>
            <w:r>
              <w:rPr>
                <w:sz w:val="18"/>
              </w:rPr>
              <w:t>235.79</w:t>
            </w:r>
          </w:p>
        </w:tc>
        <w:tc>
          <w:tcPr>
            <w:tcW w:w="708" w:type="dxa"/>
          </w:tcPr>
          <w:p w:rsidR="007C5447" w:rsidRDefault="00F6308C">
            <w:pPr>
              <w:pStyle w:val="TableParagraph"/>
              <w:spacing w:before="47"/>
              <w:ind w:right="128"/>
              <w:rPr>
                <w:sz w:val="18"/>
              </w:rPr>
            </w:pPr>
            <w:r>
              <w:rPr>
                <w:w w:val="99"/>
                <w:sz w:val="18"/>
              </w:rPr>
              <w:t>-</w:t>
            </w:r>
          </w:p>
        </w:tc>
        <w:tc>
          <w:tcPr>
            <w:tcW w:w="1065" w:type="dxa"/>
          </w:tcPr>
          <w:p w:rsidR="007C5447" w:rsidRDefault="00F6308C">
            <w:pPr>
              <w:pStyle w:val="TableParagraph"/>
              <w:spacing w:before="47"/>
              <w:ind w:right="128"/>
              <w:rPr>
                <w:sz w:val="18"/>
              </w:rPr>
            </w:pPr>
            <w:r>
              <w:rPr>
                <w:w w:val="99"/>
                <w:sz w:val="18"/>
              </w:rPr>
              <w:t>-</w:t>
            </w:r>
          </w:p>
        </w:tc>
        <w:tc>
          <w:tcPr>
            <w:tcW w:w="1310" w:type="dxa"/>
          </w:tcPr>
          <w:p w:rsidR="007C5447" w:rsidRDefault="00F6308C">
            <w:pPr>
              <w:pStyle w:val="TableParagraph"/>
              <w:spacing w:before="47"/>
              <w:ind w:right="123"/>
              <w:rPr>
                <w:sz w:val="18"/>
              </w:rPr>
            </w:pPr>
            <w:r>
              <w:rPr>
                <w:sz w:val="18"/>
              </w:rPr>
              <w:t>(9.87)</w:t>
            </w:r>
          </w:p>
        </w:tc>
        <w:tc>
          <w:tcPr>
            <w:tcW w:w="830" w:type="dxa"/>
          </w:tcPr>
          <w:p w:rsidR="007C5447" w:rsidRDefault="00F6308C">
            <w:pPr>
              <w:pStyle w:val="TableParagraph"/>
              <w:spacing w:before="47"/>
              <w:ind w:right="123"/>
              <w:rPr>
                <w:sz w:val="18"/>
              </w:rPr>
            </w:pPr>
            <w:r>
              <w:rPr>
                <w:sz w:val="18"/>
              </w:rPr>
              <w:t>61.99</w:t>
            </w:r>
          </w:p>
        </w:tc>
        <w:tc>
          <w:tcPr>
            <w:tcW w:w="922" w:type="dxa"/>
          </w:tcPr>
          <w:p w:rsidR="007C5447" w:rsidRDefault="00F6308C">
            <w:pPr>
              <w:pStyle w:val="TableParagraph"/>
              <w:spacing w:before="47"/>
              <w:ind w:right="128"/>
              <w:rPr>
                <w:sz w:val="18"/>
              </w:rPr>
            </w:pPr>
            <w:r>
              <w:rPr>
                <w:sz w:val="18"/>
              </w:rPr>
              <w:t>2.65</w:t>
            </w:r>
          </w:p>
        </w:tc>
        <w:tc>
          <w:tcPr>
            <w:tcW w:w="1025" w:type="dxa"/>
          </w:tcPr>
          <w:p w:rsidR="007C5447" w:rsidRDefault="00F6308C">
            <w:pPr>
              <w:pStyle w:val="TableParagraph"/>
              <w:spacing w:before="47"/>
              <w:ind w:right="124"/>
              <w:rPr>
                <w:sz w:val="18"/>
              </w:rPr>
            </w:pPr>
            <w:r>
              <w:rPr>
                <w:sz w:val="18"/>
              </w:rPr>
              <w:t>494.20</w:t>
            </w:r>
          </w:p>
        </w:tc>
        <w:tc>
          <w:tcPr>
            <w:tcW w:w="1119" w:type="dxa"/>
          </w:tcPr>
          <w:p w:rsidR="007C5447" w:rsidRDefault="00F6308C">
            <w:pPr>
              <w:pStyle w:val="TableParagraph"/>
              <w:spacing w:before="47"/>
              <w:ind w:right="127"/>
              <w:rPr>
                <w:sz w:val="18"/>
              </w:rPr>
            </w:pPr>
            <w:r>
              <w:rPr>
                <w:sz w:val="18"/>
              </w:rPr>
              <w:t>494.20</w:t>
            </w:r>
          </w:p>
        </w:tc>
      </w:tr>
      <w:tr w:rsidR="007C5447">
        <w:trPr>
          <w:trHeight w:val="301"/>
        </w:trPr>
        <w:tc>
          <w:tcPr>
            <w:tcW w:w="485" w:type="dxa"/>
          </w:tcPr>
          <w:p w:rsidR="007C5447" w:rsidRDefault="00F6308C">
            <w:pPr>
              <w:pStyle w:val="TableParagraph"/>
              <w:spacing w:before="47"/>
              <w:ind w:right="186"/>
              <w:rPr>
                <w:sz w:val="18"/>
              </w:rPr>
            </w:pPr>
            <w:r>
              <w:rPr>
                <w:sz w:val="18"/>
              </w:rPr>
              <w:t>5</w:t>
            </w:r>
          </w:p>
        </w:tc>
        <w:tc>
          <w:tcPr>
            <w:tcW w:w="2095" w:type="dxa"/>
          </w:tcPr>
          <w:p w:rsidR="007C5447" w:rsidRDefault="00F6308C">
            <w:pPr>
              <w:pStyle w:val="TableParagraph"/>
              <w:spacing w:before="47"/>
              <w:ind w:left="108"/>
              <w:jc w:val="left"/>
              <w:rPr>
                <w:sz w:val="18"/>
              </w:rPr>
            </w:pPr>
            <w:r>
              <w:rPr>
                <w:sz w:val="18"/>
              </w:rPr>
              <w:t>Mettur TPS Stage III</w:t>
            </w:r>
          </w:p>
        </w:tc>
        <w:tc>
          <w:tcPr>
            <w:tcW w:w="1207" w:type="dxa"/>
          </w:tcPr>
          <w:p w:rsidR="007C5447" w:rsidRDefault="00F6308C">
            <w:pPr>
              <w:pStyle w:val="TableParagraph"/>
              <w:spacing w:before="47"/>
              <w:ind w:right="133"/>
              <w:rPr>
                <w:sz w:val="18"/>
              </w:rPr>
            </w:pPr>
            <w:r>
              <w:rPr>
                <w:sz w:val="18"/>
              </w:rPr>
              <w:t>138.19</w:t>
            </w:r>
          </w:p>
        </w:tc>
        <w:tc>
          <w:tcPr>
            <w:tcW w:w="924" w:type="dxa"/>
          </w:tcPr>
          <w:p w:rsidR="007C5447" w:rsidRDefault="00F6308C">
            <w:pPr>
              <w:pStyle w:val="TableParagraph"/>
              <w:spacing w:before="47"/>
              <w:ind w:right="132"/>
              <w:rPr>
                <w:sz w:val="18"/>
              </w:rPr>
            </w:pPr>
            <w:r>
              <w:rPr>
                <w:sz w:val="18"/>
              </w:rPr>
              <w:t>415.60</w:t>
            </w:r>
          </w:p>
        </w:tc>
        <w:tc>
          <w:tcPr>
            <w:tcW w:w="767" w:type="dxa"/>
          </w:tcPr>
          <w:p w:rsidR="007C5447" w:rsidRDefault="00F6308C">
            <w:pPr>
              <w:pStyle w:val="TableParagraph"/>
              <w:spacing w:before="47"/>
              <w:ind w:right="130"/>
              <w:rPr>
                <w:sz w:val="18"/>
              </w:rPr>
            </w:pPr>
            <w:r>
              <w:rPr>
                <w:w w:val="99"/>
                <w:sz w:val="18"/>
              </w:rPr>
              <w:t>-</w:t>
            </w:r>
          </w:p>
        </w:tc>
        <w:tc>
          <w:tcPr>
            <w:tcW w:w="789" w:type="dxa"/>
          </w:tcPr>
          <w:p w:rsidR="007C5447" w:rsidRDefault="00F6308C">
            <w:pPr>
              <w:pStyle w:val="TableParagraph"/>
              <w:spacing w:before="47"/>
              <w:ind w:right="128"/>
              <w:rPr>
                <w:sz w:val="18"/>
              </w:rPr>
            </w:pPr>
            <w:r>
              <w:rPr>
                <w:sz w:val="18"/>
              </w:rPr>
              <w:t>57.49</w:t>
            </w:r>
          </w:p>
        </w:tc>
        <w:tc>
          <w:tcPr>
            <w:tcW w:w="926" w:type="dxa"/>
          </w:tcPr>
          <w:p w:rsidR="007C5447" w:rsidRDefault="00F6308C">
            <w:pPr>
              <w:pStyle w:val="TableParagraph"/>
              <w:spacing w:before="47"/>
              <w:ind w:right="125"/>
              <w:rPr>
                <w:sz w:val="18"/>
              </w:rPr>
            </w:pPr>
            <w:r>
              <w:rPr>
                <w:sz w:val="18"/>
              </w:rPr>
              <w:t>40.35</w:t>
            </w:r>
          </w:p>
        </w:tc>
        <w:tc>
          <w:tcPr>
            <w:tcW w:w="708" w:type="dxa"/>
          </w:tcPr>
          <w:p w:rsidR="007C5447" w:rsidRDefault="00F6308C">
            <w:pPr>
              <w:pStyle w:val="TableParagraph"/>
              <w:spacing w:before="47"/>
              <w:ind w:right="128"/>
              <w:rPr>
                <w:sz w:val="18"/>
              </w:rPr>
            </w:pPr>
            <w:r>
              <w:rPr>
                <w:w w:val="99"/>
                <w:sz w:val="18"/>
              </w:rPr>
              <w:t>-</w:t>
            </w:r>
          </w:p>
        </w:tc>
        <w:tc>
          <w:tcPr>
            <w:tcW w:w="1065" w:type="dxa"/>
          </w:tcPr>
          <w:p w:rsidR="007C5447" w:rsidRDefault="00F6308C">
            <w:pPr>
              <w:pStyle w:val="TableParagraph"/>
              <w:spacing w:before="47"/>
              <w:ind w:right="128"/>
              <w:rPr>
                <w:sz w:val="18"/>
              </w:rPr>
            </w:pPr>
            <w:r>
              <w:rPr>
                <w:w w:val="99"/>
                <w:sz w:val="18"/>
              </w:rPr>
              <w:t>-</w:t>
            </w:r>
          </w:p>
        </w:tc>
        <w:tc>
          <w:tcPr>
            <w:tcW w:w="1310" w:type="dxa"/>
          </w:tcPr>
          <w:p w:rsidR="007C5447" w:rsidRDefault="00F6308C">
            <w:pPr>
              <w:pStyle w:val="TableParagraph"/>
              <w:spacing w:before="47"/>
              <w:ind w:right="123"/>
              <w:rPr>
                <w:sz w:val="18"/>
              </w:rPr>
            </w:pPr>
            <w:r>
              <w:rPr>
                <w:sz w:val="18"/>
              </w:rPr>
              <w:t>(655.71)</w:t>
            </w:r>
          </w:p>
        </w:tc>
        <w:tc>
          <w:tcPr>
            <w:tcW w:w="830" w:type="dxa"/>
          </w:tcPr>
          <w:p w:rsidR="007C5447" w:rsidRDefault="00F6308C">
            <w:pPr>
              <w:pStyle w:val="TableParagraph"/>
              <w:spacing w:before="47"/>
              <w:ind w:right="123"/>
              <w:rPr>
                <w:sz w:val="18"/>
              </w:rPr>
            </w:pPr>
            <w:r>
              <w:rPr>
                <w:sz w:val="18"/>
              </w:rPr>
              <w:t>38.67</w:t>
            </w:r>
          </w:p>
        </w:tc>
        <w:tc>
          <w:tcPr>
            <w:tcW w:w="922" w:type="dxa"/>
          </w:tcPr>
          <w:p w:rsidR="007C5447" w:rsidRDefault="00F6308C">
            <w:pPr>
              <w:pStyle w:val="TableParagraph"/>
              <w:spacing w:before="47"/>
              <w:ind w:right="127"/>
              <w:rPr>
                <w:sz w:val="18"/>
              </w:rPr>
            </w:pPr>
            <w:r>
              <w:rPr>
                <w:w w:val="99"/>
                <w:sz w:val="18"/>
              </w:rPr>
              <w:t>-</w:t>
            </w:r>
          </w:p>
        </w:tc>
        <w:tc>
          <w:tcPr>
            <w:tcW w:w="1025" w:type="dxa"/>
          </w:tcPr>
          <w:p w:rsidR="007C5447" w:rsidRDefault="00F6308C">
            <w:pPr>
              <w:pStyle w:val="TableParagraph"/>
              <w:spacing w:before="47"/>
              <w:ind w:right="124"/>
              <w:rPr>
                <w:sz w:val="18"/>
              </w:rPr>
            </w:pPr>
            <w:r>
              <w:rPr>
                <w:sz w:val="18"/>
              </w:rPr>
              <w:t>(42.75)</w:t>
            </w:r>
          </w:p>
        </w:tc>
        <w:tc>
          <w:tcPr>
            <w:tcW w:w="1119" w:type="dxa"/>
          </w:tcPr>
          <w:p w:rsidR="007C5447" w:rsidRDefault="00F6308C">
            <w:pPr>
              <w:pStyle w:val="TableParagraph"/>
              <w:spacing w:before="47"/>
              <w:ind w:right="127"/>
              <w:rPr>
                <w:sz w:val="18"/>
              </w:rPr>
            </w:pPr>
            <w:r>
              <w:rPr>
                <w:sz w:val="18"/>
              </w:rPr>
              <w:t>(36.93)</w:t>
            </w:r>
          </w:p>
        </w:tc>
      </w:tr>
      <w:tr w:rsidR="007C5447">
        <w:trPr>
          <w:trHeight w:val="299"/>
        </w:trPr>
        <w:tc>
          <w:tcPr>
            <w:tcW w:w="485" w:type="dxa"/>
          </w:tcPr>
          <w:p w:rsidR="007C5447" w:rsidRDefault="00F6308C">
            <w:pPr>
              <w:pStyle w:val="TableParagraph"/>
              <w:spacing w:before="45"/>
              <w:ind w:right="186"/>
              <w:rPr>
                <w:sz w:val="18"/>
              </w:rPr>
            </w:pPr>
            <w:r>
              <w:rPr>
                <w:sz w:val="18"/>
              </w:rPr>
              <w:t>6</w:t>
            </w:r>
          </w:p>
        </w:tc>
        <w:tc>
          <w:tcPr>
            <w:tcW w:w="2095" w:type="dxa"/>
          </w:tcPr>
          <w:p w:rsidR="007C5447" w:rsidRDefault="00F6308C">
            <w:pPr>
              <w:pStyle w:val="TableParagraph"/>
              <w:spacing w:before="45"/>
              <w:ind w:left="108"/>
              <w:jc w:val="left"/>
              <w:rPr>
                <w:sz w:val="18"/>
              </w:rPr>
            </w:pPr>
            <w:r>
              <w:rPr>
                <w:sz w:val="18"/>
              </w:rPr>
              <w:t>NCTPS Stage II</w:t>
            </w:r>
          </w:p>
        </w:tc>
        <w:tc>
          <w:tcPr>
            <w:tcW w:w="1207" w:type="dxa"/>
          </w:tcPr>
          <w:p w:rsidR="007C5447" w:rsidRDefault="00F6308C">
            <w:pPr>
              <w:pStyle w:val="TableParagraph"/>
              <w:spacing w:before="45"/>
              <w:ind w:right="131"/>
              <w:rPr>
                <w:sz w:val="18"/>
              </w:rPr>
            </w:pPr>
            <w:r>
              <w:rPr>
                <w:w w:val="99"/>
                <w:sz w:val="18"/>
              </w:rPr>
              <w:t>-</w:t>
            </w:r>
          </w:p>
        </w:tc>
        <w:tc>
          <w:tcPr>
            <w:tcW w:w="924" w:type="dxa"/>
          </w:tcPr>
          <w:p w:rsidR="007C5447" w:rsidRDefault="00F6308C">
            <w:pPr>
              <w:pStyle w:val="TableParagraph"/>
              <w:spacing w:before="45"/>
              <w:ind w:right="132"/>
              <w:rPr>
                <w:sz w:val="18"/>
              </w:rPr>
            </w:pPr>
            <w:r>
              <w:rPr>
                <w:sz w:val="18"/>
              </w:rPr>
              <w:t>592.63</w:t>
            </w:r>
          </w:p>
        </w:tc>
        <w:tc>
          <w:tcPr>
            <w:tcW w:w="767" w:type="dxa"/>
          </w:tcPr>
          <w:p w:rsidR="007C5447" w:rsidRDefault="00F6308C">
            <w:pPr>
              <w:pStyle w:val="TableParagraph"/>
              <w:spacing w:before="45"/>
              <w:ind w:right="130"/>
              <w:rPr>
                <w:sz w:val="18"/>
              </w:rPr>
            </w:pPr>
            <w:r>
              <w:rPr>
                <w:w w:val="99"/>
                <w:sz w:val="18"/>
              </w:rPr>
              <w:t>-</w:t>
            </w:r>
          </w:p>
        </w:tc>
        <w:tc>
          <w:tcPr>
            <w:tcW w:w="789" w:type="dxa"/>
          </w:tcPr>
          <w:p w:rsidR="007C5447" w:rsidRDefault="00F6308C">
            <w:pPr>
              <w:pStyle w:val="TableParagraph"/>
              <w:spacing w:before="45"/>
              <w:ind w:right="128"/>
              <w:rPr>
                <w:sz w:val="18"/>
              </w:rPr>
            </w:pPr>
            <w:r>
              <w:rPr>
                <w:sz w:val="18"/>
              </w:rPr>
              <w:t>99.40</w:t>
            </w:r>
          </w:p>
        </w:tc>
        <w:tc>
          <w:tcPr>
            <w:tcW w:w="926" w:type="dxa"/>
          </w:tcPr>
          <w:p w:rsidR="007C5447" w:rsidRDefault="00F6308C">
            <w:pPr>
              <w:pStyle w:val="TableParagraph"/>
              <w:spacing w:before="45"/>
              <w:ind w:right="125"/>
              <w:rPr>
                <w:sz w:val="18"/>
              </w:rPr>
            </w:pPr>
            <w:r>
              <w:rPr>
                <w:sz w:val="18"/>
              </w:rPr>
              <w:t>64.52</w:t>
            </w:r>
          </w:p>
        </w:tc>
        <w:tc>
          <w:tcPr>
            <w:tcW w:w="708" w:type="dxa"/>
          </w:tcPr>
          <w:p w:rsidR="007C5447" w:rsidRDefault="00F6308C">
            <w:pPr>
              <w:pStyle w:val="TableParagraph"/>
              <w:spacing w:before="45"/>
              <w:ind w:right="128"/>
              <w:rPr>
                <w:sz w:val="18"/>
              </w:rPr>
            </w:pPr>
            <w:r>
              <w:rPr>
                <w:w w:val="99"/>
                <w:sz w:val="18"/>
              </w:rPr>
              <w:t>-</w:t>
            </w:r>
          </w:p>
        </w:tc>
        <w:tc>
          <w:tcPr>
            <w:tcW w:w="1065" w:type="dxa"/>
          </w:tcPr>
          <w:p w:rsidR="007C5447" w:rsidRDefault="00F6308C">
            <w:pPr>
              <w:pStyle w:val="TableParagraph"/>
              <w:spacing w:before="45"/>
              <w:ind w:right="128"/>
              <w:rPr>
                <w:sz w:val="18"/>
              </w:rPr>
            </w:pPr>
            <w:r>
              <w:rPr>
                <w:w w:val="99"/>
                <w:sz w:val="18"/>
              </w:rPr>
              <w:t>-</w:t>
            </w:r>
          </w:p>
        </w:tc>
        <w:tc>
          <w:tcPr>
            <w:tcW w:w="1310" w:type="dxa"/>
          </w:tcPr>
          <w:p w:rsidR="007C5447" w:rsidRDefault="00F6308C">
            <w:pPr>
              <w:pStyle w:val="TableParagraph"/>
              <w:spacing w:before="45"/>
              <w:ind w:right="123"/>
              <w:rPr>
                <w:sz w:val="18"/>
              </w:rPr>
            </w:pPr>
            <w:r>
              <w:rPr>
                <w:sz w:val="18"/>
              </w:rPr>
              <w:t>(37.98)</w:t>
            </w:r>
          </w:p>
        </w:tc>
        <w:tc>
          <w:tcPr>
            <w:tcW w:w="830" w:type="dxa"/>
          </w:tcPr>
          <w:p w:rsidR="007C5447" w:rsidRDefault="00F6308C">
            <w:pPr>
              <w:pStyle w:val="TableParagraph"/>
              <w:spacing w:before="45"/>
              <w:ind w:right="123"/>
              <w:rPr>
                <w:sz w:val="18"/>
              </w:rPr>
            </w:pPr>
            <w:r>
              <w:rPr>
                <w:sz w:val="18"/>
              </w:rPr>
              <w:t>12.32</w:t>
            </w:r>
          </w:p>
        </w:tc>
        <w:tc>
          <w:tcPr>
            <w:tcW w:w="922" w:type="dxa"/>
          </w:tcPr>
          <w:p w:rsidR="007C5447" w:rsidRDefault="00F6308C">
            <w:pPr>
              <w:pStyle w:val="TableParagraph"/>
              <w:spacing w:before="45"/>
              <w:ind w:right="127"/>
              <w:rPr>
                <w:sz w:val="18"/>
              </w:rPr>
            </w:pPr>
            <w:r>
              <w:rPr>
                <w:w w:val="99"/>
                <w:sz w:val="18"/>
              </w:rPr>
              <w:t>-</w:t>
            </w:r>
          </w:p>
        </w:tc>
        <w:tc>
          <w:tcPr>
            <w:tcW w:w="1025" w:type="dxa"/>
          </w:tcPr>
          <w:p w:rsidR="007C5447" w:rsidRDefault="00F6308C">
            <w:pPr>
              <w:pStyle w:val="TableParagraph"/>
              <w:spacing w:before="45"/>
              <w:ind w:right="124"/>
              <w:rPr>
                <w:sz w:val="18"/>
              </w:rPr>
            </w:pPr>
            <w:r>
              <w:rPr>
                <w:sz w:val="18"/>
              </w:rPr>
              <w:t>706.25</w:t>
            </w:r>
          </w:p>
        </w:tc>
        <w:tc>
          <w:tcPr>
            <w:tcW w:w="1119" w:type="dxa"/>
          </w:tcPr>
          <w:p w:rsidR="007C5447" w:rsidRDefault="00F6308C">
            <w:pPr>
              <w:pStyle w:val="TableParagraph"/>
              <w:spacing w:before="45"/>
              <w:ind w:right="127"/>
              <w:rPr>
                <w:sz w:val="18"/>
              </w:rPr>
            </w:pPr>
            <w:r>
              <w:rPr>
                <w:sz w:val="18"/>
              </w:rPr>
              <w:t>667.50</w:t>
            </w:r>
          </w:p>
        </w:tc>
      </w:tr>
      <w:tr w:rsidR="007C5447">
        <w:trPr>
          <w:trHeight w:val="299"/>
        </w:trPr>
        <w:tc>
          <w:tcPr>
            <w:tcW w:w="485" w:type="dxa"/>
          </w:tcPr>
          <w:p w:rsidR="007C5447" w:rsidRDefault="00F6308C">
            <w:pPr>
              <w:pStyle w:val="TableParagraph"/>
              <w:spacing w:before="45"/>
              <w:ind w:right="186"/>
              <w:rPr>
                <w:sz w:val="18"/>
              </w:rPr>
            </w:pPr>
            <w:r>
              <w:rPr>
                <w:sz w:val="18"/>
              </w:rPr>
              <w:t>7</w:t>
            </w:r>
          </w:p>
        </w:tc>
        <w:tc>
          <w:tcPr>
            <w:tcW w:w="2095" w:type="dxa"/>
          </w:tcPr>
          <w:p w:rsidR="007C5447" w:rsidRDefault="00F6308C">
            <w:pPr>
              <w:pStyle w:val="TableParagraph"/>
              <w:spacing w:before="45"/>
              <w:ind w:left="108"/>
              <w:jc w:val="left"/>
              <w:rPr>
                <w:sz w:val="18"/>
              </w:rPr>
            </w:pPr>
            <w:r>
              <w:rPr>
                <w:sz w:val="18"/>
              </w:rPr>
              <w:t>Tirumakottai GTPS</w:t>
            </w:r>
          </w:p>
        </w:tc>
        <w:tc>
          <w:tcPr>
            <w:tcW w:w="1207" w:type="dxa"/>
          </w:tcPr>
          <w:p w:rsidR="007C5447" w:rsidRDefault="00F6308C">
            <w:pPr>
              <w:pStyle w:val="TableParagraph"/>
              <w:spacing w:before="45"/>
              <w:ind w:right="130"/>
              <w:rPr>
                <w:sz w:val="18"/>
              </w:rPr>
            </w:pPr>
            <w:r>
              <w:rPr>
                <w:sz w:val="18"/>
              </w:rPr>
              <w:t>24.11</w:t>
            </w:r>
          </w:p>
        </w:tc>
        <w:tc>
          <w:tcPr>
            <w:tcW w:w="924" w:type="dxa"/>
          </w:tcPr>
          <w:p w:rsidR="007C5447" w:rsidRDefault="00F6308C">
            <w:pPr>
              <w:pStyle w:val="TableParagraph"/>
              <w:spacing w:before="45"/>
              <w:ind w:right="130"/>
              <w:rPr>
                <w:sz w:val="18"/>
              </w:rPr>
            </w:pPr>
            <w:r>
              <w:rPr>
                <w:sz w:val="18"/>
              </w:rPr>
              <w:t>44.29</w:t>
            </w:r>
          </w:p>
        </w:tc>
        <w:tc>
          <w:tcPr>
            <w:tcW w:w="767" w:type="dxa"/>
          </w:tcPr>
          <w:p w:rsidR="007C5447" w:rsidRDefault="00F6308C">
            <w:pPr>
              <w:pStyle w:val="TableParagraph"/>
              <w:spacing w:before="45"/>
              <w:ind w:right="130"/>
              <w:rPr>
                <w:sz w:val="18"/>
              </w:rPr>
            </w:pPr>
            <w:r>
              <w:rPr>
                <w:w w:val="99"/>
                <w:sz w:val="18"/>
              </w:rPr>
              <w:t>-</w:t>
            </w:r>
          </w:p>
        </w:tc>
        <w:tc>
          <w:tcPr>
            <w:tcW w:w="789" w:type="dxa"/>
          </w:tcPr>
          <w:p w:rsidR="007C5447" w:rsidRDefault="00F6308C">
            <w:pPr>
              <w:pStyle w:val="TableParagraph"/>
              <w:spacing w:before="45"/>
              <w:ind w:right="128"/>
              <w:rPr>
                <w:sz w:val="18"/>
              </w:rPr>
            </w:pPr>
            <w:r>
              <w:rPr>
                <w:sz w:val="18"/>
              </w:rPr>
              <w:t>12.97</w:t>
            </w:r>
          </w:p>
        </w:tc>
        <w:tc>
          <w:tcPr>
            <w:tcW w:w="926" w:type="dxa"/>
          </w:tcPr>
          <w:p w:rsidR="007C5447" w:rsidRDefault="00F6308C">
            <w:pPr>
              <w:pStyle w:val="TableParagraph"/>
              <w:spacing w:before="45"/>
              <w:ind w:right="128"/>
              <w:rPr>
                <w:sz w:val="18"/>
              </w:rPr>
            </w:pPr>
            <w:r>
              <w:rPr>
                <w:sz w:val="18"/>
              </w:rPr>
              <w:t>4.95</w:t>
            </w:r>
          </w:p>
        </w:tc>
        <w:tc>
          <w:tcPr>
            <w:tcW w:w="708" w:type="dxa"/>
          </w:tcPr>
          <w:p w:rsidR="007C5447" w:rsidRDefault="00F6308C">
            <w:pPr>
              <w:pStyle w:val="TableParagraph"/>
              <w:spacing w:before="45"/>
              <w:ind w:right="128"/>
              <w:rPr>
                <w:sz w:val="18"/>
              </w:rPr>
            </w:pPr>
            <w:r>
              <w:rPr>
                <w:w w:val="99"/>
                <w:sz w:val="18"/>
              </w:rPr>
              <w:t>-</w:t>
            </w:r>
          </w:p>
        </w:tc>
        <w:tc>
          <w:tcPr>
            <w:tcW w:w="1065" w:type="dxa"/>
          </w:tcPr>
          <w:p w:rsidR="007C5447" w:rsidRDefault="00F6308C">
            <w:pPr>
              <w:pStyle w:val="TableParagraph"/>
              <w:spacing w:before="45"/>
              <w:ind w:right="128"/>
              <w:rPr>
                <w:sz w:val="18"/>
              </w:rPr>
            </w:pPr>
            <w:r>
              <w:rPr>
                <w:w w:val="99"/>
                <w:sz w:val="18"/>
              </w:rPr>
              <w:t>-</w:t>
            </w:r>
          </w:p>
        </w:tc>
        <w:tc>
          <w:tcPr>
            <w:tcW w:w="1310" w:type="dxa"/>
          </w:tcPr>
          <w:p w:rsidR="007C5447" w:rsidRDefault="00F6308C">
            <w:pPr>
              <w:pStyle w:val="TableParagraph"/>
              <w:spacing w:before="45"/>
              <w:ind w:right="126"/>
              <w:rPr>
                <w:sz w:val="18"/>
              </w:rPr>
            </w:pPr>
            <w:r>
              <w:rPr>
                <w:sz w:val="18"/>
              </w:rPr>
              <w:t>4.39</w:t>
            </w:r>
          </w:p>
        </w:tc>
        <w:tc>
          <w:tcPr>
            <w:tcW w:w="830" w:type="dxa"/>
          </w:tcPr>
          <w:p w:rsidR="007C5447" w:rsidRDefault="00F6308C">
            <w:pPr>
              <w:pStyle w:val="TableParagraph"/>
              <w:spacing w:before="45"/>
              <w:ind w:right="124"/>
              <w:rPr>
                <w:sz w:val="18"/>
              </w:rPr>
            </w:pPr>
            <w:r>
              <w:rPr>
                <w:sz w:val="18"/>
              </w:rPr>
              <w:t>0.21</w:t>
            </w:r>
          </w:p>
        </w:tc>
        <w:tc>
          <w:tcPr>
            <w:tcW w:w="922" w:type="dxa"/>
          </w:tcPr>
          <w:p w:rsidR="007C5447" w:rsidRDefault="00F6308C">
            <w:pPr>
              <w:pStyle w:val="TableParagraph"/>
              <w:spacing w:before="45"/>
              <w:ind w:right="128"/>
              <w:rPr>
                <w:sz w:val="18"/>
              </w:rPr>
            </w:pPr>
            <w:r>
              <w:rPr>
                <w:sz w:val="18"/>
              </w:rPr>
              <w:t>0.20</w:t>
            </w:r>
          </w:p>
        </w:tc>
        <w:tc>
          <w:tcPr>
            <w:tcW w:w="1025" w:type="dxa"/>
          </w:tcPr>
          <w:p w:rsidR="007C5447" w:rsidRDefault="00F6308C">
            <w:pPr>
              <w:pStyle w:val="TableParagraph"/>
              <w:spacing w:before="45"/>
              <w:ind w:right="123"/>
              <w:rPr>
                <w:sz w:val="18"/>
              </w:rPr>
            </w:pPr>
            <w:r>
              <w:rPr>
                <w:sz w:val="18"/>
              </w:rPr>
              <w:t>90.70</w:t>
            </w:r>
          </w:p>
        </w:tc>
        <w:tc>
          <w:tcPr>
            <w:tcW w:w="1119" w:type="dxa"/>
          </w:tcPr>
          <w:p w:rsidR="007C5447" w:rsidRDefault="00F6308C">
            <w:pPr>
              <w:pStyle w:val="TableParagraph"/>
              <w:spacing w:before="45"/>
              <w:ind w:right="126"/>
              <w:rPr>
                <w:sz w:val="18"/>
              </w:rPr>
            </w:pPr>
            <w:r>
              <w:rPr>
                <w:sz w:val="18"/>
              </w:rPr>
              <w:t>90.70</w:t>
            </w:r>
          </w:p>
        </w:tc>
      </w:tr>
      <w:tr w:rsidR="007C5447">
        <w:trPr>
          <w:trHeight w:val="299"/>
        </w:trPr>
        <w:tc>
          <w:tcPr>
            <w:tcW w:w="485" w:type="dxa"/>
          </w:tcPr>
          <w:p w:rsidR="007C5447" w:rsidRDefault="00F6308C">
            <w:pPr>
              <w:pStyle w:val="TableParagraph"/>
              <w:spacing w:before="45"/>
              <w:ind w:right="186"/>
              <w:rPr>
                <w:sz w:val="18"/>
              </w:rPr>
            </w:pPr>
            <w:r>
              <w:rPr>
                <w:sz w:val="18"/>
              </w:rPr>
              <w:t>8</w:t>
            </w:r>
          </w:p>
        </w:tc>
        <w:tc>
          <w:tcPr>
            <w:tcW w:w="2095" w:type="dxa"/>
          </w:tcPr>
          <w:p w:rsidR="007C5447" w:rsidRDefault="00F6308C">
            <w:pPr>
              <w:pStyle w:val="TableParagraph"/>
              <w:spacing w:before="45"/>
              <w:ind w:left="108"/>
              <w:jc w:val="left"/>
              <w:rPr>
                <w:sz w:val="18"/>
              </w:rPr>
            </w:pPr>
            <w:r>
              <w:rPr>
                <w:sz w:val="18"/>
              </w:rPr>
              <w:t>Kuttalam GTPS</w:t>
            </w:r>
          </w:p>
        </w:tc>
        <w:tc>
          <w:tcPr>
            <w:tcW w:w="1207" w:type="dxa"/>
          </w:tcPr>
          <w:p w:rsidR="007C5447" w:rsidRDefault="00F6308C">
            <w:pPr>
              <w:pStyle w:val="TableParagraph"/>
              <w:spacing w:before="45"/>
              <w:ind w:right="130"/>
              <w:rPr>
                <w:sz w:val="18"/>
              </w:rPr>
            </w:pPr>
            <w:r>
              <w:rPr>
                <w:sz w:val="18"/>
              </w:rPr>
              <w:t>23.12</w:t>
            </w:r>
          </w:p>
        </w:tc>
        <w:tc>
          <w:tcPr>
            <w:tcW w:w="924" w:type="dxa"/>
          </w:tcPr>
          <w:p w:rsidR="007C5447" w:rsidRDefault="00F6308C">
            <w:pPr>
              <w:pStyle w:val="TableParagraph"/>
              <w:spacing w:before="45"/>
              <w:ind w:right="130"/>
              <w:rPr>
                <w:sz w:val="18"/>
              </w:rPr>
            </w:pPr>
            <w:r>
              <w:rPr>
                <w:sz w:val="18"/>
              </w:rPr>
              <w:t>54.87</w:t>
            </w:r>
          </w:p>
        </w:tc>
        <w:tc>
          <w:tcPr>
            <w:tcW w:w="767" w:type="dxa"/>
          </w:tcPr>
          <w:p w:rsidR="007C5447" w:rsidRDefault="00F6308C">
            <w:pPr>
              <w:pStyle w:val="TableParagraph"/>
              <w:spacing w:before="45"/>
              <w:ind w:right="130"/>
              <w:rPr>
                <w:sz w:val="18"/>
              </w:rPr>
            </w:pPr>
            <w:r>
              <w:rPr>
                <w:w w:val="99"/>
                <w:sz w:val="18"/>
              </w:rPr>
              <w:t>-</w:t>
            </w:r>
          </w:p>
        </w:tc>
        <w:tc>
          <w:tcPr>
            <w:tcW w:w="789" w:type="dxa"/>
          </w:tcPr>
          <w:p w:rsidR="007C5447" w:rsidRDefault="00F6308C">
            <w:pPr>
              <w:pStyle w:val="TableParagraph"/>
              <w:spacing w:before="45"/>
              <w:ind w:right="128"/>
              <w:rPr>
                <w:sz w:val="18"/>
              </w:rPr>
            </w:pPr>
            <w:r>
              <w:rPr>
                <w:sz w:val="18"/>
              </w:rPr>
              <w:t>11.20</w:t>
            </w:r>
          </w:p>
        </w:tc>
        <w:tc>
          <w:tcPr>
            <w:tcW w:w="926" w:type="dxa"/>
          </w:tcPr>
          <w:p w:rsidR="007C5447" w:rsidRDefault="00F6308C">
            <w:pPr>
              <w:pStyle w:val="TableParagraph"/>
              <w:spacing w:before="45"/>
              <w:ind w:right="125"/>
              <w:rPr>
                <w:sz w:val="18"/>
              </w:rPr>
            </w:pPr>
            <w:r>
              <w:rPr>
                <w:sz w:val="18"/>
              </w:rPr>
              <w:t>16.43</w:t>
            </w:r>
          </w:p>
        </w:tc>
        <w:tc>
          <w:tcPr>
            <w:tcW w:w="708" w:type="dxa"/>
          </w:tcPr>
          <w:p w:rsidR="007C5447" w:rsidRDefault="00F6308C">
            <w:pPr>
              <w:pStyle w:val="TableParagraph"/>
              <w:spacing w:before="45"/>
              <w:ind w:right="128"/>
              <w:rPr>
                <w:sz w:val="18"/>
              </w:rPr>
            </w:pPr>
            <w:r>
              <w:rPr>
                <w:w w:val="99"/>
                <w:sz w:val="18"/>
              </w:rPr>
              <w:t>-</w:t>
            </w:r>
          </w:p>
        </w:tc>
        <w:tc>
          <w:tcPr>
            <w:tcW w:w="1065" w:type="dxa"/>
          </w:tcPr>
          <w:p w:rsidR="007C5447" w:rsidRDefault="00F6308C">
            <w:pPr>
              <w:pStyle w:val="TableParagraph"/>
              <w:spacing w:before="45"/>
              <w:ind w:right="128"/>
              <w:rPr>
                <w:sz w:val="18"/>
              </w:rPr>
            </w:pPr>
            <w:r>
              <w:rPr>
                <w:w w:val="99"/>
                <w:sz w:val="18"/>
              </w:rPr>
              <w:t>-</w:t>
            </w:r>
          </w:p>
        </w:tc>
        <w:tc>
          <w:tcPr>
            <w:tcW w:w="1310" w:type="dxa"/>
          </w:tcPr>
          <w:p w:rsidR="007C5447" w:rsidRDefault="00F6308C">
            <w:pPr>
              <w:pStyle w:val="TableParagraph"/>
              <w:spacing w:before="45"/>
              <w:ind w:right="123"/>
              <w:rPr>
                <w:sz w:val="18"/>
              </w:rPr>
            </w:pPr>
            <w:r>
              <w:rPr>
                <w:sz w:val="18"/>
              </w:rPr>
              <w:t>(306.07)</w:t>
            </w:r>
          </w:p>
        </w:tc>
        <w:tc>
          <w:tcPr>
            <w:tcW w:w="830" w:type="dxa"/>
          </w:tcPr>
          <w:p w:rsidR="007C5447" w:rsidRDefault="00F6308C">
            <w:pPr>
              <w:pStyle w:val="TableParagraph"/>
              <w:spacing w:before="45"/>
              <w:ind w:right="124"/>
              <w:rPr>
                <w:sz w:val="18"/>
              </w:rPr>
            </w:pPr>
            <w:r>
              <w:rPr>
                <w:sz w:val="18"/>
              </w:rPr>
              <w:t>0.98</w:t>
            </w:r>
          </w:p>
        </w:tc>
        <w:tc>
          <w:tcPr>
            <w:tcW w:w="922" w:type="dxa"/>
          </w:tcPr>
          <w:p w:rsidR="007C5447" w:rsidRDefault="00F6308C">
            <w:pPr>
              <w:pStyle w:val="TableParagraph"/>
              <w:spacing w:before="45"/>
              <w:ind w:right="128"/>
              <w:rPr>
                <w:sz w:val="18"/>
              </w:rPr>
            </w:pPr>
            <w:r>
              <w:rPr>
                <w:sz w:val="18"/>
              </w:rPr>
              <w:t>0.20</w:t>
            </w:r>
          </w:p>
        </w:tc>
        <w:tc>
          <w:tcPr>
            <w:tcW w:w="1025" w:type="dxa"/>
          </w:tcPr>
          <w:p w:rsidR="007C5447" w:rsidRDefault="00F6308C">
            <w:pPr>
              <w:pStyle w:val="TableParagraph"/>
              <w:spacing w:before="45"/>
              <w:ind w:right="122"/>
              <w:rPr>
                <w:sz w:val="18"/>
              </w:rPr>
            </w:pPr>
            <w:r>
              <w:rPr>
                <w:sz w:val="18"/>
              </w:rPr>
              <w:t>(201.23)</w:t>
            </w:r>
          </w:p>
        </w:tc>
        <w:tc>
          <w:tcPr>
            <w:tcW w:w="1119" w:type="dxa"/>
          </w:tcPr>
          <w:p w:rsidR="007C5447" w:rsidRDefault="00F6308C">
            <w:pPr>
              <w:pStyle w:val="TableParagraph"/>
              <w:spacing w:before="45"/>
              <w:ind w:right="125"/>
              <w:rPr>
                <w:sz w:val="18"/>
              </w:rPr>
            </w:pPr>
            <w:r>
              <w:rPr>
                <w:sz w:val="18"/>
              </w:rPr>
              <w:t>(201.23)</w:t>
            </w:r>
          </w:p>
        </w:tc>
      </w:tr>
      <w:tr w:rsidR="007C5447">
        <w:trPr>
          <w:trHeight w:val="299"/>
        </w:trPr>
        <w:tc>
          <w:tcPr>
            <w:tcW w:w="485" w:type="dxa"/>
          </w:tcPr>
          <w:p w:rsidR="007C5447" w:rsidRDefault="00F6308C">
            <w:pPr>
              <w:pStyle w:val="TableParagraph"/>
              <w:spacing w:before="47"/>
              <w:ind w:right="186"/>
              <w:rPr>
                <w:sz w:val="18"/>
              </w:rPr>
            </w:pPr>
            <w:r>
              <w:rPr>
                <w:sz w:val="18"/>
              </w:rPr>
              <w:t>9</w:t>
            </w:r>
          </w:p>
        </w:tc>
        <w:tc>
          <w:tcPr>
            <w:tcW w:w="2095" w:type="dxa"/>
          </w:tcPr>
          <w:p w:rsidR="007C5447" w:rsidRDefault="00F6308C">
            <w:pPr>
              <w:pStyle w:val="TableParagraph"/>
              <w:spacing w:before="47"/>
              <w:ind w:left="108"/>
              <w:jc w:val="left"/>
              <w:rPr>
                <w:sz w:val="18"/>
              </w:rPr>
            </w:pPr>
            <w:r>
              <w:rPr>
                <w:sz w:val="18"/>
              </w:rPr>
              <w:t>Basin Bridge GTPS</w:t>
            </w:r>
          </w:p>
        </w:tc>
        <w:tc>
          <w:tcPr>
            <w:tcW w:w="1207" w:type="dxa"/>
          </w:tcPr>
          <w:p w:rsidR="007C5447" w:rsidRDefault="00F6308C">
            <w:pPr>
              <w:pStyle w:val="TableParagraph"/>
              <w:spacing w:before="47"/>
              <w:ind w:right="130"/>
              <w:rPr>
                <w:sz w:val="18"/>
              </w:rPr>
            </w:pPr>
            <w:r>
              <w:rPr>
                <w:sz w:val="18"/>
              </w:rPr>
              <w:t>29.59</w:t>
            </w:r>
          </w:p>
        </w:tc>
        <w:tc>
          <w:tcPr>
            <w:tcW w:w="924" w:type="dxa"/>
          </w:tcPr>
          <w:p w:rsidR="007C5447" w:rsidRDefault="00F6308C">
            <w:pPr>
              <w:pStyle w:val="TableParagraph"/>
              <w:spacing w:before="47"/>
              <w:ind w:right="130"/>
              <w:rPr>
                <w:sz w:val="18"/>
              </w:rPr>
            </w:pPr>
            <w:r>
              <w:rPr>
                <w:sz w:val="18"/>
              </w:rPr>
              <w:t>13.88</w:t>
            </w:r>
          </w:p>
        </w:tc>
        <w:tc>
          <w:tcPr>
            <w:tcW w:w="767" w:type="dxa"/>
          </w:tcPr>
          <w:p w:rsidR="007C5447" w:rsidRDefault="00F6308C">
            <w:pPr>
              <w:pStyle w:val="TableParagraph"/>
              <w:spacing w:before="47"/>
              <w:ind w:right="130"/>
              <w:rPr>
                <w:sz w:val="18"/>
              </w:rPr>
            </w:pPr>
            <w:r>
              <w:rPr>
                <w:w w:val="99"/>
                <w:sz w:val="18"/>
              </w:rPr>
              <w:t>-</w:t>
            </w:r>
          </w:p>
        </w:tc>
        <w:tc>
          <w:tcPr>
            <w:tcW w:w="789" w:type="dxa"/>
          </w:tcPr>
          <w:p w:rsidR="007C5447" w:rsidRDefault="00F6308C">
            <w:pPr>
              <w:pStyle w:val="TableParagraph"/>
              <w:spacing w:before="47"/>
              <w:ind w:right="131"/>
              <w:rPr>
                <w:sz w:val="18"/>
              </w:rPr>
            </w:pPr>
            <w:r>
              <w:rPr>
                <w:sz w:val="18"/>
              </w:rPr>
              <w:t>8.85</w:t>
            </w:r>
          </w:p>
        </w:tc>
        <w:tc>
          <w:tcPr>
            <w:tcW w:w="926" w:type="dxa"/>
          </w:tcPr>
          <w:p w:rsidR="007C5447" w:rsidRDefault="00F6308C">
            <w:pPr>
              <w:pStyle w:val="TableParagraph"/>
              <w:spacing w:before="47"/>
              <w:ind w:right="128"/>
              <w:rPr>
                <w:sz w:val="18"/>
              </w:rPr>
            </w:pPr>
            <w:r>
              <w:rPr>
                <w:sz w:val="18"/>
              </w:rPr>
              <w:t>8.66</w:t>
            </w:r>
          </w:p>
        </w:tc>
        <w:tc>
          <w:tcPr>
            <w:tcW w:w="708" w:type="dxa"/>
          </w:tcPr>
          <w:p w:rsidR="007C5447" w:rsidRDefault="00F6308C">
            <w:pPr>
              <w:pStyle w:val="TableParagraph"/>
              <w:spacing w:before="47"/>
              <w:ind w:right="128"/>
              <w:rPr>
                <w:sz w:val="18"/>
              </w:rPr>
            </w:pPr>
            <w:r>
              <w:rPr>
                <w:w w:val="99"/>
                <w:sz w:val="18"/>
              </w:rPr>
              <w:t>-</w:t>
            </w:r>
          </w:p>
        </w:tc>
        <w:tc>
          <w:tcPr>
            <w:tcW w:w="1065" w:type="dxa"/>
          </w:tcPr>
          <w:p w:rsidR="007C5447" w:rsidRDefault="00F6308C">
            <w:pPr>
              <w:pStyle w:val="TableParagraph"/>
              <w:spacing w:before="47"/>
              <w:ind w:right="128"/>
              <w:rPr>
                <w:sz w:val="18"/>
              </w:rPr>
            </w:pPr>
            <w:r>
              <w:rPr>
                <w:w w:val="99"/>
                <w:sz w:val="18"/>
              </w:rPr>
              <w:t>-</w:t>
            </w:r>
          </w:p>
        </w:tc>
        <w:tc>
          <w:tcPr>
            <w:tcW w:w="1310" w:type="dxa"/>
          </w:tcPr>
          <w:p w:rsidR="007C5447" w:rsidRDefault="00F6308C">
            <w:pPr>
              <w:pStyle w:val="TableParagraph"/>
              <w:spacing w:before="47"/>
              <w:ind w:right="126"/>
              <w:rPr>
                <w:sz w:val="18"/>
              </w:rPr>
            </w:pPr>
            <w:r>
              <w:rPr>
                <w:sz w:val="18"/>
              </w:rPr>
              <w:t>2.01</w:t>
            </w:r>
          </w:p>
        </w:tc>
        <w:tc>
          <w:tcPr>
            <w:tcW w:w="830" w:type="dxa"/>
          </w:tcPr>
          <w:p w:rsidR="007C5447" w:rsidRDefault="00F6308C">
            <w:pPr>
              <w:pStyle w:val="TableParagraph"/>
              <w:spacing w:before="47"/>
              <w:ind w:right="124"/>
              <w:rPr>
                <w:sz w:val="18"/>
              </w:rPr>
            </w:pPr>
            <w:r>
              <w:rPr>
                <w:sz w:val="18"/>
              </w:rPr>
              <w:t>0.04</w:t>
            </w:r>
          </w:p>
        </w:tc>
        <w:tc>
          <w:tcPr>
            <w:tcW w:w="922" w:type="dxa"/>
          </w:tcPr>
          <w:p w:rsidR="007C5447" w:rsidRDefault="00F6308C">
            <w:pPr>
              <w:pStyle w:val="TableParagraph"/>
              <w:spacing w:before="47"/>
              <w:ind w:right="128"/>
              <w:rPr>
                <w:sz w:val="18"/>
              </w:rPr>
            </w:pPr>
            <w:r>
              <w:rPr>
                <w:sz w:val="18"/>
              </w:rPr>
              <w:t>0.17</w:t>
            </w:r>
          </w:p>
        </w:tc>
        <w:tc>
          <w:tcPr>
            <w:tcW w:w="1025" w:type="dxa"/>
          </w:tcPr>
          <w:p w:rsidR="007C5447" w:rsidRDefault="00F6308C">
            <w:pPr>
              <w:pStyle w:val="TableParagraph"/>
              <w:spacing w:before="47"/>
              <w:ind w:right="123"/>
              <w:rPr>
                <w:sz w:val="18"/>
              </w:rPr>
            </w:pPr>
            <w:r>
              <w:rPr>
                <w:sz w:val="18"/>
              </w:rPr>
              <w:t>63.12</w:t>
            </w:r>
          </w:p>
        </w:tc>
        <w:tc>
          <w:tcPr>
            <w:tcW w:w="1119" w:type="dxa"/>
          </w:tcPr>
          <w:p w:rsidR="007C5447" w:rsidRDefault="00F6308C">
            <w:pPr>
              <w:pStyle w:val="TableParagraph"/>
              <w:spacing w:before="47"/>
              <w:ind w:right="126"/>
              <w:rPr>
                <w:sz w:val="18"/>
              </w:rPr>
            </w:pPr>
            <w:r>
              <w:rPr>
                <w:sz w:val="18"/>
              </w:rPr>
              <w:t>63.12</w:t>
            </w:r>
          </w:p>
        </w:tc>
      </w:tr>
      <w:tr w:rsidR="007C5447">
        <w:trPr>
          <w:trHeight w:val="299"/>
        </w:trPr>
        <w:tc>
          <w:tcPr>
            <w:tcW w:w="485" w:type="dxa"/>
          </w:tcPr>
          <w:p w:rsidR="007C5447" w:rsidRDefault="00F6308C">
            <w:pPr>
              <w:pStyle w:val="TableParagraph"/>
              <w:spacing w:before="47"/>
              <w:ind w:right="139"/>
              <w:rPr>
                <w:sz w:val="18"/>
              </w:rPr>
            </w:pPr>
            <w:r>
              <w:rPr>
                <w:sz w:val="18"/>
              </w:rPr>
              <w:t>10</w:t>
            </w:r>
          </w:p>
        </w:tc>
        <w:tc>
          <w:tcPr>
            <w:tcW w:w="2095" w:type="dxa"/>
          </w:tcPr>
          <w:p w:rsidR="007C5447" w:rsidRDefault="00F6308C">
            <w:pPr>
              <w:pStyle w:val="TableParagraph"/>
              <w:spacing w:before="47"/>
              <w:ind w:left="108"/>
              <w:jc w:val="left"/>
              <w:rPr>
                <w:sz w:val="18"/>
              </w:rPr>
            </w:pPr>
            <w:r>
              <w:rPr>
                <w:sz w:val="18"/>
              </w:rPr>
              <w:t>Valuthur Unit</w:t>
            </w:r>
          </w:p>
        </w:tc>
        <w:tc>
          <w:tcPr>
            <w:tcW w:w="1207" w:type="dxa"/>
          </w:tcPr>
          <w:p w:rsidR="007C5447" w:rsidRDefault="00F6308C">
            <w:pPr>
              <w:pStyle w:val="TableParagraph"/>
              <w:spacing w:before="47"/>
              <w:ind w:right="130"/>
              <w:rPr>
                <w:sz w:val="18"/>
              </w:rPr>
            </w:pPr>
            <w:r>
              <w:rPr>
                <w:sz w:val="18"/>
              </w:rPr>
              <w:t>31.59</w:t>
            </w:r>
          </w:p>
        </w:tc>
        <w:tc>
          <w:tcPr>
            <w:tcW w:w="924" w:type="dxa"/>
          </w:tcPr>
          <w:p w:rsidR="007C5447" w:rsidRDefault="00F6308C">
            <w:pPr>
              <w:pStyle w:val="TableParagraph"/>
              <w:spacing w:before="47"/>
              <w:ind w:right="132"/>
              <w:rPr>
                <w:sz w:val="18"/>
              </w:rPr>
            </w:pPr>
            <w:r>
              <w:rPr>
                <w:sz w:val="18"/>
              </w:rPr>
              <w:t>108.09</w:t>
            </w:r>
          </w:p>
        </w:tc>
        <w:tc>
          <w:tcPr>
            <w:tcW w:w="767" w:type="dxa"/>
          </w:tcPr>
          <w:p w:rsidR="007C5447" w:rsidRDefault="00F6308C">
            <w:pPr>
              <w:pStyle w:val="TableParagraph"/>
              <w:spacing w:before="47"/>
              <w:ind w:right="130"/>
              <w:rPr>
                <w:sz w:val="18"/>
              </w:rPr>
            </w:pPr>
            <w:r>
              <w:rPr>
                <w:w w:val="99"/>
                <w:sz w:val="18"/>
              </w:rPr>
              <w:t>-</w:t>
            </w:r>
          </w:p>
        </w:tc>
        <w:tc>
          <w:tcPr>
            <w:tcW w:w="789" w:type="dxa"/>
          </w:tcPr>
          <w:p w:rsidR="007C5447" w:rsidRDefault="00F6308C">
            <w:pPr>
              <w:pStyle w:val="TableParagraph"/>
              <w:spacing w:before="47"/>
              <w:ind w:right="128"/>
              <w:rPr>
                <w:sz w:val="18"/>
              </w:rPr>
            </w:pPr>
            <w:r>
              <w:rPr>
                <w:sz w:val="18"/>
              </w:rPr>
              <w:t>21.52</w:t>
            </w:r>
          </w:p>
        </w:tc>
        <w:tc>
          <w:tcPr>
            <w:tcW w:w="926" w:type="dxa"/>
          </w:tcPr>
          <w:p w:rsidR="007C5447" w:rsidRDefault="00F6308C">
            <w:pPr>
              <w:pStyle w:val="TableParagraph"/>
              <w:spacing w:before="47"/>
              <w:ind w:right="128"/>
              <w:rPr>
                <w:sz w:val="18"/>
              </w:rPr>
            </w:pPr>
            <w:r>
              <w:rPr>
                <w:sz w:val="18"/>
              </w:rPr>
              <w:t>5.77</w:t>
            </w:r>
          </w:p>
        </w:tc>
        <w:tc>
          <w:tcPr>
            <w:tcW w:w="708" w:type="dxa"/>
          </w:tcPr>
          <w:p w:rsidR="007C5447" w:rsidRDefault="00F6308C">
            <w:pPr>
              <w:pStyle w:val="TableParagraph"/>
              <w:spacing w:before="47"/>
              <w:ind w:right="128"/>
              <w:rPr>
                <w:sz w:val="18"/>
              </w:rPr>
            </w:pPr>
            <w:r>
              <w:rPr>
                <w:w w:val="99"/>
                <w:sz w:val="18"/>
              </w:rPr>
              <w:t>-</w:t>
            </w:r>
          </w:p>
        </w:tc>
        <w:tc>
          <w:tcPr>
            <w:tcW w:w="1065" w:type="dxa"/>
          </w:tcPr>
          <w:p w:rsidR="007C5447" w:rsidRDefault="00F6308C">
            <w:pPr>
              <w:pStyle w:val="TableParagraph"/>
              <w:spacing w:before="47"/>
              <w:ind w:right="128"/>
              <w:rPr>
                <w:sz w:val="18"/>
              </w:rPr>
            </w:pPr>
            <w:r>
              <w:rPr>
                <w:w w:val="99"/>
                <w:sz w:val="18"/>
              </w:rPr>
              <w:t>-</w:t>
            </w:r>
          </w:p>
        </w:tc>
        <w:tc>
          <w:tcPr>
            <w:tcW w:w="1310" w:type="dxa"/>
          </w:tcPr>
          <w:p w:rsidR="007C5447" w:rsidRDefault="00F6308C">
            <w:pPr>
              <w:pStyle w:val="TableParagraph"/>
              <w:spacing w:before="47"/>
              <w:ind w:right="126"/>
              <w:rPr>
                <w:sz w:val="18"/>
              </w:rPr>
            </w:pPr>
            <w:r>
              <w:rPr>
                <w:sz w:val="18"/>
              </w:rPr>
              <w:t>1.55</w:t>
            </w:r>
          </w:p>
        </w:tc>
        <w:tc>
          <w:tcPr>
            <w:tcW w:w="830" w:type="dxa"/>
          </w:tcPr>
          <w:p w:rsidR="007C5447" w:rsidRDefault="00F6308C">
            <w:pPr>
              <w:pStyle w:val="TableParagraph"/>
              <w:spacing w:before="47"/>
              <w:ind w:right="124"/>
              <w:rPr>
                <w:sz w:val="18"/>
              </w:rPr>
            </w:pPr>
            <w:r>
              <w:rPr>
                <w:sz w:val="18"/>
              </w:rPr>
              <w:t>0.41</w:t>
            </w:r>
          </w:p>
        </w:tc>
        <w:tc>
          <w:tcPr>
            <w:tcW w:w="922" w:type="dxa"/>
          </w:tcPr>
          <w:p w:rsidR="007C5447" w:rsidRDefault="00F6308C">
            <w:pPr>
              <w:pStyle w:val="TableParagraph"/>
              <w:spacing w:before="47"/>
              <w:ind w:right="128"/>
              <w:rPr>
                <w:sz w:val="18"/>
              </w:rPr>
            </w:pPr>
            <w:r>
              <w:rPr>
                <w:sz w:val="18"/>
              </w:rPr>
              <w:t>0.26</w:t>
            </w:r>
          </w:p>
        </w:tc>
        <w:tc>
          <w:tcPr>
            <w:tcW w:w="1025" w:type="dxa"/>
          </w:tcPr>
          <w:p w:rsidR="007C5447" w:rsidRDefault="00F6308C">
            <w:pPr>
              <w:pStyle w:val="TableParagraph"/>
              <w:spacing w:before="47"/>
              <w:ind w:right="124"/>
              <w:rPr>
                <w:sz w:val="18"/>
              </w:rPr>
            </w:pPr>
            <w:r>
              <w:rPr>
                <w:sz w:val="18"/>
              </w:rPr>
              <w:t>168.38</w:t>
            </w:r>
          </w:p>
        </w:tc>
        <w:tc>
          <w:tcPr>
            <w:tcW w:w="1119" w:type="dxa"/>
          </w:tcPr>
          <w:p w:rsidR="007C5447" w:rsidRDefault="00F6308C">
            <w:pPr>
              <w:pStyle w:val="TableParagraph"/>
              <w:spacing w:before="47"/>
              <w:ind w:right="127"/>
              <w:rPr>
                <w:sz w:val="18"/>
              </w:rPr>
            </w:pPr>
            <w:r>
              <w:rPr>
                <w:sz w:val="18"/>
              </w:rPr>
              <w:t>168.38</w:t>
            </w:r>
          </w:p>
        </w:tc>
      </w:tr>
      <w:tr w:rsidR="007C5447">
        <w:trPr>
          <w:trHeight w:val="302"/>
        </w:trPr>
        <w:tc>
          <w:tcPr>
            <w:tcW w:w="485" w:type="dxa"/>
          </w:tcPr>
          <w:p w:rsidR="007C5447" w:rsidRDefault="00F6308C">
            <w:pPr>
              <w:pStyle w:val="TableParagraph"/>
              <w:spacing w:before="48"/>
              <w:ind w:right="139"/>
              <w:rPr>
                <w:sz w:val="18"/>
              </w:rPr>
            </w:pPr>
            <w:r>
              <w:rPr>
                <w:sz w:val="18"/>
              </w:rPr>
              <w:t>11</w:t>
            </w:r>
          </w:p>
        </w:tc>
        <w:tc>
          <w:tcPr>
            <w:tcW w:w="2095" w:type="dxa"/>
          </w:tcPr>
          <w:p w:rsidR="007C5447" w:rsidRDefault="00F6308C">
            <w:pPr>
              <w:pStyle w:val="TableParagraph"/>
              <w:spacing w:before="48"/>
              <w:ind w:left="108"/>
              <w:jc w:val="left"/>
              <w:rPr>
                <w:sz w:val="18"/>
              </w:rPr>
            </w:pPr>
            <w:r>
              <w:rPr>
                <w:sz w:val="18"/>
              </w:rPr>
              <w:t>Erode HEP</w:t>
            </w:r>
          </w:p>
        </w:tc>
        <w:tc>
          <w:tcPr>
            <w:tcW w:w="1207" w:type="dxa"/>
          </w:tcPr>
          <w:p w:rsidR="007C5447" w:rsidRDefault="00F6308C">
            <w:pPr>
              <w:pStyle w:val="TableParagraph"/>
              <w:spacing w:before="48"/>
              <w:ind w:right="130"/>
              <w:rPr>
                <w:sz w:val="18"/>
              </w:rPr>
            </w:pPr>
            <w:r>
              <w:rPr>
                <w:sz w:val="18"/>
              </w:rPr>
              <w:t>52.16</w:t>
            </w:r>
          </w:p>
        </w:tc>
        <w:tc>
          <w:tcPr>
            <w:tcW w:w="924" w:type="dxa"/>
          </w:tcPr>
          <w:p w:rsidR="007C5447" w:rsidRDefault="00F6308C">
            <w:pPr>
              <w:pStyle w:val="TableParagraph"/>
              <w:spacing w:before="48"/>
              <w:ind w:right="132"/>
              <w:rPr>
                <w:sz w:val="18"/>
              </w:rPr>
            </w:pPr>
            <w:r>
              <w:rPr>
                <w:sz w:val="18"/>
              </w:rPr>
              <w:t>221.68</w:t>
            </w:r>
          </w:p>
        </w:tc>
        <w:tc>
          <w:tcPr>
            <w:tcW w:w="767" w:type="dxa"/>
          </w:tcPr>
          <w:p w:rsidR="007C5447" w:rsidRDefault="00F6308C">
            <w:pPr>
              <w:pStyle w:val="TableParagraph"/>
              <w:spacing w:before="48"/>
              <w:ind w:right="130"/>
              <w:rPr>
                <w:sz w:val="18"/>
              </w:rPr>
            </w:pPr>
            <w:r>
              <w:rPr>
                <w:w w:val="99"/>
                <w:sz w:val="18"/>
              </w:rPr>
              <w:t>-</w:t>
            </w:r>
          </w:p>
        </w:tc>
        <w:tc>
          <w:tcPr>
            <w:tcW w:w="789" w:type="dxa"/>
          </w:tcPr>
          <w:p w:rsidR="007C5447" w:rsidRDefault="00F6308C">
            <w:pPr>
              <w:pStyle w:val="TableParagraph"/>
              <w:spacing w:before="48"/>
              <w:ind w:right="131"/>
              <w:rPr>
                <w:sz w:val="18"/>
              </w:rPr>
            </w:pPr>
            <w:r>
              <w:rPr>
                <w:sz w:val="18"/>
              </w:rPr>
              <w:t>6.20</w:t>
            </w:r>
          </w:p>
        </w:tc>
        <w:tc>
          <w:tcPr>
            <w:tcW w:w="926" w:type="dxa"/>
          </w:tcPr>
          <w:p w:rsidR="007C5447" w:rsidRDefault="00F6308C">
            <w:pPr>
              <w:pStyle w:val="TableParagraph"/>
              <w:spacing w:before="48"/>
              <w:ind w:right="125"/>
              <w:rPr>
                <w:sz w:val="18"/>
              </w:rPr>
            </w:pPr>
            <w:r>
              <w:rPr>
                <w:sz w:val="18"/>
              </w:rPr>
              <w:t>30.17</w:t>
            </w:r>
          </w:p>
        </w:tc>
        <w:tc>
          <w:tcPr>
            <w:tcW w:w="708" w:type="dxa"/>
          </w:tcPr>
          <w:p w:rsidR="007C5447" w:rsidRDefault="00F6308C">
            <w:pPr>
              <w:pStyle w:val="TableParagraph"/>
              <w:spacing w:before="48"/>
              <w:ind w:right="128"/>
              <w:rPr>
                <w:sz w:val="18"/>
              </w:rPr>
            </w:pPr>
            <w:r>
              <w:rPr>
                <w:w w:val="99"/>
                <w:sz w:val="18"/>
              </w:rPr>
              <w:t>-</w:t>
            </w:r>
          </w:p>
        </w:tc>
        <w:tc>
          <w:tcPr>
            <w:tcW w:w="1065" w:type="dxa"/>
          </w:tcPr>
          <w:p w:rsidR="007C5447" w:rsidRDefault="00F6308C">
            <w:pPr>
              <w:pStyle w:val="TableParagraph"/>
              <w:spacing w:before="48"/>
              <w:ind w:right="128"/>
              <w:rPr>
                <w:sz w:val="18"/>
              </w:rPr>
            </w:pPr>
            <w:r>
              <w:rPr>
                <w:w w:val="99"/>
                <w:sz w:val="18"/>
              </w:rPr>
              <w:t>-</w:t>
            </w:r>
          </w:p>
        </w:tc>
        <w:tc>
          <w:tcPr>
            <w:tcW w:w="1310" w:type="dxa"/>
          </w:tcPr>
          <w:p w:rsidR="007C5447" w:rsidRDefault="00F6308C">
            <w:pPr>
              <w:pStyle w:val="TableParagraph"/>
              <w:spacing w:before="48"/>
              <w:ind w:right="126"/>
              <w:rPr>
                <w:sz w:val="18"/>
              </w:rPr>
            </w:pPr>
            <w:r>
              <w:rPr>
                <w:sz w:val="18"/>
              </w:rPr>
              <w:t>1.08</w:t>
            </w:r>
          </w:p>
        </w:tc>
        <w:tc>
          <w:tcPr>
            <w:tcW w:w="830" w:type="dxa"/>
          </w:tcPr>
          <w:p w:rsidR="007C5447" w:rsidRDefault="00F6308C">
            <w:pPr>
              <w:pStyle w:val="TableParagraph"/>
              <w:spacing w:before="48"/>
              <w:ind w:right="124"/>
              <w:rPr>
                <w:sz w:val="18"/>
              </w:rPr>
            </w:pPr>
            <w:r>
              <w:rPr>
                <w:sz w:val="18"/>
              </w:rPr>
              <w:t>0.16</w:t>
            </w:r>
          </w:p>
        </w:tc>
        <w:tc>
          <w:tcPr>
            <w:tcW w:w="922" w:type="dxa"/>
          </w:tcPr>
          <w:p w:rsidR="007C5447" w:rsidRDefault="00F6308C">
            <w:pPr>
              <w:pStyle w:val="TableParagraph"/>
              <w:spacing w:before="48"/>
              <w:ind w:right="128"/>
              <w:rPr>
                <w:sz w:val="18"/>
              </w:rPr>
            </w:pPr>
            <w:r>
              <w:rPr>
                <w:sz w:val="18"/>
              </w:rPr>
              <w:t>1.13</w:t>
            </w:r>
          </w:p>
        </w:tc>
        <w:tc>
          <w:tcPr>
            <w:tcW w:w="1025" w:type="dxa"/>
          </w:tcPr>
          <w:p w:rsidR="007C5447" w:rsidRDefault="00F6308C">
            <w:pPr>
              <w:pStyle w:val="TableParagraph"/>
              <w:spacing w:before="48"/>
              <w:ind w:right="124"/>
              <w:rPr>
                <w:sz w:val="18"/>
              </w:rPr>
            </w:pPr>
            <w:r>
              <w:rPr>
                <w:sz w:val="18"/>
              </w:rPr>
              <w:t>312.27</w:t>
            </w:r>
          </w:p>
        </w:tc>
        <w:tc>
          <w:tcPr>
            <w:tcW w:w="1119" w:type="dxa"/>
          </w:tcPr>
          <w:p w:rsidR="007C5447" w:rsidRDefault="00F6308C">
            <w:pPr>
              <w:pStyle w:val="TableParagraph"/>
              <w:spacing w:before="48"/>
              <w:ind w:right="127"/>
              <w:rPr>
                <w:sz w:val="18"/>
              </w:rPr>
            </w:pPr>
            <w:r>
              <w:rPr>
                <w:sz w:val="18"/>
              </w:rPr>
              <w:t>312.27</w:t>
            </w:r>
          </w:p>
        </w:tc>
      </w:tr>
      <w:tr w:rsidR="007C5447">
        <w:trPr>
          <w:trHeight w:val="299"/>
        </w:trPr>
        <w:tc>
          <w:tcPr>
            <w:tcW w:w="485" w:type="dxa"/>
          </w:tcPr>
          <w:p w:rsidR="007C5447" w:rsidRDefault="00F6308C">
            <w:pPr>
              <w:pStyle w:val="TableParagraph"/>
              <w:spacing w:before="45"/>
              <w:ind w:right="139"/>
              <w:rPr>
                <w:sz w:val="18"/>
              </w:rPr>
            </w:pPr>
            <w:r>
              <w:rPr>
                <w:sz w:val="18"/>
              </w:rPr>
              <w:t>12</w:t>
            </w:r>
          </w:p>
        </w:tc>
        <w:tc>
          <w:tcPr>
            <w:tcW w:w="2095" w:type="dxa"/>
          </w:tcPr>
          <w:p w:rsidR="007C5447" w:rsidRDefault="00F6308C">
            <w:pPr>
              <w:pStyle w:val="TableParagraph"/>
              <w:spacing w:before="45"/>
              <w:ind w:left="108"/>
              <w:jc w:val="left"/>
              <w:rPr>
                <w:sz w:val="18"/>
              </w:rPr>
            </w:pPr>
            <w:r>
              <w:rPr>
                <w:sz w:val="18"/>
              </w:rPr>
              <w:t>Kadamparai HEP</w:t>
            </w:r>
          </w:p>
        </w:tc>
        <w:tc>
          <w:tcPr>
            <w:tcW w:w="1207" w:type="dxa"/>
          </w:tcPr>
          <w:p w:rsidR="007C5447" w:rsidRDefault="00F6308C">
            <w:pPr>
              <w:pStyle w:val="TableParagraph"/>
              <w:spacing w:before="45"/>
              <w:ind w:right="130"/>
              <w:rPr>
                <w:sz w:val="18"/>
              </w:rPr>
            </w:pPr>
            <w:r>
              <w:rPr>
                <w:sz w:val="18"/>
              </w:rPr>
              <w:t>19.99</w:t>
            </w:r>
          </w:p>
        </w:tc>
        <w:tc>
          <w:tcPr>
            <w:tcW w:w="924" w:type="dxa"/>
          </w:tcPr>
          <w:p w:rsidR="007C5447" w:rsidRDefault="00F6308C">
            <w:pPr>
              <w:pStyle w:val="TableParagraph"/>
              <w:spacing w:before="45"/>
              <w:ind w:right="130"/>
              <w:rPr>
                <w:sz w:val="18"/>
              </w:rPr>
            </w:pPr>
            <w:r>
              <w:rPr>
                <w:sz w:val="18"/>
              </w:rPr>
              <w:t>33.00</w:t>
            </w:r>
          </w:p>
        </w:tc>
        <w:tc>
          <w:tcPr>
            <w:tcW w:w="767" w:type="dxa"/>
          </w:tcPr>
          <w:p w:rsidR="007C5447" w:rsidRDefault="00F6308C">
            <w:pPr>
              <w:pStyle w:val="TableParagraph"/>
              <w:spacing w:before="45"/>
              <w:ind w:right="130"/>
              <w:rPr>
                <w:sz w:val="18"/>
              </w:rPr>
            </w:pPr>
            <w:r>
              <w:rPr>
                <w:w w:val="99"/>
                <w:sz w:val="18"/>
              </w:rPr>
              <w:t>-</w:t>
            </w:r>
          </w:p>
        </w:tc>
        <w:tc>
          <w:tcPr>
            <w:tcW w:w="789" w:type="dxa"/>
          </w:tcPr>
          <w:p w:rsidR="007C5447" w:rsidRDefault="00F6308C">
            <w:pPr>
              <w:pStyle w:val="TableParagraph"/>
              <w:spacing w:before="45"/>
              <w:ind w:right="131"/>
              <w:rPr>
                <w:sz w:val="18"/>
              </w:rPr>
            </w:pPr>
            <w:r>
              <w:rPr>
                <w:sz w:val="18"/>
              </w:rPr>
              <w:t>6.58</w:t>
            </w:r>
          </w:p>
        </w:tc>
        <w:tc>
          <w:tcPr>
            <w:tcW w:w="926" w:type="dxa"/>
          </w:tcPr>
          <w:p w:rsidR="007C5447" w:rsidRDefault="00F6308C">
            <w:pPr>
              <w:pStyle w:val="TableParagraph"/>
              <w:spacing w:before="45"/>
              <w:ind w:right="125"/>
              <w:rPr>
                <w:sz w:val="18"/>
              </w:rPr>
            </w:pPr>
            <w:r>
              <w:rPr>
                <w:sz w:val="18"/>
              </w:rPr>
              <w:t>24.35</w:t>
            </w:r>
          </w:p>
        </w:tc>
        <w:tc>
          <w:tcPr>
            <w:tcW w:w="708" w:type="dxa"/>
          </w:tcPr>
          <w:p w:rsidR="007C5447" w:rsidRDefault="00F6308C">
            <w:pPr>
              <w:pStyle w:val="TableParagraph"/>
              <w:spacing w:before="45"/>
              <w:ind w:right="128"/>
              <w:rPr>
                <w:sz w:val="18"/>
              </w:rPr>
            </w:pPr>
            <w:r>
              <w:rPr>
                <w:w w:val="99"/>
                <w:sz w:val="18"/>
              </w:rPr>
              <w:t>-</w:t>
            </w:r>
          </w:p>
        </w:tc>
        <w:tc>
          <w:tcPr>
            <w:tcW w:w="1065" w:type="dxa"/>
          </w:tcPr>
          <w:p w:rsidR="007C5447" w:rsidRDefault="00F6308C">
            <w:pPr>
              <w:pStyle w:val="TableParagraph"/>
              <w:spacing w:before="45"/>
              <w:ind w:right="128"/>
              <w:rPr>
                <w:sz w:val="18"/>
              </w:rPr>
            </w:pPr>
            <w:r>
              <w:rPr>
                <w:w w:val="99"/>
                <w:sz w:val="18"/>
              </w:rPr>
              <w:t>-</w:t>
            </w:r>
          </w:p>
        </w:tc>
        <w:tc>
          <w:tcPr>
            <w:tcW w:w="1310" w:type="dxa"/>
          </w:tcPr>
          <w:p w:rsidR="007C5447" w:rsidRDefault="00F6308C">
            <w:pPr>
              <w:pStyle w:val="TableParagraph"/>
              <w:spacing w:before="45"/>
              <w:ind w:right="126"/>
              <w:rPr>
                <w:sz w:val="18"/>
              </w:rPr>
            </w:pPr>
            <w:r>
              <w:rPr>
                <w:sz w:val="18"/>
              </w:rPr>
              <w:t>0.52</w:t>
            </w:r>
          </w:p>
        </w:tc>
        <w:tc>
          <w:tcPr>
            <w:tcW w:w="830" w:type="dxa"/>
          </w:tcPr>
          <w:p w:rsidR="007C5447" w:rsidRDefault="00F6308C">
            <w:pPr>
              <w:pStyle w:val="TableParagraph"/>
              <w:spacing w:before="45"/>
              <w:ind w:right="124"/>
              <w:rPr>
                <w:sz w:val="18"/>
              </w:rPr>
            </w:pPr>
            <w:r>
              <w:rPr>
                <w:sz w:val="18"/>
              </w:rPr>
              <w:t>0.35</w:t>
            </w:r>
          </w:p>
        </w:tc>
        <w:tc>
          <w:tcPr>
            <w:tcW w:w="922" w:type="dxa"/>
          </w:tcPr>
          <w:p w:rsidR="007C5447" w:rsidRDefault="00F6308C">
            <w:pPr>
              <w:pStyle w:val="TableParagraph"/>
              <w:spacing w:before="45"/>
              <w:ind w:right="128"/>
              <w:rPr>
                <w:sz w:val="18"/>
              </w:rPr>
            </w:pPr>
            <w:r>
              <w:rPr>
                <w:sz w:val="18"/>
              </w:rPr>
              <w:t>0.73</w:t>
            </w:r>
          </w:p>
        </w:tc>
        <w:tc>
          <w:tcPr>
            <w:tcW w:w="1025" w:type="dxa"/>
          </w:tcPr>
          <w:p w:rsidR="007C5447" w:rsidRDefault="00F6308C">
            <w:pPr>
              <w:pStyle w:val="TableParagraph"/>
              <w:spacing w:before="45"/>
              <w:ind w:right="123"/>
              <w:rPr>
                <w:sz w:val="18"/>
              </w:rPr>
            </w:pPr>
            <w:r>
              <w:rPr>
                <w:sz w:val="18"/>
              </w:rPr>
              <w:t>84.82</w:t>
            </w:r>
          </w:p>
        </w:tc>
        <w:tc>
          <w:tcPr>
            <w:tcW w:w="1119" w:type="dxa"/>
          </w:tcPr>
          <w:p w:rsidR="007C5447" w:rsidRDefault="00F6308C">
            <w:pPr>
              <w:pStyle w:val="TableParagraph"/>
              <w:spacing w:before="45"/>
              <w:ind w:right="126"/>
              <w:rPr>
                <w:sz w:val="18"/>
              </w:rPr>
            </w:pPr>
            <w:r>
              <w:rPr>
                <w:sz w:val="18"/>
              </w:rPr>
              <w:t>84.82</w:t>
            </w:r>
          </w:p>
        </w:tc>
      </w:tr>
      <w:tr w:rsidR="007C5447">
        <w:trPr>
          <w:trHeight w:val="328"/>
        </w:trPr>
        <w:tc>
          <w:tcPr>
            <w:tcW w:w="485" w:type="dxa"/>
          </w:tcPr>
          <w:p w:rsidR="007C5447" w:rsidRDefault="00F6308C">
            <w:pPr>
              <w:pStyle w:val="TableParagraph"/>
              <w:spacing w:before="59"/>
              <w:ind w:right="139"/>
              <w:rPr>
                <w:sz w:val="18"/>
              </w:rPr>
            </w:pPr>
            <w:r>
              <w:rPr>
                <w:sz w:val="18"/>
              </w:rPr>
              <w:t>13</w:t>
            </w:r>
          </w:p>
        </w:tc>
        <w:tc>
          <w:tcPr>
            <w:tcW w:w="2095" w:type="dxa"/>
          </w:tcPr>
          <w:p w:rsidR="007C5447" w:rsidRDefault="00F6308C">
            <w:pPr>
              <w:pStyle w:val="TableParagraph"/>
              <w:spacing w:before="59"/>
              <w:ind w:left="108"/>
              <w:jc w:val="left"/>
              <w:rPr>
                <w:sz w:val="18"/>
              </w:rPr>
            </w:pPr>
            <w:r>
              <w:rPr>
                <w:sz w:val="18"/>
              </w:rPr>
              <w:t>Kundah HEP</w:t>
            </w:r>
          </w:p>
        </w:tc>
        <w:tc>
          <w:tcPr>
            <w:tcW w:w="1207" w:type="dxa"/>
          </w:tcPr>
          <w:p w:rsidR="007C5447" w:rsidRDefault="00F6308C">
            <w:pPr>
              <w:pStyle w:val="TableParagraph"/>
              <w:spacing w:before="59"/>
              <w:ind w:right="130"/>
              <w:rPr>
                <w:sz w:val="18"/>
              </w:rPr>
            </w:pPr>
            <w:r>
              <w:rPr>
                <w:sz w:val="18"/>
              </w:rPr>
              <w:t>53.71</w:t>
            </w:r>
          </w:p>
        </w:tc>
        <w:tc>
          <w:tcPr>
            <w:tcW w:w="924" w:type="dxa"/>
          </w:tcPr>
          <w:p w:rsidR="007C5447" w:rsidRDefault="00F6308C">
            <w:pPr>
              <w:pStyle w:val="TableParagraph"/>
              <w:spacing w:before="59"/>
              <w:ind w:right="132"/>
              <w:rPr>
                <w:sz w:val="18"/>
              </w:rPr>
            </w:pPr>
            <w:r>
              <w:rPr>
                <w:sz w:val="18"/>
              </w:rPr>
              <w:t>119.30</w:t>
            </w:r>
          </w:p>
        </w:tc>
        <w:tc>
          <w:tcPr>
            <w:tcW w:w="767" w:type="dxa"/>
          </w:tcPr>
          <w:p w:rsidR="007C5447" w:rsidRDefault="00F6308C">
            <w:pPr>
              <w:pStyle w:val="TableParagraph"/>
              <w:spacing w:before="59"/>
              <w:ind w:right="130"/>
              <w:rPr>
                <w:sz w:val="18"/>
              </w:rPr>
            </w:pPr>
            <w:r>
              <w:rPr>
                <w:w w:val="99"/>
                <w:sz w:val="18"/>
              </w:rPr>
              <w:t>-</w:t>
            </w:r>
          </w:p>
        </w:tc>
        <w:tc>
          <w:tcPr>
            <w:tcW w:w="789" w:type="dxa"/>
          </w:tcPr>
          <w:p w:rsidR="007C5447" w:rsidRDefault="00F6308C">
            <w:pPr>
              <w:pStyle w:val="TableParagraph"/>
              <w:spacing w:before="59"/>
              <w:ind w:right="128"/>
              <w:rPr>
                <w:sz w:val="18"/>
              </w:rPr>
            </w:pPr>
            <w:r>
              <w:rPr>
                <w:sz w:val="18"/>
              </w:rPr>
              <w:t>15.89</w:t>
            </w:r>
          </w:p>
        </w:tc>
        <w:tc>
          <w:tcPr>
            <w:tcW w:w="926" w:type="dxa"/>
          </w:tcPr>
          <w:p w:rsidR="007C5447" w:rsidRDefault="00F6308C">
            <w:pPr>
              <w:pStyle w:val="TableParagraph"/>
              <w:spacing w:before="59"/>
              <w:ind w:right="125"/>
              <w:rPr>
                <w:sz w:val="18"/>
              </w:rPr>
            </w:pPr>
            <w:r>
              <w:rPr>
                <w:sz w:val="18"/>
              </w:rPr>
              <w:t>32.17</w:t>
            </w:r>
          </w:p>
        </w:tc>
        <w:tc>
          <w:tcPr>
            <w:tcW w:w="708" w:type="dxa"/>
          </w:tcPr>
          <w:p w:rsidR="007C5447" w:rsidRDefault="00F6308C">
            <w:pPr>
              <w:pStyle w:val="TableParagraph"/>
              <w:spacing w:before="59"/>
              <w:ind w:right="128"/>
              <w:rPr>
                <w:sz w:val="18"/>
              </w:rPr>
            </w:pPr>
            <w:r>
              <w:rPr>
                <w:w w:val="99"/>
                <w:sz w:val="18"/>
              </w:rPr>
              <w:t>-</w:t>
            </w:r>
          </w:p>
        </w:tc>
        <w:tc>
          <w:tcPr>
            <w:tcW w:w="1065" w:type="dxa"/>
          </w:tcPr>
          <w:p w:rsidR="007C5447" w:rsidRDefault="00F6308C">
            <w:pPr>
              <w:pStyle w:val="TableParagraph"/>
              <w:spacing w:before="59"/>
              <w:ind w:right="128"/>
              <w:rPr>
                <w:b/>
                <w:sz w:val="18"/>
              </w:rPr>
            </w:pPr>
            <w:r>
              <w:rPr>
                <w:b/>
                <w:w w:val="99"/>
                <w:sz w:val="18"/>
              </w:rPr>
              <w:t>-</w:t>
            </w:r>
          </w:p>
        </w:tc>
        <w:tc>
          <w:tcPr>
            <w:tcW w:w="1310" w:type="dxa"/>
          </w:tcPr>
          <w:p w:rsidR="007C5447" w:rsidRDefault="00F6308C">
            <w:pPr>
              <w:pStyle w:val="TableParagraph"/>
              <w:spacing w:before="59"/>
              <w:ind w:right="126"/>
              <w:rPr>
                <w:sz w:val="18"/>
              </w:rPr>
            </w:pPr>
            <w:r>
              <w:rPr>
                <w:sz w:val="18"/>
              </w:rPr>
              <w:t>3.41</w:t>
            </w:r>
          </w:p>
        </w:tc>
        <w:tc>
          <w:tcPr>
            <w:tcW w:w="830" w:type="dxa"/>
          </w:tcPr>
          <w:p w:rsidR="007C5447" w:rsidRDefault="00F6308C">
            <w:pPr>
              <w:pStyle w:val="TableParagraph"/>
              <w:spacing w:before="59"/>
              <w:ind w:right="124"/>
              <w:rPr>
                <w:sz w:val="18"/>
              </w:rPr>
            </w:pPr>
            <w:r>
              <w:rPr>
                <w:sz w:val="18"/>
              </w:rPr>
              <w:t>0.90</w:t>
            </w:r>
          </w:p>
        </w:tc>
        <w:tc>
          <w:tcPr>
            <w:tcW w:w="922" w:type="dxa"/>
          </w:tcPr>
          <w:p w:rsidR="007C5447" w:rsidRDefault="00F6308C">
            <w:pPr>
              <w:pStyle w:val="TableParagraph"/>
              <w:spacing w:before="59"/>
              <w:ind w:right="125"/>
              <w:rPr>
                <w:sz w:val="18"/>
              </w:rPr>
            </w:pPr>
            <w:r>
              <w:rPr>
                <w:sz w:val="18"/>
              </w:rPr>
              <w:t>(0.23)</w:t>
            </w:r>
          </w:p>
        </w:tc>
        <w:tc>
          <w:tcPr>
            <w:tcW w:w="1025" w:type="dxa"/>
          </w:tcPr>
          <w:p w:rsidR="007C5447" w:rsidRDefault="00F6308C">
            <w:pPr>
              <w:pStyle w:val="TableParagraph"/>
              <w:spacing w:before="59"/>
              <w:ind w:right="124"/>
              <w:rPr>
                <w:sz w:val="18"/>
              </w:rPr>
            </w:pPr>
            <w:r>
              <w:rPr>
                <w:sz w:val="18"/>
              </w:rPr>
              <w:t>223.34</w:t>
            </w:r>
          </w:p>
        </w:tc>
        <w:tc>
          <w:tcPr>
            <w:tcW w:w="1119" w:type="dxa"/>
          </w:tcPr>
          <w:p w:rsidR="007C5447" w:rsidRDefault="00F6308C">
            <w:pPr>
              <w:pStyle w:val="TableParagraph"/>
              <w:spacing w:before="59"/>
              <w:ind w:right="127"/>
              <w:rPr>
                <w:sz w:val="18"/>
              </w:rPr>
            </w:pPr>
            <w:r>
              <w:rPr>
                <w:sz w:val="18"/>
              </w:rPr>
              <w:t>223.34</w:t>
            </w:r>
          </w:p>
        </w:tc>
      </w:tr>
      <w:tr w:rsidR="007C5447">
        <w:trPr>
          <w:trHeight w:val="330"/>
        </w:trPr>
        <w:tc>
          <w:tcPr>
            <w:tcW w:w="485" w:type="dxa"/>
          </w:tcPr>
          <w:p w:rsidR="007C5447" w:rsidRDefault="00F6308C">
            <w:pPr>
              <w:pStyle w:val="TableParagraph"/>
              <w:spacing w:before="62"/>
              <w:ind w:right="139"/>
              <w:rPr>
                <w:sz w:val="18"/>
              </w:rPr>
            </w:pPr>
            <w:r>
              <w:rPr>
                <w:sz w:val="18"/>
              </w:rPr>
              <w:t>14</w:t>
            </w:r>
          </w:p>
        </w:tc>
        <w:tc>
          <w:tcPr>
            <w:tcW w:w="2095" w:type="dxa"/>
          </w:tcPr>
          <w:p w:rsidR="007C5447" w:rsidRDefault="00F6308C">
            <w:pPr>
              <w:pStyle w:val="TableParagraph"/>
              <w:spacing w:before="62"/>
              <w:ind w:left="108"/>
              <w:jc w:val="left"/>
              <w:rPr>
                <w:sz w:val="18"/>
              </w:rPr>
            </w:pPr>
            <w:r>
              <w:rPr>
                <w:sz w:val="18"/>
              </w:rPr>
              <w:t>Tirunelveli HEP</w:t>
            </w:r>
          </w:p>
        </w:tc>
        <w:tc>
          <w:tcPr>
            <w:tcW w:w="1207" w:type="dxa"/>
          </w:tcPr>
          <w:p w:rsidR="007C5447" w:rsidRDefault="00F6308C">
            <w:pPr>
              <w:pStyle w:val="TableParagraph"/>
              <w:spacing w:before="62"/>
              <w:ind w:right="130"/>
              <w:rPr>
                <w:sz w:val="18"/>
              </w:rPr>
            </w:pPr>
            <w:r>
              <w:rPr>
                <w:sz w:val="18"/>
              </w:rPr>
              <w:t>21.84</w:t>
            </w:r>
          </w:p>
        </w:tc>
        <w:tc>
          <w:tcPr>
            <w:tcW w:w="924" w:type="dxa"/>
          </w:tcPr>
          <w:p w:rsidR="007C5447" w:rsidRDefault="00F6308C">
            <w:pPr>
              <w:pStyle w:val="TableParagraph"/>
              <w:spacing w:before="62"/>
              <w:ind w:right="130"/>
              <w:rPr>
                <w:sz w:val="18"/>
              </w:rPr>
            </w:pPr>
            <w:r>
              <w:rPr>
                <w:sz w:val="18"/>
              </w:rPr>
              <w:t>69.04</w:t>
            </w:r>
          </w:p>
        </w:tc>
        <w:tc>
          <w:tcPr>
            <w:tcW w:w="767" w:type="dxa"/>
          </w:tcPr>
          <w:p w:rsidR="007C5447" w:rsidRDefault="00F6308C">
            <w:pPr>
              <w:pStyle w:val="TableParagraph"/>
              <w:spacing w:before="62"/>
              <w:ind w:right="130"/>
              <w:rPr>
                <w:sz w:val="18"/>
              </w:rPr>
            </w:pPr>
            <w:r>
              <w:rPr>
                <w:w w:val="99"/>
                <w:sz w:val="18"/>
              </w:rPr>
              <w:t>-</w:t>
            </w:r>
          </w:p>
        </w:tc>
        <w:tc>
          <w:tcPr>
            <w:tcW w:w="789" w:type="dxa"/>
          </w:tcPr>
          <w:p w:rsidR="007C5447" w:rsidRDefault="00F6308C">
            <w:pPr>
              <w:pStyle w:val="TableParagraph"/>
              <w:spacing w:before="62"/>
              <w:ind w:right="131"/>
              <w:rPr>
                <w:sz w:val="18"/>
              </w:rPr>
            </w:pPr>
            <w:r>
              <w:rPr>
                <w:sz w:val="18"/>
              </w:rPr>
              <w:t>7.55</w:t>
            </w:r>
          </w:p>
        </w:tc>
        <w:tc>
          <w:tcPr>
            <w:tcW w:w="926" w:type="dxa"/>
          </w:tcPr>
          <w:p w:rsidR="007C5447" w:rsidRDefault="00F6308C">
            <w:pPr>
              <w:pStyle w:val="TableParagraph"/>
              <w:spacing w:before="62"/>
              <w:ind w:right="125"/>
              <w:rPr>
                <w:sz w:val="18"/>
              </w:rPr>
            </w:pPr>
            <w:r>
              <w:rPr>
                <w:sz w:val="18"/>
              </w:rPr>
              <w:t>32.44</w:t>
            </w:r>
          </w:p>
        </w:tc>
        <w:tc>
          <w:tcPr>
            <w:tcW w:w="708" w:type="dxa"/>
          </w:tcPr>
          <w:p w:rsidR="007C5447" w:rsidRDefault="00F6308C">
            <w:pPr>
              <w:pStyle w:val="TableParagraph"/>
              <w:spacing w:before="62"/>
              <w:ind w:right="128"/>
              <w:rPr>
                <w:sz w:val="18"/>
              </w:rPr>
            </w:pPr>
            <w:r>
              <w:rPr>
                <w:w w:val="99"/>
                <w:sz w:val="18"/>
              </w:rPr>
              <w:t>-</w:t>
            </w:r>
          </w:p>
        </w:tc>
        <w:tc>
          <w:tcPr>
            <w:tcW w:w="1065" w:type="dxa"/>
          </w:tcPr>
          <w:p w:rsidR="007C5447" w:rsidRDefault="00F6308C">
            <w:pPr>
              <w:pStyle w:val="TableParagraph"/>
              <w:spacing w:before="62"/>
              <w:ind w:right="128"/>
              <w:rPr>
                <w:sz w:val="18"/>
              </w:rPr>
            </w:pPr>
            <w:r>
              <w:rPr>
                <w:w w:val="99"/>
                <w:sz w:val="18"/>
              </w:rPr>
              <w:t>-</w:t>
            </w:r>
          </w:p>
        </w:tc>
        <w:tc>
          <w:tcPr>
            <w:tcW w:w="1310" w:type="dxa"/>
          </w:tcPr>
          <w:p w:rsidR="007C5447" w:rsidRDefault="00F6308C">
            <w:pPr>
              <w:pStyle w:val="TableParagraph"/>
              <w:spacing w:before="62"/>
              <w:ind w:right="123"/>
              <w:rPr>
                <w:sz w:val="18"/>
              </w:rPr>
            </w:pPr>
            <w:r>
              <w:rPr>
                <w:sz w:val="18"/>
              </w:rPr>
              <w:t>(3.74)</w:t>
            </w:r>
          </w:p>
        </w:tc>
        <w:tc>
          <w:tcPr>
            <w:tcW w:w="830" w:type="dxa"/>
          </w:tcPr>
          <w:p w:rsidR="007C5447" w:rsidRDefault="00F6308C">
            <w:pPr>
              <w:pStyle w:val="TableParagraph"/>
              <w:spacing w:before="62"/>
              <w:ind w:right="124"/>
              <w:rPr>
                <w:sz w:val="18"/>
              </w:rPr>
            </w:pPr>
            <w:r>
              <w:rPr>
                <w:sz w:val="18"/>
              </w:rPr>
              <w:t>0.78</w:t>
            </w:r>
          </w:p>
        </w:tc>
        <w:tc>
          <w:tcPr>
            <w:tcW w:w="922" w:type="dxa"/>
          </w:tcPr>
          <w:p w:rsidR="007C5447" w:rsidRDefault="00F6308C">
            <w:pPr>
              <w:pStyle w:val="TableParagraph"/>
              <w:spacing w:before="62"/>
              <w:ind w:right="128"/>
              <w:rPr>
                <w:sz w:val="18"/>
              </w:rPr>
            </w:pPr>
            <w:r>
              <w:rPr>
                <w:sz w:val="18"/>
              </w:rPr>
              <w:t>1.09</w:t>
            </w:r>
          </w:p>
        </w:tc>
        <w:tc>
          <w:tcPr>
            <w:tcW w:w="1025" w:type="dxa"/>
          </w:tcPr>
          <w:p w:rsidR="007C5447" w:rsidRDefault="00F6308C">
            <w:pPr>
              <w:pStyle w:val="TableParagraph"/>
              <w:spacing w:before="62"/>
              <w:ind w:right="124"/>
              <w:rPr>
                <w:sz w:val="18"/>
              </w:rPr>
            </w:pPr>
            <w:r>
              <w:rPr>
                <w:sz w:val="18"/>
              </w:rPr>
              <w:t>127.44</w:t>
            </w:r>
          </w:p>
        </w:tc>
        <w:tc>
          <w:tcPr>
            <w:tcW w:w="1119" w:type="dxa"/>
          </w:tcPr>
          <w:p w:rsidR="007C5447" w:rsidRDefault="00F6308C">
            <w:pPr>
              <w:pStyle w:val="TableParagraph"/>
              <w:spacing w:before="62"/>
              <w:ind w:right="127"/>
              <w:rPr>
                <w:sz w:val="18"/>
              </w:rPr>
            </w:pPr>
            <w:r>
              <w:rPr>
                <w:sz w:val="18"/>
              </w:rPr>
              <w:t>127.44</w:t>
            </w:r>
          </w:p>
        </w:tc>
      </w:tr>
      <w:tr w:rsidR="007C5447">
        <w:trPr>
          <w:trHeight w:val="330"/>
        </w:trPr>
        <w:tc>
          <w:tcPr>
            <w:tcW w:w="485" w:type="dxa"/>
          </w:tcPr>
          <w:p w:rsidR="007C5447" w:rsidRDefault="00F6308C">
            <w:pPr>
              <w:pStyle w:val="TableParagraph"/>
              <w:spacing w:before="62"/>
              <w:ind w:right="139"/>
              <w:rPr>
                <w:sz w:val="18"/>
              </w:rPr>
            </w:pPr>
            <w:r>
              <w:rPr>
                <w:sz w:val="18"/>
              </w:rPr>
              <w:t>15</w:t>
            </w:r>
          </w:p>
        </w:tc>
        <w:tc>
          <w:tcPr>
            <w:tcW w:w="2095" w:type="dxa"/>
          </w:tcPr>
          <w:p w:rsidR="007C5447" w:rsidRDefault="00F6308C">
            <w:pPr>
              <w:pStyle w:val="TableParagraph"/>
              <w:spacing w:before="62"/>
              <w:ind w:left="108"/>
              <w:jc w:val="left"/>
              <w:rPr>
                <w:sz w:val="18"/>
              </w:rPr>
            </w:pPr>
            <w:r>
              <w:rPr>
                <w:sz w:val="18"/>
              </w:rPr>
              <w:t>Others</w:t>
            </w:r>
          </w:p>
        </w:tc>
        <w:tc>
          <w:tcPr>
            <w:tcW w:w="1207" w:type="dxa"/>
          </w:tcPr>
          <w:p w:rsidR="007C5447" w:rsidRDefault="00F6308C">
            <w:pPr>
              <w:pStyle w:val="TableParagraph"/>
              <w:spacing w:before="62"/>
              <w:ind w:right="131"/>
              <w:rPr>
                <w:sz w:val="18"/>
              </w:rPr>
            </w:pPr>
            <w:r>
              <w:rPr>
                <w:w w:val="99"/>
                <w:sz w:val="18"/>
              </w:rPr>
              <w:t>-</w:t>
            </w:r>
          </w:p>
        </w:tc>
        <w:tc>
          <w:tcPr>
            <w:tcW w:w="924" w:type="dxa"/>
          </w:tcPr>
          <w:p w:rsidR="007C5447" w:rsidRDefault="00F6308C">
            <w:pPr>
              <w:pStyle w:val="TableParagraph"/>
              <w:spacing w:before="62"/>
              <w:ind w:right="130"/>
              <w:rPr>
                <w:sz w:val="18"/>
              </w:rPr>
            </w:pPr>
            <w:r>
              <w:rPr>
                <w:sz w:val="18"/>
              </w:rPr>
              <w:t>108.52</w:t>
            </w:r>
          </w:p>
        </w:tc>
        <w:tc>
          <w:tcPr>
            <w:tcW w:w="767" w:type="dxa"/>
          </w:tcPr>
          <w:p w:rsidR="007C5447" w:rsidRDefault="00F6308C">
            <w:pPr>
              <w:pStyle w:val="TableParagraph"/>
              <w:spacing w:before="62"/>
              <w:ind w:right="130"/>
              <w:rPr>
                <w:sz w:val="18"/>
              </w:rPr>
            </w:pPr>
            <w:r>
              <w:rPr>
                <w:w w:val="99"/>
                <w:sz w:val="18"/>
              </w:rPr>
              <w:t>-</w:t>
            </w:r>
          </w:p>
        </w:tc>
        <w:tc>
          <w:tcPr>
            <w:tcW w:w="789" w:type="dxa"/>
          </w:tcPr>
          <w:p w:rsidR="007C5447" w:rsidRDefault="00F6308C">
            <w:pPr>
              <w:pStyle w:val="TableParagraph"/>
              <w:spacing w:before="62"/>
              <w:ind w:right="129"/>
              <w:rPr>
                <w:sz w:val="18"/>
              </w:rPr>
            </w:pPr>
            <w:r>
              <w:rPr>
                <w:w w:val="99"/>
                <w:sz w:val="18"/>
              </w:rPr>
              <w:t>-</w:t>
            </w:r>
          </w:p>
        </w:tc>
        <w:tc>
          <w:tcPr>
            <w:tcW w:w="926" w:type="dxa"/>
          </w:tcPr>
          <w:p w:rsidR="007C5447" w:rsidRDefault="00F6308C">
            <w:pPr>
              <w:pStyle w:val="TableParagraph"/>
              <w:spacing w:before="62"/>
              <w:ind w:right="126"/>
              <w:rPr>
                <w:sz w:val="18"/>
              </w:rPr>
            </w:pPr>
            <w:r>
              <w:rPr>
                <w:w w:val="99"/>
                <w:sz w:val="18"/>
              </w:rPr>
              <w:t>-</w:t>
            </w:r>
          </w:p>
        </w:tc>
        <w:tc>
          <w:tcPr>
            <w:tcW w:w="708" w:type="dxa"/>
          </w:tcPr>
          <w:p w:rsidR="007C5447" w:rsidRDefault="00F6308C">
            <w:pPr>
              <w:pStyle w:val="TableParagraph"/>
              <w:spacing w:before="62"/>
              <w:ind w:right="128"/>
              <w:rPr>
                <w:sz w:val="18"/>
              </w:rPr>
            </w:pPr>
            <w:r>
              <w:rPr>
                <w:w w:val="99"/>
                <w:sz w:val="18"/>
              </w:rPr>
              <w:t>-</w:t>
            </w:r>
          </w:p>
        </w:tc>
        <w:tc>
          <w:tcPr>
            <w:tcW w:w="1065" w:type="dxa"/>
          </w:tcPr>
          <w:p w:rsidR="007C5447" w:rsidRDefault="00F6308C">
            <w:pPr>
              <w:pStyle w:val="TableParagraph"/>
              <w:spacing w:before="62"/>
              <w:ind w:right="128"/>
              <w:rPr>
                <w:sz w:val="18"/>
              </w:rPr>
            </w:pPr>
            <w:r>
              <w:rPr>
                <w:w w:val="99"/>
                <w:sz w:val="18"/>
              </w:rPr>
              <w:t>-</w:t>
            </w:r>
          </w:p>
        </w:tc>
        <w:tc>
          <w:tcPr>
            <w:tcW w:w="1310" w:type="dxa"/>
          </w:tcPr>
          <w:p w:rsidR="007C5447" w:rsidRDefault="00F6308C">
            <w:pPr>
              <w:pStyle w:val="TableParagraph"/>
              <w:spacing w:before="62"/>
              <w:ind w:right="125"/>
              <w:rPr>
                <w:sz w:val="18"/>
              </w:rPr>
            </w:pPr>
            <w:r>
              <w:rPr>
                <w:w w:val="99"/>
                <w:sz w:val="18"/>
              </w:rPr>
              <w:t>-</w:t>
            </w:r>
          </w:p>
        </w:tc>
        <w:tc>
          <w:tcPr>
            <w:tcW w:w="830" w:type="dxa"/>
          </w:tcPr>
          <w:p w:rsidR="007C5447" w:rsidRDefault="00F6308C">
            <w:pPr>
              <w:pStyle w:val="TableParagraph"/>
              <w:spacing w:before="62"/>
              <w:ind w:right="124"/>
              <w:rPr>
                <w:sz w:val="18"/>
              </w:rPr>
            </w:pPr>
            <w:r>
              <w:rPr>
                <w:w w:val="99"/>
                <w:sz w:val="18"/>
              </w:rPr>
              <w:t>-</w:t>
            </w:r>
          </w:p>
        </w:tc>
        <w:tc>
          <w:tcPr>
            <w:tcW w:w="922" w:type="dxa"/>
          </w:tcPr>
          <w:p w:rsidR="007C5447" w:rsidRDefault="00F6308C">
            <w:pPr>
              <w:pStyle w:val="TableParagraph"/>
              <w:spacing w:before="62"/>
              <w:ind w:right="127"/>
              <w:rPr>
                <w:sz w:val="18"/>
              </w:rPr>
            </w:pPr>
            <w:r>
              <w:rPr>
                <w:w w:val="99"/>
                <w:sz w:val="18"/>
              </w:rPr>
              <w:t>-</w:t>
            </w:r>
          </w:p>
        </w:tc>
        <w:tc>
          <w:tcPr>
            <w:tcW w:w="1025" w:type="dxa"/>
          </w:tcPr>
          <w:p w:rsidR="007C5447" w:rsidRDefault="00F6308C">
            <w:pPr>
              <w:pStyle w:val="TableParagraph"/>
              <w:spacing w:before="62"/>
              <w:ind w:right="124"/>
              <w:rPr>
                <w:sz w:val="18"/>
              </w:rPr>
            </w:pPr>
            <w:r>
              <w:rPr>
                <w:sz w:val="18"/>
              </w:rPr>
              <w:t>108.52</w:t>
            </w:r>
          </w:p>
        </w:tc>
        <w:tc>
          <w:tcPr>
            <w:tcW w:w="1119" w:type="dxa"/>
          </w:tcPr>
          <w:p w:rsidR="007C5447" w:rsidRDefault="00F6308C">
            <w:pPr>
              <w:pStyle w:val="TableParagraph"/>
              <w:spacing w:before="62"/>
              <w:ind w:right="127"/>
              <w:rPr>
                <w:sz w:val="18"/>
              </w:rPr>
            </w:pPr>
            <w:r>
              <w:rPr>
                <w:sz w:val="18"/>
              </w:rPr>
              <w:t>108.52</w:t>
            </w:r>
          </w:p>
        </w:tc>
      </w:tr>
      <w:tr w:rsidR="007C5447">
        <w:trPr>
          <w:trHeight w:val="330"/>
        </w:trPr>
        <w:tc>
          <w:tcPr>
            <w:tcW w:w="485" w:type="dxa"/>
          </w:tcPr>
          <w:p w:rsidR="007C5447" w:rsidRDefault="007C5447">
            <w:pPr>
              <w:pStyle w:val="TableParagraph"/>
              <w:jc w:val="left"/>
              <w:rPr>
                <w:sz w:val="18"/>
              </w:rPr>
            </w:pPr>
          </w:p>
        </w:tc>
        <w:tc>
          <w:tcPr>
            <w:tcW w:w="2095" w:type="dxa"/>
          </w:tcPr>
          <w:p w:rsidR="007C5447" w:rsidRDefault="00F6308C">
            <w:pPr>
              <w:pStyle w:val="TableParagraph"/>
              <w:spacing w:before="59"/>
              <w:ind w:left="108"/>
              <w:jc w:val="left"/>
              <w:rPr>
                <w:b/>
                <w:sz w:val="18"/>
              </w:rPr>
            </w:pPr>
            <w:r>
              <w:rPr>
                <w:b/>
                <w:sz w:val="18"/>
              </w:rPr>
              <w:t>Grand Total Generation</w:t>
            </w:r>
          </w:p>
        </w:tc>
        <w:tc>
          <w:tcPr>
            <w:tcW w:w="1207" w:type="dxa"/>
          </w:tcPr>
          <w:p w:rsidR="007C5447" w:rsidRDefault="00F6308C">
            <w:pPr>
              <w:pStyle w:val="TableParagraph"/>
              <w:spacing w:before="59"/>
              <w:ind w:right="133"/>
              <w:rPr>
                <w:b/>
                <w:sz w:val="18"/>
              </w:rPr>
            </w:pPr>
            <w:r>
              <w:rPr>
                <w:b/>
                <w:sz w:val="18"/>
              </w:rPr>
              <w:t>698.82</w:t>
            </w:r>
          </w:p>
        </w:tc>
        <w:tc>
          <w:tcPr>
            <w:tcW w:w="924" w:type="dxa"/>
          </w:tcPr>
          <w:p w:rsidR="007C5447" w:rsidRDefault="00F6308C">
            <w:pPr>
              <w:pStyle w:val="TableParagraph"/>
              <w:spacing w:before="59"/>
              <w:ind w:right="131"/>
              <w:rPr>
                <w:b/>
                <w:sz w:val="18"/>
              </w:rPr>
            </w:pPr>
            <w:r>
              <w:rPr>
                <w:b/>
                <w:sz w:val="18"/>
              </w:rPr>
              <w:t>2,217.25</w:t>
            </w:r>
          </w:p>
        </w:tc>
        <w:tc>
          <w:tcPr>
            <w:tcW w:w="767" w:type="dxa"/>
          </w:tcPr>
          <w:p w:rsidR="007C5447" w:rsidRDefault="00F6308C">
            <w:pPr>
              <w:pStyle w:val="TableParagraph"/>
              <w:spacing w:before="59"/>
              <w:ind w:right="130"/>
              <w:rPr>
                <w:b/>
                <w:sz w:val="18"/>
              </w:rPr>
            </w:pPr>
            <w:r>
              <w:rPr>
                <w:b/>
                <w:w w:val="99"/>
                <w:sz w:val="18"/>
              </w:rPr>
              <w:t>-</w:t>
            </w:r>
          </w:p>
        </w:tc>
        <w:tc>
          <w:tcPr>
            <w:tcW w:w="789" w:type="dxa"/>
          </w:tcPr>
          <w:p w:rsidR="007C5447" w:rsidRDefault="00F6308C">
            <w:pPr>
              <w:pStyle w:val="TableParagraph"/>
              <w:spacing w:before="59"/>
              <w:ind w:right="128"/>
              <w:rPr>
                <w:b/>
                <w:sz w:val="18"/>
              </w:rPr>
            </w:pPr>
            <w:r>
              <w:rPr>
                <w:b/>
                <w:sz w:val="18"/>
              </w:rPr>
              <w:t>717.93</w:t>
            </w:r>
          </w:p>
        </w:tc>
        <w:tc>
          <w:tcPr>
            <w:tcW w:w="926" w:type="dxa"/>
          </w:tcPr>
          <w:p w:rsidR="007C5447" w:rsidRDefault="00F6308C">
            <w:pPr>
              <w:pStyle w:val="TableParagraph"/>
              <w:spacing w:before="59"/>
              <w:ind w:right="128"/>
              <w:rPr>
                <w:b/>
                <w:sz w:val="18"/>
              </w:rPr>
            </w:pPr>
            <w:r>
              <w:rPr>
                <w:b/>
                <w:sz w:val="18"/>
              </w:rPr>
              <w:t>1,045.33</w:t>
            </w:r>
          </w:p>
        </w:tc>
        <w:tc>
          <w:tcPr>
            <w:tcW w:w="708" w:type="dxa"/>
          </w:tcPr>
          <w:p w:rsidR="007C5447" w:rsidRDefault="00F6308C">
            <w:pPr>
              <w:pStyle w:val="TableParagraph"/>
              <w:spacing w:before="59"/>
              <w:ind w:right="128"/>
              <w:rPr>
                <w:b/>
                <w:sz w:val="18"/>
              </w:rPr>
            </w:pPr>
            <w:r>
              <w:rPr>
                <w:b/>
                <w:w w:val="99"/>
                <w:sz w:val="18"/>
              </w:rPr>
              <w:t>-</w:t>
            </w:r>
          </w:p>
        </w:tc>
        <w:tc>
          <w:tcPr>
            <w:tcW w:w="1065" w:type="dxa"/>
          </w:tcPr>
          <w:p w:rsidR="007C5447" w:rsidRDefault="00F6308C">
            <w:pPr>
              <w:pStyle w:val="TableParagraph"/>
              <w:spacing w:before="59"/>
              <w:ind w:right="128"/>
              <w:rPr>
                <w:sz w:val="18"/>
              </w:rPr>
            </w:pPr>
            <w:r>
              <w:rPr>
                <w:w w:val="99"/>
                <w:sz w:val="18"/>
              </w:rPr>
              <w:t>-</w:t>
            </w:r>
          </w:p>
        </w:tc>
        <w:tc>
          <w:tcPr>
            <w:tcW w:w="1310" w:type="dxa"/>
          </w:tcPr>
          <w:p w:rsidR="007C5447" w:rsidRDefault="00F6308C">
            <w:pPr>
              <w:pStyle w:val="TableParagraph"/>
              <w:spacing w:before="59"/>
              <w:ind w:right="123"/>
              <w:rPr>
                <w:b/>
                <w:sz w:val="18"/>
              </w:rPr>
            </w:pPr>
            <w:r>
              <w:rPr>
                <w:b/>
                <w:sz w:val="18"/>
              </w:rPr>
              <w:t>(648.19)</w:t>
            </w:r>
          </w:p>
        </w:tc>
        <w:tc>
          <w:tcPr>
            <w:tcW w:w="830" w:type="dxa"/>
          </w:tcPr>
          <w:p w:rsidR="007C5447" w:rsidRDefault="00F6308C">
            <w:pPr>
              <w:pStyle w:val="TableParagraph"/>
              <w:spacing w:before="59"/>
              <w:ind w:right="124"/>
              <w:rPr>
                <w:b/>
                <w:sz w:val="18"/>
              </w:rPr>
            </w:pPr>
            <w:r>
              <w:rPr>
                <w:b/>
                <w:sz w:val="18"/>
              </w:rPr>
              <w:t>245.60</w:t>
            </w:r>
          </w:p>
        </w:tc>
        <w:tc>
          <w:tcPr>
            <w:tcW w:w="922" w:type="dxa"/>
          </w:tcPr>
          <w:p w:rsidR="007C5447" w:rsidRDefault="00F6308C">
            <w:pPr>
              <w:pStyle w:val="TableParagraph"/>
              <w:spacing w:before="59"/>
              <w:ind w:right="126"/>
              <w:rPr>
                <w:b/>
                <w:sz w:val="18"/>
              </w:rPr>
            </w:pPr>
            <w:r>
              <w:rPr>
                <w:b/>
                <w:sz w:val="18"/>
              </w:rPr>
              <w:t>17.40</w:t>
            </w:r>
          </w:p>
        </w:tc>
        <w:tc>
          <w:tcPr>
            <w:tcW w:w="1025" w:type="dxa"/>
          </w:tcPr>
          <w:p w:rsidR="007C5447" w:rsidRDefault="00F6308C">
            <w:pPr>
              <w:pStyle w:val="TableParagraph"/>
              <w:spacing w:before="59"/>
              <w:ind w:right="124"/>
              <w:rPr>
                <w:b/>
                <w:sz w:val="18"/>
              </w:rPr>
            </w:pPr>
            <w:r>
              <w:rPr>
                <w:b/>
                <w:sz w:val="18"/>
              </w:rPr>
              <w:t>3,802.94</w:t>
            </w:r>
          </w:p>
        </w:tc>
        <w:tc>
          <w:tcPr>
            <w:tcW w:w="1119" w:type="dxa"/>
          </w:tcPr>
          <w:p w:rsidR="007C5447" w:rsidRDefault="00F6308C">
            <w:pPr>
              <w:pStyle w:val="TableParagraph"/>
              <w:spacing w:before="59"/>
              <w:ind w:right="127"/>
              <w:rPr>
                <w:b/>
                <w:sz w:val="18"/>
              </w:rPr>
            </w:pPr>
            <w:r>
              <w:rPr>
                <w:b/>
                <w:sz w:val="18"/>
              </w:rPr>
              <w:t>3,738.91</w:t>
            </w:r>
          </w:p>
        </w:tc>
      </w:tr>
    </w:tbl>
    <w:p w:rsidR="007C5447" w:rsidRDefault="007C5447">
      <w:pPr>
        <w:rPr>
          <w:sz w:val="18"/>
        </w:rPr>
        <w:sectPr w:rsidR="007C5447">
          <w:pgSz w:w="16840" w:h="11910" w:orient="landscape"/>
          <w:pgMar w:top="1100" w:right="140" w:bottom="1240" w:left="200" w:header="0" w:footer="1057" w:gutter="0"/>
          <w:cols w:space="720"/>
        </w:sectPr>
      </w:pPr>
    </w:p>
    <w:p w:rsidR="007C5447" w:rsidRDefault="007C5447">
      <w:pPr>
        <w:pStyle w:val="BodyText"/>
        <w:rPr>
          <w:b/>
          <w:sz w:val="20"/>
        </w:rPr>
      </w:pPr>
    </w:p>
    <w:p w:rsidR="007C5447" w:rsidRDefault="007C5447">
      <w:pPr>
        <w:pStyle w:val="BodyText"/>
        <w:spacing w:before="6"/>
        <w:rPr>
          <w:b/>
          <w:sz w:val="19"/>
        </w:rPr>
      </w:pPr>
    </w:p>
    <w:p w:rsidR="007C5447" w:rsidRDefault="00F6308C">
      <w:pPr>
        <w:ind w:left="2483" w:right="2537"/>
        <w:jc w:val="center"/>
        <w:rPr>
          <w:b/>
        </w:rPr>
      </w:pPr>
      <w:r>
        <w:rPr>
          <w:b/>
        </w:rPr>
        <w:t>Table 3-50: Fixed Charges approved by the Commission for Generation function after true-up for FY 2015-16 (Rs. Crore)</w:t>
      </w:r>
    </w:p>
    <w:p w:rsidR="007C5447" w:rsidRDefault="007C5447">
      <w:pPr>
        <w:pStyle w:val="BodyText"/>
        <w:spacing w:before="11"/>
        <w:rPr>
          <w:b/>
          <w:sz w:val="16"/>
        </w:rPr>
      </w:pPr>
    </w:p>
    <w:tbl>
      <w:tblPr>
        <w:tblW w:w="0" w:type="auto"/>
        <w:tblInd w:w="1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4"/>
        <w:gridCol w:w="2095"/>
        <w:gridCol w:w="1207"/>
        <w:gridCol w:w="927"/>
        <w:gridCol w:w="766"/>
        <w:gridCol w:w="790"/>
        <w:gridCol w:w="929"/>
        <w:gridCol w:w="781"/>
        <w:gridCol w:w="946"/>
        <w:gridCol w:w="1313"/>
        <w:gridCol w:w="852"/>
        <w:gridCol w:w="941"/>
        <w:gridCol w:w="1087"/>
        <w:gridCol w:w="1039"/>
      </w:tblGrid>
      <w:tr w:rsidR="007C5447">
        <w:trPr>
          <w:trHeight w:val="1065"/>
        </w:trPr>
        <w:tc>
          <w:tcPr>
            <w:tcW w:w="504" w:type="dxa"/>
            <w:shd w:val="clear" w:color="auto" w:fill="FBD4B4"/>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85" w:right="77"/>
              <w:jc w:val="center"/>
              <w:rPr>
                <w:b/>
                <w:sz w:val="18"/>
              </w:rPr>
            </w:pPr>
            <w:r>
              <w:rPr>
                <w:b/>
                <w:sz w:val="18"/>
              </w:rPr>
              <w:t>Sl.</w:t>
            </w:r>
          </w:p>
        </w:tc>
        <w:tc>
          <w:tcPr>
            <w:tcW w:w="2095" w:type="dxa"/>
            <w:shd w:val="clear" w:color="auto" w:fill="FBD4B4"/>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left="504"/>
              <w:jc w:val="left"/>
              <w:rPr>
                <w:b/>
                <w:sz w:val="18"/>
              </w:rPr>
            </w:pPr>
            <w:r>
              <w:rPr>
                <w:b/>
                <w:sz w:val="18"/>
              </w:rPr>
              <w:t>Power Station</w:t>
            </w:r>
          </w:p>
        </w:tc>
        <w:tc>
          <w:tcPr>
            <w:tcW w:w="1207" w:type="dxa"/>
            <w:shd w:val="clear" w:color="auto" w:fill="FBD4B4"/>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right="99"/>
              <w:rPr>
                <w:b/>
                <w:sz w:val="18"/>
              </w:rPr>
            </w:pPr>
            <w:r>
              <w:rPr>
                <w:b/>
                <w:sz w:val="18"/>
              </w:rPr>
              <w:t>Depreciation</w:t>
            </w:r>
          </w:p>
        </w:tc>
        <w:tc>
          <w:tcPr>
            <w:tcW w:w="927" w:type="dxa"/>
            <w:shd w:val="clear" w:color="auto" w:fill="FBD4B4"/>
          </w:tcPr>
          <w:p w:rsidR="007C5447" w:rsidRDefault="007C5447">
            <w:pPr>
              <w:pStyle w:val="TableParagraph"/>
              <w:spacing w:before="4"/>
              <w:jc w:val="left"/>
              <w:rPr>
                <w:b/>
                <w:sz w:val="28"/>
              </w:rPr>
            </w:pPr>
          </w:p>
          <w:p w:rsidR="007C5447" w:rsidRDefault="00F6308C">
            <w:pPr>
              <w:pStyle w:val="TableParagraph"/>
              <w:ind w:left="168" w:right="134" w:hanging="5"/>
              <w:jc w:val="left"/>
              <w:rPr>
                <w:b/>
                <w:sz w:val="18"/>
              </w:rPr>
            </w:pPr>
            <w:r>
              <w:rPr>
                <w:b/>
                <w:sz w:val="18"/>
              </w:rPr>
              <w:t>Interest charges</w:t>
            </w:r>
          </w:p>
        </w:tc>
        <w:tc>
          <w:tcPr>
            <w:tcW w:w="766" w:type="dxa"/>
            <w:shd w:val="clear" w:color="auto" w:fill="FBD4B4"/>
          </w:tcPr>
          <w:p w:rsidR="007C5447" w:rsidRDefault="007C5447">
            <w:pPr>
              <w:pStyle w:val="TableParagraph"/>
              <w:spacing w:before="4"/>
              <w:jc w:val="left"/>
              <w:rPr>
                <w:b/>
                <w:sz w:val="19"/>
              </w:rPr>
            </w:pPr>
          </w:p>
          <w:p w:rsidR="007C5447" w:rsidRDefault="00F6308C">
            <w:pPr>
              <w:pStyle w:val="TableParagraph"/>
              <w:ind w:left="108" w:right="96"/>
              <w:jc w:val="center"/>
              <w:rPr>
                <w:b/>
                <w:sz w:val="18"/>
              </w:rPr>
            </w:pPr>
            <w:r>
              <w:rPr>
                <w:b/>
                <w:sz w:val="18"/>
              </w:rPr>
              <w:t>Return on Equity</w:t>
            </w:r>
          </w:p>
        </w:tc>
        <w:tc>
          <w:tcPr>
            <w:tcW w:w="790" w:type="dxa"/>
            <w:shd w:val="clear" w:color="auto" w:fill="FBD4B4"/>
          </w:tcPr>
          <w:p w:rsidR="007C5447" w:rsidRDefault="007C5447">
            <w:pPr>
              <w:pStyle w:val="TableParagraph"/>
              <w:jc w:val="left"/>
              <w:rPr>
                <w:b/>
                <w:sz w:val="20"/>
              </w:rPr>
            </w:pPr>
          </w:p>
          <w:p w:rsidR="007C5447" w:rsidRDefault="007C5447">
            <w:pPr>
              <w:pStyle w:val="TableParagraph"/>
              <w:spacing w:before="3"/>
              <w:jc w:val="left"/>
              <w:rPr>
                <w:b/>
                <w:sz w:val="17"/>
              </w:rPr>
            </w:pPr>
          </w:p>
          <w:p w:rsidR="007C5447" w:rsidRDefault="00F6308C">
            <w:pPr>
              <w:pStyle w:val="TableParagraph"/>
              <w:spacing w:before="1"/>
              <w:ind w:right="148"/>
              <w:rPr>
                <w:b/>
                <w:sz w:val="18"/>
              </w:rPr>
            </w:pPr>
            <w:r>
              <w:rPr>
                <w:b/>
                <w:sz w:val="18"/>
              </w:rPr>
              <w:t>IoWC</w:t>
            </w:r>
          </w:p>
        </w:tc>
        <w:tc>
          <w:tcPr>
            <w:tcW w:w="929" w:type="dxa"/>
            <w:shd w:val="clear" w:color="auto" w:fill="FBD4B4"/>
          </w:tcPr>
          <w:p w:rsidR="007C5447" w:rsidRDefault="007C5447">
            <w:pPr>
              <w:pStyle w:val="TableParagraph"/>
              <w:spacing w:before="4"/>
              <w:jc w:val="left"/>
              <w:rPr>
                <w:b/>
                <w:sz w:val="28"/>
              </w:rPr>
            </w:pPr>
          </w:p>
          <w:p w:rsidR="007C5447" w:rsidRDefault="00F6308C">
            <w:pPr>
              <w:pStyle w:val="TableParagraph"/>
              <w:ind w:left="107" w:right="81" w:firstLine="124"/>
              <w:jc w:val="left"/>
              <w:rPr>
                <w:b/>
                <w:sz w:val="18"/>
              </w:rPr>
            </w:pPr>
            <w:r>
              <w:rPr>
                <w:b/>
                <w:sz w:val="18"/>
              </w:rPr>
              <w:t>O&amp;M Expenses</w:t>
            </w:r>
          </w:p>
        </w:tc>
        <w:tc>
          <w:tcPr>
            <w:tcW w:w="781" w:type="dxa"/>
            <w:shd w:val="clear" w:color="auto" w:fill="FBD4B4"/>
          </w:tcPr>
          <w:p w:rsidR="007C5447" w:rsidRDefault="007C5447">
            <w:pPr>
              <w:pStyle w:val="TableParagraph"/>
              <w:spacing w:before="4"/>
              <w:jc w:val="left"/>
              <w:rPr>
                <w:b/>
                <w:sz w:val="28"/>
              </w:rPr>
            </w:pPr>
          </w:p>
          <w:p w:rsidR="007C5447" w:rsidRDefault="00F6308C">
            <w:pPr>
              <w:pStyle w:val="TableParagraph"/>
              <w:ind w:left="143" w:right="118" w:firstLine="16"/>
              <w:jc w:val="left"/>
              <w:rPr>
                <w:b/>
                <w:sz w:val="18"/>
              </w:rPr>
            </w:pPr>
            <w:r>
              <w:rPr>
                <w:b/>
                <w:sz w:val="18"/>
              </w:rPr>
              <w:t>Other Debits</w:t>
            </w:r>
          </w:p>
        </w:tc>
        <w:tc>
          <w:tcPr>
            <w:tcW w:w="946" w:type="dxa"/>
            <w:shd w:val="clear" w:color="auto" w:fill="FBD4B4"/>
          </w:tcPr>
          <w:p w:rsidR="007C5447" w:rsidRDefault="00F6308C">
            <w:pPr>
              <w:pStyle w:val="TableParagraph"/>
              <w:spacing w:before="14"/>
              <w:ind w:left="152" w:right="142" w:hanging="1"/>
              <w:jc w:val="center"/>
              <w:rPr>
                <w:b/>
                <w:sz w:val="18"/>
              </w:rPr>
            </w:pPr>
            <w:r>
              <w:rPr>
                <w:b/>
                <w:sz w:val="18"/>
              </w:rPr>
              <w:t>Op. Charges and</w:t>
            </w:r>
          </w:p>
          <w:p w:rsidR="007C5447" w:rsidRDefault="00F6308C">
            <w:pPr>
              <w:pStyle w:val="TableParagraph"/>
              <w:spacing w:before="4" w:line="206" w:lineRule="exact"/>
              <w:ind w:left="107" w:right="98" w:firstLine="2"/>
              <w:jc w:val="center"/>
              <w:rPr>
                <w:b/>
                <w:sz w:val="18"/>
              </w:rPr>
            </w:pPr>
            <w:r>
              <w:rPr>
                <w:b/>
                <w:sz w:val="18"/>
              </w:rPr>
              <w:t>Extra Ordinary</w:t>
            </w:r>
          </w:p>
        </w:tc>
        <w:tc>
          <w:tcPr>
            <w:tcW w:w="1313" w:type="dxa"/>
            <w:shd w:val="clear" w:color="auto" w:fill="FBD4B4"/>
          </w:tcPr>
          <w:p w:rsidR="007C5447" w:rsidRDefault="007C5447">
            <w:pPr>
              <w:pStyle w:val="TableParagraph"/>
              <w:spacing w:before="4"/>
              <w:jc w:val="left"/>
              <w:rPr>
                <w:b/>
                <w:sz w:val="28"/>
              </w:rPr>
            </w:pPr>
          </w:p>
          <w:p w:rsidR="007C5447" w:rsidRDefault="00F6308C">
            <w:pPr>
              <w:pStyle w:val="TableParagraph"/>
              <w:ind w:left="106" w:right="82" w:firstLine="64"/>
              <w:jc w:val="left"/>
              <w:rPr>
                <w:b/>
                <w:sz w:val="18"/>
              </w:rPr>
            </w:pPr>
            <w:r>
              <w:rPr>
                <w:b/>
                <w:sz w:val="18"/>
              </w:rPr>
              <w:t>Prior Period Exp./(Income)</w:t>
            </w:r>
          </w:p>
        </w:tc>
        <w:tc>
          <w:tcPr>
            <w:tcW w:w="852" w:type="dxa"/>
            <w:shd w:val="clear" w:color="auto" w:fill="FBD4B4"/>
          </w:tcPr>
          <w:p w:rsidR="007C5447" w:rsidRDefault="007C5447">
            <w:pPr>
              <w:pStyle w:val="TableParagraph"/>
              <w:spacing w:before="4"/>
              <w:jc w:val="left"/>
              <w:rPr>
                <w:b/>
                <w:sz w:val="28"/>
              </w:rPr>
            </w:pPr>
          </w:p>
          <w:p w:rsidR="007C5447" w:rsidRDefault="00F6308C">
            <w:pPr>
              <w:pStyle w:val="TableParagraph"/>
              <w:ind w:left="137" w:right="115" w:firstLine="55"/>
              <w:jc w:val="left"/>
              <w:rPr>
                <w:b/>
                <w:sz w:val="18"/>
              </w:rPr>
            </w:pPr>
            <w:r>
              <w:rPr>
                <w:b/>
                <w:sz w:val="18"/>
              </w:rPr>
              <w:t>Other Income</w:t>
            </w:r>
          </w:p>
        </w:tc>
        <w:tc>
          <w:tcPr>
            <w:tcW w:w="941" w:type="dxa"/>
            <w:shd w:val="clear" w:color="auto" w:fill="FBD4B4"/>
          </w:tcPr>
          <w:p w:rsidR="007C5447" w:rsidRDefault="00F6308C">
            <w:pPr>
              <w:pStyle w:val="TableParagraph"/>
              <w:spacing w:before="119"/>
              <w:ind w:left="147" w:right="142" w:firstLine="2"/>
              <w:jc w:val="center"/>
              <w:rPr>
                <w:b/>
                <w:sz w:val="18"/>
              </w:rPr>
            </w:pPr>
            <w:r>
              <w:rPr>
                <w:b/>
                <w:sz w:val="18"/>
              </w:rPr>
              <w:t>Other Int. &amp; Fin. Charges</w:t>
            </w:r>
          </w:p>
        </w:tc>
        <w:tc>
          <w:tcPr>
            <w:tcW w:w="1087" w:type="dxa"/>
            <w:shd w:val="clear" w:color="auto" w:fill="FBD4B4"/>
          </w:tcPr>
          <w:p w:rsidR="007C5447" w:rsidRDefault="007C5447">
            <w:pPr>
              <w:pStyle w:val="TableParagraph"/>
              <w:spacing w:before="4"/>
              <w:jc w:val="left"/>
              <w:rPr>
                <w:b/>
                <w:sz w:val="28"/>
              </w:rPr>
            </w:pPr>
          </w:p>
          <w:p w:rsidR="007C5447" w:rsidRDefault="00F6308C">
            <w:pPr>
              <w:pStyle w:val="TableParagraph"/>
              <w:ind w:left="128" w:right="104" w:firstLine="208"/>
              <w:jc w:val="left"/>
              <w:rPr>
                <w:b/>
                <w:sz w:val="18"/>
              </w:rPr>
            </w:pPr>
            <w:r>
              <w:rPr>
                <w:b/>
                <w:sz w:val="18"/>
              </w:rPr>
              <w:t>Total Fixed Cost</w:t>
            </w:r>
          </w:p>
        </w:tc>
        <w:tc>
          <w:tcPr>
            <w:tcW w:w="1039" w:type="dxa"/>
            <w:shd w:val="clear" w:color="auto" w:fill="FBD4B4"/>
          </w:tcPr>
          <w:p w:rsidR="007C5447" w:rsidRDefault="00F6308C">
            <w:pPr>
              <w:pStyle w:val="TableParagraph"/>
              <w:spacing w:before="119"/>
              <w:ind w:left="123" w:right="117" w:hanging="4"/>
              <w:jc w:val="center"/>
              <w:rPr>
                <w:b/>
                <w:sz w:val="18"/>
              </w:rPr>
            </w:pPr>
            <w:r>
              <w:rPr>
                <w:b/>
                <w:sz w:val="18"/>
              </w:rPr>
              <w:t>Fixed cost allowed to be   recovered</w:t>
            </w:r>
          </w:p>
        </w:tc>
      </w:tr>
      <w:tr w:rsidR="007C5447">
        <w:trPr>
          <w:trHeight w:val="299"/>
        </w:trPr>
        <w:tc>
          <w:tcPr>
            <w:tcW w:w="504" w:type="dxa"/>
          </w:tcPr>
          <w:p w:rsidR="007C5447" w:rsidRDefault="00F6308C">
            <w:pPr>
              <w:pStyle w:val="TableParagraph"/>
              <w:spacing w:before="45"/>
              <w:ind w:left="8"/>
              <w:jc w:val="center"/>
              <w:rPr>
                <w:sz w:val="18"/>
              </w:rPr>
            </w:pPr>
            <w:r>
              <w:rPr>
                <w:sz w:val="18"/>
              </w:rPr>
              <w:t>1</w:t>
            </w:r>
          </w:p>
        </w:tc>
        <w:tc>
          <w:tcPr>
            <w:tcW w:w="2095" w:type="dxa"/>
          </w:tcPr>
          <w:p w:rsidR="007C5447" w:rsidRDefault="00F6308C">
            <w:pPr>
              <w:pStyle w:val="TableParagraph"/>
              <w:spacing w:before="45"/>
              <w:ind w:left="108"/>
              <w:jc w:val="left"/>
              <w:rPr>
                <w:sz w:val="18"/>
              </w:rPr>
            </w:pPr>
            <w:r>
              <w:rPr>
                <w:sz w:val="18"/>
              </w:rPr>
              <w:t>Ennore TPS</w:t>
            </w:r>
          </w:p>
        </w:tc>
        <w:tc>
          <w:tcPr>
            <w:tcW w:w="1207" w:type="dxa"/>
          </w:tcPr>
          <w:p w:rsidR="007C5447" w:rsidRDefault="00F6308C">
            <w:pPr>
              <w:pStyle w:val="TableParagraph"/>
              <w:spacing w:before="45"/>
              <w:ind w:right="130"/>
              <w:rPr>
                <w:sz w:val="18"/>
              </w:rPr>
            </w:pPr>
            <w:r>
              <w:rPr>
                <w:sz w:val="18"/>
              </w:rPr>
              <w:t>63.31</w:t>
            </w:r>
          </w:p>
        </w:tc>
        <w:tc>
          <w:tcPr>
            <w:tcW w:w="927" w:type="dxa"/>
          </w:tcPr>
          <w:p w:rsidR="007C5447" w:rsidRDefault="00F6308C">
            <w:pPr>
              <w:pStyle w:val="TableParagraph"/>
              <w:spacing w:before="45"/>
              <w:ind w:right="130"/>
              <w:rPr>
                <w:sz w:val="18"/>
              </w:rPr>
            </w:pPr>
            <w:r>
              <w:rPr>
                <w:sz w:val="18"/>
              </w:rPr>
              <w:t>96.37</w:t>
            </w:r>
          </w:p>
        </w:tc>
        <w:tc>
          <w:tcPr>
            <w:tcW w:w="766" w:type="dxa"/>
          </w:tcPr>
          <w:p w:rsidR="007C5447" w:rsidRDefault="00F6308C">
            <w:pPr>
              <w:pStyle w:val="TableParagraph"/>
              <w:spacing w:before="45"/>
              <w:ind w:right="129"/>
              <w:rPr>
                <w:sz w:val="18"/>
              </w:rPr>
            </w:pPr>
            <w:r>
              <w:rPr>
                <w:w w:val="99"/>
                <w:sz w:val="18"/>
              </w:rPr>
              <w:t>-</w:t>
            </w:r>
          </w:p>
        </w:tc>
        <w:tc>
          <w:tcPr>
            <w:tcW w:w="790" w:type="dxa"/>
          </w:tcPr>
          <w:p w:rsidR="007C5447" w:rsidRDefault="00F6308C">
            <w:pPr>
              <w:pStyle w:val="TableParagraph"/>
              <w:spacing w:before="45"/>
              <w:ind w:right="128"/>
              <w:rPr>
                <w:sz w:val="18"/>
              </w:rPr>
            </w:pPr>
            <w:r>
              <w:rPr>
                <w:sz w:val="18"/>
              </w:rPr>
              <w:t>39.42</w:t>
            </w:r>
          </w:p>
        </w:tc>
        <w:tc>
          <w:tcPr>
            <w:tcW w:w="929" w:type="dxa"/>
          </w:tcPr>
          <w:p w:rsidR="007C5447" w:rsidRDefault="00F6308C">
            <w:pPr>
              <w:pStyle w:val="TableParagraph"/>
              <w:spacing w:before="45"/>
              <w:ind w:right="134"/>
              <w:rPr>
                <w:sz w:val="18"/>
              </w:rPr>
            </w:pPr>
            <w:r>
              <w:rPr>
                <w:sz w:val="18"/>
              </w:rPr>
              <w:t>125.22</w:t>
            </w:r>
          </w:p>
        </w:tc>
        <w:tc>
          <w:tcPr>
            <w:tcW w:w="781" w:type="dxa"/>
          </w:tcPr>
          <w:p w:rsidR="007C5447" w:rsidRDefault="00F6308C">
            <w:pPr>
              <w:pStyle w:val="TableParagraph"/>
              <w:spacing w:before="45"/>
              <w:ind w:right="133"/>
              <w:rPr>
                <w:sz w:val="18"/>
              </w:rPr>
            </w:pPr>
            <w:r>
              <w:rPr>
                <w:w w:val="99"/>
                <w:sz w:val="18"/>
              </w:rPr>
              <w:t>-</w:t>
            </w:r>
          </w:p>
        </w:tc>
        <w:tc>
          <w:tcPr>
            <w:tcW w:w="946" w:type="dxa"/>
          </w:tcPr>
          <w:p w:rsidR="007C5447" w:rsidRDefault="00F6308C">
            <w:pPr>
              <w:pStyle w:val="TableParagraph"/>
              <w:spacing w:before="45"/>
              <w:ind w:right="131"/>
              <w:rPr>
                <w:sz w:val="18"/>
              </w:rPr>
            </w:pPr>
            <w:r>
              <w:rPr>
                <w:w w:val="99"/>
                <w:sz w:val="18"/>
              </w:rPr>
              <w:t>-</w:t>
            </w:r>
          </w:p>
        </w:tc>
        <w:tc>
          <w:tcPr>
            <w:tcW w:w="1313" w:type="dxa"/>
          </w:tcPr>
          <w:p w:rsidR="007C5447" w:rsidRDefault="00F6308C">
            <w:pPr>
              <w:pStyle w:val="TableParagraph"/>
              <w:spacing w:before="45"/>
              <w:ind w:right="131"/>
              <w:rPr>
                <w:sz w:val="18"/>
              </w:rPr>
            </w:pPr>
            <w:r>
              <w:rPr>
                <w:sz w:val="18"/>
              </w:rPr>
              <w:t>(12.08)</w:t>
            </w:r>
          </w:p>
        </w:tc>
        <w:tc>
          <w:tcPr>
            <w:tcW w:w="852" w:type="dxa"/>
          </w:tcPr>
          <w:p w:rsidR="007C5447" w:rsidRDefault="00F6308C">
            <w:pPr>
              <w:pStyle w:val="TableParagraph"/>
              <w:spacing w:before="45"/>
              <w:ind w:right="132"/>
              <w:rPr>
                <w:sz w:val="18"/>
              </w:rPr>
            </w:pPr>
            <w:r>
              <w:rPr>
                <w:sz w:val="18"/>
              </w:rPr>
              <w:t>12.12</w:t>
            </w:r>
          </w:p>
        </w:tc>
        <w:tc>
          <w:tcPr>
            <w:tcW w:w="941" w:type="dxa"/>
          </w:tcPr>
          <w:p w:rsidR="007C5447" w:rsidRDefault="00F6308C">
            <w:pPr>
              <w:pStyle w:val="TableParagraph"/>
              <w:spacing w:before="45"/>
              <w:ind w:right="132"/>
              <w:rPr>
                <w:sz w:val="18"/>
              </w:rPr>
            </w:pPr>
            <w:r>
              <w:rPr>
                <w:sz w:val="18"/>
              </w:rPr>
              <w:t>2.93</w:t>
            </w:r>
          </w:p>
        </w:tc>
        <w:tc>
          <w:tcPr>
            <w:tcW w:w="1087" w:type="dxa"/>
          </w:tcPr>
          <w:p w:rsidR="007C5447" w:rsidRDefault="00F6308C">
            <w:pPr>
              <w:pStyle w:val="TableParagraph"/>
              <w:spacing w:before="45"/>
              <w:ind w:right="132"/>
              <w:rPr>
                <w:sz w:val="18"/>
              </w:rPr>
            </w:pPr>
            <w:r>
              <w:rPr>
                <w:sz w:val="18"/>
              </w:rPr>
              <w:t>303.05</w:t>
            </w:r>
          </w:p>
        </w:tc>
        <w:tc>
          <w:tcPr>
            <w:tcW w:w="1039" w:type="dxa"/>
          </w:tcPr>
          <w:p w:rsidR="007C5447" w:rsidRDefault="00F6308C">
            <w:pPr>
              <w:pStyle w:val="TableParagraph"/>
              <w:spacing w:before="45"/>
              <w:ind w:right="98"/>
              <w:rPr>
                <w:sz w:val="18"/>
              </w:rPr>
            </w:pPr>
            <w:r>
              <w:rPr>
                <w:sz w:val="18"/>
              </w:rPr>
              <w:t>216.98</w:t>
            </w:r>
          </w:p>
        </w:tc>
      </w:tr>
      <w:tr w:rsidR="007C5447">
        <w:trPr>
          <w:trHeight w:val="299"/>
        </w:trPr>
        <w:tc>
          <w:tcPr>
            <w:tcW w:w="504" w:type="dxa"/>
          </w:tcPr>
          <w:p w:rsidR="007C5447" w:rsidRDefault="00F6308C">
            <w:pPr>
              <w:pStyle w:val="TableParagraph"/>
              <w:spacing w:before="47"/>
              <w:ind w:left="8"/>
              <w:jc w:val="center"/>
              <w:rPr>
                <w:sz w:val="18"/>
              </w:rPr>
            </w:pPr>
            <w:r>
              <w:rPr>
                <w:sz w:val="18"/>
              </w:rPr>
              <w:t>2</w:t>
            </w:r>
          </w:p>
        </w:tc>
        <w:tc>
          <w:tcPr>
            <w:tcW w:w="2095" w:type="dxa"/>
          </w:tcPr>
          <w:p w:rsidR="007C5447" w:rsidRDefault="00F6308C">
            <w:pPr>
              <w:pStyle w:val="TableParagraph"/>
              <w:spacing w:before="47"/>
              <w:ind w:left="108"/>
              <w:jc w:val="left"/>
              <w:rPr>
                <w:sz w:val="18"/>
              </w:rPr>
            </w:pPr>
            <w:r>
              <w:rPr>
                <w:sz w:val="18"/>
              </w:rPr>
              <w:t>Tuticorin TPS</w:t>
            </w:r>
          </w:p>
        </w:tc>
        <w:tc>
          <w:tcPr>
            <w:tcW w:w="1207" w:type="dxa"/>
          </w:tcPr>
          <w:p w:rsidR="007C5447" w:rsidRDefault="00F6308C">
            <w:pPr>
              <w:pStyle w:val="TableParagraph"/>
              <w:spacing w:before="47"/>
              <w:ind w:right="130"/>
              <w:rPr>
                <w:sz w:val="18"/>
              </w:rPr>
            </w:pPr>
            <w:r>
              <w:rPr>
                <w:sz w:val="18"/>
              </w:rPr>
              <w:t>78.65</w:t>
            </w:r>
          </w:p>
        </w:tc>
        <w:tc>
          <w:tcPr>
            <w:tcW w:w="927" w:type="dxa"/>
          </w:tcPr>
          <w:p w:rsidR="007C5447" w:rsidRDefault="00F6308C">
            <w:pPr>
              <w:pStyle w:val="TableParagraph"/>
              <w:spacing w:before="47"/>
              <w:ind w:right="133"/>
              <w:rPr>
                <w:sz w:val="18"/>
              </w:rPr>
            </w:pPr>
            <w:r>
              <w:rPr>
                <w:sz w:val="18"/>
              </w:rPr>
              <w:t>147.34</w:t>
            </w:r>
          </w:p>
        </w:tc>
        <w:tc>
          <w:tcPr>
            <w:tcW w:w="766" w:type="dxa"/>
          </w:tcPr>
          <w:p w:rsidR="007C5447" w:rsidRDefault="00F6308C">
            <w:pPr>
              <w:pStyle w:val="TableParagraph"/>
              <w:spacing w:before="47"/>
              <w:ind w:right="129"/>
              <w:rPr>
                <w:sz w:val="18"/>
              </w:rPr>
            </w:pPr>
            <w:r>
              <w:rPr>
                <w:w w:val="99"/>
                <w:sz w:val="18"/>
              </w:rPr>
              <w:t>-</w:t>
            </w:r>
          </w:p>
        </w:tc>
        <w:tc>
          <w:tcPr>
            <w:tcW w:w="790" w:type="dxa"/>
          </w:tcPr>
          <w:p w:rsidR="007C5447" w:rsidRDefault="00F6308C">
            <w:pPr>
              <w:pStyle w:val="TableParagraph"/>
              <w:spacing w:before="47"/>
              <w:ind w:right="129"/>
              <w:rPr>
                <w:sz w:val="18"/>
              </w:rPr>
            </w:pPr>
            <w:r>
              <w:rPr>
                <w:sz w:val="18"/>
              </w:rPr>
              <w:t>172.07</w:t>
            </w:r>
          </w:p>
        </w:tc>
        <w:tc>
          <w:tcPr>
            <w:tcW w:w="929" w:type="dxa"/>
          </w:tcPr>
          <w:p w:rsidR="007C5447" w:rsidRDefault="00F6308C">
            <w:pPr>
              <w:pStyle w:val="TableParagraph"/>
              <w:spacing w:before="47"/>
              <w:ind w:right="134"/>
              <w:rPr>
                <w:sz w:val="18"/>
              </w:rPr>
            </w:pPr>
            <w:r>
              <w:rPr>
                <w:sz w:val="18"/>
              </w:rPr>
              <w:t>292.37</w:t>
            </w:r>
          </w:p>
        </w:tc>
        <w:tc>
          <w:tcPr>
            <w:tcW w:w="781" w:type="dxa"/>
          </w:tcPr>
          <w:p w:rsidR="007C5447" w:rsidRDefault="00F6308C">
            <w:pPr>
              <w:pStyle w:val="TableParagraph"/>
              <w:spacing w:before="47"/>
              <w:ind w:right="133"/>
              <w:rPr>
                <w:sz w:val="18"/>
              </w:rPr>
            </w:pPr>
            <w:r>
              <w:rPr>
                <w:w w:val="99"/>
                <w:sz w:val="18"/>
              </w:rPr>
              <w:t>-</w:t>
            </w:r>
          </w:p>
        </w:tc>
        <w:tc>
          <w:tcPr>
            <w:tcW w:w="946" w:type="dxa"/>
          </w:tcPr>
          <w:p w:rsidR="007C5447" w:rsidRDefault="00F6308C">
            <w:pPr>
              <w:pStyle w:val="TableParagraph"/>
              <w:spacing w:before="47"/>
              <w:ind w:right="131"/>
              <w:rPr>
                <w:sz w:val="18"/>
              </w:rPr>
            </w:pPr>
            <w:r>
              <w:rPr>
                <w:w w:val="99"/>
                <w:sz w:val="18"/>
              </w:rPr>
              <w:t>-</w:t>
            </w:r>
          </w:p>
        </w:tc>
        <w:tc>
          <w:tcPr>
            <w:tcW w:w="1313" w:type="dxa"/>
          </w:tcPr>
          <w:p w:rsidR="007C5447" w:rsidRDefault="00F6308C">
            <w:pPr>
              <w:pStyle w:val="TableParagraph"/>
              <w:spacing w:before="47"/>
              <w:ind w:right="135"/>
              <w:rPr>
                <w:sz w:val="18"/>
              </w:rPr>
            </w:pPr>
            <w:r>
              <w:rPr>
                <w:sz w:val="18"/>
              </w:rPr>
              <w:t>0.08</w:t>
            </w:r>
          </w:p>
        </w:tc>
        <w:tc>
          <w:tcPr>
            <w:tcW w:w="852" w:type="dxa"/>
          </w:tcPr>
          <w:p w:rsidR="007C5447" w:rsidRDefault="00F6308C">
            <w:pPr>
              <w:pStyle w:val="TableParagraph"/>
              <w:spacing w:before="47"/>
              <w:ind w:right="132"/>
              <w:rPr>
                <w:sz w:val="18"/>
              </w:rPr>
            </w:pPr>
            <w:r>
              <w:rPr>
                <w:sz w:val="18"/>
              </w:rPr>
              <w:t>34.69</w:t>
            </w:r>
          </w:p>
        </w:tc>
        <w:tc>
          <w:tcPr>
            <w:tcW w:w="941" w:type="dxa"/>
          </w:tcPr>
          <w:p w:rsidR="007C5447" w:rsidRDefault="00F6308C">
            <w:pPr>
              <w:pStyle w:val="TableParagraph"/>
              <w:spacing w:before="47"/>
              <w:ind w:right="129"/>
              <w:rPr>
                <w:sz w:val="18"/>
              </w:rPr>
            </w:pPr>
            <w:r>
              <w:rPr>
                <w:sz w:val="18"/>
              </w:rPr>
              <w:t>11.69</w:t>
            </w:r>
          </w:p>
        </w:tc>
        <w:tc>
          <w:tcPr>
            <w:tcW w:w="1087" w:type="dxa"/>
          </w:tcPr>
          <w:p w:rsidR="007C5447" w:rsidRDefault="00F6308C">
            <w:pPr>
              <w:pStyle w:val="TableParagraph"/>
              <w:spacing w:before="47"/>
              <w:ind w:right="132"/>
              <w:rPr>
                <w:sz w:val="18"/>
              </w:rPr>
            </w:pPr>
            <w:r>
              <w:rPr>
                <w:sz w:val="18"/>
              </w:rPr>
              <w:t>667.51</w:t>
            </w:r>
          </w:p>
        </w:tc>
        <w:tc>
          <w:tcPr>
            <w:tcW w:w="1039" w:type="dxa"/>
          </w:tcPr>
          <w:p w:rsidR="007C5447" w:rsidRDefault="00F6308C">
            <w:pPr>
              <w:pStyle w:val="TableParagraph"/>
              <w:spacing w:before="47"/>
              <w:ind w:right="132"/>
              <w:rPr>
                <w:sz w:val="18"/>
              </w:rPr>
            </w:pPr>
            <w:r>
              <w:rPr>
                <w:sz w:val="18"/>
              </w:rPr>
              <w:t>667.51</w:t>
            </w:r>
          </w:p>
        </w:tc>
      </w:tr>
      <w:tr w:rsidR="007C5447">
        <w:trPr>
          <w:trHeight w:val="300"/>
        </w:trPr>
        <w:tc>
          <w:tcPr>
            <w:tcW w:w="504" w:type="dxa"/>
          </w:tcPr>
          <w:p w:rsidR="007C5447" w:rsidRDefault="00F6308C">
            <w:pPr>
              <w:pStyle w:val="TableParagraph"/>
              <w:spacing w:before="48"/>
              <w:ind w:left="8"/>
              <w:jc w:val="center"/>
              <w:rPr>
                <w:sz w:val="18"/>
              </w:rPr>
            </w:pPr>
            <w:r>
              <w:rPr>
                <w:sz w:val="18"/>
              </w:rPr>
              <w:t>3</w:t>
            </w:r>
          </w:p>
        </w:tc>
        <w:tc>
          <w:tcPr>
            <w:tcW w:w="2095" w:type="dxa"/>
          </w:tcPr>
          <w:p w:rsidR="007C5447" w:rsidRDefault="00F6308C">
            <w:pPr>
              <w:pStyle w:val="TableParagraph"/>
              <w:spacing w:before="48"/>
              <w:ind w:left="108"/>
              <w:jc w:val="left"/>
              <w:rPr>
                <w:sz w:val="18"/>
              </w:rPr>
            </w:pPr>
            <w:r>
              <w:rPr>
                <w:sz w:val="18"/>
              </w:rPr>
              <w:t>Mettur TPS</w:t>
            </w:r>
          </w:p>
        </w:tc>
        <w:tc>
          <w:tcPr>
            <w:tcW w:w="1207" w:type="dxa"/>
          </w:tcPr>
          <w:p w:rsidR="007C5447" w:rsidRDefault="00F6308C">
            <w:pPr>
              <w:pStyle w:val="TableParagraph"/>
              <w:spacing w:before="48"/>
              <w:ind w:right="130"/>
              <w:rPr>
                <w:sz w:val="18"/>
              </w:rPr>
            </w:pPr>
            <w:r>
              <w:rPr>
                <w:sz w:val="18"/>
              </w:rPr>
              <w:t>53.81</w:t>
            </w:r>
          </w:p>
        </w:tc>
        <w:tc>
          <w:tcPr>
            <w:tcW w:w="927" w:type="dxa"/>
          </w:tcPr>
          <w:p w:rsidR="007C5447" w:rsidRDefault="00F6308C">
            <w:pPr>
              <w:pStyle w:val="TableParagraph"/>
              <w:spacing w:before="48"/>
              <w:ind w:right="130"/>
              <w:rPr>
                <w:sz w:val="18"/>
              </w:rPr>
            </w:pPr>
            <w:r>
              <w:rPr>
                <w:sz w:val="18"/>
              </w:rPr>
              <w:t>90.09</w:t>
            </w:r>
          </w:p>
        </w:tc>
        <w:tc>
          <w:tcPr>
            <w:tcW w:w="766" w:type="dxa"/>
          </w:tcPr>
          <w:p w:rsidR="007C5447" w:rsidRDefault="00F6308C">
            <w:pPr>
              <w:pStyle w:val="TableParagraph"/>
              <w:spacing w:before="48"/>
              <w:ind w:right="129"/>
              <w:rPr>
                <w:sz w:val="18"/>
              </w:rPr>
            </w:pPr>
            <w:r>
              <w:rPr>
                <w:w w:val="99"/>
                <w:sz w:val="18"/>
              </w:rPr>
              <w:t>-</w:t>
            </w:r>
          </w:p>
        </w:tc>
        <w:tc>
          <w:tcPr>
            <w:tcW w:w="790" w:type="dxa"/>
          </w:tcPr>
          <w:p w:rsidR="007C5447" w:rsidRDefault="00F6308C">
            <w:pPr>
              <w:pStyle w:val="TableParagraph"/>
              <w:spacing w:before="48"/>
              <w:ind w:right="129"/>
              <w:rPr>
                <w:sz w:val="18"/>
              </w:rPr>
            </w:pPr>
            <w:r>
              <w:rPr>
                <w:sz w:val="18"/>
              </w:rPr>
              <w:t>137.16</w:t>
            </w:r>
          </w:p>
        </w:tc>
        <w:tc>
          <w:tcPr>
            <w:tcW w:w="929" w:type="dxa"/>
          </w:tcPr>
          <w:p w:rsidR="007C5447" w:rsidRDefault="00F6308C">
            <w:pPr>
              <w:pStyle w:val="TableParagraph"/>
              <w:spacing w:before="48"/>
              <w:ind w:right="134"/>
              <w:rPr>
                <w:sz w:val="18"/>
              </w:rPr>
            </w:pPr>
            <w:r>
              <w:rPr>
                <w:sz w:val="18"/>
              </w:rPr>
              <w:t>223.51</w:t>
            </w:r>
          </w:p>
        </w:tc>
        <w:tc>
          <w:tcPr>
            <w:tcW w:w="781" w:type="dxa"/>
          </w:tcPr>
          <w:p w:rsidR="007C5447" w:rsidRDefault="00F6308C">
            <w:pPr>
              <w:pStyle w:val="TableParagraph"/>
              <w:spacing w:before="48"/>
              <w:ind w:right="133"/>
              <w:rPr>
                <w:sz w:val="18"/>
              </w:rPr>
            </w:pPr>
            <w:r>
              <w:rPr>
                <w:w w:val="99"/>
                <w:sz w:val="18"/>
              </w:rPr>
              <w:t>-</w:t>
            </w:r>
          </w:p>
        </w:tc>
        <w:tc>
          <w:tcPr>
            <w:tcW w:w="946" w:type="dxa"/>
          </w:tcPr>
          <w:p w:rsidR="007C5447" w:rsidRDefault="00F6308C">
            <w:pPr>
              <w:pStyle w:val="TableParagraph"/>
              <w:spacing w:before="48"/>
              <w:ind w:right="131"/>
              <w:rPr>
                <w:sz w:val="18"/>
              </w:rPr>
            </w:pPr>
            <w:r>
              <w:rPr>
                <w:w w:val="99"/>
                <w:sz w:val="18"/>
              </w:rPr>
              <w:t>-</w:t>
            </w:r>
          </w:p>
        </w:tc>
        <w:tc>
          <w:tcPr>
            <w:tcW w:w="1313" w:type="dxa"/>
          </w:tcPr>
          <w:p w:rsidR="007C5447" w:rsidRDefault="00F6308C">
            <w:pPr>
              <w:pStyle w:val="TableParagraph"/>
              <w:spacing w:before="48"/>
              <w:ind w:right="132"/>
              <w:rPr>
                <w:sz w:val="18"/>
              </w:rPr>
            </w:pPr>
            <w:r>
              <w:rPr>
                <w:sz w:val="18"/>
              </w:rPr>
              <w:t>20.49</w:t>
            </w:r>
          </w:p>
        </w:tc>
        <w:tc>
          <w:tcPr>
            <w:tcW w:w="852" w:type="dxa"/>
          </w:tcPr>
          <w:p w:rsidR="007C5447" w:rsidRDefault="00F6308C">
            <w:pPr>
              <w:pStyle w:val="TableParagraph"/>
              <w:spacing w:before="48"/>
              <w:ind w:right="132"/>
              <w:rPr>
                <w:sz w:val="18"/>
              </w:rPr>
            </w:pPr>
            <w:r>
              <w:rPr>
                <w:sz w:val="18"/>
              </w:rPr>
              <w:t>30.85</w:t>
            </w:r>
          </w:p>
        </w:tc>
        <w:tc>
          <w:tcPr>
            <w:tcW w:w="941" w:type="dxa"/>
          </w:tcPr>
          <w:p w:rsidR="007C5447" w:rsidRDefault="00F6308C">
            <w:pPr>
              <w:pStyle w:val="TableParagraph"/>
              <w:spacing w:before="48"/>
              <w:ind w:right="132"/>
              <w:rPr>
                <w:sz w:val="18"/>
              </w:rPr>
            </w:pPr>
            <w:r>
              <w:rPr>
                <w:sz w:val="18"/>
              </w:rPr>
              <w:t>9.94</w:t>
            </w:r>
          </w:p>
        </w:tc>
        <w:tc>
          <w:tcPr>
            <w:tcW w:w="1087" w:type="dxa"/>
          </w:tcPr>
          <w:p w:rsidR="007C5447" w:rsidRDefault="00F6308C">
            <w:pPr>
              <w:pStyle w:val="TableParagraph"/>
              <w:spacing w:before="48"/>
              <w:ind w:right="132"/>
              <w:rPr>
                <w:sz w:val="18"/>
              </w:rPr>
            </w:pPr>
            <w:r>
              <w:rPr>
                <w:sz w:val="18"/>
              </w:rPr>
              <w:t>504.14</w:t>
            </w:r>
          </w:p>
        </w:tc>
        <w:tc>
          <w:tcPr>
            <w:tcW w:w="1039" w:type="dxa"/>
          </w:tcPr>
          <w:p w:rsidR="007C5447" w:rsidRDefault="00F6308C">
            <w:pPr>
              <w:pStyle w:val="TableParagraph"/>
              <w:spacing w:before="48"/>
              <w:ind w:right="132"/>
              <w:rPr>
                <w:sz w:val="18"/>
              </w:rPr>
            </w:pPr>
            <w:r>
              <w:rPr>
                <w:sz w:val="18"/>
              </w:rPr>
              <w:t>504.14</w:t>
            </w:r>
          </w:p>
        </w:tc>
      </w:tr>
      <w:tr w:rsidR="007C5447">
        <w:trPr>
          <w:trHeight w:val="301"/>
        </w:trPr>
        <w:tc>
          <w:tcPr>
            <w:tcW w:w="504" w:type="dxa"/>
          </w:tcPr>
          <w:p w:rsidR="007C5447" w:rsidRDefault="00F6308C">
            <w:pPr>
              <w:pStyle w:val="TableParagraph"/>
              <w:spacing w:before="47"/>
              <w:ind w:left="8"/>
              <w:jc w:val="center"/>
              <w:rPr>
                <w:sz w:val="18"/>
              </w:rPr>
            </w:pPr>
            <w:r>
              <w:rPr>
                <w:sz w:val="18"/>
              </w:rPr>
              <w:t>4</w:t>
            </w:r>
          </w:p>
        </w:tc>
        <w:tc>
          <w:tcPr>
            <w:tcW w:w="2095" w:type="dxa"/>
          </w:tcPr>
          <w:p w:rsidR="007C5447" w:rsidRDefault="00F6308C">
            <w:pPr>
              <w:pStyle w:val="TableParagraph"/>
              <w:spacing w:before="47"/>
              <w:ind w:left="108"/>
              <w:jc w:val="left"/>
              <w:rPr>
                <w:sz w:val="18"/>
              </w:rPr>
            </w:pPr>
            <w:r>
              <w:rPr>
                <w:sz w:val="18"/>
              </w:rPr>
              <w:t>North Chennai TPS</w:t>
            </w:r>
          </w:p>
        </w:tc>
        <w:tc>
          <w:tcPr>
            <w:tcW w:w="1207" w:type="dxa"/>
          </w:tcPr>
          <w:p w:rsidR="007C5447" w:rsidRDefault="00F6308C">
            <w:pPr>
              <w:pStyle w:val="TableParagraph"/>
              <w:spacing w:before="47"/>
              <w:ind w:right="130"/>
              <w:rPr>
                <w:sz w:val="18"/>
              </w:rPr>
            </w:pPr>
            <w:r>
              <w:rPr>
                <w:sz w:val="18"/>
              </w:rPr>
              <w:t>70.85</w:t>
            </w:r>
          </w:p>
        </w:tc>
        <w:tc>
          <w:tcPr>
            <w:tcW w:w="927" w:type="dxa"/>
          </w:tcPr>
          <w:p w:rsidR="007C5447" w:rsidRDefault="00F6308C">
            <w:pPr>
              <w:pStyle w:val="TableParagraph"/>
              <w:spacing w:before="47"/>
              <w:ind w:right="133"/>
              <w:rPr>
                <w:sz w:val="18"/>
              </w:rPr>
            </w:pPr>
            <w:r>
              <w:rPr>
                <w:sz w:val="18"/>
              </w:rPr>
              <w:t>102.73</w:t>
            </w:r>
          </w:p>
        </w:tc>
        <w:tc>
          <w:tcPr>
            <w:tcW w:w="766" w:type="dxa"/>
          </w:tcPr>
          <w:p w:rsidR="007C5447" w:rsidRDefault="00F6308C">
            <w:pPr>
              <w:pStyle w:val="TableParagraph"/>
              <w:spacing w:before="47"/>
              <w:ind w:right="129"/>
              <w:rPr>
                <w:sz w:val="18"/>
              </w:rPr>
            </w:pPr>
            <w:r>
              <w:rPr>
                <w:w w:val="99"/>
                <w:sz w:val="18"/>
              </w:rPr>
              <w:t>-</w:t>
            </w:r>
          </w:p>
        </w:tc>
        <w:tc>
          <w:tcPr>
            <w:tcW w:w="790" w:type="dxa"/>
          </w:tcPr>
          <w:p w:rsidR="007C5447" w:rsidRDefault="00F6308C">
            <w:pPr>
              <w:pStyle w:val="TableParagraph"/>
              <w:spacing w:before="47"/>
              <w:ind w:right="129"/>
              <w:rPr>
                <w:sz w:val="18"/>
              </w:rPr>
            </w:pPr>
            <w:r>
              <w:rPr>
                <w:sz w:val="18"/>
              </w:rPr>
              <w:t>105.22</w:t>
            </w:r>
          </w:p>
        </w:tc>
        <w:tc>
          <w:tcPr>
            <w:tcW w:w="929" w:type="dxa"/>
          </w:tcPr>
          <w:p w:rsidR="007C5447" w:rsidRDefault="00F6308C">
            <w:pPr>
              <w:pStyle w:val="TableParagraph"/>
              <w:spacing w:before="47"/>
              <w:ind w:right="134"/>
              <w:rPr>
                <w:sz w:val="18"/>
              </w:rPr>
            </w:pPr>
            <w:r>
              <w:rPr>
                <w:sz w:val="18"/>
              </w:rPr>
              <w:t>208.52</w:t>
            </w:r>
          </w:p>
        </w:tc>
        <w:tc>
          <w:tcPr>
            <w:tcW w:w="781" w:type="dxa"/>
          </w:tcPr>
          <w:p w:rsidR="007C5447" w:rsidRDefault="00F6308C">
            <w:pPr>
              <w:pStyle w:val="TableParagraph"/>
              <w:spacing w:before="47"/>
              <w:ind w:right="133"/>
              <w:rPr>
                <w:sz w:val="18"/>
              </w:rPr>
            </w:pPr>
            <w:r>
              <w:rPr>
                <w:w w:val="99"/>
                <w:sz w:val="18"/>
              </w:rPr>
              <w:t>-</w:t>
            </w:r>
          </w:p>
        </w:tc>
        <w:tc>
          <w:tcPr>
            <w:tcW w:w="946" w:type="dxa"/>
          </w:tcPr>
          <w:p w:rsidR="007C5447" w:rsidRDefault="00F6308C">
            <w:pPr>
              <w:pStyle w:val="TableParagraph"/>
              <w:spacing w:before="47"/>
              <w:ind w:right="131"/>
              <w:rPr>
                <w:sz w:val="18"/>
              </w:rPr>
            </w:pPr>
            <w:r>
              <w:rPr>
                <w:w w:val="99"/>
                <w:sz w:val="18"/>
              </w:rPr>
              <w:t>-</w:t>
            </w:r>
          </w:p>
        </w:tc>
        <w:tc>
          <w:tcPr>
            <w:tcW w:w="1313" w:type="dxa"/>
          </w:tcPr>
          <w:p w:rsidR="007C5447" w:rsidRDefault="00F6308C">
            <w:pPr>
              <w:pStyle w:val="TableParagraph"/>
              <w:spacing w:before="47"/>
              <w:ind w:right="132"/>
              <w:rPr>
                <w:sz w:val="18"/>
              </w:rPr>
            </w:pPr>
            <w:r>
              <w:rPr>
                <w:sz w:val="18"/>
              </w:rPr>
              <w:t>88.38</w:t>
            </w:r>
          </w:p>
        </w:tc>
        <w:tc>
          <w:tcPr>
            <w:tcW w:w="852" w:type="dxa"/>
          </w:tcPr>
          <w:p w:rsidR="007C5447" w:rsidRDefault="00F6308C">
            <w:pPr>
              <w:pStyle w:val="TableParagraph"/>
              <w:spacing w:before="47"/>
              <w:ind w:right="132"/>
              <w:rPr>
                <w:sz w:val="18"/>
              </w:rPr>
            </w:pPr>
            <w:r>
              <w:rPr>
                <w:sz w:val="18"/>
              </w:rPr>
              <w:t>27.75</w:t>
            </w:r>
          </w:p>
        </w:tc>
        <w:tc>
          <w:tcPr>
            <w:tcW w:w="941" w:type="dxa"/>
          </w:tcPr>
          <w:p w:rsidR="007C5447" w:rsidRDefault="00F6308C">
            <w:pPr>
              <w:pStyle w:val="TableParagraph"/>
              <w:spacing w:before="47"/>
              <w:ind w:right="132"/>
              <w:rPr>
                <w:sz w:val="18"/>
              </w:rPr>
            </w:pPr>
            <w:r>
              <w:rPr>
                <w:sz w:val="18"/>
              </w:rPr>
              <w:t>6.19</w:t>
            </w:r>
          </w:p>
        </w:tc>
        <w:tc>
          <w:tcPr>
            <w:tcW w:w="1087" w:type="dxa"/>
          </w:tcPr>
          <w:p w:rsidR="007C5447" w:rsidRDefault="00F6308C">
            <w:pPr>
              <w:pStyle w:val="TableParagraph"/>
              <w:spacing w:before="47"/>
              <w:ind w:right="132"/>
              <w:rPr>
                <w:sz w:val="18"/>
              </w:rPr>
            </w:pPr>
            <w:r>
              <w:rPr>
                <w:sz w:val="18"/>
              </w:rPr>
              <w:t>554.13</w:t>
            </w:r>
          </w:p>
        </w:tc>
        <w:tc>
          <w:tcPr>
            <w:tcW w:w="1039" w:type="dxa"/>
          </w:tcPr>
          <w:p w:rsidR="007C5447" w:rsidRDefault="00F6308C">
            <w:pPr>
              <w:pStyle w:val="TableParagraph"/>
              <w:spacing w:before="47"/>
              <w:ind w:right="132"/>
              <w:rPr>
                <w:sz w:val="18"/>
              </w:rPr>
            </w:pPr>
            <w:r>
              <w:rPr>
                <w:sz w:val="18"/>
              </w:rPr>
              <w:t>554.13</w:t>
            </w:r>
          </w:p>
        </w:tc>
      </w:tr>
      <w:tr w:rsidR="007C5447">
        <w:trPr>
          <w:trHeight w:val="299"/>
        </w:trPr>
        <w:tc>
          <w:tcPr>
            <w:tcW w:w="504" w:type="dxa"/>
          </w:tcPr>
          <w:p w:rsidR="007C5447" w:rsidRDefault="00F6308C">
            <w:pPr>
              <w:pStyle w:val="TableParagraph"/>
              <w:spacing w:before="45"/>
              <w:ind w:left="8"/>
              <w:jc w:val="center"/>
              <w:rPr>
                <w:sz w:val="18"/>
              </w:rPr>
            </w:pPr>
            <w:r>
              <w:rPr>
                <w:sz w:val="18"/>
              </w:rPr>
              <w:t>5</w:t>
            </w:r>
          </w:p>
        </w:tc>
        <w:tc>
          <w:tcPr>
            <w:tcW w:w="2095" w:type="dxa"/>
          </w:tcPr>
          <w:p w:rsidR="007C5447" w:rsidRDefault="00F6308C">
            <w:pPr>
              <w:pStyle w:val="TableParagraph"/>
              <w:spacing w:before="45"/>
              <w:ind w:left="108"/>
              <w:jc w:val="left"/>
              <w:rPr>
                <w:sz w:val="18"/>
              </w:rPr>
            </w:pPr>
            <w:r>
              <w:rPr>
                <w:sz w:val="18"/>
              </w:rPr>
              <w:t>Mettur TPS Stage III</w:t>
            </w:r>
          </w:p>
        </w:tc>
        <w:tc>
          <w:tcPr>
            <w:tcW w:w="1207" w:type="dxa"/>
          </w:tcPr>
          <w:p w:rsidR="007C5447" w:rsidRDefault="00F6308C">
            <w:pPr>
              <w:pStyle w:val="TableParagraph"/>
              <w:spacing w:before="45"/>
              <w:ind w:right="133"/>
              <w:rPr>
                <w:sz w:val="18"/>
              </w:rPr>
            </w:pPr>
            <w:r>
              <w:rPr>
                <w:sz w:val="18"/>
              </w:rPr>
              <w:t>150.73</w:t>
            </w:r>
          </w:p>
        </w:tc>
        <w:tc>
          <w:tcPr>
            <w:tcW w:w="927" w:type="dxa"/>
          </w:tcPr>
          <w:p w:rsidR="007C5447" w:rsidRDefault="00F6308C">
            <w:pPr>
              <w:pStyle w:val="TableParagraph"/>
              <w:spacing w:before="45"/>
              <w:ind w:right="133"/>
              <w:rPr>
                <w:sz w:val="18"/>
              </w:rPr>
            </w:pPr>
            <w:r>
              <w:rPr>
                <w:sz w:val="18"/>
              </w:rPr>
              <w:t>398.27</w:t>
            </w:r>
          </w:p>
        </w:tc>
        <w:tc>
          <w:tcPr>
            <w:tcW w:w="766" w:type="dxa"/>
          </w:tcPr>
          <w:p w:rsidR="007C5447" w:rsidRDefault="00F6308C">
            <w:pPr>
              <w:pStyle w:val="TableParagraph"/>
              <w:spacing w:before="45"/>
              <w:ind w:right="129"/>
              <w:rPr>
                <w:sz w:val="18"/>
              </w:rPr>
            </w:pPr>
            <w:r>
              <w:rPr>
                <w:w w:val="99"/>
                <w:sz w:val="18"/>
              </w:rPr>
              <w:t>-</w:t>
            </w:r>
          </w:p>
        </w:tc>
        <w:tc>
          <w:tcPr>
            <w:tcW w:w="790" w:type="dxa"/>
          </w:tcPr>
          <w:p w:rsidR="007C5447" w:rsidRDefault="00F6308C">
            <w:pPr>
              <w:pStyle w:val="TableParagraph"/>
              <w:spacing w:before="45"/>
              <w:ind w:right="128"/>
              <w:rPr>
                <w:sz w:val="18"/>
              </w:rPr>
            </w:pPr>
            <w:r>
              <w:rPr>
                <w:sz w:val="18"/>
              </w:rPr>
              <w:t>86.33</w:t>
            </w:r>
          </w:p>
        </w:tc>
        <w:tc>
          <w:tcPr>
            <w:tcW w:w="929" w:type="dxa"/>
          </w:tcPr>
          <w:p w:rsidR="007C5447" w:rsidRDefault="00F6308C">
            <w:pPr>
              <w:pStyle w:val="TableParagraph"/>
              <w:spacing w:before="45"/>
              <w:ind w:right="131"/>
              <w:rPr>
                <w:sz w:val="18"/>
              </w:rPr>
            </w:pPr>
            <w:r>
              <w:rPr>
                <w:sz w:val="18"/>
              </w:rPr>
              <w:t>42.66</w:t>
            </w:r>
          </w:p>
        </w:tc>
        <w:tc>
          <w:tcPr>
            <w:tcW w:w="781" w:type="dxa"/>
          </w:tcPr>
          <w:p w:rsidR="007C5447" w:rsidRDefault="00F6308C">
            <w:pPr>
              <w:pStyle w:val="TableParagraph"/>
              <w:spacing w:before="45"/>
              <w:ind w:right="133"/>
              <w:rPr>
                <w:sz w:val="18"/>
              </w:rPr>
            </w:pPr>
            <w:r>
              <w:rPr>
                <w:w w:val="99"/>
                <w:sz w:val="18"/>
              </w:rPr>
              <w:t>-</w:t>
            </w:r>
          </w:p>
        </w:tc>
        <w:tc>
          <w:tcPr>
            <w:tcW w:w="946" w:type="dxa"/>
          </w:tcPr>
          <w:p w:rsidR="007C5447" w:rsidRDefault="00F6308C">
            <w:pPr>
              <w:pStyle w:val="TableParagraph"/>
              <w:spacing w:before="45"/>
              <w:ind w:right="131"/>
              <w:rPr>
                <w:sz w:val="18"/>
              </w:rPr>
            </w:pPr>
            <w:r>
              <w:rPr>
                <w:w w:val="99"/>
                <w:sz w:val="18"/>
              </w:rPr>
              <w:t>-</w:t>
            </w:r>
          </w:p>
        </w:tc>
        <w:tc>
          <w:tcPr>
            <w:tcW w:w="1313" w:type="dxa"/>
          </w:tcPr>
          <w:p w:rsidR="007C5447" w:rsidRDefault="00F6308C">
            <w:pPr>
              <w:pStyle w:val="TableParagraph"/>
              <w:spacing w:before="45"/>
              <w:ind w:right="131"/>
              <w:rPr>
                <w:sz w:val="18"/>
              </w:rPr>
            </w:pPr>
            <w:r>
              <w:rPr>
                <w:sz w:val="18"/>
              </w:rPr>
              <w:t>(0.29)</w:t>
            </w:r>
          </w:p>
        </w:tc>
        <w:tc>
          <w:tcPr>
            <w:tcW w:w="852" w:type="dxa"/>
          </w:tcPr>
          <w:p w:rsidR="007C5447" w:rsidRDefault="00F6308C">
            <w:pPr>
              <w:pStyle w:val="TableParagraph"/>
              <w:spacing w:before="45"/>
              <w:ind w:right="132"/>
              <w:rPr>
                <w:sz w:val="18"/>
              </w:rPr>
            </w:pPr>
            <w:r>
              <w:rPr>
                <w:sz w:val="18"/>
              </w:rPr>
              <w:t>32.88</w:t>
            </w:r>
          </w:p>
        </w:tc>
        <w:tc>
          <w:tcPr>
            <w:tcW w:w="941" w:type="dxa"/>
          </w:tcPr>
          <w:p w:rsidR="007C5447" w:rsidRDefault="00F6308C">
            <w:pPr>
              <w:pStyle w:val="TableParagraph"/>
              <w:spacing w:before="45"/>
              <w:ind w:right="132"/>
              <w:rPr>
                <w:sz w:val="18"/>
              </w:rPr>
            </w:pPr>
            <w:r>
              <w:rPr>
                <w:sz w:val="18"/>
              </w:rPr>
              <w:t>2.75</w:t>
            </w:r>
          </w:p>
        </w:tc>
        <w:tc>
          <w:tcPr>
            <w:tcW w:w="1087" w:type="dxa"/>
          </w:tcPr>
          <w:p w:rsidR="007C5447" w:rsidRDefault="00F6308C">
            <w:pPr>
              <w:pStyle w:val="TableParagraph"/>
              <w:spacing w:before="45"/>
              <w:ind w:right="132"/>
              <w:rPr>
                <w:sz w:val="18"/>
              </w:rPr>
            </w:pPr>
            <w:r>
              <w:rPr>
                <w:sz w:val="18"/>
              </w:rPr>
              <w:t>647.56</w:t>
            </w:r>
          </w:p>
        </w:tc>
        <w:tc>
          <w:tcPr>
            <w:tcW w:w="1039" w:type="dxa"/>
          </w:tcPr>
          <w:p w:rsidR="007C5447" w:rsidRDefault="00F6308C">
            <w:pPr>
              <w:pStyle w:val="TableParagraph"/>
              <w:spacing w:before="45"/>
              <w:ind w:right="132"/>
              <w:rPr>
                <w:sz w:val="18"/>
              </w:rPr>
            </w:pPr>
            <w:r>
              <w:rPr>
                <w:sz w:val="18"/>
              </w:rPr>
              <w:t>629.76</w:t>
            </w:r>
          </w:p>
        </w:tc>
      </w:tr>
      <w:tr w:rsidR="007C5447">
        <w:trPr>
          <w:trHeight w:val="299"/>
        </w:trPr>
        <w:tc>
          <w:tcPr>
            <w:tcW w:w="504" w:type="dxa"/>
          </w:tcPr>
          <w:p w:rsidR="007C5447" w:rsidRDefault="00F6308C">
            <w:pPr>
              <w:pStyle w:val="TableParagraph"/>
              <w:spacing w:before="45"/>
              <w:ind w:left="8"/>
              <w:jc w:val="center"/>
              <w:rPr>
                <w:sz w:val="18"/>
              </w:rPr>
            </w:pPr>
            <w:r>
              <w:rPr>
                <w:sz w:val="18"/>
              </w:rPr>
              <w:t>6</w:t>
            </w:r>
          </w:p>
        </w:tc>
        <w:tc>
          <w:tcPr>
            <w:tcW w:w="2095" w:type="dxa"/>
          </w:tcPr>
          <w:p w:rsidR="007C5447" w:rsidRDefault="00F6308C">
            <w:pPr>
              <w:pStyle w:val="TableParagraph"/>
              <w:spacing w:before="45"/>
              <w:ind w:left="108"/>
              <w:jc w:val="left"/>
              <w:rPr>
                <w:sz w:val="18"/>
              </w:rPr>
            </w:pPr>
            <w:r>
              <w:rPr>
                <w:sz w:val="18"/>
              </w:rPr>
              <w:t>NCTPS Stage II</w:t>
            </w:r>
          </w:p>
        </w:tc>
        <w:tc>
          <w:tcPr>
            <w:tcW w:w="1207" w:type="dxa"/>
          </w:tcPr>
          <w:p w:rsidR="007C5447" w:rsidRDefault="00F6308C">
            <w:pPr>
              <w:pStyle w:val="TableParagraph"/>
              <w:spacing w:before="45"/>
              <w:ind w:right="133"/>
              <w:rPr>
                <w:sz w:val="18"/>
              </w:rPr>
            </w:pPr>
            <w:r>
              <w:rPr>
                <w:sz w:val="18"/>
              </w:rPr>
              <w:t>285.73</w:t>
            </w:r>
          </w:p>
        </w:tc>
        <w:tc>
          <w:tcPr>
            <w:tcW w:w="927" w:type="dxa"/>
          </w:tcPr>
          <w:p w:rsidR="007C5447" w:rsidRDefault="00F6308C">
            <w:pPr>
              <w:pStyle w:val="TableParagraph"/>
              <w:spacing w:before="45"/>
              <w:ind w:right="133"/>
              <w:rPr>
                <w:sz w:val="18"/>
              </w:rPr>
            </w:pPr>
            <w:r>
              <w:rPr>
                <w:sz w:val="18"/>
              </w:rPr>
              <w:t>773.03</w:t>
            </w:r>
          </w:p>
        </w:tc>
        <w:tc>
          <w:tcPr>
            <w:tcW w:w="766" w:type="dxa"/>
          </w:tcPr>
          <w:p w:rsidR="007C5447" w:rsidRDefault="00F6308C">
            <w:pPr>
              <w:pStyle w:val="TableParagraph"/>
              <w:spacing w:before="45"/>
              <w:ind w:right="129"/>
              <w:rPr>
                <w:sz w:val="18"/>
              </w:rPr>
            </w:pPr>
            <w:r>
              <w:rPr>
                <w:w w:val="99"/>
                <w:sz w:val="18"/>
              </w:rPr>
              <w:t>-</w:t>
            </w:r>
          </w:p>
        </w:tc>
        <w:tc>
          <w:tcPr>
            <w:tcW w:w="790" w:type="dxa"/>
          </w:tcPr>
          <w:p w:rsidR="007C5447" w:rsidRDefault="00F6308C">
            <w:pPr>
              <w:pStyle w:val="TableParagraph"/>
              <w:spacing w:before="45"/>
              <w:ind w:right="129"/>
              <w:rPr>
                <w:sz w:val="18"/>
              </w:rPr>
            </w:pPr>
            <w:r>
              <w:rPr>
                <w:sz w:val="18"/>
              </w:rPr>
              <w:t>127.06</w:t>
            </w:r>
          </w:p>
        </w:tc>
        <w:tc>
          <w:tcPr>
            <w:tcW w:w="929" w:type="dxa"/>
          </w:tcPr>
          <w:p w:rsidR="007C5447" w:rsidRDefault="00F6308C">
            <w:pPr>
              <w:pStyle w:val="TableParagraph"/>
              <w:spacing w:before="45"/>
              <w:ind w:right="131"/>
              <w:rPr>
                <w:sz w:val="18"/>
              </w:rPr>
            </w:pPr>
            <w:r>
              <w:rPr>
                <w:sz w:val="18"/>
              </w:rPr>
              <w:t>71.69</w:t>
            </w:r>
          </w:p>
        </w:tc>
        <w:tc>
          <w:tcPr>
            <w:tcW w:w="781" w:type="dxa"/>
          </w:tcPr>
          <w:p w:rsidR="007C5447" w:rsidRDefault="00F6308C">
            <w:pPr>
              <w:pStyle w:val="TableParagraph"/>
              <w:spacing w:before="45"/>
              <w:ind w:right="133"/>
              <w:rPr>
                <w:sz w:val="18"/>
              </w:rPr>
            </w:pPr>
            <w:r>
              <w:rPr>
                <w:w w:val="99"/>
                <w:sz w:val="18"/>
              </w:rPr>
              <w:t>-</w:t>
            </w:r>
          </w:p>
        </w:tc>
        <w:tc>
          <w:tcPr>
            <w:tcW w:w="946" w:type="dxa"/>
          </w:tcPr>
          <w:p w:rsidR="007C5447" w:rsidRDefault="00F6308C">
            <w:pPr>
              <w:pStyle w:val="TableParagraph"/>
              <w:spacing w:before="45"/>
              <w:ind w:right="131"/>
              <w:rPr>
                <w:sz w:val="18"/>
              </w:rPr>
            </w:pPr>
            <w:r>
              <w:rPr>
                <w:w w:val="99"/>
                <w:sz w:val="18"/>
              </w:rPr>
              <w:t>-</w:t>
            </w:r>
          </w:p>
        </w:tc>
        <w:tc>
          <w:tcPr>
            <w:tcW w:w="1313" w:type="dxa"/>
          </w:tcPr>
          <w:p w:rsidR="007C5447" w:rsidRDefault="00F6308C">
            <w:pPr>
              <w:pStyle w:val="TableParagraph"/>
              <w:spacing w:before="45"/>
              <w:ind w:right="131"/>
              <w:rPr>
                <w:sz w:val="18"/>
              </w:rPr>
            </w:pPr>
            <w:r>
              <w:rPr>
                <w:sz w:val="18"/>
              </w:rPr>
              <w:t>(31.13)</w:t>
            </w:r>
          </w:p>
        </w:tc>
        <w:tc>
          <w:tcPr>
            <w:tcW w:w="852" w:type="dxa"/>
          </w:tcPr>
          <w:p w:rsidR="007C5447" w:rsidRDefault="00F6308C">
            <w:pPr>
              <w:pStyle w:val="TableParagraph"/>
              <w:spacing w:before="45"/>
              <w:ind w:right="132"/>
              <w:rPr>
                <w:sz w:val="18"/>
              </w:rPr>
            </w:pPr>
            <w:r>
              <w:rPr>
                <w:sz w:val="18"/>
              </w:rPr>
              <w:t>9.32</w:t>
            </w:r>
          </w:p>
        </w:tc>
        <w:tc>
          <w:tcPr>
            <w:tcW w:w="941" w:type="dxa"/>
          </w:tcPr>
          <w:p w:rsidR="007C5447" w:rsidRDefault="00F6308C">
            <w:pPr>
              <w:pStyle w:val="TableParagraph"/>
              <w:spacing w:before="45"/>
              <w:ind w:right="132"/>
              <w:rPr>
                <w:sz w:val="18"/>
              </w:rPr>
            </w:pPr>
            <w:r>
              <w:rPr>
                <w:sz w:val="18"/>
              </w:rPr>
              <w:t>2.31</w:t>
            </w:r>
          </w:p>
        </w:tc>
        <w:tc>
          <w:tcPr>
            <w:tcW w:w="1087" w:type="dxa"/>
          </w:tcPr>
          <w:p w:rsidR="007C5447" w:rsidRDefault="00F6308C">
            <w:pPr>
              <w:pStyle w:val="TableParagraph"/>
              <w:spacing w:before="45"/>
              <w:ind w:right="132"/>
              <w:rPr>
                <w:sz w:val="18"/>
              </w:rPr>
            </w:pPr>
            <w:r>
              <w:rPr>
                <w:sz w:val="18"/>
              </w:rPr>
              <w:t>1,219.36</w:t>
            </w:r>
          </w:p>
        </w:tc>
        <w:tc>
          <w:tcPr>
            <w:tcW w:w="1039" w:type="dxa"/>
          </w:tcPr>
          <w:p w:rsidR="007C5447" w:rsidRDefault="00F6308C">
            <w:pPr>
              <w:pStyle w:val="TableParagraph"/>
              <w:spacing w:before="45"/>
              <w:ind w:right="132"/>
              <w:rPr>
                <w:sz w:val="18"/>
              </w:rPr>
            </w:pPr>
            <w:r>
              <w:rPr>
                <w:sz w:val="18"/>
              </w:rPr>
              <w:t>1,219.36</w:t>
            </w:r>
          </w:p>
        </w:tc>
      </w:tr>
      <w:tr w:rsidR="007C5447">
        <w:trPr>
          <w:trHeight w:val="299"/>
        </w:trPr>
        <w:tc>
          <w:tcPr>
            <w:tcW w:w="504" w:type="dxa"/>
          </w:tcPr>
          <w:p w:rsidR="007C5447" w:rsidRDefault="00F6308C">
            <w:pPr>
              <w:pStyle w:val="TableParagraph"/>
              <w:spacing w:before="45"/>
              <w:ind w:left="8"/>
              <w:jc w:val="center"/>
              <w:rPr>
                <w:sz w:val="18"/>
              </w:rPr>
            </w:pPr>
            <w:r>
              <w:rPr>
                <w:sz w:val="18"/>
              </w:rPr>
              <w:t>7</w:t>
            </w:r>
          </w:p>
        </w:tc>
        <w:tc>
          <w:tcPr>
            <w:tcW w:w="2095" w:type="dxa"/>
          </w:tcPr>
          <w:p w:rsidR="007C5447" w:rsidRDefault="00F6308C">
            <w:pPr>
              <w:pStyle w:val="TableParagraph"/>
              <w:spacing w:before="45"/>
              <w:ind w:left="108"/>
              <w:jc w:val="left"/>
              <w:rPr>
                <w:sz w:val="18"/>
              </w:rPr>
            </w:pPr>
            <w:r>
              <w:rPr>
                <w:sz w:val="18"/>
              </w:rPr>
              <w:t>Tirumakottai GTPS</w:t>
            </w:r>
          </w:p>
        </w:tc>
        <w:tc>
          <w:tcPr>
            <w:tcW w:w="1207" w:type="dxa"/>
          </w:tcPr>
          <w:p w:rsidR="007C5447" w:rsidRDefault="00F6308C">
            <w:pPr>
              <w:pStyle w:val="TableParagraph"/>
              <w:spacing w:before="45"/>
              <w:ind w:right="130"/>
              <w:rPr>
                <w:sz w:val="18"/>
              </w:rPr>
            </w:pPr>
            <w:r>
              <w:rPr>
                <w:sz w:val="18"/>
              </w:rPr>
              <w:t>27.41</w:t>
            </w:r>
          </w:p>
        </w:tc>
        <w:tc>
          <w:tcPr>
            <w:tcW w:w="927" w:type="dxa"/>
          </w:tcPr>
          <w:p w:rsidR="007C5447" w:rsidRDefault="00F6308C">
            <w:pPr>
              <w:pStyle w:val="TableParagraph"/>
              <w:spacing w:before="45"/>
              <w:ind w:right="130"/>
              <w:rPr>
                <w:sz w:val="18"/>
              </w:rPr>
            </w:pPr>
            <w:r>
              <w:rPr>
                <w:sz w:val="18"/>
              </w:rPr>
              <w:t>41.97</w:t>
            </w:r>
          </w:p>
        </w:tc>
        <w:tc>
          <w:tcPr>
            <w:tcW w:w="766" w:type="dxa"/>
          </w:tcPr>
          <w:p w:rsidR="007C5447" w:rsidRDefault="00F6308C">
            <w:pPr>
              <w:pStyle w:val="TableParagraph"/>
              <w:spacing w:before="45"/>
              <w:ind w:right="129"/>
              <w:rPr>
                <w:sz w:val="18"/>
              </w:rPr>
            </w:pPr>
            <w:r>
              <w:rPr>
                <w:w w:val="99"/>
                <w:sz w:val="18"/>
              </w:rPr>
              <w:t>-</w:t>
            </w:r>
          </w:p>
        </w:tc>
        <w:tc>
          <w:tcPr>
            <w:tcW w:w="790" w:type="dxa"/>
          </w:tcPr>
          <w:p w:rsidR="007C5447" w:rsidRDefault="00F6308C">
            <w:pPr>
              <w:pStyle w:val="TableParagraph"/>
              <w:spacing w:before="45"/>
              <w:ind w:right="128"/>
              <w:rPr>
                <w:sz w:val="18"/>
              </w:rPr>
            </w:pPr>
            <w:r>
              <w:rPr>
                <w:sz w:val="18"/>
              </w:rPr>
              <w:t>15.75</w:t>
            </w:r>
          </w:p>
        </w:tc>
        <w:tc>
          <w:tcPr>
            <w:tcW w:w="929" w:type="dxa"/>
          </w:tcPr>
          <w:p w:rsidR="007C5447" w:rsidRDefault="00F6308C">
            <w:pPr>
              <w:pStyle w:val="TableParagraph"/>
              <w:spacing w:before="45"/>
              <w:ind w:right="131"/>
              <w:rPr>
                <w:sz w:val="18"/>
              </w:rPr>
            </w:pPr>
            <w:r>
              <w:rPr>
                <w:sz w:val="18"/>
              </w:rPr>
              <w:t>11.72</w:t>
            </w:r>
          </w:p>
        </w:tc>
        <w:tc>
          <w:tcPr>
            <w:tcW w:w="781" w:type="dxa"/>
          </w:tcPr>
          <w:p w:rsidR="007C5447" w:rsidRDefault="00F6308C">
            <w:pPr>
              <w:pStyle w:val="TableParagraph"/>
              <w:spacing w:before="45"/>
              <w:ind w:right="133"/>
              <w:rPr>
                <w:sz w:val="18"/>
              </w:rPr>
            </w:pPr>
            <w:r>
              <w:rPr>
                <w:w w:val="99"/>
                <w:sz w:val="18"/>
              </w:rPr>
              <w:t>-</w:t>
            </w:r>
          </w:p>
        </w:tc>
        <w:tc>
          <w:tcPr>
            <w:tcW w:w="946" w:type="dxa"/>
          </w:tcPr>
          <w:p w:rsidR="007C5447" w:rsidRDefault="00F6308C">
            <w:pPr>
              <w:pStyle w:val="TableParagraph"/>
              <w:spacing w:before="45"/>
              <w:ind w:right="131"/>
              <w:rPr>
                <w:sz w:val="18"/>
              </w:rPr>
            </w:pPr>
            <w:r>
              <w:rPr>
                <w:w w:val="99"/>
                <w:sz w:val="18"/>
              </w:rPr>
              <w:t>-</w:t>
            </w:r>
          </w:p>
        </w:tc>
        <w:tc>
          <w:tcPr>
            <w:tcW w:w="1313" w:type="dxa"/>
          </w:tcPr>
          <w:p w:rsidR="007C5447" w:rsidRDefault="00F6308C">
            <w:pPr>
              <w:pStyle w:val="TableParagraph"/>
              <w:spacing w:before="45"/>
              <w:ind w:right="131"/>
              <w:rPr>
                <w:sz w:val="18"/>
              </w:rPr>
            </w:pPr>
            <w:r>
              <w:rPr>
                <w:sz w:val="18"/>
              </w:rPr>
              <w:t>(2.36)</w:t>
            </w:r>
          </w:p>
        </w:tc>
        <w:tc>
          <w:tcPr>
            <w:tcW w:w="852" w:type="dxa"/>
          </w:tcPr>
          <w:p w:rsidR="007C5447" w:rsidRDefault="00F6308C">
            <w:pPr>
              <w:pStyle w:val="TableParagraph"/>
              <w:spacing w:before="45"/>
              <w:ind w:right="132"/>
              <w:rPr>
                <w:sz w:val="18"/>
              </w:rPr>
            </w:pPr>
            <w:r>
              <w:rPr>
                <w:sz w:val="18"/>
              </w:rPr>
              <w:t>0.14</w:t>
            </w:r>
          </w:p>
        </w:tc>
        <w:tc>
          <w:tcPr>
            <w:tcW w:w="941" w:type="dxa"/>
          </w:tcPr>
          <w:p w:rsidR="007C5447" w:rsidRDefault="00F6308C">
            <w:pPr>
              <w:pStyle w:val="TableParagraph"/>
              <w:spacing w:before="45"/>
              <w:ind w:right="132"/>
              <w:rPr>
                <w:sz w:val="18"/>
              </w:rPr>
            </w:pPr>
            <w:r>
              <w:rPr>
                <w:sz w:val="18"/>
              </w:rPr>
              <w:t>0.51</w:t>
            </w:r>
          </w:p>
        </w:tc>
        <w:tc>
          <w:tcPr>
            <w:tcW w:w="1087" w:type="dxa"/>
          </w:tcPr>
          <w:p w:rsidR="007C5447" w:rsidRDefault="00F6308C">
            <w:pPr>
              <w:pStyle w:val="TableParagraph"/>
              <w:spacing w:before="45"/>
              <w:ind w:right="132"/>
              <w:rPr>
                <w:sz w:val="18"/>
              </w:rPr>
            </w:pPr>
            <w:r>
              <w:rPr>
                <w:sz w:val="18"/>
              </w:rPr>
              <w:t>94.86</w:t>
            </w:r>
          </w:p>
        </w:tc>
        <w:tc>
          <w:tcPr>
            <w:tcW w:w="1039" w:type="dxa"/>
          </w:tcPr>
          <w:p w:rsidR="007C5447" w:rsidRDefault="00F6308C">
            <w:pPr>
              <w:pStyle w:val="TableParagraph"/>
              <w:spacing w:before="45"/>
              <w:ind w:right="131"/>
              <w:rPr>
                <w:sz w:val="18"/>
              </w:rPr>
            </w:pPr>
            <w:r>
              <w:rPr>
                <w:sz w:val="18"/>
              </w:rPr>
              <w:t>94.86</w:t>
            </w:r>
          </w:p>
        </w:tc>
      </w:tr>
      <w:tr w:rsidR="007C5447">
        <w:trPr>
          <w:trHeight w:val="299"/>
        </w:trPr>
        <w:tc>
          <w:tcPr>
            <w:tcW w:w="504" w:type="dxa"/>
          </w:tcPr>
          <w:p w:rsidR="007C5447" w:rsidRDefault="00F6308C">
            <w:pPr>
              <w:pStyle w:val="TableParagraph"/>
              <w:spacing w:before="47"/>
              <w:ind w:left="8"/>
              <w:jc w:val="center"/>
              <w:rPr>
                <w:sz w:val="18"/>
              </w:rPr>
            </w:pPr>
            <w:r>
              <w:rPr>
                <w:sz w:val="18"/>
              </w:rPr>
              <w:t>8</w:t>
            </w:r>
          </w:p>
        </w:tc>
        <w:tc>
          <w:tcPr>
            <w:tcW w:w="2095" w:type="dxa"/>
          </w:tcPr>
          <w:p w:rsidR="007C5447" w:rsidRDefault="00F6308C">
            <w:pPr>
              <w:pStyle w:val="TableParagraph"/>
              <w:spacing w:before="47"/>
              <w:ind w:left="108"/>
              <w:jc w:val="left"/>
              <w:rPr>
                <w:sz w:val="18"/>
              </w:rPr>
            </w:pPr>
            <w:r>
              <w:rPr>
                <w:sz w:val="18"/>
              </w:rPr>
              <w:t>Kuttalam GTPS</w:t>
            </w:r>
          </w:p>
        </w:tc>
        <w:tc>
          <w:tcPr>
            <w:tcW w:w="1207" w:type="dxa"/>
          </w:tcPr>
          <w:p w:rsidR="007C5447" w:rsidRDefault="00F6308C">
            <w:pPr>
              <w:pStyle w:val="TableParagraph"/>
              <w:spacing w:before="47"/>
              <w:ind w:right="130"/>
              <w:rPr>
                <w:sz w:val="18"/>
              </w:rPr>
            </w:pPr>
            <w:r>
              <w:rPr>
                <w:sz w:val="18"/>
              </w:rPr>
              <w:t>26.62</w:t>
            </w:r>
          </w:p>
        </w:tc>
        <w:tc>
          <w:tcPr>
            <w:tcW w:w="927" w:type="dxa"/>
          </w:tcPr>
          <w:p w:rsidR="007C5447" w:rsidRDefault="00F6308C">
            <w:pPr>
              <w:pStyle w:val="TableParagraph"/>
              <w:spacing w:before="47"/>
              <w:ind w:right="130"/>
              <w:rPr>
                <w:sz w:val="18"/>
              </w:rPr>
            </w:pPr>
            <w:r>
              <w:rPr>
                <w:sz w:val="18"/>
              </w:rPr>
              <w:t>52.40</w:t>
            </w:r>
          </w:p>
        </w:tc>
        <w:tc>
          <w:tcPr>
            <w:tcW w:w="766" w:type="dxa"/>
          </w:tcPr>
          <w:p w:rsidR="007C5447" w:rsidRDefault="00F6308C">
            <w:pPr>
              <w:pStyle w:val="TableParagraph"/>
              <w:spacing w:before="47"/>
              <w:ind w:right="129"/>
              <w:rPr>
                <w:sz w:val="18"/>
              </w:rPr>
            </w:pPr>
            <w:r>
              <w:rPr>
                <w:w w:val="99"/>
                <w:sz w:val="18"/>
              </w:rPr>
              <w:t>-</w:t>
            </w:r>
          </w:p>
        </w:tc>
        <w:tc>
          <w:tcPr>
            <w:tcW w:w="790" w:type="dxa"/>
          </w:tcPr>
          <w:p w:rsidR="007C5447" w:rsidRDefault="00F6308C">
            <w:pPr>
              <w:pStyle w:val="TableParagraph"/>
              <w:spacing w:before="47"/>
              <w:ind w:right="128"/>
              <w:rPr>
                <w:sz w:val="18"/>
              </w:rPr>
            </w:pPr>
            <w:r>
              <w:rPr>
                <w:sz w:val="18"/>
              </w:rPr>
              <w:t>16.64</w:t>
            </w:r>
          </w:p>
        </w:tc>
        <w:tc>
          <w:tcPr>
            <w:tcW w:w="929" w:type="dxa"/>
          </w:tcPr>
          <w:p w:rsidR="007C5447" w:rsidRDefault="00F6308C">
            <w:pPr>
              <w:pStyle w:val="TableParagraph"/>
              <w:spacing w:before="47"/>
              <w:ind w:right="134"/>
              <w:rPr>
                <w:sz w:val="18"/>
              </w:rPr>
            </w:pPr>
            <w:r>
              <w:rPr>
                <w:sz w:val="18"/>
              </w:rPr>
              <w:t>8.85</w:t>
            </w:r>
          </w:p>
        </w:tc>
        <w:tc>
          <w:tcPr>
            <w:tcW w:w="781" w:type="dxa"/>
          </w:tcPr>
          <w:p w:rsidR="007C5447" w:rsidRDefault="00F6308C">
            <w:pPr>
              <w:pStyle w:val="TableParagraph"/>
              <w:spacing w:before="47"/>
              <w:ind w:right="133"/>
              <w:rPr>
                <w:sz w:val="18"/>
              </w:rPr>
            </w:pPr>
            <w:r>
              <w:rPr>
                <w:w w:val="99"/>
                <w:sz w:val="18"/>
              </w:rPr>
              <w:t>-</w:t>
            </w:r>
          </w:p>
        </w:tc>
        <w:tc>
          <w:tcPr>
            <w:tcW w:w="946" w:type="dxa"/>
          </w:tcPr>
          <w:p w:rsidR="007C5447" w:rsidRDefault="00F6308C">
            <w:pPr>
              <w:pStyle w:val="TableParagraph"/>
              <w:spacing w:before="47"/>
              <w:ind w:right="131"/>
              <w:rPr>
                <w:sz w:val="18"/>
              </w:rPr>
            </w:pPr>
            <w:r>
              <w:rPr>
                <w:w w:val="99"/>
                <w:sz w:val="18"/>
              </w:rPr>
              <w:t>-</w:t>
            </w:r>
          </w:p>
        </w:tc>
        <w:tc>
          <w:tcPr>
            <w:tcW w:w="1313" w:type="dxa"/>
          </w:tcPr>
          <w:p w:rsidR="007C5447" w:rsidRDefault="00F6308C">
            <w:pPr>
              <w:pStyle w:val="TableParagraph"/>
              <w:spacing w:before="47"/>
              <w:ind w:right="131"/>
              <w:rPr>
                <w:sz w:val="18"/>
              </w:rPr>
            </w:pPr>
            <w:r>
              <w:rPr>
                <w:sz w:val="18"/>
              </w:rPr>
              <w:t>(0.17)</w:t>
            </w:r>
          </w:p>
        </w:tc>
        <w:tc>
          <w:tcPr>
            <w:tcW w:w="852" w:type="dxa"/>
          </w:tcPr>
          <w:p w:rsidR="007C5447" w:rsidRDefault="00F6308C">
            <w:pPr>
              <w:pStyle w:val="TableParagraph"/>
              <w:spacing w:before="47"/>
              <w:ind w:right="132"/>
              <w:rPr>
                <w:sz w:val="18"/>
              </w:rPr>
            </w:pPr>
            <w:r>
              <w:rPr>
                <w:sz w:val="18"/>
              </w:rPr>
              <w:t>0.11</w:t>
            </w:r>
          </w:p>
        </w:tc>
        <w:tc>
          <w:tcPr>
            <w:tcW w:w="941" w:type="dxa"/>
          </w:tcPr>
          <w:p w:rsidR="007C5447" w:rsidRDefault="00F6308C">
            <w:pPr>
              <w:pStyle w:val="TableParagraph"/>
              <w:spacing w:before="47"/>
              <w:ind w:right="132"/>
              <w:rPr>
                <w:sz w:val="18"/>
              </w:rPr>
            </w:pPr>
            <w:r>
              <w:rPr>
                <w:sz w:val="18"/>
              </w:rPr>
              <w:t>0.48</w:t>
            </w:r>
          </w:p>
        </w:tc>
        <w:tc>
          <w:tcPr>
            <w:tcW w:w="1087" w:type="dxa"/>
          </w:tcPr>
          <w:p w:rsidR="007C5447" w:rsidRDefault="00F6308C">
            <w:pPr>
              <w:pStyle w:val="TableParagraph"/>
              <w:spacing w:before="47"/>
              <w:ind w:right="132"/>
              <w:rPr>
                <w:sz w:val="18"/>
              </w:rPr>
            </w:pPr>
            <w:r>
              <w:rPr>
                <w:sz w:val="18"/>
              </w:rPr>
              <w:t>104.70</w:t>
            </w:r>
          </w:p>
        </w:tc>
        <w:tc>
          <w:tcPr>
            <w:tcW w:w="1039" w:type="dxa"/>
          </w:tcPr>
          <w:p w:rsidR="007C5447" w:rsidRDefault="00F6308C">
            <w:pPr>
              <w:pStyle w:val="TableParagraph"/>
              <w:spacing w:before="47"/>
              <w:ind w:right="132"/>
              <w:rPr>
                <w:sz w:val="18"/>
              </w:rPr>
            </w:pPr>
            <w:r>
              <w:rPr>
                <w:sz w:val="18"/>
              </w:rPr>
              <w:t>104.70</w:t>
            </w:r>
          </w:p>
        </w:tc>
      </w:tr>
      <w:tr w:rsidR="007C5447">
        <w:trPr>
          <w:trHeight w:val="299"/>
        </w:trPr>
        <w:tc>
          <w:tcPr>
            <w:tcW w:w="504" w:type="dxa"/>
          </w:tcPr>
          <w:p w:rsidR="007C5447" w:rsidRDefault="00F6308C">
            <w:pPr>
              <w:pStyle w:val="TableParagraph"/>
              <w:spacing w:before="47"/>
              <w:ind w:left="8"/>
              <w:jc w:val="center"/>
              <w:rPr>
                <w:sz w:val="18"/>
              </w:rPr>
            </w:pPr>
            <w:r>
              <w:rPr>
                <w:sz w:val="18"/>
              </w:rPr>
              <w:t>9</w:t>
            </w:r>
          </w:p>
        </w:tc>
        <w:tc>
          <w:tcPr>
            <w:tcW w:w="2095" w:type="dxa"/>
          </w:tcPr>
          <w:p w:rsidR="007C5447" w:rsidRDefault="00F6308C">
            <w:pPr>
              <w:pStyle w:val="TableParagraph"/>
              <w:spacing w:before="47"/>
              <w:ind w:left="108"/>
              <w:jc w:val="left"/>
              <w:rPr>
                <w:sz w:val="18"/>
              </w:rPr>
            </w:pPr>
            <w:r>
              <w:rPr>
                <w:sz w:val="18"/>
              </w:rPr>
              <w:t>Basin Bridge GTPS</w:t>
            </w:r>
          </w:p>
        </w:tc>
        <w:tc>
          <w:tcPr>
            <w:tcW w:w="1207" w:type="dxa"/>
          </w:tcPr>
          <w:p w:rsidR="007C5447" w:rsidRDefault="00F6308C">
            <w:pPr>
              <w:pStyle w:val="TableParagraph"/>
              <w:spacing w:before="47"/>
              <w:ind w:right="130"/>
              <w:rPr>
                <w:sz w:val="18"/>
              </w:rPr>
            </w:pPr>
            <w:r>
              <w:rPr>
                <w:sz w:val="18"/>
              </w:rPr>
              <w:t>29.55</w:t>
            </w:r>
          </w:p>
        </w:tc>
        <w:tc>
          <w:tcPr>
            <w:tcW w:w="927" w:type="dxa"/>
          </w:tcPr>
          <w:p w:rsidR="007C5447" w:rsidRDefault="00F6308C">
            <w:pPr>
              <w:pStyle w:val="TableParagraph"/>
              <w:spacing w:before="47"/>
              <w:ind w:right="130"/>
              <w:rPr>
                <w:sz w:val="18"/>
              </w:rPr>
            </w:pPr>
            <w:r>
              <w:rPr>
                <w:sz w:val="18"/>
              </w:rPr>
              <w:t>10.45</w:t>
            </w:r>
          </w:p>
        </w:tc>
        <w:tc>
          <w:tcPr>
            <w:tcW w:w="766" w:type="dxa"/>
          </w:tcPr>
          <w:p w:rsidR="007C5447" w:rsidRDefault="00F6308C">
            <w:pPr>
              <w:pStyle w:val="TableParagraph"/>
              <w:spacing w:before="47"/>
              <w:ind w:right="129"/>
              <w:rPr>
                <w:sz w:val="18"/>
              </w:rPr>
            </w:pPr>
            <w:r>
              <w:rPr>
                <w:w w:val="99"/>
                <w:sz w:val="18"/>
              </w:rPr>
              <w:t>-</w:t>
            </w:r>
          </w:p>
        </w:tc>
        <w:tc>
          <w:tcPr>
            <w:tcW w:w="790" w:type="dxa"/>
          </w:tcPr>
          <w:p w:rsidR="007C5447" w:rsidRDefault="00F6308C">
            <w:pPr>
              <w:pStyle w:val="TableParagraph"/>
              <w:spacing w:before="47"/>
              <w:ind w:right="128"/>
              <w:rPr>
                <w:sz w:val="18"/>
              </w:rPr>
            </w:pPr>
            <w:r>
              <w:rPr>
                <w:sz w:val="18"/>
              </w:rPr>
              <w:t>13.60</w:t>
            </w:r>
          </w:p>
        </w:tc>
        <w:tc>
          <w:tcPr>
            <w:tcW w:w="929" w:type="dxa"/>
          </w:tcPr>
          <w:p w:rsidR="007C5447" w:rsidRDefault="00F6308C">
            <w:pPr>
              <w:pStyle w:val="TableParagraph"/>
              <w:spacing w:before="47"/>
              <w:ind w:right="134"/>
              <w:rPr>
                <w:sz w:val="18"/>
              </w:rPr>
            </w:pPr>
            <w:r>
              <w:rPr>
                <w:sz w:val="18"/>
              </w:rPr>
              <w:t>7.50</w:t>
            </w:r>
          </w:p>
        </w:tc>
        <w:tc>
          <w:tcPr>
            <w:tcW w:w="781" w:type="dxa"/>
          </w:tcPr>
          <w:p w:rsidR="007C5447" w:rsidRDefault="00F6308C">
            <w:pPr>
              <w:pStyle w:val="TableParagraph"/>
              <w:spacing w:before="47"/>
              <w:ind w:right="133"/>
              <w:rPr>
                <w:sz w:val="18"/>
              </w:rPr>
            </w:pPr>
            <w:r>
              <w:rPr>
                <w:w w:val="99"/>
                <w:sz w:val="18"/>
              </w:rPr>
              <w:t>-</w:t>
            </w:r>
          </w:p>
        </w:tc>
        <w:tc>
          <w:tcPr>
            <w:tcW w:w="946" w:type="dxa"/>
          </w:tcPr>
          <w:p w:rsidR="007C5447" w:rsidRDefault="00F6308C">
            <w:pPr>
              <w:pStyle w:val="TableParagraph"/>
              <w:spacing w:before="47"/>
              <w:ind w:right="131"/>
              <w:rPr>
                <w:sz w:val="18"/>
              </w:rPr>
            </w:pPr>
            <w:r>
              <w:rPr>
                <w:w w:val="99"/>
                <w:sz w:val="18"/>
              </w:rPr>
              <w:t>-</w:t>
            </w:r>
          </w:p>
        </w:tc>
        <w:tc>
          <w:tcPr>
            <w:tcW w:w="1313" w:type="dxa"/>
          </w:tcPr>
          <w:p w:rsidR="007C5447" w:rsidRDefault="00F6308C">
            <w:pPr>
              <w:pStyle w:val="TableParagraph"/>
              <w:spacing w:before="47"/>
              <w:ind w:right="135"/>
              <w:rPr>
                <w:sz w:val="18"/>
              </w:rPr>
            </w:pPr>
            <w:r>
              <w:rPr>
                <w:sz w:val="18"/>
              </w:rPr>
              <w:t>0.01</w:t>
            </w:r>
          </w:p>
        </w:tc>
        <w:tc>
          <w:tcPr>
            <w:tcW w:w="852" w:type="dxa"/>
          </w:tcPr>
          <w:p w:rsidR="007C5447" w:rsidRDefault="00F6308C">
            <w:pPr>
              <w:pStyle w:val="TableParagraph"/>
              <w:spacing w:before="47"/>
              <w:ind w:right="132"/>
              <w:rPr>
                <w:sz w:val="18"/>
              </w:rPr>
            </w:pPr>
            <w:r>
              <w:rPr>
                <w:sz w:val="18"/>
              </w:rPr>
              <w:t>0.05</w:t>
            </w:r>
          </w:p>
        </w:tc>
        <w:tc>
          <w:tcPr>
            <w:tcW w:w="941" w:type="dxa"/>
          </w:tcPr>
          <w:p w:rsidR="007C5447" w:rsidRDefault="00F6308C">
            <w:pPr>
              <w:pStyle w:val="TableParagraph"/>
              <w:spacing w:before="47"/>
              <w:ind w:right="132"/>
              <w:rPr>
                <w:sz w:val="18"/>
              </w:rPr>
            </w:pPr>
            <w:r>
              <w:rPr>
                <w:sz w:val="18"/>
              </w:rPr>
              <w:t>0.47</w:t>
            </w:r>
          </w:p>
        </w:tc>
        <w:tc>
          <w:tcPr>
            <w:tcW w:w="1087" w:type="dxa"/>
          </w:tcPr>
          <w:p w:rsidR="007C5447" w:rsidRDefault="00F6308C">
            <w:pPr>
              <w:pStyle w:val="TableParagraph"/>
              <w:spacing w:before="47"/>
              <w:ind w:right="132"/>
              <w:rPr>
                <w:sz w:val="18"/>
              </w:rPr>
            </w:pPr>
            <w:r>
              <w:rPr>
                <w:sz w:val="18"/>
              </w:rPr>
              <w:t>61.54</w:t>
            </w:r>
          </w:p>
        </w:tc>
        <w:tc>
          <w:tcPr>
            <w:tcW w:w="1039" w:type="dxa"/>
          </w:tcPr>
          <w:p w:rsidR="007C5447" w:rsidRDefault="00F6308C">
            <w:pPr>
              <w:pStyle w:val="TableParagraph"/>
              <w:spacing w:before="47"/>
              <w:ind w:right="131"/>
              <w:rPr>
                <w:sz w:val="18"/>
              </w:rPr>
            </w:pPr>
            <w:r>
              <w:rPr>
                <w:sz w:val="18"/>
              </w:rPr>
              <w:t>61.54</w:t>
            </w:r>
          </w:p>
        </w:tc>
      </w:tr>
      <w:tr w:rsidR="007C5447">
        <w:trPr>
          <w:trHeight w:val="301"/>
        </w:trPr>
        <w:tc>
          <w:tcPr>
            <w:tcW w:w="504" w:type="dxa"/>
          </w:tcPr>
          <w:p w:rsidR="007C5447" w:rsidRDefault="00F6308C">
            <w:pPr>
              <w:pStyle w:val="TableParagraph"/>
              <w:spacing w:before="47"/>
              <w:ind w:left="86" w:right="77"/>
              <w:jc w:val="center"/>
              <w:rPr>
                <w:sz w:val="18"/>
              </w:rPr>
            </w:pPr>
            <w:r>
              <w:rPr>
                <w:sz w:val="18"/>
              </w:rPr>
              <w:t>10</w:t>
            </w:r>
          </w:p>
        </w:tc>
        <w:tc>
          <w:tcPr>
            <w:tcW w:w="2095" w:type="dxa"/>
          </w:tcPr>
          <w:p w:rsidR="007C5447" w:rsidRDefault="00F6308C">
            <w:pPr>
              <w:pStyle w:val="TableParagraph"/>
              <w:spacing w:before="47"/>
              <w:ind w:left="108"/>
              <w:jc w:val="left"/>
              <w:rPr>
                <w:sz w:val="18"/>
              </w:rPr>
            </w:pPr>
            <w:r>
              <w:rPr>
                <w:sz w:val="18"/>
              </w:rPr>
              <w:t>Valuthur Unit</w:t>
            </w:r>
          </w:p>
        </w:tc>
        <w:tc>
          <w:tcPr>
            <w:tcW w:w="1207" w:type="dxa"/>
          </w:tcPr>
          <w:p w:rsidR="007C5447" w:rsidRDefault="00F6308C">
            <w:pPr>
              <w:pStyle w:val="TableParagraph"/>
              <w:spacing w:before="47"/>
              <w:ind w:right="130"/>
              <w:rPr>
                <w:sz w:val="18"/>
              </w:rPr>
            </w:pPr>
            <w:r>
              <w:rPr>
                <w:sz w:val="18"/>
              </w:rPr>
              <w:t>37.52</w:t>
            </w:r>
          </w:p>
        </w:tc>
        <w:tc>
          <w:tcPr>
            <w:tcW w:w="927" w:type="dxa"/>
          </w:tcPr>
          <w:p w:rsidR="007C5447" w:rsidRDefault="00F6308C">
            <w:pPr>
              <w:pStyle w:val="TableParagraph"/>
              <w:spacing w:before="47"/>
              <w:ind w:right="133"/>
              <w:rPr>
                <w:sz w:val="18"/>
              </w:rPr>
            </w:pPr>
            <w:r>
              <w:rPr>
                <w:sz w:val="18"/>
              </w:rPr>
              <w:t>104.67</w:t>
            </w:r>
          </w:p>
        </w:tc>
        <w:tc>
          <w:tcPr>
            <w:tcW w:w="766" w:type="dxa"/>
          </w:tcPr>
          <w:p w:rsidR="007C5447" w:rsidRDefault="00F6308C">
            <w:pPr>
              <w:pStyle w:val="TableParagraph"/>
              <w:spacing w:before="47"/>
              <w:ind w:right="129"/>
              <w:rPr>
                <w:sz w:val="18"/>
              </w:rPr>
            </w:pPr>
            <w:r>
              <w:rPr>
                <w:w w:val="99"/>
                <w:sz w:val="18"/>
              </w:rPr>
              <w:t>-</w:t>
            </w:r>
          </w:p>
        </w:tc>
        <w:tc>
          <w:tcPr>
            <w:tcW w:w="790" w:type="dxa"/>
          </w:tcPr>
          <w:p w:rsidR="007C5447" w:rsidRDefault="00F6308C">
            <w:pPr>
              <w:pStyle w:val="TableParagraph"/>
              <w:spacing w:before="47"/>
              <w:ind w:right="128"/>
              <w:rPr>
                <w:sz w:val="18"/>
              </w:rPr>
            </w:pPr>
            <w:r>
              <w:rPr>
                <w:sz w:val="18"/>
              </w:rPr>
              <w:t>25.82</w:t>
            </w:r>
          </w:p>
        </w:tc>
        <w:tc>
          <w:tcPr>
            <w:tcW w:w="929" w:type="dxa"/>
          </w:tcPr>
          <w:p w:rsidR="007C5447" w:rsidRDefault="00F6308C">
            <w:pPr>
              <w:pStyle w:val="TableParagraph"/>
              <w:spacing w:before="47"/>
              <w:ind w:right="131"/>
              <w:rPr>
                <w:sz w:val="18"/>
              </w:rPr>
            </w:pPr>
            <w:r>
              <w:rPr>
                <w:sz w:val="18"/>
              </w:rPr>
              <w:t>11.11</w:t>
            </w:r>
          </w:p>
        </w:tc>
        <w:tc>
          <w:tcPr>
            <w:tcW w:w="781" w:type="dxa"/>
          </w:tcPr>
          <w:p w:rsidR="007C5447" w:rsidRDefault="00F6308C">
            <w:pPr>
              <w:pStyle w:val="TableParagraph"/>
              <w:spacing w:before="47"/>
              <w:ind w:right="133"/>
              <w:rPr>
                <w:sz w:val="18"/>
              </w:rPr>
            </w:pPr>
            <w:r>
              <w:rPr>
                <w:w w:val="99"/>
                <w:sz w:val="18"/>
              </w:rPr>
              <w:t>-</w:t>
            </w:r>
          </w:p>
        </w:tc>
        <w:tc>
          <w:tcPr>
            <w:tcW w:w="946" w:type="dxa"/>
          </w:tcPr>
          <w:p w:rsidR="007C5447" w:rsidRDefault="00F6308C">
            <w:pPr>
              <w:pStyle w:val="TableParagraph"/>
              <w:spacing w:before="47"/>
              <w:ind w:right="131"/>
              <w:rPr>
                <w:sz w:val="18"/>
              </w:rPr>
            </w:pPr>
            <w:r>
              <w:rPr>
                <w:w w:val="99"/>
                <w:sz w:val="18"/>
              </w:rPr>
              <w:t>-</w:t>
            </w:r>
          </w:p>
        </w:tc>
        <w:tc>
          <w:tcPr>
            <w:tcW w:w="1313" w:type="dxa"/>
          </w:tcPr>
          <w:p w:rsidR="007C5447" w:rsidRDefault="00F6308C">
            <w:pPr>
              <w:pStyle w:val="TableParagraph"/>
              <w:spacing w:before="47"/>
              <w:ind w:right="135"/>
              <w:rPr>
                <w:sz w:val="18"/>
              </w:rPr>
            </w:pPr>
            <w:r>
              <w:rPr>
                <w:sz w:val="18"/>
              </w:rPr>
              <w:t>1.97</w:t>
            </w:r>
          </w:p>
        </w:tc>
        <w:tc>
          <w:tcPr>
            <w:tcW w:w="852" w:type="dxa"/>
          </w:tcPr>
          <w:p w:rsidR="007C5447" w:rsidRDefault="00F6308C">
            <w:pPr>
              <w:pStyle w:val="TableParagraph"/>
              <w:spacing w:before="47"/>
              <w:ind w:right="132"/>
              <w:rPr>
                <w:sz w:val="18"/>
              </w:rPr>
            </w:pPr>
            <w:r>
              <w:rPr>
                <w:sz w:val="18"/>
              </w:rPr>
              <w:t>0.15</w:t>
            </w:r>
          </w:p>
        </w:tc>
        <w:tc>
          <w:tcPr>
            <w:tcW w:w="941" w:type="dxa"/>
          </w:tcPr>
          <w:p w:rsidR="007C5447" w:rsidRDefault="00F6308C">
            <w:pPr>
              <w:pStyle w:val="TableParagraph"/>
              <w:spacing w:before="47"/>
              <w:ind w:right="132"/>
              <w:rPr>
                <w:sz w:val="18"/>
              </w:rPr>
            </w:pPr>
            <w:r>
              <w:rPr>
                <w:sz w:val="18"/>
              </w:rPr>
              <w:t>0.86</w:t>
            </w:r>
          </w:p>
        </w:tc>
        <w:tc>
          <w:tcPr>
            <w:tcW w:w="1087" w:type="dxa"/>
          </w:tcPr>
          <w:p w:rsidR="007C5447" w:rsidRDefault="00F6308C">
            <w:pPr>
              <w:pStyle w:val="TableParagraph"/>
              <w:spacing w:before="47"/>
              <w:ind w:right="132"/>
              <w:rPr>
                <w:sz w:val="18"/>
              </w:rPr>
            </w:pPr>
            <w:r>
              <w:rPr>
                <w:sz w:val="18"/>
              </w:rPr>
              <w:t>181.79</w:t>
            </w:r>
          </w:p>
        </w:tc>
        <w:tc>
          <w:tcPr>
            <w:tcW w:w="1039" w:type="dxa"/>
          </w:tcPr>
          <w:p w:rsidR="007C5447" w:rsidRDefault="00F6308C">
            <w:pPr>
              <w:pStyle w:val="TableParagraph"/>
              <w:spacing w:before="47"/>
              <w:ind w:right="132"/>
              <w:rPr>
                <w:sz w:val="18"/>
              </w:rPr>
            </w:pPr>
            <w:r>
              <w:rPr>
                <w:sz w:val="18"/>
              </w:rPr>
              <w:t>181.79</w:t>
            </w:r>
          </w:p>
        </w:tc>
      </w:tr>
      <w:tr w:rsidR="007C5447">
        <w:trPr>
          <w:trHeight w:val="300"/>
        </w:trPr>
        <w:tc>
          <w:tcPr>
            <w:tcW w:w="504" w:type="dxa"/>
          </w:tcPr>
          <w:p w:rsidR="007C5447" w:rsidRDefault="00F6308C">
            <w:pPr>
              <w:pStyle w:val="TableParagraph"/>
              <w:spacing w:before="45"/>
              <w:ind w:left="133" w:right="13"/>
              <w:jc w:val="center"/>
              <w:rPr>
                <w:sz w:val="18"/>
              </w:rPr>
            </w:pPr>
            <w:r>
              <w:rPr>
                <w:sz w:val="18"/>
              </w:rPr>
              <w:t>11</w:t>
            </w:r>
          </w:p>
        </w:tc>
        <w:tc>
          <w:tcPr>
            <w:tcW w:w="2095" w:type="dxa"/>
          </w:tcPr>
          <w:p w:rsidR="007C5447" w:rsidRDefault="00F6308C">
            <w:pPr>
              <w:pStyle w:val="TableParagraph"/>
              <w:spacing w:before="45"/>
              <w:ind w:left="108"/>
              <w:jc w:val="left"/>
              <w:rPr>
                <w:sz w:val="18"/>
              </w:rPr>
            </w:pPr>
            <w:r>
              <w:rPr>
                <w:sz w:val="18"/>
              </w:rPr>
              <w:t>Erode HEP</w:t>
            </w:r>
          </w:p>
        </w:tc>
        <w:tc>
          <w:tcPr>
            <w:tcW w:w="1207" w:type="dxa"/>
          </w:tcPr>
          <w:p w:rsidR="007C5447" w:rsidRDefault="00F6308C">
            <w:pPr>
              <w:pStyle w:val="TableParagraph"/>
              <w:spacing w:before="45"/>
              <w:ind w:right="130"/>
              <w:rPr>
                <w:sz w:val="18"/>
              </w:rPr>
            </w:pPr>
            <w:r>
              <w:rPr>
                <w:sz w:val="18"/>
              </w:rPr>
              <w:t>52.87</w:t>
            </w:r>
          </w:p>
        </w:tc>
        <w:tc>
          <w:tcPr>
            <w:tcW w:w="927" w:type="dxa"/>
          </w:tcPr>
          <w:p w:rsidR="007C5447" w:rsidRDefault="00F6308C">
            <w:pPr>
              <w:pStyle w:val="TableParagraph"/>
              <w:spacing w:before="45"/>
              <w:ind w:right="133"/>
              <w:rPr>
                <w:sz w:val="18"/>
              </w:rPr>
            </w:pPr>
            <w:r>
              <w:rPr>
                <w:sz w:val="18"/>
              </w:rPr>
              <w:t>220.30</w:t>
            </w:r>
          </w:p>
        </w:tc>
        <w:tc>
          <w:tcPr>
            <w:tcW w:w="766" w:type="dxa"/>
          </w:tcPr>
          <w:p w:rsidR="007C5447" w:rsidRDefault="00F6308C">
            <w:pPr>
              <w:pStyle w:val="TableParagraph"/>
              <w:spacing w:before="45"/>
              <w:ind w:right="129"/>
              <w:rPr>
                <w:sz w:val="18"/>
              </w:rPr>
            </w:pPr>
            <w:r>
              <w:rPr>
                <w:w w:val="99"/>
                <w:sz w:val="18"/>
              </w:rPr>
              <w:t>-</w:t>
            </w:r>
          </w:p>
        </w:tc>
        <w:tc>
          <w:tcPr>
            <w:tcW w:w="790" w:type="dxa"/>
          </w:tcPr>
          <w:p w:rsidR="007C5447" w:rsidRDefault="00F6308C">
            <w:pPr>
              <w:pStyle w:val="TableParagraph"/>
              <w:spacing w:before="45"/>
              <w:ind w:right="131"/>
              <w:rPr>
                <w:sz w:val="18"/>
              </w:rPr>
            </w:pPr>
            <w:r>
              <w:rPr>
                <w:sz w:val="18"/>
              </w:rPr>
              <w:t>7.89</w:t>
            </w:r>
          </w:p>
        </w:tc>
        <w:tc>
          <w:tcPr>
            <w:tcW w:w="929" w:type="dxa"/>
          </w:tcPr>
          <w:p w:rsidR="007C5447" w:rsidRDefault="00F6308C">
            <w:pPr>
              <w:pStyle w:val="TableParagraph"/>
              <w:spacing w:before="45"/>
              <w:ind w:right="131"/>
              <w:rPr>
                <w:sz w:val="18"/>
              </w:rPr>
            </w:pPr>
            <w:r>
              <w:rPr>
                <w:sz w:val="18"/>
              </w:rPr>
              <w:t>45.26</w:t>
            </w:r>
          </w:p>
        </w:tc>
        <w:tc>
          <w:tcPr>
            <w:tcW w:w="781" w:type="dxa"/>
          </w:tcPr>
          <w:p w:rsidR="007C5447" w:rsidRDefault="00F6308C">
            <w:pPr>
              <w:pStyle w:val="TableParagraph"/>
              <w:spacing w:before="45"/>
              <w:ind w:right="133"/>
              <w:rPr>
                <w:sz w:val="18"/>
              </w:rPr>
            </w:pPr>
            <w:r>
              <w:rPr>
                <w:w w:val="99"/>
                <w:sz w:val="18"/>
              </w:rPr>
              <w:t>-</w:t>
            </w:r>
          </w:p>
        </w:tc>
        <w:tc>
          <w:tcPr>
            <w:tcW w:w="946" w:type="dxa"/>
          </w:tcPr>
          <w:p w:rsidR="007C5447" w:rsidRDefault="00F6308C">
            <w:pPr>
              <w:pStyle w:val="TableParagraph"/>
              <w:spacing w:before="45"/>
              <w:ind w:right="131"/>
              <w:rPr>
                <w:sz w:val="18"/>
              </w:rPr>
            </w:pPr>
            <w:r>
              <w:rPr>
                <w:w w:val="99"/>
                <w:sz w:val="18"/>
              </w:rPr>
              <w:t>-</w:t>
            </w:r>
          </w:p>
        </w:tc>
        <w:tc>
          <w:tcPr>
            <w:tcW w:w="1313" w:type="dxa"/>
          </w:tcPr>
          <w:p w:rsidR="007C5447" w:rsidRDefault="00F6308C">
            <w:pPr>
              <w:pStyle w:val="TableParagraph"/>
              <w:spacing w:before="45"/>
              <w:ind w:right="131"/>
              <w:rPr>
                <w:sz w:val="18"/>
              </w:rPr>
            </w:pPr>
            <w:r>
              <w:rPr>
                <w:sz w:val="18"/>
              </w:rPr>
              <w:t>(0.02)</w:t>
            </w:r>
          </w:p>
        </w:tc>
        <w:tc>
          <w:tcPr>
            <w:tcW w:w="852" w:type="dxa"/>
          </w:tcPr>
          <w:p w:rsidR="007C5447" w:rsidRDefault="00F6308C">
            <w:pPr>
              <w:pStyle w:val="TableParagraph"/>
              <w:spacing w:before="45"/>
              <w:ind w:right="132"/>
              <w:rPr>
                <w:sz w:val="18"/>
              </w:rPr>
            </w:pPr>
            <w:r>
              <w:rPr>
                <w:sz w:val="18"/>
              </w:rPr>
              <w:t>0.09</w:t>
            </w:r>
          </w:p>
        </w:tc>
        <w:tc>
          <w:tcPr>
            <w:tcW w:w="941" w:type="dxa"/>
          </w:tcPr>
          <w:p w:rsidR="007C5447" w:rsidRDefault="00F6308C">
            <w:pPr>
              <w:pStyle w:val="TableParagraph"/>
              <w:spacing w:before="45"/>
              <w:ind w:right="133"/>
              <w:rPr>
                <w:sz w:val="18"/>
              </w:rPr>
            </w:pPr>
            <w:r>
              <w:rPr>
                <w:sz w:val="18"/>
              </w:rPr>
              <w:t>2.59</w:t>
            </w:r>
          </w:p>
        </w:tc>
        <w:tc>
          <w:tcPr>
            <w:tcW w:w="1087" w:type="dxa"/>
          </w:tcPr>
          <w:p w:rsidR="007C5447" w:rsidRDefault="00F6308C">
            <w:pPr>
              <w:pStyle w:val="TableParagraph"/>
              <w:spacing w:before="45"/>
              <w:ind w:right="132"/>
              <w:rPr>
                <w:sz w:val="18"/>
              </w:rPr>
            </w:pPr>
            <w:r>
              <w:rPr>
                <w:sz w:val="18"/>
              </w:rPr>
              <w:t>328.81</w:t>
            </w:r>
          </w:p>
        </w:tc>
        <w:tc>
          <w:tcPr>
            <w:tcW w:w="1039" w:type="dxa"/>
          </w:tcPr>
          <w:p w:rsidR="007C5447" w:rsidRDefault="00F6308C">
            <w:pPr>
              <w:pStyle w:val="TableParagraph"/>
              <w:spacing w:before="45"/>
              <w:ind w:right="132"/>
              <w:rPr>
                <w:sz w:val="18"/>
              </w:rPr>
            </w:pPr>
            <w:r>
              <w:rPr>
                <w:sz w:val="18"/>
              </w:rPr>
              <w:t>328.81</w:t>
            </w:r>
          </w:p>
        </w:tc>
      </w:tr>
      <w:tr w:rsidR="007C5447">
        <w:trPr>
          <w:trHeight w:val="299"/>
        </w:trPr>
        <w:tc>
          <w:tcPr>
            <w:tcW w:w="504" w:type="dxa"/>
          </w:tcPr>
          <w:p w:rsidR="007C5447" w:rsidRDefault="00F6308C">
            <w:pPr>
              <w:pStyle w:val="TableParagraph"/>
              <w:spacing w:before="45"/>
              <w:ind w:left="86" w:right="77"/>
              <w:jc w:val="center"/>
              <w:rPr>
                <w:sz w:val="18"/>
              </w:rPr>
            </w:pPr>
            <w:r>
              <w:rPr>
                <w:sz w:val="18"/>
              </w:rPr>
              <w:t>12</w:t>
            </w:r>
          </w:p>
        </w:tc>
        <w:tc>
          <w:tcPr>
            <w:tcW w:w="2095" w:type="dxa"/>
          </w:tcPr>
          <w:p w:rsidR="007C5447" w:rsidRDefault="00F6308C">
            <w:pPr>
              <w:pStyle w:val="TableParagraph"/>
              <w:spacing w:before="45"/>
              <w:ind w:left="108"/>
              <w:jc w:val="left"/>
              <w:rPr>
                <w:sz w:val="18"/>
              </w:rPr>
            </w:pPr>
            <w:r>
              <w:rPr>
                <w:sz w:val="18"/>
              </w:rPr>
              <w:t>Kadamparai HEP</w:t>
            </w:r>
          </w:p>
        </w:tc>
        <w:tc>
          <w:tcPr>
            <w:tcW w:w="1207" w:type="dxa"/>
          </w:tcPr>
          <w:p w:rsidR="007C5447" w:rsidRDefault="00F6308C">
            <w:pPr>
              <w:pStyle w:val="TableParagraph"/>
              <w:spacing w:before="45"/>
              <w:ind w:right="130"/>
              <w:rPr>
                <w:sz w:val="18"/>
              </w:rPr>
            </w:pPr>
            <w:r>
              <w:rPr>
                <w:sz w:val="18"/>
              </w:rPr>
              <w:t>20.37</w:t>
            </w:r>
          </w:p>
        </w:tc>
        <w:tc>
          <w:tcPr>
            <w:tcW w:w="927" w:type="dxa"/>
          </w:tcPr>
          <w:p w:rsidR="007C5447" w:rsidRDefault="00F6308C">
            <w:pPr>
              <w:pStyle w:val="TableParagraph"/>
              <w:spacing w:before="45"/>
              <w:ind w:right="130"/>
              <w:rPr>
                <w:sz w:val="18"/>
              </w:rPr>
            </w:pPr>
            <w:r>
              <w:rPr>
                <w:sz w:val="18"/>
              </w:rPr>
              <w:t>30.71</w:t>
            </w:r>
          </w:p>
        </w:tc>
        <w:tc>
          <w:tcPr>
            <w:tcW w:w="766" w:type="dxa"/>
          </w:tcPr>
          <w:p w:rsidR="007C5447" w:rsidRDefault="00F6308C">
            <w:pPr>
              <w:pStyle w:val="TableParagraph"/>
              <w:spacing w:before="45"/>
              <w:ind w:right="129"/>
              <w:rPr>
                <w:sz w:val="18"/>
              </w:rPr>
            </w:pPr>
            <w:r>
              <w:rPr>
                <w:w w:val="99"/>
                <w:sz w:val="18"/>
              </w:rPr>
              <w:t>-</w:t>
            </w:r>
          </w:p>
        </w:tc>
        <w:tc>
          <w:tcPr>
            <w:tcW w:w="790" w:type="dxa"/>
          </w:tcPr>
          <w:p w:rsidR="007C5447" w:rsidRDefault="00F6308C">
            <w:pPr>
              <w:pStyle w:val="TableParagraph"/>
              <w:spacing w:before="45"/>
              <w:ind w:right="131"/>
              <w:rPr>
                <w:sz w:val="18"/>
              </w:rPr>
            </w:pPr>
            <w:r>
              <w:rPr>
                <w:sz w:val="18"/>
              </w:rPr>
              <w:t>7.53</w:t>
            </w:r>
          </w:p>
        </w:tc>
        <w:tc>
          <w:tcPr>
            <w:tcW w:w="929" w:type="dxa"/>
          </w:tcPr>
          <w:p w:rsidR="007C5447" w:rsidRDefault="00F6308C">
            <w:pPr>
              <w:pStyle w:val="TableParagraph"/>
              <w:spacing w:before="45"/>
              <w:ind w:right="131"/>
              <w:rPr>
                <w:sz w:val="18"/>
              </w:rPr>
            </w:pPr>
            <w:r>
              <w:rPr>
                <w:sz w:val="18"/>
              </w:rPr>
              <w:t>29.96</w:t>
            </w:r>
          </w:p>
        </w:tc>
        <w:tc>
          <w:tcPr>
            <w:tcW w:w="781" w:type="dxa"/>
          </w:tcPr>
          <w:p w:rsidR="007C5447" w:rsidRDefault="00F6308C">
            <w:pPr>
              <w:pStyle w:val="TableParagraph"/>
              <w:spacing w:before="45"/>
              <w:ind w:right="133"/>
              <w:rPr>
                <w:sz w:val="18"/>
              </w:rPr>
            </w:pPr>
            <w:r>
              <w:rPr>
                <w:w w:val="99"/>
                <w:sz w:val="18"/>
              </w:rPr>
              <w:t>-</w:t>
            </w:r>
          </w:p>
        </w:tc>
        <w:tc>
          <w:tcPr>
            <w:tcW w:w="946" w:type="dxa"/>
          </w:tcPr>
          <w:p w:rsidR="007C5447" w:rsidRDefault="00F6308C">
            <w:pPr>
              <w:pStyle w:val="TableParagraph"/>
              <w:spacing w:before="45"/>
              <w:ind w:right="131"/>
              <w:rPr>
                <w:sz w:val="18"/>
              </w:rPr>
            </w:pPr>
            <w:r>
              <w:rPr>
                <w:w w:val="99"/>
                <w:sz w:val="18"/>
              </w:rPr>
              <w:t>-</w:t>
            </w:r>
          </w:p>
        </w:tc>
        <w:tc>
          <w:tcPr>
            <w:tcW w:w="1313" w:type="dxa"/>
          </w:tcPr>
          <w:p w:rsidR="007C5447" w:rsidRDefault="00F6308C">
            <w:pPr>
              <w:pStyle w:val="TableParagraph"/>
              <w:spacing w:before="45"/>
              <w:ind w:right="131"/>
              <w:rPr>
                <w:sz w:val="18"/>
              </w:rPr>
            </w:pPr>
            <w:r>
              <w:rPr>
                <w:sz w:val="18"/>
              </w:rPr>
              <w:t>(3.55)</w:t>
            </w:r>
          </w:p>
        </w:tc>
        <w:tc>
          <w:tcPr>
            <w:tcW w:w="852" w:type="dxa"/>
          </w:tcPr>
          <w:p w:rsidR="007C5447" w:rsidRDefault="00F6308C">
            <w:pPr>
              <w:pStyle w:val="TableParagraph"/>
              <w:spacing w:before="45"/>
              <w:ind w:right="132"/>
              <w:rPr>
                <w:sz w:val="18"/>
              </w:rPr>
            </w:pPr>
            <w:r>
              <w:rPr>
                <w:sz w:val="18"/>
              </w:rPr>
              <w:t>0.24</w:t>
            </w:r>
          </w:p>
        </w:tc>
        <w:tc>
          <w:tcPr>
            <w:tcW w:w="941" w:type="dxa"/>
          </w:tcPr>
          <w:p w:rsidR="007C5447" w:rsidRDefault="00F6308C">
            <w:pPr>
              <w:pStyle w:val="TableParagraph"/>
              <w:spacing w:before="45"/>
              <w:ind w:right="132"/>
              <w:rPr>
                <w:sz w:val="18"/>
              </w:rPr>
            </w:pPr>
            <w:r>
              <w:rPr>
                <w:sz w:val="18"/>
              </w:rPr>
              <w:t>1.63</w:t>
            </w:r>
          </w:p>
        </w:tc>
        <w:tc>
          <w:tcPr>
            <w:tcW w:w="1087" w:type="dxa"/>
          </w:tcPr>
          <w:p w:rsidR="007C5447" w:rsidRDefault="00F6308C">
            <w:pPr>
              <w:pStyle w:val="TableParagraph"/>
              <w:spacing w:before="45"/>
              <w:ind w:right="132"/>
              <w:rPr>
                <w:sz w:val="18"/>
              </w:rPr>
            </w:pPr>
            <w:r>
              <w:rPr>
                <w:sz w:val="18"/>
              </w:rPr>
              <w:t>86.41</w:t>
            </w:r>
          </w:p>
        </w:tc>
        <w:tc>
          <w:tcPr>
            <w:tcW w:w="1039" w:type="dxa"/>
          </w:tcPr>
          <w:p w:rsidR="007C5447" w:rsidRDefault="00F6308C">
            <w:pPr>
              <w:pStyle w:val="TableParagraph"/>
              <w:spacing w:before="45"/>
              <w:ind w:right="131"/>
              <w:rPr>
                <w:sz w:val="18"/>
              </w:rPr>
            </w:pPr>
            <w:r>
              <w:rPr>
                <w:sz w:val="18"/>
              </w:rPr>
              <w:t>86.41</w:t>
            </w:r>
          </w:p>
        </w:tc>
      </w:tr>
      <w:tr w:rsidR="007C5447">
        <w:trPr>
          <w:trHeight w:val="330"/>
        </w:trPr>
        <w:tc>
          <w:tcPr>
            <w:tcW w:w="504" w:type="dxa"/>
          </w:tcPr>
          <w:p w:rsidR="007C5447" w:rsidRDefault="00F6308C">
            <w:pPr>
              <w:pStyle w:val="TableParagraph"/>
              <w:spacing w:before="62"/>
              <w:ind w:left="86" w:right="77"/>
              <w:jc w:val="center"/>
              <w:rPr>
                <w:sz w:val="18"/>
              </w:rPr>
            </w:pPr>
            <w:r>
              <w:rPr>
                <w:sz w:val="18"/>
              </w:rPr>
              <w:t>13</w:t>
            </w:r>
          </w:p>
        </w:tc>
        <w:tc>
          <w:tcPr>
            <w:tcW w:w="2095" w:type="dxa"/>
          </w:tcPr>
          <w:p w:rsidR="007C5447" w:rsidRDefault="00F6308C">
            <w:pPr>
              <w:pStyle w:val="TableParagraph"/>
              <w:spacing w:before="62"/>
              <w:ind w:left="108"/>
              <w:jc w:val="left"/>
              <w:rPr>
                <w:sz w:val="18"/>
              </w:rPr>
            </w:pPr>
            <w:r>
              <w:rPr>
                <w:sz w:val="18"/>
              </w:rPr>
              <w:t>Kundah HEP</w:t>
            </w:r>
          </w:p>
        </w:tc>
        <w:tc>
          <w:tcPr>
            <w:tcW w:w="1207" w:type="dxa"/>
          </w:tcPr>
          <w:p w:rsidR="007C5447" w:rsidRDefault="00F6308C">
            <w:pPr>
              <w:pStyle w:val="TableParagraph"/>
              <w:spacing w:before="62"/>
              <w:ind w:right="130"/>
              <w:rPr>
                <w:sz w:val="18"/>
              </w:rPr>
            </w:pPr>
            <w:r>
              <w:rPr>
                <w:sz w:val="18"/>
              </w:rPr>
              <w:t>54.56</w:t>
            </w:r>
          </w:p>
        </w:tc>
        <w:tc>
          <w:tcPr>
            <w:tcW w:w="927" w:type="dxa"/>
          </w:tcPr>
          <w:p w:rsidR="007C5447" w:rsidRDefault="00F6308C">
            <w:pPr>
              <w:pStyle w:val="TableParagraph"/>
              <w:spacing w:before="62"/>
              <w:ind w:right="133"/>
              <w:rPr>
                <w:sz w:val="18"/>
              </w:rPr>
            </w:pPr>
            <w:r>
              <w:rPr>
                <w:sz w:val="18"/>
              </w:rPr>
              <w:t>112.91</w:t>
            </w:r>
          </w:p>
        </w:tc>
        <w:tc>
          <w:tcPr>
            <w:tcW w:w="766" w:type="dxa"/>
          </w:tcPr>
          <w:p w:rsidR="007C5447" w:rsidRDefault="00F6308C">
            <w:pPr>
              <w:pStyle w:val="TableParagraph"/>
              <w:spacing w:before="62"/>
              <w:ind w:right="129"/>
              <w:rPr>
                <w:sz w:val="18"/>
              </w:rPr>
            </w:pPr>
            <w:r>
              <w:rPr>
                <w:w w:val="99"/>
                <w:sz w:val="18"/>
              </w:rPr>
              <w:t>-</w:t>
            </w:r>
          </w:p>
        </w:tc>
        <w:tc>
          <w:tcPr>
            <w:tcW w:w="790" w:type="dxa"/>
          </w:tcPr>
          <w:p w:rsidR="007C5447" w:rsidRDefault="00F6308C">
            <w:pPr>
              <w:pStyle w:val="TableParagraph"/>
              <w:spacing w:before="62"/>
              <w:ind w:right="128"/>
              <w:rPr>
                <w:sz w:val="18"/>
              </w:rPr>
            </w:pPr>
            <w:r>
              <w:rPr>
                <w:sz w:val="18"/>
              </w:rPr>
              <w:t>20.80</w:t>
            </w:r>
          </w:p>
        </w:tc>
        <w:tc>
          <w:tcPr>
            <w:tcW w:w="929" w:type="dxa"/>
          </w:tcPr>
          <w:p w:rsidR="007C5447" w:rsidRDefault="00F6308C">
            <w:pPr>
              <w:pStyle w:val="TableParagraph"/>
              <w:spacing w:before="62"/>
              <w:ind w:right="131"/>
              <w:rPr>
                <w:sz w:val="18"/>
              </w:rPr>
            </w:pPr>
            <w:r>
              <w:rPr>
                <w:sz w:val="18"/>
              </w:rPr>
              <w:t>46.53</w:t>
            </w:r>
          </w:p>
        </w:tc>
        <w:tc>
          <w:tcPr>
            <w:tcW w:w="781" w:type="dxa"/>
          </w:tcPr>
          <w:p w:rsidR="007C5447" w:rsidRDefault="00F6308C">
            <w:pPr>
              <w:pStyle w:val="TableParagraph"/>
              <w:spacing w:before="62"/>
              <w:ind w:right="133"/>
              <w:rPr>
                <w:sz w:val="18"/>
              </w:rPr>
            </w:pPr>
            <w:r>
              <w:rPr>
                <w:w w:val="99"/>
                <w:sz w:val="18"/>
              </w:rPr>
              <w:t>-</w:t>
            </w:r>
          </w:p>
        </w:tc>
        <w:tc>
          <w:tcPr>
            <w:tcW w:w="946" w:type="dxa"/>
          </w:tcPr>
          <w:p w:rsidR="007C5447" w:rsidRDefault="00F6308C">
            <w:pPr>
              <w:pStyle w:val="TableParagraph"/>
              <w:spacing w:before="62"/>
              <w:ind w:right="131"/>
              <w:rPr>
                <w:b/>
                <w:sz w:val="18"/>
              </w:rPr>
            </w:pPr>
            <w:r>
              <w:rPr>
                <w:b/>
                <w:w w:val="99"/>
                <w:sz w:val="18"/>
              </w:rPr>
              <w:t>-</w:t>
            </w:r>
          </w:p>
        </w:tc>
        <w:tc>
          <w:tcPr>
            <w:tcW w:w="1313" w:type="dxa"/>
          </w:tcPr>
          <w:p w:rsidR="007C5447" w:rsidRDefault="00F6308C">
            <w:pPr>
              <w:pStyle w:val="TableParagraph"/>
              <w:spacing w:before="62"/>
              <w:ind w:right="131"/>
              <w:rPr>
                <w:sz w:val="18"/>
              </w:rPr>
            </w:pPr>
            <w:r>
              <w:rPr>
                <w:sz w:val="18"/>
              </w:rPr>
              <w:t>(6.16)</w:t>
            </w:r>
          </w:p>
        </w:tc>
        <w:tc>
          <w:tcPr>
            <w:tcW w:w="852" w:type="dxa"/>
          </w:tcPr>
          <w:p w:rsidR="007C5447" w:rsidRDefault="00F6308C">
            <w:pPr>
              <w:pStyle w:val="TableParagraph"/>
              <w:spacing w:before="62"/>
              <w:ind w:right="132"/>
              <w:rPr>
                <w:sz w:val="18"/>
              </w:rPr>
            </w:pPr>
            <w:r>
              <w:rPr>
                <w:sz w:val="18"/>
              </w:rPr>
              <w:t>0.86</w:t>
            </w:r>
          </w:p>
        </w:tc>
        <w:tc>
          <w:tcPr>
            <w:tcW w:w="941" w:type="dxa"/>
          </w:tcPr>
          <w:p w:rsidR="007C5447" w:rsidRDefault="00F6308C">
            <w:pPr>
              <w:pStyle w:val="TableParagraph"/>
              <w:spacing w:before="62"/>
              <w:ind w:right="132"/>
              <w:rPr>
                <w:sz w:val="18"/>
              </w:rPr>
            </w:pPr>
            <w:r>
              <w:rPr>
                <w:sz w:val="18"/>
              </w:rPr>
              <w:t>2.67</w:t>
            </w:r>
          </w:p>
        </w:tc>
        <w:tc>
          <w:tcPr>
            <w:tcW w:w="1087" w:type="dxa"/>
          </w:tcPr>
          <w:p w:rsidR="007C5447" w:rsidRDefault="00F6308C">
            <w:pPr>
              <w:pStyle w:val="TableParagraph"/>
              <w:spacing w:before="62"/>
              <w:ind w:right="132"/>
              <w:rPr>
                <w:sz w:val="18"/>
              </w:rPr>
            </w:pPr>
            <w:r>
              <w:rPr>
                <w:sz w:val="18"/>
              </w:rPr>
              <w:t>230.45</w:t>
            </w:r>
          </w:p>
        </w:tc>
        <w:tc>
          <w:tcPr>
            <w:tcW w:w="1039" w:type="dxa"/>
          </w:tcPr>
          <w:p w:rsidR="007C5447" w:rsidRDefault="00F6308C">
            <w:pPr>
              <w:pStyle w:val="TableParagraph"/>
              <w:spacing w:before="62"/>
              <w:ind w:right="132"/>
              <w:rPr>
                <w:sz w:val="18"/>
              </w:rPr>
            </w:pPr>
            <w:r>
              <w:rPr>
                <w:sz w:val="18"/>
              </w:rPr>
              <w:t>230.45</w:t>
            </w:r>
          </w:p>
        </w:tc>
      </w:tr>
      <w:tr w:rsidR="007C5447">
        <w:trPr>
          <w:trHeight w:val="328"/>
        </w:trPr>
        <w:tc>
          <w:tcPr>
            <w:tcW w:w="504" w:type="dxa"/>
          </w:tcPr>
          <w:p w:rsidR="007C5447" w:rsidRDefault="00F6308C">
            <w:pPr>
              <w:pStyle w:val="TableParagraph"/>
              <w:spacing w:before="59"/>
              <w:ind w:left="86" w:right="77"/>
              <w:jc w:val="center"/>
              <w:rPr>
                <w:sz w:val="18"/>
              </w:rPr>
            </w:pPr>
            <w:r>
              <w:rPr>
                <w:sz w:val="18"/>
              </w:rPr>
              <w:t>14</w:t>
            </w:r>
          </w:p>
        </w:tc>
        <w:tc>
          <w:tcPr>
            <w:tcW w:w="2095" w:type="dxa"/>
          </w:tcPr>
          <w:p w:rsidR="007C5447" w:rsidRDefault="00F6308C">
            <w:pPr>
              <w:pStyle w:val="TableParagraph"/>
              <w:spacing w:before="59"/>
              <w:ind w:left="108"/>
              <w:jc w:val="left"/>
              <w:rPr>
                <w:sz w:val="18"/>
              </w:rPr>
            </w:pPr>
            <w:r>
              <w:rPr>
                <w:sz w:val="18"/>
              </w:rPr>
              <w:t>Tirunelveli HEP</w:t>
            </w:r>
          </w:p>
        </w:tc>
        <w:tc>
          <w:tcPr>
            <w:tcW w:w="1207" w:type="dxa"/>
          </w:tcPr>
          <w:p w:rsidR="007C5447" w:rsidRDefault="00F6308C">
            <w:pPr>
              <w:pStyle w:val="TableParagraph"/>
              <w:spacing w:before="59"/>
              <w:ind w:right="130"/>
              <w:rPr>
                <w:sz w:val="18"/>
              </w:rPr>
            </w:pPr>
            <w:r>
              <w:rPr>
                <w:sz w:val="18"/>
              </w:rPr>
              <w:t>24.51</w:t>
            </w:r>
          </w:p>
        </w:tc>
        <w:tc>
          <w:tcPr>
            <w:tcW w:w="927" w:type="dxa"/>
          </w:tcPr>
          <w:p w:rsidR="007C5447" w:rsidRDefault="00F6308C">
            <w:pPr>
              <w:pStyle w:val="TableParagraph"/>
              <w:spacing w:before="59"/>
              <w:ind w:right="130"/>
              <w:rPr>
                <w:sz w:val="18"/>
              </w:rPr>
            </w:pPr>
            <w:r>
              <w:rPr>
                <w:sz w:val="18"/>
              </w:rPr>
              <w:t>69.06</w:t>
            </w:r>
          </w:p>
        </w:tc>
        <w:tc>
          <w:tcPr>
            <w:tcW w:w="766" w:type="dxa"/>
          </w:tcPr>
          <w:p w:rsidR="007C5447" w:rsidRDefault="00F6308C">
            <w:pPr>
              <w:pStyle w:val="TableParagraph"/>
              <w:spacing w:before="59"/>
              <w:ind w:right="129"/>
              <w:rPr>
                <w:sz w:val="18"/>
              </w:rPr>
            </w:pPr>
            <w:r>
              <w:rPr>
                <w:w w:val="99"/>
                <w:sz w:val="18"/>
              </w:rPr>
              <w:t>-</w:t>
            </w:r>
          </w:p>
        </w:tc>
        <w:tc>
          <w:tcPr>
            <w:tcW w:w="790" w:type="dxa"/>
          </w:tcPr>
          <w:p w:rsidR="007C5447" w:rsidRDefault="00F6308C">
            <w:pPr>
              <w:pStyle w:val="TableParagraph"/>
              <w:spacing w:before="59"/>
              <w:ind w:right="131"/>
              <w:rPr>
                <w:sz w:val="18"/>
              </w:rPr>
            </w:pPr>
            <w:r>
              <w:rPr>
                <w:sz w:val="18"/>
              </w:rPr>
              <w:t>7.88</w:t>
            </w:r>
          </w:p>
        </w:tc>
        <w:tc>
          <w:tcPr>
            <w:tcW w:w="929" w:type="dxa"/>
          </w:tcPr>
          <w:p w:rsidR="007C5447" w:rsidRDefault="00F6308C">
            <w:pPr>
              <w:pStyle w:val="TableParagraph"/>
              <w:spacing w:before="59"/>
              <w:ind w:right="131"/>
              <w:rPr>
                <w:sz w:val="18"/>
              </w:rPr>
            </w:pPr>
            <w:r>
              <w:rPr>
                <w:sz w:val="18"/>
              </w:rPr>
              <w:t>40.28</w:t>
            </w:r>
          </w:p>
        </w:tc>
        <w:tc>
          <w:tcPr>
            <w:tcW w:w="781" w:type="dxa"/>
          </w:tcPr>
          <w:p w:rsidR="007C5447" w:rsidRDefault="00F6308C">
            <w:pPr>
              <w:pStyle w:val="TableParagraph"/>
              <w:spacing w:before="59"/>
              <w:ind w:right="133"/>
              <w:rPr>
                <w:sz w:val="18"/>
              </w:rPr>
            </w:pPr>
            <w:r>
              <w:rPr>
                <w:w w:val="99"/>
                <w:sz w:val="18"/>
              </w:rPr>
              <w:t>-</w:t>
            </w:r>
          </w:p>
        </w:tc>
        <w:tc>
          <w:tcPr>
            <w:tcW w:w="946" w:type="dxa"/>
          </w:tcPr>
          <w:p w:rsidR="007C5447" w:rsidRDefault="00F6308C">
            <w:pPr>
              <w:pStyle w:val="TableParagraph"/>
              <w:spacing w:before="59"/>
              <w:ind w:right="131"/>
              <w:rPr>
                <w:sz w:val="18"/>
              </w:rPr>
            </w:pPr>
            <w:r>
              <w:rPr>
                <w:w w:val="99"/>
                <w:sz w:val="18"/>
              </w:rPr>
              <w:t>-</w:t>
            </w:r>
          </w:p>
        </w:tc>
        <w:tc>
          <w:tcPr>
            <w:tcW w:w="1313" w:type="dxa"/>
          </w:tcPr>
          <w:p w:rsidR="007C5447" w:rsidRDefault="00F6308C">
            <w:pPr>
              <w:pStyle w:val="TableParagraph"/>
              <w:spacing w:before="59"/>
              <w:ind w:right="131"/>
              <w:rPr>
                <w:sz w:val="18"/>
              </w:rPr>
            </w:pPr>
            <w:r>
              <w:rPr>
                <w:sz w:val="18"/>
              </w:rPr>
              <w:t>(0.04)</w:t>
            </w:r>
          </w:p>
        </w:tc>
        <w:tc>
          <w:tcPr>
            <w:tcW w:w="852" w:type="dxa"/>
          </w:tcPr>
          <w:p w:rsidR="007C5447" w:rsidRDefault="00F6308C">
            <w:pPr>
              <w:pStyle w:val="TableParagraph"/>
              <w:spacing w:before="59"/>
              <w:ind w:right="132"/>
              <w:rPr>
                <w:sz w:val="18"/>
              </w:rPr>
            </w:pPr>
            <w:r>
              <w:rPr>
                <w:sz w:val="18"/>
              </w:rPr>
              <w:t>0.45</w:t>
            </w:r>
          </w:p>
        </w:tc>
        <w:tc>
          <w:tcPr>
            <w:tcW w:w="941" w:type="dxa"/>
          </w:tcPr>
          <w:p w:rsidR="007C5447" w:rsidRDefault="00F6308C">
            <w:pPr>
              <w:pStyle w:val="TableParagraph"/>
              <w:spacing w:before="59"/>
              <w:ind w:right="132"/>
              <w:rPr>
                <w:sz w:val="18"/>
              </w:rPr>
            </w:pPr>
            <w:r>
              <w:rPr>
                <w:sz w:val="18"/>
              </w:rPr>
              <w:t>2.84</w:t>
            </w:r>
          </w:p>
        </w:tc>
        <w:tc>
          <w:tcPr>
            <w:tcW w:w="1087" w:type="dxa"/>
          </w:tcPr>
          <w:p w:rsidR="007C5447" w:rsidRDefault="00F6308C">
            <w:pPr>
              <w:pStyle w:val="TableParagraph"/>
              <w:spacing w:before="59"/>
              <w:ind w:right="132"/>
              <w:rPr>
                <w:sz w:val="18"/>
              </w:rPr>
            </w:pPr>
            <w:r>
              <w:rPr>
                <w:sz w:val="18"/>
              </w:rPr>
              <w:t>144.08</w:t>
            </w:r>
          </w:p>
        </w:tc>
        <w:tc>
          <w:tcPr>
            <w:tcW w:w="1039" w:type="dxa"/>
          </w:tcPr>
          <w:p w:rsidR="007C5447" w:rsidRDefault="00F6308C">
            <w:pPr>
              <w:pStyle w:val="TableParagraph"/>
              <w:spacing w:before="59"/>
              <w:ind w:right="132"/>
              <w:rPr>
                <w:sz w:val="18"/>
              </w:rPr>
            </w:pPr>
            <w:r>
              <w:rPr>
                <w:sz w:val="18"/>
              </w:rPr>
              <w:t>144.08</w:t>
            </w:r>
          </w:p>
        </w:tc>
      </w:tr>
      <w:tr w:rsidR="007C5447">
        <w:trPr>
          <w:trHeight w:val="330"/>
        </w:trPr>
        <w:tc>
          <w:tcPr>
            <w:tcW w:w="504" w:type="dxa"/>
          </w:tcPr>
          <w:p w:rsidR="007C5447" w:rsidRDefault="00F6308C">
            <w:pPr>
              <w:pStyle w:val="TableParagraph"/>
              <w:spacing w:before="62"/>
              <w:ind w:left="86" w:right="77"/>
              <w:jc w:val="center"/>
              <w:rPr>
                <w:sz w:val="18"/>
              </w:rPr>
            </w:pPr>
            <w:r>
              <w:rPr>
                <w:sz w:val="18"/>
              </w:rPr>
              <w:t>15</w:t>
            </w:r>
          </w:p>
        </w:tc>
        <w:tc>
          <w:tcPr>
            <w:tcW w:w="2095" w:type="dxa"/>
          </w:tcPr>
          <w:p w:rsidR="007C5447" w:rsidRDefault="00F6308C">
            <w:pPr>
              <w:pStyle w:val="TableParagraph"/>
              <w:spacing w:before="62"/>
              <w:ind w:left="108"/>
              <w:jc w:val="left"/>
              <w:rPr>
                <w:sz w:val="18"/>
              </w:rPr>
            </w:pPr>
            <w:r>
              <w:rPr>
                <w:sz w:val="18"/>
              </w:rPr>
              <w:t>Others</w:t>
            </w:r>
          </w:p>
        </w:tc>
        <w:tc>
          <w:tcPr>
            <w:tcW w:w="1207" w:type="dxa"/>
          </w:tcPr>
          <w:p w:rsidR="007C5447" w:rsidRDefault="007C5447">
            <w:pPr>
              <w:pStyle w:val="TableParagraph"/>
              <w:jc w:val="left"/>
              <w:rPr>
                <w:sz w:val="18"/>
              </w:rPr>
            </w:pPr>
          </w:p>
        </w:tc>
        <w:tc>
          <w:tcPr>
            <w:tcW w:w="927" w:type="dxa"/>
          </w:tcPr>
          <w:p w:rsidR="007C5447" w:rsidRDefault="00F6308C">
            <w:pPr>
              <w:pStyle w:val="TableParagraph"/>
              <w:spacing w:before="62"/>
              <w:ind w:right="133"/>
              <w:rPr>
                <w:sz w:val="18"/>
              </w:rPr>
            </w:pPr>
            <w:r>
              <w:rPr>
                <w:sz w:val="18"/>
              </w:rPr>
              <w:t>131.66</w:t>
            </w:r>
          </w:p>
        </w:tc>
        <w:tc>
          <w:tcPr>
            <w:tcW w:w="766" w:type="dxa"/>
          </w:tcPr>
          <w:p w:rsidR="007C5447" w:rsidRDefault="00F6308C">
            <w:pPr>
              <w:pStyle w:val="TableParagraph"/>
              <w:spacing w:before="62"/>
              <w:ind w:right="129"/>
              <w:rPr>
                <w:sz w:val="18"/>
              </w:rPr>
            </w:pPr>
            <w:r>
              <w:rPr>
                <w:w w:val="99"/>
                <w:sz w:val="18"/>
              </w:rPr>
              <w:t>-</w:t>
            </w:r>
          </w:p>
        </w:tc>
        <w:tc>
          <w:tcPr>
            <w:tcW w:w="790" w:type="dxa"/>
          </w:tcPr>
          <w:p w:rsidR="007C5447" w:rsidRDefault="00F6308C">
            <w:pPr>
              <w:pStyle w:val="TableParagraph"/>
              <w:spacing w:before="62"/>
              <w:ind w:right="129"/>
              <w:rPr>
                <w:sz w:val="18"/>
              </w:rPr>
            </w:pPr>
            <w:r>
              <w:rPr>
                <w:w w:val="99"/>
                <w:sz w:val="18"/>
              </w:rPr>
              <w:t>-</w:t>
            </w:r>
          </w:p>
        </w:tc>
        <w:tc>
          <w:tcPr>
            <w:tcW w:w="929" w:type="dxa"/>
          </w:tcPr>
          <w:p w:rsidR="007C5447" w:rsidRDefault="00F6308C">
            <w:pPr>
              <w:pStyle w:val="TableParagraph"/>
              <w:spacing w:before="62"/>
              <w:ind w:right="132"/>
              <w:rPr>
                <w:sz w:val="18"/>
              </w:rPr>
            </w:pPr>
            <w:r>
              <w:rPr>
                <w:w w:val="99"/>
                <w:sz w:val="18"/>
              </w:rPr>
              <w:t>-</w:t>
            </w:r>
          </w:p>
        </w:tc>
        <w:tc>
          <w:tcPr>
            <w:tcW w:w="781" w:type="dxa"/>
          </w:tcPr>
          <w:p w:rsidR="007C5447" w:rsidRDefault="00F6308C">
            <w:pPr>
              <w:pStyle w:val="TableParagraph"/>
              <w:spacing w:before="62"/>
              <w:ind w:right="133"/>
              <w:rPr>
                <w:sz w:val="18"/>
              </w:rPr>
            </w:pPr>
            <w:r>
              <w:rPr>
                <w:w w:val="99"/>
                <w:sz w:val="18"/>
              </w:rPr>
              <w:t>-</w:t>
            </w:r>
          </w:p>
        </w:tc>
        <w:tc>
          <w:tcPr>
            <w:tcW w:w="946" w:type="dxa"/>
          </w:tcPr>
          <w:p w:rsidR="007C5447" w:rsidRDefault="00F6308C">
            <w:pPr>
              <w:pStyle w:val="TableParagraph"/>
              <w:spacing w:before="62"/>
              <w:ind w:right="131"/>
              <w:rPr>
                <w:sz w:val="18"/>
              </w:rPr>
            </w:pPr>
            <w:r>
              <w:rPr>
                <w:w w:val="99"/>
                <w:sz w:val="18"/>
              </w:rPr>
              <w:t>-</w:t>
            </w:r>
          </w:p>
        </w:tc>
        <w:tc>
          <w:tcPr>
            <w:tcW w:w="1313" w:type="dxa"/>
          </w:tcPr>
          <w:p w:rsidR="007C5447" w:rsidRDefault="00F6308C">
            <w:pPr>
              <w:pStyle w:val="TableParagraph"/>
              <w:spacing w:before="62"/>
              <w:ind w:right="133"/>
              <w:rPr>
                <w:sz w:val="18"/>
              </w:rPr>
            </w:pPr>
            <w:r>
              <w:rPr>
                <w:w w:val="99"/>
                <w:sz w:val="18"/>
              </w:rPr>
              <w:t>-</w:t>
            </w:r>
          </w:p>
        </w:tc>
        <w:tc>
          <w:tcPr>
            <w:tcW w:w="852" w:type="dxa"/>
          </w:tcPr>
          <w:p w:rsidR="007C5447" w:rsidRDefault="00F6308C">
            <w:pPr>
              <w:pStyle w:val="TableParagraph"/>
              <w:spacing w:before="62"/>
              <w:ind w:right="133"/>
              <w:rPr>
                <w:sz w:val="18"/>
              </w:rPr>
            </w:pPr>
            <w:r>
              <w:rPr>
                <w:w w:val="99"/>
                <w:sz w:val="18"/>
              </w:rPr>
              <w:t>-</w:t>
            </w:r>
          </w:p>
        </w:tc>
        <w:tc>
          <w:tcPr>
            <w:tcW w:w="941" w:type="dxa"/>
          </w:tcPr>
          <w:p w:rsidR="007C5447" w:rsidRDefault="00F6308C">
            <w:pPr>
              <w:pStyle w:val="TableParagraph"/>
              <w:spacing w:before="62"/>
              <w:ind w:right="130"/>
              <w:rPr>
                <w:sz w:val="18"/>
              </w:rPr>
            </w:pPr>
            <w:r>
              <w:rPr>
                <w:w w:val="99"/>
                <w:sz w:val="18"/>
              </w:rPr>
              <w:t>-</w:t>
            </w:r>
          </w:p>
        </w:tc>
        <w:tc>
          <w:tcPr>
            <w:tcW w:w="1087" w:type="dxa"/>
          </w:tcPr>
          <w:p w:rsidR="007C5447" w:rsidRDefault="00F6308C">
            <w:pPr>
              <w:pStyle w:val="TableParagraph"/>
              <w:spacing w:before="62"/>
              <w:ind w:right="132"/>
              <w:rPr>
                <w:sz w:val="18"/>
              </w:rPr>
            </w:pPr>
            <w:r>
              <w:rPr>
                <w:sz w:val="18"/>
              </w:rPr>
              <w:t>131.66</w:t>
            </w:r>
          </w:p>
        </w:tc>
        <w:tc>
          <w:tcPr>
            <w:tcW w:w="1039" w:type="dxa"/>
          </w:tcPr>
          <w:p w:rsidR="007C5447" w:rsidRDefault="00F6308C">
            <w:pPr>
              <w:pStyle w:val="TableParagraph"/>
              <w:spacing w:before="62"/>
              <w:ind w:right="132"/>
              <w:rPr>
                <w:sz w:val="18"/>
              </w:rPr>
            </w:pPr>
            <w:r>
              <w:rPr>
                <w:sz w:val="18"/>
              </w:rPr>
              <w:t>131.66</w:t>
            </w:r>
          </w:p>
        </w:tc>
      </w:tr>
      <w:tr w:rsidR="007C5447">
        <w:trPr>
          <w:trHeight w:val="330"/>
        </w:trPr>
        <w:tc>
          <w:tcPr>
            <w:tcW w:w="504" w:type="dxa"/>
          </w:tcPr>
          <w:p w:rsidR="007C5447" w:rsidRDefault="007C5447">
            <w:pPr>
              <w:pStyle w:val="TableParagraph"/>
              <w:jc w:val="left"/>
              <w:rPr>
                <w:sz w:val="18"/>
              </w:rPr>
            </w:pPr>
          </w:p>
        </w:tc>
        <w:tc>
          <w:tcPr>
            <w:tcW w:w="2095" w:type="dxa"/>
          </w:tcPr>
          <w:p w:rsidR="007C5447" w:rsidRDefault="00F6308C">
            <w:pPr>
              <w:pStyle w:val="TableParagraph"/>
              <w:spacing w:before="62"/>
              <w:ind w:left="108"/>
              <w:jc w:val="left"/>
              <w:rPr>
                <w:b/>
                <w:sz w:val="18"/>
              </w:rPr>
            </w:pPr>
            <w:r>
              <w:rPr>
                <w:b/>
                <w:sz w:val="18"/>
              </w:rPr>
              <w:t>Grand Total Generation</w:t>
            </w:r>
          </w:p>
        </w:tc>
        <w:tc>
          <w:tcPr>
            <w:tcW w:w="1207" w:type="dxa"/>
          </w:tcPr>
          <w:p w:rsidR="007C5447" w:rsidRDefault="00F6308C">
            <w:pPr>
              <w:pStyle w:val="TableParagraph"/>
              <w:spacing w:before="62"/>
              <w:ind w:right="133"/>
              <w:rPr>
                <w:b/>
                <w:sz w:val="18"/>
              </w:rPr>
            </w:pPr>
            <w:r>
              <w:rPr>
                <w:b/>
                <w:sz w:val="18"/>
              </w:rPr>
              <w:t>976.47</w:t>
            </w:r>
          </w:p>
        </w:tc>
        <w:tc>
          <w:tcPr>
            <w:tcW w:w="927" w:type="dxa"/>
          </w:tcPr>
          <w:p w:rsidR="007C5447" w:rsidRDefault="00F6308C">
            <w:pPr>
              <w:pStyle w:val="TableParagraph"/>
              <w:spacing w:before="62"/>
              <w:ind w:right="131"/>
              <w:rPr>
                <w:b/>
                <w:sz w:val="18"/>
              </w:rPr>
            </w:pPr>
            <w:r>
              <w:rPr>
                <w:b/>
                <w:sz w:val="18"/>
              </w:rPr>
              <w:t>2,381.95</w:t>
            </w:r>
          </w:p>
        </w:tc>
        <w:tc>
          <w:tcPr>
            <w:tcW w:w="766" w:type="dxa"/>
          </w:tcPr>
          <w:p w:rsidR="007C5447" w:rsidRDefault="007C5447">
            <w:pPr>
              <w:pStyle w:val="TableParagraph"/>
              <w:jc w:val="left"/>
              <w:rPr>
                <w:sz w:val="18"/>
              </w:rPr>
            </w:pPr>
          </w:p>
        </w:tc>
        <w:tc>
          <w:tcPr>
            <w:tcW w:w="790" w:type="dxa"/>
          </w:tcPr>
          <w:p w:rsidR="007C5447" w:rsidRDefault="00F6308C">
            <w:pPr>
              <w:pStyle w:val="TableParagraph"/>
              <w:spacing w:before="62"/>
              <w:ind w:right="129"/>
              <w:rPr>
                <w:b/>
                <w:sz w:val="18"/>
              </w:rPr>
            </w:pPr>
            <w:r>
              <w:rPr>
                <w:b/>
                <w:sz w:val="18"/>
              </w:rPr>
              <w:t>783.17</w:t>
            </w:r>
          </w:p>
        </w:tc>
        <w:tc>
          <w:tcPr>
            <w:tcW w:w="929" w:type="dxa"/>
          </w:tcPr>
          <w:p w:rsidR="007C5447" w:rsidRDefault="00F6308C">
            <w:pPr>
              <w:pStyle w:val="TableParagraph"/>
              <w:spacing w:before="62"/>
              <w:ind w:right="134"/>
              <w:rPr>
                <w:b/>
                <w:sz w:val="18"/>
              </w:rPr>
            </w:pPr>
            <w:r>
              <w:rPr>
                <w:b/>
                <w:sz w:val="18"/>
              </w:rPr>
              <w:t>1,165.17</w:t>
            </w:r>
          </w:p>
        </w:tc>
        <w:tc>
          <w:tcPr>
            <w:tcW w:w="781" w:type="dxa"/>
          </w:tcPr>
          <w:p w:rsidR="007C5447" w:rsidRDefault="00F6308C">
            <w:pPr>
              <w:pStyle w:val="TableParagraph"/>
              <w:spacing w:before="62"/>
              <w:ind w:right="133"/>
              <w:rPr>
                <w:b/>
                <w:sz w:val="18"/>
              </w:rPr>
            </w:pPr>
            <w:r>
              <w:rPr>
                <w:b/>
                <w:w w:val="99"/>
                <w:sz w:val="18"/>
              </w:rPr>
              <w:t>-</w:t>
            </w:r>
          </w:p>
        </w:tc>
        <w:tc>
          <w:tcPr>
            <w:tcW w:w="946" w:type="dxa"/>
          </w:tcPr>
          <w:p w:rsidR="007C5447" w:rsidRDefault="00F6308C">
            <w:pPr>
              <w:pStyle w:val="TableParagraph"/>
              <w:spacing w:before="62"/>
              <w:ind w:right="131"/>
              <w:rPr>
                <w:sz w:val="18"/>
              </w:rPr>
            </w:pPr>
            <w:r>
              <w:rPr>
                <w:w w:val="99"/>
                <w:sz w:val="18"/>
              </w:rPr>
              <w:t>-</w:t>
            </w:r>
          </w:p>
        </w:tc>
        <w:tc>
          <w:tcPr>
            <w:tcW w:w="1313" w:type="dxa"/>
          </w:tcPr>
          <w:p w:rsidR="007C5447" w:rsidRDefault="00F6308C">
            <w:pPr>
              <w:pStyle w:val="TableParagraph"/>
              <w:spacing w:before="62"/>
              <w:ind w:right="132"/>
              <w:rPr>
                <w:b/>
                <w:sz w:val="18"/>
              </w:rPr>
            </w:pPr>
            <w:r>
              <w:rPr>
                <w:b/>
                <w:sz w:val="18"/>
              </w:rPr>
              <w:t>55.12</w:t>
            </w:r>
          </w:p>
        </w:tc>
        <w:tc>
          <w:tcPr>
            <w:tcW w:w="852" w:type="dxa"/>
          </w:tcPr>
          <w:p w:rsidR="007C5447" w:rsidRDefault="00F6308C">
            <w:pPr>
              <w:pStyle w:val="TableParagraph"/>
              <w:spacing w:before="62"/>
              <w:ind w:right="134"/>
              <w:rPr>
                <w:b/>
                <w:sz w:val="18"/>
              </w:rPr>
            </w:pPr>
            <w:r>
              <w:rPr>
                <w:b/>
                <w:sz w:val="18"/>
              </w:rPr>
              <w:t>149.70</w:t>
            </w:r>
          </w:p>
        </w:tc>
        <w:tc>
          <w:tcPr>
            <w:tcW w:w="941" w:type="dxa"/>
          </w:tcPr>
          <w:p w:rsidR="007C5447" w:rsidRDefault="00F6308C">
            <w:pPr>
              <w:pStyle w:val="TableParagraph"/>
              <w:spacing w:before="62"/>
              <w:ind w:right="129"/>
              <w:rPr>
                <w:b/>
                <w:sz w:val="18"/>
              </w:rPr>
            </w:pPr>
            <w:r>
              <w:rPr>
                <w:b/>
                <w:sz w:val="18"/>
              </w:rPr>
              <w:t>47.86</w:t>
            </w:r>
          </w:p>
        </w:tc>
        <w:tc>
          <w:tcPr>
            <w:tcW w:w="1087" w:type="dxa"/>
          </w:tcPr>
          <w:p w:rsidR="007C5447" w:rsidRDefault="00F6308C">
            <w:pPr>
              <w:pStyle w:val="TableParagraph"/>
              <w:spacing w:before="62"/>
              <w:ind w:right="132"/>
              <w:rPr>
                <w:b/>
                <w:sz w:val="18"/>
              </w:rPr>
            </w:pPr>
            <w:r>
              <w:rPr>
                <w:b/>
                <w:sz w:val="18"/>
              </w:rPr>
              <w:t>5,260.05</w:t>
            </w:r>
          </w:p>
        </w:tc>
        <w:tc>
          <w:tcPr>
            <w:tcW w:w="1039" w:type="dxa"/>
          </w:tcPr>
          <w:p w:rsidR="007C5447" w:rsidRDefault="00F6308C">
            <w:pPr>
              <w:pStyle w:val="TableParagraph"/>
              <w:spacing w:before="62"/>
              <w:ind w:right="98"/>
              <w:rPr>
                <w:b/>
                <w:sz w:val="18"/>
              </w:rPr>
            </w:pPr>
            <w:r>
              <w:rPr>
                <w:b/>
                <w:sz w:val="18"/>
              </w:rPr>
              <w:t>5,156.18</w:t>
            </w:r>
          </w:p>
        </w:tc>
      </w:tr>
    </w:tbl>
    <w:p w:rsidR="007C5447" w:rsidRDefault="007C5447">
      <w:pPr>
        <w:rPr>
          <w:sz w:val="18"/>
        </w:rPr>
        <w:sectPr w:rsidR="007C5447">
          <w:pgSz w:w="16840" w:h="11910" w:orient="landscape"/>
          <w:pgMar w:top="1100" w:right="140" w:bottom="1240" w:left="200" w:header="0" w:footer="1057" w:gutter="0"/>
          <w:cols w:space="720"/>
        </w:sectPr>
      </w:pPr>
    </w:p>
    <w:p w:rsidR="007C5447" w:rsidRDefault="00F6308C">
      <w:pPr>
        <w:pStyle w:val="Heading2"/>
        <w:numPr>
          <w:ilvl w:val="1"/>
          <w:numId w:val="92"/>
        </w:numPr>
        <w:tabs>
          <w:tab w:val="left" w:pos="827"/>
        </w:tabs>
        <w:spacing w:before="61"/>
        <w:ind w:left="826"/>
        <w:jc w:val="left"/>
      </w:pPr>
      <w:bookmarkStart w:id="51" w:name="_bookmark51"/>
      <w:bookmarkEnd w:id="51"/>
      <w:r>
        <w:lastRenderedPageBreak/>
        <w:t>Va</w:t>
      </w:r>
      <w:r>
        <w:t>riable cost for own generating</w:t>
      </w:r>
      <w:r>
        <w:rPr>
          <w:spacing w:val="-2"/>
        </w:rPr>
        <w:t xml:space="preserve"> </w:t>
      </w:r>
      <w:r>
        <w:t>stations</w:t>
      </w:r>
    </w:p>
    <w:p w:rsidR="007C5447" w:rsidRDefault="007C5447">
      <w:pPr>
        <w:pStyle w:val="BodyText"/>
        <w:spacing w:before="11"/>
        <w:rPr>
          <w:b/>
          <w:sz w:val="27"/>
        </w:rPr>
      </w:pPr>
    </w:p>
    <w:p w:rsidR="007C5447" w:rsidRDefault="00F6308C">
      <w:pPr>
        <w:pStyle w:val="ListParagraph"/>
        <w:numPr>
          <w:ilvl w:val="2"/>
          <w:numId w:val="92"/>
        </w:numPr>
        <w:tabs>
          <w:tab w:val="left" w:pos="1112"/>
          <w:tab w:val="left" w:pos="1113"/>
        </w:tabs>
        <w:ind w:left="1112" w:hanging="853"/>
        <w:rPr>
          <w:b/>
          <w:sz w:val="24"/>
        </w:rPr>
      </w:pPr>
      <w:r>
        <w:rPr>
          <w:b/>
          <w:sz w:val="24"/>
        </w:rPr>
        <w:t>Operational Performance Parameters</w:t>
      </w:r>
    </w:p>
    <w:p w:rsidR="007C5447" w:rsidRDefault="007C5447">
      <w:pPr>
        <w:pStyle w:val="BodyText"/>
        <w:spacing w:before="2"/>
        <w:rPr>
          <w:b/>
          <w:sz w:val="28"/>
        </w:rPr>
      </w:pPr>
    </w:p>
    <w:p w:rsidR="007C5447" w:rsidRDefault="00F6308C">
      <w:pPr>
        <w:pStyle w:val="ListParagraph"/>
        <w:numPr>
          <w:ilvl w:val="3"/>
          <w:numId w:val="79"/>
        </w:numPr>
        <w:tabs>
          <w:tab w:val="left" w:pos="1226"/>
        </w:tabs>
        <w:spacing w:line="312" w:lineRule="auto"/>
        <w:ind w:right="286"/>
        <w:jc w:val="both"/>
        <w:rPr>
          <w:sz w:val="24"/>
        </w:rPr>
      </w:pPr>
      <w:r>
        <w:rPr>
          <w:sz w:val="24"/>
        </w:rPr>
        <w:t>TANGEDCO submitted the comparison of actual operational performance parameters of generation function like PAF, Plant Load Factor (PLF) Station Heat Rate (SHR), Auxiliary Consumption (AC), Specific Oil Consumption (SOC), etc., achieved during FY 2011-12 to</w:t>
      </w:r>
      <w:r>
        <w:rPr>
          <w:sz w:val="24"/>
        </w:rPr>
        <w:t xml:space="preserve"> FY 2015-16, in order to derive variable cost of own generation, vis-à- vis operational performance parameters approved by the Commission in the Suo-motu Tariff Order dated December 11,</w:t>
      </w:r>
      <w:r>
        <w:rPr>
          <w:spacing w:val="-3"/>
          <w:sz w:val="24"/>
        </w:rPr>
        <w:t xml:space="preserve"> </w:t>
      </w:r>
      <w:r>
        <w:rPr>
          <w:sz w:val="24"/>
        </w:rPr>
        <w:t>2014.</w:t>
      </w:r>
    </w:p>
    <w:p w:rsidR="007C5447" w:rsidRDefault="007C5447">
      <w:pPr>
        <w:pStyle w:val="BodyText"/>
        <w:spacing w:before="11"/>
        <w:rPr>
          <w:sz w:val="20"/>
        </w:rPr>
      </w:pPr>
    </w:p>
    <w:p w:rsidR="007C5447" w:rsidRDefault="00F6308C">
      <w:pPr>
        <w:pStyle w:val="ListParagraph"/>
        <w:numPr>
          <w:ilvl w:val="3"/>
          <w:numId w:val="79"/>
        </w:numPr>
        <w:tabs>
          <w:tab w:val="left" w:pos="1226"/>
        </w:tabs>
        <w:spacing w:line="312" w:lineRule="auto"/>
        <w:ind w:right="297"/>
        <w:jc w:val="both"/>
        <w:rPr>
          <w:sz w:val="24"/>
        </w:rPr>
      </w:pPr>
      <w:r>
        <w:rPr>
          <w:sz w:val="24"/>
        </w:rPr>
        <w:t>TANGEDCO submitted that the actual operating parameters achieve</w:t>
      </w:r>
      <w:r>
        <w:rPr>
          <w:sz w:val="24"/>
        </w:rPr>
        <w:t>d during the respective years are dependent of the condition of the machine during the respective years, which is a function of the following</w:t>
      </w:r>
      <w:r>
        <w:rPr>
          <w:spacing w:val="-2"/>
          <w:sz w:val="24"/>
        </w:rPr>
        <w:t xml:space="preserve"> </w:t>
      </w:r>
      <w:r>
        <w:rPr>
          <w:sz w:val="24"/>
        </w:rPr>
        <w:t>factors:</w:t>
      </w:r>
    </w:p>
    <w:p w:rsidR="007C5447" w:rsidRDefault="00F6308C">
      <w:pPr>
        <w:pStyle w:val="ListParagraph"/>
        <w:numPr>
          <w:ilvl w:val="4"/>
          <w:numId w:val="79"/>
        </w:numPr>
        <w:tabs>
          <w:tab w:val="left" w:pos="2420"/>
          <w:tab w:val="left" w:pos="2421"/>
        </w:tabs>
        <w:spacing w:before="119"/>
        <w:jc w:val="left"/>
        <w:rPr>
          <w:sz w:val="24"/>
        </w:rPr>
      </w:pPr>
      <w:r>
        <w:rPr>
          <w:sz w:val="24"/>
        </w:rPr>
        <w:t>Operation and Maintenance carried out in the plant since</w:t>
      </w:r>
      <w:r>
        <w:rPr>
          <w:spacing w:val="-5"/>
          <w:sz w:val="24"/>
        </w:rPr>
        <w:t xml:space="preserve"> </w:t>
      </w:r>
      <w:r>
        <w:rPr>
          <w:sz w:val="24"/>
        </w:rPr>
        <w:t>commissioning</w:t>
      </w:r>
    </w:p>
    <w:p w:rsidR="007C5447" w:rsidRDefault="00F6308C">
      <w:pPr>
        <w:pStyle w:val="ListParagraph"/>
        <w:numPr>
          <w:ilvl w:val="4"/>
          <w:numId w:val="79"/>
        </w:numPr>
        <w:tabs>
          <w:tab w:val="left" w:pos="2420"/>
          <w:tab w:val="left" w:pos="2421"/>
        </w:tabs>
        <w:spacing w:before="84"/>
        <w:ind w:hanging="795"/>
        <w:jc w:val="left"/>
        <w:rPr>
          <w:sz w:val="24"/>
        </w:rPr>
      </w:pPr>
      <w:r>
        <w:rPr>
          <w:sz w:val="24"/>
        </w:rPr>
        <w:t>Degradation due to</w:t>
      </w:r>
      <w:r>
        <w:rPr>
          <w:spacing w:val="-2"/>
          <w:sz w:val="24"/>
        </w:rPr>
        <w:t xml:space="preserve"> </w:t>
      </w:r>
      <w:r>
        <w:rPr>
          <w:sz w:val="24"/>
        </w:rPr>
        <w:t>ageing</w:t>
      </w:r>
    </w:p>
    <w:p w:rsidR="007C5447" w:rsidRDefault="00F6308C">
      <w:pPr>
        <w:pStyle w:val="ListParagraph"/>
        <w:numPr>
          <w:ilvl w:val="4"/>
          <w:numId w:val="79"/>
        </w:numPr>
        <w:tabs>
          <w:tab w:val="left" w:pos="2420"/>
          <w:tab w:val="left" w:pos="2421"/>
        </w:tabs>
        <w:spacing w:before="81"/>
        <w:ind w:hanging="860"/>
        <w:jc w:val="left"/>
        <w:rPr>
          <w:sz w:val="24"/>
        </w:rPr>
      </w:pPr>
      <w:r>
        <w:rPr>
          <w:sz w:val="24"/>
        </w:rPr>
        <w:t>Water</w:t>
      </w:r>
      <w:r>
        <w:rPr>
          <w:spacing w:val="-2"/>
          <w:sz w:val="24"/>
        </w:rPr>
        <w:t xml:space="preserve"> </w:t>
      </w:r>
      <w:r>
        <w:rPr>
          <w:sz w:val="24"/>
        </w:rPr>
        <w:t>ch</w:t>
      </w:r>
      <w:r>
        <w:rPr>
          <w:sz w:val="24"/>
        </w:rPr>
        <w:t>emistry</w:t>
      </w:r>
    </w:p>
    <w:p w:rsidR="007C5447" w:rsidRDefault="00F6308C">
      <w:pPr>
        <w:pStyle w:val="ListParagraph"/>
        <w:numPr>
          <w:ilvl w:val="4"/>
          <w:numId w:val="79"/>
        </w:numPr>
        <w:tabs>
          <w:tab w:val="left" w:pos="2420"/>
          <w:tab w:val="left" w:pos="2421"/>
        </w:tabs>
        <w:spacing w:before="84"/>
        <w:ind w:hanging="848"/>
        <w:jc w:val="left"/>
        <w:rPr>
          <w:sz w:val="24"/>
        </w:rPr>
      </w:pPr>
      <w:r>
        <w:rPr>
          <w:sz w:val="24"/>
        </w:rPr>
        <w:t>Conditions of the</w:t>
      </w:r>
      <w:r>
        <w:rPr>
          <w:spacing w:val="-3"/>
          <w:sz w:val="24"/>
        </w:rPr>
        <w:t xml:space="preserve"> </w:t>
      </w:r>
      <w:r>
        <w:rPr>
          <w:sz w:val="24"/>
        </w:rPr>
        <w:t>auxiliaries</w:t>
      </w:r>
    </w:p>
    <w:p w:rsidR="007C5447" w:rsidRDefault="00F6308C">
      <w:pPr>
        <w:pStyle w:val="ListParagraph"/>
        <w:numPr>
          <w:ilvl w:val="4"/>
          <w:numId w:val="79"/>
        </w:numPr>
        <w:tabs>
          <w:tab w:val="left" w:pos="2420"/>
          <w:tab w:val="left" w:pos="2421"/>
        </w:tabs>
        <w:spacing w:before="82"/>
        <w:ind w:hanging="781"/>
        <w:jc w:val="left"/>
        <w:rPr>
          <w:sz w:val="24"/>
        </w:rPr>
      </w:pPr>
      <w:r>
        <w:rPr>
          <w:sz w:val="24"/>
        </w:rPr>
        <w:t>Overloading and partial loading of</w:t>
      </w:r>
      <w:r>
        <w:rPr>
          <w:spacing w:val="-5"/>
          <w:sz w:val="24"/>
        </w:rPr>
        <w:t xml:space="preserve"> </w:t>
      </w:r>
      <w:r>
        <w:rPr>
          <w:sz w:val="24"/>
        </w:rPr>
        <w:t>machines</w:t>
      </w:r>
    </w:p>
    <w:p w:rsidR="007C5447" w:rsidRDefault="00F6308C">
      <w:pPr>
        <w:pStyle w:val="ListParagraph"/>
        <w:numPr>
          <w:ilvl w:val="4"/>
          <w:numId w:val="79"/>
        </w:numPr>
        <w:tabs>
          <w:tab w:val="left" w:pos="2420"/>
          <w:tab w:val="left" w:pos="2421"/>
        </w:tabs>
        <w:spacing w:before="84"/>
        <w:ind w:hanging="848"/>
        <w:jc w:val="left"/>
        <w:rPr>
          <w:sz w:val="24"/>
        </w:rPr>
      </w:pPr>
      <w:r>
        <w:rPr>
          <w:sz w:val="24"/>
        </w:rPr>
        <w:t>Number of</w:t>
      </w:r>
      <w:r>
        <w:rPr>
          <w:spacing w:val="-3"/>
          <w:sz w:val="24"/>
        </w:rPr>
        <w:t xml:space="preserve"> </w:t>
      </w:r>
      <w:r>
        <w:rPr>
          <w:sz w:val="24"/>
        </w:rPr>
        <w:t>Start/Stops</w:t>
      </w:r>
    </w:p>
    <w:p w:rsidR="007C5447" w:rsidRDefault="00F6308C">
      <w:pPr>
        <w:pStyle w:val="ListParagraph"/>
        <w:numPr>
          <w:ilvl w:val="4"/>
          <w:numId w:val="79"/>
        </w:numPr>
        <w:tabs>
          <w:tab w:val="left" w:pos="2420"/>
          <w:tab w:val="left" w:pos="2421"/>
        </w:tabs>
        <w:spacing w:before="82"/>
        <w:ind w:hanging="915"/>
        <w:jc w:val="left"/>
        <w:rPr>
          <w:sz w:val="24"/>
        </w:rPr>
      </w:pPr>
      <w:r>
        <w:rPr>
          <w:sz w:val="24"/>
        </w:rPr>
        <w:t>Temperature and pressure stress the Machines have been subjected</w:t>
      </w:r>
      <w:r>
        <w:rPr>
          <w:spacing w:val="-7"/>
          <w:sz w:val="24"/>
        </w:rPr>
        <w:t xml:space="preserve"> </w:t>
      </w:r>
      <w:r>
        <w:rPr>
          <w:sz w:val="24"/>
        </w:rPr>
        <w:t>to</w:t>
      </w:r>
    </w:p>
    <w:p w:rsidR="007C5447" w:rsidRDefault="00F6308C">
      <w:pPr>
        <w:pStyle w:val="ListParagraph"/>
        <w:numPr>
          <w:ilvl w:val="4"/>
          <w:numId w:val="79"/>
        </w:numPr>
        <w:tabs>
          <w:tab w:val="left" w:pos="2420"/>
          <w:tab w:val="left" w:pos="2421"/>
        </w:tabs>
        <w:spacing w:before="84"/>
        <w:ind w:hanging="980"/>
        <w:jc w:val="left"/>
        <w:rPr>
          <w:sz w:val="24"/>
        </w:rPr>
      </w:pPr>
      <w:r>
        <w:rPr>
          <w:sz w:val="24"/>
        </w:rPr>
        <w:t>Automation of</w:t>
      </w:r>
      <w:r>
        <w:rPr>
          <w:spacing w:val="1"/>
          <w:sz w:val="24"/>
        </w:rPr>
        <w:t xml:space="preserve"> </w:t>
      </w:r>
      <w:r>
        <w:rPr>
          <w:sz w:val="24"/>
        </w:rPr>
        <w:t>C&amp;I</w:t>
      </w:r>
    </w:p>
    <w:p w:rsidR="007C5447" w:rsidRDefault="00F6308C">
      <w:pPr>
        <w:pStyle w:val="ListParagraph"/>
        <w:numPr>
          <w:ilvl w:val="4"/>
          <w:numId w:val="79"/>
        </w:numPr>
        <w:tabs>
          <w:tab w:val="left" w:pos="2420"/>
          <w:tab w:val="left" w:pos="2421"/>
        </w:tabs>
        <w:spacing w:before="82"/>
        <w:ind w:hanging="848"/>
        <w:jc w:val="left"/>
        <w:rPr>
          <w:sz w:val="24"/>
        </w:rPr>
      </w:pPr>
      <w:r>
        <w:rPr>
          <w:sz w:val="24"/>
        </w:rPr>
        <w:t>Condenser</w:t>
      </w:r>
      <w:r>
        <w:rPr>
          <w:spacing w:val="-1"/>
          <w:sz w:val="24"/>
        </w:rPr>
        <w:t xml:space="preserve"> </w:t>
      </w:r>
      <w:r>
        <w:rPr>
          <w:sz w:val="24"/>
        </w:rPr>
        <w:t>Vacuum.</w:t>
      </w:r>
    </w:p>
    <w:p w:rsidR="007C5447" w:rsidRDefault="007C5447">
      <w:pPr>
        <w:pStyle w:val="BodyText"/>
        <w:spacing w:before="2"/>
        <w:rPr>
          <w:sz w:val="28"/>
        </w:rPr>
      </w:pPr>
    </w:p>
    <w:p w:rsidR="007C5447" w:rsidRDefault="00F6308C">
      <w:pPr>
        <w:pStyle w:val="ListParagraph"/>
        <w:numPr>
          <w:ilvl w:val="3"/>
          <w:numId w:val="79"/>
        </w:numPr>
        <w:tabs>
          <w:tab w:val="left" w:pos="1226"/>
        </w:tabs>
        <w:spacing w:line="312" w:lineRule="auto"/>
        <w:ind w:right="296"/>
        <w:jc w:val="both"/>
        <w:rPr>
          <w:sz w:val="24"/>
        </w:rPr>
      </w:pPr>
      <w:r>
        <w:rPr>
          <w:sz w:val="24"/>
        </w:rPr>
        <w:t>TANGEDCO submitted the following justification for the deviations between</w:t>
      </w:r>
      <w:r>
        <w:rPr>
          <w:spacing w:val="42"/>
          <w:sz w:val="24"/>
        </w:rPr>
        <w:t xml:space="preserve"> </w:t>
      </w:r>
      <w:r>
        <w:rPr>
          <w:sz w:val="24"/>
        </w:rPr>
        <w:t>the actual operating parameters and the operating parameters approved by the Commission:</w:t>
      </w:r>
    </w:p>
    <w:p w:rsidR="007C5447" w:rsidRDefault="007C5447">
      <w:pPr>
        <w:pStyle w:val="BodyText"/>
        <w:spacing w:before="8"/>
        <w:rPr>
          <w:sz w:val="20"/>
        </w:rPr>
      </w:pPr>
    </w:p>
    <w:p w:rsidR="007C5447" w:rsidRDefault="00F6308C">
      <w:pPr>
        <w:pStyle w:val="Heading2"/>
        <w:numPr>
          <w:ilvl w:val="0"/>
          <w:numId w:val="78"/>
        </w:numPr>
        <w:tabs>
          <w:tab w:val="left" w:pos="1373"/>
        </w:tabs>
        <w:spacing w:before="1"/>
        <w:ind w:hanging="261"/>
      </w:pPr>
      <w:r>
        <w:t>Ageing</w:t>
      </w:r>
    </w:p>
    <w:p w:rsidR="007C5447" w:rsidRDefault="007C5447">
      <w:pPr>
        <w:pStyle w:val="BodyText"/>
        <w:spacing w:before="2"/>
        <w:rPr>
          <w:b/>
          <w:sz w:val="28"/>
        </w:rPr>
      </w:pPr>
    </w:p>
    <w:p w:rsidR="007C5447" w:rsidRDefault="00F6308C">
      <w:pPr>
        <w:pStyle w:val="ListParagraph"/>
        <w:numPr>
          <w:ilvl w:val="3"/>
          <w:numId w:val="79"/>
        </w:numPr>
        <w:tabs>
          <w:tab w:val="left" w:pos="1226"/>
        </w:tabs>
        <w:spacing w:line="312" w:lineRule="auto"/>
        <w:ind w:right="290"/>
        <w:jc w:val="both"/>
        <w:rPr>
          <w:sz w:val="24"/>
        </w:rPr>
      </w:pPr>
      <w:r>
        <w:rPr>
          <w:sz w:val="24"/>
        </w:rPr>
        <w:t>Frequent tube failures occur due to erosion in the old machines, which may be caused</w:t>
      </w:r>
      <w:r>
        <w:rPr>
          <w:sz w:val="24"/>
        </w:rPr>
        <w:t xml:space="preserve"> by poor quality of coal and other constraints. Heat transfer gets affected due to various reasons and the SHR increases. AC and SOC increase due to low load/partial load operation because of some technical constraints. Due to many other reasons like vibra</w:t>
      </w:r>
      <w:r>
        <w:rPr>
          <w:sz w:val="24"/>
        </w:rPr>
        <w:t>tions, eccentricity and high bearing temperature, the auxiliary of respective plants fails and causes deterioration in performance parameters. The older machines are affected by such reasons and hence, their performance is poorer as compared to the normati</w:t>
      </w:r>
      <w:r>
        <w:rPr>
          <w:sz w:val="24"/>
        </w:rPr>
        <w:t>ve</w:t>
      </w:r>
      <w:r>
        <w:rPr>
          <w:spacing w:val="-2"/>
          <w:sz w:val="24"/>
        </w:rPr>
        <w:t xml:space="preserve"> </w:t>
      </w:r>
      <w:r>
        <w:rPr>
          <w:sz w:val="24"/>
        </w:rPr>
        <w:t>values.</w:t>
      </w:r>
    </w:p>
    <w:p w:rsidR="007C5447" w:rsidRDefault="007C5447">
      <w:pPr>
        <w:pStyle w:val="BodyText"/>
        <w:spacing w:before="8"/>
        <w:rPr>
          <w:sz w:val="20"/>
        </w:rPr>
      </w:pPr>
    </w:p>
    <w:p w:rsidR="007C5447" w:rsidRDefault="00F6308C">
      <w:pPr>
        <w:pStyle w:val="Heading2"/>
        <w:numPr>
          <w:ilvl w:val="0"/>
          <w:numId w:val="78"/>
        </w:numPr>
        <w:tabs>
          <w:tab w:val="left" w:pos="1387"/>
        </w:tabs>
        <w:ind w:left="1386" w:hanging="275"/>
      </w:pPr>
      <w:r>
        <w:t>Design Constraints</w:t>
      </w:r>
    </w:p>
    <w:p w:rsidR="007C5447" w:rsidRDefault="007C5447">
      <w:pPr>
        <w:sectPr w:rsidR="007C5447">
          <w:footerReference w:type="default" r:id="rId31"/>
          <w:pgSz w:w="11910" w:h="16840"/>
          <w:pgMar w:top="1480" w:right="840" w:bottom="540" w:left="1180" w:header="0" w:footer="349" w:gutter="0"/>
          <w:pgNumType w:start="13"/>
          <w:cols w:space="720"/>
        </w:sectPr>
      </w:pPr>
    </w:p>
    <w:p w:rsidR="007C5447" w:rsidRDefault="00F6308C">
      <w:pPr>
        <w:pStyle w:val="ListParagraph"/>
        <w:numPr>
          <w:ilvl w:val="2"/>
          <w:numId w:val="92"/>
        </w:numPr>
        <w:tabs>
          <w:tab w:val="left" w:pos="1113"/>
        </w:tabs>
        <w:spacing w:before="60" w:line="312" w:lineRule="auto"/>
        <w:ind w:left="1112" w:right="292"/>
        <w:jc w:val="both"/>
        <w:rPr>
          <w:sz w:val="24"/>
        </w:rPr>
      </w:pPr>
      <w:r>
        <w:rPr>
          <w:sz w:val="24"/>
        </w:rPr>
        <w:lastRenderedPageBreak/>
        <w:t>The operational performance parameters for generating stations specified in the Tariff Regulations are based on the norms specified in CERC Tariff Regulations, which in turn is based on design specifications of NTPC Power Plants. Most of the NTPC power pla</w:t>
      </w:r>
      <w:r>
        <w:rPr>
          <w:sz w:val="24"/>
        </w:rPr>
        <w:t>nts have 500 MW Units which enable NTPC to achieve the target performance parameters specified in the</w:t>
      </w:r>
      <w:r>
        <w:rPr>
          <w:spacing w:val="-2"/>
          <w:sz w:val="24"/>
        </w:rPr>
        <w:t xml:space="preserve"> </w:t>
      </w:r>
      <w:r>
        <w:rPr>
          <w:sz w:val="24"/>
        </w:rPr>
        <w:t>Regulations.</w:t>
      </w:r>
    </w:p>
    <w:p w:rsidR="007C5447" w:rsidRDefault="007C5447">
      <w:pPr>
        <w:pStyle w:val="BodyText"/>
        <w:spacing w:before="10"/>
        <w:rPr>
          <w:sz w:val="20"/>
        </w:rPr>
      </w:pPr>
    </w:p>
    <w:p w:rsidR="007C5447" w:rsidRDefault="00F6308C">
      <w:pPr>
        <w:pStyle w:val="ListParagraph"/>
        <w:numPr>
          <w:ilvl w:val="2"/>
          <w:numId w:val="92"/>
        </w:numPr>
        <w:tabs>
          <w:tab w:val="left" w:pos="1113"/>
        </w:tabs>
        <w:spacing w:line="312" w:lineRule="auto"/>
        <w:ind w:left="1112" w:right="286"/>
        <w:jc w:val="both"/>
        <w:rPr>
          <w:sz w:val="24"/>
        </w:rPr>
      </w:pPr>
      <w:r>
        <w:rPr>
          <w:sz w:val="24"/>
        </w:rPr>
        <w:t xml:space="preserve">On the other hand, most of the existing plants of TANGEDCO have 110 MW to </w:t>
      </w:r>
      <w:r>
        <w:rPr>
          <w:spacing w:val="2"/>
          <w:sz w:val="24"/>
        </w:rPr>
        <w:t xml:space="preserve">210 </w:t>
      </w:r>
      <w:r>
        <w:rPr>
          <w:sz w:val="24"/>
        </w:rPr>
        <w:t>MW Units. As the Units are older and smaller in size, it is ve</w:t>
      </w:r>
      <w:r>
        <w:rPr>
          <w:sz w:val="24"/>
        </w:rPr>
        <w:t>ry difficult to achieve the target performance parameters specified in the Tariff</w:t>
      </w:r>
      <w:r>
        <w:rPr>
          <w:spacing w:val="-4"/>
          <w:sz w:val="24"/>
        </w:rPr>
        <w:t xml:space="preserve"> </w:t>
      </w:r>
      <w:r>
        <w:rPr>
          <w:sz w:val="24"/>
        </w:rPr>
        <w:t>Regulations.</w:t>
      </w:r>
    </w:p>
    <w:p w:rsidR="007C5447" w:rsidRDefault="007C5447">
      <w:pPr>
        <w:pStyle w:val="BodyText"/>
        <w:spacing w:before="11"/>
        <w:rPr>
          <w:sz w:val="20"/>
        </w:rPr>
      </w:pPr>
    </w:p>
    <w:p w:rsidR="007C5447" w:rsidRDefault="00F6308C">
      <w:pPr>
        <w:pStyle w:val="Heading2"/>
        <w:numPr>
          <w:ilvl w:val="0"/>
          <w:numId w:val="78"/>
        </w:numPr>
        <w:tabs>
          <w:tab w:val="left" w:pos="1358"/>
        </w:tabs>
        <w:ind w:left="1357" w:hanging="246"/>
      </w:pPr>
      <w:r>
        <w:t>Reasons for low performance of Ennore Thermal Power Station</w:t>
      </w:r>
      <w:r>
        <w:rPr>
          <w:spacing w:val="-6"/>
        </w:rPr>
        <w:t xml:space="preserve"> </w:t>
      </w:r>
      <w:r>
        <w:t>(ETPS)</w:t>
      </w:r>
    </w:p>
    <w:p w:rsidR="007C5447" w:rsidRDefault="00F6308C">
      <w:pPr>
        <w:pStyle w:val="ListParagraph"/>
        <w:numPr>
          <w:ilvl w:val="2"/>
          <w:numId w:val="92"/>
        </w:numPr>
        <w:tabs>
          <w:tab w:val="left" w:pos="1113"/>
        </w:tabs>
        <w:spacing w:before="202" w:line="312" w:lineRule="auto"/>
        <w:ind w:left="1112" w:right="292"/>
        <w:jc w:val="both"/>
        <w:rPr>
          <w:sz w:val="24"/>
        </w:rPr>
      </w:pPr>
      <w:r>
        <w:rPr>
          <w:sz w:val="24"/>
        </w:rPr>
        <w:t>All the Units at Ennore Thermal Power Station (ETPS) are operated under lesser load due to ch</w:t>
      </w:r>
      <w:r>
        <w:rPr>
          <w:sz w:val="24"/>
        </w:rPr>
        <w:t xml:space="preserve">loride ingress owing to usage of contaminated cooling water, low condenser vacuum, condenser tube failure, boiler tube punctures, turbine vibration, rotor blade failure, etc. Being an old station, outages occur in various equipment due to various reasons, </w:t>
      </w:r>
      <w:r>
        <w:rPr>
          <w:sz w:val="24"/>
        </w:rPr>
        <w:t>which have reduced the power</w:t>
      </w:r>
      <w:r>
        <w:rPr>
          <w:spacing w:val="-1"/>
          <w:sz w:val="24"/>
        </w:rPr>
        <w:t xml:space="preserve"> </w:t>
      </w:r>
      <w:r>
        <w:rPr>
          <w:sz w:val="24"/>
        </w:rPr>
        <w:t>generation.</w:t>
      </w:r>
    </w:p>
    <w:p w:rsidR="007C5447" w:rsidRDefault="007C5447">
      <w:pPr>
        <w:pStyle w:val="BodyText"/>
        <w:rPr>
          <w:sz w:val="21"/>
        </w:rPr>
      </w:pPr>
    </w:p>
    <w:p w:rsidR="007C5447" w:rsidRDefault="00F6308C">
      <w:pPr>
        <w:pStyle w:val="ListParagraph"/>
        <w:numPr>
          <w:ilvl w:val="2"/>
          <w:numId w:val="92"/>
        </w:numPr>
        <w:tabs>
          <w:tab w:val="left" w:pos="1113"/>
        </w:tabs>
        <w:spacing w:line="312" w:lineRule="auto"/>
        <w:ind w:left="1112" w:right="289"/>
        <w:jc w:val="both"/>
        <w:rPr>
          <w:sz w:val="24"/>
        </w:rPr>
      </w:pPr>
      <w:r>
        <w:rPr>
          <w:sz w:val="24"/>
        </w:rPr>
        <w:t>The Ennore Thermal Power Station has not achieved the full load capacity since inception and average PLF is also lower than 60% due to design deficiency in 110 MW Units.</w:t>
      </w:r>
    </w:p>
    <w:p w:rsidR="007C5447" w:rsidRDefault="007C5447">
      <w:pPr>
        <w:pStyle w:val="BodyText"/>
        <w:spacing w:before="9"/>
        <w:rPr>
          <w:sz w:val="20"/>
        </w:rPr>
      </w:pPr>
    </w:p>
    <w:p w:rsidR="007C5447" w:rsidRDefault="00F6308C">
      <w:pPr>
        <w:pStyle w:val="ListParagraph"/>
        <w:numPr>
          <w:ilvl w:val="3"/>
          <w:numId w:val="77"/>
        </w:numPr>
        <w:tabs>
          <w:tab w:val="left" w:pos="1226"/>
        </w:tabs>
        <w:spacing w:line="312" w:lineRule="auto"/>
        <w:ind w:right="288"/>
        <w:jc w:val="both"/>
        <w:rPr>
          <w:sz w:val="24"/>
        </w:rPr>
      </w:pPr>
      <w:r>
        <w:rPr>
          <w:sz w:val="24"/>
        </w:rPr>
        <w:t>The major constraint in achieving higher and sustained generation with reduced outages of the Units at Ennore Thermal Power Station is the highly-contaminated cooling water, i.e., the sea water available at Ennore creek. Since contaminated  cooling water i</w:t>
      </w:r>
      <w:r>
        <w:rPr>
          <w:sz w:val="24"/>
        </w:rPr>
        <w:t xml:space="preserve">s being used for condenser cooling, the cooling water corrodes the condenser tubes resulting in abnormal condenser tube failures. Once the tube fails, the chloride in the cooling water mixes up with the Demineralized water, resulting in scale formation in </w:t>
      </w:r>
      <w:r>
        <w:rPr>
          <w:sz w:val="24"/>
        </w:rPr>
        <w:t>boiler tubes and salt deposits on turbine</w:t>
      </w:r>
      <w:r>
        <w:rPr>
          <w:spacing w:val="-1"/>
          <w:sz w:val="24"/>
        </w:rPr>
        <w:t xml:space="preserve"> </w:t>
      </w:r>
      <w:r>
        <w:rPr>
          <w:sz w:val="24"/>
        </w:rPr>
        <w:t>blades.</w:t>
      </w:r>
    </w:p>
    <w:p w:rsidR="007C5447" w:rsidRDefault="007C5447">
      <w:pPr>
        <w:pStyle w:val="BodyText"/>
        <w:rPr>
          <w:sz w:val="21"/>
        </w:rPr>
      </w:pPr>
    </w:p>
    <w:p w:rsidR="007C5447" w:rsidRDefault="00F6308C">
      <w:pPr>
        <w:pStyle w:val="ListParagraph"/>
        <w:numPr>
          <w:ilvl w:val="3"/>
          <w:numId w:val="77"/>
        </w:numPr>
        <w:tabs>
          <w:tab w:val="left" w:pos="1226"/>
        </w:tabs>
        <w:spacing w:line="312" w:lineRule="auto"/>
        <w:ind w:right="295"/>
        <w:jc w:val="both"/>
        <w:rPr>
          <w:sz w:val="24"/>
        </w:rPr>
      </w:pPr>
      <w:r>
        <w:rPr>
          <w:sz w:val="24"/>
        </w:rPr>
        <w:t>This results in frequent failures of boiler tubes, high axial shift in turbine and high vibration of turbine rotors resulting in frequent blade failures. As the quality of cooling water available is very p</w:t>
      </w:r>
      <w:r>
        <w:rPr>
          <w:sz w:val="24"/>
        </w:rPr>
        <w:t>oor, the condenser tubes are renewed periodically besides carrying out repair in turbine</w:t>
      </w:r>
      <w:r>
        <w:rPr>
          <w:spacing w:val="-4"/>
          <w:sz w:val="24"/>
        </w:rPr>
        <w:t xml:space="preserve"> </w:t>
      </w:r>
      <w:r>
        <w:rPr>
          <w:sz w:val="24"/>
        </w:rPr>
        <w:t>rotors.</w:t>
      </w:r>
    </w:p>
    <w:p w:rsidR="007C5447" w:rsidRDefault="007C5447">
      <w:pPr>
        <w:pStyle w:val="BodyText"/>
        <w:rPr>
          <w:sz w:val="21"/>
        </w:rPr>
      </w:pPr>
    </w:p>
    <w:p w:rsidR="007C5447" w:rsidRDefault="00F6308C">
      <w:pPr>
        <w:pStyle w:val="ListParagraph"/>
        <w:numPr>
          <w:ilvl w:val="3"/>
          <w:numId w:val="77"/>
        </w:numPr>
        <w:tabs>
          <w:tab w:val="left" w:pos="1226"/>
        </w:tabs>
        <w:spacing w:line="312" w:lineRule="auto"/>
        <w:ind w:right="291"/>
        <w:jc w:val="both"/>
        <w:rPr>
          <w:sz w:val="24"/>
        </w:rPr>
      </w:pPr>
      <w:r>
        <w:rPr>
          <w:sz w:val="24"/>
        </w:rPr>
        <w:t>In Units I &amp; II (60 MW Units), the Boiler tube leakages were analysed and it was observed that the tube leakages were mainly due to flue gas erosion on accoun</w:t>
      </w:r>
      <w:r>
        <w:rPr>
          <w:sz w:val="24"/>
        </w:rPr>
        <w:t>t of high ash content in the coal. In order to prevent tubes from erosion, shrouds and griddling bands were provided. Subsequently, the tube leakages have</w:t>
      </w:r>
      <w:r>
        <w:rPr>
          <w:spacing w:val="-3"/>
          <w:sz w:val="24"/>
        </w:rPr>
        <w:t xml:space="preserve"> </w:t>
      </w:r>
      <w:r>
        <w:rPr>
          <w:sz w:val="24"/>
        </w:rPr>
        <w:t>reduced.</w:t>
      </w:r>
    </w:p>
    <w:p w:rsidR="007C5447" w:rsidRDefault="007C5447">
      <w:pPr>
        <w:pStyle w:val="BodyText"/>
        <w:spacing w:before="10"/>
        <w:rPr>
          <w:sz w:val="20"/>
        </w:rPr>
      </w:pPr>
    </w:p>
    <w:p w:rsidR="007C5447" w:rsidRDefault="00F6308C">
      <w:pPr>
        <w:pStyle w:val="ListParagraph"/>
        <w:numPr>
          <w:ilvl w:val="3"/>
          <w:numId w:val="77"/>
        </w:numPr>
        <w:tabs>
          <w:tab w:val="left" w:pos="1226"/>
        </w:tabs>
        <w:spacing w:line="312" w:lineRule="auto"/>
        <w:ind w:right="290"/>
        <w:jc w:val="both"/>
        <w:rPr>
          <w:sz w:val="24"/>
        </w:rPr>
      </w:pPr>
      <w:r>
        <w:rPr>
          <w:sz w:val="24"/>
        </w:rPr>
        <w:t>Units III &amp; IV (110 MW Units) have served for more than 9 years after Renovation &amp; Modernis</w:t>
      </w:r>
      <w:r>
        <w:rPr>
          <w:sz w:val="24"/>
        </w:rPr>
        <w:t>ation</w:t>
      </w:r>
      <w:r>
        <w:rPr>
          <w:spacing w:val="7"/>
          <w:sz w:val="24"/>
        </w:rPr>
        <w:t xml:space="preserve"> </w:t>
      </w:r>
      <w:r>
        <w:rPr>
          <w:sz w:val="24"/>
        </w:rPr>
        <w:t>works.</w:t>
      </w:r>
      <w:r>
        <w:rPr>
          <w:spacing w:val="7"/>
          <w:sz w:val="24"/>
        </w:rPr>
        <w:t xml:space="preserve"> </w:t>
      </w:r>
      <w:r>
        <w:rPr>
          <w:sz w:val="24"/>
        </w:rPr>
        <w:t>Due</w:t>
      </w:r>
      <w:r>
        <w:rPr>
          <w:spacing w:val="5"/>
          <w:sz w:val="24"/>
        </w:rPr>
        <w:t xml:space="preserve"> </w:t>
      </w:r>
      <w:r>
        <w:rPr>
          <w:sz w:val="24"/>
        </w:rPr>
        <w:t>to</w:t>
      </w:r>
      <w:r>
        <w:rPr>
          <w:spacing w:val="7"/>
          <w:sz w:val="24"/>
        </w:rPr>
        <w:t xml:space="preserve"> </w:t>
      </w:r>
      <w:r>
        <w:rPr>
          <w:sz w:val="24"/>
        </w:rPr>
        <w:t>ageing</w:t>
      </w:r>
      <w:r>
        <w:rPr>
          <w:spacing w:val="5"/>
          <w:sz w:val="24"/>
        </w:rPr>
        <w:t xml:space="preserve"> </w:t>
      </w:r>
      <w:r>
        <w:rPr>
          <w:sz w:val="24"/>
        </w:rPr>
        <w:t>and</w:t>
      </w:r>
      <w:r>
        <w:rPr>
          <w:spacing w:val="7"/>
          <w:sz w:val="24"/>
        </w:rPr>
        <w:t xml:space="preserve"> </w:t>
      </w:r>
      <w:r>
        <w:rPr>
          <w:sz w:val="24"/>
        </w:rPr>
        <w:t>flue</w:t>
      </w:r>
      <w:r>
        <w:rPr>
          <w:spacing w:val="8"/>
          <w:sz w:val="24"/>
        </w:rPr>
        <w:t xml:space="preserve"> </w:t>
      </w:r>
      <w:r>
        <w:rPr>
          <w:sz w:val="24"/>
        </w:rPr>
        <w:t>gas</w:t>
      </w:r>
      <w:r>
        <w:rPr>
          <w:spacing w:val="9"/>
          <w:sz w:val="24"/>
        </w:rPr>
        <w:t xml:space="preserve"> </w:t>
      </w:r>
      <w:r>
        <w:rPr>
          <w:sz w:val="24"/>
        </w:rPr>
        <w:t>ducts</w:t>
      </w:r>
      <w:r>
        <w:rPr>
          <w:spacing w:val="8"/>
          <w:sz w:val="24"/>
        </w:rPr>
        <w:t xml:space="preserve"> </w:t>
      </w:r>
      <w:r>
        <w:rPr>
          <w:sz w:val="24"/>
        </w:rPr>
        <w:t>erosion,</w:t>
      </w:r>
      <w:r>
        <w:rPr>
          <w:spacing w:val="8"/>
          <w:sz w:val="24"/>
        </w:rPr>
        <w:t xml:space="preserve"> </w:t>
      </w:r>
      <w:r>
        <w:rPr>
          <w:sz w:val="24"/>
        </w:rPr>
        <w:t>punctures</w:t>
      </w:r>
      <w:r>
        <w:rPr>
          <w:spacing w:val="7"/>
          <w:sz w:val="24"/>
        </w:rPr>
        <w:t xml:space="preserve"> </w:t>
      </w:r>
      <w:r>
        <w:rPr>
          <w:sz w:val="24"/>
        </w:rPr>
        <w:t>occurred</w:t>
      </w:r>
      <w:r>
        <w:rPr>
          <w:spacing w:val="7"/>
          <w:sz w:val="24"/>
        </w:rPr>
        <w:t xml:space="preserve"> </w:t>
      </w:r>
      <w:r>
        <w:rPr>
          <w:sz w:val="24"/>
        </w:rPr>
        <w:t>in</w:t>
      </w:r>
    </w:p>
    <w:p w:rsidR="007C5447" w:rsidRDefault="007C5447">
      <w:pPr>
        <w:spacing w:line="312" w:lineRule="auto"/>
        <w:jc w:val="both"/>
        <w:rPr>
          <w:sz w:val="24"/>
        </w:rPr>
        <w:sectPr w:rsidR="007C5447">
          <w:pgSz w:w="11910" w:h="16840"/>
          <w:pgMar w:top="1360" w:right="840" w:bottom="540" w:left="1180" w:header="0" w:footer="349" w:gutter="0"/>
          <w:cols w:space="720"/>
        </w:sectPr>
      </w:pPr>
    </w:p>
    <w:p w:rsidR="007C5447" w:rsidRDefault="00F6308C">
      <w:pPr>
        <w:pStyle w:val="BodyText"/>
        <w:spacing w:before="60" w:line="312" w:lineRule="auto"/>
        <w:ind w:left="1225" w:right="288"/>
        <w:jc w:val="both"/>
      </w:pPr>
      <w:r>
        <w:lastRenderedPageBreak/>
        <w:t>the R.H. bends. R.H. bends were renewed partially during Annual Overhaul (AOH) period in FY 2008-09 and FY 2009-10. Balance RH bends have been programmed to be renewed during the forthcoming AOH periods.</w:t>
      </w:r>
    </w:p>
    <w:p w:rsidR="007C5447" w:rsidRDefault="007C5447">
      <w:pPr>
        <w:pStyle w:val="BodyText"/>
        <w:spacing w:before="10"/>
        <w:rPr>
          <w:sz w:val="20"/>
        </w:rPr>
      </w:pPr>
    </w:p>
    <w:p w:rsidR="007C5447" w:rsidRDefault="00F6308C">
      <w:pPr>
        <w:pStyle w:val="ListParagraph"/>
        <w:numPr>
          <w:ilvl w:val="3"/>
          <w:numId w:val="77"/>
        </w:numPr>
        <w:tabs>
          <w:tab w:val="left" w:pos="1226"/>
        </w:tabs>
        <w:spacing w:line="312" w:lineRule="auto"/>
        <w:ind w:right="291"/>
        <w:jc w:val="both"/>
        <w:rPr>
          <w:sz w:val="24"/>
        </w:rPr>
      </w:pPr>
      <w:r>
        <w:rPr>
          <w:sz w:val="24"/>
        </w:rPr>
        <w:t>In Unit-V (110 MW Unit) during Renovation &amp; Moderni</w:t>
      </w:r>
      <w:r>
        <w:rPr>
          <w:sz w:val="24"/>
        </w:rPr>
        <w:t xml:space="preserve">sation period, only partial pressure parts were renewed (platen S.H. and Cold Reheated tubes). Other areas, i.e., Water walls, Economizer, Ceiling Super heater, Hot Reheater and Exit Superheater were not renewed. Boiler has served more than 1,50,000 hours </w:t>
      </w:r>
      <w:r>
        <w:rPr>
          <w:sz w:val="24"/>
        </w:rPr>
        <w:t>of service and entire boiler replacement was not done during Renovation &amp; Modernisation as carried out in other Units 1 to 4. Hence, Boiler tube leakages occur frequently. Subsequently, RLA study was carried out during 2009, based on which repair works are</w:t>
      </w:r>
      <w:r>
        <w:rPr>
          <w:sz w:val="24"/>
        </w:rPr>
        <w:t xml:space="preserve"> proposed to be carried out during forthcoming capital overhaul. However, the weak boiler tubes are being replaced during every</w:t>
      </w:r>
      <w:r>
        <w:rPr>
          <w:spacing w:val="-10"/>
          <w:sz w:val="24"/>
        </w:rPr>
        <w:t xml:space="preserve"> </w:t>
      </w:r>
      <w:r>
        <w:rPr>
          <w:sz w:val="24"/>
        </w:rPr>
        <w:t>overhaul.</w:t>
      </w:r>
    </w:p>
    <w:p w:rsidR="007C5447" w:rsidRDefault="007C5447">
      <w:pPr>
        <w:pStyle w:val="BodyText"/>
        <w:rPr>
          <w:sz w:val="21"/>
        </w:rPr>
      </w:pPr>
    </w:p>
    <w:p w:rsidR="007C5447" w:rsidRDefault="00F6308C">
      <w:pPr>
        <w:pStyle w:val="ListParagraph"/>
        <w:numPr>
          <w:ilvl w:val="3"/>
          <w:numId w:val="77"/>
        </w:numPr>
        <w:tabs>
          <w:tab w:val="left" w:pos="1226"/>
        </w:tabs>
        <w:spacing w:line="312" w:lineRule="auto"/>
        <w:ind w:right="288"/>
        <w:jc w:val="both"/>
        <w:rPr>
          <w:sz w:val="24"/>
        </w:rPr>
      </w:pPr>
      <w:r>
        <w:rPr>
          <w:sz w:val="24"/>
        </w:rPr>
        <w:t>Since ETPS is having low capacity, Units which have already served their life and having perennial cooling water prob</w:t>
      </w:r>
      <w:r>
        <w:rPr>
          <w:sz w:val="24"/>
        </w:rPr>
        <w:t xml:space="preserve">lem, frequent forced outages occur resulting in low generation. Rectification works are being taken up then and there to reduce the forced outages in order to improve the generation and Plant Load Factor. Subsequently, TANGEDCO submitted that all Units of </w:t>
      </w:r>
      <w:r>
        <w:rPr>
          <w:sz w:val="24"/>
        </w:rPr>
        <w:t xml:space="preserve">ETPS have been </w:t>
      </w:r>
      <w:r>
        <w:rPr>
          <w:spacing w:val="2"/>
          <w:sz w:val="24"/>
        </w:rPr>
        <w:t xml:space="preserve">de- </w:t>
      </w:r>
      <w:r>
        <w:rPr>
          <w:sz w:val="24"/>
        </w:rPr>
        <w:t>commissioned at the end of FY 2016-17.</w:t>
      </w:r>
    </w:p>
    <w:p w:rsidR="007C5447" w:rsidRDefault="00F6308C">
      <w:pPr>
        <w:pStyle w:val="Heading2"/>
        <w:numPr>
          <w:ilvl w:val="2"/>
          <w:numId w:val="92"/>
        </w:numPr>
        <w:tabs>
          <w:tab w:val="left" w:pos="1113"/>
        </w:tabs>
        <w:spacing w:before="121"/>
        <w:ind w:left="1112" w:hanging="853"/>
        <w:jc w:val="both"/>
      </w:pPr>
      <w:r>
        <w:t>Plant Load Factor</w:t>
      </w:r>
      <w:r>
        <w:rPr>
          <w:spacing w:val="-1"/>
        </w:rPr>
        <w:t xml:space="preserve"> </w:t>
      </w:r>
      <w:r>
        <w:t>(PLF)</w:t>
      </w:r>
    </w:p>
    <w:p w:rsidR="007C5447" w:rsidRDefault="007C5447">
      <w:pPr>
        <w:pStyle w:val="BodyText"/>
        <w:spacing w:before="11"/>
        <w:rPr>
          <w:b/>
          <w:sz w:val="27"/>
        </w:rPr>
      </w:pPr>
    </w:p>
    <w:p w:rsidR="007C5447" w:rsidRDefault="00F6308C">
      <w:pPr>
        <w:pStyle w:val="ListParagraph"/>
        <w:numPr>
          <w:ilvl w:val="3"/>
          <w:numId w:val="76"/>
        </w:numPr>
        <w:tabs>
          <w:tab w:val="left" w:pos="1226"/>
        </w:tabs>
        <w:spacing w:line="312" w:lineRule="auto"/>
        <w:ind w:right="285"/>
        <w:jc w:val="both"/>
        <w:rPr>
          <w:sz w:val="24"/>
        </w:rPr>
      </w:pPr>
      <w:r>
        <w:rPr>
          <w:sz w:val="24"/>
        </w:rPr>
        <w:t>TANGEDCO submitted that the PLF of its power plants has been in line with the norms approved by the Commission in the last Tariff Order, as shown in the Table below:</w:t>
      </w:r>
    </w:p>
    <w:p w:rsidR="007C5447" w:rsidRDefault="007C5447">
      <w:pPr>
        <w:pStyle w:val="BodyText"/>
        <w:spacing w:before="2"/>
        <w:rPr>
          <w:sz w:val="21"/>
        </w:rPr>
      </w:pPr>
    </w:p>
    <w:p w:rsidR="007C5447" w:rsidRDefault="00F6308C">
      <w:pPr>
        <w:ind w:left="673" w:right="706"/>
        <w:jc w:val="center"/>
        <w:rPr>
          <w:b/>
        </w:rPr>
      </w:pPr>
      <w:r>
        <w:rPr>
          <w:b/>
        </w:rPr>
        <w:t>Table 3-51: PLF as submitted by TANGEDCO</w:t>
      </w:r>
    </w:p>
    <w:p w:rsidR="007C5447" w:rsidRDefault="007C5447">
      <w:pPr>
        <w:pStyle w:val="BodyText"/>
        <w:spacing w:before="10" w:after="1"/>
        <w:rPr>
          <w:b/>
          <w:sz w:val="16"/>
        </w:rPr>
      </w:pP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
        <w:gridCol w:w="2339"/>
        <w:gridCol w:w="1246"/>
        <w:gridCol w:w="1244"/>
        <w:gridCol w:w="1246"/>
        <w:gridCol w:w="1247"/>
        <w:gridCol w:w="1246"/>
      </w:tblGrid>
      <w:tr w:rsidR="007C5447">
        <w:trPr>
          <w:trHeight w:val="328"/>
        </w:trPr>
        <w:tc>
          <w:tcPr>
            <w:tcW w:w="622" w:type="dxa"/>
            <w:shd w:val="clear" w:color="auto" w:fill="F7C9AC"/>
          </w:tcPr>
          <w:p w:rsidR="007C5447" w:rsidRDefault="00F6308C">
            <w:pPr>
              <w:pStyle w:val="TableParagraph"/>
              <w:spacing w:before="105" w:line="203" w:lineRule="exact"/>
              <w:ind w:left="107"/>
              <w:jc w:val="left"/>
              <w:rPr>
                <w:b/>
                <w:sz w:val="18"/>
              </w:rPr>
            </w:pPr>
            <w:r>
              <w:rPr>
                <w:b/>
                <w:sz w:val="18"/>
              </w:rPr>
              <w:t>Sl.</w:t>
            </w:r>
          </w:p>
        </w:tc>
        <w:tc>
          <w:tcPr>
            <w:tcW w:w="2339" w:type="dxa"/>
            <w:shd w:val="clear" w:color="auto" w:fill="F7C9AC"/>
          </w:tcPr>
          <w:p w:rsidR="007C5447" w:rsidRDefault="00F6308C">
            <w:pPr>
              <w:pStyle w:val="TableParagraph"/>
              <w:spacing w:before="105" w:line="203" w:lineRule="exact"/>
              <w:ind w:left="107"/>
              <w:jc w:val="left"/>
              <w:rPr>
                <w:b/>
                <w:sz w:val="18"/>
              </w:rPr>
            </w:pPr>
            <w:r>
              <w:rPr>
                <w:b/>
                <w:sz w:val="18"/>
              </w:rPr>
              <w:t>Station</w:t>
            </w:r>
          </w:p>
        </w:tc>
        <w:tc>
          <w:tcPr>
            <w:tcW w:w="1246" w:type="dxa"/>
            <w:shd w:val="clear" w:color="auto" w:fill="F7C9AC"/>
          </w:tcPr>
          <w:p w:rsidR="007C5447" w:rsidRDefault="00F6308C">
            <w:pPr>
              <w:pStyle w:val="TableParagraph"/>
              <w:spacing w:before="105" w:line="203" w:lineRule="exact"/>
              <w:ind w:left="106"/>
              <w:jc w:val="left"/>
              <w:rPr>
                <w:b/>
                <w:sz w:val="18"/>
              </w:rPr>
            </w:pPr>
            <w:r>
              <w:rPr>
                <w:b/>
                <w:sz w:val="18"/>
              </w:rPr>
              <w:t>FY 2011-12</w:t>
            </w:r>
          </w:p>
        </w:tc>
        <w:tc>
          <w:tcPr>
            <w:tcW w:w="1244" w:type="dxa"/>
            <w:shd w:val="clear" w:color="auto" w:fill="F7C9AC"/>
          </w:tcPr>
          <w:p w:rsidR="007C5447" w:rsidRDefault="00F6308C">
            <w:pPr>
              <w:pStyle w:val="TableParagraph"/>
              <w:spacing w:before="105" w:line="203" w:lineRule="exact"/>
              <w:ind w:left="106"/>
              <w:jc w:val="left"/>
              <w:rPr>
                <w:b/>
                <w:sz w:val="18"/>
              </w:rPr>
            </w:pPr>
            <w:r>
              <w:rPr>
                <w:b/>
                <w:sz w:val="18"/>
              </w:rPr>
              <w:t>FY 2012-13</w:t>
            </w:r>
          </w:p>
        </w:tc>
        <w:tc>
          <w:tcPr>
            <w:tcW w:w="1246" w:type="dxa"/>
            <w:shd w:val="clear" w:color="auto" w:fill="F7C9AC"/>
          </w:tcPr>
          <w:p w:rsidR="007C5447" w:rsidRDefault="00F6308C">
            <w:pPr>
              <w:pStyle w:val="TableParagraph"/>
              <w:spacing w:before="105" w:line="203" w:lineRule="exact"/>
              <w:ind w:left="105"/>
              <w:jc w:val="left"/>
              <w:rPr>
                <w:b/>
                <w:sz w:val="18"/>
              </w:rPr>
            </w:pPr>
            <w:r>
              <w:rPr>
                <w:b/>
                <w:sz w:val="18"/>
              </w:rPr>
              <w:t>FY 2013-14</w:t>
            </w:r>
          </w:p>
        </w:tc>
        <w:tc>
          <w:tcPr>
            <w:tcW w:w="1247" w:type="dxa"/>
            <w:shd w:val="clear" w:color="auto" w:fill="F7C9AC"/>
          </w:tcPr>
          <w:p w:rsidR="007C5447" w:rsidRDefault="00F6308C">
            <w:pPr>
              <w:pStyle w:val="TableParagraph"/>
              <w:spacing w:before="105" w:line="203" w:lineRule="exact"/>
              <w:ind w:left="105"/>
              <w:jc w:val="left"/>
              <w:rPr>
                <w:b/>
                <w:sz w:val="18"/>
              </w:rPr>
            </w:pPr>
            <w:r>
              <w:rPr>
                <w:b/>
                <w:sz w:val="18"/>
              </w:rPr>
              <w:t>FY</w:t>
            </w:r>
            <w:r>
              <w:rPr>
                <w:b/>
                <w:sz w:val="18"/>
              </w:rPr>
              <w:t xml:space="preserve"> 2014-15</w:t>
            </w:r>
          </w:p>
        </w:tc>
        <w:tc>
          <w:tcPr>
            <w:tcW w:w="1246" w:type="dxa"/>
            <w:shd w:val="clear" w:color="auto" w:fill="F7C9AC"/>
          </w:tcPr>
          <w:p w:rsidR="007C5447" w:rsidRDefault="00F6308C">
            <w:pPr>
              <w:pStyle w:val="TableParagraph"/>
              <w:spacing w:before="105" w:line="203" w:lineRule="exact"/>
              <w:ind w:left="104"/>
              <w:jc w:val="left"/>
              <w:rPr>
                <w:b/>
                <w:sz w:val="18"/>
              </w:rPr>
            </w:pPr>
            <w:r>
              <w:rPr>
                <w:b/>
                <w:sz w:val="18"/>
              </w:rPr>
              <w:t>FY 2015-16</w:t>
            </w:r>
          </w:p>
        </w:tc>
      </w:tr>
      <w:tr w:rsidR="007C5447">
        <w:trPr>
          <w:trHeight w:val="325"/>
        </w:trPr>
        <w:tc>
          <w:tcPr>
            <w:tcW w:w="622" w:type="dxa"/>
            <w:shd w:val="clear" w:color="auto" w:fill="D9D9D9"/>
          </w:tcPr>
          <w:p w:rsidR="007C5447" w:rsidRDefault="00F6308C">
            <w:pPr>
              <w:pStyle w:val="TableParagraph"/>
              <w:spacing w:before="105" w:line="201" w:lineRule="exact"/>
              <w:ind w:left="107"/>
              <w:jc w:val="left"/>
              <w:rPr>
                <w:b/>
                <w:sz w:val="18"/>
              </w:rPr>
            </w:pPr>
            <w:r>
              <w:rPr>
                <w:b/>
                <w:w w:val="99"/>
                <w:sz w:val="18"/>
              </w:rPr>
              <w:t>A</w:t>
            </w:r>
          </w:p>
        </w:tc>
        <w:tc>
          <w:tcPr>
            <w:tcW w:w="2339" w:type="dxa"/>
            <w:shd w:val="clear" w:color="auto" w:fill="D9D9D9"/>
          </w:tcPr>
          <w:p w:rsidR="007C5447" w:rsidRDefault="00F6308C">
            <w:pPr>
              <w:pStyle w:val="TableParagraph"/>
              <w:spacing w:before="105" w:line="201" w:lineRule="exact"/>
              <w:ind w:left="107"/>
              <w:jc w:val="left"/>
              <w:rPr>
                <w:b/>
                <w:sz w:val="18"/>
              </w:rPr>
            </w:pPr>
            <w:r>
              <w:rPr>
                <w:b/>
                <w:sz w:val="18"/>
              </w:rPr>
              <w:t>Thermal</w:t>
            </w:r>
          </w:p>
        </w:tc>
        <w:tc>
          <w:tcPr>
            <w:tcW w:w="1246" w:type="dxa"/>
            <w:shd w:val="clear" w:color="auto" w:fill="D9D9D9"/>
          </w:tcPr>
          <w:p w:rsidR="007C5447" w:rsidRDefault="007C5447">
            <w:pPr>
              <w:pStyle w:val="TableParagraph"/>
              <w:jc w:val="left"/>
            </w:pPr>
          </w:p>
        </w:tc>
        <w:tc>
          <w:tcPr>
            <w:tcW w:w="1244" w:type="dxa"/>
            <w:shd w:val="clear" w:color="auto" w:fill="D9D9D9"/>
          </w:tcPr>
          <w:p w:rsidR="007C5447" w:rsidRDefault="007C5447">
            <w:pPr>
              <w:pStyle w:val="TableParagraph"/>
              <w:jc w:val="left"/>
            </w:pPr>
          </w:p>
        </w:tc>
        <w:tc>
          <w:tcPr>
            <w:tcW w:w="1246" w:type="dxa"/>
            <w:shd w:val="clear" w:color="auto" w:fill="D9D9D9"/>
          </w:tcPr>
          <w:p w:rsidR="007C5447" w:rsidRDefault="007C5447">
            <w:pPr>
              <w:pStyle w:val="TableParagraph"/>
              <w:jc w:val="left"/>
            </w:pPr>
          </w:p>
        </w:tc>
        <w:tc>
          <w:tcPr>
            <w:tcW w:w="1247" w:type="dxa"/>
            <w:shd w:val="clear" w:color="auto" w:fill="D9D9D9"/>
          </w:tcPr>
          <w:p w:rsidR="007C5447" w:rsidRDefault="007C5447">
            <w:pPr>
              <w:pStyle w:val="TableParagraph"/>
              <w:jc w:val="left"/>
            </w:pPr>
          </w:p>
        </w:tc>
        <w:tc>
          <w:tcPr>
            <w:tcW w:w="1246" w:type="dxa"/>
            <w:shd w:val="clear" w:color="auto" w:fill="D9D9D9"/>
          </w:tcPr>
          <w:p w:rsidR="007C5447" w:rsidRDefault="007C5447">
            <w:pPr>
              <w:pStyle w:val="TableParagraph"/>
              <w:jc w:val="left"/>
            </w:pPr>
          </w:p>
        </w:tc>
      </w:tr>
      <w:tr w:rsidR="007C5447">
        <w:trPr>
          <w:trHeight w:val="328"/>
        </w:trPr>
        <w:tc>
          <w:tcPr>
            <w:tcW w:w="622" w:type="dxa"/>
          </w:tcPr>
          <w:p w:rsidR="007C5447" w:rsidRDefault="00F6308C">
            <w:pPr>
              <w:pStyle w:val="TableParagraph"/>
              <w:spacing w:before="107" w:line="201" w:lineRule="exact"/>
              <w:ind w:right="256"/>
              <w:rPr>
                <w:sz w:val="18"/>
              </w:rPr>
            </w:pPr>
            <w:r>
              <w:rPr>
                <w:sz w:val="18"/>
              </w:rPr>
              <w:t>1</w:t>
            </w:r>
          </w:p>
        </w:tc>
        <w:tc>
          <w:tcPr>
            <w:tcW w:w="2339" w:type="dxa"/>
          </w:tcPr>
          <w:p w:rsidR="007C5447" w:rsidRDefault="00F6308C">
            <w:pPr>
              <w:pStyle w:val="TableParagraph"/>
              <w:spacing w:before="107" w:line="201" w:lineRule="exact"/>
              <w:ind w:left="107"/>
              <w:jc w:val="left"/>
              <w:rPr>
                <w:sz w:val="18"/>
              </w:rPr>
            </w:pPr>
            <w:r>
              <w:rPr>
                <w:sz w:val="18"/>
              </w:rPr>
              <w:t>Ennore TPS</w:t>
            </w:r>
          </w:p>
        </w:tc>
        <w:tc>
          <w:tcPr>
            <w:tcW w:w="1246" w:type="dxa"/>
          </w:tcPr>
          <w:p w:rsidR="007C5447" w:rsidRDefault="00F6308C">
            <w:pPr>
              <w:pStyle w:val="TableParagraph"/>
              <w:spacing w:before="62"/>
              <w:ind w:right="94"/>
              <w:rPr>
                <w:sz w:val="18"/>
              </w:rPr>
            </w:pPr>
            <w:r>
              <w:rPr>
                <w:sz w:val="18"/>
              </w:rPr>
              <w:t>22.61%</w:t>
            </w:r>
          </w:p>
        </w:tc>
        <w:tc>
          <w:tcPr>
            <w:tcW w:w="1244" w:type="dxa"/>
          </w:tcPr>
          <w:p w:rsidR="007C5447" w:rsidRDefault="00F6308C">
            <w:pPr>
              <w:pStyle w:val="TableParagraph"/>
              <w:spacing w:before="62"/>
              <w:ind w:right="93"/>
              <w:rPr>
                <w:sz w:val="18"/>
              </w:rPr>
            </w:pPr>
            <w:r>
              <w:rPr>
                <w:sz w:val="18"/>
              </w:rPr>
              <w:t>18.67%</w:t>
            </w:r>
          </w:p>
        </w:tc>
        <w:tc>
          <w:tcPr>
            <w:tcW w:w="1246" w:type="dxa"/>
          </w:tcPr>
          <w:p w:rsidR="007C5447" w:rsidRDefault="00F6308C">
            <w:pPr>
              <w:pStyle w:val="TableParagraph"/>
              <w:spacing w:before="62"/>
              <w:ind w:right="95"/>
              <w:rPr>
                <w:sz w:val="18"/>
              </w:rPr>
            </w:pPr>
            <w:r>
              <w:rPr>
                <w:sz w:val="18"/>
              </w:rPr>
              <w:t>30.61%</w:t>
            </w:r>
          </w:p>
        </w:tc>
        <w:tc>
          <w:tcPr>
            <w:tcW w:w="1247" w:type="dxa"/>
          </w:tcPr>
          <w:p w:rsidR="007C5447" w:rsidRDefault="00F6308C">
            <w:pPr>
              <w:pStyle w:val="TableParagraph"/>
              <w:spacing w:before="62"/>
              <w:ind w:right="97"/>
              <w:rPr>
                <w:sz w:val="18"/>
              </w:rPr>
            </w:pPr>
            <w:r>
              <w:rPr>
                <w:sz w:val="18"/>
              </w:rPr>
              <w:t>20.31%</w:t>
            </w:r>
          </w:p>
        </w:tc>
        <w:tc>
          <w:tcPr>
            <w:tcW w:w="1246" w:type="dxa"/>
          </w:tcPr>
          <w:p w:rsidR="007C5447" w:rsidRDefault="00F6308C">
            <w:pPr>
              <w:pStyle w:val="TableParagraph"/>
              <w:spacing w:before="62"/>
              <w:ind w:right="96"/>
              <w:rPr>
                <w:sz w:val="18"/>
              </w:rPr>
            </w:pPr>
            <w:r>
              <w:rPr>
                <w:sz w:val="18"/>
              </w:rPr>
              <w:t>31.08%</w:t>
            </w:r>
          </w:p>
        </w:tc>
      </w:tr>
      <w:tr w:rsidR="007C5447">
        <w:trPr>
          <w:trHeight w:val="328"/>
        </w:trPr>
        <w:tc>
          <w:tcPr>
            <w:tcW w:w="622" w:type="dxa"/>
          </w:tcPr>
          <w:p w:rsidR="007C5447" w:rsidRDefault="00F6308C">
            <w:pPr>
              <w:pStyle w:val="TableParagraph"/>
              <w:spacing w:before="107" w:line="201" w:lineRule="exact"/>
              <w:ind w:right="256"/>
              <w:rPr>
                <w:sz w:val="18"/>
              </w:rPr>
            </w:pPr>
            <w:r>
              <w:rPr>
                <w:sz w:val="18"/>
              </w:rPr>
              <w:t>2</w:t>
            </w:r>
          </w:p>
        </w:tc>
        <w:tc>
          <w:tcPr>
            <w:tcW w:w="2339" w:type="dxa"/>
          </w:tcPr>
          <w:p w:rsidR="007C5447" w:rsidRDefault="00F6308C">
            <w:pPr>
              <w:pStyle w:val="TableParagraph"/>
              <w:spacing w:before="107" w:line="201" w:lineRule="exact"/>
              <w:ind w:left="107"/>
              <w:jc w:val="left"/>
              <w:rPr>
                <w:sz w:val="18"/>
              </w:rPr>
            </w:pPr>
            <w:r>
              <w:rPr>
                <w:sz w:val="18"/>
              </w:rPr>
              <w:t>Tuticorin TPS</w:t>
            </w:r>
          </w:p>
        </w:tc>
        <w:tc>
          <w:tcPr>
            <w:tcW w:w="1246" w:type="dxa"/>
          </w:tcPr>
          <w:p w:rsidR="007C5447" w:rsidRDefault="00F6308C">
            <w:pPr>
              <w:pStyle w:val="TableParagraph"/>
              <w:spacing w:before="62"/>
              <w:ind w:right="94"/>
              <w:rPr>
                <w:sz w:val="18"/>
              </w:rPr>
            </w:pPr>
            <w:r>
              <w:rPr>
                <w:sz w:val="18"/>
              </w:rPr>
              <w:t>85.60%</w:t>
            </w:r>
          </w:p>
        </w:tc>
        <w:tc>
          <w:tcPr>
            <w:tcW w:w="1244" w:type="dxa"/>
          </w:tcPr>
          <w:p w:rsidR="007C5447" w:rsidRDefault="00F6308C">
            <w:pPr>
              <w:pStyle w:val="TableParagraph"/>
              <w:spacing w:before="62"/>
              <w:ind w:right="93"/>
              <w:rPr>
                <w:sz w:val="18"/>
              </w:rPr>
            </w:pPr>
            <w:r>
              <w:rPr>
                <w:sz w:val="18"/>
              </w:rPr>
              <w:t>90.04%</w:t>
            </w:r>
          </w:p>
        </w:tc>
        <w:tc>
          <w:tcPr>
            <w:tcW w:w="1246" w:type="dxa"/>
          </w:tcPr>
          <w:p w:rsidR="007C5447" w:rsidRDefault="00F6308C">
            <w:pPr>
              <w:pStyle w:val="TableParagraph"/>
              <w:spacing w:before="62"/>
              <w:ind w:right="95"/>
              <w:rPr>
                <w:sz w:val="18"/>
              </w:rPr>
            </w:pPr>
            <w:r>
              <w:rPr>
                <w:sz w:val="18"/>
              </w:rPr>
              <w:t>85.80%</w:t>
            </w:r>
          </w:p>
        </w:tc>
        <w:tc>
          <w:tcPr>
            <w:tcW w:w="1247" w:type="dxa"/>
          </w:tcPr>
          <w:p w:rsidR="007C5447" w:rsidRDefault="00F6308C">
            <w:pPr>
              <w:pStyle w:val="TableParagraph"/>
              <w:spacing w:before="62"/>
              <w:ind w:right="97"/>
              <w:rPr>
                <w:sz w:val="18"/>
              </w:rPr>
            </w:pPr>
            <w:r>
              <w:rPr>
                <w:sz w:val="18"/>
              </w:rPr>
              <w:t>83.42%</w:t>
            </w:r>
          </w:p>
        </w:tc>
        <w:tc>
          <w:tcPr>
            <w:tcW w:w="1246" w:type="dxa"/>
          </w:tcPr>
          <w:p w:rsidR="007C5447" w:rsidRDefault="00F6308C">
            <w:pPr>
              <w:pStyle w:val="TableParagraph"/>
              <w:spacing w:before="62"/>
              <w:ind w:right="96"/>
              <w:rPr>
                <w:sz w:val="18"/>
              </w:rPr>
            </w:pPr>
            <w:r>
              <w:rPr>
                <w:sz w:val="18"/>
              </w:rPr>
              <w:t>77.00%</w:t>
            </w:r>
          </w:p>
        </w:tc>
      </w:tr>
      <w:tr w:rsidR="007C5447">
        <w:trPr>
          <w:trHeight w:val="328"/>
        </w:trPr>
        <w:tc>
          <w:tcPr>
            <w:tcW w:w="622" w:type="dxa"/>
          </w:tcPr>
          <w:p w:rsidR="007C5447" w:rsidRDefault="00F6308C">
            <w:pPr>
              <w:pStyle w:val="TableParagraph"/>
              <w:spacing w:before="106" w:line="203" w:lineRule="exact"/>
              <w:ind w:right="256"/>
              <w:rPr>
                <w:sz w:val="18"/>
              </w:rPr>
            </w:pPr>
            <w:r>
              <w:rPr>
                <w:sz w:val="18"/>
              </w:rPr>
              <w:t>3</w:t>
            </w:r>
          </w:p>
        </w:tc>
        <w:tc>
          <w:tcPr>
            <w:tcW w:w="2339" w:type="dxa"/>
          </w:tcPr>
          <w:p w:rsidR="007C5447" w:rsidRDefault="00F6308C">
            <w:pPr>
              <w:pStyle w:val="TableParagraph"/>
              <w:spacing w:before="106" w:line="203" w:lineRule="exact"/>
              <w:ind w:left="107"/>
              <w:jc w:val="left"/>
              <w:rPr>
                <w:sz w:val="18"/>
              </w:rPr>
            </w:pPr>
            <w:r>
              <w:rPr>
                <w:sz w:val="18"/>
              </w:rPr>
              <w:t>Mettur TPS</w:t>
            </w:r>
          </w:p>
        </w:tc>
        <w:tc>
          <w:tcPr>
            <w:tcW w:w="1246" w:type="dxa"/>
          </w:tcPr>
          <w:p w:rsidR="007C5447" w:rsidRDefault="00F6308C">
            <w:pPr>
              <w:pStyle w:val="TableParagraph"/>
              <w:spacing w:before="59"/>
              <w:ind w:right="94"/>
              <w:rPr>
                <w:sz w:val="18"/>
              </w:rPr>
            </w:pPr>
            <w:r>
              <w:rPr>
                <w:sz w:val="18"/>
              </w:rPr>
              <w:t>92.77%</w:t>
            </w:r>
          </w:p>
        </w:tc>
        <w:tc>
          <w:tcPr>
            <w:tcW w:w="1244" w:type="dxa"/>
          </w:tcPr>
          <w:p w:rsidR="007C5447" w:rsidRDefault="00F6308C">
            <w:pPr>
              <w:pStyle w:val="TableParagraph"/>
              <w:spacing w:before="59"/>
              <w:ind w:right="93"/>
              <w:rPr>
                <w:sz w:val="18"/>
              </w:rPr>
            </w:pPr>
            <w:r>
              <w:rPr>
                <w:sz w:val="18"/>
              </w:rPr>
              <w:t>84.26%</w:t>
            </w:r>
          </w:p>
        </w:tc>
        <w:tc>
          <w:tcPr>
            <w:tcW w:w="1246" w:type="dxa"/>
          </w:tcPr>
          <w:p w:rsidR="007C5447" w:rsidRDefault="00F6308C">
            <w:pPr>
              <w:pStyle w:val="TableParagraph"/>
              <w:spacing w:before="59"/>
              <w:ind w:right="95"/>
              <w:rPr>
                <w:sz w:val="18"/>
              </w:rPr>
            </w:pPr>
            <w:r>
              <w:rPr>
                <w:sz w:val="18"/>
              </w:rPr>
              <w:t>88.04%</w:t>
            </w:r>
          </w:p>
        </w:tc>
        <w:tc>
          <w:tcPr>
            <w:tcW w:w="1247" w:type="dxa"/>
          </w:tcPr>
          <w:p w:rsidR="007C5447" w:rsidRDefault="00F6308C">
            <w:pPr>
              <w:pStyle w:val="TableParagraph"/>
              <w:spacing w:before="59"/>
              <w:ind w:right="97"/>
              <w:rPr>
                <w:sz w:val="18"/>
              </w:rPr>
            </w:pPr>
            <w:r>
              <w:rPr>
                <w:sz w:val="18"/>
              </w:rPr>
              <w:t>84.71%</w:t>
            </w:r>
          </w:p>
        </w:tc>
        <w:tc>
          <w:tcPr>
            <w:tcW w:w="1246" w:type="dxa"/>
          </w:tcPr>
          <w:p w:rsidR="007C5447" w:rsidRDefault="00F6308C">
            <w:pPr>
              <w:pStyle w:val="TableParagraph"/>
              <w:spacing w:before="59"/>
              <w:ind w:right="96"/>
              <w:rPr>
                <w:sz w:val="18"/>
              </w:rPr>
            </w:pPr>
            <w:r>
              <w:rPr>
                <w:sz w:val="18"/>
              </w:rPr>
              <w:t>80.25%</w:t>
            </w:r>
          </w:p>
        </w:tc>
      </w:tr>
      <w:tr w:rsidR="007C5447">
        <w:trPr>
          <w:trHeight w:val="328"/>
        </w:trPr>
        <w:tc>
          <w:tcPr>
            <w:tcW w:w="622" w:type="dxa"/>
          </w:tcPr>
          <w:p w:rsidR="007C5447" w:rsidRDefault="00F6308C">
            <w:pPr>
              <w:pStyle w:val="TableParagraph"/>
              <w:spacing w:before="105" w:line="203" w:lineRule="exact"/>
              <w:ind w:right="256"/>
              <w:rPr>
                <w:sz w:val="18"/>
              </w:rPr>
            </w:pPr>
            <w:r>
              <w:rPr>
                <w:sz w:val="18"/>
              </w:rPr>
              <w:t>4</w:t>
            </w:r>
          </w:p>
        </w:tc>
        <w:tc>
          <w:tcPr>
            <w:tcW w:w="2339" w:type="dxa"/>
          </w:tcPr>
          <w:p w:rsidR="007C5447" w:rsidRDefault="00F6308C">
            <w:pPr>
              <w:pStyle w:val="TableParagraph"/>
              <w:spacing w:before="105" w:line="203" w:lineRule="exact"/>
              <w:ind w:left="107"/>
              <w:jc w:val="left"/>
              <w:rPr>
                <w:sz w:val="18"/>
              </w:rPr>
            </w:pPr>
            <w:r>
              <w:rPr>
                <w:sz w:val="18"/>
              </w:rPr>
              <w:t>Mettur Stage III TPS</w:t>
            </w:r>
          </w:p>
        </w:tc>
        <w:tc>
          <w:tcPr>
            <w:tcW w:w="1246" w:type="dxa"/>
          </w:tcPr>
          <w:p w:rsidR="007C5447" w:rsidRDefault="00F6308C">
            <w:pPr>
              <w:pStyle w:val="TableParagraph"/>
              <w:spacing w:before="59"/>
              <w:ind w:right="97"/>
              <w:rPr>
                <w:sz w:val="18"/>
              </w:rPr>
            </w:pPr>
            <w:r>
              <w:rPr>
                <w:w w:val="99"/>
                <w:sz w:val="18"/>
              </w:rPr>
              <w:t>-</w:t>
            </w:r>
          </w:p>
        </w:tc>
        <w:tc>
          <w:tcPr>
            <w:tcW w:w="1244" w:type="dxa"/>
          </w:tcPr>
          <w:p w:rsidR="007C5447" w:rsidRDefault="00F6308C">
            <w:pPr>
              <w:pStyle w:val="TableParagraph"/>
              <w:spacing w:before="59"/>
              <w:ind w:right="95"/>
              <w:rPr>
                <w:sz w:val="18"/>
              </w:rPr>
            </w:pPr>
            <w:r>
              <w:rPr>
                <w:w w:val="99"/>
                <w:sz w:val="18"/>
              </w:rPr>
              <w:t>-</w:t>
            </w:r>
          </w:p>
        </w:tc>
        <w:tc>
          <w:tcPr>
            <w:tcW w:w="1246" w:type="dxa"/>
          </w:tcPr>
          <w:p w:rsidR="007C5447" w:rsidRDefault="00F6308C">
            <w:pPr>
              <w:pStyle w:val="TableParagraph"/>
              <w:spacing w:before="59"/>
              <w:ind w:right="95"/>
              <w:rPr>
                <w:sz w:val="18"/>
              </w:rPr>
            </w:pPr>
            <w:r>
              <w:rPr>
                <w:sz w:val="18"/>
              </w:rPr>
              <w:t>80.00%</w:t>
            </w:r>
          </w:p>
        </w:tc>
        <w:tc>
          <w:tcPr>
            <w:tcW w:w="1247" w:type="dxa"/>
          </w:tcPr>
          <w:p w:rsidR="007C5447" w:rsidRDefault="00F6308C">
            <w:pPr>
              <w:pStyle w:val="TableParagraph"/>
              <w:spacing w:before="59"/>
              <w:ind w:right="97"/>
              <w:rPr>
                <w:sz w:val="18"/>
              </w:rPr>
            </w:pPr>
            <w:r>
              <w:rPr>
                <w:sz w:val="18"/>
              </w:rPr>
              <w:t>57.50%</w:t>
            </w:r>
          </w:p>
        </w:tc>
        <w:tc>
          <w:tcPr>
            <w:tcW w:w="1246" w:type="dxa"/>
          </w:tcPr>
          <w:p w:rsidR="007C5447" w:rsidRDefault="00F6308C">
            <w:pPr>
              <w:pStyle w:val="TableParagraph"/>
              <w:spacing w:before="59"/>
              <w:ind w:right="96"/>
              <w:rPr>
                <w:sz w:val="18"/>
              </w:rPr>
            </w:pPr>
            <w:r>
              <w:rPr>
                <w:sz w:val="18"/>
              </w:rPr>
              <w:t>85.00%</w:t>
            </w:r>
          </w:p>
        </w:tc>
      </w:tr>
      <w:tr w:rsidR="007C5447">
        <w:trPr>
          <w:trHeight w:val="328"/>
        </w:trPr>
        <w:tc>
          <w:tcPr>
            <w:tcW w:w="622" w:type="dxa"/>
          </w:tcPr>
          <w:p w:rsidR="007C5447" w:rsidRDefault="00F6308C">
            <w:pPr>
              <w:pStyle w:val="TableParagraph"/>
              <w:spacing w:before="105" w:line="203" w:lineRule="exact"/>
              <w:ind w:right="256"/>
              <w:rPr>
                <w:sz w:val="18"/>
              </w:rPr>
            </w:pPr>
            <w:r>
              <w:rPr>
                <w:sz w:val="18"/>
              </w:rPr>
              <w:t>5</w:t>
            </w:r>
          </w:p>
        </w:tc>
        <w:tc>
          <w:tcPr>
            <w:tcW w:w="2339" w:type="dxa"/>
          </w:tcPr>
          <w:p w:rsidR="007C5447" w:rsidRDefault="00F6308C">
            <w:pPr>
              <w:pStyle w:val="TableParagraph"/>
              <w:spacing w:before="105" w:line="203" w:lineRule="exact"/>
              <w:ind w:left="107"/>
              <w:jc w:val="left"/>
              <w:rPr>
                <w:sz w:val="18"/>
              </w:rPr>
            </w:pPr>
            <w:r>
              <w:rPr>
                <w:sz w:val="18"/>
              </w:rPr>
              <w:t>North Chennai TPS</w:t>
            </w:r>
          </w:p>
        </w:tc>
        <w:tc>
          <w:tcPr>
            <w:tcW w:w="1246" w:type="dxa"/>
          </w:tcPr>
          <w:p w:rsidR="007C5447" w:rsidRDefault="00F6308C">
            <w:pPr>
              <w:pStyle w:val="TableParagraph"/>
              <w:spacing w:before="59"/>
              <w:ind w:right="94"/>
              <w:rPr>
                <w:sz w:val="18"/>
              </w:rPr>
            </w:pPr>
            <w:r>
              <w:rPr>
                <w:sz w:val="18"/>
              </w:rPr>
              <w:t>84.81%</w:t>
            </w:r>
          </w:p>
        </w:tc>
        <w:tc>
          <w:tcPr>
            <w:tcW w:w="1244" w:type="dxa"/>
          </w:tcPr>
          <w:p w:rsidR="007C5447" w:rsidRDefault="00F6308C">
            <w:pPr>
              <w:pStyle w:val="TableParagraph"/>
              <w:spacing w:before="59"/>
              <w:ind w:right="93"/>
              <w:rPr>
                <w:sz w:val="18"/>
              </w:rPr>
            </w:pPr>
            <w:r>
              <w:rPr>
                <w:sz w:val="18"/>
              </w:rPr>
              <w:t>91.68%</w:t>
            </w:r>
          </w:p>
        </w:tc>
        <w:tc>
          <w:tcPr>
            <w:tcW w:w="1246" w:type="dxa"/>
          </w:tcPr>
          <w:p w:rsidR="007C5447" w:rsidRDefault="00F6308C">
            <w:pPr>
              <w:pStyle w:val="TableParagraph"/>
              <w:spacing w:before="59"/>
              <w:ind w:right="95"/>
              <w:rPr>
                <w:sz w:val="18"/>
              </w:rPr>
            </w:pPr>
            <w:r>
              <w:rPr>
                <w:sz w:val="18"/>
              </w:rPr>
              <w:t>74.33%</w:t>
            </w:r>
          </w:p>
        </w:tc>
        <w:tc>
          <w:tcPr>
            <w:tcW w:w="1247" w:type="dxa"/>
          </w:tcPr>
          <w:p w:rsidR="007C5447" w:rsidRDefault="00F6308C">
            <w:pPr>
              <w:pStyle w:val="TableParagraph"/>
              <w:spacing w:before="59"/>
              <w:ind w:right="97"/>
              <w:rPr>
                <w:sz w:val="18"/>
              </w:rPr>
            </w:pPr>
            <w:r>
              <w:rPr>
                <w:sz w:val="18"/>
              </w:rPr>
              <w:t>77.21%</w:t>
            </w:r>
          </w:p>
        </w:tc>
        <w:tc>
          <w:tcPr>
            <w:tcW w:w="1246" w:type="dxa"/>
          </w:tcPr>
          <w:p w:rsidR="007C5447" w:rsidRDefault="00F6308C">
            <w:pPr>
              <w:pStyle w:val="TableParagraph"/>
              <w:spacing w:before="59"/>
              <w:ind w:right="96"/>
              <w:rPr>
                <w:sz w:val="18"/>
              </w:rPr>
            </w:pPr>
            <w:r>
              <w:rPr>
                <w:sz w:val="18"/>
              </w:rPr>
              <w:t>85.00%</w:t>
            </w:r>
          </w:p>
        </w:tc>
      </w:tr>
      <w:tr w:rsidR="007C5447">
        <w:trPr>
          <w:trHeight w:val="326"/>
        </w:trPr>
        <w:tc>
          <w:tcPr>
            <w:tcW w:w="622" w:type="dxa"/>
          </w:tcPr>
          <w:p w:rsidR="007C5447" w:rsidRDefault="00F6308C">
            <w:pPr>
              <w:pStyle w:val="TableParagraph"/>
              <w:spacing w:before="105" w:line="201" w:lineRule="exact"/>
              <w:ind w:right="256"/>
              <w:rPr>
                <w:sz w:val="18"/>
              </w:rPr>
            </w:pPr>
            <w:r>
              <w:rPr>
                <w:sz w:val="18"/>
              </w:rPr>
              <w:t>6</w:t>
            </w:r>
          </w:p>
        </w:tc>
        <w:tc>
          <w:tcPr>
            <w:tcW w:w="2339" w:type="dxa"/>
          </w:tcPr>
          <w:p w:rsidR="007C5447" w:rsidRDefault="00F6308C">
            <w:pPr>
              <w:pStyle w:val="TableParagraph"/>
              <w:spacing w:before="105" w:line="201" w:lineRule="exact"/>
              <w:ind w:left="107"/>
              <w:jc w:val="left"/>
              <w:rPr>
                <w:sz w:val="18"/>
              </w:rPr>
            </w:pPr>
            <w:r>
              <w:rPr>
                <w:sz w:val="18"/>
              </w:rPr>
              <w:t>North Chennai Stage II TPS</w:t>
            </w:r>
          </w:p>
        </w:tc>
        <w:tc>
          <w:tcPr>
            <w:tcW w:w="1246" w:type="dxa"/>
          </w:tcPr>
          <w:p w:rsidR="007C5447" w:rsidRDefault="00F6308C">
            <w:pPr>
              <w:pStyle w:val="TableParagraph"/>
              <w:spacing w:before="59"/>
              <w:ind w:right="97"/>
              <w:rPr>
                <w:sz w:val="18"/>
              </w:rPr>
            </w:pPr>
            <w:r>
              <w:rPr>
                <w:w w:val="99"/>
                <w:sz w:val="18"/>
              </w:rPr>
              <w:t>-</w:t>
            </w:r>
          </w:p>
        </w:tc>
        <w:tc>
          <w:tcPr>
            <w:tcW w:w="1244" w:type="dxa"/>
          </w:tcPr>
          <w:p w:rsidR="007C5447" w:rsidRDefault="00F6308C">
            <w:pPr>
              <w:pStyle w:val="TableParagraph"/>
              <w:spacing w:before="59"/>
              <w:ind w:right="95"/>
              <w:rPr>
                <w:sz w:val="18"/>
              </w:rPr>
            </w:pPr>
            <w:r>
              <w:rPr>
                <w:w w:val="99"/>
                <w:sz w:val="18"/>
              </w:rPr>
              <w:t>-</w:t>
            </w:r>
          </w:p>
        </w:tc>
        <w:tc>
          <w:tcPr>
            <w:tcW w:w="1246" w:type="dxa"/>
          </w:tcPr>
          <w:p w:rsidR="007C5447" w:rsidRDefault="00F6308C">
            <w:pPr>
              <w:pStyle w:val="TableParagraph"/>
              <w:spacing w:before="59"/>
              <w:ind w:right="98"/>
              <w:rPr>
                <w:sz w:val="18"/>
              </w:rPr>
            </w:pPr>
            <w:r>
              <w:rPr>
                <w:w w:val="99"/>
                <w:sz w:val="18"/>
              </w:rPr>
              <w:t>-</w:t>
            </w:r>
          </w:p>
        </w:tc>
        <w:tc>
          <w:tcPr>
            <w:tcW w:w="1247" w:type="dxa"/>
          </w:tcPr>
          <w:p w:rsidR="007C5447" w:rsidRDefault="00F6308C">
            <w:pPr>
              <w:pStyle w:val="TableParagraph"/>
              <w:spacing w:before="59"/>
              <w:ind w:right="97"/>
              <w:rPr>
                <w:sz w:val="18"/>
              </w:rPr>
            </w:pPr>
            <w:r>
              <w:rPr>
                <w:sz w:val="18"/>
              </w:rPr>
              <w:t>53.14%</w:t>
            </w:r>
          </w:p>
        </w:tc>
        <w:tc>
          <w:tcPr>
            <w:tcW w:w="1246" w:type="dxa"/>
          </w:tcPr>
          <w:p w:rsidR="007C5447" w:rsidRDefault="00F6308C">
            <w:pPr>
              <w:pStyle w:val="TableParagraph"/>
              <w:spacing w:before="59"/>
              <w:ind w:right="96"/>
              <w:rPr>
                <w:sz w:val="18"/>
              </w:rPr>
            </w:pPr>
            <w:r>
              <w:rPr>
                <w:sz w:val="18"/>
              </w:rPr>
              <w:t>85.00%</w:t>
            </w:r>
          </w:p>
        </w:tc>
      </w:tr>
      <w:tr w:rsidR="007C5447">
        <w:trPr>
          <w:trHeight w:val="328"/>
        </w:trPr>
        <w:tc>
          <w:tcPr>
            <w:tcW w:w="622" w:type="dxa"/>
            <w:shd w:val="clear" w:color="auto" w:fill="D9D9D9"/>
          </w:tcPr>
          <w:p w:rsidR="007C5447" w:rsidRDefault="00F6308C">
            <w:pPr>
              <w:pStyle w:val="TableParagraph"/>
              <w:spacing w:before="107" w:line="201" w:lineRule="exact"/>
              <w:ind w:left="107"/>
              <w:jc w:val="left"/>
              <w:rPr>
                <w:b/>
                <w:sz w:val="18"/>
              </w:rPr>
            </w:pPr>
            <w:r>
              <w:rPr>
                <w:b/>
                <w:sz w:val="18"/>
              </w:rPr>
              <w:t>B</w:t>
            </w:r>
          </w:p>
        </w:tc>
        <w:tc>
          <w:tcPr>
            <w:tcW w:w="2339" w:type="dxa"/>
            <w:shd w:val="clear" w:color="auto" w:fill="D9D9D9"/>
          </w:tcPr>
          <w:p w:rsidR="007C5447" w:rsidRDefault="00F6308C">
            <w:pPr>
              <w:pStyle w:val="TableParagraph"/>
              <w:spacing w:before="107" w:line="201" w:lineRule="exact"/>
              <w:ind w:left="107"/>
              <w:jc w:val="left"/>
              <w:rPr>
                <w:b/>
                <w:sz w:val="18"/>
              </w:rPr>
            </w:pPr>
            <w:r>
              <w:rPr>
                <w:b/>
                <w:sz w:val="18"/>
              </w:rPr>
              <w:t>Gas</w:t>
            </w:r>
          </w:p>
        </w:tc>
        <w:tc>
          <w:tcPr>
            <w:tcW w:w="1246" w:type="dxa"/>
            <w:shd w:val="clear" w:color="auto" w:fill="D9D9D9"/>
          </w:tcPr>
          <w:p w:rsidR="007C5447" w:rsidRDefault="007C5447">
            <w:pPr>
              <w:pStyle w:val="TableParagraph"/>
              <w:jc w:val="left"/>
            </w:pPr>
          </w:p>
        </w:tc>
        <w:tc>
          <w:tcPr>
            <w:tcW w:w="1244" w:type="dxa"/>
            <w:shd w:val="clear" w:color="auto" w:fill="D9D9D9"/>
          </w:tcPr>
          <w:p w:rsidR="007C5447" w:rsidRDefault="007C5447">
            <w:pPr>
              <w:pStyle w:val="TableParagraph"/>
              <w:jc w:val="left"/>
            </w:pPr>
          </w:p>
        </w:tc>
        <w:tc>
          <w:tcPr>
            <w:tcW w:w="1246" w:type="dxa"/>
            <w:shd w:val="clear" w:color="auto" w:fill="D9D9D9"/>
          </w:tcPr>
          <w:p w:rsidR="007C5447" w:rsidRDefault="007C5447">
            <w:pPr>
              <w:pStyle w:val="TableParagraph"/>
              <w:jc w:val="left"/>
            </w:pPr>
          </w:p>
        </w:tc>
        <w:tc>
          <w:tcPr>
            <w:tcW w:w="1247" w:type="dxa"/>
            <w:shd w:val="clear" w:color="auto" w:fill="D9D9D9"/>
          </w:tcPr>
          <w:p w:rsidR="007C5447" w:rsidRDefault="007C5447">
            <w:pPr>
              <w:pStyle w:val="TableParagraph"/>
              <w:jc w:val="left"/>
            </w:pPr>
          </w:p>
        </w:tc>
        <w:tc>
          <w:tcPr>
            <w:tcW w:w="1246" w:type="dxa"/>
            <w:shd w:val="clear" w:color="auto" w:fill="D9D9D9"/>
          </w:tcPr>
          <w:p w:rsidR="007C5447" w:rsidRDefault="007C5447">
            <w:pPr>
              <w:pStyle w:val="TableParagraph"/>
              <w:jc w:val="left"/>
            </w:pPr>
          </w:p>
        </w:tc>
      </w:tr>
      <w:tr w:rsidR="007C5447">
        <w:trPr>
          <w:trHeight w:val="328"/>
        </w:trPr>
        <w:tc>
          <w:tcPr>
            <w:tcW w:w="622" w:type="dxa"/>
          </w:tcPr>
          <w:p w:rsidR="007C5447" w:rsidRDefault="00F6308C">
            <w:pPr>
              <w:pStyle w:val="TableParagraph"/>
              <w:spacing w:before="107" w:line="201" w:lineRule="exact"/>
              <w:ind w:right="256"/>
              <w:rPr>
                <w:sz w:val="18"/>
              </w:rPr>
            </w:pPr>
            <w:r>
              <w:rPr>
                <w:sz w:val="18"/>
              </w:rPr>
              <w:t>1</w:t>
            </w:r>
          </w:p>
        </w:tc>
        <w:tc>
          <w:tcPr>
            <w:tcW w:w="2339" w:type="dxa"/>
          </w:tcPr>
          <w:p w:rsidR="007C5447" w:rsidRDefault="00F6308C">
            <w:pPr>
              <w:pStyle w:val="TableParagraph"/>
              <w:spacing w:before="107" w:line="201" w:lineRule="exact"/>
              <w:ind w:left="107"/>
              <w:jc w:val="left"/>
              <w:rPr>
                <w:sz w:val="18"/>
              </w:rPr>
            </w:pPr>
            <w:r>
              <w:rPr>
                <w:sz w:val="18"/>
              </w:rPr>
              <w:t>Tirumakottai GTPS</w:t>
            </w:r>
          </w:p>
        </w:tc>
        <w:tc>
          <w:tcPr>
            <w:tcW w:w="1246" w:type="dxa"/>
          </w:tcPr>
          <w:p w:rsidR="007C5447" w:rsidRDefault="00F6308C">
            <w:pPr>
              <w:pStyle w:val="TableParagraph"/>
              <w:spacing w:before="62"/>
              <w:ind w:right="94"/>
              <w:rPr>
                <w:sz w:val="18"/>
              </w:rPr>
            </w:pPr>
            <w:r>
              <w:rPr>
                <w:sz w:val="18"/>
              </w:rPr>
              <w:t>74.68%</w:t>
            </w:r>
          </w:p>
        </w:tc>
        <w:tc>
          <w:tcPr>
            <w:tcW w:w="1244" w:type="dxa"/>
          </w:tcPr>
          <w:p w:rsidR="007C5447" w:rsidRDefault="00F6308C">
            <w:pPr>
              <w:pStyle w:val="TableParagraph"/>
              <w:spacing w:before="62"/>
              <w:ind w:right="93"/>
              <w:rPr>
                <w:sz w:val="18"/>
              </w:rPr>
            </w:pPr>
            <w:r>
              <w:rPr>
                <w:sz w:val="18"/>
              </w:rPr>
              <w:t>76.90%</w:t>
            </w:r>
          </w:p>
        </w:tc>
        <w:tc>
          <w:tcPr>
            <w:tcW w:w="1246" w:type="dxa"/>
          </w:tcPr>
          <w:p w:rsidR="007C5447" w:rsidRDefault="00F6308C">
            <w:pPr>
              <w:pStyle w:val="TableParagraph"/>
              <w:spacing w:before="62"/>
              <w:ind w:right="95"/>
              <w:rPr>
                <w:sz w:val="18"/>
              </w:rPr>
            </w:pPr>
            <w:r>
              <w:rPr>
                <w:sz w:val="18"/>
              </w:rPr>
              <w:t>52.69%</w:t>
            </w:r>
          </w:p>
        </w:tc>
        <w:tc>
          <w:tcPr>
            <w:tcW w:w="1247" w:type="dxa"/>
          </w:tcPr>
          <w:p w:rsidR="007C5447" w:rsidRDefault="00F6308C">
            <w:pPr>
              <w:pStyle w:val="TableParagraph"/>
              <w:spacing w:before="62"/>
              <w:ind w:right="97"/>
              <w:rPr>
                <w:sz w:val="18"/>
              </w:rPr>
            </w:pPr>
            <w:r>
              <w:rPr>
                <w:sz w:val="18"/>
              </w:rPr>
              <w:t>43.81%</w:t>
            </w:r>
          </w:p>
        </w:tc>
        <w:tc>
          <w:tcPr>
            <w:tcW w:w="1246" w:type="dxa"/>
          </w:tcPr>
          <w:p w:rsidR="007C5447" w:rsidRDefault="00F6308C">
            <w:pPr>
              <w:pStyle w:val="TableParagraph"/>
              <w:spacing w:before="62"/>
              <w:ind w:right="96"/>
              <w:rPr>
                <w:sz w:val="18"/>
              </w:rPr>
            </w:pPr>
            <w:r>
              <w:rPr>
                <w:sz w:val="18"/>
              </w:rPr>
              <w:t>42.23%</w:t>
            </w:r>
          </w:p>
        </w:tc>
      </w:tr>
      <w:tr w:rsidR="007C5447">
        <w:trPr>
          <w:trHeight w:val="328"/>
        </w:trPr>
        <w:tc>
          <w:tcPr>
            <w:tcW w:w="622" w:type="dxa"/>
          </w:tcPr>
          <w:p w:rsidR="007C5447" w:rsidRDefault="00F6308C">
            <w:pPr>
              <w:pStyle w:val="TableParagraph"/>
              <w:spacing w:before="105" w:line="203" w:lineRule="exact"/>
              <w:ind w:right="256"/>
              <w:rPr>
                <w:sz w:val="18"/>
              </w:rPr>
            </w:pPr>
            <w:r>
              <w:rPr>
                <w:sz w:val="18"/>
              </w:rPr>
              <w:t>2</w:t>
            </w:r>
          </w:p>
        </w:tc>
        <w:tc>
          <w:tcPr>
            <w:tcW w:w="2339" w:type="dxa"/>
          </w:tcPr>
          <w:p w:rsidR="007C5447" w:rsidRDefault="00F6308C">
            <w:pPr>
              <w:pStyle w:val="TableParagraph"/>
              <w:spacing w:before="105" w:line="203" w:lineRule="exact"/>
              <w:ind w:left="107"/>
              <w:jc w:val="left"/>
              <w:rPr>
                <w:sz w:val="18"/>
              </w:rPr>
            </w:pPr>
            <w:r>
              <w:rPr>
                <w:sz w:val="18"/>
              </w:rPr>
              <w:t>Kuttalam GTPS</w:t>
            </w:r>
          </w:p>
        </w:tc>
        <w:tc>
          <w:tcPr>
            <w:tcW w:w="1246" w:type="dxa"/>
          </w:tcPr>
          <w:p w:rsidR="007C5447" w:rsidRDefault="00F6308C">
            <w:pPr>
              <w:pStyle w:val="TableParagraph"/>
              <w:spacing w:before="59"/>
              <w:ind w:right="94"/>
              <w:rPr>
                <w:sz w:val="18"/>
              </w:rPr>
            </w:pPr>
            <w:r>
              <w:rPr>
                <w:sz w:val="18"/>
              </w:rPr>
              <w:t>46.76%</w:t>
            </w:r>
          </w:p>
        </w:tc>
        <w:tc>
          <w:tcPr>
            <w:tcW w:w="1244" w:type="dxa"/>
          </w:tcPr>
          <w:p w:rsidR="007C5447" w:rsidRDefault="00F6308C">
            <w:pPr>
              <w:pStyle w:val="TableParagraph"/>
              <w:spacing w:before="59"/>
              <w:ind w:right="95"/>
              <w:rPr>
                <w:sz w:val="18"/>
              </w:rPr>
            </w:pPr>
            <w:r>
              <w:rPr>
                <w:sz w:val="18"/>
              </w:rPr>
              <w:t>6.31%</w:t>
            </w:r>
          </w:p>
        </w:tc>
        <w:tc>
          <w:tcPr>
            <w:tcW w:w="1246" w:type="dxa"/>
          </w:tcPr>
          <w:p w:rsidR="007C5447" w:rsidRDefault="00F6308C">
            <w:pPr>
              <w:pStyle w:val="TableParagraph"/>
              <w:spacing w:before="59"/>
              <w:ind w:right="95"/>
              <w:rPr>
                <w:sz w:val="18"/>
              </w:rPr>
            </w:pPr>
            <w:r>
              <w:rPr>
                <w:sz w:val="18"/>
              </w:rPr>
              <w:t>72.49%</w:t>
            </w:r>
          </w:p>
        </w:tc>
        <w:tc>
          <w:tcPr>
            <w:tcW w:w="1247" w:type="dxa"/>
          </w:tcPr>
          <w:p w:rsidR="007C5447" w:rsidRDefault="00F6308C">
            <w:pPr>
              <w:pStyle w:val="TableParagraph"/>
              <w:spacing w:before="59"/>
              <w:ind w:right="97"/>
              <w:rPr>
                <w:sz w:val="18"/>
              </w:rPr>
            </w:pPr>
            <w:r>
              <w:rPr>
                <w:sz w:val="18"/>
              </w:rPr>
              <w:t>56.74%</w:t>
            </w:r>
          </w:p>
        </w:tc>
        <w:tc>
          <w:tcPr>
            <w:tcW w:w="1246" w:type="dxa"/>
          </w:tcPr>
          <w:p w:rsidR="007C5447" w:rsidRDefault="00F6308C">
            <w:pPr>
              <w:pStyle w:val="TableParagraph"/>
              <w:spacing w:before="59"/>
              <w:ind w:right="96"/>
              <w:rPr>
                <w:sz w:val="18"/>
              </w:rPr>
            </w:pPr>
            <w:r>
              <w:rPr>
                <w:sz w:val="18"/>
              </w:rPr>
              <w:t>64.35%</w:t>
            </w:r>
          </w:p>
        </w:tc>
      </w:tr>
      <w:tr w:rsidR="007C5447">
        <w:trPr>
          <w:trHeight w:val="328"/>
        </w:trPr>
        <w:tc>
          <w:tcPr>
            <w:tcW w:w="622" w:type="dxa"/>
          </w:tcPr>
          <w:p w:rsidR="007C5447" w:rsidRDefault="00F6308C">
            <w:pPr>
              <w:pStyle w:val="TableParagraph"/>
              <w:spacing w:before="105" w:line="203" w:lineRule="exact"/>
              <w:ind w:right="256"/>
              <w:rPr>
                <w:sz w:val="18"/>
              </w:rPr>
            </w:pPr>
            <w:r>
              <w:rPr>
                <w:sz w:val="18"/>
              </w:rPr>
              <w:t>3</w:t>
            </w:r>
          </w:p>
        </w:tc>
        <w:tc>
          <w:tcPr>
            <w:tcW w:w="2339" w:type="dxa"/>
          </w:tcPr>
          <w:p w:rsidR="007C5447" w:rsidRDefault="00F6308C">
            <w:pPr>
              <w:pStyle w:val="TableParagraph"/>
              <w:spacing w:before="105" w:line="203" w:lineRule="exact"/>
              <w:ind w:left="107"/>
              <w:jc w:val="left"/>
              <w:rPr>
                <w:sz w:val="18"/>
              </w:rPr>
            </w:pPr>
            <w:r>
              <w:rPr>
                <w:sz w:val="18"/>
              </w:rPr>
              <w:t>Basin Bridge GTPS</w:t>
            </w:r>
          </w:p>
        </w:tc>
        <w:tc>
          <w:tcPr>
            <w:tcW w:w="1246" w:type="dxa"/>
          </w:tcPr>
          <w:p w:rsidR="007C5447" w:rsidRDefault="00F6308C">
            <w:pPr>
              <w:pStyle w:val="TableParagraph"/>
              <w:spacing w:before="59"/>
              <w:ind w:right="97"/>
              <w:rPr>
                <w:sz w:val="18"/>
              </w:rPr>
            </w:pPr>
            <w:r>
              <w:rPr>
                <w:sz w:val="18"/>
              </w:rPr>
              <w:t>2.81%</w:t>
            </w:r>
          </w:p>
        </w:tc>
        <w:tc>
          <w:tcPr>
            <w:tcW w:w="1244" w:type="dxa"/>
          </w:tcPr>
          <w:p w:rsidR="007C5447" w:rsidRDefault="00F6308C">
            <w:pPr>
              <w:pStyle w:val="TableParagraph"/>
              <w:spacing w:before="59"/>
              <w:ind w:right="95"/>
              <w:rPr>
                <w:sz w:val="18"/>
              </w:rPr>
            </w:pPr>
            <w:r>
              <w:rPr>
                <w:sz w:val="18"/>
              </w:rPr>
              <w:t>0.04%</w:t>
            </w:r>
          </w:p>
        </w:tc>
        <w:tc>
          <w:tcPr>
            <w:tcW w:w="1246" w:type="dxa"/>
          </w:tcPr>
          <w:p w:rsidR="007C5447" w:rsidRDefault="00F6308C">
            <w:pPr>
              <w:pStyle w:val="TableParagraph"/>
              <w:spacing w:before="59"/>
              <w:ind w:right="98"/>
              <w:rPr>
                <w:sz w:val="18"/>
              </w:rPr>
            </w:pPr>
            <w:r>
              <w:rPr>
                <w:sz w:val="18"/>
              </w:rPr>
              <w:t>0.08%</w:t>
            </w:r>
          </w:p>
        </w:tc>
        <w:tc>
          <w:tcPr>
            <w:tcW w:w="1247" w:type="dxa"/>
          </w:tcPr>
          <w:p w:rsidR="007C5447" w:rsidRDefault="00F6308C">
            <w:pPr>
              <w:pStyle w:val="TableParagraph"/>
              <w:spacing w:before="59"/>
              <w:ind w:right="99"/>
              <w:rPr>
                <w:sz w:val="18"/>
              </w:rPr>
            </w:pPr>
            <w:r>
              <w:rPr>
                <w:sz w:val="18"/>
              </w:rPr>
              <w:t>0.29%</w:t>
            </w:r>
          </w:p>
        </w:tc>
        <w:tc>
          <w:tcPr>
            <w:tcW w:w="1246" w:type="dxa"/>
          </w:tcPr>
          <w:p w:rsidR="007C5447" w:rsidRDefault="00F6308C">
            <w:pPr>
              <w:pStyle w:val="TableParagraph"/>
              <w:spacing w:before="59"/>
              <w:ind w:right="99"/>
              <w:rPr>
                <w:sz w:val="18"/>
              </w:rPr>
            </w:pPr>
            <w:r>
              <w:rPr>
                <w:sz w:val="18"/>
              </w:rPr>
              <w:t>1.00%</w:t>
            </w:r>
          </w:p>
        </w:tc>
      </w:tr>
      <w:tr w:rsidR="007C5447">
        <w:trPr>
          <w:trHeight w:val="328"/>
        </w:trPr>
        <w:tc>
          <w:tcPr>
            <w:tcW w:w="622" w:type="dxa"/>
          </w:tcPr>
          <w:p w:rsidR="007C5447" w:rsidRDefault="00F6308C">
            <w:pPr>
              <w:pStyle w:val="TableParagraph"/>
              <w:spacing w:before="105" w:line="203" w:lineRule="exact"/>
              <w:ind w:right="256"/>
              <w:rPr>
                <w:sz w:val="18"/>
              </w:rPr>
            </w:pPr>
            <w:r>
              <w:rPr>
                <w:sz w:val="18"/>
              </w:rPr>
              <w:t>4</w:t>
            </w:r>
          </w:p>
        </w:tc>
        <w:tc>
          <w:tcPr>
            <w:tcW w:w="2339" w:type="dxa"/>
          </w:tcPr>
          <w:p w:rsidR="007C5447" w:rsidRDefault="00F6308C">
            <w:pPr>
              <w:pStyle w:val="TableParagraph"/>
              <w:spacing w:before="105" w:line="203" w:lineRule="exact"/>
              <w:ind w:left="107"/>
              <w:jc w:val="left"/>
              <w:rPr>
                <w:sz w:val="18"/>
              </w:rPr>
            </w:pPr>
            <w:r>
              <w:rPr>
                <w:sz w:val="18"/>
              </w:rPr>
              <w:t>Valathur GTPS Unit I</w:t>
            </w:r>
          </w:p>
        </w:tc>
        <w:tc>
          <w:tcPr>
            <w:tcW w:w="1246" w:type="dxa"/>
          </w:tcPr>
          <w:p w:rsidR="007C5447" w:rsidRDefault="00F6308C">
            <w:pPr>
              <w:pStyle w:val="TableParagraph"/>
              <w:spacing w:before="59"/>
              <w:ind w:right="94"/>
              <w:rPr>
                <w:sz w:val="18"/>
              </w:rPr>
            </w:pPr>
            <w:r>
              <w:rPr>
                <w:sz w:val="18"/>
              </w:rPr>
              <w:t>79.15%</w:t>
            </w:r>
          </w:p>
        </w:tc>
        <w:tc>
          <w:tcPr>
            <w:tcW w:w="1244" w:type="dxa"/>
          </w:tcPr>
          <w:p w:rsidR="007C5447" w:rsidRDefault="00F6308C">
            <w:pPr>
              <w:pStyle w:val="TableParagraph"/>
              <w:spacing w:before="59"/>
              <w:ind w:right="93"/>
              <w:rPr>
                <w:sz w:val="18"/>
              </w:rPr>
            </w:pPr>
            <w:r>
              <w:rPr>
                <w:sz w:val="18"/>
              </w:rPr>
              <w:t>54.00%</w:t>
            </w:r>
          </w:p>
        </w:tc>
        <w:tc>
          <w:tcPr>
            <w:tcW w:w="1246" w:type="dxa"/>
          </w:tcPr>
          <w:p w:rsidR="007C5447" w:rsidRDefault="00F6308C">
            <w:pPr>
              <w:pStyle w:val="TableParagraph"/>
              <w:spacing w:before="59"/>
              <w:ind w:right="95"/>
              <w:rPr>
                <w:sz w:val="18"/>
              </w:rPr>
            </w:pPr>
            <w:r>
              <w:rPr>
                <w:sz w:val="18"/>
              </w:rPr>
              <w:t>87.64%</w:t>
            </w:r>
          </w:p>
        </w:tc>
        <w:tc>
          <w:tcPr>
            <w:tcW w:w="1247" w:type="dxa"/>
          </w:tcPr>
          <w:p w:rsidR="007C5447" w:rsidRDefault="00F6308C">
            <w:pPr>
              <w:pStyle w:val="TableParagraph"/>
              <w:spacing w:before="59"/>
              <w:ind w:right="97"/>
              <w:rPr>
                <w:sz w:val="18"/>
              </w:rPr>
            </w:pPr>
            <w:r>
              <w:rPr>
                <w:sz w:val="18"/>
              </w:rPr>
              <w:t>64.95%</w:t>
            </w:r>
          </w:p>
        </w:tc>
        <w:tc>
          <w:tcPr>
            <w:tcW w:w="1246" w:type="dxa"/>
          </w:tcPr>
          <w:p w:rsidR="007C5447" w:rsidRDefault="00F6308C">
            <w:pPr>
              <w:pStyle w:val="TableParagraph"/>
              <w:spacing w:before="59"/>
              <w:ind w:right="96"/>
              <w:rPr>
                <w:sz w:val="18"/>
              </w:rPr>
            </w:pPr>
            <w:r>
              <w:rPr>
                <w:sz w:val="18"/>
              </w:rPr>
              <w:t>86.63%</w:t>
            </w:r>
          </w:p>
        </w:tc>
      </w:tr>
    </w:tbl>
    <w:p w:rsidR="007C5447" w:rsidRDefault="007C5447">
      <w:pPr>
        <w:rPr>
          <w:sz w:val="18"/>
        </w:rPr>
        <w:sectPr w:rsidR="007C5447">
          <w:footerReference w:type="default" r:id="rId32"/>
          <w:pgSz w:w="11910" w:h="16840"/>
          <w:pgMar w:top="1360" w:right="840" w:bottom="540" w:left="1180" w:header="0" w:footer="349" w:gutter="0"/>
          <w:pgNumType w:start="141"/>
          <w:cols w:space="720"/>
        </w:sectPr>
      </w:pP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
        <w:gridCol w:w="2339"/>
        <w:gridCol w:w="1246"/>
        <w:gridCol w:w="1244"/>
        <w:gridCol w:w="1246"/>
        <w:gridCol w:w="1247"/>
        <w:gridCol w:w="1246"/>
      </w:tblGrid>
      <w:tr w:rsidR="007C5447">
        <w:trPr>
          <w:trHeight w:val="326"/>
        </w:trPr>
        <w:tc>
          <w:tcPr>
            <w:tcW w:w="622" w:type="dxa"/>
            <w:tcBorders>
              <w:bottom w:val="single" w:sz="6" w:space="0" w:color="000000"/>
            </w:tcBorders>
            <w:shd w:val="clear" w:color="auto" w:fill="F7C9AC"/>
          </w:tcPr>
          <w:p w:rsidR="007C5447" w:rsidRDefault="00F6308C">
            <w:pPr>
              <w:pStyle w:val="TableParagraph"/>
              <w:spacing w:before="105" w:line="201" w:lineRule="exact"/>
              <w:ind w:left="107"/>
              <w:jc w:val="left"/>
              <w:rPr>
                <w:b/>
                <w:sz w:val="18"/>
              </w:rPr>
            </w:pPr>
            <w:r>
              <w:rPr>
                <w:b/>
                <w:sz w:val="18"/>
              </w:rPr>
              <w:lastRenderedPageBreak/>
              <w:t>Sl.</w:t>
            </w:r>
          </w:p>
        </w:tc>
        <w:tc>
          <w:tcPr>
            <w:tcW w:w="2339" w:type="dxa"/>
            <w:tcBorders>
              <w:bottom w:val="single" w:sz="6" w:space="0" w:color="000000"/>
            </w:tcBorders>
            <w:shd w:val="clear" w:color="auto" w:fill="F7C9AC"/>
          </w:tcPr>
          <w:p w:rsidR="007C5447" w:rsidRDefault="00F6308C">
            <w:pPr>
              <w:pStyle w:val="TableParagraph"/>
              <w:spacing w:before="105" w:line="201" w:lineRule="exact"/>
              <w:ind w:left="107"/>
              <w:jc w:val="left"/>
              <w:rPr>
                <w:b/>
                <w:sz w:val="18"/>
              </w:rPr>
            </w:pPr>
            <w:r>
              <w:rPr>
                <w:b/>
                <w:sz w:val="18"/>
              </w:rPr>
              <w:t>Station</w:t>
            </w:r>
          </w:p>
        </w:tc>
        <w:tc>
          <w:tcPr>
            <w:tcW w:w="1246" w:type="dxa"/>
            <w:tcBorders>
              <w:bottom w:val="single" w:sz="6" w:space="0" w:color="000000"/>
            </w:tcBorders>
            <w:shd w:val="clear" w:color="auto" w:fill="F7C9AC"/>
          </w:tcPr>
          <w:p w:rsidR="007C5447" w:rsidRDefault="00F6308C">
            <w:pPr>
              <w:pStyle w:val="TableParagraph"/>
              <w:spacing w:before="105" w:line="201" w:lineRule="exact"/>
              <w:ind w:left="106"/>
              <w:jc w:val="left"/>
              <w:rPr>
                <w:b/>
                <w:sz w:val="18"/>
              </w:rPr>
            </w:pPr>
            <w:r>
              <w:rPr>
                <w:b/>
                <w:sz w:val="18"/>
              </w:rPr>
              <w:t>FY 2011-12</w:t>
            </w:r>
          </w:p>
        </w:tc>
        <w:tc>
          <w:tcPr>
            <w:tcW w:w="1244" w:type="dxa"/>
            <w:tcBorders>
              <w:bottom w:val="single" w:sz="6" w:space="0" w:color="000000"/>
            </w:tcBorders>
            <w:shd w:val="clear" w:color="auto" w:fill="F7C9AC"/>
          </w:tcPr>
          <w:p w:rsidR="007C5447" w:rsidRDefault="00F6308C">
            <w:pPr>
              <w:pStyle w:val="TableParagraph"/>
              <w:spacing w:before="105" w:line="201" w:lineRule="exact"/>
              <w:ind w:left="106"/>
              <w:jc w:val="left"/>
              <w:rPr>
                <w:b/>
                <w:sz w:val="18"/>
              </w:rPr>
            </w:pPr>
            <w:r>
              <w:rPr>
                <w:b/>
                <w:sz w:val="18"/>
              </w:rPr>
              <w:t>FY 2012-13</w:t>
            </w:r>
          </w:p>
        </w:tc>
        <w:tc>
          <w:tcPr>
            <w:tcW w:w="1246" w:type="dxa"/>
            <w:tcBorders>
              <w:bottom w:val="single" w:sz="6" w:space="0" w:color="000000"/>
            </w:tcBorders>
            <w:shd w:val="clear" w:color="auto" w:fill="F7C9AC"/>
          </w:tcPr>
          <w:p w:rsidR="007C5447" w:rsidRDefault="00F6308C">
            <w:pPr>
              <w:pStyle w:val="TableParagraph"/>
              <w:spacing w:before="105" w:line="201" w:lineRule="exact"/>
              <w:ind w:left="105"/>
              <w:jc w:val="left"/>
              <w:rPr>
                <w:b/>
                <w:sz w:val="18"/>
              </w:rPr>
            </w:pPr>
            <w:r>
              <w:rPr>
                <w:b/>
                <w:sz w:val="18"/>
              </w:rPr>
              <w:t>FY 2013-14</w:t>
            </w:r>
          </w:p>
        </w:tc>
        <w:tc>
          <w:tcPr>
            <w:tcW w:w="1247" w:type="dxa"/>
            <w:tcBorders>
              <w:bottom w:val="single" w:sz="6" w:space="0" w:color="000000"/>
            </w:tcBorders>
            <w:shd w:val="clear" w:color="auto" w:fill="F7C9AC"/>
          </w:tcPr>
          <w:p w:rsidR="007C5447" w:rsidRDefault="00F6308C">
            <w:pPr>
              <w:pStyle w:val="TableParagraph"/>
              <w:spacing w:before="105" w:line="201" w:lineRule="exact"/>
              <w:ind w:left="105"/>
              <w:jc w:val="left"/>
              <w:rPr>
                <w:b/>
                <w:sz w:val="18"/>
              </w:rPr>
            </w:pPr>
            <w:r>
              <w:rPr>
                <w:b/>
                <w:sz w:val="18"/>
              </w:rPr>
              <w:t>FY 2014-15</w:t>
            </w:r>
          </w:p>
        </w:tc>
        <w:tc>
          <w:tcPr>
            <w:tcW w:w="1246" w:type="dxa"/>
            <w:tcBorders>
              <w:bottom w:val="single" w:sz="6" w:space="0" w:color="000000"/>
            </w:tcBorders>
            <w:shd w:val="clear" w:color="auto" w:fill="F7C9AC"/>
          </w:tcPr>
          <w:p w:rsidR="007C5447" w:rsidRDefault="00F6308C">
            <w:pPr>
              <w:pStyle w:val="TableParagraph"/>
              <w:spacing w:before="105" w:line="201" w:lineRule="exact"/>
              <w:ind w:left="104"/>
              <w:jc w:val="left"/>
              <w:rPr>
                <w:b/>
                <w:sz w:val="18"/>
              </w:rPr>
            </w:pPr>
            <w:r>
              <w:rPr>
                <w:b/>
                <w:sz w:val="18"/>
              </w:rPr>
              <w:t>FY 2015-16</w:t>
            </w:r>
          </w:p>
        </w:tc>
      </w:tr>
      <w:tr w:rsidR="007C5447">
        <w:trPr>
          <w:trHeight w:val="326"/>
        </w:trPr>
        <w:tc>
          <w:tcPr>
            <w:tcW w:w="622" w:type="dxa"/>
            <w:tcBorders>
              <w:top w:val="single" w:sz="6" w:space="0" w:color="000000"/>
            </w:tcBorders>
          </w:tcPr>
          <w:p w:rsidR="007C5447" w:rsidRDefault="00F6308C">
            <w:pPr>
              <w:pStyle w:val="TableParagraph"/>
              <w:spacing w:before="103" w:line="203" w:lineRule="exact"/>
              <w:ind w:right="256"/>
              <w:rPr>
                <w:sz w:val="18"/>
              </w:rPr>
            </w:pPr>
            <w:r>
              <w:rPr>
                <w:sz w:val="18"/>
              </w:rPr>
              <w:t>5</w:t>
            </w:r>
          </w:p>
        </w:tc>
        <w:tc>
          <w:tcPr>
            <w:tcW w:w="2339" w:type="dxa"/>
            <w:tcBorders>
              <w:top w:val="single" w:sz="6" w:space="0" w:color="000000"/>
            </w:tcBorders>
          </w:tcPr>
          <w:p w:rsidR="007C5447" w:rsidRDefault="00F6308C">
            <w:pPr>
              <w:pStyle w:val="TableParagraph"/>
              <w:spacing w:before="103" w:line="203" w:lineRule="exact"/>
              <w:ind w:left="107"/>
              <w:jc w:val="left"/>
              <w:rPr>
                <w:sz w:val="18"/>
              </w:rPr>
            </w:pPr>
            <w:r>
              <w:rPr>
                <w:sz w:val="18"/>
              </w:rPr>
              <w:t>Valathur GTPS Unit II</w:t>
            </w:r>
          </w:p>
        </w:tc>
        <w:tc>
          <w:tcPr>
            <w:tcW w:w="1246" w:type="dxa"/>
            <w:tcBorders>
              <w:top w:val="single" w:sz="6" w:space="0" w:color="000000"/>
            </w:tcBorders>
          </w:tcPr>
          <w:p w:rsidR="007C5447" w:rsidRDefault="00F6308C">
            <w:pPr>
              <w:pStyle w:val="TableParagraph"/>
              <w:spacing w:before="57"/>
              <w:ind w:right="94"/>
              <w:rPr>
                <w:sz w:val="18"/>
              </w:rPr>
            </w:pPr>
            <w:r>
              <w:rPr>
                <w:sz w:val="18"/>
              </w:rPr>
              <w:t>56.21%</w:t>
            </w:r>
          </w:p>
        </w:tc>
        <w:tc>
          <w:tcPr>
            <w:tcW w:w="1244" w:type="dxa"/>
            <w:tcBorders>
              <w:top w:val="single" w:sz="6" w:space="0" w:color="000000"/>
            </w:tcBorders>
          </w:tcPr>
          <w:p w:rsidR="007C5447" w:rsidRDefault="00F6308C">
            <w:pPr>
              <w:pStyle w:val="TableParagraph"/>
              <w:spacing w:before="57"/>
              <w:ind w:right="93"/>
              <w:rPr>
                <w:sz w:val="18"/>
              </w:rPr>
            </w:pPr>
            <w:r>
              <w:rPr>
                <w:sz w:val="18"/>
              </w:rPr>
              <w:t>60.42%</w:t>
            </w:r>
          </w:p>
        </w:tc>
        <w:tc>
          <w:tcPr>
            <w:tcW w:w="1246" w:type="dxa"/>
            <w:tcBorders>
              <w:top w:val="single" w:sz="6" w:space="0" w:color="000000"/>
            </w:tcBorders>
          </w:tcPr>
          <w:p w:rsidR="007C5447" w:rsidRDefault="00F6308C">
            <w:pPr>
              <w:pStyle w:val="TableParagraph"/>
              <w:spacing w:before="57"/>
              <w:ind w:right="95"/>
              <w:rPr>
                <w:sz w:val="18"/>
              </w:rPr>
            </w:pPr>
            <w:r>
              <w:rPr>
                <w:sz w:val="18"/>
              </w:rPr>
              <w:t>65.17%</w:t>
            </w:r>
          </w:p>
        </w:tc>
        <w:tc>
          <w:tcPr>
            <w:tcW w:w="1247" w:type="dxa"/>
            <w:tcBorders>
              <w:top w:val="single" w:sz="6" w:space="0" w:color="000000"/>
            </w:tcBorders>
          </w:tcPr>
          <w:p w:rsidR="007C5447" w:rsidRDefault="007C5447">
            <w:pPr>
              <w:pStyle w:val="TableParagraph"/>
              <w:jc w:val="left"/>
              <w:rPr>
                <w:sz w:val="20"/>
              </w:rPr>
            </w:pPr>
          </w:p>
        </w:tc>
        <w:tc>
          <w:tcPr>
            <w:tcW w:w="1246" w:type="dxa"/>
            <w:tcBorders>
              <w:top w:val="single" w:sz="6" w:space="0" w:color="000000"/>
            </w:tcBorders>
          </w:tcPr>
          <w:p w:rsidR="007C5447" w:rsidRDefault="007C5447">
            <w:pPr>
              <w:pStyle w:val="TableParagraph"/>
              <w:jc w:val="left"/>
              <w:rPr>
                <w:sz w:val="20"/>
              </w:rPr>
            </w:pPr>
          </w:p>
        </w:tc>
      </w:tr>
      <w:tr w:rsidR="007C5447">
        <w:trPr>
          <w:trHeight w:val="326"/>
        </w:trPr>
        <w:tc>
          <w:tcPr>
            <w:tcW w:w="622" w:type="dxa"/>
            <w:shd w:val="clear" w:color="auto" w:fill="D9D9D9"/>
          </w:tcPr>
          <w:p w:rsidR="007C5447" w:rsidRDefault="00F6308C">
            <w:pPr>
              <w:pStyle w:val="TableParagraph"/>
              <w:spacing w:before="105" w:line="201" w:lineRule="exact"/>
              <w:ind w:left="107"/>
              <w:jc w:val="left"/>
              <w:rPr>
                <w:b/>
                <w:sz w:val="18"/>
              </w:rPr>
            </w:pPr>
            <w:r>
              <w:rPr>
                <w:b/>
                <w:w w:val="99"/>
                <w:sz w:val="18"/>
              </w:rPr>
              <w:t>C</w:t>
            </w:r>
          </w:p>
        </w:tc>
        <w:tc>
          <w:tcPr>
            <w:tcW w:w="2339" w:type="dxa"/>
            <w:shd w:val="clear" w:color="auto" w:fill="D9D9D9"/>
          </w:tcPr>
          <w:p w:rsidR="007C5447" w:rsidRDefault="00F6308C">
            <w:pPr>
              <w:pStyle w:val="TableParagraph"/>
              <w:spacing w:before="105" w:line="201" w:lineRule="exact"/>
              <w:ind w:left="107"/>
              <w:jc w:val="left"/>
              <w:rPr>
                <w:b/>
                <w:sz w:val="18"/>
              </w:rPr>
            </w:pPr>
            <w:r>
              <w:rPr>
                <w:b/>
                <w:sz w:val="18"/>
              </w:rPr>
              <w:t>Hydro</w:t>
            </w:r>
          </w:p>
        </w:tc>
        <w:tc>
          <w:tcPr>
            <w:tcW w:w="1246" w:type="dxa"/>
            <w:shd w:val="clear" w:color="auto" w:fill="D9D9D9"/>
          </w:tcPr>
          <w:p w:rsidR="007C5447" w:rsidRDefault="007C5447">
            <w:pPr>
              <w:pStyle w:val="TableParagraph"/>
              <w:jc w:val="left"/>
              <w:rPr>
                <w:sz w:val="20"/>
              </w:rPr>
            </w:pPr>
          </w:p>
        </w:tc>
        <w:tc>
          <w:tcPr>
            <w:tcW w:w="1244" w:type="dxa"/>
            <w:shd w:val="clear" w:color="auto" w:fill="D9D9D9"/>
          </w:tcPr>
          <w:p w:rsidR="007C5447" w:rsidRDefault="007C5447">
            <w:pPr>
              <w:pStyle w:val="TableParagraph"/>
              <w:jc w:val="left"/>
              <w:rPr>
                <w:sz w:val="20"/>
              </w:rPr>
            </w:pPr>
          </w:p>
        </w:tc>
        <w:tc>
          <w:tcPr>
            <w:tcW w:w="1246" w:type="dxa"/>
            <w:shd w:val="clear" w:color="auto" w:fill="D9D9D9"/>
          </w:tcPr>
          <w:p w:rsidR="007C5447" w:rsidRDefault="007C5447">
            <w:pPr>
              <w:pStyle w:val="TableParagraph"/>
              <w:jc w:val="left"/>
              <w:rPr>
                <w:sz w:val="20"/>
              </w:rPr>
            </w:pPr>
          </w:p>
        </w:tc>
        <w:tc>
          <w:tcPr>
            <w:tcW w:w="1247" w:type="dxa"/>
            <w:shd w:val="clear" w:color="auto" w:fill="D9D9D9"/>
          </w:tcPr>
          <w:p w:rsidR="007C5447" w:rsidRDefault="007C5447">
            <w:pPr>
              <w:pStyle w:val="TableParagraph"/>
              <w:jc w:val="left"/>
              <w:rPr>
                <w:sz w:val="20"/>
              </w:rPr>
            </w:pPr>
          </w:p>
        </w:tc>
        <w:tc>
          <w:tcPr>
            <w:tcW w:w="1246" w:type="dxa"/>
            <w:shd w:val="clear" w:color="auto" w:fill="D9D9D9"/>
          </w:tcPr>
          <w:p w:rsidR="007C5447" w:rsidRDefault="007C5447">
            <w:pPr>
              <w:pStyle w:val="TableParagraph"/>
              <w:jc w:val="left"/>
              <w:rPr>
                <w:sz w:val="20"/>
              </w:rPr>
            </w:pPr>
          </w:p>
        </w:tc>
      </w:tr>
      <w:tr w:rsidR="007C5447">
        <w:trPr>
          <w:trHeight w:val="328"/>
        </w:trPr>
        <w:tc>
          <w:tcPr>
            <w:tcW w:w="622" w:type="dxa"/>
          </w:tcPr>
          <w:p w:rsidR="007C5447" w:rsidRDefault="00F6308C">
            <w:pPr>
              <w:pStyle w:val="TableParagraph"/>
              <w:spacing w:before="107" w:line="201" w:lineRule="exact"/>
              <w:ind w:right="256"/>
              <w:rPr>
                <w:sz w:val="18"/>
              </w:rPr>
            </w:pPr>
            <w:r>
              <w:rPr>
                <w:sz w:val="18"/>
              </w:rPr>
              <w:t>1</w:t>
            </w:r>
          </w:p>
        </w:tc>
        <w:tc>
          <w:tcPr>
            <w:tcW w:w="2339" w:type="dxa"/>
          </w:tcPr>
          <w:p w:rsidR="007C5447" w:rsidRDefault="00F6308C">
            <w:pPr>
              <w:pStyle w:val="TableParagraph"/>
              <w:spacing w:before="107" w:line="201" w:lineRule="exact"/>
              <w:ind w:left="107"/>
              <w:jc w:val="left"/>
              <w:rPr>
                <w:sz w:val="18"/>
              </w:rPr>
            </w:pPr>
            <w:r>
              <w:rPr>
                <w:sz w:val="18"/>
              </w:rPr>
              <w:t>Kundah Generation Circle</w:t>
            </w:r>
          </w:p>
        </w:tc>
        <w:tc>
          <w:tcPr>
            <w:tcW w:w="1246" w:type="dxa"/>
          </w:tcPr>
          <w:p w:rsidR="007C5447" w:rsidRDefault="00F6308C">
            <w:pPr>
              <w:pStyle w:val="TableParagraph"/>
              <w:spacing w:before="62"/>
              <w:ind w:right="94"/>
              <w:rPr>
                <w:sz w:val="18"/>
              </w:rPr>
            </w:pPr>
            <w:r>
              <w:rPr>
                <w:sz w:val="18"/>
              </w:rPr>
              <w:t>32.41%</w:t>
            </w:r>
          </w:p>
        </w:tc>
        <w:tc>
          <w:tcPr>
            <w:tcW w:w="1244" w:type="dxa"/>
          </w:tcPr>
          <w:p w:rsidR="007C5447" w:rsidRDefault="00F6308C">
            <w:pPr>
              <w:pStyle w:val="TableParagraph"/>
              <w:spacing w:before="62"/>
              <w:ind w:right="93"/>
              <w:rPr>
                <w:sz w:val="18"/>
              </w:rPr>
            </w:pPr>
            <w:r>
              <w:rPr>
                <w:sz w:val="18"/>
              </w:rPr>
              <w:t>11.68%</w:t>
            </w:r>
          </w:p>
        </w:tc>
        <w:tc>
          <w:tcPr>
            <w:tcW w:w="1246" w:type="dxa"/>
          </w:tcPr>
          <w:p w:rsidR="007C5447" w:rsidRDefault="00F6308C">
            <w:pPr>
              <w:pStyle w:val="TableParagraph"/>
              <w:spacing w:before="62"/>
              <w:ind w:right="95"/>
              <w:rPr>
                <w:sz w:val="18"/>
              </w:rPr>
            </w:pPr>
            <w:r>
              <w:rPr>
                <w:sz w:val="18"/>
              </w:rPr>
              <w:t>21.42%</w:t>
            </w:r>
          </w:p>
        </w:tc>
        <w:tc>
          <w:tcPr>
            <w:tcW w:w="1247" w:type="dxa"/>
          </w:tcPr>
          <w:p w:rsidR="007C5447" w:rsidRDefault="00F6308C">
            <w:pPr>
              <w:pStyle w:val="TableParagraph"/>
              <w:spacing w:before="62"/>
              <w:ind w:right="97"/>
              <w:rPr>
                <w:sz w:val="18"/>
              </w:rPr>
            </w:pPr>
            <w:r>
              <w:rPr>
                <w:sz w:val="18"/>
              </w:rPr>
              <w:t>23.90%</w:t>
            </w:r>
          </w:p>
        </w:tc>
        <w:tc>
          <w:tcPr>
            <w:tcW w:w="1246" w:type="dxa"/>
          </w:tcPr>
          <w:p w:rsidR="007C5447" w:rsidRDefault="00F6308C">
            <w:pPr>
              <w:pStyle w:val="TableParagraph"/>
              <w:spacing w:before="62"/>
              <w:ind w:right="96"/>
              <w:rPr>
                <w:sz w:val="18"/>
              </w:rPr>
            </w:pPr>
            <w:r>
              <w:rPr>
                <w:sz w:val="18"/>
              </w:rPr>
              <w:t>19.13%</w:t>
            </w:r>
          </w:p>
        </w:tc>
      </w:tr>
      <w:tr w:rsidR="007C5447">
        <w:trPr>
          <w:trHeight w:val="443"/>
        </w:trPr>
        <w:tc>
          <w:tcPr>
            <w:tcW w:w="622" w:type="dxa"/>
          </w:tcPr>
          <w:p w:rsidR="007C5447" w:rsidRDefault="007C5447">
            <w:pPr>
              <w:pStyle w:val="TableParagraph"/>
              <w:spacing w:before="4"/>
              <w:jc w:val="left"/>
              <w:rPr>
                <w:b/>
                <w:sz w:val="19"/>
              </w:rPr>
            </w:pPr>
          </w:p>
          <w:p w:rsidR="007C5447" w:rsidRDefault="00F6308C">
            <w:pPr>
              <w:pStyle w:val="TableParagraph"/>
              <w:spacing w:line="201" w:lineRule="exact"/>
              <w:ind w:right="256"/>
              <w:rPr>
                <w:sz w:val="18"/>
              </w:rPr>
            </w:pPr>
            <w:r>
              <w:rPr>
                <w:sz w:val="18"/>
              </w:rPr>
              <w:t>2</w:t>
            </w:r>
          </w:p>
        </w:tc>
        <w:tc>
          <w:tcPr>
            <w:tcW w:w="2339" w:type="dxa"/>
          </w:tcPr>
          <w:p w:rsidR="007C5447" w:rsidRDefault="00F6308C">
            <w:pPr>
              <w:pStyle w:val="TableParagraph"/>
              <w:spacing w:before="20" w:line="206" w:lineRule="exact"/>
              <w:ind w:left="107" w:right="477"/>
              <w:jc w:val="left"/>
              <w:rPr>
                <w:sz w:val="18"/>
              </w:rPr>
            </w:pPr>
            <w:r>
              <w:rPr>
                <w:sz w:val="18"/>
              </w:rPr>
              <w:t>Kadamparai Generation Circle</w:t>
            </w:r>
          </w:p>
        </w:tc>
        <w:tc>
          <w:tcPr>
            <w:tcW w:w="1246" w:type="dxa"/>
          </w:tcPr>
          <w:p w:rsidR="007C5447" w:rsidRDefault="00F6308C">
            <w:pPr>
              <w:pStyle w:val="TableParagraph"/>
              <w:spacing w:before="119"/>
              <w:ind w:right="97"/>
              <w:rPr>
                <w:sz w:val="18"/>
              </w:rPr>
            </w:pPr>
            <w:r>
              <w:rPr>
                <w:sz w:val="18"/>
              </w:rPr>
              <w:t>4.99%</w:t>
            </w:r>
          </w:p>
        </w:tc>
        <w:tc>
          <w:tcPr>
            <w:tcW w:w="1244" w:type="dxa"/>
          </w:tcPr>
          <w:p w:rsidR="007C5447" w:rsidRDefault="00F6308C">
            <w:pPr>
              <w:pStyle w:val="TableParagraph"/>
              <w:spacing w:before="119"/>
              <w:ind w:right="95"/>
              <w:rPr>
                <w:sz w:val="18"/>
              </w:rPr>
            </w:pPr>
            <w:r>
              <w:rPr>
                <w:sz w:val="18"/>
              </w:rPr>
              <w:t>3.08%</w:t>
            </w:r>
          </w:p>
        </w:tc>
        <w:tc>
          <w:tcPr>
            <w:tcW w:w="1246" w:type="dxa"/>
          </w:tcPr>
          <w:p w:rsidR="007C5447" w:rsidRDefault="00F6308C">
            <w:pPr>
              <w:pStyle w:val="TableParagraph"/>
              <w:spacing w:before="119"/>
              <w:ind w:right="98"/>
              <w:rPr>
                <w:sz w:val="18"/>
              </w:rPr>
            </w:pPr>
            <w:r>
              <w:rPr>
                <w:sz w:val="18"/>
              </w:rPr>
              <w:t>4.89%</w:t>
            </w:r>
          </w:p>
        </w:tc>
        <w:tc>
          <w:tcPr>
            <w:tcW w:w="1247" w:type="dxa"/>
          </w:tcPr>
          <w:p w:rsidR="007C5447" w:rsidRDefault="00F6308C">
            <w:pPr>
              <w:pStyle w:val="TableParagraph"/>
              <w:spacing w:before="119"/>
              <w:ind w:right="97"/>
              <w:rPr>
                <w:sz w:val="18"/>
              </w:rPr>
            </w:pPr>
            <w:r>
              <w:rPr>
                <w:sz w:val="18"/>
              </w:rPr>
              <w:t>19.90%</w:t>
            </w:r>
          </w:p>
        </w:tc>
        <w:tc>
          <w:tcPr>
            <w:tcW w:w="1246" w:type="dxa"/>
          </w:tcPr>
          <w:p w:rsidR="007C5447" w:rsidRDefault="00F6308C">
            <w:pPr>
              <w:pStyle w:val="TableParagraph"/>
              <w:spacing w:before="119"/>
              <w:ind w:right="96"/>
              <w:rPr>
                <w:sz w:val="18"/>
              </w:rPr>
            </w:pPr>
            <w:r>
              <w:rPr>
                <w:sz w:val="18"/>
              </w:rPr>
              <w:t>21.12%</w:t>
            </w:r>
          </w:p>
        </w:tc>
      </w:tr>
      <w:tr w:rsidR="007C5447">
        <w:trPr>
          <w:trHeight w:val="445"/>
        </w:trPr>
        <w:tc>
          <w:tcPr>
            <w:tcW w:w="622" w:type="dxa"/>
          </w:tcPr>
          <w:p w:rsidR="007C5447" w:rsidRDefault="007C5447">
            <w:pPr>
              <w:pStyle w:val="TableParagraph"/>
              <w:spacing w:before="4"/>
              <w:jc w:val="left"/>
              <w:rPr>
                <w:b/>
                <w:sz w:val="19"/>
              </w:rPr>
            </w:pPr>
          </w:p>
          <w:p w:rsidR="007C5447" w:rsidRDefault="00F6308C">
            <w:pPr>
              <w:pStyle w:val="TableParagraph"/>
              <w:spacing w:line="203" w:lineRule="exact"/>
              <w:ind w:right="256"/>
              <w:rPr>
                <w:sz w:val="18"/>
              </w:rPr>
            </w:pPr>
            <w:r>
              <w:rPr>
                <w:sz w:val="18"/>
              </w:rPr>
              <w:t>3</w:t>
            </w:r>
          </w:p>
        </w:tc>
        <w:tc>
          <w:tcPr>
            <w:tcW w:w="2339" w:type="dxa"/>
          </w:tcPr>
          <w:p w:rsidR="007C5447" w:rsidRDefault="00F6308C">
            <w:pPr>
              <w:pStyle w:val="TableParagraph"/>
              <w:spacing w:before="19" w:line="206" w:lineRule="exact"/>
              <w:ind w:left="107" w:right="557"/>
              <w:jc w:val="left"/>
              <w:rPr>
                <w:sz w:val="18"/>
              </w:rPr>
            </w:pPr>
            <w:r>
              <w:rPr>
                <w:sz w:val="18"/>
              </w:rPr>
              <w:t>Tirunelveli Generation Circle</w:t>
            </w:r>
          </w:p>
        </w:tc>
        <w:tc>
          <w:tcPr>
            <w:tcW w:w="1246" w:type="dxa"/>
          </w:tcPr>
          <w:p w:rsidR="007C5447" w:rsidRDefault="00F6308C">
            <w:pPr>
              <w:pStyle w:val="TableParagraph"/>
              <w:spacing w:before="119"/>
              <w:ind w:right="97"/>
              <w:rPr>
                <w:sz w:val="18"/>
              </w:rPr>
            </w:pPr>
            <w:r>
              <w:rPr>
                <w:sz w:val="18"/>
              </w:rPr>
              <w:t>0.00%</w:t>
            </w:r>
          </w:p>
        </w:tc>
        <w:tc>
          <w:tcPr>
            <w:tcW w:w="1244" w:type="dxa"/>
          </w:tcPr>
          <w:p w:rsidR="007C5447" w:rsidRDefault="00F6308C">
            <w:pPr>
              <w:pStyle w:val="TableParagraph"/>
              <w:spacing w:before="119"/>
              <w:ind w:right="95"/>
              <w:rPr>
                <w:sz w:val="18"/>
              </w:rPr>
            </w:pPr>
            <w:r>
              <w:rPr>
                <w:sz w:val="18"/>
              </w:rPr>
              <w:t>0.00%</w:t>
            </w:r>
          </w:p>
        </w:tc>
        <w:tc>
          <w:tcPr>
            <w:tcW w:w="1246" w:type="dxa"/>
          </w:tcPr>
          <w:p w:rsidR="007C5447" w:rsidRDefault="00F6308C">
            <w:pPr>
              <w:pStyle w:val="TableParagraph"/>
              <w:spacing w:before="119"/>
              <w:ind w:right="98"/>
              <w:rPr>
                <w:sz w:val="18"/>
              </w:rPr>
            </w:pPr>
            <w:r>
              <w:rPr>
                <w:sz w:val="18"/>
              </w:rPr>
              <w:t>0.00%</w:t>
            </w:r>
          </w:p>
        </w:tc>
        <w:tc>
          <w:tcPr>
            <w:tcW w:w="1247" w:type="dxa"/>
          </w:tcPr>
          <w:p w:rsidR="007C5447" w:rsidRDefault="00F6308C">
            <w:pPr>
              <w:pStyle w:val="TableParagraph"/>
              <w:spacing w:before="119"/>
              <w:ind w:right="97"/>
              <w:rPr>
                <w:sz w:val="18"/>
              </w:rPr>
            </w:pPr>
            <w:r>
              <w:rPr>
                <w:sz w:val="18"/>
              </w:rPr>
              <w:t>27.89%</w:t>
            </w:r>
          </w:p>
        </w:tc>
        <w:tc>
          <w:tcPr>
            <w:tcW w:w="1246" w:type="dxa"/>
          </w:tcPr>
          <w:p w:rsidR="007C5447" w:rsidRDefault="00F6308C">
            <w:pPr>
              <w:pStyle w:val="TableParagraph"/>
              <w:spacing w:before="119"/>
              <w:ind w:right="96"/>
              <w:rPr>
                <w:sz w:val="18"/>
              </w:rPr>
            </w:pPr>
            <w:r>
              <w:rPr>
                <w:sz w:val="18"/>
              </w:rPr>
              <w:t>12.26%</w:t>
            </w:r>
          </w:p>
        </w:tc>
      </w:tr>
      <w:tr w:rsidR="007C5447">
        <w:trPr>
          <w:trHeight w:val="328"/>
        </w:trPr>
        <w:tc>
          <w:tcPr>
            <w:tcW w:w="622" w:type="dxa"/>
          </w:tcPr>
          <w:p w:rsidR="007C5447" w:rsidRDefault="00F6308C">
            <w:pPr>
              <w:pStyle w:val="TableParagraph"/>
              <w:spacing w:before="105" w:line="203" w:lineRule="exact"/>
              <w:ind w:right="256"/>
              <w:rPr>
                <w:sz w:val="18"/>
              </w:rPr>
            </w:pPr>
            <w:r>
              <w:rPr>
                <w:sz w:val="18"/>
              </w:rPr>
              <w:t>4</w:t>
            </w:r>
          </w:p>
        </w:tc>
        <w:tc>
          <w:tcPr>
            <w:tcW w:w="2339" w:type="dxa"/>
          </w:tcPr>
          <w:p w:rsidR="007C5447" w:rsidRDefault="00F6308C">
            <w:pPr>
              <w:pStyle w:val="TableParagraph"/>
              <w:spacing w:before="105" w:line="203" w:lineRule="exact"/>
              <w:ind w:left="107"/>
              <w:jc w:val="left"/>
              <w:rPr>
                <w:sz w:val="18"/>
              </w:rPr>
            </w:pPr>
            <w:r>
              <w:rPr>
                <w:sz w:val="18"/>
              </w:rPr>
              <w:t>Erode Generation Circle</w:t>
            </w:r>
          </w:p>
        </w:tc>
        <w:tc>
          <w:tcPr>
            <w:tcW w:w="1246" w:type="dxa"/>
          </w:tcPr>
          <w:p w:rsidR="007C5447" w:rsidRDefault="00F6308C">
            <w:pPr>
              <w:pStyle w:val="TableParagraph"/>
              <w:spacing w:before="59"/>
              <w:ind w:right="94"/>
              <w:rPr>
                <w:sz w:val="18"/>
              </w:rPr>
            </w:pPr>
            <w:r>
              <w:rPr>
                <w:sz w:val="18"/>
              </w:rPr>
              <w:t>31.31%</w:t>
            </w:r>
          </w:p>
        </w:tc>
        <w:tc>
          <w:tcPr>
            <w:tcW w:w="1244" w:type="dxa"/>
          </w:tcPr>
          <w:p w:rsidR="007C5447" w:rsidRDefault="00F6308C">
            <w:pPr>
              <w:pStyle w:val="TableParagraph"/>
              <w:spacing w:before="59"/>
              <w:ind w:right="95"/>
              <w:rPr>
                <w:sz w:val="18"/>
              </w:rPr>
            </w:pPr>
            <w:r>
              <w:rPr>
                <w:sz w:val="18"/>
              </w:rPr>
              <w:t>0.00%</w:t>
            </w:r>
          </w:p>
        </w:tc>
        <w:tc>
          <w:tcPr>
            <w:tcW w:w="1246" w:type="dxa"/>
          </w:tcPr>
          <w:p w:rsidR="007C5447" w:rsidRDefault="00F6308C">
            <w:pPr>
              <w:pStyle w:val="TableParagraph"/>
              <w:spacing w:before="59"/>
              <w:ind w:right="98"/>
              <w:rPr>
                <w:sz w:val="18"/>
              </w:rPr>
            </w:pPr>
            <w:r>
              <w:rPr>
                <w:sz w:val="18"/>
              </w:rPr>
              <w:t>0.00%</w:t>
            </w:r>
          </w:p>
        </w:tc>
        <w:tc>
          <w:tcPr>
            <w:tcW w:w="1247" w:type="dxa"/>
          </w:tcPr>
          <w:p w:rsidR="007C5447" w:rsidRDefault="00F6308C">
            <w:pPr>
              <w:pStyle w:val="TableParagraph"/>
              <w:spacing w:before="59"/>
              <w:ind w:right="97"/>
              <w:rPr>
                <w:sz w:val="18"/>
              </w:rPr>
            </w:pPr>
            <w:r>
              <w:rPr>
                <w:sz w:val="18"/>
              </w:rPr>
              <w:t>37.40%</w:t>
            </w:r>
          </w:p>
        </w:tc>
        <w:tc>
          <w:tcPr>
            <w:tcW w:w="1246" w:type="dxa"/>
          </w:tcPr>
          <w:p w:rsidR="007C5447" w:rsidRDefault="00F6308C">
            <w:pPr>
              <w:pStyle w:val="TableParagraph"/>
              <w:spacing w:before="59"/>
              <w:ind w:right="96"/>
              <w:rPr>
                <w:sz w:val="18"/>
              </w:rPr>
            </w:pPr>
            <w:r>
              <w:rPr>
                <w:sz w:val="18"/>
              </w:rPr>
              <w:t>54.81%</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11"/>
        <w:rPr>
          <w:b/>
        </w:rPr>
      </w:pPr>
    </w:p>
    <w:p w:rsidR="007C5447" w:rsidRDefault="00F6308C">
      <w:pPr>
        <w:pStyle w:val="Heading2"/>
        <w:spacing w:before="90"/>
        <w:ind w:left="1112"/>
      </w:pPr>
      <w:r>
        <w:t>Commission’s Views</w:t>
      </w:r>
    </w:p>
    <w:p w:rsidR="007C5447" w:rsidRDefault="007C5447">
      <w:pPr>
        <w:pStyle w:val="BodyText"/>
        <w:spacing w:before="2"/>
        <w:rPr>
          <w:b/>
          <w:sz w:val="28"/>
        </w:rPr>
      </w:pPr>
    </w:p>
    <w:p w:rsidR="007C5447" w:rsidRDefault="00F6308C">
      <w:pPr>
        <w:pStyle w:val="ListParagraph"/>
        <w:numPr>
          <w:ilvl w:val="3"/>
          <w:numId w:val="76"/>
        </w:numPr>
        <w:tabs>
          <w:tab w:val="left" w:pos="1226"/>
        </w:tabs>
        <w:spacing w:line="312" w:lineRule="auto"/>
        <w:ind w:right="291"/>
        <w:jc w:val="both"/>
        <w:rPr>
          <w:sz w:val="24"/>
        </w:rPr>
      </w:pPr>
      <w:r>
        <w:rPr>
          <w:sz w:val="24"/>
        </w:rPr>
        <w:t xml:space="preserve">The Commission has analysed the submissions made by TANGEDCO. It has been observed that the PLF for all the plants achieved is </w:t>
      </w:r>
      <w:r>
        <w:rPr>
          <w:spacing w:val="2"/>
          <w:sz w:val="24"/>
        </w:rPr>
        <w:t xml:space="preserve">in </w:t>
      </w:r>
      <w:r>
        <w:rPr>
          <w:sz w:val="24"/>
        </w:rPr>
        <w:t>line with the values approved in the Suo-Motu Order dated December 11, 2014. The Commission has approved the actual PLF values</w:t>
      </w:r>
      <w:r>
        <w:rPr>
          <w:sz w:val="24"/>
        </w:rPr>
        <w:t xml:space="preserve"> as submitted by TANGEDCO, as shown in the Table</w:t>
      </w:r>
      <w:r>
        <w:rPr>
          <w:spacing w:val="-10"/>
          <w:sz w:val="24"/>
        </w:rPr>
        <w:t xml:space="preserve"> </w:t>
      </w:r>
      <w:r>
        <w:rPr>
          <w:sz w:val="24"/>
        </w:rPr>
        <w:t>below:</w:t>
      </w:r>
    </w:p>
    <w:p w:rsidR="007C5447" w:rsidRDefault="007C5447">
      <w:pPr>
        <w:pStyle w:val="BodyText"/>
        <w:rPr>
          <w:sz w:val="21"/>
        </w:rPr>
      </w:pPr>
    </w:p>
    <w:p w:rsidR="007C5447" w:rsidRDefault="00F6308C">
      <w:pPr>
        <w:spacing w:before="1"/>
        <w:ind w:left="699"/>
        <w:rPr>
          <w:b/>
        </w:rPr>
      </w:pPr>
      <w:r>
        <w:rPr>
          <w:b/>
        </w:rPr>
        <w:t>Table 3-52: PLF approved by the Commission after true-up for FY 2011-12 to FY 2015-16</w:t>
      </w:r>
    </w:p>
    <w:p w:rsidR="007C5447" w:rsidRDefault="007C5447">
      <w:pPr>
        <w:pStyle w:val="BodyText"/>
        <w:spacing w:before="10"/>
        <w:rPr>
          <w:b/>
          <w:sz w:val="16"/>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2130"/>
        <w:gridCol w:w="1275"/>
        <w:gridCol w:w="1275"/>
        <w:gridCol w:w="1277"/>
        <w:gridCol w:w="1278"/>
        <w:gridCol w:w="1275"/>
      </w:tblGrid>
      <w:tr w:rsidR="007C5447">
        <w:trPr>
          <w:trHeight w:val="359"/>
        </w:trPr>
        <w:tc>
          <w:tcPr>
            <w:tcW w:w="562" w:type="dxa"/>
            <w:shd w:val="clear" w:color="auto" w:fill="F7C9AC"/>
          </w:tcPr>
          <w:p w:rsidR="007C5447" w:rsidRDefault="00F6308C">
            <w:pPr>
              <w:pStyle w:val="TableParagraph"/>
              <w:spacing w:before="115" w:line="224" w:lineRule="exact"/>
              <w:ind w:left="107"/>
              <w:jc w:val="left"/>
              <w:rPr>
                <w:b/>
                <w:sz w:val="20"/>
              </w:rPr>
            </w:pPr>
            <w:r>
              <w:rPr>
                <w:b/>
                <w:sz w:val="20"/>
              </w:rPr>
              <w:t>Sl.</w:t>
            </w:r>
          </w:p>
        </w:tc>
        <w:tc>
          <w:tcPr>
            <w:tcW w:w="2130" w:type="dxa"/>
            <w:shd w:val="clear" w:color="auto" w:fill="F7C9AC"/>
          </w:tcPr>
          <w:p w:rsidR="007C5447" w:rsidRDefault="00F6308C">
            <w:pPr>
              <w:pStyle w:val="TableParagraph"/>
              <w:spacing w:before="115" w:line="224" w:lineRule="exact"/>
              <w:ind w:left="107"/>
              <w:jc w:val="left"/>
              <w:rPr>
                <w:b/>
                <w:sz w:val="20"/>
              </w:rPr>
            </w:pPr>
            <w:r>
              <w:rPr>
                <w:b/>
                <w:sz w:val="20"/>
              </w:rPr>
              <w:t>Station</w:t>
            </w:r>
          </w:p>
        </w:tc>
        <w:tc>
          <w:tcPr>
            <w:tcW w:w="1275" w:type="dxa"/>
            <w:shd w:val="clear" w:color="auto" w:fill="F7C9AC"/>
          </w:tcPr>
          <w:p w:rsidR="007C5447" w:rsidRDefault="00F6308C">
            <w:pPr>
              <w:pStyle w:val="TableParagraph"/>
              <w:spacing w:before="115" w:line="224" w:lineRule="exact"/>
              <w:ind w:left="104"/>
              <w:jc w:val="left"/>
              <w:rPr>
                <w:b/>
                <w:sz w:val="20"/>
              </w:rPr>
            </w:pPr>
            <w:r>
              <w:rPr>
                <w:b/>
                <w:sz w:val="20"/>
              </w:rPr>
              <w:t>FY 2011-12</w:t>
            </w:r>
          </w:p>
        </w:tc>
        <w:tc>
          <w:tcPr>
            <w:tcW w:w="1275" w:type="dxa"/>
            <w:shd w:val="clear" w:color="auto" w:fill="F7C9AC"/>
          </w:tcPr>
          <w:p w:rsidR="007C5447" w:rsidRDefault="00F6308C">
            <w:pPr>
              <w:pStyle w:val="TableParagraph"/>
              <w:spacing w:before="115" w:line="224" w:lineRule="exact"/>
              <w:ind w:left="106"/>
              <w:jc w:val="left"/>
              <w:rPr>
                <w:b/>
                <w:sz w:val="20"/>
              </w:rPr>
            </w:pPr>
            <w:r>
              <w:rPr>
                <w:b/>
                <w:sz w:val="20"/>
              </w:rPr>
              <w:t>FY 2012-13</w:t>
            </w:r>
          </w:p>
        </w:tc>
        <w:tc>
          <w:tcPr>
            <w:tcW w:w="1277" w:type="dxa"/>
            <w:shd w:val="clear" w:color="auto" w:fill="F7C9AC"/>
          </w:tcPr>
          <w:p w:rsidR="007C5447" w:rsidRDefault="00F6308C">
            <w:pPr>
              <w:pStyle w:val="TableParagraph"/>
              <w:spacing w:before="115" w:line="224" w:lineRule="exact"/>
              <w:ind w:left="105"/>
              <w:jc w:val="left"/>
              <w:rPr>
                <w:b/>
                <w:sz w:val="20"/>
              </w:rPr>
            </w:pPr>
            <w:r>
              <w:rPr>
                <w:b/>
                <w:sz w:val="20"/>
              </w:rPr>
              <w:t>FY 2013-14</w:t>
            </w:r>
          </w:p>
        </w:tc>
        <w:tc>
          <w:tcPr>
            <w:tcW w:w="1278" w:type="dxa"/>
            <w:shd w:val="clear" w:color="auto" w:fill="F7C9AC"/>
          </w:tcPr>
          <w:p w:rsidR="007C5447" w:rsidRDefault="00F6308C">
            <w:pPr>
              <w:pStyle w:val="TableParagraph"/>
              <w:spacing w:before="115" w:line="224" w:lineRule="exact"/>
              <w:ind w:left="105"/>
              <w:jc w:val="left"/>
              <w:rPr>
                <w:b/>
                <w:sz w:val="20"/>
              </w:rPr>
            </w:pPr>
            <w:r>
              <w:rPr>
                <w:b/>
                <w:sz w:val="20"/>
              </w:rPr>
              <w:t>FY 2014-15</w:t>
            </w:r>
          </w:p>
        </w:tc>
        <w:tc>
          <w:tcPr>
            <w:tcW w:w="1275" w:type="dxa"/>
            <w:shd w:val="clear" w:color="auto" w:fill="F7C9AC"/>
          </w:tcPr>
          <w:p w:rsidR="007C5447" w:rsidRDefault="00F6308C">
            <w:pPr>
              <w:pStyle w:val="TableParagraph"/>
              <w:spacing w:before="115" w:line="224" w:lineRule="exact"/>
              <w:ind w:left="105"/>
              <w:jc w:val="left"/>
              <w:rPr>
                <w:b/>
                <w:sz w:val="20"/>
              </w:rPr>
            </w:pPr>
            <w:r>
              <w:rPr>
                <w:b/>
                <w:sz w:val="20"/>
              </w:rPr>
              <w:t>FY 2015-16</w:t>
            </w:r>
          </w:p>
        </w:tc>
      </w:tr>
      <w:tr w:rsidR="007C5447">
        <w:trPr>
          <w:trHeight w:val="359"/>
        </w:trPr>
        <w:tc>
          <w:tcPr>
            <w:tcW w:w="562" w:type="dxa"/>
            <w:shd w:val="clear" w:color="auto" w:fill="D9D9D9"/>
          </w:tcPr>
          <w:p w:rsidR="007C5447" w:rsidRDefault="00F6308C">
            <w:pPr>
              <w:pStyle w:val="TableParagraph"/>
              <w:spacing w:before="115" w:line="224" w:lineRule="exact"/>
              <w:ind w:left="107"/>
              <w:jc w:val="left"/>
              <w:rPr>
                <w:b/>
                <w:sz w:val="20"/>
              </w:rPr>
            </w:pPr>
            <w:r>
              <w:rPr>
                <w:b/>
                <w:w w:val="99"/>
                <w:sz w:val="20"/>
              </w:rPr>
              <w:t>A</w:t>
            </w:r>
          </w:p>
        </w:tc>
        <w:tc>
          <w:tcPr>
            <w:tcW w:w="2130" w:type="dxa"/>
            <w:shd w:val="clear" w:color="auto" w:fill="D9D9D9"/>
          </w:tcPr>
          <w:p w:rsidR="007C5447" w:rsidRDefault="00F6308C">
            <w:pPr>
              <w:pStyle w:val="TableParagraph"/>
              <w:spacing w:before="115" w:line="224" w:lineRule="exact"/>
              <w:ind w:left="107"/>
              <w:jc w:val="left"/>
              <w:rPr>
                <w:b/>
                <w:sz w:val="20"/>
              </w:rPr>
            </w:pPr>
            <w:r>
              <w:rPr>
                <w:b/>
                <w:sz w:val="20"/>
              </w:rPr>
              <w:t>Thermal</w:t>
            </w:r>
          </w:p>
        </w:tc>
        <w:tc>
          <w:tcPr>
            <w:tcW w:w="1275" w:type="dxa"/>
            <w:shd w:val="clear" w:color="auto" w:fill="D9D9D9"/>
          </w:tcPr>
          <w:p w:rsidR="007C5447" w:rsidRDefault="007C5447">
            <w:pPr>
              <w:pStyle w:val="TableParagraph"/>
              <w:jc w:val="left"/>
              <w:rPr>
                <w:sz w:val="20"/>
              </w:rPr>
            </w:pPr>
          </w:p>
        </w:tc>
        <w:tc>
          <w:tcPr>
            <w:tcW w:w="1275" w:type="dxa"/>
            <w:shd w:val="clear" w:color="auto" w:fill="D9D9D9"/>
          </w:tcPr>
          <w:p w:rsidR="007C5447" w:rsidRDefault="007C5447">
            <w:pPr>
              <w:pStyle w:val="TableParagraph"/>
              <w:jc w:val="left"/>
              <w:rPr>
                <w:sz w:val="20"/>
              </w:rPr>
            </w:pPr>
          </w:p>
        </w:tc>
        <w:tc>
          <w:tcPr>
            <w:tcW w:w="1277" w:type="dxa"/>
            <w:shd w:val="clear" w:color="auto" w:fill="D9D9D9"/>
          </w:tcPr>
          <w:p w:rsidR="007C5447" w:rsidRDefault="007C5447">
            <w:pPr>
              <w:pStyle w:val="TableParagraph"/>
              <w:jc w:val="left"/>
              <w:rPr>
                <w:sz w:val="20"/>
              </w:rPr>
            </w:pPr>
          </w:p>
        </w:tc>
        <w:tc>
          <w:tcPr>
            <w:tcW w:w="1278" w:type="dxa"/>
            <w:shd w:val="clear" w:color="auto" w:fill="D9D9D9"/>
          </w:tcPr>
          <w:p w:rsidR="007C5447" w:rsidRDefault="007C5447">
            <w:pPr>
              <w:pStyle w:val="TableParagraph"/>
              <w:jc w:val="left"/>
              <w:rPr>
                <w:sz w:val="20"/>
              </w:rPr>
            </w:pPr>
          </w:p>
        </w:tc>
        <w:tc>
          <w:tcPr>
            <w:tcW w:w="1275" w:type="dxa"/>
            <w:shd w:val="clear" w:color="auto" w:fill="D9D9D9"/>
          </w:tcPr>
          <w:p w:rsidR="007C5447" w:rsidRDefault="007C5447">
            <w:pPr>
              <w:pStyle w:val="TableParagraph"/>
              <w:jc w:val="left"/>
              <w:rPr>
                <w:sz w:val="20"/>
              </w:rPr>
            </w:pPr>
          </w:p>
        </w:tc>
      </w:tr>
      <w:tr w:rsidR="007C5447">
        <w:trPr>
          <w:trHeight w:val="359"/>
        </w:trPr>
        <w:tc>
          <w:tcPr>
            <w:tcW w:w="562" w:type="dxa"/>
          </w:tcPr>
          <w:p w:rsidR="007C5447" w:rsidRDefault="00F6308C">
            <w:pPr>
              <w:pStyle w:val="TableParagraph"/>
              <w:spacing w:before="115" w:line="224" w:lineRule="exact"/>
              <w:ind w:right="220"/>
              <w:rPr>
                <w:sz w:val="20"/>
              </w:rPr>
            </w:pPr>
            <w:r>
              <w:rPr>
                <w:w w:val="99"/>
                <w:sz w:val="20"/>
              </w:rPr>
              <w:t>1</w:t>
            </w:r>
          </w:p>
        </w:tc>
        <w:tc>
          <w:tcPr>
            <w:tcW w:w="2130" w:type="dxa"/>
          </w:tcPr>
          <w:p w:rsidR="007C5447" w:rsidRDefault="00F6308C">
            <w:pPr>
              <w:pStyle w:val="TableParagraph"/>
              <w:spacing w:before="115" w:line="224" w:lineRule="exact"/>
              <w:ind w:left="107"/>
              <w:jc w:val="left"/>
              <w:rPr>
                <w:sz w:val="20"/>
              </w:rPr>
            </w:pPr>
            <w:r>
              <w:rPr>
                <w:sz w:val="20"/>
              </w:rPr>
              <w:t>Ennore TPS</w:t>
            </w:r>
          </w:p>
        </w:tc>
        <w:tc>
          <w:tcPr>
            <w:tcW w:w="1275" w:type="dxa"/>
          </w:tcPr>
          <w:p w:rsidR="007C5447" w:rsidRDefault="00F6308C">
            <w:pPr>
              <w:pStyle w:val="TableParagraph"/>
              <w:spacing w:before="65"/>
              <w:ind w:right="98"/>
              <w:rPr>
                <w:sz w:val="20"/>
              </w:rPr>
            </w:pPr>
            <w:r>
              <w:rPr>
                <w:sz w:val="20"/>
              </w:rPr>
              <w:t>22.61%</w:t>
            </w:r>
          </w:p>
        </w:tc>
        <w:tc>
          <w:tcPr>
            <w:tcW w:w="1275" w:type="dxa"/>
          </w:tcPr>
          <w:p w:rsidR="007C5447" w:rsidRDefault="00F6308C">
            <w:pPr>
              <w:pStyle w:val="TableParagraph"/>
              <w:spacing w:before="65"/>
              <w:ind w:right="94"/>
              <w:rPr>
                <w:sz w:val="20"/>
              </w:rPr>
            </w:pPr>
            <w:r>
              <w:rPr>
                <w:sz w:val="20"/>
              </w:rPr>
              <w:t>18.67%</w:t>
            </w:r>
          </w:p>
        </w:tc>
        <w:tc>
          <w:tcPr>
            <w:tcW w:w="1277" w:type="dxa"/>
          </w:tcPr>
          <w:p w:rsidR="007C5447" w:rsidRDefault="00F6308C">
            <w:pPr>
              <w:pStyle w:val="TableParagraph"/>
              <w:spacing w:before="65"/>
              <w:ind w:right="96"/>
              <w:rPr>
                <w:sz w:val="20"/>
              </w:rPr>
            </w:pPr>
            <w:r>
              <w:rPr>
                <w:sz w:val="20"/>
              </w:rPr>
              <w:t>30.61%</w:t>
            </w:r>
          </w:p>
        </w:tc>
        <w:tc>
          <w:tcPr>
            <w:tcW w:w="1278" w:type="dxa"/>
          </w:tcPr>
          <w:p w:rsidR="007C5447" w:rsidRDefault="00F6308C">
            <w:pPr>
              <w:pStyle w:val="TableParagraph"/>
              <w:spacing w:before="65"/>
              <w:ind w:right="97"/>
              <w:rPr>
                <w:sz w:val="20"/>
              </w:rPr>
            </w:pPr>
            <w:r>
              <w:rPr>
                <w:sz w:val="20"/>
              </w:rPr>
              <w:t>20.31%</w:t>
            </w:r>
          </w:p>
        </w:tc>
        <w:tc>
          <w:tcPr>
            <w:tcW w:w="1275" w:type="dxa"/>
          </w:tcPr>
          <w:p w:rsidR="007C5447" w:rsidRDefault="00F6308C">
            <w:pPr>
              <w:pStyle w:val="TableParagraph"/>
              <w:spacing w:before="65"/>
              <w:ind w:right="97"/>
              <w:rPr>
                <w:sz w:val="20"/>
              </w:rPr>
            </w:pPr>
            <w:r>
              <w:rPr>
                <w:sz w:val="20"/>
              </w:rPr>
              <w:t>31.08%</w:t>
            </w:r>
          </w:p>
        </w:tc>
      </w:tr>
      <w:tr w:rsidR="007C5447">
        <w:trPr>
          <w:trHeight w:val="360"/>
        </w:trPr>
        <w:tc>
          <w:tcPr>
            <w:tcW w:w="562" w:type="dxa"/>
          </w:tcPr>
          <w:p w:rsidR="007C5447" w:rsidRDefault="00F6308C">
            <w:pPr>
              <w:pStyle w:val="TableParagraph"/>
              <w:spacing w:before="116" w:line="224" w:lineRule="exact"/>
              <w:ind w:right="220"/>
              <w:rPr>
                <w:sz w:val="20"/>
              </w:rPr>
            </w:pPr>
            <w:r>
              <w:rPr>
                <w:w w:val="99"/>
                <w:sz w:val="20"/>
              </w:rPr>
              <w:t>2</w:t>
            </w:r>
          </w:p>
        </w:tc>
        <w:tc>
          <w:tcPr>
            <w:tcW w:w="2130" w:type="dxa"/>
          </w:tcPr>
          <w:p w:rsidR="007C5447" w:rsidRDefault="00F6308C">
            <w:pPr>
              <w:pStyle w:val="TableParagraph"/>
              <w:spacing w:before="116" w:line="224" w:lineRule="exact"/>
              <w:ind w:left="107"/>
              <w:jc w:val="left"/>
              <w:rPr>
                <w:sz w:val="20"/>
              </w:rPr>
            </w:pPr>
            <w:r>
              <w:rPr>
                <w:sz w:val="20"/>
              </w:rPr>
              <w:t>Tuticorin TPS</w:t>
            </w:r>
          </w:p>
        </w:tc>
        <w:tc>
          <w:tcPr>
            <w:tcW w:w="1275" w:type="dxa"/>
          </w:tcPr>
          <w:p w:rsidR="007C5447" w:rsidRDefault="00F6308C">
            <w:pPr>
              <w:pStyle w:val="TableParagraph"/>
              <w:spacing w:before="65"/>
              <w:ind w:right="98"/>
              <w:rPr>
                <w:sz w:val="20"/>
              </w:rPr>
            </w:pPr>
            <w:r>
              <w:rPr>
                <w:sz w:val="20"/>
              </w:rPr>
              <w:t>85.60%</w:t>
            </w:r>
          </w:p>
        </w:tc>
        <w:tc>
          <w:tcPr>
            <w:tcW w:w="1275" w:type="dxa"/>
          </w:tcPr>
          <w:p w:rsidR="007C5447" w:rsidRDefault="00F6308C">
            <w:pPr>
              <w:pStyle w:val="TableParagraph"/>
              <w:spacing w:before="65"/>
              <w:ind w:right="94"/>
              <w:rPr>
                <w:sz w:val="20"/>
              </w:rPr>
            </w:pPr>
            <w:r>
              <w:rPr>
                <w:sz w:val="20"/>
              </w:rPr>
              <w:t>90.04%</w:t>
            </w:r>
          </w:p>
        </w:tc>
        <w:tc>
          <w:tcPr>
            <w:tcW w:w="1277" w:type="dxa"/>
          </w:tcPr>
          <w:p w:rsidR="007C5447" w:rsidRDefault="00F6308C">
            <w:pPr>
              <w:pStyle w:val="TableParagraph"/>
              <w:spacing w:before="65"/>
              <w:ind w:right="96"/>
              <w:rPr>
                <w:sz w:val="20"/>
              </w:rPr>
            </w:pPr>
            <w:r>
              <w:rPr>
                <w:sz w:val="20"/>
              </w:rPr>
              <w:t>85.80%</w:t>
            </w:r>
          </w:p>
        </w:tc>
        <w:tc>
          <w:tcPr>
            <w:tcW w:w="1278" w:type="dxa"/>
          </w:tcPr>
          <w:p w:rsidR="007C5447" w:rsidRDefault="00F6308C">
            <w:pPr>
              <w:pStyle w:val="TableParagraph"/>
              <w:spacing w:before="65"/>
              <w:ind w:right="97"/>
              <w:rPr>
                <w:sz w:val="20"/>
              </w:rPr>
            </w:pPr>
            <w:r>
              <w:rPr>
                <w:sz w:val="20"/>
              </w:rPr>
              <w:t>83.42%</w:t>
            </w:r>
          </w:p>
        </w:tc>
        <w:tc>
          <w:tcPr>
            <w:tcW w:w="1275" w:type="dxa"/>
          </w:tcPr>
          <w:p w:rsidR="007C5447" w:rsidRDefault="00F6308C">
            <w:pPr>
              <w:pStyle w:val="TableParagraph"/>
              <w:spacing w:before="65"/>
              <w:ind w:right="97"/>
              <w:rPr>
                <w:sz w:val="20"/>
              </w:rPr>
            </w:pPr>
            <w:r>
              <w:rPr>
                <w:sz w:val="20"/>
              </w:rPr>
              <w:t>77.00%</w:t>
            </w:r>
          </w:p>
        </w:tc>
      </w:tr>
      <w:tr w:rsidR="007C5447">
        <w:trPr>
          <w:trHeight w:val="359"/>
        </w:trPr>
        <w:tc>
          <w:tcPr>
            <w:tcW w:w="562" w:type="dxa"/>
          </w:tcPr>
          <w:p w:rsidR="007C5447" w:rsidRDefault="00F6308C">
            <w:pPr>
              <w:pStyle w:val="TableParagraph"/>
              <w:spacing w:before="115" w:line="224" w:lineRule="exact"/>
              <w:ind w:right="220"/>
              <w:rPr>
                <w:sz w:val="20"/>
              </w:rPr>
            </w:pPr>
            <w:r>
              <w:rPr>
                <w:w w:val="99"/>
                <w:sz w:val="20"/>
              </w:rPr>
              <w:t>3</w:t>
            </w:r>
          </w:p>
        </w:tc>
        <w:tc>
          <w:tcPr>
            <w:tcW w:w="2130" w:type="dxa"/>
          </w:tcPr>
          <w:p w:rsidR="007C5447" w:rsidRDefault="00F6308C">
            <w:pPr>
              <w:pStyle w:val="TableParagraph"/>
              <w:spacing w:before="115" w:line="224" w:lineRule="exact"/>
              <w:ind w:left="107"/>
              <w:jc w:val="left"/>
              <w:rPr>
                <w:sz w:val="20"/>
              </w:rPr>
            </w:pPr>
            <w:r>
              <w:rPr>
                <w:sz w:val="20"/>
              </w:rPr>
              <w:t>Mettur TPS</w:t>
            </w:r>
          </w:p>
        </w:tc>
        <w:tc>
          <w:tcPr>
            <w:tcW w:w="1275" w:type="dxa"/>
          </w:tcPr>
          <w:p w:rsidR="007C5447" w:rsidRDefault="00F6308C">
            <w:pPr>
              <w:pStyle w:val="TableParagraph"/>
              <w:spacing w:before="65"/>
              <w:ind w:right="98"/>
              <w:rPr>
                <w:sz w:val="20"/>
              </w:rPr>
            </w:pPr>
            <w:r>
              <w:rPr>
                <w:sz w:val="20"/>
              </w:rPr>
              <w:t>92.77%</w:t>
            </w:r>
          </w:p>
        </w:tc>
        <w:tc>
          <w:tcPr>
            <w:tcW w:w="1275" w:type="dxa"/>
          </w:tcPr>
          <w:p w:rsidR="007C5447" w:rsidRDefault="00F6308C">
            <w:pPr>
              <w:pStyle w:val="TableParagraph"/>
              <w:spacing w:before="65"/>
              <w:ind w:right="94"/>
              <w:rPr>
                <w:sz w:val="20"/>
              </w:rPr>
            </w:pPr>
            <w:r>
              <w:rPr>
                <w:sz w:val="20"/>
              </w:rPr>
              <w:t>84.26%</w:t>
            </w:r>
          </w:p>
        </w:tc>
        <w:tc>
          <w:tcPr>
            <w:tcW w:w="1277" w:type="dxa"/>
          </w:tcPr>
          <w:p w:rsidR="007C5447" w:rsidRDefault="00F6308C">
            <w:pPr>
              <w:pStyle w:val="TableParagraph"/>
              <w:spacing w:before="65"/>
              <w:ind w:right="96"/>
              <w:rPr>
                <w:sz w:val="20"/>
              </w:rPr>
            </w:pPr>
            <w:r>
              <w:rPr>
                <w:sz w:val="20"/>
              </w:rPr>
              <w:t>88.04%</w:t>
            </w:r>
          </w:p>
        </w:tc>
        <w:tc>
          <w:tcPr>
            <w:tcW w:w="1278" w:type="dxa"/>
          </w:tcPr>
          <w:p w:rsidR="007C5447" w:rsidRDefault="00F6308C">
            <w:pPr>
              <w:pStyle w:val="TableParagraph"/>
              <w:spacing w:before="65"/>
              <w:ind w:right="97"/>
              <w:rPr>
                <w:sz w:val="20"/>
              </w:rPr>
            </w:pPr>
            <w:r>
              <w:rPr>
                <w:sz w:val="20"/>
              </w:rPr>
              <w:t>84.71%</w:t>
            </w:r>
          </w:p>
        </w:tc>
        <w:tc>
          <w:tcPr>
            <w:tcW w:w="1275" w:type="dxa"/>
          </w:tcPr>
          <w:p w:rsidR="007C5447" w:rsidRDefault="00F6308C">
            <w:pPr>
              <w:pStyle w:val="TableParagraph"/>
              <w:spacing w:before="65"/>
              <w:ind w:right="97"/>
              <w:rPr>
                <w:sz w:val="20"/>
              </w:rPr>
            </w:pPr>
            <w:r>
              <w:rPr>
                <w:sz w:val="20"/>
              </w:rPr>
              <w:t>80.25%</w:t>
            </w:r>
          </w:p>
        </w:tc>
      </w:tr>
      <w:tr w:rsidR="007C5447">
        <w:trPr>
          <w:trHeight w:val="362"/>
        </w:trPr>
        <w:tc>
          <w:tcPr>
            <w:tcW w:w="562" w:type="dxa"/>
          </w:tcPr>
          <w:p w:rsidR="007C5447" w:rsidRDefault="00F6308C">
            <w:pPr>
              <w:pStyle w:val="TableParagraph"/>
              <w:spacing w:before="115" w:line="227" w:lineRule="exact"/>
              <w:ind w:right="220"/>
              <w:rPr>
                <w:sz w:val="20"/>
              </w:rPr>
            </w:pPr>
            <w:r>
              <w:rPr>
                <w:w w:val="99"/>
                <w:sz w:val="20"/>
              </w:rPr>
              <w:t>4</w:t>
            </w:r>
          </w:p>
        </w:tc>
        <w:tc>
          <w:tcPr>
            <w:tcW w:w="2130" w:type="dxa"/>
          </w:tcPr>
          <w:p w:rsidR="007C5447" w:rsidRDefault="00F6308C">
            <w:pPr>
              <w:pStyle w:val="TableParagraph"/>
              <w:spacing w:before="115" w:line="227" w:lineRule="exact"/>
              <w:ind w:left="107"/>
              <w:jc w:val="left"/>
              <w:rPr>
                <w:sz w:val="20"/>
              </w:rPr>
            </w:pPr>
            <w:r>
              <w:rPr>
                <w:sz w:val="20"/>
              </w:rPr>
              <w:t>Mettur Stage III TPS</w:t>
            </w:r>
          </w:p>
        </w:tc>
        <w:tc>
          <w:tcPr>
            <w:tcW w:w="1275" w:type="dxa"/>
          </w:tcPr>
          <w:p w:rsidR="007C5447" w:rsidRDefault="007C5447">
            <w:pPr>
              <w:pStyle w:val="TableParagraph"/>
              <w:jc w:val="left"/>
              <w:rPr>
                <w:sz w:val="20"/>
              </w:rPr>
            </w:pPr>
          </w:p>
        </w:tc>
        <w:tc>
          <w:tcPr>
            <w:tcW w:w="1275" w:type="dxa"/>
          </w:tcPr>
          <w:p w:rsidR="007C5447" w:rsidRDefault="007C5447">
            <w:pPr>
              <w:pStyle w:val="TableParagraph"/>
              <w:jc w:val="left"/>
              <w:rPr>
                <w:sz w:val="20"/>
              </w:rPr>
            </w:pPr>
          </w:p>
        </w:tc>
        <w:tc>
          <w:tcPr>
            <w:tcW w:w="1277" w:type="dxa"/>
          </w:tcPr>
          <w:p w:rsidR="007C5447" w:rsidRDefault="00F6308C">
            <w:pPr>
              <w:pStyle w:val="TableParagraph"/>
              <w:spacing w:before="65"/>
              <w:ind w:right="96"/>
              <w:rPr>
                <w:sz w:val="20"/>
              </w:rPr>
            </w:pPr>
            <w:r>
              <w:rPr>
                <w:sz w:val="20"/>
              </w:rPr>
              <w:t>80.00%</w:t>
            </w:r>
          </w:p>
        </w:tc>
        <w:tc>
          <w:tcPr>
            <w:tcW w:w="1278" w:type="dxa"/>
          </w:tcPr>
          <w:p w:rsidR="007C5447" w:rsidRDefault="00F6308C">
            <w:pPr>
              <w:pStyle w:val="TableParagraph"/>
              <w:spacing w:before="65"/>
              <w:ind w:right="97"/>
              <w:rPr>
                <w:sz w:val="20"/>
              </w:rPr>
            </w:pPr>
            <w:r>
              <w:rPr>
                <w:sz w:val="20"/>
              </w:rPr>
              <w:t>57.50%</w:t>
            </w:r>
          </w:p>
        </w:tc>
        <w:tc>
          <w:tcPr>
            <w:tcW w:w="1275" w:type="dxa"/>
          </w:tcPr>
          <w:p w:rsidR="007C5447" w:rsidRDefault="00F6308C">
            <w:pPr>
              <w:pStyle w:val="TableParagraph"/>
              <w:spacing w:before="65"/>
              <w:ind w:right="97"/>
              <w:rPr>
                <w:sz w:val="20"/>
              </w:rPr>
            </w:pPr>
            <w:r>
              <w:rPr>
                <w:sz w:val="20"/>
              </w:rPr>
              <w:t>85.00%</w:t>
            </w:r>
          </w:p>
        </w:tc>
      </w:tr>
      <w:tr w:rsidR="007C5447">
        <w:trPr>
          <w:trHeight w:val="359"/>
        </w:trPr>
        <w:tc>
          <w:tcPr>
            <w:tcW w:w="562" w:type="dxa"/>
          </w:tcPr>
          <w:p w:rsidR="007C5447" w:rsidRDefault="00F6308C">
            <w:pPr>
              <w:pStyle w:val="TableParagraph"/>
              <w:spacing w:before="115" w:line="224" w:lineRule="exact"/>
              <w:ind w:right="220"/>
              <w:rPr>
                <w:sz w:val="20"/>
              </w:rPr>
            </w:pPr>
            <w:r>
              <w:rPr>
                <w:w w:val="99"/>
                <w:sz w:val="20"/>
              </w:rPr>
              <w:t>5</w:t>
            </w:r>
          </w:p>
        </w:tc>
        <w:tc>
          <w:tcPr>
            <w:tcW w:w="2130" w:type="dxa"/>
          </w:tcPr>
          <w:p w:rsidR="007C5447" w:rsidRDefault="00F6308C">
            <w:pPr>
              <w:pStyle w:val="TableParagraph"/>
              <w:spacing w:before="115" w:line="224" w:lineRule="exact"/>
              <w:ind w:left="107"/>
              <w:jc w:val="left"/>
              <w:rPr>
                <w:sz w:val="20"/>
              </w:rPr>
            </w:pPr>
            <w:r>
              <w:rPr>
                <w:sz w:val="20"/>
              </w:rPr>
              <w:t>North Chennai TPS</w:t>
            </w:r>
          </w:p>
        </w:tc>
        <w:tc>
          <w:tcPr>
            <w:tcW w:w="1275" w:type="dxa"/>
          </w:tcPr>
          <w:p w:rsidR="007C5447" w:rsidRDefault="00F6308C">
            <w:pPr>
              <w:pStyle w:val="TableParagraph"/>
              <w:spacing w:before="65"/>
              <w:ind w:right="98"/>
              <w:rPr>
                <w:sz w:val="20"/>
              </w:rPr>
            </w:pPr>
            <w:r>
              <w:rPr>
                <w:sz w:val="20"/>
              </w:rPr>
              <w:t>84.81%</w:t>
            </w:r>
          </w:p>
        </w:tc>
        <w:tc>
          <w:tcPr>
            <w:tcW w:w="1275" w:type="dxa"/>
          </w:tcPr>
          <w:p w:rsidR="007C5447" w:rsidRDefault="00F6308C">
            <w:pPr>
              <w:pStyle w:val="TableParagraph"/>
              <w:spacing w:before="65"/>
              <w:ind w:right="94"/>
              <w:rPr>
                <w:sz w:val="20"/>
              </w:rPr>
            </w:pPr>
            <w:r>
              <w:rPr>
                <w:sz w:val="20"/>
              </w:rPr>
              <w:t>91.68%</w:t>
            </w:r>
          </w:p>
        </w:tc>
        <w:tc>
          <w:tcPr>
            <w:tcW w:w="1277" w:type="dxa"/>
          </w:tcPr>
          <w:p w:rsidR="007C5447" w:rsidRDefault="00F6308C">
            <w:pPr>
              <w:pStyle w:val="TableParagraph"/>
              <w:spacing w:before="65"/>
              <w:ind w:right="96"/>
              <w:rPr>
                <w:sz w:val="20"/>
              </w:rPr>
            </w:pPr>
            <w:r>
              <w:rPr>
                <w:sz w:val="20"/>
              </w:rPr>
              <w:t>74.33%</w:t>
            </w:r>
          </w:p>
        </w:tc>
        <w:tc>
          <w:tcPr>
            <w:tcW w:w="1278" w:type="dxa"/>
          </w:tcPr>
          <w:p w:rsidR="007C5447" w:rsidRDefault="00F6308C">
            <w:pPr>
              <w:pStyle w:val="TableParagraph"/>
              <w:spacing w:before="65"/>
              <w:ind w:right="97"/>
              <w:rPr>
                <w:sz w:val="20"/>
              </w:rPr>
            </w:pPr>
            <w:r>
              <w:rPr>
                <w:sz w:val="20"/>
              </w:rPr>
              <w:t>77.21%</w:t>
            </w:r>
          </w:p>
        </w:tc>
        <w:tc>
          <w:tcPr>
            <w:tcW w:w="1275" w:type="dxa"/>
          </w:tcPr>
          <w:p w:rsidR="007C5447" w:rsidRDefault="00F6308C">
            <w:pPr>
              <w:pStyle w:val="TableParagraph"/>
              <w:spacing w:before="65"/>
              <w:ind w:right="97"/>
              <w:rPr>
                <w:sz w:val="20"/>
              </w:rPr>
            </w:pPr>
            <w:r>
              <w:rPr>
                <w:sz w:val="20"/>
              </w:rPr>
              <w:t>85.00%</w:t>
            </w:r>
          </w:p>
        </w:tc>
      </w:tr>
      <w:tr w:rsidR="007C5447">
        <w:trPr>
          <w:trHeight w:val="489"/>
        </w:trPr>
        <w:tc>
          <w:tcPr>
            <w:tcW w:w="562" w:type="dxa"/>
          </w:tcPr>
          <w:p w:rsidR="007C5447" w:rsidRDefault="007C5447">
            <w:pPr>
              <w:pStyle w:val="TableParagraph"/>
              <w:spacing w:before="3"/>
              <w:jc w:val="left"/>
              <w:rPr>
                <w:b/>
                <w:sz w:val="21"/>
              </w:rPr>
            </w:pPr>
          </w:p>
          <w:p w:rsidR="007C5447" w:rsidRDefault="00F6308C">
            <w:pPr>
              <w:pStyle w:val="TableParagraph"/>
              <w:spacing w:line="224" w:lineRule="exact"/>
              <w:ind w:right="220"/>
              <w:rPr>
                <w:sz w:val="20"/>
              </w:rPr>
            </w:pPr>
            <w:r>
              <w:rPr>
                <w:w w:val="99"/>
                <w:sz w:val="20"/>
              </w:rPr>
              <w:t>6</w:t>
            </w:r>
          </w:p>
        </w:tc>
        <w:tc>
          <w:tcPr>
            <w:tcW w:w="2130" w:type="dxa"/>
          </w:tcPr>
          <w:p w:rsidR="007C5447" w:rsidRDefault="00F6308C">
            <w:pPr>
              <w:pStyle w:val="TableParagraph"/>
              <w:spacing w:before="14" w:line="230" w:lineRule="atLeast"/>
              <w:ind w:left="107"/>
              <w:jc w:val="left"/>
              <w:rPr>
                <w:sz w:val="20"/>
              </w:rPr>
            </w:pPr>
            <w:r>
              <w:rPr>
                <w:sz w:val="20"/>
              </w:rPr>
              <w:t>North Chennai Stage II TPS (Unit 1)</w:t>
            </w:r>
          </w:p>
        </w:tc>
        <w:tc>
          <w:tcPr>
            <w:tcW w:w="1275" w:type="dxa"/>
          </w:tcPr>
          <w:p w:rsidR="007C5447" w:rsidRDefault="007C5447">
            <w:pPr>
              <w:pStyle w:val="TableParagraph"/>
              <w:jc w:val="left"/>
              <w:rPr>
                <w:sz w:val="20"/>
              </w:rPr>
            </w:pPr>
          </w:p>
        </w:tc>
        <w:tc>
          <w:tcPr>
            <w:tcW w:w="1275" w:type="dxa"/>
          </w:tcPr>
          <w:p w:rsidR="007C5447" w:rsidRDefault="007C5447">
            <w:pPr>
              <w:pStyle w:val="TableParagraph"/>
              <w:jc w:val="left"/>
              <w:rPr>
                <w:sz w:val="20"/>
              </w:rPr>
            </w:pPr>
          </w:p>
        </w:tc>
        <w:tc>
          <w:tcPr>
            <w:tcW w:w="1277" w:type="dxa"/>
          </w:tcPr>
          <w:p w:rsidR="007C5447" w:rsidRDefault="007C5447">
            <w:pPr>
              <w:pStyle w:val="TableParagraph"/>
              <w:jc w:val="left"/>
              <w:rPr>
                <w:sz w:val="20"/>
              </w:rPr>
            </w:pPr>
          </w:p>
        </w:tc>
        <w:tc>
          <w:tcPr>
            <w:tcW w:w="1278" w:type="dxa"/>
          </w:tcPr>
          <w:p w:rsidR="007C5447" w:rsidRDefault="00F6308C">
            <w:pPr>
              <w:pStyle w:val="TableParagraph"/>
              <w:spacing w:before="130"/>
              <w:ind w:right="97"/>
              <w:rPr>
                <w:sz w:val="20"/>
              </w:rPr>
            </w:pPr>
            <w:r>
              <w:rPr>
                <w:sz w:val="20"/>
              </w:rPr>
              <w:t>53.14%</w:t>
            </w:r>
          </w:p>
        </w:tc>
        <w:tc>
          <w:tcPr>
            <w:tcW w:w="1275" w:type="dxa"/>
          </w:tcPr>
          <w:p w:rsidR="007C5447" w:rsidRDefault="00F6308C">
            <w:pPr>
              <w:pStyle w:val="TableParagraph"/>
              <w:spacing w:before="130"/>
              <w:ind w:right="97"/>
              <w:rPr>
                <w:sz w:val="20"/>
              </w:rPr>
            </w:pPr>
            <w:r>
              <w:rPr>
                <w:sz w:val="20"/>
              </w:rPr>
              <w:t>85.00%</w:t>
            </w:r>
          </w:p>
        </w:tc>
      </w:tr>
      <w:tr w:rsidR="007C5447">
        <w:trPr>
          <w:trHeight w:val="489"/>
        </w:trPr>
        <w:tc>
          <w:tcPr>
            <w:tcW w:w="562" w:type="dxa"/>
          </w:tcPr>
          <w:p w:rsidR="007C5447" w:rsidRDefault="007C5447">
            <w:pPr>
              <w:pStyle w:val="TableParagraph"/>
              <w:spacing w:before="3"/>
              <w:jc w:val="left"/>
              <w:rPr>
                <w:b/>
                <w:sz w:val="21"/>
              </w:rPr>
            </w:pPr>
          </w:p>
          <w:p w:rsidR="007C5447" w:rsidRDefault="00F6308C">
            <w:pPr>
              <w:pStyle w:val="TableParagraph"/>
              <w:spacing w:line="224" w:lineRule="exact"/>
              <w:ind w:right="220"/>
              <w:rPr>
                <w:sz w:val="20"/>
              </w:rPr>
            </w:pPr>
            <w:r>
              <w:rPr>
                <w:w w:val="99"/>
                <w:sz w:val="20"/>
              </w:rPr>
              <w:t>7</w:t>
            </w:r>
          </w:p>
        </w:tc>
        <w:tc>
          <w:tcPr>
            <w:tcW w:w="2130" w:type="dxa"/>
          </w:tcPr>
          <w:p w:rsidR="007C5447" w:rsidRDefault="00F6308C">
            <w:pPr>
              <w:pStyle w:val="TableParagraph"/>
              <w:spacing w:before="14" w:line="230" w:lineRule="atLeast"/>
              <w:ind w:left="107"/>
              <w:jc w:val="left"/>
              <w:rPr>
                <w:sz w:val="20"/>
              </w:rPr>
            </w:pPr>
            <w:r>
              <w:rPr>
                <w:sz w:val="20"/>
              </w:rPr>
              <w:t>North Chennai Stage II TPS (Unit 2)</w:t>
            </w:r>
          </w:p>
        </w:tc>
        <w:tc>
          <w:tcPr>
            <w:tcW w:w="1275" w:type="dxa"/>
          </w:tcPr>
          <w:p w:rsidR="007C5447" w:rsidRDefault="007C5447">
            <w:pPr>
              <w:pStyle w:val="TableParagraph"/>
              <w:jc w:val="left"/>
              <w:rPr>
                <w:sz w:val="20"/>
              </w:rPr>
            </w:pPr>
          </w:p>
        </w:tc>
        <w:tc>
          <w:tcPr>
            <w:tcW w:w="1275" w:type="dxa"/>
          </w:tcPr>
          <w:p w:rsidR="007C5447" w:rsidRDefault="007C5447">
            <w:pPr>
              <w:pStyle w:val="TableParagraph"/>
              <w:jc w:val="left"/>
              <w:rPr>
                <w:sz w:val="20"/>
              </w:rPr>
            </w:pPr>
          </w:p>
        </w:tc>
        <w:tc>
          <w:tcPr>
            <w:tcW w:w="1277" w:type="dxa"/>
          </w:tcPr>
          <w:p w:rsidR="007C5447" w:rsidRDefault="007C5447">
            <w:pPr>
              <w:pStyle w:val="TableParagraph"/>
              <w:jc w:val="left"/>
              <w:rPr>
                <w:sz w:val="20"/>
              </w:rPr>
            </w:pPr>
          </w:p>
        </w:tc>
        <w:tc>
          <w:tcPr>
            <w:tcW w:w="1278" w:type="dxa"/>
          </w:tcPr>
          <w:p w:rsidR="007C5447" w:rsidRDefault="00F6308C">
            <w:pPr>
              <w:pStyle w:val="TableParagraph"/>
              <w:spacing w:before="130"/>
              <w:ind w:right="97"/>
              <w:rPr>
                <w:sz w:val="20"/>
              </w:rPr>
            </w:pPr>
            <w:r>
              <w:rPr>
                <w:sz w:val="20"/>
              </w:rPr>
              <w:t>53.14%</w:t>
            </w:r>
          </w:p>
        </w:tc>
        <w:tc>
          <w:tcPr>
            <w:tcW w:w="1275" w:type="dxa"/>
          </w:tcPr>
          <w:p w:rsidR="007C5447" w:rsidRDefault="00F6308C">
            <w:pPr>
              <w:pStyle w:val="TableParagraph"/>
              <w:spacing w:before="130"/>
              <w:ind w:right="97"/>
              <w:rPr>
                <w:sz w:val="20"/>
              </w:rPr>
            </w:pPr>
            <w:r>
              <w:rPr>
                <w:sz w:val="20"/>
              </w:rPr>
              <w:t>85.00%</w:t>
            </w:r>
          </w:p>
        </w:tc>
      </w:tr>
      <w:tr w:rsidR="007C5447">
        <w:trPr>
          <w:trHeight w:val="361"/>
        </w:trPr>
        <w:tc>
          <w:tcPr>
            <w:tcW w:w="562" w:type="dxa"/>
            <w:shd w:val="clear" w:color="auto" w:fill="D9D9D9"/>
          </w:tcPr>
          <w:p w:rsidR="007C5447" w:rsidRDefault="00F6308C">
            <w:pPr>
              <w:pStyle w:val="TableParagraph"/>
              <w:spacing w:before="115" w:line="227" w:lineRule="exact"/>
              <w:ind w:left="107"/>
              <w:jc w:val="left"/>
              <w:rPr>
                <w:b/>
                <w:sz w:val="20"/>
              </w:rPr>
            </w:pPr>
            <w:r>
              <w:rPr>
                <w:b/>
                <w:w w:val="99"/>
                <w:sz w:val="20"/>
              </w:rPr>
              <w:t>B</w:t>
            </w:r>
          </w:p>
        </w:tc>
        <w:tc>
          <w:tcPr>
            <w:tcW w:w="2130" w:type="dxa"/>
            <w:shd w:val="clear" w:color="auto" w:fill="D9D9D9"/>
          </w:tcPr>
          <w:p w:rsidR="007C5447" w:rsidRDefault="00F6308C">
            <w:pPr>
              <w:pStyle w:val="TableParagraph"/>
              <w:spacing w:before="115" w:line="227" w:lineRule="exact"/>
              <w:ind w:left="107"/>
              <w:jc w:val="left"/>
              <w:rPr>
                <w:b/>
                <w:sz w:val="20"/>
              </w:rPr>
            </w:pPr>
            <w:r>
              <w:rPr>
                <w:b/>
                <w:sz w:val="20"/>
              </w:rPr>
              <w:t>Gas</w:t>
            </w:r>
          </w:p>
        </w:tc>
        <w:tc>
          <w:tcPr>
            <w:tcW w:w="1275" w:type="dxa"/>
            <w:shd w:val="clear" w:color="auto" w:fill="D9D9D9"/>
          </w:tcPr>
          <w:p w:rsidR="007C5447" w:rsidRDefault="007C5447">
            <w:pPr>
              <w:pStyle w:val="TableParagraph"/>
              <w:jc w:val="left"/>
              <w:rPr>
                <w:sz w:val="20"/>
              </w:rPr>
            </w:pPr>
          </w:p>
        </w:tc>
        <w:tc>
          <w:tcPr>
            <w:tcW w:w="1275" w:type="dxa"/>
            <w:shd w:val="clear" w:color="auto" w:fill="D9D9D9"/>
          </w:tcPr>
          <w:p w:rsidR="007C5447" w:rsidRDefault="007C5447">
            <w:pPr>
              <w:pStyle w:val="TableParagraph"/>
              <w:jc w:val="left"/>
              <w:rPr>
                <w:sz w:val="20"/>
              </w:rPr>
            </w:pPr>
          </w:p>
        </w:tc>
        <w:tc>
          <w:tcPr>
            <w:tcW w:w="1277" w:type="dxa"/>
            <w:shd w:val="clear" w:color="auto" w:fill="D9D9D9"/>
          </w:tcPr>
          <w:p w:rsidR="007C5447" w:rsidRDefault="007C5447">
            <w:pPr>
              <w:pStyle w:val="TableParagraph"/>
              <w:jc w:val="left"/>
              <w:rPr>
                <w:sz w:val="20"/>
              </w:rPr>
            </w:pPr>
          </w:p>
        </w:tc>
        <w:tc>
          <w:tcPr>
            <w:tcW w:w="1278" w:type="dxa"/>
            <w:shd w:val="clear" w:color="auto" w:fill="D9D9D9"/>
          </w:tcPr>
          <w:p w:rsidR="007C5447" w:rsidRDefault="007C5447">
            <w:pPr>
              <w:pStyle w:val="TableParagraph"/>
              <w:jc w:val="left"/>
              <w:rPr>
                <w:sz w:val="20"/>
              </w:rPr>
            </w:pPr>
          </w:p>
        </w:tc>
        <w:tc>
          <w:tcPr>
            <w:tcW w:w="1275" w:type="dxa"/>
            <w:shd w:val="clear" w:color="auto" w:fill="D9D9D9"/>
          </w:tcPr>
          <w:p w:rsidR="007C5447" w:rsidRDefault="007C5447">
            <w:pPr>
              <w:pStyle w:val="TableParagraph"/>
              <w:jc w:val="left"/>
              <w:rPr>
                <w:sz w:val="20"/>
              </w:rPr>
            </w:pPr>
          </w:p>
        </w:tc>
      </w:tr>
      <w:tr w:rsidR="007C5447">
        <w:trPr>
          <w:trHeight w:val="359"/>
        </w:trPr>
        <w:tc>
          <w:tcPr>
            <w:tcW w:w="562" w:type="dxa"/>
          </w:tcPr>
          <w:p w:rsidR="007C5447" w:rsidRDefault="00F6308C">
            <w:pPr>
              <w:pStyle w:val="TableParagraph"/>
              <w:spacing w:before="113" w:line="227" w:lineRule="exact"/>
              <w:ind w:right="220"/>
              <w:rPr>
                <w:sz w:val="20"/>
              </w:rPr>
            </w:pPr>
            <w:r>
              <w:rPr>
                <w:w w:val="99"/>
                <w:sz w:val="20"/>
              </w:rPr>
              <w:t>1</w:t>
            </w:r>
          </w:p>
        </w:tc>
        <w:tc>
          <w:tcPr>
            <w:tcW w:w="2130" w:type="dxa"/>
          </w:tcPr>
          <w:p w:rsidR="007C5447" w:rsidRDefault="00F6308C">
            <w:pPr>
              <w:pStyle w:val="TableParagraph"/>
              <w:spacing w:before="113" w:line="227" w:lineRule="exact"/>
              <w:ind w:left="107"/>
              <w:jc w:val="left"/>
              <w:rPr>
                <w:sz w:val="20"/>
              </w:rPr>
            </w:pPr>
            <w:r>
              <w:rPr>
                <w:sz w:val="20"/>
              </w:rPr>
              <w:t>Tirumakottai GTPS</w:t>
            </w:r>
          </w:p>
        </w:tc>
        <w:tc>
          <w:tcPr>
            <w:tcW w:w="1275" w:type="dxa"/>
          </w:tcPr>
          <w:p w:rsidR="007C5447" w:rsidRDefault="00F6308C">
            <w:pPr>
              <w:pStyle w:val="TableParagraph"/>
              <w:spacing w:before="65"/>
              <w:ind w:right="98"/>
              <w:rPr>
                <w:sz w:val="20"/>
              </w:rPr>
            </w:pPr>
            <w:r>
              <w:rPr>
                <w:sz w:val="20"/>
              </w:rPr>
              <w:t>74.68%</w:t>
            </w:r>
          </w:p>
        </w:tc>
        <w:tc>
          <w:tcPr>
            <w:tcW w:w="1275" w:type="dxa"/>
          </w:tcPr>
          <w:p w:rsidR="007C5447" w:rsidRDefault="00F6308C">
            <w:pPr>
              <w:pStyle w:val="TableParagraph"/>
              <w:spacing w:before="65"/>
              <w:ind w:right="94"/>
              <w:rPr>
                <w:sz w:val="20"/>
              </w:rPr>
            </w:pPr>
            <w:r>
              <w:rPr>
                <w:sz w:val="20"/>
              </w:rPr>
              <w:t>76.90%</w:t>
            </w:r>
          </w:p>
        </w:tc>
        <w:tc>
          <w:tcPr>
            <w:tcW w:w="1277" w:type="dxa"/>
          </w:tcPr>
          <w:p w:rsidR="007C5447" w:rsidRDefault="00F6308C">
            <w:pPr>
              <w:pStyle w:val="TableParagraph"/>
              <w:spacing w:before="65"/>
              <w:ind w:right="96"/>
              <w:rPr>
                <w:sz w:val="20"/>
              </w:rPr>
            </w:pPr>
            <w:r>
              <w:rPr>
                <w:sz w:val="20"/>
              </w:rPr>
              <w:t>52.69%</w:t>
            </w:r>
          </w:p>
        </w:tc>
        <w:tc>
          <w:tcPr>
            <w:tcW w:w="1278" w:type="dxa"/>
          </w:tcPr>
          <w:p w:rsidR="007C5447" w:rsidRDefault="00F6308C">
            <w:pPr>
              <w:pStyle w:val="TableParagraph"/>
              <w:spacing w:before="65"/>
              <w:ind w:right="97"/>
              <w:rPr>
                <w:sz w:val="20"/>
              </w:rPr>
            </w:pPr>
            <w:r>
              <w:rPr>
                <w:sz w:val="20"/>
              </w:rPr>
              <w:t>43.81%</w:t>
            </w:r>
          </w:p>
        </w:tc>
        <w:tc>
          <w:tcPr>
            <w:tcW w:w="1275" w:type="dxa"/>
          </w:tcPr>
          <w:p w:rsidR="007C5447" w:rsidRDefault="00F6308C">
            <w:pPr>
              <w:pStyle w:val="TableParagraph"/>
              <w:spacing w:before="65"/>
              <w:ind w:right="97"/>
              <w:rPr>
                <w:sz w:val="20"/>
              </w:rPr>
            </w:pPr>
            <w:r>
              <w:rPr>
                <w:sz w:val="20"/>
              </w:rPr>
              <w:t>42.23%</w:t>
            </w:r>
          </w:p>
        </w:tc>
      </w:tr>
      <w:tr w:rsidR="007C5447">
        <w:trPr>
          <w:trHeight w:val="359"/>
        </w:trPr>
        <w:tc>
          <w:tcPr>
            <w:tcW w:w="562" w:type="dxa"/>
          </w:tcPr>
          <w:p w:rsidR="007C5447" w:rsidRDefault="00F6308C">
            <w:pPr>
              <w:pStyle w:val="TableParagraph"/>
              <w:spacing w:before="115" w:line="224" w:lineRule="exact"/>
              <w:ind w:right="220"/>
              <w:rPr>
                <w:sz w:val="20"/>
              </w:rPr>
            </w:pPr>
            <w:r>
              <w:rPr>
                <w:w w:val="99"/>
                <w:sz w:val="20"/>
              </w:rPr>
              <w:t>2</w:t>
            </w:r>
          </w:p>
        </w:tc>
        <w:tc>
          <w:tcPr>
            <w:tcW w:w="2130" w:type="dxa"/>
          </w:tcPr>
          <w:p w:rsidR="007C5447" w:rsidRDefault="00F6308C">
            <w:pPr>
              <w:pStyle w:val="TableParagraph"/>
              <w:spacing w:before="115" w:line="224" w:lineRule="exact"/>
              <w:ind w:left="107"/>
              <w:jc w:val="left"/>
              <w:rPr>
                <w:sz w:val="20"/>
              </w:rPr>
            </w:pPr>
            <w:r>
              <w:rPr>
                <w:sz w:val="20"/>
              </w:rPr>
              <w:t>Kuttalam GTPS</w:t>
            </w:r>
          </w:p>
        </w:tc>
        <w:tc>
          <w:tcPr>
            <w:tcW w:w="1275" w:type="dxa"/>
          </w:tcPr>
          <w:p w:rsidR="007C5447" w:rsidRDefault="00F6308C">
            <w:pPr>
              <w:pStyle w:val="TableParagraph"/>
              <w:spacing w:before="65"/>
              <w:ind w:right="97"/>
              <w:rPr>
                <w:sz w:val="20"/>
              </w:rPr>
            </w:pPr>
            <w:r>
              <w:rPr>
                <w:sz w:val="20"/>
              </w:rPr>
              <w:t>46.76%</w:t>
            </w:r>
          </w:p>
        </w:tc>
        <w:tc>
          <w:tcPr>
            <w:tcW w:w="1275" w:type="dxa"/>
          </w:tcPr>
          <w:p w:rsidR="007C5447" w:rsidRDefault="00F6308C">
            <w:pPr>
              <w:pStyle w:val="TableParagraph"/>
              <w:spacing w:before="65"/>
              <w:ind w:right="94"/>
              <w:rPr>
                <w:sz w:val="20"/>
              </w:rPr>
            </w:pPr>
            <w:r>
              <w:rPr>
                <w:sz w:val="20"/>
              </w:rPr>
              <w:t>6.31%</w:t>
            </w:r>
          </w:p>
        </w:tc>
        <w:tc>
          <w:tcPr>
            <w:tcW w:w="1277" w:type="dxa"/>
          </w:tcPr>
          <w:p w:rsidR="007C5447" w:rsidRDefault="00F6308C">
            <w:pPr>
              <w:pStyle w:val="TableParagraph"/>
              <w:spacing w:before="65"/>
              <w:ind w:right="96"/>
              <w:rPr>
                <w:sz w:val="20"/>
              </w:rPr>
            </w:pPr>
            <w:r>
              <w:rPr>
                <w:sz w:val="20"/>
              </w:rPr>
              <w:t>72.49%</w:t>
            </w:r>
          </w:p>
        </w:tc>
        <w:tc>
          <w:tcPr>
            <w:tcW w:w="1278" w:type="dxa"/>
          </w:tcPr>
          <w:p w:rsidR="007C5447" w:rsidRDefault="00F6308C">
            <w:pPr>
              <w:pStyle w:val="TableParagraph"/>
              <w:spacing w:before="65"/>
              <w:ind w:right="97"/>
              <w:rPr>
                <w:sz w:val="20"/>
              </w:rPr>
            </w:pPr>
            <w:r>
              <w:rPr>
                <w:sz w:val="20"/>
              </w:rPr>
              <w:t>56.74%</w:t>
            </w:r>
          </w:p>
        </w:tc>
        <w:tc>
          <w:tcPr>
            <w:tcW w:w="1275" w:type="dxa"/>
          </w:tcPr>
          <w:p w:rsidR="007C5447" w:rsidRDefault="00F6308C">
            <w:pPr>
              <w:pStyle w:val="TableParagraph"/>
              <w:spacing w:before="65"/>
              <w:ind w:right="97"/>
              <w:rPr>
                <w:sz w:val="20"/>
              </w:rPr>
            </w:pPr>
            <w:r>
              <w:rPr>
                <w:sz w:val="20"/>
              </w:rPr>
              <w:t>64.35%</w:t>
            </w:r>
          </w:p>
        </w:tc>
      </w:tr>
      <w:tr w:rsidR="007C5447">
        <w:trPr>
          <w:trHeight w:val="360"/>
        </w:trPr>
        <w:tc>
          <w:tcPr>
            <w:tcW w:w="562" w:type="dxa"/>
          </w:tcPr>
          <w:p w:rsidR="007C5447" w:rsidRDefault="00F6308C">
            <w:pPr>
              <w:pStyle w:val="TableParagraph"/>
              <w:spacing w:before="116" w:line="224" w:lineRule="exact"/>
              <w:ind w:right="220"/>
              <w:rPr>
                <w:sz w:val="20"/>
              </w:rPr>
            </w:pPr>
            <w:r>
              <w:rPr>
                <w:w w:val="99"/>
                <w:sz w:val="20"/>
              </w:rPr>
              <w:t>3</w:t>
            </w:r>
          </w:p>
        </w:tc>
        <w:tc>
          <w:tcPr>
            <w:tcW w:w="2130" w:type="dxa"/>
          </w:tcPr>
          <w:p w:rsidR="007C5447" w:rsidRDefault="00F6308C">
            <w:pPr>
              <w:pStyle w:val="TableParagraph"/>
              <w:spacing w:before="116" w:line="224" w:lineRule="exact"/>
              <w:ind w:left="107"/>
              <w:jc w:val="left"/>
              <w:rPr>
                <w:sz w:val="20"/>
              </w:rPr>
            </w:pPr>
            <w:r>
              <w:rPr>
                <w:sz w:val="20"/>
              </w:rPr>
              <w:t>Basin Bridge GTPS</w:t>
            </w:r>
          </w:p>
        </w:tc>
        <w:tc>
          <w:tcPr>
            <w:tcW w:w="1275" w:type="dxa"/>
          </w:tcPr>
          <w:p w:rsidR="007C5447" w:rsidRDefault="00F6308C">
            <w:pPr>
              <w:pStyle w:val="TableParagraph"/>
              <w:spacing w:before="65"/>
              <w:ind w:right="98"/>
              <w:rPr>
                <w:sz w:val="20"/>
              </w:rPr>
            </w:pPr>
            <w:r>
              <w:rPr>
                <w:sz w:val="20"/>
              </w:rPr>
              <w:t>2.81%</w:t>
            </w:r>
          </w:p>
        </w:tc>
        <w:tc>
          <w:tcPr>
            <w:tcW w:w="1275" w:type="dxa"/>
          </w:tcPr>
          <w:p w:rsidR="007C5447" w:rsidRDefault="00F6308C">
            <w:pPr>
              <w:pStyle w:val="TableParagraph"/>
              <w:spacing w:before="65"/>
              <w:ind w:right="94"/>
              <w:rPr>
                <w:sz w:val="20"/>
              </w:rPr>
            </w:pPr>
            <w:r>
              <w:rPr>
                <w:sz w:val="20"/>
              </w:rPr>
              <w:t>0.04%</w:t>
            </w:r>
          </w:p>
        </w:tc>
        <w:tc>
          <w:tcPr>
            <w:tcW w:w="1277" w:type="dxa"/>
          </w:tcPr>
          <w:p w:rsidR="007C5447" w:rsidRDefault="00F6308C">
            <w:pPr>
              <w:pStyle w:val="TableParagraph"/>
              <w:spacing w:before="65"/>
              <w:ind w:right="96"/>
              <w:rPr>
                <w:sz w:val="20"/>
              </w:rPr>
            </w:pPr>
            <w:r>
              <w:rPr>
                <w:sz w:val="20"/>
              </w:rPr>
              <w:t>0.08%</w:t>
            </w:r>
          </w:p>
        </w:tc>
        <w:tc>
          <w:tcPr>
            <w:tcW w:w="1278" w:type="dxa"/>
          </w:tcPr>
          <w:p w:rsidR="007C5447" w:rsidRDefault="00F6308C">
            <w:pPr>
              <w:pStyle w:val="TableParagraph"/>
              <w:spacing w:before="65"/>
              <w:ind w:right="96"/>
              <w:rPr>
                <w:sz w:val="20"/>
              </w:rPr>
            </w:pPr>
            <w:r>
              <w:rPr>
                <w:sz w:val="20"/>
              </w:rPr>
              <w:t>5.71%</w:t>
            </w:r>
          </w:p>
        </w:tc>
        <w:tc>
          <w:tcPr>
            <w:tcW w:w="1275" w:type="dxa"/>
          </w:tcPr>
          <w:p w:rsidR="007C5447" w:rsidRDefault="00F6308C">
            <w:pPr>
              <w:pStyle w:val="TableParagraph"/>
              <w:spacing w:before="65"/>
              <w:ind w:right="96"/>
              <w:rPr>
                <w:sz w:val="20"/>
              </w:rPr>
            </w:pPr>
            <w:r>
              <w:rPr>
                <w:sz w:val="20"/>
              </w:rPr>
              <w:t>5.69%</w:t>
            </w:r>
          </w:p>
        </w:tc>
      </w:tr>
      <w:tr w:rsidR="007C5447">
        <w:trPr>
          <w:trHeight w:val="489"/>
        </w:trPr>
        <w:tc>
          <w:tcPr>
            <w:tcW w:w="562" w:type="dxa"/>
          </w:tcPr>
          <w:p w:rsidR="007C5447" w:rsidRDefault="007C5447">
            <w:pPr>
              <w:pStyle w:val="TableParagraph"/>
              <w:spacing w:before="3"/>
              <w:jc w:val="left"/>
              <w:rPr>
                <w:b/>
                <w:sz w:val="21"/>
              </w:rPr>
            </w:pPr>
          </w:p>
          <w:p w:rsidR="007C5447" w:rsidRDefault="00F6308C">
            <w:pPr>
              <w:pStyle w:val="TableParagraph"/>
              <w:spacing w:line="224" w:lineRule="exact"/>
              <w:ind w:right="220"/>
              <w:rPr>
                <w:sz w:val="20"/>
              </w:rPr>
            </w:pPr>
            <w:r>
              <w:rPr>
                <w:w w:val="99"/>
                <w:sz w:val="20"/>
              </w:rPr>
              <w:t>4</w:t>
            </w:r>
          </w:p>
        </w:tc>
        <w:tc>
          <w:tcPr>
            <w:tcW w:w="2130" w:type="dxa"/>
          </w:tcPr>
          <w:p w:rsidR="007C5447" w:rsidRDefault="00F6308C">
            <w:pPr>
              <w:pStyle w:val="TableParagraph"/>
              <w:spacing w:before="14" w:line="230" w:lineRule="atLeast"/>
              <w:ind w:left="107" w:right="282"/>
              <w:jc w:val="left"/>
              <w:rPr>
                <w:sz w:val="20"/>
              </w:rPr>
            </w:pPr>
            <w:r>
              <w:rPr>
                <w:sz w:val="20"/>
              </w:rPr>
              <w:t>Valathur GTPS (Unit 1)</w:t>
            </w:r>
          </w:p>
        </w:tc>
        <w:tc>
          <w:tcPr>
            <w:tcW w:w="1275" w:type="dxa"/>
          </w:tcPr>
          <w:p w:rsidR="007C5447" w:rsidRDefault="00F6308C">
            <w:pPr>
              <w:pStyle w:val="TableParagraph"/>
              <w:spacing w:before="130"/>
              <w:ind w:right="98"/>
              <w:rPr>
                <w:sz w:val="20"/>
              </w:rPr>
            </w:pPr>
            <w:r>
              <w:rPr>
                <w:sz w:val="20"/>
              </w:rPr>
              <w:t>79.15%</w:t>
            </w:r>
          </w:p>
        </w:tc>
        <w:tc>
          <w:tcPr>
            <w:tcW w:w="1275" w:type="dxa"/>
          </w:tcPr>
          <w:p w:rsidR="007C5447" w:rsidRDefault="00F6308C">
            <w:pPr>
              <w:pStyle w:val="TableParagraph"/>
              <w:spacing w:before="130"/>
              <w:ind w:right="94"/>
              <w:rPr>
                <w:sz w:val="20"/>
              </w:rPr>
            </w:pPr>
            <w:r>
              <w:rPr>
                <w:sz w:val="20"/>
              </w:rPr>
              <w:t>54.00%</w:t>
            </w:r>
          </w:p>
        </w:tc>
        <w:tc>
          <w:tcPr>
            <w:tcW w:w="1277" w:type="dxa"/>
          </w:tcPr>
          <w:p w:rsidR="007C5447" w:rsidRDefault="00F6308C">
            <w:pPr>
              <w:pStyle w:val="TableParagraph"/>
              <w:spacing w:before="130"/>
              <w:ind w:right="96"/>
              <w:rPr>
                <w:sz w:val="20"/>
              </w:rPr>
            </w:pPr>
            <w:r>
              <w:rPr>
                <w:sz w:val="20"/>
              </w:rPr>
              <w:t>87.64%</w:t>
            </w:r>
          </w:p>
        </w:tc>
        <w:tc>
          <w:tcPr>
            <w:tcW w:w="1278" w:type="dxa"/>
          </w:tcPr>
          <w:p w:rsidR="007C5447" w:rsidRDefault="00F6308C">
            <w:pPr>
              <w:pStyle w:val="TableParagraph"/>
              <w:spacing w:before="130"/>
              <w:ind w:right="97"/>
              <w:rPr>
                <w:sz w:val="20"/>
              </w:rPr>
            </w:pPr>
            <w:r>
              <w:rPr>
                <w:sz w:val="20"/>
              </w:rPr>
              <w:t>64.95%</w:t>
            </w:r>
          </w:p>
        </w:tc>
        <w:tc>
          <w:tcPr>
            <w:tcW w:w="1275" w:type="dxa"/>
          </w:tcPr>
          <w:p w:rsidR="007C5447" w:rsidRDefault="00F6308C">
            <w:pPr>
              <w:pStyle w:val="TableParagraph"/>
              <w:spacing w:before="130"/>
              <w:ind w:right="97"/>
              <w:rPr>
                <w:sz w:val="20"/>
              </w:rPr>
            </w:pPr>
            <w:r>
              <w:rPr>
                <w:sz w:val="20"/>
              </w:rPr>
              <w:t>86.63%</w:t>
            </w:r>
          </w:p>
        </w:tc>
      </w:tr>
      <w:tr w:rsidR="007C5447">
        <w:trPr>
          <w:trHeight w:val="491"/>
        </w:trPr>
        <w:tc>
          <w:tcPr>
            <w:tcW w:w="562" w:type="dxa"/>
          </w:tcPr>
          <w:p w:rsidR="007C5447" w:rsidRDefault="007C5447">
            <w:pPr>
              <w:pStyle w:val="TableParagraph"/>
              <w:spacing w:before="3"/>
              <w:jc w:val="left"/>
              <w:rPr>
                <w:b/>
                <w:sz w:val="21"/>
              </w:rPr>
            </w:pPr>
          </w:p>
          <w:p w:rsidR="007C5447" w:rsidRDefault="00F6308C">
            <w:pPr>
              <w:pStyle w:val="TableParagraph"/>
              <w:spacing w:line="227" w:lineRule="exact"/>
              <w:ind w:right="220"/>
              <w:rPr>
                <w:sz w:val="20"/>
              </w:rPr>
            </w:pPr>
            <w:r>
              <w:rPr>
                <w:w w:val="99"/>
                <w:sz w:val="20"/>
              </w:rPr>
              <w:t>5</w:t>
            </w:r>
          </w:p>
        </w:tc>
        <w:tc>
          <w:tcPr>
            <w:tcW w:w="2130" w:type="dxa"/>
          </w:tcPr>
          <w:p w:rsidR="007C5447" w:rsidRDefault="00F6308C">
            <w:pPr>
              <w:pStyle w:val="TableParagraph"/>
              <w:spacing w:before="21" w:line="228" w:lineRule="exact"/>
              <w:ind w:left="107" w:right="282"/>
              <w:jc w:val="left"/>
              <w:rPr>
                <w:sz w:val="20"/>
              </w:rPr>
            </w:pPr>
            <w:r>
              <w:rPr>
                <w:sz w:val="20"/>
              </w:rPr>
              <w:t>Valathur GTPS (Unit 2)</w:t>
            </w:r>
          </w:p>
        </w:tc>
        <w:tc>
          <w:tcPr>
            <w:tcW w:w="1275" w:type="dxa"/>
          </w:tcPr>
          <w:p w:rsidR="007C5447" w:rsidRDefault="00F6308C">
            <w:pPr>
              <w:pStyle w:val="TableParagraph"/>
              <w:spacing w:before="132"/>
              <w:ind w:right="98"/>
              <w:rPr>
                <w:sz w:val="20"/>
              </w:rPr>
            </w:pPr>
            <w:r>
              <w:rPr>
                <w:sz w:val="20"/>
              </w:rPr>
              <w:t>56.21%</w:t>
            </w:r>
          </w:p>
        </w:tc>
        <w:tc>
          <w:tcPr>
            <w:tcW w:w="1275" w:type="dxa"/>
          </w:tcPr>
          <w:p w:rsidR="007C5447" w:rsidRDefault="00F6308C">
            <w:pPr>
              <w:pStyle w:val="TableParagraph"/>
              <w:spacing w:before="132"/>
              <w:ind w:right="94"/>
              <w:rPr>
                <w:sz w:val="20"/>
              </w:rPr>
            </w:pPr>
            <w:r>
              <w:rPr>
                <w:sz w:val="20"/>
              </w:rPr>
              <w:t>60.42%</w:t>
            </w:r>
          </w:p>
        </w:tc>
        <w:tc>
          <w:tcPr>
            <w:tcW w:w="1277" w:type="dxa"/>
          </w:tcPr>
          <w:p w:rsidR="007C5447" w:rsidRDefault="00F6308C">
            <w:pPr>
              <w:pStyle w:val="TableParagraph"/>
              <w:spacing w:before="132"/>
              <w:ind w:right="96"/>
              <w:rPr>
                <w:sz w:val="20"/>
              </w:rPr>
            </w:pPr>
            <w:r>
              <w:rPr>
                <w:sz w:val="20"/>
              </w:rPr>
              <w:t>65.17%</w:t>
            </w:r>
          </w:p>
        </w:tc>
        <w:tc>
          <w:tcPr>
            <w:tcW w:w="1278" w:type="dxa"/>
          </w:tcPr>
          <w:p w:rsidR="007C5447" w:rsidRDefault="00F6308C">
            <w:pPr>
              <w:pStyle w:val="TableParagraph"/>
              <w:spacing w:before="132"/>
              <w:ind w:right="97"/>
              <w:rPr>
                <w:sz w:val="20"/>
              </w:rPr>
            </w:pPr>
            <w:r>
              <w:rPr>
                <w:sz w:val="20"/>
              </w:rPr>
              <w:t>0.00%</w:t>
            </w:r>
          </w:p>
        </w:tc>
        <w:tc>
          <w:tcPr>
            <w:tcW w:w="1275" w:type="dxa"/>
          </w:tcPr>
          <w:p w:rsidR="007C5447" w:rsidRDefault="00F6308C">
            <w:pPr>
              <w:pStyle w:val="TableParagraph"/>
              <w:spacing w:before="132"/>
              <w:ind w:right="97"/>
              <w:rPr>
                <w:sz w:val="20"/>
              </w:rPr>
            </w:pPr>
            <w:r>
              <w:rPr>
                <w:sz w:val="20"/>
              </w:rPr>
              <w:t>0.00%</w:t>
            </w:r>
          </w:p>
        </w:tc>
      </w:tr>
      <w:tr w:rsidR="007C5447">
        <w:trPr>
          <w:trHeight w:val="359"/>
        </w:trPr>
        <w:tc>
          <w:tcPr>
            <w:tcW w:w="562" w:type="dxa"/>
            <w:shd w:val="clear" w:color="auto" w:fill="D9D9D9"/>
          </w:tcPr>
          <w:p w:rsidR="007C5447" w:rsidRDefault="00F6308C">
            <w:pPr>
              <w:pStyle w:val="TableParagraph"/>
              <w:spacing w:before="115" w:line="224" w:lineRule="exact"/>
              <w:ind w:left="107"/>
              <w:jc w:val="left"/>
              <w:rPr>
                <w:b/>
                <w:sz w:val="20"/>
              </w:rPr>
            </w:pPr>
            <w:r>
              <w:rPr>
                <w:b/>
                <w:w w:val="99"/>
                <w:sz w:val="20"/>
              </w:rPr>
              <w:t>C</w:t>
            </w:r>
          </w:p>
        </w:tc>
        <w:tc>
          <w:tcPr>
            <w:tcW w:w="2130" w:type="dxa"/>
            <w:shd w:val="clear" w:color="auto" w:fill="D9D9D9"/>
          </w:tcPr>
          <w:p w:rsidR="007C5447" w:rsidRDefault="00F6308C">
            <w:pPr>
              <w:pStyle w:val="TableParagraph"/>
              <w:spacing w:before="115" w:line="224" w:lineRule="exact"/>
              <w:ind w:left="107"/>
              <w:jc w:val="left"/>
              <w:rPr>
                <w:b/>
                <w:sz w:val="20"/>
              </w:rPr>
            </w:pPr>
            <w:r>
              <w:rPr>
                <w:b/>
                <w:sz w:val="20"/>
              </w:rPr>
              <w:t>Hydro</w:t>
            </w:r>
          </w:p>
        </w:tc>
        <w:tc>
          <w:tcPr>
            <w:tcW w:w="1275" w:type="dxa"/>
            <w:shd w:val="clear" w:color="auto" w:fill="D9D9D9"/>
          </w:tcPr>
          <w:p w:rsidR="007C5447" w:rsidRDefault="007C5447">
            <w:pPr>
              <w:pStyle w:val="TableParagraph"/>
              <w:jc w:val="left"/>
              <w:rPr>
                <w:sz w:val="20"/>
              </w:rPr>
            </w:pPr>
          </w:p>
        </w:tc>
        <w:tc>
          <w:tcPr>
            <w:tcW w:w="1275" w:type="dxa"/>
            <w:shd w:val="clear" w:color="auto" w:fill="D9D9D9"/>
          </w:tcPr>
          <w:p w:rsidR="007C5447" w:rsidRDefault="007C5447">
            <w:pPr>
              <w:pStyle w:val="TableParagraph"/>
              <w:jc w:val="left"/>
              <w:rPr>
                <w:sz w:val="20"/>
              </w:rPr>
            </w:pPr>
          </w:p>
        </w:tc>
        <w:tc>
          <w:tcPr>
            <w:tcW w:w="1277" w:type="dxa"/>
            <w:shd w:val="clear" w:color="auto" w:fill="D9D9D9"/>
          </w:tcPr>
          <w:p w:rsidR="007C5447" w:rsidRDefault="007C5447">
            <w:pPr>
              <w:pStyle w:val="TableParagraph"/>
              <w:jc w:val="left"/>
              <w:rPr>
                <w:sz w:val="20"/>
              </w:rPr>
            </w:pPr>
          </w:p>
        </w:tc>
        <w:tc>
          <w:tcPr>
            <w:tcW w:w="1278" w:type="dxa"/>
            <w:shd w:val="clear" w:color="auto" w:fill="D9D9D9"/>
          </w:tcPr>
          <w:p w:rsidR="007C5447" w:rsidRDefault="007C5447">
            <w:pPr>
              <w:pStyle w:val="TableParagraph"/>
              <w:jc w:val="left"/>
              <w:rPr>
                <w:sz w:val="20"/>
              </w:rPr>
            </w:pPr>
          </w:p>
        </w:tc>
        <w:tc>
          <w:tcPr>
            <w:tcW w:w="1275" w:type="dxa"/>
            <w:shd w:val="clear" w:color="auto" w:fill="D9D9D9"/>
          </w:tcPr>
          <w:p w:rsidR="007C5447" w:rsidRDefault="007C5447">
            <w:pPr>
              <w:pStyle w:val="TableParagraph"/>
              <w:jc w:val="left"/>
              <w:rPr>
                <w:sz w:val="20"/>
              </w:rPr>
            </w:pPr>
          </w:p>
        </w:tc>
      </w:tr>
      <w:tr w:rsidR="007C5447">
        <w:trPr>
          <w:trHeight w:val="489"/>
        </w:trPr>
        <w:tc>
          <w:tcPr>
            <w:tcW w:w="562" w:type="dxa"/>
          </w:tcPr>
          <w:p w:rsidR="007C5447" w:rsidRDefault="007C5447">
            <w:pPr>
              <w:pStyle w:val="TableParagraph"/>
              <w:spacing w:before="3"/>
              <w:jc w:val="left"/>
              <w:rPr>
                <w:b/>
                <w:sz w:val="21"/>
              </w:rPr>
            </w:pPr>
          </w:p>
          <w:p w:rsidR="007C5447" w:rsidRDefault="00F6308C">
            <w:pPr>
              <w:pStyle w:val="TableParagraph"/>
              <w:spacing w:line="224" w:lineRule="exact"/>
              <w:ind w:right="220"/>
              <w:rPr>
                <w:sz w:val="20"/>
              </w:rPr>
            </w:pPr>
            <w:r>
              <w:rPr>
                <w:w w:val="99"/>
                <w:sz w:val="20"/>
              </w:rPr>
              <w:t>1</w:t>
            </w:r>
          </w:p>
        </w:tc>
        <w:tc>
          <w:tcPr>
            <w:tcW w:w="2130" w:type="dxa"/>
          </w:tcPr>
          <w:p w:rsidR="007C5447" w:rsidRDefault="00F6308C">
            <w:pPr>
              <w:pStyle w:val="TableParagraph"/>
              <w:spacing w:before="14" w:line="230" w:lineRule="atLeast"/>
              <w:ind w:left="107" w:right="421"/>
              <w:jc w:val="left"/>
              <w:rPr>
                <w:sz w:val="20"/>
              </w:rPr>
            </w:pPr>
            <w:r>
              <w:rPr>
                <w:sz w:val="20"/>
              </w:rPr>
              <w:t>Kundah Generation Circle</w:t>
            </w:r>
          </w:p>
        </w:tc>
        <w:tc>
          <w:tcPr>
            <w:tcW w:w="1275" w:type="dxa"/>
          </w:tcPr>
          <w:p w:rsidR="007C5447" w:rsidRDefault="00F6308C">
            <w:pPr>
              <w:pStyle w:val="TableParagraph"/>
              <w:spacing w:before="130"/>
              <w:ind w:right="98"/>
              <w:rPr>
                <w:sz w:val="20"/>
              </w:rPr>
            </w:pPr>
            <w:r>
              <w:rPr>
                <w:sz w:val="20"/>
              </w:rPr>
              <w:t>32.41%</w:t>
            </w:r>
          </w:p>
        </w:tc>
        <w:tc>
          <w:tcPr>
            <w:tcW w:w="1275" w:type="dxa"/>
          </w:tcPr>
          <w:p w:rsidR="007C5447" w:rsidRDefault="00F6308C">
            <w:pPr>
              <w:pStyle w:val="TableParagraph"/>
              <w:spacing w:before="130"/>
              <w:ind w:right="94"/>
              <w:rPr>
                <w:sz w:val="20"/>
              </w:rPr>
            </w:pPr>
            <w:r>
              <w:rPr>
                <w:sz w:val="20"/>
              </w:rPr>
              <w:t>11.68%</w:t>
            </w:r>
          </w:p>
        </w:tc>
        <w:tc>
          <w:tcPr>
            <w:tcW w:w="1277" w:type="dxa"/>
          </w:tcPr>
          <w:p w:rsidR="007C5447" w:rsidRDefault="00F6308C">
            <w:pPr>
              <w:pStyle w:val="TableParagraph"/>
              <w:spacing w:before="130"/>
              <w:ind w:right="96"/>
              <w:rPr>
                <w:sz w:val="20"/>
              </w:rPr>
            </w:pPr>
            <w:r>
              <w:rPr>
                <w:sz w:val="20"/>
              </w:rPr>
              <w:t>21.42%</w:t>
            </w:r>
          </w:p>
        </w:tc>
        <w:tc>
          <w:tcPr>
            <w:tcW w:w="1278" w:type="dxa"/>
          </w:tcPr>
          <w:p w:rsidR="007C5447" w:rsidRDefault="00F6308C">
            <w:pPr>
              <w:pStyle w:val="TableParagraph"/>
              <w:spacing w:before="130"/>
              <w:ind w:right="97"/>
              <w:rPr>
                <w:sz w:val="20"/>
              </w:rPr>
            </w:pPr>
            <w:r>
              <w:rPr>
                <w:sz w:val="20"/>
              </w:rPr>
              <w:t>23.90%</w:t>
            </w:r>
          </w:p>
        </w:tc>
        <w:tc>
          <w:tcPr>
            <w:tcW w:w="1275" w:type="dxa"/>
          </w:tcPr>
          <w:p w:rsidR="007C5447" w:rsidRDefault="00F6308C">
            <w:pPr>
              <w:pStyle w:val="TableParagraph"/>
              <w:spacing w:before="130"/>
              <w:ind w:right="97"/>
              <w:rPr>
                <w:sz w:val="20"/>
              </w:rPr>
            </w:pPr>
            <w:r>
              <w:rPr>
                <w:sz w:val="20"/>
              </w:rPr>
              <w:t>19.13%</w:t>
            </w:r>
          </w:p>
        </w:tc>
      </w:tr>
      <w:tr w:rsidR="007C5447">
        <w:trPr>
          <w:trHeight w:val="491"/>
        </w:trPr>
        <w:tc>
          <w:tcPr>
            <w:tcW w:w="562" w:type="dxa"/>
          </w:tcPr>
          <w:p w:rsidR="007C5447" w:rsidRDefault="007C5447">
            <w:pPr>
              <w:pStyle w:val="TableParagraph"/>
              <w:spacing w:before="3"/>
              <w:jc w:val="left"/>
              <w:rPr>
                <w:b/>
                <w:sz w:val="21"/>
              </w:rPr>
            </w:pPr>
          </w:p>
          <w:p w:rsidR="007C5447" w:rsidRDefault="00F6308C">
            <w:pPr>
              <w:pStyle w:val="TableParagraph"/>
              <w:spacing w:line="227" w:lineRule="exact"/>
              <w:ind w:right="220"/>
              <w:rPr>
                <w:sz w:val="20"/>
              </w:rPr>
            </w:pPr>
            <w:r>
              <w:rPr>
                <w:w w:val="99"/>
                <w:sz w:val="20"/>
              </w:rPr>
              <w:t>2</w:t>
            </w:r>
          </w:p>
        </w:tc>
        <w:tc>
          <w:tcPr>
            <w:tcW w:w="2130" w:type="dxa"/>
          </w:tcPr>
          <w:p w:rsidR="007C5447" w:rsidRDefault="00F6308C">
            <w:pPr>
              <w:pStyle w:val="TableParagraph"/>
              <w:spacing w:before="14" w:line="230" w:lineRule="atLeast"/>
              <w:ind w:left="107" w:right="282"/>
              <w:jc w:val="left"/>
              <w:rPr>
                <w:sz w:val="20"/>
              </w:rPr>
            </w:pPr>
            <w:r>
              <w:rPr>
                <w:sz w:val="20"/>
              </w:rPr>
              <w:t>Kadamparai Generation Circle</w:t>
            </w:r>
          </w:p>
        </w:tc>
        <w:tc>
          <w:tcPr>
            <w:tcW w:w="1275" w:type="dxa"/>
          </w:tcPr>
          <w:p w:rsidR="007C5447" w:rsidRDefault="00F6308C">
            <w:pPr>
              <w:pStyle w:val="TableParagraph"/>
              <w:spacing w:before="130"/>
              <w:ind w:right="98"/>
              <w:rPr>
                <w:sz w:val="20"/>
              </w:rPr>
            </w:pPr>
            <w:r>
              <w:rPr>
                <w:sz w:val="20"/>
              </w:rPr>
              <w:t>4.99%</w:t>
            </w:r>
          </w:p>
        </w:tc>
        <w:tc>
          <w:tcPr>
            <w:tcW w:w="1275" w:type="dxa"/>
          </w:tcPr>
          <w:p w:rsidR="007C5447" w:rsidRDefault="00F6308C">
            <w:pPr>
              <w:pStyle w:val="TableParagraph"/>
              <w:spacing w:before="130"/>
              <w:ind w:right="94"/>
              <w:rPr>
                <w:sz w:val="20"/>
              </w:rPr>
            </w:pPr>
            <w:r>
              <w:rPr>
                <w:sz w:val="20"/>
              </w:rPr>
              <w:t>3.08%</w:t>
            </w:r>
          </w:p>
        </w:tc>
        <w:tc>
          <w:tcPr>
            <w:tcW w:w="1277" w:type="dxa"/>
          </w:tcPr>
          <w:p w:rsidR="007C5447" w:rsidRDefault="00F6308C">
            <w:pPr>
              <w:pStyle w:val="TableParagraph"/>
              <w:spacing w:before="130"/>
              <w:ind w:right="96"/>
              <w:rPr>
                <w:sz w:val="20"/>
              </w:rPr>
            </w:pPr>
            <w:r>
              <w:rPr>
                <w:sz w:val="20"/>
              </w:rPr>
              <w:t>4.89%</w:t>
            </w:r>
          </w:p>
        </w:tc>
        <w:tc>
          <w:tcPr>
            <w:tcW w:w="1278" w:type="dxa"/>
          </w:tcPr>
          <w:p w:rsidR="007C5447" w:rsidRDefault="00F6308C">
            <w:pPr>
              <w:pStyle w:val="TableParagraph"/>
              <w:spacing w:before="130"/>
              <w:ind w:right="97"/>
              <w:rPr>
                <w:sz w:val="20"/>
              </w:rPr>
            </w:pPr>
            <w:r>
              <w:rPr>
                <w:sz w:val="20"/>
              </w:rPr>
              <w:t>19.90%</w:t>
            </w:r>
          </w:p>
        </w:tc>
        <w:tc>
          <w:tcPr>
            <w:tcW w:w="1275" w:type="dxa"/>
          </w:tcPr>
          <w:p w:rsidR="007C5447" w:rsidRDefault="00F6308C">
            <w:pPr>
              <w:pStyle w:val="TableParagraph"/>
              <w:spacing w:before="130"/>
              <w:ind w:right="97"/>
              <w:rPr>
                <w:sz w:val="20"/>
              </w:rPr>
            </w:pPr>
            <w:r>
              <w:rPr>
                <w:sz w:val="20"/>
              </w:rPr>
              <w:t>21.12%</w:t>
            </w:r>
          </w:p>
        </w:tc>
      </w:tr>
    </w:tbl>
    <w:p w:rsidR="007C5447" w:rsidRDefault="007C5447">
      <w:pPr>
        <w:rPr>
          <w:sz w:val="20"/>
        </w:rPr>
        <w:sectPr w:rsidR="007C5447">
          <w:pgSz w:w="11910" w:h="16840"/>
          <w:pgMar w:top="1420" w:right="840" w:bottom="540" w:left="1180" w:header="0" w:footer="349" w:gutter="0"/>
          <w:cols w:space="720"/>
        </w:sect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2130"/>
        <w:gridCol w:w="1275"/>
        <w:gridCol w:w="1275"/>
        <w:gridCol w:w="1277"/>
        <w:gridCol w:w="1278"/>
        <w:gridCol w:w="1275"/>
      </w:tblGrid>
      <w:tr w:rsidR="007C5447">
        <w:trPr>
          <w:trHeight w:val="360"/>
        </w:trPr>
        <w:tc>
          <w:tcPr>
            <w:tcW w:w="562" w:type="dxa"/>
            <w:shd w:val="clear" w:color="auto" w:fill="F7C9AC"/>
          </w:tcPr>
          <w:p w:rsidR="007C5447" w:rsidRDefault="00F6308C">
            <w:pPr>
              <w:pStyle w:val="TableParagraph"/>
              <w:spacing w:before="115" w:line="225" w:lineRule="exact"/>
              <w:ind w:right="227"/>
              <w:rPr>
                <w:b/>
                <w:sz w:val="20"/>
              </w:rPr>
            </w:pPr>
            <w:r>
              <w:rPr>
                <w:b/>
                <w:w w:val="95"/>
                <w:sz w:val="20"/>
              </w:rPr>
              <w:lastRenderedPageBreak/>
              <w:t>Sl.</w:t>
            </w:r>
          </w:p>
        </w:tc>
        <w:tc>
          <w:tcPr>
            <w:tcW w:w="2130" w:type="dxa"/>
            <w:shd w:val="clear" w:color="auto" w:fill="F7C9AC"/>
          </w:tcPr>
          <w:p w:rsidR="007C5447" w:rsidRDefault="00F6308C">
            <w:pPr>
              <w:pStyle w:val="TableParagraph"/>
              <w:spacing w:before="115" w:line="225" w:lineRule="exact"/>
              <w:ind w:left="107"/>
              <w:jc w:val="left"/>
              <w:rPr>
                <w:b/>
                <w:sz w:val="20"/>
              </w:rPr>
            </w:pPr>
            <w:r>
              <w:rPr>
                <w:b/>
                <w:sz w:val="20"/>
              </w:rPr>
              <w:t>Station</w:t>
            </w:r>
          </w:p>
        </w:tc>
        <w:tc>
          <w:tcPr>
            <w:tcW w:w="1275" w:type="dxa"/>
            <w:shd w:val="clear" w:color="auto" w:fill="F7C9AC"/>
          </w:tcPr>
          <w:p w:rsidR="007C5447" w:rsidRDefault="00F6308C">
            <w:pPr>
              <w:pStyle w:val="TableParagraph"/>
              <w:spacing w:before="115" w:line="225" w:lineRule="exact"/>
              <w:ind w:left="104"/>
              <w:jc w:val="left"/>
              <w:rPr>
                <w:b/>
                <w:sz w:val="20"/>
              </w:rPr>
            </w:pPr>
            <w:r>
              <w:rPr>
                <w:b/>
                <w:sz w:val="20"/>
              </w:rPr>
              <w:t>FY 2011-12</w:t>
            </w:r>
          </w:p>
        </w:tc>
        <w:tc>
          <w:tcPr>
            <w:tcW w:w="1275" w:type="dxa"/>
            <w:shd w:val="clear" w:color="auto" w:fill="F7C9AC"/>
          </w:tcPr>
          <w:p w:rsidR="007C5447" w:rsidRDefault="00F6308C">
            <w:pPr>
              <w:pStyle w:val="TableParagraph"/>
              <w:spacing w:before="115" w:line="225" w:lineRule="exact"/>
              <w:ind w:left="106"/>
              <w:jc w:val="left"/>
              <w:rPr>
                <w:b/>
                <w:sz w:val="20"/>
              </w:rPr>
            </w:pPr>
            <w:r>
              <w:rPr>
                <w:b/>
                <w:sz w:val="20"/>
              </w:rPr>
              <w:t>FY 2012-13</w:t>
            </w:r>
          </w:p>
        </w:tc>
        <w:tc>
          <w:tcPr>
            <w:tcW w:w="1277" w:type="dxa"/>
            <w:shd w:val="clear" w:color="auto" w:fill="F7C9AC"/>
          </w:tcPr>
          <w:p w:rsidR="007C5447" w:rsidRDefault="00F6308C">
            <w:pPr>
              <w:pStyle w:val="TableParagraph"/>
              <w:spacing w:before="115" w:line="225" w:lineRule="exact"/>
              <w:ind w:left="105"/>
              <w:jc w:val="left"/>
              <w:rPr>
                <w:b/>
                <w:sz w:val="20"/>
              </w:rPr>
            </w:pPr>
            <w:r>
              <w:rPr>
                <w:b/>
                <w:sz w:val="20"/>
              </w:rPr>
              <w:t>FY 2013-14</w:t>
            </w:r>
          </w:p>
        </w:tc>
        <w:tc>
          <w:tcPr>
            <w:tcW w:w="1278" w:type="dxa"/>
            <w:shd w:val="clear" w:color="auto" w:fill="F7C9AC"/>
          </w:tcPr>
          <w:p w:rsidR="007C5447" w:rsidRDefault="00F6308C">
            <w:pPr>
              <w:pStyle w:val="TableParagraph"/>
              <w:spacing w:before="115" w:line="225" w:lineRule="exact"/>
              <w:ind w:left="105"/>
              <w:jc w:val="left"/>
              <w:rPr>
                <w:b/>
                <w:sz w:val="20"/>
              </w:rPr>
            </w:pPr>
            <w:r>
              <w:rPr>
                <w:b/>
                <w:sz w:val="20"/>
              </w:rPr>
              <w:t>FY 2014-15</w:t>
            </w:r>
          </w:p>
        </w:tc>
        <w:tc>
          <w:tcPr>
            <w:tcW w:w="1275" w:type="dxa"/>
            <w:shd w:val="clear" w:color="auto" w:fill="F7C9AC"/>
          </w:tcPr>
          <w:p w:rsidR="007C5447" w:rsidRDefault="00F6308C">
            <w:pPr>
              <w:pStyle w:val="TableParagraph"/>
              <w:spacing w:before="115" w:line="225" w:lineRule="exact"/>
              <w:ind w:left="105"/>
              <w:jc w:val="left"/>
              <w:rPr>
                <w:b/>
                <w:sz w:val="20"/>
              </w:rPr>
            </w:pPr>
            <w:r>
              <w:rPr>
                <w:b/>
                <w:sz w:val="20"/>
              </w:rPr>
              <w:t>FY 2015-16</w:t>
            </w:r>
          </w:p>
        </w:tc>
      </w:tr>
      <w:tr w:rsidR="007C5447">
        <w:trPr>
          <w:trHeight w:val="489"/>
        </w:trPr>
        <w:tc>
          <w:tcPr>
            <w:tcW w:w="562" w:type="dxa"/>
          </w:tcPr>
          <w:p w:rsidR="007C5447" w:rsidRDefault="007C5447">
            <w:pPr>
              <w:pStyle w:val="TableParagraph"/>
              <w:spacing w:before="3"/>
              <w:jc w:val="left"/>
              <w:rPr>
                <w:b/>
                <w:sz w:val="21"/>
              </w:rPr>
            </w:pPr>
          </w:p>
          <w:p w:rsidR="007C5447" w:rsidRDefault="00F6308C">
            <w:pPr>
              <w:pStyle w:val="TableParagraph"/>
              <w:spacing w:line="224" w:lineRule="exact"/>
              <w:ind w:right="220"/>
              <w:rPr>
                <w:sz w:val="20"/>
              </w:rPr>
            </w:pPr>
            <w:r>
              <w:rPr>
                <w:w w:val="99"/>
                <w:sz w:val="20"/>
              </w:rPr>
              <w:t>3</w:t>
            </w:r>
          </w:p>
        </w:tc>
        <w:tc>
          <w:tcPr>
            <w:tcW w:w="2130" w:type="dxa"/>
          </w:tcPr>
          <w:p w:rsidR="007C5447" w:rsidRDefault="00F6308C">
            <w:pPr>
              <w:pStyle w:val="TableParagraph"/>
              <w:spacing w:before="14" w:line="230" w:lineRule="atLeast"/>
              <w:ind w:left="107"/>
              <w:jc w:val="left"/>
              <w:rPr>
                <w:sz w:val="20"/>
              </w:rPr>
            </w:pPr>
            <w:r>
              <w:rPr>
                <w:sz w:val="20"/>
              </w:rPr>
              <w:t>Tirunelveli Generation Circle</w:t>
            </w:r>
          </w:p>
        </w:tc>
        <w:tc>
          <w:tcPr>
            <w:tcW w:w="1275" w:type="dxa"/>
          </w:tcPr>
          <w:p w:rsidR="007C5447" w:rsidRDefault="00F6308C">
            <w:pPr>
              <w:pStyle w:val="TableParagraph"/>
              <w:spacing w:before="130"/>
              <w:ind w:right="98"/>
              <w:rPr>
                <w:sz w:val="20"/>
              </w:rPr>
            </w:pPr>
            <w:r>
              <w:rPr>
                <w:sz w:val="20"/>
              </w:rPr>
              <w:t>0.00%</w:t>
            </w:r>
          </w:p>
        </w:tc>
        <w:tc>
          <w:tcPr>
            <w:tcW w:w="1275" w:type="dxa"/>
          </w:tcPr>
          <w:p w:rsidR="007C5447" w:rsidRDefault="00F6308C">
            <w:pPr>
              <w:pStyle w:val="TableParagraph"/>
              <w:spacing w:before="130"/>
              <w:ind w:right="94"/>
              <w:rPr>
                <w:sz w:val="20"/>
              </w:rPr>
            </w:pPr>
            <w:r>
              <w:rPr>
                <w:sz w:val="20"/>
              </w:rPr>
              <w:t>0.00%</w:t>
            </w:r>
          </w:p>
        </w:tc>
        <w:tc>
          <w:tcPr>
            <w:tcW w:w="1277" w:type="dxa"/>
          </w:tcPr>
          <w:p w:rsidR="007C5447" w:rsidRDefault="00F6308C">
            <w:pPr>
              <w:pStyle w:val="TableParagraph"/>
              <w:spacing w:before="130"/>
              <w:ind w:right="96"/>
              <w:rPr>
                <w:sz w:val="20"/>
              </w:rPr>
            </w:pPr>
            <w:r>
              <w:rPr>
                <w:sz w:val="20"/>
              </w:rPr>
              <w:t>0.00%</w:t>
            </w:r>
          </w:p>
        </w:tc>
        <w:tc>
          <w:tcPr>
            <w:tcW w:w="1278" w:type="dxa"/>
          </w:tcPr>
          <w:p w:rsidR="007C5447" w:rsidRDefault="00F6308C">
            <w:pPr>
              <w:pStyle w:val="TableParagraph"/>
              <w:spacing w:before="130"/>
              <w:ind w:right="97"/>
              <w:rPr>
                <w:sz w:val="20"/>
              </w:rPr>
            </w:pPr>
            <w:r>
              <w:rPr>
                <w:sz w:val="20"/>
              </w:rPr>
              <w:t>27.89%</w:t>
            </w:r>
          </w:p>
        </w:tc>
        <w:tc>
          <w:tcPr>
            <w:tcW w:w="1275" w:type="dxa"/>
          </w:tcPr>
          <w:p w:rsidR="007C5447" w:rsidRDefault="00F6308C">
            <w:pPr>
              <w:pStyle w:val="TableParagraph"/>
              <w:spacing w:before="130"/>
              <w:ind w:right="97"/>
              <w:rPr>
                <w:sz w:val="20"/>
              </w:rPr>
            </w:pPr>
            <w:r>
              <w:rPr>
                <w:sz w:val="20"/>
              </w:rPr>
              <w:t>12.26%</w:t>
            </w:r>
          </w:p>
        </w:tc>
      </w:tr>
      <w:tr w:rsidR="007C5447">
        <w:trPr>
          <w:trHeight w:val="491"/>
        </w:trPr>
        <w:tc>
          <w:tcPr>
            <w:tcW w:w="562" w:type="dxa"/>
          </w:tcPr>
          <w:p w:rsidR="007C5447" w:rsidRDefault="007C5447">
            <w:pPr>
              <w:pStyle w:val="TableParagraph"/>
              <w:spacing w:before="6"/>
              <w:jc w:val="left"/>
              <w:rPr>
                <w:b/>
                <w:sz w:val="21"/>
              </w:rPr>
            </w:pPr>
          </w:p>
          <w:p w:rsidR="007C5447" w:rsidRDefault="00F6308C">
            <w:pPr>
              <w:pStyle w:val="TableParagraph"/>
              <w:spacing w:line="224" w:lineRule="exact"/>
              <w:ind w:right="220"/>
              <w:rPr>
                <w:sz w:val="20"/>
              </w:rPr>
            </w:pPr>
            <w:r>
              <w:rPr>
                <w:w w:val="99"/>
                <w:sz w:val="20"/>
              </w:rPr>
              <w:t>4</w:t>
            </w:r>
          </w:p>
        </w:tc>
        <w:tc>
          <w:tcPr>
            <w:tcW w:w="2130" w:type="dxa"/>
          </w:tcPr>
          <w:p w:rsidR="007C5447" w:rsidRDefault="00F6308C">
            <w:pPr>
              <w:pStyle w:val="TableParagraph"/>
              <w:spacing w:before="17" w:line="230" w:lineRule="atLeast"/>
              <w:ind w:left="107" w:right="576"/>
              <w:jc w:val="left"/>
              <w:rPr>
                <w:sz w:val="20"/>
              </w:rPr>
            </w:pPr>
            <w:r>
              <w:rPr>
                <w:sz w:val="20"/>
              </w:rPr>
              <w:t>Erode Generation Circle</w:t>
            </w:r>
          </w:p>
        </w:tc>
        <w:tc>
          <w:tcPr>
            <w:tcW w:w="1275" w:type="dxa"/>
          </w:tcPr>
          <w:p w:rsidR="007C5447" w:rsidRDefault="00F6308C">
            <w:pPr>
              <w:pStyle w:val="TableParagraph"/>
              <w:spacing w:before="132"/>
              <w:ind w:right="98"/>
              <w:rPr>
                <w:sz w:val="20"/>
              </w:rPr>
            </w:pPr>
            <w:r>
              <w:rPr>
                <w:sz w:val="20"/>
              </w:rPr>
              <w:t>31.31%</w:t>
            </w:r>
          </w:p>
        </w:tc>
        <w:tc>
          <w:tcPr>
            <w:tcW w:w="1275" w:type="dxa"/>
          </w:tcPr>
          <w:p w:rsidR="007C5447" w:rsidRDefault="00F6308C">
            <w:pPr>
              <w:pStyle w:val="TableParagraph"/>
              <w:spacing w:before="132"/>
              <w:ind w:right="94"/>
              <w:rPr>
                <w:sz w:val="20"/>
              </w:rPr>
            </w:pPr>
            <w:r>
              <w:rPr>
                <w:sz w:val="20"/>
              </w:rPr>
              <w:t>0.00%</w:t>
            </w:r>
          </w:p>
        </w:tc>
        <w:tc>
          <w:tcPr>
            <w:tcW w:w="1277" w:type="dxa"/>
          </w:tcPr>
          <w:p w:rsidR="007C5447" w:rsidRDefault="00F6308C">
            <w:pPr>
              <w:pStyle w:val="TableParagraph"/>
              <w:spacing w:before="132"/>
              <w:ind w:right="96"/>
              <w:rPr>
                <w:sz w:val="20"/>
              </w:rPr>
            </w:pPr>
            <w:r>
              <w:rPr>
                <w:sz w:val="20"/>
              </w:rPr>
              <w:t>0.00%</w:t>
            </w:r>
          </w:p>
        </w:tc>
        <w:tc>
          <w:tcPr>
            <w:tcW w:w="1278" w:type="dxa"/>
          </w:tcPr>
          <w:p w:rsidR="007C5447" w:rsidRDefault="00F6308C">
            <w:pPr>
              <w:pStyle w:val="TableParagraph"/>
              <w:spacing w:before="132"/>
              <w:ind w:right="97"/>
              <w:rPr>
                <w:sz w:val="20"/>
              </w:rPr>
            </w:pPr>
            <w:r>
              <w:rPr>
                <w:sz w:val="20"/>
              </w:rPr>
              <w:t>37.40%</w:t>
            </w:r>
          </w:p>
        </w:tc>
        <w:tc>
          <w:tcPr>
            <w:tcW w:w="1275" w:type="dxa"/>
          </w:tcPr>
          <w:p w:rsidR="007C5447" w:rsidRDefault="00F6308C">
            <w:pPr>
              <w:pStyle w:val="TableParagraph"/>
              <w:spacing w:before="132"/>
              <w:ind w:right="97"/>
              <w:rPr>
                <w:sz w:val="20"/>
              </w:rPr>
            </w:pPr>
            <w:r>
              <w:rPr>
                <w:sz w:val="20"/>
              </w:rPr>
              <w:t>54.81%</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3"/>
        <w:rPr>
          <w:b/>
          <w:sz w:val="22"/>
        </w:rPr>
      </w:pPr>
    </w:p>
    <w:p w:rsidR="007C5447" w:rsidRDefault="00F6308C">
      <w:pPr>
        <w:pStyle w:val="Heading2"/>
        <w:numPr>
          <w:ilvl w:val="2"/>
          <w:numId w:val="92"/>
        </w:numPr>
        <w:tabs>
          <w:tab w:val="left" w:pos="1112"/>
          <w:tab w:val="left" w:pos="1113"/>
        </w:tabs>
        <w:ind w:left="1112" w:hanging="853"/>
      </w:pPr>
      <w:r>
        <w:t>Auxiliary</w:t>
      </w:r>
      <w:r>
        <w:rPr>
          <w:spacing w:val="-1"/>
        </w:rPr>
        <w:t xml:space="preserve"> </w:t>
      </w:r>
      <w:r>
        <w:t>Consumption</w:t>
      </w:r>
    </w:p>
    <w:p w:rsidR="007C5447" w:rsidRDefault="007C5447">
      <w:pPr>
        <w:pStyle w:val="BodyText"/>
        <w:spacing w:before="2"/>
        <w:rPr>
          <w:b/>
          <w:sz w:val="28"/>
        </w:rPr>
      </w:pPr>
    </w:p>
    <w:p w:rsidR="007C5447" w:rsidRDefault="00F6308C">
      <w:pPr>
        <w:pStyle w:val="ListParagraph"/>
        <w:numPr>
          <w:ilvl w:val="3"/>
          <w:numId w:val="75"/>
        </w:numPr>
        <w:tabs>
          <w:tab w:val="left" w:pos="1226"/>
        </w:tabs>
        <w:spacing w:before="1" w:line="312" w:lineRule="auto"/>
        <w:ind w:right="290"/>
        <w:jc w:val="both"/>
        <w:rPr>
          <w:sz w:val="24"/>
        </w:rPr>
      </w:pPr>
      <w:r>
        <w:rPr>
          <w:sz w:val="24"/>
        </w:rPr>
        <w:t>TANGEDCO submitted the approved auxiliary consumption and actual achieved by its generating stations in FY 2011-12 to FY 2015-16 as shown in the Table below. TANGEDCO stated that the Auxiliary Consumption of its power plants has been more or less in line w</w:t>
      </w:r>
      <w:r>
        <w:rPr>
          <w:sz w:val="24"/>
        </w:rPr>
        <w:t>ith the norms approved by the Commission in last Tariff Order with very minor variations, as shown in the Table</w:t>
      </w:r>
      <w:r>
        <w:rPr>
          <w:spacing w:val="-5"/>
          <w:sz w:val="24"/>
        </w:rPr>
        <w:t xml:space="preserve"> </w:t>
      </w:r>
      <w:r>
        <w:rPr>
          <w:sz w:val="24"/>
        </w:rPr>
        <w:t>below:</w:t>
      </w:r>
    </w:p>
    <w:p w:rsidR="007C5447" w:rsidRDefault="007C5447">
      <w:pPr>
        <w:pStyle w:val="BodyText"/>
        <w:spacing w:before="11"/>
        <w:rPr>
          <w:sz w:val="20"/>
        </w:rPr>
      </w:pPr>
    </w:p>
    <w:p w:rsidR="007C5447" w:rsidRDefault="00F6308C">
      <w:pPr>
        <w:ind w:left="672" w:right="706"/>
        <w:jc w:val="center"/>
        <w:rPr>
          <w:b/>
        </w:rPr>
      </w:pPr>
      <w:r>
        <w:rPr>
          <w:b/>
        </w:rPr>
        <w:t>Table 3-53: Auxiliary Consumption as submitted by TANGEDCO</w:t>
      </w:r>
    </w:p>
    <w:p w:rsidR="007C5447" w:rsidRDefault="007C5447">
      <w:pPr>
        <w:pStyle w:val="BodyText"/>
        <w:spacing w:before="11"/>
        <w:rPr>
          <w:b/>
          <w:sz w:val="16"/>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2559"/>
        <w:gridCol w:w="1279"/>
        <w:gridCol w:w="1277"/>
        <w:gridCol w:w="1274"/>
        <w:gridCol w:w="1277"/>
        <w:gridCol w:w="1276"/>
      </w:tblGrid>
      <w:tr w:rsidR="007C5447">
        <w:trPr>
          <w:trHeight w:val="362"/>
        </w:trPr>
        <w:tc>
          <w:tcPr>
            <w:tcW w:w="703" w:type="dxa"/>
            <w:shd w:val="clear" w:color="auto" w:fill="F7C9AC"/>
          </w:tcPr>
          <w:p w:rsidR="007C5447" w:rsidRDefault="00F6308C">
            <w:pPr>
              <w:pStyle w:val="TableParagraph"/>
              <w:spacing w:before="115" w:line="227" w:lineRule="exact"/>
              <w:ind w:right="233"/>
              <w:rPr>
                <w:b/>
                <w:sz w:val="20"/>
              </w:rPr>
            </w:pPr>
            <w:r>
              <w:rPr>
                <w:b/>
                <w:w w:val="95"/>
                <w:sz w:val="20"/>
              </w:rPr>
              <w:t>Sl.</w:t>
            </w:r>
          </w:p>
        </w:tc>
        <w:tc>
          <w:tcPr>
            <w:tcW w:w="2559" w:type="dxa"/>
            <w:shd w:val="clear" w:color="auto" w:fill="F7C9AC"/>
          </w:tcPr>
          <w:p w:rsidR="007C5447" w:rsidRDefault="00F6308C">
            <w:pPr>
              <w:pStyle w:val="TableParagraph"/>
              <w:spacing w:before="115" w:line="227" w:lineRule="exact"/>
              <w:ind w:left="951" w:right="945"/>
              <w:jc w:val="center"/>
              <w:rPr>
                <w:b/>
                <w:sz w:val="20"/>
              </w:rPr>
            </w:pPr>
            <w:r>
              <w:rPr>
                <w:b/>
                <w:sz w:val="20"/>
              </w:rPr>
              <w:t>Station</w:t>
            </w:r>
          </w:p>
        </w:tc>
        <w:tc>
          <w:tcPr>
            <w:tcW w:w="1279" w:type="dxa"/>
            <w:shd w:val="clear" w:color="auto" w:fill="F7C9AC"/>
          </w:tcPr>
          <w:p w:rsidR="007C5447" w:rsidRDefault="00F6308C">
            <w:pPr>
              <w:pStyle w:val="TableParagraph"/>
              <w:spacing w:before="115" w:line="227" w:lineRule="exact"/>
              <w:ind w:left="148"/>
              <w:jc w:val="left"/>
              <w:rPr>
                <w:b/>
                <w:sz w:val="20"/>
              </w:rPr>
            </w:pPr>
            <w:r>
              <w:rPr>
                <w:b/>
                <w:sz w:val="20"/>
              </w:rPr>
              <w:t>FY 2011-12</w:t>
            </w:r>
          </w:p>
        </w:tc>
        <w:tc>
          <w:tcPr>
            <w:tcW w:w="1277" w:type="dxa"/>
            <w:shd w:val="clear" w:color="auto" w:fill="F7C9AC"/>
          </w:tcPr>
          <w:p w:rsidR="007C5447" w:rsidRDefault="00F6308C">
            <w:pPr>
              <w:pStyle w:val="TableParagraph"/>
              <w:spacing w:before="115" w:line="227" w:lineRule="exact"/>
              <w:ind w:left="146"/>
              <w:jc w:val="left"/>
              <w:rPr>
                <w:b/>
                <w:sz w:val="20"/>
              </w:rPr>
            </w:pPr>
            <w:r>
              <w:rPr>
                <w:b/>
                <w:sz w:val="20"/>
              </w:rPr>
              <w:t>FY 2012-13</w:t>
            </w:r>
          </w:p>
        </w:tc>
        <w:tc>
          <w:tcPr>
            <w:tcW w:w="1274" w:type="dxa"/>
            <w:shd w:val="clear" w:color="auto" w:fill="F7C9AC"/>
          </w:tcPr>
          <w:p w:rsidR="007C5447" w:rsidRDefault="00F6308C">
            <w:pPr>
              <w:pStyle w:val="TableParagraph"/>
              <w:spacing w:before="115" w:line="227" w:lineRule="exact"/>
              <w:ind w:left="144"/>
              <w:jc w:val="left"/>
              <w:rPr>
                <w:b/>
                <w:sz w:val="20"/>
              </w:rPr>
            </w:pPr>
            <w:r>
              <w:rPr>
                <w:b/>
                <w:sz w:val="20"/>
              </w:rPr>
              <w:t>FY 2013-14</w:t>
            </w:r>
          </w:p>
        </w:tc>
        <w:tc>
          <w:tcPr>
            <w:tcW w:w="1277" w:type="dxa"/>
            <w:shd w:val="clear" w:color="auto" w:fill="F7C9AC"/>
          </w:tcPr>
          <w:p w:rsidR="007C5447" w:rsidRDefault="00F6308C">
            <w:pPr>
              <w:pStyle w:val="TableParagraph"/>
              <w:spacing w:before="115" w:line="227" w:lineRule="exact"/>
              <w:ind w:left="147"/>
              <w:jc w:val="left"/>
              <w:rPr>
                <w:b/>
                <w:sz w:val="20"/>
              </w:rPr>
            </w:pPr>
            <w:r>
              <w:rPr>
                <w:b/>
                <w:sz w:val="20"/>
              </w:rPr>
              <w:t>FY 2014-15</w:t>
            </w:r>
          </w:p>
        </w:tc>
        <w:tc>
          <w:tcPr>
            <w:tcW w:w="1276" w:type="dxa"/>
            <w:shd w:val="clear" w:color="auto" w:fill="F7C9AC"/>
          </w:tcPr>
          <w:p w:rsidR="007C5447" w:rsidRDefault="00F6308C">
            <w:pPr>
              <w:pStyle w:val="TableParagraph"/>
              <w:spacing w:before="115" w:line="227" w:lineRule="exact"/>
              <w:ind w:left="147"/>
              <w:jc w:val="left"/>
              <w:rPr>
                <w:b/>
                <w:sz w:val="20"/>
              </w:rPr>
            </w:pPr>
            <w:r>
              <w:rPr>
                <w:b/>
                <w:sz w:val="20"/>
              </w:rPr>
              <w:t>FY 2015-16</w:t>
            </w:r>
          </w:p>
        </w:tc>
      </w:tr>
      <w:tr w:rsidR="007C5447">
        <w:trPr>
          <w:trHeight w:val="359"/>
        </w:trPr>
        <w:tc>
          <w:tcPr>
            <w:tcW w:w="703" w:type="dxa"/>
            <w:shd w:val="clear" w:color="auto" w:fill="D9D9D9"/>
          </w:tcPr>
          <w:p w:rsidR="007C5447" w:rsidRDefault="00F6308C">
            <w:pPr>
              <w:pStyle w:val="TableParagraph"/>
              <w:spacing w:before="65"/>
              <w:ind w:right="268"/>
              <w:rPr>
                <w:b/>
                <w:sz w:val="20"/>
              </w:rPr>
            </w:pPr>
            <w:r>
              <w:rPr>
                <w:b/>
                <w:w w:val="99"/>
                <w:sz w:val="20"/>
              </w:rPr>
              <w:t>A</w:t>
            </w:r>
          </w:p>
        </w:tc>
        <w:tc>
          <w:tcPr>
            <w:tcW w:w="2559" w:type="dxa"/>
            <w:shd w:val="clear" w:color="auto" w:fill="D9D9D9"/>
          </w:tcPr>
          <w:p w:rsidR="007C5447" w:rsidRDefault="00F6308C">
            <w:pPr>
              <w:pStyle w:val="TableParagraph"/>
              <w:spacing w:before="65"/>
              <w:ind w:left="107"/>
              <w:jc w:val="left"/>
              <w:rPr>
                <w:b/>
                <w:sz w:val="20"/>
              </w:rPr>
            </w:pPr>
            <w:r>
              <w:rPr>
                <w:b/>
                <w:sz w:val="20"/>
              </w:rPr>
              <w:t>Thermal</w:t>
            </w:r>
          </w:p>
        </w:tc>
        <w:tc>
          <w:tcPr>
            <w:tcW w:w="1279" w:type="dxa"/>
            <w:shd w:val="clear" w:color="auto" w:fill="D9D9D9"/>
          </w:tcPr>
          <w:p w:rsidR="007C5447" w:rsidRDefault="007C5447">
            <w:pPr>
              <w:pStyle w:val="TableParagraph"/>
              <w:jc w:val="left"/>
              <w:rPr>
                <w:sz w:val="20"/>
              </w:rPr>
            </w:pPr>
          </w:p>
        </w:tc>
        <w:tc>
          <w:tcPr>
            <w:tcW w:w="1277" w:type="dxa"/>
            <w:shd w:val="clear" w:color="auto" w:fill="D9D9D9"/>
          </w:tcPr>
          <w:p w:rsidR="007C5447" w:rsidRDefault="007C5447">
            <w:pPr>
              <w:pStyle w:val="TableParagraph"/>
              <w:jc w:val="left"/>
              <w:rPr>
                <w:sz w:val="20"/>
              </w:rPr>
            </w:pPr>
          </w:p>
        </w:tc>
        <w:tc>
          <w:tcPr>
            <w:tcW w:w="1274" w:type="dxa"/>
            <w:shd w:val="clear" w:color="auto" w:fill="D9D9D9"/>
          </w:tcPr>
          <w:p w:rsidR="007C5447" w:rsidRDefault="007C5447">
            <w:pPr>
              <w:pStyle w:val="TableParagraph"/>
              <w:jc w:val="left"/>
              <w:rPr>
                <w:sz w:val="20"/>
              </w:rPr>
            </w:pPr>
          </w:p>
        </w:tc>
        <w:tc>
          <w:tcPr>
            <w:tcW w:w="1277" w:type="dxa"/>
            <w:shd w:val="clear" w:color="auto" w:fill="D9D9D9"/>
          </w:tcPr>
          <w:p w:rsidR="007C5447" w:rsidRDefault="007C5447">
            <w:pPr>
              <w:pStyle w:val="TableParagraph"/>
              <w:jc w:val="left"/>
              <w:rPr>
                <w:sz w:val="20"/>
              </w:rPr>
            </w:pPr>
          </w:p>
        </w:tc>
        <w:tc>
          <w:tcPr>
            <w:tcW w:w="1276" w:type="dxa"/>
            <w:shd w:val="clear" w:color="auto" w:fill="D9D9D9"/>
          </w:tcPr>
          <w:p w:rsidR="007C5447" w:rsidRDefault="007C5447">
            <w:pPr>
              <w:pStyle w:val="TableParagraph"/>
              <w:jc w:val="left"/>
              <w:rPr>
                <w:sz w:val="20"/>
              </w:rPr>
            </w:pPr>
          </w:p>
        </w:tc>
      </w:tr>
      <w:tr w:rsidR="007C5447">
        <w:trPr>
          <w:trHeight w:val="359"/>
        </w:trPr>
        <w:tc>
          <w:tcPr>
            <w:tcW w:w="703" w:type="dxa"/>
          </w:tcPr>
          <w:p w:rsidR="007C5447" w:rsidRDefault="00F6308C">
            <w:pPr>
              <w:pStyle w:val="TableParagraph"/>
              <w:spacing w:before="65"/>
              <w:ind w:right="291"/>
              <w:rPr>
                <w:sz w:val="20"/>
              </w:rPr>
            </w:pPr>
            <w:r>
              <w:rPr>
                <w:w w:val="99"/>
                <w:sz w:val="20"/>
              </w:rPr>
              <w:t>1</w:t>
            </w:r>
          </w:p>
        </w:tc>
        <w:tc>
          <w:tcPr>
            <w:tcW w:w="2559" w:type="dxa"/>
          </w:tcPr>
          <w:p w:rsidR="007C5447" w:rsidRDefault="00F6308C">
            <w:pPr>
              <w:pStyle w:val="TableParagraph"/>
              <w:spacing w:before="65"/>
              <w:ind w:left="107"/>
              <w:jc w:val="left"/>
              <w:rPr>
                <w:sz w:val="20"/>
              </w:rPr>
            </w:pPr>
            <w:r>
              <w:rPr>
                <w:sz w:val="20"/>
              </w:rPr>
              <w:t>Ennore TPS</w:t>
            </w:r>
          </w:p>
        </w:tc>
        <w:tc>
          <w:tcPr>
            <w:tcW w:w="1279" w:type="dxa"/>
          </w:tcPr>
          <w:p w:rsidR="007C5447" w:rsidRDefault="00F6308C">
            <w:pPr>
              <w:pStyle w:val="TableParagraph"/>
              <w:spacing w:before="65"/>
              <w:ind w:left="383"/>
              <w:jc w:val="left"/>
              <w:rPr>
                <w:sz w:val="20"/>
              </w:rPr>
            </w:pPr>
            <w:r>
              <w:rPr>
                <w:sz w:val="20"/>
              </w:rPr>
              <w:t>16.73%</w:t>
            </w:r>
          </w:p>
        </w:tc>
        <w:tc>
          <w:tcPr>
            <w:tcW w:w="1277" w:type="dxa"/>
          </w:tcPr>
          <w:p w:rsidR="007C5447" w:rsidRDefault="00F6308C">
            <w:pPr>
              <w:pStyle w:val="TableParagraph"/>
              <w:spacing w:before="65"/>
              <w:ind w:left="379"/>
              <w:jc w:val="left"/>
              <w:rPr>
                <w:sz w:val="20"/>
              </w:rPr>
            </w:pPr>
            <w:r>
              <w:rPr>
                <w:sz w:val="20"/>
              </w:rPr>
              <w:t>17.07%</w:t>
            </w:r>
          </w:p>
        </w:tc>
        <w:tc>
          <w:tcPr>
            <w:tcW w:w="1274" w:type="dxa"/>
          </w:tcPr>
          <w:p w:rsidR="007C5447" w:rsidRDefault="00F6308C">
            <w:pPr>
              <w:pStyle w:val="TableParagraph"/>
              <w:spacing w:before="65"/>
              <w:ind w:left="379"/>
              <w:jc w:val="left"/>
              <w:rPr>
                <w:sz w:val="20"/>
              </w:rPr>
            </w:pPr>
            <w:r>
              <w:rPr>
                <w:sz w:val="20"/>
              </w:rPr>
              <w:t>16.18%</w:t>
            </w:r>
          </w:p>
        </w:tc>
        <w:tc>
          <w:tcPr>
            <w:tcW w:w="1277" w:type="dxa"/>
          </w:tcPr>
          <w:p w:rsidR="007C5447" w:rsidRDefault="00F6308C">
            <w:pPr>
              <w:pStyle w:val="TableParagraph"/>
              <w:spacing w:before="65"/>
              <w:ind w:left="379"/>
              <w:jc w:val="left"/>
              <w:rPr>
                <w:sz w:val="20"/>
              </w:rPr>
            </w:pPr>
            <w:r>
              <w:rPr>
                <w:sz w:val="20"/>
              </w:rPr>
              <w:t>19.83%</w:t>
            </w:r>
          </w:p>
        </w:tc>
        <w:tc>
          <w:tcPr>
            <w:tcW w:w="1276" w:type="dxa"/>
          </w:tcPr>
          <w:p w:rsidR="007C5447" w:rsidRDefault="00F6308C">
            <w:pPr>
              <w:pStyle w:val="TableParagraph"/>
              <w:spacing w:before="65"/>
              <w:ind w:left="380"/>
              <w:jc w:val="left"/>
              <w:rPr>
                <w:sz w:val="20"/>
              </w:rPr>
            </w:pPr>
            <w:r>
              <w:rPr>
                <w:sz w:val="20"/>
              </w:rPr>
              <w:t>12.25%</w:t>
            </w:r>
          </w:p>
        </w:tc>
      </w:tr>
      <w:tr w:rsidR="007C5447">
        <w:trPr>
          <w:trHeight w:val="359"/>
        </w:trPr>
        <w:tc>
          <w:tcPr>
            <w:tcW w:w="703" w:type="dxa"/>
          </w:tcPr>
          <w:p w:rsidR="007C5447" w:rsidRDefault="00F6308C">
            <w:pPr>
              <w:pStyle w:val="TableParagraph"/>
              <w:spacing w:before="65"/>
              <w:ind w:right="291"/>
              <w:rPr>
                <w:sz w:val="20"/>
              </w:rPr>
            </w:pPr>
            <w:r>
              <w:rPr>
                <w:w w:val="99"/>
                <w:sz w:val="20"/>
              </w:rPr>
              <w:t>2</w:t>
            </w:r>
          </w:p>
        </w:tc>
        <w:tc>
          <w:tcPr>
            <w:tcW w:w="2559" w:type="dxa"/>
          </w:tcPr>
          <w:p w:rsidR="007C5447" w:rsidRDefault="00F6308C">
            <w:pPr>
              <w:pStyle w:val="TableParagraph"/>
              <w:spacing w:before="65"/>
              <w:ind w:left="107"/>
              <w:jc w:val="left"/>
              <w:rPr>
                <w:sz w:val="20"/>
              </w:rPr>
            </w:pPr>
            <w:r>
              <w:rPr>
                <w:sz w:val="20"/>
              </w:rPr>
              <w:t>Tuticorin TPS</w:t>
            </w:r>
          </w:p>
        </w:tc>
        <w:tc>
          <w:tcPr>
            <w:tcW w:w="1279" w:type="dxa"/>
          </w:tcPr>
          <w:p w:rsidR="007C5447" w:rsidRDefault="00F6308C">
            <w:pPr>
              <w:pStyle w:val="TableParagraph"/>
              <w:spacing w:before="65"/>
              <w:ind w:left="484"/>
              <w:jc w:val="left"/>
              <w:rPr>
                <w:sz w:val="20"/>
              </w:rPr>
            </w:pPr>
            <w:r>
              <w:rPr>
                <w:sz w:val="20"/>
              </w:rPr>
              <w:t>7.98%</w:t>
            </w:r>
          </w:p>
        </w:tc>
        <w:tc>
          <w:tcPr>
            <w:tcW w:w="1277" w:type="dxa"/>
          </w:tcPr>
          <w:p w:rsidR="007C5447" w:rsidRDefault="00F6308C">
            <w:pPr>
              <w:pStyle w:val="TableParagraph"/>
              <w:spacing w:before="65"/>
              <w:ind w:left="480"/>
              <w:jc w:val="left"/>
              <w:rPr>
                <w:sz w:val="20"/>
              </w:rPr>
            </w:pPr>
            <w:r>
              <w:rPr>
                <w:sz w:val="20"/>
              </w:rPr>
              <w:t>7.99%</w:t>
            </w:r>
          </w:p>
        </w:tc>
        <w:tc>
          <w:tcPr>
            <w:tcW w:w="1274" w:type="dxa"/>
          </w:tcPr>
          <w:p w:rsidR="007C5447" w:rsidRDefault="00F6308C">
            <w:pPr>
              <w:pStyle w:val="TableParagraph"/>
              <w:spacing w:before="65"/>
              <w:ind w:left="480"/>
              <w:jc w:val="left"/>
              <w:rPr>
                <w:sz w:val="20"/>
              </w:rPr>
            </w:pPr>
            <w:r>
              <w:rPr>
                <w:sz w:val="20"/>
              </w:rPr>
              <w:t>8.09%</w:t>
            </w:r>
          </w:p>
        </w:tc>
        <w:tc>
          <w:tcPr>
            <w:tcW w:w="1277" w:type="dxa"/>
          </w:tcPr>
          <w:p w:rsidR="007C5447" w:rsidRDefault="00F6308C">
            <w:pPr>
              <w:pStyle w:val="TableParagraph"/>
              <w:spacing w:before="65"/>
              <w:ind w:left="481"/>
              <w:jc w:val="left"/>
              <w:rPr>
                <w:sz w:val="20"/>
              </w:rPr>
            </w:pPr>
            <w:r>
              <w:rPr>
                <w:sz w:val="20"/>
              </w:rPr>
              <w:t>8.21%</w:t>
            </w:r>
          </w:p>
        </w:tc>
        <w:tc>
          <w:tcPr>
            <w:tcW w:w="1276" w:type="dxa"/>
          </w:tcPr>
          <w:p w:rsidR="007C5447" w:rsidRDefault="00F6308C">
            <w:pPr>
              <w:pStyle w:val="TableParagraph"/>
              <w:spacing w:before="65"/>
              <w:ind w:left="481"/>
              <w:jc w:val="left"/>
              <w:rPr>
                <w:sz w:val="20"/>
              </w:rPr>
            </w:pPr>
            <w:r>
              <w:rPr>
                <w:sz w:val="20"/>
              </w:rPr>
              <w:t>8.20%</w:t>
            </w:r>
          </w:p>
        </w:tc>
      </w:tr>
      <w:tr w:rsidR="007C5447">
        <w:trPr>
          <w:trHeight w:val="359"/>
        </w:trPr>
        <w:tc>
          <w:tcPr>
            <w:tcW w:w="703" w:type="dxa"/>
          </w:tcPr>
          <w:p w:rsidR="007C5447" w:rsidRDefault="00F6308C">
            <w:pPr>
              <w:pStyle w:val="TableParagraph"/>
              <w:spacing w:before="65"/>
              <w:ind w:right="291"/>
              <w:rPr>
                <w:sz w:val="20"/>
              </w:rPr>
            </w:pPr>
            <w:r>
              <w:rPr>
                <w:w w:val="99"/>
                <w:sz w:val="20"/>
              </w:rPr>
              <w:t>3</w:t>
            </w:r>
          </w:p>
        </w:tc>
        <w:tc>
          <w:tcPr>
            <w:tcW w:w="2559" w:type="dxa"/>
          </w:tcPr>
          <w:p w:rsidR="007C5447" w:rsidRDefault="00F6308C">
            <w:pPr>
              <w:pStyle w:val="TableParagraph"/>
              <w:spacing w:before="65"/>
              <w:ind w:left="107"/>
              <w:jc w:val="left"/>
              <w:rPr>
                <w:sz w:val="20"/>
              </w:rPr>
            </w:pPr>
            <w:r>
              <w:rPr>
                <w:sz w:val="20"/>
              </w:rPr>
              <w:t>Mettur TPS</w:t>
            </w:r>
          </w:p>
        </w:tc>
        <w:tc>
          <w:tcPr>
            <w:tcW w:w="1279" w:type="dxa"/>
          </w:tcPr>
          <w:p w:rsidR="007C5447" w:rsidRDefault="00F6308C">
            <w:pPr>
              <w:pStyle w:val="TableParagraph"/>
              <w:spacing w:before="65"/>
              <w:ind w:left="484"/>
              <w:jc w:val="left"/>
              <w:rPr>
                <w:sz w:val="20"/>
              </w:rPr>
            </w:pPr>
            <w:r>
              <w:rPr>
                <w:sz w:val="20"/>
              </w:rPr>
              <w:t>8.26%</w:t>
            </w:r>
          </w:p>
        </w:tc>
        <w:tc>
          <w:tcPr>
            <w:tcW w:w="1277" w:type="dxa"/>
          </w:tcPr>
          <w:p w:rsidR="007C5447" w:rsidRDefault="00F6308C">
            <w:pPr>
              <w:pStyle w:val="TableParagraph"/>
              <w:spacing w:before="65"/>
              <w:ind w:left="480"/>
              <w:jc w:val="left"/>
              <w:rPr>
                <w:sz w:val="20"/>
              </w:rPr>
            </w:pPr>
            <w:r>
              <w:rPr>
                <w:sz w:val="20"/>
              </w:rPr>
              <w:t>8.32%</w:t>
            </w:r>
          </w:p>
        </w:tc>
        <w:tc>
          <w:tcPr>
            <w:tcW w:w="1274" w:type="dxa"/>
          </w:tcPr>
          <w:p w:rsidR="007C5447" w:rsidRDefault="00F6308C">
            <w:pPr>
              <w:pStyle w:val="TableParagraph"/>
              <w:spacing w:before="65"/>
              <w:ind w:left="480"/>
              <w:jc w:val="left"/>
              <w:rPr>
                <w:sz w:val="20"/>
              </w:rPr>
            </w:pPr>
            <w:r>
              <w:rPr>
                <w:sz w:val="20"/>
              </w:rPr>
              <w:t>8.50%</w:t>
            </w:r>
          </w:p>
        </w:tc>
        <w:tc>
          <w:tcPr>
            <w:tcW w:w="1277" w:type="dxa"/>
          </w:tcPr>
          <w:p w:rsidR="007C5447" w:rsidRDefault="00F6308C">
            <w:pPr>
              <w:pStyle w:val="TableParagraph"/>
              <w:spacing w:before="65"/>
              <w:ind w:left="481"/>
              <w:jc w:val="left"/>
              <w:rPr>
                <w:sz w:val="20"/>
              </w:rPr>
            </w:pPr>
            <w:r>
              <w:rPr>
                <w:sz w:val="20"/>
              </w:rPr>
              <w:t>8.60%</w:t>
            </w:r>
          </w:p>
        </w:tc>
        <w:tc>
          <w:tcPr>
            <w:tcW w:w="1276" w:type="dxa"/>
          </w:tcPr>
          <w:p w:rsidR="007C5447" w:rsidRDefault="00F6308C">
            <w:pPr>
              <w:pStyle w:val="TableParagraph"/>
              <w:spacing w:before="65"/>
              <w:ind w:left="481"/>
              <w:jc w:val="left"/>
              <w:rPr>
                <w:sz w:val="20"/>
              </w:rPr>
            </w:pPr>
            <w:r>
              <w:rPr>
                <w:sz w:val="20"/>
              </w:rPr>
              <w:t>8.45%</w:t>
            </w:r>
          </w:p>
        </w:tc>
      </w:tr>
      <w:tr w:rsidR="007C5447">
        <w:trPr>
          <w:trHeight w:val="359"/>
        </w:trPr>
        <w:tc>
          <w:tcPr>
            <w:tcW w:w="703" w:type="dxa"/>
          </w:tcPr>
          <w:p w:rsidR="007C5447" w:rsidRDefault="00F6308C">
            <w:pPr>
              <w:pStyle w:val="TableParagraph"/>
              <w:spacing w:before="65"/>
              <w:ind w:right="291"/>
              <w:rPr>
                <w:sz w:val="20"/>
              </w:rPr>
            </w:pPr>
            <w:r>
              <w:rPr>
                <w:w w:val="99"/>
                <w:sz w:val="20"/>
              </w:rPr>
              <w:t>4</w:t>
            </w:r>
          </w:p>
        </w:tc>
        <w:tc>
          <w:tcPr>
            <w:tcW w:w="2559" w:type="dxa"/>
          </w:tcPr>
          <w:p w:rsidR="007C5447" w:rsidRDefault="00F6308C">
            <w:pPr>
              <w:pStyle w:val="TableParagraph"/>
              <w:spacing w:before="65"/>
              <w:ind w:left="107"/>
              <w:jc w:val="left"/>
              <w:rPr>
                <w:sz w:val="20"/>
              </w:rPr>
            </w:pPr>
            <w:r>
              <w:rPr>
                <w:sz w:val="20"/>
              </w:rPr>
              <w:t>Mettur Stage III TPS</w:t>
            </w:r>
          </w:p>
        </w:tc>
        <w:tc>
          <w:tcPr>
            <w:tcW w:w="1279" w:type="dxa"/>
          </w:tcPr>
          <w:p w:rsidR="007C5447" w:rsidRDefault="00F6308C">
            <w:pPr>
              <w:pStyle w:val="TableParagraph"/>
              <w:spacing w:before="65"/>
              <w:ind w:left="484"/>
              <w:jc w:val="left"/>
              <w:rPr>
                <w:sz w:val="20"/>
              </w:rPr>
            </w:pPr>
            <w:r>
              <w:rPr>
                <w:sz w:val="20"/>
              </w:rPr>
              <w:t>0.00%</w:t>
            </w:r>
          </w:p>
        </w:tc>
        <w:tc>
          <w:tcPr>
            <w:tcW w:w="1277" w:type="dxa"/>
          </w:tcPr>
          <w:p w:rsidR="007C5447" w:rsidRDefault="00F6308C">
            <w:pPr>
              <w:pStyle w:val="TableParagraph"/>
              <w:spacing w:before="65"/>
              <w:ind w:left="480"/>
              <w:jc w:val="left"/>
              <w:rPr>
                <w:sz w:val="20"/>
              </w:rPr>
            </w:pPr>
            <w:r>
              <w:rPr>
                <w:sz w:val="20"/>
              </w:rPr>
              <w:t>0.00%</w:t>
            </w:r>
          </w:p>
        </w:tc>
        <w:tc>
          <w:tcPr>
            <w:tcW w:w="1274" w:type="dxa"/>
          </w:tcPr>
          <w:p w:rsidR="007C5447" w:rsidRDefault="00F6308C">
            <w:pPr>
              <w:pStyle w:val="TableParagraph"/>
              <w:spacing w:before="65"/>
              <w:ind w:left="480"/>
              <w:jc w:val="left"/>
              <w:rPr>
                <w:sz w:val="20"/>
              </w:rPr>
            </w:pPr>
            <w:r>
              <w:rPr>
                <w:sz w:val="20"/>
              </w:rPr>
              <w:t>7.00%</w:t>
            </w:r>
          </w:p>
        </w:tc>
        <w:tc>
          <w:tcPr>
            <w:tcW w:w="1277" w:type="dxa"/>
          </w:tcPr>
          <w:p w:rsidR="007C5447" w:rsidRDefault="00F6308C">
            <w:pPr>
              <w:pStyle w:val="TableParagraph"/>
              <w:spacing w:before="65"/>
              <w:ind w:left="481"/>
              <w:jc w:val="left"/>
              <w:rPr>
                <w:sz w:val="20"/>
              </w:rPr>
            </w:pPr>
            <w:r>
              <w:rPr>
                <w:sz w:val="20"/>
              </w:rPr>
              <w:t>7.28%</w:t>
            </w:r>
          </w:p>
        </w:tc>
        <w:tc>
          <w:tcPr>
            <w:tcW w:w="1276" w:type="dxa"/>
          </w:tcPr>
          <w:p w:rsidR="007C5447" w:rsidRDefault="00F6308C">
            <w:pPr>
              <w:pStyle w:val="TableParagraph"/>
              <w:spacing w:before="65"/>
              <w:ind w:left="481"/>
              <w:jc w:val="left"/>
              <w:rPr>
                <w:sz w:val="20"/>
              </w:rPr>
            </w:pPr>
            <w:r>
              <w:rPr>
                <w:sz w:val="20"/>
              </w:rPr>
              <w:t>6.45%</w:t>
            </w:r>
          </w:p>
        </w:tc>
      </w:tr>
      <w:tr w:rsidR="007C5447">
        <w:trPr>
          <w:trHeight w:val="362"/>
        </w:trPr>
        <w:tc>
          <w:tcPr>
            <w:tcW w:w="703" w:type="dxa"/>
          </w:tcPr>
          <w:p w:rsidR="007C5447" w:rsidRDefault="00F6308C">
            <w:pPr>
              <w:pStyle w:val="TableParagraph"/>
              <w:spacing w:before="65"/>
              <w:ind w:right="291"/>
              <w:rPr>
                <w:sz w:val="20"/>
              </w:rPr>
            </w:pPr>
            <w:r>
              <w:rPr>
                <w:w w:val="99"/>
                <w:sz w:val="20"/>
              </w:rPr>
              <w:t>5</w:t>
            </w:r>
          </w:p>
        </w:tc>
        <w:tc>
          <w:tcPr>
            <w:tcW w:w="2559" w:type="dxa"/>
          </w:tcPr>
          <w:p w:rsidR="007C5447" w:rsidRDefault="00F6308C">
            <w:pPr>
              <w:pStyle w:val="TableParagraph"/>
              <w:spacing w:before="65"/>
              <w:ind w:left="107"/>
              <w:jc w:val="left"/>
              <w:rPr>
                <w:sz w:val="20"/>
              </w:rPr>
            </w:pPr>
            <w:r>
              <w:rPr>
                <w:sz w:val="20"/>
              </w:rPr>
              <w:t>North Chennai TPS</w:t>
            </w:r>
          </w:p>
        </w:tc>
        <w:tc>
          <w:tcPr>
            <w:tcW w:w="1279" w:type="dxa"/>
          </w:tcPr>
          <w:p w:rsidR="007C5447" w:rsidRDefault="00F6308C">
            <w:pPr>
              <w:pStyle w:val="TableParagraph"/>
              <w:spacing w:before="65"/>
              <w:ind w:left="484"/>
              <w:jc w:val="left"/>
              <w:rPr>
                <w:sz w:val="20"/>
              </w:rPr>
            </w:pPr>
            <w:r>
              <w:rPr>
                <w:sz w:val="20"/>
              </w:rPr>
              <w:t>8.36%</w:t>
            </w:r>
          </w:p>
        </w:tc>
        <w:tc>
          <w:tcPr>
            <w:tcW w:w="1277" w:type="dxa"/>
          </w:tcPr>
          <w:p w:rsidR="007C5447" w:rsidRDefault="00F6308C">
            <w:pPr>
              <w:pStyle w:val="TableParagraph"/>
              <w:spacing w:before="65"/>
              <w:ind w:left="480"/>
              <w:jc w:val="left"/>
              <w:rPr>
                <w:sz w:val="20"/>
              </w:rPr>
            </w:pPr>
            <w:r>
              <w:rPr>
                <w:sz w:val="20"/>
              </w:rPr>
              <w:t>8.42%</w:t>
            </w:r>
          </w:p>
        </w:tc>
        <w:tc>
          <w:tcPr>
            <w:tcW w:w="1274" w:type="dxa"/>
          </w:tcPr>
          <w:p w:rsidR="007C5447" w:rsidRDefault="00F6308C">
            <w:pPr>
              <w:pStyle w:val="TableParagraph"/>
              <w:spacing w:before="65"/>
              <w:ind w:left="480"/>
              <w:jc w:val="left"/>
              <w:rPr>
                <w:sz w:val="20"/>
              </w:rPr>
            </w:pPr>
            <w:r>
              <w:rPr>
                <w:sz w:val="20"/>
              </w:rPr>
              <w:t>9.32%</w:t>
            </w:r>
          </w:p>
        </w:tc>
        <w:tc>
          <w:tcPr>
            <w:tcW w:w="1277" w:type="dxa"/>
          </w:tcPr>
          <w:p w:rsidR="007C5447" w:rsidRDefault="00F6308C">
            <w:pPr>
              <w:pStyle w:val="TableParagraph"/>
              <w:spacing w:before="65"/>
              <w:ind w:left="481"/>
              <w:jc w:val="left"/>
              <w:rPr>
                <w:sz w:val="20"/>
              </w:rPr>
            </w:pPr>
            <w:r>
              <w:rPr>
                <w:sz w:val="20"/>
              </w:rPr>
              <w:t>9.29%</w:t>
            </w:r>
          </w:p>
        </w:tc>
        <w:tc>
          <w:tcPr>
            <w:tcW w:w="1276" w:type="dxa"/>
          </w:tcPr>
          <w:p w:rsidR="007C5447" w:rsidRDefault="00F6308C">
            <w:pPr>
              <w:pStyle w:val="TableParagraph"/>
              <w:spacing w:before="65"/>
              <w:ind w:left="481"/>
              <w:jc w:val="left"/>
              <w:rPr>
                <w:sz w:val="20"/>
              </w:rPr>
            </w:pPr>
            <w:r>
              <w:rPr>
                <w:sz w:val="20"/>
              </w:rPr>
              <w:t>8.50%</w:t>
            </w:r>
          </w:p>
        </w:tc>
      </w:tr>
      <w:tr w:rsidR="007C5447">
        <w:trPr>
          <w:trHeight w:val="359"/>
        </w:trPr>
        <w:tc>
          <w:tcPr>
            <w:tcW w:w="703" w:type="dxa"/>
          </w:tcPr>
          <w:p w:rsidR="007C5447" w:rsidRDefault="00F6308C">
            <w:pPr>
              <w:pStyle w:val="TableParagraph"/>
              <w:spacing w:before="65"/>
              <w:ind w:right="291"/>
              <w:rPr>
                <w:sz w:val="20"/>
              </w:rPr>
            </w:pPr>
            <w:r>
              <w:rPr>
                <w:w w:val="99"/>
                <w:sz w:val="20"/>
              </w:rPr>
              <w:t>6</w:t>
            </w:r>
          </w:p>
        </w:tc>
        <w:tc>
          <w:tcPr>
            <w:tcW w:w="2559" w:type="dxa"/>
          </w:tcPr>
          <w:p w:rsidR="007C5447" w:rsidRDefault="00F6308C">
            <w:pPr>
              <w:pStyle w:val="TableParagraph"/>
              <w:spacing w:before="65"/>
              <w:ind w:left="107"/>
              <w:jc w:val="left"/>
              <w:rPr>
                <w:sz w:val="20"/>
              </w:rPr>
            </w:pPr>
            <w:r>
              <w:rPr>
                <w:sz w:val="20"/>
              </w:rPr>
              <w:t>North Chennai Stage II TPS</w:t>
            </w:r>
          </w:p>
        </w:tc>
        <w:tc>
          <w:tcPr>
            <w:tcW w:w="1279" w:type="dxa"/>
          </w:tcPr>
          <w:p w:rsidR="007C5447" w:rsidRDefault="00F6308C">
            <w:pPr>
              <w:pStyle w:val="TableParagraph"/>
              <w:spacing w:before="65"/>
              <w:ind w:left="484"/>
              <w:jc w:val="left"/>
              <w:rPr>
                <w:sz w:val="20"/>
              </w:rPr>
            </w:pPr>
            <w:r>
              <w:rPr>
                <w:sz w:val="20"/>
              </w:rPr>
              <w:t>0.00%</w:t>
            </w:r>
          </w:p>
        </w:tc>
        <w:tc>
          <w:tcPr>
            <w:tcW w:w="1277" w:type="dxa"/>
          </w:tcPr>
          <w:p w:rsidR="007C5447" w:rsidRDefault="00F6308C">
            <w:pPr>
              <w:pStyle w:val="TableParagraph"/>
              <w:spacing w:before="65"/>
              <w:ind w:left="480"/>
              <w:jc w:val="left"/>
              <w:rPr>
                <w:sz w:val="20"/>
              </w:rPr>
            </w:pPr>
            <w:r>
              <w:rPr>
                <w:sz w:val="20"/>
              </w:rPr>
              <w:t>0.00%</w:t>
            </w:r>
          </w:p>
        </w:tc>
        <w:tc>
          <w:tcPr>
            <w:tcW w:w="1274" w:type="dxa"/>
          </w:tcPr>
          <w:p w:rsidR="007C5447" w:rsidRDefault="00F6308C">
            <w:pPr>
              <w:pStyle w:val="TableParagraph"/>
              <w:spacing w:before="65"/>
              <w:ind w:left="480"/>
              <w:jc w:val="left"/>
              <w:rPr>
                <w:sz w:val="20"/>
              </w:rPr>
            </w:pPr>
            <w:r>
              <w:rPr>
                <w:sz w:val="20"/>
              </w:rPr>
              <w:t>0.00%</w:t>
            </w:r>
          </w:p>
        </w:tc>
        <w:tc>
          <w:tcPr>
            <w:tcW w:w="1277" w:type="dxa"/>
          </w:tcPr>
          <w:p w:rsidR="007C5447" w:rsidRDefault="00F6308C">
            <w:pPr>
              <w:pStyle w:val="TableParagraph"/>
              <w:spacing w:before="65"/>
              <w:ind w:left="481"/>
              <w:jc w:val="left"/>
              <w:rPr>
                <w:sz w:val="20"/>
              </w:rPr>
            </w:pPr>
            <w:r>
              <w:rPr>
                <w:sz w:val="20"/>
              </w:rPr>
              <w:t>7.14%</w:t>
            </w:r>
          </w:p>
        </w:tc>
        <w:tc>
          <w:tcPr>
            <w:tcW w:w="1276" w:type="dxa"/>
          </w:tcPr>
          <w:p w:rsidR="007C5447" w:rsidRDefault="00F6308C">
            <w:pPr>
              <w:pStyle w:val="TableParagraph"/>
              <w:spacing w:before="65"/>
              <w:ind w:left="481"/>
              <w:jc w:val="left"/>
              <w:rPr>
                <w:sz w:val="20"/>
              </w:rPr>
            </w:pPr>
            <w:r>
              <w:rPr>
                <w:sz w:val="20"/>
              </w:rPr>
              <w:t>7.29%</w:t>
            </w:r>
          </w:p>
        </w:tc>
      </w:tr>
      <w:tr w:rsidR="007C5447">
        <w:trPr>
          <w:trHeight w:val="359"/>
        </w:trPr>
        <w:tc>
          <w:tcPr>
            <w:tcW w:w="703" w:type="dxa"/>
            <w:shd w:val="clear" w:color="auto" w:fill="D9D9D9"/>
          </w:tcPr>
          <w:p w:rsidR="007C5447" w:rsidRDefault="00F6308C">
            <w:pPr>
              <w:pStyle w:val="TableParagraph"/>
              <w:spacing w:before="65"/>
              <w:ind w:right="275"/>
              <w:rPr>
                <w:b/>
                <w:sz w:val="20"/>
              </w:rPr>
            </w:pPr>
            <w:r>
              <w:rPr>
                <w:b/>
                <w:w w:val="99"/>
                <w:sz w:val="20"/>
              </w:rPr>
              <w:t>B</w:t>
            </w:r>
          </w:p>
        </w:tc>
        <w:tc>
          <w:tcPr>
            <w:tcW w:w="2559" w:type="dxa"/>
            <w:shd w:val="clear" w:color="auto" w:fill="D9D9D9"/>
          </w:tcPr>
          <w:p w:rsidR="007C5447" w:rsidRDefault="00F6308C">
            <w:pPr>
              <w:pStyle w:val="TableParagraph"/>
              <w:spacing w:before="65"/>
              <w:ind w:left="107"/>
              <w:jc w:val="left"/>
              <w:rPr>
                <w:b/>
                <w:sz w:val="20"/>
              </w:rPr>
            </w:pPr>
            <w:r>
              <w:rPr>
                <w:b/>
                <w:sz w:val="20"/>
              </w:rPr>
              <w:t>Gas</w:t>
            </w:r>
          </w:p>
        </w:tc>
        <w:tc>
          <w:tcPr>
            <w:tcW w:w="1279" w:type="dxa"/>
            <w:shd w:val="clear" w:color="auto" w:fill="D9D9D9"/>
          </w:tcPr>
          <w:p w:rsidR="007C5447" w:rsidRDefault="007C5447">
            <w:pPr>
              <w:pStyle w:val="TableParagraph"/>
              <w:jc w:val="left"/>
              <w:rPr>
                <w:sz w:val="20"/>
              </w:rPr>
            </w:pPr>
          </w:p>
        </w:tc>
        <w:tc>
          <w:tcPr>
            <w:tcW w:w="1277" w:type="dxa"/>
            <w:shd w:val="clear" w:color="auto" w:fill="D9D9D9"/>
          </w:tcPr>
          <w:p w:rsidR="007C5447" w:rsidRDefault="007C5447">
            <w:pPr>
              <w:pStyle w:val="TableParagraph"/>
              <w:jc w:val="left"/>
              <w:rPr>
                <w:sz w:val="20"/>
              </w:rPr>
            </w:pPr>
          </w:p>
        </w:tc>
        <w:tc>
          <w:tcPr>
            <w:tcW w:w="1274" w:type="dxa"/>
            <w:shd w:val="clear" w:color="auto" w:fill="D9D9D9"/>
          </w:tcPr>
          <w:p w:rsidR="007C5447" w:rsidRDefault="007C5447">
            <w:pPr>
              <w:pStyle w:val="TableParagraph"/>
              <w:jc w:val="left"/>
              <w:rPr>
                <w:sz w:val="20"/>
              </w:rPr>
            </w:pPr>
          </w:p>
        </w:tc>
        <w:tc>
          <w:tcPr>
            <w:tcW w:w="1277" w:type="dxa"/>
            <w:shd w:val="clear" w:color="auto" w:fill="D9D9D9"/>
          </w:tcPr>
          <w:p w:rsidR="007C5447" w:rsidRDefault="007C5447">
            <w:pPr>
              <w:pStyle w:val="TableParagraph"/>
              <w:jc w:val="left"/>
              <w:rPr>
                <w:sz w:val="20"/>
              </w:rPr>
            </w:pPr>
          </w:p>
        </w:tc>
        <w:tc>
          <w:tcPr>
            <w:tcW w:w="1276" w:type="dxa"/>
            <w:shd w:val="clear" w:color="auto" w:fill="D9D9D9"/>
          </w:tcPr>
          <w:p w:rsidR="007C5447" w:rsidRDefault="007C5447">
            <w:pPr>
              <w:pStyle w:val="TableParagraph"/>
              <w:jc w:val="left"/>
              <w:rPr>
                <w:sz w:val="20"/>
              </w:rPr>
            </w:pPr>
          </w:p>
        </w:tc>
      </w:tr>
      <w:tr w:rsidR="007C5447">
        <w:trPr>
          <w:trHeight w:val="359"/>
        </w:trPr>
        <w:tc>
          <w:tcPr>
            <w:tcW w:w="703" w:type="dxa"/>
          </w:tcPr>
          <w:p w:rsidR="007C5447" w:rsidRDefault="00F6308C">
            <w:pPr>
              <w:pStyle w:val="TableParagraph"/>
              <w:spacing w:before="65"/>
              <w:ind w:right="291"/>
              <w:rPr>
                <w:sz w:val="20"/>
              </w:rPr>
            </w:pPr>
            <w:r>
              <w:rPr>
                <w:w w:val="99"/>
                <w:sz w:val="20"/>
              </w:rPr>
              <w:t>1</w:t>
            </w:r>
          </w:p>
        </w:tc>
        <w:tc>
          <w:tcPr>
            <w:tcW w:w="2559" w:type="dxa"/>
          </w:tcPr>
          <w:p w:rsidR="007C5447" w:rsidRDefault="00F6308C">
            <w:pPr>
              <w:pStyle w:val="TableParagraph"/>
              <w:spacing w:before="65"/>
              <w:ind w:left="107"/>
              <w:jc w:val="left"/>
              <w:rPr>
                <w:sz w:val="20"/>
              </w:rPr>
            </w:pPr>
            <w:r>
              <w:rPr>
                <w:sz w:val="20"/>
              </w:rPr>
              <w:t>Tirumakottai GTPS</w:t>
            </w:r>
          </w:p>
        </w:tc>
        <w:tc>
          <w:tcPr>
            <w:tcW w:w="1279" w:type="dxa"/>
          </w:tcPr>
          <w:p w:rsidR="007C5447" w:rsidRDefault="00F6308C">
            <w:pPr>
              <w:pStyle w:val="TableParagraph"/>
              <w:spacing w:before="65"/>
              <w:ind w:left="484"/>
              <w:jc w:val="left"/>
              <w:rPr>
                <w:sz w:val="20"/>
              </w:rPr>
            </w:pPr>
            <w:r>
              <w:rPr>
                <w:sz w:val="20"/>
              </w:rPr>
              <w:t>6.05%</w:t>
            </w:r>
          </w:p>
        </w:tc>
        <w:tc>
          <w:tcPr>
            <w:tcW w:w="1277" w:type="dxa"/>
          </w:tcPr>
          <w:p w:rsidR="007C5447" w:rsidRDefault="00F6308C">
            <w:pPr>
              <w:pStyle w:val="TableParagraph"/>
              <w:spacing w:before="65"/>
              <w:ind w:left="480"/>
              <w:jc w:val="left"/>
              <w:rPr>
                <w:sz w:val="20"/>
              </w:rPr>
            </w:pPr>
            <w:r>
              <w:rPr>
                <w:sz w:val="20"/>
              </w:rPr>
              <w:t>6.13%</w:t>
            </w:r>
          </w:p>
        </w:tc>
        <w:tc>
          <w:tcPr>
            <w:tcW w:w="1274" w:type="dxa"/>
          </w:tcPr>
          <w:p w:rsidR="007C5447" w:rsidRDefault="00F6308C">
            <w:pPr>
              <w:pStyle w:val="TableParagraph"/>
              <w:spacing w:before="65"/>
              <w:ind w:left="480"/>
              <w:jc w:val="left"/>
              <w:rPr>
                <w:sz w:val="20"/>
              </w:rPr>
            </w:pPr>
            <w:r>
              <w:rPr>
                <w:sz w:val="20"/>
              </w:rPr>
              <w:t>8.36%</w:t>
            </w:r>
          </w:p>
        </w:tc>
        <w:tc>
          <w:tcPr>
            <w:tcW w:w="1277" w:type="dxa"/>
          </w:tcPr>
          <w:p w:rsidR="007C5447" w:rsidRDefault="00F6308C">
            <w:pPr>
              <w:pStyle w:val="TableParagraph"/>
              <w:spacing w:before="65"/>
              <w:ind w:left="481"/>
              <w:jc w:val="left"/>
              <w:rPr>
                <w:sz w:val="20"/>
              </w:rPr>
            </w:pPr>
            <w:r>
              <w:rPr>
                <w:sz w:val="20"/>
              </w:rPr>
              <w:t>7.84%</w:t>
            </w:r>
          </w:p>
        </w:tc>
        <w:tc>
          <w:tcPr>
            <w:tcW w:w="1276" w:type="dxa"/>
          </w:tcPr>
          <w:p w:rsidR="007C5447" w:rsidRDefault="00F6308C">
            <w:pPr>
              <w:pStyle w:val="TableParagraph"/>
              <w:spacing w:before="65"/>
              <w:ind w:left="481"/>
              <w:jc w:val="left"/>
              <w:rPr>
                <w:sz w:val="20"/>
              </w:rPr>
            </w:pPr>
            <w:r>
              <w:rPr>
                <w:sz w:val="20"/>
              </w:rPr>
              <w:t>9.07%</w:t>
            </w:r>
          </w:p>
        </w:tc>
      </w:tr>
      <w:tr w:rsidR="007C5447">
        <w:trPr>
          <w:trHeight w:val="359"/>
        </w:trPr>
        <w:tc>
          <w:tcPr>
            <w:tcW w:w="703" w:type="dxa"/>
          </w:tcPr>
          <w:p w:rsidR="007C5447" w:rsidRDefault="00F6308C">
            <w:pPr>
              <w:pStyle w:val="TableParagraph"/>
              <w:spacing w:before="65"/>
              <w:ind w:right="291"/>
              <w:rPr>
                <w:sz w:val="20"/>
              </w:rPr>
            </w:pPr>
            <w:r>
              <w:rPr>
                <w:w w:val="99"/>
                <w:sz w:val="20"/>
              </w:rPr>
              <w:t>2</w:t>
            </w:r>
          </w:p>
        </w:tc>
        <w:tc>
          <w:tcPr>
            <w:tcW w:w="2559" w:type="dxa"/>
          </w:tcPr>
          <w:p w:rsidR="007C5447" w:rsidRDefault="00F6308C">
            <w:pPr>
              <w:pStyle w:val="TableParagraph"/>
              <w:spacing w:before="65"/>
              <w:ind w:left="107"/>
              <w:jc w:val="left"/>
              <w:rPr>
                <w:sz w:val="20"/>
              </w:rPr>
            </w:pPr>
            <w:r>
              <w:rPr>
                <w:sz w:val="20"/>
              </w:rPr>
              <w:t>Kuttalam GTPS</w:t>
            </w:r>
          </w:p>
        </w:tc>
        <w:tc>
          <w:tcPr>
            <w:tcW w:w="1279" w:type="dxa"/>
          </w:tcPr>
          <w:p w:rsidR="007C5447" w:rsidRDefault="00F6308C">
            <w:pPr>
              <w:pStyle w:val="TableParagraph"/>
              <w:spacing w:before="65"/>
              <w:ind w:left="484"/>
              <w:jc w:val="left"/>
              <w:rPr>
                <w:sz w:val="20"/>
              </w:rPr>
            </w:pPr>
            <w:r>
              <w:rPr>
                <w:sz w:val="20"/>
              </w:rPr>
              <w:t>7.02%</w:t>
            </w:r>
          </w:p>
        </w:tc>
        <w:tc>
          <w:tcPr>
            <w:tcW w:w="1277" w:type="dxa"/>
          </w:tcPr>
          <w:p w:rsidR="007C5447" w:rsidRDefault="00F6308C">
            <w:pPr>
              <w:pStyle w:val="TableParagraph"/>
              <w:spacing w:before="65"/>
              <w:ind w:left="480"/>
              <w:jc w:val="left"/>
              <w:rPr>
                <w:sz w:val="20"/>
              </w:rPr>
            </w:pPr>
            <w:r>
              <w:rPr>
                <w:sz w:val="20"/>
              </w:rPr>
              <w:t>8.50%</w:t>
            </w:r>
          </w:p>
        </w:tc>
        <w:tc>
          <w:tcPr>
            <w:tcW w:w="1274" w:type="dxa"/>
          </w:tcPr>
          <w:p w:rsidR="007C5447" w:rsidRDefault="00F6308C">
            <w:pPr>
              <w:pStyle w:val="TableParagraph"/>
              <w:spacing w:before="65"/>
              <w:ind w:left="480"/>
              <w:jc w:val="left"/>
              <w:rPr>
                <w:sz w:val="20"/>
              </w:rPr>
            </w:pPr>
            <w:r>
              <w:rPr>
                <w:sz w:val="20"/>
              </w:rPr>
              <w:t>7.32%</w:t>
            </w:r>
          </w:p>
        </w:tc>
        <w:tc>
          <w:tcPr>
            <w:tcW w:w="1277" w:type="dxa"/>
          </w:tcPr>
          <w:p w:rsidR="007C5447" w:rsidRDefault="00F6308C">
            <w:pPr>
              <w:pStyle w:val="TableParagraph"/>
              <w:spacing w:before="65"/>
              <w:ind w:left="481"/>
              <w:jc w:val="left"/>
              <w:rPr>
                <w:sz w:val="20"/>
              </w:rPr>
            </w:pPr>
            <w:r>
              <w:rPr>
                <w:sz w:val="20"/>
              </w:rPr>
              <w:t>7.65%</w:t>
            </w:r>
          </w:p>
        </w:tc>
        <w:tc>
          <w:tcPr>
            <w:tcW w:w="1276" w:type="dxa"/>
          </w:tcPr>
          <w:p w:rsidR="007C5447" w:rsidRDefault="00F6308C">
            <w:pPr>
              <w:pStyle w:val="TableParagraph"/>
              <w:spacing w:before="65"/>
              <w:ind w:left="481"/>
              <w:jc w:val="left"/>
              <w:rPr>
                <w:sz w:val="20"/>
              </w:rPr>
            </w:pPr>
            <w:r>
              <w:rPr>
                <w:sz w:val="20"/>
              </w:rPr>
              <w:t>2.00%</w:t>
            </w:r>
          </w:p>
        </w:tc>
      </w:tr>
      <w:tr w:rsidR="007C5447">
        <w:trPr>
          <w:trHeight w:val="359"/>
        </w:trPr>
        <w:tc>
          <w:tcPr>
            <w:tcW w:w="703" w:type="dxa"/>
          </w:tcPr>
          <w:p w:rsidR="007C5447" w:rsidRDefault="00F6308C">
            <w:pPr>
              <w:pStyle w:val="TableParagraph"/>
              <w:spacing w:before="65"/>
              <w:ind w:right="291"/>
              <w:rPr>
                <w:sz w:val="20"/>
              </w:rPr>
            </w:pPr>
            <w:r>
              <w:rPr>
                <w:w w:val="99"/>
                <w:sz w:val="20"/>
              </w:rPr>
              <w:t>3</w:t>
            </w:r>
          </w:p>
        </w:tc>
        <w:tc>
          <w:tcPr>
            <w:tcW w:w="2559" w:type="dxa"/>
          </w:tcPr>
          <w:p w:rsidR="007C5447" w:rsidRDefault="00F6308C">
            <w:pPr>
              <w:pStyle w:val="TableParagraph"/>
              <w:spacing w:before="65"/>
              <w:ind w:left="107"/>
              <w:jc w:val="left"/>
              <w:rPr>
                <w:sz w:val="20"/>
              </w:rPr>
            </w:pPr>
            <w:r>
              <w:rPr>
                <w:sz w:val="20"/>
              </w:rPr>
              <w:t>Basin Bridge GTPS</w:t>
            </w:r>
          </w:p>
        </w:tc>
        <w:tc>
          <w:tcPr>
            <w:tcW w:w="1279" w:type="dxa"/>
          </w:tcPr>
          <w:p w:rsidR="007C5447" w:rsidRDefault="00F6308C">
            <w:pPr>
              <w:pStyle w:val="TableParagraph"/>
              <w:spacing w:before="65"/>
              <w:ind w:left="484"/>
              <w:jc w:val="left"/>
              <w:rPr>
                <w:sz w:val="20"/>
              </w:rPr>
            </w:pPr>
            <w:r>
              <w:rPr>
                <w:sz w:val="20"/>
              </w:rPr>
              <w:t>0.57%</w:t>
            </w:r>
          </w:p>
        </w:tc>
        <w:tc>
          <w:tcPr>
            <w:tcW w:w="1277" w:type="dxa"/>
          </w:tcPr>
          <w:p w:rsidR="007C5447" w:rsidRDefault="00F6308C">
            <w:pPr>
              <w:pStyle w:val="TableParagraph"/>
              <w:spacing w:before="65"/>
              <w:ind w:left="480"/>
              <w:jc w:val="left"/>
              <w:rPr>
                <w:sz w:val="20"/>
              </w:rPr>
            </w:pPr>
            <w:r>
              <w:rPr>
                <w:sz w:val="20"/>
              </w:rPr>
              <w:t>0.96%</w:t>
            </w:r>
          </w:p>
        </w:tc>
        <w:tc>
          <w:tcPr>
            <w:tcW w:w="1274" w:type="dxa"/>
          </w:tcPr>
          <w:p w:rsidR="007C5447" w:rsidRDefault="00F6308C">
            <w:pPr>
              <w:pStyle w:val="TableParagraph"/>
              <w:spacing w:before="65"/>
              <w:ind w:left="480"/>
              <w:jc w:val="left"/>
              <w:rPr>
                <w:sz w:val="20"/>
              </w:rPr>
            </w:pPr>
            <w:r>
              <w:rPr>
                <w:sz w:val="20"/>
              </w:rPr>
              <w:t>5.06%</w:t>
            </w:r>
          </w:p>
        </w:tc>
        <w:tc>
          <w:tcPr>
            <w:tcW w:w="1277" w:type="dxa"/>
          </w:tcPr>
          <w:p w:rsidR="007C5447" w:rsidRDefault="00F6308C">
            <w:pPr>
              <w:pStyle w:val="TableParagraph"/>
              <w:spacing w:before="65"/>
              <w:ind w:left="730"/>
              <w:jc w:val="left"/>
              <w:rPr>
                <w:sz w:val="20"/>
              </w:rPr>
            </w:pPr>
            <w:r>
              <w:rPr>
                <w:sz w:val="20"/>
              </w:rPr>
              <w:t>0%</w:t>
            </w:r>
          </w:p>
        </w:tc>
        <w:tc>
          <w:tcPr>
            <w:tcW w:w="1276" w:type="dxa"/>
          </w:tcPr>
          <w:p w:rsidR="007C5447" w:rsidRDefault="00F6308C">
            <w:pPr>
              <w:pStyle w:val="TableParagraph"/>
              <w:spacing w:before="65"/>
              <w:ind w:left="730"/>
              <w:jc w:val="left"/>
              <w:rPr>
                <w:sz w:val="20"/>
              </w:rPr>
            </w:pPr>
            <w:r>
              <w:rPr>
                <w:sz w:val="20"/>
              </w:rPr>
              <w:t>0%</w:t>
            </w:r>
          </w:p>
        </w:tc>
      </w:tr>
      <w:tr w:rsidR="007C5447">
        <w:trPr>
          <w:trHeight w:val="362"/>
        </w:trPr>
        <w:tc>
          <w:tcPr>
            <w:tcW w:w="703" w:type="dxa"/>
          </w:tcPr>
          <w:p w:rsidR="007C5447" w:rsidRDefault="00F6308C">
            <w:pPr>
              <w:pStyle w:val="TableParagraph"/>
              <w:spacing w:before="65"/>
              <w:ind w:right="291"/>
              <w:rPr>
                <w:sz w:val="20"/>
              </w:rPr>
            </w:pPr>
            <w:r>
              <w:rPr>
                <w:w w:val="99"/>
                <w:sz w:val="20"/>
              </w:rPr>
              <w:t>4</w:t>
            </w:r>
          </w:p>
        </w:tc>
        <w:tc>
          <w:tcPr>
            <w:tcW w:w="2559" w:type="dxa"/>
          </w:tcPr>
          <w:p w:rsidR="007C5447" w:rsidRDefault="00F6308C">
            <w:pPr>
              <w:pStyle w:val="TableParagraph"/>
              <w:spacing w:before="65"/>
              <w:ind w:left="107"/>
              <w:jc w:val="left"/>
              <w:rPr>
                <w:sz w:val="20"/>
              </w:rPr>
            </w:pPr>
            <w:r>
              <w:rPr>
                <w:sz w:val="20"/>
              </w:rPr>
              <w:t>Valathur GTPS Unit I</w:t>
            </w:r>
          </w:p>
        </w:tc>
        <w:tc>
          <w:tcPr>
            <w:tcW w:w="1279" w:type="dxa"/>
          </w:tcPr>
          <w:p w:rsidR="007C5447" w:rsidRDefault="00F6308C">
            <w:pPr>
              <w:pStyle w:val="TableParagraph"/>
              <w:spacing w:before="65"/>
              <w:ind w:left="484"/>
              <w:jc w:val="left"/>
              <w:rPr>
                <w:sz w:val="20"/>
              </w:rPr>
            </w:pPr>
            <w:r>
              <w:rPr>
                <w:sz w:val="20"/>
              </w:rPr>
              <w:t>6.00%</w:t>
            </w:r>
          </w:p>
        </w:tc>
        <w:tc>
          <w:tcPr>
            <w:tcW w:w="1277" w:type="dxa"/>
          </w:tcPr>
          <w:p w:rsidR="007C5447" w:rsidRDefault="00F6308C">
            <w:pPr>
              <w:pStyle w:val="TableParagraph"/>
              <w:spacing w:before="65"/>
              <w:ind w:left="480"/>
              <w:jc w:val="left"/>
              <w:rPr>
                <w:sz w:val="20"/>
              </w:rPr>
            </w:pPr>
            <w:r>
              <w:rPr>
                <w:sz w:val="20"/>
              </w:rPr>
              <w:t>5.76%</w:t>
            </w:r>
          </w:p>
        </w:tc>
        <w:tc>
          <w:tcPr>
            <w:tcW w:w="1274" w:type="dxa"/>
          </w:tcPr>
          <w:p w:rsidR="007C5447" w:rsidRDefault="00F6308C">
            <w:pPr>
              <w:pStyle w:val="TableParagraph"/>
              <w:spacing w:before="65"/>
              <w:ind w:left="480"/>
              <w:jc w:val="left"/>
              <w:rPr>
                <w:sz w:val="20"/>
              </w:rPr>
            </w:pPr>
            <w:r>
              <w:rPr>
                <w:sz w:val="20"/>
              </w:rPr>
              <w:t>5.81%</w:t>
            </w:r>
          </w:p>
        </w:tc>
        <w:tc>
          <w:tcPr>
            <w:tcW w:w="1277" w:type="dxa"/>
            <w:vMerge w:val="restart"/>
          </w:tcPr>
          <w:p w:rsidR="007C5447" w:rsidRDefault="007C5447">
            <w:pPr>
              <w:pStyle w:val="TableParagraph"/>
              <w:spacing w:before="10"/>
              <w:jc w:val="left"/>
              <w:rPr>
                <w:b/>
                <w:sz w:val="21"/>
              </w:rPr>
            </w:pPr>
          </w:p>
          <w:p w:rsidR="007C5447" w:rsidRDefault="00F6308C">
            <w:pPr>
              <w:pStyle w:val="TableParagraph"/>
              <w:spacing w:before="1"/>
              <w:ind w:left="481"/>
              <w:jc w:val="left"/>
              <w:rPr>
                <w:sz w:val="20"/>
              </w:rPr>
            </w:pPr>
            <w:r>
              <w:rPr>
                <w:sz w:val="20"/>
              </w:rPr>
              <w:t>7.86%</w:t>
            </w:r>
          </w:p>
        </w:tc>
        <w:tc>
          <w:tcPr>
            <w:tcW w:w="1276" w:type="dxa"/>
            <w:vMerge w:val="restart"/>
          </w:tcPr>
          <w:p w:rsidR="007C5447" w:rsidRDefault="007C5447">
            <w:pPr>
              <w:pStyle w:val="TableParagraph"/>
              <w:spacing w:before="10"/>
              <w:jc w:val="left"/>
              <w:rPr>
                <w:b/>
                <w:sz w:val="21"/>
              </w:rPr>
            </w:pPr>
          </w:p>
          <w:p w:rsidR="007C5447" w:rsidRDefault="00F6308C">
            <w:pPr>
              <w:pStyle w:val="TableParagraph"/>
              <w:spacing w:before="1"/>
              <w:ind w:left="481"/>
              <w:jc w:val="left"/>
              <w:rPr>
                <w:sz w:val="20"/>
              </w:rPr>
            </w:pPr>
            <w:r>
              <w:rPr>
                <w:sz w:val="20"/>
              </w:rPr>
              <w:t>5.65%</w:t>
            </w:r>
          </w:p>
        </w:tc>
      </w:tr>
      <w:tr w:rsidR="007C5447">
        <w:trPr>
          <w:trHeight w:val="359"/>
        </w:trPr>
        <w:tc>
          <w:tcPr>
            <w:tcW w:w="703" w:type="dxa"/>
          </w:tcPr>
          <w:p w:rsidR="007C5447" w:rsidRDefault="00F6308C">
            <w:pPr>
              <w:pStyle w:val="TableParagraph"/>
              <w:spacing w:before="65"/>
              <w:ind w:right="291"/>
              <w:rPr>
                <w:sz w:val="20"/>
              </w:rPr>
            </w:pPr>
            <w:r>
              <w:rPr>
                <w:w w:val="99"/>
                <w:sz w:val="20"/>
              </w:rPr>
              <w:t>5</w:t>
            </w:r>
          </w:p>
        </w:tc>
        <w:tc>
          <w:tcPr>
            <w:tcW w:w="2559" w:type="dxa"/>
          </w:tcPr>
          <w:p w:rsidR="007C5447" w:rsidRDefault="00F6308C">
            <w:pPr>
              <w:pStyle w:val="TableParagraph"/>
              <w:spacing w:before="65"/>
              <w:ind w:left="107"/>
              <w:jc w:val="left"/>
              <w:rPr>
                <w:sz w:val="20"/>
              </w:rPr>
            </w:pPr>
            <w:r>
              <w:rPr>
                <w:sz w:val="20"/>
              </w:rPr>
              <w:t>Valathur GTPS Unit II</w:t>
            </w:r>
          </w:p>
        </w:tc>
        <w:tc>
          <w:tcPr>
            <w:tcW w:w="1279" w:type="dxa"/>
          </w:tcPr>
          <w:p w:rsidR="007C5447" w:rsidRDefault="00F6308C">
            <w:pPr>
              <w:pStyle w:val="TableParagraph"/>
              <w:spacing w:before="65"/>
              <w:ind w:left="484"/>
              <w:jc w:val="left"/>
              <w:rPr>
                <w:sz w:val="20"/>
              </w:rPr>
            </w:pPr>
            <w:r>
              <w:rPr>
                <w:sz w:val="20"/>
              </w:rPr>
              <w:t>6.12%</w:t>
            </w:r>
          </w:p>
        </w:tc>
        <w:tc>
          <w:tcPr>
            <w:tcW w:w="1277" w:type="dxa"/>
          </w:tcPr>
          <w:p w:rsidR="007C5447" w:rsidRDefault="00F6308C">
            <w:pPr>
              <w:pStyle w:val="TableParagraph"/>
              <w:spacing w:before="65"/>
              <w:ind w:left="480"/>
              <w:jc w:val="left"/>
              <w:rPr>
                <w:sz w:val="20"/>
              </w:rPr>
            </w:pPr>
            <w:r>
              <w:rPr>
                <w:sz w:val="20"/>
              </w:rPr>
              <w:t>5.59%</w:t>
            </w:r>
          </w:p>
        </w:tc>
        <w:tc>
          <w:tcPr>
            <w:tcW w:w="1274" w:type="dxa"/>
          </w:tcPr>
          <w:p w:rsidR="007C5447" w:rsidRDefault="00F6308C">
            <w:pPr>
              <w:pStyle w:val="TableParagraph"/>
              <w:spacing w:before="65"/>
              <w:ind w:left="480"/>
              <w:jc w:val="left"/>
              <w:rPr>
                <w:sz w:val="20"/>
              </w:rPr>
            </w:pPr>
            <w:r>
              <w:rPr>
                <w:sz w:val="20"/>
              </w:rPr>
              <w:t>6.17%</w:t>
            </w:r>
          </w:p>
        </w:tc>
        <w:tc>
          <w:tcPr>
            <w:tcW w:w="1277" w:type="dxa"/>
            <w:vMerge/>
            <w:tcBorders>
              <w:top w:val="nil"/>
            </w:tcBorders>
          </w:tcPr>
          <w:p w:rsidR="007C5447" w:rsidRDefault="007C5447">
            <w:pPr>
              <w:rPr>
                <w:sz w:val="2"/>
                <w:szCs w:val="2"/>
              </w:rPr>
            </w:pPr>
          </w:p>
        </w:tc>
        <w:tc>
          <w:tcPr>
            <w:tcW w:w="1276" w:type="dxa"/>
            <w:vMerge/>
            <w:tcBorders>
              <w:top w:val="nil"/>
            </w:tcBorders>
          </w:tcPr>
          <w:p w:rsidR="007C5447" w:rsidRDefault="007C5447">
            <w:pPr>
              <w:rPr>
                <w:sz w:val="2"/>
                <w:szCs w:val="2"/>
              </w:rPr>
            </w:pPr>
          </w:p>
        </w:tc>
      </w:tr>
      <w:tr w:rsidR="007C5447">
        <w:trPr>
          <w:trHeight w:val="359"/>
        </w:trPr>
        <w:tc>
          <w:tcPr>
            <w:tcW w:w="703" w:type="dxa"/>
            <w:shd w:val="clear" w:color="auto" w:fill="D9D9D9"/>
          </w:tcPr>
          <w:p w:rsidR="007C5447" w:rsidRDefault="00F6308C">
            <w:pPr>
              <w:pStyle w:val="TableParagraph"/>
              <w:spacing w:before="65"/>
              <w:ind w:right="268"/>
              <w:rPr>
                <w:b/>
                <w:sz w:val="20"/>
              </w:rPr>
            </w:pPr>
            <w:r>
              <w:rPr>
                <w:b/>
                <w:w w:val="99"/>
                <w:sz w:val="20"/>
              </w:rPr>
              <w:t>C</w:t>
            </w:r>
          </w:p>
        </w:tc>
        <w:tc>
          <w:tcPr>
            <w:tcW w:w="2559" w:type="dxa"/>
            <w:shd w:val="clear" w:color="auto" w:fill="D9D9D9"/>
          </w:tcPr>
          <w:p w:rsidR="007C5447" w:rsidRDefault="00F6308C">
            <w:pPr>
              <w:pStyle w:val="TableParagraph"/>
              <w:spacing w:before="65"/>
              <w:ind w:left="107"/>
              <w:jc w:val="left"/>
              <w:rPr>
                <w:b/>
                <w:sz w:val="20"/>
              </w:rPr>
            </w:pPr>
            <w:r>
              <w:rPr>
                <w:b/>
                <w:sz w:val="20"/>
              </w:rPr>
              <w:t>Hydro</w:t>
            </w:r>
          </w:p>
        </w:tc>
        <w:tc>
          <w:tcPr>
            <w:tcW w:w="1279" w:type="dxa"/>
            <w:shd w:val="clear" w:color="auto" w:fill="D9D9D9"/>
          </w:tcPr>
          <w:p w:rsidR="007C5447" w:rsidRDefault="007C5447">
            <w:pPr>
              <w:pStyle w:val="TableParagraph"/>
              <w:jc w:val="left"/>
              <w:rPr>
                <w:sz w:val="20"/>
              </w:rPr>
            </w:pPr>
          </w:p>
        </w:tc>
        <w:tc>
          <w:tcPr>
            <w:tcW w:w="1277" w:type="dxa"/>
            <w:shd w:val="clear" w:color="auto" w:fill="D9D9D9"/>
          </w:tcPr>
          <w:p w:rsidR="007C5447" w:rsidRDefault="007C5447">
            <w:pPr>
              <w:pStyle w:val="TableParagraph"/>
              <w:jc w:val="left"/>
              <w:rPr>
                <w:sz w:val="20"/>
              </w:rPr>
            </w:pPr>
          </w:p>
        </w:tc>
        <w:tc>
          <w:tcPr>
            <w:tcW w:w="1274" w:type="dxa"/>
            <w:shd w:val="clear" w:color="auto" w:fill="D9D9D9"/>
          </w:tcPr>
          <w:p w:rsidR="007C5447" w:rsidRDefault="007C5447">
            <w:pPr>
              <w:pStyle w:val="TableParagraph"/>
              <w:jc w:val="left"/>
              <w:rPr>
                <w:sz w:val="20"/>
              </w:rPr>
            </w:pPr>
          </w:p>
        </w:tc>
        <w:tc>
          <w:tcPr>
            <w:tcW w:w="1277" w:type="dxa"/>
            <w:shd w:val="clear" w:color="auto" w:fill="D9D9D9"/>
          </w:tcPr>
          <w:p w:rsidR="007C5447" w:rsidRDefault="007C5447">
            <w:pPr>
              <w:pStyle w:val="TableParagraph"/>
              <w:jc w:val="left"/>
              <w:rPr>
                <w:sz w:val="20"/>
              </w:rPr>
            </w:pPr>
          </w:p>
        </w:tc>
        <w:tc>
          <w:tcPr>
            <w:tcW w:w="1276" w:type="dxa"/>
            <w:shd w:val="clear" w:color="auto" w:fill="D9D9D9"/>
          </w:tcPr>
          <w:p w:rsidR="007C5447" w:rsidRDefault="007C5447">
            <w:pPr>
              <w:pStyle w:val="TableParagraph"/>
              <w:jc w:val="left"/>
              <w:rPr>
                <w:sz w:val="20"/>
              </w:rPr>
            </w:pPr>
          </w:p>
        </w:tc>
      </w:tr>
      <w:tr w:rsidR="007C5447">
        <w:trPr>
          <w:trHeight w:val="360"/>
        </w:trPr>
        <w:tc>
          <w:tcPr>
            <w:tcW w:w="703" w:type="dxa"/>
          </w:tcPr>
          <w:p w:rsidR="007C5447" w:rsidRDefault="00F6308C">
            <w:pPr>
              <w:pStyle w:val="TableParagraph"/>
              <w:spacing w:before="65"/>
              <w:ind w:left="107"/>
              <w:jc w:val="left"/>
              <w:rPr>
                <w:sz w:val="20"/>
              </w:rPr>
            </w:pPr>
            <w:r>
              <w:rPr>
                <w:w w:val="99"/>
                <w:sz w:val="20"/>
              </w:rPr>
              <w:t>1</w:t>
            </w:r>
          </w:p>
        </w:tc>
        <w:tc>
          <w:tcPr>
            <w:tcW w:w="2559" w:type="dxa"/>
          </w:tcPr>
          <w:p w:rsidR="007C5447" w:rsidRDefault="00F6308C">
            <w:pPr>
              <w:pStyle w:val="TableParagraph"/>
              <w:spacing w:before="65"/>
              <w:ind w:left="107"/>
              <w:jc w:val="left"/>
              <w:rPr>
                <w:sz w:val="20"/>
              </w:rPr>
            </w:pPr>
            <w:r>
              <w:rPr>
                <w:sz w:val="20"/>
              </w:rPr>
              <w:t>Kundah Generation Circle</w:t>
            </w:r>
          </w:p>
        </w:tc>
        <w:tc>
          <w:tcPr>
            <w:tcW w:w="1279" w:type="dxa"/>
          </w:tcPr>
          <w:p w:rsidR="007C5447" w:rsidRDefault="00F6308C">
            <w:pPr>
              <w:pStyle w:val="TableParagraph"/>
              <w:spacing w:before="65"/>
              <w:ind w:left="484"/>
              <w:jc w:val="left"/>
              <w:rPr>
                <w:sz w:val="20"/>
              </w:rPr>
            </w:pPr>
            <w:r>
              <w:rPr>
                <w:sz w:val="20"/>
              </w:rPr>
              <w:t>0.00%</w:t>
            </w:r>
          </w:p>
        </w:tc>
        <w:tc>
          <w:tcPr>
            <w:tcW w:w="1277" w:type="dxa"/>
          </w:tcPr>
          <w:p w:rsidR="007C5447" w:rsidRDefault="00F6308C">
            <w:pPr>
              <w:pStyle w:val="TableParagraph"/>
              <w:spacing w:before="65"/>
              <w:ind w:left="480"/>
              <w:jc w:val="left"/>
              <w:rPr>
                <w:sz w:val="20"/>
              </w:rPr>
            </w:pPr>
            <w:r>
              <w:rPr>
                <w:sz w:val="20"/>
              </w:rPr>
              <w:t>0.00%</w:t>
            </w:r>
          </w:p>
        </w:tc>
        <w:tc>
          <w:tcPr>
            <w:tcW w:w="1274" w:type="dxa"/>
          </w:tcPr>
          <w:p w:rsidR="007C5447" w:rsidRDefault="00F6308C">
            <w:pPr>
              <w:pStyle w:val="TableParagraph"/>
              <w:spacing w:before="65"/>
              <w:ind w:left="480"/>
              <w:jc w:val="left"/>
              <w:rPr>
                <w:sz w:val="20"/>
              </w:rPr>
            </w:pPr>
            <w:r>
              <w:rPr>
                <w:sz w:val="20"/>
              </w:rPr>
              <w:t>0.00%</w:t>
            </w:r>
          </w:p>
        </w:tc>
        <w:tc>
          <w:tcPr>
            <w:tcW w:w="1277" w:type="dxa"/>
          </w:tcPr>
          <w:p w:rsidR="007C5447" w:rsidRDefault="00F6308C">
            <w:pPr>
              <w:pStyle w:val="TableParagraph"/>
              <w:spacing w:before="65"/>
              <w:ind w:left="481"/>
              <w:jc w:val="left"/>
              <w:rPr>
                <w:sz w:val="20"/>
              </w:rPr>
            </w:pPr>
            <w:r>
              <w:rPr>
                <w:sz w:val="20"/>
              </w:rPr>
              <w:t>0.41%</w:t>
            </w:r>
          </w:p>
        </w:tc>
        <w:tc>
          <w:tcPr>
            <w:tcW w:w="1276" w:type="dxa"/>
          </w:tcPr>
          <w:p w:rsidR="007C5447" w:rsidRDefault="00F6308C">
            <w:pPr>
              <w:pStyle w:val="TableParagraph"/>
              <w:spacing w:before="65"/>
              <w:ind w:left="481"/>
              <w:jc w:val="left"/>
              <w:rPr>
                <w:sz w:val="20"/>
              </w:rPr>
            </w:pPr>
            <w:r>
              <w:rPr>
                <w:sz w:val="20"/>
              </w:rPr>
              <w:t>0.50%</w:t>
            </w:r>
          </w:p>
        </w:tc>
      </w:tr>
      <w:tr w:rsidR="007C5447">
        <w:trPr>
          <w:trHeight w:val="489"/>
        </w:trPr>
        <w:tc>
          <w:tcPr>
            <w:tcW w:w="703" w:type="dxa"/>
          </w:tcPr>
          <w:p w:rsidR="007C5447" w:rsidRDefault="00F6308C">
            <w:pPr>
              <w:pStyle w:val="TableParagraph"/>
              <w:spacing w:before="130"/>
              <w:ind w:left="107"/>
              <w:jc w:val="left"/>
              <w:rPr>
                <w:sz w:val="20"/>
              </w:rPr>
            </w:pPr>
            <w:r>
              <w:rPr>
                <w:w w:val="99"/>
                <w:sz w:val="20"/>
              </w:rPr>
              <w:t>2</w:t>
            </w:r>
          </w:p>
        </w:tc>
        <w:tc>
          <w:tcPr>
            <w:tcW w:w="2559" w:type="dxa"/>
          </w:tcPr>
          <w:p w:rsidR="007C5447" w:rsidRDefault="00F6308C">
            <w:pPr>
              <w:pStyle w:val="TableParagraph"/>
              <w:spacing w:before="14" w:line="230" w:lineRule="atLeast"/>
              <w:ind w:left="107" w:right="506"/>
              <w:jc w:val="left"/>
              <w:rPr>
                <w:sz w:val="20"/>
              </w:rPr>
            </w:pPr>
            <w:r>
              <w:rPr>
                <w:sz w:val="20"/>
              </w:rPr>
              <w:t>Kadamparai Generation Circle</w:t>
            </w:r>
          </w:p>
        </w:tc>
        <w:tc>
          <w:tcPr>
            <w:tcW w:w="1279" w:type="dxa"/>
          </w:tcPr>
          <w:p w:rsidR="007C5447" w:rsidRDefault="00F6308C">
            <w:pPr>
              <w:pStyle w:val="TableParagraph"/>
              <w:spacing w:before="130"/>
              <w:ind w:left="484"/>
              <w:jc w:val="left"/>
              <w:rPr>
                <w:sz w:val="20"/>
              </w:rPr>
            </w:pPr>
            <w:r>
              <w:rPr>
                <w:sz w:val="20"/>
              </w:rPr>
              <w:t>0.52%</w:t>
            </w:r>
          </w:p>
        </w:tc>
        <w:tc>
          <w:tcPr>
            <w:tcW w:w="1277" w:type="dxa"/>
          </w:tcPr>
          <w:p w:rsidR="007C5447" w:rsidRDefault="00F6308C">
            <w:pPr>
              <w:pStyle w:val="TableParagraph"/>
              <w:spacing w:before="130"/>
              <w:ind w:left="480"/>
              <w:jc w:val="left"/>
              <w:rPr>
                <w:sz w:val="20"/>
              </w:rPr>
            </w:pPr>
            <w:r>
              <w:rPr>
                <w:sz w:val="20"/>
              </w:rPr>
              <w:t>0.61%</w:t>
            </w:r>
          </w:p>
        </w:tc>
        <w:tc>
          <w:tcPr>
            <w:tcW w:w="1274" w:type="dxa"/>
          </w:tcPr>
          <w:p w:rsidR="007C5447" w:rsidRDefault="00F6308C">
            <w:pPr>
              <w:pStyle w:val="TableParagraph"/>
              <w:spacing w:before="130"/>
              <w:ind w:left="480"/>
              <w:jc w:val="left"/>
              <w:rPr>
                <w:sz w:val="20"/>
              </w:rPr>
            </w:pPr>
            <w:r>
              <w:rPr>
                <w:sz w:val="20"/>
              </w:rPr>
              <w:t>0.47%</w:t>
            </w:r>
          </w:p>
        </w:tc>
        <w:tc>
          <w:tcPr>
            <w:tcW w:w="1277" w:type="dxa"/>
          </w:tcPr>
          <w:p w:rsidR="007C5447" w:rsidRDefault="00F6308C">
            <w:pPr>
              <w:pStyle w:val="TableParagraph"/>
              <w:spacing w:before="130"/>
              <w:ind w:left="481"/>
              <w:jc w:val="left"/>
              <w:rPr>
                <w:sz w:val="20"/>
              </w:rPr>
            </w:pPr>
            <w:r>
              <w:rPr>
                <w:sz w:val="20"/>
              </w:rPr>
              <w:t>0.48%</w:t>
            </w:r>
          </w:p>
        </w:tc>
        <w:tc>
          <w:tcPr>
            <w:tcW w:w="1276" w:type="dxa"/>
          </w:tcPr>
          <w:p w:rsidR="007C5447" w:rsidRDefault="00F6308C">
            <w:pPr>
              <w:pStyle w:val="TableParagraph"/>
              <w:spacing w:before="130"/>
              <w:ind w:left="481"/>
              <w:jc w:val="left"/>
              <w:rPr>
                <w:sz w:val="20"/>
              </w:rPr>
            </w:pPr>
            <w:r>
              <w:rPr>
                <w:sz w:val="20"/>
              </w:rPr>
              <w:t>0.50%</w:t>
            </w:r>
          </w:p>
        </w:tc>
      </w:tr>
      <w:tr w:rsidR="007C5447">
        <w:trPr>
          <w:trHeight w:val="491"/>
        </w:trPr>
        <w:tc>
          <w:tcPr>
            <w:tcW w:w="703" w:type="dxa"/>
          </w:tcPr>
          <w:p w:rsidR="007C5447" w:rsidRDefault="00F6308C">
            <w:pPr>
              <w:pStyle w:val="TableParagraph"/>
              <w:spacing w:before="132"/>
              <w:ind w:left="107"/>
              <w:jc w:val="left"/>
              <w:rPr>
                <w:sz w:val="20"/>
              </w:rPr>
            </w:pPr>
            <w:r>
              <w:rPr>
                <w:w w:val="99"/>
                <w:sz w:val="20"/>
              </w:rPr>
              <w:t>3</w:t>
            </w:r>
          </w:p>
        </w:tc>
        <w:tc>
          <w:tcPr>
            <w:tcW w:w="2559" w:type="dxa"/>
          </w:tcPr>
          <w:p w:rsidR="007C5447" w:rsidRDefault="00F6308C">
            <w:pPr>
              <w:pStyle w:val="TableParagraph"/>
              <w:spacing w:before="21" w:line="228" w:lineRule="exact"/>
              <w:ind w:left="107" w:right="506"/>
              <w:jc w:val="left"/>
              <w:rPr>
                <w:sz w:val="20"/>
              </w:rPr>
            </w:pPr>
            <w:r>
              <w:rPr>
                <w:sz w:val="20"/>
              </w:rPr>
              <w:t>Tirunelveli Generation Circle</w:t>
            </w:r>
          </w:p>
        </w:tc>
        <w:tc>
          <w:tcPr>
            <w:tcW w:w="1279" w:type="dxa"/>
          </w:tcPr>
          <w:p w:rsidR="007C5447" w:rsidRDefault="00F6308C">
            <w:pPr>
              <w:pStyle w:val="TableParagraph"/>
              <w:spacing w:before="132"/>
              <w:ind w:left="484"/>
              <w:jc w:val="left"/>
              <w:rPr>
                <w:sz w:val="20"/>
              </w:rPr>
            </w:pPr>
            <w:r>
              <w:rPr>
                <w:sz w:val="20"/>
              </w:rPr>
              <w:t>0.48%</w:t>
            </w:r>
          </w:p>
        </w:tc>
        <w:tc>
          <w:tcPr>
            <w:tcW w:w="1277" w:type="dxa"/>
          </w:tcPr>
          <w:p w:rsidR="007C5447" w:rsidRDefault="00F6308C">
            <w:pPr>
              <w:pStyle w:val="TableParagraph"/>
              <w:spacing w:before="132"/>
              <w:ind w:left="480"/>
              <w:jc w:val="left"/>
              <w:rPr>
                <w:sz w:val="20"/>
              </w:rPr>
            </w:pPr>
            <w:r>
              <w:rPr>
                <w:sz w:val="20"/>
              </w:rPr>
              <w:t>0.42%</w:t>
            </w:r>
          </w:p>
        </w:tc>
        <w:tc>
          <w:tcPr>
            <w:tcW w:w="1274" w:type="dxa"/>
          </w:tcPr>
          <w:p w:rsidR="007C5447" w:rsidRDefault="00F6308C">
            <w:pPr>
              <w:pStyle w:val="TableParagraph"/>
              <w:spacing w:before="132"/>
              <w:ind w:left="480"/>
              <w:jc w:val="left"/>
              <w:rPr>
                <w:sz w:val="20"/>
              </w:rPr>
            </w:pPr>
            <w:r>
              <w:rPr>
                <w:sz w:val="20"/>
              </w:rPr>
              <w:t>0.38%</w:t>
            </w:r>
          </w:p>
        </w:tc>
        <w:tc>
          <w:tcPr>
            <w:tcW w:w="1277" w:type="dxa"/>
          </w:tcPr>
          <w:p w:rsidR="007C5447" w:rsidRDefault="00F6308C">
            <w:pPr>
              <w:pStyle w:val="TableParagraph"/>
              <w:spacing w:before="132"/>
              <w:ind w:left="481"/>
              <w:jc w:val="left"/>
              <w:rPr>
                <w:sz w:val="20"/>
              </w:rPr>
            </w:pPr>
            <w:r>
              <w:rPr>
                <w:sz w:val="20"/>
              </w:rPr>
              <w:t>0.43%</w:t>
            </w:r>
          </w:p>
        </w:tc>
        <w:tc>
          <w:tcPr>
            <w:tcW w:w="1276" w:type="dxa"/>
          </w:tcPr>
          <w:p w:rsidR="007C5447" w:rsidRDefault="00F6308C">
            <w:pPr>
              <w:pStyle w:val="TableParagraph"/>
              <w:spacing w:before="132"/>
              <w:ind w:left="481"/>
              <w:jc w:val="left"/>
              <w:rPr>
                <w:sz w:val="20"/>
              </w:rPr>
            </w:pPr>
            <w:r>
              <w:rPr>
                <w:sz w:val="20"/>
              </w:rPr>
              <w:t>0.50%</w:t>
            </w:r>
          </w:p>
        </w:tc>
      </w:tr>
      <w:tr w:rsidR="007C5447">
        <w:trPr>
          <w:trHeight w:val="580"/>
        </w:trPr>
        <w:tc>
          <w:tcPr>
            <w:tcW w:w="703" w:type="dxa"/>
          </w:tcPr>
          <w:p w:rsidR="007C5447" w:rsidRDefault="00F6308C">
            <w:pPr>
              <w:pStyle w:val="TableParagraph"/>
              <w:spacing w:before="175"/>
              <w:ind w:left="107"/>
              <w:jc w:val="left"/>
              <w:rPr>
                <w:sz w:val="20"/>
              </w:rPr>
            </w:pPr>
            <w:r>
              <w:rPr>
                <w:w w:val="99"/>
                <w:sz w:val="20"/>
              </w:rPr>
              <w:t>4</w:t>
            </w:r>
          </w:p>
        </w:tc>
        <w:tc>
          <w:tcPr>
            <w:tcW w:w="2559" w:type="dxa"/>
          </w:tcPr>
          <w:p w:rsidR="007C5447" w:rsidRDefault="00F6308C">
            <w:pPr>
              <w:pStyle w:val="TableParagraph"/>
              <w:spacing w:before="175"/>
              <w:ind w:left="107"/>
              <w:jc w:val="left"/>
              <w:rPr>
                <w:sz w:val="20"/>
              </w:rPr>
            </w:pPr>
            <w:r>
              <w:rPr>
                <w:sz w:val="20"/>
              </w:rPr>
              <w:t>Erode Generation Circle</w:t>
            </w:r>
          </w:p>
        </w:tc>
        <w:tc>
          <w:tcPr>
            <w:tcW w:w="1279" w:type="dxa"/>
          </w:tcPr>
          <w:p w:rsidR="007C5447" w:rsidRDefault="00F6308C">
            <w:pPr>
              <w:pStyle w:val="TableParagraph"/>
              <w:spacing w:before="175"/>
              <w:ind w:left="484"/>
              <w:jc w:val="left"/>
              <w:rPr>
                <w:sz w:val="20"/>
              </w:rPr>
            </w:pPr>
            <w:r>
              <w:rPr>
                <w:sz w:val="20"/>
              </w:rPr>
              <w:t>0.49%</w:t>
            </w:r>
          </w:p>
        </w:tc>
        <w:tc>
          <w:tcPr>
            <w:tcW w:w="1277" w:type="dxa"/>
          </w:tcPr>
          <w:p w:rsidR="007C5447" w:rsidRDefault="00F6308C">
            <w:pPr>
              <w:pStyle w:val="TableParagraph"/>
              <w:spacing w:before="175"/>
              <w:ind w:left="480"/>
              <w:jc w:val="left"/>
              <w:rPr>
                <w:sz w:val="20"/>
              </w:rPr>
            </w:pPr>
            <w:r>
              <w:rPr>
                <w:sz w:val="20"/>
              </w:rPr>
              <w:t>1.02%</w:t>
            </w:r>
          </w:p>
        </w:tc>
        <w:tc>
          <w:tcPr>
            <w:tcW w:w="1274" w:type="dxa"/>
          </w:tcPr>
          <w:p w:rsidR="007C5447" w:rsidRDefault="00F6308C">
            <w:pPr>
              <w:pStyle w:val="TableParagraph"/>
              <w:spacing w:before="175"/>
              <w:ind w:left="480"/>
              <w:jc w:val="left"/>
              <w:rPr>
                <w:sz w:val="20"/>
              </w:rPr>
            </w:pPr>
            <w:r>
              <w:rPr>
                <w:sz w:val="20"/>
              </w:rPr>
              <w:t>0.57%</w:t>
            </w:r>
          </w:p>
        </w:tc>
        <w:tc>
          <w:tcPr>
            <w:tcW w:w="1277" w:type="dxa"/>
          </w:tcPr>
          <w:p w:rsidR="007C5447" w:rsidRDefault="00F6308C">
            <w:pPr>
              <w:pStyle w:val="TableParagraph"/>
              <w:spacing w:before="175"/>
              <w:ind w:left="481"/>
              <w:jc w:val="left"/>
              <w:rPr>
                <w:sz w:val="20"/>
              </w:rPr>
            </w:pPr>
            <w:r>
              <w:rPr>
                <w:sz w:val="20"/>
              </w:rPr>
              <w:t>0.40%</w:t>
            </w:r>
          </w:p>
        </w:tc>
        <w:tc>
          <w:tcPr>
            <w:tcW w:w="1276" w:type="dxa"/>
          </w:tcPr>
          <w:p w:rsidR="007C5447" w:rsidRDefault="00F6308C">
            <w:pPr>
              <w:pStyle w:val="TableParagraph"/>
              <w:spacing w:before="175"/>
              <w:ind w:left="481"/>
              <w:jc w:val="left"/>
              <w:rPr>
                <w:sz w:val="20"/>
              </w:rPr>
            </w:pPr>
            <w:r>
              <w:rPr>
                <w:sz w:val="20"/>
              </w:rPr>
              <w:t>0.50%</w:t>
            </w:r>
          </w:p>
        </w:tc>
      </w:tr>
    </w:tbl>
    <w:p w:rsidR="007C5447" w:rsidRDefault="007C5447">
      <w:pPr>
        <w:rPr>
          <w:sz w:val="20"/>
        </w:rPr>
        <w:sectPr w:rsidR="007C5447">
          <w:pgSz w:w="11910" w:h="16840"/>
          <w:pgMar w:top="1420" w:right="840" w:bottom="540" w:left="1180" w:header="0" w:footer="349" w:gutter="0"/>
          <w:cols w:space="720"/>
        </w:sectPr>
      </w:pPr>
    </w:p>
    <w:p w:rsidR="007C5447" w:rsidRDefault="00F6308C">
      <w:pPr>
        <w:pStyle w:val="Heading2"/>
        <w:spacing w:before="81"/>
        <w:ind w:left="1112"/>
      </w:pPr>
      <w:r>
        <w:lastRenderedPageBreak/>
        <w:t>Commission’s Views</w:t>
      </w:r>
    </w:p>
    <w:p w:rsidR="007C5447" w:rsidRDefault="007C5447">
      <w:pPr>
        <w:pStyle w:val="BodyText"/>
        <w:spacing w:before="11"/>
        <w:rPr>
          <w:b/>
          <w:sz w:val="27"/>
        </w:rPr>
      </w:pPr>
    </w:p>
    <w:p w:rsidR="007C5447" w:rsidRDefault="00F6308C">
      <w:pPr>
        <w:pStyle w:val="ListParagraph"/>
        <w:numPr>
          <w:ilvl w:val="3"/>
          <w:numId w:val="75"/>
        </w:numPr>
        <w:tabs>
          <w:tab w:val="left" w:pos="1226"/>
        </w:tabs>
        <w:spacing w:line="312" w:lineRule="auto"/>
        <w:ind w:right="284"/>
        <w:jc w:val="both"/>
        <w:rPr>
          <w:sz w:val="24"/>
        </w:rPr>
      </w:pPr>
      <w:r>
        <w:rPr>
          <w:sz w:val="24"/>
        </w:rPr>
        <w:t>The Commission has accepted the actual Auxiliary Consumption as submitted by TANGEDCO for the purpose of calculation of energy availability. However, for the purpose of estimation of variable cost per unit, Commission has considered the normative Auxiliary</w:t>
      </w:r>
      <w:r>
        <w:rPr>
          <w:sz w:val="24"/>
        </w:rPr>
        <w:t xml:space="preserve"> Consumption as approved in the Suo-Motu Order, as shown in  the Table</w:t>
      </w:r>
      <w:r>
        <w:rPr>
          <w:spacing w:val="-1"/>
          <w:sz w:val="24"/>
        </w:rPr>
        <w:t xml:space="preserve"> </w:t>
      </w:r>
      <w:r>
        <w:rPr>
          <w:sz w:val="24"/>
        </w:rPr>
        <w:t>below:</w:t>
      </w:r>
    </w:p>
    <w:p w:rsidR="007C5447" w:rsidRDefault="007C5447">
      <w:pPr>
        <w:pStyle w:val="BodyText"/>
        <w:spacing w:before="2"/>
        <w:rPr>
          <w:sz w:val="21"/>
        </w:rPr>
      </w:pPr>
    </w:p>
    <w:p w:rsidR="007C5447" w:rsidRDefault="00F6308C">
      <w:pPr>
        <w:spacing w:line="312" w:lineRule="auto"/>
        <w:ind w:left="4386" w:right="386" w:hanging="4026"/>
        <w:rPr>
          <w:b/>
        </w:rPr>
      </w:pPr>
      <w:r>
        <w:rPr>
          <w:b/>
        </w:rPr>
        <w:t>Table 3-54: Auxiliary Consumption approved by the Commission after true-up for FY 2011-12 to FY 2015-16</w:t>
      </w:r>
    </w:p>
    <w:p w:rsidR="007C5447" w:rsidRDefault="007C5447">
      <w:pPr>
        <w:pStyle w:val="BodyText"/>
        <w:spacing w:before="3" w:after="1"/>
        <w:rPr>
          <w:b/>
          <w:sz w:val="10"/>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8"/>
        <w:gridCol w:w="2393"/>
        <w:gridCol w:w="1276"/>
        <w:gridCol w:w="1276"/>
        <w:gridCol w:w="1273"/>
        <w:gridCol w:w="1276"/>
        <w:gridCol w:w="1417"/>
      </w:tblGrid>
      <w:tr w:rsidR="007C5447">
        <w:trPr>
          <w:trHeight w:val="360"/>
        </w:trPr>
        <w:tc>
          <w:tcPr>
            <w:tcW w:w="578" w:type="dxa"/>
            <w:shd w:val="clear" w:color="auto" w:fill="F7C9AC"/>
          </w:tcPr>
          <w:p w:rsidR="007C5447" w:rsidRDefault="00F6308C">
            <w:pPr>
              <w:pStyle w:val="TableParagraph"/>
              <w:spacing w:before="116" w:line="224" w:lineRule="exact"/>
              <w:ind w:right="171"/>
              <w:rPr>
                <w:b/>
                <w:sz w:val="20"/>
              </w:rPr>
            </w:pPr>
            <w:r>
              <w:rPr>
                <w:b/>
                <w:w w:val="95"/>
                <w:sz w:val="20"/>
              </w:rPr>
              <w:t>Sl.</w:t>
            </w:r>
          </w:p>
        </w:tc>
        <w:tc>
          <w:tcPr>
            <w:tcW w:w="2393" w:type="dxa"/>
            <w:shd w:val="clear" w:color="auto" w:fill="F7C9AC"/>
          </w:tcPr>
          <w:p w:rsidR="007C5447" w:rsidRDefault="00F6308C">
            <w:pPr>
              <w:pStyle w:val="TableParagraph"/>
              <w:spacing w:before="116" w:line="224" w:lineRule="exact"/>
              <w:ind w:left="870" w:right="861"/>
              <w:jc w:val="center"/>
              <w:rPr>
                <w:b/>
                <w:sz w:val="20"/>
              </w:rPr>
            </w:pPr>
            <w:r>
              <w:rPr>
                <w:b/>
                <w:sz w:val="20"/>
              </w:rPr>
              <w:t>Station</w:t>
            </w:r>
          </w:p>
        </w:tc>
        <w:tc>
          <w:tcPr>
            <w:tcW w:w="1276" w:type="dxa"/>
            <w:shd w:val="clear" w:color="auto" w:fill="F7C9AC"/>
          </w:tcPr>
          <w:p w:rsidR="007C5447" w:rsidRDefault="00F6308C">
            <w:pPr>
              <w:pStyle w:val="TableParagraph"/>
              <w:spacing w:before="116" w:line="224" w:lineRule="exact"/>
              <w:ind w:right="130"/>
              <w:rPr>
                <w:b/>
                <w:sz w:val="20"/>
              </w:rPr>
            </w:pPr>
            <w:r>
              <w:rPr>
                <w:b/>
                <w:sz w:val="20"/>
              </w:rPr>
              <w:t>FY 2011-12</w:t>
            </w:r>
          </w:p>
        </w:tc>
        <w:tc>
          <w:tcPr>
            <w:tcW w:w="1276" w:type="dxa"/>
            <w:shd w:val="clear" w:color="auto" w:fill="F7C9AC"/>
          </w:tcPr>
          <w:p w:rsidR="007C5447" w:rsidRDefault="00F6308C">
            <w:pPr>
              <w:pStyle w:val="TableParagraph"/>
              <w:spacing w:before="116" w:line="224" w:lineRule="exact"/>
              <w:ind w:right="129"/>
              <w:rPr>
                <w:b/>
                <w:sz w:val="20"/>
              </w:rPr>
            </w:pPr>
            <w:r>
              <w:rPr>
                <w:b/>
                <w:sz w:val="20"/>
              </w:rPr>
              <w:t>FY 2012-13</w:t>
            </w:r>
          </w:p>
        </w:tc>
        <w:tc>
          <w:tcPr>
            <w:tcW w:w="1273" w:type="dxa"/>
            <w:shd w:val="clear" w:color="auto" w:fill="F7C9AC"/>
          </w:tcPr>
          <w:p w:rsidR="007C5447" w:rsidRDefault="00F6308C">
            <w:pPr>
              <w:pStyle w:val="TableParagraph"/>
              <w:spacing w:before="116" w:line="224" w:lineRule="exact"/>
              <w:ind w:right="128"/>
              <w:rPr>
                <w:b/>
                <w:sz w:val="20"/>
              </w:rPr>
            </w:pPr>
            <w:r>
              <w:rPr>
                <w:b/>
                <w:sz w:val="20"/>
              </w:rPr>
              <w:t>FY 2013-14</w:t>
            </w:r>
          </w:p>
        </w:tc>
        <w:tc>
          <w:tcPr>
            <w:tcW w:w="1276" w:type="dxa"/>
            <w:shd w:val="clear" w:color="auto" w:fill="F7C9AC"/>
          </w:tcPr>
          <w:p w:rsidR="007C5447" w:rsidRDefault="00F6308C">
            <w:pPr>
              <w:pStyle w:val="TableParagraph"/>
              <w:spacing w:before="116" w:line="224" w:lineRule="exact"/>
              <w:ind w:right="126"/>
              <w:rPr>
                <w:b/>
                <w:sz w:val="20"/>
              </w:rPr>
            </w:pPr>
            <w:r>
              <w:rPr>
                <w:b/>
                <w:sz w:val="20"/>
              </w:rPr>
              <w:t>FY 2014-15</w:t>
            </w:r>
          </w:p>
        </w:tc>
        <w:tc>
          <w:tcPr>
            <w:tcW w:w="1417" w:type="dxa"/>
            <w:shd w:val="clear" w:color="auto" w:fill="F7C9AC"/>
          </w:tcPr>
          <w:p w:rsidR="007C5447" w:rsidRDefault="00F6308C">
            <w:pPr>
              <w:pStyle w:val="TableParagraph"/>
              <w:spacing w:before="116" w:line="224" w:lineRule="exact"/>
              <w:ind w:left="221"/>
              <w:jc w:val="left"/>
              <w:rPr>
                <w:b/>
                <w:sz w:val="20"/>
              </w:rPr>
            </w:pPr>
            <w:r>
              <w:rPr>
                <w:b/>
                <w:sz w:val="20"/>
              </w:rPr>
              <w:t>FY 2015-16</w:t>
            </w:r>
          </w:p>
        </w:tc>
      </w:tr>
      <w:tr w:rsidR="007C5447">
        <w:trPr>
          <w:trHeight w:val="359"/>
        </w:trPr>
        <w:tc>
          <w:tcPr>
            <w:tcW w:w="578" w:type="dxa"/>
            <w:shd w:val="clear" w:color="auto" w:fill="D9D9D9"/>
          </w:tcPr>
          <w:p w:rsidR="007C5447" w:rsidRDefault="00F6308C">
            <w:pPr>
              <w:pStyle w:val="TableParagraph"/>
              <w:spacing w:before="65"/>
              <w:ind w:right="206"/>
              <w:rPr>
                <w:b/>
                <w:sz w:val="20"/>
              </w:rPr>
            </w:pPr>
            <w:r>
              <w:rPr>
                <w:b/>
                <w:w w:val="99"/>
                <w:sz w:val="20"/>
              </w:rPr>
              <w:t>A</w:t>
            </w:r>
          </w:p>
        </w:tc>
        <w:tc>
          <w:tcPr>
            <w:tcW w:w="2393" w:type="dxa"/>
            <w:shd w:val="clear" w:color="auto" w:fill="D9D9D9"/>
          </w:tcPr>
          <w:p w:rsidR="007C5447" w:rsidRDefault="00F6308C">
            <w:pPr>
              <w:pStyle w:val="TableParagraph"/>
              <w:spacing w:before="65"/>
              <w:ind w:left="108"/>
              <w:jc w:val="left"/>
              <w:rPr>
                <w:b/>
                <w:sz w:val="20"/>
              </w:rPr>
            </w:pPr>
            <w:r>
              <w:rPr>
                <w:b/>
                <w:sz w:val="20"/>
              </w:rPr>
              <w:t>Thermal</w:t>
            </w:r>
          </w:p>
        </w:tc>
        <w:tc>
          <w:tcPr>
            <w:tcW w:w="1276" w:type="dxa"/>
            <w:shd w:val="clear" w:color="auto" w:fill="D9D9D9"/>
          </w:tcPr>
          <w:p w:rsidR="007C5447" w:rsidRDefault="007C5447">
            <w:pPr>
              <w:pStyle w:val="TableParagraph"/>
              <w:jc w:val="left"/>
              <w:rPr>
                <w:sz w:val="20"/>
              </w:rPr>
            </w:pPr>
          </w:p>
        </w:tc>
        <w:tc>
          <w:tcPr>
            <w:tcW w:w="1276" w:type="dxa"/>
            <w:shd w:val="clear" w:color="auto" w:fill="D9D9D9"/>
          </w:tcPr>
          <w:p w:rsidR="007C5447" w:rsidRDefault="007C5447">
            <w:pPr>
              <w:pStyle w:val="TableParagraph"/>
              <w:jc w:val="left"/>
              <w:rPr>
                <w:sz w:val="20"/>
              </w:rPr>
            </w:pPr>
          </w:p>
        </w:tc>
        <w:tc>
          <w:tcPr>
            <w:tcW w:w="1273" w:type="dxa"/>
            <w:shd w:val="clear" w:color="auto" w:fill="D9D9D9"/>
          </w:tcPr>
          <w:p w:rsidR="007C5447" w:rsidRDefault="007C5447">
            <w:pPr>
              <w:pStyle w:val="TableParagraph"/>
              <w:jc w:val="left"/>
              <w:rPr>
                <w:sz w:val="20"/>
              </w:rPr>
            </w:pPr>
          </w:p>
        </w:tc>
        <w:tc>
          <w:tcPr>
            <w:tcW w:w="1276" w:type="dxa"/>
            <w:shd w:val="clear" w:color="auto" w:fill="D9D9D9"/>
          </w:tcPr>
          <w:p w:rsidR="007C5447" w:rsidRDefault="007C5447">
            <w:pPr>
              <w:pStyle w:val="TableParagraph"/>
              <w:jc w:val="left"/>
              <w:rPr>
                <w:sz w:val="20"/>
              </w:rPr>
            </w:pPr>
          </w:p>
        </w:tc>
        <w:tc>
          <w:tcPr>
            <w:tcW w:w="1417" w:type="dxa"/>
            <w:shd w:val="clear" w:color="auto" w:fill="D9D9D9"/>
          </w:tcPr>
          <w:p w:rsidR="007C5447" w:rsidRDefault="007C5447">
            <w:pPr>
              <w:pStyle w:val="TableParagraph"/>
              <w:jc w:val="left"/>
              <w:rPr>
                <w:sz w:val="20"/>
              </w:rPr>
            </w:pPr>
          </w:p>
        </w:tc>
      </w:tr>
      <w:tr w:rsidR="007C5447">
        <w:trPr>
          <w:trHeight w:val="359"/>
        </w:trPr>
        <w:tc>
          <w:tcPr>
            <w:tcW w:w="578" w:type="dxa"/>
          </w:tcPr>
          <w:p w:rsidR="007C5447" w:rsidRDefault="00F6308C">
            <w:pPr>
              <w:pStyle w:val="TableParagraph"/>
              <w:spacing w:before="65"/>
              <w:ind w:left="107"/>
              <w:jc w:val="left"/>
              <w:rPr>
                <w:sz w:val="20"/>
              </w:rPr>
            </w:pPr>
            <w:r>
              <w:rPr>
                <w:w w:val="99"/>
                <w:sz w:val="20"/>
              </w:rPr>
              <w:t>1</w:t>
            </w:r>
          </w:p>
        </w:tc>
        <w:tc>
          <w:tcPr>
            <w:tcW w:w="2393" w:type="dxa"/>
          </w:tcPr>
          <w:p w:rsidR="007C5447" w:rsidRDefault="00F6308C">
            <w:pPr>
              <w:pStyle w:val="TableParagraph"/>
              <w:spacing w:before="65"/>
              <w:ind w:left="108"/>
              <w:jc w:val="left"/>
              <w:rPr>
                <w:sz w:val="20"/>
              </w:rPr>
            </w:pPr>
            <w:r>
              <w:rPr>
                <w:sz w:val="20"/>
              </w:rPr>
              <w:t>Ennore TPS</w:t>
            </w:r>
          </w:p>
        </w:tc>
        <w:tc>
          <w:tcPr>
            <w:tcW w:w="1276" w:type="dxa"/>
          </w:tcPr>
          <w:p w:rsidR="007C5447" w:rsidRDefault="00F6308C">
            <w:pPr>
              <w:pStyle w:val="TableParagraph"/>
              <w:spacing w:before="65"/>
              <w:ind w:right="92"/>
              <w:rPr>
                <w:sz w:val="20"/>
              </w:rPr>
            </w:pPr>
            <w:r>
              <w:rPr>
                <w:sz w:val="20"/>
              </w:rPr>
              <w:t>16.32%</w:t>
            </w:r>
          </w:p>
        </w:tc>
        <w:tc>
          <w:tcPr>
            <w:tcW w:w="1276" w:type="dxa"/>
          </w:tcPr>
          <w:p w:rsidR="007C5447" w:rsidRDefault="00F6308C">
            <w:pPr>
              <w:pStyle w:val="TableParagraph"/>
              <w:spacing w:before="65"/>
              <w:ind w:right="92"/>
              <w:rPr>
                <w:sz w:val="20"/>
              </w:rPr>
            </w:pPr>
            <w:r>
              <w:rPr>
                <w:sz w:val="20"/>
              </w:rPr>
              <w:t>15.00%</w:t>
            </w:r>
          </w:p>
        </w:tc>
        <w:tc>
          <w:tcPr>
            <w:tcW w:w="1273" w:type="dxa"/>
          </w:tcPr>
          <w:p w:rsidR="007C5447" w:rsidRDefault="00F6308C">
            <w:pPr>
              <w:pStyle w:val="TableParagraph"/>
              <w:spacing w:before="65"/>
              <w:ind w:right="90"/>
              <w:rPr>
                <w:sz w:val="20"/>
              </w:rPr>
            </w:pPr>
            <w:r>
              <w:rPr>
                <w:sz w:val="20"/>
              </w:rPr>
              <w:t>15.00%</w:t>
            </w:r>
          </w:p>
        </w:tc>
        <w:tc>
          <w:tcPr>
            <w:tcW w:w="1276" w:type="dxa"/>
          </w:tcPr>
          <w:p w:rsidR="007C5447" w:rsidRDefault="00F6308C">
            <w:pPr>
              <w:pStyle w:val="TableParagraph"/>
              <w:spacing w:before="65"/>
              <w:ind w:right="89"/>
              <w:rPr>
                <w:sz w:val="20"/>
              </w:rPr>
            </w:pPr>
            <w:r>
              <w:rPr>
                <w:sz w:val="20"/>
              </w:rPr>
              <w:t>15.00%</w:t>
            </w:r>
          </w:p>
        </w:tc>
        <w:tc>
          <w:tcPr>
            <w:tcW w:w="1417" w:type="dxa"/>
          </w:tcPr>
          <w:p w:rsidR="007C5447" w:rsidRDefault="00F6308C">
            <w:pPr>
              <w:pStyle w:val="TableParagraph"/>
              <w:spacing w:before="65"/>
              <w:ind w:right="87"/>
              <w:rPr>
                <w:sz w:val="20"/>
              </w:rPr>
            </w:pPr>
            <w:r>
              <w:rPr>
                <w:sz w:val="20"/>
              </w:rPr>
              <w:t>15.00%</w:t>
            </w:r>
          </w:p>
        </w:tc>
      </w:tr>
      <w:tr w:rsidR="007C5447">
        <w:trPr>
          <w:trHeight w:val="361"/>
        </w:trPr>
        <w:tc>
          <w:tcPr>
            <w:tcW w:w="578" w:type="dxa"/>
          </w:tcPr>
          <w:p w:rsidR="007C5447" w:rsidRDefault="00F6308C">
            <w:pPr>
              <w:pStyle w:val="TableParagraph"/>
              <w:spacing w:before="67"/>
              <w:ind w:left="107"/>
              <w:jc w:val="left"/>
              <w:rPr>
                <w:sz w:val="20"/>
              </w:rPr>
            </w:pPr>
            <w:r>
              <w:rPr>
                <w:w w:val="99"/>
                <w:sz w:val="20"/>
              </w:rPr>
              <w:t>2</w:t>
            </w:r>
          </w:p>
        </w:tc>
        <w:tc>
          <w:tcPr>
            <w:tcW w:w="2393" w:type="dxa"/>
          </w:tcPr>
          <w:p w:rsidR="007C5447" w:rsidRDefault="00F6308C">
            <w:pPr>
              <w:pStyle w:val="TableParagraph"/>
              <w:spacing w:before="67"/>
              <w:ind w:left="108"/>
              <w:jc w:val="left"/>
              <w:rPr>
                <w:sz w:val="20"/>
              </w:rPr>
            </w:pPr>
            <w:r>
              <w:rPr>
                <w:sz w:val="20"/>
              </w:rPr>
              <w:t>Tuticorin TPS</w:t>
            </w:r>
          </w:p>
        </w:tc>
        <w:tc>
          <w:tcPr>
            <w:tcW w:w="1276" w:type="dxa"/>
          </w:tcPr>
          <w:p w:rsidR="007C5447" w:rsidRDefault="00F6308C">
            <w:pPr>
              <w:pStyle w:val="TableParagraph"/>
              <w:spacing w:before="67"/>
              <w:ind w:right="92"/>
              <w:rPr>
                <w:sz w:val="20"/>
              </w:rPr>
            </w:pPr>
            <w:r>
              <w:rPr>
                <w:sz w:val="20"/>
              </w:rPr>
              <w:t>8.50%</w:t>
            </w:r>
          </w:p>
        </w:tc>
        <w:tc>
          <w:tcPr>
            <w:tcW w:w="1276" w:type="dxa"/>
          </w:tcPr>
          <w:p w:rsidR="007C5447" w:rsidRDefault="00F6308C">
            <w:pPr>
              <w:pStyle w:val="TableParagraph"/>
              <w:spacing w:before="67"/>
              <w:ind w:right="91"/>
              <w:rPr>
                <w:sz w:val="20"/>
              </w:rPr>
            </w:pPr>
            <w:r>
              <w:rPr>
                <w:sz w:val="20"/>
              </w:rPr>
              <w:t>8.50%</w:t>
            </w:r>
          </w:p>
        </w:tc>
        <w:tc>
          <w:tcPr>
            <w:tcW w:w="1273" w:type="dxa"/>
          </w:tcPr>
          <w:p w:rsidR="007C5447" w:rsidRDefault="00F6308C">
            <w:pPr>
              <w:pStyle w:val="TableParagraph"/>
              <w:spacing w:before="67"/>
              <w:ind w:right="90"/>
              <w:rPr>
                <w:sz w:val="20"/>
              </w:rPr>
            </w:pPr>
            <w:r>
              <w:rPr>
                <w:sz w:val="20"/>
              </w:rPr>
              <w:t>8.50%</w:t>
            </w:r>
          </w:p>
        </w:tc>
        <w:tc>
          <w:tcPr>
            <w:tcW w:w="1276" w:type="dxa"/>
          </w:tcPr>
          <w:p w:rsidR="007C5447" w:rsidRDefault="00F6308C">
            <w:pPr>
              <w:pStyle w:val="TableParagraph"/>
              <w:spacing w:before="67"/>
              <w:ind w:right="88"/>
              <w:rPr>
                <w:sz w:val="20"/>
              </w:rPr>
            </w:pPr>
            <w:r>
              <w:rPr>
                <w:sz w:val="20"/>
              </w:rPr>
              <w:t>8.50%</w:t>
            </w:r>
          </w:p>
        </w:tc>
        <w:tc>
          <w:tcPr>
            <w:tcW w:w="1417" w:type="dxa"/>
          </w:tcPr>
          <w:p w:rsidR="007C5447" w:rsidRDefault="00F6308C">
            <w:pPr>
              <w:pStyle w:val="TableParagraph"/>
              <w:spacing w:before="67"/>
              <w:ind w:right="87"/>
              <w:rPr>
                <w:sz w:val="20"/>
              </w:rPr>
            </w:pPr>
            <w:r>
              <w:rPr>
                <w:sz w:val="20"/>
              </w:rPr>
              <w:t>8.50%</w:t>
            </w:r>
          </w:p>
        </w:tc>
      </w:tr>
      <w:tr w:rsidR="007C5447">
        <w:trPr>
          <w:trHeight w:val="359"/>
        </w:trPr>
        <w:tc>
          <w:tcPr>
            <w:tcW w:w="578" w:type="dxa"/>
          </w:tcPr>
          <w:p w:rsidR="007C5447" w:rsidRDefault="00F6308C">
            <w:pPr>
              <w:pStyle w:val="TableParagraph"/>
              <w:spacing w:before="65"/>
              <w:ind w:left="107"/>
              <w:jc w:val="left"/>
              <w:rPr>
                <w:sz w:val="20"/>
              </w:rPr>
            </w:pPr>
            <w:r>
              <w:rPr>
                <w:w w:val="99"/>
                <w:sz w:val="20"/>
              </w:rPr>
              <w:t>3</w:t>
            </w:r>
          </w:p>
        </w:tc>
        <w:tc>
          <w:tcPr>
            <w:tcW w:w="2393" w:type="dxa"/>
          </w:tcPr>
          <w:p w:rsidR="007C5447" w:rsidRDefault="00F6308C">
            <w:pPr>
              <w:pStyle w:val="TableParagraph"/>
              <w:spacing w:before="65"/>
              <w:ind w:left="108"/>
              <w:jc w:val="left"/>
              <w:rPr>
                <w:sz w:val="20"/>
              </w:rPr>
            </w:pPr>
            <w:r>
              <w:rPr>
                <w:sz w:val="20"/>
              </w:rPr>
              <w:t>Mettur TPS</w:t>
            </w:r>
          </w:p>
        </w:tc>
        <w:tc>
          <w:tcPr>
            <w:tcW w:w="1276" w:type="dxa"/>
          </w:tcPr>
          <w:p w:rsidR="007C5447" w:rsidRDefault="00F6308C">
            <w:pPr>
              <w:pStyle w:val="TableParagraph"/>
              <w:spacing w:before="65"/>
              <w:ind w:right="92"/>
              <w:rPr>
                <w:sz w:val="20"/>
              </w:rPr>
            </w:pPr>
            <w:r>
              <w:rPr>
                <w:sz w:val="20"/>
              </w:rPr>
              <w:t>8.31%</w:t>
            </w:r>
          </w:p>
        </w:tc>
        <w:tc>
          <w:tcPr>
            <w:tcW w:w="1276" w:type="dxa"/>
          </w:tcPr>
          <w:p w:rsidR="007C5447" w:rsidRDefault="00F6308C">
            <w:pPr>
              <w:pStyle w:val="TableParagraph"/>
              <w:spacing w:before="65"/>
              <w:ind w:right="91"/>
              <w:rPr>
                <w:sz w:val="20"/>
              </w:rPr>
            </w:pPr>
            <w:r>
              <w:rPr>
                <w:sz w:val="20"/>
              </w:rPr>
              <w:t>9.00%</w:t>
            </w:r>
          </w:p>
        </w:tc>
        <w:tc>
          <w:tcPr>
            <w:tcW w:w="1273" w:type="dxa"/>
          </w:tcPr>
          <w:p w:rsidR="007C5447" w:rsidRDefault="00F6308C">
            <w:pPr>
              <w:pStyle w:val="TableParagraph"/>
              <w:spacing w:before="65"/>
              <w:ind w:right="90"/>
              <w:rPr>
                <w:sz w:val="20"/>
              </w:rPr>
            </w:pPr>
            <w:r>
              <w:rPr>
                <w:sz w:val="20"/>
              </w:rPr>
              <w:t>8.50%</w:t>
            </w:r>
          </w:p>
        </w:tc>
        <w:tc>
          <w:tcPr>
            <w:tcW w:w="1276" w:type="dxa"/>
          </w:tcPr>
          <w:p w:rsidR="007C5447" w:rsidRDefault="00F6308C">
            <w:pPr>
              <w:pStyle w:val="TableParagraph"/>
              <w:spacing w:before="65"/>
              <w:ind w:right="88"/>
              <w:rPr>
                <w:sz w:val="20"/>
              </w:rPr>
            </w:pPr>
            <w:r>
              <w:rPr>
                <w:sz w:val="20"/>
              </w:rPr>
              <w:t>8.50%</w:t>
            </w:r>
          </w:p>
        </w:tc>
        <w:tc>
          <w:tcPr>
            <w:tcW w:w="1417" w:type="dxa"/>
          </w:tcPr>
          <w:p w:rsidR="007C5447" w:rsidRDefault="00F6308C">
            <w:pPr>
              <w:pStyle w:val="TableParagraph"/>
              <w:spacing w:before="65"/>
              <w:ind w:right="87"/>
              <w:rPr>
                <w:sz w:val="20"/>
              </w:rPr>
            </w:pPr>
            <w:r>
              <w:rPr>
                <w:sz w:val="20"/>
              </w:rPr>
              <w:t>8.50%</w:t>
            </w:r>
          </w:p>
        </w:tc>
      </w:tr>
      <w:tr w:rsidR="007C5447">
        <w:trPr>
          <w:trHeight w:val="359"/>
        </w:trPr>
        <w:tc>
          <w:tcPr>
            <w:tcW w:w="578" w:type="dxa"/>
          </w:tcPr>
          <w:p w:rsidR="007C5447" w:rsidRDefault="00F6308C">
            <w:pPr>
              <w:pStyle w:val="TableParagraph"/>
              <w:spacing w:before="65"/>
              <w:ind w:left="107"/>
              <w:jc w:val="left"/>
              <w:rPr>
                <w:sz w:val="20"/>
              </w:rPr>
            </w:pPr>
            <w:r>
              <w:rPr>
                <w:w w:val="99"/>
                <w:sz w:val="20"/>
              </w:rPr>
              <w:t>4</w:t>
            </w:r>
          </w:p>
        </w:tc>
        <w:tc>
          <w:tcPr>
            <w:tcW w:w="2393" w:type="dxa"/>
          </w:tcPr>
          <w:p w:rsidR="007C5447" w:rsidRDefault="00F6308C">
            <w:pPr>
              <w:pStyle w:val="TableParagraph"/>
              <w:spacing w:before="65"/>
              <w:ind w:left="108"/>
              <w:jc w:val="left"/>
              <w:rPr>
                <w:sz w:val="20"/>
              </w:rPr>
            </w:pPr>
            <w:r>
              <w:rPr>
                <w:sz w:val="20"/>
              </w:rPr>
              <w:t>Mettur Stage III TPS</w:t>
            </w:r>
          </w:p>
        </w:tc>
        <w:tc>
          <w:tcPr>
            <w:tcW w:w="1276" w:type="dxa"/>
          </w:tcPr>
          <w:p w:rsidR="007C5447" w:rsidRDefault="00F6308C">
            <w:pPr>
              <w:pStyle w:val="TableParagraph"/>
              <w:spacing w:before="65"/>
              <w:ind w:right="92"/>
              <w:rPr>
                <w:sz w:val="20"/>
              </w:rPr>
            </w:pPr>
            <w:r>
              <w:rPr>
                <w:sz w:val="20"/>
              </w:rPr>
              <w:t>0.00%</w:t>
            </w:r>
          </w:p>
        </w:tc>
        <w:tc>
          <w:tcPr>
            <w:tcW w:w="1276" w:type="dxa"/>
          </w:tcPr>
          <w:p w:rsidR="007C5447" w:rsidRDefault="00F6308C">
            <w:pPr>
              <w:pStyle w:val="TableParagraph"/>
              <w:spacing w:before="65"/>
              <w:ind w:right="91"/>
              <w:rPr>
                <w:sz w:val="20"/>
              </w:rPr>
            </w:pPr>
            <w:r>
              <w:rPr>
                <w:sz w:val="20"/>
              </w:rPr>
              <w:t>9.00%</w:t>
            </w:r>
          </w:p>
        </w:tc>
        <w:tc>
          <w:tcPr>
            <w:tcW w:w="1273" w:type="dxa"/>
          </w:tcPr>
          <w:p w:rsidR="007C5447" w:rsidRDefault="00F6308C">
            <w:pPr>
              <w:pStyle w:val="TableParagraph"/>
              <w:spacing w:before="65"/>
              <w:ind w:right="90"/>
              <w:rPr>
                <w:sz w:val="20"/>
              </w:rPr>
            </w:pPr>
            <w:r>
              <w:rPr>
                <w:sz w:val="20"/>
              </w:rPr>
              <w:t>8.83%</w:t>
            </w:r>
          </w:p>
        </w:tc>
        <w:tc>
          <w:tcPr>
            <w:tcW w:w="1276" w:type="dxa"/>
          </w:tcPr>
          <w:p w:rsidR="007C5447" w:rsidRDefault="00F6308C">
            <w:pPr>
              <w:pStyle w:val="TableParagraph"/>
              <w:spacing w:before="65"/>
              <w:ind w:right="88"/>
              <w:rPr>
                <w:sz w:val="20"/>
              </w:rPr>
            </w:pPr>
            <w:r>
              <w:rPr>
                <w:sz w:val="20"/>
              </w:rPr>
              <w:t>8.83%</w:t>
            </w:r>
          </w:p>
        </w:tc>
        <w:tc>
          <w:tcPr>
            <w:tcW w:w="1417" w:type="dxa"/>
          </w:tcPr>
          <w:p w:rsidR="007C5447" w:rsidRDefault="00F6308C">
            <w:pPr>
              <w:pStyle w:val="TableParagraph"/>
              <w:spacing w:before="65"/>
              <w:ind w:right="87"/>
              <w:rPr>
                <w:sz w:val="20"/>
              </w:rPr>
            </w:pPr>
            <w:r>
              <w:rPr>
                <w:sz w:val="20"/>
              </w:rPr>
              <w:t>8.83%</w:t>
            </w:r>
          </w:p>
        </w:tc>
      </w:tr>
      <w:tr w:rsidR="007C5447">
        <w:trPr>
          <w:trHeight w:val="359"/>
        </w:trPr>
        <w:tc>
          <w:tcPr>
            <w:tcW w:w="578" w:type="dxa"/>
          </w:tcPr>
          <w:p w:rsidR="007C5447" w:rsidRDefault="00F6308C">
            <w:pPr>
              <w:pStyle w:val="TableParagraph"/>
              <w:spacing w:before="65"/>
              <w:ind w:left="107"/>
              <w:jc w:val="left"/>
              <w:rPr>
                <w:sz w:val="20"/>
              </w:rPr>
            </w:pPr>
            <w:r>
              <w:rPr>
                <w:w w:val="99"/>
                <w:sz w:val="20"/>
              </w:rPr>
              <w:t>5</w:t>
            </w:r>
          </w:p>
        </w:tc>
        <w:tc>
          <w:tcPr>
            <w:tcW w:w="2393" w:type="dxa"/>
          </w:tcPr>
          <w:p w:rsidR="007C5447" w:rsidRDefault="00F6308C">
            <w:pPr>
              <w:pStyle w:val="TableParagraph"/>
              <w:spacing w:before="65"/>
              <w:ind w:left="108"/>
              <w:jc w:val="left"/>
              <w:rPr>
                <w:sz w:val="20"/>
              </w:rPr>
            </w:pPr>
            <w:r>
              <w:rPr>
                <w:sz w:val="20"/>
              </w:rPr>
              <w:t>North Chennai TPS</w:t>
            </w:r>
          </w:p>
        </w:tc>
        <w:tc>
          <w:tcPr>
            <w:tcW w:w="1276" w:type="dxa"/>
          </w:tcPr>
          <w:p w:rsidR="007C5447" w:rsidRDefault="00F6308C">
            <w:pPr>
              <w:pStyle w:val="TableParagraph"/>
              <w:spacing w:before="65"/>
              <w:ind w:right="92"/>
              <w:rPr>
                <w:sz w:val="20"/>
              </w:rPr>
            </w:pPr>
            <w:r>
              <w:rPr>
                <w:sz w:val="20"/>
              </w:rPr>
              <w:t>8.50%</w:t>
            </w:r>
          </w:p>
        </w:tc>
        <w:tc>
          <w:tcPr>
            <w:tcW w:w="1276" w:type="dxa"/>
          </w:tcPr>
          <w:p w:rsidR="007C5447" w:rsidRDefault="00F6308C">
            <w:pPr>
              <w:pStyle w:val="TableParagraph"/>
              <w:spacing w:before="65"/>
              <w:ind w:right="91"/>
              <w:rPr>
                <w:sz w:val="20"/>
              </w:rPr>
            </w:pPr>
            <w:r>
              <w:rPr>
                <w:sz w:val="20"/>
              </w:rPr>
              <w:t>8.50%</w:t>
            </w:r>
          </w:p>
        </w:tc>
        <w:tc>
          <w:tcPr>
            <w:tcW w:w="1273" w:type="dxa"/>
          </w:tcPr>
          <w:p w:rsidR="007C5447" w:rsidRDefault="00F6308C">
            <w:pPr>
              <w:pStyle w:val="TableParagraph"/>
              <w:spacing w:before="65"/>
              <w:ind w:right="90"/>
              <w:rPr>
                <w:sz w:val="20"/>
              </w:rPr>
            </w:pPr>
            <w:r>
              <w:rPr>
                <w:sz w:val="20"/>
              </w:rPr>
              <w:t>8.50%</w:t>
            </w:r>
          </w:p>
        </w:tc>
        <w:tc>
          <w:tcPr>
            <w:tcW w:w="1276" w:type="dxa"/>
          </w:tcPr>
          <w:p w:rsidR="007C5447" w:rsidRDefault="00F6308C">
            <w:pPr>
              <w:pStyle w:val="TableParagraph"/>
              <w:spacing w:before="65"/>
              <w:ind w:right="88"/>
              <w:rPr>
                <w:sz w:val="20"/>
              </w:rPr>
            </w:pPr>
            <w:r>
              <w:rPr>
                <w:sz w:val="20"/>
              </w:rPr>
              <w:t>8.50%</w:t>
            </w:r>
          </w:p>
        </w:tc>
        <w:tc>
          <w:tcPr>
            <w:tcW w:w="1417" w:type="dxa"/>
          </w:tcPr>
          <w:p w:rsidR="007C5447" w:rsidRDefault="00F6308C">
            <w:pPr>
              <w:pStyle w:val="TableParagraph"/>
              <w:spacing w:before="65"/>
              <w:ind w:right="87"/>
              <w:rPr>
                <w:sz w:val="20"/>
              </w:rPr>
            </w:pPr>
            <w:r>
              <w:rPr>
                <w:sz w:val="20"/>
              </w:rPr>
              <w:t>8.50%</w:t>
            </w:r>
          </w:p>
        </w:tc>
      </w:tr>
      <w:tr w:rsidR="007C5447">
        <w:trPr>
          <w:trHeight w:val="489"/>
        </w:trPr>
        <w:tc>
          <w:tcPr>
            <w:tcW w:w="578" w:type="dxa"/>
          </w:tcPr>
          <w:p w:rsidR="007C5447" w:rsidRDefault="00F6308C">
            <w:pPr>
              <w:pStyle w:val="TableParagraph"/>
              <w:spacing w:before="130"/>
              <w:ind w:left="107"/>
              <w:jc w:val="left"/>
              <w:rPr>
                <w:sz w:val="20"/>
              </w:rPr>
            </w:pPr>
            <w:r>
              <w:rPr>
                <w:w w:val="99"/>
                <w:sz w:val="20"/>
              </w:rPr>
              <w:t>6</w:t>
            </w:r>
          </w:p>
        </w:tc>
        <w:tc>
          <w:tcPr>
            <w:tcW w:w="2393" w:type="dxa"/>
          </w:tcPr>
          <w:p w:rsidR="007C5447" w:rsidRDefault="00F6308C">
            <w:pPr>
              <w:pStyle w:val="TableParagraph"/>
              <w:spacing w:before="14" w:line="230" w:lineRule="atLeast"/>
              <w:ind w:left="108" w:right="89"/>
              <w:jc w:val="left"/>
              <w:rPr>
                <w:sz w:val="20"/>
              </w:rPr>
            </w:pPr>
            <w:r>
              <w:rPr>
                <w:sz w:val="20"/>
              </w:rPr>
              <w:t>North Chennai Stage II TPS (Unit 1)</w:t>
            </w:r>
          </w:p>
        </w:tc>
        <w:tc>
          <w:tcPr>
            <w:tcW w:w="1276" w:type="dxa"/>
          </w:tcPr>
          <w:p w:rsidR="007C5447" w:rsidRDefault="00F6308C">
            <w:pPr>
              <w:pStyle w:val="TableParagraph"/>
              <w:spacing w:before="130"/>
              <w:ind w:right="92"/>
              <w:rPr>
                <w:sz w:val="20"/>
              </w:rPr>
            </w:pPr>
            <w:r>
              <w:rPr>
                <w:sz w:val="20"/>
              </w:rPr>
              <w:t>0.00%</w:t>
            </w:r>
          </w:p>
        </w:tc>
        <w:tc>
          <w:tcPr>
            <w:tcW w:w="1276" w:type="dxa"/>
          </w:tcPr>
          <w:p w:rsidR="007C5447" w:rsidRDefault="00F6308C">
            <w:pPr>
              <w:pStyle w:val="TableParagraph"/>
              <w:spacing w:before="130"/>
              <w:ind w:right="91"/>
              <w:rPr>
                <w:sz w:val="20"/>
              </w:rPr>
            </w:pPr>
            <w:r>
              <w:rPr>
                <w:sz w:val="20"/>
              </w:rPr>
              <w:t>0.00%</w:t>
            </w:r>
          </w:p>
        </w:tc>
        <w:tc>
          <w:tcPr>
            <w:tcW w:w="1273" w:type="dxa"/>
          </w:tcPr>
          <w:p w:rsidR="007C5447" w:rsidRDefault="00F6308C">
            <w:pPr>
              <w:pStyle w:val="TableParagraph"/>
              <w:spacing w:before="130"/>
              <w:ind w:right="90"/>
              <w:rPr>
                <w:sz w:val="20"/>
              </w:rPr>
            </w:pPr>
            <w:r>
              <w:rPr>
                <w:sz w:val="20"/>
              </w:rPr>
              <w:t>8.88%</w:t>
            </w:r>
          </w:p>
        </w:tc>
        <w:tc>
          <w:tcPr>
            <w:tcW w:w="1276" w:type="dxa"/>
          </w:tcPr>
          <w:p w:rsidR="007C5447" w:rsidRDefault="00F6308C">
            <w:pPr>
              <w:pStyle w:val="TableParagraph"/>
              <w:spacing w:before="130"/>
              <w:ind w:right="88"/>
              <w:rPr>
                <w:sz w:val="20"/>
              </w:rPr>
            </w:pPr>
            <w:r>
              <w:rPr>
                <w:sz w:val="20"/>
              </w:rPr>
              <w:t>8.50%</w:t>
            </w:r>
          </w:p>
        </w:tc>
        <w:tc>
          <w:tcPr>
            <w:tcW w:w="1417" w:type="dxa"/>
          </w:tcPr>
          <w:p w:rsidR="007C5447" w:rsidRDefault="00F6308C">
            <w:pPr>
              <w:pStyle w:val="TableParagraph"/>
              <w:spacing w:before="130"/>
              <w:ind w:right="87"/>
              <w:rPr>
                <w:sz w:val="20"/>
              </w:rPr>
            </w:pPr>
            <w:r>
              <w:rPr>
                <w:sz w:val="20"/>
              </w:rPr>
              <w:t>8.50%</w:t>
            </w:r>
          </w:p>
        </w:tc>
      </w:tr>
      <w:tr w:rsidR="007C5447">
        <w:trPr>
          <w:trHeight w:val="491"/>
        </w:trPr>
        <w:tc>
          <w:tcPr>
            <w:tcW w:w="578" w:type="dxa"/>
          </w:tcPr>
          <w:p w:rsidR="007C5447" w:rsidRDefault="00F6308C">
            <w:pPr>
              <w:pStyle w:val="TableParagraph"/>
              <w:spacing w:before="132"/>
              <w:ind w:left="107"/>
              <w:jc w:val="left"/>
              <w:rPr>
                <w:sz w:val="20"/>
              </w:rPr>
            </w:pPr>
            <w:r>
              <w:rPr>
                <w:w w:val="99"/>
                <w:sz w:val="20"/>
              </w:rPr>
              <w:t>7</w:t>
            </w:r>
          </w:p>
        </w:tc>
        <w:tc>
          <w:tcPr>
            <w:tcW w:w="2393" w:type="dxa"/>
          </w:tcPr>
          <w:p w:rsidR="007C5447" w:rsidRDefault="00F6308C">
            <w:pPr>
              <w:pStyle w:val="TableParagraph"/>
              <w:spacing w:before="17" w:line="230" w:lineRule="atLeast"/>
              <w:ind w:left="108" w:right="89"/>
              <w:jc w:val="left"/>
              <w:rPr>
                <w:sz w:val="20"/>
              </w:rPr>
            </w:pPr>
            <w:r>
              <w:rPr>
                <w:sz w:val="20"/>
              </w:rPr>
              <w:t>North Chennai Stage II TPS (Unit 2)</w:t>
            </w:r>
          </w:p>
        </w:tc>
        <w:tc>
          <w:tcPr>
            <w:tcW w:w="1276" w:type="dxa"/>
          </w:tcPr>
          <w:p w:rsidR="007C5447" w:rsidRDefault="00F6308C">
            <w:pPr>
              <w:pStyle w:val="TableParagraph"/>
              <w:spacing w:before="132"/>
              <w:ind w:right="92"/>
              <w:rPr>
                <w:sz w:val="20"/>
              </w:rPr>
            </w:pPr>
            <w:r>
              <w:rPr>
                <w:sz w:val="20"/>
              </w:rPr>
              <w:t>0.00%</w:t>
            </w:r>
          </w:p>
        </w:tc>
        <w:tc>
          <w:tcPr>
            <w:tcW w:w="1276" w:type="dxa"/>
          </w:tcPr>
          <w:p w:rsidR="007C5447" w:rsidRDefault="00F6308C">
            <w:pPr>
              <w:pStyle w:val="TableParagraph"/>
              <w:spacing w:before="132"/>
              <w:ind w:right="91"/>
              <w:rPr>
                <w:sz w:val="20"/>
              </w:rPr>
            </w:pPr>
            <w:r>
              <w:rPr>
                <w:sz w:val="20"/>
              </w:rPr>
              <w:t>0.00%</w:t>
            </w:r>
          </w:p>
        </w:tc>
        <w:tc>
          <w:tcPr>
            <w:tcW w:w="1273" w:type="dxa"/>
          </w:tcPr>
          <w:p w:rsidR="007C5447" w:rsidRDefault="00F6308C">
            <w:pPr>
              <w:pStyle w:val="TableParagraph"/>
              <w:spacing w:before="132"/>
              <w:ind w:right="90"/>
              <w:rPr>
                <w:sz w:val="20"/>
              </w:rPr>
            </w:pPr>
            <w:r>
              <w:rPr>
                <w:sz w:val="20"/>
              </w:rPr>
              <w:t>8.83%</w:t>
            </w:r>
          </w:p>
        </w:tc>
        <w:tc>
          <w:tcPr>
            <w:tcW w:w="1276" w:type="dxa"/>
          </w:tcPr>
          <w:p w:rsidR="007C5447" w:rsidRDefault="00F6308C">
            <w:pPr>
              <w:pStyle w:val="TableParagraph"/>
              <w:spacing w:before="132"/>
              <w:ind w:right="88"/>
              <w:rPr>
                <w:sz w:val="20"/>
              </w:rPr>
            </w:pPr>
            <w:r>
              <w:rPr>
                <w:sz w:val="20"/>
              </w:rPr>
              <w:t>8.50%</w:t>
            </w:r>
          </w:p>
        </w:tc>
        <w:tc>
          <w:tcPr>
            <w:tcW w:w="1417" w:type="dxa"/>
          </w:tcPr>
          <w:p w:rsidR="007C5447" w:rsidRDefault="00F6308C">
            <w:pPr>
              <w:pStyle w:val="TableParagraph"/>
              <w:spacing w:before="132"/>
              <w:ind w:right="87"/>
              <w:rPr>
                <w:sz w:val="20"/>
              </w:rPr>
            </w:pPr>
            <w:r>
              <w:rPr>
                <w:sz w:val="20"/>
              </w:rPr>
              <w:t>8.50%</w:t>
            </w:r>
          </w:p>
        </w:tc>
      </w:tr>
      <w:tr w:rsidR="007C5447">
        <w:trPr>
          <w:trHeight w:val="360"/>
        </w:trPr>
        <w:tc>
          <w:tcPr>
            <w:tcW w:w="578" w:type="dxa"/>
            <w:shd w:val="clear" w:color="auto" w:fill="D9D9D9"/>
          </w:tcPr>
          <w:p w:rsidR="007C5447" w:rsidRDefault="00F6308C">
            <w:pPr>
              <w:pStyle w:val="TableParagraph"/>
              <w:spacing w:before="65"/>
              <w:ind w:left="107"/>
              <w:jc w:val="left"/>
              <w:rPr>
                <w:b/>
                <w:sz w:val="20"/>
              </w:rPr>
            </w:pPr>
            <w:r>
              <w:rPr>
                <w:b/>
                <w:w w:val="99"/>
                <w:sz w:val="20"/>
              </w:rPr>
              <w:t>B</w:t>
            </w:r>
          </w:p>
        </w:tc>
        <w:tc>
          <w:tcPr>
            <w:tcW w:w="2393" w:type="dxa"/>
            <w:shd w:val="clear" w:color="auto" w:fill="D9D9D9"/>
          </w:tcPr>
          <w:p w:rsidR="007C5447" w:rsidRDefault="00F6308C">
            <w:pPr>
              <w:pStyle w:val="TableParagraph"/>
              <w:spacing w:before="65"/>
              <w:ind w:left="108"/>
              <w:jc w:val="left"/>
              <w:rPr>
                <w:b/>
                <w:sz w:val="20"/>
              </w:rPr>
            </w:pPr>
            <w:r>
              <w:rPr>
                <w:b/>
                <w:sz w:val="20"/>
              </w:rPr>
              <w:t>Gas</w:t>
            </w:r>
          </w:p>
        </w:tc>
        <w:tc>
          <w:tcPr>
            <w:tcW w:w="1276" w:type="dxa"/>
            <w:shd w:val="clear" w:color="auto" w:fill="D9D9D9"/>
          </w:tcPr>
          <w:p w:rsidR="007C5447" w:rsidRDefault="007C5447">
            <w:pPr>
              <w:pStyle w:val="TableParagraph"/>
              <w:jc w:val="left"/>
              <w:rPr>
                <w:sz w:val="20"/>
              </w:rPr>
            </w:pPr>
          </w:p>
        </w:tc>
        <w:tc>
          <w:tcPr>
            <w:tcW w:w="1276" w:type="dxa"/>
            <w:shd w:val="clear" w:color="auto" w:fill="D9D9D9"/>
          </w:tcPr>
          <w:p w:rsidR="007C5447" w:rsidRDefault="007C5447">
            <w:pPr>
              <w:pStyle w:val="TableParagraph"/>
              <w:jc w:val="left"/>
              <w:rPr>
                <w:sz w:val="20"/>
              </w:rPr>
            </w:pPr>
          </w:p>
        </w:tc>
        <w:tc>
          <w:tcPr>
            <w:tcW w:w="1273" w:type="dxa"/>
            <w:shd w:val="clear" w:color="auto" w:fill="D9D9D9"/>
          </w:tcPr>
          <w:p w:rsidR="007C5447" w:rsidRDefault="007C5447">
            <w:pPr>
              <w:pStyle w:val="TableParagraph"/>
              <w:jc w:val="left"/>
              <w:rPr>
                <w:sz w:val="20"/>
              </w:rPr>
            </w:pPr>
          </w:p>
        </w:tc>
        <w:tc>
          <w:tcPr>
            <w:tcW w:w="1276" w:type="dxa"/>
            <w:shd w:val="clear" w:color="auto" w:fill="D9D9D9"/>
          </w:tcPr>
          <w:p w:rsidR="007C5447" w:rsidRDefault="007C5447">
            <w:pPr>
              <w:pStyle w:val="TableParagraph"/>
              <w:jc w:val="left"/>
              <w:rPr>
                <w:sz w:val="20"/>
              </w:rPr>
            </w:pPr>
          </w:p>
        </w:tc>
        <w:tc>
          <w:tcPr>
            <w:tcW w:w="1417" w:type="dxa"/>
            <w:shd w:val="clear" w:color="auto" w:fill="D9D9D9"/>
          </w:tcPr>
          <w:p w:rsidR="007C5447" w:rsidRDefault="007C5447">
            <w:pPr>
              <w:pStyle w:val="TableParagraph"/>
              <w:jc w:val="left"/>
              <w:rPr>
                <w:sz w:val="20"/>
              </w:rPr>
            </w:pPr>
          </w:p>
        </w:tc>
      </w:tr>
      <w:tr w:rsidR="007C5447">
        <w:trPr>
          <w:trHeight w:val="359"/>
        </w:trPr>
        <w:tc>
          <w:tcPr>
            <w:tcW w:w="578" w:type="dxa"/>
          </w:tcPr>
          <w:p w:rsidR="007C5447" w:rsidRDefault="00F6308C">
            <w:pPr>
              <w:pStyle w:val="TableParagraph"/>
              <w:spacing w:before="65"/>
              <w:ind w:left="107"/>
              <w:jc w:val="left"/>
              <w:rPr>
                <w:sz w:val="20"/>
              </w:rPr>
            </w:pPr>
            <w:r>
              <w:rPr>
                <w:w w:val="99"/>
                <w:sz w:val="20"/>
              </w:rPr>
              <w:t>1</w:t>
            </w:r>
          </w:p>
        </w:tc>
        <w:tc>
          <w:tcPr>
            <w:tcW w:w="2393" w:type="dxa"/>
          </w:tcPr>
          <w:p w:rsidR="007C5447" w:rsidRDefault="00F6308C">
            <w:pPr>
              <w:pStyle w:val="TableParagraph"/>
              <w:spacing w:before="65"/>
              <w:ind w:left="108"/>
              <w:jc w:val="left"/>
              <w:rPr>
                <w:sz w:val="20"/>
              </w:rPr>
            </w:pPr>
            <w:r>
              <w:rPr>
                <w:sz w:val="20"/>
              </w:rPr>
              <w:t>Tirumakottai GTPS</w:t>
            </w:r>
          </w:p>
        </w:tc>
        <w:tc>
          <w:tcPr>
            <w:tcW w:w="1276" w:type="dxa"/>
          </w:tcPr>
          <w:p w:rsidR="007C5447" w:rsidRDefault="00F6308C">
            <w:pPr>
              <w:pStyle w:val="TableParagraph"/>
              <w:spacing w:before="65"/>
              <w:ind w:right="92"/>
              <w:rPr>
                <w:sz w:val="20"/>
              </w:rPr>
            </w:pPr>
            <w:r>
              <w:rPr>
                <w:sz w:val="20"/>
              </w:rPr>
              <w:t>6.00%</w:t>
            </w:r>
          </w:p>
        </w:tc>
        <w:tc>
          <w:tcPr>
            <w:tcW w:w="1276" w:type="dxa"/>
          </w:tcPr>
          <w:p w:rsidR="007C5447" w:rsidRDefault="00F6308C">
            <w:pPr>
              <w:pStyle w:val="TableParagraph"/>
              <w:spacing w:before="65"/>
              <w:ind w:right="91"/>
              <w:rPr>
                <w:sz w:val="20"/>
              </w:rPr>
            </w:pPr>
            <w:r>
              <w:rPr>
                <w:sz w:val="20"/>
              </w:rPr>
              <w:t>6.00%</w:t>
            </w:r>
          </w:p>
        </w:tc>
        <w:tc>
          <w:tcPr>
            <w:tcW w:w="1273" w:type="dxa"/>
          </w:tcPr>
          <w:p w:rsidR="007C5447" w:rsidRDefault="00F6308C">
            <w:pPr>
              <w:pStyle w:val="TableParagraph"/>
              <w:spacing w:before="65"/>
              <w:ind w:right="90"/>
              <w:rPr>
                <w:sz w:val="20"/>
              </w:rPr>
            </w:pPr>
            <w:r>
              <w:rPr>
                <w:sz w:val="20"/>
              </w:rPr>
              <w:t>6.00%</w:t>
            </w:r>
          </w:p>
        </w:tc>
        <w:tc>
          <w:tcPr>
            <w:tcW w:w="1276" w:type="dxa"/>
          </w:tcPr>
          <w:p w:rsidR="007C5447" w:rsidRDefault="00F6308C">
            <w:pPr>
              <w:pStyle w:val="TableParagraph"/>
              <w:spacing w:before="65"/>
              <w:ind w:right="88"/>
              <w:rPr>
                <w:sz w:val="20"/>
              </w:rPr>
            </w:pPr>
            <w:r>
              <w:rPr>
                <w:sz w:val="20"/>
              </w:rPr>
              <w:t>6.00%</w:t>
            </w:r>
          </w:p>
        </w:tc>
        <w:tc>
          <w:tcPr>
            <w:tcW w:w="1417" w:type="dxa"/>
          </w:tcPr>
          <w:p w:rsidR="007C5447" w:rsidRDefault="00F6308C">
            <w:pPr>
              <w:pStyle w:val="TableParagraph"/>
              <w:spacing w:before="65"/>
              <w:ind w:right="87"/>
              <w:rPr>
                <w:sz w:val="20"/>
              </w:rPr>
            </w:pPr>
            <w:r>
              <w:rPr>
                <w:sz w:val="20"/>
              </w:rPr>
              <w:t>6.00%</w:t>
            </w:r>
          </w:p>
        </w:tc>
      </w:tr>
      <w:tr w:rsidR="007C5447">
        <w:trPr>
          <w:trHeight w:val="359"/>
        </w:trPr>
        <w:tc>
          <w:tcPr>
            <w:tcW w:w="578" w:type="dxa"/>
          </w:tcPr>
          <w:p w:rsidR="007C5447" w:rsidRDefault="00F6308C">
            <w:pPr>
              <w:pStyle w:val="TableParagraph"/>
              <w:spacing w:before="65"/>
              <w:ind w:left="107"/>
              <w:jc w:val="left"/>
              <w:rPr>
                <w:sz w:val="20"/>
              </w:rPr>
            </w:pPr>
            <w:r>
              <w:rPr>
                <w:w w:val="99"/>
                <w:sz w:val="20"/>
              </w:rPr>
              <w:t>2</w:t>
            </w:r>
          </w:p>
        </w:tc>
        <w:tc>
          <w:tcPr>
            <w:tcW w:w="2393" w:type="dxa"/>
          </w:tcPr>
          <w:p w:rsidR="007C5447" w:rsidRDefault="00F6308C">
            <w:pPr>
              <w:pStyle w:val="TableParagraph"/>
              <w:spacing w:before="65"/>
              <w:ind w:left="108"/>
              <w:jc w:val="left"/>
              <w:rPr>
                <w:sz w:val="20"/>
              </w:rPr>
            </w:pPr>
            <w:r>
              <w:rPr>
                <w:sz w:val="20"/>
              </w:rPr>
              <w:t>Kuttalam GTPS</w:t>
            </w:r>
          </w:p>
        </w:tc>
        <w:tc>
          <w:tcPr>
            <w:tcW w:w="1276" w:type="dxa"/>
          </w:tcPr>
          <w:p w:rsidR="007C5447" w:rsidRDefault="00F6308C">
            <w:pPr>
              <w:pStyle w:val="TableParagraph"/>
              <w:spacing w:before="65"/>
              <w:ind w:right="92"/>
              <w:rPr>
                <w:sz w:val="20"/>
              </w:rPr>
            </w:pPr>
            <w:r>
              <w:rPr>
                <w:sz w:val="20"/>
              </w:rPr>
              <w:t>6.67%</w:t>
            </w:r>
          </w:p>
        </w:tc>
        <w:tc>
          <w:tcPr>
            <w:tcW w:w="1276" w:type="dxa"/>
          </w:tcPr>
          <w:p w:rsidR="007C5447" w:rsidRDefault="00F6308C">
            <w:pPr>
              <w:pStyle w:val="TableParagraph"/>
              <w:spacing w:before="65"/>
              <w:ind w:right="91"/>
              <w:rPr>
                <w:sz w:val="20"/>
              </w:rPr>
            </w:pPr>
            <w:r>
              <w:rPr>
                <w:sz w:val="20"/>
              </w:rPr>
              <w:t>6.00%</w:t>
            </w:r>
          </w:p>
        </w:tc>
        <w:tc>
          <w:tcPr>
            <w:tcW w:w="1273" w:type="dxa"/>
          </w:tcPr>
          <w:p w:rsidR="007C5447" w:rsidRDefault="00F6308C">
            <w:pPr>
              <w:pStyle w:val="TableParagraph"/>
              <w:spacing w:before="65"/>
              <w:ind w:right="90"/>
              <w:rPr>
                <w:sz w:val="20"/>
              </w:rPr>
            </w:pPr>
            <w:r>
              <w:rPr>
                <w:sz w:val="20"/>
              </w:rPr>
              <w:t>6.00%</w:t>
            </w:r>
          </w:p>
        </w:tc>
        <w:tc>
          <w:tcPr>
            <w:tcW w:w="1276" w:type="dxa"/>
          </w:tcPr>
          <w:p w:rsidR="007C5447" w:rsidRDefault="00F6308C">
            <w:pPr>
              <w:pStyle w:val="TableParagraph"/>
              <w:spacing w:before="65"/>
              <w:ind w:right="88"/>
              <w:rPr>
                <w:sz w:val="20"/>
              </w:rPr>
            </w:pPr>
            <w:r>
              <w:rPr>
                <w:sz w:val="20"/>
              </w:rPr>
              <w:t>6.00%</w:t>
            </w:r>
          </w:p>
        </w:tc>
        <w:tc>
          <w:tcPr>
            <w:tcW w:w="1417" w:type="dxa"/>
          </w:tcPr>
          <w:p w:rsidR="007C5447" w:rsidRDefault="00F6308C">
            <w:pPr>
              <w:pStyle w:val="TableParagraph"/>
              <w:spacing w:before="65"/>
              <w:ind w:right="87"/>
              <w:rPr>
                <w:sz w:val="20"/>
              </w:rPr>
            </w:pPr>
            <w:r>
              <w:rPr>
                <w:sz w:val="20"/>
              </w:rPr>
              <w:t>6.00%</w:t>
            </w:r>
          </w:p>
        </w:tc>
      </w:tr>
      <w:tr w:rsidR="007C5447">
        <w:trPr>
          <w:trHeight w:val="359"/>
        </w:trPr>
        <w:tc>
          <w:tcPr>
            <w:tcW w:w="578" w:type="dxa"/>
          </w:tcPr>
          <w:p w:rsidR="007C5447" w:rsidRDefault="00F6308C">
            <w:pPr>
              <w:pStyle w:val="TableParagraph"/>
              <w:spacing w:before="65"/>
              <w:ind w:left="107"/>
              <w:jc w:val="left"/>
              <w:rPr>
                <w:sz w:val="20"/>
              </w:rPr>
            </w:pPr>
            <w:r>
              <w:rPr>
                <w:w w:val="99"/>
                <w:sz w:val="20"/>
              </w:rPr>
              <w:t>3</w:t>
            </w:r>
          </w:p>
        </w:tc>
        <w:tc>
          <w:tcPr>
            <w:tcW w:w="2393" w:type="dxa"/>
          </w:tcPr>
          <w:p w:rsidR="007C5447" w:rsidRDefault="00F6308C">
            <w:pPr>
              <w:pStyle w:val="TableParagraph"/>
              <w:spacing w:before="65"/>
              <w:ind w:left="108"/>
              <w:jc w:val="left"/>
              <w:rPr>
                <w:sz w:val="20"/>
              </w:rPr>
            </w:pPr>
            <w:r>
              <w:rPr>
                <w:sz w:val="20"/>
              </w:rPr>
              <w:t>Basin Bridge GTPS</w:t>
            </w:r>
          </w:p>
        </w:tc>
        <w:tc>
          <w:tcPr>
            <w:tcW w:w="1276" w:type="dxa"/>
          </w:tcPr>
          <w:p w:rsidR="007C5447" w:rsidRDefault="00F6308C">
            <w:pPr>
              <w:pStyle w:val="TableParagraph"/>
              <w:spacing w:before="65"/>
              <w:ind w:right="92"/>
              <w:rPr>
                <w:sz w:val="20"/>
              </w:rPr>
            </w:pPr>
            <w:r>
              <w:rPr>
                <w:sz w:val="20"/>
              </w:rPr>
              <w:t>0.30%</w:t>
            </w:r>
          </w:p>
        </w:tc>
        <w:tc>
          <w:tcPr>
            <w:tcW w:w="1276" w:type="dxa"/>
          </w:tcPr>
          <w:p w:rsidR="007C5447" w:rsidRDefault="00F6308C">
            <w:pPr>
              <w:pStyle w:val="TableParagraph"/>
              <w:spacing w:before="65"/>
              <w:ind w:right="91"/>
              <w:rPr>
                <w:sz w:val="20"/>
              </w:rPr>
            </w:pPr>
            <w:r>
              <w:rPr>
                <w:sz w:val="20"/>
              </w:rPr>
              <w:t>0.51%</w:t>
            </w:r>
          </w:p>
        </w:tc>
        <w:tc>
          <w:tcPr>
            <w:tcW w:w="1273" w:type="dxa"/>
          </w:tcPr>
          <w:p w:rsidR="007C5447" w:rsidRDefault="00F6308C">
            <w:pPr>
              <w:pStyle w:val="TableParagraph"/>
              <w:spacing w:before="65"/>
              <w:ind w:right="88"/>
              <w:rPr>
                <w:sz w:val="20"/>
              </w:rPr>
            </w:pPr>
            <w:r>
              <w:rPr>
                <w:sz w:val="20"/>
              </w:rPr>
              <w:t>0.99%</w:t>
            </w:r>
          </w:p>
        </w:tc>
        <w:tc>
          <w:tcPr>
            <w:tcW w:w="1276" w:type="dxa"/>
          </w:tcPr>
          <w:p w:rsidR="007C5447" w:rsidRDefault="00F6308C">
            <w:pPr>
              <w:pStyle w:val="TableParagraph"/>
              <w:spacing w:before="65"/>
              <w:ind w:right="88"/>
              <w:rPr>
                <w:sz w:val="20"/>
              </w:rPr>
            </w:pPr>
            <w:r>
              <w:rPr>
                <w:sz w:val="20"/>
              </w:rPr>
              <w:t>0.99%</w:t>
            </w:r>
          </w:p>
        </w:tc>
        <w:tc>
          <w:tcPr>
            <w:tcW w:w="1417" w:type="dxa"/>
          </w:tcPr>
          <w:p w:rsidR="007C5447" w:rsidRDefault="00F6308C">
            <w:pPr>
              <w:pStyle w:val="TableParagraph"/>
              <w:spacing w:before="65"/>
              <w:ind w:right="87"/>
              <w:rPr>
                <w:sz w:val="20"/>
              </w:rPr>
            </w:pPr>
            <w:r>
              <w:rPr>
                <w:sz w:val="20"/>
              </w:rPr>
              <w:t>0.99%</w:t>
            </w:r>
          </w:p>
        </w:tc>
      </w:tr>
      <w:tr w:rsidR="007C5447">
        <w:trPr>
          <w:trHeight w:val="362"/>
        </w:trPr>
        <w:tc>
          <w:tcPr>
            <w:tcW w:w="578" w:type="dxa"/>
          </w:tcPr>
          <w:p w:rsidR="007C5447" w:rsidRDefault="00F6308C">
            <w:pPr>
              <w:pStyle w:val="TableParagraph"/>
              <w:spacing w:before="67"/>
              <w:ind w:left="107"/>
              <w:jc w:val="left"/>
              <w:rPr>
                <w:sz w:val="20"/>
              </w:rPr>
            </w:pPr>
            <w:r>
              <w:rPr>
                <w:w w:val="99"/>
                <w:sz w:val="20"/>
              </w:rPr>
              <w:t>4</w:t>
            </w:r>
          </w:p>
        </w:tc>
        <w:tc>
          <w:tcPr>
            <w:tcW w:w="2393" w:type="dxa"/>
          </w:tcPr>
          <w:p w:rsidR="007C5447" w:rsidRDefault="00F6308C">
            <w:pPr>
              <w:pStyle w:val="TableParagraph"/>
              <w:spacing w:before="67"/>
              <w:ind w:left="108"/>
              <w:jc w:val="left"/>
              <w:rPr>
                <w:sz w:val="20"/>
              </w:rPr>
            </w:pPr>
            <w:r>
              <w:rPr>
                <w:sz w:val="20"/>
              </w:rPr>
              <w:t>Valathur GTPS (Unit 1)</w:t>
            </w:r>
          </w:p>
        </w:tc>
        <w:tc>
          <w:tcPr>
            <w:tcW w:w="1276" w:type="dxa"/>
          </w:tcPr>
          <w:p w:rsidR="007C5447" w:rsidRDefault="00F6308C">
            <w:pPr>
              <w:pStyle w:val="TableParagraph"/>
              <w:spacing w:before="67"/>
              <w:ind w:right="92"/>
              <w:rPr>
                <w:sz w:val="20"/>
              </w:rPr>
            </w:pPr>
            <w:r>
              <w:rPr>
                <w:sz w:val="20"/>
              </w:rPr>
              <w:t>5.87%</w:t>
            </w:r>
          </w:p>
        </w:tc>
        <w:tc>
          <w:tcPr>
            <w:tcW w:w="1276" w:type="dxa"/>
          </w:tcPr>
          <w:p w:rsidR="007C5447" w:rsidRDefault="00F6308C">
            <w:pPr>
              <w:pStyle w:val="TableParagraph"/>
              <w:spacing w:before="67"/>
              <w:ind w:right="91"/>
              <w:rPr>
                <w:sz w:val="20"/>
              </w:rPr>
            </w:pPr>
            <w:r>
              <w:rPr>
                <w:sz w:val="20"/>
              </w:rPr>
              <w:t>6.00%</w:t>
            </w:r>
          </w:p>
        </w:tc>
        <w:tc>
          <w:tcPr>
            <w:tcW w:w="1273" w:type="dxa"/>
          </w:tcPr>
          <w:p w:rsidR="007C5447" w:rsidRDefault="00F6308C">
            <w:pPr>
              <w:pStyle w:val="TableParagraph"/>
              <w:spacing w:before="67"/>
              <w:ind w:right="90"/>
              <w:rPr>
                <w:sz w:val="20"/>
              </w:rPr>
            </w:pPr>
            <w:r>
              <w:rPr>
                <w:sz w:val="20"/>
              </w:rPr>
              <w:t>6.00%</w:t>
            </w:r>
          </w:p>
        </w:tc>
        <w:tc>
          <w:tcPr>
            <w:tcW w:w="1276" w:type="dxa"/>
          </w:tcPr>
          <w:p w:rsidR="007C5447" w:rsidRDefault="00F6308C">
            <w:pPr>
              <w:pStyle w:val="TableParagraph"/>
              <w:spacing w:before="67"/>
              <w:ind w:right="88"/>
              <w:rPr>
                <w:sz w:val="20"/>
              </w:rPr>
            </w:pPr>
            <w:r>
              <w:rPr>
                <w:sz w:val="20"/>
              </w:rPr>
              <w:t>6.00%</w:t>
            </w:r>
          </w:p>
        </w:tc>
        <w:tc>
          <w:tcPr>
            <w:tcW w:w="1417" w:type="dxa"/>
          </w:tcPr>
          <w:p w:rsidR="007C5447" w:rsidRDefault="00F6308C">
            <w:pPr>
              <w:pStyle w:val="TableParagraph"/>
              <w:spacing w:before="67"/>
              <w:ind w:right="87"/>
              <w:rPr>
                <w:sz w:val="20"/>
              </w:rPr>
            </w:pPr>
            <w:r>
              <w:rPr>
                <w:sz w:val="20"/>
              </w:rPr>
              <w:t>6.00%</w:t>
            </w:r>
          </w:p>
        </w:tc>
      </w:tr>
      <w:tr w:rsidR="007C5447">
        <w:trPr>
          <w:trHeight w:val="359"/>
        </w:trPr>
        <w:tc>
          <w:tcPr>
            <w:tcW w:w="578" w:type="dxa"/>
          </w:tcPr>
          <w:p w:rsidR="007C5447" w:rsidRDefault="00F6308C">
            <w:pPr>
              <w:pStyle w:val="TableParagraph"/>
              <w:spacing w:before="65"/>
              <w:ind w:left="107"/>
              <w:jc w:val="left"/>
              <w:rPr>
                <w:sz w:val="20"/>
              </w:rPr>
            </w:pPr>
            <w:r>
              <w:rPr>
                <w:w w:val="99"/>
                <w:sz w:val="20"/>
              </w:rPr>
              <w:t>5</w:t>
            </w:r>
          </w:p>
        </w:tc>
        <w:tc>
          <w:tcPr>
            <w:tcW w:w="2393" w:type="dxa"/>
          </w:tcPr>
          <w:p w:rsidR="007C5447" w:rsidRDefault="00F6308C">
            <w:pPr>
              <w:pStyle w:val="TableParagraph"/>
              <w:spacing w:before="65"/>
              <w:ind w:left="108"/>
              <w:jc w:val="left"/>
              <w:rPr>
                <w:sz w:val="20"/>
              </w:rPr>
            </w:pPr>
            <w:r>
              <w:rPr>
                <w:sz w:val="20"/>
              </w:rPr>
              <w:t>Valathur GTPS (Unit 2)</w:t>
            </w:r>
          </w:p>
        </w:tc>
        <w:tc>
          <w:tcPr>
            <w:tcW w:w="1276" w:type="dxa"/>
          </w:tcPr>
          <w:p w:rsidR="007C5447" w:rsidRDefault="00F6308C">
            <w:pPr>
              <w:pStyle w:val="TableParagraph"/>
              <w:spacing w:before="65"/>
              <w:ind w:right="92"/>
              <w:rPr>
                <w:sz w:val="20"/>
              </w:rPr>
            </w:pPr>
            <w:r>
              <w:rPr>
                <w:sz w:val="20"/>
              </w:rPr>
              <w:t>5.84%</w:t>
            </w:r>
          </w:p>
        </w:tc>
        <w:tc>
          <w:tcPr>
            <w:tcW w:w="1276" w:type="dxa"/>
          </w:tcPr>
          <w:p w:rsidR="007C5447" w:rsidRDefault="00F6308C">
            <w:pPr>
              <w:pStyle w:val="TableParagraph"/>
              <w:spacing w:before="65"/>
              <w:ind w:right="91"/>
              <w:rPr>
                <w:sz w:val="20"/>
              </w:rPr>
            </w:pPr>
            <w:r>
              <w:rPr>
                <w:sz w:val="20"/>
              </w:rPr>
              <w:t>6.00%</w:t>
            </w:r>
          </w:p>
        </w:tc>
        <w:tc>
          <w:tcPr>
            <w:tcW w:w="1273" w:type="dxa"/>
          </w:tcPr>
          <w:p w:rsidR="007C5447" w:rsidRDefault="00F6308C">
            <w:pPr>
              <w:pStyle w:val="TableParagraph"/>
              <w:spacing w:before="65"/>
              <w:ind w:right="90"/>
              <w:rPr>
                <w:sz w:val="20"/>
              </w:rPr>
            </w:pPr>
            <w:r>
              <w:rPr>
                <w:sz w:val="20"/>
              </w:rPr>
              <w:t>6.00%</w:t>
            </w:r>
          </w:p>
        </w:tc>
        <w:tc>
          <w:tcPr>
            <w:tcW w:w="1276" w:type="dxa"/>
          </w:tcPr>
          <w:p w:rsidR="007C5447" w:rsidRDefault="00F6308C">
            <w:pPr>
              <w:pStyle w:val="TableParagraph"/>
              <w:spacing w:before="65"/>
              <w:ind w:right="88"/>
              <w:rPr>
                <w:sz w:val="20"/>
              </w:rPr>
            </w:pPr>
            <w:r>
              <w:rPr>
                <w:sz w:val="20"/>
              </w:rPr>
              <w:t>6.00%</w:t>
            </w:r>
          </w:p>
        </w:tc>
        <w:tc>
          <w:tcPr>
            <w:tcW w:w="1417" w:type="dxa"/>
          </w:tcPr>
          <w:p w:rsidR="007C5447" w:rsidRDefault="00F6308C">
            <w:pPr>
              <w:pStyle w:val="TableParagraph"/>
              <w:spacing w:before="65"/>
              <w:ind w:right="87"/>
              <w:rPr>
                <w:sz w:val="20"/>
              </w:rPr>
            </w:pPr>
            <w:r>
              <w:rPr>
                <w:sz w:val="20"/>
              </w:rPr>
              <w:t>6.00%</w:t>
            </w:r>
          </w:p>
        </w:tc>
      </w:tr>
      <w:tr w:rsidR="007C5447">
        <w:trPr>
          <w:trHeight w:val="359"/>
        </w:trPr>
        <w:tc>
          <w:tcPr>
            <w:tcW w:w="578" w:type="dxa"/>
            <w:shd w:val="clear" w:color="auto" w:fill="D9D9D9"/>
          </w:tcPr>
          <w:p w:rsidR="007C5447" w:rsidRDefault="00F6308C">
            <w:pPr>
              <w:pStyle w:val="TableParagraph"/>
              <w:spacing w:before="65"/>
              <w:ind w:left="107"/>
              <w:jc w:val="left"/>
              <w:rPr>
                <w:b/>
                <w:sz w:val="20"/>
              </w:rPr>
            </w:pPr>
            <w:r>
              <w:rPr>
                <w:b/>
                <w:w w:val="99"/>
                <w:sz w:val="20"/>
              </w:rPr>
              <w:t>C</w:t>
            </w:r>
          </w:p>
        </w:tc>
        <w:tc>
          <w:tcPr>
            <w:tcW w:w="2393" w:type="dxa"/>
            <w:shd w:val="clear" w:color="auto" w:fill="D9D9D9"/>
          </w:tcPr>
          <w:p w:rsidR="007C5447" w:rsidRDefault="00F6308C">
            <w:pPr>
              <w:pStyle w:val="TableParagraph"/>
              <w:spacing w:before="65"/>
              <w:ind w:left="108"/>
              <w:jc w:val="left"/>
              <w:rPr>
                <w:b/>
                <w:sz w:val="20"/>
              </w:rPr>
            </w:pPr>
            <w:r>
              <w:rPr>
                <w:b/>
                <w:sz w:val="20"/>
              </w:rPr>
              <w:t>Hydro</w:t>
            </w:r>
          </w:p>
        </w:tc>
        <w:tc>
          <w:tcPr>
            <w:tcW w:w="1276" w:type="dxa"/>
            <w:shd w:val="clear" w:color="auto" w:fill="D9D9D9"/>
          </w:tcPr>
          <w:p w:rsidR="007C5447" w:rsidRDefault="007C5447">
            <w:pPr>
              <w:pStyle w:val="TableParagraph"/>
              <w:jc w:val="left"/>
              <w:rPr>
                <w:sz w:val="20"/>
              </w:rPr>
            </w:pPr>
          </w:p>
        </w:tc>
        <w:tc>
          <w:tcPr>
            <w:tcW w:w="1276" w:type="dxa"/>
            <w:shd w:val="clear" w:color="auto" w:fill="D9D9D9"/>
          </w:tcPr>
          <w:p w:rsidR="007C5447" w:rsidRDefault="007C5447">
            <w:pPr>
              <w:pStyle w:val="TableParagraph"/>
              <w:jc w:val="left"/>
              <w:rPr>
                <w:sz w:val="20"/>
              </w:rPr>
            </w:pPr>
          </w:p>
        </w:tc>
        <w:tc>
          <w:tcPr>
            <w:tcW w:w="1273" w:type="dxa"/>
            <w:shd w:val="clear" w:color="auto" w:fill="D9D9D9"/>
          </w:tcPr>
          <w:p w:rsidR="007C5447" w:rsidRDefault="007C5447">
            <w:pPr>
              <w:pStyle w:val="TableParagraph"/>
              <w:jc w:val="left"/>
              <w:rPr>
                <w:sz w:val="20"/>
              </w:rPr>
            </w:pPr>
          </w:p>
        </w:tc>
        <w:tc>
          <w:tcPr>
            <w:tcW w:w="1276" w:type="dxa"/>
            <w:shd w:val="clear" w:color="auto" w:fill="D9D9D9"/>
          </w:tcPr>
          <w:p w:rsidR="007C5447" w:rsidRDefault="007C5447">
            <w:pPr>
              <w:pStyle w:val="TableParagraph"/>
              <w:jc w:val="left"/>
              <w:rPr>
                <w:sz w:val="20"/>
              </w:rPr>
            </w:pPr>
          </w:p>
        </w:tc>
        <w:tc>
          <w:tcPr>
            <w:tcW w:w="1417" w:type="dxa"/>
            <w:shd w:val="clear" w:color="auto" w:fill="D9D9D9"/>
          </w:tcPr>
          <w:p w:rsidR="007C5447" w:rsidRDefault="007C5447">
            <w:pPr>
              <w:pStyle w:val="TableParagraph"/>
              <w:jc w:val="left"/>
              <w:rPr>
                <w:sz w:val="20"/>
              </w:rPr>
            </w:pPr>
          </w:p>
        </w:tc>
      </w:tr>
      <w:tr w:rsidR="007C5447">
        <w:trPr>
          <w:trHeight w:val="359"/>
        </w:trPr>
        <w:tc>
          <w:tcPr>
            <w:tcW w:w="578" w:type="dxa"/>
          </w:tcPr>
          <w:p w:rsidR="007C5447" w:rsidRDefault="00F6308C">
            <w:pPr>
              <w:pStyle w:val="TableParagraph"/>
              <w:spacing w:before="65"/>
              <w:ind w:left="107"/>
              <w:jc w:val="left"/>
              <w:rPr>
                <w:sz w:val="20"/>
              </w:rPr>
            </w:pPr>
            <w:r>
              <w:rPr>
                <w:w w:val="99"/>
                <w:sz w:val="20"/>
              </w:rPr>
              <w:t>1</w:t>
            </w:r>
          </w:p>
        </w:tc>
        <w:tc>
          <w:tcPr>
            <w:tcW w:w="2393" w:type="dxa"/>
          </w:tcPr>
          <w:p w:rsidR="007C5447" w:rsidRDefault="00F6308C">
            <w:pPr>
              <w:pStyle w:val="TableParagraph"/>
              <w:spacing w:before="65"/>
              <w:ind w:left="108"/>
              <w:jc w:val="left"/>
              <w:rPr>
                <w:sz w:val="20"/>
              </w:rPr>
            </w:pPr>
            <w:r>
              <w:rPr>
                <w:sz w:val="20"/>
              </w:rPr>
              <w:t>Kundah Generation Circle</w:t>
            </w:r>
          </w:p>
        </w:tc>
        <w:tc>
          <w:tcPr>
            <w:tcW w:w="1276" w:type="dxa"/>
          </w:tcPr>
          <w:p w:rsidR="007C5447" w:rsidRDefault="00F6308C">
            <w:pPr>
              <w:pStyle w:val="TableParagraph"/>
              <w:spacing w:before="65"/>
              <w:ind w:right="92"/>
              <w:rPr>
                <w:sz w:val="20"/>
              </w:rPr>
            </w:pPr>
            <w:r>
              <w:rPr>
                <w:sz w:val="20"/>
              </w:rPr>
              <w:t>0.50%</w:t>
            </w:r>
          </w:p>
        </w:tc>
        <w:tc>
          <w:tcPr>
            <w:tcW w:w="1276" w:type="dxa"/>
          </w:tcPr>
          <w:p w:rsidR="007C5447" w:rsidRDefault="00F6308C">
            <w:pPr>
              <w:pStyle w:val="TableParagraph"/>
              <w:spacing w:before="65"/>
              <w:ind w:right="91"/>
              <w:rPr>
                <w:sz w:val="20"/>
              </w:rPr>
            </w:pPr>
            <w:r>
              <w:rPr>
                <w:sz w:val="20"/>
              </w:rPr>
              <w:t>0.50%</w:t>
            </w:r>
          </w:p>
        </w:tc>
        <w:tc>
          <w:tcPr>
            <w:tcW w:w="1273" w:type="dxa"/>
          </w:tcPr>
          <w:p w:rsidR="007C5447" w:rsidRDefault="00F6308C">
            <w:pPr>
              <w:pStyle w:val="TableParagraph"/>
              <w:spacing w:before="65"/>
              <w:ind w:right="90"/>
              <w:rPr>
                <w:sz w:val="20"/>
              </w:rPr>
            </w:pPr>
            <w:r>
              <w:rPr>
                <w:sz w:val="20"/>
              </w:rPr>
              <w:t>0.50%</w:t>
            </w:r>
          </w:p>
        </w:tc>
        <w:tc>
          <w:tcPr>
            <w:tcW w:w="1276" w:type="dxa"/>
          </w:tcPr>
          <w:p w:rsidR="007C5447" w:rsidRDefault="00F6308C">
            <w:pPr>
              <w:pStyle w:val="TableParagraph"/>
              <w:spacing w:before="65"/>
              <w:ind w:right="88"/>
              <w:rPr>
                <w:sz w:val="20"/>
              </w:rPr>
            </w:pPr>
            <w:r>
              <w:rPr>
                <w:sz w:val="20"/>
              </w:rPr>
              <w:t>0.50%</w:t>
            </w:r>
          </w:p>
        </w:tc>
        <w:tc>
          <w:tcPr>
            <w:tcW w:w="1417" w:type="dxa"/>
          </w:tcPr>
          <w:p w:rsidR="007C5447" w:rsidRDefault="00F6308C">
            <w:pPr>
              <w:pStyle w:val="TableParagraph"/>
              <w:spacing w:before="65"/>
              <w:ind w:right="87"/>
              <w:rPr>
                <w:sz w:val="20"/>
              </w:rPr>
            </w:pPr>
            <w:r>
              <w:rPr>
                <w:sz w:val="20"/>
              </w:rPr>
              <w:t>0.50%</w:t>
            </w:r>
          </w:p>
        </w:tc>
      </w:tr>
      <w:tr w:rsidR="007C5447">
        <w:trPr>
          <w:trHeight w:val="489"/>
        </w:trPr>
        <w:tc>
          <w:tcPr>
            <w:tcW w:w="578" w:type="dxa"/>
          </w:tcPr>
          <w:p w:rsidR="007C5447" w:rsidRDefault="00F6308C">
            <w:pPr>
              <w:pStyle w:val="TableParagraph"/>
              <w:spacing w:before="130"/>
              <w:ind w:left="107"/>
              <w:jc w:val="left"/>
              <w:rPr>
                <w:sz w:val="20"/>
              </w:rPr>
            </w:pPr>
            <w:r>
              <w:rPr>
                <w:w w:val="99"/>
                <w:sz w:val="20"/>
              </w:rPr>
              <w:t>2</w:t>
            </w:r>
          </w:p>
        </w:tc>
        <w:tc>
          <w:tcPr>
            <w:tcW w:w="2393" w:type="dxa"/>
          </w:tcPr>
          <w:p w:rsidR="007C5447" w:rsidRDefault="00F6308C">
            <w:pPr>
              <w:pStyle w:val="TableParagraph"/>
              <w:spacing w:before="14" w:line="230" w:lineRule="atLeast"/>
              <w:ind w:left="108"/>
              <w:jc w:val="left"/>
              <w:rPr>
                <w:sz w:val="20"/>
              </w:rPr>
            </w:pPr>
            <w:r>
              <w:rPr>
                <w:sz w:val="20"/>
              </w:rPr>
              <w:t>Kadamparai Generation Circle</w:t>
            </w:r>
          </w:p>
        </w:tc>
        <w:tc>
          <w:tcPr>
            <w:tcW w:w="1276" w:type="dxa"/>
          </w:tcPr>
          <w:p w:rsidR="007C5447" w:rsidRDefault="00F6308C">
            <w:pPr>
              <w:pStyle w:val="TableParagraph"/>
              <w:spacing w:before="130"/>
              <w:ind w:right="92"/>
              <w:rPr>
                <w:sz w:val="20"/>
              </w:rPr>
            </w:pPr>
            <w:r>
              <w:rPr>
                <w:sz w:val="20"/>
              </w:rPr>
              <w:t>0.50%</w:t>
            </w:r>
          </w:p>
        </w:tc>
        <w:tc>
          <w:tcPr>
            <w:tcW w:w="1276" w:type="dxa"/>
          </w:tcPr>
          <w:p w:rsidR="007C5447" w:rsidRDefault="00F6308C">
            <w:pPr>
              <w:pStyle w:val="TableParagraph"/>
              <w:spacing w:before="130"/>
              <w:ind w:right="91"/>
              <w:rPr>
                <w:sz w:val="20"/>
              </w:rPr>
            </w:pPr>
            <w:r>
              <w:rPr>
                <w:sz w:val="20"/>
              </w:rPr>
              <w:t>0.50%</w:t>
            </w:r>
          </w:p>
        </w:tc>
        <w:tc>
          <w:tcPr>
            <w:tcW w:w="1273" w:type="dxa"/>
          </w:tcPr>
          <w:p w:rsidR="007C5447" w:rsidRDefault="00F6308C">
            <w:pPr>
              <w:pStyle w:val="TableParagraph"/>
              <w:spacing w:before="130"/>
              <w:ind w:right="90"/>
              <w:rPr>
                <w:sz w:val="20"/>
              </w:rPr>
            </w:pPr>
            <w:r>
              <w:rPr>
                <w:sz w:val="20"/>
              </w:rPr>
              <w:t>0.50%</w:t>
            </w:r>
          </w:p>
        </w:tc>
        <w:tc>
          <w:tcPr>
            <w:tcW w:w="1276" w:type="dxa"/>
          </w:tcPr>
          <w:p w:rsidR="007C5447" w:rsidRDefault="00F6308C">
            <w:pPr>
              <w:pStyle w:val="TableParagraph"/>
              <w:spacing w:before="130"/>
              <w:ind w:right="88"/>
              <w:rPr>
                <w:sz w:val="20"/>
              </w:rPr>
            </w:pPr>
            <w:r>
              <w:rPr>
                <w:sz w:val="20"/>
              </w:rPr>
              <w:t>0.50%</w:t>
            </w:r>
          </w:p>
        </w:tc>
        <w:tc>
          <w:tcPr>
            <w:tcW w:w="1417" w:type="dxa"/>
          </w:tcPr>
          <w:p w:rsidR="007C5447" w:rsidRDefault="00F6308C">
            <w:pPr>
              <w:pStyle w:val="TableParagraph"/>
              <w:spacing w:before="130"/>
              <w:ind w:right="87"/>
              <w:rPr>
                <w:sz w:val="20"/>
              </w:rPr>
            </w:pPr>
            <w:r>
              <w:rPr>
                <w:sz w:val="20"/>
              </w:rPr>
              <w:t>0.50%</w:t>
            </w:r>
          </w:p>
        </w:tc>
      </w:tr>
      <w:tr w:rsidR="007C5447">
        <w:trPr>
          <w:trHeight w:val="492"/>
        </w:trPr>
        <w:tc>
          <w:tcPr>
            <w:tcW w:w="578" w:type="dxa"/>
          </w:tcPr>
          <w:p w:rsidR="007C5447" w:rsidRDefault="00F6308C">
            <w:pPr>
              <w:pStyle w:val="TableParagraph"/>
              <w:spacing w:before="132"/>
              <w:ind w:left="107"/>
              <w:jc w:val="left"/>
              <w:rPr>
                <w:sz w:val="20"/>
              </w:rPr>
            </w:pPr>
            <w:r>
              <w:rPr>
                <w:w w:val="99"/>
                <w:sz w:val="20"/>
              </w:rPr>
              <w:t>3</w:t>
            </w:r>
          </w:p>
        </w:tc>
        <w:tc>
          <w:tcPr>
            <w:tcW w:w="2393" w:type="dxa"/>
          </w:tcPr>
          <w:p w:rsidR="007C5447" w:rsidRDefault="00F6308C">
            <w:pPr>
              <w:pStyle w:val="TableParagraph"/>
              <w:spacing w:before="17" w:line="230" w:lineRule="atLeast"/>
              <w:ind w:left="108"/>
              <w:jc w:val="left"/>
              <w:rPr>
                <w:sz w:val="20"/>
              </w:rPr>
            </w:pPr>
            <w:r>
              <w:rPr>
                <w:sz w:val="20"/>
              </w:rPr>
              <w:t>Tirunelveli Generation Circle</w:t>
            </w:r>
          </w:p>
        </w:tc>
        <w:tc>
          <w:tcPr>
            <w:tcW w:w="1276" w:type="dxa"/>
          </w:tcPr>
          <w:p w:rsidR="007C5447" w:rsidRDefault="00F6308C">
            <w:pPr>
              <w:pStyle w:val="TableParagraph"/>
              <w:spacing w:before="132"/>
              <w:ind w:right="92"/>
              <w:rPr>
                <w:sz w:val="20"/>
              </w:rPr>
            </w:pPr>
            <w:r>
              <w:rPr>
                <w:sz w:val="20"/>
              </w:rPr>
              <w:t>0.50%</w:t>
            </w:r>
          </w:p>
        </w:tc>
        <w:tc>
          <w:tcPr>
            <w:tcW w:w="1276" w:type="dxa"/>
          </w:tcPr>
          <w:p w:rsidR="007C5447" w:rsidRDefault="00F6308C">
            <w:pPr>
              <w:pStyle w:val="TableParagraph"/>
              <w:spacing w:before="132"/>
              <w:ind w:right="91"/>
              <w:rPr>
                <w:sz w:val="20"/>
              </w:rPr>
            </w:pPr>
            <w:r>
              <w:rPr>
                <w:sz w:val="20"/>
              </w:rPr>
              <w:t>0.50%</w:t>
            </w:r>
          </w:p>
        </w:tc>
        <w:tc>
          <w:tcPr>
            <w:tcW w:w="1273" w:type="dxa"/>
          </w:tcPr>
          <w:p w:rsidR="007C5447" w:rsidRDefault="00F6308C">
            <w:pPr>
              <w:pStyle w:val="TableParagraph"/>
              <w:spacing w:before="132"/>
              <w:ind w:right="90"/>
              <w:rPr>
                <w:sz w:val="20"/>
              </w:rPr>
            </w:pPr>
            <w:r>
              <w:rPr>
                <w:sz w:val="20"/>
              </w:rPr>
              <w:t>0.50%</w:t>
            </w:r>
          </w:p>
        </w:tc>
        <w:tc>
          <w:tcPr>
            <w:tcW w:w="1276" w:type="dxa"/>
          </w:tcPr>
          <w:p w:rsidR="007C5447" w:rsidRDefault="00F6308C">
            <w:pPr>
              <w:pStyle w:val="TableParagraph"/>
              <w:spacing w:before="132"/>
              <w:ind w:right="88"/>
              <w:rPr>
                <w:sz w:val="20"/>
              </w:rPr>
            </w:pPr>
            <w:r>
              <w:rPr>
                <w:sz w:val="20"/>
              </w:rPr>
              <w:t>0.50%</w:t>
            </w:r>
          </w:p>
        </w:tc>
        <w:tc>
          <w:tcPr>
            <w:tcW w:w="1417" w:type="dxa"/>
          </w:tcPr>
          <w:p w:rsidR="007C5447" w:rsidRDefault="00F6308C">
            <w:pPr>
              <w:pStyle w:val="TableParagraph"/>
              <w:spacing w:before="132"/>
              <w:ind w:right="87"/>
              <w:rPr>
                <w:sz w:val="20"/>
              </w:rPr>
            </w:pPr>
            <w:r>
              <w:rPr>
                <w:sz w:val="20"/>
              </w:rPr>
              <w:t>0.50%</w:t>
            </w:r>
          </w:p>
        </w:tc>
      </w:tr>
      <w:tr w:rsidR="007C5447">
        <w:trPr>
          <w:trHeight w:val="405"/>
        </w:trPr>
        <w:tc>
          <w:tcPr>
            <w:tcW w:w="578" w:type="dxa"/>
          </w:tcPr>
          <w:p w:rsidR="007C5447" w:rsidRDefault="00F6308C">
            <w:pPr>
              <w:pStyle w:val="TableParagraph"/>
              <w:spacing w:before="86"/>
              <w:ind w:left="107"/>
              <w:jc w:val="left"/>
              <w:rPr>
                <w:sz w:val="20"/>
              </w:rPr>
            </w:pPr>
            <w:r>
              <w:rPr>
                <w:w w:val="99"/>
                <w:sz w:val="20"/>
              </w:rPr>
              <w:t>4</w:t>
            </w:r>
          </w:p>
        </w:tc>
        <w:tc>
          <w:tcPr>
            <w:tcW w:w="2393" w:type="dxa"/>
          </w:tcPr>
          <w:p w:rsidR="007C5447" w:rsidRDefault="00F6308C">
            <w:pPr>
              <w:pStyle w:val="TableParagraph"/>
              <w:spacing w:before="86"/>
              <w:ind w:left="108"/>
              <w:jc w:val="left"/>
              <w:rPr>
                <w:sz w:val="20"/>
              </w:rPr>
            </w:pPr>
            <w:r>
              <w:rPr>
                <w:sz w:val="20"/>
              </w:rPr>
              <w:t>Erode Generation Circle</w:t>
            </w:r>
          </w:p>
        </w:tc>
        <w:tc>
          <w:tcPr>
            <w:tcW w:w="1276" w:type="dxa"/>
          </w:tcPr>
          <w:p w:rsidR="007C5447" w:rsidRDefault="00F6308C">
            <w:pPr>
              <w:pStyle w:val="TableParagraph"/>
              <w:spacing w:before="86"/>
              <w:ind w:right="92"/>
              <w:rPr>
                <w:sz w:val="20"/>
              </w:rPr>
            </w:pPr>
            <w:r>
              <w:rPr>
                <w:sz w:val="20"/>
              </w:rPr>
              <w:t>0.50%</w:t>
            </w:r>
          </w:p>
        </w:tc>
        <w:tc>
          <w:tcPr>
            <w:tcW w:w="1276" w:type="dxa"/>
          </w:tcPr>
          <w:p w:rsidR="007C5447" w:rsidRDefault="00F6308C">
            <w:pPr>
              <w:pStyle w:val="TableParagraph"/>
              <w:spacing w:before="86"/>
              <w:ind w:right="91"/>
              <w:rPr>
                <w:sz w:val="20"/>
              </w:rPr>
            </w:pPr>
            <w:r>
              <w:rPr>
                <w:sz w:val="20"/>
              </w:rPr>
              <w:t>0.50%</w:t>
            </w:r>
          </w:p>
        </w:tc>
        <w:tc>
          <w:tcPr>
            <w:tcW w:w="1273" w:type="dxa"/>
          </w:tcPr>
          <w:p w:rsidR="007C5447" w:rsidRDefault="00F6308C">
            <w:pPr>
              <w:pStyle w:val="TableParagraph"/>
              <w:spacing w:before="86"/>
              <w:ind w:right="90"/>
              <w:rPr>
                <w:sz w:val="20"/>
              </w:rPr>
            </w:pPr>
            <w:r>
              <w:rPr>
                <w:sz w:val="20"/>
              </w:rPr>
              <w:t>0.50%</w:t>
            </w:r>
          </w:p>
        </w:tc>
        <w:tc>
          <w:tcPr>
            <w:tcW w:w="1276" w:type="dxa"/>
          </w:tcPr>
          <w:p w:rsidR="007C5447" w:rsidRDefault="00F6308C">
            <w:pPr>
              <w:pStyle w:val="TableParagraph"/>
              <w:spacing w:before="86"/>
              <w:ind w:right="88"/>
              <w:rPr>
                <w:sz w:val="20"/>
              </w:rPr>
            </w:pPr>
            <w:r>
              <w:rPr>
                <w:sz w:val="20"/>
              </w:rPr>
              <w:t>0.50%</w:t>
            </w:r>
          </w:p>
        </w:tc>
        <w:tc>
          <w:tcPr>
            <w:tcW w:w="1417" w:type="dxa"/>
          </w:tcPr>
          <w:p w:rsidR="007C5447" w:rsidRDefault="00F6308C">
            <w:pPr>
              <w:pStyle w:val="TableParagraph"/>
              <w:spacing w:before="86"/>
              <w:ind w:right="87"/>
              <w:rPr>
                <w:sz w:val="20"/>
              </w:rPr>
            </w:pPr>
            <w:r>
              <w:rPr>
                <w:sz w:val="20"/>
              </w:rPr>
              <w:t>0.50%</w:t>
            </w:r>
          </w:p>
        </w:tc>
      </w:tr>
    </w:tbl>
    <w:p w:rsidR="007C5447" w:rsidRDefault="007C5447">
      <w:pPr>
        <w:pStyle w:val="BodyText"/>
        <w:rPr>
          <w:b/>
        </w:rPr>
      </w:pPr>
    </w:p>
    <w:p w:rsidR="007C5447" w:rsidRDefault="007C5447">
      <w:pPr>
        <w:pStyle w:val="BodyText"/>
        <w:rPr>
          <w:b/>
        </w:rPr>
      </w:pPr>
    </w:p>
    <w:p w:rsidR="007C5447" w:rsidRDefault="00F6308C">
      <w:pPr>
        <w:pStyle w:val="Heading2"/>
        <w:numPr>
          <w:ilvl w:val="2"/>
          <w:numId w:val="92"/>
        </w:numPr>
        <w:tabs>
          <w:tab w:val="left" w:pos="1112"/>
          <w:tab w:val="left" w:pos="1113"/>
        </w:tabs>
        <w:spacing w:before="167"/>
        <w:ind w:left="1112" w:hanging="853"/>
      </w:pPr>
      <w:r>
        <w:t>Station Heat Rate</w:t>
      </w:r>
      <w:r>
        <w:rPr>
          <w:spacing w:val="-3"/>
        </w:rPr>
        <w:t xml:space="preserve"> </w:t>
      </w:r>
      <w:r>
        <w:t>(SHR)</w:t>
      </w:r>
    </w:p>
    <w:p w:rsidR="007C5447" w:rsidRDefault="007C5447">
      <w:pPr>
        <w:pStyle w:val="BodyText"/>
        <w:spacing w:before="11"/>
        <w:rPr>
          <w:b/>
          <w:sz w:val="27"/>
        </w:rPr>
      </w:pPr>
    </w:p>
    <w:p w:rsidR="007C5447" w:rsidRDefault="00F6308C">
      <w:pPr>
        <w:pStyle w:val="ListParagraph"/>
        <w:numPr>
          <w:ilvl w:val="3"/>
          <w:numId w:val="74"/>
        </w:numPr>
        <w:tabs>
          <w:tab w:val="left" w:pos="1226"/>
        </w:tabs>
        <w:spacing w:line="312" w:lineRule="auto"/>
        <w:ind w:right="294"/>
        <w:jc w:val="both"/>
        <w:rPr>
          <w:sz w:val="24"/>
        </w:rPr>
      </w:pPr>
      <w:r>
        <w:rPr>
          <w:sz w:val="24"/>
        </w:rPr>
        <w:t>TANGEDCO requested the Commission to approve actual SHR for its generating stations. TANGEDCO submitted the following justification for the higher than normative SHR of most of its generating</w:t>
      </w:r>
      <w:r>
        <w:rPr>
          <w:spacing w:val="-5"/>
          <w:sz w:val="24"/>
        </w:rPr>
        <w:t xml:space="preserve"> </w:t>
      </w:r>
      <w:r>
        <w:rPr>
          <w:sz w:val="24"/>
        </w:rPr>
        <w:t>stations:</w:t>
      </w:r>
    </w:p>
    <w:p w:rsidR="007C5447" w:rsidRDefault="007C5447">
      <w:pPr>
        <w:spacing w:line="312" w:lineRule="auto"/>
        <w:jc w:val="both"/>
        <w:rPr>
          <w:sz w:val="24"/>
        </w:rPr>
        <w:sectPr w:rsidR="007C5447">
          <w:pgSz w:w="11910" w:h="16840"/>
          <w:pgMar w:top="1580" w:right="840" w:bottom="540" w:left="1180" w:header="0" w:footer="349" w:gutter="0"/>
          <w:cols w:space="720"/>
        </w:sectPr>
      </w:pPr>
    </w:p>
    <w:p w:rsidR="007C5447" w:rsidRDefault="00F6308C">
      <w:pPr>
        <w:pStyle w:val="Heading2"/>
        <w:spacing w:before="60"/>
        <w:ind w:left="1112"/>
      </w:pPr>
      <w:r>
        <w:lastRenderedPageBreak/>
        <w:t>Ennore TPS</w:t>
      </w:r>
    </w:p>
    <w:p w:rsidR="007C5447" w:rsidRDefault="007C5447">
      <w:pPr>
        <w:pStyle w:val="BodyText"/>
        <w:rPr>
          <w:b/>
          <w:sz w:val="28"/>
        </w:rPr>
      </w:pPr>
    </w:p>
    <w:p w:rsidR="007C5447" w:rsidRDefault="00F6308C">
      <w:pPr>
        <w:pStyle w:val="ListParagraph"/>
        <w:numPr>
          <w:ilvl w:val="3"/>
          <w:numId w:val="74"/>
        </w:numPr>
        <w:tabs>
          <w:tab w:val="left" w:pos="1226"/>
        </w:tabs>
        <w:spacing w:line="312" w:lineRule="auto"/>
        <w:ind w:right="293"/>
        <w:jc w:val="both"/>
        <w:rPr>
          <w:sz w:val="24"/>
        </w:rPr>
      </w:pPr>
      <w:r>
        <w:rPr>
          <w:sz w:val="24"/>
        </w:rPr>
        <w:t>Due to prolonged service of the Units of lower capacity and partial load operations, the performance has deteriorated resulting in increased</w:t>
      </w:r>
      <w:r>
        <w:rPr>
          <w:spacing w:val="-5"/>
          <w:sz w:val="24"/>
        </w:rPr>
        <w:t xml:space="preserve"> </w:t>
      </w:r>
      <w:r>
        <w:rPr>
          <w:sz w:val="24"/>
        </w:rPr>
        <w:t>SHR.</w:t>
      </w:r>
    </w:p>
    <w:p w:rsidR="007C5447" w:rsidRDefault="007C5447">
      <w:pPr>
        <w:pStyle w:val="BodyText"/>
        <w:spacing w:before="10"/>
        <w:rPr>
          <w:sz w:val="20"/>
        </w:rPr>
      </w:pPr>
    </w:p>
    <w:p w:rsidR="007C5447" w:rsidRDefault="00F6308C">
      <w:pPr>
        <w:pStyle w:val="Heading2"/>
        <w:spacing w:before="1"/>
        <w:ind w:left="1112"/>
      </w:pPr>
      <w:r>
        <w:t>Tuticorin TPS</w:t>
      </w:r>
    </w:p>
    <w:p w:rsidR="007C5447" w:rsidRDefault="007C5447">
      <w:pPr>
        <w:pStyle w:val="BodyText"/>
        <w:spacing w:before="1"/>
        <w:rPr>
          <w:b/>
          <w:sz w:val="28"/>
        </w:rPr>
      </w:pPr>
    </w:p>
    <w:p w:rsidR="007C5447" w:rsidRDefault="00F6308C">
      <w:pPr>
        <w:pStyle w:val="ListParagraph"/>
        <w:numPr>
          <w:ilvl w:val="3"/>
          <w:numId w:val="74"/>
        </w:numPr>
        <w:tabs>
          <w:tab w:val="left" w:pos="1226"/>
        </w:tabs>
        <w:spacing w:before="1" w:line="312" w:lineRule="auto"/>
        <w:ind w:right="289"/>
        <w:jc w:val="both"/>
        <w:rPr>
          <w:sz w:val="24"/>
        </w:rPr>
      </w:pPr>
      <w:r>
        <w:rPr>
          <w:sz w:val="24"/>
        </w:rPr>
        <w:t>The first three Units of TTPS have been operational for more than 30 years, exceeding their li</w:t>
      </w:r>
      <w:r>
        <w:rPr>
          <w:sz w:val="24"/>
        </w:rPr>
        <w:t>fe period. Because of the ageing and degradation effect, maintaining SHR of 2453 kcal/kWh is impractical and could not be achieved. TANGEDCO submitted that it will be justifiable to give consideration for this ageing factor, since annual maintenance and ov</w:t>
      </w:r>
      <w:r>
        <w:rPr>
          <w:sz w:val="24"/>
        </w:rPr>
        <w:t>erhaul activities will not help to achieve its original SHR (Ageing effect as per Central Electricity Authority [CEA] is 0.2 % per year of designed unit heat</w:t>
      </w:r>
      <w:r>
        <w:rPr>
          <w:spacing w:val="-1"/>
          <w:sz w:val="24"/>
        </w:rPr>
        <w:t xml:space="preserve"> </w:t>
      </w:r>
      <w:r>
        <w:rPr>
          <w:sz w:val="24"/>
        </w:rPr>
        <w:t>rate).</w:t>
      </w:r>
    </w:p>
    <w:p w:rsidR="007C5447" w:rsidRDefault="007C5447">
      <w:pPr>
        <w:pStyle w:val="BodyText"/>
        <w:spacing w:before="9"/>
        <w:rPr>
          <w:sz w:val="20"/>
        </w:rPr>
      </w:pPr>
    </w:p>
    <w:p w:rsidR="007C5447" w:rsidRDefault="00F6308C">
      <w:pPr>
        <w:pStyle w:val="ListParagraph"/>
        <w:numPr>
          <w:ilvl w:val="3"/>
          <w:numId w:val="74"/>
        </w:numPr>
        <w:tabs>
          <w:tab w:val="left" w:pos="1226"/>
        </w:tabs>
        <w:spacing w:line="312" w:lineRule="auto"/>
        <w:ind w:right="289"/>
        <w:jc w:val="both"/>
        <w:rPr>
          <w:sz w:val="24"/>
        </w:rPr>
      </w:pPr>
      <w:r>
        <w:rPr>
          <w:sz w:val="24"/>
        </w:rPr>
        <w:t>TANGEDCO added that the boilers for Units I, II and III have been designed for coal of GCV</w:t>
      </w:r>
      <w:r>
        <w:rPr>
          <w:sz w:val="24"/>
        </w:rPr>
        <w:t xml:space="preserve"> 5950 kcal/kg and ash content of less than 20% and boilers for Units IV and V have been designed for coal of GCV 3855 kcal/kg and ash content of 40.4 %. At present, the ash content of coal received at TTPS is around 40%. Usage of high ash content and infer</w:t>
      </w:r>
      <w:r>
        <w:rPr>
          <w:sz w:val="24"/>
        </w:rPr>
        <w:t>ior coal than the design has led to increase in gas flow in boiler, which in turn is leading to high exit flue gas temperature, thus, decreasing boiler efficiency. Further, operational problems and constraints like part load operation due to SLDC load redu</w:t>
      </w:r>
      <w:r>
        <w:rPr>
          <w:sz w:val="24"/>
        </w:rPr>
        <w:t>ction has increased the</w:t>
      </w:r>
      <w:r>
        <w:rPr>
          <w:spacing w:val="-1"/>
          <w:sz w:val="24"/>
        </w:rPr>
        <w:t xml:space="preserve"> </w:t>
      </w:r>
      <w:r>
        <w:rPr>
          <w:sz w:val="24"/>
        </w:rPr>
        <w:t>SHR.</w:t>
      </w:r>
    </w:p>
    <w:p w:rsidR="007C5447" w:rsidRDefault="007C5447">
      <w:pPr>
        <w:pStyle w:val="BodyText"/>
        <w:spacing w:before="11"/>
        <w:rPr>
          <w:sz w:val="20"/>
        </w:rPr>
      </w:pPr>
    </w:p>
    <w:p w:rsidR="007C5447" w:rsidRDefault="00F6308C">
      <w:pPr>
        <w:pStyle w:val="ListParagraph"/>
        <w:numPr>
          <w:ilvl w:val="3"/>
          <w:numId w:val="74"/>
        </w:numPr>
        <w:tabs>
          <w:tab w:val="left" w:pos="1226"/>
        </w:tabs>
        <w:spacing w:line="312" w:lineRule="auto"/>
        <w:ind w:right="285"/>
        <w:jc w:val="both"/>
        <w:rPr>
          <w:sz w:val="24"/>
        </w:rPr>
      </w:pPr>
      <w:r>
        <w:rPr>
          <w:sz w:val="24"/>
        </w:rPr>
        <w:t>Due to high ash content, mill fitness could not be maintained, which is leading to un- burnt bottom and fly ash losses. During rainy season, both at TTPS and at loading  port, the case of wet coal is increasing the boiler loss</w:t>
      </w:r>
      <w:r>
        <w:rPr>
          <w:sz w:val="24"/>
        </w:rPr>
        <w:t>es. TANGEDCO submitted that  at TTPS, due to the receipt of poor quality of coal (low GCV), more fuel oil has been consumed to maintain higher load to meet the Grid demand and hence, the overall SHR has increased with respect to norms specified in the Tari</w:t>
      </w:r>
      <w:r>
        <w:rPr>
          <w:sz w:val="24"/>
        </w:rPr>
        <w:t>ff Regulations. Generally, due to usage of coal having lower calorific value with very high ash content of more than 40% at TTPS, more ash is generated, which deposits over the Boiler tubes resulting in increased</w:t>
      </w:r>
      <w:r>
        <w:rPr>
          <w:spacing w:val="-3"/>
          <w:sz w:val="24"/>
        </w:rPr>
        <w:t xml:space="preserve"> </w:t>
      </w:r>
      <w:r>
        <w:rPr>
          <w:sz w:val="24"/>
        </w:rPr>
        <w:t>SHR.</w:t>
      </w:r>
    </w:p>
    <w:p w:rsidR="007C5447" w:rsidRDefault="007C5447">
      <w:pPr>
        <w:pStyle w:val="BodyText"/>
        <w:rPr>
          <w:sz w:val="21"/>
        </w:rPr>
      </w:pPr>
    </w:p>
    <w:p w:rsidR="007C5447" w:rsidRDefault="00F6308C">
      <w:pPr>
        <w:pStyle w:val="Heading2"/>
        <w:spacing w:before="1"/>
        <w:ind w:left="1112"/>
      </w:pPr>
      <w:r>
        <w:t>Mettur TPS</w:t>
      </w:r>
    </w:p>
    <w:p w:rsidR="007C5447" w:rsidRDefault="007C5447">
      <w:pPr>
        <w:pStyle w:val="BodyText"/>
        <w:spacing w:before="10"/>
        <w:rPr>
          <w:b/>
          <w:sz w:val="27"/>
        </w:rPr>
      </w:pPr>
    </w:p>
    <w:p w:rsidR="007C5447" w:rsidRDefault="00F6308C">
      <w:pPr>
        <w:pStyle w:val="ListParagraph"/>
        <w:numPr>
          <w:ilvl w:val="3"/>
          <w:numId w:val="74"/>
        </w:numPr>
        <w:tabs>
          <w:tab w:val="left" w:pos="1226"/>
        </w:tabs>
        <w:spacing w:before="1" w:line="312" w:lineRule="auto"/>
        <w:ind w:right="293"/>
        <w:jc w:val="both"/>
        <w:rPr>
          <w:sz w:val="24"/>
        </w:rPr>
      </w:pPr>
      <w:r>
        <w:rPr>
          <w:sz w:val="24"/>
        </w:rPr>
        <w:t>TANGEDCO submitted that t</w:t>
      </w:r>
      <w:r>
        <w:rPr>
          <w:sz w:val="24"/>
        </w:rPr>
        <w:t xml:space="preserve">he deviation of SHR from the norms specified in the Tariff Regulations is due to the calorific value of coal received and the ageing factor of the Station. </w:t>
      </w:r>
      <w:r>
        <w:rPr>
          <w:spacing w:val="-3"/>
          <w:sz w:val="24"/>
        </w:rPr>
        <w:t xml:space="preserve">In </w:t>
      </w:r>
      <w:r>
        <w:rPr>
          <w:sz w:val="24"/>
        </w:rPr>
        <w:t>respect of MTPS, though the SHR varies to a maximum of about 1.2% over the past five years, consi</w:t>
      </w:r>
      <w:r>
        <w:rPr>
          <w:sz w:val="24"/>
        </w:rPr>
        <w:t>dering the ageing factor, calorific value of coal received nowadays affects the SHR of MTPS. TANGEDCO requested the Commission</w:t>
      </w:r>
      <w:r>
        <w:rPr>
          <w:spacing w:val="35"/>
          <w:sz w:val="24"/>
        </w:rPr>
        <w:t xml:space="preserve"> </w:t>
      </w:r>
      <w:r>
        <w:rPr>
          <w:sz w:val="24"/>
        </w:rPr>
        <w:t>to</w:t>
      </w:r>
    </w:p>
    <w:p w:rsidR="007C5447" w:rsidRDefault="007C5447">
      <w:pPr>
        <w:spacing w:line="312" w:lineRule="auto"/>
        <w:jc w:val="both"/>
        <w:rPr>
          <w:sz w:val="24"/>
        </w:rPr>
        <w:sectPr w:rsidR="007C5447">
          <w:pgSz w:w="11910" w:h="16840"/>
          <w:pgMar w:top="1360" w:right="840" w:bottom="540" w:left="1180" w:header="0" w:footer="349" w:gutter="0"/>
          <w:cols w:space="720"/>
        </w:sectPr>
      </w:pPr>
    </w:p>
    <w:p w:rsidR="007C5447" w:rsidRDefault="00F6308C">
      <w:pPr>
        <w:pStyle w:val="BodyText"/>
        <w:spacing w:before="60"/>
        <w:ind w:left="1225"/>
      </w:pPr>
      <w:r>
        <w:lastRenderedPageBreak/>
        <w:t>revise the SHR as submitted in the Petition.</w:t>
      </w:r>
    </w:p>
    <w:p w:rsidR="007C5447" w:rsidRDefault="007C5447">
      <w:pPr>
        <w:pStyle w:val="BodyText"/>
        <w:rPr>
          <w:sz w:val="28"/>
        </w:rPr>
      </w:pPr>
    </w:p>
    <w:p w:rsidR="007C5447" w:rsidRDefault="00F6308C">
      <w:pPr>
        <w:pStyle w:val="Heading2"/>
        <w:ind w:left="1112"/>
      </w:pPr>
      <w:r>
        <w:t>North Chennai TPS</w:t>
      </w:r>
    </w:p>
    <w:p w:rsidR="007C5447" w:rsidRDefault="007C5447">
      <w:pPr>
        <w:pStyle w:val="BodyText"/>
        <w:spacing w:before="2"/>
        <w:rPr>
          <w:b/>
          <w:sz w:val="28"/>
        </w:rPr>
      </w:pPr>
    </w:p>
    <w:p w:rsidR="007C5447" w:rsidRDefault="00F6308C">
      <w:pPr>
        <w:pStyle w:val="ListParagraph"/>
        <w:numPr>
          <w:ilvl w:val="3"/>
          <w:numId w:val="74"/>
        </w:numPr>
        <w:tabs>
          <w:tab w:val="left" w:pos="1226"/>
        </w:tabs>
        <w:spacing w:before="1" w:line="312" w:lineRule="auto"/>
        <w:ind w:right="288"/>
        <w:jc w:val="both"/>
        <w:rPr>
          <w:sz w:val="24"/>
        </w:rPr>
      </w:pPr>
      <w:r>
        <w:rPr>
          <w:sz w:val="24"/>
        </w:rPr>
        <w:t xml:space="preserve">TANGEDCO submitted that the variation in SHR with respect to specified norms is due to higher heat requirement, variation in coal quality and wet coal. Even though the Commission has fixed normative SHR for new thermal Stations as 2500 kcal/kWh, Units </w:t>
      </w:r>
      <w:r>
        <w:rPr>
          <w:spacing w:val="-3"/>
          <w:sz w:val="24"/>
        </w:rPr>
        <w:t xml:space="preserve">I, </w:t>
      </w:r>
      <w:r>
        <w:rPr>
          <w:sz w:val="24"/>
        </w:rPr>
        <w:t>I</w:t>
      </w:r>
      <w:r>
        <w:rPr>
          <w:sz w:val="24"/>
        </w:rPr>
        <w:t xml:space="preserve">I and III of NCTPS, which were commissioned during 1994, 1995 and 1996, respectively, have normative SHR of 2466 kcal/kWh. Considering the ageing factor and the calorific value of coal received, TANGEDCO requested the Commission to revise the SHR of NCTPS </w:t>
      </w:r>
      <w:r>
        <w:rPr>
          <w:sz w:val="24"/>
        </w:rPr>
        <w:t>to 2500</w:t>
      </w:r>
      <w:r>
        <w:rPr>
          <w:spacing w:val="-2"/>
          <w:sz w:val="24"/>
        </w:rPr>
        <w:t xml:space="preserve"> </w:t>
      </w:r>
      <w:r>
        <w:rPr>
          <w:sz w:val="24"/>
        </w:rPr>
        <w:t>kcal/kWh.</w:t>
      </w:r>
    </w:p>
    <w:p w:rsidR="007C5447" w:rsidRDefault="007C5447">
      <w:pPr>
        <w:pStyle w:val="BodyText"/>
        <w:spacing w:before="9"/>
        <w:rPr>
          <w:sz w:val="20"/>
        </w:rPr>
      </w:pPr>
    </w:p>
    <w:p w:rsidR="007C5447" w:rsidRDefault="00F6308C">
      <w:pPr>
        <w:pStyle w:val="Heading2"/>
        <w:ind w:left="1112"/>
      </w:pPr>
      <w:r>
        <w:t>Tirumakottai GTPS</w:t>
      </w:r>
    </w:p>
    <w:p w:rsidR="007C5447" w:rsidRDefault="007C5447">
      <w:pPr>
        <w:pStyle w:val="BodyText"/>
        <w:spacing w:before="2"/>
        <w:rPr>
          <w:b/>
          <w:sz w:val="28"/>
        </w:rPr>
      </w:pPr>
    </w:p>
    <w:p w:rsidR="007C5447" w:rsidRDefault="00F6308C">
      <w:pPr>
        <w:pStyle w:val="ListParagraph"/>
        <w:numPr>
          <w:ilvl w:val="3"/>
          <w:numId w:val="74"/>
        </w:numPr>
        <w:tabs>
          <w:tab w:val="left" w:pos="1226"/>
        </w:tabs>
        <w:spacing w:line="312" w:lineRule="auto"/>
        <w:ind w:right="293"/>
        <w:jc w:val="both"/>
        <w:rPr>
          <w:sz w:val="24"/>
        </w:rPr>
      </w:pPr>
      <w:r>
        <w:rPr>
          <w:sz w:val="24"/>
        </w:rPr>
        <w:t>TANGEDCO submitted that the gas availability was around 80% during the period. Further, due to replacement of damaged condenser tubes in steam turbine generator for 55 days, the plant was operated under open cycle (gas</w:t>
      </w:r>
      <w:r>
        <w:rPr>
          <w:sz w:val="24"/>
        </w:rPr>
        <w:t xml:space="preserve"> turbine was alone in operation). Hence, the SHR was slightly</w:t>
      </w:r>
      <w:r>
        <w:rPr>
          <w:spacing w:val="-7"/>
          <w:sz w:val="24"/>
        </w:rPr>
        <w:t xml:space="preserve"> </w:t>
      </w:r>
      <w:r>
        <w:rPr>
          <w:sz w:val="24"/>
        </w:rPr>
        <w:t>higher.</w:t>
      </w:r>
    </w:p>
    <w:p w:rsidR="007C5447" w:rsidRDefault="007C5447">
      <w:pPr>
        <w:pStyle w:val="BodyText"/>
        <w:spacing w:before="10"/>
        <w:rPr>
          <w:sz w:val="20"/>
        </w:rPr>
      </w:pPr>
    </w:p>
    <w:p w:rsidR="007C5447" w:rsidRDefault="00F6308C">
      <w:pPr>
        <w:pStyle w:val="Heading2"/>
        <w:ind w:left="1112"/>
      </w:pPr>
      <w:r>
        <w:t>Kuttalam GTPS</w:t>
      </w:r>
    </w:p>
    <w:p w:rsidR="007C5447" w:rsidRDefault="007C5447">
      <w:pPr>
        <w:pStyle w:val="BodyText"/>
        <w:rPr>
          <w:b/>
          <w:sz w:val="28"/>
        </w:rPr>
      </w:pPr>
    </w:p>
    <w:p w:rsidR="007C5447" w:rsidRDefault="00F6308C">
      <w:pPr>
        <w:pStyle w:val="ListParagraph"/>
        <w:numPr>
          <w:ilvl w:val="3"/>
          <w:numId w:val="74"/>
        </w:numPr>
        <w:tabs>
          <w:tab w:val="left" w:pos="1226"/>
        </w:tabs>
        <w:spacing w:line="312" w:lineRule="auto"/>
        <w:ind w:right="296"/>
        <w:jc w:val="both"/>
        <w:rPr>
          <w:sz w:val="24"/>
        </w:rPr>
      </w:pPr>
      <w:r>
        <w:rPr>
          <w:sz w:val="24"/>
        </w:rPr>
        <w:t>TANGEDCO submitted that the SHR was higher than the specified norms, since the Unit was running at part load.</w:t>
      </w:r>
    </w:p>
    <w:p w:rsidR="007C5447" w:rsidRDefault="007C5447">
      <w:pPr>
        <w:pStyle w:val="BodyText"/>
        <w:spacing w:before="10"/>
        <w:rPr>
          <w:sz w:val="20"/>
        </w:rPr>
      </w:pPr>
    </w:p>
    <w:p w:rsidR="007C5447" w:rsidRDefault="00F6308C">
      <w:pPr>
        <w:pStyle w:val="Heading2"/>
        <w:ind w:left="1112"/>
      </w:pPr>
      <w:r>
        <w:t>Basin Bridge GTPS</w:t>
      </w:r>
    </w:p>
    <w:p w:rsidR="007C5447" w:rsidRDefault="007C5447">
      <w:pPr>
        <w:pStyle w:val="BodyText"/>
        <w:spacing w:before="2"/>
        <w:rPr>
          <w:b/>
          <w:sz w:val="28"/>
        </w:rPr>
      </w:pPr>
    </w:p>
    <w:p w:rsidR="007C5447" w:rsidRDefault="00F6308C">
      <w:pPr>
        <w:pStyle w:val="ListParagraph"/>
        <w:numPr>
          <w:ilvl w:val="3"/>
          <w:numId w:val="74"/>
        </w:numPr>
        <w:tabs>
          <w:tab w:val="left" w:pos="1226"/>
        </w:tabs>
        <w:spacing w:before="1" w:line="312" w:lineRule="auto"/>
        <w:ind w:right="294"/>
        <w:jc w:val="both"/>
        <w:rPr>
          <w:sz w:val="24"/>
        </w:rPr>
      </w:pPr>
      <w:r>
        <w:rPr>
          <w:sz w:val="24"/>
        </w:rPr>
        <w:t>TANGEDCO submitted that in Basin Bridge Gas station, Naphtha is being used as main fuel. HSD is being used for starting and stopping purposes to avoid accident due to presence of unburnt Naphtha if any, during starting and stopping. As this station is bein</w:t>
      </w:r>
      <w:r>
        <w:rPr>
          <w:sz w:val="24"/>
        </w:rPr>
        <w:t>g operated intermittently depending upon the grid demand, consumption of HSD has increased based on the number of starts and stops observed. Hence, SHR was slightly higher during FY 2011-12, FY 2012-13 and FY</w:t>
      </w:r>
      <w:r>
        <w:rPr>
          <w:spacing w:val="-8"/>
          <w:sz w:val="24"/>
        </w:rPr>
        <w:t xml:space="preserve"> </w:t>
      </w:r>
      <w:r>
        <w:rPr>
          <w:sz w:val="24"/>
        </w:rPr>
        <w:t>2013-14.</w:t>
      </w:r>
    </w:p>
    <w:p w:rsidR="007C5447" w:rsidRDefault="007C5447">
      <w:pPr>
        <w:pStyle w:val="BodyText"/>
        <w:spacing w:before="10"/>
        <w:rPr>
          <w:sz w:val="20"/>
        </w:rPr>
      </w:pPr>
    </w:p>
    <w:p w:rsidR="007C5447" w:rsidRDefault="00F6308C">
      <w:pPr>
        <w:pStyle w:val="Heading2"/>
        <w:ind w:left="1112"/>
      </w:pPr>
      <w:r>
        <w:t>Valuthur Unit</w:t>
      </w:r>
      <w:r>
        <w:rPr>
          <w:spacing w:val="-2"/>
        </w:rPr>
        <w:t xml:space="preserve"> </w:t>
      </w:r>
      <w:r>
        <w:t>II</w:t>
      </w:r>
    </w:p>
    <w:p w:rsidR="007C5447" w:rsidRDefault="007C5447">
      <w:pPr>
        <w:pStyle w:val="BodyText"/>
        <w:rPr>
          <w:b/>
          <w:sz w:val="28"/>
        </w:rPr>
      </w:pPr>
    </w:p>
    <w:p w:rsidR="007C5447" w:rsidRDefault="00F6308C">
      <w:pPr>
        <w:pStyle w:val="ListParagraph"/>
        <w:numPr>
          <w:ilvl w:val="3"/>
          <w:numId w:val="74"/>
        </w:numPr>
        <w:tabs>
          <w:tab w:val="left" w:pos="1226"/>
        </w:tabs>
        <w:spacing w:line="312" w:lineRule="auto"/>
        <w:ind w:right="293"/>
        <w:jc w:val="both"/>
        <w:rPr>
          <w:sz w:val="24"/>
        </w:rPr>
      </w:pPr>
      <w:r>
        <w:rPr>
          <w:sz w:val="24"/>
        </w:rPr>
        <w:t>TANGEDCO submitted that the Unit was recommissioned on May 7, 2011 after long breakdown from January 9, 2010 due to heavy damages in GT rotor. Even after recommissioning, full load could not be reached due to vibration problems. The vibration problems were</w:t>
      </w:r>
      <w:r>
        <w:rPr>
          <w:sz w:val="24"/>
        </w:rPr>
        <w:t xml:space="preserve"> sorted by OEM. Leakage in STG was also attended. Hence, the SHR could not be maintained within the specified</w:t>
      </w:r>
      <w:r>
        <w:rPr>
          <w:spacing w:val="-3"/>
          <w:sz w:val="24"/>
        </w:rPr>
        <w:t xml:space="preserve"> </w:t>
      </w:r>
      <w:r>
        <w:rPr>
          <w:sz w:val="24"/>
        </w:rPr>
        <w:t>norms.</w:t>
      </w:r>
    </w:p>
    <w:p w:rsidR="007C5447" w:rsidRDefault="007C5447">
      <w:pPr>
        <w:pStyle w:val="BodyText"/>
        <w:rPr>
          <w:sz w:val="21"/>
        </w:rPr>
      </w:pPr>
    </w:p>
    <w:p w:rsidR="007C5447" w:rsidRDefault="00F6308C">
      <w:pPr>
        <w:pStyle w:val="ListParagraph"/>
        <w:numPr>
          <w:ilvl w:val="3"/>
          <w:numId w:val="74"/>
        </w:numPr>
        <w:tabs>
          <w:tab w:val="left" w:pos="1226"/>
        </w:tabs>
        <w:ind w:hanging="966"/>
        <w:rPr>
          <w:sz w:val="24"/>
        </w:rPr>
      </w:pPr>
      <w:r>
        <w:rPr>
          <w:sz w:val="24"/>
        </w:rPr>
        <w:t>The station-wise SHR as submitted by TANGEDCO is shown in the Table</w:t>
      </w:r>
      <w:r>
        <w:rPr>
          <w:spacing w:val="-13"/>
          <w:sz w:val="24"/>
        </w:rPr>
        <w:t xml:space="preserve"> </w:t>
      </w:r>
      <w:r>
        <w:rPr>
          <w:sz w:val="24"/>
        </w:rPr>
        <w:t>below:</w:t>
      </w:r>
    </w:p>
    <w:p w:rsidR="007C5447" w:rsidRDefault="007C5447">
      <w:pPr>
        <w:rPr>
          <w:sz w:val="24"/>
        </w:rPr>
        <w:sectPr w:rsidR="007C5447">
          <w:pgSz w:w="11910" w:h="16840"/>
          <w:pgMar w:top="1360" w:right="840" w:bottom="540" w:left="1180" w:header="0" w:footer="349" w:gutter="0"/>
          <w:cols w:space="720"/>
        </w:sectPr>
      </w:pPr>
    </w:p>
    <w:p w:rsidR="007C5447" w:rsidRDefault="00F6308C">
      <w:pPr>
        <w:spacing w:before="62"/>
        <w:ind w:left="675" w:right="704"/>
        <w:jc w:val="center"/>
        <w:rPr>
          <w:b/>
        </w:rPr>
      </w:pPr>
      <w:r>
        <w:rPr>
          <w:b/>
        </w:rPr>
        <w:lastRenderedPageBreak/>
        <w:t>Table 3-55: SHR as submitted by TANGEDCO (kCa</w:t>
      </w:r>
      <w:r>
        <w:rPr>
          <w:b/>
        </w:rPr>
        <w:t>l/kWh)</w:t>
      </w:r>
    </w:p>
    <w:p w:rsidR="007C5447" w:rsidRDefault="007C5447">
      <w:pPr>
        <w:pStyle w:val="BodyText"/>
        <w:rPr>
          <w:b/>
          <w:sz w:val="17"/>
        </w:rPr>
      </w:pPr>
    </w:p>
    <w:tbl>
      <w:tblPr>
        <w:tblW w:w="0" w:type="auto"/>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1877"/>
        <w:gridCol w:w="1274"/>
        <w:gridCol w:w="1277"/>
        <w:gridCol w:w="1277"/>
        <w:gridCol w:w="1275"/>
        <w:gridCol w:w="1274"/>
      </w:tblGrid>
      <w:tr w:rsidR="007C5447">
        <w:trPr>
          <w:trHeight w:val="359"/>
        </w:trPr>
        <w:tc>
          <w:tcPr>
            <w:tcW w:w="566" w:type="dxa"/>
            <w:shd w:val="clear" w:color="auto" w:fill="F7C9AC"/>
          </w:tcPr>
          <w:p w:rsidR="007C5447" w:rsidRDefault="00F6308C">
            <w:pPr>
              <w:pStyle w:val="TableParagraph"/>
              <w:spacing w:before="115" w:line="224" w:lineRule="exact"/>
              <w:ind w:left="107"/>
              <w:jc w:val="left"/>
              <w:rPr>
                <w:b/>
                <w:sz w:val="20"/>
              </w:rPr>
            </w:pPr>
            <w:r>
              <w:rPr>
                <w:b/>
                <w:sz w:val="20"/>
              </w:rPr>
              <w:t>Sl.</w:t>
            </w:r>
          </w:p>
        </w:tc>
        <w:tc>
          <w:tcPr>
            <w:tcW w:w="1877" w:type="dxa"/>
            <w:shd w:val="clear" w:color="auto" w:fill="F7C9AC"/>
          </w:tcPr>
          <w:p w:rsidR="007C5447" w:rsidRDefault="00F6308C">
            <w:pPr>
              <w:pStyle w:val="TableParagraph"/>
              <w:spacing w:before="115" w:line="224" w:lineRule="exact"/>
              <w:ind w:left="108"/>
              <w:jc w:val="left"/>
              <w:rPr>
                <w:b/>
                <w:sz w:val="20"/>
              </w:rPr>
            </w:pPr>
            <w:r>
              <w:rPr>
                <w:b/>
                <w:sz w:val="20"/>
              </w:rPr>
              <w:t>Station</w:t>
            </w:r>
          </w:p>
        </w:tc>
        <w:tc>
          <w:tcPr>
            <w:tcW w:w="1274" w:type="dxa"/>
            <w:shd w:val="clear" w:color="auto" w:fill="F7C9AC"/>
          </w:tcPr>
          <w:p w:rsidR="007C5447" w:rsidRDefault="00F6308C">
            <w:pPr>
              <w:pStyle w:val="TableParagraph"/>
              <w:spacing w:before="115" w:line="224" w:lineRule="exact"/>
              <w:ind w:left="108"/>
              <w:jc w:val="left"/>
              <w:rPr>
                <w:b/>
                <w:sz w:val="20"/>
              </w:rPr>
            </w:pPr>
            <w:r>
              <w:rPr>
                <w:b/>
                <w:sz w:val="20"/>
              </w:rPr>
              <w:t>FY 2011-12</w:t>
            </w:r>
          </w:p>
        </w:tc>
        <w:tc>
          <w:tcPr>
            <w:tcW w:w="1277" w:type="dxa"/>
            <w:shd w:val="clear" w:color="auto" w:fill="F7C9AC"/>
          </w:tcPr>
          <w:p w:rsidR="007C5447" w:rsidRDefault="00F6308C">
            <w:pPr>
              <w:pStyle w:val="TableParagraph"/>
              <w:spacing w:before="115" w:line="224" w:lineRule="exact"/>
              <w:ind w:left="108"/>
              <w:jc w:val="left"/>
              <w:rPr>
                <w:b/>
                <w:sz w:val="20"/>
              </w:rPr>
            </w:pPr>
            <w:r>
              <w:rPr>
                <w:b/>
                <w:sz w:val="20"/>
              </w:rPr>
              <w:t>FY 2012-13</w:t>
            </w:r>
          </w:p>
        </w:tc>
        <w:tc>
          <w:tcPr>
            <w:tcW w:w="1277" w:type="dxa"/>
            <w:shd w:val="clear" w:color="auto" w:fill="F7C9AC"/>
          </w:tcPr>
          <w:p w:rsidR="007C5447" w:rsidRDefault="00F6308C">
            <w:pPr>
              <w:pStyle w:val="TableParagraph"/>
              <w:spacing w:before="115" w:line="224" w:lineRule="exact"/>
              <w:ind w:left="109"/>
              <w:jc w:val="left"/>
              <w:rPr>
                <w:b/>
                <w:sz w:val="20"/>
              </w:rPr>
            </w:pPr>
            <w:r>
              <w:rPr>
                <w:b/>
                <w:sz w:val="20"/>
              </w:rPr>
              <w:t>FY 2013-14</w:t>
            </w:r>
          </w:p>
        </w:tc>
        <w:tc>
          <w:tcPr>
            <w:tcW w:w="1275" w:type="dxa"/>
            <w:shd w:val="clear" w:color="auto" w:fill="F7C9AC"/>
          </w:tcPr>
          <w:p w:rsidR="007C5447" w:rsidRDefault="00F6308C">
            <w:pPr>
              <w:pStyle w:val="TableParagraph"/>
              <w:spacing w:before="115" w:line="224" w:lineRule="exact"/>
              <w:ind w:right="170"/>
              <w:rPr>
                <w:b/>
                <w:sz w:val="20"/>
              </w:rPr>
            </w:pPr>
            <w:r>
              <w:rPr>
                <w:b/>
                <w:sz w:val="20"/>
              </w:rPr>
              <w:t>FY 2014-15</w:t>
            </w:r>
          </w:p>
        </w:tc>
        <w:tc>
          <w:tcPr>
            <w:tcW w:w="1274" w:type="dxa"/>
            <w:shd w:val="clear" w:color="auto" w:fill="F7C9AC"/>
          </w:tcPr>
          <w:p w:rsidR="007C5447" w:rsidRDefault="00F6308C">
            <w:pPr>
              <w:pStyle w:val="TableParagraph"/>
              <w:spacing w:before="115" w:line="224" w:lineRule="exact"/>
              <w:ind w:right="166"/>
              <w:rPr>
                <w:b/>
                <w:sz w:val="20"/>
              </w:rPr>
            </w:pPr>
            <w:r>
              <w:rPr>
                <w:b/>
                <w:sz w:val="20"/>
              </w:rPr>
              <w:t>FY 2015-16</w:t>
            </w:r>
          </w:p>
        </w:tc>
      </w:tr>
      <w:tr w:rsidR="007C5447">
        <w:trPr>
          <w:trHeight w:val="359"/>
        </w:trPr>
        <w:tc>
          <w:tcPr>
            <w:tcW w:w="566" w:type="dxa"/>
            <w:shd w:val="clear" w:color="auto" w:fill="D9D9D9"/>
          </w:tcPr>
          <w:p w:rsidR="007C5447" w:rsidRDefault="00F6308C">
            <w:pPr>
              <w:pStyle w:val="TableParagraph"/>
              <w:spacing w:before="115" w:line="224" w:lineRule="exact"/>
              <w:ind w:left="107"/>
              <w:jc w:val="left"/>
              <w:rPr>
                <w:b/>
                <w:sz w:val="20"/>
              </w:rPr>
            </w:pPr>
            <w:r>
              <w:rPr>
                <w:b/>
                <w:w w:val="99"/>
                <w:sz w:val="20"/>
              </w:rPr>
              <w:t>A</w:t>
            </w:r>
          </w:p>
        </w:tc>
        <w:tc>
          <w:tcPr>
            <w:tcW w:w="1877" w:type="dxa"/>
            <w:shd w:val="clear" w:color="auto" w:fill="D9D9D9"/>
          </w:tcPr>
          <w:p w:rsidR="007C5447" w:rsidRDefault="00F6308C">
            <w:pPr>
              <w:pStyle w:val="TableParagraph"/>
              <w:spacing w:before="115" w:line="224" w:lineRule="exact"/>
              <w:ind w:left="108"/>
              <w:jc w:val="left"/>
              <w:rPr>
                <w:b/>
                <w:sz w:val="20"/>
              </w:rPr>
            </w:pPr>
            <w:r>
              <w:rPr>
                <w:b/>
                <w:sz w:val="20"/>
              </w:rPr>
              <w:t>Thermal</w:t>
            </w:r>
          </w:p>
        </w:tc>
        <w:tc>
          <w:tcPr>
            <w:tcW w:w="1274" w:type="dxa"/>
            <w:shd w:val="clear" w:color="auto" w:fill="D9D9D9"/>
          </w:tcPr>
          <w:p w:rsidR="007C5447" w:rsidRDefault="007C5447">
            <w:pPr>
              <w:pStyle w:val="TableParagraph"/>
              <w:jc w:val="left"/>
            </w:pPr>
          </w:p>
        </w:tc>
        <w:tc>
          <w:tcPr>
            <w:tcW w:w="1277" w:type="dxa"/>
            <w:shd w:val="clear" w:color="auto" w:fill="D9D9D9"/>
          </w:tcPr>
          <w:p w:rsidR="007C5447" w:rsidRDefault="007C5447">
            <w:pPr>
              <w:pStyle w:val="TableParagraph"/>
              <w:jc w:val="left"/>
            </w:pPr>
          </w:p>
        </w:tc>
        <w:tc>
          <w:tcPr>
            <w:tcW w:w="1277" w:type="dxa"/>
            <w:shd w:val="clear" w:color="auto" w:fill="D9D9D9"/>
          </w:tcPr>
          <w:p w:rsidR="007C5447" w:rsidRDefault="007C5447">
            <w:pPr>
              <w:pStyle w:val="TableParagraph"/>
              <w:jc w:val="left"/>
            </w:pPr>
          </w:p>
        </w:tc>
        <w:tc>
          <w:tcPr>
            <w:tcW w:w="1275" w:type="dxa"/>
            <w:shd w:val="clear" w:color="auto" w:fill="D9D9D9"/>
          </w:tcPr>
          <w:p w:rsidR="007C5447" w:rsidRDefault="007C5447">
            <w:pPr>
              <w:pStyle w:val="TableParagraph"/>
              <w:jc w:val="left"/>
            </w:pPr>
          </w:p>
        </w:tc>
        <w:tc>
          <w:tcPr>
            <w:tcW w:w="1274" w:type="dxa"/>
            <w:shd w:val="clear" w:color="auto" w:fill="D9D9D9"/>
          </w:tcPr>
          <w:p w:rsidR="007C5447" w:rsidRDefault="007C5447">
            <w:pPr>
              <w:pStyle w:val="TableParagraph"/>
              <w:jc w:val="left"/>
            </w:pPr>
          </w:p>
        </w:tc>
      </w:tr>
      <w:tr w:rsidR="007C5447">
        <w:trPr>
          <w:trHeight w:val="362"/>
        </w:trPr>
        <w:tc>
          <w:tcPr>
            <w:tcW w:w="566" w:type="dxa"/>
          </w:tcPr>
          <w:p w:rsidR="007C5447" w:rsidRDefault="00F6308C">
            <w:pPr>
              <w:pStyle w:val="TableParagraph"/>
              <w:spacing w:before="65"/>
              <w:ind w:right="221"/>
              <w:rPr>
                <w:sz w:val="20"/>
              </w:rPr>
            </w:pPr>
            <w:r>
              <w:rPr>
                <w:w w:val="99"/>
                <w:sz w:val="20"/>
              </w:rPr>
              <w:t>1</w:t>
            </w:r>
          </w:p>
        </w:tc>
        <w:tc>
          <w:tcPr>
            <w:tcW w:w="1877" w:type="dxa"/>
          </w:tcPr>
          <w:p w:rsidR="007C5447" w:rsidRDefault="00F6308C">
            <w:pPr>
              <w:pStyle w:val="TableParagraph"/>
              <w:spacing w:before="65"/>
              <w:ind w:left="108"/>
              <w:jc w:val="left"/>
              <w:rPr>
                <w:sz w:val="20"/>
              </w:rPr>
            </w:pPr>
            <w:r>
              <w:rPr>
                <w:sz w:val="20"/>
              </w:rPr>
              <w:t>Ennore TPS</w:t>
            </w:r>
          </w:p>
        </w:tc>
        <w:tc>
          <w:tcPr>
            <w:tcW w:w="1274" w:type="dxa"/>
          </w:tcPr>
          <w:p w:rsidR="007C5447" w:rsidRDefault="00F6308C">
            <w:pPr>
              <w:pStyle w:val="TableParagraph"/>
              <w:spacing w:before="65"/>
              <w:ind w:right="94"/>
              <w:rPr>
                <w:sz w:val="20"/>
              </w:rPr>
            </w:pPr>
            <w:r>
              <w:rPr>
                <w:w w:val="95"/>
                <w:sz w:val="20"/>
              </w:rPr>
              <w:t>3,898</w:t>
            </w:r>
          </w:p>
        </w:tc>
        <w:tc>
          <w:tcPr>
            <w:tcW w:w="1277" w:type="dxa"/>
          </w:tcPr>
          <w:p w:rsidR="007C5447" w:rsidRDefault="00F6308C">
            <w:pPr>
              <w:pStyle w:val="TableParagraph"/>
              <w:spacing w:before="65"/>
              <w:ind w:right="97"/>
              <w:rPr>
                <w:sz w:val="20"/>
              </w:rPr>
            </w:pPr>
            <w:r>
              <w:rPr>
                <w:w w:val="95"/>
                <w:sz w:val="20"/>
              </w:rPr>
              <w:t>4,333</w:t>
            </w:r>
          </w:p>
        </w:tc>
        <w:tc>
          <w:tcPr>
            <w:tcW w:w="1277" w:type="dxa"/>
          </w:tcPr>
          <w:p w:rsidR="007C5447" w:rsidRDefault="00F6308C">
            <w:pPr>
              <w:pStyle w:val="TableParagraph"/>
              <w:spacing w:before="65"/>
              <w:ind w:right="96"/>
              <w:rPr>
                <w:sz w:val="20"/>
              </w:rPr>
            </w:pPr>
            <w:r>
              <w:rPr>
                <w:sz w:val="20"/>
              </w:rPr>
              <w:t>3,796</w:t>
            </w:r>
          </w:p>
        </w:tc>
        <w:tc>
          <w:tcPr>
            <w:tcW w:w="1275" w:type="dxa"/>
          </w:tcPr>
          <w:p w:rsidR="007C5447" w:rsidRDefault="00F6308C">
            <w:pPr>
              <w:pStyle w:val="TableParagraph"/>
              <w:spacing w:before="65"/>
              <w:ind w:right="99"/>
              <w:rPr>
                <w:sz w:val="20"/>
              </w:rPr>
            </w:pPr>
            <w:r>
              <w:rPr>
                <w:w w:val="95"/>
                <w:sz w:val="20"/>
              </w:rPr>
              <w:t>4,156</w:t>
            </w:r>
          </w:p>
        </w:tc>
        <w:tc>
          <w:tcPr>
            <w:tcW w:w="1274" w:type="dxa"/>
          </w:tcPr>
          <w:p w:rsidR="007C5447" w:rsidRDefault="00F6308C">
            <w:pPr>
              <w:pStyle w:val="TableParagraph"/>
              <w:spacing w:before="65"/>
              <w:ind w:right="94"/>
              <w:rPr>
                <w:sz w:val="20"/>
              </w:rPr>
            </w:pPr>
            <w:r>
              <w:rPr>
                <w:w w:val="95"/>
                <w:sz w:val="20"/>
              </w:rPr>
              <w:t>4,156</w:t>
            </w:r>
          </w:p>
        </w:tc>
      </w:tr>
      <w:tr w:rsidR="007C5447">
        <w:trPr>
          <w:trHeight w:val="359"/>
        </w:trPr>
        <w:tc>
          <w:tcPr>
            <w:tcW w:w="566" w:type="dxa"/>
          </w:tcPr>
          <w:p w:rsidR="007C5447" w:rsidRDefault="00F6308C">
            <w:pPr>
              <w:pStyle w:val="TableParagraph"/>
              <w:spacing w:before="65"/>
              <w:ind w:right="221"/>
              <w:rPr>
                <w:sz w:val="20"/>
              </w:rPr>
            </w:pPr>
            <w:r>
              <w:rPr>
                <w:w w:val="99"/>
                <w:sz w:val="20"/>
              </w:rPr>
              <w:t>2</w:t>
            </w:r>
          </w:p>
        </w:tc>
        <w:tc>
          <w:tcPr>
            <w:tcW w:w="1877" w:type="dxa"/>
          </w:tcPr>
          <w:p w:rsidR="007C5447" w:rsidRDefault="00F6308C">
            <w:pPr>
              <w:pStyle w:val="TableParagraph"/>
              <w:spacing w:before="65"/>
              <w:ind w:left="108"/>
              <w:jc w:val="left"/>
              <w:rPr>
                <w:sz w:val="20"/>
              </w:rPr>
            </w:pPr>
            <w:r>
              <w:rPr>
                <w:sz w:val="20"/>
              </w:rPr>
              <w:t>Tuticorin TPS</w:t>
            </w:r>
          </w:p>
        </w:tc>
        <w:tc>
          <w:tcPr>
            <w:tcW w:w="1274" w:type="dxa"/>
          </w:tcPr>
          <w:p w:rsidR="007C5447" w:rsidRDefault="00F6308C">
            <w:pPr>
              <w:pStyle w:val="TableParagraph"/>
              <w:spacing w:before="65"/>
              <w:ind w:right="94"/>
              <w:rPr>
                <w:sz w:val="20"/>
              </w:rPr>
            </w:pPr>
            <w:r>
              <w:rPr>
                <w:w w:val="95"/>
                <w:sz w:val="20"/>
              </w:rPr>
              <w:t>2,660</w:t>
            </w:r>
          </w:p>
        </w:tc>
        <w:tc>
          <w:tcPr>
            <w:tcW w:w="1277" w:type="dxa"/>
          </w:tcPr>
          <w:p w:rsidR="007C5447" w:rsidRDefault="00F6308C">
            <w:pPr>
              <w:pStyle w:val="TableParagraph"/>
              <w:spacing w:before="65"/>
              <w:ind w:right="97"/>
              <w:rPr>
                <w:sz w:val="20"/>
              </w:rPr>
            </w:pPr>
            <w:r>
              <w:rPr>
                <w:w w:val="95"/>
                <w:sz w:val="20"/>
              </w:rPr>
              <w:t>2,744</w:t>
            </w:r>
          </w:p>
        </w:tc>
        <w:tc>
          <w:tcPr>
            <w:tcW w:w="1277" w:type="dxa"/>
          </w:tcPr>
          <w:p w:rsidR="007C5447" w:rsidRDefault="00F6308C">
            <w:pPr>
              <w:pStyle w:val="TableParagraph"/>
              <w:spacing w:before="65"/>
              <w:ind w:right="96"/>
              <w:rPr>
                <w:sz w:val="20"/>
              </w:rPr>
            </w:pPr>
            <w:r>
              <w:rPr>
                <w:sz w:val="20"/>
              </w:rPr>
              <w:t>2,599</w:t>
            </w:r>
          </w:p>
        </w:tc>
        <w:tc>
          <w:tcPr>
            <w:tcW w:w="1275" w:type="dxa"/>
          </w:tcPr>
          <w:p w:rsidR="007C5447" w:rsidRDefault="00F6308C">
            <w:pPr>
              <w:pStyle w:val="TableParagraph"/>
              <w:spacing w:before="65"/>
              <w:ind w:right="99"/>
              <w:rPr>
                <w:sz w:val="20"/>
              </w:rPr>
            </w:pPr>
            <w:r>
              <w:rPr>
                <w:w w:val="95"/>
                <w:sz w:val="20"/>
              </w:rPr>
              <w:t>2,559</w:t>
            </w:r>
          </w:p>
        </w:tc>
        <w:tc>
          <w:tcPr>
            <w:tcW w:w="1274" w:type="dxa"/>
          </w:tcPr>
          <w:p w:rsidR="007C5447" w:rsidRDefault="00F6308C">
            <w:pPr>
              <w:pStyle w:val="TableParagraph"/>
              <w:spacing w:before="65"/>
              <w:ind w:right="94"/>
              <w:rPr>
                <w:sz w:val="20"/>
              </w:rPr>
            </w:pPr>
            <w:r>
              <w:rPr>
                <w:w w:val="95"/>
                <w:sz w:val="20"/>
              </w:rPr>
              <w:t>2,559</w:t>
            </w:r>
          </w:p>
        </w:tc>
      </w:tr>
      <w:tr w:rsidR="007C5447">
        <w:trPr>
          <w:trHeight w:val="359"/>
        </w:trPr>
        <w:tc>
          <w:tcPr>
            <w:tcW w:w="566" w:type="dxa"/>
          </w:tcPr>
          <w:p w:rsidR="007C5447" w:rsidRDefault="00F6308C">
            <w:pPr>
              <w:pStyle w:val="TableParagraph"/>
              <w:spacing w:before="65"/>
              <w:ind w:right="221"/>
              <w:rPr>
                <w:sz w:val="20"/>
              </w:rPr>
            </w:pPr>
            <w:r>
              <w:rPr>
                <w:w w:val="99"/>
                <w:sz w:val="20"/>
              </w:rPr>
              <w:t>3</w:t>
            </w:r>
          </w:p>
        </w:tc>
        <w:tc>
          <w:tcPr>
            <w:tcW w:w="1877" w:type="dxa"/>
          </w:tcPr>
          <w:p w:rsidR="007C5447" w:rsidRDefault="00F6308C">
            <w:pPr>
              <w:pStyle w:val="TableParagraph"/>
              <w:spacing w:before="65"/>
              <w:ind w:left="108"/>
              <w:jc w:val="left"/>
              <w:rPr>
                <w:sz w:val="20"/>
              </w:rPr>
            </w:pPr>
            <w:r>
              <w:rPr>
                <w:sz w:val="20"/>
              </w:rPr>
              <w:t>Mettur TPS</w:t>
            </w:r>
          </w:p>
        </w:tc>
        <w:tc>
          <w:tcPr>
            <w:tcW w:w="1274" w:type="dxa"/>
          </w:tcPr>
          <w:p w:rsidR="007C5447" w:rsidRDefault="00F6308C">
            <w:pPr>
              <w:pStyle w:val="TableParagraph"/>
              <w:spacing w:before="65"/>
              <w:ind w:right="94"/>
              <w:rPr>
                <w:sz w:val="20"/>
              </w:rPr>
            </w:pPr>
            <w:r>
              <w:rPr>
                <w:w w:val="95"/>
                <w:sz w:val="20"/>
              </w:rPr>
              <w:t>2,549</w:t>
            </w:r>
          </w:p>
        </w:tc>
        <w:tc>
          <w:tcPr>
            <w:tcW w:w="1277" w:type="dxa"/>
          </w:tcPr>
          <w:p w:rsidR="007C5447" w:rsidRDefault="00F6308C">
            <w:pPr>
              <w:pStyle w:val="TableParagraph"/>
              <w:spacing w:before="65"/>
              <w:ind w:right="97"/>
              <w:rPr>
                <w:sz w:val="20"/>
              </w:rPr>
            </w:pPr>
            <w:r>
              <w:rPr>
                <w:w w:val="95"/>
                <w:sz w:val="20"/>
              </w:rPr>
              <w:t>2,539</w:t>
            </w:r>
          </w:p>
        </w:tc>
        <w:tc>
          <w:tcPr>
            <w:tcW w:w="1277" w:type="dxa"/>
          </w:tcPr>
          <w:p w:rsidR="007C5447" w:rsidRDefault="00F6308C">
            <w:pPr>
              <w:pStyle w:val="TableParagraph"/>
              <w:spacing w:before="65"/>
              <w:ind w:right="96"/>
              <w:rPr>
                <w:sz w:val="20"/>
              </w:rPr>
            </w:pPr>
            <w:r>
              <w:rPr>
                <w:sz w:val="20"/>
              </w:rPr>
              <w:t>2,393</w:t>
            </w:r>
          </w:p>
        </w:tc>
        <w:tc>
          <w:tcPr>
            <w:tcW w:w="1275" w:type="dxa"/>
          </w:tcPr>
          <w:p w:rsidR="007C5447" w:rsidRDefault="00F6308C">
            <w:pPr>
              <w:pStyle w:val="TableParagraph"/>
              <w:spacing w:before="65"/>
              <w:ind w:right="99"/>
              <w:rPr>
                <w:sz w:val="20"/>
              </w:rPr>
            </w:pPr>
            <w:r>
              <w:rPr>
                <w:w w:val="95"/>
                <w:sz w:val="20"/>
              </w:rPr>
              <w:t>2,495</w:t>
            </w:r>
          </w:p>
        </w:tc>
        <w:tc>
          <w:tcPr>
            <w:tcW w:w="1274" w:type="dxa"/>
          </w:tcPr>
          <w:p w:rsidR="007C5447" w:rsidRDefault="00F6308C">
            <w:pPr>
              <w:pStyle w:val="TableParagraph"/>
              <w:spacing w:before="65"/>
              <w:ind w:right="94"/>
              <w:rPr>
                <w:sz w:val="20"/>
              </w:rPr>
            </w:pPr>
            <w:r>
              <w:rPr>
                <w:w w:val="95"/>
                <w:sz w:val="20"/>
              </w:rPr>
              <w:t>2,495</w:t>
            </w:r>
          </w:p>
        </w:tc>
      </w:tr>
      <w:tr w:rsidR="007C5447">
        <w:trPr>
          <w:trHeight w:val="489"/>
        </w:trPr>
        <w:tc>
          <w:tcPr>
            <w:tcW w:w="566" w:type="dxa"/>
          </w:tcPr>
          <w:p w:rsidR="007C5447" w:rsidRDefault="00F6308C">
            <w:pPr>
              <w:pStyle w:val="TableParagraph"/>
              <w:spacing w:before="130"/>
              <w:ind w:right="221"/>
              <w:rPr>
                <w:sz w:val="20"/>
              </w:rPr>
            </w:pPr>
            <w:r>
              <w:rPr>
                <w:w w:val="99"/>
                <w:sz w:val="20"/>
              </w:rPr>
              <w:t>4</w:t>
            </w:r>
          </w:p>
        </w:tc>
        <w:tc>
          <w:tcPr>
            <w:tcW w:w="1877" w:type="dxa"/>
          </w:tcPr>
          <w:p w:rsidR="007C5447" w:rsidRDefault="00F6308C">
            <w:pPr>
              <w:pStyle w:val="TableParagraph"/>
              <w:spacing w:before="14" w:line="230" w:lineRule="atLeast"/>
              <w:ind w:left="108" w:right="450"/>
              <w:jc w:val="left"/>
              <w:rPr>
                <w:sz w:val="20"/>
              </w:rPr>
            </w:pPr>
            <w:r>
              <w:rPr>
                <w:sz w:val="20"/>
              </w:rPr>
              <w:t>Mettur Stage III TPS</w:t>
            </w:r>
          </w:p>
        </w:tc>
        <w:tc>
          <w:tcPr>
            <w:tcW w:w="1274" w:type="dxa"/>
          </w:tcPr>
          <w:p w:rsidR="007C5447" w:rsidRDefault="00F6308C">
            <w:pPr>
              <w:pStyle w:val="TableParagraph"/>
              <w:spacing w:before="130"/>
              <w:ind w:right="91"/>
              <w:rPr>
                <w:sz w:val="20"/>
              </w:rPr>
            </w:pPr>
            <w:r>
              <w:rPr>
                <w:w w:val="99"/>
                <w:sz w:val="20"/>
              </w:rPr>
              <w:t>-</w:t>
            </w:r>
          </w:p>
        </w:tc>
        <w:tc>
          <w:tcPr>
            <w:tcW w:w="1277" w:type="dxa"/>
          </w:tcPr>
          <w:p w:rsidR="007C5447" w:rsidRDefault="00F6308C">
            <w:pPr>
              <w:pStyle w:val="TableParagraph"/>
              <w:spacing w:before="130"/>
              <w:ind w:right="93"/>
              <w:rPr>
                <w:sz w:val="20"/>
              </w:rPr>
            </w:pPr>
            <w:r>
              <w:rPr>
                <w:w w:val="99"/>
                <w:sz w:val="20"/>
              </w:rPr>
              <w:t>-</w:t>
            </w:r>
          </w:p>
        </w:tc>
        <w:tc>
          <w:tcPr>
            <w:tcW w:w="1277" w:type="dxa"/>
          </w:tcPr>
          <w:p w:rsidR="007C5447" w:rsidRDefault="00F6308C">
            <w:pPr>
              <w:pStyle w:val="TableParagraph"/>
              <w:spacing w:before="130"/>
              <w:ind w:right="95"/>
              <w:rPr>
                <w:sz w:val="20"/>
              </w:rPr>
            </w:pPr>
            <w:r>
              <w:rPr>
                <w:sz w:val="20"/>
              </w:rPr>
              <w:t>2166</w:t>
            </w:r>
          </w:p>
        </w:tc>
        <w:tc>
          <w:tcPr>
            <w:tcW w:w="1275" w:type="dxa"/>
          </w:tcPr>
          <w:p w:rsidR="007C5447" w:rsidRDefault="00F6308C">
            <w:pPr>
              <w:pStyle w:val="TableParagraph"/>
              <w:spacing w:before="130"/>
              <w:ind w:right="99"/>
              <w:rPr>
                <w:sz w:val="20"/>
              </w:rPr>
            </w:pPr>
            <w:r>
              <w:rPr>
                <w:w w:val="95"/>
                <w:sz w:val="20"/>
              </w:rPr>
              <w:t>2,495</w:t>
            </w:r>
          </w:p>
        </w:tc>
        <w:tc>
          <w:tcPr>
            <w:tcW w:w="1274" w:type="dxa"/>
          </w:tcPr>
          <w:p w:rsidR="007C5447" w:rsidRDefault="00F6308C">
            <w:pPr>
              <w:pStyle w:val="TableParagraph"/>
              <w:spacing w:before="130"/>
              <w:ind w:right="94"/>
              <w:rPr>
                <w:sz w:val="20"/>
              </w:rPr>
            </w:pPr>
            <w:r>
              <w:rPr>
                <w:w w:val="95"/>
                <w:sz w:val="20"/>
              </w:rPr>
              <w:t>2,444</w:t>
            </w:r>
          </w:p>
        </w:tc>
      </w:tr>
      <w:tr w:rsidR="007C5447">
        <w:trPr>
          <w:trHeight w:val="359"/>
        </w:trPr>
        <w:tc>
          <w:tcPr>
            <w:tcW w:w="566" w:type="dxa"/>
          </w:tcPr>
          <w:p w:rsidR="007C5447" w:rsidRDefault="00F6308C">
            <w:pPr>
              <w:pStyle w:val="TableParagraph"/>
              <w:spacing w:before="65"/>
              <w:ind w:right="221"/>
              <w:rPr>
                <w:sz w:val="20"/>
              </w:rPr>
            </w:pPr>
            <w:r>
              <w:rPr>
                <w:w w:val="99"/>
                <w:sz w:val="20"/>
              </w:rPr>
              <w:t>5</w:t>
            </w:r>
          </w:p>
        </w:tc>
        <w:tc>
          <w:tcPr>
            <w:tcW w:w="1877" w:type="dxa"/>
          </w:tcPr>
          <w:p w:rsidR="007C5447" w:rsidRDefault="00F6308C">
            <w:pPr>
              <w:pStyle w:val="TableParagraph"/>
              <w:spacing w:before="65"/>
              <w:ind w:left="108"/>
              <w:jc w:val="left"/>
              <w:rPr>
                <w:sz w:val="20"/>
              </w:rPr>
            </w:pPr>
            <w:r>
              <w:rPr>
                <w:sz w:val="20"/>
              </w:rPr>
              <w:t>North Chennai TPS</w:t>
            </w:r>
          </w:p>
        </w:tc>
        <w:tc>
          <w:tcPr>
            <w:tcW w:w="1274" w:type="dxa"/>
          </w:tcPr>
          <w:p w:rsidR="007C5447" w:rsidRDefault="00F6308C">
            <w:pPr>
              <w:pStyle w:val="TableParagraph"/>
              <w:spacing w:before="65"/>
              <w:ind w:right="94"/>
              <w:rPr>
                <w:sz w:val="20"/>
              </w:rPr>
            </w:pPr>
            <w:r>
              <w:rPr>
                <w:w w:val="95"/>
                <w:sz w:val="20"/>
              </w:rPr>
              <w:t>2,228</w:t>
            </w:r>
          </w:p>
        </w:tc>
        <w:tc>
          <w:tcPr>
            <w:tcW w:w="1277" w:type="dxa"/>
          </w:tcPr>
          <w:p w:rsidR="007C5447" w:rsidRDefault="00F6308C">
            <w:pPr>
              <w:pStyle w:val="TableParagraph"/>
              <w:spacing w:before="65"/>
              <w:ind w:right="97"/>
              <w:rPr>
                <w:sz w:val="20"/>
              </w:rPr>
            </w:pPr>
            <w:r>
              <w:rPr>
                <w:w w:val="95"/>
                <w:sz w:val="20"/>
              </w:rPr>
              <w:t>2,391</w:t>
            </w:r>
          </w:p>
        </w:tc>
        <w:tc>
          <w:tcPr>
            <w:tcW w:w="1277" w:type="dxa"/>
          </w:tcPr>
          <w:p w:rsidR="007C5447" w:rsidRDefault="00F6308C">
            <w:pPr>
              <w:pStyle w:val="TableParagraph"/>
              <w:spacing w:before="65"/>
              <w:ind w:right="96"/>
              <w:rPr>
                <w:sz w:val="20"/>
              </w:rPr>
            </w:pPr>
            <w:r>
              <w:rPr>
                <w:sz w:val="20"/>
              </w:rPr>
              <w:t>2,528</w:t>
            </w:r>
          </w:p>
        </w:tc>
        <w:tc>
          <w:tcPr>
            <w:tcW w:w="1275" w:type="dxa"/>
          </w:tcPr>
          <w:p w:rsidR="007C5447" w:rsidRDefault="00F6308C">
            <w:pPr>
              <w:pStyle w:val="TableParagraph"/>
              <w:spacing w:before="65"/>
              <w:ind w:right="99"/>
              <w:rPr>
                <w:sz w:val="20"/>
              </w:rPr>
            </w:pPr>
            <w:r>
              <w:rPr>
                <w:w w:val="95"/>
                <w:sz w:val="20"/>
              </w:rPr>
              <w:t>2,466</w:t>
            </w:r>
          </w:p>
        </w:tc>
        <w:tc>
          <w:tcPr>
            <w:tcW w:w="1274" w:type="dxa"/>
          </w:tcPr>
          <w:p w:rsidR="007C5447" w:rsidRDefault="00F6308C">
            <w:pPr>
              <w:pStyle w:val="TableParagraph"/>
              <w:spacing w:before="65"/>
              <w:ind w:right="94"/>
              <w:rPr>
                <w:sz w:val="20"/>
              </w:rPr>
            </w:pPr>
            <w:r>
              <w:rPr>
                <w:w w:val="95"/>
                <w:sz w:val="20"/>
              </w:rPr>
              <w:t>2,466</w:t>
            </w:r>
          </w:p>
        </w:tc>
      </w:tr>
      <w:tr w:rsidR="007C5447">
        <w:trPr>
          <w:trHeight w:val="491"/>
        </w:trPr>
        <w:tc>
          <w:tcPr>
            <w:tcW w:w="566" w:type="dxa"/>
          </w:tcPr>
          <w:p w:rsidR="007C5447" w:rsidRDefault="00F6308C">
            <w:pPr>
              <w:pStyle w:val="TableParagraph"/>
              <w:spacing w:before="132"/>
              <w:ind w:right="221"/>
              <w:rPr>
                <w:sz w:val="20"/>
              </w:rPr>
            </w:pPr>
            <w:r>
              <w:rPr>
                <w:w w:val="99"/>
                <w:sz w:val="20"/>
              </w:rPr>
              <w:t>6</w:t>
            </w:r>
          </w:p>
        </w:tc>
        <w:tc>
          <w:tcPr>
            <w:tcW w:w="1877" w:type="dxa"/>
          </w:tcPr>
          <w:p w:rsidR="007C5447" w:rsidRDefault="00F6308C">
            <w:pPr>
              <w:pStyle w:val="TableParagraph"/>
              <w:spacing w:before="21" w:line="228" w:lineRule="exact"/>
              <w:ind w:left="108" w:right="450"/>
              <w:jc w:val="left"/>
              <w:rPr>
                <w:sz w:val="20"/>
              </w:rPr>
            </w:pPr>
            <w:r>
              <w:rPr>
                <w:sz w:val="20"/>
              </w:rPr>
              <w:t>North Chennai Stage II TPS</w:t>
            </w:r>
          </w:p>
        </w:tc>
        <w:tc>
          <w:tcPr>
            <w:tcW w:w="1274" w:type="dxa"/>
          </w:tcPr>
          <w:p w:rsidR="007C5447" w:rsidRDefault="00F6308C">
            <w:pPr>
              <w:pStyle w:val="TableParagraph"/>
              <w:spacing w:before="132"/>
              <w:ind w:right="91"/>
              <w:rPr>
                <w:sz w:val="20"/>
              </w:rPr>
            </w:pPr>
            <w:r>
              <w:rPr>
                <w:w w:val="99"/>
                <w:sz w:val="20"/>
              </w:rPr>
              <w:t>-</w:t>
            </w:r>
          </w:p>
        </w:tc>
        <w:tc>
          <w:tcPr>
            <w:tcW w:w="1277" w:type="dxa"/>
          </w:tcPr>
          <w:p w:rsidR="007C5447" w:rsidRDefault="00F6308C">
            <w:pPr>
              <w:pStyle w:val="TableParagraph"/>
              <w:spacing w:before="132"/>
              <w:ind w:right="93"/>
              <w:rPr>
                <w:sz w:val="20"/>
              </w:rPr>
            </w:pPr>
            <w:r>
              <w:rPr>
                <w:w w:val="99"/>
                <w:sz w:val="20"/>
              </w:rPr>
              <w:t>-</w:t>
            </w:r>
          </w:p>
        </w:tc>
        <w:tc>
          <w:tcPr>
            <w:tcW w:w="1277" w:type="dxa"/>
          </w:tcPr>
          <w:p w:rsidR="007C5447" w:rsidRDefault="00F6308C">
            <w:pPr>
              <w:pStyle w:val="TableParagraph"/>
              <w:spacing w:before="132"/>
              <w:ind w:right="93"/>
              <w:rPr>
                <w:sz w:val="20"/>
              </w:rPr>
            </w:pPr>
            <w:r>
              <w:rPr>
                <w:w w:val="99"/>
                <w:sz w:val="20"/>
              </w:rPr>
              <w:t>-</w:t>
            </w:r>
          </w:p>
        </w:tc>
        <w:tc>
          <w:tcPr>
            <w:tcW w:w="1275" w:type="dxa"/>
          </w:tcPr>
          <w:p w:rsidR="007C5447" w:rsidRDefault="00F6308C">
            <w:pPr>
              <w:pStyle w:val="TableParagraph"/>
              <w:spacing w:before="132"/>
              <w:ind w:right="99"/>
              <w:rPr>
                <w:sz w:val="20"/>
              </w:rPr>
            </w:pPr>
            <w:r>
              <w:rPr>
                <w:w w:val="95"/>
                <w:sz w:val="20"/>
              </w:rPr>
              <w:t>2,466</w:t>
            </w:r>
          </w:p>
        </w:tc>
        <w:tc>
          <w:tcPr>
            <w:tcW w:w="1274" w:type="dxa"/>
          </w:tcPr>
          <w:p w:rsidR="007C5447" w:rsidRDefault="00F6308C">
            <w:pPr>
              <w:pStyle w:val="TableParagraph"/>
              <w:spacing w:before="132"/>
              <w:ind w:right="94"/>
              <w:rPr>
                <w:sz w:val="20"/>
              </w:rPr>
            </w:pPr>
            <w:r>
              <w:rPr>
                <w:w w:val="95"/>
                <w:sz w:val="20"/>
              </w:rPr>
              <w:t>1,984</w:t>
            </w:r>
          </w:p>
        </w:tc>
      </w:tr>
      <w:tr w:rsidR="007C5447">
        <w:trPr>
          <w:trHeight w:val="360"/>
        </w:trPr>
        <w:tc>
          <w:tcPr>
            <w:tcW w:w="566" w:type="dxa"/>
            <w:shd w:val="clear" w:color="auto" w:fill="D9D9D9"/>
          </w:tcPr>
          <w:p w:rsidR="007C5447" w:rsidRDefault="00F6308C">
            <w:pPr>
              <w:pStyle w:val="TableParagraph"/>
              <w:spacing w:before="116" w:line="224" w:lineRule="exact"/>
              <w:ind w:right="205"/>
              <w:rPr>
                <w:b/>
                <w:sz w:val="20"/>
              </w:rPr>
            </w:pPr>
            <w:r>
              <w:rPr>
                <w:b/>
                <w:w w:val="99"/>
                <w:sz w:val="20"/>
              </w:rPr>
              <w:t>B</w:t>
            </w:r>
          </w:p>
        </w:tc>
        <w:tc>
          <w:tcPr>
            <w:tcW w:w="1877" w:type="dxa"/>
            <w:shd w:val="clear" w:color="auto" w:fill="D9D9D9"/>
          </w:tcPr>
          <w:p w:rsidR="007C5447" w:rsidRDefault="00F6308C">
            <w:pPr>
              <w:pStyle w:val="TableParagraph"/>
              <w:spacing w:before="116" w:line="224" w:lineRule="exact"/>
              <w:ind w:left="108"/>
              <w:jc w:val="left"/>
              <w:rPr>
                <w:b/>
                <w:sz w:val="20"/>
              </w:rPr>
            </w:pPr>
            <w:r>
              <w:rPr>
                <w:b/>
                <w:sz w:val="20"/>
              </w:rPr>
              <w:t>Gas</w:t>
            </w:r>
          </w:p>
        </w:tc>
        <w:tc>
          <w:tcPr>
            <w:tcW w:w="1274" w:type="dxa"/>
            <w:shd w:val="clear" w:color="auto" w:fill="D9D9D9"/>
          </w:tcPr>
          <w:p w:rsidR="007C5447" w:rsidRDefault="007C5447">
            <w:pPr>
              <w:pStyle w:val="TableParagraph"/>
              <w:jc w:val="left"/>
            </w:pPr>
          </w:p>
        </w:tc>
        <w:tc>
          <w:tcPr>
            <w:tcW w:w="1277" w:type="dxa"/>
            <w:shd w:val="clear" w:color="auto" w:fill="D9D9D9"/>
          </w:tcPr>
          <w:p w:rsidR="007C5447" w:rsidRDefault="007C5447">
            <w:pPr>
              <w:pStyle w:val="TableParagraph"/>
              <w:jc w:val="left"/>
            </w:pPr>
          </w:p>
        </w:tc>
        <w:tc>
          <w:tcPr>
            <w:tcW w:w="1277" w:type="dxa"/>
            <w:shd w:val="clear" w:color="auto" w:fill="D9D9D9"/>
          </w:tcPr>
          <w:p w:rsidR="007C5447" w:rsidRDefault="007C5447">
            <w:pPr>
              <w:pStyle w:val="TableParagraph"/>
              <w:jc w:val="left"/>
            </w:pPr>
          </w:p>
        </w:tc>
        <w:tc>
          <w:tcPr>
            <w:tcW w:w="1275" w:type="dxa"/>
            <w:shd w:val="clear" w:color="auto" w:fill="D9D9D9"/>
          </w:tcPr>
          <w:p w:rsidR="007C5447" w:rsidRDefault="007C5447">
            <w:pPr>
              <w:pStyle w:val="TableParagraph"/>
              <w:jc w:val="left"/>
            </w:pPr>
          </w:p>
        </w:tc>
        <w:tc>
          <w:tcPr>
            <w:tcW w:w="1274" w:type="dxa"/>
            <w:shd w:val="clear" w:color="auto" w:fill="D9D9D9"/>
          </w:tcPr>
          <w:p w:rsidR="007C5447" w:rsidRDefault="007C5447">
            <w:pPr>
              <w:pStyle w:val="TableParagraph"/>
              <w:jc w:val="left"/>
            </w:pPr>
          </w:p>
        </w:tc>
      </w:tr>
      <w:tr w:rsidR="007C5447">
        <w:trPr>
          <w:trHeight w:val="359"/>
        </w:trPr>
        <w:tc>
          <w:tcPr>
            <w:tcW w:w="566" w:type="dxa"/>
          </w:tcPr>
          <w:p w:rsidR="007C5447" w:rsidRDefault="00F6308C">
            <w:pPr>
              <w:pStyle w:val="TableParagraph"/>
              <w:spacing w:before="65"/>
              <w:ind w:right="221"/>
              <w:rPr>
                <w:sz w:val="20"/>
              </w:rPr>
            </w:pPr>
            <w:r>
              <w:rPr>
                <w:w w:val="99"/>
                <w:sz w:val="20"/>
              </w:rPr>
              <w:t>1</w:t>
            </w:r>
          </w:p>
        </w:tc>
        <w:tc>
          <w:tcPr>
            <w:tcW w:w="1877" w:type="dxa"/>
          </w:tcPr>
          <w:p w:rsidR="007C5447" w:rsidRDefault="00F6308C">
            <w:pPr>
              <w:pStyle w:val="TableParagraph"/>
              <w:spacing w:before="65"/>
              <w:ind w:left="108"/>
              <w:jc w:val="left"/>
              <w:rPr>
                <w:sz w:val="20"/>
              </w:rPr>
            </w:pPr>
            <w:r>
              <w:rPr>
                <w:sz w:val="20"/>
              </w:rPr>
              <w:t>Tirumakottai GTPS</w:t>
            </w:r>
          </w:p>
        </w:tc>
        <w:tc>
          <w:tcPr>
            <w:tcW w:w="1274" w:type="dxa"/>
          </w:tcPr>
          <w:p w:rsidR="007C5447" w:rsidRDefault="00F6308C">
            <w:pPr>
              <w:pStyle w:val="TableParagraph"/>
              <w:spacing w:before="65"/>
              <w:ind w:right="92"/>
              <w:rPr>
                <w:sz w:val="20"/>
              </w:rPr>
            </w:pPr>
            <w:r>
              <w:rPr>
                <w:sz w:val="20"/>
              </w:rPr>
              <w:t>1898</w:t>
            </w:r>
          </w:p>
        </w:tc>
        <w:tc>
          <w:tcPr>
            <w:tcW w:w="1277" w:type="dxa"/>
          </w:tcPr>
          <w:p w:rsidR="007C5447" w:rsidRDefault="00F6308C">
            <w:pPr>
              <w:pStyle w:val="TableParagraph"/>
              <w:spacing w:before="65"/>
              <w:ind w:right="94"/>
              <w:rPr>
                <w:sz w:val="20"/>
              </w:rPr>
            </w:pPr>
            <w:r>
              <w:rPr>
                <w:sz w:val="20"/>
              </w:rPr>
              <w:t>1882</w:t>
            </w:r>
          </w:p>
        </w:tc>
        <w:tc>
          <w:tcPr>
            <w:tcW w:w="1277" w:type="dxa"/>
          </w:tcPr>
          <w:p w:rsidR="007C5447" w:rsidRDefault="00F6308C">
            <w:pPr>
              <w:pStyle w:val="TableParagraph"/>
              <w:spacing w:before="65"/>
              <w:ind w:right="96"/>
              <w:rPr>
                <w:sz w:val="20"/>
              </w:rPr>
            </w:pPr>
            <w:r>
              <w:rPr>
                <w:sz w:val="20"/>
              </w:rPr>
              <w:t>2,189</w:t>
            </w:r>
          </w:p>
        </w:tc>
        <w:tc>
          <w:tcPr>
            <w:tcW w:w="1275" w:type="dxa"/>
          </w:tcPr>
          <w:p w:rsidR="007C5447" w:rsidRDefault="00F6308C">
            <w:pPr>
              <w:pStyle w:val="TableParagraph"/>
              <w:spacing w:before="65"/>
              <w:ind w:right="99"/>
              <w:rPr>
                <w:sz w:val="20"/>
              </w:rPr>
            </w:pPr>
            <w:r>
              <w:rPr>
                <w:w w:val="95"/>
                <w:sz w:val="20"/>
              </w:rPr>
              <w:t>2,144</w:t>
            </w:r>
          </w:p>
        </w:tc>
        <w:tc>
          <w:tcPr>
            <w:tcW w:w="1274" w:type="dxa"/>
          </w:tcPr>
          <w:p w:rsidR="007C5447" w:rsidRDefault="00F6308C">
            <w:pPr>
              <w:pStyle w:val="TableParagraph"/>
              <w:spacing w:before="65"/>
              <w:ind w:right="94"/>
              <w:rPr>
                <w:sz w:val="20"/>
              </w:rPr>
            </w:pPr>
            <w:r>
              <w:rPr>
                <w:w w:val="95"/>
                <w:sz w:val="20"/>
              </w:rPr>
              <w:t>2,313</w:t>
            </w:r>
          </w:p>
        </w:tc>
      </w:tr>
      <w:tr w:rsidR="007C5447">
        <w:trPr>
          <w:trHeight w:val="359"/>
        </w:trPr>
        <w:tc>
          <w:tcPr>
            <w:tcW w:w="566" w:type="dxa"/>
          </w:tcPr>
          <w:p w:rsidR="007C5447" w:rsidRDefault="00F6308C">
            <w:pPr>
              <w:pStyle w:val="TableParagraph"/>
              <w:spacing w:before="65"/>
              <w:ind w:right="221"/>
              <w:rPr>
                <w:sz w:val="20"/>
              </w:rPr>
            </w:pPr>
            <w:r>
              <w:rPr>
                <w:w w:val="99"/>
                <w:sz w:val="20"/>
              </w:rPr>
              <w:t>2</w:t>
            </w:r>
          </w:p>
        </w:tc>
        <w:tc>
          <w:tcPr>
            <w:tcW w:w="1877" w:type="dxa"/>
          </w:tcPr>
          <w:p w:rsidR="007C5447" w:rsidRDefault="00F6308C">
            <w:pPr>
              <w:pStyle w:val="TableParagraph"/>
              <w:spacing w:before="65"/>
              <w:ind w:left="108"/>
              <w:jc w:val="left"/>
              <w:rPr>
                <w:sz w:val="20"/>
              </w:rPr>
            </w:pPr>
            <w:r>
              <w:rPr>
                <w:sz w:val="20"/>
              </w:rPr>
              <w:t>Kuttalam GTPS</w:t>
            </w:r>
          </w:p>
        </w:tc>
        <w:tc>
          <w:tcPr>
            <w:tcW w:w="1274" w:type="dxa"/>
          </w:tcPr>
          <w:p w:rsidR="007C5447" w:rsidRDefault="00F6308C">
            <w:pPr>
              <w:pStyle w:val="TableParagraph"/>
              <w:spacing w:before="65"/>
              <w:ind w:right="92"/>
              <w:rPr>
                <w:sz w:val="20"/>
              </w:rPr>
            </w:pPr>
            <w:r>
              <w:rPr>
                <w:sz w:val="20"/>
              </w:rPr>
              <w:t>1871</w:t>
            </w:r>
          </w:p>
        </w:tc>
        <w:tc>
          <w:tcPr>
            <w:tcW w:w="1277" w:type="dxa"/>
          </w:tcPr>
          <w:p w:rsidR="007C5447" w:rsidRDefault="00F6308C">
            <w:pPr>
              <w:pStyle w:val="TableParagraph"/>
              <w:spacing w:before="65"/>
              <w:ind w:right="94"/>
              <w:rPr>
                <w:sz w:val="20"/>
              </w:rPr>
            </w:pPr>
            <w:r>
              <w:rPr>
                <w:sz w:val="20"/>
              </w:rPr>
              <w:t>1945</w:t>
            </w:r>
          </w:p>
        </w:tc>
        <w:tc>
          <w:tcPr>
            <w:tcW w:w="1277" w:type="dxa"/>
          </w:tcPr>
          <w:p w:rsidR="007C5447" w:rsidRDefault="00F6308C">
            <w:pPr>
              <w:pStyle w:val="TableParagraph"/>
              <w:spacing w:before="65"/>
              <w:ind w:right="96"/>
              <w:rPr>
                <w:sz w:val="20"/>
              </w:rPr>
            </w:pPr>
            <w:r>
              <w:rPr>
                <w:sz w:val="20"/>
              </w:rPr>
              <w:t>1,831</w:t>
            </w:r>
          </w:p>
        </w:tc>
        <w:tc>
          <w:tcPr>
            <w:tcW w:w="1275" w:type="dxa"/>
          </w:tcPr>
          <w:p w:rsidR="007C5447" w:rsidRDefault="00F6308C">
            <w:pPr>
              <w:pStyle w:val="TableParagraph"/>
              <w:spacing w:before="65"/>
              <w:ind w:right="99"/>
              <w:rPr>
                <w:sz w:val="20"/>
              </w:rPr>
            </w:pPr>
            <w:r>
              <w:rPr>
                <w:w w:val="95"/>
                <w:sz w:val="20"/>
              </w:rPr>
              <w:t>2,011</w:t>
            </w:r>
          </w:p>
        </w:tc>
        <w:tc>
          <w:tcPr>
            <w:tcW w:w="1274" w:type="dxa"/>
          </w:tcPr>
          <w:p w:rsidR="007C5447" w:rsidRDefault="00F6308C">
            <w:pPr>
              <w:pStyle w:val="TableParagraph"/>
              <w:spacing w:before="65"/>
              <w:ind w:right="94"/>
              <w:rPr>
                <w:sz w:val="20"/>
              </w:rPr>
            </w:pPr>
            <w:r>
              <w:rPr>
                <w:w w:val="95"/>
                <w:sz w:val="20"/>
              </w:rPr>
              <w:t>1,990</w:t>
            </w:r>
          </w:p>
        </w:tc>
      </w:tr>
      <w:tr w:rsidR="007C5447">
        <w:trPr>
          <w:trHeight w:val="359"/>
        </w:trPr>
        <w:tc>
          <w:tcPr>
            <w:tcW w:w="566" w:type="dxa"/>
          </w:tcPr>
          <w:p w:rsidR="007C5447" w:rsidRDefault="00F6308C">
            <w:pPr>
              <w:pStyle w:val="TableParagraph"/>
              <w:spacing w:before="65"/>
              <w:ind w:right="221"/>
              <w:rPr>
                <w:sz w:val="20"/>
              </w:rPr>
            </w:pPr>
            <w:r>
              <w:rPr>
                <w:w w:val="99"/>
                <w:sz w:val="20"/>
              </w:rPr>
              <w:t>3</w:t>
            </w:r>
          </w:p>
        </w:tc>
        <w:tc>
          <w:tcPr>
            <w:tcW w:w="1877" w:type="dxa"/>
          </w:tcPr>
          <w:p w:rsidR="007C5447" w:rsidRDefault="00F6308C">
            <w:pPr>
              <w:pStyle w:val="TableParagraph"/>
              <w:spacing w:before="65"/>
              <w:ind w:left="108"/>
              <w:jc w:val="left"/>
              <w:rPr>
                <w:sz w:val="20"/>
              </w:rPr>
            </w:pPr>
            <w:r>
              <w:rPr>
                <w:sz w:val="20"/>
              </w:rPr>
              <w:t>Basin Bridge GTPS</w:t>
            </w:r>
          </w:p>
        </w:tc>
        <w:tc>
          <w:tcPr>
            <w:tcW w:w="1274" w:type="dxa"/>
          </w:tcPr>
          <w:p w:rsidR="007C5447" w:rsidRDefault="00F6308C">
            <w:pPr>
              <w:pStyle w:val="TableParagraph"/>
              <w:spacing w:before="65"/>
              <w:ind w:right="92"/>
              <w:rPr>
                <w:sz w:val="20"/>
              </w:rPr>
            </w:pPr>
            <w:r>
              <w:rPr>
                <w:sz w:val="20"/>
              </w:rPr>
              <w:t>3221</w:t>
            </w:r>
          </w:p>
        </w:tc>
        <w:tc>
          <w:tcPr>
            <w:tcW w:w="1277" w:type="dxa"/>
          </w:tcPr>
          <w:p w:rsidR="007C5447" w:rsidRDefault="00F6308C">
            <w:pPr>
              <w:pStyle w:val="TableParagraph"/>
              <w:spacing w:before="65"/>
              <w:ind w:right="94"/>
              <w:rPr>
                <w:sz w:val="20"/>
              </w:rPr>
            </w:pPr>
            <w:r>
              <w:rPr>
                <w:sz w:val="20"/>
              </w:rPr>
              <w:t>3820</w:t>
            </w:r>
          </w:p>
        </w:tc>
        <w:tc>
          <w:tcPr>
            <w:tcW w:w="1277" w:type="dxa"/>
          </w:tcPr>
          <w:p w:rsidR="007C5447" w:rsidRDefault="00F6308C">
            <w:pPr>
              <w:pStyle w:val="TableParagraph"/>
              <w:spacing w:before="65"/>
              <w:ind w:right="94"/>
              <w:rPr>
                <w:sz w:val="20"/>
              </w:rPr>
            </w:pPr>
            <w:r>
              <w:rPr>
                <w:sz w:val="20"/>
              </w:rPr>
              <w:t>3482</w:t>
            </w:r>
          </w:p>
        </w:tc>
        <w:tc>
          <w:tcPr>
            <w:tcW w:w="1275" w:type="dxa"/>
          </w:tcPr>
          <w:p w:rsidR="007C5447" w:rsidRDefault="00F6308C">
            <w:pPr>
              <w:pStyle w:val="TableParagraph"/>
              <w:spacing w:before="65"/>
              <w:ind w:right="99"/>
              <w:rPr>
                <w:sz w:val="20"/>
              </w:rPr>
            </w:pPr>
            <w:r>
              <w:rPr>
                <w:w w:val="95"/>
                <w:sz w:val="20"/>
              </w:rPr>
              <w:t>3,219</w:t>
            </w:r>
          </w:p>
        </w:tc>
        <w:tc>
          <w:tcPr>
            <w:tcW w:w="1274" w:type="dxa"/>
          </w:tcPr>
          <w:p w:rsidR="007C5447" w:rsidRDefault="00F6308C">
            <w:pPr>
              <w:pStyle w:val="TableParagraph"/>
              <w:spacing w:before="65"/>
              <w:ind w:right="91"/>
              <w:rPr>
                <w:sz w:val="20"/>
              </w:rPr>
            </w:pPr>
            <w:r>
              <w:rPr>
                <w:sz w:val="20"/>
              </w:rPr>
              <w:t>3432</w:t>
            </w:r>
          </w:p>
        </w:tc>
      </w:tr>
      <w:tr w:rsidR="007C5447">
        <w:trPr>
          <w:trHeight w:val="359"/>
        </w:trPr>
        <w:tc>
          <w:tcPr>
            <w:tcW w:w="566" w:type="dxa"/>
          </w:tcPr>
          <w:p w:rsidR="007C5447" w:rsidRDefault="00F6308C">
            <w:pPr>
              <w:pStyle w:val="TableParagraph"/>
              <w:spacing w:before="65"/>
              <w:ind w:right="221"/>
              <w:rPr>
                <w:sz w:val="20"/>
              </w:rPr>
            </w:pPr>
            <w:r>
              <w:rPr>
                <w:w w:val="99"/>
                <w:sz w:val="20"/>
              </w:rPr>
              <w:t>4</w:t>
            </w:r>
          </w:p>
        </w:tc>
        <w:tc>
          <w:tcPr>
            <w:tcW w:w="1877" w:type="dxa"/>
          </w:tcPr>
          <w:p w:rsidR="007C5447" w:rsidRDefault="00F6308C">
            <w:pPr>
              <w:pStyle w:val="TableParagraph"/>
              <w:spacing w:before="65"/>
              <w:ind w:left="108"/>
              <w:jc w:val="left"/>
              <w:rPr>
                <w:sz w:val="20"/>
              </w:rPr>
            </w:pPr>
            <w:r>
              <w:rPr>
                <w:sz w:val="20"/>
              </w:rPr>
              <w:t>Valathur GTPS I</w:t>
            </w:r>
          </w:p>
        </w:tc>
        <w:tc>
          <w:tcPr>
            <w:tcW w:w="1274" w:type="dxa"/>
          </w:tcPr>
          <w:p w:rsidR="007C5447" w:rsidRDefault="00F6308C">
            <w:pPr>
              <w:pStyle w:val="TableParagraph"/>
              <w:spacing w:before="65"/>
              <w:ind w:right="92"/>
              <w:rPr>
                <w:sz w:val="20"/>
              </w:rPr>
            </w:pPr>
            <w:r>
              <w:rPr>
                <w:sz w:val="20"/>
              </w:rPr>
              <w:t>1834</w:t>
            </w:r>
          </w:p>
        </w:tc>
        <w:tc>
          <w:tcPr>
            <w:tcW w:w="1277" w:type="dxa"/>
          </w:tcPr>
          <w:p w:rsidR="007C5447" w:rsidRDefault="00F6308C">
            <w:pPr>
              <w:pStyle w:val="TableParagraph"/>
              <w:spacing w:before="65"/>
              <w:ind w:right="94"/>
              <w:rPr>
                <w:sz w:val="20"/>
              </w:rPr>
            </w:pPr>
            <w:r>
              <w:rPr>
                <w:sz w:val="20"/>
              </w:rPr>
              <w:t>1789</w:t>
            </w:r>
          </w:p>
        </w:tc>
        <w:tc>
          <w:tcPr>
            <w:tcW w:w="1277" w:type="dxa"/>
          </w:tcPr>
          <w:p w:rsidR="007C5447" w:rsidRDefault="00F6308C">
            <w:pPr>
              <w:pStyle w:val="TableParagraph"/>
              <w:spacing w:before="65"/>
              <w:ind w:right="96"/>
              <w:rPr>
                <w:sz w:val="20"/>
              </w:rPr>
            </w:pPr>
            <w:r>
              <w:rPr>
                <w:sz w:val="20"/>
              </w:rPr>
              <w:t>1,878</w:t>
            </w:r>
          </w:p>
        </w:tc>
        <w:tc>
          <w:tcPr>
            <w:tcW w:w="1275" w:type="dxa"/>
            <w:vMerge w:val="restart"/>
          </w:tcPr>
          <w:p w:rsidR="007C5447" w:rsidRDefault="007C5447">
            <w:pPr>
              <w:pStyle w:val="TableParagraph"/>
              <w:spacing w:before="8"/>
              <w:jc w:val="left"/>
              <w:rPr>
                <w:b/>
                <w:sz w:val="21"/>
              </w:rPr>
            </w:pPr>
          </w:p>
          <w:p w:rsidR="007C5447" w:rsidRDefault="00F6308C">
            <w:pPr>
              <w:pStyle w:val="TableParagraph"/>
              <w:ind w:left="713"/>
              <w:jc w:val="left"/>
              <w:rPr>
                <w:sz w:val="20"/>
              </w:rPr>
            </w:pPr>
            <w:r>
              <w:rPr>
                <w:sz w:val="20"/>
              </w:rPr>
              <w:t>1,830</w:t>
            </w:r>
          </w:p>
        </w:tc>
        <w:tc>
          <w:tcPr>
            <w:tcW w:w="1274" w:type="dxa"/>
            <w:vMerge w:val="restart"/>
          </w:tcPr>
          <w:p w:rsidR="007C5447" w:rsidRDefault="007C5447">
            <w:pPr>
              <w:pStyle w:val="TableParagraph"/>
              <w:spacing w:before="8"/>
              <w:jc w:val="left"/>
              <w:rPr>
                <w:b/>
                <w:sz w:val="21"/>
              </w:rPr>
            </w:pPr>
          </w:p>
          <w:p w:rsidR="007C5447" w:rsidRDefault="00F6308C">
            <w:pPr>
              <w:pStyle w:val="TableParagraph"/>
              <w:ind w:left="718"/>
              <w:jc w:val="left"/>
              <w:rPr>
                <w:sz w:val="20"/>
              </w:rPr>
            </w:pPr>
            <w:r>
              <w:rPr>
                <w:sz w:val="20"/>
              </w:rPr>
              <w:t>1,796</w:t>
            </w:r>
          </w:p>
        </w:tc>
      </w:tr>
      <w:tr w:rsidR="007C5447">
        <w:trPr>
          <w:trHeight w:val="362"/>
        </w:trPr>
        <w:tc>
          <w:tcPr>
            <w:tcW w:w="566" w:type="dxa"/>
          </w:tcPr>
          <w:p w:rsidR="007C5447" w:rsidRDefault="00F6308C">
            <w:pPr>
              <w:pStyle w:val="TableParagraph"/>
              <w:spacing w:before="67"/>
              <w:ind w:right="221"/>
              <w:rPr>
                <w:sz w:val="20"/>
              </w:rPr>
            </w:pPr>
            <w:r>
              <w:rPr>
                <w:w w:val="99"/>
                <w:sz w:val="20"/>
              </w:rPr>
              <w:t>5</w:t>
            </w:r>
          </w:p>
        </w:tc>
        <w:tc>
          <w:tcPr>
            <w:tcW w:w="1877" w:type="dxa"/>
          </w:tcPr>
          <w:p w:rsidR="007C5447" w:rsidRDefault="00F6308C">
            <w:pPr>
              <w:pStyle w:val="TableParagraph"/>
              <w:spacing w:before="67"/>
              <w:ind w:left="108"/>
              <w:jc w:val="left"/>
              <w:rPr>
                <w:sz w:val="20"/>
              </w:rPr>
            </w:pPr>
            <w:r>
              <w:rPr>
                <w:sz w:val="20"/>
              </w:rPr>
              <w:t>Valathur GTPS II</w:t>
            </w:r>
          </w:p>
        </w:tc>
        <w:tc>
          <w:tcPr>
            <w:tcW w:w="1274" w:type="dxa"/>
          </w:tcPr>
          <w:p w:rsidR="007C5447" w:rsidRDefault="00F6308C">
            <w:pPr>
              <w:pStyle w:val="TableParagraph"/>
              <w:spacing w:before="67"/>
              <w:ind w:right="90"/>
              <w:rPr>
                <w:sz w:val="20"/>
              </w:rPr>
            </w:pPr>
            <w:r>
              <w:rPr>
                <w:sz w:val="20"/>
              </w:rPr>
              <w:t>1891</w:t>
            </w:r>
          </w:p>
        </w:tc>
        <w:tc>
          <w:tcPr>
            <w:tcW w:w="1277" w:type="dxa"/>
          </w:tcPr>
          <w:p w:rsidR="007C5447" w:rsidRDefault="00F6308C">
            <w:pPr>
              <w:pStyle w:val="TableParagraph"/>
              <w:spacing w:before="67"/>
              <w:ind w:right="92"/>
              <w:rPr>
                <w:sz w:val="20"/>
              </w:rPr>
            </w:pPr>
            <w:r>
              <w:rPr>
                <w:sz w:val="20"/>
              </w:rPr>
              <w:t>1945</w:t>
            </w:r>
          </w:p>
        </w:tc>
        <w:tc>
          <w:tcPr>
            <w:tcW w:w="1277" w:type="dxa"/>
          </w:tcPr>
          <w:p w:rsidR="007C5447" w:rsidRDefault="00F6308C">
            <w:pPr>
              <w:pStyle w:val="TableParagraph"/>
              <w:spacing w:before="67"/>
              <w:ind w:right="92"/>
              <w:rPr>
                <w:sz w:val="20"/>
              </w:rPr>
            </w:pPr>
            <w:r>
              <w:rPr>
                <w:sz w:val="20"/>
              </w:rPr>
              <w:t>2047</w:t>
            </w:r>
          </w:p>
        </w:tc>
        <w:tc>
          <w:tcPr>
            <w:tcW w:w="1275" w:type="dxa"/>
            <w:vMerge/>
            <w:tcBorders>
              <w:top w:val="nil"/>
            </w:tcBorders>
          </w:tcPr>
          <w:p w:rsidR="007C5447" w:rsidRDefault="007C5447">
            <w:pPr>
              <w:rPr>
                <w:sz w:val="2"/>
                <w:szCs w:val="2"/>
              </w:rPr>
            </w:pPr>
          </w:p>
        </w:tc>
        <w:tc>
          <w:tcPr>
            <w:tcW w:w="1274" w:type="dxa"/>
            <w:vMerge/>
            <w:tcBorders>
              <w:top w:val="nil"/>
            </w:tcBorders>
          </w:tcPr>
          <w:p w:rsidR="007C5447" w:rsidRDefault="007C5447">
            <w:pPr>
              <w:rPr>
                <w:sz w:val="2"/>
                <w:szCs w:val="2"/>
              </w:rPr>
            </w:pPr>
          </w:p>
        </w:tc>
      </w:tr>
    </w:tbl>
    <w:p w:rsidR="007C5447" w:rsidRDefault="007C5447">
      <w:pPr>
        <w:pStyle w:val="BodyText"/>
        <w:spacing w:before="9"/>
        <w:rPr>
          <w:b/>
          <w:sz w:val="20"/>
        </w:rPr>
      </w:pPr>
    </w:p>
    <w:p w:rsidR="007C5447" w:rsidRDefault="00F6308C">
      <w:pPr>
        <w:pStyle w:val="Heading2"/>
        <w:ind w:left="1112"/>
      </w:pPr>
      <w:r>
        <w:t>Commission’s Views</w:t>
      </w:r>
    </w:p>
    <w:p w:rsidR="007C5447" w:rsidRDefault="007C5447">
      <w:pPr>
        <w:pStyle w:val="BodyText"/>
        <w:spacing w:before="11"/>
        <w:rPr>
          <w:b/>
          <w:sz w:val="27"/>
        </w:rPr>
      </w:pPr>
    </w:p>
    <w:p w:rsidR="007C5447" w:rsidRDefault="00F6308C">
      <w:pPr>
        <w:pStyle w:val="ListParagraph"/>
        <w:numPr>
          <w:ilvl w:val="3"/>
          <w:numId w:val="74"/>
        </w:numPr>
        <w:tabs>
          <w:tab w:val="left" w:pos="1226"/>
        </w:tabs>
        <w:spacing w:line="312" w:lineRule="auto"/>
        <w:ind w:right="292"/>
        <w:jc w:val="both"/>
        <w:rPr>
          <w:sz w:val="24"/>
        </w:rPr>
      </w:pPr>
      <w:r>
        <w:rPr>
          <w:sz w:val="24"/>
        </w:rPr>
        <w:t>The Commission observed that TANGEDCO has submitted SHR for NCTPS Stage II as 1984 kcal/kWh, which is incorrect as thermal power station cannot achieve such low SHR based on present technology. The Commission has considered the normative SHR of 2450 kcal/k</w:t>
      </w:r>
      <w:r>
        <w:rPr>
          <w:sz w:val="24"/>
        </w:rPr>
        <w:t>Wh for NCTPS Stage</w:t>
      </w:r>
      <w:r>
        <w:rPr>
          <w:spacing w:val="-2"/>
          <w:sz w:val="24"/>
        </w:rPr>
        <w:t xml:space="preserve"> </w:t>
      </w:r>
      <w:r>
        <w:rPr>
          <w:sz w:val="24"/>
        </w:rPr>
        <w:t>II.</w:t>
      </w:r>
    </w:p>
    <w:p w:rsidR="007C5447" w:rsidRDefault="007C5447">
      <w:pPr>
        <w:pStyle w:val="BodyText"/>
        <w:spacing w:before="10"/>
        <w:rPr>
          <w:sz w:val="20"/>
        </w:rPr>
      </w:pPr>
    </w:p>
    <w:p w:rsidR="007C5447" w:rsidRDefault="00F6308C">
      <w:pPr>
        <w:pStyle w:val="ListParagraph"/>
        <w:numPr>
          <w:ilvl w:val="3"/>
          <w:numId w:val="74"/>
        </w:numPr>
        <w:tabs>
          <w:tab w:val="left" w:pos="1226"/>
        </w:tabs>
        <w:spacing w:before="1" w:line="312" w:lineRule="auto"/>
        <w:ind w:right="291"/>
        <w:jc w:val="both"/>
        <w:rPr>
          <w:sz w:val="24"/>
        </w:rPr>
      </w:pPr>
      <w:r>
        <w:rPr>
          <w:sz w:val="24"/>
        </w:rPr>
        <w:t>Regulation 37(iii) of the Tariff Regulations specifies the norms for SHR.  TANGEDCO is required to manage its Units at appropriate loads and maintain the quality of coal to achieve the desired operational performance and optimise the generation costs. Ther</w:t>
      </w:r>
      <w:r>
        <w:rPr>
          <w:sz w:val="24"/>
        </w:rPr>
        <w:t>efore, for the purpose of truing up, the Commission has considered the normative SHR for TANGEDCO’s generating plants in accordance with the Tariff Regulations as shown in the Table</w:t>
      </w:r>
      <w:r>
        <w:rPr>
          <w:spacing w:val="-3"/>
          <w:sz w:val="24"/>
        </w:rPr>
        <w:t xml:space="preserve"> </w:t>
      </w:r>
      <w:r>
        <w:rPr>
          <w:sz w:val="24"/>
        </w:rPr>
        <w:t>below:</w:t>
      </w:r>
    </w:p>
    <w:p w:rsidR="007C5447" w:rsidRDefault="007C5447">
      <w:pPr>
        <w:pStyle w:val="BodyText"/>
        <w:spacing w:before="1"/>
        <w:rPr>
          <w:sz w:val="21"/>
        </w:rPr>
      </w:pPr>
    </w:p>
    <w:p w:rsidR="007C5447" w:rsidRDefault="00F6308C">
      <w:pPr>
        <w:spacing w:line="312" w:lineRule="auto"/>
        <w:ind w:left="675" w:right="706"/>
        <w:jc w:val="center"/>
        <w:rPr>
          <w:b/>
        </w:rPr>
      </w:pPr>
      <w:r>
        <w:rPr>
          <w:b/>
        </w:rPr>
        <w:t>Table 3-56: SHR approved by the Commission after true-up for FY 2011-12 to FY 2015-16 (kCal/kWh)</w:t>
      </w:r>
    </w:p>
    <w:p w:rsidR="007C5447" w:rsidRDefault="007C5447">
      <w:pPr>
        <w:pStyle w:val="BodyText"/>
        <w:spacing w:before="3" w:after="1"/>
        <w:rPr>
          <w:b/>
          <w:sz w:val="10"/>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4"/>
        <w:gridCol w:w="2153"/>
        <w:gridCol w:w="1236"/>
        <w:gridCol w:w="1275"/>
        <w:gridCol w:w="1277"/>
        <w:gridCol w:w="1278"/>
        <w:gridCol w:w="1275"/>
      </w:tblGrid>
      <w:tr w:rsidR="007C5447">
        <w:trPr>
          <w:trHeight w:val="359"/>
        </w:trPr>
        <w:tc>
          <w:tcPr>
            <w:tcW w:w="434" w:type="dxa"/>
            <w:shd w:val="clear" w:color="auto" w:fill="F7C9AC"/>
          </w:tcPr>
          <w:p w:rsidR="007C5447" w:rsidRDefault="00F6308C">
            <w:pPr>
              <w:pStyle w:val="TableParagraph"/>
              <w:spacing w:before="65"/>
              <w:ind w:left="86" w:right="80"/>
              <w:jc w:val="center"/>
              <w:rPr>
                <w:b/>
                <w:sz w:val="20"/>
              </w:rPr>
            </w:pPr>
            <w:r>
              <w:rPr>
                <w:b/>
                <w:sz w:val="20"/>
              </w:rPr>
              <w:t>Sl.</w:t>
            </w:r>
          </w:p>
        </w:tc>
        <w:tc>
          <w:tcPr>
            <w:tcW w:w="2153" w:type="dxa"/>
            <w:shd w:val="clear" w:color="auto" w:fill="F7C9AC"/>
          </w:tcPr>
          <w:p w:rsidR="007C5447" w:rsidRDefault="00F6308C">
            <w:pPr>
              <w:pStyle w:val="TableParagraph"/>
              <w:spacing w:before="65"/>
              <w:ind w:left="747" w:right="743"/>
              <w:jc w:val="center"/>
              <w:rPr>
                <w:b/>
                <w:sz w:val="20"/>
              </w:rPr>
            </w:pPr>
            <w:r>
              <w:rPr>
                <w:b/>
                <w:sz w:val="20"/>
              </w:rPr>
              <w:t>Station</w:t>
            </w:r>
          </w:p>
        </w:tc>
        <w:tc>
          <w:tcPr>
            <w:tcW w:w="1236" w:type="dxa"/>
            <w:shd w:val="clear" w:color="auto" w:fill="F7C9AC"/>
          </w:tcPr>
          <w:p w:rsidR="007C5447" w:rsidRDefault="00F6308C">
            <w:pPr>
              <w:pStyle w:val="TableParagraph"/>
              <w:spacing w:before="65"/>
              <w:ind w:right="112"/>
              <w:rPr>
                <w:b/>
                <w:sz w:val="20"/>
              </w:rPr>
            </w:pPr>
            <w:r>
              <w:rPr>
                <w:b/>
                <w:sz w:val="20"/>
              </w:rPr>
              <w:t>FY 2011-12</w:t>
            </w:r>
          </w:p>
        </w:tc>
        <w:tc>
          <w:tcPr>
            <w:tcW w:w="1275" w:type="dxa"/>
            <w:shd w:val="clear" w:color="auto" w:fill="F7C9AC"/>
          </w:tcPr>
          <w:p w:rsidR="007C5447" w:rsidRDefault="00F6308C">
            <w:pPr>
              <w:pStyle w:val="TableParagraph"/>
              <w:spacing w:before="65"/>
              <w:ind w:right="132"/>
              <w:rPr>
                <w:b/>
                <w:sz w:val="20"/>
              </w:rPr>
            </w:pPr>
            <w:r>
              <w:rPr>
                <w:b/>
                <w:sz w:val="20"/>
              </w:rPr>
              <w:t>FY 2012-13</w:t>
            </w:r>
          </w:p>
        </w:tc>
        <w:tc>
          <w:tcPr>
            <w:tcW w:w="1277" w:type="dxa"/>
            <w:shd w:val="clear" w:color="auto" w:fill="F7C9AC"/>
          </w:tcPr>
          <w:p w:rsidR="007C5447" w:rsidRDefault="00F6308C">
            <w:pPr>
              <w:pStyle w:val="TableParagraph"/>
              <w:spacing w:before="65"/>
              <w:ind w:right="131"/>
              <w:rPr>
                <w:b/>
                <w:sz w:val="20"/>
              </w:rPr>
            </w:pPr>
            <w:r>
              <w:rPr>
                <w:b/>
                <w:sz w:val="20"/>
              </w:rPr>
              <w:t>FY 2013-14</w:t>
            </w:r>
          </w:p>
        </w:tc>
        <w:tc>
          <w:tcPr>
            <w:tcW w:w="1278" w:type="dxa"/>
            <w:shd w:val="clear" w:color="auto" w:fill="F7C9AC"/>
          </w:tcPr>
          <w:p w:rsidR="007C5447" w:rsidRDefault="00F6308C">
            <w:pPr>
              <w:pStyle w:val="TableParagraph"/>
              <w:spacing w:before="65"/>
              <w:ind w:right="133"/>
              <w:rPr>
                <w:b/>
                <w:sz w:val="20"/>
              </w:rPr>
            </w:pPr>
            <w:r>
              <w:rPr>
                <w:b/>
                <w:sz w:val="20"/>
              </w:rPr>
              <w:t>FY 2014-15</w:t>
            </w:r>
          </w:p>
        </w:tc>
        <w:tc>
          <w:tcPr>
            <w:tcW w:w="1275" w:type="dxa"/>
            <w:shd w:val="clear" w:color="auto" w:fill="F7C9AC"/>
          </w:tcPr>
          <w:p w:rsidR="007C5447" w:rsidRDefault="00F6308C">
            <w:pPr>
              <w:pStyle w:val="TableParagraph"/>
              <w:spacing w:before="65"/>
              <w:ind w:right="130"/>
              <w:rPr>
                <w:b/>
                <w:sz w:val="20"/>
              </w:rPr>
            </w:pPr>
            <w:r>
              <w:rPr>
                <w:b/>
                <w:sz w:val="20"/>
              </w:rPr>
              <w:t>FY 2015-16</w:t>
            </w:r>
          </w:p>
        </w:tc>
      </w:tr>
      <w:tr w:rsidR="007C5447">
        <w:trPr>
          <w:trHeight w:val="362"/>
        </w:trPr>
        <w:tc>
          <w:tcPr>
            <w:tcW w:w="434" w:type="dxa"/>
            <w:shd w:val="clear" w:color="auto" w:fill="D9D9D9"/>
          </w:tcPr>
          <w:p w:rsidR="007C5447" w:rsidRDefault="00F6308C">
            <w:pPr>
              <w:pStyle w:val="TableParagraph"/>
              <w:spacing w:before="115" w:line="227" w:lineRule="exact"/>
              <w:ind w:right="62"/>
              <w:jc w:val="center"/>
              <w:rPr>
                <w:b/>
                <w:sz w:val="20"/>
              </w:rPr>
            </w:pPr>
            <w:r>
              <w:rPr>
                <w:b/>
                <w:w w:val="99"/>
                <w:sz w:val="20"/>
              </w:rPr>
              <w:t>A</w:t>
            </w:r>
          </w:p>
        </w:tc>
        <w:tc>
          <w:tcPr>
            <w:tcW w:w="2153" w:type="dxa"/>
            <w:shd w:val="clear" w:color="auto" w:fill="D9D9D9"/>
          </w:tcPr>
          <w:p w:rsidR="007C5447" w:rsidRDefault="00F6308C">
            <w:pPr>
              <w:pStyle w:val="TableParagraph"/>
              <w:spacing w:before="115" w:line="227" w:lineRule="exact"/>
              <w:ind w:left="105"/>
              <w:jc w:val="left"/>
              <w:rPr>
                <w:b/>
                <w:sz w:val="20"/>
              </w:rPr>
            </w:pPr>
            <w:r>
              <w:rPr>
                <w:b/>
                <w:sz w:val="20"/>
              </w:rPr>
              <w:t>Thermal</w:t>
            </w:r>
          </w:p>
        </w:tc>
        <w:tc>
          <w:tcPr>
            <w:tcW w:w="1236" w:type="dxa"/>
            <w:shd w:val="clear" w:color="auto" w:fill="D9D9D9"/>
          </w:tcPr>
          <w:p w:rsidR="007C5447" w:rsidRDefault="007C5447">
            <w:pPr>
              <w:pStyle w:val="TableParagraph"/>
              <w:jc w:val="left"/>
            </w:pPr>
          </w:p>
        </w:tc>
        <w:tc>
          <w:tcPr>
            <w:tcW w:w="1275" w:type="dxa"/>
            <w:shd w:val="clear" w:color="auto" w:fill="D9D9D9"/>
          </w:tcPr>
          <w:p w:rsidR="007C5447" w:rsidRDefault="007C5447">
            <w:pPr>
              <w:pStyle w:val="TableParagraph"/>
              <w:jc w:val="left"/>
            </w:pPr>
          </w:p>
        </w:tc>
        <w:tc>
          <w:tcPr>
            <w:tcW w:w="1277" w:type="dxa"/>
            <w:shd w:val="clear" w:color="auto" w:fill="D9D9D9"/>
          </w:tcPr>
          <w:p w:rsidR="007C5447" w:rsidRDefault="007C5447">
            <w:pPr>
              <w:pStyle w:val="TableParagraph"/>
              <w:jc w:val="left"/>
            </w:pPr>
          </w:p>
        </w:tc>
        <w:tc>
          <w:tcPr>
            <w:tcW w:w="1278" w:type="dxa"/>
            <w:shd w:val="clear" w:color="auto" w:fill="D9D9D9"/>
          </w:tcPr>
          <w:p w:rsidR="007C5447" w:rsidRDefault="007C5447">
            <w:pPr>
              <w:pStyle w:val="TableParagraph"/>
              <w:jc w:val="left"/>
            </w:pPr>
          </w:p>
        </w:tc>
        <w:tc>
          <w:tcPr>
            <w:tcW w:w="1275" w:type="dxa"/>
            <w:shd w:val="clear" w:color="auto" w:fill="D9D9D9"/>
          </w:tcPr>
          <w:p w:rsidR="007C5447" w:rsidRDefault="007C5447">
            <w:pPr>
              <w:pStyle w:val="TableParagraph"/>
              <w:jc w:val="left"/>
            </w:pPr>
          </w:p>
        </w:tc>
      </w:tr>
      <w:tr w:rsidR="007C5447">
        <w:trPr>
          <w:trHeight w:val="359"/>
        </w:trPr>
        <w:tc>
          <w:tcPr>
            <w:tcW w:w="434" w:type="dxa"/>
          </w:tcPr>
          <w:p w:rsidR="007C5447" w:rsidRDefault="00F6308C">
            <w:pPr>
              <w:pStyle w:val="TableParagraph"/>
              <w:spacing w:before="65"/>
              <w:ind w:left="6"/>
              <w:jc w:val="center"/>
              <w:rPr>
                <w:sz w:val="20"/>
              </w:rPr>
            </w:pPr>
            <w:r>
              <w:rPr>
                <w:w w:val="99"/>
                <w:sz w:val="20"/>
              </w:rPr>
              <w:t>1</w:t>
            </w:r>
          </w:p>
        </w:tc>
        <w:tc>
          <w:tcPr>
            <w:tcW w:w="2153" w:type="dxa"/>
          </w:tcPr>
          <w:p w:rsidR="007C5447" w:rsidRDefault="00F6308C">
            <w:pPr>
              <w:pStyle w:val="TableParagraph"/>
              <w:spacing w:before="65"/>
              <w:ind w:left="105"/>
              <w:jc w:val="left"/>
              <w:rPr>
                <w:sz w:val="20"/>
              </w:rPr>
            </w:pPr>
            <w:r>
              <w:rPr>
                <w:sz w:val="20"/>
              </w:rPr>
              <w:t>Ennore TPS</w:t>
            </w:r>
          </w:p>
        </w:tc>
        <w:tc>
          <w:tcPr>
            <w:tcW w:w="1236" w:type="dxa"/>
          </w:tcPr>
          <w:p w:rsidR="007C5447" w:rsidRDefault="00F6308C">
            <w:pPr>
              <w:pStyle w:val="TableParagraph"/>
              <w:spacing w:before="65"/>
              <w:ind w:right="214"/>
              <w:rPr>
                <w:sz w:val="20"/>
              </w:rPr>
            </w:pPr>
            <w:r>
              <w:rPr>
                <w:w w:val="95"/>
                <w:sz w:val="20"/>
              </w:rPr>
              <w:t>3,200</w:t>
            </w:r>
          </w:p>
        </w:tc>
        <w:tc>
          <w:tcPr>
            <w:tcW w:w="1275" w:type="dxa"/>
          </w:tcPr>
          <w:p w:rsidR="007C5447" w:rsidRDefault="00F6308C">
            <w:pPr>
              <w:pStyle w:val="TableParagraph"/>
              <w:spacing w:before="65"/>
              <w:ind w:right="215"/>
              <w:rPr>
                <w:sz w:val="20"/>
              </w:rPr>
            </w:pPr>
            <w:r>
              <w:rPr>
                <w:w w:val="95"/>
                <w:sz w:val="20"/>
              </w:rPr>
              <w:t>3,200</w:t>
            </w:r>
          </w:p>
        </w:tc>
        <w:tc>
          <w:tcPr>
            <w:tcW w:w="1277" w:type="dxa"/>
          </w:tcPr>
          <w:p w:rsidR="007C5447" w:rsidRDefault="00F6308C">
            <w:pPr>
              <w:pStyle w:val="TableParagraph"/>
              <w:spacing w:before="65"/>
              <w:ind w:right="215"/>
              <w:rPr>
                <w:sz w:val="20"/>
              </w:rPr>
            </w:pPr>
            <w:r>
              <w:rPr>
                <w:w w:val="95"/>
                <w:sz w:val="20"/>
              </w:rPr>
              <w:t>3,200</w:t>
            </w:r>
          </w:p>
        </w:tc>
        <w:tc>
          <w:tcPr>
            <w:tcW w:w="1278" w:type="dxa"/>
          </w:tcPr>
          <w:p w:rsidR="007C5447" w:rsidRDefault="00F6308C">
            <w:pPr>
              <w:pStyle w:val="TableParagraph"/>
              <w:spacing w:before="65"/>
              <w:ind w:right="216"/>
              <w:rPr>
                <w:sz w:val="20"/>
              </w:rPr>
            </w:pPr>
            <w:r>
              <w:rPr>
                <w:w w:val="95"/>
                <w:sz w:val="20"/>
              </w:rPr>
              <w:t>3,200</w:t>
            </w:r>
          </w:p>
        </w:tc>
        <w:tc>
          <w:tcPr>
            <w:tcW w:w="1275" w:type="dxa"/>
          </w:tcPr>
          <w:p w:rsidR="007C5447" w:rsidRDefault="00F6308C">
            <w:pPr>
              <w:pStyle w:val="TableParagraph"/>
              <w:spacing w:before="65"/>
              <w:ind w:right="214"/>
              <w:rPr>
                <w:sz w:val="20"/>
              </w:rPr>
            </w:pPr>
            <w:r>
              <w:rPr>
                <w:w w:val="95"/>
                <w:sz w:val="20"/>
              </w:rPr>
              <w:t>3,200</w:t>
            </w:r>
          </w:p>
        </w:tc>
      </w:tr>
      <w:tr w:rsidR="007C5447">
        <w:trPr>
          <w:trHeight w:val="359"/>
        </w:trPr>
        <w:tc>
          <w:tcPr>
            <w:tcW w:w="434" w:type="dxa"/>
          </w:tcPr>
          <w:p w:rsidR="007C5447" w:rsidRDefault="00F6308C">
            <w:pPr>
              <w:pStyle w:val="TableParagraph"/>
              <w:spacing w:before="65"/>
              <w:ind w:left="6"/>
              <w:jc w:val="center"/>
              <w:rPr>
                <w:sz w:val="20"/>
              </w:rPr>
            </w:pPr>
            <w:r>
              <w:rPr>
                <w:w w:val="99"/>
                <w:sz w:val="20"/>
              </w:rPr>
              <w:t>2</w:t>
            </w:r>
          </w:p>
        </w:tc>
        <w:tc>
          <w:tcPr>
            <w:tcW w:w="2153" w:type="dxa"/>
          </w:tcPr>
          <w:p w:rsidR="007C5447" w:rsidRDefault="00F6308C">
            <w:pPr>
              <w:pStyle w:val="TableParagraph"/>
              <w:spacing w:before="65"/>
              <w:ind w:left="105"/>
              <w:jc w:val="left"/>
              <w:rPr>
                <w:sz w:val="20"/>
              </w:rPr>
            </w:pPr>
            <w:r>
              <w:rPr>
                <w:sz w:val="20"/>
              </w:rPr>
              <w:t>Tuticorin TPS</w:t>
            </w:r>
          </w:p>
        </w:tc>
        <w:tc>
          <w:tcPr>
            <w:tcW w:w="1236" w:type="dxa"/>
          </w:tcPr>
          <w:p w:rsidR="007C5447" w:rsidRDefault="00F6308C">
            <w:pPr>
              <w:pStyle w:val="TableParagraph"/>
              <w:spacing w:before="65"/>
              <w:ind w:right="214"/>
              <w:rPr>
                <w:sz w:val="20"/>
              </w:rPr>
            </w:pPr>
            <w:r>
              <w:rPr>
                <w:w w:val="95"/>
                <w:sz w:val="20"/>
              </w:rPr>
              <w:t>2,453</w:t>
            </w:r>
          </w:p>
        </w:tc>
        <w:tc>
          <w:tcPr>
            <w:tcW w:w="1275" w:type="dxa"/>
          </w:tcPr>
          <w:p w:rsidR="007C5447" w:rsidRDefault="00F6308C">
            <w:pPr>
              <w:pStyle w:val="TableParagraph"/>
              <w:spacing w:before="65"/>
              <w:ind w:right="215"/>
              <w:rPr>
                <w:sz w:val="20"/>
              </w:rPr>
            </w:pPr>
            <w:r>
              <w:rPr>
                <w:w w:val="95"/>
                <w:sz w:val="20"/>
              </w:rPr>
              <w:t>2,453</w:t>
            </w:r>
          </w:p>
        </w:tc>
        <w:tc>
          <w:tcPr>
            <w:tcW w:w="1277" w:type="dxa"/>
          </w:tcPr>
          <w:p w:rsidR="007C5447" w:rsidRDefault="00F6308C">
            <w:pPr>
              <w:pStyle w:val="TableParagraph"/>
              <w:spacing w:before="65"/>
              <w:ind w:right="215"/>
              <w:rPr>
                <w:sz w:val="20"/>
              </w:rPr>
            </w:pPr>
            <w:r>
              <w:rPr>
                <w:w w:val="95"/>
                <w:sz w:val="20"/>
              </w:rPr>
              <w:t>2,453</w:t>
            </w:r>
          </w:p>
        </w:tc>
        <w:tc>
          <w:tcPr>
            <w:tcW w:w="1278" w:type="dxa"/>
          </w:tcPr>
          <w:p w:rsidR="007C5447" w:rsidRDefault="00F6308C">
            <w:pPr>
              <w:pStyle w:val="TableParagraph"/>
              <w:spacing w:before="65"/>
              <w:ind w:right="216"/>
              <w:rPr>
                <w:sz w:val="20"/>
              </w:rPr>
            </w:pPr>
            <w:r>
              <w:rPr>
                <w:w w:val="95"/>
                <w:sz w:val="20"/>
              </w:rPr>
              <w:t>2,453</w:t>
            </w:r>
          </w:p>
        </w:tc>
        <w:tc>
          <w:tcPr>
            <w:tcW w:w="1275" w:type="dxa"/>
          </w:tcPr>
          <w:p w:rsidR="007C5447" w:rsidRDefault="00F6308C">
            <w:pPr>
              <w:pStyle w:val="TableParagraph"/>
              <w:spacing w:before="65"/>
              <w:ind w:right="214"/>
              <w:rPr>
                <w:sz w:val="20"/>
              </w:rPr>
            </w:pPr>
            <w:r>
              <w:rPr>
                <w:w w:val="95"/>
                <w:sz w:val="20"/>
              </w:rPr>
              <w:t>2,453</w:t>
            </w:r>
          </w:p>
        </w:tc>
      </w:tr>
      <w:tr w:rsidR="007C5447">
        <w:trPr>
          <w:trHeight w:val="359"/>
        </w:trPr>
        <w:tc>
          <w:tcPr>
            <w:tcW w:w="434" w:type="dxa"/>
          </w:tcPr>
          <w:p w:rsidR="007C5447" w:rsidRDefault="00F6308C">
            <w:pPr>
              <w:pStyle w:val="TableParagraph"/>
              <w:spacing w:before="65"/>
              <w:ind w:left="6"/>
              <w:jc w:val="center"/>
              <w:rPr>
                <w:sz w:val="20"/>
              </w:rPr>
            </w:pPr>
            <w:r>
              <w:rPr>
                <w:w w:val="99"/>
                <w:sz w:val="20"/>
              </w:rPr>
              <w:t>3</w:t>
            </w:r>
          </w:p>
        </w:tc>
        <w:tc>
          <w:tcPr>
            <w:tcW w:w="2153" w:type="dxa"/>
          </w:tcPr>
          <w:p w:rsidR="007C5447" w:rsidRDefault="00F6308C">
            <w:pPr>
              <w:pStyle w:val="TableParagraph"/>
              <w:spacing w:before="65"/>
              <w:ind w:left="105"/>
              <w:jc w:val="left"/>
              <w:rPr>
                <w:sz w:val="20"/>
              </w:rPr>
            </w:pPr>
            <w:r>
              <w:rPr>
                <w:sz w:val="20"/>
              </w:rPr>
              <w:t>Mettur TPS</w:t>
            </w:r>
          </w:p>
        </w:tc>
        <w:tc>
          <w:tcPr>
            <w:tcW w:w="1236" w:type="dxa"/>
          </w:tcPr>
          <w:p w:rsidR="007C5447" w:rsidRDefault="00F6308C">
            <w:pPr>
              <w:pStyle w:val="TableParagraph"/>
              <w:spacing w:before="65"/>
              <w:ind w:right="214"/>
              <w:rPr>
                <w:sz w:val="20"/>
              </w:rPr>
            </w:pPr>
            <w:r>
              <w:rPr>
                <w:w w:val="95"/>
                <w:sz w:val="20"/>
              </w:rPr>
              <w:t>2,500</w:t>
            </w:r>
          </w:p>
        </w:tc>
        <w:tc>
          <w:tcPr>
            <w:tcW w:w="1275" w:type="dxa"/>
          </w:tcPr>
          <w:p w:rsidR="007C5447" w:rsidRDefault="00F6308C">
            <w:pPr>
              <w:pStyle w:val="TableParagraph"/>
              <w:spacing w:before="65"/>
              <w:ind w:right="215"/>
              <w:rPr>
                <w:sz w:val="20"/>
              </w:rPr>
            </w:pPr>
            <w:r>
              <w:rPr>
                <w:w w:val="95"/>
                <w:sz w:val="20"/>
              </w:rPr>
              <w:t>2,500</w:t>
            </w:r>
          </w:p>
        </w:tc>
        <w:tc>
          <w:tcPr>
            <w:tcW w:w="1277" w:type="dxa"/>
          </w:tcPr>
          <w:p w:rsidR="007C5447" w:rsidRDefault="00F6308C">
            <w:pPr>
              <w:pStyle w:val="TableParagraph"/>
              <w:spacing w:before="65"/>
              <w:ind w:right="215"/>
              <w:rPr>
                <w:sz w:val="20"/>
              </w:rPr>
            </w:pPr>
            <w:r>
              <w:rPr>
                <w:w w:val="95"/>
                <w:sz w:val="20"/>
              </w:rPr>
              <w:t>2,500</w:t>
            </w:r>
          </w:p>
        </w:tc>
        <w:tc>
          <w:tcPr>
            <w:tcW w:w="1278" w:type="dxa"/>
          </w:tcPr>
          <w:p w:rsidR="007C5447" w:rsidRDefault="00F6308C">
            <w:pPr>
              <w:pStyle w:val="TableParagraph"/>
              <w:spacing w:before="65"/>
              <w:ind w:right="216"/>
              <w:rPr>
                <w:sz w:val="20"/>
              </w:rPr>
            </w:pPr>
            <w:r>
              <w:rPr>
                <w:w w:val="95"/>
                <w:sz w:val="20"/>
              </w:rPr>
              <w:t>2,500</w:t>
            </w:r>
          </w:p>
        </w:tc>
        <w:tc>
          <w:tcPr>
            <w:tcW w:w="1275" w:type="dxa"/>
          </w:tcPr>
          <w:p w:rsidR="007C5447" w:rsidRDefault="00F6308C">
            <w:pPr>
              <w:pStyle w:val="TableParagraph"/>
              <w:spacing w:before="65"/>
              <w:ind w:right="214"/>
              <w:rPr>
                <w:sz w:val="20"/>
              </w:rPr>
            </w:pPr>
            <w:r>
              <w:rPr>
                <w:w w:val="95"/>
                <w:sz w:val="20"/>
              </w:rPr>
              <w:t>2,500</w:t>
            </w:r>
          </w:p>
        </w:tc>
      </w:tr>
      <w:tr w:rsidR="007C5447">
        <w:trPr>
          <w:trHeight w:val="359"/>
        </w:trPr>
        <w:tc>
          <w:tcPr>
            <w:tcW w:w="434" w:type="dxa"/>
          </w:tcPr>
          <w:p w:rsidR="007C5447" w:rsidRDefault="00F6308C">
            <w:pPr>
              <w:pStyle w:val="TableParagraph"/>
              <w:spacing w:before="65"/>
              <w:ind w:left="6"/>
              <w:jc w:val="center"/>
              <w:rPr>
                <w:sz w:val="20"/>
              </w:rPr>
            </w:pPr>
            <w:r>
              <w:rPr>
                <w:w w:val="99"/>
                <w:sz w:val="20"/>
              </w:rPr>
              <w:t>4</w:t>
            </w:r>
          </w:p>
        </w:tc>
        <w:tc>
          <w:tcPr>
            <w:tcW w:w="2153" w:type="dxa"/>
          </w:tcPr>
          <w:p w:rsidR="007C5447" w:rsidRDefault="00F6308C">
            <w:pPr>
              <w:pStyle w:val="TableParagraph"/>
              <w:spacing w:before="65"/>
              <w:ind w:left="105"/>
              <w:jc w:val="left"/>
              <w:rPr>
                <w:sz w:val="20"/>
              </w:rPr>
            </w:pPr>
            <w:r>
              <w:rPr>
                <w:sz w:val="20"/>
              </w:rPr>
              <w:t>Mettur Stage III TPS</w:t>
            </w:r>
          </w:p>
        </w:tc>
        <w:tc>
          <w:tcPr>
            <w:tcW w:w="1236" w:type="dxa"/>
          </w:tcPr>
          <w:p w:rsidR="007C5447" w:rsidRDefault="00F6308C">
            <w:pPr>
              <w:pStyle w:val="TableParagraph"/>
              <w:spacing w:before="65"/>
              <w:ind w:right="211"/>
              <w:rPr>
                <w:sz w:val="20"/>
              </w:rPr>
            </w:pPr>
            <w:r>
              <w:rPr>
                <w:w w:val="99"/>
                <w:sz w:val="20"/>
              </w:rPr>
              <w:t>-</w:t>
            </w:r>
          </w:p>
        </w:tc>
        <w:tc>
          <w:tcPr>
            <w:tcW w:w="1275" w:type="dxa"/>
          </w:tcPr>
          <w:p w:rsidR="007C5447" w:rsidRDefault="00F6308C">
            <w:pPr>
              <w:pStyle w:val="TableParagraph"/>
              <w:spacing w:before="65"/>
              <w:ind w:right="212"/>
              <w:rPr>
                <w:sz w:val="20"/>
              </w:rPr>
            </w:pPr>
            <w:r>
              <w:rPr>
                <w:w w:val="99"/>
                <w:sz w:val="20"/>
              </w:rPr>
              <w:t>-</w:t>
            </w:r>
          </w:p>
        </w:tc>
        <w:tc>
          <w:tcPr>
            <w:tcW w:w="1277" w:type="dxa"/>
          </w:tcPr>
          <w:p w:rsidR="007C5447" w:rsidRDefault="00F6308C">
            <w:pPr>
              <w:pStyle w:val="TableParagraph"/>
              <w:spacing w:before="65"/>
              <w:ind w:right="215"/>
              <w:rPr>
                <w:sz w:val="20"/>
              </w:rPr>
            </w:pPr>
            <w:r>
              <w:rPr>
                <w:w w:val="95"/>
                <w:sz w:val="20"/>
              </w:rPr>
              <w:t>2,500</w:t>
            </w:r>
          </w:p>
        </w:tc>
        <w:tc>
          <w:tcPr>
            <w:tcW w:w="1278" w:type="dxa"/>
          </w:tcPr>
          <w:p w:rsidR="007C5447" w:rsidRDefault="00F6308C">
            <w:pPr>
              <w:pStyle w:val="TableParagraph"/>
              <w:spacing w:before="65"/>
              <w:ind w:right="216"/>
              <w:rPr>
                <w:sz w:val="20"/>
              </w:rPr>
            </w:pPr>
            <w:r>
              <w:rPr>
                <w:w w:val="95"/>
                <w:sz w:val="20"/>
              </w:rPr>
              <w:t>2,450</w:t>
            </w:r>
          </w:p>
        </w:tc>
        <w:tc>
          <w:tcPr>
            <w:tcW w:w="1275" w:type="dxa"/>
          </w:tcPr>
          <w:p w:rsidR="007C5447" w:rsidRDefault="00F6308C">
            <w:pPr>
              <w:pStyle w:val="TableParagraph"/>
              <w:spacing w:before="65"/>
              <w:ind w:right="214"/>
              <w:rPr>
                <w:sz w:val="20"/>
              </w:rPr>
            </w:pPr>
            <w:r>
              <w:rPr>
                <w:w w:val="95"/>
                <w:sz w:val="20"/>
              </w:rPr>
              <w:t>2,450</w:t>
            </w:r>
          </w:p>
        </w:tc>
      </w:tr>
    </w:tbl>
    <w:p w:rsidR="007C5447" w:rsidRDefault="007C5447">
      <w:pPr>
        <w:rPr>
          <w:sz w:val="20"/>
        </w:rPr>
        <w:sectPr w:rsidR="007C5447">
          <w:pgSz w:w="11910" w:h="16840"/>
          <w:pgMar w:top="1480" w:right="840" w:bottom="540" w:left="1180" w:header="0" w:footer="349" w:gutter="0"/>
          <w:cols w:space="720"/>
        </w:sect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4"/>
        <w:gridCol w:w="2153"/>
        <w:gridCol w:w="1236"/>
        <w:gridCol w:w="1275"/>
        <w:gridCol w:w="1277"/>
        <w:gridCol w:w="1278"/>
        <w:gridCol w:w="1275"/>
      </w:tblGrid>
      <w:tr w:rsidR="007C5447">
        <w:trPr>
          <w:trHeight w:val="360"/>
        </w:trPr>
        <w:tc>
          <w:tcPr>
            <w:tcW w:w="434" w:type="dxa"/>
            <w:shd w:val="clear" w:color="auto" w:fill="F7C9AC"/>
          </w:tcPr>
          <w:p w:rsidR="007C5447" w:rsidRDefault="00F6308C">
            <w:pPr>
              <w:pStyle w:val="TableParagraph"/>
              <w:spacing w:before="65"/>
              <w:ind w:left="86" w:right="80"/>
              <w:jc w:val="center"/>
              <w:rPr>
                <w:b/>
                <w:sz w:val="20"/>
              </w:rPr>
            </w:pPr>
            <w:r>
              <w:rPr>
                <w:b/>
                <w:sz w:val="20"/>
              </w:rPr>
              <w:lastRenderedPageBreak/>
              <w:t>Sl.</w:t>
            </w:r>
          </w:p>
        </w:tc>
        <w:tc>
          <w:tcPr>
            <w:tcW w:w="2153" w:type="dxa"/>
            <w:shd w:val="clear" w:color="auto" w:fill="F7C9AC"/>
          </w:tcPr>
          <w:p w:rsidR="007C5447" w:rsidRDefault="00F6308C">
            <w:pPr>
              <w:pStyle w:val="TableParagraph"/>
              <w:spacing w:before="65"/>
              <w:ind w:left="747" w:right="743"/>
              <w:jc w:val="center"/>
              <w:rPr>
                <w:b/>
                <w:sz w:val="20"/>
              </w:rPr>
            </w:pPr>
            <w:r>
              <w:rPr>
                <w:b/>
                <w:sz w:val="20"/>
              </w:rPr>
              <w:t>Station</w:t>
            </w:r>
          </w:p>
        </w:tc>
        <w:tc>
          <w:tcPr>
            <w:tcW w:w="1236" w:type="dxa"/>
            <w:shd w:val="clear" w:color="auto" w:fill="F7C9AC"/>
          </w:tcPr>
          <w:p w:rsidR="007C5447" w:rsidRDefault="00F6308C">
            <w:pPr>
              <w:pStyle w:val="TableParagraph"/>
              <w:spacing w:before="65"/>
              <w:ind w:right="112"/>
              <w:rPr>
                <w:b/>
                <w:sz w:val="20"/>
              </w:rPr>
            </w:pPr>
            <w:r>
              <w:rPr>
                <w:b/>
                <w:sz w:val="20"/>
              </w:rPr>
              <w:t>FY 2011-12</w:t>
            </w:r>
          </w:p>
        </w:tc>
        <w:tc>
          <w:tcPr>
            <w:tcW w:w="1275" w:type="dxa"/>
            <w:shd w:val="clear" w:color="auto" w:fill="F7C9AC"/>
          </w:tcPr>
          <w:p w:rsidR="007C5447" w:rsidRDefault="00F6308C">
            <w:pPr>
              <w:pStyle w:val="TableParagraph"/>
              <w:spacing w:before="65"/>
              <w:ind w:right="132"/>
              <w:rPr>
                <w:b/>
                <w:sz w:val="20"/>
              </w:rPr>
            </w:pPr>
            <w:r>
              <w:rPr>
                <w:b/>
                <w:sz w:val="20"/>
              </w:rPr>
              <w:t>FY 2012-13</w:t>
            </w:r>
          </w:p>
        </w:tc>
        <w:tc>
          <w:tcPr>
            <w:tcW w:w="1277" w:type="dxa"/>
            <w:shd w:val="clear" w:color="auto" w:fill="F7C9AC"/>
          </w:tcPr>
          <w:p w:rsidR="007C5447" w:rsidRDefault="00F6308C">
            <w:pPr>
              <w:pStyle w:val="TableParagraph"/>
              <w:spacing w:before="65"/>
              <w:ind w:right="131"/>
              <w:rPr>
                <w:b/>
                <w:sz w:val="20"/>
              </w:rPr>
            </w:pPr>
            <w:r>
              <w:rPr>
                <w:b/>
                <w:sz w:val="20"/>
              </w:rPr>
              <w:t>FY 2013-14</w:t>
            </w:r>
          </w:p>
        </w:tc>
        <w:tc>
          <w:tcPr>
            <w:tcW w:w="1278" w:type="dxa"/>
            <w:shd w:val="clear" w:color="auto" w:fill="F7C9AC"/>
          </w:tcPr>
          <w:p w:rsidR="007C5447" w:rsidRDefault="00F6308C">
            <w:pPr>
              <w:pStyle w:val="TableParagraph"/>
              <w:spacing w:before="65"/>
              <w:ind w:right="133"/>
              <w:rPr>
                <w:b/>
                <w:sz w:val="20"/>
              </w:rPr>
            </w:pPr>
            <w:r>
              <w:rPr>
                <w:b/>
                <w:sz w:val="20"/>
              </w:rPr>
              <w:t>FY 2014-15</w:t>
            </w:r>
          </w:p>
        </w:tc>
        <w:tc>
          <w:tcPr>
            <w:tcW w:w="1275" w:type="dxa"/>
            <w:shd w:val="clear" w:color="auto" w:fill="F7C9AC"/>
          </w:tcPr>
          <w:p w:rsidR="007C5447" w:rsidRDefault="00F6308C">
            <w:pPr>
              <w:pStyle w:val="TableParagraph"/>
              <w:spacing w:before="65"/>
              <w:ind w:right="130"/>
              <w:rPr>
                <w:b/>
                <w:sz w:val="20"/>
              </w:rPr>
            </w:pPr>
            <w:r>
              <w:rPr>
                <w:b/>
                <w:sz w:val="20"/>
              </w:rPr>
              <w:t>FY 2015-16</w:t>
            </w:r>
          </w:p>
        </w:tc>
      </w:tr>
      <w:tr w:rsidR="007C5447">
        <w:trPr>
          <w:trHeight w:val="359"/>
        </w:trPr>
        <w:tc>
          <w:tcPr>
            <w:tcW w:w="434" w:type="dxa"/>
          </w:tcPr>
          <w:p w:rsidR="007C5447" w:rsidRDefault="00F6308C">
            <w:pPr>
              <w:pStyle w:val="TableParagraph"/>
              <w:spacing w:before="65"/>
              <w:ind w:left="6"/>
              <w:jc w:val="center"/>
              <w:rPr>
                <w:sz w:val="20"/>
              </w:rPr>
            </w:pPr>
            <w:r>
              <w:rPr>
                <w:w w:val="99"/>
                <w:sz w:val="20"/>
              </w:rPr>
              <w:t>5</w:t>
            </w:r>
          </w:p>
        </w:tc>
        <w:tc>
          <w:tcPr>
            <w:tcW w:w="2153" w:type="dxa"/>
          </w:tcPr>
          <w:p w:rsidR="007C5447" w:rsidRDefault="00F6308C">
            <w:pPr>
              <w:pStyle w:val="TableParagraph"/>
              <w:spacing w:before="65"/>
              <w:ind w:left="105"/>
              <w:jc w:val="left"/>
              <w:rPr>
                <w:sz w:val="20"/>
              </w:rPr>
            </w:pPr>
            <w:r>
              <w:rPr>
                <w:sz w:val="20"/>
              </w:rPr>
              <w:t>North Chennai TPS</w:t>
            </w:r>
          </w:p>
        </w:tc>
        <w:tc>
          <w:tcPr>
            <w:tcW w:w="1236" w:type="dxa"/>
          </w:tcPr>
          <w:p w:rsidR="007C5447" w:rsidRDefault="00F6308C">
            <w:pPr>
              <w:pStyle w:val="TableParagraph"/>
              <w:spacing w:before="65"/>
              <w:ind w:right="214"/>
              <w:rPr>
                <w:sz w:val="20"/>
              </w:rPr>
            </w:pPr>
            <w:r>
              <w:rPr>
                <w:w w:val="95"/>
                <w:sz w:val="20"/>
              </w:rPr>
              <w:t>2,393</w:t>
            </w:r>
          </w:p>
        </w:tc>
        <w:tc>
          <w:tcPr>
            <w:tcW w:w="1275" w:type="dxa"/>
          </w:tcPr>
          <w:p w:rsidR="007C5447" w:rsidRDefault="00F6308C">
            <w:pPr>
              <w:pStyle w:val="TableParagraph"/>
              <w:spacing w:before="65"/>
              <w:ind w:right="215"/>
              <w:rPr>
                <w:sz w:val="20"/>
              </w:rPr>
            </w:pPr>
            <w:r>
              <w:rPr>
                <w:w w:val="95"/>
                <w:sz w:val="20"/>
              </w:rPr>
              <w:t>2,393</w:t>
            </w:r>
          </w:p>
        </w:tc>
        <w:tc>
          <w:tcPr>
            <w:tcW w:w="1277" w:type="dxa"/>
          </w:tcPr>
          <w:p w:rsidR="007C5447" w:rsidRDefault="00F6308C">
            <w:pPr>
              <w:pStyle w:val="TableParagraph"/>
              <w:spacing w:before="65"/>
              <w:ind w:right="215"/>
              <w:rPr>
                <w:sz w:val="20"/>
              </w:rPr>
            </w:pPr>
            <w:r>
              <w:rPr>
                <w:w w:val="95"/>
                <w:sz w:val="20"/>
              </w:rPr>
              <w:t>2,393</w:t>
            </w:r>
          </w:p>
        </w:tc>
        <w:tc>
          <w:tcPr>
            <w:tcW w:w="1278" w:type="dxa"/>
          </w:tcPr>
          <w:p w:rsidR="007C5447" w:rsidRDefault="00F6308C">
            <w:pPr>
              <w:pStyle w:val="TableParagraph"/>
              <w:spacing w:before="65"/>
              <w:ind w:right="216"/>
              <w:rPr>
                <w:sz w:val="20"/>
              </w:rPr>
            </w:pPr>
            <w:r>
              <w:rPr>
                <w:w w:val="95"/>
                <w:sz w:val="20"/>
              </w:rPr>
              <w:t>2,393</w:t>
            </w:r>
          </w:p>
        </w:tc>
        <w:tc>
          <w:tcPr>
            <w:tcW w:w="1275" w:type="dxa"/>
          </w:tcPr>
          <w:p w:rsidR="007C5447" w:rsidRDefault="00F6308C">
            <w:pPr>
              <w:pStyle w:val="TableParagraph"/>
              <w:spacing w:before="65"/>
              <w:ind w:right="214"/>
              <w:rPr>
                <w:sz w:val="20"/>
              </w:rPr>
            </w:pPr>
            <w:r>
              <w:rPr>
                <w:w w:val="95"/>
                <w:sz w:val="20"/>
              </w:rPr>
              <w:t>2,393</w:t>
            </w:r>
          </w:p>
        </w:tc>
      </w:tr>
      <w:tr w:rsidR="007C5447">
        <w:trPr>
          <w:trHeight w:val="491"/>
        </w:trPr>
        <w:tc>
          <w:tcPr>
            <w:tcW w:w="434" w:type="dxa"/>
          </w:tcPr>
          <w:p w:rsidR="007C5447" w:rsidRDefault="00F6308C">
            <w:pPr>
              <w:pStyle w:val="TableParagraph"/>
              <w:spacing w:before="130"/>
              <w:ind w:left="6"/>
              <w:jc w:val="center"/>
              <w:rPr>
                <w:sz w:val="20"/>
              </w:rPr>
            </w:pPr>
            <w:r>
              <w:rPr>
                <w:w w:val="99"/>
                <w:sz w:val="20"/>
              </w:rPr>
              <w:t>6</w:t>
            </w:r>
          </w:p>
        </w:tc>
        <w:tc>
          <w:tcPr>
            <w:tcW w:w="2153" w:type="dxa"/>
          </w:tcPr>
          <w:p w:rsidR="007C5447" w:rsidRDefault="00F6308C">
            <w:pPr>
              <w:pStyle w:val="TableParagraph"/>
              <w:spacing w:before="21" w:line="228" w:lineRule="exact"/>
              <w:ind w:left="105" w:right="157"/>
              <w:jc w:val="left"/>
              <w:rPr>
                <w:sz w:val="20"/>
              </w:rPr>
            </w:pPr>
            <w:r>
              <w:rPr>
                <w:sz w:val="20"/>
              </w:rPr>
              <w:t>North Chennai Stage II TPS (Unit 1)</w:t>
            </w:r>
          </w:p>
        </w:tc>
        <w:tc>
          <w:tcPr>
            <w:tcW w:w="1236" w:type="dxa"/>
          </w:tcPr>
          <w:p w:rsidR="007C5447" w:rsidRDefault="00F6308C">
            <w:pPr>
              <w:pStyle w:val="TableParagraph"/>
              <w:spacing w:before="130"/>
              <w:ind w:right="211"/>
              <w:rPr>
                <w:sz w:val="20"/>
              </w:rPr>
            </w:pPr>
            <w:r>
              <w:rPr>
                <w:w w:val="99"/>
                <w:sz w:val="20"/>
              </w:rPr>
              <w:t>-</w:t>
            </w:r>
          </w:p>
        </w:tc>
        <w:tc>
          <w:tcPr>
            <w:tcW w:w="1275" w:type="dxa"/>
          </w:tcPr>
          <w:p w:rsidR="007C5447" w:rsidRDefault="00F6308C">
            <w:pPr>
              <w:pStyle w:val="TableParagraph"/>
              <w:spacing w:before="130"/>
              <w:ind w:right="212"/>
              <w:rPr>
                <w:sz w:val="20"/>
              </w:rPr>
            </w:pPr>
            <w:r>
              <w:rPr>
                <w:w w:val="99"/>
                <w:sz w:val="20"/>
              </w:rPr>
              <w:t>-</w:t>
            </w:r>
          </w:p>
        </w:tc>
        <w:tc>
          <w:tcPr>
            <w:tcW w:w="1277" w:type="dxa"/>
          </w:tcPr>
          <w:p w:rsidR="007C5447" w:rsidRDefault="00F6308C">
            <w:pPr>
              <w:pStyle w:val="TableParagraph"/>
              <w:spacing w:before="130"/>
              <w:ind w:right="214"/>
              <w:rPr>
                <w:sz w:val="20"/>
              </w:rPr>
            </w:pPr>
            <w:r>
              <w:rPr>
                <w:w w:val="95"/>
                <w:sz w:val="20"/>
              </w:rPr>
              <w:t>2,500</w:t>
            </w:r>
          </w:p>
        </w:tc>
        <w:tc>
          <w:tcPr>
            <w:tcW w:w="1278" w:type="dxa"/>
          </w:tcPr>
          <w:p w:rsidR="007C5447" w:rsidRDefault="00F6308C">
            <w:pPr>
              <w:pStyle w:val="TableParagraph"/>
              <w:spacing w:before="130"/>
              <w:ind w:right="216"/>
              <w:rPr>
                <w:sz w:val="20"/>
              </w:rPr>
            </w:pPr>
            <w:r>
              <w:rPr>
                <w:w w:val="95"/>
                <w:sz w:val="20"/>
              </w:rPr>
              <w:t>2,450</w:t>
            </w:r>
          </w:p>
        </w:tc>
        <w:tc>
          <w:tcPr>
            <w:tcW w:w="1275" w:type="dxa"/>
          </w:tcPr>
          <w:p w:rsidR="007C5447" w:rsidRDefault="00F6308C">
            <w:pPr>
              <w:pStyle w:val="TableParagraph"/>
              <w:spacing w:before="130"/>
              <w:ind w:right="214"/>
              <w:rPr>
                <w:sz w:val="20"/>
              </w:rPr>
            </w:pPr>
            <w:r>
              <w:rPr>
                <w:w w:val="95"/>
                <w:sz w:val="20"/>
              </w:rPr>
              <w:t>2,450</w:t>
            </w:r>
          </w:p>
        </w:tc>
      </w:tr>
      <w:tr w:rsidR="007C5447">
        <w:trPr>
          <w:trHeight w:val="489"/>
        </w:trPr>
        <w:tc>
          <w:tcPr>
            <w:tcW w:w="434" w:type="dxa"/>
          </w:tcPr>
          <w:p w:rsidR="007C5447" w:rsidRDefault="00F6308C">
            <w:pPr>
              <w:pStyle w:val="TableParagraph"/>
              <w:spacing w:before="130"/>
              <w:ind w:left="6"/>
              <w:jc w:val="center"/>
              <w:rPr>
                <w:sz w:val="20"/>
              </w:rPr>
            </w:pPr>
            <w:r>
              <w:rPr>
                <w:w w:val="99"/>
                <w:sz w:val="20"/>
              </w:rPr>
              <w:t>7</w:t>
            </w:r>
          </w:p>
        </w:tc>
        <w:tc>
          <w:tcPr>
            <w:tcW w:w="2153" w:type="dxa"/>
          </w:tcPr>
          <w:p w:rsidR="007C5447" w:rsidRDefault="00F6308C">
            <w:pPr>
              <w:pStyle w:val="TableParagraph"/>
              <w:spacing w:before="14" w:line="230" w:lineRule="atLeast"/>
              <w:ind w:left="105" w:right="157"/>
              <w:jc w:val="left"/>
              <w:rPr>
                <w:sz w:val="20"/>
              </w:rPr>
            </w:pPr>
            <w:r>
              <w:rPr>
                <w:sz w:val="20"/>
              </w:rPr>
              <w:t>North Chennai Stage II TPS (Unit 2)</w:t>
            </w:r>
          </w:p>
        </w:tc>
        <w:tc>
          <w:tcPr>
            <w:tcW w:w="1236" w:type="dxa"/>
          </w:tcPr>
          <w:p w:rsidR="007C5447" w:rsidRDefault="00F6308C">
            <w:pPr>
              <w:pStyle w:val="TableParagraph"/>
              <w:spacing w:before="130"/>
              <w:ind w:right="211"/>
              <w:rPr>
                <w:sz w:val="20"/>
              </w:rPr>
            </w:pPr>
            <w:r>
              <w:rPr>
                <w:w w:val="99"/>
                <w:sz w:val="20"/>
              </w:rPr>
              <w:t>-</w:t>
            </w:r>
          </w:p>
        </w:tc>
        <w:tc>
          <w:tcPr>
            <w:tcW w:w="1275" w:type="dxa"/>
          </w:tcPr>
          <w:p w:rsidR="007C5447" w:rsidRDefault="00F6308C">
            <w:pPr>
              <w:pStyle w:val="TableParagraph"/>
              <w:spacing w:before="130"/>
              <w:ind w:right="212"/>
              <w:rPr>
                <w:sz w:val="20"/>
              </w:rPr>
            </w:pPr>
            <w:r>
              <w:rPr>
                <w:w w:val="99"/>
                <w:sz w:val="20"/>
              </w:rPr>
              <w:t>-</w:t>
            </w:r>
          </w:p>
        </w:tc>
        <w:tc>
          <w:tcPr>
            <w:tcW w:w="1277" w:type="dxa"/>
          </w:tcPr>
          <w:p w:rsidR="007C5447" w:rsidRDefault="00F6308C">
            <w:pPr>
              <w:pStyle w:val="TableParagraph"/>
              <w:spacing w:before="130"/>
              <w:ind w:right="215"/>
              <w:rPr>
                <w:sz w:val="20"/>
              </w:rPr>
            </w:pPr>
            <w:r>
              <w:rPr>
                <w:w w:val="95"/>
                <w:sz w:val="20"/>
              </w:rPr>
              <w:t>2,450</w:t>
            </w:r>
          </w:p>
        </w:tc>
        <w:tc>
          <w:tcPr>
            <w:tcW w:w="1278" w:type="dxa"/>
          </w:tcPr>
          <w:p w:rsidR="007C5447" w:rsidRDefault="00F6308C">
            <w:pPr>
              <w:pStyle w:val="TableParagraph"/>
              <w:spacing w:before="130"/>
              <w:ind w:right="216"/>
              <w:rPr>
                <w:sz w:val="20"/>
              </w:rPr>
            </w:pPr>
            <w:r>
              <w:rPr>
                <w:w w:val="95"/>
                <w:sz w:val="20"/>
              </w:rPr>
              <w:t>2,450</w:t>
            </w:r>
          </w:p>
        </w:tc>
        <w:tc>
          <w:tcPr>
            <w:tcW w:w="1275" w:type="dxa"/>
          </w:tcPr>
          <w:p w:rsidR="007C5447" w:rsidRDefault="00F6308C">
            <w:pPr>
              <w:pStyle w:val="TableParagraph"/>
              <w:spacing w:before="130"/>
              <w:ind w:right="214"/>
              <w:rPr>
                <w:sz w:val="20"/>
              </w:rPr>
            </w:pPr>
            <w:r>
              <w:rPr>
                <w:w w:val="95"/>
                <w:sz w:val="20"/>
              </w:rPr>
              <w:t>2,450</w:t>
            </w:r>
          </w:p>
        </w:tc>
      </w:tr>
      <w:tr w:rsidR="007C5447">
        <w:trPr>
          <w:trHeight w:val="359"/>
        </w:trPr>
        <w:tc>
          <w:tcPr>
            <w:tcW w:w="434" w:type="dxa"/>
            <w:shd w:val="clear" w:color="auto" w:fill="D9D9D9"/>
          </w:tcPr>
          <w:p w:rsidR="007C5447" w:rsidRDefault="00F6308C">
            <w:pPr>
              <w:pStyle w:val="TableParagraph"/>
              <w:spacing w:before="65"/>
              <w:ind w:left="6"/>
              <w:jc w:val="center"/>
              <w:rPr>
                <w:b/>
                <w:sz w:val="20"/>
              </w:rPr>
            </w:pPr>
            <w:r>
              <w:rPr>
                <w:b/>
                <w:w w:val="99"/>
                <w:sz w:val="20"/>
              </w:rPr>
              <w:t>B</w:t>
            </w:r>
          </w:p>
        </w:tc>
        <w:tc>
          <w:tcPr>
            <w:tcW w:w="2153" w:type="dxa"/>
            <w:shd w:val="clear" w:color="auto" w:fill="D9D9D9"/>
          </w:tcPr>
          <w:p w:rsidR="007C5447" w:rsidRDefault="00F6308C">
            <w:pPr>
              <w:pStyle w:val="TableParagraph"/>
              <w:spacing w:before="65"/>
              <w:ind w:left="105"/>
              <w:jc w:val="left"/>
              <w:rPr>
                <w:b/>
                <w:sz w:val="20"/>
              </w:rPr>
            </w:pPr>
            <w:r>
              <w:rPr>
                <w:b/>
                <w:sz w:val="20"/>
              </w:rPr>
              <w:t>Gas</w:t>
            </w:r>
          </w:p>
        </w:tc>
        <w:tc>
          <w:tcPr>
            <w:tcW w:w="1236" w:type="dxa"/>
            <w:shd w:val="clear" w:color="auto" w:fill="D9D9D9"/>
          </w:tcPr>
          <w:p w:rsidR="007C5447" w:rsidRDefault="007C5447">
            <w:pPr>
              <w:pStyle w:val="TableParagraph"/>
              <w:jc w:val="left"/>
            </w:pPr>
          </w:p>
        </w:tc>
        <w:tc>
          <w:tcPr>
            <w:tcW w:w="1275" w:type="dxa"/>
            <w:shd w:val="clear" w:color="auto" w:fill="D9D9D9"/>
          </w:tcPr>
          <w:p w:rsidR="007C5447" w:rsidRDefault="007C5447">
            <w:pPr>
              <w:pStyle w:val="TableParagraph"/>
              <w:jc w:val="left"/>
            </w:pPr>
          </w:p>
        </w:tc>
        <w:tc>
          <w:tcPr>
            <w:tcW w:w="1277" w:type="dxa"/>
            <w:shd w:val="clear" w:color="auto" w:fill="D9D9D9"/>
          </w:tcPr>
          <w:p w:rsidR="007C5447" w:rsidRDefault="007C5447">
            <w:pPr>
              <w:pStyle w:val="TableParagraph"/>
              <w:jc w:val="left"/>
            </w:pPr>
          </w:p>
        </w:tc>
        <w:tc>
          <w:tcPr>
            <w:tcW w:w="1278" w:type="dxa"/>
            <w:shd w:val="clear" w:color="auto" w:fill="D9D9D9"/>
          </w:tcPr>
          <w:p w:rsidR="007C5447" w:rsidRDefault="007C5447">
            <w:pPr>
              <w:pStyle w:val="TableParagraph"/>
              <w:jc w:val="left"/>
            </w:pPr>
          </w:p>
        </w:tc>
        <w:tc>
          <w:tcPr>
            <w:tcW w:w="1275" w:type="dxa"/>
            <w:shd w:val="clear" w:color="auto" w:fill="D9D9D9"/>
          </w:tcPr>
          <w:p w:rsidR="007C5447" w:rsidRDefault="007C5447">
            <w:pPr>
              <w:pStyle w:val="TableParagraph"/>
              <w:jc w:val="left"/>
            </w:pPr>
          </w:p>
        </w:tc>
      </w:tr>
      <w:tr w:rsidR="007C5447">
        <w:trPr>
          <w:trHeight w:val="359"/>
        </w:trPr>
        <w:tc>
          <w:tcPr>
            <w:tcW w:w="434" w:type="dxa"/>
          </w:tcPr>
          <w:p w:rsidR="007C5447" w:rsidRDefault="00F6308C">
            <w:pPr>
              <w:pStyle w:val="TableParagraph"/>
              <w:spacing w:before="65"/>
              <w:ind w:left="6"/>
              <w:jc w:val="center"/>
              <w:rPr>
                <w:sz w:val="20"/>
              </w:rPr>
            </w:pPr>
            <w:r>
              <w:rPr>
                <w:w w:val="99"/>
                <w:sz w:val="20"/>
              </w:rPr>
              <w:t>1</w:t>
            </w:r>
          </w:p>
        </w:tc>
        <w:tc>
          <w:tcPr>
            <w:tcW w:w="2153" w:type="dxa"/>
          </w:tcPr>
          <w:p w:rsidR="007C5447" w:rsidRDefault="00F6308C">
            <w:pPr>
              <w:pStyle w:val="TableParagraph"/>
              <w:spacing w:before="65"/>
              <w:ind w:left="105"/>
              <w:jc w:val="left"/>
              <w:rPr>
                <w:sz w:val="20"/>
              </w:rPr>
            </w:pPr>
            <w:r>
              <w:rPr>
                <w:sz w:val="20"/>
              </w:rPr>
              <w:t>Tirumakottai GTPS</w:t>
            </w:r>
          </w:p>
        </w:tc>
        <w:tc>
          <w:tcPr>
            <w:tcW w:w="1236" w:type="dxa"/>
          </w:tcPr>
          <w:p w:rsidR="007C5447" w:rsidRDefault="00F6308C">
            <w:pPr>
              <w:pStyle w:val="TableParagraph"/>
              <w:spacing w:before="65"/>
              <w:ind w:right="214"/>
              <w:rPr>
                <w:sz w:val="20"/>
              </w:rPr>
            </w:pPr>
            <w:r>
              <w:rPr>
                <w:w w:val="95"/>
                <w:sz w:val="20"/>
              </w:rPr>
              <w:t>1,850</w:t>
            </w:r>
          </w:p>
        </w:tc>
        <w:tc>
          <w:tcPr>
            <w:tcW w:w="1275" w:type="dxa"/>
          </w:tcPr>
          <w:p w:rsidR="007C5447" w:rsidRDefault="00F6308C">
            <w:pPr>
              <w:pStyle w:val="TableParagraph"/>
              <w:spacing w:before="65"/>
              <w:ind w:right="215"/>
              <w:rPr>
                <w:sz w:val="20"/>
              </w:rPr>
            </w:pPr>
            <w:r>
              <w:rPr>
                <w:w w:val="95"/>
                <w:sz w:val="20"/>
              </w:rPr>
              <w:t>1,850</w:t>
            </w:r>
          </w:p>
        </w:tc>
        <w:tc>
          <w:tcPr>
            <w:tcW w:w="1277" w:type="dxa"/>
          </w:tcPr>
          <w:p w:rsidR="007C5447" w:rsidRDefault="00F6308C">
            <w:pPr>
              <w:pStyle w:val="TableParagraph"/>
              <w:spacing w:before="65"/>
              <w:ind w:right="215"/>
              <w:rPr>
                <w:sz w:val="20"/>
              </w:rPr>
            </w:pPr>
            <w:r>
              <w:rPr>
                <w:w w:val="95"/>
                <w:sz w:val="20"/>
              </w:rPr>
              <w:t>1,850</w:t>
            </w:r>
          </w:p>
        </w:tc>
        <w:tc>
          <w:tcPr>
            <w:tcW w:w="1278" w:type="dxa"/>
          </w:tcPr>
          <w:p w:rsidR="007C5447" w:rsidRDefault="00F6308C">
            <w:pPr>
              <w:pStyle w:val="TableParagraph"/>
              <w:spacing w:before="65"/>
              <w:ind w:right="216"/>
              <w:rPr>
                <w:sz w:val="20"/>
              </w:rPr>
            </w:pPr>
            <w:r>
              <w:rPr>
                <w:w w:val="95"/>
                <w:sz w:val="20"/>
              </w:rPr>
              <w:t>1,850</w:t>
            </w:r>
          </w:p>
        </w:tc>
        <w:tc>
          <w:tcPr>
            <w:tcW w:w="1275" w:type="dxa"/>
          </w:tcPr>
          <w:p w:rsidR="007C5447" w:rsidRDefault="00F6308C">
            <w:pPr>
              <w:pStyle w:val="TableParagraph"/>
              <w:spacing w:before="65"/>
              <w:ind w:right="214"/>
              <w:rPr>
                <w:sz w:val="20"/>
              </w:rPr>
            </w:pPr>
            <w:r>
              <w:rPr>
                <w:w w:val="95"/>
                <w:sz w:val="20"/>
              </w:rPr>
              <w:t>1,850</w:t>
            </w:r>
          </w:p>
        </w:tc>
      </w:tr>
      <w:tr w:rsidR="007C5447">
        <w:trPr>
          <w:trHeight w:val="359"/>
        </w:trPr>
        <w:tc>
          <w:tcPr>
            <w:tcW w:w="434" w:type="dxa"/>
          </w:tcPr>
          <w:p w:rsidR="007C5447" w:rsidRDefault="00F6308C">
            <w:pPr>
              <w:pStyle w:val="TableParagraph"/>
              <w:spacing w:before="65"/>
              <w:ind w:left="6"/>
              <w:jc w:val="center"/>
              <w:rPr>
                <w:sz w:val="20"/>
              </w:rPr>
            </w:pPr>
            <w:r>
              <w:rPr>
                <w:w w:val="99"/>
                <w:sz w:val="20"/>
              </w:rPr>
              <w:t>2</w:t>
            </w:r>
          </w:p>
        </w:tc>
        <w:tc>
          <w:tcPr>
            <w:tcW w:w="2153" w:type="dxa"/>
          </w:tcPr>
          <w:p w:rsidR="007C5447" w:rsidRDefault="00F6308C">
            <w:pPr>
              <w:pStyle w:val="TableParagraph"/>
              <w:spacing w:before="65"/>
              <w:ind w:left="105"/>
              <w:jc w:val="left"/>
              <w:rPr>
                <w:sz w:val="20"/>
              </w:rPr>
            </w:pPr>
            <w:r>
              <w:rPr>
                <w:sz w:val="20"/>
              </w:rPr>
              <w:t>Kuttalam GTPS</w:t>
            </w:r>
          </w:p>
        </w:tc>
        <w:tc>
          <w:tcPr>
            <w:tcW w:w="1236" w:type="dxa"/>
          </w:tcPr>
          <w:p w:rsidR="007C5447" w:rsidRDefault="00F6308C">
            <w:pPr>
              <w:pStyle w:val="TableParagraph"/>
              <w:spacing w:before="65"/>
              <w:ind w:right="214"/>
              <w:rPr>
                <w:sz w:val="20"/>
              </w:rPr>
            </w:pPr>
            <w:r>
              <w:rPr>
                <w:w w:val="95"/>
                <w:sz w:val="20"/>
              </w:rPr>
              <w:t>1,850</w:t>
            </w:r>
          </w:p>
        </w:tc>
        <w:tc>
          <w:tcPr>
            <w:tcW w:w="1275" w:type="dxa"/>
          </w:tcPr>
          <w:p w:rsidR="007C5447" w:rsidRDefault="00F6308C">
            <w:pPr>
              <w:pStyle w:val="TableParagraph"/>
              <w:spacing w:before="65"/>
              <w:ind w:right="215"/>
              <w:rPr>
                <w:sz w:val="20"/>
              </w:rPr>
            </w:pPr>
            <w:r>
              <w:rPr>
                <w:w w:val="95"/>
                <w:sz w:val="20"/>
              </w:rPr>
              <w:t>1,850</w:t>
            </w:r>
          </w:p>
        </w:tc>
        <w:tc>
          <w:tcPr>
            <w:tcW w:w="1277" w:type="dxa"/>
          </w:tcPr>
          <w:p w:rsidR="007C5447" w:rsidRDefault="00F6308C">
            <w:pPr>
              <w:pStyle w:val="TableParagraph"/>
              <w:spacing w:before="65"/>
              <w:ind w:right="215"/>
              <w:rPr>
                <w:sz w:val="20"/>
              </w:rPr>
            </w:pPr>
            <w:r>
              <w:rPr>
                <w:w w:val="95"/>
                <w:sz w:val="20"/>
              </w:rPr>
              <w:t>1,850</w:t>
            </w:r>
          </w:p>
        </w:tc>
        <w:tc>
          <w:tcPr>
            <w:tcW w:w="1278" w:type="dxa"/>
          </w:tcPr>
          <w:p w:rsidR="007C5447" w:rsidRDefault="00F6308C">
            <w:pPr>
              <w:pStyle w:val="TableParagraph"/>
              <w:spacing w:before="65"/>
              <w:ind w:right="216"/>
              <w:rPr>
                <w:sz w:val="20"/>
              </w:rPr>
            </w:pPr>
            <w:r>
              <w:rPr>
                <w:w w:val="95"/>
                <w:sz w:val="20"/>
              </w:rPr>
              <w:t>1,850</w:t>
            </w:r>
          </w:p>
        </w:tc>
        <w:tc>
          <w:tcPr>
            <w:tcW w:w="1275" w:type="dxa"/>
          </w:tcPr>
          <w:p w:rsidR="007C5447" w:rsidRDefault="00F6308C">
            <w:pPr>
              <w:pStyle w:val="TableParagraph"/>
              <w:spacing w:before="65"/>
              <w:ind w:right="214"/>
              <w:rPr>
                <w:sz w:val="20"/>
              </w:rPr>
            </w:pPr>
            <w:r>
              <w:rPr>
                <w:w w:val="95"/>
                <w:sz w:val="20"/>
              </w:rPr>
              <w:t>1,850</w:t>
            </w:r>
          </w:p>
        </w:tc>
      </w:tr>
      <w:tr w:rsidR="007C5447">
        <w:trPr>
          <w:trHeight w:val="361"/>
        </w:trPr>
        <w:tc>
          <w:tcPr>
            <w:tcW w:w="434" w:type="dxa"/>
          </w:tcPr>
          <w:p w:rsidR="007C5447" w:rsidRDefault="00F6308C">
            <w:pPr>
              <w:pStyle w:val="TableParagraph"/>
              <w:spacing w:before="67"/>
              <w:ind w:left="6"/>
              <w:jc w:val="center"/>
              <w:rPr>
                <w:sz w:val="20"/>
              </w:rPr>
            </w:pPr>
            <w:r>
              <w:rPr>
                <w:w w:val="99"/>
                <w:sz w:val="20"/>
              </w:rPr>
              <w:t>3</w:t>
            </w:r>
          </w:p>
        </w:tc>
        <w:tc>
          <w:tcPr>
            <w:tcW w:w="2153" w:type="dxa"/>
          </w:tcPr>
          <w:p w:rsidR="007C5447" w:rsidRDefault="00F6308C">
            <w:pPr>
              <w:pStyle w:val="TableParagraph"/>
              <w:spacing w:before="67"/>
              <w:ind w:left="105"/>
              <w:jc w:val="left"/>
              <w:rPr>
                <w:sz w:val="20"/>
              </w:rPr>
            </w:pPr>
            <w:r>
              <w:rPr>
                <w:sz w:val="20"/>
              </w:rPr>
              <w:t>Basin Bridge GTPS</w:t>
            </w:r>
          </w:p>
        </w:tc>
        <w:tc>
          <w:tcPr>
            <w:tcW w:w="1236" w:type="dxa"/>
          </w:tcPr>
          <w:p w:rsidR="007C5447" w:rsidRDefault="00F6308C">
            <w:pPr>
              <w:pStyle w:val="TableParagraph"/>
              <w:spacing w:before="67"/>
              <w:ind w:right="214"/>
              <w:rPr>
                <w:sz w:val="20"/>
              </w:rPr>
            </w:pPr>
            <w:r>
              <w:rPr>
                <w:w w:val="95"/>
                <w:sz w:val="20"/>
              </w:rPr>
              <w:t>3,219</w:t>
            </w:r>
          </w:p>
        </w:tc>
        <w:tc>
          <w:tcPr>
            <w:tcW w:w="1275" w:type="dxa"/>
          </w:tcPr>
          <w:p w:rsidR="007C5447" w:rsidRDefault="00F6308C">
            <w:pPr>
              <w:pStyle w:val="TableParagraph"/>
              <w:spacing w:before="67"/>
              <w:ind w:right="215"/>
              <w:rPr>
                <w:sz w:val="20"/>
              </w:rPr>
            </w:pPr>
            <w:r>
              <w:rPr>
                <w:w w:val="95"/>
                <w:sz w:val="20"/>
              </w:rPr>
              <w:t>3,219</w:t>
            </w:r>
          </w:p>
        </w:tc>
        <w:tc>
          <w:tcPr>
            <w:tcW w:w="1277" w:type="dxa"/>
          </w:tcPr>
          <w:p w:rsidR="007C5447" w:rsidRDefault="00F6308C">
            <w:pPr>
              <w:pStyle w:val="TableParagraph"/>
              <w:spacing w:before="67"/>
              <w:ind w:right="215"/>
              <w:rPr>
                <w:sz w:val="20"/>
              </w:rPr>
            </w:pPr>
            <w:r>
              <w:rPr>
                <w:w w:val="95"/>
                <w:sz w:val="20"/>
              </w:rPr>
              <w:t>3,219</w:t>
            </w:r>
          </w:p>
        </w:tc>
        <w:tc>
          <w:tcPr>
            <w:tcW w:w="1278" w:type="dxa"/>
          </w:tcPr>
          <w:p w:rsidR="007C5447" w:rsidRDefault="00F6308C">
            <w:pPr>
              <w:pStyle w:val="TableParagraph"/>
              <w:spacing w:before="67"/>
              <w:ind w:right="216"/>
              <w:rPr>
                <w:sz w:val="20"/>
              </w:rPr>
            </w:pPr>
            <w:r>
              <w:rPr>
                <w:w w:val="95"/>
                <w:sz w:val="20"/>
              </w:rPr>
              <w:t>3,219</w:t>
            </w:r>
          </w:p>
        </w:tc>
        <w:tc>
          <w:tcPr>
            <w:tcW w:w="1275" w:type="dxa"/>
          </w:tcPr>
          <w:p w:rsidR="007C5447" w:rsidRDefault="00F6308C">
            <w:pPr>
              <w:pStyle w:val="TableParagraph"/>
              <w:spacing w:before="67"/>
              <w:ind w:right="214"/>
              <w:rPr>
                <w:sz w:val="20"/>
              </w:rPr>
            </w:pPr>
            <w:r>
              <w:rPr>
                <w:w w:val="95"/>
                <w:sz w:val="20"/>
              </w:rPr>
              <w:t>3,219</w:t>
            </w:r>
          </w:p>
        </w:tc>
      </w:tr>
      <w:tr w:rsidR="007C5447">
        <w:trPr>
          <w:trHeight w:val="359"/>
        </w:trPr>
        <w:tc>
          <w:tcPr>
            <w:tcW w:w="434" w:type="dxa"/>
          </w:tcPr>
          <w:p w:rsidR="007C5447" w:rsidRDefault="00F6308C">
            <w:pPr>
              <w:pStyle w:val="TableParagraph"/>
              <w:spacing w:before="65"/>
              <w:ind w:left="6"/>
              <w:jc w:val="center"/>
              <w:rPr>
                <w:sz w:val="20"/>
              </w:rPr>
            </w:pPr>
            <w:r>
              <w:rPr>
                <w:w w:val="99"/>
                <w:sz w:val="20"/>
              </w:rPr>
              <w:t>4</w:t>
            </w:r>
          </w:p>
        </w:tc>
        <w:tc>
          <w:tcPr>
            <w:tcW w:w="2153" w:type="dxa"/>
          </w:tcPr>
          <w:p w:rsidR="007C5447" w:rsidRDefault="00F6308C">
            <w:pPr>
              <w:pStyle w:val="TableParagraph"/>
              <w:spacing w:before="65"/>
              <w:ind w:left="105"/>
              <w:jc w:val="left"/>
              <w:rPr>
                <w:sz w:val="20"/>
              </w:rPr>
            </w:pPr>
            <w:r>
              <w:rPr>
                <w:sz w:val="20"/>
              </w:rPr>
              <w:t>Valathur GTPS (Unit 1)</w:t>
            </w:r>
          </w:p>
        </w:tc>
        <w:tc>
          <w:tcPr>
            <w:tcW w:w="1236" w:type="dxa"/>
          </w:tcPr>
          <w:p w:rsidR="007C5447" w:rsidRDefault="00F6308C">
            <w:pPr>
              <w:pStyle w:val="TableParagraph"/>
              <w:spacing w:before="65"/>
              <w:ind w:right="214"/>
              <w:rPr>
                <w:sz w:val="20"/>
              </w:rPr>
            </w:pPr>
            <w:r>
              <w:rPr>
                <w:w w:val="95"/>
                <w:sz w:val="20"/>
              </w:rPr>
              <w:t>1,850</w:t>
            </w:r>
          </w:p>
        </w:tc>
        <w:tc>
          <w:tcPr>
            <w:tcW w:w="1275" w:type="dxa"/>
          </w:tcPr>
          <w:p w:rsidR="007C5447" w:rsidRDefault="00F6308C">
            <w:pPr>
              <w:pStyle w:val="TableParagraph"/>
              <w:spacing w:before="65"/>
              <w:ind w:right="215"/>
              <w:rPr>
                <w:sz w:val="20"/>
              </w:rPr>
            </w:pPr>
            <w:r>
              <w:rPr>
                <w:w w:val="95"/>
                <w:sz w:val="20"/>
              </w:rPr>
              <w:t>1,850</w:t>
            </w:r>
          </w:p>
        </w:tc>
        <w:tc>
          <w:tcPr>
            <w:tcW w:w="1277" w:type="dxa"/>
          </w:tcPr>
          <w:p w:rsidR="007C5447" w:rsidRDefault="00F6308C">
            <w:pPr>
              <w:pStyle w:val="TableParagraph"/>
              <w:spacing w:before="65"/>
              <w:ind w:right="215"/>
              <w:rPr>
                <w:sz w:val="20"/>
              </w:rPr>
            </w:pPr>
            <w:r>
              <w:rPr>
                <w:w w:val="95"/>
                <w:sz w:val="20"/>
              </w:rPr>
              <w:t>1,850</w:t>
            </w:r>
          </w:p>
        </w:tc>
        <w:tc>
          <w:tcPr>
            <w:tcW w:w="1278" w:type="dxa"/>
          </w:tcPr>
          <w:p w:rsidR="007C5447" w:rsidRDefault="00F6308C">
            <w:pPr>
              <w:pStyle w:val="TableParagraph"/>
              <w:spacing w:before="65"/>
              <w:ind w:right="216"/>
              <w:rPr>
                <w:sz w:val="20"/>
              </w:rPr>
            </w:pPr>
            <w:r>
              <w:rPr>
                <w:w w:val="95"/>
                <w:sz w:val="20"/>
              </w:rPr>
              <w:t>1,850</w:t>
            </w:r>
          </w:p>
        </w:tc>
        <w:tc>
          <w:tcPr>
            <w:tcW w:w="1275" w:type="dxa"/>
          </w:tcPr>
          <w:p w:rsidR="007C5447" w:rsidRDefault="00F6308C">
            <w:pPr>
              <w:pStyle w:val="TableParagraph"/>
              <w:spacing w:before="65"/>
              <w:ind w:right="214"/>
              <w:rPr>
                <w:sz w:val="20"/>
              </w:rPr>
            </w:pPr>
            <w:r>
              <w:rPr>
                <w:w w:val="95"/>
                <w:sz w:val="20"/>
              </w:rPr>
              <w:t>1,850</w:t>
            </w:r>
          </w:p>
        </w:tc>
      </w:tr>
      <w:tr w:rsidR="007C5447">
        <w:trPr>
          <w:trHeight w:val="360"/>
        </w:trPr>
        <w:tc>
          <w:tcPr>
            <w:tcW w:w="434" w:type="dxa"/>
          </w:tcPr>
          <w:p w:rsidR="007C5447" w:rsidRDefault="00F6308C">
            <w:pPr>
              <w:pStyle w:val="TableParagraph"/>
              <w:spacing w:before="65"/>
              <w:ind w:left="6"/>
              <w:jc w:val="center"/>
              <w:rPr>
                <w:sz w:val="20"/>
              </w:rPr>
            </w:pPr>
            <w:r>
              <w:rPr>
                <w:w w:val="99"/>
                <w:sz w:val="20"/>
              </w:rPr>
              <w:t>5</w:t>
            </w:r>
          </w:p>
        </w:tc>
        <w:tc>
          <w:tcPr>
            <w:tcW w:w="2153" w:type="dxa"/>
          </w:tcPr>
          <w:p w:rsidR="007C5447" w:rsidRDefault="00F6308C">
            <w:pPr>
              <w:pStyle w:val="TableParagraph"/>
              <w:spacing w:before="65"/>
              <w:ind w:left="105"/>
              <w:jc w:val="left"/>
              <w:rPr>
                <w:sz w:val="20"/>
              </w:rPr>
            </w:pPr>
            <w:r>
              <w:rPr>
                <w:sz w:val="20"/>
              </w:rPr>
              <w:t>Valathur GTPS (Unit 2)</w:t>
            </w:r>
          </w:p>
        </w:tc>
        <w:tc>
          <w:tcPr>
            <w:tcW w:w="1236" w:type="dxa"/>
          </w:tcPr>
          <w:p w:rsidR="007C5447" w:rsidRDefault="00F6308C">
            <w:pPr>
              <w:pStyle w:val="TableParagraph"/>
              <w:spacing w:before="65"/>
              <w:ind w:right="214"/>
              <w:rPr>
                <w:sz w:val="20"/>
              </w:rPr>
            </w:pPr>
            <w:r>
              <w:rPr>
                <w:w w:val="95"/>
                <w:sz w:val="20"/>
              </w:rPr>
              <w:t>1,850</w:t>
            </w:r>
          </w:p>
        </w:tc>
        <w:tc>
          <w:tcPr>
            <w:tcW w:w="1275" w:type="dxa"/>
          </w:tcPr>
          <w:p w:rsidR="007C5447" w:rsidRDefault="00F6308C">
            <w:pPr>
              <w:pStyle w:val="TableParagraph"/>
              <w:spacing w:before="65"/>
              <w:ind w:right="215"/>
              <w:rPr>
                <w:sz w:val="20"/>
              </w:rPr>
            </w:pPr>
            <w:r>
              <w:rPr>
                <w:w w:val="95"/>
                <w:sz w:val="20"/>
              </w:rPr>
              <w:t>1,850</w:t>
            </w:r>
          </w:p>
        </w:tc>
        <w:tc>
          <w:tcPr>
            <w:tcW w:w="1277" w:type="dxa"/>
          </w:tcPr>
          <w:p w:rsidR="007C5447" w:rsidRDefault="00F6308C">
            <w:pPr>
              <w:pStyle w:val="TableParagraph"/>
              <w:spacing w:before="65"/>
              <w:ind w:right="215"/>
              <w:rPr>
                <w:sz w:val="20"/>
              </w:rPr>
            </w:pPr>
            <w:r>
              <w:rPr>
                <w:w w:val="95"/>
                <w:sz w:val="20"/>
              </w:rPr>
              <w:t>1,850</w:t>
            </w:r>
          </w:p>
        </w:tc>
        <w:tc>
          <w:tcPr>
            <w:tcW w:w="1278" w:type="dxa"/>
          </w:tcPr>
          <w:p w:rsidR="007C5447" w:rsidRDefault="00F6308C">
            <w:pPr>
              <w:pStyle w:val="TableParagraph"/>
              <w:spacing w:before="65"/>
              <w:ind w:right="216"/>
              <w:rPr>
                <w:sz w:val="20"/>
              </w:rPr>
            </w:pPr>
            <w:r>
              <w:rPr>
                <w:w w:val="95"/>
                <w:sz w:val="20"/>
              </w:rPr>
              <w:t>1,850</w:t>
            </w:r>
          </w:p>
        </w:tc>
        <w:tc>
          <w:tcPr>
            <w:tcW w:w="1275" w:type="dxa"/>
          </w:tcPr>
          <w:p w:rsidR="007C5447" w:rsidRDefault="00F6308C">
            <w:pPr>
              <w:pStyle w:val="TableParagraph"/>
              <w:spacing w:before="65"/>
              <w:ind w:right="214"/>
              <w:rPr>
                <w:sz w:val="20"/>
              </w:rPr>
            </w:pPr>
            <w:r>
              <w:rPr>
                <w:w w:val="95"/>
                <w:sz w:val="20"/>
              </w:rPr>
              <w:t>1,850</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6"/>
        <w:rPr>
          <w:b/>
          <w:sz w:val="22"/>
        </w:rPr>
      </w:pPr>
    </w:p>
    <w:p w:rsidR="007C5447" w:rsidRDefault="00F6308C">
      <w:pPr>
        <w:pStyle w:val="Heading2"/>
        <w:numPr>
          <w:ilvl w:val="2"/>
          <w:numId w:val="92"/>
        </w:numPr>
        <w:tabs>
          <w:tab w:val="left" w:pos="1112"/>
          <w:tab w:val="left" w:pos="1113"/>
        </w:tabs>
        <w:ind w:left="1112" w:hanging="853"/>
      </w:pPr>
      <w:r>
        <w:t>Specific Oil Consumption</w:t>
      </w:r>
      <w:r>
        <w:rPr>
          <w:spacing w:val="-1"/>
        </w:rPr>
        <w:t xml:space="preserve"> </w:t>
      </w:r>
      <w:r>
        <w:t>(SOC)</w:t>
      </w:r>
    </w:p>
    <w:p w:rsidR="007C5447" w:rsidRDefault="007C5447">
      <w:pPr>
        <w:pStyle w:val="BodyText"/>
        <w:spacing w:before="11"/>
        <w:rPr>
          <w:b/>
          <w:sz w:val="27"/>
        </w:rPr>
      </w:pPr>
    </w:p>
    <w:p w:rsidR="007C5447" w:rsidRDefault="00F6308C">
      <w:pPr>
        <w:pStyle w:val="ListParagraph"/>
        <w:numPr>
          <w:ilvl w:val="3"/>
          <w:numId w:val="73"/>
        </w:numPr>
        <w:tabs>
          <w:tab w:val="left" w:pos="1226"/>
        </w:tabs>
        <w:spacing w:line="312" w:lineRule="auto"/>
        <w:ind w:right="287"/>
        <w:jc w:val="both"/>
        <w:rPr>
          <w:sz w:val="24"/>
        </w:rPr>
      </w:pPr>
      <w:r>
        <w:rPr>
          <w:sz w:val="24"/>
        </w:rPr>
        <w:t xml:space="preserve">TANGEDCO submitted that the SOC has been calculated in terms </w:t>
      </w:r>
      <w:r>
        <w:rPr>
          <w:spacing w:val="2"/>
          <w:sz w:val="24"/>
        </w:rPr>
        <w:t xml:space="preserve">of </w:t>
      </w:r>
      <w:r>
        <w:rPr>
          <w:sz w:val="24"/>
        </w:rPr>
        <w:t>percentage of total calorific requirement of the power generating Unit and it has relation with the size of the generating Unit. For the lower size Units, the SOC remains higher as compared to</w:t>
      </w:r>
      <w:r>
        <w:rPr>
          <w:sz w:val="24"/>
        </w:rPr>
        <w:t xml:space="preserve"> larger size power generating Units, because certain amount of SOC remains fixed irrespective of the size of the generating Unit. The station-wise SOC as submitted by TANGEDCO is shown in the Table</w:t>
      </w:r>
      <w:r>
        <w:rPr>
          <w:spacing w:val="-7"/>
          <w:sz w:val="24"/>
        </w:rPr>
        <w:t xml:space="preserve"> </w:t>
      </w:r>
      <w:r>
        <w:rPr>
          <w:sz w:val="24"/>
        </w:rPr>
        <w:t>below:</w:t>
      </w:r>
    </w:p>
    <w:p w:rsidR="007C5447" w:rsidRDefault="007C5447">
      <w:pPr>
        <w:pStyle w:val="BodyText"/>
        <w:spacing w:before="1"/>
        <w:rPr>
          <w:sz w:val="21"/>
        </w:rPr>
      </w:pPr>
    </w:p>
    <w:p w:rsidR="007C5447" w:rsidRDefault="00F6308C">
      <w:pPr>
        <w:ind w:left="674" w:right="706"/>
        <w:jc w:val="center"/>
        <w:rPr>
          <w:b/>
        </w:rPr>
      </w:pPr>
      <w:r>
        <w:rPr>
          <w:b/>
        </w:rPr>
        <w:t>Table 3-57: SOC as submitted by TANGEDCO (ml/kWh)</w:t>
      </w:r>
    </w:p>
    <w:p w:rsidR="007C5447" w:rsidRDefault="007C5447">
      <w:pPr>
        <w:pStyle w:val="BodyText"/>
        <w:spacing w:before="11"/>
        <w:rPr>
          <w:b/>
          <w:sz w:val="16"/>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986"/>
        <w:gridCol w:w="1277"/>
        <w:gridCol w:w="1275"/>
        <w:gridCol w:w="1277"/>
        <w:gridCol w:w="1278"/>
        <w:gridCol w:w="1275"/>
      </w:tblGrid>
      <w:tr w:rsidR="007C5447">
        <w:trPr>
          <w:trHeight w:val="359"/>
        </w:trPr>
        <w:tc>
          <w:tcPr>
            <w:tcW w:w="562" w:type="dxa"/>
            <w:shd w:val="clear" w:color="auto" w:fill="F7C9AC"/>
          </w:tcPr>
          <w:p w:rsidR="007C5447" w:rsidRDefault="00F6308C">
            <w:pPr>
              <w:pStyle w:val="TableParagraph"/>
              <w:spacing w:before="65"/>
              <w:ind w:left="172"/>
              <w:jc w:val="left"/>
              <w:rPr>
                <w:b/>
                <w:sz w:val="20"/>
              </w:rPr>
            </w:pPr>
            <w:r>
              <w:rPr>
                <w:b/>
                <w:sz w:val="20"/>
              </w:rPr>
              <w:t>Sl.</w:t>
            </w:r>
          </w:p>
        </w:tc>
        <w:tc>
          <w:tcPr>
            <w:tcW w:w="1986" w:type="dxa"/>
            <w:shd w:val="clear" w:color="auto" w:fill="F7C9AC"/>
          </w:tcPr>
          <w:p w:rsidR="007C5447" w:rsidRDefault="00F6308C">
            <w:pPr>
              <w:pStyle w:val="TableParagraph"/>
              <w:spacing w:before="65"/>
              <w:ind w:left="665" w:right="658"/>
              <w:jc w:val="center"/>
              <w:rPr>
                <w:b/>
                <w:sz w:val="20"/>
              </w:rPr>
            </w:pPr>
            <w:r>
              <w:rPr>
                <w:b/>
                <w:sz w:val="20"/>
              </w:rPr>
              <w:t>Station</w:t>
            </w:r>
          </w:p>
        </w:tc>
        <w:tc>
          <w:tcPr>
            <w:tcW w:w="1277" w:type="dxa"/>
            <w:shd w:val="clear" w:color="auto" w:fill="F7C9AC"/>
          </w:tcPr>
          <w:p w:rsidR="007C5447" w:rsidRDefault="00F6308C">
            <w:pPr>
              <w:pStyle w:val="TableParagraph"/>
              <w:spacing w:before="65"/>
              <w:ind w:right="133"/>
              <w:rPr>
                <w:b/>
                <w:sz w:val="20"/>
              </w:rPr>
            </w:pPr>
            <w:r>
              <w:rPr>
                <w:b/>
                <w:sz w:val="20"/>
              </w:rPr>
              <w:t>FY 2011-12</w:t>
            </w:r>
          </w:p>
        </w:tc>
        <w:tc>
          <w:tcPr>
            <w:tcW w:w="1275" w:type="dxa"/>
            <w:shd w:val="clear" w:color="auto" w:fill="F7C9AC"/>
          </w:tcPr>
          <w:p w:rsidR="007C5447" w:rsidRDefault="00F6308C">
            <w:pPr>
              <w:pStyle w:val="TableParagraph"/>
              <w:spacing w:before="65"/>
              <w:ind w:right="134"/>
              <w:rPr>
                <w:b/>
                <w:sz w:val="20"/>
              </w:rPr>
            </w:pPr>
            <w:r>
              <w:rPr>
                <w:b/>
                <w:sz w:val="20"/>
              </w:rPr>
              <w:t>FY 2012-13</w:t>
            </w:r>
          </w:p>
        </w:tc>
        <w:tc>
          <w:tcPr>
            <w:tcW w:w="1277" w:type="dxa"/>
            <w:shd w:val="clear" w:color="auto" w:fill="F7C9AC"/>
          </w:tcPr>
          <w:p w:rsidR="007C5447" w:rsidRDefault="00F6308C">
            <w:pPr>
              <w:pStyle w:val="TableParagraph"/>
              <w:spacing w:before="65"/>
              <w:ind w:right="133"/>
              <w:rPr>
                <w:b/>
                <w:sz w:val="20"/>
              </w:rPr>
            </w:pPr>
            <w:r>
              <w:rPr>
                <w:b/>
                <w:sz w:val="20"/>
              </w:rPr>
              <w:t>FY 2013-14</w:t>
            </w:r>
          </w:p>
        </w:tc>
        <w:tc>
          <w:tcPr>
            <w:tcW w:w="1278" w:type="dxa"/>
            <w:shd w:val="clear" w:color="auto" w:fill="F7C9AC"/>
          </w:tcPr>
          <w:p w:rsidR="007C5447" w:rsidRDefault="00F6308C">
            <w:pPr>
              <w:pStyle w:val="TableParagraph"/>
              <w:spacing w:before="65"/>
              <w:ind w:right="135"/>
              <w:rPr>
                <w:b/>
                <w:sz w:val="20"/>
              </w:rPr>
            </w:pPr>
            <w:r>
              <w:rPr>
                <w:b/>
                <w:sz w:val="20"/>
              </w:rPr>
              <w:t>FY 2014-15</w:t>
            </w:r>
          </w:p>
        </w:tc>
        <w:tc>
          <w:tcPr>
            <w:tcW w:w="1275" w:type="dxa"/>
            <w:shd w:val="clear" w:color="auto" w:fill="F7C9AC"/>
          </w:tcPr>
          <w:p w:rsidR="007C5447" w:rsidRDefault="00F6308C">
            <w:pPr>
              <w:pStyle w:val="TableParagraph"/>
              <w:spacing w:before="65"/>
              <w:ind w:right="132"/>
              <w:rPr>
                <w:b/>
                <w:sz w:val="20"/>
              </w:rPr>
            </w:pPr>
            <w:r>
              <w:rPr>
                <w:b/>
                <w:sz w:val="20"/>
              </w:rPr>
              <w:t>FY 2015-16</w:t>
            </w:r>
          </w:p>
        </w:tc>
      </w:tr>
      <w:tr w:rsidR="007C5447">
        <w:trPr>
          <w:trHeight w:val="359"/>
        </w:trPr>
        <w:tc>
          <w:tcPr>
            <w:tcW w:w="562" w:type="dxa"/>
          </w:tcPr>
          <w:p w:rsidR="007C5447" w:rsidRDefault="00F6308C">
            <w:pPr>
              <w:pStyle w:val="TableParagraph"/>
              <w:spacing w:before="65"/>
              <w:ind w:left="230"/>
              <w:jc w:val="left"/>
              <w:rPr>
                <w:sz w:val="20"/>
              </w:rPr>
            </w:pPr>
            <w:r>
              <w:rPr>
                <w:w w:val="99"/>
                <w:sz w:val="20"/>
              </w:rPr>
              <w:t>1</w:t>
            </w:r>
          </w:p>
        </w:tc>
        <w:tc>
          <w:tcPr>
            <w:tcW w:w="1986" w:type="dxa"/>
          </w:tcPr>
          <w:p w:rsidR="007C5447" w:rsidRDefault="00F6308C">
            <w:pPr>
              <w:pStyle w:val="TableParagraph"/>
              <w:spacing w:before="65"/>
              <w:ind w:left="107"/>
              <w:jc w:val="left"/>
              <w:rPr>
                <w:sz w:val="20"/>
              </w:rPr>
            </w:pPr>
            <w:r>
              <w:rPr>
                <w:sz w:val="20"/>
              </w:rPr>
              <w:t>Ennore TPS</w:t>
            </w:r>
          </w:p>
        </w:tc>
        <w:tc>
          <w:tcPr>
            <w:tcW w:w="1277" w:type="dxa"/>
          </w:tcPr>
          <w:p w:rsidR="007C5447" w:rsidRDefault="00F6308C">
            <w:pPr>
              <w:pStyle w:val="TableParagraph"/>
              <w:spacing w:before="65"/>
              <w:ind w:right="99"/>
              <w:rPr>
                <w:sz w:val="20"/>
              </w:rPr>
            </w:pPr>
            <w:r>
              <w:rPr>
                <w:sz w:val="20"/>
              </w:rPr>
              <w:t>10.49</w:t>
            </w:r>
          </w:p>
        </w:tc>
        <w:tc>
          <w:tcPr>
            <w:tcW w:w="1275" w:type="dxa"/>
          </w:tcPr>
          <w:p w:rsidR="007C5447" w:rsidRDefault="00F6308C">
            <w:pPr>
              <w:pStyle w:val="TableParagraph"/>
              <w:spacing w:before="65"/>
              <w:ind w:right="99"/>
              <w:rPr>
                <w:sz w:val="20"/>
              </w:rPr>
            </w:pPr>
            <w:r>
              <w:rPr>
                <w:sz w:val="20"/>
              </w:rPr>
              <w:t>7.85</w:t>
            </w:r>
          </w:p>
        </w:tc>
        <w:tc>
          <w:tcPr>
            <w:tcW w:w="1277" w:type="dxa"/>
          </w:tcPr>
          <w:p w:rsidR="007C5447" w:rsidRDefault="00F6308C">
            <w:pPr>
              <w:pStyle w:val="TableParagraph"/>
              <w:spacing w:before="65"/>
              <w:ind w:right="99"/>
              <w:rPr>
                <w:sz w:val="20"/>
              </w:rPr>
            </w:pPr>
            <w:r>
              <w:rPr>
                <w:sz w:val="20"/>
              </w:rPr>
              <w:t>4.78</w:t>
            </w:r>
          </w:p>
        </w:tc>
        <w:tc>
          <w:tcPr>
            <w:tcW w:w="1278" w:type="dxa"/>
          </w:tcPr>
          <w:p w:rsidR="007C5447" w:rsidRDefault="00F6308C">
            <w:pPr>
              <w:pStyle w:val="TableParagraph"/>
              <w:spacing w:before="65"/>
              <w:ind w:right="100"/>
              <w:rPr>
                <w:sz w:val="20"/>
              </w:rPr>
            </w:pPr>
            <w:r>
              <w:rPr>
                <w:sz w:val="20"/>
              </w:rPr>
              <w:t>10.50</w:t>
            </w:r>
          </w:p>
        </w:tc>
        <w:tc>
          <w:tcPr>
            <w:tcW w:w="1275" w:type="dxa"/>
          </w:tcPr>
          <w:p w:rsidR="007C5447" w:rsidRDefault="00F6308C">
            <w:pPr>
              <w:pStyle w:val="TableParagraph"/>
              <w:spacing w:before="65"/>
              <w:ind w:right="98"/>
              <w:rPr>
                <w:sz w:val="20"/>
              </w:rPr>
            </w:pPr>
            <w:r>
              <w:rPr>
                <w:sz w:val="20"/>
              </w:rPr>
              <w:t>10.10</w:t>
            </w:r>
          </w:p>
        </w:tc>
      </w:tr>
      <w:tr w:rsidR="007C5447">
        <w:trPr>
          <w:trHeight w:val="362"/>
        </w:trPr>
        <w:tc>
          <w:tcPr>
            <w:tcW w:w="562" w:type="dxa"/>
          </w:tcPr>
          <w:p w:rsidR="007C5447" w:rsidRDefault="00F6308C">
            <w:pPr>
              <w:pStyle w:val="TableParagraph"/>
              <w:spacing w:before="65"/>
              <w:ind w:left="230"/>
              <w:jc w:val="left"/>
              <w:rPr>
                <w:sz w:val="20"/>
              </w:rPr>
            </w:pPr>
            <w:r>
              <w:rPr>
                <w:w w:val="99"/>
                <w:sz w:val="20"/>
              </w:rPr>
              <w:t>2</w:t>
            </w:r>
          </w:p>
        </w:tc>
        <w:tc>
          <w:tcPr>
            <w:tcW w:w="1986" w:type="dxa"/>
          </w:tcPr>
          <w:p w:rsidR="007C5447" w:rsidRDefault="00F6308C">
            <w:pPr>
              <w:pStyle w:val="TableParagraph"/>
              <w:spacing w:before="65"/>
              <w:ind w:left="107"/>
              <w:jc w:val="left"/>
              <w:rPr>
                <w:sz w:val="20"/>
              </w:rPr>
            </w:pPr>
            <w:r>
              <w:rPr>
                <w:sz w:val="20"/>
              </w:rPr>
              <w:t>Tuticorin TPS</w:t>
            </w:r>
          </w:p>
        </w:tc>
        <w:tc>
          <w:tcPr>
            <w:tcW w:w="1277" w:type="dxa"/>
          </w:tcPr>
          <w:p w:rsidR="007C5447" w:rsidRDefault="00F6308C">
            <w:pPr>
              <w:pStyle w:val="TableParagraph"/>
              <w:spacing w:before="65"/>
              <w:ind w:right="99"/>
              <w:rPr>
                <w:sz w:val="20"/>
              </w:rPr>
            </w:pPr>
            <w:r>
              <w:rPr>
                <w:sz w:val="20"/>
              </w:rPr>
              <w:t>1.92</w:t>
            </w:r>
          </w:p>
        </w:tc>
        <w:tc>
          <w:tcPr>
            <w:tcW w:w="1275" w:type="dxa"/>
          </w:tcPr>
          <w:p w:rsidR="007C5447" w:rsidRDefault="00F6308C">
            <w:pPr>
              <w:pStyle w:val="TableParagraph"/>
              <w:spacing w:before="65"/>
              <w:ind w:right="99"/>
              <w:rPr>
                <w:sz w:val="20"/>
              </w:rPr>
            </w:pPr>
            <w:r>
              <w:rPr>
                <w:sz w:val="20"/>
              </w:rPr>
              <w:t>0.90</w:t>
            </w:r>
          </w:p>
        </w:tc>
        <w:tc>
          <w:tcPr>
            <w:tcW w:w="1277" w:type="dxa"/>
          </w:tcPr>
          <w:p w:rsidR="007C5447" w:rsidRDefault="00F6308C">
            <w:pPr>
              <w:pStyle w:val="TableParagraph"/>
              <w:spacing w:before="65"/>
              <w:ind w:right="99"/>
              <w:rPr>
                <w:sz w:val="20"/>
              </w:rPr>
            </w:pPr>
            <w:r>
              <w:rPr>
                <w:sz w:val="20"/>
              </w:rPr>
              <w:t>0.76</w:t>
            </w:r>
          </w:p>
        </w:tc>
        <w:tc>
          <w:tcPr>
            <w:tcW w:w="1278" w:type="dxa"/>
          </w:tcPr>
          <w:p w:rsidR="007C5447" w:rsidRDefault="00F6308C">
            <w:pPr>
              <w:pStyle w:val="TableParagraph"/>
              <w:spacing w:before="65"/>
              <w:ind w:right="100"/>
              <w:rPr>
                <w:sz w:val="20"/>
              </w:rPr>
            </w:pPr>
            <w:r>
              <w:rPr>
                <w:sz w:val="20"/>
              </w:rPr>
              <w:t>1.09</w:t>
            </w:r>
          </w:p>
        </w:tc>
        <w:tc>
          <w:tcPr>
            <w:tcW w:w="1275" w:type="dxa"/>
          </w:tcPr>
          <w:p w:rsidR="007C5447" w:rsidRDefault="00F6308C">
            <w:pPr>
              <w:pStyle w:val="TableParagraph"/>
              <w:spacing w:before="65"/>
              <w:ind w:right="98"/>
              <w:rPr>
                <w:sz w:val="20"/>
              </w:rPr>
            </w:pPr>
            <w:r>
              <w:rPr>
                <w:sz w:val="20"/>
              </w:rPr>
              <w:t>0.60</w:t>
            </w:r>
          </w:p>
        </w:tc>
      </w:tr>
      <w:tr w:rsidR="007C5447">
        <w:trPr>
          <w:trHeight w:val="359"/>
        </w:trPr>
        <w:tc>
          <w:tcPr>
            <w:tcW w:w="562" w:type="dxa"/>
          </w:tcPr>
          <w:p w:rsidR="007C5447" w:rsidRDefault="00F6308C">
            <w:pPr>
              <w:pStyle w:val="TableParagraph"/>
              <w:spacing w:before="65"/>
              <w:ind w:left="230"/>
              <w:jc w:val="left"/>
              <w:rPr>
                <w:sz w:val="20"/>
              </w:rPr>
            </w:pPr>
            <w:r>
              <w:rPr>
                <w:w w:val="99"/>
                <w:sz w:val="20"/>
              </w:rPr>
              <w:t>3</w:t>
            </w:r>
          </w:p>
        </w:tc>
        <w:tc>
          <w:tcPr>
            <w:tcW w:w="1986" w:type="dxa"/>
          </w:tcPr>
          <w:p w:rsidR="007C5447" w:rsidRDefault="00F6308C">
            <w:pPr>
              <w:pStyle w:val="TableParagraph"/>
              <w:spacing w:before="65"/>
              <w:ind w:left="107"/>
              <w:jc w:val="left"/>
              <w:rPr>
                <w:sz w:val="20"/>
              </w:rPr>
            </w:pPr>
            <w:r>
              <w:rPr>
                <w:sz w:val="20"/>
              </w:rPr>
              <w:t>Mettur TPS</w:t>
            </w:r>
          </w:p>
        </w:tc>
        <w:tc>
          <w:tcPr>
            <w:tcW w:w="1277" w:type="dxa"/>
          </w:tcPr>
          <w:p w:rsidR="007C5447" w:rsidRDefault="00F6308C">
            <w:pPr>
              <w:pStyle w:val="TableParagraph"/>
              <w:spacing w:before="65"/>
              <w:ind w:right="99"/>
              <w:rPr>
                <w:sz w:val="20"/>
              </w:rPr>
            </w:pPr>
            <w:r>
              <w:rPr>
                <w:sz w:val="20"/>
              </w:rPr>
              <w:t>0.52</w:t>
            </w:r>
          </w:p>
        </w:tc>
        <w:tc>
          <w:tcPr>
            <w:tcW w:w="1275" w:type="dxa"/>
          </w:tcPr>
          <w:p w:rsidR="007C5447" w:rsidRDefault="00F6308C">
            <w:pPr>
              <w:pStyle w:val="TableParagraph"/>
              <w:spacing w:before="65"/>
              <w:ind w:right="99"/>
              <w:rPr>
                <w:sz w:val="20"/>
              </w:rPr>
            </w:pPr>
            <w:r>
              <w:rPr>
                <w:sz w:val="20"/>
              </w:rPr>
              <w:t>0.60</w:t>
            </w:r>
          </w:p>
        </w:tc>
        <w:tc>
          <w:tcPr>
            <w:tcW w:w="1277" w:type="dxa"/>
          </w:tcPr>
          <w:p w:rsidR="007C5447" w:rsidRDefault="00F6308C">
            <w:pPr>
              <w:pStyle w:val="TableParagraph"/>
              <w:spacing w:before="65"/>
              <w:ind w:right="99"/>
              <w:rPr>
                <w:sz w:val="20"/>
              </w:rPr>
            </w:pPr>
            <w:r>
              <w:rPr>
                <w:sz w:val="20"/>
              </w:rPr>
              <w:t>0.44</w:t>
            </w:r>
          </w:p>
        </w:tc>
        <w:tc>
          <w:tcPr>
            <w:tcW w:w="1278" w:type="dxa"/>
          </w:tcPr>
          <w:p w:rsidR="007C5447" w:rsidRDefault="00F6308C">
            <w:pPr>
              <w:pStyle w:val="TableParagraph"/>
              <w:spacing w:before="65"/>
              <w:ind w:right="100"/>
              <w:rPr>
                <w:sz w:val="20"/>
              </w:rPr>
            </w:pPr>
            <w:r>
              <w:rPr>
                <w:sz w:val="20"/>
              </w:rPr>
              <w:t>0.38</w:t>
            </w:r>
          </w:p>
        </w:tc>
        <w:tc>
          <w:tcPr>
            <w:tcW w:w="1275" w:type="dxa"/>
          </w:tcPr>
          <w:p w:rsidR="007C5447" w:rsidRDefault="00F6308C">
            <w:pPr>
              <w:pStyle w:val="TableParagraph"/>
              <w:spacing w:before="65"/>
              <w:ind w:right="98"/>
              <w:rPr>
                <w:sz w:val="20"/>
              </w:rPr>
            </w:pPr>
            <w:r>
              <w:rPr>
                <w:sz w:val="20"/>
              </w:rPr>
              <w:t>0.56</w:t>
            </w:r>
          </w:p>
        </w:tc>
      </w:tr>
      <w:tr w:rsidR="007C5447">
        <w:trPr>
          <w:trHeight w:val="359"/>
        </w:trPr>
        <w:tc>
          <w:tcPr>
            <w:tcW w:w="562" w:type="dxa"/>
          </w:tcPr>
          <w:p w:rsidR="007C5447" w:rsidRDefault="00F6308C">
            <w:pPr>
              <w:pStyle w:val="TableParagraph"/>
              <w:spacing w:before="65"/>
              <w:ind w:left="230"/>
              <w:jc w:val="left"/>
              <w:rPr>
                <w:sz w:val="20"/>
              </w:rPr>
            </w:pPr>
            <w:r>
              <w:rPr>
                <w:w w:val="99"/>
                <w:sz w:val="20"/>
              </w:rPr>
              <w:t>4</w:t>
            </w:r>
          </w:p>
        </w:tc>
        <w:tc>
          <w:tcPr>
            <w:tcW w:w="1986" w:type="dxa"/>
          </w:tcPr>
          <w:p w:rsidR="007C5447" w:rsidRDefault="00F6308C">
            <w:pPr>
              <w:pStyle w:val="TableParagraph"/>
              <w:spacing w:before="65"/>
              <w:ind w:left="107"/>
              <w:jc w:val="left"/>
              <w:rPr>
                <w:sz w:val="20"/>
              </w:rPr>
            </w:pPr>
            <w:r>
              <w:rPr>
                <w:sz w:val="20"/>
              </w:rPr>
              <w:t>Mettur Stage III TPS</w:t>
            </w:r>
          </w:p>
        </w:tc>
        <w:tc>
          <w:tcPr>
            <w:tcW w:w="1277" w:type="dxa"/>
          </w:tcPr>
          <w:p w:rsidR="007C5447" w:rsidRDefault="00F6308C">
            <w:pPr>
              <w:pStyle w:val="TableParagraph"/>
              <w:spacing w:before="65"/>
              <w:ind w:right="95"/>
              <w:rPr>
                <w:sz w:val="20"/>
              </w:rPr>
            </w:pPr>
            <w:r>
              <w:rPr>
                <w:w w:val="99"/>
                <w:sz w:val="20"/>
              </w:rPr>
              <w:t>-</w:t>
            </w:r>
          </w:p>
        </w:tc>
        <w:tc>
          <w:tcPr>
            <w:tcW w:w="1275" w:type="dxa"/>
          </w:tcPr>
          <w:p w:rsidR="007C5447" w:rsidRDefault="00F6308C">
            <w:pPr>
              <w:pStyle w:val="TableParagraph"/>
              <w:spacing w:before="65"/>
              <w:ind w:right="96"/>
              <w:rPr>
                <w:sz w:val="20"/>
              </w:rPr>
            </w:pPr>
            <w:r>
              <w:rPr>
                <w:w w:val="99"/>
                <w:sz w:val="20"/>
              </w:rPr>
              <w:t>-</w:t>
            </w:r>
          </w:p>
        </w:tc>
        <w:tc>
          <w:tcPr>
            <w:tcW w:w="1277" w:type="dxa"/>
          </w:tcPr>
          <w:p w:rsidR="007C5447" w:rsidRDefault="00F6308C">
            <w:pPr>
              <w:pStyle w:val="TableParagraph"/>
              <w:spacing w:before="65"/>
              <w:ind w:right="99"/>
              <w:rPr>
                <w:sz w:val="20"/>
              </w:rPr>
            </w:pPr>
            <w:r>
              <w:rPr>
                <w:sz w:val="20"/>
              </w:rPr>
              <w:t>4.45</w:t>
            </w:r>
          </w:p>
        </w:tc>
        <w:tc>
          <w:tcPr>
            <w:tcW w:w="1278" w:type="dxa"/>
          </w:tcPr>
          <w:p w:rsidR="007C5447" w:rsidRDefault="00F6308C">
            <w:pPr>
              <w:pStyle w:val="TableParagraph"/>
              <w:spacing w:before="65"/>
              <w:ind w:right="100"/>
              <w:rPr>
                <w:sz w:val="20"/>
              </w:rPr>
            </w:pPr>
            <w:r>
              <w:rPr>
                <w:sz w:val="20"/>
              </w:rPr>
              <w:t>1.60</w:t>
            </w:r>
          </w:p>
        </w:tc>
        <w:tc>
          <w:tcPr>
            <w:tcW w:w="1275" w:type="dxa"/>
          </w:tcPr>
          <w:p w:rsidR="007C5447" w:rsidRDefault="00F6308C">
            <w:pPr>
              <w:pStyle w:val="TableParagraph"/>
              <w:spacing w:before="65"/>
              <w:ind w:right="98"/>
              <w:rPr>
                <w:sz w:val="20"/>
              </w:rPr>
            </w:pPr>
            <w:r>
              <w:rPr>
                <w:sz w:val="20"/>
              </w:rPr>
              <w:t>1.04</w:t>
            </w:r>
          </w:p>
        </w:tc>
      </w:tr>
      <w:tr w:rsidR="007C5447">
        <w:trPr>
          <w:trHeight w:val="359"/>
        </w:trPr>
        <w:tc>
          <w:tcPr>
            <w:tcW w:w="562" w:type="dxa"/>
          </w:tcPr>
          <w:p w:rsidR="007C5447" w:rsidRDefault="00F6308C">
            <w:pPr>
              <w:pStyle w:val="TableParagraph"/>
              <w:spacing w:before="65"/>
              <w:ind w:left="230"/>
              <w:jc w:val="left"/>
              <w:rPr>
                <w:sz w:val="20"/>
              </w:rPr>
            </w:pPr>
            <w:r>
              <w:rPr>
                <w:w w:val="99"/>
                <w:sz w:val="20"/>
              </w:rPr>
              <w:t>5</w:t>
            </w:r>
          </w:p>
        </w:tc>
        <w:tc>
          <w:tcPr>
            <w:tcW w:w="1986" w:type="dxa"/>
          </w:tcPr>
          <w:p w:rsidR="007C5447" w:rsidRDefault="00F6308C">
            <w:pPr>
              <w:pStyle w:val="TableParagraph"/>
              <w:spacing w:before="65"/>
              <w:ind w:left="107"/>
              <w:jc w:val="left"/>
              <w:rPr>
                <w:sz w:val="20"/>
              </w:rPr>
            </w:pPr>
            <w:r>
              <w:rPr>
                <w:sz w:val="20"/>
              </w:rPr>
              <w:t>North Chennai TPS</w:t>
            </w:r>
          </w:p>
        </w:tc>
        <w:tc>
          <w:tcPr>
            <w:tcW w:w="1277" w:type="dxa"/>
          </w:tcPr>
          <w:p w:rsidR="007C5447" w:rsidRDefault="00F6308C">
            <w:pPr>
              <w:pStyle w:val="TableParagraph"/>
              <w:spacing w:before="65"/>
              <w:ind w:right="99"/>
              <w:rPr>
                <w:sz w:val="20"/>
              </w:rPr>
            </w:pPr>
            <w:r>
              <w:rPr>
                <w:sz w:val="20"/>
              </w:rPr>
              <w:t>0.62</w:t>
            </w:r>
          </w:p>
        </w:tc>
        <w:tc>
          <w:tcPr>
            <w:tcW w:w="1275" w:type="dxa"/>
          </w:tcPr>
          <w:p w:rsidR="007C5447" w:rsidRDefault="00F6308C">
            <w:pPr>
              <w:pStyle w:val="TableParagraph"/>
              <w:spacing w:before="65"/>
              <w:ind w:right="99"/>
              <w:rPr>
                <w:sz w:val="20"/>
              </w:rPr>
            </w:pPr>
            <w:r>
              <w:rPr>
                <w:sz w:val="20"/>
              </w:rPr>
              <w:t>0.63</w:t>
            </w:r>
          </w:p>
        </w:tc>
        <w:tc>
          <w:tcPr>
            <w:tcW w:w="1277" w:type="dxa"/>
          </w:tcPr>
          <w:p w:rsidR="007C5447" w:rsidRDefault="00F6308C">
            <w:pPr>
              <w:pStyle w:val="TableParagraph"/>
              <w:spacing w:before="65"/>
              <w:ind w:right="99"/>
              <w:rPr>
                <w:sz w:val="20"/>
              </w:rPr>
            </w:pPr>
            <w:r>
              <w:rPr>
                <w:sz w:val="20"/>
              </w:rPr>
              <w:t>2.44</w:t>
            </w:r>
          </w:p>
        </w:tc>
        <w:tc>
          <w:tcPr>
            <w:tcW w:w="1278" w:type="dxa"/>
          </w:tcPr>
          <w:p w:rsidR="007C5447" w:rsidRDefault="00F6308C">
            <w:pPr>
              <w:pStyle w:val="TableParagraph"/>
              <w:spacing w:before="65"/>
              <w:ind w:right="100"/>
              <w:rPr>
                <w:sz w:val="20"/>
              </w:rPr>
            </w:pPr>
            <w:r>
              <w:rPr>
                <w:sz w:val="20"/>
              </w:rPr>
              <w:t>1.50</w:t>
            </w:r>
          </w:p>
        </w:tc>
        <w:tc>
          <w:tcPr>
            <w:tcW w:w="1275" w:type="dxa"/>
          </w:tcPr>
          <w:p w:rsidR="007C5447" w:rsidRDefault="00F6308C">
            <w:pPr>
              <w:pStyle w:val="TableParagraph"/>
              <w:spacing w:before="65"/>
              <w:ind w:right="98"/>
              <w:rPr>
                <w:sz w:val="20"/>
              </w:rPr>
            </w:pPr>
            <w:r>
              <w:rPr>
                <w:sz w:val="20"/>
              </w:rPr>
              <w:t>1.13</w:t>
            </w:r>
          </w:p>
        </w:tc>
      </w:tr>
      <w:tr w:rsidR="007C5447">
        <w:trPr>
          <w:trHeight w:val="491"/>
        </w:trPr>
        <w:tc>
          <w:tcPr>
            <w:tcW w:w="562" w:type="dxa"/>
          </w:tcPr>
          <w:p w:rsidR="007C5447" w:rsidRDefault="00F6308C">
            <w:pPr>
              <w:pStyle w:val="TableParagraph"/>
              <w:spacing w:before="130"/>
              <w:ind w:left="230"/>
              <w:jc w:val="left"/>
              <w:rPr>
                <w:sz w:val="20"/>
              </w:rPr>
            </w:pPr>
            <w:r>
              <w:rPr>
                <w:w w:val="99"/>
                <w:sz w:val="20"/>
              </w:rPr>
              <w:t>6</w:t>
            </w:r>
          </w:p>
        </w:tc>
        <w:tc>
          <w:tcPr>
            <w:tcW w:w="1986" w:type="dxa"/>
          </w:tcPr>
          <w:p w:rsidR="007C5447" w:rsidRDefault="00F6308C">
            <w:pPr>
              <w:pStyle w:val="TableParagraph"/>
              <w:spacing w:before="14" w:line="230" w:lineRule="atLeast"/>
              <w:ind w:left="107" w:right="78"/>
              <w:jc w:val="left"/>
              <w:rPr>
                <w:sz w:val="20"/>
              </w:rPr>
            </w:pPr>
            <w:r>
              <w:rPr>
                <w:sz w:val="20"/>
              </w:rPr>
              <w:t>North Chennai Stage II TPS</w:t>
            </w:r>
          </w:p>
        </w:tc>
        <w:tc>
          <w:tcPr>
            <w:tcW w:w="1277" w:type="dxa"/>
          </w:tcPr>
          <w:p w:rsidR="007C5447" w:rsidRDefault="00F6308C">
            <w:pPr>
              <w:pStyle w:val="TableParagraph"/>
              <w:spacing w:before="130"/>
              <w:ind w:right="95"/>
              <w:rPr>
                <w:sz w:val="20"/>
              </w:rPr>
            </w:pPr>
            <w:r>
              <w:rPr>
                <w:w w:val="99"/>
                <w:sz w:val="20"/>
              </w:rPr>
              <w:t>-</w:t>
            </w:r>
          </w:p>
        </w:tc>
        <w:tc>
          <w:tcPr>
            <w:tcW w:w="1275" w:type="dxa"/>
          </w:tcPr>
          <w:p w:rsidR="007C5447" w:rsidRDefault="00F6308C">
            <w:pPr>
              <w:pStyle w:val="TableParagraph"/>
              <w:spacing w:before="130"/>
              <w:ind w:right="96"/>
              <w:rPr>
                <w:sz w:val="20"/>
              </w:rPr>
            </w:pPr>
            <w:r>
              <w:rPr>
                <w:w w:val="99"/>
                <w:sz w:val="20"/>
              </w:rPr>
              <w:t>-</w:t>
            </w:r>
          </w:p>
        </w:tc>
        <w:tc>
          <w:tcPr>
            <w:tcW w:w="1277" w:type="dxa"/>
          </w:tcPr>
          <w:p w:rsidR="007C5447" w:rsidRDefault="00F6308C">
            <w:pPr>
              <w:pStyle w:val="TableParagraph"/>
              <w:spacing w:before="130"/>
              <w:ind w:right="96"/>
              <w:rPr>
                <w:sz w:val="20"/>
              </w:rPr>
            </w:pPr>
            <w:r>
              <w:rPr>
                <w:w w:val="99"/>
                <w:sz w:val="20"/>
              </w:rPr>
              <w:t>-</w:t>
            </w:r>
          </w:p>
        </w:tc>
        <w:tc>
          <w:tcPr>
            <w:tcW w:w="1278" w:type="dxa"/>
          </w:tcPr>
          <w:p w:rsidR="007C5447" w:rsidRDefault="00F6308C">
            <w:pPr>
              <w:pStyle w:val="TableParagraph"/>
              <w:spacing w:before="130"/>
              <w:ind w:right="100"/>
              <w:rPr>
                <w:sz w:val="20"/>
              </w:rPr>
            </w:pPr>
            <w:r>
              <w:rPr>
                <w:sz w:val="20"/>
              </w:rPr>
              <w:t>1.50</w:t>
            </w:r>
          </w:p>
        </w:tc>
        <w:tc>
          <w:tcPr>
            <w:tcW w:w="1275" w:type="dxa"/>
          </w:tcPr>
          <w:p w:rsidR="007C5447" w:rsidRDefault="00F6308C">
            <w:pPr>
              <w:pStyle w:val="TableParagraph"/>
              <w:spacing w:before="130"/>
              <w:ind w:right="98"/>
              <w:rPr>
                <w:sz w:val="20"/>
              </w:rPr>
            </w:pPr>
            <w:r>
              <w:rPr>
                <w:sz w:val="20"/>
              </w:rPr>
              <w:t>1.79</w:t>
            </w:r>
          </w:p>
        </w:tc>
      </w:tr>
    </w:tbl>
    <w:p w:rsidR="007C5447" w:rsidRDefault="007C5447">
      <w:pPr>
        <w:pStyle w:val="BodyText"/>
        <w:spacing w:before="9"/>
        <w:rPr>
          <w:b/>
          <w:sz w:val="20"/>
        </w:rPr>
      </w:pPr>
    </w:p>
    <w:p w:rsidR="007C5447" w:rsidRDefault="00F6308C">
      <w:pPr>
        <w:pStyle w:val="Heading2"/>
        <w:ind w:left="1112"/>
      </w:pPr>
      <w:r>
        <w:t>Commission’s Views</w:t>
      </w:r>
    </w:p>
    <w:p w:rsidR="007C5447" w:rsidRDefault="007C5447">
      <w:pPr>
        <w:pStyle w:val="BodyText"/>
        <w:rPr>
          <w:b/>
          <w:sz w:val="28"/>
        </w:rPr>
      </w:pPr>
    </w:p>
    <w:p w:rsidR="007C5447" w:rsidRDefault="00F6308C">
      <w:pPr>
        <w:pStyle w:val="ListParagraph"/>
        <w:numPr>
          <w:ilvl w:val="3"/>
          <w:numId w:val="73"/>
        </w:numPr>
        <w:tabs>
          <w:tab w:val="left" w:pos="1226"/>
        </w:tabs>
        <w:spacing w:line="312" w:lineRule="auto"/>
        <w:ind w:right="290"/>
        <w:jc w:val="both"/>
        <w:rPr>
          <w:sz w:val="24"/>
        </w:rPr>
      </w:pPr>
      <w:r>
        <w:rPr>
          <w:sz w:val="24"/>
        </w:rPr>
        <w:t xml:space="preserve">Regulation 37(iv) of the Tariff Regulations specifies the normative SOC for TANGEDCO’s generating plants. In the Suo-Motu Tariff Order, the Commission had considered revised SOC norms based on the performance of the generating Stations. The Commission has </w:t>
      </w:r>
      <w:r>
        <w:rPr>
          <w:sz w:val="24"/>
        </w:rPr>
        <w:t>approved SOC for FY 2011-12 to FY 2015-16 in accordance with the norms considered in the Suo-Motu Tariff Order, as shown in the Table</w:t>
      </w:r>
      <w:r>
        <w:rPr>
          <w:spacing w:val="-10"/>
          <w:sz w:val="24"/>
        </w:rPr>
        <w:t xml:space="preserve"> </w:t>
      </w:r>
      <w:r>
        <w:rPr>
          <w:sz w:val="24"/>
        </w:rPr>
        <w:t>below:</w:t>
      </w:r>
    </w:p>
    <w:p w:rsidR="007C5447" w:rsidRDefault="007C5447">
      <w:pPr>
        <w:spacing w:line="312" w:lineRule="auto"/>
        <w:jc w:val="both"/>
        <w:rPr>
          <w:sz w:val="24"/>
        </w:rPr>
        <w:sectPr w:rsidR="007C5447">
          <w:pgSz w:w="11910" w:h="16840"/>
          <w:pgMar w:top="1420" w:right="840" w:bottom="540" w:left="1180" w:header="0" w:footer="349" w:gutter="0"/>
          <w:cols w:space="720"/>
        </w:sectPr>
      </w:pPr>
    </w:p>
    <w:p w:rsidR="007C5447" w:rsidRDefault="00F6308C">
      <w:pPr>
        <w:spacing w:before="62"/>
        <w:ind w:left="2487"/>
        <w:rPr>
          <w:b/>
        </w:rPr>
      </w:pPr>
      <w:r>
        <w:rPr>
          <w:b/>
        </w:rPr>
        <w:lastRenderedPageBreak/>
        <w:t>Table 3-58: SOC as approved by the Commission (ml/kWh)</w:t>
      </w:r>
    </w:p>
    <w:p w:rsidR="007C5447" w:rsidRDefault="007C5447">
      <w:pPr>
        <w:pStyle w:val="BodyText"/>
        <w:rPr>
          <w:b/>
          <w:sz w:val="17"/>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9"/>
        <w:gridCol w:w="1990"/>
        <w:gridCol w:w="1274"/>
        <w:gridCol w:w="1277"/>
        <w:gridCol w:w="1274"/>
        <w:gridCol w:w="1277"/>
        <w:gridCol w:w="1500"/>
      </w:tblGrid>
      <w:tr w:rsidR="007C5447">
        <w:trPr>
          <w:trHeight w:val="359"/>
        </w:trPr>
        <w:tc>
          <w:tcPr>
            <w:tcW w:w="569" w:type="dxa"/>
            <w:shd w:val="clear" w:color="auto" w:fill="F7C9AC"/>
          </w:tcPr>
          <w:p w:rsidR="007C5447" w:rsidRDefault="00F6308C">
            <w:pPr>
              <w:pStyle w:val="TableParagraph"/>
              <w:spacing w:before="65"/>
              <w:ind w:left="153" w:right="148"/>
              <w:jc w:val="center"/>
              <w:rPr>
                <w:b/>
                <w:sz w:val="20"/>
              </w:rPr>
            </w:pPr>
            <w:r>
              <w:rPr>
                <w:b/>
                <w:sz w:val="20"/>
              </w:rPr>
              <w:t>Sl.</w:t>
            </w:r>
          </w:p>
        </w:tc>
        <w:tc>
          <w:tcPr>
            <w:tcW w:w="1990" w:type="dxa"/>
            <w:shd w:val="clear" w:color="auto" w:fill="F7C9AC"/>
          </w:tcPr>
          <w:p w:rsidR="007C5447" w:rsidRDefault="00F6308C">
            <w:pPr>
              <w:pStyle w:val="TableParagraph"/>
              <w:spacing w:before="65"/>
              <w:ind w:left="665" w:right="662"/>
              <w:jc w:val="center"/>
              <w:rPr>
                <w:b/>
                <w:sz w:val="20"/>
              </w:rPr>
            </w:pPr>
            <w:r>
              <w:rPr>
                <w:b/>
                <w:sz w:val="20"/>
              </w:rPr>
              <w:t>Station</w:t>
            </w:r>
          </w:p>
        </w:tc>
        <w:tc>
          <w:tcPr>
            <w:tcW w:w="1274" w:type="dxa"/>
            <w:shd w:val="clear" w:color="auto" w:fill="F7C9AC"/>
          </w:tcPr>
          <w:p w:rsidR="007C5447" w:rsidRDefault="00F6308C">
            <w:pPr>
              <w:pStyle w:val="TableParagraph"/>
              <w:spacing w:before="65"/>
              <w:ind w:right="129"/>
              <w:rPr>
                <w:b/>
                <w:sz w:val="20"/>
              </w:rPr>
            </w:pPr>
            <w:r>
              <w:rPr>
                <w:b/>
                <w:sz w:val="20"/>
              </w:rPr>
              <w:t>FY 2011-12</w:t>
            </w:r>
          </w:p>
        </w:tc>
        <w:tc>
          <w:tcPr>
            <w:tcW w:w="1277" w:type="dxa"/>
            <w:shd w:val="clear" w:color="auto" w:fill="F7C9AC"/>
          </w:tcPr>
          <w:p w:rsidR="007C5447" w:rsidRDefault="00F6308C">
            <w:pPr>
              <w:pStyle w:val="TableParagraph"/>
              <w:spacing w:before="65"/>
              <w:ind w:right="134"/>
              <w:rPr>
                <w:b/>
                <w:sz w:val="20"/>
              </w:rPr>
            </w:pPr>
            <w:r>
              <w:rPr>
                <w:b/>
                <w:sz w:val="20"/>
              </w:rPr>
              <w:t>FY 2012-13</w:t>
            </w:r>
          </w:p>
        </w:tc>
        <w:tc>
          <w:tcPr>
            <w:tcW w:w="1274" w:type="dxa"/>
            <w:shd w:val="clear" w:color="auto" w:fill="F7C9AC"/>
          </w:tcPr>
          <w:p w:rsidR="007C5447" w:rsidRDefault="00F6308C">
            <w:pPr>
              <w:pStyle w:val="TableParagraph"/>
              <w:spacing w:before="65"/>
              <w:ind w:right="128"/>
              <w:rPr>
                <w:b/>
                <w:sz w:val="20"/>
              </w:rPr>
            </w:pPr>
            <w:r>
              <w:rPr>
                <w:b/>
                <w:sz w:val="20"/>
              </w:rPr>
              <w:t>FY 2013-14</w:t>
            </w:r>
          </w:p>
        </w:tc>
        <w:tc>
          <w:tcPr>
            <w:tcW w:w="1277" w:type="dxa"/>
            <w:shd w:val="clear" w:color="auto" w:fill="F7C9AC"/>
          </w:tcPr>
          <w:p w:rsidR="007C5447" w:rsidRDefault="00F6308C">
            <w:pPr>
              <w:pStyle w:val="TableParagraph"/>
              <w:spacing w:before="65"/>
              <w:ind w:right="131"/>
              <w:rPr>
                <w:b/>
                <w:sz w:val="20"/>
              </w:rPr>
            </w:pPr>
            <w:r>
              <w:rPr>
                <w:b/>
                <w:sz w:val="20"/>
              </w:rPr>
              <w:t>FY 2014-15</w:t>
            </w:r>
          </w:p>
        </w:tc>
        <w:tc>
          <w:tcPr>
            <w:tcW w:w="1500" w:type="dxa"/>
            <w:shd w:val="clear" w:color="auto" w:fill="F7C9AC"/>
          </w:tcPr>
          <w:p w:rsidR="007C5447" w:rsidRDefault="00F6308C">
            <w:pPr>
              <w:pStyle w:val="TableParagraph"/>
              <w:spacing w:before="65"/>
              <w:ind w:left="257"/>
              <w:jc w:val="left"/>
              <w:rPr>
                <w:b/>
                <w:sz w:val="20"/>
              </w:rPr>
            </w:pPr>
            <w:r>
              <w:rPr>
                <w:b/>
                <w:sz w:val="20"/>
              </w:rPr>
              <w:t>FY 2015-16</w:t>
            </w:r>
          </w:p>
        </w:tc>
      </w:tr>
      <w:tr w:rsidR="007C5447">
        <w:trPr>
          <w:trHeight w:val="359"/>
        </w:trPr>
        <w:tc>
          <w:tcPr>
            <w:tcW w:w="569" w:type="dxa"/>
          </w:tcPr>
          <w:p w:rsidR="007C5447" w:rsidRDefault="00F6308C">
            <w:pPr>
              <w:pStyle w:val="TableParagraph"/>
              <w:spacing w:before="65"/>
              <w:ind w:left="5"/>
              <w:jc w:val="center"/>
              <w:rPr>
                <w:sz w:val="20"/>
              </w:rPr>
            </w:pPr>
            <w:r>
              <w:rPr>
                <w:w w:val="99"/>
                <w:sz w:val="20"/>
              </w:rPr>
              <w:t>1</w:t>
            </w:r>
          </w:p>
        </w:tc>
        <w:tc>
          <w:tcPr>
            <w:tcW w:w="1990" w:type="dxa"/>
          </w:tcPr>
          <w:p w:rsidR="007C5447" w:rsidRDefault="00F6308C">
            <w:pPr>
              <w:pStyle w:val="TableParagraph"/>
              <w:spacing w:before="65"/>
              <w:ind w:left="105"/>
              <w:jc w:val="left"/>
              <w:rPr>
                <w:sz w:val="20"/>
              </w:rPr>
            </w:pPr>
            <w:r>
              <w:rPr>
                <w:sz w:val="20"/>
              </w:rPr>
              <w:t>Ennore TPS</w:t>
            </w:r>
          </w:p>
        </w:tc>
        <w:tc>
          <w:tcPr>
            <w:tcW w:w="1274" w:type="dxa"/>
          </w:tcPr>
          <w:p w:rsidR="007C5447" w:rsidRDefault="00F6308C">
            <w:pPr>
              <w:pStyle w:val="TableParagraph"/>
              <w:spacing w:before="65"/>
              <w:ind w:right="95"/>
              <w:rPr>
                <w:sz w:val="20"/>
              </w:rPr>
            </w:pPr>
            <w:r>
              <w:rPr>
                <w:w w:val="95"/>
                <w:sz w:val="20"/>
              </w:rPr>
              <w:t>10.50</w:t>
            </w:r>
          </w:p>
        </w:tc>
        <w:tc>
          <w:tcPr>
            <w:tcW w:w="1277" w:type="dxa"/>
          </w:tcPr>
          <w:p w:rsidR="007C5447" w:rsidRDefault="00F6308C">
            <w:pPr>
              <w:pStyle w:val="TableParagraph"/>
              <w:spacing w:before="65"/>
              <w:ind w:right="100"/>
              <w:rPr>
                <w:sz w:val="20"/>
              </w:rPr>
            </w:pPr>
            <w:r>
              <w:rPr>
                <w:sz w:val="20"/>
              </w:rPr>
              <w:t>7.90</w:t>
            </w:r>
          </w:p>
        </w:tc>
        <w:tc>
          <w:tcPr>
            <w:tcW w:w="1274" w:type="dxa"/>
          </w:tcPr>
          <w:p w:rsidR="007C5447" w:rsidRDefault="00F6308C">
            <w:pPr>
              <w:pStyle w:val="TableParagraph"/>
              <w:spacing w:before="65"/>
              <w:ind w:right="94"/>
              <w:rPr>
                <w:sz w:val="20"/>
              </w:rPr>
            </w:pPr>
            <w:r>
              <w:rPr>
                <w:sz w:val="20"/>
              </w:rPr>
              <w:t>6.03</w:t>
            </w:r>
          </w:p>
        </w:tc>
        <w:tc>
          <w:tcPr>
            <w:tcW w:w="1277" w:type="dxa"/>
          </w:tcPr>
          <w:p w:rsidR="007C5447" w:rsidRDefault="00F6308C">
            <w:pPr>
              <w:pStyle w:val="TableParagraph"/>
              <w:spacing w:before="65"/>
              <w:ind w:right="97"/>
              <w:rPr>
                <w:sz w:val="20"/>
              </w:rPr>
            </w:pPr>
            <w:r>
              <w:rPr>
                <w:w w:val="95"/>
                <w:sz w:val="20"/>
              </w:rPr>
              <w:t>10.10</w:t>
            </w:r>
          </w:p>
        </w:tc>
        <w:tc>
          <w:tcPr>
            <w:tcW w:w="1500" w:type="dxa"/>
          </w:tcPr>
          <w:p w:rsidR="007C5447" w:rsidRDefault="00F6308C">
            <w:pPr>
              <w:pStyle w:val="TableParagraph"/>
              <w:spacing w:before="65"/>
              <w:ind w:right="96"/>
              <w:rPr>
                <w:sz w:val="20"/>
              </w:rPr>
            </w:pPr>
            <w:r>
              <w:rPr>
                <w:w w:val="95"/>
                <w:sz w:val="20"/>
              </w:rPr>
              <w:t>12.00</w:t>
            </w:r>
          </w:p>
        </w:tc>
      </w:tr>
      <w:tr w:rsidR="007C5447">
        <w:trPr>
          <w:trHeight w:val="362"/>
        </w:trPr>
        <w:tc>
          <w:tcPr>
            <w:tcW w:w="569" w:type="dxa"/>
          </w:tcPr>
          <w:p w:rsidR="007C5447" w:rsidRDefault="00F6308C">
            <w:pPr>
              <w:pStyle w:val="TableParagraph"/>
              <w:spacing w:before="65"/>
              <w:ind w:left="5"/>
              <w:jc w:val="center"/>
              <w:rPr>
                <w:sz w:val="20"/>
              </w:rPr>
            </w:pPr>
            <w:r>
              <w:rPr>
                <w:w w:val="99"/>
                <w:sz w:val="20"/>
              </w:rPr>
              <w:t>2</w:t>
            </w:r>
          </w:p>
        </w:tc>
        <w:tc>
          <w:tcPr>
            <w:tcW w:w="1990" w:type="dxa"/>
          </w:tcPr>
          <w:p w:rsidR="007C5447" w:rsidRDefault="00F6308C">
            <w:pPr>
              <w:pStyle w:val="TableParagraph"/>
              <w:spacing w:before="65"/>
              <w:ind w:left="105"/>
              <w:jc w:val="left"/>
              <w:rPr>
                <w:sz w:val="20"/>
              </w:rPr>
            </w:pPr>
            <w:r>
              <w:rPr>
                <w:sz w:val="20"/>
              </w:rPr>
              <w:t>Tuticorin TPS</w:t>
            </w:r>
          </w:p>
        </w:tc>
        <w:tc>
          <w:tcPr>
            <w:tcW w:w="1274" w:type="dxa"/>
          </w:tcPr>
          <w:p w:rsidR="007C5447" w:rsidRDefault="00F6308C">
            <w:pPr>
              <w:pStyle w:val="TableParagraph"/>
              <w:spacing w:before="65"/>
              <w:ind w:right="95"/>
              <w:rPr>
                <w:sz w:val="20"/>
              </w:rPr>
            </w:pPr>
            <w:r>
              <w:rPr>
                <w:sz w:val="20"/>
              </w:rPr>
              <w:t>1.92</w:t>
            </w:r>
          </w:p>
        </w:tc>
        <w:tc>
          <w:tcPr>
            <w:tcW w:w="1277" w:type="dxa"/>
          </w:tcPr>
          <w:p w:rsidR="007C5447" w:rsidRDefault="00F6308C">
            <w:pPr>
              <w:pStyle w:val="TableParagraph"/>
              <w:spacing w:before="65"/>
              <w:ind w:right="100"/>
              <w:rPr>
                <w:sz w:val="20"/>
              </w:rPr>
            </w:pPr>
            <w:r>
              <w:rPr>
                <w:sz w:val="20"/>
              </w:rPr>
              <w:t>0.90</w:t>
            </w:r>
          </w:p>
        </w:tc>
        <w:tc>
          <w:tcPr>
            <w:tcW w:w="1274" w:type="dxa"/>
          </w:tcPr>
          <w:p w:rsidR="007C5447" w:rsidRDefault="00F6308C">
            <w:pPr>
              <w:pStyle w:val="TableParagraph"/>
              <w:spacing w:before="65"/>
              <w:ind w:right="94"/>
              <w:rPr>
                <w:sz w:val="20"/>
              </w:rPr>
            </w:pPr>
            <w:r>
              <w:rPr>
                <w:sz w:val="20"/>
              </w:rPr>
              <w:t>0.71</w:t>
            </w:r>
          </w:p>
        </w:tc>
        <w:tc>
          <w:tcPr>
            <w:tcW w:w="1277" w:type="dxa"/>
          </w:tcPr>
          <w:p w:rsidR="007C5447" w:rsidRDefault="00F6308C">
            <w:pPr>
              <w:pStyle w:val="TableParagraph"/>
              <w:spacing w:before="65"/>
              <w:ind w:right="97"/>
              <w:rPr>
                <w:sz w:val="20"/>
              </w:rPr>
            </w:pPr>
            <w:r>
              <w:rPr>
                <w:sz w:val="20"/>
              </w:rPr>
              <w:t>2.39</w:t>
            </w:r>
          </w:p>
        </w:tc>
        <w:tc>
          <w:tcPr>
            <w:tcW w:w="1500" w:type="dxa"/>
          </w:tcPr>
          <w:p w:rsidR="007C5447" w:rsidRDefault="00F6308C">
            <w:pPr>
              <w:pStyle w:val="TableParagraph"/>
              <w:spacing w:before="65"/>
              <w:ind w:right="96"/>
              <w:rPr>
                <w:sz w:val="20"/>
              </w:rPr>
            </w:pPr>
            <w:r>
              <w:rPr>
                <w:sz w:val="20"/>
              </w:rPr>
              <w:t>2.39</w:t>
            </w:r>
          </w:p>
        </w:tc>
      </w:tr>
      <w:tr w:rsidR="007C5447">
        <w:trPr>
          <w:trHeight w:val="359"/>
        </w:trPr>
        <w:tc>
          <w:tcPr>
            <w:tcW w:w="569" w:type="dxa"/>
          </w:tcPr>
          <w:p w:rsidR="007C5447" w:rsidRDefault="00F6308C">
            <w:pPr>
              <w:pStyle w:val="TableParagraph"/>
              <w:spacing w:before="65"/>
              <w:ind w:left="5"/>
              <w:jc w:val="center"/>
              <w:rPr>
                <w:sz w:val="20"/>
              </w:rPr>
            </w:pPr>
            <w:r>
              <w:rPr>
                <w:w w:val="99"/>
                <w:sz w:val="20"/>
              </w:rPr>
              <w:t>3</w:t>
            </w:r>
          </w:p>
        </w:tc>
        <w:tc>
          <w:tcPr>
            <w:tcW w:w="1990" w:type="dxa"/>
          </w:tcPr>
          <w:p w:rsidR="007C5447" w:rsidRDefault="00F6308C">
            <w:pPr>
              <w:pStyle w:val="TableParagraph"/>
              <w:spacing w:before="65"/>
              <w:ind w:left="105"/>
              <w:jc w:val="left"/>
              <w:rPr>
                <w:sz w:val="20"/>
              </w:rPr>
            </w:pPr>
            <w:r>
              <w:rPr>
                <w:sz w:val="20"/>
              </w:rPr>
              <w:t>Mettur TPS</w:t>
            </w:r>
          </w:p>
        </w:tc>
        <w:tc>
          <w:tcPr>
            <w:tcW w:w="1274" w:type="dxa"/>
          </w:tcPr>
          <w:p w:rsidR="007C5447" w:rsidRDefault="00F6308C">
            <w:pPr>
              <w:pStyle w:val="TableParagraph"/>
              <w:spacing w:before="65"/>
              <w:ind w:right="95"/>
              <w:rPr>
                <w:sz w:val="20"/>
              </w:rPr>
            </w:pPr>
            <w:r>
              <w:rPr>
                <w:sz w:val="20"/>
              </w:rPr>
              <w:t>0.53</w:t>
            </w:r>
          </w:p>
        </w:tc>
        <w:tc>
          <w:tcPr>
            <w:tcW w:w="1277" w:type="dxa"/>
          </w:tcPr>
          <w:p w:rsidR="007C5447" w:rsidRDefault="00F6308C">
            <w:pPr>
              <w:pStyle w:val="TableParagraph"/>
              <w:spacing w:before="65"/>
              <w:ind w:right="100"/>
              <w:rPr>
                <w:sz w:val="20"/>
              </w:rPr>
            </w:pPr>
            <w:r>
              <w:rPr>
                <w:sz w:val="20"/>
              </w:rPr>
              <w:t>0.60</w:t>
            </w:r>
          </w:p>
        </w:tc>
        <w:tc>
          <w:tcPr>
            <w:tcW w:w="1274" w:type="dxa"/>
          </w:tcPr>
          <w:p w:rsidR="007C5447" w:rsidRDefault="00F6308C">
            <w:pPr>
              <w:pStyle w:val="TableParagraph"/>
              <w:spacing w:before="65"/>
              <w:ind w:right="94"/>
              <w:rPr>
                <w:sz w:val="20"/>
              </w:rPr>
            </w:pPr>
            <w:r>
              <w:rPr>
                <w:sz w:val="20"/>
              </w:rPr>
              <w:t>0.51</w:t>
            </w:r>
          </w:p>
        </w:tc>
        <w:tc>
          <w:tcPr>
            <w:tcW w:w="1277" w:type="dxa"/>
          </w:tcPr>
          <w:p w:rsidR="007C5447" w:rsidRDefault="00F6308C">
            <w:pPr>
              <w:pStyle w:val="TableParagraph"/>
              <w:spacing w:before="65"/>
              <w:ind w:right="97"/>
              <w:rPr>
                <w:sz w:val="20"/>
              </w:rPr>
            </w:pPr>
            <w:r>
              <w:rPr>
                <w:sz w:val="20"/>
              </w:rPr>
              <w:t>1.40</w:t>
            </w:r>
          </w:p>
        </w:tc>
        <w:tc>
          <w:tcPr>
            <w:tcW w:w="1500" w:type="dxa"/>
          </w:tcPr>
          <w:p w:rsidR="007C5447" w:rsidRDefault="00F6308C">
            <w:pPr>
              <w:pStyle w:val="TableParagraph"/>
              <w:spacing w:before="65"/>
              <w:ind w:right="96"/>
              <w:rPr>
                <w:sz w:val="20"/>
              </w:rPr>
            </w:pPr>
            <w:r>
              <w:rPr>
                <w:sz w:val="20"/>
              </w:rPr>
              <w:t>1.40</w:t>
            </w:r>
          </w:p>
        </w:tc>
      </w:tr>
      <w:tr w:rsidR="007C5447">
        <w:trPr>
          <w:trHeight w:val="359"/>
        </w:trPr>
        <w:tc>
          <w:tcPr>
            <w:tcW w:w="569" w:type="dxa"/>
          </w:tcPr>
          <w:p w:rsidR="007C5447" w:rsidRDefault="00F6308C">
            <w:pPr>
              <w:pStyle w:val="TableParagraph"/>
              <w:spacing w:before="65"/>
              <w:ind w:left="5"/>
              <w:jc w:val="center"/>
              <w:rPr>
                <w:sz w:val="20"/>
              </w:rPr>
            </w:pPr>
            <w:r>
              <w:rPr>
                <w:w w:val="99"/>
                <w:sz w:val="20"/>
              </w:rPr>
              <w:t>4</w:t>
            </w:r>
          </w:p>
        </w:tc>
        <w:tc>
          <w:tcPr>
            <w:tcW w:w="1990" w:type="dxa"/>
          </w:tcPr>
          <w:p w:rsidR="007C5447" w:rsidRDefault="00F6308C">
            <w:pPr>
              <w:pStyle w:val="TableParagraph"/>
              <w:spacing w:before="65"/>
              <w:ind w:left="105"/>
              <w:jc w:val="left"/>
              <w:rPr>
                <w:sz w:val="20"/>
              </w:rPr>
            </w:pPr>
            <w:r>
              <w:rPr>
                <w:sz w:val="20"/>
              </w:rPr>
              <w:t>Mettur Stage III TPS</w:t>
            </w:r>
          </w:p>
        </w:tc>
        <w:tc>
          <w:tcPr>
            <w:tcW w:w="1274" w:type="dxa"/>
          </w:tcPr>
          <w:p w:rsidR="007C5447" w:rsidRDefault="007C5447">
            <w:pPr>
              <w:pStyle w:val="TableParagraph"/>
              <w:jc w:val="left"/>
              <w:rPr>
                <w:sz w:val="20"/>
              </w:rPr>
            </w:pPr>
          </w:p>
        </w:tc>
        <w:tc>
          <w:tcPr>
            <w:tcW w:w="1277" w:type="dxa"/>
          </w:tcPr>
          <w:p w:rsidR="007C5447" w:rsidRDefault="007C5447">
            <w:pPr>
              <w:pStyle w:val="TableParagraph"/>
              <w:jc w:val="left"/>
              <w:rPr>
                <w:sz w:val="20"/>
              </w:rPr>
            </w:pPr>
          </w:p>
        </w:tc>
        <w:tc>
          <w:tcPr>
            <w:tcW w:w="1274" w:type="dxa"/>
          </w:tcPr>
          <w:p w:rsidR="007C5447" w:rsidRDefault="00F6308C">
            <w:pPr>
              <w:pStyle w:val="TableParagraph"/>
              <w:spacing w:before="65"/>
              <w:ind w:right="94"/>
              <w:rPr>
                <w:sz w:val="20"/>
              </w:rPr>
            </w:pPr>
            <w:r>
              <w:rPr>
                <w:sz w:val="20"/>
              </w:rPr>
              <w:t>1.40</w:t>
            </w:r>
          </w:p>
        </w:tc>
        <w:tc>
          <w:tcPr>
            <w:tcW w:w="1277" w:type="dxa"/>
          </w:tcPr>
          <w:p w:rsidR="007C5447" w:rsidRDefault="00F6308C">
            <w:pPr>
              <w:pStyle w:val="TableParagraph"/>
              <w:spacing w:before="65"/>
              <w:ind w:right="97"/>
              <w:rPr>
                <w:sz w:val="20"/>
              </w:rPr>
            </w:pPr>
            <w:r>
              <w:rPr>
                <w:sz w:val="20"/>
              </w:rPr>
              <w:t>1.47</w:t>
            </w:r>
          </w:p>
        </w:tc>
        <w:tc>
          <w:tcPr>
            <w:tcW w:w="1500" w:type="dxa"/>
          </w:tcPr>
          <w:p w:rsidR="007C5447" w:rsidRDefault="00F6308C">
            <w:pPr>
              <w:pStyle w:val="TableParagraph"/>
              <w:spacing w:before="65"/>
              <w:ind w:right="96"/>
              <w:rPr>
                <w:sz w:val="20"/>
              </w:rPr>
            </w:pPr>
            <w:r>
              <w:rPr>
                <w:sz w:val="20"/>
              </w:rPr>
              <w:t>1.47</w:t>
            </w:r>
          </w:p>
        </w:tc>
      </w:tr>
      <w:tr w:rsidR="007C5447">
        <w:trPr>
          <w:trHeight w:val="359"/>
        </w:trPr>
        <w:tc>
          <w:tcPr>
            <w:tcW w:w="569" w:type="dxa"/>
          </w:tcPr>
          <w:p w:rsidR="007C5447" w:rsidRDefault="00F6308C">
            <w:pPr>
              <w:pStyle w:val="TableParagraph"/>
              <w:spacing w:before="65"/>
              <w:ind w:left="5"/>
              <w:jc w:val="center"/>
              <w:rPr>
                <w:sz w:val="20"/>
              </w:rPr>
            </w:pPr>
            <w:r>
              <w:rPr>
                <w:w w:val="99"/>
                <w:sz w:val="20"/>
              </w:rPr>
              <w:t>5</w:t>
            </w:r>
          </w:p>
        </w:tc>
        <w:tc>
          <w:tcPr>
            <w:tcW w:w="1990" w:type="dxa"/>
          </w:tcPr>
          <w:p w:rsidR="007C5447" w:rsidRDefault="00F6308C">
            <w:pPr>
              <w:pStyle w:val="TableParagraph"/>
              <w:spacing w:before="65"/>
              <w:ind w:left="105"/>
              <w:jc w:val="left"/>
              <w:rPr>
                <w:sz w:val="20"/>
              </w:rPr>
            </w:pPr>
            <w:r>
              <w:rPr>
                <w:sz w:val="20"/>
              </w:rPr>
              <w:t>North Chennai TPS</w:t>
            </w:r>
          </w:p>
        </w:tc>
        <w:tc>
          <w:tcPr>
            <w:tcW w:w="1274" w:type="dxa"/>
          </w:tcPr>
          <w:p w:rsidR="007C5447" w:rsidRDefault="00F6308C">
            <w:pPr>
              <w:pStyle w:val="TableParagraph"/>
              <w:spacing w:before="65"/>
              <w:ind w:right="95"/>
              <w:rPr>
                <w:sz w:val="20"/>
              </w:rPr>
            </w:pPr>
            <w:r>
              <w:rPr>
                <w:sz w:val="20"/>
              </w:rPr>
              <w:t>0.62</w:t>
            </w:r>
          </w:p>
        </w:tc>
        <w:tc>
          <w:tcPr>
            <w:tcW w:w="1277" w:type="dxa"/>
          </w:tcPr>
          <w:p w:rsidR="007C5447" w:rsidRDefault="00F6308C">
            <w:pPr>
              <w:pStyle w:val="TableParagraph"/>
              <w:spacing w:before="65"/>
              <w:ind w:right="100"/>
              <w:rPr>
                <w:sz w:val="20"/>
              </w:rPr>
            </w:pPr>
            <w:r>
              <w:rPr>
                <w:sz w:val="20"/>
              </w:rPr>
              <w:t>0.51</w:t>
            </w:r>
          </w:p>
        </w:tc>
        <w:tc>
          <w:tcPr>
            <w:tcW w:w="1274" w:type="dxa"/>
          </w:tcPr>
          <w:p w:rsidR="007C5447" w:rsidRDefault="00F6308C">
            <w:pPr>
              <w:pStyle w:val="TableParagraph"/>
              <w:spacing w:before="65"/>
              <w:ind w:right="94"/>
              <w:rPr>
                <w:sz w:val="20"/>
              </w:rPr>
            </w:pPr>
            <w:r>
              <w:rPr>
                <w:sz w:val="20"/>
              </w:rPr>
              <w:t>1.87</w:t>
            </w:r>
          </w:p>
        </w:tc>
        <w:tc>
          <w:tcPr>
            <w:tcW w:w="1277" w:type="dxa"/>
          </w:tcPr>
          <w:p w:rsidR="007C5447" w:rsidRDefault="00F6308C">
            <w:pPr>
              <w:pStyle w:val="TableParagraph"/>
              <w:spacing w:before="65"/>
              <w:ind w:right="97"/>
              <w:rPr>
                <w:sz w:val="20"/>
              </w:rPr>
            </w:pPr>
            <w:r>
              <w:rPr>
                <w:sz w:val="20"/>
              </w:rPr>
              <w:t>1.76</w:t>
            </w:r>
          </w:p>
        </w:tc>
        <w:tc>
          <w:tcPr>
            <w:tcW w:w="1500" w:type="dxa"/>
          </w:tcPr>
          <w:p w:rsidR="007C5447" w:rsidRDefault="00F6308C">
            <w:pPr>
              <w:pStyle w:val="TableParagraph"/>
              <w:spacing w:before="65"/>
              <w:ind w:right="96"/>
              <w:rPr>
                <w:sz w:val="20"/>
              </w:rPr>
            </w:pPr>
            <w:r>
              <w:rPr>
                <w:sz w:val="20"/>
              </w:rPr>
              <w:t>1.76</w:t>
            </w:r>
          </w:p>
        </w:tc>
      </w:tr>
      <w:tr w:rsidR="007C5447">
        <w:trPr>
          <w:trHeight w:val="489"/>
        </w:trPr>
        <w:tc>
          <w:tcPr>
            <w:tcW w:w="569" w:type="dxa"/>
          </w:tcPr>
          <w:p w:rsidR="007C5447" w:rsidRDefault="00F6308C">
            <w:pPr>
              <w:pStyle w:val="TableParagraph"/>
              <w:spacing w:before="130"/>
              <w:ind w:left="5"/>
              <w:jc w:val="center"/>
              <w:rPr>
                <w:sz w:val="20"/>
              </w:rPr>
            </w:pPr>
            <w:r>
              <w:rPr>
                <w:w w:val="99"/>
                <w:sz w:val="20"/>
              </w:rPr>
              <w:t>6</w:t>
            </w:r>
          </w:p>
        </w:tc>
        <w:tc>
          <w:tcPr>
            <w:tcW w:w="1990" w:type="dxa"/>
          </w:tcPr>
          <w:p w:rsidR="007C5447" w:rsidRDefault="00F6308C">
            <w:pPr>
              <w:pStyle w:val="TableParagraph"/>
              <w:spacing w:before="14" w:line="230" w:lineRule="atLeast"/>
              <w:ind w:left="105" w:right="84"/>
              <w:jc w:val="left"/>
              <w:rPr>
                <w:sz w:val="20"/>
              </w:rPr>
            </w:pPr>
            <w:r>
              <w:rPr>
                <w:sz w:val="20"/>
              </w:rPr>
              <w:t>North Chennai Stage II TPS (Unit 1)</w:t>
            </w:r>
          </w:p>
        </w:tc>
        <w:tc>
          <w:tcPr>
            <w:tcW w:w="1274" w:type="dxa"/>
          </w:tcPr>
          <w:p w:rsidR="007C5447" w:rsidRDefault="007C5447">
            <w:pPr>
              <w:pStyle w:val="TableParagraph"/>
              <w:jc w:val="left"/>
              <w:rPr>
                <w:sz w:val="20"/>
              </w:rPr>
            </w:pPr>
          </w:p>
        </w:tc>
        <w:tc>
          <w:tcPr>
            <w:tcW w:w="1277" w:type="dxa"/>
          </w:tcPr>
          <w:p w:rsidR="007C5447" w:rsidRDefault="007C5447">
            <w:pPr>
              <w:pStyle w:val="TableParagraph"/>
              <w:jc w:val="left"/>
              <w:rPr>
                <w:sz w:val="20"/>
              </w:rPr>
            </w:pPr>
          </w:p>
        </w:tc>
        <w:tc>
          <w:tcPr>
            <w:tcW w:w="1274" w:type="dxa"/>
          </w:tcPr>
          <w:p w:rsidR="007C5447" w:rsidRDefault="00F6308C">
            <w:pPr>
              <w:pStyle w:val="TableParagraph"/>
              <w:spacing w:before="130"/>
              <w:ind w:right="94"/>
              <w:rPr>
                <w:sz w:val="20"/>
              </w:rPr>
            </w:pPr>
            <w:r>
              <w:rPr>
                <w:sz w:val="20"/>
              </w:rPr>
              <w:t>1.76</w:t>
            </w:r>
          </w:p>
        </w:tc>
        <w:tc>
          <w:tcPr>
            <w:tcW w:w="1277" w:type="dxa"/>
          </w:tcPr>
          <w:p w:rsidR="007C5447" w:rsidRDefault="00F6308C">
            <w:pPr>
              <w:pStyle w:val="TableParagraph"/>
              <w:spacing w:before="130"/>
              <w:ind w:right="97"/>
              <w:rPr>
                <w:sz w:val="20"/>
              </w:rPr>
            </w:pPr>
            <w:r>
              <w:rPr>
                <w:sz w:val="20"/>
              </w:rPr>
              <w:t>1.84</w:t>
            </w:r>
          </w:p>
        </w:tc>
        <w:tc>
          <w:tcPr>
            <w:tcW w:w="1500" w:type="dxa"/>
          </w:tcPr>
          <w:p w:rsidR="007C5447" w:rsidRDefault="00F6308C">
            <w:pPr>
              <w:pStyle w:val="TableParagraph"/>
              <w:spacing w:before="130"/>
              <w:ind w:right="96"/>
              <w:rPr>
                <w:sz w:val="20"/>
              </w:rPr>
            </w:pPr>
            <w:r>
              <w:rPr>
                <w:sz w:val="20"/>
              </w:rPr>
              <w:t>1.84</w:t>
            </w:r>
          </w:p>
        </w:tc>
      </w:tr>
      <w:tr w:rsidR="007C5447">
        <w:trPr>
          <w:trHeight w:val="491"/>
        </w:trPr>
        <w:tc>
          <w:tcPr>
            <w:tcW w:w="569" w:type="dxa"/>
          </w:tcPr>
          <w:p w:rsidR="007C5447" w:rsidRDefault="00F6308C">
            <w:pPr>
              <w:pStyle w:val="TableParagraph"/>
              <w:spacing w:before="132"/>
              <w:ind w:left="5"/>
              <w:jc w:val="center"/>
              <w:rPr>
                <w:sz w:val="20"/>
              </w:rPr>
            </w:pPr>
            <w:r>
              <w:rPr>
                <w:w w:val="99"/>
                <w:sz w:val="20"/>
              </w:rPr>
              <w:t>7</w:t>
            </w:r>
          </w:p>
        </w:tc>
        <w:tc>
          <w:tcPr>
            <w:tcW w:w="1990" w:type="dxa"/>
          </w:tcPr>
          <w:p w:rsidR="007C5447" w:rsidRDefault="00F6308C">
            <w:pPr>
              <w:pStyle w:val="TableParagraph"/>
              <w:spacing w:before="21" w:line="228" w:lineRule="exact"/>
              <w:ind w:left="105" w:right="84"/>
              <w:jc w:val="left"/>
              <w:rPr>
                <w:sz w:val="20"/>
              </w:rPr>
            </w:pPr>
            <w:r>
              <w:rPr>
                <w:sz w:val="20"/>
              </w:rPr>
              <w:t>North Chennai Stage II TPS (Unit 2)</w:t>
            </w:r>
          </w:p>
        </w:tc>
        <w:tc>
          <w:tcPr>
            <w:tcW w:w="1274" w:type="dxa"/>
          </w:tcPr>
          <w:p w:rsidR="007C5447" w:rsidRDefault="007C5447">
            <w:pPr>
              <w:pStyle w:val="TableParagraph"/>
              <w:jc w:val="left"/>
              <w:rPr>
                <w:sz w:val="20"/>
              </w:rPr>
            </w:pPr>
          </w:p>
        </w:tc>
        <w:tc>
          <w:tcPr>
            <w:tcW w:w="1277" w:type="dxa"/>
          </w:tcPr>
          <w:p w:rsidR="007C5447" w:rsidRDefault="007C5447">
            <w:pPr>
              <w:pStyle w:val="TableParagraph"/>
              <w:jc w:val="left"/>
              <w:rPr>
                <w:sz w:val="20"/>
              </w:rPr>
            </w:pPr>
          </w:p>
        </w:tc>
        <w:tc>
          <w:tcPr>
            <w:tcW w:w="1274" w:type="dxa"/>
          </w:tcPr>
          <w:p w:rsidR="007C5447" w:rsidRDefault="00F6308C">
            <w:pPr>
              <w:pStyle w:val="TableParagraph"/>
              <w:spacing w:before="132"/>
              <w:ind w:right="91"/>
              <w:rPr>
                <w:sz w:val="20"/>
              </w:rPr>
            </w:pPr>
            <w:r>
              <w:rPr>
                <w:w w:val="99"/>
                <w:sz w:val="20"/>
              </w:rPr>
              <w:t>-</w:t>
            </w:r>
          </w:p>
        </w:tc>
        <w:tc>
          <w:tcPr>
            <w:tcW w:w="1277" w:type="dxa"/>
          </w:tcPr>
          <w:p w:rsidR="007C5447" w:rsidRDefault="00F6308C">
            <w:pPr>
              <w:pStyle w:val="TableParagraph"/>
              <w:spacing w:before="132"/>
              <w:ind w:right="97"/>
              <w:rPr>
                <w:sz w:val="20"/>
              </w:rPr>
            </w:pPr>
            <w:r>
              <w:rPr>
                <w:sz w:val="20"/>
              </w:rPr>
              <w:t>1.84</w:t>
            </w:r>
          </w:p>
        </w:tc>
        <w:tc>
          <w:tcPr>
            <w:tcW w:w="1500" w:type="dxa"/>
          </w:tcPr>
          <w:p w:rsidR="007C5447" w:rsidRDefault="00F6308C">
            <w:pPr>
              <w:pStyle w:val="TableParagraph"/>
              <w:spacing w:before="132"/>
              <w:ind w:right="96"/>
              <w:rPr>
                <w:sz w:val="20"/>
              </w:rPr>
            </w:pPr>
            <w:r>
              <w:rPr>
                <w:sz w:val="20"/>
              </w:rPr>
              <w:t>1.84</w:t>
            </w:r>
          </w:p>
        </w:tc>
      </w:tr>
    </w:tbl>
    <w:p w:rsidR="007C5447" w:rsidRDefault="007C5447">
      <w:pPr>
        <w:pStyle w:val="BodyText"/>
        <w:rPr>
          <w:b/>
        </w:rPr>
      </w:pPr>
    </w:p>
    <w:p w:rsidR="007C5447" w:rsidRDefault="00F6308C">
      <w:pPr>
        <w:pStyle w:val="Heading2"/>
        <w:numPr>
          <w:ilvl w:val="2"/>
          <w:numId w:val="92"/>
        </w:numPr>
        <w:tabs>
          <w:tab w:val="left" w:pos="1113"/>
        </w:tabs>
        <w:spacing w:before="201"/>
        <w:ind w:left="1112" w:hanging="853"/>
      </w:pPr>
      <w:r>
        <w:t>Fuel Related</w:t>
      </w:r>
      <w:r>
        <w:rPr>
          <w:spacing w:val="1"/>
        </w:rPr>
        <w:t xml:space="preserve"> </w:t>
      </w:r>
      <w:r>
        <w:t>Parameters</w:t>
      </w:r>
    </w:p>
    <w:p w:rsidR="007C5447" w:rsidRDefault="007C5447">
      <w:pPr>
        <w:pStyle w:val="BodyText"/>
        <w:spacing w:before="2"/>
        <w:rPr>
          <w:b/>
          <w:sz w:val="28"/>
        </w:rPr>
      </w:pPr>
    </w:p>
    <w:p w:rsidR="007C5447" w:rsidRDefault="00F6308C">
      <w:pPr>
        <w:pStyle w:val="ListParagraph"/>
        <w:numPr>
          <w:ilvl w:val="3"/>
          <w:numId w:val="72"/>
        </w:numPr>
        <w:tabs>
          <w:tab w:val="left" w:pos="1226"/>
        </w:tabs>
        <w:spacing w:line="312" w:lineRule="auto"/>
        <w:ind w:right="297"/>
        <w:rPr>
          <w:sz w:val="24"/>
        </w:rPr>
      </w:pPr>
      <w:r>
        <w:rPr>
          <w:sz w:val="24"/>
        </w:rPr>
        <w:t>TANGEDCO submitted that the Gross Calorific Value (GCV) of coal has been in line with the norms approved by the Commission in the last Tariff</w:t>
      </w:r>
      <w:r>
        <w:rPr>
          <w:spacing w:val="-6"/>
          <w:sz w:val="24"/>
        </w:rPr>
        <w:t xml:space="preserve"> </w:t>
      </w:r>
      <w:r>
        <w:rPr>
          <w:sz w:val="24"/>
        </w:rPr>
        <w:t>Order.</w:t>
      </w:r>
    </w:p>
    <w:p w:rsidR="007C5447" w:rsidRDefault="007C5447">
      <w:pPr>
        <w:pStyle w:val="BodyText"/>
        <w:spacing w:before="10"/>
        <w:rPr>
          <w:sz w:val="20"/>
        </w:rPr>
      </w:pPr>
    </w:p>
    <w:p w:rsidR="007C5447" w:rsidRDefault="00F6308C">
      <w:pPr>
        <w:pStyle w:val="Heading2"/>
        <w:ind w:left="1112"/>
      </w:pPr>
      <w:r>
        <w:t>Commission’s Views</w:t>
      </w:r>
    </w:p>
    <w:p w:rsidR="007C5447" w:rsidRDefault="007C5447">
      <w:pPr>
        <w:pStyle w:val="BodyText"/>
        <w:rPr>
          <w:b/>
          <w:sz w:val="28"/>
        </w:rPr>
      </w:pPr>
    </w:p>
    <w:p w:rsidR="007C5447" w:rsidRDefault="00F6308C">
      <w:pPr>
        <w:pStyle w:val="ListParagraph"/>
        <w:numPr>
          <w:ilvl w:val="3"/>
          <w:numId w:val="72"/>
        </w:numPr>
        <w:tabs>
          <w:tab w:val="left" w:pos="1226"/>
        </w:tabs>
        <w:spacing w:line="312" w:lineRule="auto"/>
        <w:ind w:right="295"/>
        <w:rPr>
          <w:sz w:val="24"/>
        </w:rPr>
      </w:pPr>
      <w:r>
        <w:rPr>
          <w:sz w:val="24"/>
        </w:rPr>
        <w:t>The Commission has considered the GCV of coal and gas, as shown in the Table below:</w:t>
      </w:r>
    </w:p>
    <w:p w:rsidR="007C5447" w:rsidRDefault="007C5447">
      <w:pPr>
        <w:pStyle w:val="BodyText"/>
        <w:spacing w:before="1"/>
        <w:rPr>
          <w:sz w:val="21"/>
        </w:rPr>
      </w:pPr>
    </w:p>
    <w:p w:rsidR="007C5447" w:rsidRDefault="00F6308C">
      <w:pPr>
        <w:spacing w:line="312" w:lineRule="auto"/>
        <w:ind w:left="4002" w:right="679" w:hanging="3342"/>
        <w:rPr>
          <w:b/>
        </w:rPr>
      </w:pPr>
      <w:r>
        <w:rPr>
          <w:b/>
        </w:rPr>
        <w:t>Table 3-59: GCV approved by the Commission after true-up for FY 2011-12 to FY 2015-16 (kcal/kg) (kcal/scm)</w:t>
      </w:r>
    </w:p>
    <w:p w:rsidR="007C5447" w:rsidRDefault="007C5447">
      <w:pPr>
        <w:pStyle w:val="BodyText"/>
        <w:spacing w:before="3" w:after="1"/>
        <w:rPr>
          <w:b/>
          <w:sz w:val="10"/>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2269"/>
        <w:gridCol w:w="1277"/>
        <w:gridCol w:w="1275"/>
        <w:gridCol w:w="1277"/>
        <w:gridCol w:w="1278"/>
        <w:gridCol w:w="1275"/>
      </w:tblGrid>
      <w:tr w:rsidR="007C5447">
        <w:trPr>
          <w:trHeight w:val="359"/>
        </w:trPr>
        <w:tc>
          <w:tcPr>
            <w:tcW w:w="562" w:type="dxa"/>
            <w:shd w:val="clear" w:color="auto" w:fill="F7C9AC"/>
          </w:tcPr>
          <w:p w:rsidR="007C5447" w:rsidRDefault="00F6308C">
            <w:pPr>
              <w:pStyle w:val="TableParagraph"/>
              <w:spacing w:before="65"/>
              <w:ind w:right="162"/>
              <w:rPr>
                <w:b/>
                <w:sz w:val="20"/>
              </w:rPr>
            </w:pPr>
            <w:r>
              <w:rPr>
                <w:b/>
                <w:w w:val="95"/>
                <w:sz w:val="20"/>
              </w:rPr>
              <w:t>Sl.</w:t>
            </w:r>
          </w:p>
        </w:tc>
        <w:tc>
          <w:tcPr>
            <w:tcW w:w="2269" w:type="dxa"/>
            <w:shd w:val="clear" w:color="auto" w:fill="F7C9AC"/>
          </w:tcPr>
          <w:p w:rsidR="007C5447" w:rsidRDefault="00F6308C">
            <w:pPr>
              <w:pStyle w:val="TableParagraph"/>
              <w:spacing w:before="65"/>
              <w:ind w:left="340" w:right="333"/>
              <w:jc w:val="center"/>
              <w:rPr>
                <w:b/>
                <w:sz w:val="20"/>
              </w:rPr>
            </w:pPr>
            <w:r>
              <w:rPr>
                <w:b/>
                <w:sz w:val="20"/>
              </w:rPr>
              <w:t>Station</w:t>
            </w:r>
          </w:p>
        </w:tc>
        <w:tc>
          <w:tcPr>
            <w:tcW w:w="1277" w:type="dxa"/>
            <w:shd w:val="clear" w:color="auto" w:fill="F7C9AC"/>
          </w:tcPr>
          <w:p w:rsidR="007C5447" w:rsidRDefault="00F6308C">
            <w:pPr>
              <w:pStyle w:val="TableParagraph"/>
              <w:spacing w:before="65"/>
              <w:ind w:right="133"/>
              <w:rPr>
                <w:b/>
                <w:sz w:val="20"/>
              </w:rPr>
            </w:pPr>
            <w:r>
              <w:rPr>
                <w:b/>
                <w:sz w:val="20"/>
              </w:rPr>
              <w:t>FY 2011-12</w:t>
            </w:r>
          </w:p>
        </w:tc>
        <w:tc>
          <w:tcPr>
            <w:tcW w:w="1275" w:type="dxa"/>
            <w:shd w:val="clear" w:color="auto" w:fill="F7C9AC"/>
          </w:tcPr>
          <w:p w:rsidR="007C5447" w:rsidRDefault="00F6308C">
            <w:pPr>
              <w:pStyle w:val="TableParagraph"/>
              <w:spacing w:before="65"/>
              <w:ind w:right="133"/>
              <w:rPr>
                <w:b/>
                <w:sz w:val="20"/>
              </w:rPr>
            </w:pPr>
            <w:r>
              <w:rPr>
                <w:b/>
                <w:sz w:val="20"/>
              </w:rPr>
              <w:t>FY 2012-13</w:t>
            </w:r>
          </w:p>
        </w:tc>
        <w:tc>
          <w:tcPr>
            <w:tcW w:w="1277" w:type="dxa"/>
            <w:shd w:val="clear" w:color="auto" w:fill="F7C9AC"/>
          </w:tcPr>
          <w:p w:rsidR="007C5447" w:rsidRDefault="00F6308C">
            <w:pPr>
              <w:pStyle w:val="TableParagraph"/>
              <w:spacing w:before="65"/>
              <w:ind w:right="133"/>
              <w:rPr>
                <w:b/>
                <w:sz w:val="20"/>
              </w:rPr>
            </w:pPr>
            <w:r>
              <w:rPr>
                <w:b/>
                <w:sz w:val="20"/>
              </w:rPr>
              <w:t>FY 2013-14</w:t>
            </w:r>
          </w:p>
        </w:tc>
        <w:tc>
          <w:tcPr>
            <w:tcW w:w="1278" w:type="dxa"/>
            <w:shd w:val="clear" w:color="auto" w:fill="F7C9AC"/>
          </w:tcPr>
          <w:p w:rsidR="007C5447" w:rsidRDefault="00F6308C">
            <w:pPr>
              <w:pStyle w:val="TableParagraph"/>
              <w:spacing w:before="65"/>
              <w:ind w:right="134"/>
              <w:rPr>
                <w:b/>
                <w:sz w:val="20"/>
              </w:rPr>
            </w:pPr>
            <w:r>
              <w:rPr>
                <w:b/>
                <w:sz w:val="20"/>
              </w:rPr>
              <w:t>FY 2014-15</w:t>
            </w:r>
          </w:p>
        </w:tc>
        <w:tc>
          <w:tcPr>
            <w:tcW w:w="1275" w:type="dxa"/>
            <w:shd w:val="clear" w:color="auto" w:fill="F7C9AC"/>
          </w:tcPr>
          <w:p w:rsidR="007C5447" w:rsidRDefault="00F6308C">
            <w:pPr>
              <w:pStyle w:val="TableParagraph"/>
              <w:spacing w:before="65"/>
              <w:ind w:right="134"/>
              <w:rPr>
                <w:b/>
                <w:sz w:val="20"/>
              </w:rPr>
            </w:pPr>
            <w:r>
              <w:rPr>
                <w:b/>
                <w:sz w:val="20"/>
              </w:rPr>
              <w:t>FY 2015</w:t>
            </w:r>
            <w:r>
              <w:rPr>
                <w:b/>
                <w:sz w:val="20"/>
              </w:rPr>
              <w:t>-16</w:t>
            </w:r>
          </w:p>
        </w:tc>
      </w:tr>
      <w:tr w:rsidR="007C5447">
        <w:trPr>
          <w:trHeight w:val="361"/>
        </w:trPr>
        <w:tc>
          <w:tcPr>
            <w:tcW w:w="562" w:type="dxa"/>
            <w:shd w:val="clear" w:color="auto" w:fill="D9D9D9"/>
          </w:tcPr>
          <w:p w:rsidR="007C5447" w:rsidRDefault="00F6308C">
            <w:pPr>
              <w:pStyle w:val="TableParagraph"/>
              <w:spacing w:before="115" w:line="227" w:lineRule="exact"/>
              <w:ind w:left="107"/>
              <w:jc w:val="left"/>
              <w:rPr>
                <w:b/>
                <w:sz w:val="20"/>
              </w:rPr>
            </w:pPr>
            <w:r>
              <w:rPr>
                <w:b/>
                <w:w w:val="99"/>
                <w:sz w:val="20"/>
              </w:rPr>
              <w:t>A</w:t>
            </w:r>
          </w:p>
        </w:tc>
        <w:tc>
          <w:tcPr>
            <w:tcW w:w="2269" w:type="dxa"/>
            <w:shd w:val="clear" w:color="auto" w:fill="D9D9D9"/>
          </w:tcPr>
          <w:p w:rsidR="007C5447" w:rsidRDefault="00F6308C">
            <w:pPr>
              <w:pStyle w:val="TableParagraph"/>
              <w:spacing w:before="115" w:line="227" w:lineRule="exact"/>
              <w:ind w:left="107"/>
              <w:jc w:val="left"/>
              <w:rPr>
                <w:b/>
                <w:sz w:val="20"/>
              </w:rPr>
            </w:pPr>
            <w:r>
              <w:rPr>
                <w:b/>
                <w:sz w:val="20"/>
              </w:rPr>
              <w:t>Thermal</w:t>
            </w:r>
          </w:p>
        </w:tc>
        <w:tc>
          <w:tcPr>
            <w:tcW w:w="1277" w:type="dxa"/>
            <w:shd w:val="clear" w:color="auto" w:fill="D9D9D9"/>
          </w:tcPr>
          <w:p w:rsidR="007C5447" w:rsidRDefault="007C5447">
            <w:pPr>
              <w:pStyle w:val="TableParagraph"/>
              <w:jc w:val="left"/>
              <w:rPr>
                <w:sz w:val="20"/>
              </w:rPr>
            </w:pPr>
          </w:p>
        </w:tc>
        <w:tc>
          <w:tcPr>
            <w:tcW w:w="1275" w:type="dxa"/>
            <w:shd w:val="clear" w:color="auto" w:fill="D9D9D9"/>
          </w:tcPr>
          <w:p w:rsidR="007C5447" w:rsidRDefault="007C5447">
            <w:pPr>
              <w:pStyle w:val="TableParagraph"/>
              <w:jc w:val="left"/>
              <w:rPr>
                <w:sz w:val="20"/>
              </w:rPr>
            </w:pPr>
          </w:p>
        </w:tc>
        <w:tc>
          <w:tcPr>
            <w:tcW w:w="1277" w:type="dxa"/>
            <w:shd w:val="clear" w:color="auto" w:fill="D9D9D9"/>
          </w:tcPr>
          <w:p w:rsidR="007C5447" w:rsidRDefault="007C5447">
            <w:pPr>
              <w:pStyle w:val="TableParagraph"/>
              <w:jc w:val="left"/>
              <w:rPr>
                <w:sz w:val="20"/>
              </w:rPr>
            </w:pPr>
          </w:p>
        </w:tc>
        <w:tc>
          <w:tcPr>
            <w:tcW w:w="1278" w:type="dxa"/>
            <w:shd w:val="clear" w:color="auto" w:fill="D9D9D9"/>
          </w:tcPr>
          <w:p w:rsidR="007C5447" w:rsidRDefault="007C5447">
            <w:pPr>
              <w:pStyle w:val="TableParagraph"/>
              <w:jc w:val="left"/>
              <w:rPr>
                <w:sz w:val="20"/>
              </w:rPr>
            </w:pPr>
          </w:p>
        </w:tc>
        <w:tc>
          <w:tcPr>
            <w:tcW w:w="1275" w:type="dxa"/>
            <w:shd w:val="clear" w:color="auto" w:fill="D9D9D9"/>
          </w:tcPr>
          <w:p w:rsidR="007C5447" w:rsidRDefault="007C5447">
            <w:pPr>
              <w:pStyle w:val="TableParagraph"/>
              <w:jc w:val="left"/>
              <w:rPr>
                <w:sz w:val="20"/>
              </w:rPr>
            </w:pPr>
          </w:p>
        </w:tc>
      </w:tr>
      <w:tr w:rsidR="007C5447">
        <w:trPr>
          <w:trHeight w:val="359"/>
        </w:trPr>
        <w:tc>
          <w:tcPr>
            <w:tcW w:w="562" w:type="dxa"/>
          </w:tcPr>
          <w:p w:rsidR="007C5447" w:rsidRDefault="00F6308C">
            <w:pPr>
              <w:pStyle w:val="TableParagraph"/>
              <w:spacing w:before="65"/>
              <w:ind w:right="220"/>
              <w:rPr>
                <w:sz w:val="20"/>
              </w:rPr>
            </w:pPr>
            <w:r>
              <w:rPr>
                <w:w w:val="99"/>
                <w:sz w:val="20"/>
              </w:rPr>
              <w:t>1</w:t>
            </w:r>
          </w:p>
        </w:tc>
        <w:tc>
          <w:tcPr>
            <w:tcW w:w="2269" w:type="dxa"/>
          </w:tcPr>
          <w:p w:rsidR="007C5447" w:rsidRDefault="00F6308C">
            <w:pPr>
              <w:pStyle w:val="TableParagraph"/>
              <w:spacing w:before="65"/>
              <w:ind w:left="107"/>
              <w:jc w:val="left"/>
              <w:rPr>
                <w:sz w:val="20"/>
              </w:rPr>
            </w:pPr>
            <w:r>
              <w:rPr>
                <w:sz w:val="20"/>
              </w:rPr>
              <w:t>Ennore TPS</w:t>
            </w:r>
          </w:p>
        </w:tc>
        <w:tc>
          <w:tcPr>
            <w:tcW w:w="1277" w:type="dxa"/>
          </w:tcPr>
          <w:p w:rsidR="007C5447" w:rsidRDefault="00F6308C">
            <w:pPr>
              <w:pStyle w:val="TableParagraph"/>
              <w:spacing w:before="65"/>
              <w:ind w:right="99"/>
              <w:rPr>
                <w:sz w:val="20"/>
              </w:rPr>
            </w:pPr>
            <w:r>
              <w:rPr>
                <w:sz w:val="20"/>
              </w:rPr>
              <w:t>3,203</w:t>
            </w:r>
          </w:p>
        </w:tc>
        <w:tc>
          <w:tcPr>
            <w:tcW w:w="1275" w:type="dxa"/>
          </w:tcPr>
          <w:p w:rsidR="007C5447" w:rsidRDefault="00F6308C">
            <w:pPr>
              <w:pStyle w:val="TableParagraph"/>
              <w:spacing w:before="65"/>
              <w:ind w:right="99"/>
              <w:rPr>
                <w:sz w:val="20"/>
              </w:rPr>
            </w:pPr>
            <w:r>
              <w:rPr>
                <w:w w:val="95"/>
                <w:sz w:val="20"/>
              </w:rPr>
              <w:t>3,235</w:t>
            </w:r>
          </w:p>
        </w:tc>
        <w:tc>
          <w:tcPr>
            <w:tcW w:w="1277" w:type="dxa"/>
          </w:tcPr>
          <w:p w:rsidR="007C5447" w:rsidRDefault="00F6308C">
            <w:pPr>
              <w:pStyle w:val="TableParagraph"/>
              <w:spacing w:before="65"/>
              <w:ind w:right="99"/>
              <w:rPr>
                <w:sz w:val="20"/>
              </w:rPr>
            </w:pPr>
            <w:r>
              <w:rPr>
                <w:sz w:val="20"/>
              </w:rPr>
              <w:t>3,105</w:t>
            </w:r>
          </w:p>
        </w:tc>
        <w:tc>
          <w:tcPr>
            <w:tcW w:w="1278" w:type="dxa"/>
          </w:tcPr>
          <w:p w:rsidR="007C5447" w:rsidRDefault="00F6308C">
            <w:pPr>
              <w:pStyle w:val="TableParagraph"/>
              <w:spacing w:before="65"/>
              <w:ind w:right="100"/>
              <w:rPr>
                <w:sz w:val="20"/>
              </w:rPr>
            </w:pPr>
            <w:r>
              <w:rPr>
                <w:sz w:val="20"/>
              </w:rPr>
              <w:t>3,154</w:t>
            </w:r>
          </w:p>
        </w:tc>
        <w:tc>
          <w:tcPr>
            <w:tcW w:w="1275" w:type="dxa"/>
          </w:tcPr>
          <w:p w:rsidR="007C5447" w:rsidRDefault="00F6308C">
            <w:pPr>
              <w:pStyle w:val="TableParagraph"/>
              <w:spacing w:before="65"/>
              <w:ind w:right="100"/>
              <w:rPr>
                <w:sz w:val="20"/>
              </w:rPr>
            </w:pPr>
            <w:r>
              <w:rPr>
                <w:w w:val="95"/>
                <w:sz w:val="20"/>
              </w:rPr>
              <w:t>3,154</w:t>
            </w:r>
          </w:p>
        </w:tc>
      </w:tr>
      <w:tr w:rsidR="007C5447">
        <w:trPr>
          <w:trHeight w:val="359"/>
        </w:trPr>
        <w:tc>
          <w:tcPr>
            <w:tcW w:w="562" w:type="dxa"/>
          </w:tcPr>
          <w:p w:rsidR="007C5447" w:rsidRDefault="00F6308C">
            <w:pPr>
              <w:pStyle w:val="TableParagraph"/>
              <w:spacing w:before="65"/>
              <w:ind w:right="220"/>
              <w:rPr>
                <w:sz w:val="20"/>
              </w:rPr>
            </w:pPr>
            <w:r>
              <w:rPr>
                <w:w w:val="99"/>
                <w:sz w:val="20"/>
              </w:rPr>
              <w:t>2</w:t>
            </w:r>
          </w:p>
        </w:tc>
        <w:tc>
          <w:tcPr>
            <w:tcW w:w="2269" w:type="dxa"/>
          </w:tcPr>
          <w:p w:rsidR="007C5447" w:rsidRDefault="00F6308C">
            <w:pPr>
              <w:pStyle w:val="TableParagraph"/>
              <w:spacing w:before="65"/>
              <w:ind w:left="107"/>
              <w:jc w:val="left"/>
              <w:rPr>
                <w:sz w:val="20"/>
              </w:rPr>
            </w:pPr>
            <w:r>
              <w:rPr>
                <w:sz w:val="20"/>
              </w:rPr>
              <w:t>Tuticorin TPS</w:t>
            </w:r>
          </w:p>
        </w:tc>
        <w:tc>
          <w:tcPr>
            <w:tcW w:w="1277" w:type="dxa"/>
          </w:tcPr>
          <w:p w:rsidR="007C5447" w:rsidRDefault="00F6308C">
            <w:pPr>
              <w:pStyle w:val="TableParagraph"/>
              <w:spacing w:before="65"/>
              <w:ind w:right="99"/>
              <w:rPr>
                <w:sz w:val="20"/>
              </w:rPr>
            </w:pPr>
            <w:r>
              <w:rPr>
                <w:sz w:val="20"/>
              </w:rPr>
              <w:t>3,505</w:t>
            </w:r>
          </w:p>
        </w:tc>
        <w:tc>
          <w:tcPr>
            <w:tcW w:w="1275" w:type="dxa"/>
          </w:tcPr>
          <w:p w:rsidR="007C5447" w:rsidRDefault="00F6308C">
            <w:pPr>
              <w:pStyle w:val="TableParagraph"/>
              <w:spacing w:before="65"/>
              <w:ind w:right="99"/>
              <w:rPr>
                <w:sz w:val="20"/>
              </w:rPr>
            </w:pPr>
            <w:r>
              <w:rPr>
                <w:w w:val="95"/>
                <w:sz w:val="20"/>
              </w:rPr>
              <w:t>3,405</w:t>
            </w:r>
          </w:p>
        </w:tc>
        <w:tc>
          <w:tcPr>
            <w:tcW w:w="1277" w:type="dxa"/>
          </w:tcPr>
          <w:p w:rsidR="007C5447" w:rsidRDefault="00F6308C">
            <w:pPr>
              <w:pStyle w:val="TableParagraph"/>
              <w:spacing w:before="65"/>
              <w:ind w:right="99"/>
              <w:rPr>
                <w:sz w:val="20"/>
              </w:rPr>
            </w:pPr>
            <w:r>
              <w:rPr>
                <w:sz w:val="20"/>
              </w:rPr>
              <w:t>3,285</w:t>
            </w:r>
          </w:p>
        </w:tc>
        <w:tc>
          <w:tcPr>
            <w:tcW w:w="1278" w:type="dxa"/>
          </w:tcPr>
          <w:p w:rsidR="007C5447" w:rsidRDefault="00F6308C">
            <w:pPr>
              <w:pStyle w:val="TableParagraph"/>
              <w:spacing w:before="65"/>
              <w:ind w:right="100"/>
              <w:rPr>
                <w:sz w:val="20"/>
              </w:rPr>
            </w:pPr>
            <w:r>
              <w:rPr>
                <w:sz w:val="20"/>
              </w:rPr>
              <w:t>3,200</w:t>
            </w:r>
          </w:p>
        </w:tc>
        <w:tc>
          <w:tcPr>
            <w:tcW w:w="1275" w:type="dxa"/>
          </w:tcPr>
          <w:p w:rsidR="007C5447" w:rsidRDefault="00F6308C">
            <w:pPr>
              <w:pStyle w:val="TableParagraph"/>
              <w:spacing w:before="65"/>
              <w:ind w:right="100"/>
              <w:rPr>
                <w:sz w:val="20"/>
              </w:rPr>
            </w:pPr>
            <w:r>
              <w:rPr>
                <w:w w:val="95"/>
                <w:sz w:val="20"/>
              </w:rPr>
              <w:t>3,200</w:t>
            </w:r>
          </w:p>
        </w:tc>
      </w:tr>
      <w:tr w:rsidR="007C5447">
        <w:trPr>
          <w:trHeight w:val="359"/>
        </w:trPr>
        <w:tc>
          <w:tcPr>
            <w:tcW w:w="562" w:type="dxa"/>
          </w:tcPr>
          <w:p w:rsidR="007C5447" w:rsidRDefault="00F6308C">
            <w:pPr>
              <w:pStyle w:val="TableParagraph"/>
              <w:spacing w:before="65"/>
              <w:ind w:right="220"/>
              <w:rPr>
                <w:sz w:val="20"/>
              </w:rPr>
            </w:pPr>
            <w:r>
              <w:rPr>
                <w:w w:val="99"/>
                <w:sz w:val="20"/>
              </w:rPr>
              <w:t>3</w:t>
            </w:r>
          </w:p>
        </w:tc>
        <w:tc>
          <w:tcPr>
            <w:tcW w:w="2269" w:type="dxa"/>
          </w:tcPr>
          <w:p w:rsidR="007C5447" w:rsidRDefault="00F6308C">
            <w:pPr>
              <w:pStyle w:val="TableParagraph"/>
              <w:spacing w:before="65"/>
              <w:ind w:left="107"/>
              <w:jc w:val="left"/>
              <w:rPr>
                <w:sz w:val="20"/>
              </w:rPr>
            </w:pPr>
            <w:r>
              <w:rPr>
                <w:sz w:val="20"/>
              </w:rPr>
              <w:t>Mettur TPS</w:t>
            </w:r>
          </w:p>
        </w:tc>
        <w:tc>
          <w:tcPr>
            <w:tcW w:w="1277" w:type="dxa"/>
          </w:tcPr>
          <w:p w:rsidR="007C5447" w:rsidRDefault="00F6308C">
            <w:pPr>
              <w:pStyle w:val="TableParagraph"/>
              <w:spacing w:before="65"/>
              <w:ind w:right="99"/>
              <w:rPr>
                <w:sz w:val="20"/>
              </w:rPr>
            </w:pPr>
            <w:r>
              <w:rPr>
                <w:sz w:val="20"/>
              </w:rPr>
              <w:t>3,562</w:t>
            </w:r>
          </w:p>
        </w:tc>
        <w:tc>
          <w:tcPr>
            <w:tcW w:w="1275" w:type="dxa"/>
          </w:tcPr>
          <w:p w:rsidR="007C5447" w:rsidRDefault="00F6308C">
            <w:pPr>
              <w:pStyle w:val="TableParagraph"/>
              <w:spacing w:before="65"/>
              <w:ind w:right="99"/>
              <w:rPr>
                <w:sz w:val="20"/>
              </w:rPr>
            </w:pPr>
            <w:r>
              <w:rPr>
                <w:w w:val="95"/>
                <w:sz w:val="20"/>
              </w:rPr>
              <w:t>3,441</w:t>
            </w:r>
          </w:p>
        </w:tc>
        <w:tc>
          <w:tcPr>
            <w:tcW w:w="1277" w:type="dxa"/>
          </w:tcPr>
          <w:p w:rsidR="007C5447" w:rsidRDefault="00F6308C">
            <w:pPr>
              <w:pStyle w:val="TableParagraph"/>
              <w:spacing w:before="65"/>
              <w:ind w:right="99"/>
              <w:rPr>
                <w:sz w:val="20"/>
              </w:rPr>
            </w:pPr>
            <w:r>
              <w:rPr>
                <w:sz w:val="20"/>
              </w:rPr>
              <w:t>3,019</w:t>
            </w:r>
          </w:p>
        </w:tc>
        <w:tc>
          <w:tcPr>
            <w:tcW w:w="1278" w:type="dxa"/>
          </w:tcPr>
          <w:p w:rsidR="007C5447" w:rsidRDefault="00F6308C">
            <w:pPr>
              <w:pStyle w:val="TableParagraph"/>
              <w:spacing w:before="65"/>
              <w:ind w:right="100"/>
              <w:rPr>
                <w:sz w:val="20"/>
              </w:rPr>
            </w:pPr>
            <w:r>
              <w:rPr>
                <w:sz w:val="20"/>
              </w:rPr>
              <w:t>3,045</w:t>
            </w:r>
          </w:p>
        </w:tc>
        <w:tc>
          <w:tcPr>
            <w:tcW w:w="1275" w:type="dxa"/>
          </w:tcPr>
          <w:p w:rsidR="007C5447" w:rsidRDefault="00F6308C">
            <w:pPr>
              <w:pStyle w:val="TableParagraph"/>
              <w:spacing w:before="65"/>
              <w:ind w:right="100"/>
              <w:rPr>
                <w:sz w:val="20"/>
              </w:rPr>
            </w:pPr>
            <w:r>
              <w:rPr>
                <w:w w:val="95"/>
                <w:sz w:val="20"/>
              </w:rPr>
              <w:t>3,623</w:t>
            </w:r>
          </w:p>
        </w:tc>
      </w:tr>
      <w:tr w:rsidR="007C5447">
        <w:trPr>
          <w:trHeight w:val="359"/>
        </w:trPr>
        <w:tc>
          <w:tcPr>
            <w:tcW w:w="562" w:type="dxa"/>
          </w:tcPr>
          <w:p w:rsidR="007C5447" w:rsidRDefault="00F6308C">
            <w:pPr>
              <w:pStyle w:val="TableParagraph"/>
              <w:spacing w:before="65"/>
              <w:ind w:right="220"/>
              <w:rPr>
                <w:sz w:val="20"/>
              </w:rPr>
            </w:pPr>
            <w:r>
              <w:rPr>
                <w:w w:val="99"/>
                <w:sz w:val="20"/>
              </w:rPr>
              <w:t>4</w:t>
            </w:r>
          </w:p>
        </w:tc>
        <w:tc>
          <w:tcPr>
            <w:tcW w:w="2269" w:type="dxa"/>
          </w:tcPr>
          <w:p w:rsidR="007C5447" w:rsidRDefault="00F6308C">
            <w:pPr>
              <w:pStyle w:val="TableParagraph"/>
              <w:spacing w:before="65"/>
              <w:ind w:left="107"/>
              <w:jc w:val="left"/>
              <w:rPr>
                <w:sz w:val="20"/>
              </w:rPr>
            </w:pPr>
            <w:r>
              <w:rPr>
                <w:sz w:val="20"/>
              </w:rPr>
              <w:t>Mettur Stage III TPS</w:t>
            </w:r>
          </w:p>
        </w:tc>
        <w:tc>
          <w:tcPr>
            <w:tcW w:w="1277" w:type="dxa"/>
          </w:tcPr>
          <w:p w:rsidR="007C5447" w:rsidRDefault="00F6308C">
            <w:pPr>
              <w:pStyle w:val="TableParagraph"/>
              <w:spacing w:before="65"/>
              <w:ind w:right="95"/>
              <w:rPr>
                <w:sz w:val="20"/>
              </w:rPr>
            </w:pPr>
            <w:r>
              <w:rPr>
                <w:w w:val="99"/>
                <w:sz w:val="20"/>
              </w:rPr>
              <w:t>-</w:t>
            </w:r>
          </w:p>
        </w:tc>
        <w:tc>
          <w:tcPr>
            <w:tcW w:w="1275" w:type="dxa"/>
          </w:tcPr>
          <w:p w:rsidR="007C5447" w:rsidRDefault="00F6308C">
            <w:pPr>
              <w:pStyle w:val="TableParagraph"/>
              <w:spacing w:before="65"/>
              <w:ind w:right="95"/>
              <w:rPr>
                <w:sz w:val="20"/>
              </w:rPr>
            </w:pPr>
            <w:r>
              <w:rPr>
                <w:w w:val="99"/>
                <w:sz w:val="20"/>
              </w:rPr>
              <w:t>-</w:t>
            </w:r>
          </w:p>
        </w:tc>
        <w:tc>
          <w:tcPr>
            <w:tcW w:w="1277" w:type="dxa"/>
          </w:tcPr>
          <w:p w:rsidR="007C5447" w:rsidRDefault="00F6308C">
            <w:pPr>
              <w:pStyle w:val="TableParagraph"/>
              <w:spacing w:before="65"/>
              <w:ind w:right="95"/>
              <w:rPr>
                <w:sz w:val="20"/>
              </w:rPr>
            </w:pPr>
            <w:r>
              <w:rPr>
                <w:sz w:val="20"/>
              </w:rPr>
              <w:t>3019</w:t>
            </w:r>
          </w:p>
        </w:tc>
        <w:tc>
          <w:tcPr>
            <w:tcW w:w="1278" w:type="dxa"/>
          </w:tcPr>
          <w:p w:rsidR="007C5447" w:rsidRDefault="00F6308C">
            <w:pPr>
              <w:pStyle w:val="TableParagraph"/>
              <w:spacing w:before="65"/>
              <w:ind w:right="100"/>
              <w:rPr>
                <w:sz w:val="20"/>
              </w:rPr>
            </w:pPr>
            <w:r>
              <w:rPr>
                <w:sz w:val="20"/>
              </w:rPr>
              <w:t>3,045</w:t>
            </w:r>
          </w:p>
        </w:tc>
        <w:tc>
          <w:tcPr>
            <w:tcW w:w="1275" w:type="dxa"/>
          </w:tcPr>
          <w:p w:rsidR="007C5447" w:rsidRDefault="00F6308C">
            <w:pPr>
              <w:pStyle w:val="TableParagraph"/>
              <w:spacing w:before="65"/>
              <w:ind w:right="100"/>
              <w:rPr>
                <w:sz w:val="20"/>
              </w:rPr>
            </w:pPr>
            <w:r>
              <w:rPr>
                <w:w w:val="95"/>
                <w:sz w:val="20"/>
              </w:rPr>
              <w:t>2,567</w:t>
            </w:r>
          </w:p>
        </w:tc>
      </w:tr>
      <w:tr w:rsidR="007C5447">
        <w:trPr>
          <w:trHeight w:val="359"/>
        </w:trPr>
        <w:tc>
          <w:tcPr>
            <w:tcW w:w="562" w:type="dxa"/>
          </w:tcPr>
          <w:p w:rsidR="007C5447" w:rsidRDefault="00F6308C">
            <w:pPr>
              <w:pStyle w:val="TableParagraph"/>
              <w:spacing w:before="65"/>
              <w:ind w:right="220"/>
              <w:rPr>
                <w:sz w:val="20"/>
              </w:rPr>
            </w:pPr>
            <w:r>
              <w:rPr>
                <w:w w:val="99"/>
                <w:sz w:val="20"/>
              </w:rPr>
              <w:t>5</w:t>
            </w:r>
          </w:p>
        </w:tc>
        <w:tc>
          <w:tcPr>
            <w:tcW w:w="2269" w:type="dxa"/>
          </w:tcPr>
          <w:p w:rsidR="007C5447" w:rsidRDefault="00F6308C">
            <w:pPr>
              <w:pStyle w:val="TableParagraph"/>
              <w:spacing w:before="65"/>
              <w:ind w:left="107"/>
              <w:jc w:val="left"/>
              <w:rPr>
                <w:sz w:val="20"/>
              </w:rPr>
            </w:pPr>
            <w:r>
              <w:rPr>
                <w:sz w:val="20"/>
              </w:rPr>
              <w:t>North Chennai TPS</w:t>
            </w:r>
          </w:p>
        </w:tc>
        <w:tc>
          <w:tcPr>
            <w:tcW w:w="1277" w:type="dxa"/>
          </w:tcPr>
          <w:p w:rsidR="007C5447" w:rsidRDefault="00F6308C">
            <w:pPr>
              <w:pStyle w:val="TableParagraph"/>
              <w:spacing w:before="65"/>
              <w:ind w:right="99"/>
              <w:rPr>
                <w:sz w:val="20"/>
              </w:rPr>
            </w:pPr>
            <w:r>
              <w:rPr>
                <w:sz w:val="20"/>
              </w:rPr>
              <w:t>4,324</w:t>
            </w:r>
          </w:p>
        </w:tc>
        <w:tc>
          <w:tcPr>
            <w:tcW w:w="1275" w:type="dxa"/>
          </w:tcPr>
          <w:p w:rsidR="007C5447" w:rsidRDefault="00F6308C">
            <w:pPr>
              <w:pStyle w:val="TableParagraph"/>
              <w:spacing w:before="65"/>
              <w:ind w:right="99"/>
              <w:rPr>
                <w:sz w:val="20"/>
              </w:rPr>
            </w:pPr>
            <w:r>
              <w:rPr>
                <w:w w:val="95"/>
                <w:sz w:val="20"/>
              </w:rPr>
              <w:t>4,514</w:t>
            </w:r>
          </w:p>
        </w:tc>
        <w:tc>
          <w:tcPr>
            <w:tcW w:w="1277" w:type="dxa"/>
          </w:tcPr>
          <w:p w:rsidR="007C5447" w:rsidRDefault="00F6308C">
            <w:pPr>
              <w:pStyle w:val="TableParagraph"/>
              <w:spacing w:before="65"/>
              <w:ind w:right="99"/>
              <w:rPr>
                <w:sz w:val="20"/>
              </w:rPr>
            </w:pPr>
            <w:r>
              <w:rPr>
                <w:sz w:val="20"/>
              </w:rPr>
              <w:t>3,621</w:t>
            </w:r>
          </w:p>
        </w:tc>
        <w:tc>
          <w:tcPr>
            <w:tcW w:w="1278" w:type="dxa"/>
          </w:tcPr>
          <w:p w:rsidR="007C5447" w:rsidRDefault="00F6308C">
            <w:pPr>
              <w:pStyle w:val="TableParagraph"/>
              <w:spacing w:before="65"/>
              <w:ind w:right="100"/>
              <w:rPr>
                <w:sz w:val="20"/>
              </w:rPr>
            </w:pPr>
            <w:r>
              <w:rPr>
                <w:sz w:val="20"/>
              </w:rPr>
              <w:t>3,353</w:t>
            </w:r>
          </w:p>
        </w:tc>
        <w:tc>
          <w:tcPr>
            <w:tcW w:w="1275" w:type="dxa"/>
          </w:tcPr>
          <w:p w:rsidR="007C5447" w:rsidRDefault="00F6308C">
            <w:pPr>
              <w:pStyle w:val="TableParagraph"/>
              <w:spacing w:before="65"/>
              <w:ind w:right="100"/>
              <w:rPr>
                <w:sz w:val="20"/>
              </w:rPr>
            </w:pPr>
            <w:r>
              <w:rPr>
                <w:w w:val="95"/>
                <w:sz w:val="20"/>
              </w:rPr>
              <w:t>4,113</w:t>
            </w:r>
          </w:p>
        </w:tc>
      </w:tr>
      <w:tr w:rsidR="007C5447">
        <w:trPr>
          <w:trHeight w:val="492"/>
        </w:trPr>
        <w:tc>
          <w:tcPr>
            <w:tcW w:w="562" w:type="dxa"/>
          </w:tcPr>
          <w:p w:rsidR="007C5447" w:rsidRDefault="00F6308C">
            <w:pPr>
              <w:pStyle w:val="TableParagraph"/>
              <w:spacing w:before="132"/>
              <w:ind w:right="220"/>
              <w:rPr>
                <w:sz w:val="20"/>
              </w:rPr>
            </w:pPr>
            <w:r>
              <w:rPr>
                <w:w w:val="99"/>
                <w:sz w:val="20"/>
              </w:rPr>
              <w:t>6</w:t>
            </w:r>
          </w:p>
        </w:tc>
        <w:tc>
          <w:tcPr>
            <w:tcW w:w="2269" w:type="dxa"/>
          </w:tcPr>
          <w:p w:rsidR="007C5447" w:rsidRDefault="00F6308C">
            <w:pPr>
              <w:pStyle w:val="TableParagraph"/>
              <w:spacing w:before="17" w:line="230" w:lineRule="atLeast"/>
              <w:ind w:left="107"/>
              <w:jc w:val="left"/>
              <w:rPr>
                <w:sz w:val="20"/>
              </w:rPr>
            </w:pPr>
            <w:r>
              <w:rPr>
                <w:sz w:val="20"/>
              </w:rPr>
              <w:t>North Chennai Stage II TPS (Unit 1)</w:t>
            </w:r>
          </w:p>
        </w:tc>
        <w:tc>
          <w:tcPr>
            <w:tcW w:w="1277" w:type="dxa"/>
          </w:tcPr>
          <w:p w:rsidR="007C5447" w:rsidRDefault="00F6308C">
            <w:pPr>
              <w:pStyle w:val="TableParagraph"/>
              <w:spacing w:before="132"/>
              <w:ind w:right="95"/>
              <w:rPr>
                <w:sz w:val="20"/>
              </w:rPr>
            </w:pPr>
            <w:r>
              <w:rPr>
                <w:w w:val="99"/>
                <w:sz w:val="20"/>
              </w:rPr>
              <w:t>-</w:t>
            </w:r>
          </w:p>
        </w:tc>
        <w:tc>
          <w:tcPr>
            <w:tcW w:w="1275" w:type="dxa"/>
          </w:tcPr>
          <w:p w:rsidR="007C5447" w:rsidRDefault="00F6308C">
            <w:pPr>
              <w:pStyle w:val="TableParagraph"/>
              <w:spacing w:before="132"/>
              <w:ind w:right="95"/>
              <w:rPr>
                <w:sz w:val="20"/>
              </w:rPr>
            </w:pPr>
            <w:r>
              <w:rPr>
                <w:w w:val="99"/>
                <w:sz w:val="20"/>
              </w:rPr>
              <w:t>-</w:t>
            </w:r>
          </w:p>
        </w:tc>
        <w:tc>
          <w:tcPr>
            <w:tcW w:w="1277" w:type="dxa"/>
          </w:tcPr>
          <w:p w:rsidR="007C5447" w:rsidRDefault="00F6308C">
            <w:pPr>
              <w:pStyle w:val="TableParagraph"/>
              <w:spacing w:before="132"/>
              <w:ind w:right="96"/>
              <w:rPr>
                <w:sz w:val="20"/>
              </w:rPr>
            </w:pPr>
            <w:r>
              <w:rPr>
                <w:w w:val="99"/>
                <w:sz w:val="20"/>
              </w:rPr>
              <w:t>-</w:t>
            </w:r>
          </w:p>
        </w:tc>
        <w:tc>
          <w:tcPr>
            <w:tcW w:w="1278" w:type="dxa"/>
          </w:tcPr>
          <w:p w:rsidR="007C5447" w:rsidRDefault="00F6308C">
            <w:pPr>
              <w:pStyle w:val="TableParagraph"/>
              <w:spacing w:before="132"/>
              <w:ind w:right="100"/>
              <w:rPr>
                <w:sz w:val="20"/>
              </w:rPr>
            </w:pPr>
            <w:r>
              <w:rPr>
                <w:sz w:val="20"/>
              </w:rPr>
              <w:t>3,353</w:t>
            </w:r>
          </w:p>
        </w:tc>
        <w:tc>
          <w:tcPr>
            <w:tcW w:w="1275" w:type="dxa"/>
          </w:tcPr>
          <w:p w:rsidR="007C5447" w:rsidRDefault="00F6308C">
            <w:pPr>
              <w:pStyle w:val="TableParagraph"/>
              <w:spacing w:before="132"/>
              <w:ind w:right="100"/>
              <w:rPr>
                <w:sz w:val="20"/>
              </w:rPr>
            </w:pPr>
            <w:r>
              <w:rPr>
                <w:w w:val="95"/>
                <w:sz w:val="20"/>
              </w:rPr>
              <w:t>3,954</w:t>
            </w:r>
          </w:p>
        </w:tc>
      </w:tr>
      <w:tr w:rsidR="007C5447">
        <w:trPr>
          <w:trHeight w:val="489"/>
        </w:trPr>
        <w:tc>
          <w:tcPr>
            <w:tcW w:w="562" w:type="dxa"/>
          </w:tcPr>
          <w:p w:rsidR="007C5447" w:rsidRDefault="00F6308C">
            <w:pPr>
              <w:pStyle w:val="TableParagraph"/>
              <w:spacing w:before="130"/>
              <w:ind w:right="220"/>
              <w:rPr>
                <w:sz w:val="20"/>
              </w:rPr>
            </w:pPr>
            <w:r>
              <w:rPr>
                <w:w w:val="99"/>
                <w:sz w:val="20"/>
              </w:rPr>
              <w:t>7</w:t>
            </w:r>
          </w:p>
        </w:tc>
        <w:tc>
          <w:tcPr>
            <w:tcW w:w="2269" w:type="dxa"/>
          </w:tcPr>
          <w:p w:rsidR="007C5447" w:rsidRDefault="00F6308C">
            <w:pPr>
              <w:pStyle w:val="TableParagraph"/>
              <w:spacing w:before="14" w:line="230" w:lineRule="atLeast"/>
              <w:ind w:left="107"/>
              <w:jc w:val="left"/>
              <w:rPr>
                <w:sz w:val="20"/>
              </w:rPr>
            </w:pPr>
            <w:r>
              <w:rPr>
                <w:sz w:val="20"/>
              </w:rPr>
              <w:t>North Chennai Stage II TPS (Unit 2)</w:t>
            </w:r>
          </w:p>
        </w:tc>
        <w:tc>
          <w:tcPr>
            <w:tcW w:w="1277" w:type="dxa"/>
          </w:tcPr>
          <w:p w:rsidR="007C5447" w:rsidRDefault="00F6308C">
            <w:pPr>
              <w:pStyle w:val="TableParagraph"/>
              <w:spacing w:before="130"/>
              <w:ind w:right="95"/>
              <w:rPr>
                <w:sz w:val="20"/>
              </w:rPr>
            </w:pPr>
            <w:r>
              <w:rPr>
                <w:w w:val="99"/>
                <w:sz w:val="20"/>
              </w:rPr>
              <w:t>-</w:t>
            </w:r>
          </w:p>
        </w:tc>
        <w:tc>
          <w:tcPr>
            <w:tcW w:w="1275" w:type="dxa"/>
          </w:tcPr>
          <w:p w:rsidR="007C5447" w:rsidRDefault="00F6308C">
            <w:pPr>
              <w:pStyle w:val="TableParagraph"/>
              <w:spacing w:before="130"/>
              <w:ind w:right="95"/>
              <w:rPr>
                <w:sz w:val="20"/>
              </w:rPr>
            </w:pPr>
            <w:r>
              <w:rPr>
                <w:w w:val="99"/>
                <w:sz w:val="20"/>
              </w:rPr>
              <w:t>-</w:t>
            </w:r>
          </w:p>
        </w:tc>
        <w:tc>
          <w:tcPr>
            <w:tcW w:w="1277" w:type="dxa"/>
          </w:tcPr>
          <w:p w:rsidR="007C5447" w:rsidRDefault="00F6308C">
            <w:pPr>
              <w:pStyle w:val="TableParagraph"/>
              <w:spacing w:before="130"/>
              <w:ind w:right="96"/>
              <w:rPr>
                <w:sz w:val="20"/>
              </w:rPr>
            </w:pPr>
            <w:r>
              <w:rPr>
                <w:w w:val="99"/>
                <w:sz w:val="20"/>
              </w:rPr>
              <w:t>-</w:t>
            </w:r>
          </w:p>
        </w:tc>
        <w:tc>
          <w:tcPr>
            <w:tcW w:w="1278" w:type="dxa"/>
          </w:tcPr>
          <w:p w:rsidR="007C5447" w:rsidRDefault="00F6308C">
            <w:pPr>
              <w:pStyle w:val="TableParagraph"/>
              <w:spacing w:before="130"/>
              <w:ind w:right="100"/>
              <w:rPr>
                <w:sz w:val="20"/>
              </w:rPr>
            </w:pPr>
            <w:r>
              <w:rPr>
                <w:sz w:val="20"/>
              </w:rPr>
              <w:t>3,353</w:t>
            </w:r>
          </w:p>
        </w:tc>
        <w:tc>
          <w:tcPr>
            <w:tcW w:w="1275" w:type="dxa"/>
          </w:tcPr>
          <w:p w:rsidR="007C5447" w:rsidRDefault="00F6308C">
            <w:pPr>
              <w:pStyle w:val="TableParagraph"/>
              <w:spacing w:before="130"/>
              <w:ind w:right="100"/>
              <w:rPr>
                <w:sz w:val="20"/>
              </w:rPr>
            </w:pPr>
            <w:r>
              <w:rPr>
                <w:w w:val="95"/>
                <w:sz w:val="20"/>
              </w:rPr>
              <w:t>3,954</w:t>
            </w:r>
          </w:p>
        </w:tc>
      </w:tr>
      <w:tr w:rsidR="007C5447">
        <w:trPr>
          <w:trHeight w:val="359"/>
        </w:trPr>
        <w:tc>
          <w:tcPr>
            <w:tcW w:w="562" w:type="dxa"/>
            <w:shd w:val="clear" w:color="auto" w:fill="D9D9D9"/>
          </w:tcPr>
          <w:p w:rsidR="007C5447" w:rsidRDefault="00F6308C">
            <w:pPr>
              <w:pStyle w:val="TableParagraph"/>
              <w:spacing w:before="65"/>
              <w:ind w:right="203"/>
              <w:rPr>
                <w:b/>
                <w:sz w:val="20"/>
              </w:rPr>
            </w:pPr>
            <w:r>
              <w:rPr>
                <w:b/>
                <w:w w:val="99"/>
                <w:sz w:val="20"/>
              </w:rPr>
              <w:t>B</w:t>
            </w:r>
          </w:p>
        </w:tc>
        <w:tc>
          <w:tcPr>
            <w:tcW w:w="2269" w:type="dxa"/>
            <w:shd w:val="clear" w:color="auto" w:fill="D9D9D9"/>
          </w:tcPr>
          <w:p w:rsidR="007C5447" w:rsidRDefault="00F6308C">
            <w:pPr>
              <w:pStyle w:val="TableParagraph"/>
              <w:spacing w:before="65"/>
              <w:ind w:left="107"/>
              <w:jc w:val="left"/>
              <w:rPr>
                <w:b/>
                <w:sz w:val="20"/>
              </w:rPr>
            </w:pPr>
            <w:r>
              <w:rPr>
                <w:b/>
                <w:sz w:val="20"/>
              </w:rPr>
              <w:t>Gas</w:t>
            </w:r>
          </w:p>
        </w:tc>
        <w:tc>
          <w:tcPr>
            <w:tcW w:w="1277" w:type="dxa"/>
            <w:shd w:val="clear" w:color="auto" w:fill="D9D9D9"/>
          </w:tcPr>
          <w:p w:rsidR="007C5447" w:rsidRDefault="007C5447">
            <w:pPr>
              <w:pStyle w:val="TableParagraph"/>
              <w:jc w:val="left"/>
              <w:rPr>
                <w:sz w:val="20"/>
              </w:rPr>
            </w:pPr>
          </w:p>
        </w:tc>
        <w:tc>
          <w:tcPr>
            <w:tcW w:w="1275" w:type="dxa"/>
            <w:shd w:val="clear" w:color="auto" w:fill="D9D9D9"/>
          </w:tcPr>
          <w:p w:rsidR="007C5447" w:rsidRDefault="007C5447">
            <w:pPr>
              <w:pStyle w:val="TableParagraph"/>
              <w:jc w:val="left"/>
              <w:rPr>
                <w:sz w:val="20"/>
              </w:rPr>
            </w:pPr>
          </w:p>
        </w:tc>
        <w:tc>
          <w:tcPr>
            <w:tcW w:w="1277" w:type="dxa"/>
            <w:shd w:val="clear" w:color="auto" w:fill="D9D9D9"/>
          </w:tcPr>
          <w:p w:rsidR="007C5447" w:rsidRDefault="007C5447">
            <w:pPr>
              <w:pStyle w:val="TableParagraph"/>
              <w:jc w:val="left"/>
              <w:rPr>
                <w:sz w:val="20"/>
              </w:rPr>
            </w:pPr>
          </w:p>
        </w:tc>
        <w:tc>
          <w:tcPr>
            <w:tcW w:w="1278" w:type="dxa"/>
            <w:shd w:val="clear" w:color="auto" w:fill="D9D9D9"/>
          </w:tcPr>
          <w:p w:rsidR="007C5447" w:rsidRDefault="007C5447">
            <w:pPr>
              <w:pStyle w:val="TableParagraph"/>
              <w:jc w:val="left"/>
              <w:rPr>
                <w:sz w:val="20"/>
              </w:rPr>
            </w:pPr>
          </w:p>
        </w:tc>
        <w:tc>
          <w:tcPr>
            <w:tcW w:w="1275" w:type="dxa"/>
            <w:shd w:val="clear" w:color="auto" w:fill="D9D9D9"/>
          </w:tcPr>
          <w:p w:rsidR="007C5447" w:rsidRDefault="007C5447">
            <w:pPr>
              <w:pStyle w:val="TableParagraph"/>
              <w:jc w:val="left"/>
              <w:rPr>
                <w:sz w:val="20"/>
              </w:rPr>
            </w:pPr>
          </w:p>
        </w:tc>
      </w:tr>
      <w:tr w:rsidR="007C5447">
        <w:trPr>
          <w:trHeight w:val="359"/>
        </w:trPr>
        <w:tc>
          <w:tcPr>
            <w:tcW w:w="562" w:type="dxa"/>
          </w:tcPr>
          <w:p w:rsidR="007C5447" w:rsidRDefault="00F6308C">
            <w:pPr>
              <w:pStyle w:val="TableParagraph"/>
              <w:spacing w:before="65"/>
              <w:ind w:right="220"/>
              <w:rPr>
                <w:sz w:val="20"/>
              </w:rPr>
            </w:pPr>
            <w:r>
              <w:rPr>
                <w:w w:val="99"/>
                <w:sz w:val="20"/>
              </w:rPr>
              <w:t>1</w:t>
            </w:r>
          </w:p>
        </w:tc>
        <w:tc>
          <w:tcPr>
            <w:tcW w:w="2269" w:type="dxa"/>
          </w:tcPr>
          <w:p w:rsidR="007C5447" w:rsidRDefault="00F6308C">
            <w:pPr>
              <w:pStyle w:val="TableParagraph"/>
              <w:spacing w:before="65"/>
              <w:ind w:left="107"/>
              <w:jc w:val="left"/>
              <w:rPr>
                <w:sz w:val="20"/>
              </w:rPr>
            </w:pPr>
            <w:r>
              <w:rPr>
                <w:sz w:val="20"/>
              </w:rPr>
              <w:t>Tirumakottai GTPS</w:t>
            </w:r>
          </w:p>
        </w:tc>
        <w:tc>
          <w:tcPr>
            <w:tcW w:w="1277" w:type="dxa"/>
          </w:tcPr>
          <w:p w:rsidR="007C5447" w:rsidRDefault="00F6308C">
            <w:pPr>
              <w:pStyle w:val="TableParagraph"/>
              <w:spacing w:before="65"/>
              <w:ind w:right="99"/>
              <w:rPr>
                <w:sz w:val="20"/>
              </w:rPr>
            </w:pPr>
            <w:r>
              <w:rPr>
                <w:w w:val="95"/>
                <w:sz w:val="20"/>
              </w:rPr>
              <w:t>10459</w:t>
            </w:r>
          </w:p>
        </w:tc>
        <w:tc>
          <w:tcPr>
            <w:tcW w:w="1275" w:type="dxa"/>
          </w:tcPr>
          <w:p w:rsidR="007C5447" w:rsidRDefault="00F6308C">
            <w:pPr>
              <w:pStyle w:val="TableParagraph"/>
              <w:spacing w:before="65"/>
              <w:ind w:right="99"/>
              <w:rPr>
                <w:sz w:val="20"/>
              </w:rPr>
            </w:pPr>
            <w:r>
              <w:rPr>
                <w:w w:val="95"/>
                <w:sz w:val="20"/>
              </w:rPr>
              <w:t>10453</w:t>
            </w:r>
          </w:p>
        </w:tc>
        <w:tc>
          <w:tcPr>
            <w:tcW w:w="1277" w:type="dxa"/>
          </w:tcPr>
          <w:p w:rsidR="007C5447" w:rsidRDefault="00F6308C">
            <w:pPr>
              <w:pStyle w:val="TableParagraph"/>
              <w:spacing w:before="65"/>
              <w:ind w:right="99"/>
              <w:rPr>
                <w:sz w:val="20"/>
              </w:rPr>
            </w:pPr>
            <w:r>
              <w:rPr>
                <w:w w:val="95"/>
                <w:sz w:val="20"/>
              </w:rPr>
              <w:t>10,453</w:t>
            </w:r>
          </w:p>
        </w:tc>
        <w:tc>
          <w:tcPr>
            <w:tcW w:w="1278" w:type="dxa"/>
          </w:tcPr>
          <w:p w:rsidR="007C5447" w:rsidRDefault="00F6308C">
            <w:pPr>
              <w:pStyle w:val="TableParagraph"/>
              <w:spacing w:before="65"/>
              <w:ind w:right="100"/>
              <w:rPr>
                <w:sz w:val="20"/>
              </w:rPr>
            </w:pPr>
            <w:r>
              <w:rPr>
                <w:w w:val="95"/>
                <w:sz w:val="20"/>
              </w:rPr>
              <w:t>10,000</w:t>
            </w:r>
          </w:p>
        </w:tc>
        <w:tc>
          <w:tcPr>
            <w:tcW w:w="1275" w:type="dxa"/>
          </w:tcPr>
          <w:p w:rsidR="007C5447" w:rsidRDefault="00F6308C">
            <w:pPr>
              <w:pStyle w:val="TableParagraph"/>
              <w:spacing w:before="65"/>
              <w:ind w:right="100"/>
              <w:rPr>
                <w:sz w:val="20"/>
              </w:rPr>
            </w:pPr>
            <w:r>
              <w:rPr>
                <w:w w:val="95"/>
                <w:sz w:val="20"/>
              </w:rPr>
              <w:t>10,000</w:t>
            </w:r>
          </w:p>
        </w:tc>
      </w:tr>
      <w:tr w:rsidR="007C5447">
        <w:trPr>
          <w:trHeight w:val="361"/>
        </w:trPr>
        <w:tc>
          <w:tcPr>
            <w:tcW w:w="562" w:type="dxa"/>
          </w:tcPr>
          <w:p w:rsidR="007C5447" w:rsidRDefault="00F6308C">
            <w:pPr>
              <w:pStyle w:val="TableParagraph"/>
              <w:spacing w:before="67"/>
              <w:ind w:right="220"/>
              <w:rPr>
                <w:sz w:val="20"/>
              </w:rPr>
            </w:pPr>
            <w:r>
              <w:rPr>
                <w:w w:val="99"/>
                <w:sz w:val="20"/>
              </w:rPr>
              <w:t>2</w:t>
            </w:r>
          </w:p>
        </w:tc>
        <w:tc>
          <w:tcPr>
            <w:tcW w:w="2269" w:type="dxa"/>
          </w:tcPr>
          <w:p w:rsidR="007C5447" w:rsidRDefault="00F6308C">
            <w:pPr>
              <w:pStyle w:val="TableParagraph"/>
              <w:spacing w:before="67"/>
              <w:ind w:left="107"/>
              <w:jc w:val="left"/>
              <w:rPr>
                <w:sz w:val="20"/>
              </w:rPr>
            </w:pPr>
            <w:r>
              <w:rPr>
                <w:sz w:val="20"/>
              </w:rPr>
              <w:t>Kuttalam GTPS</w:t>
            </w:r>
          </w:p>
        </w:tc>
        <w:tc>
          <w:tcPr>
            <w:tcW w:w="1277" w:type="dxa"/>
          </w:tcPr>
          <w:p w:rsidR="007C5447" w:rsidRDefault="00F6308C">
            <w:pPr>
              <w:pStyle w:val="TableParagraph"/>
              <w:spacing w:before="67"/>
              <w:ind w:right="99"/>
              <w:rPr>
                <w:sz w:val="20"/>
              </w:rPr>
            </w:pPr>
            <w:r>
              <w:rPr>
                <w:w w:val="95"/>
                <w:sz w:val="20"/>
              </w:rPr>
              <w:t>10386</w:t>
            </w:r>
          </w:p>
        </w:tc>
        <w:tc>
          <w:tcPr>
            <w:tcW w:w="1275" w:type="dxa"/>
          </w:tcPr>
          <w:p w:rsidR="007C5447" w:rsidRDefault="00F6308C">
            <w:pPr>
              <w:pStyle w:val="TableParagraph"/>
              <w:spacing w:before="67"/>
              <w:ind w:right="99"/>
              <w:rPr>
                <w:sz w:val="20"/>
              </w:rPr>
            </w:pPr>
            <w:r>
              <w:rPr>
                <w:w w:val="95"/>
                <w:sz w:val="20"/>
              </w:rPr>
              <w:t>10393</w:t>
            </w:r>
          </w:p>
        </w:tc>
        <w:tc>
          <w:tcPr>
            <w:tcW w:w="1277" w:type="dxa"/>
          </w:tcPr>
          <w:p w:rsidR="007C5447" w:rsidRDefault="00F6308C">
            <w:pPr>
              <w:pStyle w:val="TableParagraph"/>
              <w:spacing w:before="67"/>
              <w:ind w:right="99"/>
              <w:rPr>
                <w:sz w:val="20"/>
              </w:rPr>
            </w:pPr>
            <w:r>
              <w:rPr>
                <w:w w:val="95"/>
                <w:sz w:val="20"/>
              </w:rPr>
              <w:t>10,392</w:t>
            </w:r>
          </w:p>
        </w:tc>
        <w:tc>
          <w:tcPr>
            <w:tcW w:w="1278" w:type="dxa"/>
          </w:tcPr>
          <w:p w:rsidR="007C5447" w:rsidRDefault="00F6308C">
            <w:pPr>
              <w:pStyle w:val="TableParagraph"/>
              <w:spacing w:before="67"/>
              <w:ind w:right="100"/>
              <w:rPr>
                <w:sz w:val="20"/>
              </w:rPr>
            </w:pPr>
            <w:r>
              <w:rPr>
                <w:w w:val="95"/>
                <w:sz w:val="20"/>
              </w:rPr>
              <w:t>10,000</w:t>
            </w:r>
          </w:p>
        </w:tc>
        <w:tc>
          <w:tcPr>
            <w:tcW w:w="1275" w:type="dxa"/>
          </w:tcPr>
          <w:p w:rsidR="007C5447" w:rsidRDefault="00F6308C">
            <w:pPr>
              <w:pStyle w:val="TableParagraph"/>
              <w:spacing w:before="67"/>
              <w:ind w:right="100"/>
              <w:rPr>
                <w:sz w:val="20"/>
              </w:rPr>
            </w:pPr>
            <w:r>
              <w:rPr>
                <w:w w:val="95"/>
                <w:sz w:val="20"/>
              </w:rPr>
              <w:t>10,000</w:t>
            </w:r>
          </w:p>
        </w:tc>
      </w:tr>
      <w:tr w:rsidR="007C5447">
        <w:trPr>
          <w:trHeight w:val="359"/>
        </w:trPr>
        <w:tc>
          <w:tcPr>
            <w:tcW w:w="562" w:type="dxa"/>
          </w:tcPr>
          <w:p w:rsidR="007C5447" w:rsidRDefault="00F6308C">
            <w:pPr>
              <w:pStyle w:val="TableParagraph"/>
              <w:spacing w:before="65"/>
              <w:ind w:right="220"/>
              <w:rPr>
                <w:sz w:val="20"/>
              </w:rPr>
            </w:pPr>
            <w:r>
              <w:rPr>
                <w:w w:val="99"/>
                <w:sz w:val="20"/>
              </w:rPr>
              <w:t>3</w:t>
            </w:r>
          </w:p>
        </w:tc>
        <w:tc>
          <w:tcPr>
            <w:tcW w:w="2269" w:type="dxa"/>
          </w:tcPr>
          <w:p w:rsidR="007C5447" w:rsidRDefault="00F6308C">
            <w:pPr>
              <w:pStyle w:val="TableParagraph"/>
              <w:spacing w:before="65"/>
              <w:ind w:left="107"/>
              <w:jc w:val="left"/>
              <w:rPr>
                <w:sz w:val="20"/>
              </w:rPr>
            </w:pPr>
            <w:r>
              <w:rPr>
                <w:sz w:val="20"/>
              </w:rPr>
              <w:t>Basin Bridge GTPS</w:t>
            </w:r>
          </w:p>
        </w:tc>
        <w:tc>
          <w:tcPr>
            <w:tcW w:w="1277" w:type="dxa"/>
          </w:tcPr>
          <w:p w:rsidR="007C5447" w:rsidRDefault="00F6308C">
            <w:pPr>
              <w:pStyle w:val="TableParagraph"/>
              <w:spacing w:before="65"/>
              <w:ind w:right="99"/>
              <w:rPr>
                <w:sz w:val="20"/>
              </w:rPr>
            </w:pPr>
            <w:r>
              <w:rPr>
                <w:w w:val="95"/>
                <w:sz w:val="20"/>
              </w:rPr>
              <w:t>11340</w:t>
            </w:r>
          </w:p>
        </w:tc>
        <w:tc>
          <w:tcPr>
            <w:tcW w:w="1275" w:type="dxa"/>
          </w:tcPr>
          <w:p w:rsidR="007C5447" w:rsidRDefault="00F6308C">
            <w:pPr>
              <w:pStyle w:val="TableParagraph"/>
              <w:spacing w:before="65"/>
              <w:ind w:right="99"/>
              <w:rPr>
                <w:sz w:val="20"/>
              </w:rPr>
            </w:pPr>
            <w:r>
              <w:rPr>
                <w:w w:val="95"/>
                <w:sz w:val="20"/>
              </w:rPr>
              <w:t>11340</w:t>
            </w:r>
          </w:p>
        </w:tc>
        <w:tc>
          <w:tcPr>
            <w:tcW w:w="1277" w:type="dxa"/>
          </w:tcPr>
          <w:p w:rsidR="007C5447" w:rsidRDefault="00F6308C">
            <w:pPr>
              <w:pStyle w:val="TableParagraph"/>
              <w:spacing w:before="65"/>
              <w:ind w:right="99"/>
              <w:rPr>
                <w:sz w:val="20"/>
              </w:rPr>
            </w:pPr>
            <w:r>
              <w:rPr>
                <w:w w:val="95"/>
                <w:sz w:val="20"/>
              </w:rPr>
              <w:t>11349</w:t>
            </w:r>
          </w:p>
        </w:tc>
        <w:tc>
          <w:tcPr>
            <w:tcW w:w="1278" w:type="dxa"/>
          </w:tcPr>
          <w:p w:rsidR="007C5447" w:rsidRDefault="00F6308C">
            <w:pPr>
              <w:pStyle w:val="TableParagraph"/>
              <w:spacing w:before="65"/>
              <w:ind w:right="100"/>
              <w:rPr>
                <w:sz w:val="20"/>
              </w:rPr>
            </w:pPr>
            <w:r>
              <w:rPr>
                <w:w w:val="95"/>
                <w:sz w:val="20"/>
              </w:rPr>
              <w:t>10,572</w:t>
            </w:r>
          </w:p>
        </w:tc>
        <w:tc>
          <w:tcPr>
            <w:tcW w:w="1275" w:type="dxa"/>
          </w:tcPr>
          <w:p w:rsidR="007C5447" w:rsidRDefault="00F6308C">
            <w:pPr>
              <w:pStyle w:val="TableParagraph"/>
              <w:spacing w:before="65"/>
              <w:ind w:right="100"/>
              <w:rPr>
                <w:sz w:val="20"/>
              </w:rPr>
            </w:pPr>
            <w:r>
              <w:rPr>
                <w:w w:val="95"/>
                <w:sz w:val="20"/>
              </w:rPr>
              <w:t>10572</w:t>
            </w:r>
          </w:p>
        </w:tc>
      </w:tr>
      <w:tr w:rsidR="007C5447">
        <w:trPr>
          <w:trHeight w:val="359"/>
        </w:trPr>
        <w:tc>
          <w:tcPr>
            <w:tcW w:w="562" w:type="dxa"/>
          </w:tcPr>
          <w:p w:rsidR="007C5447" w:rsidRDefault="00F6308C">
            <w:pPr>
              <w:pStyle w:val="TableParagraph"/>
              <w:spacing w:before="65"/>
              <w:ind w:right="220"/>
              <w:rPr>
                <w:sz w:val="20"/>
              </w:rPr>
            </w:pPr>
            <w:r>
              <w:rPr>
                <w:w w:val="99"/>
                <w:sz w:val="20"/>
              </w:rPr>
              <w:t>4</w:t>
            </w:r>
          </w:p>
        </w:tc>
        <w:tc>
          <w:tcPr>
            <w:tcW w:w="2269" w:type="dxa"/>
          </w:tcPr>
          <w:p w:rsidR="007C5447" w:rsidRDefault="00F6308C">
            <w:pPr>
              <w:pStyle w:val="TableParagraph"/>
              <w:spacing w:before="65"/>
              <w:ind w:left="107"/>
              <w:jc w:val="left"/>
              <w:rPr>
                <w:sz w:val="20"/>
              </w:rPr>
            </w:pPr>
            <w:r>
              <w:rPr>
                <w:sz w:val="20"/>
              </w:rPr>
              <w:t>Valathur GTPS (Unit 1)</w:t>
            </w:r>
          </w:p>
        </w:tc>
        <w:tc>
          <w:tcPr>
            <w:tcW w:w="1277" w:type="dxa"/>
          </w:tcPr>
          <w:p w:rsidR="007C5447" w:rsidRDefault="00F6308C">
            <w:pPr>
              <w:pStyle w:val="TableParagraph"/>
              <w:spacing w:before="65"/>
              <w:ind w:right="96"/>
              <w:rPr>
                <w:sz w:val="20"/>
              </w:rPr>
            </w:pPr>
            <w:r>
              <w:rPr>
                <w:sz w:val="20"/>
              </w:rPr>
              <w:t>9655</w:t>
            </w:r>
          </w:p>
        </w:tc>
        <w:tc>
          <w:tcPr>
            <w:tcW w:w="1275" w:type="dxa"/>
          </w:tcPr>
          <w:p w:rsidR="007C5447" w:rsidRDefault="00F6308C">
            <w:pPr>
              <w:pStyle w:val="TableParagraph"/>
              <w:spacing w:before="65"/>
              <w:ind w:right="96"/>
              <w:rPr>
                <w:sz w:val="20"/>
              </w:rPr>
            </w:pPr>
            <w:r>
              <w:rPr>
                <w:sz w:val="20"/>
              </w:rPr>
              <w:t>9684</w:t>
            </w:r>
          </w:p>
        </w:tc>
        <w:tc>
          <w:tcPr>
            <w:tcW w:w="1277" w:type="dxa"/>
          </w:tcPr>
          <w:p w:rsidR="007C5447" w:rsidRDefault="00F6308C">
            <w:pPr>
              <w:pStyle w:val="TableParagraph"/>
              <w:spacing w:before="65"/>
              <w:ind w:right="99"/>
              <w:rPr>
                <w:sz w:val="20"/>
              </w:rPr>
            </w:pPr>
            <w:r>
              <w:rPr>
                <w:sz w:val="20"/>
              </w:rPr>
              <w:t>9,404</w:t>
            </w:r>
          </w:p>
        </w:tc>
        <w:tc>
          <w:tcPr>
            <w:tcW w:w="1278" w:type="dxa"/>
          </w:tcPr>
          <w:p w:rsidR="007C5447" w:rsidRDefault="00F6308C">
            <w:pPr>
              <w:pStyle w:val="TableParagraph"/>
              <w:spacing w:before="65"/>
              <w:ind w:right="100"/>
              <w:rPr>
                <w:sz w:val="20"/>
              </w:rPr>
            </w:pPr>
            <w:r>
              <w:rPr>
                <w:sz w:val="20"/>
              </w:rPr>
              <w:t>9,731</w:t>
            </w:r>
          </w:p>
        </w:tc>
        <w:tc>
          <w:tcPr>
            <w:tcW w:w="1275" w:type="dxa"/>
          </w:tcPr>
          <w:p w:rsidR="007C5447" w:rsidRDefault="00F6308C">
            <w:pPr>
              <w:pStyle w:val="TableParagraph"/>
              <w:spacing w:before="65"/>
              <w:ind w:right="100"/>
              <w:rPr>
                <w:sz w:val="20"/>
              </w:rPr>
            </w:pPr>
            <w:r>
              <w:rPr>
                <w:w w:val="95"/>
                <w:sz w:val="20"/>
              </w:rPr>
              <w:t>9,735</w:t>
            </w:r>
          </w:p>
        </w:tc>
      </w:tr>
      <w:tr w:rsidR="007C5447">
        <w:trPr>
          <w:trHeight w:val="359"/>
        </w:trPr>
        <w:tc>
          <w:tcPr>
            <w:tcW w:w="562" w:type="dxa"/>
          </w:tcPr>
          <w:p w:rsidR="007C5447" w:rsidRDefault="00F6308C">
            <w:pPr>
              <w:pStyle w:val="TableParagraph"/>
              <w:spacing w:before="65"/>
              <w:ind w:right="220"/>
              <w:rPr>
                <w:sz w:val="20"/>
              </w:rPr>
            </w:pPr>
            <w:r>
              <w:rPr>
                <w:w w:val="99"/>
                <w:sz w:val="20"/>
              </w:rPr>
              <w:t>5</w:t>
            </w:r>
          </w:p>
        </w:tc>
        <w:tc>
          <w:tcPr>
            <w:tcW w:w="2269" w:type="dxa"/>
          </w:tcPr>
          <w:p w:rsidR="007C5447" w:rsidRDefault="00F6308C">
            <w:pPr>
              <w:pStyle w:val="TableParagraph"/>
              <w:spacing w:before="65"/>
              <w:ind w:left="107"/>
              <w:jc w:val="left"/>
              <w:rPr>
                <w:sz w:val="20"/>
              </w:rPr>
            </w:pPr>
            <w:r>
              <w:rPr>
                <w:sz w:val="20"/>
              </w:rPr>
              <w:t>Valathur GTPS (Unit 2)</w:t>
            </w:r>
          </w:p>
        </w:tc>
        <w:tc>
          <w:tcPr>
            <w:tcW w:w="1277" w:type="dxa"/>
          </w:tcPr>
          <w:p w:rsidR="007C5447" w:rsidRDefault="00F6308C">
            <w:pPr>
              <w:pStyle w:val="TableParagraph"/>
              <w:spacing w:before="65"/>
              <w:ind w:right="96"/>
              <w:rPr>
                <w:sz w:val="20"/>
              </w:rPr>
            </w:pPr>
            <w:r>
              <w:rPr>
                <w:sz w:val="20"/>
              </w:rPr>
              <w:t>9655</w:t>
            </w:r>
          </w:p>
        </w:tc>
        <w:tc>
          <w:tcPr>
            <w:tcW w:w="1275" w:type="dxa"/>
          </w:tcPr>
          <w:p w:rsidR="007C5447" w:rsidRDefault="00F6308C">
            <w:pPr>
              <w:pStyle w:val="TableParagraph"/>
              <w:spacing w:before="65"/>
              <w:ind w:right="96"/>
              <w:rPr>
                <w:sz w:val="20"/>
              </w:rPr>
            </w:pPr>
            <w:r>
              <w:rPr>
                <w:sz w:val="20"/>
              </w:rPr>
              <w:t>9684</w:t>
            </w:r>
          </w:p>
        </w:tc>
        <w:tc>
          <w:tcPr>
            <w:tcW w:w="1277" w:type="dxa"/>
          </w:tcPr>
          <w:p w:rsidR="007C5447" w:rsidRDefault="00F6308C">
            <w:pPr>
              <w:pStyle w:val="TableParagraph"/>
              <w:spacing w:before="65"/>
              <w:ind w:right="99"/>
              <w:rPr>
                <w:sz w:val="20"/>
              </w:rPr>
            </w:pPr>
            <w:r>
              <w:rPr>
                <w:sz w:val="20"/>
              </w:rPr>
              <w:t>9,404</w:t>
            </w:r>
          </w:p>
        </w:tc>
        <w:tc>
          <w:tcPr>
            <w:tcW w:w="1278" w:type="dxa"/>
          </w:tcPr>
          <w:p w:rsidR="007C5447" w:rsidRDefault="00F6308C">
            <w:pPr>
              <w:pStyle w:val="TableParagraph"/>
              <w:spacing w:before="65"/>
              <w:ind w:right="100"/>
              <w:rPr>
                <w:sz w:val="20"/>
              </w:rPr>
            </w:pPr>
            <w:r>
              <w:rPr>
                <w:sz w:val="20"/>
              </w:rPr>
              <w:t>9,731</w:t>
            </w:r>
          </w:p>
        </w:tc>
        <w:tc>
          <w:tcPr>
            <w:tcW w:w="1275" w:type="dxa"/>
          </w:tcPr>
          <w:p w:rsidR="007C5447" w:rsidRDefault="00F6308C">
            <w:pPr>
              <w:pStyle w:val="TableParagraph"/>
              <w:spacing w:before="65"/>
              <w:ind w:right="100"/>
              <w:rPr>
                <w:sz w:val="20"/>
              </w:rPr>
            </w:pPr>
            <w:r>
              <w:rPr>
                <w:w w:val="95"/>
                <w:sz w:val="20"/>
              </w:rPr>
              <w:t>9,735</w:t>
            </w:r>
          </w:p>
        </w:tc>
      </w:tr>
    </w:tbl>
    <w:p w:rsidR="007C5447" w:rsidRDefault="007C5447">
      <w:pPr>
        <w:rPr>
          <w:sz w:val="20"/>
        </w:rPr>
        <w:sectPr w:rsidR="007C5447">
          <w:pgSz w:w="11910" w:h="16840"/>
          <w:pgMar w:top="1360" w:right="840" w:bottom="540" w:left="1180" w:header="0" w:footer="349" w:gutter="0"/>
          <w:cols w:space="720"/>
        </w:sectPr>
      </w:pPr>
    </w:p>
    <w:p w:rsidR="007C5447" w:rsidRDefault="00F6308C">
      <w:pPr>
        <w:pStyle w:val="Heading2"/>
        <w:numPr>
          <w:ilvl w:val="2"/>
          <w:numId w:val="92"/>
        </w:numPr>
        <w:tabs>
          <w:tab w:val="left" w:pos="1113"/>
        </w:tabs>
        <w:spacing w:before="60"/>
        <w:ind w:left="1112" w:hanging="853"/>
      </w:pPr>
      <w:r>
        <w:lastRenderedPageBreak/>
        <w:t>Price of Primary</w:t>
      </w:r>
      <w:r>
        <w:rPr>
          <w:spacing w:val="1"/>
        </w:rPr>
        <w:t xml:space="preserve"> </w:t>
      </w:r>
      <w:r>
        <w:t>Fuel</w:t>
      </w:r>
    </w:p>
    <w:p w:rsidR="007C5447" w:rsidRDefault="007C5447">
      <w:pPr>
        <w:pStyle w:val="BodyText"/>
        <w:rPr>
          <w:b/>
          <w:sz w:val="28"/>
        </w:rPr>
      </w:pPr>
    </w:p>
    <w:p w:rsidR="007C5447" w:rsidRDefault="00F6308C">
      <w:pPr>
        <w:pStyle w:val="ListParagraph"/>
        <w:numPr>
          <w:ilvl w:val="3"/>
          <w:numId w:val="71"/>
        </w:numPr>
        <w:tabs>
          <w:tab w:val="left" w:pos="1226"/>
        </w:tabs>
        <w:ind w:hanging="966"/>
        <w:rPr>
          <w:sz w:val="24"/>
        </w:rPr>
      </w:pPr>
      <w:r>
        <w:rPr>
          <w:sz w:val="24"/>
        </w:rPr>
        <w:t>TANGEDCO submitted the actual primary fuel prices for FY 2011-12 to FY</w:t>
      </w:r>
      <w:r>
        <w:rPr>
          <w:spacing w:val="-10"/>
          <w:sz w:val="24"/>
        </w:rPr>
        <w:t xml:space="preserve"> </w:t>
      </w:r>
      <w:r>
        <w:rPr>
          <w:sz w:val="24"/>
        </w:rPr>
        <w:t>2015-16.</w:t>
      </w:r>
    </w:p>
    <w:p w:rsidR="007C5447" w:rsidRDefault="007C5447">
      <w:pPr>
        <w:pStyle w:val="BodyText"/>
        <w:spacing w:before="2"/>
        <w:rPr>
          <w:sz w:val="28"/>
        </w:rPr>
      </w:pPr>
    </w:p>
    <w:p w:rsidR="007C5447" w:rsidRDefault="00F6308C">
      <w:pPr>
        <w:pStyle w:val="Heading2"/>
        <w:spacing w:before="1"/>
        <w:ind w:left="1112"/>
      </w:pPr>
      <w:r>
        <w:t>Commission’s Views</w:t>
      </w:r>
    </w:p>
    <w:p w:rsidR="007C5447" w:rsidRDefault="007C5447">
      <w:pPr>
        <w:pStyle w:val="BodyText"/>
        <w:spacing w:before="10"/>
        <w:rPr>
          <w:b/>
          <w:sz w:val="27"/>
        </w:rPr>
      </w:pPr>
    </w:p>
    <w:p w:rsidR="007C5447" w:rsidRDefault="00F6308C">
      <w:pPr>
        <w:pStyle w:val="ListParagraph"/>
        <w:numPr>
          <w:ilvl w:val="3"/>
          <w:numId w:val="71"/>
        </w:numPr>
        <w:tabs>
          <w:tab w:val="left" w:pos="1226"/>
        </w:tabs>
        <w:spacing w:before="1" w:line="312" w:lineRule="auto"/>
        <w:ind w:right="288"/>
        <w:jc w:val="both"/>
        <w:rPr>
          <w:sz w:val="24"/>
        </w:rPr>
      </w:pPr>
      <w:r>
        <w:rPr>
          <w:sz w:val="24"/>
        </w:rPr>
        <w:t>The Commission has approved the actual primary fuel prices for FY 2011-12 to FY 2015-16 as shown in the table</w:t>
      </w:r>
      <w:r>
        <w:rPr>
          <w:spacing w:val="-1"/>
          <w:sz w:val="24"/>
        </w:rPr>
        <w:t xml:space="preserve"> </w:t>
      </w:r>
      <w:r>
        <w:rPr>
          <w:sz w:val="24"/>
        </w:rPr>
        <w:t>below:</w:t>
      </w:r>
    </w:p>
    <w:p w:rsidR="007C5447" w:rsidRDefault="007C5447">
      <w:pPr>
        <w:pStyle w:val="BodyText"/>
        <w:rPr>
          <w:sz w:val="21"/>
        </w:rPr>
      </w:pPr>
    </w:p>
    <w:p w:rsidR="007C5447" w:rsidRDefault="00F6308C">
      <w:pPr>
        <w:ind w:left="870"/>
        <w:rPr>
          <w:b/>
        </w:rPr>
      </w:pPr>
      <w:r>
        <w:rPr>
          <w:b/>
        </w:rPr>
        <w:t xml:space="preserve">Table 3-60: Price of primary fuel as </w:t>
      </w:r>
      <w:r>
        <w:rPr>
          <w:b/>
        </w:rPr>
        <w:t>approved by the Commission (Rs./MT) (Rs./SCM)</w:t>
      </w:r>
    </w:p>
    <w:p w:rsidR="007C5447" w:rsidRDefault="007C5447">
      <w:pPr>
        <w:pStyle w:val="BodyText"/>
        <w:spacing w:before="11"/>
        <w:rPr>
          <w:b/>
          <w:sz w:val="16"/>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4"/>
        <w:gridCol w:w="2127"/>
        <w:gridCol w:w="1274"/>
        <w:gridCol w:w="1277"/>
        <w:gridCol w:w="1274"/>
        <w:gridCol w:w="1277"/>
        <w:gridCol w:w="1274"/>
      </w:tblGrid>
      <w:tr w:rsidR="007C5447">
        <w:trPr>
          <w:trHeight w:val="361"/>
        </w:trPr>
        <w:tc>
          <w:tcPr>
            <w:tcW w:w="434" w:type="dxa"/>
            <w:shd w:val="clear" w:color="auto" w:fill="F7C9AC"/>
          </w:tcPr>
          <w:p w:rsidR="007C5447" w:rsidRDefault="00F6308C">
            <w:pPr>
              <w:pStyle w:val="TableParagraph"/>
              <w:spacing w:before="67"/>
              <w:ind w:left="86" w:right="80"/>
              <w:jc w:val="center"/>
              <w:rPr>
                <w:b/>
                <w:sz w:val="20"/>
              </w:rPr>
            </w:pPr>
            <w:r>
              <w:rPr>
                <w:b/>
                <w:sz w:val="20"/>
              </w:rPr>
              <w:t>Sl.</w:t>
            </w:r>
          </w:p>
        </w:tc>
        <w:tc>
          <w:tcPr>
            <w:tcW w:w="2127" w:type="dxa"/>
            <w:shd w:val="clear" w:color="auto" w:fill="F7C9AC"/>
          </w:tcPr>
          <w:p w:rsidR="007C5447" w:rsidRDefault="00F6308C">
            <w:pPr>
              <w:pStyle w:val="TableParagraph"/>
              <w:spacing w:before="67"/>
              <w:ind w:left="173" w:right="171"/>
              <w:jc w:val="center"/>
              <w:rPr>
                <w:b/>
                <w:sz w:val="20"/>
              </w:rPr>
            </w:pPr>
            <w:r>
              <w:rPr>
                <w:b/>
                <w:sz w:val="20"/>
              </w:rPr>
              <w:t>Station</w:t>
            </w:r>
          </w:p>
        </w:tc>
        <w:tc>
          <w:tcPr>
            <w:tcW w:w="1274" w:type="dxa"/>
            <w:shd w:val="clear" w:color="auto" w:fill="F7C9AC"/>
          </w:tcPr>
          <w:p w:rsidR="007C5447" w:rsidRDefault="00F6308C">
            <w:pPr>
              <w:pStyle w:val="TableParagraph"/>
              <w:spacing w:before="67"/>
              <w:ind w:right="131"/>
              <w:rPr>
                <w:b/>
                <w:sz w:val="20"/>
              </w:rPr>
            </w:pPr>
            <w:r>
              <w:rPr>
                <w:b/>
                <w:sz w:val="20"/>
              </w:rPr>
              <w:t>FY 2011-12</w:t>
            </w:r>
          </w:p>
        </w:tc>
        <w:tc>
          <w:tcPr>
            <w:tcW w:w="1277" w:type="dxa"/>
            <w:shd w:val="clear" w:color="auto" w:fill="F7C9AC"/>
          </w:tcPr>
          <w:p w:rsidR="007C5447" w:rsidRDefault="00F6308C">
            <w:pPr>
              <w:pStyle w:val="TableParagraph"/>
              <w:spacing w:before="67"/>
              <w:ind w:right="131"/>
              <w:rPr>
                <w:b/>
                <w:sz w:val="20"/>
              </w:rPr>
            </w:pPr>
            <w:r>
              <w:rPr>
                <w:b/>
                <w:sz w:val="20"/>
              </w:rPr>
              <w:t>FY 2012-13</w:t>
            </w:r>
          </w:p>
        </w:tc>
        <w:tc>
          <w:tcPr>
            <w:tcW w:w="1274" w:type="dxa"/>
            <w:shd w:val="clear" w:color="auto" w:fill="F7C9AC"/>
          </w:tcPr>
          <w:p w:rsidR="007C5447" w:rsidRDefault="00F6308C">
            <w:pPr>
              <w:pStyle w:val="TableParagraph"/>
              <w:spacing w:before="67"/>
              <w:ind w:right="128"/>
              <w:rPr>
                <w:b/>
                <w:sz w:val="20"/>
              </w:rPr>
            </w:pPr>
            <w:r>
              <w:rPr>
                <w:b/>
                <w:sz w:val="20"/>
              </w:rPr>
              <w:t>FY 2013-14</w:t>
            </w:r>
          </w:p>
        </w:tc>
        <w:tc>
          <w:tcPr>
            <w:tcW w:w="1277" w:type="dxa"/>
            <w:shd w:val="clear" w:color="auto" w:fill="F7C9AC"/>
          </w:tcPr>
          <w:p w:rsidR="007C5447" w:rsidRDefault="00F6308C">
            <w:pPr>
              <w:pStyle w:val="TableParagraph"/>
              <w:spacing w:before="67"/>
              <w:ind w:right="131"/>
              <w:rPr>
                <w:b/>
                <w:sz w:val="20"/>
              </w:rPr>
            </w:pPr>
            <w:r>
              <w:rPr>
                <w:b/>
                <w:sz w:val="20"/>
              </w:rPr>
              <w:t>FY 2014-15</w:t>
            </w:r>
          </w:p>
        </w:tc>
        <w:tc>
          <w:tcPr>
            <w:tcW w:w="1274" w:type="dxa"/>
            <w:shd w:val="clear" w:color="auto" w:fill="F7C9AC"/>
          </w:tcPr>
          <w:p w:rsidR="007C5447" w:rsidRDefault="00F6308C">
            <w:pPr>
              <w:pStyle w:val="TableParagraph"/>
              <w:spacing w:before="67"/>
              <w:ind w:right="130"/>
              <w:rPr>
                <w:b/>
                <w:sz w:val="20"/>
              </w:rPr>
            </w:pPr>
            <w:r>
              <w:rPr>
                <w:b/>
                <w:sz w:val="20"/>
              </w:rPr>
              <w:t>FY 2015-16</w:t>
            </w:r>
          </w:p>
        </w:tc>
      </w:tr>
      <w:tr w:rsidR="007C5447">
        <w:trPr>
          <w:trHeight w:val="360"/>
        </w:trPr>
        <w:tc>
          <w:tcPr>
            <w:tcW w:w="434" w:type="dxa"/>
            <w:shd w:val="clear" w:color="auto" w:fill="D9D9D9"/>
          </w:tcPr>
          <w:p w:rsidR="007C5447" w:rsidRDefault="00F6308C">
            <w:pPr>
              <w:pStyle w:val="TableParagraph"/>
              <w:spacing w:before="115" w:line="225" w:lineRule="exact"/>
              <w:ind w:right="62"/>
              <w:jc w:val="center"/>
              <w:rPr>
                <w:b/>
                <w:sz w:val="20"/>
              </w:rPr>
            </w:pPr>
            <w:r>
              <w:rPr>
                <w:b/>
                <w:w w:val="99"/>
                <w:sz w:val="20"/>
              </w:rPr>
              <w:t>A</w:t>
            </w:r>
          </w:p>
        </w:tc>
        <w:tc>
          <w:tcPr>
            <w:tcW w:w="2127" w:type="dxa"/>
            <w:shd w:val="clear" w:color="auto" w:fill="D9D9D9"/>
          </w:tcPr>
          <w:p w:rsidR="007C5447" w:rsidRDefault="00F6308C">
            <w:pPr>
              <w:pStyle w:val="TableParagraph"/>
              <w:spacing w:before="115" w:line="225" w:lineRule="exact"/>
              <w:ind w:left="105"/>
              <w:jc w:val="left"/>
              <w:rPr>
                <w:b/>
                <w:sz w:val="20"/>
              </w:rPr>
            </w:pPr>
            <w:r>
              <w:rPr>
                <w:b/>
                <w:sz w:val="20"/>
              </w:rPr>
              <w:t>Thermal</w:t>
            </w:r>
          </w:p>
        </w:tc>
        <w:tc>
          <w:tcPr>
            <w:tcW w:w="1274" w:type="dxa"/>
            <w:shd w:val="clear" w:color="auto" w:fill="D9D9D9"/>
          </w:tcPr>
          <w:p w:rsidR="007C5447" w:rsidRDefault="007C5447">
            <w:pPr>
              <w:pStyle w:val="TableParagraph"/>
              <w:jc w:val="left"/>
            </w:pPr>
          </w:p>
        </w:tc>
        <w:tc>
          <w:tcPr>
            <w:tcW w:w="1277" w:type="dxa"/>
            <w:shd w:val="clear" w:color="auto" w:fill="D9D9D9"/>
          </w:tcPr>
          <w:p w:rsidR="007C5447" w:rsidRDefault="007C5447">
            <w:pPr>
              <w:pStyle w:val="TableParagraph"/>
              <w:jc w:val="left"/>
            </w:pPr>
          </w:p>
        </w:tc>
        <w:tc>
          <w:tcPr>
            <w:tcW w:w="1274" w:type="dxa"/>
            <w:shd w:val="clear" w:color="auto" w:fill="D9D9D9"/>
          </w:tcPr>
          <w:p w:rsidR="007C5447" w:rsidRDefault="007C5447">
            <w:pPr>
              <w:pStyle w:val="TableParagraph"/>
              <w:jc w:val="left"/>
            </w:pPr>
          </w:p>
        </w:tc>
        <w:tc>
          <w:tcPr>
            <w:tcW w:w="1277" w:type="dxa"/>
            <w:shd w:val="clear" w:color="auto" w:fill="D9D9D9"/>
          </w:tcPr>
          <w:p w:rsidR="007C5447" w:rsidRDefault="007C5447">
            <w:pPr>
              <w:pStyle w:val="TableParagraph"/>
              <w:jc w:val="left"/>
            </w:pPr>
          </w:p>
        </w:tc>
        <w:tc>
          <w:tcPr>
            <w:tcW w:w="1274" w:type="dxa"/>
            <w:shd w:val="clear" w:color="auto" w:fill="D9D9D9"/>
          </w:tcPr>
          <w:p w:rsidR="007C5447" w:rsidRDefault="007C5447">
            <w:pPr>
              <w:pStyle w:val="TableParagraph"/>
              <w:jc w:val="left"/>
            </w:pPr>
          </w:p>
        </w:tc>
      </w:tr>
      <w:tr w:rsidR="007C5447">
        <w:trPr>
          <w:trHeight w:val="359"/>
        </w:trPr>
        <w:tc>
          <w:tcPr>
            <w:tcW w:w="434" w:type="dxa"/>
          </w:tcPr>
          <w:p w:rsidR="007C5447" w:rsidRDefault="00F6308C">
            <w:pPr>
              <w:pStyle w:val="TableParagraph"/>
              <w:spacing w:before="65"/>
              <w:ind w:left="6"/>
              <w:jc w:val="center"/>
              <w:rPr>
                <w:sz w:val="20"/>
              </w:rPr>
            </w:pPr>
            <w:r>
              <w:rPr>
                <w:w w:val="99"/>
                <w:sz w:val="20"/>
              </w:rPr>
              <w:t>1</w:t>
            </w:r>
          </w:p>
        </w:tc>
        <w:tc>
          <w:tcPr>
            <w:tcW w:w="2127" w:type="dxa"/>
          </w:tcPr>
          <w:p w:rsidR="007C5447" w:rsidRDefault="00F6308C">
            <w:pPr>
              <w:pStyle w:val="TableParagraph"/>
              <w:spacing w:before="65"/>
              <w:ind w:left="105"/>
              <w:jc w:val="left"/>
              <w:rPr>
                <w:sz w:val="20"/>
              </w:rPr>
            </w:pPr>
            <w:r>
              <w:rPr>
                <w:sz w:val="20"/>
              </w:rPr>
              <w:t>Ennore TPS</w:t>
            </w:r>
          </w:p>
        </w:tc>
        <w:tc>
          <w:tcPr>
            <w:tcW w:w="1274" w:type="dxa"/>
          </w:tcPr>
          <w:p w:rsidR="007C5447" w:rsidRDefault="00F6308C">
            <w:pPr>
              <w:pStyle w:val="TableParagraph"/>
              <w:spacing w:before="65"/>
              <w:ind w:right="97"/>
              <w:rPr>
                <w:sz w:val="20"/>
              </w:rPr>
            </w:pPr>
            <w:r>
              <w:rPr>
                <w:sz w:val="20"/>
              </w:rPr>
              <w:t>2,508</w:t>
            </w:r>
          </w:p>
        </w:tc>
        <w:tc>
          <w:tcPr>
            <w:tcW w:w="1277" w:type="dxa"/>
          </w:tcPr>
          <w:p w:rsidR="007C5447" w:rsidRDefault="00F6308C">
            <w:pPr>
              <w:pStyle w:val="TableParagraph"/>
              <w:spacing w:before="65"/>
              <w:ind w:right="97"/>
              <w:rPr>
                <w:sz w:val="20"/>
              </w:rPr>
            </w:pPr>
            <w:r>
              <w:rPr>
                <w:w w:val="95"/>
                <w:sz w:val="20"/>
              </w:rPr>
              <w:t>2,813</w:t>
            </w:r>
          </w:p>
        </w:tc>
        <w:tc>
          <w:tcPr>
            <w:tcW w:w="1274" w:type="dxa"/>
          </w:tcPr>
          <w:p w:rsidR="007C5447" w:rsidRDefault="00F6308C">
            <w:pPr>
              <w:pStyle w:val="TableParagraph"/>
              <w:spacing w:before="65"/>
              <w:ind w:right="94"/>
              <w:rPr>
                <w:sz w:val="20"/>
              </w:rPr>
            </w:pPr>
            <w:r>
              <w:rPr>
                <w:w w:val="95"/>
                <w:sz w:val="20"/>
              </w:rPr>
              <w:t>2,614</w:t>
            </w:r>
          </w:p>
        </w:tc>
        <w:tc>
          <w:tcPr>
            <w:tcW w:w="1277" w:type="dxa"/>
          </w:tcPr>
          <w:p w:rsidR="007C5447" w:rsidRDefault="00F6308C">
            <w:pPr>
              <w:pStyle w:val="TableParagraph"/>
              <w:spacing w:before="65"/>
              <w:ind w:right="96"/>
              <w:rPr>
                <w:sz w:val="20"/>
              </w:rPr>
            </w:pPr>
            <w:r>
              <w:rPr>
                <w:sz w:val="20"/>
              </w:rPr>
              <w:t>2,872</w:t>
            </w:r>
          </w:p>
        </w:tc>
        <w:tc>
          <w:tcPr>
            <w:tcW w:w="1274" w:type="dxa"/>
          </w:tcPr>
          <w:p w:rsidR="007C5447" w:rsidRDefault="00F6308C">
            <w:pPr>
              <w:pStyle w:val="TableParagraph"/>
              <w:spacing w:before="65"/>
              <w:ind w:right="95"/>
              <w:rPr>
                <w:sz w:val="20"/>
              </w:rPr>
            </w:pPr>
            <w:r>
              <w:rPr>
                <w:w w:val="95"/>
                <w:sz w:val="20"/>
              </w:rPr>
              <w:t>3,028</w:t>
            </w:r>
          </w:p>
        </w:tc>
      </w:tr>
      <w:tr w:rsidR="007C5447">
        <w:trPr>
          <w:trHeight w:val="359"/>
        </w:trPr>
        <w:tc>
          <w:tcPr>
            <w:tcW w:w="434" w:type="dxa"/>
          </w:tcPr>
          <w:p w:rsidR="007C5447" w:rsidRDefault="00F6308C">
            <w:pPr>
              <w:pStyle w:val="TableParagraph"/>
              <w:spacing w:before="65"/>
              <w:ind w:left="6"/>
              <w:jc w:val="center"/>
              <w:rPr>
                <w:sz w:val="20"/>
              </w:rPr>
            </w:pPr>
            <w:r>
              <w:rPr>
                <w:w w:val="99"/>
                <w:sz w:val="20"/>
              </w:rPr>
              <w:t>2</w:t>
            </w:r>
          </w:p>
        </w:tc>
        <w:tc>
          <w:tcPr>
            <w:tcW w:w="2127" w:type="dxa"/>
          </w:tcPr>
          <w:p w:rsidR="007C5447" w:rsidRDefault="00F6308C">
            <w:pPr>
              <w:pStyle w:val="TableParagraph"/>
              <w:spacing w:before="65"/>
              <w:ind w:left="105"/>
              <w:jc w:val="left"/>
              <w:rPr>
                <w:sz w:val="20"/>
              </w:rPr>
            </w:pPr>
            <w:r>
              <w:rPr>
                <w:sz w:val="20"/>
              </w:rPr>
              <w:t>Tuticorin TPS</w:t>
            </w:r>
          </w:p>
        </w:tc>
        <w:tc>
          <w:tcPr>
            <w:tcW w:w="1274" w:type="dxa"/>
          </w:tcPr>
          <w:p w:rsidR="007C5447" w:rsidRDefault="00F6308C">
            <w:pPr>
              <w:pStyle w:val="TableParagraph"/>
              <w:spacing w:before="65"/>
              <w:ind w:right="97"/>
              <w:rPr>
                <w:sz w:val="20"/>
              </w:rPr>
            </w:pPr>
            <w:r>
              <w:rPr>
                <w:sz w:val="20"/>
              </w:rPr>
              <w:t>4,040</w:t>
            </w:r>
          </w:p>
        </w:tc>
        <w:tc>
          <w:tcPr>
            <w:tcW w:w="1277" w:type="dxa"/>
          </w:tcPr>
          <w:p w:rsidR="007C5447" w:rsidRDefault="00F6308C">
            <w:pPr>
              <w:pStyle w:val="TableParagraph"/>
              <w:spacing w:before="65"/>
              <w:ind w:right="97"/>
              <w:rPr>
                <w:sz w:val="20"/>
              </w:rPr>
            </w:pPr>
            <w:r>
              <w:rPr>
                <w:w w:val="95"/>
                <w:sz w:val="20"/>
              </w:rPr>
              <w:t>3,679</w:t>
            </w:r>
          </w:p>
        </w:tc>
        <w:tc>
          <w:tcPr>
            <w:tcW w:w="1274" w:type="dxa"/>
          </w:tcPr>
          <w:p w:rsidR="007C5447" w:rsidRDefault="00F6308C">
            <w:pPr>
              <w:pStyle w:val="TableParagraph"/>
              <w:spacing w:before="65"/>
              <w:ind w:right="94"/>
              <w:rPr>
                <w:sz w:val="20"/>
              </w:rPr>
            </w:pPr>
            <w:r>
              <w:rPr>
                <w:w w:val="95"/>
                <w:sz w:val="20"/>
              </w:rPr>
              <w:t>3,805</w:t>
            </w:r>
          </w:p>
        </w:tc>
        <w:tc>
          <w:tcPr>
            <w:tcW w:w="1277" w:type="dxa"/>
          </w:tcPr>
          <w:p w:rsidR="007C5447" w:rsidRDefault="00F6308C">
            <w:pPr>
              <w:pStyle w:val="TableParagraph"/>
              <w:spacing w:before="65"/>
              <w:ind w:right="96"/>
              <w:rPr>
                <w:sz w:val="20"/>
              </w:rPr>
            </w:pPr>
            <w:r>
              <w:rPr>
                <w:sz w:val="20"/>
              </w:rPr>
              <w:t>4,163</w:t>
            </w:r>
          </w:p>
        </w:tc>
        <w:tc>
          <w:tcPr>
            <w:tcW w:w="1274" w:type="dxa"/>
          </w:tcPr>
          <w:p w:rsidR="007C5447" w:rsidRDefault="00F6308C">
            <w:pPr>
              <w:pStyle w:val="TableParagraph"/>
              <w:spacing w:before="65"/>
              <w:ind w:right="95"/>
              <w:rPr>
                <w:sz w:val="20"/>
              </w:rPr>
            </w:pPr>
            <w:r>
              <w:rPr>
                <w:w w:val="95"/>
                <w:sz w:val="20"/>
              </w:rPr>
              <w:t>3,795</w:t>
            </w:r>
          </w:p>
        </w:tc>
      </w:tr>
      <w:tr w:rsidR="007C5447">
        <w:trPr>
          <w:trHeight w:val="359"/>
        </w:trPr>
        <w:tc>
          <w:tcPr>
            <w:tcW w:w="434" w:type="dxa"/>
          </w:tcPr>
          <w:p w:rsidR="007C5447" w:rsidRDefault="00F6308C">
            <w:pPr>
              <w:pStyle w:val="TableParagraph"/>
              <w:spacing w:before="65"/>
              <w:ind w:left="6"/>
              <w:jc w:val="center"/>
              <w:rPr>
                <w:sz w:val="20"/>
              </w:rPr>
            </w:pPr>
            <w:r>
              <w:rPr>
                <w:w w:val="99"/>
                <w:sz w:val="20"/>
              </w:rPr>
              <w:t>3</w:t>
            </w:r>
          </w:p>
        </w:tc>
        <w:tc>
          <w:tcPr>
            <w:tcW w:w="2127" w:type="dxa"/>
          </w:tcPr>
          <w:p w:rsidR="007C5447" w:rsidRDefault="00F6308C">
            <w:pPr>
              <w:pStyle w:val="TableParagraph"/>
              <w:spacing w:before="65"/>
              <w:ind w:left="105"/>
              <w:jc w:val="left"/>
              <w:rPr>
                <w:sz w:val="20"/>
              </w:rPr>
            </w:pPr>
            <w:r>
              <w:rPr>
                <w:sz w:val="20"/>
              </w:rPr>
              <w:t>Mettur TPS</w:t>
            </w:r>
          </w:p>
        </w:tc>
        <w:tc>
          <w:tcPr>
            <w:tcW w:w="1274" w:type="dxa"/>
          </w:tcPr>
          <w:p w:rsidR="007C5447" w:rsidRDefault="00F6308C">
            <w:pPr>
              <w:pStyle w:val="TableParagraph"/>
              <w:spacing w:before="65"/>
              <w:ind w:right="97"/>
              <w:rPr>
                <w:sz w:val="20"/>
              </w:rPr>
            </w:pPr>
            <w:r>
              <w:rPr>
                <w:sz w:val="20"/>
              </w:rPr>
              <w:t>3,674</w:t>
            </w:r>
          </w:p>
        </w:tc>
        <w:tc>
          <w:tcPr>
            <w:tcW w:w="1277" w:type="dxa"/>
          </w:tcPr>
          <w:p w:rsidR="007C5447" w:rsidRDefault="00F6308C">
            <w:pPr>
              <w:pStyle w:val="TableParagraph"/>
              <w:spacing w:before="65"/>
              <w:ind w:right="97"/>
              <w:rPr>
                <w:sz w:val="20"/>
              </w:rPr>
            </w:pPr>
            <w:r>
              <w:rPr>
                <w:w w:val="95"/>
                <w:sz w:val="20"/>
              </w:rPr>
              <w:t>4,203</w:t>
            </w:r>
          </w:p>
        </w:tc>
        <w:tc>
          <w:tcPr>
            <w:tcW w:w="1274" w:type="dxa"/>
          </w:tcPr>
          <w:p w:rsidR="007C5447" w:rsidRDefault="00F6308C">
            <w:pPr>
              <w:pStyle w:val="TableParagraph"/>
              <w:spacing w:before="65"/>
              <w:ind w:right="94"/>
              <w:rPr>
                <w:sz w:val="20"/>
              </w:rPr>
            </w:pPr>
            <w:r>
              <w:rPr>
                <w:w w:val="95"/>
                <w:sz w:val="20"/>
              </w:rPr>
              <w:t>4,516</w:t>
            </w:r>
          </w:p>
        </w:tc>
        <w:tc>
          <w:tcPr>
            <w:tcW w:w="1277" w:type="dxa"/>
          </w:tcPr>
          <w:p w:rsidR="007C5447" w:rsidRDefault="00F6308C">
            <w:pPr>
              <w:pStyle w:val="TableParagraph"/>
              <w:spacing w:before="65"/>
              <w:ind w:right="96"/>
              <w:rPr>
                <w:sz w:val="20"/>
              </w:rPr>
            </w:pPr>
            <w:r>
              <w:rPr>
                <w:sz w:val="20"/>
              </w:rPr>
              <w:t>4,652</w:t>
            </w:r>
          </w:p>
        </w:tc>
        <w:tc>
          <w:tcPr>
            <w:tcW w:w="1274" w:type="dxa"/>
          </w:tcPr>
          <w:p w:rsidR="007C5447" w:rsidRDefault="00F6308C">
            <w:pPr>
              <w:pStyle w:val="TableParagraph"/>
              <w:spacing w:before="65"/>
              <w:ind w:right="95"/>
              <w:rPr>
                <w:sz w:val="20"/>
              </w:rPr>
            </w:pPr>
            <w:r>
              <w:rPr>
                <w:w w:val="95"/>
                <w:sz w:val="20"/>
              </w:rPr>
              <w:t>4,515</w:t>
            </w:r>
          </w:p>
        </w:tc>
      </w:tr>
      <w:tr w:rsidR="007C5447">
        <w:trPr>
          <w:trHeight w:val="359"/>
        </w:trPr>
        <w:tc>
          <w:tcPr>
            <w:tcW w:w="434" w:type="dxa"/>
          </w:tcPr>
          <w:p w:rsidR="007C5447" w:rsidRDefault="00F6308C">
            <w:pPr>
              <w:pStyle w:val="TableParagraph"/>
              <w:spacing w:before="65"/>
              <w:ind w:left="6"/>
              <w:jc w:val="center"/>
              <w:rPr>
                <w:sz w:val="20"/>
              </w:rPr>
            </w:pPr>
            <w:r>
              <w:rPr>
                <w:w w:val="99"/>
                <w:sz w:val="20"/>
              </w:rPr>
              <w:t>4</w:t>
            </w:r>
          </w:p>
        </w:tc>
        <w:tc>
          <w:tcPr>
            <w:tcW w:w="2127" w:type="dxa"/>
          </w:tcPr>
          <w:p w:rsidR="007C5447" w:rsidRDefault="00F6308C">
            <w:pPr>
              <w:pStyle w:val="TableParagraph"/>
              <w:spacing w:before="65"/>
              <w:ind w:left="105"/>
              <w:jc w:val="left"/>
              <w:rPr>
                <w:sz w:val="20"/>
              </w:rPr>
            </w:pPr>
            <w:r>
              <w:rPr>
                <w:sz w:val="20"/>
              </w:rPr>
              <w:t>Mettur Stage III TPS</w:t>
            </w:r>
          </w:p>
        </w:tc>
        <w:tc>
          <w:tcPr>
            <w:tcW w:w="1274" w:type="dxa"/>
          </w:tcPr>
          <w:p w:rsidR="007C5447" w:rsidRDefault="00F6308C">
            <w:pPr>
              <w:pStyle w:val="TableParagraph"/>
              <w:spacing w:before="65"/>
              <w:ind w:right="93"/>
              <w:rPr>
                <w:sz w:val="20"/>
              </w:rPr>
            </w:pPr>
            <w:r>
              <w:rPr>
                <w:w w:val="99"/>
                <w:sz w:val="20"/>
              </w:rPr>
              <w:t>-</w:t>
            </w:r>
          </w:p>
        </w:tc>
        <w:tc>
          <w:tcPr>
            <w:tcW w:w="1277" w:type="dxa"/>
          </w:tcPr>
          <w:p w:rsidR="007C5447" w:rsidRDefault="00F6308C">
            <w:pPr>
              <w:pStyle w:val="TableParagraph"/>
              <w:spacing w:before="65"/>
              <w:ind w:right="93"/>
              <w:rPr>
                <w:sz w:val="20"/>
              </w:rPr>
            </w:pPr>
            <w:r>
              <w:rPr>
                <w:w w:val="99"/>
                <w:sz w:val="20"/>
              </w:rPr>
              <w:t>-</w:t>
            </w:r>
          </w:p>
        </w:tc>
        <w:tc>
          <w:tcPr>
            <w:tcW w:w="1274" w:type="dxa"/>
          </w:tcPr>
          <w:p w:rsidR="007C5447" w:rsidRDefault="00F6308C">
            <w:pPr>
              <w:pStyle w:val="TableParagraph"/>
              <w:spacing w:before="65"/>
              <w:ind w:right="94"/>
              <w:rPr>
                <w:sz w:val="20"/>
              </w:rPr>
            </w:pPr>
            <w:r>
              <w:rPr>
                <w:w w:val="95"/>
                <w:sz w:val="20"/>
              </w:rPr>
              <w:t>4,140</w:t>
            </w:r>
          </w:p>
        </w:tc>
        <w:tc>
          <w:tcPr>
            <w:tcW w:w="1277" w:type="dxa"/>
          </w:tcPr>
          <w:p w:rsidR="007C5447" w:rsidRDefault="00F6308C">
            <w:pPr>
              <w:pStyle w:val="TableParagraph"/>
              <w:spacing w:before="65"/>
              <w:ind w:right="96"/>
              <w:rPr>
                <w:sz w:val="20"/>
              </w:rPr>
            </w:pPr>
            <w:r>
              <w:rPr>
                <w:sz w:val="20"/>
              </w:rPr>
              <w:t>4,140</w:t>
            </w:r>
          </w:p>
        </w:tc>
        <w:tc>
          <w:tcPr>
            <w:tcW w:w="1274" w:type="dxa"/>
          </w:tcPr>
          <w:p w:rsidR="007C5447" w:rsidRDefault="00F6308C">
            <w:pPr>
              <w:pStyle w:val="TableParagraph"/>
              <w:spacing w:before="65"/>
              <w:ind w:right="95"/>
              <w:rPr>
                <w:sz w:val="20"/>
              </w:rPr>
            </w:pPr>
            <w:r>
              <w:rPr>
                <w:w w:val="95"/>
                <w:sz w:val="20"/>
              </w:rPr>
              <w:t>4,465</w:t>
            </w:r>
          </w:p>
        </w:tc>
      </w:tr>
      <w:tr w:rsidR="007C5447">
        <w:trPr>
          <w:trHeight w:val="362"/>
        </w:trPr>
        <w:tc>
          <w:tcPr>
            <w:tcW w:w="434" w:type="dxa"/>
          </w:tcPr>
          <w:p w:rsidR="007C5447" w:rsidRDefault="00F6308C">
            <w:pPr>
              <w:pStyle w:val="TableParagraph"/>
              <w:spacing w:before="67"/>
              <w:ind w:left="6"/>
              <w:jc w:val="center"/>
              <w:rPr>
                <w:sz w:val="20"/>
              </w:rPr>
            </w:pPr>
            <w:r>
              <w:rPr>
                <w:w w:val="99"/>
                <w:sz w:val="20"/>
              </w:rPr>
              <w:t>5</w:t>
            </w:r>
          </w:p>
        </w:tc>
        <w:tc>
          <w:tcPr>
            <w:tcW w:w="2127" w:type="dxa"/>
          </w:tcPr>
          <w:p w:rsidR="007C5447" w:rsidRDefault="00F6308C">
            <w:pPr>
              <w:pStyle w:val="TableParagraph"/>
              <w:spacing w:before="67"/>
              <w:ind w:left="105"/>
              <w:jc w:val="left"/>
              <w:rPr>
                <w:sz w:val="20"/>
              </w:rPr>
            </w:pPr>
            <w:r>
              <w:rPr>
                <w:sz w:val="20"/>
              </w:rPr>
              <w:t>North Chennai TPS</w:t>
            </w:r>
          </w:p>
        </w:tc>
        <w:tc>
          <w:tcPr>
            <w:tcW w:w="1274" w:type="dxa"/>
          </w:tcPr>
          <w:p w:rsidR="007C5447" w:rsidRDefault="00F6308C">
            <w:pPr>
              <w:pStyle w:val="TableParagraph"/>
              <w:spacing w:before="67"/>
              <w:ind w:right="97"/>
              <w:rPr>
                <w:sz w:val="20"/>
              </w:rPr>
            </w:pPr>
            <w:r>
              <w:rPr>
                <w:sz w:val="20"/>
              </w:rPr>
              <w:t>4,149</w:t>
            </w:r>
          </w:p>
        </w:tc>
        <w:tc>
          <w:tcPr>
            <w:tcW w:w="1277" w:type="dxa"/>
          </w:tcPr>
          <w:p w:rsidR="007C5447" w:rsidRDefault="00F6308C">
            <w:pPr>
              <w:pStyle w:val="TableParagraph"/>
              <w:spacing w:before="67"/>
              <w:ind w:right="97"/>
              <w:rPr>
                <w:sz w:val="20"/>
              </w:rPr>
            </w:pPr>
            <w:r>
              <w:rPr>
                <w:w w:val="95"/>
                <w:sz w:val="20"/>
              </w:rPr>
              <w:t>4,899</w:t>
            </w:r>
          </w:p>
        </w:tc>
        <w:tc>
          <w:tcPr>
            <w:tcW w:w="1274" w:type="dxa"/>
          </w:tcPr>
          <w:p w:rsidR="007C5447" w:rsidRDefault="00F6308C">
            <w:pPr>
              <w:pStyle w:val="TableParagraph"/>
              <w:spacing w:before="67"/>
              <w:ind w:right="94"/>
              <w:rPr>
                <w:sz w:val="20"/>
              </w:rPr>
            </w:pPr>
            <w:r>
              <w:rPr>
                <w:w w:val="95"/>
                <w:sz w:val="20"/>
              </w:rPr>
              <w:t>3,926</w:t>
            </w:r>
          </w:p>
        </w:tc>
        <w:tc>
          <w:tcPr>
            <w:tcW w:w="1277" w:type="dxa"/>
          </w:tcPr>
          <w:p w:rsidR="007C5447" w:rsidRDefault="00F6308C">
            <w:pPr>
              <w:pStyle w:val="TableParagraph"/>
              <w:spacing w:before="67"/>
              <w:ind w:right="96"/>
              <w:rPr>
                <w:sz w:val="20"/>
              </w:rPr>
            </w:pPr>
            <w:r>
              <w:rPr>
                <w:sz w:val="20"/>
              </w:rPr>
              <w:t>3,923</w:t>
            </w:r>
          </w:p>
        </w:tc>
        <w:tc>
          <w:tcPr>
            <w:tcW w:w="1274" w:type="dxa"/>
          </w:tcPr>
          <w:p w:rsidR="007C5447" w:rsidRDefault="00F6308C">
            <w:pPr>
              <w:pStyle w:val="TableParagraph"/>
              <w:spacing w:before="67"/>
              <w:ind w:right="95"/>
              <w:rPr>
                <w:sz w:val="20"/>
              </w:rPr>
            </w:pPr>
            <w:r>
              <w:rPr>
                <w:w w:val="95"/>
                <w:sz w:val="20"/>
              </w:rPr>
              <w:t>3,673</w:t>
            </w:r>
          </w:p>
        </w:tc>
      </w:tr>
      <w:tr w:rsidR="007C5447">
        <w:trPr>
          <w:trHeight w:val="489"/>
        </w:trPr>
        <w:tc>
          <w:tcPr>
            <w:tcW w:w="434" w:type="dxa"/>
          </w:tcPr>
          <w:p w:rsidR="007C5447" w:rsidRDefault="00F6308C">
            <w:pPr>
              <w:pStyle w:val="TableParagraph"/>
              <w:spacing w:before="130"/>
              <w:ind w:left="6"/>
              <w:jc w:val="center"/>
              <w:rPr>
                <w:sz w:val="20"/>
              </w:rPr>
            </w:pPr>
            <w:r>
              <w:rPr>
                <w:w w:val="99"/>
                <w:sz w:val="20"/>
              </w:rPr>
              <w:t>6</w:t>
            </w:r>
          </w:p>
        </w:tc>
        <w:tc>
          <w:tcPr>
            <w:tcW w:w="2127" w:type="dxa"/>
          </w:tcPr>
          <w:p w:rsidR="007C5447" w:rsidRDefault="00F6308C">
            <w:pPr>
              <w:pStyle w:val="TableParagraph"/>
              <w:spacing w:before="14" w:line="230" w:lineRule="atLeast"/>
              <w:ind w:left="105" w:right="131"/>
              <w:jc w:val="left"/>
              <w:rPr>
                <w:sz w:val="20"/>
              </w:rPr>
            </w:pPr>
            <w:r>
              <w:rPr>
                <w:sz w:val="20"/>
              </w:rPr>
              <w:t>North Chennai Stage II TPS</w:t>
            </w:r>
          </w:p>
        </w:tc>
        <w:tc>
          <w:tcPr>
            <w:tcW w:w="1274" w:type="dxa"/>
          </w:tcPr>
          <w:p w:rsidR="007C5447" w:rsidRDefault="00F6308C">
            <w:pPr>
              <w:pStyle w:val="TableParagraph"/>
              <w:spacing w:before="130"/>
              <w:ind w:right="93"/>
              <w:rPr>
                <w:sz w:val="20"/>
              </w:rPr>
            </w:pPr>
            <w:r>
              <w:rPr>
                <w:w w:val="99"/>
                <w:sz w:val="20"/>
              </w:rPr>
              <w:t>-</w:t>
            </w:r>
          </w:p>
        </w:tc>
        <w:tc>
          <w:tcPr>
            <w:tcW w:w="1277" w:type="dxa"/>
          </w:tcPr>
          <w:p w:rsidR="007C5447" w:rsidRDefault="00F6308C">
            <w:pPr>
              <w:pStyle w:val="TableParagraph"/>
              <w:spacing w:before="130"/>
              <w:ind w:right="93"/>
              <w:rPr>
                <w:sz w:val="20"/>
              </w:rPr>
            </w:pPr>
            <w:r>
              <w:rPr>
                <w:w w:val="99"/>
                <w:sz w:val="20"/>
              </w:rPr>
              <w:t>-</w:t>
            </w:r>
          </w:p>
        </w:tc>
        <w:tc>
          <w:tcPr>
            <w:tcW w:w="1274" w:type="dxa"/>
          </w:tcPr>
          <w:p w:rsidR="007C5447" w:rsidRDefault="00F6308C">
            <w:pPr>
              <w:pStyle w:val="TableParagraph"/>
              <w:spacing w:before="130"/>
              <w:ind w:right="94"/>
              <w:rPr>
                <w:sz w:val="20"/>
              </w:rPr>
            </w:pPr>
            <w:r>
              <w:rPr>
                <w:w w:val="95"/>
                <w:sz w:val="20"/>
              </w:rPr>
              <w:t>3,949</w:t>
            </w:r>
          </w:p>
        </w:tc>
        <w:tc>
          <w:tcPr>
            <w:tcW w:w="1277" w:type="dxa"/>
          </w:tcPr>
          <w:p w:rsidR="007C5447" w:rsidRDefault="00F6308C">
            <w:pPr>
              <w:pStyle w:val="TableParagraph"/>
              <w:spacing w:before="130"/>
              <w:ind w:right="96"/>
              <w:rPr>
                <w:sz w:val="20"/>
              </w:rPr>
            </w:pPr>
            <w:r>
              <w:rPr>
                <w:sz w:val="20"/>
              </w:rPr>
              <w:t>3,949</w:t>
            </w:r>
          </w:p>
        </w:tc>
        <w:tc>
          <w:tcPr>
            <w:tcW w:w="1274" w:type="dxa"/>
          </w:tcPr>
          <w:p w:rsidR="007C5447" w:rsidRDefault="00F6308C">
            <w:pPr>
              <w:pStyle w:val="TableParagraph"/>
              <w:spacing w:before="130"/>
              <w:ind w:right="95"/>
              <w:rPr>
                <w:sz w:val="20"/>
              </w:rPr>
            </w:pPr>
            <w:r>
              <w:rPr>
                <w:w w:val="95"/>
                <w:sz w:val="20"/>
              </w:rPr>
              <w:t>5,167</w:t>
            </w:r>
          </w:p>
        </w:tc>
      </w:tr>
      <w:tr w:rsidR="007C5447">
        <w:trPr>
          <w:trHeight w:val="359"/>
        </w:trPr>
        <w:tc>
          <w:tcPr>
            <w:tcW w:w="434" w:type="dxa"/>
            <w:shd w:val="clear" w:color="auto" w:fill="D9D9D9"/>
          </w:tcPr>
          <w:p w:rsidR="007C5447" w:rsidRDefault="00F6308C">
            <w:pPr>
              <w:pStyle w:val="TableParagraph"/>
              <w:spacing w:before="65"/>
              <w:ind w:left="6"/>
              <w:jc w:val="center"/>
              <w:rPr>
                <w:b/>
                <w:sz w:val="20"/>
              </w:rPr>
            </w:pPr>
            <w:r>
              <w:rPr>
                <w:b/>
                <w:w w:val="99"/>
                <w:sz w:val="20"/>
              </w:rPr>
              <w:t>B</w:t>
            </w:r>
          </w:p>
        </w:tc>
        <w:tc>
          <w:tcPr>
            <w:tcW w:w="2127" w:type="dxa"/>
            <w:shd w:val="clear" w:color="auto" w:fill="D9D9D9"/>
          </w:tcPr>
          <w:p w:rsidR="007C5447" w:rsidRDefault="00F6308C">
            <w:pPr>
              <w:pStyle w:val="TableParagraph"/>
              <w:spacing w:before="65"/>
              <w:ind w:left="105"/>
              <w:jc w:val="left"/>
              <w:rPr>
                <w:b/>
                <w:sz w:val="20"/>
              </w:rPr>
            </w:pPr>
            <w:r>
              <w:rPr>
                <w:b/>
                <w:sz w:val="20"/>
              </w:rPr>
              <w:t>Gas</w:t>
            </w:r>
          </w:p>
        </w:tc>
        <w:tc>
          <w:tcPr>
            <w:tcW w:w="1274" w:type="dxa"/>
            <w:shd w:val="clear" w:color="auto" w:fill="D9D9D9"/>
          </w:tcPr>
          <w:p w:rsidR="007C5447" w:rsidRDefault="007C5447">
            <w:pPr>
              <w:pStyle w:val="TableParagraph"/>
              <w:jc w:val="left"/>
            </w:pPr>
          </w:p>
        </w:tc>
        <w:tc>
          <w:tcPr>
            <w:tcW w:w="1277" w:type="dxa"/>
            <w:shd w:val="clear" w:color="auto" w:fill="D9D9D9"/>
          </w:tcPr>
          <w:p w:rsidR="007C5447" w:rsidRDefault="007C5447">
            <w:pPr>
              <w:pStyle w:val="TableParagraph"/>
              <w:jc w:val="left"/>
            </w:pPr>
          </w:p>
        </w:tc>
        <w:tc>
          <w:tcPr>
            <w:tcW w:w="1274" w:type="dxa"/>
            <w:shd w:val="clear" w:color="auto" w:fill="D9D9D9"/>
          </w:tcPr>
          <w:p w:rsidR="007C5447" w:rsidRDefault="007C5447">
            <w:pPr>
              <w:pStyle w:val="TableParagraph"/>
              <w:jc w:val="left"/>
            </w:pPr>
          </w:p>
        </w:tc>
        <w:tc>
          <w:tcPr>
            <w:tcW w:w="1277" w:type="dxa"/>
            <w:shd w:val="clear" w:color="auto" w:fill="D9D9D9"/>
          </w:tcPr>
          <w:p w:rsidR="007C5447" w:rsidRDefault="007C5447">
            <w:pPr>
              <w:pStyle w:val="TableParagraph"/>
              <w:jc w:val="left"/>
            </w:pPr>
          </w:p>
        </w:tc>
        <w:tc>
          <w:tcPr>
            <w:tcW w:w="1274" w:type="dxa"/>
            <w:shd w:val="clear" w:color="auto" w:fill="D9D9D9"/>
          </w:tcPr>
          <w:p w:rsidR="007C5447" w:rsidRDefault="007C5447">
            <w:pPr>
              <w:pStyle w:val="TableParagraph"/>
              <w:jc w:val="left"/>
            </w:pPr>
          </w:p>
        </w:tc>
      </w:tr>
      <w:tr w:rsidR="007C5447">
        <w:trPr>
          <w:trHeight w:val="359"/>
        </w:trPr>
        <w:tc>
          <w:tcPr>
            <w:tcW w:w="434" w:type="dxa"/>
          </w:tcPr>
          <w:p w:rsidR="007C5447" w:rsidRDefault="00F6308C">
            <w:pPr>
              <w:pStyle w:val="TableParagraph"/>
              <w:spacing w:before="65"/>
              <w:ind w:left="6"/>
              <w:jc w:val="center"/>
              <w:rPr>
                <w:sz w:val="20"/>
              </w:rPr>
            </w:pPr>
            <w:r>
              <w:rPr>
                <w:w w:val="99"/>
                <w:sz w:val="20"/>
              </w:rPr>
              <w:t>1</w:t>
            </w:r>
          </w:p>
        </w:tc>
        <w:tc>
          <w:tcPr>
            <w:tcW w:w="2127" w:type="dxa"/>
          </w:tcPr>
          <w:p w:rsidR="007C5447" w:rsidRDefault="00F6308C">
            <w:pPr>
              <w:pStyle w:val="TableParagraph"/>
              <w:spacing w:before="65"/>
              <w:ind w:left="105"/>
              <w:jc w:val="left"/>
              <w:rPr>
                <w:sz w:val="20"/>
              </w:rPr>
            </w:pPr>
            <w:r>
              <w:rPr>
                <w:sz w:val="20"/>
              </w:rPr>
              <w:t>Tirumakottai GTPS</w:t>
            </w:r>
          </w:p>
        </w:tc>
        <w:tc>
          <w:tcPr>
            <w:tcW w:w="1274" w:type="dxa"/>
          </w:tcPr>
          <w:p w:rsidR="007C5447" w:rsidRDefault="00F6308C">
            <w:pPr>
              <w:pStyle w:val="TableParagraph"/>
              <w:spacing w:before="65"/>
              <w:ind w:right="97"/>
              <w:rPr>
                <w:sz w:val="20"/>
              </w:rPr>
            </w:pPr>
            <w:r>
              <w:rPr>
                <w:sz w:val="20"/>
              </w:rPr>
              <w:t>8.84</w:t>
            </w:r>
          </w:p>
        </w:tc>
        <w:tc>
          <w:tcPr>
            <w:tcW w:w="1277" w:type="dxa"/>
          </w:tcPr>
          <w:p w:rsidR="007C5447" w:rsidRDefault="00F6308C">
            <w:pPr>
              <w:pStyle w:val="TableParagraph"/>
              <w:spacing w:before="65"/>
              <w:ind w:right="97"/>
              <w:rPr>
                <w:sz w:val="20"/>
              </w:rPr>
            </w:pPr>
            <w:r>
              <w:rPr>
                <w:sz w:val="20"/>
              </w:rPr>
              <w:t>9.84</w:t>
            </w:r>
          </w:p>
        </w:tc>
        <w:tc>
          <w:tcPr>
            <w:tcW w:w="1274" w:type="dxa"/>
          </w:tcPr>
          <w:p w:rsidR="007C5447" w:rsidRDefault="00F6308C">
            <w:pPr>
              <w:pStyle w:val="TableParagraph"/>
              <w:spacing w:before="65"/>
              <w:ind w:right="94"/>
              <w:rPr>
                <w:sz w:val="20"/>
              </w:rPr>
            </w:pPr>
            <w:r>
              <w:rPr>
                <w:w w:val="95"/>
                <w:sz w:val="20"/>
              </w:rPr>
              <w:t>10.38</w:t>
            </w:r>
          </w:p>
        </w:tc>
        <w:tc>
          <w:tcPr>
            <w:tcW w:w="1277" w:type="dxa"/>
          </w:tcPr>
          <w:p w:rsidR="007C5447" w:rsidRDefault="00F6308C">
            <w:pPr>
              <w:pStyle w:val="TableParagraph"/>
              <w:spacing w:before="65"/>
              <w:ind w:right="96"/>
              <w:rPr>
                <w:sz w:val="20"/>
              </w:rPr>
            </w:pPr>
            <w:r>
              <w:rPr>
                <w:sz w:val="20"/>
              </w:rPr>
              <w:t>12.53</w:t>
            </w:r>
          </w:p>
        </w:tc>
        <w:tc>
          <w:tcPr>
            <w:tcW w:w="1274" w:type="dxa"/>
          </w:tcPr>
          <w:p w:rsidR="007C5447" w:rsidRDefault="00F6308C">
            <w:pPr>
              <w:pStyle w:val="TableParagraph"/>
              <w:spacing w:before="65"/>
              <w:ind w:right="95"/>
              <w:rPr>
                <w:sz w:val="20"/>
              </w:rPr>
            </w:pPr>
            <w:r>
              <w:rPr>
                <w:w w:val="95"/>
                <w:sz w:val="20"/>
              </w:rPr>
              <w:t>12.99</w:t>
            </w:r>
          </w:p>
        </w:tc>
      </w:tr>
      <w:tr w:rsidR="007C5447">
        <w:trPr>
          <w:trHeight w:val="359"/>
        </w:trPr>
        <w:tc>
          <w:tcPr>
            <w:tcW w:w="434" w:type="dxa"/>
          </w:tcPr>
          <w:p w:rsidR="007C5447" w:rsidRDefault="00F6308C">
            <w:pPr>
              <w:pStyle w:val="TableParagraph"/>
              <w:spacing w:before="65"/>
              <w:ind w:left="6"/>
              <w:jc w:val="center"/>
              <w:rPr>
                <w:sz w:val="20"/>
              </w:rPr>
            </w:pPr>
            <w:r>
              <w:rPr>
                <w:w w:val="99"/>
                <w:sz w:val="20"/>
              </w:rPr>
              <w:t>2</w:t>
            </w:r>
          </w:p>
        </w:tc>
        <w:tc>
          <w:tcPr>
            <w:tcW w:w="2127" w:type="dxa"/>
          </w:tcPr>
          <w:p w:rsidR="007C5447" w:rsidRDefault="00F6308C">
            <w:pPr>
              <w:pStyle w:val="TableParagraph"/>
              <w:spacing w:before="65"/>
              <w:ind w:left="105"/>
              <w:jc w:val="left"/>
              <w:rPr>
                <w:sz w:val="20"/>
              </w:rPr>
            </w:pPr>
            <w:r>
              <w:rPr>
                <w:sz w:val="20"/>
              </w:rPr>
              <w:t>Kuttalam GTPS</w:t>
            </w:r>
          </w:p>
        </w:tc>
        <w:tc>
          <w:tcPr>
            <w:tcW w:w="1274" w:type="dxa"/>
          </w:tcPr>
          <w:p w:rsidR="007C5447" w:rsidRDefault="00F6308C">
            <w:pPr>
              <w:pStyle w:val="TableParagraph"/>
              <w:spacing w:before="65"/>
              <w:ind w:right="97"/>
              <w:rPr>
                <w:sz w:val="20"/>
              </w:rPr>
            </w:pPr>
            <w:r>
              <w:rPr>
                <w:sz w:val="20"/>
              </w:rPr>
              <w:t>8.72</w:t>
            </w:r>
          </w:p>
        </w:tc>
        <w:tc>
          <w:tcPr>
            <w:tcW w:w="1277" w:type="dxa"/>
          </w:tcPr>
          <w:p w:rsidR="007C5447" w:rsidRDefault="00F6308C">
            <w:pPr>
              <w:pStyle w:val="TableParagraph"/>
              <w:spacing w:before="65"/>
              <w:ind w:right="97"/>
              <w:rPr>
                <w:sz w:val="20"/>
              </w:rPr>
            </w:pPr>
            <w:r>
              <w:rPr>
                <w:w w:val="95"/>
                <w:sz w:val="20"/>
              </w:rPr>
              <w:t>13.98</w:t>
            </w:r>
          </w:p>
        </w:tc>
        <w:tc>
          <w:tcPr>
            <w:tcW w:w="1274" w:type="dxa"/>
          </w:tcPr>
          <w:p w:rsidR="007C5447" w:rsidRDefault="00F6308C">
            <w:pPr>
              <w:pStyle w:val="TableParagraph"/>
              <w:spacing w:before="65"/>
              <w:ind w:right="94"/>
              <w:rPr>
                <w:sz w:val="20"/>
              </w:rPr>
            </w:pPr>
            <w:r>
              <w:rPr>
                <w:w w:val="95"/>
                <w:sz w:val="20"/>
              </w:rPr>
              <w:t>10.90</w:t>
            </w:r>
          </w:p>
        </w:tc>
        <w:tc>
          <w:tcPr>
            <w:tcW w:w="1277" w:type="dxa"/>
          </w:tcPr>
          <w:p w:rsidR="007C5447" w:rsidRDefault="00F6308C">
            <w:pPr>
              <w:pStyle w:val="TableParagraph"/>
              <w:spacing w:before="65"/>
              <w:ind w:right="96"/>
              <w:rPr>
                <w:sz w:val="20"/>
              </w:rPr>
            </w:pPr>
            <w:r>
              <w:rPr>
                <w:sz w:val="20"/>
              </w:rPr>
              <w:t>13.00</w:t>
            </w:r>
          </w:p>
        </w:tc>
        <w:tc>
          <w:tcPr>
            <w:tcW w:w="1274" w:type="dxa"/>
          </w:tcPr>
          <w:p w:rsidR="007C5447" w:rsidRDefault="00F6308C">
            <w:pPr>
              <w:pStyle w:val="TableParagraph"/>
              <w:spacing w:before="65"/>
              <w:ind w:right="95"/>
              <w:rPr>
                <w:sz w:val="20"/>
              </w:rPr>
            </w:pPr>
            <w:r>
              <w:rPr>
                <w:w w:val="95"/>
                <w:sz w:val="20"/>
              </w:rPr>
              <w:t>13.90</w:t>
            </w:r>
          </w:p>
        </w:tc>
      </w:tr>
      <w:tr w:rsidR="007C5447">
        <w:trPr>
          <w:trHeight w:val="362"/>
        </w:trPr>
        <w:tc>
          <w:tcPr>
            <w:tcW w:w="434" w:type="dxa"/>
          </w:tcPr>
          <w:p w:rsidR="007C5447" w:rsidRDefault="00F6308C">
            <w:pPr>
              <w:pStyle w:val="TableParagraph"/>
              <w:spacing w:before="68"/>
              <w:ind w:left="6"/>
              <w:jc w:val="center"/>
              <w:rPr>
                <w:sz w:val="20"/>
              </w:rPr>
            </w:pPr>
            <w:r>
              <w:rPr>
                <w:w w:val="99"/>
                <w:sz w:val="20"/>
              </w:rPr>
              <w:t>3</w:t>
            </w:r>
          </w:p>
        </w:tc>
        <w:tc>
          <w:tcPr>
            <w:tcW w:w="2127" w:type="dxa"/>
          </w:tcPr>
          <w:p w:rsidR="007C5447" w:rsidRDefault="00F6308C">
            <w:pPr>
              <w:pStyle w:val="TableParagraph"/>
              <w:spacing w:before="68"/>
              <w:ind w:left="105"/>
              <w:jc w:val="left"/>
              <w:rPr>
                <w:sz w:val="20"/>
              </w:rPr>
            </w:pPr>
            <w:r>
              <w:rPr>
                <w:sz w:val="20"/>
              </w:rPr>
              <w:t>Basin Bridge GTPS</w:t>
            </w:r>
          </w:p>
        </w:tc>
        <w:tc>
          <w:tcPr>
            <w:tcW w:w="1274" w:type="dxa"/>
          </w:tcPr>
          <w:p w:rsidR="007C5447" w:rsidRDefault="00F6308C">
            <w:pPr>
              <w:pStyle w:val="TableParagraph"/>
              <w:spacing w:before="68"/>
              <w:ind w:right="97"/>
              <w:rPr>
                <w:sz w:val="20"/>
              </w:rPr>
            </w:pPr>
            <w:r>
              <w:rPr>
                <w:sz w:val="20"/>
              </w:rPr>
              <w:t>59.27</w:t>
            </w:r>
          </w:p>
        </w:tc>
        <w:tc>
          <w:tcPr>
            <w:tcW w:w="1277" w:type="dxa"/>
          </w:tcPr>
          <w:p w:rsidR="007C5447" w:rsidRDefault="00F6308C">
            <w:pPr>
              <w:pStyle w:val="TableParagraph"/>
              <w:spacing w:before="68"/>
              <w:ind w:right="97"/>
              <w:rPr>
                <w:sz w:val="20"/>
              </w:rPr>
            </w:pPr>
            <w:r>
              <w:rPr>
                <w:w w:val="95"/>
                <w:sz w:val="20"/>
              </w:rPr>
              <w:t>73.08</w:t>
            </w:r>
          </w:p>
        </w:tc>
        <w:tc>
          <w:tcPr>
            <w:tcW w:w="1274" w:type="dxa"/>
          </w:tcPr>
          <w:p w:rsidR="007C5447" w:rsidRDefault="00F6308C">
            <w:pPr>
              <w:pStyle w:val="TableParagraph"/>
              <w:spacing w:before="68"/>
              <w:ind w:right="94"/>
              <w:rPr>
                <w:sz w:val="20"/>
              </w:rPr>
            </w:pPr>
            <w:r>
              <w:rPr>
                <w:w w:val="95"/>
                <w:sz w:val="20"/>
              </w:rPr>
              <w:t>60.64</w:t>
            </w:r>
          </w:p>
        </w:tc>
        <w:tc>
          <w:tcPr>
            <w:tcW w:w="1277" w:type="dxa"/>
          </w:tcPr>
          <w:p w:rsidR="007C5447" w:rsidRDefault="00F6308C">
            <w:pPr>
              <w:pStyle w:val="TableParagraph"/>
              <w:spacing w:before="68"/>
              <w:ind w:right="96"/>
              <w:rPr>
                <w:sz w:val="20"/>
              </w:rPr>
            </w:pPr>
            <w:r>
              <w:rPr>
                <w:sz w:val="20"/>
              </w:rPr>
              <w:t>15.00</w:t>
            </w:r>
          </w:p>
        </w:tc>
        <w:tc>
          <w:tcPr>
            <w:tcW w:w="1274" w:type="dxa"/>
          </w:tcPr>
          <w:p w:rsidR="007C5447" w:rsidRDefault="00F6308C">
            <w:pPr>
              <w:pStyle w:val="TableParagraph"/>
              <w:spacing w:before="68"/>
              <w:ind w:right="95"/>
              <w:rPr>
                <w:sz w:val="20"/>
              </w:rPr>
            </w:pPr>
            <w:r>
              <w:rPr>
                <w:w w:val="95"/>
                <w:sz w:val="20"/>
              </w:rPr>
              <w:t>15.45</w:t>
            </w:r>
          </w:p>
        </w:tc>
      </w:tr>
      <w:tr w:rsidR="007C5447">
        <w:trPr>
          <w:trHeight w:val="489"/>
        </w:trPr>
        <w:tc>
          <w:tcPr>
            <w:tcW w:w="434" w:type="dxa"/>
          </w:tcPr>
          <w:p w:rsidR="007C5447" w:rsidRDefault="00F6308C">
            <w:pPr>
              <w:pStyle w:val="TableParagraph"/>
              <w:spacing w:before="130"/>
              <w:ind w:left="6"/>
              <w:jc w:val="center"/>
              <w:rPr>
                <w:sz w:val="20"/>
              </w:rPr>
            </w:pPr>
            <w:r>
              <w:rPr>
                <w:w w:val="99"/>
                <w:sz w:val="20"/>
              </w:rPr>
              <w:t>4</w:t>
            </w:r>
          </w:p>
        </w:tc>
        <w:tc>
          <w:tcPr>
            <w:tcW w:w="2127" w:type="dxa"/>
          </w:tcPr>
          <w:p w:rsidR="007C5447" w:rsidRDefault="00F6308C">
            <w:pPr>
              <w:pStyle w:val="TableParagraph"/>
              <w:spacing w:before="14" w:line="230" w:lineRule="atLeast"/>
              <w:ind w:left="105" w:right="281"/>
              <w:jc w:val="left"/>
              <w:rPr>
                <w:sz w:val="20"/>
              </w:rPr>
            </w:pPr>
            <w:r>
              <w:rPr>
                <w:sz w:val="20"/>
              </w:rPr>
              <w:t>Valathur GTPS (Unit 1)</w:t>
            </w:r>
          </w:p>
        </w:tc>
        <w:tc>
          <w:tcPr>
            <w:tcW w:w="1274" w:type="dxa"/>
          </w:tcPr>
          <w:p w:rsidR="007C5447" w:rsidRDefault="00F6308C">
            <w:pPr>
              <w:pStyle w:val="TableParagraph"/>
              <w:spacing w:before="130"/>
              <w:ind w:right="97"/>
              <w:rPr>
                <w:sz w:val="20"/>
              </w:rPr>
            </w:pPr>
            <w:r>
              <w:rPr>
                <w:sz w:val="20"/>
              </w:rPr>
              <w:t>7.78</w:t>
            </w:r>
          </w:p>
        </w:tc>
        <w:tc>
          <w:tcPr>
            <w:tcW w:w="1277" w:type="dxa"/>
          </w:tcPr>
          <w:p w:rsidR="007C5447" w:rsidRDefault="00F6308C">
            <w:pPr>
              <w:pStyle w:val="TableParagraph"/>
              <w:spacing w:before="130"/>
              <w:ind w:right="97"/>
              <w:rPr>
                <w:sz w:val="20"/>
              </w:rPr>
            </w:pPr>
            <w:r>
              <w:rPr>
                <w:w w:val="95"/>
                <w:sz w:val="20"/>
              </w:rPr>
              <w:t>10.31</w:t>
            </w:r>
          </w:p>
        </w:tc>
        <w:tc>
          <w:tcPr>
            <w:tcW w:w="1274" w:type="dxa"/>
          </w:tcPr>
          <w:p w:rsidR="007C5447" w:rsidRDefault="00F6308C">
            <w:pPr>
              <w:pStyle w:val="TableParagraph"/>
              <w:spacing w:before="130"/>
              <w:ind w:right="94"/>
              <w:rPr>
                <w:sz w:val="20"/>
              </w:rPr>
            </w:pPr>
            <w:r>
              <w:rPr>
                <w:sz w:val="20"/>
              </w:rPr>
              <w:t>9.96</w:t>
            </w:r>
          </w:p>
        </w:tc>
        <w:tc>
          <w:tcPr>
            <w:tcW w:w="1277" w:type="dxa"/>
          </w:tcPr>
          <w:p w:rsidR="007C5447" w:rsidRDefault="00F6308C">
            <w:pPr>
              <w:pStyle w:val="TableParagraph"/>
              <w:spacing w:before="130"/>
              <w:ind w:right="96"/>
              <w:rPr>
                <w:sz w:val="20"/>
              </w:rPr>
            </w:pPr>
            <w:r>
              <w:rPr>
                <w:sz w:val="20"/>
              </w:rPr>
              <w:t>11.91</w:t>
            </w:r>
          </w:p>
        </w:tc>
        <w:tc>
          <w:tcPr>
            <w:tcW w:w="1274" w:type="dxa"/>
          </w:tcPr>
          <w:p w:rsidR="007C5447" w:rsidRDefault="00F6308C">
            <w:pPr>
              <w:pStyle w:val="TableParagraph"/>
              <w:spacing w:before="130"/>
              <w:ind w:right="95"/>
              <w:rPr>
                <w:sz w:val="20"/>
              </w:rPr>
            </w:pPr>
            <w:r>
              <w:rPr>
                <w:w w:val="95"/>
                <w:sz w:val="20"/>
              </w:rPr>
              <w:t>13.27</w:t>
            </w:r>
          </w:p>
        </w:tc>
      </w:tr>
      <w:tr w:rsidR="007C5447">
        <w:trPr>
          <w:trHeight w:val="489"/>
        </w:trPr>
        <w:tc>
          <w:tcPr>
            <w:tcW w:w="434" w:type="dxa"/>
          </w:tcPr>
          <w:p w:rsidR="007C5447" w:rsidRDefault="00F6308C">
            <w:pPr>
              <w:pStyle w:val="TableParagraph"/>
              <w:spacing w:before="130"/>
              <w:ind w:left="6"/>
              <w:jc w:val="center"/>
              <w:rPr>
                <w:sz w:val="20"/>
              </w:rPr>
            </w:pPr>
            <w:r>
              <w:rPr>
                <w:w w:val="99"/>
                <w:sz w:val="20"/>
              </w:rPr>
              <w:t>5</w:t>
            </w:r>
          </w:p>
        </w:tc>
        <w:tc>
          <w:tcPr>
            <w:tcW w:w="2127" w:type="dxa"/>
          </w:tcPr>
          <w:p w:rsidR="007C5447" w:rsidRDefault="00F6308C">
            <w:pPr>
              <w:pStyle w:val="TableParagraph"/>
              <w:spacing w:before="14" w:line="230" w:lineRule="atLeast"/>
              <w:ind w:left="105" w:right="281"/>
              <w:jc w:val="left"/>
              <w:rPr>
                <w:sz w:val="20"/>
              </w:rPr>
            </w:pPr>
            <w:r>
              <w:rPr>
                <w:sz w:val="20"/>
              </w:rPr>
              <w:t>Valathur GTPS (Unit 2)</w:t>
            </w:r>
          </w:p>
        </w:tc>
        <w:tc>
          <w:tcPr>
            <w:tcW w:w="1274" w:type="dxa"/>
          </w:tcPr>
          <w:p w:rsidR="007C5447" w:rsidRDefault="00F6308C">
            <w:pPr>
              <w:pStyle w:val="TableParagraph"/>
              <w:spacing w:before="130"/>
              <w:ind w:right="97"/>
              <w:rPr>
                <w:sz w:val="20"/>
              </w:rPr>
            </w:pPr>
            <w:r>
              <w:rPr>
                <w:sz w:val="20"/>
              </w:rPr>
              <w:t>7.78</w:t>
            </w:r>
          </w:p>
        </w:tc>
        <w:tc>
          <w:tcPr>
            <w:tcW w:w="1277" w:type="dxa"/>
          </w:tcPr>
          <w:p w:rsidR="007C5447" w:rsidRDefault="00F6308C">
            <w:pPr>
              <w:pStyle w:val="TableParagraph"/>
              <w:spacing w:before="130"/>
              <w:ind w:right="97"/>
              <w:rPr>
                <w:sz w:val="20"/>
              </w:rPr>
            </w:pPr>
            <w:r>
              <w:rPr>
                <w:w w:val="95"/>
                <w:sz w:val="20"/>
              </w:rPr>
              <w:t>10.31</w:t>
            </w:r>
          </w:p>
        </w:tc>
        <w:tc>
          <w:tcPr>
            <w:tcW w:w="1274" w:type="dxa"/>
          </w:tcPr>
          <w:p w:rsidR="007C5447" w:rsidRDefault="00F6308C">
            <w:pPr>
              <w:pStyle w:val="TableParagraph"/>
              <w:spacing w:before="130"/>
              <w:ind w:right="94"/>
              <w:rPr>
                <w:sz w:val="20"/>
              </w:rPr>
            </w:pPr>
            <w:r>
              <w:rPr>
                <w:sz w:val="20"/>
              </w:rPr>
              <w:t>9.96</w:t>
            </w:r>
          </w:p>
        </w:tc>
        <w:tc>
          <w:tcPr>
            <w:tcW w:w="1277" w:type="dxa"/>
          </w:tcPr>
          <w:p w:rsidR="007C5447" w:rsidRDefault="00F6308C">
            <w:pPr>
              <w:pStyle w:val="TableParagraph"/>
              <w:spacing w:before="130"/>
              <w:ind w:right="96"/>
              <w:rPr>
                <w:sz w:val="20"/>
              </w:rPr>
            </w:pPr>
            <w:r>
              <w:rPr>
                <w:sz w:val="20"/>
              </w:rPr>
              <w:t>11.91</w:t>
            </w:r>
          </w:p>
        </w:tc>
        <w:tc>
          <w:tcPr>
            <w:tcW w:w="1274" w:type="dxa"/>
          </w:tcPr>
          <w:p w:rsidR="007C5447" w:rsidRDefault="00F6308C">
            <w:pPr>
              <w:pStyle w:val="TableParagraph"/>
              <w:spacing w:before="130"/>
              <w:ind w:right="95"/>
              <w:rPr>
                <w:sz w:val="20"/>
              </w:rPr>
            </w:pPr>
            <w:r>
              <w:rPr>
                <w:w w:val="95"/>
                <w:sz w:val="20"/>
              </w:rPr>
              <w:t>13.27</w:t>
            </w:r>
          </w:p>
        </w:tc>
      </w:tr>
    </w:tbl>
    <w:p w:rsidR="007C5447" w:rsidRDefault="007C5447">
      <w:pPr>
        <w:pStyle w:val="BodyText"/>
        <w:rPr>
          <w:b/>
        </w:rPr>
      </w:pPr>
    </w:p>
    <w:p w:rsidR="007C5447" w:rsidRDefault="007C5447">
      <w:pPr>
        <w:pStyle w:val="BodyText"/>
        <w:rPr>
          <w:b/>
        </w:rPr>
      </w:pPr>
    </w:p>
    <w:p w:rsidR="007C5447" w:rsidRDefault="00F6308C">
      <w:pPr>
        <w:pStyle w:val="Heading2"/>
        <w:numPr>
          <w:ilvl w:val="2"/>
          <w:numId w:val="92"/>
        </w:numPr>
        <w:tabs>
          <w:tab w:val="left" w:pos="1113"/>
        </w:tabs>
        <w:spacing w:before="167"/>
        <w:ind w:left="1112" w:hanging="853"/>
      </w:pPr>
      <w:r>
        <w:t>Computation of Energy</w:t>
      </w:r>
      <w:r>
        <w:rPr>
          <w:spacing w:val="1"/>
        </w:rPr>
        <w:t xml:space="preserve"> </w:t>
      </w:r>
      <w:r>
        <w:t>Charges</w:t>
      </w:r>
    </w:p>
    <w:p w:rsidR="007C5447" w:rsidRDefault="007C5447">
      <w:pPr>
        <w:pStyle w:val="BodyText"/>
        <w:spacing w:before="11"/>
        <w:rPr>
          <w:b/>
          <w:sz w:val="27"/>
        </w:rPr>
      </w:pPr>
    </w:p>
    <w:p w:rsidR="007C5447" w:rsidRDefault="00F6308C">
      <w:pPr>
        <w:pStyle w:val="ListParagraph"/>
        <w:numPr>
          <w:ilvl w:val="3"/>
          <w:numId w:val="70"/>
        </w:numPr>
        <w:tabs>
          <w:tab w:val="left" w:pos="1226"/>
        </w:tabs>
        <w:spacing w:line="312" w:lineRule="auto"/>
        <w:ind w:right="288"/>
        <w:jc w:val="both"/>
        <w:rPr>
          <w:sz w:val="24"/>
        </w:rPr>
      </w:pPr>
      <w:r>
        <w:rPr>
          <w:sz w:val="24"/>
        </w:rPr>
        <w:t>TANGEDCO submitted that based on the actual operating parameters and fuel related parameters recorded during FY 2011-12 to FY 2015-16, it has arrived at plant-wise variable cost of</w:t>
      </w:r>
      <w:r>
        <w:rPr>
          <w:spacing w:val="1"/>
          <w:sz w:val="24"/>
        </w:rPr>
        <w:t xml:space="preserve"> </w:t>
      </w:r>
      <w:r>
        <w:rPr>
          <w:sz w:val="24"/>
        </w:rPr>
        <w:t>generation.</w:t>
      </w:r>
    </w:p>
    <w:p w:rsidR="007C5447" w:rsidRDefault="007C5447">
      <w:pPr>
        <w:pStyle w:val="BodyText"/>
        <w:rPr>
          <w:sz w:val="21"/>
        </w:rPr>
      </w:pPr>
    </w:p>
    <w:p w:rsidR="007C5447" w:rsidRDefault="00F6308C">
      <w:pPr>
        <w:pStyle w:val="Heading2"/>
        <w:ind w:left="1112"/>
      </w:pPr>
      <w:r>
        <w:t>Commission’s Views</w:t>
      </w:r>
    </w:p>
    <w:p w:rsidR="007C5447" w:rsidRDefault="007C5447">
      <w:pPr>
        <w:pStyle w:val="BodyText"/>
        <w:rPr>
          <w:b/>
          <w:sz w:val="28"/>
        </w:rPr>
      </w:pPr>
    </w:p>
    <w:p w:rsidR="007C5447" w:rsidRDefault="00F6308C">
      <w:pPr>
        <w:pStyle w:val="ListParagraph"/>
        <w:numPr>
          <w:ilvl w:val="3"/>
          <w:numId w:val="70"/>
        </w:numPr>
        <w:tabs>
          <w:tab w:val="left" w:pos="1226"/>
        </w:tabs>
        <w:spacing w:line="312" w:lineRule="auto"/>
        <w:ind w:right="288"/>
        <w:jc w:val="both"/>
        <w:rPr>
          <w:sz w:val="24"/>
        </w:rPr>
      </w:pPr>
      <w:r>
        <w:rPr>
          <w:sz w:val="24"/>
        </w:rPr>
        <w:t>The Commission has approved the plant-wise variable cost on the basis of operational parameters and fuel related parameters approved as elaborated in the Sections above. The approved Variable Cost of Generation and Energy Charges for Thermal and Gas statio</w:t>
      </w:r>
      <w:r>
        <w:rPr>
          <w:sz w:val="24"/>
        </w:rPr>
        <w:t>ns after true-up for FY 2011-12 to FY 2015-16 is shown in the Tables below. Further, as power purchase submitted by TANGEDCO is in excess of requirement,</w:t>
      </w:r>
      <w:r>
        <w:rPr>
          <w:spacing w:val="19"/>
          <w:sz w:val="24"/>
        </w:rPr>
        <w:t xml:space="preserve"> </w:t>
      </w:r>
      <w:r>
        <w:rPr>
          <w:sz w:val="24"/>
        </w:rPr>
        <w:t>the</w:t>
      </w:r>
    </w:p>
    <w:p w:rsidR="007C5447" w:rsidRDefault="007C5447">
      <w:pPr>
        <w:spacing w:line="312" w:lineRule="auto"/>
        <w:jc w:val="both"/>
        <w:rPr>
          <w:sz w:val="24"/>
        </w:rPr>
        <w:sectPr w:rsidR="007C5447">
          <w:footerReference w:type="default" r:id="rId33"/>
          <w:pgSz w:w="11910" w:h="16840"/>
          <w:pgMar w:top="1360" w:right="840" w:bottom="540" w:left="1180" w:header="0" w:footer="349" w:gutter="0"/>
          <w:cols w:space="720"/>
        </w:sectPr>
      </w:pPr>
    </w:p>
    <w:p w:rsidR="007C5447" w:rsidRDefault="00F6308C">
      <w:pPr>
        <w:pStyle w:val="BodyText"/>
        <w:spacing w:before="60" w:line="312" w:lineRule="auto"/>
        <w:ind w:left="1225" w:right="296"/>
        <w:jc w:val="both"/>
      </w:pPr>
      <w:r>
        <w:lastRenderedPageBreak/>
        <w:t>Commission has disallowed excess purchase on the basis of Merit Order Dispatch (MOD), which has been applied to own generation as well as purchase from Other Sources. A detailed computation of energy charges has been attached as Appendix 1.</w:t>
      </w:r>
    </w:p>
    <w:p w:rsidR="007C5447" w:rsidRDefault="007C5447">
      <w:pPr>
        <w:spacing w:line="312" w:lineRule="auto"/>
        <w:jc w:val="both"/>
        <w:sectPr w:rsidR="007C5447">
          <w:footerReference w:type="default" r:id="rId34"/>
          <w:pgSz w:w="11910" w:h="16840"/>
          <w:pgMar w:top="1360" w:right="840" w:bottom="540" w:left="1180" w:header="0" w:footer="349" w:gutter="0"/>
          <w:cols w:space="720"/>
        </w:sectPr>
      </w:pPr>
    </w:p>
    <w:p w:rsidR="007C5447" w:rsidRDefault="007C5447">
      <w:pPr>
        <w:pStyle w:val="BodyText"/>
        <w:rPr>
          <w:sz w:val="20"/>
        </w:rPr>
      </w:pPr>
    </w:p>
    <w:p w:rsidR="007C5447" w:rsidRDefault="007C5447">
      <w:pPr>
        <w:pStyle w:val="BodyText"/>
        <w:spacing w:before="6"/>
        <w:rPr>
          <w:sz w:val="19"/>
        </w:rPr>
      </w:pPr>
    </w:p>
    <w:p w:rsidR="007C5447" w:rsidRDefault="00F6308C">
      <w:pPr>
        <w:ind w:left="1168"/>
        <w:rPr>
          <w:b/>
        </w:rPr>
      </w:pPr>
      <w:r>
        <w:rPr>
          <w:b/>
        </w:rPr>
        <w:t>Table 3-61: Variable Cost of Generation approved by the Commission after true-up for FY 2011-12 to FY 2013-14 (Rs. Crore)</w:t>
      </w:r>
    </w:p>
    <w:p w:rsidR="007C5447" w:rsidRDefault="007C5447">
      <w:pPr>
        <w:pStyle w:val="BodyText"/>
        <w:spacing w:before="11"/>
        <w:rPr>
          <w:b/>
          <w:sz w:val="16"/>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7"/>
        <w:gridCol w:w="1135"/>
        <w:gridCol w:w="1438"/>
        <w:gridCol w:w="1397"/>
        <w:gridCol w:w="1277"/>
        <w:gridCol w:w="1370"/>
        <w:gridCol w:w="1464"/>
        <w:gridCol w:w="1277"/>
        <w:gridCol w:w="1588"/>
        <w:gridCol w:w="1416"/>
      </w:tblGrid>
      <w:tr w:rsidR="007C5447">
        <w:trPr>
          <w:trHeight w:val="330"/>
        </w:trPr>
        <w:tc>
          <w:tcPr>
            <w:tcW w:w="2547" w:type="dxa"/>
            <w:vMerge w:val="restart"/>
            <w:shd w:val="clear" w:color="auto" w:fill="F7C9AC"/>
          </w:tcPr>
          <w:p w:rsidR="007C5447" w:rsidRDefault="007C5447">
            <w:pPr>
              <w:pStyle w:val="TableParagraph"/>
              <w:spacing w:before="1"/>
              <w:jc w:val="left"/>
              <w:rPr>
                <w:b/>
                <w:sz w:val="26"/>
              </w:rPr>
            </w:pPr>
          </w:p>
          <w:p w:rsidR="007C5447" w:rsidRDefault="00F6308C">
            <w:pPr>
              <w:pStyle w:val="TableParagraph"/>
              <w:ind w:left="794"/>
              <w:jc w:val="left"/>
              <w:rPr>
                <w:b/>
                <w:sz w:val="20"/>
              </w:rPr>
            </w:pPr>
            <w:r>
              <w:rPr>
                <w:b/>
                <w:sz w:val="20"/>
              </w:rPr>
              <w:t>Particulars</w:t>
            </w:r>
          </w:p>
        </w:tc>
        <w:tc>
          <w:tcPr>
            <w:tcW w:w="3970" w:type="dxa"/>
            <w:gridSpan w:val="3"/>
            <w:shd w:val="clear" w:color="auto" w:fill="F7C9AC"/>
          </w:tcPr>
          <w:p w:rsidR="007C5447" w:rsidRDefault="00F6308C">
            <w:pPr>
              <w:pStyle w:val="TableParagraph"/>
              <w:spacing w:before="50"/>
              <w:ind w:left="1474" w:right="1462"/>
              <w:jc w:val="center"/>
              <w:rPr>
                <w:b/>
                <w:sz w:val="20"/>
              </w:rPr>
            </w:pPr>
            <w:r>
              <w:rPr>
                <w:b/>
                <w:sz w:val="20"/>
              </w:rPr>
              <w:t>FY 2011-12</w:t>
            </w:r>
          </w:p>
        </w:tc>
        <w:tc>
          <w:tcPr>
            <w:tcW w:w="4111" w:type="dxa"/>
            <w:gridSpan w:val="3"/>
            <w:shd w:val="clear" w:color="auto" w:fill="F7C9AC"/>
          </w:tcPr>
          <w:p w:rsidR="007C5447" w:rsidRDefault="00F6308C">
            <w:pPr>
              <w:pStyle w:val="TableParagraph"/>
              <w:spacing w:before="50"/>
              <w:ind w:left="1543" w:right="1533"/>
              <w:jc w:val="center"/>
              <w:rPr>
                <w:b/>
                <w:sz w:val="20"/>
              </w:rPr>
            </w:pPr>
            <w:r>
              <w:rPr>
                <w:b/>
                <w:sz w:val="20"/>
              </w:rPr>
              <w:t>FY 2012-13</w:t>
            </w:r>
          </w:p>
        </w:tc>
        <w:tc>
          <w:tcPr>
            <w:tcW w:w="4281" w:type="dxa"/>
            <w:gridSpan w:val="3"/>
            <w:shd w:val="clear" w:color="auto" w:fill="F7C9AC"/>
          </w:tcPr>
          <w:p w:rsidR="007C5447" w:rsidRDefault="00F6308C">
            <w:pPr>
              <w:pStyle w:val="TableParagraph"/>
              <w:spacing w:before="50"/>
              <w:ind w:left="1631" w:right="1616"/>
              <w:jc w:val="center"/>
              <w:rPr>
                <w:b/>
                <w:sz w:val="20"/>
              </w:rPr>
            </w:pPr>
            <w:r>
              <w:rPr>
                <w:b/>
                <w:sz w:val="20"/>
              </w:rPr>
              <w:t>FY 2013-14</w:t>
            </w:r>
          </w:p>
        </w:tc>
      </w:tr>
      <w:tr w:rsidR="007C5447">
        <w:trPr>
          <w:trHeight w:val="489"/>
        </w:trPr>
        <w:tc>
          <w:tcPr>
            <w:tcW w:w="2547" w:type="dxa"/>
            <w:vMerge/>
            <w:tcBorders>
              <w:top w:val="nil"/>
            </w:tcBorders>
            <w:shd w:val="clear" w:color="auto" w:fill="F7C9AC"/>
          </w:tcPr>
          <w:p w:rsidR="007C5447" w:rsidRDefault="007C5447">
            <w:pPr>
              <w:rPr>
                <w:sz w:val="2"/>
                <w:szCs w:val="2"/>
              </w:rPr>
            </w:pPr>
          </w:p>
        </w:tc>
        <w:tc>
          <w:tcPr>
            <w:tcW w:w="1135" w:type="dxa"/>
            <w:shd w:val="clear" w:color="auto" w:fill="F7C9AC"/>
          </w:tcPr>
          <w:p w:rsidR="007C5447" w:rsidRDefault="00F6308C">
            <w:pPr>
              <w:pStyle w:val="TableParagraph"/>
              <w:spacing w:before="14"/>
              <w:ind w:left="347"/>
              <w:jc w:val="left"/>
              <w:rPr>
                <w:b/>
                <w:sz w:val="20"/>
              </w:rPr>
            </w:pPr>
            <w:r>
              <w:rPr>
                <w:b/>
                <w:sz w:val="20"/>
              </w:rPr>
              <w:t>SMT</w:t>
            </w:r>
          </w:p>
          <w:p w:rsidR="007C5447" w:rsidRDefault="00F6308C">
            <w:pPr>
              <w:pStyle w:val="TableParagraph"/>
              <w:spacing w:before="1" w:line="224" w:lineRule="exact"/>
              <w:ind w:left="299"/>
              <w:jc w:val="left"/>
              <w:rPr>
                <w:b/>
                <w:sz w:val="20"/>
              </w:rPr>
            </w:pPr>
            <w:r>
              <w:rPr>
                <w:b/>
                <w:sz w:val="20"/>
              </w:rPr>
              <w:t>Order</w:t>
            </w:r>
          </w:p>
        </w:tc>
        <w:tc>
          <w:tcPr>
            <w:tcW w:w="1438" w:type="dxa"/>
            <w:shd w:val="clear" w:color="auto" w:fill="F7C9AC"/>
          </w:tcPr>
          <w:p w:rsidR="007C5447" w:rsidRDefault="00F6308C">
            <w:pPr>
              <w:pStyle w:val="TableParagraph"/>
              <w:spacing w:before="130"/>
              <w:ind w:right="134"/>
              <w:rPr>
                <w:b/>
                <w:sz w:val="20"/>
              </w:rPr>
            </w:pPr>
            <w:r>
              <w:rPr>
                <w:b/>
                <w:w w:val="95"/>
                <w:sz w:val="20"/>
              </w:rPr>
              <w:t>TANGEDCO</w:t>
            </w:r>
          </w:p>
        </w:tc>
        <w:tc>
          <w:tcPr>
            <w:tcW w:w="1397" w:type="dxa"/>
            <w:shd w:val="clear" w:color="auto" w:fill="F7C9AC"/>
          </w:tcPr>
          <w:p w:rsidR="007C5447" w:rsidRDefault="00F6308C">
            <w:pPr>
              <w:pStyle w:val="TableParagraph"/>
              <w:spacing w:before="14" w:line="230" w:lineRule="atLeast"/>
              <w:ind w:left="153" w:right="125" w:firstLine="117"/>
              <w:jc w:val="left"/>
              <w:rPr>
                <w:b/>
                <w:sz w:val="20"/>
              </w:rPr>
            </w:pPr>
            <w:r>
              <w:rPr>
                <w:b/>
                <w:sz w:val="20"/>
              </w:rPr>
              <w:t>Approved after true up</w:t>
            </w:r>
          </w:p>
        </w:tc>
        <w:tc>
          <w:tcPr>
            <w:tcW w:w="1277" w:type="dxa"/>
            <w:shd w:val="clear" w:color="auto" w:fill="F7C9AC"/>
          </w:tcPr>
          <w:p w:rsidR="007C5447" w:rsidRDefault="00F6308C">
            <w:pPr>
              <w:pStyle w:val="TableParagraph"/>
              <w:spacing w:before="130"/>
              <w:ind w:right="119"/>
              <w:rPr>
                <w:b/>
                <w:sz w:val="20"/>
              </w:rPr>
            </w:pPr>
            <w:r>
              <w:rPr>
                <w:b/>
                <w:sz w:val="20"/>
              </w:rPr>
              <w:t>SMT Order</w:t>
            </w:r>
          </w:p>
        </w:tc>
        <w:tc>
          <w:tcPr>
            <w:tcW w:w="1370" w:type="dxa"/>
            <w:shd w:val="clear" w:color="auto" w:fill="F7C9AC"/>
          </w:tcPr>
          <w:p w:rsidR="007C5447" w:rsidRDefault="00F6308C">
            <w:pPr>
              <w:pStyle w:val="TableParagraph"/>
              <w:spacing w:before="130"/>
              <w:ind w:right="97"/>
              <w:rPr>
                <w:b/>
                <w:sz w:val="20"/>
              </w:rPr>
            </w:pPr>
            <w:r>
              <w:rPr>
                <w:b/>
                <w:w w:val="95"/>
                <w:sz w:val="20"/>
              </w:rPr>
              <w:t>TANGEDCO</w:t>
            </w:r>
          </w:p>
        </w:tc>
        <w:tc>
          <w:tcPr>
            <w:tcW w:w="1464" w:type="dxa"/>
            <w:shd w:val="clear" w:color="auto" w:fill="F7C9AC"/>
          </w:tcPr>
          <w:p w:rsidR="007C5447" w:rsidRDefault="00F6308C">
            <w:pPr>
              <w:pStyle w:val="TableParagraph"/>
              <w:spacing w:before="14" w:line="230" w:lineRule="atLeast"/>
              <w:ind w:left="187" w:right="158" w:firstLine="117"/>
              <w:jc w:val="left"/>
              <w:rPr>
                <w:b/>
                <w:sz w:val="20"/>
              </w:rPr>
            </w:pPr>
            <w:r>
              <w:rPr>
                <w:b/>
                <w:sz w:val="20"/>
              </w:rPr>
              <w:t>Approved after true up</w:t>
            </w:r>
          </w:p>
        </w:tc>
        <w:tc>
          <w:tcPr>
            <w:tcW w:w="1277" w:type="dxa"/>
            <w:shd w:val="clear" w:color="auto" w:fill="F7C9AC"/>
          </w:tcPr>
          <w:p w:rsidR="007C5447" w:rsidRDefault="00F6308C">
            <w:pPr>
              <w:pStyle w:val="TableParagraph"/>
              <w:spacing w:before="130"/>
              <w:ind w:right="118"/>
              <w:rPr>
                <w:b/>
                <w:sz w:val="20"/>
              </w:rPr>
            </w:pPr>
            <w:r>
              <w:rPr>
                <w:b/>
                <w:sz w:val="20"/>
              </w:rPr>
              <w:t>SMT Order</w:t>
            </w:r>
          </w:p>
        </w:tc>
        <w:tc>
          <w:tcPr>
            <w:tcW w:w="1588" w:type="dxa"/>
            <w:shd w:val="clear" w:color="auto" w:fill="F7C9AC"/>
          </w:tcPr>
          <w:p w:rsidR="007C5447" w:rsidRDefault="00F6308C">
            <w:pPr>
              <w:pStyle w:val="TableParagraph"/>
              <w:spacing w:before="130"/>
              <w:ind w:left="216"/>
              <w:jc w:val="left"/>
              <w:rPr>
                <w:b/>
                <w:sz w:val="20"/>
              </w:rPr>
            </w:pPr>
            <w:r>
              <w:rPr>
                <w:b/>
                <w:sz w:val="20"/>
              </w:rPr>
              <w:t>TANGEDCO</w:t>
            </w:r>
          </w:p>
        </w:tc>
        <w:tc>
          <w:tcPr>
            <w:tcW w:w="1416" w:type="dxa"/>
            <w:shd w:val="clear" w:color="auto" w:fill="F7C9AC"/>
          </w:tcPr>
          <w:p w:rsidR="007C5447" w:rsidRDefault="00F6308C">
            <w:pPr>
              <w:pStyle w:val="TableParagraph"/>
              <w:spacing w:before="14" w:line="230" w:lineRule="atLeast"/>
              <w:ind w:left="164" w:right="133" w:firstLine="117"/>
              <w:jc w:val="left"/>
              <w:rPr>
                <w:b/>
                <w:sz w:val="20"/>
              </w:rPr>
            </w:pPr>
            <w:r>
              <w:rPr>
                <w:b/>
                <w:sz w:val="20"/>
              </w:rPr>
              <w:t>Approved after true up</w:t>
            </w:r>
          </w:p>
        </w:tc>
      </w:tr>
      <w:tr w:rsidR="007C5447">
        <w:trPr>
          <w:trHeight w:val="299"/>
        </w:trPr>
        <w:tc>
          <w:tcPr>
            <w:tcW w:w="2547" w:type="dxa"/>
          </w:tcPr>
          <w:p w:rsidR="007C5447" w:rsidRDefault="00F6308C">
            <w:pPr>
              <w:pStyle w:val="TableParagraph"/>
              <w:spacing w:before="55" w:line="224" w:lineRule="exact"/>
              <w:ind w:left="107"/>
              <w:jc w:val="left"/>
              <w:rPr>
                <w:sz w:val="20"/>
              </w:rPr>
            </w:pPr>
            <w:r>
              <w:rPr>
                <w:sz w:val="20"/>
              </w:rPr>
              <w:t>Ennore TPS</w:t>
            </w:r>
          </w:p>
        </w:tc>
        <w:tc>
          <w:tcPr>
            <w:tcW w:w="1135" w:type="dxa"/>
          </w:tcPr>
          <w:p w:rsidR="007C5447" w:rsidRDefault="00F6308C">
            <w:pPr>
              <w:pStyle w:val="TableParagraph"/>
              <w:spacing w:before="36"/>
              <w:ind w:right="98"/>
              <w:rPr>
                <w:sz w:val="20"/>
              </w:rPr>
            </w:pPr>
            <w:r>
              <w:rPr>
                <w:w w:val="95"/>
                <w:sz w:val="20"/>
              </w:rPr>
              <w:t>262.36</w:t>
            </w:r>
          </w:p>
        </w:tc>
        <w:tc>
          <w:tcPr>
            <w:tcW w:w="1438" w:type="dxa"/>
          </w:tcPr>
          <w:p w:rsidR="007C5447" w:rsidRDefault="00F6308C">
            <w:pPr>
              <w:pStyle w:val="TableParagraph"/>
              <w:spacing w:before="36"/>
              <w:ind w:right="98"/>
              <w:rPr>
                <w:sz w:val="20"/>
              </w:rPr>
            </w:pPr>
            <w:r>
              <w:rPr>
                <w:w w:val="95"/>
                <w:sz w:val="20"/>
              </w:rPr>
              <w:t>313.10</w:t>
            </w:r>
          </w:p>
        </w:tc>
        <w:tc>
          <w:tcPr>
            <w:tcW w:w="1397" w:type="dxa"/>
          </w:tcPr>
          <w:p w:rsidR="007C5447" w:rsidRDefault="00F6308C">
            <w:pPr>
              <w:pStyle w:val="TableParagraph"/>
              <w:spacing w:before="36"/>
              <w:ind w:right="98"/>
              <w:rPr>
                <w:sz w:val="20"/>
              </w:rPr>
            </w:pPr>
            <w:r>
              <w:rPr>
                <w:w w:val="95"/>
                <w:sz w:val="20"/>
              </w:rPr>
              <w:t>263.02</w:t>
            </w:r>
          </w:p>
        </w:tc>
        <w:tc>
          <w:tcPr>
            <w:tcW w:w="1277" w:type="dxa"/>
          </w:tcPr>
          <w:p w:rsidR="007C5447" w:rsidRDefault="00F6308C">
            <w:pPr>
              <w:pStyle w:val="TableParagraph"/>
              <w:spacing w:before="36"/>
              <w:ind w:right="96"/>
              <w:rPr>
                <w:sz w:val="20"/>
              </w:rPr>
            </w:pPr>
            <w:r>
              <w:rPr>
                <w:w w:val="95"/>
                <w:sz w:val="20"/>
              </w:rPr>
              <w:t>261.83</w:t>
            </w:r>
          </w:p>
        </w:tc>
        <w:tc>
          <w:tcPr>
            <w:tcW w:w="1370" w:type="dxa"/>
          </w:tcPr>
          <w:p w:rsidR="007C5447" w:rsidRDefault="00F6308C">
            <w:pPr>
              <w:pStyle w:val="TableParagraph"/>
              <w:spacing w:before="36"/>
              <w:ind w:right="95"/>
              <w:rPr>
                <w:sz w:val="20"/>
              </w:rPr>
            </w:pPr>
            <w:r>
              <w:rPr>
                <w:w w:val="95"/>
                <w:sz w:val="20"/>
              </w:rPr>
              <w:t>303.00</w:t>
            </w:r>
          </w:p>
        </w:tc>
        <w:tc>
          <w:tcPr>
            <w:tcW w:w="1464" w:type="dxa"/>
          </w:tcPr>
          <w:p w:rsidR="007C5447" w:rsidRDefault="00F6308C">
            <w:pPr>
              <w:pStyle w:val="TableParagraph"/>
              <w:spacing w:before="36"/>
              <w:ind w:right="97"/>
              <w:rPr>
                <w:sz w:val="20"/>
              </w:rPr>
            </w:pPr>
            <w:r>
              <w:rPr>
                <w:w w:val="95"/>
                <w:sz w:val="20"/>
              </w:rPr>
              <w:t>225.12</w:t>
            </w:r>
          </w:p>
        </w:tc>
        <w:tc>
          <w:tcPr>
            <w:tcW w:w="1277" w:type="dxa"/>
          </w:tcPr>
          <w:p w:rsidR="007C5447" w:rsidRDefault="00F6308C">
            <w:pPr>
              <w:pStyle w:val="TableParagraph"/>
              <w:spacing w:before="36"/>
              <w:ind w:right="94"/>
              <w:rPr>
                <w:sz w:val="20"/>
              </w:rPr>
            </w:pPr>
            <w:r>
              <w:rPr>
                <w:w w:val="95"/>
                <w:sz w:val="20"/>
              </w:rPr>
              <w:t>328.83</w:t>
            </w:r>
          </w:p>
        </w:tc>
        <w:tc>
          <w:tcPr>
            <w:tcW w:w="1588" w:type="dxa"/>
          </w:tcPr>
          <w:p w:rsidR="007C5447" w:rsidRDefault="00F6308C">
            <w:pPr>
              <w:pStyle w:val="TableParagraph"/>
              <w:spacing w:before="36"/>
              <w:ind w:right="96"/>
              <w:rPr>
                <w:sz w:val="20"/>
              </w:rPr>
            </w:pPr>
            <w:r>
              <w:rPr>
                <w:w w:val="95"/>
                <w:sz w:val="20"/>
              </w:rPr>
              <w:t>410.00</w:t>
            </w:r>
          </w:p>
        </w:tc>
        <w:tc>
          <w:tcPr>
            <w:tcW w:w="1416" w:type="dxa"/>
          </w:tcPr>
          <w:p w:rsidR="007C5447" w:rsidRDefault="00F6308C">
            <w:pPr>
              <w:pStyle w:val="TableParagraph"/>
              <w:spacing w:before="36"/>
              <w:ind w:right="96"/>
              <w:rPr>
                <w:sz w:val="20"/>
              </w:rPr>
            </w:pPr>
            <w:r>
              <w:rPr>
                <w:w w:val="95"/>
                <w:sz w:val="20"/>
              </w:rPr>
              <w:t>350.84</w:t>
            </w:r>
          </w:p>
        </w:tc>
      </w:tr>
      <w:tr w:rsidR="007C5447">
        <w:trPr>
          <w:trHeight w:val="299"/>
        </w:trPr>
        <w:tc>
          <w:tcPr>
            <w:tcW w:w="2547" w:type="dxa"/>
          </w:tcPr>
          <w:p w:rsidR="007C5447" w:rsidRDefault="00F6308C">
            <w:pPr>
              <w:pStyle w:val="TableParagraph"/>
              <w:spacing w:before="55" w:line="224" w:lineRule="exact"/>
              <w:ind w:left="107"/>
              <w:jc w:val="left"/>
              <w:rPr>
                <w:sz w:val="20"/>
              </w:rPr>
            </w:pPr>
            <w:r>
              <w:rPr>
                <w:sz w:val="20"/>
              </w:rPr>
              <w:t>Tuticorin TPS</w:t>
            </w:r>
          </w:p>
        </w:tc>
        <w:tc>
          <w:tcPr>
            <w:tcW w:w="1135" w:type="dxa"/>
          </w:tcPr>
          <w:p w:rsidR="007C5447" w:rsidRDefault="00F6308C">
            <w:pPr>
              <w:pStyle w:val="TableParagraph"/>
              <w:spacing w:before="36"/>
              <w:ind w:right="98"/>
              <w:rPr>
                <w:sz w:val="20"/>
              </w:rPr>
            </w:pPr>
            <w:r>
              <w:rPr>
                <w:w w:val="95"/>
                <w:sz w:val="20"/>
              </w:rPr>
              <w:t>2,299.94</w:t>
            </w:r>
          </w:p>
        </w:tc>
        <w:tc>
          <w:tcPr>
            <w:tcW w:w="1438" w:type="dxa"/>
          </w:tcPr>
          <w:p w:rsidR="007C5447" w:rsidRDefault="00F6308C">
            <w:pPr>
              <w:pStyle w:val="TableParagraph"/>
              <w:spacing w:before="36"/>
              <w:ind w:right="96"/>
              <w:rPr>
                <w:sz w:val="20"/>
              </w:rPr>
            </w:pPr>
            <w:r>
              <w:rPr>
                <w:w w:val="95"/>
                <w:sz w:val="20"/>
              </w:rPr>
              <w:t>2,462.88</w:t>
            </w:r>
          </w:p>
        </w:tc>
        <w:tc>
          <w:tcPr>
            <w:tcW w:w="1397" w:type="dxa"/>
          </w:tcPr>
          <w:p w:rsidR="007C5447" w:rsidRDefault="00F6308C">
            <w:pPr>
              <w:pStyle w:val="TableParagraph"/>
              <w:spacing w:before="36"/>
              <w:ind w:right="96"/>
              <w:rPr>
                <w:sz w:val="20"/>
              </w:rPr>
            </w:pPr>
            <w:r>
              <w:rPr>
                <w:w w:val="95"/>
                <w:sz w:val="20"/>
              </w:rPr>
              <w:t>2,287.93</w:t>
            </w:r>
          </w:p>
        </w:tc>
        <w:tc>
          <w:tcPr>
            <w:tcW w:w="1277" w:type="dxa"/>
          </w:tcPr>
          <w:p w:rsidR="007C5447" w:rsidRDefault="00F6308C">
            <w:pPr>
              <w:pStyle w:val="TableParagraph"/>
              <w:spacing w:before="36"/>
              <w:ind w:right="96"/>
              <w:rPr>
                <w:sz w:val="20"/>
              </w:rPr>
            </w:pPr>
            <w:r>
              <w:rPr>
                <w:w w:val="95"/>
                <w:sz w:val="20"/>
              </w:rPr>
              <w:t>2,192.98</w:t>
            </w:r>
          </w:p>
        </w:tc>
        <w:tc>
          <w:tcPr>
            <w:tcW w:w="1370" w:type="dxa"/>
          </w:tcPr>
          <w:p w:rsidR="007C5447" w:rsidRDefault="00F6308C">
            <w:pPr>
              <w:pStyle w:val="TableParagraph"/>
              <w:spacing w:before="36"/>
              <w:ind w:right="93"/>
              <w:rPr>
                <w:sz w:val="20"/>
              </w:rPr>
            </w:pPr>
            <w:r>
              <w:rPr>
                <w:w w:val="95"/>
                <w:sz w:val="20"/>
              </w:rPr>
              <w:t>2,484.00</w:t>
            </w:r>
          </w:p>
        </w:tc>
        <w:tc>
          <w:tcPr>
            <w:tcW w:w="1464" w:type="dxa"/>
          </w:tcPr>
          <w:p w:rsidR="007C5447" w:rsidRDefault="00F6308C">
            <w:pPr>
              <w:pStyle w:val="TableParagraph"/>
              <w:spacing w:before="36"/>
              <w:ind w:right="95"/>
              <w:rPr>
                <w:sz w:val="20"/>
              </w:rPr>
            </w:pPr>
            <w:r>
              <w:rPr>
                <w:w w:val="95"/>
                <w:sz w:val="20"/>
              </w:rPr>
              <w:t>2,235.12</w:t>
            </w:r>
          </w:p>
        </w:tc>
        <w:tc>
          <w:tcPr>
            <w:tcW w:w="1277" w:type="dxa"/>
          </w:tcPr>
          <w:p w:rsidR="007C5447" w:rsidRDefault="00F6308C">
            <w:pPr>
              <w:pStyle w:val="TableParagraph"/>
              <w:spacing w:before="36"/>
              <w:ind w:right="95"/>
              <w:rPr>
                <w:sz w:val="20"/>
              </w:rPr>
            </w:pPr>
            <w:r>
              <w:rPr>
                <w:w w:val="95"/>
                <w:sz w:val="20"/>
              </w:rPr>
              <w:t>2,391.57</w:t>
            </w:r>
          </w:p>
        </w:tc>
        <w:tc>
          <w:tcPr>
            <w:tcW w:w="1588" w:type="dxa"/>
          </w:tcPr>
          <w:p w:rsidR="007C5447" w:rsidRDefault="00F6308C">
            <w:pPr>
              <w:pStyle w:val="TableParagraph"/>
              <w:spacing w:before="36"/>
              <w:ind w:right="94"/>
              <w:rPr>
                <w:sz w:val="20"/>
              </w:rPr>
            </w:pPr>
            <w:r>
              <w:rPr>
                <w:w w:val="95"/>
                <w:sz w:val="20"/>
              </w:rPr>
              <w:t>2,399.00</w:t>
            </w:r>
          </w:p>
        </w:tc>
        <w:tc>
          <w:tcPr>
            <w:tcW w:w="1416" w:type="dxa"/>
          </w:tcPr>
          <w:p w:rsidR="007C5447" w:rsidRDefault="00F6308C">
            <w:pPr>
              <w:pStyle w:val="TableParagraph"/>
              <w:spacing w:before="36"/>
              <w:ind w:right="94"/>
              <w:rPr>
                <w:sz w:val="20"/>
              </w:rPr>
            </w:pPr>
            <w:r>
              <w:rPr>
                <w:w w:val="95"/>
                <w:sz w:val="20"/>
              </w:rPr>
              <w:t>2,273.84</w:t>
            </w:r>
          </w:p>
        </w:tc>
      </w:tr>
      <w:tr w:rsidR="007C5447">
        <w:trPr>
          <w:trHeight w:val="302"/>
        </w:trPr>
        <w:tc>
          <w:tcPr>
            <w:tcW w:w="2547" w:type="dxa"/>
          </w:tcPr>
          <w:p w:rsidR="007C5447" w:rsidRDefault="00F6308C">
            <w:pPr>
              <w:pStyle w:val="TableParagraph"/>
              <w:spacing w:before="55" w:line="227" w:lineRule="exact"/>
              <w:ind w:left="107"/>
              <w:jc w:val="left"/>
              <w:rPr>
                <w:sz w:val="20"/>
              </w:rPr>
            </w:pPr>
            <w:r>
              <w:rPr>
                <w:sz w:val="20"/>
              </w:rPr>
              <w:t>Mettur TPS</w:t>
            </w:r>
          </w:p>
        </w:tc>
        <w:tc>
          <w:tcPr>
            <w:tcW w:w="1135" w:type="dxa"/>
          </w:tcPr>
          <w:p w:rsidR="007C5447" w:rsidRDefault="00F6308C">
            <w:pPr>
              <w:pStyle w:val="TableParagraph"/>
              <w:spacing w:before="36"/>
              <w:ind w:right="98"/>
              <w:rPr>
                <w:sz w:val="20"/>
              </w:rPr>
            </w:pPr>
            <w:r>
              <w:rPr>
                <w:w w:val="95"/>
                <w:sz w:val="20"/>
              </w:rPr>
              <w:t>2,289.48</w:t>
            </w:r>
          </w:p>
        </w:tc>
        <w:tc>
          <w:tcPr>
            <w:tcW w:w="1438" w:type="dxa"/>
          </w:tcPr>
          <w:p w:rsidR="007C5447" w:rsidRDefault="00F6308C">
            <w:pPr>
              <w:pStyle w:val="TableParagraph"/>
              <w:spacing w:before="36"/>
              <w:ind w:right="96"/>
              <w:rPr>
                <w:sz w:val="20"/>
              </w:rPr>
            </w:pPr>
            <w:r>
              <w:rPr>
                <w:w w:val="95"/>
                <w:sz w:val="20"/>
              </w:rPr>
              <w:t>1,810.88</w:t>
            </w:r>
          </w:p>
        </w:tc>
        <w:tc>
          <w:tcPr>
            <w:tcW w:w="1397" w:type="dxa"/>
          </w:tcPr>
          <w:p w:rsidR="007C5447" w:rsidRDefault="00F6308C">
            <w:pPr>
              <w:pStyle w:val="TableParagraph"/>
              <w:spacing w:before="36"/>
              <w:ind w:right="96"/>
              <w:rPr>
                <w:sz w:val="20"/>
              </w:rPr>
            </w:pPr>
            <w:r>
              <w:rPr>
                <w:w w:val="95"/>
                <w:sz w:val="20"/>
              </w:rPr>
              <w:t>1,777.45</w:t>
            </w:r>
          </w:p>
        </w:tc>
        <w:tc>
          <w:tcPr>
            <w:tcW w:w="1277" w:type="dxa"/>
          </w:tcPr>
          <w:p w:rsidR="007C5447" w:rsidRDefault="00F6308C">
            <w:pPr>
              <w:pStyle w:val="TableParagraph"/>
              <w:spacing w:before="36"/>
              <w:ind w:right="96"/>
              <w:rPr>
                <w:sz w:val="20"/>
              </w:rPr>
            </w:pPr>
            <w:r>
              <w:rPr>
                <w:w w:val="95"/>
                <w:sz w:val="20"/>
              </w:rPr>
              <w:t>2,087.95</w:t>
            </w:r>
          </w:p>
        </w:tc>
        <w:tc>
          <w:tcPr>
            <w:tcW w:w="1370" w:type="dxa"/>
          </w:tcPr>
          <w:p w:rsidR="007C5447" w:rsidRDefault="00F6308C">
            <w:pPr>
              <w:pStyle w:val="TableParagraph"/>
              <w:spacing w:before="36"/>
              <w:ind w:right="93"/>
              <w:rPr>
                <w:sz w:val="20"/>
              </w:rPr>
            </w:pPr>
            <w:r>
              <w:rPr>
                <w:w w:val="95"/>
                <w:sz w:val="20"/>
              </w:rPr>
              <w:t>1,936.00</w:t>
            </w:r>
          </w:p>
        </w:tc>
        <w:tc>
          <w:tcPr>
            <w:tcW w:w="1464" w:type="dxa"/>
          </w:tcPr>
          <w:p w:rsidR="007C5447" w:rsidRDefault="00F6308C">
            <w:pPr>
              <w:pStyle w:val="TableParagraph"/>
              <w:spacing w:before="36"/>
              <w:ind w:right="95"/>
              <w:rPr>
                <w:sz w:val="20"/>
              </w:rPr>
            </w:pPr>
            <w:r>
              <w:rPr>
                <w:w w:val="95"/>
                <w:sz w:val="20"/>
              </w:rPr>
              <w:t>1,920.89</w:t>
            </w:r>
          </w:p>
        </w:tc>
        <w:tc>
          <w:tcPr>
            <w:tcW w:w="1277" w:type="dxa"/>
          </w:tcPr>
          <w:p w:rsidR="007C5447" w:rsidRDefault="00F6308C">
            <w:pPr>
              <w:pStyle w:val="TableParagraph"/>
              <w:spacing w:before="36"/>
              <w:ind w:right="95"/>
              <w:rPr>
                <w:sz w:val="20"/>
              </w:rPr>
            </w:pPr>
            <w:r>
              <w:rPr>
                <w:w w:val="95"/>
                <w:sz w:val="20"/>
              </w:rPr>
              <w:t>2,152.56</w:t>
            </w:r>
          </w:p>
        </w:tc>
        <w:tc>
          <w:tcPr>
            <w:tcW w:w="1588" w:type="dxa"/>
          </w:tcPr>
          <w:p w:rsidR="007C5447" w:rsidRDefault="00F6308C">
            <w:pPr>
              <w:pStyle w:val="TableParagraph"/>
              <w:spacing w:before="36"/>
              <w:ind w:right="94"/>
              <w:rPr>
                <w:sz w:val="20"/>
              </w:rPr>
            </w:pPr>
            <w:r>
              <w:rPr>
                <w:w w:val="95"/>
                <w:sz w:val="20"/>
              </w:rPr>
              <w:t>2,330.00</w:t>
            </w:r>
          </w:p>
        </w:tc>
        <w:tc>
          <w:tcPr>
            <w:tcW w:w="1416" w:type="dxa"/>
          </w:tcPr>
          <w:p w:rsidR="007C5447" w:rsidRDefault="00F6308C">
            <w:pPr>
              <w:pStyle w:val="TableParagraph"/>
              <w:spacing w:before="36"/>
              <w:ind w:right="94"/>
              <w:rPr>
                <w:sz w:val="20"/>
              </w:rPr>
            </w:pPr>
            <w:r>
              <w:rPr>
                <w:w w:val="95"/>
                <w:sz w:val="20"/>
              </w:rPr>
              <w:t>2,435.03</w:t>
            </w:r>
          </w:p>
        </w:tc>
      </w:tr>
      <w:tr w:rsidR="007C5447">
        <w:trPr>
          <w:trHeight w:val="299"/>
        </w:trPr>
        <w:tc>
          <w:tcPr>
            <w:tcW w:w="2547" w:type="dxa"/>
          </w:tcPr>
          <w:p w:rsidR="007C5447" w:rsidRDefault="00F6308C">
            <w:pPr>
              <w:pStyle w:val="TableParagraph"/>
              <w:spacing w:before="53" w:line="227" w:lineRule="exact"/>
              <w:ind w:left="107"/>
              <w:jc w:val="left"/>
              <w:rPr>
                <w:sz w:val="20"/>
              </w:rPr>
            </w:pPr>
            <w:r>
              <w:rPr>
                <w:sz w:val="20"/>
              </w:rPr>
              <w:t>Mettur Stage III TPS</w:t>
            </w:r>
          </w:p>
        </w:tc>
        <w:tc>
          <w:tcPr>
            <w:tcW w:w="1135" w:type="dxa"/>
          </w:tcPr>
          <w:p w:rsidR="007C5447" w:rsidRDefault="007C5447">
            <w:pPr>
              <w:pStyle w:val="TableParagraph"/>
              <w:jc w:val="left"/>
              <w:rPr>
                <w:sz w:val="20"/>
              </w:rPr>
            </w:pPr>
          </w:p>
        </w:tc>
        <w:tc>
          <w:tcPr>
            <w:tcW w:w="1438" w:type="dxa"/>
          </w:tcPr>
          <w:p w:rsidR="007C5447" w:rsidRDefault="007C5447">
            <w:pPr>
              <w:pStyle w:val="TableParagraph"/>
              <w:jc w:val="left"/>
              <w:rPr>
                <w:sz w:val="20"/>
              </w:rPr>
            </w:pPr>
          </w:p>
        </w:tc>
        <w:tc>
          <w:tcPr>
            <w:tcW w:w="1397" w:type="dxa"/>
          </w:tcPr>
          <w:p w:rsidR="007C5447" w:rsidRDefault="00F6308C">
            <w:pPr>
              <w:pStyle w:val="TableParagraph"/>
              <w:spacing w:before="34"/>
              <w:ind w:right="94"/>
              <w:rPr>
                <w:sz w:val="20"/>
              </w:rPr>
            </w:pPr>
            <w:r>
              <w:rPr>
                <w:w w:val="99"/>
                <w:sz w:val="20"/>
              </w:rPr>
              <w:t>-</w:t>
            </w:r>
          </w:p>
        </w:tc>
        <w:tc>
          <w:tcPr>
            <w:tcW w:w="1277" w:type="dxa"/>
          </w:tcPr>
          <w:p w:rsidR="007C5447" w:rsidRDefault="00F6308C">
            <w:pPr>
              <w:pStyle w:val="TableParagraph"/>
              <w:spacing w:before="34"/>
              <w:ind w:right="96"/>
              <w:rPr>
                <w:sz w:val="20"/>
              </w:rPr>
            </w:pPr>
            <w:r>
              <w:rPr>
                <w:w w:val="95"/>
                <w:sz w:val="20"/>
              </w:rPr>
              <w:t>144.36</w:t>
            </w:r>
          </w:p>
        </w:tc>
        <w:tc>
          <w:tcPr>
            <w:tcW w:w="1370" w:type="dxa"/>
          </w:tcPr>
          <w:p w:rsidR="007C5447" w:rsidRDefault="007C5447">
            <w:pPr>
              <w:pStyle w:val="TableParagraph"/>
              <w:jc w:val="left"/>
              <w:rPr>
                <w:sz w:val="20"/>
              </w:rPr>
            </w:pPr>
          </w:p>
        </w:tc>
        <w:tc>
          <w:tcPr>
            <w:tcW w:w="1464" w:type="dxa"/>
          </w:tcPr>
          <w:p w:rsidR="007C5447" w:rsidRDefault="00F6308C">
            <w:pPr>
              <w:pStyle w:val="TableParagraph"/>
              <w:spacing w:before="34"/>
              <w:ind w:right="94"/>
              <w:rPr>
                <w:sz w:val="20"/>
              </w:rPr>
            </w:pPr>
            <w:r>
              <w:rPr>
                <w:w w:val="99"/>
                <w:sz w:val="20"/>
              </w:rPr>
              <w:t>-</w:t>
            </w:r>
          </w:p>
        </w:tc>
        <w:tc>
          <w:tcPr>
            <w:tcW w:w="1277" w:type="dxa"/>
          </w:tcPr>
          <w:p w:rsidR="007C5447" w:rsidRDefault="00F6308C">
            <w:pPr>
              <w:pStyle w:val="TableParagraph"/>
              <w:spacing w:before="34"/>
              <w:ind w:right="94"/>
              <w:rPr>
                <w:sz w:val="20"/>
              </w:rPr>
            </w:pPr>
            <w:r>
              <w:rPr>
                <w:w w:val="95"/>
                <w:sz w:val="20"/>
              </w:rPr>
              <w:t>649.18</w:t>
            </w:r>
          </w:p>
        </w:tc>
        <w:tc>
          <w:tcPr>
            <w:tcW w:w="1588" w:type="dxa"/>
          </w:tcPr>
          <w:p w:rsidR="007C5447" w:rsidRDefault="007C5447">
            <w:pPr>
              <w:pStyle w:val="TableParagraph"/>
              <w:jc w:val="left"/>
              <w:rPr>
                <w:sz w:val="20"/>
              </w:rPr>
            </w:pPr>
          </w:p>
        </w:tc>
        <w:tc>
          <w:tcPr>
            <w:tcW w:w="1416" w:type="dxa"/>
          </w:tcPr>
          <w:p w:rsidR="007C5447" w:rsidRDefault="00F6308C">
            <w:pPr>
              <w:pStyle w:val="TableParagraph"/>
              <w:spacing w:before="34"/>
              <w:ind w:right="96"/>
              <w:rPr>
                <w:sz w:val="20"/>
              </w:rPr>
            </w:pPr>
            <w:r>
              <w:rPr>
                <w:w w:val="95"/>
                <w:sz w:val="20"/>
              </w:rPr>
              <w:t>699.75</w:t>
            </w:r>
          </w:p>
        </w:tc>
      </w:tr>
      <w:tr w:rsidR="007C5447">
        <w:trPr>
          <w:trHeight w:val="299"/>
        </w:trPr>
        <w:tc>
          <w:tcPr>
            <w:tcW w:w="2547" w:type="dxa"/>
          </w:tcPr>
          <w:p w:rsidR="007C5447" w:rsidRDefault="00F6308C">
            <w:pPr>
              <w:pStyle w:val="TableParagraph"/>
              <w:spacing w:before="55" w:line="224" w:lineRule="exact"/>
              <w:ind w:left="107"/>
              <w:jc w:val="left"/>
              <w:rPr>
                <w:sz w:val="20"/>
              </w:rPr>
            </w:pPr>
            <w:r>
              <w:rPr>
                <w:sz w:val="20"/>
              </w:rPr>
              <w:t>North Chennai TPS</w:t>
            </w:r>
          </w:p>
        </w:tc>
        <w:tc>
          <w:tcPr>
            <w:tcW w:w="1135" w:type="dxa"/>
          </w:tcPr>
          <w:p w:rsidR="007C5447" w:rsidRDefault="00F6308C">
            <w:pPr>
              <w:pStyle w:val="TableParagraph"/>
              <w:spacing w:before="34"/>
              <w:ind w:right="98"/>
              <w:rPr>
                <w:sz w:val="20"/>
              </w:rPr>
            </w:pPr>
            <w:r>
              <w:rPr>
                <w:w w:val="95"/>
                <w:sz w:val="20"/>
              </w:rPr>
              <w:t>922.76</w:t>
            </w:r>
          </w:p>
        </w:tc>
        <w:tc>
          <w:tcPr>
            <w:tcW w:w="1438" w:type="dxa"/>
          </w:tcPr>
          <w:p w:rsidR="007C5447" w:rsidRDefault="00F6308C">
            <w:pPr>
              <w:pStyle w:val="TableParagraph"/>
              <w:spacing w:before="34"/>
              <w:ind w:right="95"/>
              <w:rPr>
                <w:sz w:val="20"/>
              </w:rPr>
            </w:pPr>
            <w:r>
              <w:rPr>
                <w:w w:val="95"/>
                <w:sz w:val="20"/>
              </w:rPr>
              <w:t>1,013.78</w:t>
            </w:r>
          </w:p>
        </w:tc>
        <w:tc>
          <w:tcPr>
            <w:tcW w:w="1397" w:type="dxa"/>
          </w:tcPr>
          <w:p w:rsidR="007C5447" w:rsidRDefault="00F6308C">
            <w:pPr>
              <w:pStyle w:val="TableParagraph"/>
              <w:spacing w:before="34"/>
              <w:ind w:right="96"/>
              <w:rPr>
                <w:sz w:val="20"/>
              </w:rPr>
            </w:pPr>
            <w:r>
              <w:rPr>
                <w:w w:val="95"/>
                <w:sz w:val="20"/>
              </w:rPr>
              <w:t>1,089.84</w:t>
            </w:r>
          </w:p>
        </w:tc>
        <w:tc>
          <w:tcPr>
            <w:tcW w:w="1277" w:type="dxa"/>
          </w:tcPr>
          <w:p w:rsidR="007C5447" w:rsidRDefault="00F6308C">
            <w:pPr>
              <w:pStyle w:val="TableParagraph"/>
              <w:spacing w:before="34"/>
              <w:ind w:right="96"/>
              <w:rPr>
                <w:sz w:val="20"/>
              </w:rPr>
            </w:pPr>
            <w:r>
              <w:rPr>
                <w:w w:val="95"/>
                <w:sz w:val="20"/>
              </w:rPr>
              <w:t>1,233.94</w:t>
            </w:r>
          </w:p>
        </w:tc>
        <w:tc>
          <w:tcPr>
            <w:tcW w:w="1370" w:type="dxa"/>
          </w:tcPr>
          <w:p w:rsidR="007C5447" w:rsidRDefault="00F6308C">
            <w:pPr>
              <w:pStyle w:val="TableParagraph"/>
              <w:spacing w:before="34"/>
              <w:ind w:right="93"/>
              <w:rPr>
                <w:sz w:val="20"/>
              </w:rPr>
            </w:pPr>
            <w:r>
              <w:rPr>
                <w:w w:val="95"/>
                <w:sz w:val="20"/>
              </w:rPr>
              <w:t>1,271.00</w:t>
            </w:r>
          </w:p>
        </w:tc>
        <w:tc>
          <w:tcPr>
            <w:tcW w:w="1464" w:type="dxa"/>
          </w:tcPr>
          <w:p w:rsidR="007C5447" w:rsidRDefault="00F6308C">
            <w:pPr>
              <w:pStyle w:val="TableParagraph"/>
              <w:spacing w:before="34"/>
              <w:ind w:right="95"/>
              <w:rPr>
                <w:sz w:val="20"/>
              </w:rPr>
            </w:pPr>
            <w:r>
              <w:rPr>
                <w:w w:val="95"/>
                <w:sz w:val="20"/>
              </w:rPr>
              <w:t>1,326.71</w:t>
            </w:r>
          </w:p>
        </w:tc>
        <w:tc>
          <w:tcPr>
            <w:tcW w:w="1277" w:type="dxa"/>
          </w:tcPr>
          <w:p w:rsidR="007C5447" w:rsidRDefault="00F6308C">
            <w:pPr>
              <w:pStyle w:val="TableParagraph"/>
              <w:spacing w:before="34"/>
              <w:ind w:right="94"/>
              <w:rPr>
                <w:sz w:val="20"/>
              </w:rPr>
            </w:pPr>
            <w:r>
              <w:rPr>
                <w:w w:val="95"/>
                <w:sz w:val="20"/>
              </w:rPr>
              <w:t>994.64</w:t>
            </w:r>
          </w:p>
        </w:tc>
        <w:tc>
          <w:tcPr>
            <w:tcW w:w="1588" w:type="dxa"/>
          </w:tcPr>
          <w:p w:rsidR="007C5447" w:rsidRDefault="00F6308C">
            <w:pPr>
              <w:pStyle w:val="TableParagraph"/>
              <w:spacing w:before="34"/>
              <w:ind w:right="94"/>
              <w:rPr>
                <w:sz w:val="20"/>
              </w:rPr>
            </w:pPr>
            <w:r>
              <w:rPr>
                <w:w w:val="95"/>
                <w:sz w:val="20"/>
              </w:rPr>
              <w:t>1,165.00</w:t>
            </w:r>
          </w:p>
        </w:tc>
        <w:tc>
          <w:tcPr>
            <w:tcW w:w="1416" w:type="dxa"/>
          </w:tcPr>
          <w:p w:rsidR="007C5447" w:rsidRDefault="00F6308C">
            <w:pPr>
              <w:pStyle w:val="TableParagraph"/>
              <w:spacing w:before="34"/>
              <w:ind w:right="94"/>
              <w:rPr>
                <w:sz w:val="20"/>
              </w:rPr>
            </w:pPr>
            <w:r>
              <w:rPr>
                <w:w w:val="95"/>
                <w:sz w:val="20"/>
              </w:rPr>
              <w:t>1,086.02</w:t>
            </w:r>
          </w:p>
        </w:tc>
      </w:tr>
      <w:tr w:rsidR="007C5447">
        <w:trPr>
          <w:trHeight w:val="299"/>
        </w:trPr>
        <w:tc>
          <w:tcPr>
            <w:tcW w:w="2547" w:type="dxa"/>
          </w:tcPr>
          <w:p w:rsidR="007C5447" w:rsidRDefault="00F6308C">
            <w:pPr>
              <w:pStyle w:val="TableParagraph"/>
              <w:spacing w:before="55" w:line="224" w:lineRule="exact"/>
              <w:ind w:left="107"/>
              <w:jc w:val="left"/>
              <w:rPr>
                <w:sz w:val="20"/>
              </w:rPr>
            </w:pPr>
            <w:r>
              <w:rPr>
                <w:sz w:val="20"/>
              </w:rPr>
              <w:t>North Chennai Stage II TPS</w:t>
            </w:r>
          </w:p>
        </w:tc>
        <w:tc>
          <w:tcPr>
            <w:tcW w:w="1135" w:type="dxa"/>
          </w:tcPr>
          <w:p w:rsidR="007C5447" w:rsidRDefault="007C5447">
            <w:pPr>
              <w:pStyle w:val="TableParagraph"/>
              <w:jc w:val="left"/>
              <w:rPr>
                <w:sz w:val="20"/>
              </w:rPr>
            </w:pPr>
          </w:p>
        </w:tc>
        <w:tc>
          <w:tcPr>
            <w:tcW w:w="1438" w:type="dxa"/>
          </w:tcPr>
          <w:p w:rsidR="007C5447" w:rsidRDefault="007C5447">
            <w:pPr>
              <w:pStyle w:val="TableParagraph"/>
              <w:jc w:val="left"/>
              <w:rPr>
                <w:sz w:val="20"/>
              </w:rPr>
            </w:pPr>
          </w:p>
        </w:tc>
        <w:tc>
          <w:tcPr>
            <w:tcW w:w="1397" w:type="dxa"/>
          </w:tcPr>
          <w:p w:rsidR="007C5447" w:rsidRDefault="00F6308C">
            <w:pPr>
              <w:pStyle w:val="TableParagraph"/>
              <w:spacing w:before="34"/>
              <w:ind w:right="94"/>
              <w:rPr>
                <w:sz w:val="20"/>
              </w:rPr>
            </w:pPr>
            <w:r>
              <w:rPr>
                <w:w w:val="99"/>
                <w:sz w:val="20"/>
              </w:rPr>
              <w:t>-</w:t>
            </w:r>
          </w:p>
        </w:tc>
        <w:tc>
          <w:tcPr>
            <w:tcW w:w="1277" w:type="dxa"/>
          </w:tcPr>
          <w:p w:rsidR="007C5447" w:rsidRDefault="00F6308C">
            <w:pPr>
              <w:pStyle w:val="TableParagraph"/>
              <w:spacing w:before="34"/>
              <w:ind w:right="95"/>
              <w:rPr>
                <w:sz w:val="20"/>
              </w:rPr>
            </w:pPr>
            <w:r>
              <w:rPr>
                <w:sz w:val="20"/>
              </w:rPr>
              <w:t>5.14</w:t>
            </w:r>
          </w:p>
        </w:tc>
        <w:tc>
          <w:tcPr>
            <w:tcW w:w="1370" w:type="dxa"/>
          </w:tcPr>
          <w:p w:rsidR="007C5447" w:rsidRDefault="007C5447">
            <w:pPr>
              <w:pStyle w:val="TableParagraph"/>
              <w:jc w:val="left"/>
              <w:rPr>
                <w:sz w:val="20"/>
              </w:rPr>
            </w:pPr>
          </w:p>
        </w:tc>
        <w:tc>
          <w:tcPr>
            <w:tcW w:w="1464" w:type="dxa"/>
          </w:tcPr>
          <w:p w:rsidR="007C5447" w:rsidRDefault="00F6308C">
            <w:pPr>
              <w:pStyle w:val="TableParagraph"/>
              <w:spacing w:before="34"/>
              <w:ind w:right="94"/>
              <w:rPr>
                <w:sz w:val="20"/>
              </w:rPr>
            </w:pPr>
            <w:r>
              <w:rPr>
                <w:w w:val="99"/>
                <w:sz w:val="20"/>
              </w:rPr>
              <w:t>-</w:t>
            </w:r>
          </w:p>
        </w:tc>
        <w:tc>
          <w:tcPr>
            <w:tcW w:w="1277" w:type="dxa"/>
          </w:tcPr>
          <w:p w:rsidR="007C5447" w:rsidRDefault="00F6308C">
            <w:pPr>
              <w:pStyle w:val="TableParagraph"/>
              <w:spacing w:before="34"/>
              <w:ind w:right="94"/>
              <w:rPr>
                <w:sz w:val="20"/>
              </w:rPr>
            </w:pPr>
            <w:r>
              <w:rPr>
                <w:w w:val="95"/>
                <w:sz w:val="20"/>
              </w:rPr>
              <w:t>487.45</w:t>
            </w:r>
          </w:p>
        </w:tc>
        <w:tc>
          <w:tcPr>
            <w:tcW w:w="1588" w:type="dxa"/>
          </w:tcPr>
          <w:p w:rsidR="007C5447" w:rsidRDefault="007C5447">
            <w:pPr>
              <w:pStyle w:val="TableParagraph"/>
              <w:jc w:val="left"/>
              <w:rPr>
                <w:sz w:val="20"/>
              </w:rPr>
            </w:pPr>
          </w:p>
        </w:tc>
        <w:tc>
          <w:tcPr>
            <w:tcW w:w="1416" w:type="dxa"/>
          </w:tcPr>
          <w:p w:rsidR="007C5447" w:rsidRDefault="00F6308C">
            <w:pPr>
              <w:pStyle w:val="TableParagraph"/>
              <w:spacing w:before="34"/>
              <w:ind w:right="92"/>
              <w:rPr>
                <w:sz w:val="20"/>
              </w:rPr>
            </w:pPr>
            <w:r>
              <w:rPr>
                <w:w w:val="99"/>
                <w:sz w:val="20"/>
              </w:rPr>
              <w:t>-</w:t>
            </w:r>
          </w:p>
        </w:tc>
      </w:tr>
      <w:tr w:rsidR="007C5447">
        <w:trPr>
          <w:trHeight w:val="330"/>
        </w:trPr>
        <w:tc>
          <w:tcPr>
            <w:tcW w:w="2547" w:type="dxa"/>
            <w:shd w:val="clear" w:color="auto" w:fill="D9D9D9"/>
          </w:tcPr>
          <w:p w:rsidR="007C5447" w:rsidRDefault="00F6308C">
            <w:pPr>
              <w:pStyle w:val="TableParagraph"/>
              <w:spacing w:before="84" w:line="227" w:lineRule="exact"/>
              <w:ind w:left="107"/>
              <w:jc w:val="left"/>
              <w:rPr>
                <w:b/>
                <w:sz w:val="20"/>
              </w:rPr>
            </w:pPr>
            <w:r>
              <w:rPr>
                <w:b/>
                <w:sz w:val="20"/>
              </w:rPr>
              <w:t>Sub-total Thermal</w:t>
            </w:r>
          </w:p>
        </w:tc>
        <w:tc>
          <w:tcPr>
            <w:tcW w:w="1135" w:type="dxa"/>
            <w:shd w:val="clear" w:color="auto" w:fill="D9D9D9"/>
          </w:tcPr>
          <w:p w:rsidR="007C5447" w:rsidRDefault="00F6308C">
            <w:pPr>
              <w:pStyle w:val="TableParagraph"/>
              <w:spacing w:before="50"/>
              <w:ind w:right="98"/>
              <w:rPr>
                <w:b/>
                <w:sz w:val="20"/>
              </w:rPr>
            </w:pPr>
            <w:r>
              <w:rPr>
                <w:b/>
                <w:w w:val="95"/>
                <w:sz w:val="20"/>
              </w:rPr>
              <w:t>5,774.54</w:t>
            </w:r>
          </w:p>
        </w:tc>
        <w:tc>
          <w:tcPr>
            <w:tcW w:w="1438" w:type="dxa"/>
            <w:shd w:val="clear" w:color="auto" w:fill="D9D9D9"/>
          </w:tcPr>
          <w:p w:rsidR="007C5447" w:rsidRDefault="00F6308C">
            <w:pPr>
              <w:pStyle w:val="TableParagraph"/>
              <w:spacing w:before="50"/>
              <w:ind w:right="96"/>
              <w:rPr>
                <w:b/>
                <w:sz w:val="20"/>
              </w:rPr>
            </w:pPr>
            <w:r>
              <w:rPr>
                <w:b/>
                <w:w w:val="95"/>
                <w:sz w:val="20"/>
              </w:rPr>
              <w:t>5,600.64</w:t>
            </w:r>
          </w:p>
        </w:tc>
        <w:tc>
          <w:tcPr>
            <w:tcW w:w="1397" w:type="dxa"/>
            <w:shd w:val="clear" w:color="auto" w:fill="D9D9D9"/>
          </w:tcPr>
          <w:p w:rsidR="007C5447" w:rsidRDefault="00F6308C">
            <w:pPr>
              <w:pStyle w:val="TableParagraph"/>
              <w:spacing w:before="50"/>
              <w:ind w:right="96"/>
              <w:rPr>
                <w:b/>
                <w:sz w:val="20"/>
              </w:rPr>
            </w:pPr>
            <w:r>
              <w:rPr>
                <w:b/>
                <w:w w:val="95"/>
                <w:sz w:val="20"/>
              </w:rPr>
              <w:t>5,418.25</w:t>
            </w:r>
          </w:p>
        </w:tc>
        <w:tc>
          <w:tcPr>
            <w:tcW w:w="1277" w:type="dxa"/>
            <w:shd w:val="clear" w:color="auto" w:fill="D9D9D9"/>
          </w:tcPr>
          <w:p w:rsidR="007C5447" w:rsidRDefault="00F6308C">
            <w:pPr>
              <w:pStyle w:val="TableParagraph"/>
              <w:spacing w:before="50"/>
              <w:ind w:right="96"/>
              <w:rPr>
                <w:b/>
                <w:sz w:val="20"/>
              </w:rPr>
            </w:pPr>
            <w:r>
              <w:rPr>
                <w:b/>
                <w:w w:val="95"/>
                <w:sz w:val="20"/>
              </w:rPr>
              <w:t>5,926.20</w:t>
            </w:r>
          </w:p>
        </w:tc>
        <w:tc>
          <w:tcPr>
            <w:tcW w:w="1370" w:type="dxa"/>
            <w:shd w:val="clear" w:color="auto" w:fill="D9D9D9"/>
          </w:tcPr>
          <w:p w:rsidR="007C5447" w:rsidRDefault="00F6308C">
            <w:pPr>
              <w:pStyle w:val="TableParagraph"/>
              <w:spacing w:before="50"/>
              <w:ind w:right="93"/>
              <w:rPr>
                <w:b/>
                <w:sz w:val="20"/>
              </w:rPr>
            </w:pPr>
            <w:r>
              <w:rPr>
                <w:b/>
                <w:w w:val="95"/>
                <w:sz w:val="20"/>
              </w:rPr>
              <w:t>5,994.00</w:t>
            </w:r>
          </w:p>
        </w:tc>
        <w:tc>
          <w:tcPr>
            <w:tcW w:w="1464" w:type="dxa"/>
            <w:shd w:val="clear" w:color="auto" w:fill="D9D9D9"/>
          </w:tcPr>
          <w:p w:rsidR="007C5447" w:rsidRDefault="00F6308C">
            <w:pPr>
              <w:pStyle w:val="TableParagraph"/>
              <w:spacing w:before="50"/>
              <w:ind w:right="95"/>
              <w:rPr>
                <w:b/>
                <w:sz w:val="20"/>
              </w:rPr>
            </w:pPr>
            <w:r>
              <w:rPr>
                <w:b/>
                <w:w w:val="95"/>
                <w:sz w:val="20"/>
              </w:rPr>
              <w:t>5,707.85</w:t>
            </w:r>
          </w:p>
        </w:tc>
        <w:tc>
          <w:tcPr>
            <w:tcW w:w="1277" w:type="dxa"/>
            <w:shd w:val="clear" w:color="auto" w:fill="D9D9D9"/>
          </w:tcPr>
          <w:p w:rsidR="007C5447" w:rsidRDefault="00F6308C">
            <w:pPr>
              <w:pStyle w:val="TableParagraph"/>
              <w:spacing w:before="50"/>
              <w:ind w:right="95"/>
              <w:rPr>
                <w:b/>
                <w:sz w:val="20"/>
              </w:rPr>
            </w:pPr>
            <w:r>
              <w:rPr>
                <w:b/>
                <w:sz w:val="20"/>
              </w:rPr>
              <w:t>7004.23</w:t>
            </w:r>
          </w:p>
        </w:tc>
        <w:tc>
          <w:tcPr>
            <w:tcW w:w="1588" w:type="dxa"/>
            <w:shd w:val="clear" w:color="auto" w:fill="D9D9D9"/>
          </w:tcPr>
          <w:p w:rsidR="007C5447" w:rsidRDefault="00F6308C">
            <w:pPr>
              <w:pStyle w:val="TableParagraph"/>
              <w:spacing w:before="50"/>
              <w:ind w:right="94"/>
              <w:rPr>
                <w:b/>
                <w:sz w:val="20"/>
              </w:rPr>
            </w:pPr>
            <w:r>
              <w:rPr>
                <w:b/>
                <w:w w:val="95"/>
                <w:sz w:val="20"/>
              </w:rPr>
              <w:t>6,304.00</w:t>
            </w:r>
          </w:p>
        </w:tc>
        <w:tc>
          <w:tcPr>
            <w:tcW w:w="1416" w:type="dxa"/>
            <w:shd w:val="clear" w:color="auto" w:fill="D9D9D9"/>
          </w:tcPr>
          <w:p w:rsidR="007C5447" w:rsidRDefault="00F6308C">
            <w:pPr>
              <w:pStyle w:val="TableParagraph"/>
              <w:spacing w:before="50"/>
              <w:ind w:right="91"/>
              <w:rPr>
                <w:b/>
                <w:sz w:val="20"/>
              </w:rPr>
            </w:pPr>
            <w:r>
              <w:rPr>
                <w:b/>
                <w:sz w:val="20"/>
              </w:rPr>
              <w:t>6,845.48</w:t>
            </w:r>
          </w:p>
        </w:tc>
      </w:tr>
      <w:tr w:rsidR="007C5447">
        <w:trPr>
          <w:trHeight w:val="299"/>
        </w:trPr>
        <w:tc>
          <w:tcPr>
            <w:tcW w:w="2547" w:type="dxa"/>
          </w:tcPr>
          <w:p w:rsidR="007C5447" w:rsidRDefault="00F6308C">
            <w:pPr>
              <w:pStyle w:val="TableParagraph"/>
              <w:spacing w:before="55" w:line="224" w:lineRule="exact"/>
              <w:ind w:left="107"/>
              <w:jc w:val="left"/>
              <w:rPr>
                <w:sz w:val="20"/>
              </w:rPr>
            </w:pPr>
            <w:r>
              <w:rPr>
                <w:sz w:val="20"/>
              </w:rPr>
              <w:t>Tirumakottai GTPS</w:t>
            </w:r>
          </w:p>
        </w:tc>
        <w:tc>
          <w:tcPr>
            <w:tcW w:w="1135" w:type="dxa"/>
          </w:tcPr>
          <w:p w:rsidR="007C5447" w:rsidRDefault="00F6308C">
            <w:pPr>
              <w:pStyle w:val="TableParagraph"/>
              <w:spacing w:before="34"/>
              <w:ind w:right="98"/>
              <w:rPr>
                <w:sz w:val="20"/>
              </w:rPr>
            </w:pPr>
            <w:r>
              <w:rPr>
                <w:w w:val="95"/>
                <w:sz w:val="20"/>
              </w:rPr>
              <w:t>117.93</w:t>
            </w:r>
          </w:p>
        </w:tc>
        <w:tc>
          <w:tcPr>
            <w:tcW w:w="1438" w:type="dxa"/>
          </w:tcPr>
          <w:p w:rsidR="007C5447" w:rsidRDefault="00F6308C">
            <w:pPr>
              <w:pStyle w:val="TableParagraph"/>
              <w:spacing w:before="34"/>
              <w:ind w:right="98"/>
              <w:rPr>
                <w:sz w:val="20"/>
              </w:rPr>
            </w:pPr>
            <w:r>
              <w:rPr>
                <w:w w:val="95"/>
                <w:sz w:val="20"/>
              </w:rPr>
              <w:t>115.10</w:t>
            </w:r>
          </w:p>
        </w:tc>
        <w:tc>
          <w:tcPr>
            <w:tcW w:w="1397" w:type="dxa"/>
          </w:tcPr>
          <w:p w:rsidR="007C5447" w:rsidRDefault="00F6308C">
            <w:pPr>
              <w:pStyle w:val="TableParagraph"/>
              <w:spacing w:before="34"/>
              <w:ind w:right="98"/>
              <w:rPr>
                <w:sz w:val="20"/>
              </w:rPr>
            </w:pPr>
            <w:r>
              <w:rPr>
                <w:w w:val="95"/>
                <w:sz w:val="20"/>
              </w:rPr>
              <w:t>110.35</w:t>
            </w:r>
          </w:p>
        </w:tc>
        <w:tc>
          <w:tcPr>
            <w:tcW w:w="1277" w:type="dxa"/>
          </w:tcPr>
          <w:p w:rsidR="007C5447" w:rsidRDefault="00F6308C">
            <w:pPr>
              <w:pStyle w:val="TableParagraph"/>
              <w:spacing w:before="34"/>
              <w:ind w:right="96"/>
              <w:rPr>
                <w:sz w:val="20"/>
              </w:rPr>
            </w:pPr>
            <w:r>
              <w:rPr>
                <w:w w:val="95"/>
                <w:sz w:val="20"/>
              </w:rPr>
              <w:t>126.53</w:t>
            </w:r>
          </w:p>
        </w:tc>
        <w:tc>
          <w:tcPr>
            <w:tcW w:w="1370" w:type="dxa"/>
          </w:tcPr>
          <w:p w:rsidR="007C5447" w:rsidRDefault="00F6308C">
            <w:pPr>
              <w:pStyle w:val="TableParagraph"/>
              <w:spacing w:before="34"/>
              <w:ind w:right="95"/>
              <w:rPr>
                <w:sz w:val="20"/>
              </w:rPr>
            </w:pPr>
            <w:r>
              <w:rPr>
                <w:w w:val="95"/>
                <w:sz w:val="20"/>
              </w:rPr>
              <w:t>131.00</w:t>
            </w:r>
          </w:p>
        </w:tc>
        <w:tc>
          <w:tcPr>
            <w:tcW w:w="1464" w:type="dxa"/>
          </w:tcPr>
          <w:p w:rsidR="007C5447" w:rsidRDefault="00F6308C">
            <w:pPr>
              <w:pStyle w:val="TableParagraph"/>
              <w:spacing w:before="34"/>
              <w:ind w:right="97"/>
              <w:rPr>
                <w:sz w:val="20"/>
              </w:rPr>
            </w:pPr>
            <w:r>
              <w:rPr>
                <w:w w:val="95"/>
                <w:sz w:val="20"/>
              </w:rPr>
              <w:t>126.40</w:t>
            </w:r>
          </w:p>
        </w:tc>
        <w:tc>
          <w:tcPr>
            <w:tcW w:w="1277" w:type="dxa"/>
          </w:tcPr>
          <w:p w:rsidR="007C5447" w:rsidRDefault="00F6308C">
            <w:pPr>
              <w:pStyle w:val="TableParagraph"/>
              <w:spacing w:before="34"/>
              <w:ind w:right="94"/>
              <w:rPr>
                <w:sz w:val="20"/>
              </w:rPr>
            </w:pPr>
            <w:r>
              <w:rPr>
                <w:w w:val="95"/>
                <w:sz w:val="20"/>
              </w:rPr>
              <w:t>102.24</w:t>
            </w:r>
          </w:p>
        </w:tc>
        <w:tc>
          <w:tcPr>
            <w:tcW w:w="1588" w:type="dxa"/>
          </w:tcPr>
          <w:p w:rsidR="007C5447" w:rsidRDefault="00F6308C">
            <w:pPr>
              <w:pStyle w:val="TableParagraph"/>
              <w:spacing w:before="34"/>
              <w:ind w:right="96"/>
              <w:rPr>
                <w:sz w:val="20"/>
              </w:rPr>
            </w:pPr>
            <w:r>
              <w:rPr>
                <w:w w:val="95"/>
                <w:sz w:val="20"/>
              </w:rPr>
              <w:t>110.00</w:t>
            </w:r>
          </w:p>
        </w:tc>
        <w:tc>
          <w:tcPr>
            <w:tcW w:w="1416" w:type="dxa"/>
          </w:tcPr>
          <w:p w:rsidR="007C5447" w:rsidRDefault="00F6308C">
            <w:pPr>
              <w:pStyle w:val="TableParagraph"/>
              <w:spacing w:before="34"/>
              <w:ind w:right="96"/>
              <w:rPr>
                <w:sz w:val="20"/>
              </w:rPr>
            </w:pPr>
            <w:r>
              <w:rPr>
                <w:w w:val="95"/>
                <w:sz w:val="20"/>
              </w:rPr>
              <w:t>89.17</w:t>
            </w:r>
          </w:p>
        </w:tc>
      </w:tr>
      <w:tr w:rsidR="007C5447">
        <w:trPr>
          <w:trHeight w:val="299"/>
        </w:trPr>
        <w:tc>
          <w:tcPr>
            <w:tcW w:w="2547" w:type="dxa"/>
          </w:tcPr>
          <w:p w:rsidR="007C5447" w:rsidRDefault="00F6308C">
            <w:pPr>
              <w:pStyle w:val="TableParagraph"/>
              <w:spacing w:before="55" w:line="224" w:lineRule="exact"/>
              <w:ind w:left="107"/>
              <w:jc w:val="left"/>
              <w:rPr>
                <w:sz w:val="20"/>
              </w:rPr>
            </w:pPr>
            <w:r>
              <w:rPr>
                <w:sz w:val="20"/>
              </w:rPr>
              <w:t>Kuttalam GTPS</w:t>
            </w:r>
          </w:p>
        </w:tc>
        <w:tc>
          <w:tcPr>
            <w:tcW w:w="1135" w:type="dxa"/>
          </w:tcPr>
          <w:p w:rsidR="007C5447" w:rsidRDefault="00F6308C">
            <w:pPr>
              <w:pStyle w:val="TableParagraph"/>
              <w:spacing w:before="34"/>
              <w:ind w:right="98"/>
              <w:rPr>
                <w:sz w:val="20"/>
              </w:rPr>
            </w:pPr>
            <w:r>
              <w:rPr>
                <w:sz w:val="20"/>
              </w:rPr>
              <w:t>69.46</w:t>
            </w:r>
          </w:p>
        </w:tc>
        <w:tc>
          <w:tcPr>
            <w:tcW w:w="1438" w:type="dxa"/>
          </w:tcPr>
          <w:p w:rsidR="007C5447" w:rsidRDefault="00F6308C">
            <w:pPr>
              <w:pStyle w:val="TableParagraph"/>
              <w:spacing w:before="34"/>
              <w:ind w:right="97"/>
              <w:rPr>
                <w:sz w:val="20"/>
              </w:rPr>
            </w:pPr>
            <w:r>
              <w:rPr>
                <w:w w:val="95"/>
                <w:sz w:val="20"/>
              </w:rPr>
              <w:t>73.02</w:t>
            </w:r>
          </w:p>
        </w:tc>
        <w:tc>
          <w:tcPr>
            <w:tcW w:w="1397" w:type="dxa"/>
          </w:tcPr>
          <w:p w:rsidR="007C5447" w:rsidRDefault="00F6308C">
            <w:pPr>
              <w:pStyle w:val="TableParagraph"/>
              <w:spacing w:before="34"/>
              <w:ind w:right="98"/>
              <w:rPr>
                <w:sz w:val="20"/>
              </w:rPr>
            </w:pPr>
            <w:r>
              <w:rPr>
                <w:w w:val="95"/>
                <w:sz w:val="20"/>
              </w:rPr>
              <w:t>64.01</w:t>
            </w:r>
          </w:p>
        </w:tc>
        <w:tc>
          <w:tcPr>
            <w:tcW w:w="1277" w:type="dxa"/>
          </w:tcPr>
          <w:p w:rsidR="007C5447" w:rsidRDefault="00F6308C">
            <w:pPr>
              <w:pStyle w:val="TableParagraph"/>
              <w:spacing w:before="34"/>
              <w:ind w:right="96"/>
              <w:rPr>
                <w:sz w:val="20"/>
              </w:rPr>
            </w:pPr>
            <w:r>
              <w:rPr>
                <w:sz w:val="20"/>
              </w:rPr>
              <w:t>19.03</w:t>
            </w:r>
          </w:p>
        </w:tc>
        <w:tc>
          <w:tcPr>
            <w:tcW w:w="1370" w:type="dxa"/>
          </w:tcPr>
          <w:p w:rsidR="007C5447" w:rsidRDefault="00F6308C">
            <w:pPr>
              <w:pStyle w:val="TableParagraph"/>
              <w:spacing w:before="34"/>
              <w:ind w:right="95"/>
              <w:rPr>
                <w:sz w:val="20"/>
              </w:rPr>
            </w:pPr>
            <w:r>
              <w:rPr>
                <w:w w:val="95"/>
                <w:sz w:val="20"/>
              </w:rPr>
              <w:t>22.00</w:t>
            </w:r>
          </w:p>
        </w:tc>
        <w:tc>
          <w:tcPr>
            <w:tcW w:w="1464" w:type="dxa"/>
          </w:tcPr>
          <w:p w:rsidR="007C5447" w:rsidRDefault="00F6308C">
            <w:pPr>
              <w:pStyle w:val="TableParagraph"/>
              <w:spacing w:before="34"/>
              <w:ind w:right="97"/>
              <w:rPr>
                <w:sz w:val="20"/>
              </w:rPr>
            </w:pPr>
            <w:r>
              <w:rPr>
                <w:w w:val="95"/>
                <w:sz w:val="20"/>
              </w:rPr>
              <w:t>13.52</w:t>
            </w:r>
          </w:p>
        </w:tc>
        <w:tc>
          <w:tcPr>
            <w:tcW w:w="1277" w:type="dxa"/>
          </w:tcPr>
          <w:p w:rsidR="007C5447" w:rsidRDefault="00F6308C">
            <w:pPr>
              <w:pStyle w:val="TableParagraph"/>
              <w:spacing w:before="34"/>
              <w:ind w:right="94"/>
              <w:rPr>
                <w:sz w:val="20"/>
              </w:rPr>
            </w:pPr>
            <w:r>
              <w:rPr>
                <w:w w:val="95"/>
                <w:sz w:val="20"/>
              </w:rPr>
              <w:t>144.13</w:t>
            </w:r>
          </w:p>
        </w:tc>
        <w:tc>
          <w:tcPr>
            <w:tcW w:w="1588" w:type="dxa"/>
          </w:tcPr>
          <w:p w:rsidR="007C5447" w:rsidRDefault="00F6308C">
            <w:pPr>
              <w:pStyle w:val="TableParagraph"/>
              <w:spacing w:before="34"/>
              <w:ind w:right="96"/>
              <w:rPr>
                <w:sz w:val="20"/>
              </w:rPr>
            </w:pPr>
            <w:r>
              <w:rPr>
                <w:w w:val="95"/>
                <w:sz w:val="20"/>
              </w:rPr>
              <w:t>132.00</w:t>
            </w:r>
          </w:p>
        </w:tc>
        <w:tc>
          <w:tcPr>
            <w:tcW w:w="1416" w:type="dxa"/>
          </w:tcPr>
          <w:p w:rsidR="007C5447" w:rsidRDefault="00F6308C">
            <w:pPr>
              <w:pStyle w:val="TableParagraph"/>
              <w:spacing w:before="34"/>
              <w:ind w:right="96"/>
              <w:rPr>
                <w:sz w:val="20"/>
              </w:rPr>
            </w:pPr>
            <w:r>
              <w:rPr>
                <w:w w:val="95"/>
                <w:sz w:val="20"/>
              </w:rPr>
              <w:t>122.70</w:t>
            </w:r>
          </w:p>
        </w:tc>
      </w:tr>
      <w:tr w:rsidR="007C5447">
        <w:trPr>
          <w:trHeight w:val="299"/>
        </w:trPr>
        <w:tc>
          <w:tcPr>
            <w:tcW w:w="2547" w:type="dxa"/>
          </w:tcPr>
          <w:p w:rsidR="007C5447" w:rsidRDefault="00F6308C">
            <w:pPr>
              <w:pStyle w:val="TableParagraph"/>
              <w:spacing w:before="55" w:line="224" w:lineRule="exact"/>
              <w:ind w:left="107"/>
              <w:jc w:val="left"/>
              <w:rPr>
                <w:sz w:val="20"/>
              </w:rPr>
            </w:pPr>
            <w:r>
              <w:rPr>
                <w:sz w:val="20"/>
              </w:rPr>
              <w:t>Basin Bridge GTPS</w:t>
            </w:r>
          </w:p>
        </w:tc>
        <w:tc>
          <w:tcPr>
            <w:tcW w:w="1135" w:type="dxa"/>
          </w:tcPr>
          <w:p w:rsidR="007C5447" w:rsidRDefault="007C5447">
            <w:pPr>
              <w:pStyle w:val="TableParagraph"/>
              <w:jc w:val="left"/>
              <w:rPr>
                <w:sz w:val="20"/>
              </w:rPr>
            </w:pPr>
          </w:p>
        </w:tc>
        <w:tc>
          <w:tcPr>
            <w:tcW w:w="1438" w:type="dxa"/>
          </w:tcPr>
          <w:p w:rsidR="007C5447" w:rsidRDefault="00F6308C">
            <w:pPr>
              <w:pStyle w:val="TableParagraph"/>
              <w:spacing w:before="36"/>
              <w:ind w:right="97"/>
              <w:rPr>
                <w:sz w:val="20"/>
              </w:rPr>
            </w:pPr>
            <w:r>
              <w:rPr>
                <w:w w:val="95"/>
                <w:sz w:val="20"/>
              </w:rPr>
              <w:t>49.78</w:t>
            </w:r>
          </w:p>
        </w:tc>
        <w:tc>
          <w:tcPr>
            <w:tcW w:w="1397" w:type="dxa"/>
          </w:tcPr>
          <w:p w:rsidR="007C5447" w:rsidRDefault="00F6308C">
            <w:pPr>
              <w:pStyle w:val="TableParagraph"/>
              <w:spacing w:before="36"/>
              <w:ind w:right="98"/>
              <w:rPr>
                <w:sz w:val="20"/>
              </w:rPr>
            </w:pPr>
            <w:r>
              <w:rPr>
                <w:w w:val="95"/>
                <w:sz w:val="20"/>
              </w:rPr>
              <w:t>49.62</w:t>
            </w:r>
          </w:p>
        </w:tc>
        <w:tc>
          <w:tcPr>
            <w:tcW w:w="1277" w:type="dxa"/>
          </w:tcPr>
          <w:p w:rsidR="007C5447" w:rsidRDefault="007C5447">
            <w:pPr>
              <w:pStyle w:val="TableParagraph"/>
              <w:jc w:val="left"/>
              <w:rPr>
                <w:sz w:val="20"/>
              </w:rPr>
            </w:pPr>
          </w:p>
        </w:tc>
        <w:tc>
          <w:tcPr>
            <w:tcW w:w="1370" w:type="dxa"/>
          </w:tcPr>
          <w:p w:rsidR="007C5447" w:rsidRDefault="00F6308C">
            <w:pPr>
              <w:pStyle w:val="TableParagraph"/>
              <w:spacing w:before="36"/>
              <w:ind w:right="95"/>
              <w:rPr>
                <w:sz w:val="20"/>
              </w:rPr>
            </w:pPr>
            <w:r>
              <w:rPr>
                <w:sz w:val="20"/>
              </w:rPr>
              <w:t>1.00</w:t>
            </w:r>
          </w:p>
        </w:tc>
        <w:tc>
          <w:tcPr>
            <w:tcW w:w="1464" w:type="dxa"/>
          </w:tcPr>
          <w:p w:rsidR="007C5447" w:rsidRDefault="00F6308C">
            <w:pPr>
              <w:pStyle w:val="TableParagraph"/>
              <w:spacing w:before="36"/>
              <w:ind w:right="97"/>
              <w:rPr>
                <w:sz w:val="20"/>
              </w:rPr>
            </w:pPr>
            <w:r>
              <w:rPr>
                <w:sz w:val="20"/>
              </w:rPr>
              <w:t>0.86</w:t>
            </w:r>
          </w:p>
        </w:tc>
        <w:tc>
          <w:tcPr>
            <w:tcW w:w="1277" w:type="dxa"/>
          </w:tcPr>
          <w:p w:rsidR="007C5447" w:rsidRDefault="007C5447">
            <w:pPr>
              <w:pStyle w:val="TableParagraph"/>
              <w:jc w:val="left"/>
              <w:rPr>
                <w:sz w:val="20"/>
              </w:rPr>
            </w:pPr>
          </w:p>
        </w:tc>
        <w:tc>
          <w:tcPr>
            <w:tcW w:w="1588" w:type="dxa"/>
          </w:tcPr>
          <w:p w:rsidR="007C5447" w:rsidRDefault="00F6308C">
            <w:pPr>
              <w:pStyle w:val="TableParagraph"/>
              <w:spacing w:before="36"/>
              <w:ind w:right="96"/>
              <w:rPr>
                <w:sz w:val="20"/>
              </w:rPr>
            </w:pPr>
            <w:r>
              <w:rPr>
                <w:sz w:val="20"/>
              </w:rPr>
              <w:t>2.00</w:t>
            </w:r>
          </w:p>
        </w:tc>
        <w:tc>
          <w:tcPr>
            <w:tcW w:w="1416" w:type="dxa"/>
          </w:tcPr>
          <w:p w:rsidR="007C5447" w:rsidRDefault="00F6308C">
            <w:pPr>
              <w:pStyle w:val="TableParagraph"/>
              <w:spacing w:before="36"/>
              <w:ind w:right="96"/>
              <w:rPr>
                <w:sz w:val="20"/>
              </w:rPr>
            </w:pPr>
            <w:r>
              <w:rPr>
                <w:sz w:val="20"/>
              </w:rPr>
              <w:t>1.43</w:t>
            </w:r>
          </w:p>
        </w:tc>
      </w:tr>
      <w:tr w:rsidR="007C5447">
        <w:trPr>
          <w:trHeight w:val="297"/>
        </w:trPr>
        <w:tc>
          <w:tcPr>
            <w:tcW w:w="2547" w:type="dxa"/>
            <w:tcBorders>
              <w:bottom w:val="single" w:sz="6" w:space="0" w:color="000000"/>
            </w:tcBorders>
          </w:tcPr>
          <w:p w:rsidR="007C5447" w:rsidRDefault="00F6308C">
            <w:pPr>
              <w:pStyle w:val="TableParagraph"/>
              <w:spacing w:before="55" w:line="222" w:lineRule="exact"/>
              <w:ind w:left="107"/>
              <w:jc w:val="left"/>
              <w:rPr>
                <w:sz w:val="20"/>
              </w:rPr>
            </w:pPr>
            <w:r>
              <w:rPr>
                <w:sz w:val="20"/>
              </w:rPr>
              <w:t>Valathur GTPS Unit I</w:t>
            </w:r>
          </w:p>
        </w:tc>
        <w:tc>
          <w:tcPr>
            <w:tcW w:w="1135" w:type="dxa"/>
            <w:vMerge w:val="restart"/>
          </w:tcPr>
          <w:p w:rsidR="007C5447" w:rsidRDefault="00F6308C">
            <w:pPr>
              <w:pStyle w:val="TableParagraph"/>
              <w:spacing w:before="190"/>
              <w:ind w:left="474"/>
              <w:jc w:val="left"/>
              <w:rPr>
                <w:sz w:val="20"/>
              </w:rPr>
            </w:pPr>
            <w:r>
              <w:rPr>
                <w:sz w:val="20"/>
              </w:rPr>
              <w:t>153.77</w:t>
            </w:r>
          </w:p>
        </w:tc>
        <w:tc>
          <w:tcPr>
            <w:tcW w:w="1438" w:type="dxa"/>
            <w:tcBorders>
              <w:bottom w:val="single" w:sz="6" w:space="0" w:color="000000"/>
            </w:tcBorders>
          </w:tcPr>
          <w:p w:rsidR="007C5447" w:rsidRDefault="00F6308C">
            <w:pPr>
              <w:pStyle w:val="TableParagraph"/>
              <w:spacing w:before="36"/>
              <w:ind w:right="98"/>
              <w:rPr>
                <w:sz w:val="20"/>
              </w:rPr>
            </w:pPr>
            <w:r>
              <w:rPr>
                <w:w w:val="95"/>
                <w:sz w:val="20"/>
              </w:rPr>
              <w:t>100.93</w:t>
            </w:r>
          </w:p>
        </w:tc>
        <w:tc>
          <w:tcPr>
            <w:tcW w:w="1397" w:type="dxa"/>
            <w:tcBorders>
              <w:bottom w:val="single" w:sz="6" w:space="0" w:color="000000"/>
            </w:tcBorders>
          </w:tcPr>
          <w:p w:rsidR="007C5447" w:rsidRDefault="00F6308C">
            <w:pPr>
              <w:pStyle w:val="TableParagraph"/>
              <w:spacing w:before="36"/>
              <w:ind w:right="98"/>
              <w:rPr>
                <w:sz w:val="20"/>
              </w:rPr>
            </w:pPr>
            <w:r>
              <w:rPr>
                <w:w w:val="95"/>
                <w:sz w:val="20"/>
              </w:rPr>
              <w:t>98.06</w:t>
            </w:r>
          </w:p>
        </w:tc>
        <w:tc>
          <w:tcPr>
            <w:tcW w:w="1277" w:type="dxa"/>
            <w:vMerge w:val="restart"/>
          </w:tcPr>
          <w:p w:rsidR="007C5447" w:rsidRDefault="00F6308C">
            <w:pPr>
              <w:pStyle w:val="TableParagraph"/>
              <w:spacing w:before="190"/>
              <w:ind w:left="618"/>
              <w:jc w:val="left"/>
              <w:rPr>
                <w:sz w:val="20"/>
              </w:rPr>
            </w:pPr>
            <w:r>
              <w:rPr>
                <w:sz w:val="20"/>
              </w:rPr>
              <w:t>158.86</w:t>
            </w:r>
          </w:p>
        </w:tc>
        <w:tc>
          <w:tcPr>
            <w:tcW w:w="1370" w:type="dxa"/>
            <w:tcBorders>
              <w:bottom w:val="single" w:sz="6" w:space="0" w:color="000000"/>
            </w:tcBorders>
          </w:tcPr>
          <w:p w:rsidR="007C5447" w:rsidRDefault="00F6308C">
            <w:pPr>
              <w:pStyle w:val="TableParagraph"/>
              <w:spacing w:before="36"/>
              <w:ind w:right="95"/>
              <w:rPr>
                <w:sz w:val="20"/>
              </w:rPr>
            </w:pPr>
            <w:r>
              <w:rPr>
                <w:w w:val="95"/>
                <w:sz w:val="20"/>
              </w:rPr>
              <w:t>89.00</w:t>
            </w:r>
          </w:p>
        </w:tc>
        <w:tc>
          <w:tcPr>
            <w:tcW w:w="1464" w:type="dxa"/>
            <w:tcBorders>
              <w:bottom w:val="single" w:sz="6" w:space="0" w:color="000000"/>
            </w:tcBorders>
          </w:tcPr>
          <w:p w:rsidR="007C5447" w:rsidRDefault="00F6308C">
            <w:pPr>
              <w:pStyle w:val="TableParagraph"/>
              <w:spacing w:before="36"/>
              <w:ind w:right="97"/>
              <w:rPr>
                <w:sz w:val="20"/>
              </w:rPr>
            </w:pPr>
            <w:r>
              <w:rPr>
                <w:w w:val="95"/>
                <w:sz w:val="20"/>
              </w:rPr>
              <w:t>88.76</w:t>
            </w:r>
          </w:p>
        </w:tc>
        <w:tc>
          <w:tcPr>
            <w:tcW w:w="1277" w:type="dxa"/>
            <w:vMerge w:val="restart"/>
          </w:tcPr>
          <w:p w:rsidR="007C5447" w:rsidRDefault="00F6308C">
            <w:pPr>
              <w:pStyle w:val="TableParagraph"/>
              <w:spacing w:before="190"/>
              <w:ind w:left="620"/>
              <w:jc w:val="left"/>
              <w:rPr>
                <w:sz w:val="20"/>
              </w:rPr>
            </w:pPr>
            <w:r>
              <w:rPr>
                <w:sz w:val="20"/>
              </w:rPr>
              <w:t>287.22</w:t>
            </w:r>
          </w:p>
        </w:tc>
        <w:tc>
          <w:tcPr>
            <w:tcW w:w="1588" w:type="dxa"/>
            <w:tcBorders>
              <w:bottom w:val="single" w:sz="6" w:space="0" w:color="000000"/>
            </w:tcBorders>
          </w:tcPr>
          <w:p w:rsidR="007C5447" w:rsidRDefault="00F6308C">
            <w:pPr>
              <w:pStyle w:val="TableParagraph"/>
              <w:spacing w:before="36"/>
              <w:ind w:right="96"/>
              <w:rPr>
                <w:sz w:val="20"/>
              </w:rPr>
            </w:pPr>
            <w:r>
              <w:rPr>
                <w:w w:val="95"/>
                <w:sz w:val="20"/>
              </w:rPr>
              <w:t>149.00</w:t>
            </w:r>
          </w:p>
        </w:tc>
        <w:tc>
          <w:tcPr>
            <w:tcW w:w="1416" w:type="dxa"/>
            <w:tcBorders>
              <w:bottom w:val="single" w:sz="6" w:space="0" w:color="000000"/>
            </w:tcBorders>
          </w:tcPr>
          <w:p w:rsidR="007C5447" w:rsidRDefault="00F6308C">
            <w:pPr>
              <w:pStyle w:val="TableParagraph"/>
              <w:spacing w:before="36"/>
              <w:ind w:right="96"/>
              <w:rPr>
                <w:sz w:val="20"/>
              </w:rPr>
            </w:pPr>
            <w:r>
              <w:rPr>
                <w:w w:val="95"/>
                <w:sz w:val="20"/>
              </w:rPr>
              <w:t>143.19</w:t>
            </w:r>
          </w:p>
        </w:tc>
      </w:tr>
      <w:tr w:rsidR="007C5447">
        <w:trPr>
          <w:trHeight w:val="299"/>
        </w:trPr>
        <w:tc>
          <w:tcPr>
            <w:tcW w:w="2547" w:type="dxa"/>
            <w:tcBorders>
              <w:top w:val="single" w:sz="6" w:space="0" w:color="000000"/>
            </w:tcBorders>
          </w:tcPr>
          <w:p w:rsidR="007C5447" w:rsidRDefault="00F6308C">
            <w:pPr>
              <w:pStyle w:val="TableParagraph"/>
              <w:spacing w:before="53" w:line="227" w:lineRule="exact"/>
              <w:ind w:left="107"/>
              <w:jc w:val="left"/>
              <w:rPr>
                <w:sz w:val="20"/>
              </w:rPr>
            </w:pPr>
            <w:r>
              <w:rPr>
                <w:sz w:val="20"/>
              </w:rPr>
              <w:t>Valathur GTPS Unit II</w:t>
            </w:r>
          </w:p>
        </w:tc>
        <w:tc>
          <w:tcPr>
            <w:tcW w:w="1135" w:type="dxa"/>
            <w:vMerge/>
            <w:tcBorders>
              <w:top w:val="nil"/>
            </w:tcBorders>
          </w:tcPr>
          <w:p w:rsidR="007C5447" w:rsidRDefault="007C5447">
            <w:pPr>
              <w:rPr>
                <w:sz w:val="2"/>
                <w:szCs w:val="2"/>
              </w:rPr>
            </w:pPr>
          </w:p>
        </w:tc>
        <w:tc>
          <w:tcPr>
            <w:tcW w:w="1438" w:type="dxa"/>
            <w:tcBorders>
              <w:top w:val="single" w:sz="6" w:space="0" w:color="000000"/>
            </w:tcBorders>
          </w:tcPr>
          <w:p w:rsidR="007C5447" w:rsidRDefault="00F6308C">
            <w:pPr>
              <w:pStyle w:val="TableParagraph"/>
              <w:spacing w:before="34"/>
              <w:ind w:right="98"/>
              <w:rPr>
                <w:sz w:val="20"/>
              </w:rPr>
            </w:pPr>
            <w:r>
              <w:rPr>
                <w:w w:val="95"/>
                <w:sz w:val="20"/>
              </w:rPr>
              <w:t>100.93</w:t>
            </w:r>
          </w:p>
        </w:tc>
        <w:tc>
          <w:tcPr>
            <w:tcW w:w="1397" w:type="dxa"/>
            <w:tcBorders>
              <w:top w:val="single" w:sz="6" w:space="0" w:color="000000"/>
            </w:tcBorders>
          </w:tcPr>
          <w:p w:rsidR="007C5447" w:rsidRDefault="00F6308C">
            <w:pPr>
              <w:pStyle w:val="TableParagraph"/>
              <w:spacing w:before="34"/>
              <w:ind w:right="98"/>
              <w:rPr>
                <w:sz w:val="20"/>
              </w:rPr>
            </w:pPr>
            <w:r>
              <w:rPr>
                <w:w w:val="95"/>
                <w:sz w:val="20"/>
              </w:rPr>
              <w:t>67.44</w:t>
            </w:r>
          </w:p>
        </w:tc>
        <w:tc>
          <w:tcPr>
            <w:tcW w:w="1277" w:type="dxa"/>
            <w:vMerge/>
            <w:tcBorders>
              <w:top w:val="nil"/>
            </w:tcBorders>
          </w:tcPr>
          <w:p w:rsidR="007C5447" w:rsidRDefault="007C5447">
            <w:pPr>
              <w:rPr>
                <w:sz w:val="2"/>
                <w:szCs w:val="2"/>
              </w:rPr>
            </w:pPr>
          </w:p>
        </w:tc>
        <w:tc>
          <w:tcPr>
            <w:tcW w:w="1370" w:type="dxa"/>
            <w:tcBorders>
              <w:top w:val="single" w:sz="6" w:space="0" w:color="000000"/>
            </w:tcBorders>
          </w:tcPr>
          <w:p w:rsidR="007C5447" w:rsidRDefault="00F6308C">
            <w:pPr>
              <w:pStyle w:val="TableParagraph"/>
              <w:spacing w:before="34"/>
              <w:ind w:right="95"/>
              <w:rPr>
                <w:sz w:val="20"/>
              </w:rPr>
            </w:pPr>
            <w:r>
              <w:rPr>
                <w:w w:val="95"/>
                <w:sz w:val="20"/>
              </w:rPr>
              <w:t>89.00</w:t>
            </w:r>
          </w:p>
        </w:tc>
        <w:tc>
          <w:tcPr>
            <w:tcW w:w="1464" w:type="dxa"/>
            <w:tcBorders>
              <w:top w:val="single" w:sz="6" w:space="0" w:color="000000"/>
            </w:tcBorders>
          </w:tcPr>
          <w:p w:rsidR="007C5447" w:rsidRDefault="00F6308C">
            <w:pPr>
              <w:pStyle w:val="TableParagraph"/>
              <w:spacing w:before="34"/>
              <w:ind w:right="97"/>
              <w:rPr>
                <w:sz w:val="20"/>
              </w:rPr>
            </w:pPr>
            <w:r>
              <w:rPr>
                <w:w w:val="95"/>
                <w:sz w:val="20"/>
              </w:rPr>
              <w:t>96.62</w:t>
            </w:r>
          </w:p>
        </w:tc>
        <w:tc>
          <w:tcPr>
            <w:tcW w:w="1277" w:type="dxa"/>
            <w:vMerge/>
            <w:tcBorders>
              <w:top w:val="nil"/>
            </w:tcBorders>
          </w:tcPr>
          <w:p w:rsidR="007C5447" w:rsidRDefault="007C5447">
            <w:pPr>
              <w:rPr>
                <w:sz w:val="2"/>
                <w:szCs w:val="2"/>
              </w:rPr>
            </w:pPr>
          </w:p>
        </w:tc>
        <w:tc>
          <w:tcPr>
            <w:tcW w:w="1588" w:type="dxa"/>
            <w:tcBorders>
              <w:top w:val="single" w:sz="6" w:space="0" w:color="000000"/>
            </w:tcBorders>
          </w:tcPr>
          <w:p w:rsidR="007C5447" w:rsidRDefault="00F6308C">
            <w:pPr>
              <w:pStyle w:val="TableParagraph"/>
              <w:spacing w:before="34"/>
              <w:ind w:right="96"/>
              <w:rPr>
                <w:sz w:val="20"/>
              </w:rPr>
            </w:pPr>
            <w:r>
              <w:rPr>
                <w:w w:val="95"/>
                <w:sz w:val="20"/>
              </w:rPr>
              <w:t>114.00</w:t>
            </w:r>
          </w:p>
        </w:tc>
        <w:tc>
          <w:tcPr>
            <w:tcW w:w="1416" w:type="dxa"/>
            <w:tcBorders>
              <w:top w:val="single" w:sz="6" w:space="0" w:color="000000"/>
            </w:tcBorders>
          </w:tcPr>
          <w:p w:rsidR="007C5447" w:rsidRDefault="00F6308C">
            <w:pPr>
              <w:pStyle w:val="TableParagraph"/>
              <w:spacing w:before="34"/>
              <w:ind w:right="96"/>
              <w:rPr>
                <w:sz w:val="20"/>
              </w:rPr>
            </w:pPr>
            <w:r>
              <w:rPr>
                <w:w w:val="95"/>
                <w:sz w:val="20"/>
              </w:rPr>
              <w:t>102.97</w:t>
            </w:r>
          </w:p>
        </w:tc>
      </w:tr>
      <w:tr w:rsidR="007C5447">
        <w:trPr>
          <w:trHeight w:val="328"/>
        </w:trPr>
        <w:tc>
          <w:tcPr>
            <w:tcW w:w="2547" w:type="dxa"/>
            <w:shd w:val="clear" w:color="auto" w:fill="D9D9D9"/>
          </w:tcPr>
          <w:p w:rsidR="007C5447" w:rsidRDefault="00F6308C">
            <w:pPr>
              <w:pStyle w:val="TableParagraph"/>
              <w:spacing w:before="84" w:line="224" w:lineRule="exact"/>
              <w:ind w:left="107"/>
              <w:jc w:val="left"/>
              <w:rPr>
                <w:b/>
                <w:sz w:val="20"/>
              </w:rPr>
            </w:pPr>
            <w:r>
              <w:rPr>
                <w:b/>
                <w:sz w:val="20"/>
              </w:rPr>
              <w:t>Sub-total Gas</w:t>
            </w:r>
          </w:p>
        </w:tc>
        <w:tc>
          <w:tcPr>
            <w:tcW w:w="1135" w:type="dxa"/>
            <w:shd w:val="clear" w:color="auto" w:fill="D9D9D9"/>
          </w:tcPr>
          <w:p w:rsidR="007C5447" w:rsidRDefault="00F6308C">
            <w:pPr>
              <w:pStyle w:val="TableParagraph"/>
              <w:spacing w:before="48"/>
              <w:ind w:right="98"/>
              <w:rPr>
                <w:b/>
                <w:sz w:val="20"/>
              </w:rPr>
            </w:pPr>
            <w:r>
              <w:rPr>
                <w:b/>
                <w:w w:val="95"/>
                <w:sz w:val="20"/>
              </w:rPr>
              <w:t>341.16</w:t>
            </w:r>
          </w:p>
        </w:tc>
        <w:tc>
          <w:tcPr>
            <w:tcW w:w="1438" w:type="dxa"/>
            <w:shd w:val="clear" w:color="auto" w:fill="D9D9D9"/>
          </w:tcPr>
          <w:p w:rsidR="007C5447" w:rsidRDefault="00F6308C">
            <w:pPr>
              <w:pStyle w:val="TableParagraph"/>
              <w:spacing w:before="48"/>
              <w:ind w:right="98"/>
              <w:rPr>
                <w:b/>
                <w:sz w:val="20"/>
              </w:rPr>
            </w:pPr>
            <w:r>
              <w:rPr>
                <w:b/>
                <w:w w:val="95"/>
                <w:sz w:val="20"/>
              </w:rPr>
              <w:t>439.76</w:t>
            </w:r>
          </w:p>
        </w:tc>
        <w:tc>
          <w:tcPr>
            <w:tcW w:w="1397" w:type="dxa"/>
            <w:shd w:val="clear" w:color="auto" w:fill="D9D9D9"/>
          </w:tcPr>
          <w:p w:rsidR="007C5447" w:rsidRDefault="00F6308C">
            <w:pPr>
              <w:pStyle w:val="TableParagraph"/>
              <w:spacing w:before="48"/>
              <w:ind w:right="98"/>
              <w:rPr>
                <w:b/>
                <w:sz w:val="20"/>
              </w:rPr>
            </w:pPr>
            <w:r>
              <w:rPr>
                <w:b/>
                <w:w w:val="95"/>
                <w:sz w:val="20"/>
              </w:rPr>
              <w:t>389.48</w:t>
            </w:r>
          </w:p>
        </w:tc>
        <w:tc>
          <w:tcPr>
            <w:tcW w:w="1277" w:type="dxa"/>
            <w:shd w:val="clear" w:color="auto" w:fill="D9D9D9"/>
          </w:tcPr>
          <w:p w:rsidR="007C5447" w:rsidRDefault="00F6308C">
            <w:pPr>
              <w:pStyle w:val="TableParagraph"/>
              <w:spacing w:before="48"/>
              <w:ind w:right="96"/>
              <w:rPr>
                <w:b/>
                <w:sz w:val="20"/>
              </w:rPr>
            </w:pPr>
            <w:r>
              <w:rPr>
                <w:b/>
                <w:w w:val="95"/>
                <w:sz w:val="20"/>
              </w:rPr>
              <w:t>304.42</w:t>
            </w:r>
          </w:p>
        </w:tc>
        <w:tc>
          <w:tcPr>
            <w:tcW w:w="1370" w:type="dxa"/>
            <w:shd w:val="clear" w:color="auto" w:fill="D9D9D9"/>
          </w:tcPr>
          <w:p w:rsidR="007C5447" w:rsidRDefault="00F6308C">
            <w:pPr>
              <w:pStyle w:val="TableParagraph"/>
              <w:spacing w:before="48"/>
              <w:ind w:right="95"/>
              <w:rPr>
                <w:b/>
                <w:sz w:val="20"/>
              </w:rPr>
            </w:pPr>
            <w:r>
              <w:rPr>
                <w:b/>
                <w:w w:val="95"/>
                <w:sz w:val="20"/>
              </w:rPr>
              <w:t>332.00</w:t>
            </w:r>
          </w:p>
        </w:tc>
        <w:tc>
          <w:tcPr>
            <w:tcW w:w="1464" w:type="dxa"/>
            <w:shd w:val="clear" w:color="auto" w:fill="D9D9D9"/>
          </w:tcPr>
          <w:p w:rsidR="007C5447" w:rsidRDefault="00F6308C">
            <w:pPr>
              <w:pStyle w:val="TableParagraph"/>
              <w:spacing w:before="48"/>
              <w:ind w:right="97"/>
              <w:rPr>
                <w:b/>
                <w:sz w:val="20"/>
              </w:rPr>
            </w:pPr>
            <w:r>
              <w:rPr>
                <w:b/>
                <w:w w:val="95"/>
                <w:sz w:val="20"/>
              </w:rPr>
              <w:t>326.16</w:t>
            </w:r>
          </w:p>
        </w:tc>
        <w:tc>
          <w:tcPr>
            <w:tcW w:w="1277" w:type="dxa"/>
            <w:shd w:val="clear" w:color="auto" w:fill="D9D9D9"/>
          </w:tcPr>
          <w:p w:rsidR="007C5447" w:rsidRDefault="00F6308C">
            <w:pPr>
              <w:pStyle w:val="TableParagraph"/>
              <w:spacing w:before="48"/>
              <w:ind w:right="94"/>
              <w:rPr>
                <w:b/>
                <w:sz w:val="20"/>
              </w:rPr>
            </w:pPr>
            <w:r>
              <w:rPr>
                <w:b/>
                <w:w w:val="95"/>
                <w:sz w:val="20"/>
              </w:rPr>
              <w:t>533.59</w:t>
            </w:r>
          </w:p>
        </w:tc>
        <w:tc>
          <w:tcPr>
            <w:tcW w:w="1588" w:type="dxa"/>
            <w:shd w:val="clear" w:color="auto" w:fill="D9D9D9"/>
          </w:tcPr>
          <w:p w:rsidR="007C5447" w:rsidRDefault="00F6308C">
            <w:pPr>
              <w:pStyle w:val="TableParagraph"/>
              <w:spacing w:before="48"/>
              <w:ind w:right="96"/>
              <w:rPr>
                <w:b/>
                <w:sz w:val="20"/>
              </w:rPr>
            </w:pPr>
            <w:r>
              <w:rPr>
                <w:b/>
                <w:w w:val="95"/>
                <w:sz w:val="20"/>
              </w:rPr>
              <w:t>507.00</w:t>
            </w:r>
          </w:p>
        </w:tc>
        <w:tc>
          <w:tcPr>
            <w:tcW w:w="1416" w:type="dxa"/>
            <w:shd w:val="clear" w:color="auto" w:fill="D9D9D9"/>
          </w:tcPr>
          <w:p w:rsidR="007C5447" w:rsidRDefault="00F6308C">
            <w:pPr>
              <w:pStyle w:val="TableParagraph"/>
              <w:spacing w:before="48"/>
              <w:ind w:right="96"/>
              <w:rPr>
                <w:b/>
                <w:sz w:val="20"/>
              </w:rPr>
            </w:pPr>
            <w:r>
              <w:rPr>
                <w:b/>
                <w:w w:val="95"/>
                <w:sz w:val="20"/>
              </w:rPr>
              <w:t>459.46</w:t>
            </w:r>
          </w:p>
        </w:tc>
      </w:tr>
      <w:tr w:rsidR="007C5447">
        <w:trPr>
          <w:trHeight w:val="330"/>
        </w:trPr>
        <w:tc>
          <w:tcPr>
            <w:tcW w:w="2547" w:type="dxa"/>
            <w:shd w:val="clear" w:color="auto" w:fill="D9D9D9"/>
          </w:tcPr>
          <w:p w:rsidR="007C5447" w:rsidRDefault="00F6308C">
            <w:pPr>
              <w:pStyle w:val="TableParagraph"/>
              <w:spacing w:before="86" w:line="224" w:lineRule="exact"/>
              <w:ind w:left="107"/>
              <w:jc w:val="left"/>
              <w:rPr>
                <w:b/>
                <w:sz w:val="20"/>
              </w:rPr>
            </w:pPr>
            <w:r>
              <w:rPr>
                <w:b/>
                <w:sz w:val="20"/>
              </w:rPr>
              <w:t>Grand Total</w:t>
            </w:r>
          </w:p>
        </w:tc>
        <w:tc>
          <w:tcPr>
            <w:tcW w:w="1135" w:type="dxa"/>
            <w:shd w:val="clear" w:color="auto" w:fill="D9D9D9"/>
          </w:tcPr>
          <w:p w:rsidR="007C5447" w:rsidRDefault="00F6308C">
            <w:pPr>
              <w:pStyle w:val="TableParagraph"/>
              <w:spacing w:before="50"/>
              <w:ind w:right="98"/>
              <w:rPr>
                <w:b/>
                <w:sz w:val="20"/>
              </w:rPr>
            </w:pPr>
            <w:r>
              <w:rPr>
                <w:b/>
                <w:w w:val="95"/>
                <w:sz w:val="20"/>
              </w:rPr>
              <w:t>6,115.70</w:t>
            </w:r>
          </w:p>
        </w:tc>
        <w:tc>
          <w:tcPr>
            <w:tcW w:w="1438" w:type="dxa"/>
            <w:shd w:val="clear" w:color="auto" w:fill="D9D9D9"/>
          </w:tcPr>
          <w:p w:rsidR="007C5447" w:rsidRDefault="00F6308C">
            <w:pPr>
              <w:pStyle w:val="TableParagraph"/>
              <w:spacing w:before="50"/>
              <w:ind w:right="96"/>
              <w:rPr>
                <w:b/>
                <w:sz w:val="20"/>
              </w:rPr>
            </w:pPr>
            <w:r>
              <w:rPr>
                <w:b/>
                <w:w w:val="95"/>
                <w:sz w:val="20"/>
              </w:rPr>
              <w:t>6,040.40</w:t>
            </w:r>
          </w:p>
        </w:tc>
        <w:tc>
          <w:tcPr>
            <w:tcW w:w="1397" w:type="dxa"/>
            <w:shd w:val="clear" w:color="auto" w:fill="D9D9D9"/>
          </w:tcPr>
          <w:p w:rsidR="007C5447" w:rsidRDefault="00F6308C">
            <w:pPr>
              <w:pStyle w:val="TableParagraph"/>
              <w:spacing w:before="50"/>
              <w:ind w:right="96"/>
              <w:rPr>
                <w:b/>
                <w:sz w:val="20"/>
              </w:rPr>
            </w:pPr>
            <w:r>
              <w:rPr>
                <w:b/>
                <w:w w:val="95"/>
                <w:sz w:val="20"/>
              </w:rPr>
              <w:t>5,807.73</w:t>
            </w:r>
          </w:p>
        </w:tc>
        <w:tc>
          <w:tcPr>
            <w:tcW w:w="1277" w:type="dxa"/>
            <w:shd w:val="clear" w:color="auto" w:fill="D9D9D9"/>
          </w:tcPr>
          <w:p w:rsidR="007C5447" w:rsidRDefault="00F6308C">
            <w:pPr>
              <w:pStyle w:val="TableParagraph"/>
              <w:spacing w:before="50"/>
              <w:ind w:right="96"/>
              <w:rPr>
                <w:b/>
                <w:sz w:val="20"/>
              </w:rPr>
            </w:pPr>
            <w:r>
              <w:rPr>
                <w:b/>
                <w:sz w:val="20"/>
              </w:rPr>
              <w:t>6230.62</w:t>
            </w:r>
          </w:p>
        </w:tc>
        <w:tc>
          <w:tcPr>
            <w:tcW w:w="1370" w:type="dxa"/>
            <w:shd w:val="clear" w:color="auto" w:fill="D9D9D9"/>
          </w:tcPr>
          <w:p w:rsidR="007C5447" w:rsidRDefault="00F6308C">
            <w:pPr>
              <w:pStyle w:val="TableParagraph"/>
              <w:spacing w:before="50"/>
              <w:ind w:right="93"/>
              <w:rPr>
                <w:b/>
                <w:sz w:val="20"/>
              </w:rPr>
            </w:pPr>
            <w:r>
              <w:rPr>
                <w:b/>
                <w:w w:val="95"/>
                <w:sz w:val="20"/>
              </w:rPr>
              <w:t>6,326.00</w:t>
            </w:r>
          </w:p>
        </w:tc>
        <w:tc>
          <w:tcPr>
            <w:tcW w:w="1464" w:type="dxa"/>
            <w:shd w:val="clear" w:color="auto" w:fill="D9D9D9"/>
          </w:tcPr>
          <w:p w:rsidR="007C5447" w:rsidRDefault="00F6308C">
            <w:pPr>
              <w:pStyle w:val="TableParagraph"/>
              <w:spacing w:before="50"/>
              <w:ind w:right="95"/>
              <w:rPr>
                <w:b/>
                <w:sz w:val="20"/>
              </w:rPr>
            </w:pPr>
            <w:r>
              <w:rPr>
                <w:b/>
                <w:w w:val="95"/>
                <w:sz w:val="20"/>
              </w:rPr>
              <w:t>6,034.01</w:t>
            </w:r>
          </w:p>
        </w:tc>
        <w:tc>
          <w:tcPr>
            <w:tcW w:w="1277" w:type="dxa"/>
            <w:shd w:val="clear" w:color="auto" w:fill="D9D9D9"/>
          </w:tcPr>
          <w:p w:rsidR="007C5447" w:rsidRDefault="00F6308C">
            <w:pPr>
              <w:pStyle w:val="TableParagraph"/>
              <w:spacing w:before="50"/>
              <w:ind w:right="95"/>
              <w:rPr>
                <w:b/>
                <w:sz w:val="20"/>
              </w:rPr>
            </w:pPr>
            <w:r>
              <w:rPr>
                <w:b/>
                <w:sz w:val="20"/>
              </w:rPr>
              <w:t>7537.82</w:t>
            </w:r>
          </w:p>
        </w:tc>
        <w:tc>
          <w:tcPr>
            <w:tcW w:w="1588" w:type="dxa"/>
            <w:shd w:val="clear" w:color="auto" w:fill="D9D9D9"/>
          </w:tcPr>
          <w:p w:rsidR="007C5447" w:rsidRDefault="00F6308C">
            <w:pPr>
              <w:pStyle w:val="TableParagraph"/>
              <w:spacing w:before="50"/>
              <w:ind w:right="94"/>
              <w:rPr>
                <w:b/>
                <w:sz w:val="20"/>
              </w:rPr>
            </w:pPr>
            <w:r>
              <w:rPr>
                <w:b/>
                <w:w w:val="95"/>
                <w:sz w:val="20"/>
              </w:rPr>
              <w:t>6,811.00</w:t>
            </w:r>
          </w:p>
        </w:tc>
        <w:tc>
          <w:tcPr>
            <w:tcW w:w="1416" w:type="dxa"/>
            <w:shd w:val="clear" w:color="auto" w:fill="D9D9D9"/>
          </w:tcPr>
          <w:p w:rsidR="007C5447" w:rsidRDefault="00F6308C">
            <w:pPr>
              <w:pStyle w:val="TableParagraph"/>
              <w:spacing w:before="50"/>
              <w:ind w:right="94"/>
              <w:rPr>
                <w:b/>
                <w:sz w:val="20"/>
              </w:rPr>
            </w:pPr>
            <w:r>
              <w:rPr>
                <w:b/>
                <w:w w:val="95"/>
                <w:sz w:val="20"/>
              </w:rPr>
              <w:t>7,304.93</w:t>
            </w:r>
          </w:p>
        </w:tc>
      </w:tr>
    </w:tbl>
    <w:p w:rsidR="007C5447" w:rsidRDefault="007C5447">
      <w:pPr>
        <w:rPr>
          <w:sz w:val="20"/>
        </w:rPr>
        <w:sectPr w:rsidR="007C5447">
          <w:footerReference w:type="default" r:id="rId35"/>
          <w:pgSz w:w="16840" w:h="11910" w:orient="landscape"/>
          <w:pgMar w:top="1100" w:right="360" w:bottom="1240" w:left="1340" w:header="0" w:footer="1057" w:gutter="0"/>
          <w:pgNumType w:start="152"/>
          <w:cols w:space="720"/>
        </w:sectPr>
      </w:pPr>
    </w:p>
    <w:p w:rsidR="007C5447" w:rsidRDefault="007C5447">
      <w:pPr>
        <w:pStyle w:val="BodyText"/>
        <w:spacing w:before="2"/>
        <w:rPr>
          <w:b/>
          <w:sz w:val="21"/>
        </w:rPr>
      </w:pPr>
    </w:p>
    <w:p w:rsidR="007C5447" w:rsidRDefault="00F6308C">
      <w:pPr>
        <w:spacing w:before="91"/>
        <w:ind w:left="1084"/>
        <w:rPr>
          <w:b/>
        </w:rPr>
      </w:pPr>
      <w:r>
        <w:rPr>
          <w:b/>
        </w:rPr>
        <w:t>Table 3-62: Variable Cost of Generation approved by the Commission after true-up for FY 2014-15 and FY 2015-16 (Rs. Crore)</w:t>
      </w:r>
    </w:p>
    <w:p w:rsidR="007C5447" w:rsidRDefault="007C5447">
      <w:pPr>
        <w:pStyle w:val="BodyText"/>
        <w:spacing w:before="11"/>
        <w:rPr>
          <w:b/>
          <w:sz w:val="16"/>
        </w:rPr>
      </w:pPr>
    </w:p>
    <w:tbl>
      <w:tblPr>
        <w:tblW w:w="0" w:type="auto"/>
        <w:tblInd w:w="8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2"/>
        <w:gridCol w:w="1561"/>
        <w:gridCol w:w="1700"/>
        <w:gridCol w:w="1566"/>
        <w:gridCol w:w="1698"/>
        <w:gridCol w:w="1987"/>
        <w:gridCol w:w="1550"/>
      </w:tblGrid>
      <w:tr w:rsidR="007C5447">
        <w:trPr>
          <w:trHeight w:val="321"/>
        </w:trPr>
        <w:tc>
          <w:tcPr>
            <w:tcW w:w="2832" w:type="dxa"/>
            <w:vMerge w:val="restart"/>
            <w:shd w:val="clear" w:color="auto" w:fill="F7C9AC"/>
          </w:tcPr>
          <w:p w:rsidR="007C5447" w:rsidRDefault="007C5447">
            <w:pPr>
              <w:pStyle w:val="TableParagraph"/>
              <w:spacing w:before="8"/>
              <w:jc w:val="left"/>
              <w:rPr>
                <w:b/>
                <w:sz w:val="25"/>
              </w:rPr>
            </w:pPr>
          </w:p>
          <w:p w:rsidR="007C5447" w:rsidRDefault="00F6308C">
            <w:pPr>
              <w:pStyle w:val="TableParagraph"/>
              <w:ind w:left="935"/>
              <w:jc w:val="left"/>
              <w:rPr>
                <w:b/>
                <w:sz w:val="20"/>
              </w:rPr>
            </w:pPr>
            <w:r>
              <w:rPr>
                <w:b/>
                <w:sz w:val="20"/>
              </w:rPr>
              <w:t>Particulars</w:t>
            </w:r>
          </w:p>
        </w:tc>
        <w:tc>
          <w:tcPr>
            <w:tcW w:w="4827" w:type="dxa"/>
            <w:gridSpan w:val="3"/>
            <w:shd w:val="clear" w:color="auto" w:fill="F7C9AC"/>
          </w:tcPr>
          <w:p w:rsidR="007C5447" w:rsidRDefault="00F6308C">
            <w:pPr>
              <w:pStyle w:val="TableParagraph"/>
              <w:spacing w:before="46"/>
              <w:ind w:left="1901" w:right="1891"/>
              <w:jc w:val="center"/>
              <w:rPr>
                <w:b/>
                <w:sz w:val="20"/>
              </w:rPr>
            </w:pPr>
            <w:r>
              <w:rPr>
                <w:b/>
                <w:sz w:val="20"/>
              </w:rPr>
              <w:t>FY 2014-15</w:t>
            </w:r>
          </w:p>
        </w:tc>
        <w:tc>
          <w:tcPr>
            <w:tcW w:w="5235" w:type="dxa"/>
            <w:gridSpan w:val="3"/>
            <w:shd w:val="clear" w:color="auto" w:fill="F7C9AC"/>
          </w:tcPr>
          <w:p w:rsidR="007C5447" w:rsidRDefault="00F6308C">
            <w:pPr>
              <w:pStyle w:val="TableParagraph"/>
              <w:spacing w:before="46"/>
              <w:ind w:left="2100" w:right="2100"/>
              <w:jc w:val="center"/>
              <w:rPr>
                <w:b/>
                <w:sz w:val="20"/>
              </w:rPr>
            </w:pPr>
            <w:r>
              <w:rPr>
                <w:b/>
                <w:sz w:val="20"/>
              </w:rPr>
              <w:t>FY 2015-16</w:t>
            </w:r>
          </w:p>
        </w:tc>
      </w:tr>
      <w:tr w:rsidR="007C5447">
        <w:trPr>
          <w:trHeight w:val="489"/>
        </w:trPr>
        <w:tc>
          <w:tcPr>
            <w:tcW w:w="2832" w:type="dxa"/>
            <w:vMerge/>
            <w:tcBorders>
              <w:top w:val="nil"/>
            </w:tcBorders>
            <w:shd w:val="clear" w:color="auto" w:fill="F7C9AC"/>
          </w:tcPr>
          <w:p w:rsidR="007C5447" w:rsidRDefault="007C5447">
            <w:pPr>
              <w:rPr>
                <w:sz w:val="2"/>
                <w:szCs w:val="2"/>
              </w:rPr>
            </w:pPr>
          </w:p>
        </w:tc>
        <w:tc>
          <w:tcPr>
            <w:tcW w:w="1561" w:type="dxa"/>
            <w:shd w:val="clear" w:color="auto" w:fill="F7C9AC"/>
          </w:tcPr>
          <w:p w:rsidR="007C5447" w:rsidRDefault="00F6308C">
            <w:pPr>
              <w:pStyle w:val="TableParagraph"/>
              <w:spacing w:before="130"/>
              <w:ind w:left="270"/>
              <w:jc w:val="left"/>
              <w:rPr>
                <w:b/>
                <w:sz w:val="20"/>
              </w:rPr>
            </w:pPr>
            <w:r>
              <w:rPr>
                <w:b/>
                <w:sz w:val="20"/>
              </w:rPr>
              <w:t>SMT Order</w:t>
            </w:r>
          </w:p>
        </w:tc>
        <w:tc>
          <w:tcPr>
            <w:tcW w:w="1700" w:type="dxa"/>
            <w:shd w:val="clear" w:color="auto" w:fill="F7C9AC"/>
          </w:tcPr>
          <w:p w:rsidR="007C5447" w:rsidRDefault="00F6308C">
            <w:pPr>
              <w:pStyle w:val="TableParagraph"/>
              <w:spacing w:before="130"/>
              <w:ind w:left="270"/>
              <w:jc w:val="left"/>
              <w:rPr>
                <w:b/>
                <w:sz w:val="20"/>
              </w:rPr>
            </w:pPr>
            <w:r>
              <w:rPr>
                <w:b/>
                <w:sz w:val="20"/>
              </w:rPr>
              <w:t>TANGEDCO</w:t>
            </w:r>
          </w:p>
        </w:tc>
        <w:tc>
          <w:tcPr>
            <w:tcW w:w="1566" w:type="dxa"/>
            <w:shd w:val="clear" w:color="auto" w:fill="F7C9AC"/>
          </w:tcPr>
          <w:p w:rsidR="007C5447" w:rsidRDefault="00F6308C">
            <w:pPr>
              <w:pStyle w:val="TableParagraph"/>
              <w:spacing w:before="14" w:line="230" w:lineRule="atLeast"/>
              <w:ind w:left="466" w:right="99" w:hanging="346"/>
              <w:jc w:val="left"/>
              <w:rPr>
                <w:b/>
                <w:sz w:val="20"/>
              </w:rPr>
            </w:pPr>
            <w:r>
              <w:rPr>
                <w:b/>
                <w:sz w:val="20"/>
              </w:rPr>
              <w:t>Approved after true up</w:t>
            </w:r>
          </w:p>
        </w:tc>
        <w:tc>
          <w:tcPr>
            <w:tcW w:w="1698" w:type="dxa"/>
            <w:shd w:val="clear" w:color="auto" w:fill="F7C9AC"/>
          </w:tcPr>
          <w:p w:rsidR="007C5447" w:rsidRDefault="00F6308C">
            <w:pPr>
              <w:pStyle w:val="TableParagraph"/>
              <w:spacing w:before="130"/>
              <w:ind w:left="475"/>
              <w:jc w:val="left"/>
              <w:rPr>
                <w:b/>
                <w:sz w:val="20"/>
              </w:rPr>
            </w:pPr>
            <w:r>
              <w:rPr>
                <w:b/>
                <w:sz w:val="20"/>
              </w:rPr>
              <w:t>2013 TO</w:t>
            </w:r>
          </w:p>
        </w:tc>
        <w:tc>
          <w:tcPr>
            <w:tcW w:w="1987" w:type="dxa"/>
            <w:shd w:val="clear" w:color="auto" w:fill="F7C9AC"/>
          </w:tcPr>
          <w:p w:rsidR="007C5447" w:rsidRDefault="00F6308C">
            <w:pPr>
              <w:pStyle w:val="TableParagraph"/>
              <w:spacing w:before="130"/>
              <w:ind w:left="409"/>
              <w:jc w:val="left"/>
              <w:rPr>
                <w:b/>
                <w:sz w:val="20"/>
              </w:rPr>
            </w:pPr>
            <w:r>
              <w:rPr>
                <w:b/>
                <w:sz w:val="20"/>
              </w:rPr>
              <w:t>TANGEDCO</w:t>
            </w:r>
          </w:p>
        </w:tc>
        <w:tc>
          <w:tcPr>
            <w:tcW w:w="1550" w:type="dxa"/>
            <w:shd w:val="clear" w:color="auto" w:fill="F7C9AC"/>
          </w:tcPr>
          <w:p w:rsidR="007C5447" w:rsidRDefault="00F6308C">
            <w:pPr>
              <w:pStyle w:val="TableParagraph"/>
              <w:spacing w:before="14" w:line="230" w:lineRule="atLeast"/>
              <w:ind w:left="453" w:right="94" w:hanging="344"/>
              <w:jc w:val="left"/>
              <w:rPr>
                <w:b/>
                <w:sz w:val="20"/>
              </w:rPr>
            </w:pPr>
            <w:r>
              <w:rPr>
                <w:b/>
                <w:sz w:val="20"/>
              </w:rPr>
              <w:t>Approved after true up</w:t>
            </w:r>
          </w:p>
        </w:tc>
      </w:tr>
      <w:tr w:rsidR="007C5447">
        <w:trPr>
          <w:trHeight w:val="290"/>
        </w:trPr>
        <w:tc>
          <w:tcPr>
            <w:tcW w:w="2832" w:type="dxa"/>
          </w:tcPr>
          <w:p w:rsidR="007C5447" w:rsidRDefault="00F6308C">
            <w:pPr>
              <w:pStyle w:val="TableParagraph"/>
              <w:spacing w:before="46" w:line="224" w:lineRule="exact"/>
              <w:ind w:left="107"/>
              <w:jc w:val="left"/>
              <w:rPr>
                <w:sz w:val="20"/>
              </w:rPr>
            </w:pPr>
            <w:r>
              <w:rPr>
                <w:sz w:val="20"/>
              </w:rPr>
              <w:t>Ennore TPS</w:t>
            </w:r>
          </w:p>
        </w:tc>
        <w:tc>
          <w:tcPr>
            <w:tcW w:w="1561" w:type="dxa"/>
          </w:tcPr>
          <w:p w:rsidR="007C5447" w:rsidRDefault="00F6308C">
            <w:pPr>
              <w:pStyle w:val="TableParagraph"/>
              <w:spacing w:before="46" w:line="224" w:lineRule="exact"/>
              <w:ind w:right="97"/>
              <w:rPr>
                <w:sz w:val="20"/>
              </w:rPr>
            </w:pPr>
            <w:r>
              <w:rPr>
                <w:w w:val="99"/>
                <w:sz w:val="20"/>
              </w:rPr>
              <w:t>-</w:t>
            </w:r>
          </w:p>
        </w:tc>
        <w:tc>
          <w:tcPr>
            <w:tcW w:w="1700" w:type="dxa"/>
          </w:tcPr>
          <w:p w:rsidR="007C5447" w:rsidRDefault="00F6308C">
            <w:pPr>
              <w:pStyle w:val="TableParagraph"/>
              <w:spacing w:before="46" w:line="224" w:lineRule="exact"/>
              <w:ind w:right="97"/>
              <w:rPr>
                <w:sz w:val="20"/>
              </w:rPr>
            </w:pPr>
            <w:r>
              <w:rPr>
                <w:w w:val="95"/>
                <w:sz w:val="20"/>
              </w:rPr>
              <w:t>246.00</w:t>
            </w:r>
          </w:p>
        </w:tc>
        <w:tc>
          <w:tcPr>
            <w:tcW w:w="1566" w:type="dxa"/>
          </w:tcPr>
          <w:p w:rsidR="007C5447" w:rsidRDefault="00F6308C">
            <w:pPr>
              <w:pStyle w:val="TableParagraph"/>
              <w:spacing w:before="46" w:line="224" w:lineRule="exact"/>
              <w:ind w:right="100"/>
              <w:rPr>
                <w:sz w:val="20"/>
              </w:rPr>
            </w:pPr>
            <w:r>
              <w:rPr>
                <w:w w:val="95"/>
                <w:sz w:val="20"/>
              </w:rPr>
              <w:t>181.59</w:t>
            </w:r>
          </w:p>
        </w:tc>
        <w:tc>
          <w:tcPr>
            <w:tcW w:w="1698" w:type="dxa"/>
          </w:tcPr>
          <w:p w:rsidR="007C5447" w:rsidRDefault="00F6308C">
            <w:pPr>
              <w:pStyle w:val="TableParagraph"/>
              <w:spacing w:before="46" w:line="224" w:lineRule="exact"/>
              <w:ind w:right="100"/>
              <w:rPr>
                <w:sz w:val="20"/>
              </w:rPr>
            </w:pPr>
            <w:r>
              <w:rPr>
                <w:w w:val="99"/>
                <w:sz w:val="20"/>
              </w:rPr>
              <w:t>-</w:t>
            </w:r>
          </w:p>
        </w:tc>
        <w:tc>
          <w:tcPr>
            <w:tcW w:w="1987" w:type="dxa"/>
          </w:tcPr>
          <w:p w:rsidR="007C5447" w:rsidRDefault="00F6308C">
            <w:pPr>
              <w:pStyle w:val="TableParagraph"/>
              <w:spacing w:before="46" w:line="224" w:lineRule="exact"/>
              <w:ind w:right="103"/>
              <w:rPr>
                <w:sz w:val="20"/>
              </w:rPr>
            </w:pPr>
            <w:r>
              <w:rPr>
                <w:w w:val="95"/>
                <w:sz w:val="20"/>
              </w:rPr>
              <w:t>185.00</w:t>
            </w:r>
          </w:p>
        </w:tc>
        <w:tc>
          <w:tcPr>
            <w:tcW w:w="1550" w:type="dxa"/>
          </w:tcPr>
          <w:p w:rsidR="007C5447" w:rsidRDefault="00F6308C">
            <w:pPr>
              <w:pStyle w:val="TableParagraph"/>
              <w:spacing w:before="46" w:line="224" w:lineRule="exact"/>
              <w:ind w:right="105"/>
              <w:rPr>
                <w:sz w:val="20"/>
              </w:rPr>
            </w:pPr>
            <w:r>
              <w:rPr>
                <w:w w:val="95"/>
                <w:sz w:val="20"/>
              </w:rPr>
              <w:t>150.00</w:t>
            </w:r>
          </w:p>
        </w:tc>
      </w:tr>
      <w:tr w:rsidR="007C5447">
        <w:trPr>
          <w:trHeight w:val="292"/>
        </w:trPr>
        <w:tc>
          <w:tcPr>
            <w:tcW w:w="2832" w:type="dxa"/>
          </w:tcPr>
          <w:p w:rsidR="007C5447" w:rsidRDefault="00F6308C">
            <w:pPr>
              <w:pStyle w:val="TableParagraph"/>
              <w:spacing w:before="46" w:line="227" w:lineRule="exact"/>
              <w:ind w:left="107"/>
              <w:jc w:val="left"/>
              <w:rPr>
                <w:sz w:val="20"/>
              </w:rPr>
            </w:pPr>
            <w:r>
              <w:rPr>
                <w:sz w:val="20"/>
              </w:rPr>
              <w:t>Tuticorin TPS</w:t>
            </w:r>
          </w:p>
        </w:tc>
        <w:tc>
          <w:tcPr>
            <w:tcW w:w="1561" w:type="dxa"/>
          </w:tcPr>
          <w:p w:rsidR="007C5447" w:rsidRDefault="00F6308C">
            <w:pPr>
              <w:pStyle w:val="TableParagraph"/>
              <w:spacing w:before="46" w:line="227" w:lineRule="exact"/>
              <w:ind w:right="96"/>
              <w:rPr>
                <w:sz w:val="20"/>
              </w:rPr>
            </w:pPr>
            <w:r>
              <w:rPr>
                <w:w w:val="95"/>
                <w:sz w:val="20"/>
              </w:rPr>
              <w:t>2,324.00</w:t>
            </w:r>
          </w:p>
        </w:tc>
        <w:tc>
          <w:tcPr>
            <w:tcW w:w="1700" w:type="dxa"/>
          </w:tcPr>
          <w:p w:rsidR="007C5447" w:rsidRDefault="00F6308C">
            <w:pPr>
              <w:pStyle w:val="TableParagraph"/>
              <w:spacing w:before="46" w:line="227" w:lineRule="exact"/>
              <w:ind w:right="95"/>
              <w:rPr>
                <w:sz w:val="20"/>
              </w:rPr>
            </w:pPr>
            <w:r>
              <w:rPr>
                <w:w w:val="95"/>
                <w:sz w:val="20"/>
              </w:rPr>
              <w:t>2,576.00</w:t>
            </w:r>
          </w:p>
        </w:tc>
        <w:tc>
          <w:tcPr>
            <w:tcW w:w="1566" w:type="dxa"/>
          </w:tcPr>
          <w:p w:rsidR="007C5447" w:rsidRDefault="00F6308C">
            <w:pPr>
              <w:pStyle w:val="TableParagraph"/>
              <w:spacing w:before="46" w:line="227" w:lineRule="exact"/>
              <w:ind w:right="98"/>
              <w:rPr>
                <w:sz w:val="20"/>
              </w:rPr>
            </w:pPr>
            <w:r>
              <w:rPr>
                <w:w w:val="95"/>
                <w:sz w:val="20"/>
              </w:rPr>
              <w:t>2,504.51</w:t>
            </w:r>
          </w:p>
        </w:tc>
        <w:tc>
          <w:tcPr>
            <w:tcW w:w="1698" w:type="dxa"/>
          </w:tcPr>
          <w:p w:rsidR="007C5447" w:rsidRDefault="00F6308C">
            <w:pPr>
              <w:pStyle w:val="TableParagraph"/>
              <w:spacing w:before="46" w:line="227" w:lineRule="exact"/>
              <w:ind w:right="99"/>
              <w:rPr>
                <w:sz w:val="20"/>
              </w:rPr>
            </w:pPr>
            <w:r>
              <w:rPr>
                <w:sz w:val="20"/>
              </w:rPr>
              <w:t>1601.00</w:t>
            </w:r>
          </w:p>
        </w:tc>
        <w:tc>
          <w:tcPr>
            <w:tcW w:w="1987" w:type="dxa"/>
          </w:tcPr>
          <w:p w:rsidR="007C5447" w:rsidRDefault="00F6308C">
            <w:pPr>
              <w:pStyle w:val="TableParagraph"/>
              <w:spacing w:before="46" w:line="227" w:lineRule="exact"/>
              <w:ind w:right="101"/>
              <w:rPr>
                <w:sz w:val="20"/>
              </w:rPr>
            </w:pPr>
            <w:r>
              <w:rPr>
                <w:w w:val="95"/>
                <w:sz w:val="20"/>
              </w:rPr>
              <w:t>2,161.00</w:t>
            </w:r>
          </w:p>
        </w:tc>
        <w:tc>
          <w:tcPr>
            <w:tcW w:w="1550" w:type="dxa"/>
          </w:tcPr>
          <w:p w:rsidR="007C5447" w:rsidRDefault="00F6308C">
            <w:pPr>
              <w:pStyle w:val="TableParagraph"/>
              <w:spacing w:before="46" w:line="227" w:lineRule="exact"/>
              <w:ind w:right="103"/>
              <w:rPr>
                <w:sz w:val="20"/>
              </w:rPr>
            </w:pPr>
            <w:r>
              <w:rPr>
                <w:w w:val="95"/>
                <w:sz w:val="20"/>
              </w:rPr>
              <w:t>2,113.89</w:t>
            </w:r>
          </w:p>
        </w:tc>
      </w:tr>
      <w:tr w:rsidR="007C5447">
        <w:trPr>
          <w:trHeight w:val="290"/>
        </w:trPr>
        <w:tc>
          <w:tcPr>
            <w:tcW w:w="2832" w:type="dxa"/>
          </w:tcPr>
          <w:p w:rsidR="007C5447" w:rsidRDefault="00F6308C">
            <w:pPr>
              <w:pStyle w:val="TableParagraph"/>
              <w:spacing w:before="46" w:line="224" w:lineRule="exact"/>
              <w:ind w:left="107"/>
              <w:jc w:val="left"/>
              <w:rPr>
                <w:sz w:val="20"/>
              </w:rPr>
            </w:pPr>
            <w:r>
              <w:rPr>
                <w:sz w:val="20"/>
              </w:rPr>
              <w:t>Mettur TPS</w:t>
            </w:r>
          </w:p>
        </w:tc>
        <w:tc>
          <w:tcPr>
            <w:tcW w:w="1561" w:type="dxa"/>
          </w:tcPr>
          <w:p w:rsidR="007C5447" w:rsidRDefault="00F6308C">
            <w:pPr>
              <w:pStyle w:val="TableParagraph"/>
              <w:spacing w:before="46" w:line="224" w:lineRule="exact"/>
              <w:ind w:right="96"/>
              <w:rPr>
                <w:sz w:val="20"/>
              </w:rPr>
            </w:pPr>
            <w:r>
              <w:rPr>
                <w:w w:val="95"/>
                <w:sz w:val="20"/>
              </w:rPr>
              <w:t>1,871.00</w:t>
            </w:r>
          </w:p>
        </w:tc>
        <w:tc>
          <w:tcPr>
            <w:tcW w:w="1700" w:type="dxa"/>
          </w:tcPr>
          <w:p w:rsidR="007C5447" w:rsidRDefault="00F6308C">
            <w:pPr>
              <w:pStyle w:val="TableParagraph"/>
              <w:spacing w:before="46" w:line="224" w:lineRule="exact"/>
              <w:ind w:right="95"/>
              <w:rPr>
                <w:sz w:val="20"/>
              </w:rPr>
            </w:pPr>
            <w:r>
              <w:rPr>
                <w:w w:val="95"/>
                <w:sz w:val="20"/>
              </w:rPr>
              <w:t>2,382.00</w:t>
            </w:r>
          </w:p>
        </w:tc>
        <w:tc>
          <w:tcPr>
            <w:tcW w:w="1566" w:type="dxa"/>
          </w:tcPr>
          <w:p w:rsidR="007C5447" w:rsidRDefault="00F6308C">
            <w:pPr>
              <w:pStyle w:val="TableParagraph"/>
              <w:spacing w:before="46" w:line="224" w:lineRule="exact"/>
              <w:ind w:right="98"/>
              <w:rPr>
                <w:sz w:val="20"/>
              </w:rPr>
            </w:pPr>
            <w:r>
              <w:rPr>
                <w:w w:val="95"/>
                <w:sz w:val="20"/>
              </w:rPr>
              <w:t>2,397.82</w:t>
            </w:r>
          </w:p>
        </w:tc>
        <w:tc>
          <w:tcPr>
            <w:tcW w:w="1698" w:type="dxa"/>
          </w:tcPr>
          <w:p w:rsidR="007C5447" w:rsidRDefault="00F6308C">
            <w:pPr>
              <w:pStyle w:val="TableParagraph"/>
              <w:spacing w:before="46" w:line="224" w:lineRule="exact"/>
              <w:ind w:right="100"/>
              <w:rPr>
                <w:sz w:val="20"/>
              </w:rPr>
            </w:pPr>
            <w:r>
              <w:rPr>
                <w:w w:val="99"/>
                <w:sz w:val="20"/>
              </w:rPr>
              <w:t>-</w:t>
            </w:r>
          </w:p>
        </w:tc>
        <w:tc>
          <w:tcPr>
            <w:tcW w:w="1987" w:type="dxa"/>
          </w:tcPr>
          <w:p w:rsidR="007C5447" w:rsidRDefault="00F6308C">
            <w:pPr>
              <w:pStyle w:val="TableParagraph"/>
              <w:spacing w:before="46" w:line="224" w:lineRule="exact"/>
              <w:ind w:right="101"/>
              <w:rPr>
                <w:sz w:val="20"/>
              </w:rPr>
            </w:pPr>
            <w:r>
              <w:rPr>
                <w:w w:val="95"/>
                <w:sz w:val="20"/>
              </w:rPr>
              <w:t>1,847.00</w:t>
            </w:r>
          </w:p>
        </w:tc>
        <w:tc>
          <w:tcPr>
            <w:tcW w:w="1550" w:type="dxa"/>
          </w:tcPr>
          <w:p w:rsidR="007C5447" w:rsidRDefault="00F6308C">
            <w:pPr>
              <w:pStyle w:val="TableParagraph"/>
              <w:spacing w:before="46" w:line="224" w:lineRule="exact"/>
              <w:ind w:right="103"/>
              <w:rPr>
                <w:sz w:val="20"/>
              </w:rPr>
            </w:pPr>
            <w:r>
              <w:rPr>
                <w:w w:val="95"/>
                <w:sz w:val="20"/>
              </w:rPr>
              <w:t>1,863.24</w:t>
            </w:r>
          </w:p>
        </w:tc>
      </w:tr>
      <w:tr w:rsidR="007C5447">
        <w:trPr>
          <w:trHeight w:val="293"/>
        </w:trPr>
        <w:tc>
          <w:tcPr>
            <w:tcW w:w="2832" w:type="dxa"/>
          </w:tcPr>
          <w:p w:rsidR="007C5447" w:rsidRDefault="00F6308C">
            <w:pPr>
              <w:pStyle w:val="TableParagraph"/>
              <w:spacing w:before="46" w:line="227" w:lineRule="exact"/>
              <w:ind w:left="107"/>
              <w:jc w:val="left"/>
              <w:rPr>
                <w:sz w:val="20"/>
              </w:rPr>
            </w:pPr>
            <w:r>
              <w:rPr>
                <w:sz w:val="20"/>
              </w:rPr>
              <w:t>Mettur Stage III TPS</w:t>
            </w:r>
          </w:p>
        </w:tc>
        <w:tc>
          <w:tcPr>
            <w:tcW w:w="1561" w:type="dxa"/>
          </w:tcPr>
          <w:p w:rsidR="007C5447" w:rsidRDefault="00F6308C">
            <w:pPr>
              <w:pStyle w:val="TableParagraph"/>
              <w:spacing w:before="46" w:line="227" w:lineRule="exact"/>
              <w:ind w:right="97"/>
              <w:rPr>
                <w:sz w:val="20"/>
              </w:rPr>
            </w:pPr>
            <w:r>
              <w:rPr>
                <w:w w:val="99"/>
                <w:sz w:val="20"/>
              </w:rPr>
              <w:t>-</w:t>
            </w:r>
          </w:p>
        </w:tc>
        <w:tc>
          <w:tcPr>
            <w:tcW w:w="1700" w:type="dxa"/>
          </w:tcPr>
          <w:p w:rsidR="007C5447" w:rsidRDefault="00F6308C">
            <w:pPr>
              <w:pStyle w:val="TableParagraph"/>
              <w:spacing w:before="46" w:line="227" w:lineRule="exact"/>
              <w:ind w:right="95"/>
              <w:rPr>
                <w:sz w:val="20"/>
              </w:rPr>
            </w:pPr>
            <w:r>
              <w:rPr>
                <w:w w:val="95"/>
                <w:sz w:val="20"/>
              </w:rPr>
              <w:t>1,039.00</w:t>
            </w:r>
          </w:p>
        </w:tc>
        <w:tc>
          <w:tcPr>
            <w:tcW w:w="1566" w:type="dxa"/>
          </w:tcPr>
          <w:p w:rsidR="007C5447" w:rsidRDefault="00F6308C">
            <w:pPr>
              <w:pStyle w:val="TableParagraph"/>
              <w:spacing w:before="46" w:line="227" w:lineRule="exact"/>
              <w:ind w:right="98"/>
              <w:rPr>
                <w:sz w:val="20"/>
              </w:rPr>
            </w:pPr>
            <w:r>
              <w:rPr>
                <w:w w:val="95"/>
                <w:sz w:val="20"/>
              </w:rPr>
              <w:t>1,036.39</w:t>
            </w:r>
          </w:p>
        </w:tc>
        <w:tc>
          <w:tcPr>
            <w:tcW w:w="1698" w:type="dxa"/>
          </w:tcPr>
          <w:p w:rsidR="007C5447" w:rsidRDefault="007C5447">
            <w:pPr>
              <w:pStyle w:val="TableParagraph"/>
              <w:jc w:val="left"/>
              <w:rPr>
                <w:sz w:val="20"/>
              </w:rPr>
            </w:pPr>
          </w:p>
        </w:tc>
        <w:tc>
          <w:tcPr>
            <w:tcW w:w="1987" w:type="dxa"/>
          </w:tcPr>
          <w:p w:rsidR="007C5447" w:rsidRDefault="00F6308C">
            <w:pPr>
              <w:pStyle w:val="TableParagraph"/>
              <w:spacing w:before="46" w:line="227" w:lineRule="exact"/>
              <w:ind w:right="101"/>
              <w:rPr>
                <w:sz w:val="20"/>
              </w:rPr>
            </w:pPr>
            <w:r>
              <w:rPr>
                <w:w w:val="95"/>
                <w:sz w:val="20"/>
              </w:rPr>
              <w:t>1,217.00</w:t>
            </w:r>
          </w:p>
        </w:tc>
        <w:tc>
          <w:tcPr>
            <w:tcW w:w="1550" w:type="dxa"/>
          </w:tcPr>
          <w:p w:rsidR="007C5447" w:rsidRDefault="00F6308C">
            <w:pPr>
              <w:pStyle w:val="TableParagraph"/>
              <w:spacing w:before="46" w:line="227" w:lineRule="exact"/>
              <w:ind w:right="103"/>
              <w:rPr>
                <w:sz w:val="20"/>
              </w:rPr>
            </w:pPr>
            <w:r>
              <w:rPr>
                <w:w w:val="95"/>
                <w:sz w:val="20"/>
              </w:rPr>
              <w:t>1,253.69</w:t>
            </w:r>
          </w:p>
        </w:tc>
      </w:tr>
      <w:tr w:rsidR="007C5447">
        <w:trPr>
          <w:trHeight w:val="290"/>
        </w:trPr>
        <w:tc>
          <w:tcPr>
            <w:tcW w:w="2832" w:type="dxa"/>
          </w:tcPr>
          <w:p w:rsidR="007C5447" w:rsidRDefault="00F6308C">
            <w:pPr>
              <w:pStyle w:val="TableParagraph"/>
              <w:spacing w:before="46" w:line="224" w:lineRule="exact"/>
              <w:ind w:left="107"/>
              <w:jc w:val="left"/>
              <w:rPr>
                <w:sz w:val="20"/>
              </w:rPr>
            </w:pPr>
            <w:r>
              <w:rPr>
                <w:sz w:val="20"/>
              </w:rPr>
              <w:t>North Chennai TPS</w:t>
            </w:r>
          </w:p>
        </w:tc>
        <w:tc>
          <w:tcPr>
            <w:tcW w:w="1561" w:type="dxa"/>
          </w:tcPr>
          <w:p w:rsidR="007C5447" w:rsidRDefault="00F6308C">
            <w:pPr>
              <w:pStyle w:val="TableParagraph"/>
              <w:spacing w:before="46" w:line="224" w:lineRule="exact"/>
              <w:ind w:right="96"/>
              <w:rPr>
                <w:sz w:val="20"/>
              </w:rPr>
            </w:pPr>
            <w:r>
              <w:rPr>
                <w:sz w:val="20"/>
              </w:rPr>
              <w:t>1204.00</w:t>
            </w:r>
          </w:p>
        </w:tc>
        <w:tc>
          <w:tcPr>
            <w:tcW w:w="1700" w:type="dxa"/>
          </w:tcPr>
          <w:p w:rsidR="007C5447" w:rsidRDefault="00F6308C">
            <w:pPr>
              <w:pStyle w:val="TableParagraph"/>
              <w:spacing w:before="46" w:line="224" w:lineRule="exact"/>
              <w:ind w:right="95"/>
              <w:rPr>
                <w:sz w:val="20"/>
              </w:rPr>
            </w:pPr>
            <w:r>
              <w:rPr>
                <w:w w:val="95"/>
                <w:sz w:val="20"/>
              </w:rPr>
              <w:t>1,247.00</w:t>
            </w:r>
          </w:p>
        </w:tc>
        <w:tc>
          <w:tcPr>
            <w:tcW w:w="1566" w:type="dxa"/>
          </w:tcPr>
          <w:p w:rsidR="007C5447" w:rsidRDefault="00F6308C">
            <w:pPr>
              <w:pStyle w:val="TableParagraph"/>
              <w:spacing w:before="46" w:line="224" w:lineRule="exact"/>
              <w:ind w:right="98"/>
              <w:rPr>
                <w:sz w:val="20"/>
              </w:rPr>
            </w:pPr>
            <w:r>
              <w:rPr>
                <w:w w:val="95"/>
                <w:sz w:val="20"/>
              </w:rPr>
              <w:t>1,202.00</w:t>
            </w:r>
          </w:p>
        </w:tc>
        <w:tc>
          <w:tcPr>
            <w:tcW w:w="1698" w:type="dxa"/>
          </w:tcPr>
          <w:p w:rsidR="007C5447" w:rsidRDefault="00F6308C">
            <w:pPr>
              <w:pStyle w:val="TableParagraph"/>
              <w:spacing w:before="46" w:line="224" w:lineRule="exact"/>
              <w:ind w:right="99"/>
              <w:rPr>
                <w:sz w:val="20"/>
              </w:rPr>
            </w:pPr>
            <w:r>
              <w:rPr>
                <w:sz w:val="20"/>
              </w:rPr>
              <w:t>1148.00</w:t>
            </w:r>
          </w:p>
        </w:tc>
        <w:tc>
          <w:tcPr>
            <w:tcW w:w="1987" w:type="dxa"/>
          </w:tcPr>
          <w:p w:rsidR="007C5447" w:rsidRDefault="00F6308C">
            <w:pPr>
              <w:pStyle w:val="TableParagraph"/>
              <w:spacing w:before="46" w:line="224" w:lineRule="exact"/>
              <w:ind w:right="103"/>
              <w:rPr>
                <w:sz w:val="20"/>
              </w:rPr>
            </w:pPr>
            <w:r>
              <w:rPr>
                <w:w w:val="95"/>
                <w:sz w:val="20"/>
              </w:rPr>
              <w:t>996.00</w:t>
            </w:r>
          </w:p>
        </w:tc>
        <w:tc>
          <w:tcPr>
            <w:tcW w:w="1550" w:type="dxa"/>
          </w:tcPr>
          <w:p w:rsidR="007C5447" w:rsidRDefault="00F6308C">
            <w:pPr>
              <w:pStyle w:val="TableParagraph"/>
              <w:spacing w:before="46" w:line="224" w:lineRule="exact"/>
              <w:ind w:right="105"/>
              <w:rPr>
                <w:sz w:val="20"/>
              </w:rPr>
            </w:pPr>
            <w:r>
              <w:rPr>
                <w:w w:val="95"/>
                <w:sz w:val="20"/>
              </w:rPr>
              <w:t>966.06</w:t>
            </w:r>
          </w:p>
        </w:tc>
      </w:tr>
      <w:tr w:rsidR="007C5447">
        <w:trPr>
          <w:trHeight w:val="290"/>
        </w:trPr>
        <w:tc>
          <w:tcPr>
            <w:tcW w:w="2832" w:type="dxa"/>
          </w:tcPr>
          <w:p w:rsidR="007C5447" w:rsidRDefault="00F6308C">
            <w:pPr>
              <w:pStyle w:val="TableParagraph"/>
              <w:spacing w:before="46" w:line="224" w:lineRule="exact"/>
              <w:ind w:left="107"/>
              <w:jc w:val="left"/>
              <w:rPr>
                <w:sz w:val="20"/>
              </w:rPr>
            </w:pPr>
            <w:r>
              <w:rPr>
                <w:sz w:val="20"/>
              </w:rPr>
              <w:t>North Chennai Stage II TPS</w:t>
            </w:r>
          </w:p>
        </w:tc>
        <w:tc>
          <w:tcPr>
            <w:tcW w:w="1561" w:type="dxa"/>
          </w:tcPr>
          <w:p w:rsidR="007C5447" w:rsidRDefault="00F6308C">
            <w:pPr>
              <w:pStyle w:val="TableParagraph"/>
              <w:spacing w:before="46" w:line="224" w:lineRule="exact"/>
              <w:ind w:right="95"/>
              <w:rPr>
                <w:sz w:val="20"/>
              </w:rPr>
            </w:pPr>
            <w:r>
              <w:rPr>
                <w:w w:val="95"/>
                <w:sz w:val="20"/>
              </w:rPr>
              <w:t>2,123.00</w:t>
            </w:r>
          </w:p>
        </w:tc>
        <w:tc>
          <w:tcPr>
            <w:tcW w:w="1700" w:type="dxa"/>
          </w:tcPr>
          <w:p w:rsidR="007C5447" w:rsidRDefault="00F6308C">
            <w:pPr>
              <w:pStyle w:val="TableParagraph"/>
              <w:spacing w:before="46" w:line="224" w:lineRule="exact"/>
              <w:ind w:right="94"/>
              <w:rPr>
                <w:sz w:val="20"/>
              </w:rPr>
            </w:pPr>
            <w:r>
              <w:rPr>
                <w:w w:val="95"/>
                <w:sz w:val="20"/>
              </w:rPr>
              <w:t>1,655.00</w:t>
            </w:r>
          </w:p>
        </w:tc>
        <w:tc>
          <w:tcPr>
            <w:tcW w:w="1566" w:type="dxa"/>
          </w:tcPr>
          <w:p w:rsidR="007C5447" w:rsidRDefault="00F6308C">
            <w:pPr>
              <w:pStyle w:val="TableParagraph"/>
              <w:spacing w:before="46" w:line="224" w:lineRule="exact"/>
              <w:ind w:right="98"/>
              <w:rPr>
                <w:sz w:val="20"/>
              </w:rPr>
            </w:pPr>
            <w:r>
              <w:rPr>
                <w:w w:val="95"/>
                <w:sz w:val="20"/>
              </w:rPr>
              <w:t>1,662.78</w:t>
            </w:r>
          </w:p>
        </w:tc>
        <w:tc>
          <w:tcPr>
            <w:tcW w:w="1698" w:type="dxa"/>
          </w:tcPr>
          <w:p w:rsidR="007C5447" w:rsidRDefault="007C5447">
            <w:pPr>
              <w:pStyle w:val="TableParagraph"/>
              <w:jc w:val="left"/>
              <w:rPr>
                <w:sz w:val="20"/>
              </w:rPr>
            </w:pPr>
          </w:p>
        </w:tc>
        <w:tc>
          <w:tcPr>
            <w:tcW w:w="1987" w:type="dxa"/>
          </w:tcPr>
          <w:p w:rsidR="007C5447" w:rsidRDefault="00F6308C">
            <w:pPr>
              <w:pStyle w:val="TableParagraph"/>
              <w:spacing w:before="46" w:line="224" w:lineRule="exact"/>
              <w:ind w:right="101"/>
              <w:rPr>
                <w:sz w:val="20"/>
              </w:rPr>
            </w:pPr>
            <w:r>
              <w:rPr>
                <w:w w:val="95"/>
                <w:sz w:val="20"/>
              </w:rPr>
              <w:t>1,706.00</w:t>
            </w:r>
          </w:p>
        </w:tc>
        <w:tc>
          <w:tcPr>
            <w:tcW w:w="1550" w:type="dxa"/>
          </w:tcPr>
          <w:p w:rsidR="007C5447" w:rsidRDefault="00F6308C">
            <w:pPr>
              <w:pStyle w:val="TableParagraph"/>
              <w:spacing w:before="46" w:line="224" w:lineRule="exact"/>
              <w:ind w:right="103"/>
              <w:rPr>
                <w:sz w:val="20"/>
              </w:rPr>
            </w:pPr>
            <w:r>
              <w:rPr>
                <w:w w:val="95"/>
                <w:sz w:val="20"/>
              </w:rPr>
              <w:t>1,579.71</w:t>
            </w:r>
          </w:p>
        </w:tc>
      </w:tr>
      <w:tr w:rsidR="007C5447">
        <w:trPr>
          <w:trHeight w:val="261"/>
        </w:trPr>
        <w:tc>
          <w:tcPr>
            <w:tcW w:w="2832" w:type="dxa"/>
            <w:shd w:val="clear" w:color="auto" w:fill="D9D9D9"/>
          </w:tcPr>
          <w:p w:rsidR="007C5447" w:rsidRDefault="00F6308C">
            <w:pPr>
              <w:pStyle w:val="TableParagraph"/>
              <w:spacing w:before="17" w:line="224" w:lineRule="exact"/>
              <w:ind w:left="107"/>
              <w:jc w:val="left"/>
              <w:rPr>
                <w:b/>
                <w:sz w:val="20"/>
              </w:rPr>
            </w:pPr>
            <w:r>
              <w:rPr>
                <w:b/>
                <w:sz w:val="20"/>
              </w:rPr>
              <w:t>Subtotal</w:t>
            </w:r>
          </w:p>
        </w:tc>
        <w:tc>
          <w:tcPr>
            <w:tcW w:w="1561" w:type="dxa"/>
            <w:shd w:val="clear" w:color="auto" w:fill="D9D9D9"/>
          </w:tcPr>
          <w:p w:rsidR="007C5447" w:rsidRDefault="00F6308C">
            <w:pPr>
              <w:pStyle w:val="TableParagraph"/>
              <w:spacing w:before="17" w:line="224" w:lineRule="exact"/>
              <w:ind w:right="95"/>
              <w:rPr>
                <w:b/>
                <w:sz w:val="20"/>
              </w:rPr>
            </w:pPr>
            <w:r>
              <w:rPr>
                <w:b/>
                <w:sz w:val="20"/>
              </w:rPr>
              <w:t>7522.00</w:t>
            </w:r>
          </w:p>
        </w:tc>
        <w:tc>
          <w:tcPr>
            <w:tcW w:w="1700" w:type="dxa"/>
            <w:shd w:val="clear" w:color="auto" w:fill="D9D9D9"/>
          </w:tcPr>
          <w:p w:rsidR="007C5447" w:rsidRDefault="00F6308C">
            <w:pPr>
              <w:pStyle w:val="TableParagraph"/>
              <w:spacing w:before="17" w:line="224" w:lineRule="exact"/>
              <w:ind w:right="95"/>
              <w:rPr>
                <w:b/>
                <w:sz w:val="20"/>
              </w:rPr>
            </w:pPr>
            <w:r>
              <w:rPr>
                <w:b/>
                <w:w w:val="95"/>
                <w:sz w:val="20"/>
              </w:rPr>
              <w:t>9,145.00</w:t>
            </w:r>
          </w:p>
        </w:tc>
        <w:tc>
          <w:tcPr>
            <w:tcW w:w="1566" w:type="dxa"/>
            <w:shd w:val="clear" w:color="auto" w:fill="D9D9D9"/>
          </w:tcPr>
          <w:p w:rsidR="007C5447" w:rsidRDefault="00F6308C">
            <w:pPr>
              <w:pStyle w:val="TableParagraph"/>
              <w:spacing w:before="17" w:line="224" w:lineRule="exact"/>
              <w:ind w:right="98"/>
              <w:rPr>
                <w:b/>
                <w:sz w:val="20"/>
              </w:rPr>
            </w:pPr>
            <w:r>
              <w:rPr>
                <w:b/>
                <w:w w:val="95"/>
                <w:sz w:val="20"/>
              </w:rPr>
              <w:t>8,985.10</w:t>
            </w:r>
          </w:p>
        </w:tc>
        <w:tc>
          <w:tcPr>
            <w:tcW w:w="1698" w:type="dxa"/>
            <w:shd w:val="clear" w:color="auto" w:fill="D9D9D9"/>
          </w:tcPr>
          <w:p w:rsidR="007C5447" w:rsidRDefault="00F6308C">
            <w:pPr>
              <w:pStyle w:val="TableParagraph"/>
              <w:spacing w:before="17" w:line="224" w:lineRule="exact"/>
              <w:ind w:right="99"/>
              <w:rPr>
                <w:b/>
                <w:sz w:val="20"/>
              </w:rPr>
            </w:pPr>
            <w:r>
              <w:rPr>
                <w:b/>
                <w:sz w:val="20"/>
              </w:rPr>
              <w:t>2749.00</w:t>
            </w:r>
          </w:p>
        </w:tc>
        <w:tc>
          <w:tcPr>
            <w:tcW w:w="1987" w:type="dxa"/>
            <w:shd w:val="clear" w:color="auto" w:fill="D9D9D9"/>
          </w:tcPr>
          <w:p w:rsidR="007C5447" w:rsidRDefault="00F6308C">
            <w:pPr>
              <w:pStyle w:val="TableParagraph"/>
              <w:spacing w:before="17" w:line="224" w:lineRule="exact"/>
              <w:ind w:right="101"/>
              <w:rPr>
                <w:b/>
                <w:sz w:val="20"/>
              </w:rPr>
            </w:pPr>
            <w:r>
              <w:rPr>
                <w:b/>
                <w:w w:val="95"/>
                <w:sz w:val="20"/>
              </w:rPr>
              <w:t>8,112.00</w:t>
            </w:r>
          </w:p>
        </w:tc>
        <w:tc>
          <w:tcPr>
            <w:tcW w:w="1550" w:type="dxa"/>
            <w:shd w:val="clear" w:color="auto" w:fill="D9D9D9"/>
          </w:tcPr>
          <w:p w:rsidR="007C5447" w:rsidRDefault="00F6308C">
            <w:pPr>
              <w:pStyle w:val="TableParagraph"/>
              <w:spacing w:before="17" w:line="224" w:lineRule="exact"/>
              <w:ind w:right="103"/>
              <w:rPr>
                <w:b/>
                <w:sz w:val="20"/>
              </w:rPr>
            </w:pPr>
            <w:r>
              <w:rPr>
                <w:b/>
                <w:w w:val="95"/>
                <w:sz w:val="20"/>
              </w:rPr>
              <w:t>7,926.59</w:t>
            </w:r>
          </w:p>
        </w:tc>
      </w:tr>
      <w:tr w:rsidR="007C5447">
        <w:trPr>
          <w:trHeight w:val="290"/>
        </w:trPr>
        <w:tc>
          <w:tcPr>
            <w:tcW w:w="2832" w:type="dxa"/>
          </w:tcPr>
          <w:p w:rsidR="007C5447" w:rsidRDefault="00F6308C">
            <w:pPr>
              <w:pStyle w:val="TableParagraph"/>
              <w:spacing w:before="46" w:line="224" w:lineRule="exact"/>
              <w:ind w:left="107"/>
              <w:jc w:val="left"/>
              <w:rPr>
                <w:sz w:val="20"/>
              </w:rPr>
            </w:pPr>
            <w:r>
              <w:rPr>
                <w:sz w:val="20"/>
              </w:rPr>
              <w:t>Tirumakottai GTPS</w:t>
            </w:r>
          </w:p>
        </w:tc>
        <w:tc>
          <w:tcPr>
            <w:tcW w:w="1561" w:type="dxa"/>
          </w:tcPr>
          <w:p w:rsidR="007C5447" w:rsidRDefault="00F6308C">
            <w:pPr>
              <w:pStyle w:val="TableParagraph"/>
              <w:spacing w:before="46" w:line="224" w:lineRule="exact"/>
              <w:ind w:right="96"/>
              <w:rPr>
                <w:sz w:val="20"/>
              </w:rPr>
            </w:pPr>
            <w:r>
              <w:rPr>
                <w:w w:val="95"/>
                <w:sz w:val="20"/>
              </w:rPr>
              <w:t>153.00</w:t>
            </w:r>
          </w:p>
        </w:tc>
        <w:tc>
          <w:tcPr>
            <w:tcW w:w="1700" w:type="dxa"/>
          </w:tcPr>
          <w:p w:rsidR="007C5447" w:rsidRDefault="00F6308C">
            <w:pPr>
              <w:pStyle w:val="TableParagraph"/>
              <w:spacing w:before="46" w:line="224" w:lineRule="exact"/>
              <w:ind w:right="97"/>
              <w:rPr>
                <w:sz w:val="20"/>
              </w:rPr>
            </w:pPr>
            <w:r>
              <w:rPr>
                <w:w w:val="95"/>
                <w:sz w:val="20"/>
              </w:rPr>
              <w:t>111.00</w:t>
            </w:r>
          </w:p>
        </w:tc>
        <w:tc>
          <w:tcPr>
            <w:tcW w:w="1566" w:type="dxa"/>
          </w:tcPr>
          <w:p w:rsidR="007C5447" w:rsidRDefault="00F6308C">
            <w:pPr>
              <w:pStyle w:val="TableParagraph"/>
              <w:spacing w:before="46" w:line="224" w:lineRule="exact"/>
              <w:ind w:right="100"/>
              <w:rPr>
                <w:sz w:val="20"/>
              </w:rPr>
            </w:pPr>
            <w:r>
              <w:rPr>
                <w:w w:val="95"/>
                <w:sz w:val="20"/>
              </w:rPr>
              <w:t>94.09</w:t>
            </w:r>
          </w:p>
        </w:tc>
        <w:tc>
          <w:tcPr>
            <w:tcW w:w="1698" w:type="dxa"/>
          </w:tcPr>
          <w:p w:rsidR="007C5447" w:rsidRDefault="00F6308C">
            <w:pPr>
              <w:pStyle w:val="TableParagraph"/>
              <w:spacing w:before="46" w:line="224" w:lineRule="exact"/>
              <w:ind w:right="99"/>
              <w:rPr>
                <w:sz w:val="20"/>
              </w:rPr>
            </w:pPr>
            <w:r>
              <w:rPr>
                <w:w w:val="95"/>
                <w:sz w:val="20"/>
              </w:rPr>
              <w:t>133.00</w:t>
            </w:r>
          </w:p>
        </w:tc>
        <w:tc>
          <w:tcPr>
            <w:tcW w:w="1987" w:type="dxa"/>
          </w:tcPr>
          <w:p w:rsidR="007C5447" w:rsidRDefault="00F6308C">
            <w:pPr>
              <w:pStyle w:val="TableParagraph"/>
              <w:spacing w:before="46" w:line="224" w:lineRule="exact"/>
              <w:ind w:right="103"/>
              <w:rPr>
                <w:sz w:val="20"/>
              </w:rPr>
            </w:pPr>
            <w:r>
              <w:rPr>
                <w:w w:val="95"/>
                <w:sz w:val="20"/>
              </w:rPr>
              <w:t>120.00</w:t>
            </w:r>
          </w:p>
        </w:tc>
        <w:tc>
          <w:tcPr>
            <w:tcW w:w="1550" w:type="dxa"/>
          </w:tcPr>
          <w:p w:rsidR="007C5447" w:rsidRDefault="00F6308C">
            <w:pPr>
              <w:pStyle w:val="TableParagraph"/>
              <w:spacing w:before="46" w:line="224" w:lineRule="exact"/>
              <w:ind w:right="104"/>
              <w:rPr>
                <w:sz w:val="20"/>
              </w:rPr>
            </w:pPr>
            <w:r>
              <w:rPr>
                <w:w w:val="95"/>
                <w:sz w:val="20"/>
              </w:rPr>
              <w:t>92.77</w:t>
            </w:r>
          </w:p>
        </w:tc>
      </w:tr>
      <w:tr w:rsidR="007C5447">
        <w:trPr>
          <w:trHeight w:val="292"/>
        </w:trPr>
        <w:tc>
          <w:tcPr>
            <w:tcW w:w="2832" w:type="dxa"/>
          </w:tcPr>
          <w:p w:rsidR="007C5447" w:rsidRDefault="00F6308C">
            <w:pPr>
              <w:pStyle w:val="TableParagraph"/>
              <w:spacing w:before="46" w:line="227" w:lineRule="exact"/>
              <w:ind w:left="107"/>
              <w:jc w:val="left"/>
              <w:rPr>
                <w:sz w:val="20"/>
              </w:rPr>
            </w:pPr>
            <w:r>
              <w:rPr>
                <w:sz w:val="20"/>
              </w:rPr>
              <w:t>Kuttalam GTPS</w:t>
            </w:r>
          </w:p>
        </w:tc>
        <w:tc>
          <w:tcPr>
            <w:tcW w:w="1561" w:type="dxa"/>
          </w:tcPr>
          <w:p w:rsidR="007C5447" w:rsidRDefault="00F6308C">
            <w:pPr>
              <w:pStyle w:val="TableParagraph"/>
              <w:spacing w:before="46" w:line="227" w:lineRule="exact"/>
              <w:ind w:right="96"/>
              <w:rPr>
                <w:sz w:val="20"/>
              </w:rPr>
            </w:pPr>
            <w:r>
              <w:rPr>
                <w:w w:val="95"/>
                <w:sz w:val="20"/>
              </w:rPr>
              <w:t>146.00</w:t>
            </w:r>
          </w:p>
        </w:tc>
        <w:tc>
          <w:tcPr>
            <w:tcW w:w="1700" w:type="dxa"/>
          </w:tcPr>
          <w:p w:rsidR="007C5447" w:rsidRDefault="00F6308C">
            <w:pPr>
              <w:pStyle w:val="TableParagraph"/>
              <w:spacing w:before="46" w:line="227" w:lineRule="exact"/>
              <w:ind w:right="97"/>
              <w:rPr>
                <w:sz w:val="20"/>
              </w:rPr>
            </w:pPr>
            <w:r>
              <w:rPr>
                <w:w w:val="95"/>
                <w:sz w:val="20"/>
              </w:rPr>
              <w:t>130.00</w:t>
            </w:r>
          </w:p>
        </w:tc>
        <w:tc>
          <w:tcPr>
            <w:tcW w:w="1566" w:type="dxa"/>
          </w:tcPr>
          <w:p w:rsidR="007C5447" w:rsidRDefault="00F6308C">
            <w:pPr>
              <w:pStyle w:val="TableParagraph"/>
              <w:spacing w:before="46" w:line="227" w:lineRule="exact"/>
              <w:ind w:right="100"/>
              <w:rPr>
                <w:sz w:val="20"/>
              </w:rPr>
            </w:pPr>
            <w:r>
              <w:rPr>
                <w:w w:val="95"/>
                <w:sz w:val="20"/>
              </w:rPr>
              <w:t>117.43</w:t>
            </w:r>
          </w:p>
        </w:tc>
        <w:tc>
          <w:tcPr>
            <w:tcW w:w="1698" w:type="dxa"/>
          </w:tcPr>
          <w:p w:rsidR="007C5447" w:rsidRDefault="00F6308C">
            <w:pPr>
              <w:pStyle w:val="TableParagraph"/>
              <w:spacing w:before="46" w:line="227" w:lineRule="exact"/>
              <w:ind w:right="99"/>
              <w:rPr>
                <w:sz w:val="20"/>
              </w:rPr>
            </w:pPr>
            <w:r>
              <w:rPr>
                <w:w w:val="95"/>
                <w:sz w:val="20"/>
              </w:rPr>
              <w:t>125.00</w:t>
            </w:r>
          </w:p>
        </w:tc>
        <w:tc>
          <w:tcPr>
            <w:tcW w:w="1987" w:type="dxa"/>
          </w:tcPr>
          <w:p w:rsidR="007C5447" w:rsidRDefault="00F6308C">
            <w:pPr>
              <w:pStyle w:val="TableParagraph"/>
              <w:spacing w:before="46" w:line="227" w:lineRule="exact"/>
              <w:ind w:right="103"/>
              <w:rPr>
                <w:sz w:val="20"/>
              </w:rPr>
            </w:pPr>
            <w:r>
              <w:rPr>
                <w:w w:val="95"/>
                <w:sz w:val="20"/>
              </w:rPr>
              <w:t>156.00</w:t>
            </w:r>
          </w:p>
        </w:tc>
        <w:tc>
          <w:tcPr>
            <w:tcW w:w="1550" w:type="dxa"/>
          </w:tcPr>
          <w:p w:rsidR="007C5447" w:rsidRDefault="00F6308C">
            <w:pPr>
              <w:pStyle w:val="TableParagraph"/>
              <w:spacing w:before="46" w:line="227" w:lineRule="exact"/>
              <w:ind w:right="105"/>
              <w:rPr>
                <w:sz w:val="20"/>
              </w:rPr>
            </w:pPr>
            <w:r>
              <w:rPr>
                <w:w w:val="95"/>
                <w:sz w:val="20"/>
              </w:rPr>
              <w:t>151.12</w:t>
            </w:r>
          </w:p>
        </w:tc>
      </w:tr>
      <w:tr w:rsidR="007C5447">
        <w:trPr>
          <w:trHeight w:val="290"/>
        </w:trPr>
        <w:tc>
          <w:tcPr>
            <w:tcW w:w="2832" w:type="dxa"/>
          </w:tcPr>
          <w:p w:rsidR="007C5447" w:rsidRDefault="00F6308C">
            <w:pPr>
              <w:pStyle w:val="TableParagraph"/>
              <w:spacing w:before="46" w:line="224" w:lineRule="exact"/>
              <w:ind w:left="107"/>
              <w:jc w:val="left"/>
              <w:rPr>
                <w:sz w:val="20"/>
              </w:rPr>
            </w:pPr>
            <w:r>
              <w:rPr>
                <w:sz w:val="20"/>
              </w:rPr>
              <w:t>Basin Bridge GTPS</w:t>
            </w:r>
          </w:p>
        </w:tc>
        <w:tc>
          <w:tcPr>
            <w:tcW w:w="1561" w:type="dxa"/>
          </w:tcPr>
          <w:p w:rsidR="007C5447" w:rsidRDefault="00F6308C">
            <w:pPr>
              <w:pStyle w:val="TableParagraph"/>
              <w:spacing w:before="46" w:line="224" w:lineRule="exact"/>
              <w:ind w:right="97"/>
              <w:rPr>
                <w:sz w:val="20"/>
              </w:rPr>
            </w:pPr>
            <w:r>
              <w:rPr>
                <w:w w:val="99"/>
                <w:sz w:val="20"/>
              </w:rPr>
              <w:t>-</w:t>
            </w:r>
          </w:p>
        </w:tc>
        <w:tc>
          <w:tcPr>
            <w:tcW w:w="1700" w:type="dxa"/>
          </w:tcPr>
          <w:p w:rsidR="007C5447" w:rsidRDefault="00F6308C">
            <w:pPr>
              <w:pStyle w:val="TableParagraph"/>
              <w:spacing w:before="46" w:line="224" w:lineRule="exact"/>
              <w:ind w:right="96"/>
              <w:rPr>
                <w:sz w:val="20"/>
              </w:rPr>
            </w:pPr>
            <w:r>
              <w:rPr>
                <w:sz w:val="20"/>
              </w:rPr>
              <w:t>6.00</w:t>
            </w:r>
          </w:p>
        </w:tc>
        <w:tc>
          <w:tcPr>
            <w:tcW w:w="1566" w:type="dxa"/>
          </w:tcPr>
          <w:p w:rsidR="007C5447" w:rsidRDefault="00F6308C">
            <w:pPr>
              <w:pStyle w:val="TableParagraph"/>
              <w:spacing w:before="46" w:line="224" w:lineRule="exact"/>
              <w:ind w:right="100"/>
              <w:rPr>
                <w:sz w:val="20"/>
              </w:rPr>
            </w:pPr>
            <w:r>
              <w:rPr>
                <w:sz w:val="20"/>
              </w:rPr>
              <w:t>1.38</w:t>
            </w:r>
          </w:p>
        </w:tc>
        <w:tc>
          <w:tcPr>
            <w:tcW w:w="1698" w:type="dxa"/>
          </w:tcPr>
          <w:p w:rsidR="007C5447" w:rsidRDefault="00F6308C">
            <w:pPr>
              <w:pStyle w:val="TableParagraph"/>
              <w:spacing w:before="46" w:line="224" w:lineRule="exact"/>
              <w:ind w:right="100"/>
              <w:rPr>
                <w:sz w:val="20"/>
              </w:rPr>
            </w:pPr>
            <w:r>
              <w:rPr>
                <w:w w:val="99"/>
                <w:sz w:val="20"/>
              </w:rPr>
              <w:t>-</w:t>
            </w:r>
          </w:p>
        </w:tc>
        <w:tc>
          <w:tcPr>
            <w:tcW w:w="1987" w:type="dxa"/>
          </w:tcPr>
          <w:p w:rsidR="007C5447" w:rsidRDefault="00F6308C">
            <w:pPr>
              <w:pStyle w:val="TableParagraph"/>
              <w:spacing w:before="46" w:line="224" w:lineRule="exact"/>
              <w:ind w:right="102"/>
              <w:rPr>
                <w:sz w:val="20"/>
              </w:rPr>
            </w:pPr>
            <w:r>
              <w:rPr>
                <w:w w:val="95"/>
                <w:sz w:val="20"/>
              </w:rPr>
              <w:t>16.00</w:t>
            </w:r>
          </w:p>
        </w:tc>
        <w:tc>
          <w:tcPr>
            <w:tcW w:w="1550" w:type="dxa"/>
          </w:tcPr>
          <w:p w:rsidR="007C5447" w:rsidRDefault="00F6308C">
            <w:pPr>
              <w:pStyle w:val="TableParagraph"/>
              <w:spacing w:before="46" w:line="224" w:lineRule="exact"/>
              <w:ind w:right="104"/>
              <w:rPr>
                <w:sz w:val="20"/>
              </w:rPr>
            </w:pPr>
            <w:r>
              <w:rPr>
                <w:sz w:val="20"/>
              </w:rPr>
              <w:t>4.99</w:t>
            </w:r>
          </w:p>
        </w:tc>
      </w:tr>
      <w:tr w:rsidR="007C5447">
        <w:trPr>
          <w:trHeight w:val="292"/>
        </w:trPr>
        <w:tc>
          <w:tcPr>
            <w:tcW w:w="2832" w:type="dxa"/>
          </w:tcPr>
          <w:p w:rsidR="007C5447" w:rsidRDefault="00F6308C">
            <w:pPr>
              <w:pStyle w:val="TableParagraph"/>
              <w:spacing w:before="46" w:line="227" w:lineRule="exact"/>
              <w:ind w:left="107"/>
              <w:jc w:val="left"/>
              <w:rPr>
                <w:sz w:val="20"/>
              </w:rPr>
            </w:pPr>
            <w:r>
              <w:rPr>
                <w:sz w:val="20"/>
              </w:rPr>
              <w:t>Valathur GTPS Unit I</w:t>
            </w:r>
          </w:p>
        </w:tc>
        <w:tc>
          <w:tcPr>
            <w:tcW w:w="1561" w:type="dxa"/>
            <w:vMerge w:val="restart"/>
          </w:tcPr>
          <w:p w:rsidR="007C5447" w:rsidRDefault="00F6308C">
            <w:pPr>
              <w:pStyle w:val="TableParagraph"/>
              <w:spacing w:before="182"/>
              <w:ind w:left="902"/>
              <w:jc w:val="left"/>
              <w:rPr>
                <w:sz w:val="20"/>
              </w:rPr>
            </w:pPr>
            <w:r>
              <w:rPr>
                <w:sz w:val="20"/>
              </w:rPr>
              <w:t>267.00</w:t>
            </w:r>
          </w:p>
        </w:tc>
        <w:tc>
          <w:tcPr>
            <w:tcW w:w="1700" w:type="dxa"/>
            <w:vMerge w:val="restart"/>
          </w:tcPr>
          <w:p w:rsidR="007C5447" w:rsidRDefault="00F6308C">
            <w:pPr>
              <w:pStyle w:val="TableParagraph"/>
              <w:spacing w:before="182"/>
              <w:ind w:left="1041"/>
              <w:jc w:val="left"/>
              <w:rPr>
                <w:sz w:val="20"/>
              </w:rPr>
            </w:pPr>
            <w:r>
              <w:rPr>
                <w:sz w:val="20"/>
              </w:rPr>
              <w:t>242.00</w:t>
            </w:r>
          </w:p>
        </w:tc>
        <w:tc>
          <w:tcPr>
            <w:tcW w:w="1566" w:type="dxa"/>
          </w:tcPr>
          <w:p w:rsidR="007C5447" w:rsidRDefault="00F6308C">
            <w:pPr>
              <w:pStyle w:val="TableParagraph"/>
              <w:spacing w:before="46" w:line="227" w:lineRule="exact"/>
              <w:ind w:right="100"/>
              <w:rPr>
                <w:sz w:val="20"/>
              </w:rPr>
            </w:pPr>
            <w:r>
              <w:rPr>
                <w:w w:val="95"/>
                <w:sz w:val="20"/>
              </w:rPr>
              <w:t>119.96</w:t>
            </w:r>
          </w:p>
        </w:tc>
        <w:tc>
          <w:tcPr>
            <w:tcW w:w="1698" w:type="dxa"/>
            <w:vMerge w:val="restart"/>
          </w:tcPr>
          <w:p w:rsidR="007C5447" w:rsidRDefault="00F6308C">
            <w:pPr>
              <w:pStyle w:val="TableParagraph"/>
              <w:spacing w:before="182"/>
              <w:ind w:left="1037"/>
              <w:jc w:val="left"/>
              <w:rPr>
                <w:sz w:val="20"/>
              </w:rPr>
            </w:pPr>
            <w:r>
              <w:rPr>
                <w:sz w:val="20"/>
              </w:rPr>
              <w:t>213.00</w:t>
            </w:r>
          </w:p>
        </w:tc>
        <w:tc>
          <w:tcPr>
            <w:tcW w:w="1987" w:type="dxa"/>
            <w:vMerge w:val="restart"/>
          </w:tcPr>
          <w:p w:rsidR="007C5447" w:rsidRDefault="00F6308C">
            <w:pPr>
              <w:pStyle w:val="TableParagraph"/>
              <w:spacing w:before="182"/>
              <w:ind w:right="103"/>
              <w:rPr>
                <w:sz w:val="20"/>
              </w:rPr>
            </w:pPr>
            <w:r>
              <w:rPr>
                <w:w w:val="95"/>
                <w:sz w:val="20"/>
              </w:rPr>
              <w:t>237.00</w:t>
            </w:r>
          </w:p>
        </w:tc>
        <w:tc>
          <w:tcPr>
            <w:tcW w:w="1550" w:type="dxa"/>
            <w:vMerge w:val="restart"/>
          </w:tcPr>
          <w:p w:rsidR="007C5447" w:rsidRDefault="00F6308C">
            <w:pPr>
              <w:pStyle w:val="TableParagraph"/>
              <w:spacing w:before="182"/>
              <w:ind w:left="885"/>
              <w:jc w:val="left"/>
              <w:rPr>
                <w:sz w:val="20"/>
              </w:rPr>
            </w:pPr>
            <w:r>
              <w:rPr>
                <w:sz w:val="20"/>
              </w:rPr>
              <w:t>182.48</w:t>
            </w:r>
          </w:p>
        </w:tc>
      </w:tr>
      <w:tr w:rsidR="007C5447">
        <w:trPr>
          <w:trHeight w:val="290"/>
        </w:trPr>
        <w:tc>
          <w:tcPr>
            <w:tcW w:w="2832" w:type="dxa"/>
          </w:tcPr>
          <w:p w:rsidR="007C5447" w:rsidRDefault="00F6308C">
            <w:pPr>
              <w:pStyle w:val="TableParagraph"/>
              <w:spacing w:before="46" w:line="225" w:lineRule="exact"/>
              <w:ind w:left="107"/>
              <w:jc w:val="left"/>
              <w:rPr>
                <w:sz w:val="20"/>
              </w:rPr>
            </w:pPr>
            <w:r>
              <w:rPr>
                <w:sz w:val="20"/>
              </w:rPr>
              <w:t>Valathur GTPS Unit II</w:t>
            </w:r>
          </w:p>
        </w:tc>
        <w:tc>
          <w:tcPr>
            <w:tcW w:w="1561" w:type="dxa"/>
            <w:vMerge/>
            <w:tcBorders>
              <w:top w:val="nil"/>
            </w:tcBorders>
          </w:tcPr>
          <w:p w:rsidR="007C5447" w:rsidRDefault="007C5447">
            <w:pPr>
              <w:rPr>
                <w:sz w:val="2"/>
                <w:szCs w:val="2"/>
              </w:rPr>
            </w:pPr>
          </w:p>
        </w:tc>
        <w:tc>
          <w:tcPr>
            <w:tcW w:w="1700" w:type="dxa"/>
            <w:vMerge/>
            <w:tcBorders>
              <w:top w:val="nil"/>
            </w:tcBorders>
          </w:tcPr>
          <w:p w:rsidR="007C5447" w:rsidRDefault="007C5447">
            <w:pPr>
              <w:rPr>
                <w:sz w:val="2"/>
                <w:szCs w:val="2"/>
              </w:rPr>
            </w:pPr>
          </w:p>
        </w:tc>
        <w:tc>
          <w:tcPr>
            <w:tcW w:w="1566" w:type="dxa"/>
          </w:tcPr>
          <w:p w:rsidR="007C5447" w:rsidRDefault="00F6308C">
            <w:pPr>
              <w:pStyle w:val="TableParagraph"/>
              <w:spacing w:before="46" w:line="225" w:lineRule="exact"/>
              <w:ind w:right="97"/>
              <w:rPr>
                <w:sz w:val="20"/>
              </w:rPr>
            </w:pPr>
            <w:r>
              <w:rPr>
                <w:w w:val="95"/>
                <w:sz w:val="20"/>
              </w:rPr>
              <w:t>119.96</w:t>
            </w:r>
          </w:p>
        </w:tc>
        <w:tc>
          <w:tcPr>
            <w:tcW w:w="1698" w:type="dxa"/>
            <w:vMerge/>
            <w:tcBorders>
              <w:top w:val="nil"/>
            </w:tcBorders>
          </w:tcPr>
          <w:p w:rsidR="007C5447" w:rsidRDefault="007C5447">
            <w:pPr>
              <w:rPr>
                <w:sz w:val="2"/>
                <w:szCs w:val="2"/>
              </w:rPr>
            </w:pPr>
          </w:p>
        </w:tc>
        <w:tc>
          <w:tcPr>
            <w:tcW w:w="1987" w:type="dxa"/>
            <w:vMerge/>
            <w:tcBorders>
              <w:top w:val="nil"/>
            </w:tcBorders>
          </w:tcPr>
          <w:p w:rsidR="007C5447" w:rsidRDefault="007C5447">
            <w:pPr>
              <w:rPr>
                <w:sz w:val="2"/>
                <w:szCs w:val="2"/>
              </w:rPr>
            </w:pPr>
          </w:p>
        </w:tc>
        <w:tc>
          <w:tcPr>
            <w:tcW w:w="1550" w:type="dxa"/>
            <w:vMerge/>
            <w:tcBorders>
              <w:top w:val="nil"/>
            </w:tcBorders>
          </w:tcPr>
          <w:p w:rsidR="007C5447" w:rsidRDefault="007C5447">
            <w:pPr>
              <w:rPr>
                <w:sz w:val="2"/>
                <w:szCs w:val="2"/>
              </w:rPr>
            </w:pPr>
          </w:p>
        </w:tc>
      </w:tr>
      <w:tr w:rsidR="007C5447">
        <w:trPr>
          <w:trHeight w:val="318"/>
        </w:trPr>
        <w:tc>
          <w:tcPr>
            <w:tcW w:w="2832" w:type="dxa"/>
            <w:shd w:val="clear" w:color="auto" w:fill="D9D9D9"/>
          </w:tcPr>
          <w:p w:rsidR="007C5447" w:rsidRDefault="00F6308C">
            <w:pPr>
              <w:pStyle w:val="TableParagraph"/>
              <w:spacing w:before="74" w:line="224" w:lineRule="exact"/>
              <w:ind w:left="107"/>
              <w:jc w:val="left"/>
              <w:rPr>
                <w:b/>
                <w:sz w:val="20"/>
              </w:rPr>
            </w:pPr>
            <w:r>
              <w:rPr>
                <w:b/>
                <w:sz w:val="20"/>
              </w:rPr>
              <w:t>Subtotal</w:t>
            </w:r>
          </w:p>
        </w:tc>
        <w:tc>
          <w:tcPr>
            <w:tcW w:w="1561" w:type="dxa"/>
            <w:shd w:val="clear" w:color="auto" w:fill="D9D9D9"/>
          </w:tcPr>
          <w:p w:rsidR="007C5447" w:rsidRDefault="00F6308C">
            <w:pPr>
              <w:pStyle w:val="TableParagraph"/>
              <w:spacing w:before="74" w:line="224" w:lineRule="exact"/>
              <w:ind w:right="96"/>
              <w:rPr>
                <w:b/>
                <w:sz w:val="20"/>
              </w:rPr>
            </w:pPr>
            <w:r>
              <w:rPr>
                <w:b/>
                <w:w w:val="95"/>
                <w:sz w:val="20"/>
              </w:rPr>
              <w:t>566.00</w:t>
            </w:r>
          </w:p>
        </w:tc>
        <w:tc>
          <w:tcPr>
            <w:tcW w:w="1700" w:type="dxa"/>
            <w:shd w:val="clear" w:color="auto" w:fill="D9D9D9"/>
          </w:tcPr>
          <w:p w:rsidR="007C5447" w:rsidRDefault="00F6308C">
            <w:pPr>
              <w:pStyle w:val="TableParagraph"/>
              <w:spacing w:before="74" w:line="224" w:lineRule="exact"/>
              <w:ind w:right="97"/>
              <w:rPr>
                <w:b/>
                <w:sz w:val="20"/>
              </w:rPr>
            </w:pPr>
            <w:r>
              <w:rPr>
                <w:b/>
                <w:w w:val="95"/>
                <w:sz w:val="20"/>
              </w:rPr>
              <w:t>489.00</w:t>
            </w:r>
          </w:p>
        </w:tc>
        <w:tc>
          <w:tcPr>
            <w:tcW w:w="1566" w:type="dxa"/>
            <w:shd w:val="clear" w:color="auto" w:fill="D9D9D9"/>
          </w:tcPr>
          <w:p w:rsidR="007C5447" w:rsidRDefault="00F6308C">
            <w:pPr>
              <w:pStyle w:val="TableParagraph"/>
              <w:spacing w:before="74" w:line="224" w:lineRule="exact"/>
              <w:ind w:right="100"/>
              <w:rPr>
                <w:b/>
                <w:sz w:val="20"/>
              </w:rPr>
            </w:pPr>
            <w:r>
              <w:rPr>
                <w:b/>
                <w:w w:val="95"/>
                <w:sz w:val="20"/>
              </w:rPr>
              <w:t>452.83</w:t>
            </w:r>
          </w:p>
        </w:tc>
        <w:tc>
          <w:tcPr>
            <w:tcW w:w="1698" w:type="dxa"/>
            <w:shd w:val="clear" w:color="auto" w:fill="D9D9D9"/>
          </w:tcPr>
          <w:p w:rsidR="007C5447" w:rsidRDefault="00F6308C">
            <w:pPr>
              <w:pStyle w:val="TableParagraph"/>
              <w:spacing w:before="74" w:line="224" w:lineRule="exact"/>
              <w:ind w:right="99"/>
              <w:rPr>
                <w:b/>
                <w:sz w:val="20"/>
              </w:rPr>
            </w:pPr>
            <w:r>
              <w:rPr>
                <w:b/>
                <w:w w:val="95"/>
                <w:sz w:val="20"/>
              </w:rPr>
              <w:t>471.00</w:t>
            </w:r>
          </w:p>
        </w:tc>
        <w:tc>
          <w:tcPr>
            <w:tcW w:w="1987" w:type="dxa"/>
            <w:shd w:val="clear" w:color="auto" w:fill="D9D9D9"/>
          </w:tcPr>
          <w:p w:rsidR="007C5447" w:rsidRDefault="00F6308C">
            <w:pPr>
              <w:pStyle w:val="TableParagraph"/>
              <w:spacing w:before="74" w:line="224" w:lineRule="exact"/>
              <w:ind w:right="103"/>
              <w:rPr>
                <w:b/>
                <w:sz w:val="20"/>
              </w:rPr>
            </w:pPr>
            <w:r>
              <w:rPr>
                <w:b/>
                <w:w w:val="95"/>
                <w:sz w:val="20"/>
              </w:rPr>
              <w:t>529.00</w:t>
            </w:r>
          </w:p>
        </w:tc>
        <w:tc>
          <w:tcPr>
            <w:tcW w:w="1550" w:type="dxa"/>
            <w:shd w:val="clear" w:color="auto" w:fill="D9D9D9"/>
          </w:tcPr>
          <w:p w:rsidR="007C5447" w:rsidRDefault="00F6308C">
            <w:pPr>
              <w:pStyle w:val="TableParagraph"/>
              <w:spacing w:before="74" w:line="224" w:lineRule="exact"/>
              <w:ind w:right="105"/>
              <w:rPr>
                <w:b/>
                <w:sz w:val="20"/>
              </w:rPr>
            </w:pPr>
            <w:r>
              <w:rPr>
                <w:b/>
                <w:w w:val="95"/>
                <w:sz w:val="20"/>
              </w:rPr>
              <w:t>431.36</w:t>
            </w:r>
          </w:p>
        </w:tc>
      </w:tr>
      <w:tr w:rsidR="007C5447">
        <w:trPr>
          <w:trHeight w:val="321"/>
        </w:trPr>
        <w:tc>
          <w:tcPr>
            <w:tcW w:w="2832" w:type="dxa"/>
            <w:shd w:val="clear" w:color="auto" w:fill="D9D9D9"/>
          </w:tcPr>
          <w:p w:rsidR="007C5447" w:rsidRDefault="00F6308C">
            <w:pPr>
              <w:pStyle w:val="TableParagraph"/>
              <w:spacing w:before="77" w:line="224" w:lineRule="exact"/>
              <w:ind w:left="107"/>
              <w:jc w:val="left"/>
              <w:rPr>
                <w:b/>
                <w:sz w:val="20"/>
              </w:rPr>
            </w:pPr>
            <w:r>
              <w:rPr>
                <w:b/>
                <w:sz w:val="20"/>
              </w:rPr>
              <w:t>Grand Total</w:t>
            </w:r>
          </w:p>
        </w:tc>
        <w:tc>
          <w:tcPr>
            <w:tcW w:w="1561" w:type="dxa"/>
            <w:shd w:val="clear" w:color="auto" w:fill="D9D9D9"/>
          </w:tcPr>
          <w:p w:rsidR="007C5447" w:rsidRDefault="00F6308C">
            <w:pPr>
              <w:pStyle w:val="TableParagraph"/>
              <w:spacing w:before="77" w:line="224" w:lineRule="exact"/>
              <w:ind w:right="95"/>
              <w:rPr>
                <w:b/>
                <w:sz w:val="20"/>
              </w:rPr>
            </w:pPr>
            <w:r>
              <w:rPr>
                <w:b/>
                <w:sz w:val="20"/>
              </w:rPr>
              <w:t>8088.00</w:t>
            </w:r>
          </w:p>
        </w:tc>
        <w:tc>
          <w:tcPr>
            <w:tcW w:w="1700" w:type="dxa"/>
            <w:shd w:val="clear" w:color="auto" w:fill="D9D9D9"/>
          </w:tcPr>
          <w:p w:rsidR="007C5447" w:rsidRDefault="00F6308C">
            <w:pPr>
              <w:pStyle w:val="TableParagraph"/>
              <w:spacing w:before="77" w:line="224" w:lineRule="exact"/>
              <w:ind w:right="95"/>
              <w:rPr>
                <w:b/>
                <w:sz w:val="20"/>
              </w:rPr>
            </w:pPr>
            <w:r>
              <w:rPr>
                <w:b/>
                <w:w w:val="95"/>
                <w:sz w:val="20"/>
              </w:rPr>
              <w:t>9,634.00</w:t>
            </w:r>
          </w:p>
        </w:tc>
        <w:tc>
          <w:tcPr>
            <w:tcW w:w="1566" w:type="dxa"/>
            <w:shd w:val="clear" w:color="auto" w:fill="D9D9D9"/>
          </w:tcPr>
          <w:p w:rsidR="007C5447" w:rsidRDefault="00F6308C">
            <w:pPr>
              <w:pStyle w:val="TableParagraph"/>
              <w:spacing w:before="77" w:line="224" w:lineRule="exact"/>
              <w:ind w:right="98"/>
              <w:rPr>
                <w:b/>
                <w:sz w:val="20"/>
              </w:rPr>
            </w:pPr>
            <w:r>
              <w:rPr>
                <w:b/>
                <w:w w:val="95"/>
                <w:sz w:val="20"/>
              </w:rPr>
              <w:t>9,437.93</w:t>
            </w:r>
          </w:p>
        </w:tc>
        <w:tc>
          <w:tcPr>
            <w:tcW w:w="1698" w:type="dxa"/>
            <w:shd w:val="clear" w:color="auto" w:fill="D9D9D9"/>
          </w:tcPr>
          <w:p w:rsidR="007C5447" w:rsidRDefault="00F6308C">
            <w:pPr>
              <w:pStyle w:val="TableParagraph"/>
              <w:spacing w:before="77" w:line="224" w:lineRule="exact"/>
              <w:ind w:right="99"/>
              <w:rPr>
                <w:b/>
                <w:sz w:val="20"/>
              </w:rPr>
            </w:pPr>
            <w:r>
              <w:rPr>
                <w:b/>
                <w:sz w:val="20"/>
              </w:rPr>
              <w:t>3220.00</w:t>
            </w:r>
          </w:p>
        </w:tc>
        <w:tc>
          <w:tcPr>
            <w:tcW w:w="1987" w:type="dxa"/>
            <w:shd w:val="clear" w:color="auto" w:fill="D9D9D9"/>
          </w:tcPr>
          <w:p w:rsidR="007C5447" w:rsidRDefault="00F6308C">
            <w:pPr>
              <w:pStyle w:val="TableParagraph"/>
              <w:spacing w:before="77" w:line="224" w:lineRule="exact"/>
              <w:ind w:right="100"/>
              <w:rPr>
                <w:b/>
                <w:sz w:val="20"/>
              </w:rPr>
            </w:pPr>
            <w:r>
              <w:rPr>
                <w:b/>
                <w:w w:val="95"/>
                <w:sz w:val="20"/>
              </w:rPr>
              <w:t>8,641.00</w:t>
            </w:r>
          </w:p>
        </w:tc>
        <w:tc>
          <w:tcPr>
            <w:tcW w:w="1550" w:type="dxa"/>
            <w:shd w:val="clear" w:color="auto" w:fill="D9D9D9"/>
          </w:tcPr>
          <w:p w:rsidR="007C5447" w:rsidRDefault="00F6308C">
            <w:pPr>
              <w:pStyle w:val="TableParagraph"/>
              <w:spacing w:before="77" w:line="224" w:lineRule="exact"/>
              <w:ind w:right="103"/>
              <w:rPr>
                <w:b/>
                <w:sz w:val="20"/>
              </w:rPr>
            </w:pPr>
            <w:r>
              <w:rPr>
                <w:b/>
                <w:w w:val="95"/>
                <w:sz w:val="20"/>
              </w:rPr>
              <w:t>8,357.95</w:t>
            </w:r>
          </w:p>
        </w:tc>
      </w:tr>
    </w:tbl>
    <w:p w:rsidR="007C5447" w:rsidRDefault="007C5447">
      <w:pPr>
        <w:spacing w:line="224" w:lineRule="exact"/>
        <w:rPr>
          <w:sz w:val="20"/>
        </w:rPr>
        <w:sectPr w:rsidR="007C5447">
          <w:pgSz w:w="16840" w:h="11910" w:orient="landscape"/>
          <w:pgMar w:top="1100" w:right="360" w:bottom="1240" w:left="1340" w:header="0" w:footer="1057" w:gutter="0"/>
          <w:cols w:space="720"/>
        </w:sectPr>
      </w:pPr>
    </w:p>
    <w:p w:rsidR="007C5447" w:rsidRDefault="007C5447">
      <w:pPr>
        <w:pStyle w:val="BodyText"/>
        <w:rPr>
          <w:b/>
          <w:sz w:val="20"/>
        </w:rPr>
      </w:pPr>
    </w:p>
    <w:p w:rsidR="007C5447" w:rsidRDefault="007C5447">
      <w:pPr>
        <w:pStyle w:val="BodyText"/>
        <w:spacing w:before="6"/>
        <w:rPr>
          <w:b/>
          <w:sz w:val="19"/>
        </w:rPr>
      </w:pPr>
    </w:p>
    <w:p w:rsidR="007C5447" w:rsidRDefault="00F6308C">
      <w:pPr>
        <w:ind w:left="2441" w:right="1980"/>
        <w:jc w:val="center"/>
        <w:rPr>
          <w:b/>
        </w:rPr>
      </w:pPr>
      <w:r>
        <w:rPr>
          <w:b/>
        </w:rPr>
        <w:t>Table 3-63: Energy Charge approved by the Commission after true-up for FY 2011-12 to FY 2013-14 (Rs./kWh)</w:t>
      </w:r>
    </w:p>
    <w:p w:rsidR="007C5447" w:rsidRDefault="007C5447">
      <w:pPr>
        <w:pStyle w:val="BodyText"/>
        <w:spacing w:before="11"/>
        <w:rPr>
          <w:b/>
          <w:sz w:val="16"/>
        </w:rPr>
      </w:pPr>
    </w:p>
    <w:tbl>
      <w:tblPr>
        <w:tblW w:w="0" w:type="auto"/>
        <w:tblInd w:w="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3"/>
        <w:gridCol w:w="1164"/>
        <w:gridCol w:w="1258"/>
        <w:gridCol w:w="1332"/>
        <w:gridCol w:w="1313"/>
        <w:gridCol w:w="1498"/>
        <w:gridCol w:w="1332"/>
        <w:gridCol w:w="1165"/>
        <w:gridCol w:w="1496"/>
        <w:gridCol w:w="1342"/>
      </w:tblGrid>
      <w:tr w:rsidR="007C5447">
        <w:trPr>
          <w:trHeight w:val="383"/>
        </w:trPr>
        <w:tc>
          <w:tcPr>
            <w:tcW w:w="2163" w:type="dxa"/>
            <w:vMerge w:val="restart"/>
            <w:shd w:val="clear" w:color="auto" w:fill="F7C9AC"/>
          </w:tcPr>
          <w:p w:rsidR="007C5447" w:rsidRDefault="007C5447">
            <w:pPr>
              <w:pStyle w:val="TableParagraph"/>
              <w:spacing w:before="4"/>
              <w:jc w:val="left"/>
              <w:rPr>
                <w:b/>
                <w:sz w:val="29"/>
              </w:rPr>
            </w:pPr>
          </w:p>
          <w:p w:rsidR="007C5447" w:rsidRDefault="00F6308C">
            <w:pPr>
              <w:pStyle w:val="TableParagraph"/>
              <w:ind w:left="650"/>
              <w:jc w:val="left"/>
              <w:rPr>
                <w:b/>
                <w:sz w:val="18"/>
              </w:rPr>
            </w:pPr>
            <w:r>
              <w:rPr>
                <w:b/>
                <w:sz w:val="18"/>
              </w:rPr>
              <w:t>Particulars</w:t>
            </w:r>
          </w:p>
        </w:tc>
        <w:tc>
          <w:tcPr>
            <w:tcW w:w="3754" w:type="dxa"/>
            <w:gridSpan w:val="3"/>
            <w:shd w:val="clear" w:color="auto" w:fill="F7C9AC"/>
          </w:tcPr>
          <w:p w:rsidR="007C5447" w:rsidRDefault="00F6308C">
            <w:pPr>
              <w:pStyle w:val="TableParagraph"/>
              <w:spacing w:before="88"/>
              <w:ind w:left="1414" w:right="1405"/>
              <w:jc w:val="center"/>
              <w:rPr>
                <w:b/>
                <w:sz w:val="18"/>
              </w:rPr>
            </w:pPr>
            <w:r>
              <w:rPr>
                <w:b/>
                <w:sz w:val="18"/>
              </w:rPr>
              <w:t>FY 2011-12</w:t>
            </w:r>
          </w:p>
        </w:tc>
        <w:tc>
          <w:tcPr>
            <w:tcW w:w="4143" w:type="dxa"/>
            <w:gridSpan w:val="3"/>
            <w:tcBorders>
              <w:right w:val="single" w:sz="6" w:space="0" w:color="000000"/>
            </w:tcBorders>
            <w:shd w:val="clear" w:color="auto" w:fill="F7C9AC"/>
          </w:tcPr>
          <w:p w:rsidR="007C5447" w:rsidRDefault="00F6308C">
            <w:pPr>
              <w:pStyle w:val="TableParagraph"/>
              <w:spacing w:before="88"/>
              <w:ind w:left="1613" w:right="1592"/>
              <w:jc w:val="center"/>
              <w:rPr>
                <w:b/>
                <w:sz w:val="18"/>
              </w:rPr>
            </w:pPr>
            <w:r>
              <w:rPr>
                <w:b/>
                <w:sz w:val="18"/>
              </w:rPr>
              <w:t>FY 2012-13</w:t>
            </w:r>
          </w:p>
        </w:tc>
        <w:tc>
          <w:tcPr>
            <w:tcW w:w="4003" w:type="dxa"/>
            <w:gridSpan w:val="3"/>
            <w:tcBorders>
              <w:left w:val="single" w:sz="6" w:space="0" w:color="000000"/>
            </w:tcBorders>
            <w:shd w:val="clear" w:color="auto" w:fill="F7C9AC"/>
          </w:tcPr>
          <w:p w:rsidR="007C5447" w:rsidRDefault="00F6308C">
            <w:pPr>
              <w:pStyle w:val="TableParagraph"/>
              <w:spacing w:before="88"/>
              <w:ind w:left="1538" w:right="1526"/>
              <w:jc w:val="center"/>
              <w:rPr>
                <w:b/>
                <w:sz w:val="18"/>
              </w:rPr>
            </w:pPr>
            <w:r>
              <w:rPr>
                <w:b/>
                <w:sz w:val="18"/>
              </w:rPr>
              <w:t>FY 2013-14</w:t>
            </w:r>
          </w:p>
        </w:tc>
      </w:tr>
      <w:tr w:rsidR="007C5447">
        <w:trPr>
          <w:trHeight w:val="491"/>
        </w:trPr>
        <w:tc>
          <w:tcPr>
            <w:tcW w:w="2163" w:type="dxa"/>
            <w:vMerge/>
            <w:tcBorders>
              <w:top w:val="nil"/>
            </w:tcBorders>
            <w:shd w:val="clear" w:color="auto" w:fill="F7C9AC"/>
          </w:tcPr>
          <w:p w:rsidR="007C5447" w:rsidRDefault="007C5447">
            <w:pPr>
              <w:rPr>
                <w:sz w:val="2"/>
                <w:szCs w:val="2"/>
              </w:rPr>
            </w:pPr>
          </w:p>
        </w:tc>
        <w:tc>
          <w:tcPr>
            <w:tcW w:w="1164" w:type="dxa"/>
            <w:shd w:val="clear" w:color="auto" w:fill="F7C9AC"/>
          </w:tcPr>
          <w:p w:rsidR="007C5447" w:rsidRDefault="00F6308C">
            <w:pPr>
              <w:pStyle w:val="TableParagraph"/>
              <w:spacing w:before="141"/>
              <w:ind w:right="115"/>
              <w:rPr>
                <w:b/>
                <w:sz w:val="18"/>
              </w:rPr>
            </w:pPr>
            <w:r>
              <w:rPr>
                <w:b/>
                <w:sz w:val="18"/>
              </w:rPr>
              <w:t>SMT Order</w:t>
            </w:r>
          </w:p>
        </w:tc>
        <w:tc>
          <w:tcPr>
            <w:tcW w:w="1258" w:type="dxa"/>
            <w:shd w:val="clear" w:color="auto" w:fill="F7C9AC"/>
          </w:tcPr>
          <w:p w:rsidR="007C5447" w:rsidRDefault="00F6308C">
            <w:pPr>
              <w:pStyle w:val="TableParagraph"/>
              <w:spacing w:before="141"/>
              <w:ind w:right="100"/>
              <w:rPr>
                <w:b/>
                <w:sz w:val="18"/>
              </w:rPr>
            </w:pPr>
            <w:r>
              <w:rPr>
                <w:b/>
                <w:sz w:val="18"/>
              </w:rPr>
              <w:t>TANGEDCO</w:t>
            </w:r>
          </w:p>
        </w:tc>
        <w:tc>
          <w:tcPr>
            <w:tcW w:w="1332" w:type="dxa"/>
            <w:shd w:val="clear" w:color="auto" w:fill="F7C9AC"/>
          </w:tcPr>
          <w:p w:rsidR="007C5447" w:rsidRDefault="00F6308C">
            <w:pPr>
              <w:pStyle w:val="TableParagraph"/>
              <w:spacing w:before="14" w:line="230" w:lineRule="atLeast"/>
              <w:ind w:left="119" w:right="94" w:firstLine="117"/>
              <w:jc w:val="left"/>
              <w:rPr>
                <w:b/>
                <w:sz w:val="20"/>
              </w:rPr>
            </w:pPr>
            <w:r>
              <w:rPr>
                <w:b/>
                <w:sz w:val="20"/>
              </w:rPr>
              <w:t>Approved after true up</w:t>
            </w:r>
          </w:p>
        </w:tc>
        <w:tc>
          <w:tcPr>
            <w:tcW w:w="1313" w:type="dxa"/>
            <w:shd w:val="clear" w:color="auto" w:fill="F7C9AC"/>
          </w:tcPr>
          <w:p w:rsidR="007C5447" w:rsidRDefault="00F6308C">
            <w:pPr>
              <w:pStyle w:val="TableParagraph"/>
              <w:spacing w:before="141"/>
              <w:ind w:left="199"/>
              <w:jc w:val="left"/>
              <w:rPr>
                <w:b/>
                <w:sz w:val="18"/>
              </w:rPr>
            </w:pPr>
            <w:r>
              <w:rPr>
                <w:b/>
                <w:sz w:val="18"/>
              </w:rPr>
              <w:t>SMT Order</w:t>
            </w:r>
          </w:p>
        </w:tc>
        <w:tc>
          <w:tcPr>
            <w:tcW w:w="1498" w:type="dxa"/>
            <w:shd w:val="clear" w:color="auto" w:fill="F7C9AC"/>
          </w:tcPr>
          <w:p w:rsidR="007C5447" w:rsidRDefault="00F6308C">
            <w:pPr>
              <w:pStyle w:val="TableParagraph"/>
              <w:spacing w:before="141"/>
              <w:ind w:left="228"/>
              <w:jc w:val="left"/>
              <w:rPr>
                <w:b/>
                <w:sz w:val="18"/>
              </w:rPr>
            </w:pPr>
            <w:r>
              <w:rPr>
                <w:b/>
                <w:sz w:val="18"/>
              </w:rPr>
              <w:t>TANGEDCO</w:t>
            </w:r>
          </w:p>
        </w:tc>
        <w:tc>
          <w:tcPr>
            <w:tcW w:w="1332" w:type="dxa"/>
            <w:shd w:val="clear" w:color="auto" w:fill="F7C9AC"/>
          </w:tcPr>
          <w:p w:rsidR="007C5447" w:rsidRDefault="00F6308C">
            <w:pPr>
              <w:pStyle w:val="TableParagraph"/>
              <w:spacing w:before="14" w:line="230" w:lineRule="atLeast"/>
              <w:ind w:left="119" w:right="94" w:firstLine="117"/>
              <w:jc w:val="left"/>
              <w:rPr>
                <w:b/>
                <w:sz w:val="20"/>
              </w:rPr>
            </w:pPr>
            <w:r>
              <w:rPr>
                <w:b/>
                <w:sz w:val="20"/>
              </w:rPr>
              <w:t>Approved after true up</w:t>
            </w:r>
          </w:p>
        </w:tc>
        <w:tc>
          <w:tcPr>
            <w:tcW w:w="1165" w:type="dxa"/>
            <w:shd w:val="clear" w:color="auto" w:fill="F7C9AC"/>
          </w:tcPr>
          <w:p w:rsidR="007C5447" w:rsidRDefault="00F6308C">
            <w:pPr>
              <w:pStyle w:val="TableParagraph"/>
              <w:spacing w:before="141"/>
              <w:ind w:right="116"/>
              <w:rPr>
                <w:b/>
                <w:sz w:val="18"/>
              </w:rPr>
            </w:pPr>
            <w:r>
              <w:rPr>
                <w:b/>
                <w:sz w:val="18"/>
              </w:rPr>
              <w:t>SMT Order</w:t>
            </w:r>
          </w:p>
        </w:tc>
        <w:tc>
          <w:tcPr>
            <w:tcW w:w="1496" w:type="dxa"/>
            <w:shd w:val="clear" w:color="auto" w:fill="F7C9AC"/>
          </w:tcPr>
          <w:p w:rsidR="007C5447" w:rsidRDefault="00F6308C">
            <w:pPr>
              <w:pStyle w:val="TableParagraph"/>
              <w:spacing w:before="141"/>
              <w:ind w:left="227"/>
              <w:jc w:val="left"/>
              <w:rPr>
                <w:b/>
                <w:sz w:val="18"/>
              </w:rPr>
            </w:pPr>
            <w:r>
              <w:rPr>
                <w:b/>
                <w:sz w:val="18"/>
              </w:rPr>
              <w:t>TANGEDCO</w:t>
            </w:r>
          </w:p>
        </w:tc>
        <w:tc>
          <w:tcPr>
            <w:tcW w:w="1342" w:type="dxa"/>
            <w:shd w:val="clear" w:color="auto" w:fill="F7C9AC"/>
          </w:tcPr>
          <w:p w:rsidR="007C5447" w:rsidRDefault="00F6308C">
            <w:pPr>
              <w:pStyle w:val="TableParagraph"/>
              <w:spacing w:before="14" w:line="230" w:lineRule="atLeast"/>
              <w:ind w:left="123" w:right="100" w:firstLine="117"/>
              <w:jc w:val="left"/>
              <w:rPr>
                <w:b/>
                <w:sz w:val="20"/>
              </w:rPr>
            </w:pPr>
            <w:r>
              <w:rPr>
                <w:b/>
                <w:sz w:val="20"/>
              </w:rPr>
              <w:t>Approved after true up</w:t>
            </w:r>
          </w:p>
        </w:tc>
      </w:tr>
      <w:tr w:rsidR="007C5447">
        <w:trPr>
          <w:trHeight w:val="347"/>
        </w:trPr>
        <w:tc>
          <w:tcPr>
            <w:tcW w:w="2163" w:type="dxa"/>
            <w:shd w:val="clear" w:color="auto" w:fill="D9D9D9"/>
          </w:tcPr>
          <w:p w:rsidR="007C5447" w:rsidRDefault="00F6308C">
            <w:pPr>
              <w:pStyle w:val="TableParagraph"/>
              <w:spacing w:before="69"/>
              <w:ind w:left="107"/>
              <w:jc w:val="left"/>
              <w:rPr>
                <w:b/>
                <w:sz w:val="18"/>
              </w:rPr>
            </w:pPr>
            <w:r>
              <w:rPr>
                <w:b/>
                <w:sz w:val="18"/>
              </w:rPr>
              <w:t>Thermal</w:t>
            </w:r>
          </w:p>
        </w:tc>
        <w:tc>
          <w:tcPr>
            <w:tcW w:w="1164" w:type="dxa"/>
            <w:shd w:val="clear" w:color="auto" w:fill="D9D9D9"/>
          </w:tcPr>
          <w:p w:rsidR="007C5447" w:rsidRDefault="007C5447">
            <w:pPr>
              <w:pStyle w:val="TableParagraph"/>
              <w:jc w:val="left"/>
              <w:rPr>
                <w:sz w:val="18"/>
              </w:rPr>
            </w:pPr>
          </w:p>
        </w:tc>
        <w:tc>
          <w:tcPr>
            <w:tcW w:w="1258" w:type="dxa"/>
            <w:shd w:val="clear" w:color="auto" w:fill="D9D9D9"/>
          </w:tcPr>
          <w:p w:rsidR="007C5447" w:rsidRDefault="007C5447">
            <w:pPr>
              <w:pStyle w:val="TableParagraph"/>
              <w:jc w:val="left"/>
              <w:rPr>
                <w:sz w:val="18"/>
              </w:rPr>
            </w:pPr>
          </w:p>
        </w:tc>
        <w:tc>
          <w:tcPr>
            <w:tcW w:w="1332" w:type="dxa"/>
            <w:shd w:val="clear" w:color="auto" w:fill="D9D9D9"/>
          </w:tcPr>
          <w:p w:rsidR="007C5447" w:rsidRDefault="007C5447">
            <w:pPr>
              <w:pStyle w:val="TableParagraph"/>
              <w:jc w:val="left"/>
              <w:rPr>
                <w:sz w:val="18"/>
              </w:rPr>
            </w:pPr>
          </w:p>
        </w:tc>
        <w:tc>
          <w:tcPr>
            <w:tcW w:w="1313" w:type="dxa"/>
            <w:shd w:val="clear" w:color="auto" w:fill="D9D9D9"/>
          </w:tcPr>
          <w:p w:rsidR="007C5447" w:rsidRDefault="007C5447">
            <w:pPr>
              <w:pStyle w:val="TableParagraph"/>
              <w:jc w:val="left"/>
              <w:rPr>
                <w:sz w:val="18"/>
              </w:rPr>
            </w:pPr>
          </w:p>
        </w:tc>
        <w:tc>
          <w:tcPr>
            <w:tcW w:w="1498" w:type="dxa"/>
            <w:shd w:val="clear" w:color="auto" w:fill="D9D9D9"/>
          </w:tcPr>
          <w:p w:rsidR="007C5447" w:rsidRDefault="007C5447">
            <w:pPr>
              <w:pStyle w:val="TableParagraph"/>
              <w:jc w:val="left"/>
              <w:rPr>
                <w:sz w:val="18"/>
              </w:rPr>
            </w:pPr>
          </w:p>
        </w:tc>
        <w:tc>
          <w:tcPr>
            <w:tcW w:w="1332" w:type="dxa"/>
            <w:shd w:val="clear" w:color="auto" w:fill="D9D9D9"/>
          </w:tcPr>
          <w:p w:rsidR="007C5447" w:rsidRDefault="007C5447">
            <w:pPr>
              <w:pStyle w:val="TableParagraph"/>
              <w:jc w:val="left"/>
              <w:rPr>
                <w:sz w:val="18"/>
              </w:rPr>
            </w:pPr>
          </w:p>
        </w:tc>
        <w:tc>
          <w:tcPr>
            <w:tcW w:w="1165" w:type="dxa"/>
            <w:shd w:val="clear" w:color="auto" w:fill="D9D9D9"/>
          </w:tcPr>
          <w:p w:rsidR="007C5447" w:rsidRDefault="007C5447">
            <w:pPr>
              <w:pStyle w:val="TableParagraph"/>
              <w:jc w:val="left"/>
              <w:rPr>
                <w:sz w:val="18"/>
              </w:rPr>
            </w:pPr>
          </w:p>
        </w:tc>
        <w:tc>
          <w:tcPr>
            <w:tcW w:w="1496" w:type="dxa"/>
            <w:shd w:val="clear" w:color="auto" w:fill="D9D9D9"/>
          </w:tcPr>
          <w:p w:rsidR="007C5447" w:rsidRDefault="007C5447">
            <w:pPr>
              <w:pStyle w:val="TableParagraph"/>
              <w:jc w:val="left"/>
              <w:rPr>
                <w:sz w:val="18"/>
              </w:rPr>
            </w:pPr>
          </w:p>
        </w:tc>
        <w:tc>
          <w:tcPr>
            <w:tcW w:w="1342" w:type="dxa"/>
            <w:shd w:val="clear" w:color="auto" w:fill="D9D9D9"/>
          </w:tcPr>
          <w:p w:rsidR="007C5447" w:rsidRDefault="007C5447">
            <w:pPr>
              <w:pStyle w:val="TableParagraph"/>
              <w:jc w:val="left"/>
              <w:rPr>
                <w:sz w:val="18"/>
              </w:rPr>
            </w:pPr>
          </w:p>
        </w:tc>
      </w:tr>
      <w:tr w:rsidR="007C5447">
        <w:trPr>
          <w:trHeight w:val="347"/>
        </w:trPr>
        <w:tc>
          <w:tcPr>
            <w:tcW w:w="2163" w:type="dxa"/>
          </w:tcPr>
          <w:p w:rsidR="007C5447" w:rsidRDefault="00F6308C">
            <w:pPr>
              <w:pStyle w:val="TableParagraph"/>
              <w:spacing w:before="69"/>
              <w:ind w:left="107"/>
              <w:jc w:val="left"/>
              <w:rPr>
                <w:sz w:val="18"/>
              </w:rPr>
            </w:pPr>
            <w:r>
              <w:rPr>
                <w:sz w:val="18"/>
              </w:rPr>
              <w:t>Ennore TPS</w:t>
            </w:r>
          </w:p>
        </w:tc>
        <w:tc>
          <w:tcPr>
            <w:tcW w:w="1164" w:type="dxa"/>
          </w:tcPr>
          <w:p w:rsidR="007C5447" w:rsidRDefault="00F6308C">
            <w:pPr>
              <w:pStyle w:val="TableParagraph"/>
              <w:spacing w:before="69"/>
              <w:ind w:right="95"/>
              <w:rPr>
                <w:sz w:val="18"/>
              </w:rPr>
            </w:pPr>
            <w:r>
              <w:rPr>
                <w:sz w:val="18"/>
              </w:rPr>
              <w:t>3.53</w:t>
            </w:r>
          </w:p>
        </w:tc>
        <w:tc>
          <w:tcPr>
            <w:tcW w:w="1258" w:type="dxa"/>
          </w:tcPr>
          <w:p w:rsidR="007C5447" w:rsidRDefault="00F6308C">
            <w:pPr>
              <w:pStyle w:val="TableParagraph"/>
              <w:spacing w:before="69"/>
              <w:ind w:right="97"/>
              <w:rPr>
                <w:sz w:val="18"/>
              </w:rPr>
            </w:pPr>
            <w:r>
              <w:rPr>
                <w:sz w:val="18"/>
              </w:rPr>
              <w:t>4.21</w:t>
            </w:r>
          </w:p>
        </w:tc>
        <w:tc>
          <w:tcPr>
            <w:tcW w:w="1332" w:type="dxa"/>
          </w:tcPr>
          <w:p w:rsidR="007C5447" w:rsidRDefault="00F6308C">
            <w:pPr>
              <w:pStyle w:val="TableParagraph"/>
              <w:spacing w:before="69"/>
              <w:ind w:right="97"/>
              <w:rPr>
                <w:sz w:val="18"/>
              </w:rPr>
            </w:pPr>
            <w:r>
              <w:rPr>
                <w:sz w:val="18"/>
              </w:rPr>
              <w:t>3.53</w:t>
            </w:r>
          </w:p>
        </w:tc>
        <w:tc>
          <w:tcPr>
            <w:tcW w:w="1313" w:type="dxa"/>
          </w:tcPr>
          <w:p w:rsidR="007C5447" w:rsidRDefault="00F6308C">
            <w:pPr>
              <w:pStyle w:val="TableParagraph"/>
              <w:spacing w:before="69"/>
              <w:ind w:right="95"/>
              <w:rPr>
                <w:sz w:val="18"/>
              </w:rPr>
            </w:pPr>
            <w:r>
              <w:rPr>
                <w:sz w:val="18"/>
              </w:rPr>
              <w:t>4.12</w:t>
            </w:r>
          </w:p>
        </w:tc>
        <w:tc>
          <w:tcPr>
            <w:tcW w:w="1498" w:type="dxa"/>
          </w:tcPr>
          <w:p w:rsidR="007C5447" w:rsidRDefault="00F6308C">
            <w:pPr>
              <w:pStyle w:val="TableParagraph"/>
              <w:spacing w:before="69"/>
              <w:ind w:right="98"/>
              <w:rPr>
                <w:sz w:val="18"/>
              </w:rPr>
            </w:pPr>
            <w:r>
              <w:rPr>
                <w:sz w:val="18"/>
              </w:rPr>
              <w:t>4.97</w:t>
            </w:r>
          </w:p>
        </w:tc>
        <w:tc>
          <w:tcPr>
            <w:tcW w:w="1332" w:type="dxa"/>
          </w:tcPr>
          <w:p w:rsidR="007C5447" w:rsidRDefault="00F6308C">
            <w:pPr>
              <w:pStyle w:val="TableParagraph"/>
              <w:spacing w:before="69"/>
              <w:ind w:right="98"/>
              <w:rPr>
                <w:sz w:val="18"/>
              </w:rPr>
            </w:pPr>
            <w:r>
              <w:rPr>
                <w:sz w:val="18"/>
              </w:rPr>
              <w:t>3.69</w:t>
            </w:r>
          </w:p>
        </w:tc>
        <w:tc>
          <w:tcPr>
            <w:tcW w:w="1165" w:type="dxa"/>
          </w:tcPr>
          <w:p w:rsidR="007C5447" w:rsidRDefault="00F6308C">
            <w:pPr>
              <w:pStyle w:val="TableParagraph"/>
              <w:spacing w:before="69"/>
              <w:ind w:right="96"/>
              <w:rPr>
                <w:sz w:val="18"/>
              </w:rPr>
            </w:pPr>
            <w:r>
              <w:rPr>
                <w:sz w:val="18"/>
              </w:rPr>
              <w:t>3.25</w:t>
            </w:r>
          </w:p>
        </w:tc>
        <w:tc>
          <w:tcPr>
            <w:tcW w:w="1496" w:type="dxa"/>
          </w:tcPr>
          <w:p w:rsidR="007C5447" w:rsidRDefault="00F6308C">
            <w:pPr>
              <w:pStyle w:val="TableParagraph"/>
              <w:spacing w:before="69"/>
              <w:ind w:right="96"/>
              <w:rPr>
                <w:sz w:val="18"/>
              </w:rPr>
            </w:pPr>
            <w:r>
              <w:rPr>
                <w:sz w:val="18"/>
              </w:rPr>
              <w:t>4.05</w:t>
            </w:r>
          </w:p>
        </w:tc>
        <w:tc>
          <w:tcPr>
            <w:tcW w:w="1342" w:type="dxa"/>
          </w:tcPr>
          <w:p w:rsidR="007C5447" w:rsidRDefault="00F6308C">
            <w:pPr>
              <w:pStyle w:val="TableParagraph"/>
              <w:spacing w:before="69"/>
              <w:ind w:right="102"/>
              <w:rPr>
                <w:sz w:val="18"/>
              </w:rPr>
            </w:pPr>
            <w:r>
              <w:rPr>
                <w:sz w:val="18"/>
              </w:rPr>
              <w:t>3.47</w:t>
            </w:r>
          </w:p>
        </w:tc>
      </w:tr>
      <w:tr w:rsidR="007C5447">
        <w:trPr>
          <w:trHeight w:val="348"/>
        </w:trPr>
        <w:tc>
          <w:tcPr>
            <w:tcW w:w="2163" w:type="dxa"/>
          </w:tcPr>
          <w:p w:rsidR="007C5447" w:rsidRDefault="00F6308C">
            <w:pPr>
              <w:pStyle w:val="TableParagraph"/>
              <w:spacing w:before="70"/>
              <w:ind w:left="107"/>
              <w:jc w:val="left"/>
              <w:rPr>
                <w:sz w:val="18"/>
              </w:rPr>
            </w:pPr>
            <w:r>
              <w:rPr>
                <w:sz w:val="18"/>
              </w:rPr>
              <w:t>Tuticorin TPS</w:t>
            </w:r>
          </w:p>
        </w:tc>
        <w:tc>
          <w:tcPr>
            <w:tcW w:w="1164" w:type="dxa"/>
          </w:tcPr>
          <w:p w:rsidR="007C5447" w:rsidRDefault="00F6308C">
            <w:pPr>
              <w:pStyle w:val="TableParagraph"/>
              <w:spacing w:before="70"/>
              <w:ind w:right="95"/>
              <w:rPr>
                <w:sz w:val="18"/>
              </w:rPr>
            </w:pPr>
            <w:r>
              <w:rPr>
                <w:sz w:val="18"/>
              </w:rPr>
              <w:t>3.17</w:t>
            </w:r>
          </w:p>
        </w:tc>
        <w:tc>
          <w:tcPr>
            <w:tcW w:w="1258" w:type="dxa"/>
          </w:tcPr>
          <w:p w:rsidR="007C5447" w:rsidRDefault="00F6308C">
            <w:pPr>
              <w:pStyle w:val="TableParagraph"/>
              <w:spacing w:before="70"/>
              <w:ind w:right="97"/>
              <w:rPr>
                <w:sz w:val="18"/>
              </w:rPr>
            </w:pPr>
            <w:r>
              <w:rPr>
                <w:sz w:val="18"/>
              </w:rPr>
              <w:t>3.39</w:t>
            </w:r>
          </w:p>
        </w:tc>
        <w:tc>
          <w:tcPr>
            <w:tcW w:w="1332" w:type="dxa"/>
          </w:tcPr>
          <w:p w:rsidR="007C5447" w:rsidRDefault="00F6308C">
            <w:pPr>
              <w:pStyle w:val="TableParagraph"/>
              <w:spacing w:before="70"/>
              <w:ind w:right="97"/>
              <w:rPr>
                <w:sz w:val="18"/>
              </w:rPr>
            </w:pPr>
            <w:r>
              <w:rPr>
                <w:sz w:val="18"/>
              </w:rPr>
              <w:t>3.15</w:t>
            </w:r>
          </w:p>
        </w:tc>
        <w:tc>
          <w:tcPr>
            <w:tcW w:w="1313" w:type="dxa"/>
          </w:tcPr>
          <w:p w:rsidR="007C5447" w:rsidRDefault="00F6308C">
            <w:pPr>
              <w:pStyle w:val="TableParagraph"/>
              <w:spacing w:before="70"/>
              <w:ind w:right="95"/>
              <w:rPr>
                <w:sz w:val="18"/>
              </w:rPr>
            </w:pPr>
            <w:r>
              <w:rPr>
                <w:sz w:val="18"/>
              </w:rPr>
              <w:t>2.87</w:t>
            </w:r>
          </w:p>
        </w:tc>
        <w:tc>
          <w:tcPr>
            <w:tcW w:w="1498" w:type="dxa"/>
          </w:tcPr>
          <w:p w:rsidR="007C5447" w:rsidRDefault="00F6308C">
            <w:pPr>
              <w:pStyle w:val="TableParagraph"/>
              <w:spacing w:before="70"/>
              <w:ind w:right="98"/>
              <w:rPr>
                <w:sz w:val="18"/>
              </w:rPr>
            </w:pPr>
            <w:r>
              <w:rPr>
                <w:sz w:val="18"/>
              </w:rPr>
              <w:t>3.26</w:t>
            </w:r>
          </w:p>
        </w:tc>
        <w:tc>
          <w:tcPr>
            <w:tcW w:w="1332" w:type="dxa"/>
          </w:tcPr>
          <w:p w:rsidR="007C5447" w:rsidRDefault="00F6308C">
            <w:pPr>
              <w:pStyle w:val="TableParagraph"/>
              <w:spacing w:before="70"/>
              <w:ind w:right="98"/>
              <w:rPr>
                <w:sz w:val="18"/>
              </w:rPr>
            </w:pPr>
            <w:r>
              <w:rPr>
                <w:sz w:val="18"/>
              </w:rPr>
              <w:t>2.93</w:t>
            </w:r>
          </w:p>
        </w:tc>
        <w:tc>
          <w:tcPr>
            <w:tcW w:w="1165" w:type="dxa"/>
          </w:tcPr>
          <w:p w:rsidR="007C5447" w:rsidRDefault="00F6308C">
            <w:pPr>
              <w:pStyle w:val="TableParagraph"/>
              <w:spacing w:before="70"/>
              <w:ind w:right="96"/>
              <w:rPr>
                <w:sz w:val="18"/>
              </w:rPr>
            </w:pPr>
            <w:r>
              <w:rPr>
                <w:sz w:val="18"/>
              </w:rPr>
              <w:t>3.30</w:t>
            </w:r>
          </w:p>
        </w:tc>
        <w:tc>
          <w:tcPr>
            <w:tcW w:w="1496" w:type="dxa"/>
          </w:tcPr>
          <w:p w:rsidR="007C5447" w:rsidRDefault="00F6308C">
            <w:pPr>
              <w:pStyle w:val="TableParagraph"/>
              <w:spacing w:before="70"/>
              <w:ind w:right="96"/>
              <w:rPr>
                <w:sz w:val="18"/>
              </w:rPr>
            </w:pPr>
            <w:r>
              <w:rPr>
                <w:sz w:val="18"/>
              </w:rPr>
              <w:t>3.31</w:t>
            </w:r>
          </w:p>
        </w:tc>
        <w:tc>
          <w:tcPr>
            <w:tcW w:w="1342" w:type="dxa"/>
          </w:tcPr>
          <w:p w:rsidR="007C5447" w:rsidRDefault="00F6308C">
            <w:pPr>
              <w:pStyle w:val="TableParagraph"/>
              <w:spacing w:before="70"/>
              <w:ind w:right="102"/>
              <w:rPr>
                <w:sz w:val="18"/>
              </w:rPr>
            </w:pPr>
            <w:r>
              <w:rPr>
                <w:sz w:val="18"/>
              </w:rPr>
              <w:t>3.14</w:t>
            </w:r>
          </w:p>
        </w:tc>
      </w:tr>
      <w:tr w:rsidR="007C5447">
        <w:trPr>
          <w:trHeight w:val="347"/>
        </w:trPr>
        <w:tc>
          <w:tcPr>
            <w:tcW w:w="2163" w:type="dxa"/>
          </w:tcPr>
          <w:p w:rsidR="007C5447" w:rsidRDefault="00F6308C">
            <w:pPr>
              <w:pStyle w:val="TableParagraph"/>
              <w:spacing w:before="71"/>
              <w:ind w:left="107"/>
              <w:jc w:val="left"/>
              <w:rPr>
                <w:sz w:val="18"/>
              </w:rPr>
            </w:pPr>
            <w:r>
              <w:rPr>
                <w:sz w:val="18"/>
              </w:rPr>
              <w:t>Mettur TPS</w:t>
            </w:r>
          </w:p>
        </w:tc>
        <w:tc>
          <w:tcPr>
            <w:tcW w:w="1164" w:type="dxa"/>
          </w:tcPr>
          <w:p w:rsidR="007C5447" w:rsidRDefault="00F6308C">
            <w:pPr>
              <w:pStyle w:val="TableParagraph"/>
              <w:spacing w:before="71"/>
              <w:ind w:right="95"/>
              <w:rPr>
                <w:sz w:val="18"/>
              </w:rPr>
            </w:pPr>
            <w:r>
              <w:rPr>
                <w:sz w:val="18"/>
              </w:rPr>
              <w:t>3.65</w:t>
            </w:r>
          </w:p>
        </w:tc>
        <w:tc>
          <w:tcPr>
            <w:tcW w:w="1258" w:type="dxa"/>
          </w:tcPr>
          <w:p w:rsidR="007C5447" w:rsidRDefault="00F6308C">
            <w:pPr>
              <w:pStyle w:val="TableParagraph"/>
              <w:spacing w:before="71"/>
              <w:ind w:right="97"/>
              <w:rPr>
                <w:sz w:val="18"/>
              </w:rPr>
            </w:pPr>
            <w:r>
              <w:rPr>
                <w:sz w:val="18"/>
              </w:rPr>
              <w:t>2.88</w:t>
            </w:r>
          </w:p>
        </w:tc>
        <w:tc>
          <w:tcPr>
            <w:tcW w:w="1332" w:type="dxa"/>
          </w:tcPr>
          <w:p w:rsidR="007C5447" w:rsidRDefault="00F6308C">
            <w:pPr>
              <w:pStyle w:val="TableParagraph"/>
              <w:spacing w:before="71"/>
              <w:ind w:right="97"/>
              <w:rPr>
                <w:sz w:val="18"/>
              </w:rPr>
            </w:pPr>
            <w:r>
              <w:rPr>
                <w:sz w:val="18"/>
              </w:rPr>
              <w:t>2.83</w:t>
            </w:r>
          </w:p>
        </w:tc>
        <w:tc>
          <w:tcPr>
            <w:tcW w:w="1313" w:type="dxa"/>
          </w:tcPr>
          <w:p w:rsidR="007C5447" w:rsidRDefault="00F6308C">
            <w:pPr>
              <w:pStyle w:val="TableParagraph"/>
              <w:spacing w:before="71"/>
              <w:ind w:right="95"/>
              <w:rPr>
                <w:sz w:val="18"/>
              </w:rPr>
            </w:pPr>
            <w:r>
              <w:rPr>
                <w:sz w:val="18"/>
              </w:rPr>
              <w:t>3.69</w:t>
            </w:r>
          </w:p>
        </w:tc>
        <w:tc>
          <w:tcPr>
            <w:tcW w:w="1498" w:type="dxa"/>
          </w:tcPr>
          <w:p w:rsidR="007C5447" w:rsidRDefault="00F6308C">
            <w:pPr>
              <w:pStyle w:val="TableParagraph"/>
              <w:spacing w:before="71"/>
              <w:ind w:right="98"/>
              <w:rPr>
                <w:sz w:val="18"/>
              </w:rPr>
            </w:pPr>
            <w:r>
              <w:rPr>
                <w:sz w:val="18"/>
              </w:rPr>
              <w:t>3.41</w:t>
            </w:r>
          </w:p>
        </w:tc>
        <w:tc>
          <w:tcPr>
            <w:tcW w:w="1332" w:type="dxa"/>
          </w:tcPr>
          <w:p w:rsidR="007C5447" w:rsidRDefault="00F6308C">
            <w:pPr>
              <w:pStyle w:val="TableParagraph"/>
              <w:spacing w:before="71"/>
              <w:ind w:right="98"/>
              <w:rPr>
                <w:sz w:val="18"/>
              </w:rPr>
            </w:pPr>
            <w:r>
              <w:rPr>
                <w:sz w:val="18"/>
              </w:rPr>
              <w:t>3.38</w:t>
            </w:r>
          </w:p>
        </w:tc>
        <w:tc>
          <w:tcPr>
            <w:tcW w:w="1165" w:type="dxa"/>
          </w:tcPr>
          <w:p w:rsidR="007C5447" w:rsidRDefault="00F6308C">
            <w:pPr>
              <w:pStyle w:val="TableParagraph"/>
              <w:spacing w:before="71"/>
              <w:ind w:right="96"/>
              <w:rPr>
                <w:sz w:val="18"/>
              </w:rPr>
            </w:pPr>
            <w:r>
              <w:rPr>
                <w:sz w:val="18"/>
              </w:rPr>
              <w:t>3.63</w:t>
            </w:r>
          </w:p>
        </w:tc>
        <w:tc>
          <w:tcPr>
            <w:tcW w:w="1496" w:type="dxa"/>
          </w:tcPr>
          <w:p w:rsidR="007C5447" w:rsidRDefault="00F6308C">
            <w:pPr>
              <w:pStyle w:val="TableParagraph"/>
              <w:spacing w:before="71"/>
              <w:ind w:right="96"/>
              <w:rPr>
                <w:sz w:val="18"/>
              </w:rPr>
            </w:pPr>
            <w:r>
              <w:rPr>
                <w:sz w:val="18"/>
              </w:rPr>
              <w:t>3.93</w:t>
            </w:r>
          </w:p>
        </w:tc>
        <w:tc>
          <w:tcPr>
            <w:tcW w:w="1342" w:type="dxa"/>
          </w:tcPr>
          <w:p w:rsidR="007C5447" w:rsidRDefault="00F6308C">
            <w:pPr>
              <w:pStyle w:val="TableParagraph"/>
              <w:spacing w:before="71"/>
              <w:ind w:right="102"/>
              <w:rPr>
                <w:sz w:val="18"/>
              </w:rPr>
            </w:pPr>
            <w:r>
              <w:rPr>
                <w:sz w:val="18"/>
              </w:rPr>
              <w:t>4.11</w:t>
            </w:r>
          </w:p>
        </w:tc>
      </w:tr>
      <w:tr w:rsidR="007C5447">
        <w:trPr>
          <w:trHeight w:val="347"/>
        </w:trPr>
        <w:tc>
          <w:tcPr>
            <w:tcW w:w="2163" w:type="dxa"/>
          </w:tcPr>
          <w:p w:rsidR="007C5447" w:rsidRDefault="00F6308C">
            <w:pPr>
              <w:pStyle w:val="TableParagraph"/>
              <w:spacing w:before="71"/>
              <w:ind w:left="107"/>
              <w:jc w:val="left"/>
              <w:rPr>
                <w:sz w:val="18"/>
              </w:rPr>
            </w:pPr>
            <w:r>
              <w:rPr>
                <w:sz w:val="18"/>
              </w:rPr>
              <w:t>Mettur Stage III TPS</w:t>
            </w:r>
          </w:p>
        </w:tc>
        <w:tc>
          <w:tcPr>
            <w:tcW w:w="1164" w:type="dxa"/>
          </w:tcPr>
          <w:p w:rsidR="007C5447" w:rsidRDefault="00F6308C">
            <w:pPr>
              <w:pStyle w:val="TableParagraph"/>
              <w:spacing w:before="71"/>
              <w:ind w:right="96"/>
              <w:rPr>
                <w:sz w:val="18"/>
              </w:rPr>
            </w:pPr>
            <w:r>
              <w:rPr>
                <w:w w:val="99"/>
                <w:sz w:val="18"/>
              </w:rPr>
              <w:t>-</w:t>
            </w:r>
          </w:p>
        </w:tc>
        <w:tc>
          <w:tcPr>
            <w:tcW w:w="1258" w:type="dxa"/>
          </w:tcPr>
          <w:p w:rsidR="007C5447" w:rsidRDefault="00F6308C">
            <w:pPr>
              <w:pStyle w:val="TableParagraph"/>
              <w:spacing w:before="71"/>
              <w:ind w:right="96"/>
              <w:rPr>
                <w:sz w:val="18"/>
              </w:rPr>
            </w:pPr>
            <w:r>
              <w:rPr>
                <w:w w:val="99"/>
                <w:sz w:val="18"/>
              </w:rPr>
              <w:t>-</w:t>
            </w:r>
          </w:p>
        </w:tc>
        <w:tc>
          <w:tcPr>
            <w:tcW w:w="1332" w:type="dxa"/>
          </w:tcPr>
          <w:p w:rsidR="007C5447" w:rsidRDefault="00F6308C">
            <w:pPr>
              <w:pStyle w:val="TableParagraph"/>
              <w:spacing w:before="71"/>
              <w:ind w:right="96"/>
              <w:rPr>
                <w:sz w:val="18"/>
              </w:rPr>
            </w:pPr>
            <w:r>
              <w:rPr>
                <w:w w:val="99"/>
                <w:sz w:val="18"/>
              </w:rPr>
              <w:t>-</w:t>
            </w:r>
          </w:p>
        </w:tc>
        <w:tc>
          <w:tcPr>
            <w:tcW w:w="1313" w:type="dxa"/>
          </w:tcPr>
          <w:p w:rsidR="007C5447" w:rsidRDefault="00F6308C">
            <w:pPr>
              <w:pStyle w:val="TableParagraph"/>
              <w:spacing w:before="71"/>
              <w:ind w:right="96"/>
              <w:rPr>
                <w:sz w:val="18"/>
              </w:rPr>
            </w:pPr>
            <w:r>
              <w:rPr>
                <w:w w:val="99"/>
                <w:sz w:val="18"/>
              </w:rPr>
              <w:t>-</w:t>
            </w:r>
          </w:p>
        </w:tc>
        <w:tc>
          <w:tcPr>
            <w:tcW w:w="1498" w:type="dxa"/>
          </w:tcPr>
          <w:p w:rsidR="007C5447" w:rsidRDefault="00F6308C">
            <w:pPr>
              <w:pStyle w:val="TableParagraph"/>
              <w:spacing w:before="71"/>
              <w:ind w:right="96"/>
              <w:rPr>
                <w:sz w:val="18"/>
              </w:rPr>
            </w:pPr>
            <w:r>
              <w:rPr>
                <w:w w:val="99"/>
                <w:sz w:val="18"/>
              </w:rPr>
              <w:t>-</w:t>
            </w:r>
          </w:p>
        </w:tc>
        <w:tc>
          <w:tcPr>
            <w:tcW w:w="1332" w:type="dxa"/>
          </w:tcPr>
          <w:p w:rsidR="007C5447" w:rsidRDefault="00F6308C">
            <w:pPr>
              <w:pStyle w:val="TableParagraph"/>
              <w:spacing w:before="71"/>
              <w:ind w:right="96"/>
              <w:rPr>
                <w:sz w:val="18"/>
              </w:rPr>
            </w:pPr>
            <w:r>
              <w:rPr>
                <w:w w:val="99"/>
                <w:sz w:val="18"/>
              </w:rPr>
              <w:t>-</w:t>
            </w:r>
          </w:p>
        </w:tc>
        <w:tc>
          <w:tcPr>
            <w:tcW w:w="1165" w:type="dxa"/>
          </w:tcPr>
          <w:p w:rsidR="007C5447" w:rsidRDefault="00F6308C">
            <w:pPr>
              <w:pStyle w:val="TableParagraph"/>
              <w:spacing w:before="71"/>
              <w:ind w:right="95"/>
              <w:rPr>
                <w:sz w:val="18"/>
              </w:rPr>
            </w:pPr>
            <w:r>
              <w:rPr>
                <w:sz w:val="18"/>
              </w:rPr>
              <w:t>3.44</w:t>
            </w:r>
          </w:p>
        </w:tc>
        <w:tc>
          <w:tcPr>
            <w:tcW w:w="1496" w:type="dxa"/>
          </w:tcPr>
          <w:p w:rsidR="007C5447" w:rsidRDefault="00F6308C">
            <w:pPr>
              <w:pStyle w:val="TableParagraph"/>
              <w:spacing w:before="71"/>
              <w:ind w:right="96"/>
              <w:rPr>
                <w:sz w:val="18"/>
              </w:rPr>
            </w:pPr>
            <w:r>
              <w:rPr>
                <w:sz w:val="18"/>
              </w:rPr>
              <w:t>3.85</w:t>
            </w:r>
          </w:p>
        </w:tc>
        <w:tc>
          <w:tcPr>
            <w:tcW w:w="1342" w:type="dxa"/>
          </w:tcPr>
          <w:p w:rsidR="007C5447" w:rsidRDefault="00F6308C">
            <w:pPr>
              <w:pStyle w:val="TableParagraph"/>
              <w:spacing w:before="71"/>
              <w:ind w:right="100"/>
              <w:rPr>
                <w:sz w:val="18"/>
              </w:rPr>
            </w:pPr>
            <w:r>
              <w:rPr>
                <w:w w:val="99"/>
                <w:sz w:val="18"/>
              </w:rPr>
              <w:t>-</w:t>
            </w:r>
          </w:p>
        </w:tc>
      </w:tr>
      <w:tr w:rsidR="007C5447">
        <w:trPr>
          <w:trHeight w:val="350"/>
        </w:trPr>
        <w:tc>
          <w:tcPr>
            <w:tcW w:w="2163" w:type="dxa"/>
          </w:tcPr>
          <w:p w:rsidR="007C5447" w:rsidRDefault="00F6308C">
            <w:pPr>
              <w:pStyle w:val="TableParagraph"/>
              <w:spacing w:before="71"/>
              <w:ind w:left="107"/>
              <w:jc w:val="left"/>
              <w:rPr>
                <w:sz w:val="18"/>
              </w:rPr>
            </w:pPr>
            <w:r>
              <w:rPr>
                <w:sz w:val="18"/>
              </w:rPr>
              <w:t>North Chennai TPS</w:t>
            </w:r>
          </w:p>
        </w:tc>
        <w:tc>
          <w:tcPr>
            <w:tcW w:w="1164" w:type="dxa"/>
          </w:tcPr>
          <w:p w:rsidR="007C5447" w:rsidRDefault="00F6308C">
            <w:pPr>
              <w:pStyle w:val="TableParagraph"/>
              <w:spacing w:before="71"/>
              <w:ind w:right="95"/>
              <w:rPr>
                <w:sz w:val="18"/>
              </w:rPr>
            </w:pPr>
            <w:r>
              <w:rPr>
                <w:sz w:val="18"/>
              </w:rPr>
              <w:t>2.15</w:t>
            </w:r>
          </w:p>
        </w:tc>
        <w:tc>
          <w:tcPr>
            <w:tcW w:w="1258" w:type="dxa"/>
          </w:tcPr>
          <w:p w:rsidR="007C5447" w:rsidRDefault="00F6308C">
            <w:pPr>
              <w:pStyle w:val="TableParagraph"/>
              <w:spacing w:before="71"/>
              <w:ind w:right="95"/>
              <w:rPr>
                <w:sz w:val="18"/>
              </w:rPr>
            </w:pPr>
            <w:r>
              <w:rPr>
                <w:sz w:val="18"/>
              </w:rPr>
              <w:t>2.36</w:t>
            </w:r>
          </w:p>
        </w:tc>
        <w:tc>
          <w:tcPr>
            <w:tcW w:w="1332" w:type="dxa"/>
          </w:tcPr>
          <w:p w:rsidR="007C5447" w:rsidRDefault="00F6308C">
            <w:pPr>
              <w:pStyle w:val="TableParagraph"/>
              <w:spacing w:before="71"/>
              <w:ind w:right="97"/>
              <w:rPr>
                <w:sz w:val="18"/>
              </w:rPr>
            </w:pPr>
            <w:r>
              <w:rPr>
                <w:sz w:val="18"/>
              </w:rPr>
              <w:t>2.53</w:t>
            </w:r>
          </w:p>
        </w:tc>
        <w:tc>
          <w:tcPr>
            <w:tcW w:w="1313" w:type="dxa"/>
          </w:tcPr>
          <w:p w:rsidR="007C5447" w:rsidRDefault="00F6308C">
            <w:pPr>
              <w:pStyle w:val="TableParagraph"/>
              <w:spacing w:before="71"/>
              <w:ind w:right="95"/>
              <w:rPr>
                <w:sz w:val="18"/>
              </w:rPr>
            </w:pPr>
            <w:r>
              <w:rPr>
                <w:sz w:val="18"/>
              </w:rPr>
              <w:t>2.65</w:t>
            </w:r>
          </w:p>
        </w:tc>
        <w:tc>
          <w:tcPr>
            <w:tcW w:w="1498" w:type="dxa"/>
          </w:tcPr>
          <w:p w:rsidR="007C5447" w:rsidRDefault="00F6308C">
            <w:pPr>
              <w:pStyle w:val="TableParagraph"/>
              <w:spacing w:before="71"/>
              <w:ind w:right="98"/>
              <w:rPr>
                <w:sz w:val="18"/>
              </w:rPr>
            </w:pPr>
            <w:r>
              <w:rPr>
                <w:sz w:val="18"/>
              </w:rPr>
              <w:t>2.74</w:t>
            </w:r>
          </w:p>
        </w:tc>
        <w:tc>
          <w:tcPr>
            <w:tcW w:w="1332" w:type="dxa"/>
          </w:tcPr>
          <w:p w:rsidR="007C5447" w:rsidRDefault="00F6308C">
            <w:pPr>
              <w:pStyle w:val="TableParagraph"/>
              <w:spacing w:before="71"/>
              <w:ind w:right="98"/>
              <w:rPr>
                <w:sz w:val="18"/>
              </w:rPr>
            </w:pPr>
            <w:r>
              <w:rPr>
                <w:sz w:val="18"/>
              </w:rPr>
              <w:t>2.86</w:t>
            </w:r>
          </w:p>
        </w:tc>
        <w:tc>
          <w:tcPr>
            <w:tcW w:w="1165" w:type="dxa"/>
          </w:tcPr>
          <w:p w:rsidR="007C5447" w:rsidRDefault="00F6308C">
            <w:pPr>
              <w:pStyle w:val="TableParagraph"/>
              <w:spacing w:before="71"/>
              <w:ind w:right="96"/>
              <w:rPr>
                <w:sz w:val="18"/>
              </w:rPr>
            </w:pPr>
            <w:r>
              <w:rPr>
                <w:sz w:val="18"/>
              </w:rPr>
              <w:t>2.67</w:t>
            </w:r>
          </w:p>
        </w:tc>
        <w:tc>
          <w:tcPr>
            <w:tcW w:w="1496" w:type="dxa"/>
          </w:tcPr>
          <w:p w:rsidR="007C5447" w:rsidRDefault="00F6308C">
            <w:pPr>
              <w:pStyle w:val="TableParagraph"/>
              <w:spacing w:before="71"/>
              <w:ind w:right="96"/>
              <w:rPr>
                <w:sz w:val="18"/>
              </w:rPr>
            </w:pPr>
            <w:r>
              <w:rPr>
                <w:sz w:val="18"/>
              </w:rPr>
              <w:t>3.13</w:t>
            </w:r>
          </w:p>
        </w:tc>
        <w:tc>
          <w:tcPr>
            <w:tcW w:w="1342" w:type="dxa"/>
          </w:tcPr>
          <w:p w:rsidR="007C5447" w:rsidRDefault="00F6308C">
            <w:pPr>
              <w:pStyle w:val="TableParagraph"/>
              <w:spacing w:before="71"/>
              <w:ind w:right="102"/>
              <w:rPr>
                <w:sz w:val="18"/>
              </w:rPr>
            </w:pPr>
            <w:r>
              <w:rPr>
                <w:sz w:val="18"/>
              </w:rPr>
              <w:t>2.92</w:t>
            </w:r>
          </w:p>
        </w:tc>
      </w:tr>
      <w:tr w:rsidR="007C5447">
        <w:trPr>
          <w:trHeight w:val="443"/>
        </w:trPr>
        <w:tc>
          <w:tcPr>
            <w:tcW w:w="2163" w:type="dxa"/>
          </w:tcPr>
          <w:p w:rsidR="007C5447" w:rsidRDefault="00F6308C">
            <w:pPr>
              <w:pStyle w:val="TableParagraph"/>
              <w:spacing w:before="17" w:line="206" w:lineRule="exact"/>
              <w:ind w:left="107" w:right="351"/>
              <w:jc w:val="left"/>
              <w:rPr>
                <w:sz w:val="18"/>
              </w:rPr>
            </w:pPr>
            <w:r>
              <w:rPr>
                <w:sz w:val="18"/>
              </w:rPr>
              <w:t>North Chennai Stage II TPS</w:t>
            </w:r>
          </w:p>
        </w:tc>
        <w:tc>
          <w:tcPr>
            <w:tcW w:w="1164" w:type="dxa"/>
          </w:tcPr>
          <w:p w:rsidR="007C5447" w:rsidRDefault="00F6308C">
            <w:pPr>
              <w:pStyle w:val="TableParagraph"/>
              <w:spacing w:before="117"/>
              <w:ind w:right="96"/>
              <w:rPr>
                <w:sz w:val="18"/>
              </w:rPr>
            </w:pPr>
            <w:r>
              <w:rPr>
                <w:w w:val="99"/>
                <w:sz w:val="18"/>
              </w:rPr>
              <w:t>-</w:t>
            </w:r>
          </w:p>
        </w:tc>
        <w:tc>
          <w:tcPr>
            <w:tcW w:w="1258" w:type="dxa"/>
          </w:tcPr>
          <w:p w:rsidR="007C5447" w:rsidRDefault="00F6308C">
            <w:pPr>
              <w:pStyle w:val="TableParagraph"/>
              <w:spacing w:before="117"/>
              <w:ind w:right="96"/>
              <w:rPr>
                <w:sz w:val="18"/>
              </w:rPr>
            </w:pPr>
            <w:r>
              <w:rPr>
                <w:w w:val="99"/>
                <w:sz w:val="18"/>
              </w:rPr>
              <w:t>-</w:t>
            </w:r>
          </w:p>
        </w:tc>
        <w:tc>
          <w:tcPr>
            <w:tcW w:w="1332" w:type="dxa"/>
          </w:tcPr>
          <w:p w:rsidR="007C5447" w:rsidRDefault="00F6308C">
            <w:pPr>
              <w:pStyle w:val="TableParagraph"/>
              <w:spacing w:before="117"/>
              <w:ind w:right="96"/>
              <w:rPr>
                <w:sz w:val="18"/>
              </w:rPr>
            </w:pPr>
            <w:r>
              <w:rPr>
                <w:w w:val="99"/>
                <w:sz w:val="18"/>
              </w:rPr>
              <w:t>-</w:t>
            </w:r>
          </w:p>
        </w:tc>
        <w:tc>
          <w:tcPr>
            <w:tcW w:w="1313" w:type="dxa"/>
          </w:tcPr>
          <w:p w:rsidR="007C5447" w:rsidRDefault="00F6308C">
            <w:pPr>
              <w:pStyle w:val="TableParagraph"/>
              <w:spacing w:before="117"/>
              <w:ind w:right="96"/>
              <w:rPr>
                <w:sz w:val="18"/>
              </w:rPr>
            </w:pPr>
            <w:r>
              <w:rPr>
                <w:w w:val="99"/>
                <w:sz w:val="18"/>
              </w:rPr>
              <w:t>-</w:t>
            </w:r>
          </w:p>
        </w:tc>
        <w:tc>
          <w:tcPr>
            <w:tcW w:w="1498" w:type="dxa"/>
          </w:tcPr>
          <w:p w:rsidR="007C5447" w:rsidRDefault="00F6308C">
            <w:pPr>
              <w:pStyle w:val="TableParagraph"/>
              <w:spacing w:before="117"/>
              <w:ind w:right="96"/>
              <w:rPr>
                <w:sz w:val="18"/>
              </w:rPr>
            </w:pPr>
            <w:r>
              <w:rPr>
                <w:w w:val="99"/>
                <w:sz w:val="18"/>
              </w:rPr>
              <w:t>-</w:t>
            </w:r>
          </w:p>
        </w:tc>
        <w:tc>
          <w:tcPr>
            <w:tcW w:w="1332" w:type="dxa"/>
          </w:tcPr>
          <w:p w:rsidR="007C5447" w:rsidRDefault="00F6308C">
            <w:pPr>
              <w:pStyle w:val="TableParagraph"/>
              <w:spacing w:before="117"/>
              <w:ind w:right="96"/>
              <w:rPr>
                <w:sz w:val="18"/>
              </w:rPr>
            </w:pPr>
            <w:r>
              <w:rPr>
                <w:w w:val="99"/>
                <w:sz w:val="18"/>
              </w:rPr>
              <w:t>-</w:t>
            </w:r>
          </w:p>
        </w:tc>
        <w:tc>
          <w:tcPr>
            <w:tcW w:w="1165" w:type="dxa"/>
          </w:tcPr>
          <w:p w:rsidR="007C5447" w:rsidRDefault="00F6308C">
            <w:pPr>
              <w:pStyle w:val="TableParagraph"/>
              <w:spacing w:before="117"/>
              <w:ind w:right="96"/>
              <w:rPr>
                <w:sz w:val="18"/>
              </w:rPr>
            </w:pPr>
            <w:r>
              <w:rPr>
                <w:w w:val="99"/>
                <w:sz w:val="18"/>
              </w:rPr>
              <w:t>-</w:t>
            </w:r>
          </w:p>
        </w:tc>
        <w:tc>
          <w:tcPr>
            <w:tcW w:w="1496" w:type="dxa"/>
          </w:tcPr>
          <w:p w:rsidR="007C5447" w:rsidRDefault="00F6308C">
            <w:pPr>
              <w:pStyle w:val="TableParagraph"/>
              <w:spacing w:before="117"/>
              <w:ind w:right="95"/>
              <w:rPr>
                <w:sz w:val="18"/>
              </w:rPr>
            </w:pPr>
            <w:r>
              <w:rPr>
                <w:w w:val="99"/>
                <w:sz w:val="18"/>
              </w:rPr>
              <w:t>-</w:t>
            </w:r>
          </w:p>
        </w:tc>
        <w:tc>
          <w:tcPr>
            <w:tcW w:w="1342" w:type="dxa"/>
          </w:tcPr>
          <w:p w:rsidR="007C5447" w:rsidRDefault="00F6308C">
            <w:pPr>
              <w:pStyle w:val="TableParagraph"/>
              <w:spacing w:before="117"/>
              <w:ind w:right="100"/>
              <w:rPr>
                <w:sz w:val="18"/>
              </w:rPr>
            </w:pPr>
            <w:r>
              <w:rPr>
                <w:w w:val="99"/>
                <w:sz w:val="18"/>
              </w:rPr>
              <w:t>-</w:t>
            </w:r>
          </w:p>
        </w:tc>
      </w:tr>
      <w:tr w:rsidR="007C5447">
        <w:trPr>
          <w:trHeight w:val="383"/>
        </w:trPr>
        <w:tc>
          <w:tcPr>
            <w:tcW w:w="2163" w:type="dxa"/>
            <w:shd w:val="clear" w:color="auto" w:fill="D9D9D9"/>
          </w:tcPr>
          <w:p w:rsidR="007C5447" w:rsidRDefault="00F6308C">
            <w:pPr>
              <w:pStyle w:val="TableParagraph"/>
              <w:spacing w:before="88"/>
              <w:ind w:left="107"/>
              <w:jc w:val="left"/>
              <w:rPr>
                <w:b/>
                <w:sz w:val="18"/>
              </w:rPr>
            </w:pPr>
            <w:r>
              <w:rPr>
                <w:b/>
                <w:sz w:val="18"/>
              </w:rPr>
              <w:t>Gas</w:t>
            </w:r>
          </w:p>
        </w:tc>
        <w:tc>
          <w:tcPr>
            <w:tcW w:w="1164" w:type="dxa"/>
            <w:shd w:val="clear" w:color="auto" w:fill="D9D9D9"/>
          </w:tcPr>
          <w:p w:rsidR="007C5447" w:rsidRDefault="007C5447">
            <w:pPr>
              <w:pStyle w:val="TableParagraph"/>
              <w:jc w:val="left"/>
              <w:rPr>
                <w:sz w:val="18"/>
              </w:rPr>
            </w:pPr>
          </w:p>
        </w:tc>
        <w:tc>
          <w:tcPr>
            <w:tcW w:w="1258" w:type="dxa"/>
            <w:shd w:val="clear" w:color="auto" w:fill="D9D9D9"/>
          </w:tcPr>
          <w:p w:rsidR="007C5447" w:rsidRDefault="007C5447">
            <w:pPr>
              <w:pStyle w:val="TableParagraph"/>
              <w:jc w:val="left"/>
              <w:rPr>
                <w:sz w:val="18"/>
              </w:rPr>
            </w:pPr>
          </w:p>
        </w:tc>
        <w:tc>
          <w:tcPr>
            <w:tcW w:w="1332" w:type="dxa"/>
            <w:shd w:val="clear" w:color="auto" w:fill="D9D9D9"/>
          </w:tcPr>
          <w:p w:rsidR="007C5447" w:rsidRDefault="007C5447">
            <w:pPr>
              <w:pStyle w:val="TableParagraph"/>
              <w:jc w:val="left"/>
              <w:rPr>
                <w:sz w:val="18"/>
              </w:rPr>
            </w:pPr>
          </w:p>
        </w:tc>
        <w:tc>
          <w:tcPr>
            <w:tcW w:w="1313" w:type="dxa"/>
            <w:shd w:val="clear" w:color="auto" w:fill="D9D9D9"/>
          </w:tcPr>
          <w:p w:rsidR="007C5447" w:rsidRDefault="007C5447">
            <w:pPr>
              <w:pStyle w:val="TableParagraph"/>
              <w:jc w:val="left"/>
              <w:rPr>
                <w:sz w:val="18"/>
              </w:rPr>
            </w:pPr>
          </w:p>
        </w:tc>
        <w:tc>
          <w:tcPr>
            <w:tcW w:w="1498" w:type="dxa"/>
            <w:shd w:val="clear" w:color="auto" w:fill="D9D9D9"/>
          </w:tcPr>
          <w:p w:rsidR="007C5447" w:rsidRDefault="007C5447">
            <w:pPr>
              <w:pStyle w:val="TableParagraph"/>
              <w:jc w:val="left"/>
              <w:rPr>
                <w:sz w:val="18"/>
              </w:rPr>
            </w:pPr>
          </w:p>
        </w:tc>
        <w:tc>
          <w:tcPr>
            <w:tcW w:w="1332" w:type="dxa"/>
            <w:shd w:val="clear" w:color="auto" w:fill="D9D9D9"/>
          </w:tcPr>
          <w:p w:rsidR="007C5447" w:rsidRDefault="007C5447">
            <w:pPr>
              <w:pStyle w:val="TableParagraph"/>
              <w:jc w:val="left"/>
              <w:rPr>
                <w:sz w:val="18"/>
              </w:rPr>
            </w:pPr>
          </w:p>
        </w:tc>
        <w:tc>
          <w:tcPr>
            <w:tcW w:w="1165" w:type="dxa"/>
            <w:shd w:val="clear" w:color="auto" w:fill="D9D9D9"/>
          </w:tcPr>
          <w:p w:rsidR="007C5447" w:rsidRDefault="007C5447">
            <w:pPr>
              <w:pStyle w:val="TableParagraph"/>
              <w:jc w:val="left"/>
              <w:rPr>
                <w:sz w:val="18"/>
              </w:rPr>
            </w:pPr>
          </w:p>
        </w:tc>
        <w:tc>
          <w:tcPr>
            <w:tcW w:w="1496" w:type="dxa"/>
            <w:shd w:val="clear" w:color="auto" w:fill="D9D9D9"/>
          </w:tcPr>
          <w:p w:rsidR="007C5447" w:rsidRDefault="007C5447">
            <w:pPr>
              <w:pStyle w:val="TableParagraph"/>
              <w:jc w:val="left"/>
              <w:rPr>
                <w:sz w:val="18"/>
              </w:rPr>
            </w:pPr>
          </w:p>
        </w:tc>
        <w:tc>
          <w:tcPr>
            <w:tcW w:w="1342" w:type="dxa"/>
            <w:shd w:val="clear" w:color="auto" w:fill="D9D9D9"/>
          </w:tcPr>
          <w:p w:rsidR="007C5447" w:rsidRDefault="007C5447">
            <w:pPr>
              <w:pStyle w:val="TableParagraph"/>
              <w:jc w:val="left"/>
              <w:rPr>
                <w:sz w:val="18"/>
              </w:rPr>
            </w:pPr>
          </w:p>
        </w:tc>
      </w:tr>
      <w:tr w:rsidR="007C5447">
        <w:trPr>
          <w:trHeight w:val="347"/>
        </w:trPr>
        <w:tc>
          <w:tcPr>
            <w:tcW w:w="2163" w:type="dxa"/>
          </w:tcPr>
          <w:p w:rsidR="007C5447" w:rsidRDefault="00F6308C">
            <w:pPr>
              <w:pStyle w:val="TableParagraph"/>
              <w:spacing w:before="69"/>
              <w:ind w:left="107"/>
              <w:jc w:val="left"/>
              <w:rPr>
                <w:sz w:val="18"/>
              </w:rPr>
            </w:pPr>
            <w:r>
              <w:rPr>
                <w:sz w:val="18"/>
              </w:rPr>
              <w:t>Tirumakottai GTPS</w:t>
            </w:r>
          </w:p>
        </w:tc>
        <w:tc>
          <w:tcPr>
            <w:tcW w:w="1164" w:type="dxa"/>
          </w:tcPr>
          <w:p w:rsidR="007C5447" w:rsidRDefault="00F6308C">
            <w:pPr>
              <w:pStyle w:val="TableParagraph"/>
              <w:spacing w:before="69"/>
              <w:ind w:right="95"/>
              <w:rPr>
                <w:sz w:val="18"/>
              </w:rPr>
            </w:pPr>
            <w:r>
              <w:rPr>
                <w:sz w:val="18"/>
              </w:rPr>
              <w:t>1.79</w:t>
            </w:r>
          </w:p>
        </w:tc>
        <w:tc>
          <w:tcPr>
            <w:tcW w:w="1258" w:type="dxa"/>
          </w:tcPr>
          <w:p w:rsidR="007C5447" w:rsidRDefault="00F6308C">
            <w:pPr>
              <w:pStyle w:val="TableParagraph"/>
              <w:spacing w:before="69"/>
              <w:ind w:right="95"/>
              <w:rPr>
                <w:sz w:val="18"/>
              </w:rPr>
            </w:pPr>
            <w:r>
              <w:rPr>
                <w:sz w:val="18"/>
              </w:rPr>
              <w:t>1.74</w:t>
            </w:r>
          </w:p>
        </w:tc>
        <w:tc>
          <w:tcPr>
            <w:tcW w:w="1332" w:type="dxa"/>
          </w:tcPr>
          <w:p w:rsidR="007C5447" w:rsidRDefault="00F6308C">
            <w:pPr>
              <w:pStyle w:val="TableParagraph"/>
              <w:spacing w:before="69"/>
              <w:ind w:right="97"/>
              <w:rPr>
                <w:sz w:val="18"/>
              </w:rPr>
            </w:pPr>
            <w:r>
              <w:rPr>
                <w:sz w:val="18"/>
              </w:rPr>
              <w:t>1.66</w:t>
            </w:r>
          </w:p>
        </w:tc>
        <w:tc>
          <w:tcPr>
            <w:tcW w:w="1313" w:type="dxa"/>
          </w:tcPr>
          <w:p w:rsidR="007C5447" w:rsidRDefault="00F6308C">
            <w:pPr>
              <w:pStyle w:val="TableParagraph"/>
              <w:spacing w:before="69"/>
              <w:ind w:right="95"/>
              <w:rPr>
                <w:sz w:val="18"/>
              </w:rPr>
            </w:pPr>
            <w:r>
              <w:rPr>
                <w:sz w:val="18"/>
              </w:rPr>
              <w:t>1.87</w:t>
            </w:r>
          </w:p>
        </w:tc>
        <w:tc>
          <w:tcPr>
            <w:tcW w:w="1498" w:type="dxa"/>
          </w:tcPr>
          <w:p w:rsidR="007C5447" w:rsidRDefault="00F6308C">
            <w:pPr>
              <w:pStyle w:val="TableParagraph"/>
              <w:spacing w:before="69"/>
              <w:ind w:right="98"/>
              <w:rPr>
                <w:sz w:val="18"/>
              </w:rPr>
            </w:pPr>
            <w:r>
              <w:rPr>
                <w:sz w:val="18"/>
              </w:rPr>
              <w:t>1.91</w:t>
            </w:r>
          </w:p>
        </w:tc>
        <w:tc>
          <w:tcPr>
            <w:tcW w:w="1332" w:type="dxa"/>
          </w:tcPr>
          <w:p w:rsidR="007C5447" w:rsidRDefault="00F6308C">
            <w:pPr>
              <w:pStyle w:val="TableParagraph"/>
              <w:spacing w:before="69"/>
              <w:ind w:right="98"/>
              <w:rPr>
                <w:sz w:val="18"/>
              </w:rPr>
            </w:pPr>
            <w:r>
              <w:rPr>
                <w:sz w:val="18"/>
              </w:rPr>
              <w:t>1.85</w:t>
            </w:r>
          </w:p>
        </w:tc>
        <w:tc>
          <w:tcPr>
            <w:tcW w:w="1165" w:type="dxa"/>
          </w:tcPr>
          <w:p w:rsidR="007C5447" w:rsidRDefault="00F6308C">
            <w:pPr>
              <w:pStyle w:val="TableParagraph"/>
              <w:spacing w:before="69"/>
              <w:ind w:right="95"/>
              <w:rPr>
                <w:sz w:val="18"/>
              </w:rPr>
            </w:pPr>
            <w:r>
              <w:rPr>
                <w:sz w:val="18"/>
              </w:rPr>
              <w:t>2.26</w:t>
            </w:r>
          </w:p>
        </w:tc>
        <w:tc>
          <w:tcPr>
            <w:tcW w:w="1496" w:type="dxa"/>
          </w:tcPr>
          <w:p w:rsidR="007C5447" w:rsidRDefault="00F6308C">
            <w:pPr>
              <w:pStyle w:val="TableParagraph"/>
              <w:spacing w:before="69"/>
              <w:ind w:right="96"/>
              <w:rPr>
                <w:sz w:val="18"/>
              </w:rPr>
            </w:pPr>
            <w:r>
              <w:rPr>
                <w:sz w:val="18"/>
              </w:rPr>
              <w:t>2.41</w:t>
            </w:r>
          </w:p>
        </w:tc>
        <w:tc>
          <w:tcPr>
            <w:tcW w:w="1342" w:type="dxa"/>
          </w:tcPr>
          <w:p w:rsidR="007C5447" w:rsidRDefault="00F6308C">
            <w:pPr>
              <w:pStyle w:val="TableParagraph"/>
              <w:spacing w:before="69"/>
              <w:ind w:right="102"/>
              <w:rPr>
                <w:sz w:val="18"/>
              </w:rPr>
            </w:pPr>
            <w:r>
              <w:rPr>
                <w:sz w:val="18"/>
              </w:rPr>
              <w:t>1.95</w:t>
            </w:r>
          </w:p>
        </w:tc>
      </w:tr>
      <w:tr w:rsidR="007C5447">
        <w:trPr>
          <w:trHeight w:val="347"/>
        </w:trPr>
        <w:tc>
          <w:tcPr>
            <w:tcW w:w="2163" w:type="dxa"/>
          </w:tcPr>
          <w:p w:rsidR="007C5447" w:rsidRDefault="00F6308C">
            <w:pPr>
              <w:pStyle w:val="TableParagraph"/>
              <w:spacing w:before="72"/>
              <w:ind w:left="107"/>
              <w:jc w:val="left"/>
              <w:rPr>
                <w:sz w:val="18"/>
              </w:rPr>
            </w:pPr>
            <w:r>
              <w:rPr>
                <w:sz w:val="18"/>
              </w:rPr>
              <w:t>Kuttalam GTPS</w:t>
            </w:r>
          </w:p>
        </w:tc>
        <w:tc>
          <w:tcPr>
            <w:tcW w:w="1164" w:type="dxa"/>
          </w:tcPr>
          <w:p w:rsidR="007C5447" w:rsidRDefault="00F6308C">
            <w:pPr>
              <w:pStyle w:val="TableParagraph"/>
              <w:spacing w:before="72"/>
              <w:ind w:right="95"/>
              <w:rPr>
                <w:sz w:val="18"/>
              </w:rPr>
            </w:pPr>
            <w:r>
              <w:rPr>
                <w:sz w:val="18"/>
              </w:rPr>
              <w:t>1.81</w:t>
            </w:r>
          </w:p>
        </w:tc>
        <w:tc>
          <w:tcPr>
            <w:tcW w:w="1258" w:type="dxa"/>
          </w:tcPr>
          <w:p w:rsidR="007C5447" w:rsidRDefault="00F6308C">
            <w:pPr>
              <w:pStyle w:val="TableParagraph"/>
              <w:spacing w:before="72"/>
              <w:ind w:right="95"/>
              <w:rPr>
                <w:sz w:val="18"/>
              </w:rPr>
            </w:pPr>
            <w:r>
              <w:rPr>
                <w:sz w:val="18"/>
              </w:rPr>
              <w:t>1.90</w:t>
            </w:r>
          </w:p>
        </w:tc>
        <w:tc>
          <w:tcPr>
            <w:tcW w:w="1332" w:type="dxa"/>
          </w:tcPr>
          <w:p w:rsidR="007C5447" w:rsidRDefault="00F6308C">
            <w:pPr>
              <w:pStyle w:val="TableParagraph"/>
              <w:spacing w:before="72"/>
              <w:ind w:right="97"/>
              <w:rPr>
                <w:sz w:val="18"/>
              </w:rPr>
            </w:pPr>
            <w:r>
              <w:rPr>
                <w:sz w:val="18"/>
              </w:rPr>
              <w:t>1.66</w:t>
            </w:r>
          </w:p>
        </w:tc>
        <w:tc>
          <w:tcPr>
            <w:tcW w:w="1313" w:type="dxa"/>
          </w:tcPr>
          <w:p w:rsidR="007C5447" w:rsidRDefault="00F6308C">
            <w:pPr>
              <w:pStyle w:val="TableParagraph"/>
              <w:spacing w:before="72"/>
              <w:ind w:right="95"/>
              <w:rPr>
                <w:sz w:val="18"/>
              </w:rPr>
            </w:pPr>
            <w:r>
              <w:rPr>
                <w:sz w:val="18"/>
              </w:rPr>
              <w:t>3.73</w:t>
            </w:r>
          </w:p>
        </w:tc>
        <w:tc>
          <w:tcPr>
            <w:tcW w:w="1498" w:type="dxa"/>
          </w:tcPr>
          <w:p w:rsidR="007C5447" w:rsidRDefault="00F6308C">
            <w:pPr>
              <w:pStyle w:val="TableParagraph"/>
              <w:spacing w:before="72"/>
              <w:ind w:right="98"/>
              <w:rPr>
                <w:sz w:val="18"/>
              </w:rPr>
            </w:pPr>
            <w:r>
              <w:rPr>
                <w:sz w:val="18"/>
              </w:rPr>
              <w:t>4.28</w:t>
            </w:r>
          </w:p>
        </w:tc>
        <w:tc>
          <w:tcPr>
            <w:tcW w:w="1332" w:type="dxa"/>
          </w:tcPr>
          <w:p w:rsidR="007C5447" w:rsidRDefault="00F6308C">
            <w:pPr>
              <w:pStyle w:val="TableParagraph"/>
              <w:spacing w:before="72"/>
              <w:ind w:right="98"/>
              <w:rPr>
                <w:sz w:val="18"/>
              </w:rPr>
            </w:pPr>
            <w:r>
              <w:rPr>
                <w:sz w:val="18"/>
              </w:rPr>
              <w:t>2.65</w:t>
            </w:r>
          </w:p>
        </w:tc>
        <w:tc>
          <w:tcPr>
            <w:tcW w:w="1165" w:type="dxa"/>
          </w:tcPr>
          <w:p w:rsidR="007C5447" w:rsidRDefault="00F6308C">
            <w:pPr>
              <w:pStyle w:val="TableParagraph"/>
              <w:spacing w:before="72"/>
              <w:ind w:right="96"/>
              <w:rPr>
                <w:sz w:val="18"/>
              </w:rPr>
            </w:pPr>
            <w:r>
              <w:rPr>
                <w:sz w:val="18"/>
              </w:rPr>
              <w:t>2.41</w:t>
            </w:r>
          </w:p>
        </w:tc>
        <w:tc>
          <w:tcPr>
            <w:tcW w:w="1496" w:type="dxa"/>
          </w:tcPr>
          <w:p w:rsidR="007C5447" w:rsidRDefault="00F6308C">
            <w:pPr>
              <w:pStyle w:val="TableParagraph"/>
              <w:spacing w:before="72"/>
              <w:ind w:right="96"/>
              <w:rPr>
                <w:sz w:val="18"/>
              </w:rPr>
            </w:pPr>
            <w:r>
              <w:rPr>
                <w:sz w:val="18"/>
              </w:rPr>
              <w:t>2.22</w:t>
            </w:r>
          </w:p>
        </w:tc>
        <w:tc>
          <w:tcPr>
            <w:tcW w:w="1342" w:type="dxa"/>
          </w:tcPr>
          <w:p w:rsidR="007C5447" w:rsidRDefault="00F6308C">
            <w:pPr>
              <w:pStyle w:val="TableParagraph"/>
              <w:spacing w:before="72"/>
              <w:ind w:right="102"/>
              <w:rPr>
                <w:sz w:val="18"/>
              </w:rPr>
            </w:pPr>
            <w:r>
              <w:rPr>
                <w:sz w:val="18"/>
              </w:rPr>
              <w:t>2.06</w:t>
            </w:r>
          </w:p>
        </w:tc>
      </w:tr>
      <w:tr w:rsidR="007C5447">
        <w:trPr>
          <w:trHeight w:val="347"/>
        </w:trPr>
        <w:tc>
          <w:tcPr>
            <w:tcW w:w="2163" w:type="dxa"/>
          </w:tcPr>
          <w:p w:rsidR="007C5447" w:rsidRDefault="00F6308C">
            <w:pPr>
              <w:pStyle w:val="TableParagraph"/>
              <w:spacing w:before="71"/>
              <w:ind w:left="107"/>
              <w:jc w:val="left"/>
              <w:rPr>
                <w:sz w:val="18"/>
              </w:rPr>
            </w:pPr>
            <w:r>
              <w:rPr>
                <w:sz w:val="18"/>
              </w:rPr>
              <w:t>Basin Bridge GTPS</w:t>
            </w:r>
          </w:p>
        </w:tc>
        <w:tc>
          <w:tcPr>
            <w:tcW w:w="1164" w:type="dxa"/>
          </w:tcPr>
          <w:p w:rsidR="007C5447" w:rsidRDefault="00F6308C">
            <w:pPr>
              <w:pStyle w:val="TableParagraph"/>
              <w:spacing w:before="71"/>
              <w:ind w:right="95"/>
              <w:rPr>
                <w:sz w:val="18"/>
              </w:rPr>
            </w:pPr>
            <w:r>
              <w:rPr>
                <w:sz w:val="18"/>
              </w:rPr>
              <w:t>16.74</w:t>
            </w:r>
          </w:p>
        </w:tc>
        <w:tc>
          <w:tcPr>
            <w:tcW w:w="1258" w:type="dxa"/>
          </w:tcPr>
          <w:p w:rsidR="007C5447" w:rsidRDefault="00F6308C">
            <w:pPr>
              <w:pStyle w:val="TableParagraph"/>
              <w:spacing w:before="71"/>
              <w:ind w:right="95"/>
              <w:rPr>
                <w:sz w:val="18"/>
              </w:rPr>
            </w:pPr>
            <w:r>
              <w:rPr>
                <w:sz w:val="18"/>
              </w:rPr>
              <w:t>16.93</w:t>
            </w:r>
          </w:p>
        </w:tc>
        <w:tc>
          <w:tcPr>
            <w:tcW w:w="1332" w:type="dxa"/>
          </w:tcPr>
          <w:p w:rsidR="007C5447" w:rsidRDefault="00F6308C">
            <w:pPr>
              <w:pStyle w:val="TableParagraph"/>
              <w:spacing w:before="71"/>
              <w:ind w:right="95"/>
              <w:rPr>
                <w:sz w:val="18"/>
              </w:rPr>
            </w:pPr>
            <w:r>
              <w:rPr>
                <w:sz w:val="18"/>
              </w:rPr>
              <w:t>16.88</w:t>
            </w:r>
          </w:p>
        </w:tc>
        <w:tc>
          <w:tcPr>
            <w:tcW w:w="1313" w:type="dxa"/>
          </w:tcPr>
          <w:p w:rsidR="007C5447" w:rsidRDefault="00F6308C">
            <w:pPr>
              <w:pStyle w:val="TableParagraph"/>
              <w:spacing w:before="71"/>
              <w:ind w:right="95"/>
              <w:rPr>
                <w:sz w:val="18"/>
              </w:rPr>
            </w:pPr>
            <w:r>
              <w:rPr>
                <w:sz w:val="18"/>
              </w:rPr>
              <w:t>18.73</w:t>
            </w:r>
          </w:p>
        </w:tc>
        <w:tc>
          <w:tcPr>
            <w:tcW w:w="1498" w:type="dxa"/>
          </w:tcPr>
          <w:p w:rsidR="007C5447" w:rsidRDefault="00F6308C">
            <w:pPr>
              <w:pStyle w:val="TableParagraph"/>
              <w:spacing w:before="71"/>
              <w:ind w:right="95"/>
              <w:rPr>
                <w:sz w:val="18"/>
              </w:rPr>
            </w:pPr>
            <w:r>
              <w:rPr>
                <w:sz w:val="18"/>
              </w:rPr>
              <w:t>24.86</w:t>
            </w:r>
          </w:p>
        </w:tc>
        <w:tc>
          <w:tcPr>
            <w:tcW w:w="1332" w:type="dxa"/>
          </w:tcPr>
          <w:p w:rsidR="007C5447" w:rsidRDefault="00F6308C">
            <w:pPr>
              <w:pStyle w:val="TableParagraph"/>
              <w:spacing w:before="71"/>
              <w:ind w:right="95"/>
              <w:rPr>
                <w:sz w:val="18"/>
              </w:rPr>
            </w:pPr>
            <w:r>
              <w:rPr>
                <w:sz w:val="18"/>
              </w:rPr>
              <w:t>20.85</w:t>
            </w:r>
          </w:p>
        </w:tc>
        <w:tc>
          <w:tcPr>
            <w:tcW w:w="1165" w:type="dxa"/>
          </w:tcPr>
          <w:p w:rsidR="007C5447" w:rsidRDefault="00F6308C">
            <w:pPr>
              <w:pStyle w:val="TableParagraph"/>
              <w:spacing w:before="71"/>
              <w:ind w:right="96"/>
              <w:rPr>
                <w:sz w:val="18"/>
              </w:rPr>
            </w:pPr>
            <w:r>
              <w:rPr>
                <w:sz w:val="18"/>
              </w:rPr>
              <w:t>21.25</w:t>
            </w:r>
          </w:p>
        </w:tc>
        <w:tc>
          <w:tcPr>
            <w:tcW w:w="1496" w:type="dxa"/>
          </w:tcPr>
          <w:p w:rsidR="007C5447" w:rsidRDefault="00F6308C">
            <w:pPr>
              <w:pStyle w:val="TableParagraph"/>
              <w:spacing w:before="71"/>
              <w:ind w:right="94"/>
              <w:rPr>
                <w:sz w:val="18"/>
              </w:rPr>
            </w:pPr>
            <w:r>
              <w:rPr>
                <w:sz w:val="18"/>
              </w:rPr>
              <w:t>19.59</w:t>
            </w:r>
          </w:p>
        </w:tc>
        <w:tc>
          <w:tcPr>
            <w:tcW w:w="1342" w:type="dxa"/>
          </w:tcPr>
          <w:p w:rsidR="007C5447" w:rsidRDefault="00F6308C">
            <w:pPr>
              <w:pStyle w:val="TableParagraph"/>
              <w:spacing w:before="71"/>
              <w:ind w:right="99"/>
              <w:rPr>
                <w:sz w:val="18"/>
              </w:rPr>
            </w:pPr>
            <w:r>
              <w:rPr>
                <w:sz w:val="18"/>
              </w:rPr>
              <w:t>17.37</w:t>
            </w:r>
          </w:p>
        </w:tc>
      </w:tr>
      <w:tr w:rsidR="007C5447">
        <w:trPr>
          <w:trHeight w:val="347"/>
        </w:trPr>
        <w:tc>
          <w:tcPr>
            <w:tcW w:w="2163" w:type="dxa"/>
          </w:tcPr>
          <w:p w:rsidR="007C5447" w:rsidRDefault="00F6308C">
            <w:pPr>
              <w:pStyle w:val="TableParagraph"/>
              <w:spacing w:before="71"/>
              <w:ind w:left="107"/>
              <w:jc w:val="left"/>
              <w:rPr>
                <w:sz w:val="18"/>
              </w:rPr>
            </w:pPr>
            <w:r>
              <w:rPr>
                <w:sz w:val="18"/>
              </w:rPr>
              <w:t>Valathur GTPS I</w:t>
            </w:r>
          </w:p>
        </w:tc>
        <w:tc>
          <w:tcPr>
            <w:tcW w:w="1164" w:type="dxa"/>
          </w:tcPr>
          <w:p w:rsidR="007C5447" w:rsidRDefault="00F6308C">
            <w:pPr>
              <w:pStyle w:val="TableParagraph"/>
              <w:spacing w:before="71"/>
              <w:ind w:right="95"/>
              <w:rPr>
                <w:sz w:val="18"/>
              </w:rPr>
            </w:pPr>
            <w:r>
              <w:rPr>
                <w:sz w:val="18"/>
              </w:rPr>
              <w:t>1.50</w:t>
            </w:r>
          </w:p>
        </w:tc>
        <w:tc>
          <w:tcPr>
            <w:tcW w:w="1258" w:type="dxa"/>
          </w:tcPr>
          <w:p w:rsidR="007C5447" w:rsidRDefault="00F6308C">
            <w:pPr>
              <w:pStyle w:val="TableParagraph"/>
              <w:spacing w:before="71"/>
              <w:ind w:right="95"/>
              <w:rPr>
                <w:sz w:val="18"/>
              </w:rPr>
            </w:pPr>
            <w:r>
              <w:rPr>
                <w:sz w:val="18"/>
              </w:rPr>
              <w:t>1.63</w:t>
            </w:r>
          </w:p>
        </w:tc>
        <w:tc>
          <w:tcPr>
            <w:tcW w:w="1332" w:type="dxa"/>
          </w:tcPr>
          <w:p w:rsidR="007C5447" w:rsidRDefault="00F6308C">
            <w:pPr>
              <w:pStyle w:val="TableParagraph"/>
              <w:spacing w:before="71"/>
              <w:ind w:right="97"/>
              <w:rPr>
                <w:sz w:val="18"/>
              </w:rPr>
            </w:pPr>
            <w:r>
              <w:rPr>
                <w:sz w:val="18"/>
              </w:rPr>
              <w:t>1.58</w:t>
            </w:r>
          </w:p>
        </w:tc>
        <w:tc>
          <w:tcPr>
            <w:tcW w:w="1313" w:type="dxa"/>
          </w:tcPr>
          <w:p w:rsidR="007C5447" w:rsidRDefault="00F6308C">
            <w:pPr>
              <w:pStyle w:val="TableParagraph"/>
              <w:spacing w:before="71"/>
              <w:ind w:right="96"/>
              <w:rPr>
                <w:sz w:val="18"/>
              </w:rPr>
            </w:pPr>
            <w:r>
              <w:rPr>
                <w:sz w:val="18"/>
              </w:rPr>
              <w:t>1.82</w:t>
            </w:r>
          </w:p>
        </w:tc>
        <w:tc>
          <w:tcPr>
            <w:tcW w:w="1498" w:type="dxa"/>
          </w:tcPr>
          <w:p w:rsidR="007C5447" w:rsidRDefault="00F6308C">
            <w:pPr>
              <w:pStyle w:val="TableParagraph"/>
              <w:spacing w:before="71"/>
              <w:ind w:right="98"/>
              <w:rPr>
                <w:sz w:val="18"/>
              </w:rPr>
            </w:pPr>
            <w:r>
              <w:rPr>
                <w:sz w:val="18"/>
              </w:rPr>
              <w:t>2.11</w:t>
            </w:r>
          </w:p>
        </w:tc>
        <w:tc>
          <w:tcPr>
            <w:tcW w:w="1332" w:type="dxa"/>
          </w:tcPr>
          <w:p w:rsidR="007C5447" w:rsidRDefault="00F6308C">
            <w:pPr>
              <w:pStyle w:val="TableParagraph"/>
              <w:spacing w:before="71"/>
              <w:ind w:right="98"/>
              <w:rPr>
                <w:sz w:val="18"/>
              </w:rPr>
            </w:pPr>
            <w:r>
              <w:rPr>
                <w:sz w:val="18"/>
              </w:rPr>
              <w:t>2.10</w:t>
            </w:r>
          </w:p>
        </w:tc>
        <w:tc>
          <w:tcPr>
            <w:tcW w:w="1165" w:type="dxa"/>
          </w:tcPr>
          <w:p w:rsidR="007C5447" w:rsidRDefault="00F6308C">
            <w:pPr>
              <w:pStyle w:val="TableParagraph"/>
              <w:spacing w:before="71"/>
              <w:ind w:right="96"/>
              <w:rPr>
                <w:sz w:val="18"/>
              </w:rPr>
            </w:pPr>
            <w:r>
              <w:rPr>
                <w:sz w:val="18"/>
              </w:rPr>
              <w:t>2.43</w:t>
            </w:r>
          </w:p>
        </w:tc>
        <w:tc>
          <w:tcPr>
            <w:tcW w:w="1496" w:type="dxa"/>
          </w:tcPr>
          <w:p w:rsidR="007C5447" w:rsidRDefault="00F6308C">
            <w:pPr>
              <w:pStyle w:val="TableParagraph"/>
              <w:spacing w:before="71"/>
              <w:ind w:right="96"/>
              <w:rPr>
                <w:sz w:val="18"/>
              </w:rPr>
            </w:pPr>
            <w:r>
              <w:rPr>
                <w:sz w:val="18"/>
              </w:rPr>
              <w:t>2.16</w:t>
            </w:r>
          </w:p>
        </w:tc>
        <w:tc>
          <w:tcPr>
            <w:tcW w:w="1342" w:type="dxa"/>
          </w:tcPr>
          <w:p w:rsidR="007C5447" w:rsidRDefault="00F6308C">
            <w:pPr>
              <w:pStyle w:val="TableParagraph"/>
              <w:spacing w:before="71"/>
              <w:ind w:right="102"/>
              <w:rPr>
                <w:sz w:val="18"/>
              </w:rPr>
            </w:pPr>
            <w:r>
              <w:rPr>
                <w:sz w:val="18"/>
              </w:rPr>
              <w:t>2.08</w:t>
            </w:r>
          </w:p>
        </w:tc>
      </w:tr>
      <w:tr w:rsidR="007C5447">
        <w:trPr>
          <w:trHeight w:val="350"/>
        </w:trPr>
        <w:tc>
          <w:tcPr>
            <w:tcW w:w="2163" w:type="dxa"/>
          </w:tcPr>
          <w:p w:rsidR="007C5447" w:rsidRDefault="00F6308C">
            <w:pPr>
              <w:pStyle w:val="TableParagraph"/>
              <w:spacing w:before="71"/>
              <w:ind w:left="107"/>
              <w:jc w:val="left"/>
              <w:rPr>
                <w:sz w:val="18"/>
              </w:rPr>
            </w:pPr>
            <w:r>
              <w:rPr>
                <w:sz w:val="18"/>
              </w:rPr>
              <w:t>Valathur GTPS II</w:t>
            </w:r>
          </w:p>
        </w:tc>
        <w:tc>
          <w:tcPr>
            <w:tcW w:w="1164" w:type="dxa"/>
          </w:tcPr>
          <w:p w:rsidR="007C5447" w:rsidRDefault="007C5447">
            <w:pPr>
              <w:pStyle w:val="TableParagraph"/>
              <w:jc w:val="left"/>
              <w:rPr>
                <w:sz w:val="18"/>
              </w:rPr>
            </w:pPr>
          </w:p>
        </w:tc>
        <w:tc>
          <w:tcPr>
            <w:tcW w:w="1258" w:type="dxa"/>
          </w:tcPr>
          <w:p w:rsidR="007C5447" w:rsidRDefault="00F6308C">
            <w:pPr>
              <w:pStyle w:val="TableParagraph"/>
              <w:spacing w:before="71"/>
              <w:ind w:right="95"/>
              <w:rPr>
                <w:sz w:val="18"/>
              </w:rPr>
            </w:pPr>
            <w:r>
              <w:rPr>
                <w:sz w:val="18"/>
              </w:rPr>
              <w:t>2.37</w:t>
            </w:r>
          </w:p>
        </w:tc>
        <w:tc>
          <w:tcPr>
            <w:tcW w:w="1332" w:type="dxa"/>
          </w:tcPr>
          <w:p w:rsidR="007C5447" w:rsidRDefault="007C5447">
            <w:pPr>
              <w:pStyle w:val="TableParagraph"/>
              <w:jc w:val="left"/>
              <w:rPr>
                <w:sz w:val="18"/>
              </w:rPr>
            </w:pPr>
          </w:p>
        </w:tc>
        <w:tc>
          <w:tcPr>
            <w:tcW w:w="1313" w:type="dxa"/>
          </w:tcPr>
          <w:p w:rsidR="007C5447" w:rsidRDefault="007C5447">
            <w:pPr>
              <w:pStyle w:val="TableParagraph"/>
              <w:jc w:val="left"/>
              <w:rPr>
                <w:sz w:val="18"/>
              </w:rPr>
            </w:pPr>
          </w:p>
        </w:tc>
        <w:tc>
          <w:tcPr>
            <w:tcW w:w="1498" w:type="dxa"/>
          </w:tcPr>
          <w:p w:rsidR="007C5447" w:rsidRDefault="00F6308C">
            <w:pPr>
              <w:pStyle w:val="TableParagraph"/>
              <w:spacing w:before="71"/>
              <w:ind w:right="95"/>
              <w:rPr>
                <w:sz w:val="18"/>
              </w:rPr>
            </w:pPr>
            <w:r>
              <w:rPr>
                <w:sz w:val="18"/>
              </w:rPr>
              <w:t>1.94</w:t>
            </w:r>
          </w:p>
        </w:tc>
        <w:tc>
          <w:tcPr>
            <w:tcW w:w="1332" w:type="dxa"/>
          </w:tcPr>
          <w:p w:rsidR="007C5447" w:rsidRDefault="007C5447">
            <w:pPr>
              <w:pStyle w:val="TableParagraph"/>
              <w:jc w:val="left"/>
              <w:rPr>
                <w:sz w:val="18"/>
              </w:rPr>
            </w:pPr>
          </w:p>
        </w:tc>
        <w:tc>
          <w:tcPr>
            <w:tcW w:w="1165" w:type="dxa"/>
          </w:tcPr>
          <w:p w:rsidR="007C5447" w:rsidRDefault="007C5447">
            <w:pPr>
              <w:pStyle w:val="TableParagraph"/>
              <w:jc w:val="left"/>
              <w:rPr>
                <w:sz w:val="18"/>
              </w:rPr>
            </w:pPr>
          </w:p>
        </w:tc>
        <w:tc>
          <w:tcPr>
            <w:tcW w:w="1496" w:type="dxa"/>
          </w:tcPr>
          <w:p w:rsidR="007C5447" w:rsidRDefault="00F6308C">
            <w:pPr>
              <w:pStyle w:val="TableParagraph"/>
              <w:spacing w:before="71"/>
              <w:ind w:right="94"/>
              <w:rPr>
                <w:sz w:val="18"/>
              </w:rPr>
            </w:pPr>
            <w:r>
              <w:rPr>
                <w:sz w:val="18"/>
              </w:rPr>
              <w:t>2.31</w:t>
            </w:r>
          </w:p>
        </w:tc>
        <w:tc>
          <w:tcPr>
            <w:tcW w:w="1342" w:type="dxa"/>
          </w:tcPr>
          <w:p w:rsidR="007C5447" w:rsidRDefault="007C5447">
            <w:pPr>
              <w:pStyle w:val="TableParagraph"/>
              <w:jc w:val="left"/>
              <w:rPr>
                <w:sz w:val="18"/>
              </w:rPr>
            </w:pPr>
          </w:p>
        </w:tc>
      </w:tr>
    </w:tbl>
    <w:p w:rsidR="007C5447" w:rsidRDefault="007C5447">
      <w:pPr>
        <w:rPr>
          <w:sz w:val="18"/>
        </w:rPr>
        <w:sectPr w:rsidR="007C5447">
          <w:pgSz w:w="16840" w:h="11910" w:orient="landscape"/>
          <w:pgMar w:top="1100" w:right="360" w:bottom="1240" w:left="1340" w:header="0" w:footer="1057" w:gutter="0"/>
          <w:cols w:space="720"/>
        </w:sectPr>
      </w:pPr>
    </w:p>
    <w:p w:rsidR="007C5447" w:rsidRDefault="007C5447">
      <w:pPr>
        <w:pStyle w:val="BodyText"/>
        <w:spacing w:before="2"/>
        <w:rPr>
          <w:b/>
          <w:sz w:val="21"/>
        </w:rPr>
      </w:pPr>
    </w:p>
    <w:p w:rsidR="007C5447" w:rsidRDefault="00F6308C">
      <w:pPr>
        <w:spacing w:before="91"/>
        <w:ind w:left="2443" w:right="1980"/>
        <w:jc w:val="center"/>
        <w:rPr>
          <w:b/>
        </w:rPr>
      </w:pPr>
      <w:r>
        <w:rPr>
          <w:b/>
        </w:rPr>
        <w:t>Table 3-64: Energy Charge approved by the Commission after true-up for FY 2014-15 and FY 2015-16 (Rs./kWh)</w:t>
      </w:r>
    </w:p>
    <w:p w:rsidR="007C5447" w:rsidRDefault="007C5447">
      <w:pPr>
        <w:pStyle w:val="BodyText"/>
        <w:spacing w:before="11"/>
        <w:rPr>
          <w:b/>
          <w:sz w:val="16"/>
        </w:rPr>
      </w:pPr>
    </w:p>
    <w:tbl>
      <w:tblPr>
        <w:tblW w:w="0" w:type="auto"/>
        <w:tblInd w:w="1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27"/>
        <w:gridCol w:w="1282"/>
        <w:gridCol w:w="1544"/>
        <w:gridCol w:w="1374"/>
        <w:gridCol w:w="1501"/>
        <w:gridCol w:w="1602"/>
        <w:gridCol w:w="1438"/>
      </w:tblGrid>
      <w:tr w:rsidR="007C5447">
        <w:trPr>
          <w:trHeight w:val="354"/>
        </w:trPr>
        <w:tc>
          <w:tcPr>
            <w:tcW w:w="3027" w:type="dxa"/>
            <w:vMerge w:val="restart"/>
            <w:shd w:val="clear" w:color="auto" w:fill="F7C9AC"/>
          </w:tcPr>
          <w:p w:rsidR="007C5447" w:rsidRDefault="007C5447">
            <w:pPr>
              <w:pStyle w:val="TableParagraph"/>
              <w:spacing w:before="1"/>
              <w:jc w:val="left"/>
              <w:rPr>
                <w:b/>
                <w:sz w:val="27"/>
              </w:rPr>
            </w:pPr>
          </w:p>
          <w:p w:rsidR="007C5447" w:rsidRDefault="00F6308C">
            <w:pPr>
              <w:pStyle w:val="TableParagraph"/>
              <w:spacing w:before="1"/>
              <w:ind w:left="996" w:right="991"/>
              <w:jc w:val="center"/>
              <w:rPr>
                <w:b/>
                <w:sz w:val="20"/>
              </w:rPr>
            </w:pPr>
            <w:r>
              <w:rPr>
                <w:b/>
                <w:sz w:val="20"/>
              </w:rPr>
              <w:t>Particulars</w:t>
            </w:r>
          </w:p>
        </w:tc>
        <w:tc>
          <w:tcPr>
            <w:tcW w:w="4200" w:type="dxa"/>
            <w:gridSpan w:val="3"/>
            <w:shd w:val="clear" w:color="auto" w:fill="F7C9AC"/>
          </w:tcPr>
          <w:p w:rsidR="007C5447" w:rsidRDefault="00F6308C">
            <w:pPr>
              <w:pStyle w:val="TableParagraph"/>
              <w:spacing w:before="62"/>
              <w:ind w:left="1596" w:right="1570"/>
              <w:jc w:val="center"/>
              <w:rPr>
                <w:b/>
                <w:sz w:val="20"/>
              </w:rPr>
            </w:pPr>
            <w:r>
              <w:rPr>
                <w:b/>
                <w:sz w:val="20"/>
              </w:rPr>
              <w:t>FY 2014-15</w:t>
            </w:r>
          </w:p>
        </w:tc>
        <w:tc>
          <w:tcPr>
            <w:tcW w:w="4541" w:type="dxa"/>
            <w:gridSpan w:val="3"/>
            <w:shd w:val="clear" w:color="auto" w:fill="F7C9AC"/>
          </w:tcPr>
          <w:p w:rsidR="007C5447" w:rsidRDefault="00F6308C">
            <w:pPr>
              <w:pStyle w:val="TableParagraph"/>
              <w:spacing w:before="62"/>
              <w:ind w:left="1762" w:right="1744"/>
              <w:jc w:val="center"/>
              <w:rPr>
                <w:b/>
                <w:sz w:val="20"/>
              </w:rPr>
            </w:pPr>
            <w:r>
              <w:rPr>
                <w:b/>
                <w:sz w:val="20"/>
              </w:rPr>
              <w:t>FY 2015-16</w:t>
            </w:r>
          </w:p>
        </w:tc>
      </w:tr>
      <w:tr w:rsidR="007C5447">
        <w:trPr>
          <w:trHeight w:val="489"/>
        </w:trPr>
        <w:tc>
          <w:tcPr>
            <w:tcW w:w="3027" w:type="dxa"/>
            <w:vMerge/>
            <w:tcBorders>
              <w:top w:val="nil"/>
            </w:tcBorders>
            <w:shd w:val="clear" w:color="auto" w:fill="F7C9AC"/>
          </w:tcPr>
          <w:p w:rsidR="007C5447" w:rsidRDefault="007C5447">
            <w:pPr>
              <w:rPr>
                <w:sz w:val="2"/>
                <w:szCs w:val="2"/>
              </w:rPr>
            </w:pPr>
          </w:p>
        </w:tc>
        <w:tc>
          <w:tcPr>
            <w:tcW w:w="1282" w:type="dxa"/>
            <w:shd w:val="clear" w:color="auto" w:fill="F7C9AC"/>
          </w:tcPr>
          <w:p w:rsidR="007C5447" w:rsidRDefault="00F6308C">
            <w:pPr>
              <w:pStyle w:val="TableParagraph"/>
              <w:spacing w:before="130"/>
              <w:ind w:right="151"/>
              <w:rPr>
                <w:b/>
                <w:sz w:val="18"/>
              </w:rPr>
            </w:pPr>
            <w:r>
              <w:rPr>
                <w:b/>
                <w:sz w:val="20"/>
              </w:rPr>
              <w:t xml:space="preserve">SMT </w:t>
            </w:r>
            <w:r>
              <w:rPr>
                <w:b/>
                <w:sz w:val="18"/>
              </w:rPr>
              <w:t>Order</w:t>
            </w:r>
          </w:p>
        </w:tc>
        <w:tc>
          <w:tcPr>
            <w:tcW w:w="1544" w:type="dxa"/>
            <w:shd w:val="clear" w:color="auto" w:fill="F7C9AC"/>
          </w:tcPr>
          <w:p w:rsidR="007C5447" w:rsidRDefault="00F6308C">
            <w:pPr>
              <w:pStyle w:val="TableParagraph"/>
              <w:spacing w:before="130"/>
              <w:ind w:left="191"/>
              <w:jc w:val="left"/>
              <w:rPr>
                <w:b/>
                <w:sz w:val="20"/>
              </w:rPr>
            </w:pPr>
            <w:r>
              <w:rPr>
                <w:b/>
                <w:sz w:val="20"/>
              </w:rPr>
              <w:t>TANGEDCO</w:t>
            </w:r>
          </w:p>
        </w:tc>
        <w:tc>
          <w:tcPr>
            <w:tcW w:w="1374" w:type="dxa"/>
            <w:shd w:val="clear" w:color="auto" w:fill="F7C9AC"/>
          </w:tcPr>
          <w:p w:rsidR="007C5447" w:rsidRDefault="00F6308C">
            <w:pPr>
              <w:pStyle w:val="TableParagraph"/>
              <w:spacing w:before="14" w:line="230" w:lineRule="atLeast"/>
              <w:ind w:left="140" w:right="115" w:firstLine="117"/>
              <w:jc w:val="left"/>
              <w:rPr>
                <w:b/>
                <w:sz w:val="20"/>
              </w:rPr>
            </w:pPr>
            <w:r>
              <w:rPr>
                <w:b/>
                <w:sz w:val="20"/>
              </w:rPr>
              <w:t>Approved after true up</w:t>
            </w:r>
          </w:p>
        </w:tc>
        <w:tc>
          <w:tcPr>
            <w:tcW w:w="1501" w:type="dxa"/>
            <w:shd w:val="clear" w:color="auto" w:fill="F7C9AC"/>
          </w:tcPr>
          <w:p w:rsidR="007C5447" w:rsidRDefault="00F6308C">
            <w:pPr>
              <w:pStyle w:val="TableParagraph"/>
              <w:spacing w:before="130"/>
              <w:ind w:left="377"/>
              <w:jc w:val="left"/>
              <w:rPr>
                <w:b/>
                <w:sz w:val="20"/>
              </w:rPr>
            </w:pPr>
            <w:r>
              <w:rPr>
                <w:b/>
                <w:sz w:val="20"/>
              </w:rPr>
              <w:t>2013 TO</w:t>
            </w:r>
          </w:p>
        </w:tc>
        <w:tc>
          <w:tcPr>
            <w:tcW w:w="1602" w:type="dxa"/>
            <w:shd w:val="clear" w:color="auto" w:fill="F7C9AC"/>
          </w:tcPr>
          <w:p w:rsidR="007C5447" w:rsidRDefault="00F6308C">
            <w:pPr>
              <w:pStyle w:val="TableParagraph"/>
              <w:spacing w:before="130"/>
              <w:ind w:left="217"/>
              <w:jc w:val="left"/>
              <w:rPr>
                <w:b/>
                <w:sz w:val="20"/>
              </w:rPr>
            </w:pPr>
            <w:r>
              <w:rPr>
                <w:b/>
                <w:sz w:val="20"/>
              </w:rPr>
              <w:t>TANGEDCO</w:t>
            </w:r>
          </w:p>
        </w:tc>
        <w:tc>
          <w:tcPr>
            <w:tcW w:w="1438" w:type="dxa"/>
            <w:shd w:val="clear" w:color="auto" w:fill="F7C9AC"/>
          </w:tcPr>
          <w:p w:rsidR="007C5447" w:rsidRDefault="00F6308C">
            <w:pPr>
              <w:pStyle w:val="TableParagraph"/>
              <w:spacing w:before="14" w:line="230" w:lineRule="atLeast"/>
              <w:ind w:left="169" w:right="150" w:firstLine="117"/>
              <w:jc w:val="left"/>
              <w:rPr>
                <w:b/>
                <w:sz w:val="20"/>
              </w:rPr>
            </w:pPr>
            <w:r>
              <w:rPr>
                <w:b/>
                <w:sz w:val="20"/>
              </w:rPr>
              <w:t>Approved after true up</w:t>
            </w:r>
          </w:p>
        </w:tc>
      </w:tr>
      <w:tr w:rsidR="007C5447">
        <w:trPr>
          <w:trHeight w:val="323"/>
        </w:trPr>
        <w:tc>
          <w:tcPr>
            <w:tcW w:w="3027" w:type="dxa"/>
          </w:tcPr>
          <w:p w:rsidR="007C5447" w:rsidRDefault="00F6308C">
            <w:pPr>
              <w:pStyle w:val="TableParagraph"/>
              <w:spacing w:before="79" w:line="224" w:lineRule="exact"/>
              <w:ind w:left="107"/>
              <w:jc w:val="left"/>
              <w:rPr>
                <w:sz w:val="20"/>
              </w:rPr>
            </w:pPr>
            <w:r>
              <w:rPr>
                <w:sz w:val="20"/>
              </w:rPr>
              <w:t>Ennore TPS</w:t>
            </w:r>
          </w:p>
        </w:tc>
        <w:tc>
          <w:tcPr>
            <w:tcW w:w="1282" w:type="dxa"/>
          </w:tcPr>
          <w:p w:rsidR="007C5447" w:rsidRDefault="00F6308C">
            <w:pPr>
              <w:pStyle w:val="TableParagraph"/>
              <w:spacing w:before="48"/>
              <w:ind w:right="95"/>
              <w:rPr>
                <w:sz w:val="20"/>
              </w:rPr>
            </w:pPr>
            <w:r>
              <w:rPr>
                <w:sz w:val="20"/>
              </w:rPr>
              <w:t>3.34</w:t>
            </w:r>
          </w:p>
        </w:tc>
        <w:tc>
          <w:tcPr>
            <w:tcW w:w="1544" w:type="dxa"/>
          </w:tcPr>
          <w:p w:rsidR="007C5447" w:rsidRDefault="00F6308C">
            <w:pPr>
              <w:pStyle w:val="TableParagraph"/>
              <w:spacing w:before="48"/>
              <w:ind w:right="99"/>
              <w:rPr>
                <w:sz w:val="20"/>
              </w:rPr>
            </w:pPr>
            <w:r>
              <w:rPr>
                <w:sz w:val="20"/>
              </w:rPr>
              <w:t>5.07</w:t>
            </w:r>
          </w:p>
        </w:tc>
        <w:tc>
          <w:tcPr>
            <w:tcW w:w="1374" w:type="dxa"/>
          </w:tcPr>
          <w:p w:rsidR="007C5447" w:rsidRDefault="00F6308C">
            <w:pPr>
              <w:pStyle w:val="TableParagraph"/>
              <w:spacing w:before="48"/>
              <w:ind w:right="100"/>
              <w:rPr>
                <w:sz w:val="20"/>
              </w:rPr>
            </w:pPr>
            <w:r>
              <w:rPr>
                <w:sz w:val="20"/>
              </w:rPr>
              <w:t>3.74</w:t>
            </w:r>
          </w:p>
        </w:tc>
        <w:tc>
          <w:tcPr>
            <w:tcW w:w="1501" w:type="dxa"/>
          </w:tcPr>
          <w:p w:rsidR="007C5447" w:rsidRDefault="00F6308C">
            <w:pPr>
              <w:pStyle w:val="TableParagraph"/>
              <w:spacing w:before="48"/>
              <w:ind w:right="98"/>
              <w:rPr>
                <w:sz w:val="20"/>
              </w:rPr>
            </w:pPr>
            <w:r>
              <w:rPr>
                <w:sz w:val="20"/>
              </w:rPr>
              <w:t>3.87</w:t>
            </w:r>
          </w:p>
        </w:tc>
        <w:tc>
          <w:tcPr>
            <w:tcW w:w="1602" w:type="dxa"/>
          </w:tcPr>
          <w:p w:rsidR="007C5447" w:rsidRDefault="00F6308C">
            <w:pPr>
              <w:pStyle w:val="TableParagraph"/>
              <w:spacing w:before="48"/>
              <w:ind w:right="101"/>
              <w:rPr>
                <w:sz w:val="20"/>
              </w:rPr>
            </w:pPr>
            <w:r>
              <w:rPr>
                <w:sz w:val="20"/>
              </w:rPr>
              <w:t>4.72</w:t>
            </w:r>
          </w:p>
        </w:tc>
        <w:tc>
          <w:tcPr>
            <w:tcW w:w="1438" w:type="dxa"/>
          </w:tcPr>
          <w:p w:rsidR="007C5447" w:rsidRDefault="00F6308C">
            <w:pPr>
              <w:pStyle w:val="TableParagraph"/>
              <w:spacing w:before="48"/>
              <w:ind w:right="104"/>
              <w:rPr>
                <w:sz w:val="20"/>
              </w:rPr>
            </w:pPr>
            <w:r>
              <w:rPr>
                <w:sz w:val="20"/>
              </w:rPr>
              <w:t>3.82</w:t>
            </w:r>
          </w:p>
        </w:tc>
      </w:tr>
      <w:tr w:rsidR="007C5447">
        <w:trPr>
          <w:trHeight w:val="321"/>
        </w:trPr>
        <w:tc>
          <w:tcPr>
            <w:tcW w:w="3027" w:type="dxa"/>
          </w:tcPr>
          <w:p w:rsidR="007C5447" w:rsidRDefault="00F6308C">
            <w:pPr>
              <w:pStyle w:val="TableParagraph"/>
              <w:spacing w:before="77" w:line="224" w:lineRule="exact"/>
              <w:ind w:left="107"/>
              <w:jc w:val="left"/>
              <w:rPr>
                <w:sz w:val="20"/>
              </w:rPr>
            </w:pPr>
            <w:r>
              <w:rPr>
                <w:sz w:val="20"/>
              </w:rPr>
              <w:t>Tuticorin TPS</w:t>
            </w:r>
          </w:p>
        </w:tc>
        <w:tc>
          <w:tcPr>
            <w:tcW w:w="1282" w:type="dxa"/>
          </w:tcPr>
          <w:p w:rsidR="007C5447" w:rsidRDefault="00F6308C">
            <w:pPr>
              <w:pStyle w:val="TableParagraph"/>
              <w:spacing w:before="46"/>
              <w:ind w:right="95"/>
              <w:rPr>
                <w:sz w:val="20"/>
              </w:rPr>
            </w:pPr>
            <w:r>
              <w:rPr>
                <w:sz w:val="20"/>
              </w:rPr>
              <w:t>3.24</w:t>
            </w:r>
          </w:p>
        </w:tc>
        <w:tc>
          <w:tcPr>
            <w:tcW w:w="1544" w:type="dxa"/>
          </w:tcPr>
          <w:p w:rsidR="007C5447" w:rsidRDefault="00F6308C">
            <w:pPr>
              <w:pStyle w:val="TableParagraph"/>
              <w:spacing w:before="46"/>
              <w:ind w:right="99"/>
              <w:rPr>
                <w:sz w:val="20"/>
              </w:rPr>
            </w:pPr>
            <w:r>
              <w:rPr>
                <w:sz w:val="20"/>
              </w:rPr>
              <w:t>3.66</w:t>
            </w:r>
          </w:p>
        </w:tc>
        <w:tc>
          <w:tcPr>
            <w:tcW w:w="1374" w:type="dxa"/>
          </w:tcPr>
          <w:p w:rsidR="007C5447" w:rsidRDefault="00F6308C">
            <w:pPr>
              <w:pStyle w:val="TableParagraph"/>
              <w:spacing w:before="46"/>
              <w:ind w:right="100"/>
              <w:rPr>
                <w:sz w:val="20"/>
              </w:rPr>
            </w:pPr>
            <w:r>
              <w:rPr>
                <w:sz w:val="20"/>
              </w:rPr>
              <w:t>3.56</w:t>
            </w:r>
          </w:p>
        </w:tc>
        <w:tc>
          <w:tcPr>
            <w:tcW w:w="1501" w:type="dxa"/>
          </w:tcPr>
          <w:p w:rsidR="007C5447" w:rsidRDefault="00F6308C">
            <w:pPr>
              <w:pStyle w:val="TableParagraph"/>
              <w:spacing w:before="46"/>
              <w:ind w:right="98"/>
              <w:rPr>
                <w:sz w:val="20"/>
              </w:rPr>
            </w:pPr>
            <w:r>
              <w:rPr>
                <w:sz w:val="20"/>
              </w:rPr>
              <w:t>2.96</w:t>
            </w:r>
          </w:p>
        </w:tc>
        <w:tc>
          <w:tcPr>
            <w:tcW w:w="1602" w:type="dxa"/>
          </w:tcPr>
          <w:p w:rsidR="007C5447" w:rsidRDefault="00F6308C">
            <w:pPr>
              <w:pStyle w:val="TableParagraph"/>
              <w:spacing w:before="46"/>
              <w:ind w:right="101"/>
              <w:rPr>
                <w:sz w:val="20"/>
              </w:rPr>
            </w:pPr>
            <w:r>
              <w:rPr>
                <w:sz w:val="20"/>
              </w:rPr>
              <w:t>3.32</w:t>
            </w:r>
          </w:p>
        </w:tc>
        <w:tc>
          <w:tcPr>
            <w:tcW w:w="1438" w:type="dxa"/>
          </w:tcPr>
          <w:p w:rsidR="007C5447" w:rsidRDefault="00F6308C">
            <w:pPr>
              <w:pStyle w:val="TableParagraph"/>
              <w:spacing w:before="46"/>
              <w:ind w:right="104"/>
              <w:rPr>
                <w:sz w:val="20"/>
              </w:rPr>
            </w:pPr>
            <w:r>
              <w:rPr>
                <w:sz w:val="20"/>
              </w:rPr>
              <w:t>3.25</w:t>
            </w:r>
          </w:p>
        </w:tc>
      </w:tr>
      <w:tr w:rsidR="007C5447">
        <w:trPr>
          <w:trHeight w:val="321"/>
        </w:trPr>
        <w:tc>
          <w:tcPr>
            <w:tcW w:w="3027" w:type="dxa"/>
          </w:tcPr>
          <w:p w:rsidR="007C5447" w:rsidRDefault="00F6308C">
            <w:pPr>
              <w:pStyle w:val="TableParagraph"/>
              <w:spacing w:before="77" w:line="224" w:lineRule="exact"/>
              <w:ind w:left="107"/>
              <w:jc w:val="left"/>
              <w:rPr>
                <w:sz w:val="20"/>
              </w:rPr>
            </w:pPr>
            <w:r>
              <w:rPr>
                <w:sz w:val="20"/>
              </w:rPr>
              <w:t>Mettur TPS</w:t>
            </w:r>
          </w:p>
        </w:tc>
        <w:tc>
          <w:tcPr>
            <w:tcW w:w="1282" w:type="dxa"/>
          </w:tcPr>
          <w:p w:rsidR="007C5447" w:rsidRDefault="00F6308C">
            <w:pPr>
              <w:pStyle w:val="TableParagraph"/>
              <w:spacing w:before="46"/>
              <w:ind w:right="95"/>
              <w:rPr>
                <w:sz w:val="20"/>
              </w:rPr>
            </w:pPr>
            <w:r>
              <w:rPr>
                <w:sz w:val="20"/>
              </w:rPr>
              <w:t>3.12</w:t>
            </w:r>
          </w:p>
        </w:tc>
        <w:tc>
          <w:tcPr>
            <w:tcW w:w="1544" w:type="dxa"/>
          </w:tcPr>
          <w:p w:rsidR="007C5447" w:rsidRDefault="00F6308C">
            <w:pPr>
              <w:pStyle w:val="TableParagraph"/>
              <w:spacing w:before="46"/>
              <w:ind w:right="99"/>
              <w:rPr>
                <w:sz w:val="20"/>
              </w:rPr>
            </w:pPr>
            <w:r>
              <w:rPr>
                <w:sz w:val="20"/>
              </w:rPr>
              <w:t>4.18</w:t>
            </w:r>
          </w:p>
        </w:tc>
        <w:tc>
          <w:tcPr>
            <w:tcW w:w="1374" w:type="dxa"/>
          </w:tcPr>
          <w:p w:rsidR="007C5447" w:rsidRDefault="00F6308C">
            <w:pPr>
              <w:pStyle w:val="TableParagraph"/>
              <w:spacing w:before="46"/>
              <w:ind w:right="100"/>
              <w:rPr>
                <w:sz w:val="20"/>
              </w:rPr>
            </w:pPr>
            <w:r>
              <w:rPr>
                <w:sz w:val="20"/>
              </w:rPr>
              <w:t>4.21</w:t>
            </w:r>
          </w:p>
        </w:tc>
        <w:tc>
          <w:tcPr>
            <w:tcW w:w="1501" w:type="dxa"/>
          </w:tcPr>
          <w:p w:rsidR="007C5447" w:rsidRDefault="00F6308C">
            <w:pPr>
              <w:pStyle w:val="TableParagraph"/>
              <w:spacing w:before="46"/>
              <w:ind w:right="98"/>
              <w:rPr>
                <w:sz w:val="20"/>
              </w:rPr>
            </w:pPr>
            <w:r>
              <w:rPr>
                <w:sz w:val="20"/>
              </w:rPr>
              <w:t>3.09</w:t>
            </w:r>
          </w:p>
        </w:tc>
        <w:tc>
          <w:tcPr>
            <w:tcW w:w="1602" w:type="dxa"/>
          </w:tcPr>
          <w:p w:rsidR="007C5447" w:rsidRDefault="00F6308C">
            <w:pPr>
              <w:pStyle w:val="TableParagraph"/>
              <w:spacing w:before="46"/>
              <w:ind w:right="101"/>
              <w:rPr>
                <w:sz w:val="20"/>
              </w:rPr>
            </w:pPr>
            <w:r>
              <w:rPr>
                <w:sz w:val="20"/>
              </w:rPr>
              <w:t>3.42</w:t>
            </w:r>
          </w:p>
        </w:tc>
        <w:tc>
          <w:tcPr>
            <w:tcW w:w="1438" w:type="dxa"/>
          </w:tcPr>
          <w:p w:rsidR="007C5447" w:rsidRDefault="00F6308C">
            <w:pPr>
              <w:pStyle w:val="TableParagraph"/>
              <w:spacing w:before="46"/>
              <w:ind w:right="104"/>
              <w:rPr>
                <w:sz w:val="20"/>
              </w:rPr>
            </w:pPr>
            <w:r>
              <w:rPr>
                <w:sz w:val="20"/>
              </w:rPr>
              <w:t>3.45</w:t>
            </w:r>
          </w:p>
        </w:tc>
      </w:tr>
      <w:tr w:rsidR="007C5447">
        <w:trPr>
          <w:trHeight w:val="324"/>
        </w:trPr>
        <w:tc>
          <w:tcPr>
            <w:tcW w:w="3027" w:type="dxa"/>
          </w:tcPr>
          <w:p w:rsidR="007C5447" w:rsidRDefault="00F6308C">
            <w:pPr>
              <w:pStyle w:val="TableParagraph"/>
              <w:spacing w:before="80" w:line="224" w:lineRule="exact"/>
              <w:ind w:left="107"/>
              <w:jc w:val="left"/>
              <w:rPr>
                <w:sz w:val="20"/>
              </w:rPr>
            </w:pPr>
            <w:r>
              <w:rPr>
                <w:sz w:val="20"/>
              </w:rPr>
              <w:t>Mettur Stage III TPS</w:t>
            </w:r>
          </w:p>
        </w:tc>
        <w:tc>
          <w:tcPr>
            <w:tcW w:w="1282" w:type="dxa"/>
          </w:tcPr>
          <w:p w:rsidR="007C5447" w:rsidRDefault="00F6308C">
            <w:pPr>
              <w:pStyle w:val="TableParagraph"/>
              <w:spacing w:before="49"/>
              <w:ind w:right="96"/>
              <w:rPr>
                <w:sz w:val="20"/>
              </w:rPr>
            </w:pPr>
            <w:r>
              <w:rPr>
                <w:sz w:val="20"/>
              </w:rPr>
              <w:t>3.37</w:t>
            </w:r>
          </w:p>
        </w:tc>
        <w:tc>
          <w:tcPr>
            <w:tcW w:w="1544" w:type="dxa"/>
          </w:tcPr>
          <w:p w:rsidR="007C5447" w:rsidRDefault="00F6308C">
            <w:pPr>
              <w:pStyle w:val="TableParagraph"/>
              <w:spacing w:before="49"/>
              <w:ind w:right="99"/>
              <w:rPr>
                <w:sz w:val="20"/>
              </w:rPr>
            </w:pPr>
            <w:r>
              <w:rPr>
                <w:sz w:val="20"/>
              </w:rPr>
              <w:t>3.71</w:t>
            </w:r>
          </w:p>
        </w:tc>
        <w:tc>
          <w:tcPr>
            <w:tcW w:w="1374" w:type="dxa"/>
          </w:tcPr>
          <w:p w:rsidR="007C5447" w:rsidRDefault="00F6308C">
            <w:pPr>
              <w:pStyle w:val="TableParagraph"/>
              <w:spacing w:before="49"/>
              <w:ind w:right="100"/>
              <w:rPr>
                <w:sz w:val="20"/>
              </w:rPr>
            </w:pPr>
            <w:r>
              <w:rPr>
                <w:sz w:val="20"/>
              </w:rPr>
              <w:t>3.70</w:t>
            </w:r>
          </w:p>
        </w:tc>
        <w:tc>
          <w:tcPr>
            <w:tcW w:w="1501" w:type="dxa"/>
          </w:tcPr>
          <w:p w:rsidR="007C5447" w:rsidRDefault="00F6308C">
            <w:pPr>
              <w:pStyle w:val="TableParagraph"/>
              <w:spacing w:before="49"/>
              <w:ind w:right="100"/>
              <w:rPr>
                <w:sz w:val="20"/>
              </w:rPr>
            </w:pPr>
            <w:r>
              <w:rPr>
                <w:w w:val="99"/>
                <w:sz w:val="20"/>
              </w:rPr>
              <w:t>-</w:t>
            </w:r>
          </w:p>
        </w:tc>
        <w:tc>
          <w:tcPr>
            <w:tcW w:w="1602" w:type="dxa"/>
          </w:tcPr>
          <w:p w:rsidR="007C5447" w:rsidRDefault="00F6308C">
            <w:pPr>
              <w:pStyle w:val="TableParagraph"/>
              <w:spacing w:before="49"/>
              <w:ind w:right="101"/>
              <w:rPr>
                <w:sz w:val="20"/>
              </w:rPr>
            </w:pPr>
            <w:r>
              <w:rPr>
                <w:sz w:val="20"/>
              </w:rPr>
              <w:t>4.57</w:t>
            </w:r>
          </w:p>
        </w:tc>
        <w:tc>
          <w:tcPr>
            <w:tcW w:w="1438" w:type="dxa"/>
          </w:tcPr>
          <w:p w:rsidR="007C5447" w:rsidRDefault="00F6308C">
            <w:pPr>
              <w:pStyle w:val="TableParagraph"/>
              <w:spacing w:before="49"/>
              <w:ind w:right="104"/>
              <w:rPr>
                <w:sz w:val="20"/>
              </w:rPr>
            </w:pPr>
            <w:r>
              <w:rPr>
                <w:sz w:val="20"/>
              </w:rPr>
              <w:t>4.71</w:t>
            </w:r>
          </w:p>
        </w:tc>
      </w:tr>
      <w:tr w:rsidR="007C5447">
        <w:trPr>
          <w:trHeight w:val="321"/>
        </w:trPr>
        <w:tc>
          <w:tcPr>
            <w:tcW w:w="3027" w:type="dxa"/>
          </w:tcPr>
          <w:p w:rsidR="007C5447" w:rsidRDefault="00F6308C">
            <w:pPr>
              <w:pStyle w:val="TableParagraph"/>
              <w:spacing w:before="77" w:line="224" w:lineRule="exact"/>
              <w:ind w:left="107"/>
              <w:jc w:val="left"/>
              <w:rPr>
                <w:sz w:val="20"/>
              </w:rPr>
            </w:pPr>
            <w:r>
              <w:rPr>
                <w:sz w:val="20"/>
              </w:rPr>
              <w:t>North Chennai TPS</w:t>
            </w:r>
          </w:p>
        </w:tc>
        <w:tc>
          <w:tcPr>
            <w:tcW w:w="1282" w:type="dxa"/>
          </w:tcPr>
          <w:p w:rsidR="007C5447" w:rsidRDefault="00F6308C">
            <w:pPr>
              <w:pStyle w:val="TableParagraph"/>
              <w:spacing w:before="46"/>
              <w:ind w:right="96"/>
              <w:rPr>
                <w:sz w:val="20"/>
              </w:rPr>
            </w:pPr>
            <w:r>
              <w:rPr>
                <w:sz w:val="20"/>
              </w:rPr>
              <w:t>2.67</w:t>
            </w:r>
          </w:p>
        </w:tc>
        <w:tc>
          <w:tcPr>
            <w:tcW w:w="1544" w:type="dxa"/>
          </w:tcPr>
          <w:p w:rsidR="007C5447" w:rsidRDefault="00F6308C">
            <w:pPr>
              <w:pStyle w:val="TableParagraph"/>
              <w:spacing w:before="46"/>
              <w:ind w:right="99"/>
              <w:rPr>
                <w:sz w:val="20"/>
              </w:rPr>
            </w:pPr>
            <w:r>
              <w:rPr>
                <w:sz w:val="20"/>
              </w:rPr>
              <w:t>3.23</w:t>
            </w:r>
          </w:p>
        </w:tc>
        <w:tc>
          <w:tcPr>
            <w:tcW w:w="1374" w:type="dxa"/>
          </w:tcPr>
          <w:p w:rsidR="007C5447" w:rsidRDefault="00F6308C">
            <w:pPr>
              <w:pStyle w:val="TableParagraph"/>
              <w:spacing w:before="46"/>
              <w:ind w:right="100"/>
              <w:rPr>
                <w:sz w:val="20"/>
              </w:rPr>
            </w:pPr>
            <w:r>
              <w:rPr>
                <w:sz w:val="20"/>
              </w:rPr>
              <w:t>3.11</w:t>
            </w:r>
          </w:p>
        </w:tc>
        <w:tc>
          <w:tcPr>
            <w:tcW w:w="1501" w:type="dxa"/>
          </w:tcPr>
          <w:p w:rsidR="007C5447" w:rsidRDefault="00F6308C">
            <w:pPr>
              <w:pStyle w:val="TableParagraph"/>
              <w:spacing w:before="46"/>
              <w:ind w:right="98"/>
              <w:rPr>
                <w:sz w:val="20"/>
              </w:rPr>
            </w:pPr>
            <w:r>
              <w:rPr>
                <w:sz w:val="20"/>
              </w:rPr>
              <w:t>2.55</w:t>
            </w:r>
          </w:p>
        </w:tc>
        <w:tc>
          <w:tcPr>
            <w:tcW w:w="1602" w:type="dxa"/>
          </w:tcPr>
          <w:p w:rsidR="007C5447" w:rsidRDefault="00F6308C">
            <w:pPr>
              <w:pStyle w:val="TableParagraph"/>
              <w:spacing w:before="46"/>
              <w:ind w:right="101"/>
              <w:rPr>
                <w:sz w:val="20"/>
              </w:rPr>
            </w:pPr>
            <w:r>
              <w:rPr>
                <w:sz w:val="20"/>
              </w:rPr>
              <w:t>2.45</w:t>
            </w:r>
          </w:p>
        </w:tc>
        <w:tc>
          <w:tcPr>
            <w:tcW w:w="1438" w:type="dxa"/>
          </w:tcPr>
          <w:p w:rsidR="007C5447" w:rsidRDefault="00F6308C">
            <w:pPr>
              <w:pStyle w:val="TableParagraph"/>
              <w:spacing w:before="46"/>
              <w:ind w:right="104"/>
              <w:rPr>
                <w:sz w:val="20"/>
              </w:rPr>
            </w:pPr>
            <w:r>
              <w:rPr>
                <w:sz w:val="20"/>
              </w:rPr>
              <w:t>2.37</w:t>
            </w:r>
          </w:p>
        </w:tc>
      </w:tr>
      <w:tr w:rsidR="007C5447">
        <w:trPr>
          <w:trHeight w:val="321"/>
        </w:trPr>
        <w:tc>
          <w:tcPr>
            <w:tcW w:w="3027" w:type="dxa"/>
          </w:tcPr>
          <w:p w:rsidR="007C5447" w:rsidRDefault="00F6308C">
            <w:pPr>
              <w:pStyle w:val="TableParagraph"/>
              <w:spacing w:before="77" w:line="224" w:lineRule="exact"/>
              <w:ind w:left="107"/>
              <w:jc w:val="left"/>
              <w:rPr>
                <w:sz w:val="20"/>
              </w:rPr>
            </w:pPr>
            <w:r>
              <w:rPr>
                <w:sz w:val="20"/>
              </w:rPr>
              <w:t>North Chennai Stage II TPS</w:t>
            </w:r>
          </w:p>
        </w:tc>
        <w:tc>
          <w:tcPr>
            <w:tcW w:w="1282" w:type="dxa"/>
          </w:tcPr>
          <w:p w:rsidR="007C5447" w:rsidRDefault="00F6308C">
            <w:pPr>
              <w:pStyle w:val="TableParagraph"/>
              <w:spacing w:before="46"/>
              <w:ind w:right="95"/>
              <w:rPr>
                <w:sz w:val="20"/>
              </w:rPr>
            </w:pPr>
            <w:r>
              <w:rPr>
                <w:sz w:val="20"/>
              </w:rPr>
              <w:t>2.73</w:t>
            </w:r>
          </w:p>
        </w:tc>
        <w:tc>
          <w:tcPr>
            <w:tcW w:w="1544" w:type="dxa"/>
          </w:tcPr>
          <w:p w:rsidR="007C5447" w:rsidRDefault="00F6308C">
            <w:pPr>
              <w:pStyle w:val="TableParagraph"/>
              <w:spacing w:before="46"/>
              <w:ind w:right="99"/>
              <w:rPr>
                <w:sz w:val="20"/>
              </w:rPr>
            </w:pPr>
            <w:r>
              <w:rPr>
                <w:sz w:val="20"/>
              </w:rPr>
              <w:t>3.19</w:t>
            </w:r>
          </w:p>
        </w:tc>
        <w:tc>
          <w:tcPr>
            <w:tcW w:w="1374" w:type="dxa"/>
          </w:tcPr>
          <w:p w:rsidR="007C5447" w:rsidRDefault="00F6308C">
            <w:pPr>
              <w:pStyle w:val="TableParagraph"/>
              <w:spacing w:before="46"/>
              <w:ind w:right="100"/>
              <w:rPr>
                <w:sz w:val="20"/>
              </w:rPr>
            </w:pPr>
            <w:r>
              <w:rPr>
                <w:sz w:val="20"/>
              </w:rPr>
              <w:t>3.21</w:t>
            </w:r>
          </w:p>
        </w:tc>
        <w:tc>
          <w:tcPr>
            <w:tcW w:w="1501" w:type="dxa"/>
          </w:tcPr>
          <w:p w:rsidR="007C5447" w:rsidRDefault="007C5447">
            <w:pPr>
              <w:pStyle w:val="TableParagraph"/>
              <w:jc w:val="left"/>
              <w:rPr>
                <w:sz w:val="20"/>
              </w:rPr>
            </w:pPr>
          </w:p>
        </w:tc>
        <w:tc>
          <w:tcPr>
            <w:tcW w:w="1602" w:type="dxa"/>
          </w:tcPr>
          <w:p w:rsidR="007C5447" w:rsidRDefault="00F6308C">
            <w:pPr>
              <w:pStyle w:val="TableParagraph"/>
              <w:spacing w:before="46"/>
              <w:ind w:right="101"/>
              <w:rPr>
                <w:sz w:val="20"/>
              </w:rPr>
            </w:pPr>
            <w:r>
              <w:rPr>
                <w:sz w:val="20"/>
              </w:rPr>
              <w:t>3.82</w:t>
            </w:r>
          </w:p>
        </w:tc>
        <w:tc>
          <w:tcPr>
            <w:tcW w:w="1438" w:type="dxa"/>
          </w:tcPr>
          <w:p w:rsidR="007C5447" w:rsidRDefault="00F6308C">
            <w:pPr>
              <w:pStyle w:val="TableParagraph"/>
              <w:spacing w:before="46"/>
              <w:ind w:right="104"/>
              <w:rPr>
                <w:sz w:val="20"/>
              </w:rPr>
            </w:pPr>
            <w:r>
              <w:rPr>
                <w:sz w:val="20"/>
              </w:rPr>
              <w:t>3.54</w:t>
            </w:r>
          </w:p>
        </w:tc>
      </w:tr>
      <w:tr w:rsidR="007C5447">
        <w:trPr>
          <w:trHeight w:val="357"/>
        </w:trPr>
        <w:tc>
          <w:tcPr>
            <w:tcW w:w="3027" w:type="dxa"/>
            <w:shd w:val="clear" w:color="auto" w:fill="D9D9D9"/>
          </w:tcPr>
          <w:p w:rsidR="007C5447" w:rsidRDefault="007C5447">
            <w:pPr>
              <w:pStyle w:val="TableParagraph"/>
              <w:jc w:val="left"/>
              <w:rPr>
                <w:sz w:val="20"/>
              </w:rPr>
            </w:pPr>
          </w:p>
        </w:tc>
        <w:tc>
          <w:tcPr>
            <w:tcW w:w="1282" w:type="dxa"/>
          </w:tcPr>
          <w:p w:rsidR="007C5447" w:rsidRDefault="007C5447">
            <w:pPr>
              <w:pStyle w:val="TableParagraph"/>
              <w:jc w:val="left"/>
              <w:rPr>
                <w:sz w:val="20"/>
              </w:rPr>
            </w:pPr>
          </w:p>
        </w:tc>
        <w:tc>
          <w:tcPr>
            <w:tcW w:w="1544" w:type="dxa"/>
          </w:tcPr>
          <w:p w:rsidR="007C5447" w:rsidRDefault="007C5447">
            <w:pPr>
              <w:pStyle w:val="TableParagraph"/>
              <w:jc w:val="left"/>
              <w:rPr>
                <w:sz w:val="20"/>
              </w:rPr>
            </w:pPr>
          </w:p>
        </w:tc>
        <w:tc>
          <w:tcPr>
            <w:tcW w:w="1374" w:type="dxa"/>
          </w:tcPr>
          <w:p w:rsidR="007C5447" w:rsidRDefault="007C5447">
            <w:pPr>
              <w:pStyle w:val="TableParagraph"/>
              <w:jc w:val="left"/>
              <w:rPr>
                <w:sz w:val="20"/>
              </w:rPr>
            </w:pPr>
          </w:p>
        </w:tc>
        <w:tc>
          <w:tcPr>
            <w:tcW w:w="1501" w:type="dxa"/>
          </w:tcPr>
          <w:p w:rsidR="007C5447" w:rsidRDefault="007C5447">
            <w:pPr>
              <w:pStyle w:val="TableParagraph"/>
              <w:jc w:val="left"/>
              <w:rPr>
                <w:sz w:val="20"/>
              </w:rPr>
            </w:pPr>
          </w:p>
        </w:tc>
        <w:tc>
          <w:tcPr>
            <w:tcW w:w="1602" w:type="dxa"/>
          </w:tcPr>
          <w:p w:rsidR="007C5447" w:rsidRDefault="007C5447">
            <w:pPr>
              <w:pStyle w:val="TableParagraph"/>
              <w:jc w:val="left"/>
              <w:rPr>
                <w:sz w:val="20"/>
              </w:rPr>
            </w:pPr>
          </w:p>
        </w:tc>
        <w:tc>
          <w:tcPr>
            <w:tcW w:w="1438" w:type="dxa"/>
          </w:tcPr>
          <w:p w:rsidR="007C5447" w:rsidRDefault="007C5447">
            <w:pPr>
              <w:pStyle w:val="TableParagraph"/>
              <w:jc w:val="left"/>
              <w:rPr>
                <w:sz w:val="20"/>
              </w:rPr>
            </w:pPr>
          </w:p>
        </w:tc>
      </w:tr>
      <w:tr w:rsidR="007C5447">
        <w:trPr>
          <w:trHeight w:val="321"/>
        </w:trPr>
        <w:tc>
          <w:tcPr>
            <w:tcW w:w="3027" w:type="dxa"/>
          </w:tcPr>
          <w:p w:rsidR="007C5447" w:rsidRDefault="00F6308C">
            <w:pPr>
              <w:pStyle w:val="TableParagraph"/>
              <w:spacing w:before="77" w:line="224" w:lineRule="exact"/>
              <w:ind w:left="107"/>
              <w:jc w:val="left"/>
              <w:rPr>
                <w:sz w:val="20"/>
              </w:rPr>
            </w:pPr>
            <w:r>
              <w:rPr>
                <w:sz w:val="20"/>
              </w:rPr>
              <w:t>Tirumakottai GTPS</w:t>
            </w:r>
          </w:p>
        </w:tc>
        <w:tc>
          <w:tcPr>
            <w:tcW w:w="1282" w:type="dxa"/>
          </w:tcPr>
          <w:p w:rsidR="007C5447" w:rsidRDefault="00F6308C">
            <w:pPr>
              <w:pStyle w:val="TableParagraph"/>
              <w:spacing w:before="46"/>
              <w:ind w:right="96"/>
              <w:rPr>
                <w:sz w:val="20"/>
              </w:rPr>
            </w:pPr>
            <w:r>
              <w:rPr>
                <w:sz w:val="20"/>
              </w:rPr>
              <w:t>2.16</w:t>
            </w:r>
          </w:p>
        </w:tc>
        <w:tc>
          <w:tcPr>
            <w:tcW w:w="1544" w:type="dxa"/>
          </w:tcPr>
          <w:p w:rsidR="007C5447" w:rsidRDefault="00F6308C">
            <w:pPr>
              <w:pStyle w:val="TableParagraph"/>
              <w:spacing w:before="46"/>
              <w:ind w:right="99"/>
              <w:rPr>
                <w:sz w:val="20"/>
              </w:rPr>
            </w:pPr>
            <w:r>
              <w:rPr>
                <w:sz w:val="20"/>
              </w:rPr>
              <w:t>2.91</w:t>
            </w:r>
          </w:p>
        </w:tc>
        <w:tc>
          <w:tcPr>
            <w:tcW w:w="1374" w:type="dxa"/>
          </w:tcPr>
          <w:p w:rsidR="007C5447" w:rsidRDefault="00F6308C">
            <w:pPr>
              <w:pStyle w:val="TableParagraph"/>
              <w:spacing w:before="46"/>
              <w:ind w:right="100"/>
              <w:rPr>
                <w:sz w:val="20"/>
              </w:rPr>
            </w:pPr>
            <w:r>
              <w:rPr>
                <w:sz w:val="20"/>
              </w:rPr>
              <w:t>2.47</w:t>
            </w:r>
          </w:p>
        </w:tc>
        <w:tc>
          <w:tcPr>
            <w:tcW w:w="1501" w:type="dxa"/>
          </w:tcPr>
          <w:p w:rsidR="007C5447" w:rsidRDefault="00F6308C">
            <w:pPr>
              <w:pStyle w:val="TableParagraph"/>
              <w:spacing w:before="46"/>
              <w:ind w:right="98"/>
              <w:rPr>
                <w:sz w:val="20"/>
              </w:rPr>
            </w:pPr>
            <w:r>
              <w:rPr>
                <w:sz w:val="20"/>
              </w:rPr>
              <w:t>1.86</w:t>
            </w:r>
          </w:p>
        </w:tc>
        <w:tc>
          <w:tcPr>
            <w:tcW w:w="1602" w:type="dxa"/>
          </w:tcPr>
          <w:p w:rsidR="007C5447" w:rsidRDefault="00F6308C">
            <w:pPr>
              <w:pStyle w:val="TableParagraph"/>
              <w:spacing w:before="46"/>
              <w:ind w:right="101"/>
              <w:rPr>
                <w:sz w:val="20"/>
              </w:rPr>
            </w:pPr>
            <w:r>
              <w:rPr>
                <w:sz w:val="20"/>
              </w:rPr>
              <w:t>3.31</w:t>
            </w:r>
          </w:p>
        </w:tc>
        <w:tc>
          <w:tcPr>
            <w:tcW w:w="1438" w:type="dxa"/>
          </w:tcPr>
          <w:p w:rsidR="007C5447" w:rsidRDefault="00F6308C">
            <w:pPr>
              <w:pStyle w:val="TableParagraph"/>
              <w:spacing w:before="46"/>
              <w:ind w:right="104"/>
              <w:rPr>
                <w:sz w:val="20"/>
              </w:rPr>
            </w:pPr>
            <w:r>
              <w:rPr>
                <w:sz w:val="20"/>
              </w:rPr>
              <w:t>2.56</w:t>
            </w:r>
          </w:p>
        </w:tc>
      </w:tr>
      <w:tr w:rsidR="007C5447">
        <w:trPr>
          <w:trHeight w:val="321"/>
        </w:trPr>
        <w:tc>
          <w:tcPr>
            <w:tcW w:w="3027" w:type="dxa"/>
          </w:tcPr>
          <w:p w:rsidR="007C5447" w:rsidRDefault="00F6308C">
            <w:pPr>
              <w:pStyle w:val="TableParagraph"/>
              <w:spacing w:before="77" w:line="224" w:lineRule="exact"/>
              <w:ind w:left="107"/>
              <w:jc w:val="left"/>
              <w:rPr>
                <w:sz w:val="20"/>
              </w:rPr>
            </w:pPr>
            <w:r>
              <w:rPr>
                <w:sz w:val="20"/>
              </w:rPr>
              <w:t>Kuttalam GTPS</w:t>
            </w:r>
          </w:p>
        </w:tc>
        <w:tc>
          <w:tcPr>
            <w:tcW w:w="1282" w:type="dxa"/>
          </w:tcPr>
          <w:p w:rsidR="007C5447" w:rsidRDefault="00F6308C">
            <w:pPr>
              <w:pStyle w:val="TableParagraph"/>
              <w:spacing w:before="46"/>
              <w:ind w:right="95"/>
              <w:rPr>
                <w:sz w:val="20"/>
              </w:rPr>
            </w:pPr>
            <w:r>
              <w:rPr>
                <w:sz w:val="20"/>
              </w:rPr>
              <w:t>2.25</w:t>
            </w:r>
          </w:p>
        </w:tc>
        <w:tc>
          <w:tcPr>
            <w:tcW w:w="1544" w:type="dxa"/>
          </w:tcPr>
          <w:p w:rsidR="007C5447" w:rsidRDefault="00F6308C">
            <w:pPr>
              <w:pStyle w:val="TableParagraph"/>
              <w:spacing w:before="46"/>
              <w:ind w:right="98"/>
              <w:rPr>
                <w:sz w:val="20"/>
              </w:rPr>
            </w:pPr>
            <w:r>
              <w:rPr>
                <w:sz w:val="20"/>
              </w:rPr>
              <w:t>2.83</w:t>
            </w:r>
          </w:p>
        </w:tc>
        <w:tc>
          <w:tcPr>
            <w:tcW w:w="1374" w:type="dxa"/>
          </w:tcPr>
          <w:p w:rsidR="007C5447" w:rsidRDefault="00F6308C">
            <w:pPr>
              <w:pStyle w:val="TableParagraph"/>
              <w:spacing w:before="46"/>
              <w:ind w:right="100"/>
              <w:rPr>
                <w:sz w:val="20"/>
              </w:rPr>
            </w:pPr>
            <w:r>
              <w:rPr>
                <w:sz w:val="20"/>
              </w:rPr>
              <w:t>2.56</w:t>
            </w:r>
          </w:p>
        </w:tc>
        <w:tc>
          <w:tcPr>
            <w:tcW w:w="1501" w:type="dxa"/>
          </w:tcPr>
          <w:p w:rsidR="007C5447" w:rsidRDefault="00F6308C">
            <w:pPr>
              <w:pStyle w:val="TableParagraph"/>
              <w:spacing w:before="46"/>
              <w:ind w:right="98"/>
              <w:rPr>
                <w:sz w:val="20"/>
              </w:rPr>
            </w:pPr>
            <w:r>
              <w:rPr>
                <w:sz w:val="20"/>
              </w:rPr>
              <w:t>1.87</w:t>
            </w:r>
          </w:p>
        </w:tc>
        <w:tc>
          <w:tcPr>
            <w:tcW w:w="1602" w:type="dxa"/>
          </w:tcPr>
          <w:p w:rsidR="007C5447" w:rsidRDefault="00F6308C">
            <w:pPr>
              <w:pStyle w:val="TableParagraph"/>
              <w:spacing w:before="46"/>
              <w:ind w:right="101"/>
              <w:rPr>
                <w:sz w:val="20"/>
              </w:rPr>
            </w:pPr>
            <w:r>
              <w:rPr>
                <w:sz w:val="20"/>
              </w:rPr>
              <w:t>2.82</w:t>
            </w:r>
          </w:p>
        </w:tc>
        <w:tc>
          <w:tcPr>
            <w:tcW w:w="1438" w:type="dxa"/>
          </w:tcPr>
          <w:p w:rsidR="007C5447" w:rsidRDefault="00F6308C">
            <w:pPr>
              <w:pStyle w:val="TableParagraph"/>
              <w:spacing w:before="46"/>
              <w:ind w:right="104"/>
              <w:rPr>
                <w:sz w:val="20"/>
              </w:rPr>
            </w:pPr>
            <w:r>
              <w:rPr>
                <w:sz w:val="20"/>
              </w:rPr>
              <w:t>2.74</w:t>
            </w:r>
          </w:p>
        </w:tc>
      </w:tr>
      <w:tr w:rsidR="007C5447">
        <w:trPr>
          <w:trHeight w:val="323"/>
        </w:trPr>
        <w:tc>
          <w:tcPr>
            <w:tcW w:w="3027" w:type="dxa"/>
          </w:tcPr>
          <w:p w:rsidR="007C5447" w:rsidRDefault="00F6308C">
            <w:pPr>
              <w:pStyle w:val="TableParagraph"/>
              <w:spacing w:before="77" w:line="227" w:lineRule="exact"/>
              <w:ind w:left="107"/>
              <w:jc w:val="left"/>
              <w:rPr>
                <w:sz w:val="20"/>
              </w:rPr>
            </w:pPr>
            <w:r>
              <w:rPr>
                <w:sz w:val="20"/>
              </w:rPr>
              <w:t>Basin Bridge GTPS</w:t>
            </w:r>
          </w:p>
        </w:tc>
        <w:tc>
          <w:tcPr>
            <w:tcW w:w="1282" w:type="dxa"/>
          </w:tcPr>
          <w:p w:rsidR="007C5447" w:rsidRDefault="00F6308C">
            <w:pPr>
              <w:pStyle w:val="TableParagraph"/>
              <w:spacing w:before="46"/>
              <w:ind w:right="96"/>
              <w:rPr>
                <w:sz w:val="20"/>
              </w:rPr>
            </w:pPr>
            <w:r>
              <w:rPr>
                <w:sz w:val="20"/>
              </w:rPr>
              <w:t>20.62</w:t>
            </w:r>
          </w:p>
        </w:tc>
        <w:tc>
          <w:tcPr>
            <w:tcW w:w="1544" w:type="dxa"/>
          </w:tcPr>
          <w:p w:rsidR="007C5447" w:rsidRDefault="00F6308C">
            <w:pPr>
              <w:pStyle w:val="TableParagraph"/>
              <w:spacing w:before="46"/>
              <w:ind w:right="99"/>
              <w:rPr>
                <w:sz w:val="20"/>
              </w:rPr>
            </w:pPr>
            <w:r>
              <w:rPr>
                <w:w w:val="95"/>
                <w:sz w:val="20"/>
              </w:rPr>
              <w:t>20.36</w:t>
            </w:r>
          </w:p>
        </w:tc>
        <w:tc>
          <w:tcPr>
            <w:tcW w:w="1374" w:type="dxa"/>
          </w:tcPr>
          <w:p w:rsidR="007C5447" w:rsidRDefault="007C5447">
            <w:pPr>
              <w:pStyle w:val="TableParagraph"/>
              <w:jc w:val="left"/>
              <w:rPr>
                <w:sz w:val="20"/>
              </w:rPr>
            </w:pPr>
          </w:p>
        </w:tc>
        <w:tc>
          <w:tcPr>
            <w:tcW w:w="1501" w:type="dxa"/>
          </w:tcPr>
          <w:p w:rsidR="007C5447" w:rsidRDefault="00F6308C">
            <w:pPr>
              <w:pStyle w:val="TableParagraph"/>
              <w:spacing w:before="46"/>
              <w:ind w:right="98"/>
              <w:rPr>
                <w:sz w:val="20"/>
              </w:rPr>
            </w:pPr>
            <w:r>
              <w:rPr>
                <w:sz w:val="20"/>
              </w:rPr>
              <w:t>12.49</w:t>
            </w:r>
          </w:p>
        </w:tc>
        <w:tc>
          <w:tcPr>
            <w:tcW w:w="1602" w:type="dxa"/>
          </w:tcPr>
          <w:p w:rsidR="007C5447" w:rsidRDefault="00F6308C">
            <w:pPr>
              <w:pStyle w:val="TableParagraph"/>
              <w:spacing w:before="46"/>
              <w:ind w:right="101"/>
              <w:rPr>
                <w:sz w:val="20"/>
              </w:rPr>
            </w:pPr>
            <w:r>
              <w:rPr>
                <w:w w:val="95"/>
                <w:sz w:val="20"/>
              </w:rPr>
              <w:t>15.01</w:t>
            </w:r>
          </w:p>
        </w:tc>
        <w:tc>
          <w:tcPr>
            <w:tcW w:w="1438" w:type="dxa"/>
          </w:tcPr>
          <w:p w:rsidR="007C5447" w:rsidRDefault="007C5447">
            <w:pPr>
              <w:pStyle w:val="TableParagraph"/>
              <w:jc w:val="left"/>
              <w:rPr>
                <w:sz w:val="20"/>
              </w:rPr>
            </w:pPr>
          </w:p>
        </w:tc>
      </w:tr>
      <w:tr w:rsidR="007C5447">
        <w:trPr>
          <w:trHeight w:val="321"/>
        </w:trPr>
        <w:tc>
          <w:tcPr>
            <w:tcW w:w="3027" w:type="dxa"/>
          </w:tcPr>
          <w:p w:rsidR="007C5447" w:rsidRDefault="00F6308C">
            <w:pPr>
              <w:pStyle w:val="TableParagraph"/>
              <w:spacing w:before="77" w:line="224" w:lineRule="exact"/>
              <w:ind w:left="107"/>
              <w:jc w:val="left"/>
              <w:rPr>
                <w:sz w:val="20"/>
              </w:rPr>
            </w:pPr>
            <w:r>
              <w:rPr>
                <w:sz w:val="20"/>
              </w:rPr>
              <w:t>Valathur GTPS</w:t>
            </w:r>
          </w:p>
        </w:tc>
        <w:tc>
          <w:tcPr>
            <w:tcW w:w="1282" w:type="dxa"/>
          </w:tcPr>
          <w:p w:rsidR="007C5447" w:rsidRDefault="00F6308C">
            <w:pPr>
              <w:pStyle w:val="TableParagraph"/>
              <w:spacing w:before="46"/>
              <w:ind w:right="95"/>
              <w:rPr>
                <w:sz w:val="20"/>
              </w:rPr>
            </w:pPr>
            <w:r>
              <w:rPr>
                <w:sz w:val="20"/>
              </w:rPr>
              <w:t>2.15</w:t>
            </w:r>
          </w:p>
        </w:tc>
        <w:tc>
          <w:tcPr>
            <w:tcW w:w="1544" w:type="dxa"/>
          </w:tcPr>
          <w:p w:rsidR="007C5447" w:rsidRDefault="00F6308C">
            <w:pPr>
              <w:pStyle w:val="TableParagraph"/>
              <w:spacing w:before="46"/>
              <w:ind w:right="99"/>
              <w:rPr>
                <w:sz w:val="20"/>
              </w:rPr>
            </w:pPr>
            <w:r>
              <w:rPr>
                <w:sz w:val="20"/>
              </w:rPr>
              <w:t>2.43</w:t>
            </w:r>
          </w:p>
        </w:tc>
        <w:tc>
          <w:tcPr>
            <w:tcW w:w="1374" w:type="dxa"/>
          </w:tcPr>
          <w:p w:rsidR="007C5447" w:rsidRDefault="00F6308C">
            <w:pPr>
              <w:pStyle w:val="TableParagraph"/>
              <w:spacing w:before="46"/>
              <w:ind w:right="100"/>
              <w:rPr>
                <w:sz w:val="20"/>
              </w:rPr>
            </w:pPr>
            <w:r>
              <w:rPr>
                <w:sz w:val="20"/>
              </w:rPr>
              <w:t>2.41</w:t>
            </w:r>
          </w:p>
        </w:tc>
        <w:tc>
          <w:tcPr>
            <w:tcW w:w="1501" w:type="dxa"/>
          </w:tcPr>
          <w:p w:rsidR="007C5447" w:rsidRDefault="00F6308C">
            <w:pPr>
              <w:pStyle w:val="TableParagraph"/>
              <w:spacing w:before="46"/>
              <w:ind w:right="98"/>
              <w:rPr>
                <w:sz w:val="20"/>
              </w:rPr>
            </w:pPr>
            <w:r>
              <w:rPr>
                <w:sz w:val="20"/>
              </w:rPr>
              <w:t>1.73</w:t>
            </w:r>
          </w:p>
        </w:tc>
        <w:tc>
          <w:tcPr>
            <w:tcW w:w="1602" w:type="dxa"/>
          </w:tcPr>
          <w:p w:rsidR="007C5447" w:rsidRDefault="00F6308C">
            <w:pPr>
              <w:pStyle w:val="TableParagraph"/>
              <w:spacing w:before="46"/>
              <w:ind w:right="101"/>
              <w:rPr>
                <w:sz w:val="20"/>
              </w:rPr>
            </w:pPr>
            <w:r>
              <w:rPr>
                <w:sz w:val="20"/>
              </w:rPr>
              <w:t>3.48</w:t>
            </w:r>
          </w:p>
        </w:tc>
        <w:tc>
          <w:tcPr>
            <w:tcW w:w="1438" w:type="dxa"/>
          </w:tcPr>
          <w:p w:rsidR="007C5447" w:rsidRDefault="00F6308C">
            <w:pPr>
              <w:pStyle w:val="TableParagraph"/>
              <w:spacing w:before="46"/>
              <w:ind w:right="104"/>
              <w:rPr>
                <w:sz w:val="20"/>
              </w:rPr>
            </w:pPr>
            <w:r>
              <w:rPr>
                <w:sz w:val="20"/>
              </w:rPr>
              <w:t>2.68</w:t>
            </w:r>
          </w:p>
        </w:tc>
      </w:tr>
    </w:tbl>
    <w:p w:rsidR="007C5447" w:rsidRDefault="007C5447">
      <w:pPr>
        <w:rPr>
          <w:sz w:val="20"/>
        </w:rPr>
        <w:sectPr w:rsidR="007C5447">
          <w:pgSz w:w="16840" w:h="11910" w:orient="landscape"/>
          <w:pgMar w:top="1100" w:right="360" w:bottom="1240" w:left="1340" w:header="0" w:footer="1057" w:gutter="0"/>
          <w:cols w:space="720"/>
        </w:sectPr>
      </w:pPr>
    </w:p>
    <w:p w:rsidR="007C5447" w:rsidRDefault="00F6308C">
      <w:pPr>
        <w:pStyle w:val="Heading2"/>
        <w:numPr>
          <w:ilvl w:val="1"/>
          <w:numId w:val="92"/>
        </w:numPr>
        <w:tabs>
          <w:tab w:val="left" w:pos="707"/>
        </w:tabs>
        <w:spacing w:before="61"/>
        <w:ind w:left="706"/>
        <w:jc w:val="left"/>
      </w:pPr>
      <w:bookmarkStart w:id="52" w:name="_bookmark52"/>
      <w:bookmarkEnd w:id="52"/>
      <w:r>
        <w:lastRenderedPageBreak/>
        <w:t>Power Purchase from other sources for FY 2011-12 to</w:t>
      </w:r>
      <w:r>
        <w:rPr>
          <w:spacing w:val="-14"/>
        </w:rPr>
        <w:t xml:space="preserve"> </w:t>
      </w:r>
      <w:r>
        <w:t>2015-16</w:t>
      </w:r>
    </w:p>
    <w:p w:rsidR="007C5447" w:rsidRDefault="007C5447">
      <w:pPr>
        <w:pStyle w:val="BodyText"/>
        <w:spacing w:before="11"/>
        <w:rPr>
          <w:b/>
          <w:sz w:val="27"/>
        </w:rPr>
      </w:pPr>
    </w:p>
    <w:p w:rsidR="007C5447" w:rsidRDefault="00F6308C">
      <w:pPr>
        <w:pStyle w:val="ListParagraph"/>
        <w:numPr>
          <w:ilvl w:val="2"/>
          <w:numId w:val="92"/>
        </w:numPr>
        <w:tabs>
          <w:tab w:val="left" w:pos="993"/>
        </w:tabs>
        <w:spacing w:line="312" w:lineRule="auto"/>
        <w:ind w:left="992" w:right="131"/>
        <w:jc w:val="both"/>
        <w:rPr>
          <w:sz w:val="24"/>
        </w:rPr>
      </w:pPr>
      <w:r>
        <w:rPr>
          <w:sz w:val="24"/>
        </w:rPr>
        <w:t>TANGEDCO submitted that the power purchase cost available in Audited Accounts for FY 2011-12 to FY 2015-16 is inclusive of Wheeling Charges and Wheeling adjustments. However,</w:t>
      </w:r>
      <w:r>
        <w:rPr>
          <w:sz w:val="24"/>
        </w:rPr>
        <w:t xml:space="preserve"> while considering power purchase in the current petition, Wheeling Charges and Wheeling adjustments have been excluded, in line with the Commission’s approach in the last Tariff</w:t>
      </w:r>
      <w:r>
        <w:rPr>
          <w:spacing w:val="-2"/>
          <w:sz w:val="24"/>
        </w:rPr>
        <w:t xml:space="preserve"> </w:t>
      </w:r>
      <w:r>
        <w:rPr>
          <w:sz w:val="24"/>
        </w:rPr>
        <w:t>Order.</w:t>
      </w:r>
    </w:p>
    <w:p w:rsidR="007C5447" w:rsidRDefault="007C5447">
      <w:pPr>
        <w:pStyle w:val="BodyText"/>
        <w:rPr>
          <w:sz w:val="21"/>
        </w:rPr>
      </w:pPr>
    </w:p>
    <w:p w:rsidR="007C5447" w:rsidRDefault="00F6308C">
      <w:pPr>
        <w:pStyle w:val="Heading2"/>
        <w:ind w:left="992"/>
      </w:pPr>
      <w:r>
        <w:t>Commission’s Views</w:t>
      </w:r>
    </w:p>
    <w:p w:rsidR="007C5447" w:rsidRDefault="00F6308C">
      <w:pPr>
        <w:pStyle w:val="ListParagraph"/>
        <w:numPr>
          <w:ilvl w:val="2"/>
          <w:numId w:val="92"/>
        </w:numPr>
        <w:tabs>
          <w:tab w:val="left" w:pos="993"/>
        </w:tabs>
        <w:spacing w:before="201" w:line="312" w:lineRule="auto"/>
        <w:ind w:left="992" w:right="129"/>
        <w:jc w:val="both"/>
        <w:rPr>
          <w:sz w:val="24"/>
        </w:rPr>
      </w:pPr>
      <w:r>
        <w:rPr>
          <w:sz w:val="24"/>
        </w:rPr>
        <w:t>For truing up purposes, the Commission has conside</w:t>
      </w:r>
      <w:r>
        <w:rPr>
          <w:sz w:val="24"/>
        </w:rPr>
        <w:t>red the actual power purchase as submitted by TANGEDCO. However, power purchase has been restricted to the energy requirement approved by the Commission corresponding to the approved Transmission Loss and Distribution Loss levels, as elaborated in an earli</w:t>
      </w:r>
      <w:r>
        <w:rPr>
          <w:sz w:val="24"/>
        </w:rPr>
        <w:t>er</w:t>
      </w:r>
      <w:r>
        <w:rPr>
          <w:spacing w:val="1"/>
          <w:sz w:val="24"/>
        </w:rPr>
        <w:t xml:space="preserve"> </w:t>
      </w:r>
      <w:r>
        <w:rPr>
          <w:sz w:val="24"/>
        </w:rPr>
        <w:t>Section.</w:t>
      </w:r>
    </w:p>
    <w:p w:rsidR="007C5447" w:rsidRDefault="007C5447">
      <w:pPr>
        <w:pStyle w:val="BodyText"/>
        <w:rPr>
          <w:sz w:val="21"/>
        </w:rPr>
      </w:pPr>
    </w:p>
    <w:p w:rsidR="007C5447" w:rsidRDefault="00F6308C">
      <w:pPr>
        <w:pStyle w:val="ListParagraph"/>
        <w:numPr>
          <w:ilvl w:val="2"/>
          <w:numId w:val="92"/>
        </w:numPr>
        <w:tabs>
          <w:tab w:val="left" w:pos="993"/>
        </w:tabs>
        <w:spacing w:line="312" w:lineRule="auto"/>
        <w:ind w:left="992" w:right="130"/>
        <w:jc w:val="both"/>
        <w:rPr>
          <w:sz w:val="24"/>
        </w:rPr>
      </w:pPr>
      <w:r>
        <w:rPr>
          <w:sz w:val="24"/>
        </w:rPr>
        <w:t>As power purchase submitted by TANGEDCO is in excess of requirement, the Commission has disallowed excess purchase on the basis of Merit Order Dispatch (MOD). Regulation 75(1) of the Tariff Regulations specifies as</w:t>
      </w:r>
      <w:r>
        <w:rPr>
          <w:spacing w:val="-4"/>
          <w:sz w:val="24"/>
        </w:rPr>
        <w:t xml:space="preserve"> </w:t>
      </w:r>
      <w:r>
        <w:rPr>
          <w:sz w:val="24"/>
        </w:rPr>
        <w:t>under:</w:t>
      </w:r>
    </w:p>
    <w:p w:rsidR="007C5447" w:rsidRDefault="007C5447">
      <w:pPr>
        <w:pStyle w:val="BodyText"/>
        <w:spacing w:before="11"/>
        <w:rPr>
          <w:sz w:val="20"/>
        </w:rPr>
      </w:pPr>
    </w:p>
    <w:p w:rsidR="007C5447" w:rsidRDefault="00F6308C">
      <w:pPr>
        <w:pStyle w:val="Heading3"/>
        <w:ind w:left="1580"/>
        <w:jc w:val="both"/>
      </w:pPr>
      <w:r>
        <w:t>“75. Cost of Power Purchase</w:t>
      </w:r>
    </w:p>
    <w:p w:rsidR="007C5447" w:rsidRDefault="007C5447">
      <w:pPr>
        <w:pStyle w:val="BodyText"/>
        <w:spacing w:before="10"/>
        <w:rPr>
          <w:b/>
          <w:i/>
          <w:sz w:val="20"/>
        </w:rPr>
      </w:pPr>
    </w:p>
    <w:p w:rsidR="007C5447" w:rsidRDefault="00F6308C">
      <w:pPr>
        <w:ind w:left="1940" w:right="847" w:hanging="360"/>
        <w:jc w:val="both"/>
        <w:rPr>
          <w:i/>
          <w:sz w:val="24"/>
        </w:rPr>
      </w:pPr>
      <w:r>
        <w:rPr>
          <w:i/>
          <w:sz w:val="24"/>
        </w:rPr>
        <w:t>1) T</w:t>
      </w:r>
      <w:r>
        <w:rPr>
          <w:i/>
          <w:sz w:val="24"/>
        </w:rPr>
        <w:t>he Distribution licensee shall procure power on least cost basis and strictly on merit order despatch and shall have flexibility to procure power from any source in the country.</w:t>
      </w:r>
    </w:p>
    <w:p w:rsidR="007C5447" w:rsidRDefault="00F6308C">
      <w:pPr>
        <w:spacing w:before="1"/>
        <w:ind w:left="1580" w:right="858"/>
        <w:jc w:val="both"/>
        <w:rPr>
          <w:i/>
          <w:sz w:val="24"/>
        </w:rPr>
      </w:pPr>
      <w:r>
        <w:rPr>
          <w:i/>
          <w:sz w:val="24"/>
        </w:rPr>
        <w:t>A two-part tariff structure shall be adopted for all long term contracts to fa</w:t>
      </w:r>
      <w:r>
        <w:rPr>
          <w:i/>
          <w:sz w:val="24"/>
        </w:rPr>
        <w:t>cilitate merit order dispatch.”</w:t>
      </w:r>
    </w:p>
    <w:p w:rsidR="007C5447" w:rsidRDefault="00F6308C">
      <w:pPr>
        <w:pStyle w:val="ListParagraph"/>
        <w:numPr>
          <w:ilvl w:val="2"/>
          <w:numId w:val="92"/>
        </w:numPr>
        <w:tabs>
          <w:tab w:val="left" w:pos="993"/>
        </w:tabs>
        <w:spacing w:before="120" w:line="312" w:lineRule="auto"/>
        <w:ind w:left="992" w:right="130"/>
        <w:jc w:val="both"/>
        <w:rPr>
          <w:sz w:val="24"/>
        </w:rPr>
      </w:pPr>
      <w:r>
        <w:rPr>
          <w:sz w:val="24"/>
        </w:rPr>
        <w:t>For the purpose of determination of total power purchase cost to be allowed after true- up, after disallowing the excess power purchase based on MOD, the Commission has adopted the following</w:t>
      </w:r>
      <w:r>
        <w:rPr>
          <w:spacing w:val="-5"/>
          <w:sz w:val="24"/>
        </w:rPr>
        <w:t xml:space="preserve"> </w:t>
      </w:r>
      <w:r>
        <w:rPr>
          <w:sz w:val="24"/>
        </w:rPr>
        <w:t>methodology:</w:t>
      </w:r>
    </w:p>
    <w:p w:rsidR="007C5447" w:rsidRDefault="00F6308C">
      <w:pPr>
        <w:pStyle w:val="ListParagraph"/>
        <w:numPr>
          <w:ilvl w:val="3"/>
          <w:numId w:val="92"/>
        </w:numPr>
        <w:tabs>
          <w:tab w:val="left" w:pos="1581"/>
        </w:tabs>
        <w:spacing w:line="275" w:lineRule="exact"/>
        <w:ind w:left="1580" w:hanging="356"/>
        <w:jc w:val="both"/>
        <w:rPr>
          <w:sz w:val="24"/>
        </w:rPr>
      </w:pPr>
      <w:r>
        <w:rPr>
          <w:sz w:val="24"/>
        </w:rPr>
        <w:t>Energy available fro</w:t>
      </w:r>
      <w:r>
        <w:rPr>
          <w:sz w:val="24"/>
        </w:rPr>
        <w:t>m Must-Run Power plants will be dispatched</w:t>
      </w:r>
      <w:r>
        <w:rPr>
          <w:spacing w:val="-8"/>
          <w:sz w:val="24"/>
        </w:rPr>
        <w:t xml:space="preserve"> </w:t>
      </w:r>
      <w:r>
        <w:rPr>
          <w:sz w:val="24"/>
        </w:rPr>
        <w:t>first.</w:t>
      </w:r>
    </w:p>
    <w:p w:rsidR="007C5447" w:rsidRDefault="00F6308C">
      <w:pPr>
        <w:pStyle w:val="ListParagraph"/>
        <w:numPr>
          <w:ilvl w:val="3"/>
          <w:numId w:val="92"/>
        </w:numPr>
        <w:tabs>
          <w:tab w:val="left" w:pos="1581"/>
        </w:tabs>
        <w:spacing w:before="84"/>
        <w:ind w:left="1580" w:hanging="423"/>
        <w:jc w:val="both"/>
        <w:rPr>
          <w:sz w:val="24"/>
        </w:rPr>
      </w:pPr>
      <w:r>
        <w:rPr>
          <w:sz w:val="24"/>
        </w:rPr>
        <w:t>Energy availability from Hydro generating plants will not be subjected to</w:t>
      </w:r>
      <w:r>
        <w:rPr>
          <w:spacing w:val="-15"/>
          <w:sz w:val="24"/>
        </w:rPr>
        <w:t xml:space="preserve"> </w:t>
      </w:r>
      <w:r>
        <w:rPr>
          <w:sz w:val="24"/>
        </w:rPr>
        <w:t>MoD.</w:t>
      </w:r>
    </w:p>
    <w:p w:rsidR="007C5447" w:rsidRDefault="007C5447">
      <w:pPr>
        <w:pStyle w:val="BodyText"/>
        <w:spacing w:before="1"/>
        <w:rPr>
          <w:sz w:val="28"/>
        </w:rPr>
      </w:pPr>
    </w:p>
    <w:p w:rsidR="007C5447" w:rsidRDefault="00F6308C">
      <w:pPr>
        <w:ind w:left="3468" w:right="3461"/>
        <w:jc w:val="center"/>
        <w:rPr>
          <w:b/>
        </w:rPr>
      </w:pPr>
      <w:r>
        <w:rPr>
          <w:b/>
        </w:rPr>
        <w:t>Table 3-65: Must run plants</w:t>
      </w:r>
    </w:p>
    <w:p w:rsidR="007C5447" w:rsidRDefault="007C5447">
      <w:pPr>
        <w:pStyle w:val="BodyText"/>
        <w:spacing w:before="11"/>
        <w:rPr>
          <w:b/>
          <w:sz w:val="16"/>
        </w:rPr>
      </w:pPr>
    </w:p>
    <w:tbl>
      <w:tblPr>
        <w:tblW w:w="0" w:type="auto"/>
        <w:tblInd w:w="2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3687"/>
      </w:tblGrid>
      <w:tr w:rsidR="007C5447">
        <w:trPr>
          <w:trHeight w:val="297"/>
        </w:trPr>
        <w:tc>
          <w:tcPr>
            <w:tcW w:w="708" w:type="dxa"/>
            <w:tcBorders>
              <w:bottom w:val="single" w:sz="6" w:space="0" w:color="000000"/>
            </w:tcBorders>
            <w:shd w:val="clear" w:color="auto" w:fill="F7C9AC"/>
          </w:tcPr>
          <w:p w:rsidR="007C5447" w:rsidRDefault="00F6308C">
            <w:pPr>
              <w:pStyle w:val="TableParagraph"/>
              <w:ind w:left="244"/>
              <w:jc w:val="left"/>
              <w:rPr>
                <w:b/>
                <w:sz w:val="20"/>
              </w:rPr>
            </w:pPr>
            <w:r>
              <w:rPr>
                <w:b/>
                <w:sz w:val="20"/>
              </w:rPr>
              <w:t>Sl.</w:t>
            </w:r>
          </w:p>
        </w:tc>
        <w:tc>
          <w:tcPr>
            <w:tcW w:w="3687" w:type="dxa"/>
            <w:tcBorders>
              <w:bottom w:val="single" w:sz="6" w:space="0" w:color="000000"/>
            </w:tcBorders>
            <w:shd w:val="clear" w:color="auto" w:fill="F7C9AC"/>
          </w:tcPr>
          <w:p w:rsidR="007C5447" w:rsidRDefault="00F6308C">
            <w:pPr>
              <w:pStyle w:val="TableParagraph"/>
              <w:ind w:left="1297" w:right="1290"/>
              <w:jc w:val="center"/>
              <w:rPr>
                <w:b/>
                <w:sz w:val="20"/>
              </w:rPr>
            </w:pPr>
            <w:r>
              <w:rPr>
                <w:b/>
                <w:sz w:val="20"/>
              </w:rPr>
              <w:t>Power Plant</w:t>
            </w:r>
          </w:p>
        </w:tc>
      </w:tr>
      <w:tr w:rsidR="007C5447">
        <w:trPr>
          <w:trHeight w:val="297"/>
        </w:trPr>
        <w:tc>
          <w:tcPr>
            <w:tcW w:w="708" w:type="dxa"/>
            <w:tcBorders>
              <w:top w:val="single" w:sz="6" w:space="0" w:color="000000"/>
            </w:tcBorders>
          </w:tcPr>
          <w:p w:rsidR="007C5447" w:rsidRDefault="00F6308C">
            <w:pPr>
              <w:pStyle w:val="TableParagraph"/>
              <w:spacing w:line="228" w:lineRule="exact"/>
              <w:ind w:left="302"/>
              <w:jc w:val="left"/>
              <w:rPr>
                <w:sz w:val="20"/>
              </w:rPr>
            </w:pPr>
            <w:r>
              <w:rPr>
                <w:w w:val="99"/>
                <w:sz w:val="20"/>
              </w:rPr>
              <w:t>1</w:t>
            </w:r>
          </w:p>
        </w:tc>
        <w:tc>
          <w:tcPr>
            <w:tcW w:w="3687" w:type="dxa"/>
            <w:tcBorders>
              <w:top w:val="single" w:sz="6" w:space="0" w:color="000000"/>
            </w:tcBorders>
          </w:tcPr>
          <w:p w:rsidR="007C5447" w:rsidRDefault="00F6308C">
            <w:pPr>
              <w:pStyle w:val="TableParagraph"/>
              <w:spacing w:line="228" w:lineRule="exact"/>
              <w:ind w:left="107"/>
              <w:jc w:val="left"/>
              <w:rPr>
                <w:sz w:val="20"/>
              </w:rPr>
            </w:pPr>
            <w:r>
              <w:rPr>
                <w:sz w:val="20"/>
              </w:rPr>
              <w:t>Nuclear Power Plants</w:t>
            </w:r>
          </w:p>
        </w:tc>
      </w:tr>
      <w:tr w:rsidR="007C5447">
        <w:trPr>
          <w:trHeight w:val="297"/>
        </w:trPr>
        <w:tc>
          <w:tcPr>
            <w:tcW w:w="708" w:type="dxa"/>
          </w:tcPr>
          <w:p w:rsidR="007C5447" w:rsidRDefault="00F6308C">
            <w:pPr>
              <w:pStyle w:val="TableParagraph"/>
              <w:ind w:left="302"/>
              <w:jc w:val="left"/>
              <w:rPr>
                <w:sz w:val="20"/>
              </w:rPr>
            </w:pPr>
            <w:r>
              <w:rPr>
                <w:w w:val="99"/>
                <w:sz w:val="20"/>
              </w:rPr>
              <w:t>2</w:t>
            </w:r>
          </w:p>
        </w:tc>
        <w:tc>
          <w:tcPr>
            <w:tcW w:w="3687" w:type="dxa"/>
          </w:tcPr>
          <w:p w:rsidR="007C5447" w:rsidRDefault="00F6308C">
            <w:pPr>
              <w:pStyle w:val="TableParagraph"/>
              <w:ind w:left="107"/>
              <w:jc w:val="left"/>
              <w:rPr>
                <w:sz w:val="20"/>
              </w:rPr>
            </w:pPr>
            <w:r>
              <w:rPr>
                <w:sz w:val="20"/>
              </w:rPr>
              <w:t>Wind Power Plants</w:t>
            </w:r>
          </w:p>
        </w:tc>
      </w:tr>
      <w:tr w:rsidR="007C5447">
        <w:trPr>
          <w:trHeight w:val="299"/>
        </w:trPr>
        <w:tc>
          <w:tcPr>
            <w:tcW w:w="708" w:type="dxa"/>
          </w:tcPr>
          <w:p w:rsidR="007C5447" w:rsidRDefault="00F6308C">
            <w:pPr>
              <w:pStyle w:val="TableParagraph"/>
              <w:ind w:left="302"/>
              <w:jc w:val="left"/>
              <w:rPr>
                <w:sz w:val="20"/>
              </w:rPr>
            </w:pPr>
            <w:r>
              <w:rPr>
                <w:w w:val="99"/>
                <w:sz w:val="20"/>
              </w:rPr>
              <w:t>3</w:t>
            </w:r>
          </w:p>
        </w:tc>
        <w:tc>
          <w:tcPr>
            <w:tcW w:w="3687" w:type="dxa"/>
          </w:tcPr>
          <w:p w:rsidR="007C5447" w:rsidRDefault="00F6308C">
            <w:pPr>
              <w:pStyle w:val="TableParagraph"/>
              <w:ind w:left="107"/>
              <w:jc w:val="left"/>
              <w:rPr>
                <w:sz w:val="20"/>
              </w:rPr>
            </w:pPr>
            <w:r>
              <w:rPr>
                <w:sz w:val="20"/>
              </w:rPr>
              <w:t>Solar Power Plants</w:t>
            </w:r>
          </w:p>
        </w:tc>
      </w:tr>
      <w:tr w:rsidR="007C5447">
        <w:trPr>
          <w:trHeight w:val="299"/>
        </w:trPr>
        <w:tc>
          <w:tcPr>
            <w:tcW w:w="708" w:type="dxa"/>
          </w:tcPr>
          <w:p w:rsidR="007C5447" w:rsidRDefault="00F6308C">
            <w:pPr>
              <w:pStyle w:val="TableParagraph"/>
              <w:ind w:left="302"/>
              <w:jc w:val="left"/>
              <w:rPr>
                <w:sz w:val="20"/>
              </w:rPr>
            </w:pPr>
            <w:r>
              <w:rPr>
                <w:w w:val="99"/>
                <w:sz w:val="20"/>
              </w:rPr>
              <w:t>4</w:t>
            </w:r>
          </w:p>
        </w:tc>
        <w:tc>
          <w:tcPr>
            <w:tcW w:w="3687" w:type="dxa"/>
          </w:tcPr>
          <w:p w:rsidR="007C5447" w:rsidRDefault="00F6308C">
            <w:pPr>
              <w:pStyle w:val="TableParagraph"/>
              <w:ind w:left="107"/>
              <w:jc w:val="left"/>
              <w:rPr>
                <w:sz w:val="20"/>
              </w:rPr>
            </w:pPr>
            <w:r>
              <w:rPr>
                <w:sz w:val="20"/>
              </w:rPr>
              <w:t>Cogeneration Power Plants</w:t>
            </w:r>
          </w:p>
        </w:tc>
      </w:tr>
    </w:tbl>
    <w:p w:rsidR="007C5447" w:rsidRDefault="00F6308C">
      <w:pPr>
        <w:pStyle w:val="ListParagraph"/>
        <w:numPr>
          <w:ilvl w:val="2"/>
          <w:numId w:val="92"/>
        </w:numPr>
        <w:tabs>
          <w:tab w:val="left" w:pos="993"/>
        </w:tabs>
        <w:spacing w:before="119" w:line="312" w:lineRule="auto"/>
        <w:ind w:left="992" w:right="129"/>
        <w:jc w:val="both"/>
        <w:rPr>
          <w:sz w:val="24"/>
        </w:rPr>
      </w:pPr>
      <w:r>
        <w:rPr>
          <w:sz w:val="24"/>
        </w:rPr>
        <w:t>A detailed break-up of the computation done by the Commission has been attached as Appendix 2. The summary of Power Purchase approved by the Commission after truing up for FY 2011-12 to FY 2015-16 is shown in the Tables</w:t>
      </w:r>
      <w:r>
        <w:rPr>
          <w:spacing w:val="-3"/>
          <w:sz w:val="24"/>
        </w:rPr>
        <w:t xml:space="preserve"> </w:t>
      </w:r>
      <w:r>
        <w:rPr>
          <w:sz w:val="24"/>
        </w:rPr>
        <w:t>below:</w:t>
      </w:r>
    </w:p>
    <w:p w:rsidR="007C5447" w:rsidRDefault="007C5447">
      <w:pPr>
        <w:pStyle w:val="BodyText"/>
        <w:rPr>
          <w:sz w:val="20"/>
        </w:rPr>
      </w:pPr>
    </w:p>
    <w:p w:rsidR="007C5447" w:rsidRDefault="00F6308C">
      <w:pPr>
        <w:pStyle w:val="BodyText"/>
        <w:spacing w:before="7"/>
        <w:rPr>
          <w:sz w:val="27"/>
        </w:rPr>
      </w:pPr>
      <w:r>
        <w:pict>
          <v:line id="_x0000_s1058" style="position:absolute;z-index:-251649024;mso-wrap-distance-left:0;mso-wrap-distance-right:0;mso-position-horizontal-relative:page" from="70.6pt,18.6pt" to="540.2pt,18.6pt" strokeweight="1.44pt">
            <w10:wrap type="topAndBottom" anchorx="page"/>
          </v:line>
        </w:pict>
      </w:r>
    </w:p>
    <w:p w:rsidR="007C5447" w:rsidRDefault="007C5447">
      <w:pPr>
        <w:rPr>
          <w:sz w:val="27"/>
        </w:rPr>
        <w:sectPr w:rsidR="007C5447">
          <w:footerReference w:type="default" r:id="rId36"/>
          <w:pgSz w:w="11910" w:h="16840"/>
          <w:pgMar w:top="1480" w:right="1000" w:bottom="1040" w:left="1300" w:header="0" w:footer="857" w:gutter="0"/>
          <w:cols w:space="720"/>
        </w:sectPr>
      </w:pPr>
    </w:p>
    <w:p w:rsidR="007C5447" w:rsidRDefault="007C5447">
      <w:pPr>
        <w:pStyle w:val="BodyText"/>
        <w:rPr>
          <w:sz w:val="20"/>
        </w:rPr>
      </w:pPr>
    </w:p>
    <w:p w:rsidR="007C5447" w:rsidRDefault="007C5447">
      <w:pPr>
        <w:pStyle w:val="BodyText"/>
        <w:spacing w:before="6"/>
        <w:rPr>
          <w:sz w:val="19"/>
        </w:rPr>
      </w:pPr>
    </w:p>
    <w:p w:rsidR="007C5447" w:rsidRDefault="00F6308C">
      <w:pPr>
        <w:ind w:left="2510" w:right="2466"/>
        <w:jc w:val="center"/>
        <w:rPr>
          <w:b/>
        </w:rPr>
      </w:pPr>
      <w:r>
        <w:rPr>
          <w:b/>
        </w:rPr>
        <w:t>Table 3-66: Summary of Power Purchase approved by the Commission after true-up for FY 2011-12</w:t>
      </w:r>
    </w:p>
    <w:p w:rsidR="007C5447" w:rsidRDefault="007C5447">
      <w:pPr>
        <w:pStyle w:val="BodyText"/>
        <w:spacing w:before="11"/>
        <w:rPr>
          <w:b/>
          <w:sz w:val="16"/>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01"/>
        <w:gridCol w:w="1080"/>
        <w:gridCol w:w="1178"/>
        <w:gridCol w:w="1060"/>
        <w:gridCol w:w="1060"/>
        <w:gridCol w:w="1038"/>
        <w:gridCol w:w="1218"/>
        <w:gridCol w:w="1120"/>
        <w:gridCol w:w="1309"/>
        <w:gridCol w:w="1235"/>
      </w:tblGrid>
      <w:tr w:rsidR="007C5447">
        <w:trPr>
          <w:trHeight w:val="369"/>
        </w:trPr>
        <w:tc>
          <w:tcPr>
            <w:tcW w:w="3401" w:type="dxa"/>
            <w:vMerge w:val="restart"/>
            <w:shd w:val="clear" w:color="auto" w:fill="F7C9AC"/>
          </w:tcPr>
          <w:p w:rsidR="007C5447" w:rsidRDefault="007C5447">
            <w:pPr>
              <w:pStyle w:val="TableParagraph"/>
              <w:jc w:val="left"/>
              <w:rPr>
                <w:b/>
              </w:rPr>
            </w:pPr>
          </w:p>
          <w:p w:rsidR="007C5447" w:rsidRDefault="007C5447">
            <w:pPr>
              <w:pStyle w:val="TableParagraph"/>
              <w:spacing w:before="5"/>
              <w:jc w:val="left"/>
              <w:rPr>
                <w:b/>
              </w:rPr>
            </w:pPr>
          </w:p>
          <w:p w:rsidR="007C5447" w:rsidRDefault="00F6308C">
            <w:pPr>
              <w:pStyle w:val="TableParagraph"/>
              <w:ind w:left="1381" w:right="1372"/>
              <w:jc w:val="center"/>
              <w:rPr>
                <w:b/>
                <w:sz w:val="20"/>
              </w:rPr>
            </w:pPr>
            <w:r>
              <w:rPr>
                <w:b/>
                <w:sz w:val="20"/>
              </w:rPr>
              <w:t>Source</w:t>
            </w:r>
          </w:p>
        </w:tc>
        <w:tc>
          <w:tcPr>
            <w:tcW w:w="10298" w:type="dxa"/>
            <w:gridSpan w:val="9"/>
            <w:shd w:val="clear" w:color="auto" w:fill="F7C9AC"/>
          </w:tcPr>
          <w:p w:rsidR="007C5447" w:rsidRDefault="00F6308C">
            <w:pPr>
              <w:pStyle w:val="TableParagraph"/>
              <w:spacing w:before="70"/>
              <w:ind w:left="4638" w:right="4616"/>
              <w:jc w:val="center"/>
              <w:rPr>
                <w:b/>
                <w:sz w:val="20"/>
              </w:rPr>
            </w:pPr>
            <w:r>
              <w:rPr>
                <w:b/>
                <w:sz w:val="20"/>
              </w:rPr>
              <w:t>FY 2011-12</w:t>
            </w:r>
          </w:p>
        </w:tc>
      </w:tr>
      <w:tr w:rsidR="007C5447">
        <w:trPr>
          <w:trHeight w:val="371"/>
        </w:trPr>
        <w:tc>
          <w:tcPr>
            <w:tcW w:w="3401" w:type="dxa"/>
            <w:vMerge/>
            <w:tcBorders>
              <w:top w:val="nil"/>
            </w:tcBorders>
            <w:shd w:val="clear" w:color="auto" w:fill="F7C9AC"/>
          </w:tcPr>
          <w:p w:rsidR="007C5447" w:rsidRDefault="007C5447">
            <w:pPr>
              <w:rPr>
                <w:sz w:val="2"/>
                <w:szCs w:val="2"/>
              </w:rPr>
            </w:pPr>
          </w:p>
        </w:tc>
        <w:tc>
          <w:tcPr>
            <w:tcW w:w="3318" w:type="dxa"/>
            <w:gridSpan w:val="3"/>
            <w:shd w:val="clear" w:color="auto" w:fill="F7C9AC"/>
          </w:tcPr>
          <w:p w:rsidR="007C5447" w:rsidRDefault="00F6308C">
            <w:pPr>
              <w:pStyle w:val="TableParagraph"/>
              <w:spacing w:before="72"/>
              <w:ind w:left="1124" w:right="1116"/>
              <w:jc w:val="center"/>
              <w:rPr>
                <w:b/>
                <w:sz w:val="20"/>
              </w:rPr>
            </w:pPr>
            <w:r>
              <w:rPr>
                <w:b/>
                <w:sz w:val="20"/>
              </w:rPr>
              <w:t>SMT Order</w:t>
            </w:r>
          </w:p>
        </w:tc>
        <w:tc>
          <w:tcPr>
            <w:tcW w:w="3316" w:type="dxa"/>
            <w:gridSpan w:val="3"/>
            <w:shd w:val="clear" w:color="auto" w:fill="F7C9AC"/>
          </w:tcPr>
          <w:p w:rsidR="007C5447" w:rsidRDefault="00F6308C">
            <w:pPr>
              <w:pStyle w:val="TableParagraph"/>
              <w:spacing w:before="72"/>
              <w:ind w:left="1082"/>
              <w:jc w:val="left"/>
              <w:rPr>
                <w:b/>
                <w:sz w:val="20"/>
              </w:rPr>
            </w:pPr>
            <w:r>
              <w:rPr>
                <w:b/>
                <w:sz w:val="20"/>
              </w:rPr>
              <w:t>TANGEDCO</w:t>
            </w:r>
          </w:p>
        </w:tc>
        <w:tc>
          <w:tcPr>
            <w:tcW w:w="3664" w:type="dxa"/>
            <w:gridSpan w:val="3"/>
            <w:shd w:val="clear" w:color="auto" w:fill="F7C9AC"/>
          </w:tcPr>
          <w:p w:rsidR="007C5447" w:rsidRDefault="00F6308C">
            <w:pPr>
              <w:pStyle w:val="TableParagraph"/>
              <w:spacing w:before="72"/>
              <w:ind w:left="840"/>
              <w:jc w:val="left"/>
              <w:rPr>
                <w:b/>
                <w:sz w:val="20"/>
              </w:rPr>
            </w:pPr>
            <w:r>
              <w:rPr>
                <w:b/>
                <w:sz w:val="20"/>
              </w:rPr>
              <w:t>Approved after true up</w:t>
            </w:r>
          </w:p>
        </w:tc>
      </w:tr>
      <w:tr w:rsidR="007C5447">
        <w:trPr>
          <w:trHeight w:val="489"/>
        </w:trPr>
        <w:tc>
          <w:tcPr>
            <w:tcW w:w="3401" w:type="dxa"/>
            <w:vMerge/>
            <w:tcBorders>
              <w:top w:val="nil"/>
            </w:tcBorders>
            <w:shd w:val="clear" w:color="auto" w:fill="F7C9AC"/>
          </w:tcPr>
          <w:p w:rsidR="007C5447" w:rsidRDefault="007C5447">
            <w:pPr>
              <w:rPr>
                <w:sz w:val="2"/>
                <w:szCs w:val="2"/>
              </w:rPr>
            </w:pPr>
          </w:p>
        </w:tc>
        <w:tc>
          <w:tcPr>
            <w:tcW w:w="1080" w:type="dxa"/>
            <w:shd w:val="clear" w:color="auto" w:fill="F7C9AC"/>
          </w:tcPr>
          <w:p w:rsidR="007C5447" w:rsidRDefault="00F6308C">
            <w:pPr>
              <w:pStyle w:val="TableParagraph"/>
              <w:spacing w:before="14" w:line="230" w:lineRule="atLeast"/>
              <w:ind w:left="307" w:right="98" w:hanging="178"/>
              <w:jc w:val="left"/>
              <w:rPr>
                <w:b/>
                <w:sz w:val="20"/>
              </w:rPr>
            </w:pPr>
            <w:r>
              <w:rPr>
                <w:b/>
                <w:sz w:val="20"/>
              </w:rPr>
              <w:t>Quantum (MU)</w:t>
            </w:r>
          </w:p>
        </w:tc>
        <w:tc>
          <w:tcPr>
            <w:tcW w:w="1178" w:type="dxa"/>
            <w:shd w:val="clear" w:color="auto" w:fill="F7C9AC"/>
          </w:tcPr>
          <w:p w:rsidR="007C5447" w:rsidRDefault="00F6308C">
            <w:pPr>
              <w:pStyle w:val="TableParagraph"/>
              <w:spacing w:before="14" w:line="230" w:lineRule="atLeast"/>
              <w:ind w:left="245" w:right="112" w:hanging="104"/>
              <w:jc w:val="left"/>
              <w:rPr>
                <w:b/>
                <w:sz w:val="20"/>
              </w:rPr>
            </w:pPr>
            <w:r>
              <w:rPr>
                <w:b/>
                <w:sz w:val="20"/>
              </w:rPr>
              <w:t>Total Cost (Rs. Cr)</w:t>
            </w:r>
          </w:p>
        </w:tc>
        <w:tc>
          <w:tcPr>
            <w:tcW w:w="1060" w:type="dxa"/>
            <w:shd w:val="clear" w:color="auto" w:fill="F7C9AC"/>
          </w:tcPr>
          <w:p w:rsidR="007C5447" w:rsidRDefault="00F6308C">
            <w:pPr>
              <w:pStyle w:val="TableParagraph"/>
              <w:spacing w:before="14" w:line="230" w:lineRule="atLeast"/>
              <w:ind w:left="113" w:right="86" w:firstLine="216"/>
              <w:jc w:val="left"/>
              <w:rPr>
                <w:b/>
                <w:sz w:val="20"/>
              </w:rPr>
            </w:pPr>
            <w:r>
              <w:rPr>
                <w:b/>
                <w:sz w:val="20"/>
              </w:rPr>
              <w:t xml:space="preserve">Rate </w:t>
            </w:r>
            <w:r>
              <w:rPr>
                <w:b/>
                <w:w w:val="95"/>
                <w:sz w:val="20"/>
              </w:rPr>
              <w:t>(Rs/kWh)</w:t>
            </w:r>
          </w:p>
        </w:tc>
        <w:tc>
          <w:tcPr>
            <w:tcW w:w="1060" w:type="dxa"/>
            <w:shd w:val="clear" w:color="auto" w:fill="F7C9AC"/>
          </w:tcPr>
          <w:p w:rsidR="007C5447" w:rsidRDefault="00F6308C">
            <w:pPr>
              <w:pStyle w:val="TableParagraph"/>
              <w:spacing w:before="14" w:line="230" w:lineRule="atLeast"/>
              <w:ind w:left="299" w:right="86" w:hanging="178"/>
              <w:jc w:val="left"/>
              <w:rPr>
                <w:b/>
                <w:sz w:val="20"/>
              </w:rPr>
            </w:pPr>
            <w:r>
              <w:rPr>
                <w:b/>
                <w:sz w:val="20"/>
              </w:rPr>
              <w:t>Quantum (MU)</w:t>
            </w:r>
          </w:p>
        </w:tc>
        <w:tc>
          <w:tcPr>
            <w:tcW w:w="1038" w:type="dxa"/>
            <w:shd w:val="clear" w:color="auto" w:fill="F7C9AC"/>
          </w:tcPr>
          <w:p w:rsidR="007C5447" w:rsidRDefault="00F6308C">
            <w:pPr>
              <w:pStyle w:val="TableParagraph"/>
              <w:spacing w:before="14" w:line="230" w:lineRule="atLeast"/>
              <w:ind w:left="178" w:right="141" w:firstLine="148"/>
              <w:jc w:val="left"/>
              <w:rPr>
                <w:b/>
                <w:sz w:val="20"/>
              </w:rPr>
            </w:pPr>
            <w:r>
              <w:rPr>
                <w:b/>
                <w:sz w:val="20"/>
              </w:rPr>
              <w:t>Cost (Rs. Cr)</w:t>
            </w:r>
          </w:p>
        </w:tc>
        <w:tc>
          <w:tcPr>
            <w:tcW w:w="1218" w:type="dxa"/>
            <w:shd w:val="clear" w:color="auto" w:fill="F7C9AC"/>
          </w:tcPr>
          <w:p w:rsidR="007C5447" w:rsidRDefault="00F6308C">
            <w:pPr>
              <w:pStyle w:val="TableParagraph"/>
              <w:spacing w:before="14" w:line="230" w:lineRule="atLeast"/>
              <w:ind w:left="196" w:firstLine="216"/>
              <w:jc w:val="left"/>
              <w:rPr>
                <w:b/>
                <w:sz w:val="20"/>
              </w:rPr>
            </w:pPr>
            <w:r>
              <w:rPr>
                <w:b/>
                <w:sz w:val="20"/>
              </w:rPr>
              <w:t xml:space="preserve">Rate </w:t>
            </w:r>
            <w:r>
              <w:rPr>
                <w:b/>
                <w:w w:val="95"/>
                <w:sz w:val="20"/>
              </w:rPr>
              <w:t>(Rs/kWh)</w:t>
            </w:r>
          </w:p>
        </w:tc>
        <w:tc>
          <w:tcPr>
            <w:tcW w:w="1120" w:type="dxa"/>
            <w:shd w:val="clear" w:color="auto" w:fill="F7C9AC"/>
          </w:tcPr>
          <w:p w:rsidR="007C5447" w:rsidRDefault="00F6308C">
            <w:pPr>
              <w:pStyle w:val="TableParagraph"/>
              <w:spacing w:before="14" w:line="230" w:lineRule="atLeast"/>
              <w:ind w:left="331" w:right="114" w:hanging="178"/>
              <w:jc w:val="left"/>
              <w:rPr>
                <w:b/>
                <w:sz w:val="20"/>
              </w:rPr>
            </w:pPr>
            <w:r>
              <w:rPr>
                <w:b/>
                <w:sz w:val="20"/>
              </w:rPr>
              <w:t>Quantum (MU)</w:t>
            </w:r>
          </w:p>
        </w:tc>
        <w:tc>
          <w:tcPr>
            <w:tcW w:w="1309" w:type="dxa"/>
            <w:shd w:val="clear" w:color="auto" w:fill="F7C9AC"/>
          </w:tcPr>
          <w:p w:rsidR="007C5447" w:rsidRDefault="00F6308C">
            <w:pPr>
              <w:pStyle w:val="TableParagraph"/>
              <w:spacing w:before="14" w:line="230" w:lineRule="atLeast"/>
              <w:ind w:left="316" w:right="172" w:hanging="104"/>
              <w:jc w:val="left"/>
              <w:rPr>
                <w:b/>
                <w:sz w:val="20"/>
              </w:rPr>
            </w:pPr>
            <w:r>
              <w:rPr>
                <w:b/>
                <w:sz w:val="20"/>
              </w:rPr>
              <w:t>Total Cost (Rs. Cr)</w:t>
            </w:r>
          </w:p>
        </w:tc>
        <w:tc>
          <w:tcPr>
            <w:tcW w:w="1235" w:type="dxa"/>
            <w:shd w:val="clear" w:color="auto" w:fill="F7C9AC"/>
          </w:tcPr>
          <w:p w:rsidR="007C5447" w:rsidRDefault="00F6308C">
            <w:pPr>
              <w:pStyle w:val="TableParagraph"/>
              <w:spacing w:before="14" w:line="230" w:lineRule="atLeast"/>
              <w:ind w:left="207" w:firstLine="216"/>
              <w:jc w:val="left"/>
              <w:rPr>
                <w:b/>
                <w:sz w:val="20"/>
              </w:rPr>
            </w:pPr>
            <w:r>
              <w:rPr>
                <w:b/>
                <w:sz w:val="20"/>
              </w:rPr>
              <w:t xml:space="preserve">Rate </w:t>
            </w:r>
            <w:r>
              <w:rPr>
                <w:b/>
                <w:w w:val="95"/>
                <w:sz w:val="20"/>
              </w:rPr>
              <w:t>(Rs/kWh)</w:t>
            </w:r>
          </w:p>
        </w:tc>
      </w:tr>
      <w:tr w:rsidR="007C5447">
        <w:trPr>
          <w:trHeight w:val="369"/>
        </w:trPr>
        <w:tc>
          <w:tcPr>
            <w:tcW w:w="3401" w:type="dxa"/>
          </w:tcPr>
          <w:p w:rsidR="007C5447" w:rsidRDefault="00F6308C">
            <w:pPr>
              <w:pStyle w:val="TableParagraph"/>
              <w:spacing w:before="70"/>
              <w:ind w:left="107"/>
              <w:jc w:val="left"/>
              <w:rPr>
                <w:b/>
                <w:sz w:val="20"/>
              </w:rPr>
            </w:pPr>
            <w:r>
              <w:rPr>
                <w:b/>
                <w:sz w:val="20"/>
              </w:rPr>
              <w:t>Own Generating Stations</w:t>
            </w:r>
          </w:p>
        </w:tc>
        <w:tc>
          <w:tcPr>
            <w:tcW w:w="1080" w:type="dxa"/>
          </w:tcPr>
          <w:p w:rsidR="007C5447" w:rsidRDefault="007C5447">
            <w:pPr>
              <w:pStyle w:val="TableParagraph"/>
              <w:jc w:val="left"/>
              <w:rPr>
                <w:sz w:val="20"/>
              </w:rPr>
            </w:pPr>
          </w:p>
        </w:tc>
        <w:tc>
          <w:tcPr>
            <w:tcW w:w="1178"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38" w:type="dxa"/>
          </w:tcPr>
          <w:p w:rsidR="007C5447" w:rsidRDefault="007C5447">
            <w:pPr>
              <w:pStyle w:val="TableParagraph"/>
              <w:jc w:val="left"/>
              <w:rPr>
                <w:sz w:val="20"/>
              </w:rPr>
            </w:pPr>
          </w:p>
        </w:tc>
        <w:tc>
          <w:tcPr>
            <w:tcW w:w="1218" w:type="dxa"/>
          </w:tcPr>
          <w:p w:rsidR="007C5447" w:rsidRDefault="007C5447">
            <w:pPr>
              <w:pStyle w:val="TableParagraph"/>
              <w:jc w:val="left"/>
              <w:rPr>
                <w:sz w:val="20"/>
              </w:rPr>
            </w:pPr>
          </w:p>
        </w:tc>
        <w:tc>
          <w:tcPr>
            <w:tcW w:w="1120" w:type="dxa"/>
          </w:tcPr>
          <w:p w:rsidR="007C5447" w:rsidRDefault="007C5447">
            <w:pPr>
              <w:pStyle w:val="TableParagraph"/>
              <w:jc w:val="left"/>
              <w:rPr>
                <w:sz w:val="20"/>
              </w:rPr>
            </w:pPr>
          </w:p>
        </w:tc>
        <w:tc>
          <w:tcPr>
            <w:tcW w:w="1309" w:type="dxa"/>
          </w:tcPr>
          <w:p w:rsidR="007C5447" w:rsidRDefault="007C5447">
            <w:pPr>
              <w:pStyle w:val="TableParagraph"/>
              <w:jc w:val="left"/>
              <w:rPr>
                <w:sz w:val="20"/>
              </w:rPr>
            </w:pPr>
          </w:p>
        </w:tc>
        <w:tc>
          <w:tcPr>
            <w:tcW w:w="1235" w:type="dxa"/>
          </w:tcPr>
          <w:p w:rsidR="007C5447" w:rsidRDefault="007C5447">
            <w:pPr>
              <w:pStyle w:val="TableParagraph"/>
              <w:jc w:val="left"/>
              <w:rPr>
                <w:sz w:val="20"/>
              </w:rPr>
            </w:pPr>
          </w:p>
        </w:tc>
      </w:tr>
      <w:tr w:rsidR="007C5447">
        <w:trPr>
          <w:trHeight w:val="372"/>
        </w:trPr>
        <w:tc>
          <w:tcPr>
            <w:tcW w:w="3401" w:type="dxa"/>
          </w:tcPr>
          <w:p w:rsidR="007C5447" w:rsidRDefault="00F6308C">
            <w:pPr>
              <w:pStyle w:val="TableParagraph"/>
              <w:spacing w:before="73"/>
              <w:ind w:left="107"/>
              <w:jc w:val="left"/>
              <w:rPr>
                <w:sz w:val="20"/>
              </w:rPr>
            </w:pPr>
            <w:r>
              <w:rPr>
                <w:sz w:val="20"/>
              </w:rPr>
              <w:t>Ennore TPS</w:t>
            </w:r>
          </w:p>
        </w:tc>
        <w:tc>
          <w:tcPr>
            <w:tcW w:w="1080" w:type="dxa"/>
          </w:tcPr>
          <w:p w:rsidR="007C5447" w:rsidRDefault="00F6308C">
            <w:pPr>
              <w:pStyle w:val="TableParagraph"/>
              <w:spacing w:before="73"/>
              <w:ind w:right="98"/>
              <w:rPr>
                <w:sz w:val="20"/>
              </w:rPr>
            </w:pPr>
            <w:r>
              <w:rPr>
                <w:w w:val="95"/>
                <w:sz w:val="20"/>
              </w:rPr>
              <w:t>744.02</w:t>
            </w:r>
          </w:p>
        </w:tc>
        <w:tc>
          <w:tcPr>
            <w:tcW w:w="1178" w:type="dxa"/>
          </w:tcPr>
          <w:p w:rsidR="007C5447" w:rsidRDefault="00F6308C">
            <w:pPr>
              <w:pStyle w:val="TableParagraph"/>
              <w:spacing w:before="73"/>
              <w:ind w:right="94"/>
              <w:rPr>
                <w:sz w:val="20"/>
              </w:rPr>
            </w:pPr>
            <w:r>
              <w:rPr>
                <w:w w:val="95"/>
                <w:sz w:val="20"/>
              </w:rPr>
              <w:t>368.14</w:t>
            </w:r>
          </w:p>
        </w:tc>
        <w:tc>
          <w:tcPr>
            <w:tcW w:w="1060" w:type="dxa"/>
          </w:tcPr>
          <w:p w:rsidR="007C5447" w:rsidRDefault="00F6308C">
            <w:pPr>
              <w:pStyle w:val="TableParagraph"/>
              <w:spacing w:before="73"/>
              <w:ind w:right="96"/>
              <w:rPr>
                <w:sz w:val="20"/>
              </w:rPr>
            </w:pPr>
            <w:r>
              <w:rPr>
                <w:sz w:val="20"/>
              </w:rPr>
              <w:t>4.95</w:t>
            </w:r>
          </w:p>
        </w:tc>
        <w:tc>
          <w:tcPr>
            <w:tcW w:w="1060" w:type="dxa"/>
          </w:tcPr>
          <w:p w:rsidR="007C5447" w:rsidRDefault="00F6308C">
            <w:pPr>
              <w:pStyle w:val="TableParagraph"/>
              <w:spacing w:before="73"/>
              <w:ind w:right="95"/>
              <w:rPr>
                <w:sz w:val="20"/>
              </w:rPr>
            </w:pPr>
            <w:r>
              <w:rPr>
                <w:w w:val="95"/>
                <w:sz w:val="20"/>
              </w:rPr>
              <w:t>744.02</w:t>
            </w:r>
          </w:p>
        </w:tc>
        <w:tc>
          <w:tcPr>
            <w:tcW w:w="1038" w:type="dxa"/>
          </w:tcPr>
          <w:p w:rsidR="007C5447" w:rsidRDefault="00F6308C">
            <w:pPr>
              <w:pStyle w:val="TableParagraph"/>
              <w:spacing w:before="73"/>
              <w:ind w:right="93"/>
              <w:rPr>
                <w:sz w:val="20"/>
              </w:rPr>
            </w:pPr>
            <w:r>
              <w:rPr>
                <w:w w:val="95"/>
                <w:sz w:val="20"/>
              </w:rPr>
              <w:t>689.90</w:t>
            </w:r>
          </w:p>
        </w:tc>
        <w:tc>
          <w:tcPr>
            <w:tcW w:w="1218" w:type="dxa"/>
          </w:tcPr>
          <w:p w:rsidR="007C5447" w:rsidRDefault="00F6308C">
            <w:pPr>
              <w:pStyle w:val="TableParagraph"/>
              <w:spacing w:before="73"/>
              <w:ind w:right="92"/>
              <w:rPr>
                <w:sz w:val="20"/>
              </w:rPr>
            </w:pPr>
            <w:r>
              <w:rPr>
                <w:sz w:val="20"/>
              </w:rPr>
              <w:t>9.27</w:t>
            </w:r>
          </w:p>
        </w:tc>
        <w:tc>
          <w:tcPr>
            <w:tcW w:w="1120" w:type="dxa"/>
          </w:tcPr>
          <w:p w:rsidR="007C5447" w:rsidRDefault="00F6308C">
            <w:pPr>
              <w:pStyle w:val="TableParagraph"/>
              <w:spacing w:before="73"/>
              <w:ind w:right="91"/>
              <w:rPr>
                <w:sz w:val="20"/>
              </w:rPr>
            </w:pPr>
            <w:r>
              <w:rPr>
                <w:w w:val="95"/>
                <w:sz w:val="20"/>
              </w:rPr>
              <w:t>744.02</w:t>
            </w:r>
          </w:p>
        </w:tc>
        <w:tc>
          <w:tcPr>
            <w:tcW w:w="1309" w:type="dxa"/>
          </w:tcPr>
          <w:p w:rsidR="007C5447" w:rsidRDefault="00F6308C">
            <w:pPr>
              <w:pStyle w:val="TableParagraph"/>
              <w:spacing w:before="73"/>
              <w:ind w:right="92"/>
              <w:rPr>
                <w:sz w:val="20"/>
              </w:rPr>
            </w:pPr>
            <w:r>
              <w:rPr>
                <w:w w:val="95"/>
                <w:sz w:val="20"/>
              </w:rPr>
              <w:t>381.97</w:t>
            </w:r>
          </w:p>
        </w:tc>
        <w:tc>
          <w:tcPr>
            <w:tcW w:w="1235" w:type="dxa"/>
          </w:tcPr>
          <w:p w:rsidR="007C5447" w:rsidRDefault="00F6308C">
            <w:pPr>
              <w:pStyle w:val="TableParagraph"/>
              <w:spacing w:before="73"/>
              <w:ind w:right="91"/>
              <w:rPr>
                <w:sz w:val="20"/>
              </w:rPr>
            </w:pPr>
            <w:r>
              <w:rPr>
                <w:sz w:val="20"/>
              </w:rPr>
              <w:t>5.13</w:t>
            </w:r>
          </w:p>
        </w:tc>
      </w:tr>
      <w:tr w:rsidR="007C5447">
        <w:trPr>
          <w:trHeight w:val="369"/>
        </w:trPr>
        <w:tc>
          <w:tcPr>
            <w:tcW w:w="3401" w:type="dxa"/>
          </w:tcPr>
          <w:p w:rsidR="007C5447" w:rsidRDefault="00F6308C">
            <w:pPr>
              <w:pStyle w:val="TableParagraph"/>
              <w:spacing w:before="70"/>
              <w:ind w:left="107"/>
              <w:jc w:val="left"/>
              <w:rPr>
                <w:sz w:val="20"/>
              </w:rPr>
            </w:pPr>
            <w:r>
              <w:rPr>
                <w:sz w:val="20"/>
              </w:rPr>
              <w:t>Tuticorin TPS</w:t>
            </w:r>
          </w:p>
        </w:tc>
        <w:tc>
          <w:tcPr>
            <w:tcW w:w="1080" w:type="dxa"/>
          </w:tcPr>
          <w:p w:rsidR="007C5447" w:rsidRDefault="00F6308C">
            <w:pPr>
              <w:pStyle w:val="TableParagraph"/>
              <w:spacing w:before="70"/>
              <w:ind w:right="96"/>
              <w:rPr>
                <w:sz w:val="20"/>
              </w:rPr>
            </w:pPr>
            <w:r>
              <w:rPr>
                <w:w w:val="95"/>
                <w:sz w:val="20"/>
              </w:rPr>
              <w:t>7,262.24</w:t>
            </w:r>
          </w:p>
        </w:tc>
        <w:tc>
          <w:tcPr>
            <w:tcW w:w="1178" w:type="dxa"/>
          </w:tcPr>
          <w:p w:rsidR="007C5447" w:rsidRDefault="00F6308C">
            <w:pPr>
              <w:pStyle w:val="TableParagraph"/>
              <w:spacing w:before="70"/>
              <w:ind w:right="92"/>
              <w:rPr>
                <w:sz w:val="20"/>
              </w:rPr>
            </w:pPr>
            <w:r>
              <w:rPr>
                <w:w w:val="95"/>
                <w:sz w:val="20"/>
              </w:rPr>
              <w:t>2,699.18</w:t>
            </w:r>
          </w:p>
        </w:tc>
        <w:tc>
          <w:tcPr>
            <w:tcW w:w="1060" w:type="dxa"/>
          </w:tcPr>
          <w:p w:rsidR="007C5447" w:rsidRDefault="00F6308C">
            <w:pPr>
              <w:pStyle w:val="TableParagraph"/>
              <w:spacing w:before="70"/>
              <w:ind w:right="96"/>
              <w:rPr>
                <w:sz w:val="20"/>
              </w:rPr>
            </w:pPr>
            <w:r>
              <w:rPr>
                <w:sz w:val="20"/>
              </w:rPr>
              <w:t>3.72</w:t>
            </w:r>
          </w:p>
        </w:tc>
        <w:tc>
          <w:tcPr>
            <w:tcW w:w="1060" w:type="dxa"/>
          </w:tcPr>
          <w:p w:rsidR="007C5447" w:rsidRDefault="00F6308C">
            <w:pPr>
              <w:pStyle w:val="TableParagraph"/>
              <w:spacing w:before="70"/>
              <w:ind w:right="93"/>
              <w:rPr>
                <w:sz w:val="20"/>
              </w:rPr>
            </w:pPr>
            <w:r>
              <w:rPr>
                <w:w w:val="95"/>
                <w:sz w:val="20"/>
              </w:rPr>
              <w:t>7,262.24</w:t>
            </w:r>
          </w:p>
        </w:tc>
        <w:tc>
          <w:tcPr>
            <w:tcW w:w="1038" w:type="dxa"/>
          </w:tcPr>
          <w:p w:rsidR="007C5447" w:rsidRDefault="00F6308C">
            <w:pPr>
              <w:pStyle w:val="TableParagraph"/>
              <w:spacing w:before="70"/>
              <w:ind w:right="91"/>
              <w:rPr>
                <w:sz w:val="20"/>
              </w:rPr>
            </w:pPr>
            <w:r>
              <w:rPr>
                <w:w w:val="95"/>
                <w:sz w:val="20"/>
              </w:rPr>
              <w:t>3,179.47</w:t>
            </w:r>
          </w:p>
        </w:tc>
        <w:tc>
          <w:tcPr>
            <w:tcW w:w="1218" w:type="dxa"/>
          </w:tcPr>
          <w:p w:rsidR="007C5447" w:rsidRDefault="00F6308C">
            <w:pPr>
              <w:pStyle w:val="TableParagraph"/>
              <w:spacing w:before="70"/>
              <w:ind w:right="92"/>
              <w:rPr>
                <w:sz w:val="20"/>
              </w:rPr>
            </w:pPr>
            <w:r>
              <w:rPr>
                <w:sz w:val="20"/>
              </w:rPr>
              <w:t>4.38</w:t>
            </w:r>
          </w:p>
        </w:tc>
        <w:tc>
          <w:tcPr>
            <w:tcW w:w="1120" w:type="dxa"/>
          </w:tcPr>
          <w:p w:rsidR="007C5447" w:rsidRDefault="00F6308C">
            <w:pPr>
              <w:pStyle w:val="TableParagraph"/>
              <w:spacing w:before="70"/>
              <w:ind w:right="89"/>
              <w:rPr>
                <w:sz w:val="20"/>
              </w:rPr>
            </w:pPr>
            <w:r>
              <w:rPr>
                <w:w w:val="95"/>
                <w:sz w:val="20"/>
              </w:rPr>
              <w:t>7,262.24</w:t>
            </w:r>
          </w:p>
        </w:tc>
        <w:tc>
          <w:tcPr>
            <w:tcW w:w="1309" w:type="dxa"/>
          </w:tcPr>
          <w:p w:rsidR="007C5447" w:rsidRDefault="00F6308C">
            <w:pPr>
              <w:pStyle w:val="TableParagraph"/>
              <w:spacing w:before="70"/>
              <w:ind w:right="90"/>
              <w:rPr>
                <w:sz w:val="20"/>
              </w:rPr>
            </w:pPr>
            <w:r>
              <w:rPr>
                <w:w w:val="95"/>
                <w:sz w:val="20"/>
              </w:rPr>
              <w:t>2,686.39</w:t>
            </w:r>
          </w:p>
        </w:tc>
        <w:tc>
          <w:tcPr>
            <w:tcW w:w="1235" w:type="dxa"/>
          </w:tcPr>
          <w:p w:rsidR="007C5447" w:rsidRDefault="00F6308C">
            <w:pPr>
              <w:pStyle w:val="TableParagraph"/>
              <w:spacing w:before="70"/>
              <w:ind w:right="91"/>
              <w:rPr>
                <w:sz w:val="20"/>
              </w:rPr>
            </w:pPr>
            <w:r>
              <w:rPr>
                <w:sz w:val="20"/>
              </w:rPr>
              <w:t>3.70</w:t>
            </w:r>
          </w:p>
        </w:tc>
      </w:tr>
      <w:tr w:rsidR="007C5447">
        <w:trPr>
          <w:trHeight w:val="369"/>
        </w:trPr>
        <w:tc>
          <w:tcPr>
            <w:tcW w:w="3401" w:type="dxa"/>
          </w:tcPr>
          <w:p w:rsidR="007C5447" w:rsidRDefault="00F6308C">
            <w:pPr>
              <w:pStyle w:val="TableParagraph"/>
              <w:spacing w:before="70"/>
              <w:ind w:left="107"/>
              <w:jc w:val="left"/>
              <w:rPr>
                <w:sz w:val="20"/>
              </w:rPr>
            </w:pPr>
            <w:r>
              <w:rPr>
                <w:sz w:val="20"/>
              </w:rPr>
              <w:t>Mettur TPS</w:t>
            </w:r>
          </w:p>
        </w:tc>
        <w:tc>
          <w:tcPr>
            <w:tcW w:w="1080" w:type="dxa"/>
          </w:tcPr>
          <w:p w:rsidR="007C5447" w:rsidRDefault="00F6308C">
            <w:pPr>
              <w:pStyle w:val="TableParagraph"/>
              <w:spacing w:before="70"/>
              <w:ind w:right="96"/>
              <w:rPr>
                <w:sz w:val="20"/>
              </w:rPr>
            </w:pPr>
            <w:r>
              <w:rPr>
                <w:w w:val="95"/>
                <w:sz w:val="20"/>
              </w:rPr>
              <w:t>6,279.21</w:t>
            </w:r>
          </w:p>
        </w:tc>
        <w:tc>
          <w:tcPr>
            <w:tcW w:w="1178" w:type="dxa"/>
          </w:tcPr>
          <w:p w:rsidR="007C5447" w:rsidRDefault="00F6308C">
            <w:pPr>
              <w:pStyle w:val="TableParagraph"/>
              <w:spacing w:before="70"/>
              <w:ind w:right="92"/>
              <w:rPr>
                <w:sz w:val="20"/>
              </w:rPr>
            </w:pPr>
            <w:r>
              <w:rPr>
                <w:w w:val="95"/>
                <w:sz w:val="20"/>
              </w:rPr>
              <w:t>2,570.76</w:t>
            </w:r>
          </w:p>
        </w:tc>
        <w:tc>
          <w:tcPr>
            <w:tcW w:w="1060" w:type="dxa"/>
          </w:tcPr>
          <w:p w:rsidR="007C5447" w:rsidRDefault="00F6308C">
            <w:pPr>
              <w:pStyle w:val="TableParagraph"/>
              <w:spacing w:before="70"/>
              <w:ind w:right="95"/>
              <w:rPr>
                <w:sz w:val="20"/>
              </w:rPr>
            </w:pPr>
            <w:r>
              <w:rPr>
                <w:sz w:val="20"/>
              </w:rPr>
              <w:t>4.09</w:t>
            </w:r>
          </w:p>
        </w:tc>
        <w:tc>
          <w:tcPr>
            <w:tcW w:w="1060" w:type="dxa"/>
          </w:tcPr>
          <w:p w:rsidR="007C5447" w:rsidRDefault="00F6308C">
            <w:pPr>
              <w:pStyle w:val="TableParagraph"/>
              <w:spacing w:before="70"/>
              <w:ind w:right="93"/>
              <w:rPr>
                <w:sz w:val="20"/>
              </w:rPr>
            </w:pPr>
            <w:r>
              <w:rPr>
                <w:w w:val="95"/>
                <w:sz w:val="20"/>
              </w:rPr>
              <w:t>6,279.21</w:t>
            </w:r>
          </w:p>
        </w:tc>
        <w:tc>
          <w:tcPr>
            <w:tcW w:w="1038" w:type="dxa"/>
          </w:tcPr>
          <w:p w:rsidR="007C5447" w:rsidRDefault="00F6308C">
            <w:pPr>
              <w:pStyle w:val="TableParagraph"/>
              <w:spacing w:before="70"/>
              <w:ind w:right="91"/>
              <w:rPr>
                <w:sz w:val="20"/>
              </w:rPr>
            </w:pPr>
            <w:r>
              <w:rPr>
                <w:w w:val="95"/>
                <w:sz w:val="20"/>
              </w:rPr>
              <w:t>2,207.54</w:t>
            </w:r>
          </w:p>
        </w:tc>
        <w:tc>
          <w:tcPr>
            <w:tcW w:w="1218" w:type="dxa"/>
          </w:tcPr>
          <w:p w:rsidR="007C5447" w:rsidRDefault="00F6308C">
            <w:pPr>
              <w:pStyle w:val="TableParagraph"/>
              <w:spacing w:before="70"/>
              <w:ind w:right="92"/>
              <w:rPr>
                <w:sz w:val="20"/>
              </w:rPr>
            </w:pPr>
            <w:r>
              <w:rPr>
                <w:sz w:val="20"/>
              </w:rPr>
              <w:t>3.52</w:t>
            </w:r>
          </w:p>
        </w:tc>
        <w:tc>
          <w:tcPr>
            <w:tcW w:w="1120" w:type="dxa"/>
          </w:tcPr>
          <w:p w:rsidR="007C5447" w:rsidRDefault="00F6308C">
            <w:pPr>
              <w:pStyle w:val="TableParagraph"/>
              <w:spacing w:before="70"/>
              <w:ind w:right="89"/>
              <w:rPr>
                <w:sz w:val="20"/>
              </w:rPr>
            </w:pPr>
            <w:r>
              <w:rPr>
                <w:w w:val="95"/>
                <w:sz w:val="20"/>
              </w:rPr>
              <w:t>6,279.21</w:t>
            </w:r>
          </w:p>
        </w:tc>
        <w:tc>
          <w:tcPr>
            <w:tcW w:w="1309" w:type="dxa"/>
          </w:tcPr>
          <w:p w:rsidR="007C5447" w:rsidRDefault="00F6308C">
            <w:pPr>
              <w:pStyle w:val="TableParagraph"/>
              <w:spacing w:before="70"/>
              <w:ind w:right="90"/>
              <w:rPr>
                <w:sz w:val="20"/>
              </w:rPr>
            </w:pPr>
            <w:r>
              <w:rPr>
                <w:w w:val="95"/>
                <w:sz w:val="20"/>
              </w:rPr>
              <w:t>2,055.29</w:t>
            </w:r>
          </w:p>
        </w:tc>
        <w:tc>
          <w:tcPr>
            <w:tcW w:w="1235" w:type="dxa"/>
          </w:tcPr>
          <w:p w:rsidR="007C5447" w:rsidRDefault="00F6308C">
            <w:pPr>
              <w:pStyle w:val="TableParagraph"/>
              <w:spacing w:before="70"/>
              <w:ind w:right="91"/>
              <w:rPr>
                <w:sz w:val="20"/>
              </w:rPr>
            </w:pPr>
            <w:r>
              <w:rPr>
                <w:sz w:val="20"/>
              </w:rPr>
              <w:t>3.27</w:t>
            </w:r>
          </w:p>
        </w:tc>
      </w:tr>
      <w:tr w:rsidR="007C5447">
        <w:trPr>
          <w:trHeight w:val="371"/>
        </w:trPr>
        <w:tc>
          <w:tcPr>
            <w:tcW w:w="3401" w:type="dxa"/>
          </w:tcPr>
          <w:p w:rsidR="007C5447" w:rsidRDefault="00F6308C">
            <w:pPr>
              <w:pStyle w:val="TableParagraph"/>
              <w:spacing w:before="72"/>
              <w:ind w:left="107"/>
              <w:jc w:val="left"/>
              <w:rPr>
                <w:sz w:val="20"/>
              </w:rPr>
            </w:pPr>
            <w:r>
              <w:rPr>
                <w:sz w:val="20"/>
              </w:rPr>
              <w:t>North Chennai TPS</w:t>
            </w:r>
          </w:p>
        </w:tc>
        <w:tc>
          <w:tcPr>
            <w:tcW w:w="1080" w:type="dxa"/>
          </w:tcPr>
          <w:p w:rsidR="007C5447" w:rsidRDefault="00F6308C">
            <w:pPr>
              <w:pStyle w:val="TableParagraph"/>
              <w:spacing w:before="72"/>
              <w:ind w:right="96"/>
              <w:rPr>
                <w:sz w:val="20"/>
              </w:rPr>
            </w:pPr>
            <w:r>
              <w:rPr>
                <w:w w:val="95"/>
                <w:sz w:val="20"/>
              </w:rPr>
              <w:t>4,301.14</w:t>
            </w:r>
          </w:p>
        </w:tc>
        <w:tc>
          <w:tcPr>
            <w:tcW w:w="1178" w:type="dxa"/>
          </w:tcPr>
          <w:p w:rsidR="007C5447" w:rsidRDefault="00F6308C">
            <w:pPr>
              <w:pStyle w:val="TableParagraph"/>
              <w:spacing w:before="72"/>
              <w:ind w:right="92"/>
              <w:rPr>
                <w:sz w:val="20"/>
              </w:rPr>
            </w:pPr>
            <w:r>
              <w:rPr>
                <w:w w:val="95"/>
                <w:sz w:val="20"/>
              </w:rPr>
              <w:t>1,238.41</w:t>
            </w:r>
          </w:p>
        </w:tc>
        <w:tc>
          <w:tcPr>
            <w:tcW w:w="1060" w:type="dxa"/>
          </w:tcPr>
          <w:p w:rsidR="007C5447" w:rsidRDefault="00F6308C">
            <w:pPr>
              <w:pStyle w:val="TableParagraph"/>
              <w:spacing w:before="72"/>
              <w:ind w:right="96"/>
              <w:rPr>
                <w:sz w:val="20"/>
              </w:rPr>
            </w:pPr>
            <w:r>
              <w:rPr>
                <w:sz w:val="20"/>
              </w:rPr>
              <w:t>2.88</w:t>
            </w:r>
          </w:p>
        </w:tc>
        <w:tc>
          <w:tcPr>
            <w:tcW w:w="1060" w:type="dxa"/>
          </w:tcPr>
          <w:p w:rsidR="007C5447" w:rsidRDefault="00F6308C">
            <w:pPr>
              <w:pStyle w:val="TableParagraph"/>
              <w:spacing w:before="72"/>
              <w:ind w:right="93"/>
              <w:rPr>
                <w:sz w:val="20"/>
              </w:rPr>
            </w:pPr>
            <w:r>
              <w:rPr>
                <w:w w:val="95"/>
                <w:sz w:val="20"/>
              </w:rPr>
              <w:t>4,301.14</w:t>
            </w:r>
          </w:p>
        </w:tc>
        <w:tc>
          <w:tcPr>
            <w:tcW w:w="1038" w:type="dxa"/>
          </w:tcPr>
          <w:p w:rsidR="007C5447" w:rsidRDefault="00F6308C">
            <w:pPr>
              <w:pStyle w:val="TableParagraph"/>
              <w:spacing w:before="72"/>
              <w:ind w:right="91"/>
              <w:rPr>
                <w:sz w:val="20"/>
              </w:rPr>
            </w:pPr>
            <w:r>
              <w:rPr>
                <w:w w:val="95"/>
                <w:sz w:val="20"/>
              </w:rPr>
              <w:t>1,654.96</w:t>
            </w:r>
          </w:p>
        </w:tc>
        <w:tc>
          <w:tcPr>
            <w:tcW w:w="1218" w:type="dxa"/>
          </w:tcPr>
          <w:p w:rsidR="007C5447" w:rsidRDefault="00F6308C">
            <w:pPr>
              <w:pStyle w:val="TableParagraph"/>
              <w:spacing w:before="72"/>
              <w:ind w:right="92"/>
              <w:rPr>
                <w:sz w:val="20"/>
              </w:rPr>
            </w:pPr>
            <w:r>
              <w:rPr>
                <w:sz w:val="20"/>
              </w:rPr>
              <w:t>3.85</w:t>
            </w:r>
          </w:p>
        </w:tc>
        <w:tc>
          <w:tcPr>
            <w:tcW w:w="1120" w:type="dxa"/>
          </w:tcPr>
          <w:p w:rsidR="007C5447" w:rsidRDefault="00F6308C">
            <w:pPr>
              <w:pStyle w:val="TableParagraph"/>
              <w:spacing w:before="72"/>
              <w:ind w:right="89"/>
              <w:rPr>
                <w:sz w:val="20"/>
              </w:rPr>
            </w:pPr>
            <w:r>
              <w:rPr>
                <w:w w:val="95"/>
                <w:sz w:val="20"/>
              </w:rPr>
              <w:t>4,301.14</w:t>
            </w:r>
          </w:p>
        </w:tc>
        <w:tc>
          <w:tcPr>
            <w:tcW w:w="1309" w:type="dxa"/>
          </w:tcPr>
          <w:p w:rsidR="007C5447" w:rsidRDefault="00F6308C">
            <w:pPr>
              <w:pStyle w:val="TableParagraph"/>
              <w:spacing w:before="72"/>
              <w:ind w:right="92"/>
              <w:rPr>
                <w:sz w:val="20"/>
              </w:rPr>
            </w:pPr>
            <w:r>
              <w:rPr>
                <w:w w:val="95"/>
                <w:sz w:val="20"/>
              </w:rPr>
              <w:t>324.03</w:t>
            </w:r>
          </w:p>
        </w:tc>
        <w:tc>
          <w:tcPr>
            <w:tcW w:w="1235" w:type="dxa"/>
          </w:tcPr>
          <w:p w:rsidR="007C5447" w:rsidRDefault="00F6308C">
            <w:pPr>
              <w:pStyle w:val="TableParagraph"/>
              <w:spacing w:before="72"/>
              <w:ind w:right="91"/>
              <w:rPr>
                <w:sz w:val="20"/>
              </w:rPr>
            </w:pPr>
            <w:r>
              <w:rPr>
                <w:sz w:val="20"/>
              </w:rPr>
              <w:t>0.75</w:t>
            </w:r>
          </w:p>
        </w:tc>
      </w:tr>
      <w:tr w:rsidR="007C5447">
        <w:trPr>
          <w:trHeight w:val="369"/>
        </w:trPr>
        <w:tc>
          <w:tcPr>
            <w:tcW w:w="3401" w:type="dxa"/>
          </w:tcPr>
          <w:p w:rsidR="007C5447" w:rsidRDefault="00F6308C">
            <w:pPr>
              <w:pStyle w:val="TableParagraph"/>
              <w:spacing w:before="70"/>
              <w:ind w:left="107"/>
              <w:jc w:val="left"/>
              <w:rPr>
                <w:b/>
                <w:sz w:val="20"/>
              </w:rPr>
            </w:pPr>
            <w:r>
              <w:rPr>
                <w:b/>
                <w:sz w:val="20"/>
              </w:rPr>
              <w:t>Total Thermal</w:t>
            </w:r>
          </w:p>
        </w:tc>
        <w:tc>
          <w:tcPr>
            <w:tcW w:w="1080" w:type="dxa"/>
          </w:tcPr>
          <w:p w:rsidR="007C5447" w:rsidRDefault="00F6308C">
            <w:pPr>
              <w:pStyle w:val="TableParagraph"/>
              <w:spacing w:before="70"/>
              <w:ind w:right="98"/>
              <w:rPr>
                <w:b/>
                <w:sz w:val="20"/>
              </w:rPr>
            </w:pPr>
            <w:r>
              <w:rPr>
                <w:b/>
                <w:w w:val="95"/>
                <w:sz w:val="20"/>
              </w:rPr>
              <w:t>18,586.62</w:t>
            </w:r>
          </w:p>
        </w:tc>
        <w:tc>
          <w:tcPr>
            <w:tcW w:w="1178" w:type="dxa"/>
          </w:tcPr>
          <w:p w:rsidR="007C5447" w:rsidRDefault="00F6308C">
            <w:pPr>
              <w:pStyle w:val="TableParagraph"/>
              <w:spacing w:before="70"/>
              <w:ind w:right="92"/>
              <w:rPr>
                <w:b/>
                <w:sz w:val="20"/>
              </w:rPr>
            </w:pPr>
            <w:r>
              <w:rPr>
                <w:b/>
                <w:w w:val="95"/>
                <w:sz w:val="20"/>
              </w:rPr>
              <w:t>6,876.49</w:t>
            </w:r>
          </w:p>
        </w:tc>
        <w:tc>
          <w:tcPr>
            <w:tcW w:w="1060" w:type="dxa"/>
          </w:tcPr>
          <w:p w:rsidR="007C5447" w:rsidRDefault="00F6308C">
            <w:pPr>
              <w:pStyle w:val="TableParagraph"/>
              <w:spacing w:before="70"/>
              <w:ind w:right="96"/>
              <w:rPr>
                <w:b/>
                <w:sz w:val="20"/>
              </w:rPr>
            </w:pPr>
            <w:r>
              <w:rPr>
                <w:b/>
                <w:sz w:val="20"/>
              </w:rPr>
              <w:t>3.70</w:t>
            </w:r>
          </w:p>
        </w:tc>
        <w:tc>
          <w:tcPr>
            <w:tcW w:w="1060" w:type="dxa"/>
          </w:tcPr>
          <w:p w:rsidR="007C5447" w:rsidRDefault="00F6308C">
            <w:pPr>
              <w:pStyle w:val="TableParagraph"/>
              <w:spacing w:before="70"/>
              <w:ind w:right="95"/>
              <w:rPr>
                <w:b/>
                <w:sz w:val="20"/>
              </w:rPr>
            </w:pPr>
            <w:r>
              <w:rPr>
                <w:b/>
                <w:w w:val="95"/>
                <w:sz w:val="20"/>
              </w:rPr>
              <w:t>18,586.62</w:t>
            </w:r>
          </w:p>
        </w:tc>
        <w:tc>
          <w:tcPr>
            <w:tcW w:w="1038" w:type="dxa"/>
          </w:tcPr>
          <w:p w:rsidR="007C5447" w:rsidRDefault="00F6308C">
            <w:pPr>
              <w:pStyle w:val="TableParagraph"/>
              <w:spacing w:before="70"/>
              <w:ind w:right="91"/>
              <w:rPr>
                <w:b/>
                <w:sz w:val="20"/>
              </w:rPr>
            </w:pPr>
            <w:r>
              <w:rPr>
                <w:b/>
                <w:w w:val="95"/>
                <w:sz w:val="20"/>
              </w:rPr>
              <w:t>7,731.87</w:t>
            </w:r>
          </w:p>
        </w:tc>
        <w:tc>
          <w:tcPr>
            <w:tcW w:w="1218" w:type="dxa"/>
          </w:tcPr>
          <w:p w:rsidR="007C5447" w:rsidRDefault="00F6308C">
            <w:pPr>
              <w:pStyle w:val="TableParagraph"/>
              <w:spacing w:before="70"/>
              <w:ind w:right="92"/>
              <w:rPr>
                <w:b/>
                <w:sz w:val="20"/>
              </w:rPr>
            </w:pPr>
            <w:r>
              <w:rPr>
                <w:b/>
                <w:sz w:val="20"/>
              </w:rPr>
              <w:t>4.16</w:t>
            </w:r>
          </w:p>
        </w:tc>
        <w:tc>
          <w:tcPr>
            <w:tcW w:w="1120" w:type="dxa"/>
          </w:tcPr>
          <w:p w:rsidR="007C5447" w:rsidRDefault="00F6308C">
            <w:pPr>
              <w:pStyle w:val="TableParagraph"/>
              <w:spacing w:before="70"/>
              <w:ind w:right="92"/>
              <w:rPr>
                <w:b/>
                <w:sz w:val="20"/>
              </w:rPr>
            </w:pPr>
            <w:r>
              <w:rPr>
                <w:b/>
                <w:w w:val="95"/>
                <w:sz w:val="20"/>
              </w:rPr>
              <w:t>18,586.62</w:t>
            </w:r>
          </w:p>
        </w:tc>
        <w:tc>
          <w:tcPr>
            <w:tcW w:w="1309" w:type="dxa"/>
          </w:tcPr>
          <w:p w:rsidR="007C5447" w:rsidRDefault="00F6308C">
            <w:pPr>
              <w:pStyle w:val="TableParagraph"/>
              <w:spacing w:before="70"/>
              <w:ind w:right="89"/>
              <w:rPr>
                <w:b/>
                <w:sz w:val="20"/>
              </w:rPr>
            </w:pPr>
            <w:r>
              <w:rPr>
                <w:b/>
                <w:w w:val="95"/>
                <w:sz w:val="20"/>
              </w:rPr>
              <w:t>5,447.68</w:t>
            </w:r>
          </w:p>
        </w:tc>
        <w:tc>
          <w:tcPr>
            <w:tcW w:w="1235" w:type="dxa"/>
          </w:tcPr>
          <w:p w:rsidR="007C5447" w:rsidRDefault="00F6308C">
            <w:pPr>
              <w:pStyle w:val="TableParagraph"/>
              <w:spacing w:before="70"/>
              <w:ind w:right="91"/>
              <w:rPr>
                <w:b/>
                <w:sz w:val="20"/>
              </w:rPr>
            </w:pPr>
            <w:r>
              <w:rPr>
                <w:b/>
                <w:sz w:val="20"/>
              </w:rPr>
              <w:t>2.93</w:t>
            </w:r>
          </w:p>
        </w:tc>
      </w:tr>
      <w:tr w:rsidR="007C5447">
        <w:trPr>
          <w:trHeight w:val="369"/>
        </w:trPr>
        <w:tc>
          <w:tcPr>
            <w:tcW w:w="3401" w:type="dxa"/>
          </w:tcPr>
          <w:p w:rsidR="007C5447" w:rsidRDefault="00F6308C">
            <w:pPr>
              <w:pStyle w:val="TableParagraph"/>
              <w:spacing w:before="70"/>
              <w:ind w:left="107"/>
              <w:jc w:val="left"/>
              <w:rPr>
                <w:sz w:val="20"/>
              </w:rPr>
            </w:pPr>
            <w:r>
              <w:rPr>
                <w:sz w:val="20"/>
              </w:rPr>
              <w:t>TGTPS</w:t>
            </w:r>
          </w:p>
        </w:tc>
        <w:tc>
          <w:tcPr>
            <w:tcW w:w="1080" w:type="dxa"/>
          </w:tcPr>
          <w:p w:rsidR="007C5447" w:rsidRDefault="00F6308C">
            <w:pPr>
              <w:pStyle w:val="TableParagraph"/>
              <w:spacing w:before="70"/>
              <w:ind w:right="98"/>
              <w:rPr>
                <w:sz w:val="20"/>
              </w:rPr>
            </w:pPr>
            <w:r>
              <w:rPr>
                <w:w w:val="95"/>
                <w:sz w:val="20"/>
              </w:rPr>
              <w:t>660.10</w:t>
            </w:r>
          </w:p>
        </w:tc>
        <w:tc>
          <w:tcPr>
            <w:tcW w:w="1178" w:type="dxa"/>
          </w:tcPr>
          <w:p w:rsidR="007C5447" w:rsidRDefault="00F6308C">
            <w:pPr>
              <w:pStyle w:val="TableParagraph"/>
              <w:spacing w:before="70"/>
              <w:ind w:right="94"/>
              <w:rPr>
                <w:sz w:val="20"/>
              </w:rPr>
            </w:pPr>
            <w:r>
              <w:rPr>
                <w:w w:val="95"/>
                <w:sz w:val="20"/>
              </w:rPr>
              <w:t>186.11</w:t>
            </w:r>
          </w:p>
        </w:tc>
        <w:tc>
          <w:tcPr>
            <w:tcW w:w="1060" w:type="dxa"/>
          </w:tcPr>
          <w:p w:rsidR="007C5447" w:rsidRDefault="00F6308C">
            <w:pPr>
              <w:pStyle w:val="TableParagraph"/>
              <w:spacing w:before="70"/>
              <w:ind w:right="96"/>
              <w:rPr>
                <w:sz w:val="20"/>
              </w:rPr>
            </w:pPr>
            <w:r>
              <w:rPr>
                <w:sz w:val="20"/>
              </w:rPr>
              <w:t>2.82</w:t>
            </w:r>
          </w:p>
        </w:tc>
        <w:tc>
          <w:tcPr>
            <w:tcW w:w="1060" w:type="dxa"/>
          </w:tcPr>
          <w:p w:rsidR="007C5447" w:rsidRDefault="00F6308C">
            <w:pPr>
              <w:pStyle w:val="TableParagraph"/>
              <w:spacing w:before="70"/>
              <w:ind w:right="95"/>
              <w:rPr>
                <w:sz w:val="20"/>
              </w:rPr>
            </w:pPr>
            <w:r>
              <w:rPr>
                <w:w w:val="95"/>
                <w:sz w:val="20"/>
              </w:rPr>
              <w:t>663.00</w:t>
            </w:r>
          </w:p>
        </w:tc>
        <w:tc>
          <w:tcPr>
            <w:tcW w:w="1038" w:type="dxa"/>
          </w:tcPr>
          <w:p w:rsidR="007C5447" w:rsidRDefault="00F6308C">
            <w:pPr>
              <w:pStyle w:val="TableParagraph"/>
              <w:spacing w:before="70"/>
              <w:ind w:right="93"/>
              <w:rPr>
                <w:sz w:val="20"/>
              </w:rPr>
            </w:pPr>
            <w:r>
              <w:rPr>
                <w:w w:val="95"/>
                <w:sz w:val="20"/>
              </w:rPr>
              <w:t>229.98</w:t>
            </w:r>
          </w:p>
        </w:tc>
        <w:tc>
          <w:tcPr>
            <w:tcW w:w="1218" w:type="dxa"/>
          </w:tcPr>
          <w:p w:rsidR="007C5447" w:rsidRDefault="00F6308C">
            <w:pPr>
              <w:pStyle w:val="TableParagraph"/>
              <w:spacing w:before="70"/>
              <w:ind w:right="92"/>
              <w:rPr>
                <w:sz w:val="20"/>
              </w:rPr>
            </w:pPr>
            <w:r>
              <w:rPr>
                <w:sz w:val="20"/>
              </w:rPr>
              <w:t>3.47</w:t>
            </w:r>
          </w:p>
        </w:tc>
        <w:tc>
          <w:tcPr>
            <w:tcW w:w="1120" w:type="dxa"/>
          </w:tcPr>
          <w:p w:rsidR="007C5447" w:rsidRDefault="00F6308C">
            <w:pPr>
              <w:pStyle w:val="TableParagraph"/>
              <w:spacing w:before="70"/>
              <w:ind w:right="91"/>
              <w:rPr>
                <w:sz w:val="20"/>
              </w:rPr>
            </w:pPr>
            <w:r>
              <w:rPr>
                <w:w w:val="95"/>
                <w:sz w:val="20"/>
              </w:rPr>
              <w:t>663.00</w:t>
            </w:r>
          </w:p>
        </w:tc>
        <w:tc>
          <w:tcPr>
            <w:tcW w:w="1309" w:type="dxa"/>
          </w:tcPr>
          <w:p w:rsidR="007C5447" w:rsidRDefault="00F6308C">
            <w:pPr>
              <w:pStyle w:val="TableParagraph"/>
              <w:spacing w:before="70"/>
              <w:ind w:right="92"/>
              <w:rPr>
                <w:sz w:val="20"/>
              </w:rPr>
            </w:pPr>
            <w:r>
              <w:rPr>
                <w:w w:val="95"/>
                <w:sz w:val="20"/>
              </w:rPr>
              <w:t>177.95</w:t>
            </w:r>
          </w:p>
        </w:tc>
        <w:tc>
          <w:tcPr>
            <w:tcW w:w="1235" w:type="dxa"/>
          </w:tcPr>
          <w:p w:rsidR="007C5447" w:rsidRDefault="00F6308C">
            <w:pPr>
              <w:pStyle w:val="TableParagraph"/>
              <w:spacing w:before="70"/>
              <w:ind w:right="91"/>
              <w:rPr>
                <w:sz w:val="20"/>
              </w:rPr>
            </w:pPr>
            <w:r>
              <w:rPr>
                <w:sz w:val="20"/>
              </w:rPr>
              <w:t>2.68</w:t>
            </w:r>
          </w:p>
        </w:tc>
      </w:tr>
      <w:tr w:rsidR="007C5447">
        <w:trPr>
          <w:trHeight w:val="371"/>
        </w:trPr>
        <w:tc>
          <w:tcPr>
            <w:tcW w:w="3401" w:type="dxa"/>
          </w:tcPr>
          <w:p w:rsidR="007C5447" w:rsidRDefault="00F6308C">
            <w:pPr>
              <w:pStyle w:val="TableParagraph"/>
              <w:spacing w:before="72"/>
              <w:ind w:left="107"/>
              <w:jc w:val="left"/>
              <w:rPr>
                <w:sz w:val="20"/>
              </w:rPr>
            </w:pPr>
            <w:r>
              <w:rPr>
                <w:sz w:val="20"/>
              </w:rPr>
              <w:t>KGTPS</w:t>
            </w:r>
          </w:p>
        </w:tc>
        <w:tc>
          <w:tcPr>
            <w:tcW w:w="1080" w:type="dxa"/>
          </w:tcPr>
          <w:p w:rsidR="007C5447" w:rsidRDefault="00F6308C">
            <w:pPr>
              <w:pStyle w:val="TableParagraph"/>
              <w:spacing w:before="72"/>
              <w:ind w:right="98"/>
              <w:rPr>
                <w:sz w:val="20"/>
              </w:rPr>
            </w:pPr>
            <w:r>
              <w:rPr>
                <w:w w:val="95"/>
                <w:sz w:val="20"/>
              </w:rPr>
              <w:t>383.06</w:t>
            </w:r>
          </w:p>
        </w:tc>
        <w:tc>
          <w:tcPr>
            <w:tcW w:w="1178" w:type="dxa"/>
          </w:tcPr>
          <w:p w:rsidR="007C5447" w:rsidRDefault="00F6308C">
            <w:pPr>
              <w:pStyle w:val="TableParagraph"/>
              <w:spacing w:before="72"/>
              <w:ind w:right="94"/>
              <w:rPr>
                <w:sz w:val="20"/>
              </w:rPr>
            </w:pPr>
            <w:r>
              <w:rPr>
                <w:w w:val="95"/>
                <w:sz w:val="20"/>
              </w:rPr>
              <w:t>107.36</w:t>
            </w:r>
          </w:p>
        </w:tc>
        <w:tc>
          <w:tcPr>
            <w:tcW w:w="1060" w:type="dxa"/>
          </w:tcPr>
          <w:p w:rsidR="007C5447" w:rsidRDefault="00F6308C">
            <w:pPr>
              <w:pStyle w:val="TableParagraph"/>
              <w:spacing w:before="72"/>
              <w:ind w:right="96"/>
              <w:rPr>
                <w:sz w:val="20"/>
              </w:rPr>
            </w:pPr>
            <w:r>
              <w:rPr>
                <w:sz w:val="20"/>
              </w:rPr>
              <w:t>2.80</w:t>
            </w:r>
          </w:p>
        </w:tc>
        <w:tc>
          <w:tcPr>
            <w:tcW w:w="1060" w:type="dxa"/>
          </w:tcPr>
          <w:p w:rsidR="007C5447" w:rsidRDefault="00F6308C">
            <w:pPr>
              <w:pStyle w:val="TableParagraph"/>
              <w:spacing w:before="72"/>
              <w:ind w:right="95"/>
              <w:rPr>
                <w:sz w:val="20"/>
              </w:rPr>
            </w:pPr>
            <w:r>
              <w:rPr>
                <w:w w:val="95"/>
                <w:sz w:val="20"/>
              </w:rPr>
              <w:t>385.00</w:t>
            </w:r>
          </w:p>
        </w:tc>
        <w:tc>
          <w:tcPr>
            <w:tcW w:w="1038" w:type="dxa"/>
          </w:tcPr>
          <w:p w:rsidR="007C5447" w:rsidRDefault="00F6308C">
            <w:pPr>
              <w:pStyle w:val="TableParagraph"/>
              <w:spacing w:before="72"/>
              <w:ind w:right="93"/>
              <w:rPr>
                <w:sz w:val="20"/>
              </w:rPr>
            </w:pPr>
            <w:r>
              <w:rPr>
                <w:w w:val="95"/>
                <w:sz w:val="20"/>
              </w:rPr>
              <w:t>156.22</w:t>
            </w:r>
          </w:p>
        </w:tc>
        <w:tc>
          <w:tcPr>
            <w:tcW w:w="1218" w:type="dxa"/>
          </w:tcPr>
          <w:p w:rsidR="007C5447" w:rsidRDefault="00F6308C">
            <w:pPr>
              <w:pStyle w:val="TableParagraph"/>
              <w:spacing w:before="72"/>
              <w:ind w:right="92"/>
              <w:rPr>
                <w:sz w:val="20"/>
              </w:rPr>
            </w:pPr>
            <w:r>
              <w:rPr>
                <w:sz w:val="20"/>
              </w:rPr>
              <w:t>4.06</w:t>
            </w:r>
          </w:p>
        </w:tc>
        <w:tc>
          <w:tcPr>
            <w:tcW w:w="1120" w:type="dxa"/>
          </w:tcPr>
          <w:p w:rsidR="007C5447" w:rsidRDefault="00F6308C">
            <w:pPr>
              <w:pStyle w:val="TableParagraph"/>
              <w:spacing w:before="72"/>
              <w:ind w:right="91"/>
              <w:rPr>
                <w:sz w:val="20"/>
              </w:rPr>
            </w:pPr>
            <w:r>
              <w:rPr>
                <w:w w:val="95"/>
                <w:sz w:val="20"/>
              </w:rPr>
              <w:t>385.00</w:t>
            </w:r>
          </w:p>
        </w:tc>
        <w:tc>
          <w:tcPr>
            <w:tcW w:w="1309" w:type="dxa"/>
          </w:tcPr>
          <w:p w:rsidR="007C5447" w:rsidRDefault="00F6308C">
            <w:pPr>
              <w:pStyle w:val="TableParagraph"/>
              <w:spacing w:before="72"/>
              <w:ind w:right="92"/>
              <w:rPr>
                <w:sz w:val="20"/>
              </w:rPr>
            </w:pPr>
            <w:r>
              <w:rPr>
                <w:w w:val="95"/>
                <w:sz w:val="20"/>
              </w:rPr>
              <w:t>100.77</w:t>
            </w:r>
          </w:p>
        </w:tc>
        <w:tc>
          <w:tcPr>
            <w:tcW w:w="1235" w:type="dxa"/>
          </w:tcPr>
          <w:p w:rsidR="007C5447" w:rsidRDefault="00F6308C">
            <w:pPr>
              <w:pStyle w:val="TableParagraph"/>
              <w:spacing w:before="72"/>
              <w:ind w:right="91"/>
              <w:rPr>
                <w:sz w:val="20"/>
              </w:rPr>
            </w:pPr>
            <w:r>
              <w:rPr>
                <w:sz w:val="20"/>
              </w:rPr>
              <w:t>2.62</w:t>
            </w:r>
          </w:p>
        </w:tc>
      </w:tr>
      <w:tr w:rsidR="007C5447">
        <w:trPr>
          <w:trHeight w:val="369"/>
        </w:trPr>
        <w:tc>
          <w:tcPr>
            <w:tcW w:w="3401" w:type="dxa"/>
          </w:tcPr>
          <w:p w:rsidR="007C5447" w:rsidRDefault="00F6308C">
            <w:pPr>
              <w:pStyle w:val="TableParagraph"/>
              <w:spacing w:before="70"/>
              <w:ind w:left="107"/>
              <w:jc w:val="left"/>
              <w:rPr>
                <w:sz w:val="20"/>
              </w:rPr>
            </w:pPr>
            <w:r>
              <w:rPr>
                <w:sz w:val="20"/>
              </w:rPr>
              <w:t>BBGTPS</w:t>
            </w:r>
          </w:p>
        </w:tc>
        <w:tc>
          <w:tcPr>
            <w:tcW w:w="1080" w:type="dxa"/>
          </w:tcPr>
          <w:p w:rsidR="007C5447" w:rsidRDefault="007C5447">
            <w:pPr>
              <w:pStyle w:val="TableParagraph"/>
              <w:jc w:val="left"/>
              <w:rPr>
                <w:sz w:val="20"/>
              </w:rPr>
            </w:pPr>
          </w:p>
        </w:tc>
        <w:tc>
          <w:tcPr>
            <w:tcW w:w="1178" w:type="dxa"/>
          </w:tcPr>
          <w:p w:rsidR="007C5447" w:rsidRDefault="00F6308C">
            <w:pPr>
              <w:pStyle w:val="TableParagraph"/>
              <w:spacing w:before="70"/>
              <w:ind w:right="94"/>
              <w:rPr>
                <w:sz w:val="20"/>
              </w:rPr>
            </w:pPr>
            <w:r>
              <w:rPr>
                <w:w w:val="95"/>
                <w:sz w:val="20"/>
              </w:rPr>
              <w:t>48.20</w:t>
            </w:r>
          </w:p>
        </w:tc>
        <w:tc>
          <w:tcPr>
            <w:tcW w:w="1060" w:type="dxa"/>
          </w:tcPr>
          <w:p w:rsidR="007C5447" w:rsidRDefault="00F6308C">
            <w:pPr>
              <w:pStyle w:val="TableParagraph"/>
              <w:spacing w:before="70"/>
              <w:ind w:right="95"/>
              <w:rPr>
                <w:sz w:val="20"/>
              </w:rPr>
            </w:pPr>
            <w:r>
              <w:rPr>
                <w:w w:val="99"/>
                <w:sz w:val="20"/>
              </w:rPr>
              <w:t>-</w:t>
            </w:r>
          </w:p>
        </w:tc>
        <w:tc>
          <w:tcPr>
            <w:tcW w:w="1060" w:type="dxa"/>
          </w:tcPr>
          <w:p w:rsidR="007C5447" w:rsidRDefault="00F6308C">
            <w:pPr>
              <w:pStyle w:val="TableParagraph"/>
              <w:spacing w:before="70"/>
              <w:ind w:right="95"/>
              <w:rPr>
                <w:sz w:val="20"/>
              </w:rPr>
            </w:pPr>
            <w:r>
              <w:rPr>
                <w:w w:val="95"/>
                <w:sz w:val="20"/>
              </w:rPr>
              <w:t>29.00</w:t>
            </w:r>
          </w:p>
        </w:tc>
        <w:tc>
          <w:tcPr>
            <w:tcW w:w="1038" w:type="dxa"/>
          </w:tcPr>
          <w:p w:rsidR="007C5447" w:rsidRDefault="00F6308C">
            <w:pPr>
              <w:pStyle w:val="TableParagraph"/>
              <w:spacing w:before="70"/>
              <w:ind w:right="93"/>
              <w:rPr>
                <w:sz w:val="20"/>
              </w:rPr>
            </w:pPr>
            <w:r>
              <w:rPr>
                <w:w w:val="95"/>
                <w:sz w:val="20"/>
              </w:rPr>
              <w:t>188.86</w:t>
            </w:r>
          </w:p>
        </w:tc>
        <w:tc>
          <w:tcPr>
            <w:tcW w:w="1218" w:type="dxa"/>
          </w:tcPr>
          <w:p w:rsidR="007C5447" w:rsidRDefault="00F6308C">
            <w:pPr>
              <w:pStyle w:val="TableParagraph"/>
              <w:spacing w:before="70"/>
              <w:ind w:right="92"/>
              <w:rPr>
                <w:sz w:val="20"/>
              </w:rPr>
            </w:pPr>
            <w:r>
              <w:rPr>
                <w:w w:val="95"/>
                <w:sz w:val="20"/>
              </w:rPr>
              <w:t>65.12</w:t>
            </w:r>
          </w:p>
        </w:tc>
        <w:tc>
          <w:tcPr>
            <w:tcW w:w="1120" w:type="dxa"/>
          </w:tcPr>
          <w:p w:rsidR="007C5447" w:rsidRDefault="00F6308C">
            <w:pPr>
              <w:pStyle w:val="TableParagraph"/>
              <w:spacing w:before="70"/>
              <w:ind w:right="88"/>
              <w:rPr>
                <w:sz w:val="20"/>
              </w:rPr>
            </w:pPr>
            <w:r>
              <w:rPr>
                <w:w w:val="99"/>
                <w:sz w:val="20"/>
              </w:rPr>
              <w:t>-</w:t>
            </w:r>
          </w:p>
        </w:tc>
        <w:tc>
          <w:tcPr>
            <w:tcW w:w="1309" w:type="dxa"/>
          </w:tcPr>
          <w:p w:rsidR="007C5447" w:rsidRDefault="00F6308C">
            <w:pPr>
              <w:pStyle w:val="TableParagraph"/>
              <w:spacing w:before="70"/>
              <w:ind w:right="92"/>
              <w:rPr>
                <w:sz w:val="20"/>
              </w:rPr>
            </w:pPr>
            <w:r>
              <w:rPr>
                <w:sz w:val="20"/>
              </w:rPr>
              <w:t>47.25</w:t>
            </w:r>
          </w:p>
        </w:tc>
        <w:tc>
          <w:tcPr>
            <w:tcW w:w="1235" w:type="dxa"/>
          </w:tcPr>
          <w:p w:rsidR="007C5447" w:rsidRDefault="00F6308C">
            <w:pPr>
              <w:pStyle w:val="TableParagraph"/>
              <w:spacing w:before="70"/>
              <w:ind w:right="87"/>
              <w:rPr>
                <w:sz w:val="20"/>
              </w:rPr>
            </w:pPr>
            <w:r>
              <w:rPr>
                <w:w w:val="99"/>
                <w:sz w:val="20"/>
              </w:rPr>
              <w:t>-</w:t>
            </w:r>
          </w:p>
        </w:tc>
      </w:tr>
      <w:tr w:rsidR="007C5447">
        <w:trPr>
          <w:trHeight w:val="369"/>
        </w:trPr>
        <w:tc>
          <w:tcPr>
            <w:tcW w:w="3401" w:type="dxa"/>
          </w:tcPr>
          <w:p w:rsidR="007C5447" w:rsidRDefault="00F6308C">
            <w:pPr>
              <w:pStyle w:val="TableParagraph"/>
              <w:spacing w:before="70"/>
              <w:ind w:left="107"/>
              <w:jc w:val="left"/>
              <w:rPr>
                <w:sz w:val="20"/>
              </w:rPr>
            </w:pPr>
            <w:r>
              <w:rPr>
                <w:sz w:val="20"/>
              </w:rPr>
              <w:t>VGTPS (Unit 1 and 2)</w:t>
            </w:r>
          </w:p>
        </w:tc>
        <w:tc>
          <w:tcPr>
            <w:tcW w:w="1080" w:type="dxa"/>
          </w:tcPr>
          <w:p w:rsidR="007C5447" w:rsidRDefault="00F6308C">
            <w:pPr>
              <w:pStyle w:val="TableParagraph"/>
              <w:spacing w:before="70"/>
              <w:ind w:right="96"/>
              <w:rPr>
                <w:sz w:val="20"/>
              </w:rPr>
            </w:pPr>
            <w:r>
              <w:rPr>
                <w:w w:val="95"/>
                <w:sz w:val="20"/>
              </w:rPr>
              <w:t>1,027.15</w:t>
            </w:r>
          </w:p>
        </w:tc>
        <w:tc>
          <w:tcPr>
            <w:tcW w:w="1178" w:type="dxa"/>
          </w:tcPr>
          <w:p w:rsidR="007C5447" w:rsidRDefault="00F6308C">
            <w:pPr>
              <w:pStyle w:val="TableParagraph"/>
              <w:spacing w:before="70"/>
              <w:ind w:right="94"/>
              <w:rPr>
                <w:sz w:val="20"/>
              </w:rPr>
            </w:pPr>
            <w:r>
              <w:rPr>
                <w:w w:val="95"/>
                <w:sz w:val="20"/>
              </w:rPr>
              <w:t>267.71</w:t>
            </w:r>
          </w:p>
        </w:tc>
        <w:tc>
          <w:tcPr>
            <w:tcW w:w="1060" w:type="dxa"/>
          </w:tcPr>
          <w:p w:rsidR="007C5447" w:rsidRDefault="00F6308C">
            <w:pPr>
              <w:pStyle w:val="TableParagraph"/>
              <w:spacing w:before="70"/>
              <w:ind w:right="96"/>
              <w:rPr>
                <w:sz w:val="20"/>
              </w:rPr>
            </w:pPr>
            <w:r>
              <w:rPr>
                <w:sz w:val="20"/>
              </w:rPr>
              <w:t>2.61</w:t>
            </w:r>
          </w:p>
        </w:tc>
        <w:tc>
          <w:tcPr>
            <w:tcW w:w="1060" w:type="dxa"/>
          </w:tcPr>
          <w:p w:rsidR="007C5447" w:rsidRDefault="00F6308C">
            <w:pPr>
              <w:pStyle w:val="TableParagraph"/>
              <w:spacing w:before="70"/>
              <w:ind w:right="93"/>
              <w:rPr>
                <w:sz w:val="20"/>
              </w:rPr>
            </w:pPr>
            <w:r>
              <w:rPr>
                <w:w w:val="95"/>
                <w:sz w:val="20"/>
              </w:rPr>
              <w:t>1,045.00</w:t>
            </w:r>
          </w:p>
        </w:tc>
        <w:tc>
          <w:tcPr>
            <w:tcW w:w="1038" w:type="dxa"/>
          </w:tcPr>
          <w:p w:rsidR="007C5447" w:rsidRDefault="00F6308C">
            <w:pPr>
              <w:pStyle w:val="TableParagraph"/>
              <w:spacing w:before="70"/>
              <w:ind w:right="93"/>
              <w:rPr>
                <w:sz w:val="20"/>
              </w:rPr>
            </w:pPr>
            <w:r>
              <w:rPr>
                <w:w w:val="95"/>
                <w:sz w:val="20"/>
              </w:rPr>
              <w:t>331.66</w:t>
            </w:r>
          </w:p>
        </w:tc>
        <w:tc>
          <w:tcPr>
            <w:tcW w:w="1218" w:type="dxa"/>
          </w:tcPr>
          <w:p w:rsidR="007C5447" w:rsidRDefault="00F6308C">
            <w:pPr>
              <w:pStyle w:val="TableParagraph"/>
              <w:spacing w:before="70"/>
              <w:ind w:right="92"/>
              <w:rPr>
                <w:sz w:val="20"/>
              </w:rPr>
            </w:pPr>
            <w:r>
              <w:rPr>
                <w:sz w:val="20"/>
              </w:rPr>
              <w:t>3.17</w:t>
            </w:r>
          </w:p>
        </w:tc>
        <w:tc>
          <w:tcPr>
            <w:tcW w:w="1120" w:type="dxa"/>
          </w:tcPr>
          <w:p w:rsidR="007C5447" w:rsidRDefault="00F6308C">
            <w:pPr>
              <w:pStyle w:val="TableParagraph"/>
              <w:spacing w:before="70"/>
              <w:ind w:right="89"/>
              <w:rPr>
                <w:sz w:val="20"/>
              </w:rPr>
            </w:pPr>
            <w:r>
              <w:rPr>
                <w:w w:val="95"/>
                <w:sz w:val="20"/>
              </w:rPr>
              <w:t>1,045.00</w:t>
            </w:r>
          </w:p>
        </w:tc>
        <w:tc>
          <w:tcPr>
            <w:tcW w:w="1309" w:type="dxa"/>
          </w:tcPr>
          <w:p w:rsidR="007C5447" w:rsidRDefault="00F6308C">
            <w:pPr>
              <w:pStyle w:val="TableParagraph"/>
              <w:spacing w:before="70"/>
              <w:ind w:right="92"/>
              <w:rPr>
                <w:sz w:val="20"/>
              </w:rPr>
            </w:pPr>
            <w:r>
              <w:rPr>
                <w:w w:val="95"/>
                <w:sz w:val="20"/>
              </w:rPr>
              <w:t>294.96</w:t>
            </w:r>
          </w:p>
        </w:tc>
        <w:tc>
          <w:tcPr>
            <w:tcW w:w="1235" w:type="dxa"/>
          </w:tcPr>
          <w:p w:rsidR="007C5447" w:rsidRDefault="00F6308C">
            <w:pPr>
              <w:pStyle w:val="TableParagraph"/>
              <w:spacing w:before="70"/>
              <w:ind w:right="91"/>
              <w:rPr>
                <w:sz w:val="20"/>
              </w:rPr>
            </w:pPr>
            <w:r>
              <w:rPr>
                <w:sz w:val="20"/>
              </w:rPr>
              <w:t>2.82</w:t>
            </w:r>
          </w:p>
        </w:tc>
      </w:tr>
      <w:tr w:rsidR="007C5447">
        <w:trPr>
          <w:trHeight w:val="371"/>
        </w:trPr>
        <w:tc>
          <w:tcPr>
            <w:tcW w:w="3401" w:type="dxa"/>
          </w:tcPr>
          <w:p w:rsidR="007C5447" w:rsidRDefault="00F6308C">
            <w:pPr>
              <w:pStyle w:val="TableParagraph"/>
              <w:spacing w:before="72"/>
              <w:ind w:left="107"/>
              <w:jc w:val="left"/>
              <w:rPr>
                <w:b/>
                <w:sz w:val="20"/>
              </w:rPr>
            </w:pPr>
            <w:r>
              <w:rPr>
                <w:b/>
                <w:sz w:val="20"/>
              </w:rPr>
              <w:t>Total Gas</w:t>
            </w:r>
          </w:p>
        </w:tc>
        <w:tc>
          <w:tcPr>
            <w:tcW w:w="1080" w:type="dxa"/>
          </w:tcPr>
          <w:p w:rsidR="007C5447" w:rsidRDefault="00F6308C">
            <w:pPr>
              <w:pStyle w:val="TableParagraph"/>
              <w:spacing w:before="72"/>
              <w:ind w:right="96"/>
              <w:rPr>
                <w:b/>
                <w:sz w:val="20"/>
              </w:rPr>
            </w:pPr>
            <w:r>
              <w:rPr>
                <w:b/>
                <w:w w:val="95"/>
                <w:sz w:val="20"/>
              </w:rPr>
              <w:t>2,070.30</w:t>
            </w:r>
          </w:p>
        </w:tc>
        <w:tc>
          <w:tcPr>
            <w:tcW w:w="1178" w:type="dxa"/>
          </w:tcPr>
          <w:p w:rsidR="007C5447" w:rsidRDefault="00F6308C">
            <w:pPr>
              <w:pStyle w:val="TableParagraph"/>
              <w:spacing w:before="72"/>
              <w:ind w:right="94"/>
              <w:rPr>
                <w:b/>
                <w:sz w:val="20"/>
              </w:rPr>
            </w:pPr>
            <w:r>
              <w:rPr>
                <w:b/>
                <w:w w:val="95"/>
                <w:sz w:val="20"/>
              </w:rPr>
              <w:t>609.38</w:t>
            </w:r>
          </w:p>
        </w:tc>
        <w:tc>
          <w:tcPr>
            <w:tcW w:w="1060" w:type="dxa"/>
          </w:tcPr>
          <w:p w:rsidR="007C5447" w:rsidRDefault="00F6308C">
            <w:pPr>
              <w:pStyle w:val="TableParagraph"/>
              <w:spacing w:before="72"/>
              <w:ind w:right="96"/>
              <w:rPr>
                <w:b/>
                <w:sz w:val="20"/>
              </w:rPr>
            </w:pPr>
            <w:r>
              <w:rPr>
                <w:b/>
                <w:sz w:val="20"/>
              </w:rPr>
              <w:t>2.94</w:t>
            </w:r>
          </w:p>
        </w:tc>
        <w:tc>
          <w:tcPr>
            <w:tcW w:w="1060" w:type="dxa"/>
          </w:tcPr>
          <w:p w:rsidR="007C5447" w:rsidRDefault="00F6308C">
            <w:pPr>
              <w:pStyle w:val="TableParagraph"/>
              <w:spacing w:before="72"/>
              <w:ind w:right="93"/>
              <w:rPr>
                <w:b/>
                <w:sz w:val="20"/>
              </w:rPr>
            </w:pPr>
            <w:r>
              <w:rPr>
                <w:b/>
                <w:w w:val="95"/>
                <w:sz w:val="20"/>
              </w:rPr>
              <w:t>2,122.00</w:t>
            </w:r>
          </w:p>
        </w:tc>
        <w:tc>
          <w:tcPr>
            <w:tcW w:w="1038" w:type="dxa"/>
          </w:tcPr>
          <w:p w:rsidR="007C5447" w:rsidRDefault="00F6308C">
            <w:pPr>
              <w:pStyle w:val="TableParagraph"/>
              <w:spacing w:before="72"/>
              <w:ind w:right="93"/>
              <w:rPr>
                <w:b/>
                <w:sz w:val="20"/>
              </w:rPr>
            </w:pPr>
            <w:r>
              <w:rPr>
                <w:b/>
                <w:w w:val="95"/>
                <w:sz w:val="20"/>
              </w:rPr>
              <w:t>906.71</w:t>
            </w:r>
          </w:p>
        </w:tc>
        <w:tc>
          <w:tcPr>
            <w:tcW w:w="1218" w:type="dxa"/>
          </w:tcPr>
          <w:p w:rsidR="007C5447" w:rsidRDefault="00F6308C">
            <w:pPr>
              <w:pStyle w:val="TableParagraph"/>
              <w:spacing w:before="72"/>
              <w:ind w:right="92"/>
              <w:rPr>
                <w:b/>
                <w:sz w:val="20"/>
              </w:rPr>
            </w:pPr>
            <w:r>
              <w:rPr>
                <w:b/>
                <w:sz w:val="20"/>
              </w:rPr>
              <w:t>4.27</w:t>
            </w:r>
          </w:p>
        </w:tc>
        <w:tc>
          <w:tcPr>
            <w:tcW w:w="1120" w:type="dxa"/>
          </w:tcPr>
          <w:p w:rsidR="007C5447" w:rsidRDefault="00F6308C">
            <w:pPr>
              <w:pStyle w:val="TableParagraph"/>
              <w:spacing w:before="72"/>
              <w:ind w:right="89"/>
              <w:rPr>
                <w:b/>
                <w:sz w:val="20"/>
              </w:rPr>
            </w:pPr>
            <w:r>
              <w:rPr>
                <w:b/>
                <w:w w:val="95"/>
                <w:sz w:val="20"/>
              </w:rPr>
              <w:t>2,093.00</w:t>
            </w:r>
          </w:p>
        </w:tc>
        <w:tc>
          <w:tcPr>
            <w:tcW w:w="1309" w:type="dxa"/>
          </w:tcPr>
          <w:p w:rsidR="007C5447" w:rsidRDefault="00F6308C">
            <w:pPr>
              <w:pStyle w:val="TableParagraph"/>
              <w:spacing w:before="72"/>
              <w:ind w:right="92"/>
              <w:rPr>
                <w:b/>
                <w:sz w:val="20"/>
              </w:rPr>
            </w:pPr>
            <w:r>
              <w:rPr>
                <w:b/>
                <w:w w:val="95"/>
                <w:sz w:val="20"/>
              </w:rPr>
              <w:t>620.93</w:t>
            </w:r>
          </w:p>
        </w:tc>
        <w:tc>
          <w:tcPr>
            <w:tcW w:w="1235" w:type="dxa"/>
          </w:tcPr>
          <w:p w:rsidR="007C5447" w:rsidRDefault="00F6308C">
            <w:pPr>
              <w:pStyle w:val="TableParagraph"/>
              <w:spacing w:before="72"/>
              <w:ind w:right="91"/>
              <w:rPr>
                <w:b/>
                <w:sz w:val="20"/>
              </w:rPr>
            </w:pPr>
            <w:r>
              <w:rPr>
                <w:b/>
                <w:sz w:val="20"/>
              </w:rPr>
              <w:t>2.97</w:t>
            </w:r>
          </w:p>
        </w:tc>
      </w:tr>
      <w:tr w:rsidR="007C5447">
        <w:trPr>
          <w:trHeight w:val="369"/>
        </w:trPr>
        <w:tc>
          <w:tcPr>
            <w:tcW w:w="3401" w:type="dxa"/>
          </w:tcPr>
          <w:p w:rsidR="007C5447" w:rsidRDefault="00F6308C">
            <w:pPr>
              <w:pStyle w:val="TableParagraph"/>
              <w:spacing w:before="70"/>
              <w:ind w:left="107"/>
              <w:jc w:val="left"/>
              <w:rPr>
                <w:sz w:val="20"/>
              </w:rPr>
            </w:pPr>
            <w:r>
              <w:rPr>
                <w:sz w:val="20"/>
              </w:rPr>
              <w:t>Erode HEP</w:t>
            </w:r>
          </w:p>
        </w:tc>
        <w:tc>
          <w:tcPr>
            <w:tcW w:w="1080" w:type="dxa"/>
          </w:tcPr>
          <w:p w:rsidR="007C5447" w:rsidRDefault="00F6308C">
            <w:pPr>
              <w:pStyle w:val="TableParagraph"/>
              <w:spacing w:before="70"/>
              <w:ind w:right="96"/>
              <w:rPr>
                <w:sz w:val="20"/>
              </w:rPr>
            </w:pPr>
            <w:r>
              <w:rPr>
                <w:w w:val="95"/>
                <w:sz w:val="20"/>
              </w:rPr>
              <w:t>1,416.00</w:t>
            </w:r>
          </w:p>
        </w:tc>
        <w:tc>
          <w:tcPr>
            <w:tcW w:w="1178" w:type="dxa"/>
          </w:tcPr>
          <w:p w:rsidR="007C5447" w:rsidRDefault="00F6308C">
            <w:pPr>
              <w:pStyle w:val="TableParagraph"/>
              <w:spacing w:before="70"/>
              <w:ind w:right="94"/>
              <w:rPr>
                <w:sz w:val="20"/>
              </w:rPr>
            </w:pPr>
            <w:r>
              <w:rPr>
                <w:w w:val="95"/>
                <w:sz w:val="20"/>
              </w:rPr>
              <w:t>128.20</w:t>
            </w:r>
          </w:p>
        </w:tc>
        <w:tc>
          <w:tcPr>
            <w:tcW w:w="1060" w:type="dxa"/>
          </w:tcPr>
          <w:p w:rsidR="007C5447" w:rsidRDefault="00F6308C">
            <w:pPr>
              <w:pStyle w:val="TableParagraph"/>
              <w:spacing w:before="70"/>
              <w:ind w:right="96"/>
              <w:rPr>
                <w:sz w:val="20"/>
              </w:rPr>
            </w:pPr>
            <w:r>
              <w:rPr>
                <w:sz w:val="20"/>
              </w:rPr>
              <w:t>0.91</w:t>
            </w:r>
          </w:p>
        </w:tc>
        <w:tc>
          <w:tcPr>
            <w:tcW w:w="1060" w:type="dxa"/>
          </w:tcPr>
          <w:p w:rsidR="007C5447" w:rsidRDefault="00F6308C">
            <w:pPr>
              <w:pStyle w:val="TableParagraph"/>
              <w:spacing w:before="70"/>
              <w:ind w:right="93"/>
              <w:rPr>
                <w:sz w:val="20"/>
              </w:rPr>
            </w:pPr>
            <w:r>
              <w:rPr>
                <w:w w:val="95"/>
                <w:sz w:val="20"/>
              </w:rPr>
              <w:t>1,196.00</w:t>
            </w:r>
          </w:p>
        </w:tc>
        <w:tc>
          <w:tcPr>
            <w:tcW w:w="1038" w:type="dxa"/>
          </w:tcPr>
          <w:p w:rsidR="007C5447" w:rsidRDefault="00F6308C">
            <w:pPr>
              <w:pStyle w:val="TableParagraph"/>
              <w:spacing w:before="70"/>
              <w:ind w:right="93"/>
              <w:rPr>
                <w:sz w:val="20"/>
              </w:rPr>
            </w:pPr>
            <w:r>
              <w:rPr>
                <w:w w:val="95"/>
                <w:sz w:val="20"/>
              </w:rPr>
              <w:t>193.46</w:t>
            </w:r>
          </w:p>
        </w:tc>
        <w:tc>
          <w:tcPr>
            <w:tcW w:w="1218" w:type="dxa"/>
          </w:tcPr>
          <w:p w:rsidR="007C5447" w:rsidRDefault="00F6308C">
            <w:pPr>
              <w:pStyle w:val="TableParagraph"/>
              <w:spacing w:before="70"/>
              <w:ind w:right="92"/>
              <w:rPr>
                <w:sz w:val="20"/>
              </w:rPr>
            </w:pPr>
            <w:r>
              <w:rPr>
                <w:sz w:val="20"/>
              </w:rPr>
              <w:t>1.62</w:t>
            </w:r>
          </w:p>
        </w:tc>
        <w:tc>
          <w:tcPr>
            <w:tcW w:w="1120" w:type="dxa"/>
          </w:tcPr>
          <w:p w:rsidR="007C5447" w:rsidRDefault="00F6308C">
            <w:pPr>
              <w:pStyle w:val="TableParagraph"/>
              <w:spacing w:before="70"/>
              <w:ind w:right="89"/>
              <w:rPr>
                <w:sz w:val="20"/>
              </w:rPr>
            </w:pPr>
            <w:r>
              <w:rPr>
                <w:w w:val="95"/>
                <w:sz w:val="20"/>
              </w:rPr>
              <w:t>1,196.00</w:t>
            </w:r>
          </w:p>
        </w:tc>
        <w:tc>
          <w:tcPr>
            <w:tcW w:w="1309" w:type="dxa"/>
          </w:tcPr>
          <w:p w:rsidR="007C5447" w:rsidRDefault="00F6308C">
            <w:pPr>
              <w:pStyle w:val="TableParagraph"/>
              <w:spacing w:before="70"/>
              <w:ind w:right="91"/>
              <w:rPr>
                <w:sz w:val="20"/>
              </w:rPr>
            </w:pPr>
            <w:r>
              <w:rPr>
                <w:w w:val="95"/>
                <w:sz w:val="20"/>
              </w:rPr>
              <w:t>129.44</w:t>
            </w:r>
          </w:p>
        </w:tc>
        <w:tc>
          <w:tcPr>
            <w:tcW w:w="1235" w:type="dxa"/>
          </w:tcPr>
          <w:p w:rsidR="007C5447" w:rsidRDefault="00F6308C">
            <w:pPr>
              <w:pStyle w:val="TableParagraph"/>
              <w:spacing w:before="70"/>
              <w:ind w:right="91"/>
              <w:rPr>
                <w:sz w:val="20"/>
              </w:rPr>
            </w:pPr>
            <w:r>
              <w:rPr>
                <w:sz w:val="20"/>
              </w:rPr>
              <w:t>1.08</w:t>
            </w:r>
          </w:p>
        </w:tc>
      </w:tr>
      <w:tr w:rsidR="007C5447">
        <w:trPr>
          <w:trHeight w:val="369"/>
        </w:trPr>
        <w:tc>
          <w:tcPr>
            <w:tcW w:w="3401" w:type="dxa"/>
          </w:tcPr>
          <w:p w:rsidR="007C5447" w:rsidRDefault="00F6308C">
            <w:pPr>
              <w:pStyle w:val="TableParagraph"/>
              <w:spacing w:before="70"/>
              <w:ind w:left="107"/>
              <w:jc w:val="left"/>
              <w:rPr>
                <w:sz w:val="20"/>
              </w:rPr>
            </w:pPr>
            <w:r>
              <w:rPr>
                <w:sz w:val="20"/>
              </w:rPr>
              <w:t>Kadamparai HEP</w:t>
            </w:r>
          </w:p>
        </w:tc>
        <w:tc>
          <w:tcPr>
            <w:tcW w:w="1080" w:type="dxa"/>
          </w:tcPr>
          <w:p w:rsidR="007C5447" w:rsidRDefault="00F6308C">
            <w:pPr>
              <w:pStyle w:val="TableParagraph"/>
              <w:spacing w:before="70"/>
              <w:ind w:right="93"/>
              <w:rPr>
                <w:sz w:val="20"/>
              </w:rPr>
            </w:pPr>
            <w:r>
              <w:rPr>
                <w:w w:val="99"/>
                <w:sz w:val="20"/>
              </w:rPr>
              <w:t>-</w:t>
            </w:r>
          </w:p>
        </w:tc>
        <w:tc>
          <w:tcPr>
            <w:tcW w:w="1178" w:type="dxa"/>
          </w:tcPr>
          <w:p w:rsidR="007C5447" w:rsidRDefault="00F6308C">
            <w:pPr>
              <w:pStyle w:val="TableParagraph"/>
              <w:spacing w:before="70"/>
              <w:ind w:right="94"/>
              <w:rPr>
                <w:sz w:val="20"/>
              </w:rPr>
            </w:pPr>
            <w:r>
              <w:rPr>
                <w:w w:val="95"/>
                <w:sz w:val="20"/>
              </w:rPr>
              <w:t>65.16</w:t>
            </w:r>
          </w:p>
        </w:tc>
        <w:tc>
          <w:tcPr>
            <w:tcW w:w="1060" w:type="dxa"/>
          </w:tcPr>
          <w:p w:rsidR="007C5447" w:rsidRDefault="00F6308C">
            <w:pPr>
              <w:pStyle w:val="TableParagraph"/>
              <w:spacing w:before="70"/>
              <w:ind w:right="92"/>
              <w:rPr>
                <w:sz w:val="20"/>
              </w:rPr>
            </w:pPr>
            <w:r>
              <w:rPr>
                <w:w w:val="99"/>
                <w:sz w:val="20"/>
              </w:rPr>
              <w:t>-</w:t>
            </w:r>
          </w:p>
        </w:tc>
        <w:tc>
          <w:tcPr>
            <w:tcW w:w="1060" w:type="dxa"/>
          </w:tcPr>
          <w:p w:rsidR="007C5447" w:rsidRDefault="00F6308C">
            <w:pPr>
              <w:pStyle w:val="TableParagraph"/>
              <w:spacing w:before="70"/>
              <w:ind w:right="93"/>
              <w:rPr>
                <w:sz w:val="20"/>
              </w:rPr>
            </w:pPr>
            <w:r>
              <w:rPr>
                <w:w w:val="95"/>
                <w:sz w:val="20"/>
              </w:rPr>
              <w:t>1,087.00</w:t>
            </w:r>
          </w:p>
        </w:tc>
        <w:tc>
          <w:tcPr>
            <w:tcW w:w="1038" w:type="dxa"/>
          </w:tcPr>
          <w:p w:rsidR="007C5447" w:rsidRDefault="00F6308C">
            <w:pPr>
              <w:pStyle w:val="TableParagraph"/>
              <w:spacing w:before="70"/>
              <w:ind w:right="93"/>
              <w:rPr>
                <w:sz w:val="20"/>
              </w:rPr>
            </w:pPr>
            <w:r>
              <w:rPr>
                <w:w w:val="95"/>
                <w:sz w:val="20"/>
              </w:rPr>
              <w:t>110.68</w:t>
            </w:r>
          </w:p>
        </w:tc>
        <w:tc>
          <w:tcPr>
            <w:tcW w:w="1218" w:type="dxa"/>
          </w:tcPr>
          <w:p w:rsidR="007C5447" w:rsidRDefault="00F6308C">
            <w:pPr>
              <w:pStyle w:val="TableParagraph"/>
              <w:spacing w:before="70"/>
              <w:ind w:right="92"/>
              <w:rPr>
                <w:sz w:val="20"/>
              </w:rPr>
            </w:pPr>
            <w:r>
              <w:rPr>
                <w:sz w:val="20"/>
              </w:rPr>
              <w:t>1.02</w:t>
            </w:r>
          </w:p>
        </w:tc>
        <w:tc>
          <w:tcPr>
            <w:tcW w:w="1120" w:type="dxa"/>
          </w:tcPr>
          <w:p w:rsidR="007C5447" w:rsidRDefault="00F6308C">
            <w:pPr>
              <w:pStyle w:val="TableParagraph"/>
              <w:spacing w:before="70"/>
              <w:ind w:right="91"/>
              <w:rPr>
                <w:sz w:val="20"/>
              </w:rPr>
            </w:pPr>
            <w:r>
              <w:rPr>
                <w:w w:val="95"/>
                <w:sz w:val="20"/>
              </w:rPr>
              <w:t>576.49</w:t>
            </w:r>
          </w:p>
        </w:tc>
        <w:tc>
          <w:tcPr>
            <w:tcW w:w="1309" w:type="dxa"/>
          </w:tcPr>
          <w:p w:rsidR="007C5447" w:rsidRDefault="00F6308C">
            <w:pPr>
              <w:pStyle w:val="TableParagraph"/>
              <w:spacing w:before="70"/>
              <w:ind w:right="92"/>
              <w:rPr>
                <w:sz w:val="20"/>
              </w:rPr>
            </w:pPr>
            <w:r>
              <w:rPr>
                <w:sz w:val="20"/>
              </w:rPr>
              <w:t>66.33</w:t>
            </w:r>
          </w:p>
        </w:tc>
        <w:tc>
          <w:tcPr>
            <w:tcW w:w="1235" w:type="dxa"/>
          </w:tcPr>
          <w:p w:rsidR="007C5447" w:rsidRDefault="00F6308C">
            <w:pPr>
              <w:pStyle w:val="TableParagraph"/>
              <w:spacing w:before="70"/>
              <w:ind w:right="91"/>
              <w:rPr>
                <w:sz w:val="20"/>
              </w:rPr>
            </w:pPr>
            <w:r>
              <w:rPr>
                <w:sz w:val="20"/>
              </w:rPr>
              <w:t>1.15</w:t>
            </w:r>
          </w:p>
        </w:tc>
      </w:tr>
      <w:tr w:rsidR="007C5447">
        <w:trPr>
          <w:trHeight w:val="371"/>
        </w:trPr>
        <w:tc>
          <w:tcPr>
            <w:tcW w:w="3401" w:type="dxa"/>
          </w:tcPr>
          <w:p w:rsidR="007C5447" w:rsidRDefault="00F6308C">
            <w:pPr>
              <w:pStyle w:val="TableParagraph"/>
              <w:spacing w:before="72"/>
              <w:ind w:left="107"/>
              <w:jc w:val="left"/>
              <w:rPr>
                <w:sz w:val="20"/>
              </w:rPr>
            </w:pPr>
            <w:r>
              <w:rPr>
                <w:sz w:val="20"/>
              </w:rPr>
              <w:t>Kundah HEP</w:t>
            </w:r>
          </w:p>
        </w:tc>
        <w:tc>
          <w:tcPr>
            <w:tcW w:w="1080" w:type="dxa"/>
          </w:tcPr>
          <w:p w:rsidR="007C5447" w:rsidRDefault="00F6308C">
            <w:pPr>
              <w:pStyle w:val="TableParagraph"/>
              <w:spacing w:before="72"/>
              <w:ind w:right="96"/>
              <w:rPr>
                <w:sz w:val="20"/>
              </w:rPr>
            </w:pPr>
            <w:r>
              <w:rPr>
                <w:w w:val="95"/>
                <w:sz w:val="20"/>
              </w:rPr>
              <w:t>2,455.00</w:t>
            </w:r>
          </w:p>
        </w:tc>
        <w:tc>
          <w:tcPr>
            <w:tcW w:w="1178" w:type="dxa"/>
          </w:tcPr>
          <w:p w:rsidR="007C5447" w:rsidRDefault="00F6308C">
            <w:pPr>
              <w:pStyle w:val="TableParagraph"/>
              <w:spacing w:before="72"/>
              <w:ind w:right="94"/>
              <w:rPr>
                <w:sz w:val="20"/>
              </w:rPr>
            </w:pPr>
            <w:r>
              <w:rPr>
                <w:w w:val="95"/>
                <w:sz w:val="20"/>
              </w:rPr>
              <w:t>187.68</w:t>
            </w:r>
          </w:p>
        </w:tc>
        <w:tc>
          <w:tcPr>
            <w:tcW w:w="1060" w:type="dxa"/>
          </w:tcPr>
          <w:p w:rsidR="007C5447" w:rsidRDefault="00F6308C">
            <w:pPr>
              <w:pStyle w:val="TableParagraph"/>
              <w:spacing w:before="72"/>
              <w:ind w:right="96"/>
              <w:rPr>
                <w:sz w:val="20"/>
              </w:rPr>
            </w:pPr>
            <w:r>
              <w:rPr>
                <w:sz w:val="20"/>
              </w:rPr>
              <w:t>0.76</w:t>
            </w:r>
          </w:p>
        </w:tc>
        <w:tc>
          <w:tcPr>
            <w:tcW w:w="1060" w:type="dxa"/>
          </w:tcPr>
          <w:p w:rsidR="007C5447" w:rsidRDefault="00F6308C">
            <w:pPr>
              <w:pStyle w:val="TableParagraph"/>
              <w:spacing w:before="72"/>
              <w:ind w:right="93"/>
              <w:rPr>
                <w:sz w:val="20"/>
              </w:rPr>
            </w:pPr>
            <w:r>
              <w:rPr>
                <w:w w:val="95"/>
                <w:sz w:val="20"/>
              </w:rPr>
              <w:t>1,920.00</w:t>
            </w:r>
          </w:p>
        </w:tc>
        <w:tc>
          <w:tcPr>
            <w:tcW w:w="1038" w:type="dxa"/>
          </w:tcPr>
          <w:p w:rsidR="007C5447" w:rsidRDefault="00F6308C">
            <w:pPr>
              <w:pStyle w:val="TableParagraph"/>
              <w:spacing w:before="72"/>
              <w:ind w:right="93"/>
              <w:rPr>
                <w:sz w:val="20"/>
              </w:rPr>
            </w:pPr>
            <w:r>
              <w:rPr>
                <w:w w:val="95"/>
                <w:sz w:val="20"/>
              </w:rPr>
              <w:t>259.64</w:t>
            </w:r>
          </w:p>
        </w:tc>
        <w:tc>
          <w:tcPr>
            <w:tcW w:w="1218" w:type="dxa"/>
          </w:tcPr>
          <w:p w:rsidR="007C5447" w:rsidRDefault="00F6308C">
            <w:pPr>
              <w:pStyle w:val="TableParagraph"/>
              <w:spacing w:before="72"/>
              <w:ind w:right="92"/>
              <w:rPr>
                <w:sz w:val="20"/>
              </w:rPr>
            </w:pPr>
            <w:r>
              <w:rPr>
                <w:sz w:val="20"/>
              </w:rPr>
              <w:t>1.35</w:t>
            </w:r>
          </w:p>
        </w:tc>
        <w:tc>
          <w:tcPr>
            <w:tcW w:w="1120" w:type="dxa"/>
          </w:tcPr>
          <w:p w:rsidR="007C5447" w:rsidRDefault="00F6308C">
            <w:pPr>
              <w:pStyle w:val="TableParagraph"/>
              <w:spacing w:before="72"/>
              <w:ind w:right="89"/>
              <w:rPr>
                <w:sz w:val="20"/>
              </w:rPr>
            </w:pPr>
            <w:r>
              <w:rPr>
                <w:w w:val="95"/>
                <w:sz w:val="20"/>
              </w:rPr>
              <w:t>1,920.00</w:t>
            </w:r>
          </w:p>
        </w:tc>
        <w:tc>
          <w:tcPr>
            <w:tcW w:w="1309" w:type="dxa"/>
          </w:tcPr>
          <w:p w:rsidR="007C5447" w:rsidRDefault="00F6308C">
            <w:pPr>
              <w:pStyle w:val="TableParagraph"/>
              <w:spacing w:before="72"/>
              <w:ind w:right="92"/>
              <w:rPr>
                <w:sz w:val="20"/>
              </w:rPr>
            </w:pPr>
            <w:r>
              <w:rPr>
                <w:w w:val="95"/>
                <w:sz w:val="20"/>
              </w:rPr>
              <w:t>189.41</w:t>
            </w:r>
          </w:p>
        </w:tc>
        <w:tc>
          <w:tcPr>
            <w:tcW w:w="1235" w:type="dxa"/>
          </w:tcPr>
          <w:p w:rsidR="007C5447" w:rsidRDefault="00F6308C">
            <w:pPr>
              <w:pStyle w:val="TableParagraph"/>
              <w:spacing w:before="72"/>
              <w:ind w:right="91"/>
              <w:rPr>
                <w:sz w:val="20"/>
              </w:rPr>
            </w:pPr>
            <w:r>
              <w:rPr>
                <w:sz w:val="20"/>
              </w:rPr>
              <w:t>0.99</w:t>
            </w:r>
          </w:p>
        </w:tc>
      </w:tr>
      <w:tr w:rsidR="007C5447">
        <w:trPr>
          <w:trHeight w:val="369"/>
        </w:trPr>
        <w:tc>
          <w:tcPr>
            <w:tcW w:w="3401" w:type="dxa"/>
          </w:tcPr>
          <w:p w:rsidR="007C5447" w:rsidRDefault="00F6308C">
            <w:pPr>
              <w:pStyle w:val="TableParagraph"/>
              <w:spacing w:before="70"/>
              <w:ind w:left="107"/>
              <w:jc w:val="left"/>
              <w:rPr>
                <w:sz w:val="20"/>
              </w:rPr>
            </w:pPr>
            <w:r>
              <w:rPr>
                <w:sz w:val="20"/>
              </w:rPr>
              <w:t>Tirunelveli HEP</w:t>
            </w:r>
          </w:p>
        </w:tc>
        <w:tc>
          <w:tcPr>
            <w:tcW w:w="1080" w:type="dxa"/>
          </w:tcPr>
          <w:p w:rsidR="007C5447" w:rsidRDefault="00F6308C">
            <w:pPr>
              <w:pStyle w:val="TableParagraph"/>
              <w:spacing w:before="70"/>
              <w:ind w:right="98"/>
              <w:rPr>
                <w:sz w:val="20"/>
              </w:rPr>
            </w:pPr>
            <w:r>
              <w:rPr>
                <w:w w:val="95"/>
                <w:sz w:val="20"/>
              </w:rPr>
              <w:t>952.00</w:t>
            </w:r>
          </w:p>
        </w:tc>
        <w:tc>
          <w:tcPr>
            <w:tcW w:w="1178" w:type="dxa"/>
          </w:tcPr>
          <w:p w:rsidR="007C5447" w:rsidRDefault="00F6308C">
            <w:pPr>
              <w:pStyle w:val="TableParagraph"/>
              <w:spacing w:before="70"/>
              <w:ind w:right="94"/>
              <w:rPr>
                <w:sz w:val="20"/>
              </w:rPr>
            </w:pPr>
            <w:r>
              <w:rPr>
                <w:w w:val="95"/>
                <w:sz w:val="20"/>
              </w:rPr>
              <w:t>79.35</w:t>
            </w:r>
          </w:p>
        </w:tc>
        <w:tc>
          <w:tcPr>
            <w:tcW w:w="1060" w:type="dxa"/>
          </w:tcPr>
          <w:p w:rsidR="007C5447" w:rsidRDefault="00F6308C">
            <w:pPr>
              <w:pStyle w:val="TableParagraph"/>
              <w:spacing w:before="70"/>
              <w:ind w:right="96"/>
              <w:rPr>
                <w:sz w:val="20"/>
              </w:rPr>
            </w:pPr>
            <w:r>
              <w:rPr>
                <w:sz w:val="20"/>
              </w:rPr>
              <w:t>0.83</w:t>
            </w:r>
          </w:p>
        </w:tc>
        <w:tc>
          <w:tcPr>
            <w:tcW w:w="1060" w:type="dxa"/>
          </w:tcPr>
          <w:p w:rsidR="007C5447" w:rsidRDefault="00F6308C">
            <w:pPr>
              <w:pStyle w:val="TableParagraph"/>
              <w:spacing w:before="70"/>
              <w:ind w:right="95"/>
              <w:rPr>
                <w:sz w:val="20"/>
              </w:rPr>
            </w:pPr>
            <w:r>
              <w:rPr>
                <w:w w:val="95"/>
                <w:sz w:val="20"/>
              </w:rPr>
              <w:t>583.00</w:t>
            </w:r>
          </w:p>
        </w:tc>
        <w:tc>
          <w:tcPr>
            <w:tcW w:w="1038" w:type="dxa"/>
          </w:tcPr>
          <w:p w:rsidR="007C5447" w:rsidRDefault="00F6308C">
            <w:pPr>
              <w:pStyle w:val="TableParagraph"/>
              <w:spacing w:before="70"/>
              <w:ind w:right="93"/>
              <w:rPr>
                <w:sz w:val="20"/>
              </w:rPr>
            </w:pPr>
            <w:r>
              <w:rPr>
                <w:w w:val="95"/>
                <w:sz w:val="20"/>
              </w:rPr>
              <w:t>107.58</w:t>
            </w:r>
          </w:p>
        </w:tc>
        <w:tc>
          <w:tcPr>
            <w:tcW w:w="1218" w:type="dxa"/>
          </w:tcPr>
          <w:p w:rsidR="007C5447" w:rsidRDefault="00F6308C">
            <w:pPr>
              <w:pStyle w:val="TableParagraph"/>
              <w:spacing w:before="70"/>
              <w:ind w:right="92"/>
              <w:rPr>
                <w:sz w:val="20"/>
              </w:rPr>
            </w:pPr>
            <w:r>
              <w:rPr>
                <w:sz w:val="20"/>
              </w:rPr>
              <w:t>1.85</w:t>
            </w:r>
          </w:p>
        </w:tc>
        <w:tc>
          <w:tcPr>
            <w:tcW w:w="1120" w:type="dxa"/>
          </w:tcPr>
          <w:p w:rsidR="007C5447" w:rsidRDefault="00F6308C">
            <w:pPr>
              <w:pStyle w:val="TableParagraph"/>
              <w:spacing w:before="70"/>
              <w:ind w:right="91"/>
              <w:rPr>
                <w:sz w:val="20"/>
              </w:rPr>
            </w:pPr>
            <w:r>
              <w:rPr>
                <w:w w:val="95"/>
                <w:sz w:val="20"/>
              </w:rPr>
              <w:t>583.00</w:t>
            </w:r>
          </w:p>
        </w:tc>
        <w:tc>
          <w:tcPr>
            <w:tcW w:w="1309" w:type="dxa"/>
          </w:tcPr>
          <w:p w:rsidR="007C5447" w:rsidRDefault="00F6308C">
            <w:pPr>
              <w:pStyle w:val="TableParagraph"/>
              <w:spacing w:before="70"/>
              <w:ind w:right="92"/>
              <w:rPr>
                <w:sz w:val="20"/>
              </w:rPr>
            </w:pPr>
            <w:r>
              <w:rPr>
                <w:sz w:val="20"/>
              </w:rPr>
              <w:t>79.83</w:t>
            </w:r>
          </w:p>
        </w:tc>
        <w:tc>
          <w:tcPr>
            <w:tcW w:w="1235" w:type="dxa"/>
          </w:tcPr>
          <w:p w:rsidR="007C5447" w:rsidRDefault="00F6308C">
            <w:pPr>
              <w:pStyle w:val="TableParagraph"/>
              <w:spacing w:before="70"/>
              <w:ind w:right="91"/>
              <w:rPr>
                <w:sz w:val="20"/>
              </w:rPr>
            </w:pPr>
            <w:r>
              <w:rPr>
                <w:sz w:val="20"/>
              </w:rPr>
              <w:t>1.37</w:t>
            </w:r>
          </w:p>
        </w:tc>
      </w:tr>
      <w:tr w:rsidR="007C5447">
        <w:trPr>
          <w:trHeight w:val="369"/>
        </w:trPr>
        <w:tc>
          <w:tcPr>
            <w:tcW w:w="3401" w:type="dxa"/>
          </w:tcPr>
          <w:p w:rsidR="007C5447" w:rsidRDefault="00F6308C">
            <w:pPr>
              <w:pStyle w:val="TableParagraph"/>
              <w:spacing w:before="70"/>
              <w:ind w:left="107"/>
              <w:jc w:val="left"/>
              <w:rPr>
                <w:b/>
                <w:sz w:val="20"/>
              </w:rPr>
            </w:pPr>
            <w:r>
              <w:rPr>
                <w:b/>
                <w:sz w:val="20"/>
              </w:rPr>
              <w:t>Total Hydro</w:t>
            </w:r>
          </w:p>
        </w:tc>
        <w:tc>
          <w:tcPr>
            <w:tcW w:w="1080" w:type="dxa"/>
          </w:tcPr>
          <w:p w:rsidR="007C5447" w:rsidRDefault="00F6308C">
            <w:pPr>
              <w:pStyle w:val="TableParagraph"/>
              <w:spacing w:before="70"/>
              <w:ind w:right="96"/>
              <w:rPr>
                <w:b/>
                <w:sz w:val="20"/>
              </w:rPr>
            </w:pPr>
            <w:r>
              <w:rPr>
                <w:b/>
                <w:w w:val="95"/>
                <w:sz w:val="20"/>
              </w:rPr>
              <w:t>4,823.00</w:t>
            </w:r>
          </w:p>
        </w:tc>
        <w:tc>
          <w:tcPr>
            <w:tcW w:w="1178" w:type="dxa"/>
          </w:tcPr>
          <w:p w:rsidR="007C5447" w:rsidRDefault="00F6308C">
            <w:pPr>
              <w:pStyle w:val="TableParagraph"/>
              <w:spacing w:before="70"/>
              <w:ind w:right="94"/>
              <w:rPr>
                <w:b/>
                <w:sz w:val="20"/>
              </w:rPr>
            </w:pPr>
            <w:r>
              <w:rPr>
                <w:b/>
                <w:w w:val="95"/>
                <w:sz w:val="20"/>
              </w:rPr>
              <w:t>460.39</w:t>
            </w:r>
          </w:p>
        </w:tc>
        <w:tc>
          <w:tcPr>
            <w:tcW w:w="1060" w:type="dxa"/>
          </w:tcPr>
          <w:p w:rsidR="007C5447" w:rsidRDefault="00F6308C">
            <w:pPr>
              <w:pStyle w:val="TableParagraph"/>
              <w:spacing w:before="70"/>
              <w:ind w:right="96"/>
              <w:rPr>
                <w:b/>
                <w:sz w:val="20"/>
              </w:rPr>
            </w:pPr>
            <w:r>
              <w:rPr>
                <w:b/>
                <w:sz w:val="20"/>
              </w:rPr>
              <w:t>0.95</w:t>
            </w:r>
          </w:p>
        </w:tc>
        <w:tc>
          <w:tcPr>
            <w:tcW w:w="1060" w:type="dxa"/>
          </w:tcPr>
          <w:p w:rsidR="007C5447" w:rsidRDefault="00F6308C">
            <w:pPr>
              <w:pStyle w:val="TableParagraph"/>
              <w:spacing w:before="70"/>
              <w:ind w:right="93"/>
              <w:rPr>
                <w:b/>
                <w:sz w:val="20"/>
              </w:rPr>
            </w:pPr>
            <w:r>
              <w:rPr>
                <w:b/>
                <w:w w:val="95"/>
                <w:sz w:val="20"/>
              </w:rPr>
              <w:t>4,786.00</w:t>
            </w:r>
          </w:p>
        </w:tc>
        <w:tc>
          <w:tcPr>
            <w:tcW w:w="1038" w:type="dxa"/>
          </w:tcPr>
          <w:p w:rsidR="007C5447" w:rsidRDefault="00F6308C">
            <w:pPr>
              <w:pStyle w:val="TableParagraph"/>
              <w:spacing w:before="70"/>
              <w:ind w:right="93"/>
              <w:rPr>
                <w:b/>
                <w:sz w:val="20"/>
              </w:rPr>
            </w:pPr>
            <w:r>
              <w:rPr>
                <w:b/>
                <w:w w:val="95"/>
                <w:sz w:val="20"/>
              </w:rPr>
              <w:t>671.36</w:t>
            </w:r>
          </w:p>
        </w:tc>
        <w:tc>
          <w:tcPr>
            <w:tcW w:w="1218" w:type="dxa"/>
          </w:tcPr>
          <w:p w:rsidR="007C5447" w:rsidRDefault="00F6308C">
            <w:pPr>
              <w:pStyle w:val="TableParagraph"/>
              <w:spacing w:before="70"/>
              <w:ind w:right="92"/>
              <w:rPr>
                <w:b/>
                <w:sz w:val="20"/>
              </w:rPr>
            </w:pPr>
            <w:r>
              <w:rPr>
                <w:b/>
                <w:sz w:val="20"/>
              </w:rPr>
              <w:t>1.40</w:t>
            </w:r>
          </w:p>
        </w:tc>
        <w:tc>
          <w:tcPr>
            <w:tcW w:w="1120" w:type="dxa"/>
          </w:tcPr>
          <w:p w:rsidR="007C5447" w:rsidRDefault="00F6308C">
            <w:pPr>
              <w:pStyle w:val="TableParagraph"/>
              <w:spacing w:before="70"/>
              <w:ind w:right="89"/>
              <w:rPr>
                <w:b/>
                <w:sz w:val="20"/>
              </w:rPr>
            </w:pPr>
            <w:r>
              <w:rPr>
                <w:b/>
                <w:w w:val="95"/>
                <w:sz w:val="20"/>
              </w:rPr>
              <w:t>4,275.49</w:t>
            </w:r>
          </w:p>
        </w:tc>
        <w:tc>
          <w:tcPr>
            <w:tcW w:w="1309" w:type="dxa"/>
          </w:tcPr>
          <w:p w:rsidR="007C5447" w:rsidRDefault="00F6308C">
            <w:pPr>
              <w:pStyle w:val="TableParagraph"/>
              <w:spacing w:before="70"/>
              <w:ind w:right="92"/>
              <w:rPr>
                <w:b/>
                <w:sz w:val="20"/>
              </w:rPr>
            </w:pPr>
            <w:r>
              <w:rPr>
                <w:b/>
                <w:w w:val="95"/>
                <w:sz w:val="20"/>
              </w:rPr>
              <w:t>464.99</w:t>
            </w:r>
          </w:p>
        </w:tc>
        <w:tc>
          <w:tcPr>
            <w:tcW w:w="1235" w:type="dxa"/>
          </w:tcPr>
          <w:p w:rsidR="007C5447" w:rsidRDefault="00F6308C">
            <w:pPr>
              <w:pStyle w:val="TableParagraph"/>
              <w:spacing w:before="70"/>
              <w:ind w:right="91"/>
              <w:rPr>
                <w:b/>
                <w:sz w:val="20"/>
              </w:rPr>
            </w:pPr>
            <w:r>
              <w:rPr>
                <w:b/>
                <w:sz w:val="20"/>
              </w:rPr>
              <w:t>1.09</w:t>
            </w:r>
          </w:p>
        </w:tc>
      </w:tr>
      <w:tr w:rsidR="007C5447">
        <w:trPr>
          <w:trHeight w:val="371"/>
        </w:trPr>
        <w:tc>
          <w:tcPr>
            <w:tcW w:w="3401" w:type="dxa"/>
          </w:tcPr>
          <w:p w:rsidR="007C5447" w:rsidRDefault="00F6308C">
            <w:pPr>
              <w:pStyle w:val="TableParagraph"/>
              <w:spacing w:before="72"/>
              <w:ind w:left="107"/>
              <w:jc w:val="left"/>
              <w:rPr>
                <w:sz w:val="20"/>
              </w:rPr>
            </w:pPr>
            <w:r>
              <w:rPr>
                <w:sz w:val="20"/>
              </w:rPr>
              <w:t>Wind</w:t>
            </w:r>
          </w:p>
        </w:tc>
        <w:tc>
          <w:tcPr>
            <w:tcW w:w="1080" w:type="dxa"/>
          </w:tcPr>
          <w:p w:rsidR="007C5447" w:rsidRDefault="00F6308C">
            <w:pPr>
              <w:pStyle w:val="TableParagraph"/>
              <w:spacing w:before="72"/>
              <w:ind w:right="97"/>
              <w:rPr>
                <w:sz w:val="20"/>
              </w:rPr>
            </w:pPr>
            <w:r>
              <w:rPr>
                <w:w w:val="95"/>
                <w:sz w:val="20"/>
              </w:rPr>
              <w:t>12.00</w:t>
            </w:r>
          </w:p>
        </w:tc>
        <w:tc>
          <w:tcPr>
            <w:tcW w:w="1178" w:type="dxa"/>
          </w:tcPr>
          <w:p w:rsidR="007C5447" w:rsidRDefault="00F6308C">
            <w:pPr>
              <w:pStyle w:val="TableParagraph"/>
              <w:spacing w:before="72"/>
              <w:ind w:right="94"/>
              <w:rPr>
                <w:sz w:val="20"/>
              </w:rPr>
            </w:pPr>
            <w:r>
              <w:rPr>
                <w:sz w:val="20"/>
              </w:rPr>
              <w:t>3.30</w:t>
            </w:r>
          </w:p>
        </w:tc>
        <w:tc>
          <w:tcPr>
            <w:tcW w:w="1060" w:type="dxa"/>
          </w:tcPr>
          <w:p w:rsidR="007C5447" w:rsidRDefault="00F6308C">
            <w:pPr>
              <w:pStyle w:val="TableParagraph"/>
              <w:spacing w:before="72"/>
              <w:ind w:right="96"/>
              <w:rPr>
                <w:sz w:val="20"/>
              </w:rPr>
            </w:pPr>
            <w:r>
              <w:rPr>
                <w:sz w:val="20"/>
              </w:rPr>
              <w:t>2.75</w:t>
            </w:r>
          </w:p>
        </w:tc>
        <w:tc>
          <w:tcPr>
            <w:tcW w:w="1060" w:type="dxa"/>
          </w:tcPr>
          <w:p w:rsidR="007C5447" w:rsidRDefault="00F6308C">
            <w:pPr>
              <w:pStyle w:val="TableParagraph"/>
              <w:spacing w:before="72"/>
              <w:ind w:right="95"/>
              <w:rPr>
                <w:sz w:val="20"/>
              </w:rPr>
            </w:pPr>
            <w:r>
              <w:rPr>
                <w:w w:val="95"/>
                <w:sz w:val="20"/>
              </w:rPr>
              <w:t>12.15</w:t>
            </w:r>
          </w:p>
        </w:tc>
        <w:tc>
          <w:tcPr>
            <w:tcW w:w="1038" w:type="dxa"/>
          </w:tcPr>
          <w:p w:rsidR="007C5447" w:rsidRDefault="00F6308C">
            <w:pPr>
              <w:pStyle w:val="TableParagraph"/>
              <w:spacing w:before="72"/>
              <w:ind w:right="93"/>
              <w:rPr>
                <w:sz w:val="20"/>
              </w:rPr>
            </w:pPr>
            <w:r>
              <w:rPr>
                <w:sz w:val="20"/>
              </w:rPr>
              <w:t>3.34</w:t>
            </w:r>
          </w:p>
        </w:tc>
        <w:tc>
          <w:tcPr>
            <w:tcW w:w="1218" w:type="dxa"/>
          </w:tcPr>
          <w:p w:rsidR="007C5447" w:rsidRDefault="00F6308C">
            <w:pPr>
              <w:pStyle w:val="TableParagraph"/>
              <w:spacing w:before="72"/>
              <w:ind w:right="92"/>
              <w:rPr>
                <w:sz w:val="20"/>
              </w:rPr>
            </w:pPr>
            <w:r>
              <w:rPr>
                <w:sz w:val="20"/>
              </w:rPr>
              <w:t>2.75</w:t>
            </w:r>
          </w:p>
        </w:tc>
        <w:tc>
          <w:tcPr>
            <w:tcW w:w="1120" w:type="dxa"/>
          </w:tcPr>
          <w:p w:rsidR="007C5447" w:rsidRDefault="00F6308C">
            <w:pPr>
              <w:pStyle w:val="TableParagraph"/>
              <w:spacing w:before="72"/>
              <w:ind w:right="91"/>
              <w:rPr>
                <w:sz w:val="20"/>
              </w:rPr>
            </w:pPr>
            <w:r>
              <w:rPr>
                <w:w w:val="95"/>
                <w:sz w:val="20"/>
              </w:rPr>
              <w:t>12.15</w:t>
            </w:r>
          </w:p>
        </w:tc>
        <w:tc>
          <w:tcPr>
            <w:tcW w:w="1309" w:type="dxa"/>
          </w:tcPr>
          <w:p w:rsidR="007C5447" w:rsidRDefault="00F6308C">
            <w:pPr>
              <w:pStyle w:val="TableParagraph"/>
              <w:spacing w:before="72"/>
              <w:ind w:right="92"/>
              <w:rPr>
                <w:sz w:val="20"/>
              </w:rPr>
            </w:pPr>
            <w:r>
              <w:rPr>
                <w:sz w:val="20"/>
              </w:rPr>
              <w:t>3.34</w:t>
            </w:r>
          </w:p>
        </w:tc>
        <w:tc>
          <w:tcPr>
            <w:tcW w:w="1235" w:type="dxa"/>
          </w:tcPr>
          <w:p w:rsidR="007C5447" w:rsidRDefault="00F6308C">
            <w:pPr>
              <w:pStyle w:val="TableParagraph"/>
              <w:spacing w:before="72"/>
              <w:ind w:right="91"/>
              <w:rPr>
                <w:sz w:val="20"/>
              </w:rPr>
            </w:pPr>
            <w:r>
              <w:rPr>
                <w:sz w:val="20"/>
              </w:rPr>
              <w:t>2.75</w:t>
            </w:r>
          </w:p>
        </w:tc>
      </w:tr>
    </w:tbl>
    <w:p w:rsidR="007C5447" w:rsidRDefault="007C5447">
      <w:pPr>
        <w:pStyle w:val="BodyText"/>
        <w:rPr>
          <w:b/>
          <w:sz w:val="20"/>
        </w:rPr>
      </w:pPr>
    </w:p>
    <w:p w:rsidR="007C5447" w:rsidRDefault="007C5447">
      <w:pPr>
        <w:pStyle w:val="BodyText"/>
        <w:rPr>
          <w:b/>
          <w:sz w:val="20"/>
        </w:rPr>
      </w:pPr>
    </w:p>
    <w:p w:rsidR="007C5447" w:rsidRDefault="00F6308C">
      <w:pPr>
        <w:pStyle w:val="BodyText"/>
        <w:spacing w:before="6"/>
        <w:rPr>
          <w:b/>
          <w:sz w:val="28"/>
        </w:rPr>
      </w:pPr>
      <w:r>
        <w:pict>
          <v:line id="_x0000_s1057" style="position:absolute;z-index:-251648000;mso-wrap-distance-left:0;mso-wrap-distance-right:0;mso-position-horizontal-relative:page" from="70.55pt,19.1pt" to="771.45pt,19.1pt" strokeweight="1.44pt">
            <w10:wrap type="topAndBottom" anchorx="page"/>
          </v:line>
        </w:pict>
      </w:r>
    </w:p>
    <w:p w:rsidR="007C5447" w:rsidRDefault="007C5447">
      <w:pPr>
        <w:rPr>
          <w:sz w:val="28"/>
        </w:rPr>
        <w:sectPr w:rsidR="007C5447">
          <w:footerReference w:type="default" r:id="rId37"/>
          <w:pgSz w:w="16840" w:h="11910" w:orient="landscape"/>
          <w:pgMar w:top="1100" w:right="1220" w:bottom="1040" w:left="1180" w:header="0" w:footer="857" w:gutter="0"/>
          <w:cols w:space="720"/>
        </w:sectPr>
      </w:pPr>
    </w:p>
    <w:p w:rsidR="007C5447" w:rsidRDefault="007C5447">
      <w:pPr>
        <w:pStyle w:val="BodyText"/>
        <w:rPr>
          <w:sz w:val="29"/>
        </w:rPr>
      </w:pP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01"/>
        <w:gridCol w:w="1080"/>
        <w:gridCol w:w="1178"/>
        <w:gridCol w:w="1060"/>
        <w:gridCol w:w="1060"/>
        <w:gridCol w:w="1038"/>
        <w:gridCol w:w="1218"/>
        <w:gridCol w:w="1120"/>
        <w:gridCol w:w="1309"/>
        <w:gridCol w:w="1235"/>
      </w:tblGrid>
      <w:tr w:rsidR="007C5447">
        <w:trPr>
          <w:trHeight w:val="369"/>
        </w:trPr>
        <w:tc>
          <w:tcPr>
            <w:tcW w:w="3401"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1385" w:right="1367"/>
              <w:jc w:val="center"/>
              <w:rPr>
                <w:b/>
                <w:sz w:val="20"/>
              </w:rPr>
            </w:pPr>
            <w:r>
              <w:rPr>
                <w:b/>
                <w:sz w:val="20"/>
              </w:rPr>
              <w:t>Source</w:t>
            </w:r>
          </w:p>
        </w:tc>
        <w:tc>
          <w:tcPr>
            <w:tcW w:w="10298" w:type="dxa"/>
            <w:gridSpan w:val="9"/>
            <w:shd w:val="clear" w:color="auto" w:fill="F7C9AC"/>
          </w:tcPr>
          <w:p w:rsidR="007C5447" w:rsidRDefault="00F6308C">
            <w:pPr>
              <w:pStyle w:val="TableParagraph"/>
              <w:spacing w:before="70"/>
              <w:ind w:left="4643" w:right="4612"/>
              <w:jc w:val="center"/>
              <w:rPr>
                <w:b/>
                <w:sz w:val="20"/>
              </w:rPr>
            </w:pPr>
            <w:r>
              <w:rPr>
                <w:b/>
                <w:sz w:val="20"/>
              </w:rPr>
              <w:t>FY 2011-12</w:t>
            </w:r>
          </w:p>
        </w:tc>
      </w:tr>
      <w:tr w:rsidR="007C5447">
        <w:trPr>
          <w:trHeight w:val="371"/>
        </w:trPr>
        <w:tc>
          <w:tcPr>
            <w:tcW w:w="3401" w:type="dxa"/>
            <w:vMerge/>
            <w:tcBorders>
              <w:top w:val="nil"/>
            </w:tcBorders>
            <w:shd w:val="clear" w:color="auto" w:fill="F7C9AC"/>
          </w:tcPr>
          <w:p w:rsidR="007C5447" w:rsidRDefault="007C5447">
            <w:pPr>
              <w:rPr>
                <w:sz w:val="2"/>
                <w:szCs w:val="2"/>
              </w:rPr>
            </w:pPr>
          </w:p>
        </w:tc>
        <w:tc>
          <w:tcPr>
            <w:tcW w:w="3318" w:type="dxa"/>
            <w:gridSpan w:val="3"/>
            <w:shd w:val="clear" w:color="auto" w:fill="F7C9AC"/>
          </w:tcPr>
          <w:p w:rsidR="007C5447" w:rsidRDefault="00F6308C">
            <w:pPr>
              <w:pStyle w:val="TableParagraph"/>
              <w:spacing w:before="70"/>
              <w:ind w:left="1129" w:right="1111"/>
              <w:jc w:val="center"/>
              <w:rPr>
                <w:b/>
                <w:sz w:val="20"/>
              </w:rPr>
            </w:pPr>
            <w:r>
              <w:rPr>
                <w:b/>
                <w:sz w:val="20"/>
              </w:rPr>
              <w:t>SMT Order</w:t>
            </w:r>
          </w:p>
        </w:tc>
        <w:tc>
          <w:tcPr>
            <w:tcW w:w="3316" w:type="dxa"/>
            <w:gridSpan w:val="3"/>
            <w:shd w:val="clear" w:color="auto" w:fill="F7C9AC"/>
          </w:tcPr>
          <w:p w:rsidR="007C5447" w:rsidRDefault="00F6308C">
            <w:pPr>
              <w:pStyle w:val="TableParagraph"/>
              <w:spacing w:before="70"/>
              <w:ind w:left="1086"/>
              <w:jc w:val="left"/>
              <w:rPr>
                <w:b/>
                <w:sz w:val="20"/>
              </w:rPr>
            </w:pPr>
            <w:r>
              <w:rPr>
                <w:b/>
                <w:sz w:val="20"/>
              </w:rPr>
              <w:t>TANGEDCO</w:t>
            </w:r>
          </w:p>
        </w:tc>
        <w:tc>
          <w:tcPr>
            <w:tcW w:w="3664" w:type="dxa"/>
            <w:gridSpan w:val="3"/>
            <w:shd w:val="clear" w:color="auto" w:fill="F7C9AC"/>
          </w:tcPr>
          <w:p w:rsidR="007C5447" w:rsidRDefault="00F6308C">
            <w:pPr>
              <w:pStyle w:val="TableParagraph"/>
              <w:spacing w:before="70"/>
              <w:ind w:left="845"/>
              <w:jc w:val="left"/>
              <w:rPr>
                <w:b/>
                <w:sz w:val="20"/>
              </w:rPr>
            </w:pPr>
            <w:r>
              <w:rPr>
                <w:b/>
                <w:sz w:val="20"/>
              </w:rPr>
              <w:t>Approved after true up</w:t>
            </w:r>
          </w:p>
        </w:tc>
      </w:tr>
      <w:tr w:rsidR="007C5447">
        <w:trPr>
          <w:trHeight w:val="489"/>
        </w:trPr>
        <w:tc>
          <w:tcPr>
            <w:tcW w:w="3401" w:type="dxa"/>
            <w:vMerge/>
            <w:tcBorders>
              <w:top w:val="nil"/>
            </w:tcBorders>
            <w:shd w:val="clear" w:color="auto" w:fill="F7C9AC"/>
          </w:tcPr>
          <w:p w:rsidR="007C5447" w:rsidRDefault="007C5447">
            <w:pPr>
              <w:rPr>
                <w:sz w:val="2"/>
                <w:szCs w:val="2"/>
              </w:rPr>
            </w:pPr>
          </w:p>
        </w:tc>
        <w:tc>
          <w:tcPr>
            <w:tcW w:w="1080" w:type="dxa"/>
            <w:shd w:val="clear" w:color="auto" w:fill="F7C9AC"/>
          </w:tcPr>
          <w:p w:rsidR="007C5447" w:rsidRDefault="00F6308C">
            <w:pPr>
              <w:pStyle w:val="TableParagraph"/>
              <w:spacing w:before="14" w:line="230" w:lineRule="atLeast"/>
              <w:ind w:left="311" w:right="94" w:hanging="178"/>
              <w:jc w:val="left"/>
              <w:rPr>
                <w:b/>
                <w:sz w:val="20"/>
              </w:rPr>
            </w:pPr>
            <w:r>
              <w:rPr>
                <w:b/>
                <w:sz w:val="20"/>
              </w:rPr>
              <w:t>Quantum (MU)</w:t>
            </w:r>
          </w:p>
        </w:tc>
        <w:tc>
          <w:tcPr>
            <w:tcW w:w="1178" w:type="dxa"/>
            <w:shd w:val="clear" w:color="auto" w:fill="F7C9AC"/>
          </w:tcPr>
          <w:p w:rsidR="007C5447" w:rsidRDefault="00F6308C">
            <w:pPr>
              <w:pStyle w:val="TableParagraph"/>
              <w:spacing w:before="14" w:line="230" w:lineRule="atLeast"/>
              <w:ind w:left="250" w:right="107" w:hanging="104"/>
              <w:jc w:val="left"/>
              <w:rPr>
                <w:b/>
                <w:sz w:val="20"/>
              </w:rPr>
            </w:pPr>
            <w:r>
              <w:rPr>
                <w:b/>
                <w:sz w:val="20"/>
              </w:rPr>
              <w:t>Total Cost (Rs. Cr)</w:t>
            </w:r>
          </w:p>
        </w:tc>
        <w:tc>
          <w:tcPr>
            <w:tcW w:w="1060" w:type="dxa"/>
            <w:shd w:val="clear" w:color="auto" w:fill="F7C9AC"/>
          </w:tcPr>
          <w:p w:rsidR="007C5447" w:rsidRDefault="00F6308C">
            <w:pPr>
              <w:pStyle w:val="TableParagraph"/>
              <w:spacing w:before="14" w:line="230" w:lineRule="atLeast"/>
              <w:ind w:left="118" w:right="86" w:firstLine="216"/>
              <w:jc w:val="left"/>
              <w:rPr>
                <w:b/>
                <w:sz w:val="20"/>
              </w:rPr>
            </w:pPr>
            <w:r>
              <w:rPr>
                <w:b/>
                <w:sz w:val="20"/>
              </w:rPr>
              <w:t xml:space="preserve">Rate </w:t>
            </w:r>
            <w:r>
              <w:rPr>
                <w:b/>
                <w:w w:val="95"/>
                <w:sz w:val="20"/>
              </w:rPr>
              <w:t>(Rs/kWh)</w:t>
            </w:r>
          </w:p>
        </w:tc>
        <w:tc>
          <w:tcPr>
            <w:tcW w:w="1060" w:type="dxa"/>
            <w:shd w:val="clear" w:color="auto" w:fill="F7C9AC"/>
          </w:tcPr>
          <w:p w:rsidR="007C5447" w:rsidRDefault="00F6308C">
            <w:pPr>
              <w:pStyle w:val="TableParagraph"/>
              <w:spacing w:before="14" w:line="230" w:lineRule="atLeast"/>
              <w:ind w:left="304" w:right="81" w:hanging="178"/>
              <w:jc w:val="left"/>
              <w:rPr>
                <w:b/>
                <w:sz w:val="20"/>
              </w:rPr>
            </w:pPr>
            <w:r>
              <w:rPr>
                <w:b/>
                <w:sz w:val="20"/>
              </w:rPr>
              <w:t>Quantum (MU)</w:t>
            </w:r>
          </w:p>
        </w:tc>
        <w:tc>
          <w:tcPr>
            <w:tcW w:w="1038" w:type="dxa"/>
            <w:shd w:val="clear" w:color="auto" w:fill="F7C9AC"/>
          </w:tcPr>
          <w:p w:rsidR="007C5447" w:rsidRDefault="00F6308C">
            <w:pPr>
              <w:pStyle w:val="TableParagraph"/>
              <w:spacing w:before="14" w:line="230" w:lineRule="atLeast"/>
              <w:ind w:left="182" w:right="137" w:firstLine="148"/>
              <w:jc w:val="left"/>
              <w:rPr>
                <w:b/>
                <w:sz w:val="20"/>
              </w:rPr>
            </w:pPr>
            <w:r>
              <w:rPr>
                <w:b/>
                <w:sz w:val="20"/>
              </w:rPr>
              <w:t>Cost (Rs. Cr)</w:t>
            </w:r>
          </w:p>
        </w:tc>
        <w:tc>
          <w:tcPr>
            <w:tcW w:w="1218" w:type="dxa"/>
            <w:shd w:val="clear" w:color="auto" w:fill="F7C9AC"/>
          </w:tcPr>
          <w:p w:rsidR="007C5447" w:rsidRDefault="00F6308C">
            <w:pPr>
              <w:pStyle w:val="TableParagraph"/>
              <w:spacing w:before="14" w:line="230" w:lineRule="atLeast"/>
              <w:ind w:left="200" w:firstLine="216"/>
              <w:jc w:val="left"/>
              <w:rPr>
                <w:b/>
                <w:sz w:val="20"/>
              </w:rPr>
            </w:pPr>
            <w:r>
              <w:rPr>
                <w:b/>
                <w:sz w:val="20"/>
              </w:rPr>
              <w:t xml:space="preserve">Rate </w:t>
            </w:r>
            <w:r>
              <w:rPr>
                <w:b/>
                <w:w w:val="95"/>
                <w:sz w:val="20"/>
              </w:rPr>
              <w:t>(Rs/kWh)</w:t>
            </w:r>
          </w:p>
        </w:tc>
        <w:tc>
          <w:tcPr>
            <w:tcW w:w="1120" w:type="dxa"/>
            <w:shd w:val="clear" w:color="auto" w:fill="F7C9AC"/>
          </w:tcPr>
          <w:p w:rsidR="007C5447" w:rsidRDefault="00F6308C">
            <w:pPr>
              <w:pStyle w:val="TableParagraph"/>
              <w:spacing w:before="14" w:line="230" w:lineRule="atLeast"/>
              <w:ind w:left="336" w:right="109" w:hanging="178"/>
              <w:jc w:val="left"/>
              <w:rPr>
                <w:b/>
                <w:sz w:val="20"/>
              </w:rPr>
            </w:pPr>
            <w:r>
              <w:rPr>
                <w:b/>
                <w:sz w:val="20"/>
              </w:rPr>
              <w:t>Quantum (MU)</w:t>
            </w:r>
          </w:p>
        </w:tc>
        <w:tc>
          <w:tcPr>
            <w:tcW w:w="1309" w:type="dxa"/>
            <w:shd w:val="clear" w:color="auto" w:fill="F7C9AC"/>
          </w:tcPr>
          <w:p w:rsidR="007C5447" w:rsidRDefault="00F6308C">
            <w:pPr>
              <w:pStyle w:val="TableParagraph"/>
              <w:spacing w:before="14" w:line="230" w:lineRule="atLeast"/>
              <w:ind w:left="321" w:right="167" w:hanging="104"/>
              <w:jc w:val="left"/>
              <w:rPr>
                <w:b/>
                <w:sz w:val="20"/>
              </w:rPr>
            </w:pPr>
            <w:r>
              <w:rPr>
                <w:b/>
                <w:sz w:val="20"/>
              </w:rPr>
              <w:t>Total Cost (Rs. Cr)</w:t>
            </w:r>
          </w:p>
        </w:tc>
        <w:tc>
          <w:tcPr>
            <w:tcW w:w="1235" w:type="dxa"/>
            <w:shd w:val="clear" w:color="auto" w:fill="F7C9AC"/>
          </w:tcPr>
          <w:p w:rsidR="007C5447" w:rsidRDefault="00F6308C">
            <w:pPr>
              <w:pStyle w:val="TableParagraph"/>
              <w:spacing w:before="14" w:line="230" w:lineRule="atLeast"/>
              <w:ind w:left="212" w:firstLine="216"/>
              <w:jc w:val="left"/>
              <w:rPr>
                <w:b/>
                <w:sz w:val="20"/>
              </w:rPr>
            </w:pPr>
            <w:r>
              <w:rPr>
                <w:b/>
                <w:sz w:val="20"/>
              </w:rPr>
              <w:t xml:space="preserve">Rate </w:t>
            </w:r>
            <w:r>
              <w:rPr>
                <w:b/>
                <w:w w:val="95"/>
                <w:sz w:val="20"/>
              </w:rPr>
              <w:t>(Rs/kWh)</w:t>
            </w:r>
          </w:p>
        </w:tc>
      </w:tr>
      <w:tr w:rsidR="007C5447">
        <w:trPr>
          <w:trHeight w:val="369"/>
        </w:trPr>
        <w:tc>
          <w:tcPr>
            <w:tcW w:w="3401" w:type="dxa"/>
          </w:tcPr>
          <w:p w:rsidR="007C5447" w:rsidRDefault="00F6308C">
            <w:pPr>
              <w:pStyle w:val="TableParagraph"/>
              <w:spacing w:before="70"/>
              <w:ind w:left="112"/>
              <w:jc w:val="left"/>
              <w:rPr>
                <w:b/>
                <w:sz w:val="20"/>
              </w:rPr>
            </w:pPr>
            <w:r>
              <w:rPr>
                <w:b/>
                <w:sz w:val="20"/>
              </w:rPr>
              <w:t>Total from Own Generating</w:t>
            </w:r>
          </w:p>
        </w:tc>
        <w:tc>
          <w:tcPr>
            <w:tcW w:w="1080" w:type="dxa"/>
          </w:tcPr>
          <w:p w:rsidR="007C5447" w:rsidRDefault="00F6308C">
            <w:pPr>
              <w:pStyle w:val="TableParagraph"/>
              <w:spacing w:before="70"/>
              <w:ind w:right="91"/>
              <w:rPr>
                <w:b/>
                <w:sz w:val="20"/>
              </w:rPr>
            </w:pPr>
            <w:r>
              <w:rPr>
                <w:b/>
                <w:w w:val="95"/>
                <w:sz w:val="20"/>
              </w:rPr>
              <w:t>25,491.92</w:t>
            </w:r>
          </w:p>
        </w:tc>
        <w:tc>
          <w:tcPr>
            <w:tcW w:w="1178" w:type="dxa"/>
          </w:tcPr>
          <w:p w:rsidR="007C5447" w:rsidRDefault="00F6308C">
            <w:pPr>
              <w:pStyle w:val="TableParagraph"/>
              <w:spacing w:before="70"/>
              <w:ind w:right="87"/>
              <w:rPr>
                <w:b/>
                <w:sz w:val="20"/>
              </w:rPr>
            </w:pPr>
            <w:r>
              <w:rPr>
                <w:b/>
                <w:w w:val="95"/>
                <w:sz w:val="20"/>
              </w:rPr>
              <w:t>7,949.57</w:t>
            </w:r>
          </w:p>
        </w:tc>
        <w:tc>
          <w:tcPr>
            <w:tcW w:w="1060" w:type="dxa"/>
          </w:tcPr>
          <w:p w:rsidR="007C5447" w:rsidRDefault="00F6308C">
            <w:pPr>
              <w:pStyle w:val="TableParagraph"/>
              <w:spacing w:before="70"/>
              <w:ind w:right="90"/>
              <w:rPr>
                <w:b/>
                <w:sz w:val="20"/>
              </w:rPr>
            </w:pPr>
            <w:r>
              <w:rPr>
                <w:b/>
                <w:sz w:val="20"/>
              </w:rPr>
              <w:t>3.12</w:t>
            </w:r>
          </w:p>
        </w:tc>
        <w:tc>
          <w:tcPr>
            <w:tcW w:w="1060" w:type="dxa"/>
          </w:tcPr>
          <w:p w:rsidR="007C5447" w:rsidRDefault="00F6308C">
            <w:pPr>
              <w:pStyle w:val="TableParagraph"/>
              <w:spacing w:before="70"/>
              <w:ind w:right="91"/>
              <w:rPr>
                <w:b/>
                <w:sz w:val="20"/>
              </w:rPr>
            </w:pPr>
            <w:r>
              <w:rPr>
                <w:b/>
                <w:w w:val="95"/>
                <w:sz w:val="20"/>
              </w:rPr>
              <w:t>25,508.77</w:t>
            </w:r>
          </w:p>
        </w:tc>
        <w:tc>
          <w:tcPr>
            <w:tcW w:w="1038" w:type="dxa"/>
          </w:tcPr>
          <w:p w:rsidR="007C5447" w:rsidRDefault="00F6308C">
            <w:pPr>
              <w:pStyle w:val="TableParagraph"/>
              <w:spacing w:before="70"/>
              <w:ind w:right="87"/>
              <w:rPr>
                <w:b/>
                <w:sz w:val="20"/>
              </w:rPr>
            </w:pPr>
            <w:r>
              <w:rPr>
                <w:b/>
                <w:w w:val="95"/>
                <w:sz w:val="20"/>
              </w:rPr>
              <w:t>9,313.28</w:t>
            </w:r>
          </w:p>
        </w:tc>
        <w:tc>
          <w:tcPr>
            <w:tcW w:w="1218" w:type="dxa"/>
          </w:tcPr>
          <w:p w:rsidR="007C5447" w:rsidRDefault="00F6308C">
            <w:pPr>
              <w:pStyle w:val="TableParagraph"/>
              <w:spacing w:before="70"/>
              <w:ind w:right="87"/>
              <w:rPr>
                <w:b/>
                <w:sz w:val="20"/>
              </w:rPr>
            </w:pPr>
            <w:r>
              <w:rPr>
                <w:b/>
                <w:sz w:val="20"/>
              </w:rPr>
              <w:t>3.65</w:t>
            </w:r>
          </w:p>
        </w:tc>
        <w:tc>
          <w:tcPr>
            <w:tcW w:w="1120" w:type="dxa"/>
          </w:tcPr>
          <w:p w:rsidR="007C5447" w:rsidRDefault="00F6308C">
            <w:pPr>
              <w:pStyle w:val="TableParagraph"/>
              <w:spacing w:before="70"/>
              <w:ind w:right="87"/>
              <w:rPr>
                <w:b/>
                <w:sz w:val="20"/>
              </w:rPr>
            </w:pPr>
            <w:r>
              <w:rPr>
                <w:b/>
                <w:w w:val="95"/>
                <w:sz w:val="20"/>
              </w:rPr>
              <w:t>24,967.26</w:t>
            </w:r>
          </w:p>
        </w:tc>
        <w:tc>
          <w:tcPr>
            <w:tcW w:w="1309" w:type="dxa"/>
          </w:tcPr>
          <w:p w:rsidR="007C5447" w:rsidRDefault="00F6308C">
            <w:pPr>
              <w:pStyle w:val="TableParagraph"/>
              <w:spacing w:before="70"/>
              <w:ind w:right="85"/>
              <w:rPr>
                <w:b/>
                <w:sz w:val="20"/>
              </w:rPr>
            </w:pPr>
            <w:r>
              <w:rPr>
                <w:b/>
                <w:w w:val="95"/>
                <w:sz w:val="20"/>
              </w:rPr>
              <w:t>6,536.95</w:t>
            </w:r>
          </w:p>
        </w:tc>
        <w:tc>
          <w:tcPr>
            <w:tcW w:w="1235" w:type="dxa"/>
          </w:tcPr>
          <w:p w:rsidR="007C5447" w:rsidRDefault="00F6308C">
            <w:pPr>
              <w:pStyle w:val="TableParagraph"/>
              <w:spacing w:before="70"/>
              <w:ind w:right="86"/>
              <w:rPr>
                <w:b/>
                <w:sz w:val="20"/>
              </w:rPr>
            </w:pPr>
            <w:r>
              <w:rPr>
                <w:b/>
                <w:sz w:val="20"/>
              </w:rPr>
              <w:t>2.62</w:t>
            </w:r>
          </w:p>
        </w:tc>
      </w:tr>
      <w:tr w:rsidR="007C5447">
        <w:trPr>
          <w:trHeight w:val="371"/>
        </w:trPr>
        <w:tc>
          <w:tcPr>
            <w:tcW w:w="3401" w:type="dxa"/>
          </w:tcPr>
          <w:p w:rsidR="007C5447" w:rsidRDefault="00F6308C">
            <w:pPr>
              <w:pStyle w:val="TableParagraph"/>
              <w:spacing w:before="70"/>
              <w:ind w:left="112"/>
              <w:jc w:val="left"/>
              <w:rPr>
                <w:b/>
                <w:sz w:val="20"/>
              </w:rPr>
            </w:pPr>
            <w:r>
              <w:rPr>
                <w:b/>
                <w:sz w:val="20"/>
              </w:rPr>
              <w:t>CGS</w:t>
            </w:r>
          </w:p>
        </w:tc>
        <w:tc>
          <w:tcPr>
            <w:tcW w:w="1080" w:type="dxa"/>
          </w:tcPr>
          <w:p w:rsidR="007C5447" w:rsidRDefault="007C5447">
            <w:pPr>
              <w:pStyle w:val="TableParagraph"/>
              <w:jc w:val="left"/>
              <w:rPr>
                <w:sz w:val="20"/>
              </w:rPr>
            </w:pPr>
          </w:p>
        </w:tc>
        <w:tc>
          <w:tcPr>
            <w:tcW w:w="1178"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38" w:type="dxa"/>
          </w:tcPr>
          <w:p w:rsidR="007C5447" w:rsidRDefault="007C5447">
            <w:pPr>
              <w:pStyle w:val="TableParagraph"/>
              <w:jc w:val="left"/>
              <w:rPr>
                <w:sz w:val="20"/>
              </w:rPr>
            </w:pPr>
          </w:p>
        </w:tc>
        <w:tc>
          <w:tcPr>
            <w:tcW w:w="1218" w:type="dxa"/>
          </w:tcPr>
          <w:p w:rsidR="007C5447" w:rsidRDefault="007C5447">
            <w:pPr>
              <w:pStyle w:val="TableParagraph"/>
              <w:jc w:val="left"/>
              <w:rPr>
                <w:sz w:val="20"/>
              </w:rPr>
            </w:pPr>
          </w:p>
        </w:tc>
        <w:tc>
          <w:tcPr>
            <w:tcW w:w="1120" w:type="dxa"/>
          </w:tcPr>
          <w:p w:rsidR="007C5447" w:rsidRDefault="007C5447">
            <w:pPr>
              <w:pStyle w:val="TableParagraph"/>
              <w:jc w:val="left"/>
              <w:rPr>
                <w:sz w:val="20"/>
              </w:rPr>
            </w:pPr>
          </w:p>
        </w:tc>
        <w:tc>
          <w:tcPr>
            <w:tcW w:w="1309" w:type="dxa"/>
          </w:tcPr>
          <w:p w:rsidR="007C5447" w:rsidRDefault="007C5447">
            <w:pPr>
              <w:pStyle w:val="TableParagraph"/>
              <w:jc w:val="left"/>
              <w:rPr>
                <w:sz w:val="20"/>
              </w:rPr>
            </w:pP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NTPC SR (Ramagundam) (I&amp;II)</w:t>
            </w:r>
          </w:p>
        </w:tc>
        <w:tc>
          <w:tcPr>
            <w:tcW w:w="1080" w:type="dxa"/>
          </w:tcPr>
          <w:p w:rsidR="007C5447" w:rsidRDefault="00F6308C">
            <w:pPr>
              <w:pStyle w:val="TableParagraph"/>
              <w:spacing w:before="70"/>
              <w:ind w:right="91"/>
              <w:rPr>
                <w:sz w:val="20"/>
              </w:rPr>
            </w:pPr>
            <w:r>
              <w:rPr>
                <w:w w:val="95"/>
                <w:sz w:val="20"/>
              </w:rPr>
              <w:t>4,105.62</w:t>
            </w:r>
          </w:p>
        </w:tc>
        <w:tc>
          <w:tcPr>
            <w:tcW w:w="1178" w:type="dxa"/>
          </w:tcPr>
          <w:p w:rsidR="007C5447" w:rsidRDefault="00F6308C">
            <w:pPr>
              <w:pStyle w:val="TableParagraph"/>
              <w:spacing w:before="70"/>
              <w:ind w:right="89"/>
              <w:rPr>
                <w:sz w:val="20"/>
              </w:rPr>
            </w:pPr>
            <w:r>
              <w:rPr>
                <w:w w:val="95"/>
                <w:sz w:val="20"/>
              </w:rPr>
              <w:t>869.37</w:t>
            </w:r>
          </w:p>
        </w:tc>
        <w:tc>
          <w:tcPr>
            <w:tcW w:w="1060" w:type="dxa"/>
          </w:tcPr>
          <w:p w:rsidR="007C5447" w:rsidRDefault="00F6308C">
            <w:pPr>
              <w:pStyle w:val="TableParagraph"/>
              <w:spacing w:before="70"/>
              <w:ind w:right="91"/>
              <w:rPr>
                <w:sz w:val="20"/>
              </w:rPr>
            </w:pPr>
            <w:r>
              <w:rPr>
                <w:sz w:val="20"/>
              </w:rPr>
              <w:t>2.12</w:t>
            </w:r>
          </w:p>
        </w:tc>
        <w:tc>
          <w:tcPr>
            <w:tcW w:w="1060" w:type="dxa"/>
          </w:tcPr>
          <w:p w:rsidR="007C5447" w:rsidRDefault="00F6308C">
            <w:pPr>
              <w:pStyle w:val="TableParagraph"/>
              <w:spacing w:before="70"/>
              <w:ind w:right="88"/>
              <w:rPr>
                <w:sz w:val="20"/>
              </w:rPr>
            </w:pPr>
            <w:r>
              <w:rPr>
                <w:sz w:val="20"/>
              </w:rPr>
              <w:t>4105.62</w:t>
            </w:r>
          </w:p>
        </w:tc>
        <w:tc>
          <w:tcPr>
            <w:tcW w:w="1038" w:type="dxa"/>
          </w:tcPr>
          <w:p w:rsidR="007C5447" w:rsidRDefault="00F6308C">
            <w:pPr>
              <w:pStyle w:val="TableParagraph"/>
              <w:spacing w:before="70"/>
              <w:ind w:right="89"/>
              <w:rPr>
                <w:sz w:val="20"/>
              </w:rPr>
            </w:pPr>
            <w:r>
              <w:rPr>
                <w:w w:val="95"/>
                <w:sz w:val="20"/>
              </w:rPr>
              <w:t>869.37</w:t>
            </w:r>
          </w:p>
        </w:tc>
        <w:tc>
          <w:tcPr>
            <w:tcW w:w="1218" w:type="dxa"/>
          </w:tcPr>
          <w:p w:rsidR="007C5447" w:rsidRDefault="00F6308C">
            <w:pPr>
              <w:pStyle w:val="TableParagraph"/>
              <w:spacing w:before="70"/>
              <w:ind w:right="87"/>
              <w:rPr>
                <w:sz w:val="20"/>
              </w:rPr>
            </w:pPr>
            <w:r>
              <w:rPr>
                <w:sz w:val="20"/>
              </w:rPr>
              <w:t>2.12</w:t>
            </w:r>
          </w:p>
        </w:tc>
        <w:tc>
          <w:tcPr>
            <w:tcW w:w="1120" w:type="dxa"/>
          </w:tcPr>
          <w:p w:rsidR="007C5447" w:rsidRDefault="00F6308C">
            <w:pPr>
              <w:pStyle w:val="TableParagraph"/>
              <w:spacing w:before="70"/>
              <w:ind w:right="85"/>
              <w:rPr>
                <w:sz w:val="20"/>
              </w:rPr>
            </w:pPr>
            <w:r>
              <w:rPr>
                <w:w w:val="95"/>
                <w:sz w:val="20"/>
              </w:rPr>
              <w:t>4,105.62</w:t>
            </w:r>
          </w:p>
        </w:tc>
        <w:tc>
          <w:tcPr>
            <w:tcW w:w="1309" w:type="dxa"/>
          </w:tcPr>
          <w:p w:rsidR="007C5447" w:rsidRDefault="00F6308C">
            <w:pPr>
              <w:pStyle w:val="TableParagraph"/>
              <w:spacing w:before="70"/>
              <w:ind w:right="87"/>
              <w:rPr>
                <w:sz w:val="20"/>
              </w:rPr>
            </w:pPr>
            <w:r>
              <w:rPr>
                <w:w w:val="95"/>
                <w:sz w:val="20"/>
              </w:rPr>
              <w:t>869.37</w:t>
            </w:r>
          </w:p>
        </w:tc>
        <w:tc>
          <w:tcPr>
            <w:tcW w:w="1235" w:type="dxa"/>
          </w:tcPr>
          <w:p w:rsidR="007C5447" w:rsidRDefault="00F6308C">
            <w:pPr>
              <w:pStyle w:val="TableParagraph"/>
              <w:spacing w:before="70"/>
              <w:ind w:right="86"/>
              <w:rPr>
                <w:sz w:val="20"/>
              </w:rPr>
            </w:pPr>
            <w:r>
              <w:rPr>
                <w:sz w:val="20"/>
              </w:rPr>
              <w:t>2.12</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NTPC SR (Ramagundam) III</w:t>
            </w:r>
          </w:p>
        </w:tc>
        <w:tc>
          <w:tcPr>
            <w:tcW w:w="1080" w:type="dxa"/>
          </w:tcPr>
          <w:p w:rsidR="007C5447" w:rsidRDefault="00F6308C">
            <w:pPr>
              <w:pStyle w:val="TableParagraph"/>
              <w:spacing w:before="70"/>
              <w:ind w:right="91"/>
              <w:rPr>
                <w:sz w:val="20"/>
              </w:rPr>
            </w:pPr>
            <w:r>
              <w:rPr>
                <w:w w:val="95"/>
                <w:sz w:val="20"/>
              </w:rPr>
              <w:t>1,048.45</w:t>
            </w:r>
          </w:p>
        </w:tc>
        <w:tc>
          <w:tcPr>
            <w:tcW w:w="1178" w:type="dxa"/>
          </w:tcPr>
          <w:p w:rsidR="007C5447" w:rsidRDefault="00F6308C">
            <w:pPr>
              <w:pStyle w:val="TableParagraph"/>
              <w:spacing w:before="70"/>
              <w:ind w:right="89"/>
              <w:rPr>
                <w:sz w:val="20"/>
              </w:rPr>
            </w:pPr>
            <w:r>
              <w:rPr>
                <w:w w:val="95"/>
                <w:sz w:val="20"/>
              </w:rPr>
              <w:t>284.10</w:t>
            </w:r>
          </w:p>
        </w:tc>
        <w:tc>
          <w:tcPr>
            <w:tcW w:w="1060" w:type="dxa"/>
          </w:tcPr>
          <w:p w:rsidR="007C5447" w:rsidRDefault="00F6308C">
            <w:pPr>
              <w:pStyle w:val="TableParagraph"/>
              <w:spacing w:before="70"/>
              <w:ind w:right="91"/>
              <w:rPr>
                <w:sz w:val="20"/>
              </w:rPr>
            </w:pPr>
            <w:r>
              <w:rPr>
                <w:sz w:val="20"/>
              </w:rPr>
              <w:t>2.71</w:t>
            </w:r>
          </w:p>
        </w:tc>
        <w:tc>
          <w:tcPr>
            <w:tcW w:w="1060" w:type="dxa"/>
          </w:tcPr>
          <w:p w:rsidR="007C5447" w:rsidRDefault="00F6308C">
            <w:pPr>
              <w:pStyle w:val="TableParagraph"/>
              <w:spacing w:before="70"/>
              <w:ind w:right="88"/>
              <w:rPr>
                <w:sz w:val="20"/>
              </w:rPr>
            </w:pPr>
            <w:r>
              <w:rPr>
                <w:sz w:val="20"/>
              </w:rPr>
              <w:t>1048.45</w:t>
            </w:r>
          </w:p>
        </w:tc>
        <w:tc>
          <w:tcPr>
            <w:tcW w:w="1038" w:type="dxa"/>
          </w:tcPr>
          <w:p w:rsidR="007C5447" w:rsidRDefault="00F6308C">
            <w:pPr>
              <w:pStyle w:val="TableParagraph"/>
              <w:spacing w:before="70"/>
              <w:ind w:right="89"/>
              <w:rPr>
                <w:sz w:val="20"/>
              </w:rPr>
            </w:pPr>
            <w:r>
              <w:rPr>
                <w:w w:val="95"/>
                <w:sz w:val="20"/>
              </w:rPr>
              <w:t>284.10</w:t>
            </w:r>
          </w:p>
        </w:tc>
        <w:tc>
          <w:tcPr>
            <w:tcW w:w="1218" w:type="dxa"/>
          </w:tcPr>
          <w:p w:rsidR="007C5447" w:rsidRDefault="00F6308C">
            <w:pPr>
              <w:pStyle w:val="TableParagraph"/>
              <w:spacing w:before="70"/>
              <w:ind w:right="87"/>
              <w:rPr>
                <w:sz w:val="20"/>
              </w:rPr>
            </w:pPr>
            <w:r>
              <w:rPr>
                <w:sz w:val="20"/>
              </w:rPr>
              <w:t>2.71</w:t>
            </w:r>
          </w:p>
        </w:tc>
        <w:tc>
          <w:tcPr>
            <w:tcW w:w="1120" w:type="dxa"/>
          </w:tcPr>
          <w:p w:rsidR="007C5447" w:rsidRDefault="00F6308C">
            <w:pPr>
              <w:pStyle w:val="TableParagraph"/>
              <w:spacing w:before="70"/>
              <w:ind w:right="85"/>
              <w:rPr>
                <w:sz w:val="20"/>
              </w:rPr>
            </w:pPr>
            <w:r>
              <w:rPr>
                <w:w w:val="95"/>
                <w:sz w:val="20"/>
              </w:rPr>
              <w:t>1,048.45</w:t>
            </w:r>
          </w:p>
        </w:tc>
        <w:tc>
          <w:tcPr>
            <w:tcW w:w="1309" w:type="dxa"/>
          </w:tcPr>
          <w:p w:rsidR="007C5447" w:rsidRDefault="00F6308C">
            <w:pPr>
              <w:pStyle w:val="TableParagraph"/>
              <w:spacing w:before="70"/>
              <w:ind w:right="87"/>
              <w:rPr>
                <w:sz w:val="20"/>
              </w:rPr>
            </w:pPr>
            <w:r>
              <w:rPr>
                <w:w w:val="95"/>
                <w:sz w:val="20"/>
              </w:rPr>
              <w:t>284.10</w:t>
            </w:r>
          </w:p>
        </w:tc>
        <w:tc>
          <w:tcPr>
            <w:tcW w:w="1235" w:type="dxa"/>
          </w:tcPr>
          <w:p w:rsidR="007C5447" w:rsidRDefault="00F6308C">
            <w:pPr>
              <w:pStyle w:val="TableParagraph"/>
              <w:spacing w:before="70"/>
              <w:ind w:right="86"/>
              <w:rPr>
                <w:sz w:val="20"/>
              </w:rPr>
            </w:pPr>
            <w:r>
              <w:rPr>
                <w:sz w:val="20"/>
              </w:rPr>
              <w:t>2.71</w:t>
            </w:r>
          </w:p>
        </w:tc>
      </w:tr>
      <w:tr w:rsidR="007C5447">
        <w:trPr>
          <w:trHeight w:val="371"/>
        </w:trPr>
        <w:tc>
          <w:tcPr>
            <w:tcW w:w="3401" w:type="dxa"/>
            <w:tcBorders>
              <w:left w:val="single" w:sz="8" w:space="0" w:color="000000"/>
            </w:tcBorders>
          </w:tcPr>
          <w:p w:rsidR="007C5447" w:rsidRDefault="00F6308C">
            <w:pPr>
              <w:pStyle w:val="TableParagraph"/>
              <w:spacing w:before="70"/>
              <w:ind w:left="107"/>
              <w:jc w:val="left"/>
              <w:rPr>
                <w:sz w:val="20"/>
              </w:rPr>
            </w:pPr>
            <w:r>
              <w:rPr>
                <w:sz w:val="20"/>
              </w:rPr>
              <w:t>NLC TS – I</w:t>
            </w:r>
          </w:p>
        </w:tc>
        <w:tc>
          <w:tcPr>
            <w:tcW w:w="1080" w:type="dxa"/>
          </w:tcPr>
          <w:p w:rsidR="007C5447" w:rsidRDefault="00F6308C">
            <w:pPr>
              <w:pStyle w:val="TableParagraph"/>
              <w:spacing w:before="70"/>
              <w:ind w:right="91"/>
              <w:rPr>
                <w:sz w:val="20"/>
              </w:rPr>
            </w:pPr>
            <w:r>
              <w:rPr>
                <w:w w:val="95"/>
                <w:sz w:val="20"/>
              </w:rPr>
              <w:t>3,145.66</w:t>
            </w:r>
          </w:p>
        </w:tc>
        <w:tc>
          <w:tcPr>
            <w:tcW w:w="1178" w:type="dxa"/>
          </w:tcPr>
          <w:p w:rsidR="007C5447" w:rsidRDefault="00F6308C">
            <w:pPr>
              <w:pStyle w:val="TableParagraph"/>
              <w:spacing w:before="70"/>
              <w:ind w:right="89"/>
              <w:rPr>
                <w:sz w:val="20"/>
              </w:rPr>
            </w:pPr>
            <w:r>
              <w:rPr>
                <w:w w:val="95"/>
                <w:sz w:val="20"/>
              </w:rPr>
              <w:t>675.76</w:t>
            </w:r>
          </w:p>
        </w:tc>
        <w:tc>
          <w:tcPr>
            <w:tcW w:w="1060" w:type="dxa"/>
          </w:tcPr>
          <w:p w:rsidR="007C5447" w:rsidRDefault="00F6308C">
            <w:pPr>
              <w:pStyle w:val="TableParagraph"/>
              <w:spacing w:before="70"/>
              <w:ind w:right="91"/>
              <w:rPr>
                <w:sz w:val="20"/>
              </w:rPr>
            </w:pPr>
            <w:r>
              <w:rPr>
                <w:sz w:val="20"/>
              </w:rPr>
              <w:t>2.15</w:t>
            </w:r>
          </w:p>
        </w:tc>
        <w:tc>
          <w:tcPr>
            <w:tcW w:w="1060" w:type="dxa"/>
          </w:tcPr>
          <w:p w:rsidR="007C5447" w:rsidRDefault="00F6308C">
            <w:pPr>
              <w:pStyle w:val="TableParagraph"/>
              <w:spacing w:before="70"/>
              <w:ind w:right="88"/>
              <w:rPr>
                <w:sz w:val="20"/>
              </w:rPr>
            </w:pPr>
            <w:r>
              <w:rPr>
                <w:sz w:val="20"/>
              </w:rPr>
              <w:t>3145.66</w:t>
            </w:r>
          </w:p>
        </w:tc>
        <w:tc>
          <w:tcPr>
            <w:tcW w:w="1038" w:type="dxa"/>
          </w:tcPr>
          <w:p w:rsidR="007C5447" w:rsidRDefault="00F6308C">
            <w:pPr>
              <w:pStyle w:val="TableParagraph"/>
              <w:spacing w:before="70"/>
              <w:ind w:right="89"/>
              <w:rPr>
                <w:sz w:val="20"/>
              </w:rPr>
            </w:pPr>
            <w:r>
              <w:rPr>
                <w:w w:val="95"/>
                <w:sz w:val="20"/>
              </w:rPr>
              <w:t>675.76</w:t>
            </w:r>
          </w:p>
        </w:tc>
        <w:tc>
          <w:tcPr>
            <w:tcW w:w="1218" w:type="dxa"/>
          </w:tcPr>
          <w:p w:rsidR="007C5447" w:rsidRDefault="00F6308C">
            <w:pPr>
              <w:pStyle w:val="TableParagraph"/>
              <w:spacing w:before="70"/>
              <w:ind w:right="87"/>
              <w:rPr>
                <w:sz w:val="20"/>
              </w:rPr>
            </w:pPr>
            <w:r>
              <w:rPr>
                <w:sz w:val="20"/>
              </w:rPr>
              <w:t>2.15</w:t>
            </w:r>
          </w:p>
        </w:tc>
        <w:tc>
          <w:tcPr>
            <w:tcW w:w="1120" w:type="dxa"/>
          </w:tcPr>
          <w:p w:rsidR="007C5447" w:rsidRDefault="00F6308C">
            <w:pPr>
              <w:pStyle w:val="TableParagraph"/>
              <w:spacing w:before="70"/>
              <w:ind w:right="85"/>
              <w:rPr>
                <w:sz w:val="20"/>
              </w:rPr>
            </w:pPr>
            <w:r>
              <w:rPr>
                <w:w w:val="95"/>
                <w:sz w:val="20"/>
              </w:rPr>
              <w:t>3,145.66</w:t>
            </w:r>
          </w:p>
        </w:tc>
        <w:tc>
          <w:tcPr>
            <w:tcW w:w="1309" w:type="dxa"/>
          </w:tcPr>
          <w:p w:rsidR="007C5447" w:rsidRDefault="00F6308C">
            <w:pPr>
              <w:pStyle w:val="TableParagraph"/>
              <w:spacing w:before="70"/>
              <w:ind w:right="87"/>
              <w:rPr>
                <w:sz w:val="20"/>
              </w:rPr>
            </w:pPr>
            <w:r>
              <w:rPr>
                <w:w w:val="95"/>
                <w:sz w:val="20"/>
              </w:rPr>
              <w:t>675.76</w:t>
            </w:r>
          </w:p>
        </w:tc>
        <w:tc>
          <w:tcPr>
            <w:tcW w:w="1235" w:type="dxa"/>
          </w:tcPr>
          <w:p w:rsidR="007C5447" w:rsidRDefault="00F6308C">
            <w:pPr>
              <w:pStyle w:val="TableParagraph"/>
              <w:spacing w:before="70"/>
              <w:ind w:right="86"/>
              <w:rPr>
                <w:sz w:val="20"/>
              </w:rPr>
            </w:pPr>
            <w:r>
              <w:rPr>
                <w:sz w:val="20"/>
              </w:rPr>
              <w:t>2.15</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NLC TS – II</w:t>
            </w:r>
          </w:p>
        </w:tc>
        <w:tc>
          <w:tcPr>
            <w:tcW w:w="1080" w:type="dxa"/>
          </w:tcPr>
          <w:p w:rsidR="007C5447" w:rsidRDefault="00F6308C">
            <w:pPr>
              <w:pStyle w:val="TableParagraph"/>
              <w:spacing w:before="70"/>
              <w:ind w:right="91"/>
              <w:rPr>
                <w:sz w:val="20"/>
              </w:rPr>
            </w:pPr>
            <w:r>
              <w:rPr>
                <w:w w:val="95"/>
                <w:sz w:val="20"/>
              </w:rPr>
              <w:t>3,167.34</w:t>
            </w:r>
          </w:p>
        </w:tc>
        <w:tc>
          <w:tcPr>
            <w:tcW w:w="1178" w:type="dxa"/>
          </w:tcPr>
          <w:p w:rsidR="007C5447" w:rsidRDefault="00F6308C">
            <w:pPr>
              <w:pStyle w:val="TableParagraph"/>
              <w:spacing w:before="70"/>
              <w:ind w:right="89"/>
              <w:rPr>
                <w:sz w:val="20"/>
              </w:rPr>
            </w:pPr>
            <w:r>
              <w:rPr>
                <w:w w:val="95"/>
                <w:sz w:val="20"/>
              </w:rPr>
              <w:t>811.80</w:t>
            </w:r>
          </w:p>
        </w:tc>
        <w:tc>
          <w:tcPr>
            <w:tcW w:w="1060" w:type="dxa"/>
          </w:tcPr>
          <w:p w:rsidR="007C5447" w:rsidRDefault="00F6308C">
            <w:pPr>
              <w:pStyle w:val="TableParagraph"/>
              <w:spacing w:before="70"/>
              <w:ind w:right="91"/>
              <w:rPr>
                <w:sz w:val="20"/>
              </w:rPr>
            </w:pPr>
            <w:r>
              <w:rPr>
                <w:sz w:val="20"/>
              </w:rPr>
              <w:t>2.56</w:t>
            </w:r>
          </w:p>
        </w:tc>
        <w:tc>
          <w:tcPr>
            <w:tcW w:w="1060" w:type="dxa"/>
          </w:tcPr>
          <w:p w:rsidR="007C5447" w:rsidRDefault="00F6308C">
            <w:pPr>
              <w:pStyle w:val="TableParagraph"/>
              <w:spacing w:before="70"/>
              <w:ind w:right="88"/>
              <w:rPr>
                <w:sz w:val="20"/>
              </w:rPr>
            </w:pPr>
            <w:r>
              <w:rPr>
                <w:sz w:val="20"/>
              </w:rPr>
              <w:t>3167.34</w:t>
            </w:r>
          </w:p>
        </w:tc>
        <w:tc>
          <w:tcPr>
            <w:tcW w:w="1038" w:type="dxa"/>
          </w:tcPr>
          <w:p w:rsidR="007C5447" w:rsidRDefault="00F6308C">
            <w:pPr>
              <w:pStyle w:val="TableParagraph"/>
              <w:spacing w:before="70"/>
              <w:ind w:right="89"/>
              <w:rPr>
                <w:sz w:val="20"/>
              </w:rPr>
            </w:pPr>
            <w:r>
              <w:rPr>
                <w:w w:val="95"/>
                <w:sz w:val="20"/>
              </w:rPr>
              <w:t>811.80</w:t>
            </w:r>
          </w:p>
        </w:tc>
        <w:tc>
          <w:tcPr>
            <w:tcW w:w="1218" w:type="dxa"/>
          </w:tcPr>
          <w:p w:rsidR="007C5447" w:rsidRDefault="00F6308C">
            <w:pPr>
              <w:pStyle w:val="TableParagraph"/>
              <w:spacing w:before="70"/>
              <w:ind w:right="87"/>
              <w:rPr>
                <w:sz w:val="20"/>
              </w:rPr>
            </w:pPr>
            <w:r>
              <w:rPr>
                <w:sz w:val="20"/>
              </w:rPr>
              <w:t>2.56</w:t>
            </w:r>
          </w:p>
        </w:tc>
        <w:tc>
          <w:tcPr>
            <w:tcW w:w="1120" w:type="dxa"/>
          </w:tcPr>
          <w:p w:rsidR="007C5447" w:rsidRDefault="00F6308C">
            <w:pPr>
              <w:pStyle w:val="TableParagraph"/>
              <w:spacing w:before="70"/>
              <w:ind w:right="85"/>
              <w:rPr>
                <w:sz w:val="20"/>
              </w:rPr>
            </w:pPr>
            <w:r>
              <w:rPr>
                <w:w w:val="95"/>
                <w:sz w:val="20"/>
              </w:rPr>
              <w:t>3,167.34</w:t>
            </w:r>
          </w:p>
        </w:tc>
        <w:tc>
          <w:tcPr>
            <w:tcW w:w="1309" w:type="dxa"/>
          </w:tcPr>
          <w:p w:rsidR="007C5447" w:rsidRDefault="00F6308C">
            <w:pPr>
              <w:pStyle w:val="TableParagraph"/>
              <w:spacing w:before="70"/>
              <w:ind w:right="87"/>
              <w:rPr>
                <w:sz w:val="20"/>
              </w:rPr>
            </w:pPr>
            <w:r>
              <w:rPr>
                <w:w w:val="95"/>
                <w:sz w:val="20"/>
              </w:rPr>
              <w:t>811.80</w:t>
            </w:r>
          </w:p>
        </w:tc>
        <w:tc>
          <w:tcPr>
            <w:tcW w:w="1235" w:type="dxa"/>
          </w:tcPr>
          <w:p w:rsidR="007C5447" w:rsidRDefault="00F6308C">
            <w:pPr>
              <w:pStyle w:val="TableParagraph"/>
              <w:spacing w:before="70"/>
              <w:ind w:right="86"/>
              <w:rPr>
                <w:sz w:val="20"/>
              </w:rPr>
            </w:pPr>
            <w:r>
              <w:rPr>
                <w:sz w:val="20"/>
              </w:rPr>
              <w:t>2.56</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NLC TS Expansion I</w:t>
            </w:r>
          </w:p>
        </w:tc>
        <w:tc>
          <w:tcPr>
            <w:tcW w:w="1080" w:type="dxa"/>
          </w:tcPr>
          <w:p w:rsidR="007C5447" w:rsidRDefault="00F6308C">
            <w:pPr>
              <w:pStyle w:val="TableParagraph"/>
              <w:spacing w:before="70"/>
              <w:ind w:right="91"/>
              <w:rPr>
                <w:sz w:val="20"/>
              </w:rPr>
            </w:pPr>
            <w:r>
              <w:rPr>
                <w:w w:val="95"/>
                <w:sz w:val="20"/>
              </w:rPr>
              <w:t>1,526.27</w:t>
            </w:r>
          </w:p>
        </w:tc>
        <w:tc>
          <w:tcPr>
            <w:tcW w:w="1178" w:type="dxa"/>
          </w:tcPr>
          <w:p w:rsidR="007C5447" w:rsidRDefault="00F6308C">
            <w:pPr>
              <w:pStyle w:val="TableParagraph"/>
              <w:spacing w:before="70"/>
              <w:ind w:right="89"/>
              <w:rPr>
                <w:sz w:val="20"/>
              </w:rPr>
            </w:pPr>
            <w:r>
              <w:rPr>
                <w:w w:val="95"/>
                <w:sz w:val="20"/>
              </w:rPr>
              <w:t>489.40</w:t>
            </w:r>
          </w:p>
        </w:tc>
        <w:tc>
          <w:tcPr>
            <w:tcW w:w="1060" w:type="dxa"/>
          </w:tcPr>
          <w:p w:rsidR="007C5447" w:rsidRDefault="00F6308C">
            <w:pPr>
              <w:pStyle w:val="TableParagraph"/>
              <w:spacing w:before="70"/>
              <w:ind w:right="91"/>
              <w:rPr>
                <w:sz w:val="20"/>
              </w:rPr>
            </w:pPr>
            <w:r>
              <w:rPr>
                <w:sz w:val="20"/>
              </w:rPr>
              <w:t>3.21</w:t>
            </w:r>
          </w:p>
        </w:tc>
        <w:tc>
          <w:tcPr>
            <w:tcW w:w="1060" w:type="dxa"/>
          </w:tcPr>
          <w:p w:rsidR="007C5447" w:rsidRDefault="00F6308C">
            <w:pPr>
              <w:pStyle w:val="TableParagraph"/>
              <w:spacing w:before="70"/>
              <w:ind w:right="88"/>
              <w:rPr>
                <w:sz w:val="20"/>
              </w:rPr>
            </w:pPr>
            <w:r>
              <w:rPr>
                <w:sz w:val="20"/>
              </w:rPr>
              <w:t>1526.27</w:t>
            </w:r>
          </w:p>
        </w:tc>
        <w:tc>
          <w:tcPr>
            <w:tcW w:w="1038" w:type="dxa"/>
          </w:tcPr>
          <w:p w:rsidR="007C5447" w:rsidRDefault="00F6308C">
            <w:pPr>
              <w:pStyle w:val="TableParagraph"/>
              <w:spacing w:before="70"/>
              <w:ind w:right="88"/>
              <w:rPr>
                <w:sz w:val="20"/>
              </w:rPr>
            </w:pPr>
            <w:r>
              <w:rPr>
                <w:w w:val="95"/>
                <w:sz w:val="20"/>
              </w:rPr>
              <w:t>489.40</w:t>
            </w:r>
          </w:p>
        </w:tc>
        <w:tc>
          <w:tcPr>
            <w:tcW w:w="1218" w:type="dxa"/>
          </w:tcPr>
          <w:p w:rsidR="007C5447" w:rsidRDefault="00F6308C">
            <w:pPr>
              <w:pStyle w:val="TableParagraph"/>
              <w:spacing w:before="70"/>
              <w:ind w:right="87"/>
              <w:rPr>
                <w:sz w:val="20"/>
              </w:rPr>
            </w:pPr>
            <w:r>
              <w:rPr>
                <w:sz w:val="20"/>
              </w:rPr>
              <w:t>3.21</w:t>
            </w:r>
          </w:p>
        </w:tc>
        <w:tc>
          <w:tcPr>
            <w:tcW w:w="1120" w:type="dxa"/>
          </w:tcPr>
          <w:p w:rsidR="007C5447" w:rsidRDefault="00F6308C">
            <w:pPr>
              <w:pStyle w:val="TableParagraph"/>
              <w:spacing w:before="70"/>
              <w:ind w:right="85"/>
              <w:rPr>
                <w:sz w:val="20"/>
              </w:rPr>
            </w:pPr>
            <w:r>
              <w:rPr>
                <w:w w:val="95"/>
                <w:sz w:val="20"/>
              </w:rPr>
              <w:t>1,526.27</w:t>
            </w:r>
          </w:p>
        </w:tc>
        <w:tc>
          <w:tcPr>
            <w:tcW w:w="1309" w:type="dxa"/>
          </w:tcPr>
          <w:p w:rsidR="007C5447" w:rsidRDefault="00F6308C">
            <w:pPr>
              <w:pStyle w:val="TableParagraph"/>
              <w:spacing w:before="70"/>
              <w:ind w:right="87"/>
              <w:rPr>
                <w:sz w:val="20"/>
              </w:rPr>
            </w:pPr>
            <w:r>
              <w:rPr>
                <w:w w:val="95"/>
                <w:sz w:val="20"/>
              </w:rPr>
              <w:t>489.40</w:t>
            </w:r>
          </w:p>
        </w:tc>
        <w:tc>
          <w:tcPr>
            <w:tcW w:w="1235" w:type="dxa"/>
          </w:tcPr>
          <w:p w:rsidR="007C5447" w:rsidRDefault="00F6308C">
            <w:pPr>
              <w:pStyle w:val="TableParagraph"/>
              <w:spacing w:before="70"/>
              <w:ind w:right="86"/>
              <w:rPr>
                <w:sz w:val="20"/>
              </w:rPr>
            </w:pPr>
            <w:r>
              <w:rPr>
                <w:sz w:val="20"/>
              </w:rPr>
              <w:t>3.21</w:t>
            </w:r>
          </w:p>
        </w:tc>
      </w:tr>
      <w:tr w:rsidR="007C5447">
        <w:trPr>
          <w:trHeight w:val="371"/>
        </w:trPr>
        <w:tc>
          <w:tcPr>
            <w:tcW w:w="3401" w:type="dxa"/>
            <w:tcBorders>
              <w:left w:val="single" w:sz="8" w:space="0" w:color="000000"/>
            </w:tcBorders>
          </w:tcPr>
          <w:p w:rsidR="007C5447" w:rsidRDefault="00F6308C">
            <w:pPr>
              <w:pStyle w:val="TableParagraph"/>
              <w:spacing w:before="70"/>
              <w:ind w:left="107"/>
              <w:jc w:val="left"/>
              <w:rPr>
                <w:sz w:val="20"/>
              </w:rPr>
            </w:pPr>
            <w:r>
              <w:rPr>
                <w:sz w:val="20"/>
              </w:rPr>
              <w:t>NLC TS Expansion II</w:t>
            </w:r>
          </w:p>
        </w:tc>
        <w:tc>
          <w:tcPr>
            <w:tcW w:w="1080" w:type="dxa"/>
          </w:tcPr>
          <w:p w:rsidR="007C5447" w:rsidRDefault="00F6308C">
            <w:pPr>
              <w:pStyle w:val="TableParagraph"/>
              <w:spacing w:before="70"/>
              <w:ind w:right="89"/>
              <w:rPr>
                <w:sz w:val="20"/>
              </w:rPr>
            </w:pPr>
            <w:r>
              <w:rPr>
                <w:w w:val="99"/>
                <w:sz w:val="20"/>
              </w:rPr>
              <w:t>-</w:t>
            </w:r>
          </w:p>
        </w:tc>
        <w:tc>
          <w:tcPr>
            <w:tcW w:w="1178" w:type="dxa"/>
          </w:tcPr>
          <w:p w:rsidR="007C5447" w:rsidRDefault="00F6308C">
            <w:pPr>
              <w:pStyle w:val="TableParagraph"/>
              <w:spacing w:before="70"/>
              <w:ind w:right="86"/>
              <w:rPr>
                <w:sz w:val="20"/>
              </w:rPr>
            </w:pPr>
            <w:r>
              <w:rPr>
                <w:w w:val="99"/>
                <w:sz w:val="20"/>
              </w:rPr>
              <w:t>-</w:t>
            </w:r>
          </w:p>
        </w:tc>
        <w:tc>
          <w:tcPr>
            <w:tcW w:w="1060" w:type="dxa"/>
          </w:tcPr>
          <w:p w:rsidR="007C5447" w:rsidRDefault="00F6308C">
            <w:pPr>
              <w:pStyle w:val="TableParagraph"/>
              <w:spacing w:before="70"/>
              <w:ind w:right="87"/>
              <w:rPr>
                <w:sz w:val="20"/>
              </w:rPr>
            </w:pPr>
            <w:r>
              <w:rPr>
                <w:w w:val="99"/>
                <w:sz w:val="20"/>
              </w:rPr>
              <w:t>-</w:t>
            </w:r>
          </w:p>
        </w:tc>
        <w:tc>
          <w:tcPr>
            <w:tcW w:w="1060" w:type="dxa"/>
          </w:tcPr>
          <w:p w:rsidR="007C5447" w:rsidRDefault="00F6308C">
            <w:pPr>
              <w:pStyle w:val="TableParagraph"/>
              <w:spacing w:before="70"/>
              <w:ind w:right="88"/>
              <w:rPr>
                <w:sz w:val="20"/>
              </w:rPr>
            </w:pPr>
            <w:r>
              <w:rPr>
                <w:sz w:val="20"/>
              </w:rPr>
              <w:t>0.00</w:t>
            </w:r>
          </w:p>
        </w:tc>
        <w:tc>
          <w:tcPr>
            <w:tcW w:w="1038" w:type="dxa"/>
          </w:tcPr>
          <w:p w:rsidR="007C5447" w:rsidRDefault="00F6308C">
            <w:pPr>
              <w:pStyle w:val="TableParagraph"/>
              <w:spacing w:before="70"/>
              <w:ind w:right="85"/>
              <w:rPr>
                <w:sz w:val="20"/>
              </w:rPr>
            </w:pPr>
            <w:r>
              <w:rPr>
                <w:w w:val="99"/>
                <w:sz w:val="20"/>
              </w:rPr>
              <w:t>-</w:t>
            </w:r>
          </w:p>
        </w:tc>
        <w:tc>
          <w:tcPr>
            <w:tcW w:w="1218" w:type="dxa"/>
          </w:tcPr>
          <w:p w:rsidR="007C5447" w:rsidRDefault="007C5447">
            <w:pPr>
              <w:pStyle w:val="TableParagraph"/>
              <w:jc w:val="left"/>
              <w:rPr>
                <w:sz w:val="20"/>
              </w:rPr>
            </w:pPr>
          </w:p>
        </w:tc>
        <w:tc>
          <w:tcPr>
            <w:tcW w:w="1120" w:type="dxa"/>
          </w:tcPr>
          <w:p w:rsidR="007C5447" w:rsidRDefault="00F6308C">
            <w:pPr>
              <w:pStyle w:val="TableParagraph"/>
              <w:spacing w:before="70"/>
              <w:ind w:right="83"/>
              <w:rPr>
                <w:sz w:val="20"/>
              </w:rPr>
            </w:pPr>
            <w:r>
              <w:rPr>
                <w:w w:val="99"/>
                <w:sz w:val="20"/>
              </w:rPr>
              <w:t>-</w:t>
            </w:r>
          </w:p>
        </w:tc>
        <w:tc>
          <w:tcPr>
            <w:tcW w:w="1309" w:type="dxa"/>
          </w:tcPr>
          <w:p w:rsidR="007C5447" w:rsidRDefault="007C5447">
            <w:pPr>
              <w:pStyle w:val="TableParagraph"/>
              <w:jc w:val="left"/>
              <w:rPr>
                <w:sz w:val="20"/>
              </w:rPr>
            </w:pP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NTPL (JV with NLC)</w:t>
            </w:r>
          </w:p>
        </w:tc>
        <w:tc>
          <w:tcPr>
            <w:tcW w:w="1080" w:type="dxa"/>
          </w:tcPr>
          <w:p w:rsidR="007C5447" w:rsidRDefault="007C5447">
            <w:pPr>
              <w:pStyle w:val="TableParagraph"/>
              <w:jc w:val="left"/>
              <w:rPr>
                <w:sz w:val="20"/>
              </w:rPr>
            </w:pPr>
          </w:p>
        </w:tc>
        <w:tc>
          <w:tcPr>
            <w:tcW w:w="1178" w:type="dxa"/>
          </w:tcPr>
          <w:p w:rsidR="007C5447" w:rsidRDefault="00F6308C">
            <w:pPr>
              <w:pStyle w:val="TableParagraph"/>
              <w:spacing w:before="70"/>
              <w:ind w:right="86"/>
              <w:rPr>
                <w:sz w:val="20"/>
              </w:rPr>
            </w:pPr>
            <w:r>
              <w:rPr>
                <w:w w:val="99"/>
                <w:sz w:val="20"/>
              </w:rPr>
              <w:t>-</w:t>
            </w:r>
          </w:p>
        </w:tc>
        <w:tc>
          <w:tcPr>
            <w:tcW w:w="1060"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38" w:type="dxa"/>
          </w:tcPr>
          <w:p w:rsidR="007C5447" w:rsidRDefault="007C5447">
            <w:pPr>
              <w:pStyle w:val="TableParagraph"/>
              <w:jc w:val="left"/>
              <w:rPr>
                <w:sz w:val="20"/>
              </w:rPr>
            </w:pPr>
          </w:p>
        </w:tc>
        <w:tc>
          <w:tcPr>
            <w:tcW w:w="1218" w:type="dxa"/>
          </w:tcPr>
          <w:p w:rsidR="007C5447" w:rsidRDefault="007C5447">
            <w:pPr>
              <w:pStyle w:val="TableParagraph"/>
              <w:jc w:val="left"/>
              <w:rPr>
                <w:sz w:val="20"/>
              </w:rPr>
            </w:pPr>
          </w:p>
        </w:tc>
        <w:tc>
          <w:tcPr>
            <w:tcW w:w="1120" w:type="dxa"/>
          </w:tcPr>
          <w:p w:rsidR="007C5447" w:rsidRDefault="007C5447">
            <w:pPr>
              <w:pStyle w:val="TableParagraph"/>
              <w:jc w:val="left"/>
              <w:rPr>
                <w:sz w:val="20"/>
              </w:rPr>
            </w:pPr>
          </w:p>
        </w:tc>
        <w:tc>
          <w:tcPr>
            <w:tcW w:w="1309" w:type="dxa"/>
          </w:tcPr>
          <w:p w:rsidR="007C5447" w:rsidRDefault="007C5447">
            <w:pPr>
              <w:pStyle w:val="TableParagraph"/>
              <w:jc w:val="left"/>
              <w:rPr>
                <w:sz w:val="20"/>
              </w:rPr>
            </w:pP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NTPC Talcher</w:t>
            </w:r>
          </w:p>
        </w:tc>
        <w:tc>
          <w:tcPr>
            <w:tcW w:w="1080" w:type="dxa"/>
          </w:tcPr>
          <w:p w:rsidR="007C5447" w:rsidRDefault="00F6308C">
            <w:pPr>
              <w:pStyle w:val="TableParagraph"/>
              <w:spacing w:before="70"/>
              <w:ind w:right="91"/>
              <w:rPr>
                <w:sz w:val="20"/>
              </w:rPr>
            </w:pPr>
            <w:r>
              <w:rPr>
                <w:w w:val="95"/>
                <w:sz w:val="20"/>
              </w:rPr>
              <w:t>3,621.59</w:t>
            </w:r>
          </w:p>
        </w:tc>
        <w:tc>
          <w:tcPr>
            <w:tcW w:w="1178" w:type="dxa"/>
          </w:tcPr>
          <w:p w:rsidR="007C5447" w:rsidRDefault="00F6308C">
            <w:pPr>
              <w:pStyle w:val="TableParagraph"/>
              <w:spacing w:before="70"/>
              <w:ind w:right="87"/>
              <w:rPr>
                <w:sz w:val="20"/>
              </w:rPr>
            </w:pPr>
            <w:r>
              <w:rPr>
                <w:w w:val="95"/>
                <w:sz w:val="20"/>
              </w:rPr>
              <w:t>1,024.53</w:t>
            </w:r>
          </w:p>
        </w:tc>
        <w:tc>
          <w:tcPr>
            <w:tcW w:w="1060" w:type="dxa"/>
          </w:tcPr>
          <w:p w:rsidR="007C5447" w:rsidRDefault="00F6308C">
            <w:pPr>
              <w:pStyle w:val="TableParagraph"/>
              <w:spacing w:before="70"/>
              <w:ind w:right="91"/>
              <w:rPr>
                <w:sz w:val="20"/>
              </w:rPr>
            </w:pPr>
            <w:r>
              <w:rPr>
                <w:sz w:val="20"/>
              </w:rPr>
              <w:t>2.83</w:t>
            </w:r>
          </w:p>
        </w:tc>
        <w:tc>
          <w:tcPr>
            <w:tcW w:w="1060" w:type="dxa"/>
          </w:tcPr>
          <w:p w:rsidR="007C5447" w:rsidRDefault="00F6308C">
            <w:pPr>
              <w:pStyle w:val="TableParagraph"/>
              <w:spacing w:before="70"/>
              <w:ind w:right="88"/>
              <w:rPr>
                <w:sz w:val="20"/>
              </w:rPr>
            </w:pPr>
            <w:r>
              <w:rPr>
                <w:sz w:val="20"/>
              </w:rPr>
              <w:t>3621.59</w:t>
            </w:r>
          </w:p>
        </w:tc>
        <w:tc>
          <w:tcPr>
            <w:tcW w:w="1038" w:type="dxa"/>
          </w:tcPr>
          <w:p w:rsidR="007C5447" w:rsidRDefault="00F6308C">
            <w:pPr>
              <w:pStyle w:val="TableParagraph"/>
              <w:spacing w:before="70"/>
              <w:ind w:right="87"/>
              <w:rPr>
                <w:sz w:val="20"/>
              </w:rPr>
            </w:pPr>
            <w:r>
              <w:rPr>
                <w:w w:val="95"/>
                <w:sz w:val="20"/>
              </w:rPr>
              <w:t>1,024.53</w:t>
            </w:r>
          </w:p>
        </w:tc>
        <w:tc>
          <w:tcPr>
            <w:tcW w:w="1218" w:type="dxa"/>
          </w:tcPr>
          <w:p w:rsidR="007C5447" w:rsidRDefault="00F6308C">
            <w:pPr>
              <w:pStyle w:val="TableParagraph"/>
              <w:spacing w:before="70"/>
              <w:ind w:right="87"/>
              <w:rPr>
                <w:sz w:val="20"/>
              </w:rPr>
            </w:pPr>
            <w:r>
              <w:rPr>
                <w:sz w:val="20"/>
              </w:rPr>
              <w:t>2.83</w:t>
            </w:r>
          </w:p>
        </w:tc>
        <w:tc>
          <w:tcPr>
            <w:tcW w:w="1120" w:type="dxa"/>
          </w:tcPr>
          <w:p w:rsidR="007C5447" w:rsidRDefault="00F6308C">
            <w:pPr>
              <w:pStyle w:val="TableParagraph"/>
              <w:spacing w:before="70"/>
              <w:ind w:right="85"/>
              <w:rPr>
                <w:sz w:val="20"/>
              </w:rPr>
            </w:pPr>
            <w:r>
              <w:rPr>
                <w:w w:val="95"/>
                <w:sz w:val="20"/>
              </w:rPr>
              <w:t>3,621.59</w:t>
            </w:r>
          </w:p>
        </w:tc>
        <w:tc>
          <w:tcPr>
            <w:tcW w:w="1309" w:type="dxa"/>
          </w:tcPr>
          <w:p w:rsidR="007C5447" w:rsidRDefault="00F6308C">
            <w:pPr>
              <w:pStyle w:val="TableParagraph"/>
              <w:spacing w:before="70"/>
              <w:ind w:right="85"/>
              <w:rPr>
                <w:sz w:val="20"/>
              </w:rPr>
            </w:pPr>
            <w:r>
              <w:rPr>
                <w:w w:val="95"/>
                <w:sz w:val="20"/>
              </w:rPr>
              <w:t>1,024.53</w:t>
            </w:r>
          </w:p>
        </w:tc>
        <w:tc>
          <w:tcPr>
            <w:tcW w:w="1235" w:type="dxa"/>
          </w:tcPr>
          <w:p w:rsidR="007C5447" w:rsidRDefault="00F6308C">
            <w:pPr>
              <w:pStyle w:val="TableParagraph"/>
              <w:spacing w:before="70"/>
              <w:ind w:right="86"/>
              <w:rPr>
                <w:sz w:val="20"/>
              </w:rPr>
            </w:pPr>
            <w:r>
              <w:rPr>
                <w:sz w:val="20"/>
              </w:rPr>
              <w:t>2.83</w:t>
            </w:r>
          </w:p>
        </w:tc>
      </w:tr>
      <w:tr w:rsidR="007C5447">
        <w:trPr>
          <w:trHeight w:val="371"/>
        </w:trPr>
        <w:tc>
          <w:tcPr>
            <w:tcW w:w="3401" w:type="dxa"/>
            <w:tcBorders>
              <w:left w:val="single" w:sz="8" w:space="0" w:color="000000"/>
            </w:tcBorders>
          </w:tcPr>
          <w:p w:rsidR="007C5447" w:rsidRDefault="00F6308C">
            <w:pPr>
              <w:pStyle w:val="TableParagraph"/>
              <w:spacing w:before="70"/>
              <w:ind w:left="107"/>
              <w:jc w:val="left"/>
              <w:rPr>
                <w:sz w:val="20"/>
              </w:rPr>
            </w:pPr>
            <w:r>
              <w:rPr>
                <w:sz w:val="20"/>
              </w:rPr>
              <w:t>NTPC Simhadri</w:t>
            </w:r>
          </w:p>
        </w:tc>
        <w:tc>
          <w:tcPr>
            <w:tcW w:w="1080" w:type="dxa"/>
          </w:tcPr>
          <w:p w:rsidR="007C5447" w:rsidRDefault="00F6308C">
            <w:pPr>
              <w:pStyle w:val="TableParagraph"/>
              <w:spacing w:before="70"/>
              <w:ind w:right="93"/>
              <w:rPr>
                <w:sz w:val="20"/>
              </w:rPr>
            </w:pPr>
            <w:r>
              <w:rPr>
                <w:w w:val="95"/>
                <w:sz w:val="20"/>
              </w:rPr>
              <w:t>468.36</w:t>
            </w:r>
          </w:p>
        </w:tc>
        <w:tc>
          <w:tcPr>
            <w:tcW w:w="1178" w:type="dxa"/>
          </w:tcPr>
          <w:p w:rsidR="007C5447" w:rsidRDefault="00F6308C">
            <w:pPr>
              <w:pStyle w:val="TableParagraph"/>
              <w:spacing w:before="70"/>
              <w:ind w:right="89"/>
              <w:rPr>
                <w:sz w:val="20"/>
              </w:rPr>
            </w:pPr>
            <w:r>
              <w:rPr>
                <w:w w:val="95"/>
                <w:sz w:val="20"/>
              </w:rPr>
              <w:t>176.23</w:t>
            </w:r>
          </w:p>
        </w:tc>
        <w:tc>
          <w:tcPr>
            <w:tcW w:w="1060" w:type="dxa"/>
          </w:tcPr>
          <w:p w:rsidR="007C5447" w:rsidRDefault="00F6308C">
            <w:pPr>
              <w:pStyle w:val="TableParagraph"/>
              <w:spacing w:before="70"/>
              <w:ind w:right="88"/>
              <w:rPr>
                <w:sz w:val="20"/>
              </w:rPr>
            </w:pPr>
            <w:r>
              <w:rPr>
                <w:sz w:val="20"/>
              </w:rPr>
              <w:t>3.76</w:t>
            </w:r>
          </w:p>
        </w:tc>
        <w:tc>
          <w:tcPr>
            <w:tcW w:w="1060" w:type="dxa"/>
          </w:tcPr>
          <w:p w:rsidR="007C5447" w:rsidRDefault="00F6308C">
            <w:pPr>
              <w:pStyle w:val="TableParagraph"/>
              <w:spacing w:before="70"/>
              <w:ind w:right="88"/>
              <w:rPr>
                <w:sz w:val="20"/>
              </w:rPr>
            </w:pPr>
            <w:r>
              <w:rPr>
                <w:w w:val="95"/>
                <w:sz w:val="20"/>
              </w:rPr>
              <w:t>469.49</w:t>
            </w:r>
          </w:p>
        </w:tc>
        <w:tc>
          <w:tcPr>
            <w:tcW w:w="1038" w:type="dxa"/>
          </w:tcPr>
          <w:p w:rsidR="007C5447" w:rsidRDefault="00F6308C">
            <w:pPr>
              <w:pStyle w:val="TableParagraph"/>
              <w:spacing w:before="70"/>
              <w:ind w:right="89"/>
              <w:rPr>
                <w:sz w:val="20"/>
              </w:rPr>
            </w:pPr>
            <w:r>
              <w:rPr>
                <w:w w:val="95"/>
                <w:sz w:val="20"/>
              </w:rPr>
              <w:t>176.51</w:t>
            </w:r>
          </w:p>
        </w:tc>
        <w:tc>
          <w:tcPr>
            <w:tcW w:w="1218" w:type="dxa"/>
          </w:tcPr>
          <w:p w:rsidR="007C5447" w:rsidRDefault="00F6308C">
            <w:pPr>
              <w:pStyle w:val="TableParagraph"/>
              <w:spacing w:before="70"/>
              <w:ind w:right="87"/>
              <w:rPr>
                <w:sz w:val="20"/>
              </w:rPr>
            </w:pPr>
            <w:r>
              <w:rPr>
                <w:sz w:val="20"/>
              </w:rPr>
              <w:t>3.76</w:t>
            </w:r>
          </w:p>
        </w:tc>
        <w:tc>
          <w:tcPr>
            <w:tcW w:w="1120" w:type="dxa"/>
          </w:tcPr>
          <w:p w:rsidR="007C5447" w:rsidRDefault="00F6308C">
            <w:pPr>
              <w:pStyle w:val="TableParagraph"/>
              <w:spacing w:before="70"/>
              <w:ind w:right="87"/>
              <w:rPr>
                <w:sz w:val="20"/>
              </w:rPr>
            </w:pPr>
            <w:r>
              <w:rPr>
                <w:w w:val="95"/>
                <w:sz w:val="20"/>
              </w:rPr>
              <w:t>469.49</w:t>
            </w:r>
          </w:p>
        </w:tc>
        <w:tc>
          <w:tcPr>
            <w:tcW w:w="1309" w:type="dxa"/>
          </w:tcPr>
          <w:p w:rsidR="007C5447" w:rsidRDefault="00F6308C">
            <w:pPr>
              <w:pStyle w:val="TableParagraph"/>
              <w:spacing w:before="70"/>
              <w:ind w:right="87"/>
              <w:rPr>
                <w:sz w:val="20"/>
              </w:rPr>
            </w:pPr>
            <w:r>
              <w:rPr>
                <w:w w:val="95"/>
                <w:sz w:val="20"/>
              </w:rPr>
              <w:t>176.23</w:t>
            </w:r>
          </w:p>
        </w:tc>
        <w:tc>
          <w:tcPr>
            <w:tcW w:w="1235" w:type="dxa"/>
          </w:tcPr>
          <w:p w:rsidR="007C5447" w:rsidRDefault="00F6308C">
            <w:pPr>
              <w:pStyle w:val="TableParagraph"/>
              <w:spacing w:before="70"/>
              <w:ind w:right="86"/>
              <w:rPr>
                <w:sz w:val="20"/>
              </w:rPr>
            </w:pPr>
            <w:r>
              <w:rPr>
                <w:sz w:val="20"/>
              </w:rPr>
              <w:t>3.75</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MAPS</w:t>
            </w:r>
          </w:p>
        </w:tc>
        <w:tc>
          <w:tcPr>
            <w:tcW w:w="1080" w:type="dxa"/>
          </w:tcPr>
          <w:p w:rsidR="007C5447" w:rsidRDefault="00F6308C">
            <w:pPr>
              <w:pStyle w:val="TableParagraph"/>
              <w:spacing w:before="70"/>
              <w:ind w:right="91"/>
              <w:rPr>
                <w:sz w:val="20"/>
              </w:rPr>
            </w:pPr>
            <w:r>
              <w:rPr>
                <w:w w:val="95"/>
                <w:sz w:val="20"/>
              </w:rPr>
              <w:t>1,604.08</w:t>
            </w:r>
          </w:p>
        </w:tc>
        <w:tc>
          <w:tcPr>
            <w:tcW w:w="1178" w:type="dxa"/>
          </w:tcPr>
          <w:p w:rsidR="007C5447" w:rsidRDefault="00F6308C">
            <w:pPr>
              <w:pStyle w:val="TableParagraph"/>
              <w:spacing w:before="70"/>
              <w:ind w:right="89"/>
              <w:rPr>
                <w:sz w:val="20"/>
              </w:rPr>
            </w:pPr>
            <w:r>
              <w:rPr>
                <w:w w:val="95"/>
                <w:sz w:val="20"/>
              </w:rPr>
              <w:t>319.21</w:t>
            </w:r>
          </w:p>
        </w:tc>
        <w:tc>
          <w:tcPr>
            <w:tcW w:w="1060" w:type="dxa"/>
          </w:tcPr>
          <w:p w:rsidR="007C5447" w:rsidRDefault="00F6308C">
            <w:pPr>
              <w:pStyle w:val="TableParagraph"/>
              <w:spacing w:before="70"/>
              <w:ind w:right="91"/>
              <w:rPr>
                <w:sz w:val="20"/>
              </w:rPr>
            </w:pPr>
            <w:r>
              <w:rPr>
                <w:sz w:val="20"/>
              </w:rPr>
              <w:t>1.99</w:t>
            </w:r>
          </w:p>
        </w:tc>
        <w:tc>
          <w:tcPr>
            <w:tcW w:w="1060" w:type="dxa"/>
          </w:tcPr>
          <w:p w:rsidR="007C5447" w:rsidRDefault="00F6308C">
            <w:pPr>
              <w:pStyle w:val="TableParagraph"/>
              <w:spacing w:before="70"/>
              <w:ind w:right="88"/>
              <w:rPr>
                <w:sz w:val="20"/>
              </w:rPr>
            </w:pPr>
            <w:r>
              <w:rPr>
                <w:sz w:val="20"/>
              </w:rPr>
              <w:t>1604.08</w:t>
            </w:r>
          </w:p>
        </w:tc>
        <w:tc>
          <w:tcPr>
            <w:tcW w:w="1038" w:type="dxa"/>
          </w:tcPr>
          <w:p w:rsidR="007C5447" w:rsidRDefault="00F6308C">
            <w:pPr>
              <w:pStyle w:val="TableParagraph"/>
              <w:spacing w:before="70"/>
              <w:ind w:right="89"/>
              <w:rPr>
                <w:sz w:val="20"/>
              </w:rPr>
            </w:pPr>
            <w:r>
              <w:rPr>
                <w:w w:val="95"/>
                <w:sz w:val="20"/>
              </w:rPr>
              <w:t>319.21</w:t>
            </w:r>
          </w:p>
        </w:tc>
        <w:tc>
          <w:tcPr>
            <w:tcW w:w="1218" w:type="dxa"/>
          </w:tcPr>
          <w:p w:rsidR="007C5447" w:rsidRDefault="00F6308C">
            <w:pPr>
              <w:pStyle w:val="TableParagraph"/>
              <w:spacing w:before="70"/>
              <w:ind w:right="87"/>
              <w:rPr>
                <w:sz w:val="20"/>
              </w:rPr>
            </w:pPr>
            <w:r>
              <w:rPr>
                <w:sz w:val="20"/>
              </w:rPr>
              <w:t>1.99</w:t>
            </w:r>
          </w:p>
        </w:tc>
        <w:tc>
          <w:tcPr>
            <w:tcW w:w="1120" w:type="dxa"/>
          </w:tcPr>
          <w:p w:rsidR="007C5447" w:rsidRDefault="00F6308C">
            <w:pPr>
              <w:pStyle w:val="TableParagraph"/>
              <w:spacing w:before="70"/>
              <w:ind w:right="85"/>
              <w:rPr>
                <w:sz w:val="20"/>
              </w:rPr>
            </w:pPr>
            <w:r>
              <w:rPr>
                <w:w w:val="95"/>
                <w:sz w:val="20"/>
              </w:rPr>
              <w:t>1,604.08</w:t>
            </w:r>
          </w:p>
        </w:tc>
        <w:tc>
          <w:tcPr>
            <w:tcW w:w="1309" w:type="dxa"/>
          </w:tcPr>
          <w:p w:rsidR="007C5447" w:rsidRDefault="00F6308C">
            <w:pPr>
              <w:pStyle w:val="TableParagraph"/>
              <w:spacing w:before="70"/>
              <w:ind w:right="87"/>
              <w:rPr>
                <w:sz w:val="20"/>
              </w:rPr>
            </w:pPr>
            <w:r>
              <w:rPr>
                <w:w w:val="95"/>
                <w:sz w:val="20"/>
              </w:rPr>
              <w:t>319.21</w:t>
            </w:r>
          </w:p>
        </w:tc>
        <w:tc>
          <w:tcPr>
            <w:tcW w:w="1235" w:type="dxa"/>
          </w:tcPr>
          <w:p w:rsidR="007C5447" w:rsidRDefault="00F6308C">
            <w:pPr>
              <w:pStyle w:val="TableParagraph"/>
              <w:spacing w:before="70"/>
              <w:ind w:right="86"/>
              <w:rPr>
                <w:sz w:val="20"/>
              </w:rPr>
            </w:pPr>
            <w:r>
              <w:rPr>
                <w:sz w:val="20"/>
              </w:rPr>
              <w:t>1.99</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KAIGA</w:t>
            </w:r>
          </w:p>
        </w:tc>
        <w:tc>
          <w:tcPr>
            <w:tcW w:w="1080" w:type="dxa"/>
          </w:tcPr>
          <w:p w:rsidR="007C5447" w:rsidRDefault="00F6308C">
            <w:pPr>
              <w:pStyle w:val="TableParagraph"/>
              <w:spacing w:before="70"/>
              <w:ind w:right="91"/>
              <w:rPr>
                <w:sz w:val="20"/>
              </w:rPr>
            </w:pPr>
            <w:r>
              <w:rPr>
                <w:w w:val="95"/>
                <w:sz w:val="20"/>
              </w:rPr>
              <w:t>1,171.24</w:t>
            </w:r>
          </w:p>
        </w:tc>
        <w:tc>
          <w:tcPr>
            <w:tcW w:w="1178" w:type="dxa"/>
          </w:tcPr>
          <w:p w:rsidR="007C5447" w:rsidRDefault="00F6308C">
            <w:pPr>
              <w:pStyle w:val="TableParagraph"/>
              <w:spacing w:before="70"/>
              <w:ind w:right="89"/>
              <w:rPr>
                <w:sz w:val="20"/>
              </w:rPr>
            </w:pPr>
            <w:r>
              <w:rPr>
                <w:w w:val="95"/>
                <w:sz w:val="20"/>
              </w:rPr>
              <w:t>365.66</w:t>
            </w:r>
          </w:p>
        </w:tc>
        <w:tc>
          <w:tcPr>
            <w:tcW w:w="1060" w:type="dxa"/>
          </w:tcPr>
          <w:p w:rsidR="007C5447" w:rsidRDefault="00F6308C">
            <w:pPr>
              <w:pStyle w:val="TableParagraph"/>
              <w:spacing w:before="70"/>
              <w:ind w:right="91"/>
              <w:rPr>
                <w:sz w:val="20"/>
              </w:rPr>
            </w:pPr>
            <w:r>
              <w:rPr>
                <w:sz w:val="20"/>
              </w:rPr>
              <w:t>3.12</w:t>
            </w:r>
          </w:p>
        </w:tc>
        <w:tc>
          <w:tcPr>
            <w:tcW w:w="1060" w:type="dxa"/>
          </w:tcPr>
          <w:p w:rsidR="007C5447" w:rsidRDefault="00F6308C">
            <w:pPr>
              <w:pStyle w:val="TableParagraph"/>
              <w:spacing w:before="70"/>
              <w:ind w:right="88"/>
              <w:rPr>
                <w:sz w:val="20"/>
              </w:rPr>
            </w:pPr>
            <w:r>
              <w:rPr>
                <w:sz w:val="20"/>
              </w:rPr>
              <w:t>1171.24</w:t>
            </w:r>
          </w:p>
        </w:tc>
        <w:tc>
          <w:tcPr>
            <w:tcW w:w="1038" w:type="dxa"/>
          </w:tcPr>
          <w:p w:rsidR="007C5447" w:rsidRDefault="00F6308C">
            <w:pPr>
              <w:pStyle w:val="TableParagraph"/>
              <w:spacing w:before="70"/>
              <w:ind w:right="89"/>
              <w:rPr>
                <w:sz w:val="20"/>
              </w:rPr>
            </w:pPr>
            <w:r>
              <w:rPr>
                <w:w w:val="95"/>
                <w:sz w:val="20"/>
              </w:rPr>
              <w:t>365.66</w:t>
            </w:r>
          </w:p>
        </w:tc>
        <w:tc>
          <w:tcPr>
            <w:tcW w:w="1218" w:type="dxa"/>
          </w:tcPr>
          <w:p w:rsidR="007C5447" w:rsidRDefault="00F6308C">
            <w:pPr>
              <w:pStyle w:val="TableParagraph"/>
              <w:spacing w:before="70"/>
              <w:ind w:right="87"/>
              <w:rPr>
                <w:sz w:val="20"/>
              </w:rPr>
            </w:pPr>
            <w:r>
              <w:rPr>
                <w:sz w:val="20"/>
              </w:rPr>
              <w:t>3.12</w:t>
            </w:r>
          </w:p>
        </w:tc>
        <w:tc>
          <w:tcPr>
            <w:tcW w:w="1120" w:type="dxa"/>
          </w:tcPr>
          <w:p w:rsidR="007C5447" w:rsidRDefault="00F6308C">
            <w:pPr>
              <w:pStyle w:val="TableParagraph"/>
              <w:spacing w:before="70"/>
              <w:ind w:right="85"/>
              <w:rPr>
                <w:sz w:val="20"/>
              </w:rPr>
            </w:pPr>
            <w:r>
              <w:rPr>
                <w:w w:val="95"/>
                <w:sz w:val="20"/>
              </w:rPr>
              <w:t>1,171.24</w:t>
            </w:r>
          </w:p>
        </w:tc>
        <w:tc>
          <w:tcPr>
            <w:tcW w:w="1309" w:type="dxa"/>
          </w:tcPr>
          <w:p w:rsidR="007C5447" w:rsidRDefault="00F6308C">
            <w:pPr>
              <w:pStyle w:val="TableParagraph"/>
              <w:spacing w:before="70"/>
              <w:ind w:right="87"/>
              <w:rPr>
                <w:sz w:val="20"/>
              </w:rPr>
            </w:pPr>
            <w:r>
              <w:rPr>
                <w:w w:val="95"/>
                <w:sz w:val="20"/>
              </w:rPr>
              <w:t>365.66</w:t>
            </w:r>
          </w:p>
        </w:tc>
        <w:tc>
          <w:tcPr>
            <w:tcW w:w="1235" w:type="dxa"/>
          </w:tcPr>
          <w:p w:rsidR="007C5447" w:rsidRDefault="00F6308C">
            <w:pPr>
              <w:pStyle w:val="TableParagraph"/>
              <w:spacing w:before="70"/>
              <w:ind w:right="86"/>
              <w:rPr>
                <w:sz w:val="20"/>
              </w:rPr>
            </w:pPr>
            <w:r>
              <w:rPr>
                <w:sz w:val="20"/>
              </w:rPr>
              <w:t>3.12</w:t>
            </w:r>
          </w:p>
        </w:tc>
      </w:tr>
      <w:tr w:rsidR="007C5447">
        <w:trPr>
          <w:trHeight w:val="371"/>
        </w:trPr>
        <w:tc>
          <w:tcPr>
            <w:tcW w:w="3401" w:type="dxa"/>
            <w:tcBorders>
              <w:left w:val="single" w:sz="8" w:space="0" w:color="000000"/>
            </w:tcBorders>
          </w:tcPr>
          <w:p w:rsidR="007C5447" w:rsidRDefault="00F6308C">
            <w:pPr>
              <w:pStyle w:val="TableParagraph"/>
              <w:spacing w:before="70"/>
              <w:ind w:left="107"/>
              <w:jc w:val="left"/>
              <w:rPr>
                <w:sz w:val="20"/>
              </w:rPr>
            </w:pPr>
            <w:r>
              <w:rPr>
                <w:sz w:val="20"/>
              </w:rPr>
              <w:t>NTPC Kayamkulam</w:t>
            </w:r>
          </w:p>
        </w:tc>
        <w:tc>
          <w:tcPr>
            <w:tcW w:w="1080" w:type="dxa"/>
          </w:tcPr>
          <w:p w:rsidR="007C5447" w:rsidRDefault="007C5447">
            <w:pPr>
              <w:pStyle w:val="TableParagraph"/>
              <w:jc w:val="left"/>
              <w:rPr>
                <w:sz w:val="20"/>
              </w:rPr>
            </w:pPr>
          </w:p>
        </w:tc>
        <w:tc>
          <w:tcPr>
            <w:tcW w:w="1178" w:type="dxa"/>
          </w:tcPr>
          <w:p w:rsidR="007C5447" w:rsidRDefault="00F6308C">
            <w:pPr>
              <w:pStyle w:val="TableParagraph"/>
              <w:spacing w:before="70"/>
              <w:ind w:right="89"/>
              <w:rPr>
                <w:sz w:val="20"/>
              </w:rPr>
            </w:pPr>
            <w:r>
              <w:rPr>
                <w:w w:val="95"/>
                <w:sz w:val="20"/>
              </w:rPr>
              <w:t>65.44</w:t>
            </w:r>
          </w:p>
        </w:tc>
        <w:tc>
          <w:tcPr>
            <w:tcW w:w="1060" w:type="dxa"/>
          </w:tcPr>
          <w:p w:rsidR="007C5447" w:rsidRDefault="007C5447">
            <w:pPr>
              <w:pStyle w:val="TableParagraph"/>
              <w:jc w:val="left"/>
              <w:rPr>
                <w:sz w:val="20"/>
              </w:rPr>
            </w:pPr>
          </w:p>
        </w:tc>
        <w:tc>
          <w:tcPr>
            <w:tcW w:w="1060" w:type="dxa"/>
          </w:tcPr>
          <w:p w:rsidR="007C5447" w:rsidRDefault="00F6308C">
            <w:pPr>
              <w:pStyle w:val="TableParagraph"/>
              <w:spacing w:before="70"/>
              <w:ind w:right="88"/>
              <w:rPr>
                <w:sz w:val="20"/>
              </w:rPr>
            </w:pPr>
            <w:r>
              <w:rPr>
                <w:w w:val="95"/>
                <w:sz w:val="20"/>
              </w:rPr>
              <w:t>205.00</w:t>
            </w:r>
          </w:p>
        </w:tc>
        <w:tc>
          <w:tcPr>
            <w:tcW w:w="1038" w:type="dxa"/>
          </w:tcPr>
          <w:p w:rsidR="007C5447" w:rsidRDefault="00F6308C">
            <w:pPr>
              <w:pStyle w:val="TableParagraph"/>
              <w:spacing w:before="70"/>
              <w:ind w:right="89"/>
              <w:rPr>
                <w:sz w:val="20"/>
              </w:rPr>
            </w:pPr>
            <w:r>
              <w:rPr>
                <w:w w:val="95"/>
                <w:sz w:val="20"/>
              </w:rPr>
              <w:t>268.00</w:t>
            </w:r>
          </w:p>
        </w:tc>
        <w:tc>
          <w:tcPr>
            <w:tcW w:w="1218" w:type="dxa"/>
          </w:tcPr>
          <w:p w:rsidR="007C5447" w:rsidRDefault="00F6308C">
            <w:pPr>
              <w:pStyle w:val="TableParagraph"/>
              <w:spacing w:before="70"/>
              <w:ind w:right="87"/>
              <w:rPr>
                <w:sz w:val="20"/>
              </w:rPr>
            </w:pPr>
            <w:r>
              <w:rPr>
                <w:w w:val="95"/>
                <w:sz w:val="20"/>
              </w:rPr>
              <w:t>13.07</w:t>
            </w:r>
          </w:p>
        </w:tc>
        <w:tc>
          <w:tcPr>
            <w:tcW w:w="1120" w:type="dxa"/>
          </w:tcPr>
          <w:p w:rsidR="007C5447" w:rsidRDefault="00F6308C">
            <w:pPr>
              <w:pStyle w:val="TableParagraph"/>
              <w:spacing w:before="70"/>
              <w:ind w:right="83"/>
              <w:rPr>
                <w:sz w:val="20"/>
              </w:rPr>
            </w:pPr>
            <w:r>
              <w:rPr>
                <w:w w:val="99"/>
                <w:sz w:val="20"/>
              </w:rPr>
              <w:t>-</w:t>
            </w:r>
          </w:p>
        </w:tc>
        <w:tc>
          <w:tcPr>
            <w:tcW w:w="1309" w:type="dxa"/>
          </w:tcPr>
          <w:p w:rsidR="007C5447" w:rsidRDefault="00F6308C">
            <w:pPr>
              <w:pStyle w:val="TableParagraph"/>
              <w:spacing w:before="70"/>
              <w:ind w:right="87"/>
              <w:rPr>
                <w:sz w:val="20"/>
              </w:rPr>
            </w:pPr>
            <w:r>
              <w:rPr>
                <w:sz w:val="20"/>
              </w:rPr>
              <w:t>65.44</w:t>
            </w: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NTPC ER</w:t>
            </w:r>
          </w:p>
        </w:tc>
        <w:tc>
          <w:tcPr>
            <w:tcW w:w="1080" w:type="dxa"/>
          </w:tcPr>
          <w:p w:rsidR="007C5447" w:rsidRDefault="00F6308C">
            <w:pPr>
              <w:pStyle w:val="TableParagraph"/>
              <w:spacing w:before="70"/>
              <w:ind w:right="93"/>
              <w:rPr>
                <w:sz w:val="20"/>
              </w:rPr>
            </w:pPr>
            <w:r>
              <w:rPr>
                <w:w w:val="95"/>
                <w:sz w:val="20"/>
              </w:rPr>
              <w:t>465.30</w:t>
            </w:r>
          </w:p>
        </w:tc>
        <w:tc>
          <w:tcPr>
            <w:tcW w:w="1178" w:type="dxa"/>
          </w:tcPr>
          <w:p w:rsidR="007C5447" w:rsidRDefault="00F6308C">
            <w:pPr>
              <w:pStyle w:val="TableParagraph"/>
              <w:spacing w:before="70"/>
              <w:ind w:right="89"/>
              <w:rPr>
                <w:sz w:val="20"/>
              </w:rPr>
            </w:pPr>
            <w:r>
              <w:rPr>
                <w:w w:val="95"/>
                <w:sz w:val="20"/>
              </w:rPr>
              <w:t>177.90</w:t>
            </w:r>
          </w:p>
        </w:tc>
        <w:tc>
          <w:tcPr>
            <w:tcW w:w="1060" w:type="dxa"/>
          </w:tcPr>
          <w:p w:rsidR="007C5447" w:rsidRDefault="00F6308C">
            <w:pPr>
              <w:pStyle w:val="TableParagraph"/>
              <w:spacing w:before="70"/>
              <w:ind w:right="91"/>
              <w:rPr>
                <w:sz w:val="20"/>
              </w:rPr>
            </w:pPr>
            <w:r>
              <w:rPr>
                <w:sz w:val="20"/>
              </w:rPr>
              <w:t>3.82</w:t>
            </w:r>
          </w:p>
        </w:tc>
        <w:tc>
          <w:tcPr>
            <w:tcW w:w="1060" w:type="dxa"/>
          </w:tcPr>
          <w:p w:rsidR="007C5447" w:rsidRDefault="00F6308C">
            <w:pPr>
              <w:pStyle w:val="TableParagraph"/>
              <w:spacing w:before="70"/>
              <w:ind w:right="88"/>
              <w:rPr>
                <w:sz w:val="20"/>
              </w:rPr>
            </w:pPr>
            <w:r>
              <w:rPr>
                <w:w w:val="95"/>
                <w:sz w:val="20"/>
              </w:rPr>
              <w:t>465.30</w:t>
            </w:r>
          </w:p>
        </w:tc>
        <w:tc>
          <w:tcPr>
            <w:tcW w:w="1038" w:type="dxa"/>
          </w:tcPr>
          <w:p w:rsidR="007C5447" w:rsidRDefault="00F6308C">
            <w:pPr>
              <w:pStyle w:val="TableParagraph"/>
              <w:spacing w:before="70"/>
              <w:ind w:right="89"/>
              <w:rPr>
                <w:sz w:val="20"/>
              </w:rPr>
            </w:pPr>
            <w:r>
              <w:rPr>
                <w:w w:val="95"/>
                <w:sz w:val="20"/>
              </w:rPr>
              <w:t>177.90</w:t>
            </w:r>
          </w:p>
        </w:tc>
        <w:tc>
          <w:tcPr>
            <w:tcW w:w="1218" w:type="dxa"/>
          </w:tcPr>
          <w:p w:rsidR="007C5447" w:rsidRDefault="00F6308C">
            <w:pPr>
              <w:pStyle w:val="TableParagraph"/>
              <w:spacing w:before="70"/>
              <w:ind w:right="87"/>
              <w:rPr>
                <w:sz w:val="20"/>
              </w:rPr>
            </w:pPr>
            <w:r>
              <w:rPr>
                <w:sz w:val="20"/>
              </w:rPr>
              <w:t>3.82</w:t>
            </w:r>
          </w:p>
        </w:tc>
        <w:tc>
          <w:tcPr>
            <w:tcW w:w="1120" w:type="dxa"/>
          </w:tcPr>
          <w:p w:rsidR="007C5447" w:rsidRDefault="00F6308C">
            <w:pPr>
              <w:pStyle w:val="TableParagraph"/>
              <w:spacing w:before="70"/>
              <w:ind w:right="87"/>
              <w:rPr>
                <w:sz w:val="20"/>
              </w:rPr>
            </w:pPr>
            <w:r>
              <w:rPr>
                <w:w w:val="95"/>
                <w:sz w:val="20"/>
              </w:rPr>
              <w:t>465.30</w:t>
            </w:r>
          </w:p>
        </w:tc>
        <w:tc>
          <w:tcPr>
            <w:tcW w:w="1309" w:type="dxa"/>
          </w:tcPr>
          <w:p w:rsidR="007C5447" w:rsidRDefault="00F6308C">
            <w:pPr>
              <w:pStyle w:val="TableParagraph"/>
              <w:spacing w:before="70"/>
              <w:ind w:right="87"/>
              <w:rPr>
                <w:sz w:val="20"/>
              </w:rPr>
            </w:pPr>
            <w:r>
              <w:rPr>
                <w:w w:val="95"/>
                <w:sz w:val="20"/>
              </w:rPr>
              <w:t>177.90</w:t>
            </w:r>
          </w:p>
        </w:tc>
        <w:tc>
          <w:tcPr>
            <w:tcW w:w="1235" w:type="dxa"/>
          </w:tcPr>
          <w:p w:rsidR="007C5447" w:rsidRDefault="00F6308C">
            <w:pPr>
              <w:pStyle w:val="TableParagraph"/>
              <w:spacing w:before="70"/>
              <w:ind w:right="86"/>
              <w:rPr>
                <w:sz w:val="20"/>
              </w:rPr>
            </w:pPr>
            <w:r>
              <w:rPr>
                <w:sz w:val="20"/>
              </w:rPr>
              <w:t>3.82</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NTPC Dadri</w:t>
            </w:r>
          </w:p>
        </w:tc>
        <w:tc>
          <w:tcPr>
            <w:tcW w:w="1080" w:type="dxa"/>
          </w:tcPr>
          <w:p w:rsidR="007C5447" w:rsidRDefault="00F6308C">
            <w:pPr>
              <w:pStyle w:val="TableParagraph"/>
              <w:spacing w:before="70"/>
              <w:ind w:right="93"/>
              <w:rPr>
                <w:sz w:val="20"/>
              </w:rPr>
            </w:pPr>
            <w:r>
              <w:rPr>
                <w:w w:val="95"/>
                <w:sz w:val="20"/>
              </w:rPr>
              <w:t>100.51</w:t>
            </w:r>
          </w:p>
        </w:tc>
        <w:tc>
          <w:tcPr>
            <w:tcW w:w="1178" w:type="dxa"/>
          </w:tcPr>
          <w:p w:rsidR="007C5447" w:rsidRDefault="00F6308C">
            <w:pPr>
              <w:pStyle w:val="TableParagraph"/>
              <w:spacing w:before="70"/>
              <w:ind w:right="89"/>
              <w:rPr>
                <w:sz w:val="20"/>
              </w:rPr>
            </w:pPr>
            <w:r>
              <w:rPr>
                <w:w w:val="95"/>
                <w:sz w:val="20"/>
              </w:rPr>
              <w:t>41.49</w:t>
            </w:r>
          </w:p>
        </w:tc>
        <w:tc>
          <w:tcPr>
            <w:tcW w:w="1060" w:type="dxa"/>
          </w:tcPr>
          <w:p w:rsidR="007C5447" w:rsidRDefault="00F6308C">
            <w:pPr>
              <w:pStyle w:val="TableParagraph"/>
              <w:spacing w:before="70"/>
              <w:ind w:right="91"/>
              <w:rPr>
                <w:sz w:val="20"/>
              </w:rPr>
            </w:pPr>
            <w:r>
              <w:rPr>
                <w:sz w:val="20"/>
              </w:rPr>
              <w:t>4.13</w:t>
            </w:r>
          </w:p>
        </w:tc>
        <w:tc>
          <w:tcPr>
            <w:tcW w:w="1060" w:type="dxa"/>
          </w:tcPr>
          <w:p w:rsidR="007C5447" w:rsidRDefault="00F6308C">
            <w:pPr>
              <w:pStyle w:val="TableParagraph"/>
              <w:spacing w:before="70"/>
              <w:ind w:right="88"/>
              <w:rPr>
                <w:sz w:val="20"/>
              </w:rPr>
            </w:pPr>
            <w:r>
              <w:rPr>
                <w:w w:val="95"/>
                <w:sz w:val="20"/>
              </w:rPr>
              <w:t>100.51</w:t>
            </w:r>
          </w:p>
        </w:tc>
        <w:tc>
          <w:tcPr>
            <w:tcW w:w="1038" w:type="dxa"/>
          </w:tcPr>
          <w:p w:rsidR="007C5447" w:rsidRDefault="00F6308C">
            <w:pPr>
              <w:pStyle w:val="TableParagraph"/>
              <w:spacing w:before="70"/>
              <w:ind w:right="88"/>
              <w:rPr>
                <w:sz w:val="20"/>
              </w:rPr>
            </w:pPr>
            <w:r>
              <w:rPr>
                <w:w w:val="95"/>
                <w:sz w:val="20"/>
              </w:rPr>
              <w:t>41.49</w:t>
            </w:r>
          </w:p>
        </w:tc>
        <w:tc>
          <w:tcPr>
            <w:tcW w:w="1218" w:type="dxa"/>
          </w:tcPr>
          <w:p w:rsidR="007C5447" w:rsidRDefault="00F6308C">
            <w:pPr>
              <w:pStyle w:val="TableParagraph"/>
              <w:spacing w:before="70"/>
              <w:ind w:right="87"/>
              <w:rPr>
                <w:sz w:val="20"/>
              </w:rPr>
            </w:pPr>
            <w:r>
              <w:rPr>
                <w:sz w:val="20"/>
              </w:rPr>
              <w:t>4.13</w:t>
            </w:r>
          </w:p>
        </w:tc>
        <w:tc>
          <w:tcPr>
            <w:tcW w:w="1120" w:type="dxa"/>
          </w:tcPr>
          <w:p w:rsidR="007C5447" w:rsidRDefault="00F6308C">
            <w:pPr>
              <w:pStyle w:val="TableParagraph"/>
              <w:spacing w:before="70"/>
              <w:ind w:right="87"/>
              <w:rPr>
                <w:sz w:val="20"/>
              </w:rPr>
            </w:pPr>
            <w:r>
              <w:rPr>
                <w:w w:val="95"/>
                <w:sz w:val="20"/>
              </w:rPr>
              <w:t>100.51</w:t>
            </w:r>
          </w:p>
        </w:tc>
        <w:tc>
          <w:tcPr>
            <w:tcW w:w="1309" w:type="dxa"/>
          </w:tcPr>
          <w:p w:rsidR="007C5447" w:rsidRDefault="00F6308C">
            <w:pPr>
              <w:pStyle w:val="TableParagraph"/>
              <w:spacing w:before="70"/>
              <w:ind w:right="87"/>
              <w:rPr>
                <w:sz w:val="20"/>
              </w:rPr>
            </w:pPr>
            <w:r>
              <w:rPr>
                <w:sz w:val="20"/>
              </w:rPr>
              <w:t>41.49</w:t>
            </w:r>
          </w:p>
        </w:tc>
        <w:tc>
          <w:tcPr>
            <w:tcW w:w="1235" w:type="dxa"/>
          </w:tcPr>
          <w:p w:rsidR="007C5447" w:rsidRDefault="00F6308C">
            <w:pPr>
              <w:pStyle w:val="TableParagraph"/>
              <w:spacing w:before="70"/>
              <w:ind w:right="86"/>
              <w:rPr>
                <w:sz w:val="20"/>
              </w:rPr>
            </w:pPr>
            <w:r>
              <w:rPr>
                <w:sz w:val="20"/>
              </w:rPr>
              <w:t>4.13</w:t>
            </w:r>
          </w:p>
        </w:tc>
      </w:tr>
      <w:tr w:rsidR="007C5447">
        <w:trPr>
          <w:trHeight w:val="372"/>
        </w:trPr>
        <w:tc>
          <w:tcPr>
            <w:tcW w:w="3401" w:type="dxa"/>
            <w:tcBorders>
              <w:left w:val="single" w:sz="8" w:space="0" w:color="000000"/>
            </w:tcBorders>
          </w:tcPr>
          <w:p w:rsidR="007C5447" w:rsidRDefault="00F6308C">
            <w:pPr>
              <w:pStyle w:val="TableParagraph"/>
              <w:spacing w:before="70"/>
              <w:ind w:left="107"/>
              <w:jc w:val="left"/>
              <w:rPr>
                <w:sz w:val="20"/>
              </w:rPr>
            </w:pPr>
            <w:r>
              <w:rPr>
                <w:sz w:val="20"/>
              </w:rPr>
              <w:t>NTPC Vallur Unit 1 &amp; Unit 2</w:t>
            </w:r>
          </w:p>
        </w:tc>
        <w:tc>
          <w:tcPr>
            <w:tcW w:w="1080" w:type="dxa"/>
          </w:tcPr>
          <w:p w:rsidR="007C5447" w:rsidRDefault="00F6308C">
            <w:pPr>
              <w:pStyle w:val="TableParagraph"/>
              <w:spacing w:before="70"/>
              <w:ind w:right="89"/>
              <w:rPr>
                <w:sz w:val="20"/>
              </w:rPr>
            </w:pPr>
            <w:r>
              <w:rPr>
                <w:w w:val="99"/>
                <w:sz w:val="20"/>
              </w:rPr>
              <w:t>-</w:t>
            </w:r>
          </w:p>
        </w:tc>
        <w:tc>
          <w:tcPr>
            <w:tcW w:w="1178" w:type="dxa"/>
          </w:tcPr>
          <w:p w:rsidR="007C5447" w:rsidRDefault="00F6308C">
            <w:pPr>
              <w:pStyle w:val="TableParagraph"/>
              <w:spacing w:before="70"/>
              <w:ind w:right="86"/>
              <w:rPr>
                <w:sz w:val="20"/>
              </w:rPr>
            </w:pPr>
            <w:r>
              <w:rPr>
                <w:w w:val="99"/>
                <w:sz w:val="20"/>
              </w:rPr>
              <w:t>-</w:t>
            </w:r>
          </w:p>
        </w:tc>
        <w:tc>
          <w:tcPr>
            <w:tcW w:w="1060"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38" w:type="dxa"/>
          </w:tcPr>
          <w:p w:rsidR="007C5447" w:rsidRDefault="007C5447">
            <w:pPr>
              <w:pStyle w:val="TableParagraph"/>
              <w:jc w:val="left"/>
              <w:rPr>
                <w:sz w:val="20"/>
              </w:rPr>
            </w:pPr>
          </w:p>
        </w:tc>
        <w:tc>
          <w:tcPr>
            <w:tcW w:w="1218" w:type="dxa"/>
          </w:tcPr>
          <w:p w:rsidR="007C5447" w:rsidRDefault="007C5447">
            <w:pPr>
              <w:pStyle w:val="TableParagraph"/>
              <w:jc w:val="left"/>
              <w:rPr>
                <w:sz w:val="20"/>
              </w:rPr>
            </w:pPr>
          </w:p>
        </w:tc>
        <w:tc>
          <w:tcPr>
            <w:tcW w:w="1120" w:type="dxa"/>
          </w:tcPr>
          <w:p w:rsidR="007C5447" w:rsidRDefault="00F6308C">
            <w:pPr>
              <w:pStyle w:val="TableParagraph"/>
              <w:spacing w:before="70"/>
              <w:ind w:right="83"/>
              <w:rPr>
                <w:sz w:val="20"/>
              </w:rPr>
            </w:pPr>
            <w:r>
              <w:rPr>
                <w:w w:val="99"/>
                <w:sz w:val="20"/>
              </w:rPr>
              <w:t>-</w:t>
            </w:r>
          </w:p>
        </w:tc>
        <w:tc>
          <w:tcPr>
            <w:tcW w:w="1309" w:type="dxa"/>
          </w:tcPr>
          <w:p w:rsidR="007C5447" w:rsidRDefault="007C5447">
            <w:pPr>
              <w:pStyle w:val="TableParagraph"/>
              <w:jc w:val="left"/>
              <w:rPr>
                <w:sz w:val="20"/>
              </w:rPr>
            </w:pP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New Plants</w:t>
            </w:r>
          </w:p>
        </w:tc>
        <w:tc>
          <w:tcPr>
            <w:tcW w:w="1080" w:type="dxa"/>
          </w:tcPr>
          <w:p w:rsidR="007C5447" w:rsidRDefault="007C5447">
            <w:pPr>
              <w:pStyle w:val="TableParagraph"/>
              <w:jc w:val="left"/>
              <w:rPr>
                <w:sz w:val="20"/>
              </w:rPr>
            </w:pPr>
          </w:p>
        </w:tc>
        <w:tc>
          <w:tcPr>
            <w:tcW w:w="1178" w:type="dxa"/>
          </w:tcPr>
          <w:p w:rsidR="007C5447" w:rsidRDefault="00F6308C">
            <w:pPr>
              <w:pStyle w:val="TableParagraph"/>
              <w:spacing w:before="70"/>
              <w:ind w:right="86"/>
              <w:rPr>
                <w:sz w:val="20"/>
              </w:rPr>
            </w:pPr>
            <w:r>
              <w:rPr>
                <w:w w:val="99"/>
                <w:sz w:val="20"/>
              </w:rPr>
              <w:t>-</w:t>
            </w:r>
          </w:p>
        </w:tc>
        <w:tc>
          <w:tcPr>
            <w:tcW w:w="1060"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38" w:type="dxa"/>
          </w:tcPr>
          <w:p w:rsidR="007C5447" w:rsidRDefault="007C5447">
            <w:pPr>
              <w:pStyle w:val="TableParagraph"/>
              <w:jc w:val="left"/>
              <w:rPr>
                <w:sz w:val="20"/>
              </w:rPr>
            </w:pPr>
          </w:p>
        </w:tc>
        <w:tc>
          <w:tcPr>
            <w:tcW w:w="1218" w:type="dxa"/>
          </w:tcPr>
          <w:p w:rsidR="007C5447" w:rsidRDefault="007C5447">
            <w:pPr>
              <w:pStyle w:val="TableParagraph"/>
              <w:jc w:val="left"/>
              <w:rPr>
                <w:sz w:val="20"/>
              </w:rPr>
            </w:pPr>
          </w:p>
        </w:tc>
        <w:tc>
          <w:tcPr>
            <w:tcW w:w="1120" w:type="dxa"/>
          </w:tcPr>
          <w:p w:rsidR="007C5447" w:rsidRDefault="00F6308C">
            <w:pPr>
              <w:pStyle w:val="TableParagraph"/>
              <w:spacing w:before="70"/>
              <w:ind w:right="83"/>
              <w:rPr>
                <w:sz w:val="20"/>
              </w:rPr>
            </w:pPr>
            <w:r>
              <w:rPr>
                <w:w w:val="99"/>
                <w:sz w:val="20"/>
              </w:rPr>
              <w:t>-</w:t>
            </w:r>
          </w:p>
        </w:tc>
        <w:tc>
          <w:tcPr>
            <w:tcW w:w="1309" w:type="dxa"/>
          </w:tcPr>
          <w:p w:rsidR="007C5447" w:rsidRDefault="007C5447">
            <w:pPr>
              <w:pStyle w:val="TableParagraph"/>
              <w:jc w:val="left"/>
              <w:rPr>
                <w:sz w:val="20"/>
              </w:rPr>
            </w:pP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Kudankulum</w:t>
            </w:r>
          </w:p>
        </w:tc>
        <w:tc>
          <w:tcPr>
            <w:tcW w:w="1080" w:type="dxa"/>
          </w:tcPr>
          <w:p w:rsidR="007C5447" w:rsidRDefault="007C5447">
            <w:pPr>
              <w:pStyle w:val="TableParagraph"/>
              <w:jc w:val="left"/>
              <w:rPr>
                <w:sz w:val="20"/>
              </w:rPr>
            </w:pPr>
          </w:p>
        </w:tc>
        <w:tc>
          <w:tcPr>
            <w:tcW w:w="1178" w:type="dxa"/>
          </w:tcPr>
          <w:p w:rsidR="007C5447" w:rsidRDefault="00F6308C">
            <w:pPr>
              <w:pStyle w:val="TableParagraph"/>
              <w:spacing w:before="70"/>
              <w:ind w:right="86"/>
              <w:rPr>
                <w:sz w:val="20"/>
              </w:rPr>
            </w:pPr>
            <w:r>
              <w:rPr>
                <w:w w:val="99"/>
                <w:sz w:val="20"/>
              </w:rPr>
              <w:t>-</w:t>
            </w:r>
          </w:p>
        </w:tc>
        <w:tc>
          <w:tcPr>
            <w:tcW w:w="1060"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38" w:type="dxa"/>
          </w:tcPr>
          <w:p w:rsidR="007C5447" w:rsidRDefault="007C5447">
            <w:pPr>
              <w:pStyle w:val="TableParagraph"/>
              <w:jc w:val="left"/>
              <w:rPr>
                <w:sz w:val="20"/>
              </w:rPr>
            </w:pPr>
          </w:p>
        </w:tc>
        <w:tc>
          <w:tcPr>
            <w:tcW w:w="1218" w:type="dxa"/>
          </w:tcPr>
          <w:p w:rsidR="007C5447" w:rsidRDefault="007C5447">
            <w:pPr>
              <w:pStyle w:val="TableParagraph"/>
              <w:jc w:val="left"/>
              <w:rPr>
                <w:sz w:val="20"/>
              </w:rPr>
            </w:pPr>
          </w:p>
        </w:tc>
        <w:tc>
          <w:tcPr>
            <w:tcW w:w="1120" w:type="dxa"/>
          </w:tcPr>
          <w:p w:rsidR="007C5447" w:rsidRDefault="00F6308C">
            <w:pPr>
              <w:pStyle w:val="TableParagraph"/>
              <w:spacing w:before="70"/>
              <w:ind w:right="83"/>
              <w:rPr>
                <w:sz w:val="20"/>
              </w:rPr>
            </w:pPr>
            <w:r>
              <w:rPr>
                <w:w w:val="99"/>
                <w:sz w:val="20"/>
              </w:rPr>
              <w:t>-</w:t>
            </w:r>
          </w:p>
        </w:tc>
        <w:tc>
          <w:tcPr>
            <w:tcW w:w="1309" w:type="dxa"/>
          </w:tcPr>
          <w:p w:rsidR="007C5447" w:rsidRDefault="007C5447">
            <w:pPr>
              <w:pStyle w:val="TableParagraph"/>
              <w:jc w:val="left"/>
              <w:rPr>
                <w:sz w:val="20"/>
              </w:rPr>
            </w:pPr>
          </w:p>
        </w:tc>
        <w:tc>
          <w:tcPr>
            <w:tcW w:w="1235" w:type="dxa"/>
          </w:tcPr>
          <w:p w:rsidR="007C5447" w:rsidRDefault="007C5447">
            <w:pPr>
              <w:pStyle w:val="TableParagraph"/>
              <w:jc w:val="left"/>
              <w:rPr>
                <w:sz w:val="20"/>
              </w:rPr>
            </w:pPr>
          </w:p>
        </w:tc>
      </w:tr>
    </w:tbl>
    <w:p w:rsidR="007C5447" w:rsidRDefault="007C5447">
      <w:pPr>
        <w:rPr>
          <w:sz w:val="20"/>
        </w:rPr>
        <w:sectPr w:rsidR="007C5447">
          <w:footerReference w:type="default" r:id="rId38"/>
          <w:pgSz w:w="16840" w:h="11910" w:orient="landscape"/>
          <w:pgMar w:top="1100" w:right="1220" w:bottom="960" w:left="1180" w:header="0" w:footer="777" w:gutter="0"/>
          <w:pgNumType w:start="158"/>
          <w:cols w:space="720"/>
        </w:sectPr>
      </w:pPr>
    </w:p>
    <w:p w:rsidR="007C5447" w:rsidRDefault="007C5447">
      <w:pPr>
        <w:pStyle w:val="BodyText"/>
        <w:rPr>
          <w:sz w:val="29"/>
        </w:rPr>
      </w:pP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01"/>
        <w:gridCol w:w="1080"/>
        <w:gridCol w:w="1178"/>
        <w:gridCol w:w="1060"/>
        <w:gridCol w:w="1060"/>
        <w:gridCol w:w="1038"/>
        <w:gridCol w:w="1218"/>
        <w:gridCol w:w="1120"/>
        <w:gridCol w:w="1309"/>
        <w:gridCol w:w="1235"/>
      </w:tblGrid>
      <w:tr w:rsidR="007C5447">
        <w:trPr>
          <w:trHeight w:val="369"/>
        </w:trPr>
        <w:tc>
          <w:tcPr>
            <w:tcW w:w="3401"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1385" w:right="1367"/>
              <w:jc w:val="center"/>
              <w:rPr>
                <w:b/>
                <w:sz w:val="20"/>
              </w:rPr>
            </w:pPr>
            <w:r>
              <w:rPr>
                <w:b/>
                <w:sz w:val="20"/>
              </w:rPr>
              <w:t>Source</w:t>
            </w:r>
          </w:p>
        </w:tc>
        <w:tc>
          <w:tcPr>
            <w:tcW w:w="10298" w:type="dxa"/>
            <w:gridSpan w:val="9"/>
            <w:shd w:val="clear" w:color="auto" w:fill="F7C9AC"/>
          </w:tcPr>
          <w:p w:rsidR="007C5447" w:rsidRDefault="00F6308C">
            <w:pPr>
              <w:pStyle w:val="TableParagraph"/>
              <w:spacing w:before="70"/>
              <w:ind w:left="4643" w:right="4612"/>
              <w:jc w:val="center"/>
              <w:rPr>
                <w:b/>
                <w:sz w:val="20"/>
              </w:rPr>
            </w:pPr>
            <w:r>
              <w:rPr>
                <w:b/>
                <w:sz w:val="20"/>
              </w:rPr>
              <w:t>FY 2011-12</w:t>
            </w:r>
          </w:p>
        </w:tc>
      </w:tr>
      <w:tr w:rsidR="007C5447">
        <w:trPr>
          <w:trHeight w:val="371"/>
        </w:trPr>
        <w:tc>
          <w:tcPr>
            <w:tcW w:w="3401" w:type="dxa"/>
            <w:vMerge/>
            <w:tcBorders>
              <w:top w:val="nil"/>
            </w:tcBorders>
            <w:shd w:val="clear" w:color="auto" w:fill="F7C9AC"/>
          </w:tcPr>
          <w:p w:rsidR="007C5447" w:rsidRDefault="007C5447">
            <w:pPr>
              <w:rPr>
                <w:sz w:val="2"/>
                <w:szCs w:val="2"/>
              </w:rPr>
            </w:pPr>
          </w:p>
        </w:tc>
        <w:tc>
          <w:tcPr>
            <w:tcW w:w="3318" w:type="dxa"/>
            <w:gridSpan w:val="3"/>
            <w:shd w:val="clear" w:color="auto" w:fill="F7C9AC"/>
          </w:tcPr>
          <w:p w:rsidR="007C5447" w:rsidRDefault="00F6308C">
            <w:pPr>
              <w:pStyle w:val="TableParagraph"/>
              <w:spacing w:before="70"/>
              <w:ind w:left="1129" w:right="1111"/>
              <w:jc w:val="center"/>
              <w:rPr>
                <w:b/>
                <w:sz w:val="20"/>
              </w:rPr>
            </w:pPr>
            <w:r>
              <w:rPr>
                <w:b/>
                <w:sz w:val="20"/>
              </w:rPr>
              <w:t>SMT Order</w:t>
            </w:r>
          </w:p>
        </w:tc>
        <w:tc>
          <w:tcPr>
            <w:tcW w:w="3316" w:type="dxa"/>
            <w:gridSpan w:val="3"/>
            <w:shd w:val="clear" w:color="auto" w:fill="F7C9AC"/>
          </w:tcPr>
          <w:p w:rsidR="007C5447" w:rsidRDefault="00F6308C">
            <w:pPr>
              <w:pStyle w:val="TableParagraph"/>
              <w:spacing w:before="70"/>
              <w:ind w:left="1086"/>
              <w:jc w:val="left"/>
              <w:rPr>
                <w:b/>
                <w:sz w:val="20"/>
              </w:rPr>
            </w:pPr>
            <w:r>
              <w:rPr>
                <w:b/>
                <w:sz w:val="20"/>
              </w:rPr>
              <w:t>TANGEDCO</w:t>
            </w:r>
          </w:p>
        </w:tc>
        <w:tc>
          <w:tcPr>
            <w:tcW w:w="3664" w:type="dxa"/>
            <w:gridSpan w:val="3"/>
            <w:shd w:val="clear" w:color="auto" w:fill="F7C9AC"/>
          </w:tcPr>
          <w:p w:rsidR="007C5447" w:rsidRDefault="00F6308C">
            <w:pPr>
              <w:pStyle w:val="TableParagraph"/>
              <w:spacing w:before="70"/>
              <w:ind w:left="845"/>
              <w:jc w:val="left"/>
              <w:rPr>
                <w:b/>
                <w:sz w:val="20"/>
              </w:rPr>
            </w:pPr>
            <w:r>
              <w:rPr>
                <w:b/>
                <w:sz w:val="20"/>
              </w:rPr>
              <w:t>Approved after true up</w:t>
            </w:r>
          </w:p>
        </w:tc>
      </w:tr>
      <w:tr w:rsidR="007C5447">
        <w:trPr>
          <w:trHeight w:val="489"/>
        </w:trPr>
        <w:tc>
          <w:tcPr>
            <w:tcW w:w="3401" w:type="dxa"/>
            <w:vMerge/>
            <w:tcBorders>
              <w:top w:val="nil"/>
            </w:tcBorders>
            <w:shd w:val="clear" w:color="auto" w:fill="F7C9AC"/>
          </w:tcPr>
          <w:p w:rsidR="007C5447" w:rsidRDefault="007C5447">
            <w:pPr>
              <w:rPr>
                <w:sz w:val="2"/>
                <w:szCs w:val="2"/>
              </w:rPr>
            </w:pPr>
          </w:p>
        </w:tc>
        <w:tc>
          <w:tcPr>
            <w:tcW w:w="1080" w:type="dxa"/>
            <w:shd w:val="clear" w:color="auto" w:fill="F7C9AC"/>
          </w:tcPr>
          <w:p w:rsidR="007C5447" w:rsidRDefault="00F6308C">
            <w:pPr>
              <w:pStyle w:val="TableParagraph"/>
              <w:spacing w:before="14" w:line="230" w:lineRule="atLeast"/>
              <w:ind w:left="311" w:right="94" w:hanging="178"/>
              <w:jc w:val="left"/>
              <w:rPr>
                <w:b/>
                <w:sz w:val="20"/>
              </w:rPr>
            </w:pPr>
            <w:r>
              <w:rPr>
                <w:b/>
                <w:sz w:val="20"/>
              </w:rPr>
              <w:t>Quantum (MU)</w:t>
            </w:r>
          </w:p>
        </w:tc>
        <w:tc>
          <w:tcPr>
            <w:tcW w:w="1178" w:type="dxa"/>
            <w:shd w:val="clear" w:color="auto" w:fill="F7C9AC"/>
          </w:tcPr>
          <w:p w:rsidR="007C5447" w:rsidRDefault="00F6308C">
            <w:pPr>
              <w:pStyle w:val="TableParagraph"/>
              <w:spacing w:before="14" w:line="230" w:lineRule="atLeast"/>
              <w:ind w:left="250" w:right="107" w:hanging="104"/>
              <w:jc w:val="left"/>
              <w:rPr>
                <w:b/>
                <w:sz w:val="20"/>
              </w:rPr>
            </w:pPr>
            <w:r>
              <w:rPr>
                <w:b/>
                <w:sz w:val="20"/>
              </w:rPr>
              <w:t>Total Cost (Rs. Cr)</w:t>
            </w:r>
          </w:p>
        </w:tc>
        <w:tc>
          <w:tcPr>
            <w:tcW w:w="1060" w:type="dxa"/>
            <w:shd w:val="clear" w:color="auto" w:fill="F7C9AC"/>
          </w:tcPr>
          <w:p w:rsidR="007C5447" w:rsidRDefault="00F6308C">
            <w:pPr>
              <w:pStyle w:val="TableParagraph"/>
              <w:spacing w:before="14" w:line="230" w:lineRule="atLeast"/>
              <w:ind w:left="118" w:right="86" w:firstLine="216"/>
              <w:jc w:val="left"/>
              <w:rPr>
                <w:b/>
                <w:sz w:val="20"/>
              </w:rPr>
            </w:pPr>
            <w:r>
              <w:rPr>
                <w:b/>
                <w:sz w:val="20"/>
              </w:rPr>
              <w:t xml:space="preserve">Rate </w:t>
            </w:r>
            <w:r>
              <w:rPr>
                <w:b/>
                <w:w w:val="95"/>
                <w:sz w:val="20"/>
              </w:rPr>
              <w:t>(Rs/kWh)</w:t>
            </w:r>
          </w:p>
        </w:tc>
        <w:tc>
          <w:tcPr>
            <w:tcW w:w="1060" w:type="dxa"/>
            <w:shd w:val="clear" w:color="auto" w:fill="F7C9AC"/>
          </w:tcPr>
          <w:p w:rsidR="007C5447" w:rsidRDefault="00F6308C">
            <w:pPr>
              <w:pStyle w:val="TableParagraph"/>
              <w:spacing w:before="14" w:line="230" w:lineRule="atLeast"/>
              <w:ind w:left="304" w:right="81" w:hanging="178"/>
              <w:jc w:val="left"/>
              <w:rPr>
                <w:b/>
                <w:sz w:val="20"/>
              </w:rPr>
            </w:pPr>
            <w:r>
              <w:rPr>
                <w:b/>
                <w:sz w:val="20"/>
              </w:rPr>
              <w:t>Quantum (MU)</w:t>
            </w:r>
          </w:p>
        </w:tc>
        <w:tc>
          <w:tcPr>
            <w:tcW w:w="1038" w:type="dxa"/>
            <w:shd w:val="clear" w:color="auto" w:fill="F7C9AC"/>
          </w:tcPr>
          <w:p w:rsidR="007C5447" w:rsidRDefault="00F6308C">
            <w:pPr>
              <w:pStyle w:val="TableParagraph"/>
              <w:spacing w:before="14" w:line="230" w:lineRule="atLeast"/>
              <w:ind w:left="182" w:right="137" w:firstLine="148"/>
              <w:jc w:val="left"/>
              <w:rPr>
                <w:b/>
                <w:sz w:val="20"/>
              </w:rPr>
            </w:pPr>
            <w:r>
              <w:rPr>
                <w:b/>
                <w:sz w:val="20"/>
              </w:rPr>
              <w:t>Cost (Rs. Cr)</w:t>
            </w:r>
          </w:p>
        </w:tc>
        <w:tc>
          <w:tcPr>
            <w:tcW w:w="1218" w:type="dxa"/>
            <w:shd w:val="clear" w:color="auto" w:fill="F7C9AC"/>
          </w:tcPr>
          <w:p w:rsidR="007C5447" w:rsidRDefault="00F6308C">
            <w:pPr>
              <w:pStyle w:val="TableParagraph"/>
              <w:spacing w:before="14" w:line="230" w:lineRule="atLeast"/>
              <w:ind w:left="200" w:firstLine="216"/>
              <w:jc w:val="left"/>
              <w:rPr>
                <w:b/>
                <w:sz w:val="20"/>
              </w:rPr>
            </w:pPr>
            <w:r>
              <w:rPr>
                <w:b/>
                <w:sz w:val="20"/>
              </w:rPr>
              <w:t xml:space="preserve">Rate </w:t>
            </w:r>
            <w:r>
              <w:rPr>
                <w:b/>
                <w:w w:val="95"/>
                <w:sz w:val="20"/>
              </w:rPr>
              <w:t>(Rs/kWh)</w:t>
            </w:r>
          </w:p>
        </w:tc>
        <w:tc>
          <w:tcPr>
            <w:tcW w:w="1120" w:type="dxa"/>
            <w:shd w:val="clear" w:color="auto" w:fill="F7C9AC"/>
          </w:tcPr>
          <w:p w:rsidR="007C5447" w:rsidRDefault="00F6308C">
            <w:pPr>
              <w:pStyle w:val="TableParagraph"/>
              <w:spacing w:before="14" w:line="230" w:lineRule="atLeast"/>
              <w:ind w:left="336" w:right="109" w:hanging="178"/>
              <w:jc w:val="left"/>
              <w:rPr>
                <w:b/>
                <w:sz w:val="20"/>
              </w:rPr>
            </w:pPr>
            <w:r>
              <w:rPr>
                <w:b/>
                <w:sz w:val="20"/>
              </w:rPr>
              <w:t>Quantum (MU)</w:t>
            </w:r>
          </w:p>
        </w:tc>
        <w:tc>
          <w:tcPr>
            <w:tcW w:w="1309" w:type="dxa"/>
            <w:shd w:val="clear" w:color="auto" w:fill="F7C9AC"/>
          </w:tcPr>
          <w:p w:rsidR="007C5447" w:rsidRDefault="00F6308C">
            <w:pPr>
              <w:pStyle w:val="TableParagraph"/>
              <w:spacing w:before="14" w:line="230" w:lineRule="atLeast"/>
              <w:ind w:left="321" w:right="167" w:hanging="104"/>
              <w:jc w:val="left"/>
              <w:rPr>
                <w:b/>
                <w:sz w:val="20"/>
              </w:rPr>
            </w:pPr>
            <w:r>
              <w:rPr>
                <w:b/>
                <w:sz w:val="20"/>
              </w:rPr>
              <w:t>Total Cost (Rs. Cr)</w:t>
            </w:r>
          </w:p>
        </w:tc>
        <w:tc>
          <w:tcPr>
            <w:tcW w:w="1235" w:type="dxa"/>
            <w:shd w:val="clear" w:color="auto" w:fill="F7C9AC"/>
          </w:tcPr>
          <w:p w:rsidR="007C5447" w:rsidRDefault="00F6308C">
            <w:pPr>
              <w:pStyle w:val="TableParagraph"/>
              <w:spacing w:before="14" w:line="230" w:lineRule="atLeast"/>
              <w:ind w:left="212" w:firstLine="216"/>
              <w:jc w:val="left"/>
              <w:rPr>
                <w:b/>
                <w:sz w:val="20"/>
              </w:rPr>
            </w:pPr>
            <w:r>
              <w:rPr>
                <w:b/>
                <w:sz w:val="20"/>
              </w:rPr>
              <w:t xml:space="preserve">Rate </w:t>
            </w:r>
            <w:r>
              <w:rPr>
                <w:b/>
                <w:w w:val="95"/>
                <w:sz w:val="20"/>
              </w:rPr>
              <w:t>(Rs/kWh)</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b/>
                <w:sz w:val="20"/>
              </w:rPr>
            </w:pPr>
            <w:r>
              <w:rPr>
                <w:b/>
                <w:sz w:val="20"/>
              </w:rPr>
              <w:t>Total CGS</w:t>
            </w:r>
          </w:p>
        </w:tc>
        <w:tc>
          <w:tcPr>
            <w:tcW w:w="1080" w:type="dxa"/>
          </w:tcPr>
          <w:p w:rsidR="007C5447" w:rsidRDefault="00F6308C">
            <w:pPr>
              <w:pStyle w:val="TableParagraph"/>
              <w:spacing w:before="70"/>
              <w:ind w:right="93"/>
              <w:rPr>
                <w:b/>
                <w:sz w:val="20"/>
              </w:rPr>
            </w:pPr>
            <w:r>
              <w:rPr>
                <w:b/>
                <w:w w:val="95"/>
                <w:sz w:val="20"/>
              </w:rPr>
              <w:t>20,424.42</w:t>
            </w:r>
          </w:p>
        </w:tc>
        <w:tc>
          <w:tcPr>
            <w:tcW w:w="1178" w:type="dxa"/>
          </w:tcPr>
          <w:p w:rsidR="007C5447" w:rsidRDefault="00F6308C">
            <w:pPr>
              <w:pStyle w:val="TableParagraph"/>
              <w:spacing w:before="70"/>
              <w:ind w:right="87"/>
              <w:rPr>
                <w:b/>
                <w:sz w:val="20"/>
              </w:rPr>
            </w:pPr>
            <w:r>
              <w:rPr>
                <w:b/>
                <w:w w:val="95"/>
                <w:sz w:val="20"/>
              </w:rPr>
              <w:t>5,300.90</w:t>
            </w:r>
          </w:p>
        </w:tc>
        <w:tc>
          <w:tcPr>
            <w:tcW w:w="1060" w:type="dxa"/>
          </w:tcPr>
          <w:p w:rsidR="007C5447" w:rsidRDefault="00F6308C">
            <w:pPr>
              <w:pStyle w:val="TableParagraph"/>
              <w:spacing w:before="70"/>
              <w:ind w:right="91"/>
              <w:rPr>
                <w:b/>
                <w:sz w:val="20"/>
              </w:rPr>
            </w:pPr>
            <w:r>
              <w:rPr>
                <w:b/>
                <w:sz w:val="20"/>
              </w:rPr>
              <w:t>2.60</w:t>
            </w:r>
          </w:p>
        </w:tc>
        <w:tc>
          <w:tcPr>
            <w:tcW w:w="1060" w:type="dxa"/>
          </w:tcPr>
          <w:p w:rsidR="007C5447" w:rsidRDefault="00F6308C">
            <w:pPr>
              <w:pStyle w:val="TableParagraph"/>
              <w:spacing w:before="70"/>
              <w:ind w:right="91"/>
              <w:rPr>
                <w:b/>
                <w:sz w:val="20"/>
              </w:rPr>
            </w:pPr>
            <w:r>
              <w:rPr>
                <w:b/>
                <w:w w:val="95"/>
                <w:sz w:val="20"/>
              </w:rPr>
              <w:t>20,630.55</w:t>
            </w:r>
          </w:p>
        </w:tc>
        <w:tc>
          <w:tcPr>
            <w:tcW w:w="1038" w:type="dxa"/>
          </w:tcPr>
          <w:p w:rsidR="007C5447" w:rsidRDefault="00F6308C">
            <w:pPr>
              <w:pStyle w:val="TableParagraph"/>
              <w:spacing w:before="70"/>
              <w:ind w:right="87"/>
              <w:rPr>
                <w:b/>
                <w:sz w:val="20"/>
              </w:rPr>
            </w:pPr>
            <w:r>
              <w:rPr>
                <w:b/>
                <w:w w:val="95"/>
                <w:sz w:val="20"/>
              </w:rPr>
              <w:t>5,503.74</w:t>
            </w:r>
          </w:p>
        </w:tc>
        <w:tc>
          <w:tcPr>
            <w:tcW w:w="1218" w:type="dxa"/>
          </w:tcPr>
          <w:p w:rsidR="007C5447" w:rsidRDefault="00F6308C">
            <w:pPr>
              <w:pStyle w:val="TableParagraph"/>
              <w:spacing w:before="70"/>
              <w:ind w:right="87"/>
              <w:rPr>
                <w:b/>
                <w:sz w:val="20"/>
              </w:rPr>
            </w:pPr>
            <w:r>
              <w:rPr>
                <w:b/>
                <w:sz w:val="20"/>
              </w:rPr>
              <w:t>2.67</w:t>
            </w:r>
          </w:p>
        </w:tc>
        <w:tc>
          <w:tcPr>
            <w:tcW w:w="1120" w:type="dxa"/>
          </w:tcPr>
          <w:p w:rsidR="007C5447" w:rsidRDefault="00F6308C">
            <w:pPr>
              <w:pStyle w:val="TableParagraph"/>
              <w:spacing w:before="70"/>
              <w:ind w:right="87"/>
              <w:rPr>
                <w:b/>
                <w:sz w:val="20"/>
              </w:rPr>
            </w:pPr>
            <w:r>
              <w:rPr>
                <w:b/>
                <w:w w:val="95"/>
                <w:sz w:val="20"/>
              </w:rPr>
              <w:t>20,425.55</w:t>
            </w:r>
          </w:p>
        </w:tc>
        <w:tc>
          <w:tcPr>
            <w:tcW w:w="1309" w:type="dxa"/>
          </w:tcPr>
          <w:p w:rsidR="007C5447" w:rsidRDefault="00F6308C">
            <w:pPr>
              <w:pStyle w:val="TableParagraph"/>
              <w:spacing w:before="70"/>
              <w:ind w:right="85"/>
              <w:rPr>
                <w:b/>
                <w:sz w:val="20"/>
              </w:rPr>
            </w:pPr>
            <w:r>
              <w:rPr>
                <w:b/>
                <w:w w:val="95"/>
                <w:sz w:val="20"/>
              </w:rPr>
              <w:t>5,300.90</w:t>
            </w:r>
          </w:p>
        </w:tc>
        <w:tc>
          <w:tcPr>
            <w:tcW w:w="1235" w:type="dxa"/>
          </w:tcPr>
          <w:p w:rsidR="007C5447" w:rsidRDefault="00F6308C">
            <w:pPr>
              <w:pStyle w:val="TableParagraph"/>
              <w:spacing w:before="70"/>
              <w:ind w:right="86"/>
              <w:rPr>
                <w:b/>
                <w:sz w:val="20"/>
              </w:rPr>
            </w:pPr>
            <w:r>
              <w:rPr>
                <w:b/>
                <w:sz w:val="20"/>
              </w:rPr>
              <w:t>2.60</w:t>
            </w:r>
          </w:p>
        </w:tc>
      </w:tr>
      <w:tr w:rsidR="007C5447">
        <w:trPr>
          <w:trHeight w:val="371"/>
        </w:trPr>
        <w:tc>
          <w:tcPr>
            <w:tcW w:w="3401" w:type="dxa"/>
            <w:tcBorders>
              <w:left w:val="single" w:sz="8" w:space="0" w:color="000000"/>
            </w:tcBorders>
          </w:tcPr>
          <w:p w:rsidR="007C5447" w:rsidRDefault="00F6308C">
            <w:pPr>
              <w:pStyle w:val="TableParagraph"/>
              <w:spacing w:before="70"/>
              <w:ind w:left="107"/>
              <w:jc w:val="left"/>
              <w:rPr>
                <w:b/>
                <w:sz w:val="20"/>
              </w:rPr>
            </w:pPr>
            <w:r>
              <w:rPr>
                <w:b/>
                <w:sz w:val="20"/>
              </w:rPr>
              <w:t>IPP</w:t>
            </w:r>
          </w:p>
        </w:tc>
        <w:tc>
          <w:tcPr>
            <w:tcW w:w="1080" w:type="dxa"/>
          </w:tcPr>
          <w:p w:rsidR="007C5447" w:rsidRDefault="007C5447">
            <w:pPr>
              <w:pStyle w:val="TableParagraph"/>
              <w:jc w:val="left"/>
              <w:rPr>
                <w:sz w:val="20"/>
              </w:rPr>
            </w:pPr>
          </w:p>
        </w:tc>
        <w:tc>
          <w:tcPr>
            <w:tcW w:w="1178"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38" w:type="dxa"/>
          </w:tcPr>
          <w:p w:rsidR="007C5447" w:rsidRDefault="007C5447">
            <w:pPr>
              <w:pStyle w:val="TableParagraph"/>
              <w:jc w:val="left"/>
              <w:rPr>
                <w:sz w:val="20"/>
              </w:rPr>
            </w:pPr>
          </w:p>
        </w:tc>
        <w:tc>
          <w:tcPr>
            <w:tcW w:w="1218" w:type="dxa"/>
          </w:tcPr>
          <w:p w:rsidR="007C5447" w:rsidRDefault="007C5447">
            <w:pPr>
              <w:pStyle w:val="TableParagraph"/>
              <w:jc w:val="left"/>
              <w:rPr>
                <w:sz w:val="20"/>
              </w:rPr>
            </w:pPr>
          </w:p>
        </w:tc>
        <w:tc>
          <w:tcPr>
            <w:tcW w:w="1120" w:type="dxa"/>
          </w:tcPr>
          <w:p w:rsidR="007C5447" w:rsidRDefault="007C5447">
            <w:pPr>
              <w:pStyle w:val="TableParagraph"/>
              <w:jc w:val="left"/>
              <w:rPr>
                <w:sz w:val="20"/>
              </w:rPr>
            </w:pPr>
          </w:p>
        </w:tc>
        <w:tc>
          <w:tcPr>
            <w:tcW w:w="1309" w:type="dxa"/>
          </w:tcPr>
          <w:p w:rsidR="007C5447" w:rsidRDefault="007C5447">
            <w:pPr>
              <w:pStyle w:val="TableParagraph"/>
              <w:jc w:val="left"/>
              <w:rPr>
                <w:sz w:val="20"/>
              </w:rPr>
            </w:pP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GMR Vasavi</w:t>
            </w:r>
          </w:p>
        </w:tc>
        <w:tc>
          <w:tcPr>
            <w:tcW w:w="1080" w:type="dxa"/>
          </w:tcPr>
          <w:p w:rsidR="007C5447" w:rsidRDefault="007C5447">
            <w:pPr>
              <w:pStyle w:val="TableParagraph"/>
              <w:jc w:val="left"/>
              <w:rPr>
                <w:sz w:val="20"/>
              </w:rPr>
            </w:pPr>
          </w:p>
        </w:tc>
        <w:tc>
          <w:tcPr>
            <w:tcW w:w="1178" w:type="dxa"/>
          </w:tcPr>
          <w:p w:rsidR="007C5447" w:rsidRDefault="00F6308C">
            <w:pPr>
              <w:pStyle w:val="TableParagraph"/>
              <w:spacing w:before="70"/>
              <w:ind w:right="89"/>
              <w:rPr>
                <w:sz w:val="20"/>
              </w:rPr>
            </w:pPr>
            <w:r>
              <w:rPr>
                <w:w w:val="95"/>
                <w:sz w:val="20"/>
              </w:rPr>
              <w:t>158.55</w:t>
            </w:r>
          </w:p>
        </w:tc>
        <w:tc>
          <w:tcPr>
            <w:tcW w:w="1060" w:type="dxa"/>
          </w:tcPr>
          <w:p w:rsidR="007C5447" w:rsidRDefault="007C5447">
            <w:pPr>
              <w:pStyle w:val="TableParagraph"/>
              <w:jc w:val="left"/>
              <w:rPr>
                <w:sz w:val="20"/>
              </w:rPr>
            </w:pPr>
          </w:p>
        </w:tc>
        <w:tc>
          <w:tcPr>
            <w:tcW w:w="1060" w:type="dxa"/>
          </w:tcPr>
          <w:p w:rsidR="007C5447" w:rsidRDefault="00F6308C">
            <w:pPr>
              <w:pStyle w:val="TableParagraph"/>
              <w:spacing w:before="70"/>
              <w:ind w:right="90"/>
              <w:rPr>
                <w:sz w:val="20"/>
              </w:rPr>
            </w:pPr>
            <w:r>
              <w:rPr>
                <w:w w:val="95"/>
                <w:sz w:val="20"/>
              </w:rPr>
              <w:t>858.00</w:t>
            </w:r>
          </w:p>
        </w:tc>
        <w:tc>
          <w:tcPr>
            <w:tcW w:w="1038" w:type="dxa"/>
          </w:tcPr>
          <w:p w:rsidR="007C5447" w:rsidRDefault="00F6308C">
            <w:pPr>
              <w:pStyle w:val="TableParagraph"/>
              <w:spacing w:before="70"/>
              <w:ind w:right="89"/>
              <w:rPr>
                <w:sz w:val="20"/>
              </w:rPr>
            </w:pPr>
            <w:r>
              <w:rPr>
                <w:w w:val="95"/>
                <w:sz w:val="20"/>
              </w:rPr>
              <w:t>969.00</w:t>
            </w:r>
          </w:p>
        </w:tc>
        <w:tc>
          <w:tcPr>
            <w:tcW w:w="1218" w:type="dxa"/>
          </w:tcPr>
          <w:p w:rsidR="007C5447" w:rsidRDefault="00F6308C">
            <w:pPr>
              <w:pStyle w:val="TableParagraph"/>
              <w:spacing w:before="70"/>
              <w:ind w:right="87"/>
              <w:rPr>
                <w:sz w:val="20"/>
              </w:rPr>
            </w:pPr>
            <w:r>
              <w:rPr>
                <w:w w:val="95"/>
                <w:sz w:val="20"/>
              </w:rPr>
              <w:t>11.29</w:t>
            </w:r>
          </w:p>
        </w:tc>
        <w:tc>
          <w:tcPr>
            <w:tcW w:w="1120" w:type="dxa"/>
          </w:tcPr>
          <w:p w:rsidR="007C5447" w:rsidRDefault="00F6308C">
            <w:pPr>
              <w:pStyle w:val="TableParagraph"/>
              <w:spacing w:before="70"/>
              <w:ind w:right="83"/>
              <w:rPr>
                <w:sz w:val="20"/>
              </w:rPr>
            </w:pPr>
            <w:r>
              <w:rPr>
                <w:w w:val="99"/>
                <w:sz w:val="20"/>
              </w:rPr>
              <w:t>-</w:t>
            </w:r>
          </w:p>
        </w:tc>
        <w:tc>
          <w:tcPr>
            <w:tcW w:w="1309" w:type="dxa"/>
          </w:tcPr>
          <w:p w:rsidR="007C5447" w:rsidRDefault="00F6308C">
            <w:pPr>
              <w:pStyle w:val="TableParagraph"/>
              <w:spacing w:before="70"/>
              <w:ind w:right="87"/>
              <w:rPr>
                <w:sz w:val="20"/>
              </w:rPr>
            </w:pPr>
            <w:r>
              <w:rPr>
                <w:w w:val="95"/>
                <w:sz w:val="20"/>
              </w:rPr>
              <w:t>158.55</w:t>
            </w: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Samalpatti</w:t>
            </w:r>
          </w:p>
        </w:tc>
        <w:tc>
          <w:tcPr>
            <w:tcW w:w="1080" w:type="dxa"/>
          </w:tcPr>
          <w:p w:rsidR="007C5447" w:rsidRDefault="007C5447">
            <w:pPr>
              <w:pStyle w:val="TableParagraph"/>
              <w:jc w:val="left"/>
              <w:rPr>
                <w:sz w:val="20"/>
              </w:rPr>
            </w:pPr>
          </w:p>
        </w:tc>
        <w:tc>
          <w:tcPr>
            <w:tcW w:w="1178" w:type="dxa"/>
          </w:tcPr>
          <w:p w:rsidR="007C5447" w:rsidRDefault="00F6308C">
            <w:pPr>
              <w:pStyle w:val="TableParagraph"/>
              <w:spacing w:before="70"/>
              <w:ind w:right="89"/>
              <w:rPr>
                <w:sz w:val="20"/>
              </w:rPr>
            </w:pPr>
            <w:r>
              <w:rPr>
                <w:w w:val="95"/>
                <w:sz w:val="20"/>
              </w:rPr>
              <w:t>115.86</w:t>
            </w:r>
          </w:p>
        </w:tc>
        <w:tc>
          <w:tcPr>
            <w:tcW w:w="1060" w:type="dxa"/>
          </w:tcPr>
          <w:p w:rsidR="007C5447" w:rsidRDefault="007C5447">
            <w:pPr>
              <w:pStyle w:val="TableParagraph"/>
              <w:jc w:val="left"/>
              <w:rPr>
                <w:sz w:val="20"/>
              </w:rPr>
            </w:pPr>
          </w:p>
        </w:tc>
        <w:tc>
          <w:tcPr>
            <w:tcW w:w="1060" w:type="dxa"/>
          </w:tcPr>
          <w:p w:rsidR="007C5447" w:rsidRDefault="00F6308C">
            <w:pPr>
              <w:pStyle w:val="TableParagraph"/>
              <w:spacing w:before="70"/>
              <w:ind w:right="90"/>
              <w:rPr>
                <w:sz w:val="20"/>
              </w:rPr>
            </w:pPr>
            <w:r>
              <w:rPr>
                <w:w w:val="95"/>
                <w:sz w:val="20"/>
              </w:rPr>
              <w:t>292.00</w:t>
            </w:r>
          </w:p>
        </w:tc>
        <w:tc>
          <w:tcPr>
            <w:tcW w:w="1038" w:type="dxa"/>
          </w:tcPr>
          <w:p w:rsidR="007C5447" w:rsidRDefault="00F6308C">
            <w:pPr>
              <w:pStyle w:val="TableParagraph"/>
              <w:spacing w:before="70"/>
              <w:ind w:right="89"/>
              <w:rPr>
                <w:sz w:val="20"/>
              </w:rPr>
            </w:pPr>
            <w:r>
              <w:rPr>
                <w:w w:val="95"/>
                <w:sz w:val="20"/>
              </w:rPr>
              <w:t>414.00</w:t>
            </w:r>
          </w:p>
        </w:tc>
        <w:tc>
          <w:tcPr>
            <w:tcW w:w="1218" w:type="dxa"/>
          </w:tcPr>
          <w:p w:rsidR="007C5447" w:rsidRDefault="00F6308C">
            <w:pPr>
              <w:pStyle w:val="TableParagraph"/>
              <w:spacing w:before="70"/>
              <w:ind w:right="87"/>
              <w:rPr>
                <w:sz w:val="20"/>
              </w:rPr>
            </w:pPr>
            <w:r>
              <w:rPr>
                <w:w w:val="95"/>
                <w:sz w:val="20"/>
              </w:rPr>
              <w:t>14.18</w:t>
            </w:r>
          </w:p>
        </w:tc>
        <w:tc>
          <w:tcPr>
            <w:tcW w:w="1120" w:type="dxa"/>
          </w:tcPr>
          <w:p w:rsidR="007C5447" w:rsidRDefault="00F6308C">
            <w:pPr>
              <w:pStyle w:val="TableParagraph"/>
              <w:spacing w:before="70"/>
              <w:ind w:right="83"/>
              <w:rPr>
                <w:sz w:val="20"/>
              </w:rPr>
            </w:pPr>
            <w:r>
              <w:rPr>
                <w:w w:val="99"/>
                <w:sz w:val="20"/>
              </w:rPr>
              <w:t>-</w:t>
            </w:r>
          </w:p>
        </w:tc>
        <w:tc>
          <w:tcPr>
            <w:tcW w:w="1309" w:type="dxa"/>
          </w:tcPr>
          <w:p w:rsidR="007C5447" w:rsidRDefault="00F6308C">
            <w:pPr>
              <w:pStyle w:val="TableParagraph"/>
              <w:spacing w:before="70"/>
              <w:ind w:right="87"/>
              <w:rPr>
                <w:sz w:val="20"/>
              </w:rPr>
            </w:pPr>
            <w:r>
              <w:rPr>
                <w:w w:val="95"/>
                <w:sz w:val="20"/>
              </w:rPr>
              <w:t>115.86</w:t>
            </w:r>
          </w:p>
        </w:tc>
        <w:tc>
          <w:tcPr>
            <w:tcW w:w="1235" w:type="dxa"/>
          </w:tcPr>
          <w:p w:rsidR="007C5447" w:rsidRDefault="007C5447">
            <w:pPr>
              <w:pStyle w:val="TableParagraph"/>
              <w:jc w:val="left"/>
              <w:rPr>
                <w:sz w:val="20"/>
              </w:rPr>
            </w:pPr>
          </w:p>
        </w:tc>
      </w:tr>
      <w:tr w:rsidR="007C5447">
        <w:trPr>
          <w:trHeight w:val="371"/>
        </w:trPr>
        <w:tc>
          <w:tcPr>
            <w:tcW w:w="3401" w:type="dxa"/>
            <w:tcBorders>
              <w:left w:val="single" w:sz="8" w:space="0" w:color="000000"/>
            </w:tcBorders>
          </w:tcPr>
          <w:p w:rsidR="007C5447" w:rsidRDefault="00F6308C">
            <w:pPr>
              <w:pStyle w:val="TableParagraph"/>
              <w:spacing w:before="70"/>
              <w:ind w:left="107"/>
              <w:jc w:val="left"/>
              <w:rPr>
                <w:sz w:val="20"/>
              </w:rPr>
            </w:pPr>
            <w:r>
              <w:rPr>
                <w:sz w:val="20"/>
              </w:rPr>
              <w:t>Madurai Power Corpn</w:t>
            </w:r>
          </w:p>
        </w:tc>
        <w:tc>
          <w:tcPr>
            <w:tcW w:w="1080" w:type="dxa"/>
          </w:tcPr>
          <w:p w:rsidR="007C5447" w:rsidRDefault="007C5447">
            <w:pPr>
              <w:pStyle w:val="TableParagraph"/>
              <w:jc w:val="left"/>
              <w:rPr>
                <w:sz w:val="20"/>
              </w:rPr>
            </w:pPr>
          </w:p>
        </w:tc>
        <w:tc>
          <w:tcPr>
            <w:tcW w:w="1178" w:type="dxa"/>
          </w:tcPr>
          <w:p w:rsidR="007C5447" w:rsidRDefault="00F6308C">
            <w:pPr>
              <w:pStyle w:val="TableParagraph"/>
              <w:spacing w:before="70"/>
              <w:ind w:right="89"/>
              <w:rPr>
                <w:sz w:val="20"/>
              </w:rPr>
            </w:pPr>
            <w:r>
              <w:rPr>
                <w:w w:val="95"/>
                <w:sz w:val="20"/>
              </w:rPr>
              <w:t>124.30</w:t>
            </w:r>
          </w:p>
        </w:tc>
        <w:tc>
          <w:tcPr>
            <w:tcW w:w="1060" w:type="dxa"/>
          </w:tcPr>
          <w:p w:rsidR="007C5447" w:rsidRDefault="007C5447">
            <w:pPr>
              <w:pStyle w:val="TableParagraph"/>
              <w:jc w:val="left"/>
              <w:rPr>
                <w:sz w:val="20"/>
              </w:rPr>
            </w:pPr>
          </w:p>
        </w:tc>
        <w:tc>
          <w:tcPr>
            <w:tcW w:w="1060" w:type="dxa"/>
          </w:tcPr>
          <w:p w:rsidR="007C5447" w:rsidRDefault="00F6308C">
            <w:pPr>
              <w:pStyle w:val="TableParagraph"/>
              <w:spacing w:before="70"/>
              <w:ind w:right="90"/>
              <w:rPr>
                <w:sz w:val="20"/>
              </w:rPr>
            </w:pPr>
            <w:r>
              <w:rPr>
                <w:w w:val="95"/>
                <w:sz w:val="20"/>
              </w:rPr>
              <w:t>282.00</w:t>
            </w:r>
          </w:p>
        </w:tc>
        <w:tc>
          <w:tcPr>
            <w:tcW w:w="1038" w:type="dxa"/>
          </w:tcPr>
          <w:p w:rsidR="007C5447" w:rsidRDefault="00F6308C">
            <w:pPr>
              <w:pStyle w:val="TableParagraph"/>
              <w:spacing w:before="70"/>
              <w:ind w:right="89"/>
              <w:rPr>
                <w:sz w:val="20"/>
              </w:rPr>
            </w:pPr>
            <w:r>
              <w:rPr>
                <w:w w:val="95"/>
                <w:sz w:val="20"/>
              </w:rPr>
              <w:t>420.00</w:t>
            </w:r>
          </w:p>
        </w:tc>
        <w:tc>
          <w:tcPr>
            <w:tcW w:w="1218" w:type="dxa"/>
          </w:tcPr>
          <w:p w:rsidR="007C5447" w:rsidRDefault="00F6308C">
            <w:pPr>
              <w:pStyle w:val="TableParagraph"/>
              <w:spacing w:before="70"/>
              <w:ind w:right="87"/>
              <w:rPr>
                <w:sz w:val="20"/>
              </w:rPr>
            </w:pPr>
            <w:r>
              <w:rPr>
                <w:w w:val="95"/>
                <w:sz w:val="20"/>
              </w:rPr>
              <w:t>14.89</w:t>
            </w:r>
          </w:p>
        </w:tc>
        <w:tc>
          <w:tcPr>
            <w:tcW w:w="1120" w:type="dxa"/>
          </w:tcPr>
          <w:p w:rsidR="007C5447" w:rsidRDefault="00F6308C">
            <w:pPr>
              <w:pStyle w:val="TableParagraph"/>
              <w:spacing w:before="70"/>
              <w:ind w:right="83"/>
              <w:rPr>
                <w:sz w:val="20"/>
              </w:rPr>
            </w:pPr>
            <w:r>
              <w:rPr>
                <w:w w:val="99"/>
                <w:sz w:val="20"/>
              </w:rPr>
              <w:t>-</w:t>
            </w:r>
          </w:p>
        </w:tc>
        <w:tc>
          <w:tcPr>
            <w:tcW w:w="1309" w:type="dxa"/>
          </w:tcPr>
          <w:p w:rsidR="007C5447" w:rsidRDefault="00F6308C">
            <w:pPr>
              <w:pStyle w:val="TableParagraph"/>
              <w:spacing w:before="70"/>
              <w:ind w:right="87"/>
              <w:rPr>
                <w:sz w:val="20"/>
              </w:rPr>
            </w:pPr>
            <w:r>
              <w:rPr>
                <w:w w:val="95"/>
                <w:sz w:val="20"/>
              </w:rPr>
              <w:t>124.30</w:t>
            </w: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PPN</w:t>
            </w:r>
          </w:p>
        </w:tc>
        <w:tc>
          <w:tcPr>
            <w:tcW w:w="1080" w:type="dxa"/>
          </w:tcPr>
          <w:p w:rsidR="007C5447" w:rsidRDefault="007C5447">
            <w:pPr>
              <w:pStyle w:val="TableParagraph"/>
              <w:jc w:val="left"/>
              <w:rPr>
                <w:sz w:val="20"/>
              </w:rPr>
            </w:pPr>
          </w:p>
        </w:tc>
        <w:tc>
          <w:tcPr>
            <w:tcW w:w="1178" w:type="dxa"/>
          </w:tcPr>
          <w:p w:rsidR="007C5447" w:rsidRDefault="00F6308C">
            <w:pPr>
              <w:pStyle w:val="TableParagraph"/>
              <w:spacing w:before="70"/>
              <w:ind w:right="89"/>
              <w:rPr>
                <w:sz w:val="20"/>
              </w:rPr>
            </w:pPr>
            <w:r>
              <w:rPr>
                <w:w w:val="95"/>
                <w:sz w:val="20"/>
              </w:rPr>
              <w:t>285.50</w:t>
            </w:r>
          </w:p>
        </w:tc>
        <w:tc>
          <w:tcPr>
            <w:tcW w:w="1060" w:type="dxa"/>
          </w:tcPr>
          <w:p w:rsidR="007C5447" w:rsidRDefault="007C5447">
            <w:pPr>
              <w:pStyle w:val="TableParagraph"/>
              <w:jc w:val="left"/>
              <w:rPr>
                <w:sz w:val="20"/>
              </w:rPr>
            </w:pPr>
          </w:p>
        </w:tc>
        <w:tc>
          <w:tcPr>
            <w:tcW w:w="1060" w:type="dxa"/>
          </w:tcPr>
          <w:p w:rsidR="007C5447" w:rsidRDefault="00F6308C">
            <w:pPr>
              <w:pStyle w:val="TableParagraph"/>
              <w:spacing w:before="70"/>
              <w:ind w:right="88"/>
              <w:rPr>
                <w:sz w:val="20"/>
              </w:rPr>
            </w:pPr>
            <w:r>
              <w:rPr>
                <w:w w:val="95"/>
                <w:sz w:val="20"/>
              </w:rPr>
              <w:t>1,491.00</w:t>
            </w:r>
          </w:p>
        </w:tc>
        <w:tc>
          <w:tcPr>
            <w:tcW w:w="1038" w:type="dxa"/>
          </w:tcPr>
          <w:p w:rsidR="007C5447" w:rsidRDefault="00F6308C">
            <w:pPr>
              <w:pStyle w:val="TableParagraph"/>
              <w:spacing w:before="70"/>
              <w:ind w:right="87"/>
              <w:rPr>
                <w:sz w:val="20"/>
              </w:rPr>
            </w:pPr>
            <w:r>
              <w:rPr>
                <w:w w:val="95"/>
                <w:sz w:val="20"/>
              </w:rPr>
              <w:t>1,252.00</w:t>
            </w:r>
          </w:p>
        </w:tc>
        <w:tc>
          <w:tcPr>
            <w:tcW w:w="1218" w:type="dxa"/>
          </w:tcPr>
          <w:p w:rsidR="007C5447" w:rsidRDefault="00F6308C">
            <w:pPr>
              <w:pStyle w:val="TableParagraph"/>
              <w:spacing w:before="70"/>
              <w:ind w:right="87"/>
              <w:rPr>
                <w:sz w:val="20"/>
              </w:rPr>
            </w:pPr>
            <w:r>
              <w:rPr>
                <w:sz w:val="20"/>
              </w:rPr>
              <w:t>8.40</w:t>
            </w:r>
          </w:p>
        </w:tc>
        <w:tc>
          <w:tcPr>
            <w:tcW w:w="1120" w:type="dxa"/>
          </w:tcPr>
          <w:p w:rsidR="007C5447" w:rsidRDefault="00F6308C">
            <w:pPr>
              <w:pStyle w:val="TableParagraph"/>
              <w:spacing w:before="70"/>
              <w:ind w:right="87"/>
              <w:rPr>
                <w:sz w:val="20"/>
              </w:rPr>
            </w:pPr>
            <w:r>
              <w:rPr>
                <w:w w:val="95"/>
                <w:sz w:val="20"/>
              </w:rPr>
              <w:t>932.77</w:t>
            </w:r>
          </w:p>
        </w:tc>
        <w:tc>
          <w:tcPr>
            <w:tcW w:w="1309" w:type="dxa"/>
          </w:tcPr>
          <w:p w:rsidR="007C5447" w:rsidRDefault="00F6308C">
            <w:pPr>
              <w:pStyle w:val="TableParagraph"/>
              <w:spacing w:before="70"/>
              <w:ind w:right="85"/>
              <w:rPr>
                <w:sz w:val="20"/>
              </w:rPr>
            </w:pPr>
            <w:r>
              <w:rPr>
                <w:w w:val="95"/>
                <w:sz w:val="20"/>
              </w:rPr>
              <w:t>1,068.75</w:t>
            </w:r>
          </w:p>
        </w:tc>
        <w:tc>
          <w:tcPr>
            <w:tcW w:w="1235" w:type="dxa"/>
          </w:tcPr>
          <w:p w:rsidR="007C5447" w:rsidRDefault="00F6308C">
            <w:pPr>
              <w:pStyle w:val="TableParagraph"/>
              <w:spacing w:before="70"/>
              <w:ind w:right="86"/>
              <w:rPr>
                <w:sz w:val="20"/>
              </w:rPr>
            </w:pPr>
            <w:r>
              <w:rPr>
                <w:w w:val="95"/>
                <w:sz w:val="20"/>
              </w:rPr>
              <w:t>11.46</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STCMS – Neyveli</w:t>
            </w:r>
          </w:p>
        </w:tc>
        <w:tc>
          <w:tcPr>
            <w:tcW w:w="1080" w:type="dxa"/>
          </w:tcPr>
          <w:p w:rsidR="007C5447" w:rsidRDefault="00F6308C">
            <w:pPr>
              <w:pStyle w:val="TableParagraph"/>
              <w:spacing w:before="70"/>
              <w:ind w:right="91"/>
              <w:rPr>
                <w:sz w:val="20"/>
              </w:rPr>
            </w:pPr>
            <w:r>
              <w:rPr>
                <w:w w:val="95"/>
                <w:sz w:val="20"/>
              </w:rPr>
              <w:t>1,688.22</w:t>
            </w:r>
          </w:p>
        </w:tc>
        <w:tc>
          <w:tcPr>
            <w:tcW w:w="1178" w:type="dxa"/>
          </w:tcPr>
          <w:p w:rsidR="007C5447" w:rsidRDefault="00F6308C">
            <w:pPr>
              <w:pStyle w:val="TableParagraph"/>
              <w:spacing w:before="70"/>
              <w:ind w:right="89"/>
              <w:rPr>
                <w:sz w:val="20"/>
              </w:rPr>
            </w:pPr>
            <w:r>
              <w:rPr>
                <w:w w:val="95"/>
                <w:sz w:val="20"/>
              </w:rPr>
              <w:t>691.09</w:t>
            </w:r>
          </w:p>
        </w:tc>
        <w:tc>
          <w:tcPr>
            <w:tcW w:w="1060" w:type="dxa"/>
          </w:tcPr>
          <w:p w:rsidR="007C5447" w:rsidRDefault="00F6308C">
            <w:pPr>
              <w:pStyle w:val="TableParagraph"/>
              <w:spacing w:before="70"/>
              <w:ind w:right="91"/>
              <w:rPr>
                <w:sz w:val="20"/>
              </w:rPr>
            </w:pPr>
            <w:r>
              <w:rPr>
                <w:sz w:val="20"/>
              </w:rPr>
              <w:t>4.09</w:t>
            </w:r>
          </w:p>
        </w:tc>
        <w:tc>
          <w:tcPr>
            <w:tcW w:w="1060" w:type="dxa"/>
          </w:tcPr>
          <w:p w:rsidR="007C5447" w:rsidRDefault="00F6308C">
            <w:pPr>
              <w:pStyle w:val="TableParagraph"/>
              <w:spacing w:before="70"/>
              <w:ind w:right="88"/>
              <w:rPr>
                <w:sz w:val="20"/>
              </w:rPr>
            </w:pPr>
            <w:r>
              <w:rPr>
                <w:w w:val="95"/>
                <w:sz w:val="20"/>
              </w:rPr>
              <w:t>1,688.22</w:t>
            </w:r>
          </w:p>
        </w:tc>
        <w:tc>
          <w:tcPr>
            <w:tcW w:w="1038" w:type="dxa"/>
          </w:tcPr>
          <w:p w:rsidR="007C5447" w:rsidRDefault="00F6308C">
            <w:pPr>
              <w:pStyle w:val="TableParagraph"/>
              <w:spacing w:before="70"/>
              <w:ind w:right="88"/>
              <w:rPr>
                <w:sz w:val="20"/>
              </w:rPr>
            </w:pPr>
            <w:r>
              <w:rPr>
                <w:w w:val="95"/>
                <w:sz w:val="20"/>
              </w:rPr>
              <w:t>653.00</w:t>
            </w:r>
          </w:p>
        </w:tc>
        <w:tc>
          <w:tcPr>
            <w:tcW w:w="1218" w:type="dxa"/>
          </w:tcPr>
          <w:p w:rsidR="007C5447" w:rsidRDefault="00F6308C">
            <w:pPr>
              <w:pStyle w:val="TableParagraph"/>
              <w:spacing w:before="70"/>
              <w:ind w:right="87"/>
              <w:rPr>
                <w:sz w:val="20"/>
              </w:rPr>
            </w:pPr>
            <w:r>
              <w:rPr>
                <w:sz w:val="20"/>
              </w:rPr>
              <w:t>3.87</w:t>
            </w:r>
          </w:p>
        </w:tc>
        <w:tc>
          <w:tcPr>
            <w:tcW w:w="1120" w:type="dxa"/>
          </w:tcPr>
          <w:p w:rsidR="007C5447" w:rsidRDefault="00F6308C">
            <w:pPr>
              <w:pStyle w:val="TableParagraph"/>
              <w:spacing w:before="70"/>
              <w:ind w:right="85"/>
              <w:rPr>
                <w:sz w:val="20"/>
              </w:rPr>
            </w:pPr>
            <w:r>
              <w:rPr>
                <w:w w:val="95"/>
                <w:sz w:val="20"/>
              </w:rPr>
              <w:t>1,688.22</w:t>
            </w:r>
          </w:p>
        </w:tc>
        <w:tc>
          <w:tcPr>
            <w:tcW w:w="1309" w:type="dxa"/>
          </w:tcPr>
          <w:p w:rsidR="007C5447" w:rsidRDefault="00F6308C">
            <w:pPr>
              <w:pStyle w:val="TableParagraph"/>
              <w:spacing w:before="70"/>
              <w:ind w:right="87"/>
              <w:rPr>
                <w:sz w:val="20"/>
              </w:rPr>
            </w:pPr>
            <w:r>
              <w:rPr>
                <w:w w:val="95"/>
                <w:sz w:val="20"/>
              </w:rPr>
              <w:t>653.00</w:t>
            </w:r>
          </w:p>
        </w:tc>
        <w:tc>
          <w:tcPr>
            <w:tcW w:w="1235" w:type="dxa"/>
          </w:tcPr>
          <w:p w:rsidR="007C5447" w:rsidRDefault="00F6308C">
            <w:pPr>
              <w:pStyle w:val="TableParagraph"/>
              <w:spacing w:before="70"/>
              <w:ind w:right="86"/>
              <w:rPr>
                <w:sz w:val="20"/>
              </w:rPr>
            </w:pPr>
            <w:r>
              <w:rPr>
                <w:sz w:val="20"/>
              </w:rPr>
              <w:t>3.87</w:t>
            </w:r>
          </w:p>
        </w:tc>
      </w:tr>
      <w:tr w:rsidR="007C5447">
        <w:trPr>
          <w:trHeight w:val="371"/>
        </w:trPr>
        <w:tc>
          <w:tcPr>
            <w:tcW w:w="3401" w:type="dxa"/>
            <w:tcBorders>
              <w:left w:val="single" w:sz="8" w:space="0" w:color="000000"/>
            </w:tcBorders>
          </w:tcPr>
          <w:p w:rsidR="007C5447" w:rsidRDefault="00F6308C">
            <w:pPr>
              <w:pStyle w:val="TableParagraph"/>
              <w:spacing w:before="70"/>
              <w:ind w:left="107"/>
              <w:jc w:val="left"/>
              <w:rPr>
                <w:sz w:val="20"/>
              </w:rPr>
            </w:pPr>
            <w:r>
              <w:rPr>
                <w:sz w:val="20"/>
              </w:rPr>
              <w:t>LANCO Power (Aban co)</w:t>
            </w:r>
          </w:p>
        </w:tc>
        <w:tc>
          <w:tcPr>
            <w:tcW w:w="1080" w:type="dxa"/>
          </w:tcPr>
          <w:p w:rsidR="007C5447" w:rsidRDefault="00F6308C">
            <w:pPr>
              <w:pStyle w:val="TableParagraph"/>
              <w:spacing w:before="70"/>
              <w:ind w:right="93"/>
              <w:rPr>
                <w:sz w:val="20"/>
              </w:rPr>
            </w:pPr>
            <w:r>
              <w:rPr>
                <w:w w:val="95"/>
                <w:sz w:val="20"/>
              </w:rPr>
              <w:t>759.61</w:t>
            </w:r>
          </w:p>
        </w:tc>
        <w:tc>
          <w:tcPr>
            <w:tcW w:w="1178" w:type="dxa"/>
          </w:tcPr>
          <w:p w:rsidR="007C5447" w:rsidRDefault="00F6308C">
            <w:pPr>
              <w:pStyle w:val="TableParagraph"/>
              <w:spacing w:before="70"/>
              <w:ind w:right="89"/>
              <w:rPr>
                <w:sz w:val="20"/>
              </w:rPr>
            </w:pPr>
            <w:r>
              <w:rPr>
                <w:w w:val="95"/>
                <w:sz w:val="20"/>
              </w:rPr>
              <w:t>240.95</w:t>
            </w:r>
          </w:p>
        </w:tc>
        <w:tc>
          <w:tcPr>
            <w:tcW w:w="1060" w:type="dxa"/>
          </w:tcPr>
          <w:p w:rsidR="007C5447" w:rsidRDefault="00F6308C">
            <w:pPr>
              <w:pStyle w:val="TableParagraph"/>
              <w:spacing w:before="70"/>
              <w:ind w:right="91"/>
              <w:rPr>
                <w:sz w:val="20"/>
              </w:rPr>
            </w:pPr>
            <w:r>
              <w:rPr>
                <w:sz w:val="20"/>
              </w:rPr>
              <w:t>3.17</w:t>
            </w:r>
          </w:p>
        </w:tc>
        <w:tc>
          <w:tcPr>
            <w:tcW w:w="1060" w:type="dxa"/>
          </w:tcPr>
          <w:p w:rsidR="007C5447" w:rsidRDefault="00F6308C">
            <w:pPr>
              <w:pStyle w:val="TableParagraph"/>
              <w:spacing w:before="70"/>
              <w:ind w:right="90"/>
              <w:rPr>
                <w:sz w:val="20"/>
              </w:rPr>
            </w:pPr>
            <w:r>
              <w:rPr>
                <w:w w:val="95"/>
                <w:sz w:val="20"/>
              </w:rPr>
              <w:t>759.61</w:t>
            </w:r>
          </w:p>
        </w:tc>
        <w:tc>
          <w:tcPr>
            <w:tcW w:w="1038" w:type="dxa"/>
          </w:tcPr>
          <w:p w:rsidR="007C5447" w:rsidRDefault="00F6308C">
            <w:pPr>
              <w:pStyle w:val="TableParagraph"/>
              <w:spacing w:before="70"/>
              <w:ind w:right="89"/>
              <w:rPr>
                <w:sz w:val="20"/>
              </w:rPr>
            </w:pPr>
            <w:r>
              <w:rPr>
                <w:w w:val="95"/>
                <w:sz w:val="20"/>
              </w:rPr>
              <w:t>240.95</w:t>
            </w:r>
          </w:p>
        </w:tc>
        <w:tc>
          <w:tcPr>
            <w:tcW w:w="1218" w:type="dxa"/>
          </w:tcPr>
          <w:p w:rsidR="007C5447" w:rsidRDefault="00F6308C">
            <w:pPr>
              <w:pStyle w:val="TableParagraph"/>
              <w:spacing w:before="70"/>
              <w:ind w:right="87"/>
              <w:rPr>
                <w:sz w:val="20"/>
              </w:rPr>
            </w:pPr>
            <w:r>
              <w:rPr>
                <w:sz w:val="20"/>
              </w:rPr>
              <w:t>3.17</w:t>
            </w:r>
          </w:p>
        </w:tc>
        <w:tc>
          <w:tcPr>
            <w:tcW w:w="1120" w:type="dxa"/>
          </w:tcPr>
          <w:p w:rsidR="007C5447" w:rsidRDefault="00F6308C">
            <w:pPr>
              <w:pStyle w:val="TableParagraph"/>
              <w:spacing w:before="70"/>
              <w:ind w:right="87"/>
              <w:rPr>
                <w:sz w:val="20"/>
              </w:rPr>
            </w:pPr>
            <w:r>
              <w:rPr>
                <w:w w:val="95"/>
                <w:sz w:val="20"/>
              </w:rPr>
              <w:t>759.61</w:t>
            </w:r>
          </w:p>
        </w:tc>
        <w:tc>
          <w:tcPr>
            <w:tcW w:w="1309" w:type="dxa"/>
          </w:tcPr>
          <w:p w:rsidR="007C5447" w:rsidRDefault="00F6308C">
            <w:pPr>
              <w:pStyle w:val="TableParagraph"/>
              <w:spacing w:before="70"/>
              <w:ind w:right="87"/>
              <w:rPr>
                <w:sz w:val="20"/>
              </w:rPr>
            </w:pPr>
            <w:r>
              <w:rPr>
                <w:w w:val="95"/>
                <w:sz w:val="20"/>
              </w:rPr>
              <w:t>240.95</w:t>
            </w:r>
          </w:p>
        </w:tc>
        <w:tc>
          <w:tcPr>
            <w:tcW w:w="1235" w:type="dxa"/>
          </w:tcPr>
          <w:p w:rsidR="007C5447" w:rsidRDefault="00F6308C">
            <w:pPr>
              <w:pStyle w:val="TableParagraph"/>
              <w:spacing w:before="70"/>
              <w:ind w:right="86"/>
              <w:rPr>
                <w:sz w:val="20"/>
              </w:rPr>
            </w:pPr>
            <w:r>
              <w:rPr>
                <w:sz w:val="20"/>
              </w:rPr>
              <w:t>3.17</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Penna</w:t>
            </w:r>
          </w:p>
        </w:tc>
        <w:tc>
          <w:tcPr>
            <w:tcW w:w="1080" w:type="dxa"/>
          </w:tcPr>
          <w:p w:rsidR="007C5447" w:rsidRDefault="00F6308C">
            <w:pPr>
              <w:pStyle w:val="TableParagraph"/>
              <w:spacing w:before="70"/>
              <w:ind w:right="93"/>
              <w:rPr>
                <w:sz w:val="20"/>
              </w:rPr>
            </w:pPr>
            <w:r>
              <w:rPr>
                <w:w w:val="95"/>
                <w:sz w:val="20"/>
              </w:rPr>
              <w:t>359.61</w:t>
            </w:r>
          </w:p>
        </w:tc>
        <w:tc>
          <w:tcPr>
            <w:tcW w:w="1178" w:type="dxa"/>
          </w:tcPr>
          <w:p w:rsidR="007C5447" w:rsidRDefault="00F6308C">
            <w:pPr>
              <w:pStyle w:val="TableParagraph"/>
              <w:spacing w:before="70"/>
              <w:ind w:right="89"/>
              <w:rPr>
                <w:sz w:val="20"/>
              </w:rPr>
            </w:pPr>
            <w:r>
              <w:rPr>
                <w:w w:val="95"/>
                <w:sz w:val="20"/>
              </w:rPr>
              <w:t>120.66</w:t>
            </w:r>
          </w:p>
        </w:tc>
        <w:tc>
          <w:tcPr>
            <w:tcW w:w="1060" w:type="dxa"/>
          </w:tcPr>
          <w:p w:rsidR="007C5447" w:rsidRDefault="00F6308C">
            <w:pPr>
              <w:pStyle w:val="TableParagraph"/>
              <w:spacing w:before="70"/>
              <w:ind w:right="91"/>
              <w:rPr>
                <w:sz w:val="20"/>
              </w:rPr>
            </w:pPr>
            <w:r>
              <w:rPr>
                <w:sz w:val="20"/>
              </w:rPr>
              <w:t>3.36</w:t>
            </w:r>
          </w:p>
        </w:tc>
        <w:tc>
          <w:tcPr>
            <w:tcW w:w="1060" w:type="dxa"/>
          </w:tcPr>
          <w:p w:rsidR="007C5447" w:rsidRDefault="00F6308C">
            <w:pPr>
              <w:pStyle w:val="TableParagraph"/>
              <w:spacing w:before="70"/>
              <w:ind w:right="90"/>
              <w:rPr>
                <w:sz w:val="20"/>
              </w:rPr>
            </w:pPr>
            <w:r>
              <w:rPr>
                <w:w w:val="95"/>
                <w:sz w:val="20"/>
              </w:rPr>
              <w:t>359.61</w:t>
            </w:r>
          </w:p>
        </w:tc>
        <w:tc>
          <w:tcPr>
            <w:tcW w:w="1038" w:type="dxa"/>
          </w:tcPr>
          <w:p w:rsidR="007C5447" w:rsidRDefault="00F6308C">
            <w:pPr>
              <w:pStyle w:val="TableParagraph"/>
              <w:spacing w:before="70"/>
              <w:ind w:right="89"/>
              <w:rPr>
                <w:sz w:val="20"/>
              </w:rPr>
            </w:pPr>
            <w:r>
              <w:rPr>
                <w:w w:val="95"/>
                <w:sz w:val="20"/>
              </w:rPr>
              <w:t>120.66</w:t>
            </w:r>
          </w:p>
        </w:tc>
        <w:tc>
          <w:tcPr>
            <w:tcW w:w="1218" w:type="dxa"/>
          </w:tcPr>
          <w:p w:rsidR="007C5447" w:rsidRDefault="00F6308C">
            <w:pPr>
              <w:pStyle w:val="TableParagraph"/>
              <w:spacing w:before="70"/>
              <w:ind w:right="87"/>
              <w:rPr>
                <w:sz w:val="20"/>
              </w:rPr>
            </w:pPr>
            <w:r>
              <w:rPr>
                <w:sz w:val="20"/>
              </w:rPr>
              <w:t>3.36</w:t>
            </w:r>
          </w:p>
        </w:tc>
        <w:tc>
          <w:tcPr>
            <w:tcW w:w="1120" w:type="dxa"/>
          </w:tcPr>
          <w:p w:rsidR="007C5447" w:rsidRDefault="00F6308C">
            <w:pPr>
              <w:pStyle w:val="TableParagraph"/>
              <w:spacing w:before="70"/>
              <w:ind w:right="87"/>
              <w:rPr>
                <w:sz w:val="20"/>
              </w:rPr>
            </w:pPr>
            <w:r>
              <w:rPr>
                <w:w w:val="95"/>
                <w:sz w:val="20"/>
              </w:rPr>
              <w:t>359.61</w:t>
            </w:r>
          </w:p>
        </w:tc>
        <w:tc>
          <w:tcPr>
            <w:tcW w:w="1309" w:type="dxa"/>
          </w:tcPr>
          <w:p w:rsidR="007C5447" w:rsidRDefault="00F6308C">
            <w:pPr>
              <w:pStyle w:val="TableParagraph"/>
              <w:spacing w:before="70"/>
              <w:ind w:right="87"/>
              <w:rPr>
                <w:sz w:val="20"/>
              </w:rPr>
            </w:pPr>
            <w:r>
              <w:rPr>
                <w:w w:val="95"/>
                <w:sz w:val="20"/>
              </w:rPr>
              <w:t>120.66</w:t>
            </w:r>
          </w:p>
        </w:tc>
        <w:tc>
          <w:tcPr>
            <w:tcW w:w="1235" w:type="dxa"/>
          </w:tcPr>
          <w:p w:rsidR="007C5447" w:rsidRDefault="00F6308C">
            <w:pPr>
              <w:pStyle w:val="TableParagraph"/>
              <w:spacing w:before="70"/>
              <w:ind w:right="86"/>
              <w:rPr>
                <w:sz w:val="20"/>
              </w:rPr>
            </w:pPr>
            <w:r>
              <w:rPr>
                <w:sz w:val="20"/>
              </w:rPr>
              <w:t>3.36</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b/>
                <w:sz w:val="20"/>
              </w:rPr>
            </w:pPr>
            <w:r>
              <w:rPr>
                <w:b/>
                <w:sz w:val="20"/>
              </w:rPr>
              <w:t>Total IPP</w:t>
            </w:r>
          </w:p>
        </w:tc>
        <w:tc>
          <w:tcPr>
            <w:tcW w:w="1080" w:type="dxa"/>
          </w:tcPr>
          <w:p w:rsidR="007C5447" w:rsidRDefault="00F6308C">
            <w:pPr>
              <w:pStyle w:val="TableParagraph"/>
              <w:spacing w:before="70"/>
              <w:ind w:right="91"/>
              <w:rPr>
                <w:b/>
                <w:sz w:val="20"/>
              </w:rPr>
            </w:pPr>
            <w:r>
              <w:rPr>
                <w:b/>
                <w:w w:val="95"/>
                <w:sz w:val="20"/>
              </w:rPr>
              <w:t>2,807.44</w:t>
            </w:r>
          </w:p>
        </w:tc>
        <w:tc>
          <w:tcPr>
            <w:tcW w:w="1178" w:type="dxa"/>
          </w:tcPr>
          <w:p w:rsidR="007C5447" w:rsidRDefault="00F6308C">
            <w:pPr>
              <w:pStyle w:val="TableParagraph"/>
              <w:spacing w:before="70"/>
              <w:ind w:right="87"/>
              <w:rPr>
                <w:b/>
                <w:sz w:val="20"/>
              </w:rPr>
            </w:pPr>
            <w:r>
              <w:rPr>
                <w:b/>
                <w:w w:val="95"/>
                <w:sz w:val="20"/>
              </w:rPr>
              <w:t>1,736.91</w:t>
            </w:r>
          </w:p>
        </w:tc>
        <w:tc>
          <w:tcPr>
            <w:tcW w:w="1060" w:type="dxa"/>
          </w:tcPr>
          <w:p w:rsidR="007C5447" w:rsidRDefault="00F6308C">
            <w:pPr>
              <w:pStyle w:val="TableParagraph"/>
              <w:spacing w:before="70"/>
              <w:ind w:right="89"/>
              <w:rPr>
                <w:b/>
                <w:sz w:val="20"/>
              </w:rPr>
            </w:pPr>
            <w:r>
              <w:rPr>
                <w:b/>
                <w:sz w:val="20"/>
              </w:rPr>
              <w:t>6.19</w:t>
            </w:r>
          </w:p>
        </w:tc>
        <w:tc>
          <w:tcPr>
            <w:tcW w:w="1060" w:type="dxa"/>
          </w:tcPr>
          <w:p w:rsidR="007C5447" w:rsidRDefault="00F6308C">
            <w:pPr>
              <w:pStyle w:val="TableParagraph"/>
              <w:spacing w:before="70"/>
              <w:ind w:right="88"/>
              <w:rPr>
                <w:b/>
                <w:sz w:val="20"/>
              </w:rPr>
            </w:pPr>
            <w:r>
              <w:rPr>
                <w:b/>
                <w:w w:val="95"/>
                <w:sz w:val="20"/>
              </w:rPr>
              <w:t>5,730.44</w:t>
            </w:r>
          </w:p>
        </w:tc>
        <w:tc>
          <w:tcPr>
            <w:tcW w:w="1038" w:type="dxa"/>
          </w:tcPr>
          <w:p w:rsidR="007C5447" w:rsidRDefault="00F6308C">
            <w:pPr>
              <w:pStyle w:val="TableParagraph"/>
              <w:spacing w:before="70"/>
              <w:ind w:right="87"/>
              <w:rPr>
                <w:b/>
                <w:sz w:val="20"/>
              </w:rPr>
            </w:pPr>
            <w:r>
              <w:rPr>
                <w:b/>
                <w:w w:val="95"/>
                <w:sz w:val="20"/>
              </w:rPr>
              <w:t>4,069.61</w:t>
            </w:r>
          </w:p>
        </w:tc>
        <w:tc>
          <w:tcPr>
            <w:tcW w:w="1218" w:type="dxa"/>
          </w:tcPr>
          <w:p w:rsidR="007C5447" w:rsidRDefault="00F6308C">
            <w:pPr>
              <w:pStyle w:val="TableParagraph"/>
              <w:spacing w:before="70"/>
              <w:ind w:right="87"/>
              <w:rPr>
                <w:b/>
                <w:sz w:val="20"/>
              </w:rPr>
            </w:pPr>
            <w:r>
              <w:rPr>
                <w:b/>
                <w:sz w:val="20"/>
              </w:rPr>
              <w:t>7.10</w:t>
            </w:r>
          </w:p>
        </w:tc>
        <w:tc>
          <w:tcPr>
            <w:tcW w:w="1120" w:type="dxa"/>
          </w:tcPr>
          <w:p w:rsidR="007C5447" w:rsidRDefault="00F6308C">
            <w:pPr>
              <w:pStyle w:val="TableParagraph"/>
              <w:spacing w:before="70"/>
              <w:ind w:right="85"/>
              <w:rPr>
                <w:b/>
                <w:sz w:val="20"/>
              </w:rPr>
            </w:pPr>
            <w:r>
              <w:rPr>
                <w:b/>
                <w:w w:val="95"/>
                <w:sz w:val="20"/>
              </w:rPr>
              <w:t>3,740.21</w:t>
            </w:r>
          </w:p>
        </w:tc>
        <w:tc>
          <w:tcPr>
            <w:tcW w:w="1309" w:type="dxa"/>
          </w:tcPr>
          <w:p w:rsidR="007C5447" w:rsidRDefault="00F6308C">
            <w:pPr>
              <w:pStyle w:val="TableParagraph"/>
              <w:spacing w:before="70"/>
              <w:ind w:right="85"/>
              <w:rPr>
                <w:b/>
                <w:sz w:val="20"/>
              </w:rPr>
            </w:pPr>
            <w:r>
              <w:rPr>
                <w:b/>
                <w:w w:val="95"/>
                <w:sz w:val="20"/>
              </w:rPr>
              <w:t>2,482.07</w:t>
            </w:r>
          </w:p>
        </w:tc>
        <w:tc>
          <w:tcPr>
            <w:tcW w:w="1235" w:type="dxa"/>
          </w:tcPr>
          <w:p w:rsidR="007C5447" w:rsidRDefault="00F6308C">
            <w:pPr>
              <w:pStyle w:val="TableParagraph"/>
              <w:spacing w:before="70"/>
              <w:ind w:right="86"/>
              <w:rPr>
                <w:b/>
                <w:sz w:val="20"/>
              </w:rPr>
            </w:pPr>
            <w:r>
              <w:rPr>
                <w:b/>
                <w:sz w:val="20"/>
              </w:rPr>
              <w:t>6.64</w:t>
            </w:r>
          </w:p>
        </w:tc>
      </w:tr>
      <w:tr w:rsidR="007C5447">
        <w:trPr>
          <w:trHeight w:val="371"/>
        </w:trPr>
        <w:tc>
          <w:tcPr>
            <w:tcW w:w="3401" w:type="dxa"/>
            <w:tcBorders>
              <w:left w:val="single" w:sz="8" w:space="0" w:color="000000"/>
            </w:tcBorders>
          </w:tcPr>
          <w:p w:rsidR="007C5447" w:rsidRDefault="00F6308C">
            <w:pPr>
              <w:pStyle w:val="TableParagraph"/>
              <w:spacing w:before="70"/>
              <w:ind w:left="107"/>
              <w:jc w:val="left"/>
              <w:rPr>
                <w:b/>
                <w:sz w:val="20"/>
              </w:rPr>
            </w:pPr>
            <w:r>
              <w:rPr>
                <w:b/>
                <w:sz w:val="20"/>
              </w:rPr>
              <w:t>Renewables</w:t>
            </w:r>
          </w:p>
        </w:tc>
        <w:tc>
          <w:tcPr>
            <w:tcW w:w="1080" w:type="dxa"/>
          </w:tcPr>
          <w:p w:rsidR="007C5447" w:rsidRDefault="007C5447">
            <w:pPr>
              <w:pStyle w:val="TableParagraph"/>
              <w:jc w:val="left"/>
              <w:rPr>
                <w:sz w:val="20"/>
              </w:rPr>
            </w:pPr>
          </w:p>
        </w:tc>
        <w:tc>
          <w:tcPr>
            <w:tcW w:w="1178"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38" w:type="dxa"/>
          </w:tcPr>
          <w:p w:rsidR="007C5447" w:rsidRDefault="007C5447">
            <w:pPr>
              <w:pStyle w:val="TableParagraph"/>
              <w:jc w:val="left"/>
              <w:rPr>
                <w:sz w:val="20"/>
              </w:rPr>
            </w:pPr>
          </w:p>
        </w:tc>
        <w:tc>
          <w:tcPr>
            <w:tcW w:w="1218" w:type="dxa"/>
          </w:tcPr>
          <w:p w:rsidR="007C5447" w:rsidRDefault="007C5447">
            <w:pPr>
              <w:pStyle w:val="TableParagraph"/>
              <w:jc w:val="left"/>
              <w:rPr>
                <w:sz w:val="20"/>
              </w:rPr>
            </w:pPr>
          </w:p>
        </w:tc>
        <w:tc>
          <w:tcPr>
            <w:tcW w:w="1120" w:type="dxa"/>
          </w:tcPr>
          <w:p w:rsidR="007C5447" w:rsidRDefault="007C5447">
            <w:pPr>
              <w:pStyle w:val="TableParagraph"/>
              <w:jc w:val="left"/>
              <w:rPr>
                <w:sz w:val="20"/>
              </w:rPr>
            </w:pPr>
          </w:p>
        </w:tc>
        <w:tc>
          <w:tcPr>
            <w:tcW w:w="1309" w:type="dxa"/>
          </w:tcPr>
          <w:p w:rsidR="007C5447" w:rsidRDefault="007C5447">
            <w:pPr>
              <w:pStyle w:val="TableParagraph"/>
              <w:jc w:val="left"/>
              <w:rPr>
                <w:sz w:val="20"/>
              </w:rPr>
            </w:pP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Wind</w:t>
            </w:r>
          </w:p>
        </w:tc>
        <w:tc>
          <w:tcPr>
            <w:tcW w:w="1080" w:type="dxa"/>
          </w:tcPr>
          <w:p w:rsidR="007C5447" w:rsidRDefault="00F6308C">
            <w:pPr>
              <w:pStyle w:val="TableParagraph"/>
              <w:spacing w:before="70"/>
              <w:ind w:right="91"/>
              <w:rPr>
                <w:sz w:val="20"/>
              </w:rPr>
            </w:pPr>
            <w:r>
              <w:rPr>
                <w:w w:val="95"/>
                <w:sz w:val="20"/>
              </w:rPr>
              <w:t>5,711.00</w:t>
            </w:r>
          </w:p>
        </w:tc>
        <w:tc>
          <w:tcPr>
            <w:tcW w:w="1178" w:type="dxa"/>
          </w:tcPr>
          <w:p w:rsidR="007C5447" w:rsidRDefault="00F6308C">
            <w:pPr>
              <w:pStyle w:val="TableParagraph"/>
              <w:spacing w:before="70"/>
              <w:ind w:right="87"/>
              <w:rPr>
                <w:sz w:val="20"/>
              </w:rPr>
            </w:pPr>
            <w:r>
              <w:rPr>
                <w:w w:val="95"/>
                <w:sz w:val="20"/>
              </w:rPr>
              <w:t>1,758.99</w:t>
            </w:r>
          </w:p>
        </w:tc>
        <w:tc>
          <w:tcPr>
            <w:tcW w:w="1060" w:type="dxa"/>
          </w:tcPr>
          <w:p w:rsidR="007C5447" w:rsidRDefault="00F6308C">
            <w:pPr>
              <w:pStyle w:val="TableParagraph"/>
              <w:spacing w:before="70"/>
              <w:ind w:right="91"/>
              <w:rPr>
                <w:sz w:val="20"/>
              </w:rPr>
            </w:pPr>
            <w:r>
              <w:rPr>
                <w:sz w:val="20"/>
              </w:rPr>
              <w:t>3.08</w:t>
            </w:r>
          </w:p>
        </w:tc>
        <w:tc>
          <w:tcPr>
            <w:tcW w:w="1060" w:type="dxa"/>
          </w:tcPr>
          <w:p w:rsidR="007C5447" w:rsidRDefault="00F6308C">
            <w:pPr>
              <w:pStyle w:val="TableParagraph"/>
              <w:spacing w:before="70"/>
              <w:ind w:right="88"/>
              <w:rPr>
                <w:sz w:val="20"/>
              </w:rPr>
            </w:pPr>
            <w:r>
              <w:rPr>
                <w:w w:val="95"/>
                <w:sz w:val="20"/>
              </w:rPr>
              <w:t>5,711.00</w:t>
            </w:r>
          </w:p>
        </w:tc>
        <w:tc>
          <w:tcPr>
            <w:tcW w:w="1038" w:type="dxa"/>
          </w:tcPr>
          <w:p w:rsidR="007C5447" w:rsidRDefault="00F6308C">
            <w:pPr>
              <w:pStyle w:val="TableParagraph"/>
              <w:spacing w:before="70"/>
              <w:ind w:right="87"/>
              <w:rPr>
                <w:sz w:val="20"/>
              </w:rPr>
            </w:pPr>
            <w:r>
              <w:rPr>
                <w:w w:val="95"/>
                <w:sz w:val="20"/>
              </w:rPr>
              <w:t>1,770.00</w:t>
            </w:r>
          </w:p>
        </w:tc>
        <w:tc>
          <w:tcPr>
            <w:tcW w:w="1218" w:type="dxa"/>
          </w:tcPr>
          <w:p w:rsidR="007C5447" w:rsidRDefault="00F6308C">
            <w:pPr>
              <w:pStyle w:val="TableParagraph"/>
              <w:spacing w:before="70"/>
              <w:ind w:right="87"/>
              <w:rPr>
                <w:sz w:val="20"/>
              </w:rPr>
            </w:pPr>
            <w:r>
              <w:rPr>
                <w:sz w:val="20"/>
              </w:rPr>
              <w:t>3.10</w:t>
            </w:r>
          </w:p>
        </w:tc>
        <w:tc>
          <w:tcPr>
            <w:tcW w:w="1120" w:type="dxa"/>
          </w:tcPr>
          <w:p w:rsidR="007C5447" w:rsidRDefault="00F6308C">
            <w:pPr>
              <w:pStyle w:val="TableParagraph"/>
              <w:spacing w:before="70"/>
              <w:ind w:right="85"/>
              <w:rPr>
                <w:sz w:val="20"/>
              </w:rPr>
            </w:pPr>
            <w:r>
              <w:rPr>
                <w:w w:val="95"/>
                <w:sz w:val="20"/>
              </w:rPr>
              <w:t>5,711.00</w:t>
            </w:r>
          </w:p>
        </w:tc>
        <w:tc>
          <w:tcPr>
            <w:tcW w:w="1309" w:type="dxa"/>
          </w:tcPr>
          <w:p w:rsidR="007C5447" w:rsidRDefault="00F6308C">
            <w:pPr>
              <w:pStyle w:val="TableParagraph"/>
              <w:spacing w:before="70"/>
              <w:ind w:right="85"/>
              <w:rPr>
                <w:sz w:val="20"/>
              </w:rPr>
            </w:pPr>
            <w:r>
              <w:rPr>
                <w:w w:val="95"/>
                <w:sz w:val="20"/>
              </w:rPr>
              <w:t>1,770.00</w:t>
            </w:r>
          </w:p>
        </w:tc>
        <w:tc>
          <w:tcPr>
            <w:tcW w:w="1235" w:type="dxa"/>
          </w:tcPr>
          <w:p w:rsidR="007C5447" w:rsidRDefault="00F6308C">
            <w:pPr>
              <w:pStyle w:val="TableParagraph"/>
              <w:spacing w:before="70"/>
              <w:ind w:right="86"/>
              <w:rPr>
                <w:sz w:val="20"/>
              </w:rPr>
            </w:pPr>
            <w:r>
              <w:rPr>
                <w:sz w:val="20"/>
              </w:rPr>
              <w:t>3.10</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Biomass</w:t>
            </w:r>
          </w:p>
        </w:tc>
        <w:tc>
          <w:tcPr>
            <w:tcW w:w="1080" w:type="dxa"/>
          </w:tcPr>
          <w:p w:rsidR="007C5447" w:rsidRDefault="00F6308C">
            <w:pPr>
              <w:pStyle w:val="TableParagraph"/>
              <w:spacing w:before="70"/>
              <w:ind w:right="92"/>
              <w:rPr>
                <w:sz w:val="20"/>
              </w:rPr>
            </w:pPr>
            <w:r>
              <w:rPr>
                <w:w w:val="95"/>
                <w:sz w:val="20"/>
              </w:rPr>
              <w:t>72.76</w:t>
            </w:r>
          </w:p>
        </w:tc>
        <w:tc>
          <w:tcPr>
            <w:tcW w:w="1178" w:type="dxa"/>
          </w:tcPr>
          <w:p w:rsidR="007C5447" w:rsidRDefault="00F6308C">
            <w:pPr>
              <w:pStyle w:val="TableParagraph"/>
              <w:spacing w:before="70"/>
              <w:ind w:right="89"/>
              <w:rPr>
                <w:sz w:val="20"/>
              </w:rPr>
            </w:pPr>
            <w:r>
              <w:rPr>
                <w:w w:val="95"/>
                <w:sz w:val="20"/>
              </w:rPr>
              <w:t>24.37</w:t>
            </w:r>
          </w:p>
        </w:tc>
        <w:tc>
          <w:tcPr>
            <w:tcW w:w="1060" w:type="dxa"/>
          </w:tcPr>
          <w:p w:rsidR="007C5447" w:rsidRDefault="00F6308C">
            <w:pPr>
              <w:pStyle w:val="TableParagraph"/>
              <w:spacing w:before="70"/>
              <w:ind w:right="91"/>
              <w:rPr>
                <w:sz w:val="20"/>
              </w:rPr>
            </w:pPr>
            <w:r>
              <w:rPr>
                <w:sz w:val="20"/>
              </w:rPr>
              <w:t>3.35</w:t>
            </w:r>
          </w:p>
        </w:tc>
        <w:tc>
          <w:tcPr>
            <w:tcW w:w="1060" w:type="dxa"/>
          </w:tcPr>
          <w:p w:rsidR="007C5447" w:rsidRDefault="00F6308C">
            <w:pPr>
              <w:pStyle w:val="TableParagraph"/>
              <w:spacing w:before="70"/>
              <w:ind w:right="90"/>
              <w:rPr>
                <w:sz w:val="20"/>
              </w:rPr>
            </w:pPr>
            <w:r>
              <w:rPr>
                <w:w w:val="95"/>
                <w:sz w:val="20"/>
              </w:rPr>
              <w:t>72.76</w:t>
            </w:r>
          </w:p>
        </w:tc>
        <w:tc>
          <w:tcPr>
            <w:tcW w:w="1038" w:type="dxa"/>
          </w:tcPr>
          <w:p w:rsidR="007C5447" w:rsidRDefault="00F6308C">
            <w:pPr>
              <w:pStyle w:val="TableParagraph"/>
              <w:spacing w:before="70"/>
              <w:ind w:right="88"/>
              <w:rPr>
                <w:sz w:val="20"/>
              </w:rPr>
            </w:pPr>
            <w:r>
              <w:rPr>
                <w:w w:val="95"/>
                <w:sz w:val="20"/>
              </w:rPr>
              <w:t>34.00</w:t>
            </w:r>
          </w:p>
        </w:tc>
        <w:tc>
          <w:tcPr>
            <w:tcW w:w="1218" w:type="dxa"/>
          </w:tcPr>
          <w:p w:rsidR="007C5447" w:rsidRDefault="00F6308C">
            <w:pPr>
              <w:pStyle w:val="TableParagraph"/>
              <w:spacing w:before="70"/>
              <w:ind w:right="87"/>
              <w:rPr>
                <w:sz w:val="20"/>
              </w:rPr>
            </w:pPr>
            <w:r>
              <w:rPr>
                <w:sz w:val="20"/>
              </w:rPr>
              <w:t>4.67</w:t>
            </w:r>
          </w:p>
        </w:tc>
        <w:tc>
          <w:tcPr>
            <w:tcW w:w="1120" w:type="dxa"/>
          </w:tcPr>
          <w:p w:rsidR="007C5447" w:rsidRDefault="00F6308C">
            <w:pPr>
              <w:pStyle w:val="TableParagraph"/>
              <w:spacing w:before="70"/>
              <w:ind w:right="86"/>
              <w:rPr>
                <w:sz w:val="20"/>
              </w:rPr>
            </w:pPr>
            <w:r>
              <w:rPr>
                <w:w w:val="95"/>
                <w:sz w:val="20"/>
              </w:rPr>
              <w:t>72.76</w:t>
            </w:r>
          </w:p>
        </w:tc>
        <w:tc>
          <w:tcPr>
            <w:tcW w:w="1309" w:type="dxa"/>
          </w:tcPr>
          <w:p w:rsidR="007C5447" w:rsidRDefault="00F6308C">
            <w:pPr>
              <w:pStyle w:val="TableParagraph"/>
              <w:spacing w:before="70"/>
              <w:ind w:right="87"/>
              <w:rPr>
                <w:sz w:val="20"/>
              </w:rPr>
            </w:pPr>
            <w:r>
              <w:rPr>
                <w:sz w:val="20"/>
              </w:rPr>
              <w:t>34.00</w:t>
            </w:r>
          </w:p>
        </w:tc>
        <w:tc>
          <w:tcPr>
            <w:tcW w:w="1235" w:type="dxa"/>
          </w:tcPr>
          <w:p w:rsidR="007C5447" w:rsidRDefault="00F6308C">
            <w:pPr>
              <w:pStyle w:val="TableParagraph"/>
              <w:spacing w:before="70"/>
              <w:ind w:right="86"/>
              <w:rPr>
                <w:sz w:val="20"/>
              </w:rPr>
            </w:pPr>
            <w:r>
              <w:rPr>
                <w:sz w:val="20"/>
              </w:rPr>
              <w:t>4.67</w:t>
            </w:r>
          </w:p>
        </w:tc>
      </w:tr>
      <w:tr w:rsidR="007C5447">
        <w:trPr>
          <w:trHeight w:val="371"/>
        </w:trPr>
        <w:tc>
          <w:tcPr>
            <w:tcW w:w="3401" w:type="dxa"/>
            <w:tcBorders>
              <w:left w:val="single" w:sz="8" w:space="0" w:color="000000"/>
            </w:tcBorders>
          </w:tcPr>
          <w:p w:rsidR="007C5447" w:rsidRDefault="00F6308C">
            <w:pPr>
              <w:pStyle w:val="TableParagraph"/>
              <w:spacing w:before="70"/>
              <w:ind w:left="107"/>
              <w:jc w:val="left"/>
              <w:rPr>
                <w:sz w:val="20"/>
              </w:rPr>
            </w:pPr>
            <w:r>
              <w:rPr>
                <w:sz w:val="20"/>
              </w:rPr>
              <w:t>Cogeneration</w:t>
            </w:r>
          </w:p>
        </w:tc>
        <w:tc>
          <w:tcPr>
            <w:tcW w:w="1080" w:type="dxa"/>
          </w:tcPr>
          <w:p w:rsidR="007C5447" w:rsidRDefault="00F6308C">
            <w:pPr>
              <w:pStyle w:val="TableParagraph"/>
              <w:spacing w:before="70"/>
              <w:ind w:right="91"/>
              <w:rPr>
                <w:sz w:val="20"/>
              </w:rPr>
            </w:pPr>
            <w:r>
              <w:rPr>
                <w:w w:val="95"/>
                <w:sz w:val="20"/>
              </w:rPr>
              <w:t>1,284.92</w:t>
            </w:r>
          </w:p>
        </w:tc>
        <w:tc>
          <w:tcPr>
            <w:tcW w:w="1178" w:type="dxa"/>
          </w:tcPr>
          <w:p w:rsidR="007C5447" w:rsidRDefault="00F6308C">
            <w:pPr>
              <w:pStyle w:val="TableParagraph"/>
              <w:spacing w:before="70"/>
              <w:ind w:right="89"/>
              <w:rPr>
                <w:sz w:val="20"/>
              </w:rPr>
            </w:pPr>
            <w:r>
              <w:rPr>
                <w:w w:val="95"/>
                <w:sz w:val="20"/>
              </w:rPr>
              <w:t>482.01</w:t>
            </w:r>
          </w:p>
        </w:tc>
        <w:tc>
          <w:tcPr>
            <w:tcW w:w="1060" w:type="dxa"/>
          </w:tcPr>
          <w:p w:rsidR="007C5447" w:rsidRDefault="00F6308C">
            <w:pPr>
              <w:pStyle w:val="TableParagraph"/>
              <w:spacing w:before="70"/>
              <w:ind w:right="91"/>
              <w:rPr>
                <w:sz w:val="20"/>
              </w:rPr>
            </w:pPr>
            <w:r>
              <w:rPr>
                <w:sz w:val="20"/>
              </w:rPr>
              <w:t>3.75</w:t>
            </w:r>
          </w:p>
        </w:tc>
        <w:tc>
          <w:tcPr>
            <w:tcW w:w="1060" w:type="dxa"/>
          </w:tcPr>
          <w:p w:rsidR="007C5447" w:rsidRDefault="00F6308C">
            <w:pPr>
              <w:pStyle w:val="TableParagraph"/>
              <w:spacing w:before="70"/>
              <w:ind w:right="88"/>
              <w:rPr>
                <w:sz w:val="20"/>
              </w:rPr>
            </w:pPr>
            <w:r>
              <w:rPr>
                <w:w w:val="95"/>
                <w:sz w:val="20"/>
              </w:rPr>
              <w:t>1,284.92</w:t>
            </w:r>
          </w:p>
        </w:tc>
        <w:tc>
          <w:tcPr>
            <w:tcW w:w="1038" w:type="dxa"/>
          </w:tcPr>
          <w:p w:rsidR="007C5447" w:rsidRDefault="00F6308C">
            <w:pPr>
              <w:pStyle w:val="TableParagraph"/>
              <w:spacing w:before="70"/>
              <w:ind w:right="89"/>
              <w:rPr>
                <w:sz w:val="20"/>
              </w:rPr>
            </w:pPr>
            <w:r>
              <w:rPr>
                <w:w w:val="95"/>
                <w:sz w:val="20"/>
              </w:rPr>
              <w:t>506.00</w:t>
            </w:r>
          </w:p>
        </w:tc>
        <w:tc>
          <w:tcPr>
            <w:tcW w:w="1218" w:type="dxa"/>
          </w:tcPr>
          <w:p w:rsidR="007C5447" w:rsidRDefault="00F6308C">
            <w:pPr>
              <w:pStyle w:val="TableParagraph"/>
              <w:spacing w:before="70"/>
              <w:ind w:right="87"/>
              <w:rPr>
                <w:sz w:val="20"/>
              </w:rPr>
            </w:pPr>
            <w:r>
              <w:rPr>
                <w:sz w:val="20"/>
              </w:rPr>
              <w:t>3.94</w:t>
            </w:r>
          </w:p>
        </w:tc>
        <w:tc>
          <w:tcPr>
            <w:tcW w:w="1120" w:type="dxa"/>
          </w:tcPr>
          <w:p w:rsidR="007C5447" w:rsidRDefault="00F6308C">
            <w:pPr>
              <w:pStyle w:val="TableParagraph"/>
              <w:spacing w:before="70"/>
              <w:ind w:right="85"/>
              <w:rPr>
                <w:sz w:val="20"/>
              </w:rPr>
            </w:pPr>
            <w:r>
              <w:rPr>
                <w:w w:val="95"/>
                <w:sz w:val="20"/>
              </w:rPr>
              <w:t>1,284.92</w:t>
            </w:r>
          </w:p>
        </w:tc>
        <w:tc>
          <w:tcPr>
            <w:tcW w:w="1309" w:type="dxa"/>
          </w:tcPr>
          <w:p w:rsidR="007C5447" w:rsidRDefault="00F6308C">
            <w:pPr>
              <w:pStyle w:val="TableParagraph"/>
              <w:spacing w:before="70"/>
              <w:ind w:right="87"/>
              <w:rPr>
                <w:sz w:val="20"/>
              </w:rPr>
            </w:pPr>
            <w:r>
              <w:rPr>
                <w:w w:val="95"/>
                <w:sz w:val="20"/>
              </w:rPr>
              <w:t>506.00</w:t>
            </w:r>
          </w:p>
        </w:tc>
        <w:tc>
          <w:tcPr>
            <w:tcW w:w="1235" w:type="dxa"/>
          </w:tcPr>
          <w:p w:rsidR="007C5447" w:rsidRDefault="00F6308C">
            <w:pPr>
              <w:pStyle w:val="TableParagraph"/>
              <w:spacing w:before="70"/>
              <w:ind w:right="86"/>
              <w:rPr>
                <w:sz w:val="20"/>
              </w:rPr>
            </w:pPr>
            <w:r>
              <w:rPr>
                <w:sz w:val="20"/>
              </w:rPr>
              <w:t>3.94</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Captive</w:t>
            </w:r>
          </w:p>
        </w:tc>
        <w:tc>
          <w:tcPr>
            <w:tcW w:w="1080" w:type="dxa"/>
          </w:tcPr>
          <w:p w:rsidR="007C5447" w:rsidRDefault="00F6308C">
            <w:pPr>
              <w:pStyle w:val="TableParagraph"/>
              <w:spacing w:before="70"/>
              <w:ind w:right="93"/>
              <w:rPr>
                <w:sz w:val="20"/>
              </w:rPr>
            </w:pPr>
            <w:r>
              <w:rPr>
                <w:w w:val="95"/>
                <w:sz w:val="20"/>
              </w:rPr>
              <w:t>557.00</w:t>
            </w:r>
          </w:p>
        </w:tc>
        <w:tc>
          <w:tcPr>
            <w:tcW w:w="1178" w:type="dxa"/>
          </w:tcPr>
          <w:p w:rsidR="007C5447" w:rsidRDefault="00F6308C">
            <w:pPr>
              <w:pStyle w:val="TableParagraph"/>
              <w:spacing w:before="70"/>
              <w:ind w:right="89"/>
              <w:rPr>
                <w:sz w:val="20"/>
              </w:rPr>
            </w:pPr>
            <w:r>
              <w:rPr>
                <w:w w:val="95"/>
                <w:sz w:val="20"/>
              </w:rPr>
              <w:t>232.23</w:t>
            </w:r>
          </w:p>
        </w:tc>
        <w:tc>
          <w:tcPr>
            <w:tcW w:w="1060" w:type="dxa"/>
          </w:tcPr>
          <w:p w:rsidR="007C5447" w:rsidRDefault="00F6308C">
            <w:pPr>
              <w:pStyle w:val="TableParagraph"/>
              <w:spacing w:before="70"/>
              <w:ind w:right="91"/>
              <w:rPr>
                <w:sz w:val="20"/>
              </w:rPr>
            </w:pPr>
            <w:r>
              <w:rPr>
                <w:sz w:val="20"/>
              </w:rPr>
              <w:t>4.17</w:t>
            </w:r>
          </w:p>
        </w:tc>
        <w:tc>
          <w:tcPr>
            <w:tcW w:w="1060" w:type="dxa"/>
          </w:tcPr>
          <w:p w:rsidR="007C5447" w:rsidRDefault="00F6308C">
            <w:pPr>
              <w:pStyle w:val="TableParagraph"/>
              <w:spacing w:before="70"/>
              <w:ind w:right="90"/>
              <w:rPr>
                <w:sz w:val="20"/>
              </w:rPr>
            </w:pPr>
            <w:r>
              <w:rPr>
                <w:w w:val="95"/>
                <w:sz w:val="20"/>
              </w:rPr>
              <w:t>575.00</w:t>
            </w:r>
          </w:p>
        </w:tc>
        <w:tc>
          <w:tcPr>
            <w:tcW w:w="1038" w:type="dxa"/>
          </w:tcPr>
          <w:p w:rsidR="007C5447" w:rsidRDefault="00F6308C">
            <w:pPr>
              <w:pStyle w:val="TableParagraph"/>
              <w:spacing w:before="70"/>
              <w:ind w:right="89"/>
              <w:rPr>
                <w:sz w:val="20"/>
              </w:rPr>
            </w:pPr>
            <w:r>
              <w:rPr>
                <w:w w:val="95"/>
                <w:sz w:val="20"/>
              </w:rPr>
              <w:t>237.00</w:t>
            </w:r>
          </w:p>
        </w:tc>
        <w:tc>
          <w:tcPr>
            <w:tcW w:w="1218" w:type="dxa"/>
          </w:tcPr>
          <w:p w:rsidR="007C5447" w:rsidRDefault="00F6308C">
            <w:pPr>
              <w:pStyle w:val="TableParagraph"/>
              <w:spacing w:before="70"/>
              <w:ind w:right="87"/>
              <w:rPr>
                <w:sz w:val="20"/>
              </w:rPr>
            </w:pPr>
            <w:r>
              <w:rPr>
                <w:sz w:val="20"/>
              </w:rPr>
              <w:t>4.12</w:t>
            </w:r>
          </w:p>
        </w:tc>
        <w:tc>
          <w:tcPr>
            <w:tcW w:w="1120" w:type="dxa"/>
          </w:tcPr>
          <w:p w:rsidR="007C5447" w:rsidRDefault="00F6308C">
            <w:pPr>
              <w:pStyle w:val="TableParagraph"/>
              <w:spacing w:before="70"/>
              <w:ind w:right="87"/>
              <w:rPr>
                <w:sz w:val="20"/>
              </w:rPr>
            </w:pPr>
            <w:r>
              <w:rPr>
                <w:w w:val="95"/>
                <w:sz w:val="20"/>
              </w:rPr>
              <w:t>575.00</w:t>
            </w:r>
          </w:p>
        </w:tc>
        <w:tc>
          <w:tcPr>
            <w:tcW w:w="1309" w:type="dxa"/>
          </w:tcPr>
          <w:p w:rsidR="007C5447" w:rsidRDefault="00F6308C">
            <w:pPr>
              <w:pStyle w:val="TableParagraph"/>
              <w:spacing w:before="70"/>
              <w:ind w:right="87"/>
              <w:rPr>
                <w:sz w:val="20"/>
              </w:rPr>
            </w:pPr>
            <w:r>
              <w:rPr>
                <w:w w:val="95"/>
                <w:sz w:val="20"/>
              </w:rPr>
              <w:t>237.00</w:t>
            </w:r>
          </w:p>
        </w:tc>
        <w:tc>
          <w:tcPr>
            <w:tcW w:w="1235" w:type="dxa"/>
          </w:tcPr>
          <w:p w:rsidR="007C5447" w:rsidRDefault="00F6308C">
            <w:pPr>
              <w:pStyle w:val="TableParagraph"/>
              <w:spacing w:before="70"/>
              <w:ind w:right="86"/>
              <w:rPr>
                <w:sz w:val="20"/>
              </w:rPr>
            </w:pPr>
            <w:r>
              <w:rPr>
                <w:sz w:val="20"/>
              </w:rPr>
              <w:t>4.12</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Solar</w:t>
            </w:r>
          </w:p>
        </w:tc>
        <w:tc>
          <w:tcPr>
            <w:tcW w:w="1080" w:type="dxa"/>
          </w:tcPr>
          <w:p w:rsidR="007C5447" w:rsidRDefault="00F6308C">
            <w:pPr>
              <w:pStyle w:val="TableParagraph"/>
              <w:spacing w:before="70"/>
              <w:ind w:right="92"/>
              <w:rPr>
                <w:sz w:val="20"/>
              </w:rPr>
            </w:pPr>
            <w:r>
              <w:rPr>
                <w:w w:val="95"/>
                <w:sz w:val="20"/>
              </w:rPr>
              <w:t>11.00</w:t>
            </w:r>
          </w:p>
        </w:tc>
        <w:tc>
          <w:tcPr>
            <w:tcW w:w="1178" w:type="dxa"/>
          </w:tcPr>
          <w:p w:rsidR="007C5447" w:rsidRDefault="00F6308C">
            <w:pPr>
              <w:pStyle w:val="TableParagraph"/>
              <w:spacing w:before="70"/>
              <w:ind w:right="89"/>
              <w:rPr>
                <w:sz w:val="20"/>
              </w:rPr>
            </w:pPr>
            <w:r>
              <w:rPr>
                <w:sz w:val="20"/>
              </w:rPr>
              <w:t>4.59</w:t>
            </w:r>
          </w:p>
        </w:tc>
        <w:tc>
          <w:tcPr>
            <w:tcW w:w="1060" w:type="dxa"/>
          </w:tcPr>
          <w:p w:rsidR="007C5447" w:rsidRDefault="00F6308C">
            <w:pPr>
              <w:pStyle w:val="TableParagraph"/>
              <w:spacing w:before="70"/>
              <w:ind w:right="91"/>
              <w:rPr>
                <w:sz w:val="20"/>
              </w:rPr>
            </w:pPr>
            <w:r>
              <w:rPr>
                <w:sz w:val="20"/>
              </w:rPr>
              <w:t>4.17</w:t>
            </w:r>
          </w:p>
        </w:tc>
        <w:tc>
          <w:tcPr>
            <w:tcW w:w="1060" w:type="dxa"/>
          </w:tcPr>
          <w:p w:rsidR="007C5447" w:rsidRDefault="00F6308C">
            <w:pPr>
              <w:pStyle w:val="TableParagraph"/>
              <w:spacing w:before="70"/>
              <w:ind w:right="90"/>
              <w:rPr>
                <w:sz w:val="20"/>
              </w:rPr>
            </w:pPr>
            <w:r>
              <w:rPr>
                <w:w w:val="95"/>
                <w:sz w:val="20"/>
              </w:rPr>
              <w:t>11.00</w:t>
            </w:r>
          </w:p>
        </w:tc>
        <w:tc>
          <w:tcPr>
            <w:tcW w:w="1038" w:type="dxa"/>
          </w:tcPr>
          <w:p w:rsidR="007C5447" w:rsidRDefault="00F6308C">
            <w:pPr>
              <w:pStyle w:val="TableParagraph"/>
              <w:spacing w:before="70"/>
              <w:ind w:right="88"/>
              <w:rPr>
                <w:sz w:val="20"/>
              </w:rPr>
            </w:pPr>
            <w:r>
              <w:rPr>
                <w:sz w:val="20"/>
              </w:rPr>
              <w:t>6.00</w:t>
            </w:r>
          </w:p>
        </w:tc>
        <w:tc>
          <w:tcPr>
            <w:tcW w:w="1218" w:type="dxa"/>
          </w:tcPr>
          <w:p w:rsidR="007C5447" w:rsidRDefault="00F6308C">
            <w:pPr>
              <w:pStyle w:val="TableParagraph"/>
              <w:spacing w:before="70"/>
              <w:ind w:right="87"/>
              <w:rPr>
                <w:sz w:val="20"/>
              </w:rPr>
            </w:pPr>
            <w:r>
              <w:rPr>
                <w:sz w:val="20"/>
              </w:rPr>
              <w:t>5.45</w:t>
            </w:r>
          </w:p>
        </w:tc>
        <w:tc>
          <w:tcPr>
            <w:tcW w:w="1120" w:type="dxa"/>
          </w:tcPr>
          <w:p w:rsidR="007C5447" w:rsidRDefault="00F6308C">
            <w:pPr>
              <w:pStyle w:val="TableParagraph"/>
              <w:spacing w:before="70"/>
              <w:ind w:right="86"/>
              <w:rPr>
                <w:sz w:val="20"/>
              </w:rPr>
            </w:pPr>
            <w:r>
              <w:rPr>
                <w:w w:val="95"/>
                <w:sz w:val="20"/>
              </w:rPr>
              <w:t>11.00</w:t>
            </w:r>
          </w:p>
        </w:tc>
        <w:tc>
          <w:tcPr>
            <w:tcW w:w="1309" w:type="dxa"/>
          </w:tcPr>
          <w:p w:rsidR="007C5447" w:rsidRDefault="00F6308C">
            <w:pPr>
              <w:pStyle w:val="TableParagraph"/>
              <w:spacing w:before="70"/>
              <w:ind w:right="87"/>
              <w:rPr>
                <w:sz w:val="20"/>
              </w:rPr>
            </w:pPr>
            <w:r>
              <w:rPr>
                <w:sz w:val="20"/>
              </w:rPr>
              <w:t>6.00</w:t>
            </w:r>
          </w:p>
        </w:tc>
        <w:tc>
          <w:tcPr>
            <w:tcW w:w="1235" w:type="dxa"/>
          </w:tcPr>
          <w:p w:rsidR="007C5447" w:rsidRDefault="00F6308C">
            <w:pPr>
              <w:pStyle w:val="TableParagraph"/>
              <w:spacing w:before="70"/>
              <w:ind w:right="86"/>
              <w:rPr>
                <w:sz w:val="20"/>
              </w:rPr>
            </w:pPr>
            <w:r>
              <w:rPr>
                <w:sz w:val="20"/>
              </w:rPr>
              <w:t>5.45</w:t>
            </w:r>
          </w:p>
        </w:tc>
      </w:tr>
      <w:tr w:rsidR="007C5447">
        <w:trPr>
          <w:trHeight w:val="372"/>
        </w:trPr>
        <w:tc>
          <w:tcPr>
            <w:tcW w:w="3401" w:type="dxa"/>
            <w:tcBorders>
              <w:left w:val="single" w:sz="8" w:space="0" w:color="000000"/>
            </w:tcBorders>
          </w:tcPr>
          <w:p w:rsidR="007C5447" w:rsidRDefault="00F6308C">
            <w:pPr>
              <w:pStyle w:val="TableParagraph"/>
              <w:spacing w:before="70"/>
              <w:ind w:left="107"/>
              <w:jc w:val="left"/>
              <w:rPr>
                <w:b/>
                <w:sz w:val="20"/>
              </w:rPr>
            </w:pPr>
            <w:r>
              <w:rPr>
                <w:b/>
                <w:sz w:val="20"/>
              </w:rPr>
              <w:t>Total Renewables</w:t>
            </w:r>
          </w:p>
        </w:tc>
        <w:tc>
          <w:tcPr>
            <w:tcW w:w="1080" w:type="dxa"/>
          </w:tcPr>
          <w:p w:rsidR="007C5447" w:rsidRDefault="00F6308C">
            <w:pPr>
              <w:pStyle w:val="TableParagraph"/>
              <w:spacing w:before="70"/>
              <w:ind w:right="91"/>
              <w:rPr>
                <w:b/>
                <w:sz w:val="20"/>
              </w:rPr>
            </w:pPr>
            <w:r>
              <w:rPr>
                <w:b/>
                <w:w w:val="95"/>
                <w:sz w:val="20"/>
              </w:rPr>
              <w:t>7,636.68</w:t>
            </w:r>
          </w:p>
        </w:tc>
        <w:tc>
          <w:tcPr>
            <w:tcW w:w="1178" w:type="dxa"/>
          </w:tcPr>
          <w:p w:rsidR="007C5447" w:rsidRDefault="00F6308C">
            <w:pPr>
              <w:pStyle w:val="TableParagraph"/>
              <w:spacing w:before="70"/>
              <w:ind w:right="87"/>
              <w:rPr>
                <w:b/>
                <w:sz w:val="20"/>
              </w:rPr>
            </w:pPr>
            <w:r>
              <w:rPr>
                <w:b/>
                <w:w w:val="95"/>
                <w:sz w:val="20"/>
              </w:rPr>
              <w:t>2,502.19</w:t>
            </w:r>
          </w:p>
        </w:tc>
        <w:tc>
          <w:tcPr>
            <w:tcW w:w="1060" w:type="dxa"/>
          </w:tcPr>
          <w:p w:rsidR="007C5447" w:rsidRDefault="00F6308C">
            <w:pPr>
              <w:pStyle w:val="TableParagraph"/>
              <w:spacing w:before="70"/>
              <w:ind w:right="91"/>
              <w:rPr>
                <w:b/>
                <w:sz w:val="20"/>
              </w:rPr>
            </w:pPr>
            <w:r>
              <w:rPr>
                <w:b/>
                <w:sz w:val="20"/>
              </w:rPr>
              <w:t>3.28</w:t>
            </w:r>
          </w:p>
        </w:tc>
        <w:tc>
          <w:tcPr>
            <w:tcW w:w="1060" w:type="dxa"/>
          </w:tcPr>
          <w:p w:rsidR="007C5447" w:rsidRDefault="00F6308C">
            <w:pPr>
              <w:pStyle w:val="TableParagraph"/>
              <w:spacing w:before="70"/>
              <w:ind w:right="88"/>
              <w:rPr>
                <w:b/>
                <w:sz w:val="20"/>
              </w:rPr>
            </w:pPr>
            <w:r>
              <w:rPr>
                <w:b/>
                <w:w w:val="95"/>
                <w:sz w:val="20"/>
              </w:rPr>
              <w:t>7,654.68</w:t>
            </w:r>
          </w:p>
        </w:tc>
        <w:tc>
          <w:tcPr>
            <w:tcW w:w="1038" w:type="dxa"/>
          </w:tcPr>
          <w:p w:rsidR="007C5447" w:rsidRDefault="00F6308C">
            <w:pPr>
              <w:pStyle w:val="TableParagraph"/>
              <w:spacing w:before="70"/>
              <w:ind w:right="87"/>
              <w:rPr>
                <w:b/>
                <w:sz w:val="20"/>
              </w:rPr>
            </w:pPr>
            <w:r>
              <w:rPr>
                <w:b/>
                <w:w w:val="95"/>
                <w:sz w:val="20"/>
              </w:rPr>
              <w:t>2,553.00</w:t>
            </w:r>
          </w:p>
        </w:tc>
        <w:tc>
          <w:tcPr>
            <w:tcW w:w="1218" w:type="dxa"/>
          </w:tcPr>
          <w:p w:rsidR="007C5447" w:rsidRDefault="00F6308C">
            <w:pPr>
              <w:pStyle w:val="TableParagraph"/>
              <w:spacing w:before="70"/>
              <w:ind w:right="87"/>
              <w:rPr>
                <w:b/>
                <w:sz w:val="20"/>
              </w:rPr>
            </w:pPr>
            <w:r>
              <w:rPr>
                <w:b/>
                <w:sz w:val="20"/>
              </w:rPr>
              <w:t>3.34</w:t>
            </w:r>
          </w:p>
        </w:tc>
        <w:tc>
          <w:tcPr>
            <w:tcW w:w="1120" w:type="dxa"/>
          </w:tcPr>
          <w:p w:rsidR="007C5447" w:rsidRDefault="00F6308C">
            <w:pPr>
              <w:pStyle w:val="TableParagraph"/>
              <w:spacing w:before="70"/>
              <w:ind w:right="85"/>
              <w:rPr>
                <w:b/>
                <w:sz w:val="20"/>
              </w:rPr>
            </w:pPr>
            <w:r>
              <w:rPr>
                <w:b/>
                <w:w w:val="95"/>
                <w:sz w:val="20"/>
              </w:rPr>
              <w:t>7,654.68</w:t>
            </w:r>
          </w:p>
        </w:tc>
        <w:tc>
          <w:tcPr>
            <w:tcW w:w="1309" w:type="dxa"/>
          </w:tcPr>
          <w:p w:rsidR="007C5447" w:rsidRDefault="00F6308C">
            <w:pPr>
              <w:pStyle w:val="TableParagraph"/>
              <w:spacing w:before="70"/>
              <w:ind w:right="85"/>
              <w:rPr>
                <w:b/>
                <w:sz w:val="20"/>
              </w:rPr>
            </w:pPr>
            <w:r>
              <w:rPr>
                <w:b/>
                <w:w w:val="95"/>
                <w:sz w:val="20"/>
              </w:rPr>
              <w:t>2,553.00</w:t>
            </w:r>
          </w:p>
        </w:tc>
        <w:tc>
          <w:tcPr>
            <w:tcW w:w="1235" w:type="dxa"/>
          </w:tcPr>
          <w:p w:rsidR="007C5447" w:rsidRDefault="00F6308C">
            <w:pPr>
              <w:pStyle w:val="TableParagraph"/>
              <w:spacing w:before="70"/>
              <w:ind w:right="86"/>
              <w:rPr>
                <w:b/>
                <w:sz w:val="20"/>
              </w:rPr>
            </w:pPr>
            <w:r>
              <w:rPr>
                <w:b/>
                <w:sz w:val="20"/>
              </w:rPr>
              <w:t>3.34</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b/>
                <w:sz w:val="20"/>
              </w:rPr>
            </w:pPr>
            <w:r>
              <w:rPr>
                <w:b/>
                <w:sz w:val="20"/>
              </w:rPr>
              <w:t>Other Sources</w:t>
            </w:r>
          </w:p>
        </w:tc>
        <w:tc>
          <w:tcPr>
            <w:tcW w:w="1080" w:type="dxa"/>
          </w:tcPr>
          <w:p w:rsidR="007C5447" w:rsidRDefault="007C5447">
            <w:pPr>
              <w:pStyle w:val="TableParagraph"/>
              <w:jc w:val="left"/>
              <w:rPr>
                <w:sz w:val="20"/>
              </w:rPr>
            </w:pPr>
          </w:p>
        </w:tc>
        <w:tc>
          <w:tcPr>
            <w:tcW w:w="1178"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38" w:type="dxa"/>
          </w:tcPr>
          <w:p w:rsidR="007C5447" w:rsidRDefault="007C5447">
            <w:pPr>
              <w:pStyle w:val="TableParagraph"/>
              <w:jc w:val="left"/>
              <w:rPr>
                <w:sz w:val="20"/>
              </w:rPr>
            </w:pPr>
          </w:p>
        </w:tc>
        <w:tc>
          <w:tcPr>
            <w:tcW w:w="1218" w:type="dxa"/>
          </w:tcPr>
          <w:p w:rsidR="007C5447" w:rsidRDefault="007C5447">
            <w:pPr>
              <w:pStyle w:val="TableParagraph"/>
              <w:jc w:val="left"/>
              <w:rPr>
                <w:sz w:val="20"/>
              </w:rPr>
            </w:pPr>
          </w:p>
        </w:tc>
        <w:tc>
          <w:tcPr>
            <w:tcW w:w="1120" w:type="dxa"/>
          </w:tcPr>
          <w:p w:rsidR="007C5447" w:rsidRDefault="007C5447">
            <w:pPr>
              <w:pStyle w:val="TableParagraph"/>
              <w:jc w:val="left"/>
              <w:rPr>
                <w:sz w:val="20"/>
              </w:rPr>
            </w:pPr>
          </w:p>
        </w:tc>
        <w:tc>
          <w:tcPr>
            <w:tcW w:w="1309" w:type="dxa"/>
          </w:tcPr>
          <w:p w:rsidR="007C5447" w:rsidRDefault="007C5447">
            <w:pPr>
              <w:pStyle w:val="TableParagraph"/>
              <w:jc w:val="left"/>
              <w:rPr>
                <w:sz w:val="20"/>
              </w:rPr>
            </w:pP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Trading - Bilateral &amp; Exchange</w:t>
            </w:r>
          </w:p>
        </w:tc>
        <w:tc>
          <w:tcPr>
            <w:tcW w:w="1080" w:type="dxa"/>
          </w:tcPr>
          <w:p w:rsidR="007C5447" w:rsidRDefault="00F6308C">
            <w:pPr>
              <w:pStyle w:val="TableParagraph"/>
              <w:spacing w:before="70"/>
              <w:ind w:right="88"/>
              <w:rPr>
                <w:sz w:val="20"/>
              </w:rPr>
            </w:pPr>
            <w:r>
              <w:rPr>
                <w:sz w:val="20"/>
              </w:rPr>
              <w:t>8297</w:t>
            </w:r>
          </w:p>
        </w:tc>
        <w:tc>
          <w:tcPr>
            <w:tcW w:w="1178" w:type="dxa"/>
          </w:tcPr>
          <w:p w:rsidR="007C5447" w:rsidRDefault="00F6308C">
            <w:pPr>
              <w:pStyle w:val="TableParagraph"/>
              <w:spacing w:before="70"/>
              <w:ind w:right="87"/>
              <w:rPr>
                <w:sz w:val="20"/>
              </w:rPr>
            </w:pPr>
            <w:r>
              <w:rPr>
                <w:sz w:val="20"/>
              </w:rPr>
              <w:t>3838.42</w:t>
            </w:r>
          </w:p>
        </w:tc>
        <w:tc>
          <w:tcPr>
            <w:tcW w:w="1060" w:type="dxa"/>
          </w:tcPr>
          <w:p w:rsidR="007C5447" w:rsidRDefault="00F6308C">
            <w:pPr>
              <w:pStyle w:val="TableParagraph"/>
              <w:spacing w:before="70"/>
              <w:ind w:right="91"/>
              <w:rPr>
                <w:sz w:val="20"/>
              </w:rPr>
            </w:pPr>
            <w:r>
              <w:rPr>
                <w:sz w:val="20"/>
              </w:rPr>
              <w:t>4.63</w:t>
            </w:r>
          </w:p>
        </w:tc>
        <w:tc>
          <w:tcPr>
            <w:tcW w:w="1060" w:type="dxa"/>
          </w:tcPr>
          <w:p w:rsidR="007C5447" w:rsidRDefault="00F6308C">
            <w:pPr>
              <w:pStyle w:val="TableParagraph"/>
              <w:spacing w:before="70"/>
              <w:ind w:right="88"/>
              <w:rPr>
                <w:sz w:val="20"/>
              </w:rPr>
            </w:pPr>
            <w:r>
              <w:rPr>
                <w:w w:val="95"/>
                <w:sz w:val="20"/>
              </w:rPr>
              <w:t>6,900.00</w:t>
            </w:r>
          </w:p>
        </w:tc>
        <w:tc>
          <w:tcPr>
            <w:tcW w:w="1038" w:type="dxa"/>
          </w:tcPr>
          <w:p w:rsidR="007C5447" w:rsidRDefault="00F6308C">
            <w:pPr>
              <w:pStyle w:val="TableParagraph"/>
              <w:spacing w:before="70"/>
              <w:ind w:right="87"/>
              <w:rPr>
                <w:sz w:val="20"/>
              </w:rPr>
            </w:pPr>
            <w:r>
              <w:rPr>
                <w:w w:val="95"/>
                <w:sz w:val="20"/>
              </w:rPr>
              <w:t>3,292.00</w:t>
            </w:r>
          </w:p>
        </w:tc>
        <w:tc>
          <w:tcPr>
            <w:tcW w:w="1218" w:type="dxa"/>
          </w:tcPr>
          <w:p w:rsidR="007C5447" w:rsidRDefault="00F6308C">
            <w:pPr>
              <w:pStyle w:val="TableParagraph"/>
              <w:spacing w:before="70"/>
              <w:ind w:right="87"/>
              <w:rPr>
                <w:sz w:val="20"/>
              </w:rPr>
            </w:pPr>
            <w:r>
              <w:rPr>
                <w:sz w:val="20"/>
              </w:rPr>
              <w:t>4.77</w:t>
            </w:r>
          </w:p>
        </w:tc>
        <w:tc>
          <w:tcPr>
            <w:tcW w:w="1120" w:type="dxa"/>
          </w:tcPr>
          <w:p w:rsidR="007C5447" w:rsidRDefault="00F6308C">
            <w:pPr>
              <w:pStyle w:val="TableParagraph"/>
              <w:spacing w:before="70"/>
              <w:ind w:right="85"/>
              <w:rPr>
                <w:sz w:val="20"/>
              </w:rPr>
            </w:pPr>
            <w:r>
              <w:rPr>
                <w:w w:val="95"/>
                <w:sz w:val="20"/>
              </w:rPr>
              <w:t>6,900.00</w:t>
            </w:r>
          </w:p>
        </w:tc>
        <w:tc>
          <w:tcPr>
            <w:tcW w:w="1309" w:type="dxa"/>
          </w:tcPr>
          <w:p w:rsidR="007C5447" w:rsidRDefault="00F6308C">
            <w:pPr>
              <w:pStyle w:val="TableParagraph"/>
              <w:spacing w:before="70"/>
              <w:ind w:right="85"/>
              <w:rPr>
                <w:sz w:val="20"/>
              </w:rPr>
            </w:pPr>
            <w:r>
              <w:rPr>
                <w:w w:val="95"/>
                <w:sz w:val="20"/>
              </w:rPr>
              <w:t>3,292.00</w:t>
            </w:r>
          </w:p>
        </w:tc>
        <w:tc>
          <w:tcPr>
            <w:tcW w:w="1235" w:type="dxa"/>
          </w:tcPr>
          <w:p w:rsidR="007C5447" w:rsidRDefault="00F6308C">
            <w:pPr>
              <w:pStyle w:val="TableParagraph"/>
              <w:spacing w:before="70"/>
              <w:ind w:right="86"/>
              <w:rPr>
                <w:sz w:val="20"/>
              </w:rPr>
            </w:pPr>
            <w:r>
              <w:rPr>
                <w:sz w:val="20"/>
              </w:rPr>
              <w:t>4.77</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9"/>
        </w:rPr>
      </w:pP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01"/>
        <w:gridCol w:w="1080"/>
        <w:gridCol w:w="1178"/>
        <w:gridCol w:w="1060"/>
        <w:gridCol w:w="1060"/>
        <w:gridCol w:w="1038"/>
        <w:gridCol w:w="1218"/>
        <w:gridCol w:w="1120"/>
        <w:gridCol w:w="1309"/>
        <w:gridCol w:w="1235"/>
      </w:tblGrid>
      <w:tr w:rsidR="007C5447">
        <w:trPr>
          <w:trHeight w:val="369"/>
        </w:trPr>
        <w:tc>
          <w:tcPr>
            <w:tcW w:w="3401"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1385" w:right="1367"/>
              <w:jc w:val="center"/>
              <w:rPr>
                <w:b/>
                <w:sz w:val="20"/>
              </w:rPr>
            </w:pPr>
            <w:r>
              <w:rPr>
                <w:b/>
                <w:sz w:val="20"/>
              </w:rPr>
              <w:t>Source</w:t>
            </w:r>
          </w:p>
        </w:tc>
        <w:tc>
          <w:tcPr>
            <w:tcW w:w="10298" w:type="dxa"/>
            <w:gridSpan w:val="9"/>
            <w:shd w:val="clear" w:color="auto" w:fill="F7C9AC"/>
          </w:tcPr>
          <w:p w:rsidR="007C5447" w:rsidRDefault="00F6308C">
            <w:pPr>
              <w:pStyle w:val="TableParagraph"/>
              <w:spacing w:before="70"/>
              <w:ind w:left="4643" w:right="4612"/>
              <w:jc w:val="center"/>
              <w:rPr>
                <w:b/>
                <w:sz w:val="20"/>
              </w:rPr>
            </w:pPr>
            <w:r>
              <w:rPr>
                <w:b/>
                <w:sz w:val="20"/>
              </w:rPr>
              <w:t>FY 2011-12</w:t>
            </w:r>
          </w:p>
        </w:tc>
      </w:tr>
      <w:tr w:rsidR="007C5447">
        <w:trPr>
          <w:trHeight w:val="371"/>
        </w:trPr>
        <w:tc>
          <w:tcPr>
            <w:tcW w:w="3401" w:type="dxa"/>
            <w:vMerge/>
            <w:tcBorders>
              <w:top w:val="nil"/>
            </w:tcBorders>
            <w:shd w:val="clear" w:color="auto" w:fill="F7C9AC"/>
          </w:tcPr>
          <w:p w:rsidR="007C5447" w:rsidRDefault="007C5447">
            <w:pPr>
              <w:rPr>
                <w:sz w:val="2"/>
                <w:szCs w:val="2"/>
              </w:rPr>
            </w:pPr>
          </w:p>
        </w:tc>
        <w:tc>
          <w:tcPr>
            <w:tcW w:w="3318" w:type="dxa"/>
            <w:gridSpan w:val="3"/>
            <w:shd w:val="clear" w:color="auto" w:fill="F7C9AC"/>
          </w:tcPr>
          <w:p w:rsidR="007C5447" w:rsidRDefault="00F6308C">
            <w:pPr>
              <w:pStyle w:val="TableParagraph"/>
              <w:spacing w:before="70"/>
              <w:ind w:left="1129" w:right="1111"/>
              <w:jc w:val="center"/>
              <w:rPr>
                <w:b/>
                <w:sz w:val="20"/>
              </w:rPr>
            </w:pPr>
            <w:r>
              <w:rPr>
                <w:b/>
                <w:sz w:val="20"/>
              </w:rPr>
              <w:t>SMT Order</w:t>
            </w:r>
          </w:p>
        </w:tc>
        <w:tc>
          <w:tcPr>
            <w:tcW w:w="3316" w:type="dxa"/>
            <w:gridSpan w:val="3"/>
            <w:shd w:val="clear" w:color="auto" w:fill="F7C9AC"/>
          </w:tcPr>
          <w:p w:rsidR="007C5447" w:rsidRDefault="00F6308C">
            <w:pPr>
              <w:pStyle w:val="TableParagraph"/>
              <w:spacing w:before="70"/>
              <w:ind w:left="1086"/>
              <w:jc w:val="left"/>
              <w:rPr>
                <w:b/>
                <w:sz w:val="20"/>
              </w:rPr>
            </w:pPr>
            <w:r>
              <w:rPr>
                <w:b/>
                <w:sz w:val="20"/>
              </w:rPr>
              <w:t>TANGEDCO</w:t>
            </w:r>
          </w:p>
        </w:tc>
        <w:tc>
          <w:tcPr>
            <w:tcW w:w="3664" w:type="dxa"/>
            <w:gridSpan w:val="3"/>
            <w:shd w:val="clear" w:color="auto" w:fill="F7C9AC"/>
          </w:tcPr>
          <w:p w:rsidR="007C5447" w:rsidRDefault="00F6308C">
            <w:pPr>
              <w:pStyle w:val="TableParagraph"/>
              <w:spacing w:before="70"/>
              <w:ind w:left="845"/>
              <w:jc w:val="left"/>
              <w:rPr>
                <w:b/>
                <w:sz w:val="20"/>
              </w:rPr>
            </w:pPr>
            <w:r>
              <w:rPr>
                <w:b/>
                <w:sz w:val="20"/>
              </w:rPr>
              <w:t>Approved after true up</w:t>
            </w:r>
          </w:p>
        </w:tc>
      </w:tr>
      <w:tr w:rsidR="007C5447">
        <w:trPr>
          <w:trHeight w:val="489"/>
        </w:trPr>
        <w:tc>
          <w:tcPr>
            <w:tcW w:w="3401" w:type="dxa"/>
            <w:vMerge/>
            <w:tcBorders>
              <w:top w:val="nil"/>
            </w:tcBorders>
            <w:shd w:val="clear" w:color="auto" w:fill="F7C9AC"/>
          </w:tcPr>
          <w:p w:rsidR="007C5447" w:rsidRDefault="007C5447">
            <w:pPr>
              <w:rPr>
                <w:sz w:val="2"/>
                <w:szCs w:val="2"/>
              </w:rPr>
            </w:pPr>
          </w:p>
        </w:tc>
        <w:tc>
          <w:tcPr>
            <w:tcW w:w="1080" w:type="dxa"/>
            <w:shd w:val="clear" w:color="auto" w:fill="F7C9AC"/>
          </w:tcPr>
          <w:p w:rsidR="007C5447" w:rsidRDefault="00F6308C">
            <w:pPr>
              <w:pStyle w:val="TableParagraph"/>
              <w:spacing w:before="14" w:line="230" w:lineRule="atLeast"/>
              <w:ind w:left="311" w:right="94" w:hanging="178"/>
              <w:jc w:val="left"/>
              <w:rPr>
                <w:b/>
                <w:sz w:val="20"/>
              </w:rPr>
            </w:pPr>
            <w:r>
              <w:rPr>
                <w:b/>
                <w:sz w:val="20"/>
              </w:rPr>
              <w:t>Quantum (MU)</w:t>
            </w:r>
          </w:p>
        </w:tc>
        <w:tc>
          <w:tcPr>
            <w:tcW w:w="1178" w:type="dxa"/>
            <w:shd w:val="clear" w:color="auto" w:fill="F7C9AC"/>
          </w:tcPr>
          <w:p w:rsidR="007C5447" w:rsidRDefault="00F6308C">
            <w:pPr>
              <w:pStyle w:val="TableParagraph"/>
              <w:spacing w:before="14" w:line="230" w:lineRule="atLeast"/>
              <w:ind w:left="250" w:right="107" w:hanging="104"/>
              <w:jc w:val="left"/>
              <w:rPr>
                <w:b/>
                <w:sz w:val="20"/>
              </w:rPr>
            </w:pPr>
            <w:r>
              <w:rPr>
                <w:b/>
                <w:sz w:val="20"/>
              </w:rPr>
              <w:t>Total Cost (Rs. Cr)</w:t>
            </w:r>
          </w:p>
        </w:tc>
        <w:tc>
          <w:tcPr>
            <w:tcW w:w="1060" w:type="dxa"/>
            <w:shd w:val="clear" w:color="auto" w:fill="F7C9AC"/>
          </w:tcPr>
          <w:p w:rsidR="007C5447" w:rsidRDefault="00F6308C">
            <w:pPr>
              <w:pStyle w:val="TableParagraph"/>
              <w:spacing w:before="14" w:line="230" w:lineRule="atLeast"/>
              <w:ind w:left="118" w:right="86" w:firstLine="216"/>
              <w:jc w:val="left"/>
              <w:rPr>
                <w:b/>
                <w:sz w:val="20"/>
              </w:rPr>
            </w:pPr>
            <w:r>
              <w:rPr>
                <w:b/>
                <w:sz w:val="20"/>
              </w:rPr>
              <w:t xml:space="preserve">Rate </w:t>
            </w:r>
            <w:r>
              <w:rPr>
                <w:b/>
                <w:w w:val="95"/>
                <w:sz w:val="20"/>
              </w:rPr>
              <w:t>(Rs/kWh)</w:t>
            </w:r>
          </w:p>
        </w:tc>
        <w:tc>
          <w:tcPr>
            <w:tcW w:w="1060" w:type="dxa"/>
            <w:shd w:val="clear" w:color="auto" w:fill="F7C9AC"/>
          </w:tcPr>
          <w:p w:rsidR="007C5447" w:rsidRDefault="00F6308C">
            <w:pPr>
              <w:pStyle w:val="TableParagraph"/>
              <w:spacing w:before="14" w:line="230" w:lineRule="atLeast"/>
              <w:ind w:left="304" w:right="81" w:hanging="178"/>
              <w:jc w:val="left"/>
              <w:rPr>
                <w:b/>
                <w:sz w:val="20"/>
              </w:rPr>
            </w:pPr>
            <w:r>
              <w:rPr>
                <w:b/>
                <w:sz w:val="20"/>
              </w:rPr>
              <w:t>Quantum (MU)</w:t>
            </w:r>
          </w:p>
        </w:tc>
        <w:tc>
          <w:tcPr>
            <w:tcW w:w="1038" w:type="dxa"/>
            <w:shd w:val="clear" w:color="auto" w:fill="F7C9AC"/>
          </w:tcPr>
          <w:p w:rsidR="007C5447" w:rsidRDefault="00F6308C">
            <w:pPr>
              <w:pStyle w:val="TableParagraph"/>
              <w:spacing w:before="14" w:line="230" w:lineRule="atLeast"/>
              <w:ind w:left="182" w:right="137" w:firstLine="148"/>
              <w:jc w:val="left"/>
              <w:rPr>
                <w:b/>
                <w:sz w:val="20"/>
              </w:rPr>
            </w:pPr>
            <w:r>
              <w:rPr>
                <w:b/>
                <w:sz w:val="20"/>
              </w:rPr>
              <w:t>Cost (Rs. Cr)</w:t>
            </w:r>
          </w:p>
        </w:tc>
        <w:tc>
          <w:tcPr>
            <w:tcW w:w="1218" w:type="dxa"/>
            <w:shd w:val="clear" w:color="auto" w:fill="F7C9AC"/>
          </w:tcPr>
          <w:p w:rsidR="007C5447" w:rsidRDefault="00F6308C">
            <w:pPr>
              <w:pStyle w:val="TableParagraph"/>
              <w:spacing w:before="14" w:line="230" w:lineRule="atLeast"/>
              <w:ind w:left="200" w:firstLine="216"/>
              <w:jc w:val="left"/>
              <w:rPr>
                <w:b/>
                <w:sz w:val="20"/>
              </w:rPr>
            </w:pPr>
            <w:r>
              <w:rPr>
                <w:b/>
                <w:sz w:val="20"/>
              </w:rPr>
              <w:t xml:space="preserve">Rate </w:t>
            </w:r>
            <w:r>
              <w:rPr>
                <w:b/>
                <w:w w:val="95"/>
                <w:sz w:val="20"/>
              </w:rPr>
              <w:t>(Rs/kWh)</w:t>
            </w:r>
          </w:p>
        </w:tc>
        <w:tc>
          <w:tcPr>
            <w:tcW w:w="1120" w:type="dxa"/>
            <w:shd w:val="clear" w:color="auto" w:fill="F7C9AC"/>
          </w:tcPr>
          <w:p w:rsidR="007C5447" w:rsidRDefault="00F6308C">
            <w:pPr>
              <w:pStyle w:val="TableParagraph"/>
              <w:spacing w:before="14" w:line="230" w:lineRule="atLeast"/>
              <w:ind w:left="336" w:right="109" w:hanging="178"/>
              <w:jc w:val="left"/>
              <w:rPr>
                <w:b/>
                <w:sz w:val="20"/>
              </w:rPr>
            </w:pPr>
            <w:r>
              <w:rPr>
                <w:b/>
                <w:sz w:val="20"/>
              </w:rPr>
              <w:t>Quantum (MU)</w:t>
            </w:r>
          </w:p>
        </w:tc>
        <w:tc>
          <w:tcPr>
            <w:tcW w:w="1309" w:type="dxa"/>
            <w:shd w:val="clear" w:color="auto" w:fill="F7C9AC"/>
          </w:tcPr>
          <w:p w:rsidR="007C5447" w:rsidRDefault="00F6308C">
            <w:pPr>
              <w:pStyle w:val="TableParagraph"/>
              <w:spacing w:before="14" w:line="230" w:lineRule="atLeast"/>
              <w:ind w:left="321" w:right="167" w:hanging="104"/>
              <w:jc w:val="left"/>
              <w:rPr>
                <w:b/>
                <w:sz w:val="20"/>
              </w:rPr>
            </w:pPr>
            <w:r>
              <w:rPr>
                <w:b/>
                <w:sz w:val="20"/>
              </w:rPr>
              <w:t>Total Cost (Rs. Cr)</w:t>
            </w:r>
          </w:p>
        </w:tc>
        <w:tc>
          <w:tcPr>
            <w:tcW w:w="1235" w:type="dxa"/>
            <w:shd w:val="clear" w:color="auto" w:fill="F7C9AC"/>
          </w:tcPr>
          <w:p w:rsidR="007C5447" w:rsidRDefault="00F6308C">
            <w:pPr>
              <w:pStyle w:val="TableParagraph"/>
              <w:spacing w:before="14" w:line="230" w:lineRule="atLeast"/>
              <w:ind w:left="212" w:firstLine="216"/>
              <w:jc w:val="left"/>
              <w:rPr>
                <w:b/>
                <w:sz w:val="20"/>
              </w:rPr>
            </w:pPr>
            <w:r>
              <w:rPr>
                <w:b/>
                <w:sz w:val="20"/>
              </w:rPr>
              <w:t xml:space="preserve">Rate </w:t>
            </w:r>
            <w:r>
              <w:rPr>
                <w:b/>
                <w:w w:val="95"/>
                <w:sz w:val="20"/>
              </w:rPr>
              <w:t>(Rs/kWh)</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UI</w:t>
            </w:r>
          </w:p>
        </w:tc>
        <w:tc>
          <w:tcPr>
            <w:tcW w:w="1080" w:type="dxa"/>
          </w:tcPr>
          <w:p w:rsidR="007C5447" w:rsidRDefault="00F6308C">
            <w:pPr>
              <w:pStyle w:val="TableParagraph"/>
              <w:spacing w:before="70"/>
              <w:ind w:right="88"/>
              <w:rPr>
                <w:sz w:val="20"/>
              </w:rPr>
            </w:pPr>
            <w:r>
              <w:rPr>
                <w:sz w:val="20"/>
              </w:rPr>
              <w:t>718</w:t>
            </w:r>
          </w:p>
        </w:tc>
        <w:tc>
          <w:tcPr>
            <w:tcW w:w="1178" w:type="dxa"/>
          </w:tcPr>
          <w:p w:rsidR="007C5447" w:rsidRDefault="00F6308C">
            <w:pPr>
              <w:pStyle w:val="TableParagraph"/>
              <w:spacing w:before="70"/>
              <w:ind w:right="89"/>
              <w:rPr>
                <w:sz w:val="20"/>
              </w:rPr>
            </w:pPr>
            <w:r>
              <w:rPr>
                <w:w w:val="95"/>
                <w:sz w:val="20"/>
              </w:rPr>
              <w:t>327.04</w:t>
            </w:r>
          </w:p>
        </w:tc>
        <w:tc>
          <w:tcPr>
            <w:tcW w:w="1060" w:type="dxa"/>
          </w:tcPr>
          <w:p w:rsidR="007C5447" w:rsidRDefault="00F6308C">
            <w:pPr>
              <w:pStyle w:val="TableParagraph"/>
              <w:spacing w:before="70"/>
              <w:ind w:right="91"/>
              <w:rPr>
                <w:sz w:val="20"/>
              </w:rPr>
            </w:pPr>
            <w:r>
              <w:rPr>
                <w:sz w:val="20"/>
              </w:rPr>
              <w:t>4.55</w:t>
            </w:r>
          </w:p>
        </w:tc>
        <w:tc>
          <w:tcPr>
            <w:tcW w:w="1060" w:type="dxa"/>
          </w:tcPr>
          <w:p w:rsidR="007C5447" w:rsidRDefault="00F6308C">
            <w:pPr>
              <w:pStyle w:val="TableParagraph"/>
              <w:spacing w:before="70"/>
              <w:ind w:right="90"/>
              <w:rPr>
                <w:sz w:val="20"/>
              </w:rPr>
            </w:pPr>
            <w:r>
              <w:rPr>
                <w:w w:val="95"/>
                <w:sz w:val="20"/>
              </w:rPr>
              <w:t>718.00</w:t>
            </w:r>
          </w:p>
        </w:tc>
        <w:tc>
          <w:tcPr>
            <w:tcW w:w="1038" w:type="dxa"/>
          </w:tcPr>
          <w:p w:rsidR="007C5447" w:rsidRDefault="00F6308C">
            <w:pPr>
              <w:pStyle w:val="TableParagraph"/>
              <w:spacing w:before="70"/>
              <w:ind w:right="89"/>
              <w:rPr>
                <w:sz w:val="20"/>
              </w:rPr>
            </w:pPr>
            <w:r>
              <w:rPr>
                <w:w w:val="95"/>
                <w:sz w:val="20"/>
              </w:rPr>
              <w:t>327.04</w:t>
            </w:r>
          </w:p>
        </w:tc>
        <w:tc>
          <w:tcPr>
            <w:tcW w:w="1218" w:type="dxa"/>
          </w:tcPr>
          <w:p w:rsidR="007C5447" w:rsidRDefault="00F6308C">
            <w:pPr>
              <w:pStyle w:val="TableParagraph"/>
              <w:spacing w:before="70"/>
              <w:ind w:right="87"/>
              <w:rPr>
                <w:sz w:val="20"/>
              </w:rPr>
            </w:pPr>
            <w:r>
              <w:rPr>
                <w:sz w:val="20"/>
              </w:rPr>
              <w:t>4.55</w:t>
            </w:r>
          </w:p>
        </w:tc>
        <w:tc>
          <w:tcPr>
            <w:tcW w:w="1120" w:type="dxa"/>
          </w:tcPr>
          <w:p w:rsidR="007C5447" w:rsidRDefault="00F6308C">
            <w:pPr>
              <w:pStyle w:val="TableParagraph"/>
              <w:spacing w:before="70"/>
              <w:ind w:right="87"/>
              <w:rPr>
                <w:sz w:val="20"/>
              </w:rPr>
            </w:pPr>
            <w:r>
              <w:rPr>
                <w:w w:val="95"/>
                <w:sz w:val="20"/>
              </w:rPr>
              <w:t>718.00</w:t>
            </w:r>
          </w:p>
        </w:tc>
        <w:tc>
          <w:tcPr>
            <w:tcW w:w="1309" w:type="dxa"/>
          </w:tcPr>
          <w:p w:rsidR="007C5447" w:rsidRDefault="00F6308C">
            <w:pPr>
              <w:pStyle w:val="TableParagraph"/>
              <w:spacing w:before="70"/>
              <w:ind w:right="87"/>
              <w:rPr>
                <w:sz w:val="20"/>
              </w:rPr>
            </w:pPr>
            <w:r>
              <w:rPr>
                <w:w w:val="95"/>
                <w:sz w:val="20"/>
              </w:rPr>
              <w:t>327.04</w:t>
            </w:r>
          </w:p>
        </w:tc>
        <w:tc>
          <w:tcPr>
            <w:tcW w:w="1235" w:type="dxa"/>
          </w:tcPr>
          <w:p w:rsidR="007C5447" w:rsidRDefault="00F6308C">
            <w:pPr>
              <w:pStyle w:val="TableParagraph"/>
              <w:spacing w:before="70"/>
              <w:ind w:right="86"/>
              <w:rPr>
                <w:sz w:val="20"/>
              </w:rPr>
            </w:pPr>
            <w:r>
              <w:rPr>
                <w:sz w:val="20"/>
              </w:rPr>
              <w:t>4.55</w:t>
            </w:r>
          </w:p>
        </w:tc>
      </w:tr>
      <w:tr w:rsidR="007C5447">
        <w:trPr>
          <w:trHeight w:val="371"/>
        </w:trPr>
        <w:tc>
          <w:tcPr>
            <w:tcW w:w="3401" w:type="dxa"/>
            <w:tcBorders>
              <w:left w:val="single" w:sz="8" w:space="0" w:color="000000"/>
            </w:tcBorders>
          </w:tcPr>
          <w:p w:rsidR="007C5447" w:rsidRDefault="00F6308C">
            <w:pPr>
              <w:pStyle w:val="TableParagraph"/>
              <w:spacing w:before="70"/>
              <w:ind w:left="107"/>
              <w:jc w:val="left"/>
              <w:rPr>
                <w:sz w:val="20"/>
              </w:rPr>
            </w:pPr>
            <w:r>
              <w:rPr>
                <w:sz w:val="20"/>
              </w:rPr>
              <w:t>STOA</w:t>
            </w:r>
          </w:p>
        </w:tc>
        <w:tc>
          <w:tcPr>
            <w:tcW w:w="1080" w:type="dxa"/>
          </w:tcPr>
          <w:p w:rsidR="007C5447" w:rsidRDefault="007C5447">
            <w:pPr>
              <w:pStyle w:val="TableParagraph"/>
              <w:jc w:val="left"/>
              <w:rPr>
                <w:sz w:val="20"/>
              </w:rPr>
            </w:pPr>
          </w:p>
        </w:tc>
        <w:tc>
          <w:tcPr>
            <w:tcW w:w="1178"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60" w:type="dxa"/>
          </w:tcPr>
          <w:p w:rsidR="007C5447" w:rsidRDefault="00F6308C">
            <w:pPr>
              <w:pStyle w:val="TableParagraph"/>
              <w:spacing w:before="70"/>
              <w:ind w:right="88"/>
              <w:rPr>
                <w:sz w:val="20"/>
              </w:rPr>
            </w:pPr>
            <w:r>
              <w:rPr>
                <w:w w:val="95"/>
                <w:sz w:val="20"/>
              </w:rPr>
              <w:t>2,203.00</w:t>
            </w:r>
          </w:p>
        </w:tc>
        <w:tc>
          <w:tcPr>
            <w:tcW w:w="1038" w:type="dxa"/>
          </w:tcPr>
          <w:p w:rsidR="007C5447" w:rsidRDefault="00F6308C">
            <w:pPr>
              <w:pStyle w:val="TableParagraph"/>
              <w:spacing w:before="70"/>
              <w:ind w:right="89"/>
              <w:rPr>
                <w:sz w:val="20"/>
              </w:rPr>
            </w:pPr>
            <w:r>
              <w:rPr>
                <w:w w:val="95"/>
                <w:sz w:val="20"/>
              </w:rPr>
              <w:t>983.00</w:t>
            </w:r>
          </w:p>
        </w:tc>
        <w:tc>
          <w:tcPr>
            <w:tcW w:w="1218" w:type="dxa"/>
          </w:tcPr>
          <w:p w:rsidR="007C5447" w:rsidRDefault="00F6308C">
            <w:pPr>
              <w:pStyle w:val="TableParagraph"/>
              <w:spacing w:before="70"/>
              <w:ind w:right="87"/>
              <w:rPr>
                <w:sz w:val="20"/>
              </w:rPr>
            </w:pPr>
            <w:r>
              <w:rPr>
                <w:sz w:val="20"/>
              </w:rPr>
              <w:t>4.46</w:t>
            </w:r>
          </w:p>
        </w:tc>
        <w:tc>
          <w:tcPr>
            <w:tcW w:w="1120" w:type="dxa"/>
          </w:tcPr>
          <w:p w:rsidR="007C5447" w:rsidRDefault="00F6308C">
            <w:pPr>
              <w:pStyle w:val="TableParagraph"/>
              <w:spacing w:before="70"/>
              <w:ind w:right="85"/>
              <w:rPr>
                <w:sz w:val="20"/>
              </w:rPr>
            </w:pPr>
            <w:r>
              <w:rPr>
                <w:w w:val="95"/>
                <w:sz w:val="20"/>
              </w:rPr>
              <w:t>2,203.00</w:t>
            </w:r>
          </w:p>
        </w:tc>
        <w:tc>
          <w:tcPr>
            <w:tcW w:w="1309" w:type="dxa"/>
          </w:tcPr>
          <w:p w:rsidR="007C5447" w:rsidRDefault="00F6308C">
            <w:pPr>
              <w:pStyle w:val="TableParagraph"/>
              <w:spacing w:before="70"/>
              <w:ind w:right="87"/>
              <w:rPr>
                <w:sz w:val="20"/>
              </w:rPr>
            </w:pPr>
            <w:r>
              <w:rPr>
                <w:w w:val="95"/>
                <w:sz w:val="20"/>
              </w:rPr>
              <w:t>983.00</w:t>
            </w:r>
          </w:p>
        </w:tc>
        <w:tc>
          <w:tcPr>
            <w:tcW w:w="1235" w:type="dxa"/>
          </w:tcPr>
          <w:p w:rsidR="007C5447" w:rsidRDefault="00F6308C">
            <w:pPr>
              <w:pStyle w:val="TableParagraph"/>
              <w:spacing w:before="70"/>
              <w:ind w:right="86"/>
              <w:rPr>
                <w:sz w:val="20"/>
              </w:rPr>
            </w:pPr>
            <w:r>
              <w:rPr>
                <w:sz w:val="20"/>
              </w:rPr>
              <w:t>4.46</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sz w:val="20"/>
              </w:rPr>
            </w:pPr>
            <w:r>
              <w:rPr>
                <w:sz w:val="20"/>
              </w:rPr>
              <w:t>NTPC NVVN (Solar)</w:t>
            </w:r>
          </w:p>
        </w:tc>
        <w:tc>
          <w:tcPr>
            <w:tcW w:w="1080" w:type="dxa"/>
          </w:tcPr>
          <w:p w:rsidR="007C5447" w:rsidRDefault="00F6308C">
            <w:pPr>
              <w:pStyle w:val="TableParagraph"/>
              <w:spacing w:before="70"/>
              <w:ind w:right="88"/>
              <w:rPr>
                <w:sz w:val="20"/>
              </w:rPr>
            </w:pPr>
            <w:r>
              <w:rPr>
                <w:sz w:val="20"/>
              </w:rPr>
              <w:t>694</w:t>
            </w:r>
          </w:p>
        </w:tc>
        <w:tc>
          <w:tcPr>
            <w:tcW w:w="1178" w:type="dxa"/>
          </w:tcPr>
          <w:p w:rsidR="007C5447" w:rsidRDefault="00F6308C">
            <w:pPr>
              <w:pStyle w:val="TableParagraph"/>
              <w:spacing w:before="70"/>
              <w:ind w:right="89"/>
              <w:rPr>
                <w:sz w:val="20"/>
              </w:rPr>
            </w:pPr>
            <w:r>
              <w:rPr>
                <w:w w:val="95"/>
                <w:sz w:val="20"/>
              </w:rPr>
              <w:t>262.49</w:t>
            </w:r>
          </w:p>
        </w:tc>
        <w:tc>
          <w:tcPr>
            <w:tcW w:w="1060" w:type="dxa"/>
          </w:tcPr>
          <w:p w:rsidR="007C5447" w:rsidRDefault="00F6308C">
            <w:pPr>
              <w:pStyle w:val="TableParagraph"/>
              <w:spacing w:before="70"/>
              <w:ind w:right="91"/>
              <w:rPr>
                <w:sz w:val="20"/>
              </w:rPr>
            </w:pPr>
            <w:r>
              <w:rPr>
                <w:sz w:val="20"/>
              </w:rPr>
              <w:t>3.78</w:t>
            </w:r>
          </w:p>
        </w:tc>
        <w:tc>
          <w:tcPr>
            <w:tcW w:w="1060" w:type="dxa"/>
          </w:tcPr>
          <w:p w:rsidR="007C5447" w:rsidRDefault="007C5447">
            <w:pPr>
              <w:pStyle w:val="TableParagraph"/>
              <w:jc w:val="left"/>
              <w:rPr>
                <w:sz w:val="20"/>
              </w:rPr>
            </w:pPr>
          </w:p>
        </w:tc>
        <w:tc>
          <w:tcPr>
            <w:tcW w:w="1038" w:type="dxa"/>
          </w:tcPr>
          <w:p w:rsidR="007C5447" w:rsidRDefault="007C5447">
            <w:pPr>
              <w:pStyle w:val="TableParagraph"/>
              <w:jc w:val="left"/>
              <w:rPr>
                <w:sz w:val="20"/>
              </w:rPr>
            </w:pPr>
          </w:p>
        </w:tc>
        <w:tc>
          <w:tcPr>
            <w:tcW w:w="1218" w:type="dxa"/>
          </w:tcPr>
          <w:p w:rsidR="007C5447" w:rsidRDefault="007C5447">
            <w:pPr>
              <w:pStyle w:val="TableParagraph"/>
              <w:jc w:val="left"/>
              <w:rPr>
                <w:sz w:val="20"/>
              </w:rPr>
            </w:pPr>
          </w:p>
        </w:tc>
        <w:tc>
          <w:tcPr>
            <w:tcW w:w="1120" w:type="dxa"/>
          </w:tcPr>
          <w:p w:rsidR="007C5447" w:rsidRDefault="00F6308C">
            <w:pPr>
              <w:pStyle w:val="TableParagraph"/>
              <w:spacing w:before="70"/>
              <w:ind w:right="83"/>
              <w:rPr>
                <w:sz w:val="20"/>
              </w:rPr>
            </w:pPr>
            <w:r>
              <w:rPr>
                <w:w w:val="99"/>
                <w:sz w:val="20"/>
              </w:rPr>
              <w:t>-</w:t>
            </w:r>
          </w:p>
        </w:tc>
        <w:tc>
          <w:tcPr>
            <w:tcW w:w="1309" w:type="dxa"/>
          </w:tcPr>
          <w:p w:rsidR="007C5447" w:rsidRDefault="00F6308C">
            <w:pPr>
              <w:pStyle w:val="TableParagraph"/>
              <w:spacing w:before="70"/>
              <w:ind w:right="83"/>
              <w:rPr>
                <w:sz w:val="20"/>
              </w:rPr>
            </w:pPr>
            <w:r>
              <w:rPr>
                <w:w w:val="99"/>
                <w:sz w:val="20"/>
              </w:rPr>
              <w:t>-</w:t>
            </w: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b/>
                <w:sz w:val="20"/>
              </w:rPr>
            </w:pPr>
            <w:r>
              <w:rPr>
                <w:b/>
                <w:sz w:val="20"/>
              </w:rPr>
              <w:t>Total Other Sources</w:t>
            </w:r>
          </w:p>
        </w:tc>
        <w:tc>
          <w:tcPr>
            <w:tcW w:w="1080" w:type="dxa"/>
          </w:tcPr>
          <w:p w:rsidR="007C5447" w:rsidRDefault="00F6308C">
            <w:pPr>
              <w:pStyle w:val="TableParagraph"/>
              <w:spacing w:before="70"/>
              <w:ind w:right="91"/>
              <w:rPr>
                <w:b/>
                <w:sz w:val="20"/>
              </w:rPr>
            </w:pPr>
            <w:r>
              <w:rPr>
                <w:b/>
                <w:w w:val="95"/>
                <w:sz w:val="20"/>
              </w:rPr>
              <w:t>9,709.00</w:t>
            </w:r>
          </w:p>
        </w:tc>
        <w:tc>
          <w:tcPr>
            <w:tcW w:w="1178" w:type="dxa"/>
          </w:tcPr>
          <w:p w:rsidR="007C5447" w:rsidRDefault="00F6308C">
            <w:pPr>
              <w:pStyle w:val="TableParagraph"/>
              <w:spacing w:before="70"/>
              <w:ind w:right="87"/>
              <w:rPr>
                <w:b/>
                <w:sz w:val="20"/>
              </w:rPr>
            </w:pPr>
            <w:r>
              <w:rPr>
                <w:b/>
                <w:w w:val="95"/>
                <w:sz w:val="20"/>
              </w:rPr>
              <w:t>4,368.77</w:t>
            </w:r>
          </w:p>
        </w:tc>
        <w:tc>
          <w:tcPr>
            <w:tcW w:w="1060" w:type="dxa"/>
          </w:tcPr>
          <w:p w:rsidR="007C5447" w:rsidRDefault="00F6308C">
            <w:pPr>
              <w:pStyle w:val="TableParagraph"/>
              <w:spacing w:before="70"/>
              <w:ind w:right="91"/>
              <w:rPr>
                <w:b/>
                <w:sz w:val="20"/>
              </w:rPr>
            </w:pPr>
            <w:r>
              <w:rPr>
                <w:b/>
                <w:sz w:val="20"/>
              </w:rPr>
              <w:t>4.50</w:t>
            </w:r>
          </w:p>
        </w:tc>
        <w:tc>
          <w:tcPr>
            <w:tcW w:w="1060" w:type="dxa"/>
          </w:tcPr>
          <w:p w:rsidR="007C5447" w:rsidRDefault="00F6308C">
            <w:pPr>
              <w:pStyle w:val="TableParagraph"/>
              <w:spacing w:before="70"/>
              <w:ind w:right="88"/>
              <w:rPr>
                <w:b/>
                <w:sz w:val="20"/>
              </w:rPr>
            </w:pPr>
            <w:r>
              <w:rPr>
                <w:b/>
                <w:w w:val="95"/>
                <w:sz w:val="20"/>
              </w:rPr>
              <w:t>9,821.00</w:t>
            </w:r>
          </w:p>
        </w:tc>
        <w:tc>
          <w:tcPr>
            <w:tcW w:w="1038" w:type="dxa"/>
          </w:tcPr>
          <w:p w:rsidR="007C5447" w:rsidRDefault="00F6308C">
            <w:pPr>
              <w:pStyle w:val="TableParagraph"/>
              <w:spacing w:before="70"/>
              <w:ind w:right="87"/>
              <w:rPr>
                <w:b/>
                <w:sz w:val="20"/>
              </w:rPr>
            </w:pPr>
            <w:r>
              <w:rPr>
                <w:b/>
                <w:w w:val="95"/>
                <w:sz w:val="20"/>
              </w:rPr>
              <w:t>4,602.04</w:t>
            </w:r>
          </w:p>
        </w:tc>
        <w:tc>
          <w:tcPr>
            <w:tcW w:w="1218" w:type="dxa"/>
          </w:tcPr>
          <w:p w:rsidR="007C5447" w:rsidRDefault="00F6308C">
            <w:pPr>
              <w:pStyle w:val="TableParagraph"/>
              <w:spacing w:before="70"/>
              <w:ind w:right="87"/>
              <w:rPr>
                <w:b/>
                <w:sz w:val="20"/>
              </w:rPr>
            </w:pPr>
            <w:r>
              <w:rPr>
                <w:b/>
                <w:sz w:val="20"/>
              </w:rPr>
              <w:t>4.69</w:t>
            </w:r>
          </w:p>
        </w:tc>
        <w:tc>
          <w:tcPr>
            <w:tcW w:w="1120" w:type="dxa"/>
          </w:tcPr>
          <w:p w:rsidR="007C5447" w:rsidRDefault="00F6308C">
            <w:pPr>
              <w:pStyle w:val="TableParagraph"/>
              <w:spacing w:before="70"/>
              <w:ind w:right="85"/>
              <w:rPr>
                <w:b/>
                <w:sz w:val="20"/>
              </w:rPr>
            </w:pPr>
            <w:r>
              <w:rPr>
                <w:b/>
                <w:w w:val="95"/>
                <w:sz w:val="20"/>
              </w:rPr>
              <w:t>9,821.00</w:t>
            </w:r>
          </w:p>
        </w:tc>
        <w:tc>
          <w:tcPr>
            <w:tcW w:w="1309" w:type="dxa"/>
          </w:tcPr>
          <w:p w:rsidR="007C5447" w:rsidRDefault="00F6308C">
            <w:pPr>
              <w:pStyle w:val="TableParagraph"/>
              <w:spacing w:before="70"/>
              <w:ind w:right="85"/>
              <w:rPr>
                <w:b/>
                <w:sz w:val="20"/>
              </w:rPr>
            </w:pPr>
            <w:r>
              <w:rPr>
                <w:b/>
                <w:w w:val="95"/>
                <w:sz w:val="20"/>
              </w:rPr>
              <w:t>4,602.04</w:t>
            </w:r>
          </w:p>
        </w:tc>
        <w:tc>
          <w:tcPr>
            <w:tcW w:w="1235" w:type="dxa"/>
          </w:tcPr>
          <w:p w:rsidR="007C5447" w:rsidRDefault="00F6308C">
            <w:pPr>
              <w:pStyle w:val="TableParagraph"/>
              <w:spacing w:before="70"/>
              <w:ind w:right="86"/>
              <w:rPr>
                <w:b/>
                <w:sz w:val="20"/>
              </w:rPr>
            </w:pPr>
            <w:r>
              <w:rPr>
                <w:b/>
                <w:sz w:val="20"/>
              </w:rPr>
              <w:t>4.69</w:t>
            </w:r>
          </w:p>
        </w:tc>
      </w:tr>
      <w:tr w:rsidR="007C5447">
        <w:trPr>
          <w:trHeight w:val="371"/>
        </w:trPr>
        <w:tc>
          <w:tcPr>
            <w:tcW w:w="3401" w:type="dxa"/>
            <w:tcBorders>
              <w:left w:val="single" w:sz="8" w:space="0" w:color="000000"/>
            </w:tcBorders>
          </w:tcPr>
          <w:p w:rsidR="007C5447" w:rsidRDefault="00F6308C">
            <w:pPr>
              <w:pStyle w:val="TableParagraph"/>
              <w:spacing w:before="70"/>
              <w:ind w:left="107"/>
              <w:jc w:val="left"/>
              <w:rPr>
                <w:b/>
                <w:sz w:val="20"/>
              </w:rPr>
            </w:pPr>
            <w:r>
              <w:rPr>
                <w:b/>
                <w:sz w:val="20"/>
              </w:rPr>
              <w:t>Gross Power Purchase</w:t>
            </w:r>
          </w:p>
        </w:tc>
        <w:tc>
          <w:tcPr>
            <w:tcW w:w="1080" w:type="dxa"/>
          </w:tcPr>
          <w:p w:rsidR="007C5447" w:rsidRDefault="00F6308C">
            <w:pPr>
              <w:pStyle w:val="TableParagraph"/>
              <w:spacing w:before="70"/>
              <w:ind w:right="93"/>
              <w:rPr>
                <w:b/>
                <w:sz w:val="20"/>
              </w:rPr>
            </w:pPr>
            <w:r>
              <w:rPr>
                <w:b/>
                <w:w w:val="95"/>
                <w:sz w:val="20"/>
              </w:rPr>
              <w:t>66,069.46</w:t>
            </w:r>
          </w:p>
        </w:tc>
        <w:tc>
          <w:tcPr>
            <w:tcW w:w="1178" w:type="dxa"/>
          </w:tcPr>
          <w:p w:rsidR="007C5447" w:rsidRDefault="00F6308C">
            <w:pPr>
              <w:pStyle w:val="TableParagraph"/>
              <w:spacing w:before="70"/>
              <w:ind w:right="90"/>
              <w:rPr>
                <w:b/>
                <w:sz w:val="20"/>
              </w:rPr>
            </w:pPr>
            <w:r>
              <w:rPr>
                <w:b/>
                <w:w w:val="95"/>
                <w:sz w:val="20"/>
              </w:rPr>
              <w:t>21,858.34</w:t>
            </w:r>
          </w:p>
        </w:tc>
        <w:tc>
          <w:tcPr>
            <w:tcW w:w="1060" w:type="dxa"/>
          </w:tcPr>
          <w:p w:rsidR="007C5447" w:rsidRDefault="00F6308C">
            <w:pPr>
              <w:pStyle w:val="TableParagraph"/>
              <w:spacing w:before="70"/>
              <w:ind w:right="91"/>
              <w:rPr>
                <w:b/>
                <w:sz w:val="20"/>
              </w:rPr>
            </w:pPr>
            <w:r>
              <w:rPr>
                <w:b/>
                <w:sz w:val="20"/>
              </w:rPr>
              <w:t>3.31</w:t>
            </w:r>
          </w:p>
        </w:tc>
        <w:tc>
          <w:tcPr>
            <w:tcW w:w="1060" w:type="dxa"/>
          </w:tcPr>
          <w:p w:rsidR="007C5447" w:rsidRDefault="00F6308C">
            <w:pPr>
              <w:pStyle w:val="TableParagraph"/>
              <w:spacing w:before="70"/>
              <w:ind w:right="91"/>
              <w:rPr>
                <w:b/>
                <w:sz w:val="20"/>
              </w:rPr>
            </w:pPr>
            <w:r>
              <w:rPr>
                <w:b/>
                <w:w w:val="95"/>
                <w:sz w:val="20"/>
              </w:rPr>
              <w:t>69,345.44</w:t>
            </w:r>
          </w:p>
        </w:tc>
        <w:tc>
          <w:tcPr>
            <w:tcW w:w="1038" w:type="dxa"/>
          </w:tcPr>
          <w:p w:rsidR="007C5447" w:rsidRDefault="00F6308C">
            <w:pPr>
              <w:pStyle w:val="TableParagraph"/>
              <w:spacing w:before="70"/>
              <w:ind w:right="89"/>
              <w:rPr>
                <w:b/>
                <w:sz w:val="20"/>
              </w:rPr>
            </w:pPr>
            <w:r>
              <w:rPr>
                <w:b/>
                <w:w w:val="95"/>
                <w:sz w:val="20"/>
              </w:rPr>
              <w:t>26,041.67</w:t>
            </w:r>
          </w:p>
        </w:tc>
        <w:tc>
          <w:tcPr>
            <w:tcW w:w="1218" w:type="dxa"/>
          </w:tcPr>
          <w:p w:rsidR="007C5447" w:rsidRDefault="00F6308C">
            <w:pPr>
              <w:pStyle w:val="TableParagraph"/>
              <w:spacing w:before="70"/>
              <w:ind w:right="87"/>
              <w:rPr>
                <w:b/>
                <w:sz w:val="20"/>
              </w:rPr>
            </w:pPr>
            <w:r>
              <w:rPr>
                <w:b/>
                <w:sz w:val="20"/>
              </w:rPr>
              <w:t>3.76</w:t>
            </w:r>
          </w:p>
        </w:tc>
        <w:tc>
          <w:tcPr>
            <w:tcW w:w="1120" w:type="dxa"/>
          </w:tcPr>
          <w:p w:rsidR="007C5447" w:rsidRDefault="00F6308C">
            <w:pPr>
              <w:pStyle w:val="TableParagraph"/>
              <w:spacing w:before="70"/>
              <w:ind w:right="87"/>
              <w:rPr>
                <w:b/>
                <w:sz w:val="20"/>
              </w:rPr>
            </w:pPr>
            <w:r>
              <w:rPr>
                <w:b/>
                <w:w w:val="95"/>
                <w:sz w:val="20"/>
              </w:rPr>
              <w:t>66,608.70</w:t>
            </w:r>
          </w:p>
        </w:tc>
        <w:tc>
          <w:tcPr>
            <w:tcW w:w="1309" w:type="dxa"/>
          </w:tcPr>
          <w:p w:rsidR="007C5447" w:rsidRDefault="00F6308C">
            <w:pPr>
              <w:pStyle w:val="TableParagraph"/>
              <w:spacing w:before="70"/>
              <w:ind w:right="87"/>
              <w:rPr>
                <w:b/>
                <w:sz w:val="20"/>
              </w:rPr>
            </w:pPr>
            <w:r>
              <w:rPr>
                <w:b/>
                <w:w w:val="95"/>
                <w:sz w:val="20"/>
              </w:rPr>
              <w:t>21,474.96</w:t>
            </w:r>
          </w:p>
        </w:tc>
        <w:tc>
          <w:tcPr>
            <w:tcW w:w="1235" w:type="dxa"/>
          </w:tcPr>
          <w:p w:rsidR="007C5447" w:rsidRDefault="00F6308C">
            <w:pPr>
              <w:pStyle w:val="TableParagraph"/>
              <w:spacing w:before="70"/>
              <w:ind w:right="84"/>
              <w:rPr>
                <w:b/>
                <w:sz w:val="20"/>
              </w:rPr>
            </w:pPr>
            <w:r>
              <w:rPr>
                <w:b/>
                <w:sz w:val="20"/>
              </w:rPr>
              <w:t>3.22</w:t>
            </w: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b/>
                <w:sz w:val="20"/>
              </w:rPr>
            </w:pPr>
            <w:r>
              <w:rPr>
                <w:b/>
                <w:sz w:val="20"/>
              </w:rPr>
              <w:t>PGCIL Charges</w:t>
            </w:r>
          </w:p>
        </w:tc>
        <w:tc>
          <w:tcPr>
            <w:tcW w:w="1080" w:type="dxa"/>
          </w:tcPr>
          <w:p w:rsidR="007C5447" w:rsidRDefault="007C5447">
            <w:pPr>
              <w:pStyle w:val="TableParagraph"/>
              <w:jc w:val="left"/>
              <w:rPr>
                <w:sz w:val="20"/>
              </w:rPr>
            </w:pPr>
          </w:p>
        </w:tc>
        <w:tc>
          <w:tcPr>
            <w:tcW w:w="1178"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38" w:type="dxa"/>
          </w:tcPr>
          <w:p w:rsidR="007C5447" w:rsidRDefault="007C5447">
            <w:pPr>
              <w:pStyle w:val="TableParagraph"/>
              <w:jc w:val="left"/>
              <w:rPr>
                <w:sz w:val="20"/>
              </w:rPr>
            </w:pPr>
          </w:p>
        </w:tc>
        <w:tc>
          <w:tcPr>
            <w:tcW w:w="1218" w:type="dxa"/>
          </w:tcPr>
          <w:p w:rsidR="007C5447" w:rsidRDefault="007C5447">
            <w:pPr>
              <w:pStyle w:val="TableParagraph"/>
              <w:jc w:val="left"/>
              <w:rPr>
                <w:sz w:val="20"/>
              </w:rPr>
            </w:pPr>
          </w:p>
        </w:tc>
        <w:tc>
          <w:tcPr>
            <w:tcW w:w="1120" w:type="dxa"/>
          </w:tcPr>
          <w:p w:rsidR="007C5447" w:rsidRDefault="007C5447">
            <w:pPr>
              <w:pStyle w:val="TableParagraph"/>
              <w:jc w:val="left"/>
              <w:rPr>
                <w:sz w:val="20"/>
              </w:rPr>
            </w:pPr>
          </w:p>
        </w:tc>
        <w:tc>
          <w:tcPr>
            <w:tcW w:w="1309" w:type="dxa"/>
          </w:tcPr>
          <w:p w:rsidR="007C5447" w:rsidRDefault="007C5447">
            <w:pPr>
              <w:pStyle w:val="TableParagraph"/>
              <w:jc w:val="left"/>
              <w:rPr>
                <w:sz w:val="20"/>
              </w:rPr>
            </w:pP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i/>
                <w:sz w:val="20"/>
              </w:rPr>
            </w:pPr>
            <w:r>
              <w:rPr>
                <w:i/>
                <w:sz w:val="20"/>
              </w:rPr>
              <w:t>PGCIL SR and ER wheeling</w:t>
            </w:r>
          </w:p>
        </w:tc>
        <w:tc>
          <w:tcPr>
            <w:tcW w:w="1080" w:type="dxa"/>
          </w:tcPr>
          <w:p w:rsidR="007C5447" w:rsidRDefault="007C5447">
            <w:pPr>
              <w:pStyle w:val="TableParagraph"/>
              <w:jc w:val="left"/>
              <w:rPr>
                <w:sz w:val="20"/>
              </w:rPr>
            </w:pPr>
          </w:p>
        </w:tc>
        <w:tc>
          <w:tcPr>
            <w:tcW w:w="1178" w:type="dxa"/>
          </w:tcPr>
          <w:p w:rsidR="007C5447" w:rsidRDefault="00F6308C">
            <w:pPr>
              <w:pStyle w:val="TableParagraph"/>
              <w:spacing w:before="70"/>
              <w:ind w:right="89"/>
              <w:rPr>
                <w:sz w:val="20"/>
              </w:rPr>
            </w:pPr>
            <w:r>
              <w:rPr>
                <w:w w:val="95"/>
                <w:sz w:val="20"/>
              </w:rPr>
              <w:t>524.12</w:t>
            </w:r>
          </w:p>
        </w:tc>
        <w:tc>
          <w:tcPr>
            <w:tcW w:w="1060"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38" w:type="dxa"/>
          </w:tcPr>
          <w:p w:rsidR="007C5447" w:rsidRDefault="00F6308C">
            <w:pPr>
              <w:pStyle w:val="TableParagraph"/>
              <w:spacing w:before="70"/>
              <w:ind w:right="89"/>
              <w:rPr>
                <w:sz w:val="20"/>
              </w:rPr>
            </w:pPr>
            <w:r>
              <w:rPr>
                <w:w w:val="95"/>
                <w:sz w:val="20"/>
              </w:rPr>
              <w:t>330.00</w:t>
            </w:r>
          </w:p>
        </w:tc>
        <w:tc>
          <w:tcPr>
            <w:tcW w:w="1218" w:type="dxa"/>
          </w:tcPr>
          <w:p w:rsidR="007C5447" w:rsidRDefault="007C5447">
            <w:pPr>
              <w:pStyle w:val="TableParagraph"/>
              <w:jc w:val="left"/>
              <w:rPr>
                <w:sz w:val="20"/>
              </w:rPr>
            </w:pPr>
          </w:p>
        </w:tc>
        <w:tc>
          <w:tcPr>
            <w:tcW w:w="1120" w:type="dxa"/>
          </w:tcPr>
          <w:p w:rsidR="007C5447" w:rsidRDefault="007C5447">
            <w:pPr>
              <w:pStyle w:val="TableParagraph"/>
              <w:jc w:val="left"/>
              <w:rPr>
                <w:sz w:val="20"/>
              </w:rPr>
            </w:pPr>
          </w:p>
        </w:tc>
        <w:tc>
          <w:tcPr>
            <w:tcW w:w="1309" w:type="dxa"/>
          </w:tcPr>
          <w:p w:rsidR="007C5447" w:rsidRDefault="00F6308C">
            <w:pPr>
              <w:pStyle w:val="TableParagraph"/>
              <w:spacing w:before="70"/>
              <w:ind w:right="87"/>
              <w:rPr>
                <w:sz w:val="20"/>
              </w:rPr>
            </w:pPr>
            <w:r>
              <w:rPr>
                <w:w w:val="95"/>
                <w:sz w:val="20"/>
              </w:rPr>
              <w:t>330.00</w:t>
            </w:r>
          </w:p>
        </w:tc>
        <w:tc>
          <w:tcPr>
            <w:tcW w:w="1235" w:type="dxa"/>
          </w:tcPr>
          <w:p w:rsidR="007C5447" w:rsidRDefault="007C5447">
            <w:pPr>
              <w:pStyle w:val="TableParagraph"/>
              <w:jc w:val="left"/>
              <w:rPr>
                <w:sz w:val="20"/>
              </w:rPr>
            </w:pPr>
          </w:p>
        </w:tc>
      </w:tr>
      <w:tr w:rsidR="007C5447">
        <w:trPr>
          <w:trHeight w:val="371"/>
        </w:trPr>
        <w:tc>
          <w:tcPr>
            <w:tcW w:w="3401" w:type="dxa"/>
            <w:tcBorders>
              <w:left w:val="single" w:sz="8" w:space="0" w:color="000000"/>
            </w:tcBorders>
          </w:tcPr>
          <w:p w:rsidR="007C5447" w:rsidRDefault="00F6308C">
            <w:pPr>
              <w:pStyle w:val="TableParagraph"/>
              <w:spacing w:before="70"/>
              <w:ind w:left="107"/>
              <w:jc w:val="left"/>
              <w:rPr>
                <w:i/>
                <w:sz w:val="20"/>
              </w:rPr>
            </w:pPr>
            <w:r>
              <w:rPr>
                <w:i/>
                <w:sz w:val="20"/>
              </w:rPr>
              <w:t>PGCIL- Reactive energy</w:t>
            </w:r>
          </w:p>
        </w:tc>
        <w:tc>
          <w:tcPr>
            <w:tcW w:w="1080" w:type="dxa"/>
          </w:tcPr>
          <w:p w:rsidR="007C5447" w:rsidRDefault="007C5447">
            <w:pPr>
              <w:pStyle w:val="TableParagraph"/>
              <w:jc w:val="left"/>
              <w:rPr>
                <w:sz w:val="20"/>
              </w:rPr>
            </w:pPr>
          </w:p>
        </w:tc>
        <w:tc>
          <w:tcPr>
            <w:tcW w:w="1178" w:type="dxa"/>
          </w:tcPr>
          <w:p w:rsidR="007C5447" w:rsidRDefault="00F6308C">
            <w:pPr>
              <w:pStyle w:val="TableParagraph"/>
              <w:spacing w:before="70"/>
              <w:ind w:right="89"/>
              <w:rPr>
                <w:sz w:val="20"/>
              </w:rPr>
            </w:pPr>
            <w:r>
              <w:rPr>
                <w:w w:val="95"/>
                <w:sz w:val="20"/>
              </w:rPr>
              <w:t>16.98</w:t>
            </w:r>
          </w:p>
        </w:tc>
        <w:tc>
          <w:tcPr>
            <w:tcW w:w="1060"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38" w:type="dxa"/>
          </w:tcPr>
          <w:p w:rsidR="007C5447" w:rsidRDefault="007C5447">
            <w:pPr>
              <w:pStyle w:val="TableParagraph"/>
              <w:jc w:val="left"/>
              <w:rPr>
                <w:sz w:val="20"/>
              </w:rPr>
            </w:pPr>
          </w:p>
        </w:tc>
        <w:tc>
          <w:tcPr>
            <w:tcW w:w="1218" w:type="dxa"/>
          </w:tcPr>
          <w:p w:rsidR="007C5447" w:rsidRDefault="007C5447">
            <w:pPr>
              <w:pStyle w:val="TableParagraph"/>
              <w:jc w:val="left"/>
              <w:rPr>
                <w:sz w:val="20"/>
              </w:rPr>
            </w:pPr>
          </w:p>
        </w:tc>
        <w:tc>
          <w:tcPr>
            <w:tcW w:w="1120" w:type="dxa"/>
          </w:tcPr>
          <w:p w:rsidR="007C5447" w:rsidRDefault="007C5447">
            <w:pPr>
              <w:pStyle w:val="TableParagraph"/>
              <w:jc w:val="left"/>
              <w:rPr>
                <w:sz w:val="20"/>
              </w:rPr>
            </w:pPr>
          </w:p>
        </w:tc>
        <w:tc>
          <w:tcPr>
            <w:tcW w:w="1309" w:type="dxa"/>
          </w:tcPr>
          <w:p w:rsidR="007C5447" w:rsidRDefault="007C5447">
            <w:pPr>
              <w:pStyle w:val="TableParagraph"/>
              <w:jc w:val="left"/>
              <w:rPr>
                <w:sz w:val="20"/>
              </w:rPr>
            </w:pP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b/>
                <w:sz w:val="20"/>
              </w:rPr>
            </w:pPr>
            <w:r>
              <w:rPr>
                <w:b/>
                <w:sz w:val="20"/>
              </w:rPr>
              <w:t>Total PGCIL charges</w:t>
            </w:r>
          </w:p>
        </w:tc>
        <w:tc>
          <w:tcPr>
            <w:tcW w:w="1080" w:type="dxa"/>
          </w:tcPr>
          <w:p w:rsidR="007C5447" w:rsidRDefault="00F6308C">
            <w:pPr>
              <w:pStyle w:val="TableParagraph"/>
              <w:spacing w:before="70"/>
              <w:ind w:right="91"/>
              <w:rPr>
                <w:b/>
                <w:sz w:val="20"/>
              </w:rPr>
            </w:pPr>
            <w:r>
              <w:rPr>
                <w:b/>
                <w:w w:val="99"/>
                <w:sz w:val="20"/>
              </w:rPr>
              <w:t>-</w:t>
            </w:r>
          </w:p>
        </w:tc>
        <w:tc>
          <w:tcPr>
            <w:tcW w:w="1178" w:type="dxa"/>
          </w:tcPr>
          <w:p w:rsidR="007C5447" w:rsidRDefault="00F6308C">
            <w:pPr>
              <w:pStyle w:val="TableParagraph"/>
              <w:spacing w:before="70"/>
              <w:ind w:right="89"/>
              <w:rPr>
                <w:b/>
                <w:sz w:val="20"/>
              </w:rPr>
            </w:pPr>
            <w:r>
              <w:rPr>
                <w:b/>
                <w:w w:val="95"/>
                <w:sz w:val="20"/>
              </w:rPr>
              <w:t>541.10</w:t>
            </w:r>
          </w:p>
        </w:tc>
        <w:tc>
          <w:tcPr>
            <w:tcW w:w="1060" w:type="dxa"/>
          </w:tcPr>
          <w:p w:rsidR="007C5447" w:rsidRDefault="007C5447">
            <w:pPr>
              <w:pStyle w:val="TableParagraph"/>
              <w:jc w:val="left"/>
              <w:rPr>
                <w:sz w:val="20"/>
              </w:rPr>
            </w:pPr>
          </w:p>
        </w:tc>
        <w:tc>
          <w:tcPr>
            <w:tcW w:w="1060" w:type="dxa"/>
          </w:tcPr>
          <w:p w:rsidR="007C5447" w:rsidRDefault="00F6308C">
            <w:pPr>
              <w:pStyle w:val="TableParagraph"/>
              <w:spacing w:before="70"/>
              <w:ind w:right="89"/>
              <w:rPr>
                <w:b/>
                <w:sz w:val="20"/>
              </w:rPr>
            </w:pPr>
            <w:r>
              <w:rPr>
                <w:b/>
                <w:w w:val="99"/>
                <w:sz w:val="20"/>
              </w:rPr>
              <w:t>-</w:t>
            </w:r>
          </w:p>
        </w:tc>
        <w:tc>
          <w:tcPr>
            <w:tcW w:w="1038" w:type="dxa"/>
          </w:tcPr>
          <w:p w:rsidR="007C5447" w:rsidRDefault="00F6308C">
            <w:pPr>
              <w:pStyle w:val="TableParagraph"/>
              <w:spacing w:before="70"/>
              <w:ind w:right="89"/>
              <w:rPr>
                <w:b/>
                <w:sz w:val="20"/>
              </w:rPr>
            </w:pPr>
            <w:r>
              <w:rPr>
                <w:b/>
                <w:w w:val="95"/>
                <w:sz w:val="20"/>
              </w:rPr>
              <w:t>330.00</w:t>
            </w:r>
          </w:p>
        </w:tc>
        <w:tc>
          <w:tcPr>
            <w:tcW w:w="1218" w:type="dxa"/>
          </w:tcPr>
          <w:p w:rsidR="007C5447" w:rsidRDefault="007C5447">
            <w:pPr>
              <w:pStyle w:val="TableParagraph"/>
              <w:jc w:val="left"/>
              <w:rPr>
                <w:sz w:val="20"/>
              </w:rPr>
            </w:pPr>
          </w:p>
        </w:tc>
        <w:tc>
          <w:tcPr>
            <w:tcW w:w="1120" w:type="dxa"/>
          </w:tcPr>
          <w:p w:rsidR="007C5447" w:rsidRDefault="00F6308C">
            <w:pPr>
              <w:pStyle w:val="TableParagraph"/>
              <w:spacing w:before="70"/>
              <w:ind w:right="85"/>
              <w:rPr>
                <w:b/>
                <w:sz w:val="20"/>
              </w:rPr>
            </w:pPr>
            <w:r>
              <w:rPr>
                <w:b/>
                <w:w w:val="99"/>
                <w:sz w:val="20"/>
              </w:rPr>
              <w:t>-</w:t>
            </w:r>
          </w:p>
        </w:tc>
        <w:tc>
          <w:tcPr>
            <w:tcW w:w="1309" w:type="dxa"/>
          </w:tcPr>
          <w:p w:rsidR="007C5447" w:rsidRDefault="00F6308C">
            <w:pPr>
              <w:pStyle w:val="TableParagraph"/>
              <w:spacing w:before="70"/>
              <w:ind w:right="87"/>
              <w:rPr>
                <w:b/>
                <w:sz w:val="20"/>
              </w:rPr>
            </w:pPr>
            <w:r>
              <w:rPr>
                <w:b/>
                <w:w w:val="95"/>
                <w:sz w:val="20"/>
              </w:rPr>
              <w:t>330.00</w:t>
            </w:r>
          </w:p>
        </w:tc>
        <w:tc>
          <w:tcPr>
            <w:tcW w:w="1235" w:type="dxa"/>
          </w:tcPr>
          <w:p w:rsidR="007C5447" w:rsidRDefault="007C5447">
            <w:pPr>
              <w:pStyle w:val="TableParagraph"/>
              <w:jc w:val="left"/>
              <w:rPr>
                <w:sz w:val="20"/>
              </w:rPr>
            </w:pPr>
          </w:p>
        </w:tc>
      </w:tr>
      <w:tr w:rsidR="007C5447">
        <w:trPr>
          <w:trHeight w:val="369"/>
        </w:trPr>
        <w:tc>
          <w:tcPr>
            <w:tcW w:w="3401" w:type="dxa"/>
            <w:tcBorders>
              <w:left w:val="single" w:sz="8" w:space="0" w:color="000000"/>
            </w:tcBorders>
          </w:tcPr>
          <w:p w:rsidR="007C5447" w:rsidRDefault="00F6308C">
            <w:pPr>
              <w:pStyle w:val="TableParagraph"/>
              <w:spacing w:before="70"/>
              <w:ind w:left="107"/>
              <w:jc w:val="left"/>
              <w:rPr>
                <w:b/>
                <w:sz w:val="20"/>
              </w:rPr>
            </w:pPr>
            <w:r>
              <w:rPr>
                <w:b/>
                <w:sz w:val="20"/>
              </w:rPr>
              <w:t>TANTRANSCO Charges</w:t>
            </w:r>
          </w:p>
        </w:tc>
        <w:tc>
          <w:tcPr>
            <w:tcW w:w="1080" w:type="dxa"/>
          </w:tcPr>
          <w:p w:rsidR="007C5447" w:rsidRDefault="007C5447">
            <w:pPr>
              <w:pStyle w:val="TableParagraph"/>
              <w:jc w:val="left"/>
              <w:rPr>
                <w:sz w:val="20"/>
              </w:rPr>
            </w:pPr>
          </w:p>
        </w:tc>
        <w:tc>
          <w:tcPr>
            <w:tcW w:w="1178" w:type="dxa"/>
          </w:tcPr>
          <w:p w:rsidR="007C5447" w:rsidRDefault="00F6308C">
            <w:pPr>
              <w:pStyle w:val="TableParagraph"/>
              <w:spacing w:before="70"/>
              <w:ind w:right="87"/>
              <w:rPr>
                <w:b/>
                <w:sz w:val="20"/>
              </w:rPr>
            </w:pPr>
            <w:r>
              <w:rPr>
                <w:b/>
                <w:w w:val="95"/>
                <w:sz w:val="20"/>
              </w:rPr>
              <w:t>1,500.00</w:t>
            </w:r>
          </w:p>
        </w:tc>
        <w:tc>
          <w:tcPr>
            <w:tcW w:w="1060" w:type="dxa"/>
          </w:tcPr>
          <w:p w:rsidR="007C5447" w:rsidRDefault="007C5447">
            <w:pPr>
              <w:pStyle w:val="TableParagraph"/>
              <w:jc w:val="left"/>
              <w:rPr>
                <w:sz w:val="20"/>
              </w:rPr>
            </w:pPr>
          </w:p>
        </w:tc>
        <w:tc>
          <w:tcPr>
            <w:tcW w:w="1060" w:type="dxa"/>
          </w:tcPr>
          <w:p w:rsidR="007C5447" w:rsidRDefault="007C5447">
            <w:pPr>
              <w:pStyle w:val="TableParagraph"/>
              <w:jc w:val="left"/>
              <w:rPr>
                <w:sz w:val="20"/>
              </w:rPr>
            </w:pPr>
          </w:p>
        </w:tc>
        <w:tc>
          <w:tcPr>
            <w:tcW w:w="1038" w:type="dxa"/>
          </w:tcPr>
          <w:p w:rsidR="007C5447" w:rsidRDefault="00F6308C">
            <w:pPr>
              <w:pStyle w:val="TableParagraph"/>
              <w:spacing w:before="70"/>
              <w:ind w:right="87"/>
              <w:rPr>
                <w:b/>
                <w:sz w:val="20"/>
              </w:rPr>
            </w:pPr>
            <w:r>
              <w:rPr>
                <w:b/>
                <w:w w:val="95"/>
                <w:sz w:val="20"/>
              </w:rPr>
              <w:t>1,500.00</w:t>
            </w:r>
          </w:p>
        </w:tc>
        <w:tc>
          <w:tcPr>
            <w:tcW w:w="1218" w:type="dxa"/>
          </w:tcPr>
          <w:p w:rsidR="007C5447" w:rsidRDefault="007C5447">
            <w:pPr>
              <w:pStyle w:val="TableParagraph"/>
              <w:jc w:val="left"/>
              <w:rPr>
                <w:sz w:val="20"/>
              </w:rPr>
            </w:pPr>
          </w:p>
        </w:tc>
        <w:tc>
          <w:tcPr>
            <w:tcW w:w="1120" w:type="dxa"/>
          </w:tcPr>
          <w:p w:rsidR="007C5447" w:rsidRDefault="007C5447">
            <w:pPr>
              <w:pStyle w:val="TableParagraph"/>
              <w:jc w:val="left"/>
              <w:rPr>
                <w:sz w:val="20"/>
              </w:rPr>
            </w:pPr>
          </w:p>
        </w:tc>
        <w:tc>
          <w:tcPr>
            <w:tcW w:w="1309" w:type="dxa"/>
          </w:tcPr>
          <w:p w:rsidR="007C5447" w:rsidRDefault="00F6308C">
            <w:pPr>
              <w:pStyle w:val="TableParagraph"/>
              <w:spacing w:before="70"/>
              <w:ind w:right="85"/>
              <w:rPr>
                <w:b/>
                <w:sz w:val="20"/>
              </w:rPr>
            </w:pPr>
            <w:r>
              <w:rPr>
                <w:b/>
                <w:w w:val="95"/>
                <w:sz w:val="20"/>
              </w:rPr>
              <w:t>1,500.00</w:t>
            </w:r>
          </w:p>
        </w:tc>
        <w:tc>
          <w:tcPr>
            <w:tcW w:w="1235" w:type="dxa"/>
          </w:tcPr>
          <w:p w:rsidR="007C5447" w:rsidRDefault="007C5447">
            <w:pPr>
              <w:pStyle w:val="TableParagraph"/>
              <w:jc w:val="left"/>
              <w:rPr>
                <w:sz w:val="20"/>
              </w:rPr>
            </w:pPr>
          </w:p>
        </w:tc>
      </w:tr>
      <w:tr w:rsidR="007C5447">
        <w:trPr>
          <w:trHeight w:val="371"/>
        </w:trPr>
        <w:tc>
          <w:tcPr>
            <w:tcW w:w="3401" w:type="dxa"/>
            <w:tcBorders>
              <w:left w:val="single" w:sz="8" w:space="0" w:color="000000"/>
            </w:tcBorders>
          </w:tcPr>
          <w:p w:rsidR="007C5447" w:rsidRDefault="00F6308C">
            <w:pPr>
              <w:pStyle w:val="TableParagraph"/>
              <w:spacing w:before="70"/>
              <w:ind w:left="107"/>
              <w:jc w:val="left"/>
              <w:rPr>
                <w:b/>
                <w:sz w:val="20"/>
              </w:rPr>
            </w:pPr>
            <w:r>
              <w:rPr>
                <w:b/>
                <w:sz w:val="20"/>
              </w:rPr>
              <w:t>Total Power Purchase</w:t>
            </w:r>
          </w:p>
        </w:tc>
        <w:tc>
          <w:tcPr>
            <w:tcW w:w="1080" w:type="dxa"/>
          </w:tcPr>
          <w:p w:rsidR="007C5447" w:rsidRDefault="00F6308C">
            <w:pPr>
              <w:pStyle w:val="TableParagraph"/>
              <w:spacing w:before="70"/>
              <w:ind w:right="93"/>
              <w:rPr>
                <w:b/>
                <w:sz w:val="20"/>
              </w:rPr>
            </w:pPr>
            <w:r>
              <w:rPr>
                <w:b/>
                <w:w w:val="95"/>
                <w:sz w:val="20"/>
              </w:rPr>
              <w:t>66,069.46</w:t>
            </w:r>
          </w:p>
        </w:tc>
        <w:tc>
          <w:tcPr>
            <w:tcW w:w="1178" w:type="dxa"/>
          </w:tcPr>
          <w:p w:rsidR="007C5447" w:rsidRDefault="00F6308C">
            <w:pPr>
              <w:pStyle w:val="TableParagraph"/>
              <w:spacing w:before="70"/>
              <w:ind w:right="90"/>
              <w:rPr>
                <w:b/>
                <w:sz w:val="20"/>
              </w:rPr>
            </w:pPr>
            <w:r>
              <w:rPr>
                <w:b/>
                <w:w w:val="95"/>
                <w:sz w:val="20"/>
              </w:rPr>
              <w:t>23,899.44</w:t>
            </w:r>
          </w:p>
        </w:tc>
        <w:tc>
          <w:tcPr>
            <w:tcW w:w="1060" w:type="dxa"/>
          </w:tcPr>
          <w:p w:rsidR="007C5447" w:rsidRDefault="00F6308C">
            <w:pPr>
              <w:pStyle w:val="TableParagraph"/>
              <w:spacing w:before="70"/>
              <w:ind w:right="91"/>
              <w:rPr>
                <w:b/>
                <w:sz w:val="20"/>
              </w:rPr>
            </w:pPr>
            <w:r>
              <w:rPr>
                <w:b/>
                <w:sz w:val="20"/>
              </w:rPr>
              <w:t>3.62</w:t>
            </w:r>
          </w:p>
        </w:tc>
        <w:tc>
          <w:tcPr>
            <w:tcW w:w="1060" w:type="dxa"/>
          </w:tcPr>
          <w:p w:rsidR="007C5447" w:rsidRDefault="00F6308C">
            <w:pPr>
              <w:pStyle w:val="TableParagraph"/>
              <w:spacing w:before="70"/>
              <w:ind w:right="91"/>
              <w:rPr>
                <w:b/>
                <w:sz w:val="20"/>
              </w:rPr>
            </w:pPr>
            <w:r>
              <w:rPr>
                <w:b/>
                <w:w w:val="95"/>
                <w:sz w:val="20"/>
              </w:rPr>
              <w:t>69,345.44</w:t>
            </w:r>
          </w:p>
        </w:tc>
        <w:tc>
          <w:tcPr>
            <w:tcW w:w="1038" w:type="dxa"/>
          </w:tcPr>
          <w:p w:rsidR="007C5447" w:rsidRDefault="00F6308C">
            <w:pPr>
              <w:pStyle w:val="TableParagraph"/>
              <w:spacing w:before="70"/>
              <w:ind w:right="89"/>
              <w:rPr>
                <w:b/>
                <w:sz w:val="20"/>
              </w:rPr>
            </w:pPr>
            <w:r>
              <w:rPr>
                <w:b/>
                <w:w w:val="95"/>
                <w:sz w:val="20"/>
              </w:rPr>
              <w:t>27,871.67</w:t>
            </w:r>
          </w:p>
        </w:tc>
        <w:tc>
          <w:tcPr>
            <w:tcW w:w="1218" w:type="dxa"/>
          </w:tcPr>
          <w:p w:rsidR="007C5447" w:rsidRDefault="00F6308C">
            <w:pPr>
              <w:pStyle w:val="TableParagraph"/>
              <w:spacing w:before="70"/>
              <w:ind w:right="87"/>
              <w:rPr>
                <w:b/>
                <w:sz w:val="20"/>
              </w:rPr>
            </w:pPr>
            <w:r>
              <w:rPr>
                <w:b/>
                <w:sz w:val="20"/>
              </w:rPr>
              <w:t>4.02</w:t>
            </w:r>
          </w:p>
        </w:tc>
        <w:tc>
          <w:tcPr>
            <w:tcW w:w="1120" w:type="dxa"/>
          </w:tcPr>
          <w:p w:rsidR="007C5447" w:rsidRDefault="00F6308C">
            <w:pPr>
              <w:pStyle w:val="TableParagraph"/>
              <w:spacing w:before="70"/>
              <w:ind w:right="87"/>
              <w:rPr>
                <w:b/>
                <w:sz w:val="20"/>
              </w:rPr>
            </w:pPr>
            <w:r>
              <w:rPr>
                <w:b/>
                <w:w w:val="95"/>
                <w:sz w:val="20"/>
              </w:rPr>
              <w:t>66,608.70</w:t>
            </w:r>
          </w:p>
        </w:tc>
        <w:tc>
          <w:tcPr>
            <w:tcW w:w="1309" w:type="dxa"/>
          </w:tcPr>
          <w:p w:rsidR="007C5447" w:rsidRDefault="00F6308C">
            <w:pPr>
              <w:pStyle w:val="TableParagraph"/>
              <w:spacing w:before="70"/>
              <w:ind w:right="87"/>
              <w:rPr>
                <w:b/>
                <w:sz w:val="20"/>
              </w:rPr>
            </w:pPr>
            <w:r>
              <w:rPr>
                <w:b/>
                <w:w w:val="95"/>
                <w:sz w:val="20"/>
              </w:rPr>
              <w:t>23,304.96</w:t>
            </w:r>
          </w:p>
        </w:tc>
        <w:tc>
          <w:tcPr>
            <w:tcW w:w="1235" w:type="dxa"/>
          </w:tcPr>
          <w:p w:rsidR="007C5447" w:rsidRDefault="00F6308C">
            <w:pPr>
              <w:pStyle w:val="TableParagraph"/>
              <w:spacing w:before="70"/>
              <w:ind w:right="84"/>
              <w:rPr>
                <w:b/>
                <w:sz w:val="20"/>
              </w:rPr>
            </w:pPr>
            <w:r>
              <w:rPr>
                <w:b/>
                <w:sz w:val="20"/>
              </w:rPr>
              <w:t>3.50</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0"/>
        </w:rPr>
      </w:pPr>
    </w:p>
    <w:p w:rsidR="007C5447" w:rsidRDefault="00F6308C">
      <w:pPr>
        <w:spacing w:before="223"/>
        <w:ind w:left="2886"/>
        <w:rPr>
          <w:b/>
        </w:rPr>
      </w:pPr>
      <w:r>
        <w:rPr>
          <w:b/>
        </w:rPr>
        <w:t>Table 3-67</w:t>
      </w:r>
      <w:r>
        <w:rPr>
          <w:b/>
          <w:sz w:val="24"/>
        </w:rPr>
        <w:t xml:space="preserve">: </w:t>
      </w:r>
      <w:r>
        <w:rPr>
          <w:b/>
        </w:rPr>
        <w:t>Summary of Power Purchase approved by the Commission after true-up for FY 2012-13</w:t>
      </w:r>
    </w:p>
    <w:p w:rsidR="007C5447" w:rsidRDefault="007C5447">
      <w:pPr>
        <w:pStyle w:val="BodyText"/>
        <w:spacing w:before="7"/>
        <w:rPr>
          <w:b/>
          <w:sz w:val="17"/>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22"/>
        <w:gridCol w:w="1669"/>
        <w:gridCol w:w="1395"/>
        <w:gridCol w:w="1285"/>
        <w:gridCol w:w="1300"/>
        <w:gridCol w:w="1136"/>
        <w:gridCol w:w="1086"/>
        <w:gridCol w:w="1137"/>
        <w:gridCol w:w="1136"/>
        <w:gridCol w:w="1052"/>
      </w:tblGrid>
      <w:tr w:rsidR="007C5447">
        <w:trPr>
          <w:trHeight w:val="371"/>
        </w:trPr>
        <w:tc>
          <w:tcPr>
            <w:tcW w:w="3022" w:type="dxa"/>
            <w:vMerge w:val="restart"/>
            <w:shd w:val="clear" w:color="auto" w:fill="F7C9AC"/>
          </w:tcPr>
          <w:p w:rsidR="007C5447" w:rsidRDefault="007C5447">
            <w:pPr>
              <w:pStyle w:val="TableParagraph"/>
              <w:jc w:val="left"/>
              <w:rPr>
                <w:b/>
              </w:rPr>
            </w:pPr>
          </w:p>
          <w:p w:rsidR="007C5447" w:rsidRDefault="007C5447">
            <w:pPr>
              <w:pStyle w:val="TableParagraph"/>
              <w:spacing w:before="5"/>
              <w:jc w:val="left"/>
              <w:rPr>
                <w:b/>
              </w:rPr>
            </w:pPr>
          </w:p>
          <w:p w:rsidR="007C5447" w:rsidRDefault="00F6308C">
            <w:pPr>
              <w:pStyle w:val="TableParagraph"/>
              <w:ind w:left="1190" w:right="1182"/>
              <w:jc w:val="center"/>
              <w:rPr>
                <w:b/>
                <w:sz w:val="20"/>
              </w:rPr>
            </w:pPr>
            <w:r>
              <w:rPr>
                <w:b/>
                <w:sz w:val="20"/>
              </w:rPr>
              <w:t>Source</w:t>
            </w:r>
          </w:p>
        </w:tc>
        <w:tc>
          <w:tcPr>
            <w:tcW w:w="11196" w:type="dxa"/>
            <w:gridSpan w:val="9"/>
            <w:shd w:val="clear" w:color="auto" w:fill="F7C9AC"/>
          </w:tcPr>
          <w:p w:rsidR="007C5447" w:rsidRDefault="00F6308C">
            <w:pPr>
              <w:pStyle w:val="TableParagraph"/>
              <w:spacing w:before="127" w:line="224" w:lineRule="exact"/>
              <w:ind w:left="5077" w:right="5075"/>
              <w:jc w:val="center"/>
              <w:rPr>
                <w:b/>
                <w:sz w:val="20"/>
              </w:rPr>
            </w:pPr>
            <w:r>
              <w:rPr>
                <w:b/>
                <w:sz w:val="20"/>
              </w:rPr>
              <w:t>FY 2012-13</w:t>
            </w:r>
          </w:p>
        </w:tc>
      </w:tr>
      <w:tr w:rsidR="007C5447">
        <w:trPr>
          <w:trHeight w:val="369"/>
        </w:trPr>
        <w:tc>
          <w:tcPr>
            <w:tcW w:w="3022" w:type="dxa"/>
            <w:vMerge/>
            <w:tcBorders>
              <w:top w:val="nil"/>
            </w:tcBorders>
            <w:shd w:val="clear" w:color="auto" w:fill="F7C9AC"/>
          </w:tcPr>
          <w:p w:rsidR="007C5447" w:rsidRDefault="007C5447">
            <w:pPr>
              <w:rPr>
                <w:sz w:val="2"/>
                <w:szCs w:val="2"/>
              </w:rPr>
            </w:pPr>
          </w:p>
        </w:tc>
        <w:tc>
          <w:tcPr>
            <w:tcW w:w="4349" w:type="dxa"/>
            <w:gridSpan w:val="3"/>
            <w:shd w:val="clear" w:color="auto" w:fill="F7C9AC"/>
          </w:tcPr>
          <w:p w:rsidR="007C5447" w:rsidRDefault="00F6308C">
            <w:pPr>
              <w:pStyle w:val="TableParagraph"/>
              <w:spacing w:before="70"/>
              <w:ind w:left="1638" w:right="1634"/>
              <w:jc w:val="center"/>
              <w:rPr>
                <w:b/>
                <w:sz w:val="20"/>
              </w:rPr>
            </w:pPr>
            <w:r>
              <w:rPr>
                <w:b/>
                <w:sz w:val="20"/>
              </w:rPr>
              <w:t>SMT Order</w:t>
            </w:r>
          </w:p>
        </w:tc>
        <w:tc>
          <w:tcPr>
            <w:tcW w:w="3522" w:type="dxa"/>
            <w:gridSpan w:val="3"/>
            <w:shd w:val="clear" w:color="auto" w:fill="F7C9AC"/>
          </w:tcPr>
          <w:p w:rsidR="007C5447" w:rsidRDefault="00F6308C">
            <w:pPr>
              <w:pStyle w:val="TableParagraph"/>
              <w:spacing w:before="70"/>
              <w:ind w:left="1153" w:right="1154"/>
              <w:jc w:val="center"/>
              <w:rPr>
                <w:b/>
                <w:sz w:val="20"/>
              </w:rPr>
            </w:pPr>
            <w:r>
              <w:rPr>
                <w:b/>
                <w:sz w:val="20"/>
              </w:rPr>
              <w:t>TANGEDCO</w:t>
            </w:r>
          </w:p>
        </w:tc>
        <w:tc>
          <w:tcPr>
            <w:tcW w:w="3325" w:type="dxa"/>
            <w:gridSpan w:val="3"/>
            <w:shd w:val="clear" w:color="auto" w:fill="F7C9AC"/>
          </w:tcPr>
          <w:p w:rsidR="007C5447" w:rsidRDefault="00F6308C">
            <w:pPr>
              <w:pStyle w:val="TableParagraph"/>
              <w:spacing w:before="70"/>
              <w:ind w:left="657"/>
              <w:jc w:val="left"/>
              <w:rPr>
                <w:b/>
                <w:sz w:val="20"/>
              </w:rPr>
            </w:pPr>
            <w:r>
              <w:rPr>
                <w:b/>
                <w:sz w:val="20"/>
              </w:rPr>
              <w:t>Approved after true up</w:t>
            </w:r>
          </w:p>
        </w:tc>
      </w:tr>
      <w:tr w:rsidR="007C5447">
        <w:trPr>
          <w:trHeight w:val="489"/>
        </w:trPr>
        <w:tc>
          <w:tcPr>
            <w:tcW w:w="3022" w:type="dxa"/>
            <w:vMerge/>
            <w:tcBorders>
              <w:top w:val="nil"/>
            </w:tcBorders>
            <w:shd w:val="clear" w:color="auto" w:fill="F7C9AC"/>
          </w:tcPr>
          <w:p w:rsidR="007C5447" w:rsidRDefault="007C5447">
            <w:pPr>
              <w:rPr>
                <w:sz w:val="2"/>
                <w:szCs w:val="2"/>
              </w:rPr>
            </w:pPr>
          </w:p>
        </w:tc>
        <w:tc>
          <w:tcPr>
            <w:tcW w:w="1669" w:type="dxa"/>
            <w:shd w:val="clear" w:color="auto" w:fill="F7C9AC"/>
          </w:tcPr>
          <w:p w:rsidR="007C5447" w:rsidRDefault="00F6308C">
            <w:pPr>
              <w:pStyle w:val="TableParagraph"/>
              <w:spacing w:before="130"/>
              <w:ind w:right="154"/>
              <w:rPr>
                <w:b/>
                <w:sz w:val="20"/>
              </w:rPr>
            </w:pPr>
            <w:r>
              <w:rPr>
                <w:b/>
                <w:sz w:val="20"/>
              </w:rPr>
              <w:t>Quantum (MU)</w:t>
            </w:r>
          </w:p>
        </w:tc>
        <w:tc>
          <w:tcPr>
            <w:tcW w:w="1395" w:type="dxa"/>
            <w:shd w:val="clear" w:color="auto" w:fill="F7C9AC"/>
          </w:tcPr>
          <w:p w:rsidR="007C5447" w:rsidRDefault="00F6308C">
            <w:pPr>
              <w:pStyle w:val="TableParagraph"/>
              <w:spacing w:before="14" w:line="230" w:lineRule="atLeast"/>
              <w:ind w:left="352" w:right="222" w:hanging="104"/>
              <w:jc w:val="left"/>
              <w:rPr>
                <w:b/>
                <w:sz w:val="20"/>
              </w:rPr>
            </w:pPr>
            <w:r>
              <w:rPr>
                <w:b/>
                <w:sz w:val="20"/>
              </w:rPr>
              <w:t>Total Cost (Rs. Cr)</w:t>
            </w:r>
          </w:p>
        </w:tc>
        <w:tc>
          <w:tcPr>
            <w:tcW w:w="1285" w:type="dxa"/>
            <w:shd w:val="clear" w:color="auto" w:fill="F7C9AC"/>
          </w:tcPr>
          <w:p w:rsidR="007C5447" w:rsidRDefault="00F6308C">
            <w:pPr>
              <w:pStyle w:val="TableParagraph"/>
              <w:spacing w:before="14" w:line="230" w:lineRule="atLeast"/>
              <w:ind w:left="224" w:firstLine="216"/>
              <w:jc w:val="left"/>
              <w:rPr>
                <w:b/>
                <w:sz w:val="20"/>
              </w:rPr>
            </w:pPr>
            <w:r>
              <w:rPr>
                <w:b/>
                <w:sz w:val="20"/>
              </w:rPr>
              <w:t xml:space="preserve">Rate </w:t>
            </w:r>
            <w:r>
              <w:rPr>
                <w:b/>
                <w:w w:val="95"/>
                <w:sz w:val="20"/>
              </w:rPr>
              <w:t>(Rs/kWh)</w:t>
            </w:r>
          </w:p>
        </w:tc>
        <w:tc>
          <w:tcPr>
            <w:tcW w:w="1300" w:type="dxa"/>
            <w:shd w:val="clear" w:color="auto" w:fill="F7C9AC"/>
          </w:tcPr>
          <w:p w:rsidR="007C5447" w:rsidRDefault="00F6308C">
            <w:pPr>
              <w:pStyle w:val="TableParagraph"/>
              <w:spacing w:before="14" w:line="230" w:lineRule="atLeast"/>
              <w:ind w:left="413" w:right="212" w:hanging="178"/>
              <w:jc w:val="left"/>
              <w:rPr>
                <w:b/>
                <w:sz w:val="20"/>
              </w:rPr>
            </w:pPr>
            <w:r>
              <w:rPr>
                <w:b/>
                <w:sz w:val="20"/>
              </w:rPr>
              <w:t>Quantum (MU)</w:t>
            </w:r>
          </w:p>
        </w:tc>
        <w:tc>
          <w:tcPr>
            <w:tcW w:w="1136" w:type="dxa"/>
            <w:shd w:val="clear" w:color="auto" w:fill="F7C9AC"/>
          </w:tcPr>
          <w:p w:rsidR="007C5447" w:rsidRDefault="00F6308C">
            <w:pPr>
              <w:pStyle w:val="TableParagraph"/>
              <w:spacing w:before="14" w:line="230" w:lineRule="atLeast"/>
              <w:ind w:left="219" w:right="198" w:firstLine="148"/>
              <w:jc w:val="left"/>
              <w:rPr>
                <w:b/>
                <w:sz w:val="20"/>
              </w:rPr>
            </w:pPr>
            <w:r>
              <w:rPr>
                <w:b/>
                <w:sz w:val="20"/>
              </w:rPr>
              <w:t>Cost (Rs. Cr)</w:t>
            </w:r>
          </w:p>
        </w:tc>
        <w:tc>
          <w:tcPr>
            <w:tcW w:w="1086" w:type="dxa"/>
            <w:shd w:val="clear" w:color="auto" w:fill="F7C9AC"/>
          </w:tcPr>
          <w:p w:rsidR="007C5447" w:rsidRDefault="00F6308C">
            <w:pPr>
              <w:pStyle w:val="TableParagraph"/>
              <w:spacing w:before="14" w:line="230" w:lineRule="atLeast"/>
              <w:ind w:left="120" w:firstLine="216"/>
              <w:jc w:val="left"/>
              <w:rPr>
                <w:b/>
                <w:sz w:val="20"/>
              </w:rPr>
            </w:pPr>
            <w:r>
              <w:rPr>
                <w:b/>
                <w:sz w:val="20"/>
              </w:rPr>
              <w:t xml:space="preserve">Rate </w:t>
            </w:r>
            <w:r>
              <w:rPr>
                <w:b/>
                <w:w w:val="95"/>
                <w:sz w:val="20"/>
              </w:rPr>
              <w:t>(Rs/kWh)</w:t>
            </w:r>
          </w:p>
        </w:tc>
        <w:tc>
          <w:tcPr>
            <w:tcW w:w="1137" w:type="dxa"/>
            <w:shd w:val="clear" w:color="auto" w:fill="F7C9AC"/>
          </w:tcPr>
          <w:p w:rsidR="007C5447" w:rsidRDefault="00F6308C">
            <w:pPr>
              <w:pStyle w:val="TableParagraph"/>
              <w:spacing w:before="14" w:line="230" w:lineRule="atLeast"/>
              <w:ind w:left="328" w:right="135" w:hanging="179"/>
              <w:jc w:val="left"/>
              <w:rPr>
                <w:b/>
                <w:sz w:val="20"/>
              </w:rPr>
            </w:pPr>
            <w:r>
              <w:rPr>
                <w:b/>
                <w:sz w:val="20"/>
              </w:rPr>
              <w:t>Quantum (MU)</w:t>
            </w:r>
          </w:p>
        </w:tc>
        <w:tc>
          <w:tcPr>
            <w:tcW w:w="1136" w:type="dxa"/>
            <w:shd w:val="clear" w:color="auto" w:fill="F7C9AC"/>
          </w:tcPr>
          <w:p w:rsidR="007C5447" w:rsidRDefault="00F6308C">
            <w:pPr>
              <w:pStyle w:val="TableParagraph"/>
              <w:spacing w:before="14" w:line="230" w:lineRule="atLeast"/>
              <w:ind w:left="216" w:right="99" w:hanging="104"/>
              <w:jc w:val="left"/>
              <w:rPr>
                <w:b/>
                <w:sz w:val="20"/>
              </w:rPr>
            </w:pPr>
            <w:r>
              <w:rPr>
                <w:b/>
                <w:sz w:val="20"/>
              </w:rPr>
              <w:t>Total Cost (Rs. Cr)</w:t>
            </w:r>
          </w:p>
        </w:tc>
        <w:tc>
          <w:tcPr>
            <w:tcW w:w="1052" w:type="dxa"/>
            <w:shd w:val="clear" w:color="auto" w:fill="F7C9AC"/>
          </w:tcPr>
          <w:p w:rsidR="007C5447" w:rsidRDefault="00F6308C">
            <w:pPr>
              <w:pStyle w:val="TableParagraph"/>
              <w:spacing w:before="14" w:line="230" w:lineRule="atLeast"/>
              <w:ind w:left="100" w:firstLine="216"/>
              <w:jc w:val="left"/>
              <w:rPr>
                <w:b/>
                <w:sz w:val="20"/>
              </w:rPr>
            </w:pPr>
            <w:r>
              <w:rPr>
                <w:b/>
                <w:sz w:val="20"/>
              </w:rPr>
              <w:t xml:space="preserve">Rate </w:t>
            </w:r>
            <w:r>
              <w:rPr>
                <w:b/>
                <w:w w:val="95"/>
                <w:sz w:val="20"/>
              </w:rPr>
              <w:t>(Rs/kWh)</w:t>
            </w:r>
          </w:p>
        </w:tc>
      </w:tr>
      <w:tr w:rsidR="007C5447">
        <w:trPr>
          <w:trHeight w:val="371"/>
        </w:trPr>
        <w:tc>
          <w:tcPr>
            <w:tcW w:w="3022" w:type="dxa"/>
          </w:tcPr>
          <w:p w:rsidR="007C5447" w:rsidRDefault="00F6308C">
            <w:pPr>
              <w:pStyle w:val="TableParagraph"/>
              <w:spacing w:before="72"/>
              <w:ind w:left="107"/>
              <w:jc w:val="left"/>
              <w:rPr>
                <w:b/>
                <w:sz w:val="20"/>
              </w:rPr>
            </w:pPr>
            <w:r>
              <w:rPr>
                <w:b/>
                <w:sz w:val="20"/>
              </w:rPr>
              <w:t>Own Generating Stations</w:t>
            </w:r>
          </w:p>
        </w:tc>
        <w:tc>
          <w:tcPr>
            <w:tcW w:w="1669" w:type="dxa"/>
          </w:tcPr>
          <w:p w:rsidR="007C5447" w:rsidRDefault="007C5447">
            <w:pPr>
              <w:pStyle w:val="TableParagraph"/>
              <w:jc w:val="left"/>
              <w:rPr>
                <w:sz w:val="20"/>
              </w:rPr>
            </w:pPr>
          </w:p>
        </w:tc>
        <w:tc>
          <w:tcPr>
            <w:tcW w:w="1395" w:type="dxa"/>
          </w:tcPr>
          <w:p w:rsidR="007C5447" w:rsidRDefault="007C5447">
            <w:pPr>
              <w:pStyle w:val="TableParagraph"/>
              <w:jc w:val="left"/>
              <w:rPr>
                <w:sz w:val="20"/>
              </w:rPr>
            </w:pP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r w:rsidR="007C5447">
        <w:trPr>
          <w:trHeight w:val="369"/>
        </w:trPr>
        <w:tc>
          <w:tcPr>
            <w:tcW w:w="3022" w:type="dxa"/>
          </w:tcPr>
          <w:p w:rsidR="007C5447" w:rsidRDefault="00F6308C">
            <w:pPr>
              <w:pStyle w:val="TableParagraph"/>
              <w:spacing w:before="70"/>
              <w:ind w:left="107"/>
              <w:jc w:val="left"/>
              <w:rPr>
                <w:sz w:val="20"/>
              </w:rPr>
            </w:pPr>
            <w:r>
              <w:rPr>
                <w:sz w:val="20"/>
              </w:rPr>
              <w:t>Ennore TPS</w:t>
            </w:r>
          </w:p>
        </w:tc>
        <w:tc>
          <w:tcPr>
            <w:tcW w:w="1669" w:type="dxa"/>
          </w:tcPr>
          <w:p w:rsidR="007C5447" w:rsidRDefault="00F6308C">
            <w:pPr>
              <w:pStyle w:val="TableParagraph"/>
              <w:spacing w:before="70"/>
              <w:ind w:right="219"/>
              <w:rPr>
                <w:sz w:val="20"/>
              </w:rPr>
            </w:pPr>
            <w:r>
              <w:rPr>
                <w:w w:val="95"/>
                <w:sz w:val="20"/>
              </w:rPr>
              <w:t>635.00</w:t>
            </w:r>
          </w:p>
        </w:tc>
        <w:tc>
          <w:tcPr>
            <w:tcW w:w="1395" w:type="dxa"/>
          </w:tcPr>
          <w:p w:rsidR="007C5447" w:rsidRDefault="00F6308C">
            <w:pPr>
              <w:pStyle w:val="TableParagraph"/>
              <w:spacing w:before="70"/>
              <w:ind w:right="219"/>
              <w:rPr>
                <w:sz w:val="20"/>
              </w:rPr>
            </w:pPr>
            <w:r>
              <w:rPr>
                <w:w w:val="95"/>
                <w:sz w:val="20"/>
              </w:rPr>
              <w:t>354.60</w:t>
            </w:r>
          </w:p>
        </w:tc>
        <w:tc>
          <w:tcPr>
            <w:tcW w:w="1285" w:type="dxa"/>
          </w:tcPr>
          <w:p w:rsidR="007C5447" w:rsidRDefault="00F6308C">
            <w:pPr>
              <w:pStyle w:val="TableParagraph"/>
              <w:spacing w:before="70"/>
              <w:ind w:right="220"/>
              <w:rPr>
                <w:sz w:val="20"/>
              </w:rPr>
            </w:pPr>
            <w:r>
              <w:rPr>
                <w:sz w:val="20"/>
              </w:rPr>
              <w:t>5.58</w:t>
            </w:r>
          </w:p>
        </w:tc>
        <w:tc>
          <w:tcPr>
            <w:tcW w:w="1300" w:type="dxa"/>
          </w:tcPr>
          <w:p w:rsidR="007C5447" w:rsidRDefault="00F6308C">
            <w:pPr>
              <w:pStyle w:val="TableParagraph"/>
              <w:spacing w:before="70"/>
              <w:ind w:right="221"/>
              <w:rPr>
                <w:sz w:val="20"/>
              </w:rPr>
            </w:pPr>
            <w:r>
              <w:rPr>
                <w:w w:val="95"/>
                <w:sz w:val="20"/>
              </w:rPr>
              <w:t>610.00</w:t>
            </w:r>
          </w:p>
        </w:tc>
        <w:tc>
          <w:tcPr>
            <w:tcW w:w="1136" w:type="dxa"/>
          </w:tcPr>
          <w:p w:rsidR="007C5447" w:rsidRDefault="00F6308C">
            <w:pPr>
              <w:pStyle w:val="TableParagraph"/>
              <w:spacing w:before="70"/>
              <w:ind w:right="222"/>
              <w:rPr>
                <w:sz w:val="20"/>
              </w:rPr>
            </w:pPr>
            <w:r>
              <w:rPr>
                <w:w w:val="95"/>
                <w:sz w:val="20"/>
              </w:rPr>
              <w:t>716.89</w:t>
            </w:r>
          </w:p>
        </w:tc>
        <w:tc>
          <w:tcPr>
            <w:tcW w:w="1086" w:type="dxa"/>
          </w:tcPr>
          <w:p w:rsidR="007C5447" w:rsidRDefault="00F6308C">
            <w:pPr>
              <w:pStyle w:val="TableParagraph"/>
              <w:spacing w:before="70"/>
              <w:ind w:right="225"/>
              <w:rPr>
                <w:sz w:val="20"/>
              </w:rPr>
            </w:pPr>
            <w:r>
              <w:rPr>
                <w:w w:val="95"/>
                <w:sz w:val="20"/>
              </w:rPr>
              <w:t>11.75</w:t>
            </w:r>
          </w:p>
        </w:tc>
        <w:tc>
          <w:tcPr>
            <w:tcW w:w="1137" w:type="dxa"/>
          </w:tcPr>
          <w:p w:rsidR="007C5447" w:rsidRDefault="00F6308C">
            <w:pPr>
              <w:pStyle w:val="TableParagraph"/>
              <w:spacing w:before="70"/>
              <w:ind w:right="224"/>
              <w:rPr>
                <w:sz w:val="20"/>
              </w:rPr>
            </w:pPr>
            <w:r>
              <w:rPr>
                <w:w w:val="95"/>
                <w:sz w:val="20"/>
              </w:rPr>
              <w:t>610.00</w:t>
            </w:r>
          </w:p>
        </w:tc>
        <w:tc>
          <w:tcPr>
            <w:tcW w:w="1136" w:type="dxa"/>
          </w:tcPr>
          <w:p w:rsidR="007C5447" w:rsidRDefault="00F6308C">
            <w:pPr>
              <w:pStyle w:val="TableParagraph"/>
              <w:spacing w:before="70"/>
              <w:ind w:right="225"/>
              <w:rPr>
                <w:sz w:val="20"/>
              </w:rPr>
            </w:pPr>
            <w:r>
              <w:rPr>
                <w:w w:val="95"/>
                <w:sz w:val="20"/>
              </w:rPr>
              <w:t>413.64</w:t>
            </w:r>
          </w:p>
        </w:tc>
        <w:tc>
          <w:tcPr>
            <w:tcW w:w="1052" w:type="dxa"/>
          </w:tcPr>
          <w:p w:rsidR="007C5447" w:rsidRDefault="00F6308C">
            <w:pPr>
              <w:pStyle w:val="TableParagraph"/>
              <w:spacing w:before="70"/>
              <w:ind w:right="228"/>
              <w:rPr>
                <w:sz w:val="20"/>
              </w:rPr>
            </w:pPr>
            <w:r>
              <w:rPr>
                <w:sz w:val="20"/>
              </w:rPr>
              <w:t>6.78</w:t>
            </w:r>
          </w:p>
        </w:tc>
      </w:tr>
      <w:tr w:rsidR="007C5447">
        <w:trPr>
          <w:trHeight w:val="369"/>
        </w:trPr>
        <w:tc>
          <w:tcPr>
            <w:tcW w:w="3022" w:type="dxa"/>
          </w:tcPr>
          <w:p w:rsidR="007C5447" w:rsidRDefault="00F6308C">
            <w:pPr>
              <w:pStyle w:val="TableParagraph"/>
              <w:spacing w:before="70"/>
              <w:ind w:left="107"/>
              <w:jc w:val="left"/>
              <w:rPr>
                <w:sz w:val="20"/>
              </w:rPr>
            </w:pPr>
            <w:r>
              <w:rPr>
                <w:sz w:val="20"/>
              </w:rPr>
              <w:t>Tuticorin TPS</w:t>
            </w:r>
          </w:p>
        </w:tc>
        <w:tc>
          <w:tcPr>
            <w:tcW w:w="1669" w:type="dxa"/>
          </w:tcPr>
          <w:p w:rsidR="007C5447" w:rsidRDefault="00F6308C">
            <w:pPr>
              <w:pStyle w:val="TableParagraph"/>
              <w:spacing w:before="70"/>
              <w:ind w:right="217"/>
              <w:rPr>
                <w:sz w:val="20"/>
              </w:rPr>
            </w:pPr>
            <w:r>
              <w:rPr>
                <w:w w:val="95"/>
                <w:sz w:val="20"/>
              </w:rPr>
              <w:t>7,630.00</w:t>
            </w:r>
          </w:p>
        </w:tc>
        <w:tc>
          <w:tcPr>
            <w:tcW w:w="1395" w:type="dxa"/>
          </w:tcPr>
          <w:p w:rsidR="007C5447" w:rsidRDefault="00F6308C">
            <w:pPr>
              <w:pStyle w:val="TableParagraph"/>
              <w:spacing w:before="70"/>
              <w:ind w:right="217"/>
              <w:rPr>
                <w:sz w:val="20"/>
              </w:rPr>
            </w:pPr>
            <w:r>
              <w:rPr>
                <w:w w:val="95"/>
                <w:sz w:val="20"/>
              </w:rPr>
              <w:t>2,624.12</w:t>
            </w:r>
          </w:p>
        </w:tc>
        <w:tc>
          <w:tcPr>
            <w:tcW w:w="1285" w:type="dxa"/>
          </w:tcPr>
          <w:p w:rsidR="007C5447" w:rsidRDefault="00F6308C">
            <w:pPr>
              <w:pStyle w:val="TableParagraph"/>
              <w:spacing w:before="70"/>
              <w:ind w:right="220"/>
              <w:rPr>
                <w:sz w:val="20"/>
              </w:rPr>
            </w:pPr>
            <w:r>
              <w:rPr>
                <w:sz w:val="20"/>
              </w:rPr>
              <w:t>3.44</w:t>
            </w:r>
          </w:p>
        </w:tc>
        <w:tc>
          <w:tcPr>
            <w:tcW w:w="1300" w:type="dxa"/>
          </w:tcPr>
          <w:p w:rsidR="007C5447" w:rsidRDefault="00F6308C">
            <w:pPr>
              <w:pStyle w:val="TableParagraph"/>
              <w:spacing w:before="70"/>
              <w:ind w:right="219"/>
              <w:rPr>
                <w:sz w:val="20"/>
              </w:rPr>
            </w:pPr>
            <w:r>
              <w:rPr>
                <w:w w:val="95"/>
                <w:sz w:val="20"/>
              </w:rPr>
              <w:t>7,620.00</w:t>
            </w:r>
          </w:p>
        </w:tc>
        <w:tc>
          <w:tcPr>
            <w:tcW w:w="1136" w:type="dxa"/>
          </w:tcPr>
          <w:p w:rsidR="007C5447" w:rsidRDefault="00F6308C">
            <w:pPr>
              <w:pStyle w:val="TableParagraph"/>
              <w:spacing w:before="70"/>
              <w:ind w:right="220"/>
              <w:rPr>
                <w:sz w:val="20"/>
              </w:rPr>
            </w:pPr>
            <w:r>
              <w:rPr>
                <w:w w:val="95"/>
                <w:sz w:val="20"/>
              </w:rPr>
              <w:t>3,368.62</w:t>
            </w:r>
          </w:p>
        </w:tc>
        <w:tc>
          <w:tcPr>
            <w:tcW w:w="1086" w:type="dxa"/>
          </w:tcPr>
          <w:p w:rsidR="007C5447" w:rsidRDefault="00F6308C">
            <w:pPr>
              <w:pStyle w:val="TableParagraph"/>
              <w:spacing w:before="70"/>
              <w:ind w:right="225"/>
              <w:rPr>
                <w:sz w:val="20"/>
              </w:rPr>
            </w:pPr>
            <w:r>
              <w:rPr>
                <w:sz w:val="20"/>
              </w:rPr>
              <w:t>4.42</w:t>
            </w:r>
          </w:p>
        </w:tc>
        <w:tc>
          <w:tcPr>
            <w:tcW w:w="1137" w:type="dxa"/>
          </w:tcPr>
          <w:p w:rsidR="007C5447" w:rsidRDefault="00F6308C">
            <w:pPr>
              <w:pStyle w:val="TableParagraph"/>
              <w:spacing w:before="70"/>
              <w:ind w:right="223"/>
              <w:rPr>
                <w:sz w:val="20"/>
              </w:rPr>
            </w:pPr>
            <w:r>
              <w:rPr>
                <w:w w:val="95"/>
                <w:sz w:val="20"/>
              </w:rPr>
              <w:t>7,620.00</w:t>
            </w:r>
          </w:p>
        </w:tc>
        <w:tc>
          <w:tcPr>
            <w:tcW w:w="1136" w:type="dxa"/>
          </w:tcPr>
          <w:p w:rsidR="007C5447" w:rsidRDefault="00F6308C">
            <w:pPr>
              <w:pStyle w:val="TableParagraph"/>
              <w:spacing w:before="70"/>
              <w:ind w:right="223"/>
              <w:rPr>
                <w:sz w:val="20"/>
              </w:rPr>
            </w:pPr>
            <w:r>
              <w:rPr>
                <w:w w:val="95"/>
                <w:sz w:val="20"/>
              </w:rPr>
              <w:t>2,689.37</w:t>
            </w:r>
          </w:p>
        </w:tc>
        <w:tc>
          <w:tcPr>
            <w:tcW w:w="1052" w:type="dxa"/>
          </w:tcPr>
          <w:p w:rsidR="007C5447" w:rsidRDefault="00F6308C">
            <w:pPr>
              <w:pStyle w:val="TableParagraph"/>
              <w:spacing w:before="70"/>
              <w:ind w:right="228"/>
              <w:rPr>
                <w:sz w:val="20"/>
              </w:rPr>
            </w:pPr>
            <w:r>
              <w:rPr>
                <w:sz w:val="20"/>
              </w:rPr>
              <w:t>3.53</w:t>
            </w:r>
          </w:p>
        </w:tc>
      </w:tr>
      <w:tr w:rsidR="007C5447">
        <w:trPr>
          <w:trHeight w:val="371"/>
        </w:trPr>
        <w:tc>
          <w:tcPr>
            <w:tcW w:w="3022" w:type="dxa"/>
          </w:tcPr>
          <w:p w:rsidR="007C5447" w:rsidRDefault="00F6308C">
            <w:pPr>
              <w:pStyle w:val="TableParagraph"/>
              <w:spacing w:before="72"/>
              <w:ind w:left="107"/>
              <w:jc w:val="left"/>
              <w:rPr>
                <w:sz w:val="20"/>
              </w:rPr>
            </w:pPr>
            <w:r>
              <w:rPr>
                <w:sz w:val="20"/>
              </w:rPr>
              <w:t>Mettur TPS</w:t>
            </w:r>
          </w:p>
        </w:tc>
        <w:tc>
          <w:tcPr>
            <w:tcW w:w="1669" w:type="dxa"/>
          </w:tcPr>
          <w:p w:rsidR="007C5447" w:rsidRDefault="00F6308C">
            <w:pPr>
              <w:pStyle w:val="TableParagraph"/>
              <w:spacing w:before="72"/>
              <w:ind w:right="217"/>
              <w:rPr>
                <w:sz w:val="20"/>
              </w:rPr>
            </w:pPr>
            <w:r>
              <w:rPr>
                <w:w w:val="95"/>
                <w:sz w:val="20"/>
              </w:rPr>
              <w:t>5,658.00</w:t>
            </w:r>
          </w:p>
        </w:tc>
        <w:tc>
          <w:tcPr>
            <w:tcW w:w="1395" w:type="dxa"/>
          </w:tcPr>
          <w:p w:rsidR="007C5447" w:rsidRDefault="00F6308C">
            <w:pPr>
              <w:pStyle w:val="TableParagraph"/>
              <w:spacing w:before="72"/>
              <w:ind w:right="217"/>
              <w:rPr>
                <w:sz w:val="20"/>
              </w:rPr>
            </w:pPr>
            <w:r>
              <w:rPr>
                <w:w w:val="95"/>
                <w:sz w:val="20"/>
              </w:rPr>
              <w:t>2,390.00</w:t>
            </w:r>
          </w:p>
        </w:tc>
        <w:tc>
          <w:tcPr>
            <w:tcW w:w="1285" w:type="dxa"/>
          </w:tcPr>
          <w:p w:rsidR="007C5447" w:rsidRDefault="00F6308C">
            <w:pPr>
              <w:pStyle w:val="TableParagraph"/>
              <w:spacing w:before="72"/>
              <w:ind w:right="220"/>
              <w:rPr>
                <w:sz w:val="20"/>
              </w:rPr>
            </w:pPr>
            <w:r>
              <w:rPr>
                <w:sz w:val="20"/>
              </w:rPr>
              <w:t>4.22</w:t>
            </w:r>
          </w:p>
        </w:tc>
        <w:tc>
          <w:tcPr>
            <w:tcW w:w="1300" w:type="dxa"/>
          </w:tcPr>
          <w:p w:rsidR="007C5447" w:rsidRDefault="00F6308C">
            <w:pPr>
              <w:pStyle w:val="TableParagraph"/>
              <w:spacing w:before="72"/>
              <w:ind w:right="219"/>
              <w:rPr>
                <w:sz w:val="20"/>
              </w:rPr>
            </w:pPr>
            <w:r>
              <w:rPr>
                <w:w w:val="95"/>
                <w:sz w:val="20"/>
              </w:rPr>
              <w:t>5,684.00</w:t>
            </w:r>
          </w:p>
        </w:tc>
        <w:tc>
          <w:tcPr>
            <w:tcW w:w="1136" w:type="dxa"/>
          </w:tcPr>
          <w:p w:rsidR="007C5447" w:rsidRDefault="00F6308C">
            <w:pPr>
              <w:pStyle w:val="TableParagraph"/>
              <w:spacing w:before="72"/>
              <w:ind w:right="220"/>
              <w:rPr>
                <w:sz w:val="20"/>
              </w:rPr>
            </w:pPr>
            <w:r>
              <w:rPr>
                <w:w w:val="95"/>
                <w:sz w:val="20"/>
              </w:rPr>
              <w:t>2,442.76</w:t>
            </w:r>
          </w:p>
        </w:tc>
        <w:tc>
          <w:tcPr>
            <w:tcW w:w="1086" w:type="dxa"/>
          </w:tcPr>
          <w:p w:rsidR="007C5447" w:rsidRDefault="00F6308C">
            <w:pPr>
              <w:pStyle w:val="TableParagraph"/>
              <w:spacing w:before="72"/>
              <w:ind w:right="225"/>
              <w:rPr>
                <w:sz w:val="20"/>
              </w:rPr>
            </w:pPr>
            <w:r>
              <w:rPr>
                <w:sz w:val="20"/>
              </w:rPr>
              <w:t>4.30</w:t>
            </w:r>
          </w:p>
        </w:tc>
        <w:tc>
          <w:tcPr>
            <w:tcW w:w="1137" w:type="dxa"/>
          </w:tcPr>
          <w:p w:rsidR="007C5447" w:rsidRDefault="00F6308C">
            <w:pPr>
              <w:pStyle w:val="TableParagraph"/>
              <w:spacing w:before="72"/>
              <w:ind w:right="223"/>
              <w:rPr>
                <w:sz w:val="20"/>
              </w:rPr>
            </w:pPr>
            <w:r>
              <w:rPr>
                <w:w w:val="95"/>
                <w:sz w:val="20"/>
              </w:rPr>
              <w:t>5,684.00</w:t>
            </w:r>
          </w:p>
        </w:tc>
        <w:tc>
          <w:tcPr>
            <w:tcW w:w="1136" w:type="dxa"/>
          </w:tcPr>
          <w:p w:rsidR="007C5447" w:rsidRDefault="00F6308C">
            <w:pPr>
              <w:pStyle w:val="TableParagraph"/>
              <w:spacing w:before="72"/>
              <w:ind w:right="223"/>
              <w:rPr>
                <w:sz w:val="20"/>
              </w:rPr>
            </w:pPr>
            <w:r>
              <w:rPr>
                <w:w w:val="95"/>
                <w:sz w:val="20"/>
              </w:rPr>
              <w:t>2,254.07</w:t>
            </w:r>
          </w:p>
        </w:tc>
        <w:tc>
          <w:tcPr>
            <w:tcW w:w="1052" w:type="dxa"/>
          </w:tcPr>
          <w:p w:rsidR="007C5447" w:rsidRDefault="00F6308C">
            <w:pPr>
              <w:pStyle w:val="TableParagraph"/>
              <w:spacing w:before="72"/>
              <w:ind w:right="228"/>
              <w:rPr>
                <w:sz w:val="20"/>
              </w:rPr>
            </w:pPr>
            <w:r>
              <w:rPr>
                <w:sz w:val="20"/>
              </w:rPr>
              <w:t>3.97</w:t>
            </w:r>
          </w:p>
        </w:tc>
      </w:tr>
      <w:tr w:rsidR="007C5447">
        <w:trPr>
          <w:trHeight w:val="369"/>
        </w:trPr>
        <w:tc>
          <w:tcPr>
            <w:tcW w:w="3022" w:type="dxa"/>
          </w:tcPr>
          <w:p w:rsidR="007C5447" w:rsidRDefault="00F6308C">
            <w:pPr>
              <w:pStyle w:val="TableParagraph"/>
              <w:spacing w:before="70"/>
              <w:ind w:left="107"/>
              <w:jc w:val="left"/>
              <w:rPr>
                <w:sz w:val="20"/>
              </w:rPr>
            </w:pPr>
            <w:r>
              <w:rPr>
                <w:sz w:val="20"/>
              </w:rPr>
              <w:t>North Chennai TPS</w:t>
            </w:r>
          </w:p>
        </w:tc>
        <w:tc>
          <w:tcPr>
            <w:tcW w:w="1669" w:type="dxa"/>
          </w:tcPr>
          <w:p w:rsidR="007C5447" w:rsidRDefault="00F6308C">
            <w:pPr>
              <w:pStyle w:val="TableParagraph"/>
              <w:spacing w:before="70"/>
              <w:ind w:right="217"/>
              <w:rPr>
                <w:sz w:val="20"/>
              </w:rPr>
            </w:pPr>
            <w:r>
              <w:rPr>
                <w:w w:val="95"/>
                <w:sz w:val="20"/>
              </w:rPr>
              <w:t>4,651.00</w:t>
            </w:r>
          </w:p>
        </w:tc>
        <w:tc>
          <w:tcPr>
            <w:tcW w:w="1395" w:type="dxa"/>
          </w:tcPr>
          <w:p w:rsidR="007C5447" w:rsidRDefault="00F6308C">
            <w:pPr>
              <w:pStyle w:val="TableParagraph"/>
              <w:spacing w:before="70"/>
              <w:ind w:right="217"/>
              <w:rPr>
                <w:sz w:val="20"/>
              </w:rPr>
            </w:pPr>
            <w:r>
              <w:rPr>
                <w:w w:val="95"/>
                <w:sz w:val="20"/>
              </w:rPr>
              <w:t>1,592.94</w:t>
            </w:r>
          </w:p>
        </w:tc>
        <w:tc>
          <w:tcPr>
            <w:tcW w:w="1285" w:type="dxa"/>
          </w:tcPr>
          <w:p w:rsidR="007C5447" w:rsidRDefault="00F6308C">
            <w:pPr>
              <w:pStyle w:val="TableParagraph"/>
              <w:spacing w:before="70"/>
              <w:ind w:right="220"/>
              <w:rPr>
                <w:sz w:val="20"/>
              </w:rPr>
            </w:pPr>
            <w:r>
              <w:rPr>
                <w:sz w:val="20"/>
              </w:rPr>
              <w:t>3.42</w:t>
            </w:r>
          </w:p>
        </w:tc>
        <w:tc>
          <w:tcPr>
            <w:tcW w:w="1300" w:type="dxa"/>
          </w:tcPr>
          <w:p w:rsidR="007C5447" w:rsidRDefault="00F6308C">
            <w:pPr>
              <w:pStyle w:val="TableParagraph"/>
              <w:spacing w:before="70"/>
              <w:ind w:right="219"/>
              <w:rPr>
                <w:sz w:val="20"/>
              </w:rPr>
            </w:pPr>
            <w:r>
              <w:rPr>
                <w:w w:val="95"/>
                <w:sz w:val="20"/>
              </w:rPr>
              <w:t>4,634.00</w:t>
            </w:r>
          </w:p>
        </w:tc>
        <w:tc>
          <w:tcPr>
            <w:tcW w:w="1136" w:type="dxa"/>
          </w:tcPr>
          <w:p w:rsidR="007C5447" w:rsidRDefault="00F6308C">
            <w:pPr>
              <w:pStyle w:val="TableParagraph"/>
              <w:spacing w:before="70"/>
              <w:ind w:right="220"/>
              <w:rPr>
                <w:sz w:val="20"/>
              </w:rPr>
            </w:pPr>
            <w:r>
              <w:rPr>
                <w:w w:val="95"/>
                <w:sz w:val="20"/>
              </w:rPr>
              <w:t>2,061.20</w:t>
            </w:r>
          </w:p>
        </w:tc>
        <w:tc>
          <w:tcPr>
            <w:tcW w:w="1086" w:type="dxa"/>
          </w:tcPr>
          <w:p w:rsidR="007C5447" w:rsidRDefault="00F6308C">
            <w:pPr>
              <w:pStyle w:val="TableParagraph"/>
              <w:spacing w:before="70"/>
              <w:ind w:right="225"/>
              <w:rPr>
                <w:sz w:val="20"/>
              </w:rPr>
            </w:pPr>
            <w:r>
              <w:rPr>
                <w:sz w:val="20"/>
              </w:rPr>
              <w:t>4.45</w:t>
            </w:r>
          </w:p>
        </w:tc>
        <w:tc>
          <w:tcPr>
            <w:tcW w:w="1137" w:type="dxa"/>
          </w:tcPr>
          <w:p w:rsidR="007C5447" w:rsidRDefault="00F6308C">
            <w:pPr>
              <w:pStyle w:val="TableParagraph"/>
              <w:spacing w:before="70"/>
              <w:ind w:right="223"/>
              <w:rPr>
                <w:sz w:val="20"/>
              </w:rPr>
            </w:pPr>
            <w:r>
              <w:rPr>
                <w:w w:val="95"/>
                <w:sz w:val="20"/>
              </w:rPr>
              <w:t>4,634.00</w:t>
            </w:r>
          </w:p>
        </w:tc>
        <w:tc>
          <w:tcPr>
            <w:tcW w:w="1136" w:type="dxa"/>
          </w:tcPr>
          <w:p w:rsidR="007C5447" w:rsidRDefault="00F6308C">
            <w:pPr>
              <w:pStyle w:val="TableParagraph"/>
              <w:spacing w:before="70"/>
              <w:ind w:right="225"/>
              <w:rPr>
                <w:sz w:val="20"/>
              </w:rPr>
            </w:pPr>
            <w:r>
              <w:rPr>
                <w:w w:val="95"/>
                <w:sz w:val="20"/>
              </w:rPr>
              <w:t>379.09</w:t>
            </w:r>
          </w:p>
        </w:tc>
        <w:tc>
          <w:tcPr>
            <w:tcW w:w="1052" w:type="dxa"/>
          </w:tcPr>
          <w:p w:rsidR="007C5447" w:rsidRDefault="00F6308C">
            <w:pPr>
              <w:pStyle w:val="TableParagraph"/>
              <w:spacing w:before="70"/>
              <w:ind w:right="228"/>
              <w:rPr>
                <w:sz w:val="20"/>
              </w:rPr>
            </w:pPr>
            <w:r>
              <w:rPr>
                <w:sz w:val="20"/>
              </w:rPr>
              <w:t>0.82</w:t>
            </w:r>
          </w:p>
        </w:tc>
      </w:tr>
      <w:tr w:rsidR="007C5447">
        <w:trPr>
          <w:trHeight w:val="369"/>
        </w:trPr>
        <w:tc>
          <w:tcPr>
            <w:tcW w:w="3022" w:type="dxa"/>
          </w:tcPr>
          <w:p w:rsidR="007C5447" w:rsidRDefault="00F6308C">
            <w:pPr>
              <w:pStyle w:val="TableParagraph"/>
              <w:spacing w:before="70"/>
              <w:ind w:left="107"/>
              <w:jc w:val="left"/>
              <w:rPr>
                <w:sz w:val="20"/>
              </w:rPr>
            </w:pPr>
            <w:r>
              <w:rPr>
                <w:sz w:val="20"/>
              </w:rPr>
              <w:t>NCTPS Stage-II (Unit 1)</w:t>
            </w:r>
          </w:p>
        </w:tc>
        <w:tc>
          <w:tcPr>
            <w:tcW w:w="1669" w:type="dxa"/>
          </w:tcPr>
          <w:p w:rsidR="007C5447" w:rsidRDefault="00F6308C">
            <w:pPr>
              <w:pStyle w:val="TableParagraph"/>
              <w:spacing w:before="70"/>
              <w:ind w:right="219"/>
              <w:rPr>
                <w:sz w:val="20"/>
              </w:rPr>
            </w:pPr>
            <w:r>
              <w:rPr>
                <w:w w:val="95"/>
                <w:sz w:val="20"/>
              </w:rPr>
              <w:t>19.38</w:t>
            </w:r>
          </w:p>
        </w:tc>
        <w:tc>
          <w:tcPr>
            <w:tcW w:w="1395" w:type="dxa"/>
          </w:tcPr>
          <w:p w:rsidR="007C5447" w:rsidRDefault="00F6308C">
            <w:pPr>
              <w:pStyle w:val="TableParagraph"/>
              <w:spacing w:before="70"/>
              <w:ind w:right="219"/>
              <w:rPr>
                <w:sz w:val="20"/>
              </w:rPr>
            </w:pPr>
            <w:r>
              <w:rPr>
                <w:sz w:val="20"/>
              </w:rPr>
              <w:t>5.14</w:t>
            </w:r>
          </w:p>
        </w:tc>
        <w:tc>
          <w:tcPr>
            <w:tcW w:w="1285" w:type="dxa"/>
          </w:tcPr>
          <w:p w:rsidR="007C5447" w:rsidRDefault="00F6308C">
            <w:pPr>
              <w:pStyle w:val="TableParagraph"/>
              <w:spacing w:before="70"/>
              <w:ind w:right="220"/>
              <w:rPr>
                <w:sz w:val="20"/>
              </w:rPr>
            </w:pPr>
            <w:r>
              <w:rPr>
                <w:sz w:val="20"/>
              </w:rPr>
              <w:t>2.65</w:t>
            </w: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F6308C">
            <w:pPr>
              <w:pStyle w:val="TableParagraph"/>
              <w:spacing w:before="70"/>
              <w:ind w:right="221"/>
              <w:rPr>
                <w:sz w:val="20"/>
              </w:rPr>
            </w:pPr>
            <w:r>
              <w:rPr>
                <w:w w:val="99"/>
                <w:sz w:val="20"/>
              </w:rPr>
              <w:t>-</w:t>
            </w: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r w:rsidR="007C5447">
        <w:trPr>
          <w:trHeight w:val="371"/>
        </w:trPr>
        <w:tc>
          <w:tcPr>
            <w:tcW w:w="3022" w:type="dxa"/>
          </w:tcPr>
          <w:p w:rsidR="007C5447" w:rsidRDefault="00F6308C">
            <w:pPr>
              <w:pStyle w:val="TableParagraph"/>
              <w:spacing w:before="72"/>
              <w:ind w:left="107"/>
              <w:jc w:val="left"/>
              <w:rPr>
                <w:sz w:val="20"/>
              </w:rPr>
            </w:pPr>
            <w:r>
              <w:rPr>
                <w:sz w:val="20"/>
              </w:rPr>
              <w:t>MTPS Stage III</w:t>
            </w:r>
          </w:p>
        </w:tc>
        <w:tc>
          <w:tcPr>
            <w:tcW w:w="1669" w:type="dxa"/>
          </w:tcPr>
          <w:p w:rsidR="007C5447" w:rsidRDefault="00F6308C">
            <w:pPr>
              <w:pStyle w:val="TableParagraph"/>
              <w:spacing w:before="72"/>
              <w:ind w:right="219"/>
              <w:rPr>
                <w:sz w:val="20"/>
              </w:rPr>
            </w:pPr>
            <w:r>
              <w:rPr>
                <w:w w:val="95"/>
                <w:sz w:val="20"/>
              </w:rPr>
              <w:t>339.92</w:t>
            </w:r>
          </w:p>
        </w:tc>
        <w:tc>
          <w:tcPr>
            <w:tcW w:w="1395" w:type="dxa"/>
          </w:tcPr>
          <w:p w:rsidR="007C5447" w:rsidRDefault="00F6308C">
            <w:pPr>
              <w:pStyle w:val="TableParagraph"/>
              <w:spacing w:before="72"/>
              <w:ind w:right="219"/>
              <w:rPr>
                <w:sz w:val="20"/>
              </w:rPr>
            </w:pPr>
            <w:r>
              <w:rPr>
                <w:w w:val="95"/>
                <w:sz w:val="20"/>
              </w:rPr>
              <w:t>144.36</w:t>
            </w:r>
          </w:p>
        </w:tc>
        <w:tc>
          <w:tcPr>
            <w:tcW w:w="1285" w:type="dxa"/>
          </w:tcPr>
          <w:p w:rsidR="007C5447" w:rsidRDefault="00F6308C">
            <w:pPr>
              <w:pStyle w:val="TableParagraph"/>
              <w:spacing w:before="72"/>
              <w:ind w:right="220"/>
              <w:rPr>
                <w:sz w:val="20"/>
              </w:rPr>
            </w:pPr>
            <w:r>
              <w:rPr>
                <w:sz w:val="20"/>
              </w:rPr>
              <w:t>4.25</w:t>
            </w: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F6308C">
            <w:pPr>
              <w:pStyle w:val="TableParagraph"/>
              <w:spacing w:before="72"/>
              <w:ind w:right="221"/>
              <w:rPr>
                <w:sz w:val="20"/>
              </w:rPr>
            </w:pPr>
            <w:r>
              <w:rPr>
                <w:w w:val="99"/>
                <w:sz w:val="20"/>
              </w:rPr>
              <w:t>-</w:t>
            </w: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r w:rsidR="007C5447">
        <w:trPr>
          <w:trHeight w:val="369"/>
        </w:trPr>
        <w:tc>
          <w:tcPr>
            <w:tcW w:w="3022" w:type="dxa"/>
          </w:tcPr>
          <w:p w:rsidR="007C5447" w:rsidRDefault="00F6308C">
            <w:pPr>
              <w:pStyle w:val="TableParagraph"/>
              <w:spacing w:before="70"/>
              <w:ind w:left="107"/>
              <w:jc w:val="left"/>
              <w:rPr>
                <w:sz w:val="20"/>
              </w:rPr>
            </w:pPr>
            <w:r>
              <w:rPr>
                <w:sz w:val="20"/>
              </w:rPr>
              <w:t>Ennore Expansion</w:t>
            </w:r>
          </w:p>
        </w:tc>
        <w:tc>
          <w:tcPr>
            <w:tcW w:w="1669" w:type="dxa"/>
          </w:tcPr>
          <w:p w:rsidR="007C5447" w:rsidRDefault="00F6308C">
            <w:pPr>
              <w:pStyle w:val="TableParagraph"/>
              <w:spacing w:before="70"/>
              <w:ind w:right="215"/>
              <w:rPr>
                <w:sz w:val="20"/>
              </w:rPr>
            </w:pPr>
            <w:r>
              <w:rPr>
                <w:w w:val="99"/>
                <w:sz w:val="20"/>
              </w:rPr>
              <w:t>-</w:t>
            </w:r>
          </w:p>
        </w:tc>
        <w:tc>
          <w:tcPr>
            <w:tcW w:w="1395" w:type="dxa"/>
          </w:tcPr>
          <w:p w:rsidR="007C5447" w:rsidRDefault="00F6308C">
            <w:pPr>
              <w:pStyle w:val="TableParagraph"/>
              <w:spacing w:before="70"/>
              <w:ind w:right="215"/>
              <w:rPr>
                <w:sz w:val="20"/>
              </w:rPr>
            </w:pPr>
            <w:r>
              <w:rPr>
                <w:w w:val="99"/>
                <w:sz w:val="20"/>
              </w:rPr>
              <w:t>-</w:t>
            </w: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F6308C">
            <w:pPr>
              <w:pStyle w:val="TableParagraph"/>
              <w:spacing w:before="70"/>
              <w:ind w:right="221"/>
              <w:rPr>
                <w:sz w:val="20"/>
              </w:rPr>
            </w:pPr>
            <w:r>
              <w:rPr>
                <w:w w:val="99"/>
                <w:sz w:val="20"/>
              </w:rPr>
              <w:t>-</w:t>
            </w: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r w:rsidR="007C5447">
        <w:trPr>
          <w:trHeight w:val="369"/>
        </w:trPr>
        <w:tc>
          <w:tcPr>
            <w:tcW w:w="3022" w:type="dxa"/>
          </w:tcPr>
          <w:p w:rsidR="007C5447" w:rsidRDefault="00F6308C">
            <w:pPr>
              <w:pStyle w:val="TableParagraph"/>
              <w:spacing w:before="70"/>
              <w:ind w:left="107"/>
              <w:jc w:val="left"/>
              <w:rPr>
                <w:b/>
                <w:sz w:val="20"/>
              </w:rPr>
            </w:pPr>
            <w:r>
              <w:rPr>
                <w:b/>
                <w:sz w:val="20"/>
              </w:rPr>
              <w:t>Total Thermal</w:t>
            </w:r>
          </w:p>
        </w:tc>
        <w:tc>
          <w:tcPr>
            <w:tcW w:w="1669" w:type="dxa"/>
          </w:tcPr>
          <w:p w:rsidR="007C5447" w:rsidRDefault="00F6308C">
            <w:pPr>
              <w:pStyle w:val="TableParagraph"/>
              <w:spacing w:before="70"/>
              <w:ind w:right="219"/>
              <w:rPr>
                <w:b/>
                <w:sz w:val="20"/>
              </w:rPr>
            </w:pPr>
            <w:r>
              <w:rPr>
                <w:b/>
                <w:w w:val="95"/>
                <w:sz w:val="20"/>
              </w:rPr>
              <w:t>18,933.30</w:t>
            </w:r>
          </w:p>
        </w:tc>
        <w:tc>
          <w:tcPr>
            <w:tcW w:w="1395" w:type="dxa"/>
          </w:tcPr>
          <w:p w:rsidR="007C5447" w:rsidRDefault="00F6308C">
            <w:pPr>
              <w:pStyle w:val="TableParagraph"/>
              <w:spacing w:before="70"/>
              <w:ind w:right="217"/>
              <w:rPr>
                <w:b/>
                <w:sz w:val="20"/>
              </w:rPr>
            </w:pPr>
            <w:r>
              <w:rPr>
                <w:b/>
                <w:w w:val="95"/>
                <w:sz w:val="20"/>
              </w:rPr>
              <w:t>7,111.17</w:t>
            </w:r>
          </w:p>
        </w:tc>
        <w:tc>
          <w:tcPr>
            <w:tcW w:w="1285" w:type="dxa"/>
          </w:tcPr>
          <w:p w:rsidR="007C5447" w:rsidRDefault="00F6308C">
            <w:pPr>
              <w:pStyle w:val="TableParagraph"/>
              <w:spacing w:before="70"/>
              <w:ind w:right="220"/>
              <w:rPr>
                <w:b/>
                <w:sz w:val="20"/>
              </w:rPr>
            </w:pPr>
            <w:r>
              <w:rPr>
                <w:b/>
                <w:sz w:val="20"/>
              </w:rPr>
              <w:t>3.76</w:t>
            </w:r>
          </w:p>
        </w:tc>
        <w:tc>
          <w:tcPr>
            <w:tcW w:w="1300" w:type="dxa"/>
          </w:tcPr>
          <w:p w:rsidR="007C5447" w:rsidRDefault="00F6308C">
            <w:pPr>
              <w:pStyle w:val="TableParagraph"/>
              <w:spacing w:before="70"/>
              <w:ind w:right="221"/>
              <w:rPr>
                <w:b/>
                <w:sz w:val="20"/>
              </w:rPr>
            </w:pPr>
            <w:r>
              <w:rPr>
                <w:b/>
                <w:w w:val="95"/>
                <w:sz w:val="20"/>
              </w:rPr>
              <w:t>18,548.00</w:t>
            </w:r>
          </w:p>
        </w:tc>
        <w:tc>
          <w:tcPr>
            <w:tcW w:w="1136" w:type="dxa"/>
          </w:tcPr>
          <w:p w:rsidR="007C5447" w:rsidRDefault="00F6308C">
            <w:pPr>
              <w:pStyle w:val="TableParagraph"/>
              <w:spacing w:before="70"/>
              <w:ind w:right="220"/>
              <w:rPr>
                <w:b/>
                <w:sz w:val="20"/>
              </w:rPr>
            </w:pPr>
            <w:r>
              <w:rPr>
                <w:b/>
                <w:w w:val="95"/>
                <w:sz w:val="20"/>
              </w:rPr>
              <w:t>8,589.47</w:t>
            </w:r>
          </w:p>
        </w:tc>
        <w:tc>
          <w:tcPr>
            <w:tcW w:w="1086" w:type="dxa"/>
          </w:tcPr>
          <w:p w:rsidR="007C5447" w:rsidRDefault="00F6308C">
            <w:pPr>
              <w:pStyle w:val="TableParagraph"/>
              <w:spacing w:before="70"/>
              <w:ind w:right="225"/>
              <w:rPr>
                <w:b/>
                <w:sz w:val="20"/>
              </w:rPr>
            </w:pPr>
            <w:r>
              <w:rPr>
                <w:b/>
                <w:sz w:val="20"/>
              </w:rPr>
              <w:t>4.63</w:t>
            </w:r>
          </w:p>
        </w:tc>
        <w:tc>
          <w:tcPr>
            <w:tcW w:w="1137" w:type="dxa"/>
          </w:tcPr>
          <w:p w:rsidR="007C5447" w:rsidRDefault="00F6308C">
            <w:pPr>
              <w:pStyle w:val="TableParagraph"/>
              <w:spacing w:before="70"/>
              <w:ind w:right="223"/>
              <w:rPr>
                <w:b/>
                <w:sz w:val="20"/>
              </w:rPr>
            </w:pPr>
            <w:r>
              <w:rPr>
                <w:b/>
                <w:w w:val="95"/>
                <w:sz w:val="20"/>
              </w:rPr>
              <w:t>18,548.00</w:t>
            </w:r>
          </w:p>
        </w:tc>
        <w:tc>
          <w:tcPr>
            <w:tcW w:w="1136" w:type="dxa"/>
          </w:tcPr>
          <w:p w:rsidR="007C5447" w:rsidRDefault="00F6308C">
            <w:pPr>
              <w:pStyle w:val="TableParagraph"/>
              <w:spacing w:before="70"/>
              <w:ind w:right="223"/>
              <w:rPr>
                <w:b/>
                <w:sz w:val="20"/>
              </w:rPr>
            </w:pPr>
            <w:r>
              <w:rPr>
                <w:b/>
                <w:w w:val="95"/>
                <w:sz w:val="20"/>
              </w:rPr>
              <w:t>5,736.18</w:t>
            </w:r>
          </w:p>
        </w:tc>
        <w:tc>
          <w:tcPr>
            <w:tcW w:w="1052" w:type="dxa"/>
          </w:tcPr>
          <w:p w:rsidR="007C5447" w:rsidRDefault="00F6308C">
            <w:pPr>
              <w:pStyle w:val="TableParagraph"/>
              <w:spacing w:before="70"/>
              <w:ind w:right="228"/>
              <w:rPr>
                <w:b/>
                <w:sz w:val="20"/>
              </w:rPr>
            </w:pPr>
            <w:r>
              <w:rPr>
                <w:b/>
                <w:sz w:val="20"/>
              </w:rPr>
              <w:t>3.09</w:t>
            </w:r>
          </w:p>
        </w:tc>
      </w:tr>
      <w:tr w:rsidR="007C5447">
        <w:trPr>
          <w:trHeight w:val="371"/>
        </w:trPr>
        <w:tc>
          <w:tcPr>
            <w:tcW w:w="3022" w:type="dxa"/>
          </w:tcPr>
          <w:p w:rsidR="007C5447" w:rsidRDefault="00F6308C">
            <w:pPr>
              <w:pStyle w:val="TableParagraph"/>
              <w:spacing w:before="72"/>
              <w:ind w:left="107"/>
              <w:jc w:val="left"/>
              <w:rPr>
                <w:sz w:val="20"/>
              </w:rPr>
            </w:pPr>
            <w:r>
              <w:rPr>
                <w:sz w:val="20"/>
              </w:rPr>
              <w:t>TGTPS</w:t>
            </w:r>
          </w:p>
        </w:tc>
        <w:tc>
          <w:tcPr>
            <w:tcW w:w="1669" w:type="dxa"/>
          </w:tcPr>
          <w:p w:rsidR="007C5447" w:rsidRDefault="00F6308C">
            <w:pPr>
              <w:pStyle w:val="TableParagraph"/>
              <w:spacing w:before="72"/>
              <w:ind w:right="219"/>
              <w:rPr>
                <w:sz w:val="20"/>
              </w:rPr>
            </w:pPr>
            <w:r>
              <w:rPr>
                <w:w w:val="95"/>
                <w:sz w:val="20"/>
              </w:rPr>
              <w:t>678.00</w:t>
            </w:r>
          </w:p>
        </w:tc>
        <w:tc>
          <w:tcPr>
            <w:tcW w:w="1395" w:type="dxa"/>
          </w:tcPr>
          <w:p w:rsidR="007C5447" w:rsidRDefault="00F6308C">
            <w:pPr>
              <w:pStyle w:val="TableParagraph"/>
              <w:spacing w:before="72"/>
              <w:ind w:right="219"/>
              <w:rPr>
                <w:sz w:val="20"/>
              </w:rPr>
            </w:pPr>
            <w:r>
              <w:rPr>
                <w:w w:val="95"/>
                <w:sz w:val="20"/>
              </w:rPr>
              <w:t>202.46</w:t>
            </w:r>
          </w:p>
        </w:tc>
        <w:tc>
          <w:tcPr>
            <w:tcW w:w="1285" w:type="dxa"/>
          </w:tcPr>
          <w:p w:rsidR="007C5447" w:rsidRDefault="00F6308C">
            <w:pPr>
              <w:pStyle w:val="TableParagraph"/>
              <w:spacing w:before="72"/>
              <w:ind w:right="220"/>
              <w:rPr>
                <w:sz w:val="20"/>
              </w:rPr>
            </w:pPr>
            <w:r>
              <w:rPr>
                <w:sz w:val="20"/>
              </w:rPr>
              <w:t>2.99</w:t>
            </w:r>
          </w:p>
        </w:tc>
        <w:tc>
          <w:tcPr>
            <w:tcW w:w="1300" w:type="dxa"/>
          </w:tcPr>
          <w:p w:rsidR="007C5447" w:rsidRDefault="00F6308C">
            <w:pPr>
              <w:pStyle w:val="TableParagraph"/>
              <w:spacing w:before="72"/>
              <w:ind w:right="221"/>
              <w:rPr>
                <w:sz w:val="20"/>
              </w:rPr>
            </w:pPr>
            <w:r>
              <w:rPr>
                <w:w w:val="95"/>
                <w:sz w:val="20"/>
              </w:rPr>
              <w:t>682.00</w:t>
            </w:r>
          </w:p>
        </w:tc>
        <w:tc>
          <w:tcPr>
            <w:tcW w:w="1136" w:type="dxa"/>
          </w:tcPr>
          <w:p w:rsidR="007C5447" w:rsidRDefault="00F6308C">
            <w:pPr>
              <w:pStyle w:val="TableParagraph"/>
              <w:spacing w:before="72"/>
              <w:ind w:right="222"/>
              <w:rPr>
                <w:sz w:val="20"/>
              </w:rPr>
            </w:pPr>
            <w:r>
              <w:rPr>
                <w:w w:val="95"/>
                <w:sz w:val="20"/>
              </w:rPr>
              <w:t>274.14</w:t>
            </w:r>
          </w:p>
        </w:tc>
        <w:tc>
          <w:tcPr>
            <w:tcW w:w="1086" w:type="dxa"/>
          </w:tcPr>
          <w:p w:rsidR="007C5447" w:rsidRDefault="00F6308C">
            <w:pPr>
              <w:pStyle w:val="TableParagraph"/>
              <w:spacing w:before="72"/>
              <w:ind w:right="225"/>
              <w:rPr>
                <w:sz w:val="20"/>
              </w:rPr>
            </w:pPr>
            <w:r>
              <w:rPr>
                <w:sz w:val="20"/>
              </w:rPr>
              <w:t>4.02</w:t>
            </w:r>
          </w:p>
        </w:tc>
        <w:tc>
          <w:tcPr>
            <w:tcW w:w="1137" w:type="dxa"/>
          </w:tcPr>
          <w:p w:rsidR="007C5447" w:rsidRDefault="00F6308C">
            <w:pPr>
              <w:pStyle w:val="TableParagraph"/>
              <w:spacing w:before="72"/>
              <w:ind w:right="224"/>
              <w:rPr>
                <w:sz w:val="20"/>
              </w:rPr>
            </w:pPr>
            <w:r>
              <w:rPr>
                <w:w w:val="95"/>
                <w:sz w:val="20"/>
              </w:rPr>
              <w:t>682.00</w:t>
            </w:r>
          </w:p>
        </w:tc>
        <w:tc>
          <w:tcPr>
            <w:tcW w:w="1136" w:type="dxa"/>
          </w:tcPr>
          <w:p w:rsidR="007C5447" w:rsidRDefault="00F6308C">
            <w:pPr>
              <w:pStyle w:val="TableParagraph"/>
              <w:spacing w:before="72"/>
              <w:ind w:right="225"/>
              <w:rPr>
                <w:sz w:val="20"/>
              </w:rPr>
            </w:pPr>
            <w:r>
              <w:rPr>
                <w:w w:val="95"/>
                <w:sz w:val="20"/>
              </w:rPr>
              <w:t>206.67</w:t>
            </w:r>
          </w:p>
        </w:tc>
        <w:tc>
          <w:tcPr>
            <w:tcW w:w="1052" w:type="dxa"/>
          </w:tcPr>
          <w:p w:rsidR="007C5447" w:rsidRDefault="00F6308C">
            <w:pPr>
              <w:pStyle w:val="TableParagraph"/>
              <w:spacing w:before="72"/>
              <w:ind w:right="228"/>
              <w:rPr>
                <w:sz w:val="20"/>
              </w:rPr>
            </w:pPr>
            <w:r>
              <w:rPr>
                <w:sz w:val="20"/>
              </w:rPr>
              <w:t>3.03</w:t>
            </w:r>
          </w:p>
        </w:tc>
      </w:tr>
      <w:tr w:rsidR="007C5447">
        <w:trPr>
          <w:trHeight w:val="369"/>
        </w:trPr>
        <w:tc>
          <w:tcPr>
            <w:tcW w:w="3022" w:type="dxa"/>
          </w:tcPr>
          <w:p w:rsidR="007C5447" w:rsidRDefault="00F6308C">
            <w:pPr>
              <w:pStyle w:val="TableParagraph"/>
              <w:spacing w:before="70"/>
              <w:ind w:left="107"/>
              <w:jc w:val="left"/>
              <w:rPr>
                <w:sz w:val="20"/>
              </w:rPr>
            </w:pPr>
            <w:r>
              <w:rPr>
                <w:sz w:val="20"/>
              </w:rPr>
              <w:t>KGTPS</w:t>
            </w:r>
          </w:p>
        </w:tc>
        <w:tc>
          <w:tcPr>
            <w:tcW w:w="1669" w:type="dxa"/>
          </w:tcPr>
          <w:p w:rsidR="007C5447" w:rsidRDefault="00F6308C">
            <w:pPr>
              <w:pStyle w:val="TableParagraph"/>
              <w:spacing w:before="70"/>
              <w:ind w:right="219"/>
              <w:rPr>
                <w:sz w:val="20"/>
              </w:rPr>
            </w:pPr>
            <w:r>
              <w:rPr>
                <w:w w:val="95"/>
                <w:sz w:val="20"/>
              </w:rPr>
              <w:t>51.00</w:t>
            </w:r>
          </w:p>
        </w:tc>
        <w:tc>
          <w:tcPr>
            <w:tcW w:w="1395" w:type="dxa"/>
          </w:tcPr>
          <w:p w:rsidR="007C5447" w:rsidRDefault="00F6308C">
            <w:pPr>
              <w:pStyle w:val="TableParagraph"/>
              <w:spacing w:before="70"/>
              <w:ind w:right="219"/>
              <w:rPr>
                <w:sz w:val="20"/>
              </w:rPr>
            </w:pPr>
            <w:r>
              <w:rPr>
                <w:w w:val="95"/>
                <w:sz w:val="20"/>
              </w:rPr>
              <w:t>25.01</w:t>
            </w:r>
          </w:p>
        </w:tc>
        <w:tc>
          <w:tcPr>
            <w:tcW w:w="1285" w:type="dxa"/>
          </w:tcPr>
          <w:p w:rsidR="007C5447" w:rsidRDefault="00F6308C">
            <w:pPr>
              <w:pStyle w:val="TableParagraph"/>
              <w:spacing w:before="70"/>
              <w:ind w:right="220"/>
              <w:rPr>
                <w:sz w:val="20"/>
              </w:rPr>
            </w:pPr>
            <w:r>
              <w:rPr>
                <w:sz w:val="20"/>
              </w:rPr>
              <w:t>4.90</w:t>
            </w:r>
          </w:p>
        </w:tc>
        <w:tc>
          <w:tcPr>
            <w:tcW w:w="1300" w:type="dxa"/>
          </w:tcPr>
          <w:p w:rsidR="007C5447" w:rsidRDefault="00F6308C">
            <w:pPr>
              <w:pStyle w:val="TableParagraph"/>
              <w:spacing w:before="70"/>
              <w:ind w:right="221"/>
              <w:rPr>
                <w:sz w:val="20"/>
              </w:rPr>
            </w:pPr>
            <w:r>
              <w:rPr>
                <w:w w:val="95"/>
                <w:sz w:val="20"/>
              </w:rPr>
              <w:t>51.00</w:t>
            </w:r>
          </w:p>
        </w:tc>
        <w:tc>
          <w:tcPr>
            <w:tcW w:w="1136" w:type="dxa"/>
          </w:tcPr>
          <w:p w:rsidR="007C5447" w:rsidRDefault="00F6308C">
            <w:pPr>
              <w:pStyle w:val="TableParagraph"/>
              <w:spacing w:before="70"/>
              <w:ind w:right="222"/>
              <w:rPr>
                <w:sz w:val="20"/>
              </w:rPr>
            </w:pPr>
            <w:r>
              <w:rPr>
                <w:w w:val="95"/>
                <w:sz w:val="20"/>
              </w:rPr>
              <w:t>79.42</w:t>
            </w:r>
          </w:p>
        </w:tc>
        <w:tc>
          <w:tcPr>
            <w:tcW w:w="1086" w:type="dxa"/>
          </w:tcPr>
          <w:p w:rsidR="007C5447" w:rsidRDefault="00F6308C">
            <w:pPr>
              <w:pStyle w:val="TableParagraph"/>
              <w:spacing w:before="70"/>
              <w:ind w:right="225"/>
              <w:rPr>
                <w:sz w:val="20"/>
              </w:rPr>
            </w:pPr>
            <w:r>
              <w:rPr>
                <w:w w:val="95"/>
                <w:sz w:val="20"/>
              </w:rPr>
              <w:t>15.57</w:t>
            </w:r>
          </w:p>
        </w:tc>
        <w:tc>
          <w:tcPr>
            <w:tcW w:w="1137" w:type="dxa"/>
          </w:tcPr>
          <w:p w:rsidR="007C5447" w:rsidRDefault="00F6308C">
            <w:pPr>
              <w:pStyle w:val="TableParagraph"/>
              <w:spacing w:before="70"/>
              <w:ind w:right="224"/>
              <w:rPr>
                <w:sz w:val="20"/>
              </w:rPr>
            </w:pPr>
            <w:r>
              <w:rPr>
                <w:w w:val="95"/>
                <w:sz w:val="20"/>
              </w:rPr>
              <w:t>51.00</w:t>
            </w:r>
          </w:p>
        </w:tc>
        <w:tc>
          <w:tcPr>
            <w:tcW w:w="1136" w:type="dxa"/>
          </w:tcPr>
          <w:p w:rsidR="007C5447" w:rsidRDefault="00F6308C">
            <w:pPr>
              <w:pStyle w:val="TableParagraph"/>
              <w:spacing w:before="70"/>
              <w:ind w:right="225"/>
              <w:rPr>
                <w:sz w:val="20"/>
              </w:rPr>
            </w:pPr>
            <w:r>
              <w:rPr>
                <w:w w:val="95"/>
                <w:sz w:val="20"/>
              </w:rPr>
              <w:t>19.35</w:t>
            </w:r>
          </w:p>
        </w:tc>
        <w:tc>
          <w:tcPr>
            <w:tcW w:w="1052" w:type="dxa"/>
          </w:tcPr>
          <w:p w:rsidR="007C5447" w:rsidRDefault="00F6308C">
            <w:pPr>
              <w:pStyle w:val="TableParagraph"/>
              <w:spacing w:before="70"/>
              <w:ind w:right="228"/>
              <w:rPr>
                <w:sz w:val="20"/>
              </w:rPr>
            </w:pPr>
            <w:r>
              <w:rPr>
                <w:sz w:val="20"/>
              </w:rPr>
              <w:t>3.79</w:t>
            </w:r>
          </w:p>
        </w:tc>
      </w:tr>
      <w:tr w:rsidR="007C5447">
        <w:trPr>
          <w:trHeight w:val="369"/>
        </w:trPr>
        <w:tc>
          <w:tcPr>
            <w:tcW w:w="3022" w:type="dxa"/>
          </w:tcPr>
          <w:p w:rsidR="007C5447" w:rsidRDefault="00F6308C">
            <w:pPr>
              <w:pStyle w:val="TableParagraph"/>
              <w:spacing w:before="70"/>
              <w:ind w:left="107"/>
              <w:jc w:val="left"/>
              <w:rPr>
                <w:sz w:val="20"/>
              </w:rPr>
            </w:pPr>
            <w:r>
              <w:rPr>
                <w:sz w:val="20"/>
              </w:rPr>
              <w:t>BBGTPS</w:t>
            </w:r>
          </w:p>
        </w:tc>
        <w:tc>
          <w:tcPr>
            <w:tcW w:w="1669" w:type="dxa"/>
          </w:tcPr>
          <w:p w:rsidR="007C5447" w:rsidRDefault="00F6308C">
            <w:pPr>
              <w:pStyle w:val="TableParagraph"/>
              <w:spacing w:before="70"/>
              <w:ind w:right="215"/>
              <w:rPr>
                <w:sz w:val="20"/>
              </w:rPr>
            </w:pPr>
            <w:r>
              <w:rPr>
                <w:w w:val="99"/>
                <w:sz w:val="20"/>
              </w:rPr>
              <w:t>-</w:t>
            </w:r>
          </w:p>
        </w:tc>
        <w:tc>
          <w:tcPr>
            <w:tcW w:w="1395" w:type="dxa"/>
          </w:tcPr>
          <w:p w:rsidR="007C5447" w:rsidRDefault="00F6308C">
            <w:pPr>
              <w:pStyle w:val="TableParagraph"/>
              <w:spacing w:before="70"/>
              <w:ind w:right="216"/>
              <w:rPr>
                <w:sz w:val="20"/>
              </w:rPr>
            </w:pPr>
            <w:r>
              <w:rPr>
                <w:sz w:val="20"/>
              </w:rPr>
              <w:t>44.44</w:t>
            </w:r>
          </w:p>
        </w:tc>
        <w:tc>
          <w:tcPr>
            <w:tcW w:w="1285" w:type="dxa"/>
          </w:tcPr>
          <w:p w:rsidR="007C5447" w:rsidRDefault="007C5447">
            <w:pPr>
              <w:pStyle w:val="TableParagraph"/>
              <w:jc w:val="left"/>
              <w:rPr>
                <w:sz w:val="20"/>
              </w:rPr>
            </w:pPr>
          </w:p>
        </w:tc>
        <w:tc>
          <w:tcPr>
            <w:tcW w:w="1300" w:type="dxa"/>
          </w:tcPr>
          <w:p w:rsidR="007C5447" w:rsidRDefault="00F6308C">
            <w:pPr>
              <w:pStyle w:val="TableParagraph"/>
              <w:spacing w:before="70"/>
              <w:ind w:right="217"/>
              <w:rPr>
                <w:sz w:val="20"/>
              </w:rPr>
            </w:pPr>
            <w:r>
              <w:rPr>
                <w:w w:val="99"/>
                <w:sz w:val="20"/>
              </w:rPr>
              <w:t>-</w:t>
            </w:r>
          </w:p>
        </w:tc>
        <w:tc>
          <w:tcPr>
            <w:tcW w:w="1136" w:type="dxa"/>
          </w:tcPr>
          <w:p w:rsidR="007C5447" w:rsidRDefault="00F6308C">
            <w:pPr>
              <w:pStyle w:val="TableParagraph"/>
              <w:spacing w:before="70"/>
              <w:ind w:right="222"/>
              <w:rPr>
                <w:sz w:val="20"/>
              </w:rPr>
            </w:pPr>
            <w:r>
              <w:rPr>
                <w:w w:val="95"/>
                <w:sz w:val="20"/>
              </w:rPr>
              <w:t>164.92</w:t>
            </w:r>
          </w:p>
        </w:tc>
        <w:tc>
          <w:tcPr>
            <w:tcW w:w="1086" w:type="dxa"/>
          </w:tcPr>
          <w:p w:rsidR="007C5447" w:rsidRDefault="00F6308C">
            <w:pPr>
              <w:pStyle w:val="TableParagraph"/>
              <w:spacing w:before="70"/>
              <w:ind w:right="224"/>
              <w:rPr>
                <w:sz w:val="20"/>
              </w:rPr>
            </w:pPr>
            <w:r>
              <w:rPr>
                <w:w w:val="99"/>
                <w:sz w:val="20"/>
              </w:rPr>
              <w:t>-</w:t>
            </w:r>
          </w:p>
        </w:tc>
        <w:tc>
          <w:tcPr>
            <w:tcW w:w="1137" w:type="dxa"/>
          </w:tcPr>
          <w:p w:rsidR="007C5447" w:rsidRDefault="00F6308C">
            <w:pPr>
              <w:pStyle w:val="TableParagraph"/>
              <w:spacing w:before="70"/>
              <w:ind w:right="221"/>
              <w:rPr>
                <w:sz w:val="20"/>
              </w:rPr>
            </w:pPr>
            <w:r>
              <w:rPr>
                <w:w w:val="99"/>
                <w:sz w:val="20"/>
              </w:rPr>
              <w:t>-</w:t>
            </w:r>
          </w:p>
        </w:tc>
        <w:tc>
          <w:tcPr>
            <w:tcW w:w="1136" w:type="dxa"/>
          </w:tcPr>
          <w:p w:rsidR="007C5447" w:rsidRDefault="00F6308C">
            <w:pPr>
              <w:pStyle w:val="TableParagraph"/>
              <w:spacing w:before="70"/>
              <w:ind w:right="225"/>
              <w:rPr>
                <w:sz w:val="20"/>
              </w:rPr>
            </w:pPr>
            <w:r>
              <w:rPr>
                <w:w w:val="95"/>
                <w:sz w:val="20"/>
              </w:rPr>
              <w:t>45.58</w:t>
            </w:r>
          </w:p>
        </w:tc>
        <w:tc>
          <w:tcPr>
            <w:tcW w:w="1052" w:type="dxa"/>
          </w:tcPr>
          <w:p w:rsidR="007C5447" w:rsidRDefault="00F6308C">
            <w:pPr>
              <w:pStyle w:val="TableParagraph"/>
              <w:spacing w:before="70"/>
              <w:ind w:right="225"/>
              <w:rPr>
                <w:sz w:val="20"/>
              </w:rPr>
            </w:pPr>
            <w:r>
              <w:rPr>
                <w:w w:val="99"/>
                <w:sz w:val="20"/>
              </w:rPr>
              <w:t>-</w:t>
            </w:r>
          </w:p>
        </w:tc>
      </w:tr>
      <w:tr w:rsidR="007C5447">
        <w:trPr>
          <w:trHeight w:val="371"/>
        </w:trPr>
        <w:tc>
          <w:tcPr>
            <w:tcW w:w="3022" w:type="dxa"/>
          </w:tcPr>
          <w:p w:rsidR="007C5447" w:rsidRDefault="00F6308C">
            <w:pPr>
              <w:pStyle w:val="TableParagraph"/>
              <w:spacing w:before="72"/>
              <w:ind w:left="107"/>
              <w:jc w:val="left"/>
              <w:rPr>
                <w:sz w:val="20"/>
              </w:rPr>
            </w:pPr>
            <w:r>
              <w:rPr>
                <w:sz w:val="20"/>
              </w:rPr>
              <w:t>VGTPS (Unit 1 and 2)</w:t>
            </w:r>
          </w:p>
        </w:tc>
        <w:tc>
          <w:tcPr>
            <w:tcW w:w="1669" w:type="dxa"/>
          </w:tcPr>
          <w:p w:rsidR="007C5447" w:rsidRDefault="00F6308C">
            <w:pPr>
              <w:pStyle w:val="TableParagraph"/>
              <w:spacing w:before="72"/>
              <w:ind w:right="219"/>
              <w:rPr>
                <w:sz w:val="20"/>
              </w:rPr>
            </w:pPr>
            <w:r>
              <w:rPr>
                <w:w w:val="95"/>
                <w:sz w:val="20"/>
              </w:rPr>
              <w:t>873.00</w:t>
            </w:r>
          </w:p>
        </w:tc>
        <w:tc>
          <w:tcPr>
            <w:tcW w:w="1395" w:type="dxa"/>
          </w:tcPr>
          <w:p w:rsidR="007C5447" w:rsidRDefault="00F6308C">
            <w:pPr>
              <w:pStyle w:val="TableParagraph"/>
              <w:spacing w:before="72"/>
              <w:ind w:right="217"/>
              <w:rPr>
                <w:sz w:val="20"/>
              </w:rPr>
            </w:pPr>
            <w:r>
              <w:rPr>
                <w:sz w:val="20"/>
              </w:rPr>
              <w:t>263.25</w:t>
            </w:r>
          </w:p>
        </w:tc>
        <w:tc>
          <w:tcPr>
            <w:tcW w:w="1285" w:type="dxa"/>
          </w:tcPr>
          <w:p w:rsidR="007C5447" w:rsidRDefault="00F6308C">
            <w:pPr>
              <w:pStyle w:val="TableParagraph"/>
              <w:spacing w:before="72"/>
              <w:ind w:right="220"/>
              <w:rPr>
                <w:sz w:val="20"/>
              </w:rPr>
            </w:pPr>
            <w:r>
              <w:rPr>
                <w:sz w:val="20"/>
              </w:rPr>
              <w:t>3.02</w:t>
            </w:r>
          </w:p>
        </w:tc>
        <w:tc>
          <w:tcPr>
            <w:tcW w:w="1300" w:type="dxa"/>
          </w:tcPr>
          <w:p w:rsidR="007C5447" w:rsidRDefault="00F6308C">
            <w:pPr>
              <w:pStyle w:val="TableParagraph"/>
              <w:spacing w:before="72"/>
              <w:ind w:right="221"/>
              <w:rPr>
                <w:sz w:val="20"/>
              </w:rPr>
            </w:pPr>
            <w:r>
              <w:rPr>
                <w:w w:val="95"/>
                <w:sz w:val="20"/>
              </w:rPr>
              <w:t>885.00</w:t>
            </w:r>
          </w:p>
        </w:tc>
        <w:tc>
          <w:tcPr>
            <w:tcW w:w="1136" w:type="dxa"/>
          </w:tcPr>
          <w:p w:rsidR="007C5447" w:rsidRDefault="00F6308C">
            <w:pPr>
              <w:pStyle w:val="TableParagraph"/>
              <w:spacing w:before="72"/>
              <w:ind w:right="222"/>
              <w:rPr>
                <w:sz w:val="20"/>
              </w:rPr>
            </w:pPr>
            <w:r>
              <w:rPr>
                <w:w w:val="95"/>
                <w:sz w:val="20"/>
              </w:rPr>
              <w:t>356.21</w:t>
            </w:r>
          </w:p>
        </w:tc>
        <w:tc>
          <w:tcPr>
            <w:tcW w:w="1086" w:type="dxa"/>
          </w:tcPr>
          <w:p w:rsidR="007C5447" w:rsidRDefault="00F6308C">
            <w:pPr>
              <w:pStyle w:val="TableParagraph"/>
              <w:spacing w:before="72"/>
              <w:ind w:right="225"/>
              <w:rPr>
                <w:sz w:val="20"/>
              </w:rPr>
            </w:pPr>
            <w:r>
              <w:rPr>
                <w:sz w:val="20"/>
              </w:rPr>
              <w:t>4.02</w:t>
            </w:r>
          </w:p>
        </w:tc>
        <w:tc>
          <w:tcPr>
            <w:tcW w:w="1137" w:type="dxa"/>
          </w:tcPr>
          <w:p w:rsidR="007C5447" w:rsidRDefault="00F6308C">
            <w:pPr>
              <w:pStyle w:val="TableParagraph"/>
              <w:spacing w:before="72"/>
              <w:ind w:right="224"/>
              <w:rPr>
                <w:sz w:val="20"/>
              </w:rPr>
            </w:pPr>
            <w:r>
              <w:rPr>
                <w:w w:val="95"/>
                <w:sz w:val="20"/>
              </w:rPr>
              <w:t>885.00</w:t>
            </w:r>
          </w:p>
        </w:tc>
        <w:tc>
          <w:tcPr>
            <w:tcW w:w="1136" w:type="dxa"/>
          </w:tcPr>
          <w:p w:rsidR="007C5447" w:rsidRDefault="00F6308C">
            <w:pPr>
              <w:pStyle w:val="TableParagraph"/>
              <w:spacing w:before="72"/>
              <w:ind w:right="225"/>
              <w:rPr>
                <w:sz w:val="20"/>
              </w:rPr>
            </w:pPr>
            <w:r>
              <w:rPr>
                <w:w w:val="95"/>
                <w:sz w:val="20"/>
              </w:rPr>
              <w:t>321.00</w:t>
            </w:r>
          </w:p>
        </w:tc>
        <w:tc>
          <w:tcPr>
            <w:tcW w:w="1052" w:type="dxa"/>
          </w:tcPr>
          <w:p w:rsidR="007C5447" w:rsidRDefault="00F6308C">
            <w:pPr>
              <w:pStyle w:val="TableParagraph"/>
              <w:spacing w:before="72"/>
              <w:ind w:right="228"/>
              <w:rPr>
                <w:sz w:val="20"/>
              </w:rPr>
            </w:pPr>
            <w:r>
              <w:rPr>
                <w:sz w:val="20"/>
              </w:rPr>
              <w:t>3.63</w:t>
            </w:r>
          </w:p>
        </w:tc>
      </w:tr>
      <w:tr w:rsidR="007C5447">
        <w:trPr>
          <w:trHeight w:val="369"/>
        </w:trPr>
        <w:tc>
          <w:tcPr>
            <w:tcW w:w="3022" w:type="dxa"/>
          </w:tcPr>
          <w:p w:rsidR="007C5447" w:rsidRDefault="00F6308C">
            <w:pPr>
              <w:pStyle w:val="TableParagraph"/>
              <w:spacing w:before="70"/>
              <w:ind w:left="107"/>
              <w:jc w:val="left"/>
              <w:rPr>
                <w:b/>
                <w:sz w:val="20"/>
              </w:rPr>
            </w:pPr>
            <w:r>
              <w:rPr>
                <w:b/>
                <w:sz w:val="20"/>
              </w:rPr>
              <w:t>Total Gas</w:t>
            </w:r>
          </w:p>
        </w:tc>
        <w:tc>
          <w:tcPr>
            <w:tcW w:w="1669" w:type="dxa"/>
          </w:tcPr>
          <w:p w:rsidR="007C5447" w:rsidRDefault="00F6308C">
            <w:pPr>
              <w:pStyle w:val="TableParagraph"/>
              <w:spacing w:before="70"/>
              <w:ind w:right="217"/>
              <w:rPr>
                <w:b/>
                <w:sz w:val="20"/>
              </w:rPr>
            </w:pPr>
            <w:r>
              <w:rPr>
                <w:b/>
                <w:w w:val="95"/>
                <w:sz w:val="20"/>
              </w:rPr>
              <w:t>1,602.40</w:t>
            </w:r>
          </w:p>
        </w:tc>
        <w:tc>
          <w:tcPr>
            <w:tcW w:w="1395" w:type="dxa"/>
          </w:tcPr>
          <w:p w:rsidR="007C5447" w:rsidRDefault="00F6308C">
            <w:pPr>
              <w:pStyle w:val="TableParagraph"/>
              <w:spacing w:before="70"/>
              <w:ind w:right="219"/>
              <w:rPr>
                <w:b/>
                <w:sz w:val="20"/>
              </w:rPr>
            </w:pPr>
            <w:r>
              <w:rPr>
                <w:b/>
                <w:w w:val="95"/>
                <w:sz w:val="20"/>
              </w:rPr>
              <w:t>535.15</w:t>
            </w:r>
          </w:p>
        </w:tc>
        <w:tc>
          <w:tcPr>
            <w:tcW w:w="1285" w:type="dxa"/>
          </w:tcPr>
          <w:p w:rsidR="007C5447" w:rsidRDefault="00F6308C">
            <w:pPr>
              <w:pStyle w:val="TableParagraph"/>
              <w:spacing w:before="70"/>
              <w:ind w:right="220"/>
              <w:rPr>
                <w:b/>
                <w:sz w:val="20"/>
              </w:rPr>
            </w:pPr>
            <w:r>
              <w:rPr>
                <w:b/>
                <w:sz w:val="20"/>
              </w:rPr>
              <w:t>3.34</w:t>
            </w:r>
          </w:p>
        </w:tc>
        <w:tc>
          <w:tcPr>
            <w:tcW w:w="1300" w:type="dxa"/>
          </w:tcPr>
          <w:p w:rsidR="007C5447" w:rsidRDefault="00F6308C">
            <w:pPr>
              <w:pStyle w:val="TableParagraph"/>
              <w:spacing w:before="70"/>
              <w:ind w:right="219"/>
              <w:rPr>
                <w:b/>
                <w:sz w:val="20"/>
              </w:rPr>
            </w:pPr>
            <w:r>
              <w:rPr>
                <w:b/>
                <w:w w:val="95"/>
                <w:sz w:val="20"/>
              </w:rPr>
              <w:t>1,618.00</w:t>
            </w:r>
          </w:p>
        </w:tc>
        <w:tc>
          <w:tcPr>
            <w:tcW w:w="1136" w:type="dxa"/>
          </w:tcPr>
          <w:p w:rsidR="007C5447" w:rsidRDefault="00F6308C">
            <w:pPr>
              <w:pStyle w:val="TableParagraph"/>
              <w:spacing w:before="70"/>
              <w:ind w:right="222"/>
              <w:rPr>
                <w:b/>
                <w:sz w:val="20"/>
              </w:rPr>
            </w:pPr>
            <w:r>
              <w:rPr>
                <w:b/>
                <w:w w:val="95"/>
                <w:sz w:val="20"/>
              </w:rPr>
              <w:t>874.69</w:t>
            </w:r>
          </w:p>
        </w:tc>
        <w:tc>
          <w:tcPr>
            <w:tcW w:w="1086" w:type="dxa"/>
          </w:tcPr>
          <w:p w:rsidR="007C5447" w:rsidRDefault="00F6308C">
            <w:pPr>
              <w:pStyle w:val="TableParagraph"/>
              <w:spacing w:before="70"/>
              <w:ind w:right="225"/>
              <w:rPr>
                <w:b/>
                <w:sz w:val="20"/>
              </w:rPr>
            </w:pPr>
            <w:r>
              <w:rPr>
                <w:b/>
                <w:sz w:val="20"/>
              </w:rPr>
              <w:t>5.41</w:t>
            </w:r>
          </w:p>
        </w:tc>
        <w:tc>
          <w:tcPr>
            <w:tcW w:w="1137" w:type="dxa"/>
          </w:tcPr>
          <w:p w:rsidR="007C5447" w:rsidRDefault="00F6308C">
            <w:pPr>
              <w:pStyle w:val="TableParagraph"/>
              <w:spacing w:before="70"/>
              <w:ind w:right="223"/>
              <w:rPr>
                <w:b/>
                <w:sz w:val="20"/>
              </w:rPr>
            </w:pPr>
            <w:r>
              <w:rPr>
                <w:b/>
                <w:w w:val="95"/>
                <w:sz w:val="20"/>
              </w:rPr>
              <w:t>1,618.00</w:t>
            </w:r>
          </w:p>
        </w:tc>
        <w:tc>
          <w:tcPr>
            <w:tcW w:w="1136" w:type="dxa"/>
          </w:tcPr>
          <w:p w:rsidR="007C5447" w:rsidRDefault="00F6308C">
            <w:pPr>
              <w:pStyle w:val="TableParagraph"/>
              <w:spacing w:before="70"/>
              <w:ind w:right="225"/>
              <w:rPr>
                <w:b/>
                <w:sz w:val="20"/>
              </w:rPr>
            </w:pPr>
            <w:r>
              <w:rPr>
                <w:b/>
                <w:w w:val="95"/>
                <w:sz w:val="20"/>
              </w:rPr>
              <w:t>592.60</w:t>
            </w:r>
          </w:p>
        </w:tc>
        <w:tc>
          <w:tcPr>
            <w:tcW w:w="1052" w:type="dxa"/>
          </w:tcPr>
          <w:p w:rsidR="007C5447" w:rsidRDefault="00F6308C">
            <w:pPr>
              <w:pStyle w:val="TableParagraph"/>
              <w:spacing w:before="70"/>
              <w:ind w:right="228"/>
              <w:rPr>
                <w:b/>
                <w:sz w:val="20"/>
              </w:rPr>
            </w:pPr>
            <w:r>
              <w:rPr>
                <w:b/>
                <w:sz w:val="20"/>
              </w:rPr>
              <w:t>3.66</w:t>
            </w:r>
          </w:p>
        </w:tc>
      </w:tr>
      <w:tr w:rsidR="007C5447">
        <w:trPr>
          <w:trHeight w:val="369"/>
        </w:trPr>
        <w:tc>
          <w:tcPr>
            <w:tcW w:w="3022" w:type="dxa"/>
          </w:tcPr>
          <w:p w:rsidR="007C5447" w:rsidRDefault="00F6308C">
            <w:pPr>
              <w:pStyle w:val="TableParagraph"/>
              <w:spacing w:before="70"/>
              <w:ind w:left="107"/>
              <w:jc w:val="left"/>
              <w:rPr>
                <w:sz w:val="20"/>
              </w:rPr>
            </w:pPr>
            <w:r>
              <w:rPr>
                <w:sz w:val="20"/>
              </w:rPr>
              <w:t>Erode HEP</w:t>
            </w:r>
          </w:p>
        </w:tc>
        <w:tc>
          <w:tcPr>
            <w:tcW w:w="1669" w:type="dxa"/>
          </w:tcPr>
          <w:p w:rsidR="007C5447" w:rsidRDefault="00F6308C">
            <w:pPr>
              <w:pStyle w:val="TableParagraph"/>
              <w:spacing w:before="70"/>
              <w:ind w:right="219"/>
              <w:rPr>
                <w:sz w:val="20"/>
              </w:rPr>
            </w:pPr>
            <w:r>
              <w:rPr>
                <w:w w:val="95"/>
                <w:sz w:val="20"/>
              </w:rPr>
              <w:t>845.45</w:t>
            </w:r>
          </w:p>
        </w:tc>
        <w:tc>
          <w:tcPr>
            <w:tcW w:w="1395" w:type="dxa"/>
          </w:tcPr>
          <w:p w:rsidR="007C5447" w:rsidRDefault="00F6308C">
            <w:pPr>
              <w:pStyle w:val="TableParagraph"/>
              <w:spacing w:before="70"/>
              <w:ind w:right="219"/>
              <w:rPr>
                <w:sz w:val="20"/>
              </w:rPr>
            </w:pPr>
            <w:r>
              <w:rPr>
                <w:w w:val="95"/>
                <w:sz w:val="20"/>
              </w:rPr>
              <w:t>144.25</w:t>
            </w:r>
          </w:p>
        </w:tc>
        <w:tc>
          <w:tcPr>
            <w:tcW w:w="1285" w:type="dxa"/>
          </w:tcPr>
          <w:p w:rsidR="007C5447" w:rsidRDefault="00F6308C">
            <w:pPr>
              <w:pStyle w:val="TableParagraph"/>
              <w:spacing w:before="70"/>
              <w:ind w:right="220"/>
              <w:rPr>
                <w:sz w:val="20"/>
              </w:rPr>
            </w:pPr>
            <w:r>
              <w:rPr>
                <w:sz w:val="20"/>
              </w:rPr>
              <w:t>1.71</w:t>
            </w:r>
          </w:p>
        </w:tc>
        <w:tc>
          <w:tcPr>
            <w:tcW w:w="1300" w:type="dxa"/>
          </w:tcPr>
          <w:p w:rsidR="007C5447" w:rsidRDefault="00F6308C">
            <w:pPr>
              <w:pStyle w:val="TableParagraph"/>
              <w:spacing w:before="70"/>
              <w:ind w:right="221"/>
              <w:rPr>
                <w:sz w:val="20"/>
              </w:rPr>
            </w:pPr>
            <w:r>
              <w:rPr>
                <w:w w:val="95"/>
                <w:sz w:val="20"/>
              </w:rPr>
              <w:t>464.00</w:t>
            </w:r>
          </w:p>
        </w:tc>
        <w:tc>
          <w:tcPr>
            <w:tcW w:w="1136" w:type="dxa"/>
          </w:tcPr>
          <w:p w:rsidR="007C5447" w:rsidRDefault="00F6308C">
            <w:pPr>
              <w:pStyle w:val="TableParagraph"/>
              <w:spacing w:before="70"/>
              <w:ind w:right="222"/>
              <w:rPr>
                <w:sz w:val="20"/>
              </w:rPr>
            </w:pPr>
            <w:r>
              <w:rPr>
                <w:w w:val="95"/>
                <w:sz w:val="20"/>
              </w:rPr>
              <w:t>225.64</w:t>
            </w:r>
          </w:p>
        </w:tc>
        <w:tc>
          <w:tcPr>
            <w:tcW w:w="1086" w:type="dxa"/>
          </w:tcPr>
          <w:p w:rsidR="007C5447" w:rsidRDefault="00F6308C">
            <w:pPr>
              <w:pStyle w:val="TableParagraph"/>
              <w:spacing w:before="70"/>
              <w:ind w:right="225"/>
              <w:rPr>
                <w:sz w:val="20"/>
              </w:rPr>
            </w:pPr>
            <w:r>
              <w:rPr>
                <w:sz w:val="20"/>
              </w:rPr>
              <w:t>4.86</w:t>
            </w:r>
          </w:p>
        </w:tc>
        <w:tc>
          <w:tcPr>
            <w:tcW w:w="1137" w:type="dxa"/>
          </w:tcPr>
          <w:p w:rsidR="007C5447" w:rsidRDefault="00F6308C">
            <w:pPr>
              <w:pStyle w:val="TableParagraph"/>
              <w:spacing w:before="70"/>
              <w:ind w:right="224"/>
              <w:rPr>
                <w:sz w:val="20"/>
              </w:rPr>
            </w:pPr>
            <w:r>
              <w:rPr>
                <w:w w:val="95"/>
                <w:sz w:val="20"/>
              </w:rPr>
              <w:t>464.00</w:t>
            </w:r>
          </w:p>
        </w:tc>
        <w:tc>
          <w:tcPr>
            <w:tcW w:w="1136" w:type="dxa"/>
          </w:tcPr>
          <w:p w:rsidR="007C5447" w:rsidRDefault="00F6308C">
            <w:pPr>
              <w:pStyle w:val="TableParagraph"/>
              <w:spacing w:before="70"/>
              <w:ind w:right="225"/>
              <w:rPr>
                <w:sz w:val="20"/>
              </w:rPr>
            </w:pPr>
            <w:r>
              <w:rPr>
                <w:w w:val="95"/>
                <w:sz w:val="20"/>
              </w:rPr>
              <w:t>146.20</w:t>
            </w:r>
          </w:p>
        </w:tc>
        <w:tc>
          <w:tcPr>
            <w:tcW w:w="1052" w:type="dxa"/>
          </w:tcPr>
          <w:p w:rsidR="007C5447" w:rsidRDefault="00F6308C">
            <w:pPr>
              <w:pStyle w:val="TableParagraph"/>
              <w:spacing w:before="70"/>
              <w:ind w:right="228"/>
              <w:rPr>
                <w:sz w:val="20"/>
              </w:rPr>
            </w:pPr>
            <w:r>
              <w:rPr>
                <w:sz w:val="20"/>
              </w:rPr>
              <w:t>3.15</w:t>
            </w:r>
          </w:p>
        </w:tc>
      </w:tr>
      <w:tr w:rsidR="007C5447">
        <w:trPr>
          <w:trHeight w:val="371"/>
        </w:trPr>
        <w:tc>
          <w:tcPr>
            <w:tcW w:w="3022" w:type="dxa"/>
          </w:tcPr>
          <w:p w:rsidR="007C5447" w:rsidRDefault="00F6308C">
            <w:pPr>
              <w:pStyle w:val="TableParagraph"/>
              <w:spacing w:before="72"/>
              <w:ind w:left="107"/>
              <w:jc w:val="left"/>
              <w:rPr>
                <w:sz w:val="20"/>
              </w:rPr>
            </w:pPr>
            <w:r>
              <w:rPr>
                <w:sz w:val="20"/>
              </w:rPr>
              <w:t>Kadamparai HEP</w:t>
            </w:r>
          </w:p>
        </w:tc>
        <w:tc>
          <w:tcPr>
            <w:tcW w:w="1669" w:type="dxa"/>
          </w:tcPr>
          <w:p w:rsidR="007C5447" w:rsidRDefault="00F6308C">
            <w:pPr>
              <w:pStyle w:val="TableParagraph"/>
              <w:spacing w:before="72"/>
              <w:ind w:right="215"/>
              <w:rPr>
                <w:sz w:val="20"/>
              </w:rPr>
            </w:pPr>
            <w:r>
              <w:rPr>
                <w:w w:val="99"/>
                <w:sz w:val="20"/>
              </w:rPr>
              <w:t>-</w:t>
            </w:r>
          </w:p>
        </w:tc>
        <w:tc>
          <w:tcPr>
            <w:tcW w:w="1395" w:type="dxa"/>
          </w:tcPr>
          <w:p w:rsidR="007C5447" w:rsidRDefault="00F6308C">
            <w:pPr>
              <w:pStyle w:val="TableParagraph"/>
              <w:spacing w:before="72"/>
              <w:ind w:right="219"/>
              <w:rPr>
                <w:sz w:val="20"/>
              </w:rPr>
            </w:pPr>
            <w:r>
              <w:rPr>
                <w:w w:val="95"/>
                <w:sz w:val="20"/>
              </w:rPr>
              <w:t>70.44</w:t>
            </w:r>
          </w:p>
        </w:tc>
        <w:tc>
          <w:tcPr>
            <w:tcW w:w="1285" w:type="dxa"/>
          </w:tcPr>
          <w:p w:rsidR="007C5447" w:rsidRDefault="00F6308C">
            <w:pPr>
              <w:pStyle w:val="TableParagraph"/>
              <w:spacing w:before="72"/>
              <w:ind w:right="219"/>
              <w:rPr>
                <w:sz w:val="20"/>
              </w:rPr>
            </w:pPr>
            <w:r>
              <w:rPr>
                <w:w w:val="99"/>
                <w:sz w:val="20"/>
              </w:rPr>
              <w:t>-</w:t>
            </w:r>
          </w:p>
        </w:tc>
        <w:tc>
          <w:tcPr>
            <w:tcW w:w="1300" w:type="dxa"/>
          </w:tcPr>
          <w:p w:rsidR="007C5447" w:rsidRDefault="00F6308C">
            <w:pPr>
              <w:pStyle w:val="TableParagraph"/>
              <w:spacing w:before="72"/>
              <w:ind w:right="221"/>
              <w:rPr>
                <w:sz w:val="20"/>
              </w:rPr>
            </w:pPr>
            <w:r>
              <w:rPr>
                <w:w w:val="95"/>
                <w:sz w:val="20"/>
              </w:rPr>
              <w:t>670.00</w:t>
            </w:r>
          </w:p>
        </w:tc>
        <w:tc>
          <w:tcPr>
            <w:tcW w:w="1136" w:type="dxa"/>
          </w:tcPr>
          <w:p w:rsidR="007C5447" w:rsidRDefault="00F6308C">
            <w:pPr>
              <w:pStyle w:val="TableParagraph"/>
              <w:spacing w:before="72"/>
              <w:ind w:right="222"/>
              <w:rPr>
                <w:sz w:val="20"/>
              </w:rPr>
            </w:pPr>
            <w:r>
              <w:rPr>
                <w:w w:val="95"/>
                <w:sz w:val="20"/>
              </w:rPr>
              <w:t>128.21</w:t>
            </w:r>
          </w:p>
        </w:tc>
        <w:tc>
          <w:tcPr>
            <w:tcW w:w="1086" w:type="dxa"/>
          </w:tcPr>
          <w:p w:rsidR="007C5447" w:rsidRDefault="00F6308C">
            <w:pPr>
              <w:pStyle w:val="TableParagraph"/>
              <w:spacing w:before="72"/>
              <w:ind w:right="225"/>
              <w:rPr>
                <w:sz w:val="20"/>
              </w:rPr>
            </w:pPr>
            <w:r>
              <w:rPr>
                <w:sz w:val="20"/>
              </w:rPr>
              <w:t>1.91</w:t>
            </w:r>
          </w:p>
        </w:tc>
        <w:tc>
          <w:tcPr>
            <w:tcW w:w="1137" w:type="dxa"/>
          </w:tcPr>
          <w:p w:rsidR="007C5447" w:rsidRDefault="00F6308C">
            <w:pPr>
              <w:pStyle w:val="TableParagraph"/>
              <w:spacing w:before="72"/>
              <w:ind w:right="224"/>
              <w:rPr>
                <w:sz w:val="20"/>
              </w:rPr>
            </w:pPr>
            <w:r>
              <w:rPr>
                <w:w w:val="95"/>
                <w:sz w:val="20"/>
              </w:rPr>
              <w:t>368.08</w:t>
            </w:r>
          </w:p>
        </w:tc>
        <w:tc>
          <w:tcPr>
            <w:tcW w:w="1136" w:type="dxa"/>
          </w:tcPr>
          <w:p w:rsidR="007C5447" w:rsidRDefault="00F6308C">
            <w:pPr>
              <w:pStyle w:val="TableParagraph"/>
              <w:spacing w:before="72"/>
              <w:ind w:right="225"/>
              <w:rPr>
                <w:sz w:val="20"/>
              </w:rPr>
            </w:pPr>
            <w:r>
              <w:rPr>
                <w:w w:val="95"/>
                <w:sz w:val="20"/>
              </w:rPr>
              <w:t>71.19</w:t>
            </w:r>
          </w:p>
        </w:tc>
        <w:tc>
          <w:tcPr>
            <w:tcW w:w="1052" w:type="dxa"/>
          </w:tcPr>
          <w:p w:rsidR="007C5447" w:rsidRDefault="00F6308C">
            <w:pPr>
              <w:pStyle w:val="TableParagraph"/>
              <w:spacing w:before="72"/>
              <w:ind w:right="228"/>
              <w:rPr>
                <w:sz w:val="20"/>
              </w:rPr>
            </w:pPr>
            <w:r>
              <w:rPr>
                <w:sz w:val="20"/>
              </w:rPr>
              <w:t>1.93</w:t>
            </w:r>
          </w:p>
        </w:tc>
      </w:tr>
      <w:tr w:rsidR="007C5447">
        <w:trPr>
          <w:trHeight w:val="369"/>
        </w:trPr>
        <w:tc>
          <w:tcPr>
            <w:tcW w:w="3022" w:type="dxa"/>
          </w:tcPr>
          <w:p w:rsidR="007C5447" w:rsidRDefault="00F6308C">
            <w:pPr>
              <w:pStyle w:val="TableParagraph"/>
              <w:spacing w:before="70"/>
              <w:ind w:left="107"/>
              <w:jc w:val="left"/>
              <w:rPr>
                <w:sz w:val="20"/>
              </w:rPr>
            </w:pPr>
            <w:r>
              <w:rPr>
                <w:sz w:val="20"/>
              </w:rPr>
              <w:t>Kundah HEP</w:t>
            </w:r>
          </w:p>
        </w:tc>
        <w:tc>
          <w:tcPr>
            <w:tcW w:w="1669" w:type="dxa"/>
          </w:tcPr>
          <w:p w:rsidR="007C5447" w:rsidRDefault="00F6308C">
            <w:pPr>
              <w:pStyle w:val="TableParagraph"/>
              <w:spacing w:before="70"/>
              <w:ind w:right="217"/>
              <w:rPr>
                <w:sz w:val="20"/>
              </w:rPr>
            </w:pPr>
            <w:r>
              <w:rPr>
                <w:w w:val="95"/>
                <w:sz w:val="20"/>
              </w:rPr>
              <w:t>1,031.65</w:t>
            </w:r>
          </w:p>
        </w:tc>
        <w:tc>
          <w:tcPr>
            <w:tcW w:w="1395" w:type="dxa"/>
          </w:tcPr>
          <w:p w:rsidR="007C5447" w:rsidRDefault="00F6308C">
            <w:pPr>
              <w:pStyle w:val="TableParagraph"/>
              <w:spacing w:before="70"/>
              <w:ind w:right="219"/>
              <w:rPr>
                <w:sz w:val="20"/>
              </w:rPr>
            </w:pPr>
            <w:r>
              <w:rPr>
                <w:w w:val="95"/>
                <w:sz w:val="20"/>
              </w:rPr>
              <w:t>203.11</w:t>
            </w:r>
          </w:p>
        </w:tc>
        <w:tc>
          <w:tcPr>
            <w:tcW w:w="1285" w:type="dxa"/>
          </w:tcPr>
          <w:p w:rsidR="007C5447" w:rsidRDefault="00F6308C">
            <w:pPr>
              <w:pStyle w:val="TableParagraph"/>
              <w:spacing w:before="70"/>
              <w:ind w:right="220"/>
              <w:rPr>
                <w:sz w:val="20"/>
              </w:rPr>
            </w:pPr>
            <w:r>
              <w:rPr>
                <w:sz w:val="20"/>
              </w:rPr>
              <w:t>1.97</w:t>
            </w:r>
          </w:p>
        </w:tc>
        <w:tc>
          <w:tcPr>
            <w:tcW w:w="1300" w:type="dxa"/>
          </w:tcPr>
          <w:p w:rsidR="007C5447" w:rsidRDefault="00F6308C">
            <w:pPr>
              <w:pStyle w:val="TableParagraph"/>
              <w:spacing w:before="70"/>
              <w:ind w:right="219"/>
              <w:rPr>
                <w:sz w:val="20"/>
              </w:rPr>
            </w:pPr>
            <w:r>
              <w:rPr>
                <w:w w:val="95"/>
                <w:sz w:val="20"/>
              </w:rPr>
              <w:t>1,353.00</w:t>
            </w:r>
          </w:p>
        </w:tc>
        <w:tc>
          <w:tcPr>
            <w:tcW w:w="1136" w:type="dxa"/>
          </w:tcPr>
          <w:p w:rsidR="007C5447" w:rsidRDefault="00F6308C">
            <w:pPr>
              <w:pStyle w:val="TableParagraph"/>
              <w:spacing w:before="70"/>
              <w:ind w:right="222"/>
              <w:rPr>
                <w:sz w:val="20"/>
              </w:rPr>
            </w:pPr>
            <w:r>
              <w:rPr>
                <w:w w:val="95"/>
                <w:sz w:val="20"/>
              </w:rPr>
              <w:t>314.21</w:t>
            </w:r>
          </w:p>
        </w:tc>
        <w:tc>
          <w:tcPr>
            <w:tcW w:w="1086" w:type="dxa"/>
          </w:tcPr>
          <w:p w:rsidR="007C5447" w:rsidRDefault="00F6308C">
            <w:pPr>
              <w:pStyle w:val="TableParagraph"/>
              <w:spacing w:before="70"/>
              <w:ind w:right="225"/>
              <w:rPr>
                <w:sz w:val="20"/>
              </w:rPr>
            </w:pPr>
            <w:r>
              <w:rPr>
                <w:sz w:val="20"/>
              </w:rPr>
              <w:t>2.32</w:t>
            </w:r>
          </w:p>
        </w:tc>
        <w:tc>
          <w:tcPr>
            <w:tcW w:w="1137" w:type="dxa"/>
          </w:tcPr>
          <w:p w:rsidR="007C5447" w:rsidRDefault="00F6308C">
            <w:pPr>
              <w:pStyle w:val="TableParagraph"/>
              <w:spacing w:before="70"/>
              <w:ind w:right="223"/>
              <w:rPr>
                <w:sz w:val="20"/>
              </w:rPr>
            </w:pPr>
            <w:r>
              <w:rPr>
                <w:w w:val="95"/>
                <w:sz w:val="20"/>
              </w:rPr>
              <w:t>1,353.00</w:t>
            </w:r>
          </w:p>
        </w:tc>
        <w:tc>
          <w:tcPr>
            <w:tcW w:w="1136" w:type="dxa"/>
          </w:tcPr>
          <w:p w:rsidR="007C5447" w:rsidRDefault="00F6308C">
            <w:pPr>
              <w:pStyle w:val="TableParagraph"/>
              <w:spacing w:before="70"/>
              <w:ind w:right="225"/>
              <w:rPr>
                <w:sz w:val="20"/>
              </w:rPr>
            </w:pPr>
            <w:r>
              <w:rPr>
                <w:w w:val="95"/>
                <w:sz w:val="20"/>
              </w:rPr>
              <w:t>205.60</w:t>
            </w:r>
          </w:p>
        </w:tc>
        <w:tc>
          <w:tcPr>
            <w:tcW w:w="1052" w:type="dxa"/>
          </w:tcPr>
          <w:p w:rsidR="007C5447" w:rsidRDefault="00F6308C">
            <w:pPr>
              <w:pStyle w:val="TableParagraph"/>
              <w:spacing w:before="70"/>
              <w:ind w:right="228"/>
              <w:rPr>
                <w:sz w:val="20"/>
              </w:rPr>
            </w:pPr>
            <w:r>
              <w:rPr>
                <w:sz w:val="20"/>
              </w:rPr>
              <w:t>1.52</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9"/>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22"/>
        <w:gridCol w:w="1669"/>
        <w:gridCol w:w="1395"/>
        <w:gridCol w:w="1285"/>
        <w:gridCol w:w="1300"/>
        <w:gridCol w:w="1136"/>
        <w:gridCol w:w="1086"/>
        <w:gridCol w:w="1137"/>
        <w:gridCol w:w="1136"/>
        <w:gridCol w:w="1052"/>
      </w:tblGrid>
      <w:tr w:rsidR="007C5447">
        <w:trPr>
          <w:trHeight w:val="369"/>
        </w:trPr>
        <w:tc>
          <w:tcPr>
            <w:tcW w:w="3022"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1195" w:right="1177"/>
              <w:jc w:val="center"/>
              <w:rPr>
                <w:b/>
                <w:sz w:val="20"/>
              </w:rPr>
            </w:pPr>
            <w:r>
              <w:rPr>
                <w:b/>
                <w:sz w:val="20"/>
              </w:rPr>
              <w:t>Source</w:t>
            </w:r>
          </w:p>
        </w:tc>
        <w:tc>
          <w:tcPr>
            <w:tcW w:w="11196" w:type="dxa"/>
            <w:gridSpan w:val="9"/>
            <w:shd w:val="clear" w:color="auto" w:fill="F7C9AC"/>
          </w:tcPr>
          <w:p w:rsidR="007C5447" w:rsidRDefault="00F6308C">
            <w:pPr>
              <w:pStyle w:val="TableParagraph"/>
              <w:spacing w:before="125" w:line="224" w:lineRule="exact"/>
              <w:ind w:left="5082" w:right="5071"/>
              <w:jc w:val="center"/>
              <w:rPr>
                <w:b/>
                <w:sz w:val="20"/>
              </w:rPr>
            </w:pPr>
            <w:r>
              <w:rPr>
                <w:b/>
                <w:sz w:val="20"/>
              </w:rPr>
              <w:t>FY 2012-13</w:t>
            </w:r>
          </w:p>
        </w:tc>
      </w:tr>
      <w:tr w:rsidR="007C5447">
        <w:trPr>
          <w:trHeight w:val="371"/>
        </w:trPr>
        <w:tc>
          <w:tcPr>
            <w:tcW w:w="3022" w:type="dxa"/>
            <w:vMerge/>
            <w:tcBorders>
              <w:top w:val="nil"/>
            </w:tcBorders>
            <w:shd w:val="clear" w:color="auto" w:fill="F7C9AC"/>
          </w:tcPr>
          <w:p w:rsidR="007C5447" w:rsidRDefault="007C5447">
            <w:pPr>
              <w:rPr>
                <w:sz w:val="2"/>
                <w:szCs w:val="2"/>
              </w:rPr>
            </w:pPr>
          </w:p>
        </w:tc>
        <w:tc>
          <w:tcPr>
            <w:tcW w:w="4349" w:type="dxa"/>
            <w:gridSpan w:val="3"/>
            <w:shd w:val="clear" w:color="auto" w:fill="F7C9AC"/>
          </w:tcPr>
          <w:p w:rsidR="007C5447" w:rsidRDefault="00F6308C">
            <w:pPr>
              <w:pStyle w:val="TableParagraph"/>
              <w:spacing w:before="70"/>
              <w:ind w:left="1643" w:right="1629"/>
              <w:jc w:val="center"/>
              <w:rPr>
                <w:b/>
                <w:sz w:val="20"/>
              </w:rPr>
            </w:pPr>
            <w:r>
              <w:rPr>
                <w:b/>
                <w:sz w:val="20"/>
              </w:rPr>
              <w:t>SMT Order</w:t>
            </w:r>
          </w:p>
        </w:tc>
        <w:tc>
          <w:tcPr>
            <w:tcW w:w="3522" w:type="dxa"/>
            <w:gridSpan w:val="3"/>
            <w:shd w:val="clear" w:color="auto" w:fill="F7C9AC"/>
          </w:tcPr>
          <w:p w:rsidR="007C5447" w:rsidRDefault="00F6308C">
            <w:pPr>
              <w:pStyle w:val="TableParagraph"/>
              <w:spacing w:before="70"/>
              <w:ind w:left="1157" w:right="1149"/>
              <w:jc w:val="center"/>
              <w:rPr>
                <w:b/>
                <w:sz w:val="20"/>
              </w:rPr>
            </w:pPr>
            <w:r>
              <w:rPr>
                <w:b/>
                <w:sz w:val="20"/>
              </w:rPr>
              <w:t>TANGEDCO</w:t>
            </w:r>
          </w:p>
        </w:tc>
        <w:tc>
          <w:tcPr>
            <w:tcW w:w="3325" w:type="dxa"/>
            <w:gridSpan w:val="3"/>
            <w:shd w:val="clear" w:color="auto" w:fill="F7C9AC"/>
          </w:tcPr>
          <w:p w:rsidR="007C5447" w:rsidRDefault="00F6308C">
            <w:pPr>
              <w:pStyle w:val="TableParagraph"/>
              <w:spacing w:before="70"/>
              <w:ind w:left="662"/>
              <w:jc w:val="left"/>
              <w:rPr>
                <w:b/>
                <w:sz w:val="20"/>
              </w:rPr>
            </w:pPr>
            <w:r>
              <w:rPr>
                <w:b/>
                <w:sz w:val="20"/>
              </w:rPr>
              <w:t>Approved after true up</w:t>
            </w:r>
          </w:p>
        </w:tc>
      </w:tr>
      <w:tr w:rsidR="007C5447">
        <w:trPr>
          <w:trHeight w:val="489"/>
        </w:trPr>
        <w:tc>
          <w:tcPr>
            <w:tcW w:w="3022" w:type="dxa"/>
            <w:vMerge/>
            <w:tcBorders>
              <w:top w:val="nil"/>
            </w:tcBorders>
            <w:shd w:val="clear" w:color="auto" w:fill="F7C9AC"/>
          </w:tcPr>
          <w:p w:rsidR="007C5447" w:rsidRDefault="007C5447">
            <w:pPr>
              <w:rPr>
                <w:sz w:val="2"/>
                <w:szCs w:val="2"/>
              </w:rPr>
            </w:pPr>
          </w:p>
        </w:tc>
        <w:tc>
          <w:tcPr>
            <w:tcW w:w="1669" w:type="dxa"/>
            <w:shd w:val="clear" w:color="auto" w:fill="F7C9AC"/>
          </w:tcPr>
          <w:p w:rsidR="007C5447" w:rsidRDefault="00F6308C">
            <w:pPr>
              <w:pStyle w:val="TableParagraph"/>
              <w:spacing w:before="130"/>
              <w:ind w:right="149"/>
              <w:rPr>
                <w:b/>
                <w:sz w:val="20"/>
              </w:rPr>
            </w:pPr>
            <w:r>
              <w:rPr>
                <w:b/>
                <w:sz w:val="20"/>
              </w:rPr>
              <w:t>Quantum (MU)</w:t>
            </w:r>
          </w:p>
        </w:tc>
        <w:tc>
          <w:tcPr>
            <w:tcW w:w="1395" w:type="dxa"/>
            <w:shd w:val="clear" w:color="auto" w:fill="F7C9AC"/>
          </w:tcPr>
          <w:p w:rsidR="007C5447" w:rsidRDefault="00F6308C">
            <w:pPr>
              <w:pStyle w:val="TableParagraph"/>
              <w:spacing w:before="14" w:line="230" w:lineRule="atLeast"/>
              <w:ind w:left="356" w:right="218" w:hanging="104"/>
              <w:jc w:val="left"/>
              <w:rPr>
                <w:b/>
                <w:sz w:val="20"/>
              </w:rPr>
            </w:pPr>
            <w:r>
              <w:rPr>
                <w:b/>
                <w:sz w:val="20"/>
              </w:rPr>
              <w:t>Total Cost (Rs. Cr)</w:t>
            </w:r>
          </w:p>
        </w:tc>
        <w:tc>
          <w:tcPr>
            <w:tcW w:w="1285" w:type="dxa"/>
            <w:shd w:val="clear" w:color="auto" w:fill="F7C9AC"/>
          </w:tcPr>
          <w:p w:rsidR="007C5447" w:rsidRDefault="00F6308C">
            <w:pPr>
              <w:pStyle w:val="TableParagraph"/>
              <w:spacing w:before="14" w:line="230" w:lineRule="atLeast"/>
              <w:ind w:left="229" w:firstLine="216"/>
              <w:jc w:val="left"/>
              <w:rPr>
                <w:b/>
                <w:sz w:val="20"/>
              </w:rPr>
            </w:pPr>
            <w:r>
              <w:rPr>
                <w:b/>
                <w:sz w:val="20"/>
              </w:rPr>
              <w:t xml:space="preserve">Rate </w:t>
            </w:r>
            <w:r>
              <w:rPr>
                <w:b/>
                <w:w w:val="95"/>
                <w:sz w:val="20"/>
              </w:rPr>
              <w:t>(Rs/kWh)</w:t>
            </w:r>
          </w:p>
        </w:tc>
        <w:tc>
          <w:tcPr>
            <w:tcW w:w="1300" w:type="dxa"/>
            <w:shd w:val="clear" w:color="auto" w:fill="F7C9AC"/>
          </w:tcPr>
          <w:p w:rsidR="007C5447" w:rsidRDefault="00F6308C">
            <w:pPr>
              <w:pStyle w:val="TableParagraph"/>
              <w:spacing w:before="14" w:line="230" w:lineRule="atLeast"/>
              <w:ind w:left="418" w:right="207" w:hanging="178"/>
              <w:jc w:val="left"/>
              <w:rPr>
                <w:b/>
                <w:sz w:val="20"/>
              </w:rPr>
            </w:pPr>
            <w:r>
              <w:rPr>
                <w:b/>
                <w:sz w:val="20"/>
              </w:rPr>
              <w:t>Quantum (MU)</w:t>
            </w:r>
          </w:p>
        </w:tc>
        <w:tc>
          <w:tcPr>
            <w:tcW w:w="1136" w:type="dxa"/>
            <w:shd w:val="clear" w:color="auto" w:fill="F7C9AC"/>
          </w:tcPr>
          <w:p w:rsidR="007C5447" w:rsidRDefault="00F6308C">
            <w:pPr>
              <w:pStyle w:val="TableParagraph"/>
              <w:spacing w:before="14" w:line="230" w:lineRule="atLeast"/>
              <w:ind w:left="224" w:right="193" w:firstLine="148"/>
              <w:jc w:val="left"/>
              <w:rPr>
                <w:b/>
                <w:sz w:val="20"/>
              </w:rPr>
            </w:pPr>
            <w:r>
              <w:rPr>
                <w:b/>
                <w:sz w:val="20"/>
              </w:rPr>
              <w:t>Cost (Rs. Cr)</w:t>
            </w:r>
          </w:p>
        </w:tc>
        <w:tc>
          <w:tcPr>
            <w:tcW w:w="1086" w:type="dxa"/>
            <w:shd w:val="clear" w:color="auto" w:fill="F7C9AC"/>
          </w:tcPr>
          <w:p w:rsidR="007C5447" w:rsidRDefault="00F6308C">
            <w:pPr>
              <w:pStyle w:val="TableParagraph"/>
              <w:spacing w:before="14" w:line="230" w:lineRule="atLeast"/>
              <w:ind w:left="125" w:firstLine="216"/>
              <w:jc w:val="left"/>
              <w:rPr>
                <w:b/>
                <w:sz w:val="20"/>
              </w:rPr>
            </w:pPr>
            <w:r>
              <w:rPr>
                <w:b/>
                <w:sz w:val="20"/>
              </w:rPr>
              <w:t xml:space="preserve">Rate </w:t>
            </w:r>
            <w:r>
              <w:rPr>
                <w:b/>
                <w:w w:val="95"/>
                <w:sz w:val="20"/>
              </w:rPr>
              <w:t>(Rs/kWh)</w:t>
            </w:r>
          </w:p>
        </w:tc>
        <w:tc>
          <w:tcPr>
            <w:tcW w:w="1137" w:type="dxa"/>
            <w:shd w:val="clear" w:color="auto" w:fill="F7C9AC"/>
          </w:tcPr>
          <w:p w:rsidR="007C5447" w:rsidRDefault="00F6308C">
            <w:pPr>
              <w:pStyle w:val="TableParagraph"/>
              <w:spacing w:before="14" w:line="230" w:lineRule="atLeast"/>
              <w:ind w:left="333" w:right="130" w:hanging="179"/>
              <w:jc w:val="left"/>
              <w:rPr>
                <w:b/>
                <w:sz w:val="20"/>
              </w:rPr>
            </w:pPr>
            <w:r>
              <w:rPr>
                <w:b/>
                <w:sz w:val="20"/>
              </w:rPr>
              <w:t>Quantum (MU)</w:t>
            </w:r>
          </w:p>
        </w:tc>
        <w:tc>
          <w:tcPr>
            <w:tcW w:w="1136" w:type="dxa"/>
            <w:shd w:val="clear" w:color="auto" w:fill="F7C9AC"/>
          </w:tcPr>
          <w:p w:rsidR="007C5447" w:rsidRDefault="00F6308C">
            <w:pPr>
              <w:pStyle w:val="TableParagraph"/>
              <w:spacing w:before="14" w:line="230" w:lineRule="atLeast"/>
              <w:ind w:left="221" w:right="94" w:hanging="104"/>
              <w:jc w:val="left"/>
              <w:rPr>
                <w:b/>
                <w:sz w:val="20"/>
              </w:rPr>
            </w:pPr>
            <w:r>
              <w:rPr>
                <w:b/>
                <w:sz w:val="20"/>
              </w:rPr>
              <w:t>Total Cost (Rs. Cr)</w:t>
            </w:r>
          </w:p>
        </w:tc>
        <w:tc>
          <w:tcPr>
            <w:tcW w:w="1052" w:type="dxa"/>
            <w:shd w:val="clear" w:color="auto" w:fill="F7C9AC"/>
          </w:tcPr>
          <w:p w:rsidR="007C5447" w:rsidRDefault="00F6308C">
            <w:pPr>
              <w:pStyle w:val="TableParagraph"/>
              <w:spacing w:before="14" w:line="230" w:lineRule="atLeast"/>
              <w:ind w:left="105" w:firstLine="216"/>
              <w:jc w:val="left"/>
              <w:rPr>
                <w:b/>
                <w:sz w:val="20"/>
              </w:rPr>
            </w:pPr>
            <w:r>
              <w:rPr>
                <w:b/>
                <w:sz w:val="20"/>
              </w:rPr>
              <w:t xml:space="preserve">Rate </w:t>
            </w:r>
            <w:r>
              <w:rPr>
                <w:b/>
                <w:w w:val="95"/>
                <w:sz w:val="20"/>
              </w:rPr>
              <w:t>(Rs/kWh)</w:t>
            </w:r>
          </w:p>
        </w:tc>
      </w:tr>
      <w:tr w:rsidR="007C5447">
        <w:trPr>
          <w:trHeight w:val="369"/>
        </w:trPr>
        <w:tc>
          <w:tcPr>
            <w:tcW w:w="3022" w:type="dxa"/>
          </w:tcPr>
          <w:p w:rsidR="007C5447" w:rsidRDefault="00F6308C">
            <w:pPr>
              <w:pStyle w:val="TableParagraph"/>
              <w:spacing w:before="70"/>
              <w:ind w:left="112"/>
              <w:jc w:val="left"/>
              <w:rPr>
                <w:sz w:val="20"/>
              </w:rPr>
            </w:pPr>
            <w:r>
              <w:rPr>
                <w:sz w:val="20"/>
              </w:rPr>
              <w:t>Tirunelveli HEP</w:t>
            </w:r>
          </w:p>
        </w:tc>
        <w:tc>
          <w:tcPr>
            <w:tcW w:w="1669" w:type="dxa"/>
          </w:tcPr>
          <w:p w:rsidR="007C5447" w:rsidRDefault="00F6308C">
            <w:pPr>
              <w:pStyle w:val="TableParagraph"/>
              <w:spacing w:before="70"/>
              <w:ind w:right="214"/>
              <w:rPr>
                <w:sz w:val="20"/>
              </w:rPr>
            </w:pPr>
            <w:r>
              <w:rPr>
                <w:w w:val="95"/>
                <w:sz w:val="20"/>
              </w:rPr>
              <w:t>698.89</w:t>
            </w:r>
          </w:p>
        </w:tc>
        <w:tc>
          <w:tcPr>
            <w:tcW w:w="1395" w:type="dxa"/>
          </w:tcPr>
          <w:p w:rsidR="007C5447" w:rsidRDefault="00F6308C">
            <w:pPr>
              <w:pStyle w:val="TableParagraph"/>
              <w:spacing w:before="70"/>
              <w:ind w:right="214"/>
              <w:rPr>
                <w:sz w:val="20"/>
              </w:rPr>
            </w:pPr>
            <w:r>
              <w:rPr>
                <w:w w:val="95"/>
                <w:sz w:val="20"/>
              </w:rPr>
              <w:t>89.16</w:t>
            </w:r>
          </w:p>
        </w:tc>
        <w:tc>
          <w:tcPr>
            <w:tcW w:w="1285" w:type="dxa"/>
          </w:tcPr>
          <w:p w:rsidR="007C5447" w:rsidRDefault="00F6308C">
            <w:pPr>
              <w:pStyle w:val="TableParagraph"/>
              <w:spacing w:before="70"/>
              <w:ind w:right="215"/>
              <w:rPr>
                <w:sz w:val="20"/>
              </w:rPr>
            </w:pPr>
            <w:r>
              <w:rPr>
                <w:sz w:val="20"/>
              </w:rPr>
              <w:t>1.28</w:t>
            </w:r>
          </w:p>
        </w:tc>
        <w:tc>
          <w:tcPr>
            <w:tcW w:w="1300" w:type="dxa"/>
          </w:tcPr>
          <w:p w:rsidR="007C5447" w:rsidRDefault="00F6308C">
            <w:pPr>
              <w:pStyle w:val="TableParagraph"/>
              <w:spacing w:before="70"/>
              <w:ind w:right="216"/>
              <w:rPr>
                <w:sz w:val="20"/>
              </w:rPr>
            </w:pPr>
            <w:r>
              <w:rPr>
                <w:w w:val="95"/>
                <w:sz w:val="20"/>
              </w:rPr>
              <w:t>231.00</w:t>
            </w:r>
          </w:p>
        </w:tc>
        <w:tc>
          <w:tcPr>
            <w:tcW w:w="1136" w:type="dxa"/>
          </w:tcPr>
          <w:p w:rsidR="007C5447" w:rsidRDefault="00F6308C">
            <w:pPr>
              <w:pStyle w:val="TableParagraph"/>
              <w:spacing w:before="70"/>
              <w:ind w:right="217"/>
              <w:rPr>
                <w:sz w:val="20"/>
              </w:rPr>
            </w:pPr>
            <w:r>
              <w:rPr>
                <w:w w:val="95"/>
                <w:sz w:val="20"/>
              </w:rPr>
              <w:t>122.72</w:t>
            </w:r>
          </w:p>
        </w:tc>
        <w:tc>
          <w:tcPr>
            <w:tcW w:w="1086" w:type="dxa"/>
          </w:tcPr>
          <w:p w:rsidR="007C5447" w:rsidRDefault="00F6308C">
            <w:pPr>
              <w:pStyle w:val="TableParagraph"/>
              <w:spacing w:before="70"/>
              <w:ind w:right="220"/>
              <w:rPr>
                <w:sz w:val="20"/>
              </w:rPr>
            </w:pPr>
            <w:r>
              <w:rPr>
                <w:sz w:val="20"/>
              </w:rPr>
              <w:t>5.31</w:t>
            </w:r>
          </w:p>
        </w:tc>
        <w:tc>
          <w:tcPr>
            <w:tcW w:w="1137" w:type="dxa"/>
          </w:tcPr>
          <w:p w:rsidR="007C5447" w:rsidRDefault="00F6308C">
            <w:pPr>
              <w:pStyle w:val="TableParagraph"/>
              <w:spacing w:before="70"/>
              <w:ind w:right="219"/>
              <w:rPr>
                <w:sz w:val="20"/>
              </w:rPr>
            </w:pPr>
            <w:r>
              <w:rPr>
                <w:w w:val="95"/>
                <w:sz w:val="20"/>
              </w:rPr>
              <w:t>231.00</w:t>
            </w:r>
          </w:p>
        </w:tc>
        <w:tc>
          <w:tcPr>
            <w:tcW w:w="1136" w:type="dxa"/>
          </w:tcPr>
          <w:p w:rsidR="007C5447" w:rsidRDefault="00F6308C">
            <w:pPr>
              <w:pStyle w:val="TableParagraph"/>
              <w:spacing w:before="70"/>
              <w:ind w:right="220"/>
              <w:rPr>
                <w:sz w:val="20"/>
              </w:rPr>
            </w:pPr>
            <w:r>
              <w:rPr>
                <w:w w:val="95"/>
                <w:sz w:val="20"/>
              </w:rPr>
              <w:t>89.47</w:t>
            </w:r>
          </w:p>
        </w:tc>
        <w:tc>
          <w:tcPr>
            <w:tcW w:w="1052" w:type="dxa"/>
          </w:tcPr>
          <w:p w:rsidR="007C5447" w:rsidRDefault="00F6308C">
            <w:pPr>
              <w:pStyle w:val="TableParagraph"/>
              <w:spacing w:before="70"/>
              <w:ind w:right="223"/>
              <w:rPr>
                <w:sz w:val="20"/>
              </w:rPr>
            </w:pPr>
            <w:r>
              <w:rPr>
                <w:sz w:val="20"/>
              </w:rPr>
              <w:t>3.87</w:t>
            </w:r>
          </w:p>
        </w:tc>
      </w:tr>
      <w:tr w:rsidR="007C5447">
        <w:trPr>
          <w:trHeight w:val="371"/>
        </w:trPr>
        <w:tc>
          <w:tcPr>
            <w:tcW w:w="3022" w:type="dxa"/>
          </w:tcPr>
          <w:p w:rsidR="007C5447" w:rsidRDefault="00F6308C">
            <w:pPr>
              <w:pStyle w:val="TableParagraph"/>
              <w:spacing w:before="70"/>
              <w:ind w:left="986"/>
              <w:jc w:val="left"/>
              <w:rPr>
                <w:b/>
                <w:sz w:val="20"/>
              </w:rPr>
            </w:pPr>
            <w:r>
              <w:rPr>
                <w:b/>
                <w:sz w:val="20"/>
              </w:rPr>
              <w:t>Total Hydro</w:t>
            </w:r>
          </w:p>
        </w:tc>
        <w:tc>
          <w:tcPr>
            <w:tcW w:w="1669" w:type="dxa"/>
          </w:tcPr>
          <w:p w:rsidR="007C5447" w:rsidRDefault="00F6308C">
            <w:pPr>
              <w:pStyle w:val="TableParagraph"/>
              <w:spacing w:before="70"/>
              <w:ind w:right="212"/>
              <w:rPr>
                <w:b/>
                <w:sz w:val="20"/>
              </w:rPr>
            </w:pPr>
            <w:r>
              <w:rPr>
                <w:b/>
                <w:w w:val="95"/>
                <w:sz w:val="20"/>
              </w:rPr>
              <w:t>2,576.00</w:t>
            </w:r>
          </w:p>
        </w:tc>
        <w:tc>
          <w:tcPr>
            <w:tcW w:w="1395" w:type="dxa"/>
          </w:tcPr>
          <w:p w:rsidR="007C5447" w:rsidRDefault="00F6308C">
            <w:pPr>
              <w:pStyle w:val="TableParagraph"/>
              <w:spacing w:before="70"/>
              <w:ind w:right="214"/>
              <w:rPr>
                <w:b/>
                <w:sz w:val="20"/>
              </w:rPr>
            </w:pPr>
            <w:r>
              <w:rPr>
                <w:b/>
                <w:w w:val="95"/>
                <w:sz w:val="20"/>
              </w:rPr>
              <w:t>506.96</w:t>
            </w:r>
          </w:p>
        </w:tc>
        <w:tc>
          <w:tcPr>
            <w:tcW w:w="1285" w:type="dxa"/>
          </w:tcPr>
          <w:p w:rsidR="007C5447" w:rsidRDefault="00F6308C">
            <w:pPr>
              <w:pStyle w:val="TableParagraph"/>
              <w:spacing w:before="70"/>
              <w:ind w:right="215"/>
              <w:rPr>
                <w:b/>
                <w:sz w:val="20"/>
              </w:rPr>
            </w:pPr>
            <w:r>
              <w:rPr>
                <w:b/>
                <w:sz w:val="20"/>
              </w:rPr>
              <w:t>1.97</w:t>
            </w:r>
          </w:p>
        </w:tc>
        <w:tc>
          <w:tcPr>
            <w:tcW w:w="1300" w:type="dxa"/>
          </w:tcPr>
          <w:p w:rsidR="007C5447" w:rsidRDefault="00F6308C">
            <w:pPr>
              <w:pStyle w:val="TableParagraph"/>
              <w:spacing w:before="70"/>
              <w:ind w:right="214"/>
              <w:rPr>
                <w:b/>
                <w:sz w:val="20"/>
              </w:rPr>
            </w:pPr>
            <w:r>
              <w:rPr>
                <w:b/>
                <w:w w:val="95"/>
                <w:sz w:val="20"/>
              </w:rPr>
              <w:t>2,718.00</w:t>
            </w:r>
          </w:p>
        </w:tc>
        <w:tc>
          <w:tcPr>
            <w:tcW w:w="1136" w:type="dxa"/>
          </w:tcPr>
          <w:p w:rsidR="007C5447" w:rsidRDefault="00F6308C">
            <w:pPr>
              <w:pStyle w:val="TableParagraph"/>
              <w:spacing w:before="70"/>
              <w:ind w:right="217"/>
              <w:rPr>
                <w:b/>
                <w:sz w:val="20"/>
              </w:rPr>
            </w:pPr>
            <w:r>
              <w:rPr>
                <w:b/>
                <w:w w:val="95"/>
                <w:sz w:val="20"/>
              </w:rPr>
              <w:t>790.78</w:t>
            </w:r>
          </w:p>
        </w:tc>
        <w:tc>
          <w:tcPr>
            <w:tcW w:w="1086" w:type="dxa"/>
          </w:tcPr>
          <w:p w:rsidR="007C5447" w:rsidRDefault="00F6308C">
            <w:pPr>
              <w:pStyle w:val="TableParagraph"/>
              <w:spacing w:before="70"/>
              <w:ind w:right="220"/>
              <w:rPr>
                <w:b/>
                <w:sz w:val="20"/>
              </w:rPr>
            </w:pPr>
            <w:r>
              <w:rPr>
                <w:b/>
                <w:sz w:val="20"/>
              </w:rPr>
              <w:t>2.91</w:t>
            </w:r>
          </w:p>
        </w:tc>
        <w:tc>
          <w:tcPr>
            <w:tcW w:w="1137" w:type="dxa"/>
          </w:tcPr>
          <w:p w:rsidR="007C5447" w:rsidRDefault="00F6308C">
            <w:pPr>
              <w:pStyle w:val="TableParagraph"/>
              <w:spacing w:before="70"/>
              <w:ind w:right="218"/>
              <w:rPr>
                <w:b/>
                <w:sz w:val="20"/>
              </w:rPr>
            </w:pPr>
            <w:r>
              <w:rPr>
                <w:b/>
                <w:w w:val="95"/>
                <w:sz w:val="20"/>
              </w:rPr>
              <w:t>2,416.08</w:t>
            </w:r>
          </w:p>
        </w:tc>
        <w:tc>
          <w:tcPr>
            <w:tcW w:w="1136" w:type="dxa"/>
          </w:tcPr>
          <w:p w:rsidR="007C5447" w:rsidRDefault="00F6308C">
            <w:pPr>
              <w:pStyle w:val="TableParagraph"/>
              <w:spacing w:before="70"/>
              <w:ind w:right="220"/>
              <w:rPr>
                <w:b/>
                <w:sz w:val="20"/>
              </w:rPr>
            </w:pPr>
            <w:r>
              <w:rPr>
                <w:b/>
                <w:w w:val="95"/>
                <w:sz w:val="20"/>
              </w:rPr>
              <w:t>512.46</w:t>
            </w:r>
          </w:p>
        </w:tc>
        <w:tc>
          <w:tcPr>
            <w:tcW w:w="1052" w:type="dxa"/>
          </w:tcPr>
          <w:p w:rsidR="007C5447" w:rsidRDefault="00F6308C">
            <w:pPr>
              <w:pStyle w:val="TableParagraph"/>
              <w:spacing w:before="70"/>
              <w:ind w:right="223"/>
              <w:rPr>
                <w:b/>
                <w:sz w:val="20"/>
              </w:rPr>
            </w:pPr>
            <w:r>
              <w:rPr>
                <w:b/>
                <w:sz w:val="20"/>
              </w:rPr>
              <w:t>2.12</w:t>
            </w:r>
          </w:p>
        </w:tc>
      </w:tr>
      <w:tr w:rsidR="007C5447">
        <w:trPr>
          <w:trHeight w:val="369"/>
        </w:trPr>
        <w:tc>
          <w:tcPr>
            <w:tcW w:w="3022" w:type="dxa"/>
          </w:tcPr>
          <w:p w:rsidR="007C5447" w:rsidRDefault="00F6308C">
            <w:pPr>
              <w:pStyle w:val="TableParagraph"/>
              <w:spacing w:before="70"/>
              <w:ind w:left="112"/>
              <w:jc w:val="left"/>
              <w:rPr>
                <w:b/>
                <w:sz w:val="20"/>
              </w:rPr>
            </w:pPr>
            <w:r>
              <w:rPr>
                <w:b/>
                <w:sz w:val="20"/>
              </w:rPr>
              <w:t>Wind</w:t>
            </w:r>
          </w:p>
        </w:tc>
        <w:tc>
          <w:tcPr>
            <w:tcW w:w="1669" w:type="dxa"/>
          </w:tcPr>
          <w:p w:rsidR="007C5447" w:rsidRDefault="00F6308C">
            <w:pPr>
              <w:pStyle w:val="TableParagraph"/>
              <w:spacing w:before="70"/>
              <w:ind w:right="214"/>
              <w:rPr>
                <w:sz w:val="20"/>
              </w:rPr>
            </w:pPr>
            <w:r>
              <w:rPr>
                <w:w w:val="95"/>
                <w:sz w:val="20"/>
              </w:rPr>
              <w:t>13.00</w:t>
            </w:r>
          </w:p>
        </w:tc>
        <w:tc>
          <w:tcPr>
            <w:tcW w:w="1395" w:type="dxa"/>
          </w:tcPr>
          <w:p w:rsidR="007C5447" w:rsidRDefault="00F6308C">
            <w:pPr>
              <w:pStyle w:val="TableParagraph"/>
              <w:spacing w:before="70"/>
              <w:ind w:right="214"/>
              <w:rPr>
                <w:sz w:val="20"/>
              </w:rPr>
            </w:pPr>
            <w:r>
              <w:rPr>
                <w:sz w:val="20"/>
              </w:rPr>
              <w:t>3.58</w:t>
            </w:r>
          </w:p>
        </w:tc>
        <w:tc>
          <w:tcPr>
            <w:tcW w:w="1285" w:type="dxa"/>
          </w:tcPr>
          <w:p w:rsidR="007C5447" w:rsidRDefault="00F6308C">
            <w:pPr>
              <w:pStyle w:val="TableParagraph"/>
              <w:spacing w:before="70"/>
              <w:ind w:right="215"/>
              <w:rPr>
                <w:sz w:val="20"/>
              </w:rPr>
            </w:pPr>
            <w:r>
              <w:rPr>
                <w:sz w:val="20"/>
              </w:rPr>
              <w:t>2.75</w:t>
            </w:r>
          </w:p>
        </w:tc>
        <w:tc>
          <w:tcPr>
            <w:tcW w:w="1300" w:type="dxa"/>
          </w:tcPr>
          <w:p w:rsidR="007C5447" w:rsidRDefault="00F6308C">
            <w:pPr>
              <w:pStyle w:val="TableParagraph"/>
              <w:spacing w:before="70"/>
              <w:ind w:right="216"/>
              <w:rPr>
                <w:sz w:val="20"/>
              </w:rPr>
            </w:pPr>
            <w:r>
              <w:rPr>
                <w:w w:val="95"/>
                <w:sz w:val="20"/>
              </w:rPr>
              <w:t>13.00</w:t>
            </w:r>
          </w:p>
        </w:tc>
        <w:tc>
          <w:tcPr>
            <w:tcW w:w="1136" w:type="dxa"/>
          </w:tcPr>
          <w:p w:rsidR="007C5447" w:rsidRDefault="00F6308C">
            <w:pPr>
              <w:pStyle w:val="TableParagraph"/>
              <w:spacing w:before="70"/>
              <w:ind w:right="217"/>
              <w:rPr>
                <w:sz w:val="20"/>
              </w:rPr>
            </w:pPr>
            <w:r>
              <w:rPr>
                <w:sz w:val="20"/>
              </w:rPr>
              <w:t>3.00</w:t>
            </w:r>
          </w:p>
        </w:tc>
        <w:tc>
          <w:tcPr>
            <w:tcW w:w="1086" w:type="dxa"/>
          </w:tcPr>
          <w:p w:rsidR="007C5447" w:rsidRDefault="00F6308C">
            <w:pPr>
              <w:pStyle w:val="TableParagraph"/>
              <w:spacing w:before="70"/>
              <w:ind w:right="220"/>
              <w:rPr>
                <w:sz w:val="20"/>
              </w:rPr>
            </w:pPr>
            <w:r>
              <w:rPr>
                <w:sz w:val="20"/>
              </w:rPr>
              <w:t>2.31</w:t>
            </w:r>
          </w:p>
        </w:tc>
        <w:tc>
          <w:tcPr>
            <w:tcW w:w="1137" w:type="dxa"/>
          </w:tcPr>
          <w:p w:rsidR="007C5447" w:rsidRDefault="00F6308C">
            <w:pPr>
              <w:pStyle w:val="TableParagraph"/>
              <w:spacing w:before="70"/>
              <w:ind w:right="219"/>
              <w:rPr>
                <w:sz w:val="20"/>
              </w:rPr>
            </w:pPr>
            <w:r>
              <w:rPr>
                <w:w w:val="95"/>
                <w:sz w:val="20"/>
              </w:rPr>
              <w:t>13.00</w:t>
            </w:r>
          </w:p>
        </w:tc>
        <w:tc>
          <w:tcPr>
            <w:tcW w:w="1136" w:type="dxa"/>
          </w:tcPr>
          <w:p w:rsidR="007C5447" w:rsidRDefault="00F6308C">
            <w:pPr>
              <w:pStyle w:val="TableParagraph"/>
              <w:spacing w:before="70"/>
              <w:ind w:right="220"/>
              <w:rPr>
                <w:sz w:val="20"/>
              </w:rPr>
            </w:pPr>
            <w:r>
              <w:rPr>
                <w:sz w:val="20"/>
              </w:rPr>
              <w:t>3.00</w:t>
            </w:r>
          </w:p>
        </w:tc>
        <w:tc>
          <w:tcPr>
            <w:tcW w:w="1052" w:type="dxa"/>
          </w:tcPr>
          <w:p w:rsidR="007C5447" w:rsidRDefault="00F6308C">
            <w:pPr>
              <w:pStyle w:val="TableParagraph"/>
              <w:spacing w:before="70"/>
              <w:ind w:right="223"/>
              <w:rPr>
                <w:sz w:val="20"/>
              </w:rPr>
            </w:pPr>
            <w:r>
              <w:rPr>
                <w:sz w:val="20"/>
              </w:rPr>
              <w:t>2.31</w:t>
            </w:r>
          </w:p>
        </w:tc>
      </w:tr>
      <w:tr w:rsidR="007C5447">
        <w:trPr>
          <w:trHeight w:val="369"/>
        </w:trPr>
        <w:tc>
          <w:tcPr>
            <w:tcW w:w="3022" w:type="dxa"/>
          </w:tcPr>
          <w:p w:rsidR="007C5447" w:rsidRDefault="00F6308C">
            <w:pPr>
              <w:pStyle w:val="TableParagraph"/>
              <w:spacing w:before="70"/>
              <w:ind w:left="112"/>
              <w:jc w:val="left"/>
              <w:rPr>
                <w:b/>
                <w:sz w:val="20"/>
              </w:rPr>
            </w:pPr>
            <w:r>
              <w:rPr>
                <w:b/>
                <w:sz w:val="20"/>
              </w:rPr>
              <w:t>Total from Own Generation</w:t>
            </w:r>
          </w:p>
        </w:tc>
        <w:tc>
          <w:tcPr>
            <w:tcW w:w="1669" w:type="dxa"/>
          </w:tcPr>
          <w:p w:rsidR="007C5447" w:rsidRDefault="00F6308C">
            <w:pPr>
              <w:pStyle w:val="TableParagraph"/>
              <w:spacing w:before="70"/>
              <w:ind w:right="214"/>
              <w:rPr>
                <w:b/>
                <w:sz w:val="20"/>
              </w:rPr>
            </w:pPr>
            <w:r>
              <w:rPr>
                <w:b/>
                <w:w w:val="95"/>
                <w:sz w:val="20"/>
              </w:rPr>
              <w:t>23,124.70</w:t>
            </w:r>
          </w:p>
        </w:tc>
        <w:tc>
          <w:tcPr>
            <w:tcW w:w="1395" w:type="dxa"/>
          </w:tcPr>
          <w:p w:rsidR="007C5447" w:rsidRDefault="00F6308C">
            <w:pPr>
              <w:pStyle w:val="TableParagraph"/>
              <w:spacing w:before="70"/>
              <w:ind w:right="212"/>
              <w:rPr>
                <w:b/>
                <w:sz w:val="20"/>
              </w:rPr>
            </w:pPr>
            <w:r>
              <w:rPr>
                <w:b/>
                <w:w w:val="95"/>
                <w:sz w:val="20"/>
              </w:rPr>
              <w:t>8,156.87</w:t>
            </w:r>
          </w:p>
        </w:tc>
        <w:tc>
          <w:tcPr>
            <w:tcW w:w="1285" w:type="dxa"/>
          </w:tcPr>
          <w:p w:rsidR="007C5447" w:rsidRDefault="00F6308C">
            <w:pPr>
              <w:pStyle w:val="TableParagraph"/>
              <w:spacing w:before="70"/>
              <w:ind w:right="215"/>
              <w:rPr>
                <w:b/>
                <w:sz w:val="20"/>
              </w:rPr>
            </w:pPr>
            <w:r>
              <w:rPr>
                <w:b/>
                <w:sz w:val="20"/>
              </w:rPr>
              <w:t>3.53</w:t>
            </w:r>
          </w:p>
        </w:tc>
        <w:tc>
          <w:tcPr>
            <w:tcW w:w="1300" w:type="dxa"/>
          </w:tcPr>
          <w:p w:rsidR="007C5447" w:rsidRDefault="00F6308C">
            <w:pPr>
              <w:pStyle w:val="TableParagraph"/>
              <w:spacing w:before="70"/>
              <w:ind w:right="217"/>
              <w:rPr>
                <w:b/>
                <w:sz w:val="20"/>
              </w:rPr>
            </w:pPr>
            <w:r>
              <w:rPr>
                <w:b/>
                <w:w w:val="95"/>
                <w:sz w:val="20"/>
              </w:rPr>
              <w:t>22,897.00</w:t>
            </w:r>
          </w:p>
        </w:tc>
        <w:tc>
          <w:tcPr>
            <w:tcW w:w="1136" w:type="dxa"/>
          </w:tcPr>
          <w:p w:rsidR="007C5447" w:rsidRDefault="00F6308C">
            <w:pPr>
              <w:pStyle w:val="TableParagraph"/>
              <w:spacing w:before="70"/>
              <w:ind w:right="215"/>
              <w:rPr>
                <w:b/>
                <w:sz w:val="20"/>
              </w:rPr>
            </w:pPr>
            <w:r>
              <w:rPr>
                <w:b/>
                <w:w w:val="95"/>
                <w:sz w:val="20"/>
              </w:rPr>
              <w:t>10,257.93</w:t>
            </w:r>
          </w:p>
        </w:tc>
        <w:tc>
          <w:tcPr>
            <w:tcW w:w="1086" w:type="dxa"/>
          </w:tcPr>
          <w:p w:rsidR="007C5447" w:rsidRDefault="00F6308C">
            <w:pPr>
              <w:pStyle w:val="TableParagraph"/>
              <w:spacing w:before="70"/>
              <w:ind w:right="220"/>
              <w:rPr>
                <w:b/>
                <w:sz w:val="20"/>
              </w:rPr>
            </w:pPr>
            <w:r>
              <w:rPr>
                <w:b/>
                <w:sz w:val="20"/>
              </w:rPr>
              <w:t>4.48</w:t>
            </w:r>
          </w:p>
        </w:tc>
        <w:tc>
          <w:tcPr>
            <w:tcW w:w="1137" w:type="dxa"/>
          </w:tcPr>
          <w:p w:rsidR="007C5447" w:rsidRDefault="00F6308C">
            <w:pPr>
              <w:pStyle w:val="TableParagraph"/>
              <w:spacing w:before="70"/>
              <w:ind w:right="218"/>
              <w:rPr>
                <w:b/>
                <w:sz w:val="20"/>
              </w:rPr>
            </w:pPr>
            <w:r>
              <w:rPr>
                <w:b/>
                <w:w w:val="95"/>
                <w:sz w:val="20"/>
              </w:rPr>
              <w:t>22,595.08</w:t>
            </w:r>
          </w:p>
        </w:tc>
        <w:tc>
          <w:tcPr>
            <w:tcW w:w="1136" w:type="dxa"/>
          </w:tcPr>
          <w:p w:rsidR="007C5447" w:rsidRDefault="00F6308C">
            <w:pPr>
              <w:pStyle w:val="TableParagraph"/>
              <w:spacing w:before="70"/>
              <w:ind w:right="218"/>
              <w:rPr>
                <w:b/>
                <w:sz w:val="20"/>
              </w:rPr>
            </w:pPr>
            <w:r>
              <w:rPr>
                <w:b/>
                <w:w w:val="95"/>
                <w:sz w:val="20"/>
              </w:rPr>
              <w:t>6,844.23</w:t>
            </w:r>
          </w:p>
        </w:tc>
        <w:tc>
          <w:tcPr>
            <w:tcW w:w="1052" w:type="dxa"/>
          </w:tcPr>
          <w:p w:rsidR="007C5447" w:rsidRDefault="00F6308C">
            <w:pPr>
              <w:pStyle w:val="TableParagraph"/>
              <w:spacing w:before="70"/>
              <w:ind w:right="223"/>
              <w:rPr>
                <w:b/>
                <w:sz w:val="20"/>
              </w:rPr>
            </w:pPr>
            <w:r>
              <w:rPr>
                <w:b/>
                <w:sz w:val="20"/>
              </w:rPr>
              <w:t>3.03</w:t>
            </w:r>
          </w:p>
        </w:tc>
      </w:tr>
      <w:tr w:rsidR="007C5447">
        <w:trPr>
          <w:trHeight w:val="371"/>
        </w:trPr>
        <w:tc>
          <w:tcPr>
            <w:tcW w:w="3022" w:type="dxa"/>
          </w:tcPr>
          <w:p w:rsidR="007C5447" w:rsidRDefault="00F6308C">
            <w:pPr>
              <w:pStyle w:val="TableParagraph"/>
              <w:spacing w:before="70"/>
              <w:ind w:left="112"/>
              <w:jc w:val="left"/>
              <w:rPr>
                <w:b/>
                <w:sz w:val="20"/>
              </w:rPr>
            </w:pPr>
            <w:r>
              <w:rPr>
                <w:b/>
                <w:sz w:val="20"/>
              </w:rPr>
              <w:t>CGS</w:t>
            </w:r>
          </w:p>
        </w:tc>
        <w:tc>
          <w:tcPr>
            <w:tcW w:w="1669" w:type="dxa"/>
          </w:tcPr>
          <w:p w:rsidR="007C5447" w:rsidRDefault="007C5447">
            <w:pPr>
              <w:pStyle w:val="TableParagraph"/>
              <w:jc w:val="left"/>
              <w:rPr>
                <w:sz w:val="20"/>
              </w:rPr>
            </w:pPr>
          </w:p>
        </w:tc>
        <w:tc>
          <w:tcPr>
            <w:tcW w:w="1395" w:type="dxa"/>
          </w:tcPr>
          <w:p w:rsidR="007C5447" w:rsidRDefault="007C5447">
            <w:pPr>
              <w:pStyle w:val="TableParagraph"/>
              <w:jc w:val="left"/>
              <w:rPr>
                <w:sz w:val="20"/>
              </w:rPr>
            </w:pP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NTPC SR (Ramagundam) (I&amp;II)</w:t>
            </w:r>
          </w:p>
        </w:tc>
        <w:tc>
          <w:tcPr>
            <w:tcW w:w="1669" w:type="dxa"/>
          </w:tcPr>
          <w:p w:rsidR="007C5447" w:rsidRDefault="00F6308C">
            <w:pPr>
              <w:pStyle w:val="TableParagraph"/>
              <w:spacing w:before="70"/>
              <w:ind w:right="212"/>
              <w:rPr>
                <w:sz w:val="20"/>
              </w:rPr>
            </w:pPr>
            <w:r>
              <w:rPr>
                <w:w w:val="95"/>
                <w:sz w:val="20"/>
              </w:rPr>
              <w:t>4,149.00</w:t>
            </w:r>
          </w:p>
        </w:tc>
        <w:tc>
          <w:tcPr>
            <w:tcW w:w="1395" w:type="dxa"/>
          </w:tcPr>
          <w:p w:rsidR="007C5447" w:rsidRDefault="00F6308C">
            <w:pPr>
              <w:pStyle w:val="TableParagraph"/>
              <w:spacing w:before="70"/>
              <w:ind w:right="214"/>
              <w:rPr>
                <w:sz w:val="20"/>
              </w:rPr>
            </w:pPr>
            <w:r>
              <w:rPr>
                <w:w w:val="95"/>
                <w:sz w:val="20"/>
              </w:rPr>
              <w:t>962.77</w:t>
            </w:r>
          </w:p>
        </w:tc>
        <w:tc>
          <w:tcPr>
            <w:tcW w:w="1285" w:type="dxa"/>
          </w:tcPr>
          <w:p w:rsidR="007C5447" w:rsidRDefault="00F6308C">
            <w:pPr>
              <w:pStyle w:val="TableParagraph"/>
              <w:spacing w:before="70"/>
              <w:ind w:right="215"/>
              <w:rPr>
                <w:sz w:val="20"/>
              </w:rPr>
            </w:pPr>
            <w:r>
              <w:rPr>
                <w:sz w:val="20"/>
              </w:rPr>
              <w:t>2.32</w:t>
            </w:r>
          </w:p>
        </w:tc>
        <w:tc>
          <w:tcPr>
            <w:tcW w:w="1300" w:type="dxa"/>
          </w:tcPr>
          <w:p w:rsidR="007C5447" w:rsidRDefault="00F6308C">
            <w:pPr>
              <w:pStyle w:val="TableParagraph"/>
              <w:spacing w:before="70"/>
              <w:ind w:right="214"/>
              <w:rPr>
                <w:sz w:val="20"/>
              </w:rPr>
            </w:pPr>
            <w:r>
              <w:rPr>
                <w:w w:val="95"/>
                <w:sz w:val="20"/>
              </w:rPr>
              <w:t>4,149.00</w:t>
            </w:r>
          </w:p>
        </w:tc>
        <w:tc>
          <w:tcPr>
            <w:tcW w:w="1136" w:type="dxa"/>
          </w:tcPr>
          <w:p w:rsidR="007C5447" w:rsidRDefault="00F6308C">
            <w:pPr>
              <w:pStyle w:val="TableParagraph"/>
              <w:spacing w:before="70"/>
              <w:ind w:right="217"/>
              <w:rPr>
                <w:sz w:val="20"/>
              </w:rPr>
            </w:pPr>
            <w:r>
              <w:rPr>
                <w:w w:val="95"/>
                <w:sz w:val="20"/>
              </w:rPr>
              <w:t>962.77</w:t>
            </w:r>
          </w:p>
        </w:tc>
        <w:tc>
          <w:tcPr>
            <w:tcW w:w="1086" w:type="dxa"/>
          </w:tcPr>
          <w:p w:rsidR="007C5447" w:rsidRDefault="00F6308C">
            <w:pPr>
              <w:pStyle w:val="TableParagraph"/>
              <w:spacing w:before="70"/>
              <w:ind w:right="220"/>
              <w:rPr>
                <w:sz w:val="20"/>
              </w:rPr>
            </w:pPr>
            <w:r>
              <w:rPr>
                <w:sz w:val="20"/>
              </w:rPr>
              <w:t>2.32</w:t>
            </w:r>
          </w:p>
        </w:tc>
        <w:tc>
          <w:tcPr>
            <w:tcW w:w="1137" w:type="dxa"/>
          </w:tcPr>
          <w:p w:rsidR="007C5447" w:rsidRDefault="00F6308C">
            <w:pPr>
              <w:pStyle w:val="TableParagraph"/>
              <w:spacing w:before="70"/>
              <w:ind w:right="218"/>
              <w:rPr>
                <w:sz w:val="20"/>
              </w:rPr>
            </w:pPr>
            <w:r>
              <w:rPr>
                <w:w w:val="95"/>
                <w:sz w:val="20"/>
              </w:rPr>
              <w:t>4,149.00</w:t>
            </w:r>
          </w:p>
        </w:tc>
        <w:tc>
          <w:tcPr>
            <w:tcW w:w="1136" w:type="dxa"/>
          </w:tcPr>
          <w:p w:rsidR="007C5447" w:rsidRDefault="00F6308C">
            <w:pPr>
              <w:pStyle w:val="TableParagraph"/>
              <w:spacing w:before="70"/>
              <w:ind w:right="220"/>
              <w:rPr>
                <w:sz w:val="20"/>
              </w:rPr>
            </w:pPr>
            <w:r>
              <w:rPr>
                <w:w w:val="95"/>
                <w:sz w:val="20"/>
              </w:rPr>
              <w:t>962.77</w:t>
            </w:r>
          </w:p>
        </w:tc>
        <w:tc>
          <w:tcPr>
            <w:tcW w:w="1052" w:type="dxa"/>
          </w:tcPr>
          <w:p w:rsidR="007C5447" w:rsidRDefault="00F6308C">
            <w:pPr>
              <w:pStyle w:val="TableParagraph"/>
              <w:spacing w:before="70"/>
              <w:ind w:right="223"/>
              <w:rPr>
                <w:sz w:val="20"/>
              </w:rPr>
            </w:pPr>
            <w:r>
              <w:rPr>
                <w:sz w:val="20"/>
              </w:rPr>
              <w:t>2.32</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NTPC SR (Ramagundam) III</w:t>
            </w:r>
          </w:p>
        </w:tc>
        <w:tc>
          <w:tcPr>
            <w:tcW w:w="1669" w:type="dxa"/>
          </w:tcPr>
          <w:p w:rsidR="007C5447" w:rsidRDefault="00F6308C">
            <w:pPr>
              <w:pStyle w:val="TableParagraph"/>
              <w:spacing w:before="70"/>
              <w:ind w:right="214"/>
              <w:rPr>
                <w:sz w:val="20"/>
              </w:rPr>
            </w:pPr>
            <w:r>
              <w:rPr>
                <w:w w:val="95"/>
                <w:sz w:val="20"/>
              </w:rPr>
              <w:t>981.00</w:t>
            </w:r>
          </w:p>
        </w:tc>
        <w:tc>
          <w:tcPr>
            <w:tcW w:w="1395" w:type="dxa"/>
          </w:tcPr>
          <w:p w:rsidR="007C5447" w:rsidRDefault="00F6308C">
            <w:pPr>
              <w:pStyle w:val="TableParagraph"/>
              <w:spacing w:before="70"/>
              <w:ind w:right="214"/>
              <w:rPr>
                <w:sz w:val="20"/>
              </w:rPr>
            </w:pPr>
            <w:r>
              <w:rPr>
                <w:w w:val="95"/>
                <w:sz w:val="20"/>
              </w:rPr>
              <w:t>308.10</w:t>
            </w:r>
          </w:p>
        </w:tc>
        <w:tc>
          <w:tcPr>
            <w:tcW w:w="1285" w:type="dxa"/>
          </w:tcPr>
          <w:p w:rsidR="007C5447" w:rsidRDefault="00F6308C">
            <w:pPr>
              <w:pStyle w:val="TableParagraph"/>
              <w:spacing w:before="70"/>
              <w:ind w:right="215"/>
              <w:rPr>
                <w:sz w:val="20"/>
              </w:rPr>
            </w:pPr>
            <w:r>
              <w:rPr>
                <w:sz w:val="20"/>
              </w:rPr>
              <w:t>3.14</w:t>
            </w:r>
          </w:p>
        </w:tc>
        <w:tc>
          <w:tcPr>
            <w:tcW w:w="1300" w:type="dxa"/>
          </w:tcPr>
          <w:p w:rsidR="007C5447" w:rsidRDefault="00F6308C">
            <w:pPr>
              <w:pStyle w:val="TableParagraph"/>
              <w:spacing w:before="70"/>
              <w:ind w:right="216"/>
              <w:rPr>
                <w:sz w:val="20"/>
              </w:rPr>
            </w:pPr>
            <w:r>
              <w:rPr>
                <w:w w:val="95"/>
                <w:sz w:val="20"/>
              </w:rPr>
              <w:t>981.00</w:t>
            </w:r>
          </w:p>
        </w:tc>
        <w:tc>
          <w:tcPr>
            <w:tcW w:w="1136" w:type="dxa"/>
          </w:tcPr>
          <w:p w:rsidR="007C5447" w:rsidRDefault="00F6308C">
            <w:pPr>
              <w:pStyle w:val="TableParagraph"/>
              <w:spacing w:before="70"/>
              <w:ind w:right="217"/>
              <w:rPr>
                <w:sz w:val="20"/>
              </w:rPr>
            </w:pPr>
            <w:r>
              <w:rPr>
                <w:w w:val="95"/>
                <w:sz w:val="20"/>
              </w:rPr>
              <w:t>308.10</w:t>
            </w:r>
          </w:p>
        </w:tc>
        <w:tc>
          <w:tcPr>
            <w:tcW w:w="1086" w:type="dxa"/>
          </w:tcPr>
          <w:p w:rsidR="007C5447" w:rsidRDefault="00F6308C">
            <w:pPr>
              <w:pStyle w:val="TableParagraph"/>
              <w:spacing w:before="70"/>
              <w:ind w:right="220"/>
              <w:rPr>
                <w:sz w:val="20"/>
              </w:rPr>
            </w:pPr>
            <w:r>
              <w:rPr>
                <w:sz w:val="20"/>
              </w:rPr>
              <w:t>3.14</w:t>
            </w:r>
          </w:p>
        </w:tc>
        <w:tc>
          <w:tcPr>
            <w:tcW w:w="1137" w:type="dxa"/>
          </w:tcPr>
          <w:p w:rsidR="007C5447" w:rsidRDefault="00F6308C">
            <w:pPr>
              <w:pStyle w:val="TableParagraph"/>
              <w:spacing w:before="70"/>
              <w:ind w:right="219"/>
              <w:rPr>
                <w:sz w:val="20"/>
              </w:rPr>
            </w:pPr>
            <w:r>
              <w:rPr>
                <w:w w:val="95"/>
                <w:sz w:val="20"/>
              </w:rPr>
              <w:t>981.00</w:t>
            </w:r>
          </w:p>
        </w:tc>
        <w:tc>
          <w:tcPr>
            <w:tcW w:w="1136" w:type="dxa"/>
          </w:tcPr>
          <w:p w:rsidR="007C5447" w:rsidRDefault="00F6308C">
            <w:pPr>
              <w:pStyle w:val="TableParagraph"/>
              <w:spacing w:before="70"/>
              <w:ind w:right="220"/>
              <w:rPr>
                <w:sz w:val="20"/>
              </w:rPr>
            </w:pPr>
            <w:r>
              <w:rPr>
                <w:w w:val="95"/>
                <w:sz w:val="20"/>
              </w:rPr>
              <w:t>308.10</w:t>
            </w:r>
          </w:p>
        </w:tc>
        <w:tc>
          <w:tcPr>
            <w:tcW w:w="1052" w:type="dxa"/>
          </w:tcPr>
          <w:p w:rsidR="007C5447" w:rsidRDefault="00F6308C">
            <w:pPr>
              <w:pStyle w:val="TableParagraph"/>
              <w:spacing w:before="70"/>
              <w:ind w:right="223"/>
              <w:rPr>
                <w:sz w:val="20"/>
              </w:rPr>
            </w:pPr>
            <w:r>
              <w:rPr>
                <w:sz w:val="20"/>
              </w:rPr>
              <w:t>3.14</w:t>
            </w:r>
          </w:p>
        </w:tc>
      </w:tr>
      <w:tr w:rsidR="007C5447">
        <w:trPr>
          <w:trHeight w:val="371"/>
        </w:trPr>
        <w:tc>
          <w:tcPr>
            <w:tcW w:w="3022" w:type="dxa"/>
            <w:tcBorders>
              <w:left w:val="single" w:sz="8" w:space="0" w:color="000000"/>
            </w:tcBorders>
          </w:tcPr>
          <w:p w:rsidR="007C5447" w:rsidRDefault="00F6308C">
            <w:pPr>
              <w:pStyle w:val="TableParagraph"/>
              <w:spacing w:before="70"/>
              <w:ind w:left="107"/>
              <w:jc w:val="left"/>
              <w:rPr>
                <w:sz w:val="20"/>
              </w:rPr>
            </w:pPr>
            <w:r>
              <w:rPr>
                <w:sz w:val="20"/>
              </w:rPr>
              <w:t>NLC TS - I</w:t>
            </w:r>
          </w:p>
        </w:tc>
        <w:tc>
          <w:tcPr>
            <w:tcW w:w="1669" w:type="dxa"/>
          </w:tcPr>
          <w:p w:rsidR="007C5447" w:rsidRDefault="00F6308C">
            <w:pPr>
              <w:pStyle w:val="TableParagraph"/>
              <w:spacing w:before="70"/>
              <w:ind w:right="212"/>
              <w:rPr>
                <w:sz w:val="20"/>
              </w:rPr>
            </w:pPr>
            <w:r>
              <w:rPr>
                <w:w w:val="95"/>
                <w:sz w:val="20"/>
              </w:rPr>
              <w:t>3,189.00</w:t>
            </w:r>
          </w:p>
        </w:tc>
        <w:tc>
          <w:tcPr>
            <w:tcW w:w="1395" w:type="dxa"/>
          </w:tcPr>
          <w:p w:rsidR="007C5447" w:rsidRDefault="00F6308C">
            <w:pPr>
              <w:pStyle w:val="TableParagraph"/>
              <w:spacing w:before="70"/>
              <w:ind w:right="212"/>
              <w:rPr>
                <w:sz w:val="20"/>
              </w:rPr>
            </w:pPr>
            <w:r>
              <w:rPr>
                <w:w w:val="95"/>
                <w:sz w:val="20"/>
              </w:rPr>
              <w:t>1,046.54</w:t>
            </w:r>
          </w:p>
        </w:tc>
        <w:tc>
          <w:tcPr>
            <w:tcW w:w="1285" w:type="dxa"/>
          </w:tcPr>
          <w:p w:rsidR="007C5447" w:rsidRDefault="00F6308C">
            <w:pPr>
              <w:pStyle w:val="TableParagraph"/>
              <w:spacing w:before="70"/>
              <w:ind w:right="215"/>
              <w:rPr>
                <w:sz w:val="20"/>
              </w:rPr>
            </w:pPr>
            <w:r>
              <w:rPr>
                <w:sz w:val="20"/>
              </w:rPr>
              <w:t>3.28</w:t>
            </w:r>
          </w:p>
        </w:tc>
        <w:tc>
          <w:tcPr>
            <w:tcW w:w="1300" w:type="dxa"/>
          </w:tcPr>
          <w:p w:rsidR="007C5447" w:rsidRDefault="00F6308C">
            <w:pPr>
              <w:pStyle w:val="TableParagraph"/>
              <w:spacing w:before="70"/>
              <w:ind w:right="214"/>
              <w:rPr>
                <w:sz w:val="20"/>
              </w:rPr>
            </w:pPr>
            <w:r>
              <w:rPr>
                <w:w w:val="95"/>
                <w:sz w:val="20"/>
              </w:rPr>
              <w:t>3,189.00</w:t>
            </w:r>
          </w:p>
        </w:tc>
        <w:tc>
          <w:tcPr>
            <w:tcW w:w="1136" w:type="dxa"/>
          </w:tcPr>
          <w:p w:rsidR="007C5447" w:rsidRDefault="00F6308C">
            <w:pPr>
              <w:pStyle w:val="TableParagraph"/>
              <w:spacing w:before="70"/>
              <w:ind w:right="215"/>
              <w:rPr>
                <w:sz w:val="20"/>
              </w:rPr>
            </w:pPr>
            <w:r>
              <w:rPr>
                <w:w w:val="95"/>
                <w:sz w:val="20"/>
              </w:rPr>
              <w:t>1,046.54</w:t>
            </w:r>
          </w:p>
        </w:tc>
        <w:tc>
          <w:tcPr>
            <w:tcW w:w="1086" w:type="dxa"/>
          </w:tcPr>
          <w:p w:rsidR="007C5447" w:rsidRDefault="00F6308C">
            <w:pPr>
              <w:pStyle w:val="TableParagraph"/>
              <w:spacing w:before="70"/>
              <w:ind w:right="220"/>
              <w:rPr>
                <w:sz w:val="20"/>
              </w:rPr>
            </w:pPr>
            <w:r>
              <w:rPr>
                <w:sz w:val="20"/>
              </w:rPr>
              <w:t>3.28</w:t>
            </w:r>
          </w:p>
        </w:tc>
        <w:tc>
          <w:tcPr>
            <w:tcW w:w="1137" w:type="dxa"/>
          </w:tcPr>
          <w:p w:rsidR="007C5447" w:rsidRDefault="00F6308C">
            <w:pPr>
              <w:pStyle w:val="TableParagraph"/>
              <w:spacing w:before="70"/>
              <w:ind w:right="218"/>
              <w:rPr>
                <w:sz w:val="20"/>
              </w:rPr>
            </w:pPr>
            <w:r>
              <w:rPr>
                <w:w w:val="95"/>
                <w:sz w:val="20"/>
              </w:rPr>
              <w:t>3,189.00</w:t>
            </w:r>
          </w:p>
        </w:tc>
        <w:tc>
          <w:tcPr>
            <w:tcW w:w="1136" w:type="dxa"/>
          </w:tcPr>
          <w:p w:rsidR="007C5447" w:rsidRDefault="00F6308C">
            <w:pPr>
              <w:pStyle w:val="TableParagraph"/>
              <w:spacing w:before="70"/>
              <w:ind w:right="218"/>
              <w:rPr>
                <w:sz w:val="20"/>
              </w:rPr>
            </w:pPr>
            <w:r>
              <w:rPr>
                <w:w w:val="95"/>
                <w:sz w:val="20"/>
              </w:rPr>
              <w:t>1,046.54</w:t>
            </w:r>
          </w:p>
        </w:tc>
        <w:tc>
          <w:tcPr>
            <w:tcW w:w="1052" w:type="dxa"/>
          </w:tcPr>
          <w:p w:rsidR="007C5447" w:rsidRDefault="00F6308C">
            <w:pPr>
              <w:pStyle w:val="TableParagraph"/>
              <w:spacing w:before="70"/>
              <w:ind w:right="223"/>
              <w:rPr>
                <w:sz w:val="20"/>
              </w:rPr>
            </w:pPr>
            <w:r>
              <w:rPr>
                <w:sz w:val="20"/>
              </w:rPr>
              <w:t>3.28</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NLC TS - II</w:t>
            </w:r>
          </w:p>
        </w:tc>
        <w:tc>
          <w:tcPr>
            <w:tcW w:w="1669" w:type="dxa"/>
          </w:tcPr>
          <w:p w:rsidR="007C5447" w:rsidRDefault="00F6308C">
            <w:pPr>
              <w:pStyle w:val="TableParagraph"/>
              <w:spacing w:before="70"/>
              <w:ind w:right="212"/>
              <w:rPr>
                <w:sz w:val="20"/>
              </w:rPr>
            </w:pPr>
            <w:r>
              <w:rPr>
                <w:w w:val="95"/>
                <w:sz w:val="20"/>
              </w:rPr>
              <w:t>3,291.00</w:t>
            </w:r>
          </w:p>
        </w:tc>
        <w:tc>
          <w:tcPr>
            <w:tcW w:w="1395" w:type="dxa"/>
          </w:tcPr>
          <w:p w:rsidR="007C5447" w:rsidRDefault="00F6308C">
            <w:pPr>
              <w:pStyle w:val="TableParagraph"/>
              <w:spacing w:before="70"/>
              <w:ind w:right="214"/>
              <w:rPr>
                <w:sz w:val="20"/>
              </w:rPr>
            </w:pPr>
            <w:r>
              <w:rPr>
                <w:w w:val="95"/>
                <w:sz w:val="20"/>
              </w:rPr>
              <w:t>865.41</w:t>
            </w:r>
          </w:p>
        </w:tc>
        <w:tc>
          <w:tcPr>
            <w:tcW w:w="1285" w:type="dxa"/>
          </w:tcPr>
          <w:p w:rsidR="007C5447" w:rsidRDefault="00F6308C">
            <w:pPr>
              <w:pStyle w:val="TableParagraph"/>
              <w:spacing w:before="70"/>
              <w:ind w:right="215"/>
              <w:rPr>
                <w:sz w:val="20"/>
              </w:rPr>
            </w:pPr>
            <w:r>
              <w:rPr>
                <w:sz w:val="20"/>
              </w:rPr>
              <w:t>2.63</w:t>
            </w:r>
          </w:p>
        </w:tc>
        <w:tc>
          <w:tcPr>
            <w:tcW w:w="1300" w:type="dxa"/>
          </w:tcPr>
          <w:p w:rsidR="007C5447" w:rsidRDefault="00F6308C">
            <w:pPr>
              <w:pStyle w:val="TableParagraph"/>
              <w:spacing w:before="70"/>
              <w:ind w:right="214"/>
              <w:rPr>
                <w:sz w:val="20"/>
              </w:rPr>
            </w:pPr>
            <w:r>
              <w:rPr>
                <w:w w:val="95"/>
                <w:sz w:val="20"/>
              </w:rPr>
              <w:t>3,291.00</w:t>
            </w:r>
          </w:p>
        </w:tc>
        <w:tc>
          <w:tcPr>
            <w:tcW w:w="1136" w:type="dxa"/>
          </w:tcPr>
          <w:p w:rsidR="007C5447" w:rsidRDefault="00F6308C">
            <w:pPr>
              <w:pStyle w:val="TableParagraph"/>
              <w:spacing w:before="70"/>
              <w:ind w:right="217"/>
              <w:rPr>
                <w:sz w:val="20"/>
              </w:rPr>
            </w:pPr>
            <w:r>
              <w:rPr>
                <w:w w:val="95"/>
                <w:sz w:val="20"/>
              </w:rPr>
              <w:t>865.41</w:t>
            </w:r>
          </w:p>
        </w:tc>
        <w:tc>
          <w:tcPr>
            <w:tcW w:w="1086" w:type="dxa"/>
          </w:tcPr>
          <w:p w:rsidR="007C5447" w:rsidRDefault="00F6308C">
            <w:pPr>
              <w:pStyle w:val="TableParagraph"/>
              <w:spacing w:before="70"/>
              <w:ind w:right="220"/>
              <w:rPr>
                <w:sz w:val="20"/>
              </w:rPr>
            </w:pPr>
            <w:r>
              <w:rPr>
                <w:sz w:val="20"/>
              </w:rPr>
              <w:t>2.63</w:t>
            </w:r>
          </w:p>
        </w:tc>
        <w:tc>
          <w:tcPr>
            <w:tcW w:w="1137" w:type="dxa"/>
          </w:tcPr>
          <w:p w:rsidR="007C5447" w:rsidRDefault="00F6308C">
            <w:pPr>
              <w:pStyle w:val="TableParagraph"/>
              <w:spacing w:before="70"/>
              <w:ind w:right="218"/>
              <w:rPr>
                <w:sz w:val="20"/>
              </w:rPr>
            </w:pPr>
            <w:r>
              <w:rPr>
                <w:w w:val="95"/>
                <w:sz w:val="20"/>
              </w:rPr>
              <w:t>3,291.00</w:t>
            </w:r>
          </w:p>
        </w:tc>
        <w:tc>
          <w:tcPr>
            <w:tcW w:w="1136" w:type="dxa"/>
          </w:tcPr>
          <w:p w:rsidR="007C5447" w:rsidRDefault="00F6308C">
            <w:pPr>
              <w:pStyle w:val="TableParagraph"/>
              <w:spacing w:before="70"/>
              <w:ind w:right="220"/>
              <w:rPr>
                <w:sz w:val="20"/>
              </w:rPr>
            </w:pPr>
            <w:r>
              <w:rPr>
                <w:w w:val="95"/>
                <w:sz w:val="20"/>
              </w:rPr>
              <w:t>865.41</w:t>
            </w:r>
          </w:p>
        </w:tc>
        <w:tc>
          <w:tcPr>
            <w:tcW w:w="1052" w:type="dxa"/>
          </w:tcPr>
          <w:p w:rsidR="007C5447" w:rsidRDefault="00F6308C">
            <w:pPr>
              <w:pStyle w:val="TableParagraph"/>
              <w:spacing w:before="70"/>
              <w:ind w:right="223"/>
              <w:rPr>
                <w:sz w:val="20"/>
              </w:rPr>
            </w:pPr>
            <w:r>
              <w:rPr>
                <w:sz w:val="20"/>
              </w:rPr>
              <w:t>2.63</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NLC TS Expansion I</w:t>
            </w:r>
          </w:p>
        </w:tc>
        <w:tc>
          <w:tcPr>
            <w:tcW w:w="1669" w:type="dxa"/>
          </w:tcPr>
          <w:p w:rsidR="007C5447" w:rsidRDefault="00F6308C">
            <w:pPr>
              <w:pStyle w:val="TableParagraph"/>
              <w:spacing w:before="70"/>
              <w:ind w:right="212"/>
              <w:rPr>
                <w:sz w:val="20"/>
              </w:rPr>
            </w:pPr>
            <w:r>
              <w:rPr>
                <w:w w:val="95"/>
                <w:sz w:val="20"/>
              </w:rPr>
              <w:t>1,629.00</w:t>
            </w:r>
          </w:p>
        </w:tc>
        <w:tc>
          <w:tcPr>
            <w:tcW w:w="1395" w:type="dxa"/>
          </w:tcPr>
          <w:p w:rsidR="007C5447" w:rsidRDefault="00F6308C">
            <w:pPr>
              <w:pStyle w:val="TableParagraph"/>
              <w:spacing w:before="70"/>
              <w:ind w:right="214"/>
              <w:rPr>
                <w:sz w:val="20"/>
              </w:rPr>
            </w:pPr>
            <w:r>
              <w:rPr>
                <w:w w:val="95"/>
                <w:sz w:val="20"/>
              </w:rPr>
              <w:t>513.23</w:t>
            </w:r>
          </w:p>
        </w:tc>
        <w:tc>
          <w:tcPr>
            <w:tcW w:w="1285" w:type="dxa"/>
          </w:tcPr>
          <w:p w:rsidR="007C5447" w:rsidRDefault="00F6308C">
            <w:pPr>
              <w:pStyle w:val="TableParagraph"/>
              <w:spacing w:before="70"/>
              <w:ind w:right="215"/>
              <w:rPr>
                <w:sz w:val="20"/>
              </w:rPr>
            </w:pPr>
            <w:r>
              <w:rPr>
                <w:sz w:val="20"/>
              </w:rPr>
              <w:t>3.15</w:t>
            </w:r>
          </w:p>
        </w:tc>
        <w:tc>
          <w:tcPr>
            <w:tcW w:w="1300" w:type="dxa"/>
          </w:tcPr>
          <w:p w:rsidR="007C5447" w:rsidRDefault="00F6308C">
            <w:pPr>
              <w:pStyle w:val="TableParagraph"/>
              <w:spacing w:before="70"/>
              <w:ind w:right="214"/>
              <w:rPr>
                <w:sz w:val="20"/>
              </w:rPr>
            </w:pPr>
            <w:r>
              <w:rPr>
                <w:w w:val="95"/>
                <w:sz w:val="20"/>
              </w:rPr>
              <w:t>1,629.00</w:t>
            </w:r>
          </w:p>
        </w:tc>
        <w:tc>
          <w:tcPr>
            <w:tcW w:w="1136" w:type="dxa"/>
          </w:tcPr>
          <w:p w:rsidR="007C5447" w:rsidRDefault="00F6308C">
            <w:pPr>
              <w:pStyle w:val="TableParagraph"/>
              <w:spacing w:before="70"/>
              <w:ind w:right="217"/>
              <w:rPr>
                <w:sz w:val="20"/>
              </w:rPr>
            </w:pPr>
            <w:r>
              <w:rPr>
                <w:w w:val="95"/>
                <w:sz w:val="20"/>
              </w:rPr>
              <w:t>513.23</w:t>
            </w:r>
          </w:p>
        </w:tc>
        <w:tc>
          <w:tcPr>
            <w:tcW w:w="1086" w:type="dxa"/>
          </w:tcPr>
          <w:p w:rsidR="007C5447" w:rsidRDefault="00F6308C">
            <w:pPr>
              <w:pStyle w:val="TableParagraph"/>
              <w:spacing w:before="70"/>
              <w:ind w:right="220"/>
              <w:rPr>
                <w:sz w:val="20"/>
              </w:rPr>
            </w:pPr>
            <w:r>
              <w:rPr>
                <w:sz w:val="20"/>
              </w:rPr>
              <w:t>3.15</w:t>
            </w:r>
          </w:p>
        </w:tc>
        <w:tc>
          <w:tcPr>
            <w:tcW w:w="1137" w:type="dxa"/>
          </w:tcPr>
          <w:p w:rsidR="007C5447" w:rsidRDefault="00F6308C">
            <w:pPr>
              <w:pStyle w:val="TableParagraph"/>
              <w:spacing w:before="70"/>
              <w:ind w:right="217"/>
              <w:rPr>
                <w:sz w:val="20"/>
              </w:rPr>
            </w:pPr>
            <w:r>
              <w:rPr>
                <w:sz w:val="20"/>
              </w:rPr>
              <w:t>1,629.00</w:t>
            </w:r>
          </w:p>
        </w:tc>
        <w:tc>
          <w:tcPr>
            <w:tcW w:w="1136" w:type="dxa"/>
          </w:tcPr>
          <w:p w:rsidR="007C5447" w:rsidRDefault="00F6308C">
            <w:pPr>
              <w:pStyle w:val="TableParagraph"/>
              <w:spacing w:before="70"/>
              <w:ind w:right="220"/>
              <w:rPr>
                <w:sz w:val="20"/>
              </w:rPr>
            </w:pPr>
            <w:r>
              <w:rPr>
                <w:w w:val="95"/>
                <w:sz w:val="20"/>
              </w:rPr>
              <w:t>513.23</w:t>
            </w:r>
          </w:p>
        </w:tc>
        <w:tc>
          <w:tcPr>
            <w:tcW w:w="1052" w:type="dxa"/>
          </w:tcPr>
          <w:p w:rsidR="007C5447" w:rsidRDefault="00F6308C">
            <w:pPr>
              <w:pStyle w:val="TableParagraph"/>
              <w:spacing w:before="70"/>
              <w:ind w:right="223"/>
              <w:rPr>
                <w:sz w:val="20"/>
              </w:rPr>
            </w:pPr>
            <w:r>
              <w:rPr>
                <w:sz w:val="20"/>
              </w:rPr>
              <w:t>3.15</w:t>
            </w:r>
          </w:p>
        </w:tc>
      </w:tr>
      <w:tr w:rsidR="007C5447">
        <w:trPr>
          <w:trHeight w:val="371"/>
        </w:trPr>
        <w:tc>
          <w:tcPr>
            <w:tcW w:w="3022" w:type="dxa"/>
            <w:tcBorders>
              <w:left w:val="single" w:sz="8" w:space="0" w:color="000000"/>
            </w:tcBorders>
          </w:tcPr>
          <w:p w:rsidR="007C5447" w:rsidRDefault="00F6308C">
            <w:pPr>
              <w:pStyle w:val="TableParagraph"/>
              <w:spacing w:before="70"/>
              <w:ind w:left="107"/>
              <w:jc w:val="left"/>
              <w:rPr>
                <w:sz w:val="20"/>
              </w:rPr>
            </w:pPr>
            <w:r>
              <w:rPr>
                <w:sz w:val="20"/>
              </w:rPr>
              <w:t>NLC TS Expansion II</w:t>
            </w:r>
          </w:p>
        </w:tc>
        <w:tc>
          <w:tcPr>
            <w:tcW w:w="1669" w:type="dxa"/>
          </w:tcPr>
          <w:p w:rsidR="007C5447" w:rsidRDefault="007C5447">
            <w:pPr>
              <w:pStyle w:val="TableParagraph"/>
              <w:jc w:val="left"/>
              <w:rPr>
                <w:sz w:val="20"/>
              </w:rPr>
            </w:pPr>
          </w:p>
        </w:tc>
        <w:tc>
          <w:tcPr>
            <w:tcW w:w="1395" w:type="dxa"/>
          </w:tcPr>
          <w:p w:rsidR="007C5447" w:rsidRDefault="00F6308C">
            <w:pPr>
              <w:pStyle w:val="TableParagraph"/>
              <w:spacing w:before="70"/>
              <w:ind w:right="210"/>
              <w:rPr>
                <w:sz w:val="20"/>
              </w:rPr>
            </w:pPr>
            <w:r>
              <w:rPr>
                <w:w w:val="99"/>
                <w:sz w:val="20"/>
              </w:rPr>
              <w:t>-</w:t>
            </w:r>
          </w:p>
        </w:tc>
        <w:tc>
          <w:tcPr>
            <w:tcW w:w="1285" w:type="dxa"/>
          </w:tcPr>
          <w:p w:rsidR="007C5447" w:rsidRDefault="007C5447">
            <w:pPr>
              <w:pStyle w:val="TableParagraph"/>
              <w:jc w:val="left"/>
              <w:rPr>
                <w:sz w:val="20"/>
              </w:rPr>
            </w:pPr>
          </w:p>
        </w:tc>
        <w:tc>
          <w:tcPr>
            <w:tcW w:w="1300" w:type="dxa"/>
          </w:tcPr>
          <w:p w:rsidR="007C5447" w:rsidRDefault="00F6308C">
            <w:pPr>
              <w:pStyle w:val="TableParagraph"/>
              <w:spacing w:before="70"/>
              <w:ind w:right="213"/>
              <w:rPr>
                <w:sz w:val="20"/>
              </w:rPr>
            </w:pPr>
            <w:r>
              <w:rPr>
                <w:w w:val="99"/>
                <w:sz w:val="20"/>
              </w:rPr>
              <w:t>-</w:t>
            </w:r>
          </w:p>
        </w:tc>
        <w:tc>
          <w:tcPr>
            <w:tcW w:w="1136" w:type="dxa"/>
          </w:tcPr>
          <w:p w:rsidR="007C5447" w:rsidRDefault="00F6308C">
            <w:pPr>
              <w:pStyle w:val="TableParagraph"/>
              <w:spacing w:before="70"/>
              <w:ind w:right="213"/>
              <w:rPr>
                <w:sz w:val="20"/>
              </w:rPr>
            </w:pPr>
            <w:r>
              <w:rPr>
                <w:w w:val="99"/>
                <w:sz w:val="20"/>
              </w:rPr>
              <w:t>-</w:t>
            </w:r>
          </w:p>
        </w:tc>
        <w:tc>
          <w:tcPr>
            <w:tcW w:w="1086" w:type="dxa"/>
          </w:tcPr>
          <w:p w:rsidR="007C5447" w:rsidRDefault="007C5447">
            <w:pPr>
              <w:pStyle w:val="TableParagraph"/>
              <w:jc w:val="left"/>
              <w:rPr>
                <w:sz w:val="20"/>
              </w:rPr>
            </w:pPr>
          </w:p>
        </w:tc>
        <w:tc>
          <w:tcPr>
            <w:tcW w:w="1137" w:type="dxa"/>
          </w:tcPr>
          <w:p w:rsidR="007C5447" w:rsidRDefault="00F6308C">
            <w:pPr>
              <w:pStyle w:val="TableParagraph"/>
              <w:spacing w:before="70"/>
              <w:ind w:right="216"/>
              <w:rPr>
                <w:sz w:val="20"/>
              </w:rPr>
            </w:pPr>
            <w:r>
              <w:rPr>
                <w:w w:val="99"/>
                <w:sz w:val="20"/>
              </w:rPr>
              <w:t>-</w:t>
            </w:r>
          </w:p>
        </w:tc>
        <w:tc>
          <w:tcPr>
            <w:tcW w:w="1136" w:type="dxa"/>
          </w:tcPr>
          <w:p w:rsidR="007C5447" w:rsidRDefault="00F6308C">
            <w:pPr>
              <w:pStyle w:val="TableParagraph"/>
              <w:spacing w:before="70"/>
              <w:ind w:right="217"/>
              <w:rPr>
                <w:sz w:val="20"/>
              </w:rPr>
            </w:pPr>
            <w:r>
              <w:rPr>
                <w:w w:val="99"/>
                <w:sz w:val="20"/>
              </w:rPr>
              <w:t>-</w:t>
            </w: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NTPL (JV with NLC)</w:t>
            </w:r>
          </w:p>
        </w:tc>
        <w:tc>
          <w:tcPr>
            <w:tcW w:w="1669" w:type="dxa"/>
          </w:tcPr>
          <w:p w:rsidR="007C5447" w:rsidRDefault="007C5447">
            <w:pPr>
              <w:pStyle w:val="TableParagraph"/>
              <w:jc w:val="left"/>
              <w:rPr>
                <w:sz w:val="20"/>
              </w:rPr>
            </w:pPr>
          </w:p>
        </w:tc>
        <w:tc>
          <w:tcPr>
            <w:tcW w:w="1395" w:type="dxa"/>
          </w:tcPr>
          <w:p w:rsidR="007C5447" w:rsidRDefault="00F6308C">
            <w:pPr>
              <w:pStyle w:val="TableParagraph"/>
              <w:spacing w:before="70"/>
              <w:ind w:right="210"/>
              <w:rPr>
                <w:sz w:val="20"/>
              </w:rPr>
            </w:pPr>
            <w:r>
              <w:rPr>
                <w:w w:val="99"/>
                <w:sz w:val="20"/>
              </w:rPr>
              <w:t>-</w:t>
            </w: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F6308C">
            <w:pPr>
              <w:pStyle w:val="TableParagraph"/>
              <w:spacing w:before="70"/>
              <w:ind w:right="217"/>
              <w:rPr>
                <w:sz w:val="20"/>
              </w:rPr>
            </w:pPr>
            <w:r>
              <w:rPr>
                <w:w w:val="99"/>
                <w:sz w:val="20"/>
              </w:rPr>
              <w:t>-</w:t>
            </w: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NTPC Talcher</w:t>
            </w:r>
          </w:p>
        </w:tc>
        <w:tc>
          <w:tcPr>
            <w:tcW w:w="1669" w:type="dxa"/>
          </w:tcPr>
          <w:p w:rsidR="007C5447" w:rsidRDefault="00F6308C">
            <w:pPr>
              <w:pStyle w:val="TableParagraph"/>
              <w:spacing w:before="70"/>
              <w:ind w:right="212"/>
              <w:rPr>
                <w:sz w:val="20"/>
              </w:rPr>
            </w:pPr>
            <w:r>
              <w:rPr>
                <w:w w:val="95"/>
                <w:sz w:val="20"/>
              </w:rPr>
              <w:t>3,405.40</w:t>
            </w:r>
          </w:p>
        </w:tc>
        <w:tc>
          <w:tcPr>
            <w:tcW w:w="1395" w:type="dxa"/>
          </w:tcPr>
          <w:p w:rsidR="007C5447" w:rsidRDefault="00F6308C">
            <w:pPr>
              <w:pStyle w:val="TableParagraph"/>
              <w:spacing w:before="70"/>
              <w:ind w:right="214"/>
              <w:rPr>
                <w:sz w:val="20"/>
              </w:rPr>
            </w:pPr>
            <w:r>
              <w:rPr>
                <w:w w:val="95"/>
                <w:sz w:val="20"/>
              </w:rPr>
              <w:t>784.69</w:t>
            </w:r>
          </w:p>
        </w:tc>
        <w:tc>
          <w:tcPr>
            <w:tcW w:w="1285" w:type="dxa"/>
          </w:tcPr>
          <w:p w:rsidR="007C5447" w:rsidRDefault="00F6308C">
            <w:pPr>
              <w:pStyle w:val="TableParagraph"/>
              <w:spacing w:before="70"/>
              <w:ind w:right="215"/>
              <w:rPr>
                <w:sz w:val="20"/>
              </w:rPr>
            </w:pPr>
            <w:r>
              <w:rPr>
                <w:sz w:val="20"/>
              </w:rPr>
              <w:t>2.30</w:t>
            </w:r>
          </w:p>
        </w:tc>
        <w:tc>
          <w:tcPr>
            <w:tcW w:w="1300" w:type="dxa"/>
          </w:tcPr>
          <w:p w:rsidR="007C5447" w:rsidRDefault="00F6308C">
            <w:pPr>
              <w:pStyle w:val="TableParagraph"/>
              <w:spacing w:before="70"/>
              <w:ind w:right="214"/>
              <w:rPr>
                <w:sz w:val="20"/>
              </w:rPr>
            </w:pPr>
            <w:r>
              <w:rPr>
                <w:w w:val="95"/>
                <w:sz w:val="20"/>
              </w:rPr>
              <w:t>3,405.40</w:t>
            </w:r>
          </w:p>
        </w:tc>
        <w:tc>
          <w:tcPr>
            <w:tcW w:w="1136" w:type="dxa"/>
          </w:tcPr>
          <w:p w:rsidR="007C5447" w:rsidRDefault="00F6308C">
            <w:pPr>
              <w:pStyle w:val="TableParagraph"/>
              <w:spacing w:before="70"/>
              <w:ind w:right="217"/>
              <w:rPr>
                <w:sz w:val="20"/>
              </w:rPr>
            </w:pPr>
            <w:r>
              <w:rPr>
                <w:w w:val="95"/>
                <w:sz w:val="20"/>
              </w:rPr>
              <w:t>784.69</w:t>
            </w:r>
          </w:p>
        </w:tc>
        <w:tc>
          <w:tcPr>
            <w:tcW w:w="1086" w:type="dxa"/>
          </w:tcPr>
          <w:p w:rsidR="007C5447" w:rsidRDefault="00F6308C">
            <w:pPr>
              <w:pStyle w:val="TableParagraph"/>
              <w:spacing w:before="70"/>
              <w:ind w:right="220"/>
              <w:rPr>
                <w:sz w:val="20"/>
              </w:rPr>
            </w:pPr>
            <w:r>
              <w:rPr>
                <w:sz w:val="20"/>
              </w:rPr>
              <w:t>2.30</w:t>
            </w:r>
          </w:p>
        </w:tc>
        <w:tc>
          <w:tcPr>
            <w:tcW w:w="1137" w:type="dxa"/>
          </w:tcPr>
          <w:p w:rsidR="007C5447" w:rsidRDefault="00F6308C">
            <w:pPr>
              <w:pStyle w:val="TableParagraph"/>
              <w:spacing w:before="70"/>
              <w:ind w:right="218"/>
              <w:rPr>
                <w:sz w:val="20"/>
              </w:rPr>
            </w:pPr>
            <w:r>
              <w:rPr>
                <w:w w:val="95"/>
                <w:sz w:val="20"/>
              </w:rPr>
              <w:t>3,405.40</w:t>
            </w:r>
          </w:p>
        </w:tc>
        <w:tc>
          <w:tcPr>
            <w:tcW w:w="1136" w:type="dxa"/>
          </w:tcPr>
          <w:p w:rsidR="007C5447" w:rsidRDefault="00F6308C">
            <w:pPr>
              <w:pStyle w:val="TableParagraph"/>
              <w:spacing w:before="70"/>
              <w:ind w:right="220"/>
              <w:rPr>
                <w:sz w:val="20"/>
              </w:rPr>
            </w:pPr>
            <w:r>
              <w:rPr>
                <w:w w:val="95"/>
                <w:sz w:val="20"/>
              </w:rPr>
              <w:t>784.69</w:t>
            </w:r>
          </w:p>
        </w:tc>
        <w:tc>
          <w:tcPr>
            <w:tcW w:w="1052" w:type="dxa"/>
          </w:tcPr>
          <w:p w:rsidR="007C5447" w:rsidRDefault="00F6308C">
            <w:pPr>
              <w:pStyle w:val="TableParagraph"/>
              <w:spacing w:before="70"/>
              <w:ind w:right="223"/>
              <w:rPr>
                <w:sz w:val="20"/>
              </w:rPr>
            </w:pPr>
            <w:r>
              <w:rPr>
                <w:sz w:val="20"/>
              </w:rPr>
              <w:t>2.30</w:t>
            </w:r>
          </w:p>
        </w:tc>
      </w:tr>
      <w:tr w:rsidR="007C5447">
        <w:trPr>
          <w:trHeight w:val="371"/>
        </w:trPr>
        <w:tc>
          <w:tcPr>
            <w:tcW w:w="3022" w:type="dxa"/>
            <w:tcBorders>
              <w:left w:val="single" w:sz="8" w:space="0" w:color="000000"/>
            </w:tcBorders>
          </w:tcPr>
          <w:p w:rsidR="007C5447" w:rsidRDefault="00F6308C">
            <w:pPr>
              <w:pStyle w:val="TableParagraph"/>
              <w:spacing w:before="70"/>
              <w:ind w:left="107"/>
              <w:jc w:val="left"/>
              <w:rPr>
                <w:sz w:val="20"/>
              </w:rPr>
            </w:pPr>
            <w:r>
              <w:rPr>
                <w:sz w:val="20"/>
              </w:rPr>
              <w:t>NTPC Simhadri</w:t>
            </w:r>
          </w:p>
        </w:tc>
        <w:tc>
          <w:tcPr>
            <w:tcW w:w="1669" w:type="dxa"/>
          </w:tcPr>
          <w:p w:rsidR="007C5447" w:rsidRDefault="00F6308C">
            <w:pPr>
              <w:pStyle w:val="TableParagraph"/>
              <w:spacing w:before="70"/>
              <w:ind w:right="212"/>
              <w:rPr>
                <w:sz w:val="20"/>
              </w:rPr>
            </w:pPr>
            <w:r>
              <w:rPr>
                <w:w w:val="95"/>
                <w:sz w:val="20"/>
              </w:rPr>
              <w:t>1,079.00</w:t>
            </w:r>
          </w:p>
        </w:tc>
        <w:tc>
          <w:tcPr>
            <w:tcW w:w="1395" w:type="dxa"/>
          </w:tcPr>
          <w:p w:rsidR="007C5447" w:rsidRDefault="00F6308C">
            <w:pPr>
              <w:pStyle w:val="TableParagraph"/>
              <w:spacing w:before="70"/>
              <w:ind w:right="214"/>
              <w:rPr>
                <w:sz w:val="20"/>
              </w:rPr>
            </w:pPr>
            <w:r>
              <w:rPr>
                <w:w w:val="95"/>
                <w:sz w:val="20"/>
              </w:rPr>
              <w:t>409.96</w:t>
            </w:r>
          </w:p>
        </w:tc>
        <w:tc>
          <w:tcPr>
            <w:tcW w:w="1285" w:type="dxa"/>
          </w:tcPr>
          <w:p w:rsidR="007C5447" w:rsidRDefault="00F6308C">
            <w:pPr>
              <w:pStyle w:val="TableParagraph"/>
              <w:spacing w:before="70"/>
              <w:ind w:right="215"/>
              <w:rPr>
                <w:sz w:val="20"/>
              </w:rPr>
            </w:pPr>
            <w:r>
              <w:rPr>
                <w:sz w:val="20"/>
              </w:rPr>
              <w:t>3.80</w:t>
            </w:r>
          </w:p>
        </w:tc>
        <w:tc>
          <w:tcPr>
            <w:tcW w:w="1300" w:type="dxa"/>
          </w:tcPr>
          <w:p w:rsidR="007C5447" w:rsidRDefault="00F6308C">
            <w:pPr>
              <w:pStyle w:val="TableParagraph"/>
              <w:spacing w:before="70"/>
              <w:ind w:right="214"/>
              <w:rPr>
                <w:sz w:val="20"/>
              </w:rPr>
            </w:pPr>
            <w:r>
              <w:rPr>
                <w:w w:val="95"/>
                <w:sz w:val="20"/>
              </w:rPr>
              <w:t>1,079.00</w:t>
            </w:r>
          </w:p>
        </w:tc>
        <w:tc>
          <w:tcPr>
            <w:tcW w:w="1136" w:type="dxa"/>
          </w:tcPr>
          <w:p w:rsidR="007C5447" w:rsidRDefault="00F6308C">
            <w:pPr>
              <w:pStyle w:val="TableParagraph"/>
              <w:spacing w:before="70"/>
              <w:ind w:right="217"/>
              <w:rPr>
                <w:sz w:val="20"/>
              </w:rPr>
            </w:pPr>
            <w:r>
              <w:rPr>
                <w:w w:val="95"/>
                <w:sz w:val="20"/>
              </w:rPr>
              <w:t>409.96</w:t>
            </w:r>
          </w:p>
        </w:tc>
        <w:tc>
          <w:tcPr>
            <w:tcW w:w="1086" w:type="dxa"/>
          </w:tcPr>
          <w:p w:rsidR="007C5447" w:rsidRDefault="00F6308C">
            <w:pPr>
              <w:pStyle w:val="TableParagraph"/>
              <w:spacing w:before="70"/>
              <w:ind w:right="220"/>
              <w:rPr>
                <w:sz w:val="20"/>
              </w:rPr>
            </w:pPr>
            <w:r>
              <w:rPr>
                <w:sz w:val="20"/>
              </w:rPr>
              <w:t>3.80</w:t>
            </w:r>
          </w:p>
        </w:tc>
        <w:tc>
          <w:tcPr>
            <w:tcW w:w="1137" w:type="dxa"/>
          </w:tcPr>
          <w:p w:rsidR="007C5447" w:rsidRDefault="00F6308C">
            <w:pPr>
              <w:pStyle w:val="TableParagraph"/>
              <w:spacing w:before="70"/>
              <w:ind w:right="218"/>
              <w:rPr>
                <w:sz w:val="20"/>
              </w:rPr>
            </w:pPr>
            <w:r>
              <w:rPr>
                <w:w w:val="95"/>
                <w:sz w:val="20"/>
              </w:rPr>
              <w:t>1,079.00</w:t>
            </w:r>
          </w:p>
        </w:tc>
        <w:tc>
          <w:tcPr>
            <w:tcW w:w="1136" w:type="dxa"/>
          </w:tcPr>
          <w:p w:rsidR="007C5447" w:rsidRDefault="00F6308C">
            <w:pPr>
              <w:pStyle w:val="TableParagraph"/>
              <w:spacing w:before="70"/>
              <w:ind w:right="220"/>
              <w:rPr>
                <w:sz w:val="20"/>
              </w:rPr>
            </w:pPr>
            <w:r>
              <w:rPr>
                <w:w w:val="95"/>
                <w:sz w:val="20"/>
              </w:rPr>
              <w:t>409.96</w:t>
            </w:r>
          </w:p>
        </w:tc>
        <w:tc>
          <w:tcPr>
            <w:tcW w:w="1052" w:type="dxa"/>
          </w:tcPr>
          <w:p w:rsidR="007C5447" w:rsidRDefault="00F6308C">
            <w:pPr>
              <w:pStyle w:val="TableParagraph"/>
              <w:spacing w:before="70"/>
              <w:ind w:right="223"/>
              <w:rPr>
                <w:sz w:val="20"/>
              </w:rPr>
            </w:pPr>
            <w:r>
              <w:rPr>
                <w:sz w:val="20"/>
              </w:rPr>
              <w:t>3.80</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MAPS</w:t>
            </w:r>
          </w:p>
        </w:tc>
        <w:tc>
          <w:tcPr>
            <w:tcW w:w="1669" w:type="dxa"/>
          </w:tcPr>
          <w:p w:rsidR="007C5447" w:rsidRDefault="00F6308C">
            <w:pPr>
              <w:pStyle w:val="TableParagraph"/>
              <w:spacing w:before="70"/>
              <w:ind w:right="212"/>
              <w:rPr>
                <w:sz w:val="20"/>
              </w:rPr>
            </w:pPr>
            <w:r>
              <w:rPr>
                <w:w w:val="95"/>
                <w:sz w:val="20"/>
              </w:rPr>
              <w:t>1,775.00</w:t>
            </w:r>
          </w:p>
        </w:tc>
        <w:tc>
          <w:tcPr>
            <w:tcW w:w="1395" w:type="dxa"/>
          </w:tcPr>
          <w:p w:rsidR="007C5447" w:rsidRDefault="00F6308C">
            <w:pPr>
              <w:pStyle w:val="TableParagraph"/>
              <w:spacing w:before="70"/>
              <w:ind w:right="214"/>
              <w:rPr>
                <w:sz w:val="20"/>
              </w:rPr>
            </w:pPr>
            <w:r>
              <w:rPr>
                <w:w w:val="95"/>
                <w:sz w:val="20"/>
              </w:rPr>
              <w:t>360.68</w:t>
            </w:r>
          </w:p>
        </w:tc>
        <w:tc>
          <w:tcPr>
            <w:tcW w:w="1285" w:type="dxa"/>
          </w:tcPr>
          <w:p w:rsidR="007C5447" w:rsidRDefault="00F6308C">
            <w:pPr>
              <w:pStyle w:val="TableParagraph"/>
              <w:spacing w:before="70"/>
              <w:ind w:right="215"/>
              <w:rPr>
                <w:sz w:val="20"/>
              </w:rPr>
            </w:pPr>
            <w:r>
              <w:rPr>
                <w:sz w:val="20"/>
              </w:rPr>
              <w:t>2.03</w:t>
            </w:r>
          </w:p>
        </w:tc>
        <w:tc>
          <w:tcPr>
            <w:tcW w:w="1300" w:type="dxa"/>
          </w:tcPr>
          <w:p w:rsidR="007C5447" w:rsidRDefault="00F6308C">
            <w:pPr>
              <w:pStyle w:val="TableParagraph"/>
              <w:spacing w:before="70"/>
              <w:ind w:right="214"/>
              <w:rPr>
                <w:sz w:val="20"/>
              </w:rPr>
            </w:pPr>
            <w:r>
              <w:rPr>
                <w:w w:val="95"/>
                <w:sz w:val="20"/>
              </w:rPr>
              <w:t>1,775.00</w:t>
            </w:r>
          </w:p>
        </w:tc>
        <w:tc>
          <w:tcPr>
            <w:tcW w:w="1136" w:type="dxa"/>
          </w:tcPr>
          <w:p w:rsidR="007C5447" w:rsidRDefault="00F6308C">
            <w:pPr>
              <w:pStyle w:val="TableParagraph"/>
              <w:spacing w:before="70"/>
              <w:ind w:right="217"/>
              <w:rPr>
                <w:sz w:val="20"/>
              </w:rPr>
            </w:pPr>
            <w:r>
              <w:rPr>
                <w:w w:val="95"/>
                <w:sz w:val="20"/>
              </w:rPr>
              <w:t>360.68</w:t>
            </w:r>
          </w:p>
        </w:tc>
        <w:tc>
          <w:tcPr>
            <w:tcW w:w="1086" w:type="dxa"/>
          </w:tcPr>
          <w:p w:rsidR="007C5447" w:rsidRDefault="00F6308C">
            <w:pPr>
              <w:pStyle w:val="TableParagraph"/>
              <w:spacing w:before="70"/>
              <w:ind w:right="220"/>
              <w:rPr>
                <w:sz w:val="20"/>
              </w:rPr>
            </w:pPr>
            <w:r>
              <w:rPr>
                <w:sz w:val="20"/>
              </w:rPr>
              <w:t>2.03</w:t>
            </w:r>
          </w:p>
        </w:tc>
        <w:tc>
          <w:tcPr>
            <w:tcW w:w="1137" w:type="dxa"/>
          </w:tcPr>
          <w:p w:rsidR="007C5447" w:rsidRDefault="00F6308C">
            <w:pPr>
              <w:pStyle w:val="TableParagraph"/>
              <w:spacing w:before="70"/>
              <w:ind w:right="218"/>
              <w:rPr>
                <w:sz w:val="20"/>
              </w:rPr>
            </w:pPr>
            <w:r>
              <w:rPr>
                <w:w w:val="95"/>
                <w:sz w:val="20"/>
              </w:rPr>
              <w:t>1,775.00</w:t>
            </w:r>
          </w:p>
        </w:tc>
        <w:tc>
          <w:tcPr>
            <w:tcW w:w="1136" w:type="dxa"/>
          </w:tcPr>
          <w:p w:rsidR="007C5447" w:rsidRDefault="00F6308C">
            <w:pPr>
              <w:pStyle w:val="TableParagraph"/>
              <w:spacing w:before="70"/>
              <w:ind w:right="220"/>
              <w:rPr>
                <w:sz w:val="20"/>
              </w:rPr>
            </w:pPr>
            <w:r>
              <w:rPr>
                <w:w w:val="95"/>
                <w:sz w:val="20"/>
              </w:rPr>
              <w:t>360.68</w:t>
            </w:r>
          </w:p>
        </w:tc>
        <w:tc>
          <w:tcPr>
            <w:tcW w:w="1052" w:type="dxa"/>
          </w:tcPr>
          <w:p w:rsidR="007C5447" w:rsidRDefault="00F6308C">
            <w:pPr>
              <w:pStyle w:val="TableParagraph"/>
              <w:spacing w:before="70"/>
              <w:ind w:right="223"/>
              <w:rPr>
                <w:sz w:val="20"/>
              </w:rPr>
            </w:pPr>
            <w:r>
              <w:rPr>
                <w:sz w:val="20"/>
              </w:rPr>
              <w:t>2.03</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KAIGA</w:t>
            </w:r>
          </w:p>
        </w:tc>
        <w:tc>
          <w:tcPr>
            <w:tcW w:w="1669" w:type="dxa"/>
          </w:tcPr>
          <w:p w:rsidR="007C5447" w:rsidRDefault="00F6308C">
            <w:pPr>
              <w:pStyle w:val="TableParagraph"/>
              <w:spacing w:before="70"/>
              <w:ind w:right="212"/>
              <w:rPr>
                <w:sz w:val="20"/>
              </w:rPr>
            </w:pPr>
            <w:r>
              <w:rPr>
                <w:w w:val="95"/>
                <w:sz w:val="20"/>
              </w:rPr>
              <w:t>1,261.00</w:t>
            </w:r>
          </w:p>
        </w:tc>
        <w:tc>
          <w:tcPr>
            <w:tcW w:w="1395" w:type="dxa"/>
          </w:tcPr>
          <w:p w:rsidR="007C5447" w:rsidRDefault="00F6308C">
            <w:pPr>
              <w:pStyle w:val="TableParagraph"/>
              <w:spacing w:before="70"/>
              <w:ind w:right="214"/>
              <w:rPr>
                <w:sz w:val="20"/>
              </w:rPr>
            </w:pPr>
            <w:r>
              <w:rPr>
                <w:w w:val="95"/>
                <w:sz w:val="20"/>
              </w:rPr>
              <w:t>424.69</w:t>
            </w:r>
          </w:p>
        </w:tc>
        <w:tc>
          <w:tcPr>
            <w:tcW w:w="1285" w:type="dxa"/>
          </w:tcPr>
          <w:p w:rsidR="007C5447" w:rsidRDefault="00F6308C">
            <w:pPr>
              <w:pStyle w:val="TableParagraph"/>
              <w:spacing w:before="70"/>
              <w:ind w:right="215"/>
              <w:rPr>
                <w:sz w:val="20"/>
              </w:rPr>
            </w:pPr>
            <w:r>
              <w:rPr>
                <w:sz w:val="20"/>
              </w:rPr>
              <w:t>3.37</w:t>
            </w:r>
          </w:p>
        </w:tc>
        <w:tc>
          <w:tcPr>
            <w:tcW w:w="1300" w:type="dxa"/>
          </w:tcPr>
          <w:p w:rsidR="007C5447" w:rsidRDefault="00F6308C">
            <w:pPr>
              <w:pStyle w:val="TableParagraph"/>
              <w:spacing w:before="70"/>
              <w:ind w:right="214"/>
              <w:rPr>
                <w:sz w:val="20"/>
              </w:rPr>
            </w:pPr>
            <w:r>
              <w:rPr>
                <w:w w:val="95"/>
                <w:sz w:val="20"/>
              </w:rPr>
              <w:t>1,261.00</w:t>
            </w:r>
          </w:p>
        </w:tc>
        <w:tc>
          <w:tcPr>
            <w:tcW w:w="1136" w:type="dxa"/>
          </w:tcPr>
          <w:p w:rsidR="007C5447" w:rsidRDefault="00F6308C">
            <w:pPr>
              <w:pStyle w:val="TableParagraph"/>
              <w:spacing w:before="70"/>
              <w:ind w:right="217"/>
              <w:rPr>
                <w:sz w:val="20"/>
              </w:rPr>
            </w:pPr>
            <w:r>
              <w:rPr>
                <w:w w:val="95"/>
                <w:sz w:val="20"/>
              </w:rPr>
              <w:t>424.69</w:t>
            </w:r>
          </w:p>
        </w:tc>
        <w:tc>
          <w:tcPr>
            <w:tcW w:w="1086" w:type="dxa"/>
          </w:tcPr>
          <w:p w:rsidR="007C5447" w:rsidRDefault="00F6308C">
            <w:pPr>
              <w:pStyle w:val="TableParagraph"/>
              <w:spacing w:before="70"/>
              <w:ind w:right="220"/>
              <w:rPr>
                <w:sz w:val="20"/>
              </w:rPr>
            </w:pPr>
            <w:r>
              <w:rPr>
                <w:sz w:val="20"/>
              </w:rPr>
              <w:t>3.37</w:t>
            </w:r>
          </w:p>
        </w:tc>
        <w:tc>
          <w:tcPr>
            <w:tcW w:w="1137" w:type="dxa"/>
          </w:tcPr>
          <w:p w:rsidR="007C5447" w:rsidRDefault="00F6308C">
            <w:pPr>
              <w:pStyle w:val="TableParagraph"/>
              <w:spacing w:before="70"/>
              <w:ind w:right="218"/>
              <w:rPr>
                <w:sz w:val="20"/>
              </w:rPr>
            </w:pPr>
            <w:r>
              <w:rPr>
                <w:w w:val="95"/>
                <w:sz w:val="20"/>
              </w:rPr>
              <w:t>1,261.00</w:t>
            </w:r>
          </w:p>
        </w:tc>
        <w:tc>
          <w:tcPr>
            <w:tcW w:w="1136" w:type="dxa"/>
          </w:tcPr>
          <w:p w:rsidR="007C5447" w:rsidRDefault="00F6308C">
            <w:pPr>
              <w:pStyle w:val="TableParagraph"/>
              <w:spacing w:before="70"/>
              <w:ind w:right="220"/>
              <w:rPr>
                <w:sz w:val="20"/>
              </w:rPr>
            </w:pPr>
            <w:r>
              <w:rPr>
                <w:w w:val="95"/>
                <w:sz w:val="20"/>
              </w:rPr>
              <w:t>424.69</w:t>
            </w:r>
          </w:p>
        </w:tc>
        <w:tc>
          <w:tcPr>
            <w:tcW w:w="1052" w:type="dxa"/>
          </w:tcPr>
          <w:p w:rsidR="007C5447" w:rsidRDefault="00F6308C">
            <w:pPr>
              <w:pStyle w:val="TableParagraph"/>
              <w:spacing w:before="70"/>
              <w:ind w:right="223"/>
              <w:rPr>
                <w:sz w:val="20"/>
              </w:rPr>
            </w:pPr>
            <w:r>
              <w:rPr>
                <w:sz w:val="20"/>
              </w:rPr>
              <w:t>3.37</w:t>
            </w:r>
          </w:p>
        </w:tc>
      </w:tr>
      <w:tr w:rsidR="007C5447">
        <w:trPr>
          <w:trHeight w:val="372"/>
        </w:trPr>
        <w:tc>
          <w:tcPr>
            <w:tcW w:w="3022" w:type="dxa"/>
            <w:tcBorders>
              <w:left w:val="single" w:sz="8" w:space="0" w:color="000000"/>
            </w:tcBorders>
          </w:tcPr>
          <w:p w:rsidR="007C5447" w:rsidRDefault="00F6308C">
            <w:pPr>
              <w:pStyle w:val="TableParagraph"/>
              <w:spacing w:before="70"/>
              <w:ind w:left="107"/>
              <w:jc w:val="left"/>
              <w:rPr>
                <w:sz w:val="20"/>
              </w:rPr>
            </w:pPr>
            <w:r>
              <w:rPr>
                <w:sz w:val="20"/>
              </w:rPr>
              <w:t>NTPC Kayamkulam</w:t>
            </w:r>
          </w:p>
        </w:tc>
        <w:tc>
          <w:tcPr>
            <w:tcW w:w="1669" w:type="dxa"/>
          </w:tcPr>
          <w:p w:rsidR="007C5447" w:rsidRDefault="00F6308C">
            <w:pPr>
              <w:pStyle w:val="TableParagraph"/>
              <w:spacing w:before="70"/>
              <w:ind w:right="210"/>
              <w:rPr>
                <w:sz w:val="20"/>
              </w:rPr>
            </w:pPr>
            <w:r>
              <w:rPr>
                <w:w w:val="99"/>
                <w:sz w:val="20"/>
              </w:rPr>
              <w:t>-</w:t>
            </w:r>
          </w:p>
        </w:tc>
        <w:tc>
          <w:tcPr>
            <w:tcW w:w="1395" w:type="dxa"/>
          </w:tcPr>
          <w:p w:rsidR="007C5447" w:rsidRDefault="00F6308C">
            <w:pPr>
              <w:pStyle w:val="TableParagraph"/>
              <w:spacing w:before="70"/>
              <w:ind w:right="210"/>
              <w:rPr>
                <w:sz w:val="20"/>
              </w:rPr>
            </w:pPr>
            <w:r>
              <w:rPr>
                <w:w w:val="99"/>
                <w:sz w:val="20"/>
              </w:rPr>
              <w:t>-</w:t>
            </w: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NTPC ER</w:t>
            </w:r>
          </w:p>
        </w:tc>
        <w:tc>
          <w:tcPr>
            <w:tcW w:w="1669" w:type="dxa"/>
          </w:tcPr>
          <w:p w:rsidR="007C5447" w:rsidRDefault="00F6308C">
            <w:pPr>
              <w:pStyle w:val="TableParagraph"/>
              <w:spacing w:before="70"/>
              <w:ind w:right="214"/>
              <w:rPr>
                <w:sz w:val="20"/>
              </w:rPr>
            </w:pPr>
            <w:r>
              <w:rPr>
                <w:w w:val="95"/>
                <w:sz w:val="20"/>
              </w:rPr>
              <w:t>319.00</w:t>
            </w:r>
          </w:p>
        </w:tc>
        <w:tc>
          <w:tcPr>
            <w:tcW w:w="1395" w:type="dxa"/>
          </w:tcPr>
          <w:p w:rsidR="007C5447" w:rsidRDefault="00F6308C">
            <w:pPr>
              <w:pStyle w:val="TableParagraph"/>
              <w:spacing w:before="70"/>
              <w:ind w:right="214"/>
              <w:rPr>
                <w:sz w:val="20"/>
              </w:rPr>
            </w:pPr>
            <w:r>
              <w:rPr>
                <w:w w:val="95"/>
                <w:sz w:val="20"/>
              </w:rPr>
              <w:t>101.06</w:t>
            </w:r>
          </w:p>
        </w:tc>
        <w:tc>
          <w:tcPr>
            <w:tcW w:w="1285" w:type="dxa"/>
          </w:tcPr>
          <w:p w:rsidR="007C5447" w:rsidRDefault="00F6308C">
            <w:pPr>
              <w:pStyle w:val="TableParagraph"/>
              <w:spacing w:before="70"/>
              <w:ind w:right="215"/>
              <w:rPr>
                <w:sz w:val="20"/>
              </w:rPr>
            </w:pPr>
            <w:r>
              <w:rPr>
                <w:sz w:val="20"/>
              </w:rPr>
              <w:t>3.17</w:t>
            </w:r>
          </w:p>
        </w:tc>
        <w:tc>
          <w:tcPr>
            <w:tcW w:w="1300" w:type="dxa"/>
          </w:tcPr>
          <w:p w:rsidR="007C5447" w:rsidRDefault="00F6308C">
            <w:pPr>
              <w:pStyle w:val="TableParagraph"/>
              <w:spacing w:before="70"/>
              <w:ind w:right="216"/>
              <w:rPr>
                <w:sz w:val="20"/>
              </w:rPr>
            </w:pPr>
            <w:r>
              <w:rPr>
                <w:w w:val="95"/>
                <w:sz w:val="20"/>
              </w:rPr>
              <w:t>319.00</w:t>
            </w:r>
          </w:p>
        </w:tc>
        <w:tc>
          <w:tcPr>
            <w:tcW w:w="1136" w:type="dxa"/>
          </w:tcPr>
          <w:p w:rsidR="007C5447" w:rsidRDefault="00F6308C">
            <w:pPr>
              <w:pStyle w:val="TableParagraph"/>
              <w:spacing w:before="70"/>
              <w:ind w:right="217"/>
              <w:rPr>
                <w:sz w:val="20"/>
              </w:rPr>
            </w:pPr>
            <w:r>
              <w:rPr>
                <w:w w:val="95"/>
                <w:sz w:val="20"/>
              </w:rPr>
              <w:t>101.06</w:t>
            </w:r>
          </w:p>
        </w:tc>
        <w:tc>
          <w:tcPr>
            <w:tcW w:w="1086" w:type="dxa"/>
          </w:tcPr>
          <w:p w:rsidR="007C5447" w:rsidRDefault="00F6308C">
            <w:pPr>
              <w:pStyle w:val="TableParagraph"/>
              <w:spacing w:before="70"/>
              <w:ind w:right="220"/>
              <w:rPr>
                <w:sz w:val="20"/>
              </w:rPr>
            </w:pPr>
            <w:r>
              <w:rPr>
                <w:sz w:val="20"/>
              </w:rPr>
              <w:t>3.17</w:t>
            </w:r>
          </w:p>
        </w:tc>
        <w:tc>
          <w:tcPr>
            <w:tcW w:w="1137" w:type="dxa"/>
          </w:tcPr>
          <w:p w:rsidR="007C5447" w:rsidRDefault="00F6308C">
            <w:pPr>
              <w:pStyle w:val="TableParagraph"/>
              <w:spacing w:before="70"/>
              <w:ind w:right="219"/>
              <w:rPr>
                <w:sz w:val="20"/>
              </w:rPr>
            </w:pPr>
            <w:r>
              <w:rPr>
                <w:w w:val="95"/>
                <w:sz w:val="20"/>
              </w:rPr>
              <w:t>319.00</w:t>
            </w:r>
          </w:p>
        </w:tc>
        <w:tc>
          <w:tcPr>
            <w:tcW w:w="1136" w:type="dxa"/>
          </w:tcPr>
          <w:p w:rsidR="007C5447" w:rsidRDefault="00F6308C">
            <w:pPr>
              <w:pStyle w:val="TableParagraph"/>
              <w:spacing w:before="70"/>
              <w:ind w:right="220"/>
              <w:rPr>
                <w:sz w:val="20"/>
              </w:rPr>
            </w:pPr>
            <w:r>
              <w:rPr>
                <w:w w:val="95"/>
                <w:sz w:val="20"/>
              </w:rPr>
              <w:t>101.06</w:t>
            </w:r>
          </w:p>
        </w:tc>
        <w:tc>
          <w:tcPr>
            <w:tcW w:w="1052" w:type="dxa"/>
          </w:tcPr>
          <w:p w:rsidR="007C5447" w:rsidRDefault="00F6308C">
            <w:pPr>
              <w:pStyle w:val="TableParagraph"/>
              <w:spacing w:before="70"/>
              <w:ind w:right="223"/>
              <w:rPr>
                <w:sz w:val="20"/>
              </w:rPr>
            </w:pPr>
            <w:r>
              <w:rPr>
                <w:sz w:val="20"/>
              </w:rPr>
              <w:t>3.17</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NTPC Dadri</w:t>
            </w:r>
          </w:p>
        </w:tc>
        <w:tc>
          <w:tcPr>
            <w:tcW w:w="1669" w:type="dxa"/>
          </w:tcPr>
          <w:p w:rsidR="007C5447" w:rsidRDefault="00F6308C">
            <w:pPr>
              <w:pStyle w:val="TableParagraph"/>
              <w:spacing w:before="70"/>
              <w:ind w:right="210"/>
              <w:rPr>
                <w:sz w:val="20"/>
              </w:rPr>
            </w:pPr>
            <w:r>
              <w:rPr>
                <w:w w:val="99"/>
                <w:sz w:val="20"/>
              </w:rPr>
              <w:t>-</w:t>
            </w:r>
          </w:p>
        </w:tc>
        <w:tc>
          <w:tcPr>
            <w:tcW w:w="1395" w:type="dxa"/>
          </w:tcPr>
          <w:p w:rsidR="007C5447" w:rsidRDefault="00F6308C">
            <w:pPr>
              <w:pStyle w:val="TableParagraph"/>
              <w:spacing w:before="70"/>
              <w:ind w:right="210"/>
              <w:rPr>
                <w:sz w:val="20"/>
              </w:rPr>
            </w:pPr>
            <w:r>
              <w:rPr>
                <w:w w:val="99"/>
                <w:sz w:val="20"/>
              </w:rPr>
              <w:t>-</w:t>
            </w: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9"/>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22"/>
        <w:gridCol w:w="1669"/>
        <w:gridCol w:w="1395"/>
        <w:gridCol w:w="1285"/>
        <w:gridCol w:w="1300"/>
        <w:gridCol w:w="1136"/>
        <w:gridCol w:w="1086"/>
        <w:gridCol w:w="1137"/>
        <w:gridCol w:w="1136"/>
        <w:gridCol w:w="1052"/>
      </w:tblGrid>
      <w:tr w:rsidR="007C5447">
        <w:trPr>
          <w:trHeight w:val="369"/>
        </w:trPr>
        <w:tc>
          <w:tcPr>
            <w:tcW w:w="3022"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1195" w:right="1177"/>
              <w:jc w:val="center"/>
              <w:rPr>
                <w:b/>
                <w:sz w:val="20"/>
              </w:rPr>
            </w:pPr>
            <w:r>
              <w:rPr>
                <w:b/>
                <w:sz w:val="20"/>
              </w:rPr>
              <w:t>Source</w:t>
            </w:r>
          </w:p>
        </w:tc>
        <w:tc>
          <w:tcPr>
            <w:tcW w:w="11196" w:type="dxa"/>
            <w:gridSpan w:val="9"/>
            <w:shd w:val="clear" w:color="auto" w:fill="F7C9AC"/>
          </w:tcPr>
          <w:p w:rsidR="007C5447" w:rsidRDefault="00F6308C">
            <w:pPr>
              <w:pStyle w:val="TableParagraph"/>
              <w:spacing w:before="125" w:line="224" w:lineRule="exact"/>
              <w:ind w:left="5082" w:right="5071"/>
              <w:jc w:val="center"/>
              <w:rPr>
                <w:b/>
                <w:sz w:val="20"/>
              </w:rPr>
            </w:pPr>
            <w:r>
              <w:rPr>
                <w:b/>
                <w:sz w:val="20"/>
              </w:rPr>
              <w:t>FY 2012-13</w:t>
            </w:r>
          </w:p>
        </w:tc>
      </w:tr>
      <w:tr w:rsidR="007C5447">
        <w:trPr>
          <w:trHeight w:val="371"/>
        </w:trPr>
        <w:tc>
          <w:tcPr>
            <w:tcW w:w="3022" w:type="dxa"/>
            <w:vMerge/>
            <w:tcBorders>
              <w:top w:val="nil"/>
            </w:tcBorders>
            <w:shd w:val="clear" w:color="auto" w:fill="F7C9AC"/>
          </w:tcPr>
          <w:p w:rsidR="007C5447" w:rsidRDefault="007C5447">
            <w:pPr>
              <w:rPr>
                <w:sz w:val="2"/>
                <w:szCs w:val="2"/>
              </w:rPr>
            </w:pPr>
          </w:p>
        </w:tc>
        <w:tc>
          <w:tcPr>
            <w:tcW w:w="4349" w:type="dxa"/>
            <w:gridSpan w:val="3"/>
            <w:shd w:val="clear" w:color="auto" w:fill="F7C9AC"/>
          </w:tcPr>
          <w:p w:rsidR="007C5447" w:rsidRDefault="00F6308C">
            <w:pPr>
              <w:pStyle w:val="TableParagraph"/>
              <w:spacing w:before="70"/>
              <w:ind w:left="1643" w:right="1629"/>
              <w:jc w:val="center"/>
              <w:rPr>
                <w:b/>
                <w:sz w:val="20"/>
              </w:rPr>
            </w:pPr>
            <w:r>
              <w:rPr>
                <w:b/>
                <w:sz w:val="20"/>
              </w:rPr>
              <w:t>SMT Order</w:t>
            </w:r>
          </w:p>
        </w:tc>
        <w:tc>
          <w:tcPr>
            <w:tcW w:w="3522" w:type="dxa"/>
            <w:gridSpan w:val="3"/>
            <w:shd w:val="clear" w:color="auto" w:fill="F7C9AC"/>
          </w:tcPr>
          <w:p w:rsidR="007C5447" w:rsidRDefault="00F6308C">
            <w:pPr>
              <w:pStyle w:val="TableParagraph"/>
              <w:spacing w:before="70"/>
              <w:ind w:left="1157" w:right="1149"/>
              <w:jc w:val="center"/>
              <w:rPr>
                <w:b/>
                <w:sz w:val="20"/>
              </w:rPr>
            </w:pPr>
            <w:r>
              <w:rPr>
                <w:b/>
                <w:sz w:val="20"/>
              </w:rPr>
              <w:t>TANGEDCO</w:t>
            </w:r>
          </w:p>
        </w:tc>
        <w:tc>
          <w:tcPr>
            <w:tcW w:w="3325" w:type="dxa"/>
            <w:gridSpan w:val="3"/>
            <w:shd w:val="clear" w:color="auto" w:fill="F7C9AC"/>
          </w:tcPr>
          <w:p w:rsidR="007C5447" w:rsidRDefault="00F6308C">
            <w:pPr>
              <w:pStyle w:val="TableParagraph"/>
              <w:spacing w:before="70"/>
              <w:ind w:left="662"/>
              <w:jc w:val="left"/>
              <w:rPr>
                <w:b/>
                <w:sz w:val="20"/>
              </w:rPr>
            </w:pPr>
            <w:r>
              <w:rPr>
                <w:b/>
                <w:sz w:val="20"/>
              </w:rPr>
              <w:t>Approved after true up</w:t>
            </w:r>
          </w:p>
        </w:tc>
      </w:tr>
      <w:tr w:rsidR="007C5447">
        <w:trPr>
          <w:trHeight w:val="489"/>
        </w:trPr>
        <w:tc>
          <w:tcPr>
            <w:tcW w:w="3022" w:type="dxa"/>
            <w:vMerge/>
            <w:tcBorders>
              <w:top w:val="nil"/>
            </w:tcBorders>
            <w:shd w:val="clear" w:color="auto" w:fill="F7C9AC"/>
          </w:tcPr>
          <w:p w:rsidR="007C5447" w:rsidRDefault="007C5447">
            <w:pPr>
              <w:rPr>
                <w:sz w:val="2"/>
                <w:szCs w:val="2"/>
              </w:rPr>
            </w:pPr>
          </w:p>
        </w:tc>
        <w:tc>
          <w:tcPr>
            <w:tcW w:w="1669" w:type="dxa"/>
            <w:shd w:val="clear" w:color="auto" w:fill="F7C9AC"/>
          </w:tcPr>
          <w:p w:rsidR="007C5447" w:rsidRDefault="00F6308C">
            <w:pPr>
              <w:pStyle w:val="TableParagraph"/>
              <w:spacing w:before="130"/>
              <w:ind w:right="149"/>
              <w:rPr>
                <w:b/>
                <w:sz w:val="20"/>
              </w:rPr>
            </w:pPr>
            <w:r>
              <w:rPr>
                <w:b/>
                <w:sz w:val="20"/>
              </w:rPr>
              <w:t>Quantum (MU)</w:t>
            </w:r>
          </w:p>
        </w:tc>
        <w:tc>
          <w:tcPr>
            <w:tcW w:w="1395" w:type="dxa"/>
            <w:shd w:val="clear" w:color="auto" w:fill="F7C9AC"/>
          </w:tcPr>
          <w:p w:rsidR="007C5447" w:rsidRDefault="00F6308C">
            <w:pPr>
              <w:pStyle w:val="TableParagraph"/>
              <w:spacing w:before="14" w:line="230" w:lineRule="atLeast"/>
              <w:ind w:left="356" w:right="218" w:hanging="104"/>
              <w:jc w:val="left"/>
              <w:rPr>
                <w:b/>
                <w:sz w:val="20"/>
              </w:rPr>
            </w:pPr>
            <w:r>
              <w:rPr>
                <w:b/>
                <w:sz w:val="20"/>
              </w:rPr>
              <w:t>Total Cost (Rs. Cr)</w:t>
            </w:r>
          </w:p>
        </w:tc>
        <w:tc>
          <w:tcPr>
            <w:tcW w:w="1285" w:type="dxa"/>
            <w:shd w:val="clear" w:color="auto" w:fill="F7C9AC"/>
          </w:tcPr>
          <w:p w:rsidR="007C5447" w:rsidRDefault="00F6308C">
            <w:pPr>
              <w:pStyle w:val="TableParagraph"/>
              <w:spacing w:before="14" w:line="230" w:lineRule="atLeast"/>
              <w:ind w:left="229" w:firstLine="216"/>
              <w:jc w:val="left"/>
              <w:rPr>
                <w:b/>
                <w:sz w:val="20"/>
              </w:rPr>
            </w:pPr>
            <w:r>
              <w:rPr>
                <w:b/>
                <w:sz w:val="20"/>
              </w:rPr>
              <w:t xml:space="preserve">Rate </w:t>
            </w:r>
            <w:r>
              <w:rPr>
                <w:b/>
                <w:w w:val="95"/>
                <w:sz w:val="20"/>
              </w:rPr>
              <w:t>(Rs/kWh)</w:t>
            </w:r>
          </w:p>
        </w:tc>
        <w:tc>
          <w:tcPr>
            <w:tcW w:w="1300" w:type="dxa"/>
            <w:shd w:val="clear" w:color="auto" w:fill="F7C9AC"/>
          </w:tcPr>
          <w:p w:rsidR="007C5447" w:rsidRDefault="00F6308C">
            <w:pPr>
              <w:pStyle w:val="TableParagraph"/>
              <w:spacing w:before="14" w:line="230" w:lineRule="atLeast"/>
              <w:ind w:left="418" w:right="207" w:hanging="178"/>
              <w:jc w:val="left"/>
              <w:rPr>
                <w:b/>
                <w:sz w:val="20"/>
              </w:rPr>
            </w:pPr>
            <w:r>
              <w:rPr>
                <w:b/>
                <w:sz w:val="20"/>
              </w:rPr>
              <w:t>Quantum (MU)</w:t>
            </w:r>
          </w:p>
        </w:tc>
        <w:tc>
          <w:tcPr>
            <w:tcW w:w="1136" w:type="dxa"/>
            <w:shd w:val="clear" w:color="auto" w:fill="F7C9AC"/>
          </w:tcPr>
          <w:p w:rsidR="007C5447" w:rsidRDefault="00F6308C">
            <w:pPr>
              <w:pStyle w:val="TableParagraph"/>
              <w:spacing w:before="14" w:line="230" w:lineRule="atLeast"/>
              <w:ind w:left="224" w:right="193" w:firstLine="148"/>
              <w:jc w:val="left"/>
              <w:rPr>
                <w:b/>
                <w:sz w:val="20"/>
              </w:rPr>
            </w:pPr>
            <w:r>
              <w:rPr>
                <w:b/>
                <w:sz w:val="20"/>
              </w:rPr>
              <w:t>Cost (Rs. Cr)</w:t>
            </w:r>
          </w:p>
        </w:tc>
        <w:tc>
          <w:tcPr>
            <w:tcW w:w="1086" w:type="dxa"/>
            <w:shd w:val="clear" w:color="auto" w:fill="F7C9AC"/>
          </w:tcPr>
          <w:p w:rsidR="007C5447" w:rsidRDefault="00F6308C">
            <w:pPr>
              <w:pStyle w:val="TableParagraph"/>
              <w:spacing w:before="14" w:line="230" w:lineRule="atLeast"/>
              <w:ind w:left="125" w:firstLine="216"/>
              <w:jc w:val="left"/>
              <w:rPr>
                <w:b/>
                <w:sz w:val="20"/>
              </w:rPr>
            </w:pPr>
            <w:r>
              <w:rPr>
                <w:b/>
                <w:sz w:val="20"/>
              </w:rPr>
              <w:t xml:space="preserve">Rate </w:t>
            </w:r>
            <w:r>
              <w:rPr>
                <w:b/>
                <w:w w:val="95"/>
                <w:sz w:val="20"/>
              </w:rPr>
              <w:t>(Rs/kWh)</w:t>
            </w:r>
          </w:p>
        </w:tc>
        <w:tc>
          <w:tcPr>
            <w:tcW w:w="1137" w:type="dxa"/>
            <w:shd w:val="clear" w:color="auto" w:fill="F7C9AC"/>
          </w:tcPr>
          <w:p w:rsidR="007C5447" w:rsidRDefault="00F6308C">
            <w:pPr>
              <w:pStyle w:val="TableParagraph"/>
              <w:spacing w:before="14" w:line="230" w:lineRule="atLeast"/>
              <w:ind w:left="333" w:right="130" w:hanging="179"/>
              <w:jc w:val="left"/>
              <w:rPr>
                <w:b/>
                <w:sz w:val="20"/>
              </w:rPr>
            </w:pPr>
            <w:r>
              <w:rPr>
                <w:b/>
                <w:sz w:val="20"/>
              </w:rPr>
              <w:t>Quantum (MU)</w:t>
            </w:r>
          </w:p>
        </w:tc>
        <w:tc>
          <w:tcPr>
            <w:tcW w:w="1136" w:type="dxa"/>
            <w:shd w:val="clear" w:color="auto" w:fill="F7C9AC"/>
          </w:tcPr>
          <w:p w:rsidR="007C5447" w:rsidRDefault="00F6308C">
            <w:pPr>
              <w:pStyle w:val="TableParagraph"/>
              <w:spacing w:before="14" w:line="230" w:lineRule="atLeast"/>
              <w:ind w:left="221" w:right="94" w:hanging="104"/>
              <w:jc w:val="left"/>
              <w:rPr>
                <w:b/>
                <w:sz w:val="20"/>
              </w:rPr>
            </w:pPr>
            <w:r>
              <w:rPr>
                <w:b/>
                <w:sz w:val="20"/>
              </w:rPr>
              <w:t>Total Cost (Rs. Cr)</w:t>
            </w:r>
          </w:p>
        </w:tc>
        <w:tc>
          <w:tcPr>
            <w:tcW w:w="1052" w:type="dxa"/>
            <w:shd w:val="clear" w:color="auto" w:fill="F7C9AC"/>
          </w:tcPr>
          <w:p w:rsidR="007C5447" w:rsidRDefault="00F6308C">
            <w:pPr>
              <w:pStyle w:val="TableParagraph"/>
              <w:spacing w:before="14" w:line="230" w:lineRule="atLeast"/>
              <w:ind w:left="105" w:firstLine="216"/>
              <w:jc w:val="left"/>
              <w:rPr>
                <w:b/>
                <w:sz w:val="20"/>
              </w:rPr>
            </w:pPr>
            <w:r>
              <w:rPr>
                <w:b/>
                <w:sz w:val="20"/>
              </w:rPr>
              <w:t xml:space="preserve">Rate </w:t>
            </w:r>
            <w:r>
              <w:rPr>
                <w:b/>
                <w:w w:val="95"/>
                <w:sz w:val="20"/>
              </w:rPr>
              <w:t>(Rs/kWh)</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NTPC Vallur Unit 1 &amp; Unit 2</w:t>
            </w:r>
          </w:p>
        </w:tc>
        <w:tc>
          <w:tcPr>
            <w:tcW w:w="1669" w:type="dxa"/>
          </w:tcPr>
          <w:p w:rsidR="007C5447" w:rsidRDefault="00F6308C">
            <w:pPr>
              <w:pStyle w:val="TableParagraph"/>
              <w:spacing w:before="70"/>
              <w:ind w:right="214"/>
              <w:rPr>
                <w:sz w:val="20"/>
              </w:rPr>
            </w:pPr>
            <w:r>
              <w:rPr>
                <w:w w:val="95"/>
                <w:sz w:val="20"/>
              </w:rPr>
              <w:t>487.90</w:t>
            </w:r>
          </w:p>
        </w:tc>
        <w:tc>
          <w:tcPr>
            <w:tcW w:w="1395" w:type="dxa"/>
          </w:tcPr>
          <w:p w:rsidR="007C5447" w:rsidRDefault="00F6308C">
            <w:pPr>
              <w:pStyle w:val="TableParagraph"/>
              <w:spacing w:before="70"/>
              <w:ind w:right="214"/>
              <w:rPr>
                <w:sz w:val="20"/>
              </w:rPr>
            </w:pPr>
            <w:r>
              <w:rPr>
                <w:w w:val="95"/>
                <w:sz w:val="20"/>
              </w:rPr>
              <w:t>227.15</w:t>
            </w:r>
          </w:p>
        </w:tc>
        <w:tc>
          <w:tcPr>
            <w:tcW w:w="1285" w:type="dxa"/>
          </w:tcPr>
          <w:p w:rsidR="007C5447" w:rsidRDefault="00F6308C">
            <w:pPr>
              <w:pStyle w:val="TableParagraph"/>
              <w:spacing w:before="70"/>
              <w:ind w:right="215"/>
              <w:rPr>
                <w:sz w:val="20"/>
              </w:rPr>
            </w:pPr>
            <w:r>
              <w:rPr>
                <w:sz w:val="20"/>
              </w:rPr>
              <w:t>4.66</w:t>
            </w:r>
          </w:p>
        </w:tc>
        <w:tc>
          <w:tcPr>
            <w:tcW w:w="1300" w:type="dxa"/>
          </w:tcPr>
          <w:p w:rsidR="007C5447" w:rsidRDefault="00F6308C">
            <w:pPr>
              <w:pStyle w:val="TableParagraph"/>
              <w:spacing w:before="70"/>
              <w:ind w:right="216"/>
              <w:rPr>
                <w:sz w:val="20"/>
              </w:rPr>
            </w:pPr>
            <w:r>
              <w:rPr>
                <w:w w:val="95"/>
                <w:sz w:val="20"/>
              </w:rPr>
              <w:t>487.90</w:t>
            </w:r>
          </w:p>
        </w:tc>
        <w:tc>
          <w:tcPr>
            <w:tcW w:w="1136" w:type="dxa"/>
          </w:tcPr>
          <w:p w:rsidR="007C5447" w:rsidRDefault="00F6308C">
            <w:pPr>
              <w:pStyle w:val="TableParagraph"/>
              <w:spacing w:before="70"/>
              <w:ind w:right="217"/>
              <w:rPr>
                <w:sz w:val="20"/>
              </w:rPr>
            </w:pPr>
            <w:r>
              <w:rPr>
                <w:w w:val="95"/>
                <w:sz w:val="20"/>
              </w:rPr>
              <w:t>227.15</w:t>
            </w:r>
          </w:p>
        </w:tc>
        <w:tc>
          <w:tcPr>
            <w:tcW w:w="1086" w:type="dxa"/>
          </w:tcPr>
          <w:p w:rsidR="007C5447" w:rsidRDefault="00F6308C">
            <w:pPr>
              <w:pStyle w:val="TableParagraph"/>
              <w:spacing w:before="70"/>
              <w:ind w:right="220"/>
              <w:rPr>
                <w:sz w:val="20"/>
              </w:rPr>
            </w:pPr>
            <w:r>
              <w:rPr>
                <w:sz w:val="20"/>
              </w:rPr>
              <w:t>4.66</w:t>
            </w:r>
          </w:p>
        </w:tc>
        <w:tc>
          <w:tcPr>
            <w:tcW w:w="1137" w:type="dxa"/>
          </w:tcPr>
          <w:p w:rsidR="007C5447" w:rsidRDefault="00F6308C">
            <w:pPr>
              <w:pStyle w:val="TableParagraph"/>
              <w:spacing w:before="70"/>
              <w:ind w:right="219"/>
              <w:rPr>
                <w:sz w:val="20"/>
              </w:rPr>
            </w:pPr>
            <w:r>
              <w:rPr>
                <w:w w:val="95"/>
                <w:sz w:val="20"/>
              </w:rPr>
              <w:t>487.90</w:t>
            </w:r>
          </w:p>
        </w:tc>
        <w:tc>
          <w:tcPr>
            <w:tcW w:w="1136" w:type="dxa"/>
          </w:tcPr>
          <w:p w:rsidR="007C5447" w:rsidRDefault="00F6308C">
            <w:pPr>
              <w:pStyle w:val="TableParagraph"/>
              <w:spacing w:before="70"/>
              <w:ind w:right="220"/>
              <w:rPr>
                <w:sz w:val="20"/>
              </w:rPr>
            </w:pPr>
            <w:r>
              <w:rPr>
                <w:w w:val="95"/>
                <w:sz w:val="20"/>
              </w:rPr>
              <w:t>227.15</w:t>
            </w:r>
          </w:p>
        </w:tc>
        <w:tc>
          <w:tcPr>
            <w:tcW w:w="1052" w:type="dxa"/>
          </w:tcPr>
          <w:p w:rsidR="007C5447" w:rsidRDefault="00F6308C">
            <w:pPr>
              <w:pStyle w:val="TableParagraph"/>
              <w:spacing w:before="70"/>
              <w:ind w:right="223"/>
              <w:rPr>
                <w:sz w:val="20"/>
              </w:rPr>
            </w:pPr>
            <w:r>
              <w:rPr>
                <w:sz w:val="20"/>
              </w:rPr>
              <w:t>4.66</w:t>
            </w:r>
          </w:p>
        </w:tc>
      </w:tr>
      <w:tr w:rsidR="007C5447">
        <w:trPr>
          <w:trHeight w:val="371"/>
        </w:trPr>
        <w:tc>
          <w:tcPr>
            <w:tcW w:w="3022" w:type="dxa"/>
            <w:tcBorders>
              <w:left w:val="single" w:sz="8" w:space="0" w:color="000000"/>
            </w:tcBorders>
          </w:tcPr>
          <w:p w:rsidR="007C5447" w:rsidRDefault="00F6308C">
            <w:pPr>
              <w:pStyle w:val="TableParagraph"/>
              <w:spacing w:before="70"/>
              <w:ind w:left="107"/>
              <w:jc w:val="left"/>
              <w:rPr>
                <w:sz w:val="20"/>
              </w:rPr>
            </w:pPr>
            <w:r>
              <w:rPr>
                <w:sz w:val="20"/>
              </w:rPr>
              <w:t>New Plants</w:t>
            </w:r>
          </w:p>
        </w:tc>
        <w:tc>
          <w:tcPr>
            <w:tcW w:w="1669" w:type="dxa"/>
          </w:tcPr>
          <w:p w:rsidR="007C5447" w:rsidRDefault="007C5447">
            <w:pPr>
              <w:pStyle w:val="TableParagraph"/>
              <w:jc w:val="left"/>
              <w:rPr>
                <w:sz w:val="20"/>
              </w:rPr>
            </w:pPr>
          </w:p>
        </w:tc>
        <w:tc>
          <w:tcPr>
            <w:tcW w:w="1395" w:type="dxa"/>
          </w:tcPr>
          <w:p w:rsidR="007C5447" w:rsidRDefault="00F6308C">
            <w:pPr>
              <w:pStyle w:val="TableParagraph"/>
              <w:spacing w:before="70"/>
              <w:ind w:right="210"/>
              <w:rPr>
                <w:sz w:val="20"/>
              </w:rPr>
            </w:pPr>
            <w:r>
              <w:rPr>
                <w:w w:val="99"/>
                <w:sz w:val="20"/>
              </w:rPr>
              <w:t>-</w:t>
            </w: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F6308C">
            <w:pPr>
              <w:pStyle w:val="TableParagraph"/>
              <w:spacing w:before="70"/>
              <w:ind w:right="216"/>
              <w:rPr>
                <w:sz w:val="20"/>
              </w:rPr>
            </w:pPr>
            <w:r>
              <w:rPr>
                <w:w w:val="99"/>
                <w:sz w:val="20"/>
              </w:rPr>
              <w:t>-</w:t>
            </w:r>
          </w:p>
        </w:tc>
        <w:tc>
          <w:tcPr>
            <w:tcW w:w="1136" w:type="dxa"/>
          </w:tcPr>
          <w:p w:rsidR="007C5447" w:rsidRDefault="00F6308C">
            <w:pPr>
              <w:pStyle w:val="TableParagraph"/>
              <w:spacing w:before="70"/>
              <w:ind w:right="217"/>
              <w:rPr>
                <w:sz w:val="20"/>
              </w:rPr>
            </w:pPr>
            <w:r>
              <w:rPr>
                <w:w w:val="99"/>
                <w:sz w:val="20"/>
              </w:rPr>
              <w:t>-</w:t>
            </w: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Kudankulum</w:t>
            </w:r>
          </w:p>
        </w:tc>
        <w:tc>
          <w:tcPr>
            <w:tcW w:w="1669" w:type="dxa"/>
          </w:tcPr>
          <w:p w:rsidR="007C5447" w:rsidRDefault="007C5447">
            <w:pPr>
              <w:pStyle w:val="TableParagraph"/>
              <w:jc w:val="left"/>
              <w:rPr>
                <w:sz w:val="20"/>
              </w:rPr>
            </w:pPr>
          </w:p>
        </w:tc>
        <w:tc>
          <w:tcPr>
            <w:tcW w:w="1395" w:type="dxa"/>
          </w:tcPr>
          <w:p w:rsidR="007C5447" w:rsidRDefault="00F6308C">
            <w:pPr>
              <w:pStyle w:val="TableParagraph"/>
              <w:spacing w:before="70"/>
              <w:ind w:right="210"/>
              <w:rPr>
                <w:sz w:val="20"/>
              </w:rPr>
            </w:pPr>
            <w:r>
              <w:rPr>
                <w:w w:val="99"/>
                <w:sz w:val="20"/>
              </w:rPr>
              <w:t>-</w:t>
            </w:r>
          </w:p>
        </w:tc>
        <w:tc>
          <w:tcPr>
            <w:tcW w:w="1285" w:type="dxa"/>
          </w:tcPr>
          <w:p w:rsidR="007C5447" w:rsidRDefault="007C5447">
            <w:pPr>
              <w:pStyle w:val="TableParagraph"/>
              <w:jc w:val="left"/>
              <w:rPr>
                <w:sz w:val="20"/>
              </w:rPr>
            </w:pPr>
          </w:p>
        </w:tc>
        <w:tc>
          <w:tcPr>
            <w:tcW w:w="1300" w:type="dxa"/>
          </w:tcPr>
          <w:p w:rsidR="007C5447" w:rsidRDefault="00F6308C">
            <w:pPr>
              <w:pStyle w:val="TableParagraph"/>
              <w:spacing w:before="70"/>
              <w:ind w:right="213"/>
              <w:rPr>
                <w:sz w:val="20"/>
              </w:rPr>
            </w:pPr>
            <w:r>
              <w:rPr>
                <w:w w:val="99"/>
                <w:sz w:val="20"/>
              </w:rPr>
              <w:t>-</w:t>
            </w:r>
          </w:p>
        </w:tc>
        <w:tc>
          <w:tcPr>
            <w:tcW w:w="1136" w:type="dxa"/>
          </w:tcPr>
          <w:p w:rsidR="007C5447" w:rsidRDefault="00F6308C">
            <w:pPr>
              <w:pStyle w:val="TableParagraph"/>
              <w:spacing w:before="70"/>
              <w:ind w:right="213"/>
              <w:rPr>
                <w:sz w:val="20"/>
              </w:rPr>
            </w:pPr>
            <w:r>
              <w:rPr>
                <w:w w:val="99"/>
                <w:sz w:val="20"/>
              </w:rPr>
              <w:t>-</w:t>
            </w:r>
          </w:p>
        </w:tc>
        <w:tc>
          <w:tcPr>
            <w:tcW w:w="1086" w:type="dxa"/>
          </w:tcPr>
          <w:p w:rsidR="007C5447" w:rsidRDefault="007C5447">
            <w:pPr>
              <w:pStyle w:val="TableParagraph"/>
              <w:jc w:val="left"/>
              <w:rPr>
                <w:sz w:val="20"/>
              </w:rPr>
            </w:pPr>
          </w:p>
        </w:tc>
        <w:tc>
          <w:tcPr>
            <w:tcW w:w="1137" w:type="dxa"/>
          </w:tcPr>
          <w:p w:rsidR="007C5447" w:rsidRDefault="00F6308C">
            <w:pPr>
              <w:pStyle w:val="TableParagraph"/>
              <w:spacing w:before="70"/>
              <w:ind w:right="216"/>
              <w:rPr>
                <w:sz w:val="20"/>
              </w:rPr>
            </w:pPr>
            <w:r>
              <w:rPr>
                <w:w w:val="99"/>
                <w:sz w:val="20"/>
              </w:rPr>
              <w:t>-</w:t>
            </w:r>
          </w:p>
        </w:tc>
        <w:tc>
          <w:tcPr>
            <w:tcW w:w="1136" w:type="dxa"/>
          </w:tcPr>
          <w:p w:rsidR="007C5447" w:rsidRDefault="00F6308C">
            <w:pPr>
              <w:pStyle w:val="TableParagraph"/>
              <w:spacing w:before="70"/>
              <w:ind w:right="217"/>
              <w:rPr>
                <w:sz w:val="20"/>
              </w:rPr>
            </w:pPr>
            <w:r>
              <w:rPr>
                <w:w w:val="99"/>
                <w:sz w:val="20"/>
              </w:rPr>
              <w:t>-</w:t>
            </w: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b/>
                <w:sz w:val="20"/>
              </w:rPr>
            </w:pPr>
            <w:r>
              <w:rPr>
                <w:b/>
                <w:sz w:val="20"/>
              </w:rPr>
              <w:t>Total CGS</w:t>
            </w:r>
          </w:p>
        </w:tc>
        <w:tc>
          <w:tcPr>
            <w:tcW w:w="1669" w:type="dxa"/>
          </w:tcPr>
          <w:p w:rsidR="007C5447" w:rsidRDefault="00F6308C">
            <w:pPr>
              <w:pStyle w:val="TableParagraph"/>
              <w:spacing w:before="70"/>
              <w:ind w:right="214"/>
              <w:rPr>
                <w:b/>
                <w:sz w:val="20"/>
              </w:rPr>
            </w:pPr>
            <w:r>
              <w:rPr>
                <w:b/>
                <w:w w:val="95"/>
                <w:sz w:val="20"/>
              </w:rPr>
              <w:t>21,566.30</w:t>
            </w:r>
          </w:p>
        </w:tc>
        <w:tc>
          <w:tcPr>
            <w:tcW w:w="1395" w:type="dxa"/>
          </w:tcPr>
          <w:p w:rsidR="007C5447" w:rsidRDefault="00F6308C">
            <w:pPr>
              <w:pStyle w:val="TableParagraph"/>
              <w:spacing w:before="70"/>
              <w:ind w:right="212"/>
              <w:rPr>
                <w:b/>
                <w:sz w:val="20"/>
              </w:rPr>
            </w:pPr>
            <w:r>
              <w:rPr>
                <w:b/>
                <w:w w:val="95"/>
                <w:sz w:val="20"/>
              </w:rPr>
              <w:t>6,004.28</w:t>
            </w:r>
          </w:p>
        </w:tc>
        <w:tc>
          <w:tcPr>
            <w:tcW w:w="1285" w:type="dxa"/>
          </w:tcPr>
          <w:p w:rsidR="007C5447" w:rsidRDefault="00F6308C">
            <w:pPr>
              <w:pStyle w:val="TableParagraph"/>
              <w:spacing w:before="70"/>
              <w:ind w:right="215"/>
              <w:rPr>
                <w:b/>
                <w:sz w:val="20"/>
              </w:rPr>
            </w:pPr>
            <w:r>
              <w:rPr>
                <w:b/>
                <w:sz w:val="20"/>
              </w:rPr>
              <w:t>2.78</w:t>
            </w:r>
          </w:p>
        </w:tc>
        <w:tc>
          <w:tcPr>
            <w:tcW w:w="1300" w:type="dxa"/>
          </w:tcPr>
          <w:p w:rsidR="007C5447" w:rsidRDefault="00F6308C">
            <w:pPr>
              <w:pStyle w:val="TableParagraph"/>
              <w:spacing w:before="70"/>
              <w:ind w:right="217"/>
              <w:rPr>
                <w:b/>
                <w:sz w:val="20"/>
              </w:rPr>
            </w:pPr>
            <w:r>
              <w:rPr>
                <w:b/>
                <w:w w:val="95"/>
                <w:sz w:val="20"/>
              </w:rPr>
              <w:t>21,566.30</w:t>
            </w:r>
          </w:p>
        </w:tc>
        <w:tc>
          <w:tcPr>
            <w:tcW w:w="1136" w:type="dxa"/>
          </w:tcPr>
          <w:p w:rsidR="007C5447" w:rsidRDefault="00F6308C">
            <w:pPr>
              <w:pStyle w:val="TableParagraph"/>
              <w:spacing w:before="70"/>
              <w:ind w:right="215"/>
              <w:rPr>
                <w:b/>
                <w:sz w:val="20"/>
              </w:rPr>
            </w:pPr>
            <w:r>
              <w:rPr>
                <w:b/>
                <w:w w:val="95"/>
                <w:sz w:val="20"/>
              </w:rPr>
              <w:t>6,004.28</w:t>
            </w:r>
          </w:p>
        </w:tc>
        <w:tc>
          <w:tcPr>
            <w:tcW w:w="1086" w:type="dxa"/>
          </w:tcPr>
          <w:p w:rsidR="007C5447" w:rsidRDefault="00F6308C">
            <w:pPr>
              <w:pStyle w:val="TableParagraph"/>
              <w:spacing w:before="70"/>
              <w:ind w:right="220"/>
              <w:rPr>
                <w:b/>
                <w:sz w:val="20"/>
              </w:rPr>
            </w:pPr>
            <w:r>
              <w:rPr>
                <w:b/>
                <w:sz w:val="20"/>
              </w:rPr>
              <w:t>2.78</w:t>
            </w:r>
          </w:p>
        </w:tc>
        <w:tc>
          <w:tcPr>
            <w:tcW w:w="1137" w:type="dxa"/>
          </w:tcPr>
          <w:p w:rsidR="007C5447" w:rsidRDefault="00F6308C">
            <w:pPr>
              <w:pStyle w:val="TableParagraph"/>
              <w:spacing w:before="70"/>
              <w:ind w:right="218"/>
              <w:rPr>
                <w:b/>
                <w:sz w:val="20"/>
              </w:rPr>
            </w:pPr>
            <w:r>
              <w:rPr>
                <w:b/>
                <w:w w:val="95"/>
                <w:sz w:val="20"/>
              </w:rPr>
              <w:t>21,566.30</w:t>
            </w:r>
          </w:p>
        </w:tc>
        <w:tc>
          <w:tcPr>
            <w:tcW w:w="1136" w:type="dxa"/>
          </w:tcPr>
          <w:p w:rsidR="007C5447" w:rsidRDefault="00F6308C">
            <w:pPr>
              <w:pStyle w:val="TableParagraph"/>
              <w:spacing w:before="70"/>
              <w:ind w:right="218"/>
              <w:rPr>
                <w:b/>
                <w:sz w:val="20"/>
              </w:rPr>
            </w:pPr>
            <w:r>
              <w:rPr>
                <w:b/>
                <w:w w:val="95"/>
                <w:sz w:val="20"/>
              </w:rPr>
              <w:t>6,004.28</w:t>
            </w:r>
          </w:p>
        </w:tc>
        <w:tc>
          <w:tcPr>
            <w:tcW w:w="1052" w:type="dxa"/>
          </w:tcPr>
          <w:p w:rsidR="007C5447" w:rsidRDefault="00F6308C">
            <w:pPr>
              <w:pStyle w:val="TableParagraph"/>
              <w:spacing w:before="70"/>
              <w:ind w:right="223"/>
              <w:rPr>
                <w:b/>
                <w:sz w:val="20"/>
              </w:rPr>
            </w:pPr>
            <w:r>
              <w:rPr>
                <w:b/>
                <w:sz w:val="20"/>
              </w:rPr>
              <w:t>2.78</w:t>
            </w:r>
          </w:p>
        </w:tc>
      </w:tr>
      <w:tr w:rsidR="007C5447">
        <w:trPr>
          <w:trHeight w:val="371"/>
        </w:trPr>
        <w:tc>
          <w:tcPr>
            <w:tcW w:w="3022" w:type="dxa"/>
            <w:tcBorders>
              <w:left w:val="single" w:sz="8" w:space="0" w:color="000000"/>
            </w:tcBorders>
          </w:tcPr>
          <w:p w:rsidR="007C5447" w:rsidRDefault="00F6308C">
            <w:pPr>
              <w:pStyle w:val="TableParagraph"/>
              <w:spacing w:before="70"/>
              <w:ind w:left="107"/>
              <w:jc w:val="left"/>
              <w:rPr>
                <w:b/>
                <w:sz w:val="20"/>
              </w:rPr>
            </w:pPr>
            <w:r>
              <w:rPr>
                <w:b/>
                <w:sz w:val="20"/>
              </w:rPr>
              <w:t>IPP</w:t>
            </w:r>
          </w:p>
        </w:tc>
        <w:tc>
          <w:tcPr>
            <w:tcW w:w="1669" w:type="dxa"/>
          </w:tcPr>
          <w:p w:rsidR="007C5447" w:rsidRDefault="007C5447">
            <w:pPr>
              <w:pStyle w:val="TableParagraph"/>
              <w:jc w:val="left"/>
              <w:rPr>
                <w:sz w:val="20"/>
              </w:rPr>
            </w:pPr>
          </w:p>
        </w:tc>
        <w:tc>
          <w:tcPr>
            <w:tcW w:w="1395" w:type="dxa"/>
          </w:tcPr>
          <w:p w:rsidR="007C5447" w:rsidRDefault="007C5447">
            <w:pPr>
              <w:pStyle w:val="TableParagraph"/>
              <w:jc w:val="left"/>
              <w:rPr>
                <w:sz w:val="20"/>
              </w:rPr>
            </w:pP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GMR Vasavi</w:t>
            </w:r>
          </w:p>
        </w:tc>
        <w:tc>
          <w:tcPr>
            <w:tcW w:w="1669" w:type="dxa"/>
          </w:tcPr>
          <w:p w:rsidR="007C5447" w:rsidRDefault="007C5447">
            <w:pPr>
              <w:pStyle w:val="TableParagraph"/>
              <w:jc w:val="left"/>
              <w:rPr>
                <w:sz w:val="20"/>
              </w:rPr>
            </w:pPr>
          </w:p>
        </w:tc>
        <w:tc>
          <w:tcPr>
            <w:tcW w:w="1395" w:type="dxa"/>
          </w:tcPr>
          <w:p w:rsidR="007C5447" w:rsidRDefault="00F6308C">
            <w:pPr>
              <w:pStyle w:val="TableParagraph"/>
              <w:spacing w:before="70"/>
              <w:ind w:right="214"/>
              <w:rPr>
                <w:sz w:val="20"/>
              </w:rPr>
            </w:pPr>
            <w:r>
              <w:rPr>
                <w:w w:val="95"/>
                <w:sz w:val="20"/>
              </w:rPr>
              <w:t>167.15</w:t>
            </w:r>
          </w:p>
        </w:tc>
        <w:tc>
          <w:tcPr>
            <w:tcW w:w="1285" w:type="dxa"/>
          </w:tcPr>
          <w:p w:rsidR="007C5447" w:rsidRDefault="007C5447">
            <w:pPr>
              <w:pStyle w:val="TableParagraph"/>
              <w:jc w:val="left"/>
              <w:rPr>
                <w:sz w:val="20"/>
              </w:rPr>
            </w:pPr>
          </w:p>
        </w:tc>
        <w:tc>
          <w:tcPr>
            <w:tcW w:w="1300" w:type="dxa"/>
          </w:tcPr>
          <w:p w:rsidR="007C5447" w:rsidRDefault="00F6308C">
            <w:pPr>
              <w:pStyle w:val="TableParagraph"/>
              <w:spacing w:before="70"/>
              <w:ind w:right="216"/>
              <w:rPr>
                <w:sz w:val="20"/>
              </w:rPr>
            </w:pPr>
            <w:r>
              <w:rPr>
                <w:w w:val="95"/>
                <w:sz w:val="20"/>
              </w:rPr>
              <w:t>610.00</w:t>
            </w:r>
          </w:p>
        </w:tc>
        <w:tc>
          <w:tcPr>
            <w:tcW w:w="1136" w:type="dxa"/>
          </w:tcPr>
          <w:p w:rsidR="007C5447" w:rsidRDefault="00F6308C">
            <w:pPr>
              <w:pStyle w:val="TableParagraph"/>
              <w:spacing w:before="70"/>
              <w:ind w:right="217"/>
              <w:rPr>
                <w:sz w:val="20"/>
              </w:rPr>
            </w:pPr>
            <w:r>
              <w:rPr>
                <w:w w:val="95"/>
                <w:sz w:val="20"/>
              </w:rPr>
              <w:t>801.93</w:t>
            </w:r>
          </w:p>
        </w:tc>
        <w:tc>
          <w:tcPr>
            <w:tcW w:w="1086" w:type="dxa"/>
          </w:tcPr>
          <w:p w:rsidR="007C5447" w:rsidRDefault="00F6308C">
            <w:pPr>
              <w:pStyle w:val="TableParagraph"/>
              <w:spacing w:before="70"/>
              <w:ind w:right="220"/>
              <w:rPr>
                <w:sz w:val="20"/>
              </w:rPr>
            </w:pPr>
            <w:r>
              <w:rPr>
                <w:w w:val="95"/>
                <w:sz w:val="20"/>
              </w:rPr>
              <w:t>13.15</w:t>
            </w:r>
          </w:p>
        </w:tc>
        <w:tc>
          <w:tcPr>
            <w:tcW w:w="1137" w:type="dxa"/>
          </w:tcPr>
          <w:p w:rsidR="007C5447" w:rsidRDefault="00F6308C">
            <w:pPr>
              <w:pStyle w:val="TableParagraph"/>
              <w:spacing w:before="70"/>
              <w:ind w:right="216"/>
              <w:rPr>
                <w:sz w:val="20"/>
              </w:rPr>
            </w:pPr>
            <w:r>
              <w:rPr>
                <w:w w:val="99"/>
                <w:sz w:val="20"/>
              </w:rPr>
              <w:t>-</w:t>
            </w:r>
          </w:p>
        </w:tc>
        <w:tc>
          <w:tcPr>
            <w:tcW w:w="1136" w:type="dxa"/>
          </w:tcPr>
          <w:p w:rsidR="007C5447" w:rsidRDefault="00F6308C">
            <w:pPr>
              <w:pStyle w:val="TableParagraph"/>
              <w:spacing w:before="70"/>
              <w:ind w:right="220"/>
              <w:rPr>
                <w:sz w:val="20"/>
              </w:rPr>
            </w:pPr>
            <w:r>
              <w:rPr>
                <w:w w:val="95"/>
                <w:sz w:val="20"/>
              </w:rPr>
              <w:t>167.15</w:t>
            </w: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Samalpatti</w:t>
            </w:r>
          </w:p>
        </w:tc>
        <w:tc>
          <w:tcPr>
            <w:tcW w:w="1669" w:type="dxa"/>
          </w:tcPr>
          <w:p w:rsidR="007C5447" w:rsidRDefault="007C5447">
            <w:pPr>
              <w:pStyle w:val="TableParagraph"/>
              <w:jc w:val="left"/>
              <w:rPr>
                <w:sz w:val="20"/>
              </w:rPr>
            </w:pPr>
          </w:p>
        </w:tc>
        <w:tc>
          <w:tcPr>
            <w:tcW w:w="1395" w:type="dxa"/>
          </w:tcPr>
          <w:p w:rsidR="007C5447" w:rsidRDefault="00F6308C">
            <w:pPr>
              <w:pStyle w:val="TableParagraph"/>
              <w:spacing w:before="70"/>
              <w:ind w:right="214"/>
              <w:rPr>
                <w:sz w:val="20"/>
              </w:rPr>
            </w:pPr>
            <w:r>
              <w:rPr>
                <w:w w:val="95"/>
                <w:sz w:val="20"/>
              </w:rPr>
              <w:t>108.94</w:t>
            </w:r>
          </w:p>
        </w:tc>
        <w:tc>
          <w:tcPr>
            <w:tcW w:w="1285" w:type="dxa"/>
          </w:tcPr>
          <w:p w:rsidR="007C5447" w:rsidRDefault="007C5447">
            <w:pPr>
              <w:pStyle w:val="TableParagraph"/>
              <w:jc w:val="left"/>
              <w:rPr>
                <w:sz w:val="20"/>
              </w:rPr>
            </w:pPr>
          </w:p>
        </w:tc>
        <w:tc>
          <w:tcPr>
            <w:tcW w:w="1300" w:type="dxa"/>
          </w:tcPr>
          <w:p w:rsidR="007C5447" w:rsidRDefault="00F6308C">
            <w:pPr>
              <w:pStyle w:val="TableParagraph"/>
              <w:spacing w:before="70"/>
              <w:ind w:right="216"/>
              <w:rPr>
                <w:sz w:val="20"/>
              </w:rPr>
            </w:pPr>
            <w:r>
              <w:rPr>
                <w:w w:val="95"/>
                <w:sz w:val="20"/>
              </w:rPr>
              <w:t>329.00</w:t>
            </w:r>
          </w:p>
        </w:tc>
        <w:tc>
          <w:tcPr>
            <w:tcW w:w="1136" w:type="dxa"/>
          </w:tcPr>
          <w:p w:rsidR="007C5447" w:rsidRDefault="00F6308C">
            <w:pPr>
              <w:pStyle w:val="TableParagraph"/>
              <w:spacing w:before="70"/>
              <w:ind w:right="217"/>
              <w:rPr>
                <w:sz w:val="20"/>
              </w:rPr>
            </w:pPr>
            <w:r>
              <w:rPr>
                <w:w w:val="95"/>
                <w:sz w:val="20"/>
              </w:rPr>
              <w:t>443.73</w:t>
            </w:r>
          </w:p>
        </w:tc>
        <w:tc>
          <w:tcPr>
            <w:tcW w:w="1086" w:type="dxa"/>
          </w:tcPr>
          <w:p w:rsidR="007C5447" w:rsidRDefault="00F6308C">
            <w:pPr>
              <w:pStyle w:val="TableParagraph"/>
              <w:spacing w:before="70"/>
              <w:ind w:right="220"/>
              <w:rPr>
                <w:sz w:val="20"/>
              </w:rPr>
            </w:pPr>
            <w:r>
              <w:rPr>
                <w:w w:val="95"/>
                <w:sz w:val="20"/>
              </w:rPr>
              <w:t>13.49</w:t>
            </w:r>
          </w:p>
        </w:tc>
        <w:tc>
          <w:tcPr>
            <w:tcW w:w="1137" w:type="dxa"/>
          </w:tcPr>
          <w:p w:rsidR="007C5447" w:rsidRDefault="00F6308C">
            <w:pPr>
              <w:pStyle w:val="TableParagraph"/>
              <w:spacing w:before="70"/>
              <w:ind w:right="216"/>
              <w:rPr>
                <w:sz w:val="20"/>
              </w:rPr>
            </w:pPr>
            <w:r>
              <w:rPr>
                <w:w w:val="99"/>
                <w:sz w:val="20"/>
              </w:rPr>
              <w:t>-</w:t>
            </w:r>
          </w:p>
        </w:tc>
        <w:tc>
          <w:tcPr>
            <w:tcW w:w="1136" w:type="dxa"/>
          </w:tcPr>
          <w:p w:rsidR="007C5447" w:rsidRDefault="00F6308C">
            <w:pPr>
              <w:pStyle w:val="TableParagraph"/>
              <w:spacing w:before="70"/>
              <w:ind w:right="220"/>
              <w:rPr>
                <w:sz w:val="20"/>
              </w:rPr>
            </w:pPr>
            <w:r>
              <w:rPr>
                <w:w w:val="95"/>
                <w:sz w:val="20"/>
              </w:rPr>
              <w:t>108.94</w:t>
            </w:r>
          </w:p>
        </w:tc>
        <w:tc>
          <w:tcPr>
            <w:tcW w:w="1052" w:type="dxa"/>
          </w:tcPr>
          <w:p w:rsidR="007C5447" w:rsidRDefault="007C5447">
            <w:pPr>
              <w:pStyle w:val="TableParagraph"/>
              <w:jc w:val="left"/>
              <w:rPr>
                <w:sz w:val="20"/>
              </w:rPr>
            </w:pPr>
          </w:p>
        </w:tc>
      </w:tr>
      <w:tr w:rsidR="007C5447">
        <w:trPr>
          <w:trHeight w:val="371"/>
        </w:trPr>
        <w:tc>
          <w:tcPr>
            <w:tcW w:w="3022" w:type="dxa"/>
            <w:tcBorders>
              <w:left w:val="single" w:sz="8" w:space="0" w:color="000000"/>
            </w:tcBorders>
          </w:tcPr>
          <w:p w:rsidR="007C5447" w:rsidRDefault="00F6308C">
            <w:pPr>
              <w:pStyle w:val="TableParagraph"/>
              <w:spacing w:before="70"/>
              <w:ind w:left="107"/>
              <w:jc w:val="left"/>
              <w:rPr>
                <w:sz w:val="20"/>
              </w:rPr>
            </w:pPr>
            <w:r>
              <w:rPr>
                <w:sz w:val="20"/>
              </w:rPr>
              <w:t>Madurai Power Corpn</w:t>
            </w:r>
          </w:p>
        </w:tc>
        <w:tc>
          <w:tcPr>
            <w:tcW w:w="1669" w:type="dxa"/>
          </w:tcPr>
          <w:p w:rsidR="007C5447" w:rsidRDefault="007C5447">
            <w:pPr>
              <w:pStyle w:val="TableParagraph"/>
              <w:jc w:val="left"/>
              <w:rPr>
                <w:sz w:val="20"/>
              </w:rPr>
            </w:pPr>
          </w:p>
        </w:tc>
        <w:tc>
          <w:tcPr>
            <w:tcW w:w="1395" w:type="dxa"/>
          </w:tcPr>
          <w:p w:rsidR="007C5447" w:rsidRDefault="00F6308C">
            <w:pPr>
              <w:pStyle w:val="TableParagraph"/>
              <w:spacing w:before="70"/>
              <w:ind w:right="214"/>
              <w:rPr>
                <w:sz w:val="20"/>
              </w:rPr>
            </w:pPr>
            <w:r>
              <w:rPr>
                <w:w w:val="95"/>
                <w:sz w:val="20"/>
              </w:rPr>
              <w:t>291.51</w:t>
            </w:r>
          </w:p>
        </w:tc>
        <w:tc>
          <w:tcPr>
            <w:tcW w:w="1285" w:type="dxa"/>
          </w:tcPr>
          <w:p w:rsidR="007C5447" w:rsidRDefault="007C5447">
            <w:pPr>
              <w:pStyle w:val="TableParagraph"/>
              <w:jc w:val="left"/>
              <w:rPr>
                <w:sz w:val="20"/>
              </w:rPr>
            </w:pPr>
          </w:p>
        </w:tc>
        <w:tc>
          <w:tcPr>
            <w:tcW w:w="1300" w:type="dxa"/>
          </w:tcPr>
          <w:p w:rsidR="007C5447" w:rsidRDefault="00F6308C">
            <w:pPr>
              <w:pStyle w:val="TableParagraph"/>
              <w:spacing w:before="70"/>
              <w:ind w:right="216"/>
              <w:rPr>
                <w:sz w:val="20"/>
              </w:rPr>
            </w:pPr>
            <w:r>
              <w:rPr>
                <w:w w:val="95"/>
                <w:sz w:val="20"/>
              </w:rPr>
              <w:t>357.00</w:t>
            </w:r>
          </w:p>
        </w:tc>
        <w:tc>
          <w:tcPr>
            <w:tcW w:w="1136" w:type="dxa"/>
          </w:tcPr>
          <w:p w:rsidR="007C5447" w:rsidRDefault="00F6308C">
            <w:pPr>
              <w:pStyle w:val="TableParagraph"/>
              <w:spacing w:before="70"/>
              <w:ind w:right="217"/>
              <w:rPr>
                <w:sz w:val="20"/>
              </w:rPr>
            </w:pPr>
            <w:r>
              <w:rPr>
                <w:w w:val="95"/>
                <w:sz w:val="20"/>
              </w:rPr>
              <w:t>502.00</w:t>
            </w:r>
          </w:p>
        </w:tc>
        <w:tc>
          <w:tcPr>
            <w:tcW w:w="1086" w:type="dxa"/>
          </w:tcPr>
          <w:p w:rsidR="007C5447" w:rsidRDefault="00F6308C">
            <w:pPr>
              <w:pStyle w:val="TableParagraph"/>
              <w:spacing w:before="70"/>
              <w:ind w:right="220"/>
              <w:rPr>
                <w:sz w:val="20"/>
              </w:rPr>
            </w:pPr>
            <w:r>
              <w:rPr>
                <w:w w:val="95"/>
                <w:sz w:val="20"/>
              </w:rPr>
              <w:t>14.06</w:t>
            </w:r>
          </w:p>
        </w:tc>
        <w:tc>
          <w:tcPr>
            <w:tcW w:w="1137" w:type="dxa"/>
          </w:tcPr>
          <w:p w:rsidR="007C5447" w:rsidRDefault="00F6308C">
            <w:pPr>
              <w:pStyle w:val="TableParagraph"/>
              <w:spacing w:before="70"/>
              <w:ind w:right="216"/>
              <w:rPr>
                <w:sz w:val="20"/>
              </w:rPr>
            </w:pPr>
            <w:r>
              <w:rPr>
                <w:w w:val="99"/>
                <w:sz w:val="20"/>
              </w:rPr>
              <w:t>-</w:t>
            </w:r>
          </w:p>
        </w:tc>
        <w:tc>
          <w:tcPr>
            <w:tcW w:w="1136" w:type="dxa"/>
          </w:tcPr>
          <w:p w:rsidR="007C5447" w:rsidRDefault="00F6308C">
            <w:pPr>
              <w:pStyle w:val="TableParagraph"/>
              <w:spacing w:before="70"/>
              <w:ind w:right="220"/>
              <w:rPr>
                <w:sz w:val="20"/>
              </w:rPr>
            </w:pPr>
            <w:r>
              <w:rPr>
                <w:w w:val="95"/>
                <w:sz w:val="20"/>
              </w:rPr>
              <w:t>109.59</w:t>
            </w: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PPN</w:t>
            </w:r>
          </w:p>
        </w:tc>
        <w:tc>
          <w:tcPr>
            <w:tcW w:w="1669" w:type="dxa"/>
          </w:tcPr>
          <w:p w:rsidR="007C5447" w:rsidRDefault="007C5447">
            <w:pPr>
              <w:pStyle w:val="TableParagraph"/>
              <w:jc w:val="left"/>
              <w:rPr>
                <w:sz w:val="20"/>
              </w:rPr>
            </w:pPr>
          </w:p>
        </w:tc>
        <w:tc>
          <w:tcPr>
            <w:tcW w:w="1395" w:type="dxa"/>
          </w:tcPr>
          <w:p w:rsidR="007C5447" w:rsidRDefault="00F6308C">
            <w:pPr>
              <w:pStyle w:val="TableParagraph"/>
              <w:spacing w:before="70"/>
              <w:ind w:right="214"/>
              <w:rPr>
                <w:sz w:val="20"/>
              </w:rPr>
            </w:pPr>
            <w:r>
              <w:rPr>
                <w:w w:val="95"/>
                <w:sz w:val="20"/>
              </w:rPr>
              <w:t>109.59</w:t>
            </w:r>
          </w:p>
        </w:tc>
        <w:tc>
          <w:tcPr>
            <w:tcW w:w="1285" w:type="dxa"/>
          </w:tcPr>
          <w:p w:rsidR="007C5447" w:rsidRDefault="007C5447">
            <w:pPr>
              <w:pStyle w:val="TableParagraph"/>
              <w:jc w:val="left"/>
              <w:rPr>
                <w:sz w:val="20"/>
              </w:rPr>
            </w:pPr>
          </w:p>
        </w:tc>
        <w:tc>
          <w:tcPr>
            <w:tcW w:w="1300" w:type="dxa"/>
          </w:tcPr>
          <w:p w:rsidR="007C5447" w:rsidRDefault="00F6308C">
            <w:pPr>
              <w:pStyle w:val="TableParagraph"/>
              <w:spacing w:before="70"/>
              <w:ind w:right="214"/>
              <w:rPr>
                <w:sz w:val="20"/>
              </w:rPr>
            </w:pPr>
            <w:r>
              <w:rPr>
                <w:w w:val="95"/>
                <w:sz w:val="20"/>
              </w:rPr>
              <w:t>1,785.00</w:t>
            </w:r>
          </w:p>
        </w:tc>
        <w:tc>
          <w:tcPr>
            <w:tcW w:w="1136" w:type="dxa"/>
          </w:tcPr>
          <w:p w:rsidR="007C5447" w:rsidRDefault="00F6308C">
            <w:pPr>
              <w:pStyle w:val="TableParagraph"/>
              <w:spacing w:before="70"/>
              <w:ind w:right="215"/>
              <w:rPr>
                <w:sz w:val="20"/>
              </w:rPr>
            </w:pPr>
            <w:r>
              <w:rPr>
                <w:w w:val="95"/>
                <w:sz w:val="20"/>
              </w:rPr>
              <w:t>1,819.00</w:t>
            </w:r>
          </w:p>
        </w:tc>
        <w:tc>
          <w:tcPr>
            <w:tcW w:w="1086" w:type="dxa"/>
          </w:tcPr>
          <w:p w:rsidR="007C5447" w:rsidRDefault="00F6308C">
            <w:pPr>
              <w:pStyle w:val="TableParagraph"/>
              <w:spacing w:before="70"/>
              <w:ind w:right="220"/>
              <w:rPr>
                <w:sz w:val="20"/>
              </w:rPr>
            </w:pPr>
            <w:r>
              <w:rPr>
                <w:w w:val="95"/>
                <w:sz w:val="20"/>
              </w:rPr>
              <w:t>10.19</w:t>
            </w:r>
          </w:p>
        </w:tc>
        <w:tc>
          <w:tcPr>
            <w:tcW w:w="1137" w:type="dxa"/>
          </w:tcPr>
          <w:p w:rsidR="007C5447" w:rsidRDefault="00F6308C">
            <w:pPr>
              <w:pStyle w:val="TableParagraph"/>
              <w:spacing w:before="70"/>
              <w:ind w:right="216"/>
              <w:rPr>
                <w:sz w:val="20"/>
              </w:rPr>
            </w:pPr>
            <w:r>
              <w:rPr>
                <w:w w:val="99"/>
                <w:sz w:val="20"/>
              </w:rPr>
              <w:t>-</w:t>
            </w:r>
          </w:p>
        </w:tc>
        <w:tc>
          <w:tcPr>
            <w:tcW w:w="1136" w:type="dxa"/>
          </w:tcPr>
          <w:p w:rsidR="007C5447" w:rsidRDefault="00F6308C">
            <w:pPr>
              <w:pStyle w:val="TableParagraph"/>
              <w:spacing w:before="70"/>
              <w:ind w:right="220"/>
              <w:rPr>
                <w:sz w:val="20"/>
              </w:rPr>
            </w:pPr>
            <w:r>
              <w:rPr>
                <w:w w:val="95"/>
                <w:sz w:val="20"/>
              </w:rPr>
              <w:t>291.51</w:t>
            </w: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STCMS - Neyveli</w:t>
            </w:r>
          </w:p>
        </w:tc>
        <w:tc>
          <w:tcPr>
            <w:tcW w:w="1669" w:type="dxa"/>
          </w:tcPr>
          <w:p w:rsidR="007C5447" w:rsidRDefault="00F6308C">
            <w:pPr>
              <w:pStyle w:val="TableParagraph"/>
              <w:spacing w:before="70"/>
              <w:ind w:right="212"/>
              <w:rPr>
                <w:sz w:val="20"/>
              </w:rPr>
            </w:pPr>
            <w:r>
              <w:rPr>
                <w:w w:val="95"/>
                <w:sz w:val="20"/>
              </w:rPr>
              <w:t>1,666.00</w:t>
            </w:r>
          </w:p>
        </w:tc>
        <w:tc>
          <w:tcPr>
            <w:tcW w:w="1395" w:type="dxa"/>
          </w:tcPr>
          <w:p w:rsidR="007C5447" w:rsidRDefault="00F6308C">
            <w:pPr>
              <w:pStyle w:val="TableParagraph"/>
              <w:spacing w:before="70"/>
              <w:ind w:right="214"/>
              <w:rPr>
                <w:sz w:val="20"/>
              </w:rPr>
            </w:pPr>
            <w:r>
              <w:rPr>
                <w:w w:val="95"/>
                <w:sz w:val="20"/>
              </w:rPr>
              <w:t>749.36</w:t>
            </w:r>
          </w:p>
        </w:tc>
        <w:tc>
          <w:tcPr>
            <w:tcW w:w="1285" w:type="dxa"/>
          </w:tcPr>
          <w:p w:rsidR="007C5447" w:rsidRDefault="00F6308C">
            <w:pPr>
              <w:pStyle w:val="TableParagraph"/>
              <w:spacing w:before="70"/>
              <w:ind w:right="215"/>
              <w:rPr>
                <w:sz w:val="20"/>
              </w:rPr>
            </w:pPr>
            <w:r>
              <w:rPr>
                <w:sz w:val="20"/>
              </w:rPr>
              <w:t>4.50</w:t>
            </w:r>
          </w:p>
        </w:tc>
        <w:tc>
          <w:tcPr>
            <w:tcW w:w="1300" w:type="dxa"/>
          </w:tcPr>
          <w:p w:rsidR="007C5447" w:rsidRDefault="00F6308C">
            <w:pPr>
              <w:pStyle w:val="TableParagraph"/>
              <w:spacing w:before="70"/>
              <w:ind w:right="214"/>
              <w:rPr>
                <w:sz w:val="20"/>
              </w:rPr>
            </w:pPr>
            <w:r>
              <w:rPr>
                <w:w w:val="95"/>
                <w:sz w:val="20"/>
              </w:rPr>
              <w:t>1,666.00</w:t>
            </w:r>
          </w:p>
        </w:tc>
        <w:tc>
          <w:tcPr>
            <w:tcW w:w="1136" w:type="dxa"/>
          </w:tcPr>
          <w:p w:rsidR="007C5447" w:rsidRDefault="00F6308C">
            <w:pPr>
              <w:pStyle w:val="TableParagraph"/>
              <w:spacing w:before="70"/>
              <w:ind w:right="217"/>
              <w:rPr>
                <w:sz w:val="20"/>
              </w:rPr>
            </w:pPr>
            <w:r>
              <w:rPr>
                <w:w w:val="95"/>
                <w:sz w:val="20"/>
              </w:rPr>
              <w:t>749.36</w:t>
            </w:r>
          </w:p>
        </w:tc>
        <w:tc>
          <w:tcPr>
            <w:tcW w:w="1086" w:type="dxa"/>
          </w:tcPr>
          <w:p w:rsidR="007C5447" w:rsidRDefault="00F6308C">
            <w:pPr>
              <w:pStyle w:val="TableParagraph"/>
              <w:spacing w:before="70"/>
              <w:ind w:right="220"/>
              <w:rPr>
                <w:sz w:val="20"/>
              </w:rPr>
            </w:pPr>
            <w:r>
              <w:rPr>
                <w:sz w:val="20"/>
              </w:rPr>
              <w:t>4.50</w:t>
            </w:r>
          </w:p>
        </w:tc>
        <w:tc>
          <w:tcPr>
            <w:tcW w:w="1137" w:type="dxa"/>
          </w:tcPr>
          <w:p w:rsidR="007C5447" w:rsidRDefault="00F6308C">
            <w:pPr>
              <w:pStyle w:val="TableParagraph"/>
              <w:spacing w:before="70"/>
              <w:ind w:right="216"/>
              <w:rPr>
                <w:sz w:val="20"/>
              </w:rPr>
            </w:pPr>
            <w:r>
              <w:rPr>
                <w:sz w:val="20"/>
              </w:rPr>
              <w:t>1,514.19</w:t>
            </w:r>
          </w:p>
        </w:tc>
        <w:tc>
          <w:tcPr>
            <w:tcW w:w="1136" w:type="dxa"/>
          </w:tcPr>
          <w:p w:rsidR="007C5447" w:rsidRDefault="00F6308C">
            <w:pPr>
              <w:pStyle w:val="TableParagraph"/>
              <w:spacing w:before="70"/>
              <w:ind w:right="220"/>
              <w:rPr>
                <w:sz w:val="20"/>
              </w:rPr>
            </w:pPr>
            <w:r>
              <w:rPr>
                <w:w w:val="95"/>
                <w:sz w:val="20"/>
              </w:rPr>
              <w:t>714.22</w:t>
            </w:r>
          </w:p>
        </w:tc>
        <w:tc>
          <w:tcPr>
            <w:tcW w:w="1052" w:type="dxa"/>
          </w:tcPr>
          <w:p w:rsidR="007C5447" w:rsidRDefault="00F6308C">
            <w:pPr>
              <w:pStyle w:val="TableParagraph"/>
              <w:spacing w:before="70"/>
              <w:ind w:right="223"/>
              <w:rPr>
                <w:sz w:val="20"/>
              </w:rPr>
            </w:pPr>
            <w:r>
              <w:rPr>
                <w:sz w:val="20"/>
              </w:rPr>
              <w:t>4.72</w:t>
            </w:r>
          </w:p>
        </w:tc>
      </w:tr>
      <w:tr w:rsidR="007C5447">
        <w:trPr>
          <w:trHeight w:val="371"/>
        </w:trPr>
        <w:tc>
          <w:tcPr>
            <w:tcW w:w="3022" w:type="dxa"/>
            <w:tcBorders>
              <w:left w:val="single" w:sz="8" w:space="0" w:color="000000"/>
            </w:tcBorders>
          </w:tcPr>
          <w:p w:rsidR="007C5447" w:rsidRDefault="00F6308C">
            <w:pPr>
              <w:pStyle w:val="TableParagraph"/>
              <w:spacing w:before="70"/>
              <w:ind w:left="107"/>
              <w:jc w:val="left"/>
              <w:rPr>
                <w:sz w:val="20"/>
              </w:rPr>
            </w:pPr>
            <w:r>
              <w:rPr>
                <w:sz w:val="20"/>
              </w:rPr>
              <w:t>LANCO Power (Aban co)</w:t>
            </w:r>
          </w:p>
        </w:tc>
        <w:tc>
          <w:tcPr>
            <w:tcW w:w="1669" w:type="dxa"/>
          </w:tcPr>
          <w:p w:rsidR="007C5447" w:rsidRDefault="00F6308C">
            <w:pPr>
              <w:pStyle w:val="TableParagraph"/>
              <w:spacing w:before="70"/>
              <w:ind w:right="214"/>
              <w:rPr>
                <w:sz w:val="20"/>
              </w:rPr>
            </w:pPr>
            <w:r>
              <w:rPr>
                <w:w w:val="95"/>
                <w:sz w:val="20"/>
              </w:rPr>
              <w:t>850.00</w:t>
            </w:r>
          </w:p>
        </w:tc>
        <w:tc>
          <w:tcPr>
            <w:tcW w:w="1395" w:type="dxa"/>
          </w:tcPr>
          <w:p w:rsidR="007C5447" w:rsidRDefault="00F6308C">
            <w:pPr>
              <w:pStyle w:val="TableParagraph"/>
              <w:spacing w:before="70"/>
              <w:ind w:right="214"/>
              <w:rPr>
                <w:sz w:val="20"/>
              </w:rPr>
            </w:pPr>
            <w:r>
              <w:rPr>
                <w:w w:val="95"/>
                <w:sz w:val="20"/>
              </w:rPr>
              <w:t>287.45</w:t>
            </w:r>
          </w:p>
        </w:tc>
        <w:tc>
          <w:tcPr>
            <w:tcW w:w="1285" w:type="dxa"/>
          </w:tcPr>
          <w:p w:rsidR="007C5447" w:rsidRDefault="00F6308C">
            <w:pPr>
              <w:pStyle w:val="TableParagraph"/>
              <w:spacing w:before="70"/>
              <w:ind w:right="215"/>
              <w:rPr>
                <w:sz w:val="20"/>
              </w:rPr>
            </w:pPr>
            <w:r>
              <w:rPr>
                <w:sz w:val="20"/>
              </w:rPr>
              <w:t>3.38</w:t>
            </w:r>
          </w:p>
        </w:tc>
        <w:tc>
          <w:tcPr>
            <w:tcW w:w="1300" w:type="dxa"/>
          </w:tcPr>
          <w:p w:rsidR="007C5447" w:rsidRDefault="00F6308C">
            <w:pPr>
              <w:pStyle w:val="TableParagraph"/>
              <w:spacing w:before="70"/>
              <w:ind w:right="216"/>
              <w:rPr>
                <w:sz w:val="20"/>
              </w:rPr>
            </w:pPr>
            <w:r>
              <w:rPr>
                <w:w w:val="95"/>
                <w:sz w:val="20"/>
              </w:rPr>
              <w:t>850.00</w:t>
            </w:r>
          </w:p>
        </w:tc>
        <w:tc>
          <w:tcPr>
            <w:tcW w:w="1136" w:type="dxa"/>
          </w:tcPr>
          <w:p w:rsidR="007C5447" w:rsidRDefault="00F6308C">
            <w:pPr>
              <w:pStyle w:val="TableParagraph"/>
              <w:spacing w:before="70"/>
              <w:ind w:right="217"/>
              <w:rPr>
                <w:sz w:val="20"/>
              </w:rPr>
            </w:pPr>
            <w:r>
              <w:rPr>
                <w:w w:val="95"/>
                <w:sz w:val="20"/>
              </w:rPr>
              <w:t>287.45</w:t>
            </w:r>
          </w:p>
        </w:tc>
        <w:tc>
          <w:tcPr>
            <w:tcW w:w="1086" w:type="dxa"/>
          </w:tcPr>
          <w:p w:rsidR="007C5447" w:rsidRDefault="00F6308C">
            <w:pPr>
              <w:pStyle w:val="TableParagraph"/>
              <w:spacing w:before="70"/>
              <w:ind w:right="220"/>
              <w:rPr>
                <w:sz w:val="20"/>
              </w:rPr>
            </w:pPr>
            <w:r>
              <w:rPr>
                <w:sz w:val="20"/>
              </w:rPr>
              <w:t>3.38</w:t>
            </w:r>
          </w:p>
        </w:tc>
        <w:tc>
          <w:tcPr>
            <w:tcW w:w="1137" w:type="dxa"/>
          </w:tcPr>
          <w:p w:rsidR="007C5447" w:rsidRDefault="00F6308C">
            <w:pPr>
              <w:pStyle w:val="TableParagraph"/>
              <w:spacing w:before="70"/>
              <w:ind w:right="219"/>
              <w:rPr>
                <w:sz w:val="20"/>
              </w:rPr>
            </w:pPr>
            <w:r>
              <w:rPr>
                <w:w w:val="95"/>
                <w:sz w:val="20"/>
              </w:rPr>
              <w:t>850.00</w:t>
            </w:r>
          </w:p>
        </w:tc>
        <w:tc>
          <w:tcPr>
            <w:tcW w:w="1136" w:type="dxa"/>
          </w:tcPr>
          <w:p w:rsidR="007C5447" w:rsidRDefault="00F6308C">
            <w:pPr>
              <w:pStyle w:val="TableParagraph"/>
              <w:spacing w:before="70"/>
              <w:ind w:right="220"/>
              <w:rPr>
                <w:sz w:val="20"/>
              </w:rPr>
            </w:pPr>
            <w:r>
              <w:rPr>
                <w:w w:val="95"/>
                <w:sz w:val="20"/>
              </w:rPr>
              <w:t>287.45</w:t>
            </w:r>
          </w:p>
        </w:tc>
        <w:tc>
          <w:tcPr>
            <w:tcW w:w="1052" w:type="dxa"/>
          </w:tcPr>
          <w:p w:rsidR="007C5447" w:rsidRDefault="00F6308C">
            <w:pPr>
              <w:pStyle w:val="TableParagraph"/>
              <w:spacing w:before="70"/>
              <w:ind w:right="223"/>
              <w:rPr>
                <w:sz w:val="20"/>
              </w:rPr>
            </w:pPr>
            <w:r>
              <w:rPr>
                <w:sz w:val="20"/>
              </w:rPr>
              <w:t>3.38</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Penna</w:t>
            </w:r>
          </w:p>
        </w:tc>
        <w:tc>
          <w:tcPr>
            <w:tcW w:w="1669" w:type="dxa"/>
          </w:tcPr>
          <w:p w:rsidR="007C5447" w:rsidRDefault="00F6308C">
            <w:pPr>
              <w:pStyle w:val="TableParagraph"/>
              <w:spacing w:before="70"/>
              <w:ind w:right="214"/>
              <w:rPr>
                <w:sz w:val="20"/>
              </w:rPr>
            </w:pPr>
            <w:r>
              <w:rPr>
                <w:w w:val="95"/>
                <w:sz w:val="20"/>
              </w:rPr>
              <w:t>375.00</w:t>
            </w:r>
          </w:p>
        </w:tc>
        <w:tc>
          <w:tcPr>
            <w:tcW w:w="1395" w:type="dxa"/>
          </w:tcPr>
          <w:p w:rsidR="007C5447" w:rsidRDefault="00F6308C">
            <w:pPr>
              <w:pStyle w:val="TableParagraph"/>
              <w:spacing w:before="70"/>
              <w:ind w:right="214"/>
              <w:rPr>
                <w:sz w:val="20"/>
              </w:rPr>
            </w:pPr>
            <w:r>
              <w:rPr>
                <w:w w:val="95"/>
                <w:sz w:val="20"/>
              </w:rPr>
              <w:t>134.49</w:t>
            </w:r>
          </w:p>
        </w:tc>
        <w:tc>
          <w:tcPr>
            <w:tcW w:w="1285" w:type="dxa"/>
          </w:tcPr>
          <w:p w:rsidR="007C5447" w:rsidRDefault="00F6308C">
            <w:pPr>
              <w:pStyle w:val="TableParagraph"/>
              <w:spacing w:before="70"/>
              <w:ind w:right="215"/>
              <w:rPr>
                <w:sz w:val="20"/>
              </w:rPr>
            </w:pPr>
            <w:r>
              <w:rPr>
                <w:sz w:val="20"/>
              </w:rPr>
              <w:t>3.59</w:t>
            </w:r>
          </w:p>
        </w:tc>
        <w:tc>
          <w:tcPr>
            <w:tcW w:w="1300" w:type="dxa"/>
          </w:tcPr>
          <w:p w:rsidR="007C5447" w:rsidRDefault="00F6308C">
            <w:pPr>
              <w:pStyle w:val="TableParagraph"/>
              <w:spacing w:before="70"/>
              <w:ind w:right="216"/>
              <w:rPr>
                <w:sz w:val="20"/>
              </w:rPr>
            </w:pPr>
            <w:r>
              <w:rPr>
                <w:w w:val="95"/>
                <w:sz w:val="20"/>
              </w:rPr>
              <w:t>375.00</w:t>
            </w:r>
          </w:p>
        </w:tc>
        <w:tc>
          <w:tcPr>
            <w:tcW w:w="1136" w:type="dxa"/>
          </w:tcPr>
          <w:p w:rsidR="007C5447" w:rsidRDefault="00F6308C">
            <w:pPr>
              <w:pStyle w:val="TableParagraph"/>
              <w:spacing w:before="70"/>
              <w:ind w:right="217"/>
              <w:rPr>
                <w:sz w:val="20"/>
              </w:rPr>
            </w:pPr>
            <w:r>
              <w:rPr>
                <w:w w:val="95"/>
                <w:sz w:val="20"/>
              </w:rPr>
              <w:t>134.49</w:t>
            </w:r>
          </w:p>
        </w:tc>
        <w:tc>
          <w:tcPr>
            <w:tcW w:w="1086" w:type="dxa"/>
          </w:tcPr>
          <w:p w:rsidR="007C5447" w:rsidRDefault="00F6308C">
            <w:pPr>
              <w:pStyle w:val="TableParagraph"/>
              <w:spacing w:before="70"/>
              <w:ind w:right="220"/>
              <w:rPr>
                <w:sz w:val="20"/>
              </w:rPr>
            </w:pPr>
            <w:r>
              <w:rPr>
                <w:sz w:val="20"/>
              </w:rPr>
              <w:t>3.59</w:t>
            </w:r>
          </w:p>
        </w:tc>
        <w:tc>
          <w:tcPr>
            <w:tcW w:w="1137" w:type="dxa"/>
          </w:tcPr>
          <w:p w:rsidR="007C5447" w:rsidRDefault="00F6308C">
            <w:pPr>
              <w:pStyle w:val="TableParagraph"/>
              <w:spacing w:before="70"/>
              <w:ind w:right="219"/>
              <w:rPr>
                <w:sz w:val="20"/>
              </w:rPr>
            </w:pPr>
            <w:r>
              <w:rPr>
                <w:w w:val="95"/>
                <w:sz w:val="20"/>
              </w:rPr>
              <w:t>375.00</w:t>
            </w:r>
          </w:p>
        </w:tc>
        <w:tc>
          <w:tcPr>
            <w:tcW w:w="1136" w:type="dxa"/>
          </w:tcPr>
          <w:p w:rsidR="007C5447" w:rsidRDefault="00F6308C">
            <w:pPr>
              <w:pStyle w:val="TableParagraph"/>
              <w:spacing w:before="70"/>
              <w:ind w:right="220"/>
              <w:rPr>
                <w:sz w:val="20"/>
              </w:rPr>
            </w:pPr>
            <w:r>
              <w:rPr>
                <w:w w:val="95"/>
                <w:sz w:val="20"/>
              </w:rPr>
              <w:t>134.49</w:t>
            </w:r>
          </w:p>
        </w:tc>
        <w:tc>
          <w:tcPr>
            <w:tcW w:w="1052" w:type="dxa"/>
          </w:tcPr>
          <w:p w:rsidR="007C5447" w:rsidRDefault="00F6308C">
            <w:pPr>
              <w:pStyle w:val="TableParagraph"/>
              <w:spacing w:before="70"/>
              <w:ind w:right="223"/>
              <w:rPr>
                <w:sz w:val="20"/>
              </w:rPr>
            </w:pPr>
            <w:r>
              <w:rPr>
                <w:sz w:val="20"/>
              </w:rPr>
              <w:t>3.59</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b/>
                <w:sz w:val="20"/>
              </w:rPr>
            </w:pPr>
            <w:r>
              <w:rPr>
                <w:b/>
                <w:sz w:val="20"/>
              </w:rPr>
              <w:t>Total IPP</w:t>
            </w:r>
          </w:p>
        </w:tc>
        <w:tc>
          <w:tcPr>
            <w:tcW w:w="1669" w:type="dxa"/>
          </w:tcPr>
          <w:p w:rsidR="007C5447" w:rsidRDefault="00F6308C">
            <w:pPr>
              <w:pStyle w:val="TableParagraph"/>
              <w:spacing w:before="70"/>
              <w:ind w:right="212"/>
              <w:rPr>
                <w:b/>
                <w:sz w:val="20"/>
              </w:rPr>
            </w:pPr>
            <w:r>
              <w:rPr>
                <w:b/>
                <w:w w:val="95"/>
                <w:sz w:val="20"/>
              </w:rPr>
              <w:t>2,891.00</w:t>
            </w:r>
          </w:p>
        </w:tc>
        <w:tc>
          <w:tcPr>
            <w:tcW w:w="1395" w:type="dxa"/>
          </w:tcPr>
          <w:p w:rsidR="007C5447" w:rsidRDefault="00F6308C">
            <w:pPr>
              <w:pStyle w:val="TableParagraph"/>
              <w:spacing w:before="70"/>
              <w:ind w:right="212"/>
              <w:rPr>
                <w:b/>
                <w:sz w:val="20"/>
              </w:rPr>
            </w:pPr>
            <w:r>
              <w:rPr>
                <w:b/>
                <w:w w:val="95"/>
                <w:sz w:val="20"/>
              </w:rPr>
              <w:t>1,848.49</w:t>
            </w:r>
          </w:p>
        </w:tc>
        <w:tc>
          <w:tcPr>
            <w:tcW w:w="1285" w:type="dxa"/>
          </w:tcPr>
          <w:p w:rsidR="007C5447" w:rsidRDefault="00F6308C">
            <w:pPr>
              <w:pStyle w:val="TableParagraph"/>
              <w:spacing w:before="70"/>
              <w:ind w:right="215"/>
              <w:rPr>
                <w:b/>
                <w:sz w:val="20"/>
              </w:rPr>
            </w:pPr>
            <w:r>
              <w:rPr>
                <w:b/>
                <w:sz w:val="20"/>
              </w:rPr>
              <w:t>6.39</w:t>
            </w:r>
          </w:p>
        </w:tc>
        <w:tc>
          <w:tcPr>
            <w:tcW w:w="1300" w:type="dxa"/>
          </w:tcPr>
          <w:p w:rsidR="007C5447" w:rsidRDefault="00F6308C">
            <w:pPr>
              <w:pStyle w:val="TableParagraph"/>
              <w:spacing w:before="70"/>
              <w:ind w:right="214"/>
              <w:rPr>
                <w:b/>
                <w:sz w:val="20"/>
              </w:rPr>
            </w:pPr>
            <w:r>
              <w:rPr>
                <w:b/>
                <w:w w:val="95"/>
                <w:sz w:val="20"/>
              </w:rPr>
              <w:t>5,972.00</w:t>
            </w:r>
          </w:p>
        </w:tc>
        <w:tc>
          <w:tcPr>
            <w:tcW w:w="1136" w:type="dxa"/>
          </w:tcPr>
          <w:p w:rsidR="007C5447" w:rsidRDefault="00F6308C">
            <w:pPr>
              <w:pStyle w:val="TableParagraph"/>
              <w:spacing w:before="70"/>
              <w:ind w:right="214"/>
              <w:rPr>
                <w:b/>
                <w:sz w:val="20"/>
              </w:rPr>
            </w:pPr>
            <w:r>
              <w:rPr>
                <w:b/>
                <w:sz w:val="20"/>
              </w:rPr>
              <w:t>4,737.97</w:t>
            </w:r>
          </w:p>
        </w:tc>
        <w:tc>
          <w:tcPr>
            <w:tcW w:w="1086" w:type="dxa"/>
          </w:tcPr>
          <w:p w:rsidR="007C5447" w:rsidRDefault="00F6308C">
            <w:pPr>
              <w:pStyle w:val="TableParagraph"/>
              <w:spacing w:before="70"/>
              <w:ind w:right="220"/>
              <w:rPr>
                <w:b/>
                <w:sz w:val="20"/>
              </w:rPr>
            </w:pPr>
            <w:r>
              <w:rPr>
                <w:b/>
                <w:sz w:val="20"/>
              </w:rPr>
              <w:t>7.93</w:t>
            </w:r>
          </w:p>
        </w:tc>
        <w:tc>
          <w:tcPr>
            <w:tcW w:w="1137" w:type="dxa"/>
          </w:tcPr>
          <w:p w:rsidR="007C5447" w:rsidRDefault="00F6308C">
            <w:pPr>
              <w:pStyle w:val="TableParagraph"/>
              <w:spacing w:before="70"/>
              <w:ind w:right="218"/>
              <w:rPr>
                <w:b/>
                <w:sz w:val="20"/>
              </w:rPr>
            </w:pPr>
            <w:r>
              <w:rPr>
                <w:b/>
                <w:w w:val="95"/>
                <w:sz w:val="20"/>
              </w:rPr>
              <w:t>2,739.19</w:t>
            </w:r>
          </w:p>
        </w:tc>
        <w:tc>
          <w:tcPr>
            <w:tcW w:w="1136" w:type="dxa"/>
          </w:tcPr>
          <w:p w:rsidR="007C5447" w:rsidRDefault="00F6308C">
            <w:pPr>
              <w:pStyle w:val="TableParagraph"/>
              <w:spacing w:before="70"/>
              <w:ind w:right="218"/>
              <w:rPr>
                <w:b/>
                <w:sz w:val="20"/>
              </w:rPr>
            </w:pPr>
            <w:r>
              <w:rPr>
                <w:b/>
                <w:w w:val="95"/>
                <w:sz w:val="20"/>
              </w:rPr>
              <w:t>1,813.34</w:t>
            </w:r>
          </w:p>
        </w:tc>
        <w:tc>
          <w:tcPr>
            <w:tcW w:w="1052" w:type="dxa"/>
          </w:tcPr>
          <w:p w:rsidR="007C5447" w:rsidRDefault="00F6308C">
            <w:pPr>
              <w:pStyle w:val="TableParagraph"/>
              <w:spacing w:before="70"/>
              <w:ind w:right="223"/>
              <w:rPr>
                <w:b/>
                <w:sz w:val="20"/>
              </w:rPr>
            </w:pPr>
            <w:r>
              <w:rPr>
                <w:b/>
                <w:sz w:val="20"/>
              </w:rPr>
              <w:t>6.62</w:t>
            </w:r>
          </w:p>
        </w:tc>
      </w:tr>
      <w:tr w:rsidR="007C5447">
        <w:trPr>
          <w:trHeight w:val="371"/>
        </w:trPr>
        <w:tc>
          <w:tcPr>
            <w:tcW w:w="3022" w:type="dxa"/>
            <w:tcBorders>
              <w:left w:val="single" w:sz="8" w:space="0" w:color="000000"/>
            </w:tcBorders>
          </w:tcPr>
          <w:p w:rsidR="007C5447" w:rsidRDefault="007C5447">
            <w:pPr>
              <w:pStyle w:val="TableParagraph"/>
              <w:jc w:val="left"/>
              <w:rPr>
                <w:sz w:val="20"/>
              </w:rPr>
            </w:pPr>
          </w:p>
        </w:tc>
        <w:tc>
          <w:tcPr>
            <w:tcW w:w="1669" w:type="dxa"/>
          </w:tcPr>
          <w:p w:rsidR="007C5447" w:rsidRDefault="007C5447">
            <w:pPr>
              <w:pStyle w:val="TableParagraph"/>
              <w:jc w:val="left"/>
              <w:rPr>
                <w:sz w:val="20"/>
              </w:rPr>
            </w:pPr>
          </w:p>
        </w:tc>
        <w:tc>
          <w:tcPr>
            <w:tcW w:w="1395" w:type="dxa"/>
          </w:tcPr>
          <w:p w:rsidR="007C5447" w:rsidRDefault="007C5447">
            <w:pPr>
              <w:pStyle w:val="TableParagraph"/>
              <w:jc w:val="left"/>
              <w:rPr>
                <w:sz w:val="20"/>
              </w:rPr>
            </w:pP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b/>
                <w:sz w:val="20"/>
              </w:rPr>
            </w:pPr>
            <w:r>
              <w:rPr>
                <w:b/>
                <w:sz w:val="20"/>
              </w:rPr>
              <w:t>Renewables</w:t>
            </w:r>
          </w:p>
        </w:tc>
        <w:tc>
          <w:tcPr>
            <w:tcW w:w="1669" w:type="dxa"/>
          </w:tcPr>
          <w:p w:rsidR="007C5447" w:rsidRDefault="007C5447">
            <w:pPr>
              <w:pStyle w:val="TableParagraph"/>
              <w:jc w:val="left"/>
              <w:rPr>
                <w:sz w:val="20"/>
              </w:rPr>
            </w:pPr>
          </w:p>
        </w:tc>
        <w:tc>
          <w:tcPr>
            <w:tcW w:w="1395" w:type="dxa"/>
          </w:tcPr>
          <w:p w:rsidR="007C5447" w:rsidRDefault="007C5447">
            <w:pPr>
              <w:pStyle w:val="TableParagraph"/>
              <w:jc w:val="left"/>
              <w:rPr>
                <w:sz w:val="20"/>
              </w:rPr>
            </w:pP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Wind</w:t>
            </w:r>
          </w:p>
        </w:tc>
        <w:tc>
          <w:tcPr>
            <w:tcW w:w="1669" w:type="dxa"/>
          </w:tcPr>
          <w:p w:rsidR="007C5447" w:rsidRDefault="00F6308C">
            <w:pPr>
              <w:pStyle w:val="TableParagraph"/>
              <w:spacing w:before="70"/>
              <w:ind w:right="212"/>
              <w:rPr>
                <w:sz w:val="20"/>
              </w:rPr>
            </w:pPr>
            <w:r>
              <w:rPr>
                <w:w w:val="95"/>
                <w:sz w:val="20"/>
              </w:rPr>
              <w:t>7,474.00</w:t>
            </w:r>
          </w:p>
        </w:tc>
        <w:tc>
          <w:tcPr>
            <w:tcW w:w="1395" w:type="dxa"/>
          </w:tcPr>
          <w:p w:rsidR="007C5447" w:rsidRDefault="00F6308C">
            <w:pPr>
              <w:pStyle w:val="TableParagraph"/>
              <w:spacing w:before="70"/>
              <w:ind w:right="212"/>
              <w:rPr>
                <w:sz w:val="20"/>
              </w:rPr>
            </w:pPr>
            <w:r>
              <w:rPr>
                <w:w w:val="95"/>
                <w:sz w:val="20"/>
              </w:rPr>
              <w:t>2,548.63</w:t>
            </w:r>
          </w:p>
        </w:tc>
        <w:tc>
          <w:tcPr>
            <w:tcW w:w="1285" w:type="dxa"/>
          </w:tcPr>
          <w:p w:rsidR="007C5447" w:rsidRDefault="00F6308C">
            <w:pPr>
              <w:pStyle w:val="TableParagraph"/>
              <w:spacing w:before="70"/>
              <w:ind w:right="215"/>
              <w:rPr>
                <w:sz w:val="20"/>
              </w:rPr>
            </w:pPr>
            <w:r>
              <w:rPr>
                <w:sz w:val="20"/>
              </w:rPr>
              <w:t>3.41</w:t>
            </w:r>
          </w:p>
        </w:tc>
        <w:tc>
          <w:tcPr>
            <w:tcW w:w="1300" w:type="dxa"/>
          </w:tcPr>
          <w:p w:rsidR="007C5447" w:rsidRDefault="00F6308C">
            <w:pPr>
              <w:pStyle w:val="TableParagraph"/>
              <w:spacing w:before="70"/>
              <w:ind w:right="217"/>
              <w:rPr>
                <w:sz w:val="20"/>
              </w:rPr>
            </w:pPr>
            <w:r>
              <w:rPr>
                <w:w w:val="95"/>
                <w:sz w:val="20"/>
              </w:rPr>
              <w:t>7,474.00</w:t>
            </w:r>
          </w:p>
        </w:tc>
        <w:tc>
          <w:tcPr>
            <w:tcW w:w="1136" w:type="dxa"/>
          </w:tcPr>
          <w:p w:rsidR="007C5447" w:rsidRDefault="00F6308C">
            <w:pPr>
              <w:pStyle w:val="TableParagraph"/>
              <w:spacing w:before="70"/>
              <w:ind w:right="215"/>
              <w:rPr>
                <w:sz w:val="20"/>
              </w:rPr>
            </w:pPr>
            <w:r>
              <w:rPr>
                <w:w w:val="95"/>
                <w:sz w:val="20"/>
              </w:rPr>
              <w:t>2,549.00</w:t>
            </w:r>
          </w:p>
        </w:tc>
        <w:tc>
          <w:tcPr>
            <w:tcW w:w="1086" w:type="dxa"/>
          </w:tcPr>
          <w:p w:rsidR="007C5447" w:rsidRDefault="00F6308C">
            <w:pPr>
              <w:pStyle w:val="TableParagraph"/>
              <w:spacing w:before="70"/>
              <w:ind w:right="220"/>
              <w:rPr>
                <w:sz w:val="20"/>
              </w:rPr>
            </w:pPr>
            <w:r>
              <w:rPr>
                <w:sz w:val="20"/>
              </w:rPr>
              <w:t>3.41</w:t>
            </w:r>
          </w:p>
        </w:tc>
        <w:tc>
          <w:tcPr>
            <w:tcW w:w="1137" w:type="dxa"/>
          </w:tcPr>
          <w:p w:rsidR="007C5447" w:rsidRDefault="00F6308C">
            <w:pPr>
              <w:pStyle w:val="TableParagraph"/>
              <w:spacing w:before="70"/>
              <w:ind w:right="218"/>
              <w:rPr>
                <w:sz w:val="20"/>
              </w:rPr>
            </w:pPr>
            <w:r>
              <w:rPr>
                <w:w w:val="95"/>
                <w:sz w:val="20"/>
              </w:rPr>
              <w:t>7,474.00</w:t>
            </w:r>
          </w:p>
        </w:tc>
        <w:tc>
          <w:tcPr>
            <w:tcW w:w="1136" w:type="dxa"/>
          </w:tcPr>
          <w:p w:rsidR="007C5447" w:rsidRDefault="00F6308C">
            <w:pPr>
              <w:pStyle w:val="TableParagraph"/>
              <w:spacing w:before="70"/>
              <w:ind w:right="218"/>
              <w:rPr>
                <w:sz w:val="20"/>
              </w:rPr>
            </w:pPr>
            <w:r>
              <w:rPr>
                <w:w w:val="95"/>
                <w:sz w:val="20"/>
              </w:rPr>
              <w:t>2,549.00</w:t>
            </w:r>
          </w:p>
        </w:tc>
        <w:tc>
          <w:tcPr>
            <w:tcW w:w="1052" w:type="dxa"/>
          </w:tcPr>
          <w:p w:rsidR="007C5447" w:rsidRDefault="00F6308C">
            <w:pPr>
              <w:pStyle w:val="TableParagraph"/>
              <w:spacing w:before="70"/>
              <w:ind w:right="223"/>
              <w:rPr>
                <w:sz w:val="20"/>
              </w:rPr>
            </w:pPr>
            <w:r>
              <w:rPr>
                <w:sz w:val="20"/>
              </w:rPr>
              <w:t>3.41</w:t>
            </w:r>
          </w:p>
        </w:tc>
      </w:tr>
      <w:tr w:rsidR="007C5447">
        <w:trPr>
          <w:trHeight w:val="372"/>
        </w:trPr>
        <w:tc>
          <w:tcPr>
            <w:tcW w:w="3022" w:type="dxa"/>
            <w:tcBorders>
              <w:left w:val="single" w:sz="8" w:space="0" w:color="000000"/>
            </w:tcBorders>
          </w:tcPr>
          <w:p w:rsidR="007C5447" w:rsidRDefault="00F6308C">
            <w:pPr>
              <w:pStyle w:val="TableParagraph"/>
              <w:spacing w:before="70"/>
              <w:ind w:left="107"/>
              <w:jc w:val="left"/>
              <w:rPr>
                <w:sz w:val="20"/>
              </w:rPr>
            </w:pPr>
            <w:r>
              <w:rPr>
                <w:sz w:val="20"/>
              </w:rPr>
              <w:t>Biomass</w:t>
            </w:r>
          </w:p>
        </w:tc>
        <w:tc>
          <w:tcPr>
            <w:tcW w:w="1669" w:type="dxa"/>
          </w:tcPr>
          <w:p w:rsidR="007C5447" w:rsidRDefault="00F6308C">
            <w:pPr>
              <w:pStyle w:val="TableParagraph"/>
              <w:spacing w:before="70"/>
              <w:ind w:right="214"/>
              <w:rPr>
                <w:sz w:val="20"/>
              </w:rPr>
            </w:pPr>
            <w:r>
              <w:rPr>
                <w:w w:val="95"/>
                <w:sz w:val="20"/>
              </w:rPr>
              <w:t>11.00</w:t>
            </w:r>
          </w:p>
        </w:tc>
        <w:tc>
          <w:tcPr>
            <w:tcW w:w="1395" w:type="dxa"/>
          </w:tcPr>
          <w:p w:rsidR="007C5447" w:rsidRDefault="00F6308C">
            <w:pPr>
              <w:pStyle w:val="TableParagraph"/>
              <w:spacing w:before="70"/>
              <w:ind w:right="214"/>
              <w:rPr>
                <w:sz w:val="20"/>
              </w:rPr>
            </w:pPr>
            <w:r>
              <w:rPr>
                <w:sz w:val="20"/>
              </w:rPr>
              <w:t>4.68</w:t>
            </w:r>
          </w:p>
        </w:tc>
        <w:tc>
          <w:tcPr>
            <w:tcW w:w="1285" w:type="dxa"/>
          </w:tcPr>
          <w:p w:rsidR="007C5447" w:rsidRDefault="00F6308C">
            <w:pPr>
              <w:pStyle w:val="TableParagraph"/>
              <w:spacing w:before="70"/>
              <w:ind w:right="215"/>
              <w:rPr>
                <w:sz w:val="20"/>
              </w:rPr>
            </w:pPr>
            <w:r>
              <w:rPr>
                <w:sz w:val="20"/>
              </w:rPr>
              <w:t>4.25</w:t>
            </w:r>
          </w:p>
        </w:tc>
        <w:tc>
          <w:tcPr>
            <w:tcW w:w="1300" w:type="dxa"/>
          </w:tcPr>
          <w:p w:rsidR="007C5447" w:rsidRDefault="00F6308C">
            <w:pPr>
              <w:pStyle w:val="TableParagraph"/>
              <w:spacing w:before="70"/>
              <w:ind w:right="216"/>
              <w:rPr>
                <w:sz w:val="20"/>
              </w:rPr>
            </w:pPr>
            <w:r>
              <w:rPr>
                <w:w w:val="95"/>
                <w:sz w:val="20"/>
              </w:rPr>
              <w:t>11.00</w:t>
            </w:r>
          </w:p>
        </w:tc>
        <w:tc>
          <w:tcPr>
            <w:tcW w:w="1136" w:type="dxa"/>
          </w:tcPr>
          <w:p w:rsidR="007C5447" w:rsidRDefault="00F6308C">
            <w:pPr>
              <w:pStyle w:val="TableParagraph"/>
              <w:spacing w:before="70"/>
              <w:ind w:right="217"/>
              <w:rPr>
                <w:sz w:val="20"/>
              </w:rPr>
            </w:pPr>
            <w:r>
              <w:rPr>
                <w:sz w:val="20"/>
              </w:rPr>
              <w:t>5.00</w:t>
            </w:r>
          </w:p>
        </w:tc>
        <w:tc>
          <w:tcPr>
            <w:tcW w:w="1086" w:type="dxa"/>
          </w:tcPr>
          <w:p w:rsidR="007C5447" w:rsidRDefault="00F6308C">
            <w:pPr>
              <w:pStyle w:val="TableParagraph"/>
              <w:spacing w:before="70"/>
              <w:ind w:right="220"/>
              <w:rPr>
                <w:sz w:val="20"/>
              </w:rPr>
            </w:pPr>
            <w:r>
              <w:rPr>
                <w:sz w:val="20"/>
              </w:rPr>
              <w:t>4.55</w:t>
            </w:r>
          </w:p>
        </w:tc>
        <w:tc>
          <w:tcPr>
            <w:tcW w:w="1137" w:type="dxa"/>
          </w:tcPr>
          <w:p w:rsidR="007C5447" w:rsidRDefault="00F6308C">
            <w:pPr>
              <w:pStyle w:val="TableParagraph"/>
              <w:spacing w:before="70"/>
              <w:ind w:right="219"/>
              <w:rPr>
                <w:sz w:val="20"/>
              </w:rPr>
            </w:pPr>
            <w:r>
              <w:rPr>
                <w:w w:val="95"/>
                <w:sz w:val="20"/>
              </w:rPr>
              <w:t>11.00</w:t>
            </w:r>
          </w:p>
        </w:tc>
        <w:tc>
          <w:tcPr>
            <w:tcW w:w="1136" w:type="dxa"/>
          </w:tcPr>
          <w:p w:rsidR="007C5447" w:rsidRDefault="00F6308C">
            <w:pPr>
              <w:pStyle w:val="TableParagraph"/>
              <w:spacing w:before="70"/>
              <w:ind w:right="220"/>
              <w:rPr>
                <w:sz w:val="20"/>
              </w:rPr>
            </w:pPr>
            <w:r>
              <w:rPr>
                <w:sz w:val="20"/>
              </w:rPr>
              <w:t>5.00</w:t>
            </w:r>
          </w:p>
        </w:tc>
        <w:tc>
          <w:tcPr>
            <w:tcW w:w="1052" w:type="dxa"/>
          </w:tcPr>
          <w:p w:rsidR="007C5447" w:rsidRDefault="00F6308C">
            <w:pPr>
              <w:pStyle w:val="TableParagraph"/>
              <w:spacing w:before="70"/>
              <w:ind w:right="223"/>
              <w:rPr>
                <w:sz w:val="20"/>
              </w:rPr>
            </w:pPr>
            <w:r>
              <w:rPr>
                <w:sz w:val="20"/>
              </w:rPr>
              <w:t>4.55</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Cogeneration</w:t>
            </w:r>
          </w:p>
        </w:tc>
        <w:tc>
          <w:tcPr>
            <w:tcW w:w="1669" w:type="dxa"/>
          </w:tcPr>
          <w:p w:rsidR="007C5447" w:rsidRDefault="00F6308C">
            <w:pPr>
              <w:pStyle w:val="TableParagraph"/>
              <w:spacing w:before="70"/>
              <w:ind w:right="212"/>
              <w:rPr>
                <w:sz w:val="20"/>
              </w:rPr>
            </w:pPr>
            <w:r>
              <w:rPr>
                <w:w w:val="95"/>
                <w:sz w:val="20"/>
              </w:rPr>
              <w:t>1,439.00</w:t>
            </w:r>
          </w:p>
        </w:tc>
        <w:tc>
          <w:tcPr>
            <w:tcW w:w="1395" w:type="dxa"/>
          </w:tcPr>
          <w:p w:rsidR="007C5447" w:rsidRDefault="00F6308C">
            <w:pPr>
              <w:pStyle w:val="TableParagraph"/>
              <w:spacing w:before="70"/>
              <w:ind w:right="214"/>
              <w:rPr>
                <w:sz w:val="20"/>
              </w:rPr>
            </w:pPr>
            <w:r>
              <w:rPr>
                <w:w w:val="95"/>
                <w:sz w:val="20"/>
              </w:rPr>
              <w:t>516.60</w:t>
            </w:r>
          </w:p>
        </w:tc>
        <w:tc>
          <w:tcPr>
            <w:tcW w:w="1285" w:type="dxa"/>
          </w:tcPr>
          <w:p w:rsidR="007C5447" w:rsidRDefault="00F6308C">
            <w:pPr>
              <w:pStyle w:val="TableParagraph"/>
              <w:spacing w:before="70"/>
              <w:ind w:right="215"/>
              <w:rPr>
                <w:sz w:val="20"/>
              </w:rPr>
            </w:pPr>
            <w:r>
              <w:rPr>
                <w:sz w:val="20"/>
              </w:rPr>
              <w:t>3.59</w:t>
            </w:r>
          </w:p>
        </w:tc>
        <w:tc>
          <w:tcPr>
            <w:tcW w:w="1300" w:type="dxa"/>
          </w:tcPr>
          <w:p w:rsidR="007C5447" w:rsidRDefault="00F6308C">
            <w:pPr>
              <w:pStyle w:val="TableParagraph"/>
              <w:spacing w:before="70"/>
              <w:ind w:right="214"/>
              <w:rPr>
                <w:sz w:val="20"/>
              </w:rPr>
            </w:pPr>
            <w:r>
              <w:rPr>
                <w:w w:val="95"/>
                <w:sz w:val="20"/>
              </w:rPr>
              <w:t>1,428.00</w:t>
            </w:r>
          </w:p>
        </w:tc>
        <w:tc>
          <w:tcPr>
            <w:tcW w:w="1136" w:type="dxa"/>
          </w:tcPr>
          <w:p w:rsidR="007C5447" w:rsidRDefault="00F6308C">
            <w:pPr>
              <w:pStyle w:val="TableParagraph"/>
              <w:spacing w:before="70"/>
              <w:ind w:right="217"/>
              <w:rPr>
                <w:sz w:val="20"/>
              </w:rPr>
            </w:pPr>
            <w:r>
              <w:rPr>
                <w:w w:val="95"/>
                <w:sz w:val="20"/>
              </w:rPr>
              <w:t>534.00</w:t>
            </w:r>
          </w:p>
        </w:tc>
        <w:tc>
          <w:tcPr>
            <w:tcW w:w="1086" w:type="dxa"/>
          </w:tcPr>
          <w:p w:rsidR="007C5447" w:rsidRDefault="00F6308C">
            <w:pPr>
              <w:pStyle w:val="TableParagraph"/>
              <w:spacing w:before="70"/>
              <w:ind w:right="220"/>
              <w:rPr>
                <w:sz w:val="20"/>
              </w:rPr>
            </w:pPr>
            <w:r>
              <w:rPr>
                <w:sz w:val="20"/>
              </w:rPr>
              <w:t>3.74</w:t>
            </w:r>
          </w:p>
        </w:tc>
        <w:tc>
          <w:tcPr>
            <w:tcW w:w="1137" w:type="dxa"/>
          </w:tcPr>
          <w:p w:rsidR="007C5447" w:rsidRDefault="00F6308C">
            <w:pPr>
              <w:pStyle w:val="TableParagraph"/>
              <w:spacing w:before="70"/>
              <w:ind w:right="218"/>
              <w:rPr>
                <w:sz w:val="20"/>
              </w:rPr>
            </w:pPr>
            <w:r>
              <w:rPr>
                <w:w w:val="95"/>
                <w:sz w:val="20"/>
              </w:rPr>
              <w:t>1,428.00</w:t>
            </w:r>
          </w:p>
        </w:tc>
        <w:tc>
          <w:tcPr>
            <w:tcW w:w="1136" w:type="dxa"/>
          </w:tcPr>
          <w:p w:rsidR="007C5447" w:rsidRDefault="00F6308C">
            <w:pPr>
              <w:pStyle w:val="TableParagraph"/>
              <w:spacing w:before="70"/>
              <w:ind w:right="220"/>
              <w:rPr>
                <w:sz w:val="20"/>
              </w:rPr>
            </w:pPr>
            <w:r>
              <w:rPr>
                <w:w w:val="95"/>
                <w:sz w:val="20"/>
              </w:rPr>
              <w:t>534.00</w:t>
            </w:r>
          </w:p>
        </w:tc>
        <w:tc>
          <w:tcPr>
            <w:tcW w:w="1052" w:type="dxa"/>
          </w:tcPr>
          <w:p w:rsidR="007C5447" w:rsidRDefault="00F6308C">
            <w:pPr>
              <w:pStyle w:val="TableParagraph"/>
              <w:spacing w:before="70"/>
              <w:ind w:right="223"/>
              <w:rPr>
                <w:sz w:val="20"/>
              </w:rPr>
            </w:pPr>
            <w:r>
              <w:rPr>
                <w:sz w:val="20"/>
              </w:rPr>
              <w:t>3.74</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Captive</w:t>
            </w:r>
          </w:p>
        </w:tc>
        <w:tc>
          <w:tcPr>
            <w:tcW w:w="1669" w:type="dxa"/>
          </w:tcPr>
          <w:p w:rsidR="007C5447" w:rsidRDefault="00F6308C">
            <w:pPr>
              <w:pStyle w:val="TableParagraph"/>
              <w:spacing w:before="70"/>
              <w:ind w:right="214"/>
              <w:rPr>
                <w:sz w:val="20"/>
              </w:rPr>
            </w:pPr>
            <w:r>
              <w:rPr>
                <w:w w:val="95"/>
                <w:sz w:val="20"/>
              </w:rPr>
              <w:t>595.00</w:t>
            </w:r>
          </w:p>
        </w:tc>
        <w:tc>
          <w:tcPr>
            <w:tcW w:w="1395" w:type="dxa"/>
          </w:tcPr>
          <w:p w:rsidR="007C5447" w:rsidRDefault="00F6308C">
            <w:pPr>
              <w:pStyle w:val="TableParagraph"/>
              <w:spacing w:before="70"/>
              <w:ind w:right="214"/>
              <w:rPr>
                <w:sz w:val="20"/>
              </w:rPr>
            </w:pPr>
            <w:r>
              <w:rPr>
                <w:w w:val="95"/>
                <w:sz w:val="20"/>
              </w:rPr>
              <w:t>223.13</w:t>
            </w:r>
          </w:p>
        </w:tc>
        <w:tc>
          <w:tcPr>
            <w:tcW w:w="1285" w:type="dxa"/>
          </w:tcPr>
          <w:p w:rsidR="007C5447" w:rsidRDefault="00F6308C">
            <w:pPr>
              <w:pStyle w:val="TableParagraph"/>
              <w:spacing w:before="70"/>
              <w:ind w:right="215"/>
              <w:rPr>
                <w:sz w:val="20"/>
              </w:rPr>
            </w:pPr>
            <w:r>
              <w:rPr>
                <w:sz w:val="20"/>
              </w:rPr>
              <w:t>3.75</w:t>
            </w:r>
          </w:p>
        </w:tc>
        <w:tc>
          <w:tcPr>
            <w:tcW w:w="1300" w:type="dxa"/>
          </w:tcPr>
          <w:p w:rsidR="007C5447" w:rsidRDefault="00F6308C">
            <w:pPr>
              <w:pStyle w:val="TableParagraph"/>
              <w:spacing w:before="70"/>
              <w:ind w:right="216"/>
              <w:rPr>
                <w:sz w:val="20"/>
              </w:rPr>
            </w:pPr>
            <w:r>
              <w:rPr>
                <w:w w:val="95"/>
                <w:sz w:val="20"/>
              </w:rPr>
              <w:t>595.00</w:t>
            </w:r>
          </w:p>
        </w:tc>
        <w:tc>
          <w:tcPr>
            <w:tcW w:w="1136" w:type="dxa"/>
          </w:tcPr>
          <w:p w:rsidR="007C5447" w:rsidRDefault="00F6308C">
            <w:pPr>
              <w:pStyle w:val="TableParagraph"/>
              <w:spacing w:before="70"/>
              <w:ind w:right="217"/>
              <w:rPr>
                <w:sz w:val="20"/>
              </w:rPr>
            </w:pPr>
            <w:r>
              <w:rPr>
                <w:w w:val="95"/>
                <w:sz w:val="20"/>
              </w:rPr>
              <w:t>224.00</w:t>
            </w:r>
          </w:p>
        </w:tc>
        <w:tc>
          <w:tcPr>
            <w:tcW w:w="1086" w:type="dxa"/>
          </w:tcPr>
          <w:p w:rsidR="007C5447" w:rsidRDefault="00F6308C">
            <w:pPr>
              <w:pStyle w:val="TableParagraph"/>
              <w:spacing w:before="70"/>
              <w:ind w:right="220"/>
              <w:rPr>
                <w:sz w:val="20"/>
              </w:rPr>
            </w:pPr>
            <w:r>
              <w:rPr>
                <w:sz w:val="20"/>
              </w:rPr>
              <w:t>3.76</w:t>
            </w:r>
          </w:p>
        </w:tc>
        <w:tc>
          <w:tcPr>
            <w:tcW w:w="1137" w:type="dxa"/>
          </w:tcPr>
          <w:p w:rsidR="007C5447" w:rsidRDefault="00F6308C">
            <w:pPr>
              <w:pStyle w:val="TableParagraph"/>
              <w:spacing w:before="70"/>
              <w:ind w:right="219"/>
              <w:rPr>
                <w:sz w:val="20"/>
              </w:rPr>
            </w:pPr>
            <w:r>
              <w:rPr>
                <w:w w:val="95"/>
                <w:sz w:val="20"/>
              </w:rPr>
              <w:t>595.00</w:t>
            </w:r>
          </w:p>
        </w:tc>
        <w:tc>
          <w:tcPr>
            <w:tcW w:w="1136" w:type="dxa"/>
          </w:tcPr>
          <w:p w:rsidR="007C5447" w:rsidRDefault="00F6308C">
            <w:pPr>
              <w:pStyle w:val="TableParagraph"/>
              <w:spacing w:before="70"/>
              <w:ind w:right="220"/>
              <w:rPr>
                <w:sz w:val="20"/>
              </w:rPr>
            </w:pPr>
            <w:r>
              <w:rPr>
                <w:w w:val="95"/>
                <w:sz w:val="20"/>
              </w:rPr>
              <w:t>224.00</w:t>
            </w:r>
          </w:p>
        </w:tc>
        <w:tc>
          <w:tcPr>
            <w:tcW w:w="1052" w:type="dxa"/>
          </w:tcPr>
          <w:p w:rsidR="007C5447" w:rsidRDefault="00F6308C">
            <w:pPr>
              <w:pStyle w:val="TableParagraph"/>
              <w:spacing w:before="70"/>
              <w:ind w:right="223"/>
              <w:rPr>
                <w:sz w:val="20"/>
              </w:rPr>
            </w:pPr>
            <w:r>
              <w:rPr>
                <w:sz w:val="20"/>
              </w:rPr>
              <w:t>3.76</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9"/>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22"/>
        <w:gridCol w:w="1669"/>
        <w:gridCol w:w="1395"/>
        <w:gridCol w:w="1285"/>
        <w:gridCol w:w="1300"/>
        <w:gridCol w:w="1136"/>
        <w:gridCol w:w="1086"/>
        <w:gridCol w:w="1137"/>
        <w:gridCol w:w="1136"/>
        <w:gridCol w:w="1052"/>
      </w:tblGrid>
      <w:tr w:rsidR="007C5447">
        <w:trPr>
          <w:trHeight w:val="369"/>
        </w:trPr>
        <w:tc>
          <w:tcPr>
            <w:tcW w:w="3022"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1195" w:right="1177"/>
              <w:jc w:val="center"/>
              <w:rPr>
                <w:b/>
                <w:sz w:val="20"/>
              </w:rPr>
            </w:pPr>
            <w:r>
              <w:rPr>
                <w:b/>
                <w:sz w:val="20"/>
              </w:rPr>
              <w:t>Source</w:t>
            </w:r>
          </w:p>
        </w:tc>
        <w:tc>
          <w:tcPr>
            <w:tcW w:w="11196" w:type="dxa"/>
            <w:gridSpan w:val="9"/>
            <w:shd w:val="clear" w:color="auto" w:fill="F7C9AC"/>
          </w:tcPr>
          <w:p w:rsidR="007C5447" w:rsidRDefault="00F6308C">
            <w:pPr>
              <w:pStyle w:val="TableParagraph"/>
              <w:spacing w:before="125" w:line="224" w:lineRule="exact"/>
              <w:ind w:left="5082" w:right="5071"/>
              <w:jc w:val="center"/>
              <w:rPr>
                <w:b/>
                <w:sz w:val="20"/>
              </w:rPr>
            </w:pPr>
            <w:r>
              <w:rPr>
                <w:b/>
                <w:sz w:val="20"/>
              </w:rPr>
              <w:t>FY 2012-13</w:t>
            </w:r>
          </w:p>
        </w:tc>
      </w:tr>
      <w:tr w:rsidR="007C5447">
        <w:trPr>
          <w:trHeight w:val="371"/>
        </w:trPr>
        <w:tc>
          <w:tcPr>
            <w:tcW w:w="3022" w:type="dxa"/>
            <w:vMerge/>
            <w:tcBorders>
              <w:top w:val="nil"/>
            </w:tcBorders>
            <w:shd w:val="clear" w:color="auto" w:fill="F7C9AC"/>
          </w:tcPr>
          <w:p w:rsidR="007C5447" w:rsidRDefault="007C5447">
            <w:pPr>
              <w:rPr>
                <w:sz w:val="2"/>
                <w:szCs w:val="2"/>
              </w:rPr>
            </w:pPr>
          </w:p>
        </w:tc>
        <w:tc>
          <w:tcPr>
            <w:tcW w:w="4349" w:type="dxa"/>
            <w:gridSpan w:val="3"/>
            <w:shd w:val="clear" w:color="auto" w:fill="F7C9AC"/>
          </w:tcPr>
          <w:p w:rsidR="007C5447" w:rsidRDefault="00F6308C">
            <w:pPr>
              <w:pStyle w:val="TableParagraph"/>
              <w:spacing w:before="70"/>
              <w:ind w:left="1643" w:right="1629"/>
              <w:jc w:val="center"/>
              <w:rPr>
                <w:b/>
                <w:sz w:val="20"/>
              </w:rPr>
            </w:pPr>
            <w:r>
              <w:rPr>
                <w:b/>
                <w:sz w:val="20"/>
              </w:rPr>
              <w:t>SMT Order</w:t>
            </w:r>
          </w:p>
        </w:tc>
        <w:tc>
          <w:tcPr>
            <w:tcW w:w="3522" w:type="dxa"/>
            <w:gridSpan w:val="3"/>
            <w:shd w:val="clear" w:color="auto" w:fill="F7C9AC"/>
          </w:tcPr>
          <w:p w:rsidR="007C5447" w:rsidRDefault="00F6308C">
            <w:pPr>
              <w:pStyle w:val="TableParagraph"/>
              <w:spacing w:before="70"/>
              <w:ind w:left="1157" w:right="1149"/>
              <w:jc w:val="center"/>
              <w:rPr>
                <w:b/>
                <w:sz w:val="20"/>
              </w:rPr>
            </w:pPr>
            <w:r>
              <w:rPr>
                <w:b/>
                <w:sz w:val="20"/>
              </w:rPr>
              <w:t>TANGEDCO</w:t>
            </w:r>
          </w:p>
        </w:tc>
        <w:tc>
          <w:tcPr>
            <w:tcW w:w="3325" w:type="dxa"/>
            <w:gridSpan w:val="3"/>
            <w:shd w:val="clear" w:color="auto" w:fill="F7C9AC"/>
          </w:tcPr>
          <w:p w:rsidR="007C5447" w:rsidRDefault="00F6308C">
            <w:pPr>
              <w:pStyle w:val="TableParagraph"/>
              <w:spacing w:before="70"/>
              <w:ind w:left="662"/>
              <w:jc w:val="left"/>
              <w:rPr>
                <w:b/>
                <w:sz w:val="20"/>
              </w:rPr>
            </w:pPr>
            <w:r>
              <w:rPr>
                <w:b/>
                <w:sz w:val="20"/>
              </w:rPr>
              <w:t>Approved after true up</w:t>
            </w:r>
          </w:p>
        </w:tc>
      </w:tr>
      <w:tr w:rsidR="007C5447">
        <w:trPr>
          <w:trHeight w:val="489"/>
        </w:trPr>
        <w:tc>
          <w:tcPr>
            <w:tcW w:w="3022" w:type="dxa"/>
            <w:vMerge/>
            <w:tcBorders>
              <w:top w:val="nil"/>
            </w:tcBorders>
            <w:shd w:val="clear" w:color="auto" w:fill="F7C9AC"/>
          </w:tcPr>
          <w:p w:rsidR="007C5447" w:rsidRDefault="007C5447">
            <w:pPr>
              <w:rPr>
                <w:sz w:val="2"/>
                <w:szCs w:val="2"/>
              </w:rPr>
            </w:pPr>
          </w:p>
        </w:tc>
        <w:tc>
          <w:tcPr>
            <w:tcW w:w="1669" w:type="dxa"/>
            <w:shd w:val="clear" w:color="auto" w:fill="F7C9AC"/>
          </w:tcPr>
          <w:p w:rsidR="007C5447" w:rsidRDefault="00F6308C">
            <w:pPr>
              <w:pStyle w:val="TableParagraph"/>
              <w:spacing w:before="130"/>
              <w:ind w:right="149"/>
              <w:rPr>
                <w:b/>
                <w:sz w:val="20"/>
              </w:rPr>
            </w:pPr>
            <w:r>
              <w:rPr>
                <w:b/>
                <w:sz w:val="20"/>
              </w:rPr>
              <w:t>Quantum (MU)</w:t>
            </w:r>
          </w:p>
        </w:tc>
        <w:tc>
          <w:tcPr>
            <w:tcW w:w="1395" w:type="dxa"/>
            <w:shd w:val="clear" w:color="auto" w:fill="F7C9AC"/>
          </w:tcPr>
          <w:p w:rsidR="007C5447" w:rsidRDefault="00F6308C">
            <w:pPr>
              <w:pStyle w:val="TableParagraph"/>
              <w:spacing w:before="14" w:line="230" w:lineRule="atLeast"/>
              <w:ind w:left="356" w:right="218" w:hanging="104"/>
              <w:jc w:val="left"/>
              <w:rPr>
                <w:b/>
                <w:sz w:val="20"/>
              </w:rPr>
            </w:pPr>
            <w:r>
              <w:rPr>
                <w:b/>
                <w:sz w:val="20"/>
              </w:rPr>
              <w:t>Total Cost (Rs. Cr)</w:t>
            </w:r>
          </w:p>
        </w:tc>
        <w:tc>
          <w:tcPr>
            <w:tcW w:w="1285" w:type="dxa"/>
            <w:shd w:val="clear" w:color="auto" w:fill="F7C9AC"/>
          </w:tcPr>
          <w:p w:rsidR="007C5447" w:rsidRDefault="00F6308C">
            <w:pPr>
              <w:pStyle w:val="TableParagraph"/>
              <w:spacing w:before="14" w:line="230" w:lineRule="atLeast"/>
              <w:ind w:left="229" w:firstLine="216"/>
              <w:jc w:val="left"/>
              <w:rPr>
                <w:b/>
                <w:sz w:val="20"/>
              </w:rPr>
            </w:pPr>
            <w:r>
              <w:rPr>
                <w:b/>
                <w:sz w:val="20"/>
              </w:rPr>
              <w:t xml:space="preserve">Rate </w:t>
            </w:r>
            <w:r>
              <w:rPr>
                <w:b/>
                <w:w w:val="95"/>
                <w:sz w:val="20"/>
              </w:rPr>
              <w:t>(Rs/kWh)</w:t>
            </w:r>
          </w:p>
        </w:tc>
        <w:tc>
          <w:tcPr>
            <w:tcW w:w="1300" w:type="dxa"/>
            <w:shd w:val="clear" w:color="auto" w:fill="F7C9AC"/>
          </w:tcPr>
          <w:p w:rsidR="007C5447" w:rsidRDefault="00F6308C">
            <w:pPr>
              <w:pStyle w:val="TableParagraph"/>
              <w:spacing w:before="14" w:line="230" w:lineRule="atLeast"/>
              <w:ind w:left="418" w:right="207" w:hanging="178"/>
              <w:jc w:val="left"/>
              <w:rPr>
                <w:b/>
                <w:sz w:val="20"/>
              </w:rPr>
            </w:pPr>
            <w:r>
              <w:rPr>
                <w:b/>
                <w:sz w:val="20"/>
              </w:rPr>
              <w:t>Quantum (MU)</w:t>
            </w:r>
          </w:p>
        </w:tc>
        <w:tc>
          <w:tcPr>
            <w:tcW w:w="1136" w:type="dxa"/>
            <w:shd w:val="clear" w:color="auto" w:fill="F7C9AC"/>
          </w:tcPr>
          <w:p w:rsidR="007C5447" w:rsidRDefault="00F6308C">
            <w:pPr>
              <w:pStyle w:val="TableParagraph"/>
              <w:spacing w:before="14" w:line="230" w:lineRule="atLeast"/>
              <w:ind w:left="224" w:right="193" w:firstLine="148"/>
              <w:jc w:val="left"/>
              <w:rPr>
                <w:b/>
                <w:sz w:val="20"/>
              </w:rPr>
            </w:pPr>
            <w:r>
              <w:rPr>
                <w:b/>
                <w:sz w:val="20"/>
              </w:rPr>
              <w:t>Cost (Rs. Cr)</w:t>
            </w:r>
          </w:p>
        </w:tc>
        <w:tc>
          <w:tcPr>
            <w:tcW w:w="1086" w:type="dxa"/>
            <w:shd w:val="clear" w:color="auto" w:fill="F7C9AC"/>
          </w:tcPr>
          <w:p w:rsidR="007C5447" w:rsidRDefault="00F6308C">
            <w:pPr>
              <w:pStyle w:val="TableParagraph"/>
              <w:spacing w:before="14" w:line="230" w:lineRule="atLeast"/>
              <w:ind w:left="125" w:firstLine="216"/>
              <w:jc w:val="left"/>
              <w:rPr>
                <w:b/>
                <w:sz w:val="20"/>
              </w:rPr>
            </w:pPr>
            <w:r>
              <w:rPr>
                <w:b/>
                <w:sz w:val="20"/>
              </w:rPr>
              <w:t xml:space="preserve">Rate </w:t>
            </w:r>
            <w:r>
              <w:rPr>
                <w:b/>
                <w:w w:val="95"/>
                <w:sz w:val="20"/>
              </w:rPr>
              <w:t>(Rs/kWh)</w:t>
            </w:r>
          </w:p>
        </w:tc>
        <w:tc>
          <w:tcPr>
            <w:tcW w:w="1137" w:type="dxa"/>
            <w:shd w:val="clear" w:color="auto" w:fill="F7C9AC"/>
          </w:tcPr>
          <w:p w:rsidR="007C5447" w:rsidRDefault="00F6308C">
            <w:pPr>
              <w:pStyle w:val="TableParagraph"/>
              <w:spacing w:before="14" w:line="230" w:lineRule="atLeast"/>
              <w:ind w:left="333" w:right="130" w:hanging="179"/>
              <w:jc w:val="left"/>
              <w:rPr>
                <w:b/>
                <w:sz w:val="20"/>
              </w:rPr>
            </w:pPr>
            <w:r>
              <w:rPr>
                <w:b/>
                <w:sz w:val="20"/>
              </w:rPr>
              <w:t>Quantum (MU)</w:t>
            </w:r>
          </w:p>
        </w:tc>
        <w:tc>
          <w:tcPr>
            <w:tcW w:w="1136" w:type="dxa"/>
            <w:shd w:val="clear" w:color="auto" w:fill="F7C9AC"/>
          </w:tcPr>
          <w:p w:rsidR="007C5447" w:rsidRDefault="00F6308C">
            <w:pPr>
              <w:pStyle w:val="TableParagraph"/>
              <w:spacing w:before="14" w:line="230" w:lineRule="atLeast"/>
              <w:ind w:left="221" w:right="94" w:hanging="104"/>
              <w:jc w:val="left"/>
              <w:rPr>
                <w:b/>
                <w:sz w:val="20"/>
              </w:rPr>
            </w:pPr>
            <w:r>
              <w:rPr>
                <w:b/>
                <w:sz w:val="20"/>
              </w:rPr>
              <w:t>Total Cost (Rs. Cr)</w:t>
            </w:r>
          </w:p>
        </w:tc>
        <w:tc>
          <w:tcPr>
            <w:tcW w:w="1052" w:type="dxa"/>
            <w:shd w:val="clear" w:color="auto" w:fill="F7C9AC"/>
          </w:tcPr>
          <w:p w:rsidR="007C5447" w:rsidRDefault="00F6308C">
            <w:pPr>
              <w:pStyle w:val="TableParagraph"/>
              <w:spacing w:before="14" w:line="230" w:lineRule="atLeast"/>
              <w:ind w:left="105" w:firstLine="216"/>
              <w:jc w:val="left"/>
              <w:rPr>
                <w:b/>
                <w:sz w:val="20"/>
              </w:rPr>
            </w:pPr>
            <w:r>
              <w:rPr>
                <w:b/>
                <w:sz w:val="20"/>
              </w:rPr>
              <w:t xml:space="preserve">Rate </w:t>
            </w:r>
            <w:r>
              <w:rPr>
                <w:b/>
                <w:w w:val="95"/>
                <w:sz w:val="20"/>
              </w:rPr>
              <w:t>(Rs/kWh)</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Solar</w:t>
            </w:r>
          </w:p>
        </w:tc>
        <w:tc>
          <w:tcPr>
            <w:tcW w:w="1669" w:type="dxa"/>
          </w:tcPr>
          <w:p w:rsidR="007C5447" w:rsidRDefault="00F6308C">
            <w:pPr>
              <w:pStyle w:val="TableParagraph"/>
              <w:spacing w:before="70"/>
              <w:ind w:right="214"/>
              <w:rPr>
                <w:sz w:val="20"/>
              </w:rPr>
            </w:pPr>
            <w:r>
              <w:rPr>
                <w:w w:val="95"/>
                <w:sz w:val="20"/>
              </w:rPr>
              <w:t>16.00</w:t>
            </w:r>
          </w:p>
        </w:tc>
        <w:tc>
          <w:tcPr>
            <w:tcW w:w="1395" w:type="dxa"/>
          </w:tcPr>
          <w:p w:rsidR="007C5447" w:rsidRDefault="00F6308C">
            <w:pPr>
              <w:pStyle w:val="TableParagraph"/>
              <w:spacing w:before="70"/>
              <w:ind w:right="214"/>
              <w:rPr>
                <w:sz w:val="20"/>
              </w:rPr>
            </w:pPr>
            <w:r>
              <w:rPr>
                <w:sz w:val="20"/>
              </w:rPr>
              <w:t>8.59</w:t>
            </w:r>
          </w:p>
        </w:tc>
        <w:tc>
          <w:tcPr>
            <w:tcW w:w="1285" w:type="dxa"/>
          </w:tcPr>
          <w:p w:rsidR="007C5447" w:rsidRDefault="00F6308C">
            <w:pPr>
              <w:pStyle w:val="TableParagraph"/>
              <w:spacing w:before="70"/>
              <w:ind w:right="215"/>
              <w:rPr>
                <w:sz w:val="20"/>
              </w:rPr>
            </w:pPr>
            <w:r>
              <w:rPr>
                <w:sz w:val="20"/>
              </w:rPr>
              <w:t>5.63</w:t>
            </w:r>
          </w:p>
        </w:tc>
        <w:tc>
          <w:tcPr>
            <w:tcW w:w="1300" w:type="dxa"/>
          </w:tcPr>
          <w:p w:rsidR="007C5447" w:rsidRDefault="00F6308C">
            <w:pPr>
              <w:pStyle w:val="TableParagraph"/>
              <w:spacing w:before="70"/>
              <w:ind w:right="216"/>
              <w:rPr>
                <w:sz w:val="20"/>
              </w:rPr>
            </w:pPr>
            <w:r>
              <w:rPr>
                <w:w w:val="95"/>
                <w:sz w:val="20"/>
              </w:rPr>
              <w:t>45.00</w:t>
            </w:r>
          </w:p>
        </w:tc>
        <w:tc>
          <w:tcPr>
            <w:tcW w:w="1136" w:type="dxa"/>
          </w:tcPr>
          <w:p w:rsidR="007C5447" w:rsidRDefault="00F6308C">
            <w:pPr>
              <w:pStyle w:val="TableParagraph"/>
              <w:spacing w:before="70"/>
              <w:ind w:right="217"/>
              <w:rPr>
                <w:sz w:val="20"/>
              </w:rPr>
            </w:pPr>
            <w:r>
              <w:rPr>
                <w:w w:val="95"/>
                <w:sz w:val="20"/>
              </w:rPr>
              <w:t>22.00</w:t>
            </w:r>
          </w:p>
        </w:tc>
        <w:tc>
          <w:tcPr>
            <w:tcW w:w="1086" w:type="dxa"/>
          </w:tcPr>
          <w:p w:rsidR="007C5447" w:rsidRDefault="00F6308C">
            <w:pPr>
              <w:pStyle w:val="TableParagraph"/>
              <w:spacing w:before="70"/>
              <w:ind w:right="220"/>
              <w:rPr>
                <w:sz w:val="20"/>
              </w:rPr>
            </w:pPr>
            <w:r>
              <w:rPr>
                <w:sz w:val="20"/>
              </w:rPr>
              <w:t>4.89</w:t>
            </w:r>
          </w:p>
        </w:tc>
        <w:tc>
          <w:tcPr>
            <w:tcW w:w="1137" w:type="dxa"/>
          </w:tcPr>
          <w:p w:rsidR="007C5447" w:rsidRDefault="00F6308C">
            <w:pPr>
              <w:pStyle w:val="TableParagraph"/>
              <w:spacing w:before="70"/>
              <w:ind w:right="219"/>
              <w:rPr>
                <w:sz w:val="20"/>
              </w:rPr>
            </w:pPr>
            <w:r>
              <w:rPr>
                <w:w w:val="95"/>
                <w:sz w:val="20"/>
              </w:rPr>
              <w:t>45.00</w:t>
            </w:r>
          </w:p>
        </w:tc>
        <w:tc>
          <w:tcPr>
            <w:tcW w:w="1136" w:type="dxa"/>
          </w:tcPr>
          <w:p w:rsidR="007C5447" w:rsidRDefault="00F6308C">
            <w:pPr>
              <w:pStyle w:val="TableParagraph"/>
              <w:spacing w:before="70"/>
              <w:ind w:right="220"/>
              <w:rPr>
                <w:sz w:val="20"/>
              </w:rPr>
            </w:pPr>
            <w:r>
              <w:rPr>
                <w:w w:val="95"/>
                <w:sz w:val="20"/>
              </w:rPr>
              <w:t>22.00</w:t>
            </w:r>
          </w:p>
        </w:tc>
        <w:tc>
          <w:tcPr>
            <w:tcW w:w="1052" w:type="dxa"/>
          </w:tcPr>
          <w:p w:rsidR="007C5447" w:rsidRDefault="00F6308C">
            <w:pPr>
              <w:pStyle w:val="TableParagraph"/>
              <w:spacing w:before="70"/>
              <w:ind w:right="223"/>
              <w:rPr>
                <w:sz w:val="20"/>
              </w:rPr>
            </w:pPr>
            <w:r>
              <w:rPr>
                <w:sz w:val="20"/>
              </w:rPr>
              <w:t>4.89</w:t>
            </w:r>
          </w:p>
        </w:tc>
      </w:tr>
      <w:tr w:rsidR="007C5447">
        <w:trPr>
          <w:trHeight w:val="371"/>
        </w:trPr>
        <w:tc>
          <w:tcPr>
            <w:tcW w:w="3022" w:type="dxa"/>
            <w:tcBorders>
              <w:left w:val="single" w:sz="8" w:space="0" w:color="000000"/>
            </w:tcBorders>
          </w:tcPr>
          <w:p w:rsidR="007C5447" w:rsidRDefault="00F6308C">
            <w:pPr>
              <w:pStyle w:val="TableParagraph"/>
              <w:spacing w:before="70"/>
              <w:ind w:left="107"/>
              <w:jc w:val="left"/>
              <w:rPr>
                <w:b/>
                <w:sz w:val="20"/>
              </w:rPr>
            </w:pPr>
            <w:r>
              <w:rPr>
                <w:b/>
                <w:sz w:val="20"/>
              </w:rPr>
              <w:t>Total Renewables</w:t>
            </w:r>
          </w:p>
        </w:tc>
        <w:tc>
          <w:tcPr>
            <w:tcW w:w="1669" w:type="dxa"/>
          </w:tcPr>
          <w:p w:rsidR="007C5447" w:rsidRDefault="00F6308C">
            <w:pPr>
              <w:pStyle w:val="TableParagraph"/>
              <w:spacing w:before="70"/>
              <w:ind w:right="212"/>
              <w:rPr>
                <w:b/>
                <w:sz w:val="20"/>
              </w:rPr>
            </w:pPr>
            <w:r>
              <w:rPr>
                <w:b/>
                <w:w w:val="95"/>
                <w:sz w:val="20"/>
              </w:rPr>
              <w:t>9,535.00</w:t>
            </w:r>
          </w:p>
        </w:tc>
        <w:tc>
          <w:tcPr>
            <w:tcW w:w="1395" w:type="dxa"/>
          </w:tcPr>
          <w:p w:rsidR="007C5447" w:rsidRDefault="00F6308C">
            <w:pPr>
              <w:pStyle w:val="TableParagraph"/>
              <w:spacing w:before="70"/>
              <w:ind w:right="212"/>
              <w:rPr>
                <w:b/>
                <w:sz w:val="20"/>
              </w:rPr>
            </w:pPr>
            <w:r>
              <w:rPr>
                <w:b/>
                <w:w w:val="95"/>
                <w:sz w:val="20"/>
              </w:rPr>
              <w:t>3,301.63</w:t>
            </w:r>
          </w:p>
        </w:tc>
        <w:tc>
          <w:tcPr>
            <w:tcW w:w="1285" w:type="dxa"/>
          </w:tcPr>
          <w:p w:rsidR="007C5447" w:rsidRDefault="00F6308C">
            <w:pPr>
              <w:pStyle w:val="TableParagraph"/>
              <w:spacing w:before="70"/>
              <w:ind w:right="215"/>
              <w:rPr>
                <w:b/>
                <w:sz w:val="20"/>
              </w:rPr>
            </w:pPr>
            <w:r>
              <w:rPr>
                <w:b/>
                <w:sz w:val="20"/>
              </w:rPr>
              <w:t>3.46</w:t>
            </w:r>
          </w:p>
        </w:tc>
        <w:tc>
          <w:tcPr>
            <w:tcW w:w="1300" w:type="dxa"/>
          </w:tcPr>
          <w:p w:rsidR="007C5447" w:rsidRDefault="00F6308C">
            <w:pPr>
              <w:pStyle w:val="TableParagraph"/>
              <w:spacing w:before="70"/>
              <w:ind w:right="214"/>
              <w:rPr>
                <w:b/>
                <w:sz w:val="20"/>
              </w:rPr>
            </w:pPr>
            <w:r>
              <w:rPr>
                <w:b/>
                <w:w w:val="95"/>
                <w:sz w:val="20"/>
              </w:rPr>
              <w:t>9,553.00</w:t>
            </w:r>
          </w:p>
        </w:tc>
        <w:tc>
          <w:tcPr>
            <w:tcW w:w="1136" w:type="dxa"/>
          </w:tcPr>
          <w:p w:rsidR="007C5447" w:rsidRDefault="00F6308C">
            <w:pPr>
              <w:pStyle w:val="TableParagraph"/>
              <w:spacing w:before="70"/>
              <w:ind w:right="215"/>
              <w:rPr>
                <w:b/>
                <w:sz w:val="20"/>
              </w:rPr>
            </w:pPr>
            <w:r>
              <w:rPr>
                <w:b/>
                <w:w w:val="95"/>
                <w:sz w:val="20"/>
              </w:rPr>
              <w:t>3,334.00</w:t>
            </w:r>
          </w:p>
        </w:tc>
        <w:tc>
          <w:tcPr>
            <w:tcW w:w="1086" w:type="dxa"/>
          </w:tcPr>
          <w:p w:rsidR="007C5447" w:rsidRDefault="00F6308C">
            <w:pPr>
              <w:pStyle w:val="TableParagraph"/>
              <w:spacing w:before="70"/>
              <w:ind w:right="220"/>
              <w:rPr>
                <w:b/>
                <w:sz w:val="20"/>
              </w:rPr>
            </w:pPr>
            <w:r>
              <w:rPr>
                <w:b/>
                <w:sz w:val="20"/>
              </w:rPr>
              <w:t>3.49</w:t>
            </w:r>
          </w:p>
        </w:tc>
        <w:tc>
          <w:tcPr>
            <w:tcW w:w="1137" w:type="dxa"/>
          </w:tcPr>
          <w:p w:rsidR="007C5447" w:rsidRDefault="00F6308C">
            <w:pPr>
              <w:pStyle w:val="TableParagraph"/>
              <w:spacing w:before="70"/>
              <w:ind w:right="218"/>
              <w:rPr>
                <w:b/>
                <w:sz w:val="20"/>
              </w:rPr>
            </w:pPr>
            <w:r>
              <w:rPr>
                <w:b/>
                <w:w w:val="95"/>
                <w:sz w:val="20"/>
              </w:rPr>
              <w:t>9,553.00</w:t>
            </w:r>
          </w:p>
        </w:tc>
        <w:tc>
          <w:tcPr>
            <w:tcW w:w="1136" w:type="dxa"/>
          </w:tcPr>
          <w:p w:rsidR="007C5447" w:rsidRDefault="00F6308C">
            <w:pPr>
              <w:pStyle w:val="TableParagraph"/>
              <w:spacing w:before="70"/>
              <w:ind w:right="218"/>
              <w:rPr>
                <w:b/>
                <w:sz w:val="20"/>
              </w:rPr>
            </w:pPr>
            <w:r>
              <w:rPr>
                <w:b/>
                <w:w w:val="95"/>
                <w:sz w:val="20"/>
              </w:rPr>
              <w:t>3,334.00</w:t>
            </w:r>
          </w:p>
        </w:tc>
        <w:tc>
          <w:tcPr>
            <w:tcW w:w="1052" w:type="dxa"/>
          </w:tcPr>
          <w:p w:rsidR="007C5447" w:rsidRDefault="00F6308C">
            <w:pPr>
              <w:pStyle w:val="TableParagraph"/>
              <w:spacing w:before="70"/>
              <w:ind w:right="223"/>
              <w:rPr>
                <w:b/>
                <w:sz w:val="20"/>
              </w:rPr>
            </w:pPr>
            <w:r>
              <w:rPr>
                <w:b/>
                <w:sz w:val="20"/>
              </w:rPr>
              <w:t>3.49</w:t>
            </w:r>
          </w:p>
        </w:tc>
      </w:tr>
      <w:tr w:rsidR="007C5447">
        <w:trPr>
          <w:trHeight w:val="369"/>
        </w:trPr>
        <w:tc>
          <w:tcPr>
            <w:tcW w:w="3022" w:type="dxa"/>
            <w:tcBorders>
              <w:left w:val="single" w:sz="8" w:space="0" w:color="000000"/>
            </w:tcBorders>
          </w:tcPr>
          <w:p w:rsidR="007C5447" w:rsidRDefault="007C5447">
            <w:pPr>
              <w:pStyle w:val="TableParagraph"/>
              <w:jc w:val="left"/>
              <w:rPr>
                <w:sz w:val="20"/>
              </w:rPr>
            </w:pPr>
          </w:p>
        </w:tc>
        <w:tc>
          <w:tcPr>
            <w:tcW w:w="1669" w:type="dxa"/>
          </w:tcPr>
          <w:p w:rsidR="007C5447" w:rsidRDefault="007C5447">
            <w:pPr>
              <w:pStyle w:val="TableParagraph"/>
              <w:jc w:val="left"/>
              <w:rPr>
                <w:sz w:val="20"/>
              </w:rPr>
            </w:pPr>
          </w:p>
        </w:tc>
        <w:tc>
          <w:tcPr>
            <w:tcW w:w="1395" w:type="dxa"/>
          </w:tcPr>
          <w:p w:rsidR="007C5447" w:rsidRDefault="007C5447">
            <w:pPr>
              <w:pStyle w:val="TableParagraph"/>
              <w:jc w:val="left"/>
              <w:rPr>
                <w:sz w:val="20"/>
              </w:rPr>
            </w:pP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b/>
                <w:sz w:val="20"/>
              </w:rPr>
            </w:pPr>
            <w:r>
              <w:rPr>
                <w:b/>
                <w:sz w:val="20"/>
              </w:rPr>
              <w:t>Other Sources</w:t>
            </w:r>
          </w:p>
        </w:tc>
        <w:tc>
          <w:tcPr>
            <w:tcW w:w="1669" w:type="dxa"/>
          </w:tcPr>
          <w:p w:rsidR="007C5447" w:rsidRDefault="007C5447">
            <w:pPr>
              <w:pStyle w:val="TableParagraph"/>
              <w:jc w:val="left"/>
              <w:rPr>
                <w:sz w:val="20"/>
              </w:rPr>
            </w:pPr>
          </w:p>
        </w:tc>
        <w:tc>
          <w:tcPr>
            <w:tcW w:w="1395" w:type="dxa"/>
          </w:tcPr>
          <w:p w:rsidR="007C5447" w:rsidRDefault="007C5447">
            <w:pPr>
              <w:pStyle w:val="TableParagraph"/>
              <w:jc w:val="left"/>
              <w:rPr>
                <w:sz w:val="20"/>
              </w:rPr>
            </w:pP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r w:rsidR="007C5447">
        <w:trPr>
          <w:trHeight w:val="371"/>
        </w:trPr>
        <w:tc>
          <w:tcPr>
            <w:tcW w:w="3022" w:type="dxa"/>
            <w:tcBorders>
              <w:left w:val="single" w:sz="8" w:space="0" w:color="000000"/>
            </w:tcBorders>
          </w:tcPr>
          <w:p w:rsidR="007C5447" w:rsidRDefault="00F6308C">
            <w:pPr>
              <w:pStyle w:val="TableParagraph"/>
              <w:spacing w:before="70"/>
              <w:ind w:left="107"/>
              <w:jc w:val="left"/>
              <w:rPr>
                <w:sz w:val="20"/>
              </w:rPr>
            </w:pPr>
            <w:r>
              <w:rPr>
                <w:sz w:val="20"/>
              </w:rPr>
              <w:t>Trading - Bilateral &amp; Exchange</w:t>
            </w:r>
          </w:p>
        </w:tc>
        <w:tc>
          <w:tcPr>
            <w:tcW w:w="1669" w:type="dxa"/>
          </w:tcPr>
          <w:p w:rsidR="007C5447" w:rsidRDefault="00F6308C">
            <w:pPr>
              <w:pStyle w:val="TableParagraph"/>
              <w:spacing w:before="70"/>
              <w:ind w:right="209"/>
              <w:rPr>
                <w:sz w:val="20"/>
              </w:rPr>
            </w:pPr>
            <w:r>
              <w:rPr>
                <w:sz w:val="20"/>
              </w:rPr>
              <w:t>5931</w:t>
            </w:r>
          </w:p>
        </w:tc>
        <w:tc>
          <w:tcPr>
            <w:tcW w:w="1395" w:type="dxa"/>
          </w:tcPr>
          <w:p w:rsidR="007C5447" w:rsidRDefault="00F6308C">
            <w:pPr>
              <w:pStyle w:val="TableParagraph"/>
              <w:spacing w:before="70"/>
              <w:ind w:right="212"/>
              <w:rPr>
                <w:sz w:val="20"/>
              </w:rPr>
            </w:pPr>
            <w:r>
              <w:rPr>
                <w:sz w:val="20"/>
              </w:rPr>
              <w:t>3048.49</w:t>
            </w:r>
          </w:p>
        </w:tc>
        <w:tc>
          <w:tcPr>
            <w:tcW w:w="1285" w:type="dxa"/>
          </w:tcPr>
          <w:p w:rsidR="007C5447" w:rsidRDefault="00F6308C">
            <w:pPr>
              <w:pStyle w:val="TableParagraph"/>
              <w:spacing w:before="70"/>
              <w:ind w:right="215"/>
              <w:rPr>
                <w:sz w:val="20"/>
              </w:rPr>
            </w:pPr>
            <w:r>
              <w:rPr>
                <w:sz w:val="20"/>
              </w:rPr>
              <w:t>5.14</w:t>
            </w:r>
          </w:p>
        </w:tc>
        <w:tc>
          <w:tcPr>
            <w:tcW w:w="1300" w:type="dxa"/>
          </w:tcPr>
          <w:p w:rsidR="007C5447" w:rsidRDefault="00F6308C">
            <w:pPr>
              <w:pStyle w:val="TableParagraph"/>
              <w:spacing w:before="70"/>
              <w:ind w:right="214"/>
              <w:rPr>
                <w:sz w:val="20"/>
              </w:rPr>
            </w:pPr>
            <w:r>
              <w:rPr>
                <w:w w:val="95"/>
                <w:sz w:val="20"/>
              </w:rPr>
              <w:t>6,935.00</w:t>
            </w:r>
          </w:p>
        </w:tc>
        <w:tc>
          <w:tcPr>
            <w:tcW w:w="1136" w:type="dxa"/>
          </w:tcPr>
          <w:p w:rsidR="007C5447" w:rsidRDefault="00F6308C">
            <w:pPr>
              <w:pStyle w:val="TableParagraph"/>
              <w:spacing w:before="70"/>
              <w:ind w:right="215"/>
              <w:rPr>
                <w:sz w:val="20"/>
              </w:rPr>
            </w:pPr>
            <w:r>
              <w:rPr>
                <w:w w:val="95"/>
                <w:sz w:val="20"/>
              </w:rPr>
              <w:t>3,557.00</w:t>
            </w:r>
          </w:p>
        </w:tc>
        <w:tc>
          <w:tcPr>
            <w:tcW w:w="1086" w:type="dxa"/>
          </w:tcPr>
          <w:p w:rsidR="007C5447" w:rsidRDefault="00F6308C">
            <w:pPr>
              <w:pStyle w:val="TableParagraph"/>
              <w:spacing w:before="70"/>
              <w:ind w:right="220"/>
              <w:rPr>
                <w:sz w:val="20"/>
              </w:rPr>
            </w:pPr>
            <w:r>
              <w:rPr>
                <w:sz w:val="20"/>
              </w:rPr>
              <w:t>5.13</w:t>
            </w:r>
          </w:p>
        </w:tc>
        <w:tc>
          <w:tcPr>
            <w:tcW w:w="1137" w:type="dxa"/>
          </w:tcPr>
          <w:p w:rsidR="007C5447" w:rsidRDefault="00F6308C">
            <w:pPr>
              <w:pStyle w:val="TableParagraph"/>
              <w:spacing w:before="70"/>
              <w:ind w:right="218"/>
              <w:rPr>
                <w:sz w:val="20"/>
              </w:rPr>
            </w:pPr>
            <w:r>
              <w:rPr>
                <w:w w:val="95"/>
                <w:sz w:val="20"/>
              </w:rPr>
              <w:t>6,935.00</w:t>
            </w:r>
          </w:p>
        </w:tc>
        <w:tc>
          <w:tcPr>
            <w:tcW w:w="1136" w:type="dxa"/>
          </w:tcPr>
          <w:p w:rsidR="007C5447" w:rsidRDefault="00F6308C">
            <w:pPr>
              <w:pStyle w:val="TableParagraph"/>
              <w:spacing w:before="70"/>
              <w:ind w:right="218"/>
              <w:rPr>
                <w:sz w:val="20"/>
              </w:rPr>
            </w:pPr>
            <w:r>
              <w:rPr>
                <w:w w:val="95"/>
                <w:sz w:val="20"/>
              </w:rPr>
              <w:t>3,557.00</w:t>
            </w:r>
          </w:p>
        </w:tc>
        <w:tc>
          <w:tcPr>
            <w:tcW w:w="1052" w:type="dxa"/>
          </w:tcPr>
          <w:p w:rsidR="007C5447" w:rsidRDefault="00F6308C">
            <w:pPr>
              <w:pStyle w:val="TableParagraph"/>
              <w:spacing w:before="70"/>
              <w:ind w:right="223"/>
              <w:rPr>
                <w:sz w:val="20"/>
              </w:rPr>
            </w:pPr>
            <w:r>
              <w:rPr>
                <w:sz w:val="20"/>
              </w:rPr>
              <w:t>5.13</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sz w:val="20"/>
              </w:rPr>
            </w:pPr>
            <w:r>
              <w:rPr>
                <w:sz w:val="20"/>
              </w:rPr>
              <w:t>UI</w:t>
            </w:r>
          </w:p>
        </w:tc>
        <w:tc>
          <w:tcPr>
            <w:tcW w:w="1669" w:type="dxa"/>
          </w:tcPr>
          <w:p w:rsidR="007C5447" w:rsidRDefault="00F6308C">
            <w:pPr>
              <w:pStyle w:val="TableParagraph"/>
              <w:spacing w:before="70"/>
              <w:ind w:right="209"/>
              <w:rPr>
                <w:sz w:val="20"/>
              </w:rPr>
            </w:pPr>
            <w:r>
              <w:rPr>
                <w:sz w:val="20"/>
              </w:rPr>
              <w:t>111</w:t>
            </w:r>
          </w:p>
        </w:tc>
        <w:tc>
          <w:tcPr>
            <w:tcW w:w="1395" w:type="dxa"/>
          </w:tcPr>
          <w:p w:rsidR="007C5447" w:rsidRDefault="00F6308C">
            <w:pPr>
              <w:pStyle w:val="TableParagraph"/>
              <w:spacing w:before="70"/>
              <w:ind w:right="212"/>
              <w:rPr>
                <w:sz w:val="20"/>
              </w:rPr>
            </w:pPr>
            <w:r>
              <w:rPr>
                <w:sz w:val="20"/>
              </w:rPr>
              <w:t>49.33</w:t>
            </w:r>
          </w:p>
        </w:tc>
        <w:tc>
          <w:tcPr>
            <w:tcW w:w="1285" w:type="dxa"/>
          </w:tcPr>
          <w:p w:rsidR="007C5447" w:rsidRDefault="00F6308C">
            <w:pPr>
              <w:pStyle w:val="TableParagraph"/>
              <w:spacing w:before="70"/>
              <w:ind w:right="215"/>
              <w:rPr>
                <w:sz w:val="20"/>
              </w:rPr>
            </w:pPr>
            <w:r>
              <w:rPr>
                <w:sz w:val="20"/>
              </w:rPr>
              <w:t>4.44</w:t>
            </w:r>
          </w:p>
        </w:tc>
        <w:tc>
          <w:tcPr>
            <w:tcW w:w="1300" w:type="dxa"/>
          </w:tcPr>
          <w:p w:rsidR="007C5447" w:rsidRDefault="00F6308C">
            <w:pPr>
              <w:pStyle w:val="TableParagraph"/>
              <w:spacing w:before="70"/>
              <w:ind w:right="215"/>
              <w:rPr>
                <w:sz w:val="20"/>
              </w:rPr>
            </w:pPr>
            <w:r>
              <w:rPr>
                <w:w w:val="95"/>
                <w:sz w:val="20"/>
              </w:rPr>
              <w:t>82.00</w:t>
            </w:r>
          </w:p>
        </w:tc>
        <w:tc>
          <w:tcPr>
            <w:tcW w:w="1136" w:type="dxa"/>
          </w:tcPr>
          <w:p w:rsidR="007C5447" w:rsidRDefault="00F6308C">
            <w:pPr>
              <w:pStyle w:val="TableParagraph"/>
              <w:spacing w:before="70"/>
              <w:ind w:right="217"/>
              <w:rPr>
                <w:sz w:val="20"/>
              </w:rPr>
            </w:pPr>
            <w:r>
              <w:rPr>
                <w:w w:val="95"/>
                <w:sz w:val="20"/>
              </w:rPr>
              <w:t>50.00</w:t>
            </w:r>
          </w:p>
        </w:tc>
        <w:tc>
          <w:tcPr>
            <w:tcW w:w="1086" w:type="dxa"/>
          </w:tcPr>
          <w:p w:rsidR="007C5447" w:rsidRDefault="00F6308C">
            <w:pPr>
              <w:pStyle w:val="TableParagraph"/>
              <w:spacing w:before="70"/>
              <w:ind w:right="220"/>
              <w:rPr>
                <w:sz w:val="20"/>
              </w:rPr>
            </w:pPr>
            <w:r>
              <w:rPr>
                <w:sz w:val="20"/>
              </w:rPr>
              <w:t>6.10</w:t>
            </w:r>
          </w:p>
        </w:tc>
        <w:tc>
          <w:tcPr>
            <w:tcW w:w="1137" w:type="dxa"/>
          </w:tcPr>
          <w:p w:rsidR="007C5447" w:rsidRDefault="00F6308C">
            <w:pPr>
              <w:pStyle w:val="TableParagraph"/>
              <w:spacing w:before="70"/>
              <w:ind w:right="219"/>
              <w:rPr>
                <w:sz w:val="20"/>
              </w:rPr>
            </w:pPr>
            <w:r>
              <w:rPr>
                <w:w w:val="95"/>
                <w:sz w:val="20"/>
              </w:rPr>
              <w:t>82.00</w:t>
            </w:r>
          </w:p>
        </w:tc>
        <w:tc>
          <w:tcPr>
            <w:tcW w:w="1136" w:type="dxa"/>
          </w:tcPr>
          <w:p w:rsidR="007C5447" w:rsidRDefault="00F6308C">
            <w:pPr>
              <w:pStyle w:val="TableParagraph"/>
              <w:spacing w:before="70"/>
              <w:ind w:right="220"/>
              <w:rPr>
                <w:sz w:val="20"/>
              </w:rPr>
            </w:pPr>
            <w:r>
              <w:rPr>
                <w:w w:val="95"/>
                <w:sz w:val="20"/>
              </w:rPr>
              <w:t>50.00</w:t>
            </w:r>
          </w:p>
        </w:tc>
        <w:tc>
          <w:tcPr>
            <w:tcW w:w="1052" w:type="dxa"/>
          </w:tcPr>
          <w:p w:rsidR="007C5447" w:rsidRDefault="00F6308C">
            <w:pPr>
              <w:pStyle w:val="TableParagraph"/>
              <w:spacing w:before="70"/>
              <w:ind w:right="223"/>
              <w:rPr>
                <w:sz w:val="20"/>
              </w:rPr>
            </w:pPr>
            <w:r>
              <w:rPr>
                <w:sz w:val="20"/>
              </w:rPr>
              <w:t>6.10</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b/>
                <w:sz w:val="20"/>
              </w:rPr>
            </w:pPr>
            <w:r>
              <w:rPr>
                <w:b/>
                <w:sz w:val="20"/>
              </w:rPr>
              <w:t>Total Other Sources</w:t>
            </w:r>
          </w:p>
        </w:tc>
        <w:tc>
          <w:tcPr>
            <w:tcW w:w="1669" w:type="dxa"/>
          </w:tcPr>
          <w:p w:rsidR="007C5447" w:rsidRDefault="00F6308C">
            <w:pPr>
              <w:pStyle w:val="TableParagraph"/>
              <w:spacing w:before="70"/>
              <w:ind w:right="214"/>
              <w:rPr>
                <w:b/>
                <w:sz w:val="20"/>
              </w:rPr>
            </w:pPr>
            <w:r>
              <w:rPr>
                <w:b/>
                <w:sz w:val="20"/>
              </w:rPr>
              <w:t>6042.00</w:t>
            </w:r>
          </w:p>
        </w:tc>
        <w:tc>
          <w:tcPr>
            <w:tcW w:w="1395" w:type="dxa"/>
          </w:tcPr>
          <w:p w:rsidR="007C5447" w:rsidRDefault="00F6308C">
            <w:pPr>
              <w:pStyle w:val="TableParagraph"/>
              <w:spacing w:before="70"/>
              <w:ind w:right="214"/>
              <w:rPr>
                <w:b/>
                <w:sz w:val="20"/>
              </w:rPr>
            </w:pPr>
            <w:r>
              <w:rPr>
                <w:b/>
                <w:w w:val="95"/>
                <w:sz w:val="20"/>
              </w:rPr>
              <w:t>3097.82</w:t>
            </w:r>
          </w:p>
        </w:tc>
        <w:tc>
          <w:tcPr>
            <w:tcW w:w="1285" w:type="dxa"/>
          </w:tcPr>
          <w:p w:rsidR="007C5447" w:rsidRDefault="00F6308C">
            <w:pPr>
              <w:pStyle w:val="TableParagraph"/>
              <w:spacing w:before="70"/>
              <w:ind w:right="215"/>
              <w:rPr>
                <w:b/>
                <w:sz w:val="20"/>
              </w:rPr>
            </w:pPr>
            <w:r>
              <w:rPr>
                <w:b/>
                <w:sz w:val="20"/>
              </w:rPr>
              <w:t>5.13</w:t>
            </w:r>
          </w:p>
        </w:tc>
        <w:tc>
          <w:tcPr>
            <w:tcW w:w="1300" w:type="dxa"/>
          </w:tcPr>
          <w:p w:rsidR="007C5447" w:rsidRDefault="00F6308C">
            <w:pPr>
              <w:pStyle w:val="TableParagraph"/>
              <w:spacing w:before="70"/>
              <w:ind w:right="214"/>
              <w:rPr>
                <w:b/>
                <w:sz w:val="20"/>
              </w:rPr>
            </w:pPr>
            <w:r>
              <w:rPr>
                <w:b/>
                <w:w w:val="95"/>
                <w:sz w:val="20"/>
              </w:rPr>
              <w:t>7,017.00</w:t>
            </w:r>
          </w:p>
        </w:tc>
        <w:tc>
          <w:tcPr>
            <w:tcW w:w="1136" w:type="dxa"/>
          </w:tcPr>
          <w:p w:rsidR="007C5447" w:rsidRDefault="00F6308C">
            <w:pPr>
              <w:pStyle w:val="TableParagraph"/>
              <w:spacing w:before="70"/>
              <w:ind w:right="215"/>
              <w:rPr>
                <w:b/>
                <w:sz w:val="20"/>
              </w:rPr>
            </w:pPr>
            <w:r>
              <w:rPr>
                <w:b/>
                <w:w w:val="95"/>
                <w:sz w:val="20"/>
              </w:rPr>
              <w:t>3,607.00</w:t>
            </w:r>
          </w:p>
        </w:tc>
        <w:tc>
          <w:tcPr>
            <w:tcW w:w="1086" w:type="dxa"/>
          </w:tcPr>
          <w:p w:rsidR="007C5447" w:rsidRDefault="00F6308C">
            <w:pPr>
              <w:pStyle w:val="TableParagraph"/>
              <w:spacing w:before="70"/>
              <w:ind w:right="220"/>
              <w:rPr>
                <w:b/>
                <w:sz w:val="20"/>
              </w:rPr>
            </w:pPr>
            <w:r>
              <w:rPr>
                <w:b/>
                <w:sz w:val="20"/>
              </w:rPr>
              <w:t>5.14</w:t>
            </w:r>
          </w:p>
        </w:tc>
        <w:tc>
          <w:tcPr>
            <w:tcW w:w="1137" w:type="dxa"/>
          </w:tcPr>
          <w:p w:rsidR="007C5447" w:rsidRDefault="00F6308C">
            <w:pPr>
              <w:pStyle w:val="TableParagraph"/>
              <w:spacing w:before="70"/>
              <w:ind w:right="218"/>
              <w:rPr>
                <w:b/>
                <w:sz w:val="20"/>
              </w:rPr>
            </w:pPr>
            <w:r>
              <w:rPr>
                <w:b/>
                <w:w w:val="95"/>
                <w:sz w:val="20"/>
              </w:rPr>
              <w:t>7,017.00</w:t>
            </w:r>
          </w:p>
        </w:tc>
        <w:tc>
          <w:tcPr>
            <w:tcW w:w="1136" w:type="dxa"/>
          </w:tcPr>
          <w:p w:rsidR="007C5447" w:rsidRDefault="00F6308C">
            <w:pPr>
              <w:pStyle w:val="TableParagraph"/>
              <w:spacing w:before="70"/>
              <w:ind w:right="218"/>
              <w:rPr>
                <w:b/>
                <w:sz w:val="20"/>
              </w:rPr>
            </w:pPr>
            <w:r>
              <w:rPr>
                <w:b/>
                <w:w w:val="95"/>
                <w:sz w:val="20"/>
              </w:rPr>
              <w:t>3,607.00</w:t>
            </w:r>
          </w:p>
        </w:tc>
        <w:tc>
          <w:tcPr>
            <w:tcW w:w="1052" w:type="dxa"/>
          </w:tcPr>
          <w:p w:rsidR="007C5447" w:rsidRDefault="00F6308C">
            <w:pPr>
              <w:pStyle w:val="TableParagraph"/>
              <w:spacing w:before="70"/>
              <w:ind w:right="223"/>
              <w:rPr>
                <w:b/>
                <w:sz w:val="20"/>
              </w:rPr>
            </w:pPr>
            <w:r>
              <w:rPr>
                <w:b/>
                <w:sz w:val="20"/>
              </w:rPr>
              <w:t>5.14</w:t>
            </w:r>
          </w:p>
        </w:tc>
      </w:tr>
      <w:tr w:rsidR="007C5447">
        <w:trPr>
          <w:trHeight w:val="371"/>
        </w:trPr>
        <w:tc>
          <w:tcPr>
            <w:tcW w:w="3022" w:type="dxa"/>
            <w:tcBorders>
              <w:left w:val="single" w:sz="8" w:space="0" w:color="000000"/>
            </w:tcBorders>
          </w:tcPr>
          <w:p w:rsidR="007C5447" w:rsidRDefault="007C5447">
            <w:pPr>
              <w:pStyle w:val="TableParagraph"/>
              <w:jc w:val="left"/>
              <w:rPr>
                <w:sz w:val="20"/>
              </w:rPr>
            </w:pPr>
          </w:p>
        </w:tc>
        <w:tc>
          <w:tcPr>
            <w:tcW w:w="1669" w:type="dxa"/>
          </w:tcPr>
          <w:p w:rsidR="007C5447" w:rsidRDefault="007C5447">
            <w:pPr>
              <w:pStyle w:val="TableParagraph"/>
              <w:jc w:val="left"/>
              <w:rPr>
                <w:sz w:val="20"/>
              </w:rPr>
            </w:pPr>
          </w:p>
        </w:tc>
        <w:tc>
          <w:tcPr>
            <w:tcW w:w="1395" w:type="dxa"/>
          </w:tcPr>
          <w:p w:rsidR="007C5447" w:rsidRDefault="007C5447">
            <w:pPr>
              <w:pStyle w:val="TableParagraph"/>
              <w:jc w:val="left"/>
              <w:rPr>
                <w:sz w:val="20"/>
              </w:rPr>
            </w:pP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b/>
                <w:sz w:val="20"/>
              </w:rPr>
            </w:pPr>
            <w:r>
              <w:rPr>
                <w:b/>
                <w:sz w:val="20"/>
              </w:rPr>
              <w:t>Gross Power Purchase</w:t>
            </w:r>
          </w:p>
        </w:tc>
        <w:tc>
          <w:tcPr>
            <w:tcW w:w="1669" w:type="dxa"/>
          </w:tcPr>
          <w:p w:rsidR="007C5447" w:rsidRDefault="00F6308C">
            <w:pPr>
              <w:pStyle w:val="TableParagraph"/>
              <w:spacing w:before="70"/>
              <w:ind w:right="214"/>
              <w:rPr>
                <w:b/>
                <w:sz w:val="20"/>
              </w:rPr>
            </w:pPr>
            <w:r>
              <w:rPr>
                <w:b/>
                <w:w w:val="95"/>
                <w:sz w:val="20"/>
              </w:rPr>
              <w:t>63,159.00</w:t>
            </w:r>
          </w:p>
        </w:tc>
        <w:tc>
          <w:tcPr>
            <w:tcW w:w="1395" w:type="dxa"/>
          </w:tcPr>
          <w:p w:rsidR="007C5447" w:rsidRDefault="00F6308C">
            <w:pPr>
              <w:pStyle w:val="TableParagraph"/>
              <w:spacing w:before="70"/>
              <w:ind w:right="212"/>
              <w:rPr>
                <w:b/>
                <w:sz w:val="20"/>
              </w:rPr>
            </w:pPr>
            <w:r>
              <w:rPr>
                <w:b/>
                <w:w w:val="95"/>
                <w:sz w:val="20"/>
              </w:rPr>
              <w:t>22,409.09</w:t>
            </w:r>
          </w:p>
        </w:tc>
        <w:tc>
          <w:tcPr>
            <w:tcW w:w="1285" w:type="dxa"/>
          </w:tcPr>
          <w:p w:rsidR="007C5447" w:rsidRDefault="00F6308C">
            <w:pPr>
              <w:pStyle w:val="TableParagraph"/>
              <w:spacing w:before="70"/>
              <w:ind w:right="215"/>
              <w:rPr>
                <w:b/>
                <w:sz w:val="20"/>
              </w:rPr>
            </w:pPr>
            <w:r>
              <w:rPr>
                <w:b/>
                <w:sz w:val="20"/>
              </w:rPr>
              <w:t>3.55</w:t>
            </w:r>
          </w:p>
        </w:tc>
        <w:tc>
          <w:tcPr>
            <w:tcW w:w="1300" w:type="dxa"/>
          </w:tcPr>
          <w:p w:rsidR="007C5447" w:rsidRDefault="00F6308C">
            <w:pPr>
              <w:pStyle w:val="TableParagraph"/>
              <w:spacing w:before="70"/>
              <w:ind w:right="217"/>
              <w:rPr>
                <w:b/>
                <w:sz w:val="20"/>
              </w:rPr>
            </w:pPr>
            <w:r>
              <w:rPr>
                <w:b/>
                <w:w w:val="95"/>
                <w:sz w:val="20"/>
              </w:rPr>
              <w:t>67,005.30</w:t>
            </w:r>
          </w:p>
        </w:tc>
        <w:tc>
          <w:tcPr>
            <w:tcW w:w="1136" w:type="dxa"/>
          </w:tcPr>
          <w:p w:rsidR="007C5447" w:rsidRDefault="00F6308C">
            <w:pPr>
              <w:pStyle w:val="TableParagraph"/>
              <w:spacing w:before="70"/>
              <w:ind w:right="215"/>
              <w:rPr>
                <w:b/>
                <w:sz w:val="20"/>
              </w:rPr>
            </w:pPr>
            <w:r>
              <w:rPr>
                <w:b/>
                <w:w w:val="95"/>
                <w:sz w:val="20"/>
              </w:rPr>
              <w:t>27,941.18</w:t>
            </w:r>
          </w:p>
        </w:tc>
        <w:tc>
          <w:tcPr>
            <w:tcW w:w="1086" w:type="dxa"/>
          </w:tcPr>
          <w:p w:rsidR="007C5447" w:rsidRDefault="00F6308C">
            <w:pPr>
              <w:pStyle w:val="TableParagraph"/>
              <w:spacing w:before="70"/>
              <w:ind w:right="220"/>
              <w:rPr>
                <w:b/>
                <w:sz w:val="20"/>
              </w:rPr>
            </w:pPr>
            <w:r>
              <w:rPr>
                <w:b/>
                <w:sz w:val="20"/>
              </w:rPr>
              <w:t>4.17</w:t>
            </w:r>
          </w:p>
        </w:tc>
        <w:tc>
          <w:tcPr>
            <w:tcW w:w="1137" w:type="dxa"/>
          </w:tcPr>
          <w:p w:rsidR="007C5447" w:rsidRDefault="00F6308C">
            <w:pPr>
              <w:pStyle w:val="TableParagraph"/>
              <w:spacing w:before="70"/>
              <w:ind w:right="218"/>
              <w:rPr>
                <w:b/>
                <w:sz w:val="20"/>
              </w:rPr>
            </w:pPr>
            <w:r>
              <w:rPr>
                <w:b/>
                <w:w w:val="95"/>
                <w:sz w:val="20"/>
              </w:rPr>
              <w:t>63,470.57</w:t>
            </w:r>
          </w:p>
        </w:tc>
        <w:tc>
          <w:tcPr>
            <w:tcW w:w="1136" w:type="dxa"/>
          </w:tcPr>
          <w:p w:rsidR="007C5447" w:rsidRDefault="00F6308C">
            <w:pPr>
              <w:pStyle w:val="TableParagraph"/>
              <w:spacing w:before="70"/>
              <w:ind w:right="217"/>
              <w:rPr>
                <w:b/>
                <w:sz w:val="20"/>
              </w:rPr>
            </w:pPr>
            <w:r>
              <w:rPr>
                <w:b/>
                <w:w w:val="95"/>
                <w:sz w:val="20"/>
              </w:rPr>
              <w:t>21,602.85</w:t>
            </w:r>
          </w:p>
        </w:tc>
        <w:tc>
          <w:tcPr>
            <w:tcW w:w="1052" w:type="dxa"/>
          </w:tcPr>
          <w:p w:rsidR="007C5447" w:rsidRDefault="00F6308C">
            <w:pPr>
              <w:pStyle w:val="TableParagraph"/>
              <w:spacing w:before="70"/>
              <w:ind w:right="223"/>
              <w:rPr>
                <w:b/>
                <w:sz w:val="20"/>
              </w:rPr>
            </w:pPr>
            <w:r>
              <w:rPr>
                <w:b/>
                <w:sz w:val="20"/>
              </w:rPr>
              <w:t>3.40</w:t>
            </w: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b/>
                <w:sz w:val="20"/>
              </w:rPr>
            </w:pPr>
            <w:r>
              <w:rPr>
                <w:b/>
                <w:sz w:val="20"/>
              </w:rPr>
              <w:t>PGCIL Charges</w:t>
            </w:r>
          </w:p>
        </w:tc>
        <w:tc>
          <w:tcPr>
            <w:tcW w:w="1669" w:type="dxa"/>
          </w:tcPr>
          <w:p w:rsidR="007C5447" w:rsidRDefault="007C5447">
            <w:pPr>
              <w:pStyle w:val="TableParagraph"/>
              <w:jc w:val="left"/>
              <w:rPr>
                <w:sz w:val="20"/>
              </w:rPr>
            </w:pPr>
          </w:p>
        </w:tc>
        <w:tc>
          <w:tcPr>
            <w:tcW w:w="1395" w:type="dxa"/>
          </w:tcPr>
          <w:p w:rsidR="007C5447" w:rsidRDefault="007C5447">
            <w:pPr>
              <w:pStyle w:val="TableParagraph"/>
              <w:jc w:val="left"/>
              <w:rPr>
                <w:sz w:val="20"/>
              </w:rPr>
            </w:pP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r w:rsidR="007C5447">
        <w:trPr>
          <w:trHeight w:val="371"/>
        </w:trPr>
        <w:tc>
          <w:tcPr>
            <w:tcW w:w="3022" w:type="dxa"/>
            <w:tcBorders>
              <w:left w:val="single" w:sz="8" w:space="0" w:color="000000"/>
            </w:tcBorders>
          </w:tcPr>
          <w:p w:rsidR="007C5447" w:rsidRDefault="00F6308C">
            <w:pPr>
              <w:pStyle w:val="TableParagraph"/>
              <w:spacing w:before="70"/>
              <w:ind w:left="107"/>
              <w:jc w:val="left"/>
              <w:rPr>
                <w:i/>
                <w:sz w:val="20"/>
              </w:rPr>
            </w:pPr>
            <w:r>
              <w:rPr>
                <w:i/>
                <w:sz w:val="20"/>
              </w:rPr>
              <w:t>PGCIL SR and ER wheeling</w:t>
            </w:r>
          </w:p>
        </w:tc>
        <w:tc>
          <w:tcPr>
            <w:tcW w:w="1669" w:type="dxa"/>
          </w:tcPr>
          <w:p w:rsidR="007C5447" w:rsidRDefault="007C5447">
            <w:pPr>
              <w:pStyle w:val="TableParagraph"/>
              <w:jc w:val="left"/>
              <w:rPr>
                <w:sz w:val="20"/>
              </w:rPr>
            </w:pPr>
          </w:p>
        </w:tc>
        <w:tc>
          <w:tcPr>
            <w:tcW w:w="1395" w:type="dxa"/>
          </w:tcPr>
          <w:p w:rsidR="007C5447" w:rsidRDefault="00F6308C">
            <w:pPr>
              <w:pStyle w:val="TableParagraph"/>
              <w:spacing w:before="70"/>
              <w:ind w:right="214"/>
              <w:rPr>
                <w:sz w:val="20"/>
              </w:rPr>
            </w:pPr>
            <w:r>
              <w:rPr>
                <w:w w:val="95"/>
                <w:sz w:val="20"/>
              </w:rPr>
              <w:t>540.47</w:t>
            </w: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F6308C">
            <w:pPr>
              <w:pStyle w:val="TableParagraph"/>
              <w:spacing w:before="70"/>
              <w:ind w:right="217"/>
              <w:rPr>
                <w:sz w:val="20"/>
              </w:rPr>
            </w:pPr>
            <w:r>
              <w:rPr>
                <w:w w:val="95"/>
                <w:sz w:val="20"/>
              </w:rPr>
              <w:t>139.00</w:t>
            </w: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F6308C">
            <w:pPr>
              <w:pStyle w:val="TableParagraph"/>
              <w:spacing w:before="70"/>
              <w:ind w:right="220"/>
              <w:rPr>
                <w:sz w:val="20"/>
              </w:rPr>
            </w:pPr>
            <w:r>
              <w:rPr>
                <w:w w:val="95"/>
                <w:sz w:val="20"/>
              </w:rPr>
              <w:t>139.00</w:t>
            </w: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i/>
                <w:sz w:val="20"/>
              </w:rPr>
            </w:pPr>
            <w:r>
              <w:rPr>
                <w:i/>
                <w:sz w:val="20"/>
              </w:rPr>
              <w:t>PGCIL- Reactive energy</w:t>
            </w:r>
          </w:p>
        </w:tc>
        <w:tc>
          <w:tcPr>
            <w:tcW w:w="1669" w:type="dxa"/>
          </w:tcPr>
          <w:p w:rsidR="007C5447" w:rsidRDefault="007C5447">
            <w:pPr>
              <w:pStyle w:val="TableParagraph"/>
              <w:jc w:val="left"/>
              <w:rPr>
                <w:sz w:val="20"/>
              </w:rPr>
            </w:pPr>
          </w:p>
        </w:tc>
        <w:tc>
          <w:tcPr>
            <w:tcW w:w="1395" w:type="dxa"/>
          </w:tcPr>
          <w:p w:rsidR="007C5447" w:rsidRDefault="00F6308C">
            <w:pPr>
              <w:pStyle w:val="TableParagraph"/>
              <w:spacing w:before="70"/>
              <w:ind w:right="214"/>
              <w:rPr>
                <w:sz w:val="20"/>
              </w:rPr>
            </w:pPr>
            <w:r>
              <w:rPr>
                <w:w w:val="95"/>
                <w:sz w:val="20"/>
              </w:rPr>
              <w:t>15.05</w:t>
            </w: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b/>
                <w:sz w:val="20"/>
              </w:rPr>
            </w:pPr>
            <w:r>
              <w:rPr>
                <w:b/>
                <w:sz w:val="20"/>
              </w:rPr>
              <w:t>Total PGCIL charges</w:t>
            </w:r>
          </w:p>
        </w:tc>
        <w:tc>
          <w:tcPr>
            <w:tcW w:w="1669" w:type="dxa"/>
          </w:tcPr>
          <w:p w:rsidR="007C5447" w:rsidRDefault="00F6308C">
            <w:pPr>
              <w:pStyle w:val="TableParagraph"/>
              <w:spacing w:before="70"/>
              <w:ind w:right="212"/>
              <w:rPr>
                <w:b/>
                <w:sz w:val="20"/>
              </w:rPr>
            </w:pPr>
            <w:r>
              <w:rPr>
                <w:b/>
                <w:w w:val="99"/>
                <w:sz w:val="20"/>
              </w:rPr>
              <w:t>-</w:t>
            </w:r>
          </w:p>
        </w:tc>
        <w:tc>
          <w:tcPr>
            <w:tcW w:w="1395" w:type="dxa"/>
          </w:tcPr>
          <w:p w:rsidR="007C5447" w:rsidRDefault="00F6308C">
            <w:pPr>
              <w:pStyle w:val="TableParagraph"/>
              <w:spacing w:before="70"/>
              <w:ind w:right="214"/>
              <w:rPr>
                <w:b/>
                <w:sz w:val="20"/>
              </w:rPr>
            </w:pPr>
            <w:r>
              <w:rPr>
                <w:b/>
                <w:w w:val="95"/>
                <w:sz w:val="20"/>
              </w:rPr>
              <w:t>555.52</w:t>
            </w:r>
          </w:p>
        </w:tc>
        <w:tc>
          <w:tcPr>
            <w:tcW w:w="1285" w:type="dxa"/>
          </w:tcPr>
          <w:p w:rsidR="007C5447" w:rsidRDefault="007C5447">
            <w:pPr>
              <w:pStyle w:val="TableParagraph"/>
              <w:jc w:val="left"/>
              <w:rPr>
                <w:sz w:val="20"/>
              </w:rPr>
            </w:pPr>
          </w:p>
        </w:tc>
        <w:tc>
          <w:tcPr>
            <w:tcW w:w="1300" w:type="dxa"/>
          </w:tcPr>
          <w:p w:rsidR="007C5447" w:rsidRDefault="00F6308C">
            <w:pPr>
              <w:pStyle w:val="TableParagraph"/>
              <w:spacing w:before="70"/>
              <w:ind w:right="215"/>
              <w:rPr>
                <w:b/>
                <w:sz w:val="20"/>
              </w:rPr>
            </w:pPr>
            <w:r>
              <w:rPr>
                <w:b/>
                <w:w w:val="99"/>
                <w:sz w:val="20"/>
              </w:rPr>
              <w:t>-</w:t>
            </w:r>
          </w:p>
        </w:tc>
        <w:tc>
          <w:tcPr>
            <w:tcW w:w="1136" w:type="dxa"/>
          </w:tcPr>
          <w:p w:rsidR="007C5447" w:rsidRDefault="00F6308C">
            <w:pPr>
              <w:pStyle w:val="TableParagraph"/>
              <w:spacing w:before="70"/>
              <w:ind w:right="217"/>
              <w:rPr>
                <w:b/>
                <w:sz w:val="20"/>
              </w:rPr>
            </w:pPr>
            <w:r>
              <w:rPr>
                <w:b/>
                <w:w w:val="95"/>
                <w:sz w:val="20"/>
              </w:rPr>
              <w:t>139.00</w:t>
            </w:r>
          </w:p>
        </w:tc>
        <w:tc>
          <w:tcPr>
            <w:tcW w:w="1086" w:type="dxa"/>
          </w:tcPr>
          <w:p w:rsidR="007C5447" w:rsidRDefault="007C5447">
            <w:pPr>
              <w:pStyle w:val="TableParagraph"/>
              <w:jc w:val="left"/>
              <w:rPr>
                <w:sz w:val="20"/>
              </w:rPr>
            </w:pPr>
          </w:p>
        </w:tc>
        <w:tc>
          <w:tcPr>
            <w:tcW w:w="1137" w:type="dxa"/>
          </w:tcPr>
          <w:p w:rsidR="007C5447" w:rsidRDefault="00F6308C">
            <w:pPr>
              <w:pStyle w:val="TableParagraph"/>
              <w:spacing w:before="70"/>
              <w:ind w:right="218"/>
              <w:rPr>
                <w:b/>
                <w:sz w:val="20"/>
              </w:rPr>
            </w:pPr>
            <w:r>
              <w:rPr>
                <w:b/>
                <w:w w:val="99"/>
                <w:sz w:val="20"/>
              </w:rPr>
              <w:t>-</w:t>
            </w:r>
          </w:p>
        </w:tc>
        <w:tc>
          <w:tcPr>
            <w:tcW w:w="1136" w:type="dxa"/>
          </w:tcPr>
          <w:p w:rsidR="007C5447" w:rsidRDefault="00F6308C">
            <w:pPr>
              <w:pStyle w:val="TableParagraph"/>
              <w:spacing w:before="70"/>
              <w:ind w:right="220"/>
              <w:rPr>
                <w:b/>
                <w:sz w:val="20"/>
              </w:rPr>
            </w:pPr>
            <w:r>
              <w:rPr>
                <w:b/>
                <w:w w:val="95"/>
                <w:sz w:val="20"/>
              </w:rPr>
              <w:t>139.00</w:t>
            </w:r>
          </w:p>
        </w:tc>
        <w:tc>
          <w:tcPr>
            <w:tcW w:w="1052" w:type="dxa"/>
          </w:tcPr>
          <w:p w:rsidR="007C5447" w:rsidRDefault="007C5447">
            <w:pPr>
              <w:pStyle w:val="TableParagraph"/>
              <w:jc w:val="left"/>
              <w:rPr>
                <w:sz w:val="20"/>
              </w:rPr>
            </w:pPr>
          </w:p>
        </w:tc>
      </w:tr>
      <w:tr w:rsidR="007C5447">
        <w:trPr>
          <w:trHeight w:val="371"/>
        </w:trPr>
        <w:tc>
          <w:tcPr>
            <w:tcW w:w="3022" w:type="dxa"/>
            <w:tcBorders>
              <w:left w:val="single" w:sz="8" w:space="0" w:color="000000"/>
            </w:tcBorders>
          </w:tcPr>
          <w:p w:rsidR="007C5447" w:rsidRDefault="00F6308C">
            <w:pPr>
              <w:pStyle w:val="TableParagraph"/>
              <w:spacing w:before="70"/>
              <w:ind w:left="107"/>
              <w:jc w:val="left"/>
              <w:rPr>
                <w:b/>
                <w:sz w:val="20"/>
              </w:rPr>
            </w:pPr>
            <w:r>
              <w:rPr>
                <w:b/>
                <w:sz w:val="20"/>
              </w:rPr>
              <w:t>TANTRANSCO Charges</w:t>
            </w:r>
          </w:p>
        </w:tc>
        <w:tc>
          <w:tcPr>
            <w:tcW w:w="1669" w:type="dxa"/>
          </w:tcPr>
          <w:p w:rsidR="007C5447" w:rsidRDefault="007C5447">
            <w:pPr>
              <w:pStyle w:val="TableParagraph"/>
              <w:jc w:val="left"/>
              <w:rPr>
                <w:sz w:val="20"/>
              </w:rPr>
            </w:pPr>
          </w:p>
        </w:tc>
        <w:tc>
          <w:tcPr>
            <w:tcW w:w="1395" w:type="dxa"/>
          </w:tcPr>
          <w:p w:rsidR="007C5447" w:rsidRDefault="00F6308C">
            <w:pPr>
              <w:pStyle w:val="TableParagraph"/>
              <w:spacing w:before="70"/>
              <w:ind w:right="214"/>
              <w:rPr>
                <w:b/>
                <w:sz w:val="20"/>
              </w:rPr>
            </w:pPr>
            <w:r>
              <w:rPr>
                <w:b/>
                <w:w w:val="95"/>
                <w:sz w:val="20"/>
              </w:rPr>
              <w:t>2847.00</w:t>
            </w:r>
          </w:p>
        </w:tc>
        <w:tc>
          <w:tcPr>
            <w:tcW w:w="1285"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136" w:type="dxa"/>
          </w:tcPr>
          <w:p w:rsidR="007C5447" w:rsidRDefault="00F6308C">
            <w:pPr>
              <w:pStyle w:val="TableParagraph"/>
              <w:spacing w:before="70"/>
              <w:ind w:right="215"/>
              <w:rPr>
                <w:b/>
                <w:sz w:val="20"/>
              </w:rPr>
            </w:pPr>
            <w:r>
              <w:rPr>
                <w:b/>
                <w:w w:val="95"/>
                <w:sz w:val="20"/>
              </w:rPr>
              <w:t>2,381.00</w:t>
            </w:r>
          </w:p>
        </w:tc>
        <w:tc>
          <w:tcPr>
            <w:tcW w:w="1086" w:type="dxa"/>
          </w:tcPr>
          <w:p w:rsidR="007C5447" w:rsidRDefault="007C5447">
            <w:pPr>
              <w:pStyle w:val="TableParagraph"/>
              <w:jc w:val="left"/>
              <w:rPr>
                <w:sz w:val="20"/>
              </w:rPr>
            </w:pPr>
          </w:p>
        </w:tc>
        <w:tc>
          <w:tcPr>
            <w:tcW w:w="1137" w:type="dxa"/>
          </w:tcPr>
          <w:p w:rsidR="007C5447" w:rsidRDefault="007C5447">
            <w:pPr>
              <w:pStyle w:val="TableParagraph"/>
              <w:jc w:val="left"/>
              <w:rPr>
                <w:sz w:val="20"/>
              </w:rPr>
            </w:pPr>
          </w:p>
        </w:tc>
        <w:tc>
          <w:tcPr>
            <w:tcW w:w="1136" w:type="dxa"/>
          </w:tcPr>
          <w:p w:rsidR="007C5447" w:rsidRDefault="00F6308C">
            <w:pPr>
              <w:pStyle w:val="TableParagraph"/>
              <w:spacing w:before="70"/>
              <w:ind w:right="217"/>
              <w:rPr>
                <w:b/>
                <w:sz w:val="20"/>
              </w:rPr>
            </w:pPr>
            <w:r>
              <w:rPr>
                <w:b/>
                <w:sz w:val="20"/>
              </w:rPr>
              <w:t>2,381.18</w:t>
            </w:r>
          </w:p>
        </w:tc>
        <w:tc>
          <w:tcPr>
            <w:tcW w:w="1052" w:type="dxa"/>
          </w:tcPr>
          <w:p w:rsidR="007C5447" w:rsidRDefault="007C5447">
            <w:pPr>
              <w:pStyle w:val="TableParagraph"/>
              <w:jc w:val="left"/>
              <w:rPr>
                <w:sz w:val="20"/>
              </w:rPr>
            </w:pPr>
          </w:p>
        </w:tc>
      </w:tr>
      <w:tr w:rsidR="007C5447">
        <w:trPr>
          <w:trHeight w:val="369"/>
        </w:trPr>
        <w:tc>
          <w:tcPr>
            <w:tcW w:w="3022" w:type="dxa"/>
            <w:tcBorders>
              <w:left w:val="single" w:sz="8" w:space="0" w:color="000000"/>
            </w:tcBorders>
          </w:tcPr>
          <w:p w:rsidR="007C5447" w:rsidRDefault="00F6308C">
            <w:pPr>
              <w:pStyle w:val="TableParagraph"/>
              <w:spacing w:before="70"/>
              <w:ind w:left="107"/>
              <w:jc w:val="left"/>
              <w:rPr>
                <w:b/>
                <w:sz w:val="20"/>
              </w:rPr>
            </w:pPr>
            <w:r>
              <w:rPr>
                <w:b/>
                <w:sz w:val="20"/>
              </w:rPr>
              <w:t>Total Power Purchase</w:t>
            </w:r>
          </w:p>
        </w:tc>
        <w:tc>
          <w:tcPr>
            <w:tcW w:w="1669" w:type="dxa"/>
          </w:tcPr>
          <w:p w:rsidR="007C5447" w:rsidRDefault="00F6308C">
            <w:pPr>
              <w:pStyle w:val="TableParagraph"/>
              <w:spacing w:before="70"/>
              <w:ind w:right="214"/>
              <w:rPr>
                <w:b/>
                <w:sz w:val="20"/>
              </w:rPr>
            </w:pPr>
            <w:r>
              <w:rPr>
                <w:b/>
                <w:w w:val="95"/>
                <w:sz w:val="20"/>
              </w:rPr>
              <w:t>63,159.00</w:t>
            </w:r>
          </w:p>
        </w:tc>
        <w:tc>
          <w:tcPr>
            <w:tcW w:w="1395" w:type="dxa"/>
          </w:tcPr>
          <w:p w:rsidR="007C5447" w:rsidRDefault="00F6308C">
            <w:pPr>
              <w:pStyle w:val="TableParagraph"/>
              <w:spacing w:before="70"/>
              <w:ind w:right="214"/>
              <w:rPr>
                <w:b/>
                <w:sz w:val="20"/>
              </w:rPr>
            </w:pPr>
            <w:r>
              <w:rPr>
                <w:b/>
                <w:w w:val="95"/>
                <w:sz w:val="20"/>
              </w:rPr>
              <w:t>25,811.58</w:t>
            </w:r>
          </w:p>
        </w:tc>
        <w:tc>
          <w:tcPr>
            <w:tcW w:w="1285" w:type="dxa"/>
          </w:tcPr>
          <w:p w:rsidR="007C5447" w:rsidRDefault="00F6308C">
            <w:pPr>
              <w:pStyle w:val="TableParagraph"/>
              <w:spacing w:before="70"/>
              <w:ind w:right="215"/>
              <w:rPr>
                <w:b/>
                <w:sz w:val="20"/>
              </w:rPr>
            </w:pPr>
            <w:r>
              <w:rPr>
                <w:b/>
                <w:sz w:val="20"/>
              </w:rPr>
              <w:t>4.09</w:t>
            </w:r>
          </w:p>
        </w:tc>
        <w:tc>
          <w:tcPr>
            <w:tcW w:w="1300" w:type="dxa"/>
          </w:tcPr>
          <w:p w:rsidR="007C5447" w:rsidRDefault="00F6308C">
            <w:pPr>
              <w:pStyle w:val="TableParagraph"/>
              <w:spacing w:before="70"/>
              <w:ind w:right="217"/>
              <w:rPr>
                <w:b/>
                <w:sz w:val="20"/>
              </w:rPr>
            </w:pPr>
            <w:r>
              <w:rPr>
                <w:b/>
                <w:w w:val="95"/>
                <w:sz w:val="20"/>
              </w:rPr>
              <w:t>67,005.30</w:t>
            </w:r>
          </w:p>
        </w:tc>
        <w:tc>
          <w:tcPr>
            <w:tcW w:w="1136" w:type="dxa"/>
          </w:tcPr>
          <w:p w:rsidR="007C5447" w:rsidRDefault="00F6308C">
            <w:pPr>
              <w:pStyle w:val="TableParagraph"/>
              <w:spacing w:before="70"/>
              <w:ind w:right="215"/>
              <w:rPr>
                <w:b/>
                <w:sz w:val="20"/>
              </w:rPr>
            </w:pPr>
            <w:r>
              <w:rPr>
                <w:b/>
                <w:w w:val="95"/>
                <w:sz w:val="20"/>
              </w:rPr>
              <w:t>30,461.18</w:t>
            </w:r>
          </w:p>
        </w:tc>
        <w:tc>
          <w:tcPr>
            <w:tcW w:w="1086" w:type="dxa"/>
          </w:tcPr>
          <w:p w:rsidR="007C5447" w:rsidRDefault="00F6308C">
            <w:pPr>
              <w:pStyle w:val="TableParagraph"/>
              <w:spacing w:before="70"/>
              <w:ind w:right="220"/>
              <w:rPr>
                <w:b/>
                <w:sz w:val="20"/>
              </w:rPr>
            </w:pPr>
            <w:r>
              <w:rPr>
                <w:b/>
                <w:sz w:val="20"/>
              </w:rPr>
              <w:t>4.55</w:t>
            </w:r>
          </w:p>
        </w:tc>
        <w:tc>
          <w:tcPr>
            <w:tcW w:w="1137" w:type="dxa"/>
          </w:tcPr>
          <w:p w:rsidR="007C5447" w:rsidRDefault="00F6308C">
            <w:pPr>
              <w:pStyle w:val="TableParagraph"/>
              <w:spacing w:before="70"/>
              <w:ind w:right="218"/>
              <w:rPr>
                <w:b/>
                <w:sz w:val="20"/>
              </w:rPr>
            </w:pPr>
            <w:r>
              <w:rPr>
                <w:b/>
                <w:w w:val="95"/>
                <w:sz w:val="20"/>
              </w:rPr>
              <w:t>63,470.57</w:t>
            </w:r>
          </w:p>
        </w:tc>
        <w:tc>
          <w:tcPr>
            <w:tcW w:w="1136" w:type="dxa"/>
          </w:tcPr>
          <w:p w:rsidR="007C5447" w:rsidRDefault="00F6308C">
            <w:pPr>
              <w:pStyle w:val="TableParagraph"/>
              <w:spacing w:before="70"/>
              <w:ind w:right="219"/>
              <w:rPr>
                <w:b/>
                <w:sz w:val="20"/>
              </w:rPr>
            </w:pPr>
            <w:r>
              <w:rPr>
                <w:b/>
                <w:w w:val="95"/>
                <w:sz w:val="20"/>
              </w:rPr>
              <w:t>24,123.03</w:t>
            </w:r>
          </w:p>
        </w:tc>
        <w:tc>
          <w:tcPr>
            <w:tcW w:w="1052" w:type="dxa"/>
          </w:tcPr>
          <w:p w:rsidR="007C5447" w:rsidRDefault="00F6308C">
            <w:pPr>
              <w:pStyle w:val="TableParagraph"/>
              <w:spacing w:before="70"/>
              <w:ind w:right="221"/>
              <w:rPr>
                <w:b/>
                <w:sz w:val="20"/>
              </w:rPr>
            </w:pPr>
            <w:r>
              <w:rPr>
                <w:b/>
                <w:sz w:val="20"/>
              </w:rPr>
              <w:t>3.80</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0"/>
        </w:rPr>
      </w:pPr>
    </w:p>
    <w:p w:rsidR="007C5447" w:rsidRDefault="007C5447">
      <w:pPr>
        <w:pStyle w:val="BodyText"/>
        <w:spacing w:before="6"/>
        <w:rPr>
          <w:sz w:val="19"/>
        </w:rPr>
      </w:pPr>
    </w:p>
    <w:p w:rsidR="007C5447" w:rsidRDefault="00F6308C">
      <w:pPr>
        <w:ind w:left="2890"/>
        <w:rPr>
          <w:b/>
        </w:rPr>
      </w:pPr>
      <w:r>
        <w:rPr>
          <w:b/>
        </w:rPr>
        <w:t>Table 3-68: Summary of Power Purchase approved by the Commission after true-up for FY 2013-14</w:t>
      </w:r>
    </w:p>
    <w:p w:rsidR="007C5447" w:rsidRDefault="007C5447">
      <w:pPr>
        <w:pStyle w:val="BodyText"/>
        <w:spacing w:before="11"/>
        <w:rPr>
          <w:b/>
          <w:sz w:val="16"/>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54"/>
        <w:gridCol w:w="1265"/>
        <w:gridCol w:w="1264"/>
        <w:gridCol w:w="1050"/>
        <w:gridCol w:w="1088"/>
        <w:gridCol w:w="1091"/>
        <w:gridCol w:w="1148"/>
        <w:gridCol w:w="1432"/>
        <w:gridCol w:w="1417"/>
        <w:gridCol w:w="1347"/>
      </w:tblGrid>
      <w:tr w:rsidR="007C5447">
        <w:trPr>
          <w:trHeight w:val="369"/>
        </w:trPr>
        <w:tc>
          <w:tcPr>
            <w:tcW w:w="2854" w:type="dxa"/>
            <w:vMerge w:val="restart"/>
            <w:shd w:val="clear" w:color="auto" w:fill="F7C9AC"/>
          </w:tcPr>
          <w:p w:rsidR="007C5447" w:rsidRDefault="007C5447">
            <w:pPr>
              <w:pStyle w:val="TableParagraph"/>
              <w:jc w:val="left"/>
              <w:rPr>
                <w:b/>
              </w:rPr>
            </w:pPr>
          </w:p>
          <w:p w:rsidR="007C5447" w:rsidRDefault="007C5447">
            <w:pPr>
              <w:pStyle w:val="TableParagraph"/>
              <w:spacing w:before="5"/>
              <w:jc w:val="left"/>
              <w:rPr>
                <w:b/>
              </w:rPr>
            </w:pPr>
          </w:p>
          <w:p w:rsidR="007C5447" w:rsidRDefault="00F6308C">
            <w:pPr>
              <w:pStyle w:val="TableParagraph"/>
              <w:ind w:left="986" w:right="978"/>
              <w:jc w:val="center"/>
              <w:rPr>
                <w:b/>
                <w:sz w:val="20"/>
              </w:rPr>
            </w:pPr>
            <w:r>
              <w:rPr>
                <w:b/>
                <w:sz w:val="20"/>
              </w:rPr>
              <w:t>Source</w:t>
            </w:r>
          </w:p>
        </w:tc>
        <w:tc>
          <w:tcPr>
            <w:tcW w:w="11102" w:type="dxa"/>
            <w:gridSpan w:val="9"/>
            <w:shd w:val="clear" w:color="auto" w:fill="F7C9AC"/>
          </w:tcPr>
          <w:p w:rsidR="007C5447" w:rsidRDefault="00F6308C">
            <w:pPr>
              <w:pStyle w:val="TableParagraph"/>
              <w:spacing w:before="125" w:line="224" w:lineRule="exact"/>
              <w:ind w:left="5041" w:right="5017"/>
              <w:jc w:val="center"/>
              <w:rPr>
                <w:b/>
                <w:sz w:val="20"/>
              </w:rPr>
            </w:pPr>
            <w:r>
              <w:rPr>
                <w:b/>
                <w:sz w:val="20"/>
              </w:rPr>
              <w:t>FY 2013-14</w:t>
            </w:r>
          </w:p>
        </w:tc>
      </w:tr>
      <w:tr w:rsidR="007C5447">
        <w:trPr>
          <w:trHeight w:val="371"/>
        </w:trPr>
        <w:tc>
          <w:tcPr>
            <w:tcW w:w="2854" w:type="dxa"/>
            <w:vMerge/>
            <w:tcBorders>
              <w:top w:val="nil"/>
            </w:tcBorders>
            <w:shd w:val="clear" w:color="auto" w:fill="F7C9AC"/>
          </w:tcPr>
          <w:p w:rsidR="007C5447" w:rsidRDefault="007C5447">
            <w:pPr>
              <w:rPr>
                <w:sz w:val="2"/>
                <w:szCs w:val="2"/>
              </w:rPr>
            </w:pPr>
          </w:p>
        </w:tc>
        <w:tc>
          <w:tcPr>
            <w:tcW w:w="3579" w:type="dxa"/>
            <w:gridSpan w:val="3"/>
            <w:shd w:val="clear" w:color="auto" w:fill="F7C9AC"/>
          </w:tcPr>
          <w:p w:rsidR="007C5447" w:rsidRDefault="00F6308C">
            <w:pPr>
              <w:pStyle w:val="TableParagraph"/>
              <w:spacing w:before="72"/>
              <w:ind w:left="1254" w:right="1248"/>
              <w:jc w:val="center"/>
              <w:rPr>
                <w:b/>
                <w:sz w:val="20"/>
              </w:rPr>
            </w:pPr>
            <w:r>
              <w:rPr>
                <w:b/>
                <w:sz w:val="20"/>
              </w:rPr>
              <w:t>SMT Order</w:t>
            </w:r>
          </w:p>
        </w:tc>
        <w:tc>
          <w:tcPr>
            <w:tcW w:w="3327" w:type="dxa"/>
            <w:gridSpan w:val="3"/>
            <w:shd w:val="clear" w:color="auto" w:fill="F7C9AC"/>
          </w:tcPr>
          <w:p w:rsidR="007C5447" w:rsidRDefault="00F6308C">
            <w:pPr>
              <w:pStyle w:val="TableParagraph"/>
              <w:spacing w:before="72"/>
              <w:ind w:left="1089"/>
              <w:jc w:val="left"/>
              <w:rPr>
                <w:b/>
                <w:sz w:val="20"/>
              </w:rPr>
            </w:pPr>
            <w:r>
              <w:rPr>
                <w:b/>
                <w:sz w:val="20"/>
              </w:rPr>
              <w:t>TANGEDCO</w:t>
            </w:r>
          </w:p>
        </w:tc>
        <w:tc>
          <w:tcPr>
            <w:tcW w:w="4196" w:type="dxa"/>
            <w:gridSpan w:val="3"/>
            <w:shd w:val="clear" w:color="auto" w:fill="F7C9AC"/>
          </w:tcPr>
          <w:p w:rsidR="007C5447" w:rsidRDefault="00F6308C">
            <w:pPr>
              <w:pStyle w:val="TableParagraph"/>
              <w:spacing w:before="72"/>
              <w:ind w:left="1108"/>
              <w:jc w:val="left"/>
              <w:rPr>
                <w:b/>
                <w:sz w:val="20"/>
              </w:rPr>
            </w:pPr>
            <w:r>
              <w:rPr>
                <w:b/>
                <w:sz w:val="20"/>
              </w:rPr>
              <w:t>Approved after true up</w:t>
            </w:r>
          </w:p>
        </w:tc>
      </w:tr>
      <w:tr w:rsidR="007C5447">
        <w:trPr>
          <w:trHeight w:val="489"/>
        </w:trPr>
        <w:tc>
          <w:tcPr>
            <w:tcW w:w="2854" w:type="dxa"/>
            <w:vMerge/>
            <w:tcBorders>
              <w:top w:val="nil"/>
            </w:tcBorders>
            <w:shd w:val="clear" w:color="auto" w:fill="F7C9AC"/>
          </w:tcPr>
          <w:p w:rsidR="007C5447" w:rsidRDefault="007C5447">
            <w:pPr>
              <w:rPr>
                <w:sz w:val="2"/>
                <w:szCs w:val="2"/>
              </w:rPr>
            </w:pPr>
          </w:p>
        </w:tc>
        <w:tc>
          <w:tcPr>
            <w:tcW w:w="1265" w:type="dxa"/>
            <w:shd w:val="clear" w:color="auto" w:fill="F7C9AC"/>
          </w:tcPr>
          <w:p w:rsidR="007C5447" w:rsidRDefault="00F6308C">
            <w:pPr>
              <w:pStyle w:val="TableParagraph"/>
              <w:spacing w:before="14" w:line="230" w:lineRule="atLeast"/>
              <w:ind w:left="398" w:right="192" w:hanging="178"/>
              <w:jc w:val="left"/>
              <w:rPr>
                <w:b/>
                <w:sz w:val="20"/>
              </w:rPr>
            </w:pPr>
            <w:r>
              <w:rPr>
                <w:b/>
                <w:sz w:val="20"/>
              </w:rPr>
              <w:t>Quantum (MU)</w:t>
            </w:r>
          </w:p>
        </w:tc>
        <w:tc>
          <w:tcPr>
            <w:tcW w:w="1264" w:type="dxa"/>
            <w:shd w:val="clear" w:color="auto" w:fill="F7C9AC"/>
          </w:tcPr>
          <w:p w:rsidR="007C5447" w:rsidRDefault="00F6308C">
            <w:pPr>
              <w:pStyle w:val="TableParagraph"/>
              <w:spacing w:before="14" w:line="230" w:lineRule="atLeast"/>
              <w:ind w:left="288" w:right="155" w:hanging="104"/>
              <w:jc w:val="left"/>
              <w:rPr>
                <w:b/>
                <w:sz w:val="20"/>
              </w:rPr>
            </w:pPr>
            <w:r>
              <w:rPr>
                <w:b/>
                <w:sz w:val="20"/>
              </w:rPr>
              <w:t>Total Cost (Rs. Cr)</w:t>
            </w:r>
          </w:p>
        </w:tc>
        <w:tc>
          <w:tcPr>
            <w:tcW w:w="1050" w:type="dxa"/>
            <w:shd w:val="clear" w:color="auto" w:fill="F7C9AC"/>
          </w:tcPr>
          <w:p w:rsidR="007C5447" w:rsidRDefault="00F6308C">
            <w:pPr>
              <w:pStyle w:val="TableParagraph"/>
              <w:spacing w:before="14" w:line="230" w:lineRule="atLeast"/>
              <w:ind w:left="108" w:firstLine="216"/>
              <w:jc w:val="left"/>
              <w:rPr>
                <w:b/>
                <w:sz w:val="20"/>
              </w:rPr>
            </w:pPr>
            <w:r>
              <w:rPr>
                <w:b/>
                <w:sz w:val="20"/>
              </w:rPr>
              <w:t xml:space="preserve">Rate </w:t>
            </w:r>
            <w:r>
              <w:rPr>
                <w:b/>
                <w:w w:val="95"/>
                <w:sz w:val="20"/>
              </w:rPr>
              <w:t>(Rs/kWh)</w:t>
            </w:r>
          </w:p>
        </w:tc>
        <w:tc>
          <w:tcPr>
            <w:tcW w:w="1088" w:type="dxa"/>
            <w:shd w:val="clear" w:color="auto" w:fill="F7C9AC"/>
          </w:tcPr>
          <w:p w:rsidR="007C5447" w:rsidRDefault="00F6308C">
            <w:pPr>
              <w:pStyle w:val="TableParagraph"/>
              <w:spacing w:before="14" w:line="230" w:lineRule="atLeast"/>
              <w:ind w:left="314" w:right="99" w:hanging="178"/>
              <w:jc w:val="left"/>
              <w:rPr>
                <w:b/>
                <w:sz w:val="20"/>
              </w:rPr>
            </w:pPr>
            <w:r>
              <w:rPr>
                <w:b/>
                <w:sz w:val="20"/>
              </w:rPr>
              <w:t>Quantum (MU)</w:t>
            </w:r>
          </w:p>
        </w:tc>
        <w:tc>
          <w:tcPr>
            <w:tcW w:w="1091" w:type="dxa"/>
            <w:shd w:val="clear" w:color="auto" w:fill="F7C9AC"/>
          </w:tcPr>
          <w:p w:rsidR="007C5447" w:rsidRDefault="00F6308C">
            <w:pPr>
              <w:pStyle w:val="TableParagraph"/>
              <w:spacing w:before="14" w:line="230" w:lineRule="atLeast"/>
              <w:ind w:left="229" w:right="143" w:firstLine="124"/>
              <w:jc w:val="left"/>
              <w:rPr>
                <w:b/>
                <w:sz w:val="20"/>
              </w:rPr>
            </w:pPr>
            <w:r>
              <w:rPr>
                <w:b/>
                <w:sz w:val="20"/>
              </w:rPr>
              <w:t>Cost (Rs. Cr)</w:t>
            </w:r>
          </w:p>
        </w:tc>
        <w:tc>
          <w:tcPr>
            <w:tcW w:w="1148" w:type="dxa"/>
            <w:shd w:val="clear" w:color="auto" w:fill="F7C9AC"/>
          </w:tcPr>
          <w:p w:rsidR="007C5447" w:rsidRDefault="00F6308C">
            <w:pPr>
              <w:pStyle w:val="TableParagraph"/>
              <w:spacing w:before="14" w:line="230" w:lineRule="atLeast"/>
              <w:ind w:left="163" w:firstLine="216"/>
              <w:jc w:val="left"/>
              <w:rPr>
                <w:b/>
                <w:sz w:val="20"/>
              </w:rPr>
            </w:pPr>
            <w:r>
              <w:rPr>
                <w:b/>
                <w:sz w:val="20"/>
              </w:rPr>
              <w:t xml:space="preserve">Rate </w:t>
            </w:r>
            <w:r>
              <w:rPr>
                <w:b/>
                <w:w w:val="95"/>
                <w:sz w:val="20"/>
              </w:rPr>
              <w:t>(Rs/kWh)</w:t>
            </w:r>
          </w:p>
        </w:tc>
        <w:tc>
          <w:tcPr>
            <w:tcW w:w="1432" w:type="dxa"/>
            <w:shd w:val="clear" w:color="auto" w:fill="F7C9AC"/>
          </w:tcPr>
          <w:p w:rsidR="007C5447" w:rsidRDefault="00F6308C">
            <w:pPr>
              <w:pStyle w:val="TableParagraph"/>
              <w:spacing w:before="14" w:line="230" w:lineRule="atLeast"/>
              <w:ind w:left="489" w:right="268" w:hanging="178"/>
              <w:jc w:val="left"/>
              <w:rPr>
                <w:b/>
                <w:sz w:val="20"/>
              </w:rPr>
            </w:pPr>
            <w:r>
              <w:rPr>
                <w:b/>
                <w:sz w:val="20"/>
              </w:rPr>
              <w:t>Quantum (MU)</w:t>
            </w:r>
          </w:p>
        </w:tc>
        <w:tc>
          <w:tcPr>
            <w:tcW w:w="1417" w:type="dxa"/>
            <w:shd w:val="clear" w:color="auto" w:fill="F7C9AC"/>
          </w:tcPr>
          <w:p w:rsidR="007C5447" w:rsidRDefault="00F6308C">
            <w:pPr>
              <w:pStyle w:val="TableParagraph"/>
              <w:spacing w:before="14" w:line="230" w:lineRule="atLeast"/>
              <w:ind w:left="370" w:right="226" w:hanging="104"/>
              <w:jc w:val="left"/>
              <w:rPr>
                <w:b/>
                <w:sz w:val="20"/>
              </w:rPr>
            </w:pPr>
            <w:r>
              <w:rPr>
                <w:b/>
                <w:sz w:val="20"/>
              </w:rPr>
              <w:t>Total Cost (Rs. Cr)</w:t>
            </w:r>
          </w:p>
        </w:tc>
        <w:tc>
          <w:tcPr>
            <w:tcW w:w="1347" w:type="dxa"/>
            <w:shd w:val="clear" w:color="auto" w:fill="F7C9AC"/>
          </w:tcPr>
          <w:p w:rsidR="007C5447" w:rsidRDefault="00F6308C">
            <w:pPr>
              <w:pStyle w:val="TableParagraph"/>
              <w:spacing w:before="14" w:line="230" w:lineRule="atLeast"/>
              <w:ind w:left="264" w:firstLine="216"/>
              <w:jc w:val="left"/>
              <w:rPr>
                <w:b/>
                <w:sz w:val="20"/>
              </w:rPr>
            </w:pPr>
            <w:r>
              <w:rPr>
                <w:b/>
                <w:sz w:val="20"/>
              </w:rPr>
              <w:t xml:space="preserve">Rate </w:t>
            </w:r>
            <w:r>
              <w:rPr>
                <w:b/>
                <w:w w:val="95"/>
                <w:sz w:val="20"/>
              </w:rPr>
              <w:t>(Rs/kWh)</w:t>
            </w:r>
          </w:p>
        </w:tc>
      </w:tr>
      <w:tr w:rsidR="007C5447">
        <w:trPr>
          <w:trHeight w:val="369"/>
        </w:trPr>
        <w:tc>
          <w:tcPr>
            <w:tcW w:w="2854" w:type="dxa"/>
          </w:tcPr>
          <w:p w:rsidR="007C5447" w:rsidRDefault="00F6308C">
            <w:pPr>
              <w:pStyle w:val="TableParagraph"/>
              <w:spacing w:before="70"/>
              <w:ind w:left="342"/>
              <w:jc w:val="left"/>
              <w:rPr>
                <w:b/>
                <w:sz w:val="20"/>
              </w:rPr>
            </w:pPr>
            <w:r>
              <w:rPr>
                <w:b/>
                <w:sz w:val="20"/>
              </w:rPr>
              <w:t>Own Generating Stations</w:t>
            </w:r>
          </w:p>
        </w:tc>
        <w:tc>
          <w:tcPr>
            <w:tcW w:w="1265" w:type="dxa"/>
          </w:tcPr>
          <w:p w:rsidR="007C5447" w:rsidRDefault="007C5447">
            <w:pPr>
              <w:pStyle w:val="TableParagraph"/>
              <w:jc w:val="left"/>
              <w:rPr>
                <w:sz w:val="20"/>
              </w:rPr>
            </w:pPr>
          </w:p>
        </w:tc>
        <w:tc>
          <w:tcPr>
            <w:tcW w:w="1264" w:type="dxa"/>
          </w:tcPr>
          <w:p w:rsidR="007C5447" w:rsidRDefault="007C5447">
            <w:pPr>
              <w:pStyle w:val="TableParagraph"/>
              <w:jc w:val="left"/>
              <w:rPr>
                <w:sz w:val="20"/>
              </w:rPr>
            </w:pPr>
          </w:p>
        </w:tc>
        <w:tc>
          <w:tcPr>
            <w:tcW w:w="1050" w:type="dxa"/>
          </w:tcPr>
          <w:p w:rsidR="007C5447" w:rsidRDefault="007C5447">
            <w:pPr>
              <w:pStyle w:val="TableParagraph"/>
              <w:jc w:val="left"/>
              <w:rPr>
                <w:sz w:val="20"/>
              </w:rPr>
            </w:pP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7C5447">
            <w:pPr>
              <w:pStyle w:val="TableParagraph"/>
              <w:jc w:val="left"/>
              <w:rPr>
                <w:sz w:val="20"/>
              </w:rPr>
            </w:pPr>
          </w:p>
        </w:tc>
        <w:tc>
          <w:tcPr>
            <w:tcW w:w="1417" w:type="dxa"/>
          </w:tcPr>
          <w:p w:rsidR="007C5447" w:rsidRDefault="007C5447">
            <w:pPr>
              <w:pStyle w:val="TableParagraph"/>
              <w:jc w:val="left"/>
              <w:rPr>
                <w:sz w:val="20"/>
              </w:rPr>
            </w:pPr>
          </w:p>
        </w:tc>
        <w:tc>
          <w:tcPr>
            <w:tcW w:w="1347" w:type="dxa"/>
          </w:tcPr>
          <w:p w:rsidR="007C5447" w:rsidRDefault="007C5447">
            <w:pPr>
              <w:pStyle w:val="TableParagraph"/>
              <w:jc w:val="left"/>
              <w:rPr>
                <w:sz w:val="20"/>
              </w:rPr>
            </w:pPr>
          </w:p>
        </w:tc>
      </w:tr>
      <w:tr w:rsidR="007C5447">
        <w:trPr>
          <w:trHeight w:val="372"/>
        </w:trPr>
        <w:tc>
          <w:tcPr>
            <w:tcW w:w="2854" w:type="dxa"/>
          </w:tcPr>
          <w:p w:rsidR="007C5447" w:rsidRDefault="00F6308C">
            <w:pPr>
              <w:pStyle w:val="TableParagraph"/>
              <w:spacing w:before="73"/>
              <w:ind w:left="107"/>
              <w:jc w:val="left"/>
              <w:rPr>
                <w:sz w:val="20"/>
              </w:rPr>
            </w:pPr>
            <w:r>
              <w:rPr>
                <w:sz w:val="20"/>
              </w:rPr>
              <w:t>Ennore TPS</w:t>
            </w:r>
          </w:p>
        </w:tc>
        <w:tc>
          <w:tcPr>
            <w:tcW w:w="1265" w:type="dxa"/>
          </w:tcPr>
          <w:p w:rsidR="007C5447" w:rsidRDefault="00F6308C">
            <w:pPr>
              <w:pStyle w:val="TableParagraph"/>
              <w:spacing w:before="73"/>
              <w:ind w:right="173"/>
              <w:rPr>
                <w:sz w:val="20"/>
              </w:rPr>
            </w:pPr>
            <w:r>
              <w:rPr>
                <w:w w:val="95"/>
                <w:sz w:val="20"/>
              </w:rPr>
              <w:t>1,011.31</w:t>
            </w:r>
          </w:p>
        </w:tc>
        <w:tc>
          <w:tcPr>
            <w:tcW w:w="1264" w:type="dxa"/>
          </w:tcPr>
          <w:p w:rsidR="007C5447" w:rsidRDefault="00F6308C">
            <w:pPr>
              <w:pStyle w:val="TableParagraph"/>
              <w:spacing w:before="73"/>
              <w:ind w:right="171"/>
              <w:rPr>
                <w:sz w:val="20"/>
              </w:rPr>
            </w:pPr>
            <w:r>
              <w:rPr>
                <w:w w:val="95"/>
                <w:sz w:val="20"/>
              </w:rPr>
              <w:t>486.59</w:t>
            </w:r>
          </w:p>
        </w:tc>
        <w:tc>
          <w:tcPr>
            <w:tcW w:w="1050" w:type="dxa"/>
          </w:tcPr>
          <w:p w:rsidR="007C5447" w:rsidRDefault="00F6308C">
            <w:pPr>
              <w:pStyle w:val="TableParagraph"/>
              <w:spacing w:before="73"/>
              <w:ind w:right="172"/>
              <w:rPr>
                <w:sz w:val="20"/>
              </w:rPr>
            </w:pPr>
            <w:r>
              <w:rPr>
                <w:sz w:val="20"/>
              </w:rPr>
              <w:t>4.81</w:t>
            </w:r>
          </w:p>
        </w:tc>
        <w:tc>
          <w:tcPr>
            <w:tcW w:w="1088" w:type="dxa"/>
          </w:tcPr>
          <w:p w:rsidR="007C5447" w:rsidRDefault="00F6308C">
            <w:pPr>
              <w:pStyle w:val="TableParagraph"/>
              <w:spacing w:before="73"/>
              <w:ind w:right="166"/>
              <w:rPr>
                <w:sz w:val="20"/>
              </w:rPr>
            </w:pPr>
            <w:r>
              <w:rPr>
                <w:w w:val="95"/>
                <w:sz w:val="20"/>
              </w:rPr>
              <w:t>1,011.31</w:t>
            </w:r>
          </w:p>
        </w:tc>
        <w:tc>
          <w:tcPr>
            <w:tcW w:w="1091" w:type="dxa"/>
          </w:tcPr>
          <w:p w:rsidR="007C5447" w:rsidRDefault="00F6308C">
            <w:pPr>
              <w:pStyle w:val="TableParagraph"/>
              <w:spacing w:before="73"/>
              <w:ind w:right="167"/>
              <w:rPr>
                <w:sz w:val="20"/>
              </w:rPr>
            </w:pPr>
            <w:r>
              <w:rPr>
                <w:w w:val="95"/>
                <w:sz w:val="20"/>
              </w:rPr>
              <w:t>1,001.90</w:t>
            </w:r>
          </w:p>
        </w:tc>
        <w:tc>
          <w:tcPr>
            <w:tcW w:w="1148" w:type="dxa"/>
          </w:tcPr>
          <w:p w:rsidR="007C5447" w:rsidRDefault="00F6308C">
            <w:pPr>
              <w:pStyle w:val="TableParagraph"/>
              <w:spacing w:before="73"/>
              <w:ind w:right="165"/>
              <w:rPr>
                <w:sz w:val="20"/>
              </w:rPr>
            </w:pPr>
            <w:r>
              <w:rPr>
                <w:sz w:val="20"/>
              </w:rPr>
              <w:t>9.91</w:t>
            </w:r>
          </w:p>
        </w:tc>
        <w:tc>
          <w:tcPr>
            <w:tcW w:w="1432" w:type="dxa"/>
          </w:tcPr>
          <w:p w:rsidR="007C5447" w:rsidRDefault="00F6308C">
            <w:pPr>
              <w:pStyle w:val="TableParagraph"/>
              <w:spacing w:before="73"/>
              <w:ind w:right="165"/>
              <w:rPr>
                <w:sz w:val="20"/>
              </w:rPr>
            </w:pPr>
            <w:r>
              <w:rPr>
                <w:w w:val="95"/>
                <w:sz w:val="20"/>
              </w:rPr>
              <w:t>1,011.31</w:t>
            </w:r>
          </w:p>
        </w:tc>
        <w:tc>
          <w:tcPr>
            <w:tcW w:w="1417" w:type="dxa"/>
          </w:tcPr>
          <w:p w:rsidR="007C5447" w:rsidRDefault="00F6308C">
            <w:pPr>
              <w:pStyle w:val="TableParagraph"/>
              <w:spacing w:before="73"/>
              <w:ind w:right="165"/>
              <w:rPr>
                <w:sz w:val="20"/>
              </w:rPr>
            </w:pPr>
            <w:r>
              <w:rPr>
                <w:w w:val="95"/>
                <w:sz w:val="20"/>
              </w:rPr>
              <w:t>628.48</w:t>
            </w:r>
          </w:p>
        </w:tc>
        <w:tc>
          <w:tcPr>
            <w:tcW w:w="1347" w:type="dxa"/>
          </w:tcPr>
          <w:p w:rsidR="007C5447" w:rsidRDefault="00F6308C">
            <w:pPr>
              <w:pStyle w:val="TableParagraph"/>
              <w:spacing w:before="73"/>
              <w:ind w:right="163"/>
              <w:rPr>
                <w:sz w:val="20"/>
              </w:rPr>
            </w:pPr>
            <w:r>
              <w:rPr>
                <w:sz w:val="20"/>
              </w:rPr>
              <w:t>6.21</w:t>
            </w:r>
          </w:p>
        </w:tc>
      </w:tr>
      <w:tr w:rsidR="007C5447">
        <w:trPr>
          <w:trHeight w:val="369"/>
        </w:trPr>
        <w:tc>
          <w:tcPr>
            <w:tcW w:w="2854" w:type="dxa"/>
          </w:tcPr>
          <w:p w:rsidR="007C5447" w:rsidRDefault="00F6308C">
            <w:pPr>
              <w:pStyle w:val="TableParagraph"/>
              <w:spacing w:before="70"/>
              <w:ind w:left="107"/>
              <w:jc w:val="left"/>
              <w:rPr>
                <w:sz w:val="20"/>
              </w:rPr>
            </w:pPr>
            <w:r>
              <w:rPr>
                <w:sz w:val="20"/>
              </w:rPr>
              <w:t>Tuticorin TPS</w:t>
            </w:r>
          </w:p>
        </w:tc>
        <w:tc>
          <w:tcPr>
            <w:tcW w:w="1265" w:type="dxa"/>
          </w:tcPr>
          <w:p w:rsidR="007C5447" w:rsidRDefault="00F6308C">
            <w:pPr>
              <w:pStyle w:val="TableParagraph"/>
              <w:spacing w:before="70"/>
              <w:ind w:right="173"/>
              <w:rPr>
                <w:sz w:val="20"/>
              </w:rPr>
            </w:pPr>
            <w:r>
              <w:rPr>
                <w:w w:val="95"/>
                <w:sz w:val="20"/>
              </w:rPr>
              <w:t>7,252.62</w:t>
            </w:r>
          </w:p>
        </w:tc>
        <w:tc>
          <w:tcPr>
            <w:tcW w:w="1264" w:type="dxa"/>
          </w:tcPr>
          <w:p w:rsidR="007C5447" w:rsidRDefault="00F6308C">
            <w:pPr>
              <w:pStyle w:val="TableParagraph"/>
              <w:spacing w:before="70"/>
              <w:ind w:right="169"/>
              <w:rPr>
                <w:sz w:val="20"/>
              </w:rPr>
            </w:pPr>
            <w:r>
              <w:rPr>
                <w:w w:val="95"/>
                <w:sz w:val="20"/>
              </w:rPr>
              <w:t>2,843.19</w:t>
            </w:r>
          </w:p>
        </w:tc>
        <w:tc>
          <w:tcPr>
            <w:tcW w:w="1050" w:type="dxa"/>
          </w:tcPr>
          <w:p w:rsidR="007C5447" w:rsidRDefault="00F6308C">
            <w:pPr>
              <w:pStyle w:val="TableParagraph"/>
              <w:spacing w:before="70"/>
              <w:ind w:right="172"/>
              <w:rPr>
                <w:sz w:val="20"/>
              </w:rPr>
            </w:pPr>
            <w:r>
              <w:rPr>
                <w:sz w:val="20"/>
              </w:rPr>
              <w:t>3.92</w:t>
            </w:r>
          </w:p>
        </w:tc>
        <w:tc>
          <w:tcPr>
            <w:tcW w:w="1088" w:type="dxa"/>
          </w:tcPr>
          <w:p w:rsidR="007C5447" w:rsidRDefault="00F6308C">
            <w:pPr>
              <w:pStyle w:val="TableParagraph"/>
              <w:spacing w:before="70"/>
              <w:ind w:right="166"/>
              <w:rPr>
                <w:sz w:val="20"/>
              </w:rPr>
            </w:pPr>
            <w:r>
              <w:rPr>
                <w:w w:val="95"/>
                <w:sz w:val="20"/>
              </w:rPr>
              <w:t>7,252.62</w:t>
            </w:r>
          </w:p>
        </w:tc>
        <w:tc>
          <w:tcPr>
            <w:tcW w:w="1091" w:type="dxa"/>
          </w:tcPr>
          <w:p w:rsidR="007C5447" w:rsidRDefault="00F6308C">
            <w:pPr>
              <w:pStyle w:val="TableParagraph"/>
              <w:spacing w:before="70"/>
              <w:ind w:right="167"/>
              <w:rPr>
                <w:sz w:val="20"/>
              </w:rPr>
            </w:pPr>
            <w:r>
              <w:rPr>
                <w:w w:val="95"/>
                <w:sz w:val="20"/>
              </w:rPr>
              <w:t>3,517.99</w:t>
            </w:r>
          </w:p>
        </w:tc>
        <w:tc>
          <w:tcPr>
            <w:tcW w:w="1148" w:type="dxa"/>
          </w:tcPr>
          <w:p w:rsidR="007C5447" w:rsidRDefault="00F6308C">
            <w:pPr>
              <w:pStyle w:val="TableParagraph"/>
              <w:spacing w:before="70"/>
              <w:ind w:right="165"/>
              <w:rPr>
                <w:sz w:val="20"/>
              </w:rPr>
            </w:pPr>
            <w:r>
              <w:rPr>
                <w:sz w:val="20"/>
              </w:rPr>
              <w:t>4.85</w:t>
            </w:r>
          </w:p>
        </w:tc>
        <w:tc>
          <w:tcPr>
            <w:tcW w:w="1432" w:type="dxa"/>
          </w:tcPr>
          <w:p w:rsidR="007C5447" w:rsidRDefault="00F6308C">
            <w:pPr>
              <w:pStyle w:val="TableParagraph"/>
              <w:spacing w:before="70"/>
              <w:ind w:right="165"/>
              <w:rPr>
                <w:sz w:val="20"/>
              </w:rPr>
            </w:pPr>
            <w:r>
              <w:rPr>
                <w:w w:val="95"/>
                <w:sz w:val="20"/>
              </w:rPr>
              <w:t>7,252.62</w:t>
            </w:r>
          </w:p>
        </w:tc>
        <w:tc>
          <w:tcPr>
            <w:tcW w:w="1417" w:type="dxa"/>
          </w:tcPr>
          <w:p w:rsidR="007C5447" w:rsidRDefault="00F6308C">
            <w:pPr>
              <w:pStyle w:val="TableParagraph"/>
              <w:spacing w:before="70"/>
              <w:ind w:right="163"/>
              <w:rPr>
                <w:sz w:val="20"/>
              </w:rPr>
            </w:pPr>
            <w:r>
              <w:rPr>
                <w:w w:val="95"/>
                <w:sz w:val="20"/>
              </w:rPr>
              <w:t>2,770.55</w:t>
            </w:r>
          </w:p>
        </w:tc>
        <w:tc>
          <w:tcPr>
            <w:tcW w:w="1347" w:type="dxa"/>
          </w:tcPr>
          <w:p w:rsidR="007C5447" w:rsidRDefault="00F6308C">
            <w:pPr>
              <w:pStyle w:val="TableParagraph"/>
              <w:spacing w:before="70"/>
              <w:ind w:right="163"/>
              <w:rPr>
                <w:sz w:val="20"/>
              </w:rPr>
            </w:pPr>
            <w:r>
              <w:rPr>
                <w:sz w:val="20"/>
              </w:rPr>
              <w:t>3.82</w:t>
            </w:r>
          </w:p>
        </w:tc>
      </w:tr>
      <w:tr w:rsidR="007C5447">
        <w:trPr>
          <w:trHeight w:val="369"/>
        </w:trPr>
        <w:tc>
          <w:tcPr>
            <w:tcW w:w="2854" w:type="dxa"/>
          </w:tcPr>
          <w:p w:rsidR="007C5447" w:rsidRDefault="00F6308C">
            <w:pPr>
              <w:pStyle w:val="TableParagraph"/>
              <w:spacing w:before="70"/>
              <w:ind w:left="107"/>
              <w:jc w:val="left"/>
              <w:rPr>
                <w:sz w:val="20"/>
              </w:rPr>
            </w:pPr>
            <w:r>
              <w:rPr>
                <w:sz w:val="20"/>
              </w:rPr>
              <w:t>Mettur TPS</w:t>
            </w:r>
          </w:p>
        </w:tc>
        <w:tc>
          <w:tcPr>
            <w:tcW w:w="1265" w:type="dxa"/>
          </w:tcPr>
          <w:p w:rsidR="007C5447" w:rsidRDefault="00F6308C">
            <w:pPr>
              <w:pStyle w:val="TableParagraph"/>
              <w:spacing w:before="70"/>
              <w:ind w:right="173"/>
              <w:rPr>
                <w:sz w:val="20"/>
              </w:rPr>
            </w:pPr>
            <w:r>
              <w:rPr>
                <w:w w:val="95"/>
                <w:sz w:val="20"/>
              </w:rPr>
              <w:t>5,928.10</w:t>
            </w:r>
          </w:p>
        </w:tc>
        <w:tc>
          <w:tcPr>
            <w:tcW w:w="1264" w:type="dxa"/>
          </w:tcPr>
          <w:p w:rsidR="007C5447" w:rsidRDefault="00F6308C">
            <w:pPr>
              <w:pStyle w:val="TableParagraph"/>
              <w:spacing w:before="70"/>
              <w:ind w:right="169"/>
              <w:rPr>
                <w:sz w:val="20"/>
              </w:rPr>
            </w:pPr>
            <w:r>
              <w:rPr>
                <w:w w:val="95"/>
                <w:sz w:val="20"/>
              </w:rPr>
              <w:t>2,474.94</w:t>
            </w:r>
          </w:p>
        </w:tc>
        <w:tc>
          <w:tcPr>
            <w:tcW w:w="1050" w:type="dxa"/>
          </w:tcPr>
          <w:p w:rsidR="007C5447" w:rsidRDefault="00F6308C">
            <w:pPr>
              <w:pStyle w:val="TableParagraph"/>
              <w:spacing w:before="70"/>
              <w:ind w:right="172"/>
              <w:rPr>
                <w:sz w:val="20"/>
              </w:rPr>
            </w:pPr>
            <w:r>
              <w:rPr>
                <w:sz w:val="20"/>
              </w:rPr>
              <w:t>4.17</w:t>
            </w:r>
          </w:p>
        </w:tc>
        <w:tc>
          <w:tcPr>
            <w:tcW w:w="1088" w:type="dxa"/>
          </w:tcPr>
          <w:p w:rsidR="007C5447" w:rsidRDefault="00F6308C">
            <w:pPr>
              <w:pStyle w:val="TableParagraph"/>
              <w:spacing w:before="70"/>
              <w:ind w:right="166"/>
              <w:rPr>
                <w:sz w:val="20"/>
              </w:rPr>
            </w:pPr>
            <w:r>
              <w:rPr>
                <w:w w:val="95"/>
                <w:sz w:val="20"/>
              </w:rPr>
              <w:t>5,928.10</w:t>
            </w:r>
          </w:p>
        </w:tc>
        <w:tc>
          <w:tcPr>
            <w:tcW w:w="1091" w:type="dxa"/>
          </w:tcPr>
          <w:p w:rsidR="007C5447" w:rsidRDefault="00F6308C">
            <w:pPr>
              <w:pStyle w:val="TableParagraph"/>
              <w:spacing w:before="70"/>
              <w:ind w:right="167"/>
              <w:rPr>
                <w:sz w:val="20"/>
              </w:rPr>
            </w:pPr>
            <w:r>
              <w:rPr>
                <w:w w:val="95"/>
                <w:sz w:val="20"/>
              </w:rPr>
              <w:t>3,153.33</w:t>
            </w:r>
          </w:p>
        </w:tc>
        <w:tc>
          <w:tcPr>
            <w:tcW w:w="1148" w:type="dxa"/>
          </w:tcPr>
          <w:p w:rsidR="007C5447" w:rsidRDefault="00F6308C">
            <w:pPr>
              <w:pStyle w:val="TableParagraph"/>
              <w:spacing w:before="70"/>
              <w:ind w:right="165"/>
              <w:rPr>
                <w:sz w:val="20"/>
              </w:rPr>
            </w:pPr>
            <w:r>
              <w:rPr>
                <w:sz w:val="20"/>
              </w:rPr>
              <w:t>5.32</w:t>
            </w:r>
          </w:p>
        </w:tc>
        <w:tc>
          <w:tcPr>
            <w:tcW w:w="1432" w:type="dxa"/>
          </w:tcPr>
          <w:p w:rsidR="007C5447" w:rsidRDefault="00F6308C">
            <w:pPr>
              <w:pStyle w:val="TableParagraph"/>
              <w:spacing w:before="70"/>
              <w:ind w:right="165"/>
              <w:rPr>
                <w:sz w:val="20"/>
              </w:rPr>
            </w:pPr>
            <w:r>
              <w:rPr>
                <w:w w:val="95"/>
                <w:sz w:val="20"/>
              </w:rPr>
              <w:t>5,928.10</w:t>
            </w:r>
          </w:p>
        </w:tc>
        <w:tc>
          <w:tcPr>
            <w:tcW w:w="1417" w:type="dxa"/>
          </w:tcPr>
          <w:p w:rsidR="007C5447" w:rsidRDefault="00F6308C">
            <w:pPr>
              <w:pStyle w:val="TableParagraph"/>
              <w:spacing w:before="70"/>
              <w:ind w:right="163"/>
              <w:rPr>
                <w:sz w:val="20"/>
              </w:rPr>
            </w:pPr>
            <w:r>
              <w:rPr>
                <w:w w:val="95"/>
                <w:sz w:val="20"/>
              </w:rPr>
              <w:t>2,784.71</w:t>
            </w:r>
          </w:p>
        </w:tc>
        <w:tc>
          <w:tcPr>
            <w:tcW w:w="1347" w:type="dxa"/>
          </w:tcPr>
          <w:p w:rsidR="007C5447" w:rsidRDefault="00F6308C">
            <w:pPr>
              <w:pStyle w:val="TableParagraph"/>
              <w:spacing w:before="70"/>
              <w:ind w:right="163"/>
              <w:rPr>
                <w:sz w:val="20"/>
              </w:rPr>
            </w:pPr>
            <w:r>
              <w:rPr>
                <w:sz w:val="20"/>
              </w:rPr>
              <w:t>4.70</w:t>
            </w:r>
          </w:p>
        </w:tc>
      </w:tr>
      <w:tr w:rsidR="007C5447">
        <w:trPr>
          <w:trHeight w:val="371"/>
        </w:trPr>
        <w:tc>
          <w:tcPr>
            <w:tcW w:w="2854" w:type="dxa"/>
          </w:tcPr>
          <w:p w:rsidR="007C5447" w:rsidRDefault="00F6308C">
            <w:pPr>
              <w:pStyle w:val="TableParagraph"/>
              <w:spacing w:before="72"/>
              <w:ind w:left="107"/>
              <w:jc w:val="left"/>
              <w:rPr>
                <w:sz w:val="20"/>
              </w:rPr>
            </w:pPr>
            <w:r>
              <w:rPr>
                <w:sz w:val="20"/>
              </w:rPr>
              <w:t>North Chennai TPS</w:t>
            </w:r>
          </w:p>
        </w:tc>
        <w:tc>
          <w:tcPr>
            <w:tcW w:w="1265" w:type="dxa"/>
          </w:tcPr>
          <w:p w:rsidR="007C5447" w:rsidRDefault="00F6308C">
            <w:pPr>
              <w:pStyle w:val="TableParagraph"/>
              <w:spacing w:before="72"/>
              <w:ind w:right="173"/>
              <w:rPr>
                <w:sz w:val="20"/>
              </w:rPr>
            </w:pPr>
            <w:r>
              <w:rPr>
                <w:w w:val="95"/>
                <w:sz w:val="20"/>
              </w:rPr>
              <w:t>3,720.06</w:t>
            </w:r>
          </w:p>
        </w:tc>
        <w:tc>
          <w:tcPr>
            <w:tcW w:w="1264" w:type="dxa"/>
          </w:tcPr>
          <w:p w:rsidR="007C5447" w:rsidRDefault="00F6308C">
            <w:pPr>
              <w:pStyle w:val="TableParagraph"/>
              <w:spacing w:before="72"/>
              <w:ind w:right="169"/>
              <w:rPr>
                <w:sz w:val="20"/>
              </w:rPr>
            </w:pPr>
            <w:r>
              <w:rPr>
                <w:w w:val="95"/>
                <w:sz w:val="20"/>
              </w:rPr>
              <w:t>1,319.75</w:t>
            </w:r>
          </w:p>
        </w:tc>
        <w:tc>
          <w:tcPr>
            <w:tcW w:w="1050" w:type="dxa"/>
          </w:tcPr>
          <w:p w:rsidR="007C5447" w:rsidRDefault="00F6308C">
            <w:pPr>
              <w:pStyle w:val="TableParagraph"/>
              <w:spacing w:before="72"/>
              <w:ind w:right="172"/>
              <w:rPr>
                <w:sz w:val="20"/>
              </w:rPr>
            </w:pPr>
            <w:r>
              <w:rPr>
                <w:sz w:val="20"/>
              </w:rPr>
              <w:t>3.55</w:t>
            </w:r>
          </w:p>
        </w:tc>
        <w:tc>
          <w:tcPr>
            <w:tcW w:w="1088" w:type="dxa"/>
          </w:tcPr>
          <w:p w:rsidR="007C5447" w:rsidRDefault="00F6308C">
            <w:pPr>
              <w:pStyle w:val="TableParagraph"/>
              <w:spacing w:before="72"/>
              <w:ind w:right="166"/>
              <w:rPr>
                <w:sz w:val="20"/>
              </w:rPr>
            </w:pPr>
            <w:r>
              <w:rPr>
                <w:w w:val="95"/>
                <w:sz w:val="20"/>
              </w:rPr>
              <w:t>3,720.06</w:t>
            </w:r>
          </w:p>
        </w:tc>
        <w:tc>
          <w:tcPr>
            <w:tcW w:w="1091" w:type="dxa"/>
          </w:tcPr>
          <w:p w:rsidR="007C5447" w:rsidRDefault="00F6308C">
            <w:pPr>
              <w:pStyle w:val="TableParagraph"/>
              <w:spacing w:before="72"/>
              <w:ind w:right="167"/>
              <w:rPr>
                <w:sz w:val="20"/>
              </w:rPr>
            </w:pPr>
            <w:r>
              <w:rPr>
                <w:w w:val="95"/>
                <w:sz w:val="20"/>
              </w:rPr>
              <w:t>2,304.59</w:t>
            </w:r>
          </w:p>
        </w:tc>
        <w:tc>
          <w:tcPr>
            <w:tcW w:w="1148" w:type="dxa"/>
          </w:tcPr>
          <w:p w:rsidR="007C5447" w:rsidRDefault="00F6308C">
            <w:pPr>
              <w:pStyle w:val="TableParagraph"/>
              <w:spacing w:before="72"/>
              <w:ind w:right="165"/>
              <w:rPr>
                <w:sz w:val="20"/>
              </w:rPr>
            </w:pPr>
            <w:r>
              <w:rPr>
                <w:sz w:val="20"/>
              </w:rPr>
              <w:t>6.20</w:t>
            </w:r>
          </w:p>
        </w:tc>
        <w:tc>
          <w:tcPr>
            <w:tcW w:w="1432" w:type="dxa"/>
          </w:tcPr>
          <w:p w:rsidR="007C5447" w:rsidRDefault="00F6308C">
            <w:pPr>
              <w:pStyle w:val="TableParagraph"/>
              <w:spacing w:before="72"/>
              <w:ind w:right="165"/>
              <w:rPr>
                <w:sz w:val="20"/>
              </w:rPr>
            </w:pPr>
            <w:r>
              <w:rPr>
                <w:w w:val="95"/>
                <w:sz w:val="20"/>
              </w:rPr>
              <w:t>3,720.06</w:t>
            </w:r>
          </w:p>
        </w:tc>
        <w:tc>
          <w:tcPr>
            <w:tcW w:w="1417" w:type="dxa"/>
          </w:tcPr>
          <w:p w:rsidR="007C5447" w:rsidRDefault="00F6308C">
            <w:pPr>
              <w:pStyle w:val="TableParagraph"/>
              <w:spacing w:before="72"/>
              <w:ind w:right="165"/>
              <w:rPr>
                <w:sz w:val="20"/>
              </w:rPr>
            </w:pPr>
            <w:r>
              <w:rPr>
                <w:w w:val="95"/>
                <w:sz w:val="20"/>
              </w:rPr>
              <w:t>382.37</w:t>
            </w:r>
          </w:p>
        </w:tc>
        <w:tc>
          <w:tcPr>
            <w:tcW w:w="1347" w:type="dxa"/>
          </w:tcPr>
          <w:p w:rsidR="007C5447" w:rsidRDefault="00F6308C">
            <w:pPr>
              <w:pStyle w:val="TableParagraph"/>
              <w:spacing w:before="72"/>
              <w:ind w:right="163"/>
              <w:rPr>
                <w:sz w:val="20"/>
              </w:rPr>
            </w:pPr>
            <w:r>
              <w:rPr>
                <w:sz w:val="20"/>
              </w:rPr>
              <w:t>1.03</w:t>
            </w:r>
          </w:p>
        </w:tc>
      </w:tr>
      <w:tr w:rsidR="007C5447">
        <w:trPr>
          <w:trHeight w:val="369"/>
        </w:trPr>
        <w:tc>
          <w:tcPr>
            <w:tcW w:w="2854" w:type="dxa"/>
          </w:tcPr>
          <w:p w:rsidR="007C5447" w:rsidRDefault="00F6308C">
            <w:pPr>
              <w:pStyle w:val="TableParagraph"/>
              <w:spacing w:before="70"/>
              <w:ind w:left="107"/>
              <w:jc w:val="left"/>
              <w:rPr>
                <w:sz w:val="20"/>
              </w:rPr>
            </w:pPr>
            <w:r>
              <w:rPr>
                <w:sz w:val="20"/>
              </w:rPr>
              <w:t>NCTPS Stage-II (Unit 1)</w:t>
            </w:r>
          </w:p>
        </w:tc>
        <w:tc>
          <w:tcPr>
            <w:tcW w:w="1265" w:type="dxa"/>
          </w:tcPr>
          <w:p w:rsidR="007C5447" w:rsidRDefault="00F6308C">
            <w:pPr>
              <w:pStyle w:val="TableParagraph"/>
              <w:spacing w:before="70"/>
              <w:ind w:right="173"/>
              <w:rPr>
                <w:sz w:val="20"/>
              </w:rPr>
            </w:pPr>
            <w:r>
              <w:rPr>
                <w:w w:val="95"/>
                <w:sz w:val="20"/>
              </w:rPr>
              <w:t>1,782.00</w:t>
            </w:r>
          </w:p>
        </w:tc>
        <w:tc>
          <w:tcPr>
            <w:tcW w:w="1264" w:type="dxa"/>
          </w:tcPr>
          <w:p w:rsidR="007C5447" w:rsidRDefault="00F6308C">
            <w:pPr>
              <w:pStyle w:val="TableParagraph"/>
              <w:spacing w:before="70"/>
              <w:ind w:right="171"/>
              <w:rPr>
                <w:sz w:val="20"/>
              </w:rPr>
            </w:pPr>
            <w:r>
              <w:rPr>
                <w:w w:val="95"/>
                <w:sz w:val="20"/>
              </w:rPr>
              <w:t>530.89</w:t>
            </w:r>
          </w:p>
        </w:tc>
        <w:tc>
          <w:tcPr>
            <w:tcW w:w="1050" w:type="dxa"/>
          </w:tcPr>
          <w:p w:rsidR="007C5447" w:rsidRDefault="00F6308C">
            <w:pPr>
              <w:pStyle w:val="TableParagraph"/>
              <w:spacing w:before="70"/>
              <w:ind w:right="172"/>
              <w:rPr>
                <w:sz w:val="20"/>
              </w:rPr>
            </w:pPr>
            <w:r>
              <w:rPr>
                <w:sz w:val="20"/>
              </w:rPr>
              <w:t>2.98</w:t>
            </w: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F6308C">
            <w:pPr>
              <w:pStyle w:val="TableParagraph"/>
              <w:spacing w:before="70"/>
              <w:ind w:right="163"/>
              <w:rPr>
                <w:sz w:val="20"/>
              </w:rPr>
            </w:pPr>
            <w:r>
              <w:rPr>
                <w:w w:val="99"/>
                <w:sz w:val="20"/>
              </w:rPr>
              <w:t>-</w:t>
            </w:r>
          </w:p>
        </w:tc>
        <w:tc>
          <w:tcPr>
            <w:tcW w:w="1417" w:type="dxa"/>
          </w:tcPr>
          <w:p w:rsidR="007C5447" w:rsidRDefault="00F6308C">
            <w:pPr>
              <w:pStyle w:val="TableParagraph"/>
              <w:spacing w:before="70"/>
              <w:ind w:right="165"/>
              <w:rPr>
                <w:sz w:val="20"/>
              </w:rPr>
            </w:pPr>
            <w:r>
              <w:rPr>
                <w:w w:val="95"/>
                <w:sz w:val="20"/>
              </w:rPr>
              <w:t>158.92</w:t>
            </w:r>
          </w:p>
        </w:tc>
        <w:tc>
          <w:tcPr>
            <w:tcW w:w="1347" w:type="dxa"/>
          </w:tcPr>
          <w:p w:rsidR="007C5447" w:rsidRDefault="00F6308C">
            <w:pPr>
              <w:pStyle w:val="TableParagraph"/>
              <w:spacing w:before="70"/>
              <w:ind w:right="159"/>
              <w:rPr>
                <w:sz w:val="20"/>
              </w:rPr>
            </w:pPr>
            <w:r>
              <w:rPr>
                <w:w w:val="99"/>
                <w:sz w:val="20"/>
              </w:rPr>
              <w:t>-</w:t>
            </w:r>
          </w:p>
        </w:tc>
      </w:tr>
      <w:tr w:rsidR="007C5447">
        <w:trPr>
          <w:trHeight w:val="369"/>
        </w:trPr>
        <w:tc>
          <w:tcPr>
            <w:tcW w:w="2854" w:type="dxa"/>
          </w:tcPr>
          <w:p w:rsidR="007C5447" w:rsidRDefault="00F6308C">
            <w:pPr>
              <w:pStyle w:val="TableParagraph"/>
              <w:spacing w:before="70"/>
              <w:ind w:left="107"/>
              <w:jc w:val="left"/>
              <w:rPr>
                <w:sz w:val="20"/>
              </w:rPr>
            </w:pPr>
            <w:r>
              <w:rPr>
                <w:sz w:val="20"/>
              </w:rPr>
              <w:t>MTPS Stage III</w:t>
            </w:r>
          </w:p>
        </w:tc>
        <w:tc>
          <w:tcPr>
            <w:tcW w:w="1265" w:type="dxa"/>
          </w:tcPr>
          <w:p w:rsidR="007C5447" w:rsidRDefault="00F6308C">
            <w:pPr>
              <w:pStyle w:val="TableParagraph"/>
              <w:spacing w:before="70"/>
              <w:ind w:right="173"/>
              <w:rPr>
                <w:sz w:val="20"/>
              </w:rPr>
            </w:pPr>
            <w:r>
              <w:rPr>
                <w:w w:val="95"/>
                <w:sz w:val="20"/>
              </w:rPr>
              <w:t>1,888.88</w:t>
            </w:r>
          </w:p>
        </w:tc>
        <w:tc>
          <w:tcPr>
            <w:tcW w:w="1264" w:type="dxa"/>
          </w:tcPr>
          <w:p w:rsidR="007C5447" w:rsidRDefault="00F6308C">
            <w:pPr>
              <w:pStyle w:val="TableParagraph"/>
              <w:spacing w:before="70"/>
              <w:ind w:right="171"/>
              <w:rPr>
                <w:sz w:val="20"/>
              </w:rPr>
            </w:pPr>
            <w:r>
              <w:rPr>
                <w:w w:val="95"/>
                <w:sz w:val="20"/>
              </w:rPr>
              <w:t>781.49</w:t>
            </w:r>
          </w:p>
        </w:tc>
        <w:tc>
          <w:tcPr>
            <w:tcW w:w="1050" w:type="dxa"/>
          </w:tcPr>
          <w:p w:rsidR="007C5447" w:rsidRDefault="00F6308C">
            <w:pPr>
              <w:pStyle w:val="TableParagraph"/>
              <w:spacing w:before="70"/>
              <w:ind w:right="172"/>
              <w:rPr>
                <w:sz w:val="20"/>
              </w:rPr>
            </w:pPr>
            <w:r>
              <w:rPr>
                <w:sz w:val="20"/>
              </w:rPr>
              <w:t>4.14</w:t>
            </w:r>
          </w:p>
        </w:tc>
        <w:tc>
          <w:tcPr>
            <w:tcW w:w="1088" w:type="dxa"/>
          </w:tcPr>
          <w:p w:rsidR="007C5447" w:rsidRDefault="00F6308C">
            <w:pPr>
              <w:pStyle w:val="TableParagraph"/>
              <w:spacing w:before="70"/>
              <w:ind w:right="166"/>
              <w:rPr>
                <w:sz w:val="20"/>
              </w:rPr>
            </w:pPr>
            <w:r>
              <w:rPr>
                <w:w w:val="95"/>
                <w:sz w:val="20"/>
              </w:rPr>
              <w:t>1,840.00</w:t>
            </w:r>
          </w:p>
        </w:tc>
        <w:tc>
          <w:tcPr>
            <w:tcW w:w="1091" w:type="dxa"/>
          </w:tcPr>
          <w:p w:rsidR="007C5447" w:rsidRDefault="00F6308C">
            <w:pPr>
              <w:pStyle w:val="TableParagraph"/>
              <w:spacing w:before="70"/>
              <w:ind w:right="169"/>
              <w:rPr>
                <w:sz w:val="20"/>
              </w:rPr>
            </w:pPr>
            <w:r>
              <w:rPr>
                <w:w w:val="95"/>
                <w:sz w:val="20"/>
              </w:rPr>
              <w:t>179.95</w:t>
            </w:r>
          </w:p>
        </w:tc>
        <w:tc>
          <w:tcPr>
            <w:tcW w:w="1148" w:type="dxa"/>
          </w:tcPr>
          <w:p w:rsidR="007C5447" w:rsidRDefault="00F6308C">
            <w:pPr>
              <w:pStyle w:val="TableParagraph"/>
              <w:spacing w:before="70"/>
              <w:ind w:right="165"/>
              <w:rPr>
                <w:sz w:val="20"/>
              </w:rPr>
            </w:pPr>
            <w:r>
              <w:rPr>
                <w:sz w:val="20"/>
              </w:rPr>
              <w:t>0.98</w:t>
            </w:r>
          </w:p>
        </w:tc>
        <w:tc>
          <w:tcPr>
            <w:tcW w:w="1432" w:type="dxa"/>
          </w:tcPr>
          <w:p w:rsidR="007C5447" w:rsidRDefault="00F6308C">
            <w:pPr>
              <w:pStyle w:val="TableParagraph"/>
              <w:spacing w:before="70"/>
              <w:ind w:right="165"/>
              <w:rPr>
                <w:sz w:val="20"/>
              </w:rPr>
            </w:pPr>
            <w:r>
              <w:rPr>
                <w:w w:val="95"/>
                <w:sz w:val="20"/>
              </w:rPr>
              <w:t>1,840.00</w:t>
            </w:r>
          </w:p>
        </w:tc>
        <w:tc>
          <w:tcPr>
            <w:tcW w:w="1417" w:type="dxa"/>
          </w:tcPr>
          <w:p w:rsidR="007C5447" w:rsidRDefault="00F6308C">
            <w:pPr>
              <w:pStyle w:val="TableParagraph"/>
              <w:spacing w:before="70"/>
              <w:ind w:right="165"/>
              <w:rPr>
                <w:sz w:val="20"/>
              </w:rPr>
            </w:pPr>
            <w:r>
              <w:rPr>
                <w:w w:val="95"/>
                <w:sz w:val="20"/>
              </w:rPr>
              <w:t>537.16</w:t>
            </w:r>
          </w:p>
        </w:tc>
        <w:tc>
          <w:tcPr>
            <w:tcW w:w="1347" w:type="dxa"/>
          </w:tcPr>
          <w:p w:rsidR="007C5447" w:rsidRDefault="00F6308C">
            <w:pPr>
              <w:pStyle w:val="TableParagraph"/>
              <w:spacing w:before="70"/>
              <w:ind w:right="163"/>
              <w:rPr>
                <w:sz w:val="20"/>
              </w:rPr>
            </w:pPr>
            <w:r>
              <w:rPr>
                <w:sz w:val="20"/>
              </w:rPr>
              <w:t>2.92</w:t>
            </w:r>
          </w:p>
        </w:tc>
      </w:tr>
      <w:tr w:rsidR="007C5447">
        <w:trPr>
          <w:trHeight w:val="371"/>
        </w:trPr>
        <w:tc>
          <w:tcPr>
            <w:tcW w:w="2854" w:type="dxa"/>
          </w:tcPr>
          <w:p w:rsidR="007C5447" w:rsidRDefault="00F6308C">
            <w:pPr>
              <w:pStyle w:val="TableParagraph"/>
              <w:spacing w:before="72"/>
              <w:ind w:left="107"/>
              <w:jc w:val="left"/>
              <w:rPr>
                <w:sz w:val="20"/>
              </w:rPr>
            </w:pPr>
            <w:r>
              <w:rPr>
                <w:sz w:val="20"/>
              </w:rPr>
              <w:t>Ennore Expansion</w:t>
            </w:r>
          </w:p>
        </w:tc>
        <w:tc>
          <w:tcPr>
            <w:tcW w:w="1265" w:type="dxa"/>
          </w:tcPr>
          <w:p w:rsidR="007C5447" w:rsidRDefault="00F6308C">
            <w:pPr>
              <w:pStyle w:val="TableParagraph"/>
              <w:spacing w:before="72"/>
              <w:ind w:right="171"/>
              <w:rPr>
                <w:sz w:val="20"/>
              </w:rPr>
            </w:pPr>
            <w:r>
              <w:rPr>
                <w:w w:val="99"/>
                <w:sz w:val="20"/>
              </w:rPr>
              <w:t>-</w:t>
            </w:r>
          </w:p>
        </w:tc>
        <w:tc>
          <w:tcPr>
            <w:tcW w:w="1264" w:type="dxa"/>
          </w:tcPr>
          <w:p w:rsidR="007C5447" w:rsidRDefault="00F6308C">
            <w:pPr>
              <w:pStyle w:val="TableParagraph"/>
              <w:spacing w:before="72"/>
              <w:ind w:right="167"/>
              <w:rPr>
                <w:sz w:val="20"/>
              </w:rPr>
            </w:pPr>
            <w:r>
              <w:rPr>
                <w:w w:val="99"/>
                <w:sz w:val="20"/>
              </w:rPr>
              <w:t>-</w:t>
            </w:r>
          </w:p>
        </w:tc>
        <w:tc>
          <w:tcPr>
            <w:tcW w:w="1050" w:type="dxa"/>
          </w:tcPr>
          <w:p w:rsidR="007C5447" w:rsidRDefault="007C5447">
            <w:pPr>
              <w:pStyle w:val="TableParagraph"/>
              <w:jc w:val="left"/>
              <w:rPr>
                <w:sz w:val="20"/>
              </w:rPr>
            </w:pPr>
          </w:p>
        </w:tc>
        <w:tc>
          <w:tcPr>
            <w:tcW w:w="1088" w:type="dxa"/>
          </w:tcPr>
          <w:p w:rsidR="007C5447" w:rsidRDefault="00F6308C">
            <w:pPr>
              <w:pStyle w:val="TableParagraph"/>
              <w:spacing w:before="72"/>
              <w:ind w:right="165"/>
              <w:rPr>
                <w:sz w:val="20"/>
              </w:rPr>
            </w:pPr>
            <w:r>
              <w:rPr>
                <w:w w:val="99"/>
                <w:sz w:val="20"/>
              </w:rPr>
              <w:t>-</w:t>
            </w: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F6308C">
            <w:pPr>
              <w:pStyle w:val="TableParagraph"/>
              <w:spacing w:before="72"/>
              <w:ind w:right="163"/>
              <w:rPr>
                <w:sz w:val="20"/>
              </w:rPr>
            </w:pPr>
            <w:r>
              <w:rPr>
                <w:w w:val="99"/>
                <w:sz w:val="20"/>
              </w:rPr>
              <w:t>-</w:t>
            </w:r>
          </w:p>
        </w:tc>
        <w:tc>
          <w:tcPr>
            <w:tcW w:w="1417" w:type="dxa"/>
          </w:tcPr>
          <w:p w:rsidR="007C5447" w:rsidRDefault="00F6308C">
            <w:pPr>
              <w:pStyle w:val="TableParagraph"/>
              <w:spacing w:before="72"/>
              <w:ind w:right="161"/>
              <w:rPr>
                <w:sz w:val="20"/>
              </w:rPr>
            </w:pPr>
            <w:r>
              <w:rPr>
                <w:w w:val="99"/>
                <w:sz w:val="20"/>
              </w:rPr>
              <w:t>-</w:t>
            </w:r>
          </w:p>
        </w:tc>
        <w:tc>
          <w:tcPr>
            <w:tcW w:w="1347" w:type="dxa"/>
          </w:tcPr>
          <w:p w:rsidR="007C5447" w:rsidRDefault="00F6308C">
            <w:pPr>
              <w:pStyle w:val="TableParagraph"/>
              <w:spacing w:before="72"/>
              <w:ind w:right="159"/>
              <w:rPr>
                <w:sz w:val="20"/>
              </w:rPr>
            </w:pPr>
            <w:r>
              <w:rPr>
                <w:w w:val="99"/>
                <w:sz w:val="20"/>
              </w:rPr>
              <w:t>-</w:t>
            </w:r>
          </w:p>
        </w:tc>
      </w:tr>
      <w:tr w:rsidR="007C5447">
        <w:trPr>
          <w:trHeight w:val="369"/>
        </w:trPr>
        <w:tc>
          <w:tcPr>
            <w:tcW w:w="2854" w:type="dxa"/>
          </w:tcPr>
          <w:p w:rsidR="007C5447" w:rsidRDefault="00F6308C">
            <w:pPr>
              <w:pStyle w:val="TableParagraph"/>
              <w:spacing w:before="70"/>
              <w:ind w:left="801"/>
              <w:jc w:val="left"/>
              <w:rPr>
                <w:b/>
                <w:sz w:val="20"/>
              </w:rPr>
            </w:pPr>
            <w:r>
              <w:rPr>
                <w:b/>
                <w:sz w:val="20"/>
              </w:rPr>
              <w:t>Total Thermal</w:t>
            </w:r>
          </w:p>
        </w:tc>
        <w:tc>
          <w:tcPr>
            <w:tcW w:w="1265" w:type="dxa"/>
          </w:tcPr>
          <w:p w:rsidR="007C5447" w:rsidRDefault="00F6308C">
            <w:pPr>
              <w:pStyle w:val="TableParagraph"/>
              <w:spacing w:before="70"/>
              <w:ind w:right="175"/>
              <w:rPr>
                <w:b/>
                <w:sz w:val="20"/>
              </w:rPr>
            </w:pPr>
            <w:r>
              <w:rPr>
                <w:b/>
                <w:w w:val="95"/>
                <w:sz w:val="20"/>
              </w:rPr>
              <w:t>21,582.95</w:t>
            </w:r>
          </w:p>
        </w:tc>
        <w:tc>
          <w:tcPr>
            <w:tcW w:w="1264" w:type="dxa"/>
          </w:tcPr>
          <w:p w:rsidR="007C5447" w:rsidRDefault="00F6308C">
            <w:pPr>
              <w:pStyle w:val="TableParagraph"/>
              <w:spacing w:before="70"/>
              <w:ind w:right="169"/>
              <w:rPr>
                <w:b/>
                <w:sz w:val="20"/>
              </w:rPr>
            </w:pPr>
            <w:r>
              <w:rPr>
                <w:b/>
                <w:w w:val="95"/>
                <w:sz w:val="20"/>
              </w:rPr>
              <w:t>8,436.86</w:t>
            </w:r>
          </w:p>
        </w:tc>
        <w:tc>
          <w:tcPr>
            <w:tcW w:w="1050" w:type="dxa"/>
          </w:tcPr>
          <w:p w:rsidR="007C5447" w:rsidRDefault="00F6308C">
            <w:pPr>
              <w:pStyle w:val="TableParagraph"/>
              <w:spacing w:before="70"/>
              <w:ind w:right="172"/>
              <w:rPr>
                <w:b/>
                <w:sz w:val="20"/>
              </w:rPr>
            </w:pPr>
            <w:r>
              <w:rPr>
                <w:b/>
                <w:sz w:val="20"/>
              </w:rPr>
              <w:t>3.91</w:t>
            </w:r>
          </w:p>
        </w:tc>
        <w:tc>
          <w:tcPr>
            <w:tcW w:w="1088" w:type="dxa"/>
          </w:tcPr>
          <w:p w:rsidR="007C5447" w:rsidRDefault="00F6308C">
            <w:pPr>
              <w:pStyle w:val="TableParagraph"/>
              <w:spacing w:before="70"/>
              <w:ind w:right="166"/>
              <w:rPr>
                <w:b/>
                <w:sz w:val="20"/>
              </w:rPr>
            </w:pPr>
            <w:r>
              <w:rPr>
                <w:b/>
                <w:w w:val="95"/>
                <w:sz w:val="20"/>
              </w:rPr>
              <w:t>19,752.08</w:t>
            </w:r>
          </w:p>
        </w:tc>
        <w:tc>
          <w:tcPr>
            <w:tcW w:w="1091" w:type="dxa"/>
          </w:tcPr>
          <w:p w:rsidR="007C5447" w:rsidRDefault="00F6308C">
            <w:pPr>
              <w:pStyle w:val="TableParagraph"/>
              <w:spacing w:before="70"/>
              <w:ind w:right="167"/>
              <w:rPr>
                <w:b/>
                <w:sz w:val="20"/>
              </w:rPr>
            </w:pPr>
            <w:r>
              <w:rPr>
                <w:b/>
                <w:w w:val="95"/>
                <w:sz w:val="20"/>
              </w:rPr>
              <w:t>10,157.76</w:t>
            </w:r>
          </w:p>
        </w:tc>
        <w:tc>
          <w:tcPr>
            <w:tcW w:w="1148" w:type="dxa"/>
          </w:tcPr>
          <w:p w:rsidR="007C5447" w:rsidRDefault="00F6308C">
            <w:pPr>
              <w:pStyle w:val="TableParagraph"/>
              <w:spacing w:before="70"/>
              <w:ind w:right="165"/>
              <w:rPr>
                <w:b/>
                <w:sz w:val="20"/>
              </w:rPr>
            </w:pPr>
            <w:r>
              <w:rPr>
                <w:b/>
                <w:sz w:val="20"/>
              </w:rPr>
              <w:t>5.14</w:t>
            </w:r>
          </w:p>
        </w:tc>
        <w:tc>
          <w:tcPr>
            <w:tcW w:w="1432" w:type="dxa"/>
          </w:tcPr>
          <w:p w:rsidR="007C5447" w:rsidRDefault="00F6308C">
            <w:pPr>
              <w:pStyle w:val="TableParagraph"/>
              <w:spacing w:before="70"/>
              <w:ind w:right="167"/>
              <w:rPr>
                <w:b/>
                <w:sz w:val="20"/>
              </w:rPr>
            </w:pPr>
            <w:r>
              <w:rPr>
                <w:b/>
                <w:w w:val="95"/>
                <w:sz w:val="20"/>
              </w:rPr>
              <w:t>19,752.08</w:t>
            </w:r>
          </w:p>
        </w:tc>
        <w:tc>
          <w:tcPr>
            <w:tcW w:w="1417" w:type="dxa"/>
          </w:tcPr>
          <w:p w:rsidR="007C5447" w:rsidRDefault="00F6308C">
            <w:pPr>
              <w:pStyle w:val="TableParagraph"/>
              <w:spacing w:before="70"/>
              <w:ind w:right="163"/>
              <w:rPr>
                <w:b/>
                <w:sz w:val="20"/>
              </w:rPr>
            </w:pPr>
            <w:r>
              <w:rPr>
                <w:b/>
                <w:w w:val="95"/>
                <w:sz w:val="20"/>
              </w:rPr>
              <w:t>7,262.19</w:t>
            </w:r>
          </w:p>
        </w:tc>
        <w:tc>
          <w:tcPr>
            <w:tcW w:w="1347" w:type="dxa"/>
          </w:tcPr>
          <w:p w:rsidR="007C5447" w:rsidRDefault="00F6308C">
            <w:pPr>
              <w:pStyle w:val="TableParagraph"/>
              <w:spacing w:before="70"/>
              <w:ind w:right="163"/>
              <w:rPr>
                <w:b/>
                <w:sz w:val="20"/>
              </w:rPr>
            </w:pPr>
            <w:r>
              <w:rPr>
                <w:b/>
                <w:sz w:val="20"/>
              </w:rPr>
              <w:t>3.68</w:t>
            </w:r>
          </w:p>
        </w:tc>
      </w:tr>
      <w:tr w:rsidR="007C5447">
        <w:trPr>
          <w:trHeight w:val="369"/>
        </w:trPr>
        <w:tc>
          <w:tcPr>
            <w:tcW w:w="2854" w:type="dxa"/>
          </w:tcPr>
          <w:p w:rsidR="007C5447" w:rsidRDefault="00F6308C">
            <w:pPr>
              <w:pStyle w:val="TableParagraph"/>
              <w:spacing w:before="70"/>
              <w:ind w:left="107"/>
              <w:jc w:val="left"/>
              <w:rPr>
                <w:sz w:val="20"/>
              </w:rPr>
            </w:pPr>
            <w:r>
              <w:rPr>
                <w:sz w:val="20"/>
              </w:rPr>
              <w:t>TGTPS</w:t>
            </w:r>
          </w:p>
        </w:tc>
        <w:tc>
          <w:tcPr>
            <w:tcW w:w="1265" w:type="dxa"/>
          </w:tcPr>
          <w:p w:rsidR="007C5447" w:rsidRDefault="00F6308C">
            <w:pPr>
              <w:pStyle w:val="TableParagraph"/>
              <w:spacing w:before="70"/>
              <w:ind w:right="175"/>
              <w:rPr>
                <w:sz w:val="20"/>
              </w:rPr>
            </w:pPr>
            <w:r>
              <w:rPr>
                <w:w w:val="95"/>
                <w:sz w:val="20"/>
              </w:rPr>
              <w:t>453.17</w:t>
            </w:r>
          </w:p>
        </w:tc>
        <w:tc>
          <w:tcPr>
            <w:tcW w:w="1264" w:type="dxa"/>
          </w:tcPr>
          <w:p w:rsidR="007C5447" w:rsidRDefault="00F6308C">
            <w:pPr>
              <w:pStyle w:val="TableParagraph"/>
              <w:spacing w:before="70"/>
              <w:ind w:right="171"/>
              <w:rPr>
                <w:sz w:val="20"/>
              </w:rPr>
            </w:pPr>
            <w:r>
              <w:rPr>
                <w:w w:val="95"/>
                <w:sz w:val="20"/>
              </w:rPr>
              <w:t>153.54</w:t>
            </w:r>
          </w:p>
        </w:tc>
        <w:tc>
          <w:tcPr>
            <w:tcW w:w="1050" w:type="dxa"/>
          </w:tcPr>
          <w:p w:rsidR="007C5447" w:rsidRDefault="00F6308C">
            <w:pPr>
              <w:pStyle w:val="TableParagraph"/>
              <w:spacing w:before="70"/>
              <w:ind w:right="172"/>
              <w:rPr>
                <w:sz w:val="20"/>
              </w:rPr>
            </w:pPr>
            <w:r>
              <w:rPr>
                <w:sz w:val="20"/>
              </w:rPr>
              <w:t>3.39</w:t>
            </w:r>
          </w:p>
        </w:tc>
        <w:tc>
          <w:tcPr>
            <w:tcW w:w="1088" w:type="dxa"/>
          </w:tcPr>
          <w:p w:rsidR="007C5447" w:rsidRDefault="00F6308C">
            <w:pPr>
              <w:pStyle w:val="TableParagraph"/>
              <w:spacing w:before="70"/>
              <w:ind w:right="168"/>
              <w:rPr>
                <w:sz w:val="20"/>
              </w:rPr>
            </w:pPr>
            <w:r>
              <w:rPr>
                <w:w w:val="95"/>
                <w:sz w:val="20"/>
              </w:rPr>
              <w:t>456.00</w:t>
            </w:r>
          </w:p>
        </w:tc>
        <w:tc>
          <w:tcPr>
            <w:tcW w:w="1091" w:type="dxa"/>
          </w:tcPr>
          <w:p w:rsidR="007C5447" w:rsidRDefault="00F6308C">
            <w:pPr>
              <w:pStyle w:val="TableParagraph"/>
              <w:spacing w:before="70"/>
              <w:ind w:right="167"/>
              <w:rPr>
                <w:sz w:val="20"/>
              </w:rPr>
            </w:pPr>
            <w:r>
              <w:rPr>
                <w:sz w:val="20"/>
              </w:rPr>
              <w:t>312.74</w:t>
            </w:r>
          </w:p>
        </w:tc>
        <w:tc>
          <w:tcPr>
            <w:tcW w:w="1148" w:type="dxa"/>
          </w:tcPr>
          <w:p w:rsidR="007C5447" w:rsidRDefault="00F6308C">
            <w:pPr>
              <w:pStyle w:val="TableParagraph"/>
              <w:spacing w:before="70"/>
              <w:ind w:right="165"/>
              <w:rPr>
                <w:sz w:val="20"/>
              </w:rPr>
            </w:pPr>
            <w:r>
              <w:rPr>
                <w:sz w:val="20"/>
              </w:rPr>
              <w:t>6.86</w:t>
            </w:r>
          </w:p>
        </w:tc>
        <w:tc>
          <w:tcPr>
            <w:tcW w:w="1432" w:type="dxa"/>
          </w:tcPr>
          <w:p w:rsidR="007C5447" w:rsidRDefault="00F6308C">
            <w:pPr>
              <w:pStyle w:val="TableParagraph"/>
              <w:spacing w:before="70"/>
              <w:ind w:right="167"/>
              <w:rPr>
                <w:sz w:val="20"/>
              </w:rPr>
            </w:pPr>
            <w:r>
              <w:rPr>
                <w:w w:val="95"/>
                <w:sz w:val="20"/>
              </w:rPr>
              <w:t>456.00</w:t>
            </w:r>
          </w:p>
        </w:tc>
        <w:tc>
          <w:tcPr>
            <w:tcW w:w="1417" w:type="dxa"/>
          </w:tcPr>
          <w:p w:rsidR="007C5447" w:rsidRDefault="00F6308C">
            <w:pPr>
              <w:pStyle w:val="TableParagraph"/>
              <w:spacing w:before="70"/>
              <w:ind w:right="165"/>
              <w:rPr>
                <w:sz w:val="20"/>
              </w:rPr>
            </w:pPr>
            <w:r>
              <w:rPr>
                <w:w w:val="95"/>
                <w:sz w:val="20"/>
              </w:rPr>
              <w:t>172.81</w:t>
            </w:r>
          </w:p>
        </w:tc>
        <w:tc>
          <w:tcPr>
            <w:tcW w:w="1347" w:type="dxa"/>
          </w:tcPr>
          <w:p w:rsidR="007C5447" w:rsidRDefault="00F6308C">
            <w:pPr>
              <w:pStyle w:val="TableParagraph"/>
              <w:spacing w:before="70"/>
              <w:ind w:right="163"/>
              <w:rPr>
                <w:sz w:val="20"/>
              </w:rPr>
            </w:pPr>
            <w:r>
              <w:rPr>
                <w:sz w:val="20"/>
              </w:rPr>
              <w:t>3.79</w:t>
            </w:r>
          </w:p>
        </w:tc>
      </w:tr>
      <w:tr w:rsidR="007C5447">
        <w:trPr>
          <w:trHeight w:val="371"/>
        </w:trPr>
        <w:tc>
          <w:tcPr>
            <w:tcW w:w="2854" w:type="dxa"/>
          </w:tcPr>
          <w:p w:rsidR="007C5447" w:rsidRDefault="00F6308C">
            <w:pPr>
              <w:pStyle w:val="TableParagraph"/>
              <w:spacing w:before="72"/>
              <w:ind w:left="107"/>
              <w:jc w:val="left"/>
              <w:rPr>
                <w:sz w:val="20"/>
              </w:rPr>
            </w:pPr>
            <w:r>
              <w:rPr>
                <w:sz w:val="20"/>
              </w:rPr>
              <w:t>KGTPS</w:t>
            </w:r>
          </w:p>
        </w:tc>
        <w:tc>
          <w:tcPr>
            <w:tcW w:w="1265" w:type="dxa"/>
          </w:tcPr>
          <w:p w:rsidR="007C5447" w:rsidRDefault="00F6308C">
            <w:pPr>
              <w:pStyle w:val="TableParagraph"/>
              <w:spacing w:before="72"/>
              <w:ind w:right="175"/>
              <w:rPr>
                <w:sz w:val="20"/>
              </w:rPr>
            </w:pPr>
            <w:r>
              <w:rPr>
                <w:w w:val="95"/>
                <w:sz w:val="20"/>
              </w:rPr>
              <w:t>598.01</w:t>
            </w:r>
          </w:p>
        </w:tc>
        <w:tc>
          <w:tcPr>
            <w:tcW w:w="1264" w:type="dxa"/>
          </w:tcPr>
          <w:p w:rsidR="007C5447" w:rsidRDefault="00F6308C">
            <w:pPr>
              <w:pStyle w:val="TableParagraph"/>
              <w:spacing w:before="72"/>
              <w:ind w:right="171"/>
              <w:rPr>
                <w:sz w:val="20"/>
              </w:rPr>
            </w:pPr>
            <w:r>
              <w:rPr>
                <w:w w:val="95"/>
                <w:sz w:val="20"/>
              </w:rPr>
              <w:t>228.26</w:t>
            </w:r>
          </w:p>
        </w:tc>
        <w:tc>
          <w:tcPr>
            <w:tcW w:w="1050" w:type="dxa"/>
          </w:tcPr>
          <w:p w:rsidR="007C5447" w:rsidRDefault="00F6308C">
            <w:pPr>
              <w:pStyle w:val="TableParagraph"/>
              <w:spacing w:before="72"/>
              <w:ind w:right="172"/>
              <w:rPr>
                <w:sz w:val="20"/>
              </w:rPr>
            </w:pPr>
            <w:r>
              <w:rPr>
                <w:sz w:val="20"/>
              </w:rPr>
              <w:t>3.82</w:t>
            </w:r>
          </w:p>
        </w:tc>
        <w:tc>
          <w:tcPr>
            <w:tcW w:w="1088" w:type="dxa"/>
          </w:tcPr>
          <w:p w:rsidR="007C5447" w:rsidRDefault="00F6308C">
            <w:pPr>
              <w:pStyle w:val="TableParagraph"/>
              <w:spacing w:before="72"/>
              <w:ind w:right="168"/>
              <w:rPr>
                <w:sz w:val="20"/>
              </w:rPr>
            </w:pPr>
            <w:r>
              <w:rPr>
                <w:w w:val="95"/>
                <w:sz w:val="20"/>
              </w:rPr>
              <w:t>594.00</w:t>
            </w:r>
          </w:p>
        </w:tc>
        <w:tc>
          <w:tcPr>
            <w:tcW w:w="1091" w:type="dxa"/>
          </w:tcPr>
          <w:p w:rsidR="007C5447" w:rsidRDefault="00F6308C">
            <w:pPr>
              <w:pStyle w:val="TableParagraph"/>
              <w:spacing w:before="72"/>
              <w:ind w:right="169"/>
              <w:rPr>
                <w:sz w:val="20"/>
              </w:rPr>
            </w:pPr>
            <w:r>
              <w:rPr>
                <w:w w:val="95"/>
                <w:sz w:val="20"/>
              </w:rPr>
              <w:t>361.62</w:t>
            </w:r>
          </w:p>
        </w:tc>
        <w:tc>
          <w:tcPr>
            <w:tcW w:w="1148" w:type="dxa"/>
          </w:tcPr>
          <w:p w:rsidR="007C5447" w:rsidRDefault="00F6308C">
            <w:pPr>
              <w:pStyle w:val="TableParagraph"/>
              <w:spacing w:before="72"/>
              <w:ind w:right="165"/>
              <w:rPr>
                <w:sz w:val="20"/>
              </w:rPr>
            </w:pPr>
            <w:r>
              <w:rPr>
                <w:sz w:val="20"/>
              </w:rPr>
              <w:t>6.09</w:t>
            </w:r>
          </w:p>
        </w:tc>
        <w:tc>
          <w:tcPr>
            <w:tcW w:w="1432" w:type="dxa"/>
          </w:tcPr>
          <w:p w:rsidR="007C5447" w:rsidRDefault="00F6308C">
            <w:pPr>
              <w:pStyle w:val="TableParagraph"/>
              <w:spacing w:before="72"/>
              <w:ind w:right="167"/>
              <w:rPr>
                <w:sz w:val="20"/>
              </w:rPr>
            </w:pPr>
            <w:r>
              <w:rPr>
                <w:w w:val="95"/>
                <w:sz w:val="20"/>
              </w:rPr>
              <w:t>594.00</w:t>
            </w:r>
          </w:p>
        </w:tc>
        <w:tc>
          <w:tcPr>
            <w:tcW w:w="1417" w:type="dxa"/>
          </w:tcPr>
          <w:p w:rsidR="007C5447" w:rsidRDefault="00F6308C">
            <w:pPr>
              <w:pStyle w:val="TableParagraph"/>
              <w:spacing w:before="72"/>
              <w:ind w:right="165"/>
              <w:rPr>
                <w:sz w:val="20"/>
              </w:rPr>
            </w:pPr>
            <w:r>
              <w:rPr>
                <w:w w:val="95"/>
                <w:sz w:val="20"/>
              </w:rPr>
              <w:t>213.13</w:t>
            </w:r>
          </w:p>
        </w:tc>
        <w:tc>
          <w:tcPr>
            <w:tcW w:w="1347" w:type="dxa"/>
          </w:tcPr>
          <w:p w:rsidR="007C5447" w:rsidRDefault="00F6308C">
            <w:pPr>
              <w:pStyle w:val="TableParagraph"/>
              <w:spacing w:before="72"/>
              <w:ind w:right="163"/>
              <w:rPr>
                <w:sz w:val="20"/>
              </w:rPr>
            </w:pPr>
            <w:r>
              <w:rPr>
                <w:sz w:val="20"/>
              </w:rPr>
              <w:t>3.59</w:t>
            </w:r>
          </w:p>
        </w:tc>
      </w:tr>
      <w:tr w:rsidR="007C5447">
        <w:trPr>
          <w:trHeight w:val="369"/>
        </w:trPr>
        <w:tc>
          <w:tcPr>
            <w:tcW w:w="2854" w:type="dxa"/>
          </w:tcPr>
          <w:p w:rsidR="007C5447" w:rsidRDefault="00F6308C">
            <w:pPr>
              <w:pStyle w:val="TableParagraph"/>
              <w:spacing w:before="70"/>
              <w:ind w:left="107"/>
              <w:jc w:val="left"/>
              <w:rPr>
                <w:sz w:val="20"/>
              </w:rPr>
            </w:pPr>
            <w:r>
              <w:rPr>
                <w:sz w:val="20"/>
              </w:rPr>
              <w:t>BBGTPS</w:t>
            </w:r>
          </w:p>
        </w:tc>
        <w:tc>
          <w:tcPr>
            <w:tcW w:w="1265" w:type="dxa"/>
          </w:tcPr>
          <w:p w:rsidR="007C5447" w:rsidRDefault="007C5447">
            <w:pPr>
              <w:pStyle w:val="TableParagraph"/>
              <w:jc w:val="left"/>
              <w:rPr>
                <w:sz w:val="20"/>
              </w:rPr>
            </w:pPr>
          </w:p>
        </w:tc>
        <w:tc>
          <w:tcPr>
            <w:tcW w:w="1264" w:type="dxa"/>
          </w:tcPr>
          <w:p w:rsidR="007C5447" w:rsidRDefault="00F6308C">
            <w:pPr>
              <w:pStyle w:val="TableParagraph"/>
              <w:spacing w:before="70"/>
              <w:ind w:right="171"/>
              <w:rPr>
                <w:sz w:val="20"/>
              </w:rPr>
            </w:pPr>
            <w:r>
              <w:rPr>
                <w:w w:val="95"/>
                <w:sz w:val="20"/>
              </w:rPr>
              <w:t>46.16</w:t>
            </w:r>
          </w:p>
        </w:tc>
        <w:tc>
          <w:tcPr>
            <w:tcW w:w="1050" w:type="dxa"/>
          </w:tcPr>
          <w:p w:rsidR="007C5447" w:rsidRDefault="007C5447">
            <w:pPr>
              <w:pStyle w:val="TableParagraph"/>
              <w:jc w:val="left"/>
              <w:rPr>
                <w:sz w:val="20"/>
              </w:rPr>
            </w:pPr>
          </w:p>
        </w:tc>
        <w:tc>
          <w:tcPr>
            <w:tcW w:w="1088" w:type="dxa"/>
          </w:tcPr>
          <w:p w:rsidR="007C5447" w:rsidRDefault="00F6308C">
            <w:pPr>
              <w:pStyle w:val="TableParagraph"/>
              <w:spacing w:before="70"/>
              <w:ind w:right="165"/>
              <w:rPr>
                <w:sz w:val="20"/>
              </w:rPr>
            </w:pPr>
            <w:r>
              <w:rPr>
                <w:w w:val="99"/>
                <w:sz w:val="20"/>
              </w:rPr>
              <w:t>-</w:t>
            </w:r>
          </w:p>
        </w:tc>
        <w:tc>
          <w:tcPr>
            <w:tcW w:w="1091" w:type="dxa"/>
          </w:tcPr>
          <w:p w:rsidR="007C5447" w:rsidRDefault="00F6308C">
            <w:pPr>
              <w:pStyle w:val="TableParagraph"/>
              <w:spacing w:before="70"/>
              <w:ind w:right="169"/>
              <w:rPr>
                <w:sz w:val="20"/>
              </w:rPr>
            </w:pPr>
            <w:r>
              <w:rPr>
                <w:w w:val="95"/>
                <w:sz w:val="20"/>
              </w:rPr>
              <w:t>240.83</w:t>
            </w:r>
          </w:p>
        </w:tc>
        <w:tc>
          <w:tcPr>
            <w:tcW w:w="1148" w:type="dxa"/>
          </w:tcPr>
          <w:p w:rsidR="007C5447" w:rsidRDefault="007C5447">
            <w:pPr>
              <w:pStyle w:val="TableParagraph"/>
              <w:jc w:val="left"/>
              <w:rPr>
                <w:sz w:val="20"/>
              </w:rPr>
            </w:pPr>
          </w:p>
        </w:tc>
        <w:tc>
          <w:tcPr>
            <w:tcW w:w="1432" w:type="dxa"/>
          </w:tcPr>
          <w:p w:rsidR="007C5447" w:rsidRDefault="00F6308C">
            <w:pPr>
              <w:pStyle w:val="TableParagraph"/>
              <w:spacing w:before="70"/>
              <w:ind w:right="163"/>
              <w:rPr>
                <w:sz w:val="20"/>
              </w:rPr>
            </w:pPr>
            <w:r>
              <w:rPr>
                <w:w w:val="99"/>
                <w:sz w:val="20"/>
              </w:rPr>
              <w:t>-</w:t>
            </w:r>
          </w:p>
        </w:tc>
        <w:tc>
          <w:tcPr>
            <w:tcW w:w="1417" w:type="dxa"/>
          </w:tcPr>
          <w:p w:rsidR="007C5447" w:rsidRDefault="00F6308C">
            <w:pPr>
              <w:pStyle w:val="TableParagraph"/>
              <w:spacing w:before="70"/>
              <w:ind w:right="165"/>
              <w:rPr>
                <w:sz w:val="20"/>
              </w:rPr>
            </w:pPr>
            <w:r>
              <w:rPr>
                <w:w w:val="95"/>
                <w:sz w:val="20"/>
              </w:rPr>
              <w:t>47.99</w:t>
            </w:r>
          </w:p>
        </w:tc>
        <w:tc>
          <w:tcPr>
            <w:tcW w:w="1347" w:type="dxa"/>
          </w:tcPr>
          <w:p w:rsidR="007C5447" w:rsidRDefault="00F6308C">
            <w:pPr>
              <w:pStyle w:val="TableParagraph"/>
              <w:spacing w:before="70"/>
              <w:ind w:right="159"/>
              <w:rPr>
                <w:sz w:val="20"/>
              </w:rPr>
            </w:pPr>
            <w:r>
              <w:rPr>
                <w:w w:val="99"/>
                <w:sz w:val="20"/>
              </w:rPr>
              <w:t>-</w:t>
            </w:r>
          </w:p>
        </w:tc>
      </w:tr>
      <w:tr w:rsidR="007C5447">
        <w:trPr>
          <w:trHeight w:val="369"/>
        </w:trPr>
        <w:tc>
          <w:tcPr>
            <w:tcW w:w="2854" w:type="dxa"/>
          </w:tcPr>
          <w:p w:rsidR="007C5447" w:rsidRDefault="00F6308C">
            <w:pPr>
              <w:pStyle w:val="TableParagraph"/>
              <w:spacing w:before="70"/>
              <w:ind w:left="107"/>
              <w:jc w:val="left"/>
              <w:rPr>
                <w:sz w:val="20"/>
              </w:rPr>
            </w:pPr>
            <w:r>
              <w:rPr>
                <w:sz w:val="20"/>
              </w:rPr>
              <w:t>VGTPS (Unit 1 and 2)</w:t>
            </w:r>
          </w:p>
        </w:tc>
        <w:tc>
          <w:tcPr>
            <w:tcW w:w="1265" w:type="dxa"/>
          </w:tcPr>
          <w:p w:rsidR="007C5447" w:rsidRDefault="00F6308C">
            <w:pPr>
              <w:pStyle w:val="TableParagraph"/>
              <w:spacing w:before="70"/>
              <w:ind w:right="173"/>
              <w:rPr>
                <w:sz w:val="20"/>
              </w:rPr>
            </w:pPr>
            <w:r>
              <w:rPr>
                <w:w w:val="95"/>
                <w:sz w:val="20"/>
              </w:rPr>
              <w:t>1,180.78</w:t>
            </w:r>
          </w:p>
        </w:tc>
        <w:tc>
          <w:tcPr>
            <w:tcW w:w="1264" w:type="dxa"/>
          </w:tcPr>
          <w:p w:rsidR="007C5447" w:rsidRDefault="00F6308C">
            <w:pPr>
              <w:pStyle w:val="TableParagraph"/>
              <w:spacing w:before="70"/>
              <w:ind w:right="171"/>
              <w:rPr>
                <w:sz w:val="20"/>
              </w:rPr>
            </w:pPr>
            <w:r>
              <w:rPr>
                <w:w w:val="95"/>
                <w:sz w:val="20"/>
              </w:rPr>
              <w:t>450.93</w:t>
            </w:r>
          </w:p>
        </w:tc>
        <w:tc>
          <w:tcPr>
            <w:tcW w:w="1050" w:type="dxa"/>
          </w:tcPr>
          <w:p w:rsidR="007C5447" w:rsidRDefault="00F6308C">
            <w:pPr>
              <w:pStyle w:val="TableParagraph"/>
              <w:spacing w:before="70"/>
              <w:ind w:right="172"/>
              <w:rPr>
                <w:sz w:val="20"/>
              </w:rPr>
            </w:pPr>
            <w:r>
              <w:rPr>
                <w:sz w:val="20"/>
              </w:rPr>
              <w:t>3.82</w:t>
            </w:r>
          </w:p>
        </w:tc>
        <w:tc>
          <w:tcPr>
            <w:tcW w:w="1088" w:type="dxa"/>
          </w:tcPr>
          <w:p w:rsidR="007C5447" w:rsidRDefault="00F6308C">
            <w:pPr>
              <w:pStyle w:val="TableParagraph"/>
              <w:spacing w:before="70"/>
              <w:ind w:right="166"/>
              <w:rPr>
                <w:sz w:val="20"/>
              </w:rPr>
            </w:pPr>
            <w:r>
              <w:rPr>
                <w:w w:val="95"/>
                <w:sz w:val="20"/>
              </w:rPr>
              <w:t>1,180.78</w:t>
            </w:r>
          </w:p>
        </w:tc>
        <w:tc>
          <w:tcPr>
            <w:tcW w:w="1091" w:type="dxa"/>
          </w:tcPr>
          <w:p w:rsidR="007C5447" w:rsidRDefault="00F6308C">
            <w:pPr>
              <w:pStyle w:val="TableParagraph"/>
              <w:spacing w:before="70"/>
              <w:ind w:right="169"/>
              <w:rPr>
                <w:sz w:val="20"/>
              </w:rPr>
            </w:pPr>
            <w:r>
              <w:rPr>
                <w:w w:val="95"/>
                <w:sz w:val="20"/>
              </w:rPr>
              <w:t>512.81</w:t>
            </w:r>
          </w:p>
        </w:tc>
        <w:tc>
          <w:tcPr>
            <w:tcW w:w="1148" w:type="dxa"/>
          </w:tcPr>
          <w:p w:rsidR="007C5447" w:rsidRDefault="00F6308C">
            <w:pPr>
              <w:pStyle w:val="TableParagraph"/>
              <w:spacing w:before="70"/>
              <w:ind w:right="165"/>
              <w:rPr>
                <w:sz w:val="20"/>
              </w:rPr>
            </w:pPr>
            <w:r>
              <w:rPr>
                <w:sz w:val="20"/>
              </w:rPr>
              <w:t>4.34</w:t>
            </w:r>
          </w:p>
        </w:tc>
        <w:tc>
          <w:tcPr>
            <w:tcW w:w="1432" w:type="dxa"/>
          </w:tcPr>
          <w:p w:rsidR="007C5447" w:rsidRDefault="00F6308C">
            <w:pPr>
              <w:pStyle w:val="TableParagraph"/>
              <w:spacing w:before="70"/>
              <w:ind w:right="165"/>
              <w:rPr>
                <w:sz w:val="20"/>
              </w:rPr>
            </w:pPr>
            <w:r>
              <w:rPr>
                <w:w w:val="95"/>
                <w:sz w:val="20"/>
              </w:rPr>
              <w:t>1,180.78</w:t>
            </w:r>
          </w:p>
        </w:tc>
        <w:tc>
          <w:tcPr>
            <w:tcW w:w="1417" w:type="dxa"/>
          </w:tcPr>
          <w:p w:rsidR="007C5447" w:rsidRDefault="00F6308C">
            <w:pPr>
              <w:pStyle w:val="TableParagraph"/>
              <w:spacing w:before="70"/>
              <w:ind w:right="165"/>
              <w:rPr>
                <w:sz w:val="20"/>
              </w:rPr>
            </w:pPr>
            <w:r>
              <w:rPr>
                <w:w w:val="95"/>
                <w:sz w:val="20"/>
              </w:rPr>
              <w:t>417.25</w:t>
            </w:r>
          </w:p>
        </w:tc>
        <w:tc>
          <w:tcPr>
            <w:tcW w:w="1347" w:type="dxa"/>
          </w:tcPr>
          <w:p w:rsidR="007C5447" w:rsidRDefault="00F6308C">
            <w:pPr>
              <w:pStyle w:val="TableParagraph"/>
              <w:spacing w:before="70"/>
              <w:ind w:right="163"/>
              <w:rPr>
                <w:sz w:val="20"/>
              </w:rPr>
            </w:pPr>
            <w:r>
              <w:rPr>
                <w:sz w:val="20"/>
              </w:rPr>
              <w:t>3.53</w:t>
            </w:r>
          </w:p>
        </w:tc>
      </w:tr>
      <w:tr w:rsidR="007C5447">
        <w:trPr>
          <w:trHeight w:val="371"/>
        </w:trPr>
        <w:tc>
          <w:tcPr>
            <w:tcW w:w="2854" w:type="dxa"/>
          </w:tcPr>
          <w:p w:rsidR="007C5447" w:rsidRDefault="00F6308C">
            <w:pPr>
              <w:pStyle w:val="TableParagraph"/>
              <w:spacing w:before="72"/>
              <w:ind w:left="987" w:right="978"/>
              <w:jc w:val="center"/>
              <w:rPr>
                <w:b/>
                <w:sz w:val="20"/>
              </w:rPr>
            </w:pPr>
            <w:r>
              <w:rPr>
                <w:b/>
                <w:sz w:val="20"/>
              </w:rPr>
              <w:t>Total Gas</w:t>
            </w:r>
          </w:p>
        </w:tc>
        <w:tc>
          <w:tcPr>
            <w:tcW w:w="1265" w:type="dxa"/>
          </w:tcPr>
          <w:p w:rsidR="007C5447" w:rsidRDefault="00F6308C">
            <w:pPr>
              <w:pStyle w:val="TableParagraph"/>
              <w:spacing w:before="72"/>
              <w:ind w:right="173"/>
              <w:rPr>
                <w:b/>
                <w:sz w:val="20"/>
              </w:rPr>
            </w:pPr>
            <w:r>
              <w:rPr>
                <w:b/>
                <w:w w:val="95"/>
                <w:sz w:val="20"/>
              </w:rPr>
              <w:t>2,231.96</w:t>
            </w:r>
          </w:p>
        </w:tc>
        <w:tc>
          <w:tcPr>
            <w:tcW w:w="1264" w:type="dxa"/>
          </w:tcPr>
          <w:p w:rsidR="007C5447" w:rsidRDefault="00F6308C">
            <w:pPr>
              <w:pStyle w:val="TableParagraph"/>
              <w:spacing w:before="72"/>
              <w:ind w:right="171"/>
              <w:rPr>
                <w:b/>
                <w:sz w:val="20"/>
              </w:rPr>
            </w:pPr>
            <w:r>
              <w:rPr>
                <w:b/>
                <w:w w:val="95"/>
                <w:sz w:val="20"/>
              </w:rPr>
              <w:t>878.89</w:t>
            </w:r>
          </w:p>
        </w:tc>
        <w:tc>
          <w:tcPr>
            <w:tcW w:w="1050" w:type="dxa"/>
          </w:tcPr>
          <w:p w:rsidR="007C5447" w:rsidRDefault="00F6308C">
            <w:pPr>
              <w:pStyle w:val="TableParagraph"/>
              <w:spacing w:before="72"/>
              <w:ind w:right="172"/>
              <w:rPr>
                <w:b/>
                <w:sz w:val="20"/>
              </w:rPr>
            </w:pPr>
            <w:r>
              <w:rPr>
                <w:b/>
                <w:sz w:val="20"/>
              </w:rPr>
              <w:t>3.94</w:t>
            </w:r>
          </w:p>
        </w:tc>
        <w:tc>
          <w:tcPr>
            <w:tcW w:w="1088" w:type="dxa"/>
          </w:tcPr>
          <w:p w:rsidR="007C5447" w:rsidRDefault="00F6308C">
            <w:pPr>
              <w:pStyle w:val="TableParagraph"/>
              <w:spacing w:before="72"/>
              <w:ind w:right="166"/>
              <w:rPr>
                <w:b/>
                <w:sz w:val="20"/>
              </w:rPr>
            </w:pPr>
            <w:r>
              <w:rPr>
                <w:b/>
                <w:w w:val="95"/>
                <w:sz w:val="20"/>
              </w:rPr>
              <w:t>2,230.78</w:t>
            </w:r>
          </w:p>
        </w:tc>
        <w:tc>
          <w:tcPr>
            <w:tcW w:w="1091" w:type="dxa"/>
          </w:tcPr>
          <w:p w:rsidR="007C5447" w:rsidRDefault="00F6308C">
            <w:pPr>
              <w:pStyle w:val="TableParagraph"/>
              <w:spacing w:before="72"/>
              <w:ind w:right="167"/>
              <w:rPr>
                <w:b/>
                <w:sz w:val="20"/>
              </w:rPr>
            </w:pPr>
            <w:r>
              <w:rPr>
                <w:b/>
                <w:w w:val="95"/>
                <w:sz w:val="20"/>
              </w:rPr>
              <w:t>1,428.00</w:t>
            </w:r>
          </w:p>
        </w:tc>
        <w:tc>
          <w:tcPr>
            <w:tcW w:w="1148" w:type="dxa"/>
          </w:tcPr>
          <w:p w:rsidR="007C5447" w:rsidRDefault="00F6308C">
            <w:pPr>
              <w:pStyle w:val="TableParagraph"/>
              <w:spacing w:before="72"/>
              <w:ind w:right="165"/>
              <w:rPr>
                <w:b/>
                <w:sz w:val="20"/>
              </w:rPr>
            </w:pPr>
            <w:r>
              <w:rPr>
                <w:b/>
                <w:sz w:val="20"/>
              </w:rPr>
              <w:t>6.40</w:t>
            </w:r>
          </w:p>
        </w:tc>
        <w:tc>
          <w:tcPr>
            <w:tcW w:w="1432" w:type="dxa"/>
          </w:tcPr>
          <w:p w:rsidR="007C5447" w:rsidRDefault="00F6308C">
            <w:pPr>
              <w:pStyle w:val="TableParagraph"/>
              <w:spacing w:before="72"/>
              <w:ind w:right="165"/>
              <w:rPr>
                <w:b/>
                <w:sz w:val="20"/>
              </w:rPr>
            </w:pPr>
            <w:r>
              <w:rPr>
                <w:b/>
                <w:w w:val="95"/>
                <w:sz w:val="20"/>
              </w:rPr>
              <w:t>2,230.78</w:t>
            </w:r>
          </w:p>
        </w:tc>
        <w:tc>
          <w:tcPr>
            <w:tcW w:w="1417" w:type="dxa"/>
          </w:tcPr>
          <w:p w:rsidR="007C5447" w:rsidRDefault="00F6308C">
            <w:pPr>
              <w:pStyle w:val="TableParagraph"/>
              <w:spacing w:before="72"/>
              <w:ind w:right="165"/>
              <w:rPr>
                <w:b/>
                <w:sz w:val="20"/>
              </w:rPr>
            </w:pPr>
            <w:r>
              <w:rPr>
                <w:b/>
                <w:w w:val="95"/>
                <w:sz w:val="20"/>
              </w:rPr>
              <w:t>851.17</w:t>
            </w:r>
          </w:p>
        </w:tc>
        <w:tc>
          <w:tcPr>
            <w:tcW w:w="1347" w:type="dxa"/>
          </w:tcPr>
          <w:p w:rsidR="007C5447" w:rsidRDefault="00F6308C">
            <w:pPr>
              <w:pStyle w:val="TableParagraph"/>
              <w:spacing w:before="72"/>
              <w:ind w:right="163"/>
              <w:rPr>
                <w:b/>
                <w:sz w:val="20"/>
              </w:rPr>
            </w:pPr>
            <w:r>
              <w:rPr>
                <w:b/>
                <w:sz w:val="20"/>
              </w:rPr>
              <w:t>3.82</w:t>
            </w:r>
          </w:p>
        </w:tc>
      </w:tr>
      <w:tr w:rsidR="007C5447">
        <w:trPr>
          <w:trHeight w:val="369"/>
        </w:trPr>
        <w:tc>
          <w:tcPr>
            <w:tcW w:w="2854" w:type="dxa"/>
          </w:tcPr>
          <w:p w:rsidR="007C5447" w:rsidRDefault="00F6308C">
            <w:pPr>
              <w:pStyle w:val="TableParagraph"/>
              <w:spacing w:before="70"/>
              <w:ind w:left="107"/>
              <w:jc w:val="left"/>
              <w:rPr>
                <w:sz w:val="20"/>
              </w:rPr>
            </w:pPr>
            <w:r>
              <w:rPr>
                <w:sz w:val="20"/>
              </w:rPr>
              <w:t>Erode HEP</w:t>
            </w:r>
          </w:p>
        </w:tc>
        <w:tc>
          <w:tcPr>
            <w:tcW w:w="1265" w:type="dxa"/>
          </w:tcPr>
          <w:p w:rsidR="007C5447" w:rsidRDefault="00F6308C">
            <w:pPr>
              <w:pStyle w:val="TableParagraph"/>
              <w:spacing w:before="70"/>
              <w:ind w:right="175"/>
              <w:rPr>
                <w:sz w:val="20"/>
              </w:rPr>
            </w:pPr>
            <w:r>
              <w:rPr>
                <w:w w:val="95"/>
                <w:sz w:val="20"/>
              </w:rPr>
              <w:t>939.83</w:t>
            </w:r>
          </w:p>
        </w:tc>
        <w:tc>
          <w:tcPr>
            <w:tcW w:w="1264" w:type="dxa"/>
          </w:tcPr>
          <w:p w:rsidR="007C5447" w:rsidRDefault="00F6308C">
            <w:pPr>
              <w:pStyle w:val="TableParagraph"/>
              <w:spacing w:before="70"/>
              <w:ind w:right="171"/>
              <w:rPr>
                <w:sz w:val="20"/>
              </w:rPr>
            </w:pPr>
            <w:r>
              <w:rPr>
                <w:w w:val="95"/>
                <w:sz w:val="20"/>
              </w:rPr>
              <w:t>219.76</w:t>
            </w:r>
          </w:p>
        </w:tc>
        <w:tc>
          <w:tcPr>
            <w:tcW w:w="1050" w:type="dxa"/>
          </w:tcPr>
          <w:p w:rsidR="007C5447" w:rsidRDefault="00F6308C">
            <w:pPr>
              <w:pStyle w:val="TableParagraph"/>
              <w:spacing w:before="70"/>
              <w:ind w:right="172"/>
              <w:rPr>
                <w:sz w:val="20"/>
              </w:rPr>
            </w:pPr>
            <w:r>
              <w:rPr>
                <w:sz w:val="20"/>
              </w:rPr>
              <w:t>2.34</w:t>
            </w:r>
          </w:p>
        </w:tc>
        <w:tc>
          <w:tcPr>
            <w:tcW w:w="1088" w:type="dxa"/>
          </w:tcPr>
          <w:p w:rsidR="007C5447" w:rsidRDefault="00F6308C">
            <w:pPr>
              <w:pStyle w:val="TableParagraph"/>
              <w:spacing w:before="70"/>
              <w:ind w:right="168"/>
              <w:rPr>
                <w:sz w:val="20"/>
              </w:rPr>
            </w:pPr>
            <w:r>
              <w:rPr>
                <w:w w:val="95"/>
                <w:sz w:val="20"/>
              </w:rPr>
              <w:t>902.00</w:t>
            </w:r>
          </w:p>
        </w:tc>
        <w:tc>
          <w:tcPr>
            <w:tcW w:w="1091" w:type="dxa"/>
          </w:tcPr>
          <w:p w:rsidR="007C5447" w:rsidRDefault="00F6308C">
            <w:pPr>
              <w:pStyle w:val="TableParagraph"/>
              <w:spacing w:before="70"/>
              <w:ind w:right="169"/>
              <w:rPr>
                <w:sz w:val="20"/>
              </w:rPr>
            </w:pPr>
            <w:r>
              <w:rPr>
                <w:w w:val="95"/>
                <w:sz w:val="20"/>
              </w:rPr>
              <w:t>341.06</w:t>
            </w:r>
          </w:p>
        </w:tc>
        <w:tc>
          <w:tcPr>
            <w:tcW w:w="1148" w:type="dxa"/>
          </w:tcPr>
          <w:p w:rsidR="007C5447" w:rsidRDefault="00F6308C">
            <w:pPr>
              <w:pStyle w:val="TableParagraph"/>
              <w:spacing w:before="70"/>
              <w:ind w:right="165"/>
              <w:rPr>
                <w:sz w:val="20"/>
              </w:rPr>
            </w:pPr>
            <w:r>
              <w:rPr>
                <w:sz w:val="20"/>
              </w:rPr>
              <w:t>3.78</w:t>
            </w:r>
          </w:p>
        </w:tc>
        <w:tc>
          <w:tcPr>
            <w:tcW w:w="1432" w:type="dxa"/>
          </w:tcPr>
          <w:p w:rsidR="007C5447" w:rsidRDefault="00F6308C">
            <w:pPr>
              <w:pStyle w:val="TableParagraph"/>
              <w:spacing w:before="70"/>
              <w:ind w:right="167"/>
              <w:rPr>
                <w:sz w:val="20"/>
              </w:rPr>
            </w:pPr>
            <w:r>
              <w:rPr>
                <w:w w:val="95"/>
                <w:sz w:val="20"/>
              </w:rPr>
              <w:t>902.00</w:t>
            </w:r>
          </w:p>
        </w:tc>
        <w:tc>
          <w:tcPr>
            <w:tcW w:w="1417" w:type="dxa"/>
          </w:tcPr>
          <w:p w:rsidR="007C5447" w:rsidRDefault="00F6308C">
            <w:pPr>
              <w:pStyle w:val="TableParagraph"/>
              <w:spacing w:before="70"/>
              <w:ind w:right="165"/>
              <w:rPr>
                <w:sz w:val="20"/>
              </w:rPr>
            </w:pPr>
            <w:r>
              <w:rPr>
                <w:w w:val="95"/>
                <w:sz w:val="20"/>
              </w:rPr>
              <w:t>221.39</w:t>
            </w:r>
          </w:p>
        </w:tc>
        <w:tc>
          <w:tcPr>
            <w:tcW w:w="1347" w:type="dxa"/>
          </w:tcPr>
          <w:p w:rsidR="007C5447" w:rsidRDefault="00F6308C">
            <w:pPr>
              <w:pStyle w:val="TableParagraph"/>
              <w:spacing w:before="70"/>
              <w:ind w:right="163"/>
              <w:rPr>
                <w:sz w:val="20"/>
              </w:rPr>
            </w:pPr>
            <w:r>
              <w:rPr>
                <w:sz w:val="20"/>
              </w:rPr>
              <w:t>2.45</w:t>
            </w:r>
          </w:p>
        </w:tc>
      </w:tr>
      <w:tr w:rsidR="007C5447">
        <w:trPr>
          <w:trHeight w:val="369"/>
        </w:trPr>
        <w:tc>
          <w:tcPr>
            <w:tcW w:w="2854" w:type="dxa"/>
          </w:tcPr>
          <w:p w:rsidR="007C5447" w:rsidRDefault="00F6308C">
            <w:pPr>
              <w:pStyle w:val="TableParagraph"/>
              <w:spacing w:before="70"/>
              <w:ind w:left="107"/>
              <w:jc w:val="left"/>
              <w:rPr>
                <w:sz w:val="20"/>
              </w:rPr>
            </w:pPr>
            <w:r>
              <w:rPr>
                <w:sz w:val="20"/>
              </w:rPr>
              <w:t>Kadamparai HEP</w:t>
            </w:r>
          </w:p>
        </w:tc>
        <w:tc>
          <w:tcPr>
            <w:tcW w:w="1265" w:type="dxa"/>
          </w:tcPr>
          <w:p w:rsidR="007C5447" w:rsidRDefault="00F6308C">
            <w:pPr>
              <w:pStyle w:val="TableParagraph"/>
              <w:spacing w:before="70"/>
              <w:ind w:right="171"/>
              <w:rPr>
                <w:sz w:val="20"/>
              </w:rPr>
            </w:pPr>
            <w:r>
              <w:rPr>
                <w:w w:val="99"/>
                <w:sz w:val="20"/>
              </w:rPr>
              <w:t>-</w:t>
            </w:r>
          </w:p>
        </w:tc>
        <w:tc>
          <w:tcPr>
            <w:tcW w:w="1264" w:type="dxa"/>
          </w:tcPr>
          <w:p w:rsidR="007C5447" w:rsidRDefault="00F6308C">
            <w:pPr>
              <w:pStyle w:val="TableParagraph"/>
              <w:spacing w:before="70"/>
              <w:ind w:right="171"/>
              <w:rPr>
                <w:sz w:val="20"/>
              </w:rPr>
            </w:pPr>
            <w:r>
              <w:rPr>
                <w:w w:val="95"/>
                <w:sz w:val="20"/>
              </w:rPr>
              <w:t>76.32</w:t>
            </w:r>
          </w:p>
        </w:tc>
        <w:tc>
          <w:tcPr>
            <w:tcW w:w="1050" w:type="dxa"/>
          </w:tcPr>
          <w:p w:rsidR="007C5447" w:rsidRDefault="007C5447">
            <w:pPr>
              <w:pStyle w:val="TableParagraph"/>
              <w:jc w:val="left"/>
              <w:rPr>
                <w:sz w:val="20"/>
              </w:rPr>
            </w:pPr>
          </w:p>
        </w:tc>
        <w:tc>
          <w:tcPr>
            <w:tcW w:w="1088" w:type="dxa"/>
          </w:tcPr>
          <w:p w:rsidR="007C5447" w:rsidRDefault="00F6308C">
            <w:pPr>
              <w:pStyle w:val="TableParagraph"/>
              <w:spacing w:before="70"/>
              <w:ind w:right="166"/>
              <w:rPr>
                <w:sz w:val="20"/>
              </w:rPr>
            </w:pPr>
            <w:r>
              <w:rPr>
                <w:w w:val="95"/>
                <w:sz w:val="20"/>
              </w:rPr>
              <w:t>1,063.00</w:t>
            </w:r>
          </w:p>
        </w:tc>
        <w:tc>
          <w:tcPr>
            <w:tcW w:w="1091" w:type="dxa"/>
          </w:tcPr>
          <w:p w:rsidR="007C5447" w:rsidRDefault="00F6308C">
            <w:pPr>
              <w:pStyle w:val="TableParagraph"/>
              <w:spacing w:before="70"/>
              <w:ind w:right="169"/>
              <w:rPr>
                <w:sz w:val="20"/>
              </w:rPr>
            </w:pPr>
            <w:r>
              <w:rPr>
                <w:w w:val="95"/>
                <w:sz w:val="20"/>
              </w:rPr>
              <w:t>185.33</w:t>
            </w:r>
          </w:p>
        </w:tc>
        <w:tc>
          <w:tcPr>
            <w:tcW w:w="1148" w:type="dxa"/>
          </w:tcPr>
          <w:p w:rsidR="007C5447" w:rsidRDefault="00F6308C">
            <w:pPr>
              <w:pStyle w:val="TableParagraph"/>
              <w:spacing w:before="70"/>
              <w:ind w:right="165"/>
              <w:rPr>
                <w:sz w:val="20"/>
              </w:rPr>
            </w:pPr>
            <w:r>
              <w:rPr>
                <w:sz w:val="20"/>
              </w:rPr>
              <w:t>1.74</w:t>
            </w:r>
          </w:p>
        </w:tc>
        <w:tc>
          <w:tcPr>
            <w:tcW w:w="1432" w:type="dxa"/>
          </w:tcPr>
          <w:p w:rsidR="007C5447" w:rsidRDefault="00F6308C">
            <w:pPr>
              <w:pStyle w:val="TableParagraph"/>
              <w:spacing w:before="70"/>
              <w:ind w:right="167"/>
              <w:rPr>
                <w:sz w:val="20"/>
              </w:rPr>
            </w:pPr>
            <w:r>
              <w:rPr>
                <w:w w:val="95"/>
                <w:sz w:val="20"/>
              </w:rPr>
              <w:t>558.56</w:t>
            </w:r>
          </w:p>
        </w:tc>
        <w:tc>
          <w:tcPr>
            <w:tcW w:w="1417" w:type="dxa"/>
          </w:tcPr>
          <w:p w:rsidR="007C5447" w:rsidRDefault="00F6308C">
            <w:pPr>
              <w:pStyle w:val="TableParagraph"/>
              <w:spacing w:before="70"/>
              <w:ind w:right="165"/>
              <w:rPr>
                <w:sz w:val="20"/>
              </w:rPr>
            </w:pPr>
            <w:r>
              <w:rPr>
                <w:w w:val="95"/>
                <w:sz w:val="20"/>
              </w:rPr>
              <w:t>78.22</w:t>
            </w:r>
          </w:p>
        </w:tc>
        <w:tc>
          <w:tcPr>
            <w:tcW w:w="1347" w:type="dxa"/>
          </w:tcPr>
          <w:p w:rsidR="007C5447" w:rsidRDefault="00F6308C">
            <w:pPr>
              <w:pStyle w:val="TableParagraph"/>
              <w:spacing w:before="70"/>
              <w:ind w:right="163"/>
              <w:rPr>
                <w:sz w:val="20"/>
              </w:rPr>
            </w:pPr>
            <w:r>
              <w:rPr>
                <w:sz w:val="20"/>
              </w:rPr>
              <w:t>1.40</w:t>
            </w:r>
          </w:p>
        </w:tc>
      </w:tr>
      <w:tr w:rsidR="007C5447">
        <w:trPr>
          <w:trHeight w:val="371"/>
        </w:trPr>
        <w:tc>
          <w:tcPr>
            <w:tcW w:w="2854" w:type="dxa"/>
          </w:tcPr>
          <w:p w:rsidR="007C5447" w:rsidRDefault="00F6308C">
            <w:pPr>
              <w:pStyle w:val="TableParagraph"/>
              <w:spacing w:before="72"/>
              <w:ind w:left="107"/>
              <w:jc w:val="left"/>
              <w:rPr>
                <w:sz w:val="20"/>
              </w:rPr>
            </w:pPr>
            <w:r>
              <w:rPr>
                <w:sz w:val="20"/>
              </w:rPr>
              <w:t>Kundah HEP</w:t>
            </w:r>
          </w:p>
        </w:tc>
        <w:tc>
          <w:tcPr>
            <w:tcW w:w="1265" w:type="dxa"/>
          </w:tcPr>
          <w:p w:rsidR="007C5447" w:rsidRDefault="00F6308C">
            <w:pPr>
              <w:pStyle w:val="TableParagraph"/>
              <w:spacing w:before="72"/>
              <w:ind w:right="173"/>
              <w:rPr>
                <w:sz w:val="20"/>
              </w:rPr>
            </w:pPr>
            <w:r>
              <w:rPr>
                <w:w w:val="95"/>
                <w:sz w:val="20"/>
              </w:rPr>
              <w:t>2,186.52</w:t>
            </w:r>
          </w:p>
        </w:tc>
        <w:tc>
          <w:tcPr>
            <w:tcW w:w="1264" w:type="dxa"/>
          </w:tcPr>
          <w:p w:rsidR="007C5447" w:rsidRDefault="00F6308C">
            <w:pPr>
              <w:pStyle w:val="TableParagraph"/>
              <w:spacing w:before="72"/>
              <w:ind w:right="171"/>
              <w:rPr>
                <w:sz w:val="20"/>
              </w:rPr>
            </w:pPr>
            <w:r>
              <w:rPr>
                <w:w w:val="95"/>
                <w:sz w:val="20"/>
              </w:rPr>
              <w:t>203.27</w:t>
            </w:r>
          </w:p>
        </w:tc>
        <w:tc>
          <w:tcPr>
            <w:tcW w:w="1050" w:type="dxa"/>
          </w:tcPr>
          <w:p w:rsidR="007C5447" w:rsidRDefault="00F6308C">
            <w:pPr>
              <w:pStyle w:val="TableParagraph"/>
              <w:spacing w:before="72"/>
              <w:ind w:right="172"/>
              <w:rPr>
                <w:sz w:val="20"/>
              </w:rPr>
            </w:pPr>
            <w:r>
              <w:rPr>
                <w:sz w:val="20"/>
              </w:rPr>
              <w:t>0.93</w:t>
            </w:r>
          </w:p>
        </w:tc>
        <w:tc>
          <w:tcPr>
            <w:tcW w:w="1088" w:type="dxa"/>
          </w:tcPr>
          <w:p w:rsidR="007C5447" w:rsidRDefault="00F6308C">
            <w:pPr>
              <w:pStyle w:val="TableParagraph"/>
              <w:spacing w:before="72"/>
              <w:ind w:right="166"/>
              <w:rPr>
                <w:sz w:val="20"/>
              </w:rPr>
            </w:pPr>
            <w:r>
              <w:rPr>
                <w:w w:val="95"/>
                <w:sz w:val="20"/>
              </w:rPr>
              <w:t>2,186.52</w:t>
            </w:r>
          </w:p>
        </w:tc>
        <w:tc>
          <w:tcPr>
            <w:tcW w:w="1091" w:type="dxa"/>
          </w:tcPr>
          <w:p w:rsidR="007C5447" w:rsidRDefault="00F6308C">
            <w:pPr>
              <w:pStyle w:val="TableParagraph"/>
              <w:spacing w:before="72"/>
              <w:ind w:right="169"/>
              <w:rPr>
                <w:sz w:val="20"/>
              </w:rPr>
            </w:pPr>
            <w:r>
              <w:rPr>
                <w:w w:val="95"/>
                <w:sz w:val="20"/>
              </w:rPr>
              <w:t>455.66</w:t>
            </w:r>
          </w:p>
        </w:tc>
        <w:tc>
          <w:tcPr>
            <w:tcW w:w="1148" w:type="dxa"/>
          </w:tcPr>
          <w:p w:rsidR="007C5447" w:rsidRDefault="00F6308C">
            <w:pPr>
              <w:pStyle w:val="TableParagraph"/>
              <w:spacing w:before="72"/>
              <w:ind w:right="165"/>
              <w:rPr>
                <w:sz w:val="20"/>
              </w:rPr>
            </w:pPr>
            <w:r>
              <w:rPr>
                <w:sz w:val="20"/>
              </w:rPr>
              <w:t>2.08</w:t>
            </w:r>
          </w:p>
        </w:tc>
        <w:tc>
          <w:tcPr>
            <w:tcW w:w="1432" w:type="dxa"/>
          </w:tcPr>
          <w:p w:rsidR="007C5447" w:rsidRDefault="00F6308C">
            <w:pPr>
              <w:pStyle w:val="TableParagraph"/>
              <w:spacing w:before="72"/>
              <w:ind w:right="165"/>
              <w:rPr>
                <w:sz w:val="20"/>
              </w:rPr>
            </w:pPr>
            <w:r>
              <w:rPr>
                <w:w w:val="95"/>
                <w:sz w:val="20"/>
              </w:rPr>
              <w:t>2,186.52</w:t>
            </w:r>
          </w:p>
        </w:tc>
        <w:tc>
          <w:tcPr>
            <w:tcW w:w="1417" w:type="dxa"/>
          </w:tcPr>
          <w:p w:rsidR="007C5447" w:rsidRDefault="00F6308C">
            <w:pPr>
              <w:pStyle w:val="TableParagraph"/>
              <w:spacing w:before="72"/>
              <w:ind w:right="165"/>
              <w:rPr>
                <w:sz w:val="20"/>
              </w:rPr>
            </w:pPr>
            <w:r>
              <w:rPr>
                <w:w w:val="95"/>
                <w:sz w:val="20"/>
              </w:rPr>
              <w:t>208.24</w:t>
            </w:r>
          </w:p>
        </w:tc>
        <w:tc>
          <w:tcPr>
            <w:tcW w:w="1347" w:type="dxa"/>
          </w:tcPr>
          <w:p w:rsidR="007C5447" w:rsidRDefault="00F6308C">
            <w:pPr>
              <w:pStyle w:val="TableParagraph"/>
              <w:spacing w:before="72"/>
              <w:ind w:right="163"/>
              <w:rPr>
                <w:sz w:val="20"/>
              </w:rPr>
            </w:pPr>
            <w:r>
              <w:rPr>
                <w:sz w:val="20"/>
              </w:rPr>
              <w:t>0.95</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9"/>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54"/>
        <w:gridCol w:w="1265"/>
        <w:gridCol w:w="1264"/>
        <w:gridCol w:w="1050"/>
        <w:gridCol w:w="1088"/>
        <w:gridCol w:w="1091"/>
        <w:gridCol w:w="1148"/>
        <w:gridCol w:w="1432"/>
        <w:gridCol w:w="1417"/>
        <w:gridCol w:w="1347"/>
      </w:tblGrid>
      <w:tr w:rsidR="007C5447">
        <w:trPr>
          <w:trHeight w:val="369"/>
        </w:trPr>
        <w:tc>
          <w:tcPr>
            <w:tcW w:w="2854"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987" w:right="969"/>
              <w:jc w:val="center"/>
              <w:rPr>
                <w:b/>
                <w:sz w:val="20"/>
              </w:rPr>
            </w:pPr>
            <w:r>
              <w:rPr>
                <w:b/>
                <w:sz w:val="20"/>
              </w:rPr>
              <w:t>Source</w:t>
            </w:r>
          </w:p>
        </w:tc>
        <w:tc>
          <w:tcPr>
            <w:tcW w:w="11102" w:type="dxa"/>
            <w:gridSpan w:val="9"/>
            <w:shd w:val="clear" w:color="auto" w:fill="F7C9AC"/>
          </w:tcPr>
          <w:p w:rsidR="007C5447" w:rsidRDefault="00F6308C">
            <w:pPr>
              <w:pStyle w:val="TableParagraph"/>
              <w:spacing w:before="125" w:line="224" w:lineRule="exact"/>
              <w:ind w:left="5046" w:right="5013"/>
              <w:jc w:val="center"/>
              <w:rPr>
                <w:b/>
                <w:sz w:val="20"/>
              </w:rPr>
            </w:pPr>
            <w:r>
              <w:rPr>
                <w:b/>
                <w:sz w:val="20"/>
              </w:rPr>
              <w:t>FY 2013-14</w:t>
            </w:r>
          </w:p>
        </w:tc>
      </w:tr>
      <w:tr w:rsidR="007C5447">
        <w:trPr>
          <w:trHeight w:val="371"/>
        </w:trPr>
        <w:tc>
          <w:tcPr>
            <w:tcW w:w="2854" w:type="dxa"/>
            <w:vMerge/>
            <w:tcBorders>
              <w:top w:val="nil"/>
            </w:tcBorders>
            <w:shd w:val="clear" w:color="auto" w:fill="F7C9AC"/>
          </w:tcPr>
          <w:p w:rsidR="007C5447" w:rsidRDefault="007C5447">
            <w:pPr>
              <w:rPr>
                <w:sz w:val="2"/>
                <w:szCs w:val="2"/>
              </w:rPr>
            </w:pPr>
          </w:p>
        </w:tc>
        <w:tc>
          <w:tcPr>
            <w:tcW w:w="3579" w:type="dxa"/>
            <w:gridSpan w:val="3"/>
            <w:shd w:val="clear" w:color="auto" w:fill="F7C9AC"/>
          </w:tcPr>
          <w:p w:rsidR="007C5447" w:rsidRDefault="00F6308C">
            <w:pPr>
              <w:pStyle w:val="TableParagraph"/>
              <w:spacing w:before="70"/>
              <w:ind w:left="1259" w:right="1243"/>
              <w:jc w:val="center"/>
              <w:rPr>
                <w:b/>
                <w:sz w:val="20"/>
              </w:rPr>
            </w:pPr>
            <w:r>
              <w:rPr>
                <w:b/>
                <w:sz w:val="20"/>
              </w:rPr>
              <w:t>SMT Order</w:t>
            </w:r>
          </w:p>
        </w:tc>
        <w:tc>
          <w:tcPr>
            <w:tcW w:w="3327" w:type="dxa"/>
            <w:gridSpan w:val="3"/>
            <w:shd w:val="clear" w:color="auto" w:fill="F7C9AC"/>
          </w:tcPr>
          <w:p w:rsidR="007C5447" w:rsidRDefault="00F6308C">
            <w:pPr>
              <w:pStyle w:val="TableParagraph"/>
              <w:spacing w:before="70"/>
              <w:ind w:left="1094"/>
              <w:jc w:val="left"/>
              <w:rPr>
                <w:b/>
                <w:sz w:val="20"/>
              </w:rPr>
            </w:pPr>
            <w:r>
              <w:rPr>
                <w:b/>
                <w:sz w:val="20"/>
              </w:rPr>
              <w:t>TANGEDCO</w:t>
            </w:r>
          </w:p>
        </w:tc>
        <w:tc>
          <w:tcPr>
            <w:tcW w:w="4196" w:type="dxa"/>
            <w:gridSpan w:val="3"/>
            <w:shd w:val="clear" w:color="auto" w:fill="F7C9AC"/>
          </w:tcPr>
          <w:p w:rsidR="007C5447" w:rsidRDefault="00F6308C">
            <w:pPr>
              <w:pStyle w:val="TableParagraph"/>
              <w:spacing w:before="70"/>
              <w:ind w:left="1113"/>
              <w:jc w:val="left"/>
              <w:rPr>
                <w:b/>
                <w:sz w:val="20"/>
              </w:rPr>
            </w:pPr>
            <w:r>
              <w:rPr>
                <w:b/>
                <w:sz w:val="20"/>
              </w:rPr>
              <w:t>Approved after true up</w:t>
            </w:r>
          </w:p>
        </w:tc>
      </w:tr>
      <w:tr w:rsidR="007C5447">
        <w:trPr>
          <w:trHeight w:val="489"/>
        </w:trPr>
        <w:tc>
          <w:tcPr>
            <w:tcW w:w="2854" w:type="dxa"/>
            <w:vMerge/>
            <w:tcBorders>
              <w:top w:val="nil"/>
            </w:tcBorders>
            <w:shd w:val="clear" w:color="auto" w:fill="F7C9AC"/>
          </w:tcPr>
          <w:p w:rsidR="007C5447" w:rsidRDefault="007C5447">
            <w:pPr>
              <w:rPr>
                <w:sz w:val="2"/>
                <w:szCs w:val="2"/>
              </w:rPr>
            </w:pPr>
          </w:p>
        </w:tc>
        <w:tc>
          <w:tcPr>
            <w:tcW w:w="1265" w:type="dxa"/>
            <w:shd w:val="clear" w:color="auto" w:fill="F7C9AC"/>
          </w:tcPr>
          <w:p w:rsidR="007C5447" w:rsidRDefault="00F6308C">
            <w:pPr>
              <w:pStyle w:val="TableParagraph"/>
              <w:spacing w:before="14" w:line="230" w:lineRule="atLeast"/>
              <w:ind w:left="403" w:right="187" w:hanging="178"/>
              <w:jc w:val="left"/>
              <w:rPr>
                <w:b/>
                <w:sz w:val="20"/>
              </w:rPr>
            </w:pPr>
            <w:r>
              <w:rPr>
                <w:b/>
                <w:sz w:val="20"/>
              </w:rPr>
              <w:t>Quantum (MU)</w:t>
            </w:r>
          </w:p>
        </w:tc>
        <w:tc>
          <w:tcPr>
            <w:tcW w:w="1264" w:type="dxa"/>
            <w:shd w:val="clear" w:color="auto" w:fill="F7C9AC"/>
          </w:tcPr>
          <w:p w:rsidR="007C5447" w:rsidRDefault="00F6308C">
            <w:pPr>
              <w:pStyle w:val="TableParagraph"/>
              <w:spacing w:before="14" w:line="230" w:lineRule="atLeast"/>
              <w:ind w:left="293" w:right="150" w:hanging="104"/>
              <w:jc w:val="left"/>
              <w:rPr>
                <w:b/>
                <w:sz w:val="20"/>
              </w:rPr>
            </w:pPr>
            <w:r>
              <w:rPr>
                <w:b/>
                <w:sz w:val="20"/>
              </w:rPr>
              <w:t>Total Cost (Rs. Cr)</w:t>
            </w:r>
          </w:p>
        </w:tc>
        <w:tc>
          <w:tcPr>
            <w:tcW w:w="1050" w:type="dxa"/>
            <w:shd w:val="clear" w:color="auto" w:fill="F7C9AC"/>
          </w:tcPr>
          <w:p w:rsidR="007C5447" w:rsidRDefault="00F6308C">
            <w:pPr>
              <w:pStyle w:val="TableParagraph"/>
              <w:spacing w:before="14" w:line="230" w:lineRule="atLeast"/>
              <w:ind w:left="113" w:firstLine="216"/>
              <w:jc w:val="left"/>
              <w:rPr>
                <w:b/>
                <w:sz w:val="20"/>
              </w:rPr>
            </w:pPr>
            <w:r>
              <w:rPr>
                <w:b/>
                <w:sz w:val="20"/>
              </w:rPr>
              <w:t xml:space="preserve">Rate </w:t>
            </w:r>
            <w:r>
              <w:rPr>
                <w:b/>
                <w:w w:val="95"/>
                <w:sz w:val="20"/>
              </w:rPr>
              <w:t>(Rs/kWh)</w:t>
            </w:r>
          </w:p>
        </w:tc>
        <w:tc>
          <w:tcPr>
            <w:tcW w:w="1088" w:type="dxa"/>
            <w:shd w:val="clear" w:color="auto" w:fill="F7C9AC"/>
          </w:tcPr>
          <w:p w:rsidR="007C5447" w:rsidRDefault="00F6308C">
            <w:pPr>
              <w:pStyle w:val="TableParagraph"/>
              <w:spacing w:before="14" w:line="230" w:lineRule="atLeast"/>
              <w:ind w:left="319" w:right="94" w:hanging="178"/>
              <w:jc w:val="left"/>
              <w:rPr>
                <w:b/>
                <w:sz w:val="20"/>
              </w:rPr>
            </w:pPr>
            <w:r>
              <w:rPr>
                <w:b/>
                <w:sz w:val="20"/>
              </w:rPr>
              <w:t>Quantum (MU)</w:t>
            </w:r>
          </w:p>
        </w:tc>
        <w:tc>
          <w:tcPr>
            <w:tcW w:w="1091" w:type="dxa"/>
            <w:shd w:val="clear" w:color="auto" w:fill="F7C9AC"/>
          </w:tcPr>
          <w:p w:rsidR="007C5447" w:rsidRDefault="00F6308C">
            <w:pPr>
              <w:pStyle w:val="TableParagraph"/>
              <w:spacing w:before="14" w:line="230" w:lineRule="atLeast"/>
              <w:ind w:left="234" w:right="138" w:firstLine="124"/>
              <w:jc w:val="left"/>
              <w:rPr>
                <w:b/>
                <w:sz w:val="20"/>
              </w:rPr>
            </w:pPr>
            <w:r>
              <w:rPr>
                <w:b/>
                <w:sz w:val="20"/>
              </w:rPr>
              <w:t>Cost (Rs. Cr)</w:t>
            </w:r>
          </w:p>
        </w:tc>
        <w:tc>
          <w:tcPr>
            <w:tcW w:w="1148" w:type="dxa"/>
            <w:shd w:val="clear" w:color="auto" w:fill="F7C9AC"/>
          </w:tcPr>
          <w:p w:rsidR="007C5447" w:rsidRDefault="00F6308C">
            <w:pPr>
              <w:pStyle w:val="TableParagraph"/>
              <w:spacing w:before="14" w:line="230" w:lineRule="atLeast"/>
              <w:ind w:left="168" w:firstLine="216"/>
              <w:jc w:val="left"/>
              <w:rPr>
                <w:b/>
                <w:sz w:val="20"/>
              </w:rPr>
            </w:pPr>
            <w:r>
              <w:rPr>
                <w:b/>
                <w:sz w:val="20"/>
              </w:rPr>
              <w:t xml:space="preserve">Rate </w:t>
            </w:r>
            <w:r>
              <w:rPr>
                <w:b/>
                <w:w w:val="95"/>
                <w:sz w:val="20"/>
              </w:rPr>
              <w:t>(Rs/kWh)</w:t>
            </w:r>
          </w:p>
        </w:tc>
        <w:tc>
          <w:tcPr>
            <w:tcW w:w="1432" w:type="dxa"/>
            <w:shd w:val="clear" w:color="auto" w:fill="F7C9AC"/>
          </w:tcPr>
          <w:p w:rsidR="007C5447" w:rsidRDefault="00F6308C">
            <w:pPr>
              <w:pStyle w:val="TableParagraph"/>
              <w:spacing w:before="14" w:line="230" w:lineRule="atLeast"/>
              <w:ind w:left="494" w:right="263" w:hanging="178"/>
              <w:jc w:val="left"/>
              <w:rPr>
                <w:b/>
                <w:sz w:val="20"/>
              </w:rPr>
            </w:pPr>
            <w:r>
              <w:rPr>
                <w:b/>
                <w:sz w:val="20"/>
              </w:rPr>
              <w:t>Quantum (MU)</w:t>
            </w:r>
          </w:p>
        </w:tc>
        <w:tc>
          <w:tcPr>
            <w:tcW w:w="1417" w:type="dxa"/>
            <w:shd w:val="clear" w:color="auto" w:fill="F7C9AC"/>
          </w:tcPr>
          <w:p w:rsidR="007C5447" w:rsidRDefault="00F6308C">
            <w:pPr>
              <w:pStyle w:val="TableParagraph"/>
              <w:spacing w:before="14" w:line="230" w:lineRule="atLeast"/>
              <w:ind w:left="375" w:right="221" w:hanging="104"/>
              <w:jc w:val="left"/>
              <w:rPr>
                <w:b/>
                <w:sz w:val="20"/>
              </w:rPr>
            </w:pPr>
            <w:r>
              <w:rPr>
                <w:b/>
                <w:sz w:val="20"/>
              </w:rPr>
              <w:t>Total Cost (Rs. Cr)</w:t>
            </w:r>
          </w:p>
        </w:tc>
        <w:tc>
          <w:tcPr>
            <w:tcW w:w="1347" w:type="dxa"/>
            <w:shd w:val="clear" w:color="auto" w:fill="F7C9AC"/>
          </w:tcPr>
          <w:p w:rsidR="007C5447" w:rsidRDefault="00F6308C">
            <w:pPr>
              <w:pStyle w:val="TableParagraph"/>
              <w:spacing w:before="14" w:line="230" w:lineRule="atLeast"/>
              <w:ind w:left="268" w:firstLine="216"/>
              <w:jc w:val="left"/>
              <w:rPr>
                <w:b/>
                <w:sz w:val="20"/>
              </w:rPr>
            </w:pPr>
            <w:r>
              <w:rPr>
                <w:b/>
                <w:sz w:val="20"/>
              </w:rPr>
              <w:t xml:space="preserve">Rate </w:t>
            </w:r>
            <w:r>
              <w:rPr>
                <w:b/>
                <w:w w:val="95"/>
                <w:sz w:val="20"/>
              </w:rPr>
              <w:t>(Rs/kWh)</w:t>
            </w:r>
          </w:p>
        </w:tc>
      </w:tr>
      <w:tr w:rsidR="007C5447">
        <w:trPr>
          <w:trHeight w:val="369"/>
        </w:trPr>
        <w:tc>
          <w:tcPr>
            <w:tcW w:w="2854" w:type="dxa"/>
          </w:tcPr>
          <w:p w:rsidR="007C5447" w:rsidRDefault="00F6308C">
            <w:pPr>
              <w:pStyle w:val="TableParagraph"/>
              <w:spacing w:before="70"/>
              <w:ind w:left="112"/>
              <w:jc w:val="left"/>
              <w:rPr>
                <w:sz w:val="20"/>
              </w:rPr>
            </w:pPr>
            <w:r>
              <w:rPr>
                <w:sz w:val="20"/>
              </w:rPr>
              <w:t>Tirunevali HEP</w:t>
            </w:r>
          </w:p>
        </w:tc>
        <w:tc>
          <w:tcPr>
            <w:tcW w:w="1265" w:type="dxa"/>
          </w:tcPr>
          <w:p w:rsidR="007C5447" w:rsidRDefault="00F6308C">
            <w:pPr>
              <w:pStyle w:val="TableParagraph"/>
              <w:spacing w:before="70"/>
              <w:ind w:right="170"/>
              <w:rPr>
                <w:sz w:val="20"/>
              </w:rPr>
            </w:pPr>
            <w:r>
              <w:rPr>
                <w:w w:val="95"/>
                <w:sz w:val="20"/>
              </w:rPr>
              <w:t>922.38</w:t>
            </w:r>
          </w:p>
        </w:tc>
        <w:tc>
          <w:tcPr>
            <w:tcW w:w="1264" w:type="dxa"/>
          </w:tcPr>
          <w:p w:rsidR="007C5447" w:rsidRDefault="00F6308C">
            <w:pPr>
              <w:pStyle w:val="TableParagraph"/>
              <w:spacing w:before="70"/>
              <w:ind w:right="166"/>
              <w:rPr>
                <w:sz w:val="20"/>
              </w:rPr>
            </w:pPr>
            <w:r>
              <w:rPr>
                <w:w w:val="95"/>
                <w:sz w:val="20"/>
              </w:rPr>
              <w:t>102.92</w:t>
            </w:r>
          </w:p>
        </w:tc>
        <w:tc>
          <w:tcPr>
            <w:tcW w:w="1050" w:type="dxa"/>
          </w:tcPr>
          <w:p w:rsidR="007C5447" w:rsidRDefault="00F6308C">
            <w:pPr>
              <w:pStyle w:val="TableParagraph"/>
              <w:spacing w:before="70"/>
              <w:ind w:right="167"/>
              <w:rPr>
                <w:sz w:val="20"/>
              </w:rPr>
            </w:pPr>
            <w:r>
              <w:rPr>
                <w:sz w:val="20"/>
              </w:rPr>
              <w:t>1.12</w:t>
            </w:r>
          </w:p>
        </w:tc>
        <w:tc>
          <w:tcPr>
            <w:tcW w:w="1088" w:type="dxa"/>
          </w:tcPr>
          <w:p w:rsidR="007C5447" w:rsidRDefault="00F6308C">
            <w:pPr>
              <w:pStyle w:val="TableParagraph"/>
              <w:spacing w:before="70"/>
              <w:ind w:right="163"/>
              <w:rPr>
                <w:sz w:val="20"/>
              </w:rPr>
            </w:pPr>
            <w:r>
              <w:rPr>
                <w:w w:val="95"/>
                <w:sz w:val="20"/>
              </w:rPr>
              <w:t>461.00</w:t>
            </w:r>
          </w:p>
        </w:tc>
        <w:tc>
          <w:tcPr>
            <w:tcW w:w="1091" w:type="dxa"/>
          </w:tcPr>
          <w:p w:rsidR="007C5447" w:rsidRDefault="00F6308C">
            <w:pPr>
              <w:pStyle w:val="TableParagraph"/>
              <w:spacing w:before="70"/>
              <w:ind w:right="164"/>
              <w:rPr>
                <w:sz w:val="20"/>
              </w:rPr>
            </w:pPr>
            <w:r>
              <w:rPr>
                <w:w w:val="95"/>
                <w:sz w:val="20"/>
              </w:rPr>
              <w:t>199.16</w:t>
            </w:r>
          </w:p>
        </w:tc>
        <w:tc>
          <w:tcPr>
            <w:tcW w:w="1148" w:type="dxa"/>
          </w:tcPr>
          <w:p w:rsidR="007C5447" w:rsidRDefault="00F6308C">
            <w:pPr>
              <w:pStyle w:val="TableParagraph"/>
              <w:spacing w:before="70"/>
              <w:ind w:right="160"/>
              <w:rPr>
                <w:sz w:val="20"/>
              </w:rPr>
            </w:pPr>
            <w:r>
              <w:rPr>
                <w:sz w:val="20"/>
              </w:rPr>
              <w:t>4.32</w:t>
            </w:r>
          </w:p>
        </w:tc>
        <w:tc>
          <w:tcPr>
            <w:tcW w:w="1432" w:type="dxa"/>
          </w:tcPr>
          <w:p w:rsidR="007C5447" w:rsidRDefault="00F6308C">
            <w:pPr>
              <w:pStyle w:val="TableParagraph"/>
              <w:spacing w:before="70"/>
              <w:ind w:right="162"/>
              <w:rPr>
                <w:sz w:val="20"/>
              </w:rPr>
            </w:pPr>
            <w:r>
              <w:rPr>
                <w:w w:val="95"/>
                <w:sz w:val="20"/>
              </w:rPr>
              <w:t>461.00</w:t>
            </w:r>
          </w:p>
        </w:tc>
        <w:tc>
          <w:tcPr>
            <w:tcW w:w="1417" w:type="dxa"/>
          </w:tcPr>
          <w:p w:rsidR="007C5447" w:rsidRDefault="00F6308C">
            <w:pPr>
              <w:pStyle w:val="TableParagraph"/>
              <w:spacing w:before="70"/>
              <w:ind w:right="160"/>
              <w:rPr>
                <w:sz w:val="20"/>
              </w:rPr>
            </w:pPr>
            <w:r>
              <w:rPr>
                <w:w w:val="95"/>
                <w:sz w:val="20"/>
              </w:rPr>
              <w:t>102.55</w:t>
            </w:r>
          </w:p>
        </w:tc>
        <w:tc>
          <w:tcPr>
            <w:tcW w:w="1347" w:type="dxa"/>
          </w:tcPr>
          <w:p w:rsidR="007C5447" w:rsidRDefault="00F6308C">
            <w:pPr>
              <w:pStyle w:val="TableParagraph"/>
              <w:spacing w:before="70"/>
              <w:ind w:right="158"/>
              <w:rPr>
                <w:sz w:val="20"/>
              </w:rPr>
            </w:pPr>
            <w:r>
              <w:rPr>
                <w:sz w:val="20"/>
              </w:rPr>
              <w:t>2.22</w:t>
            </w:r>
          </w:p>
        </w:tc>
      </w:tr>
      <w:tr w:rsidR="007C5447">
        <w:trPr>
          <w:trHeight w:val="371"/>
        </w:trPr>
        <w:tc>
          <w:tcPr>
            <w:tcW w:w="2854" w:type="dxa"/>
          </w:tcPr>
          <w:p w:rsidR="007C5447" w:rsidRDefault="00F6308C">
            <w:pPr>
              <w:pStyle w:val="TableParagraph"/>
              <w:spacing w:before="70"/>
              <w:ind w:left="902"/>
              <w:jc w:val="left"/>
              <w:rPr>
                <w:b/>
                <w:sz w:val="20"/>
              </w:rPr>
            </w:pPr>
            <w:r>
              <w:rPr>
                <w:b/>
                <w:sz w:val="20"/>
              </w:rPr>
              <w:t>Total Hydro</w:t>
            </w:r>
          </w:p>
        </w:tc>
        <w:tc>
          <w:tcPr>
            <w:tcW w:w="1265" w:type="dxa"/>
          </w:tcPr>
          <w:p w:rsidR="007C5447" w:rsidRDefault="00F6308C">
            <w:pPr>
              <w:pStyle w:val="TableParagraph"/>
              <w:spacing w:before="70"/>
              <w:ind w:right="168"/>
              <w:rPr>
                <w:b/>
                <w:sz w:val="20"/>
              </w:rPr>
            </w:pPr>
            <w:r>
              <w:rPr>
                <w:b/>
                <w:sz w:val="20"/>
              </w:rPr>
              <w:t>4048.725</w:t>
            </w:r>
          </w:p>
        </w:tc>
        <w:tc>
          <w:tcPr>
            <w:tcW w:w="1264" w:type="dxa"/>
          </w:tcPr>
          <w:p w:rsidR="007C5447" w:rsidRDefault="00F6308C">
            <w:pPr>
              <w:pStyle w:val="TableParagraph"/>
              <w:spacing w:before="70"/>
              <w:ind w:right="166"/>
              <w:rPr>
                <w:b/>
                <w:sz w:val="20"/>
              </w:rPr>
            </w:pPr>
            <w:r>
              <w:rPr>
                <w:b/>
                <w:w w:val="95"/>
                <w:sz w:val="20"/>
              </w:rPr>
              <w:t>602.27</w:t>
            </w:r>
          </w:p>
        </w:tc>
        <w:tc>
          <w:tcPr>
            <w:tcW w:w="1050" w:type="dxa"/>
          </w:tcPr>
          <w:p w:rsidR="007C5447" w:rsidRDefault="00F6308C">
            <w:pPr>
              <w:pStyle w:val="TableParagraph"/>
              <w:spacing w:before="70"/>
              <w:ind w:right="167"/>
              <w:rPr>
                <w:b/>
                <w:sz w:val="20"/>
              </w:rPr>
            </w:pPr>
            <w:r>
              <w:rPr>
                <w:b/>
                <w:sz w:val="20"/>
              </w:rPr>
              <w:t>1.49</w:t>
            </w:r>
          </w:p>
        </w:tc>
        <w:tc>
          <w:tcPr>
            <w:tcW w:w="1088" w:type="dxa"/>
          </w:tcPr>
          <w:p w:rsidR="007C5447" w:rsidRDefault="00F6308C">
            <w:pPr>
              <w:pStyle w:val="TableParagraph"/>
              <w:spacing w:before="70"/>
              <w:ind w:right="161"/>
              <w:rPr>
                <w:b/>
                <w:sz w:val="20"/>
              </w:rPr>
            </w:pPr>
            <w:r>
              <w:rPr>
                <w:b/>
                <w:w w:val="95"/>
                <w:sz w:val="20"/>
              </w:rPr>
              <w:t>4,612.52</w:t>
            </w:r>
          </w:p>
        </w:tc>
        <w:tc>
          <w:tcPr>
            <w:tcW w:w="1091" w:type="dxa"/>
          </w:tcPr>
          <w:p w:rsidR="007C5447" w:rsidRDefault="00F6308C">
            <w:pPr>
              <w:pStyle w:val="TableParagraph"/>
              <w:spacing w:before="70"/>
              <w:ind w:right="162"/>
              <w:rPr>
                <w:b/>
                <w:sz w:val="20"/>
              </w:rPr>
            </w:pPr>
            <w:r>
              <w:rPr>
                <w:b/>
                <w:w w:val="95"/>
                <w:sz w:val="20"/>
              </w:rPr>
              <w:t>1,181.21</w:t>
            </w:r>
          </w:p>
        </w:tc>
        <w:tc>
          <w:tcPr>
            <w:tcW w:w="1148" w:type="dxa"/>
          </w:tcPr>
          <w:p w:rsidR="007C5447" w:rsidRDefault="00F6308C">
            <w:pPr>
              <w:pStyle w:val="TableParagraph"/>
              <w:spacing w:before="70"/>
              <w:ind w:right="160"/>
              <w:rPr>
                <w:b/>
                <w:sz w:val="20"/>
              </w:rPr>
            </w:pPr>
            <w:r>
              <w:rPr>
                <w:b/>
                <w:sz w:val="20"/>
              </w:rPr>
              <w:t>2.56</w:t>
            </w:r>
          </w:p>
        </w:tc>
        <w:tc>
          <w:tcPr>
            <w:tcW w:w="1432" w:type="dxa"/>
          </w:tcPr>
          <w:p w:rsidR="007C5447" w:rsidRDefault="00F6308C">
            <w:pPr>
              <w:pStyle w:val="TableParagraph"/>
              <w:spacing w:before="70"/>
              <w:ind w:right="160"/>
              <w:rPr>
                <w:b/>
                <w:sz w:val="20"/>
              </w:rPr>
            </w:pPr>
            <w:r>
              <w:rPr>
                <w:b/>
                <w:w w:val="95"/>
                <w:sz w:val="20"/>
              </w:rPr>
              <w:t>4,108.08</w:t>
            </w:r>
          </w:p>
        </w:tc>
        <w:tc>
          <w:tcPr>
            <w:tcW w:w="1417" w:type="dxa"/>
          </w:tcPr>
          <w:p w:rsidR="007C5447" w:rsidRDefault="00F6308C">
            <w:pPr>
              <w:pStyle w:val="TableParagraph"/>
              <w:spacing w:before="70"/>
              <w:ind w:right="160"/>
              <w:rPr>
                <w:b/>
                <w:sz w:val="20"/>
              </w:rPr>
            </w:pPr>
            <w:r>
              <w:rPr>
                <w:b/>
                <w:w w:val="95"/>
                <w:sz w:val="20"/>
              </w:rPr>
              <w:t>610.40</w:t>
            </w:r>
          </w:p>
        </w:tc>
        <w:tc>
          <w:tcPr>
            <w:tcW w:w="1347" w:type="dxa"/>
          </w:tcPr>
          <w:p w:rsidR="007C5447" w:rsidRDefault="00F6308C">
            <w:pPr>
              <w:pStyle w:val="TableParagraph"/>
              <w:spacing w:before="70"/>
              <w:ind w:right="158"/>
              <w:rPr>
                <w:b/>
                <w:sz w:val="20"/>
              </w:rPr>
            </w:pPr>
            <w:r>
              <w:rPr>
                <w:b/>
                <w:sz w:val="20"/>
              </w:rPr>
              <w:t>1.49</w:t>
            </w:r>
          </w:p>
        </w:tc>
      </w:tr>
      <w:tr w:rsidR="007C5447">
        <w:trPr>
          <w:trHeight w:val="369"/>
        </w:trPr>
        <w:tc>
          <w:tcPr>
            <w:tcW w:w="2854" w:type="dxa"/>
          </w:tcPr>
          <w:p w:rsidR="007C5447" w:rsidRDefault="00F6308C">
            <w:pPr>
              <w:pStyle w:val="TableParagraph"/>
              <w:spacing w:before="70"/>
              <w:ind w:left="112"/>
              <w:jc w:val="left"/>
              <w:rPr>
                <w:b/>
                <w:sz w:val="20"/>
              </w:rPr>
            </w:pPr>
            <w:r>
              <w:rPr>
                <w:b/>
                <w:sz w:val="20"/>
              </w:rPr>
              <w:t>Wind</w:t>
            </w:r>
          </w:p>
        </w:tc>
        <w:tc>
          <w:tcPr>
            <w:tcW w:w="1265" w:type="dxa"/>
          </w:tcPr>
          <w:p w:rsidR="007C5447" w:rsidRDefault="00F6308C">
            <w:pPr>
              <w:pStyle w:val="TableParagraph"/>
              <w:spacing w:before="70"/>
              <w:ind w:right="170"/>
              <w:rPr>
                <w:sz w:val="20"/>
              </w:rPr>
            </w:pPr>
            <w:r>
              <w:rPr>
                <w:w w:val="95"/>
                <w:sz w:val="20"/>
              </w:rPr>
              <w:t>12.00</w:t>
            </w:r>
          </w:p>
        </w:tc>
        <w:tc>
          <w:tcPr>
            <w:tcW w:w="1264" w:type="dxa"/>
          </w:tcPr>
          <w:p w:rsidR="007C5447" w:rsidRDefault="00F6308C">
            <w:pPr>
              <w:pStyle w:val="TableParagraph"/>
              <w:spacing w:before="70"/>
              <w:ind w:right="166"/>
              <w:rPr>
                <w:sz w:val="20"/>
              </w:rPr>
            </w:pPr>
            <w:r>
              <w:rPr>
                <w:sz w:val="20"/>
              </w:rPr>
              <w:t>3.30</w:t>
            </w:r>
          </w:p>
        </w:tc>
        <w:tc>
          <w:tcPr>
            <w:tcW w:w="1050" w:type="dxa"/>
          </w:tcPr>
          <w:p w:rsidR="007C5447" w:rsidRDefault="00F6308C">
            <w:pPr>
              <w:pStyle w:val="TableParagraph"/>
              <w:spacing w:before="70"/>
              <w:ind w:right="167"/>
              <w:rPr>
                <w:sz w:val="20"/>
              </w:rPr>
            </w:pPr>
            <w:r>
              <w:rPr>
                <w:sz w:val="20"/>
              </w:rPr>
              <w:t>2.75</w:t>
            </w:r>
          </w:p>
        </w:tc>
        <w:tc>
          <w:tcPr>
            <w:tcW w:w="1088" w:type="dxa"/>
          </w:tcPr>
          <w:p w:rsidR="007C5447" w:rsidRDefault="00F6308C">
            <w:pPr>
              <w:pStyle w:val="TableParagraph"/>
              <w:spacing w:before="70"/>
              <w:ind w:right="163"/>
              <w:rPr>
                <w:sz w:val="20"/>
              </w:rPr>
            </w:pPr>
            <w:r>
              <w:rPr>
                <w:w w:val="95"/>
                <w:sz w:val="20"/>
              </w:rPr>
              <w:t>12.58</w:t>
            </w:r>
          </w:p>
        </w:tc>
        <w:tc>
          <w:tcPr>
            <w:tcW w:w="1091" w:type="dxa"/>
          </w:tcPr>
          <w:p w:rsidR="007C5447" w:rsidRDefault="00F6308C">
            <w:pPr>
              <w:pStyle w:val="TableParagraph"/>
              <w:spacing w:before="70"/>
              <w:ind w:right="164"/>
              <w:rPr>
                <w:sz w:val="20"/>
              </w:rPr>
            </w:pPr>
            <w:r>
              <w:rPr>
                <w:sz w:val="20"/>
              </w:rPr>
              <w:t>3.00</w:t>
            </w:r>
          </w:p>
        </w:tc>
        <w:tc>
          <w:tcPr>
            <w:tcW w:w="1148" w:type="dxa"/>
          </w:tcPr>
          <w:p w:rsidR="007C5447" w:rsidRDefault="00F6308C">
            <w:pPr>
              <w:pStyle w:val="TableParagraph"/>
              <w:spacing w:before="70"/>
              <w:ind w:right="160"/>
              <w:rPr>
                <w:sz w:val="20"/>
              </w:rPr>
            </w:pPr>
            <w:r>
              <w:rPr>
                <w:sz w:val="20"/>
              </w:rPr>
              <w:t>2.38</w:t>
            </w:r>
          </w:p>
        </w:tc>
        <w:tc>
          <w:tcPr>
            <w:tcW w:w="1432" w:type="dxa"/>
          </w:tcPr>
          <w:p w:rsidR="007C5447" w:rsidRDefault="00F6308C">
            <w:pPr>
              <w:pStyle w:val="TableParagraph"/>
              <w:spacing w:before="70"/>
              <w:ind w:right="162"/>
              <w:rPr>
                <w:sz w:val="20"/>
              </w:rPr>
            </w:pPr>
            <w:r>
              <w:rPr>
                <w:sz w:val="20"/>
              </w:rPr>
              <w:t>12.58</w:t>
            </w:r>
          </w:p>
        </w:tc>
        <w:tc>
          <w:tcPr>
            <w:tcW w:w="1417" w:type="dxa"/>
          </w:tcPr>
          <w:p w:rsidR="007C5447" w:rsidRDefault="00F6308C">
            <w:pPr>
              <w:pStyle w:val="TableParagraph"/>
              <w:spacing w:before="70"/>
              <w:ind w:right="160"/>
              <w:rPr>
                <w:sz w:val="20"/>
              </w:rPr>
            </w:pPr>
            <w:r>
              <w:rPr>
                <w:sz w:val="20"/>
              </w:rPr>
              <w:t>3.00</w:t>
            </w:r>
          </w:p>
        </w:tc>
        <w:tc>
          <w:tcPr>
            <w:tcW w:w="1347" w:type="dxa"/>
          </w:tcPr>
          <w:p w:rsidR="007C5447" w:rsidRDefault="00F6308C">
            <w:pPr>
              <w:pStyle w:val="TableParagraph"/>
              <w:spacing w:before="70"/>
              <w:ind w:right="158"/>
              <w:rPr>
                <w:sz w:val="20"/>
              </w:rPr>
            </w:pPr>
            <w:r>
              <w:rPr>
                <w:sz w:val="20"/>
              </w:rPr>
              <w:t>2.38</w:t>
            </w:r>
          </w:p>
        </w:tc>
      </w:tr>
      <w:tr w:rsidR="007C5447">
        <w:trPr>
          <w:trHeight w:val="369"/>
        </w:trPr>
        <w:tc>
          <w:tcPr>
            <w:tcW w:w="2854" w:type="dxa"/>
          </w:tcPr>
          <w:p w:rsidR="007C5447" w:rsidRDefault="00F6308C">
            <w:pPr>
              <w:pStyle w:val="TableParagraph"/>
              <w:spacing w:before="70"/>
              <w:ind w:left="112"/>
              <w:jc w:val="left"/>
              <w:rPr>
                <w:b/>
                <w:sz w:val="20"/>
              </w:rPr>
            </w:pPr>
            <w:r>
              <w:rPr>
                <w:b/>
                <w:sz w:val="20"/>
              </w:rPr>
              <w:t>Total from Own Generating</w:t>
            </w:r>
          </w:p>
        </w:tc>
        <w:tc>
          <w:tcPr>
            <w:tcW w:w="1265" w:type="dxa"/>
          </w:tcPr>
          <w:p w:rsidR="007C5447" w:rsidRDefault="00F6308C">
            <w:pPr>
              <w:pStyle w:val="TableParagraph"/>
              <w:spacing w:before="70"/>
              <w:ind w:right="170"/>
              <w:rPr>
                <w:b/>
                <w:sz w:val="20"/>
              </w:rPr>
            </w:pPr>
            <w:r>
              <w:rPr>
                <w:b/>
                <w:w w:val="95"/>
                <w:sz w:val="20"/>
              </w:rPr>
              <w:t>27,875.64</w:t>
            </w:r>
          </w:p>
        </w:tc>
        <w:tc>
          <w:tcPr>
            <w:tcW w:w="1264" w:type="dxa"/>
          </w:tcPr>
          <w:p w:rsidR="007C5447" w:rsidRDefault="00F6308C">
            <w:pPr>
              <w:pStyle w:val="TableParagraph"/>
              <w:spacing w:before="70"/>
              <w:ind w:right="164"/>
              <w:rPr>
                <w:b/>
                <w:sz w:val="20"/>
              </w:rPr>
            </w:pPr>
            <w:r>
              <w:rPr>
                <w:b/>
                <w:w w:val="95"/>
                <w:sz w:val="20"/>
              </w:rPr>
              <w:t>9,921.31</w:t>
            </w:r>
          </w:p>
        </w:tc>
        <w:tc>
          <w:tcPr>
            <w:tcW w:w="1050" w:type="dxa"/>
          </w:tcPr>
          <w:p w:rsidR="007C5447" w:rsidRDefault="00F6308C">
            <w:pPr>
              <w:pStyle w:val="TableParagraph"/>
              <w:spacing w:before="70"/>
              <w:ind w:right="167"/>
              <w:rPr>
                <w:b/>
                <w:sz w:val="20"/>
              </w:rPr>
            </w:pPr>
            <w:r>
              <w:rPr>
                <w:b/>
                <w:sz w:val="20"/>
              </w:rPr>
              <w:t>3.56</w:t>
            </w:r>
          </w:p>
        </w:tc>
        <w:tc>
          <w:tcPr>
            <w:tcW w:w="1088" w:type="dxa"/>
          </w:tcPr>
          <w:p w:rsidR="007C5447" w:rsidRDefault="00F6308C">
            <w:pPr>
              <w:pStyle w:val="TableParagraph"/>
              <w:spacing w:before="70"/>
              <w:ind w:right="161"/>
              <w:rPr>
                <w:b/>
                <w:sz w:val="20"/>
              </w:rPr>
            </w:pPr>
            <w:r>
              <w:rPr>
                <w:b/>
                <w:w w:val="95"/>
                <w:sz w:val="20"/>
              </w:rPr>
              <w:t>26,607.96</w:t>
            </w:r>
          </w:p>
        </w:tc>
        <w:tc>
          <w:tcPr>
            <w:tcW w:w="1091" w:type="dxa"/>
          </w:tcPr>
          <w:p w:rsidR="007C5447" w:rsidRDefault="00F6308C">
            <w:pPr>
              <w:pStyle w:val="TableParagraph"/>
              <w:spacing w:before="70"/>
              <w:ind w:right="162"/>
              <w:rPr>
                <w:b/>
                <w:sz w:val="20"/>
              </w:rPr>
            </w:pPr>
            <w:r>
              <w:rPr>
                <w:b/>
                <w:w w:val="95"/>
                <w:sz w:val="20"/>
              </w:rPr>
              <w:t>12,769.97</w:t>
            </w:r>
          </w:p>
        </w:tc>
        <w:tc>
          <w:tcPr>
            <w:tcW w:w="1148" w:type="dxa"/>
          </w:tcPr>
          <w:p w:rsidR="007C5447" w:rsidRDefault="00F6308C">
            <w:pPr>
              <w:pStyle w:val="TableParagraph"/>
              <w:spacing w:before="70"/>
              <w:ind w:right="160"/>
              <w:rPr>
                <w:b/>
                <w:sz w:val="20"/>
              </w:rPr>
            </w:pPr>
            <w:r>
              <w:rPr>
                <w:b/>
                <w:sz w:val="20"/>
              </w:rPr>
              <w:t>4.80</w:t>
            </w:r>
          </w:p>
        </w:tc>
        <w:tc>
          <w:tcPr>
            <w:tcW w:w="1432" w:type="dxa"/>
          </w:tcPr>
          <w:p w:rsidR="007C5447" w:rsidRDefault="00F6308C">
            <w:pPr>
              <w:pStyle w:val="TableParagraph"/>
              <w:spacing w:before="70"/>
              <w:ind w:right="162"/>
              <w:rPr>
                <w:b/>
                <w:sz w:val="20"/>
              </w:rPr>
            </w:pPr>
            <w:r>
              <w:rPr>
                <w:b/>
                <w:w w:val="95"/>
                <w:sz w:val="20"/>
              </w:rPr>
              <w:t>26,103.52</w:t>
            </w:r>
          </w:p>
        </w:tc>
        <w:tc>
          <w:tcPr>
            <w:tcW w:w="1417" w:type="dxa"/>
          </w:tcPr>
          <w:p w:rsidR="007C5447" w:rsidRDefault="00F6308C">
            <w:pPr>
              <w:pStyle w:val="TableParagraph"/>
              <w:spacing w:before="70"/>
              <w:ind w:right="158"/>
              <w:rPr>
                <w:b/>
                <w:sz w:val="20"/>
              </w:rPr>
            </w:pPr>
            <w:r>
              <w:rPr>
                <w:b/>
                <w:w w:val="95"/>
                <w:sz w:val="20"/>
              </w:rPr>
              <w:t>8,726.76</w:t>
            </w:r>
          </w:p>
        </w:tc>
        <w:tc>
          <w:tcPr>
            <w:tcW w:w="1347" w:type="dxa"/>
          </w:tcPr>
          <w:p w:rsidR="007C5447" w:rsidRDefault="00F6308C">
            <w:pPr>
              <w:pStyle w:val="TableParagraph"/>
              <w:spacing w:before="70"/>
              <w:ind w:right="158"/>
              <w:rPr>
                <w:b/>
                <w:sz w:val="20"/>
              </w:rPr>
            </w:pPr>
            <w:r>
              <w:rPr>
                <w:b/>
                <w:sz w:val="20"/>
              </w:rPr>
              <w:t>3.34</w:t>
            </w:r>
          </w:p>
        </w:tc>
      </w:tr>
      <w:tr w:rsidR="007C5447">
        <w:trPr>
          <w:trHeight w:val="371"/>
        </w:trPr>
        <w:tc>
          <w:tcPr>
            <w:tcW w:w="2854" w:type="dxa"/>
          </w:tcPr>
          <w:p w:rsidR="007C5447" w:rsidRDefault="00F6308C">
            <w:pPr>
              <w:pStyle w:val="TableParagraph"/>
              <w:spacing w:before="70"/>
              <w:ind w:left="112"/>
              <w:jc w:val="left"/>
              <w:rPr>
                <w:b/>
                <w:sz w:val="20"/>
              </w:rPr>
            </w:pPr>
            <w:r>
              <w:rPr>
                <w:b/>
                <w:sz w:val="20"/>
              </w:rPr>
              <w:t>CGS</w:t>
            </w:r>
          </w:p>
        </w:tc>
        <w:tc>
          <w:tcPr>
            <w:tcW w:w="1265" w:type="dxa"/>
          </w:tcPr>
          <w:p w:rsidR="007C5447" w:rsidRDefault="007C5447">
            <w:pPr>
              <w:pStyle w:val="TableParagraph"/>
              <w:jc w:val="left"/>
              <w:rPr>
                <w:sz w:val="20"/>
              </w:rPr>
            </w:pPr>
          </w:p>
        </w:tc>
        <w:tc>
          <w:tcPr>
            <w:tcW w:w="1264" w:type="dxa"/>
          </w:tcPr>
          <w:p w:rsidR="007C5447" w:rsidRDefault="007C5447">
            <w:pPr>
              <w:pStyle w:val="TableParagraph"/>
              <w:jc w:val="left"/>
              <w:rPr>
                <w:sz w:val="20"/>
              </w:rPr>
            </w:pPr>
          </w:p>
        </w:tc>
        <w:tc>
          <w:tcPr>
            <w:tcW w:w="1050" w:type="dxa"/>
          </w:tcPr>
          <w:p w:rsidR="007C5447" w:rsidRDefault="007C5447">
            <w:pPr>
              <w:pStyle w:val="TableParagraph"/>
              <w:jc w:val="left"/>
              <w:rPr>
                <w:sz w:val="20"/>
              </w:rPr>
            </w:pP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7C5447">
            <w:pPr>
              <w:pStyle w:val="TableParagraph"/>
              <w:jc w:val="left"/>
              <w:rPr>
                <w:sz w:val="20"/>
              </w:rPr>
            </w:pPr>
          </w:p>
        </w:tc>
        <w:tc>
          <w:tcPr>
            <w:tcW w:w="1417" w:type="dxa"/>
          </w:tcPr>
          <w:p w:rsidR="007C5447" w:rsidRDefault="007C5447">
            <w:pPr>
              <w:pStyle w:val="TableParagraph"/>
              <w:jc w:val="left"/>
              <w:rPr>
                <w:sz w:val="20"/>
              </w:rPr>
            </w:pP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NTPC SR (Ramagundam) (I&amp;II)</w:t>
            </w:r>
          </w:p>
        </w:tc>
        <w:tc>
          <w:tcPr>
            <w:tcW w:w="1265" w:type="dxa"/>
          </w:tcPr>
          <w:p w:rsidR="007C5447" w:rsidRDefault="00F6308C">
            <w:pPr>
              <w:pStyle w:val="TableParagraph"/>
              <w:spacing w:before="70"/>
              <w:ind w:right="168"/>
              <w:rPr>
                <w:sz w:val="20"/>
              </w:rPr>
            </w:pPr>
            <w:r>
              <w:rPr>
                <w:w w:val="95"/>
                <w:sz w:val="20"/>
              </w:rPr>
              <w:t>4,005.14</w:t>
            </w:r>
          </w:p>
        </w:tc>
        <w:tc>
          <w:tcPr>
            <w:tcW w:w="1264" w:type="dxa"/>
          </w:tcPr>
          <w:p w:rsidR="007C5447" w:rsidRDefault="00F6308C">
            <w:pPr>
              <w:pStyle w:val="TableParagraph"/>
              <w:spacing w:before="70"/>
              <w:ind w:right="164"/>
              <w:rPr>
                <w:sz w:val="20"/>
              </w:rPr>
            </w:pPr>
            <w:r>
              <w:rPr>
                <w:w w:val="95"/>
                <w:sz w:val="20"/>
              </w:rPr>
              <w:t>1,085.46</w:t>
            </w:r>
          </w:p>
        </w:tc>
        <w:tc>
          <w:tcPr>
            <w:tcW w:w="1050" w:type="dxa"/>
          </w:tcPr>
          <w:p w:rsidR="007C5447" w:rsidRDefault="00F6308C">
            <w:pPr>
              <w:pStyle w:val="TableParagraph"/>
              <w:spacing w:before="70"/>
              <w:ind w:right="167"/>
              <w:rPr>
                <w:sz w:val="20"/>
              </w:rPr>
            </w:pPr>
            <w:r>
              <w:rPr>
                <w:sz w:val="20"/>
              </w:rPr>
              <w:t>2.71</w:t>
            </w:r>
          </w:p>
        </w:tc>
        <w:tc>
          <w:tcPr>
            <w:tcW w:w="1088" w:type="dxa"/>
          </w:tcPr>
          <w:p w:rsidR="007C5447" w:rsidRDefault="00F6308C">
            <w:pPr>
              <w:pStyle w:val="TableParagraph"/>
              <w:spacing w:before="70"/>
              <w:ind w:right="161"/>
              <w:rPr>
                <w:sz w:val="20"/>
              </w:rPr>
            </w:pPr>
            <w:r>
              <w:rPr>
                <w:w w:val="95"/>
                <w:sz w:val="20"/>
              </w:rPr>
              <w:t>4,005.14</w:t>
            </w:r>
          </w:p>
        </w:tc>
        <w:tc>
          <w:tcPr>
            <w:tcW w:w="1091" w:type="dxa"/>
          </w:tcPr>
          <w:p w:rsidR="007C5447" w:rsidRDefault="00F6308C">
            <w:pPr>
              <w:pStyle w:val="TableParagraph"/>
              <w:spacing w:before="70"/>
              <w:ind w:right="162"/>
              <w:rPr>
                <w:sz w:val="20"/>
              </w:rPr>
            </w:pPr>
            <w:r>
              <w:rPr>
                <w:w w:val="95"/>
                <w:sz w:val="20"/>
              </w:rPr>
              <w:t>1,091.00</w:t>
            </w:r>
          </w:p>
        </w:tc>
        <w:tc>
          <w:tcPr>
            <w:tcW w:w="1148" w:type="dxa"/>
          </w:tcPr>
          <w:p w:rsidR="007C5447" w:rsidRDefault="00F6308C">
            <w:pPr>
              <w:pStyle w:val="TableParagraph"/>
              <w:spacing w:before="70"/>
              <w:ind w:right="160"/>
              <w:rPr>
                <w:sz w:val="20"/>
              </w:rPr>
            </w:pPr>
            <w:r>
              <w:rPr>
                <w:sz w:val="20"/>
              </w:rPr>
              <w:t>2.72</w:t>
            </w:r>
          </w:p>
        </w:tc>
        <w:tc>
          <w:tcPr>
            <w:tcW w:w="1432" w:type="dxa"/>
          </w:tcPr>
          <w:p w:rsidR="007C5447" w:rsidRDefault="00F6308C">
            <w:pPr>
              <w:pStyle w:val="TableParagraph"/>
              <w:spacing w:before="70"/>
              <w:ind w:right="160"/>
              <w:rPr>
                <w:sz w:val="20"/>
              </w:rPr>
            </w:pPr>
            <w:r>
              <w:rPr>
                <w:w w:val="95"/>
                <w:sz w:val="20"/>
              </w:rPr>
              <w:t>4,005.14</w:t>
            </w:r>
          </w:p>
        </w:tc>
        <w:tc>
          <w:tcPr>
            <w:tcW w:w="1417" w:type="dxa"/>
          </w:tcPr>
          <w:p w:rsidR="007C5447" w:rsidRDefault="00F6308C">
            <w:pPr>
              <w:pStyle w:val="TableParagraph"/>
              <w:spacing w:before="70"/>
              <w:ind w:right="158"/>
              <w:rPr>
                <w:sz w:val="20"/>
              </w:rPr>
            </w:pPr>
            <w:r>
              <w:rPr>
                <w:w w:val="95"/>
                <w:sz w:val="20"/>
              </w:rPr>
              <w:t>1,091.00</w:t>
            </w:r>
          </w:p>
        </w:tc>
        <w:tc>
          <w:tcPr>
            <w:tcW w:w="1347" w:type="dxa"/>
          </w:tcPr>
          <w:p w:rsidR="007C5447" w:rsidRDefault="00F6308C">
            <w:pPr>
              <w:pStyle w:val="TableParagraph"/>
              <w:spacing w:before="70"/>
              <w:ind w:right="158"/>
              <w:rPr>
                <w:sz w:val="20"/>
              </w:rPr>
            </w:pPr>
            <w:r>
              <w:rPr>
                <w:sz w:val="20"/>
              </w:rPr>
              <w:t>2.72</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NTPC SR (Ramagundam) III</w:t>
            </w:r>
          </w:p>
        </w:tc>
        <w:tc>
          <w:tcPr>
            <w:tcW w:w="1265" w:type="dxa"/>
          </w:tcPr>
          <w:p w:rsidR="007C5447" w:rsidRDefault="00F6308C">
            <w:pPr>
              <w:pStyle w:val="TableParagraph"/>
              <w:spacing w:before="70"/>
              <w:ind w:right="168"/>
              <w:rPr>
                <w:sz w:val="20"/>
              </w:rPr>
            </w:pPr>
            <w:r>
              <w:rPr>
                <w:w w:val="95"/>
                <w:sz w:val="20"/>
              </w:rPr>
              <w:t>1,054.26</w:t>
            </w:r>
          </w:p>
        </w:tc>
        <w:tc>
          <w:tcPr>
            <w:tcW w:w="1264" w:type="dxa"/>
          </w:tcPr>
          <w:p w:rsidR="007C5447" w:rsidRDefault="00F6308C">
            <w:pPr>
              <w:pStyle w:val="TableParagraph"/>
              <w:spacing w:before="70"/>
              <w:ind w:right="166"/>
              <w:rPr>
                <w:sz w:val="20"/>
              </w:rPr>
            </w:pPr>
            <w:r>
              <w:rPr>
                <w:w w:val="95"/>
                <w:sz w:val="20"/>
              </w:rPr>
              <w:t>385.01</w:t>
            </w:r>
          </w:p>
        </w:tc>
        <w:tc>
          <w:tcPr>
            <w:tcW w:w="1050" w:type="dxa"/>
          </w:tcPr>
          <w:p w:rsidR="007C5447" w:rsidRDefault="00F6308C">
            <w:pPr>
              <w:pStyle w:val="TableParagraph"/>
              <w:spacing w:before="70"/>
              <w:ind w:right="167"/>
              <w:rPr>
                <w:sz w:val="20"/>
              </w:rPr>
            </w:pPr>
            <w:r>
              <w:rPr>
                <w:sz w:val="20"/>
              </w:rPr>
              <w:t>3.65</w:t>
            </w:r>
          </w:p>
        </w:tc>
        <w:tc>
          <w:tcPr>
            <w:tcW w:w="1088" w:type="dxa"/>
          </w:tcPr>
          <w:p w:rsidR="007C5447" w:rsidRDefault="00F6308C">
            <w:pPr>
              <w:pStyle w:val="TableParagraph"/>
              <w:spacing w:before="70"/>
              <w:ind w:right="161"/>
              <w:rPr>
                <w:sz w:val="20"/>
              </w:rPr>
            </w:pPr>
            <w:r>
              <w:rPr>
                <w:w w:val="95"/>
                <w:sz w:val="20"/>
              </w:rPr>
              <w:t>1,054.26</w:t>
            </w:r>
          </w:p>
        </w:tc>
        <w:tc>
          <w:tcPr>
            <w:tcW w:w="1091" w:type="dxa"/>
          </w:tcPr>
          <w:p w:rsidR="007C5447" w:rsidRDefault="00F6308C">
            <w:pPr>
              <w:pStyle w:val="TableParagraph"/>
              <w:spacing w:before="70"/>
              <w:ind w:right="164"/>
              <w:rPr>
                <w:sz w:val="20"/>
              </w:rPr>
            </w:pPr>
            <w:r>
              <w:rPr>
                <w:w w:val="95"/>
                <w:sz w:val="20"/>
              </w:rPr>
              <w:t>384.00</w:t>
            </w:r>
          </w:p>
        </w:tc>
        <w:tc>
          <w:tcPr>
            <w:tcW w:w="1148" w:type="dxa"/>
          </w:tcPr>
          <w:p w:rsidR="007C5447" w:rsidRDefault="00F6308C">
            <w:pPr>
              <w:pStyle w:val="TableParagraph"/>
              <w:spacing w:before="70"/>
              <w:ind w:right="160"/>
              <w:rPr>
                <w:sz w:val="20"/>
              </w:rPr>
            </w:pPr>
            <w:r>
              <w:rPr>
                <w:sz w:val="20"/>
              </w:rPr>
              <w:t>3.64</w:t>
            </w:r>
          </w:p>
        </w:tc>
        <w:tc>
          <w:tcPr>
            <w:tcW w:w="1432" w:type="dxa"/>
          </w:tcPr>
          <w:p w:rsidR="007C5447" w:rsidRDefault="00F6308C">
            <w:pPr>
              <w:pStyle w:val="TableParagraph"/>
              <w:spacing w:before="70"/>
              <w:ind w:right="160"/>
              <w:rPr>
                <w:sz w:val="20"/>
              </w:rPr>
            </w:pPr>
            <w:r>
              <w:rPr>
                <w:w w:val="95"/>
                <w:sz w:val="20"/>
              </w:rPr>
              <w:t>1,054.26</w:t>
            </w:r>
          </w:p>
        </w:tc>
        <w:tc>
          <w:tcPr>
            <w:tcW w:w="1417" w:type="dxa"/>
          </w:tcPr>
          <w:p w:rsidR="007C5447" w:rsidRDefault="00F6308C">
            <w:pPr>
              <w:pStyle w:val="TableParagraph"/>
              <w:spacing w:before="70"/>
              <w:ind w:right="160"/>
              <w:rPr>
                <w:sz w:val="20"/>
              </w:rPr>
            </w:pPr>
            <w:r>
              <w:rPr>
                <w:w w:val="95"/>
                <w:sz w:val="20"/>
              </w:rPr>
              <w:t>385.01</w:t>
            </w:r>
          </w:p>
        </w:tc>
        <w:tc>
          <w:tcPr>
            <w:tcW w:w="1347" w:type="dxa"/>
          </w:tcPr>
          <w:p w:rsidR="007C5447" w:rsidRDefault="00F6308C">
            <w:pPr>
              <w:pStyle w:val="TableParagraph"/>
              <w:spacing w:before="70"/>
              <w:ind w:right="158"/>
              <w:rPr>
                <w:sz w:val="20"/>
              </w:rPr>
            </w:pPr>
            <w:r>
              <w:rPr>
                <w:sz w:val="20"/>
              </w:rPr>
              <w:t>3.65</w:t>
            </w:r>
          </w:p>
        </w:tc>
      </w:tr>
      <w:tr w:rsidR="007C5447">
        <w:trPr>
          <w:trHeight w:val="371"/>
        </w:trPr>
        <w:tc>
          <w:tcPr>
            <w:tcW w:w="2854" w:type="dxa"/>
            <w:tcBorders>
              <w:left w:val="single" w:sz="8" w:space="0" w:color="000000"/>
            </w:tcBorders>
          </w:tcPr>
          <w:p w:rsidR="007C5447" w:rsidRDefault="00F6308C">
            <w:pPr>
              <w:pStyle w:val="TableParagraph"/>
              <w:spacing w:before="70"/>
              <w:ind w:left="107"/>
              <w:jc w:val="left"/>
              <w:rPr>
                <w:sz w:val="20"/>
              </w:rPr>
            </w:pPr>
            <w:r>
              <w:rPr>
                <w:sz w:val="20"/>
              </w:rPr>
              <w:t>NLC TS – I</w:t>
            </w:r>
          </w:p>
        </w:tc>
        <w:tc>
          <w:tcPr>
            <w:tcW w:w="1265" w:type="dxa"/>
          </w:tcPr>
          <w:p w:rsidR="007C5447" w:rsidRDefault="00F6308C">
            <w:pPr>
              <w:pStyle w:val="TableParagraph"/>
              <w:spacing w:before="70"/>
              <w:ind w:right="168"/>
              <w:rPr>
                <w:sz w:val="20"/>
              </w:rPr>
            </w:pPr>
            <w:r>
              <w:rPr>
                <w:w w:val="95"/>
                <w:sz w:val="20"/>
              </w:rPr>
              <w:t>3,271.10</w:t>
            </w:r>
          </w:p>
        </w:tc>
        <w:tc>
          <w:tcPr>
            <w:tcW w:w="1264" w:type="dxa"/>
          </w:tcPr>
          <w:p w:rsidR="007C5447" w:rsidRDefault="00F6308C">
            <w:pPr>
              <w:pStyle w:val="TableParagraph"/>
              <w:spacing w:before="70"/>
              <w:ind w:right="164"/>
              <w:rPr>
                <w:sz w:val="20"/>
              </w:rPr>
            </w:pPr>
            <w:r>
              <w:rPr>
                <w:w w:val="95"/>
                <w:sz w:val="20"/>
              </w:rPr>
              <w:t>1,151.21</w:t>
            </w:r>
          </w:p>
        </w:tc>
        <w:tc>
          <w:tcPr>
            <w:tcW w:w="1050" w:type="dxa"/>
          </w:tcPr>
          <w:p w:rsidR="007C5447" w:rsidRDefault="00F6308C">
            <w:pPr>
              <w:pStyle w:val="TableParagraph"/>
              <w:spacing w:before="70"/>
              <w:ind w:right="167"/>
              <w:rPr>
                <w:sz w:val="20"/>
              </w:rPr>
            </w:pPr>
            <w:r>
              <w:rPr>
                <w:sz w:val="20"/>
              </w:rPr>
              <w:t>3.52</w:t>
            </w:r>
          </w:p>
        </w:tc>
        <w:tc>
          <w:tcPr>
            <w:tcW w:w="1088" w:type="dxa"/>
          </w:tcPr>
          <w:p w:rsidR="007C5447" w:rsidRDefault="00F6308C">
            <w:pPr>
              <w:pStyle w:val="TableParagraph"/>
              <w:spacing w:before="70"/>
              <w:ind w:right="161"/>
              <w:rPr>
                <w:sz w:val="20"/>
              </w:rPr>
            </w:pPr>
            <w:r>
              <w:rPr>
                <w:w w:val="95"/>
                <w:sz w:val="20"/>
              </w:rPr>
              <w:t>3,271.10</w:t>
            </w:r>
          </w:p>
        </w:tc>
        <w:tc>
          <w:tcPr>
            <w:tcW w:w="1091" w:type="dxa"/>
          </w:tcPr>
          <w:p w:rsidR="007C5447" w:rsidRDefault="00F6308C">
            <w:pPr>
              <w:pStyle w:val="TableParagraph"/>
              <w:spacing w:before="70"/>
              <w:ind w:right="162"/>
              <w:rPr>
                <w:sz w:val="20"/>
              </w:rPr>
            </w:pPr>
            <w:r>
              <w:rPr>
                <w:w w:val="95"/>
                <w:sz w:val="20"/>
              </w:rPr>
              <w:t>1,127.00</w:t>
            </w:r>
          </w:p>
        </w:tc>
        <w:tc>
          <w:tcPr>
            <w:tcW w:w="1148" w:type="dxa"/>
          </w:tcPr>
          <w:p w:rsidR="007C5447" w:rsidRDefault="00F6308C">
            <w:pPr>
              <w:pStyle w:val="TableParagraph"/>
              <w:spacing w:before="70"/>
              <w:ind w:right="160"/>
              <w:rPr>
                <w:sz w:val="20"/>
              </w:rPr>
            </w:pPr>
            <w:r>
              <w:rPr>
                <w:sz w:val="20"/>
              </w:rPr>
              <w:t>3.45</w:t>
            </w:r>
          </w:p>
        </w:tc>
        <w:tc>
          <w:tcPr>
            <w:tcW w:w="1432" w:type="dxa"/>
          </w:tcPr>
          <w:p w:rsidR="007C5447" w:rsidRDefault="00F6308C">
            <w:pPr>
              <w:pStyle w:val="TableParagraph"/>
              <w:spacing w:before="70"/>
              <w:ind w:right="160"/>
              <w:rPr>
                <w:sz w:val="20"/>
              </w:rPr>
            </w:pPr>
            <w:r>
              <w:rPr>
                <w:w w:val="95"/>
                <w:sz w:val="20"/>
              </w:rPr>
              <w:t>3,271.10</w:t>
            </w:r>
          </w:p>
        </w:tc>
        <w:tc>
          <w:tcPr>
            <w:tcW w:w="1417" w:type="dxa"/>
          </w:tcPr>
          <w:p w:rsidR="007C5447" w:rsidRDefault="00F6308C">
            <w:pPr>
              <w:pStyle w:val="TableParagraph"/>
              <w:spacing w:before="70"/>
              <w:ind w:right="158"/>
              <w:rPr>
                <w:sz w:val="20"/>
              </w:rPr>
            </w:pPr>
            <w:r>
              <w:rPr>
                <w:w w:val="95"/>
                <w:sz w:val="20"/>
              </w:rPr>
              <w:t>1,127.00</w:t>
            </w:r>
          </w:p>
        </w:tc>
        <w:tc>
          <w:tcPr>
            <w:tcW w:w="1347" w:type="dxa"/>
          </w:tcPr>
          <w:p w:rsidR="007C5447" w:rsidRDefault="00F6308C">
            <w:pPr>
              <w:pStyle w:val="TableParagraph"/>
              <w:spacing w:before="70"/>
              <w:ind w:right="158"/>
              <w:rPr>
                <w:sz w:val="20"/>
              </w:rPr>
            </w:pPr>
            <w:r>
              <w:rPr>
                <w:sz w:val="20"/>
              </w:rPr>
              <w:t>3.45</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NLC TS – II</w:t>
            </w:r>
          </w:p>
        </w:tc>
        <w:tc>
          <w:tcPr>
            <w:tcW w:w="1265" w:type="dxa"/>
          </w:tcPr>
          <w:p w:rsidR="007C5447" w:rsidRDefault="00F6308C">
            <w:pPr>
              <w:pStyle w:val="TableParagraph"/>
              <w:spacing w:before="70"/>
              <w:ind w:right="168"/>
              <w:rPr>
                <w:sz w:val="20"/>
              </w:rPr>
            </w:pPr>
            <w:r>
              <w:rPr>
                <w:w w:val="95"/>
                <w:sz w:val="20"/>
              </w:rPr>
              <w:t>3,347.41</w:t>
            </w:r>
          </w:p>
        </w:tc>
        <w:tc>
          <w:tcPr>
            <w:tcW w:w="1264" w:type="dxa"/>
          </w:tcPr>
          <w:p w:rsidR="007C5447" w:rsidRDefault="00F6308C">
            <w:pPr>
              <w:pStyle w:val="TableParagraph"/>
              <w:spacing w:before="70"/>
              <w:ind w:right="166"/>
              <w:rPr>
                <w:sz w:val="20"/>
              </w:rPr>
            </w:pPr>
            <w:r>
              <w:rPr>
                <w:w w:val="95"/>
                <w:sz w:val="20"/>
              </w:rPr>
              <w:t>937.60</w:t>
            </w:r>
          </w:p>
        </w:tc>
        <w:tc>
          <w:tcPr>
            <w:tcW w:w="1050" w:type="dxa"/>
          </w:tcPr>
          <w:p w:rsidR="007C5447" w:rsidRDefault="00F6308C">
            <w:pPr>
              <w:pStyle w:val="TableParagraph"/>
              <w:spacing w:before="70"/>
              <w:ind w:right="167"/>
              <w:rPr>
                <w:sz w:val="20"/>
              </w:rPr>
            </w:pPr>
            <w:r>
              <w:rPr>
                <w:sz w:val="20"/>
              </w:rPr>
              <w:t>2.80</w:t>
            </w:r>
          </w:p>
        </w:tc>
        <w:tc>
          <w:tcPr>
            <w:tcW w:w="1088" w:type="dxa"/>
          </w:tcPr>
          <w:p w:rsidR="007C5447" w:rsidRDefault="00F6308C">
            <w:pPr>
              <w:pStyle w:val="TableParagraph"/>
              <w:spacing w:before="70"/>
              <w:ind w:right="161"/>
              <w:rPr>
                <w:sz w:val="20"/>
              </w:rPr>
            </w:pPr>
            <w:r>
              <w:rPr>
                <w:w w:val="95"/>
                <w:sz w:val="20"/>
              </w:rPr>
              <w:t>3,399.00</w:t>
            </w:r>
          </w:p>
        </w:tc>
        <w:tc>
          <w:tcPr>
            <w:tcW w:w="1091" w:type="dxa"/>
          </w:tcPr>
          <w:p w:rsidR="007C5447" w:rsidRDefault="00F6308C">
            <w:pPr>
              <w:pStyle w:val="TableParagraph"/>
              <w:spacing w:before="70"/>
              <w:ind w:right="164"/>
              <w:rPr>
                <w:sz w:val="20"/>
              </w:rPr>
            </w:pPr>
            <w:r>
              <w:rPr>
                <w:w w:val="95"/>
                <w:sz w:val="20"/>
              </w:rPr>
              <w:t>933.00</w:t>
            </w:r>
          </w:p>
        </w:tc>
        <w:tc>
          <w:tcPr>
            <w:tcW w:w="1148" w:type="dxa"/>
          </w:tcPr>
          <w:p w:rsidR="007C5447" w:rsidRDefault="00F6308C">
            <w:pPr>
              <w:pStyle w:val="TableParagraph"/>
              <w:spacing w:before="70"/>
              <w:ind w:right="160"/>
              <w:rPr>
                <w:sz w:val="20"/>
              </w:rPr>
            </w:pPr>
            <w:r>
              <w:rPr>
                <w:sz w:val="20"/>
              </w:rPr>
              <w:t>2.74</w:t>
            </w:r>
          </w:p>
        </w:tc>
        <w:tc>
          <w:tcPr>
            <w:tcW w:w="1432" w:type="dxa"/>
          </w:tcPr>
          <w:p w:rsidR="007C5447" w:rsidRDefault="00F6308C">
            <w:pPr>
              <w:pStyle w:val="TableParagraph"/>
              <w:spacing w:before="70"/>
              <w:ind w:right="160"/>
              <w:rPr>
                <w:sz w:val="20"/>
              </w:rPr>
            </w:pPr>
            <w:r>
              <w:rPr>
                <w:w w:val="95"/>
                <w:sz w:val="20"/>
              </w:rPr>
              <w:t>3,399.00</w:t>
            </w:r>
          </w:p>
        </w:tc>
        <w:tc>
          <w:tcPr>
            <w:tcW w:w="1417" w:type="dxa"/>
          </w:tcPr>
          <w:p w:rsidR="007C5447" w:rsidRDefault="00F6308C">
            <w:pPr>
              <w:pStyle w:val="TableParagraph"/>
              <w:spacing w:before="70"/>
              <w:ind w:right="160"/>
              <w:rPr>
                <w:sz w:val="20"/>
              </w:rPr>
            </w:pPr>
            <w:r>
              <w:rPr>
                <w:w w:val="95"/>
                <w:sz w:val="20"/>
              </w:rPr>
              <w:t>933.00</w:t>
            </w:r>
          </w:p>
        </w:tc>
        <w:tc>
          <w:tcPr>
            <w:tcW w:w="1347" w:type="dxa"/>
          </w:tcPr>
          <w:p w:rsidR="007C5447" w:rsidRDefault="00F6308C">
            <w:pPr>
              <w:pStyle w:val="TableParagraph"/>
              <w:spacing w:before="70"/>
              <w:ind w:right="158"/>
              <w:rPr>
                <w:sz w:val="20"/>
              </w:rPr>
            </w:pPr>
            <w:r>
              <w:rPr>
                <w:sz w:val="20"/>
              </w:rPr>
              <w:t>2.74</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NLC TS Expansion I</w:t>
            </w:r>
          </w:p>
        </w:tc>
        <w:tc>
          <w:tcPr>
            <w:tcW w:w="1265" w:type="dxa"/>
          </w:tcPr>
          <w:p w:rsidR="007C5447" w:rsidRDefault="00F6308C">
            <w:pPr>
              <w:pStyle w:val="TableParagraph"/>
              <w:spacing w:before="70"/>
              <w:ind w:right="168"/>
              <w:rPr>
                <w:sz w:val="20"/>
              </w:rPr>
            </w:pPr>
            <w:r>
              <w:rPr>
                <w:w w:val="95"/>
                <w:sz w:val="20"/>
              </w:rPr>
              <w:t>1,635.80</w:t>
            </w:r>
          </w:p>
        </w:tc>
        <w:tc>
          <w:tcPr>
            <w:tcW w:w="1264" w:type="dxa"/>
          </w:tcPr>
          <w:p w:rsidR="007C5447" w:rsidRDefault="00F6308C">
            <w:pPr>
              <w:pStyle w:val="TableParagraph"/>
              <w:spacing w:before="70"/>
              <w:ind w:right="166"/>
              <w:rPr>
                <w:sz w:val="20"/>
              </w:rPr>
            </w:pPr>
            <w:r>
              <w:rPr>
                <w:w w:val="95"/>
                <w:sz w:val="20"/>
              </w:rPr>
              <w:t>574.55</w:t>
            </w:r>
          </w:p>
        </w:tc>
        <w:tc>
          <w:tcPr>
            <w:tcW w:w="1050" w:type="dxa"/>
          </w:tcPr>
          <w:p w:rsidR="007C5447" w:rsidRDefault="00F6308C">
            <w:pPr>
              <w:pStyle w:val="TableParagraph"/>
              <w:spacing w:before="70"/>
              <w:ind w:right="167"/>
              <w:rPr>
                <w:sz w:val="20"/>
              </w:rPr>
            </w:pPr>
            <w:r>
              <w:rPr>
                <w:sz w:val="20"/>
              </w:rPr>
              <w:t>3.51</w:t>
            </w:r>
          </w:p>
        </w:tc>
        <w:tc>
          <w:tcPr>
            <w:tcW w:w="1088" w:type="dxa"/>
          </w:tcPr>
          <w:p w:rsidR="007C5447" w:rsidRDefault="00F6308C">
            <w:pPr>
              <w:pStyle w:val="TableParagraph"/>
              <w:spacing w:before="70"/>
              <w:ind w:right="161"/>
              <w:rPr>
                <w:sz w:val="20"/>
              </w:rPr>
            </w:pPr>
            <w:r>
              <w:rPr>
                <w:w w:val="95"/>
                <w:sz w:val="20"/>
              </w:rPr>
              <w:t>1,584.00</w:t>
            </w:r>
          </w:p>
        </w:tc>
        <w:tc>
          <w:tcPr>
            <w:tcW w:w="1091" w:type="dxa"/>
          </w:tcPr>
          <w:p w:rsidR="007C5447" w:rsidRDefault="00F6308C">
            <w:pPr>
              <w:pStyle w:val="TableParagraph"/>
              <w:spacing w:before="70"/>
              <w:ind w:right="164"/>
              <w:rPr>
                <w:sz w:val="20"/>
              </w:rPr>
            </w:pPr>
            <w:r>
              <w:rPr>
                <w:w w:val="95"/>
                <w:sz w:val="20"/>
              </w:rPr>
              <w:t>541.00</w:t>
            </w:r>
          </w:p>
        </w:tc>
        <w:tc>
          <w:tcPr>
            <w:tcW w:w="1148" w:type="dxa"/>
          </w:tcPr>
          <w:p w:rsidR="007C5447" w:rsidRDefault="00F6308C">
            <w:pPr>
              <w:pStyle w:val="TableParagraph"/>
              <w:spacing w:before="70"/>
              <w:ind w:right="160"/>
              <w:rPr>
                <w:sz w:val="20"/>
              </w:rPr>
            </w:pPr>
            <w:r>
              <w:rPr>
                <w:sz w:val="20"/>
              </w:rPr>
              <w:t>3.42</w:t>
            </w:r>
          </w:p>
        </w:tc>
        <w:tc>
          <w:tcPr>
            <w:tcW w:w="1432" w:type="dxa"/>
          </w:tcPr>
          <w:p w:rsidR="007C5447" w:rsidRDefault="00F6308C">
            <w:pPr>
              <w:pStyle w:val="TableParagraph"/>
              <w:spacing w:before="70"/>
              <w:ind w:right="160"/>
              <w:rPr>
                <w:sz w:val="20"/>
              </w:rPr>
            </w:pPr>
            <w:r>
              <w:rPr>
                <w:w w:val="95"/>
                <w:sz w:val="20"/>
              </w:rPr>
              <w:t>1,584.00</w:t>
            </w:r>
          </w:p>
        </w:tc>
        <w:tc>
          <w:tcPr>
            <w:tcW w:w="1417" w:type="dxa"/>
          </w:tcPr>
          <w:p w:rsidR="007C5447" w:rsidRDefault="00F6308C">
            <w:pPr>
              <w:pStyle w:val="TableParagraph"/>
              <w:spacing w:before="70"/>
              <w:ind w:right="160"/>
              <w:rPr>
                <w:sz w:val="20"/>
              </w:rPr>
            </w:pPr>
            <w:r>
              <w:rPr>
                <w:w w:val="95"/>
                <w:sz w:val="20"/>
              </w:rPr>
              <w:t>541.00</w:t>
            </w:r>
          </w:p>
        </w:tc>
        <w:tc>
          <w:tcPr>
            <w:tcW w:w="1347" w:type="dxa"/>
          </w:tcPr>
          <w:p w:rsidR="007C5447" w:rsidRDefault="00F6308C">
            <w:pPr>
              <w:pStyle w:val="TableParagraph"/>
              <w:spacing w:before="70"/>
              <w:ind w:right="158"/>
              <w:rPr>
                <w:sz w:val="20"/>
              </w:rPr>
            </w:pPr>
            <w:r>
              <w:rPr>
                <w:sz w:val="20"/>
              </w:rPr>
              <w:t>3.42</w:t>
            </w:r>
          </w:p>
        </w:tc>
      </w:tr>
      <w:tr w:rsidR="007C5447">
        <w:trPr>
          <w:trHeight w:val="371"/>
        </w:trPr>
        <w:tc>
          <w:tcPr>
            <w:tcW w:w="2854" w:type="dxa"/>
            <w:tcBorders>
              <w:left w:val="single" w:sz="8" w:space="0" w:color="000000"/>
            </w:tcBorders>
          </w:tcPr>
          <w:p w:rsidR="007C5447" w:rsidRDefault="00F6308C">
            <w:pPr>
              <w:pStyle w:val="TableParagraph"/>
              <w:spacing w:before="70"/>
              <w:ind w:left="107"/>
              <w:jc w:val="left"/>
              <w:rPr>
                <w:sz w:val="20"/>
              </w:rPr>
            </w:pPr>
            <w:r>
              <w:rPr>
                <w:sz w:val="20"/>
              </w:rPr>
              <w:t>NLC TS Expansion II</w:t>
            </w:r>
          </w:p>
        </w:tc>
        <w:tc>
          <w:tcPr>
            <w:tcW w:w="1265" w:type="dxa"/>
          </w:tcPr>
          <w:p w:rsidR="007C5447" w:rsidRDefault="007C5447">
            <w:pPr>
              <w:pStyle w:val="TableParagraph"/>
              <w:jc w:val="left"/>
              <w:rPr>
                <w:sz w:val="20"/>
              </w:rPr>
            </w:pPr>
          </w:p>
        </w:tc>
        <w:tc>
          <w:tcPr>
            <w:tcW w:w="1264" w:type="dxa"/>
          </w:tcPr>
          <w:p w:rsidR="007C5447" w:rsidRDefault="00F6308C">
            <w:pPr>
              <w:pStyle w:val="TableParagraph"/>
              <w:spacing w:before="70"/>
              <w:ind w:right="163"/>
              <w:rPr>
                <w:sz w:val="20"/>
              </w:rPr>
            </w:pPr>
            <w:r>
              <w:rPr>
                <w:w w:val="99"/>
                <w:sz w:val="20"/>
              </w:rPr>
              <w:t>-</w:t>
            </w:r>
          </w:p>
        </w:tc>
        <w:tc>
          <w:tcPr>
            <w:tcW w:w="1050" w:type="dxa"/>
          </w:tcPr>
          <w:p w:rsidR="007C5447" w:rsidRDefault="007C5447">
            <w:pPr>
              <w:pStyle w:val="TableParagraph"/>
              <w:jc w:val="left"/>
              <w:rPr>
                <w:sz w:val="20"/>
              </w:rPr>
            </w:pPr>
          </w:p>
        </w:tc>
        <w:tc>
          <w:tcPr>
            <w:tcW w:w="1088" w:type="dxa"/>
          </w:tcPr>
          <w:p w:rsidR="007C5447" w:rsidRDefault="00F6308C">
            <w:pPr>
              <w:pStyle w:val="TableParagraph"/>
              <w:spacing w:before="70"/>
              <w:ind w:right="160"/>
              <w:rPr>
                <w:sz w:val="20"/>
              </w:rPr>
            </w:pPr>
            <w:r>
              <w:rPr>
                <w:w w:val="99"/>
                <w:sz w:val="20"/>
              </w:rPr>
              <w:t>-</w:t>
            </w:r>
          </w:p>
        </w:tc>
        <w:tc>
          <w:tcPr>
            <w:tcW w:w="1091" w:type="dxa"/>
          </w:tcPr>
          <w:p w:rsidR="007C5447" w:rsidRDefault="00F6308C">
            <w:pPr>
              <w:pStyle w:val="TableParagraph"/>
              <w:spacing w:before="70"/>
              <w:ind w:right="161"/>
              <w:rPr>
                <w:sz w:val="20"/>
              </w:rPr>
            </w:pPr>
            <w:r>
              <w:rPr>
                <w:w w:val="99"/>
                <w:sz w:val="20"/>
              </w:rPr>
              <w:t>-</w:t>
            </w:r>
          </w:p>
        </w:tc>
        <w:tc>
          <w:tcPr>
            <w:tcW w:w="1148" w:type="dxa"/>
          </w:tcPr>
          <w:p w:rsidR="007C5447" w:rsidRDefault="007C5447">
            <w:pPr>
              <w:pStyle w:val="TableParagraph"/>
              <w:jc w:val="left"/>
              <w:rPr>
                <w:sz w:val="20"/>
              </w:rPr>
            </w:pPr>
          </w:p>
        </w:tc>
        <w:tc>
          <w:tcPr>
            <w:tcW w:w="1432" w:type="dxa"/>
          </w:tcPr>
          <w:p w:rsidR="007C5447" w:rsidRDefault="00F6308C">
            <w:pPr>
              <w:pStyle w:val="TableParagraph"/>
              <w:spacing w:before="70"/>
              <w:ind w:right="158"/>
              <w:rPr>
                <w:sz w:val="20"/>
              </w:rPr>
            </w:pPr>
            <w:r>
              <w:rPr>
                <w:w w:val="99"/>
                <w:sz w:val="20"/>
              </w:rPr>
              <w:t>-</w:t>
            </w:r>
          </w:p>
        </w:tc>
        <w:tc>
          <w:tcPr>
            <w:tcW w:w="1417" w:type="dxa"/>
          </w:tcPr>
          <w:p w:rsidR="007C5447" w:rsidRDefault="00F6308C">
            <w:pPr>
              <w:pStyle w:val="TableParagraph"/>
              <w:spacing w:before="70"/>
              <w:ind w:right="156"/>
              <w:rPr>
                <w:sz w:val="20"/>
              </w:rPr>
            </w:pPr>
            <w:r>
              <w:rPr>
                <w:w w:val="99"/>
                <w:sz w:val="20"/>
              </w:rPr>
              <w:t>-</w:t>
            </w: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NTPL (JV with NLC)</w:t>
            </w:r>
          </w:p>
        </w:tc>
        <w:tc>
          <w:tcPr>
            <w:tcW w:w="1265" w:type="dxa"/>
          </w:tcPr>
          <w:p w:rsidR="007C5447" w:rsidRDefault="007C5447">
            <w:pPr>
              <w:pStyle w:val="TableParagraph"/>
              <w:jc w:val="left"/>
              <w:rPr>
                <w:sz w:val="20"/>
              </w:rPr>
            </w:pPr>
          </w:p>
        </w:tc>
        <w:tc>
          <w:tcPr>
            <w:tcW w:w="1264" w:type="dxa"/>
          </w:tcPr>
          <w:p w:rsidR="007C5447" w:rsidRDefault="00F6308C">
            <w:pPr>
              <w:pStyle w:val="TableParagraph"/>
              <w:spacing w:before="70"/>
              <w:ind w:right="163"/>
              <w:rPr>
                <w:sz w:val="20"/>
              </w:rPr>
            </w:pPr>
            <w:r>
              <w:rPr>
                <w:w w:val="99"/>
                <w:sz w:val="20"/>
              </w:rPr>
              <w:t>-</w:t>
            </w:r>
          </w:p>
        </w:tc>
        <w:tc>
          <w:tcPr>
            <w:tcW w:w="1050" w:type="dxa"/>
          </w:tcPr>
          <w:p w:rsidR="007C5447" w:rsidRDefault="007C5447">
            <w:pPr>
              <w:pStyle w:val="TableParagraph"/>
              <w:jc w:val="left"/>
              <w:rPr>
                <w:sz w:val="20"/>
              </w:rPr>
            </w:pP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7C5447">
            <w:pPr>
              <w:pStyle w:val="TableParagraph"/>
              <w:jc w:val="left"/>
              <w:rPr>
                <w:sz w:val="20"/>
              </w:rPr>
            </w:pPr>
          </w:p>
        </w:tc>
        <w:tc>
          <w:tcPr>
            <w:tcW w:w="1417" w:type="dxa"/>
          </w:tcPr>
          <w:p w:rsidR="007C5447" w:rsidRDefault="00F6308C">
            <w:pPr>
              <w:pStyle w:val="TableParagraph"/>
              <w:spacing w:before="70"/>
              <w:ind w:right="156"/>
              <w:rPr>
                <w:sz w:val="20"/>
              </w:rPr>
            </w:pPr>
            <w:r>
              <w:rPr>
                <w:w w:val="99"/>
                <w:sz w:val="20"/>
              </w:rPr>
              <w:t>-</w:t>
            </w: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NTPC Talcher</w:t>
            </w:r>
          </w:p>
        </w:tc>
        <w:tc>
          <w:tcPr>
            <w:tcW w:w="1265" w:type="dxa"/>
          </w:tcPr>
          <w:p w:rsidR="007C5447" w:rsidRDefault="00F6308C">
            <w:pPr>
              <w:pStyle w:val="TableParagraph"/>
              <w:spacing w:before="70"/>
              <w:ind w:right="168"/>
              <w:rPr>
                <w:sz w:val="20"/>
              </w:rPr>
            </w:pPr>
            <w:r>
              <w:rPr>
                <w:w w:val="95"/>
                <w:sz w:val="20"/>
              </w:rPr>
              <w:t>3,475.27</w:t>
            </w:r>
          </w:p>
        </w:tc>
        <w:tc>
          <w:tcPr>
            <w:tcW w:w="1264" w:type="dxa"/>
          </w:tcPr>
          <w:p w:rsidR="007C5447" w:rsidRDefault="00F6308C">
            <w:pPr>
              <w:pStyle w:val="TableParagraph"/>
              <w:spacing w:before="70"/>
              <w:ind w:right="166"/>
              <w:rPr>
                <w:sz w:val="20"/>
              </w:rPr>
            </w:pPr>
            <w:r>
              <w:rPr>
                <w:w w:val="95"/>
                <w:sz w:val="20"/>
              </w:rPr>
              <w:t>819.35</w:t>
            </w:r>
          </w:p>
        </w:tc>
        <w:tc>
          <w:tcPr>
            <w:tcW w:w="1050" w:type="dxa"/>
          </w:tcPr>
          <w:p w:rsidR="007C5447" w:rsidRDefault="00F6308C">
            <w:pPr>
              <w:pStyle w:val="TableParagraph"/>
              <w:spacing w:before="70"/>
              <w:ind w:right="167"/>
              <w:rPr>
                <w:sz w:val="20"/>
              </w:rPr>
            </w:pPr>
            <w:r>
              <w:rPr>
                <w:sz w:val="20"/>
              </w:rPr>
              <w:t>2.36</w:t>
            </w:r>
          </w:p>
        </w:tc>
        <w:tc>
          <w:tcPr>
            <w:tcW w:w="1088" w:type="dxa"/>
          </w:tcPr>
          <w:p w:rsidR="007C5447" w:rsidRDefault="00F6308C">
            <w:pPr>
              <w:pStyle w:val="TableParagraph"/>
              <w:spacing w:before="70"/>
              <w:ind w:right="161"/>
              <w:rPr>
                <w:sz w:val="20"/>
              </w:rPr>
            </w:pPr>
            <w:r>
              <w:rPr>
                <w:w w:val="95"/>
                <w:sz w:val="20"/>
              </w:rPr>
              <w:t>3,475.27</w:t>
            </w:r>
          </w:p>
        </w:tc>
        <w:tc>
          <w:tcPr>
            <w:tcW w:w="1091" w:type="dxa"/>
          </w:tcPr>
          <w:p w:rsidR="007C5447" w:rsidRDefault="00F6308C">
            <w:pPr>
              <w:pStyle w:val="TableParagraph"/>
              <w:spacing w:before="70"/>
              <w:ind w:right="164"/>
              <w:rPr>
                <w:sz w:val="20"/>
              </w:rPr>
            </w:pPr>
            <w:r>
              <w:rPr>
                <w:w w:val="95"/>
                <w:sz w:val="20"/>
              </w:rPr>
              <w:t>814.00</w:t>
            </w:r>
          </w:p>
        </w:tc>
        <w:tc>
          <w:tcPr>
            <w:tcW w:w="1148" w:type="dxa"/>
          </w:tcPr>
          <w:p w:rsidR="007C5447" w:rsidRDefault="00F6308C">
            <w:pPr>
              <w:pStyle w:val="TableParagraph"/>
              <w:spacing w:before="70"/>
              <w:ind w:right="160"/>
              <w:rPr>
                <w:sz w:val="20"/>
              </w:rPr>
            </w:pPr>
            <w:r>
              <w:rPr>
                <w:sz w:val="20"/>
              </w:rPr>
              <w:t>2.34</w:t>
            </w:r>
          </w:p>
        </w:tc>
        <w:tc>
          <w:tcPr>
            <w:tcW w:w="1432" w:type="dxa"/>
          </w:tcPr>
          <w:p w:rsidR="007C5447" w:rsidRDefault="00F6308C">
            <w:pPr>
              <w:pStyle w:val="TableParagraph"/>
              <w:spacing w:before="70"/>
              <w:ind w:right="160"/>
              <w:rPr>
                <w:sz w:val="20"/>
              </w:rPr>
            </w:pPr>
            <w:r>
              <w:rPr>
                <w:w w:val="95"/>
                <w:sz w:val="20"/>
              </w:rPr>
              <w:t>3,475.27</w:t>
            </w:r>
          </w:p>
        </w:tc>
        <w:tc>
          <w:tcPr>
            <w:tcW w:w="1417" w:type="dxa"/>
          </w:tcPr>
          <w:p w:rsidR="007C5447" w:rsidRDefault="00F6308C">
            <w:pPr>
              <w:pStyle w:val="TableParagraph"/>
              <w:spacing w:before="70"/>
              <w:ind w:right="160"/>
              <w:rPr>
                <w:sz w:val="20"/>
              </w:rPr>
            </w:pPr>
            <w:r>
              <w:rPr>
                <w:w w:val="95"/>
                <w:sz w:val="20"/>
              </w:rPr>
              <w:t>814.00</w:t>
            </w:r>
          </w:p>
        </w:tc>
        <w:tc>
          <w:tcPr>
            <w:tcW w:w="1347" w:type="dxa"/>
          </w:tcPr>
          <w:p w:rsidR="007C5447" w:rsidRDefault="00F6308C">
            <w:pPr>
              <w:pStyle w:val="TableParagraph"/>
              <w:spacing w:before="70"/>
              <w:ind w:right="158"/>
              <w:rPr>
                <w:sz w:val="20"/>
              </w:rPr>
            </w:pPr>
            <w:r>
              <w:rPr>
                <w:sz w:val="20"/>
              </w:rPr>
              <w:t>2.34</w:t>
            </w:r>
          </w:p>
        </w:tc>
      </w:tr>
      <w:tr w:rsidR="007C5447">
        <w:trPr>
          <w:trHeight w:val="371"/>
        </w:trPr>
        <w:tc>
          <w:tcPr>
            <w:tcW w:w="2854" w:type="dxa"/>
            <w:tcBorders>
              <w:left w:val="single" w:sz="8" w:space="0" w:color="000000"/>
            </w:tcBorders>
          </w:tcPr>
          <w:p w:rsidR="007C5447" w:rsidRDefault="00F6308C">
            <w:pPr>
              <w:pStyle w:val="TableParagraph"/>
              <w:spacing w:before="70"/>
              <w:ind w:left="107"/>
              <w:jc w:val="left"/>
              <w:rPr>
                <w:sz w:val="20"/>
              </w:rPr>
            </w:pPr>
            <w:r>
              <w:rPr>
                <w:sz w:val="20"/>
              </w:rPr>
              <w:t>NTPC Simhadri</w:t>
            </w:r>
          </w:p>
        </w:tc>
        <w:tc>
          <w:tcPr>
            <w:tcW w:w="1265" w:type="dxa"/>
          </w:tcPr>
          <w:p w:rsidR="007C5447" w:rsidRDefault="00F6308C">
            <w:pPr>
              <w:pStyle w:val="TableParagraph"/>
              <w:spacing w:before="70"/>
              <w:ind w:right="168"/>
              <w:rPr>
                <w:sz w:val="20"/>
              </w:rPr>
            </w:pPr>
            <w:r>
              <w:rPr>
                <w:w w:val="95"/>
                <w:sz w:val="20"/>
              </w:rPr>
              <w:t>1,571.86</w:t>
            </w:r>
          </w:p>
        </w:tc>
        <w:tc>
          <w:tcPr>
            <w:tcW w:w="1264" w:type="dxa"/>
          </w:tcPr>
          <w:p w:rsidR="007C5447" w:rsidRDefault="00F6308C">
            <w:pPr>
              <w:pStyle w:val="TableParagraph"/>
              <w:spacing w:before="70"/>
              <w:ind w:right="166"/>
              <w:rPr>
                <w:sz w:val="20"/>
              </w:rPr>
            </w:pPr>
            <w:r>
              <w:rPr>
                <w:w w:val="95"/>
                <w:sz w:val="20"/>
              </w:rPr>
              <w:t>643.34</w:t>
            </w:r>
          </w:p>
        </w:tc>
        <w:tc>
          <w:tcPr>
            <w:tcW w:w="1050" w:type="dxa"/>
          </w:tcPr>
          <w:p w:rsidR="007C5447" w:rsidRDefault="00F6308C">
            <w:pPr>
              <w:pStyle w:val="TableParagraph"/>
              <w:spacing w:before="70"/>
              <w:ind w:right="167"/>
              <w:rPr>
                <w:sz w:val="20"/>
              </w:rPr>
            </w:pPr>
            <w:r>
              <w:rPr>
                <w:sz w:val="20"/>
              </w:rPr>
              <w:t>4.09</w:t>
            </w:r>
          </w:p>
        </w:tc>
        <w:tc>
          <w:tcPr>
            <w:tcW w:w="1088" w:type="dxa"/>
          </w:tcPr>
          <w:p w:rsidR="007C5447" w:rsidRDefault="00F6308C">
            <w:pPr>
              <w:pStyle w:val="TableParagraph"/>
              <w:spacing w:before="70"/>
              <w:ind w:right="161"/>
              <w:rPr>
                <w:sz w:val="20"/>
              </w:rPr>
            </w:pPr>
            <w:r>
              <w:rPr>
                <w:w w:val="95"/>
                <w:sz w:val="20"/>
              </w:rPr>
              <w:t>1,571.86</w:t>
            </w:r>
          </w:p>
        </w:tc>
        <w:tc>
          <w:tcPr>
            <w:tcW w:w="1091" w:type="dxa"/>
          </w:tcPr>
          <w:p w:rsidR="007C5447" w:rsidRDefault="00F6308C">
            <w:pPr>
              <w:pStyle w:val="TableParagraph"/>
              <w:spacing w:before="70"/>
              <w:ind w:right="164"/>
              <w:rPr>
                <w:sz w:val="20"/>
              </w:rPr>
            </w:pPr>
            <w:r>
              <w:rPr>
                <w:w w:val="95"/>
                <w:sz w:val="20"/>
              </w:rPr>
              <w:t>643.34</w:t>
            </w:r>
          </w:p>
        </w:tc>
        <w:tc>
          <w:tcPr>
            <w:tcW w:w="1148" w:type="dxa"/>
          </w:tcPr>
          <w:p w:rsidR="007C5447" w:rsidRDefault="00F6308C">
            <w:pPr>
              <w:pStyle w:val="TableParagraph"/>
              <w:spacing w:before="70"/>
              <w:ind w:right="160"/>
              <w:rPr>
                <w:sz w:val="20"/>
              </w:rPr>
            </w:pPr>
            <w:r>
              <w:rPr>
                <w:sz w:val="20"/>
              </w:rPr>
              <w:t>4.09</w:t>
            </w:r>
          </w:p>
        </w:tc>
        <w:tc>
          <w:tcPr>
            <w:tcW w:w="1432" w:type="dxa"/>
          </w:tcPr>
          <w:p w:rsidR="007C5447" w:rsidRDefault="00F6308C">
            <w:pPr>
              <w:pStyle w:val="TableParagraph"/>
              <w:spacing w:before="70"/>
              <w:ind w:right="160"/>
              <w:rPr>
                <w:sz w:val="20"/>
              </w:rPr>
            </w:pPr>
            <w:r>
              <w:rPr>
                <w:w w:val="95"/>
                <w:sz w:val="20"/>
              </w:rPr>
              <w:t>1,571.86</w:t>
            </w:r>
          </w:p>
        </w:tc>
        <w:tc>
          <w:tcPr>
            <w:tcW w:w="1417" w:type="dxa"/>
          </w:tcPr>
          <w:p w:rsidR="007C5447" w:rsidRDefault="00F6308C">
            <w:pPr>
              <w:pStyle w:val="TableParagraph"/>
              <w:spacing w:before="70"/>
              <w:ind w:right="160"/>
              <w:rPr>
                <w:sz w:val="20"/>
              </w:rPr>
            </w:pPr>
            <w:r>
              <w:rPr>
                <w:w w:val="95"/>
                <w:sz w:val="20"/>
              </w:rPr>
              <w:t>643.34</w:t>
            </w:r>
          </w:p>
        </w:tc>
        <w:tc>
          <w:tcPr>
            <w:tcW w:w="1347" w:type="dxa"/>
          </w:tcPr>
          <w:p w:rsidR="007C5447" w:rsidRDefault="00F6308C">
            <w:pPr>
              <w:pStyle w:val="TableParagraph"/>
              <w:spacing w:before="70"/>
              <w:ind w:right="158"/>
              <w:rPr>
                <w:sz w:val="20"/>
              </w:rPr>
            </w:pPr>
            <w:r>
              <w:rPr>
                <w:sz w:val="20"/>
              </w:rPr>
              <w:t>4.09</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MAPS</w:t>
            </w:r>
          </w:p>
        </w:tc>
        <w:tc>
          <w:tcPr>
            <w:tcW w:w="1265" w:type="dxa"/>
          </w:tcPr>
          <w:p w:rsidR="007C5447" w:rsidRDefault="00F6308C">
            <w:pPr>
              <w:pStyle w:val="TableParagraph"/>
              <w:spacing w:before="70"/>
              <w:ind w:right="168"/>
              <w:rPr>
                <w:sz w:val="20"/>
              </w:rPr>
            </w:pPr>
            <w:r>
              <w:rPr>
                <w:w w:val="95"/>
                <w:sz w:val="20"/>
              </w:rPr>
              <w:t>1,332.06</w:t>
            </w:r>
          </w:p>
        </w:tc>
        <w:tc>
          <w:tcPr>
            <w:tcW w:w="1264" w:type="dxa"/>
          </w:tcPr>
          <w:p w:rsidR="007C5447" w:rsidRDefault="00F6308C">
            <w:pPr>
              <w:pStyle w:val="TableParagraph"/>
              <w:spacing w:before="70"/>
              <w:ind w:right="166"/>
              <w:rPr>
                <w:sz w:val="20"/>
              </w:rPr>
            </w:pPr>
            <w:r>
              <w:rPr>
                <w:w w:val="95"/>
                <w:sz w:val="20"/>
              </w:rPr>
              <w:t>274.84</w:t>
            </w:r>
          </w:p>
        </w:tc>
        <w:tc>
          <w:tcPr>
            <w:tcW w:w="1050" w:type="dxa"/>
          </w:tcPr>
          <w:p w:rsidR="007C5447" w:rsidRDefault="00F6308C">
            <w:pPr>
              <w:pStyle w:val="TableParagraph"/>
              <w:spacing w:before="70"/>
              <w:ind w:right="167"/>
              <w:rPr>
                <w:sz w:val="20"/>
              </w:rPr>
            </w:pPr>
            <w:r>
              <w:rPr>
                <w:sz w:val="20"/>
              </w:rPr>
              <w:t>2.06</w:t>
            </w:r>
          </w:p>
        </w:tc>
        <w:tc>
          <w:tcPr>
            <w:tcW w:w="1088" w:type="dxa"/>
          </w:tcPr>
          <w:p w:rsidR="007C5447" w:rsidRDefault="00F6308C">
            <w:pPr>
              <w:pStyle w:val="TableParagraph"/>
              <w:spacing w:before="70"/>
              <w:ind w:right="161"/>
              <w:rPr>
                <w:sz w:val="20"/>
              </w:rPr>
            </w:pPr>
            <w:r>
              <w:rPr>
                <w:w w:val="95"/>
                <w:sz w:val="20"/>
              </w:rPr>
              <w:t>1,332.06</w:t>
            </w:r>
          </w:p>
        </w:tc>
        <w:tc>
          <w:tcPr>
            <w:tcW w:w="1091" w:type="dxa"/>
          </w:tcPr>
          <w:p w:rsidR="007C5447" w:rsidRDefault="00F6308C">
            <w:pPr>
              <w:pStyle w:val="TableParagraph"/>
              <w:spacing w:before="70"/>
              <w:ind w:right="164"/>
              <w:rPr>
                <w:sz w:val="20"/>
              </w:rPr>
            </w:pPr>
            <w:r>
              <w:rPr>
                <w:w w:val="95"/>
                <w:sz w:val="20"/>
              </w:rPr>
              <w:t>326.00</w:t>
            </w:r>
          </w:p>
        </w:tc>
        <w:tc>
          <w:tcPr>
            <w:tcW w:w="1148" w:type="dxa"/>
          </w:tcPr>
          <w:p w:rsidR="007C5447" w:rsidRDefault="00F6308C">
            <w:pPr>
              <w:pStyle w:val="TableParagraph"/>
              <w:spacing w:before="70"/>
              <w:ind w:right="160"/>
              <w:rPr>
                <w:sz w:val="20"/>
              </w:rPr>
            </w:pPr>
            <w:r>
              <w:rPr>
                <w:sz w:val="20"/>
              </w:rPr>
              <w:t>2.45</w:t>
            </w:r>
          </w:p>
        </w:tc>
        <w:tc>
          <w:tcPr>
            <w:tcW w:w="1432" w:type="dxa"/>
          </w:tcPr>
          <w:p w:rsidR="007C5447" w:rsidRDefault="00F6308C">
            <w:pPr>
              <w:pStyle w:val="TableParagraph"/>
              <w:spacing w:before="70"/>
              <w:ind w:right="160"/>
              <w:rPr>
                <w:sz w:val="20"/>
              </w:rPr>
            </w:pPr>
            <w:r>
              <w:rPr>
                <w:w w:val="95"/>
                <w:sz w:val="20"/>
              </w:rPr>
              <w:t>1,332.06</w:t>
            </w:r>
          </w:p>
        </w:tc>
        <w:tc>
          <w:tcPr>
            <w:tcW w:w="1417" w:type="dxa"/>
          </w:tcPr>
          <w:p w:rsidR="007C5447" w:rsidRDefault="00F6308C">
            <w:pPr>
              <w:pStyle w:val="TableParagraph"/>
              <w:spacing w:before="70"/>
              <w:ind w:right="160"/>
              <w:rPr>
                <w:sz w:val="20"/>
              </w:rPr>
            </w:pPr>
            <w:r>
              <w:rPr>
                <w:w w:val="95"/>
                <w:sz w:val="20"/>
              </w:rPr>
              <w:t>326.00</w:t>
            </w:r>
          </w:p>
        </w:tc>
        <w:tc>
          <w:tcPr>
            <w:tcW w:w="1347" w:type="dxa"/>
          </w:tcPr>
          <w:p w:rsidR="007C5447" w:rsidRDefault="00F6308C">
            <w:pPr>
              <w:pStyle w:val="TableParagraph"/>
              <w:spacing w:before="70"/>
              <w:ind w:right="158"/>
              <w:rPr>
                <w:sz w:val="20"/>
              </w:rPr>
            </w:pPr>
            <w:r>
              <w:rPr>
                <w:sz w:val="20"/>
              </w:rPr>
              <w:t>2.45</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KAIGA</w:t>
            </w:r>
          </w:p>
        </w:tc>
        <w:tc>
          <w:tcPr>
            <w:tcW w:w="1265" w:type="dxa"/>
          </w:tcPr>
          <w:p w:rsidR="007C5447" w:rsidRDefault="00F6308C">
            <w:pPr>
              <w:pStyle w:val="TableParagraph"/>
              <w:spacing w:before="70"/>
              <w:ind w:right="168"/>
              <w:rPr>
                <w:sz w:val="20"/>
              </w:rPr>
            </w:pPr>
            <w:r>
              <w:rPr>
                <w:w w:val="95"/>
                <w:sz w:val="20"/>
              </w:rPr>
              <w:t>1,581.07</w:t>
            </w:r>
          </w:p>
        </w:tc>
        <w:tc>
          <w:tcPr>
            <w:tcW w:w="1264" w:type="dxa"/>
          </w:tcPr>
          <w:p w:rsidR="007C5447" w:rsidRDefault="00F6308C">
            <w:pPr>
              <w:pStyle w:val="TableParagraph"/>
              <w:spacing w:before="70"/>
              <w:ind w:right="166"/>
              <w:rPr>
                <w:sz w:val="20"/>
              </w:rPr>
            </w:pPr>
            <w:r>
              <w:rPr>
                <w:w w:val="95"/>
                <w:sz w:val="20"/>
              </w:rPr>
              <w:t>479.86</w:t>
            </w:r>
          </w:p>
        </w:tc>
        <w:tc>
          <w:tcPr>
            <w:tcW w:w="1050" w:type="dxa"/>
          </w:tcPr>
          <w:p w:rsidR="007C5447" w:rsidRDefault="00F6308C">
            <w:pPr>
              <w:pStyle w:val="TableParagraph"/>
              <w:spacing w:before="70"/>
              <w:ind w:right="167"/>
              <w:rPr>
                <w:sz w:val="20"/>
              </w:rPr>
            </w:pPr>
            <w:r>
              <w:rPr>
                <w:sz w:val="20"/>
              </w:rPr>
              <w:t>3.04</w:t>
            </w:r>
          </w:p>
        </w:tc>
        <w:tc>
          <w:tcPr>
            <w:tcW w:w="1088" w:type="dxa"/>
          </w:tcPr>
          <w:p w:rsidR="007C5447" w:rsidRDefault="00F6308C">
            <w:pPr>
              <w:pStyle w:val="TableParagraph"/>
              <w:spacing w:before="70"/>
              <w:ind w:right="161"/>
              <w:rPr>
                <w:sz w:val="20"/>
              </w:rPr>
            </w:pPr>
            <w:r>
              <w:rPr>
                <w:w w:val="95"/>
                <w:sz w:val="20"/>
              </w:rPr>
              <w:t>1,581.07</w:t>
            </w:r>
          </w:p>
        </w:tc>
        <w:tc>
          <w:tcPr>
            <w:tcW w:w="1091" w:type="dxa"/>
          </w:tcPr>
          <w:p w:rsidR="007C5447" w:rsidRDefault="00F6308C">
            <w:pPr>
              <w:pStyle w:val="TableParagraph"/>
              <w:spacing w:before="70"/>
              <w:ind w:right="164"/>
              <w:rPr>
                <w:sz w:val="20"/>
              </w:rPr>
            </w:pPr>
            <w:r>
              <w:rPr>
                <w:w w:val="95"/>
                <w:sz w:val="20"/>
              </w:rPr>
              <w:t>475.00</w:t>
            </w:r>
          </w:p>
        </w:tc>
        <w:tc>
          <w:tcPr>
            <w:tcW w:w="1148" w:type="dxa"/>
          </w:tcPr>
          <w:p w:rsidR="007C5447" w:rsidRDefault="00F6308C">
            <w:pPr>
              <w:pStyle w:val="TableParagraph"/>
              <w:spacing w:before="70"/>
              <w:ind w:right="160"/>
              <w:rPr>
                <w:sz w:val="20"/>
              </w:rPr>
            </w:pPr>
            <w:r>
              <w:rPr>
                <w:sz w:val="20"/>
              </w:rPr>
              <w:t>3.00</w:t>
            </w:r>
          </w:p>
        </w:tc>
        <w:tc>
          <w:tcPr>
            <w:tcW w:w="1432" w:type="dxa"/>
          </w:tcPr>
          <w:p w:rsidR="007C5447" w:rsidRDefault="00F6308C">
            <w:pPr>
              <w:pStyle w:val="TableParagraph"/>
              <w:spacing w:before="70"/>
              <w:ind w:right="160"/>
              <w:rPr>
                <w:sz w:val="20"/>
              </w:rPr>
            </w:pPr>
            <w:r>
              <w:rPr>
                <w:w w:val="95"/>
                <w:sz w:val="20"/>
              </w:rPr>
              <w:t>1,581.07</w:t>
            </w:r>
          </w:p>
        </w:tc>
        <w:tc>
          <w:tcPr>
            <w:tcW w:w="1417" w:type="dxa"/>
          </w:tcPr>
          <w:p w:rsidR="007C5447" w:rsidRDefault="00F6308C">
            <w:pPr>
              <w:pStyle w:val="TableParagraph"/>
              <w:spacing w:before="70"/>
              <w:ind w:right="160"/>
              <w:rPr>
                <w:sz w:val="20"/>
              </w:rPr>
            </w:pPr>
            <w:r>
              <w:rPr>
                <w:w w:val="95"/>
                <w:sz w:val="20"/>
              </w:rPr>
              <w:t>475.00</w:t>
            </w:r>
          </w:p>
        </w:tc>
        <w:tc>
          <w:tcPr>
            <w:tcW w:w="1347" w:type="dxa"/>
          </w:tcPr>
          <w:p w:rsidR="007C5447" w:rsidRDefault="00F6308C">
            <w:pPr>
              <w:pStyle w:val="TableParagraph"/>
              <w:spacing w:before="70"/>
              <w:ind w:right="158"/>
              <w:rPr>
                <w:sz w:val="20"/>
              </w:rPr>
            </w:pPr>
            <w:r>
              <w:rPr>
                <w:sz w:val="20"/>
              </w:rPr>
              <w:t>3.00</w:t>
            </w:r>
          </w:p>
        </w:tc>
      </w:tr>
      <w:tr w:rsidR="007C5447">
        <w:trPr>
          <w:trHeight w:val="372"/>
        </w:trPr>
        <w:tc>
          <w:tcPr>
            <w:tcW w:w="2854" w:type="dxa"/>
            <w:tcBorders>
              <w:left w:val="single" w:sz="8" w:space="0" w:color="000000"/>
            </w:tcBorders>
          </w:tcPr>
          <w:p w:rsidR="007C5447" w:rsidRDefault="00F6308C">
            <w:pPr>
              <w:pStyle w:val="TableParagraph"/>
              <w:spacing w:before="70"/>
              <w:ind w:left="107"/>
              <w:jc w:val="left"/>
              <w:rPr>
                <w:sz w:val="20"/>
              </w:rPr>
            </w:pPr>
            <w:r>
              <w:rPr>
                <w:sz w:val="20"/>
              </w:rPr>
              <w:t>NTPC Kayamkulam</w:t>
            </w:r>
          </w:p>
        </w:tc>
        <w:tc>
          <w:tcPr>
            <w:tcW w:w="1265" w:type="dxa"/>
          </w:tcPr>
          <w:p w:rsidR="007C5447" w:rsidRDefault="00F6308C">
            <w:pPr>
              <w:pStyle w:val="TableParagraph"/>
              <w:spacing w:before="70"/>
              <w:ind w:right="166"/>
              <w:rPr>
                <w:sz w:val="20"/>
              </w:rPr>
            </w:pPr>
            <w:r>
              <w:rPr>
                <w:w w:val="99"/>
                <w:sz w:val="20"/>
              </w:rPr>
              <w:t>-</w:t>
            </w:r>
          </w:p>
        </w:tc>
        <w:tc>
          <w:tcPr>
            <w:tcW w:w="1264" w:type="dxa"/>
          </w:tcPr>
          <w:p w:rsidR="007C5447" w:rsidRDefault="00F6308C">
            <w:pPr>
              <w:pStyle w:val="TableParagraph"/>
              <w:spacing w:before="70"/>
              <w:ind w:right="166"/>
              <w:rPr>
                <w:sz w:val="20"/>
              </w:rPr>
            </w:pPr>
            <w:r>
              <w:rPr>
                <w:sz w:val="20"/>
              </w:rPr>
              <w:t>1.20</w:t>
            </w:r>
          </w:p>
        </w:tc>
        <w:tc>
          <w:tcPr>
            <w:tcW w:w="1050" w:type="dxa"/>
          </w:tcPr>
          <w:p w:rsidR="007C5447" w:rsidRDefault="007C5447">
            <w:pPr>
              <w:pStyle w:val="TableParagraph"/>
              <w:jc w:val="left"/>
              <w:rPr>
                <w:sz w:val="20"/>
              </w:rPr>
            </w:pPr>
          </w:p>
        </w:tc>
        <w:tc>
          <w:tcPr>
            <w:tcW w:w="1088" w:type="dxa"/>
          </w:tcPr>
          <w:p w:rsidR="007C5447" w:rsidRDefault="00F6308C">
            <w:pPr>
              <w:pStyle w:val="TableParagraph"/>
              <w:spacing w:before="70"/>
              <w:ind w:right="160"/>
              <w:rPr>
                <w:sz w:val="20"/>
              </w:rPr>
            </w:pPr>
            <w:r>
              <w:rPr>
                <w:w w:val="99"/>
                <w:sz w:val="20"/>
              </w:rPr>
              <w:t>-</w:t>
            </w:r>
          </w:p>
        </w:tc>
        <w:tc>
          <w:tcPr>
            <w:tcW w:w="1091" w:type="dxa"/>
          </w:tcPr>
          <w:p w:rsidR="007C5447" w:rsidRDefault="00F6308C">
            <w:pPr>
              <w:pStyle w:val="TableParagraph"/>
              <w:spacing w:before="70"/>
              <w:ind w:right="161"/>
              <w:rPr>
                <w:sz w:val="20"/>
              </w:rPr>
            </w:pPr>
            <w:r>
              <w:rPr>
                <w:w w:val="99"/>
                <w:sz w:val="20"/>
              </w:rPr>
              <w:t>-</w:t>
            </w:r>
          </w:p>
        </w:tc>
        <w:tc>
          <w:tcPr>
            <w:tcW w:w="1148" w:type="dxa"/>
          </w:tcPr>
          <w:p w:rsidR="007C5447" w:rsidRDefault="007C5447">
            <w:pPr>
              <w:pStyle w:val="TableParagraph"/>
              <w:jc w:val="left"/>
              <w:rPr>
                <w:sz w:val="20"/>
              </w:rPr>
            </w:pPr>
          </w:p>
        </w:tc>
        <w:tc>
          <w:tcPr>
            <w:tcW w:w="1432" w:type="dxa"/>
          </w:tcPr>
          <w:p w:rsidR="007C5447" w:rsidRDefault="00F6308C">
            <w:pPr>
              <w:pStyle w:val="TableParagraph"/>
              <w:spacing w:before="70"/>
              <w:ind w:right="158"/>
              <w:rPr>
                <w:sz w:val="20"/>
              </w:rPr>
            </w:pPr>
            <w:r>
              <w:rPr>
                <w:w w:val="99"/>
                <w:sz w:val="20"/>
              </w:rPr>
              <w:t>-</w:t>
            </w:r>
          </w:p>
        </w:tc>
        <w:tc>
          <w:tcPr>
            <w:tcW w:w="1417" w:type="dxa"/>
          </w:tcPr>
          <w:p w:rsidR="007C5447" w:rsidRDefault="00F6308C">
            <w:pPr>
              <w:pStyle w:val="TableParagraph"/>
              <w:spacing w:before="70"/>
              <w:ind w:right="156"/>
              <w:rPr>
                <w:sz w:val="20"/>
              </w:rPr>
            </w:pPr>
            <w:r>
              <w:rPr>
                <w:w w:val="99"/>
                <w:sz w:val="20"/>
              </w:rPr>
              <w:t>-</w:t>
            </w: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NTPC ER</w:t>
            </w:r>
          </w:p>
        </w:tc>
        <w:tc>
          <w:tcPr>
            <w:tcW w:w="1265" w:type="dxa"/>
          </w:tcPr>
          <w:p w:rsidR="007C5447" w:rsidRDefault="00F6308C">
            <w:pPr>
              <w:pStyle w:val="TableParagraph"/>
              <w:spacing w:before="70"/>
              <w:ind w:right="170"/>
              <w:rPr>
                <w:sz w:val="20"/>
              </w:rPr>
            </w:pPr>
            <w:r>
              <w:rPr>
                <w:w w:val="95"/>
                <w:sz w:val="20"/>
              </w:rPr>
              <w:t>266.63</w:t>
            </w:r>
          </w:p>
        </w:tc>
        <w:tc>
          <w:tcPr>
            <w:tcW w:w="1264" w:type="dxa"/>
          </w:tcPr>
          <w:p w:rsidR="007C5447" w:rsidRDefault="00F6308C">
            <w:pPr>
              <w:pStyle w:val="TableParagraph"/>
              <w:spacing w:before="70"/>
              <w:ind w:right="166"/>
              <w:rPr>
                <w:sz w:val="20"/>
              </w:rPr>
            </w:pPr>
            <w:r>
              <w:rPr>
                <w:w w:val="95"/>
                <w:sz w:val="20"/>
              </w:rPr>
              <w:t>103.39</w:t>
            </w:r>
          </w:p>
        </w:tc>
        <w:tc>
          <w:tcPr>
            <w:tcW w:w="1050" w:type="dxa"/>
          </w:tcPr>
          <w:p w:rsidR="007C5447" w:rsidRDefault="00F6308C">
            <w:pPr>
              <w:pStyle w:val="TableParagraph"/>
              <w:spacing w:before="70"/>
              <w:ind w:right="167"/>
              <w:rPr>
                <w:sz w:val="20"/>
              </w:rPr>
            </w:pPr>
            <w:r>
              <w:rPr>
                <w:sz w:val="20"/>
              </w:rPr>
              <w:t>3.88</w:t>
            </w:r>
          </w:p>
        </w:tc>
        <w:tc>
          <w:tcPr>
            <w:tcW w:w="1088" w:type="dxa"/>
          </w:tcPr>
          <w:p w:rsidR="007C5447" w:rsidRDefault="00F6308C">
            <w:pPr>
              <w:pStyle w:val="TableParagraph"/>
              <w:spacing w:before="70"/>
              <w:ind w:right="163"/>
              <w:rPr>
                <w:sz w:val="20"/>
              </w:rPr>
            </w:pPr>
            <w:r>
              <w:rPr>
                <w:w w:val="95"/>
                <w:sz w:val="20"/>
              </w:rPr>
              <w:t>266.63</w:t>
            </w:r>
          </w:p>
        </w:tc>
        <w:tc>
          <w:tcPr>
            <w:tcW w:w="1091" w:type="dxa"/>
          </w:tcPr>
          <w:p w:rsidR="007C5447" w:rsidRDefault="00F6308C">
            <w:pPr>
              <w:pStyle w:val="TableParagraph"/>
              <w:spacing w:before="70"/>
              <w:ind w:right="164"/>
              <w:rPr>
                <w:sz w:val="20"/>
              </w:rPr>
            </w:pPr>
            <w:r>
              <w:rPr>
                <w:w w:val="95"/>
                <w:sz w:val="20"/>
              </w:rPr>
              <w:t>95.00</w:t>
            </w:r>
          </w:p>
        </w:tc>
        <w:tc>
          <w:tcPr>
            <w:tcW w:w="1148" w:type="dxa"/>
          </w:tcPr>
          <w:p w:rsidR="007C5447" w:rsidRDefault="00F6308C">
            <w:pPr>
              <w:pStyle w:val="TableParagraph"/>
              <w:spacing w:before="70"/>
              <w:ind w:right="158"/>
              <w:rPr>
                <w:sz w:val="20"/>
              </w:rPr>
            </w:pPr>
            <w:r>
              <w:rPr>
                <w:sz w:val="20"/>
              </w:rPr>
              <w:t>3.56</w:t>
            </w:r>
          </w:p>
        </w:tc>
        <w:tc>
          <w:tcPr>
            <w:tcW w:w="1432" w:type="dxa"/>
          </w:tcPr>
          <w:p w:rsidR="007C5447" w:rsidRDefault="00F6308C">
            <w:pPr>
              <w:pStyle w:val="TableParagraph"/>
              <w:spacing w:before="70"/>
              <w:ind w:right="162"/>
              <w:rPr>
                <w:sz w:val="20"/>
              </w:rPr>
            </w:pPr>
            <w:r>
              <w:rPr>
                <w:w w:val="95"/>
                <w:sz w:val="20"/>
              </w:rPr>
              <w:t>266.63</w:t>
            </w:r>
          </w:p>
        </w:tc>
        <w:tc>
          <w:tcPr>
            <w:tcW w:w="1417" w:type="dxa"/>
          </w:tcPr>
          <w:p w:rsidR="007C5447" w:rsidRDefault="00F6308C">
            <w:pPr>
              <w:pStyle w:val="TableParagraph"/>
              <w:spacing w:before="70"/>
              <w:ind w:right="160"/>
              <w:rPr>
                <w:sz w:val="20"/>
              </w:rPr>
            </w:pPr>
            <w:r>
              <w:rPr>
                <w:w w:val="95"/>
                <w:sz w:val="20"/>
              </w:rPr>
              <w:t>95.00</w:t>
            </w:r>
          </w:p>
        </w:tc>
        <w:tc>
          <w:tcPr>
            <w:tcW w:w="1347" w:type="dxa"/>
          </w:tcPr>
          <w:p w:rsidR="007C5447" w:rsidRDefault="00F6308C">
            <w:pPr>
              <w:pStyle w:val="TableParagraph"/>
              <w:spacing w:before="70"/>
              <w:ind w:right="158"/>
              <w:rPr>
                <w:sz w:val="20"/>
              </w:rPr>
            </w:pPr>
            <w:r>
              <w:rPr>
                <w:sz w:val="20"/>
              </w:rPr>
              <w:t>3.56</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NTPC Dadri</w:t>
            </w:r>
          </w:p>
        </w:tc>
        <w:tc>
          <w:tcPr>
            <w:tcW w:w="1265" w:type="dxa"/>
          </w:tcPr>
          <w:p w:rsidR="007C5447" w:rsidRDefault="00F6308C">
            <w:pPr>
              <w:pStyle w:val="TableParagraph"/>
              <w:spacing w:before="70"/>
              <w:ind w:right="166"/>
              <w:rPr>
                <w:sz w:val="20"/>
              </w:rPr>
            </w:pPr>
            <w:r>
              <w:rPr>
                <w:w w:val="99"/>
                <w:sz w:val="20"/>
              </w:rPr>
              <w:t>-</w:t>
            </w:r>
          </w:p>
        </w:tc>
        <w:tc>
          <w:tcPr>
            <w:tcW w:w="1264" w:type="dxa"/>
          </w:tcPr>
          <w:p w:rsidR="007C5447" w:rsidRDefault="00F6308C">
            <w:pPr>
              <w:pStyle w:val="TableParagraph"/>
              <w:spacing w:before="70"/>
              <w:ind w:right="166"/>
              <w:rPr>
                <w:sz w:val="20"/>
              </w:rPr>
            </w:pPr>
            <w:r>
              <w:rPr>
                <w:sz w:val="20"/>
              </w:rPr>
              <w:t>0.01</w:t>
            </w:r>
          </w:p>
        </w:tc>
        <w:tc>
          <w:tcPr>
            <w:tcW w:w="1050" w:type="dxa"/>
          </w:tcPr>
          <w:p w:rsidR="007C5447" w:rsidRDefault="007C5447">
            <w:pPr>
              <w:pStyle w:val="TableParagraph"/>
              <w:jc w:val="left"/>
              <w:rPr>
                <w:sz w:val="20"/>
              </w:rPr>
            </w:pPr>
          </w:p>
        </w:tc>
        <w:tc>
          <w:tcPr>
            <w:tcW w:w="1088" w:type="dxa"/>
          </w:tcPr>
          <w:p w:rsidR="007C5447" w:rsidRDefault="00F6308C">
            <w:pPr>
              <w:pStyle w:val="TableParagraph"/>
              <w:spacing w:before="70"/>
              <w:ind w:right="160"/>
              <w:rPr>
                <w:sz w:val="20"/>
              </w:rPr>
            </w:pPr>
            <w:r>
              <w:rPr>
                <w:w w:val="99"/>
                <w:sz w:val="20"/>
              </w:rPr>
              <w:t>-</w:t>
            </w:r>
          </w:p>
        </w:tc>
        <w:tc>
          <w:tcPr>
            <w:tcW w:w="1091" w:type="dxa"/>
          </w:tcPr>
          <w:p w:rsidR="007C5447" w:rsidRDefault="00F6308C">
            <w:pPr>
              <w:pStyle w:val="TableParagraph"/>
              <w:spacing w:before="70"/>
              <w:ind w:right="161"/>
              <w:rPr>
                <w:sz w:val="20"/>
              </w:rPr>
            </w:pPr>
            <w:r>
              <w:rPr>
                <w:w w:val="99"/>
                <w:sz w:val="20"/>
              </w:rPr>
              <w:t>-</w:t>
            </w:r>
          </w:p>
        </w:tc>
        <w:tc>
          <w:tcPr>
            <w:tcW w:w="1148" w:type="dxa"/>
          </w:tcPr>
          <w:p w:rsidR="007C5447" w:rsidRDefault="007C5447">
            <w:pPr>
              <w:pStyle w:val="TableParagraph"/>
              <w:jc w:val="left"/>
              <w:rPr>
                <w:sz w:val="20"/>
              </w:rPr>
            </w:pPr>
          </w:p>
        </w:tc>
        <w:tc>
          <w:tcPr>
            <w:tcW w:w="1432" w:type="dxa"/>
          </w:tcPr>
          <w:p w:rsidR="007C5447" w:rsidRDefault="00F6308C">
            <w:pPr>
              <w:pStyle w:val="TableParagraph"/>
              <w:spacing w:before="70"/>
              <w:ind w:right="158"/>
              <w:rPr>
                <w:sz w:val="20"/>
              </w:rPr>
            </w:pPr>
            <w:r>
              <w:rPr>
                <w:w w:val="99"/>
                <w:sz w:val="20"/>
              </w:rPr>
              <w:t>-</w:t>
            </w:r>
          </w:p>
        </w:tc>
        <w:tc>
          <w:tcPr>
            <w:tcW w:w="1417" w:type="dxa"/>
          </w:tcPr>
          <w:p w:rsidR="007C5447" w:rsidRDefault="00F6308C">
            <w:pPr>
              <w:pStyle w:val="TableParagraph"/>
              <w:spacing w:before="70"/>
              <w:ind w:right="156"/>
              <w:rPr>
                <w:sz w:val="20"/>
              </w:rPr>
            </w:pPr>
            <w:r>
              <w:rPr>
                <w:w w:val="99"/>
                <w:sz w:val="20"/>
              </w:rPr>
              <w:t>-</w:t>
            </w:r>
          </w:p>
        </w:tc>
        <w:tc>
          <w:tcPr>
            <w:tcW w:w="1347" w:type="dxa"/>
          </w:tcPr>
          <w:p w:rsidR="007C5447" w:rsidRDefault="007C5447">
            <w:pPr>
              <w:pStyle w:val="TableParagraph"/>
              <w:jc w:val="left"/>
              <w:rPr>
                <w:sz w:val="20"/>
              </w:rPr>
            </w:pP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9"/>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54"/>
        <w:gridCol w:w="1265"/>
        <w:gridCol w:w="1264"/>
        <w:gridCol w:w="1050"/>
        <w:gridCol w:w="1088"/>
        <w:gridCol w:w="1091"/>
        <w:gridCol w:w="1148"/>
        <w:gridCol w:w="1432"/>
        <w:gridCol w:w="1417"/>
        <w:gridCol w:w="1347"/>
      </w:tblGrid>
      <w:tr w:rsidR="007C5447">
        <w:trPr>
          <w:trHeight w:val="369"/>
        </w:trPr>
        <w:tc>
          <w:tcPr>
            <w:tcW w:w="2854"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987" w:right="969"/>
              <w:jc w:val="center"/>
              <w:rPr>
                <w:b/>
                <w:sz w:val="20"/>
              </w:rPr>
            </w:pPr>
            <w:r>
              <w:rPr>
                <w:b/>
                <w:sz w:val="20"/>
              </w:rPr>
              <w:t>Source</w:t>
            </w:r>
          </w:p>
        </w:tc>
        <w:tc>
          <w:tcPr>
            <w:tcW w:w="11102" w:type="dxa"/>
            <w:gridSpan w:val="9"/>
            <w:shd w:val="clear" w:color="auto" w:fill="F7C9AC"/>
          </w:tcPr>
          <w:p w:rsidR="007C5447" w:rsidRDefault="00F6308C">
            <w:pPr>
              <w:pStyle w:val="TableParagraph"/>
              <w:spacing w:before="125" w:line="224" w:lineRule="exact"/>
              <w:ind w:left="5046" w:right="5013"/>
              <w:jc w:val="center"/>
              <w:rPr>
                <w:b/>
                <w:sz w:val="20"/>
              </w:rPr>
            </w:pPr>
            <w:r>
              <w:rPr>
                <w:b/>
                <w:sz w:val="20"/>
              </w:rPr>
              <w:t>FY 2013-14</w:t>
            </w:r>
          </w:p>
        </w:tc>
      </w:tr>
      <w:tr w:rsidR="007C5447">
        <w:trPr>
          <w:trHeight w:val="371"/>
        </w:trPr>
        <w:tc>
          <w:tcPr>
            <w:tcW w:w="2854" w:type="dxa"/>
            <w:vMerge/>
            <w:tcBorders>
              <w:top w:val="nil"/>
            </w:tcBorders>
            <w:shd w:val="clear" w:color="auto" w:fill="F7C9AC"/>
          </w:tcPr>
          <w:p w:rsidR="007C5447" w:rsidRDefault="007C5447">
            <w:pPr>
              <w:rPr>
                <w:sz w:val="2"/>
                <w:szCs w:val="2"/>
              </w:rPr>
            </w:pPr>
          </w:p>
        </w:tc>
        <w:tc>
          <w:tcPr>
            <w:tcW w:w="3579" w:type="dxa"/>
            <w:gridSpan w:val="3"/>
            <w:shd w:val="clear" w:color="auto" w:fill="F7C9AC"/>
          </w:tcPr>
          <w:p w:rsidR="007C5447" w:rsidRDefault="00F6308C">
            <w:pPr>
              <w:pStyle w:val="TableParagraph"/>
              <w:spacing w:before="70"/>
              <w:ind w:left="1259" w:right="1243"/>
              <w:jc w:val="center"/>
              <w:rPr>
                <w:b/>
                <w:sz w:val="20"/>
              </w:rPr>
            </w:pPr>
            <w:r>
              <w:rPr>
                <w:b/>
                <w:sz w:val="20"/>
              </w:rPr>
              <w:t>SMT Order</w:t>
            </w:r>
          </w:p>
        </w:tc>
        <w:tc>
          <w:tcPr>
            <w:tcW w:w="3327" w:type="dxa"/>
            <w:gridSpan w:val="3"/>
            <w:shd w:val="clear" w:color="auto" w:fill="F7C9AC"/>
          </w:tcPr>
          <w:p w:rsidR="007C5447" w:rsidRDefault="00F6308C">
            <w:pPr>
              <w:pStyle w:val="TableParagraph"/>
              <w:spacing w:before="70"/>
              <w:ind w:left="1094"/>
              <w:jc w:val="left"/>
              <w:rPr>
                <w:b/>
                <w:sz w:val="20"/>
              </w:rPr>
            </w:pPr>
            <w:r>
              <w:rPr>
                <w:b/>
                <w:sz w:val="20"/>
              </w:rPr>
              <w:t>TANGEDCO</w:t>
            </w:r>
          </w:p>
        </w:tc>
        <w:tc>
          <w:tcPr>
            <w:tcW w:w="4196" w:type="dxa"/>
            <w:gridSpan w:val="3"/>
            <w:shd w:val="clear" w:color="auto" w:fill="F7C9AC"/>
          </w:tcPr>
          <w:p w:rsidR="007C5447" w:rsidRDefault="00F6308C">
            <w:pPr>
              <w:pStyle w:val="TableParagraph"/>
              <w:spacing w:before="70"/>
              <w:ind w:left="1113"/>
              <w:jc w:val="left"/>
              <w:rPr>
                <w:b/>
                <w:sz w:val="20"/>
              </w:rPr>
            </w:pPr>
            <w:r>
              <w:rPr>
                <w:b/>
                <w:sz w:val="20"/>
              </w:rPr>
              <w:t>Approved after true up</w:t>
            </w:r>
          </w:p>
        </w:tc>
      </w:tr>
      <w:tr w:rsidR="007C5447">
        <w:trPr>
          <w:trHeight w:val="489"/>
        </w:trPr>
        <w:tc>
          <w:tcPr>
            <w:tcW w:w="2854" w:type="dxa"/>
            <w:vMerge/>
            <w:tcBorders>
              <w:top w:val="nil"/>
            </w:tcBorders>
            <w:shd w:val="clear" w:color="auto" w:fill="F7C9AC"/>
          </w:tcPr>
          <w:p w:rsidR="007C5447" w:rsidRDefault="007C5447">
            <w:pPr>
              <w:rPr>
                <w:sz w:val="2"/>
                <w:szCs w:val="2"/>
              </w:rPr>
            </w:pPr>
          </w:p>
        </w:tc>
        <w:tc>
          <w:tcPr>
            <w:tcW w:w="1265" w:type="dxa"/>
            <w:shd w:val="clear" w:color="auto" w:fill="F7C9AC"/>
          </w:tcPr>
          <w:p w:rsidR="007C5447" w:rsidRDefault="00F6308C">
            <w:pPr>
              <w:pStyle w:val="TableParagraph"/>
              <w:spacing w:before="14" w:line="230" w:lineRule="atLeast"/>
              <w:ind w:left="403" w:right="187" w:hanging="178"/>
              <w:jc w:val="left"/>
              <w:rPr>
                <w:b/>
                <w:sz w:val="20"/>
              </w:rPr>
            </w:pPr>
            <w:r>
              <w:rPr>
                <w:b/>
                <w:sz w:val="20"/>
              </w:rPr>
              <w:t>Quantum (MU)</w:t>
            </w:r>
          </w:p>
        </w:tc>
        <w:tc>
          <w:tcPr>
            <w:tcW w:w="1264" w:type="dxa"/>
            <w:shd w:val="clear" w:color="auto" w:fill="F7C9AC"/>
          </w:tcPr>
          <w:p w:rsidR="007C5447" w:rsidRDefault="00F6308C">
            <w:pPr>
              <w:pStyle w:val="TableParagraph"/>
              <w:spacing w:before="14" w:line="230" w:lineRule="atLeast"/>
              <w:ind w:left="293" w:right="150" w:hanging="104"/>
              <w:jc w:val="left"/>
              <w:rPr>
                <w:b/>
                <w:sz w:val="20"/>
              </w:rPr>
            </w:pPr>
            <w:r>
              <w:rPr>
                <w:b/>
                <w:sz w:val="20"/>
              </w:rPr>
              <w:t>Total Cost (Rs. Cr)</w:t>
            </w:r>
          </w:p>
        </w:tc>
        <w:tc>
          <w:tcPr>
            <w:tcW w:w="1050" w:type="dxa"/>
            <w:shd w:val="clear" w:color="auto" w:fill="F7C9AC"/>
          </w:tcPr>
          <w:p w:rsidR="007C5447" w:rsidRDefault="00F6308C">
            <w:pPr>
              <w:pStyle w:val="TableParagraph"/>
              <w:spacing w:before="14" w:line="230" w:lineRule="atLeast"/>
              <w:ind w:left="113" w:firstLine="216"/>
              <w:jc w:val="left"/>
              <w:rPr>
                <w:b/>
                <w:sz w:val="20"/>
              </w:rPr>
            </w:pPr>
            <w:r>
              <w:rPr>
                <w:b/>
                <w:sz w:val="20"/>
              </w:rPr>
              <w:t xml:space="preserve">Rate </w:t>
            </w:r>
            <w:r>
              <w:rPr>
                <w:b/>
                <w:w w:val="95"/>
                <w:sz w:val="20"/>
              </w:rPr>
              <w:t>(Rs/kWh)</w:t>
            </w:r>
          </w:p>
        </w:tc>
        <w:tc>
          <w:tcPr>
            <w:tcW w:w="1088" w:type="dxa"/>
            <w:shd w:val="clear" w:color="auto" w:fill="F7C9AC"/>
          </w:tcPr>
          <w:p w:rsidR="007C5447" w:rsidRDefault="00F6308C">
            <w:pPr>
              <w:pStyle w:val="TableParagraph"/>
              <w:spacing w:before="14" w:line="230" w:lineRule="atLeast"/>
              <w:ind w:left="319" w:right="94" w:hanging="178"/>
              <w:jc w:val="left"/>
              <w:rPr>
                <w:b/>
                <w:sz w:val="20"/>
              </w:rPr>
            </w:pPr>
            <w:r>
              <w:rPr>
                <w:b/>
                <w:sz w:val="20"/>
              </w:rPr>
              <w:t>Quantum (MU)</w:t>
            </w:r>
          </w:p>
        </w:tc>
        <w:tc>
          <w:tcPr>
            <w:tcW w:w="1091" w:type="dxa"/>
            <w:shd w:val="clear" w:color="auto" w:fill="F7C9AC"/>
          </w:tcPr>
          <w:p w:rsidR="007C5447" w:rsidRDefault="00F6308C">
            <w:pPr>
              <w:pStyle w:val="TableParagraph"/>
              <w:spacing w:before="14" w:line="230" w:lineRule="atLeast"/>
              <w:ind w:left="234" w:right="138" w:firstLine="124"/>
              <w:jc w:val="left"/>
              <w:rPr>
                <w:b/>
                <w:sz w:val="20"/>
              </w:rPr>
            </w:pPr>
            <w:r>
              <w:rPr>
                <w:b/>
                <w:sz w:val="20"/>
              </w:rPr>
              <w:t>Cost (Rs. Cr)</w:t>
            </w:r>
          </w:p>
        </w:tc>
        <w:tc>
          <w:tcPr>
            <w:tcW w:w="1148" w:type="dxa"/>
            <w:shd w:val="clear" w:color="auto" w:fill="F7C9AC"/>
          </w:tcPr>
          <w:p w:rsidR="007C5447" w:rsidRDefault="00F6308C">
            <w:pPr>
              <w:pStyle w:val="TableParagraph"/>
              <w:spacing w:before="14" w:line="230" w:lineRule="atLeast"/>
              <w:ind w:left="168" w:firstLine="216"/>
              <w:jc w:val="left"/>
              <w:rPr>
                <w:b/>
                <w:sz w:val="20"/>
              </w:rPr>
            </w:pPr>
            <w:r>
              <w:rPr>
                <w:b/>
                <w:sz w:val="20"/>
              </w:rPr>
              <w:t xml:space="preserve">Rate </w:t>
            </w:r>
            <w:r>
              <w:rPr>
                <w:b/>
                <w:w w:val="95"/>
                <w:sz w:val="20"/>
              </w:rPr>
              <w:t>(Rs/kWh)</w:t>
            </w:r>
          </w:p>
        </w:tc>
        <w:tc>
          <w:tcPr>
            <w:tcW w:w="1432" w:type="dxa"/>
            <w:shd w:val="clear" w:color="auto" w:fill="F7C9AC"/>
          </w:tcPr>
          <w:p w:rsidR="007C5447" w:rsidRDefault="00F6308C">
            <w:pPr>
              <w:pStyle w:val="TableParagraph"/>
              <w:spacing w:before="14" w:line="230" w:lineRule="atLeast"/>
              <w:ind w:left="494" w:right="263" w:hanging="178"/>
              <w:jc w:val="left"/>
              <w:rPr>
                <w:b/>
                <w:sz w:val="20"/>
              </w:rPr>
            </w:pPr>
            <w:r>
              <w:rPr>
                <w:b/>
                <w:sz w:val="20"/>
              </w:rPr>
              <w:t>Quantum (MU)</w:t>
            </w:r>
          </w:p>
        </w:tc>
        <w:tc>
          <w:tcPr>
            <w:tcW w:w="1417" w:type="dxa"/>
            <w:shd w:val="clear" w:color="auto" w:fill="F7C9AC"/>
          </w:tcPr>
          <w:p w:rsidR="007C5447" w:rsidRDefault="00F6308C">
            <w:pPr>
              <w:pStyle w:val="TableParagraph"/>
              <w:spacing w:before="14" w:line="230" w:lineRule="atLeast"/>
              <w:ind w:left="375" w:right="221" w:hanging="104"/>
              <w:jc w:val="left"/>
              <w:rPr>
                <w:b/>
                <w:sz w:val="20"/>
              </w:rPr>
            </w:pPr>
            <w:r>
              <w:rPr>
                <w:b/>
                <w:sz w:val="20"/>
              </w:rPr>
              <w:t>Total Cost (Rs. Cr)</w:t>
            </w:r>
          </w:p>
        </w:tc>
        <w:tc>
          <w:tcPr>
            <w:tcW w:w="1347" w:type="dxa"/>
            <w:shd w:val="clear" w:color="auto" w:fill="F7C9AC"/>
          </w:tcPr>
          <w:p w:rsidR="007C5447" w:rsidRDefault="00F6308C">
            <w:pPr>
              <w:pStyle w:val="TableParagraph"/>
              <w:spacing w:before="14" w:line="230" w:lineRule="atLeast"/>
              <w:ind w:left="268" w:firstLine="216"/>
              <w:jc w:val="left"/>
              <w:rPr>
                <w:b/>
                <w:sz w:val="20"/>
              </w:rPr>
            </w:pPr>
            <w:r>
              <w:rPr>
                <w:b/>
                <w:sz w:val="20"/>
              </w:rPr>
              <w:t xml:space="preserve">Rate </w:t>
            </w:r>
            <w:r>
              <w:rPr>
                <w:b/>
                <w:w w:val="95"/>
                <w:sz w:val="20"/>
              </w:rPr>
              <w:t>(Rs/kWh)</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NTPC Vallur Unit 1 &amp; Unit 2</w:t>
            </w:r>
          </w:p>
        </w:tc>
        <w:tc>
          <w:tcPr>
            <w:tcW w:w="1265" w:type="dxa"/>
          </w:tcPr>
          <w:p w:rsidR="007C5447" w:rsidRDefault="00F6308C">
            <w:pPr>
              <w:pStyle w:val="TableParagraph"/>
              <w:spacing w:before="70"/>
              <w:ind w:right="168"/>
              <w:rPr>
                <w:sz w:val="20"/>
              </w:rPr>
            </w:pPr>
            <w:r>
              <w:rPr>
                <w:w w:val="95"/>
                <w:sz w:val="20"/>
              </w:rPr>
              <w:t>2,560.75</w:t>
            </w:r>
          </w:p>
        </w:tc>
        <w:tc>
          <w:tcPr>
            <w:tcW w:w="1264" w:type="dxa"/>
          </w:tcPr>
          <w:p w:rsidR="007C5447" w:rsidRDefault="00F6308C">
            <w:pPr>
              <w:pStyle w:val="TableParagraph"/>
              <w:spacing w:before="70"/>
              <w:ind w:right="164"/>
              <w:rPr>
                <w:sz w:val="20"/>
              </w:rPr>
            </w:pPr>
            <w:r>
              <w:rPr>
                <w:w w:val="95"/>
                <w:sz w:val="20"/>
              </w:rPr>
              <w:t>1,168.59</w:t>
            </w:r>
          </w:p>
        </w:tc>
        <w:tc>
          <w:tcPr>
            <w:tcW w:w="1050" w:type="dxa"/>
          </w:tcPr>
          <w:p w:rsidR="007C5447" w:rsidRDefault="00F6308C">
            <w:pPr>
              <w:pStyle w:val="TableParagraph"/>
              <w:spacing w:before="70"/>
              <w:ind w:right="167"/>
              <w:rPr>
                <w:sz w:val="20"/>
              </w:rPr>
            </w:pPr>
            <w:r>
              <w:rPr>
                <w:sz w:val="20"/>
              </w:rPr>
              <w:t>4.56</w:t>
            </w:r>
          </w:p>
        </w:tc>
        <w:tc>
          <w:tcPr>
            <w:tcW w:w="1088" w:type="dxa"/>
          </w:tcPr>
          <w:p w:rsidR="007C5447" w:rsidRDefault="00F6308C">
            <w:pPr>
              <w:pStyle w:val="TableParagraph"/>
              <w:spacing w:before="70"/>
              <w:ind w:right="161"/>
              <w:rPr>
                <w:sz w:val="20"/>
              </w:rPr>
            </w:pPr>
            <w:r>
              <w:rPr>
                <w:w w:val="95"/>
                <w:sz w:val="20"/>
              </w:rPr>
              <w:t>2,558.00</w:t>
            </w:r>
          </w:p>
        </w:tc>
        <w:tc>
          <w:tcPr>
            <w:tcW w:w="1091" w:type="dxa"/>
          </w:tcPr>
          <w:p w:rsidR="007C5447" w:rsidRDefault="00F6308C">
            <w:pPr>
              <w:pStyle w:val="TableParagraph"/>
              <w:spacing w:before="70"/>
              <w:ind w:right="162"/>
              <w:rPr>
                <w:sz w:val="20"/>
              </w:rPr>
            </w:pPr>
            <w:r>
              <w:rPr>
                <w:w w:val="95"/>
                <w:sz w:val="20"/>
              </w:rPr>
              <w:t>1,168.59</w:t>
            </w:r>
          </w:p>
        </w:tc>
        <w:tc>
          <w:tcPr>
            <w:tcW w:w="1148" w:type="dxa"/>
          </w:tcPr>
          <w:p w:rsidR="007C5447" w:rsidRDefault="00F6308C">
            <w:pPr>
              <w:pStyle w:val="TableParagraph"/>
              <w:spacing w:before="70"/>
              <w:ind w:right="160"/>
              <w:rPr>
                <w:sz w:val="20"/>
              </w:rPr>
            </w:pPr>
            <w:r>
              <w:rPr>
                <w:sz w:val="20"/>
              </w:rPr>
              <w:t>4.57</w:t>
            </w:r>
          </w:p>
        </w:tc>
        <w:tc>
          <w:tcPr>
            <w:tcW w:w="1432" w:type="dxa"/>
          </w:tcPr>
          <w:p w:rsidR="007C5447" w:rsidRDefault="00F6308C">
            <w:pPr>
              <w:pStyle w:val="TableParagraph"/>
              <w:spacing w:before="70"/>
              <w:ind w:right="160"/>
              <w:rPr>
                <w:sz w:val="20"/>
              </w:rPr>
            </w:pPr>
            <w:r>
              <w:rPr>
                <w:w w:val="95"/>
                <w:sz w:val="20"/>
              </w:rPr>
              <w:t>2,558.00</w:t>
            </w:r>
          </w:p>
        </w:tc>
        <w:tc>
          <w:tcPr>
            <w:tcW w:w="1417" w:type="dxa"/>
          </w:tcPr>
          <w:p w:rsidR="007C5447" w:rsidRDefault="00F6308C">
            <w:pPr>
              <w:pStyle w:val="TableParagraph"/>
              <w:spacing w:before="70"/>
              <w:ind w:right="158"/>
              <w:rPr>
                <w:sz w:val="20"/>
              </w:rPr>
            </w:pPr>
            <w:r>
              <w:rPr>
                <w:w w:val="95"/>
                <w:sz w:val="20"/>
              </w:rPr>
              <w:t>1,168.59</w:t>
            </w:r>
          </w:p>
        </w:tc>
        <w:tc>
          <w:tcPr>
            <w:tcW w:w="1347" w:type="dxa"/>
          </w:tcPr>
          <w:p w:rsidR="007C5447" w:rsidRDefault="00F6308C">
            <w:pPr>
              <w:pStyle w:val="TableParagraph"/>
              <w:spacing w:before="70"/>
              <w:ind w:right="158"/>
              <w:rPr>
                <w:sz w:val="20"/>
              </w:rPr>
            </w:pPr>
            <w:r>
              <w:rPr>
                <w:sz w:val="20"/>
              </w:rPr>
              <w:t>4.57</w:t>
            </w:r>
          </w:p>
        </w:tc>
      </w:tr>
      <w:tr w:rsidR="007C5447">
        <w:trPr>
          <w:trHeight w:val="371"/>
        </w:trPr>
        <w:tc>
          <w:tcPr>
            <w:tcW w:w="2854" w:type="dxa"/>
            <w:tcBorders>
              <w:left w:val="single" w:sz="8" w:space="0" w:color="000000"/>
            </w:tcBorders>
          </w:tcPr>
          <w:p w:rsidR="007C5447" w:rsidRDefault="00F6308C">
            <w:pPr>
              <w:pStyle w:val="TableParagraph"/>
              <w:spacing w:before="70"/>
              <w:ind w:left="107"/>
              <w:jc w:val="left"/>
              <w:rPr>
                <w:sz w:val="20"/>
              </w:rPr>
            </w:pPr>
            <w:r>
              <w:rPr>
                <w:sz w:val="20"/>
              </w:rPr>
              <w:t>New Plants</w:t>
            </w:r>
          </w:p>
        </w:tc>
        <w:tc>
          <w:tcPr>
            <w:tcW w:w="1265" w:type="dxa"/>
          </w:tcPr>
          <w:p w:rsidR="007C5447" w:rsidRDefault="007C5447">
            <w:pPr>
              <w:pStyle w:val="TableParagraph"/>
              <w:jc w:val="left"/>
              <w:rPr>
                <w:sz w:val="20"/>
              </w:rPr>
            </w:pPr>
          </w:p>
        </w:tc>
        <w:tc>
          <w:tcPr>
            <w:tcW w:w="1264" w:type="dxa"/>
          </w:tcPr>
          <w:p w:rsidR="007C5447" w:rsidRDefault="00F6308C">
            <w:pPr>
              <w:pStyle w:val="TableParagraph"/>
              <w:spacing w:before="70"/>
              <w:ind w:right="163"/>
              <w:rPr>
                <w:sz w:val="20"/>
              </w:rPr>
            </w:pPr>
            <w:r>
              <w:rPr>
                <w:w w:val="99"/>
                <w:sz w:val="20"/>
              </w:rPr>
              <w:t>-</w:t>
            </w:r>
          </w:p>
        </w:tc>
        <w:tc>
          <w:tcPr>
            <w:tcW w:w="1050" w:type="dxa"/>
          </w:tcPr>
          <w:p w:rsidR="007C5447" w:rsidRDefault="007C5447">
            <w:pPr>
              <w:pStyle w:val="TableParagraph"/>
              <w:jc w:val="left"/>
              <w:rPr>
                <w:sz w:val="20"/>
              </w:rPr>
            </w:pP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F6308C">
            <w:pPr>
              <w:pStyle w:val="TableParagraph"/>
              <w:spacing w:before="70"/>
              <w:ind w:right="158"/>
              <w:rPr>
                <w:sz w:val="20"/>
              </w:rPr>
            </w:pPr>
            <w:r>
              <w:rPr>
                <w:w w:val="99"/>
                <w:sz w:val="20"/>
              </w:rPr>
              <w:t>-</w:t>
            </w:r>
          </w:p>
        </w:tc>
        <w:tc>
          <w:tcPr>
            <w:tcW w:w="1417" w:type="dxa"/>
          </w:tcPr>
          <w:p w:rsidR="007C5447" w:rsidRDefault="00F6308C">
            <w:pPr>
              <w:pStyle w:val="TableParagraph"/>
              <w:spacing w:before="70"/>
              <w:ind w:right="156"/>
              <w:rPr>
                <w:sz w:val="20"/>
              </w:rPr>
            </w:pPr>
            <w:r>
              <w:rPr>
                <w:w w:val="99"/>
                <w:sz w:val="20"/>
              </w:rPr>
              <w:t>-</w:t>
            </w: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Kudankulum</w:t>
            </w:r>
          </w:p>
        </w:tc>
        <w:tc>
          <w:tcPr>
            <w:tcW w:w="1265" w:type="dxa"/>
          </w:tcPr>
          <w:p w:rsidR="007C5447" w:rsidRDefault="00F6308C">
            <w:pPr>
              <w:pStyle w:val="TableParagraph"/>
              <w:spacing w:before="70"/>
              <w:ind w:right="170"/>
              <w:rPr>
                <w:sz w:val="20"/>
              </w:rPr>
            </w:pPr>
            <w:r>
              <w:rPr>
                <w:w w:val="95"/>
                <w:sz w:val="20"/>
              </w:rPr>
              <w:t>422.74</w:t>
            </w:r>
          </w:p>
        </w:tc>
        <w:tc>
          <w:tcPr>
            <w:tcW w:w="1264" w:type="dxa"/>
          </w:tcPr>
          <w:p w:rsidR="007C5447" w:rsidRDefault="00F6308C">
            <w:pPr>
              <w:pStyle w:val="TableParagraph"/>
              <w:spacing w:before="70"/>
              <w:ind w:right="166"/>
              <w:rPr>
                <w:sz w:val="20"/>
              </w:rPr>
            </w:pPr>
            <w:r>
              <w:rPr>
                <w:w w:val="95"/>
                <w:sz w:val="20"/>
              </w:rPr>
              <w:t>52.18</w:t>
            </w:r>
          </w:p>
        </w:tc>
        <w:tc>
          <w:tcPr>
            <w:tcW w:w="1050" w:type="dxa"/>
          </w:tcPr>
          <w:p w:rsidR="007C5447" w:rsidRDefault="00F6308C">
            <w:pPr>
              <w:pStyle w:val="TableParagraph"/>
              <w:spacing w:before="70"/>
              <w:ind w:right="167"/>
              <w:rPr>
                <w:sz w:val="20"/>
              </w:rPr>
            </w:pPr>
            <w:r>
              <w:rPr>
                <w:sz w:val="20"/>
              </w:rPr>
              <w:t>1.23</w:t>
            </w:r>
          </w:p>
        </w:tc>
        <w:tc>
          <w:tcPr>
            <w:tcW w:w="1088" w:type="dxa"/>
          </w:tcPr>
          <w:p w:rsidR="007C5447" w:rsidRDefault="00F6308C">
            <w:pPr>
              <w:pStyle w:val="TableParagraph"/>
              <w:spacing w:before="70"/>
              <w:ind w:right="163"/>
              <w:rPr>
                <w:sz w:val="20"/>
              </w:rPr>
            </w:pPr>
            <w:r>
              <w:rPr>
                <w:w w:val="95"/>
                <w:sz w:val="20"/>
              </w:rPr>
              <w:t>462.00</w:t>
            </w:r>
          </w:p>
        </w:tc>
        <w:tc>
          <w:tcPr>
            <w:tcW w:w="1091" w:type="dxa"/>
          </w:tcPr>
          <w:p w:rsidR="007C5447" w:rsidRDefault="00F6308C">
            <w:pPr>
              <w:pStyle w:val="TableParagraph"/>
              <w:spacing w:before="70"/>
              <w:ind w:right="164"/>
              <w:rPr>
                <w:sz w:val="20"/>
              </w:rPr>
            </w:pPr>
            <w:r>
              <w:rPr>
                <w:w w:val="95"/>
                <w:sz w:val="20"/>
              </w:rPr>
              <w:t>475.00</w:t>
            </w:r>
          </w:p>
        </w:tc>
        <w:tc>
          <w:tcPr>
            <w:tcW w:w="1148" w:type="dxa"/>
          </w:tcPr>
          <w:p w:rsidR="007C5447" w:rsidRDefault="00F6308C">
            <w:pPr>
              <w:pStyle w:val="TableParagraph"/>
              <w:spacing w:before="70"/>
              <w:ind w:right="158"/>
              <w:rPr>
                <w:sz w:val="20"/>
              </w:rPr>
            </w:pPr>
            <w:r>
              <w:rPr>
                <w:sz w:val="20"/>
              </w:rPr>
              <w:t>10.28</w:t>
            </w:r>
          </w:p>
        </w:tc>
        <w:tc>
          <w:tcPr>
            <w:tcW w:w="1432" w:type="dxa"/>
          </w:tcPr>
          <w:p w:rsidR="007C5447" w:rsidRDefault="00F6308C">
            <w:pPr>
              <w:pStyle w:val="TableParagraph"/>
              <w:spacing w:before="70"/>
              <w:ind w:right="162"/>
              <w:rPr>
                <w:sz w:val="20"/>
              </w:rPr>
            </w:pPr>
            <w:r>
              <w:rPr>
                <w:w w:val="95"/>
                <w:sz w:val="20"/>
              </w:rPr>
              <w:t>462.00</w:t>
            </w:r>
          </w:p>
        </w:tc>
        <w:tc>
          <w:tcPr>
            <w:tcW w:w="1417" w:type="dxa"/>
          </w:tcPr>
          <w:p w:rsidR="007C5447" w:rsidRDefault="00F6308C">
            <w:pPr>
              <w:pStyle w:val="TableParagraph"/>
              <w:spacing w:before="70"/>
              <w:ind w:right="160"/>
              <w:rPr>
                <w:sz w:val="20"/>
              </w:rPr>
            </w:pPr>
            <w:r>
              <w:rPr>
                <w:w w:val="95"/>
                <w:sz w:val="20"/>
              </w:rPr>
              <w:t>475.00</w:t>
            </w:r>
          </w:p>
        </w:tc>
        <w:tc>
          <w:tcPr>
            <w:tcW w:w="1347" w:type="dxa"/>
          </w:tcPr>
          <w:p w:rsidR="007C5447" w:rsidRDefault="00F6308C">
            <w:pPr>
              <w:pStyle w:val="TableParagraph"/>
              <w:spacing w:before="70"/>
              <w:ind w:right="156"/>
              <w:rPr>
                <w:sz w:val="20"/>
              </w:rPr>
            </w:pPr>
            <w:r>
              <w:rPr>
                <w:sz w:val="20"/>
              </w:rPr>
              <w:t>10.28</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b/>
                <w:sz w:val="20"/>
              </w:rPr>
            </w:pPr>
            <w:r>
              <w:rPr>
                <w:b/>
                <w:sz w:val="20"/>
              </w:rPr>
              <w:t>Total CGS</w:t>
            </w:r>
          </w:p>
        </w:tc>
        <w:tc>
          <w:tcPr>
            <w:tcW w:w="1265" w:type="dxa"/>
          </w:tcPr>
          <w:p w:rsidR="007C5447" w:rsidRDefault="00F6308C">
            <w:pPr>
              <w:pStyle w:val="TableParagraph"/>
              <w:spacing w:before="70"/>
              <w:ind w:right="170"/>
              <w:rPr>
                <w:b/>
                <w:sz w:val="20"/>
              </w:rPr>
            </w:pPr>
            <w:r>
              <w:rPr>
                <w:b/>
                <w:w w:val="95"/>
                <w:sz w:val="20"/>
              </w:rPr>
              <w:t>24,524.11</w:t>
            </w:r>
          </w:p>
        </w:tc>
        <w:tc>
          <w:tcPr>
            <w:tcW w:w="1264" w:type="dxa"/>
          </w:tcPr>
          <w:p w:rsidR="007C5447" w:rsidRDefault="00F6308C">
            <w:pPr>
              <w:pStyle w:val="TableParagraph"/>
              <w:spacing w:before="70"/>
              <w:ind w:right="164"/>
              <w:rPr>
                <w:b/>
                <w:sz w:val="20"/>
              </w:rPr>
            </w:pPr>
            <w:r>
              <w:rPr>
                <w:b/>
                <w:w w:val="95"/>
                <w:sz w:val="20"/>
              </w:rPr>
              <w:t>7,676.61</w:t>
            </w:r>
          </w:p>
        </w:tc>
        <w:tc>
          <w:tcPr>
            <w:tcW w:w="1050" w:type="dxa"/>
          </w:tcPr>
          <w:p w:rsidR="007C5447" w:rsidRDefault="00F6308C">
            <w:pPr>
              <w:pStyle w:val="TableParagraph"/>
              <w:spacing w:before="70"/>
              <w:ind w:right="167"/>
              <w:rPr>
                <w:b/>
                <w:sz w:val="20"/>
              </w:rPr>
            </w:pPr>
            <w:r>
              <w:rPr>
                <w:b/>
                <w:sz w:val="20"/>
              </w:rPr>
              <w:t>3.13</w:t>
            </w:r>
          </w:p>
        </w:tc>
        <w:tc>
          <w:tcPr>
            <w:tcW w:w="1088" w:type="dxa"/>
          </w:tcPr>
          <w:p w:rsidR="007C5447" w:rsidRDefault="00F6308C">
            <w:pPr>
              <w:pStyle w:val="TableParagraph"/>
              <w:spacing w:before="70"/>
              <w:ind w:right="161"/>
              <w:rPr>
                <w:b/>
                <w:sz w:val="20"/>
              </w:rPr>
            </w:pPr>
            <w:r>
              <w:rPr>
                <w:b/>
                <w:w w:val="95"/>
                <w:sz w:val="20"/>
              </w:rPr>
              <w:t>24,560.40</w:t>
            </w:r>
          </w:p>
        </w:tc>
        <w:tc>
          <w:tcPr>
            <w:tcW w:w="1091" w:type="dxa"/>
          </w:tcPr>
          <w:p w:rsidR="007C5447" w:rsidRDefault="00F6308C">
            <w:pPr>
              <w:pStyle w:val="TableParagraph"/>
              <w:spacing w:before="70"/>
              <w:ind w:right="162"/>
              <w:rPr>
                <w:b/>
                <w:sz w:val="20"/>
              </w:rPr>
            </w:pPr>
            <w:r>
              <w:rPr>
                <w:b/>
                <w:w w:val="95"/>
                <w:sz w:val="20"/>
              </w:rPr>
              <w:t>8,072.94</w:t>
            </w:r>
          </w:p>
        </w:tc>
        <w:tc>
          <w:tcPr>
            <w:tcW w:w="1148" w:type="dxa"/>
          </w:tcPr>
          <w:p w:rsidR="007C5447" w:rsidRDefault="00F6308C">
            <w:pPr>
              <w:pStyle w:val="TableParagraph"/>
              <w:spacing w:before="70"/>
              <w:ind w:right="160"/>
              <w:rPr>
                <w:b/>
                <w:sz w:val="20"/>
              </w:rPr>
            </w:pPr>
            <w:r>
              <w:rPr>
                <w:b/>
                <w:sz w:val="20"/>
              </w:rPr>
              <w:t>3.29</w:t>
            </w:r>
          </w:p>
        </w:tc>
        <w:tc>
          <w:tcPr>
            <w:tcW w:w="1432" w:type="dxa"/>
          </w:tcPr>
          <w:p w:rsidR="007C5447" w:rsidRDefault="00F6308C">
            <w:pPr>
              <w:pStyle w:val="TableParagraph"/>
              <w:spacing w:before="70"/>
              <w:ind w:right="162"/>
              <w:rPr>
                <w:b/>
                <w:sz w:val="20"/>
              </w:rPr>
            </w:pPr>
            <w:r>
              <w:rPr>
                <w:b/>
                <w:w w:val="95"/>
                <w:sz w:val="20"/>
              </w:rPr>
              <w:t>24,560.40</w:t>
            </w:r>
          </w:p>
        </w:tc>
        <w:tc>
          <w:tcPr>
            <w:tcW w:w="1417" w:type="dxa"/>
          </w:tcPr>
          <w:p w:rsidR="007C5447" w:rsidRDefault="00F6308C">
            <w:pPr>
              <w:pStyle w:val="TableParagraph"/>
              <w:spacing w:before="70"/>
              <w:ind w:right="158"/>
              <w:rPr>
                <w:b/>
                <w:sz w:val="20"/>
              </w:rPr>
            </w:pPr>
            <w:r>
              <w:rPr>
                <w:b/>
                <w:w w:val="95"/>
                <w:sz w:val="20"/>
              </w:rPr>
              <w:t>8,073.95</w:t>
            </w:r>
          </w:p>
        </w:tc>
        <w:tc>
          <w:tcPr>
            <w:tcW w:w="1347" w:type="dxa"/>
          </w:tcPr>
          <w:p w:rsidR="007C5447" w:rsidRDefault="00F6308C">
            <w:pPr>
              <w:pStyle w:val="TableParagraph"/>
              <w:spacing w:before="70"/>
              <w:ind w:right="158"/>
              <w:rPr>
                <w:b/>
                <w:sz w:val="20"/>
              </w:rPr>
            </w:pPr>
            <w:r>
              <w:rPr>
                <w:b/>
                <w:sz w:val="20"/>
              </w:rPr>
              <w:t>3.29</w:t>
            </w:r>
          </w:p>
        </w:tc>
      </w:tr>
      <w:tr w:rsidR="007C5447">
        <w:trPr>
          <w:trHeight w:val="371"/>
        </w:trPr>
        <w:tc>
          <w:tcPr>
            <w:tcW w:w="2854" w:type="dxa"/>
            <w:tcBorders>
              <w:left w:val="single" w:sz="8" w:space="0" w:color="000000"/>
            </w:tcBorders>
          </w:tcPr>
          <w:p w:rsidR="007C5447" w:rsidRDefault="00F6308C">
            <w:pPr>
              <w:pStyle w:val="TableParagraph"/>
              <w:spacing w:before="70"/>
              <w:ind w:left="107"/>
              <w:jc w:val="left"/>
              <w:rPr>
                <w:b/>
                <w:sz w:val="20"/>
              </w:rPr>
            </w:pPr>
            <w:r>
              <w:rPr>
                <w:b/>
                <w:sz w:val="20"/>
              </w:rPr>
              <w:t>IPP</w:t>
            </w:r>
          </w:p>
        </w:tc>
        <w:tc>
          <w:tcPr>
            <w:tcW w:w="1265" w:type="dxa"/>
          </w:tcPr>
          <w:p w:rsidR="007C5447" w:rsidRDefault="007C5447">
            <w:pPr>
              <w:pStyle w:val="TableParagraph"/>
              <w:jc w:val="left"/>
              <w:rPr>
                <w:sz w:val="20"/>
              </w:rPr>
            </w:pPr>
          </w:p>
        </w:tc>
        <w:tc>
          <w:tcPr>
            <w:tcW w:w="1264" w:type="dxa"/>
          </w:tcPr>
          <w:p w:rsidR="007C5447" w:rsidRDefault="007C5447">
            <w:pPr>
              <w:pStyle w:val="TableParagraph"/>
              <w:jc w:val="left"/>
              <w:rPr>
                <w:sz w:val="20"/>
              </w:rPr>
            </w:pPr>
          </w:p>
        </w:tc>
        <w:tc>
          <w:tcPr>
            <w:tcW w:w="1050" w:type="dxa"/>
          </w:tcPr>
          <w:p w:rsidR="007C5447" w:rsidRDefault="007C5447">
            <w:pPr>
              <w:pStyle w:val="TableParagraph"/>
              <w:jc w:val="left"/>
              <w:rPr>
                <w:sz w:val="20"/>
              </w:rPr>
            </w:pP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7C5447">
            <w:pPr>
              <w:pStyle w:val="TableParagraph"/>
              <w:jc w:val="left"/>
              <w:rPr>
                <w:sz w:val="20"/>
              </w:rPr>
            </w:pPr>
          </w:p>
        </w:tc>
        <w:tc>
          <w:tcPr>
            <w:tcW w:w="1417" w:type="dxa"/>
          </w:tcPr>
          <w:p w:rsidR="007C5447" w:rsidRDefault="007C5447">
            <w:pPr>
              <w:pStyle w:val="TableParagraph"/>
              <w:jc w:val="left"/>
              <w:rPr>
                <w:sz w:val="20"/>
              </w:rPr>
            </w:pP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GMR Vasavi</w:t>
            </w:r>
          </w:p>
        </w:tc>
        <w:tc>
          <w:tcPr>
            <w:tcW w:w="1265" w:type="dxa"/>
          </w:tcPr>
          <w:p w:rsidR="007C5447" w:rsidRDefault="007C5447">
            <w:pPr>
              <w:pStyle w:val="TableParagraph"/>
              <w:jc w:val="left"/>
              <w:rPr>
                <w:sz w:val="20"/>
              </w:rPr>
            </w:pPr>
          </w:p>
        </w:tc>
        <w:tc>
          <w:tcPr>
            <w:tcW w:w="1264" w:type="dxa"/>
          </w:tcPr>
          <w:p w:rsidR="007C5447" w:rsidRDefault="00F6308C">
            <w:pPr>
              <w:pStyle w:val="TableParagraph"/>
              <w:spacing w:before="70"/>
              <w:ind w:right="166"/>
              <w:rPr>
                <w:sz w:val="20"/>
              </w:rPr>
            </w:pPr>
            <w:r>
              <w:rPr>
                <w:w w:val="95"/>
                <w:sz w:val="20"/>
              </w:rPr>
              <w:t>154.00</w:t>
            </w:r>
          </w:p>
        </w:tc>
        <w:tc>
          <w:tcPr>
            <w:tcW w:w="1050" w:type="dxa"/>
          </w:tcPr>
          <w:p w:rsidR="007C5447" w:rsidRDefault="007C5447">
            <w:pPr>
              <w:pStyle w:val="TableParagraph"/>
              <w:jc w:val="left"/>
              <w:rPr>
                <w:sz w:val="20"/>
              </w:rPr>
            </w:pPr>
          </w:p>
        </w:tc>
        <w:tc>
          <w:tcPr>
            <w:tcW w:w="1088" w:type="dxa"/>
          </w:tcPr>
          <w:p w:rsidR="007C5447" w:rsidRDefault="00F6308C">
            <w:pPr>
              <w:pStyle w:val="TableParagraph"/>
              <w:spacing w:before="70"/>
              <w:ind w:right="161"/>
              <w:rPr>
                <w:sz w:val="20"/>
              </w:rPr>
            </w:pPr>
            <w:r>
              <w:rPr>
                <w:sz w:val="20"/>
              </w:rPr>
              <w:t>804.00</w:t>
            </w:r>
          </w:p>
        </w:tc>
        <w:tc>
          <w:tcPr>
            <w:tcW w:w="1091" w:type="dxa"/>
          </w:tcPr>
          <w:p w:rsidR="007C5447" w:rsidRDefault="00F6308C">
            <w:pPr>
              <w:pStyle w:val="TableParagraph"/>
              <w:spacing w:before="70"/>
              <w:ind w:right="162"/>
              <w:rPr>
                <w:sz w:val="20"/>
              </w:rPr>
            </w:pPr>
            <w:r>
              <w:rPr>
                <w:w w:val="95"/>
                <w:sz w:val="20"/>
              </w:rPr>
              <w:t>1,024.00</w:t>
            </w:r>
          </w:p>
        </w:tc>
        <w:tc>
          <w:tcPr>
            <w:tcW w:w="1148" w:type="dxa"/>
          </w:tcPr>
          <w:p w:rsidR="007C5447" w:rsidRDefault="00F6308C">
            <w:pPr>
              <w:pStyle w:val="TableParagraph"/>
              <w:spacing w:before="70"/>
              <w:ind w:right="160"/>
              <w:rPr>
                <w:sz w:val="20"/>
              </w:rPr>
            </w:pPr>
            <w:r>
              <w:rPr>
                <w:w w:val="95"/>
                <w:sz w:val="20"/>
              </w:rPr>
              <w:t>12.74</w:t>
            </w:r>
          </w:p>
        </w:tc>
        <w:tc>
          <w:tcPr>
            <w:tcW w:w="1432" w:type="dxa"/>
          </w:tcPr>
          <w:p w:rsidR="007C5447" w:rsidRDefault="00F6308C">
            <w:pPr>
              <w:pStyle w:val="TableParagraph"/>
              <w:spacing w:before="70"/>
              <w:ind w:right="158"/>
              <w:rPr>
                <w:sz w:val="20"/>
              </w:rPr>
            </w:pPr>
            <w:r>
              <w:rPr>
                <w:w w:val="99"/>
                <w:sz w:val="20"/>
              </w:rPr>
              <w:t>-</w:t>
            </w:r>
          </w:p>
        </w:tc>
        <w:tc>
          <w:tcPr>
            <w:tcW w:w="1417" w:type="dxa"/>
          </w:tcPr>
          <w:p w:rsidR="007C5447" w:rsidRDefault="00F6308C">
            <w:pPr>
              <w:pStyle w:val="TableParagraph"/>
              <w:spacing w:before="70"/>
              <w:ind w:right="160"/>
              <w:rPr>
                <w:sz w:val="20"/>
              </w:rPr>
            </w:pPr>
            <w:r>
              <w:rPr>
                <w:w w:val="95"/>
                <w:sz w:val="20"/>
              </w:rPr>
              <w:t>154.04</w:t>
            </w: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Samalpatti</w:t>
            </w:r>
          </w:p>
        </w:tc>
        <w:tc>
          <w:tcPr>
            <w:tcW w:w="1265" w:type="dxa"/>
          </w:tcPr>
          <w:p w:rsidR="007C5447" w:rsidRDefault="007C5447">
            <w:pPr>
              <w:pStyle w:val="TableParagraph"/>
              <w:jc w:val="left"/>
              <w:rPr>
                <w:sz w:val="20"/>
              </w:rPr>
            </w:pPr>
          </w:p>
        </w:tc>
        <w:tc>
          <w:tcPr>
            <w:tcW w:w="1264" w:type="dxa"/>
          </w:tcPr>
          <w:p w:rsidR="007C5447" w:rsidRDefault="00F6308C">
            <w:pPr>
              <w:pStyle w:val="TableParagraph"/>
              <w:spacing w:before="70"/>
              <w:ind w:right="166"/>
              <w:rPr>
                <w:sz w:val="20"/>
              </w:rPr>
            </w:pPr>
            <w:r>
              <w:rPr>
                <w:w w:val="95"/>
                <w:sz w:val="20"/>
              </w:rPr>
              <w:t>93.00</w:t>
            </w:r>
          </w:p>
        </w:tc>
        <w:tc>
          <w:tcPr>
            <w:tcW w:w="1050" w:type="dxa"/>
          </w:tcPr>
          <w:p w:rsidR="007C5447" w:rsidRDefault="007C5447">
            <w:pPr>
              <w:pStyle w:val="TableParagraph"/>
              <w:jc w:val="left"/>
              <w:rPr>
                <w:sz w:val="20"/>
              </w:rPr>
            </w:pPr>
          </w:p>
        </w:tc>
        <w:tc>
          <w:tcPr>
            <w:tcW w:w="1088" w:type="dxa"/>
          </w:tcPr>
          <w:p w:rsidR="007C5447" w:rsidRDefault="00F6308C">
            <w:pPr>
              <w:pStyle w:val="TableParagraph"/>
              <w:spacing w:before="70"/>
              <w:ind w:right="163"/>
              <w:rPr>
                <w:sz w:val="20"/>
              </w:rPr>
            </w:pPr>
            <w:r>
              <w:rPr>
                <w:w w:val="95"/>
                <w:sz w:val="20"/>
              </w:rPr>
              <w:t>299.00</w:t>
            </w:r>
          </w:p>
        </w:tc>
        <w:tc>
          <w:tcPr>
            <w:tcW w:w="1091" w:type="dxa"/>
          </w:tcPr>
          <w:p w:rsidR="007C5447" w:rsidRDefault="00F6308C">
            <w:pPr>
              <w:pStyle w:val="TableParagraph"/>
              <w:spacing w:before="70"/>
              <w:ind w:right="164"/>
              <w:rPr>
                <w:sz w:val="20"/>
              </w:rPr>
            </w:pPr>
            <w:r>
              <w:rPr>
                <w:w w:val="95"/>
                <w:sz w:val="20"/>
              </w:rPr>
              <w:t>426.00</w:t>
            </w:r>
          </w:p>
        </w:tc>
        <w:tc>
          <w:tcPr>
            <w:tcW w:w="1148" w:type="dxa"/>
          </w:tcPr>
          <w:p w:rsidR="007C5447" w:rsidRDefault="00F6308C">
            <w:pPr>
              <w:pStyle w:val="TableParagraph"/>
              <w:spacing w:before="70"/>
              <w:ind w:right="160"/>
              <w:rPr>
                <w:sz w:val="20"/>
              </w:rPr>
            </w:pPr>
            <w:r>
              <w:rPr>
                <w:w w:val="95"/>
                <w:sz w:val="20"/>
              </w:rPr>
              <w:t>14.25</w:t>
            </w:r>
          </w:p>
        </w:tc>
        <w:tc>
          <w:tcPr>
            <w:tcW w:w="1432" w:type="dxa"/>
          </w:tcPr>
          <w:p w:rsidR="007C5447" w:rsidRDefault="00F6308C">
            <w:pPr>
              <w:pStyle w:val="TableParagraph"/>
              <w:spacing w:before="70"/>
              <w:ind w:right="158"/>
              <w:rPr>
                <w:sz w:val="20"/>
              </w:rPr>
            </w:pPr>
            <w:r>
              <w:rPr>
                <w:w w:val="99"/>
                <w:sz w:val="20"/>
              </w:rPr>
              <w:t>-</w:t>
            </w:r>
          </w:p>
        </w:tc>
        <w:tc>
          <w:tcPr>
            <w:tcW w:w="1417" w:type="dxa"/>
          </w:tcPr>
          <w:p w:rsidR="007C5447" w:rsidRDefault="00F6308C">
            <w:pPr>
              <w:pStyle w:val="TableParagraph"/>
              <w:spacing w:before="70"/>
              <w:ind w:right="160"/>
              <w:rPr>
                <w:sz w:val="20"/>
              </w:rPr>
            </w:pPr>
            <w:r>
              <w:rPr>
                <w:w w:val="95"/>
                <w:sz w:val="20"/>
              </w:rPr>
              <w:t>93.06</w:t>
            </w:r>
          </w:p>
        </w:tc>
        <w:tc>
          <w:tcPr>
            <w:tcW w:w="1347" w:type="dxa"/>
          </w:tcPr>
          <w:p w:rsidR="007C5447" w:rsidRDefault="007C5447">
            <w:pPr>
              <w:pStyle w:val="TableParagraph"/>
              <w:jc w:val="left"/>
              <w:rPr>
                <w:sz w:val="20"/>
              </w:rPr>
            </w:pPr>
          </w:p>
        </w:tc>
      </w:tr>
      <w:tr w:rsidR="007C5447">
        <w:trPr>
          <w:trHeight w:val="371"/>
        </w:trPr>
        <w:tc>
          <w:tcPr>
            <w:tcW w:w="2854" w:type="dxa"/>
            <w:tcBorders>
              <w:left w:val="single" w:sz="8" w:space="0" w:color="000000"/>
            </w:tcBorders>
          </w:tcPr>
          <w:p w:rsidR="007C5447" w:rsidRDefault="00F6308C">
            <w:pPr>
              <w:pStyle w:val="TableParagraph"/>
              <w:spacing w:before="70"/>
              <w:ind w:left="107"/>
              <w:jc w:val="left"/>
              <w:rPr>
                <w:sz w:val="20"/>
              </w:rPr>
            </w:pPr>
            <w:r>
              <w:rPr>
                <w:sz w:val="20"/>
              </w:rPr>
              <w:t>Madurai Power Corpn</w:t>
            </w:r>
          </w:p>
        </w:tc>
        <w:tc>
          <w:tcPr>
            <w:tcW w:w="1265" w:type="dxa"/>
          </w:tcPr>
          <w:p w:rsidR="007C5447" w:rsidRDefault="007C5447">
            <w:pPr>
              <w:pStyle w:val="TableParagraph"/>
              <w:jc w:val="left"/>
              <w:rPr>
                <w:sz w:val="20"/>
              </w:rPr>
            </w:pPr>
          </w:p>
        </w:tc>
        <w:tc>
          <w:tcPr>
            <w:tcW w:w="1264" w:type="dxa"/>
          </w:tcPr>
          <w:p w:rsidR="007C5447" w:rsidRDefault="00F6308C">
            <w:pPr>
              <w:pStyle w:val="TableParagraph"/>
              <w:spacing w:before="70"/>
              <w:ind w:right="166"/>
              <w:rPr>
                <w:sz w:val="20"/>
              </w:rPr>
            </w:pPr>
            <w:r>
              <w:rPr>
                <w:w w:val="95"/>
                <w:sz w:val="20"/>
              </w:rPr>
              <w:t>111.00</w:t>
            </w:r>
          </w:p>
        </w:tc>
        <w:tc>
          <w:tcPr>
            <w:tcW w:w="1050" w:type="dxa"/>
          </w:tcPr>
          <w:p w:rsidR="007C5447" w:rsidRDefault="007C5447">
            <w:pPr>
              <w:pStyle w:val="TableParagraph"/>
              <w:jc w:val="left"/>
              <w:rPr>
                <w:sz w:val="20"/>
              </w:rPr>
            </w:pPr>
          </w:p>
        </w:tc>
        <w:tc>
          <w:tcPr>
            <w:tcW w:w="1088" w:type="dxa"/>
          </w:tcPr>
          <w:p w:rsidR="007C5447" w:rsidRDefault="00F6308C">
            <w:pPr>
              <w:pStyle w:val="TableParagraph"/>
              <w:spacing w:before="70"/>
              <w:ind w:right="163"/>
              <w:rPr>
                <w:sz w:val="20"/>
              </w:rPr>
            </w:pPr>
            <w:r>
              <w:rPr>
                <w:w w:val="95"/>
                <w:sz w:val="20"/>
              </w:rPr>
              <w:t>345.06</w:t>
            </w:r>
          </w:p>
        </w:tc>
        <w:tc>
          <w:tcPr>
            <w:tcW w:w="1091" w:type="dxa"/>
          </w:tcPr>
          <w:p w:rsidR="007C5447" w:rsidRDefault="00F6308C">
            <w:pPr>
              <w:pStyle w:val="TableParagraph"/>
              <w:spacing w:before="70"/>
              <w:ind w:right="164"/>
              <w:rPr>
                <w:sz w:val="20"/>
              </w:rPr>
            </w:pPr>
            <w:r>
              <w:rPr>
                <w:w w:val="95"/>
                <w:sz w:val="20"/>
              </w:rPr>
              <w:t>481.00</w:t>
            </w:r>
          </w:p>
        </w:tc>
        <w:tc>
          <w:tcPr>
            <w:tcW w:w="1148" w:type="dxa"/>
          </w:tcPr>
          <w:p w:rsidR="007C5447" w:rsidRDefault="00F6308C">
            <w:pPr>
              <w:pStyle w:val="TableParagraph"/>
              <w:spacing w:before="70"/>
              <w:ind w:right="160"/>
              <w:rPr>
                <w:sz w:val="20"/>
              </w:rPr>
            </w:pPr>
            <w:r>
              <w:rPr>
                <w:w w:val="95"/>
                <w:sz w:val="20"/>
              </w:rPr>
              <w:t>13.94</w:t>
            </w:r>
          </w:p>
        </w:tc>
        <w:tc>
          <w:tcPr>
            <w:tcW w:w="1432" w:type="dxa"/>
          </w:tcPr>
          <w:p w:rsidR="007C5447" w:rsidRDefault="00F6308C">
            <w:pPr>
              <w:pStyle w:val="TableParagraph"/>
              <w:spacing w:before="70"/>
              <w:ind w:right="158"/>
              <w:rPr>
                <w:sz w:val="20"/>
              </w:rPr>
            </w:pPr>
            <w:r>
              <w:rPr>
                <w:w w:val="99"/>
                <w:sz w:val="20"/>
              </w:rPr>
              <w:t>-</w:t>
            </w:r>
          </w:p>
        </w:tc>
        <w:tc>
          <w:tcPr>
            <w:tcW w:w="1417" w:type="dxa"/>
          </w:tcPr>
          <w:p w:rsidR="007C5447" w:rsidRDefault="00F6308C">
            <w:pPr>
              <w:pStyle w:val="TableParagraph"/>
              <w:spacing w:before="70"/>
              <w:ind w:right="160"/>
              <w:rPr>
                <w:sz w:val="20"/>
              </w:rPr>
            </w:pPr>
            <w:r>
              <w:rPr>
                <w:w w:val="95"/>
                <w:sz w:val="20"/>
              </w:rPr>
              <w:t>110.55</w:t>
            </w: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PPN</w:t>
            </w:r>
          </w:p>
        </w:tc>
        <w:tc>
          <w:tcPr>
            <w:tcW w:w="1265" w:type="dxa"/>
          </w:tcPr>
          <w:p w:rsidR="007C5447" w:rsidRDefault="007C5447">
            <w:pPr>
              <w:pStyle w:val="TableParagraph"/>
              <w:jc w:val="left"/>
              <w:rPr>
                <w:sz w:val="20"/>
              </w:rPr>
            </w:pPr>
          </w:p>
        </w:tc>
        <w:tc>
          <w:tcPr>
            <w:tcW w:w="1264" w:type="dxa"/>
          </w:tcPr>
          <w:p w:rsidR="007C5447" w:rsidRDefault="00F6308C">
            <w:pPr>
              <w:pStyle w:val="TableParagraph"/>
              <w:spacing w:before="70"/>
              <w:ind w:right="166"/>
              <w:rPr>
                <w:sz w:val="20"/>
              </w:rPr>
            </w:pPr>
            <w:r>
              <w:rPr>
                <w:w w:val="95"/>
                <w:sz w:val="20"/>
              </w:rPr>
              <w:t>85.00</w:t>
            </w:r>
          </w:p>
        </w:tc>
        <w:tc>
          <w:tcPr>
            <w:tcW w:w="1050" w:type="dxa"/>
          </w:tcPr>
          <w:p w:rsidR="007C5447" w:rsidRDefault="007C5447">
            <w:pPr>
              <w:pStyle w:val="TableParagraph"/>
              <w:jc w:val="left"/>
              <w:rPr>
                <w:sz w:val="20"/>
              </w:rPr>
            </w:pPr>
          </w:p>
        </w:tc>
        <w:tc>
          <w:tcPr>
            <w:tcW w:w="1088" w:type="dxa"/>
          </w:tcPr>
          <w:p w:rsidR="007C5447" w:rsidRDefault="00F6308C">
            <w:pPr>
              <w:pStyle w:val="TableParagraph"/>
              <w:spacing w:before="70"/>
              <w:ind w:right="161"/>
              <w:rPr>
                <w:sz w:val="20"/>
              </w:rPr>
            </w:pPr>
            <w:r>
              <w:rPr>
                <w:w w:val="95"/>
                <w:sz w:val="20"/>
              </w:rPr>
              <w:t>1,427.00</w:t>
            </w:r>
          </w:p>
        </w:tc>
        <w:tc>
          <w:tcPr>
            <w:tcW w:w="1091" w:type="dxa"/>
          </w:tcPr>
          <w:p w:rsidR="007C5447" w:rsidRDefault="00F6308C">
            <w:pPr>
              <w:pStyle w:val="TableParagraph"/>
              <w:spacing w:before="70"/>
              <w:ind w:right="162"/>
              <w:rPr>
                <w:sz w:val="20"/>
              </w:rPr>
            </w:pPr>
            <w:r>
              <w:rPr>
                <w:w w:val="95"/>
                <w:sz w:val="20"/>
              </w:rPr>
              <w:t>1,974.00</w:t>
            </w:r>
          </w:p>
        </w:tc>
        <w:tc>
          <w:tcPr>
            <w:tcW w:w="1148" w:type="dxa"/>
          </w:tcPr>
          <w:p w:rsidR="007C5447" w:rsidRDefault="00F6308C">
            <w:pPr>
              <w:pStyle w:val="TableParagraph"/>
              <w:spacing w:before="70"/>
              <w:ind w:right="160"/>
              <w:rPr>
                <w:sz w:val="20"/>
              </w:rPr>
            </w:pPr>
            <w:r>
              <w:rPr>
                <w:w w:val="95"/>
                <w:sz w:val="20"/>
              </w:rPr>
              <w:t>13.83</w:t>
            </w:r>
          </w:p>
        </w:tc>
        <w:tc>
          <w:tcPr>
            <w:tcW w:w="1432" w:type="dxa"/>
          </w:tcPr>
          <w:p w:rsidR="007C5447" w:rsidRDefault="00F6308C">
            <w:pPr>
              <w:pStyle w:val="TableParagraph"/>
              <w:spacing w:before="70"/>
              <w:ind w:right="162"/>
              <w:rPr>
                <w:sz w:val="20"/>
              </w:rPr>
            </w:pPr>
            <w:r>
              <w:rPr>
                <w:w w:val="95"/>
                <w:sz w:val="20"/>
              </w:rPr>
              <w:t>162.92</w:t>
            </w:r>
          </w:p>
        </w:tc>
        <w:tc>
          <w:tcPr>
            <w:tcW w:w="1417" w:type="dxa"/>
          </w:tcPr>
          <w:p w:rsidR="007C5447" w:rsidRDefault="00F6308C">
            <w:pPr>
              <w:pStyle w:val="TableParagraph"/>
              <w:spacing w:before="70"/>
              <w:ind w:right="160"/>
              <w:rPr>
                <w:sz w:val="20"/>
              </w:rPr>
            </w:pPr>
            <w:r>
              <w:rPr>
                <w:w w:val="95"/>
                <w:sz w:val="20"/>
              </w:rPr>
              <w:t>224.64</w:t>
            </w:r>
          </w:p>
        </w:tc>
        <w:tc>
          <w:tcPr>
            <w:tcW w:w="1347" w:type="dxa"/>
          </w:tcPr>
          <w:p w:rsidR="007C5447" w:rsidRDefault="00F6308C">
            <w:pPr>
              <w:pStyle w:val="TableParagraph"/>
              <w:spacing w:before="70"/>
              <w:ind w:right="158"/>
              <w:rPr>
                <w:sz w:val="20"/>
              </w:rPr>
            </w:pPr>
            <w:r>
              <w:rPr>
                <w:sz w:val="20"/>
              </w:rPr>
              <w:t>13.79</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STCMS - Neyveli</w:t>
            </w:r>
          </w:p>
        </w:tc>
        <w:tc>
          <w:tcPr>
            <w:tcW w:w="1265" w:type="dxa"/>
          </w:tcPr>
          <w:p w:rsidR="007C5447" w:rsidRDefault="00F6308C">
            <w:pPr>
              <w:pStyle w:val="TableParagraph"/>
              <w:spacing w:before="70"/>
              <w:ind w:right="168"/>
              <w:rPr>
                <w:sz w:val="20"/>
              </w:rPr>
            </w:pPr>
            <w:r>
              <w:rPr>
                <w:w w:val="95"/>
                <w:sz w:val="20"/>
              </w:rPr>
              <w:t>1,721.11</w:t>
            </w:r>
          </w:p>
        </w:tc>
        <w:tc>
          <w:tcPr>
            <w:tcW w:w="1264" w:type="dxa"/>
          </w:tcPr>
          <w:p w:rsidR="007C5447" w:rsidRDefault="00F6308C">
            <w:pPr>
              <w:pStyle w:val="TableParagraph"/>
              <w:spacing w:before="70"/>
              <w:ind w:right="166"/>
              <w:rPr>
                <w:sz w:val="20"/>
              </w:rPr>
            </w:pPr>
            <w:r>
              <w:rPr>
                <w:w w:val="95"/>
                <w:sz w:val="20"/>
              </w:rPr>
              <w:t>758.25</w:t>
            </w:r>
          </w:p>
        </w:tc>
        <w:tc>
          <w:tcPr>
            <w:tcW w:w="1050" w:type="dxa"/>
          </w:tcPr>
          <w:p w:rsidR="007C5447" w:rsidRDefault="00F6308C">
            <w:pPr>
              <w:pStyle w:val="TableParagraph"/>
              <w:spacing w:before="70"/>
              <w:ind w:right="167"/>
              <w:rPr>
                <w:sz w:val="20"/>
              </w:rPr>
            </w:pPr>
            <w:r>
              <w:rPr>
                <w:sz w:val="20"/>
              </w:rPr>
              <w:t>4.41</w:t>
            </w:r>
          </w:p>
        </w:tc>
        <w:tc>
          <w:tcPr>
            <w:tcW w:w="1088" w:type="dxa"/>
          </w:tcPr>
          <w:p w:rsidR="007C5447" w:rsidRDefault="00F6308C">
            <w:pPr>
              <w:pStyle w:val="TableParagraph"/>
              <w:spacing w:before="70"/>
              <w:ind w:right="161"/>
              <w:rPr>
                <w:sz w:val="20"/>
              </w:rPr>
            </w:pPr>
            <w:r>
              <w:rPr>
                <w:w w:val="95"/>
                <w:sz w:val="20"/>
              </w:rPr>
              <w:t>1,721.11</w:t>
            </w:r>
          </w:p>
        </w:tc>
        <w:tc>
          <w:tcPr>
            <w:tcW w:w="1091" w:type="dxa"/>
          </w:tcPr>
          <w:p w:rsidR="007C5447" w:rsidRDefault="00F6308C">
            <w:pPr>
              <w:pStyle w:val="TableParagraph"/>
              <w:spacing w:before="70"/>
              <w:ind w:right="164"/>
              <w:rPr>
                <w:sz w:val="20"/>
              </w:rPr>
            </w:pPr>
            <w:r>
              <w:rPr>
                <w:w w:val="95"/>
                <w:sz w:val="20"/>
              </w:rPr>
              <w:t>835.00</w:t>
            </w:r>
          </w:p>
        </w:tc>
        <w:tc>
          <w:tcPr>
            <w:tcW w:w="1148" w:type="dxa"/>
          </w:tcPr>
          <w:p w:rsidR="007C5447" w:rsidRDefault="00F6308C">
            <w:pPr>
              <w:pStyle w:val="TableParagraph"/>
              <w:spacing w:before="70"/>
              <w:ind w:right="160"/>
              <w:rPr>
                <w:sz w:val="20"/>
              </w:rPr>
            </w:pPr>
            <w:r>
              <w:rPr>
                <w:sz w:val="20"/>
              </w:rPr>
              <w:t>4.85</w:t>
            </w:r>
          </w:p>
        </w:tc>
        <w:tc>
          <w:tcPr>
            <w:tcW w:w="1432" w:type="dxa"/>
          </w:tcPr>
          <w:p w:rsidR="007C5447" w:rsidRDefault="00F6308C">
            <w:pPr>
              <w:pStyle w:val="TableParagraph"/>
              <w:spacing w:before="70"/>
              <w:ind w:right="160"/>
              <w:rPr>
                <w:sz w:val="20"/>
              </w:rPr>
            </w:pPr>
            <w:r>
              <w:rPr>
                <w:w w:val="95"/>
                <w:sz w:val="20"/>
              </w:rPr>
              <w:t>1,721.11</w:t>
            </w:r>
          </w:p>
        </w:tc>
        <w:tc>
          <w:tcPr>
            <w:tcW w:w="1417" w:type="dxa"/>
          </w:tcPr>
          <w:p w:rsidR="007C5447" w:rsidRDefault="00F6308C">
            <w:pPr>
              <w:pStyle w:val="TableParagraph"/>
              <w:spacing w:before="70"/>
              <w:ind w:right="160"/>
              <w:rPr>
                <w:sz w:val="20"/>
              </w:rPr>
            </w:pPr>
            <w:r>
              <w:rPr>
                <w:w w:val="95"/>
                <w:sz w:val="20"/>
              </w:rPr>
              <w:t>835.00</w:t>
            </w:r>
          </w:p>
        </w:tc>
        <w:tc>
          <w:tcPr>
            <w:tcW w:w="1347" w:type="dxa"/>
          </w:tcPr>
          <w:p w:rsidR="007C5447" w:rsidRDefault="00F6308C">
            <w:pPr>
              <w:pStyle w:val="TableParagraph"/>
              <w:spacing w:before="70"/>
              <w:ind w:right="158"/>
              <w:rPr>
                <w:sz w:val="20"/>
              </w:rPr>
            </w:pPr>
            <w:r>
              <w:rPr>
                <w:sz w:val="20"/>
              </w:rPr>
              <w:t>4.85</w:t>
            </w:r>
          </w:p>
        </w:tc>
      </w:tr>
      <w:tr w:rsidR="007C5447">
        <w:trPr>
          <w:trHeight w:val="371"/>
        </w:trPr>
        <w:tc>
          <w:tcPr>
            <w:tcW w:w="2854" w:type="dxa"/>
            <w:tcBorders>
              <w:left w:val="single" w:sz="8" w:space="0" w:color="000000"/>
            </w:tcBorders>
          </w:tcPr>
          <w:p w:rsidR="007C5447" w:rsidRDefault="00F6308C">
            <w:pPr>
              <w:pStyle w:val="TableParagraph"/>
              <w:spacing w:before="70"/>
              <w:ind w:left="107"/>
              <w:jc w:val="left"/>
              <w:rPr>
                <w:sz w:val="20"/>
              </w:rPr>
            </w:pPr>
            <w:r>
              <w:rPr>
                <w:sz w:val="20"/>
              </w:rPr>
              <w:t>LANCO Power (Aban co)</w:t>
            </w:r>
          </w:p>
        </w:tc>
        <w:tc>
          <w:tcPr>
            <w:tcW w:w="1265" w:type="dxa"/>
          </w:tcPr>
          <w:p w:rsidR="007C5447" w:rsidRDefault="00F6308C">
            <w:pPr>
              <w:pStyle w:val="TableParagraph"/>
              <w:spacing w:before="70"/>
              <w:ind w:right="170"/>
              <w:rPr>
                <w:sz w:val="20"/>
              </w:rPr>
            </w:pPr>
            <w:r>
              <w:rPr>
                <w:w w:val="95"/>
                <w:sz w:val="20"/>
              </w:rPr>
              <w:t>696.23</w:t>
            </w:r>
          </w:p>
        </w:tc>
        <w:tc>
          <w:tcPr>
            <w:tcW w:w="1264" w:type="dxa"/>
          </w:tcPr>
          <w:p w:rsidR="007C5447" w:rsidRDefault="00F6308C">
            <w:pPr>
              <w:pStyle w:val="TableParagraph"/>
              <w:spacing w:before="70"/>
              <w:ind w:right="166"/>
              <w:rPr>
                <w:sz w:val="20"/>
              </w:rPr>
            </w:pPr>
            <w:r>
              <w:rPr>
                <w:w w:val="95"/>
                <w:sz w:val="20"/>
              </w:rPr>
              <w:t>246.37</w:t>
            </w:r>
          </w:p>
        </w:tc>
        <w:tc>
          <w:tcPr>
            <w:tcW w:w="1050" w:type="dxa"/>
          </w:tcPr>
          <w:p w:rsidR="007C5447" w:rsidRDefault="00F6308C">
            <w:pPr>
              <w:pStyle w:val="TableParagraph"/>
              <w:spacing w:before="70"/>
              <w:ind w:right="167"/>
              <w:rPr>
                <w:sz w:val="20"/>
              </w:rPr>
            </w:pPr>
            <w:r>
              <w:rPr>
                <w:sz w:val="20"/>
              </w:rPr>
              <w:t>3.54</w:t>
            </w:r>
          </w:p>
        </w:tc>
        <w:tc>
          <w:tcPr>
            <w:tcW w:w="1088" w:type="dxa"/>
          </w:tcPr>
          <w:p w:rsidR="007C5447" w:rsidRDefault="00F6308C">
            <w:pPr>
              <w:pStyle w:val="TableParagraph"/>
              <w:spacing w:before="70"/>
              <w:ind w:right="163"/>
              <w:rPr>
                <w:sz w:val="20"/>
              </w:rPr>
            </w:pPr>
            <w:r>
              <w:rPr>
                <w:w w:val="95"/>
                <w:sz w:val="20"/>
              </w:rPr>
              <w:t>699.00</w:t>
            </w:r>
          </w:p>
        </w:tc>
        <w:tc>
          <w:tcPr>
            <w:tcW w:w="1091" w:type="dxa"/>
          </w:tcPr>
          <w:p w:rsidR="007C5447" w:rsidRDefault="00F6308C">
            <w:pPr>
              <w:pStyle w:val="TableParagraph"/>
              <w:spacing w:before="70"/>
              <w:ind w:right="164"/>
              <w:rPr>
                <w:sz w:val="20"/>
              </w:rPr>
            </w:pPr>
            <w:r>
              <w:rPr>
                <w:w w:val="95"/>
                <w:sz w:val="20"/>
              </w:rPr>
              <w:t>246.37</w:t>
            </w:r>
          </w:p>
        </w:tc>
        <w:tc>
          <w:tcPr>
            <w:tcW w:w="1148" w:type="dxa"/>
          </w:tcPr>
          <w:p w:rsidR="007C5447" w:rsidRDefault="00F6308C">
            <w:pPr>
              <w:pStyle w:val="TableParagraph"/>
              <w:spacing w:before="70"/>
              <w:ind w:right="160"/>
              <w:rPr>
                <w:sz w:val="20"/>
              </w:rPr>
            </w:pPr>
            <w:r>
              <w:rPr>
                <w:sz w:val="20"/>
              </w:rPr>
              <w:t>3.52</w:t>
            </w:r>
          </w:p>
        </w:tc>
        <w:tc>
          <w:tcPr>
            <w:tcW w:w="1432" w:type="dxa"/>
          </w:tcPr>
          <w:p w:rsidR="007C5447" w:rsidRDefault="00F6308C">
            <w:pPr>
              <w:pStyle w:val="TableParagraph"/>
              <w:spacing w:before="70"/>
              <w:ind w:right="162"/>
              <w:rPr>
                <w:sz w:val="20"/>
              </w:rPr>
            </w:pPr>
            <w:r>
              <w:rPr>
                <w:w w:val="95"/>
                <w:sz w:val="20"/>
              </w:rPr>
              <w:t>699.00</w:t>
            </w:r>
          </w:p>
        </w:tc>
        <w:tc>
          <w:tcPr>
            <w:tcW w:w="1417" w:type="dxa"/>
          </w:tcPr>
          <w:p w:rsidR="007C5447" w:rsidRDefault="00F6308C">
            <w:pPr>
              <w:pStyle w:val="TableParagraph"/>
              <w:spacing w:before="70"/>
              <w:ind w:right="160"/>
              <w:rPr>
                <w:sz w:val="20"/>
              </w:rPr>
            </w:pPr>
            <w:r>
              <w:rPr>
                <w:w w:val="95"/>
                <w:sz w:val="20"/>
              </w:rPr>
              <w:t>246.37</w:t>
            </w:r>
          </w:p>
        </w:tc>
        <w:tc>
          <w:tcPr>
            <w:tcW w:w="1347" w:type="dxa"/>
          </w:tcPr>
          <w:p w:rsidR="007C5447" w:rsidRDefault="00F6308C">
            <w:pPr>
              <w:pStyle w:val="TableParagraph"/>
              <w:spacing w:before="70"/>
              <w:ind w:right="158"/>
              <w:rPr>
                <w:sz w:val="20"/>
              </w:rPr>
            </w:pPr>
            <w:r>
              <w:rPr>
                <w:sz w:val="20"/>
              </w:rPr>
              <w:t>3.52</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Penna</w:t>
            </w:r>
          </w:p>
        </w:tc>
        <w:tc>
          <w:tcPr>
            <w:tcW w:w="1265" w:type="dxa"/>
          </w:tcPr>
          <w:p w:rsidR="007C5447" w:rsidRDefault="00F6308C">
            <w:pPr>
              <w:pStyle w:val="TableParagraph"/>
              <w:spacing w:before="70"/>
              <w:ind w:right="170"/>
              <w:rPr>
                <w:sz w:val="20"/>
              </w:rPr>
            </w:pPr>
            <w:r>
              <w:rPr>
                <w:w w:val="95"/>
                <w:sz w:val="20"/>
              </w:rPr>
              <w:t>363.67</w:t>
            </w:r>
          </w:p>
        </w:tc>
        <w:tc>
          <w:tcPr>
            <w:tcW w:w="1264" w:type="dxa"/>
          </w:tcPr>
          <w:p w:rsidR="007C5447" w:rsidRDefault="00F6308C">
            <w:pPr>
              <w:pStyle w:val="TableParagraph"/>
              <w:spacing w:before="70"/>
              <w:ind w:right="166"/>
              <w:rPr>
                <w:sz w:val="20"/>
              </w:rPr>
            </w:pPr>
            <w:r>
              <w:rPr>
                <w:w w:val="95"/>
                <w:sz w:val="20"/>
              </w:rPr>
              <w:t>130.15</w:t>
            </w:r>
          </w:p>
        </w:tc>
        <w:tc>
          <w:tcPr>
            <w:tcW w:w="1050" w:type="dxa"/>
          </w:tcPr>
          <w:p w:rsidR="007C5447" w:rsidRDefault="00F6308C">
            <w:pPr>
              <w:pStyle w:val="TableParagraph"/>
              <w:spacing w:before="70"/>
              <w:ind w:right="167"/>
              <w:rPr>
                <w:sz w:val="20"/>
              </w:rPr>
            </w:pPr>
            <w:r>
              <w:rPr>
                <w:sz w:val="20"/>
              </w:rPr>
              <w:t>3.58</w:t>
            </w:r>
          </w:p>
        </w:tc>
        <w:tc>
          <w:tcPr>
            <w:tcW w:w="1088" w:type="dxa"/>
          </w:tcPr>
          <w:p w:rsidR="007C5447" w:rsidRDefault="00F6308C">
            <w:pPr>
              <w:pStyle w:val="TableParagraph"/>
              <w:spacing w:before="70"/>
              <w:ind w:right="163"/>
              <w:rPr>
                <w:sz w:val="20"/>
              </w:rPr>
            </w:pPr>
            <w:r>
              <w:rPr>
                <w:w w:val="95"/>
                <w:sz w:val="20"/>
              </w:rPr>
              <w:t>363.67</w:t>
            </w:r>
          </w:p>
        </w:tc>
        <w:tc>
          <w:tcPr>
            <w:tcW w:w="1091" w:type="dxa"/>
          </w:tcPr>
          <w:p w:rsidR="007C5447" w:rsidRDefault="00F6308C">
            <w:pPr>
              <w:pStyle w:val="TableParagraph"/>
              <w:spacing w:before="70"/>
              <w:ind w:right="164"/>
              <w:rPr>
                <w:sz w:val="20"/>
              </w:rPr>
            </w:pPr>
            <w:r>
              <w:rPr>
                <w:w w:val="95"/>
                <w:sz w:val="20"/>
              </w:rPr>
              <w:t>137.00</w:t>
            </w:r>
          </w:p>
        </w:tc>
        <w:tc>
          <w:tcPr>
            <w:tcW w:w="1148" w:type="dxa"/>
          </w:tcPr>
          <w:p w:rsidR="007C5447" w:rsidRDefault="00F6308C">
            <w:pPr>
              <w:pStyle w:val="TableParagraph"/>
              <w:spacing w:before="70"/>
              <w:ind w:right="160"/>
              <w:rPr>
                <w:sz w:val="20"/>
              </w:rPr>
            </w:pPr>
            <w:r>
              <w:rPr>
                <w:sz w:val="20"/>
              </w:rPr>
              <w:t>3.77</w:t>
            </w:r>
          </w:p>
        </w:tc>
        <w:tc>
          <w:tcPr>
            <w:tcW w:w="1432" w:type="dxa"/>
          </w:tcPr>
          <w:p w:rsidR="007C5447" w:rsidRDefault="00F6308C">
            <w:pPr>
              <w:pStyle w:val="TableParagraph"/>
              <w:spacing w:before="70"/>
              <w:ind w:right="162"/>
              <w:rPr>
                <w:sz w:val="20"/>
              </w:rPr>
            </w:pPr>
            <w:r>
              <w:rPr>
                <w:w w:val="95"/>
                <w:sz w:val="20"/>
              </w:rPr>
              <w:t>363.67</w:t>
            </w:r>
          </w:p>
        </w:tc>
        <w:tc>
          <w:tcPr>
            <w:tcW w:w="1417" w:type="dxa"/>
          </w:tcPr>
          <w:p w:rsidR="007C5447" w:rsidRDefault="00F6308C">
            <w:pPr>
              <w:pStyle w:val="TableParagraph"/>
              <w:spacing w:before="70"/>
              <w:ind w:right="159"/>
              <w:rPr>
                <w:sz w:val="20"/>
              </w:rPr>
            </w:pPr>
            <w:r>
              <w:rPr>
                <w:w w:val="95"/>
                <w:sz w:val="20"/>
              </w:rPr>
              <w:t>137.00</w:t>
            </w:r>
          </w:p>
        </w:tc>
        <w:tc>
          <w:tcPr>
            <w:tcW w:w="1347" w:type="dxa"/>
          </w:tcPr>
          <w:p w:rsidR="007C5447" w:rsidRDefault="00F6308C">
            <w:pPr>
              <w:pStyle w:val="TableParagraph"/>
              <w:spacing w:before="70"/>
              <w:ind w:right="158"/>
              <w:rPr>
                <w:sz w:val="20"/>
              </w:rPr>
            </w:pPr>
            <w:r>
              <w:rPr>
                <w:sz w:val="20"/>
              </w:rPr>
              <w:t>3.77</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b/>
                <w:sz w:val="20"/>
              </w:rPr>
            </w:pPr>
            <w:r>
              <w:rPr>
                <w:b/>
                <w:sz w:val="20"/>
              </w:rPr>
              <w:t>Total IPP</w:t>
            </w:r>
          </w:p>
        </w:tc>
        <w:tc>
          <w:tcPr>
            <w:tcW w:w="1265" w:type="dxa"/>
          </w:tcPr>
          <w:p w:rsidR="007C5447" w:rsidRDefault="00F6308C">
            <w:pPr>
              <w:pStyle w:val="TableParagraph"/>
              <w:spacing w:before="70"/>
              <w:ind w:right="168"/>
              <w:rPr>
                <w:b/>
                <w:sz w:val="20"/>
              </w:rPr>
            </w:pPr>
            <w:r>
              <w:rPr>
                <w:b/>
                <w:w w:val="95"/>
                <w:sz w:val="20"/>
              </w:rPr>
              <w:t>2,781.01</w:t>
            </w:r>
          </w:p>
        </w:tc>
        <w:tc>
          <w:tcPr>
            <w:tcW w:w="1264" w:type="dxa"/>
          </w:tcPr>
          <w:p w:rsidR="007C5447" w:rsidRDefault="00F6308C">
            <w:pPr>
              <w:pStyle w:val="TableParagraph"/>
              <w:spacing w:before="70"/>
              <w:ind w:right="164"/>
              <w:rPr>
                <w:b/>
                <w:sz w:val="20"/>
              </w:rPr>
            </w:pPr>
            <w:r>
              <w:rPr>
                <w:b/>
                <w:w w:val="95"/>
                <w:sz w:val="20"/>
              </w:rPr>
              <w:t>1,577.77</w:t>
            </w:r>
          </w:p>
        </w:tc>
        <w:tc>
          <w:tcPr>
            <w:tcW w:w="1050" w:type="dxa"/>
          </w:tcPr>
          <w:p w:rsidR="007C5447" w:rsidRDefault="00F6308C">
            <w:pPr>
              <w:pStyle w:val="TableParagraph"/>
              <w:spacing w:before="70"/>
              <w:ind w:right="167"/>
              <w:rPr>
                <w:b/>
                <w:sz w:val="20"/>
              </w:rPr>
            </w:pPr>
            <w:r>
              <w:rPr>
                <w:b/>
                <w:sz w:val="20"/>
              </w:rPr>
              <w:t>5.67</w:t>
            </w:r>
          </w:p>
        </w:tc>
        <w:tc>
          <w:tcPr>
            <w:tcW w:w="1088" w:type="dxa"/>
          </w:tcPr>
          <w:p w:rsidR="007C5447" w:rsidRDefault="00F6308C">
            <w:pPr>
              <w:pStyle w:val="TableParagraph"/>
              <w:spacing w:before="70"/>
              <w:ind w:right="161"/>
              <w:rPr>
                <w:b/>
                <w:sz w:val="20"/>
              </w:rPr>
            </w:pPr>
            <w:r>
              <w:rPr>
                <w:b/>
                <w:w w:val="95"/>
                <w:sz w:val="20"/>
              </w:rPr>
              <w:t>5,658.84</w:t>
            </w:r>
          </w:p>
        </w:tc>
        <w:tc>
          <w:tcPr>
            <w:tcW w:w="1091" w:type="dxa"/>
          </w:tcPr>
          <w:p w:rsidR="007C5447" w:rsidRDefault="00F6308C">
            <w:pPr>
              <w:pStyle w:val="TableParagraph"/>
              <w:spacing w:before="70"/>
              <w:ind w:right="162"/>
              <w:rPr>
                <w:b/>
                <w:sz w:val="20"/>
              </w:rPr>
            </w:pPr>
            <w:r>
              <w:rPr>
                <w:b/>
                <w:w w:val="95"/>
                <w:sz w:val="20"/>
              </w:rPr>
              <w:t>5,123.37</w:t>
            </w:r>
          </w:p>
        </w:tc>
        <w:tc>
          <w:tcPr>
            <w:tcW w:w="1148" w:type="dxa"/>
          </w:tcPr>
          <w:p w:rsidR="007C5447" w:rsidRDefault="00F6308C">
            <w:pPr>
              <w:pStyle w:val="TableParagraph"/>
              <w:spacing w:before="70"/>
              <w:ind w:right="160"/>
              <w:rPr>
                <w:b/>
                <w:sz w:val="20"/>
              </w:rPr>
            </w:pPr>
            <w:r>
              <w:rPr>
                <w:b/>
                <w:sz w:val="20"/>
              </w:rPr>
              <w:t>9.05</w:t>
            </w:r>
          </w:p>
        </w:tc>
        <w:tc>
          <w:tcPr>
            <w:tcW w:w="1432" w:type="dxa"/>
          </w:tcPr>
          <w:p w:rsidR="007C5447" w:rsidRDefault="00F6308C">
            <w:pPr>
              <w:pStyle w:val="TableParagraph"/>
              <w:spacing w:before="70"/>
              <w:ind w:right="160"/>
              <w:rPr>
                <w:b/>
                <w:sz w:val="20"/>
              </w:rPr>
            </w:pPr>
            <w:r>
              <w:rPr>
                <w:b/>
                <w:w w:val="95"/>
                <w:sz w:val="20"/>
              </w:rPr>
              <w:t>2,946.70</w:t>
            </w:r>
          </w:p>
        </w:tc>
        <w:tc>
          <w:tcPr>
            <w:tcW w:w="1417" w:type="dxa"/>
          </w:tcPr>
          <w:p w:rsidR="007C5447" w:rsidRDefault="00F6308C">
            <w:pPr>
              <w:pStyle w:val="TableParagraph"/>
              <w:spacing w:before="70"/>
              <w:ind w:right="158"/>
              <w:rPr>
                <w:b/>
                <w:sz w:val="20"/>
              </w:rPr>
            </w:pPr>
            <w:r>
              <w:rPr>
                <w:b/>
                <w:w w:val="95"/>
                <w:sz w:val="20"/>
              </w:rPr>
              <w:t>1,800.66</w:t>
            </w:r>
          </w:p>
        </w:tc>
        <w:tc>
          <w:tcPr>
            <w:tcW w:w="1347" w:type="dxa"/>
          </w:tcPr>
          <w:p w:rsidR="007C5447" w:rsidRDefault="00F6308C">
            <w:pPr>
              <w:pStyle w:val="TableParagraph"/>
              <w:spacing w:before="70"/>
              <w:ind w:right="156"/>
              <w:rPr>
                <w:b/>
                <w:sz w:val="20"/>
              </w:rPr>
            </w:pPr>
            <w:r>
              <w:rPr>
                <w:b/>
                <w:sz w:val="20"/>
              </w:rPr>
              <w:t>6.11</w:t>
            </w:r>
          </w:p>
        </w:tc>
      </w:tr>
      <w:tr w:rsidR="007C5447">
        <w:trPr>
          <w:trHeight w:val="371"/>
        </w:trPr>
        <w:tc>
          <w:tcPr>
            <w:tcW w:w="2854" w:type="dxa"/>
            <w:tcBorders>
              <w:left w:val="single" w:sz="8" w:space="0" w:color="000000"/>
            </w:tcBorders>
          </w:tcPr>
          <w:p w:rsidR="007C5447" w:rsidRDefault="00F6308C">
            <w:pPr>
              <w:pStyle w:val="TableParagraph"/>
              <w:spacing w:before="70"/>
              <w:ind w:left="107"/>
              <w:jc w:val="left"/>
              <w:rPr>
                <w:b/>
                <w:sz w:val="20"/>
              </w:rPr>
            </w:pPr>
            <w:r>
              <w:rPr>
                <w:b/>
                <w:sz w:val="20"/>
              </w:rPr>
              <w:t>Renewables</w:t>
            </w:r>
          </w:p>
        </w:tc>
        <w:tc>
          <w:tcPr>
            <w:tcW w:w="1265" w:type="dxa"/>
          </w:tcPr>
          <w:p w:rsidR="007C5447" w:rsidRDefault="007C5447">
            <w:pPr>
              <w:pStyle w:val="TableParagraph"/>
              <w:jc w:val="left"/>
              <w:rPr>
                <w:sz w:val="20"/>
              </w:rPr>
            </w:pPr>
          </w:p>
        </w:tc>
        <w:tc>
          <w:tcPr>
            <w:tcW w:w="1264" w:type="dxa"/>
          </w:tcPr>
          <w:p w:rsidR="007C5447" w:rsidRDefault="007C5447">
            <w:pPr>
              <w:pStyle w:val="TableParagraph"/>
              <w:jc w:val="left"/>
              <w:rPr>
                <w:sz w:val="20"/>
              </w:rPr>
            </w:pPr>
          </w:p>
        </w:tc>
        <w:tc>
          <w:tcPr>
            <w:tcW w:w="1050" w:type="dxa"/>
          </w:tcPr>
          <w:p w:rsidR="007C5447" w:rsidRDefault="007C5447">
            <w:pPr>
              <w:pStyle w:val="TableParagraph"/>
              <w:jc w:val="left"/>
              <w:rPr>
                <w:sz w:val="20"/>
              </w:rPr>
            </w:pP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7C5447">
            <w:pPr>
              <w:pStyle w:val="TableParagraph"/>
              <w:jc w:val="left"/>
              <w:rPr>
                <w:sz w:val="20"/>
              </w:rPr>
            </w:pPr>
          </w:p>
        </w:tc>
        <w:tc>
          <w:tcPr>
            <w:tcW w:w="1417" w:type="dxa"/>
          </w:tcPr>
          <w:p w:rsidR="007C5447" w:rsidRDefault="007C5447">
            <w:pPr>
              <w:pStyle w:val="TableParagraph"/>
              <w:jc w:val="left"/>
              <w:rPr>
                <w:sz w:val="20"/>
              </w:rPr>
            </w:pP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Wind</w:t>
            </w:r>
          </w:p>
        </w:tc>
        <w:tc>
          <w:tcPr>
            <w:tcW w:w="1265" w:type="dxa"/>
          </w:tcPr>
          <w:p w:rsidR="007C5447" w:rsidRDefault="00F6308C">
            <w:pPr>
              <w:pStyle w:val="TableParagraph"/>
              <w:spacing w:before="70"/>
              <w:ind w:right="168"/>
              <w:rPr>
                <w:sz w:val="20"/>
              </w:rPr>
            </w:pPr>
            <w:r>
              <w:rPr>
                <w:w w:val="95"/>
                <w:sz w:val="20"/>
              </w:rPr>
              <w:t>5,109.54</w:t>
            </w:r>
          </w:p>
        </w:tc>
        <w:tc>
          <w:tcPr>
            <w:tcW w:w="1264" w:type="dxa"/>
          </w:tcPr>
          <w:p w:rsidR="007C5447" w:rsidRDefault="00F6308C">
            <w:pPr>
              <w:pStyle w:val="TableParagraph"/>
              <w:spacing w:before="70"/>
              <w:ind w:right="164"/>
              <w:rPr>
                <w:sz w:val="20"/>
              </w:rPr>
            </w:pPr>
            <w:r>
              <w:rPr>
                <w:w w:val="95"/>
                <w:sz w:val="20"/>
              </w:rPr>
              <w:t>1,466.44</w:t>
            </w:r>
          </w:p>
        </w:tc>
        <w:tc>
          <w:tcPr>
            <w:tcW w:w="1050" w:type="dxa"/>
          </w:tcPr>
          <w:p w:rsidR="007C5447" w:rsidRDefault="00F6308C">
            <w:pPr>
              <w:pStyle w:val="TableParagraph"/>
              <w:spacing w:before="70"/>
              <w:ind w:right="167"/>
              <w:rPr>
                <w:sz w:val="20"/>
              </w:rPr>
            </w:pPr>
            <w:r>
              <w:rPr>
                <w:sz w:val="20"/>
              </w:rPr>
              <w:t>2.87</w:t>
            </w:r>
          </w:p>
        </w:tc>
        <w:tc>
          <w:tcPr>
            <w:tcW w:w="1088" w:type="dxa"/>
          </w:tcPr>
          <w:p w:rsidR="007C5447" w:rsidRDefault="00F6308C">
            <w:pPr>
              <w:pStyle w:val="TableParagraph"/>
              <w:spacing w:before="70"/>
              <w:ind w:right="161"/>
              <w:rPr>
                <w:sz w:val="20"/>
              </w:rPr>
            </w:pPr>
            <w:r>
              <w:rPr>
                <w:w w:val="95"/>
                <w:sz w:val="20"/>
              </w:rPr>
              <w:t>5,110.00</w:t>
            </w:r>
          </w:p>
        </w:tc>
        <w:tc>
          <w:tcPr>
            <w:tcW w:w="1091" w:type="dxa"/>
          </w:tcPr>
          <w:p w:rsidR="007C5447" w:rsidRDefault="00F6308C">
            <w:pPr>
              <w:pStyle w:val="TableParagraph"/>
              <w:spacing w:before="70"/>
              <w:ind w:right="162"/>
              <w:rPr>
                <w:sz w:val="20"/>
              </w:rPr>
            </w:pPr>
            <w:r>
              <w:rPr>
                <w:w w:val="95"/>
                <w:sz w:val="20"/>
              </w:rPr>
              <w:t>1,310.00</w:t>
            </w:r>
          </w:p>
        </w:tc>
        <w:tc>
          <w:tcPr>
            <w:tcW w:w="1148" w:type="dxa"/>
          </w:tcPr>
          <w:p w:rsidR="007C5447" w:rsidRDefault="00F6308C">
            <w:pPr>
              <w:pStyle w:val="TableParagraph"/>
              <w:spacing w:before="70"/>
              <w:ind w:right="160"/>
              <w:rPr>
                <w:sz w:val="20"/>
              </w:rPr>
            </w:pPr>
            <w:r>
              <w:rPr>
                <w:sz w:val="20"/>
              </w:rPr>
              <w:t>2.56</w:t>
            </w:r>
          </w:p>
        </w:tc>
        <w:tc>
          <w:tcPr>
            <w:tcW w:w="1432" w:type="dxa"/>
          </w:tcPr>
          <w:p w:rsidR="007C5447" w:rsidRDefault="00F6308C">
            <w:pPr>
              <w:pStyle w:val="TableParagraph"/>
              <w:spacing w:before="70"/>
              <w:ind w:right="160"/>
              <w:rPr>
                <w:sz w:val="20"/>
              </w:rPr>
            </w:pPr>
            <w:r>
              <w:rPr>
                <w:w w:val="95"/>
                <w:sz w:val="20"/>
              </w:rPr>
              <w:t>5,110.00</w:t>
            </w:r>
          </w:p>
        </w:tc>
        <w:tc>
          <w:tcPr>
            <w:tcW w:w="1417" w:type="dxa"/>
          </w:tcPr>
          <w:p w:rsidR="007C5447" w:rsidRDefault="00F6308C">
            <w:pPr>
              <w:pStyle w:val="TableParagraph"/>
              <w:spacing w:before="70"/>
              <w:ind w:right="158"/>
              <w:rPr>
                <w:sz w:val="20"/>
              </w:rPr>
            </w:pPr>
            <w:r>
              <w:rPr>
                <w:w w:val="95"/>
                <w:sz w:val="20"/>
              </w:rPr>
              <w:t>1,310.00</w:t>
            </w:r>
          </w:p>
        </w:tc>
        <w:tc>
          <w:tcPr>
            <w:tcW w:w="1347" w:type="dxa"/>
          </w:tcPr>
          <w:p w:rsidR="007C5447" w:rsidRDefault="00F6308C">
            <w:pPr>
              <w:pStyle w:val="TableParagraph"/>
              <w:spacing w:before="70"/>
              <w:ind w:right="158"/>
              <w:rPr>
                <w:sz w:val="20"/>
              </w:rPr>
            </w:pPr>
            <w:r>
              <w:rPr>
                <w:sz w:val="20"/>
              </w:rPr>
              <w:t>2.56</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Biomass</w:t>
            </w:r>
          </w:p>
        </w:tc>
        <w:tc>
          <w:tcPr>
            <w:tcW w:w="1265" w:type="dxa"/>
          </w:tcPr>
          <w:p w:rsidR="007C5447" w:rsidRDefault="00F6308C">
            <w:pPr>
              <w:pStyle w:val="TableParagraph"/>
              <w:spacing w:before="70"/>
              <w:ind w:right="170"/>
              <w:rPr>
                <w:sz w:val="20"/>
              </w:rPr>
            </w:pPr>
            <w:r>
              <w:rPr>
                <w:sz w:val="20"/>
              </w:rPr>
              <w:t>6.45</w:t>
            </w:r>
          </w:p>
        </w:tc>
        <w:tc>
          <w:tcPr>
            <w:tcW w:w="1264" w:type="dxa"/>
          </w:tcPr>
          <w:p w:rsidR="007C5447" w:rsidRDefault="00F6308C">
            <w:pPr>
              <w:pStyle w:val="TableParagraph"/>
              <w:spacing w:before="70"/>
              <w:ind w:right="166"/>
              <w:rPr>
                <w:sz w:val="20"/>
              </w:rPr>
            </w:pPr>
            <w:r>
              <w:rPr>
                <w:sz w:val="20"/>
              </w:rPr>
              <w:t>1.03</w:t>
            </w:r>
          </w:p>
        </w:tc>
        <w:tc>
          <w:tcPr>
            <w:tcW w:w="1050" w:type="dxa"/>
          </w:tcPr>
          <w:p w:rsidR="007C5447" w:rsidRDefault="00F6308C">
            <w:pPr>
              <w:pStyle w:val="TableParagraph"/>
              <w:spacing w:before="70"/>
              <w:ind w:right="167"/>
              <w:rPr>
                <w:sz w:val="20"/>
              </w:rPr>
            </w:pPr>
            <w:r>
              <w:rPr>
                <w:sz w:val="20"/>
              </w:rPr>
              <w:t>1.60</w:t>
            </w:r>
          </w:p>
        </w:tc>
        <w:tc>
          <w:tcPr>
            <w:tcW w:w="1088" w:type="dxa"/>
          </w:tcPr>
          <w:p w:rsidR="007C5447" w:rsidRDefault="00F6308C">
            <w:pPr>
              <w:pStyle w:val="TableParagraph"/>
              <w:spacing w:before="70"/>
              <w:ind w:right="164"/>
              <w:rPr>
                <w:sz w:val="20"/>
              </w:rPr>
            </w:pPr>
            <w:r>
              <w:rPr>
                <w:w w:val="95"/>
                <w:sz w:val="20"/>
              </w:rPr>
              <w:t>20.00</w:t>
            </w:r>
          </w:p>
        </w:tc>
        <w:tc>
          <w:tcPr>
            <w:tcW w:w="1091" w:type="dxa"/>
          </w:tcPr>
          <w:p w:rsidR="007C5447" w:rsidRDefault="00F6308C">
            <w:pPr>
              <w:pStyle w:val="TableParagraph"/>
              <w:spacing w:before="70"/>
              <w:ind w:right="164"/>
              <w:rPr>
                <w:sz w:val="20"/>
              </w:rPr>
            </w:pPr>
            <w:r>
              <w:rPr>
                <w:sz w:val="20"/>
              </w:rPr>
              <w:t>7.00</w:t>
            </w:r>
          </w:p>
        </w:tc>
        <w:tc>
          <w:tcPr>
            <w:tcW w:w="1148" w:type="dxa"/>
          </w:tcPr>
          <w:p w:rsidR="007C5447" w:rsidRDefault="00F6308C">
            <w:pPr>
              <w:pStyle w:val="TableParagraph"/>
              <w:spacing w:before="70"/>
              <w:ind w:right="160"/>
              <w:rPr>
                <w:sz w:val="20"/>
              </w:rPr>
            </w:pPr>
            <w:r>
              <w:rPr>
                <w:sz w:val="20"/>
              </w:rPr>
              <w:t>3.50</w:t>
            </w:r>
          </w:p>
        </w:tc>
        <w:tc>
          <w:tcPr>
            <w:tcW w:w="1432" w:type="dxa"/>
          </w:tcPr>
          <w:p w:rsidR="007C5447" w:rsidRDefault="00F6308C">
            <w:pPr>
              <w:pStyle w:val="TableParagraph"/>
              <w:spacing w:before="70"/>
              <w:ind w:right="162"/>
              <w:rPr>
                <w:sz w:val="20"/>
              </w:rPr>
            </w:pPr>
            <w:r>
              <w:rPr>
                <w:sz w:val="20"/>
              </w:rPr>
              <w:t>20.00</w:t>
            </w:r>
          </w:p>
        </w:tc>
        <w:tc>
          <w:tcPr>
            <w:tcW w:w="1417" w:type="dxa"/>
          </w:tcPr>
          <w:p w:rsidR="007C5447" w:rsidRDefault="00F6308C">
            <w:pPr>
              <w:pStyle w:val="TableParagraph"/>
              <w:spacing w:before="70"/>
              <w:ind w:right="160"/>
              <w:rPr>
                <w:sz w:val="20"/>
              </w:rPr>
            </w:pPr>
            <w:r>
              <w:rPr>
                <w:sz w:val="20"/>
              </w:rPr>
              <w:t>7.00</w:t>
            </w:r>
          </w:p>
        </w:tc>
        <w:tc>
          <w:tcPr>
            <w:tcW w:w="1347" w:type="dxa"/>
          </w:tcPr>
          <w:p w:rsidR="007C5447" w:rsidRDefault="00F6308C">
            <w:pPr>
              <w:pStyle w:val="TableParagraph"/>
              <w:spacing w:before="70"/>
              <w:ind w:right="158"/>
              <w:rPr>
                <w:sz w:val="20"/>
              </w:rPr>
            </w:pPr>
            <w:r>
              <w:rPr>
                <w:sz w:val="20"/>
              </w:rPr>
              <w:t>3.50</w:t>
            </w:r>
          </w:p>
        </w:tc>
      </w:tr>
      <w:tr w:rsidR="007C5447">
        <w:trPr>
          <w:trHeight w:val="372"/>
        </w:trPr>
        <w:tc>
          <w:tcPr>
            <w:tcW w:w="2854" w:type="dxa"/>
            <w:tcBorders>
              <w:left w:val="single" w:sz="8" w:space="0" w:color="000000"/>
            </w:tcBorders>
          </w:tcPr>
          <w:p w:rsidR="007C5447" w:rsidRDefault="00F6308C">
            <w:pPr>
              <w:pStyle w:val="TableParagraph"/>
              <w:spacing w:before="70"/>
              <w:ind w:left="107"/>
              <w:jc w:val="left"/>
              <w:rPr>
                <w:sz w:val="20"/>
              </w:rPr>
            </w:pPr>
            <w:r>
              <w:rPr>
                <w:sz w:val="20"/>
              </w:rPr>
              <w:t>Cogeneration</w:t>
            </w:r>
          </w:p>
        </w:tc>
        <w:tc>
          <w:tcPr>
            <w:tcW w:w="1265" w:type="dxa"/>
          </w:tcPr>
          <w:p w:rsidR="007C5447" w:rsidRDefault="00F6308C">
            <w:pPr>
              <w:pStyle w:val="TableParagraph"/>
              <w:spacing w:before="70"/>
              <w:ind w:right="170"/>
              <w:rPr>
                <w:sz w:val="20"/>
              </w:rPr>
            </w:pPr>
            <w:r>
              <w:rPr>
                <w:w w:val="95"/>
                <w:sz w:val="20"/>
              </w:rPr>
              <w:t>816.53</w:t>
            </w:r>
          </w:p>
        </w:tc>
        <w:tc>
          <w:tcPr>
            <w:tcW w:w="1264" w:type="dxa"/>
          </w:tcPr>
          <w:p w:rsidR="007C5447" w:rsidRDefault="00F6308C">
            <w:pPr>
              <w:pStyle w:val="TableParagraph"/>
              <w:spacing w:before="70"/>
              <w:ind w:right="166"/>
              <w:rPr>
                <w:sz w:val="20"/>
              </w:rPr>
            </w:pPr>
            <w:r>
              <w:rPr>
                <w:w w:val="95"/>
                <w:sz w:val="20"/>
              </w:rPr>
              <w:t>292.43</w:t>
            </w:r>
          </w:p>
        </w:tc>
        <w:tc>
          <w:tcPr>
            <w:tcW w:w="1050" w:type="dxa"/>
          </w:tcPr>
          <w:p w:rsidR="007C5447" w:rsidRDefault="00F6308C">
            <w:pPr>
              <w:pStyle w:val="TableParagraph"/>
              <w:spacing w:before="70"/>
              <w:ind w:right="167"/>
              <w:rPr>
                <w:sz w:val="20"/>
              </w:rPr>
            </w:pPr>
            <w:r>
              <w:rPr>
                <w:sz w:val="20"/>
              </w:rPr>
              <w:t>3.58</w:t>
            </w:r>
          </w:p>
        </w:tc>
        <w:tc>
          <w:tcPr>
            <w:tcW w:w="1088" w:type="dxa"/>
          </w:tcPr>
          <w:p w:rsidR="007C5447" w:rsidRDefault="00F6308C">
            <w:pPr>
              <w:pStyle w:val="TableParagraph"/>
              <w:spacing w:before="70"/>
              <w:ind w:right="163"/>
              <w:rPr>
                <w:sz w:val="20"/>
              </w:rPr>
            </w:pPr>
            <w:r>
              <w:rPr>
                <w:w w:val="95"/>
                <w:sz w:val="20"/>
              </w:rPr>
              <w:t>803.00</w:t>
            </w:r>
          </w:p>
        </w:tc>
        <w:tc>
          <w:tcPr>
            <w:tcW w:w="1091" w:type="dxa"/>
          </w:tcPr>
          <w:p w:rsidR="007C5447" w:rsidRDefault="00F6308C">
            <w:pPr>
              <w:pStyle w:val="TableParagraph"/>
              <w:spacing w:before="70"/>
              <w:ind w:right="164"/>
              <w:rPr>
                <w:sz w:val="20"/>
              </w:rPr>
            </w:pPr>
            <w:r>
              <w:rPr>
                <w:w w:val="95"/>
                <w:sz w:val="20"/>
              </w:rPr>
              <w:t>291.00</w:t>
            </w:r>
          </w:p>
        </w:tc>
        <w:tc>
          <w:tcPr>
            <w:tcW w:w="1148" w:type="dxa"/>
          </w:tcPr>
          <w:p w:rsidR="007C5447" w:rsidRDefault="00F6308C">
            <w:pPr>
              <w:pStyle w:val="TableParagraph"/>
              <w:spacing w:before="70"/>
              <w:ind w:right="160"/>
              <w:rPr>
                <w:sz w:val="20"/>
              </w:rPr>
            </w:pPr>
            <w:r>
              <w:rPr>
                <w:sz w:val="20"/>
              </w:rPr>
              <w:t>3.62</w:t>
            </w:r>
          </w:p>
        </w:tc>
        <w:tc>
          <w:tcPr>
            <w:tcW w:w="1432" w:type="dxa"/>
          </w:tcPr>
          <w:p w:rsidR="007C5447" w:rsidRDefault="00F6308C">
            <w:pPr>
              <w:pStyle w:val="TableParagraph"/>
              <w:spacing w:before="70"/>
              <w:ind w:right="162"/>
              <w:rPr>
                <w:sz w:val="20"/>
              </w:rPr>
            </w:pPr>
            <w:r>
              <w:rPr>
                <w:w w:val="95"/>
                <w:sz w:val="20"/>
              </w:rPr>
              <w:t>803.00</w:t>
            </w:r>
          </w:p>
        </w:tc>
        <w:tc>
          <w:tcPr>
            <w:tcW w:w="1417" w:type="dxa"/>
          </w:tcPr>
          <w:p w:rsidR="007C5447" w:rsidRDefault="00F6308C">
            <w:pPr>
              <w:pStyle w:val="TableParagraph"/>
              <w:spacing w:before="70"/>
              <w:ind w:right="160"/>
              <w:rPr>
                <w:sz w:val="20"/>
              </w:rPr>
            </w:pPr>
            <w:r>
              <w:rPr>
                <w:w w:val="95"/>
                <w:sz w:val="20"/>
              </w:rPr>
              <w:t>291.00</w:t>
            </w:r>
          </w:p>
        </w:tc>
        <w:tc>
          <w:tcPr>
            <w:tcW w:w="1347" w:type="dxa"/>
          </w:tcPr>
          <w:p w:rsidR="007C5447" w:rsidRDefault="00F6308C">
            <w:pPr>
              <w:pStyle w:val="TableParagraph"/>
              <w:spacing w:before="70"/>
              <w:ind w:right="158"/>
              <w:rPr>
                <w:sz w:val="20"/>
              </w:rPr>
            </w:pPr>
            <w:r>
              <w:rPr>
                <w:sz w:val="20"/>
              </w:rPr>
              <w:t>3.62</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Captive</w:t>
            </w:r>
          </w:p>
        </w:tc>
        <w:tc>
          <w:tcPr>
            <w:tcW w:w="1265" w:type="dxa"/>
          </w:tcPr>
          <w:p w:rsidR="007C5447" w:rsidRDefault="00F6308C">
            <w:pPr>
              <w:pStyle w:val="TableParagraph"/>
              <w:spacing w:before="70"/>
              <w:ind w:right="170"/>
              <w:rPr>
                <w:sz w:val="20"/>
              </w:rPr>
            </w:pPr>
            <w:r>
              <w:rPr>
                <w:w w:val="95"/>
                <w:sz w:val="20"/>
              </w:rPr>
              <w:t>426.57</w:t>
            </w:r>
          </w:p>
        </w:tc>
        <w:tc>
          <w:tcPr>
            <w:tcW w:w="1264" w:type="dxa"/>
          </w:tcPr>
          <w:p w:rsidR="007C5447" w:rsidRDefault="00F6308C">
            <w:pPr>
              <w:pStyle w:val="TableParagraph"/>
              <w:spacing w:before="70"/>
              <w:ind w:right="166"/>
              <w:rPr>
                <w:sz w:val="20"/>
              </w:rPr>
            </w:pPr>
            <w:r>
              <w:rPr>
                <w:w w:val="95"/>
                <w:sz w:val="20"/>
              </w:rPr>
              <w:t>179.23</w:t>
            </w:r>
          </w:p>
        </w:tc>
        <w:tc>
          <w:tcPr>
            <w:tcW w:w="1050" w:type="dxa"/>
          </w:tcPr>
          <w:p w:rsidR="007C5447" w:rsidRDefault="00F6308C">
            <w:pPr>
              <w:pStyle w:val="TableParagraph"/>
              <w:spacing w:before="70"/>
              <w:ind w:right="167"/>
              <w:rPr>
                <w:sz w:val="20"/>
              </w:rPr>
            </w:pPr>
            <w:r>
              <w:rPr>
                <w:sz w:val="20"/>
              </w:rPr>
              <w:t>4.20</w:t>
            </w:r>
          </w:p>
        </w:tc>
        <w:tc>
          <w:tcPr>
            <w:tcW w:w="1088" w:type="dxa"/>
          </w:tcPr>
          <w:p w:rsidR="007C5447" w:rsidRDefault="00F6308C">
            <w:pPr>
              <w:pStyle w:val="TableParagraph"/>
              <w:spacing w:before="70"/>
              <w:ind w:right="161"/>
              <w:rPr>
                <w:sz w:val="20"/>
              </w:rPr>
            </w:pPr>
            <w:r>
              <w:rPr>
                <w:w w:val="95"/>
                <w:sz w:val="20"/>
              </w:rPr>
              <w:t>2,383.00</w:t>
            </w:r>
          </w:p>
        </w:tc>
        <w:tc>
          <w:tcPr>
            <w:tcW w:w="1091" w:type="dxa"/>
          </w:tcPr>
          <w:p w:rsidR="007C5447" w:rsidRDefault="00F6308C">
            <w:pPr>
              <w:pStyle w:val="TableParagraph"/>
              <w:spacing w:before="70"/>
              <w:ind w:right="164"/>
              <w:rPr>
                <w:sz w:val="20"/>
              </w:rPr>
            </w:pPr>
            <w:r>
              <w:rPr>
                <w:w w:val="95"/>
                <w:sz w:val="20"/>
              </w:rPr>
              <w:t>155.00</w:t>
            </w:r>
          </w:p>
        </w:tc>
        <w:tc>
          <w:tcPr>
            <w:tcW w:w="1148" w:type="dxa"/>
          </w:tcPr>
          <w:p w:rsidR="007C5447" w:rsidRDefault="00F6308C">
            <w:pPr>
              <w:pStyle w:val="TableParagraph"/>
              <w:spacing w:before="70"/>
              <w:ind w:right="160"/>
              <w:rPr>
                <w:sz w:val="20"/>
              </w:rPr>
            </w:pPr>
            <w:r>
              <w:rPr>
                <w:sz w:val="20"/>
              </w:rPr>
              <w:t>0.65</w:t>
            </w:r>
          </w:p>
        </w:tc>
        <w:tc>
          <w:tcPr>
            <w:tcW w:w="1432" w:type="dxa"/>
          </w:tcPr>
          <w:p w:rsidR="007C5447" w:rsidRDefault="00F6308C">
            <w:pPr>
              <w:pStyle w:val="TableParagraph"/>
              <w:spacing w:before="70"/>
              <w:ind w:right="160"/>
              <w:rPr>
                <w:sz w:val="20"/>
              </w:rPr>
            </w:pPr>
            <w:r>
              <w:rPr>
                <w:w w:val="95"/>
                <w:sz w:val="20"/>
              </w:rPr>
              <w:t>2,383.00</w:t>
            </w:r>
          </w:p>
        </w:tc>
        <w:tc>
          <w:tcPr>
            <w:tcW w:w="1417" w:type="dxa"/>
          </w:tcPr>
          <w:p w:rsidR="007C5447" w:rsidRDefault="00F6308C">
            <w:pPr>
              <w:pStyle w:val="TableParagraph"/>
              <w:spacing w:before="70"/>
              <w:ind w:right="160"/>
              <w:rPr>
                <w:sz w:val="20"/>
              </w:rPr>
            </w:pPr>
            <w:r>
              <w:rPr>
                <w:w w:val="95"/>
                <w:sz w:val="20"/>
              </w:rPr>
              <w:t>155.00</w:t>
            </w:r>
          </w:p>
        </w:tc>
        <w:tc>
          <w:tcPr>
            <w:tcW w:w="1347" w:type="dxa"/>
          </w:tcPr>
          <w:p w:rsidR="007C5447" w:rsidRDefault="00F6308C">
            <w:pPr>
              <w:pStyle w:val="TableParagraph"/>
              <w:spacing w:before="70"/>
              <w:ind w:right="158"/>
              <w:rPr>
                <w:sz w:val="20"/>
              </w:rPr>
            </w:pPr>
            <w:r>
              <w:rPr>
                <w:sz w:val="20"/>
              </w:rPr>
              <w:t>0.65</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Solar</w:t>
            </w:r>
          </w:p>
        </w:tc>
        <w:tc>
          <w:tcPr>
            <w:tcW w:w="1265" w:type="dxa"/>
          </w:tcPr>
          <w:p w:rsidR="007C5447" w:rsidRDefault="00F6308C">
            <w:pPr>
              <w:pStyle w:val="TableParagraph"/>
              <w:spacing w:before="70"/>
              <w:ind w:right="170"/>
              <w:rPr>
                <w:sz w:val="20"/>
              </w:rPr>
            </w:pPr>
            <w:r>
              <w:rPr>
                <w:w w:val="95"/>
                <w:sz w:val="20"/>
              </w:rPr>
              <w:t>13.78</w:t>
            </w:r>
          </w:p>
        </w:tc>
        <w:tc>
          <w:tcPr>
            <w:tcW w:w="1264" w:type="dxa"/>
          </w:tcPr>
          <w:p w:rsidR="007C5447" w:rsidRDefault="00F6308C">
            <w:pPr>
              <w:pStyle w:val="TableParagraph"/>
              <w:spacing w:before="70"/>
              <w:ind w:right="166"/>
              <w:rPr>
                <w:sz w:val="20"/>
              </w:rPr>
            </w:pPr>
            <w:r>
              <w:rPr>
                <w:sz w:val="20"/>
              </w:rPr>
              <w:t>7.32</w:t>
            </w:r>
          </w:p>
        </w:tc>
        <w:tc>
          <w:tcPr>
            <w:tcW w:w="1050" w:type="dxa"/>
          </w:tcPr>
          <w:p w:rsidR="007C5447" w:rsidRDefault="00F6308C">
            <w:pPr>
              <w:pStyle w:val="TableParagraph"/>
              <w:spacing w:before="70"/>
              <w:ind w:right="167"/>
              <w:rPr>
                <w:sz w:val="20"/>
              </w:rPr>
            </w:pPr>
            <w:r>
              <w:rPr>
                <w:sz w:val="20"/>
              </w:rPr>
              <w:t>5.31</w:t>
            </w:r>
          </w:p>
        </w:tc>
        <w:tc>
          <w:tcPr>
            <w:tcW w:w="1088" w:type="dxa"/>
          </w:tcPr>
          <w:p w:rsidR="007C5447" w:rsidRDefault="00F6308C">
            <w:pPr>
              <w:pStyle w:val="TableParagraph"/>
              <w:spacing w:before="70"/>
              <w:ind w:right="163"/>
              <w:rPr>
                <w:sz w:val="20"/>
              </w:rPr>
            </w:pPr>
            <w:r>
              <w:rPr>
                <w:w w:val="95"/>
                <w:sz w:val="20"/>
              </w:rPr>
              <w:t>20.00</w:t>
            </w:r>
          </w:p>
        </w:tc>
        <w:tc>
          <w:tcPr>
            <w:tcW w:w="1091" w:type="dxa"/>
          </w:tcPr>
          <w:p w:rsidR="007C5447" w:rsidRDefault="00F6308C">
            <w:pPr>
              <w:pStyle w:val="TableParagraph"/>
              <w:spacing w:before="70"/>
              <w:ind w:right="164"/>
              <w:rPr>
                <w:sz w:val="20"/>
              </w:rPr>
            </w:pPr>
            <w:r>
              <w:rPr>
                <w:sz w:val="20"/>
              </w:rPr>
              <w:t>9.00</w:t>
            </w:r>
          </w:p>
        </w:tc>
        <w:tc>
          <w:tcPr>
            <w:tcW w:w="1148" w:type="dxa"/>
          </w:tcPr>
          <w:p w:rsidR="007C5447" w:rsidRDefault="00F6308C">
            <w:pPr>
              <w:pStyle w:val="TableParagraph"/>
              <w:spacing w:before="70"/>
              <w:ind w:right="160"/>
              <w:rPr>
                <w:sz w:val="20"/>
              </w:rPr>
            </w:pPr>
            <w:r>
              <w:rPr>
                <w:sz w:val="20"/>
              </w:rPr>
              <w:t>4.50</w:t>
            </w:r>
          </w:p>
        </w:tc>
        <w:tc>
          <w:tcPr>
            <w:tcW w:w="1432" w:type="dxa"/>
          </w:tcPr>
          <w:p w:rsidR="007C5447" w:rsidRDefault="00F6308C">
            <w:pPr>
              <w:pStyle w:val="TableParagraph"/>
              <w:spacing w:before="70"/>
              <w:ind w:right="162"/>
              <w:rPr>
                <w:sz w:val="20"/>
              </w:rPr>
            </w:pPr>
            <w:r>
              <w:rPr>
                <w:sz w:val="20"/>
              </w:rPr>
              <w:t>20.00</w:t>
            </w:r>
          </w:p>
        </w:tc>
        <w:tc>
          <w:tcPr>
            <w:tcW w:w="1417" w:type="dxa"/>
          </w:tcPr>
          <w:p w:rsidR="007C5447" w:rsidRDefault="00F6308C">
            <w:pPr>
              <w:pStyle w:val="TableParagraph"/>
              <w:spacing w:before="70"/>
              <w:ind w:right="160"/>
              <w:rPr>
                <w:sz w:val="20"/>
              </w:rPr>
            </w:pPr>
            <w:r>
              <w:rPr>
                <w:sz w:val="20"/>
              </w:rPr>
              <w:t>9.00</w:t>
            </w:r>
          </w:p>
        </w:tc>
        <w:tc>
          <w:tcPr>
            <w:tcW w:w="1347" w:type="dxa"/>
          </w:tcPr>
          <w:p w:rsidR="007C5447" w:rsidRDefault="00F6308C">
            <w:pPr>
              <w:pStyle w:val="TableParagraph"/>
              <w:spacing w:before="70"/>
              <w:ind w:right="158"/>
              <w:rPr>
                <w:sz w:val="20"/>
              </w:rPr>
            </w:pPr>
            <w:r>
              <w:rPr>
                <w:sz w:val="20"/>
              </w:rPr>
              <w:t>4.50</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9"/>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54"/>
        <w:gridCol w:w="1265"/>
        <w:gridCol w:w="1264"/>
        <w:gridCol w:w="1050"/>
        <w:gridCol w:w="1088"/>
        <w:gridCol w:w="1091"/>
        <w:gridCol w:w="1148"/>
        <w:gridCol w:w="1432"/>
        <w:gridCol w:w="1417"/>
        <w:gridCol w:w="1347"/>
      </w:tblGrid>
      <w:tr w:rsidR="007C5447">
        <w:trPr>
          <w:trHeight w:val="369"/>
        </w:trPr>
        <w:tc>
          <w:tcPr>
            <w:tcW w:w="2854"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987" w:right="969"/>
              <w:jc w:val="center"/>
              <w:rPr>
                <w:b/>
                <w:sz w:val="20"/>
              </w:rPr>
            </w:pPr>
            <w:r>
              <w:rPr>
                <w:b/>
                <w:sz w:val="20"/>
              </w:rPr>
              <w:t>Source</w:t>
            </w:r>
          </w:p>
        </w:tc>
        <w:tc>
          <w:tcPr>
            <w:tcW w:w="11102" w:type="dxa"/>
            <w:gridSpan w:val="9"/>
            <w:shd w:val="clear" w:color="auto" w:fill="F7C9AC"/>
          </w:tcPr>
          <w:p w:rsidR="007C5447" w:rsidRDefault="00F6308C">
            <w:pPr>
              <w:pStyle w:val="TableParagraph"/>
              <w:spacing w:before="125" w:line="224" w:lineRule="exact"/>
              <w:ind w:left="5046" w:right="5013"/>
              <w:jc w:val="center"/>
              <w:rPr>
                <w:b/>
                <w:sz w:val="20"/>
              </w:rPr>
            </w:pPr>
            <w:r>
              <w:rPr>
                <w:b/>
                <w:sz w:val="20"/>
              </w:rPr>
              <w:t>FY 2013-14</w:t>
            </w:r>
          </w:p>
        </w:tc>
      </w:tr>
      <w:tr w:rsidR="007C5447">
        <w:trPr>
          <w:trHeight w:val="371"/>
        </w:trPr>
        <w:tc>
          <w:tcPr>
            <w:tcW w:w="2854" w:type="dxa"/>
            <w:vMerge/>
            <w:tcBorders>
              <w:top w:val="nil"/>
            </w:tcBorders>
            <w:shd w:val="clear" w:color="auto" w:fill="F7C9AC"/>
          </w:tcPr>
          <w:p w:rsidR="007C5447" w:rsidRDefault="007C5447">
            <w:pPr>
              <w:rPr>
                <w:sz w:val="2"/>
                <w:szCs w:val="2"/>
              </w:rPr>
            </w:pPr>
          </w:p>
        </w:tc>
        <w:tc>
          <w:tcPr>
            <w:tcW w:w="3579" w:type="dxa"/>
            <w:gridSpan w:val="3"/>
            <w:shd w:val="clear" w:color="auto" w:fill="F7C9AC"/>
          </w:tcPr>
          <w:p w:rsidR="007C5447" w:rsidRDefault="00F6308C">
            <w:pPr>
              <w:pStyle w:val="TableParagraph"/>
              <w:spacing w:before="70"/>
              <w:ind w:left="1259" w:right="1243"/>
              <w:jc w:val="center"/>
              <w:rPr>
                <w:b/>
                <w:sz w:val="20"/>
              </w:rPr>
            </w:pPr>
            <w:r>
              <w:rPr>
                <w:b/>
                <w:sz w:val="20"/>
              </w:rPr>
              <w:t>SMT Order</w:t>
            </w:r>
          </w:p>
        </w:tc>
        <w:tc>
          <w:tcPr>
            <w:tcW w:w="3327" w:type="dxa"/>
            <w:gridSpan w:val="3"/>
            <w:shd w:val="clear" w:color="auto" w:fill="F7C9AC"/>
          </w:tcPr>
          <w:p w:rsidR="007C5447" w:rsidRDefault="00F6308C">
            <w:pPr>
              <w:pStyle w:val="TableParagraph"/>
              <w:spacing w:before="70"/>
              <w:ind w:left="1094"/>
              <w:jc w:val="left"/>
              <w:rPr>
                <w:b/>
                <w:sz w:val="20"/>
              </w:rPr>
            </w:pPr>
            <w:r>
              <w:rPr>
                <w:b/>
                <w:sz w:val="20"/>
              </w:rPr>
              <w:t>TANGEDCO</w:t>
            </w:r>
          </w:p>
        </w:tc>
        <w:tc>
          <w:tcPr>
            <w:tcW w:w="4196" w:type="dxa"/>
            <w:gridSpan w:val="3"/>
            <w:shd w:val="clear" w:color="auto" w:fill="F7C9AC"/>
          </w:tcPr>
          <w:p w:rsidR="007C5447" w:rsidRDefault="00F6308C">
            <w:pPr>
              <w:pStyle w:val="TableParagraph"/>
              <w:spacing w:before="70"/>
              <w:ind w:left="1113"/>
              <w:jc w:val="left"/>
              <w:rPr>
                <w:b/>
                <w:sz w:val="20"/>
              </w:rPr>
            </w:pPr>
            <w:r>
              <w:rPr>
                <w:b/>
                <w:sz w:val="20"/>
              </w:rPr>
              <w:t>Approved after true up</w:t>
            </w:r>
          </w:p>
        </w:tc>
      </w:tr>
      <w:tr w:rsidR="007C5447">
        <w:trPr>
          <w:trHeight w:val="489"/>
        </w:trPr>
        <w:tc>
          <w:tcPr>
            <w:tcW w:w="2854" w:type="dxa"/>
            <w:vMerge/>
            <w:tcBorders>
              <w:top w:val="nil"/>
            </w:tcBorders>
            <w:shd w:val="clear" w:color="auto" w:fill="F7C9AC"/>
          </w:tcPr>
          <w:p w:rsidR="007C5447" w:rsidRDefault="007C5447">
            <w:pPr>
              <w:rPr>
                <w:sz w:val="2"/>
                <w:szCs w:val="2"/>
              </w:rPr>
            </w:pPr>
          </w:p>
        </w:tc>
        <w:tc>
          <w:tcPr>
            <w:tcW w:w="1265" w:type="dxa"/>
            <w:shd w:val="clear" w:color="auto" w:fill="F7C9AC"/>
          </w:tcPr>
          <w:p w:rsidR="007C5447" w:rsidRDefault="00F6308C">
            <w:pPr>
              <w:pStyle w:val="TableParagraph"/>
              <w:spacing w:before="14" w:line="230" w:lineRule="atLeast"/>
              <w:ind w:left="403" w:right="187" w:hanging="178"/>
              <w:jc w:val="left"/>
              <w:rPr>
                <w:b/>
                <w:sz w:val="20"/>
              </w:rPr>
            </w:pPr>
            <w:r>
              <w:rPr>
                <w:b/>
                <w:sz w:val="20"/>
              </w:rPr>
              <w:t>Quantum (MU)</w:t>
            </w:r>
          </w:p>
        </w:tc>
        <w:tc>
          <w:tcPr>
            <w:tcW w:w="1264" w:type="dxa"/>
            <w:shd w:val="clear" w:color="auto" w:fill="F7C9AC"/>
          </w:tcPr>
          <w:p w:rsidR="007C5447" w:rsidRDefault="00F6308C">
            <w:pPr>
              <w:pStyle w:val="TableParagraph"/>
              <w:spacing w:before="14" w:line="230" w:lineRule="atLeast"/>
              <w:ind w:left="293" w:right="150" w:hanging="104"/>
              <w:jc w:val="left"/>
              <w:rPr>
                <w:b/>
                <w:sz w:val="20"/>
              </w:rPr>
            </w:pPr>
            <w:r>
              <w:rPr>
                <w:b/>
                <w:sz w:val="20"/>
              </w:rPr>
              <w:t>Total Cost (Rs. Cr)</w:t>
            </w:r>
          </w:p>
        </w:tc>
        <w:tc>
          <w:tcPr>
            <w:tcW w:w="1050" w:type="dxa"/>
            <w:shd w:val="clear" w:color="auto" w:fill="F7C9AC"/>
          </w:tcPr>
          <w:p w:rsidR="007C5447" w:rsidRDefault="00F6308C">
            <w:pPr>
              <w:pStyle w:val="TableParagraph"/>
              <w:spacing w:before="14" w:line="230" w:lineRule="atLeast"/>
              <w:ind w:left="113" w:firstLine="216"/>
              <w:jc w:val="left"/>
              <w:rPr>
                <w:b/>
                <w:sz w:val="20"/>
              </w:rPr>
            </w:pPr>
            <w:r>
              <w:rPr>
                <w:b/>
                <w:sz w:val="20"/>
              </w:rPr>
              <w:t xml:space="preserve">Rate </w:t>
            </w:r>
            <w:r>
              <w:rPr>
                <w:b/>
                <w:w w:val="95"/>
                <w:sz w:val="20"/>
              </w:rPr>
              <w:t>(Rs/kWh)</w:t>
            </w:r>
          </w:p>
        </w:tc>
        <w:tc>
          <w:tcPr>
            <w:tcW w:w="1088" w:type="dxa"/>
            <w:shd w:val="clear" w:color="auto" w:fill="F7C9AC"/>
          </w:tcPr>
          <w:p w:rsidR="007C5447" w:rsidRDefault="00F6308C">
            <w:pPr>
              <w:pStyle w:val="TableParagraph"/>
              <w:spacing w:before="14" w:line="230" w:lineRule="atLeast"/>
              <w:ind w:left="319" w:right="94" w:hanging="178"/>
              <w:jc w:val="left"/>
              <w:rPr>
                <w:b/>
                <w:sz w:val="20"/>
              </w:rPr>
            </w:pPr>
            <w:r>
              <w:rPr>
                <w:b/>
                <w:sz w:val="20"/>
              </w:rPr>
              <w:t>Quantum (MU)</w:t>
            </w:r>
          </w:p>
        </w:tc>
        <w:tc>
          <w:tcPr>
            <w:tcW w:w="1091" w:type="dxa"/>
            <w:shd w:val="clear" w:color="auto" w:fill="F7C9AC"/>
          </w:tcPr>
          <w:p w:rsidR="007C5447" w:rsidRDefault="00F6308C">
            <w:pPr>
              <w:pStyle w:val="TableParagraph"/>
              <w:spacing w:before="14" w:line="230" w:lineRule="atLeast"/>
              <w:ind w:left="234" w:right="138" w:firstLine="124"/>
              <w:jc w:val="left"/>
              <w:rPr>
                <w:b/>
                <w:sz w:val="20"/>
              </w:rPr>
            </w:pPr>
            <w:r>
              <w:rPr>
                <w:b/>
                <w:sz w:val="20"/>
              </w:rPr>
              <w:t>Cost (Rs. Cr)</w:t>
            </w:r>
          </w:p>
        </w:tc>
        <w:tc>
          <w:tcPr>
            <w:tcW w:w="1148" w:type="dxa"/>
            <w:shd w:val="clear" w:color="auto" w:fill="F7C9AC"/>
          </w:tcPr>
          <w:p w:rsidR="007C5447" w:rsidRDefault="00F6308C">
            <w:pPr>
              <w:pStyle w:val="TableParagraph"/>
              <w:spacing w:before="14" w:line="230" w:lineRule="atLeast"/>
              <w:ind w:left="168" w:firstLine="216"/>
              <w:jc w:val="left"/>
              <w:rPr>
                <w:b/>
                <w:sz w:val="20"/>
              </w:rPr>
            </w:pPr>
            <w:r>
              <w:rPr>
                <w:b/>
                <w:sz w:val="20"/>
              </w:rPr>
              <w:t xml:space="preserve">Rate </w:t>
            </w:r>
            <w:r>
              <w:rPr>
                <w:b/>
                <w:w w:val="95"/>
                <w:sz w:val="20"/>
              </w:rPr>
              <w:t>(Rs/kWh)</w:t>
            </w:r>
          </w:p>
        </w:tc>
        <w:tc>
          <w:tcPr>
            <w:tcW w:w="1432" w:type="dxa"/>
            <w:shd w:val="clear" w:color="auto" w:fill="F7C9AC"/>
          </w:tcPr>
          <w:p w:rsidR="007C5447" w:rsidRDefault="00F6308C">
            <w:pPr>
              <w:pStyle w:val="TableParagraph"/>
              <w:spacing w:before="14" w:line="230" w:lineRule="atLeast"/>
              <w:ind w:left="494" w:right="263" w:hanging="178"/>
              <w:jc w:val="left"/>
              <w:rPr>
                <w:b/>
                <w:sz w:val="20"/>
              </w:rPr>
            </w:pPr>
            <w:r>
              <w:rPr>
                <w:b/>
                <w:sz w:val="20"/>
              </w:rPr>
              <w:t>Quantum (MU)</w:t>
            </w:r>
          </w:p>
        </w:tc>
        <w:tc>
          <w:tcPr>
            <w:tcW w:w="1417" w:type="dxa"/>
            <w:shd w:val="clear" w:color="auto" w:fill="F7C9AC"/>
          </w:tcPr>
          <w:p w:rsidR="007C5447" w:rsidRDefault="00F6308C">
            <w:pPr>
              <w:pStyle w:val="TableParagraph"/>
              <w:spacing w:before="14" w:line="230" w:lineRule="atLeast"/>
              <w:ind w:left="375" w:right="221" w:hanging="104"/>
              <w:jc w:val="left"/>
              <w:rPr>
                <w:b/>
                <w:sz w:val="20"/>
              </w:rPr>
            </w:pPr>
            <w:r>
              <w:rPr>
                <w:b/>
                <w:sz w:val="20"/>
              </w:rPr>
              <w:t>Total Cost (Rs. Cr)</w:t>
            </w:r>
          </w:p>
        </w:tc>
        <w:tc>
          <w:tcPr>
            <w:tcW w:w="1347" w:type="dxa"/>
            <w:shd w:val="clear" w:color="auto" w:fill="F7C9AC"/>
          </w:tcPr>
          <w:p w:rsidR="007C5447" w:rsidRDefault="00F6308C">
            <w:pPr>
              <w:pStyle w:val="TableParagraph"/>
              <w:spacing w:before="14" w:line="230" w:lineRule="atLeast"/>
              <w:ind w:left="268" w:firstLine="216"/>
              <w:jc w:val="left"/>
              <w:rPr>
                <w:b/>
                <w:sz w:val="20"/>
              </w:rPr>
            </w:pPr>
            <w:r>
              <w:rPr>
                <w:b/>
                <w:sz w:val="20"/>
              </w:rPr>
              <w:t xml:space="preserve">Rate </w:t>
            </w:r>
            <w:r>
              <w:rPr>
                <w:b/>
                <w:w w:val="95"/>
                <w:sz w:val="20"/>
              </w:rPr>
              <w:t>(Rs/kWh)</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b/>
                <w:sz w:val="20"/>
              </w:rPr>
            </w:pPr>
            <w:r>
              <w:rPr>
                <w:b/>
                <w:sz w:val="20"/>
              </w:rPr>
              <w:t>Total Renewables</w:t>
            </w:r>
          </w:p>
        </w:tc>
        <w:tc>
          <w:tcPr>
            <w:tcW w:w="1265" w:type="dxa"/>
          </w:tcPr>
          <w:p w:rsidR="007C5447" w:rsidRDefault="00F6308C">
            <w:pPr>
              <w:pStyle w:val="TableParagraph"/>
              <w:spacing w:before="70"/>
              <w:ind w:right="168"/>
              <w:rPr>
                <w:b/>
                <w:sz w:val="20"/>
              </w:rPr>
            </w:pPr>
            <w:r>
              <w:rPr>
                <w:b/>
                <w:w w:val="95"/>
                <w:sz w:val="20"/>
              </w:rPr>
              <w:t>6,372.87</w:t>
            </w:r>
          </w:p>
        </w:tc>
        <w:tc>
          <w:tcPr>
            <w:tcW w:w="1264" w:type="dxa"/>
          </w:tcPr>
          <w:p w:rsidR="007C5447" w:rsidRDefault="00F6308C">
            <w:pPr>
              <w:pStyle w:val="TableParagraph"/>
              <w:spacing w:before="70"/>
              <w:ind w:right="164"/>
              <w:rPr>
                <w:b/>
                <w:sz w:val="20"/>
              </w:rPr>
            </w:pPr>
            <w:r>
              <w:rPr>
                <w:b/>
                <w:w w:val="95"/>
                <w:sz w:val="20"/>
              </w:rPr>
              <w:t>1,946.46</w:t>
            </w:r>
          </w:p>
        </w:tc>
        <w:tc>
          <w:tcPr>
            <w:tcW w:w="1050" w:type="dxa"/>
          </w:tcPr>
          <w:p w:rsidR="007C5447" w:rsidRDefault="00F6308C">
            <w:pPr>
              <w:pStyle w:val="TableParagraph"/>
              <w:spacing w:before="70"/>
              <w:ind w:right="167"/>
              <w:rPr>
                <w:b/>
                <w:sz w:val="20"/>
              </w:rPr>
            </w:pPr>
            <w:r>
              <w:rPr>
                <w:b/>
                <w:sz w:val="20"/>
              </w:rPr>
              <w:t>3.05</w:t>
            </w:r>
          </w:p>
        </w:tc>
        <w:tc>
          <w:tcPr>
            <w:tcW w:w="1088" w:type="dxa"/>
          </w:tcPr>
          <w:p w:rsidR="007C5447" w:rsidRDefault="00F6308C">
            <w:pPr>
              <w:pStyle w:val="TableParagraph"/>
              <w:spacing w:before="70"/>
              <w:ind w:right="161"/>
              <w:rPr>
                <w:b/>
                <w:sz w:val="20"/>
              </w:rPr>
            </w:pPr>
            <w:r>
              <w:rPr>
                <w:b/>
                <w:w w:val="95"/>
                <w:sz w:val="20"/>
              </w:rPr>
              <w:t>8,336.00</w:t>
            </w:r>
          </w:p>
        </w:tc>
        <w:tc>
          <w:tcPr>
            <w:tcW w:w="1091" w:type="dxa"/>
          </w:tcPr>
          <w:p w:rsidR="007C5447" w:rsidRDefault="00F6308C">
            <w:pPr>
              <w:pStyle w:val="TableParagraph"/>
              <w:spacing w:before="70"/>
              <w:ind w:right="162"/>
              <w:rPr>
                <w:b/>
                <w:sz w:val="20"/>
              </w:rPr>
            </w:pPr>
            <w:r>
              <w:rPr>
                <w:b/>
                <w:w w:val="95"/>
                <w:sz w:val="20"/>
              </w:rPr>
              <w:t>1,772.00</w:t>
            </w:r>
          </w:p>
        </w:tc>
        <w:tc>
          <w:tcPr>
            <w:tcW w:w="1148" w:type="dxa"/>
          </w:tcPr>
          <w:p w:rsidR="007C5447" w:rsidRDefault="00F6308C">
            <w:pPr>
              <w:pStyle w:val="TableParagraph"/>
              <w:spacing w:before="70"/>
              <w:ind w:right="160"/>
              <w:rPr>
                <w:b/>
                <w:sz w:val="20"/>
              </w:rPr>
            </w:pPr>
            <w:r>
              <w:rPr>
                <w:b/>
                <w:sz w:val="20"/>
              </w:rPr>
              <w:t>2.13</w:t>
            </w:r>
          </w:p>
        </w:tc>
        <w:tc>
          <w:tcPr>
            <w:tcW w:w="1432" w:type="dxa"/>
          </w:tcPr>
          <w:p w:rsidR="007C5447" w:rsidRDefault="00F6308C">
            <w:pPr>
              <w:pStyle w:val="TableParagraph"/>
              <w:spacing w:before="70"/>
              <w:ind w:right="160"/>
              <w:rPr>
                <w:b/>
                <w:sz w:val="20"/>
              </w:rPr>
            </w:pPr>
            <w:r>
              <w:rPr>
                <w:b/>
                <w:w w:val="95"/>
                <w:sz w:val="20"/>
              </w:rPr>
              <w:t>8,336.00</w:t>
            </w:r>
          </w:p>
        </w:tc>
        <w:tc>
          <w:tcPr>
            <w:tcW w:w="1417" w:type="dxa"/>
          </w:tcPr>
          <w:p w:rsidR="007C5447" w:rsidRDefault="00F6308C">
            <w:pPr>
              <w:pStyle w:val="TableParagraph"/>
              <w:spacing w:before="70"/>
              <w:ind w:right="158"/>
              <w:rPr>
                <w:b/>
                <w:sz w:val="20"/>
              </w:rPr>
            </w:pPr>
            <w:r>
              <w:rPr>
                <w:b/>
                <w:w w:val="95"/>
                <w:sz w:val="20"/>
              </w:rPr>
              <w:t>1,772.00</w:t>
            </w:r>
          </w:p>
        </w:tc>
        <w:tc>
          <w:tcPr>
            <w:tcW w:w="1347" w:type="dxa"/>
          </w:tcPr>
          <w:p w:rsidR="007C5447" w:rsidRDefault="00F6308C">
            <w:pPr>
              <w:pStyle w:val="TableParagraph"/>
              <w:spacing w:before="70"/>
              <w:ind w:right="158"/>
              <w:rPr>
                <w:b/>
                <w:sz w:val="20"/>
              </w:rPr>
            </w:pPr>
            <w:r>
              <w:rPr>
                <w:b/>
                <w:sz w:val="20"/>
              </w:rPr>
              <w:t>2.13</w:t>
            </w:r>
          </w:p>
        </w:tc>
      </w:tr>
      <w:tr w:rsidR="007C5447">
        <w:trPr>
          <w:trHeight w:val="371"/>
        </w:trPr>
        <w:tc>
          <w:tcPr>
            <w:tcW w:w="2854" w:type="dxa"/>
            <w:tcBorders>
              <w:left w:val="single" w:sz="8" w:space="0" w:color="000000"/>
            </w:tcBorders>
          </w:tcPr>
          <w:p w:rsidR="007C5447" w:rsidRDefault="00F6308C">
            <w:pPr>
              <w:pStyle w:val="TableParagraph"/>
              <w:spacing w:before="70"/>
              <w:ind w:left="107"/>
              <w:jc w:val="left"/>
              <w:rPr>
                <w:b/>
                <w:sz w:val="20"/>
              </w:rPr>
            </w:pPr>
            <w:r>
              <w:rPr>
                <w:b/>
                <w:sz w:val="20"/>
              </w:rPr>
              <w:t>Other Sources</w:t>
            </w:r>
          </w:p>
        </w:tc>
        <w:tc>
          <w:tcPr>
            <w:tcW w:w="1265" w:type="dxa"/>
          </w:tcPr>
          <w:p w:rsidR="007C5447" w:rsidRDefault="007C5447">
            <w:pPr>
              <w:pStyle w:val="TableParagraph"/>
              <w:jc w:val="left"/>
              <w:rPr>
                <w:sz w:val="20"/>
              </w:rPr>
            </w:pPr>
          </w:p>
        </w:tc>
        <w:tc>
          <w:tcPr>
            <w:tcW w:w="1264" w:type="dxa"/>
          </w:tcPr>
          <w:p w:rsidR="007C5447" w:rsidRDefault="007C5447">
            <w:pPr>
              <w:pStyle w:val="TableParagraph"/>
              <w:jc w:val="left"/>
              <w:rPr>
                <w:sz w:val="20"/>
              </w:rPr>
            </w:pPr>
          </w:p>
        </w:tc>
        <w:tc>
          <w:tcPr>
            <w:tcW w:w="1050" w:type="dxa"/>
          </w:tcPr>
          <w:p w:rsidR="007C5447" w:rsidRDefault="007C5447">
            <w:pPr>
              <w:pStyle w:val="TableParagraph"/>
              <w:jc w:val="left"/>
              <w:rPr>
                <w:sz w:val="20"/>
              </w:rPr>
            </w:pP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7C5447">
            <w:pPr>
              <w:pStyle w:val="TableParagraph"/>
              <w:jc w:val="left"/>
              <w:rPr>
                <w:sz w:val="20"/>
              </w:rPr>
            </w:pPr>
          </w:p>
        </w:tc>
        <w:tc>
          <w:tcPr>
            <w:tcW w:w="1417" w:type="dxa"/>
          </w:tcPr>
          <w:p w:rsidR="007C5447" w:rsidRDefault="007C5447">
            <w:pPr>
              <w:pStyle w:val="TableParagraph"/>
              <w:jc w:val="left"/>
              <w:rPr>
                <w:sz w:val="20"/>
              </w:rPr>
            </w:pP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Trading - Bilateral &amp; Exchange</w:t>
            </w:r>
          </w:p>
        </w:tc>
        <w:tc>
          <w:tcPr>
            <w:tcW w:w="1265" w:type="dxa"/>
          </w:tcPr>
          <w:p w:rsidR="007C5447" w:rsidRDefault="00F6308C">
            <w:pPr>
              <w:pStyle w:val="TableParagraph"/>
              <w:spacing w:before="70"/>
              <w:ind w:right="170"/>
              <w:rPr>
                <w:sz w:val="20"/>
              </w:rPr>
            </w:pPr>
            <w:r>
              <w:rPr>
                <w:w w:val="95"/>
                <w:sz w:val="20"/>
              </w:rPr>
              <w:t>3030.00</w:t>
            </w:r>
          </w:p>
        </w:tc>
        <w:tc>
          <w:tcPr>
            <w:tcW w:w="1264" w:type="dxa"/>
          </w:tcPr>
          <w:p w:rsidR="007C5447" w:rsidRDefault="00F6308C">
            <w:pPr>
              <w:pStyle w:val="TableParagraph"/>
              <w:spacing w:before="70"/>
              <w:ind w:right="164"/>
              <w:rPr>
                <w:sz w:val="20"/>
              </w:rPr>
            </w:pPr>
            <w:r>
              <w:rPr>
                <w:sz w:val="20"/>
              </w:rPr>
              <w:t>1964.17</w:t>
            </w:r>
          </w:p>
        </w:tc>
        <w:tc>
          <w:tcPr>
            <w:tcW w:w="1050" w:type="dxa"/>
          </w:tcPr>
          <w:p w:rsidR="007C5447" w:rsidRDefault="00F6308C">
            <w:pPr>
              <w:pStyle w:val="TableParagraph"/>
              <w:spacing w:before="70"/>
              <w:ind w:right="165"/>
              <w:rPr>
                <w:sz w:val="20"/>
              </w:rPr>
            </w:pPr>
            <w:r>
              <w:rPr>
                <w:sz w:val="20"/>
              </w:rPr>
              <w:t>6.48</w:t>
            </w:r>
          </w:p>
        </w:tc>
        <w:tc>
          <w:tcPr>
            <w:tcW w:w="1088" w:type="dxa"/>
          </w:tcPr>
          <w:p w:rsidR="007C5447" w:rsidRDefault="00F6308C">
            <w:pPr>
              <w:pStyle w:val="TableParagraph"/>
              <w:spacing w:before="70"/>
              <w:ind w:right="161"/>
              <w:rPr>
                <w:sz w:val="20"/>
              </w:rPr>
            </w:pPr>
            <w:r>
              <w:rPr>
                <w:w w:val="95"/>
                <w:sz w:val="20"/>
              </w:rPr>
              <w:t>3,597.00</w:t>
            </w:r>
          </w:p>
        </w:tc>
        <w:tc>
          <w:tcPr>
            <w:tcW w:w="1091" w:type="dxa"/>
          </w:tcPr>
          <w:p w:rsidR="007C5447" w:rsidRDefault="00F6308C">
            <w:pPr>
              <w:pStyle w:val="TableParagraph"/>
              <w:spacing w:before="70"/>
              <w:ind w:right="162"/>
              <w:rPr>
                <w:sz w:val="20"/>
              </w:rPr>
            </w:pPr>
            <w:r>
              <w:rPr>
                <w:w w:val="95"/>
                <w:sz w:val="20"/>
              </w:rPr>
              <w:t>1,420.00</w:t>
            </w:r>
          </w:p>
        </w:tc>
        <w:tc>
          <w:tcPr>
            <w:tcW w:w="1148" w:type="dxa"/>
          </w:tcPr>
          <w:p w:rsidR="007C5447" w:rsidRDefault="00F6308C">
            <w:pPr>
              <w:pStyle w:val="TableParagraph"/>
              <w:spacing w:before="70"/>
              <w:ind w:right="160"/>
              <w:rPr>
                <w:sz w:val="20"/>
              </w:rPr>
            </w:pPr>
            <w:r>
              <w:rPr>
                <w:sz w:val="20"/>
              </w:rPr>
              <w:t>3.95</w:t>
            </w:r>
          </w:p>
        </w:tc>
        <w:tc>
          <w:tcPr>
            <w:tcW w:w="1432" w:type="dxa"/>
          </w:tcPr>
          <w:p w:rsidR="007C5447" w:rsidRDefault="00F6308C">
            <w:pPr>
              <w:pStyle w:val="TableParagraph"/>
              <w:spacing w:before="70"/>
              <w:ind w:right="160"/>
              <w:rPr>
                <w:sz w:val="20"/>
              </w:rPr>
            </w:pPr>
            <w:r>
              <w:rPr>
                <w:w w:val="95"/>
                <w:sz w:val="20"/>
              </w:rPr>
              <w:t>3,597.00</w:t>
            </w:r>
          </w:p>
        </w:tc>
        <w:tc>
          <w:tcPr>
            <w:tcW w:w="1417" w:type="dxa"/>
          </w:tcPr>
          <w:p w:rsidR="007C5447" w:rsidRDefault="00F6308C">
            <w:pPr>
              <w:pStyle w:val="TableParagraph"/>
              <w:spacing w:before="70"/>
              <w:ind w:right="158"/>
              <w:rPr>
                <w:sz w:val="20"/>
              </w:rPr>
            </w:pPr>
            <w:r>
              <w:rPr>
                <w:w w:val="95"/>
                <w:sz w:val="20"/>
              </w:rPr>
              <w:t>1,420.00</w:t>
            </w:r>
          </w:p>
        </w:tc>
        <w:tc>
          <w:tcPr>
            <w:tcW w:w="1347" w:type="dxa"/>
          </w:tcPr>
          <w:p w:rsidR="007C5447" w:rsidRDefault="00F6308C">
            <w:pPr>
              <w:pStyle w:val="TableParagraph"/>
              <w:spacing w:before="70"/>
              <w:ind w:right="158"/>
              <w:rPr>
                <w:sz w:val="20"/>
              </w:rPr>
            </w:pPr>
            <w:r>
              <w:rPr>
                <w:sz w:val="20"/>
              </w:rPr>
              <w:t>3.95</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UI</w:t>
            </w:r>
          </w:p>
        </w:tc>
        <w:tc>
          <w:tcPr>
            <w:tcW w:w="1265" w:type="dxa"/>
          </w:tcPr>
          <w:p w:rsidR="007C5447" w:rsidRDefault="00F6308C">
            <w:pPr>
              <w:pStyle w:val="TableParagraph"/>
              <w:spacing w:before="70"/>
              <w:ind w:right="170"/>
              <w:rPr>
                <w:sz w:val="20"/>
              </w:rPr>
            </w:pPr>
            <w:r>
              <w:rPr>
                <w:w w:val="95"/>
                <w:sz w:val="20"/>
              </w:rPr>
              <w:t>139.39</w:t>
            </w:r>
          </w:p>
        </w:tc>
        <w:tc>
          <w:tcPr>
            <w:tcW w:w="1264" w:type="dxa"/>
          </w:tcPr>
          <w:p w:rsidR="007C5447" w:rsidRDefault="00F6308C">
            <w:pPr>
              <w:pStyle w:val="TableParagraph"/>
              <w:spacing w:before="70"/>
              <w:ind w:right="166"/>
              <w:rPr>
                <w:sz w:val="20"/>
              </w:rPr>
            </w:pPr>
            <w:r>
              <w:rPr>
                <w:w w:val="95"/>
                <w:sz w:val="20"/>
              </w:rPr>
              <w:t>45.45</w:t>
            </w:r>
          </w:p>
        </w:tc>
        <w:tc>
          <w:tcPr>
            <w:tcW w:w="1050" w:type="dxa"/>
          </w:tcPr>
          <w:p w:rsidR="007C5447" w:rsidRDefault="00F6308C">
            <w:pPr>
              <w:pStyle w:val="TableParagraph"/>
              <w:spacing w:before="70"/>
              <w:ind w:right="167"/>
              <w:rPr>
                <w:sz w:val="20"/>
              </w:rPr>
            </w:pPr>
            <w:r>
              <w:rPr>
                <w:sz w:val="20"/>
              </w:rPr>
              <w:t>3.26</w:t>
            </w:r>
          </w:p>
        </w:tc>
        <w:tc>
          <w:tcPr>
            <w:tcW w:w="1088" w:type="dxa"/>
          </w:tcPr>
          <w:p w:rsidR="007C5447" w:rsidRDefault="00F6308C">
            <w:pPr>
              <w:pStyle w:val="TableParagraph"/>
              <w:spacing w:before="70"/>
              <w:ind w:right="161"/>
              <w:rPr>
                <w:sz w:val="20"/>
              </w:rPr>
            </w:pPr>
            <w:r>
              <w:rPr>
                <w:w w:val="95"/>
                <w:sz w:val="20"/>
              </w:rPr>
              <w:t>(418.00)</w:t>
            </w:r>
          </w:p>
        </w:tc>
        <w:tc>
          <w:tcPr>
            <w:tcW w:w="1091" w:type="dxa"/>
          </w:tcPr>
          <w:p w:rsidR="007C5447" w:rsidRDefault="00F6308C">
            <w:pPr>
              <w:pStyle w:val="TableParagraph"/>
              <w:spacing w:before="70"/>
              <w:ind w:right="164"/>
              <w:rPr>
                <w:sz w:val="20"/>
              </w:rPr>
            </w:pPr>
            <w:r>
              <w:rPr>
                <w:w w:val="95"/>
                <w:sz w:val="20"/>
              </w:rPr>
              <w:t>117.00</w:t>
            </w:r>
          </w:p>
        </w:tc>
        <w:tc>
          <w:tcPr>
            <w:tcW w:w="1148" w:type="dxa"/>
          </w:tcPr>
          <w:p w:rsidR="007C5447" w:rsidRDefault="00F6308C">
            <w:pPr>
              <w:pStyle w:val="TableParagraph"/>
              <w:spacing w:before="70"/>
              <w:ind w:right="160"/>
              <w:rPr>
                <w:sz w:val="20"/>
              </w:rPr>
            </w:pPr>
            <w:r>
              <w:rPr>
                <w:sz w:val="20"/>
              </w:rPr>
              <w:t>2.80</w:t>
            </w:r>
          </w:p>
        </w:tc>
        <w:tc>
          <w:tcPr>
            <w:tcW w:w="1432" w:type="dxa"/>
          </w:tcPr>
          <w:p w:rsidR="007C5447" w:rsidRDefault="00F6308C">
            <w:pPr>
              <w:pStyle w:val="TableParagraph"/>
              <w:spacing w:before="70"/>
              <w:ind w:right="160"/>
              <w:rPr>
                <w:sz w:val="20"/>
              </w:rPr>
            </w:pPr>
            <w:r>
              <w:rPr>
                <w:w w:val="95"/>
                <w:sz w:val="20"/>
              </w:rPr>
              <w:t>(418.00)</w:t>
            </w:r>
          </w:p>
        </w:tc>
        <w:tc>
          <w:tcPr>
            <w:tcW w:w="1417" w:type="dxa"/>
          </w:tcPr>
          <w:p w:rsidR="007C5447" w:rsidRDefault="00F6308C">
            <w:pPr>
              <w:pStyle w:val="TableParagraph"/>
              <w:spacing w:before="70"/>
              <w:ind w:right="160"/>
              <w:rPr>
                <w:sz w:val="20"/>
              </w:rPr>
            </w:pPr>
            <w:r>
              <w:rPr>
                <w:w w:val="95"/>
                <w:sz w:val="20"/>
              </w:rPr>
              <w:t>117.00</w:t>
            </w:r>
          </w:p>
        </w:tc>
        <w:tc>
          <w:tcPr>
            <w:tcW w:w="1347" w:type="dxa"/>
          </w:tcPr>
          <w:p w:rsidR="007C5447" w:rsidRDefault="00F6308C">
            <w:pPr>
              <w:pStyle w:val="TableParagraph"/>
              <w:spacing w:before="70"/>
              <w:ind w:right="158"/>
              <w:rPr>
                <w:sz w:val="20"/>
              </w:rPr>
            </w:pPr>
            <w:r>
              <w:rPr>
                <w:sz w:val="20"/>
              </w:rPr>
              <w:t>2.80</w:t>
            </w:r>
          </w:p>
        </w:tc>
      </w:tr>
      <w:tr w:rsidR="007C5447">
        <w:trPr>
          <w:trHeight w:val="371"/>
        </w:trPr>
        <w:tc>
          <w:tcPr>
            <w:tcW w:w="2854" w:type="dxa"/>
            <w:tcBorders>
              <w:left w:val="single" w:sz="8" w:space="0" w:color="000000"/>
            </w:tcBorders>
          </w:tcPr>
          <w:p w:rsidR="007C5447" w:rsidRDefault="00F6308C">
            <w:pPr>
              <w:pStyle w:val="TableParagraph"/>
              <w:spacing w:before="70"/>
              <w:ind w:left="107"/>
              <w:jc w:val="left"/>
              <w:rPr>
                <w:sz w:val="20"/>
              </w:rPr>
            </w:pPr>
            <w:r>
              <w:rPr>
                <w:sz w:val="20"/>
              </w:rPr>
              <w:t>STOA</w:t>
            </w:r>
          </w:p>
        </w:tc>
        <w:tc>
          <w:tcPr>
            <w:tcW w:w="1265" w:type="dxa"/>
          </w:tcPr>
          <w:p w:rsidR="007C5447" w:rsidRDefault="00F6308C">
            <w:pPr>
              <w:pStyle w:val="TableParagraph"/>
              <w:spacing w:before="70"/>
              <w:ind w:right="170"/>
              <w:rPr>
                <w:sz w:val="20"/>
              </w:rPr>
            </w:pPr>
            <w:r>
              <w:rPr>
                <w:w w:val="95"/>
                <w:sz w:val="20"/>
              </w:rPr>
              <w:t>562.57</w:t>
            </w:r>
          </w:p>
        </w:tc>
        <w:tc>
          <w:tcPr>
            <w:tcW w:w="1264" w:type="dxa"/>
          </w:tcPr>
          <w:p w:rsidR="007C5447" w:rsidRDefault="00F6308C">
            <w:pPr>
              <w:pStyle w:val="TableParagraph"/>
              <w:spacing w:before="70"/>
              <w:ind w:right="166"/>
              <w:rPr>
                <w:sz w:val="20"/>
              </w:rPr>
            </w:pPr>
            <w:r>
              <w:rPr>
                <w:w w:val="95"/>
                <w:sz w:val="20"/>
              </w:rPr>
              <w:t>309.41</w:t>
            </w:r>
          </w:p>
        </w:tc>
        <w:tc>
          <w:tcPr>
            <w:tcW w:w="1050" w:type="dxa"/>
          </w:tcPr>
          <w:p w:rsidR="007C5447" w:rsidRDefault="00F6308C">
            <w:pPr>
              <w:pStyle w:val="TableParagraph"/>
              <w:spacing w:before="70"/>
              <w:ind w:right="167"/>
              <w:rPr>
                <w:sz w:val="20"/>
              </w:rPr>
            </w:pPr>
            <w:r>
              <w:rPr>
                <w:sz w:val="20"/>
              </w:rPr>
              <w:t>5.50</w:t>
            </w:r>
          </w:p>
        </w:tc>
        <w:tc>
          <w:tcPr>
            <w:tcW w:w="1088" w:type="dxa"/>
          </w:tcPr>
          <w:p w:rsidR="007C5447" w:rsidRDefault="00F6308C">
            <w:pPr>
              <w:pStyle w:val="TableParagraph"/>
              <w:spacing w:before="70"/>
              <w:ind w:right="161"/>
              <w:rPr>
                <w:sz w:val="20"/>
              </w:rPr>
            </w:pPr>
            <w:r>
              <w:rPr>
                <w:w w:val="95"/>
                <w:sz w:val="20"/>
              </w:rPr>
              <w:t>3,526.00</w:t>
            </w:r>
          </w:p>
        </w:tc>
        <w:tc>
          <w:tcPr>
            <w:tcW w:w="1091" w:type="dxa"/>
          </w:tcPr>
          <w:p w:rsidR="007C5447" w:rsidRDefault="00F6308C">
            <w:pPr>
              <w:pStyle w:val="TableParagraph"/>
              <w:spacing w:before="70"/>
              <w:ind w:right="162"/>
              <w:rPr>
                <w:sz w:val="20"/>
              </w:rPr>
            </w:pPr>
            <w:r>
              <w:rPr>
                <w:w w:val="95"/>
                <w:sz w:val="20"/>
              </w:rPr>
              <w:t>1,713.00</w:t>
            </w:r>
          </w:p>
        </w:tc>
        <w:tc>
          <w:tcPr>
            <w:tcW w:w="1148" w:type="dxa"/>
          </w:tcPr>
          <w:p w:rsidR="007C5447" w:rsidRDefault="00F6308C">
            <w:pPr>
              <w:pStyle w:val="TableParagraph"/>
              <w:spacing w:before="70"/>
              <w:ind w:right="160"/>
              <w:rPr>
                <w:sz w:val="20"/>
              </w:rPr>
            </w:pPr>
            <w:r>
              <w:rPr>
                <w:sz w:val="20"/>
              </w:rPr>
              <w:t>4.86</w:t>
            </w:r>
          </w:p>
        </w:tc>
        <w:tc>
          <w:tcPr>
            <w:tcW w:w="1432" w:type="dxa"/>
          </w:tcPr>
          <w:p w:rsidR="007C5447" w:rsidRDefault="00F6308C">
            <w:pPr>
              <w:pStyle w:val="TableParagraph"/>
              <w:spacing w:before="70"/>
              <w:ind w:right="160"/>
              <w:rPr>
                <w:sz w:val="20"/>
              </w:rPr>
            </w:pPr>
            <w:r>
              <w:rPr>
                <w:w w:val="95"/>
                <w:sz w:val="20"/>
              </w:rPr>
              <w:t>3,526.00</w:t>
            </w:r>
          </w:p>
        </w:tc>
        <w:tc>
          <w:tcPr>
            <w:tcW w:w="1417" w:type="dxa"/>
          </w:tcPr>
          <w:p w:rsidR="007C5447" w:rsidRDefault="00F6308C">
            <w:pPr>
              <w:pStyle w:val="TableParagraph"/>
              <w:spacing w:before="70"/>
              <w:ind w:right="158"/>
              <w:rPr>
                <w:sz w:val="20"/>
              </w:rPr>
            </w:pPr>
            <w:r>
              <w:rPr>
                <w:w w:val="95"/>
                <w:sz w:val="20"/>
              </w:rPr>
              <w:t>1,713.00</w:t>
            </w:r>
          </w:p>
        </w:tc>
        <w:tc>
          <w:tcPr>
            <w:tcW w:w="1347" w:type="dxa"/>
          </w:tcPr>
          <w:p w:rsidR="007C5447" w:rsidRDefault="00F6308C">
            <w:pPr>
              <w:pStyle w:val="TableParagraph"/>
              <w:spacing w:before="70"/>
              <w:ind w:right="158"/>
              <w:rPr>
                <w:sz w:val="20"/>
              </w:rPr>
            </w:pPr>
            <w:r>
              <w:rPr>
                <w:sz w:val="20"/>
              </w:rPr>
              <w:t>4.86</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CPP Traders</w:t>
            </w:r>
          </w:p>
        </w:tc>
        <w:tc>
          <w:tcPr>
            <w:tcW w:w="1265" w:type="dxa"/>
          </w:tcPr>
          <w:p w:rsidR="007C5447" w:rsidRDefault="00F6308C">
            <w:pPr>
              <w:pStyle w:val="TableParagraph"/>
              <w:spacing w:before="70"/>
              <w:ind w:right="168"/>
              <w:rPr>
                <w:sz w:val="20"/>
              </w:rPr>
            </w:pPr>
            <w:r>
              <w:rPr>
                <w:w w:val="95"/>
                <w:sz w:val="20"/>
              </w:rPr>
              <w:t>5,591.10</w:t>
            </w:r>
          </w:p>
        </w:tc>
        <w:tc>
          <w:tcPr>
            <w:tcW w:w="1264" w:type="dxa"/>
          </w:tcPr>
          <w:p w:rsidR="007C5447" w:rsidRDefault="00F6308C">
            <w:pPr>
              <w:pStyle w:val="TableParagraph"/>
              <w:spacing w:before="70"/>
              <w:ind w:right="164"/>
              <w:rPr>
                <w:sz w:val="20"/>
              </w:rPr>
            </w:pPr>
            <w:r>
              <w:rPr>
                <w:w w:val="95"/>
                <w:sz w:val="20"/>
              </w:rPr>
              <w:t>2,965.53</w:t>
            </w:r>
          </w:p>
        </w:tc>
        <w:tc>
          <w:tcPr>
            <w:tcW w:w="1050" w:type="dxa"/>
          </w:tcPr>
          <w:p w:rsidR="007C5447" w:rsidRDefault="00F6308C">
            <w:pPr>
              <w:pStyle w:val="TableParagraph"/>
              <w:spacing w:before="70"/>
              <w:ind w:right="167"/>
              <w:rPr>
                <w:sz w:val="20"/>
              </w:rPr>
            </w:pPr>
            <w:r>
              <w:rPr>
                <w:sz w:val="20"/>
              </w:rPr>
              <w:t>5.30</w:t>
            </w: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F6308C">
            <w:pPr>
              <w:pStyle w:val="TableParagraph"/>
              <w:spacing w:before="70"/>
              <w:ind w:right="158"/>
              <w:rPr>
                <w:sz w:val="20"/>
              </w:rPr>
            </w:pPr>
            <w:r>
              <w:rPr>
                <w:w w:val="99"/>
                <w:sz w:val="20"/>
              </w:rPr>
              <w:t>-</w:t>
            </w:r>
          </w:p>
        </w:tc>
        <w:tc>
          <w:tcPr>
            <w:tcW w:w="1417" w:type="dxa"/>
          </w:tcPr>
          <w:p w:rsidR="007C5447" w:rsidRDefault="00F6308C">
            <w:pPr>
              <w:pStyle w:val="TableParagraph"/>
              <w:spacing w:before="70"/>
              <w:ind w:right="156"/>
              <w:rPr>
                <w:sz w:val="20"/>
              </w:rPr>
            </w:pPr>
            <w:r>
              <w:rPr>
                <w:w w:val="99"/>
                <w:sz w:val="20"/>
              </w:rPr>
              <w:t>-</w:t>
            </w: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Case 1 - Bidding (MTOA)</w:t>
            </w:r>
          </w:p>
        </w:tc>
        <w:tc>
          <w:tcPr>
            <w:tcW w:w="1265" w:type="dxa"/>
          </w:tcPr>
          <w:p w:rsidR="007C5447" w:rsidRDefault="007C5447">
            <w:pPr>
              <w:pStyle w:val="TableParagraph"/>
              <w:jc w:val="left"/>
              <w:rPr>
                <w:sz w:val="20"/>
              </w:rPr>
            </w:pPr>
          </w:p>
        </w:tc>
        <w:tc>
          <w:tcPr>
            <w:tcW w:w="1264" w:type="dxa"/>
          </w:tcPr>
          <w:p w:rsidR="007C5447" w:rsidRDefault="007C5447">
            <w:pPr>
              <w:pStyle w:val="TableParagraph"/>
              <w:jc w:val="left"/>
              <w:rPr>
                <w:sz w:val="20"/>
              </w:rPr>
            </w:pPr>
          </w:p>
        </w:tc>
        <w:tc>
          <w:tcPr>
            <w:tcW w:w="1050" w:type="dxa"/>
          </w:tcPr>
          <w:p w:rsidR="007C5447" w:rsidRDefault="007C5447">
            <w:pPr>
              <w:pStyle w:val="TableParagraph"/>
              <w:jc w:val="left"/>
              <w:rPr>
                <w:sz w:val="20"/>
              </w:rPr>
            </w:pPr>
          </w:p>
        </w:tc>
        <w:tc>
          <w:tcPr>
            <w:tcW w:w="1088" w:type="dxa"/>
          </w:tcPr>
          <w:p w:rsidR="007C5447" w:rsidRDefault="00F6308C">
            <w:pPr>
              <w:pStyle w:val="TableParagraph"/>
              <w:spacing w:before="70"/>
              <w:ind w:right="161"/>
              <w:rPr>
                <w:sz w:val="20"/>
              </w:rPr>
            </w:pPr>
            <w:r>
              <w:rPr>
                <w:w w:val="95"/>
                <w:sz w:val="20"/>
              </w:rPr>
              <w:t>3,465.00</w:t>
            </w:r>
          </w:p>
        </w:tc>
        <w:tc>
          <w:tcPr>
            <w:tcW w:w="1091" w:type="dxa"/>
          </w:tcPr>
          <w:p w:rsidR="007C5447" w:rsidRDefault="00F6308C">
            <w:pPr>
              <w:pStyle w:val="TableParagraph"/>
              <w:spacing w:before="70"/>
              <w:ind w:right="162"/>
              <w:rPr>
                <w:sz w:val="20"/>
              </w:rPr>
            </w:pPr>
            <w:r>
              <w:rPr>
                <w:w w:val="95"/>
                <w:sz w:val="20"/>
              </w:rPr>
              <w:t>1,728.00</w:t>
            </w:r>
          </w:p>
        </w:tc>
        <w:tc>
          <w:tcPr>
            <w:tcW w:w="1148" w:type="dxa"/>
          </w:tcPr>
          <w:p w:rsidR="007C5447" w:rsidRDefault="00F6308C">
            <w:pPr>
              <w:pStyle w:val="TableParagraph"/>
              <w:spacing w:before="70"/>
              <w:ind w:right="160"/>
              <w:rPr>
                <w:sz w:val="20"/>
              </w:rPr>
            </w:pPr>
            <w:r>
              <w:rPr>
                <w:sz w:val="20"/>
              </w:rPr>
              <w:t>4.99</w:t>
            </w:r>
          </w:p>
        </w:tc>
        <w:tc>
          <w:tcPr>
            <w:tcW w:w="1432" w:type="dxa"/>
          </w:tcPr>
          <w:p w:rsidR="007C5447" w:rsidRDefault="00F6308C">
            <w:pPr>
              <w:pStyle w:val="TableParagraph"/>
              <w:spacing w:before="70"/>
              <w:ind w:right="160"/>
              <w:rPr>
                <w:sz w:val="20"/>
              </w:rPr>
            </w:pPr>
            <w:r>
              <w:rPr>
                <w:w w:val="95"/>
                <w:sz w:val="20"/>
              </w:rPr>
              <w:t>3,465.00</w:t>
            </w:r>
          </w:p>
        </w:tc>
        <w:tc>
          <w:tcPr>
            <w:tcW w:w="1417" w:type="dxa"/>
          </w:tcPr>
          <w:p w:rsidR="007C5447" w:rsidRDefault="00F6308C">
            <w:pPr>
              <w:pStyle w:val="TableParagraph"/>
              <w:spacing w:before="70"/>
              <w:ind w:right="158"/>
              <w:rPr>
                <w:sz w:val="20"/>
              </w:rPr>
            </w:pPr>
            <w:r>
              <w:rPr>
                <w:w w:val="95"/>
                <w:sz w:val="20"/>
              </w:rPr>
              <w:t>1,728.00</w:t>
            </w:r>
          </w:p>
        </w:tc>
        <w:tc>
          <w:tcPr>
            <w:tcW w:w="1347" w:type="dxa"/>
          </w:tcPr>
          <w:p w:rsidR="007C5447" w:rsidRDefault="00F6308C">
            <w:pPr>
              <w:pStyle w:val="TableParagraph"/>
              <w:spacing w:before="70"/>
              <w:ind w:right="158"/>
              <w:rPr>
                <w:sz w:val="20"/>
              </w:rPr>
            </w:pPr>
            <w:r>
              <w:rPr>
                <w:sz w:val="20"/>
              </w:rPr>
              <w:t>4.99</w:t>
            </w:r>
          </w:p>
        </w:tc>
      </w:tr>
      <w:tr w:rsidR="007C5447">
        <w:trPr>
          <w:trHeight w:val="371"/>
        </w:trPr>
        <w:tc>
          <w:tcPr>
            <w:tcW w:w="2854" w:type="dxa"/>
            <w:tcBorders>
              <w:left w:val="single" w:sz="8" w:space="0" w:color="000000"/>
            </w:tcBorders>
          </w:tcPr>
          <w:p w:rsidR="007C5447" w:rsidRDefault="00F6308C">
            <w:pPr>
              <w:pStyle w:val="TableParagraph"/>
              <w:spacing w:before="70"/>
              <w:ind w:left="107"/>
              <w:jc w:val="left"/>
              <w:rPr>
                <w:sz w:val="20"/>
              </w:rPr>
            </w:pPr>
            <w:r>
              <w:rPr>
                <w:sz w:val="20"/>
              </w:rPr>
              <w:t>MTOA - Jindal</w:t>
            </w:r>
          </w:p>
        </w:tc>
        <w:tc>
          <w:tcPr>
            <w:tcW w:w="1265" w:type="dxa"/>
          </w:tcPr>
          <w:p w:rsidR="007C5447" w:rsidRDefault="00F6308C">
            <w:pPr>
              <w:pStyle w:val="TableParagraph"/>
              <w:spacing w:before="70"/>
              <w:ind w:right="170"/>
              <w:rPr>
                <w:sz w:val="20"/>
              </w:rPr>
            </w:pPr>
            <w:r>
              <w:rPr>
                <w:w w:val="95"/>
                <w:sz w:val="20"/>
              </w:rPr>
              <w:t>413.95</w:t>
            </w:r>
          </w:p>
        </w:tc>
        <w:tc>
          <w:tcPr>
            <w:tcW w:w="1264" w:type="dxa"/>
          </w:tcPr>
          <w:p w:rsidR="007C5447" w:rsidRDefault="00F6308C">
            <w:pPr>
              <w:pStyle w:val="TableParagraph"/>
              <w:spacing w:before="70"/>
              <w:ind w:right="166"/>
              <w:rPr>
                <w:sz w:val="20"/>
              </w:rPr>
            </w:pPr>
            <w:r>
              <w:rPr>
                <w:w w:val="95"/>
                <w:sz w:val="20"/>
              </w:rPr>
              <w:t>164.59</w:t>
            </w:r>
          </w:p>
        </w:tc>
        <w:tc>
          <w:tcPr>
            <w:tcW w:w="1050" w:type="dxa"/>
          </w:tcPr>
          <w:p w:rsidR="007C5447" w:rsidRDefault="00F6308C">
            <w:pPr>
              <w:pStyle w:val="TableParagraph"/>
              <w:spacing w:before="70"/>
              <w:ind w:right="167"/>
              <w:rPr>
                <w:sz w:val="20"/>
              </w:rPr>
            </w:pPr>
            <w:r>
              <w:rPr>
                <w:sz w:val="20"/>
              </w:rPr>
              <w:t>3.98</w:t>
            </w: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F6308C">
            <w:pPr>
              <w:pStyle w:val="TableParagraph"/>
              <w:spacing w:before="70"/>
              <w:ind w:right="158"/>
              <w:rPr>
                <w:sz w:val="20"/>
              </w:rPr>
            </w:pPr>
            <w:r>
              <w:rPr>
                <w:w w:val="99"/>
                <w:sz w:val="20"/>
              </w:rPr>
              <w:t>-</w:t>
            </w:r>
          </w:p>
        </w:tc>
        <w:tc>
          <w:tcPr>
            <w:tcW w:w="1417" w:type="dxa"/>
          </w:tcPr>
          <w:p w:rsidR="007C5447" w:rsidRDefault="00F6308C">
            <w:pPr>
              <w:pStyle w:val="TableParagraph"/>
              <w:spacing w:before="70"/>
              <w:ind w:right="156"/>
              <w:rPr>
                <w:sz w:val="20"/>
              </w:rPr>
            </w:pPr>
            <w:r>
              <w:rPr>
                <w:w w:val="99"/>
                <w:sz w:val="20"/>
              </w:rPr>
              <w:t>-</w:t>
            </w: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MTOA – Adani</w:t>
            </w:r>
          </w:p>
        </w:tc>
        <w:tc>
          <w:tcPr>
            <w:tcW w:w="1265" w:type="dxa"/>
          </w:tcPr>
          <w:p w:rsidR="007C5447" w:rsidRDefault="00F6308C">
            <w:pPr>
              <w:pStyle w:val="TableParagraph"/>
              <w:spacing w:before="70"/>
              <w:ind w:right="170"/>
              <w:rPr>
                <w:sz w:val="20"/>
              </w:rPr>
            </w:pPr>
            <w:r>
              <w:rPr>
                <w:w w:val="95"/>
                <w:sz w:val="20"/>
              </w:rPr>
              <w:t>407.40</w:t>
            </w:r>
          </w:p>
        </w:tc>
        <w:tc>
          <w:tcPr>
            <w:tcW w:w="1264" w:type="dxa"/>
          </w:tcPr>
          <w:p w:rsidR="007C5447" w:rsidRDefault="00F6308C">
            <w:pPr>
              <w:pStyle w:val="TableParagraph"/>
              <w:spacing w:before="70"/>
              <w:ind w:right="166"/>
              <w:rPr>
                <w:sz w:val="20"/>
              </w:rPr>
            </w:pPr>
            <w:r>
              <w:rPr>
                <w:w w:val="95"/>
                <w:sz w:val="20"/>
              </w:rPr>
              <w:t>171.17</w:t>
            </w:r>
          </w:p>
        </w:tc>
        <w:tc>
          <w:tcPr>
            <w:tcW w:w="1050" w:type="dxa"/>
          </w:tcPr>
          <w:p w:rsidR="007C5447" w:rsidRDefault="00F6308C">
            <w:pPr>
              <w:pStyle w:val="TableParagraph"/>
              <w:spacing w:before="70"/>
              <w:ind w:right="167"/>
              <w:rPr>
                <w:sz w:val="20"/>
              </w:rPr>
            </w:pPr>
            <w:r>
              <w:rPr>
                <w:sz w:val="20"/>
              </w:rPr>
              <w:t>4.20</w:t>
            </w: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F6308C">
            <w:pPr>
              <w:pStyle w:val="TableParagraph"/>
              <w:spacing w:before="70"/>
              <w:ind w:right="158"/>
              <w:rPr>
                <w:sz w:val="20"/>
              </w:rPr>
            </w:pPr>
            <w:r>
              <w:rPr>
                <w:w w:val="99"/>
                <w:sz w:val="20"/>
              </w:rPr>
              <w:t>-</w:t>
            </w:r>
          </w:p>
        </w:tc>
        <w:tc>
          <w:tcPr>
            <w:tcW w:w="1417" w:type="dxa"/>
          </w:tcPr>
          <w:p w:rsidR="007C5447" w:rsidRDefault="00F6308C">
            <w:pPr>
              <w:pStyle w:val="TableParagraph"/>
              <w:spacing w:before="70"/>
              <w:ind w:right="156"/>
              <w:rPr>
                <w:sz w:val="20"/>
              </w:rPr>
            </w:pPr>
            <w:r>
              <w:rPr>
                <w:w w:val="99"/>
                <w:sz w:val="20"/>
              </w:rPr>
              <w:t>-</w:t>
            </w: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sz w:val="20"/>
              </w:rPr>
            </w:pPr>
            <w:r>
              <w:rPr>
                <w:sz w:val="20"/>
              </w:rPr>
              <w:t>MTOA – LANCO (NETS)</w:t>
            </w:r>
          </w:p>
        </w:tc>
        <w:tc>
          <w:tcPr>
            <w:tcW w:w="1265" w:type="dxa"/>
          </w:tcPr>
          <w:p w:rsidR="007C5447" w:rsidRDefault="00F6308C">
            <w:pPr>
              <w:pStyle w:val="TableParagraph"/>
              <w:spacing w:before="70"/>
              <w:ind w:right="170"/>
              <w:rPr>
                <w:sz w:val="20"/>
              </w:rPr>
            </w:pPr>
            <w:r>
              <w:rPr>
                <w:w w:val="95"/>
                <w:sz w:val="20"/>
              </w:rPr>
              <w:t>203.84</w:t>
            </w:r>
          </w:p>
        </w:tc>
        <w:tc>
          <w:tcPr>
            <w:tcW w:w="1264" w:type="dxa"/>
          </w:tcPr>
          <w:p w:rsidR="007C5447" w:rsidRDefault="00F6308C">
            <w:pPr>
              <w:pStyle w:val="TableParagraph"/>
              <w:spacing w:before="70"/>
              <w:ind w:right="166"/>
              <w:rPr>
                <w:sz w:val="20"/>
              </w:rPr>
            </w:pPr>
            <w:r>
              <w:rPr>
                <w:w w:val="95"/>
                <w:sz w:val="20"/>
              </w:rPr>
              <w:t>95.54</w:t>
            </w:r>
          </w:p>
        </w:tc>
        <w:tc>
          <w:tcPr>
            <w:tcW w:w="1050" w:type="dxa"/>
          </w:tcPr>
          <w:p w:rsidR="007C5447" w:rsidRDefault="00F6308C">
            <w:pPr>
              <w:pStyle w:val="TableParagraph"/>
              <w:spacing w:before="70"/>
              <w:ind w:right="167"/>
              <w:rPr>
                <w:sz w:val="20"/>
              </w:rPr>
            </w:pPr>
            <w:r>
              <w:rPr>
                <w:sz w:val="20"/>
              </w:rPr>
              <w:t>4.69</w:t>
            </w: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F6308C">
            <w:pPr>
              <w:pStyle w:val="TableParagraph"/>
              <w:spacing w:before="70"/>
              <w:ind w:right="158"/>
              <w:rPr>
                <w:sz w:val="20"/>
              </w:rPr>
            </w:pPr>
            <w:r>
              <w:rPr>
                <w:w w:val="99"/>
                <w:sz w:val="20"/>
              </w:rPr>
              <w:t>-</w:t>
            </w:r>
          </w:p>
        </w:tc>
        <w:tc>
          <w:tcPr>
            <w:tcW w:w="1417" w:type="dxa"/>
          </w:tcPr>
          <w:p w:rsidR="007C5447" w:rsidRDefault="00F6308C">
            <w:pPr>
              <w:pStyle w:val="TableParagraph"/>
              <w:spacing w:before="70"/>
              <w:ind w:right="156"/>
              <w:rPr>
                <w:sz w:val="20"/>
              </w:rPr>
            </w:pPr>
            <w:r>
              <w:rPr>
                <w:w w:val="99"/>
                <w:sz w:val="20"/>
              </w:rPr>
              <w:t>-</w:t>
            </w:r>
          </w:p>
        </w:tc>
        <w:tc>
          <w:tcPr>
            <w:tcW w:w="1347" w:type="dxa"/>
          </w:tcPr>
          <w:p w:rsidR="007C5447" w:rsidRDefault="007C5447">
            <w:pPr>
              <w:pStyle w:val="TableParagraph"/>
              <w:jc w:val="left"/>
              <w:rPr>
                <w:sz w:val="20"/>
              </w:rPr>
            </w:pPr>
          </w:p>
        </w:tc>
      </w:tr>
      <w:tr w:rsidR="007C5447">
        <w:trPr>
          <w:trHeight w:val="371"/>
        </w:trPr>
        <w:tc>
          <w:tcPr>
            <w:tcW w:w="2854" w:type="dxa"/>
            <w:tcBorders>
              <w:left w:val="single" w:sz="8" w:space="0" w:color="000000"/>
            </w:tcBorders>
          </w:tcPr>
          <w:p w:rsidR="007C5447" w:rsidRDefault="00F6308C">
            <w:pPr>
              <w:pStyle w:val="TableParagraph"/>
              <w:spacing w:before="70"/>
              <w:ind w:left="107"/>
              <w:jc w:val="left"/>
              <w:rPr>
                <w:sz w:val="20"/>
              </w:rPr>
            </w:pPr>
            <w:r>
              <w:rPr>
                <w:sz w:val="20"/>
              </w:rPr>
              <w:t>NTPC NVVN (Solar)</w:t>
            </w:r>
          </w:p>
        </w:tc>
        <w:tc>
          <w:tcPr>
            <w:tcW w:w="1265" w:type="dxa"/>
          </w:tcPr>
          <w:p w:rsidR="007C5447" w:rsidRDefault="00F6308C">
            <w:pPr>
              <w:pStyle w:val="TableParagraph"/>
              <w:spacing w:before="70"/>
              <w:ind w:right="170"/>
              <w:rPr>
                <w:sz w:val="20"/>
              </w:rPr>
            </w:pPr>
            <w:r>
              <w:rPr>
                <w:w w:val="95"/>
                <w:sz w:val="20"/>
              </w:rPr>
              <w:t>12.13</w:t>
            </w:r>
          </w:p>
        </w:tc>
        <w:tc>
          <w:tcPr>
            <w:tcW w:w="1264" w:type="dxa"/>
          </w:tcPr>
          <w:p w:rsidR="007C5447" w:rsidRDefault="00F6308C">
            <w:pPr>
              <w:pStyle w:val="TableParagraph"/>
              <w:spacing w:before="70"/>
              <w:ind w:right="166"/>
              <w:rPr>
                <w:sz w:val="20"/>
              </w:rPr>
            </w:pPr>
            <w:r>
              <w:rPr>
                <w:sz w:val="20"/>
              </w:rPr>
              <w:t>4.77</w:t>
            </w:r>
          </w:p>
        </w:tc>
        <w:tc>
          <w:tcPr>
            <w:tcW w:w="1050" w:type="dxa"/>
          </w:tcPr>
          <w:p w:rsidR="007C5447" w:rsidRDefault="00F6308C">
            <w:pPr>
              <w:pStyle w:val="TableParagraph"/>
              <w:spacing w:before="70"/>
              <w:ind w:right="167"/>
              <w:rPr>
                <w:sz w:val="20"/>
              </w:rPr>
            </w:pPr>
            <w:r>
              <w:rPr>
                <w:sz w:val="20"/>
              </w:rPr>
              <w:t>3.93</w:t>
            </w: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F6308C">
            <w:pPr>
              <w:pStyle w:val="TableParagraph"/>
              <w:spacing w:before="70"/>
              <w:ind w:right="158"/>
              <w:rPr>
                <w:sz w:val="20"/>
              </w:rPr>
            </w:pPr>
            <w:r>
              <w:rPr>
                <w:w w:val="99"/>
                <w:sz w:val="20"/>
              </w:rPr>
              <w:t>-</w:t>
            </w:r>
          </w:p>
        </w:tc>
        <w:tc>
          <w:tcPr>
            <w:tcW w:w="1417" w:type="dxa"/>
          </w:tcPr>
          <w:p w:rsidR="007C5447" w:rsidRDefault="00F6308C">
            <w:pPr>
              <w:pStyle w:val="TableParagraph"/>
              <w:spacing w:before="70"/>
              <w:ind w:right="156"/>
              <w:rPr>
                <w:sz w:val="20"/>
              </w:rPr>
            </w:pPr>
            <w:r>
              <w:rPr>
                <w:w w:val="99"/>
                <w:sz w:val="20"/>
              </w:rPr>
              <w:t>-</w:t>
            </w: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b/>
                <w:sz w:val="20"/>
              </w:rPr>
            </w:pPr>
            <w:r>
              <w:rPr>
                <w:b/>
                <w:sz w:val="20"/>
              </w:rPr>
              <w:t>Total Other Sources</w:t>
            </w:r>
          </w:p>
        </w:tc>
        <w:tc>
          <w:tcPr>
            <w:tcW w:w="1265" w:type="dxa"/>
          </w:tcPr>
          <w:p w:rsidR="007C5447" w:rsidRDefault="00F6308C">
            <w:pPr>
              <w:pStyle w:val="TableParagraph"/>
              <w:spacing w:before="70"/>
              <w:ind w:right="170"/>
              <w:rPr>
                <w:b/>
                <w:sz w:val="20"/>
              </w:rPr>
            </w:pPr>
            <w:r>
              <w:rPr>
                <w:b/>
                <w:w w:val="95"/>
                <w:sz w:val="20"/>
              </w:rPr>
              <w:t>10,360.38</w:t>
            </w:r>
          </w:p>
        </w:tc>
        <w:tc>
          <w:tcPr>
            <w:tcW w:w="1264" w:type="dxa"/>
          </w:tcPr>
          <w:p w:rsidR="007C5447" w:rsidRDefault="00F6308C">
            <w:pPr>
              <w:pStyle w:val="TableParagraph"/>
              <w:spacing w:before="70"/>
              <w:ind w:right="164"/>
              <w:rPr>
                <w:b/>
                <w:sz w:val="20"/>
              </w:rPr>
            </w:pPr>
            <w:r>
              <w:rPr>
                <w:b/>
                <w:sz w:val="20"/>
              </w:rPr>
              <w:t>5720.63</w:t>
            </w:r>
          </w:p>
        </w:tc>
        <w:tc>
          <w:tcPr>
            <w:tcW w:w="1050" w:type="dxa"/>
          </w:tcPr>
          <w:p w:rsidR="007C5447" w:rsidRDefault="00F6308C">
            <w:pPr>
              <w:pStyle w:val="TableParagraph"/>
              <w:spacing w:before="70"/>
              <w:ind w:right="167"/>
              <w:rPr>
                <w:b/>
                <w:sz w:val="20"/>
              </w:rPr>
            </w:pPr>
            <w:r>
              <w:rPr>
                <w:b/>
                <w:sz w:val="20"/>
              </w:rPr>
              <w:t>5.52</w:t>
            </w:r>
          </w:p>
        </w:tc>
        <w:tc>
          <w:tcPr>
            <w:tcW w:w="1088" w:type="dxa"/>
          </w:tcPr>
          <w:p w:rsidR="007C5447" w:rsidRDefault="00F6308C">
            <w:pPr>
              <w:pStyle w:val="TableParagraph"/>
              <w:spacing w:before="70"/>
              <w:ind w:right="161"/>
              <w:rPr>
                <w:b/>
                <w:sz w:val="20"/>
              </w:rPr>
            </w:pPr>
            <w:r>
              <w:rPr>
                <w:b/>
                <w:w w:val="95"/>
                <w:sz w:val="20"/>
              </w:rPr>
              <w:t>10,170.00</w:t>
            </w:r>
          </w:p>
        </w:tc>
        <w:tc>
          <w:tcPr>
            <w:tcW w:w="1091" w:type="dxa"/>
          </w:tcPr>
          <w:p w:rsidR="007C5447" w:rsidRDefault="00F6308C">
            <w:pPr>
              <w:pStyle w:val="TableParagraph"/>
              <w:spacing w:before="70"/>
              <w:ind w:right="162"/>
              <w:rPr>
                <w:b/>
                <w:sz w:val="20"/>
              </w:rPr>
            </w:pPr>
            <w:r>
              <w:rPr>
                <w:b/>
                <w:w w:val="95"/>
                <w:sz w:val="20"/>
              </w:rPr>
              <w:t>4,978.00</w:t>
            </w:r>
          </w:p>
        </w:tc>
        <w:tc>
          <w:tcPr>
            <w:tcW w:w="1148" w:type="dxa"/>
          </w:tcPr>
          <w:p w:rsidR="007C5447" w:rsidRDefault="00F6308C">
            <w:pPr>
              <w:pStyle w:val="TableParagraph"/>
              <w:spacing w:before="70"/>
              <w:ind w:right="160"/>
              <w:rPr>
                <w:b/>
                <w:sz w:val="20"/>
              </w:rPr>
            </w:pPr>
            <w:r>
              <w:rPr>
                <w:b/>
                <w:sz w:val="20"/>
              </w:rPr>
              <w:t>4.89</w:t>
            </w:r>
          </w:p>
        </w:tc>
        <w:tc>
          <w:tcPr>
            <w:tcW w:w="1432" w:type="dxa"/>
          </w:tcPr>
          <w:p w:rsidR="007C5447" w:rsidRDefault="00F6308C">
            <w:pPr>
              <w:pStyle w:val="TableParagraph"/>
              <w:spacing w:before="70"/>
              <w:ind w:right="162"/>
              <w:rPr>
                <w:b/>
                <w:sz w:val="20"/>
              </w:rPr>
            </w:pPr>
            <w:r>
              <w:rPr>
                <w:b/>
                <w:w w:val="95"/>
                <w:sz w:val="20"/>
              </w:rPr>
              <w:t>10,170.00</w:t>
            </w:r>
          </w:p>
        </w:tc>
        <w:tc>
          <w:tcPr>
            <w:tcW w:w="1417" w:type="dxa"/>
          </w:tcPr>
          <w:p w:rsidR="007C5447" w:rsidRDefault="00F6308C">
            <w:pPr>
              <w:pStyle w:val="TableParagraph"/>
              <w:spacing w:before="70"/>
              <w:ind w:right="158"/>
              <w:rPr>
                <w:b/>
                <w:sz w:val="20"/>
              </w:rPr>
            </w:pPr>
            <w:r>
              <w:rPr>
                <w:b/>
                <w:w w:val="95"/>
                <w:sz w:val="20"/>
              </w:rPr>
              <w:t>4,978.00</w:t>
            </w:r>
          </w:p>
        </w:tc>
        <w:tc>
          <w:tcPr>
            <w:tcW w:w="1347" w:type="dxa"/>
          </w:tcPr>
          <w:p w:rsidR="007C5447" w:rsidRDefault="00F6308C">
            <w:pPr>
              <w:pStyle w:val="TableParagraph"/>
              <w:spacing w:before="70"/>
              <w:ind w:right="158"/>
              <w:rPr>
                <w:b/>
                <w:sz w:val="20"/>
              </w:rPr>
            </w:pPr>
            <w:r>
              <w:rPr>
                <w:b/>
                <w:sz w:val="20"/>
              </w:rPr>
              <w:t>4.89</w:t>
            </w: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b/>
                <w:sz w:val="20"/>
              </w:rPr>
            </w:pPr>
            <w:r>
              <w:rPr>
                <w:b/>
                <w:sz w:val="20"/>
              </w:rPr>
              <w:t>Gross Power Purchase</w:t>
            </w:r>
          </w:p>
        </w:tc>
        <w:tc>
          <w:tcPr>
            <w:tcW w:w="1265" w:type="dxa"/>
          </w:tcPr>
          <w:p w:rsidR="007C5447" w:rsidRDefault="00F6308C">
            <w:pPr>
              <w:pStyle w:val="TableParagraph"/>
              <w:spacing w:before="70"/>
              <w:ind w:right="170"/>
              <w:rPr>
                <w:b/>
                <w:sz w:val="20"/>
              </w:rPr>
            </w:pPr>
            <w:r>
              <w:rPr>
                <w:b/>
                <w:w w:val="95"/>
                <w:sz w:val="20"/>
              </w:rPr>
              <w:t>71,914.02</w:t>
            </w:r>
          </w:p>
        </w:tc>
        <w:tc>
          <w:tcPr>
            <w:tcW w:w="1264" w:type="dxa"/>
          </w:tcPr>
          <w:p w:rsidR="007C5447" w:rsidRDefault="00F6308C">
            <w:pPr>
              <w:pStyle w:val="TableParagraph"/>
              <w:spacing w:before="70"/>
              <w:ind w:right="167"/>
              <w:rPr>
                <w:b/>
                <w:sz w:val="20"/>
              </w:rPr>
            </w:pPr>
            <w:r>
              <w:rPr>
                <w:b/>
                <w:w w:val="95"/>
                <w:sz w:val="20"/>
              </w:rPr>
              <w:t>26,842.77</w:t>
            </w:r>
          </w:p>
        </w:tc>
        <w:tc>
          <w:tcPr>
            <w:tcW w:w="1050" w:type="dxa"/>
          </w:tcPr>
          <w:p w:rsidR="007C5447" w:rsidRDefault="00F6308C">
            <w:pPr>
              <w:pStyle w:val="TableParagraph"/>
              <w:spacing w:before="70"/>
              <w:ind w:right="167"/>
              <w:rPr>
                <w:b/>
                <w:sz w:val="20"/>
              </w:rPr>
            </w:pPr>
            <w:r>
              <w:rPr>
                <w:b/>
                <w:sz w:val="20"/>
              </w:rPr>
              <w:t>3.73</w:t>
            </w:r>
          </w:p>
        </w:tc>
        <w:tc>
          <w:tcPr>
            <w:tcW w:w="1088" w:type="dxa"/>
          </w:tcPr>
          <w:p w:rsidR="007C5447" w:rsidRDefault="00F6308C">
            <w:pPr>
              <w:pStyle w:val="TableParagraph"/>
              <w:spacing w:before="70"/>
              <w:ind w:right="161"/>
              <w:rPr>
                <w:b/>
                <w:sz w:val="20"/>
              </w:rPr>
            </w:pPr>
            <w:r>
              <w:rPr>
                <w:b/>
                <w:w w:val="95"/>
                <w:sz w:val="20"/>
              </w:rPr>
              <w:t>75,333.19</w:t>
            </w:r>
          </w:p>
        </w:tc>
        <w:tc>
          <w:tcPr>
            <w:tcW w:w="1091" w:type="dxa"/>
          </w:tcPr>
          <w:p w:rsidR="007C5447" w:rsidRDefault="00F6308C">
            <w:pPr>
              <w:pStyle w:val="TableParagraph"/>
              <w:spacing w:before="70"/>
              <w:ind w:right="162"/>
              <w:rPr>
                <w:b/>
                <w:sz w:val="20"/>
              </w:rPr>
            </w:pPr>
            <w:r>
              <w:rPr>
                <w:b/>
                <w:w w:val="95"/>
                <w:sz w:val="20"/>
              </w:rPr>
              <w:t>32,716.28</w:t>
            </w:r>
          </w:p>
        </w:tc>
        <w:tc>
          <w:tcPr>
            <w:tcW w:w="1148" w:type="dxa"/>
          </w:tcPr>
          <w:p w:rsidR="007C5447" w:rsidRDefault="00F6308C">
            <w:pPr>
              <w:pStyle w:val="TableParagraph"/>
              <w:spacing w:before="70"/>
              <w:ind w:right="160"/>
              <w:rPr>
                <w:b/>
                <w:sz w:val="20"/>
              </w:rPr>
            </w:pPr>
            <w:r>
              <w:rPr>
                <w:b/>
                <w:sz w:val="20"/>
              </w:rPr>
              <w:t>4.34</w:t>
            </w:r>
          </w:p>
        </w:tc>
        <w:tc>
          <w:tcPr>
            <w:tcW w:w="1432" w:type="dxa"/>
          </w:tcPr>
          <w:p w:rsidR="007C5447" w:rsidRDefault="00F6308C">
            <w:pPr>
              <w:pStyle w:val="TableParagraph"/>
              <w:spacing w:before="70"/>
              <w:ind w:right="162"/>
              <w:rPr>
                <w:b/>
                <w:sz w:val="20"/>
              </w:rPr>
            </w:pPr>
            <w:r>
              <w:rPr>
                <w:b/>
                <w:w w:val="95"/>
                <w:sz w:val="20"/>
              </w:rPr>
              <w:t>72,116.61</w:t>
            </w:r>
          </w:p>
        </w:tc>
        <w:tc>
          <w:tcPr>
            <w:tcW w:w="1417" w:type="dxa"/>
          </w:tcPr>
          <w:p w:rsidR="007C5447" w:rsidRDefault="00F6308C">
            <w:pPr>
              <w:pStyle w:val="TableParagraph"/>
              <w:spacing w:before="70"/>
              <w:ind w:right="159"/>
              <w:rPr>
                <w:b/>
                <w:sz w:val="20"/>
              </w:rPr>
            </w:pPr>
            <w:r>
              <w:rPr>
                <w:b/>
                <w:w w:val="95"/>
                <w:sz w:val="20"/>
              </w:rPr>
              <w:t>25,351.36</w:t>
            </w:r>
          </w:p>
        </w:tc>
        <w:tc>
          <w:tcPr>
            <w:tcW w:w="1347" w:type="dxa"/>
          </w:tcPr>
          <w:p w:rsidR="007C5447" w:rsidRDefault="00F6308C">
            <w:pPr>
              <w:pStyle w:val="TableParagraph"/>
              <w:spacing w:before="70"/>
              <w:ind w:right="158"/>
              <w:rPr>
                <w:b/>
                <w:sz w:val="20"/>
              </w:rPr>
            </w:pPr>
            <w:r>
              <w:rPr>
                <w:b/>
                <w:sz w:val="20"/>
              </w:rPr>
              <w:t>3.52</w:t>
            </w:r>
          </w:p>
        </w:tc>
      </w:tr>
      <w:tr w:rsidR="007C5447">
        <w:trPr>
          <w:trHeight w:val="371"/>
        </w:trPr>
        <w:tc>
          <w:tcPr>
            <w:tcW w:w="2854" w:type="dxa"/>
            <w:tcBorders>
              <w:left w:val="single" w:sz="8" w:space="0" w:color="000000"/>
            </w:tcBorders>
          </w:tcPr>
          <w:p w:rsidR="007C5447" w:rsidRDefault="00F6308C">
            <w:pPr>
              <w:pStyle w:val="TableParagraph"/>
              <w:spacing w:before="70"/>
              <w:ind w:left="107"/>
              <w:jc w:val="left"/>
              <w:rPr>
                <w:b/>
                <w:sz w:val="20"/>
              </w:rPr>
            </w:pPr>
            <w:r>
              <w:rPr>
                <w:b/>
                <w:sz w:val="20"/>
              </w:rPr>
              <w:t>PGCIL Charges</w:t>
            </w:r>
          </w:p>
        </w:tc>
        <w:tc>
          <w:tcPr>
            <w:tcW w:w="1265" w:type="dxa"/>
          </w:tcPr>
          <w:p w:rsidR="007C5447" w:rsidRDefault="007C5447">
            <w:pPr>
              <w:pStyle w:val="TableParagraph"/>
              <w:jc w:val="left"/>
              <w:rPr>
                <w:sz w:val="20"/>
              </w:rPr>
            </w:pPr>
          </w:p>
        </w:tc>
        <w:tc>
          <w:tcPr>
            <w:tcW w:w="1264" w:type="dxa"/>
          </w:tcPr>
          <w:p w:rsidR="007C5447" w:rsidRDefault="007C5447">
            <w:pPr>
              <w:pStyle w:val="TableParagraph"/>
              <w:jc w:val="left"/>
              <w:rPr>
                <w:sz w:val="20"/>
              </w:rPr>
            </w:pPr>
          </w:p>
        </w:tc>
        <w:tc>
          <w:tcPr>
            <w:tcW w:w="1050" w:type="dxa"/>
          </w:tcPr>
          <w:p w:rsidR="007C5447" w:rsidRDefault="007C5447">
            <w:pPr>
              <w:pStyle w:val="TableParagraph"/>
              <w:jc w:val="left"/>
              <w:rPr>
                <w:sz w:val="20"/>
              </w:rPr>
            </w:pP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7C5447">
            <w:pPr>
              <w:pStyle w:val="TableParagraph"/>
              <w:jc w:val="left"/>
              <w:rPr>
                <w:sz w:val="20"/>
              </w:rPr>
            </w:pPr>
          </w:p>
        </w:tc>
        <w:tc>
          <w:tcPr>
            <w:tcW w:w="1417" w:type="dxa"/>
          </w:tcPr>
          <w:p w:rsidR="007C5447" w:rsidRDefault="007C5447">
            <w:pPr>
              <w:pStyle w:val="TableParagraph"/>
              <w:jc w:val="left"/>
              <w:rPr>
                <w:sz w:val="20"/>
              </w:rPr>
            </w:pP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i/>
                <w:sz w:val="20"/>
              </w:rPr>
            </w:pPr>
            <w:r>
              <w:rPr>
                <w:i/>
                <w:sz w:val="20"/>
              </w:rPr>
              <w:t>PGCIL SR and ER wheeling</w:t>
            </w:r>
          </w:p>
        </w:tc>
        <w:tc>
          <w:tcPr>
            <w:tcW w:w="1265" w:type="dxa"/>
          </w:tcPr>
          <w:p w:rsidR="007C5447" w:rsidRDefault="007C5447">
            <w:pPr>
              <w:pStyle w:val="TableParagraph"/>
              <w:jc w:val="left"/>
              <w:rPr>
                <w:sz w:val="20"/>
              </w:rPr>
            </w:pPr>
          </w:p>
        </w:tc>
        <w:tc>
          <w:tcPr>
            <w:tcW w:w="1264" w:type="dxa"/>
          </w:tcPr>
          <w:p w:rsidR="007C5447" w:rsidRDefault="00F6308C">
            <w:pPr>
              <w:pStyle w:val="TableParagraph"/>
              <w:spacing w:before="70"/>
              <w:ind w:right="166"/>
              <w:rPr>
                <w:sz w:val="20"/>
              </w:rPr>
            </w:pPr>
            <w:r>
              <w:rPr>
                <w:w w:val="95"/>
                <w:sz w:val="20"/>
              </w:rPr>
              <w:t>647.93</w:t>
            </w:r>
          </w:p>
        </w:tc>
        <w:tc>
          <w:tcPr>
            <w:tcW w:w="1050" w:type="dxa"/>
          </w:tcPr>
          <w:p w:rsidR="007C5447" w:rsidRDefault="007C5447">
            <w:pPr>
              <w:pStyle w:val="TableParagraph"/>
              <w:jc w:val="left"/>
              <w:rPr>
                <w:sz w:val="20"/>
              </w:rPr>
            </w:pPr>
          </w:p>
        </w:tc>
        <w:tc>
          <w:tcPr>
            <w:tcW w:w="1088" w:type="dxa"/>
          </w:tcPr>
          <w:p w:rsidR="007C5447" w:rsidRDefault="007C5447">
            <w:pPr>
              <w:pStyle w:val="TableParagraph"/>
              <w:jc w:val="left"/>
              <w:rPr>
                <w:sz w:val="20"/>
              </w:rPr>
            </w:pPr>
          </w:p>
        </w:tc>
        <w:tc>
          <w:tcPr>
            <w:tcW w:w="1091" w:type="dxa"/>
          </w:tcPr>
          <w:p w:rsidR="007C5447" w:rsidRDefault="00F6308C">
            <w:pPr>
              <w:pStyle w:val="TableParagraph"/>
              <w:spacing w:before="70"/>
              <w:ind w:right="162"/>
              <w:rPr>
                <w:sz w:val="20"/>
              </w:rPr>
            </w:pPr>
            <w:r>
              <w:rPr>
                <w:w w:val="95"/>
                <w:sz w:val="20"/>
              </w:rPr>
              <w:t>2,219.00</w:t>
            </w:r>
          </w:p>
        </w:tc>
        <w:tc>
          <w:tcPr>
            <w:tcW w:w="1148" w:type="dxa"/>
          </w:tcPr>
          <w:p w:rsidR="007C5447" w:rsidRDefault="007C5447">
            <w:pPr>
              <w:pStyle w:val="TableParagraph"/>
              <w:jc w:val="left"/>
              <w:rPr>
                <w:sz w:val="20"/>
              </w:rPr>
            </w:pPr>
          </w:p>
        </w:tc>
        <w:tc>
          <w:tcPr>
            <w:tcW w:w="1432" w:type="dxa"/>
          </w:tcPr>
          <w:p w:rsidR="007C5447" w:rsidRDefault="007C5447">
            <w:pPr>
              <w:pStyle w:val="TableParagraph"/>
              <w:jc w:val="left"/>
              <w:rPr>
                <w:sz w:val="20"/>
              </w:rPr>
            </w:pPr>
          </w:p>
        </w:tc>
        <w:tc>
          <w:tcPr>
            <w:tcW w:w="1417" w:type="dxa"/>
          </w:tcPr>
          <w:p w:rsidR="007C5447" w:rsidRDefault="00F6308C">
            <w:pPr>
              <w:pStyle w:val="TableParagraph"/>
              <w:spacing w:before="70"/>
              <w:ind w:right="158"/>
              <w:rPr>
                <w:sz w:val="20"/>
              </w:rPr>
            </w:pPr>
            <w:r>
              <w:rPr>
                <w:w w:val="95"/>
                <w:sz w:val="20"/>
              </w:rPr>
              <w:t>2,219.00</w:t>
            </w: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i/>
                <w:sz w:val="20"/>
              </w:rPr>
            </w:pPr>
            <w:r>
              <w:rPr>
                <w:i/>
                <w:sz w:val="20"/>
              </w:rPr>
              <w:t>PGCIL- Reactive energy</w:t>
            </w:r>
          </w:p>
        </w:tc>
        <w:tc>
          <w:tcPr>
            <w:tcW w:w="1265" w:type="dxa"/>
          </w:tcPr>
          <w:p w:rsidR="007C5447" w:rsidRDefault="007C5447">
            <w:pPr>
              <w:pStyle w:val="TableParagraph"/>
              <w:jc w:val="left"/>
              <w:rPr>
                <w:sz w:val="20"/>
              </w:rPr>
            </w:pPr>
          </w:p>
        </w:tc>
        <w:tc>
          <w:tcPr>
            <w:tcW w:w="1264" w:type="dxa"/>
          </w:tcPr>
          <w:p w:rsidR="007C5447" w:rsidRDefault="00F6308C">
            <w:pPr>
              <w:pStyle w:val="TableParagraph"/>
              <w:spacing w:before="70"/>
              <w:ind w:right="166"/>
              <w:rPr>
                <w:sz w:val="20"/>
              </w:rPr>
            </w:pPr>
            <w:r>
              <w:rPr>
                <w:w w:val="95"/>
                <w:sz w:val="20"/>
              </w:rPr>
              <w:t>17.89</w:t>
            </w:r>
          </w:p>
        </w:tc>
        <w:tc>
          <w:tcPr>
            <w:tcW w:w="1050" w:type="dxa"/>
          </w:tcPr>
          <w:p w:rsidR="007C5447" w:rsidRDefault="007C5447">
            <w:pPr>
              <w:pStyle w:val="TableParagraph"/>
              <w:jc w:val="left"/>
              <w:rPr>
                <w:sz w:val="20"/>
              </w:rPr>
            </w:pPr>
          </w:p>
        </w:tc>
        <w:tc>
          <w:tcPr>
            <w:tcW w:w="1088" w:type="dxa"/>
          </w:tcPr>
          <w:p w:rsidR="007C5447" w:rsidRDefault="007C5447">
            <w:pPr>
              <w:pStyle w:val="TableParagraph"/>
              <w:jc w:val="left"/>
              <w:rPr>
                <w:sz w:val="20"/>
              </w:rPr>
            </w:pPr>
          </w:p>
        </w:tc>
        <w:tc>
          <w:tcPr>
            <w:tcW w:w="1091" w:type="dxa"/>
          </w:tcPr>
          <w:p w:rsidR="007C5447" w:rsidRDefault="007C5447">
            <w:pPr>
              <w:pStyle w:val="TableParagraph"/>
              <w:jc w:val="left"/>
              <w:rPr>
                <w:sz w:val="20"/>
              </w:rPr>
            </w:pPr>
          </w:p>
        </w:tc>
        <w:tc>
          <w:tcPr>
            <w:tcW w:w="1148" w:type="dxa"/>
          </w:tcPr>
          <w:p w:rsidR="007C5447" w:rsidRDefault="007C5447">
            <w:pPr>
              <w:pStyle w:val="TableParagraph"/>
              <w:jc w:val="left"/>
              <w:rPr>
                <w:sz w:val="20"/>
              </w:rPr>
            </w:pPr>
          </w:p>
        </w:tc>
        <w:tc>
          <w:tcPr>
            <w:tcW w:w="1432" w:type="dxa"/>
          </w:tcPr>
          <w:p w:rsidR="007C5447" w:rsidRDefault="007C5447">
            <w:pPr>
              <w:pStyle w:val="TableParagraph"/>
              <w:jc w:val="left"/>
              <w:rPr>
                <w:sz w:val="20"/>
              </w:rPr>
            </w:pPr>
          </w:p>
        </w:tc>
        <w:tc>
          <w:tcPr>
            <w:tcW w:w="1417" w:type="dxa"/>
          </w:tcPr>
          <w:p w:rsidR="007C5447" w:rsidRDefault="00F6308C">
            <w:pPr>
              <w:pStyle w:val="TableParagraph"/>
              <w:spacing w:before="70"/>
              <w:ind w:right="156"/>
              <w:rPr>
                <w:sz w:val="20"/>
              </w:rPr>
            </w:pPr>
            <w:r>
              <w:rPr>
                <w:w w:val="99"/>
                <w:sz w:val="20"/>
              </w:rPr>
              <w:t>-</w:t>
            </w:r>
          </w:p>
        </w:tc>
        <w:tc>
          <w:tcPr>
            <w:tcW w:w="1347" w:type="dxa"/>
          </w:tcPr>
          <w:p w:rsidR="007C5447" w:rsidRDefault="007C5447">
            <w:pPr>
              <w:pStyle w:val="TableParagraph"/>
              <w:jc w:val="left"/>
              <w:rPr>
                <w:sz w:val="20"/>
              </w:rPr>
            </w:pPr>
          </w:p>
        </w:tc>
      </w:tr>
      <w:tr w:rsidR="007C5447">
        <w:trPr>
          <w:trHeight w:val="372"/>
        </w:trPr>
        <w:tc>
          <w:tcPr>
            <w:tcW w:w="2854" w:type="dxa"/>
            <w:tcBorders>
              <w:left w:val="single" w:sz="8" w:space="0" w:color="000000"/>
            </w:tcBorders>
          </w:tcPr>
          <w:p w:rsidR="007C5447" w:rsidRDefault="00F6308C">
            <w:pPr>
              <w:pStyle w:val="TableParagraph"/>
              <w:spacing w:before="70"/>
              <w:ind w:left="107"/>
              <w:jc w:val="left"/>
              <w:rPr>
                <w:b/>
                <w:sz w:val="20"/>
              </w:rPr>
            </w:pPr>
            <w:r>
              <w:rPr>
                <w:b/>
                <w:sz w:val="20"/>
              </w:rPr>
              <w:t>Total PGCIL charges</w:t>
            </w:r>
          </w:p>
        </w:tc>
        <w:tc>
          <w:tcPr>
            <w:tcW w:w="1265" w:type="dxa"/>
          </w:tcPr>
          <w:p w:rsidR="007C5447" w:rsidRDefault="00F6308C">
            <w:pPr>
              <w:pStyle w:val="TableParagraph"/>
              <w:spacing w:before="70"/>
              <w:ind w:right="169"/>
              <w:rPr>
                <w:b/>
                <w:sz w:val="20"/>
              </w:rPr>
            </w:pPr>
            <w:r>
              <w:rPr>
                <w:b/>
                <w:w w:val="99"/>
                <w:sz w:val="20"/>
              </w:rPr>
              <w:t>-</w:t>
            </w:r>
          </w:p>
        </w:tc>
        <w:tc>
          <w:tcPr>
            <w:tcW w:w="1264" w:type="dxa"/>
          </w:tcPr>
          <w:p w:rsidR="007C5447" w:rsidRDefault="00F6308C">
            <w:pPr>
              <w:pStyle w:val="TableParagraph"/>
              <w:spacing w:before="70"/>
              <w:ind w:right="166"/>
              <w:rPr>
                <w:b/>
                <w:sz w:val="20"/>
              </w:rPr>
            </w:pPr>
            <w:r>
              <w:rPr>
                <w:b/>
                <w:w w:val="95"/>
                <w:sz w:val="20"/>
              </w:rPr>
              <w:t>665.82</w:t>
            </w:r>
          </w:p>
        </w:tc>
        <w:tc>
          <w:tcPr>
            <w:tcW w:w="1050" w:type="dxa"/>
          </w:tcPr>
          <w:p w:rsidR="007C5447" w:rsidRDefault="007C5447">
            <w:pPr>
              <w:pStyle w:val="TableParagraph"/>
              <w:jc w:val="left"/>
              <w:rPr>
                <w:sz w:val="20"/>
              </w:rPr>
            </w:pPr>
          </w:p>
        </w:tc>
        <w:tc>
          <w:tcPr>
            <w:tcW w:w="1088" w:type="dxa"/>
          </w:tcPr>
          <w:p w:rsidR="007C5447" w:rsidRDefault="00F6308C">
            <w:pPr>
              <w:pStyle w:val="TableParagraph"/>
              <w:spacing w:before="70"/>
              <w:ind w:right="162"/>
              <w:rPr>
                <w:b/>
                <w:sz w:val="20"/>
              </w:rPr>
            </w:pPr>
            <w:r>
              <w:rPr>
                <w:b/>
                <w:w w:val="99"/>
                <w:sz w:val="20"/>
              </w:rPr>
              <w:t>-</w:t>
            </w:r>
          </w:p>
        </w:tc>
        <w:tc>
          <w:tcPr>
            <w:tcW w:w="1091" w:type="dxa"/>
          </w:tcPr>
          <w:p w:rsidR="007C5447" w:rsidRDefault="00F6308C">
            <w:pPr>
              <w:pStyle w:val="TableParagraph"/>
              <w:spacing w:before="70"/>
              <w:ind w:right="162"/>
              <w:rPr>
                <w:b/>
                <w:sz w:val="20"/>
              </w:rPr>
            </w:pPr>
            <w:r>
              <w:rPr>
                <w:b/>
                <w:w w:val="95"/>
                <w:sz w:val="20"/>
              </w:rPr>
              <w:t>2,219.00</w:t>
            </w:r>
          </w:p>
        </w:tc>
        <w:tc>
          <w:tcPr>
            <w:tcW w:w="1148" w:type="dxa"/>
          </w:tcPr>
          <w:p w:rsidR="007C5447" w:rsidRDefault="007C5447">
            <w:pPr>
              <w:pStyle w:val="TableParagraph"/>
              <w:jc w:val="left"/>
              <w:rPr>
                <w:sz w:val="20"/>
              </w:rPr>
            </w:pPr>
          </w:p>
        </w:tc>
        <w:tc>
          <w:tcPr>
            <w:tcW w:w="1432" w:type="dxa"/>
          </w:tcPr>
          <w:p w:rsidR="007C5447" w:rsidRDefault="00F6308C">
            <w:pPr>
              <w:pStyle w:val="TableParagraph"/>
              <w:spacing w:before="70"/>
              <w:ind w:right="161"/>
              <w:rPr>
                <w:b/>
                <w:sz w:val="20"/>
              </w:rPr>
            </w:pPr>
            <w:r>
              <w:rPr>
                <w:b/>
                <w:w w:val="99"/>
                <w:sz w:val="20"/>
              </w:rPr>
              <w:t>-</w:t>
            </w:r>
          </w:p>
        </w:tc>
        <w:tc>
          <w:tcPr>
            <w:tcW w:w="1417" w:type="dxa"/>
          </w:tcPr>
          <w:p w:rsidR="007C5447" w:rsidRDefault="00F6308C">
            <w:pPr>
              <w:pStyle w:val="TableParagraph"/>
              <w:spacing w:before="70"/>
              <w:ind w:right="158"/>
              <w:rPr>
                <w:b/>
                <w:sz w:val="20"/>
              </w:rPr>
            </w:pPr>
            <w:r>
              <w:rPr>
                <w:b/>
                <w:w w:val="95"/>
                <w:sz w:val="20"/>
              </w:rPr>
              <w:t>2,219.00</w:t>
            </w: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b/>
                <w:sz w:val="20"/>
              </w:rPr>
            </w:pPr>
            <w:r>
              <w:rPr>
                <w:b/>
                <w:sz w:val="20"/>
              </w:rPr>
              <w:t>TANTRANSCO Charges</w:t>
            </w:r>
          </w:p>
        </w:tc>
        <w:tc>
          <w:tcPr>
            <w:tcW w:w="1265" w:type="dxa"/>
          </w:tcPr>
          <w:p w:rsidR="007C5447" w:rsidRDefault="007C5447">
            <w:pPr>
              <w:pStyle w:val="TableParagraph"/>
              <w:jc w:val="left"/>
              <w:rPr>
                <w:sz w:val="20"/>
              </w:rPr>
            </w:pPr>
          </w:p>
        </w:tc>
        <w:tc>
          <w:tcPr>
            <w:tcW w:w="1264" w:type="dxa"/>
          </w:tcPr>
          <w:p w:rsidR="007C5447" w:rsidRDefault="00F6308C">
            <w:pPr>
              <w:pStyle w:val="TableParagraph"/>
              <w:spacing w:before="70"/>
              <w:ind w:right="166"/>
              <w:rPr>
                <w:b/>
                <w:sz w:val="20"/>
              </w:rPr>
            </w:pPr>
            <w:r>
              <w:rPr>
                <w:b/>
                <w:w w:val="95"/>
                <w:sz w:val="20"/>
              </w:rPr>
              <w:t>1415.00</w:t>
            </w:r>
          </w:p>
        </w:tc>
        <w:tc>
          <w:tcPr>
            <w:tcW w:w="1050" w:type="dxa"/>
          </w:tcPr>
          <w:p w:rsidR="007C5447" w:rsidRDefault="007C5447">
            <w:pPr>
              <w:pStyle w:val="TableParagraph"/>
              <w:jc w:val="left"/>
              <w:rPr>
                <w:sz w:val="20"/>
              </w:rPr>
            </w:pPr>
          </w:p>
        </w:tc>
        <w:tc>
          <w:tcPr>
            <w:tcW w:w="1088" w:type="dxa"/>
          </w:tcPr>
          <w:p w:rsidR="007C5447" w:rsidRDefault="007C5447">
            <w:pPr>
              <w:pStyle w:val="TableParagraph"/>
              <w:jc w:val="left"/>
              <w:rPr>
                <w:sz w:val="20"/>
              </w:rPr>
            </w:pPr>
          </w:p>
        </w:tc>
        <w:tc>
          <w:tcPr>
            <w:tcW w:w="1091" w:type="dxa"/>
          </w:tcPr>
          <w:p w:rsidR="007C5447" w:rsidRDefault="00F6308C">
            <w:pPr>
              <w:pStyle w:val="TableParagraph"/>
              <w:spacing w:before="70"/>
              <w:ind w:right="161"/>
              <w:rPr>
                <w:b/>
                <w:sz w:val="20"/>
              </w:rPr>
            </w:pPr>
            <w:r>
              <w:rPr>
                <w:b/>
                <w:sz w:val="20"/>
              </w:rPr>
              <w:t>2,228.00</w:t>
            </w:r>
          </w:p>
        </w:tc>
        <w:tc>
          <w:tcPr>
            <w:tcW w:w="1148" w:type="dxa"/>
          </w:tcPr>
          <w:p w:rsidR="007C5447" w:rsidRDefault="007C5447">
            <w:pPr>
              <w:pStyle w:val="TableParagraph"/>
              <w:jc w:val="left"/>
              <w:rPr>
                <w:sz w:val="20"/>
              </w:rPr>
            </w:pPr>
          </w:p>
        </w:tc>
        <w:tc>
          <w:tcPr>
            <w:tcW w:w="1432" w:type="dxa"/>
          </w:tcPr>
          <w:p w:rsidR="007C5447" w:rsidRDefault="007C5447">
            <w:pPr>
              <w:pStyle w:val="TableParagraph"/>
              <w:jc w:val="left"/>
              <w:rPr>
                <w:sz w:val="20"/>
              </w:rPr>
            </w:pPr>
          </w:p>
        </w:tc>
        <w:tc>
          <w:tcPr>
            <w:tcW w:w="1417" w:type="dxa"/>
          </w:tcPr>
          <w:p w:rsidR="007C5447" w:rsidRDefault="00F6308C">
            <w:pPr>
              <w:pStyle w:val="TableParagraph"/>
              <w:spacing w:before="70"/>
              <w:ind w:right="158"/>
              <w:rPr>
                <w:b/>
                <w:sz w:val="20"/>
              </w:rPr>
            </w:pPr>
            <w:r>
              <w:rPr>
                <w:b/>
                <w:w w:val="95"/>
                <w:sz w:val="20"/>
              </w:rPr>
              <w:t>2,228.01</w:t>
            </w:r>
          </w:p>
        </w:tc>
        <w:tc>
          <w:tcPr>
            <w:tcW w:w="1347" w:type="dxa"/>
          </w:tcPr>
          <w:p w:rsidR="007C5447" w:rsidRDefault="007C5447">
            <w:pPr>
              <w:pStyle w:val="TableParagraph"/>
              <w:jc w:val="left"/>
              <w:rPr>
                <w:sz w:val="20"/>
              </w:rPr>
            </w:pPr>
          </w:p>
        </w:tc>
      </w:tr>
      <w:tr w:rsidR="007C5447">
        <w:trPr>
          <w:trHeight w:val="369"/>
        </w:trPr>
        <w:tc>
          <w:tcPr>
            <w:tcW w:w="2854" w:type="dxa"/>
            <w:tcBorders>
              <w:left w:val="single" w:sz="8" w:space="0" w:color="000000"/>
            </w:tcBorders>
          </w:tcPr>
          <w:p w:rsidR="007C5447" w:rsidRDefault="00F6308C">
            <w:pPr>
              <w:pStyle w:val="TableParagraph"/>
              <w:spacing w:before="70"/>
              <w:ind w:left="107"/>
              <w:jc w:val="left"/>
              <w:rPr>
                <w:b/>
                <w:sz w:val="20"/>
              </w:rPr>
            </w:pPr>
            <w:r>
              <w:rPr>
                <w:b/>
                <w:sz w:val="20"/>
              </w:rPr>
              <w:t>Total Power Purchase</w:t>
            </w:r>
          </w:p>
        </w:tc>
        <w:tc>
          <w:tcPr>
            <w:tcW w:w="1265" w:type="dxa"/>
          </w:tcPr>
          <w:p w:rsidR="007C5447" w:rsidRDefault="00F6308C">
            <w:pPr>
              <w:pStyle w:val="TableParagraph"/>
              <w:spacing w:before="70"/>
              <w:ind w:right="170"/>
              <w:rPr>
                <w:b/>
                <w:sz w:val="20"/>
              </w:rPr>
            </w:pPr>
            <w:r>
              <w:rPr>
                <w:b/>
                <w:w w:val="95"/>
                <w:sz w:val="20"/>
              </w:rPr>
              <w:t>71,914.02</w:t>
            </w:r>
          </w:p>
        </w:tc>
        <w:tc>
          <w:tcPr>
            <w:tcW w:w="1264" w:type="dxa"/>
          </w:tcPr>
          <w:p w:rsidR="007C5447" w:rsidRDefault="00F6308C">
            <w:pPr>
              <w:pStyle w:val="TableParagraph"/>
              <w:spacing w:before="70"/>
              <w:ind w:right="164"/>
              <w:rPr>
                <w:b/>
                <w:sz w:val="20"/>
              </w:rPr>
            </w:pPr>
            <w:r>
              <w:rPr>
                <w:b/>
                <w:w w:val="95"/>
                <w:sz w:val="20"/>
              </w:rPr>
              <w:t>28,923.59</w:t>
            </w:r>
          </w:p>
        </w:tc>
        <w:tc>
          <w:tcPr>
            <w:tcW w:w="1050" w:type="dxa"/>
          </w:tcPr>
          <w:p w:rsidR="007C5447" w:rsidRDefault="00F6308C">
            <w:pPr>
              <w:pStyle w:val="TableParagraph"/>
              <w:spacing w:before="70"/>
              <w:ind w:right="167"/>
              <w:rPr>
                <w:b/>
                <w:sz w:val="20"/>
              </w:rPr>
            </w:pPr>
            <w:r>
              <w:rPr>
                <w:b/>
                <w:sz w:val="20"/>
              </w:rPr>
              <w:t>4.02</w:t>
            </w:r>
          </w:p>
        </w:tc>
        <w:tc>
          <w:tcPr>
            <w:tcW w:w="1088" w:type="dxa"/>
          </w:tcPr>
          <w:p w:rsidR="007C5447" w:rsidRDefault="00F6308C">
            <w:pPr>
              <w:pStyle w:val="TableParagraph"/>
              <w:spacing w:before="70"/>
              <w:ind w:right="161"/>
              <w:rPr>
                <w:b/>
                <w:sz w:val="20"/>
              </w:rPr>
            </w:pPr>
            <w:r>
              <w:rPr>
                <w:b/>
                <w:w w:val="95"/>
                <w:sz w:val="20"/>
              </w:rPr>
              <w:t>75,333.19</w:t>
            </w:r>
          </w:p>
        </w:tc>
        <w:tc>
          <w:tcPr>
            <w:tcW w:w="1091" w:type="dxa"/>
          </w:tcPr>
          <w:p w:rsidR="007C5447" w:rsidRDefault="00F6308C">
            <w:pPr>
              <w:pStyle w:val="TableParagraph"/>
              <w:spacing w:before="70"/>
              <w:ind w:right="162"/>
              <w:rPr>
                <w:b/>
                <w:sz w:val="20"/>
              </w:rPr>
            </w:pPr>
            <w:r>
              <w:rPr>
                <w:b/>
                <w:w w:val="95"/>
                <w:sz w:val="20"/>
              </w:rPr>
              <w:t>37,163.28</w:t>
            </w:r>
          </w:p>
        </w:tc>
        <w:tc>
          <w:tcPr>
            <w:tcW w:w="1148" w:type="dxa"/>
          </w:tcPr>
          <w:p w:rsidR="007C5447" w:rsidRDefault="00F6308C">
            <w:pPr>
              <w:pStyle w:val="TableParagraph"/>
              <w:spacing w:before="70"/>
              <w:ind w:right="160"/>
              <w:rPr>
                <w:b/>
                <w:sz w:val="20"/>
              </w:rPr>
            </w:pPr>
            <w:r>
              <w:rPr>
                <w:b/>
                <w:sz w:val="20"/>
              </w:rPr>
              <w:t>4.93</w:t>
            </w:r>
          </w:p>
        </w:tc>
        <w:tc>
          <w:tcPr>
            <w:tcW w:w="1432" w:type="dxa"/>
          </w:tcPr>
          <w:p w:rsidR="007C5447" w:rsidRDefault="00F6308C">
            <w:pPr>
              <w:pStyle w:val="TableParagraph"/>
              <w:spacing w:before="70"/>
              <w:ind w:right="162"/>
              <w:rPr>
                <w:b/>
                <w:sz w:val="20"/>
              </w:rPr>
            </w:pPr>
            <w:r>
              <w:rPr>
                <w:b/>
                <w:w w:val="95"/>
                <w:sz w:val="20"/>
              </w:rPr>
              <w:t>72,116.61</w:t>
            </w:r>
          </w:p>
        </w:tc>
        <w:tc>
          <w:tcPr>
            <w:tcW w:w="1417" w:type="dxa"/>
          </w:tcPr>
          <w:p w:rsidR="007C5447" w:rsidRDefault="00F6308C">
            <w:pPr>
              <w:pStyle w:val="TableParagraph"/>
              <w:spacing w:before="70"/>
              <w:ind w:right="160"/>
              <w:rPr>
                <w:b/>
                <w:sz w:val="20"/>
              </w:rPr>
            </w:pPr>
            <w:r>
              <w:rPr>
                <w:b/>
                <w:w w:val="95"/>
                <w:sz w:val="20"/>
              </w:rPr>
              <w:t>29,798.37</w:t>
            </w:r>
          </w:p>
        </w:tc>
        <w:tc>
          <w:tcPr>
            <w:tcW w:w="1347" w:type="dxa"/>
          </w:tcPr>
          <w:p w:rsidR="007C5447" w:rsidRDefault="00F6308C">
            <w:pPr>
              <w:pStyle w:val="TableParagraph"/>
              <w:spacing w:before="70"/>
              <w:ind w:right="158"/>
              <w:rPr>
                <w:b/>
                <w:sz w:val="20"/>
              </w:rPr>
            </w:pPr>
            <w:r>
              <w:rPr>
                <w:b/>
                <w:sz w:val="20"/>
              </w:rPr>
              <w:t>4.13</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spacing w:before="10"/>
        <w:rPr>
          <w:sz w:val="20"/>
        </w:rPr>
      </w:pPr>
    </w:p>
    <w:p w:rsidR="007C5447" w:rsidRDefault="00F6308C">
      <w:pPr>
        <w:spacing w:before="1"/>
        <w:ind w:left="2510" w:right="2468"/>
        <w:jc w:val="center"/>
        <w:rPr>
          <w:b/>
        </w:rPr>
      </w:pPr>
      <w:r>
        <w:rPr>
          <w:b/>
        </w:rPr>
        <w:t>Table 3-69</w:t>
      </w:r>
      <w:r>
        <w:rPr>
          <w:b/>
          <w:sz w:val="24"/>
        </w:rPr>
        <w:t xml:space="preserve">: </w:t>
      </w:r>
      <w:r>
        <w:rPr>
          <w:b/>
        </w:rPr>
        <w:t>Summary of Power Purchase approved by the Commission after true-up for FY 2014-15</w:t>
      </w:r>
    </w:p>
    <w:p w:rsidR="007C5447" w:rsidRDefault="007C5447">
      <w:pPr>
        <w:pStyle w:val="BodyText"/>
        <w:spacing w:before="9"/>
        <w:rPr>
          <w:b/>
          <w:sz w:val="17"/>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56"/>
        <w:gridCol w:w="1339"/>
        <w:gridCol w:w="1216"/>
        <w:gridCol w:w="1161"/>
        <w:gridCol w:w="1303"/>
        <w:gridCol w:w="1216"/>
        <w:gridCol w:w="1163"/>
        <w:gridCol w:w="1339"/>
        <w:gridCol w:w="1449"/>
        <w:gridCol w:w="1161"/>
      </w:tblGrid>
      <w:tr w:rsidR="007C5447">
        <w:trPr>
          <w:trHeight w:val="366"/>
        </w:trPr>
        <w:tc>
          <w:tcPr>
            <w:tcW w:w="2856" w:type="dxa"/>
            <w:vMerge w:val="restart"/>
            <w:tcBorders>
              <w:bottom w:val="single" w:sz="6" w:space="0" w:color="000000"/>
            </w:tcBorders>
            <w:shd w:val="clear" w:color="auto" w:fill="F7C9AC"/>
          </w:tcPr>
          <w:p w:rsidR="007C5447" w:rsidRDefault="007C5447">
            <w:pPr>
              <w:pStyle w:val="TableParagraph"/>
              <w:jc w:val="left"/>
              <w:rPr>
                <w:b/>
              </w:rPr>
            </w:pPr>
          </w:p>
          <w:p w:rsidR="007C5447" w:rsidRDefault="007C5447">
            <w:pPr>
              <w:pStyle w:val="TableParagraph"/>
              <w:spacing w:before="3"/>
              <w:jc w:val="left"/>
              <w:rPr>
                <w:b/>
              </w:rPr>
            </w:pPr>
          </w:p>
          <w:p w:rsidR="007C5447" w:rsidRDefault="00F6308C">
            <w:pPr>
              <w:pStyle w:val="TableParagraph"/>
              <w:ind w:left="986" w:right="980"/>
              <w:jc w:val="center"/>
              <w:rPr>
                <w:b/>
                <w:sz w:val="20"/>
              </w:rPr>
            </w:pPr>
            <w:r>
              <w:rPr>
                <w:b/>
                <w:sz w:val="20"/>
              </w:rPr>
              <w:t>Source</w:t>
            </w:r>
          </w:p>
        </w:tc>
        <w:tc>
          <w:tcPr>
            <w:tcW w:w="11347" w:type="dxa"/>
            <w:gridSpan w:val="9"/>
            <w:shd w:val="clear" w:color="auto" w:fill="F7C9AC"/>
          </w:tcPr>
          <w:p w:rsidR="007C5447" w:rsidRDefault="00F6308C">
            <w:pPr>
              <w:pStyle w:val="TableParagraph"/>
              <w:spacing w:before="125" w:line="222" w:lineRule="exact"/>
              <w:ind w:left="5161" w:right="5142"/>
              <w:jc w:val="center"/>
              <w:rPr>
                <w:b/>
                <w:sz w:val="20"/>
              </w:rPr>
            </w:pPr>
            <w:r>
              <w:rPr>
                <w:b/>
                <w:sz w:val="20"/>
              </w:rPr>
              <w:t>FY 2014-15</w:t>
            </w:r>
          </w:p>
        </w:tc>
      </w:tr>
      <w:tr w:rsidR="007C5447">
        <w:trPr>
          <w:trHeight w:val="366"/>
        </w:trPr>
        <w:tc>
          <w:tcPr>
            <w:tcW w:w="2856" w:type="dxa"/>
            <w:vMerge/>
            <w:tcBorders>
              <w:top w:val="nil"/>
              <w:bottom w:val="single" w:sz="6" w:space="0" w:color="000000"/>
            </w:tcBorders>
            <w:shd w:val="clear" w:color="auto" w:fill="F7C9AC"/>
          </w:tcPr>
          <w:p w:rsidR="007C5447" w:rsidRDefault="007C5447">
            <w:pPr>
              <w:rPr>
                <w:sz w:val="2"/>
                <w:szCs w:val="2"/>
              </w:rPr>
            </w:pPr>
          </w:p>
        </w:tc>
        <w:tc>
          <w:tcPr>
            <w:tcW w:w="3716" w:type="dxa"/>
            <w:gridSpan w:val="3"/>
            <w:shd w:val="clear" w:color="auto" w:fill="F7C9AC"/>
          </w:tcPr>
          <w:p w:rsidR="007C5447" w:rsidRDefault="00F6308C">
            <w:pPr>
              <w:pStyle w:val="TableParagraph"/>
              <w:spacing w:before="67"/>
              <w:ind w:left="1327" w:right="1313"/>
              <w:jc w:val="center"/>
              <w:rPr>
                <w:b/>
                <w:sz w:val="20"/>
              </w:rPr>
            </w:pPr>
            <w:r>
              <w:rPr>
                <w:b/>
                <w:sz w:val="20"/>
              </w:rPr>
              <w:t>SMT Order</w:t>
            </w:r>
          </w:p>
        </w:tc>
        <w:tc>
          <w:tcPr>
            <w:tcW w:w="3682" w:type="dxa"/>
            <w:gridSpan w:val="3"/>
            <w:shd w:val="clear" w:color="auto" w:fill="F7C9AC"/>
          </w:tcPr>
          <w:p w:rsidR="007C5447" w:rsidRDefault="00F6308C">
            <w:pPr>
              <w:pStyle w:val="TableParagraph"/>
              <w:spacing w:before="67"/>
              <w:ind w:left="1239" w:right="1228"/>
              <w:jc w:val="center"/>
              <w:rPr>
                <w:b/>
                <w:sz w:val="20"/>
              </w:rPr>
            </w:pPr>
            <w:r>
              <w:rPr>
                <w:b/>
                <w:sz w:val="20"/>
              </w:rPr>
              <w:t>TANGEDCO</w:t>
            </w:r>
          </w:p>
        </w:tc>
        <w:tc>
          <w:tcPr>
            <w:tcW w:w="3949" w:type="dxa"/>
            <w:gridSpan w:val="3"/>
            <w:shd w:val="clear" w:color="auto" w:fill="F7C9AC"/>
          </w:tcPr>
          <w:p w:rsidR="007C5447" w:rsidRDefault="00F6308C">
            <w:pPr>
              <w:pStyle w:val="TableParagraph"/>
              <w:spacing w:before="67"/>
              <w:ind w:left="982"/>
              <w:jc w:val="left"/>
              <w:rPr>
                <w:b/>
                <w:sz w:val="20"/>
              </w:rPr>
            </w:pPr>
            <w:r>
              <w:rPr>
                <w:b/>
                <w:sz w:val="20"/>
              </w:rPr>
              <w:t>Approved after true up</w:t>
            </w:r>
          </w:p>
        </w:tc>
      </w:tr>
      <w:tr w:rsidR="007C5447">
        <w:trPr>
          <w:trHeight w:val="484"/>
        </w:trPr>
        <w:tc>
          <w:tcPr>
            <w:tcW w:w="2856" w:type="dxa"/>
            <w:vMerge/>
            <w:tcBorders>
              <w:top w:val="nil"/>
              <w:bottom w:val="single" w:sz="6" w:space="0" w:color="000000"/>
            </w:tcBorders>
            <w:shd w:val="clear" w:color="auto" w:fill="F7C9AC"/>
          </w:tcPr>
          <w:p w:rsidR="007C5447" w:rsidRDefault="007C5447">
            <w:pPr>
              <w:rPr>
                <w:sz w:val="2"/>
                <w:szCs w:val="2"/>
              </w:rPr>
            </w:pPr>
          </w:p>
        </w:tc>
        <w:tc>
          <w:tcPr>
            <w:tcW w:w="1339" w:type="dxa"/>
            <w:tcBorders>
              <w:bottom w:val="single" w:sz="6" w:space="0" w:color="000000"/>
            </w:tcBorders>
            <w:shd w:val="clear" w:color="auto" w:fill="F7C9AC"/>
          </w:tcPr>
          <w:p w:rsidR="007C5447" w:rsidRDefault="00F6308C">
            <w:pPr>
              <w:pStyle w:val="TableParagraph"/>
              <w:spacing w:before="12" w:line="230" w:lineRule="atLeast"/>
              <w:ind w:left="436" w:right="228" w:hanging="178"/>
              <w:jc w:val="left"/>
              <w:rPr>
                <w:b/>
                <w:sz w:val="20"/>
              </w:rPr>
            </w:pPr>
            <w:r>
              <w:rPr>
                <w:b/>
                <w:sz w:val="20"/>
              </w:rPr>
              <w:t>Quantum (MU)</w:t>
            </w:r>
          </w:p>
        </w:tc>
        <w:tc>
          <w:tcPr>
            <w:tcW w:w="1216" w:type="dxa"/>
            <w:tcBorders>
              <w:bottom w:val="single" w:sz="6" w:space="0" w:color="000000"/>
            </w:tcBorders>
            <w:shd w:val="clear" w:color="auto" w:fill="F7C9AC"/>
          </w:tcPr>
          <w:p w:rsidR="007C5447" w:rsidRDefault="00F6308C">
            <w:pPr>
              <w:pStyle w:val="TableParagraph"/>
              <w:spacing w:before="12" w:line="230" w:lineRule="atLeast"/>
              <w:ind w:left="265" w:right="232" w:firstLine="151"/>
              <w:jc w:val="left"/>
              <w:rPr>
                <w:b/>
                <w:sz w:val="20"/>
              </w:rPr>
            </w:pPr>
            <w:r>
              <w:rPr>
                <w:b/>
                <w:sz w:val="20"/>
              </w:rPr>
              <w:t>Cost (Rs. Cr)</w:t>
            </w:r>
          </w:p>
        </w:tc>
        <w:tc>
          <w:tcPr>
            <w:tcW w:w="1161" w:type="dxa"/>
            <w:tcBorders>
              <w:bottom w:val="single" w:sz="6" w:space="0" w:color="000000"/>
            </w:tcBorders>
            <w:shd w:val="clear" w:color="auto" w:fill="F7C9AC"/>
          </w:tcPr>
          <w:p w:rsidR="007C5447" w:rsidRDefault="00F6308C">
            <w:pPr>
              <w:pStyle w:val="TableParagraph"/>
              <w:spacing w:before="12" w:line="230" w:lineRule="atLeast"/>
              <w:ind w:left="165" w:firstLine="216"/>
              <w:jc w:val="left"/>
              <w:rPr>
                <w:b/>
                <w:sz w:val="20"/>
              </w:rPr>
            </w:pPr>
            <w:r>
              <w:rPr>
                <w:b/>
                <w:sz w:val="20"/>
              </w:rPr>
              <w:t xml:space="preserve">Rate </w:t>
            </w:r>
            <w:r>
              <w:rPr>
                <w:b/>
                <w:w w:val="95"/>
                <w:sz w:val="20"/>
              </w:rPr>
              <w:t>(Rs/kWh)</w:t>
            </w:r>
          </w:p>
        </w:tc>
        <w:tc>
          <w:tcPr>
            <w:tcW w:w="1303" w:type="dxa"/>
            <w:tcBorders>
              <w:bottom w:val="single" w:sz="6" w:space="0" w:color="000000"/>
            </w:tcBorders>
            <w:shd w:val="clear" w:color="auto" w:fill="F7C9AC"/>
          </w:tcPr>
          <w:p w:rsidR="007C5447" w:rsidRDefault="00F6308C">
            <w:pPr>
              <w:pStyle w:val="TableParagraph"/>
              <w:spacing w:before="12" w:line="230" w:lineRule="atLeast"/>
              <w:ind w:left="419" w:right="209" w:hanging="178"/>
              <w:jc w:val="left"/>
              <w:rPr>
                <w:b/>
                <w:sz w:val="20"/>
              </w:rPr>
            </w:pPr>
            <w:r>
              <w:rPr>
                <w:b/>
                <w:sz w:val="20"/>
              </w:rPr>
              <w:t>Quantum (MU)</w:t>
            </w:r>
          </w:p>
        </w:tc>
        <w:tc>
          <w:tcPr>
            <w:tcW w:w="1216" w:type="dxa"/>
            <w:tcBorders>
              <w:bottom w:val="single" w:sz="6" w:space="0" w:color="000000"/>
            </w:tcBorders>
            <w:shd w:val="clear" w:color="auto" w:fill="F7C9AC"/>
          </w:tcPr>
          <w:p w:rsidR="007C5447" w:rsidRDefault="00F6308C">
            <w:pPr>
              <w:pStyle w:val="TableParagraph"/>
              <w:spacing w:before="12" w:line="230" w:lineRule="atLeast"/>
              <w:ind w:left="266" w:right="231" w:firstLine="151"/>
              <w:jc w:val="left"/>
              <w:rPr>
                <w:b/>
                <w:sz w:val="20"/>
              </w:rPr>
            </w:pPr>
            <w:r>
              <w:rPr>
                <w:b/>
                <w:sz w:val="20"/>
              </w:rPr>
              <w:t>Cost (Rs. Cr)</w:t>
            </w:r>
          </w:p>
        </w:tc>
        <w:tc>
          <w:tcPr>
            <w:tcW w:w="1163" w:type="dxa"/>
            <w:tcBorders>
              <w:bottom w:val="single" w:sz="6" w:space="0" w:color="000000"/>
            </w:tcBorders>
            <w:shd w:val="clear" w:color="auto" w:fill="F7C9AC"/>
          </w:tcPr>
          <w:p w:rsidR="007C5447" w:rsidRDefault="00F6308C">
            <w:pPr>
              <w:pStyle w:val="TableParagraph"/>
              <w:spacing w:before="12" w:line="230" w:lineRule="atLeast"/>
              <w:ind w:left="167" w:firstLine="216"/>
              <w:jc w:val="left"/>
              <w:rPr>
                <w:b/>
                <w:sz w:val="20"/>
              </w:rPr>
            </w:pPr>
            <w:r>
              <w:rPr>
                <w:b/>
                <w:sz w:val="20"/>
              </w:rPr>
              <w:t xml:space="preserve">Rate </w:t>
            </w:r>
            <w:r>
              <w:rPr>
                <w:b/>
                <w:w w:val="95"/>
                <w:sz w:val="20"/>
              </w:rPr>
              <w:t>(Rs/kWh)</w:t>
            </w:r>
          </w:p>
        </w:tc>
        <w:tc>
          <w:tcPr>
            <w:tcW w:w="1339" w:type="dxa"/>
            <w:tcBorders>
              <w:bottom w:val="single" w:sz="6" w:space="0" w:color="000000"/>
            </w:tcBorders>
            <w:shd w:val="clear" w:color="auto" w:fill="F7C9AC"/>
          </w:tcPr>
          <w:p w:rsidR="007C5447" w:rsidRDefault="00F6308C">
            <w:pPr>
              <w:pStyle w:val="TableParagraph"/>
              <w:spacing w:before="12" w:line="230" w:lineRule="atLeast"/>
              <w:ind w:left="441" w:right="223" w:hanging="178"/>
              <w:jc w:val="left"/>
              <w:rPr>
                <w:b/>
                <w:sz w:val="20"/>
              </w:rPr>
            </w:pPr>
            <w:r>
              <w:rPr>
                <w:b/>
                <w:sz w:val="20"/>
              </w:rPr>
              <w:t>Quantum (MU)</w:t>
            </w:r>
          </w:p>
        </w:tc>
        <w:tc>
          <w:tcPr>
            <w:tcW w:w="1449" w:type="dxa"/>
            <w:tcBorders>
              <w:bottom w:val="single" w:sz="6" w:space="0" w:color="000000"/>
            </w:tcBorders>
            <w:shd w:val="clear" w:color="auto" w:fill="F7C9AC"/>
          </w:tcPr>
          <w:p w:rsidR="007C5447" w:rsidRDefault="00F6308C">
            <w:pPr>
              <w:pStyle w:val="TableParagraph"/>
              <w:spacing w:before="12" w:line="230" w:lineRule="atLeast"/>
              <w:ind w:left="382" w:right="246" w:hanging="104"/>
              <w:jc w:val="left"/>
              <w:rPr>
                <w:b/>
                <w:sz w:val="20"/>
              </w:rPr>
            </w:pPr>
            <w:r>
              <w:rPr>
                <w:b/>
                <w:sz w:val="20"/>
              </w:rPr>
              <w:t>Total Cost (Rs. Cr)</w:t>
            </w:r>
          </w:p>
        </w:tc>
        <w:tc>
          <w:tcPr>
            <w:tcW w:w="1161" w:type="dxa"/>
            <w:tcBorders>
              <w:bottom w:val="single" w:sz="6" w:space="0" w:color="000000"/>
            </w:tcBorders>
            <w:shd w:val="clear" w:color="auto" w:fill="F7C9AC"/>
          </w:tcPr>
          <w:p w:rsidR="007C5447" w:rsidRDefault="00F6308C">
            <w:pPr>
              <w:pStyle w:val="TableParagraph"/>
              <w:spacing w:before="12" w:line="230" w:lineRule="atLeast"/>
              <w:ind w:left="169" w:firstLine="216"/>
              <w:jc w:val="left"/>
              <w:rPr>
                <w:b/>
                <w:sz w:val="20"/>
              </w:rPr>
            </w:pPr>
            <w:r>
              <w:rPr>
                <w:b/>
                <w:sz w:val="20"/>
              </w:rPr>
              <w:t xml:space="preserve">Rate </w:t>
            </w:r>
            <w:r>
              <w:rPr>
                <w:b/>
                <w:w w:val="95"/>
                <w:sz w:val="20"/>
              </w:rPr>
              <w:t>(Rs/kWh)</w:t>
            </w:r>
          </w:p>
        </w:tc>
      </w:tr>
      <w:tr w:rsidR="007C5447">
        <w:trPr>
          <w:trHeight w:val="366"/>
        </w:trPr>
        <w:tc>
          <w:tcPr>
            <w:tcW w:w="2856" w:type="dxa"/>
            <w:tcBorders>
              <w:top w:val="single" w:sz="6" w:space="0" w:color="000000"/>
            </w:tcBorders>
          </w:tcPr>
          <w:p w:rsidR="007C5447" w:rsidRDefault="00F6308C">
            <w:pPr>
              <w:pStyle w:val="TableParagraph"/>
              <w:spacing w:before="67"/>
              <w:ind w:left="342"/>
              <w:jc w:val="left"/>
              <w:rPr>
                <w:b/>
                <w:sz w:val="20"/>
              </w:rPr>
            </w:pPr>
            <w:r>
              <w:rPr>
                <w:b/>
                <w:sz w:val="20"/>
              </w:rPr>
              <w:t>Own Generating Stations</w:t>
            </w:r>
          </w:p>
        </w:tc>
        <w:tc>
          <w:tcPr>
            <w:tcW w:w="1339" w:type="dxa"/>
            <w:tcBorders>
              <w:top w:val="single" w:sz="6" w:space="0" w:color="000000"/>
            </w:tcBorders>
          </w:tcPr>
          <w:p w:rsidR="007C5447" w:rsidRDefault="007C5447">
            <w:pPr>
              <w:pStyle w:val="TableParagraph"/>
              <w:jc w:val="left"/>
              <w:rPr>
                <w:sz w:val="20"/>
              </w:rPr>
            </w:pPr>
          </w:p>
        </w:tc>
        <w:tc>
          <w:tcPr>
            <w:tcW w:w="1216" w:type="dxa"/>
            <w:tcBorders>
              <w:top w:val="single" w:sz="6" w:space="0" w:color="000000"/>
            </w:tcBorders>
          </w:tcPr>
          <w:p w:rsidR="007C5447" w:rsidRDefault="007C5447">
            <w:pPr>
              <w:pStyle w:val="TableParagraph"/>
              <w:jc w:val="left"/>
              <w:rPr>
                <w:sz w:val="20"/>
              </w:rPr>
            </w:pPr>
          </w:p>
        </w:tc>
        <w:tc>
          <w:tcPr>
            <w:tcW w:w="1161" w:type="dxa"/>
            <w:tcBorders>
              <w:top w:val="single" w:sz="6" w:space="0" w:color="000000"/>
            </w:tcBorders>
          </w:tcPr>
          <w:p w:rsidR="007C5447" w:rsidRDefault="007C5447">
            <w:pPr>
              <w:pStyle w:val="TableParagraph"/>
              <w:jc w:val="left"/>
              <w:rPr>
                <w:sz w:val="20"/>
              </w:rPr>
            </w:pPr>
          </w:p>
        </w:tc>
        <w:tc>
          <w:tcPr>
            <w:tcW w:w="1303" w:type="dxa"/>
            <w:tcBorders>
              <w:top w:val="single" w:sz="6" w:space="0" w:color="000000"/>
            </w:tcBorders>
          </w:tcPr>
          <w:p w:rsidR="007C5447" w:rsidRDefault="007C5447">
            <w:pPr>
              <w:pStyle w:val="TableParagraph"/>
              <w:jc w:val="left"/>
              <w:rPr>
                <w:sz w:val="20"/>
              </w:rPr>
            </w:pPr>
          </w:p>
        </w:tc>
        <w:tc>
          <w:tcPr>
            <w:tcW w:w="1216" w:type="dxa"/>
            <w:tcBorders>
              <w:top w:val="single" w:sz="6" w:space="0" w:color="000000"/>
            </w:tcBorders>
          </w:tcPr>
          <w:p w:rsidR="007C5447" w:rsidRDefault="007C5447">
            <w:pPr>
              <w:pStyle w:val="TableParagraph"/>
              <w:jc w:val="left"/>
              <w:rPr>
                <w:sz w:val="20"/>
              </w:rPr>
            </w:pPr>
          </w:p>
        </w:tc>
        <w:tc>
          <w:tcPr>
            <w:tcW w:w="1163" w:type="dxa"/>
            <w:tcBorders>
              <w:top w:val="single" w:sz="6" w:space="0" w:color="000000"/>
            </w:tcBorders>
          </w:tcPr>
          <w:p w:rsidR="007C5447" w:rsidRDefault="007C5447">
            <w:pPr>
              <w:pStyle w:val="TableParagraph"/>
              <w:jc w:val="left"/>
              <w:rPr>
                <w:sz w:val="20"/>
              </w:rPr>
            </w:pPr>
          </w:p>
        </w:tc>
        <w:tc>
          <w:tcPr>
            <w:tcW w:w="1339" w:type="dxa"/>
            <w:tcBorders>
              <w:top w:val="single" w:sz="6" w:space="0" w:color="000000"/>
            </w:tcBorders>
          </w:tcPr>
          <w:p w:rsidR="007C5447" w:rsidRDefault="007C5447">
            <w:pPr>
              <w:pStyle w:val="TableParagraph"/>
              <w:jc w:val="left"/>
              <w:rPr>
                <w:sz w:val="20"/>
              </w:rPr>
            </w:pPr>
          </w:p>
        </w:tc>
        <w:tc>
          <w:tcPr>
            <w:tcW w:w="1449" w:type="dxa"/>
            <w:tcBorders>
              <w:top w:val="single" w:sz="6" w:space="0" w:color="000000"/>
            </w:tcBorders>
          </w:tcPr>
          <w:p w:rsidR="007C5447" w:rsidRDefault="007C5447">
            <w:pPr>
              <w:pStyle w:val="TableParagraph"/>
              <w:jc w:val="left"/>
              <w:rPr>
                <w:sz w:val="20"/>
              </w:rPr>
            </w:pPr>
          </w:p>
        </w:tc>
        <w:tc>
          <w:tcPr>
            <w:tcW w:w="1161" w:type="dxa"/>
            <w:tcBorders>
              <w:top w:val="single" w:sz="6" w:space="0" w:color="000000"/>
            </w:tcBorders>
          </w:tcPr>
          <w:p w:rsidR="007C5447" w:rsidRDefault="007C5447">
            <w:pPr>
              <w:pStyle w:val="TableParagraph"/>
              <w:jc w:val="left"/>
              <w:rPr>
                <w:sz w:val="20"/>
              </w:rPr>
            </w:pPr>
          </w:p>
        </w:tc>
      </w:tr>
      <w:tr w:rsidR="007C5447">
        <w:trPr>
          <w:trHeight w:val="371"/>
        </w:trPr>
        <w:tc>
          <w:tcPr>
            <w:tcW w:w="2856" w:type="dxa"/>
          </w:tcPr>
          <w:p w:rsidR="007C5447" w:rsidRDefault="00F6308C">
            <w:pPr>
              <w:pStyle w:val="TableParagraph"/>
              <w:spacing w:before="70"/>
              <w:ind w:left="107"/>
              <w:jc w:val="left"/>
              <w:rPr>
                <w:sz w:val="20"/>
              </w:rPr>
            </w:pPr>
            <w:r>
              <w:rPr>
                <w:sz w:val="20"/>
              </w:rPr>
              <w:t>Ennore TPS</w:t>
            </w:r>
          </w:p>
        </w:tc>
        <w:tc>
          <w:tcPr>
            <w:tcW w:w="1339" w:type="dxa"/>
          </w:tcPr>
          <w:p w:rsidR="007C5447" w:rsidRDefault="007C5447">
            <w:pPr>
              <w:pStyle w:val="TableParagraph"/>
              <w:jc w:val="left"/>
              <w:rPr>
                <w:sz w:val="20"/>
              </w:rPr>
            </w:pPr>
          </w:p>
        </w:tc>
        <w:tc>
          <w:tcPr>
            <w:tcW w:w="1216" w:type="dxa"/>
          </w:tcPr>
          <w:p w:rsidR="007C5447" w:rsidRDefault="00F6308C">
            <w:pPr>
              <w:pStyle w:val="TableParagraph"/>
              <w:spacing w:before="70"/>
              <w:ind w:right="170"/>
              <w:rPr>
                <w:sz w:val="20"/>
              </w:rPr>
            </w:pPr>
            <w:r>
              <w:rPr>
                <w:w w:val="95"/>
                <w:sz w:val="20"/>
              </w:rPr>
              <w:t>276.00</w:t>
            </w: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172"/>
              <w:rPr>
                <w:sz w:val="20"/>
              </w:rPr>
            </w:pPr>
            <w:r>
              <w:rPr>
                <w:w w:val="95"/>
                <w:sz w:val="20"/>
              </w:rPr>
              <w:t>485.00</w:t>
            </w:r>
          </w:p>
        </w:tc>
        <w:tc>
          <w:tcPr>
            <w:tcW w:w="1216" w:type="dxa"/>
          </w:tcPr>
          <w:p w:rsidR="007C5447" w:rsidRDefault="00F6308C">
            <w:pPr>
              <w:pStyle w:val="TableParagraph"/>
              <w:spacing w:before="70"/>
              <w:ind w:right="168"/>
              <w:rPr>
                <w:sz w:val="20"/>
              </w:rPr>
            </w:pPr>
            <w:r>
              <w:rPr>
                <w:w w:val="95"/>
                <w:sz w:val="20"/>
              </w:rPr>
              <w:t>885.71</w:t>
            </w:r>
          </w:p>
        </w:tc>
        <w:tc>
          <w:tcPr>
            <w:tcW w:w="1163" w:type="dxa"/>
          </w:tcPr>
          <w:p w:rsidR="007C5447" w:rsidRDefault="00F6308C">
            <w:pPr>
              <w:pStyle w:val="TableParagraph"/>
              <w:spacing w:before="70"/>
              <w:ind w:right="169"/>
              <w:rPr>
                <w:sz w:val="20"/>
              </w:rPr>
            </w:pPr>
            <w:r>
              <w:rPr>
                <w:w w:val="95"/>
                <w:sz w:val="20"/>
              </w:rPr>
              <w:t>18.26</w:t>
            </w:r>
          </w:p>
        </w:tc>
        <w:tc>
          <w:tcPr>
            <w:tcW w:w="1339" w:type="dxa"/>
          </w:tcPr>
          <w:p w:rsidR="007C5447" w:rsidRDefault="00F6308C">
            <w:pPr>
              <w:pStyle w:val="TableParagraph"/>
              <w:spacing w:before="70"/>
              <w:ind w:right="167"/>
              <w:rPr>
                <w:sz w:val="20"/>
              </w:rPr>
            </w:pPr>
            <w:r>
              <w:rPr>
                <w:w w:val="95"/>
                <w:sz w:val="20"/>
              </w:rPr>
              <w:t>485.00</w:t>
            </w:r>
          </w:p>
        </w:tc>
        <w:tc>
          <w:tcPr>
            <w:tcW w:w="1449" w:type="dxa"/>
          </w:tcPr>
          <w:p w:rsidR="007C5447" w:rsidRDefault="00F6308C">
            <w:pPr>
              <w:pStyle w:val="TableParagraph"/>
              <w:spacing w:before="70"/>
              <w:ind w:right="168"/>
              <w:rPr>
                <w:sz w:val="20"/>
              </w:rPr>
            </w:pPr>
            <w:r>
              <w:rPr>
                <w:w w:val="95"/>
                <w:sz w:val="20"/>
              </w:rPr>
              <w:t>425.35</w:t>
            </w:r>
          </w:p>
        </w:tc>
        <w:tc>
          <w:tcPr>
            <w:tcW w:w="1161" w:type="dxa"/>
          </w:tcPr>
          <w:p w:rsidR="007C5447" w:rsidRDefault="00F6308C">
            <w:pPr>
              <w:pStyle w:val="TableParagraph"/>
              <w:spacing w:before="70"/>
              <w:ind w:right="165"/>
              <w:rPr>
                <w:sz w:val="20"/>
              </w:rPr>
            </w:pPr>
            <w:r>
              <w:rPr>
                <w:sz w:val="20"/>
              </w:rPr>
              <w:t>8.77</w:t>
            </w:r>
          </w:p>
        </w:tc>
      </w:tr>
      <w:tr w:rsidR="007C5447">
        <w:trPr>
          <w:trHeight w:val="369"/>
        </w:trPr>
        <w:tc>
          <w:tcPr>
            <w:tcW w:w="2856" w:type="dxa"/>
          </w:tcPr>
          <w:p w:rsidR="007C5447" w:rsidRDefault="00F6308C">
            <w:pPr>
              <w:pStyle w:val="TableParagraph"/>
              <w:spacing w:before="70"/>
              <w:ind w:left="107"/>
              <w:jc w:val="left"/>
              <w:rPr>
                <w:sz w:val="20"/>
              </w:rPr>
            </w:pPr>
            <w:r>
              <w:rPr>
                <w:sz w:val="20"/>
              </w:rPr>
              <w:t>Tuticorin TPS</w:t>
            </w:r>
          </w:p>
        </w:tc>
        <w:tc>
          <w:tcPr>
            <w:tcW w:w="1339" w:type="dxa"/>
          </w:tcPr>
          <w:p w:rsidR="007C5447" w:rsidRDefault="00F6308C">
            <w:pPr>
              <w:pStyle w:val="TableParagraph"/>
              <w:spacing w:before="70"/>
              <w:ind w:right="170"/>
              <w:rPr>
                <w:sz w:val="20"/>
              </w:rPr>
            </w:pPr>
            <w:r>
              <w:rPr>
                <w:w w:val="95"/>
                <w:sz w:val="20"/>
              </w:rPr>
              <w:t>7,183.00</w:t>
            </w:r>
          </w:p>
        </w:tc>
        <w:tc>
          <w:tcPr>
            <w:tcW w:w="1216" w:type="dxa"/>
          </w:tcPr>
          <w:p w:rsidR="007C5447" w:rsidRDefault="00F6308C">
            <w:pPr>
              <w:pStyle w:val="TableParagraph"/>
              <w:spacing w:before="70"/>
              <w:ind w:right="168"/>
              <w:rPr>
                <w:sz w:val="20"/>
              </w:rPr>
            </w:pPr>
            <w:r>
              <w:rPr>
                <w:w w:val="95"/>
                <w:sz w:val="20"/>
              </w:rPr>
              <w:t>2,792.00</w:t>
            </w:r>
          </w:p>
        </w:tc>
        <w:tc>
          <w:tcPr>
            <w:tcW w:w="1161" w:type="dxa"/>
          </w:tcPr>
          <w:p w:rsidR="007C5447" w:rsidRDefault="00F6308C">
            <w:pPr>
              <w:pStyle w:val="TableParagraph"/>
              <w:spacing w:before="70"/>
              <w:ind w:right="169"/>
              <w:rPr>
                <w:sz w:val="20"/>
              </w:rPr>
            </w:pPr>
            <w:r>
              <w:rPr>
                <w:sz w:val="20"/>
              </w:rPr>
              <w:t>3.89</w:t>
            </w:r>
          </w:p>
        </w:tc>
        <w:tc>
          <w:tcPr>
            <w:tcW w:w="1303" w:type="dxa"/>
          </w:tcPr>
          <w:p w:rsidR="007C5447" w:rsidRDefault="00F6308C">
            <w:pPr>
              <w:pStyle w:val="TableParagraph"/>
              <w:spacing w:before="70"/>
              <w:ind w:right="170"/>
              <w:rPr>
                <w:sz w:val="20"/>
              </w:rPr>
            </w:pPr>
            <w:r>
              <w:rPr>
                <w:w w:val="95"/>
                <w:sz w:val="20"/>
              </w:rPr>
              <w:t>7,043.00</w:t>
            </w:r>
          </w:p>
        </w:tc>
        <w:tc>
          <w:tcPr>
            <w:tcW w:w="1216" w:type="dxa"/>
          </w:tcPr>
          <w:p w:rsidR="007C5447" w:rsidRDefault="00F6308C">
            <w:pPr>
              <w:pStyle w:val="TableParagraph"/>
              <w:spacing w:before="70"/>
              <w:ind w:right="166"/>
              <w:rPr>
                <w:sz w:val="20"/>
              </w:rPr>
            </w:pPr>
            <w:r>
              <w:rPr>
                <w:w w:val="95"/>
                <w:sz w:val="20"/>
              </w:rPr>
              <w:t>3,855.88</w:t>
            </w:r>
          </w:p>
        </w:tc>
        <w:tc>
          <w:tcPr>
            <w:tcW w:w="1163" w:type="dxa"/>
          </w:tcPr>
          <w:p w:rsidR="007C5447" w:rsidRDefault="00F6308C">
            <w:pPr>
              <w:pStyle w:val="TableParagraph"/>
              <w:spacing w:before="70"/>
              <w:ind w:right="169"/>
              <w:rPr>
                <w:sz w:val="20"/>
              </w:rPr>
            </w:pPr>
            <w:r>
              <w:rPr>
                <w:sz w:val="20"/>
              </w:rPr>
              <w:t>5.47</w:t>
            </w:r>
          </w:p>
        </w:tc>
        <w:tc>
          <w:tcPr>
            <w:tcW w:w="1339" w:type="dxa"/>
          </w:tcPr>
          <w:p w:rsidR="007C5447" w:rsidRDefault="00F6308C">
            <w:pPr>
              <w:pStyle w:val="TableParagraph"/>
              <w:spacing w:before="70"/>
              <w:ind w:right="165"/>
              <w:rPr>
                <w:sz w:val="20"/>
              </w:rPr>
            </w:pPr>
            <w:r>
              <w:rPr>
                <w:w w:val="95"/>
                <w:sz w:val="20"/>
              </w:rPr>
              <w:t>7,043.00</w:t>
            </w:r>
          </w:p>
        </w:tc>
        <w:tc>
          <w:tcPr>
            <w:tcW w:w="1449" w:type="dxa"/>
          </w:tcPr>
          <w:p w:rsidR="007C5447" w:rsidRDefault="00F6308C">
            <w:pPr>
              <w:pStyle w:val="TableParagraph"/>
              <w:spacing w:before="70"/>
              <w:ind w:right="166"/>
              <w:rPr>
                <w:sz w:val="20"/>
              </w:rPr>
            </w:pPr>
            <w:r>
              <w:rPr>
                <w:w w:val="95"/>
                <w:sz w:val="20"/>
              </w:rPr>
              <w:t>3,095.59</w:t>
            </w:r>
          </w:p>
        </w:tc>
        <w:tc>
          <w:tcPr>
            <w:tcW w:w="1161" w:type="dxa"/>
          </w:tcPr>
          <w:p w:rsidR="007C5447" w:rsidRDefault="00F6308C">
            <w:pPr>
              <w:pStyle w:val="TableParagraph"/>
              <w:spacing w:before="70"/>
              <w:ind w:right="165"/>
              <w:rPr>
                <w:sz w:val="20"/>
              </w:rPr>
            </w:pPr>
            <w:r>
              <w:rPr>
                <w:sz w:val="20"/>
              </w:rPr>
              <w:t>4.40</w:t>
            </w:r>
          </w:p>
        </w:tc>
      </w:tr>
      <w:tr w:rsidR="007C5447">
        <w:trPr>
          <w:trHeight w:val="369"/>
        </w:trPr>
        <w:tc>
          <w:tcPr>
            <w:tcW w:w="2856" w:type="dxa"/>
          </w:tcPr>
          <w:p w:rsidR="007C5447" w:rsidRDefault="00F6308C">
            <w:pPr>
              <w:pStyle w:val="TableParagraph"/>
              <w:spacing w:before="70"/>
              <w:ind w:left="107"/>
              <w:jc w:val="left"/>
              <w:rPr>
                <w:sz w:val="20"/>
              </w:rPr>
            </w:pPr>
            <w:r>
              <w:rPr>
                <w:sz w:val="20"/>
              </w:rPr>
              <w:t>Mettur TPS</w:t>
            </w:r>
          </w:p>
        </w:tc>
        <w:tc>
          <w:tcPr>
            <w:tcW w:w="1339" w:type="dxa"/>
          </w:tcPr>
          <w:p w:rsidR="007C5447" w:rsidRDefault="00F6308C">
            <w:pPr>
              <w:pStyle w:val="TableParagraph"/>
              <w:spacing w:before="70"/>
              <w:ind w:right="170"/>
              <w:rPr>
                <w:sz w:val="20"/>
              </w:rPr>
            </w:pPr>
            <w:r>
              <w:rPr>
                <w:w w:val="95"/>
                <w:sz w:val="20"/>
              </w:rPr>
              <w:t>6,005.00</w:t>
            </w:r>
          </w:p>
        </w:tc>
        <w:tc>
          <w:tcPr>
            <w:tcW w:w="1216" w:type="dxa"/>
          </w:tcPr>
          <w:p w:rsidR="007C5447" w:rsidRDefault="00F6308C">
            <w:pPr>
              <w:pStyle w:val="TableParagraph"/>
              <w:spacing w:before="70"/>
              <w:ind w:right="168"/>
              <w:rPr>
                <w:sz w:val="20"/>
              </w:rPr>
            </w:pPr>
            <w:r>
              <w:rPr>
                <w:w w:val="95"/>
                <w:sz w:val="20"/>
              </w:rPr>
              <w:t>2,200.00</w:t>
            </w:r>
          </w:p>
        </w:tc>
        <w:tc>
          <w:tcPr>
            <w:tcW w:w="1161" w:type="dxa"/>
          </w:tcPr>
          <w:p w:rsidR="007C5447" w:rsidRDefault="00F6308C">
            <w:pPr>
              <w:pStyle w:val="TableParagraph"/>
              <w:spacing w:before="70"/>
              <w:ind w:right="169"/>
              <w:rPr>
                <w:sz w:val="20"/>
              </w:rPr>
            </w:pPr>
            <w:r>
              <w:rPr>
                <w:sz w:val="20"/>
              </w:rPr>
              <w:t>3.66</w:t>
            </w:r>
          </w:p>
        </w:tc>
        <w:tc>
          <w:tcPr>
            <w:tcW w:w="1303" w:type="dxa"/>
          </w:tcPr>
          <w:p w:rsidR="007C5447" w:rsidRDefault="00F6308C">
            <w:pPr>
              <w:pStyle w:val="TableParagraph"/>
              <w:spacing w:before="70"/>
              <w:ind w:right="170"/>
              <w:rPr>
                <w:sz w:val="20"/>
              </w:rPr>
            </w:pPr>
            <w:r>
              <w:rPr>
                <w:w w:val="95"/>
                <w:sz w:val="20"/>
              </w:rPr>
              <w:t>5,697.00</w:t>
            </w:r>
          </w:p>
        </w:tc>
        <w:tc>
          <w:tcPr>
            <w:tcW w:w="1216" w:type="dxa"/>
          </w:tcPr>
          <w:p w:rsidR="007C5447" w:rsidRDefault="00F6308C">
            <w:pPr>
              <w:pStyle w:val="TableParagraph"/>
              <w:spacing w:before="70"/>
              <w:ind w:right="166"/>
              <w:rPr>
                <w:sz w:val="20"/>
              </w:rPr>
            </w:pPr>
            <w:r>
              <w:rPr>
                <w:w w:val="95"/>
                <w:sz w:val="20"/>
              </w:rPr>
              <w:t>3,426.37</w:t>
            </w:r>
          </w:p>
        </w:tc>
        <w:tc>
          <w:tcPr>
            <w:tcW w:w="1163" w:type="dxa"/>
          </w:tcPr>
          <w:p w:rsidR="007C5447" w:rsidRDefault="00F6308C">
            <w:pPr>
              <w:pStyle w:val="TableParagraph"/>
              <w:spacing w:before="70"/>
              <w:ind w:right="169"/>
              <w:rPr>
                <w:sz w:val="20"/>
              </w:rPr>
            </w:pPr>
            <w:r>
              <w:rPr>
                <w:sz w:val="20"/>
              </w:rPr>
              <w:t>6.01</w:t>
            </w:r>
          </w:p>
        </w:tc>
        <w:tc>
          <w:tcPr>
            <w:tcW w:w="1339" w:type="dxa"/>
          </w:tcPr>
          <w:p w:rsidR="007C5447" w:rsidRDefault="00F6308C">
            <w:pPr>
              <w:pStyle w:val="TableParagraph"/>
              <w:spacing w:before="70"/>
              <w:ind w:right="165"/>
              <w:rPr>
                <w:sz w:val="20"/>
              </w:rPr>
            </w:pPr>
            <w:r>
              <w:rPr>
                <w:w w:val="95"/>
                <w:sz w:val="20"/>
              </w:rPr>
              <w:t>5,697.00</w:t>
            </w:r>
          </w:p>
        </w:tc>
        <w:tc>
          <w:tcPr>
            <w:tcW w:w="1449" w:type="dxa"/>
          </w:tcPr>
          <w:p w:rsidR="007C5447" w:rsidRDefault="00F6308C">
            <w:pPr>
              <w:pStyle w:val="TableParagraph"/>
              <w:spacing w:before="70"/>
              <w:ind w:right="166"/>
              <w:rPr>
                <w:sz w:val="20"/>
              </w:rPr>
            </w:pPr>
            <w:r>
              <w:rPr>
                <w:w w:val="95"/>
                <w:sz w:val="20"/>
              </w:rPr>
              <w:t>3,208.76</w:t>
            </w:r>
          </w:p>
        </w:tc>
        <w:tc>
          <w:tcPr>
            <w:tcW w:w="1161" w:type="dxa"/>
          </w:tcPr>
          <w:p w:rsidR="007C5447" w:rsidRDefault="00F6308C">
            <w:pPr>
              <w:pStyle w:val="TableParagraph"/>
              <w:spacing w:before="70"/>
              <w:ind w:right="165"/>
              <w:rPr>
                <w:sz w:val="20"/>
              </w:rPr>
            </w:pPr>
            <w:r>
              <w:rPr>
                <w:sz w:val="20"/>
              </w:rPr>
              <w:t>5.63</w:t>
            </w:r>
          </w:p>
        </w:tc>
      </w:tr>
      <w:tr w:rsidR="007C5447">
        <w:trPr>
          <w:trHeight w:val="371"/>
        </w:trPr>
        <w:tc>
          <w:tcPr>
            <w:tcW w:w="2856" w:type="dxa"/>
          </w:tcPr>
          <w:p w:rsidR="007C5447" w:rsidRDefault="00F6308C">
            <w:pPr>
              <w:pStyle w:val="TableParagraph"/>
              <w:spacing w:before="70"/>
              <w:ind w:left="107"/>
              <w:jc w:val="left"/>
              <w:rPr>
                <w:sz w:val="20"/>
              </w:rPr>
            </w:pPr>
            <w:r>
              <w:rPr>
                <w:sz w:val="20"/>
              </w:rPr>
              <w:t>North Chennai TPS</w:t>
            </w:r>
          </w:p>
        </w:tc>
        <w:tc>
          <w:tcPr>
            <w:tcW w:w="1339" w:type="dxa"/>
          </w:tcPr>
          <w:p w:rsidR="007C5447" w:rsidRDefault="00F6308C">
            <w:pPr>
              <w:pStyle w:val="TableParagraph"/>
              <w:spacing w:before="70"/>
              <w:ind w:right="170"/>
              <w:rPr>
                <w:sz w:val="20"/>
              </w:rPr>
            </w:pPr>
            <w:r>
              <w:rPr>
                <w:w w:val="95"/>
                <w:sz w:val="20"/>
              </w:rPr>
              <w:t>4,502.00</w:t>
            </w:r>
          </w:p>
        </w:tc>
        <w:tc>
          <w:tcPr>
            <w:tcW w:w="1216" w:type="dxa"/>
          </w:tcPr>
          <w:p w:rsidR="007C5447" w:rsidRDefault="00F6308C">
            <w:pPr>
              <w:pStyle w:val="TableParagraph"/>
              <w:spacing w:before="70"/>
              <w:ind w:right="168"/>
              <w:rPr>
                <w:sz w:val="20"/>
              </w:rPr>
            </w:pPr>
            <w:r>
              <w:rPr>
                <w:w w:val="95"/>
                <w:sz w:val="20"/>
              </w:rPr>
              <w:t>1,580.00</w:t>
            </w:r>
          </w:p>
        </w:tc>
        <w:tc>
          <w:tcPr>
            <w:tcW w:w="1161" w:type="dxa"/>
          </w:tcPr>
          <w:p w:rsidR="007C5447" w:rsidRDefault="00F6308C">
            <w:pPr>
              <w:pStyle w:val="TableParagraph"/>
              <w:spacing w:before="70"/>
              <w:ind w:right="169"/>
              <w:rPr>
                <w:sz w:val="20"/>
              </w:rPr>
            </w:pPr>
            <w:r>
              <w:rPr>
                <w:sz w:val="20"/>
              </w:rPr>
              <w:t>3.51</w:t>
            </w:r>
          </w:p>
        </w:tc>
        <w:tc>
          <w:tcPr>
            <w:tcW w:w="1303" w:type="dxa"/>
          </w:tcPr>
          <w:p w:rsidR="007C5447" w:rsidRDefault="00F6308C">
            <w:pPr>
              <w:pStyle w:val="TableParagraph"/>
              <w:spacing w:before="70"/>
              <w:ind w:right="170"/>
              <w:rPr>
                <w:sz w:val="20"/>
              </w:rPr>
            </w:pPr>
            <w:r>
              <w:rPr>
                <w:w w:val="95"/>
                <w:sz w:val="20"/>
              </w:rPr>
              <w:t>3,865.00</w:t>
            </w:r>
          </w:p>
        </w:tc>
        <w:tc>
          <w:tcPr>
            <w:tcW w:w="1216" w:type="dxa"/>
          </w:tcPr>
          <w:p w:rsidR="007C5447" w:rsidRDefault="00F6308C">
            <w:pPr>
              <w:pStyle w:val="TableParagraph"/>
              <w:spacing w:before="70"/>
              <w:ind w:right="166"/>
              <w:rPr>
                <w:sz w:val="20"/>
              </w:rPr>
            </w:pPr>
            <w:r>
              <w:rPr>
                <w:w w:val="95"/>
                <w:sz w:val="20"/>
              </w:rPr>
              <w:t>2,578.10</w:t>
            </w:r>
          </w:p>
        </w:tc>
        <w:tc>
          <w:tcPr>
            <w:tcW w:w="1163" w:type="dxa"/>
          </w:tcPr>
          <w:p w:rsidR="007C5447" w:rsidRDefault="00F6308C">
            <w:pPr>
              <w:pStyle w:val="TableParagraph"/>
              <w:spacing w:before="70"/>
              <w:ind w:right="169"/>
              <w:rPr>
                <w:sz w:val="20"/>
              </w:rPr>
            </w:pPr>
            <w:r>
              <w:rPr>
                <w:sz w:val="20"/>
              </w:rPr>
              <w:t>6.67</w:t>
            </w:r>
          </w:p>
        </w:tc>
        <w:tc>
          <w:tcPr>
            <w:tcW w:w="1339" w:type="dxa"/>
          </w:tcPr>
          <w:p w:rsidR="007C5447" w:rsidRDefault="00F6308C">
            <w:pPr>
              <w:pStyle w:val="TableParagraph"/>
              <w:spacing w:before="70"/>
              <w:ind w:right="165"/>
              <w:rPr>
                <w:sz w:val="20"/>
              </w:rPr>
            </w:pPr>
            <w:r>
              <w:rPr>
                <w:w w:val="95"/>
                <w:sz w:val="20"/>
              </w:rPr>
              <w:t>3,865.00</w:t>
            </w:r>
          </w:p>
        </w:tc>
        <w:tc>
          <w:tcPr>
            <w:tcW w:w="1449" w:type="dxa"/>
          </w:tcPr>
          <w:p w:rsidR="007C5447" w:rsidRDefault="00F6308C">
            <w:pPr>
              <w:pStyle w:val="TableParagraph"/>
              <w:spacing w:before="70"/>
              <w:ind w:right="166"/>
              <w:rPr>
                <w:sz w:val="20"/>
              </w:rPr>
            </w:pPr>
            <w:r>
              <w:rPr>
                <w:w w:val="95"/>
                <w:sz w:val="20"/>
              </w:rPr>
              <w:t>1,733.19</w:t>
            </w:r>
          </w:p>
        </w:tc>
        <w:tc>
          <w:tcPr>
            <w:tcW w:w="1161" w:type="dxa"/>
          </w:tcPr>
          <w:p w:rsidR="007C5447" w:rsidRDefault="00F6308C">
            <w:pPr>
              <w:pStyle w:val="TableParagraph"/>
              <w:spacing w:before="70"/>
              <w:ind w:right="165"/>
              <w:rPr>
                <w:sz w:val="20"/>
              </w:rPr>
            </w:pPr>
            <w:r>
              <w:rPr>
                <w:sz w:val="20"/>
              </w:rPr>
              <w:t>4.48</w:t>
            </w:r>
          </w:p>
        </w:tc>
      </w:tr>
      <w:tr w:rsidR="007C5447">
        <w:trPr>
          <w:trHeight w:val="369"/>
        </w:trPr>
        <w:tc>
          <w:tcPr>
            <w:tcW w:w="2856" w:type="dxa"/>
          </w:tcPr>
          <w:p w:rsidR="007C5447" w:rsidRDefault="00F6308C">
            <w:pPr>
              <w:pStyle w:val="TableParagraph"/>
              <w:spacing w:before="70"/>
              <w:ind w:left="107"/>
              <w:jc w:val="left"/>
              <w:rPr>
                <w:sz w:val="20"/>
              </w:rPr>
            </w:pPr>
            <w:r>
              <w:rPr>
                <w:sz w:val="20"/>
              </w:rPr>
              <w:t>NCTPS Stage-II (Unit 1)</w:t>
            </w:r>
          </w:p>
        </w:tc>
        <w:tc>
          <w:tcPr>
            <w:tcW w:w="1339" w:type="dxa"/>
          </w:tcPr>
          <w:p w:rsidR="007C5447" w:rsidRDefault="00F6308C">
            <w:pPr>
              <w:pStyle w:val="TableParagraph"/>
              <w:spacing w:before="70"/>
              <w:ind w:right="170"/>
              <w:rPr>
                <w:sz w:val="20"/>
              </w:rPr>
            </w:pPr>
            <w:r>
              <w:rPr>
                <w:w w:val="95"/>
                <w:sz w:val="20"/>
              </w:rPr>
              <w:t>7,784.00</w:t>
            </w:r>
          </w:p>
        </w:tc>
        <w:tc>
          <w:tcPr>
            <w:tcW w:w="1216" w:type="dxa"/>
          </w:tcPr>
          <w:p w:rsidR="007C5447" w:rsidRDefault="00F6308C">
            <w:pPr>
              <w:pStyle w:val="TableParagraph"/>
              <w:spacing w:before="70"/>
              <w:ind w:right="168"/>
              <w:rPr>
                <w:sz w:val="20"/>
              </w:rPr>
            </w:pPr>
            <w:r>
              <w:rPr>
                <w:w w:val="95"/>
                <w:sz w:val="20"/>
              </w:rPr>
              <w:t>3,088.00</w:t>
            </w:r>
          </w:p>
        </w:tc>
        <w:tc>
          <w:tcPr>
            <w:tcW w:w="1161" w:type="dxa"/>
          </w:tcPr>
          <w:p w:rsidR="007C5447" w:rsidRDefault="00F6308C">
            <w:pPr>
              <w:pStyle w:val="TableParagraph"/>
              <w:spacing w:before="70"/>
              <w:ind w:right="169"/>
              <w:rPr>
                <w:sz w:val="20"/>
              </w:rPr>
            </w:pPr>
            <w:r>
              <w:rPr>
                <w:sz w:val="20"/>
              </w:rPr>
              <w:t>3.97</w:t>
            </w:r>
          </w:p>
        </w:tc>
        <w:tc>
          <w:tcPr>
            <w:tcW w:w="1303" w:type="dxa"/>
          </w:tcPr>
          <w:p w:rsidR="007C5447" w:rsidRDefault="00F6308C">
            <w:pPr>
              <w:pStyle w:val="TableParagraph"/>
              <w:spacing w:before="70"/>
              <w:ind w:right="170"/>
              <w:rPr>
                <w:sz w:val="20"/>
              </w:rPr>
            </w:pPr>
            <w:r>
              <w:rPr>
                <w:w w:val="95"/>
                <w:sz w:val="20"/>
              </w:rPr>
              <w:t>5,187.00</w:t>
            </w:r>
          </w:p>
        </w:tc>
        <w:tc>
          <w:tcPr>
            <w:tcW w:w="1216" w:type="dxa"/>
          </w:tcPr>
          <w:p w:rsidR="007C5447" w:rsidRDefault="00F6308C">
            <w:pPr>
              <w:pStyle w:val="TableParagraph"/>
              <w:spacing w:before="70"/>
              <w:ind w:right="166"/>
              <w:rPr>
                <w:sz w:val="20"/>
              </w:rPr>
            </w:pPr>
            <w:r>
              <w:rPr>
                <w:w w:val="95"/>
                <w:sz w:val="20"/>
              </w:rPr>
              <w:t>1,755.46</w:t>
            </w:r>
          </w:p>
        </w:tc>
        <w:tc>
          <w:tcPr>
            <w:tcW w:w="1163" w:type="dxa"/>
          </w:tcPr>
          <w:p w:rsidR="007C5447" w:rsidRDefault="00F6308C">
            <w:pPr>
              <w:pStyle w:val="TableParagraph"/>
              <w:spacing w:before="70"/>
              <w:ind w:right="169"/>
              <w:rPr>
                <w:sz w:val="20"/>
              </w:rPr>
            </w:pPr>
            <w:r>
              <w:rPr>
                <w:sz w:val="20"/>
              </w:rPr>
              <w:t>3.38</w:t>
            </w:r>
          </w:p>
        </w:tc>
        <w:tc>
          <w:tcPr>
            <w:tcW w:w="1339" w:type="dxa"/>
          </w:tcPr>
          <w:p w:rsidR="007C5447" w:rsidRDefault="00F6308C">
            <w:pPr>
              <w:pStyle w:val="TableParagraph"/>
              <w:spacing w:before="70"/>
              <w:ind w:right="165"/>
              <w:rPr>
                <w:sz w:val="20"/>
              </w:rPr>
            </w:pPr>
            <w:r>
              <w:rPr>
                <w:w w:val="95"/>
                <w:sz w:val="20"/>
              </w:rPr>
              <w:t>5,187.00</w:t>
            </w:r>
          </w:p>
        </w:tc>
        <w:tc>
          <w:tcPr>
            <w:tcW w:w="1449" w:type="dxa"/>
          </w:tcPr>
          <w:p w:rsidR="007C5447" w:rsidRDefault="00F6308C">
            <w:pPr>
              <w:pStyle w:val="TableParagraph"/>
              <w:spacing w:before="70"/>
              <w:ind w:right="166"/>
              <w:rPr>
                <w:sz w:val="20"/>
              </w:rPr>
            </w:pPr>
            <w:r>
              <w:rPr>
                <w:w w:val="95"/>
                <w:sz w:val="20"/>
              </w:rPr>
              <w:t>1,881.61</w:t>
            </w:r>
          </w:p>
        </w:tc>
        <w:tc>
          <w:tcPr>
            <w:tcW w:w="1161" w:type="dxa"/>
          </w:tcPr>
          <w:p w:rsidR="007C5447" w:rsidRDefault="00F6308C">
            <w:pPr>
              <w:pStyle w:val="TableParagraph"/>
              <w:spacing w:before="70"/>
              <w:ind w:right="165"/>
              <w:rPr>
                <w:sz w:val="20"/>
              </w:rPr>
            </w:pPr>
            <w:r>
              <w:rPr>
                <w:sz w:val="20"/>
              </w:rPr>
              <w:t>3.63</w:t>
            </w:r>
          </w:p>
        </w:tc>
      </w:tr>
      <w:tr w:rsidR="007C5447">
        <w:trPr>
          <w:trHeight w:val="369"/>
        </w:trPr>
        <w:tc>
          <w:tcPr>
            <w:tcW w:w="2856" w:type="dxa"/>
          </w:tcPr>
          <w:p w:rsidR="007C5447" w:rsidRDefault="00F6308C">
            <w:pPr>
              <w:pStyle w:val="TableParagraph"/>
              <w:spacing w:before="70"/>
              <w:ind w:left="107"/>
              <w:jc w:val="left"/>
              <w:rPr>
                <w:sz w:val="20"/>
              </w:rPr>
            </w:pPr>
            <w:r>
              <w:rPr>
                <w:sz w:val="20"/>
              </w:rPr>
              <w:t>MTPS Stage III</w:t>
            </w:r>
          </w:p>
        </w:tc>
        <w:tc>
          <w:tcPr>
            <w:tcW w:w="1339" w:type="dxa"/>
          </w:tcPr>
          <w:p w:rsidR="007C5447" w:rsidRDefault="00F6308C">
            <w:pPr>
              <w:pStyle w:val="TableParagraph"/>
              <w:spacing w:before="70"/>
              <w:ind w:right="168"/>
              <w:rPr>
                <w:sz w:val="20"/>
              </w:rPr>
            </w:pPr>
            <w:r>
              <w:rPr>
                <w:w w:val="99"/>
                <w:sz w:val="20"/>
              </w:rPr>
              <w:t>-</w:t>
            </w:r>
          </w:p>
        </w:tc>
        <w:tc>
          <w:tcPr>
            <w:tcW w:w="1216" w:type="dxa"/>
          </w:tcPr>
          <w:p w:rsidR="007C5447" w:rsidRDefault="00F6308C">
            <w:pPr>
              <w:pStyle w:val="TableParagraph"/>
              <w:spacing w:before="70"/>
              <w:ind w:right="170"/>
              <w:rPr>
                <w:sz w:val="20"/>
              </w:rPr>
            </w:pPr>
            <w:r>
              <w:rPr>
                <w:w w:val="95"/>
                <w:sz w:val="20"/>
              </w:rPr>
              <w:t>671.00</w:t>
            </w: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170"/>
              <w:rPr>
                <w:sz w:val="20"/>
              </w:rPr>
            </w:pPr>
            <w:r>
              <w:rPr>
                <w:w w:val="95"/>
                <w:sz w:val="20"/>
              </w:rPr>
              <w:t>2,802.00</w:t>
            </w:r>
          </w:p>
        </w:tc>
        <w:tc>
          <w:tcPr>
            <w:tcW w:w="1216" w:type="dxa"/>
          </w:tcPr>
          <w:p w:rsidR="007C5447" w:rsidRDefault="00F6308C">
            <w:pPr>
              <w:pStyle w:val="TableParagraph"/>
              <w:spacing w:before="70"/>
              <w:ind w:right="168"/>
              <w:rPr>
                <w:sz w:val="20"/>
              </w:rPr>
            </w:pPr>
            <w:r>
              <w:rPr>
                <w:w w:val="95"/>
                <w:sz w:val="20"/>
              </w:rPr>
              <w:t>925.59</w:t>
            </w:r>
          </w:p>
        </w:tc>
        <w:tc>
          <w:tcPr>
            <w:tcW w:w="1163" w:type="dxa"/>
          </w:tcPr>
          <w:p w:rsidR="007C5447" w:rsidRDefault="00F6308C">
            <w:pPr>
              <w:pStyle w:val="TableParagraph"/>
              <w:spacing w:before="70"/>
              <w:ind w:right="169"/>
              <w:rPr>
                <w:sz w:val="20"/>
              </w:rPr>
            </w:pPr>
            <w:r>
              <w:rPr>
                <w:sz w:val="20"/>
              </w:rPr>
              <w:t>3.30</w:t>
            </w:r>
          </w:p>
        </w:tc>
        <w:tc>
          <w:tcPr>
            <w:tcW w:w="1339" w:type="dxa"/>
          </w:tcPr>
          <w:p w:rsidR="007C5447" w:rsidRDefault="00F6308C">
            <w:pPr>
              <w:pStyle w:val="TableParagraph"/>
              <w:spacing w:before="70"/>
              <w:ind w:right="165"/>
              <w:rPr>
                <w:sz w:val="20"/>
              </w:rPr>
            </w:pPr>
            <w:r>
              <w:rPr>
                <w:w w:val="95"/>
                <w:sz w:val="20"/>
              </w:rPr>
              <w:t>2,802.00</w:t>
            </w:r>
          </w:p>
        </w:tc>
        <w:tc>
          <w:tcPr>
            <w:tcW w:w="1449" w:type="dxa"/>
          </w:tcPr>
          <w:p w:rsidR="007C5447" w:rsidRDefault="00F6308C">
            <w:pPr>
              <w:pStyle w:val="TableParagraph"/>
              <w:spacing w:before="70"/>
              <w:ind w:right="166"/>
              <w:rPr>
                <w:sz w:val="20"/>
              </w:rPr>
            </w:pPr>
            <w:r>
              <w:rPr>
                <w:w w:val="95"/>
                <w:sz w:val="20"/>
              </w:rPr>
              <w:t>1,538.91</w:t>
            </w:r>
          </w:p>
        </w:tc>
        <w:tc>
          <w:tcPr>
            <w:tcW w:w="1161" w:type="dxa"/>
          </w:tcPr>
          <w:p w:rsidR="007C5447" w:rsidRDefault="00F6308C">
            <w:pPr>
              <w:pStyle w:val="TableParagraph"/>
              <w:spacing w:before="70"/>
              <w:ind w:right="165"/>
              <w:rPr>
                <w:sz w:val="20"/>
              </w:rPr>
            </w:pPr>
            <w:r>
              <w:rPr>
                <w:sz w:val="20"/>
              </w:rPr>
              <w:t>5.49</w:t>
            </w:r>
          </w:p>
        </w:tc>
      </w:tr>
      <w:tr w:rsidR="007C5447">
        <w:trPr>
          <w:trHeight w:val="371"/>
        </w:trPr>
        <w:tc>
          <w:tcPr>
            <w:tcW w:w="2856" w:type="dxa"/>
          </w:tcPr>
          <w:p w:rsidR="007C5447" w:rsidRDefault="00F6308C">
            <w:pPr>
              <w:pStyle w:val="TableParagraph"/>
              <w:spacing w:before="70"/>
              <w:ind w:left="107"/>
              <w:jc w:val="left"/>
              <w:rPr>
                <w:sz w:val="20"/>
              </w:rPr>
            </w:pPr>
            <w:r>
              <w:rPr>
                <w:sz w:val="20"/>
              </w:rPr>
              <w:t>Ennore Expansion</w:t>
            </w:r>
          </w:p>
        </w:tc>
        <w:tc>
          <w:tcPr>
            <w:tcW w:w="1339" w:type="dxa"/>
          </w:tcPr>
          <w:p w:rsidR="007C5447" w:rsidRDefault="00F6308C">
            <w:pPr>
              <w:pStyle w:val="TableParagraph"/>
              <w:spacing w:before="70"/>
              <w:ind w:right="168"/>
              <w:rPr>
                <w:sz w:val="20"/>
              </w:rPr>
            </w:pPr>
            <w:r>
              <w:rPr>
                <w:w w:val="99"/>
                <w:sz w:val="20"/>
              </w:rPr>
              <w:t>-</w:t>
            </w:r>
          </w:p>
        </w:tc>
        <w:tc>
          <w:tcPr>
            <w:tcW w:w="1216" w:type="dxa"/>
          </w:tcPr>
          <w:p w:rsidR="007C5447" w:rsidRDefault="00F6308C">
            <w:pPr>
              <w:pStyle w:val="TableParagraph"/>
              <w:spacing w:before="70"/>
              <w:ind w:right="167"/>
              <w:rPr>
                <w:sz w:val="20"/>
              </w:rPr>
            </w:pPr>
            <w:r>
              <w:rPr>
                <w:w w:val="99"/>
                <w:sz w:val="20"/>
              </w:rPr>
              <w:t>-</w:t>
            </w: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168"/>
              <w:rPr>
                <w:sz w:val="20"/>
              </w:rPr>
            </w:pPr>
            <w:r>
              <w:rPr>
                <w:w w:val="99"/>
                <w:sz w:val="20"/>
              </w:rPr>
              <w:t>-</w:t>
            </w: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F6308C">
            <w:pPr>
              <w:pStyle w:val="TableParagraph"/>
              <w:spacing w:before="70"/>
              <w:ind w:right="163"/>
              <w:rPr>
                <w:sz w:val="20"/>
              </w:rPr>
            </w:pPr>
            <w:r>
              <w:rPr>
                <w:w w:val="99"/>
                <w:sz w:val="20"/>
              </w:rPr>
              <w:t>-</w:t>
            </w:r>
          </w:p>
        </w:tc>
        <w:tc>
          <w:tcPr>
            <w:tcW w:w="1449" w:type="dxa"/>
          </w:tcPr>
          <w:p w:rsidR="007C5447" w:rsidRDefault="00F6308C">
            <w:pPr>
              <w:pStyle w:val="TableParagraph"/>
              <w:spacing w:before="70"/>
              <w:ind w:right="165"/>
              <w:rPr>
                <w:sz w:val="20"/>
              </w:rPr>
            </w:pPr>
            <w:r>
              <w:rPr>
                <w:w w:val="99"/>
                <w:sz w:val="20"/>
              </w:rPr>
              <w:t>-</w:t>
            </w:r>
          </w:p>
        </w:tc>
        <w:tc>
          <w:tcPr>
            <w:tcW w:w="1161" w:type="dxa"/>
          </w:tcPr>
          <w:p w:rsidR="007C5447" w:rsidRDefault="00F6308C">
            <w:pPr>
              <w:pStyle w:val="TableParagraph"/>
              <w:spacing w:before="70"/>
              <w:ind w:right="164"/>
              <w:rPr>
                <w:sz w:val="20"/>
              </w:rPr>
            </w:pPr>
            <w:r>
              <w:rPr>
                <w:w w:val="99"/>
                <w:sz w:val="20"/>
              </w:rPr>
              <w:t>-</w:t>
            </w:r>
          </w:p>
        </w:tc>
      </w:tr>
      <w:tr w:rsidR="007C5447">
        <w:trPr>
          <w:trHeight w:val="369"/>
        </w:trPr>
        <w:tc>
          <w:tcPr>
            <w:tcW w:w="2856" w:type="dxa"/>
          </w:tcPr>
          <w:p w:rsidR="007C5447" w:rsidRDefault="00F6308C">
            <w:pPr>
              <w:pStyle w:val="TableParagraph"/>
              <w:spacing w:before="70"/>
              <w:ind w:left="107"/>
              <w:jc w:val="left"/>
              <w:rPr>
                <w:b/>
                <w:sz w:val="20"/>
              </w:rPr>
            </w:pPr>
            <w:r>
              <w:rPr>
                <w:b/>
                <w:sz w:val="20"/>
              </w:rPr>
              <w:t>Total Thermal</w:t>
            </w:r>
          </w:p>
        </w:tc>
        <w:tc>
          <w:tcPr>
            <w:tcW w:w="1339" w:type="dxa"/>
          </w:tcPr>
          <w:p w:rsidR="007C5447" w:rsidRDefault="00F6308C">
            <w:pPr>
              <w:pStyle w:val="TableParagraph"/>
              <w:spacing w:before="70"/>
              <w:ind w:right="172"/>
              <w:rPr>
                <w:b/>
                <w:sz w:val="20"/>
              </w:rPr>
            </w:pPr>
            <w:r>
              <w:rPr>
                <w:b/>
                <w:w w:val="95"/>
                <w:sz w:val="20"/>
              </w:rPr>
              <w:t>25,474.00</w:t>
            </w:r>
          </w:p>
        </w:tc>
        <w:tc>
          <w:tcPr>
            <w:tcW w:w="1216" w:type="dxa"/>
          </w:tcPr>
          <w:p w:rsidR="007C5447" w:rsidRDefault="00F6308C">
            <w:pPr>
              <w:pStyle w:val="TableParagraph"/>
              <w:spacing w:before="70"/>
              <w:ind w:right="171"/>
              <w:rPr>
                <w:b/>
                <w:sz w:val="20"/>
              </w:rPr>
            </w:pPr>
            <w:r>
              <w:rPr>
                <w:b/>
                <w:w w:val="95"/>
                <w:sz w:val="20"/>
              </w:rPr>
              <w:t>10,607.00</w:t>
            </w:r>
          </w:p>
        </w:tc>
        <w:tc>
          <w:tcPr>
            <w:tcW w:w="1161" w:type="dxa"/>
          </w:tcPr>
          <w:p w:rsidR="007C5447" w:rsidRDefault="00F6308C">
            <w:pPr>
              <w:pStyle w:val="TableParagraph"/>
              <w:spacing w:before="70"/>
              <w:ind w:right="169"/>
              <w:rPr>
                <w:b/>
                <w:sz w:val="20"/>
              </w:rPr>
            </w:pPr>
            <w:r>
              <w:rPr>
                <w:b/>
                <w:sz w:val="20"/>
              </w:rPr>
              <w:t>4.16</w:t>
            </w:r>
          </w:p>
        </w:tc>
        <w:tc>
          <w:tcPr>
            <w:tcW w:w="1303" w:type="dxa"/>
          </w:tcPr>
          <w:p w:rsidR="007C5447" w:rsidRDefault="00F6308C">
            <w:pPr>
              <w:pStyle w:val="TableParagraph"/>
              <w:spacing w:before="70"/>
              <w:ind w:right="172"/>
              <w:rPr>
                <w:b/>
                <w:sz w:val="20"/>
              </w:rPr>
            </w:pPr>
            <w:r>
              <w:rPr>
                <w:b/>
                <w:w w:val="95"/>
                <w:sz w:val="20"/>
              </w:rPr>
              <w:t>25,079.00</w:t>
            </w:r>
          </w:p>
        </w:tc>
        <w:tc>
          <w:tcPr>
            <w:tcW w:w="1216" w:type="dxa"/>
          </w:tcPr>
          <w:p w:rsidR="007C5447" w:rsidRDefault="00F6308C">
            <w:pPr>
              <w:pStyle w:val="TableParagraph"/>
              <w:spacing w:before="70"/>
              <w:ind w:right="169"/>
              <w:rPr>
                <w:b/>
                <w:sz w:val="20"/>
              </w:rPr>
            </w:pPr>
            <w:r>
              <w:rPr>
                <w:b/>
                <w:w w:val="95"/>
                <w:sz w:val="20"/>
              </w:rPr>
              <w:t>13,427.11</w:t>
            </w:r>
          </w:p>
        </w:tc>
        <w:tc>
          <w:tcPr>
            <w:tcW w:w="1163" w:type="dxa"/>
          </w:tcPr>
          <w:p w:rsidR="007C5447" w:rsidRDefault="00F6308C">
            <w:pPr>
              <w:pStyle w:val="TableParagraph"/>
              <w:spacing w:before="70"/>
              <w:ind w:right="169"/>
              <w:rPr>
                <w:b/>
                <w:sz w:val="20"/>
              </w:rPr>
            </w:pPr>
            <w:r>
              <w:rPr>
                <w:b/>
                <w:sz w:val="20"/>
              </w:rPr>
              <w:t>5.35</w:t>
            </w:r>
          </w:p>
        </w:tc>
        <w:tc>
          <w:tcPr>
            <w:tcW w:w="1339" w:type="dxa"/>
          </w:tcPr>
          <w:p w:rsidR="007C5447" w:rsidRDefault="00F6308C">
            <w:pPr>
              <w:pStyle w:val="TableParagraph"/>
              <w:spacing w:before="70"/>
              <w:ind w:right="167"/>
              <w:rPr>
                <w:b/>
                <w:sz w:val="20"/>
              </w:rPr>
            </w:pPr>
            <w:r>
              <w:rPr>
                <w:b/>
                <w:w w:val="95"/>
                <w:sz w:val="20"/>
              </w:rPr>
              <w:t>25,079.00</w:t>
            </w:r>
          </w:p>
        </w:tc>
        <w:tc>
          <w:tcPr>
            <w:tcW w:w="1449" w:type="dxa"/>
          </w:tcPr>
          <w:p w:rsidR="007C5447" w:rsidRDefault="00F6308C">
            <w:pPr>
              <w:pStyle w:val="TableParagraph"/>
              <w:spacing w:before="70"/>
              <w:ind w:right="169"/>
              <w:rPr>
                <w:b/>
                <w:sz w:val="20"/>
              </w:rPr>
            </w:pPr>
            <w:r>
              <w:rPr>
                <w:b/>
                <w:w w:val="95"/>
                <w:sz w:val="20"/>
              </w:rPr>
              <w:t>11,883.41</w:t>
            </w:r>
          </w:p>
        </w:tc>
        <w:tc>
          <w:tcPr>
            <w:tcW w:w="1161" w:type="dxa"/>
          </w:tcPr>
          <w:p w:rsidR="007C5447" w:rsidRDefault="00F6308C">
            <w:pPr>
              <w:pStyle w:val="TableParagraph"/>
              <w:spacing w:before="70"/>
              <w:ind w:right="165"/>
              <w:rPr>
                <w:b/>
                <w:sz w:val="20"/>
              </w:rPr>
            </w:pPr>
            <w:r>
              <w:rPr>
                <w:b/>
                <w:sz w:val="20"/>
              </w:rPr>
              <w:t>4.74</w:t>
            </w:r>
          </w:p>
        </w:tc>
      </w:tr>
      <w:tr w:rsidR="007C5447">
        <w:trPr>
          <w:trHeight w:val="369"/>
        </w:trPr>
        <w:tc>
          <w:tcPr>
            <w:tcW w:w="2856" w:type="dxa"/>
          </w:tcPr>
          <w:p w:rsidR="007C5447" w:rsidRDefault="00F6308C">
            <w:pPr>
              <w:pStyle w:val="TableParagraph"/>
              <w:spacing w:before="70"/>
              <w:ind w:left="107"/>
              <w:jc w:val="left"/>
              <w:rPr>
                <w:sz w:val="20"/>
              </w:rPr>
            </w:pPr>
            <w:r>
              <w:rPr>
                <w:sz w:val="20"/>
              </w:rPr>
              <w:t>TGTPS</w:t>
            </w:r>
          </w:p>
        </w:tc>
        <w:tc>
          <w:tcPr>
            <w:tcW w:w="1339" w:type="dxa"/>
          </w:tcPr>
          <w:p w:rsidR="007C5447" w:rsidRDefault="00F6308C">
            <w:pPr>
              <w:pStyle w:val="TableParagraph"/>
              <w:spacing w:before="70"/>
              <w:ind w:right="172"/>
              <w:rPr>
                <w:sz w:val="20"/>
              </w:rPr>
            </w:pPr>
            <w:r>
              <w:rPr>
                <w:w w:val="95"/>
                <w:sz w:val="20"/>
              </w:rPr>
              <w:t>706.00</w:t>
            </w:r>
          </w:p>
        </w:tc>
        <w:tc>
          <w:tcPr>
            <w:tcW w:w="1216" w:type="dxa"/>
          </w:tcPr>
          <w:p w:rsidR="007C5447" w:rsidRDefault="00F6308C">
            <w:pPr>
              <w:pStyle w:val="TableParagraph"/>
              <w:spacing w:before="70"/>
              <w:ind w:right="170"/>
              <w:rPr>
                <w:sz w:val="20"/>
              </w:rPr>
            </w:pPr>
            <w:r>
              <w:rPr>
                <w:w w:val="95"/>
                <w:sz w:val="20"/>
              </w:rPr>
              <w:t>235.00</w:t>
            </w:r>
          </w:p>
        </w:tc>
        <w:tc>
          <w:tcPr>
            <w:tcW w:w="1161" w:type="dxa"/>
          </w:tcPr>
          <w:p w:rsidR="007C5447" w:rsidRDefault="00F6308C">
            <w:pPr>
              <w:pStyle w:val="TableParagraph"/>
              <w:spacing w:before="70"/>
              <w:ind w:right="169"/>
              <w:rPr>
                <w:sz w:val="20"/>
              </w:rPr>
            </w:pPr>
            <w:r>
              <w:rPr>
                <w:sz w:val="20"/>
              </w:rPr>
              <w:t>3.33</w:t>
            </w:r>
          </w:p>
        </w:tc>
        <w:tc>
          <w:tcPr>
            <w:tcW w:w="1303" w:type="dxa"/>
          </w:tcPr>
          <w:p w:rsidR="007C5447" w:rsidRDefault="00F6308C">
            <w:pPr>
              <w:pStyle w:val="TableParagraph"/>
              <w:spacing w:before="70"/>
              <w:ind w:right="172"/>
              <w:rPr>
                <w:sz w:val="20"/>
              </w:rPr>
            </w:pPr>
            <w:r>
              <w:rPr>
                <w:w w:val="95"/>
                <w:sz w:val="20"/>
              </w:rPr>
              <w:t>382.00</w:t>
            </w:r>
          </w:p>
        </w:tc>
        <w:tc>
          <w:tcPr>
            <w:tcW w:w="1216" w:type="dxa"/>
          </w:tcPr>
          <w:p w:rsidR="007C5447" w:rsidRDefault="00F6308C">
            <w:pPr>
              <w:pStyle w:val="TableParagraph"/>
              <w:spacing w:before="70"/>
              <w:ind w:right="168"/>
              <w:rPr>
                <w:sz w:val="20"/>
              </w:rPr>
            </w:pPr>
            <w:r>
              <w:rPr>
                <w:w w:val="95"/>
                <w:sz w:val="20"/>
              </w:rPr>
              <w:t>346.22</w:t>
            </w:r>
          </w:p>
        </w:tc>
        <w:tc>
          <w:tcPr>
            <w:tcW w:w="1163" w:type="dxa"/>
          </w:tcPr>
          <w:p w:rsidR="007C5447" w:rsidRDefault="00F6308C">
            <w:pPr>
              <w:pStyle w:val="TableParagraph"/>
              <w:spacing w:before="70"/>
              <w:ind w:right="169"/>
              <w:rPr>
                <w:sz w:val="20"/>
              </w:rPr>
            </w:pPr>
            <w:r>
              <w:rPr>
                <w:sz w:val="20"/>
              </w:rPr>
              <w:t>9.06</w:t>
            </w:r>
          </w:p>
        </w:tc>
        <w:tc>
          <w:tcPr>
            <w:tcW w:w="1339" w:type="dxa"/>
          </w:tcPr>
          <w:p w:rsidR="007C5447" w:rsidRDefault="00F6308C">
            <w:pPr>
              <w:pStyle w:val="TableParagraph"/>
              <w:spacing w:before="70"/>
              <w:ind w:right="167"/>
              <w:rPr>
                <w:sz w:val="20"/>
              </w:rPr>
            </w:pPr>
            <w:r>
              <w:rPr>
                <w:w w:val="95"/>
                <w:sz w:val="20"/>
              </w:rPr>
              <w:t>382.00</w:t>
            </w:r>
          </w:p>
        </w:tc>
        <w:tc>
          <w:tcPr>
            <w:tcW w:w="1449" w:type="dxa"/>
          </w:tcPr>
          <w:p w:rsidR="007C5447" w:rsidRDefault="00F6308C">
            <w:pPr>
              <w:pStyle w:val="TableParagraph"/>
              <w:spacing w:before="70"/>
              <w:ind w:right="168"/>
              <w:rPr>
                <w:sz w:val="20"/>
              </w:rPr>
            </w:pPr>
            <w:r>
              <w:rPr>
                <w:w w:val="95"/>
                <w:sz w:val="20"/>
              </w:rPr>
              <w:t>184.90</w:t>
            </w:r>
          </w:p>
        </w:tc>
        <w:tc>
          <w:tcPr>
            <w:tcW w:w="1161" w:type="dxa"/>
          </w:tcPr>
          <w:p w:rsidR="007C5447" w:rsidRDefault="00F6308C">
            <w:pPr>
              <w:pStyle w:val="TableParagraph"/>
              <w:spacing w:before="70"/>
              <w:ind w:right="165"/>
              <w:rPr>
                <w:sz w:val="20"/>
              </w:rPr>
            </w:pPr>
            <w:r>
              <w:rPr>
                <w:sz w:val="20"/>
              </w:rPr>
              <w:t>4.84</w:t>
            </w:r>
          </w:p>
        </w:tc>
      </w:tr>
      <w:tr w:rsidR="007C5447">
        <w:trPr>
          <w:trHeight w:val="371"/>
        </w:trPr>
        <w:tc>
          <w:tcPr>
            <w:tcW w:w="2856" w:type="dxa"/>
          </w:tcPr>
          <w:p w:rsidR="007C5447" w:rsidRDefault="00F6308C">
            <w:pPr>
              <w:pStyle w:val="TableParagraph"/>
              <w:spacing w:before="70"/>
              <w:ind w:left="107"/>
              <w:jc w:val="left"/>
              <w:rPr>
                <w:sz w:val="20"/>
              </w:rPr>
            </w:pPr>
            <w:r>
              <w:rPr>
                <w:sz w:val="20"/>
              </w:rPr>
              <w:t>KGTPS</w:t>
            </w:r>
          </w:p>
        </w:tc>
        <w:tc>
          <w:tcPr>
            <w:tcW w:w="1339" w:type="dxa"/>
          </w:tcPr>
          <w:p w:rsidR="007C5447" w:rsidRDefault="00F6308C">
            <w:pPr>
              <w:pStyle w:val="TableParagraph"/>
              <w:spacing w:before="70"/>
              <w:ind w:right="172"/>
              <w:rPr>
                <w:sz w:val="20"/>
              </w:rPr>
            </w:pPr>
            <w:r>
              <w:rPr>
                <w:w w:val="95"/>
                <w:sz w:val="20"/>
              </w:rPr>
              <w:t>651.00</w:t>
            </w:r>
          </w:p>
        </w:tc>
        <w:tc>
          <w:tcPr>
            <w:tcW w:w="1216" w:type="dxa"/>
          </w:tcPr>
          <w:p w:rsidR="007C5447" w:rsidRDefault="00F6308C">
            <w:pPr>
              <w:pStyle w:val="TableParagraph"/>
              <w:spacing w:before="70"/>
              <w:ind w:right="170"/>
              <w:rPr>
                <w:sz w:val="20"/>
              </w:rPr>
            </w:pPr>
            <w:r>
              <w:rPr>
                <w:w w:val="95"/>
                <w:sz w:val="20"/>
              </w:rPr>
              <w:t>237.00</w:t>
            </w:r>
          </w:p>
        </w:tc>
        <w:tc>
          <w:tcPr>
            <w:tcW w:w="1161" w:type="dxa"/>
          </w:tcPr>
          <w:p w:rsidR="007C5447" w:rsidRDefault="00F6308C">
            <w:pPr>
              <w:pStyle w:val="TableParagraph"/>
              <w:spacing w:before="70"/>
              <w:ind w:right="169"/>
              <w:rPr>
                <w:sz w:val="20"/>
              </w:rPr>
            </w:pPr>
            <w:r>
              <w:rPr>
                <w:sz w:val="20"/>
              </w:rPr>
              <w:t>3.64</w:t>
            </w:r>
          </w:p>
        </w:tc>
        <w:tc>
          <w:tcPr>
            <w:tcW w:w="1303" w:type="dxa"/>
          </w:tcPr>
          <w:p w:rsidR="007C5447" w:rsidRDefault="00F6308C">
            <w:pPr>
              <w:pStyle w:val="TableParagraph"/>
              <w:spacing w:before="70"/>
              <w:ind w:right="172"/>
              <w:rPr>
                <w:sz w:val="20"/>
              </w:rPr>
            </w:pPr>
            <w:r>
              <w:rPr>
                <w:w w:val="95"/>
                <w:sz w:val="20"/>
              </w:rPr>
              <w:t>459.00</w:t>
            </w:r>
          </w:p>
        </w:tc>
        <w:tc>
          <w:tcPr>
            <w:tcW w:w="1216" w:type="dxa"/>
          </w:tcPr>
          <w:p w:rsidR="007C5447" w:rsidRDefault="00F6308C">
            <w:pPr>
              <w:pStyle w:val="TableParagraph"/>
              <w:spacing w:before="70"/>
              <w:ind w:right="168"/>
              <w:rPr>
                <w:sz w:val="20"/>
              </w:rPr>
            </w:pPr>
            <w:r>
              <w:rPr>
                <w:w w:val="95"/>
                <w:sz w:val="20"/>
              </w:rPr>
              <w:t>252.07</w:t>
            </w:r>
          </w:p>
        </w:tc>
        <w:tc>
          <w:tcPr>
            <w:tcW w:w="1163" w:type="dxa"/>
          </w:tcPr>
          <w:p w:rsidR="007C5447" w:rsidRDefault="00F6308C">
            <w:pPr>
              <w:pStyle w:val="TableParagraph"/>
              <w:spacing w:before="70"/>
              <w:ind w:right="169"/>
              <w:rPr>
                <w:sz w:val="20"/>
              </w:rPr>
            </w:pPr>
            <w:r>
              <w:rPr>
                <w:sz w:val="20"/>
              </w:rPr>
              <w:t>5.49</w:t>
            </w:r>
          </w:p>
        </w:tc>
        <w:tc>
          <w:tcPr>
            <w:tcW w:w="1339" w:type="dxa"/>
          </w:tcPr>
          <w:p w:rsidR="007C5447" w:rsidRDefault="00F6308C">
            <w:pPr>
              <w:pStyle w:val="TableParagraph"/>
              <w:spacing w:before="70"/>
              <w:ind w:right="167"/>
              <w:rPr>
                <w:sz w:val="20"/>
              </w:rPr>
            </w:pPr>
            <w:r>
              <w:rPr>
                <w:w w:val="95"/>
                <w:sz w:val="20"/>
              </w:rPr>
              <w:t>459.00</w:t>
            </w:r>
          </w:p>
        </w:tc>
        <w:tc>
          <w:tcPr>
            <w:tcW w:w="1449" w:type="dxa"/>
          </w:tcPr>
          <w:p w:rsidR="007C5447" w:rsidRDefault="00F6308C">
            <w:pPr>
              <w:pStyle w:val="TableParagraph"/>
              <w:spacing w:before="70"/>
              <w:ind w:right="166"/>
              <w:rPr>
                <w:sz w:val="20"/>
              </w:rPr>
            </w:pPr>
            <w:r>
              <w:rPr>
                <w:w w:val="95"/>
                <w:sz w:val="20"/>
              </w:rPr>
              <w:t>(83.79)</w:t>
            </w:r>
          </w:p>
        </w:tc>
        <w:tc>
          <w:tcPr>
            <w:tcW w:w="1161" w:type="dxa"/>
          </w:tcPr>
          <w:p w:rsidR="007C5447" w:rsidRDefault="00F6308C">
            <w:pPr>
              <w:pStyle w:val="TableParagraph"/>
              <w:spacing w:before="70"/>
              <w:ind w:right="165"/>
              <w:rPr>
                <w:sz w:val="20"/>
              </w:rPr>
            </w:pPr>
            <w:r>
              <w:rPr>
                <w:sz w:val="20"/>
              </w:rPr>
              <w:t>1.83</w:t>
            </w:r>
          </w:p>
        </w:tc>
      </w:tr>
      <w:tr w:rsidR="007C5447">
        <w:trPr>
          <w:trHeight w:val="369"/>
        </w:trPr>
        <w:tc>
          <w:tcPr>
            <w:tcW w:w="2856" w:type="dxa"/>
          </w:tcPr>
          <w:p w:rsidR="007C5447" w:rsidRDefault="00F6308C">
            <w:pPr>
              <w:pStyle w:val="TableParagraph"/>
              <w:spacing w:before="70"/>
              <w:ind w:left="107"/>
              <w:jc w:val="left"/>
              <w:rPr>
                <w:sz w:val="20"/>
              </w:rPr>
            </w:pPr>
            <w:r>
              <w:rPr>
                <w:sz w:val="20"/>
              </w:rPr>
              <w:t>BBGTPS</w:t>
            </w:r>
          </w:p>
        </w:tc>
        <w:tc>
          <w:tcPr>
            <w:tcW w:w="1339" w:type="dxa"/>
          </w:tcPr>
          <w:p w:rsidR="007C5447" w:rsidRDefault="00F6308C">
            <w:pPr>
              <w:pStyle w:val="TableParagraph"/>
              <w:spacing w:before="70"/>
              <w:ind w:right="168"/>
              <w:rPr>
                <w:sz w:val="20"/>
              </w:rPr>
            </w:pPr>
            <w:r>
              <w:rPr>
                <w:w w:val="99"/>
                <w:sz w:val="20"/>
              </w:rPr>
              <w:t>-</w:t>
            </w:r>
          </w:p>
        </w:tc>
        <w:tc>
          <w:tcPr>
            <w:tcW w:w="1216" w:type="dxa"/>
          </w:tcPr>
          <w:p w:rsidR="007C5447" w:rsidRDefault="00F6308C">
            <w:pPr>
              <w:pStyle w:val="TableParagraph"/>
              <w:spacing w:before="70"/>
              <w:ind w:right="170"/>
              <w:rPr>
                <w:sz w:val="20"/>
              </w:rPr>
            </w:pPr>
            <w:r>
              <w:rPr>
                <w:w w:val="95"/>
                <w:sz w:val="20"/>
              </w:rPr>
              <w:t>51.00</w:t>
            </w: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172"/>
              <w:rPr>
                <w:sz w:val="20"/>
              </w:rPr>
            </w:pPr>
            <w:r>
              <w:rPr>
                <w:sz w:val="20"/>
              </w:rPr>
              <w:t>3.00</w:t>
            </w:r>
          </w:p>
        </w:tc>
        <w:tc>
          <w:tcPr>
            <w:tcW w:w="1216" w:type="dxa"/>
          </w:tcPr>
          <w:p w:rsidR="007C5447" w:rsidRDefault="00F6308C">
            <w:pPr>
              <w:pStyle w:val="TableParagraph"/>
              <w:spacing w:before="70"/>
              <w:ind w:right="168"/>
              <w:rPr>
                <w:sz w:val="20"/>
              </w:rPr>
            </w:pPr>
            <w:r>
              <w:rPr>
                <w:w w:val="95"/>
                <w:sz w:val="20"/>
              </w:rPr>
              <w:t>288.84</w:t>
            </w:r>
          </w:p>
        </w:tc>
        <w:tc>
          <w:tcPr>
            <w:tcW w:w="1163" w:type="dxa"/>
          </w:tcPr>
          <w:p w:rsidR="007C5447" w:rsidRDefault="00F6308C">
            <w:pPr>
              <w:pStyle w:val="TableParagraph"/>
              <w:spacing w:before="70"/>
              <w:ind w:right="170"/>
              <w:rPr>
                <w:sz w:val="20"/>
              </w:rPr>
            </w:pPr>
            <w:r>
              <w:rPr>
                <w:w w:val="95"/>
                <w:sz w:val="20"/>
              </w:rPr>
              <w:t>962.80</w:t>
            </w:r>
          </w:p>
        </w:tc>
        <w:tc>
          <w:tcPr>
            <w:tcW w:w="1339" w:type="dxa"/>
          </w:tcPr>
          <w:p w:rsidR="007C5447" w:rsidRDefault="00F6308C">
            <w:pPr>
              <w:pStyle w:val="TableParagraph"/>
              <w:spacing w:before="70"/>
              <w:ind w:right="167"/>
              <w:rPr>
                <w:sz w:val="20"/>
              </w:rPr>
            </w:pPr>
            <w:r>
              <w:rPr>
                <w:sz w:val="20"/>
              </w:rPr>
              <w:t>3.00</w:t>
            </w:r>
          </w:p>
        </w:tc>
        <w:tc>
          <w:tcPr>
            <w:tcW w:w="1449" w:type="dxa"/>
          </w:tcPr>
          <w:p w:rsidR="007C5447" w:rsidRDefault="00F6308C">
            <w:pPr>
              <w:pStyle w:val="TableParagraph"/>
              <w:spacing w:before="70"/>
              <w:ind w:right="168"/>
              <w:rPr>
                <w:sz w:val="20"/>
              </w:rPr>
            </w:pPr>
            <w:r>
              <w:rPr>
                <w:sz w:val="20"/>
              </w:rPr>
              <w:t>63.12</w:t>
            </w:r>
          </w:p>
        </w:tc>
        <w:tc>
          <w:tcPr>
            <w:tcW w:w="1161" w:type="dxa"/>
          </w:tcPr>
          <w:p w:rsidR="007C5447" w:rsidRDefault="00F6308C">
            <w:pPr>
              <w:pStyle w:val="TableParagraph"/>
              <w:spacing w:before="70"/>
              <w:ind w:right="165"/>
              <w:rPr>
                <w:sz w:val="20"/>
              </w:rPr>
            </w:pPr>
            <w:r>
              <w:rPr>
                <w:w w:val="95"/>
                <w:sz w:val="20"/>
              </w:rPr>
              <w:t>210.38</w:t>
            </w:r>
          </w:p>
        </w:tc>
      </w:tr>
      <w:tr w:rsidR="007C5447">
        <w:trPr>
          <w:trHeight w:val="369"/>
        </w:trPr>
        <w:tc>
          <w:tcPr>
            <w:tcW w:w="2856" w:type="dxa"/>
          </w:tcPr>
          <w:p w:rsidR="007C5447" w:rsidRDefault="00F6308C">
            <w:pPr>
              <w:pStyle w:val="TableParagraph"/>
              <w:spacing w:before="70"/>
              <w:ind w:left="107"/>
              <w:jc w:val="left"/>
              <w:rPr>
                <w:sz w:val="20"/>
              </w:rPr>
            </w:pPr>
            <w:r>
              <w:rPr>
                <w:sz w:val="20"/>
              </w:rPr>
              <w:t>VGTPS (Unit 1 and 2)</w:t>
            </w:r>
          </w:p>
        </w:tc>
        <w:tc>
          <w:tcPr>
            <w:tcW w:w="1339" w:type="dxa"/>
          </w:tcPr>
          <w:p w:rsidR="007C5447" w:rsidRDefault="00F6308C">
            <w:pPr>
              <w:pStyle w:val="TableParagraph"/>
              <w:spacing w:before="70"/>
              <w:ind w:right="170"/>
              <w:rPr>
                <w:sz w:val="20"/>
              </w:rPr>
            </w:pPr>
            <w:r>
              <w:rPr>
                <w:w w:val="95"/>
                <w:sz w:val="20"/>
              </w:rPr>
              <w:t>1,243.00</w:t>
            </w:r>
          </w:p>
        </w:tc>
        <w:tc>
          <w:tcPr>
            <w:tcW w:w="1216" w:type="dxa"/>
          </w:tcPr>
          <w:p w:rsidR="007C5447" w:rsidRDefault="00F6308C">
            <w:pPr>
              <w:pStyle w:val="TableParagraph"/>
              <w:spacing w:before="70"/>
              <w:ind w:right="170"/>
              <w:rPr>
                <w:sz w:val="20"/>
              </w:rPr>
            </w:pPr>
            <w:r>
              <w:rPr>
                <w:w w:val="95"/>
                <w:sz w:val="20"/>
              </w:rPr>
              <w:t>429.00</w:t>
            </w:r>
          </w:p>
        </w:tc>
        <w:tc>
          <w:tcPr>
            <w:tcW w:w="1161" w:type="dxa"/>
          </w:tcPr>
          <w:p w:rsidR="007C5447" w:rsidRDefault="00F6308C">
            <w:pPr>
              <w:pStyle w:val="TableParagraph"/>
              <w:spacing w:before="70"/>
              <w:ind w:right="169"/>
              <w:rPr>
                <w:sz w:val="20"/>
              </w:rPr>
            </w:pPr>
            <w:r>
              <w:rPr>
                <w:sz w:val="20"/>
              </w:rPr>
              <w:t>3.45</w:t>
            </w:r>
          </w:p>
        </w:tc>
        <w:tc>
          <w:tcPr>
            <w:tcW w:w="1303" w:type="dxa"/>
          </w:tcPr>
          <w:p w:rsidR="007C5447" w:rsidRDefault="00F6308C">
            <w:pPr>
              <w:pStyle w:val="TableParagraph"/>
              <w:spacing w:before="70"/>
              <w:ind w:right="172"/>
              <w:rPr>
                <w:sz w:val="20"/>
              </w:rPr>
            </w:pPr>
            <w:r>
              <w:rPr>
                <w:w w:val="95"/>
                <w:sz w:val="20"/>
              </w:rPr>
              <w:t>996.00</w:t>
            </w:r>
          </w:p>
        </w:tc>
        <w:tc>
          <w:tcPr>
            <w:tcW w:w="1216" w:type="dxa"/>
          </w:tcPr>
          <w:p w:rsidR="007C5447" w:rsidRDefault="00F6308C">
            <w:pPr>
              <w:pStyle w:val="TableParagraph"/>
              <w:spacing w:before="70"/>
              <w:ind w:right="168"/>
              <w:rPr>
                <w:sz w:val="20"/>
              </w:rPr>
            </w:pPr>
            <w:r>
              <w:rPr>
                <w:w w:val="95"/>
                <w:sz w:val="20"/>
              </w:rPr>
              <w:t>530.83</w:t>
            </w:r>
          </w:p>
        </w:tc>
        <w:tc>
          <w:tcPr>
            <w:tcW w:w="1163" w:type="dxa"/>
          </w:tcPr>
          <w:p w:rsidR="007C5447" w:rsidRDefault="00F6308C">
            <w:pPr>
              <w:pStyle w:val="TableParagraph"/>
              <w:spacing w:before="70"/>
              <w:ind w:right="169"/>
              <w:rPr>
                <w:sz w:val="20"/>
              </w:rPr>
            </w:pPr>
            <w:r>
              <w:rPr>
                <w:sz w:val="20"/>
              </w:rPr>
              <w:t>5.33</w:t>
            </w:r>
          </w:p>
        </w:tc>
        <w:tc>
          <w:tcPr>
            <w:tcW w:w="1339" w:type="dxa"/>
          </w:tcPr>
          <w:p w:rsidR="007C5447" w:rsidRDefault="00F6308C">
            <w:pPr>
              <w:pStyle w:val="TableParagraph"/>
              <w:spacing w:before="70"/>
              <w:ind w:right="167"/>
              <w:rPr>
                <w:sz w:val="20"/>
              </w:rPr>
            </w:pPr>
            <w:r>
              <w:rPr>
                <w:w w:val="95"/>
                <w:sz w:val="20"/>
              </w:rPr>
              <w:t>996.00</w:t>
            </w:r>
          </w:p>
        </w:tc>
        <w:tc>
          <w:tcPr>
            <w:tcW w:w="1449" w:type="dxa"/>
          </w:tcPr>
          <w:p w:rsidR="007C5447" w:rsidRDefault="00F6308C">
            <w:pPr>
              <w:pStyle w:val="TableParagraph"/>
              <w:spacing w:before="70"/>
              <w:ind w:right="168"/>
              <w:rPr>
                <w:sz w:val="20"/>
              </w:rPr>
            </w:pPr>
            <w:r>
              <w:rPr>
                <w:w w:val="95"/>
                <w:sz w:val="20"/>
              </w:rPr>
              <w:t>400.52</w:t>
            </w:r>
          </w:p>
        </w:tc>
        <w:tc>
          <w:tcPr>
            <w:tcW w:w="1161" w:type="dxa"/>
          </w:tcPr>
          <w:p w:rsidR="007C5447" w:rsidRDefault="00F6308C">
            <w:pPr>
              <w:pStyle w:val="TableParagraph"/>
              <w:spacing w:before="70"/>
              <w:ind w:right="165"/>
              <w:rPr>
                <w:sz w:val="20"/>
              </w:rPr>
            </w:pPr>
            <w:r>
              <w:rPr>
                <w:sz w:val="20"/>
              </w:rPr>
              <w:t>4.02</w:t>
            </w:r>
          </w:p>
        </w:tc>
      </w:tr>
      <w:tr w:rsidR="007C5447">
        <w:trPr>
          <w:trHeight w:val="372"/>
        </w:trPr>
        <w:tc>
          <w:tcPr>
            <w:tcW w:w="2856" w:type="dxa"/>
          </w:tcPr>
          <w:p w:rsidR="007C5447" w:rsidRDefault="00F6308C">
            <w:pPr>
              <w:pStyle w:val="TableParagraph"/>
              <w:spacing w:before="70"/>
              <w:ind w:left="987" w:right="980"/>
              <w:jc w:val="center"/>
              <w:rPr>
                <w:b/>
                <w:sz w:val="20"/>
              </w:rPr>
            </w:pPr>
            <w:r>
              <w:rPr>
                <w:b/>
                <w:sz w:val="20"/>
              </w:rPr>
              <w:t>Total Gas</w:t>
            </w:r>
          </w:p>
        </w:tc>
        <w:tc>
          <w:tcPr>
            <w:tcW w:w="1339" w:type="dxa"/>
          </w:tcPr>
          <w:p w:rsidR="007C5447" w:rsidRDefault="00F6308C">
            <w:pPr>
              <w:pStyle w:val="TableParagraph"/>
              <w:spacing w:before="70"/>
              <w:ind w:right="170"/>
              <w:rPr>
                <w:b/>
                <w:sz w:val="20"/>
              </w:rPr>
            </w:pPr>
            <w:r>
              <w:rPr>
                <w:b/>
                <w:w w:val="95"/>
                <w:sz w:val="20"/>
              </w:rPr>
              <w:t>2,599.00</w:t>
            </w:r>
          </w:p>
        </w:tc>
        <w:tc>
          <w:tcPr>
            <w:tcW w:w="1216" w:type="dxa"/>
          </w:tcPr>
          <w:p w:rsidR="007C5447" w:rsidRDefault="00F6308C">
            <w:pPr>
              <w:pStyle w:val="TableParagraph"/>
              <w:spacing w:before="70"/>
              <w:ind w:right="170"/>
              <w:rPr>
                <w:b/>
                <w:sz w:val="20"/>
              </w:rPr>
            </w:pPr>
            <w:r>
              <w:rPr>
                <w:b/>
                <w:w w:val="95"/>
                <w:sz w:val="20"/>
              </w:rPr>
              <w:t>952.00</w:t>
            </w:r>
          </w:p>
        </w:tc>
        <w:tc>
          <w:tcPr>
            <w:tcW w:w="1161" w:type="dxa"/>
          </w:tcPr>
          <w:p w:rsidR="007C5447" w:rsidRDefault="00F6308C">
            <w:pPr>
              <w:pStyle w:val="TableParagraph"/>
              <w:spacing w:before="70"/>
              <w:ind w:right="169"/>
              <w:rPr>
                <w:b/>
                <w:sz w:val="20"/>
              </w:rPr>
            </w:pPr>
            <w:r>
              <w:rPr>
                <w:b/>
                <w:sz w:val="20"/>
              </w:rPr>
              <w:t>3.66</w:t>
            </w:r>
          </w:p>
        </w:tc>
        <w:tc>
          <w:tcPr>
            <w:tcW w:w="1303" w:type="dxa"/>
          </w:tcPr>
          <w:p w:rsidR="007C5447" w:rsidRDefault="00F6308C">
            <w:pPr>
              <w:pStyle w:val="TableParagraph"/>
              <w:spacing w:before="70"/>
              <w:ind w:right="170"/>
              <w:rPr>
                <w:b/>
                <w:sz w:val="20"/>
              </w:rPr>
            </w:pPr>
            <w:r>
              <w:rPr>
                <w:b/>
                <w:w w:val="95"/>
                <w:sz w:val="20"/>
              </w:rPr>
              <w:t>1,840.00</w:t>
            </w:r>
          </w:p>
        </w:tc>
        <w:tc>
          <w:tcPr>
            <w:tcW w:w="1216" w:type="dxa"/>
          </w:tcPr>
          <w:p w:rsidR="007C5447" w:rsidRDefault="00F6308C">
            <w:pPr>
              <w:pStyle w:val="TableParagraph"/>
              <w:spacing w:before="70"/>
              <w:ind w:right="166"/>
              <w:rPr>
                <w:b/>
                <w:sz w:val="20"/>
              </w:rPr>
            </w:pPr>
            <w:r>
              <w:rPr>
                <w:b/>
                <w:w w:val="95"/>
                <w:sz w:val="20"/>
              </w:rPr>
              <w:t>1,417.96</w:t>
            </w:r>
          </w:p>
        </w:tc>
        <w:tc>
          <w:tcPr>
            <w:tcW w:w="1163" w:type="dxa"/>
          </w:tcPr>
          <w:p w:rsidR="007C5447" w:rsidRDefault="00F6308C">
            <w:pPr>
              <w:pStyle w:val="TableParagraph"/>
              <w:spacing w:before="70"/>
              <w:ind w:right="169"/>
              <w:rPr>
                <w:b/>
                <w:sz w:val="20"/>
              </w:rPr>
            </w:pPr>
            <w:r>
              <w:rPr>
                <w:b/>
                <w:sz w:val="20"/>
              </w:rPr>
              <w:t>7.71</w:t>
            </w:r>
          </w:p>
        </w:tc>
        <w:tc>
          <w:tcPr>
            <w:tcW w:w="1339" w:type="dxa"/>
          </w:tcPr>
          <w:p w:rsidR="007C5447" w:rsidRDefault="00F6308C">
            <w:pPr>
              <w:pStyle w:val="TableParagraph"/>
              <w:spacing w:before="70"/>
              <w:ind w:right="165"/>
              <w:rPr>
                <w:b/>
                <w:sz w:val="20"/>
              </w:rPr>
            </w:pPr>
            <w:r>
              <w:rPr>
                <w:b/>
                <w:w w:val="95"/>
                <w:sz w:val="20"/>
              </w:rPr>
              <w:t>1,840.00</w:t>
            </w:r>
          </w:p>
        </w:tc>
        <w:tc>
          <w:tcPr>
            <w:tcW w:w="1449" w:type="dxa"/>
          </w:tcPr>
          <w:p w:rsidR="007C5447" w:rsidRDefault="00F6308C">
            <w:pPr>
              <w:pStyle w:val="TableParagraph"/>
              <w:spacing w:before="70"/>
              <w:ind w:right="168"/>
              <w:rPr>
                <w:b/>
                <w:sz w:val="20"/>
              </w:rPr>
            </w:pPr>
            <w:r>
              <w:rPr>
                <w:b/>
                <w:w w:val="95"/>
                <w:sz w:val="20"/>
              </w:rPr>
              <w:t>564.74</w:t>
            </w:r>
          </w:p>
        </w:tc>
        <w:tc>
          <w:tcPr>
            <w:tcW w:w="1161" w:type="dxa"/>
          </w:tcPr>
          <w:p w:rsidR="007C5447" w:rsidRDefault="00F6308C">
            <w:pPr>
              <w:pStyle w:val="TableParagraph"/>
              <w:spacing w:before="70"/>
              <w:ind w:right="165"/>
              <w:rPr>
                <w:b/>
                <w:sz w:val="20"/>
              </w:rPr>
            </w:pPr>
            <w:r>
              <w:rPr>
                <w:b/>
                <w:sz w:val="20"/>
              </w:rPr>
              <w:t>3.07</w:t>
            </w:r>
          </w:p>
        </w:tc>
      </w:tr>
      <w:tr w:rsidR="007C5447">
        <w:trPr>
          <w:trHeight w:val="369"/>
        </w:trPr>
        <w:tc>
          <w:tcPr>
            <w:tcW w:w="2856" w:type="dxa"/>
          </w:tcPr>
          <w:p w:rsidR="007C5447" w:rsidRDefault="00F6308C">
            <w:pPr>
              <w:pStyle w:val="TableParagraph"/>
              <w:spacing w:before="70"/>
              <w:ind w:left="107"/>
              <w:jc w:val="left"/>
              <w:rPr>
                <w:sz w:val="20"/>
              </w:rPr>
            </w:pPr>
            <w:r>
              <w:rPr>
                <w:sz w:val="20"/>
              </w:rPr>
              <w:t>Erode HEP</w:t>
            </w:r>
          </w:p>
        </w:tc>
        <w:tc>
          <w:tcPr>
            <w:tcW w:w="1339" w:type="dxa"/>
          </w:tcPr>
          <w:p w:rsidR="007C5447" w:rsidRDefault="00F6308C">
            <w:pPr>
              <w:pStyle w:val="TableParagraph"/>
              <w:spacing w:before="70"/>
              <w:ind w:right="170"/>
              <w:rPr>
                <w:sz w:val="20"/>
              </w:rPr>
            </w:pPr>
            <w:r>
              <w:rPr>
                <w:w w:val="95"/>
                <w:sz w:val="20"/>
              </w:rPr>
              <w:t>1,365.00</w:t>
            </w:r>
          </w:p>
        </w:tc>
        <w:tc>
          <w:tcPr>
            <w:tcW w:w="1216" w:type="dxa"/>
          </w:tcPr>
          <w:p w:rsidR="007C5447" w:rsidRDefault="00F6308C">
            <w:pPr>
              <w:pStyle w:val="TableParagraph"/>
              <w:spacing w:before="70"/>
              <w:ind w:right="170"/>
              <w:rPr>
                <w:sz w:val="20"/>
              </w:rPr>
            </w:pPr>
            <w:r>
              <w:rPr>
                <w:w w:val="95"/>
                <w:sz w:val="20"/>
              </w:rPr>
              <w:t>332.00</w:t>
            </w:r>
          </w:p>
        </w:tc>
        <w:tc>
          <w:tcPr>
            <w:tcW w:w="1161" w:type="dxa"/>
          </w:tcPr>
          <w:p w:rsidR="007C5447" w:rsidRDefault="00F6308C">
            <w:pPr>
              <w:pStyle w:val="TableParagraph"/>
              <w:spacing w:before="70"/>
              <w:ind w:right="169"/>
              <w:rPr>
                <w:sz w:val="20"/>
              </w:rPr>
            </w:pPr>
            <w:r>
              <w:rPr>
                <w:sz w:val="20"/>
              </w:rPr>
              <w:t>2.43</w:t>
            </w:r>
          </w:p>
        </w:tc>
        <w:tc>
          <w:tcPr>
            <w:tcW w:w="1303" w:type="dxa"/>
          </w:tcPr>
          <w:p w:rsidR="007C5447" w:rsidRDefault="00F6308C">
            <w:pPr>
              <w:pStyle w:val="TableParagraph"/>
              <w:spacing w:before="70"/>
              <w:ind w:right="172"/>
              <w:rPr>
                <w:sz w:val="20"/>
              </w:rPr>
            </w:pPr>
            <w:r>
              <w:rPr>
                <w:w w:val="95"/>
                <w:sz w:val="20"/>
              </w:rPr>
              <w:t>946.00</w:t>
            </w:r>
          </w:p>
        </w:tc>
        <w:tc>
          <w:tcPr>
            <w:tcW w:w="1216" w:type="dxa"/>
          </w:tcPr>
          <w:p w:rsidR="007C5447" w:rsidRDefault="00F6308C">
            <w:pPr>
              <w:pStyle w:val="TableParagraph"/>
              <w:spacing w:before="70"/>
              <w:ind w:right="168"/>
              <w:rPr>
                <w:sz w:val="20"/>
              </w:rPr>
            </w:pPr>
            <w:r>
              <w:rPr>
                <w:w w:val="95"/>
                <w:sz w:val="20"/>
              </w:rPr>
              <w:t>416.62</w:t>
            </w:r>
          </w:p>
        </w:tc>
        <w:tc>
          <w:tcPr>
            <w:tcW w:w="1163" w:type="dxa"/>
          </w:tcPr>
          <w:p w:rsidR="007C5447" w:rsidRDefault="00F6308C">
            <w:pPr>
              <w:pStyle w:val="TableParagraph"/>
              <w:spacing w:before="70"/>
              <w:ind w:right="169"/>
              <w:rPr>
                <w:sz w:val="20"/>
              </w:rPr>
            </w:pPr>
            <w:r>
              <w:rPr>
                <w:sz w:val="20"/>
              </w:rPr>
              <w:t>4.40</w:t>
            </w:r>
          </w:p>
        </w:tc>
        <w:tc>
          <w:tcPr>
            <w:tcW w:w="1339" w:type="dxa"/>
          </w:tcPr>
          <w:p w:rsidR="007C5447" w:rsidRDefault="00F6308C">
            <w:pPr>
              <w:pStyle w:val="TableParagraph"/>
              <w:spacing w:before="70"/>
              <w:ind w:right="167"/>
              <w:rPr>
                <w:sz w:val="20"/>
              </w:rPr>
            </w:pPr>
            <w:r>
              <w:rPr>
                <w:w w:val="95"/>
                <w:sz w:val="20"/>
              </w:rPr>
              <w:t>946.00</w:t>
            </w:r>
          </w:p>
        </w:tc>
        <w:tc>
          <w:tcPr>
            <w:tcW w:w="1449" w:type="dxa"/>
          </w:tcPr>
          <w:p w:rsidR="007C5447" w:rsidRDefault="00F6308C">
            <w:pPr>
              <w:pStyle w:val="TableParagraph"/>
              <w:spacing w:before="70"/>
              <w:ind w:right="168"/>
              <w:rPr>
                <w:sz w:val="20"/>
              </w:rPr>
            </w:pPr>
            <w:r>
              <w:rPr>
                <w:w w:val="95"/>
                <w:sz w:val="20"/>
              </w:rPr>
              <w:t>312.27</w:t>
            </w:r>
          </w:p>
        </w:tc>
        <w:tc>
          <w:tcPr>
            <w:tcW w:w="1161" w:type="dxa"/>
          </w:tcPr>
          <w:p w:rsidR="007C5447" w:rsidRDefault="00F6308C">
            <w:pPr>
              <w:pStyle w:val="TableParagraph"/>
              <w:spacing w:before="70"/>
              <w:ind w:right="165"/>
              <w:rPr>
                <w:sz w:val="20"/>
              </w:rPr>
            </w:pPr>
            <w:r>
              <w:rPr>
                <w:sz w:val="20"/>
              </w:rPr>
              <w:t>3.30</w:t>
            </w:r>
          </w:p>
        </w:tc>
      </w:tr>
      <w:tr w:rsidR="007C5447">
        <w:trPr>
          <w:trHeight w:val="369"/>
        </w:trPr>
        <w:tc>
          <w:tcPr>
            <w:tcW w:w="2856" w:type="dxa"/>
          </w:tcPr>
          <w:p w:rsidR="007C5447" w:rsidRDefault="00F6308C">
            <w:pPr>
              <w:pStyle w:val="TableParagraph"/>
              <w:spacing w:before="70"/>
              <w:ind w:left="107"/>
              <w:jc w:val="left"/>
              <w:rPr>
                <w:sz w:val="20"/>
              </w:rPr>
            </w:pPr>
            <w:r>
              <w:rPr>
                <w:sz w:val="20"/>
              </w:rPr>
              <w:t>Kadamparai HEP</w:t>
            </w:r>
          </w:p>
        </w:tc>
        <w:tc>
          <w:tcPr>
            <w:tcW w:w="1339" w:type="dxa"/>
          </w:tcPr>
          <w:p w:rsidR="007C5447" w:rsidRDefault="00F6308C">
            <w:pPr>
              <w:pStyle w:val="TableParagraph"/>
              <w:spacing w:before="70"/>
              <w:ind w:right="168"/>
              <w:rPr>
                <w:sz w:val="20"/>
              </w:rPr>
            </w:pPr>
            <w:r>
              <w:rPr>
                <w:w w:val="99"/>
                <w:sz w:val="20"/>
              </w:rPr>
              <w:t>-</w:t>
            </w:r>
          </w:p>
        </w:tc>
        <w:tc>
          <w:tcPr>
            <w:tcW w:w="1216" w:type="dxa"/>
          </w:tcPr>
          <w:p w:rsidR="007C5447" w:rsidRDefault="00F6308C">
            <w:pPr>
              <w:pStyle w:val="TableParagraph"/>
              <w:spacing w:before="70"/>
              <w:ind w:right="170"/>
              <w:rPr>
                <w:sz w:val="20"/>
              </w:rPr>
            </w:pPr>
            <w:r>
              <w:rPr>
                <w:w w:val="95"/>
                <w:sz w:val="20"/>
              </w:rPr>
              <w:t>79.00</w:t>
            </w: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170"/>
              <w:rPr>
                <w:sz w:val="20"/>
              </w:rPr>
            </w:pPr>
            <w:r>
              <w:rPr>
                <w:w w:val="95"/>
                <w:sz w:val="20"/>
              </w:rPr>
              <w:t>1,034.00</w:t>
            </w:r>
          </w:p>
        </w:tc>
        <w:tc>
          <w:tcPr>
            <w:tcW w:w="1216" w:type="dxa"/>
          </w:tcPr>
          <w:p w:rsidR="007C5447" w:rsidRDefault="00F6308C">
            <w:pPr>
              <w:pStyle w:val="TableParagraph"/>
              <w:spacing w:before="70"/>
              <w:ind w:right="168"/>
              <w:rPr>
                <w:sz w:val="20"/>
              </w:rPr>
            </w:pPr>
            <w:r>
              <w:rPr>
                <w:w w:val="95"/>
                <w:sz w:val="20"/>
              </w:rPr>
              <w:t>211.11</w:t>
            </w:r>
          </w:p>
        </w:tc>
        <w:tc>
          <w:tcPr>
            <w:tcW w:w="1163" w:type="dxa"/>
          </w:tcPr>
          <w:p w:rsidR="007C5447" w:rsidRDefault="00F6308C">
            <w:pPr>
              <w:pStyle w:val="TableParagraph"/>
              <w:spacing w:before="70"/>
              <w:ind w:right="169"/>
              <w:rPr>
                <w:sz w:val="20"/>
              </w:rPr>
            </w:pPr>
            <w:r>
              <w:rPr>
                <w:sz w:val="20"/>
              </w:rPr>
              <w:t>2.04</w:t>
            </w:r>
          </w:p>
        </w:tc>
        <w:tc>
          <w:tcPr>
            <w:tcW w:w="1339" w:type="dxa"/>
          </w:tcPr>
          <w:p w:rsidR="007C5447" w:rsidRDefault="00F6308C">
            <w:pPr>
              <w:pStyle w:val="TableParagraph"/>
              <w:spacing w:before="70"/>
              <w:ind w:right="167"/>
              <w:rPr>
                <w:sz w:val="20"/>
              </w:rPr>
            </w:pPr>
            <w:r>
              <w:rPr>
                <w:w w:val="95"/>
                <w:sz w:val="20"/>
              </w:rPr>
              <w:t>531.24</w:t>
            </w:r>
          </w:p>
        </w:tc>
        <w:tc>
          <w:tcPr>
            <w:tcW w:w="1449" w:type="dxa"/>
          </w:tcPr>
          <w:p w:rsidR="007C5447" w:rsidRDefault="00F6308C">
            <w:pPr>
              <w:pStyle w:val="TableParagraph"/>
              <w:spacing w:before="70"/>
              <w:ind w:right="168"/>
              <w:rPr>
                <w:sz w:val="20"/>
              </w:rPr>
            </w:pPr>
            <w:r>
              <w:rPr>
                <w:sz w:val="20"/>
              </w:rPr>
              <w:t>84.82</w:t>
            </w:r>
          </w:p>
        </w:tc>
        <w:tc>
          <w:tcPr>
            <w:tcW w:w="1161" w:type="dxa"/>
          </w:tcPr>
          <w:p w:rsidR="007C5447" w:rsidRDefault="00F6308C">
            <w:pPr>
              <w:pStyle w:val="TableParagraph"/>
              <w:spacing w:before="70"/>
              <w:ind w:right="165"/>
              <w:rPr>
                <w:sz w:val="20"/>
              </w:rPr>
            </w:pPr>
            <w:r>
              <w:rPr>
                <w:sz w:val="20"/>
              </w:rPr>
              <w:t>1.60</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9"/>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56"/>
        <w:gridCol w:w="1339"/>
        <w:gridCol w:w="1216"/>
        <w:gridCol w:w="1161"/>
        <w:gridCol w:w="1303"/>
        <w:gridCol w:w="1216"/>
        <w:gridCol w:w="1163"/>
        <w:gridCol w:w="1339"/>
        <w:gridCol w:w="1449"/>
        <w:gridCol w:w="1161"/>
      </w:tblGrid>
      <w:tr w:rsidR="007C5447">
        <w:trPr>
          <w:trHeight w:val="369"/>
        </w:trPr>
        <w:tc>
          <w:tcPr>
            <w:tcW w:w="2856"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987" w:right="971"/>
              <w:jc w:val="center"/>
              <w:rPr>
                <w:b/>
                <w:sz w:val="20"/>
              </w:rPr>
            </w:pPr>
            <w:r>
              <w:rPr>
                <w:b/>
                <w:sz w:val="20"/>
              </w:rPr>
              <w:t>Source</w:t>
            </w:r>
          </w:p>
        </w:tc>
        <w:tc>
          <w:tcPr>
            <w:tcW w:w="11347" w:type="dxa"/>
            <w:gridSpan w:val="9"/>
            <w:shd w:val="clear" w:color="auto" w:fill="F7C9AC"/>
          </w:tcPr>
          <w:p w:rsidR="007C5447" w:rsidRDefault="00F6308C">
            <w:pPr>
              <w:pStyle w:val="TableParagraph"/>
              <w:spacing w:before="125" w:line="224" w:lineRule="exact"/>
              <w:ind w:left="5166" w:right="5137"/>
              <w:jc w:val="center"/>
              <w:rPr>
                <w:b/>
                <w:sz w:val="20"/>
              </w:rPr>
            </w:pPr>
            <w:r>
              <w:rPr>
                <w:b/>
                <w:sz w:val="20"/>
              </w:rPr>
              <w:t>FY 2014-15</w:t>
            </w:r>
          </w:p>
        </w:tc>
      </w:tr>
      <w:tr w:rsidR="007C5447">
        <w:trPr>
          <w:trHeight w:val="371"/>
        </w:trPr>
        <w:tc>
          <w:tcPr>
            <w:tcW w:w="2856" w:type="dxa"/>
            <w:vMerge/>
            <w:tcBorders>
              <w:top w:val="nil"/>
            </w:tcBorders>
            <w:shd w:val="clear" w:color="auto" w:fill="F7C9AC"/>
          </w:tcPr>
          <w:p w:rsidR="007C5447" w:rsidRDefault="007C5447">
            <w:pPr>
              <w:rPr>
                <w:sz w:val="2"/>
                <w:szCs w:val="2"/>
              </w:rPr>
            </w:pPr>
          </w:p>
        </w:tc>
        <w:tc>
          <w:tcPr>
            <w:tcW w:w="3716" w:type="dxa"/>
            <w:gridSpan w:val="3"/>
            <w:shd w:val="clear" w:color="auto" w:fill="F7C9AC"/>
          </w:tcPr>
          <w:p w:rsidR="007C5447" w:rsidRDefault="00F6308C">
            <w:pPr>
              <w:pStyle w:val="TableParagraph"/>
              <w:spacing w:before="70"/>
              <w:ind w:left="1331" w:right="1308"/>
              <w:jc w:val="center"/>
              <w:rPr>
                <w:b/>
                <w:sz w:val="20"/>
              </w:rPr>
            </w:pPr>
            <w:r>
              <w:rPr>
                <w:b/>
                <w:sz w:val="20"/>
              </w:rPr>
              <w:t>SMT Order</w:t>
            </w:r>
          </w:p>
        </w:tc>
        <w:tc>
          <w:tcPr>
            <w:tcW w:w="3682" w:type="dxa"/>
            <w:gridSpan w:val="3"/>
            <w:shd w:val="clear" w:color="auto" w:fill="F7C9AC"/>
          </w:tcPr>
          <w:p w:rsidR="007C5447" w:rsidRDefault="00F6308C">
            <w:pPr>
              <w:pStyle w:val="TableParagraph"/>
              <w:spacing w:before="70"/>
              <w:ind w:left="1243" w:right="1223"/>
              <w:jc w:val="center"/>
              <w:rPr>
                <w:b/>
                <w:sz w:val="20"/>
              </w:rPr>
            </w:pPr>
            <w:r>
              <w:rPr>
                <w:b/>
                <w:sz w:val="20"/>
              </w:rPr>
              <w:t>TANGEDCO</w:t>
            </w:r>
          </w:p>
        </w:tc>
        <w:tc>
          <w:tcPr>
            <w:tcW w:w="3949" w:type="dxa"/>
            <w:gridSpan w:val="3"/>
            <w:shd w:val="clear" w:color="auto" w:fill="F7C9AC"/>
          </w:tcPr>
          <w:p w:rsidR="007C5447" w:rsidRDefault="00F6308C">
            <w:pPr>
              <w:pStyle w:val="TableParagraph"/>
              <w:spacing w:before="70"/>
              <w:ind w:left="987"/>
              <w:jc w:val="left"/>
              <w:rPr>
                <w:b/>
                <w:sz w:val="20"/>
              </w:rPr>
            </w:pPr>
            <w:r>
              <w:rPr>
                <w:b/>
                <w:sz w:val="20"/>
              </w:rPr>
              <w:t>Approved after true up</w:t>
            </w:r>
          </w:p>
        </w:tc>
      </w:tr>
      <w:tr w:rsidR="007C5447">
        <w:trPr>
          <w:trHeight w:val="489"/>
        </w:trPr>
        <w:tc>
          <w:tcPr>
            <w:tcW w:w="2856" w:type="dxa"/>
            <w:vMerge/>
            <w:tcBorders>
              <w:top w:val="nil"/>
            </w:tcBorders>
            <w:shd w:val="clear" w:color="auto" w:fill="F7C9AC"/>
          </w:tcPr>
          <w:p w:rsidR="007C5447" w:rsidRDefault="007C5447">
            <w:pPr>
              <w:rPr>
                <w:sz w:val="2"/>
                <w:szCs w:val="2"/>
              </w:rPr>
            </w:pPr>
          </w:p>
        </w:tc>
        <w:tc>
          <w:tcPr>
            <w:tcW w:w="1339" w:type="dxa"/>
            <w:shd w:val="clear" w:color="auto" w:fill="F7C9AC"/>
          </w:tcPr>
          <w:p w:rsidR="007C5447" w:rsidRDefault="00F6308C">
            <w:pPr>
              <w:pStyle w:val="TableParagraph"/>
              <w:spacing w:before="14" w:line="230" w:lineRule="atLeast"/>
              <w:ind w:left="441" w:right="223" w:hanging="178"/>
              <w:jc w:val="left"/>
              <w:rPr>
                <w:b/>
                <w:sz w:val="20"/>
              </w:rPr>
            </w:pPr>
            <w:r>
              <w:rPr>
                <w:b/>
                <w:sz w:val="20"/>
              </w:rPr>
              <w:t>Quantum (MU)</w:t>
            </w:r>
          </w:p>
        </w:tc>
        <w:tc>
          <w:tcPr>
            <w:tcW w:w="1216" w:type="dxa"/>
            <w:shd w:val="clear" w:color="auto" w:fill="F7C9AC"/>
          </w:tcPr>
          <w:p w:rsidR="007C5447" w:rsidRDefault="00F6308C">
            <w:pPr>
              <w:pStyle w:val="TableParagraph"/>
              <w:spacing w:before="14" w:line="230" w:lineRule="atLeast"/>
              <w:ind w:left="269" w:right="228" w:firstLine="151"/>
              <w:jc w:val="left"/>
              <w:rPr>
                <w:b/>
                <w:sz w:val="20"/>
              </w:rPr>
            </w:pPr>
            <w:r>
              <w:rPr>
                <w:b/>
                <w:sz w:val="20"/>
              </w:rPr>
              <w:t>Cost (Rs. Cr)</w:t>
            </w:r>
          </w:p>
        </w:tc>
        <w:tc>
          <w:tcPr>
            <w:tcW w:w="1161" w:type="dxa"/>
            <w:shd w:val="clear" w:color="auto" w:fill="F7C9AC"/>
          </w:tcPr>
          <w:p w:rsidR="007C5447" w:rsidRDefault="00F6308C">
            <w:pPr>
              <w:pStyle w:val="TableParagraph"/>
              <w:spacing w:before="14" w:line="230" w:lineRule="atLeast"/>
              <w:ind w:left="169" w:firstLine="216"/>
              <w:jc w:val="left"/>
              <w:rPr>
                <w:b/>
                <w:sz w:val="20"/>
              </w:rPr>
            </w:pPr>
            <w:r>
              <w:rPr>
                <w:b/>
                <w:sz w:val="20"/>
              </w:rPr>
              <w:t xml:space="preserve">Rate </w:t>
            </w:r>
            <w:r>
              <w:rPr>
                <w:b/>
                <w:w w:val="95"/>
                <w:sz w:val="20"/>
              </w:rPr>
              <w:t>(Rs/kWh)</w:t>
            </w:r>
          </w:p>
        </w:tc>
        <w:tc>
          <w:tcPr>
            <w:tcW w:w="1303" w:type="dxa"/>
            <w:shd w:val="clear" w:color="auto" w:fill="F7C9AC"/>
          </w:tcPr>
          <w:p w:rsidR="007C5447" w:rsidRDefault="00F6308C">
            <w:pPr>
              <w:pStyle w:val="TableParagraph"/>
              <w:spacing w:before="14" w:line="230" w:lineRule="atLeast"/>
              <w:ind w:left="424" w:right="204" w:hanging="178"/>
              <w:jc w:val="left"/>
              <w:rPr>
                <w:b/>
                <w:sz w:val="20"/>
              </w:rPr>
            </w:pPr>
            <w:r>
              <w:rPr>
                <w:b/>
                <w:sz w:val="20"/>
              </w:rPr>
              <w:t>Quantum (MU)</w:t>
            </w:r>
          </w:p>
        </w:tc>
        <w:tc>
          <w:tcPr>
            <w:tcW w:w="1216" w:type="dxa"/>
            <w:shd w:val="clear" w:color="auto" w:fill="F7C9AC"/>
          </w:tcPr>
          <w:p w:rsidR="007C5447" w:rsidRDefault="00F6308C">
            <w:pPr>
              <w:pStyle w:val="TableParagraph"/>
              <w:spacing w:before="14" w:line="230" w:lineRule="atLeast"/>
              <w:ind w:left="271" w:right="226" w:firstLine="151"/>
              <w:jc w:val="left"/>
              <w:rPr>
                <w:b/>
                <w:sz w:val="20"/>
              </w:rPr>
            </w:pPr>
            <w:r>
              <w:rPr>
                <w:b/>
                <w:sz w:val="20"/>
              </w:rPr>
              <w:t>Cost (Rs. Cr)</w:t>
            </w:r>
          </w:p>
        </w:tc>
        <w:tc>
          <w:tcPr>
            <w:tcW w:w="1163" w:type="dxa"/>
            <w:shd w:val="clear" w:color="auto" w:fill="F7C9AC"/>
          </w:tcPr>
          <w:p w:rsidR="007C5447" w:rsidRDefault="00F6308C">
            <w:pPr>
              <w:pStyle w:val="TableParagraph"/>
              <w:spacing w:before="14" w:line="230" w:lineRule="atLeast"/>
              <w:ind w:left="171" w:firstLine="216"/>
              <w:jc w:val="left"/>
              <w:rPr>
                <w:b/>
                <w:sz w:val="20"/>
              </w:rPr>
            </w:pPr>
            <w:r>
              <w:rPr>
                <w:b/>
                <w:sz w:val="20"/>
              </w:rPr>
              <w:t xml:space="preserve">Rate </w:t>
            </w:r>
            <w:r>
              <w:rPr>
                <w:b/>
                <w:w w:val="95"/>
                <w:sz w:val="20"/>
              </w:rPr>
              <w:t>(Rs/kWh)</w:t>
            </w:r>
          </w:p>
        </w:tc>
        <w:tc>
          <w:tcPr>
            <w:tcW w:w="1339" w:type="dxa"/>
            <w:shd w:val="clear" w:color="auto" w:fill="F7C9AC"/>
          </w:tcPr>
          <w:p w:rsidR="007C5447" w:rsidRDefault="00F6308C">
            <w:pPr>
              <w:pStyle w:val="TableParagraph"/>
              <w:spacing w:before="14" w:line="230" w:lineRule="atLeast"/>
              <w:ind w:left="446" w:right="218" w:hanging="178"/>
              <w:jc w:val="left"/>
              <w:rPr>
                <w:b/>
                <w:sz w:val="20"/>
              </w:rPr>
            </w:pPr>
            <w:r>
              <w:rPr>
                <w:b/>
                <w:sz w:val="20"/>
              </w:rPr>
              <w:t>Quantum (MU)</w:t>
            </w:r>
          </w:p>
        </w:tc>
        <w:tc>
          <w:tcPr>
            <w:tcW w:w="1449" w:type="dxa"/>
            <w:shd w:val="clear" w:color="auto" w:fill="F7C9AC"/>
          </w:tcPr>
          <w:p w:rsidR="007C5447" w:rsidRDefault="00F6308C">
            <w:pPr>
              <w:pStyle w:val="TableParagraph"/>
              <w:spacing w:before="14" w:line="230" w:lineRule="atLeast"/>
              <w:ind w:left="387" w:right="241" w:hanging="104"/>
              <w:jc w:val="left"/>
              <w:rPr>
                <w:b/>
                <w:sz w:val="20"/>
              </w:rPr>
            </w:pPr>
            <w:r>
              <w:rPr>
                <w:b/>
                <w:sz w:val="20"/>
              </w:rPr>
              <w:t>Total Cost (Rs. Cr)</w:t>
            </w:r>
          </w:p>
        </w:tc>
        <w:tc>
          <w:tcPr>
            <w:tcW w:w="1161" w:type="dxa"/>
            <w:shd w:val="clear" w:color="auto" w:fill="F7C9AC"/>
          </w:tcPr>
          <w:p w:rsidR="007C5447" w:rsidRDefault="00F6308C">
            <w:pPr>
              <w:pStyle w:val="TableParagraph"/>
              <w:spacing w:before="14" w:line="230" w:lineRule="atLeast"/>
              <w:ind w:left="174" w:firstLine="216"/>
              <w:jc w:val="left"/>
              <w:rPr>
                <w:b/>
                <w:sz w:val="20"/>
              </w:rPr>
            </w:pPr>
            <w:r>
              <w:rPr>
                <w:b/>
                <w:sz w:val="20"/>
              </w:rPr>
              <w:t xml:space="preserve">Rate </w:t>
            </w:r>
            <w:r>
              <w:rPr>
                <w:b/>
                <w:w w:val="95"/>
                <w:sz w:val="20"/>
              </w:rPr>
              <w:t>(Rs/kWh)</w:t>
            </w:r>
          </w:p>
        </w:tc>
      </w:tr>
      <w:tr w:rsidR="007C5447">
        <w:trPr>
          <w:trHeight w:val="369"/>
        </w:trPr>
        <w:tc>
          <w:tcPr>
            <w:tcW w:w="2856" w:type="dxa"/>
          </w:tcPr>
          <w:p w:rsidR="007C5447" w:rsidRDefault="00F6308C">
            <w:pPr>
              <w:pStyle w:val="TableParagraph"/>
              <w:spacing w:before="70"/>
              <w:ind w:left="112"/>
              <w:jc w:val="left"/>
              <w:rPr>
                <w:sz w:val="20"/>
              </w:rPr>
            </w:pPr>
            <w:r>
              <w:rPr>
                <w:sz w:val="20"/>
              </w:rPr>
              <w:t>Kundah HEP</w:t>
            </w:r>
          </w:p>
        </w:tc>
        <w:tc>
          <w:tcPr>
            <w:tcW w:w="1339" w:type="dxa"/>
          </w:tcPr>
          <w:p w:rsidR="007C5447" w:rsidRDefault="00F6308C">
            <w:pPr>
              <w:pStyle w:val="TableParagraph"/>
              <w:spacing w:before="70"/>
              <w:ind w:right="165"/>
              <w:rPr>
                <w:sz w:val="20"/>
              </w:rPr>
            </w:pPr>
            <w:r>
              <w:rPr>
                <w:w w:val="95"/>
                <w:sz w:val="20"/>
              </w:rPr>
              <w:t>2,257.00</w:t>
            </w:r>
          </w:p>
        </w:tc>
        <w:tc>
          <w:tcPr>
            <w:tcW w:w="1216" w:type="dxa"/>
          </w:tcPr>
          <w:p w:rsidR="007C5447" w:rsidRDefault="00F6308C">
            <w:pPr>
              <w:pStyle w:val="TableParagraph"/>
              <w:spacing w:before="70"/>
              <w:ind w:right="165"/>
              <w:rPr>
                <w:sz w:val="20"/>
              </w:rPr>
            </w:pPr>
            <w:r>
              <w:rPr>
                <w:w w:val="95"/>
                <w:sz w:val="20"/>
              </w:rPr>
              <w:t>206.00</w:t>
            </w:r>
          </w:p>
        </w:tc>
        <w:tc>
          <w:tcPr>
            <w:tcW w:w="1161" w:type="dxa"/>
          </w:tcPr>
          <w:p w:rsidR="007C5447" w:rsidRDefault="00F6308C">
            <w:pPr>
              <w:pStyle w:val="TableParagraph"/>
              <w:spacing w:before="70"/>
              <w:ind w:right="165"/>
              <w:rPr>
                <w:sz w:val="20"/>
              </w:rPr>
            </w:pPr>
            <w:r>
              <w:rPr>
                <w:sz w:val="20"/>
              </w:rPr>
              <w:t>0.91</w:t>
            </w:r>
          </w:p>
        </w:tc>
        <w:tc>
          <w:tcPr>
            <w:tcW w:w="1303" w:type="dxa"/>
          </w:tcPr>
          <w:p w:rsidR="007C5447" w:rsidRDefault="00F6308C">
            <w:pPr>
              <w:pStyle w:val="TableParagraph"/>
              <w:spacing w:before="70"/>
              <w:ind w:right="165"/>
              <w:rPr>
                <w:sz w:val="20"/>
              </w:rPr>
            </w:pPr>
            <w:r>
              <w:rPr>
                <w:w w:val="95"/>
                <w:sz w:val="20"/>
              </w:rPr>
              <w:t>2,028.00</w:t>
            </w:r>
          </w:p>
        </w:tc>
        <w:tc>
          <w:tcPr>
            <w:tcW w:w="1216" w:type="dxa"/>
          </w:tcPr>
          <w:p w:rsidR="007C5447" w:rsidRDefault="00F6308C">
            <w:pPr>
              <w:pStyle w:val="TableParagraph"/>
              <w:spacing w:before="70"/>
              <w:ind w:right="163"/>
              <w:rPr>
                <w:sz w:val="20"/>
              </w:rPr>
            </w:pPr>
            <w:r>
              <w:rPr>
                <w:w w:val="95"/>
                <w:sz w:val="20"/>
              </w:rPr>
              <w:t>521.14</w:t>
            </w:r>
          </w:p>
        </w:tc>
        <w:tc>
          <w:tcPr>
            <w:tcW w:w="1163" w:type="dxa"/>
          </w:tcPr>
          <w:p w:rsidR="007C5447" w:rsidRDefault="00F6308C">
            <w:pPr>
              <w:pStyle w:val="TableParagraph"/>
              <w:spacing w:before="70"/>
              <w:ind w:right="165"/>
              <w:rPr>
                <w:sz w:val="20"/>
              </w:rPr>
            </w:pPr>
            <w:r>
              <w:rPr>
                <w:sz w:val="20"/>
              </w:rPr>
              <w:t>2.57</w:t>
            </w:r>
          </w:p>
        </w:tc>
        <w:tc>
          <w:tcPr>
            <w:tcW w:w="1339" w:type="dxa"/>
          </w:tcPr>
          <w:p w:rsidR="007C5447" w:rsidRDefault="00F6308C">
            <w:pPr>
              <w:pStyle w:val="TableParagraph"/>
              <w:spacing w:before="70"/>
              <w:ind w:right="160"/>
              <w:rPr>
                <w:sz w:val="20"/>
              </w:rPr>
            </w:pPr>
            <w:r>
              <w:rPr>
                <w:w w:val="95"/>
                <w:sz w:val="20"/>
              </w:rPr>
              <w:t>2,028.00</w:t>
            </w:r>
          </w:p>
        </w:tc>
        <w:tc>
          <w:tcPr>
            <w:tcW w:w="1449" w:type="dxa"/>
          </w:tcPr>
          <w:p w:rsidR="007C5447" w:rsidRDefault="00F6308C">
            <w:pPr>
              <w:pStyle w:val="TableParagraph"/>
              <w:spacing w:before="70"/>
              <w:ind w:right="163"/>
              <w:rPr>
                <w:sz w:val="20"/>
              </w:rPr>
            </w:pPr>
            <w:r>
              <w:rPr>
                <w:w w:val="95"/>
                <w:sz w:val="20"/>
              </w:rPr>
              <w:t>223.34</w:t>
            </w:r>
          </w:p>
        </w:tc>
        <w:tc>
          <w:tcPr>
            <w:tcW w:w="1161" w:type="dxa"/>
          </w:tcPr>
          <w:p w:rsidR="007C5447" w:rsidRDefault="00F6308C">
            <w:pPr>
              <w:pStyle w:val="TableParagraph"/>
              <w:spacing w:before="70"/>
              <w:ind w:right="160"/>
              <w:rPr>
                <w:sz w:val="20"/>
              </w:rPr>
            </w:pPr>
            <w:r>
              <w:rPr>
                <w:sz w:val="20"/>
              </w:rPr>
              <w:t>1.10</w:t>
            </w:r>
          </w:p>
        </w:tc>
      </w:tr>
      <w:tr w:rsidR="007C5447">
        <w:trPr>
          <w:trHeight w:val="371"/>
        </w:trPr>
        <w:tc>
          <w:tcPr>
            <w:tcW w:w="2856" w:type="dxa"/>
          </w:tcPr>
          <w:p w:rsidR="007C5447" w:rsidRDefault="00F6308C">
            <w:pPr>
              <w:pStyle w:val="TableParagraph"/>
              <w:spacing w:before="70"/>
              <w:ind w:left="112"/>
              <w:jc w:val="left"/>
              <w:rPr>
                <w:sz w:val="20"/>
              </w:rPr>
            </w:pPr>
            <w:r>
              <w:rPr>
                <w:sz w:val="20"/>
              </w:rPr>
              <w:t>Tirunevali HEP</w:t>
            </w:r>
          </w:p>
        </w:tc>
        <w:tc>
          <w:tcPr>
            <w:tcW w:w="1339" w:type="dxa"/>
          </w:tcPr>
          <w:p w:rsidR="007C5447" w:rsidRDefault="00F6308C">
            <w:pPr>
              <w:pStyle w:val="TableParagraph"/>
              <w:spacing w:before="70"/>
              <w:ind w:right="167"/>
              <w:rPr>
                <w:sz w:val="20"/>
              </w:rPr>
            </w:pPr>
            <w:r>
              <w:rPr>
                <w:w w:val="95"/>
                <w:sz w:val="20"/>
              </w:rPr>
              <w:t>964.00</w:t>
            </w:r>
          </w:p>
        </w:tc>
        <w:tc>
          <w:tcPr>
            <w:tcW w:w="1216" w:type="dxa"/>
          </w:tcPr>
          <w:p w:rsidR="007C5447" w:rsidRDefault="00F6308C">
            <w:pPr>
              <w:pStyle w:val="TableParagraph"/>
              <w:spacing w:before="70"/>
              <w:ind w:right="165"/>
              <w:rPr>
                <w:sz w:val="20"/>
              </w:rPr>
            </w:pPr>
            <w:r>
              <w:rPr>
                <w:w w:val="95"/>
                <w:sz w:val="20"/>
              </w:rPr>
              <w:t>120.00</w:t>
            </w:r>
          </w:p>
        </w:tc>
        <w:tc>
          <w:tcPr>
            <w:tcW w:w="1161" w:type="dxa"/>
          </w:tcPr>
          <w:p w:rsidR="007C5447" w:rsidRDefault="00F6308C">
            <w:pPr>
              <w:pStyle w:val="TableParagraph"/>
              <w:spacing w:before="70"/>
              <w:ind w:right="165"/>
              <w:rPr>
                <w:sz w:val="20"/>
              </w:rPr>
            </w:pPr>
            <w:r>
              <w:rPr>
                <w:sz w:val="20"/>
              </w:rPr>
              <w:t>1.24</w:t>
            </w:r>
          </w:p>
        </w:tc>
        <w:tc>
          <w:tcPr>
            <w:tcW w:w="1303" w:type="dxa"/>
          </w:tcPr>
          <w:p w:rsidR="007C5447" w:rsidRDefault="00F6308C">
            <w:pPr>
              <w:pStyle w:val="TableParagraph"/>
              <w:spacing w:before="70"/>
              <w:ind w:right="165"/>
              <w:rPr>
                <w:sz w:val="20"/>
              </w:rPr>
            </w:pPr>
            <w:r>
              <w:rPr>
                <w:w w:val="95"/>
                <w:sz w:val="20"/>
              </w:rPr>
              <w:t>1,158.00</w:t>
            </w:r>
          </w:p>
        </w:tc>
        <w:tc>
          <w:tcPr>
            <w:tcW w:w="1216" w:type="dxa"/>
          </w:tcPr>
          <w:p w:rsidR="007C5447" w:rsidRDefault="00F6308C">
            <w:pPr>
              <w:pStyle w:val="TableParagraph"/>
              <w:spacing w:before="70"/>
              <w:ind w:right="163"/>
              <w:rPr>
                <w:sz w:val="20"/>
              </w:rPr>
            </w:pPr>
            <w:r>
              <w:rPr>
                <w:w w:val="95"/>
                <w:sz w:val="20"/>
              </w:rPr>
              <w:t>235.59</w:t>
            </w:r>
          </w:p>
        </w:tc>
        <w:tc>
          <w:tcPr>
            <w:tcW w:w="1163" w:type="dxa"/>
          </w:tcPr>
          <w:p w:rsidR="007C5447" w:rsidRDefault="00F6308C">
            <w:pPr>
              <w:pStyle w:val="TableParagraph"/>
              <w:spacing w:before="70"/>
              <w:ind w:right="165"/>
              <w:rPr>
                <w:sz w:val="20"/>
              </w:rPr>
            </w:pPr>
            <w:r>
              <w:rPr>
                <w:sz w:val="20"/>
              </w:rPr>
              <w:t>2.03</w:t>
            </w:r>
          </w:p>
        </w:tc>
        <w:tc>
          <w:tcPr>
            <w:tcW w:w="1339" w:type="dxa"/>
          </w:tcPr>
          <w:p w:rsidR="007C5447" w:rsidRDefault="00F6308C">
            <w:pPr>
              <w:pStyle w:val="TableParagraph"/>
              <w:spacing w:before="70"/>
              <w:ind w:right="160"/>
              <w:rPr>
                <w:sz w:val="20"/>
              </w:rPr>
            </w:pPr>
            <w:r>
              <w:rPr>
                <w:w w:val="95"/>
                <w:sz w:val="20"/>
              </w:rPr>
              <w:t>1,158.00</w:t>
            </w:r>
          </w:p>
        </w:tc>
        <w:tc>
          <w:tcPr>
            <w:tcW w:w="1449" w:type="dxa"/>
          </w:tcPr>
          <w:p w:rsidR="007C5447" w:rsidRDefault="00F6308C">
            <w:pPr>
              <w:pStyle w:val="TableParagraph"/>
              <w:spacing w:before="70"/>
              <w:ind w:right="163"/>
              <w:rPr>
                <w:sz w:val="20"/>
              </w:rPr>
            </w:pPr>
            <w:r>
              <w:rPr>
                <w:w w:val="95"/>
                <w:sz w:val="20"/>
              </w:rPr>
              <w:t>127.44</w:t>
            </w:r>
          </w:p>
        </w:tc>
        <w:tc>
          <w:tcPr>
            <w:tcW w:w="1161" w:type="dxa"/>
          </w:tcPr>
          <w:p w:rsidR="007C5447" w:rsidRDefault="00F6308C">
            <w:pPr>
              <w:pStyle w:val="TableParagraph"/>
              <w:spacing w:before="70"/>
              <w:ind w:right="160"/>
              <w:rPr>
                <w:sz w:val="20"/>
              </w:rPr>
            </w:pPr>
            <w:r>
              <w:rPr>
                <w:sz w:val="20"/>
              </w:rPr>
              <w:t>1.10</w:t>
            </w:r>
          </w:p>
        </w:tc>
      </w:tr>
      <w:tr w:rsidR="007C5447">
        <w:trPr>
          <w:trHeight w:val="369"/>
        </w:trPr>
        <w:tc>
          <w:tcPr>
            <w:tcW w:w="2856" w:type="dxa"/>
          </w:tcPr>
          <w:p w:rsidR="007C5447" w:rsidRDefault="00F6308C">
            <w:pPr>
              <w:pStyle w:val="TableParagraph"/>
              <w:spacing w:before="70"/>
              <w:ind w:left="902"/>
              <w:jc w:val="left"/>
              <w:rPr>
                <w:b/>
                <w:sz w:val="20"/>
              </w:rPr>
            </w:pPr>
            <w:r>
              <w:rPr>
                <w:b/>
                <w:sz w:val="20"/>
              </w:rPr>
              <w:t>Total Hydro</w:t>
            </w:r>
          </w:p>
        </w:tc>
        <w:tc>
          <w:tcPr>
            <w:tcW w:w="1339" w:type="dxa"/>
          </w:tcPr>
          <w:p w:rsidR="007C5447" w:rsidRDefault="00F6308C">
            <w:pPr>
              <w:pStyle w:val="TableParagraph"/>
              <w:spacing w:before="70"/>
              <w:ind w:right="165"/>
              <w:rPr>
                <w:b/>
                <w:sz w:val="20"/>
              </w:rPr>
            </w:pPr>
            <w:r>
              <w:rPr>
                <w:b/>
                <w:w w:val="95"/>
                <w:sz w:val="20"/>
              </w:rPr>
              <w:t>4,586.00</w:t>
            </w:r>
          </w:p>
        </w:tc>
        <w:tc>
          <w:tcPr>
            <w:tcW w:w="1216" w:type="dxa"/>
          </w:tcPr>
          <w:p w:rsidR="007C5447" w:rsidRDefault="00F6308C">
            <w:pPr>
              <w:pStyle w:val="TableParagraph"/>
              <w:spacing w:before="70"/>
              <w:ind w:right="165"/>
              <w:rPr>
                <w:b/>
                <w:sz w:val="20"/>
              </w:rPr>
            </w:pPr>
            <w:r>
              <w:rPr>
                <w:b/>
                <w:w w:val="95"/>
                <w:sz w:val="20"/>
              </w:rPr>
              <w:t>737.00</w:t>
            </w:r>
          </w:p>
        </w:tc>
        <w:tc>
          <w:tcPr>
            <w:tcW w:w="1161" w:type="dxa"/>
          </w:tcPr>
          <w:p w:rsidR="007C5447" w:rsidRDefault="00F6308C">
            <w:pPr>
              <w:pStyle w:val="TableParagraph"/>
              <w:spacing w:before="70"/>
              <w:ind w:right="165"/>
              <w:rPr>
                <w:b/>
                <w:sz w:val="20"/>
              </w:rPr>
            </w:pPr>
            <w:r>
              <w:rPr>
                <w:b/>
                <w:sz w:val="20"/>
              </w:rPr>
              <w:t>1.61</w:t>
            </w:r>
          </w:p>
        </w:tc>
        <w:tc>
          <w:tcPr>
            <w:tcW w:w="1303" w:type="dxa"/>
          </w:tcPr>
          <w:p w:rsidR="007C5447" w:rsidRDefault="00F6308C">
            <w:pPr>
              <w:pStyle w:val="TableParagraph"/>
              <w:spacing w:before="70"/>
              <w:ind w:right="165"/>
              <w:rPr>
                <w:b/>
                <w:sz w:val="20"/>
              </w:rPr>
            </w:pPr>
            <w:r>
              <w:rPr>
                <w:b/>
                <w:w w:val="95"/>
                <w:sz w:val="20"/>
              </w:rPr>
              <w:t>5,166.00</w:t>
            </w:r>
          </w:p>
        </w:tc>
        <w:tc>
          <w:tcPr>
            <w:tcW w:w="1216" w:type="dxa"/>
          </w:tcPr>
          <w:p w:rsidR="007C5447" w:rsidRDefault="00F6308C">
            <w:pPr>
              <w:pStyle w:val="TableParagraph"/>
              <w:spacing w:before="70"/>
              <w:ind w:right="161"/>
              <w:rPr>
                <w:b/>
                <w:sz w:val="20"/>
              </w:rPr>
            </w:pPr>
            <w:r>
              <w:rPr>
                <w:b/>
                <w:w w:val="95"/>
                <w:sz w:val="20"/>
              </w:rPr>
              <w:t>1,384.45</w:t>
            </w:r>
          </w:p>
        </w:tc>
        <w:tc>
          <w:tcPr>
            <w:tcW w:w="1163" w:type="dxa"/>
          </w:tcPr>
          <w:p w:rsidR="007C5447" w:rsidRDefault="00F6308C">
            <w:pPr>
              <w:pStyle w:val="TableParagraph"/>
              <w:spacing w:before="70"/>
              <w:ind w:right="165"/>
              <w:rPr>
                <w:b/>
                <w:sz w:val="20"/>
              </w:rPr>
            </w:pPr>
            <w:r>
              <w:rPr>
                <w:b/>
                <w:sz w:val="20"/>
              </w:rPr>
              <w:t>2.68</w:t>
            </w:r>
          </w:p>
        </w:tc>
        <w:tc>
          <w:tcPr>
            <w:tcW w:w="1339" w:type="dxa"/>
          </w:tcPr>
          <w:p w:rsidR="007C5447" w:rsidRDefault="00F6308C">
            <w:pPr>
              <w:pStyle w:val="TableParagraph"/>
              <w:spacing w:before="70"/>
              <w:ind w:right="160"/>
              <w:rPr>
                <w:b/>
                <w:sz w:val="20"/>
              </w:rPr>
            </w:pPr>
            <w:r>
              <w:rPr>
                <w:b/>
                <w:w w:val="95"/>
                <w:sz w:val="20"/>
              </w:rPr>
              <w:t>4,663.24</w:t>
            </w:r>
          </w:p>
        </w:tc>
        <w:tc>
          <w:tcPr>
            <w:tcW w:w="1449" w:type="dxa"/>
          </w:tcPr>
          <w:p w:rsidR="007C5447" w:rsidRDefault="00F6308C">
            <w:pPr>
              <w:pStyle w:val="TableParagraph"/>
              <w:spacing w:before="70"/>
              <w:ind w:right="163"/>
              <w:rPr>
                <w:b/>
                <w:sz w:val="20"/>
              </w:rPr>
            </w:pPr>
            <w:r>
              <w:rPr>
                <w:b/>
                <w:w w:val="95"/>
                <w:sz w:val="20"/>
              </w:rPr>
              <w:t>747.87</w:t>
            </w:r>
          </w:p>
        </w:tc>
        <w:tc>
          <w:tcPr>
            <w:tcW w:w="1161" w:type="dxa"/>
          </w:tcPr>
          <w:p w:rsidR="007C5447" w:rsidRDefault="00F6308C">
            <w:pPr>
              <w:pStyle w:val="TableParagraph"/>
              <w:spacing w:before="70"/>
              <w:ind w:right="160"/>
              <w:rPr>
                <w:b/>
                <w:sz w:val="20"/>
              </w:rPr>
            </w:pPr>
            <w:r>
              <w:rPr>
                <w:b/>
                <w:sz w:val="20"/>
              </w:rPr>
              <w:t>1.60</w:t>
            </w:r>
          </w:p>
        </w:tc>
      </w:tr>
      <w:tr w:rsidR="007C5447">
        <w:trPr>
          <w:trHeight w:val="369"/>
        </w:trPr>
        <w:tc>
          <w:tcPr>
            <w:tcW w:w="2856" w:type="dxa"/>
          </w:tcPr>
          <w:p w:rsidR="007C5447" w:rsidRDefault="00F6308C">
            <w:pPr>
              <w:pStyle w:val="TableParagraph"/>
              <w:spacing w:before="70"/>
              <w:ind w:left="112"/>
              <w:jc w:val="left"/>
              <w:rPr>
                <w:b/>
                <w:sz w:val="20"/>
              </w:rPr>
            </w:pPr>
            <w:r>
              <w:rPr>
                <w:b/>
                <w:sz w:val="20"/>
              </w:rPr>
              <w:t>Wind</w:t>
            </w:r>
          </w:p>
        </w:tc>
        <w:tc>
          <w:tcPr>
            <w:tcW w:w="1339" w:type="dxa"/>
          </w:tcPr>
          <w:p w:rsidR="007C5447" w:rsidRDefault="00F6308C">
            <w:pPr>
              <w:pStyle w:val="TableParagraph"/>
              <w:spacing w:before="70"/>
              <w:ind w:right="167"/>
              <w:rPr>
                <w:sz w:val="20"/>
              </w:rPr>
            </w:pPr>
            <w:r>
              <w:rPr>
                <w:sz w:val="20"/>
              </w:rPr>
              <w:t>12.00</w:t>
            </w:r>
          </w:p>
        </w:tc>
        <w:tc>
          <w:tcPr>
            <w:tcW w:w="1216" w:type="dxa"/>
          </w:tcPr>
          <w:p w:rsidR="007C5447" w:rsidRDefault="00F6308C">
            <w:pPr>
              <w:pStyle w:val="TableParagraph"/>
              <w:spacing w:before="70"/>
              <w:ind w:right="165"/>
              <w:rPr>
                <w:sz w:val="20"/>
              </w:rPr>
            </w:pPr>
            <w:r>
              <w:rPr>
                <w:sz w:val="20"/>
              </w:rPr>
              <w:t>3.00</w:t>
            </w:r>
          </w:p>
        </w:tc>
        <w:tc>
          <w:tcPr>
            <w:tcW w:w="1161" w:type="dxa"/>
          </w:tcPr>
          <w:p w:rsidR="007C5447" w:rsidRDefault="00F6308C">
            <w:pPr>
              <w:pStyle w:val="TableParagraph"/>
              <w:spacing w:before="70"/>
              <w:ind w:right="165"/>
              <w:rPr>
                <w:sz w:val="20"/>
              </w:rPr>
            </w:pPr>
            <w:r>
              <w:rPr>
                <w:sz w:val="20"/>
              </w:rPr>
              <w:t>2.50</w:t>
            </w:r>
          </w:p>
        </w:tc>
        <w:tc>
          <w:tcPr>
            <w:tcW w:w="1303" w:type="dxa"/>
          </w:tcPr>
          <w:p w:rsidR="007C5447" w:rsidRDefault="00F6308C">
            <w:pPr>
              <w:pStyle w:val="TableParagraph"/>
              <w:spacing w:before="70"/>
              <w:ind w:right="167"/>
              <w:rPr>
                <w:sz w:val="20"/>
              </w:rPr>
            </w:pPr>
            <w:r>
              <w:rPr>
                <w:sz w:val="20"/>
              </w:rPr>
              <w:t>7.81</w:t>
            </w:r>
          </w:p>
        </w:tc>
        <w:tc>
          <w:tcPr>
            <w:tcW w:w="1216" w:type="dxa"/>
          </w:tcPr>
          <w:p w:rsidR="007C5447" w:rsidRDefault="00F6308C">
            <w:pPr>
              <w:pStyle w:val="TableParagraph"/>
              <w:spacing w:before="70"/>
              <w:ind w:right="163"/>
              <w:rPr>
                <w:sz w:val="20"/>
              </w:rPr>
            </w:pPr>
            <w:r>
              <w:rPr>
                <w:sz w:val="20"/>
              </w:rPr>
              <w:t>2.00</w:t>
            </w:r>
          </w:p>
        </w:tc>
        <w:tc>
          <w:tcPr>
            <w:tcW w:w="1163" w:type="dxa"/>
          </w:tcPr>
          <w:p w:rsidR="007C5447" w:rsidRDefault="00F6308C">
            <w:pPr>
              <w:pStyle w:val="TableParagraph"/>
              <w:spacing w:before="70"/>
              <w:ind w:right="165"/>
              <w:rPr>
                <w:sz w:val="20"/>
              </w:rPr>
            </w:pPr>
            <w:r>
              <w:rPr>
                <w:sz w:val="20"/>
              </w:rPr>
              <w:t>2.56</w:t>
            </w:r>
          </w:p>
        </w:tc>
        <w:tc>
          <w:tcPr>
            <w:tcW w:w="1339" w:type="dxa"/>
          </w:tcPr>
          <w:p w:rsidR="007C5447" w:rsidRDefault="00F6308C">
            <w:pPr>
              <w:pStyle w:val="TableParagraph"/>
              <w:spacing w:before="70"/>
              <w:ind w:right="162"/>
              <w:rPr>
                <w:sz w:val="20"/>
              </w:rPr>
            </w:pPr>
            <w:r>
              <w:rPr>
                <w:sz w:val="20"/>
              </w:rPr>
              <w:t>7.81</w:t>
            </w:r>
          </w:p>
        </w:tc>
        <w:tc>
          <w:tcPr>
            <w:tcW w:w="1449" w:type="dxa"/>
          </w:tcPr>
          <w:p w:rsidR="007C5447" w:rsidRDefault="00F6308C">
            <w:pPr>
              <w:pStyle w:val="TableParagraph"/>
              <w:spacing w:before="70"/>
              <w:ind w:right="163"/>
              <w:rPr>
                <w:sz w:val="20"/>
              </w:rPr>
            </w:pPr>
            <w:r>
              <w:rPr>
                <w:sz w:val="20"/>
              </w:rPr>
              <w:t>2.00</w:t>
            </w:r>
          </w:p>
        </w:tc>
        <w:tc>
          <w:tcPr>
            <w:tcW w:w="1161" w:type="dxa"/>
          </w:tcPr>
          <w:p w:rsidR="007C5447" w:rsidRDefault="00F6308C">
            <w:pPr>
              <w:pStyle w:val="TableParagraph"/>
              <w:spacing w:before="70"/>
              <w:ind w:right="160"/>
              <w:rPr>
                <w:sz w:val="20"/>
              </w:rPr>
            </w:pPr>
            <w:r>
              <w:rPr>
                <w:sz w:val="20"/>
              </w:rPr>
              <w:t>2.56</w:t>
            </w:r>
          </w:p>
        </w:tc>
      </w:tr>
      <w:tr w:rsidR="007C5447">
        <w:trPr>
          <w:trHeight w:val="371"/>
        </w:trPr>
        <w:tc>
          <w:tcPr>
            <w:tcW w:w="2856" w:type="dxa"/>
          </w:tcPr>
          <w:p w:rsidR="007C5447" w:rsidRDefault="00F6308C">
            <w:pPr>
              <w:pStyle w:val="TableParagraph"/>
              <w:spacing w:before="70"/>
              <w:ind w:left="112"/>
              <w:jc w:val="left"/>
              <w:rPr>
                <w:b/>
                <w:sz w:val="20"/>
              </w:rPr>
            </w:pPr>
            <w:r>
              <w:rPr>
                <w:b/>
                <w:sz w:val="20"/>
              </w:rPr>
              <w:t>Total from Own Generating</w:t>
            </w:r>
          </w:p>
        </w:tc>
        <w:tc>
          <w:tcPr>
            <w:tcW w:w="1339" w:type="dxa"/>
          </w:tcPr>
          <w:p w:rsidR="007C5447" w:rsidRDefault="00F6308C">
            <w:pPr>
              <w:pStyle w:val="TableParagraph"/>
              <w:spacing w:before="70"/>
              <w:ind w:right="167"/>
              <w:rPr>
                <w:b/>
                <w:sz w:val="20"/>
              </w:rPr>
            </w:pPr>
            <w:r>
              <w:rPr>
                <w:b/>
                <w:w w:val="95"/>
                <w:sz w:val="20"/>
              </w:rPr>
              <w:t>32,671.00</w:t>
            </w:r>
          </w:p>
        </w:tc>
        <w:tc>
          <w:tcPr>
            <w:tcW w:w="1216" w:type="dxa"/>
          </w:tcPr>
          <w:p w:rsidR="007C5447" w:rsidRDefault="00F6308C">
            <w:pPr>
              <w:pStyle w:val="TableParagraph"/>
              <w:spacing w:before="70"/>
              <w:ind w:right="166"/>
              <w:rPr>
                <w:b/>
                <w:sz w:val="20"/>
              </w:rPr>
            </w:pPr>
            <w:r>
              <w:rPr>
                <w:b/>
                <w:w w:val="95"/>
                <w:sz w:val="20"/>
              </w:rPr>
              <w:t>12,299.00</w:t>
            </w:r>
          </w:p>
        </w:tc>
        <w:tc>
          <w:tcPr>
            <w:tcW w:w="1161" w:type="dxa"/>
          </w:tcPr>
          <w:p w:rsidR="007C5447" w:rsidRDefault="00F6308C">
            <w:pPr>
              <w:pStyle w:val="TableParagraph"/>
              <w:spacing w:before="70"/>
              <w:ind w:right="165"/>
              <w:rPr>
                <w:b/>
                <w:sz w:val="20"/>
              </w:rPr>
            </w:pPr>
            <w:r>
              <w:rPr>
                <w:b/>
                <w:sz w:val="20"/>
              </w:rPr>
              <w:t>3.76</w:t>
            </w:r>
          </w:p>
        </w:tc>
        <w:tc>
          <w:tcPr>
            <w:tcW w:w="1303" w:type="dxa"/>
          </w:tcPr>
          <w:p w:rsidR="007C5447" w:rsidRDefault="00F6308C">
            <w:pPr>
              <w:pStyle w:val="TableParagraph"/>
              <w:spacing w:before="70"/>
              <w:ind w:right="167"/>
              <w:rPr>
                <w:b/>
                <w:sz w:val="20"/>
              </w:rPr>
            </w:pPr>
            <w:r>
              <w:rPr>
                <w:b/>
                <w:w w:val="95"/>
                <w:sz w:val="20"/>
              </w:rPr>
              <w:t>32,092.81</w:t>
            </w:r>
          </w:p>
        </w:tc>
        <w:tc>
          <w:tcPr>
            <w:tcW w:w="1216" w:type="dxa"/>
          </w:tcPr>
          <w:p w:rsidR="007C5447" w:rsidRDefault="00F6308C">
            <w:pPr>
              <w:pStyle w:val="TableParagraph"/>
              <w:spacing w:before="70"/>
              <w:ind w:right="164"/>
              <w:rPr>
                <w:b/>
                <w:sz w:val="20"/>
              </w:rPr>
            </w:pPr>
            <w:r>
              <w:rPr>
                <w:b/>
                <w:w w:val="95"/>
                <w:sz w:val="20"/>
              </w:rPr>
              <w:t>16,231.52</w:t>
            </w:r>
          </w:p>
        </w:tc>
        <w:tc>
          <w:tcPr>
            <w:tcW w:w="1163" w:type="dxa"/>
          </w:tcPr>
          <w:p w:rsidR="007C5447" w:rsidRDefault="00F6308C">
            <w:pPr>
              <w:pStyle w:val="TableParagraph"/>
              <w:spacing w:before="70"/>
              <w:ind w:right="165"/>
              <w:rPr>
                <w:b/>
                <w:sz w:val="20"/>
              </w:rPr>
            </w:pPr>
            <w:r>
              <w:rPr>
                <w:b/>
                <w:sz w:val="20"/>
              </w:rPr>
              <w:t>5.06</w:t>
            </w:r>
          </w:p>
        </w:tc>
        <w:tc>
          <w:tcPr>
            <w:tcW w:w="1339" w:type="dxa"/>
          </w:tcPr>
          <w:p w:rsidR="007C5447" w:rsidRDefault="00F6308C">
            <w:pPr>
              <w:pStyle w:val="TableParagraph"/>
              <w:spacing w:before="70"/>
              <w:ind w:right="163"/>
              <w:rPr>
                <w:b/>
                <w:sz w:val="20"/>
              </w:rPr>
            </w:pPr>
            <w:r>
              <w:rPr>
                <w:b/>
                <w:w w:val="95"/>
                <w:sz w:val="20"/>
              </w:rPr>
              <w:t>31,590.05</w:t>
            </w:r>
          </w:p>
        </w:tc>
        <w:tc>
          <w:tcPr>
            <w:tcW w:w="1449" w:type="dxa"/>
          </w:tcPr>
          <w:p w:rsidR="007C5447" w:rsidRDefault="00F6308C">
            <w:pPr>
              <w:pStyle w:val="TableParagraph"/>
              <w:spacing w:before="70"/>
              <w:ind w:right="164"/>
              <w:rPr>
                <w:b/>
                <w:sz w:val="20"/>
              </w:rPr>
            </w:pPr>
            <w:r>
              <w:rPr>
                <w:b/>
                <w:w w:val="95"/>
                <w:sz w:val="20"/>
              </w:rPr>
              <w:t>13,198.02</w:t>
            </w:r>
          </w:p>
        </w:tc>
        <w:tc>
          <w:tcPr>
            <w:tcW w:w="1161" w:type="dxa"/>
          </w:tcPr>
          <w:p w:rsidR="007C5447" w:rsidRDefault="00F6308C">
            <w:pPr>
              <w:pStyle w:val="TableParagraph"/>
              <w:spacing w:before="70"/>
              <w:ind w:right="160"/>
              <w:rPr>
                <w:b/>
                <w:sz w:val="20"/>
              </w:rPr>
            </w:pPr>
            <w:r>
              <w:rPr>
                <w:b/>
                <w:sz w:val="20"/>
              </w:rPr>
              <w:t>4.18</w:t>
            </w:r>
          </w:p>
        </w:tc>
      </w:tr>
      <w:tr w:rsidR="007C5447">
        <w:trPr>
          <w:trHeight w:val="369"/>
        </w:trPr>
        <w:tc>
          <w:tcPr>
            <w:tcW w:w="2856" w:type="dxa"/>
          </w:tcPr>
          <w:p w:rsidR="007C5447" w:rsidRDefault="00F6308C">
            <w:pPr>
              <w:pStyle w:val="TableParagraph"/>
              <w:spacing w:before="70"/>
              <w:ind w:left="112"/>
              <w:jc w:val="left"/>
              <w:rPr>
                <w:b/>
                <w:sz w:val="20"/>
              </w:rPr>
            </w:pPr>
            <w:r>
              <w:rPr>
                <w:b/>
                <w:sz w:val="20"/>
              </w:rPr>
              <w:t>CGS</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c>
          <w:tcPr>
            <w:tcW w:w="1449"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NTPC SR (Ramagundam) (I&amp;II)</w:t>
            </w:r>
          </w:p>
        </w:tc>
        <w:tc>
          <w:tcPr>
            <w:tcW w:w="1339" w:type="dxa"/>
          </w:tcPr>
          <w:p w:rsidR="007C5447" w:rsidRDefault="00F6308C">
            <w:pPr>
              <w:pStyle w:val="TableParagraph"/>
              <w:spacing w:before="70"/>
              <w:ind w:right="165"/>
              <w:rPr>
                <w:sz w:val="20"/>
              </w:rPr>
            </w:pPr>
            <w:r>
              <w:rPr>
                <w:w w:val="95"/>
                <w:sz w:val="20"/>
              </w:rPr>
              <w:t>3,983.20</w:t>
            </w:r>
          </w:p>
        </w:tc>
        <w:tc>
          <w:tcPr>
            <w:tcW w:w="1216" w:type="dxa"/>
          </w:tcPr>
          <w:p w:rsidR="007C5447" w:rsidRDefault="00F6308C">
            <w:pPr>
              <w:pStyle w:val="TableParagraph"/>
              <w:spacing w:before="70"/>
              <w:ind w:right="163"/>
              <w:rPr>
                <w:sz w:val="20"/>
              </w:rPr>
            </w:pPr>
            <w:r>
              <w:rPr>
                <w:w w:val="95"/>
                <w:sz w:val="20"/>
              </w:rPr>
              <w:t>1,062.39</w:t>
            </w:r>
          </w:p>
        </w:tc>
        <w:tc>
          <w:tcPr>
            <w:tcW w:w="1161" w:type="dxa"/>
          </w:tcPr>
          <w:p w:rsidR="007C5447" w:rsidRDefault="00F6308C">
            <w:pPr>
              <w:pStyle w:val="TableParagraph"/>
              <w:spacing w:before="70"/>
              <w:ind w:right="165"/>
              <w:rPr>
                <w:sz w:val="20"/>
              </w:rPr>
            </w:pPr>
            <w:r>
              <w:rPr>
                <w:sz w:val="20"/>
              </w:rPr>
              <w:t>2.67</w:t>
            </w:r>
          </w:p>
        </w:tc>
        <w:tc>
          <w:tcPr>
            <w:tcW w:w="1303" w:type="dxa"/>
          </w:tcPr>
          <w:p w:rsidR="007C5447" w:rsidRDefault="00F6308C">
            <w:pPr>
              <w:pStyle w:val="TableParagraph"/>
              <w:spacing w:before="70"/>
              <w:ind w:right="165"/>
              <w:rPr>
                <w:sz w:val="20"/>
              </w:rPr>
            </w:pPr>
            <w:r>
              <w:rPr>
                <w:w w:val="95"/>
                <w:sz w:val="20"/>
              </w:rPr>
              <w:t>3,876.00</w:t>
            </w:r>
          </w:p>
        </w:tc>
        <w:tc>
          <w:tcPr>
            <w:tcW w:w="1216" w:type="dxa"/>
          </w:tcPr>
          <w:p w:rsidR="007C5447" w:rsidRDefault="00F6308C">
            <w:pPr>
              <w:pStyle w:val="TableParagraph"/>
              <w:spacing w:before="70"/>
              <w:ind w:right="161"/>
              <w:rPr>
                <w:sz w:val="20"/>
              </w:rPr>
            </w:pPr>
            <w:r>
              <w:rPr>
                <w:w w:val="95"/>
                <w:sz w:val="20"/>
              </w:rPr>
              <w:t>1,182.65</w:t>
            </w:r>
          </w:p>
        </w:tc>
        <w:tc>
          <w:tcPr>
            <w:tcW w:w="1163" w:type="dxa"/>
          </w:tcPr>
          <w:p w:rsidR="007C5447" w:rsidRDefault="00F6308C">
            <w:pPr>
              <w:pStyle w:val="TableParagraph"/>
              <w:spacing w:before="70"/>
              <w:ind w:right="165"/>
              <w:rPr>
                <w:sz w:val="20"/>
              </w:rPr>
            </w:pPr>
            <w:r>
              <w:rPr>
                <w:sz w:val="20"/>
              </w:rPr>
              <w:t>3.05</w:t>
            </w:r>
          </w:p>
        </w:tc>
        <w:tc>
          <w:tcPr>
            <w:tcW w:w="1339" w:type="dxa"/>
          </w:tcPr>
          <w:p w:rsidR="007C5447" w:rsidRDefault="00F6308C">
            <w:pPr>
              <w:pStyle w:val="TableParagraph"/>
              <w:spacing w:before="70"/>
              <w:ind w:right="160"/>
              <w:rPr>
                <w:sz w:val="20"/>
              </w:rPr>
            </w:pPr>
            <w:r>
              <w:rPr>
                <w:w w:val="95"/>
                <w:sz w:val="20"/>
              </w:rPr>
              <w:t>3,876.00</w:t>
            </w:r>
          </w:p>
        </w:tc>
        <w:tc>
          <w:tcPr>
            <w:tcW w:w="1449" w:type="dxa"/>
          </w:tcPr>
          <w:p w:rsidR="007C5447" w:rsidRDefault="00F6308C">
            <w:pPr>
              <w:pStyle w:val="TableParagraph"/>
              <w:spacing w:before="70"/>
              <w:ind w:right="161"/>
              <w:rPr>
                <w:sz w:val="20"/>
              </w:rPr>
            </w:pPr>
            <w:r>
              <w:rPr>
                <w:w w:val="95"/>
                <w:sz w:val="20"/>
              </w:rPr>
              <w:t>1,182.65</w:t>
            </w:r>
          </w:p>
        </w:tc>
        <w:tc>
          <w:tcPr>
            <w:tcW w:w="1161" w:type="dxa"/>
          </w:tcPr>
          <w:p w:rsidR="007C5447" w:rsidRDefault="00F6308C">
            <w:pPr>
              <w:pStyle w:val="TableParagraph"/>
              <w:spacing w:before="70"/>
              <w:ind w:right="160"/>
              <w:rPr>
                <w:sz w:val="20"/>
              </w:rPr>
            </w:pPr>
            <w:r>
              <w:rPr>
                <w:sz w:val="20"/>
              </w:rPr>
              <w:t>3.05</w:t>
            </w: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sz w:val="20"/>
              </w:rPr>
            </w:pPr>
            <w:r>
              <w:rPr>
                <w:sz w:val="20"/>
              </w:rPr>
              <w:t>NTPC SR (Ramagundam) III</w:t>
            </w:r>
          </w:p>
        </w:tc>
        <w:tc>
          <w:tcPr>
            <w:tcW w:w="1339" w:type="dxa"/>
          </w:tcPr>
          <w:p w:rsidR="007C5447" w:rsidRDefault="00F6308C">
            <w:pPr>
              <w:pStyle w:val="TableParagraph"/>
              <w:spacing w:before="70"/>
              <w:ind w:right="167"/>
              <w:rPr>
                <w:sz w:val="20"/>
              </w:rPr>
            </w:pPr>
            <w:r>
              <w:rPr>
                <w:w w:val="95"/>
                <w:sz w:val="20"/>
              </w:rPr>
              <w:t>995.81</w:t>
            </w:r>
          </w:p>
        </w:tc>
        <w:tc>
          <w:tcPr>
            <w:tcW w:w="1216" w:type="dxa"/>
          </w:tcPr>
          <w:p w:rsidR="007C5447" w:rsidRDefault="00F6308C">
            <w:pPr>
              <w:pStyle w:val="TableParagraph"/>
              <w:spacing w:before="70"/>
              <w:ind w:right="165"/>
              <w:rPr>
                <w:sz w:val="20"/>
              </w:rPr>
            </w:pPr>
            <w:r>
              <w:rPr>
                <w:w w:val="95"/>
                <w:sz w:val="20"/>
              </w:rPr>
              <w:t>357.10</w:t>
            </w:r>
          </w:p>
        </w:tc>
        <w:tc>
          <w:tcPr>
            <w:tcW w:w="1161" w:type="dxa"/>
          </w:tcPr>
          <w:p w:rsidR="007C5447" w:rsidRDefault="00F6308C">
            <w:pPr>
              <w:pStyle w:val="TableParagraph"/>
              <w:spacing w:before="70"/>
              <w:ind w:right="165"/>
              <w:rPr>
                <w:sz w:val="20"/>
              </w:rPr>
            </w:pPr>
            <w:r>
              <w:rPr>
                <w:sz w:val="20"/>
              </w:rPr>
              <w:t>3.59</w:t>
            </w:r>
          </w:p>
        </w:tc>
        <w:tc>
          <w:tcPr>
            <w:tcW w:w="1303" w:type="dxa"/>
          </w:tcPr>
          <w:p w:rsidR="007C5447" w:rsidRDefault="00F6308C">
            <w:pPr>
              <w:pStyle w:val="TableParagraph"/>
              <w:spacing w:before="70"/>
              <w:ind w:right="167"/>
              <w:rPr>
                <w:sz w:val="20"/>
              </w:rPr>
            </w:pPr>
            <w:r>
              <w:rPr>
                <w:w w:val="95"/>
                <w:sz w:val="20"/>
              </w:rPr>
              <w:t>949.00</w:t>
            </w:r>
          </w:p>
        </w:tc>
        <w:tc>
          <w:tcPr>
            <w:tcW w:w="1216" w:type="dxa"/>
          </w:tcPr>
          <w:p w:rsidR="007C5447" w:rsidRDefault="00F6308C">
            <w:pPr>
              <w:pStyle w:val="TableParagraph"/>
              <w:spacing w:before="70"/>
              <w:ind w:right="163"/>
              <w:rPr>
                <w:sz w:val="20"/>
              </w:rPr>
            </w:pPr>
            <w:r>
              <w:rPr>
                <w:w w:val="95"/>
                <w:sz w:val="20"/>
              </w:rPr>
              <w:t>328.25</w:t>
            </w:r>
          </w:p>
        </w:tc>
        <w:tc>
          <w:tcPr>
            <w:tcW w:w="1163" w:type="dxa"/>
          </w:tcPr>
          <w:p w:rsidR="007C5447" w:rsidRDefault="00F6308C">
            <w:pPr>
              <w:pStyle w:val="TableParagraph"/>
              <w:spacing w:before="70"/>
              <w:ind w:right="165"/>
              <w:rPr>
                <w:sz w:val="20"/>
              </w:rPr>
            </w:pPr>
            <w:r>
              <w:rPr>
                <w:sz w:val="20"/>
              </w:rPr>
              <w:t>3.46</w:t>
            </w:r>
          </w:p>
        </w:tc>
        <w:tc>
          <w:tcPr>
            <w:tcW w:w="1339" w:type="dxa"/>
          </w:tcPr>
          <w:p w:rsidR="007C5447" w:rsidRDefault="00F6308C">
            <w:pPr>
              <w:pStyle w:val="TableParagraph"/>
              <w:spacing w:before="70"/>
              <w:ind w:right="162"/>
              <w:rPr>
                <w:sz w:val="20"/>
              </w:rPr>
            </w:pPr>
            <w:r>
              <w:rPr>
                <w:w w:val="95"/>
                <w:sz w:val="20"/>
              </w:rPr>
              <w:t>949.00</w:t>
            </w:r>
          </w:p>
        </w:tc>
        <w:tc>
          <w:tcPr>
            <w:tcW w:w="1449" w:type="dxa"/>
          </w:tcPr>
          <w:p w:rsidR="007C5447" w:rsidRDefault="00F6308C">
            <w:pPr>
              <w:pStyle w:val="TableParagraph"/>
              <w:spacing w:before="70"/>
              <w:ind w:right="163"/>
              <w:rPr>
                <w:sz w:val="20"/>
              </w:rPr>
            </w:pPr>
            <w:r>
              <w:rPr>
                <w:w w:val="95"/>
                <w:sz w:val="20"/>
              </w:rPr>
              <w:t>328.25</w:t>
            </w:r>
          </w:p>
        </w:tc>
        <w:tc>
          <w:tcPr>
            <w:tcW w:w="1161" w:type="dxa"/>
          </w:tcPr>
          <w:p w:rsidR="007C5447" w:rsidRDefault="00F6308C">
            <w:pPr>
              <w:pStyle w:val="TableParagraph"/>
              <w:spacing w:before="70"/>
              <w:ind w:right="160"/>
              <w:rPr>
                <w:sz w:val="20"/>
              </w:rPr>
            </w:pPr>
            <w:r>
              <w:rPr>
                <w:sz w:val="20"/>
              </w:rPr>
              <w:t>3.46</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NLC TS - I</w:t>
            </w:r>
          </w:p>
        </w:tc>
        <w:tc>
          <w:tcPr>
            <w:tcW w:w="1339" w:type="dxa"/>
          </w:tcPr>
          <w:p w:rsidR="007C5447" w:rsidRDefault="00F6308C">
            <w:pPr>
              <w:pStyle w:val="TableParagraph"/>
              <w:spacing w:before="70"/>
              <w:ind w:right="165"/>
              <w:rPr>
                <w:sz w:val="20"/>
              </w:rPr>
            </w:pPr>
            <w:r>
              <w:rPr>
                <w:w w:val="95"/>
                <w:sz w:val="20"/>
              </w:rPr>
              <w:t>3,468.96</w:t>
            </w:r>
          </w:p>
        </w:tc>
        <w:tc>
          <w:tcPr>
            <w:tcW w:w="1216" w:type="dxa"/>
          </w:tcPr>
          <w:p w:rsidR="007C5447" w:rsidRDefault="00F6308C">
            <w:pPr>
              <w:pStyle w:val="TableParagraph"/>
              <w:spacing w:before="70"/>
              <w:ind w:right="165"/>
              <w:rPr>
                <w:sz w:val="20"/>
              </w:rPr>
            </w:pPr>
            <w:r>
              <w:rPr>
                <w:w w:val="95"/>
                <w:sz w:val="20"/>
              </w:rPr>
              <w:t>988.18</w:t>
            </w:r>
          </w:p>
        </w:tc>
        <w:tc>
          <w:tcPr>
            <w:tcW w:w="1161" w:type="dxa"/>
          </w:tcPr>
          <w:p w:rsidR="007C5447" w:rsidRDefault="00F6308C">
            <w:pPr>
              <w:pStyle w:val="TableParagraph"/>
              <w:spacing w:before="70"/>
              <w:ind w:right="165"/>
              <w:rPr>
                <w:sz w:val="20"/>
              </w:rPr>
            </w:pPr>
            <w:r>
              <w:rPr>
                <w:sz w:val="20"/>
              </w:rPr>
              <w:t>2.85</w:t>
            </w:r>
          </w:p>
        </w:tc>
        <w:tc>
          <w:tcPr>
            <w:tcW w:w="1303" w:type="dxa"/>
          </w:tcPr>
          <w:p w:rsidR="007C5447" w:rsidRDefault="00F6308C">
            <w:pPr>
              <w:pStyle w:val="TableParagraph"/>
              <w:spacing w:before="70"/>
              <w:ind w:right="165"/>
              <w:rPr>
                <w:sz w:val="20"/>
              </w:rPr>
            </w:pPr>
            <w:r>
              <w:rPr>
                <w:w w:val="95"/>
                <w:sz w:val="20"/>
              </w:rPr>
              <w:t>2,851.00</w:t>
            </w:r>
          </w:p>
        </w:tc>
        <w:tc>
          <w:tcPr>
            <w:tcW w:w="1216" w:type="dxa"/>
          </w:tcPr>
          <w:p w:rsidR="007C5447" w:rsidRDefault="00F6308C">
            <w:pPr>
              <w:pStyle w:val="TableParagraph"/>
              <w:spacing w:before="70"/>
              <w:ind w:right="161"/>
              <w:rPr>
                <w:sz w:val="20"/>
              </w:rPr>
            </w:pPr>
            <w:r>
              <w:rPr>
                <w:w w:val="95"/>
                <w:sz w:val="20"/>
              </w:rPr>
              <w:t>1,005.66</w:t>
            </w:r>
          </w:p>
        </w:tc>
        <w:tc>
          <w:tcPr>
            <w:tcW w:w="1163" w:type="dxa"/>
          </w:tcPr>
          <w:p w:rsidR="007C5447" w:rsidRDefault="00F6308C">
            <w:pPr>
              <w:pStyle w:val="TableParagraph"/>
              <w:spacing w:before="70"/>
              <w:ind w:right="165"/>
              <w:rPr>
                <w:sz w:val="20"/>
              </w:rPr>
            </w:pPr>
            <w:r>
              <w:rPr>
                <w:sz w:val="20"/>
              </w:rPr>
              <w:t>3.53</w:t>
            </w:r>
          </w:p>
        </w:tc>
        <w:tc>
          <w:tcPr>
            <w:tcW w:w="1339" w:type="dxa"/>
          </w:tcPr>
          <w:p w:rsidR="007C5447" w:rsidRDefault="00F6308C">
            <w:pPr>
              <w:pStyle w:val="TableParagraph"/>
              <w:spacing w:before="70"/>
              <w:ind w:right="160"/>
              <w:rPr>
                <w:sz w:val="20"/>
              </w:rPr>
            </w:pPr>
            <w:r>
              <w:rPr>
                <w:w w:val="95"/>
                <w:sz w:val="20"/>
              </w:rPr>
              <w:t>2,851.00</w:t>
            </w:r>
          </w:p>
        </w:tc>
        <w:tc>
          <w:tcPr>
            <w:tcW w:w="1449" w:type="dxa"/>
          </w:tcPr>
          <w:p w:rsidR="007C5447" w:rsidRDefault="00F6308C">
            <w:pPr>
              <w:pStyle w:val="TableParagraph"/>
              <w:spacing w:before="70"/>
              <w:ind w:right="161"/>
              <w:rPr>
                <w:sz w:val="20"/>
              </w:rPr>
            </w:pPr>
            <w:r>
              <w:rPr>
                <w:w w:val="95"/>
                <w:sz w:val="20"/>
              </w:rPr>
              <w:t>1,006.52</w:t>
            </w:r>
          </w:p>
        </w:tc>
        <w:tc>
          <w:tcPr>
            <w:tcW w:w="1161" w:type="dxa"/>
          </w:tcPr>
          <w:p w:rsidR="007C5447" w:rsidRDefault="00F6308C">
            <w:pPr>
              <w:pStyle w:val="TableParagraph"/>
              <w:spacing w:before="70"/>
              <w:ind w:right="160"/>
              <w:rPr>
                <w:sz w:val="20"/>
              </w:rPr>
            </w:pPr>
            <w:r>
              <w:rPr>
                <w:sz w:val="20"/>
              </w:rPr>
              <w:t>3.53</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NLC TS - II</w:t>
            </w:r>
          </w:p>
        </w:tc>
        <w:tc>
          <w:tcPr>
            <w:tcW w:w="1339" w:type="dxa"/>
          </w:tcPr>
          <w:p w:rsidR="007C5447" w:rsidRDefault="00F6308C">
            <w:pPr>
              <w:pStyle w:val="TableParagraph"/>
              <w:spacing w:before="70"/>
              <w:ind w:right="165"/>
              <w:rPr>
                <w:sz w:val="20"/>
              </w:rPr>
            </w:pPr>
            <w:r>
              <w:rPr>
                <w:w w:val="95"/>
                <w:sz w:val="20"/>
              </w:rPr>
              <w:t>3,234.76</w:t>
            </w:r>
          </w:p>
        </w:tc>
        <w:tc>
          <w:tcPr>
            <w:tcW w:w="1216" w:type="dxa"/>
          </w:tcPr>
          <w:p w:rsidR="007C5447" w:rsidRDefault="00F6308C">
            <w:pPr>
              <w:pStyle w:val="TableParagraph"/>
              <w:spacing w:before="70"/>
              <w:ind w:right="165"/>
              <w:rPr>
                <w:sz w:val="20"/>
              </w:rPr>
            </w:pPr>
            <w:r>
              <w:rPr>
                <w:w w:val="95"/>
                <w:sz w:val="20"/>
              </w:rPr>
              <w:t>874.91</w:t>
            </w:r>
          </w:p>
        </w:tc>
        <w:tc>
          <w:tcPr>
            <w:tcW w:w="1161" w:type="dxa"/>
          </w:tcPr>
          <w:p w:rsidR="007C5447" w:rsidRDefault="00F6308C">
            <w:pPr>
              <w:pStyle w:val="TableParagraph"/>
              <w:spacing w:before="70"/>
              <w:ind w:right="165"/>
              <w:rPr>
                <w:sz w:val="20"/>
              </w:rPr>
            </w:pPr>
            <w:r>
              <w:rPr>
                <w:sz w:val="20"/>
              </w:rPr>
              <w:t>2.70</w:t>
            </w:r>
          </w:p>
        </w:tc>
        <w:tc>
          <w:tcPr>
            <w:tcW w:w="1303" w:type="dxa"/>
          </w:tcPr>
          <w:p w:rsidR="007C5447" w:rsidRDefault="00F6308C">
            <w:pPr>
              <w:pStyle w:val="TableParagraph"/>
              <w:spacing w:before="70"/>
              <w:ind w:right="165"/>
              <w:rPr>
                <w:sz w:val="20"/>
              </w:rPr>
            </w:pPr>
            <w:r>
              <w:rPr>
                <w:w w:val="95"/>
                <w:sz w:val="20"/>
              </w:rPr>
              <w:t>3,276.00</w:t>
            </w:r>
          </w:p>
        </w:tc>
        <w:tc>
          <w:tcPr>
            <w:tcW w:w="1216" w:type="dxa"/>
          </w:tcPr>
          <w:p w:rsidR="007C5447" w:rsidRDefault="00F6308C">
            <w:pPr>
              <w:pStyle w:val="TableParagraph"/>
              <w:spacing w:before="70"/>
              <w:ind w:right="163"/>
              <w:rPr>
                <w:sz w:val="20"/>
              </w:rPr>
            </w:pPr>
            <w:r>
              <w:rPr>
                <w:w w:val="95"/>
                <w:sz w:val="20"/>
              </w:rPr>
              <w:t>931.77</w:t>
            </w:r>
          </w:p>
        </w:tc>
        <w:tc>
          <w:tcPr>
            <w:tcW w:w="1163" w:type="dxa"/>
          </w:tcPr>
          <w:p w:rsidR="007C5447" w:rsidRDefault="00F6308C">
            <w:pPr>
              <w:pStyle w:val="TableParagraph"/>
              <w:spacing w:before="70"/>
              <w:ind w:right="165"/>
              <w:rPr>
                <w:sz w:val="20"/>
              </w:rPr>
            </w:pPr>
            <w:r>
              <w:rPr>
                <w:sz w:val="20"/>
              </w:rPr>
              <w:t>2.84</w:t>
            </w:r>
          </w:p>
        </w:tc>
        <w:tc>
          <w:tcPr>
            <w:tcW w:w="1339" w:type="dxa"/>
          </w:tcPr>
          <w:p w:rsidR="007C5447" w:rsidRDefault="00F6308C">
            <w:pPr>
              <w:pStyle w:val="TableParagraph"/>
              <w:spacing w:before="70"/>
              <w:ind w:right="160"/>
              <w:rPr>
                <w:sz w:val="20"/>
              </w:rPr>
            </w:pPr>
            <w:r>
              <w:rPr>
                <w:w w:val="95"/>
                <w:sz w:val="20"/>
              </w:rPr>
              <w:t>3,276.00</w:t>
            </w:r>
          </w:p>
        </w:tc>
        <w:tc>
          <w:tcPr>
            <w:tcW w:w="1449" w:type="dxa"/>
          </w:tcPr>
          <w:p w:rsidR="007C5447" w:rsidRDefault="00F6308C">
            <w:pPr>
              <w:pStyle w:val="TableParagraph"/>
              <w:spacing w:before="70"/>
              <w:ind w:right="163"/>
              <w:rPr>
                <w:sz w:val="20"/>
              </w:rPr>
            </w:pPr>
            <w:r>
              <w:rPr>
                <w:w w:val="95"/>
                <w:sz w:val="20"/>
              </w:rPr>
              <w:t>931.77</w:t>
            </w:r>
          </w:p>
        </w:tc>
        <w:tc>
          <w:tcPr>
            <w:tcW w:w="1161" w:type="dxa"/>
          </w:tcPr>
          <w:p w:rsidR="007C5447" w:rsidRDefault="00F6308C">
            <w:pPr>
              <w:pStyle w:val="TableParagraph"/>
              <w:spacing w:before="70"/>
              <w:ind w:right="160"/>
              <w:rPr>
                <w:sz w:val="20"/>
              </w:rPr>
            </w:pPr>
            <w:r>
              <w:rPr>
                <w:sz w:val="20"/>
              </w:rPr>
              <w:t>2.84</w:t>
            </w: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sz w:val="20"/>
              </w:rPr>
            </w:pPr>
            <w:r>
              <w:rPr>
                <w:sz w:val="20"/>
              </w:rPr>
              <w:t>NLC TS Expansion I</w:t>
            </w:r>
          </w:p>
        </w:tc>
        <w:tc>
          <w:tcPr>
            <w:tcW w:w="1339" w:type="dxa"/>
          </w:tcPr>
          <w:p w:rsidR="007C5447" w:rsidRDefault="00F6308C">
            <w:pPr>
              <w:pStyle w:val="TableParagraph"/>
              <w:spacing w:before="70"/>
              <w:ind w:right="165"/>
              <w:rPr>
                <w:sz w:val="20"/>
              </w:rPr>
            </w:pPr>
            <w:r>
              <w:rPr>
                <w:w w:val="95"/>
                <w:sz w:val="20"/>
              </w:rPr>
              <w:t>1,469.47</w:t>
            </w:r>
          </w:p>
        </w:tc>
        <w:tc>
          <w:tcPr>
            <w:tcW w:w="1216" w:type="dxa"/>
          </w:tcPr>
          <w:p w:rsidR="007C5447" w:rsidRDefault="00F6308C">
            <w:pPr>
              <w:pStyle w:val="TableParagraph"/>
              <w:spacing w:before="70"/>
              <w:ind w:right="165"/>
              <w:rPr>
                <w:sz w:val="20"/>
              </w:rPr>
            </w:pPr>
            <w:r>
              <w:rPr>
                <w:w w:val="95"/>
                <w:sz w:val="20"/>
              </w:rPr>
              <w:t>639.07</w:t>
            </w:r>
          </w:p>
        </w:tc>
        <w:tc>
          <w:tcPr>
            <w:tcW w:w="1161" w:type="dxa"/>
          </w:tcPr>
          <w:p w:rsidR="007C5447" w:rsidRDefault="00F6308C">
            <w:pPr>
              <w:pStyle w:val="TableParagraph"/>
              <w:spacing w:before="70"/>
              <w:ind w:right="165"/>
              <w:rPr>
                <w:sz w:val="20"/>
              </w:rPr>
            </w:pPr>
            <w:r>
              <w:rPr>
                <w:sz w:val="20"/>
              </w:rPr>
              <w:t>4.35</w:t>
            </w:r>
          </w:p>
        </w:tc>
        <w:tc>
          <w:tcPr>
            <w:tcW w:w="1303" w:type="dxa"/>
          </w:tcPr>
          <w:p w:rsidR="007C5447" w:rsidRDefault="00F6308C">
            <w:pPr>
              <w:pStyle w:val="TableParagraph"/>
              <w:spacing w:before="70"/>
              <w:ind w:right="165"/>
              <w:rPr>
                <w:sz w:val="20"/>
              </w:rPr>
            </w:pPr>
            <w:r>
              <w:rPr>
                <w:w w:val="95"/>
                <w:sz w:val="20"/>
              </w:rPr>
              <w:t>1,672.00</w:t>
            </w:r>
          </w:p>
        </w:tc>
        <w:tc>
          <w:tcPr>
            <w:tcW w:w="1216" w:type="dxa"/>
          </w:tcPr>
          <w:p w:rsidR="007C5447" w:rsidRDefault="00F6308C">
            <w:pPr>
              <w:pStyle w:val="TableParagraph"/>
              <w:spacing w:before="70"/>
              <w:ind w:right="163"/>
              <w:rPr>
                <w:sz w:val="20"/>
              </w:rPr>
            </w:pPr>
            <w:r>
              <w:rPr>
                <w:w w:val="95"/>
                <w:sz w:val="20"/>
              </w:rPr>
              <w:t>573.62</w:t>
            </w:r>
          </w:p>
        </w:tc>
        <w:tc>
          <w:tcPr>
            <w:tcW w:w="1163" w:type="dxa"/>
          </w:tcPr>
          <w:p w:rsidR="007C5447" w:rsidRDefault="00F6308C">
            <w:pPr>
              <w:pStyle w:val="TableParagraph"/>
              <w:spacing w:before="70"/>
              <w:ind w:right="164"/>
              <w:rPr>
                <w:sz w:val="20"/>
              </w:rPr>
            </w:pPr>
            <w:r>
              <w:rPr>
                <w:sz w:val="20"/>
              </w:rPr>
              <w:t>3.43</w:t>
            </w:r>
          </w:p>
        </w:tc>
        <w:tc>
          <w:tcPr>
            <w:tcW w:w="1339" w:type="dxa"/>
          </w:tcPr>
          <w:p w:rsidR="007C5447" w:rsidRDefault="00F6308C">
            <w:pPr>
              <w:pStyle w:val="TableParagraph"/>
              <w:spacing w:before="70"/>
              <w:ind w:right="160"/>
              <w:rPr>
                <w:sz w:val="20"/>
              </w:rPr>
            </w:pPr>
            <w:r>
              <w:rPr>
                <w:w w:val="95"/>
                <w:sz w:val="20"/>
              </w:rPr>
              <w:t>1,671.00</w:t>
            </w:r>
          </w:p>
        </w:tc>
        <w:tc>
          <w:tcPr>
            <w:tcW w:w="1449" w:type="dxa"/>
          </w:tcPr>
          <w:p w:rsidR="007C5447" w:rsidRDefault="00F6308C">
            <w:pPr>
              <w:pStyle w:val="TableParagraph"/>
              <w:spacing w:before="70"/>
              <w:ind w:right="163"/>
              <w:rPr>
                <w:sz w:val="20"/>
              </w:rPr>
            </w:pPr>
            <w:r>
              <w:rPr>
                <w:w w:val="95"/>
                <w:sz w:val="20"/>
              </w:rPr>
              <w:t>573.62</w:t>
            </w:r>
          </w:p>
        </w:tc>
        <w:tc>
          <w:tcPr>
            <w:tcW w:w="1161" w:type="dxa"/>
          </w:tcPr>
          <w:p w:rsidR="007C5447" w:rsidRDefault="00F6308C">
            <w:pPr>
              <w:pStyle w:val="TableParagraph"/>
              <w:spacing w:before="70"/>
              <w:ind w:right="160"/>
              <w:rPr>
                <w:sz w:val="20"/>
              </w:rPr>
            </w:pPr>
            <w:r>
              <w:rPr>
                <w:sz w:val="20"/>
              </w:rPr>
              <w:t>3.43</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NLC TS Expansion II</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c>
          <w:tcPr>
            <w:tcW w:w="1449"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NTPL (JV with NLC)</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c>
          <w:tcPr>
            <w:tcW w:w="1449"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sz w:val="20"/>
              </w:rPr>
            </w:pPr>
            <w:r>
              <w:rPr>
                <w:sz w:val="20"/>
              </w:rPr>
              <w:t>NTPC Talcher</w:t>
            </w:r>
          </w:p>
        </w:tc>
        <w:tc>
          <w:tcPr>
            <w:tcW w:w="1339" w:type="dxa"/>
          </w:tcPr>
          <w:p w:rsidR="007C5447" w:rsidRDefault="00F6308C">
            <w:pPr>
              <w:pStyle w:val="TableParagraph"/>
              <w:spacing w:before="70"/>
              <w:ind w:right="165"/>
              <w:rPr>
                <w:sz w:val="20"/>
              </w:rPr>
            </w:pPr>
            <w:r>
              <w:rPr>
                <w:w w:val="95"/>
                <w:sz w:val="20"/>
              </w:rPr>
              <w:t>3,323.42</w:t>
            </w:r>
          </w:p>
        </w:tc>
        <w:tc>
          <w:tcPr>
            <w:tcW w:w="1216" w:type="dxa"/>
          </w:tcPr>
          <w:p w:rsidR="007C5447" w:rsidRDefault="00F6308C">
            <w:pPr>
              <w:pStyle w:val="TableParagraph"/>
              <w:spacing w:before="70"/>
              <w:ind w:right="165"/>
              <w:rPr>
                <w:sz w:val="20"/>
              </w:rPr>
            </w:pPr>
            <w:r>
              <w:rPr>
                <w:w w:val="95"/>
                <w:sz w:val="20"/>
              </w:rPr>
              <w:t>807.64</w:t>
            </w:r>
          </w:p>
        </w:tc>
        <w:tc>
          <w:tcPr>
            <w:tcW w:w="1161" w:type="dxa"/>
          </w:tcPr>
          <w:p w:rsidR="007C5447" w:rsidRDefault="00F6308C">
            <w:pPr>
              <w:pStyle w:val="TableParagraph"/>
              <w:spacing w:before="70"/>
              <w:ind w:right="165"/>
              <w:rPr>
                <w:sz w:val="20"/>
              </w:rPr>
            </w:pPr>
            <w:r>
              <w:rPr>
                <w:sz w:val="20"/>
              </w:rPr>
              <w:t>2.43</w:t>
            </w:r>
          </w:p>
        </w:tc>
        <w:tc>
          <w:tcPr>
            <w:tcW w:w="1303" w:type="dxa"/>
          </w:tcPr>
          <w:p w:rsidR="007C5447" w:rsidRDefault="00F6308C">
            <w:pPr>
              <w:pStyle w:val="TableParagraph"/>
              <w:spacing w:before="70"/>
              <w:ind w:right="165"/>
              <w:rPr>
                <w:sz w:val="20"/>
              </w:rPr>
            </w:pPr>
            <w:r>
              <w:rPr>
                <w:w w:val="95"/>
                <w:sz w:val="20"/>
              </w:rPr>
              <w:t>3,760.00</w:t>
            </w:r>
          </w:p>
        </w:tc>
        <w:tc>
          <w:tcPr>
            <w:tcW w:w="1216" w:type="dxa"/>
          </w:tcPr>
          <w:p w:rsidR="007C5447" w:rsidRDefault="00F6308C">
            <w:pPr>
              <w:pStyle w:val="TableParagraph"/>
              <w:spacing w:before="70"/>
              <w:ind w:right="163"/>
              <w:rPr>
                <w:sz w:val="20"/>
              </w:rPr>
            </w:pPr>
            <w:r>
              <w:rPr>
                <w:w w:val="95"/>
                <w:sz w:val="20"/>
              </w:rPr>
              <w:t>843.02</w:t>
            </w:r>
          </w:p>
        </w:tc>
        <w:tc>
          <w:tcPr>
            <w:tcW w:w="1163" w:type="dxa"/>
          </w:tcPr>
          <w:p w:rsidR="007C5447" w:rsidRDefault="00F6308C">
            <w:pPr>
              <w:pStyle w:val="TableParagraph"/>
              <w:spacing w:before="70"/>
              <w:ind w:right="165"/>
              <w:rPr>
                <w:sz w:val="20"/>
              </w:rPr>
            </w:pPr>
            <w:r>
              <w:rPr>
                <w:sz w:val="20"/>
              </w:rPr>
              <w:t>2.24</w:t>
            </w:r>
          </w:p>
        </w:tc>
        <w:tc>
          <w:tcPr>
            <w:tcW w:w="1339" w:type="dxa"/>
          </w:tcPr>
          <w:p w:rsidR="007C5447" w:rsidRDefault="00F6308C">
            <w:pPr>
              <w:pStyle w:val="TableParagraph"/>
              <w:spacing w:before="70"/>
              <w:ind w:right="160"/>
              <w:rPr>
                <w:sz w:val="20"/>
              </w:rPr>
            </w:pPr>
            <w:r>
              <w:rPr>
                <w:w w:val="95"/>
                <w:sz w:val="20"/>
              </w:rPr>
              <w:t>3,760.00</w:t>
            </w:r>
          </w:p>
        </w:tc>
        <w:tc>
          <w:tcPr>
            <w:tcW w:w="1449" w:type="dxa"/>
          </w:tcPr>
          <w:p w:rsidR="007C5447" w:rsidRDefault="00F6308C">
            <w:pPr>
              <w:pStyle w:val="TableParagraph"/>
              <w:spacing w:before="70"/>
              <w:ind w:right="163"/>
              <w:rPr>
                <w:sz w:val="20"/>
              </w:rPr>
            </w:pPr>
            <w:r>
              <w:rPr>
                <w:w w:val="95"/>
                <w:sz w:val="20"/>
              </w:rPr>
              <w:t>843.02</w:t>
            </w:r>
          </w:p>
        </w:tc>
        <w:tc>
          <w:tcPr>
            <w:tcW w:w="1161" w:type="dxa"/>
          </w:tcPr>
          <w:p w:rsidR="007C5447" w:rsidRDefault="00F6308C">
            <w:pPr>
              <w:pStyle w:val="TableParagraph"/>
              <w:spacing w:before="70"/>
              <w:ind w:right="160"/>
              <w:rPr>
                <w:sz w:val="20"/>
              </w:rPr>
            </w:pPr>
            <w:r>
              <w:rPr>
                <w:sz w:val="20"/>
              </w:rPr>
              <w:t>2.24</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NTPC Simhadri</w:t>
            </w:r>
          </w:p>
        </w:tc>
        <w:tc>
          <w:tcPr>
            <w:tcW w:w="1339" w:type="dxa"/>
          </w:tcPr>
          <w:p w:rsidR="007C5447" w:rsidRDefault="00F6308C">
            <w:pPr>
              <w:pStyle w:val="TableParagraph"/>
              <w:spacing w:before="70"/>
              <w:ind w:right="165"/>
              <w:rPr>
                <w:sz w:val="20"/>
              </w:rPr>
            </w:pPr>
            <w:r>
              <w:rPr>
                <w:w w:val="95"/>
                <w:sz w:val="20"/>
              </w:rPr>
              <w:t>1,531.58</w:t>
            </w:r>
          </w:p>
        </w:tc>
        <w:tc>
          <w:tcPr>
            <w:tcW w:w="1216" w:type="dxa"/>
          </w:tcPr>
          <w:p w:rsidR="007C5447" w:rsidRDefault="00F6308C">
            <w:pPr>
              <w:pStyle w:val="TableParagraph"/>
              <w:spacing w:before="70"/>
              <w:ind w:right="165"/>
              <w:rPr>
                <w:sz w:val="20"/>
              </w:rPr>
            </w:pPr>
            <w:r>
              <w:rPr>
                <w:w w:val="95"/>
                <w:sz w:val="20"/>
              </w:rPr>
              <w:t>632.18</w:t>
            </w:r>
          </w:p>
        </w:tc>
        <w:tc>
          <w:tcPr>
            <w:tcW w:w="1161" w:type="dxa"/>
          </w:tcPr>
          <w:p w:rsidR="007C5447" w:rsidRDefault="00F6308C">
            <w:pPr>
              <w:pStyle w:val="TableParagraph"/>
              <w:spacing w:before="70"/>
              <w:ind w:right="162"/>
              <w:rPr>
                <w:sz w:val="20"/>
              </w:rPr>
            </w:pPr>
            <w:r>
              <w:rPr>
                <w:sz w:val="20"/>
              </w:rPr>
              <w:t>4.13</w:t>
            </w:r>
          </w:p>
        </w:tc>
        <w:tc>
          <w:tcPr>
            <w:tcW w:w="1303" w:type="dxa"/>
          </w:tcPr>
          <w:p w:rsidR="007C5447" w:rsidRDefault="00F6308C">
            <w:pPr>
              <w:pStyle w:val="TableParagraph"/>
              <w:spacing w:before="70"/>
              <w:ind w:right="165"/>
              <w:rPr>
                <w:sz w:val="20"/>
              </w:rPr>
            </w:pPr>
            <w:r>
              <w:rPr>
                <w:w w:val="95"/>
                <w:sz w:val="20"/>
              </w:rPr>
              <w:t>1,428.00</w:t>
            </w:r>
          </w:p>
        </w:tc>
        <w:tc>
          <w:tcPr>
            <w:tcW w:w="1216" w:type="dxa"/>
          </w:tcPr>
          <w:p w:rsidR="007C5447" w:rsidRDefault="00F6308C">
            <w:pPr>
              <w:pStyle w:val="TableParagraph"/>
              <w:spacing w:before="70"/>
              <w:ind w:right="163"/>
              <w:rPr>
                <w:sz w:val="20"/>
              </w:rPr>
            </w:pPr>
            <w:r>
              <w:rPr>
                <w:w w:val="95"/>
                <w:sz w:val="20"/>
              </w:rPr>
              <w:t>625.70</w:t>
            </w:r>
          </w:p>
        </w:tc>
        <w:tc>
          <w:tcPr>
            <w:tcW w:w="1163" w:type="dxa"/>
          </w:tcPr>
          <w:p w:rsidR="007C5447" w:rsidRDefault="00F6308C">
            <w:pPr>
              <w:pStyle w:val="TableParagraph"/>
              <w:spacing w:before="70"/>
              <w:ind w:right="165"/>
              <w:rPr>
                <w:sz w:val="20"/>
              </w:rPr>
            </w:pPr>
            <w:r>
              <w:rPr>
                <w:sz w:val="20"/>
              </w:rPr>
              <w:t>4.38</w:t>
            </w:r>
          </w:p>
        </w:tc>
        <w:tc>
          <w:tcPr>
            <w:tcW w:w="1339" w:type="dxa"/>
          </w:tcPr>
          <w:p w:rsidR="007C5447" w:rsidRDefault="00F6308C">
            <w:pPr>
              <w:pStyle w:val="TableParagraph"/>
              <w:spacing w:before="70"/>
              <w:ind w:right="160"/>
              <w:rPr>
                <w:sz w:val="20"/>
              </w:rPr>
            </w:pPr>
            <w:r>
              <w:rPr>
                <w:w w:val="95"/>
                <w:sz w:val="20"/>
              </w:rPr>
              <w:t>1,428.00</w:t>
            </w:r>
          </w:p>
        </w:tc>
        <w:tc>
          <w:tcPr>
            <w:tcW w:w="1449" w:type="dxa"/>
          </w:tcPr>
          <w:p w:rsidR="007C5447" w:rsidRDefault="00F6308C">
            <w:pPr>
              <w:pStyle w:val="TableParagraph"/>
              <w:spacing w:before="70"/>
              <w:ind w:right="163"/>
              <w:rPr>
                <w:sz w:val="20"/>
              </w:rPr>
            </w:pPr>
            <w:r>
              <w:rPr>
                <w:w w:val="95"/>
                <w:sz w:val="20"/>
              </w:rPr>
              <w:t>625.70</w:t>
            </w:r>
          </w:p>
        </w:tc>
        <w:tc>
          <w:tcPr>
            <w:tcW w:w="1161" w:type="dxa"/>
          </w:tcPr>
          <w:p w:rsidR="007C5447" w:rsidRDefault="00F6308C">
            <w:pPr>
              <w:pStyle w:val="TableParagraph"/>
              <w:spacing w:before="70"/>
              <w:ind w:right="160"/>
              <w:rPr>
                <w:sz w:val="20"/>
              </w:rPr>
            </w:pPr>
            <w:r>
              <w:rPr>
                <w:sz w:val="20"/>
              </w:rPr>
              <w:t>4.38</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MAPS</w:t>
            </w:r>
          </w:p>
        </w:tc>
        <w:tc>
          <w:tcPr>
            <w:tcW w:w="1339" w:type="dxa"/>
          </w:tcPr>
          <w:p w:rsidR="007C5447" w:rsidRDefault="00F6308C">
            <w:pPr>
              <w:pStyle w:val="TableParagraph"/>
              <w:spacing w:before="70"/>
              <w:ind w:right="165"/>
              <w:rPr>
                <w:sz w:val="20"/>
              </w:rPr>
            </w:pPr>
            <w:r>
              <w:rPr>
                <w:w w:val="95"/>
                <w:sz w:val="20"/>
              </w:rPr>
              <w:t>1,572.90</w:t>
            </w:r>
          </w:p>
        </w:tc>
        <w:tc>
          <w:tcPr>
            <w:tcW w:w="1216" w:type="dxa"/>
          </w:tcPr>
          <w:p w:rsidR="007C5447" w:rsidRDefault="00F6308C">
            <w:pPr>
              <w:pStyle w:val="TableParagraph"/>
              <w:spacing w:before="70"/>
              <w:ind w:right="165"/>
              <w:rPr>
                <w:sz w:val="20"/>
              </w:rPr>
            </w:pPr>
            <w:r>
              <w:rPr>
                <w:w w:val="95"/>
                <w:sz w:val="20"/>
              </w:rPr>
              <w:t>332.12</w:t>
            </w:r>
          </w:p>
        </w:tc>
        <w:tc>
          <w:tcPr>
            <w:tcW w:w="1161" w:type="dxa"/>
          </w:tcPr>
          <w:p w:rsidR="007C5447" w:rsidRDefault="00F6308C">
            <w:pPr>
              <w:pStyle w:val="TableParagraph"/>
              <w:spacing w:before="70"/>
              <w:ind w:right="165"/>
              <w:rPr>
                <w:sz w:val="20"/>
              </w:rPr>
            </w:pPr>
            <w:r>
              <w:rPr>
                <w:sz w:val="20"/>
              </w:rPr>
              <w:t>2.11</w:t>
            </w:r>
          </w:p>
        </w:tc>
        <w:tc>
          <w:tcPr>
            <w:tcW w:w="1303" w:type="dxa"/>
          </w:tcPr>
          <w:p w:rsidR="007C5447" w:rsidRDefault="00F6308C">
            <w:pPr>
              <w:pStyle w:val="TableParagraph"/>
              <w:spacing w:before="70"/>
              <w:ind w:right="165"/>
              <w:rPr>
                <w:sz w:val="20"/>
              </w:rPr>
            </w:pPr>
            <w:r>
              <w:rPr>
                <w:w w:val="95"/>
                <w:sz w:val="20"/>
              </w:rPr>
              <w:t>1,672.00</w:t>
            </w:r>
          </w:p>
        </w:tc>
        <w:tc>
          <w:tcPr>
            <w:tcW w:w="1216" w:type="dxa"/>
          </w:tcPr>
          <w:p w:rsidR="007C5447" w:rsidRDefault="00F6308C">
            <w:pPr>
              <w:pStyle w:val="TableParagraph"/>
              <w:spacing w:before="70"/>
              <w:ind w:right="163"/>
              <w:rPr>
                <w:sz w:val="20"/>
              </w:rPr>
            </w:pPr>
            <w:r>
              <w:rPr>
                <w:w w:val="95"/>
                <w:sz w:val="20"/>
              </w:rPr>
              <w:t>344.50</w:t>
            </w:r>
          </w:p>
        </w:tc>
        <w:tc>
          <w:tcPr>
            <w:tcW w:w="1163" w:type="dxa"/>
          </w:tcPr>
          <w:p w:rsidR="007C5447" w:rsidRDefault="00F6308C">
            <w:pPr>
              <w:pStyle w:val="TableParagraph"/>
              <w:spacing w:before="70"/>
              <w:ind w:right="165"/>
              <w:rPr>
                <w:sz w:val="20"/>
              </w:rPr>
            </w:pPr>
            <w:r>
              <w:rPr>
                <w:sz w:val="20"/>
              </w:rPr>
              <w:t>2.06</w:t>
            </w:r>
          </w:p>
        </w:tc>
        <w:tc>
          <w:tcPr>
            <w:tcW w:w="1339" w:type="dxa"/>
          </w:tcPr>
          <w:p w:rsidR="007C5447" w:rsidRDefault="00F6308C">
            <w:pPr>
              <w:pStyle w:val="TableParagraph"/>
              <w:spacing w:before="70"/>
              <w:ind w:right="160"/>
              <w:rPr>
                <w:sz w:val="20"/>
              </w:rPr>
            </w:pPr>
            <w:r>
              <w:rPr>
                <w:w w:val="95"/>
                <w:sz w:val="20"/>
              </w:rPr>
              <w:t>1,672.00</w:t>
            </w:r>
          </w:p>
        </w:tc>
        <w:tc>
          <w:tcPr>
            <w:tcW w:w="1449" w:type="dxa"/>
          </w:tcPr>
          <w:p w:rsidR="007C5447" w:rsidRDefault="00F6308C">
            <w:pPr>
              <w:pStyle w:val="TableParagraph"/>
              <w:spacing w:before="70"/>
              <w:ind w:right="163"/>
              <w:rPr>
                <w:sz w:val="20"/>
              </w:rPr>
            </w:pPr>
            <w:r>
              <w:rPr>
                <w:w w:val="95"/>
                <w:sz w:val="20"/>
              </w:rPr>
              <w:t>344.50</w:t>
            </w:r>
          </w:p>
        </w:tc>
        <w:tc>
          <w:tcPr>
            <w:tcW w:w="1161" w:type="dxa"/>
          </w:tcPr>
          <w:p w:rsidR="007C5447" w:rsidRDefault="00F6308C">
            <w:pPr>
              <w:pStyle w:val="TableParagraph"/>
              <w:spacing w:before="70"/>
              <w:ind w:right="160"/>
              <w:rPr>
                <w:sz w:val="20"/>
              </w:rPr>
            </w:pPr>
            <w:r>
              <w:rPr>
                <w:sz w:val="20"/>
              </w:rPr>
              <w:t>2.06</w:t>
            </w:r>
          </w:p>
        </w:tc>
      </w:tr>
      <w:tr w:rsidR="007C5447">
        <w:trPr>
          <w:trHeight w:val="372"/>
        </w:trPr>
        <w:tc>
          <w:tcPr>
            <w:tcW w:w="2856" w:type="dxa"/>
            <w:tcBorders>
              <w:left w:val="single" w:sz="8" w:space="0" w:color="000000"/>
            </w:tcBorders>
          </w:tcPr>
          <w:p w:rsidR="007C5447" w:rsidRDefault="00F6308C">
            <w:pPr>
              <w:pStyle w:val="TableParagraph"/>
              <w:spacing w:before="70"/>
              <w:ind w:left="107"/>
              <w:jc w:val="left"/>
              <w:rPr>
                <w:sz w:val="20"/>
              </w:rPr>
            </w:pPr>
            <w:r>
              <w:rPr>
                <w:sz w:val="20"/>
              </w:rPr>
              <w:t>KAIGA</w:t>
            </w:r>
          </w:p>
        </w:tc>
        <w:tc>
          <w:tcPr>
            <w:tcW w:w="1339" w:type="dxa"/>
          </w:tcPr>
          <w:p w:rsidR="007C5447" w:rsidRDefault="00F6308C">
            <w:pPr>
              <w:pStyle w:val="TableParagraph"/>
              <w:spacing w:before="70"/>
              <w:ind w:right="165"/>
              <w:rPr>
                <w:sz w:val="20"/>
              </w:rPr>
            </w:pPr>
            <w:r>
              <w:rPr>
                <w:w w:val="95"/>
                <w:sz w:val="20"/>
              </w:rPr>
              <w:t>1,210.88</w:t>
            </w:r>
          </w:p>
        </w:tc>
        <w:tc>
          <w:tcPr>
            <w:tcW w:w="1216" w:type="dxa"/>
          </w:tcPr>
          <w:p w:rsidR="007C5447" w:rsidRDefault="00F6308C">
            <w:pPr>
              <w:pStyle w:val="TableParagraph"/>
              <w:spacing w:before="70"/>
              <w:ind w:right="165"/>
              <w:rPr>
                <w:sz w:val="20"/>
              </w:rPr>
            </w:pPr>
            <w:r>
              <w:rPr>
                <w:w w:val="95"/>
                <w:sz w:val="20"/>
              </w:rPr>
              <w:t>375.41</w:t>
            </w:r>
          </w:p>
        </w:tc>
        <w:tc>
          <w:tcPr>
            <w:tcW w:w="1161" w:type="dxa"/>
          </w:tcPr>
          <w:p w:rsidR="007C5447" w:rsidRDefault="00F6308C">
            <w:pPr>
              <w:pStyle w:val="TableParagraph"/>
              <w:spacing w:before="70"/>
              <w:ind w:right="165"/>
              <w:rPr>
                <w:sz w:val="20"/>
              </w:rPr>
            </w:pPr>
            <w:r>
              <w:rPr>
                <w:sz w:val="20"/>
              </w:rPr>
              <w:t>3.10</w:t>
            </w:r>
          </w:p>
        </w:tc>
        <w:tc>
          <w:tcPr>
            <w:tcW w:w="1303" w:type="dxa"/>
          </w:tcPr>
          <w:p w:rsidR="007C5447" w:rsidRDefault="00F6308C">
            <w:pPr>
              <w:pStyle w:val="TableParagraph"/>
              <w:spacing w:before="70"/>
              <w:ind w:right="165"/>
              <w:rPr>
                <w:sz w:val="20"/>
              </w:rPr>
            </w:pPr>
            <w:r>
              <w:rPr>
                <w:w w:val="95"/>
                <w:sz w:val="20"/>
              </w:rPr>
              <w:t>1,568.00</w:t>
            </w:r>
          </w:p>
        </w:tc>
        <w:tc>
          <w:tcPr>
            <w:tcW w:w="1216" w:type="dxa"/>
          </w:tcPr>
          <w:p w:rsidR="007C5447" w:rsidRDefault="00F6308C">
            <w:pPr>
              <w:pStyle w:val="TableParagraph"/>
              <w:spacing w:before="70"/>
              <w:ind w:right="163"/>
              <w:rPr>
                <w:sz w:val="20"/>
              </w:rPr>
            </w:pPr>
            <w:r>
              <w:rPr>
                <w:w w:val="95"/>
                <w:sz w:val="20"/>
              </w:rPr>
              <w:t>474.86</w:t>
            </w:r>
          </w:p>
        </w:tc>
        <w:tc>
          <w:tcPr>
            <w:tcW w:w="1163" w:type="dxa"/>
          </w:tcPr>
          <w:p w:rsidR="007C5447" w:rsidRDefault="00F6308C">
            <w:pPr>
              <w:pStyle w:val="TableParagraph"/>
              <w:spacing w:before="70"/>
              <w:ind w:right="165"/>
              <w:rPr>
                <w:sz w:val="20"/>
              </w:rPr>
            </w:pPr>
            <w:r>
              <w:rPr>
                <w:sz w:val="20"/>
              </w:rPr>
              <w:t>3.03</w:t>
            </w:r>
          </w:p>
        </w:tc>
        <w:tc>
          <w:tcPr>
            <w:tcW w:w="1339" w:type="dxa"/>
          </w:tcPr>
          <w:p w:rsidR="007C5447" w:rsidRDefault="00F6308C">
            <w:pPr>
              <w:pStyle w:val="TableParagraph"/>
              <w:spacing w:before="70"/>
              <w:ind w:right="160"/>
              <w:rPr>
                <w:sz w:val="20"/>
              </w:rPr>
            </w:pPr>
            <w:r>
              <w:rPr>
                <w:w w:val="95"/>
                <w:sz w:val="20"/>
              </w:rPr>
              <w:t>1,568.00</w:t>
            </w:r>
          </w:p>
        </w:tc>
        <w:tc>
          <w:tcPr>
            <w:tcW w:w="1449" w:type="dxa"/>
          </w:tcPr>
          <w:p w:rsidR="007C5447" w:rsidRDefault="00F6308C">
            <w:pPr>
              <w:pStyle w:val="TableParagraph"/>
              <w:spacing w:before="70"/>
              <w:ind w:right="163"/>
              <w:rPr>
                <w:sz w:val="20"/>
              </w:rPr>
            </w:pPr>
            <w:r>
              <w:rPr>
                <w:w w:val="95"/>
                <w:sz w:val="20"/>
              </w:rPr>
              <w:t>474.86</w:t>
            </w:r>
          </w:p>
        </w:tc>
        <w:tc>
          <w:tcPr>
            <w:tcW w:w="1161" w:type="dxa"/>
          </w:tcPr>
          <w:p w:rsidR="007C5447" w:rsidRDefault="00F6308C">
            <w:pPr>
              <w:pStyle w:val="TableParagraph"/>
              <w:spacing w:before="70"/>
              <w:ind w:right="160"/>
              <w:rPr>
                <w:sz w:val="20"/>
              </w:rPr>
            </w:pPr>
            <w:r>
              <w:rPr>
                <w:sz w:val="20"/>
              </w:rPr>
              <w:t>3.03</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NTPC Kayamkulam</w:t>
            </w:r>
          </w:p>
        </w:tc>
        <w:tc>
          <w:tcPr>
            <w:tcW w:w="1339" w:type="dxa"/>
          </w:tcPr>
          <w:p w:rsidR="007C5447" w:rsidRDefault="00F6308C">
            <w:pPr>
              <w:pStyle w:val="TableParagraph"/>
              <w:spacing w:before="70"/>
              <w:ind w:right="163"/>
              <w:rPr>
                <w:sz w:val="20"/>
              </w:rPr>
            </w:pPr>
            <w:r>
              <w:rPr>
                <w:w w:val="99"/>
                <w:sz w:val="20"/>
              </w:rPr>
              <w:t>-</w:t>
            </w:r>
          </w:p>
        </w:tc>
        <w:tc>
          <w:tcPr>
            <w:tcW w:w="1216" w:type="dxa"/>
          </w:tcPr>
          <w:p w:rsidR="007C5447" w:rsidRDefault="00F6308C">
            <w:pPr>
              <w:pStyle w:val="TableParagraph"/>
              <w:spacing w:before="70"/>
              <w:ind w:right="162"/>
              <w:rPr>
                <w:sz w:val="20"/>
              </w:rPr>
            </w:pPr>
            <w:r>
              <w:rPr>
                <w:w w:val="99"/>
                <w:sz w:val="20"/>
              </w:rPr>
              <w:t>-</w:t>
            </w: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163"/>
              <w:rPr>
                <w:sz w:val="20"/>
              </w:rPr>
            </w:pPr>
            <w:r>
              <w:rPr>
                <w:w w:val="99"/>
                <w:sz w:val="20"/>
              </w:rPr>
              <w:t>-</w:t>
            </w:r>
          </w:p>
        </w:tc>
        <w:tc>
          <w:tcPr>
            <w:tcW w:w="1216" w:type="dxa"/>
          </w:tcPr>
          <w:p w:rsidR="007C5447" w:rsidRDefault="00F6308C">
            <w:pPr>
              <w:pStyle w:val="TableParagraph"/>
              <w:spacing w:before="70"/>
              <w:ind w:right="160"/>
              <w:rPr>
                <w:sz w:val="20"/>
              </w:rPr>
            </w:pPr>
            <w:r>
              <w:rPr>
                <w:w w:val="99"/>
                <w:sz w:val="20"/>
              </w:rPr>
              <w:t>-</w:t>
            </w:r>
          </w:p>
        </w:tc>
        <w:tc>
          <w:tcPr>
            <w:tcW w:w="1163" w:type="dxa"/>
          </w:tcPr>
          <w:p w:rsidR="007C5447" w:rsidRDefault="007C5447">
            <w:pPr>
              <w:pStyle w:val="TableParagraph"/>
              <w:jc w:val="left"/>
              <w:rPr>
                <w:sz w:val="20"/>
              </w:rPr>
            </w:pPr>
          </w:p>
        </w:tc>
        <w:tc>
          <w:tcPr>
            <w:tcW w:w="1339" w:type="dxa"/>
          </w:tcPr>
          <w:p w:rsidR="007C5447" w:rsidRDefault="00F6308C">
            <w:pPr>
              <w:pStyle w:val="TableParagraph"/>
              <w:spacing w:before="70"/>
              <w:ind w:right="158"/>
              <w:rPr>
                <w:sz w:val="20"/>
              </w:rPr>
            </w:pPr>
            <w:r>
              <w:rPr>
                <w:w w:val="99"/>
                <w:sz w:val="20"/>
              </w:rPr>
              <w:t>-</w:t>
            </w:r>
          </w:p>
        </w:tc>
        <w:tc>
          <w:tcPr>
            <w:tcW w:w="1449"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NTPC ER</w:t>
            </w:r>
          </w:p>
        </w:tc>
        <w:tc>
          <w:tcPr>
            <w:tcW w:w="1339" w:type="dxa"/>
          </w:tcPr>
          <w:p w:rsidR="007C5447" w:rsidRDefault="00F6308C">
            <w:pPr>
              <w:pStyle w:val="TableParagraph"/>
              <w:spacing w:before="70"/>
              <w:ind w:right="167"/>
              <w:rPr>
                <w:sz w:val="20"/>
              </w:rPr>
            </w:pPr>
            <w:r>
              <w:rPr>
                <w:w w:val="95"/>
                <w:sz w:val="20"/>
              </w:rPr>
              <w:t>363.35</w:t>
            </w:r>
          </w:p>
        </w:tc>
        <w:tc>
          <w:tcPr>
            <w:tcW w:w="1216" w:type="dxa"/>
          </w:tcPr>
          <w:p w:rsidR="007C5447" w:rsidRDefault="00F6308C">
            <w:pPr>
              <w:pStyle w:val="TableParagraph"/>
              <w:spacing w:before="70"/>
              <w:ind w:right="165"/>
              <w:rPr>
                <w:sz w:val="20"/>
              </w:rPr>
            </w:pPr>
            <w:r>
              <w:rPr>
                <w:w w:val="95"/>
                <w:sz w:val="20"/>
              </w:rPr>
              <w:t>128.69</w:t>
            </w:r>
          </w:p>
        </w:tc>
        <w:tc>
          <w:tcPr>
            <w:tcW w:w="1161" w:type="dxa"/>
          </w:tcPr>
          <w:p w:rsidR="007C5447" w:rsidRDefault="00F6308C">
            <w:pPr>
              <w:pStyle w:val="TableParagraph"/>
              <w:spacing w:before="70"/>
              <w:ind w:right="165"/>
              <w:rPr>
                <w:sz w:val="20"/>
              </w:rPr>
            </w:pPr>
            <w:r>
              <w:rPr>
                <w:sz w:val="20"/>
              </w:rPr>
              <w:t>3.54</w:t>
            </w:r>
          </w:p>
        </w:tc>
        <w:tc>
          <w:tcPr>
            <w:tcW w:w="1303" w:type="dxa"/>
          </w:tcPr>
          <w:p w:rsidR="007C5447" w:rsidRDefault="00F6308C">
            <w:pPr>
              <w:pStyle w:val="TableParagraph"/>
              <w:spacing w:before="70"/>
              <w:ind w:right="167"/>
              <w:rPr>
                <w:sz w:val="20"/>
              </w:rPr>
            </w:pPr>
            <w:r>
              <w:rPr>
                <w:w w:val="95"/>
                <w:sz w:val="20"/>
              </w:rPr>
              <w:t>239.00</w:t>
            </w:r>
          </w:p>
        </w:tc>
        <w:tc>
          <w:tcPr>
            <w:tcW w:w="1216" w:type="dxa"/>
          </w:tcPr>
          <w:p w:rsidR="007C5447" w:rsidRDefault="00F6308C">
            <w:pPr>
              <w:pStyle w:val="TableParagraph"/>
              <w:spacing w:before="70"/>
              <w:ind w:right="163"/>
              <w:rPr>
                <w:sz w:val="20"/>
              </w:rPr>
            </w:pPr>
            <w:r>
              <w:rPr>
                <w:w w:val="95"/>
                <w:sz w:val="20"/>
              </w:rPr>
              <w:t>79.02</w:t>
            </w:r>
          </w:p>
        </w:tc>
        <w:tc>
          <w:tcPr>
            <w:tcW w:w="1163" w:type="dxa"/>
          </w:tcPr>
          <w:p w:rsidR="007C5447" w:rsidRDefault="00F6308C">
            <w:pPr>
              <w:pStyle w:val="TableParagraph"/>
              <w:spacing w:before="70"/>
              <w:ind w:right="165"/>
              <w:rPr>
                <w:sz w:val="20"/>
              </w:rPr>
            </w:pPr>
            <w:r>
              <w:rPr>
                <w:sz w:val="20"/>
              </w:rPr>
              <w:t>3.31</w:t>
            </w:r>
          </w:p>
        </w:tc>
        <w:tc>
          <w:tcPr>
            <w:tcW w:w="1339" w:type="dxa"/>
          </w:tcPr>
          <w:p w:rsidR="007C5447" w:rsidRDefault="00F6308C">
            <w:pPr>
              <w:pStyle w:val="TableParagraph"/>
              <w:spacing w:before="70"/>
              <w:ind w:right="162"/>
              <w:rPr>
                <w:sz w:val="20"/>
              </w:rPr>
            </w:pPr>
            <w:r>
              <w:rPr>
                <w:w w:val="95"/>
                <w:sz w:val="20"/>
              </w:rPr>
              <w:t>239.00</w:t>
            </w:r>
          </w:p>
        </w:tc>
        <w:tc>
          <w:tcPr>
            <w:tcW w:w="1449" w:type="dxa"/>
          </w:tcPr>
          <w:p w:rsidR="007C5447" w:rsidRDefault="00F6308C">
            <w:pPr>
              <w:pStyle w:val="TableParagraph"/>
              <w:spacing w:before="70"/>
              <w:ind w:right="163"/>
              <w:rPr>
                <w:sz w:val="20"/>
              </w:rPr>
            </w:pPr>
            <w:r>
              <w:rPr>
                <w:sz w:val="20"/>
              </w:rPr>
              <w:t>79.02</w:t>
            </w:r>
          </w:p>
        </w:tc>
        <w:tc>
          <w:tcPr>
            <w:tcW w:w="1161" w:type="dxa"/>
          </w:tcPr>
          <w:p w:rsidR="007C5447" w:rsidRDefault="00F6308C">
            <w:pPr>
              <w:pStyle w:val="TableParagraph"/>
              <w:spacing w:before="70"/>
              <w:ind w:right="160"/>
              <w:rPr>
                <w:sz w:val="20"/>
              </w:rPr>
            </w:pPr>
            <w:r>
              <w:rPr>
                <w:sz w:val="20"/>
              </w:rPr>
              <w:t>3.31</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9"/>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56"/>
        <w:gridCol w:w="1339"/>
        <w:gridCol w:w="1216"/>
        <w:gridCol w:w="1161"/>
        <w:gridCol w:w="1303"/>
        <w:gridCol w:w="1216"/>
        <w:gridCol w:w="1163"/>
        <w:gridCol w:w="1339"/>
        <w:gridCol w:w="1449"/>
        <w:gridCol w:w="1161"/>
      </w:tblGrid>
      <w:tr w:rsidR="007C5447">
        <w:trPr>
          <w:trHeight w:val="369"/>
        </w:trPr>
        <w:tc>
          <w:tcPr>
            <w:tcW w:w="2856"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987" w:right="971"/>
              <w:jc w:val="center"/>
              <w:rPr>
                <w:b/>
                <w:sz w:val="20"/>
              </w:rPr>
            </w:pPr>
            <w:r>
              <w:rPr>
                <w:b/>
                <w:sz w:val="20"/>
              </w:rPr>
              <w:t>Source</w:t>
            </w:r>
          </w:p>
        </w:tc>
        <w:tc>
          <w:tcPr>
            <w:tcW w:w="11347" w:type="dxa"/>
            <w:gridSpan w:val="9"/>
            <w:shd w:val="clear" w:color="auto" w:fill="F7C9AC"/>
          </w:tcPr>
          <w:p w:rsidR="007C5447" w:rsidRDefault="00F6308C">
            <w:pPr>
              <w:pStyle w:val="TableParagraph"/>
              <w:spacing w:before="125" w:line="224" w:lineRule="exact"/>
              <w:ind w:left="5166" w:right="5137"/>
              <w:jc w:val="center"/>
              <w:rPr>
                <w:b/>
                <w:sz w:val="20"/>
              </w:rPr>
            </w:pPr>
            <w:r>
              <w:rPr>
                <w:b/>
                <w:sz w:val="20"/>
              </w:rPr>
              <w:t>FY 2014-15</w:t>
            </w:r>
          </w:p>
        </w:tc>
      </w:tr>
      <w:tr w:rsidR="007C5447">
        <w:trPr>
          <w:trHeight w:val="371"/>
        </w:trPr>
        <w:tc>
          <w:tcPr>
            <w:tcW w:w="2856" w:type="dxa"/>
            <w:vMerge/>
            <w:tcBorders>
              <w:top w:val="nil"/>
            </w:tcBorders>
            <w:shd w:val="clear" w:color="auto" w:fill="F7C9AC"/>
          </w:tcPr>
          <w:p w:rsidR="007C5447" w:rsidRDefault="007C5447">
            <w:pPr>
              <w:rPr>
                <w:sz w:val="2"/>
                <w:szCs w:val="2"/>
              </w:rPr>
            </w:pPr>
          </w:p>
        </w:tc>
        <w:tc>
          <w:tcPr>
            <w:tcW w:w="3716" w:type="dxa"/>
            <w:gridSpan w:val="3"/>
            <w:shd w:val="clear" w:color="auto" w:fill="F7C9AC"/>
          </w:tcPr>
          <w:p w:rsidR="007C5447" w:rsidRDefault="00F6308C">
            <w:pPr>
              <w:pStyle w:val="TableParagraph"/>
              <w:spacing w:before="70"/>
              <w:ind w:left="1331" w:right="1308"/>
              <w:jc w:val="center"/>
              <w:rPr>
                <w:b/>
                <w:sz w:val="20"/>
              </w:rPr>
            </w:pPr>
            <w:r>
              <w:rPr>
                <w:b/>
                <w:sz w:val="20"/>
              </w:rPr>
              <w:t>SMT Order</w:t>
            </w:r>
          </w:p>
        </w:tc>
        <w:tc>
          <w:tcPr>
            <w:tcW w:w="3682" w:type="dxa"/>
            <w:gridSpan w:val="3"/>
            <w:shd w:val="clear" w:color="auto" w:fill="F7C9AC"/>
          </w:tcPr>
          <w:p w:rsidR="007C5447" w:rsidRDefault="00F6308C">
            <w:pPr>
              <w:pStyle w:val="TableParagraph"/>
              <w:spacing w:before="70"/>
              <w:ind w:left="1243" w:right="1223"/>
              <w:jc w:val="center"/>
              <w:rPr>
                <w:b/>
                <w:sz w:val="20"/>
              </w:rPr>
            </w:pPr>
            <w:r>
              <w:rPr>
                <w:b/>
                <w:sz w:val="20"/>
              </w:rPr>
              <w:t>TANGEDCO</w:t>
            </w:r>
          </w:p>
        </w:tc>
        <w:tc>
          <w:tcPr>
            <w:tcW w:w="3949" w:type="dxa"/>
            <w:gridSpan w:val="3"/>
            <w:shd w:val="clear" w:color="auto" w:fill="F7C9AC"/>
          </w:tcPr>
          <w:p w:rsidR="007C5447" w:rsidRDefault="00F6308C">
            <w:pPr>
              <w:pStyle w:val="TableParagraph"/>
              <w:spacing w:before="70"/>
              <w:ind w:left="987"/>
              <w:jc w:val="left"/>
              <w:rPr>
                <w:b/>
                <w:sz w:val="20"/>
              </w:rPr>
            </w:pPr>
            <w:r>
              <w:rPr>
                <w:b/>
                <w:sz w:val="20"/>
              </w:rPr>
              <w:t>Approved after true up</w:t>
            </w:r>
          </w:p>
        </w:tc>
      </w:tr>
      <w:tr w:rsidR="007C5447">
        <w:trPr>
          <w:trHeight w:val="489"/>
        </w:trPr>
        <w:tc>
          <w:tcPr>
            <w:tcW w:w="2856" w:type="dxa"/>
            <w:vMerge/>
            <w:tcBorders>
              <w:top w:val="nil"/>
            </w:tcBorders>
            <w:shd w:val="clear" w:color="auto" w:fill="F7C9AC"/>
          </w:tcPr>
          <w:p w:rsidR="007C5447" w:rsidRDefault="007C5447">
            <w:pPr>
              <w:rPr>
                <w:sz w:val="2"/>
                <w:szCs w:val="2"/>
              </w:rPr>
            </w:pPr>
          </w:p>
        </w:tc>
        <w:tc>
          <w:tcPr>
            <w:tcW w:w="1339" w:type="dxa"/>
            <w:shd w:val="clear" w:color="auto" w:fill="F7C9AC"/>
          </w:tcPr>
          <w:p w:rsidR="007C5447" w:rsidRDefault="00F6308C">
            <w:pPr>
              <w:pStyle w:val="TableParagraph"/>
              <w:spacing w:before="14" w:line="230" w:lineRule="atLeast"/>
              <w:ind w:left="441" w:right="223" w:hanging="178"/>
              <w:jc w:val="left"/>
              <w:rPr>
                <w:b/>
                <w:sz w:val="20"/>
              </w:rPr>
            </w:pPr>
            <w:r>
              <w:rPr>
                <w:b/>
                <w:sz w:val="20"/>
              </w:rPr>
              <w:t>Quantum (MU)</w:t>
            </w:r>
          </w:p>
        </w:tc>
        <w:tc>
          <w:tcPr>
            <w:tcW w:w="1216" w:type="dxa"/>
            <w:shd w:val="clear" w:color="auto" w:fill="F7C9AC"/>
          </w:tcPr>
          <w:p w:rsidR="007C5447" w:rsidRDefault="00F6308C">
            <w:pPr>
              <w:pStyle w:val="TableParagraph"/>
              <w:spacing w:before="14" w:line="230" w:lineRule="atLeast"/>
              <w:ind w:left="269" w:right="228" w:firstLine="151"/>
              <w:jc w:val="left"/>
              <w:rPr>
                <w:b/>
                <w:sz w:val="20"/>
              </w:rPr>
            </w:pPr>
            <w:r>
              <w:rPr>
                <w:b/>
                <w:sz w:val="20"/>
              </w:rPr>
              <w:t>Cost (Rs. Cr)</w:t>
            </w:r>
          </w:p>
        </w:tc>
        <w:tc>
          <w:tcPr>
            <w:tcW w:w="1161" w:type="dxa"/>
            <w:shd w:val="clear" w:color="auto" w:fill="F7C9AC"/>
          </w:tcPr>
          <w:p w:rsidR="007C5447" w:rsidRDefault="00F6308C">
            <w:pPr>
              <w:pStyle w:val="TableParagraph"/>
              <w:spacing w:before="14" w:line="230" w:lineRule="atLeast"/>
              <w:ind w:left="169" w:firstLine="216"/>
              <w:jc w:val="left"/>
              <w:rPr>
                <w:b/>
                <w:sz w:val="20"/>
              </w:rPr>
            </w:pPr>
            <w:r>
              <w:rPr>
                <w:b/>
                <w:sz w:val="20"/>
              </w:rPr>
              <w:t xml:space="preserve">Rate </w:t>
            </w:r>
            <w:r>
              <w:rPr>
                <w:b/>
                <w:w w:val="95"/>
                <w:sz w:val="20"/>
              </w:rPr>
              <w:t>(Rs/kWh)</w:t>
            </w:r>
          </w:p>
        </w:tc>
        <w:tc>
          <w:tcPr>
            <w:tcW w:w="1303" w:type="dxa"/>
            <w:shd w:val="clear" w:color="auto" w:fill="F7C9AC"/>
          </w:tcPr>
          <w:p w:rsidR="007C5447" w:rsidRDefault="00F6308C">
            <w:pPr>
              <w:pStyle w:val="TableParagraph"/>
              <w:spacing w:before="14" w:line="230" w:lineRule="atLeast"/>
              <w:ind w:left="424" w:right="204" w:hanging="178"/>
              <w:jc w:val="left"/>
              <w:rPr>
                <w:b/>
                <w:sz w:val="20"/>
              </w:rPr>
            </w:pPr>
            <w:r>
              <w:rPr>
                <w:b/>
                <w:sz w:val="20"/>
              </w:rPr>
              <w:t>Quantum (MU)</w:t>
            </w:r>
          </w:p>
        </w:tc>
        <w:tc>
          <w:tcPr>
            <w:tcW w:w="1216" w:type="dxa"/>
            <w:shd w:val="clear" w:color="auto" w:fill="F7C9AC"/>
          </w:tcPr>
          <w:p w:rsidR="007C5447" w:rsidRDefault="00F6308C">
            <w:pPr>
              <w:pStyle w:val="TableParagraph"/>
              <w:spacing w:before="14" w:line="230" w:lineRule="atLeast"/>
              <w:ind w:left="271" w:right="226" w:firstLine="151"/>
              <w:jc w:val="left"/>
              <w:rPr>
                <w:b/>
                <w:sz w:val="20"/>
              </w:rPr>
            </w:pPr>
            <w:r>
              <w:rPr>
                <w:b/>
                <w:sz w:val="20"/>
              </w:rPr>
              <w:t>Cost (Rs. Cr)</w:t>
            </w:r>
          </w:p>
        </w:tc>
        <w:tc>
          <w:tcPr>
            <w:tcW w:w="1163" w:type="dxa"/>
            <w:shd w:val="clear" w:color="auto" w:fill="F7C9AC"/>
          </w:tcPr>
          <w:p w:rsidR="007C5447" w:rsidRDefault="00F6308C">
            <w:pPr>
              <w:pStyle w:val="TableParagraph"/>
              <w:spacing w:before="14" w:line="230" w:lineRule="atLeast"/>
              <w:ind w:left="171" w:firstLine="216"/>
              <w:jc w:val="left"/>
              <w:rPr>
                <w:b/>
                <w:sz w:val="20"/>
              </w:rPr>
            </w:pPr>
            <w:r>
              <w:rPr>
                <w:b/>
                <w:sz w:val="20"/>
              </w:rPr>
              <w:t xml:space="preserve">Rate </w:t>
            </w:r>
            <w:r>
              <w:rPr>
                <w:b/>
                <w:w w:val="95"/>
                <w:sz w:val="20"/>
              </w:rPr>
              <w:t>(Rs/kWh)</w:t>
            </w:r>
          </w:p>
        </w:tc>
        <w:tc>
          <w:tcPr>
            <w:tcW w:w="1339" w:type="dxa"/>
            <w:shd w:val="clear" w:color="auto" w:fill="F7C9AC"/>
          </w:tcPr>
          <w:p w:rsidR="007C5447" w:rsidRDefault="00F6308C">
            <w:pPr>
              <w:pStyle w:val="TableParagraph"/>
              <w:spacing w:before="14" w:line="230" w:lineRule="atLeast"/>
              <w:ind w:left="446" w:right="218" w:hanging="178"/>
              <w:jc w:val="left"/>
              <w:rPr>
                <w:b/>
                <w:sz w:val="20"/>
              </w:rPr>
            </w:pPr>
            <w:r>
              <w:rPr>
                <w:b/>
                <w:sz w:val="20"/>
              </w:rPr>
              <w:t>Quantum (MU)</w:t>
            </w:r>
          </w:p>
        </w:tc>
        <w:tc>
          <w:tcPr>
            <w:tcW w:w="1449" w:type="dxa"/>
            <w:shd w:val="clear" w:color="auto" w:fill="F7C9AC"/>
          </w:tcPr>
          <w:p w:rsidR="007C5447" w:rsidRDefault="00F6308C">
            <w:pPr>
              <w:pStyle w:val="TableParagraph"/>
              <w:spacing w:before="14" w:line="230" w:lineRule="atLeast"/>
              <w:ind w:left="387" w:right="241" w:hanging="104"/>
              <w:jc w:val="left"/>
              <w:rPr>
                <w:b/>
                <w:sz w:val="20"/>
              </w:rPr>
            </w:pPr>
            <w:r>
              <w:rPr>
                <w:b/>
                <w:sz w:val="20"/>
              </w:rPr>
              <w:t>Total Cost (Rs. Cr)</w:t>
            </w:r>
          </w:p>
        </w:tc>
        <w:tc>
          <w:tcPr>
            <w:tcW w:w="1161" w:type="dxa"/>
            <w:shd w:val="clear" w:color="auto" w:fill="F7C9AC"/>
          </w:tcPr>
          <w:p w:rsidR="007C5447" w:rsidRDefault="00F6308C">
            <w:pPr>
              <w:pStyle w:val="TableParagraph"/>
              <w:spacing w:before="14" w:line="230" w:lineRule="atLeast"/>
              <w:ind w:left="174" w:firstLine="216"/>
              <w:jc w:val="left"/>
              <w:rPr>
                <w:b/>
                <w:sz w:val="20"/>
              </w:rPr>
            </w:pPr>
            <w:r>
              <w:rPr>
                <w:b/>
                <w:sz w:val="20"/>
              </w:rPr>
              <w:t xml:space="preserve">Rate </w:t>
            </w:r>
            <w:r>
              <w:rPr>
                <w:b/>
                <w:w w:val="95"/>
                <w:sz w:val="20"/>
              </w:rPr>
              <w:t>(Rs/kWh)</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NTPC Dadri</w:t>
            </w:r>
          </w:p>
        </w:tc>
        <w:tc>
          <w:tcPr>
            <w:tcW w:w="1339" w:type="dxa"/>
          </w:tcPr>
          <w:p w:rsidR="007C5447" w:rsidRDefault="00F6308C">
            <w:pPr>
              <w:pStyle w:val="TableParagraph"/>
              <w:spacing w:before="70"/>
              <w:ind w:right="163"/>
              <w:rPr>
                <w:sz w:val="20"/>
              </w:rPr>
            </w:pPr>
            <w:r>
              <w:rPr>
                <w:w w:val="99"/>
                <w:sz w:val="20"/>
              </w:rPr>
              <w:t>-</w:t>
            </w:r>
          </w:p>
        </w:tc>
        <w:tc>
          <w:tcPr>
            <w:tcW w:w="1216" w:type="dxa"/>
          </w:tcPr>
          <w:p w:rsidR="007C5447" w:rsidRDefault="00F6308C">
            <w:pPr>
              <w:pStyle w:val="TableParagraph"/>
              <w:spacing w:before="70"/>
              <w:ind w:right="162"/>
              <w:rPr>
                <w:sz w:val="20"/>
              </w:rPr>
            </w:pPr>
            <w:r>
              <w:rPr>
                <w:w w:val="99"/>
                <w:sz w:val="20"/>
              </w:rPr>
              <w:t>-</w:t>
            </w: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163"/>
              <w:rPr>
                <w:sz w:val="20"/>
              </w:rPr>
            </w:pPr>
            <w:r>
              <w:rPr>
                <w:w w:val="99"/>
                <w:sz w:val="20"/>
              </w:rPr>
              <w:t>-</w:t>
            </w:r>
          </w:p>
        </w:tc>
        <w:tc>
          <w:tcPr>
            <w:tcW w:w="1216" w:type="dxa"/>
          </w:tcPr>
          <w:p w:rsidR="007C5447" w:rsidRDefault="00F6308C">
            <w:pPr>
              <w:pStyle w:val="TableParagraph"/>
              <w:spacing w:before="70"/>
              <w:ind w:right="160"/>
              <w:rPr>
                <w:sz w:val="20"/>
              </w:rPr>
            </w:pPr>
            <w:r>
              <w:rPr>
                <w:w w:val="99"/>
                <w:sz w:val="20"/>
              </w:rPr>
              <w:t>-</w:t>
            </w:r>
          </w:p>
        </w:tc>
        <w:tc>
          <w:tcPr>
            <w:tcW w:w="1163" w:type="dxa"/>
          </w:tcPr>
          <w:p w:rsidR="007C5447" w:rsidRDefault="007C5447">
            <w:pPr>
              <w:pStyle w:val="TableParagraph"/>
              <w:jc w:val="left"/>
              <w:rPr>
                <w:sz w:val="20"/>
              </w:rPr>
            </w:pPr>
          </w:p>
        </w:tc>
        <w:tc>
          <w:tcPr>
            <w:tcW w:w="1339" w:type="dxa"/>
          </w:tcPr>
          <w:p w:rsidR="007C5447" w:rsidRDefault="00F6308C">
            <w:pPr>
              <w:pStyle w:val="TableParagraph"/>
              <w:spacing w:before="70"/>
              <w:ind w:right="158"/>
              <w:rPr>
                <w:sz w:val="20"/>
              </w:rPr>
            </w:pPr>
            <w:r>
              <w:rPr>
                <w:w w:val="99"/>
                <w:sz w:val="20"/>
              </w:rPr>
              <w:t>-</w:t>
            </w:r>
          </w:p>
        </w:tc>
        <w:tc>
          <w:tcPr>
            <w:tcW w:w="1449"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sz w:val="20"/>
              </w:rPr>
            </w:pPr>
            <w:r>
              <w:rPr>
                <w:sz w:val="20"/>
              </w:rPr>
              <w:t>NTPC Vallur Unit 1 &amp; Unit 2</w:t>
            </w:r>
          </w:p>
        </w:tc>
        <w:tc>
          <w:tcPr>
            <w:tcW w:w="1339" w:type="dxa"/>
          </w:tcPr>
          <w:p w:rsidR="007C5447" w:rsidRDefault="00F6308C">
            <w:pPr>
              <w:pStyle w:val="TableParagraph"/>
              <w:spacing w:before="70"/>
              <w:ind w:right="165"/>
              <w:rPr>
                <w:sz w:val="20"/>
              </w:rPr>
            </w:pPr>
            <w:r>
              <w:rPr>
                <w:w w:val="95"/>
                <w:sz w:val="20"/>
              </w:rPr>
              <w:t>4,882.37</w:t>
            </w:r>
          </w:p>
        </w:tc>
        <w:tc>
          <w:tcPr>
            <w:tcW w:w="1216" w:type="dxa"/>
          </w:tcPr>
          <w:p w:rsidR="007C5447" w:rsidRDefault="00F6308C">
            <w:pPr>
              <w:pStyle w:val="TableParagraph"/>
              <w:spacing w:before="70"/>
              <w:ind w:right="163"/>
              <w:rPr>
                <w:sz w:val="20"/>
              </w:rPr>
            </w:pPr>
            <w:r>
              <w:rPr>
                <w:w w:val="95"/>
                <w:sz w:val="20"/>
              </w:rPr>
              <w:t>2,001.82</w:t>
            </w:r>
          </w:p>
        </w:tc>
        <w:tc>
          <w:tcPr>
            <w:tcW w:w="1161" w:type="dxa"/>
          </w:tcPr>
          <w:p w:rsidR="007C5447" w:rsidRDefault="00F6308C">
            <w:pPr>
              <w:pStyle w:val="TableParagraph"/>
              <w:spacing w:before="70"/>
              <w:ind w:right="165"/>
              <w:rPr>
                <w:sz w:val="20"/>
              </w:rPr>
            </w:pPr>
            <w:r>
              <w:rPr>
                <w:sz w:val="20"/>
              </w:rPr>
              <w:t>4.10</w:t>
            </w:r>
          </w:p>
        </w:tc>
        <w:tc>
          <w:tcPr>
            <w:tcW w:w="1303" w:type="dxa"/>
          </w:tcPr>
          <w:p w:rsidR="007C5447" w:rsidRDefault="00F6308C">
            <w:pPr>
              <w:pStyle w:val="TableParagraph"/>
              <w:spacing w:before="70"/>
              <w:ind w:right="165"/>
              <w:rPr>
                <w:sz w:val="20"/>
              </w:rPr>
            </w:pPr>
            <w:r>
              <w:rPr>
                <w:w w:val="95"/>
                <w:sz w:val="20"/>
              </w:rPr>
              <w:t>3,850.00</w:t>
            </w:r>
          </w:p>
        </w:tc>
        <w:tc>
          <w:tcPr>
            <w:tcW w:w="1216" w:type="dxa"/>
          </w:tcPr>
          <w:p w:rsidR="007C5447" w:rsidRDefault="00F6308C">
            <w:pPr>
              <w:pStyle w:val="TableParagraph"/>
              <w:spacing w:before="70"/>
              <w:ind w:right="161"/>
              <w:rPr>
                <w:sz w:val="20"/>
              </w:rPr>
            </w:pPr>
            <w:r>
              <w:rPr>
                <w:w w:val="95"/>
                <w:sz w:val="20"/>
              </w:rPr>
              <w:t>1,440.00</w:t>
            </w:r>
          </w:p>
        </w:tc>
        <w:tc>
          <w:tcPr>
            <w:tcW w:w="1163" w:type="dxa"/>
          </w:tcPr>
          <w:p w:rsidR="007C5447" w:rsidRDefault="00F6308C">
            <w:pPr>
              <w:pStyle w:val="TableParagraph"/>
              <w:spacing w:before="70"/>
              <w:ind w:right="165"/>
              <w:rPr>
                <w:sz w:val="20"/>
              </w:rPr>
            </w:pPr>
            <w:r>
              <w:rPr>
                <w:sz w:val="20"/>
              </w:rPr>
              <w:t>3.74</w:t>
            </w:r>
          </w:p>
        </w:tc>
        <w:tc>
          <w:tcPr>
            <w:tcW w:w="1339" w:type="dxa"/>
          </w:tcPr>
          <w:p w:rsidR="007C5447" w:rsidRDefault="00F6308C">
            <w:pPr>
              <w:pStyle w:val="TableParagraph"/>
              <w:spacing w:before="70"/>
              <w:ind w:right="160"/>
              <w:rPr>
                <w:sz w:val="20"/>
              </w:rPr>
            </w:pPr>
            <w:r>
              <w:rPr>
                <w:w w:val="95"/>
                <w:sz w:val="20"/>
              </w:rPr>
              <w:t>3,850.00</w:t>
            </w:r>
          </w:p>
        </w:tc>
        <w:tc>
          <w:tcPr>
            <w:tcW w:w="1449" w:type="dxa"/>
          </w:tcPr>
          <w:p w:rsidR="007C5447" w:rsidRDefault="00F6308C">
            <w:pPr>
              <w:pStyle w:val="TableParagraph"/>
              <w:spacing w:before="70"/>
              <w:ind w:right="161"/>
              <w:rPr>
                <w:sz w:val="20"/>
              </w:rPr>
            </w:pPr>
            <w:r>
              <w:rPr>
                <w:w w:val="95"/>
                <w:sz w:val="20"/>
              </w:rPr>
              <w:t>1,440.25</w:t>
            </w:r>
          </w:p>
        </w:tc>
        <w:tc>
          <w:tcPr>
            <w:tcW w:w="1161" w:type="dxa"/>
          </w:tcPr>
          <w:p w:rsidR="007C5447" w:rsidRDefault="00F6308C">
            <w:pPr>
              <w:pStyle w:val="TableParagraph"/>
              <w:spacing w:before="70"/>
              <w:ind w:right="160"/>
              <w:rPr>
                <w:sz w:val="20"/>
              </w:rPr>
            </w:pPr>
            <w:r>
              <w:rPr>
                <w:sz w:val="20"/>
              </w:rPr>
              <w:t>3.74</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New Plants</w:t>
            </w:r>
          </w:p>
        </w:tc>
        <w:tc>
          <w:tcPr>
            <w:tcW w:w="1339" w:type="dxa"/>
          </w:tcPr>
          <w:p w:rsidR="007C5447" w:rsidRDefault="00F6308C">
            <w:pPr>
              <w:pStyle w:val="TableParagraph"/>
              <w:spacing w:before="70"/>
              <w:ind w:right="164"/>
              <w:rPr>
                <w:sz w:val="20"/>
              </w:rPr>
            </w:pPr>
            <w:r>
              <w:rPr>
                <w:sz w:val="20"/>
              </w:rPr>
              <w:t>4,987.74</w:t>
            </w:r>
          </w:p>
        </w:tc>
        <w:tc>
          <w:tcPr>
            <w:tcW w:w="1216" w:type="dxa"/>
          </w:tcPr>
          <w:p w:rsidR="007C5447" w:rsidRDefault="00F6308C">
            <w:pPr>
              <w:pStyle w:val="TableParagraph"/>
              <w:spacing w:before="70"/>
              <w:ind w:right="163"/>
              <w:rPr>
                <w:sz w:val="20"/>
              </w:rPr>
            </w:pPr>
            <w:r>
              <w:rPr>
                <w:w w:val="95"/>
                <w:sz w:val="20"/>
              </w:rPr>
              <w:t>2,119.79</w:t>
            </w:r>
          </w:p>
        </w:tc>
        <w:tc>
          <w:tcPr>
            <w:tcW w:w="1161" w:type="dxa"/>
          </w:tcPr>
          <w:p w:rsidR="007C5447" w:rsidRDefault="00F6308C">
            <w:pPr>
              <w:pStyle w:val="TableParagraph"/>
              <w:spacing w:before="70"/>
              <w:ind w:right="165"/>
              <w:rPr>
                <w:sz w:val="20"/>
              </w:rPr>
            </w:pPr>
            <w:r>
              <w:rPr>
                <w:sz w:val="20"/>
              </w:rPr>
              <w:t>4.25</w:t>
            </w: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c>
          <w:tcPr>
            <w:tcW w:w="1449"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Kudankulum</w:t>
            </w:r>
          </w:p>
        </w:tc>
        <w:tc>
          <w:tcPr>
            <w:tcW w:w="1339" w:type="dxa"/>
          </w:tcPr>
          <w:p w:rsidR="007C5447" w:rsidRDefault="00F6308C">
            <w:pPr>
              <w:pStyle w:val="TableParagraph"/>
              <w:spacing w:before="70"/>
              <w:ind w:right="165"/>
              <w:rPr>
                <w:sz w:val="20"/>
              </w:rPr>
            </w:pPr>
            <w:r>
              <w:rPr>
                <w:w w:val="95"/>
                <w:sz w:val="20"/>
              </w:rPr>
              <w:t>2,187.81</w:t>
            </w:r>
          </w:p>
        </w:tc>
        <w:tc>
          <w:tcPr>
            <w:tcW w:w="1216" w:type="dxa"/>
          </w:tcPr>
          <w:p w:rsidR="007C5447" w:rsidRDefault="00F6308C">
            <w:pPr>
              <w:pStyle w:val="TableParagraph"/>
              <w:spacing w:before="70"/>
              <w:ind w:right="165"/>
              <w:rPr>
                <w:sz w:val="20"/>
              </w:rPr>
            </w:pPr>
            <w:r>
              <w:rPr>
                <w:w w:val="95"/>
                <w:sz w:val="20"/>
              </w:rPr>
              <w:t>777.44</w:t>
            </w:r>
          </w:p>
        </w:tc>
        <w:tc>
          <w:tcPr>
            <w:tcW w:w="1161" w:type="dxa"/>
          </w:tcPr>
          <w:p w:rsidR="007C5447" w:rsidRDefault="00F6308C">
            <w:pPr>
              <w:pStyle w:val="TableParagraph"/>
              <w:spacing w:before="70"/>
              <w:ind w:right="165"/>
              <w:rPr>
                <w:sz w:val="20"/>
              </w:rPr>
            </w:pPr>
            <w:r>
              <w:rPr>
                <w:sz w:val="20"/>
              </w:rPr>
              <w:t>3.55</w:t>
            </w:r>
          </w:p>
        </w:tc>
        <w:tc>
          <w:tcPr>
            <w:tcW w:w="1303" w:type="dxa"/>
          </w:tcPr>
          <w:p w:rsidR="007C5447" w:rsidRDefault="00F6308C">
            <w:pPr>
              <w:pStyle w:val="TableParagraph"/>
              <w:spacing w:before="70"/>
              <w:ind w:right="165"/>
              <w:rPr>
                <w:sz w:val="20"/>
              </w:rPr>
            </w:pPr>
            <w:r>
              <w:rPr>
                <w:w w:val="95"/>
                <w:sz w:val="20"/>
              </w:rPr>
              <w:t>2,071.00</w:t>
            </w:r>
          </w:p>
        </w:tc>
        <w:tc>
          <w:tcPr>
            <w:tcW w:w="1216" w:type="dxa"/>
          </w:tcPr>
          <w:p w:rsidR="007C5447" w:rsidRDefault="00F6308C">
            <w:pPr>
              <w:pStyle w:val="TableParagraph"/>
              <w:spacing w:before="70"/>
              <w:ind w:right="163"/>
              <w:rPr>
                <w:sz w:val="20"/>
              </w:rPr>
            </w:pPr>
            <w:r>
              <w:rPr>
                <w:w w:val="95"/>
                <w:sz w:val="20"/>
              </w:rPr>
              <w:t>541.43</w:t>
            </w:r>
          </w:p>
        </w:tc>
        <w:tc>
          <w:tcPr>
            <w:tcW w:w="1163" w:type="dxa"/>
          </w:tcPr>
          <w:p w:rsidR="007C5447" w:rsidRDefault="00F6308C">
            <w:pPr>
              <w:pStyle w:val="TableParagraph"/>
              <w:spacing w:before="70"/>
              <w:ind w:right="165"/>
              <w:rPr>
                <w:sz w:val="20"/>
              </w:rPr>
            </w:pPr>
            <w:r>
              <w:rPr>
                <w:sz w:val="20"/>
              </w:rPr>
              <w:t>2.61</w:t>
            </w:r>
          </w:p>
        </w:tc>
        <w:tc>
          <w:tcPr>
            <w:tcW w:w="1339" w:type="dxa"/>
          </w:tcPr>
          <w:p w:rsidR="007C5447" w:rsidRDefault="00F6308C">
            <w:pPr>
              <w:pStyle w:val="TableParagraph"/>
              <w:spacing w:before="70"/>
              <w:ind w:right="160"/>
              <w:rPr>
                <w:sz w:val="20"/>
              </w:rPr>
            </w:pPr>
            <w:r>
              <w:rPr>
                <w:w w:val="95"/>
                <w:sz w:val="20"/>
              </w:rPr>
              <w:t>2,169.00</w:t>
            </w:r>
          </w:p>
        </w:tc>
        <w:tc>
          <w:tcPr>
            <w:tcW w:w="1449" w:type="dxa"/>
          </w:tcPr>
          <w:p w:rsidR="007C5447" w:rsidRDefault="00F6308C">
            <w:pPr>
              <w:pStyle w:val="TableParagraph"/>
              <w:spacing w:before="70"/>
              <w:ind w:right="163"/>
              <w:rPr>
                <w:sz w:val="20"/>
              </w:rPr>
            </w:pPr>
            <w:r>
              <w:rPr>
                <w:w w:val="95"/>
                <w:sz w:val="20"/>
              </w:rPr>
              <w:t>541.43</w:t>
            </w:r>
          </w:p>
        </w:tc>
        <w:tc>
          <w:tcPr>
            <w:tcW w:w="1161" w:type="dxa"/>
          </w:tcPr>
          <w:p w:rsidR="007C5447" w:rsidRDefault="00F6308C">
            <w:pPr>
              <w:pStyle w:val="TableParagraph"/>
              <w:spacing w:before="70"/>
              <w:ind w:right="160"/>
              <w:rPr>
                <w:sz w:val="20"/>
              </w:rPr>
            </w:pPr>
            <w:r>
              <w:rPr>
                <w:sz w:val="20"/>
              </w:rPr>
              <w:t>2.50</w:t>
            </w: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b/>
                <w:sz w:val="20"/>
              </w:rPr>
            </w:pPr>
            <w:r>
              <w:rPr>
                <w:b/>
                <w:sz w:val="20"/>
              </w:rPr>
              <w:t>Total CGS</w:t>
            </w:r>
          </w:p>
        </w:tc>
        <w:tc>
          <w:tcPr>
            <w:tcW w:w="1339" w:type="dxa"/>
          </w:tcPr>
          <w:p w:rsidR="007C5447" w:rsidRDefault="00F6308C">
            <w:pPr>
              <w:pStyle w:val="TableParagraph"/>
              <w:spacing w:before="70"/>
              <w:ind w:right="167"/>
              <w:rPr>
                <w:b/>
                <w:sz w:val="20"/>
              </w:rPr>
            </w:pPr>
            <w:r>
              <w:rPr>
                <w:b/>
                <w:w w:val="95"/>
                <w:sz w:val="20"/>
              </w:rPr>
              <w:t>33,212.26</w:t>
            </w:r>
          </w:p>
        </w:tc>
        <w:tc>
          <w:tcPr>
            <w:tcW w:w="1216" w:type="dxa"/>
          </w:tcPr>
          <w:p w:rsidR="007C5447" w:rsidRDefault="00F6308C">
            <w:pPr>
              <w:pStyle w:val="TableParagraph"/>
              <w:spacing w:before="70"/>
              <w:ind w:left="238"/>
              <w:jc w:val="left"/>
              <w:rPr>
                <w:b/>
                <w:sz w:val="20"/>
              </w:rPr>
            </w:pPr>
            <w:r>
              <w:rPr>
                <w:b/>
                <w:sz w:val="20"/>
              </w:rPr>
              <w:t>11,096.73</w:t>
            </w:r>
          </w:p>
        </w:tc>
        <w:tc>
          <w:tcPr>
            <w:tcW w:w="1161" w:type="dxa"/>
          </w:tcPr>
          <w:p w:rsidR="007C5447" w:rsidRDefault="00F6308C">
            <w:pPr>
              <w:pStyle w:val="TableParagraph"/>
              <w:spacing w:before="70"/>
              <w:ind w:right="165"/>
              <w:rPr>
                <w:b/>
                <w:sz w:val="20"/>
              </w:rPr>
            </w:pPr>
            <w:r>
              <w:rPr>
                <w:b/>
                <w:sz w:val="20"/>
              </w:rPr>
              <w:t>3.34</w:t>
            </w:r>
          </w:p>
        </w:tc>
        <w:tc>
          <w:tcPr>
            <w:tcW w:w="1303" w:type="dxa"/>
          </w:tcPr>
          <w:p w:rsidR="007C5447" w:rsidRDefault="00F6308C">
            <w:pPr>
              <w:pStyle w:val="TableParagraph"/>
              <w:spacing w:before="70"/>
              <w:ind w:right="167"/>
              <w:rPr>
                <w:b/>
                <w:sz w:val="20"/>
              </w:rPr>
            </w:pPr>
            <w:r>
              <w:rPr>
                <w:b/>
                <w:w w:val="95"/>
                <w:sz w:val="20"/>
              </w:rPr>
              <w:t>27,212.00</w:t>
            </w:r>
          </w:p>
        </w:tc>
        <w:tc>
          <w:tcPr>
            <w:tcW w:w="1216" w:type="dxa"/>
          </w:tcPr>
          <w:p w:rsidR="007C5447" w:rsidRDefault="00F6308C">
            <w:pPr>
              <w:pStyle w:val="TableParagraph"/>
              <w:spacing w:before="70"/>
              <w:ind w:right="161"/>
              <w:rPr>
                <w:b/>
                <w:sz w:val="20"/>
              </w:rPr>
            </w:pPr>
            <w:r>
              <w:rPr>
                <w:b/>
                <w:w w:val="95"/>
                <w:sz w:val="20"/>
              </w:rPr>
              <w:t>8,370.48</w:t>
            </w:r>
          </w:p>
        </w:tc>
        <w:tc>
          <w:tcPr>
            <w:tcW w:w="1163" w:type="dxa"/>
          </w:tcPr>
          <w:p w:rsidR="007C5447" w:rsidRDefault="00F6308C">
            <w:pPr>
              <w:pStyle w:val="TableParagraph"/>
              <w:spacing w:before="70"/>
              <w:ind w:right="165"/>
              <w:rPr>
                <w:b/>
                <w:sz w:val="20"/>
              </w:rPr>
            </w:pPr>
            <w:r>
              <w:rPr>
                <w:b/>
                <w:sz w:val="20"/>
              </w:rPr>
              <w:t>3.08</w:t>
            </w:r>
          </w:p>
        </w:tc>
        <w:tc>
          <w:tcPr>
            <w:tcW w:w="1339" w:type="dxa"/>
          </w:tcPr>
          <w:p w:rsidR="007C5447" w:rsidRDefault="00F6308C">
            <w:pPr>
              <w:pStyle w:val="TableParagraph"/>
              <w:spacing w:before="70"/>
              <w:ind w:right="163"/>
              <w:rPr>
                <w:b/>
                <w:sz w:val="20"/>
              </w:rPr>
            </w:pPr>
            <w:r>
              <w:rPr>
                <w:b/>
                <w:w w:val="95"/>
                <w:sz w:val="20"/>
              </w:rPr>
              <w:t>27,309.00</w:t>
            </w:r>
          </w:p>
        </w:tc>
        <w:tc>
          <w:tcPr>
            <w:tcW w:w="1449" w:type="dxa"/>
          </w:tcPr>
          <w:p w:rsidR="007C5447" w:rsidRDefault="00F6308C">
            <w:pPr>
              <w:pStyle w:val="TableParagraph"/>
              <w:spacing w:before="70"/>
              <w:ind w:right="161"/>
              <w:rPr>
                <w:b/>
                <w:sz w:val="20"/>
              </w:rPr>
            </w:pPr>
            <w:r>
              <w:rPr>
                <w:b/>
                <w:w w:val="95"/>
                <w:sz w:val="20"/>
              </w:rPr>
              <w:t>8,371.57</w:t>
            </w:r>
          </w:p>
        </w:tc>
        <w:tc>
          <w:tcPr>
            <w:tcW w:w="1161" w:type="dxa"/>
          </w:tcPr>
          <w:p w:rsidR="007C5447" w:rsidRDefault="00F6308C">
            <w:pPr>
              <w:pStyle w:val="TableParagraph"/>
              <w:spacing w:before="70"/>
              <w:ind w:right="160"/>
              <w:rPr>
                <w:b/>
                <w:sz w:val="20"/>
              </w:rPr>
            </w:pPr>
            <w:r>
              <w:rPr>
                <w:b/>
                <w:sz w:val="20"/>
              </w:rPr>
              <w:t>3.07</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b/>
                <w:sz w:val="20"/>
              </w:rPr>
            </w:pPr>
            <w:r>
              <w:rPr>
                <w:b/>
                <w:sz w:val="20"/>
              </w:rPr>
              <w:t>IPP</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c>
          <w:tcPr>
            <w:tcW w:w="1449"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GMR Vasavi</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167"/>
              <w:rPr>
                <w:sz w:val="20"/>
              </w:rPr>
            </w:pPr>
            <w:r>
              <w:rPr>
                <w:w w:val="95"/>
                <w:sz w:val="20"/>
              </w:rPr>
              <w:t>576.00</w:t>
            </w:r>
          </w:p>
        </w:tc>
        <w:tc>
          <w:tcPr>
            <w:tcW w:w="1216" w:type="dxa"/>
          </w:tcPr>
          <w:p w:rsidR="007C5447" w:rsidRDefault="00F6308C">
            <w:pPr>
              <w:pStyle w:val="TableParagraph"/>
              <w:spacing w:before="70"/>
              <w:ind w:right="163"/>
              <w:rPr>
                <w:sz w:val="20"/>
              </w:rPr>
            </w:pPr>
            <w:r>
              <w:rPr>
                <w:w w:val="95"/>
                <w:sz w:val="20"/>
              </w:rPr>
              <w:t>666.76</w:t>
            </w:r>
          </w:p>
        </w:tc>
        <w:tc>
          <w:tcPr>
            <w:tcW w:w="1163" w:type="dxa"/>
          </w:tcPr>
          <w:p w:rsidR="007C5447" w:rsidRDefault="00F6308C">
            <w:pPr>
              <w:pStyle w:val="TableParagraph"/>
              <w:spacing w:before="70"/>
              <w:ind w:right="165"/>
              <w:rPr>
                <w:sz w:val="20"/>
              </w:rPr>
            </w:pPr>
            <w:r>
              <w:rPr>
                <w:w w:val="95"/>
                <w:sz w:val="20"/>
              </w:rPr>
              <w:t>11.58</w:t>
            </w:r>
          </w:p>
        </w:tc>
        <w:tc>
          <w:tcPr>
            <w:tcW w:w="1339" w:type="dxa"/>
          </w:tcPr>
          <w:p w:rsidR="007C5447" w:rsidRDefault="00F6308C">
            <w:pPr>
              <w:pStyle w:val="TableParagraph"/>
              <w:spacing w:before="70"/>
              <w:ind w:right="158"/>
              <w:rPr>
                <w:sz w:val="20"/>
              </w:rPr>
            </w:pPr>
            <w:r>
              <w:rPr>
                <w:w w:val="99"/>
                <w:sz w:val="20"/>
              </w:rPr>
              <w:t>-</w:t>
            </w:r>
          </w:p>
        </w:tc>
        <w:tc>
          <w:tcPr>
            <w:tcW w:w="1449" w:type="dxa"/>
          </w:tcPr>
          <w:p w:rsidR="007C5447" w:rsidRDefault="00F6308C">
            <w:pPr>
              <w:pStyle w:val="TableParagraph"/>
              <w:spacing w:before="70"/>
              <w:ind w:right="163"/>
              <w:rPr>
                <w:sz w:val="20"/>
              </w:rPr>
            </w:pPr>
            <w:r>
              <w:rPr>
                <w:sz w:val="20"/>
              </w:rPr>
              <w:t>73.00</w:t>
            </w:r>
          </w:p>
        </w:tc>
        <w:tc>
          <w:tcPr>
            <w:tcW w:w="1161" w:type="dxa"/>
          </w:tcPr>
          <w:p w:rsidR="007C5447" w:rsidRDefault="007C5447">
            <w:pPr>
              <w:pStyle w:val="TableParagraph"/>
              <w:jc w:val="left"/>
              <w:rPr>
                <w:sz w:val="20"/>
              </w:rPr>
            </w:pP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sz w:val="20"/>
              </w:rPr>
            </w:pPr>
            <w:r>
              <w:rPr>
                <w:sz w:val="20"/>
              </w:rPr>
              <w:t>Samalpatti</w:t>
            </w:r>
          </w:p>
        </w:tc>
        <w:tc>
          <w:tcPr>
            <w:tcW w:w="1339" w:type="dxa"/>
          </w:tcPr>
          <w:p w:rsidR="007C5447" w:rsidRDefault="007C5447">
            <w:pPr>
              <w:pStyle w:val="TableParagraph"/>
              <w:jc w:val="left"/>
              <w:rPr>
                <w:sz w:val="20"/>
              </w:rPr>
            </w:pPr>
          </w:p>
        </w:tc>
        <w:tc>
          <w:tcPr>
            <w:tcW w:w="1216" w:type="dxa"/>
          </w:tcPr>
          <w:p w:rsidR="007C5447" w:rsidRDefault="00F6308C">
            <w:pPr>
              <w:pStyle w:val="TableParagraph"/>
              <w:spacing w:before="70"/>
              <w:ind w:right="165"/>
              <w:rPr>
                <w:sz w:val="20"/>
              </w:rPr>
            </w:pPr>
            <w:r>
              <w:rPr>
                <w:w w:val="95"/>
                <w:sz w:val="20"/>
              </w:rPr>
              <w:t>135.00</w:t>
            </w: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167"/>
              <w:rPr>
                <w:sz w:val="20"/>
              </w:rPr>
            </w:pPr>
            <w:r>
              <w:rPr>
                <w:w w:val="95"/>
                <w:sz w:val="20"/>
              </w:rPr>
              <w:t>223.00</w:t>
            </w:r>
          </w:p>
        </w:tc>
        <w:tc>
          <w:tcPr>
            <w:tcW w:w="1216" w:type="dxa"/>
          </w:tcPr>
          <w:p w:rsidR="007C5447" w:rsidRDefault="00F6308C">
            <w:pPr>
              <w:pStyle w:val="TableParagraph"/>
              <w:spacing w:before="70"/>
              <w:ind w:right="163"/>
              <w:rPr>
                <w:sz w:val="20"/>
              </w:rPr>
            </w:pPr>
            <w:r>
              <w:rPr>
                <w:w w:val="95"/>
                <w:sz w:val="20"/>
              </w:rPr>
              <w:t>322.42</w:t>
            </w:r>
          </w:p>
        </w:tc>
        <w:tc>
          <w:tcPr>
            <w:tcW w:w="1163" w:type="dxa"/>
          </w:tcPr>
          <w:p w:rsidR="007C5447" w:rsidRDefault="00F6308C">
            <w:pPr>
              <w:pStyle w:val="TableParagraph"/>
              <w:spacing w:before="70"/>
              <w:ind w:right="165"/>
              <w:rPr>
                <w:sz w:val="20"/>
              </w:rPr>
            </w:pPr>
            <w:r>
              <w:rPr>
                <w:w w:val="95"/>
                <w:sz w:val="20"/>
              </w:rPr>
              <w:t>14.46</w:t>
            </w:r>
          </w:p>
        </w:tc>
        <w:tc>
          <w:tcPr>
            <w:tcW w:w="1339" w:type="dxa"/>
          </w:tcPr>
          <w:p w:rsidR="007C5447" w:rsidRDefault="00F6308C">
            <w:pPr>
              <w:pStyle w:val="TableParagraph"/>
              <w:spacing w:before="70"/>
              <w:ind w:right="158"/>
              <w:rPr>
                <w:sz w:val="20"/>
              </w:rPr>
            </w:pPr>
            <w:r>
              <w:rPr>
                <w:w w:val="99"/>
                <w:sz w:val="20"/>
              </w:rPr>
              <w:t>-</w:t>
            </w:r>
          </w:p>
        </w:tc>
        <w:tc>
          <w:tcPr>
            <w:tcW w:w="1449" w:type="dxa"/>
          </w:tcPr>
          <w:p w:rsidR="007C5447" w:rsidRDefault="00F6308C">
            <w:pPr>
              <w:pStyle w:val="TableParagraph"/>
              <w:spacing w:before="70"/>
              <w:ind w:right="163"/>
              <w:rPr>
                <w:sz w:val="20"/>
              </w:rPr>
            </w:pPr>
            <w:r>
              <w:rPr>
                <w:sz w:val="20"/>
              </w:rPr>
              <w:t>82.00</w:t>
            </w:r>
          </w:p>
        </w:tc>
        <w:tc>
          <w:tcPr>
            <w:tcW w:w="1161" w:type="dxa"/>
          </w:tcPr>
          <w:p w:rsidR="007C5447" w:rsidRDefault="007C5447">
            <w:pPr>
              <w:pStyle w:val="TableParagraph"/>
              <w:jc w:val="left"/>
              <w:rPr>
                <w:sz w:val="20"/>
              </w:rPr>
            </w:pP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Madurai Power Corpn</w:t>
            </w:r>
          </w:p>
        </w:tc>
        <w:tc>
          <w:tcPr>
            <w:tcW w:w="1339" w:type="dxa"/>
          </w:tcPr>
          <w:p w:rsidR="007C5447" w:rsidRDefault="007C5447">
            <w:pPr>
              <w:pStyle w:val="TableParagraph"/>
              <w:jc w:val="left"/>
              <w:rPr>
                <w:sz w:val="20"/>
              </w:rPr>
            </w:pPr>
          </w:p>
        </w:tc>
        <w:tc>
          <w:tcPr>
            <w:tcW w:w="1216" w:type="dxa"/>
          </w:tcPr>
          <w:p w:rsidR="007C5447" w:rsidRDefault="00F6308C">
            <w:pPr>
              <w:pStyle w:val="TableParagraph"/>
              <w:spacing w:before="70"/>
              <w:ind w:right="165"/>
              <w:rPr>
                <w:sz w:val="20"/>
              </w:rPr>
            </w:pPr>
            <w:r>
              <w:rPr>
                <w:w w:val="95"/>
                <w:sz w:val="20"/>
              </w:rPr>
              <w:t>136.00</w:t>
            </w: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167"/>
              <w:rPr>
                <w:sz w:val="20"/>
              </w:rPr>
            </w:pPr>
            <w:r>
              <w:rPr>
                <w:w w:val="95"/>
                <w:sz w:val="20"/>
              </w:rPr>
              <w:t>243.00</w:t>
            </w:r>
          </w:p>
        </w:tc>
        <w:tc>
          <w:tcPr>
            <w:tcW w:w="1216" w:type="dxa"/>
          </w:tcPr>
          <w:p w:rsidR="007C5447" w:rsidRDefault="00F6308C">
            <w:pPr>
              <w:pStyle w:val="TableParagraph"/>
              <w:spacing w:before="70"/>
              <w:ind w:right="163"/>
              <w:rPr>
                <w:sz w:val="20"/>
              </w:rPr>
            </w:pPr>
            <w:r>
              <w:rPr>
                <w:w w:val="95"/>
                <w:sz w:val="20"/>
              </w:rPr>
              <w:t>343.20</w:t>
            </w:r>
          </w:p>
        </w:tc>
        <w:tc>
          <w:tcPr>
            <w:tcW w:w="1163" w:type="dxa"/>
          </w:tcPr>
          <w:p w:rsidR="007C5447" w:rsidRDefault="00F6308C">
            <w:pPr>
              <w:pStyle w:val="TableParagraph"/>
              <w:spacing w:before="70"/>
              <w:ind w:right="165"/>
              <w:rPr>
                <w:sz w:val="20"/>
              </w:rPr>
            </w:pPr>
            <w:r>
              <w:rPr>
                <w:w w:val="95"/>
                <w:sz w:val="20"/>
              </w:rPr>
              <w:t>14.12</w:t>
            </w:r>
          </w:p>
        </w:tc>
        <w:tc>
          <w:tcPr>
            <w:tcW w:w="1339" w:type="dxa"/>
          </w:tcPr>
          <w:p w:rsidR="007C5447" w:rsidRDefault="00F6308C">
            <w:pPr>
              <w:pStyle w:val="TableParagraph"/>
              <w:spacing w:before="70"/>
              <w:ind w:right="158"/>
              <w:rPr>
                <w:sz w:val="20"/>
              </w:rPr>
            </w:pPr>
            <w:r>
              <w:rPr>
                <w:w w:val="99"/>
                <w:sz w:val="20"/>
              </w:rPr>
              <w:t>-</w:t>
            </w:r>
          </w:p>
        </w:tc>
        <w:tc>
          <w:tcPr>
            <w:tcW w:w="1449" w:type="dxa"/>
          </w:tcPr>
          <w:p w:rsidR="007C5447" w:rsidRDefault="00F6308C">
            <w:pPr>
              <w:pStyle w:val="TableParagraph"/>
              <w:spacing w:before="70"/>
              <w:ind w:right="163"/>
              <w:rPr>
                <w:sz w:val="20"/>
              </w:rPr>
            </w:pPr>
            <w:r>
              <w:rPr>
                <w:sz w:val="20"/>
              </w:rPr>
              <w:t>95.00</w:t>
            </w:r>
          </w:p>
        </w:tc>
        <w:tc>
          <w:tcPr>
            <w:tcW w:w="1161" w:type="dxa"/>
          </w:tcPr>
          <w:p w:rsidR="007C5447" w:rsidRDefault="007C5447">
            <w:pPr>
              <w:pStyle w:val="TableParagraph"/>
              <w:jc w:val="left"/>
              <w:rPr>
                <w:sz w:val="20"/>
              </w:rPr>
            </w:pP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PPN</w:t>
            </w:r>
          </w:p>
        </w:tc>
        <w:tc>
          <w:tcPr>
            <w:tcW w:w="1339" w:type="dxa"/>
          </w:tcPr>
          <w:p w:rsidR="007C5447" w:rsidRDefault="007C5447">
            <w:pPr>
              <w:pStyle w:val="TableParagraph"/>
              <w:jc w:val="left"/>
              <w:rPr>
                <w:sz w:val="20"/>
              </w:rPr>
            </w:pPr>
          </w:p>
        </w:tc>
        <w:tc>
          <w:tcPr>
            <w:tcW w:w="1216" w:type="dxa"/>
          </w:tcPr>
          <w:p w:rsidR="007C5447" w:rsidRDefault="00F6308C">
            <w:pPr>
              <w:pStyle w:val="TableParagraph"/>
              <w:spacing w:before="70"/>
              <w:ind w:right="165"/>
              <w:rPr>
                <w:sz w:val="20"/>
              </w:rPr>
            </w:pPr>
            <w:r>
              <w:rPr>
                <w:w w:val="95"/>
                <w:sz w:val="20"/>
              </w:rPr>
              <w:t>122.00</w:t>
            </w: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165"/>
              <w:rPr>
                <w:sz w:val="20"/>
              </w:rPr>
            </w:pPr>
            <w:r>
              <w:rPr>
                <w:w w:val="95"/>
                <w:sz w:val="20"/>
              </w:rPr>
              <w:t>1,143.00</w:t>
            </w:r>
          </w:p>
        </w:tc>
        <w:tc>
          <w:tcPr>
            <w:tcW w:w="1216" w:type="dxa"/>
          </w:tcPr>
          <w:p w:rsidR="007C5447" w:rsidRDefault="00F6308C">
            <w:pPr>
              <w:pStyle w:val="TableParagraph"/>
              <w:spacing w:before="70"/>
              <w:ind w:right="161"/>
              <w:rPr>
                <w:sz w:val="20"/>
              </w:rPr>
            </w:pPr>
            <w:r>
              <w:rPr>
                <w:w w:val="95"/>
                <w:sz w:val="20"/>
              </w:rPr>
              <w:t>1,633.53</w:t>
            </w:r>
          </w:p>
        </w:tc>
        <w:tc>
          <w:tcPr>
            <w:tcW w:w="1163" w:type="dxa"/>
          </w:tcPr>
          <w:p w:rsidR="007C5447" w:rsidRDefault="00F6308C">
            <w:pPr>
              <w:pStyle w:val="TableParagraph"/>
              <w:spacing w:before="70"/>
              <w:ind w:right="165"/>
              <w:rPr>
                <w:sz w:val="20"/>
              </w:rPr>
            </w:pPr>
            <w:r>
              <w:rPr>
                <w:w w:val="95"/>
                <w:sz w:val="20"/>
              </w:rPr>
              <w:t>14.29</w:t>
            </w:r>
          </w:p>
        </w:tc>
        <w:tc>
          <w:tcPr>
            <w:tcW w:w="1339" w:type="dxa"/>
          </w:tcPr>
          <w:p w:rsidR="007C5447" w:rsidRDefault="00F6308C">
            <w:pPr>
              <w:pStyle w:val="TableParagraph"/>
              <w:spacing w:before="70"/>
              <w:ind w:right="158"/>
              <w:rPr>
                <w:sz w:val="20"/>
              </w:rPr>
            </w:pPr>
            <w:r>
              <w:rPr>
                <w:w w:val="99"/>
                <w:sz w:val="20"/>
              </w:rPr>
              <w:t>-</w:t>
            </w:r>
          </w:p>
        </w:tc>
        <w:tc>
          <w:tcPr>
            <w:tcW w:w="1449" w:type="dxa"/>
          </w:tcPr>
          <w:p w:rsidR="007C5447" w:rsidRDefault="00F6308C">
            <w:pPr>
              <w:pStyle w:val="TableParagraph"/>
              <w:spacing w:before="70"/>
              <w:ind w:right="161"/>
              <w:rPr>
                <w:sz w:val="20"/>
              </w:rPr>
            </w:pPr>
            <w:r>
              <w:rPr>
                <w:sz w:val="20"/>
              </w:rPr>
              <w:t>212.41</w:t>
            </w:r>
          </w:p>
        </w:tc>
        <w:tc>
          <w:tcPr>
            <w:tcW w:w="1161" w:type="dxa"/>
          </w:tcPr>
          <w:p w:rsidR="007C5447" w:rsidRDefault="007C5447">
            <w:pPr>
              <w:pStyle w:val="TableParagraph"/>
              <w:jc w:val="left"/>
              <w:rPr>
                <w:sz w:val="20"/>
              </w:rPr>
            </w:pP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sz w:val="20"/>
              </w:rPr>
            </w:pPr>
            <w:r>
              <w:rPr>
                <w:sz w:val="20"/>
              </w:rPr>
              <w:t>STCMS - Neyveli</w:t>
            </w:r>
          </w:p>
        </w:tc>
        <w:tc>
          <w:tcPr>
            <w:tcW w:w="1339" w:type="dxa"/>
          </w:tcPr>
          <w:p w:rsidR="007C5447" w:rsidRDefault="00F6308C">
            <w:pPr>
              <w:pStyle w:val="TableParagraph"/>
              <w:spacing w:before="70"/>
              <w:ind w:right="165"/>
              <w:rPr>
                <w:sz w:val="20"/>
              </w:rPr>
            </w:pPr>
            <w:r>
              <w:rPr>
                <w:w w:val="95"/>
                <w:sz w:val="20"/>
              </w:rPr>
              <w:t>1,659.92</w:t>
            </w:r>
          </w:p>
        </w:tc>
        <w:tc>
          <w:tcPr>
            <w:tcW w:w="1216" w:type="dxa"/>
          </w:tcPr>
          <w:p w:rsidR="007C5447" w:rsidRDefault="00F6308C">
            <w:pPr>
              <w:pStyle w:val="TableParagraph"/>
              <w:spacing w:before="70"/>
              <w:ind w:right="165"/>
              <w:rPr>
                <w:sz w:val="20"/>
              </w:rPr>
            </w:pPr>
            <w:r>
              <w:rPr>
                <w:w w:val="95"/>
                <w:sz w:val="20"/>
              </w:rPr>
              <w:t>731.00</w:t>
            </w:r>
          </w:p>
        </w:tc>
        <w:tc>
          <w:tcPr>
            <w:tcW w:w="1161" w:type="dxa"/>
          </w:tcPr>
          <w:p w:rsidR="007C5447" w:rsidRDefault="00F6308C">
            <w:pPr>
              <w:pStyle w:val="TableParagraph"/>
              <w:spacing w:before="70"/>
              <w:ind w:right="165"/>
              <w:rPr>
                <w:sz w:val="20"/>
              </w:rPr>
            </w:pPr>
            <w:r>
              <w:rPr>
                <w:sz w:val="20"/>
              </w:rPr>
              <w:t>4.40</w:t>
            </w:r>
          </w:p>
        </w:tc>
        <w:tc>
          <w:tcPr>
            <w:tcW w:w="1303" w:type="dxa"/>
          </w:tcPr>
          <w:p w:rsidR="007C5447" w:rsidRDefault="00F6308C">
            <w:pPr>
              <w:pStyle w:val="TableParagraph"/>
              <w:spacing w:before="70"/>
              <w:ind w:right="165"/>
              <w:rPr>
                <w:sz w:val="20"/>
              </w:rPr>
            </w:pPr>
            <w:r>
              <w:rPr>
                <w:w w:val="95"/>
                <w:sz w:val="20"/>
              </w:rPr>
              <w:t>1,678.00</w:t>
            </w:r>
          </w:p>
        </w:tc>
        <w:tc>
          <w:tcPr>
            <w:tcW w:w="1216" w:type="dxa"/>
          </w:tcPr>
          <w:p w:rsidR="007C5447" w:rsidRDefault="00F6308C">
            <w:pPr>
              <w:pStyle w:val="TableParagraph"/>
              <w:spacing w:before="70"/>
              <w:ind w:right="163"/>
              <w:rPr>
                <w:sz w:val="20"/>
              </w:rPr>
            </w:pPr>
            <w:r>
              <w:rPr>
                <w:w w:val="95"/>
                <w:sz w:val="20"/>
              </w:rPr>
              <w:t>773.83</w:t>
            </w:r>
          </w:p>
        </w:tc>
        <w:tc>
          <w:tcPr>
            <w:tcW w:w="1163" w:type="dxa"/>
          </w:tcPr>
          <w:p w:rsidR="007C5447" w:rsidRDefault="00F6308C">
            <w:pPr>
              <w:pStyle w:val="TableParagraph"/>
              <w:spacing w:before="70"/>
              <w:ind w:right="165"/>
              <w:rPr>
                <w:sz w:val="20"/>
              </w:rPr>
            </w:pPr>
            <w:r>
              <w:rPr>
                <w:sz w:val="20"/>
              </w:rPr>
              <w:t>4.61</w:t>
            </w:r>
          </w:p>
        </w:tc>
        <w:tc>
          <w:tcPr>
            <w:tcW w:w="1339" w:type="dxa"/>
          </w:tcPr>
          <w:p w:rsidR="007C5447" w:rsidRDefault="00F6308C">
            <w:pPr>
              <w:pStyle w:val="TableParagraph"/>
              <w:spacing w:before="70"/>
              <w:ind w:right="160"/>
              <w:rPr>
                <w:sz w:val="20"/>
              </w:rPr>
            </w:pPr>
            <w:r>
              <w:rPr>
                <w:w w:val="95"/>
                <w:sz w:val="20"/>
              </w:rPr>
              <w:t>1,678.00</w:t>
            </w:r>
          </w:p>
        </w:tc>
        <w:tc>
          <w:tcPr>
            <w:tcW w:w="1449" w:type="dxa"/>
          </w:tcPr>
          <w:p w:rsidR="007C5447" w:rsidRDefault="00F6308C">
            <w:pPr>
              <w:pStyle w:val="TableParagraph"/>
              <w:spacing w:before="70"/>
              <w:ind w:right="163"/>
              <w:rPr>
                <w:sz w:val="20"/>
              </w:rPr>
            </w:pPr>
            <w:r>
              <w:rPr>
                <w:w w:val="95"/>
                <w:sz w:val="20"/>
              </w:rPr>
              <w:t>773.83</w:t>
            </w:r>
          </w:p>
        </w:tc>
        <w:tc>
          <w:tcPr>
            <w:tcW w:w="1161" w:type="dxa"/>
          </w:tcPr>
          <w:p w:rsidR="007C5447" w:rsidRDefault="00F6308C">
            <w:pPr>
              <w:pStyle w:val="TableParagraph"/>
              <w:spacing w:before="70"/>
              <w:ind w:right="160"/>
              <w:rPr>
                <w:sz w:val="20"/>
              </w:rPr>
            </w:pPr>
            <w:r>
              <w:rPr>
                <w:sz w:val="20"/>
              </w:rPr>
              <w:t>4.61</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LANCO Power (Aban co)</w:t>
            </w:r>
          </w:p>
        </w:tc>
        <w:tc>
          <w:tcPr>
            <w:tcW w:w="1339" w:type="dxa"/>
          </w:tcPr>
          <w:p w:rsidR="007C5447" w:rsidRDefault="00F6308C">
            <w:pPr>
              <w:pStyle w:val="TableParagraph"/>
              <w:spacing w:before="70"/>
              <w:ind w:right="167"/>
              <w:rPr>
                <w:sz w:val="20"/>
              </w:rPr>
            </w:pPr>
            <w:r>
              <w:rPr>
                <w:w w:val="95"/>
                <w:sz w:val="20"/>
              </w:rPr>
              <w:t>782.59</w:t>
            </w:r>
          </w:p>
        </w:tc>
        <w:tc>
          <w:tcPr>
            <w:tcW w:w="1216" w:type="dxa"/>
          </w:tcPr>
          <w:p w:rsidR="007C5447" w:rsidRDefault="00F6308C">
            <w:pPr>
              <w:pStyle w:val="TableParagraph"/>
              <w:spacing w:before="70"/>
              <w:ind w:right="165"/>
              <w:rPr>
                <w:sz w:val="20"/>
              </w:rPr>
            </w:pPr>
            <w:r>
              <w:rPr>
                <w:w w:val="95"/>
                <w:sz w:val="20"/>
              </w:rPr>
              <w:t>277.00</w:t>
            </w:r>
          </w:p>
        </w:tc>
        <w:tc>
          <w:tcPr>
            <w:tcW w:w="1161" w:type="dxa"/>
          </w:tcPr>
          <w:p w:rsidR="007C5447" w:rsidRDefault="00F6308C">
            <w:pPr>
              <w:pStyle w:val="TableParagraph"/>
              <w:spacing w:before="70"/>
              <w:ind w:right="165"/>
              <w:rPr>
                <w:sz w:val="20"/>
              </w:rPr>
            </w:pPr>
            <w:r>
              <w:rPr>
                <w:sz w:val="20"/>
              </w:rPr>
              <w:t>3.54</w:t>
            </w:r>
          </w:p>
        </w:tc>
        <w:tc>
          <w:tcPr>
            <w:tcW w:w="1303" w:type="dxa"/>
          </w:tcPr>
          <w:p w:rsidR="007C5447" w:rsidRDefault="00F6308C">
            <w:pPr>
              <w:pStyle w:val="TableParagraph"/>
              <w:spacing w:before="70"/>
              <w:ind w:right="167"/>
              <w:rPr>
                <w:sz w:val="20"/>
              </w:rPr>
            </w:pPr>
            <w:r>
              <w:rPr>
                <w:w w:val="95"/>
                <w:sz w:val="20"/>
              </w:rPr>
              <w:t>561.00</w:t>
            </w:r>
          </w:p>
        </w:tc>
        <w:tc>
          <w:tcPr>
            <w:tcW w:w="1216" w:type="dxa"/>
          </w:tcPr>
          <w:p w:rsidR="007C5447" w:rsidRDefault="00F6308C">
            <w:pPr>
              <w:pStyle w:val="TableParagraph"/>
              <w:spacing w:before="70"/>
              <w:ind w:right="163"/>
              <w:rPr>
                <w:sz w:val="20"/>
              </w:rPr>
            </w:pPr>
            <w:r>
              <w:rPr>
                <w:w w:val="95"/>
                <w:sz w:val="20"/>
              </w:rPr>
              <w:t>207.02</w:t>
            </w:r>
          </w:p>
        </w:tc>
        <w:tc>
          <w:tcPr>
            <w:tcW w:w="1163" w:type="dxa"/>
          </w:tcPr>
          <w:p w:rsidR="007C5447" w:rsidRDefault="00F6308C">
            <w:pPr>
              <w:pStyle w:val="TableParagraph"/>
              <w:spacing w:before="70"/>
              <w:ind w:right="165"/>
              <w:rPr>
                <w:sz w:val="20"/>
              </w:rPr>
            </w:pPr>
            <w:r>
              <w:rPr>
                <w:sz w:val="20"/>
              </w:rPr>
              <w:t>3.69</w:t>
            </w:r>
          </w:p>
        </w:tc>
        <w:tc>
          <w:tcPr>
            <w:tcW w:w="1339" w:type="dxa"/>
          </w:tcPr>
          <w:p w:rsidR="007C5447" w:rsidRDefault="00F6308C">
            <w:pPr>
              <w:pStyle w:val="TableParagraph"/>
              <w:spacing w:before="70"/>
              <w:ind w:right="162"/>
              <w:rPr>
                <w:sz w:val="20"/>
              </w:rPr>
            </w:pPr>
            <w:r>
              <w:rPr>
                <w:w w:val="95"/>
                <w:sz w:val="20"/>
              </w:rPr>
              <w:t>561.00</w:t>
            </w:r>
          </w:p>
        </w:tc>
        <w:tc>
          <w:tcPr>
            <w:tcW w:w="1449" w:type="dxa"/>
          </w:tcPr>
          <w:p w:rsidR="007C5447" w:rsidRDefault="00F6308C">
            <w:pPr>
              <w:pStyle w:val="TableParagraph"/>
              <w:spacing w:before="70"/>
              <w:ind w:right="163"/>
              <w:rPr>
                <w:sz w:val="20"/>
              </w:rPr>
            </w:pPr>
            <w:r>
              <w:rPr>
                <w:w w:val="95"/>
                <w:sz w:val="20"/>
              </w:rPr>
              <w:t>207.02</w:t>
            </w:r>
          </w:p>
        </w:tc>
        <w:tc>
          <w:tcPr>
            <w:tcW w:w="1161" w:type="dxa"/>
          </w:tcPr>
          <w:p w:rsidR="007C5447" w:rsidRDefault="00F6308C">
            <w:pPr>
              <w:pStyle w:val="TableParagraph"/>
              <w:spacing w:before="70"/>
              <w:ind w:right="160"/>
              <w:rPr>
                <w:sz w:val="20"/>
              </w:rPr>
            </w:pPr>
            <w:r>
              <w:rPr>
                <w:sz w:val="20"/>
              </w:rPr>
              <w:t>3.69</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Penna</w:t>
            </w:r>
          </w:p>
        </w:tc>
        <w:tc>
          <w:tcPr>
            <w:tcW w:w="1339" w:type="dxa"/>
          </w:tcPr>
          <w:p w:rsidR="007C5447" w:rsidRDefault="00F6308C">
            <w:pPr>
              <w:pStyle w:val="TableParagraph"/>
              <w:spacing w:before="70"/>
              <w:ind w:right="167"/>
              <w:rPr>
                <w:sz w:val="20"/>
              </w:rPr>
            </w:pPr>
            <w:r>
              <w:rPr>
                <w:w w:val="95"/>
                <w:sz w:val="20"/>
              </w:rPr>
              <w:t>356.32</w:t>
            </w:r>
          </w:p>
        </w:tc>
        <w:tc>
          <w:tcPr>
            <w:tcW w:w="1216" w:type="dxa"/>
          </w:tcPr>
          <w:p w:rsidR="007C5447" w:rsidRDefault="00F6308C">
            <w:pPr>
              <w:pStyle w:val="TableParagraph"/>
              <w:spacing w:before="70"/>
              <w:ind w:right="165"/>
              <w:rPr>
                <w:sz w:val="20"/>
              </w:rPr>
            </w:pPr>
            <w:r>
              <w:rPr>
                <w:w w:val="95"/>
                <w:sz w:val="20"/>
              </w:rPr>
              <w:t>128.00</w:t>
            </w:r>
          </w:p>
        </w:tc>
        <w:tc>
          <w:tcPr>
            <w:tcW w:w="1161" w:type="dxa"/>
          </w:tcPr>
          <w:p w:rsidR="007C5447" w:rsidRDefault="00F6308C">
            <w:pPr>
              <w:pStyle w:val="TableParagraph"/>
              <w:spacing w:before="70"/>
              <w:ind w:right="165"/>
              <w:rPr>
                <w:sz w:val="20"/>
              </w:rPr>
            </w:pPr>
            <w:r>
              <w:rPr>
                <w:sz w:val="20"/>
              </w:rPr>
              <w:t>3.59</w:t>
            </w:r>
          </w:p>
        </w:tc>
        <w:tc>
          <w:tcPr>
            <w:tcW w:w="1303" w:type="dxa"/>
          </w:tcPr>
          <w:p w:rsidR="007C5447" w:rsidRDefault="00F6308C">
            <w:pPr>
              <w:pStyle w:val="TableParagraph"/>
              <w:spacing w:before="70"/>
              <w:ind w:right="167"/>
              <w:rPr>
                <w:sz w:val="20"/>
              </w:rPr>
            </w:pPr>
            <w:r>
              <w:rPr>
                <w:w w:val="95"/>
                <w:sz w:val="20"/>
              </w:rPr>
              <w:t>378.00</w:t>
            </w:r>
          </w:p>
        </w:tc>
        <w:tc>
          <w:tcPr>
            <w:tcW w:w="1216" w:type="dxa"/>
          </w:tcPr>
          <w:p w:rsidR="007C5447" w:rsidRDefault="00F6308C">
            <w:pPr>
              <w:pStyle w:val="TableParagraph"/>
              <w:spacing w:before="70"/>
              <w:ind w:right="163"/>
              <w:rPr>
                <w:sz w:val="20"/>
              </w:rPr>
            </w:pPr>
            <w:r>
              <w:rPr>
                <w:w w:val="95"/>
                <w:sz w:val="20"/>
              </w:rPr>
              <w:t>137.64</w:t>
            </w:r>
          </w:p>
        </w:tc>
        <w:tc>
          <w:tcPr>
            <w:tcW w:w="1163" w:type="dxa"/>
          </w:tcPr>
          <w:p w:rsidR="007C5447" w:rsidRDefault="00F6308C">
            <w:pPr>
              <w:pStyle w:val="TableParagraph"/>
              <w:spacing w:before="70"/>
              <w:ind w:right="165"/>
              <w:rPr>
                <w:sz w:val="20"/>
              </w:rPr>
            </w:pPr>
            <w:r>
              <w:rPr>
                <w:sz w:val="20"/>
              </w:rPr>
              <w:t>3.64</w:t>
            </w:r>
          </w:p>
        </w:tc>
        <w:tc>
          <w:tcPr>
            <w:tcW w:w="1339" w:type="dxa"/>
          </w:tcPr>
          <w:p w:rsidR="007C5447" w:rsidRDefault="00F6308C">
            <w:pPr>
              <w:pStyle w:val="TableParagraph"/>
              <w:spacing w:before="70"/>
              <w:ind w:right="162"/>
              <w:rPr>
                <w:sz w:val="20"/>
              </w:rPr>
            </w:pPr>
            <w:r>
              <w:rPr>
                <w:w w:val="95"/>
                <w:sz w:val="20"/>
              </w:rPr>
              <w:t>378.00</w:t>
            </w:r>
          </w:p>
        </w:tc>
        <w:tc>
          <w:tcPr>
            <w:tcW w:w="1449" w:type="dxa"/>
          </w:tcPr>
          <w:p w:rsidR="007C5447" w:rsidRDefault="00F6308C">
            <w:pPr>
              <w:pStyle w:val="TableParagraph"/>
              <w:spacing w:before="70"/>
              <w:ind w:right="163"/>
              <w:rPr>
                <w:sz w:val="20"/>
              </w:rPr>
            </w:pPr>
            <w:r>
              <w:rPr>
                <w:w w:val="95"/>
                <w:sz w:val="20"/>
              </w:rPr>
              <w:t>137.64</w:t>
            </w:r>
          </w:p>
        </w:tc>
        <w:tc>
          <w:tcPr>
            <w:tcW w:w="1161" w:type="dxa"/>
          </w:tcPr>
          <w:p w:rsidR="007C5447" w:rsidRDefault="00F6308C">
            <w:pPr>
              <w:pStyle w:val="TableParagraph"/>
              <w:spacing w:before="70"/>
              <w:ind w:right="158"/>
              <w:rPr>
                <w:sz w:val="20"/>
              </w:rPr>
            </w:pPr>
            <w:r>
              <w:rPr>
                <w:sz w:val="20"/>
              </w:rPr>
              <w:t>3.64</w:t>
            </w: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b/>
                <w:sz w:val="20"/>
              </w:rPr>
            </w:pPr>
            <w:r>
              <w:rPr>
                <w:b/>
                <w:sz w:val="20"/>
              </w:rPr>
              <w:t>Total IPP</w:t>
            </w:r>
          </w:p>
        </w:tc>
        <w:tc>
          <w:tcPr>
            <w:tcW w:w="1339" w:type="dxa"/>
          </w:tcPr>
          <w:p w:rsidR="007C5447" w:rsidRDefault="00F6308C">
            <w:pPr>
              <w:pStyle w:val="TableParagraph"/>
              <w:spacing w:before="70"/>
              <w:ind w:right="165"/>
              <w:rPr>
                <w:b/>
                <w:sz w:val="20"/>
              </w:rPr>
            </w:pPr>
            <w:r>
              <w:rPr>
                <w:b/>
                <w:w w:val="95"/>
                <w:sz w:val="20"/>
              </w:rPr>
              <w:t>2,798.83</w:t>
            </w:r>
          </w:p>
        </w:tc>
        <w:tc>
          <w:tcPr>
            <w:tcW w:w="1216" w:type="dxa"/>
          </w:tcPr>
          <w:p w:rsidR="007C5447" w:rsidRDefault="00F6308C">
            <w:pPr>
              <w:pStyle w:val="TableParagraph"/>
              <w:spacing w:before="70"/>
              <w:ind w:right="163"/>
              <w:rPr>
                <w:b/>
                <w:sz w:val="20"/>
              </w:rPr>
            </w:pPr>
            <w:r>
              <w:rPr>
                <w:b/>
                <w:w w:val="95"/>
                <w:sz w:val="20"/>
              </w:rPr>
              <w:t>1,529.00</w:t>
            </w:r>
          </w:p>
        </w:tc>
        <w:tc>
          <w:tcPr>
            <w:tcW w:w="1161" w:type="dxa"/>
          </w:tcPr>
          <w:p w:rsidR="007C5447" w:rsidRDefault="00F6308C">
            <w:pPr>
              <w:pStyle w:val="TableParagraph"/>
              <w:spacing w:before="70"/>
              <w:ind w:right="165"/>
              <w:rPr>
                <w:b/>
                <w:sz w:val="20"/>
              </w:rPr>
            </w:pPr>
            <w:r>
              <w:rPr>
                <w:b/>
                <w:sz w:val="20"/>
              </w:rPr>
              <w:t>5.46</w:t>
            </w:r>
          </w:p>
        </w:tc>
        <w:tc>
          <w:tcPr>
            <w:tcW w:w="1303" w:type="dxa"/>
          </w:tcPr>
          <w:p w:rsidR="007C5447" w:rsidRDefault="00F6308C">
            <w:pPr>
              <w:pStyle w:val="TableParagraph"/>
              <w:spacing w:before="70"/>
              <w:ind w:right="165"/>
              <w:rPr>
                <w:b/>
                <w:sz w:val="20"/>
              </w:rPr>
            </w:pPr>
            <w:r>
              <w:rPr>
                <w:b/>
                <w:w w:val="95"/>
                <w:sz w:val="20"/>
              </w:rPr>
              <w:t>4,802.00</w:t>
            </w:r>
          </w:p>
        </w:tc>
        <w:tc>
          <w:tcPr>
            <w:tcW w:w="1216" w:type="dxa"/>
          </w:tcPr>
          <w:p w:rsidR="007C5447" w:rsidRDefault="00F6308C">
            <w:pPr>
              <w:pStyle w:val="TableParagraph"/>
              <w:spacing w:before="70"/>
              <w:ind w:right="161"/>
              <w:rPr>
                <w:b/>
                <w:sz w:val="20"/>
              </w:rPr>
            </w:pPr>
            <w:r>
              <w:rPr>
                <w:b/>
                <w:w w:val="95"/>
                <w:sz w:val="20"/>
              </w:rPr>
              <w:t>4,084.40</w:t>
            </w:r>
          </w:p>
        </w:tc>
        <w:tc>
          <w:tcPr>
            <w:tcW w:w="1163" w:type="dxa"/>
          </w:tcPr>
          <w:p w:rsidR="007C5447" w:rsidRDefault="00F6308C">
            <w:pPr>
              <w:pStyle w:val="TableParagraph"/>
              <w:spacing w:before="70"/>
              <w:ind w:right="165"/>
              <w:rPr>
                <w:b/>
                <w:sz w:val="20"/>
              </w:rPr>
            </w:pPr>
            <w:r>
              <w:rPr>
                <w:b/>
                <w:sz w:val="20"/>
              </w:rPr>
              <w:t>8.51</w:t>
            </w:r>
          </w:p>
        </w:tc>
        <w:tc>
          <w:tcPr>
            <w:tcW w:w="1339" w:type="dxa"/>
          </w:tcPr>
          <w:p w:rsidR="007C5447" w:rsidRDefault="00F6308C">
            <w:pPr>
              <w:pStyle w:val="TableParagraph"/>
              <w:spacing w:before="70"/>
              <w:ind w:right="160"/>
              <w:rPr>
                <w:b/>
                <w:sz w:val="20"/>
              </w:rPr>
            </w:pPr>
            <w:r>
              <w:rPr>
                <w:b/>
                <w:w w:val="95"/>
                <w:sz w:val="20"/>
              </w:rPr>
              <w:t>2,617.00</w:t>
            </w:r>
          </w:p>
        </w:tc>
        <w:tc>
          <w:tcPr>
            <w:tcW w:w="1449" w:type="dxa"/>
          </w:tcPr>
          <w:p w:rsidR="007C5447" w:rsidRDefault="00F6308C">
            <w:pPr>
              <w:pStyle w:val="TableParagraph"/>
              <w:spacing w:before="70"/>
              <w:ind w:right="161"/>
              <w:rPr>
                <w:b/>
                <w:sz w:val="20"/>
              </w:rPr>
            </w:pPr>
            <w:r>
              <w:rPr>
                <w:b/>
                <w:w w:val="95"/>
                <w:sz w:val="20"/>
              </w:rPr>
              <w:t>1,580.90</w:t>
            </w:r>
          </w:p>
        </w:tc>
        <w:tc>
          <w:tcPr>
            <w:tcW w:w="1161" w:type="dxa"/>
          </w:tcPr>
          <w:p w:rsidR="007C5447" w:rsidRDefault="00F6308C">
            <w:pPr>
              <w:pStyle w:val="TableParagraph"/>
              <w:spacing w:before="70"/>
              <w:ind w:right="160"/>
              <w:rPr>
                <w:b/>
                <w:sz w:val="20"/>
              </w:rPr>
            </w:pPr>
            <w:r>
              <w:rPr>
                <w:b/>
                <w:sz w:val="20"/>
              </w:rPr>
              <w:t>6.04</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b/>
                <w:sz w:val="20"/>
              </w:rPr>
            </w:pPr>
            <w:r>
              <w:rPr>
                <w:b/>
                <w:sz w:val="20"/>
              </w:rPr>
              <w:t>Renewables</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c>
          <w:tcPr>
            <w:tcW w:w="1449"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Wind</w:t>
            </w:r>
          </w:p>
        </w:tc>
        <w:tc>
          <w:tcPr>
            <w:tcW w:w="1339" w:type="dxa"/>
          </w:tcPr>
          <w:p w:rsidR="007C5447" w:rsidRDefault="00F6308C">
            <w:pPr>
              <w:pStyle w:val="TableParagraph"/>
              <w:spacing w:before="70"/>
              <w:ind w:left="333"/>
              <w:jc w:val="left"/>
              <w:rPr>
                <w:sz w:val="20"/>
              </w:rPr>
            </w:pPr>
            <w:r>
              <w:rPr>
                <w:sz w:val="20"/>
              </w:rPr>
              <w:t>5,228.00</w:t>
            </w:r>
          </w:p>
        </w:tc>
        <w:tc>
          <w:tcPr>
            <w:tcW w:w="1216" w:type="dxa"/>
          </w:tcPr>
          <w:p w:rsidR="007C5447" w:rsidRDefault="00F6308C">
            <w:pPr>
              <w:pStyle w:val="TableParagraph"/>
              <w:spacing w:before="70"/>
              <w:ind w:left="212"/>
              <w:jc w:val="left"/>
              <w:rPr>
                <w:sz w:val="20"/>
              </w:rPr>
            </w:pPr>
            <w:r>
              <w:rPr>
                <w:sz w:val="20"/>
              </w:rPr>
              <w:t>1,783.00</w:t>
            </w:r>
          </w:p>
        </w:tc>
        <w:tc>
          <w:tcPr>
            <w:tcW w:w="1161" w:type="dxa"/>
          </w:tcPr>
          <w:p w:rsidR="007C5447" w:rsidRDefault="00F6308C">
            <w:pPr>
              <w:pStyle w:val="TableParagraph"/>
              <w:spacing w:before="70"/>
              <w:ind w:left="505"/>
              <w:jc w:val="left"/>
              <w:rPr>
                <w:sz w:val="20"/>
              </w:rPr>
            </w:pPr>
            <w:r>
              <w:rPr>
                <w:sz w:val="20"/>
              </w:rPr>
              <w:t>3.41</w:t>
            </w:r>
          </w:p>
        </w:tc>
        <w:tc>
          <w:tcPr>
            <w:tcW w:w="1303" w:type="dxa"/>
          </w:tcPr>
          <w:p w:rsidR="007C5447" w:rsidRDefault="00F6308C">
            <w:pPr>
              <w:pStyle w:val="TableParagraph"/>
              <w:spacing w:before="70"/>
              <w:ind w:left="297"/>
              <w:jc w:val="left"/>
              <w:rPr>
                <w:sz w:val="20"/>
              </w:rPr>
            </w:pPr>
            <w:r>
              <w:rPr>
                <w:sz w:val="20"/>
              </w:rPr>
              <w:t>3,963.00</w:t>
            </w:r>
          </w:p>
        </w:tc>
        <w:tc>
          <w:tcPr>
            <w:tcW w:w="1216" w:type="dxa"/>
          </w:tcPr>
          <w:p w:rsidR="007C5447" w:rsidRDefault="00F6308C">
            <w:pPr>
              <w:pStyle w:val="TableParagraph"/>
              <w:spacing w:before="70"/>
              <w:ind w:left="214"/>
              <w:jc w:val="left"/>
              <w:rPr>
                <w:sz w:val="20"/>
              </w:rPr>
            </w:pPr>
            <w:r>
              <w:rPr>
                <w:sz w:val="20"/>
              </w:rPr>
              <w:t>1,303.00</w:t>
            </w:r>
          </w:p>
        </w:tc>
        <w:tc>
          <w:tcPr>
            <w:tcW w:w="1163" w:type="dxa"/>
          </w:tcPr>
          <w:p w:rsidR="007C5447" w:rsidRDefault="00F6308C">
            <w:pPr>
              <w:pStyle w:val="TableParagraph"/>
              <w:spacing w:before="70"/>
              <w:ind w:left="507"/>
              <w:jc w:val="left"/>
              <w:rPr>
                <w:sz w:val="20"/>
              </w:rPr>
            </w:pPr>
            <w:r>
              <w:rPr>
                <w:sz w:val="20"/>
              </w:rPr>
              <w:t>3.29</w:t>
            </w:r>
          </w:p>
        </w:tc>
        <w:tc>
          <w:tcPr>
            <w:tcW w:w="1339" w:type="dxa"/>
          </w:tcPr>
          <w:p w:rsidR="007C5447" w:rsidRDefault="00F6308C">
            <w:pPr>
              <w:pStyle w:val="TableParagraph"/>
              <w:spacing w:before="70"/>
              <w:ind w:left="338"/>
              <w:jc w:val="left"/>
              <w:rPr>
                <w:sz w:val="20"/>
              </w:rPr>
            </w:pPr>
            <w:r>
              <w:rPr>
                <w:sz w:val="20"/>
              </w:rPr>
              <w:t>3,963.00</w:t>
            </w:r>
          </w:p>
        </w:tc>
        <w:tc>
          <w:tcPr>
            <w:tcW w:w="1449" w:type="dxa"/>
          </w:tcPr>
          <w:p w:rsidR="007C5447" w:rsidRDefault="00F6308C">
            <w:pPr>
              <w:pStyle w:val="TableParagraph"/>
              <w:spacing w:before="70"/>
              <w:ind w:left="447"/>
              <w:jc w:val="left"/>
              <w:rPr>
                <w:sz w:val="20"/>
              </w:rPr>
            </w:pPr>
            <w:r>
              <w:rPr>
                <w:sz w:val="20"/>
              </w:rPr>
              <w:t>1,303.00</w:t>
            </w:r>
          </w:p>
        </w:tc>
        <w:tc>
          <w:tcPr>
            <w:tcW w:w="1161" w:type="dxa"/>
          </w:tcPr>
          <w:p w:rsidR="007C5447" w:rsidRDefault="00F6308C">
            <w:pPr>
              <w:pStyle w:val="TableParagraph"/>
              <w:spacing w:before="70"/>
              <w:ind w:left="510"/>
              <w:jc w:val="left"/>
              <w:rPr>
                <w:sz w:val="20"/>
              </w:rPr>
            </w:pPr>
            <w:r>
              <w:rPr>
                <w:sz w:val="20"/>
              </w:rPr>
              <w:t>3.29</w:t>
            </w:r>
          </w:p>
        </w:tc>
      </w:tr>
      <w:tr w:rsidR="007C5447">
        <w:trPr>
          <w:trHeight w:val="372"/>
        </w:trPr>
        <w:tc>
          <w:tcPr>
            <w:tcW w:w="2856" w:type="dxa"/>
            <w:tcBorders>
              <w:left w:val="single" w:sz="8" w:space="0" w:color="000000"/>
            </w:tcBorders>
          </w:tcPr>
          <w:p w:rsidR="007C5447" w:rsidRDefault="00F6308C">
            <w:pPr>
              <w:pStyle w:val="TableParagraph"/>
              <w:spacing w:before="70"/>
              <w:ind w:left="107"/>
              <w:jc w:val="left"/>
              <w:rPr>
                <w:sz w:val="20"/>
              </w:rPr>
            </w:pPr>
            <w:r>
              <w:rPr>
                <w:sz w:val="20"/>
              </w:rPr>
              <w:t>Biomass</w:t>
            </w:r>
          </w:p>
        </w:tc>
        <w:tc>
          <w:tcPr>
            <w:tcW w:w="1339" w:type="dxa"/>
          </w:tcPr>
          <w:p w:rsidR="007C5447" w:rsidRDefault="00F6308C">
            <w:pPr>
              <w:pStyle w:val="TableParagraph"/>
              <w:spacing w:before="70"/>
              <w:ind w:right="294"/>
              <w:rPr>
                <w:sz w:val="20"/>
              </w:rPr>
            </w:pPr>
            <w:r>
              <w:rPr>
                <w:sz w:val="20"/>
              </w:rPr>
              <w:t>6.00</w:t>
            </w:r>
          </w:p>
        </w:tc>
        <w:tc>
          <w:tcPr>
            <w:tcW w:w="1216" w:type="dxa"/>
          </w:tcPr>
          <w:p w:rsidR="007C5447" w:rsidRDefault="00F6308C">
            <w:pPr>
              <w:pStyle w:val="TableParagraph"/>
              <w:spacing w:before="70"/>
              <w:ind w:left="560"/>
              <w:jc w:val="left"/>
              <w:rPr>
                <w:sz w:val="20"/>
              </w:rPr>
            </w:pPr>
            <w:r>
              <w:rPr>
                <w:sz w:val="20"/>
              </w:rPr>
              <w:t>3.00</w:t>
            </w:r>
          </w:p>
        </w:tc>
        <w:tc>
          <w:tcPr>
            <w:tcW w:w="1161" w:type="dxa"/>
          </w:tcPr>
          <w:p w:rsidR="007C5447" w:rsidRDefault="00F6308C">
            <w:pPr>
              <w:pStyle w:val="TableParagraph"/>
              <w:spacing w:before="70"/>
              <w:ind w:left="505"/>
              <w:jc w:val="left"/>
              <w:rPr>
                <w:sz w:val="20"/>
              </w:rPr>
            </w:pPr>
            <w:r>
              <w:rPr>
                <w:sz w:val="20"/>
              </w:rPr>
              <w:t>5.00</w:t>
            </w:r>
          </w:p>
        </w:tc>
        <w:tc>
          <w:tcPr>
            <w:tcW w:w="1303" w:type="dxa"/>
          </w:tcPr>
          <w:p w:rsidR="007C5447" w:rsidRDefault="00F6308C">
            <w:pPr>
              <w:pStyle w:val="TableParagraph"/>
              <w:spacing w:before="70"/>
              <w:ind w:left="547"/>
              <w:jc w:val="left"/>
              <w:rPr>
                <w:sz w:val="20"/>
              </w:rPr>
            </w:pPr>
            <w:r>
              <w:rPr>
                <w:sz w:val="20"/>
              </w:rPr>
              <w:t>18.00</w:t>
            </w:r>
          </w:p>
        </w:tc>
        <w:tc>
          <w:tcPr>
            <w:tcW w:w="1216" w:type="dxa"/>
          </w:tcPr>
          <w:p w:rsidR="007C5447" w:rsidRDefault="00F6308C">
            <w:pPr>
              <w:pStyle w:val="TableParagraph"/>
              <w:spacing w:before="70"/>
              <w:ind w:left="562"/>
              <w:jc w:val="left"/>
              <w:rPr>
                <w:sz w:val="20"/>
              </w:rPr>
            </w:pPr>
            <w:r>
              <w:rPr>
                <w:sz w:val="20"/>
              </w:rPr>
              <w:t>7.00</w:t>
            </w:r>
          </w:p>
        </w:tc>
        <w:tc>
          <w:tcPr>
            <w:tcW w:w="1163" w:type="dxa"/>
          </w:tcPr>
          <w:p w:rsidR="007C5447" w:rsidRDefault="00F6308C">
            <w:pPr>
              <w:pStyle w:val="TableParagraph"/>
              <w:spacing w:before="70"/>
              <w:ind w:left="507"/>
              <w:jc w:val="left"/>
              <w:rPr>
                <w:sz w:val="20"/>
              </w:rPr>
            </w:pPr>
            <w:r>
              <w:rPr>
                <w:sz w:val="20"/>
              </w:rPr>
              <w:t>3.89</w:t>
            </w:r>
          </w:p>
        </w:tc>
        <w:tc>
          <w:tcPr>
            <w:tcW w:w="1339" w:type="dxa"/>
          </w:tcPr>
          <w:p w:rsidR="007C5447" w:rsidRDefault="00F6308C">
            <w:pPr>
              <w:pStyle w:val="TableParagraph"/>
              <w:spacing w:before="70"/>
              <w:ind w:left="587"/>
              <w:jc w:val="left"/>
              <w:rPr>
                <w:sz w:val="20"/>
              </w:rPr>
            </w:pPr>
            <w:r>
              <w:rPr>
                <w:sz w:val="20"/>
              </w:rPr>
              <w:t>18.00</w:t>
            </w:r>
          </w:p>
        </w:tc>
        <w:tc>
          <w:tcPr>
            <w:tcW w:w="1449" w:type="dxa"/>
          </w:tcPr>
          <w:p w:rsidR="007C5447" w:rsidRDefault="00F6308C">
            <w:pPr>
              <w:pStyle w:val="TableParagraph"/>
              <w:spacing w:before="70"/>
              <w:ind w:left="795"/>
              <w:jc w:val="left"/>
              <w:rPr>
                <w:sz w:val="20"/>
              </w:rPr>
            </w:pPr>
            <w:r>
              <w:rPr>
                <w:sz w:val="20"/>
              </w:rPr>
              <w:t>7.00</w:t>
            </w:r>
          </w:p>
        </w:tc>
        <w:tc>
          <w:tcPr>
            <w:tcW w:w="1161" w:type="dxa"/>
          </w:tcPr>
          <w:p w:rsidR="007C5447" w:rsidRDefault="00F6308C">
            <w:pPr>
              <w:pStyle w:val="TableParagraph"/>
              <w:spacing w:before="70"/>
              <w:ind w:left="510"/>
              <w:jc w:val="left"/>
              <w:rPr>
                <w:sz w:val="20"/>
              </w:rPr>
            </w:pPr>
            <w:r>
              <w:rPr>
                <w:sz w:val="20"/>
              </w:rPr>
              <w:t>3.89</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Cogeneration</w:t>
            </w:r>
          </w:p>
        </w:tc>
        <w:tc>
          <w:tcPr>
            <w:tcW w:w="1339" w:type="dxa"/>
          </w:tcPr>
          <w:p w:rsidR="007C5447" w:rsidRDefault="00F6308C">
            <w:pPr>
              <w:pStyle w:val="TableParagraph"/>
              <w:spacing w:before="70"/>
              <w:ind w:left="482"/>
              <w:jc w:val="left"/>
              <w:rPr>
                <w:sz w:val="20"/>
              </w:rPr>
            </w:pPr>
            <w:r>
              <w:rPr>
                <w:sz w:val="20"/>
              </w:rPr>
              <w:t>817.00</w:t>
            </w:r>
          </w:p>
        </w:tc>
        <w:tc>
          <w:tcPr>
            <w:tcW w:w="1216" w:type="dxa"/>
          </w:tcPr>
          <w:p w:rsidR="007C5447" w:rsidRDefault="00F6308C">
            <w:pPr>
              <w:pStyle w:val="TableParagraph"/>
              <w:spacing w:before="70"/>
              <w:ind w:left="361"/>
              <w:jc w:val="left"/>
              <w:rPr>
                <w:sz w:val="20"/>
              </w:rPr>
            </w:pPr>
            <w:r>
              <w:rPr>
                <w:sz w:val="20"/>
              </w:rPr>
              <w:t>293.00</w:t>
            </w:r>
          </w:p>
        </w:tc>
        <w:tc>
          <w:tcPr>
            <w:tcW w:w="1161" w:type="dxa"/>
          </w:tcPr>
          <w:p w:rsidR="007C5447" w:rsidRDefault="00F6308C">
            <w:pPr>
              <w:pStyle w:val="TableParagraph"/>
              <w:spacing w:before="70"/>
              <w:ind w:left="505"/>
              <w:jc w:val="left"/>
              <w:rPr>
                <w:sz w:val="20"/>
              </w:rPr>
            </w:pPr>
            <w:r>
              <w:rPr>
                <w:sz w:val="20"/>
              </w:rPr>
              <w:t>3.59</w:t>
            </w:r>
          </w:p>
        </w:tc>
        <w:tc>
          <w:tcPr>
            <w:tcW w:w="1303" w:type="dxa"/>
          </w:tcPr>
          <w:p w:rsidR="007C5447" w:rsidRDefault="00F6308C">
            <w:pPr>
              <w:pStyle w:val="TableParagraph"/>
              <w:spacing w:before="70"/>
              <w:ind w:left="297"/>
              <w:jc w:val="left"/>
              <w:rPr>
                <w:sz w:val="20"/>
              </w:rPr>
            </w:pPr>
            <w:r>
              <w:rPr>
                <w:sz w:val="20"/>
              </w:rPr>
              <w:t>1,508.00</w:t>
            </w:r>
          </w:p>
        </w:tc>
        <w:tc>
          <w:tcPr>
            <w:tcW w:w="1216" w:type="dxa"/>
          </w:tcPr>
          <w:p w:rsidR="007C5447" w:rsidRDefault="00F6308C">
            <w:pPr>
              <w:pStyle w:val="TableParagraph"/>
              <w:spacing w:before="70"/>
              <w:ind w:left="362"/>
              <w:jc w:val="left"/>
              <w:rPr>
                <w:sz w:val="20"/>
              </w:rPr>
            </w:pPr>
            <w:r>
              <w:rPr>
                <w:sz w:val="20"/>
              </w:rPr>
              <w:t>779.00</w:t>
            </w:r>
          </w:p>
        </w:tc>
        <w:tc>
          <w:tcPr>
            <w:tcW w:w="1163" w:type="dxa"/>
          </w:tcPr>
          <w:p w:rsidR="007C5447" w:rsidRDefault="00F6308C">
            <w:pPr>
              <w:pStyle w:val="TableParagraph"/>
              <w:spacing w:before="70"/>
              <w:ind w:left="507"/>
              <w:jc w:val="left"/>
              <w:rPr>
                <w:sz w:val="20"/>
              </w:rPr>
            </w:pPr>
            <w:r>
              <w:rPr>
                <w:sz w:val="20"/>
              </w:rPr>
              <w:t>5.17</w:t>
            </w:r>
          </w:p>
        </w:tc>
        <w:tc>
          <w:tcPr>
            <w:tcW w:w="1339" w:type="dxa"/>
          </w:tcPr>
          <w:p w:rsidR="007C5447" w:rsidRDefault="00F6308C">
            <w:pPr>
              <w:pStyle w:val="TableParagraph"/>
              <w:spacing w:before="70"/>
              <w:ind w:left="338"/>
              <w:jc w:val="left"/>
              <w:rPr>
                <w:sz w:val="20"/>
              </w:rPr>
            </w:pPr>
            <w:r>
              <w:rPr>
                <w:sz w:val="20"/>
              </w:rPr>
              <w:t>1,508.00</w:t>
            </w:r>
          </w:p>
        </w:tc>
        <w:tc>
          <w:tcPr>
            <w:tcW w:w="1449" w:type="dxa"/>
          </w:tcPr>
          <w:p w:rsidR="007C5447" w:rsidRDefault="00F6308C">
            <w:pPr>
              <w:pStyle w:val="TableParagraph"/>
              <w:spacing w:before="70"/>
              <w:ind w:left="595"/>
              <w:jc w:val="left"/>
              <w:rPr>
                <w:sz w:val="20"/>
              </w:rPr>
            </w:pPr>
            <w:r>
              <w:rPr>
                <w:sz w:val="20"/>
              </w:rPr>
              <w:t>779.00</w:t>
            </w:r>
          </w:p>
        </w:tc>
        <w:tc>
          <w:tcPr>
            <w:tcW w:w="1161" w:type="dxa"/>
          </w:tcPr>
          <w:p w:rsidR="007C5447" w:rsidRDefault="00F6308C">
            <w:pPr>
              <w:pStyle w:val="TableParagraph"/>
              <w:spacing w:before="70"/>
              <w:ind w:left="510"/>
              <w:jc w:val="left"/>
              <w:rPr>
                <w:sz w:val="20"/>
              </w:rPr>
            </w:pPr>
            <w:r>
              <w:rPr>
                <w:sz w:val="20"/>
              </w:rPr>
              <w:t>5.17</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Captive</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left="297"/>
              <w:jc w:val="left"/>
              <w:rPr>
                <w:sz w:val="20"/>
              </w:rPr>
            </w:pPr>
            <w:r>
              <w:rPr>
                <w:sz w:val="20"/>
              </w:rPr>
              <w:t>2,972.00</w:t>
            </w:r>
          </w:p>
        </w:tc>
        <w:tc>
          <w:tcPr>
            <w:tcW w:w="1216" w:type="dxa"/>
          </w:tcPr>
          <w:p w:rsidR="007C5447" w:rsidRDefault="00F6308C">
            <w:pPr>
              <w:pStyle w:val="TableParagraph"/>
              <w:spacing w:before="70"/>
              <w:ind w:left="214"/>
              <w:jc w:val="left"/>
              <w:rPr>
                <w:sz w:val="20"/>
              </w:rPr>
            </w:pPr>
            <w:r>
              <w:rPr>
                <w:sz w:val="20"/>
              </w:rPr>
              <w:t>1,432.00</w:t>
            </w:r>
          </w:p>
        </w:tc>
        <w:tc>
          <w:tcPr>
            <w:tcW w:w="1163" w:type="dxa"/>
          </w:tcPr>
          <w:p w:rsidR="007C5447" w:rsidRDefault="00F6308C">
            <w:pPr>
              <w:pStyle w:val="TableParagraph"/>
              <w:spacing w:before="70"/>
              <w:ind w:left="507"/>
              <w:jc w:val="left"/>
              <w:rPr>
                <w:sz w:val="20"/>
              </w:rPr>
            </w:pPr>
            <w:r>
              <w:rPr>
                <w:sz w:val="20"/>
              </w:rPr>
              <w:t>4.82</w:t>
            </w:r>
          </w:p>
        </w:tc>
        <w:tc>
          <w:tcPr>
            <w:tcW w:w="1339" w:type="dxa"/>
          </w:tcPr>
          <w:p w:rsidR="007C5447" w:rsidRDefault="00F6308C">
            <w:pPr>
              <w:pStyle w:val="TableParagraph"/>
              <w:spacing w:before="70"/>
              <w:ind w:left="338"/>
              <w:jc w:val="left"/>
              <w:rPr>
                <w:sz w:val="20"/>
              </w:rPr>
            </w:pPr>
            <w:r>
              <w:rPr>
                <w:sz w:val="20"/>
              </w:rPr>
              <w:t>2,972.00</w:t>
            </w:r>
          </w:p>
        </w:tc>
        <w:tc>
          <w:tcPr>
            <w:tcW w:w="1449" w:type="dxa"/>
          </w:tcPr>
          <w:p w:rsidR="007C5447" w:rsidRDefault="00F6308C">
            <w:pPr>
              <w:pStyle w:val="TableParagraph"/>
              <w:spacing w:before="70"/>
              <w:ind w:left="447"/>
              <w:jc w:val="left"/>
              <w:rPr>
                <w:sz w:val="20"/>
              </w:rPr>
            </w:pPr>
            <w:r>
              <w:rPr>
                <w:sz w:val="20"/>
              </w:rPr>
              <w:t>1,432.00</w:t>
            </w:r>
          </w:p>
        </w:tc>
        <w:tc>
          <w:tcPr>
            <w:tcW w:w="1161" w:type="dxa"/>
          </w:tcPr>
          <w:p w:rsidR="007C5447" w:rsidRDefault="00F6308C">
            <w:pPr>
              <w:pStyle w:val="TableParagraph"/>
              <w:spacing w:before="70"/>
              <w:ind w:left="510"/>
              <w:jc w:val="left"/>
              <w:rPr>
                <w:sz w:val="20"/>
              </w:rPr>
            </w:pPr>
            <w:r>
              <w:rPr>
                <w:sz w:val="20"/>
              </w:rPr>
              <w:t>4.82</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9"/>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56"/>
        <w:gridCol w:w="1339"/>
        <w:gridCol w:w="1216"/>
        <w:gridCol w:w="1161"/>
        <w:gridCol w:w="1303"/>
        <w:gridCol w:w="1216"/>
        <w:gridCol w:w="1163"/>
        <w:gridCol w:w="1339"/>
        <w:gridCol w:w="1449"/>
        <w:gridCol w:w="1161"/>
      </w:tblGrid>
      <w:tr w:rsidR="007C5447">
        <w:trPr>
          <w:trHeight w:val="369"/>
        </w:trPr>
        <w:tc>
          <w:tcPr>
            <w:tcW w:w="2856"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987" w:right="971"/>
              <w:jc w:val="center"/>
              <w:rPr>
                <w:b/>
                <w:sz w:val="20"/>
              </w:rPr>
            </w:pPr>
            <w:r>
              <w:rPr>
                <w:b/>
                <w:sz w:val="20"/>
              </w:rPr>
              <w:t>Source</w:t>
            </w:r>
          </w:p>
        </w:tc>
        <w:tc>
          <w:tcPr>
            <w:tcW w:w="11347" w:type="dxa"/>
            <w:gridSpan w:val="9"/>
            <w:shd w:val="clear" w:color="auto" w:fill="F7C9AC"/>
          </w:tcPr>
          <w:p w:rsidR="007C5447" w:rsidRDefault="00F6308C">
            <w:pPr>
              <w:pStyle w:val="TableParagraph"/>
              <w:spacing w:before="125" w:line="224" w:lineRule="exact"/>
              <w:ind w:left="5166" w:right="5137"/>
              <w:jc w:val="center"/>
              <w:rPr>
                <w:b/>
                <w:sz w:val="20"/>
              </w:rPr>
            </w:pPr>
            <w:r>
              <w:rPr>
                <w:b/>
                <w:sz w:val="20"/>
              </w:rPr>
              <w:t>FY 2014-15</w:t>
            </w:r>
          </w:p>
        </w:tc>
      </w:tr>
      <w:tr w:rsidR="007C5447">
        <w:trPr>
          <w:trHeight w:val="371"/>
        </w:trPr>
        <w:tc>
          <w:tcPr>
            <w:tcW w:w="2856" w:type="dxa"/>
            <w:vMerge/>
            <w:tcBorders>
              <w:top w:val="nil"/>
            </w:tcBorders>
            <w:shd w:val="clear" w:color="auto" w:fill="F7C9AC"/>
          </w:tcPr>
          <w:p w:rsidR="007C5447" w:rsidRDefault="007C5447">
            <w:pPr>
              <w:rPr>
                <w:sz w:val="2"/>
                <w:szCs w:val="2"/>
              </w:rPr>
            </w:pPr>
          </w:p>
        </w:tc>
        <w:tc>
          <w:tcPr>
            <w:tcW w:w="3716" w:type="dxa"/>
            <w:gridSpan w:val="3"/>
            <w:shd w:val="clear" w:color="auto" w:fill="F7C9AC"/>
          </w:tcPr>
          <w:p w:rsidR="007C5447" w:rsidRDefault="00F6308C">
            <w:pPr>
              <w:pStyle w:val="TableParagraph"/>
              <w:spacing w:before="70"/>
              <w:ind w:left="1331" w:right="1308"/>
              <w:jc w:val="center"/>
              <w:rPr>
                <w:b/>
                <w:sz w:val="20"/>
              </w:rPr>
            </w:pPr>
            <w:r>
              <w:rPr>
                <w:b/>
                <w:sz w:val="20"/>
              </w:rPr>
              <w:t>SMT Order</w:t>
            </w:r>
          </w:p>
        </w:tc>
        <w:tc>
          <w:tcPr>
            <w:tcW w:w="3682" w:type="dxa"/>
            <w:gridSpan w:val="3"/>
            <w:shd w:val="clear" w:color="auto" w:fill="F7C9AC"/>
          </w:tcPr>
          <w:p w:rsidR="007C5447" w:rsidRDefault="00F6308C">
            <w:pPr>
              <w:pStyle w:val="TableParagraph"/>
              <w:spacing w:before="70"/>
              <w:ind w:left="1243" w:right="1223"/>
              <w:jc w:val="center"/>
              <w:rPr>
                <w:b/>
                <w:sz w:val="20"/>
              </w:rPr>
            </w:pPr>
            <w:r>
              <w:rPr>
                <w:b/>
                <w:sz w:val="20"/>
              </w:rPr>
              <w:t>TANGEDCO</w:t>
            </w:r>
          </w:p>
        </w:tc>
        <w:tc>
          <w:tcPr>
            <w:tcW w:w="3949" w:type="dxa"/>
            <w:gridSpan w:val="3"/>
            <w:shd w:val="clear" w:color="auto" w:fill="F7C9AC"/>
          </w:tcPr>
          <w:p w:rsidR="007C5447" w:rsidRDefault="00F6308C">
            <w:pPr>
              <w:pStyle w:val="TableParagraph"/>
              <w:spacing w:before="70"/>
              <w:ind w:left="987"/>
              <w:jc w:val="left"/>
              <w:rPr>
                <w:b/>
                <w:sz w:val="20"/>
              </w:rPr>
            </w:pPr>
            <w:r>
              <w:rPr>
                <w:b/>
                <w:sz w:val="20"/>
              </w:rPr>
              <w:t>Approved after true up</w:t>
            </w:r>
          </w:p>
        </w:tc>
      </w:tr>
      <w:tr w:rsidR="007C5447">
        <w:trPr>
          <w:trHeight w:val="489"/>
        </w:trPr>
        <w:tc>
          <w:tcPr>
            <w:tcW w:w="2856" w:type="dxa"/>
            <w:vMerge/>
            <w:tcBorders>
              <w:top w:val="nil"/>
            </w:tcBorders>
            <w:shd w:val="clear" w:color="auto" w:fill="F7C9AC"/>
          </w:tcPr>
          <w:p w:rsidR="007C5447" w:rsidRDefault="007C5447">
            <w:pPr>
              <w:rPr>
                <w:sz w:val="2"/>
                <w:szCs w:val="2"/>
              </w:rPr>
            </w:pPr>
          </w:p>
        </w:tc>
        <w:tc>
          <w:tcPr>
            <w:tcW w:w="1339" w:type="dxa"/>
            <w:shd w:val="clear" w:color="auto" w:fill="F7C9AC"/>
          </w:tcPr>
          <w:p w:rsidR="007C5447" w:rsidRDefault="00F6308C">
            <w:pPr>
              <w:pStyle w:val="TableParagraph"/>
              <w:spacing w:before="14" w:line="230" w:lineRule="atLeast"/>
              <w:ind w:left="441" w:right="223" w:hanging="178"/>
              <w:jc w:val="left"/>
              <w:rPr>
                <w:b/>
                <w:sz w:val="20"/>
              </w:rPr>
            </w:pPr>
            <w:r>
              <w:rPr>
                <w:b/>
                <w:sz w:val="20"/>
              </w:rPr>
              <w:t>Quantum (MU)</w:t>
            </w:r>
          </w:p>
        </w:tc>
        <w:tc>
          <w:tcPr>
            <w:tcW w:w="1216" w:type="dxa"/>
            <w:shd w:val="clear" w:color="auto" w:fill="F7C9AC"/>
          </w:tcPr>
          <w:p w:rsidR="007C5447" w:rsidRDefault="00F6308C">
            <w:pPr>
              <w:pStyle w:val="TableParagraph"/>
              <w:spacing w:before="14" w:line="230" w:lineRule="atLeast"/>
              <w:ind w:left="269" w:right="228" w:firstLine="151"/>
              <w:jc w:val="left"/>
              <w:rPr>
                <w:b/>
                <w:sz w:val="20"/>
              </w:rPr>
            </w:pPr>
            <w:r>
              <w:rPr>
                <w:b/>
                <w:sz w:val="20"/>
              </w:rPr>
              <w:t>Cost (Rs. Cr)</w:t>
            </w:r>
          </w:p>
        </w:tc>
        <w:tc>
          <w:tcPr>
            <w:tcW w:w="1161" w:type="dxa"/>
            <w:shd w:val="clear" w:color="auto" w:fill="F7C9AC"/>
          </w:tcPr>
          <w:p w:rsidR="007C5447" w:rsidRDefault="00F6308C">
            <w:pPr>
              <w:pStyle w:val="TableParagraph"/>
              <w:spacing w:before="14" w:line="230" w:lineRule="atLeast"/>
              <w:ind w:left="169" w:firstLine="216"/>
              <w:jc w:val="left"/>
              <w:rPr>
                <w:b/>
                <w:sz w:val="20"/>
              </w:rPr>
            </w:pPr>
            <w:r>
              <w:rPr>
                <w:b/>
                <w:sz w:val="20"/>
              </w:rPr>
              <w:t xml:space="preserve">Rate </w:t>
            </w:r>
            <w:r>
              <w:rPr>
                <w:b/>
                <w:w w:val="95"/>
                <w:sz w:val="20"/>
              </w:rPr>
              <w:t>(Rs/kWh)</w:t>
            </w:r>
          </w:p>
        </w:tc>
        <w:tc>
          <w:tcPr>
            <w:tcW w:w="1303" w:type="dxa"/>
            <w:shd w:val="clear" w:color="auto" w:fill="F7C9AC"/>
          </w:tcPr>
          <w:p w:rsidR="007C5447" w:rsidRDefault="00F6308C">
            <w:pPr>
              <w:pStyle w:val="TableParagraph"/>
              <w:spacing w:before="14" w:line="230" w:lineRule="atLeast"/>
              <w:ind w:left="424" w:right="204" w:hanging="178"/>
              <w:jc w:val="left"/>
              <w:rPr>
                <w:b/>
                <w:sz w:val="20"/>
              </w:rPr>
            </w:pPr>
            <w:r>
              <w:rPr>
                <w:b/>
                <w:sz w:val="20"/>
              </w:rPr>
              <w:t>Quantum (MU)</w:t>
            </w:r>
          </w:p>
        </w:tc>
        <w:tc>
          <w:tcPr>
            <w:tcW w:w="1216" w:type="dxa"/>
            <w:shd w:val="clear" w:color="auto" w:fill="F7C9AC"/>
          </w:tcPr>
          <w:p w:rsidR="007C5447" w:rsidRDefault="00F6308C">
            <w:pPr>
              <w:pStyle w:val="TableParagraph"/>
              <w:spacing w:before="14" w:line="230" w:lineRule="atLeast"/>
              <w:ind w:left="271" w:right="226" w:firstLine="151"/>
              <w:jc w:val="left"/>
              <w:rPr>
                <w:b/>
                <w:sz w:val="20"/>
              </w:rPr>
            </w:pPr>
            <w:r>
              <w:rPr>
                <w:b/>
                <w:sz w:val="20"/>
              </w:rPr>
              <w:t>Cost (Rs. Cr)</w:t>
            </w:r>
          </w:p>
        </w:tc>
        <w:tc>
          <w:tcPr>
            <w:tcW w:w="1163" w:type="dxa"/>
            <w:shd w:val="clear" w:color="auto" w:fill="F7C9AC"/>
          </w:tcPr>
          <w:p w:rsidR="007C5447" w:rsidRDefault="00F6308C">
            <w:pPr>
              <w:pStyle w:val="TableParagraph"/>
              <w:spacing w:before="14" w:line="230" w:lineRule="atLeast"/>
              <w:ind w:left="171" w:firstLine="216"/>
              <w:jc w:val="left"/>
              <w:rPr>
                <w:b/>
                <w:sz w:val="20"/>
              </w:rPr>
            </w:pPr>
            <w:r>
              <w:rPr>
                <w:b/>
                <w:sz w:val="20"/>
              </w:rPr>
              <w:t xml:space="preserve">Rate </w:t>
            </w:r>
            <w:r>
              <w:rPr>
                <w:b/>
                <w:w w:val="95"/>
                <w:sz w:val="20"/>
              </w:rPr>
              <w:t>(Rs/kWh)</w:t>
            </w:r>
          </w:p>
        </w:tc>
        <w:tc>
          <w:tcPr>
            <w:tcW w:w="1339" w:type="dxa"/>
            <w:shd w:val="clear" w:color="auto" w:fill="F7C9AC"/>
          </w:tcPr>
          <w:p w:rsidR="007C5447" w:rsidRDefault="00F6308C">
            <w:pPr>
              <w:pStyle w:val="TableParagraph"/>
              <w:spacing w:before="14" w:line="230" w:lineRule="atLeast"/>
              <w:ind w:left="446" w:right="218" w:hanging="178"/>
              <w:jc w:val="left"/>
              <w:rPr>
                <w:b/>
                <w:sz w:val="20"/>
              </w:rPr>
            </w:pPr>
            <w:r>
              <w:rPr>
                <w:b/>
                <w:sz w:val="20"/>
              </w:rPr>
              <w:t>Quantum (MU)</w:t>
            </w:r>
          </w:p>
        </w:tc>
        <w:tc>
          <w:tcPr>
            <w:tcW w:w="1449" w:type="dxa"/>
            <w:shd w:val="clear" w:color="auto" w:fill="F7C9AC"/>
          </w:tcPr>
          <w:p w:rsidR="007C5447" w:rsidRDefault="00F6308C">
            <w:pPr>
              <w:pStyle w:val="TableParagraph"/>
              <w:spacing w:before="14" w:line="230" w:lineRule="atLeast"/>
              <w:ind w:left="387" w:right="241" w:hanging="104"/>
              <w:jc w:val="left"/>
              <w:rPr>
                <w:b/>
                <w:sz w:val="20"/>
              </w:rPr>
            </w:pPr>
            <w:r>
              <w:rPr>
                <w:b/>
                <w:sz w:val="20"/>
              </w:rPr>
              <w:t>Total Cost (Rs. Cr)</w:t>
            </w:r>
          </w:p>
        </w:tc>
        <w:tc>
          <w:tcPr>
            <w:tcW w:w="1161" w:type="dxa"/>
            <w:shd w:val="clear" w:color="auto" w:fill="F7C9AC"/>
          </w:tcPr>
          <w:p w:rsidR="007C5447" w:rsidRDefault="00F6308C">
            <w:pPr>
              <w:pStyle w:val="TableParagraph"/>
              <w:spacing w:before="14" w:line="230" w:lineRule="atLeast"/>
              <w:ind w:left="174" w:firstLine="216"/>
              <w:jc w:val="left"/>
              <w:rPr>
                <w:b/>
                <w:sz w:val="20"/>
              </w:rPr>
            </w:pPr>
            <w:r>
              <w:rPr>
                <w:b/>
                <w:sz w:val="20"/>
              </w:rPr>
              <w:t xml:space="preserve">Rate </w:t>
            </w:r>
            <w:r>
              <w:rPr>
                <w:b/>
                <w:w w:val="95"/>
                <w:sz w:val="20"/>
              </w:rPr>
              <w:t>(Rs/kWh)</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Solar</w:t>
            </w:r>
          </w:p>
        </w:tc>
        <w:tc>
          <w:tcPr>
            <w:tcW w:w="1339" w:type="dxa"/>
          </w:tcPr>
          <w:p w:rsidR="007C5447" w:rsidRDefault="00F6308C">
            <w:pPr>
              <w:pStyle w:val="TableParagraph"/>
              <w:spacing w:before="70"/>
              <w:ind w:right="294"/>
              <w:rPr>
                <w:sz w:val="20"/>
              </w:rPr>
            </w:pPr>
            <w:r>
              <w:rPr>
                <w:w w:val="95"/>
                <w:sz w:val="20"/>
              </w:rPr>
              <w:t>97.00</w:t>
            </w:r>
          </w:p>
        </w:tc>
        <w:tc>
          <w:tcPr>
            <w:tcW w:w="1216" w:type="dxa"/>
          </w:tcPr>
          <w:p w:rsidR="007C5447" w:rsidRDefault="00F6308C">
            <w:pPr>
              <w:pStyle w:val="TableParagraph"/>
              <w:spacing w:before="70"/>
              <w:ind w:right="292"/>
              <w:rPr>
                <w:sz w:val="20"/>
              </w:rPr>
            </w:pPr>
            <w:r>
              <w:rPr>
                <w:w w:val="95"/>
                <w:sz w:val="20"/>
              </w:rPr>
              <w:t>52.00</w:t>
            </w:r>
          </w:p>
        </w:tc>
        <w:tc>
          <w:tcPr>
            <w:tcW w:w="1161" w:type="dxa"/>
          </w:tcPr>
          <w:p w:rsidR="007C5447" w:rsidRDefault="00F6308C">
            <w:pPr>
              <w:pStyle w:val="TableParagraph"/>
              <w:spacing w:before="70"/>
              <w:ind w:right="292"/>
              <w:rPr>
                <w:sz w:val="20"/>
              </w:rPr>
            </w:pPr>
            <w:r>
              <w:rPr>
                <w:sz w:val="20"/>
              </w:rPr>
              <w:t>5.36</w:t>
            </w:r>
          </w:p>
        </w:tc>
        <w:tc>
          <w:tcPr>
            <w:tcW w:w="1303" w:type="dxa"/>
          </w:tcPr>
          <w:p w:rsidR="007C5447" w:rsidRDefault="00F6308C">
            <w:pPr>
              <w:pStyle w:val="TableParagraph"/>
              <w:spacing w:before="70"/>
              <w:ind w:right="294"/>
              <w:rPr>
                <w:sz w:val="20"/>
              </w:rPr>
            </w:pPr>
            <w:r>
              <w:rPr>
                <w:w w:val="95"/>
                <w:sz w:val="20"/>
              </w:rPr>
              <w:t>25.00</w:t>
            </w:r>
          </w:p>
        </w:tc>
        <w:tc>
          <w:tcPr>
            <w:tcW w:w="1216" w:type="dxa"/>
          </w:tcPr>
          <w:p w:rsidR="007C5447" w:rsidRDefault="00F6308C">
            <w:pPr>
              <w:pStyle w:val="TableParagraph"/>
              <w:spacing w:before="70"/>
              <w:ind w:right="290"/>
              <w:rPr>
                <w:sz w:val="20"/>
              </w:rPr>
            </w:pPr>
            <w:r>
              <w:rPr>
                <w:w w:val="95"/>
                <w:sz w:val="20"/>
              </w:rPr>
              <w:t>12.00</w:t>
            </w:r>
          </w:p>
        </w:tc>
        <w:tc>
          <w:tcPr>
            <w:tcW w:w="1163" w:type="dxa"/>
          </w:tcPr>
          <w:p w:rsidR="007C5447" w:rsidRDefault="00F6308C">
            <w:pPr>
              <w:pStyle w:val="TableParagraph"/>
              <w:spacing w:before="70"/>
              <w:ind w:right="292"/>
              <w:rPr>
                <w:sz w:val="20"/>
              </w:rPr>
            </w:pPr>
            <w:r>
              <w:rPr>
                <w:sz w:val="20"/>
              </w:rPr>
              <w:t>4.80</w:t>
            </w:r>
          </w:p>
        </w:tc>
        <w:tc>
          <w:tcPr>
            <w:tcW w:w="1339" w:type="dxa"/>
          </w:tcPr>
          <w:p w:rsidR="007C5447" w:rsidRDefault="00F6308C">
            <w:pPr>
              <w:pStyle w:val="TableParagraph"/>
              <w:spacing w:before="70"/>
              <w:ind w:right="289"/>
              <w:rPr>
                <w:sz w:val="20"/>
              </w:rPr>
            </w:pPr>
            <w:r>
              <w:rPr>
                <w:w w:val="95"/>
                <w:sz w:val="20"/>
              </w:rPr>
              <w:t>25.00</w:t>
            </w:r>
          </w:p>
        </w:tc>
        <w:tc>
          <w:tcPr>
            <w:tcW w:w="1449" w:type="dxa"/>
          </w:tcPr>
          <w:p w:rsidR="007C5447" w:rsidRDefault="00F6308C">
            <w:pPr>
              <w:pStyle w:val="TableParagraph"/>
              <w:spacing w:before="70"/>
              <w:ind w:right="290"/>
              <w:rPr>
                <w:sz w:val="20"/>
              </w:rPr>
            </w:pPr>
            <w:r>
              <w:rPr>
                <w:w w:val="95"/>
                <w:sz w:val="20"/>
              </w:rPr>
              <w:t>12.00</w:t>
            </w:r>
          </w:p>
        </w:tc>
        <w:tc>
          <w:tcPr>
            <w:tcW w:w="1161" w:type="dxa"/>
          </w:tcPr>
          <w:p w:rsidR="007C5447" w:rsidRDefault="00F6308C">
            <w:pPr>
              <w:pStyle w:val="TableParagraph"/>
              <w:spacing w:before="70"/>
              <w:ind w:right="287"/>
              <w:rPr>
                <w:sz w:val="20"/>
              </w:rPr>
            </w:pPr>
            <w:r>
              <w:rPr>
                <w:sz w:val="20"/>
              </w:rPr>
              <w:t>4.80</w:t>
            </w: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b/>
                <w:sz w:val="20"/>
              </w:rPr>
            </w:pPr>
            <w:r>
              <w:rPr>
                <w:b/>
                <w:sz w:val="20"/>
              </w:rPr>
              <w:t>Total Renewables</w:t>
            </w:r>
          </w:p>
        </w:tc>
        <w:tc>
          <w:tcPr>
            <w:tcW w:w="1339" w:type="dxa"/>
          </w:tcPr>
          <w:p w:rsidR="007C5447" w:rsidRDefault="00F6308C">
            <w:pPr>
              <w:pStyle w:val="TableParagraph"/>
              <w:spacing w:before="70"/>
              <w:ind w:right="292"/>
              <w:rPr>
                <w:b/>
                <w:sz w:val="20"/>
              </w:rPr>
            </w:pPr>
            <w:r>
              <w:rPr>
                <w:b/>
                <w:w w:val="95"/>
                <w:sz w:val="20"/>
              </w:rPr>
              <w:t>6,148.00</w:t>
            </w:r>
          </w:p>
        </w:tc>
        <w:tc>
          <w:tcPr>
            <w:tcW w:w="1216" w:type="dxa"/>
          </w:tcPr>
          <w:p w:rsidR="007C5447" w:rsidRDefault="00F6308C">
            <w:pPr>
              <w:pStyle w:val="TableParagraph"/>
              <w:spacing w:before="70"/>
              <w:ind w:right="291"/>
              <w:rPr>
                <w:b/>
                <w:sz w:val="20"/>
              </w:rPr>
            </w:pPr>
            <w:r>
              <w:rPr>
                <w:b/>
                <w:w w:val="95"/>
                <w:sz w:val="20"/>
              </w:rPr>
              <w:t>2,131.00</w:t>
            </w:r>
          </w:p>
        </w:tc>
        <w:tc>
          <w:tcPr>
            <w:tcW w:w="1161" w:type="dxa"/>
          </w:tcPr>
          <w:p w:rsidR="007C5447" w:rsidRDefault="00F6308C">
            <w:pPr>
              <w:pStyle w:val="TableParagraph"/>
              <w:spacing w:before="70"/>
              <w:ind w:right="292"/>
              <w:rPr>
                <w:b/>
                <w:sz w:val="20"/>
              </w:rPr>
            </w:pPr>
            <w:r>
              <w:rPr>
                <w:b/>
                <w:sz w:val="20"/>
              </w:rPr>
              <w:t>3.47</w:t>
            </w:r>
          </w:p>
        </w:tc>
        <w:tc>
          <w:tcPr>
            <w:tcW w:w="1303" w:type="dxa"/>
          </w:tcPr>
          <w:p w:rsidR="007C5447" w:rsidRDefault="00F6308C">
            <w:pPr>
              <w:pStyle w:val="TableParagraph"/>
              <w:spacing w:before="70"/>
              <w:ind w:right="292"/>
              <w:rPr>
                <w:b/>
                <w:sz w:val="20"/>
              </w:rPr>
            </w:pPr>
            <w:r>
              <w:rPr>
                <w:b/>
                <w:w w:val="95"/>
                <w:sz w:val="20"/>
              </w:rPr>
              <w:t>8,486.00</w:t>
            </w:r>
          </w:p>
        </w:tc>
        <w:tc>
          <w:tcPr>
            <w:tcW w:w="1216" w:type="dxa"/>
          </w:tcPr>
          <w:p w:rsidR="007C5447" w:rsidRDefault="00F6308C">
            <w:pPr>
              <w:pStyle w:val="TableParagraph"/>
              <w:spacing w:before="70"/>
              <w:ind w:right="289"/>
              <w:rPr>
                <w:b/>
                <w:sz w:val="20"/>
              </w:rPr>
            </w:pPr>
            <w:r>
              <w:rPr>
                <w:b/>
                <w:w w:val="95"/>
                <w:sz w:val="20"/>
              </w:rPr>
              <w:t>3,533.00</w:t>
            </w:r>
          </w:p>
        </w:tc>
        <w:tc>
          <w:tcPr>
            <w:tcW w:w="1163" w:type="dxa"/>
          </w:tcPr>
          <w:p w:rsidR="007C5447" w:rsidRDefault="00F6308C">
            <w:pPr>
              <w:pStyle w:val="TableParagraph"/>
              <w:spacing w:before="70"/>
              <w:ind w:right="292"/>
              <w:rPr>
                <w:b/>
                <w:sz w:val="20"/>
              </w:rPr>
            </w:pPr>
            <w:r>
              <w:rPr>
                <w:b/>
                <w:sz w:val="20"/>
              </w:rPr>
              <w:t>4.16</w:t>
            </w:r>
          </w:p>
        </w:tc>
        <w:tc>
          <w:tcPr>
            <w:tcW w:w="1339" w:type="dxa"/>
          </w:tcPr>
          <w:p w:rsidR="007C5447" w:rsidRDefault="00F6308C">
            <w:pPr>
              <w:pStyle w:val="TableParagraph"/>
              <w:spacing w:before="70"/>
              <w:ind w:right="287"/>
              <w:rPr>
                <w:b/>
                <w:sz w:val="20"/>
              </w:rPr>
            </w:pPr>
            <w:r>
              <w:rPr>
                <w:b/>
                <w:w w:val="95"/>
                <w:sz w:val="20"/>
              </w:rPr>
              <w:t>8,486.00</w:t>
            </w:r>
          </w:p>
        </w:tc>
        <w:tc>
          <w:tcPr>
            <w:tcW w:w="1449" w:type="dxa"/>
          </w:tcPr>
          <w:p w:rsidR="007C5447" w:rsidRDefault="00F6308C">
            <w:pPr>
              <w:pStyle w:val="TableParagraph"/>
              <w:spacing w:before="70"/>
              <w:ind w:right="289"/>
              <w:rPr>
                <w:b/>
                <w:sz w:val="20"/>
              </w:rPr>
            </w:pPr>
            <w:r>
              <w:rPr>
                <w:b/>
                <w:w w:val="95"/>
                <w:sz w:val="20"/>
              </w:rPr>
              <w:t>3,533.00</w:t>
            </w:r>
          </w:p>
        </w:tc>
        <w:tc>
          <w:tcPr>
            <w:tcW w:w="1161" w:type="dxa"/>
          </w:tcPr>
          <w:p w:rsidR="007C5447" w:rsidRDefault="00F6308C">
            <w:pPr>
              <w:pStyle w:val="TableParagraph"/>
              <w:spacing w:before="70"/>
              <w:ind w:right="287"/>
              <w:rPr>
                <w:b/>
                <w:sz w:val="20"/>
              </w:rPr>
            </w:pPr>
            <w:r>
              <w:rPr>
                <w:b/>
                <w:sz w:val="20"/>
              </w:rPr>
              <w:t>4.16</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b/>
                <w:sz w:val="20"/>
              </w:rPr>
            </w:pPr>
            <w:r>
              <w:rPr>
                <w:b/>
                <w:sz w:val="20"/>
              </w:rPr>
              <w:t>Other Sources</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c>
          <w:tcPr>
            <w:tcW w:w="1449"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Trading - Bilateral &amp; Exchange</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294"/>
              <w:rPr>
                <w:sz w:val="20"/>
              </w:rPr>
            </w:pPr>
            <w:r>
              <w:rPr>
                <w:w w:val="95"/>
                <w:sz w:val="20"/>
              </w:rPr>
              <w:t>387.00</w:t>
            </w:r>
          </w:p>
        </w:tc>
        <w:tc>
          <w:tcPr>
            <w:tcW w:w="1216" w:type="dxa"/>
          </w:tcPr>
          <w:p w:rsidR="007C5447" w:rsidRDefault="00F6308C">
            <w:pPr>
              <w:pStyle w:val="TableParagraph"/>
              <w:spacing w:before="70"/>
              <w:ind w:right="291"/>
              <w:rPr>
                <w:sz w:val="20"/>
              </w:rPr>
            </w:pPr>
            <w:r>
              <w:rPr>
                <w:w w:val="95"/>
                <w:sz w:val="20"/>
              </w:rPr>
              <w:t>205.00</w:t>
            </w:r>
          </w:p>
        </w:tc>
        <w:tc>
          <w:tcPr>
            <w:tcW w:w="1163" w:type="dxa"/>
          </w:tcPr>
          <w:p w:rsidR="007C5447" w:rsidRDefault="00F6308C">
            <w:pPr>
              <w:pStyle w:val="TableParagraph"/>
              <w:spacing w:before="70"/>
              <w:ind w:right="292"/>
              <w:rPr>
                <w:sz w:val="20"/>
              </w:rPr>
            </w:pPr>
            <w:r>
              <w:rPr>
                <w:sz w:val="20"/>
              </w:rPr>
              <w:t>5.30</w:t>
            </w:r>
          </w:p>
        </w:tc>
        <w:tc>
          <w:tcPr>
            <w:tcW w:w="1339" w:type="dxa"/>
          </w:tcPr>
          <w:p w:rsidR="007C5447" w:rsidRDefault="00F6308C">
            <w:pPr>
              <w:pStyle w:val="TableParagraph"/>
              <w:spacing w:before="70"/>
              <w:ind w:right="285"/>
              <w:rPr>
                <w:sz w:val="20"/>
              </w:rPr>
            </w:pPr>
            <w:r>
              <w:rPr>
                <w:w w:val="99"/>
                <w:sz w:val="20"/>
              </w:rPr>
              <w:t>-</w:t>
            </w:r>
          </w:p>
        </w:tc>
        <w:tc>
          <w:tcPr>
            <w:tcW w:w="1449" w:type="dxa"/>
          </w:tcPr>
          <w:p w:rsidR="007C5447" w:rsidRDefault="00F6308C">
            <w:pPr>
              <w:pStyle w:val="TableParagraph"/>
              <w:spacing w:before="70"/>
              <w:ind w:right="289"/>
              <w:rPr>
                <w:sz w:val="20"/>
              </w:rPr>
            </w:pPr>
            <w:r>
              <w:rPr>
                <w:w w:val="99"/>
                <w:sz w:val="20"/>
              </w:rPr>
              <w:t>-</w:t>
            </w:r>
          </w:p>
        </w:tc>
        <w:tc>
          <w:tcPr>
            <w:tcW w:w="1161" w:type="dxa"/>
          </w:tcPr>
          <w:p w:rsidR="007C5447" w:rsidRDefault="00F6308C">
            <w:pPr>
              <w:pStyle w:val="TableParagraph"/>
              <w:spacing w:before="70"/>
              <w:ind w:right="286"/>
              <w:rPr>
                <w:sz w:val="20"/>
              </w:rPr>
            </w:pPr>
            <w:r>
              <w:rPr>
                <w:w w:val="99"/>
                <w:sz w:val="20"/>
              </w:rPr>
              <w:t>-</w:t>
            </w: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sz w:val="20"/>
              </w:rPr>
            </w:pPr>
            <w:r>
              <w:rPr>
                <w:sz w:val="20"/>
              </w:rPr>
              <w:t>UI</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292"/>
              <w:rPr>
                <w:sz w:val="20"/>
              </w:rPr>
            </w:pPr>
            <w:r>
              <w:rPr>
                <w:w w:val="95"/>
                <w:sz w:val="20"/>
              </w:rPr>
              <w:t>(529.00)</w:t>
            </w:r>
          </w:p>
        </w:tc>
        <w:tc>
          <w:tcPr>
            <w:tcW w:w="1216" w:type="dxa"/>
          </w:tcPr>
          <w:p w:rsidR="007C5447" w:rsidRDefault="00F6308C">
            <w:pPr>
              <w:pStyle w:val="TableParagraph"/>
              <w:spacing w:before="70"/>
              <w:ind w:right="288"/>
              <w:rPr>
                <w:sz w:val="20"/>
              </w:rPr>
            </w:pPr>
            <w:r>
              <w:rPr>
                <w:w w:val="95"/>
                <w:sz w:val="20"/>
              </w:rPr>
              <w:t>(10.00)</w:t>
            </w:r>
          </w:p>
        </w:tc>
        <w:tc>
          <w:tcPr>
            <w:tcW w:w="1163" w:type="dxa"/>
          </w:tcPr>
          <w:p w:rsidR="007C5447" w:rsidRDefault="00F6308C">
            <w:pPr>
              <w:pStyle w:val="TableParagraph"/>
              <w:spacing w:before="70"/>
              <w:ind w:right="292"/>
              <w:rPr>
                <w:sz w:val="20"/>
              </w:rPr>
            </w:pPr>
            <w:r>
              <w:rPr>
                <w:sz w:val="20"/>
              </w:rPr>
              <w:t>0.19</w:t>
            </w:r>
          </w:p>
        </w:tc>
        <w:tc>
          <w:tcPr>
            <w:tcW w:w="1339" w:type="dxa"/>
          </w:tcPr>
          <w:p w:rsidR="007C5447" w:rsidRDefault="00F6308C">
            <w:pPr>
              <w:pStyle w:val="TableParagraph"/>
              <w:spacing w:before="70"/>
              <w:ind w:right="287"/>
              <w:rPr>
                <w:sz w:val="20"/>
              </w:rPr>
            </w:pPr>
            <w:r>
              <w:rPr>
                <w:w w:val="95"/>
                <w:sz w:val="20"/>
              </w:rPr>
              <w:t>(529.00)</w:t>
            </w:r>
          </w:p>
        </w:tc>
        <w:tc>
          <w:tcPr>
            <w:tcW w:w="1449" w:type="dxa"/>
          </w:tcPr>
          <w:p w:rsidR="007C5447" w:rsidRDefault="00F6308C">
            <w:pPr>
              <w:pStyle w:val="TableParagraph"/>
              <w:spacing w:before="70"/>
              <w:ind w:right="288"/>
              <w:rPr>
                <w:sz w:val="20"/>
              </w:rPr>
            </w:pPr>
            <w:r>
              <w:rPr>
                <w:w w:val="95"/>
                <w:sz w:val="20"/>
              </w:rPr>
              <w:t>(10.00)</w:t>
            </w:r>
          </w:p>
        </w:tc>
        <w:tc>
          <w:tcPr>
            <w:tcW w:w="1161" w:type="dxa"/>
          </w:tcPr>
          <w:p w:rsidR="007C5447" w:rsidRDefault="00F6308C">
            <w:pPr>
              <w:pStyle w:val="TableParagraph"/>
              <w:spacing w:before="70"/>
              <w:ind w:right="287"/>
              <w:rPr>
                <w:sz w:val="20"/>
              </w:rPr>
            </w:pPr>
            <w:r>
              <w:rPr>
                <w:sz w:val="20"/>
              </w:rPr>
              <w:t>0.19</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STOA</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292"/>
              <w:rPr>
                <w:sz w:val="20"/>
              </w:rPr>
            </w:pPr>
            <w:r>
              <w:rPr>
                <w:w w:val="95"/>
                <w:sz w:val="20"/>
              </w:rPr>
              <w:t>6,790.00</w:t>
            </w:r>
          </w:p>
        </w:tc>
        <w:tc>
          <w:tcPr>
            <w:tcW w:w="1216" w:type="dxa"/>
          </w:tcPr>
          <w:p w:rsidR="007C5447" w:rsidRDefault="00F6308C">
            <w:pPr>
              <w:pStyle w:val="TableParagraph"/>
              <w:spacing w:before="70"/>
              <w:ind w:right="289"/>
              <w:rPr>
                <w:sz w:val="20"/>
              </w:rPr>
            </w:pPr>
            <w:r>
              <w:rPr>
                <w:w w:val="95"/>
                <w:sz w:val="20"/>
              </w:rPr>
              <w:t>2,118.00</w:t>
            </w:r>
          </w:p>
        </w:tc>
        <w:tc>
          <w:tcPr>
            <w:tcW w:w="1163" w:type="dxa"/>
          </w:tcPr>
          <w:p w:rsidR="007C5447" w:rsidRDefault="00F6308C">
            <w:pPr>
              <w:pStyle w:val="TableParagraph"/>
              <w:spacing w:before="70"/>
              <w:ind w:right="292"/>
              <w:rPr>
                <w:sz w:val="20"/>
              </w:rPr>
            </w:pPr>
            <w:r>
              <w:rPr>
                <w:sz w:val="20"/>
              </w:rPr>
              <w:t>3.12</w:t>
            </w:r>
          </w:p>
        </w:tc>
        <w:tc>
          <w:tcPr>
            <w:tcW w:w="1339" w:type="dxa"/>
          </w:tcPr>
          <w:p w:rsidR="007C5447" w:rsidRDefault="00F6308C">
            <w:pPr>
              <w:pStyle w:val="TableParagraph"/>
              <w:spacing w:before="70"/>
              <w:ind w:right="287"/>
              <w:rPr>
                <w:sz w:val="20"/>
              </w:rPr>
            </w:pPr>
            <w:r>
              <w:rPr>
                <w:w w:val="95"/>
                <w:sz w:val="20"/>
              </w:rPr>
              <w:t>6,790.00</w:t>
            </w:r>
          </w:p>
        </w:tc>
        <w:tc>
          <w:tcPr>
            <w:tcW w:w="1449" w:type="dxa"/>
          </w:tcPr>
          <w:p w:rsidR="007C5447" w:rsidRDefault="00F6308C">
            <w:pPr>
              <w:pStyle w:val="TableParagraph"/>
              <w:spacing w:before="70"/>
              <w:ind w:right="289"/>
              <w:rPr>
                <w:sz w:val="20"/>
              </w:rPr>
            </w:pPr>
            <w:r>
              <w:rPr>
                <w:w w:val="95"/>
                <w:sz w:val="20"/>
              </w:rPr>
              <w:t>2,118.00</w:t>
            </w:r>
          </w:p>
        </w:tc>
        <w:tc>
          <w:tcPr>
            <w:tcW w:w="1161" w:type="dxa"/>
          </w:tcPr>
          <w:p w:rsidR="007C5447" w:rsidRDefault="00F6308C">
            <w:pPr>
              <w:pStyle w:val="TableParagraph"/>
              <w:spacing w:before="70"/>
              <w:ind w:right="287"/>
              <w:rPr>
                <w:sz w:val="20"/>
              </w:rPr>
            </w:pPr>
            <w:r>
              <w:rPr>
                <w:sz w:val="20"/>
              </w:rPr>
              <w:t>3.12</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CPP Traders</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F6308C">
            <w:pPr>
              <w:pStyle w:val="TableParagraph"/>
              <w:spacing w:before="70"/>
              <w:ind w:right="285"/>
              <w:rPr>
                <w:sz w:val="20"/>
              </w:rPr>
            </w:pPr>
            <w:r>
              <w:rPr>
                <w:w w:val="99"/>
                <w:sz w:val="20"/>
              </w:rPr>
              <w:t>-</w:t>
            </w:r>
          </w:p>
        </w:tc>
        <w:tc>
          <w:tcPr>
            <w:tcW w:w="1449" w:type="dxa"/>
          </w:tcPr>
          <w:p w:rsidR="007C5447" w:rsidRDefault="00F6308C">
            <w:pPr>
              <w:pStyle w:val="TableParagraph"/>
              <w:spacing w:before="70"/>
              <w:ind w:right="287"/>
              <w:rPr>
                <w:sz w:val="20"/>
              </w:rPr>
            </w:pPr>
            <w:r>
              <w:rPr>
                <w:w w:val="99"/>
                <w:sz w:val="20"/>
              </w:rPr>
              <w:t>-</w:t>
            </w:r>
          </w:p>
        </w:tc>
        <w:tc>
          <w:tcPr>
            <w:tcW w:w="1161" w:type="dxa"/>
          </w:tcPr>
          <w:p w:rsidR="007C5447" w:rsidRDefault="00F6308C">
            <w:pPr>
              <w:pStyle w:val="TableParagraph"/>
              <w:spacing w:before="70"/>
              <w:ind w:right="284"/>
              <w:rPr>
                <w:sz w:val="20"/>
              </w:rPr>
            </w:pPr>
            <w:r>
              <w:rPr>
                <w:w w:val="99"/>
                <w:sz w:val="20"/>
              </w:rPr>
              <w:t>-</w:t>
            </w: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sz w:val="20"/>
              </w:rPr>
            </w:pPr>
            <w:r>
              <w:rPr>
                <w:sz w:val="20"/>
              </w:rPr>
              <w:t>Case 1 - Bidding (MTOA)</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F6308C">
            <w:pPr>
              <w:pStyle w:val="TableParagraph"/>
              <w:spacing w:before="70"/>
              <w:ind w:right="292"/>
              <w:rPr>
                <w:sz w:val="20"/>
              </w:rPr>
            </w:pPr>
            <w:r>
              <w:rPr>
                <w:w w:val="95"/>
                <w:sz w:val="20"/>
              </w:rPr>
              <w:t>6,233.00</w:t>
            </w:r>
          </w:p>
        </w:tc>
        <w:tc>
          <w:tcPr>
            <w:tcW w:w="1216" w:type="dxa"/>
          </w:tcPr>
          <w:p w:rsidR="007C5447" w:rsidRDefault="00F6308C">
            <w:pPr>
              <w:pStyle w:val="TableParagraph"/>
              <w:spacing w:before="70"/>
              <w:ind w:right="289"/>
              <w:rPr>
                <w:sz w:val="20"/>
              </w:rPr>
            </w:pPr>
            <w:r>
              <w:rPr>
                <w:w w:val="95"/>
                <w:sz w:val="20"/>
              </w:rPr>
              <w:t>3,931.00</w:t>
            </w:r>
          </w:p>
        </w:tc>
        <w:tc>
          <w:tcPr>
            <w:tcW w:w="1163" w:type="dxa"/>
          </w:tcPr>
          <w:p w:rsidR="007C5447" w:rsidRDefault="00F6308C">
            <w:pPr>
              <w:pStyle w:val="TableParagraph"/>
              <w:spacing w:before="70"/>
              <w:ind w:right="292"/>
              <w:rPr>
                <w:sz w:val="20"/>
              </w:rPr>
            </w:pPr>
            <w:r>
              <w:rPr>
                <w:sz w:val="20"/>
              </w:rPr>
              <w:t>6.31</w:t>
            </w:r>
          </w:p>
        </w:tc>
        <w:tc>
          <w:tcPr>
            <w:tcW w:w="1339" w:type="dxa"/>
          </w:tcPr>
          <w:p w:rsidR="007C5447" w:rsidRDefault="00F6308C">
            <w:pPr>
              <w:pStyle w:val="TableParagraph"/>
              <w:spacing w:before="70"/>
              <w:ind w:right="290"/>
              <w:rPr>
                <w:sz w:val="20"/>
              </w:rPr>
            </w:pPr>
            <w:r>
              <w:rPr>
                <w:w w:val="95"/>
                <w:sz w:val="20"/>
              </w:rPr>
              <w:t>2,296.74</w:t>
            </w:r>
          </w:p>
        </w:tc>
        <w:tc>
          <w:tcPr>
            <w:tcW w:w="1449" w:type="dxa"/>
          </w:tcPr>
          <w:p w:rsidR="007C5447" w:rsidRDefault="00F6308C">
            <w:pPr>
              <w:pStyle w:val="TableParagraph"/>
              <w:spacing w:before="70"/>
              <w:ind w:right="289"/>
              <w:rPr>
                <w:sz w:val="20"/>
              </w:rPr>
            </w:pPr>
            <w:r>
              <w:rPr>
                <w:w w:val="95"/>
                <w:sz w:val="20"/>
              </w:rPr>
              <w:t>1,448.50</w:t>
            </w:r>
          </w:p>
        </w:tc>
        <w:tc>
          <w:tcPr>
            <w:tcW w:w="1161" w:type="dxa"/>
          </w:tcPr>
          <w:p w:rsidR="007C5447" w:rsidRDefault="00F6308C">
            <w:pPr>
              <w:pStyle w:val="TableParagraph"/>
              <w:spacing w:before="70"/>
              <w:ind w:right="285"/>
              <w:rPr>
                <w:sz w:val="20"/>
              </w:rPr>
            </w:pPr>
            <w:r>
              <w:rPr>
                <w:sz w:val="20"/>
              </w:rPr>
              <w:t>6.31</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MTOA - Jindal</w:t>
            </w:r>
          </w:p>
        </w:tc>
        <w:tc>
          <w:tcPr>
            <w:tcW w:w="1339" w:type="dxa"/>
          </w:tcPr>
          <w:p w:rsidR="007C5447" w:rsidRDefault="00F6308C">
            <w:pPr>
              <w:pStyle w:val="TableParagraph"/>
              <w:spacing w:before="70"/>
              <w:ind w:right="291"/>
              <w:rPr>
                <w:sz w:val="20"/>
              </w:rPr>
            </w:pPr>
            <w:r>
              <w:rPr>
                <w:sz w:val="20"/>
              </w:rPr>
              <w:t>1752</w:t>
            </w:r>
          </w:p>
        </w:tc>
        <w:tc>
          <w:tcPr>
            <w:tcW w:w="1216" w:type="dxa"/>
          </w:tcPr>
          <w:p w:rsidR="007C5447" w:rsidRDefault="00F6308C">
            <w:pPr>
              <w:pStyle w:val="TableParagraph"/>
              <w:spacing w:before="70"/>
              <w:ind w:right="288"/>
              <w:rPr>
                <w:sz w:val="20"/>
              </w:rPr>
            </w:pPr>
            <w:r>
              <w:rPr>
                <w:sz w:val="20"/>
              </w:rPr>
              <w:t>861</w:t>
            </w:r>
          </w:p>
        </w:tc>
        <w:tc>
          <w:tcPr>
            <w:tcW w:w="1161" w:type="dxa"/>
          </w:tcPr>
          <w:p w:rsidR="007C5447" w:rsidRDefault="00F6308C">
            <w:pPr>
              <w:pStyle w:val="TableParagraph"/>
              <w:spacing w:before="70"/>
              <w:ind w:right="292"/>
              <w:rPr>
                <w:sz w:val="20"/>
              </w:rPr>
            </w:pPr>
            <w:r>
              <w:rPr>
                <w:sz w:val="20"/>
              </w:rPr>
              <w:t>4.91</w:t>
            </w: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F6308C">
            <w:pPr>
              <w:pStyle w:val="TableParagraph"/>
              <w:spacing w:before="70"/>
              <w:ind w:right="285"/>
              <w:rPr>
                <w:sz w:val="20"/>
              </w:rPr>
            </w:pPr>
            <w:r>
              <w:rPr>
                <w:w w:val="99"/>
                <w:sz w:val="20"/>
              </w:rPr>
              <w:t>-</w:t>
            </w:r>
          </w:p>
        </w:tc>
        <w:tc>
          <w:tcPr>
            <w:tcW w:w="1449" w:type="dxa"/>
          </w:tcPr>
          <w:p w:rsidR="007C5447" w:rsidRDefault="00F6308C">
            <w:pPr>
              <w:pStyle w:val="TableParagraph"/>
              <w:spacing w:before="70"/>
              <w:ind w:right="287"/>
              <w:rPr>
                <w:sz w:val="20"/>
              </w:rPr>
            </w:pPr>
            <w:r>
              <w:rPr>
                <w:w w:val="99"/>
                <w:sz w:val="20"/>
              </w:rPr>
              <w:t>-</w:t>
            </w:r>
          </w:p>
        </w:tc>
        <w:tc>
          <w:tcPr>
            <w:tcW w:w="1161" w:type="dxa"/>
          </w:tcPr>
          <w:p w:rsidR="007C5447" w:rsidRDefault="00F6308C">
            <w:pPr>
              <w:pStyle w:val="TableParagraph"/>
              <w:spacing w:before="70"/>
              <w:ind w:right="286"/>
              <w:rPr>
                <w:sz w:val="20"/>
              </w:rPr>
            </w:pPr>
            <w:r>
              <w:rPr>
                <w:w w:val="99"/>
                <w:sz w:val="20"/>
              </w:rPr>
              <w:t>-</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MTOA - Adani</w:t>
            </w:r>
          </w:p>
        </w:tc>
        <w:tc>
          <w:tcPr>
            <w:tcW w:w="1339" w:type="dxa"/>
          </w:tcPr>
          <w:p w:rsidR="007C5447" w:rsidRDefault="00F6308C">
            <w:pPr>
              <w:pStyle w:val="TableParagraph"/>
              <w:spacing w:before="70"/>
              <w:ind w:right="291"/>
              <w:rPr>
                <w:sz w:val="20"/>
              </w:rPr>
            </w:pPr>
            <w:r>
              <w:rPr>
                <w:sz w:val="20"/>
              </w:rPr>
              <w:t>1182</w:t>
            </w:r>
          </w:p>
        </w:tc>
        <w:tc>
          <w:tcPr>
            <w:tcW w:w="1216" w:type="dxa"/>
          </w:tcPr>
          <w:p w:rsidR="007C5447" w:rsidRDefault="00F6308C">
            <w:pPr>
              <w:pStyle w:val="TableParagraph"/>
              <w:spacing w:before="70"/>
              <w:ind w:right="288"/>
              <w:rPr>
                <w:sz w:val="20"/>
              </w:rPr>
            </w:pPr>
            <w:r>
              <w:rPr>
                <w:sz w:val="20"/>
              </w:rPr>
              <w:t>686</w:t>
            </w:r>
          </w:p>
        </w:tc>
        <w:tc>
          <w:tcPr>
            <w:tcW w:w="1161" w:type="dxa"/>
          </w:tcPr>
          <w:p w:rsidR="007C5447" w:rsidRDefault="00F6308C">
            <w:pPr>
              <w:pStyle w:val="TableParagraph"/>
              <w:spacing w:before="70"/>
              <w:ind w:right="292"/>
              <w:rPr>
                <w:sz w:val="20"/>
              </w:rPr>
            </w:pPr>
            <w:r>
              <w:rPr>
                <w:sz w:val="20"/>
              </w:rPr>
              <w:t>5.80</w:t>
            </w: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F6308C">
            <w:pPr>
              <w:pStyle w:val="TableParagraph"/>
              <w:spacing w:before="70"/>
              <w:ind w:right="285"/>
              <w:rPr>
                <w:sz w:val="20"/>
              </w:rPr>
            </w:pPr>
            <w:r>
              <w:rPr>
                <w:w w:val="99"/>
                <w:sz w:val="20"/>
              </w:rPr>
              <w:t>-</w:t>
            </w:r>
          </w:p>
        </w:tc>
        <w:tc>
          <w:tcPr>
            <w:tcW w:w="1449" w:type="dxa"/>
          </w:tcPr>
          <w:p w:rsidR="007C5447" w:rsidRDefault="00F6308C">
            <w:pPr>
              <w:pStyle w:val="TableParagraph"/>
              <w:spacing w:before="70"/>
              <w:ind w:right="287"/>
              <w:rPr>
                <w:sz w:val="20"/>
              </w:rPr>
            </w:pPr>
            <w:r>
              <w:rPr>
                <w:w w:val="99"/>
                <w:sz w:val="20"/>
              </w:rPr>
              <w:t>-</w:t>
            </w:r>
          </w:p>
        </w:tc>
        <w:tc>
          <w:tcPr>
            <w:tcW w:w="1161" w:type="dxa"/>
          </w:tcPr>
          <w:p w:rsidR="007C5447" w:rsidRDefault="00F6308C">
            <w:pPr>
              <w:pStyle w:val="TableParagraph"/>
              <w:spacing w:before="70"/>
              <w:ind w:right="286"/>
              <w:rPr>
                <w:sz w:val="20"/>
              </w:rPr>
            </w:pPr>
            <w:r>
              <w:rPr>
                <w:w w:val="99"/>
                <w:sz w:val="20"/>
              </w:rPr>
              <w:t>-</w:t>
            </w: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sz w:val="20"/>
              </w:rPr>
            </w:pPr>
            <w:r>
              <w:rPr>
                <w:sz w:val="20"/>
              </w:rPr>
              <w:t>MTOA – Lanco (NETS)</w:t>
            </w:r>
          </w:p>
        </w:tc>
        <w:tc>
          <w:tcPr>
            <w:tcW w:w="1339" w:type="dxa"/>
          </w:tcPr>
          <w:p w:rsidR="007C5447" w:rsidRDefault="00F6308C">
            <w:pPr>
              <w:pStyle w:val="TableParagraph"/>
              <w:spacing w:before="70"/>
              <w:ind w:right="291"/>
              <w:rPr>
                <w:sz w:val="20"/>
              </w:rPr>
            </w:pPr>
            <w:r>
              <w:rPr>
                <w:sz w:val="20"/>
              </w:rPr>
              <w:t>876</w:t>
            </w:r>
          </w:p>
        </w:tc>
        <w:tc>
          <w:tcPr>
            <w:tcW w:w="1216" w:type="dxa"/>
          </w:tcPr>
          <w:p w:rsidR="007C5447" w:rsidRDefault="00F6308C">
            <w:pPr>
              <w:pStyle w:val="TableParagraph"/>
              <w:spacing w:before="70"/>
              <w:ind w:right="288"/>
              <w:rPr>
                <w:sz w:val="20"/>
              </w:rPr>
            </w:pPr>
            <w:r>
              <w:rPr>
                <w:sz w:val="20"/>
              </w:rPr>
              <w:t>428</w:t>
            </w:r>
          </w:p>
        </w:tc>
        <w:tc>
          <w:tcPr>
            <w:tcW w:w="1161" w:type="dxa"/>
          </w:tcPr>
          <w:p w:rsidR="007C5447" w:rsidRDefault="00F6308C">
            <w:pPr>
              <w:pStyle w:val="TableParagraph"/>
              <w:spacing w:before="70"/>
              <w:ind w:right="292"/>
              <w:rPr>
                <w:sz w:val="20"/>
              </w:rPr>
            </w:pPr>
            <w:r>
              <w:rPr>
                <w:sz w:val="20"/>
              </w:rPr>
              <w:t>4.89</w:t>
            </w: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F6308C">
            <w:pPr>
              <w:pStyle w:val="TableParagraph"/>
              <w:spacing w:before="70"/>
              <w:ind w:right="285"/>
              <w:rPr>
                <w:sz w:val="20"/>
              </w:rPr>
            </w:pPr>
            <w:r>
              <w:rPr>
                <w:w w:val="99"/>
                <w:sz w:val="20"/>
              </w:rPr>
              <w:t>-</w:t>
            </w:r>
          </w:p>
        </w:tc>
        <w:tc>
          <w:tcPr>
            <w:tcW w:w="1449" w:type="dxa"/>
          </w:tcPr>
          <w:p w:rsidR="007C5447" w:rsidRDefault="00F6308C">
            <w:pPr>
              <w:pStyle w:val="TableParagraph"/>
              <w:spacing w:before="70"/>
              <w:ind w:right="287"/>
              <w:rPr>
                <w:sz w:val="20"/>
              </w:rPr>
            </w:pPr>
            <w:r>
              <w:rPr>
                <w:w w:val="99"/>
                <w:sz w:val="20"/>
              </w:rPr>
              <w:t>-</w:t>
            </w:r>
          </w:p>
        </w:tc>
        <w:tc>
          <w:tcPr>
            <w:tcW w:w="1161" w:type="dxa"/>
          </w:tcPr>
          <w:p w:rsidR="007C5447" w:rsidRDefault="00F6308C">
            <w:pPr>
              <w:pStyle w:val="TableParagraph"/>
              <w:spacing w:before="70"/>
              <w:ind w:right="286"/>
              <w:rPr>
                <w:sz w:val="20"/>
              </w:rPr>
            </w:pPr>
            <w:r>
              <w:rPr>
                <w:w w:val="99"/>
                <w:sz w:val="20"/>
              </w:rPr>
              <w:t>-</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NTPC NVVN (Solar)</w:t>
            </w:r>
          </w:p>
        </w:tc>
        <w:tc>
          <w:tcPr>
            <w:tcW w:w="1339" w:type="dxa"/>
          </w:tcPr>
          <w:p w:rsidR="007C5447" w:rsidRDefault="00F6308C">
            <w:pPr>
              <w:pStyle w:val="TableParagraph"/>
              <w:spacing w:before="70"/>
              <w:ind w:right="291"/>
              <w:rPr>
                <w:sz w:val="20"/>
              </w:rPr>
            </w:pPr>
            <w:r>
              <w:rPr>
                <w:sz w:val="20"/>
              </w:rPr>
              <w:t>35</w:t>
            </w:r>
          </w:p>
        </w:tc>
        <w:tc>
          <w:tcPr>
            <w:tcW w:w="1216" w:type="dxa"/>
          </w:tcPr>
          <w:p w:rsidR="007C5447" w:rsidRDefault="00F6308C">
            <w:pPr>
              <w:pStyle w:val="TableParagraph"/>
              <w:spacing w:before="70"/>
              <w:ind w:right="288"/>
              <w:rPr>
                <w:sz w:val="20"/>
              </w:rPr>
            </w:pPr>
            <w:r>
              <w:rPr>
                <w:sz w:val="20"/>
              </w:rPr>
              <w:t>16</w:t>
            </w:r>
          </w:p>
        </w:tc>
        <w:tc>
          <w:tcPr>
            <w:tcW w:w="1161" w:type="dxa"/>
          </w:tcPr>
          <w:p w:rsidR="007C5447" w:rsidRDefault="00F6308C">
            <w:pPr>
              <w:pStyle w:val="TableParagraph"/>
              <w:spacing w:before="70"/>
              <w:ind w:right="289"/>
              <w:rPr>
                <w:sz w:val="20"/>
              </w:rPr>
            </w:pPr>
            <w:r>
              <w:rPr>
                <w:sz w:val="20"/>
              </w:rPr>
              <w:t>4.57</w:t>
            </w: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F6308C">
            <w:pPr>
              <w:pStyle w:val="TableParagraph"/>
              <w:spacing w:before="70"/>
              <w:ind w:right="285"/>
              <w:rPr>
                <w:sz w:val="20"/>
              </w:rPr>
            </w:pPr>
            <w:r>
              <w:rPr>
                <w:w w:val="99"/>
                <w:sz w:val="20"/>
              </w:rPr>
              <w:t>-</w:t>
            </w:r>
          </w:p>
        </w:tc>
        <w:tc>
          <w:tcPr>
            <w:tcW w:w="1449" w:type="dxa"/>
          </w:tcPr>
          <w:p w:rsidR="007C5447" w:rsidRDefault="00F6308C">
            <w:pPr>
              <w:pStyle w:val="TableParagraph"/>
              <w:spacing w:before="70"/>
              <w:ind w:right="287"/>
              <w:rPr>
                <w:sz w:val="20"/>
              </w:rPr>
            </w:pPr>
            <w:r>
              <w:rPr>
                <w:w w:val="99"/>
                <w:sz w:val="20"/>
              </w:rPr>
              <w:t>-</w:t>
            </w:r>
          </w:p>
        </w:tc>
        <w:tc>
          <w:tcPr>
            <w:tcW w:w="1161" w:type="dxa"/>
          </w:tcPr>
          <w:p w:rsidR="007C5447" w:rsidRDefault="00F6308C">
            <w:pPr>
              <w:pStyle w:val="TableParagraph"/>
              <w:spacing w:before="70"/>
              <w:ind w:right="286"/>
              <w:rPr>
                <w:sz w:val="20"/>
              </w:rPr>
            </w:pPr>
            <w:r>
              <w:rPr>
                <w:w w:val="99"/>
                <w:sz w:val="20"/>
              </w:rPr>
              <w:t>-</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sz w:val="20"/>
              </w:rPr>
            </w:pPr>
            <w:r>
              <w:rPr>
                <w:sz w:val="20"/>
              </w:rPr>
              <w:t>KSEB Power</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F6308C">
            <w:pPr>
              <w:pStyle w:val="TableParagraph"/>
              <w:spacing w:before="70"/>
              <w:ind w:right="285"/>
              <w:rPr>
                <w:sz w:val="20"/>
              </w:rPr>
            </w:pPr>
            <w:r>
              <w:rPr>
                <w:w w:val="99"/>
                <w:sz w:val="20"/>
              </w:rPr>
              <w:t>-</w:t>
            </w:r>
          </w:p>
        </w:tc>
        <w:tc>
          <w:tcPr>
            <w:tcW w:w="1449" w:type="dxa"/>
          </w:tcPr>
          <w:p w:rsidR="007C5447" w:rsidRDefault="00F6308C">
            <w:pPr>
              <w:pStyle w:val="TableParagraph"/>
              <w:spacing w:before="70"/>
              <w:ind w:right="287"/>
              <w:rPr>
                <w:sz w:val="20"/>
              </w:rPr>
            </w:pPr>
            <w:r>
              <w:rPr>
                <w:w w:val="99"/>
                <w:sz w:val="20"/>
              </w:rPr>
              <w:t>-</w:t>
            </w:r>
          </w:p>
        </w:tc>
        <w:tc>
          <w:tcPr>
            <w:tcW w:w="1161" w:type="dxa"/>
          </w:tcPr>
          <w:p w:rsidR="007C5447" w:rsidRDefault="00F6308C">
            <w:pPr>
              <w:pStyle w:val="TableParagraph"/>
              <w:spacing w:before="70"/>
              <w:ind w:right="284"/>
              <w:rPr>
                <w:sz w:val="20"/>
              </w:rPr>
            </w:pPr>
            <w:r>
              <w:rPr>
                <w:w w:val="99"/>
                <w:sz w:val="20"/>
              </w:rPr>
              <w:t>-</w:t>
            </w: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b/>
                <w:sz w:val="20"/>
              </w:rPr>
            </w:pPr>
            <w:r>
              <w:rPr>
                <w:b/>
                <w:sz w:val="20"/>
              </w:rPr>
              <w:t>Total Other Sources</w:t>
            </w:r>
          </w:p>
        </w:tc>
        <w:tc>
          <w:tcPr>
            <w:tcW w:w="1339" w:type="dxa"/>
          </w:tcPr>
          <w:p w:rsidR="007C5447" w:rsidRDefault="00F6308C">
            <w:pPr>
              <w:pStyle w:val="TableParagraph"/>
              <w:spacing w:before="70"/>
              <w:ind w:right="292"/>
              <w:rPr>
                <w:b/>
                <w:sz w:val="20"/>
              </w:rPr>
            </w:pPr>
            <w:r>
              <w:rPr>
                <w:b/>
                <w:w w:val="95"/>
                <w:sz w:val="20"/>
              </w:rPr>
              <w:t>3,845.00</w:t>
            </w:r>
          </w:p>
        </w:tc>
        <w:tc>
          <w:tcPr>
            <w:tcW w:w="1216" w:type="dxa"/>
          </w:tcPr>
          <w:p w:rsidR="007C5447" w:rsidRDefault="00F6308C">
            <w:pPr>
              <w:pStyle w:val="TableParagraph"/>
              <w:spacing w:before="70"/>
              <w:ind w:right="291"/>
              <w:rPr>
                <w:b/>
                <w:sz w:val="20"/>
              </w:rPr>
            </w:pPr>
            <w:r>
              <w:rPr>
                <w:b/>
                <w:w w:val="95"/>
                <w:sz w:val="20"/>
              </w:rPr>
              <w:t>1,991.00</w:t>
            </w:r>
          </w:p>
        </w:tc>
        <w:tc>
          <w:tcPr>
            <w:tcW w:w="1161" w:type="dxa"/>
          </w:tcPr>
          <w:p w:rsidR="007C5447" w:rsidRDefault="00F6308C">
            <w:pPr>
              <w:pStyle w:val="TableParagraph"/>
              <w:spacing w:before="70"/>
              <w:ind w:right="289"/>
              <w:rPr>
                <w:b/>
                <w:sz w:val="20"/>
              </w:rPr>
            </w:pPr>
            <w:r>
              <w:rPr>
                <w:b/>
                <w:sz w:val="20"/>
              </w:rPr>
              <w:t>5.18</w:t>
            </w:r>
          </w:p>
        </w:tc>
        <w:tc>
          <w:tcPr>
            <w:tcW w:w="1303" w:type="dxa"/>
          </w:tcPr>
          <w:p w:rsidR="007C5447" w:rsidRDefault="00F6308C">
            <w:pPr>
              <w:pStyle w:val="TableParagraph"/>
              <w:spacing w:before="70"/>
              <w:ind w:right="295"/>
              <w:rPr>
                <w:b/>
                <w:sz w:val="20"/>
              </w:rPr>
            </w:pPr>
            <w:r>
              <w:rPr>
                <w:b/>
                <w:w w:val="95"/>
                <w:sz w:val="20"/>
              </w:rPr>
              <w:t>12,881.00</w:t>
            </w:r>
          </w:p>
        </w:tc>
        <w:tc>
          <w:tcPr>
            <w:tcW w:w="1216" w:type="dxa"/>
          </w:tcPr>
          <w:p w:rsidR="007C5447" w:rsidRDefault="00F6308C">
            <w:pPr>
              <w:pStyle w:val="TableParagraph"/>
              <w:spacing w:before="70"/>
              <w:ind w:right="289"/>
              <w:rPr>
                <w:b/>
                <w:sz w:val="20"/>
              </w:rPr>
            </w:pPr>
            <w:r>
              <w:rPr>
                <w:b/>
                <w:w w:val="95"/>
                <w:sz w:val="20"/>
              </w:rPr>
              <w:t>6,244.00</w:t>
            </w:r>
          </w:p>
        </w:tc>
        <w:tc>
          <w:tcPr>
            <w:tcW w:w="1163" w:type="dxa"/>
          </w:tcPr>
          <w:p w:rsidR="007C5447" w:rsidRDefault="00F6308C">
            <w:pPr>
              <w:pStyle w:val="TableParagraph"/>
              <w:spacing w:before="70"/>
              <w:ind w:right="292"/>
              <w:rPr>
                <w:b/>
                <w:sz w:val="20"/>
              </w:rPr>
            </w:pPr>
            <w:r>
              <w:rPr>
                <w:b/>
                <w:sz w:val="20"/>
              </w:rPr>
              <w:t>4.85</w:t>
            </w:r>
          </w:p>
        </w:tc>
        <w:tc>
          <w:tcPr>
            <w:tcW w:w="1339" w:type="dxa"/>
          </w:tcPr>
          <w:p w:rsidR="007C5447" w:rsidRDefault="00F6308C">
            <w:pPr>
              <w:pStyle w:val="TableParagraph"/>
              <w:spacing w:before="70"/>
              <w:ind w:right="290"/>
              <w:rPr>
                <w:b/>
                <w:sz w:val="20"/>
              </w:rPr>
            </w:pPr>
            <w:r>
              <w:rPr>
                <w:b/>
                <w:w w:val="95"/>
                <w:sz w:val="20"/>
              </w:rPr>
              <w:t>8,557.74</w:t>
            </w:r>
          </w:p>
        </w:tc>
        <w:tc>
          <w:tcPr>
            <w:tcW w:w="1449" w:type="dxa"/>
          </w:tcPr>
          <w:p w:rsidR="007C5447" w:rsidRDefault="00F6308C">
            <w:pPr>
              <w:pStyle w:val="TableParagraph"/>
              <w:spacing w:before="70"/>
              <w:ind w:right="288"/>
              <w:rPr>
                <w:b/>
                <w:sz w:val="20"/>
              </w:rPr>
            </w:pPr>
            <w:r>
              <w:rPr>
                <w:b/>
                <w:w w:val="95"/>
                <w:sz w:val="20"/>
              </w:rPr>
              <w:t>3,556.50</w:t>
            </w:r>
          </w:p>
        </w:tc>
        <w:tc>
          <w:tcPr>
            <w:tcW w:w="1161" w:type="dxa"/>
          </w:tcPr>
          <w:p w:rsidR="007C5447" w:rsidRDefault="00F6308C">
            <w:pPr>
              <w:pStyle w:val="TableParagraph"/>
              <w:spacing w:before="70"/>
              <w:ind w:right="287"/>
              <w:rPr>
                <w:b/>
                <w:sz w:val="20"/>
              </w:rPr>
            </w:pPr>
            <w:r>
              <w:rPr>
                <w:b/>
                <w:sz w:val="20"/>
              </w:rPr>
              <w:t>4.16</w:t>
            </w:r>
          </w:p>
        </w:tc>
      </w:tr>
      <w:tr w:rsidR="007C5447">
        <w:trPr>
          <w:trHeight w:val="489"/>
        </w:trPr>
        <w:tc>
          <w:tcPr>
            <w:tcW w:w="2856" w:type="dxa"/>
            <w:tcBorders>
              <w:left w:val="single" w:sz="8" w:space="0" w:color="000000"/>
            </w:tcBorders>
          </w:tcPr>
          <w:p w:rsidR="007C5447" w:rsidRDefault="00F6308C">
            <w:pPr>
              <w:pStyle w:val="TableParagraph"/>
              <w:spacing w:before="130"/>
              <w:ind w:left="107"/>
              <w:jc w:val="left"/>
              <w:rPr>
                <w:b/>
                <w:sz w:val="20"/>
              </w:rPr>
            </w:pPr>
            <w:r>
              <w:rPr>
                <w:b/>
                <w:sz w:val="20"/>
              </w:rPr>
              <w:t>Gross Power Purchase</w:t>
            </w:r>
          </w:p>
        </w:tc>
        <w:tc>
          <w:tcPr>
            <w:tcW w:w="1339" w:type="dxa"/>
          </w:tcPr>
          <w:p w:rsidR="007C5447" w:rsidRDefault="00F6308C">
            <w:pPr>
              <w:pStyle w:val="TableParagraph"/>
              <w:spacing w:before="130"/>
              <w:ind w:right="294"/>
              <w:rPr>
                <w:b/>
                <w:sz w:val="20"/>
              </w:rPr>
            </w:pPr>
            <w:r>
              <w:rPr>
                <w:b/>
                <w:w w:val="95"/>
                <w:sz w:val="20"/>
              </w:rPr>
              <w:t>78,675.09</w:t>
            </w:r>
          </w:p>
        </w:tc>
        <w:tc>
          <w:tcPr>
            <w:tcW w:w="1216" w:type="dxa"/>
          </w:tcPr>
          <w:p w:rsidR="007C5447" w:rsidRDefault="00F6308C">
            <w:pPr>
              <w:pStyle w:val="TableParagraph"/>
              <w:spacing w:before="130"/>
              <w:ind w:right="291"/>
              <w:rPr>
                <w:b/>
                <w:sz w:val="20"/>
              </w:rPr>
            </w:pPr>
            <w:r>
              <w:rPr>
                <w:b/>
                <w:w w:val="95"/>
                <w:sz w:val="20"/>
              </w:rPr>
              <w:t>29,046.73</w:t>
            </w:r>
          </w:p>
        </w:tc>
        <w:tc>
          <w:tcPr>
            <w:tcW w:w="1161" w:type="dxa"/>
          </w:tcPr>
          <w:p w:rsidR="007C5447" w:rsidRDefault="00F6308C">
            <w:pPr>
              <w:pStyle w:val="TableParagraph"/>
              <w:spacing w:before="130"/>
              <w:ind w:right="292"/>
              <w:rPr>
                <w:b/>
                <w:sz w:val="20"/>
              </w:rPr>
            </w:pPr>
            <w:r>
              <w:rPr>
                <w:b/>
                <w:sz w:val="20"/>
              </w:rPr>
              <w:t>3.69</w:t>
            </w:r>
          </w:p>
        </w:tc>
        <w:tc>
          <w:tcPr>
            <w:tcW w:w="1303" w:type="dxa"/>
          </w:tcPr>
          <w:p w:rsidR="007C5447" w:rsidRDefault="00F6308C">
            <w:pPr>
              <w:pStyle w:val="TableParagraph"/>
              <w:spacing w:before="130"/>
              <w:ind w:right="295"/>
              <w:rPr>
                <w:b/>
                <w:sz w:val="20"/>
              </w:rPr>
            </w:pPr>
            <w:r>
              <w:rPr>
                <w:b/>
                <w:w w:val="95"/>
                <w:sz w:val="20"/>
              </w:rPr>
              <w:t>85,473.81</w:t>
            </w:r>
          </w:p>
        </w:tc>
        <w:tc>
          <w:tcPr>
            <w:tcW w:w="1216" w:type="dxa"/>
          </w:tcPr>
          <w:p w:rsidR="007C5447" w:rsidRDefault="00F6308C">
            <w:pPr>
              <w:pStyle w:val="TableParagraph"/>
              <w:spacing w:before="130"/>
              <w:ind w:right="289"/>
              <w:rPr>
                <w:b/>
                <w:sz w:val="20"/>
              </w:rPr>
            </w:pPr>
            <w:r>
              <w:rPr>
                <w:b/>
                <w:w w:val="95"/>
                <w:sz w:val="20"/>
              </w:rPr>
              <w:t>38,463.40</w:t>
            </w:r>
          </w:p>
        </w:tc>
        <w:tc>
          <w:tcPr>
            <w:tcW w:w="1163" w:type="dxa"/>
          </w:tcPr>
          <w:p w:rsidR="007C5447" w:rsidRDefault="00F6308C">
            <w:pPr>
              <w:pStyle w:val="TableParagraph"/>
              <w:spacing w:before="130"/>
              <w:ind w:right="292"/>
              <w:rPr>
                <w:b/>
                <w:sz w:val="20"/>
              </w:rPr>
            </w:pPr>
            <w:r>
              <w:rPr>
                <w:b/>
                <w:sz w:val="20"/>
              </w:rPr>
              <w:t>4.50</w:t>
            </w:r>
          </w:p>
        </w:tc>
        <w:tc>
          <w:tcPr>
            <w:tcW w:w="1339" w:type="dxa"/>
          </w:tcPr>
          <w:p w:rsidR="007C5447" w:rsidRDefault="00F6308C">
            <w:pPr>
              <w:pStyle w:val="TableParagraph"/>
              <w:spacing w:before="130"/>
              <w:ind w:right="290"/>
              <w:rPr>
                <w:b/>
                <w:sz w:val="20"/>
              </w:rPr>
            </w:pPr>
            <w:r>
              <w:rPr>
                <w:b/>
                <w:w w:val="95"/>
                <w:sz w:val="20"/>
              </w:rPr>
              <w:t>78,559.79</w:t>
            </w:r>
          </w:p>
        </w:tc>
        <w:tc>
          <w:tcPr>
            <w:tcW w:w="1449" w:type="dxa"/>
          </w:tcPr>
          <w:p w:rsidR="007C5447" w:rsidRDefault="00F6308C">
            <w:pPr>
              <w:pStyle w:val="TableParagraph"/>
              <w:spacing w:before="14"/>
              <w:ind w:right="289"/>
              <w:rPr>
                <w:b/>
                <w:sz w:val="20"/>
              </w:rPr>
            </w:pPr>
            <w:r>
              <w:rPr>
                <w:b/>
                <w:w w:val="95"/>
                <w:sz w:val="20"/>
              </w:rPr>
              <w:t>30,239.99</w:t>
            </w:r>
          </w:p>
        </w:tc>
        <w:tc>
          <w:tcPr>
            <w:tcW w:w="1161" w:type="dxa"/>
          </w:tcPr>
          <w:p w:rsidR="007C5447" w:rsidRDefault="00F6308C">
            <w:pPr>
              <w:pStyle w:val="TableParagraph"/>
              <w:spacing w:before="130"/>
              <w:ind w:right="287"/>
              <w:rPr>
                <w:b/>
                <w:sz w:val="20"/>
              </w:rPr>
            </w:pPr>
            <w:r>
              <w:rPr>
                <w:b/>
                <w:sz w:val="20"/>
              </w:rPr>
              <w:t>3.85</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b/>
                <w:sz w:val="20"/>
              </w:rPr>
            </w:pPr>
            <w:r>
              <w:rPr>
                <w:b/>
                <w:sz w:val="20"/>
              </w:rPr>
              <w:t>PGCIL Charges</w:t>
            </w:r>
          </w:p>
        </w:tc>
        <w:tc>
          <w:tcPr>
            <w:tcW w:w="1339"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c>
          <w:tcPr>
            <w:tcW w:w="1449" w:type="dxa"/>
          </w:tcPr>
          <w:p w:rsidR="007C5447" w:rsidRDefault="007C5447">
            <w:pPr>
              <w:pStyle w:val="TableParagraph"/>
              <w:jc w:val="left"/>
              <w:rPr>
                <w:sz w:val="20"/>
              </w:rPr>
            </w:pPr>
          </w:p>
        </w:tc>
        <w:tc>
          <w:tcPr>
            <w:tcW w:w="1161" w:type="dxa"/>
          </w:tcPr>
          <w:p w:rsidR="007C5447" w:rsidRDefault="007C5447">
            <w:pPr>
              <w:pStyle w:val="TableParagraph"/>
              <w:jc w:val="left"/>
              <w:rPr>
                <w:sz w:val="20"/>
              </w:rPr>
            </w:pP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i/>
                <w:sz w:val="20"/>
              </w:rPr>
            </w:pPr>
            <w:r>
              <w:rPr>
                <w:i/>
                <w:sz w:val="20"/>
              </w:rPr>
              <w:t>PGCIL SR and ER wheeling</w:t>
            </w:r>
          </w:p>
        </w:tc>
        <w:tc>
          <w:tcPr>
            <w:tcW w:w="1339" w:type="dxa"/>
          </w:tcPr>
          <w:p w:rsidR="007C5447" w:rsidRDefault="007C5447">
            <w:pPr>
              <w:pStyle w:val="TableParagraph"/>
              <w:jc w:val="left"/>
              <w:rPr>
                <w:sz w:val="20"/>
              </w:rPr>
            </w:pPr>
          </w:p>
        </w:tc>
        <w:tc>
          <w:tcPr>
            <w:tcW w:w="1216" w:type="dxa"/>
          </w:tcPr>
          <w:p w:rsidR="007C5447" w:rsidRDefault="00F6308C">
            <w:pPr>
              <w:pStyle w:val="TableParagraph"/>
              <w:spacing w:before="70"/>
              <w:ind w:right="293"/>
              <w:rPr>
                <w:sz w:val="20"/>
              </w:rPr>
            </w:pPr>
            <w:r>
              <w:rPr>
                <w:w w:val="95"/>
                <w:sz w:val="20"/>
              </w:rPr>
              <w:t>855.00</w:t>
            </w:r>
          </w:p>
        </w:tc>
        <w:tc>
          <w:tcPr>
            <w:tcW w:w="1161" w:type="dxa"/>
          </w:tcPr>
          <w:p w:rsidR="007C5447" w:rsidRDefault="007C5447">
            <w:pPr>
              <w:pStyle w:val="TableParagraph"/>
              <w:jc w:val="left"/>
              <w:rPr>
                <w:sz w:val="20"/>
              </w:rPr>
            </w:pPr>
          </w:p>
        </w:tc>
        <w:tc>
          <w:tcPr>
            <w:tcW w:w="1303" w:type="dxa"/>
          </w:tcPr>
          <w:p w:rsidR="007C5447" w:rsidRDefault="007C5447">
            <w:pPr>
              <w:pStyle w:val="TableParagraph"/>
              <w:jc w:val="left"/>
              <w:rPr>
                <w:sz w:val="20"/>
              </w:rPr>
            </w:pPr>
          </w:p>
        </w:tc>
        <w:tc>
          <w:tcPr>
            <w:tcW w:w="1216" w:type="dxa"/>
          </w:tcPr>
          <w:p w:rsidR="007C5447" w:rsidRDefault="00F6308C">
            <w:pPr>
              <w:pStyle w:val="TableParagraph"/>
              <w:spacing w:before="70"/>
              <w:ind w:right="291"/>
              <w:rPr>
                <w:sz w:val="20"/>
              </w:rPr>
            </w:pPr>
            <w:r>
              <w:rPr>
                <w:w w:val="95"/>
                <w:sz w:val="20"/>
              </w:rPr>
              <w:t>978.00</w:t>
            </w:r>
          </w:p>
        </w:tc>
        <w:tc>
          <w:tcPr>
            <w:tcW w:w="1163"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c>
          <w:tcPr>
            <w:tcW w:w="1449" w:type="dxa"/>
          </w:tcPr>
          <w:p w:rsidR="007C5447" w:rsidRDefault="00F6308C">
            <w:pPr>
              <w:pStyle w:val="TableParagraph"/>
              <w:spacing w:before="70"/>
              <w:ind w:right="291"/>
              <w:rPr>
                <w:sz w:val="20"/>
              </w:rPr>
            </w:pPr>
            <w:r>
              <w:rPr>
                <w:w w:val="95"/>
                <w:sz w:val="20"/>
              </w:rPr>
              <w:t>978.00</w:t>
            </w:r>
          </w:p>
        </w:tc>
        <w:tc>
          <w:tcPr>
            <w:tcW w:w="1161" w:type="dxa"/>
          </w:tcPr>
          <w:p w:rsidR="007C5447" w:rsidRDefault="007C5447">
            <w:pPr>
              <w:pStyle w:val="TableParagraph"/>
              <w:jc w:val="left"/>
              <w:rPr>
                <w:sz w:val="20"/>
              </w:rPr>
            </w:pP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i/>
                <w:sz w:val="20"/>
              </w:rPr>
            </w:pPr>
            <w:r>
              <w:rPr>
                <w:i/>
                <w:sz w:val="20"/>
              </w:rPr>
              <w:t>PGCIL- Reactive energy</w:t>
            </w:r>
          </w:p>
        </w:tc>
        <w:tc>
          <w:tcPr>
            <w:tcW w:w="1339" w:type="dxa"/>
          </w:tcPr>
          <w:p w:rsidR="007C5447" w:rsidRDefault="007C5447">
            <w:pPr>
              <w:pStyle w:val="TableParagraph"/>
              <w:jc w:val="left"/>
              <w:rPr>
                <w:sz w:val="20"/>
              </w:rPr>
            </w:pPr>
          </w:p>
        </w:tc>
        <w:tc>
          <w:tcPr>
            <w:tcW w:w="1216" w:type="dxa"/>
          </w:tcPr>
          <w:p w:rsidR="007C5447" w:rsidRDefault="00F6308C">
            <w:pPr>
              <w:pStyle w:val="TableParagraph"/>
              <w:spacing w:before="70"/>
              <w:ind w:right="292"/>
              <w:rPr>
                <w:sz w:val="20"/>
              </w:rPr>
            </w:pPr>
            <w:r>
              <w:rPr>
                <w:w w:val="95"/>
                <w:sz w:val="20"/>
              </w:rPr>
              <w:t>25.00</w:t>
            </w:r>
          </w:p>
        </w:tc>
        <w:tc>
          <w:tcPr>
            <w:tcW w:w="1161" w:type="dxa"/>
          </w:tcPr>
          <w:p w:rsidR="007C5447" w:rsidRDefault="007C5447">
            <w:pPr>
              <w:pStyle w:val="TableParagraph"/>
              <w:jc w:val="left"/>
              <w:rPr>
                <w:sz w:val="20"/>
              </w:rPr>
            </w:pPr>
          </w:p>
        </w:tc>
        <w:tc>
          <w:tcPr>
            <w:tcW w:w="1303" w:type="dxa"/>
          </w:tcPr>
          <w:p w:rsidR="007C5447" w:rsidRDefault="007C5447">
            <w:pPr>
              <w:pStyle w:val="TableParagraph"/>
              <w:jc w:val="left"/>
              <w:rPr>
                <w:sz w:val="20"/>
              </w:rPr>
            </w:pPr>
          </w:p>
        </w:tc>
        <w:tc>
          <w:tcPr>
            <w:tcW w:w="1216" w:type="dxa"/>
          </w:tcPr>
          <w:p w:rsidR="007C5447" w:rsidRDefault="007C5447">
            <w:pPr>
              <w:pStyle w:val="TableParagraph"/>
              <w:jc w:val="left"/>
              <w:rPr>
                <w:sz w:val="20"/>
              </w:rPr>
            </w:pPr>
          </w:p>
        </w:tc>
        <w:tc>
          <w:tcPr>
            <w:tcW w:w="1163"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c>
          <w:tcPr>
            <w:tcW w:w="1449" w:type="dxa"/>
          </w:tcPr>
          <w:p w:rsidR="007C5447" w:rsidRDefault="00F6308C">
            <w:pPr>
              <w:pStyle w:val="TableParagraph"/>
              <w:spacing w:before="70"/>
              <w:ind w:right="287"/>
              <w:rPr>
                <w:sz w:val="20"/>
              </w:rPr>
            </w:pPr>
            <w:r>
              <w:rPr>
                <w:w w:val="99"/>
                <w:sz w:val="20"/>
              </w:rPr>
              <w:t>-</w:t>
            </w:r>
          </w:p>
        </w:tc>
        <w:tc>
          <w:tcPr>
            <w:tcW w:w="1161" w:type="dxa"/>
          </w:tcPr>
          <w:p w:rsidR="007C5447" w:rsidRDefault="007C5447">
            <w:pPr>
              <w:pStyle w:val="TableParagraph"/>
              <w:jc w:val="left"/>
              <w:rPr>
                <w:sz w:val="20"/>
              </w:rPr>
            </w:pP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9"/>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56"/>
        <w:gridCol w:w="1339"/>
        <w:gridCol w:w="1216"/>
        <w:gridCol w:w="1161"/>
        <w:gridCol w:w="1303"/>
        <w:gridCol w:w="1216"/>
        <w:gridCol w:w="1163"/>
        <w:gridCol w:w="1339"/>
        <w:gridCol w:w="1449"/>
        <w:gridCol w:w="1161"/>
      </w:tblGrid>
      <w:tr w:rsidR="007C5447">
        <w:trPr>
          <w:trHeight w:val="369"/>
        </w:trPr>
        <w:tc>
          <w:tcPr>
            <w:tcW w:w="2856"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987" w:right="971"/>
              <w:jc w:val="center"/>
              <w:rPr>
                <w:b/>
                <w:sz w:val="20"/>
              </w:rPr>
            </w:pPr>
            <w:r>
              <w:rPr>
                <w:b/>
                <w:sz w:val="20"/>
              </w:rPr>
              <w:t>Source</w:t>
            </w:r>
          </w:p>
        </w:tc>
        <w:tc>
          <w:tcPr>
            <w:tcW w:w="11347" w:type="dxa"/>
            <w:gridSpan w:val="9"/>
            <w:shd w:val="clear" w:color="auto" w:fill="F7C9AC"/>
          </w:tcPr>
          <w:p w:rsidR="007C5447" w:rsidRDefault="00F6308C">
            <w:pPr>
              <w:pStyle w:val="TableParagraph"/>
              <w:spacing w:before="125" w:line="224" w:lineRule="exact"/>
              <w:ind w:left="5166" w:right="5137"/>
              <w:jc w:val="center"/>
              <w:rPr>
                <w:b/>
                <w:sz w:val="20"/>
              </w:rPr>
            </w:pPr>
            <w:r>
              <w:rPr>
                <w:b/>
                <w:sz w:val="20"/>
              </w:rPr>
              <w:t>FY 2014-15</w:t>
            </w:r>
          </w:p>
        </w:tc>
      </w:tr>
      <w:tr w:rsidR="007C5447">
        <w:trPr>
          <w:trHeight w:val="371"/>
        </w:trPr>
        <w:tc>
          <w:tcPr>
            <w:tcW w:w="2856" w:type="dxa"/>
            <w:vMerge/>
            <w:tcBorders>
              <w:top w:val="nil"/>
            </w:tcBorders>
            <w:shd w:val="clear" w:color="auto" w:fill="F7C9AC"/>
          </w:tcPr>
          <w:p w:rsidR="007C5447" w:rsidRDefault="007C5447">
            <w:pPr>
              <w:rPr>
                <w:sz w:val="2"/>
                <w:szCs w:val="2"/>
              </w:rPr>
            </w:pPr>
          </w:p>
        </w:tc>
        <w:tc>
          <w:tcPr>
            <w:tcW w:w="3716" w:type="dxa"/>
            <w:gridSpan w:val="3"/>
            <w:shd w:val="clear" w:color="auto" w:fill="F7C9AC"/>
          </w:tcPr>
          <w:p w:rsidR="007C5447" w:rsidRDefault="00F6308C">
            <w:pPr>
              <w:pStyle w:val="TableParagraph"/>
              <w:spacing w:before="70"/>
              <w:ind w:left="1331" w:right="1308"/>
              <w:jc w:val="center"/>
              <w:rPr>
                <w:b/>
                <w:sz w:val="20"/>
              </w:rPr>
            </w:pPr>
            <w:r>
              <w:rPr>
                <w:b/>
                <w:sz w:val="20"/>
              </w:rPr>
              <w:t>SMT Order</w:t>
            </w:r>
          </w:p>
        </w:tc>
        <w:tc>
          <w:tcPr>
            <w:tcW w:w="3682" w:type="dxa"/>
            <w:gridSpan w:val="3"/>
            <w:shd w:val="clear" w:color="auto" w:fill="F7C9AC"/>
          </w:tcPr>
          <w:p w:rsidR="007C5447" w:rsidRDefault="00F6308C">
            <w:pPr>
              <w:pStyle w:val="TableParagraph"/>
              <w:spacing w:before="70"/>
              <w:ind w:left="1243" w:right="1223"/>
              <w:jc w:val="center"/>
              <w:rPr>
                <w:b/>
                <w:sz w:val="20"/>
              </w:rPr>
            </w:pPr>
            <w:r>
              <w:rPr>
                <w:b/>
                <w:sz w:val="20"/>
              </w:rPr>
              <w:t>TANGEDCO</w:t>
            </w:r>
          </w:p>
        </w:tc>
        <w:tc>
          <w:tcPr>
            <w:tcW w:w="3949" w:type="dxa"/>
            <w:gridSpan w:val="3"/>
            <w:shd w:val="clear" w:color="auto" w:fill="F7C9AC"/>
          </w:tcPr>
          <w:p w:rsidR="007C5447" w:rsidRDefault="00F6308C">
            <w:pPr>
              <w:pStyle w:val="TableParagraph"/>
              <w:spacing w:before="70"/>
              <w:ind w:left="987"/>
              <w:jc w:val="left"/>
              <w:rPr>
                <w:b/>
                <w:sz w:val="20"/>
              </w:rPr>
            </w:pPr>
            <w:r>
              <w:rPr>
                <w:b/>
                <w:sz w:val="20"/>
              </w:rPr>
              <w:t>Approved after true up</w:t>
            </w:r>
          </w:p>
        </w:tc>
      </w:tr>
      <w:tr w:rsidR="007C5447">
        <w:trPr>
          <w:trHeight w:val="489"/>
        </w:trPr>
        <w:tc>
          <w:tcPr>
            <w:tcW w:w="2856" w:type="dxa"/>
            <w:vMerge/>
            <w:tcBorders>
              <w:top w:val="nil"/>
            </w:tcBorders>
            <w:shd w:val="clear" w:color="auto" w:fill="F7C9AC"/>
          </w:tcPr>
          <w:p w:rsidR="007C5447" w:rsidRDefault="007C5447">
            <w:pPr>
              <w:rPr>
                <w:sz w:val="2"/>
                <w:szCs w:val="2"/>
              </w:rPr>
            </w:pPr>
          </w:p>
        </w:tc>
        <w:tc>
          <w:tcPr>
            <w:tcW w:w="1339" w:type="dxa"/>
            <w:shd w:val="clear" w:color="auto" w:fill="F7C9AC"/>
          </w:tcPr>
          <w:p w:rsidR="007C5447" w:rsidRDefault="00F6308C">
            <w:pPr>
              <w:pStyle w:val="TableParagraph"/>
              <w:spacing w:before="14" w:line="230" w:lineRule="atLeast"/>
              <w:ind w:left="441" w:right="223" w:hanging="178"/>
              <w:jc w:val="left"/>
              <w:rPr>
                <w:b/>
                <w:sz w:val="20"/>
              </w:rPr>
            </w:pPr>
            <w:r>
              <w:rPr>
                <w:b/>
                <w:sz w:val="20"/>
              </w:rPr>
              <w:t>Quantum (MU)</w:t>
            </w:r>
          </w:p>
        </w:tc>
        <w:tc>
          <w:tcPr>
            <w:tcW w:w="1216" w:type="dxa"/>
            <w:shd w:val="clear" w:color="auto" w:fill="F7C9AC"/>
          </w:tcPr>
          <w:p w:rsidR="007C5447" w:rsidRDefault="00F6308C">
            <w:pPr>
              <w:pStyle w:val="TableParagraph"/>
              <w:spacing w:before="14" w:line="230" w:lineRule="atLeast"/>
              <w:ind w:left="269" w:right="228" w:firstLine="151"/>
              <w:jc w:val="left"/>
              <w:rPr>
                <w:b/>
                <w:sz w:val="20"/>
              </w:rPr>
            </w:pPr>
            <w:r>
              <w:rPr>
                <w:b/>
                <w:sz w:val="20"/>
              </w:rPr>
              <w:t>Cost (Rs. Cr)</w:t>
            </w:r>
          </w:p>
        </w:tc>
        <w:tc>
          <w:tcPr>
            <w:tcW w:w="1161" w:type="dxa"/>
            <w:shd w:val="clear" w:color="auto" w:fill="F7C9AC"/>
          </w:tcPr>
          <w:p w:rsidR="007C5447" w:rsidRDefault="00F6308C">
            <w:pPr>
              <w:pStyle w:val="TableParagraph"/>
              <w:spacing w:before="14" w:line="230" w:lineRule="atLeast"/>
              <w:ind w:left="169" w:firstLine="216"/>
              <w:jc w:val="left"/>
              <w:rPr>
                <w:b/>
                <w:sz w:val="20"/>
              </w:rPr>
            </w:pPr>
            <w:r>
              <w:rPr>
                <w:b/>
                <w:sz w:val="20"/>
              </w:rPr>
              <w:t xml:space="preserve">Rate </w:t>
            </w:r>
            <w:r>
              <w:rPr>
                <w:b/>
                <w:w w:val="95"/>
                <w:sz w:val="20"/>
              </w:rPr>
              <w:t>(Rs/kWh)</w:t>
            </w:r>
          </w:p>
        </w:tc>
        <w:tc>
          <w:tcPr>
            <w:tcW w:w="1303" w:type="dxa"/>
            <w:shd w:val="clear" w:color="auto" w:fill="F7C9AC"/>
          </w:tcPr>
          <w:p w:rsidR="007C5447" w:rsidRDefault="00F6308C">
            <w:pPr>
              <w:pStyle w:val="TableParagraph"/>
              <w:spacing w:before="14" w:line="230" w:lineRule="atLeast"/>
              <w:ind w:left="424" w:right="204" w:hanging="178"/>
              <w:jc w:val="left"/>
              <w:rPr>
                <w:b/>
                <w:sz w:val="20"/>
              </w:rPr>
            </w:pPr>
            <w:r>
              <w:rPr>
                <w:b/>
                <w:sz w:val="20"/>
              </w:rPr>
              <w:t>Quantum (MU)</w:t>
            </w:r>
          </w:p>
        </w:tc>
        <w:tc>
          <w:tcPr>
            <w:tcW w:w="1216" w:type="dxa"/>
            <w:shd w:val="clear" w:color="auto" w:fill="F7C9AC"/>
          </w:tcPr>
          <w:p w:rsidR="007C5447" w:rsidRDefault="00F6308C">
            <w:pPr>
              <w:pStyle w:val="TableParagraph"/>
              <w:spacing w:before="14" w:line="230" w:lineRule="atLeast"/>
              <w:ind w:left="271" w:right="226" w:firstLine="151"/>
              <w:jc w:val="left"/>
              <w:rPr>
                <w:b/>
                <w:sz w:val="20"/>
              </w:rPr>
            </w:pPr>
            <w:r>
              <w:rPr>
                <w:b/>
                <w:sz w:val="20"/>
              </w:rPr>
              <w:t>Cost (Rs. Cr)</w:t>
            </w:r>
          </w:p>
        </w:tc>
        <w:tc>
          <w:tcPr>
            <w:tcW w:w="1163" w:type="dxa"/>
            <w:shd w:val="clear" w:color="auto" w:fill="F7C9AC"/>
          </w:tcPr>
          <w:p w:rsidR="007C5447" w:rsidRDefault="00F6308C">
            <w:pPr>
              <w:pStyle w:val="TableParagraph"/>
              <w:spacing w:before="14" w:line="230" w:lineRule="atLeast"/>
              <w:ind w:left="171" w:firstLine="216"/>
              <w:jc w:val="left"/>
              <w:rPr>
                <w:b/>
                <w:sz w:val="20"/>
              </w:rPr>
            </w:pPr>
            <w:r>
              <w:rPr>
                <w:b/>
                <w:sz w:val="20"/>
              </w:rPr>
              <w:t xml:space="preserve">Rate </w:t>
            </w:r>
            <w:r>
              <w:rPr>
                <w:b/>
                <w:w w:val="95"/>
                <w:sz w:val="20"/>
              </w:rPr>
              <w:t>(Rs/kWh)</w:t>
            </w:r>
          </w:p>
        </w:tc>
        <w:tc>
          <w:tcPr>
            <w:tcW w:w="1339" w:type="dxa"/>
            <w:shd w:val="clear" w:color="auto" w:fill="F7C9AC"/>
          </w:tcPr>
          <w:p w:rsidR="007C5447" w:rsidRDefault="00F6308C">
            <w:pPr>
              <w:pStyle w:val="TableParagraph"/>
              <w:spacing w:before="14" w:line="230" w:lineRule="atLeast"/>
              <w:ind w:left="446" w:right="218" w:hanging="178"/>
              <w:jc w:val="left"/>
              <w:rPr>
                <w:b/>
                <w:sz w:val="20"/>
              </w:rPr>
            </w:pPr>
            <w:r>
              <w:rPr>
                <w:b/>
                <w:sz w:val="20"/>
              </w:rPr>
              <w:t>Quantum (MU)</w:t>
            </w:r>
          </w:p>
        </w:tc>
        <w:tc>
          <w:tcPr>
            <w:tcW w:w="1449" w:type="dxa"/>
            <w:shd w:val="clear" w:color="auto" w:fill="F7C9AC"/>
          </w:tcPr>
          <w:p w:rsidR="007C5447" w:rsidRDefault="00F6308C">
            <w:pPr>
              <w:pStyle w:val="TableParagraph"/>
              <w:spacing w:before="14" w:line="230" w:lineRule="atLeast"/>
              <w:ind w:left="387" w:right="241" w:hanging="104"/>
              <w:jc w:val="left"/>
              <w:rPr>
                <w:b/>
                <w:sz w:val="20"/>
              </w:rPr>
            </w:pPr>
            <w:r>
              <w:rPr>
                <w:b/>
                <w:sz w:val="20"/>
              </w:rPr>
              <w:t>Total Cost (Rs. Cr)</w:t>
            </w:r>
          </w:p>
        </w:tc>
        <w:tc>
          <w:tcPr>
            <w:tcW w:w="1161" w:type="dxa"/>
            <w:shd w:val="clear" w:color="auto" w:fill="F7C9AC"/>
          </w:tcPr>
          <w:p w:rsidR="007C5447" w:rsidRDefault="00F6308C">
            <w:pPr>
              <w:pStyle w:val="TableParagraph"/>
              <w:spacing w:before="14" w:line="230" w:lineRule="atLeast"/>
              <w:ind w:left="174" w:firstLine="216"/>
              <w:jc w:val="left"/>
              <w:rPr>
                <w:b/>
                <w:sz w:val="20"/>
              </w:rPr>
            </w:pPr>
            <w:r>
              <w:rPr>
                <w:b/>
                <w:sz w:val="20"/>
              </w:rPr>
              <w:t xml:space="preserve">Rate </w:t>
            </w:r>
            <w:r>
              <w:rPr>
                <w:b/>
                <w:w w:val="95"/>
                <w:sz w:val="20"/>
              </w:rPr>
              <w:t>(Rs/kWh)</w:t>
            </w: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b/>
                <w:sz w:val="20"/>
              </w:rPr>
            </w:pPr>
            <w:r>
              <w:rPr>
                <w:b/>
                <w:sz w:val="20"/>
              </w:rPr>
              <w:t>Total PGCIL charges</w:t>
            </w:r>
          </w:p>
        </w:tc>
        <w:tc>
          <w:tcPr>
            <w:tcW w:w="1339" w:type="dxa"/>
          </w:tcPr>
          <w:p w:rsidR="007C5447" w:rsidRDefault="00F6308C">
            <w:pPr>
              <w:pStyle w:val="TableParagraph"/>
              <w:spacing w:before="70"/>
              <w:ind w:right="293"/>
              <w:rPr>
                <w:b/>
                <w:sz w:val="20"/>
              </w:rPr>
            </w:pPr>
            <w:r>
              <w:rPr>
                <w:b/>
                <w:w w:val="99"/>
                <w:sz w:val="20"/>
              </w:rPr>
              <w:t>-</w:t>
            </w:r>
          </w:p>
        </w:tc>
        <w:tc>
          <w:tcPr>
            <w:tcW w:w="1216" w:type="dxa"/>
          </w:tcPr>
          <w:p w:rsidR="007C5447" w:rsidRDefault="00F6308C">
            <w:pPr>
              <w:pStyle w:val="TableParagraph"/>
              <w:spacing w:before="70"/>
              <w:ind w:right="293"/>
              <w:rPr>
                <w:b/>
                <w:sz w:val="20"/>
              </w:rPr>
            </w:pPr>
            <w:r>
              <w:rPr>
                <w:b/>
                <w:w w:val="95"/>
                <w:sz w:val="20"/>
              </w:rPr>
              <w:t>880.00</w:t>
            </w:r>
          </w:p>
        </w:tc>
        <w:tc>
          <w:tcPr>
            <w:tcW w:w="1161" w:type="dxa"/>
          </w:tcPr>
          <w:p w:rsidR="007C5447" w:rsidRDefault="00F6308C">
            <w:pPr>
              <w:pStyle w:val="TableParagraph"/>
              <w:spacing w:before="70"/>
              <w:ind w:right="291"/>
              <w:rPr>
                <w:b/>
                <w:sz w:val="20"/>
              </w:rPr>
            </w:pPr>
            <w:r>
              <w:rPr>
                <w:b/>
                <w:w w:val="99"/>
                <w:sz w:val="20"/>
              </w:rPr>
              <w:t>-</w:t>
            </w:r>
          </w:p>
        </w:tc>
        <w:tc>
          <w:tcPr>
            <w:tcW w:w="1303" w:type="dxa"/>
          </w:tcPr>
          <w:p w:rsidR="007C5447" w:rsidRDefault="00F6308C">
            <w:pPr>
              <w:pStyle w:val="TableParagraph"/>
              <w:spacing w:before="70"/>
              <w:ind w:right="293"/>
              <w:rPr>
                <w:b/>
                <w:sz w:val="20"/>
              </w:rPr>
            </w:pPr>
            <w:r>
              <w:rPr>
                <w:b/>
                <w:w w:val="99"/>
                <w:sz w:val="20"/>
              </w:rPr>
              <w:t>-</w:t>
            </w:r>
          </w:p>
        </w:tc>
        <w:tc>
          <w:tcPr>
            <w:tcW w:w="1216" w:type="dxa"/>
          </w:tcPr>
          <w:p w:rsidR="007C5447" w:rsidRDefault="00F6308C">
            <w:pPr>
              <w:pStyle w:val="TableParagraph"/>
              <w:spacing w:before="70"/>
              <w:ind w:right="291"/>
              <w:rPr>
                <w:b/>
                <w:sz w:val="20"/>
              </w:rPr>
            </w:pPr>
            <w:r>
              <w:rPr>
                <w:b/>
                <w:w w:val="95"/>
                <w:sz w:val="20"/>
              </w:rPr>
              <w:t>978.00</w:t>
            </w:r>
          </w:p>
        </w:tc>
        <w:tc>
          <w:tcPr>
            <w:tcW w:w="1163" w:type="dxa"/>
          </w:tcPr>
          <w:p w:rsidR="007C5447" w:rsidRDefault="00F6308C">
            <w:pPr>
              <w:pStyle w:val="TableParagraph"/>
              <w:spacing w:before="70"/>
              <w:ind w:right="291"/>
              <w:rPr>
                <w:b/>
                <w:sz w:val="20"/>
              </w:rPr>
            </w:pPr>
            <w:r>
              <w:rPr>
                <w:b/>
                <w:w w:val="99"/>
                <w:sz w:val="20"/>
              </w:rPr>
              <w:t>-</w:t>
            </w:r>
          </w:p>
        </w:tc>
        <w:tc>
          <w:tcPr>
            <w:tcW w:w="1339" w:type="dxa"/>
          </w:tcPr>
          <w:p w:rsidR="007C5447" w:rsidRDefault="00F6308C">
            <w:pPr>
              <w:pStyle w:val="TableParagraph"/>
              <w:spacing w:before="70"/>
              <w:ind w:right="288"/>
              <w:rPr>
                <w:b/>
                <w:sz w:val="20"/>
              </w:rPr>
            </w:pPr>
            <w:r>
              <w:rPr>
                <w:b/>
                <w:w w:val="99"/>
                <w:sz w:val="20"/>
              </w:rPr>
              <w:t>-</w:t>
            </w:r>
          </w:p>
        </w:tc>
        <w:tc>
          <w:tcPr>
            <w:tcW w:w="1449" w:type="dxa"/>
          </w:tcPr>
          <w:p w:rsidR="007C5447" w:rsidRDefault="00F6308C">
            <w:pPr>
              <w:pStyle w:val="TableParagraph"/>
              <w:spacing w:before="70"/>
              <w:ind w:right="291"/>
              <w:rPr>
                <w:b/>
                <w:sz w:val="20"/>
              </w:rPr>
            </w:pPr>
            <w:r>
              <w:rPr>
                <w:b/>
                <w:w w:val="95"/>
                <w:sz w:val="20"/>
              </w:rPr>
              <w:t>978.00</w:t>
            </w:r>
          </w:p>
        </w:tc>
        <w:tc>
          <w:tcPr>
            <w:tcW w:w="1161" w:type="dxa"/>
          </w:tcPr>
          <w:p w:rsidR="007C5447" w:rsidRDefault="00F6308C">
            <w:pPr>
              <w:pStyle w:val="TableParagraph"/>
              <w:spacing w:before="70"/>
              <w:ind w:right="286"/>
              <w:rPr>
                <w:b/>
                <w:sz w:val="20"/>
              </w:rPr>
            </w:pPr>
            <w:r>
              <w:rPr>
                <w:b/>
                <w:w w:val="99"/>
                <w:sz w:val="20"/>
              </w:rPr>
              <w:t>-</w:t>
            </w:r>
          </w:p>
        </w:tc>
      </w:tr>
      <w:tr w:rsidR="007C5447">
        <w:trPr>
          <w:trHeight w:val="371"/>
        </w:trPr>
        <w:tc>
          <w:tcPr>
            <w:tcW w:w="2856" w:type="dxa"/>
            <w:tcBorders>
              <w:left w:val="single" w:sz="8" w:space="0" w:color="000000"/>
            </w:tcBorders>
          </w:tcPr>
          <w:p w:rsidR="007C5447" w:rsidRDefault="00F6308C">
            <w:pPr>
              <w:pStyle w:val="TableParagraph"/>
              <w:spacing w:before="70"/>
              <w:ind w:left="107"/>
              <w:jc w:val="left"/>
              <w:rPr>
                <w:b/>
                <w:sz w:val="20"/>
              </w:rPr>
            </w:pPr>
            <w:r>
              <w:rPr>
                <w:b/>
                <w:sz w:val="20"/>
              </w:rPr>
              <w:t>TANTRANSCO Charges</w:t>
            </w:r>
          </w:p>
        </w:tc>
        <w:tc>
          <w:tcPr>
            <w:tcW w:w="1339" w:type="dxa"/>
          </w:tcPr>
          <w:p w:rsidR="007C5447" w:rsidRDefault="007C5447">
            <w:pPr>
              <w:pStyle w:val="TableParagraph"/>
              <w:jc w:val="left"/>
              <w:rPr>
                <w:sz w:val="20"/>
              </w:rPr>
            </w:pPr>
          </w:p>
        </w:tc>
        <w:tc>
          <w:tcPr>
            <w:tcW w:w="1216" w:type="dxa"/>
          </w:tcPr>
          <w:p w:rsidR="007C5447" w:rsidRDefault="00F6308C">
            <w:pPr>
              <w:pStyle w:val="TableParagraph"/>
              <w:spacing w:before="70"/>
              <w:ind w:right="293"/>
              <w:rPr>
                <w:b/>
                <w:sz w:val="20"/>
              </w:rPr>
            </w:pPr>
            <w:r>
              <w:rPr>
                <w:b/>
                <w:w w:val="95"/>
                <w:sz w:val="20"/>
              </w:rPr>
              <w:t>1692.00</w:t>
            </w:r>
          </w:p>
        </w:tc>
        <w:tc>
          <w:tcPr>
            <w:tcW w:w="1161" w:type="dxa"/>
          </w:tcPr>
          <w:p w:rsidR="007C5447" w:rsidRDefault="007C5447">
            <w:pPr>
              <w:pStyle w:val="TableParagraph"/>
              <w:jc w:val="left"/>
              <w:rPr>
                <w:sz w:val="20"/>
              </w:rPr>
            </w:pPr>
          </w:p>
        </w:tc>
        <w:tc>
          <w:tcPr>
            <w:tcW w:w="1303" w:type="dxa"/>
          </w:tcPr>
          <w:p w:rsidR="007C5447" w:rsidRDefault="007C5447">
            <w:pPr>
              <w:pStyle w:val="TableParagraph"/>
              <w:jc w:val="left"/>
              <w:rPr>
                <w:sz w:val="20"/>
              </w:rPr>
            </w:pPr>
          </w:p>
        </w:tc>
        <w:tc>
          <w:tcPr>
            <w:tcW w:w="1216" w:type="dxa"/>
          </w:tcPr>
          <w:p w:rsidR="007C5447" w:rsidRDefault="00F6308C">
            <w:pPr>
              <w:pStyle w:val="TableParagraph"/>
              <w:spacing w:before="70"/>
              <w:ind w:right="289"/>
              <w:rPr>
                <w:b/>
                <w:sz w:val="20"/>
              </w:rPr>
            </w:pPr>
            <w:r>
              <w:rPr>
                <w:b/>
                <w:w w:val="95"/>
                <w:sz w:val="20"/>
              </w:rPr>
              <w:t>1,374.00</w:t>
            </w:r>
          </w:p>
        </w:tc>
        <w:tc>
          <w:tcPr>
            <w:tcW w:w="1163"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c>
          <w:tcPr>
            <w:tcW w:w="1449" w:type="dxa"/>
          </w:tcPr>
          <w:p w:rsidR="007C5447" w:rsidRDefault="00F6308C">
            <w:pPr>
              <w:pStyle w:val="TableParagraph"/>
              <w:spacing w:before="70"/>
              <w:ind w:right="289"/>
              <w:rPr>
                <w:b/>
                <w:sz w:val="20"/>
              </w:rPr>
            </w:pPr>
            <w:r>
              <w:rPr>
                <w:b/>
                <w:w w:val="95"/>
                <w:sz w:val="20"/>
              </w:rPr>
              <w:t>1,373.63</w:t>
            </w:r>
          </w:p>
        </w:tc>
        <w:tc>
          <w:tcPr>
            <w:tcW w:w="1161" w:type="dxa"/>
          </w:tcPr>
          <w:p w:rsidR="007C5447" w:rsidRDefault="007C5447">
            <w:pPr>
              <w:pStyle w:val="TableParagraph"/>
              <w:jc w:val="left"/>
              <w:rPr>
                <w:sz w:val="20"/>
              </w:rPr>
            </w:pPr>
          </w:p>
        </w:tc>
      </w:tr>
      <w:tr w:rsidR="007C5447">
        <w:trPr>
          <w:trHeight w:val="369"/>
        </w:trPr>
        <w:tc>
          <w:tcPr>
            <w:tcW w:w="2856" w:type="dxa"/>
            <w:tcBorders>
              <w:left w:val="single" w:sz="8" w:space="0" w:color="000000"/>
            </w:tcBorders>
          </w:tcPr>
          <w:p w:rsidR="007C5447" w:rsidRDefault="00F6308C">
            <w:pPr>
              <w:pStyle w:val="TableParagraph"/>
              <w:spacing w:before="70"/>
              <w:ind w:left="107"/>
              <w:jc w:val="left"/>
              <w:rPr>
                <w:b/>
                <w:sz w:val="20"/>
              </w:rPr>
            </w:pPr>
            <w:r>
              <w:rPr>
                <w:b/>
                <w:sz w:val="20"/>
              </w:rPr>
              <w:t>Total Power Purchase</w:t>
            </w:r>
          </w:p>
        </w:tc>
        <w:tc>
          <w:tcPr>
            <w:tcW w:w="1339" w:type="dxa"/>
          </w:tcPr>
          <w:p w:rsidR="007C5447" w:rsidRDefault="00F6308C">
            <w:pPr>
              <w:pStyle w:val="TableParagraph"/>
              <w:spacing w:before="70"/>
              <w:ind w:right="294"/>
              <w:rPr>
                <w:b/>
                <w:sz w:val="20"/>
              </w:rPr>
            </w:pPr>
            <w:r>
              <w:rPr>
                <w:b/>
                <w:w w:val="95"/>
                <w:sz w:val="20"/>
              </w:rPr>
              <w:t>78,675.09</w:t>
            </w:r>
          </w:p>
        </w:tc>
        <w:tc>
          <w:tcPr>
            <w:tcW w:w="1216" w:type="dxa"/>
          </w:tcPr>
          <w:p w:rsidR="007C5447" w:rsidRDefault="00F6308C">
            <w:pPr>
              <w:pStyle w:val="TableParagraph"/>
              <w:spacing w:before="70"/>
              <w:ind w:right="291"/>
              <w:rPr>
                <w:b/>
                <w:sz w:val="20"/>
              </w:rPr>
            </w:pPr>
            <w:r>
              <w:rPr>
                <w:b/>
                <w:w w:val="95"/>
                <w:sz w:val="20"/>
              </w:rPr>
              <w:t>31,618.73</w:t>
            </w:r>
          </w:p>
        </w:tc>
        <w:tc>
          <w:tcPr>
            <w:tcW w:w="1161" w:type="dxa"/>
          </w:tcPr>
          <w:p w:rsidR="007C5447" w:rsidRDefault="00F6308C">
            <w:pPr>
              <w:pStyle w:val="TableParagraph"/>
              <w:spacing w:before="70"/>
              <w:ind w:right="292"/>
              <w:rPr>
                <w:b/>
                <w:sz w:val="20"/>
              </w:rPr>
            </w:pPr>
            <w:r>
              <w:rPr>
                <w:b/>
                <w:sz w:val="20"/>
              </w:rPr>
              <w:t>4.02</w:t>
            </w:r>
          </w:p>
        </w:tc>
        <w:tc>
          <w:tcPr>
            <w:tcW w:w="1303" w:type="dxa"/>
          </w:tcPr>
          <w:p w:rsidR="007C5447" w:rsidRDefault="00F6308C">
            <w:pPr>
              <w:pStyle w:val="TableParagraph"/>
              <w:spacing w:before="70"/>
              <w:ind w:right="295"/>
              <w:rPr>
                <w:b/>
                <w:sz w:val="20"/>
              </w:rPr>
            </w:pPr>
            <w:r>
              <w:rPr>
                <w:b/>
                <w:w w:val="95"/>
                <w:sz w:val="20"/>
              </w:rPr>
              <w:t>85,473.81</w:t>
            </w:r>
          </w:p>
        </w:tc>
        <w:tc>
          <w:tcPr>
            <w:tcW w:w="1216" w:type="dxa"/>
          </w:tcPr>
          <w:p w:rsidR="007C5447" w:rsidRDefault="00F6308C">
            <w:pPr>
              <w:pStyle w:val="TableParagraph"/>
              <w:spacing w:before="70"/>
              <w:ind w:right="289"/>
              <w:rPr>
                <w:b/>
                <w:sz w:val="20"/>
              </w:rPr>
            </w:pPr>
            <w:r>
              <w:rPr>
                <w:b/>
                <w:w w:val="95"/>
                <w:sz w:val="20"/>
              </w:rPr>
              <w:t>40,815.40</w:t>
            </w:r>
          </w:p>
        </w:tc>
        <w:tc>
          <w:tcPr>
            <w:tcW w:w="1163" w:type="dxa"/>
          </w:tcPr>
          <w:p w:rsidR="007C5447" w:rsidRDefault="00F6308C">
            <w:pPr>
              <w:pStyle w:val="TableParagraph"/>
              <w:spacing w:before="70"/>
              <w:ind w:right="292"/>
              <w:rPr>
                <w:b/>
                <w:sz w:val="20"/>
              </w:rPr>
            </w:pPr>
            <w:r>
              <w:rPr>
                <w:b/>
                <w:sz w:val="20"/>
              </w:rPr>
              <w:t>4.78</w:t>
            </w:r>
          </w:p>
        </w:tc>
        <w:tc>
          <w:tcPr>
            <w:tcW w:w="1339" w:type="dxa"/>
          </w:tcPr>
          <w:p w:rsidR="007C5447" w:rsidRDefault="00F6308C">
            <w:pPr>
              <w:pStyle w:val="TableParagraph"/>
              <w:spacing w:before="70"/>
              <w:ind w:right="290"/>
              <w:rPr>
                <w:b/>
                <w:sz w:val="20"/>
              </w:rPr>
            </w:pPr>
            <w:r>
              <w:rPr>
                <w:b/>
                <w:w w:val="95"/>
                <w:sz w:val="20"/>
              </w:rPr>
              <w:t>78,559.79</w:t>
            </w:r>
          </w:p>
        </w:tc>
        <w:tc>
          <w:tcPr>
            <w:tcW w:w="1449" w:type="dxa"/>
          </w:tcPr>
          <w:p w:rsidR="007C5447" w:rsidRDefault="00F6308C">
            <w:pPr>
              <w:pStyle w:val="TableParagraph"/>
              <w:spacing w:before="70"/>
              <w:ind w:right="289"/>
              <w:rPr>
                <w:b/>
                <w:sz w:val="20"/>
              </w:rPr>
            </w:pPr>
            <w:r>
              <w:rPr>
                <w:b/>
                <w:sz w:val="20"/>
              </w:rPr>
              <w:t>32591.62</w:t>
            </w:r>
          </w:p>
        </w:tc>
        <w:tc>
          <w:tcPr>
            <w:tcW w:w="1161" w:type="dxa"/>
          </w:tcPr>
          <w:p w:rsidR="007C5447" w:rsidRDefault="00F6308C">
            <w:pPr>
              <w:pStyle w:val="TableParagraph"/>
              <w:spacing w:before="70"/>
              <w:ind w:right="287"/>
              <w:rPr>
                <w:b/>
                <w:sz w:val="20"/>
              </w:rPr>
            </w:pPr>
            <w:r>
              <w:rPr>
                <w:b/>
                <w:sz w:val="20"/>
              </w:rPr>
              <w:t>4.15</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0"/>
        </w:rPr>
      </w:pPr>
    </w:p>
    <w:p w:rsidR="007C5447" w:rsidRDefault="00F6308C">
      <w:pPr>
        <w:spacing w:before="223"/>
        <w:ind w:left="2886"/>
        <w:rPr>
          <w:b/>
        </w:rPr>
      </w:pPr>
      <w:r>
        <w:rPr>
          <w:b/>
        </w:rPr>
        <w:t>Table 3-70</w:t>
      </w:r>
      <w:r>
        <w:rPr>
          <w:b/>
          <w:sz w:val="24"/>
        </w:rPr>
        <w:t xml:space="preserve">: </w:t>
      </w:r>
      <w:r>
        <w:rPr>
          <w:b/>
        </w:rPr>
        <w:t>Summary of Power Purchase approved by the Commission after true-up for FY 2015-16</w:t>
      </w:r>
    </w:p>
    <w:p w:rsidR="007C5447" w:rsidRDefault="007C5447">
      <w:pPr>
        <w:pStyle w:val="BodyText"/>
        <w:spacing w:before="7"/>
        <w:rPr>
          <w:b/>
          <w:sz w:val="17"/>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9"/>
        <w:gridCol w:w="1140"/>
        <w:gridCol w:w="1300"/>
        <w:gridCol w:w="1274"/>
        <w:gridCol w:w="1320"/>
        <w:gridCol w:w="1200"/>
        <w:gridCol w:w="1087"/>
        <w:gridCol w:w="1354"/>
        <w:gridCol w:w="1387"/>
        <w:gridCol w:w="1056"/>
      </w:tblGrid>
      <w:tr w:rsidR="007C5447">
        <w:trPr>
          <w:trHeight w:val="371"/>
        </w:trPr>
        <w:tc>
          <w:tcPr>
            <w:tcW w:w="3089" w:type="dxa"/>
            <w:vMerge w:val="restart"/>
            <w:shd w:val="clear" w:color="auto" w:fill="F7C9AC"/>
          </w:tcPr>
          <w:p w:rsidR="007C5447" w:rsidRDefault="007C5447">
            <w:pPr>
              <w:pStyle w:val="TableParagraph"/>
              <w:jc w:val="left"/>
              <w:rPr>
                <w:b/>
              </w:rPr>
            </w:pPr>
          </w:p>
          <w:p w:rsidR="007C5447" w:rsidRDefault="007C5447">
            <w:pPr>
              <w:pStyle w:val="TableParagraph"/>
              <w:spacing w:before="5"/>
              <w:jc w:val="left"/>
              <w:rPr>
                <w:b/>
              </w:rPr>
            </w:pPr>
          </w:p>
          <w:p w:rsidR="007C5447" w:rsidRDefault="00F6308C">
            <w:pPr>
              <w:pStyle w:val="TableParagraph"/>
              <w:ind w:left="1102" w:right="1093"/>
              <w:jc w:val="center"/>
              <w:rPr>
                <w:b/>
                <w:sz w:val="20"/>
              </w:rPr>
            </w:pPr>
            <w:r>
              <w:rPr>
                <w:b/>
                <w:sz w:val="20"/>
              </w:rPr>
              <w:t>Source</w:t>
            </w:r>
          </w:p>
        </w:tc>
        <w:tc>
          <w:tcPr>
            <w:tcW w:w="11118" w:type="dxa"/>
            <w:gridSpan w:val="9"/>
            <w:shd w:val="clear" w:color="auto" w:fill="F7C9AC"/>
          </w:tcPr>
          <w:p w:rsidR="007C5447" w:rsidRDefault="00F6308C">
            <w:pPr>
              <w:pStyle w:val="TableParagraph"/>
              <w:spacing w:before="127" w:line="224" w:lineRule="exact"/>
              <w:ind w:left="5044" w:right="5031"/>
              <w:jc w:val="center"/>
              <w:rPr>
                <w:b/>
                <w:sz w:val="20"/>
              </w:rPr>
            </w:pPr>
            <w:r>
              <w:rPr>
                <w:b/>
                <w:sz w:val="20"/>
              </w:rPr>
              <w:t>FY 2015-16</w:t>
            </w:r>
          </w:p>
        </w:tc>
      </w:tr>
      <w:tr w:rsidR="007C5447">
        <w:trPr>
          <w:trHeight w:val="369"/>
        </w:trPr>
        <w:tc>
          <w:tcPr>
            <w:tcW w:w="3089" w:type="dxa"/>
            <w:vMerge/>
            <w:tcBorders>
              <w:top w:val="nil"/>
            </w:tcBorders>
            <w:shd w:val="clear" w:color="auto" w:fill="F7C9AC"/>
          </w:tcPr>
          <w:p w:rsidR="007C5447" w:rsidRDefault="007C5447">
            <w:pPr>
              <w:rPr>
                <w:sz w:val="2"/>
                <w:szCs w:val="2"/>
              </w:rPr>
            </w:pPr>
          </w:p>
        </w:tc>
        <w:tc>
          <w:tcPr>
            <w:tcW w:w="3714" w:type="dxa"/>
            <w:gridSpan w:val="3"/>
            <w:shd w:val="clear" w:color="auto" w:fill="F7C9AC"/>
          </w:tcPr>
          <w:p w:rsidR="007C5447" w:rsidRDefault="00F6308C">
            <w:pPr>
              <w:pStyle w:val="TableParagraph"/>
              <w:spacing w:before="70"/>
              <w:ind w:left="1463" w:right="1451"/>
              <w:jc w:val="center"/>
              <w:rPr>
                <w:b/>
                <w:sz w:val="20"/>
              </w:rPr>
            </w:pPr>
            <w:r>
              <w:rPr>
                <w:b/>
                <w:sz w:val="20"/>
              </w:rPr>
              <w:t>TO 2013</w:t>
            </w:r>
          </w:p>
        </w:tc>
        <w:tc>
          <w:tcPr>
            <w:tcW w:w="3607" w:type="dxa"/>
            <w:gridSpan w:val="3"/>
            <w:shd w:val="clear" w:color="auto" w:fill="F7C9AC"/>
          </w:tcPr>
          <w:p w:rsidR="007C5447" w:rsidRDefault="00F6308C">
            <w:pPr>
              <w:pStyle w:val="TableParagraph"/>
              <w:spacing w:before="70"/>
              <w:ind w:left="1200" w:right="1192"/>
              <w:jc w:val="center"/>
              <w:rPr>
                <w:b/>
                <w:sz w:val="20"/>
              </w:rPr>
            </w:pPr>
            <w:r>
              <w:rPr>
                <w:b/>
                <w:sz w:val="20"/>
              </w:rPr>
              <w:t>TANGEDCO</w:t>
            </w:r>
          </w:p>
        </w:tc>
        <w:tc>
          <w:tcPr>
            <w:tcW w:w="3797" w:type="dxa"/>
            <w:gridSpan w:val="3"/>
            <w:shd w:val="clear" w:color="auto" w:fill="F7C9AC"/>
          </w:tcPr>
          <w:p w:rsidR="007C5447" w:rsidRDefault="00F6308C">
            <w:pPr>
              <w:pStyle w:val="TableParagraph"/>
              <w:spacing w:before="70"/>
              <w:ind w:left="903"/>
              <w:jc w:val="left"/>
              <w:rPr>
                <w:b/>
                <w:sz w:val="20"/>
              </w:rPr>
            </w:pPr>
            <w:r>
              <w:rPr>
                <w:b/>
                <w:sz w:val="20"/>
              </w:rPr>
              <w:t>Approved after true up</w:t>
            </w:r>
          </w:p>
        </w:tc>
      </w:tr>
      <w:tr w:rsidR="007C5447">
        <w:trPr>
          <w:trHeight w:val="489"/>
        </w:trPr>
        <w:tc>
          <w:tcPr>
            <w:tcW w:w="3089" w:type="dxa"/>
            <w:vMerge/>
            <w:tcBorders>
              <w:top w:val="nil"/>
            </w:tcBorders>
            <w:shd w:val="clear" w:color="auto" w:fill="F7C9AC"/>
          </w:tcPr>
          <w:p w:rsidR="007C5447" w:rsidRDefault="007C5447">
            <w:pPr>
              <w:rPr>
                <w:sz w:val="2"/>
                <w:szCs w:val="2"/>
              </w:rPr>
            </w:pPr>
          </w:p>
        </w:tc>
        <w:tc>
          <w:tcPr>
            <w:tcW w:w="1140" w:type="dxa"/>
            <w:shd w:val="clear" w:color="auto" w:fill="F7C9AC"/>
          </w:tcPr>
          <w:p w:rsidR="007C5447" w:rsidRDefault="00F6308C">
            <w:pPr>
              <w:pStyle w:val="TableParagraph"/>
              <w:spacing w:before="14" w:line="230" w:lineRule="atLeast"/>
              <w:ind w:left="336" w:right="129" w:hanging="178"/>
              <w:jc w:val="left"/>
              <w:rPr>
                <w:b/>
                <w:sz w:val="20"/>
              </w:rPr>
            </w:pPr>
            <w:r>
              <w:rPr>
                <w:b/>
                <w:sz w:val="20"/>
              </w:rPr>
              <w:t>Quantum (MU)</w:t>
            </w:r>
          </w:p>
        </w:tc>
        <w:tc>
          <w:tcPr>
            <w:tcW w:w="1300" w:type="dxa"/>
            <w:shd w:val="clear" w:color="auto" w:fill="F7C9AC"/>
          </w:tcPr>
          <w:p w:rsidR="007C5447" w:rsidRDefault="00F6308C">
            <w:pPr>
              <w:pStyle w:val="TableParagraph"/>
              <w:spacing w:before="14" w:line="230" w:lineRule="atLeast"/>
              <w:ind w:left="329" w:right="252" w:firstLine="124"/>
              <w:jc w:val="left"/>
              <w:rPr>
                <w:b/>
                <w:sz w:val="20"/>
              </w:rPr>
            </w:pPr>
            <w:r>
              <w:rPr>
                <w:b/>
                <w:sz w:val="20"/>
              </w:rPr>
              <w:t>Cost (Rs. Cr)</w:t>
            </w:r>
          </w:p>
        </w:tc>
        <w:tc>
          <w:tcPr>
            <w:tcW w:w="1274" w:type="dxa"/>
            <w:shd w:val="clear" w:color="auto" w:fill="F7C9AC"/>
          </w:tcPr>
          <w:p w:rsidR="007C5447" w:rsidRDefault="00F6308C">
            <w:pPr>
              <w:pStyle w:val="TableParagraph"/>
              <w:spacing w:before="14" w:line="230" w:lineRule="atLeast"/>
              <w:ind w:left="222" w:firstLine="216"/>
              <w:jc w:val="left"/>
              <w:rPr>
                <w:b/>
                <w:sz w:val="20"/>
              </w:rPr>
            </w:pPr>
            <w:r>
              <w:rPr>
                <w:b/>
                <w:sz w:val="20"/>
              </w:rPr>
              <w:t xml:space="preserve">Rate </w:t>
            </w:r>
            <w:r>
              <w:rPr>
                <w:b/>
                <w:w w:val="95"/>
                <w:sz w:val="20"/>
              </w:rPr>
              <w:t>(Rs/kWh)</w:t>
            </w:r>
          </w:p>
        </w:tc>
        <w:tc>
          <w:tcPr>
            <w:tcW w:w="1320" w:type="dxa"/>
            <w:shd w:val="clear" w:color="auto" w:fill="F7C9AC"/>
          </w:tcPr>
          <w:p w:rsidR="007C5447" w:rsidRDefault="00F6308C">
            <w:pPr>
              <w:pStyle w:val="TableParagraph"/>
              <w:spacing w:before="14" w:line="230" w:lineRule="atLeast"/>
              <w:ind w:left="428" w:right="217" w:hanging="178"/>
              <w:jc w:val="left"/>
              <w:rPr>
                <w:b/>
                <w:sz w:val="20"/>
              </w:rPr>
            </w:pPr>
            <w:r>
              <w:rPr>
                <w:b/>
                <w:sz w:val="20"/>
              </w:rPr>
              <w:t>Quantum (MU)</w:t>
            </w:r>
          </w:p>
        </w:tc>
        <w:tc>
          <w:tcPr>
            <w:tcW w:w="1200" w:type="dxa"/>
            <w:shd w:val="clear" w:color="auto" w:fill="F7C9AC"/>
          </w:tcPr>
          <w:p w:rsidR="007C5447" w:rsidRDefault="00F6308C">
            <w:pPr>
              <w:pStyle w:val="TableParagraph"/>
              <w:spacing w:before="14" w:line="230" w:lineRule="atLeast"/>
              <w:ind w:left="256" w:right="225" w:firstLine="151"/>
              <w:jc w:val="left"/>
              <w:rPr>
                <w:b/>
                <w:sz w:val="20"/>
              </w:rPr>
            </w:pPr>
            <w:r>
              <w:rPr>
                <w:b/>
                <w:sz w:val="20"/>
              </w:rPr>
              <w:t>Cost (Rs. Cr)</w:t>
            </w:r>
          </w:p>
        </w:tc>
        <w:tc>
          <w:tcPr>
            <w:tcW w:w="1087" w:type="dxa"/>
            <w:shd w:val="clear" w:color="auto" w:fill="F7C9AC"/>
          </w:tcPr>
          <w:p w:rsidR="007C5447" w:rsidRDefault="00F6308C">
            <w:pPr>
              <w:pStyle w:val="TableParagraph"/>
              <w:spacing w:before="14" w:line="230" w:lineRule="atLeast"/>
              <w:ind w:left="129" w:right="104" w:firstLine="216"/>
              <w:jc w:val="left"/>
              <w:rPr>
                <w:b/>
                <w:sz w:val="20"/>
              </w:rPr>
            </w:pPr>
            <w:r>
              <w:rPr>
                <w:b/>
                <w:sz w:val="20"/>
              </w:rPr>
              <w:t xml:space="preserve">Rate </w:t>
            </w:r>
            <w:r>
              <w:rPr>
                <w:b/>
                <w:w w:val="95"/>
                <w:sz w:val="20"/>
              </w:rPr>
              <w:t>(Rs/kWh)</w:t>
            </w:r>
          </w:p>
        </w:tc>
        <w:tc>
          <w:tcPr>
            <w:tcW w:w="1354" w:type="dxa"/>
            <w:shd w:val="clear" w:color="auto" w:fill="F7C9AC"/>
          </w:tcPr>
          <w:p w:rsidR="007C5447" w:rsidRDefault="00F6308C">
            <w:pPr>
              <w:pStyle w:val="TableParagraph"/>
              <w:spacing w:before="14" w:line="230" w:lineRule="atLeast"/>
              <w:ind w:left="446" w:right="233" w:hanging="178"/>
              <w:jc w:val="left"/>
              <w:rPr>
                <w:b/>
                <w:sz w:val="20"/>
              </w:rPr>
            </w:pPr>
            <w:r>
              <w:rPr>
                <w:b/>
                <w:sz w:val="20"/>
              </w:rPr>
              <w:t>Quantum (MU)</w:t>
            </w:r>
          </w:p>
        </w:tc>
        <w:tc>
          <w:tcPr>
            <w:tcW w:w="1387" w:type="dxa"/>
            <w:shd w:val="clear" w:color="auto" w:fill="F7C9AC"/>
          </w:tcPr>
          <w:p w:rsidR="007C5447" w:rsidRDefault="00F6308C">
            <w:pPr>
              <w:pStyle w:val="TableParagraph"/>
              <w:spacing w:before="14" w:line="230" w:lineRule="atLeast"/>
              <w:ind w:left="350" w:right="216" w:hanging="104"/>
              <w:jc w:val="left"/>
              <w:rPr>
                <w:b/>
                <w:sz w:val="20"/>
              </w:rPr>
            </w:pPr>
            <w:r>
              <w:rPr>
                <w:b/>
                <w:sz w:val="20"/>
              </w:rPr>
              <w:t>Total Cost (Rs. Cr)</w:t>
            </w:r>
          </w:p>
        </w:tc>
        <w:tc>
          <w:tcPr>
            <w:tcW w:w="1056" w:type="dxa"/>
            <w:shd w:val="clear" w:color="auto" w:fill="F7C9AC"/>
          </w:tcPr>
          <w:p w:rsidR="007C5447" w:rsidRDefault="00F6308C">
            <w:pPr>
              <w:pStyle w:val="TableParagraph"/>
              <w:spacing w:before="14" w:line="230" w:lineRule="atLeast"/>
              <w:ind w:left="113" w:right="77" w:firstLine="216"/>
              <w:jc w:val="left"/>
              <w:rPr>
                <w:b/>
                <w:sz w:val="20"/>
              </w:rPr>
            </w:pPr>
            <w:r>
              <w:rPr>
                <w:b/>
                <w:sz w:val="20"/>
              </w:rPr>
              <w:t xml:space="preserve">Rate </w:t>
            </w:r>
            <w:r>
              <w:rPr>
                <w:b/>
                <w:w w:val="95"/>
                <w:sz w:val="20"/>
              </w:rPr>
              <w:t>(Rs/kWh)</w:t>
            </w:r>
          </w:p>
        </w:tc>
      </w:tr>
      <w:tr w:rsidR="007C5447">
        <w:trPr>
          <w:trHeight w:val="371"/>
        </w:trPr>
        <w:tc>
          <w:tcPr>
            <w:tcW w:w="3089" w:type="dxa"/>
          </w:tcPr>
          <w:p w:rsidR="007C5447" w:rsidRDefault="00F6308C">
            <w:pPr>
              <w:pStyle w:val="TableParagraph"/>
              <w:spacing w:before="72"/>
              <w:ind w:left="460"/>
              <w:jc w:val="left"/>
              <w:rPr>
                <w:b/>
                <w:sz w:val="20"/>
              </w:rPr>
            </w:pPr>
            <w:r>
              <w:rPr>
                <w:b/>
                <w:sz w:val="20"/>
              </w:rPr>
              <w:t>Own Generating Stations</w:t>
            </w:r>
          </w:p>
        </w:tc>
        <w:tc>
          <w:tcPr>
            <w:tcW w:w="1140"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7C5447">
            <w:pPr>
              <w:pStyle w:val="TableParagraph"/>
              <w:jc w:val="left"/>
              <w:rPr>
                <w:sz w:val="20"/>
              </w:rPr>
            </w:pPr>
          </w:p>
        </w:tc>
        <w:tc>
          <w:tcPr>
            <w:tcW w:w="1200" w:type="dxa"/>
          </w:tcPr>
          <w:p w:rsidR="007C5447" w:rsidRDefault="007C5447">
            <w:pPr>
              <w:pStyle w:val="TableParagraph"/>
              <w:jc w:val="left"/>
              <w:rPr>
                <w:sz w:val="20"/>
              </w:rPr>
            </w:pP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r w:rsidR="007C5447">
        <w:trPr>
          <w:trHeight w:val="369"/>
        </w:trPr>
        <w:tc>
          <w:tcPr>
            <w:tcW w:w="3089" w:type="dxa"/>
          </w:tcPr>
          <w:p w:rsidR="007C5447" w:rsidRDefault="00F6308C">
            <w:pPr>
              <w:pStyle w:val="TableParagraph"/>
              <w:spacing w:before="70"/>
              <w:ind w:left="107"/>
              <w:jc w:val="left"/>
              <w:rPr>
                <w:sz w:val="20"/>
              </w:rPr>
            </w:pPr>
            <w:r>
              <w:rPr>
                <w:sz w:val="20"/>
              </w:rPr>
              <w:t>Ennore TPS</w:t>
            </w:r>
          </w:p>
        </w:tc>
        <w:tc>
          <w:tcPr>
            <w:tcW w:w="1140" w:type="dxa"/>
          </w:tcPr>
          <w:p w:rsidR="007C5447" w:rsidRDefault="007C5447">
            <w:pPr>
              <w:pStyle w:val="TableParagraph"/>
              <w:jc w:val="left"/>
              <w:rPr>
                <w:sz w:val="20"/>
              </w:rPr>
            </w:pPr>
          </w:p>
        </w:tc>
        <w:tc>
          <w:tcPr>
            <w:tcW w:w="1300" w:type="dxa"/>
          </w:tcPr>
          <w:p w:rsidR="007C5447" w:rsidRDefault="00F6308C">
            <w:pPr>
              <w:pStyle w:val="TableParagraph"/>
              <w:spacing w:before="70"/>
              <w:ind w:right="94"/>
              <w:rPr>
                <w:sz w:val="20"/>
              </w:rPr>
            </w:pPr>
            <w:r>
              <w:rPr>
                <w:sz w:val="20"/>
              </w:rPr>
              <w:t>274</w:t>
            </w: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0"/>
              <w:ind w:right="96"/>
              <w:rPr>
                <w:sz w:val="20"/>
              </w:rPr>
            </w:pPr>
            <w:r>
              <w:rPr>
                <w:w w:val="95"/>
                <w:sz w:val="20"/>
              </w:rPr>
              <w:t>392.00</w:t>
            </w:r>
          </w:p>
        </w:tc>
        <w:tc>
          <w:tcPr>
            <w:tcW w:w="1200" w:type="dxa"/>
          </w:tcPr>
          <w:p w:rsidR="007C5447" w:rsidRDefault="00F6308C">
            <w:pPr>
              <w:pStyle w:val="TableParagraph"/>
              <w:spacing w:before="70"/>
              <w:ind w:right="95"/>
              <w:rPr>
                <w:sz w:val="20"/>
              </w:rPr>
            </w:pPr>
            <w:r>
              <w:rPr>
                <w:w w:val="95"/>
                <w:sz w:val="20"/>
              </w:rPr>
              <w:t>855.85</w:t>
            </w:r>
          </w:p>
        </w:tc>
        <w:tc>
          <w:tcPr>
            <w:tcW w:w="1087" w:type="dxa"/>
          </w:tcPr>
          <w:p w:rsidR="007C5447" w:rsidRDefault="00F6308C">
            <w:pPr>
              <w:pStyle w:val="TableParagraph"/>
              <w:spacing w:before="70"/>
              <w:ind w:right="95"/>
              <w:rPr>
                <w:sz w:val="20"/>
              </w:rPr>
            </w:pPr>
            <w:r>
              <w:rPr>
                <w:w w:val="95"/>
                <w:sz w:val="20"/>
              </w:rPr>
              <w:t>21.83</w:t>
            </w:r>
          </w:p>
        </w:tc>
        <w:tc>
          <w:tcPr>
            <w:tcW w:w="1354" w:type="dxa"/>
          </w:tcPr>
          <w:p w:rsidR="007C5447" w:rsidRDefault="00F6308C">
            <w:pPr>
              <w:pStyle w:val="TableParagraph"/>
              <w:spacing w:before="70"/>
              <w:ind w:right="96"/>
              <w:rPr>
                <w:sz w:val="20"/>
              </w:rPr>
            </w:pPr>
            <w:r>
              <w:rPr>
                <w:w w:val="95"/>
                <w:sz w:val="20"/>
              </w:rPr>
              <w:t>392.00</w:t>
            </w:r>
          </w:p>
        </w:tc>
        <w:tc>
          <w:tcPr>
            <w:tcW w:w="1387" w:type="dxa"/>
          </w:tcPr>
          <w:p w:rsidR="007C5447" w:rsidRDefault="00F6308C">
            <w:pPr>
              <w:pStyle w:val="TableParagraph"/>
              <w:spacing w:before="70"/>
              <w:ind w:right="95"/>
              <w:rPr>
                <w:sz w:val="20"/>
              </w:rPr>
            </w:pPr>
            <w:r>
              <w:rPr>
                <w:w w:val="95"/>
                <w:sz w:val="20"/>
              </w:rPr>
              <w:t>366.86</w:t>
            </w:r>
          </w:p>
        </w:tc>
        <w:tc>
          <w:tcPr>
            <w:tcW w:w="1056" w:type="dxa"/>
          </w:tcPr>
          <w:p w:rsidR="007C5447" w:rsidRDefault="00F6308C">
            <w:pPr>
              <w:pStyle w:val="TableParagraph"/>
              <w:spacing w:before="70"/>
              <w:ind w:right="95"/>
              <w:rPr>
                <w:sz w:val="20"/>
              </w:rPr>
            </w:pPr>
            <w:r>
              <w:rPr>
                <w:sz w:val="20"/>
              </w:rPr>
              <w:t>9.36</w:t>
            </w:r>
          </w:p>
        </w:tc>
      </w:tr>
      <w:tr w:rsidR="007C5447">
        <w:trPr>
          <w:trHeight w:val="369"/>
        </w:trPr>
        <w:tc>
          <w:tcPr>
            <w:tcW w:w="3089" w:type="dxa"/>
          </w:tcPr>
          <w:p w:rsidR="007C5447" w:rsidRDefault="00F6308C">
            <w:pPr>
              <w:pStyle w:val="TableParagraph"/>
              <w:spacing w:before="70"/>
              <w:ind w:left="107"/>
              <w:jc w:val="left"/>
              <w:rPr>
                <w:sz w:val="20"/>
              </w:rPr>
            </w:pPr>
            <w:r>
              <w:rPr>
                <w:sz w:val="20"/>
              </w:rPr>
              <w:t>Tuticorin TPS</w:t>
            </w:r>
          </w:p>
        </w:tc>
        <w:tc>
          <w:tcPr>
            <w:tcW w:w="1140" w:type="dxa"/>
          </w:tcPr>
          <w:p w:rsidR="007C5447" w:rsidRDefault="00F6308C">
            <w:pPr>
              <w:pStyle w:val="TableParagraph"/>
              <w:spacing w:before="70"/>
              <w:ind w:right="93"/>
              <w:rPr>
                <w:sz w:val="20"/>
              </w:rPr>
            </w:pPr>
            <w:r>
              <w:rPr>
                <w:sz w:val="20"/>
              </w:rPr>
              <w:t>5406</w:t>
            </w:r>
          </w:p>
        </w:tc>
        <w:tc>
          <w:tcPr>
            <w:tcW w:w="1300" w:type="dxa"/>
          </w:tcPr>
          <w:p w:rsidR="007C5447" w:rsidRDefault="00F6308C">
            <w:pPr>
              <w:pStyle w:val="TableParagraph"/>
              <w:spacing w:before="70"/>
              <w:ind w:right="94"/>
              <w:rPr>
                <w:sz w:val="20"/>
              </w:rPr>
            </w:pPr>
            <w:r>
              <w:rPr>
                <w:sz w:val="20"/>
              </w:rPr>
              <w:t>2071</w:t>
            </w:r>
          </w:p>
        </w:tc>
        <w:tc>
          <w:tcPr>
            <w:tcW w:w="1274" w:type="dxa"/>
          </w:tcPr>
          <w:p w:rsidR="007C5447" w:rsidRDefault="00F6308C">
            <w:pPr>
              <w:pStyle w:val="TableParagraph"/>
              <w:spacing w:before="70"/>
              <w:ind w:right="93"/>
              <w:rPr>
                <w:sz w:val="20"/>
              </w:rPr>
            </w:pPr>
            <w:r>
              <w:rPr>
                <w:sz w:val="20"/>
              </w:rPr>
              <w:t>3.83</w:t>
            </w:r>
          </w:p>
        </w:tc>
        <w:tc>
          <w:tcPr>
            <w:tcW w:w="1320" w:type="dxa"/>
          </w:tcPr>
          <w:p w:rsidR="007C5447" w:rsidRDefault="00F6308C">
            <w:pPr>
              <w:pStyle w:val="TableParagraph"/>
              <w:spacing w:before="70"/>
              <w:ind w:right="94"/>
              <w:rPr>
                <w:sz w:val="20"/>
              </w:rPr>
            </w:pPr>
            <w:r>
              <w:rPr>
                <w:w w:val="95"/>
                <w:sz w:val="20"/>
              </w:rPr>
              <w:t>6,501.00</w:t>
            </w:r>
          </w:p>
        </w:tc>
        <w:tc>
          <w:tcPr>
            <w:tcW w:w="1200" w:type="dxa"/>
          </w:tcPr>
          <w:p w:rsidR="007C5447" w:rsidRDefault="00F6308C">
            <w:pPr>
              <w:pStyle w:val="TableParagraph"/>
              <w:spacing w:before="70"/>
              <w:ind w:right="93"/>
              <w:rPr>
                <w:sz w:val="20"/>
              </w:rPr>
            </w:pPr>
            <w:r>
              <w:rPr>
                <w:w w:val="95"/>
                <w:sz w:val="20"/>
              </w:rPr>
              <w:t>3,499.20</w:t>
            </w:r>
          </w:p>
        </w:tc>
        <w:tc>
          <w:tcPr>
            <w:tcW w:w="1087" w:type="dxa"/>
          </w:tcPr>
          <w:p w:rsidR="007C5447" w:rsidRDefault="00F6308C">
            <w:pPr>
              <w:pStyle w:val="TableParagraph"/>
              <w:spacing w:before="70"/>
              <w:ind w:right="95"/>
              <w:rPr>
                <w:sz w:val="20"/>
              </w:rPr>
            </w:pPr>
            <w:r>
              <w:rPr>
                <w:sz w:val="20"/>
              </w:rPr>
              <w:t>5.38</w:t>
            </w:r>
          </w:p>
        </w:tc>
        <w:tc>
          <w:tcPr>
            <w:tcW w:w="1354" w:type="dxa"/>
          </w:tcPr>
          <w:p w:rsidR="007C5447" w:rsidRDefault="00F6308C">
            <w:pPr>
              <w:pStyle w:val="TableParagraph"/>
              <w:spacing w:before="70"/>
              <w:ind w:right="94"/>
              <w:rPr>
                <w:sz w:val="20"/>
              </w:rPr>
            </w:pPr>
            <w:r>
              <w:rPr>
                <w:w w:val="95"/>
                <w:sz w:val="20"/>
              </w:rPr>
              <w:t>6,501.00</w:t>
            </w:r>
          </w:p>
        </w:tc>
        <w:tc>
          <w:tcPr>
            <w:tcW w:w="1387" w:type="dxa"/>
          </w:tcPr>
          <w:p w:rsidR="007C5447" w:rsidRDefault="00F6308C">
            <w:pPr>
              <w:pStyle w:val="TableParagraph"/>
              <w:spacing w:before="70"/>
              <w:ind w:right="93"/>
              <w:rPr>
                <w:sz w:val="20"/>
              </w:rPr>
            </w:pPr>
            <w:r>
              <w:rPr>
                <w:w w:val="95"/>
                <w:sz w:val="20"/>
              </w:rPr>
              <w:t>2,781.28</w:t>
            </w:r>
          </w:p>
        </w:tc>
        <w:tc>
          <w:tcPr>
            <w:tcW w:w="1056" w:type="dxa"/>
          </w:tcPr>
          <w:p w:rsidR="007C5447" w:rsidRDefault="00F6308C">
            <w:pPr>
              <w:pStyle w:val="TableParagraph"/>
              <w:spacing w:before="70"/>
              <w:ind w:right="95"/>
              <w:rPr>
                <w:sz w:val="20"/>
              </w:rPr>
            </w:pPr>
            <w:r>
              <w:rPr>
                <w:sz w:val="20"/>
              </w:rPr>
              <w:t>4.28</w:t>
            </w:r>
          </w:p>
        </w:tc>
      </w:tr>
      <w:tr w:rsidR="007C5447">
        <w:trPr>
          <w:trHeight w:val="371"/>
        </w:trPr>
        <w:tc>
          <w:tcPr>
            <w:tcW w:w="3089" w:type="dxa"/>
          </w:tcPr>
          <w:p w:rsidR="007C5447" w:rsidRDefault="00F6308C">
            <w:pPr>
              <w:pStyle w:val="TableParagraph"/>
              <w:spacing w:before="72"/>
              <w:ind w:left="107"/>
              <w:jc w:val="left"/>
              <w:rPr>
                <w:sz w:val="20"/>
              </w:rPr>
            </w:pPr>
            <w:r>
              <w:rPr>
                <w:sz w:val="20"/>
              </w:rPr>
              <w:t>Mettur TPS</w:t>
            </w:r>
          </w:p>
        </w:tc>
        <w:tc>
          <w:tcPr>
            <w:tcW w:w="1140" w:type="dxa"/>
          </w:tcPr>
          <w:p w:rsidR="007C5447" w:rsidRDefault="007C5447">
            <w:pPr>
              <w:pStyle w:val="TableParagraph"/>
              <w:jc w:val="left"/>
              <w:rPr>
                <w:sz w:val="20"/>
              </w:rPr>
            </w:pPr>
          </w:p>
        </w:tc>
        <w:tc>
          <w:tcPr>
            <w:tcW w:w="1300" w:type="dxa"/>
          </w:tcPr>
          <w:p w:rsidR="007C5447" w:rsidRDefault="00F6308C">
            <w:pPr>
              <w:pStyle w:val="TableParagraph"/>
              <w:spacing w:before="72"/>
              <w:ind w:right="94"/>
              <w:rPr>
                <w:sz w:val="20"/>
              </w:rPr>
            </w:pPr>
            <w:r>
              <w:rPr>
                <w:sz w:val="20"/>
              </w:rPr>
              <w:t>343</w:t>
            </w: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2"/>
              <w:ind w:right="94"/>
              <w:rPr>
                <w:sz w:val="20"/>
              </w:rPr>
            </w:pPr>
            <w:r>
              <w:rPr>
                <w:w w:val="95"/>
                <w:sz w:val="20"/>
              </w:rPr>
              <w:t>5,406.00</w:t>
            </w:r>
          </w:p>
        </w:tc>
        <w:tc>
          <w:tcPr>
            <w:tcW w:w="1200" w:type="dxa"/>
          </w:tcPr>
          <w:p w:rsidR="007C5447" w:rsidRDefault="00F6308C">
            <w:pPr>
              <w:pStyle w:val="TableParagraph"/>
              <w:spacing w:before="72"/>
              <w:ind w:right="93"/>
              <w:rPr>
                <w:sz w:val="20"/>
              </w:rPr>
            </w:pPr>
            <w:r>
              <w:rPr>
                <w:w w:val="95"/>
                <w:sz w:val="20"/>
              </w:rPr>
              <w:t>2,733.63</w:t>
            </w:r>
          </w:p>
        </w:tc>
        <w:tc>
          <w:tcPr>
            <w:tcW w:w="1087" w:type="dxa"/>
          </w:tcPr>
          <w:p w:rsidR="007C5447" w:rsidRDefault="00F6308C">
            <w:pPr>
              <w:pStyle w:val="TableParagraph"/>
              <w:spacing w:before="72"/>
              <w:ind w:right="95"/>
              <w:rPr>
                <w:sz w:val="20"/>
              </w:rPr>
            </w:pPr>
            <w:r>
              <w:rPr>
                <w:sz w:val="20"/>
              </w:rPr>
              <w:t>5.06</w:t>
            </w:r>
          </w:p>
        </w:tc>
        <w:tc>
          <w:tcPr>
            <w:tcW w:w="1354" w:type="dxa"/>
          </w:tcPr>
          <w:p w:rsidR="007C5447" w:rsidRDefault="00F6308C">
            <w:pPr>
              <w:pStyle w:val="TableParagraph"/>
              <w:spacing w:before="72"/>
              <w:ind w:right="94"/>
              <w:rPr>
                <w:sz w:val="20"/>
              </w:rPr>
            </w:pPr>
            <w:r>
              <w:rPr>
                <w:w w:val="95"/>
                <w:sz w:val="20"/>
              </w:rPr>
              <w:t>5,406.00</w:t>
            </w:r>
          </w:p>
        </w:tc>
        <w:tc>
          <w:tcPr>
            <w:tcW w:w="1387" w:type="dxa"/>
          </w:tcPr>
          <w:p w:rsidR="007C5447" w:rsidRDefault="00F6308C">
            <w:pPr>
              <w:pStyle w:val="TableParagraph"/>
              <w:spacing w:before="72"/>
              <w:ind w:right="93"/>
              <w:rPr>
                <w:sz w:val="20"/>
              </w:rPr>
            </w:pPr>
            <w:r>
              <w:rPr>
                <w:w w:val="95"/>
                <w:sz w:val="20"/>
              </w:rPr>
              <w:t>2,367.52</w:t>
            </w:r>
          </w:p>
        </w:tc>
        <w:tc>
          <w:tcPr>
            <w:tcW w:w="1056" w:type="dxa"/>
          </w:tcPr>
          <w:p w:rsidR="007C5447" w:rsidRDefault="00F6308C">
            <w:pPr>
              <w:pStyle w:val="TableParagraph"/>
              <w:spacing w:before="72"/>
              <w:ind w:right="95"/>
              <w:rPr>
                <w:sz w:val="20"/>
              </w:rPr>
            </w:pPr>
            <w:r>
              <w:rPr>
                <w:sz w:val="20"/>
              </w:rPr>
              <w:t>4.38</w:t>
            </w:r>
          </w:p>
        </w:tc>
      </w:tr>
      <w:tr w:rsidR="007C5447">
        <w:trPr>
          <w:trHeight w:val="369"/>
        </w:trPr>
        <w:tc>
          <w:tcPr>
            <w:tcW w:w="3089" w:type="dxa"/>
          </w:tcPr>
          <w:p w:rsidR="007C5447" w:rsidRDefault="00F6308C">
            <w:pPr>
              <w:pStyle w:val="TableParagraph"/>
              <w:spacing w:before="70"/>
              <w:ind w:left="107"/>
              <w:jc w:val="left"/>
              <w:rPr>
                <w:sz w:val="20"/>
              </w:rPr>
            </w:pPr>
            <w:r>
              <w:rPr>
                <w:sz w:val="20"/>
              </w:rPr>
              <w:t>North Chennai TPS</w:t>
            </w:r>
          </w:p>
        </w:tc>
        <w:tc>
          <w:tcPr>
            <w:tcW w:w="1140" w:type="dxa"/>
          </w:tcPr>
          <w:p w:rsidR="007C5447" w:rsidRDefault="00F6308C">
            <w:pPr>
              <w:pStyle w:val="TableParagraph"/>
              <w:spacing w:before="70"/>
              <w:ind w:right="93"/>
              <w:rPr>
                <w:sz w:val="20"/>
              </w:rPr>
            </w:pPr>
            <w:r>
              <w:rPr>
                <w:sz w:val="20"/>
              </w:rPr>
              <w:t>4507</w:t>
            </w:r>
          </w:p>
        </w:tc>
        <w:tc>
          <w:tcPr>
            <w:tcW w:w="1300" w:type="dxa"/>
          </w:tcPr>
          <w:p w:rsidR="007C5447" w:rsidRDefault="00F6308C">
            <w:pPr>
              <w:pStyle w:val="TableParagraph"/>
              <w:spacing w:before="70"/>
              <w:ind w:right="94"/>
              <w:rPr>
                <w:sz w:val="20"/>
              </w:rPr>
            </w:pPr>
            <w:r>
              <w:rPr>
                <w:sz w:val="20"/>
              </w:rPr>
              <w:t>1527</w:t>
            </w:r>
          </w:p>
        </w:tc>
        <w:tc>
          <w:tcPr>
            <w:tcW w:w="1274" w:type="dxa"/>
          </w:tcPr>
          <w:p w:rsidR="007C5447" w:rsidRDefault="00F6308C">
            <w:pPr>
              <w:pStyle w:val="TableParagraph"/>
              <w:spacing w:before="70"/>
              <w:ind w:right="93"/>
              <w:rPr>
                <w:sz w:val="20"/>
              </w:rPr>
            </w:pPr>
            <w:r>
              <w:rPr>
                <w:sz w:val="20"/>
              </w:rPr>
              <w:t>3.39</w:t>
            </w:r>
          </w:p>
        </w:tc>
        <w:tc>
          <w:tcPr>
            <w:tcW w:w="1320" w:type="dxa"/>
          </w:tcPr>
          <w:p w:rsidR="007C5447" w:rsidRDefault="00F6308C">
            <w:pPr>
              <w:pStyle w:val="TableParagraph"/>
              <w:spacing w:before="70"/>
              <w:ind w:right="94"/>
              <w:rPr>
                <w:sz w:val="20"/>
              </w:rPr>
            </w:pPr>
            <w:r>
              <w:rPr>
                <w:w w:val="95"/>
                <w:sz w:val="20"/>
              </w:rPr>
              <w:t>4,071.00</w:t>
            </w:r>
          </w:p>
        </w:tc>
        <w:tc>
          <w:tcPr>
            <w:tcW w:w="1200" w:type="dxa"/>
          </w:tcPr>
          <w:p w:rsidR="007C5447" w:rsidRDefault="00F6308C">
            <w:pPr>
              <w:pStyle w:val="TableParagraph"/>
              <w:spacing w:before="70"/>
              <w:ind w:right="93"/>
              <w:rPr>
                <w:sz w:val="20"/>
              </w:rPr>
            </w:pPr>
            <w:r>
              <w:rPr>
                <w:w w:val="95"/>
                <w:sz w:val="20"/>
              </w:rPr>
              <w:t>2,467.38</w:t>
            </w:r>
          </w:p>
        </w:tc>
        <w:tc>
          <w:tcPr>
            <w:tcW w:w="1087" w:type="dxa"/>
          </w:tcPr>
          <w:p w:rsidR="007C5447" w:rsidRDefault="00F6308C">
            <w:pPr>
              <w:pStyle w:val="TableParagraph"/>
              <w:spacing w:before="70"/>
              <w:ind w:right="95"/>
              <w:rPr>
                <w:sz w:val="20"/>
              </w:rPr>
            </w:pPr>
            <w:r>
              <w:rPr>
                <w:sz w:val="20"/>
              </w:rPr>
              <w:t>6.06</w:t>
            </w:r>
          </w:p>
        </w:tc>
        <w:tc>
          <w:tcPr>
            <w:tcW w:w="1354" w:type="dxa"/>
          </w:tcPr>
          <w:p w:rsidR="007C5447" w:rsidRDefault="00F6308C">
            <w:pPr>
              <w:pStyle w:val="TableParagraph"/>
              <w:spacing w:before="70"/>
              <w:ind w:right="94"/>
              <w:rPr>
                <w:sz w:val="20"/>
              </w:rPr>
            </w:pPr>
            <w:r>
              <w:rPr>
                <w:w w:val="95"/>
                <w:sz w:val="20"/>
              </w:rPr>
              <w:t>4,071.00</w:t>
            </w:r>
          </w:p>
        </w:tc>
        <w:tc>
          <w:tcPr>
            <w:tcW w:w="1387" w:type="dxa"/>
          </w:tcPr>
          <w:p w:rsidR="007C5447" w:rsidRDefault="00F6308C">
            <w:pPr>
              <w:pStyle w:val="TableParagraph"/>
              <w:spacing w:before="70"/>
              <w:ind w:right="93"/>
              <w:rPr>
                <w:sz w:val="20"/>
              </w:rPr>
            </w:pPr>
            <w:r>
              <w:rPr>
                <w:w w:val="95"/>
                <w:sz w:val="20"/>
              </w:rPr>
              <w:t>1,993.41</w:t>
            </w:r>
          </w:p>
        </w:tc>
        <w:tc>
          <w:tcPr>
            <w:tcW w:w="1056" w:type="dxa"/>
          </w:tcPr>
          <w:p w:rsidR="007C5447" w:rsidRDefault="00F6308C">
            <w:pPr>
              <w:pStyle w:val="TableParagraph"/>
              <w:spacing w:before="70"/>
              <w:ind w:right="95"/>
              <w:rPr>
                <w:sz w:val="20"/>
              </w:rPr>
            </w:pPr>
            <w:r>
              <w:rPr>
                <w:sz w:val="20"/>
              </w:rPr>
              <w:t>4.90</w:t>
            </w:r>
          </w:p>
        </w:tc>
      </w:tr>
      <w:tr w:rsidR="007C5447">
        <w:trPr>
          <w:trHeight w:val="369"/>
        </w:trPr>
        <w:tc>
          <w:tcPr>
            <w:tcW w:w="3089" w:type="dxa"/>
          </w:tcPr>
          <w:p w:rsidR="007C5447" w:rsidRDefault="00F6308C">
            <w:pPr>
              <w:pStyle w:val="TableParagraph"/>
              <w:spacing w:before="70"/>
              <w:ind w:left="107"/>
              <w:jc w:val="left"/>
              <w:rPr>
                <w:sz w:val="20"/>
              </w:rPr>
            </w:pPr>
            <w:r>
              <w:rPr>
                <w:sz w:val="20"/>
              </w:rPr>
              <w:t>NCTPS Stage-II (Unit 1)</w:t>
            </w:r>
          </w:p>
        </w:tc>
        <w:tc>
          <w:tcPr>
            <w:tcW w:w="1140" w:type="dxa"/>
          </w:tcPr>
          <w:p w:rsidR="007C5447" w:rsidRDefault="00F6308C">
            <w:pPr>
              <w:pStyle w:val="TableParagraph"/>
              <w:spacing w:before="70"/>
              <w:ind w:right="93"/>
              <w:rPr>
                <w:sz w:val="20"/>
              </w:rPr>
            </w:pPr>
            <w:r>
              <w:rPr>
                <w:sz w:val="20"/>
              </w:rPr>
              <w:t>8198</w:t>
            </w:r>
          </w:p>
        </w:tc>
        <w:tc>
          <w:tcPr>
            <w:tcW w:w="1300" w:type="dxa"/>
          </w:tcPr>
          <w:p w:rsidR="007C5447" w:rsidRDefault="00F6308C">
            <w:pPr>
              <w:pStyle w:val="TableParagraph"/>
              <w:spacing w:before="70"/>
              <w:ind w:right="94"/>
              <w:rPr>
                <w:sz w:val="20"/>
              </w:rPr>
            </w:pPr>
            <w:r>
              <w:rPr>
                <w:sz w:val="20"/>
              </w:rPr>
              <w:t>3151</w:t>
            </w:r>
          </w:p>
        </w:tc>
        <w:tc>
          <w:tcPr>
            <w:tcW w:w="1274" w:type="dxa"/>
          </w:tcPr>
          <w:p w:rsidR="007C5447" w:rsidRDefault="00F6308C">
            <w:pPr>
              <w:pStyle w:val="TableParagraph"/>
              <w:spacing w:before="70"/>
              <w:ind w:right="93"/>
              <w:rPr>
                <w:sz w:val="20"/>
              </w:rPr>
            </w:pPr>
            <w:r>
              <w:rPr>
                <w:sz w:val="20"/>
              </w:rPr>
              <w:t>3.84</w:t>
            </w:r>
          </w:p>
        </w:tc>
        <w:tc>
          <w:tcPr>
            <w:tcW w:w="1320" w:type="dxa"/>
          </w:tcPr>
          <w:p w:rsidR="007C5447" w:rsidRDefault="00F6308C">
            <w:pPr>
              <w:pStyle w:val="TableParagraph"/>
              <w:spacing w:before="70"/>
              <w:ind w:right="94"/>
              <w:rPr>
                <w:sz w:val="20"/>
              </w:rPr>
            </w:pPr>
            <w:r>
              <w:rPr>
                <w:w w:val="95"/>
                <w:sz w:val="20"/>
              </w:rPr>
              <w:t>4,468.00</w:t>
            </w:r>
          </w:p>
        </w:tc>
        <w:tc>
          <w:tcPr>
            <w:tcW w:w="1200" w:type="dxa"/>
          </w:tcPr>
          <w:p w:rsidR="007C5447" w:rsidRDefault="00F6308C">
            <w:pPr>
              <w:pStyle w:val="TableParagraph"/>
              <w:spacing w:before="70"/>
              <w:ind w:right="93"/>
              <w:rPr>
                <w:sz w:val="20"/>
              </w:rPr>
            </w:pPr>
            <w:r>
              <w:rPr>
                <w:w w:val="95"/>
                <w:sz w:val="20"/>
              </w:rPr>
              <w:t>2,128.53</w:t>
            </w:r>
          </w:p>
        </w:tc>
        <w:tc>
          <w:tcPr>
            <w:tcW w:w="1087" w:type="dxa"/>
          </w:tcPr>
          <w:p w:rsidR="007C5447" w:rsidRDefault="00F6308C">
            <w:pPr>
              <w:pStyle w:val="TableParagraph"/>
              <w:spacing w:before="70"/>
              <w:ind w:right="95"/>
              <w:rPr>
                <w:sz w:val="20"/>
              </w:rPr>
            </w:pPr>
            <w:r>
              <w:rPr>
                <w:sz w:val="20"/>
              </w:rPr>
              <w:t>4.76</w:t>
            </w:r>
          </w:p>
        </w:tc>
        <w:tc>
          <w:tcPr>
            <w:tcW w:w="1354" w:type="dxa"/>
          </w:tcPr>
          <w:p w:rsidR="007C5447" w:rsidRDefault="00F6308C">
            <w:pPr>
              <w:pStyle w:val="TableParagraph"/>
              <w:spacing w:before="70"/>
              <w:ind w:right="94"/>
              <w:rPr>
                <w:sz w:val="20"/>
              </w:rPr>
            </w:pPr>
            <w:r>
              <w:rPr>
                <w:w w:val="95"/>
                <w:sz w:val="20"/>
              </w:rPr>
              <w:t>4,468.00</w:t>
            </w:r>
          </w:p>
        </w:tc>
        <w:tc>
          <w:tcPr>
            <w:tcW w:w="1387" w:type="dxa"/>
          </w:tcPr>
          <w:p w:rsidR="007C5447" w:rsidRDefault="00F6308C">
            <w:pPr>
              <w:pStyle w:val="TableParagraph"/>
              <w:spacing w:before="70"/>
              <w:ind w:right="93"/>
              <w:rPr>
                <w:sz w:val="20"/>
              </w:rPr>
            </w:pPr>
            <w:r>
              <w:rPr>
                <w:w w:val="95"/>
                <w:sz w:val="20"/>
              </w:rPr>
              <w:t>2,732.42</w:t>
            </w:r>
          </w:p>
        </w:tc>
        <w:tc>
          <w:tcPr>
            <w:tcW w:w="1056" w:type="dxa"/>
          </w:tcPr>
          <w:p w:rsidR="007C5447" w:rsidRDefault="00F6308C">
            <w:pPr>
              <w:pStyle w:val="TableParagraph"/>
              <w:spacing w:before="70"/>
              <w:ind w:right="95"/>
              <w:rPr>
                <w:sz w:val="20"/>
              </w:rPr>
            </w:pPr>
            <w:r>
              <w:rPr>
                <w:sz w:val="20"/>
              </w:rPr>
              <w:t>6.12</w:t>
            </w:r>
          </w:p>
        </w:tc>
      </w:tr>
      <w:tr w:rsidR="007C5447">
        <w:trPr>
          <w:trHeight w:val="371"/>
        </w:trPr>
        <w:tc>
          <w:tcPr>
            <w:tcW w:w="3089" w:type="dxa"/>
          </w:tcPr>
          <w:p w:rsidR="007C5447" w:rsidRDefault="00F6308C">
            <w:pPr>
              <w:pStyle w:val="TableParagraph"/>
              <w:spacing w:before="72"/>
              <w:ind w:left="107"/>
              <w:jc w:val="left"/>
              <w:rPr>
                <w:sz w:val="20"/>
              </w:rPr>
            </w:pPr>
            <w:r>
              <w:rPr>
                <w:sz w:val="20"/>
              </w:rPr>
              <w:t>MTPS Stage III</w:t>
            </w:r>
          </w:p>
        </w:tc>
        <w:tc>
          <w:tcPr>
            <w:tcW w:w="1140" w:type="dxa"/>
          </w:tcPr>
          <w:p w:rsidR="007C5447" w:rsidRDefault="007C5447">
            <w:pPr>
              <w:pStyle w:val="TableParagraph"/>
              <w:jc w:val="left"/>
              <w:rPr>
                <w:sz w:val="20"/>
              </w:rPr>
            </w:pPr>
          </w:p>
        </w:tc>
        <w:tc>
          <w:tcPr>
            <w:tcW w:w="1300" w:type="dxa"/>
          </w:tcPr>
          <w:p w:rsidR="007C5447" w:rsidRDefault="00F6308C">
            <w:pPr>
              <w:pStyle w:val="TableParagraph"/>
              <w:spacing w:before="72"/>
              <w:ind w:right="94"/>
              <w:rPr>
                <w:sz w:val="20"/>
              </w:rPr>
            </w:pPr>
            <w:r>
              <w:rPr>
                <w:sz w:val="20"/>
              </w:rPr>
              <w:t>584</w:t>
            </w: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2"/>
              <w:ind w:right="94"/>
              <w:rPr>
                <w:sz w:val="20"/>
              </w:rPr>
            </w:pPr>
            <w:r>
              <w:rPr>
                <w:w w:val="95"/>
                <w:sz w:val="20"/>
              </w:rPr>
              <w:t>2,664.00</w:t>
            </w:r>
          </w:p>
        </w:tc>
        <w:tc>
          <w:tcPr>
            <w:tcW w:w="1200" w:type="dxa"/>
          </w:tcPr>
          <w:p w:rsidR="007C5447" w:rsidRDefault="00F6308C">
            <w:pPr>
              <w:pStyle w:val="TableParagraph"/>
              <w:spacing w:before="72"/>
              <w:ind w:right="93"/>
              <w:rPr>
                <w:sz w:val="20"/>
              </w:rPr>
            </w:pPr>
            <w:r>
              <w:rPr>
                <w:w w:val="95"/>
                <w:sz w:val="20"/>
              </w:rPr>
              <w:t>1,586.92</w:t>
            </w:r>
          </w:p>
        </w:tc>
        <w:tc>
          <w:tcPr>
            <w:tcW w:w="1087" w:type="dxa"/>
          </w:tcPr>
          <w:p w:rsidR="007C5447" w:rsidRDefault="00F6308C">
            <w:pPr>
              <w:pStyle w:val="TableParagraph"/>
              <w:spacing w:before="72"/>
              <w:ind w:right="95"/>
              <w:rPr>
                <w:sz w:val="20"/>
              </w:rPr>
            </w:pPr>
            <w:r>
              <w:rPr>
                <w:sz w:val="20"/>
              </w:rPr>
              <w:t>5.96</w:t>
            </w:r>
          </w:p>
        </w:tc>
        <w:tc>
          <w:tcPr>
            <w:tcW w:w="1354" w:type="dxa"/>
          </w:tcPr>
          <w:p w:rsidR="007C5447" w:rsidRDefault="00F6308C">
            <w:pPr>
              <w:pStyle w:val="TableParagraph"/>
              <w:spacing w:before="72"/>
              <w:ind w:right="94"/>
              <w:rPr>
                <w:sz w:val="20"/>
              </w:rPr>
            </w:pPr>
            <w:r>
              <w:rPr>
                <w:w w:val="95"/>
                <w:sz w:val="20"/>
              </w:rPr>
              <w:t>2,664.00</w:t>
            </w:r>
          </w:p>
        </w:tc>
        <w:tc>
          <w:tcPr>
            <w:tcW w:w="1387" w:type="dxa"/>
          </w:tcPr>
          <w:p w:rsidR="007C5447" w:rsidRDefault="00F6308C">
            <w:pPr>
              <w:pStyle w:val="TableParagraph"/>
              <w:spacing w:before="72"/>
              <w:ind w:right="93"/>
              <w:rPr>
                <w:sz w:val="20"/>
              </w:rPr>
            </w:pPr>
            <w:r>
              <w:rPr>
                <w:w w:val="95"/>
                <w:sz w:val="20"/>
              </w:rPr>
              <w:t>1,851.58</w:t>
            </w:r>
          </w:p>
        </w:tc>
        <w:tc>
          <w:tcPr>
            <w:tcW w:w="1056" w:type="dxa"/>
          </w:tcPr>
          <w:p w:rsidR="007C5447" w:rsidRDefault="00F6308C">
            <w:pPr>
              <w:pStyle w:val="TableParagraph"/>
              <w:spacing w:before="72"/>
              <w:ind w:right="95"/>
              <w:rPr>
                <w:sz w:val="20"/>
              </w:rPr>
            </w:pPr>
            <w:r>
              <w:rPr>
                <w:sz w:val="20"/>
              </w:rPr>
              <w:t>6.95</w:t>
            </w:r>
          </w:p>
        </w:tc>
      </w:tr>
      <w:tr w:rsidR="007C5447">
        <w:trPr>
          <w:trHeight w:val="369"/>
        </w:trPr>
        <w:tc>
          <w:tcPr>
            <w:tcW w:w="3089" w:type="dxa"/>
          </w:tcPr>
          <w:p w:rsidR="007C5447" w:rsidRDefault="00F6308C">
            <w:pPr>
              <w:pStyle w:val="TableParagraph"/>
              <w:spacing w:before="70"/>
              <w:ind w:left="107"/>
              <w:jc w:val="left"/>
              <w:rPr>
                <w:sz w:val="20"/>
              </w:rPr>
            </w:pPr>
            <w:r>
              <w:rPr>
                <w:sz w:val="20"/>
              </w:rPr>
              <w:t>Ennore Expansion</w:t>
            </w:r>
          </w:p>
        </w:tc>
        <w:tc>
          <w:tcPr>
            <w:tcW w:w="1140" w:type="dxa"/>
          </w:tcPr>
          <w:p w:rsidR="007C5447" w:rsidRDefault="00F6308C">
            <w:pPr>
              <w:pStyle w:val="TableParagraph"/>
              <w:spacing w:before="70"/>
              <w:ind w:right="93"/>
              <w:rPr>
                <w:sz w:val="20"/>
              </w:rPr>
            </w:pPr>
            <w:r>
              <w:rPr>
                <w:sz w:val="20"/>
              </w:rPr>
              <w:t>1049</w:t>
            </w:r>
          </w:p>
        </w:tc>
        <w:tc>
          <w:tcPr>
            <w:tcW w:w="1300" w:type="dxa"/>
          </w:tcPr>
          <w:p w:rsidR="007C5447" w:rsidRDefault="00F6308C">
            <w:pPr>
              <w:pStyle w:val="TableParagraph"/>
              <w:spacing w:before="70"/>
              <w:ind w:right="94"/>
              <w:rPr>
                <w:sz w:val="20"/>
              </w:rPr>
            </w:pPr>
            <w:r>
              <w:rPr>
                <w:sz w:val="20"/>
              </w:rPr>
              <w:t>403</w:t>
            </w:r>
          </w:p>
        </w:tc>
        <w:tc>
          <w:tcPr>
            <w:tcW w:w="1274" w:type="dxa"/>
          </w:tcPr>
          <w:p w:rsidR="007C5447" w:rsidRDefault="00F6308C">
            <w:pPr>
              <w:pStyle w:val="TableParagraph"/>
              <w:spacing w:before="70"/>
              <w:ind w:right="93"/>
              <w:rPr>
                <w:sz w:val="20"/>
              </w:rPr>
            </w:pPr>
            <w:r>
              <w:rPr>
                <w:sz w:val="20"/>
              </w:rPr>
              <w:t>3.84</w:t>
            </w:r>
          </w:p>
        </w:tc>
        <w:tc>
          <w:tcPr>
            <w:tcW w:w="1320" w:type="dxa"/>
          </w:tcPr>
          <w:p w:rsidR="007C5447" w:rsidRDefault="007C5447">
            <w:pPr>
              <w:pStyle w:val="TableParagraph"/>
              <w:jc w:val="left"/>
              <w:rPr>
                <w:sz w:val="20"/>
              </w:rPr>
            </w:pPr>
          </w:p>
        </w:tc>
        <w:tc>
          <w:tcPr>
            <w:tcW w:w="1200" w:type="dxa"/>
          </w:tcPr>
          <w:p w:rsidR="007C5447" w:rsidRDefault="007C5447">
            <w:pPr>
              <w:pStyle w:val="TableParagraph"/>
              <w:jc w:val="left"/>
              <w:rPr>
                <w:sz w:val="20"/>
              </w:rPr>
            </w:pPr>
          </w:p>
        </w:tc>
        <w:tc>
          <w:tcPr>
            <w:tcW w:w="1087" w:type="dxa"/>
          </w:tcPr>
          <w:p w:rsidR="007C5447" w:rsidRDefault="007C5447">
            <w:pPr>
              <w:pStyle w:val="TableParagraph"/>
              <w:jc w:val="left"/>
              <w:rPr>
                <w:sz w:val="20"/>
              </w:rPr>
            </w:pPr>
          </w:p>
        </w:tc>
        <w:tc>
          <w:tcPr>
            <w:tcW w:w="1354" w:type="dxa"/>
          </w:tcPr>
          <w:p w:rsidR="007C5447" w:rsidRDefault="00F6308C">
            <w:pPr>
              <w:pStyle w:val="TableParagraph"/>
              <w:spacing w:before="70"/>
              <w:ind w:right="91"/>
              <w:rPr>
                <w:sz w:val="20"/>
              </w:rPr>
            </w:pPr>
            <w:r>
              <w:rPr>
                <w:w w:val="99"/>
                <w:sz w:val="20"/>
              </w:rPr>
              <w:t>-</w:t>
            </w:r>
          </w:p>
        </w:tc>
        <w:tc>
          <w:tcPr>
            <w:tcW w:w="1387" w:type="dxa"/>
          </w:tcPr>
          <w:p w:rsidR="007C5447" w:rsidRDefault="00F6308C">
            <w:pPr>
              <w:pStyle w:val="TableParagraph"/>
              <w:spacing w:before="70"/>
              <w:ind w:right="91"/>
              <w:rPr>
                <w:sz w:val="20"/>
              </w:rPr>
            </w:pPr>
            <w:r>
              <w:rPr>
                <w:w w:val="99"/>
                <w:sz w:val="20"/>
              </w:rPr>
              <w:t>-</w:t>
            </w:r>
          </w:p>
        </w:tc>
        <w:tc>
          <w:tcPr>
            <w:tcW w:w="1056" w:type="dxa"/>
          </w:tcPr>
          <w:p w:rsidR="007C5447" w:rsidRDefault="00F6308C">
            <w:pPr>
              <w:pStyle w:val="TableParagraph"/>
              <w:spacing w:before="70"/>
              <w:ind w:right="94"/>
              <w:rPr>
                <w:sz w:val="20"/>
              </w:rPr>
            </w:pPr>
            <w:r>
              <w:rPr>
                <w:w w:val="99"/>
                <w:sz w:val="20"/>
              </w:rPr>
              <w:t>-</w:t>
            </w:r>
          </w:p>
        </w:tc>
      </w:tr>
      <w:tr w:rsidR="007C5447">
        <w:trPr>
          <w:trHeight w:val="369"/>
        </w:trPr>
        <w:tc>
          <w:tcPr>
            <w:tcW w:w="3089" w:type="dxa"/>
          </w:tcPr>
          <w:p w:rsidR="007C5447" w:rsidRDefault="00F6308C">
            <w:pPr>
              <w:pStyle w:val="TableParagraph"/>
              <w:spacing w:before="70"/>
              <w:ind w:left="919"/>
              <w:jc w:val="left"/>
              <w:rPr>
                <w:b/>
                <w:sz w:val="20"/>
              </w:rPr>
            </w:pPr>
            <w:r>
              <w:rPr>
                <w:b/>
                <w:sz w:val="20"/>
              </w:rPr>
              <w:t>Total Thermal</w:t>
            </w:r>
          </w:p>
        </w:tc>
        <w:tc>
          <w:tcPr>
            <w:tcW w:w="1140" w:type="dxa"/>
          </w:tcPr>
          <w:p w:rsidR="007C5447" w:rsidRDefault="00F6308C">
            <w:pPr>
              <w:pStyle w:val="TableParagraph"/>
              <w:spacing w:before="70"/>
              <w:ind w:right="98"/>
              <w:rPr>
                <w:b/>
                <w:sz w:val="20"/>
              </w:rPr>
            </w:pPr>
            <w:r>
              <w:rPr>
                <w:b/>
                <w:w w:val="95"/>
                <w:sz w:val="20"/>
              </w:rPr>
              <w:t>19,160.00</w:t>
            </w:r>
          </w:p>
        </w:tc>
        <w:tc>
          <w:tcPr>
            <w:tcW w:w="1300" w:type="dxa"/>
          </w:tcPr>
          <w:p w:rsidR="007C5447" w:rsidRDefault="00F6308C">
            <w:pPr>
              <w:pStyle w:val="TableParagraph"/>
              <w:spacing w:before="70"/>
              <w:ind w:right="97"/>
              <w:rPr>
                <w:b/>
                <w:sz w:val="20"/>
              </w:rPr>
            </w:pPr>
            <w:r>
              <w:rPr>
                <w:b/>
                <w:w w:val="95"/>
                <w:sz w:val="20"/>
              </w:rPr>
              <w:t>8,353.00</w:t>
            </w:r>
          </w:p>
        </w:tc>
        <w:tc>
          <w:tcPr>
            <w:tcW w:w="1274" w:type="dxa"/>
          </w:tcPr>
          <w:p w:rsidR="007C5447" w:rsidRDefault="00F6308C">
            <w:pPr>
              <w:pStyle w:val="TableParagraph"/>
              <w:spacing w:before="70"/>
              <w:ind w:right="93"/>
              <w:rPr>
                <w:b/>
                <w:sz w:val="20"/>
              </w:rPr>
            </w:pPr>
            <w:r>
              <w:rPr>
                <w:b/>
                <w:sz w:val="20"/>
              </w:rPr>
              <w:t>4.36</w:t>
            </w:r>
          </w:p>
        </w:tc>
        <w:tc>
          <w:tcPr>
            <w:tcW w:w="1320" w:type="dxa"/>
          </w:tcPr>
          <w:p w:rsidR="007C5447" w:rsidRDefault="00F6308C">
            <w:pPr>
              <w:pStyle w:val="TableParagraph"/>
              <w:spacing w:before="70"/>
              <w:ind w:right="96"/>
              <w:rPr>
                <w:b/>
                <w:sz w:val="20"/>
              </w:rPr>
            </w:pPr>
            <w:r>
              <w:rPr>
                <w:b/>
                <w:w w:val="95"/>
                <w:sz w:val="20"/>
              </w:rPr>
              <w:t>23,502.00</w:t>
            </w:r>
          </w:p>
        </w:tc>
        <w:tc>
          <w:tcPr>
            <w:tcW w:w="1200" w:type="dxa"/>
          </w:tcPr>
          <w:p w:rsidR="007C5447" w:rsidRDefault="00F6308C">
            <w:pPr>
              <w:pStyle w:val="TableParagraph"/>
              <w:spacing w:before="70"/>
              <w:ind w:right="96"/>
              <w:rPr>
                <w:b/>
                <w:sz w:val="20"/>
              </w:rPr>
            </w:pPr>
            <w:r>
              <w:rPr>
                <w:b/>
                <w:w w:val="95"/>
                <w:sz w:val="20"/>
              </w:rPr>
              <w:t>13,271.50</w:t>
            </w:r>
          </w:p>
        </w:tc>
        <w:tc>
          <w:tcPr>
            <w:tcW w:w="1087" w:type="dxa"/>
          </w:tcPr>
          <w:p w:rsidR="007C5447" w:rsidRDefault="00F6308C">
            <w:pPr>
              <w:pStyle w:val="TableParagraph"/>
              <w:spacing w:before="70"/>
              <w:ind w:right="95"/>
              <w:rPr>
                <w:b/>
                <w:sz w:val="20"/>
              </w:rPr>
            </w:pPr>
            <w:r>
              <w:rPr>
                <w:b/>
                <w:sz w:val="20"/>
              </w:rPr>
              <w:t>5.65</w:t>
            </w:r>
          </w:p>
        </w:tc>
        <w:tc>
          <w:tcPr>
            <w:tcW w:w="1354" w:type="dxa"/>
          </w:tcPr>
          <w:p w:rsidR="007C5447" w:rsidRDefault="00F6308C">
            <w:pPr>
              <w:pStyle w:val="TableParagraph"/>
              <w:spacing w:before="70"/>
              <w:ind w:right="96"/>
              <w:rPr>
                <w:b/>
                <w:sz w:val="20"/>
              </w:rPr>
            </w:pPr>
            <w:r>
              <w:rPr>
                <w:b/>
                <w:w w:val="95"/>
                <w:sz w:val="20"/>
              </w:rPr>
              <w:t>23,502.00</w:t>
            </w:r>
          </w:p>
        </w:tc>
        <w:tc>
          <w:tcPr>
            <w:tcW w:w="1387" w:type="dxa"/>
          </w:tcPr>
          <w:p w:rsidR="007C5447" w:rsidRDefault="00F6308C">
            <w:pPr>
              <w:pStyle w:val="TableParagraph"/>
              <w:spacing w:before="70"/>
              <w:ind w:right="95"/>
              <w:rPr>
                <w:b/>
                <w:sz w:val="20"/>
              </w:rPr>
            </w:pPr>
            <w:r>
              <w:rPr>
                <w:b/>
                <w:w w:val="95"/>
                <w:sz w:val="20"/>
              </w:rPr>
              <w:t>12,093.07</w:t>
            </w:r>
          </w:p>
        </w:tc>
        <w:tc>
          <w:tcPr>
            <w:tcW w:w="1056" w:type="dxa"/>
          </w:tcPr>
          <w:p w:rsidR="007C5447" w:rsidRDefault="00F6308C">
            <w:pPr>
              <w:pStyle w:val="TableParagraph"/>
              <w:spacing w:before="70"/>
              <w:ind w:right="95"/>
              <w:rPr>
                <w:b/>
                <w:sz w:val="20"/>
              </w:rPr>
            </w:pPr>
            <w:r>
              <w:rPr>
                <w:b/>
                <w:sz w:val="20"/>
              </w:rPr>
              <w:t>5.15</w:t>
            </w:r>
          </w:p>
        </w:tc>
      </w:tr>
      <w:tr w:rsidR="007C5447">
        <w:trPr>
          <w:trHeight w:val="371"/>
        </w:trPr>
        <w:tc>
          <w:tcPr>
            <w:tcW w:w="3089" w:type="dxa"/>
          </w:tcPr>
          <w:p w:rsidR="007C5447" w:rsidRDefault="00F6308C">
            <w:pPr>
              <w:pStyle w:val="TableParagraph"/>
              <w:spacing w:before="72"/>
              <w:ind w:left="107"/>
              <w:jc w:val="left"/>
              <w:rPr>
                <w:sz w:val="20"/>
              </w:rPr>
            </w:pPr>
            <w:r>
              <w:rPr>
                <w:sz w:val="20"/>
              </w:rPr>
              <w:t>TGTPS</w:t>
            </w:r>
          </w:p>
        </w:tc>
        <w:tc>
          <w:tcPr>
            <w:tcW w:w="1140" w:type="dxa"/>
          </w:tcPr>
          <w:p w:rsidR="007C5447" w:rsidRDefault="00F6308C">
            <w:pPr>
              <w:pStyle w:val="TableParagraph"/>
              <w:spacing w:before="72"/>
              <w:ind w:right="93"/>
              <w:rPr>
                <w:sz w:val="20"/>
              </w:rPr>
            </w:pPr>
            <w:r>
              <w:rPr>
                <w:sz w:val="20"/>
              </w:rPr>
              <w:t>713</w:t>
            </w:r>
          </w:p>
        </w:tc>
        <w:tc>
          <w:tcPr>
            <w:tcW w:w="1300" w:type="dxa"/>
          </w:tcPr>
          <w:p w:rsidR="007C5447" w:rsidRDefault="00F6308C">
            <w:pPr>
              <w:pStyle w:val="TableParagraph"/>
              <w:spacing w:before="72"/>
              <w:ind w:right="94"/>
              <w:rPr>
                <w:sz w:val="20"/>
              </w:rPr>
            </w:pPr>
            <w:r>
              <w:rPr>
                <w:sz w:val="20"/>
              </w:rPr>
              <w:t>212</w:t>
            </w:r>
          </w:p>
        </w:tc>
        <w:tc>
          <w:tcPr>
            <w:tcW w:w="1274" w:type="dxa"/>
          </w:tcPr>
          <w:p w:rsidR="007C5447" w:rsidRDefault="00F6308C">
            <w:pPr>
              <w:pStyle w:val="TableParagraph"/>
              <w:spacing w:before="72"/>
              <w:ind w:right="93"/>
              <w:rPr>
                <w:sz w:val="20"/>
              </w:rPr>
            </w:pPr>
            <w:r>
              <w:rPr>
                <w:sz w:val="20"/>
              </w:rPr>
              <w:t>2.97</w:t>
            </w:r>
          </w:p>
        </w:tc>
        <w:tc>
          <w:tcPr>
            <w:tcW w:w="1320" w:type="dxa"/>
          </w:tcPr>
          <w:p w:rsidR="007C5447" w:rsidRDefault="00F6308C">
            <w:pPr>
              <w:pStyle w:val="TableParagraph"/>
              <w:spacing w:before="72"/>
              <w:ind w:right="96"/>
              <w:rPr>
                <w:sz w:val="20"/>
              </w:rPr>
            </w:pPr>
            <w:r>
              <w:rPr>
                <w:w w:val="95"/>
                <w:sz w:val="20"/>
              </w:rPr>
              <w:t>363.00</w:t>
            </w:r>
          </w:p>
        </w:tc>
        <w:tc>
          <w:tcPr>
            <w:tcW w:w="1200" w:type="dxa"/>
          </w:tcPr>
          <w:p w:rsidR="007C5447" w:rsidRDefault="00F6308C">
            <w:pPr>
              <w:pStyle w:val="TableParagraph"/>
              <w:spacing w:before="72"/>
              <w:ind w:right="95"/>
              <w:rPr>
                <w:sz w:val="20"/>
              </w:rPr>
            </w:pPr>
            <w:r>
              <w:rPr>
                <w:w w:val="95"/>
                <w:sz w:val="20"/>
              </w:rPr>
              <w:t>366.13</w:t>
            </w:r>
          </w:p>
        </w:tc>
        <w:tc>
          <w:tcPr>
            <w:tcW w:w="1087" w:type="dxa"/>
          </w:tcPr>
          <w:p w:rsidR="007C5447" w:rsidRDefault="00F6308C">
            <w:pPr>
              <w:pStyle w:val="TableParagraph"/>
              <w:spacing w:before="72"/>
              <w:ind w:right="95"/>
              <w:rPr>
                <w:sz w:val="20"/>
              </w:rPr>
            </w:pPr>
            <w:r>
              <w:rPr>
                <w:w w:val="95"/>
                <w:sz w:val="20"/>
              </w:rPr>
              <w:t>10.09</w:t>
            </w:r>
          </w:p>
        </w:tc>
        <w:tc>
          <w:tcPr>
            <w:tcW w:w="1354" w:type="dxa"/>
          </w:tcPr>
          <w:p w:rsidR="007C5447" w:rsidRDefault="00F6308C">
            <w:pPr>
              <w:pStyle w:val="TableParagraph"/>
              <w:spacing w:before="72"/>
              <w:ind w:right="96"/>
              <w:rPr>
                <w:sz w:val="20"/>
              </w:rPr>
            </w:pPr>
            <w:r>
              <w:rPr>
                <w:w w:val="95"/>
                <w:sz w:val="20"/>
              </w:rPr>
              <w:t>363.00</w:t>
            </w:r>
          </w:p>
        </w:tc>
        <w:tc>
          <w:tcPr>
            <w:tcW w:w="1387" w:type="dxa"/>
          </w:tcPr>
          <w:p w:rsidR="007C5447" w:rsidRDefault="00F6308C">
            <w:pPr>
              <w:pStyle w:val="TableParagraph"/>
              <w:spacing w:before="72"/>
              <w:ind w:right="95"/>
              <w:rPr>
                <w:sz w:val="20"/>
              </w:rPr>
            </w:pPr>
            <w:r>
              <w:rPr>
                <w:w w:val="95"/>
                <w:sz w:val="20"/>
              </w:rPr>
              <w:t>187.67</w:t>
            </w:r>
          </w:p>
        </w:tc>
        <w:tc>
          <w:tcPr>
            <w:tcW w:w="1056" w:type="dxa"/>
          </w:tcPr>
          <w:p w:rsidR="007C5447" w:rsidRDefault="00F6308C">
            <w:pPr>
              <w:pStyle w:val="TableParagraph"/>
              <w:spacing w:before="72"/>
              <w:ind w:right="95"/>
              <w:rPr>
                <w:sz w:val="20"/>
              </w:rPr>
            </w:pPr>
            <w:r>
              <w:rPr>
                <w:sz w:val="20"/>
              </w:rPr>
              <w:t>5.17</w:t>
            </w:r>
          </w:p>
        </w:tc>
      </w:tr>
      <w:tr w:rsidR="007C5447">
        <w:trPr>
          <w:trHeight w:val="369"/>
        </w:trPr>
        <w:tc>
          <w:tcPr>
            <w:tcW w:w="3089" w:type="dxa"/>
          </w:tcPr>
          <w:p w:rsidR="007C5447" w:rsidRDefault="00F6308C">
            <w:pPr>
              <w:pStyle w:val="TableParagraph"/>
              <w:spacing w:before="70"/>
              <w:ind w:left="107"/>
              <w:jc w:val="left"/>
              <w:rPr>
                <w:sz w:val="20"/>
              </w:rPr>
            </w:pPr>
            <w:r>
              <w:rPr>
                <w:sz w:val="20"/>
              </w:rPr>
              <w:t>KGTPS</w:t>
            </w:r>
          </w:p>
        </w:tc>
        <w:tc>
          <w:tcPr>
            <w:tcW w:w="1140" w:type="dxa"/>
          </w:tcPr>
          <w:p w:rsidR="007C5447" w:rsidRDefault="00F6308C">
            <w:pPr>
              <w:pStyle w:val="TableParagraph"/>
              <w:spacing w:before="70"/>
              <w:ind w:right="93"/>
              <w:rPr>
                <w:sz w:val="20"/>
              </w:rPr>
            </w:pPr>
            <w:r>
              <w:rPr>
                <w:sz w:val="20"/>
              </w:rPr>
              <w:t>667</w:t>
            </w:r>
          </w:p>
        </w:tc>
        <w:tc>
          <w:tcPr>
            <w:tcW w:w="1300" w:type="dxa"/>
          </w:tcPr>
          <w:p w:rsidR="007C5447" w:rsidRDefault="00F6308C">
            <w:pPr>
              <w:pStyle w:val="TableParagraph"/>
              <w:spacing w:before="70"/>
              <w:ind w:right="94"/>
              <w:rPr>
                <w:sz w:val="20"/>
              </w:rPr>
            </w:pPr>
            <w:r>
              <w:rPr>
                <w:sz w:val="20"/>
              </w:rPr>
              <w:t>211</w:t>
            </w:r>
          </w:p>
        </w:tc>
        <w:tc>
          <w:tcPr>
            <w:tcW w:w="1274" w:type="dxa"/>
          </w:tcPr>
          <w:p w:rsidR="007C5447" w:rsidRDefault="00F6308C">
            <w:pPr>
              <w:pStyle w:val="TableParagraph"/>
              <w:spacing w:before="70"/>
              <w:ind w:right="93"/>
              <w:rPr>
                <w:sz w:val="20"/>
              </w:rPr>
            </w:pPr>
            <w:r>
              <w:rPr>
                <w:sz w:val="20"/>
              </w:rPr>
              <w:t>3.16</w:t>
            </w:r>
          </w:p>
        </w:tc>
        <w:tc>
          <w:tcPr>
            <w:tcW w:w="1320" w:type="dxa"/>
          </w:tcPr>
          <w:p w:rsidR="007C5447" w:rsidRDefault="00F6308C">
            <w:pPr>
              <w:pStyle w:val="TableParagraph"/>
              <w:spacing w:before="70"/>
              <w:ind w:right="96"/>
              <w:rPr>
                <w:sz w:val="20"/>
              </w:rPr>
            </w:pPr>
            <w:r>
              <w:rPr>
                <w:w w:val="95"/>
                <w:sz w:val="20"/>
              </w:rPr>
              <w:t>552.00</w:t>
            </w:r>
          </w:p>
        </w:tc>
        <w:tc>
          <w:tcPr>
            <w:tcW w:w="1200" w:type="dxa"/>
          </w:tcPr>
          <w:p w:rsidR="007C5447" w:rsidRDefault="00F6308C">
            <w:pPr>
              <w:pStyle w:val="TableParagraph"/>
              <w:spacing w:before="70"/>
              <w:ind w:right="95"/>
              <w:rPr>
                <w:sz w:val="20"/>
              </w:rPr>
            </w:pPr>
            <w:r>
              <w:rPr>
                <w:w w:val="95"/>
                <w:sz w:val="20"/>
              </w:rPr>
              <w:t>371.37</w:t>
            </w:r>
          </w:p>
        </w:tc>
        <w:tc>
          <w:tcPr>
            <w:tcW w:w="1087" w:type="dxa"/>
          </w:tcPr>
          <w:p w:rsidR="007C5447" w:rsidRDefault="00F6308C">
            <w:pPr>
              <w:pStyle w:val="TableParagraph"/>
              <w:spacing w:before="70"/>
              <w:ind w:right="95"/>
              <w:rPr>
                <w:sz w:val="20"/>
              </w:rPr>
            </w:pPr>
            <w:r>
              <w:rPr>
                <w:sz w:val="20"/>
              </w:rPr>
              <w:t>6.73</w:t>
            </w:r>
          </w:p>
        </w:tc>
        <w:tc>
          <w:tcPr>
            <w:tcW w:w="1354" w:type="dxa"/>
          </w:tcPr>
          <w:p w:rsidR="007C5447" w:rsidRDefault="00F6308C">
            <w:pPr>
              <w:pStyle w:val="TableParagraph"/>
              <w:spacing w:before="70"/>
              <w:ind w:right="96"/>
              <w:rPr>
                <w:sz w:val="20"/>
              </w:rPr>
            </w:pPr>
            <w:r>
              <w:rPr>
                <w:w w:val="95"/>
                <w:sz w:val="20"/>
              </w:rPr>
              <w:t>552.00</w:t>
            </w:r>
          </w:p>
        </w:tc>
        <w:tc>
          <w:tcPr>
            <w:tcW w:w="1387" w:type="dxa"/>
          </w:tcPr>
          <w:p w:rsidR="007C5447" w:rsidRDefault="00F6308C">
            <w:pPr>
              <w:pStyle w:val="TableParagraph"/>
              <w:spacing w:before="70"/>
              <w:ind w:right="95"/>
              <w:rPr>
                <w:sz w:val="20"/>
              </w:rPr>
            </w:pPr>
            <w:r>
              <w:rPr>
                <w:w w:val="95"/>
                <w:sz w:val="20"/>
              </w:rPr>
              <w:t>255.71</w:t>
            </w:r>
          </w:p>
        </w:tc>
        <w:tc>
          <w:tcPr>
            <w:tcW w:w="1056" w:type="dxa"/>
          </w:tcPr>
          <w:p w:rsidR="007C5447" w:rsidRDefault="00F6308C">
            <w:pPr>
              <w:pStyle w:val="TableParagraph"/>
              <w:spacing w:before="70"/>
              <w:ind w:right="95"/>
              <w:rPr>
                <w:sz w:val="20"/>
              </w:rPr>
            </w:pPr>
            <w:r>
              <w:rPr>
                <w:sz w:val="20"/>
              </w:rPr>
              <w:t>4.63</w:t>
            </w:r>
          </w:p>
        </w:tc>
      </w:tr>
      <w:tr w:rsidR="007C5447">
        <w:trPr>
          <w:trHeight w:val="369"/>
        </w:trPr>
        <w:tc>
          <w:tcPr>
            <w:tcW w:w="3089" w:type="dxa"/>
          </w:tcPr>
          <w:p w:rsidR="007C5447" w:rsidRDefault="00F6308C">
            <w:pPr>
              <w:pStyle w:val="TableParagraph"/>
              <w:spacing w:before="70"/>
              <w:ind w:left="107"/>
              <w:jc w:val="left"/>
              <w:rPr>
                <w:sz w:val="20"/>
              </w:rPr>
            </w:pPr>
            <w:r>
              <w:rPr>
                <w:sz w:val="20"/>
              </w:rPr>
              <w:t>BBGTPS</w:t>
            </w:r>
          </w:p>
        </w:tc>
        <w:tc>
          <w:tcPr>
            <w:tcW w:w="1140" w:type="dxa"/>
          </w:tcPr>
          <w:p w:rsidR="007C5447" w:rsidRDefault="007C5447">
            <w:pPr>
              <w:pStyle w:val="TableParagraph"/>
              <w:jc w:val="left"/>
              <w:rPr>
                <w:sz w:val="20"/>
              </w:rPr>
            </w:pPr>
          </w:p>
        </w:tc>
        <w:tc>
          <w:tcPr>
            <w:tcW w:w="1300" w:type="dxa"/>
          </w:tcPr>
          <w:p w:rsidR="007C5447" w:rsidRDefault="00F6308C">
            <w:pPr>
              <w:pStyle w:val="TableParagraph"/>
              <w:spacing w:before="70"/>
              <w:ind w:right="94"/>
              <w:rPr>
                <w:sz w:val="20"/>
              </w:rPr>
            </w:pPr>
            <w:r>
              <w:rPr>
                <w:sz w:val="20"/>
              </w:rPr>
              <w:t>45</w:t>
            </w:r>
          </w:p>
        </w:tc>
        <w:tc>
          <w:tcPr>
            <w:tcW w:w="1274" w:type="dxa"/>
          </w:tcPr>
          <w:p w:rsidR="007C5447" w:rsidRDefault="00F6308C">
            <w:pPr>
              <w:pStyle w:val="TableParagraph"/>
              <w:spacing w:before="70"/>
              <w:ind w:right="90"/>
              <w:rPr>
                <w:sz w:val="20"/>
              </w:rPr>
            </w:pPr>
            <w:r>
              <w:rPr>
                <w:w w:val="99"/>
                <w:sz w:val="20"/>
              </w:rPr>
              <w:t>-</w:t>
            </w:r>
          </w:p>
        </w:tc>
        <w:tc>
          <w:tcPr>
            <w:tcW w:w="1320" w:type="dxa"/>
          </w:tcPr>
          <w:p w:rsidR="007C5447" w:rsidRDefault="00F6308C">
            <w:pPr>
              <w:pStyle w:val="TableParagraph"/>
              <w:spacing w:before="70"/>
              <w:ind w:right="96"/>
              <w:rPr>
                <w:sz w:val="20"/>
              </w:rPr>
            </w:pPr>
            <w:r>
              <w:rPr>
                <w:w w:val="95"/>
                <w:sz w:val="20"/>
              </w:rPr>
              <w:t>11.00</w:t>
            </w:r>
          </w:p>
        </w:tc>
        <w:tc>
          <w:tcPr>
            <w:tcW w:w="1200" w:type="dxa"/>
          </w:tcPr>
          <w:p w:rsidR="007C5447" w:rsidRDefault="00F6308C">
            <w:pPr>
              <w:pStyle w:val="TableParagraph"/>
              <w:spacing w:before="70"/>
              <w:ind w:right="95"/>
              <w:rPr>
                <w:sz w:val="20"/>
              </w:rPr>
            </w:pPr>
            <w:r>
              <w:rPr>
                <w:w w:val="95"/>
                <w:sz w:val="20"/>
              </w:rPr>
              <w:t>289.30</w:t>
            </w:r>
          </w:p>
        </w:tc>
        <w:tc>
          <w:tcPr>
            <w:tcW w:w="1087" w:type="dxa"/>
          </w:tcPr>
          <w:p w:rsidR="007C5447" w:rsidRDefault="00F6308C">
            <w:pPr>
              <w:pStyle w:val="TableParagraph"/>
              <w:spacing w:before="70"/>
              <w:ind w:right="95"/>
              <w:rPr>
                <w:sz w:val="20"/>
              </w:rPr>
            </w:pPr>
            <w:r>
              <w:rPr>
                <w:w w:val="95"/>
                <w:sz w:val="20"/>
              </w:rPr>
              <w:t>263.00</w:t>
            </w:r>
          </w:p>
        </w:tc>
        <w:tc>
          <w:tcPr>
            <w:tcW w:w="1354" w:type="dxa"/>
          </w:tcPr>
          <w:p w:rsidR="007C5447" w:rsidRDefault="00F6308C">
            <w:pPr>
              <w:pStyle w:val="TableParagraph"/>
              <w:spacing w:before="70"/>
              <w:ind w:right="95"/>
              <w:rPr>
                <w:sz w:val="20"/>
              </w:rPr>
            </w:pPr>
            <w:r>
              <w:rPr>
                <w:w w:val="95"/>
                <w:sz w:val="20"/>
              </w:rPr>
              <w:t>11.00</w:t>
            </w:r>
          </w:p>
        </w:tc>
        <w:tc>
          <w:tcPr>
            <w:tcW w:w="1387" w:type="dxa"/>
          </w:tcPr>
          <w:p w:rsidR="007C5447" w:rsidRDefault="00F6308C">
            <w:pPr>
              <w:pStyle w:val="TableParagraph"/>
              <w:spacing w:before="70"/>
              <w:ind w:right="95"/>
              <w:rPr>
                <w:sz w:val="20"/>
              </w:rPr>
            </w:pPr>
            <w:r>
              <w:rPr>
                <w:w w:val="95"/>
                <w:sz w:val="20"/>
              </w:rPr>
              <w:t>61.54</w:t>
            </w:r>
          </w:p>
        </w:tc>
        <w:tc>
          <w:tcPr>
            <w:tcW w:w="1056" w:type="dxa"/>
          </w:tcPr>
          <w:p w:rsidR="007C5447" w:rsidRDefault="00F6308C">
            <w:pPr>
              <w:pStyle w:val="TableParagraph"/>
              <w:spacing w:before="70"/>
              <w:ind w:right="95"/>
              <w:rPr>
                <w:sz w:val="20"/>
              </w:rPr>
            </w:pPr>
            <w:r>
              <w:rPr>
                <w:w w:val="95"/>
                <w:sz w:val="20"/>
              </w:rPr>
              <w:t>55.94</w:t>
            </w:r>
          </w:p>
        </w:tc>
      </w:tr>
      <w:tr w:rsidR="007C5447">
        <w:trPr>
          <w:trHeight w:val="371"/>
        </w:trPr>
        <w:tc>
          <w:tcPr>
            <w:tcW w:w="3089" w:type="dxa"/>
          </w:tcPr>
          <w:p w:rsidR="007C5447" w:rsidRDefault="00F6308C">
            <w:pPr>
              <w:pStyle w:val="TableParagraph"/>
              <w:spacing w:before="72"/>
              <w:ind w:left="107"/>
              <w:jc w:val="left"/>
              <w:rPr>
                <w:sz w:val="20"/>
              </w:rPr>
            </w:pPr>
            <w:r>
              <w:rPr>
                <w:sz w:val="20"/>
              </w:rPr>
              <w:t>VGTPS (Unit 1 and 2)</w:t>
            </w:r>
          </w:p>
        </w:tc>
        <w:tc>
          <w:tcPr>
            <w:tcW w:w="1140" w:type="dxa"/>
          </w:tcPr>
          <w:p w:rsidR="007C5447" w:rsidRDefault="00F6308C">
            <w:pPr>
              <w:pStyle w:val="TableParagraph"/>
              <w:spacing w:before="72"/>
              <w:ind w:right="93"/>
              <w:rPr>
                <w:sz w:val="20"/>
              </w:rPr>
            </w:pPr>
            <w:r>
              <w:rPr>
                <w:sz w:val="20"/>
              </w:rPr>
              <w:t>1235</w:t>
            </w:r>
          </w:p>
        </w:tc>
        <w:tc>
          <w:tcPr>
            <w:tcW w:w="1300" w:type="dxa"/>
          </w:tcPr>
          <w:p w:rsidR="007C5447" w:rsidRDefault="00F6308C">
            <w:pPr>
              <w:pStyle w:val="TableParagraph"/>
              <w:spacing w:before="72"/>
              <w:ind w:right="94"/>
              <w:rPr>
                <w:sz w:val="20"/>
              </w:rPr>
            </w:pPr>
            <w:r>
              <w:rPr>
                <w:sz w:val="20"/>
              </w:rPr>
              <w:t>369</w:t>
            </w:r>
          </w:p>
        </w:tc>
        <w:tc>
          <w:tcPr>
            <w:tcW w:w="1274" w:type="dxa"/>
          </w:tcPr>
          <w:p w:rsidR="007C5447" w:rsidRDefault="00F6308C">
            <w:pPr>
              <w:pStyle w:val="TableParagraph"/>
              <w:spacing w:before="72"/>
              <w:ind w:right="93"/>
              <w:rPr>
                <w:sz w:val="20"/>
              </w:rPr>
            </w:pPr>
            <w:r>
              <w:rPr>
                <w:sz w:val="20"/>
              </w:rPr>
              <w:t>2.99</w:t>
            </w:r>
          </w:p>
        </w:tc>
        <w:tc>
          <w:tcPr>
            <w:tcW w:w="1320" w:type="dxa"/>
          </w:tcPr>
          <w:p w:rsidR="007C5447" w:rsidRDefault="00F6308C">
            <w:pPr>
              <w:pStyle w:val="TableParagraph"/>
              <w:spacing w:before="72"/>
              <w:ind w:right="96"/>
              <w:rPr>
                <w:sz w:val="20"/>
              </w:rPr>
            </w:pPr>
            <w:r>
              <w:rPr>
                <w:w w:val="95"/>
                <w:sz w:val="20"/>
              </w:rPr>
              <w:t>680.00</w:t>
            </w:r>
          </w:p>
        </w:tc>
        <w:tc>
          <w:tcPr>
            <w:tcW w:w="1200" w:type="dxa"/>
          </w:tcPr>
          <w:p w:rsidR="007C5447" w:rsidRDefault="00F6308C">
            <w:pPr>
              <w:pStyle w:val="TableParagraph"/>
              <w:spacing w:before="72"/>
              <w:ind w:right="95"/>
              <w:rPr>
                <w:sz w:val="20"/>
              </w:rPr>
            </w:pPr>
            <w:r>
              <w:rPr>
                <w:w w:val="95"/>
                <w:sz w:val="20"/>
              </w:rPr>
              <w:t>569.79</w:t>
            </w:r>
          </w:p>
        </w:tc>
        <w:tc>
          <w:tcPr>
            <w:tcW w:w="1087" w:type="dxa"/>
          </w:tcPr>
          <w:p w:rsidR="007C5447" w:rsidRDefault="00F6308C">
            <w:pPr>
              <w:pStyle w:val="TableParagraph"/>
              <w:spacing w:before="72"/>
              <w:ind w:right="95"/>
              <w:rPr>
                <w:sz w:val="20"/>
              </w:rPr>
            </w:pPr>
            <w:r>
              <w:rPr>
                <w:sz w:val="20"/>
              </w:rPr>
              <w:t>8.38</w:t>
            </w:r>
          </w:p>
        </w:tc>
        <w:tc>
          <w:tcPr>
            <w:tcW w:w="1354" w:type="dxa"/>
          </w:tcPr>
          <w:p w:rsidR="007C5447" w:rsidRDefault="00F6308C">
            <w:pPr>
              <w:pStyle w:val="TableParagraph"/>
              <w:spacing w:before="72"/>
              <w:ind w:right="96"/>
              <w:rPr>
                <w:sz w:val="20"/>
              </w:rPr>
            </w:pPr>
            <w:r>
              <w:rPr>
                <w:w w:val="95"/>
                <w:sz w:val="20"/>
              </w:rPr>
              <w:t>680.00</w:t>
            </w:r>
          </w:p>
        </w:tc>
        <w:tc>
          <w:tcPr>
            <w:tcW w:w="1387" w:type="dxa"/>
          </w:tcPr>
          <w:p w:rsidR="007C5447" w:rsidRDefault="00F6308C">
            <w:pPr>
              <w:pStyle w:val="TableParagraph"/>
              <w:spacing w:before="72"/>
              <w:ind w:right="95"/>
              <w:rPr>
                <w:sz w:val="20"/>
              </w:rPr>
            </w:pPr>
            <w:r>
              <w:rPr>
                <w:w w:val="95"/>
                <w:sz w:val="20"/>
              </w:rPr>
              <w:t>364.21</w:t>
            </w:r>
          </w:p>
        </w:tc>
        <w:tc>
          <w:tcPr>
            <w:tcW w:w="1056" w:type="dxa"/>
          </w:tcPr>
          <w:p w:rsidR="007C5447" w:rsidRDefault="00F6308C">
            <w:pPr>
              <w:pStyle w:val="TableParagraph"/>
              <w:spacing w:before="72"/>
              <w:ind w:right="95"/>
              <w:rPr>
                <w:sz w:val="20"/>
              </w:rPr>
            </w:pPr>
            <w:r>
              <w:rPr>
                <w:sz w:val="20"/>
              </w:rPr>
              <w:t>5.36</w:t>
            </w:r>
          </w:p>
        </w:tc>
      </w:tr>
      <w:tr w:rsidR="007C5447">
        <w:trPr>
          <w:trHeight w:val="369"/>
        </w:trPr>
        <w:tc>
          <w:tcPr>
            <w:tcW w:w="3089" w:type="dxa"/>
          </w:tcPr>
          <w:p w:rsidR="007C5447" w:rsidRDefault="00F6308C">
            <w:pPr>
              <w:pStyle w:val="TableParagraph"/>
              <w:spacing w:before="70"/>
              <w:ind w:left="1102" w:right="1097"/>
              <w:jc w:val="center"/>
              <w:rPr>
                <w:b/>
                <w:sz w:val="20"/>
              </w:rPr>
            </w:pPr>
            <w:r>
              <w:rPr>
                <w:b/>
                <w:sz w:val="20"/>
              </w:rPr>
              <w:t>Total Gas</w:t>
            </w:r>
          </w:p>
        </w:tc>
        <w:tc>
          <w:tcPr>
            <w:tcW w:w="1140" w:type="dxa"/>
          </w:tcPr>
          <w:p w:rsidR="007C5447" w:rsidRDefault="00F6308C">
            <w:pPr>
              <w:pStyle w:val="TableParagraph"/>
              <w:spacing w:before="70"/>
              <w:ind w:right="96"/>
              <w:rPr>
                <w:b/>
                <w:sz w:val="20"/>
              </w:rPr>
            </w:pPr>
            <w:r>
              <w:rPr>
                <w:b/>
                <w:w w:val="95"/>
                <w:sz w:val="20"/>
              </w:rPr>
              <w:t>2,615.00</w:t>
            </w:r>
          </w:p>
        </w:tc>
        <w:tc>
          <w:tcPr>
            <w:tcW w:w="1300" w:type="dxa"/>
          </w:tcPr>
          <w:p w:rsidR="007C5447" w:rsidRDefault="00F6308C">
            <w:pPr>
              <w:pStyle w:val="TableParagraph"/>
              <w:spacing w:before="70"/>
              <w:ind w:right="99"/>
              <w:rPr>
                <w:b/>
                <w:sz w:val="20"/>
              </w:rPr>
            </w:pPr>
            <w:r>
              <w:rPr>
                <w:b/>
                <w:w w:val="95"/>
                <w:sz w:val="20"/>
              </w:rPr>
              <w:t>837.00</w:t>
            </w:r>
          </w:p>
        </w:tc>
        <w:tc>
          <w:tcPr>
            <w:tcW w:w="1274" w:type="dxa"/>
          </w:tcPr>
          <w:p w:rsidR="007C5447" w:rsidRDefault="00F6308C">
            <w:pPr>
              <w:pStyle w:val="TableParagraph"/>
              <w:spacing w:before="70"/>
              <w:ind w:right="93"/>
              <w:rPr>
                <w:b/>
                <w:sz w:val="20"/>
              </w:rPr>
            </w:pPr>
            <w:r>
              <w:rPr>
                <w:b/>
                <w:sz w:val="20"/>
              </w:rPr>
              <w:t>3.20</w:t>
            </w:r>
          </w:p>
        </w:tc>
        <w:tc>
          <w:tcPr>
            <w:tcW w:w="1320" w:type="dxa"/>
          </w:tcPr>
          <w:p w:rsidR="007C5447" w:rsidRDefault="00F6308C">
            <w:pPr>
              <w:pStyle w:val="TableParagraph"/>
              <w:spacing w:before="70"/>
              <w:ind w:right="94"/>
              <w:rPr>
                <w:b/>
                <w:sz w:val="20"/>
              </w:rPr>
            </w:pPr>
            <w:r>
              <w:rPr>
                <w:b/>
                <w:w w:val="95"/>
                <w:sz w:val="20"/>
              </w:rPr>
              <w:t>1,606.00</w:t>
            </w:r>
          </w:p>
        </w:tc>
        <w:tc>
          <w:tcPr>
            <w:tcW w:w="1200" w:type="dxa"/>
          </w:tcPr>
          <w:p w:rsidR="007C5447" w:rsidRDefault="00F6308C">
            <w:pPr>
              <w:pStyle w:val="TableParagraph"/>
              <w:spacing w:before="70"/>
              <w:ind w:right="93"/>
              <w:rPr>
                <w:b/>
                <w:sz w:val="20"/>
              </w:rPr>
            </w:pPr>
            <w:r>
              <w:rPr>
                <w:b/>
                <w:w w:val="95"/>
                <w:sz w:val="20"/>
              </w:rPr>
              <w:t>1,596.59</w:t>
            </w:r>
          </w:p>
        </w:tc>
        <w:tc>
          <w:tcPr>
            <w:tcW w:w="1087" w:type="dxa"/>
          </w:tcPr>
          <w:p w:rsidR="007C5447" w:rsidRDefault="00F6308C">
            <w:pPr>
              <w:pStyle w:val="TableParagraph"/>
              <w:spacing w:before="70"/>
              <w:ind w:right="95"/>
              <w:rPr>
                <w:b/>
                <w:sz w:val="20"/>
              </w:rPr>
            </w:pPr>
            <w:r>
              <w:rPr>
                <w:b/>
                <w:sz w:val="20"/>
              </w:rPr>
              <w:t>9.94</w:t>
            </w:r>
          </w:p>
        </w:tc>
        <w:tc>
          <w:tcPr>
            <w:tcW w:w="1354" w:type="dxa"/>
          </w:tcPr>
          <w:p w:rsidR="007C5447" w:rsidRDefault="00F6308C">
            <w:pPr>
              <w:pStyle w:val="TableParagraph"/>
              <w:spacing w:before="70"/>
              <w:ind w:right="94"/>
              <w:rPr>
                <w:b/>
                <w:sz w:val="20"/>
              </w:rPr>
            </w:pPr>
            <w:r>
              <w:rPr>
                <w:b/>
                <w:w w:val="95"/>
                <w:sz w:val="20"/>
              </w:rPr>
              <w:t>1,606.00</w:t>
            </w:r>
          </w:p>
        </w:tc>
        <w:tc>
          <w:tcPr>
            <w:tcW w:w="1387" w:type="dxa"/>
          </w:tcPr>
          <w:p w:rsidR="007C5447" w:rsidRDefault="00F6308C">
            <w:pPr>
              <w:pStyle w:val="TableParagraph"/>
              <w:spacing w:before="70"/>
              <w:ind w:right="95"/>
              <w:rPr>
                <w:b/>
                <w:sz w:val="20"/>
              </w:rPr>
            </w:pPr>
            <w:r>
              <w:rPr>
                <w:b/>
                <w:w w:val="95"/>
                <w:sz w:val="20"/>
              </w:rPr>
              <w:t>869.12</w:t>
            </w:r>
          </w:p>
        </w:tc>
        <w:tc>
          <w:tcPr>
            <w:tcW w:w="1056" w:type="dxa"/>
          </w:tcPr>
          <w:p w:rsidR="007C5447" w:rsidRDefault="00F6308C">
            <w:pPr>
              <w:pStyle w:val="TableParagraph"/>
              <w:spacing w:before="70"/>
              <w:ind w:right="95"/>
              <w:rPr>
                <w:b/>
                <w:sz w:val="20"/>
              </w:rPr>
            </w:pPr>
            <w:r>
              <w:rPr>
                <w:b/>
                <w:sz w:val="20"/>
              </w:rPr>
              <w:t>5.41</w:t>
            </w:r>
          </w:p>
        </w:tc>
      </w:tr>
      <w:tr w:rsidR="007C5447">
        <w:trPr>
          <w:trHeight w:val="369"/>
        </w:trPr>
        <w:tc>
          <w:tcPr>
            <w:tcW w:w="3089" w:type="dxa"/>
          </w:tcPr>
          <w:p w:rsidR="007C5447" w:rsidRDefault="00F6308C">
            <w:pPr>
              <w:pStyle w:val="TableParagraph"/>
              <w:spacing w:before="70"/>
              <w:ind w:left="107"/>
              <w:jc w:val="left"/>
              <w:rPr>
                <w:sz w:val="20"/>
              </w:rPr>
            </w:pPr>
            <w:r>
              <w:rPr>
                <w:sz w:val="20"/>
              </w:rPr>
              <w:t>Erode HEP</w:t>
            </w:r>
          </w:p>
        </w:tc>
        <w:tc>
          <w:tcPr>
            <w:tcW w:w="1140" w:type="dxa"/>
            <w:vMerge w:val="restart"/>
          </w:tcPr>
          <w:p w:rsidR="007C5447" w:rsidRDefault="007C5447">
            <w:pPr>
              <w:pStyle w:val="TableParagraph"/>
              <w:jc w:val="left"/>
              <w:rPr>
                <w:b/>
              </w:rPr>
            </w:pPr>
          </w:p>
          <w:p w:rsidR="007C5447" w:rsidRDefault="007C5447">
            <w:pPr>
              <w:pStyle w:val="TableParagraph"/>
              <w:spacing w:before="3"/>
              <w:jc w:val="left"/>
              <w:rPr>
                <w:b/>
                <w:sz w:val="17"/>
              </w:rPr>
            </w:pPr>
          </w:p>
          <w:p w:rsidR="007C5447" w:rsidRDefault="00F6308C">
            <w:pPr>
              <w:pStyle w:val="TableParagraph"/>
              <w:ind w:left="631"/>
              <w:jc w:val="left"/>
              <w:rPr>
                <w:sz w:val="20"/>
              </w:rPr>
            </w:pPr>
            <w:r>
              <w:rPr>
                <w:sz w:val="20"/>
              </w:rPr>
              <w:t>4844</w:t>
            </w:r>
          </w:p>
        </w:tc>
        <w:tc>
          <w:tcPr>
            <w:tcW w:w="1300" w:type="dxa"/>
          </w:tcPr>
          <w:p w:rsidR="007C5447" w:rsidRDefault="00F6308C">
            <w:pPr>
              <w:pStyle w:val="TableParagraph"/>
              <w:spacing w:before="70"/>
              <w:ind w:right="94"/>
              <w:rPr>
                <w:sz w:val="20"/>
              </w:rPr>
            </w:pPr>
            <w:r>
              <w:rPr>
                <w:sz w:val="20"/>
              </w:rPr>
              <w:t>337</w:t>
            </w: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0"/>
              <w:ind w:right="96"/>
              <w:rPr>
                <w:sz w:val="20"/>
              </w:rPr>
            </w:pPr>
            <w:r>
              <w:rPr>
                <w:w w:val="95"/>
                <w:sz w:val="20"/>
              </w:rPr>
              <w:t>756.00</w:t>
            </w:r>
          </w:p>
        </w:tc>
        <w:tc>
          <w:tcPr>
            <w:tcW w:w="1200" w:type="dxa"/>
          </w:tcPr>
          <w:p w:rsidR="007C5447" w:rsidRDefault="00F6308C">
            <w:pPr>
              <w:pStyle w:val="TableParagraph"/>
              <w:spacing w:before="70"/>
              <w:ind w:right="95"/>
              <w:rPr>
                <w:sz w:val="20"/>
              </w:rPr>
            </w:pPr>
            <w:r>
              <w:rPr>
                <w:w w:val="95"/>
                <w:sz w:val="20"/>
              </w:rPr>
              <w:t>487.76</w:t>
            </w:r>
          </w:p>
        </w:tc>
        <w:tc>
          <w:tcPr>
            <w:tcW w:w="1087" w:type="dxa"/>
          </w:tcPr>
          <w:p w:rsidR="007C5447" w:rsidRDefault="00F6308C">
            <w:pPr>
              <w:pStyle w:val="TableParagraph"/>
              <w:spacing w:before="70"/>
              <w:ind w:right="95"/>
              <w:rPr>
                <w:sz w:val="20"/>
              </w:rPr>
            </w:pPr>
            <w:r>
              <w:rPr>
                <w:sz w:val="20"/>
              </w:rPr>
              <w:t>6.45</w:t>
            </w:r>
          </w:p>
        </w:tc>
        <w:tc>
          <w:tcPr>
            <w:tcW w:w="1354" w:type="dxa"/>
          </w:tcPr>
          <w:p w:rsidR="007C5447" w:rsidRDefault="00F6308C">
            <w:pPr>
              <w:pStyle w:val="TableParagraph"/>
              <w:spacing w:before="70"/>
              <w:ind w:right="96"/>
              <w:rPr>
                <w:sz w:val="20"/>
              </w:rPr>
            </w:pPr>
            <w:r>
              <w:rPr>
                <w:w w:val="95"/>
                <w:sz w:val="20"/>
              </w:rPr>
              <w:t>756.00</w:t>
            </w:r>
          </w:p>
        </w:tc>
        <w:tc>
          <w:tcPr>
            <w:tcW w:w="1387" w:type="dxa"/>
          </w:tcPr>
          <w:p w:rsidR="007C5447" w:rsidRDefault="00F6308C">
            <w:pPr>
              <w:pStyle w:val="TableParagraph"/>
              <w:spacing w:before="70"/>
              <w:ind w:right="95"/>
              <w:rPr>
                <w:sz w:val="20"/>
              </w:rPr>
            </w:pPr>
            <w:r>
              <w:rPr>
                <w:w w:val="95"/>
                <w:sz w:val="20"/>
              </w:rPr>
              <w:t>328.81</w:t>
            </w:r>
          </w:p>
        </w:tc>
        <w:tc>
          <w:tcPr>
            <w:tcW w:w="1056" w:type="dxa"/>
          </w:tcPr>
          <w:p w:rsidR="007C5447" w:rsidRDefault="00F6308C">
            <w:pPr>
              <w:pStyle w:val="TableParagraph"/>
              <w:spacing w:before="70"/>
              <w:ind w:right="95"/>
              <w:rPr>
                <w:sz w:val="20"/>
              </w:rPr>
            </w:pPr>
            <w:r>
              <w:rPr>
                <w:sz w:val="20"/>
              </w:rPr>
              <w:t>4.35</w:t>
            </w:r>
          </w:p>
        </w:tc>
      </w:tr>
      <w:tr w:rsidR="007C5447">
        <w:trPr>
          <w:trHeight w:val="371"/>
        </w:trPr>
        <w:tc>
          <w:tcPr>
            <w:tcW w:w="3089" w:type="dxa"/>
          </w:tcPr>
          <w:p w:rsidR="007C5447" w:rsidRDefault="00F6308C">
            <w:pPr>
              <w:pStyle w:val="TableParagraph"/>
              <w:spacing w:before="72"/>
              <w:ind w:left="107"/>
              <w:jc w:val="left"/>
              <w:rPr>
                <w:sz w:val="20"/>
              </w:rPr>
            </w:pPr>
            <w:r>
              <w:rPr>
                <w:sz w:val="20"/>
              </w:rPr>
              <w:t>Kadamparai HEP</w:t>
            </w:r>
          </w:p>
        </w:tc>
        <w:tc>
          <w:tcPr>
            <w:tcW w:w="1140" w:type="dxa"/>
            <w:vMerge/>
            <w:tcBorders>
              <w:top w:val="nil"/>
            </w:tcBorders>
          </w:tcPr>
          <w:p w:rsidR="007C5447" w:rsidRDefault="007C5447">
            <w:pPr>
              <w:rPr>
                <w:sz w:val="2"/>
                <w:szCs w:val="2"/>
              </w:rPr>
            </w:pPr>
          </w:p>
        </w:tc>
        <w:tc>
          <w:tcPr>
            <w:tcW w:w="1300" w:type="dxa"/>
          </w:tcPr>
          <w:p w:rsidR="007C5447" w:rsidRDefault="00F6308C">
            <w:pPr>
              <w:pStyle w:val="TableParagraph"/>
              <w:spacing w:before="72"/>
              <w:ind w:right="94"/>
              <w:rPr>
                <w:sz w:val="20"/>
              </w:rPr>
            </w:pPr>
            <w:r>
              <w:rPr>
                <w:sz w:val="20"/>
              </w:rPr>
              <w:t>78</w:t>
            </w: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2"/>
              <w:ind w:right="96"/>
              <w:rPr>
                <w:sz w:val="20"/>
              </w:rPr>
            </w:pPr>
            <w:r>
              <w:rPr>
                <w:w w:val="95"/>
                <w:sz w:val="20"/>
              </w:rPr>
              <w:t>891.00</w:t>
            </w:r>
          </w:p>
        </w:tc>
        <w:tc>
          <w:tcPr>
            <w:tcW w:w="1200" w:type="dxa"/>
          </w:tcPr>
          <w:p w:rsidR="007C5447" w:rsidRDefault="00F6308C">
            <w:pPr>
              <w:pStyle w:val="TableParagraph"/>
              <w:spacing w:before="72"/>
              <w:ind w:right="95"/>
              <w:rPr>
                <w:sz w:val="20"/>
              </w:rPr>
            </w:pPr>
            <w:r>
              <w:rPr>
                <w:w w:val="95"/>
                <w:sz w:val="20"/>
              </w:rPr>
              <w:t>200.34</w:t>
            </w:r>
          </w:p>
        </w:tc>
        <w:tc>
          <w:tcPr>
            <w:tcW w:w="1087" w:type="dxa"/>
          </w:tcPr>
          <w:p w:rsidR="007C5447" w:rsidRDefault="00F6308C">
            <w:pPr>
              <w:pStyle w:val="TableParagraph"/>
              <w:spacing w:before="72"/>
              <w:ind w:right="95"/>
              <w:rPr>
                <w:sz w:val="20"/>
              </w:rPr>
            </w:pPr>
            <w:r>
              <w:rPr>
                <w:sz w:val="20"/>
              </w:rPr>
              <w:t>2.25</w:t>
            </w:r>
          </w:p>
        </w:tc>
        <w:tc>
          <w:tcPr>
            <w:tcW w:w="1354" w:type="dxa"/>
          </w:tcPr>
          <w:p w:rsidR="007C5447" w:rsidRDefault="00F6308C">
            <w:pPr>
              <w:pStyle w:val="TableParagraph"/>
              <w:spacing w:before="72"/>
              <w:ind w:right="96"/>
              <w:rPr>
                <w:sz w:val="20"/>
              </w:rPr>
            </w:pPr>
            <w:r>
              <w:rPr>
                <w:w w:val="95"/>
                <w:sz w:val="20"/>
              </w:rPr>
              <w:t>478.00</w:t>
            </w:r>
          </w:p>
        </w:tc>
        <w:tc>
          <w:tcPr>
            <w:tcW w:w="1387" w:type="dxa"/>
          </w:tcPr>
          <w:p w:rsidR="007C5447" w:rsidRDefault="00F6308C">
            <w:pPr>
              <w:pStyle w:val="TableParagraph"/>
              <w:spacing w:before="72"/>
              <w:ind w:right="95"/>
              <w:rPr>
                <w:sz w:val="20"/>
              </w:rPr>
            </w:pPr>
            <w:r>
              <w:rPr>
                <w:w w:val="95"/>
                <w:sz w:val="20"/>
              </w:rPr>
              <w:t>86.41</w:t>
            </w:r>
          </w:p>
        </w:tc>
        <w:tc>
          <w:tcPr>
            <w:tcW w:w="1056" w:type="dxa"/>
          </w:tcPr>
          <w:p w:rsidR="007C5447" w:rsidRDefault="00F6308C">
            <w:pPr>
              <w:pStyle w:val="TableParagraph"/>
              <w:spacing w:before="72"/>
              <w:ind w:right="95"/>
              <w:rPr>
                <w:sz w:val="20"/>
              </w:rPr>
            </w:pPr>
            <w:r>
              <w:rPr>
                <w:sz w:val="20"/>
              </w:rPr>
              <w:t>1.81</w:t>
            </w:r>
          </w:p>
        </w:tc>
      </w:tr>
      <w:tr w:rsidR="007C5447">
        <w:trPr>
          <w:trHeight w:val="369"/>
        </w:trPr>
        <w:tc>
          <w:tcPr>
            <w:tcW w:w="3089" w:type="dxa"/>
          </w:tcPr>
          <w:p w:rsidR="007C5447" w:rsidRDefault="00F6308C">
            <w:pPr>
              <w:pStyle w:val="TableParagraph"/>
              <w:spacing w:before="70"/>
              <w:ind w:left="107"/>
              <w:jc w:val="left"/>
              <w:rPr>
                <w:sz w:val="20"/>
              </w:rPr>
            </w:pPr>
            <w:r>
              <w:rPr>
                <w:sz w:val="20"/>
              </w:rPr>
              <w:t>Kundah HEP</w:t>
            </w:r>
          </w:p>
        </w:tc>
        <w:tc>
          <w:tcPr>
            <w:tcW w:w="1140" w:type="dxa"/>
            <w:vMerge/>
            <w:tcBorders>
              <w:top w:val="nil"/>
            </w:tcBorders>
          </w:tcPr>
          <w:p w:rsidR="007C5447" w:rsidRDefault="007C5447">
            <w:pPr>
              <w:rPr>
                <w:sz w:val="2"/>
                <w:szCs w:val="2"/>
              </w:rPr>
            </w:pPr>
          </w:p>
        </w:tc>
        <w:tc>
          <w:tcPr>
            <w:tcW w:w="1300" w:type="dxa"/>
          </w:tcPr>
          <w:p w:rsidR="007C5447" w:rsidRDefault="00F6308C">
            <w:pPr>
              <w:pStyle w:val="TableParagraph"/>
              <w:spacing w:before="70"/>
              <w:ind w:right="94"/>
              <w:rPr>
                <w:sz w:val="20"/>
              </w:rPr>
            </w:pPr>
            <w:r>
              <w:rPr>
                <w:sz w:val="20"/>
              </w:rPr>
              <w:t>204</w:t>
            </w: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0"/>
              <w:ind w:right="94"/>
              <w:rPr>
                <w:sz w:val="20"/>
              </w:rPr>
            </w:pPr>
            <w:r>
              <w:rPr>
                <w:w w:val="95"/>
                <w:sz w:val="20"/>
              </w:rPr>
              <w:t>1,695.00</w:t>
            </w:r>
          </w:p>
        </w:tc>
        <w:tc>
          <w:tcPr>
            <w:tcW w:w="1200" w:type="dxa"/>
          </w:tcPr>
          <w:p w:rsidR="007C5447" w:rsidRDefault="00F6308C">
            <w:pPr>
              <w:pStyle w:val="TableParagraph"/>
              <w:spacing w:before="70"/>
              <w:ind w:right="95"/>
              <w:rPr>
                <w:sz w:val="20"/>
              </w:rPr>
            </w:pPr>
            <w:r>
              <w:rPr>
                <w:w w:val="95"/>
                <w:sz w:val="20"/>
              </w:rPr>
              <w:t>559.76</w:t>
            </w:r>
          </w:p>
        </w:tc>
        <w:tc>
          <w:tcPr>
            <w:tcW w:w="1087" w:type="dxa"/>
          </w:tcPr>
          <w:p w:rsidR="007C5447" w:rsidRDefault="00F6308C">
            <w:pPr>
              <w:pStyle w:val="TableParagraph"/>
              <w:spacing w:before="70"/>
              <w:ind w:right="95"/>
              <w:rPr>
                <w:sz w:val="20"/>
              </w:rPr>
            </w:pPr>
            <w:r>
              <w:rPr>
                <w:sz w:val="20"/>
              </w:rPr>
              <w:t>3.30</w:t>
            </w:r>
          </w:p>
        </w:tc>
        <w:tc>
          <w:tcPr>
            <w:tcW w:w="1354" w:type="dxa"/>
          </w:tcPr>
          <w:p w:rsidR="007C5447" w:rsidRDefault="00F6308C">
            <w:pPr>
              <w:pStyle w:val="TableParagraph"/>
              <w:spacing w:before="70"/>
              <w:ind w:right="94"/>
              <w:rPr>
                <w:sz w:val="20"/>
              </w:rPr>
            </w:pPr>
            <w:r>
              <w:rPr>
                <w:w w:val="95"/>
                <w:sz w:val="20"/>
              </w:rPr>
              <w:t>1,695.00</w:t>
            </w:r>
          </w:p>
        </w:tc>
        <w:tc>
          <w:tcPr>
            <w:tcW w:w="1387" w:type="dxa"/>
          </w:tcPr>
          <w:p w:rsidR="007C5447" w:rsidRDefault="00F6308C">
            <w:pPr>
              <w:pStyle w:val="TableParagraph"/>
              <w:spacing w:before="70"/>
              <w:ind w:right="95"/>
              <w:rPr>
                <w:sz w:val="20"/>
              </w:rPr>
            </w:pPr>
            <w:r>
              <w:rPr>
                <w:w w:val="95"/>
                <w:sz w:val="20"/>
              </w:rPr>
              <w:t>230.45</w:t>
            </w:r>
          </w:p>
        </w:tc>
        <w:tc>
          <w:tcPr>
            <w:tcW w:w="1056" w:type="dxa"/>
          </w:tcPr>
          <w:p w:rsidR="007C5447" w:rsidRDefault="00F6308C">
            <w:pPr>
              <w:pStyle w:val="TableParagraph"/>
              <w:spacing w:before="70"/>
              <w:ind w:right="95"/>
              <w:rPr>
                <w:sz w:val="20"/>
              </w:rPr>
            </w:pPr>
            <w:r>
              <w:rPr>
                <w:sz w:val="20"/>
              </w:rPr>
              <w:t>1.36</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9"/>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9"/>
        <w:gridCol w:w="1140"/>
        <w:gridCol w:w="1300"/>
        <w:gridCol w:w="1274"/>
        <w:gridCol w:w="1320"/>
        <w:gridCol w:w="1200"/>
        <w:gridCol w:w="1087"/>
        <w:gridCol w:w="1354"/>
        <w:gridCol w:w="1387"/>
        <w:gridCol w:w="1056"/>
      </w:tblGrid>
      <w:tr w:rsidR="007C5447">
        <w:trPr>
          <w:trHeight w:val="369"/>
        </w:trPr>
        <w:tc>
          <w:tcPr>
            <w:tcW w:w="3089"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1102" w:right="1084"/>
              <w:jc w:val="center"/>
              <w:rPr>
                <w:b/>
                <w:sz w:val="20"/>
              </w:rPr>
            </w:pPr>
            <w:r>
              <w:rPr>
                <w:b/>
                <w:sz w:val="20"/>
              </w:rPr>
              <w:t>Source</w:t>
            </w:r>
          </w:p>
        </w:tc>
        <w:tc>
          <w:tcPr>
            <w:tcW w:w="11118" w:type="dxa"/>
            <w:gridSpan w:val="9"/>
            <w:shd w:val="clear" w:color="auto" w:fill="F7C9AC"/>
          </w:tcPr>
          <w:p w:rsidR="007C5447" w:rsidRDefault="00F6308C">
            <w:pPr>
              <w:pStyle w:val="TableParagraph"/>
              <w:spacing w:before="125" w:line="224" w:lineRule="exact"/>
              <w:ind w:left="5048" w:right="5026"/>
              <w:jc w:val="center"/>
              <w:rPr>
                <w:b/>
                <w:sz w:val="20"/>
              </w:rPr>
            </w:pPr>
            <w:r>
              <w:rPr>
                <w:b/>
                <w:sz w:val="20"/>
              </w:rPr>
              <w:t>FY 2015-16</w:t>
            </w:r>
          </w:p>
        </w:tc>
      </w:tr>
      <w:tr w:rsidR="007C5447">
        <w:trPr>
          <w:trHeight w:val="371"/>
        </w:trPr>
        <w:tc>
          <w:tcPr>
            <w:tcW w:w="3089" w:type="dxa"/>
            <w:vMerge/>
            <w:tcBorders>
              <w:top w:val="nil"/>
            </w:tcBorders>
            <w:shd w:val="clear" w:color="auto" w:fill="F7C9AC"/>
          </w:tcPr>
          <w:p w:rsidR="007C5447" w:rsidRDefault="007C5447">
            <w:pPr>
              <w:rPr>
                <w:sz w:val="2"/>
                <w:szCs w:val="2"/>
              </w:rPr>
            </w:pPr>
          </w:p>
        </w:tc>
        <w:tc>
          <w:tcPr>
            <w:tcW w:w="3714" w:type="dxa"/>
            <w:gridSpan w:val="3"/>
            <w:shd w:val="clear" w:color="auto" w:fill="F7C9AC"/>
          </w:tcPr>
          <w:p w:rsidR="007C5447" w:rsidRDefault="00F6308C">
            <w:pPr>
              <w:pStyle w:val="TableParagraph"/>
              <w:spacing w:before="70"/>
              <w:ind w:left="1468" w:right="1446"/>
              <w:jc w:val="center"/>
              <w:rPr>
                <w:b/>
                <w:sz w:val="20"/>
              </w:rPr>
            </w:pPr>
            <w:r>
              <w:rPr>
                <w:b/>
                <w:sz w:val="20"/>
              </w:rPr>
              <w:t>TO 2013</w:t>
            </w:r>
          </w:p>
        </w:tc>
        <w:tc>
          <w:tcPr>
            <w:tcW w:w="3607" w:type="dxa"/>
            <w:gridSpan w:val="3"/>
            <w:shd w:val="clear" w:color="auto" w:fill="F7C9AC"/>
          </w:tcPr>
          <w:p w:rsidR="007C5447" w:rsidRDefault="00F6308C">
            <w:pPr>
              <w:pStyle w:val="TableParagraph"/>
              <w:spacing w:before="70"/>
              <w:ind w:left="1204" w:right="1187"/>
              <w:jc w:val="center"/>
              <w:rPr>
                <w:b/>
                <w:sz w:val="20"/>
              </w:rPr>
            </w:pPr>
            <w:r>
              <w:rPr>
                <w:b/>
                <w:sz w:val="20"/>
              </w:rPr>
              <w:t>TANGEDCO</w:t>
            </w:r>
          </w:p>
        </w:tc>
        <w:tc>
          <w:tcPr>
            <w:tcW w:w="3797" w:type="dxa"/>
            <w:gridSpan w:val="3"/>
            <w:shd w:val="clear" w:color="auto" w:fill="F7C9AC"/>
          </w:tcPr>
          <w:p w:rsidR="007C5447" w:rsidRDefault="00F6308C">
            <w:pPr>
              <w:pStyle w:val="TableParagraph"/>
              <w:spacing w:before="70"/>
              <w:ind w:left="907"/>
              <w:jc w:val="left"/>
              <w:rPr>
                <w:b/>
                <w:sz w:val="20"/>
              </w:rPr>
            </w:pPr>
            <w:r>
              <w:rPr>
                <w:b/>
                <w:sz w:val="20"/>
              </w:rPr>
              <w:t>Approved after true up</w:t>
            </w:r>
          </w:p>
        </w:tc>
      </w:tr>
      <w:tr w:rsidR="007C5447">
        <w:trPr>
          <w:trHeight w:val="489"/>
        </w:trPr>
        <w:tc>
          <w:tcPr>
            <w:tcW w:w="3089" w:type="dxa"/>
            <w:vMerge/>
            <w:tcBorders>
              <w:top w:val="nil"/>
            </w:tcBorders>
            <w:shd w:val="clear" w:color="auto" w:fill="F7C9AC"/>
          </w:tcPr>
          <w:p w:rsidR="007C5447" w:rsidRDefault="007C5447">
            <w:pPr>
              <w:rPr>
                <w:sz w:val="2"/>
                <w:szCs w:val="2"/>
              </w:rPr>
            </w:pPr>
          </w:p>
        </w:tc>
        <w:tc>
          <w:tcPr>
            <w:tcW w:w="1140" w:type="dxa"/>
            <w:shd w:val="clear" w:color="auto" w:fill="F7C9AC"/>
          </w:tcPr>
          <w:p w:rsidR="007C5447" w:rsidRDefault="00F6308C">
            <w:pPr>
              <w:pStyle w:val="TableParagraph"/>
              <w:spacing w:before="14" w:line="230" w:lineRule="atLeast"/>
              <w:ind w:left="340" w:right="125" w:hanging="178"/>
              <w:jc w:val="left"/>
              <w:rPr>
                <w:b/>
                <w:sz w:val="20"/>
              </w:rPr>
            </w:pPr>
            <w:r>
              <w:rPr>
                <w:b/>
                <w:sz w:val="20"/>
              </w:rPr>
              <w:t>Quantum (MU)</w:t>
            </w:r>
          </w:p>
        </w:tc>
        <w:tc>
          <w:tcPr>
            <w:tcW w:w="1300" w:type="dxa"/>
            <w:shd w:val="clear" w:color="auto" w:fill="F7C9AC"/>
          </w:tcPr>
          <w:p w:rsidR="007C5447" w:rsidRDefault="00F6308C">
            <w:pPr>
              <w:pStyle w:val="TableParagraph"/>
              <w:spacing w:before="14" w:line="230" w:lineRule="atLeast"/>
              <w:ind w:left="334" w:right="247" w:firstLine="124"/>
              <w:jc w:val="left"/>
              <w:rPr>
                <w:b/>
                <w:sz w:val="20"/>
              </w:rPr>
            </w:pPr>
            <w:r>
              <w:rPr>
                <w:b/>
                <w:sz w:val="20"/>
              </w:rPr>
              <w:t>Cost (Rs. Cr)</w:t>
            </w:r>
          </w:p>
        </w:tc>
        <w:tc>
          <w:tcPr>
            <w:tcW w:w="1274" w:type="dxa"/>
            <w:shd w:val="clear" w:color="auto" w:fill="F7C9AC"/>
          </w:tcPr>
          <w:p w:rsidR="007C5447" w:rsidRDefault="00F6308C">
            <w:pPr>
              <w:pStyle w:val="TableParagraph"/>
              <w:spacing w:before="14" w:line="230" w:lineRule="atLeast"/>
              <w:ind w:left="227" w:firstLine="216"/>
              <w:jc w:val="left"/>
              <w:rPr>
                <w:b/>
                <w:sz w:val="20"/>
              </w:rPr>
            </w:pPr>
            <w:r>
              <w:rPr>
                <w:b/>
                <w:sz w:val="20"/>
              </w:rPr>
              <w:t xml:space="preserve">Rate </w:t>
            </w:r>
            <w:r>
              <w:rPr>
                <w:b/>
                <w:w w:val="95"/>
                <w:sz w:val="20"/>
              </w:rPr>
              <w:t>(Rs/kWh)</w:t>
            </w:r>
          </w:p>
        </w:tc>
        <w:tc>
          <w:tcPr>
            <w:tcW w:w="1320" w:type="dxa"/>
            <w:shd w:val="clear" w:color="auto" w:fill="F7C9AC"/>
          </w:tcPr>
          <w:p w:rsidR="007C5447" w:rsidRDefault="00F6308C">
            <w:pPr>
              <w:pStyle w:val="TableParagraph"/>
              <w:spacing w:before="14" w:line="230" w:lineRule="atLeast"/>
              <w:ind w:left="433" w:right="212" w:hanging="178"/>
              <w:jc w:val="left"/>
              <w:rPr>
                <w:b/>
                <w:sz w:val="20"/>
              </w:rPr>
            </w:pPr>
            <w:r>
              <w:rPr>
                <w:b/>
                <w:sz w:val="20"/>
              </w:rPr>
              <w:t>Quantum (MU)</w:t>
            </w:r>
          </w:p>
        </w:tc>
        <w:tc>
          <w:tcPr>
            <w:tcW w:w="1200" w:type="dxa"/>
            <w:shd w:val="clear" w:color="auto" w:fill="F7C9AC"/>
          </w:tcPr>
          <w:p w:rsidR="007C5447" w:rsidRDefault="00F6308C">
            <w:pPr>
              <w:pStyle w:val="TableParagraph"/>
              <w:spacing w:before="14" w:line="230" w:lineRule="atLeast"/>
              <w:ind w:left="261" w:right="220" w:firstLine="151"/>
              <w:jc w:val="left"/>
              <w:rPr>
                <w:b/>
                <w:sz w:val="20"/>
              </w:rPr>
            </w:pPr>
            <w:r>
              <w:rPr>
                <w:b/>
                <w:sz w:val="20"/>
              </w:rPr>
              <w:t>Cost (Rs. Cr)</w:t>
            </w:r>
          </w:p>
        </w:tc>
        <w:tc>
          <w:tcPr>
            <w:tcW w:w="1087" w:type="dxa"/>
            <w:shd w:val="clear" w:color="auto" w:fill="F7C9AC"/>
          </w:tcPr>
          <w:p w:rsidR="007C5447" w:rsidRDefault="00F6308C">
            <w:pPr>
              <w:pStyle w:val="TableParagraph"/>
              <w:spacing w:before="14" w:line="230" w:lineRule="atLeast"/>
              <w:ind w:left="134" w:right="104" w:firstLine="216"/>
              <w:jc w:val="left"/>
              <w:rPr>
                <w:b/>
                <w:sz w:val="20"/>
              </w:rPr>
            </w:pPr>
            <w:r>
              <w:rPr>
                <w:b/>
                <w:sz w:val="20"/>
              </w:rPr>
              <w:t xml:space="preserve">Rate </w:t>
            </w:r>
            <w:r>
              <w:rPr>
                <w:b/>
                <w:w w:val="95"/>
                <w:sz w:val="20"/>
              </w:rPr>
              <w:t>(Rs/kWh)</w:t>
            </w:r>
          </w:p>
        </w:tc>
        <w:tc>
          <w:tcPr>
            <w:tcW w:w="1354" w:type="dxa"/>
            <w:shd w:val="clear" w:color="auto" w:fill="F7C9AC"/>
          </w:tcPr>
          <w:p w:rsidR="007C5447" w:rsidRDefault="00F6308C">
            <w:pPr>
              <w:pStyle w:val="TableParagraph"/>
              <w:spacing w:before="14" w:line="230" w:lineRule="atLeast"/>
              <w:ind w:left="451" w:right="228" w:hanging="178"/>
              <w:jc w:val="left"/>
              <w:rPr>
                <w:b/>
                <w:sz w:val="20"/>
              </w:rPr>
            </w:pPr>
            <w:r>
              <w:rPr>
                <w:b/>
                <w:sz w:val="20"/>
              </w:rPr>
              <w:t>Quantum (MU)</w:t>
            </w:r>
          </w:p>
        </w:tc>
        <w:tc>
          <w:tcPr>
            <w:tcW w:w="1387" w:type="dxa"/>
            <w:shd w:val="clear" w:color="auto" w:fill="F7C9AC"/>
          </w:tcPr>
          <w:p w:rsidR="007C5447" w:rsidRDefault="00F6308C">
            <w:pPr>
              <w:pStyle w:val="TableParagraph"/>
              <w:spacing w:before="14" w:line="230" w:lineRule="atLeast"/>
              <w:ind w:left="355" w:right="211" w:hanging="104"/>
              <w:jc w:val="left"/>
              <w:rPr>
                <w:b/>
                <w:sz w:val="20"/>
              </w:rPr>
            </w:pPr>
            <w:r>
              <w:rPr>
                <w:b/>
                <w:sz w:val="20"/>
              </w:rPr>
              <w:t>Total Cost (Rs. Cr)</w:t>
            </w:r>
          </w:p>
        </w:tc>
        <w:tc>
          <w:tcPr>
            <w:tcW w:w="1056" w:type="dxa"/>
            <w:shd w:val="clear" w:color="auto" w:fill="F7C9AC"/>
          </w:tcPr>
          <w:p w:rsidR="007C5447" w:rsidRDefault="00F6308C">
            <w:pPr>
              <w:pStyle w:val="TableParagraph"/>
              <w:spacing w:before="14" w:line="230" w:lineRule="atLeast"/>
              <w:ind w:left="117" w:right="77" w:firstLine="216"/>
              <w:jc w:val="left"/>
              <w:rPr>
                <w:b/>
                <w:sz w:val="20"/>
              </w:rPr>
            </w:pPr>
            <w:r>
              <w:rPr>
                <w:b/>
                <w:sz w:val="20"/>
              </w:rPr>
              <w:t xml:space="preserve">Rate </w:t>
            </w:r>
            <w:r>
              <w:rPr>
                <w:b/>
                <w:w w:val="95"/>
                <w:sz w:val="20"/>
              </w:rPr>
              <w:t>(Rs/kWh)</w:t>
            </w:r>
          </w:p>
        </w:tc>
      </w:tr>
      <w:tr w:rsidR="007C5447">
        <w:trPr>
          <w:trHeight w:val="369"/>
        </w:trPr>
        <w:tc>
          <w:tcPr>
            <w:tcW w:w="3089" w:type="dxa"/>
          </w:tcPr>
          <w:p w:rsidR="007C5447" w:rsidRDefault="00F6308C">
            <w:pPr>
              <w:pStyle w:val="TableParagraph"/>
              <w:spacing w:before="70"/>
              <w:ind w:left="112"/>
              <w:jc w:val="left"/>
              <w:rPr>
                <w:sz w:val="20"/>
              </w:rPr>
            </w:pPr>
            <w:r>
              <w:rPr>
                <w:sz w:val="20"/>
              </w:rPr>
              <w:t>Tirunevali HEP</w:t>
            </w:r>
          </w:p>
        </w:tc>
        <w:tc>
          <w:tcPr>
            <w:tcW w:w="1140" w:type="dxa"/>
          </w:tcPr>
          <w:p w:rsidR="007C5447" w:rsidRDefault="007C5447">
            <w:pPr>
              <w:pStyle w:val="TableParagraph"/>
              <w:jc w:val="left"/>
              <w:rPr>
                <w:sz w:val="20"/>
              </w:rPr>
            </w:pPr>
          </w:p>
        </w:tc>
        <w:tc>
          <w:tcPr>
            <w:tcW w:w="1300" w:type="dxa"/>
          </w:tcPr>
          <w:p w:rsidR="007C5447" w:rsidRDefault="00F6308C">
            <w:pPr>
              <w:pStyle w:val="TableParagraph"/>
              <w:spacing w:before="70"/>
              <w:ind w:right="89"/>
              <w:rPr>
                <w:sz w:val="20"/>
              </w:rPr>
            </w:pPr>
            <w:r>
              <w:rPr>
                <w:sz w:val="20"/>
              </w:rPr>
              <w:t>119</w:t>
            </w: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0"/>
              <w:ind w:right="89"/>
              <w:rPr>
                <w:sz w:val="20"/>
              </w:rPr>
            </w:pPr>
            <w:r>
              <w:rPr>
                <w:w w:val="95"/>
                <w:sz w:val="20"/>
              </w:rPr>
              <w:t>1,096.00</w:t>
            </w:r>
          </w:p>
        </w:tc>
        <w:tc>
          <w:tcPr>
            <w:tcW w:w="1200" w:type="dxa"/>
          </w:tcPr>
          <w:p w:rsidR="007C5447" w:rsidRDefault="00F6308C">
            <w:pPr>
              <w:pStyle w:val="TableParagraph"/>
              <w:spacing w:before="70"/>
              <w:ind w:right="91"/>
              <w:rPr>
                <w:sz w:val="20"/>
              </w:rPr>
            </w:pPr>
            <w:r>
              <w:rPr>
                <w:w w:val="95"/>
                <w:sz w:val="20"/>
              </w:rPr>
              <w:t>194.97</w:t>
            </w:r>
          </w:p>
        </w:tc>
        <w:tc>
          <w:tcPr>
            <w:tcW w:w="1087" w:type="dxa"/>
          </w:tcPr>
          <w:p w:rsidR="007C5447" w:rsidRDefault="00F6308C">
            <w:pPr>
              <w:pStyle w:val="TableParagraph"/>
              <w:spacing w:before="70"/>
              <w:ind w:right="90"/>
              <w:rPr>
                <w:sz w:val="20"/>
              </w:rPr>
            </w:pPr>
            <w:r>
              <w:rPr>
                <w:sz w:val="20"/>
              </w:rPr>
              <w:t>1.78</w:t>
            </w:r>
          </w:p>
        </w:tc>
        <w:tc>
          <w:tcPr>
            <w:tcW w:w="1354" w:type="dxa"/>
          </w:tcPr>
          <w:p w:rsidR="007C5447" w:rsidRDefault="00F6308C">
            <w:pPr>
              <w:pStyle w:val="TableParagraph"/>
              <w:spacing w:before="70"/>
              <w:ind w:right="89"/>
              <w:rPr>
                <w:sz w:val="20"/>
              </w:rPr>
            </w:pPr>
            <w:r>
              <w:rPr>
                <w:w w:val="95"/>
                <w:sz w:val="20"/>
              </w:rPr>
              <w:t>1,096.00</w:t>
            </w:r>
          </w:p>
        </w:tc>
        <w:tc>
          <w:tcPr>
            <w:tcW w:w="1387" w:type="dxa"/>
          </w:tcPr>
          <w:p w:rsidR="007C5447" w:rsidRDefault="00F6308C">
            <w:pPr>
              <w:pStyle w:val="TableParagraph"/>
              <w:spacing w:before="70"/>
              <w:ind w:right="90"/>
              <w:rPr>
                <w:sz w:val="20"/>
              </w:rPr>
            </w:pPr>
            <w:r>
              <w:rPr>
                <w:w w:val="95"/>
                <w:sz w:val="20"/>
              </w:rPr>
              <w:t>144.08</w:t>
            </w:r>
          </w:p>
        </w:tc>
        <w:tc>
          <w:tcPr>
            <w:tcW w:w="1056" w:type="dxa"/>
          </w:tcPr>
          <w:p w:rsidR="007C5447" w:rsidRDefault="00F6308C">
            <w:pPr>
              <w:pStyle w:val="TableParagraph"/>
              <w:spacing w:before="70"/>
              <w:ind w:right="90"/>
              <w:rPr>
                <w:sz w:val="20"/>
              </w:rPr>
            </w:pPr>
            <w:r>
              <w:rPr>
                <w:sz w:val="20"/>
              </w:rPr>
              <w:t>1.31</w:t>
            </w:r>
          </w:p>
        </w:tc>
      </w:tr>
      <w:tr w:rsidR="007C5447">
        <w:trPr>
          <w:trHeight w:val="371"/>
        </w:trPr>
        <w:tc>
          <w:tcPr>
            <w:tcW w:w="3089" w:type="dxa"/>
          </w:tcPr>
          <w:p w:rsidR="007C5447" w:rsidRDefault="00F6308C">
            <w:pPr>
              <w:pStyle w:val="TableParagraph"/>
              <w:spacing w:before="70"/>
              <w:ind w:left="1017"/>
              <w:jc w:val="left"/>
              <w:rPr>
                <w:b/>
                <w:sz w:val="20"/>
              </w:rPr>
            </w:pPr>
            <w:r>
              <w:rPr>
                <w:b/>
                <w:sz w:val="20"/>
              </w:rPr>
              <w:t>Total Hydro</w:t>
            </w:r>
          </w:p>
        </w:tc>
        <w:tc>
          <w:tcPr>
            <w:tcW w:w="1140" w:type="dxa"/>
          </w:tcPr>
          <w:p w:rsidR="007C5447" w:rsidRDefault="00F6308C">
            <w:pPr>
              <w:pStyle w:val="TableParagraph"/>
              <w:spacing w:before="70"/>
              <w:ind w:right="88"/>
              <w:rPr>
                <w:b/>
                <w:sz w:val="20"/>
              </w:rPr>
            </w:pPr>
            <w:r>
              <w:rPr>
                <w:b/>
                <w:sz w:val="20"/>
              </w:rPr>
              <w:t>4844</w:t>
            </w:r>
          </w:p>
        </w:tc>
        <w:tc>
          <w:tcPr>
            <w:tcW w:w="1300" w:type="dxa"/>
          </w:tcPr>
          <w:p w:rsidR="007C5447" w:rsidRDefault="00F6308C">
            <w:pPr>
              <w:pStyle w:val="TableParagraph"/>
              <w:spacing w:before="70"/>
              <w:ind w:right="94"/>
              <w:rPr>
                <w:b/>
                <w:sz w:val="20"/>
              </w:rPr>
            </w:pPr>
            <w:r>
              <w:rPr>
                <w:b/>
                <w:w w:val="95"/>
                <w:sz w:val="20"/>
              </w:rPr>
              <w:t>738.00</w:t>
            </w:r>
          </w:p>
        </w:tc>
        <w:tc>
          <w:tcPr>
            <w:tcW w:w="1274" w:type="dxa"/>
          </w:tcPr>
          <w:p w:rsidR="007C5447" w:rsidRDefault="00F6308C">
            <w:pPr>
              <w:pStyle w:val="TableParagraph"/>
              <w:spacing w:before="70"/>
              <w:ind w:right="88"/>
              <w:rPr>
                <w:b/>
                <w:sz w:val="20"/>
              </w:rPr>
            </w:pPr>
            <w:r>
              <w:rPr>
                <w:b/>
                <w:sz w:val="20"/>
              </w:rPr>
              <w:t>1.52</w:t>
            </w:r>
          </w:p>
        </w:tc>
        <w:tc>
          <w:tcPr>
            <w:tcW w:w="1320" w:type="dxa"/>
          </w:tcPr>
          <w:p w:rsidR="007C5447" w:rsidRDefault="00F6308C">
            <w:pPr>
              <w:pStyle w:val="TableParagraph"/>
              <w:spacing w:before="70"/>
              <w:ind w:right="89"/>
              <w:rPr>
                <w:b/>
                <w:sz w:val="20"/>
              </w:rPr>
            </w:pPr>
            <w:r>
              <w:rPr>
                <w:b/>
                <w:w w:val="95"/>
                <w:sz w:val="20"/>
              </w:rPr>
              <w:t>4,438.00</w:t>
            </w:r>
          </w:p>
        </w:tc>
        <w:tc>
          <w:tcPr>
            <w:tcW w:w="1200" w:type="dxa"/>
          </w:tcPr>
          <w:p w:rsidR="007C5447" w:rsidRDefault="00F6308C">
            <w:pPr>
              <w:pStyle w:val="TableParagraph"/>
              <w:spacing w:before="70"/>
              <w:ind w:right="89"/>
              <w:rPr>
                <w:b/>
                <w:sz w:val="20"/>
              </w:rPr>
            </w:pPr>
            <w:r>
              <w:rPr>
                <w:b/>
                <w:w w:val="95"/>
                <w:sz w:val="20"/>
              </w:rPr>
              <w:t>1,442.82</w:t>
            </w:r>
          </w:p>
        </w:tc>
        <w:tc>
          <w:tcPr>
            <w:tcW w:w="1087" w:type="dxa"/>
          </w:tcPr>
          <w:p w:rsidR="007C5447" w:rsidRDefault="00F6308C">
            <w:pPr>
              <w:pStyle w:val="TableParagraph"/>
              <w:spacing w:before="70"/>
              <w:ind w:right="90"/>
              <w:rPr>
                <w:b/>
                <w:sz w:val="20"/>
              </w:rPr>
            </w:pPr>
            <w:r>
              <w:rPr>
                <w:b/>
                <w:sz w:val="20"/>
              </w:rPr>
              <w:t>3.25</w:t>
            </w:r>
          </w:p>
        </w:tc>
        <w:tc>
          <w:tcPr>
            <w:tcW w:w="1354" w:type="dxa"/>
          </w:tcPr>
          <w:p w:rsidR="007C5447" w:rsidRDefault="00F6308C">
            <w:pPr>
              <w:pStyle w:val="TableParagraph"/>
              <w:spacing w:before="70"/>
              <w:ind w:right="90"/>
              <w:rPr>
                <w:b/>
                <w:sz w:val="20"/>
              </w:rPr>
            </w:pPr>
            <w:r>
              <w:rPr>
                <w:b/>
                <w:sz w:val="20"/>
              </w:rPr>
              <w:t>4,025.00</w:t>
            </w:r>
          </w:p>
        </w:tc>
        <w:tc>
          <w:tcPr>
            <w:tcW w:w="1387" w:type="dxa"/>
          </w:tcPr>
          <w:p w:rsidR="007C5447" w:rsidRDefault="00F6308C">
            <w:pPr>
              <w:pStyle w:val="TableParagraph"/>
              <w:spacing w:before="70"/>
              <w:ind w:right="90"/>
              <w:rPr>
                <w:b/>
                <w:sz w:val="20"/>
              </w:rPr>
            </w:pPr>
            <w:r>
              <w:rPr>
                <w:b/>
                <w:w w:val="95"/>
                <w:sz w:val="20"/>
              </w:rPr>
              <w:t>789.74</w:t>
            </w:r>
          </w:p>
        </w:tc>
        <w:tc>
          <w:tcPr>
            <w:tcW w:w="1056" w:type="dxa"/>
          </w:tcPr>
          <w:p w:rsidR="007C5447" w:rsidRDefault="00F6308C">
            <w:pPr>
              <w:pStyle w:val="TableParagraph"/>
              <w:spacing w:before="70"/>
              <w:ind w:right="88"/>
              <w:rPr>
                <w:b/>
                <w:sz w:val="20"/>
              </w:rPr>
            </w:pPr>
            <w:r>
              <w:rPr>
                <w:b/>
                <w:sz w:val="20"/>
              </w:rPr>
              <w:t>1.96</w:t>
            </w:r>
          </w:p>
        </w:tc>
      </w:tr>
      <w:tr w:rsidR="007C5447">
        <w:trPr>
          <w:trHeight w:val="369"/>
        </w:trPr>
        <w:tc>
          <w:tcPr>
            <w:tcW w:w="3089" w:type="dxa"/>
          </w:tcPr>
          <w:p w:rsidR="007C5447" w:rsidRDefault="00F6308C">
            <w:pPr>
              <w:pStyle w:val="TableParagraph"/>
              <w:spacing w:before="70"/>
              <w:ind w:left="112"/>
              <w:jc w:val="left"/>
              <w:rPr>
                <w:b/>
                <w:sz w:val="20"/>
              </w:rPr>
            </w:pPr>
            <w:r>
              <w:rPr>
                <w:b/>
                <w:sz w:val="20"/>
              </w:rPr>
              <w:t>Wind</w:t>
            </w:r>
          </w:p>
        </w:tc>
        <w:tc>
          <w:tcPr>
            <w:tcW w:w="1140" w:type="dxa"/>
          </w:tcPr>
          <w:p w:rsidR="007C5447" w:rsidRDefault="00F6308C">
            <w:pPr>
              <w:pStyle w:val="TableParagraph"/>
              <w:spacing w:before="70"/>
              <w:ind w:right="93"/>
              <w:rPr>
                <w:sz w:val="20"/>
              </w:rPr>
            </w:pPr>
            <w:r>
              <w:rPr>
                <w:w w:val="95"/>
                <w:sz w:val="20"/>
              </w:rPr>
              <w:t>12.00</w:t>
            </w:r>
          </w:p>
        </w:tc>
        <w:tc>
          <w:tcPr>
            <w:tcW w:w="1300" w:type="dxa"/>
          </w:tcPr>
          <w:p w:rsidR="007C5447" w:rsidRDefault="00F6308C">
            <w:pPr>
              <w:pStyle w:val="TableParagraph"/>
              <w:spacing w:before="70"/>
              <w:ind w:right="94"/>
              <w:rPr>
                <w:sz w:val="20"/>
              </w:rPr>
            </w:pPr>
            <w:r>
              <w:rPr>
                <w:sz w:val="20"/>
              </w:rPr>
              <w:t>3.00</w:t>
            </w:r>
          </w:p>
        </w:tc>
        <w:tc>
          <w:tcPr>
            <w:tcW w:w="1274" w:type="dxa"/>
          </w:tcPr>
          <w:p w:rsidR="007C5447" w:rsidRDefault="00F6308C">
            <w:pPr>
              <w:pStyle w:val="TableParagraph"/>
              <w:spacing w:before="70"/>
              <w:ind w:right="88"/>
              <w:rPr>
                <w:sz w:val="20"/>
              </w:rPr>
            </w:pPr>
            <w:r>
              <w:rPr>
                <w:sz w:val="20"/>
              </w:rPr>
              <w:t>2.50</w:t>
            </w:r>
          </w:p>
        </w:tc>
        <w:tc>
          <w:tcPr>
            <w:tcW w:w="1320" w:type="dxa"/>
          </w:tcPr>
          <w:p w:rsidR="007C5447" w:rsidRDefault="00F6308C">
            <w:pPr>
              <w:pStyle w:val="TableParagraph"/>
              <w:spacing w:before="70"/>
              <w:ind w:right="90"/>
              <w:rPr>
                <w:sz w:val="20"/>
              </w:rPr>
            </w:pPr>
            <w:r>
              <w:rPr>
                <w:sz w:val="20"/>
              </w:rPr>
              <w:t>6.79</w:t>
            </w:r>
          </w:p>
        </w:tc>
        <w:tc>
          <w:tcPr>
            <w:tcW w:w="1200" w:type="dxa"/>
          </w:tcPr>
          <w:p w:rsidR="007C5447" w:rsidRDefault="00F6308C">
            <w:pPr>
              <w:pStyle w:val="TableParagraph"/>
              <w:spacing w:before="70"/>
              <w:ind w:right="90"/>
              <w:rPr>
                <w:sz w:val="20"/>
              </w:rPr>
            </w:pPr>
            <w:r>
              <w:rPr>
                <w:sz w:val="20"/>
              </w:rPr>
              <w:t>2.00</w:t>
            </w:r>
          </w:p>
        </w:tc>
        <w:tc>
          <w:tcPr>
            <w:tcW w:w="1087" w:type="dxa"/>
          </w:tcPr>
          <w:p w:rsidR="007C5447" w:rsidRDefault="00F6308C">
            <w:pPr>
              <w:pStyle w:val="TableParagraph"/>
              <w:spacing w:before="70"/>
              <w:ind w:right="90"/>
              <w:rPr>
                <w:sz w:val="20"/>
              </w:rPr>
            </w:pPr>
            <w:r>
              <w:rPr>
                <w:sz w:val="20"/>
              </w:rPr>
              <w:t>2.95</w:t>
            </w:r>
          </w:p>
        </w:tc>
        <w:tc>
          <w:tcPr>
            <w:tcW w:w="1354" w:type="dxa"/>
          </w:tcPr>
          <w:p w:rsidR="007C5447" w:rsidRDefault="00F6308C">
            <w:pPr>
              <w:pStyle w:val="TableParagraph"/>
              <w:spacing w:before="70"/>
              <w:ind w:right="90"/>
              <w:rPr>
                <w:sz w:val="20"/>
              </w:rPr>
            </w:pPr>
            <w:r>
              <w:rPr>
                <w:sz w:val="20"/>
              </w:rPr>
              <w:t>6.79</w:t>
            </w:r>
          </w:p>
        </w:tc>
        <w:tc>
          <w:tcPr>
            <w:tcW w:w="1387" w:type="dxa"/>
          </w:tcPr>
          <w:p w:rsidR="007C5447" w:rsidRDefault="00F6308C">
            <w:pPr>
              <w:pStyle w:val="TableParagraph"/>
              <w:spacing w:before="70"/>
              <w:ind w:right="90"/>
              <w:rPr>
                <w:sz w:val="20"/>
              </w:rPr>
            </w:pPr>
            <w:r>
              <w:rPr>
                <w:sz w:val="20"/>
              </w:rPr>
              <w:t>2.00</w:t>
            </w:r>
          </w:p>
        </w:tc>
        <w:tc>
          <w:tcPr>
            <w:tcW w:w="1056" w:type="dxa"/>
          </w:tcPr>
          <w:p w:rsidR="007C5447" w:rsidRDefault="00F6308C">
            <w:pPr>
              <w:pStyle w:val="TableParagraph"/>
              <w:spacing w:before="70"/>
              <w:ind w:right="90"/>
              <w:rPr>
                <w:sz w:val="20"/>
              </w:rPr>
            </w:pPr>
            <w:r>
              <w:rPr>
                <w:sz w:val="20"/>
              </w:rPr>
              <w:t>2.95</w:t>
            </w:r>
          </w:p>
        </w:tc>
      </w:tr>
      <w:tr w:rsidR="007C5447">
        <w:trPr>
          <w:trHeight w:val="369"/>
        </w:trPr>
        <w:tc>
          <w:tcPr>
            <w:tcW w:w="3089" w:type="dxa"/>
          </w:tcPr>
          <w:p w:rsidR="007C5447" w:rsidRDefault="00F6308C">
            <w:pPr>
              <w:pStyle w:val="TableParagraph"/>
              <w:spacing w:before="70"/>
              <w:ind w:left="112"/>
              <w:jc w:val="left"/>
              <w:rPr>
                <w:b/>
                <w:sz w:val="20"/>
              </w:rPr>
            </w:pPr>
            <w:r>
              <w:rPr>
                <w:b/>
                <w:sz w:val="20"/>
              </w:rPr>
              <w:t>Total from Own Generating</w:t>
            </w:r>
          </w:p>
        </w:tc>
        <w:tc>
          <w:tcPr>
            <w:tcW w:w="1140" w:type="dxa"/>
          </w:tcPr>
          <w:p w:rsidR="007C5447" w:rsidRDefault="00F6308C">
            <w:pPr>
              <w:pStyle w:val="TableParagraph"/>
              <w:spacing w:before="70"/>
              <w:ind w:right="93"/>
              <w:rPr>
                <w:b/>
                <w:sz w:val="20"/>
              </w:rPr>
            </w:pPr>
            <w:r>
              <w:rPr>
                <w:b/>
                <w:w w:val="95"/>
                <w:sz w:val="20"/>
              </w:rPr>
              <w:t>26,631.00</w:t>
            </w:r>
          </w:p>
        </w:tc>
        <w:tc>
          <w:tcPr>
            <w:tcW w:w="1300" w:type="dxa"/>
          </w:tcPr>
          <w:p w:rsidR="007C5447" w:rsidRDefault="00F6308C">
            <w:pPr>
              <w:pStyle w:val="TableParagraph"/>
              <w:spacing w:before="70"/>
              <w:ind w:right="92"/>
              <w:rPr>
                <w:b/>
                <w:sz w:val="20"/>
              </w:rPr>
            </w:pPr>
            <w:r>
              <w:rPr>
                <w:b/>
                <w:w w:val="95"/>
                <w:sz w:val="20"/>
              </w:rPr>
              <w:t>9,931.00</w:t>
            </w:r>
          </w:p>
        </w:tc>
        <w:tc>
          <w:tcPr>
            <w:tcW w:w="1274" w:type="dxa"/>
          </w:tcPr>
          <w:p w:rsidR="007C5447" w:rsidRDefault="00F6308C">
            <w:pPr>
              <w:pStyle w:val="TableParagraph"/>
              <w:spacing w:before="70"/>
              <w:ind w:right="88"/>
              <w:rPr>
                <w:b/>
                <w:sz w:val="20"/>
              </w:rPr>
            </w:pPr>
            <w:r>
              <w:rPr>
                <w:b/>
                <w:sz w:val="20"/>
              </w:rPr>
              <w:t>3.73</w:t>
            </w:r>
          </w:p>
        </w:tc>
        <w:tc>
          <w:tcPr>
            <w:tcW w:w="1320" w:type="dxa"/>
          </w:tcPr>
          <w:p w:rsidR="007C5447" w:rsidRDefault="00F6308C">
            <w:pPr>
              <w:pStyle w:val="TableParagraph"/>
              <w:spacing w:before="70"/>
              <w:ind w:right="91"/>
              <w:rPr>
                <w:b/>
                <w:sz w:val="20"/>
              </w:rPr>
            </w:pPr>
            <w:r>
              <w:rPr>
                <w:b/>
                <w:w w:val="95"/>
                <w:sz w:val="20"/>
              </w:rPr>
              <w:t>29,552.79</w:t>
            </w:r>
          </w:p>
        </w:tc>
        <w:tc>
          <w:tcPr>
            <w:tcW w:w="1200" w:type="dxa"/>
          </w:tcPr>
          <w:p w:rsidR="007C5447" w:rsidRDefault="00F6308C">
            <w:pPr>
              <w:pStyle w:val="TableParagraph"/>
              <w:spacing w:before="70"/>
              <w:ind w:right="91"/>
              <w:rPr>
                <w:b/>
                <w:sz w:val="20"/>
              </w:rPr>
            </w:pPr>
            <w:r>
              <w:rPr>
                <w:b/>
                <w:w w:val="95"/>
                <w:sz w:val="20"/>
              </w:rPr>
              <w:t>16,310.09</w:t>
            </w:r>
          </w:p>
        </w:tc>
        <w:tc>
          <w:tcPr>
            <w:tcW w:w="1087" w:type="dxa"/>
          </w:tcPr>
          <w:p w:rsidR="007C5447" w:rsidRDefault="00F6308C">
            <w:pPr>
              <w:pStyle w:val="TableParagraph"/>
              <w:spacing w:before="70"/>
              <w:ind w:right="90"/>
              <w:rPr>
                <w:b/>
                <w:sz w:val="20"/>
              </w:rPr>
            </w:pPr>
            <w:r>
              <w:rPr>
                <w:b/>
                <w:sz w:val="20"/>
              </w:rPr>
              <w:t>5.52</w:t>
            </w:r>
          </w:p>
        </w:tc>
        <w:tc>
          <w:tcPr>
            <w:tcW w:w="1354" w:type="dxa"/>
          </w:tcPr>
          <w:p w:rsidR="007C5447" w:rsidRDefault="00F6308C">
            <w:pPr>
              <w:pStyle w:val="TableParagraph"/>
              <w:spacing w:before="70"/>
              <w:ind w:right="91"/>
              <w:rPr>
                <w:b/>
                <w:sz w:val="20"/>
              </w:rPr>
            </w:pPr>
            <w:r>
              <w:rPr>
                <w:b/>
                <w:w w:val="95"/>
                <w:sz w:val="20"/>
              </w:rPr>
              <w:t>29,139.79</w:t>
            </w:r>
          </w:p>
        </w:tc>
        <w:tc>
          <w:tcPr>
            <w:tcW w:w="1387" w:type="dxa"/>
          </w:tcPr>
          <w:p w:rsidR="007C5447" w:rsidRDefault="00F6308C">
            <w:pPr>
              <w:pStyle w:val="TableParagraph"/>
              <w:spacing w:before="70"/>
              <w:ind w:right="90"/>
              <w:rPr>
                <w:b/>
                <w:sz w:val="20"/>
              </w:rPr>
            </w:pPr>
            <w:r>
              <w:rPr>
                <w:b/>
                <w:w w:val="95"/>
                <w:sz w:val="20"/>
              </w:rPr>
              <w:t>13,753.94</w:t>
            </w:r>
          </w:p>
        </w:tc>
        <w:tc>
          <w:tcPr>
            <w:tcW w:w="1056" w:type="dxa"/>
          </w:tcPr>
          <w:p w:rsidR="007C5447" w:rsidRDefault="00F6308C">
            <w:pPr>
              <w:pStyle w:val="TableParagraph"/>
              <w:spacing w:before="70"/>
              <w:ind w:right="88"/>
              <w:rPr>
                <w:b/>
                <w:sz w:val="20"/>
              </w:rPr>
            </w:pPr>
            <w:r>
              <w:rPr>
                <w:b/>
                <w:sz w:val="20"/>
              </w:rPr>
              <w:t>4.72</w:t>
            </w:r>
          </w:p>
        </w:tc>
      </w:tr>
      <w:tr w:rsidR="007C5447">
        <w:trPr>
          <w:trHeight w:val="371"/>
        </w:trPr>
        <w:tc>
          <w:tcPr>
            <w:tcW w:w="3089" w:type="dxa"/>
          </w:tcPr>
          <w:p w:rsidR="007C5447" w:rsidRDefault="00F6308C">
            <w:pPr>
              <w:pStyle w:val="TableParagraph"/>
              <w:spacing w:before="70"/>
              <w:ind w:left="112"/>
              <w:jc w:val="left"/>
              <w:rPr>
                <w:b/>
                <w:sz w:val="20"/>
              </w:rPr>
            </w:pPr>
            <w:r>
              <w:rPr>
                <w:b/>
                <w:sz w:val="20"/>
              </w:rPr>
              <w:t>CGS</w:t>
            </w:r>
          </w:p>
        </w:tc>
        <w:tc>
          <w:tcPr>
            <w:tcW w:w="1140"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7C5447">
            <w:pPr>
              <w:pStyle w:val="TableParagraph"/>
              <w:jc w:val="left"/>
              <w:rPr>
                <w:sz w:val="20"/>
              </w:rPr>
            </w:pPr>
          </w:p>
        </w:tc>
        <w:tc>
          <w:tcPr>
            <w:tcW w:w="1200" w:type="dxa"/>
          </w:tcPr>
          <w:p w:rsidR="007C5447" w:rsidRDefault="007C5447">
            <w:pPr>
              <w:pStyle w:val="TableParagraph"/>
              <w:jc w:val="left"/>
              <w:rPr>
                <w:sz w:val="20"/>
              </w:rPr>
            </w:pP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NTPC SR (Ramagundam) (I&amp;II)</w:t>
            </w:r>
          </w:p>
        </w:tc>
        <w:tc>
          <w:tcPr>
            <w:tcW w:w="1140" w:type="dxa"/>
          </w:tcPr>
          <w:p w:rsidR="007C5447" w:rsidRDefault="00F6308C">
            <w:pPr>
              <w:pStyle w:val="TableParagraph"/>
              <w:spacing w:before="70"/>
              <w:ind w:right="91"/>
              <w:rPr>
                <w:sz w:val="20"/>
              </w:rPr>
            </w:pPr>
            <w:r>
              <w:rPr>
                <w:w w:val="95"/>
                <w:sz w:val="20"/>
              </w:rPr>
              <w:t>3,963.00</w:t>
            </w:r>
          </w:p>
        </w:tc>
        <w:tc>
          <w:tcPr>
            <w:tcW w:w="1300" w:type="dxa"/>
          </w:tcPr>
          <w:p w:rsidR="007C5447" w:rsidRDefault="00F6308C">
            <w:pPr>
              <w:pStyle w:val="TableParagraph"/>
              <w:spacing w:before="70"/>
              <w:ind w:right="91"/>
              <w:rPr>
                <w:sz w:val="20"/>
              </w:rPr>
            </w:pPr>
            <w:r>
              <w:rPr>
                <w:w w:val="95"/>
                <w:sz w:val="20"/>
              </w:rPr>
              <w:t>893.00</w:t>
            </w:r>
          </w:p>
        </w:tc>
        <w:tc>
          <w:tcPr>
            <w:tcW w:w="1274" w:type="dxa"/>
          </w:tcPr>
          <w:p w:rsidR="007C5447" w:rsidRDefault="00F6308C">
            <w:pPr>
              <w:pStyle w:val="TableParagraph"/>
              <w:spacing w:before="70"/>
              <w:ind w:right="86"/>
              <w:rPr>
                <w:sz w:val="20"/>
              </w:rPr>
            </w:pPr>
            <w:r>
              <w:rPr>
                <w:sz w:val="20"/>
              </w:rPr>
              <w:t>2.25</w:t>
            </w:r>
          </w:p>
        </w:tc>
        <w:tc>
          <w:tcPr>
            <w:tcW w:w="1320" w:type="dxa"/>
          </w:tcPr>
          <w:p w:rsidR="007C5447" w:rsidRDefault="00F6308C">
            <w:pPr>
              <w:pStyle w:val="TableParagraph"/>
              <w:spacing w:before="70"/>
              <w:ind w:right="89"/>
              <w:rPr>
                <w:sz w:val="20"/>
              </w:rPr>
            </w:pPr>
            <w:r>
              <w:rPr>
                <w:w w:val="95"/>
                <w:sz w:val="20"/>
              </w:rPr>
              <w:t>4,019.71</w:t>
            </w:r>
          </w:p>
        </w:tc>
        <w:tc>
          <w:tcPr>
            <w:tcW w:w="1200" w:type="dxa"/>
          </w:tcPr>
          <w:p w:rsidR="007C5447" w:rsidRDefault="00F6308C">
            <w:pPr>
              <w:pStyle w:val="TableParagraph"/>
              <w:spacing w:before="70"/>
              <w:ind w:right="89"/>
              <w:rPr>
                <w:sz w:val="20"/>
              </w:rPr>
            </w:pPr>
            <w:r>
              <w:rPr>
                <w:w w:val="95"/>
                <w:sz w:val="20"/>
              </w:rPr>
              <w:t>1,155.87</w:t>
            </w:r>
          </w:p>
        </w:tc>
        <w:tc>
          <w:tcPr>
            <w:tcW w:w="1087" w:type="dxa"/>
          </w:tcPr>
          <w:p w:rsidR="007C5447" w:rsidRDefault="00F6308C">
            <w:pPr>
              <w:pStyle w:val="TableParagraph"/>
              <w:spacing w:before="70"/>
              <w:ind w:right="90"/>
              <w:rPr>
                <w:sz w:val="20"/>
              </w:rPr>
            </w:pPr>
            <w:r>
              <w:rPr>
                <w:sz w:val="20"/>
              </w:rPr>
              <w:t>2.88</w:t>
            </w:r>
          </w:p>
        </w:tc>
        <w:tc>
          <w:tcPr>
            <w:tcW w:w="1354" w:type="dxa"/>
          </w:tcPr>
          <w:p w:rsidR="007C5447" w:rsidRDefault="00F6308C">
            <w:pPr>
              <w:pStyle w:val="TableParagraph"/>
              <w:spacing w:before="70"/>
              <w:ind w:right="89"/>
              <w:rPr>
                <w:sz w:val="20"/>
              </w:rPr>
            </w:pPr>
            <w:r>
              <w:rPr>
                <w:w w:val="95"/>
                <w:sz w:val="20"/>
              </w:rPr>
              <w:t>4,019.71</w:t>
            </w:r>
          </w:p>
        </w:tc>
        <w:tc>
          <w:tcPr>
            <w:tcW w:w="1387" w:type="dxa"/>
          </w:tcPr>
          <w:p w:rsidR="007C5447" w:rsidRDefault="00F6308C">
            <w:pPr>
              <w:pStyle w:val="TableParagraph"/>
              <w:spacing w:before="70"/>
              <w:ind w:right="88"/>
              <w:rPr>
                <w:sz w:val="20"/>
              </w:rPr>
            </w:pPr>
            <w:r>
              <w:rPr>
                <w:w w:val="95"/>
                <w:sz w:val="20"/>
              </w:rPr>
              <w:t>1,155.87</w:t>
            </w:r>
          </w:p>
        </w:tc>
        <w:tc>
          <w:tcPr>
            <w:tcW w:w="1056" w:type="dxa"/>
          </w:tcPr>
          <w:p w:rsidR="007C5447" w:rsidRDefault="00F6308C">
            <w:pPr>
              <w:pStyle w:val="TableParagraph"/>
              <w:spacing w:before="70"/>
              <w:ind w:right="90"/>
              <w:rPr>
                <w:sz w:val="20"/>
              </w:rPr>
            </w:pPr>
            <w:r>
              <w:rPr>
                <w:sz w:val="20"/>
              </w:rPr>
              <w:t>2.88</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NTPC SR (Ramagundam) III</w:t>
            </w:r>
          </w:p>
        </w:tc>
        <w:tc>
          <w:tcPr>
            <w:tcW w:w="1140" w:type="dxa"/>
          </w:tcPr>
          <w:p w:rsidR="007C5447" w:rsidRDefault="00F6308C">
            <w:pPr>
              <w:pStyle w:val="TableParagraph"/>
              <w:spacing w:before="70"/>
              <w:ind w:right="93"/>
              <w:rPr>
                <w:sz w:val="20"/>
              </w:rPr>
            </w:pPr>
            <w:r>
              <w:rPr>
                <w:w w:val="95"/>
                <w:sz w:val="20"/>
              </w:rPr>
              <w:t>991.00</w:t>
            </w:r>
          </w:p>
        </w:tc>
        <w:tc>
          <w:tcPr>
            <w:tcW w:w="1300" w:type="dxa"/>
          </w:tcPr>
          <w:p w:rsidR="007C5447" w:rsidRDefault="00F6308C">
            <w:pPr>
              <w:pStyle w:val="TableParagraph"/>
              <w:spacing w:before="70"/>
              <w:ind w:right="91"/>
              <w:rPr>
                <w:sz w:val="20"/>
              </w:rPr>
            </w:pPr>
            <w:r>
              <w:rPr>
                <w:w w:val="95"/>
                <w:sz w:val="20"/>
              </w:rPr>
              <w:t>290.00</w:t>
            </w:r>
          </w:p>
        </w:tc>
        <w:tc>
          <w:tcPr>
            <w:tcW w:w="1274" w:type="dxa"/>
          </w:tcPr>
          <w:p w:rsidR="007C5447" w:rsidRDefault="00F6308C">
            <w:pPr>
              <w:pStyle w:val="TableParagraph"/>
              <w:spacing w:before="70"/>
              <w:ind w:right="88"/>
              <w:rPr>
                <w:sz w:val="20"/>
              </w:rPr>
            </w:pPr>
            <w:r>
              <w:rPr>
                <w:sz w:val="20"/>
              </w:rPr>
              <w:t>2.93</w:t>
            </w:r>
          </w:p>
        </w:tc>
        <w:tc>
          <w:tcPr>
            <w:tcW w:w="1320" w:type="dxa"/>
          </w:tcPr>
          <w:p w:rsidR="007C5447" w:rsidRDefault="00F6308C">
            <w:pPr>
              <w:pStyle w:val="TableParagraph"/>
              <w:spacing w:before="70"/>
              <w:ind w:right="89"/>
              <w:rPr>
                <w:sz w:val="20"/>
              </w:rPr>
            </w:pPr>
            <w:r>
              <w:rPr>
                <w:w w:val="95"/>
                <w:sz w:val="20"/>
              </w:rPr>
              <w:t>1,068.75</w:t>
            </w:r>
          </w:p>
        </w:tc>
        <w:tc>
          <w:tcPr>
            <w:tcW w:w="1200" w:type="dxa"/>
          </w:tcPr>
          <w:p w:rsidR="007C5447" w:rsidRDefault="00F6308C">
            <w:pPr>
              <w:pStyle w:val="TableParagraph"/>
              <w:spacing w:before="70"/>
              <w:ind w:right="91"/>
              <w:rPr>
                <w:sz w:val="20"/>
              </w:rPr>
            </w:pPr>
            <w:r>
              <w:rPr>
                <w:w w:val="95"/>
                <w:sz w:val="20"/>
              </w:rPr>
              <w:t>341.69</w:t>
            </w:r>
          </w:p>
        </w:tc>
        <w:tc>
          <w:tcPr>
            <w:tcW w:w="1087" w:type="dxa"/>
          </w:tcPr>
          <w:p w:rsidR="007C5447" w:rsidRDefault="00F6308C">
            <w:pPr>
              <w:pStyle w:val="TableParagraph"/>
              <w:spacing w:before="70"/>
              <w:ind w:right="90"/>
              <w:rPr>
                <w:sz w:val="20"/>
              </w:rPr>
            </w:pPr>
            <w:r>
              <w:rPr>
                <w:sz w:val="20"/>
              </w:rPr>
              <w:t>3.20</w:t>
            </w:r>
          </w:p>
        </w:tc>
        <w:tc>
          <w:tcPr>
            <w:tcW w:w="1354" w:type="dxa"/>
          </w:tcPr>
          <w:p w:rsidR="007C5447" w:rsidRDefault="00F6308C">
            <w:pPr>
              <w:pStyle w:val="TableParagraph"/>
              <w:spacing w:before="70"/>
              <w:ind w:right="89"/>
              <w:rPr>
                <w:sz w:val="20"/>
              </w:rPr>
            </w:pPr>
            <w:r>
              <w:rPr>
                <w:w w:val="95"/>
                <w:sz w:val="20"/>
              </w:rPr>
              <w:t>1,068.75</w:t>
            </w:r>
          </w:p>
        </w:tc>
        <w:tc>
          <w:tcPr>
            <w:tcW w:w="1387" w:type="dxa"/>
          </w:tcPr>
          <w:p w:rsidR="007C5447" w:rsidRDefault="00F6308C">
            <w:pPr>
              <w:pStyle w:val="TableParagraph"/>
              <w:spacing w:before="70"/>
              <w:ind w:right="90"/>
              <w:rPr>
                <w:sz w:val="20"/>
              </w:rPr>
            </w:pPr>
            <w:r>
              <w:rPr>
                <w:w w:val="95"/>
                <w:sz w:val="20"/>
              </w:rPr>
              <w:t>341.69</w:t>
            </w:r>
          </w:p>
        </w:tc>
        <w:tc>
          <w:tcPr>
            <w:tcW w:w="1056" w:type="dxa"/>
          </w:tcPr>
          <w:p w:rsidR="007C5447" w:rsidRDefault="00F6308C">
            <w:pPr>
              <w:pStyle w:val="TableParagraph"/>
              <w:spacing w:before="70"/>
              <w:ind w:right="90"/>
              <w:rPr>
                <w:sz w:val="20"/>
              </w:rPr>
            </w:pPr>
            <w:r>
              <w:rPr>
                <w:sz w:val="20"/>
              </w:rPr>
              <w:t>3.20</w:t>
            </w:r>
          </w:p>
        </w:tc>
      </w:tr>
      <w:tr w:rsidR="007C5447">
        <w:trPr>
          <w:trHeight w:val="371"/>
        </w:trPr>
        <w:tc>
          <w:tcPr>
            <w:tcW w:w="3089" w:type="dxa"/>
            <w:tcBorders>
              <w:left w:val="single" w:sz="8" w:space="0" w:color="000000"/>
            </w:tcBorders>
          </w:tcPr>
          <w:p w:rsidR="007C5447" w:rsidRDefault="00F6308C">
            <w:pPr>
              <w:pStyle w:val="TableParagraph"/>
              <w:spacing w:before="70"/>
              <w:ind w:left="107"/>
              <w:jc w:val="left"/>
              <w:rPr>
                <w:sz w:val="20"/>
              </w:rPr>
            </w:pPr>
            <w:r>
              <w:rPr>
                <w:sz w:val="20"/>
              </w:rPr>
              <w:t>NLC TS - I</w:t>
            </w:r>
          </w:p>
        </w:tc>
        <w:tc>
          <w:tcPr>
            <w:tcW w:w="1140" w:type="dxa"/>
          </w:tcPr>
          <w:p w:rsidR="007C5447" w:rsidRDefault="00F6308C">
            <w:pPr>
              <w:pStyle w:val="TableParagraph"/>
              <w:spacing w:before="70"/>
              <w:ind w:right="91"/>
              <w:rPr>
                <w:sz w:val="20"/>
              </w:rPr>
            </w:pPr>
            <w:r>
              <w:rPr>
                <w:w w:val="95"/>
                <w:sz w:val="20"/>
              </w:rPr>
              <w:t>3,478.00</w:t>
            </w:r>
          </w:p>
        </w:tc>
        <w:tc>
          <w:tcPr>
            <w:tcW w:w="1300" w:type="dxa"/>
          </w:tcPr>
          <w:p w:rsidR="007C5447" w:rsidRDefault="00F6308C">
            <w:pPr>
              <w:pStyle w:val="TableParagraph"/>
              <w:spacing w:before="70"/>
              <w:ind w:right="92"/>
              <w:rPr>
                <w:sz w:val="20"/>
              </w:rPr>
            </w:pPr>
            <w:r>
              <w:rPr>
                <w:w w:val="95"/>
                <w:sz w:val="20"/>
              </w:rPr>
              <w:t>1,071.00</w:t>
            </w:r>
          </w:p>
        </w:tc>
        <w:tc>
          <w:tcPr>
            <w:tcW w:w="1274" w:type="dxa"/>
          </w:tcPr>
          <w:p w:rsidR="007C5447" w:rsidRDefault="00F6308C">
            <w:pPr>
              <w:pStyle w:val="TableParagraph"/>
              <w:spacing w:before="70"/>
              <w:ind w:right="86"/>
              <w:rPr>
                <w:sz w:val="20"/>
              </w:rPr>
            </w:pPr>
            <w:r>
              <w:rPr>
                <w:sz w:val="20"/>
              </w:rPr>
              <w:t>3.08</w:t>
            </w:r>
          </w:p>
        </w:tc>
        <w:tc>
          <w:tcPr>
            <w:tcW w:w="1320" w:type="dxa"/>
          </w:tcPr>
          <w:p w:rsidR="007C5447" w:rsidRDefault="00F6308C">
            <w:pPr>
              <w:pStyle w:val="TableParagraph"/>
              <w:spacing w:before="70"/>
              <w:ind w:right="89"/>
              <w:rPr>
                <w:sz w:val="20"/>
              </w:rPr>
            </w:pPr>
            <w:r>
              <w:rPr>
                <w:w w:val="95"/>
                <w:sz w:val="20"/>
              </w:rPr>
              <w:t>2,486.60</w:t>
            </w:r>
          </w:p>
        </w:tc>
        <w:tc>
          <w:tcPr>
            <w:tcW w:w="1200" w:type="dxa"/>
          </w:tcPr>
          <w:p w:rsidR="007C5447" w:rsidRDefault="00F6308C">
            <w:pPr>
              <w:pStyle w:val="TableParagraph"/>
              <w:spacing w:before="70"/>
              <w:ind w:right="91"/>
              <w:rPr>
                <w:sz w:val="20"/>
              </w:rPr>
            </w:pPr>
            <w:r>
              <w:rPr>
                <w:w w:val="95"/>
                <w:sz w:val="20"/>
              </w:rPr>
              <w:t>933.54</w:t>
            </w:r>
          </w:p>
        </w:tc>
        <w:tc>
          <w:tcPr>
            <w:tcW w:w="1087" w:type="dxa"/>
          </w:tcPr>
          <w:p w:rsidR="007C5447" w:rsidRDefault="00F6308C">
            <w:pPr>
              <w:pStyle w:val="TableParagraph"/>
              <w:spacing w:before="70"/>
              <w:ind w:right="90"/>
              <w:rPr>
                <w:sz w:val="20"/>
              </w:rPr>
            </w:pPr>
            <w:r>
              <w:rPr>
                <w:sz w:val="20"/>
              </w:rPr>
              <w:t>3.75</w:t>
            </w:r>
          </w:p>
        </w:tc>
        <w:tc>
          <w:tcPr>
            <w:tcW w:w="1354" w:type="dxa"/>
          </w:tcPr>
          <w:p w:rsidR="007C5447" w:rsidRDefault="00F6308C">
            <w:pPr>
              <w:pStyle w:val="TableParagraph"/>
              <w:spacing w:before="70"/>
              <w:ind w:right="87"/>
              <w:rPr>
                <w:sz w:val="20"/>
              </w:rPr>
            </w:pPr>
            <w:r>
              <w:rPr>
                <w:sz w:val="20"/>
              </w:rPr>
              <w:t>2,486.60</w:t>
            </w:r>
          </w:p>
        </w:tc>
        <w:tc>
          <w:tcPr>
            <w:tcW w:w="1387" w:type="dxa"/>
          </w:tcPr>
          <w:p w:rsidR="007C5447" w:rsidRDefault="00F6308C">
            <w:pPr>
              <w:pStyle w:val="TableParagraph"/>
              <w:spacing w:before="70"/>
              <w:ind w:right="90"/>
              <w:rPr>
                <w:sz w:val="20"/>
              </w:rPr>
            </w:pPr>
            <w:r>
              <w:rPr>
                <w:w w:val="95"/>
                <w:sz w:val="20"/>
              </w:rPr>
              <w:t>933.69</w:t>
            </w:r>
          </w:p>
        </w:tc>
        <w:tc>
          <w:tcPr>
            <w:tcW w:w="1056" w:type="dxa"/>
          </w:tcPr>
          <w:p w:rsidR="007C5447" w:rsidRDefault="00F6308C">
            <w:pPr>
              <w:pStyle w:val="TableParagraph"/>
              <w:spacing w:before="70"/>
              <w:ind w:right="90"/>
              <w:rPr>
                <w:sz w:val="20"/>
              </w:rPr>
            </w:pPr>
            <w:r>
              <w:rPr>
                <w:sz w:val="20"/>
              </w:rPr>
              <w:t>3.75</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NLC TS - II</w:t>
            </w:r>
          </w:p>
        </w:tc>
        <w:tc>
          <w:tcPr>
            <w:tcW w:w="1140" w:type="dxa"/>
          </w:tcPr>
          <w:p w:rsidR="007C5447" w:rsidRDefault="00F6308C">
            <w:pPr>
              <w:pStyle w:val="TableParagraph"/>
              <w:spacing w:before="70"/>
              <w:ind w:right="91"/>
              <w:rPr>
                <w:sz w:val="20"/>
              </w:rPr>
            </w:pPr>
            <w:r>
              <w:rPr>
                <w:w w:val="95"/>
                <w:sz w:val="20"/>
              </w:rPr>
              <w:t>3,196.00</w:t>
            </w:r>
          </w:p>
        </w:tc>
        <w:tc>
          <w:tcPr>
            <w:tcW w:w="1300" w:type="dxa"/>
          </w:tcPr>
          <w:p w:rsidR="007C5447" w:rsidRDefault="00F6308C">
            <w:pPr>
              <w:pStyle w:val="TableParagraph"/>
              <w:spacing w:before="70"/>
              <w:ind w:right="91"/>
              <w:rPr>
                <w:sz w:val="20"/>
              </w:rPr>
            </w:pPr>
            <w:r>
              <w:rPr>
                <w:w w:val="95"/>
                <w:sz w:val="20"/>
              </w:rPr>
              <w:t>809.00</w:t>
            </w:r>
          </w:p>
        </w:tc>
        <w:tc>
          <w:tcPr>
            <w:tcW w:w="1274" w:type="dxa"/>
          </w:tcPr>
          <w:p w:rsidR="007C5447" w:rsidRDefault="00F6308C">
            <w:pPr>
              <w:pStyle w:val="TableParagraph"/>
              <w:spacing w:before="70"/>
              <w:ind w:right="86"/>
              <w:rPr>
                <w:sz w:val="20"/>
              </w:rPr>
            </w:pPr>
            <w:r>
              <w:rPr>
                <w:sz w:val="20"/>
              </w:rPr>
              <w:t>2.53</w:t>
            </w:r>
          </w:p>
        </w:tc>
        <w:tc>
          <w:tcPr>
            <w:tcW w:w="1320" w:type="dxa"/>
          </w:tcPr>
          <w:p w:rsidR="007C5447" w:rsidRDefault="00F6308C">
            <w:pPr>
              <w:pStyle w:val="TableParagraph"/>
              <w:spacing w:before="70"/>
              <w:ind w:right="89"/>
              <w:rPr>
                <w:sz w:val="20"/>
              </w:rPr>
            </w:pPr>
            <w:r>
              <w:rPr>
                <w:w w:val="95"/>
                <w:sz w:val="20"/>
              </w:rPr>
              <w:t>3,156.88</w:t>
            </w:r>
          </w:p>
        </w:tc>
        <w:tc>
          <w:tcPr>
            <w:tcW w:w="1200" w:type="dxa"/>
          </w:tcPr>
          <w:p w:rsidR="007C5447" w:rsidRDefault="00F6308C">
            <w:pPr>
              <w:pStyle w:val="TableParagraph"/>
              <w:spacing w:before="70"/>
              <w:ind w:right="91"/>
              <w:rPr>
                <w:sz w:val="20"/>
              </w:rPr>
            </w:pPr>
            <w:r>
              <w:rPr>
                <w:w w:val="95"/>
                <w:sz w:val="20"/>
              </w:rPr>
              <w:t>949.07</w:t>
            </w:r>
          </w:p>
        </w:tc>
        <w:tc>
          <w:tcPr>
            <w:tcW w:w="1087" w:type="dxa"/>
          </w:tcPr>
          <w:p w:rsidR="007C5447" w:rsidRDefault="00F6308C">
            <w:pPr>
              <w:pStyle w:val="TableParagraph"/>
              <w:spacing w:before="70"/>
              <w:ind w:right="90"/>
              <w:rPr>
                <w:sz w:val="20"/>
              </w:rPr>
            </w:pPr>
            <w:r>
              <w:rPr>
                <w:sz w:val="20"/>
              </w:rPr>
              <w:t>3.01</w:t>
            </w:r>
          </w:p>
        </w:tc>
        <w:tc>
          <w:tcPr>
            <w:tcW w:w="1354" w:type="dxa"/>
          </w:tcPr>
          <w:p w:rsidR="007C5447" w:rsidRDefault="00F6308C">
            <w:pPr>
              <w:pStyle w:val="TableParagraph"/>
              <w:spacing w:before="70"/>
              <w:ind w:right="89"/>
              <w:rPr>
                <w:sz w:val="20"/>
              </w:rPr>
            </w:pPr>
            <w:r>
              <w:rPr>
                <w:w w:val="95"/>
                <w:sz w:val="20"/>
              </w:rPr>
              <w:t>3,156.88</w:t>
            </w:r>
          </w:p>
        </w:tc>
        <w:tc>
          <w:tcPr>
            <w:tcW w:w="1387" w:type="dxa"/>
          </w:tcPr>
          <w:p w:rsidR="007C5447" w:rsidRDefault="00F6308C">
            <w:pPr>
              <w:pStyle w:val="TableParagraph"/>
              <w:spacing w:before="70"/>
              <w:ind w:right="90"/>
              <w:rPr>
                <w:sz w:val="20"/>
              </w:rPr>
            </w:pPr>
            <w:r>
              <w:rPr>
                <w:w w:val="95"/>
                <w:sz w:val="20"/>
              </w:rPr>
              <w:t>949.07</w:t>
            </w:r>
          </w:p>
        </w:tc>
        <w:tc>
          <w:tcPr>
            <w:tcW w:w="1056" w:type="dxa"/>
          </w:tcPr>
          <w:p w:rsidR="007C5447" w:rsidRDefault="00F6308C">
            <w:pPr>
              <w:pStyle w:val="TableParagraph"/>
              <w:spacing w:before="70"/>
              <w:ind w:right="90"/>
              <w:rPr>
                <w:sz w:val="20"/>
              </w:rPr>
            </w:pPr>
            <w:r>
              <w:rPr>
                <w:sz w:val="20"/>
              </w:rPr>
              <w:t>3.01</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NLC TS Expansion I</w:t>
            </w:r>
          </w:p>
        </w:tc>
        <w:tc>
          <w:tcPr>
            <w:tcW w:w="1140" w:type="dxa"/>
          </w:tcPr>
          <w:p w:rsidR="007C5447" w:rsidRDefault="00F6308C">
            <w:pPr>
              <w:pStyle w:val="TableParagraph"/>
              <w:spacing w:before="70"/>
              <w:ind w:right="91"/>
              <w:rPr>
                <w:sz w:val="20"/>
              </w:rPr>
            </w:pPr>
            <w:r>
              <w:rPr>
                <w:w w:val="95"/>
                <w:sz w:val="20"/>
              </w:rPr>
              <w:t>1,474.00</w:t>
            </w:r>
          </w:p>
        </w:tc>
        <w:tc>
          <w:tcPr>
            <w:tcW w:w="1300" w:type="dxa"/>
          </w:tcPr>
          <w:p w:rsidR="007C5447" w:rsidRDefault="00F6308C">
            <w:pPr>
              <w:pStyle w:val="TableParagraph"/>
              <w:spacing w:before="70"/>
              <w:ind w:right="91"/>
              <w:rPr>
                <w:sz w:val="20"/>
              </w:rPr>
            </w:pPr>
            <w:r>
              <w:rPr>
                <w:w w:val="95"/>
                <w:sz w:val="20"/>
              </w:rPr>
              <w:t>460.00</w:t>
            </w:r>
          </w:p>
        </w:tc>
        <w:tc>
          <w:tcPr>
            <w:tcW w:w="1274" w:type="dxa"/>
          </w:tcPr>
          <w:p w:rsidR="007C5447" w:rsidRDefault="00F6308C">
            <w:pPr>
              <w:pStyle w:val="TableParagraph"/>
              <w:spacing w:before="70"/>
              <w:ind w:right="86"/>
              <w:rPr>
                <w:sz w:val="20"/>
              </w:rPr>
            </w:pPr>
            <w:r>
              <w:rPr>
                <w:sz w:val="20"/>
              </w:rPr>
              <w:t>3.12</w:t>
            </w:r>
          </w:p>
        </w:tc>
        <w:tc>
          <w:tcPr>
            <w:tcW w:w="1320" w:type="dxa"/>
          </w:tcPr>
          <w:p w:rsidR="007C5447" w:rsidRDefault="00F6308C">
            <w:pPr>
              <w:pStyle w:val="TableParagraph"/>
              <w:spacing w:before="70"/>
              <w:ind w:right="89"/>
              <w:rPr>
                <w:sz w:val="20"/>
              </w:rPr>
            </w:pPr>
            <w:r>
              <w:rPr>
                <w:w w:val="95"/>
                <w:sz w:val="20"/>
              </w:rPr>
              <w:t>1,629.40</w:t>
            </w:r>
          </w:p>
        </w:tc>
        <w:tc>
          <w:tcPr>
            <w:tcW w:w="1200" w:type="dxa"/>
          </w:tcPr>
          <w:p w:rsidR="007C5447" w:rsidRDefault="00F6308C">
            <w:pPr>
              <w:pStyle w:val="TableParagraph"/>
              <w:spacing w:before="70"/>
              <w:ind w:right="91"/>
              <w:rPr>
                <w:sz w:val="20"/>
              </w:rPr>
            </w:pPr>
            <w:r>
              <w:rPr>
                <w:w w:val="95"/>
                <w:sz w:val="20"/>
              </w:rPr>
              <w:t>582.61</w:t>
            </w:r>
          </w:p>
        </w:tc>
        <w:tc>
          <w:tcPr>
            <w:tcW w:w="1087" w:type="dxa"/>
          </w:tcPr>
          <w:p w:rsidR="007C5447" w:rsidRDefault="00F6308C">
            <w:pPr>
              <w:pStyle w:val="TableParagraph"/>
              <w:spacing w:before="70"/>
              <w:ind w:right="90"/>
              <w:rPr>
                <w:sz w:val="20"/>
              </w:rPr>
            </w:pPr>
            <w:r>
              <w:rPr>
                <w:sz w:val="20"/>
              </w:rPr>
              <w:t>3.58</w:t>
            </w:r>
          </w:p>
        </w:tc>
        <w:tc>
          <w:tcPr>
            <w:tcW w:w="1354" w:type="dxa"/>
          </w:tcPr>
          <w:p w:rsidR="007C5447" w:rsidRDefault="00F6308C">
            <w:pPr>
              <w:pStyle w:val="TableParagraph"/>
              <w:spacing w:before="70"/>
              <w:ind w:right="89"/>
              <w:rPr>
                <w:sz w:val="20"/>
              </w:rPr>
            </w:pPr>
            <w:r>
              <w:rPr>
                <w:w w:val="95"/>
                <w:sz w:val="20"/>
              </w:rPr>
              <w:t>1,629.40</w:t>
            </w:r>
          </w:p>
        </w:tc>
        <w:tc>
          <w:tcPr>
            <w:tcW w:w="1387" w:type="dxa"/>
          </w:tcPr>
          <w:p w:rsidR="007C5447" w:rsidRDefault="00F6308C">
            <w:pPr>
              <w:pStyle w:val="TableParagraph"/>
              <w:spacing w:before="70"/>
              <w:ind w:right="90"/>
              <w:rPr>
                <w:sz w:val="20"/>
              </w:rPr>
            </w:pPr>
            <w:r>
              <w:rPr>
                <w:w w:val="95"/>
                <w:sz w:val="20"/>
              </w:rPr>
              <w:t>582.61</w:t>
            </w:r>
          </w:p>
        </w:tc>
        <w:tc>
          <w:tcPr>
            <w:tcW w:w="1056" w:type="dxa"/>
          </w:tcPr>
          <w:p w:rsidR="007C5447" w:rsidRDefault="00F6308C">
            <w:pPr>
              <w:pStyle w:val="TableParagraph"/>
              <w:spacing w:before="70"/>
              <w:ind w:right="90"/>
              <w:rPr>
                <w:sz w:val="20"/>
              </w:rPr>
            </w:pPr>
            <w:r>
              <w:rPr>
                <w:sz w:val="20"/>
              </w:rPr>
              <w:t>3.58</w:t>
            </w:r>
          </w:p>
        </w:tc>
      </w:tr>
      <w:tr w:rsidR="007C5447">
        <w:trPr>
          <w:trHeight w:val="371"/>
        </w:trPr>
        <w:tc>
          <w:tcPr>
            <w:tcW w:w="3089" w:type="dxa"/>
            <w:tcBorders>
              <w:left w:val="single" w:sz="8" w:space="0" w:color="000000"/>
            </w:tcBorders>
          </w:tcPr>
          <w:p w:rsidR="007C5447" w:rsidRDefault="00F6308C">
            <w:pPr>
              <w:pStyle w:val="TableParagraph"/>
              <w:spacing w:before="70"/>
              <w:ind w:left="107"/>
              <w:jc w:val="left"/>
              <w:rPr>
                <w:sz w:val="20"/>
              </w:rPr>
            </w:pPr>
            <w:r>
              <w:rPr>
                <w:sz w:val="20"/>
              </w:rPr>
              <w:t>NLC TS Expansion II</w:t>
            </w:r>
          </w:p>
        </w:tc>
        <w:tc>
          <w:tcPr>
            <w:tcW w:w="1140" w:type="dxa"/>
          </w:tcPr>
          <w:p w:rsidR="007C5447" w:rsidRDefault="00F6308C">
            <w:pPr>
              <w:pStyle w:val="TableParagraph"/>
              <w:spacing w:before="70"/>
              <w:ind w:right="91"/>
              <w:rPr>
                <w:sz w:val="20"/>
              </w:rPr>
            </w:pPr>
            <w:r>
              <w:rPr>
                <w:w w:val="95"/>
                <w:sz w:val="20"/>
              </w:rPr>
              <w:t>2,220.00</w:t>
            </w:r>
          </w:p>
        </w:tc>
        <w:tc>
          <w:tcPr>
            <w:tcW w:w="1300" w:type="dxa"/>
          </w:tcPr>
          <w:p w:rsidR="007C5447" w:rsidRDefault="00F6308C">
            <w:pPr>
              <w:pStyle w:val="TableParagraph"/>
              <w:spacing w:before="70"/>
              <w:ind w:right="91"/>
              <w:rPr>
                <w:sz w:val="20"/>
              </w:rPr>
            </w:pPr>
            <w:r>
              <w:rPr>
                <w:w w:val="95"/>
                <w:sz w:val="20"/>
              </w:rPr>
              <w:t>777.00</w:t>
            </w:r>
          </w:p>
        </w:tc>
        <w:tc>
          <w:tcPr>
            <w:tcW w:w="1274" w:type="dxa"/>
          </w:tcPr>
          <w:p w:rsidR="007C5447" w:rsidRDefault="00F6308C">
            <w:pPr>
              <w:pStyle w:val="TableParagraph"/>
              <w:spacing w:before="70"/>
              <w:ind w:right="86"/>
              <w:rPr>
                <w:sz w:val="20"/>
              </w:rPr>
            </w:pPr>
            <w:r>
              <w:rPr>
                <w:sz w:val="20"/>
              </w:rPr>
              <w:t>3.50</w:t>
            </w:r>
          </w:p>
        </w:tc>
        <w:tc>
          <w:tcPr>
            <w:tcW w:w="1320" w:type="dxa"/>
          </w:tcPr>
          <w:p w:rsidR="007C5447" w:rsidRDefault="00F6308C">
            <w:pPr>
              <w:pStyle w:val="TableParagraph"/>
              <w:spacing w:before="70"/>
              <w:ind w:right="91"/>
              <w:rPr>
                <w:sz w:val="20"/>
              </w:rPr>
            </w:pPr>
            <w:r>
              <w:rPr>
                <w:w w:val="95"/>
                <w:sz w:val="20"/>
              </w:rPr>
              <w:t>306.81</w:t>
            </w:r>
          </w:p>
        </w:tc>
        <w:tc>
          <w:tcPr>
            <w:tcW w:w="1200" w:type="dxa"/>
          </w:tcPr>
          <w:p w:rsidR="007C5447" w:rsidRDefault="00F6308C">
            <w:pPr>
              <w:pStyle w:val="TableParagraph"/>
              <w:spacing w:before="70"/>
              <w:ind w:right="91"/>
              <w:rPr>
                <w:sz w:val="20"/>
              </w:rPr>
            </w:pPr>
            <w:r>
              <w:rPr>
                <w:w w:val="95"/>
                <w:sz w:val="20"/>
              </w:rPr>
              <w:t>138.61</w:t>
            </w:r>
          </w:p>
        </w:tc>
        <w:tc>
          <w:tcPr>
            <w:tcW w:w="1087" w:type="dxa"/>
          </w:tcPr>
          <w:p w:rsidR="007C5447" w:rsidRDefault="00F6308C">
            <w:pPr>
              <w:pStyle w:val="TableParagraph"/>
              <w:spacing w:before="70"/>
              <w:ind w:right="90"/>
              <w:rPr>
                <w:sz w:val="20"/>
              </w:rPr>
            </w:pPr>
            <w:r>
              <w:rPr>
                <w:sz w:val="20"/>
              </w:rPr>
              <w:t>4.52</w:t>
            </w:r>
          </w:p>
        </w:tc>
        <w:tc>
          <w:tcPr>
            <w:tcW w:w="1354" w:type="dxa"/>
          </w:tcPr>
          <w:p w:rsidR="007C5447" w:rsidRDefault="00F6308C">
            <w:pPr>
              <w:pStyle w:val="TableParagraph"/>
              <w:spacing w:before="70"/>
              <w:ind w:right="91"/>
              <w:rPr>
                <w:sz w:val="20"/>
              </w:rPr>
            </w:pPr>
            <w:r>
              <w:rPr>
                <w:w w:val="95"/>
                <w:sz w:val="20"/>
              </w:rPr>
              <w:t>306.81</w:t>
            </w:r>
          </w:p>
        </w:tc>
        <w:tc>
          <w:tcPr>
            <w:tcW w:w="1387" w:type="dxa"/>
          </w:tcPr>
          <w:p w:rsidR="007C5447" w:rsidRDefault="00F6308C">
            <w:pPr>
              <w:pStyle w:val="TableParagraph"/>
              <w:spacing w:before="70"/>
              <w:ind w:right="90"/>
              <w:rPr>
                <w:sz w:val="20"/>
              </w:rPr>
            </w:pPr>
            <w:r>
              <w:rPr>
                <w:w w:val="95"/>
                <w:sz w:val="20"/>
              </w:rPr>
              <w:t>138.61</w:t>
            </w:r>
          </w:p>
        </w:tc>
        <w:tc>
          <w:tcPr>
            <w:tcW w:w="1056" w:type="dxa"/>
          </w:tcPr>
          <w:p w:rsidR="007C5447" w:rsidRDefault="00F6308C">
            <w:pPr>
              <w:pStyle w:val="TableParagraph"/>
              <w:spacing w:before="70"/>
              <w:ind w:right="90"/>
              <w:rPr>
                <w:sz w:val="20"/>
              </w:rPr>
            </w:pPr>
            <w:r>
              <w:rPr>
                <w:sz w:val="20"/>
              </w:rPr>
              <w:t>4.52</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NTPL (JV with NLC)</w:t>
            </w:r>
          </w:p>
        </w:tc>
        <w:tc>
          <w:tcPr>
            <w:tcW w:w="1140"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0"/>
              <w:ind w:right="89"/>
              <w:rPr>
                <w:sz w:val="20"/>
              </w:rPr>
            </w:pPr>
            <w:r>
              <w:rPr>
                <w:w w:val="95"/>
                <w:sz w:val="20"/>
              </w:rPr>
              <w:t>1,299.41</w:t>
            </w:r>
          </w:p>
        </w:tc>
        <w:tc>
          <w:tcPr>
            <w:tcW w:w="1200" w:type="dxa"/>
          </w:tcPr>
          <w:p w:rsidR="007C5447" w:rsidRDefault="00F6308C">
            <w:pPr>
              <w:pStyle w:val="TableParagraph"/>
              <w:spacing w:before="70"/>
              <w:ind w:right="91"/>
              <w:rPr>
                <w:sz w:val="20"/>
              </w:rPr>
            </w:pPr>
            <w:r>
              <w:rPr>
                <w:w w:val="95"/>
                <w:sz w:val="20"/>
              </w:rPr>
              <w:t>515.03</w:t>
            </w:r>
          </w:p>
        </w:tc>
        <w:tc>
          <w:tcPr>
            <w:tcW w:w="1087" w:type="dxa"/>
          </w:tcPr>
          <w:p w:rsidR="007C5447" w:rsidRDefault="00F6308C">
            <w:pPr>
              <w:pStyle w:val="TableParagraph"/>
              <w:spacing w:before="70"/>
              <w:ind w:right="90"/>
              <w:rPr>
                <w:sz w:val="20"/>
              </w:rPr>
            </w:pPr>
            <w:r>
              <w:rPr>
                <w:sz w:val="20"/>
              </w:rPr>
              <w:t>3.96</w:t>
            </w:r>
          </w:p>
        </w:tc>
        <w:tc>
          <w:tcPr>
            <w:tcW w:w="1354" w:type="dxa"/>
          </w:tcPr>
          <w:p w:rsidR="007C5447" w:rsidRDefault="00F6308C">
            <w:pPr>
              <w:pStyle w:val="TableParagraph"/>
              <w:spacing w:before="70"/>
              <w:ind w:right="89"/>
              <w:rPr>
                <w:sz w:val="20"/>
              </w:rPr>
            </w:pPr>
            <w:r>
              <w:rPr>
                <w:w w:val="95"/>
                <w:sz w:val="20"/>
              </w:rPr>
              <w:t>1,299.41</w:t>
            </w:r>
          </w:p>
        </w:tc>
        <w:tc>
          <w:tcPr>
            <w:tcW w:w="1387" w:type="dxa"/>
          </w:tcPr>
          <w:p w:rsidR="007C5447" w:rsidRDefault="00F6308C">
            <w:pPr>
              <w:pStyle w:val="TableParagraph"/>
              <w:spacing w:before="70"/>
              <w:ind w:right="90"/>
              <w:rPr>
                <w:sz w:val="20"/>
              </w:rPr>
            </w:pPr>
            <w:r>
              <w:rPr>
                <w:w w:val="95"/>
                <w:sz w:val="20"/>
              </w:rPr>
              <w:t>515.03</w:t>
            </w:r>
          </w:p>
        </w:tc>
        <w:tc>
          <w:tcPr>
            <w:tcW w:w="1056" w:type="dxa"/>
          </w:tcPr>
          <w:p w:rsidR="007C5447" w:rsidRDefault="00F6308C">
            <w:pPr>
              <w:pStyle w:val="TableParagraph"/>
              <w:spacing w:before="70"/>
              <w:ind w:right="90"/>
              <w:rPr>
                <w:sz w:val="20"/>
              </w:rPr>
            </w:pPr>
            <w:r>
              <w:rPr>
                <w:sz w:val="20"/>
              </w:rPr>
              <w:t>3.96</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NTPC Talcher</w:t>
            </w:r>
          </w:p>
        </w:tc>
        <w:tc>
          <w:tcPr>
            <w:tcW w:w="1140" w:type="dxa"/>
          </w:tcPr>
          <w:p w:rsidR="007C5447" w:rsidRDefault="00F6308C">
            <w:pPr>
              <w:pStyle w:val="TableParagraph"/>
              <w:spacing w:before="70"/>
              <w:ind w:right="91"/>
              <w:rPr>
                <w:sz w:val="20"/>
              </w:rPr>
            </w:pPr>
            <w:r>
              <w:rPr>
                <w:w w:val="95"/>
                <w:sz w:val="20"/>
              </w:rPr>
              <w:t>3,370.00</w:t>
            </w:r>
          </w:p>
        </w:tc>
        <w:tc>
          <w:tcPr>
            <w:tcW w:w="1300" w:type="dxa"/>
          </w:tcPr>
          <w:p w:rsidR="007C5447" w:rsidRDefault="00F6308C">
            <w:pPr>
              <w:pStyle w:val="TableParagraph"/>
              <w:spacing w:before="70"/>
              <w:ind w:right="91"/>
              <w:rPr>
                <w:sz w:val="20"/>
              </w:rPr>
            </w:pPr>
            <w:r>
              <w:rPr>
                <w:w w:val="95"/>
                <w:sz w:val="20"/>
              </w:rPr>
              <w:t>753.00</w:t>
            </w:r>
          </w:p>
        </w:tc>
        <w:tc>
          <w:tcPr>
            <w:tcW w:w="1274" w:type="dxa"/>
          </w:tcPr>
          <w:p w:rsidR="007C5447" w:rsidRDefault="00F6308C">
            <w:pPr>
              <w:pStyle w:val="TableParagraph"/>
              <w:spacing w:before="70"/>
              <w:ind w:right="86"/>
              <w:rPr>
                <w:sz w:val="20"/>
              </w:rPr>
            </w:pPr>
            <w:r>
              <w:rPr>
                <w:sz w:val="20"/>
              </w:rPr>
              <w:t>2.23</w:t>
            </w:r>
          </w:p>
        </w:tc>
        <w:tc>
          <w:tcPr>
            <w:tcW w:w="1320" w:type="dxa"/>
          </w:tcPr>
          <w:p w:rsidR="007C5447" w:rsidRDefault="00F6308C">
            <w:pPr>
              <w:pStyle w:val="TableParagraph"/>
              <w:spacing w:before="70"/>
              <w:ind w:right="89"/>
              <w:rPr>
                <w:sz w:val="20"/>
              </w:rPr>
            </w:pPr>
            <w:r>
              <w:rPr>
                <w:w w:val="95"/>
                <w:sz w:val="20"/>
              </w:rPr>
              <w:t>3,713.40</w:t>
            </w:r>
          </w:p>
        </w:tc>
        <w:tc>
          <w:tcPr>
            <w:tcW w:w="1200" w:type="dxa"/>
          </w:tcPr>
          <w:p w:rsidR="007C5447" w:rsidRDefault="00F6308C">
            <w:pPr>
              <w:pStyle w:val="TableParagraph"/>
              <w:spacing w:before="70"/>
              <w:ind w:right="91"/>
              <w:rPr>
                <w:sz w:val="20"/>
              </w:rPr>
            </w:pPr>
            <w:r>
              <w:rPr>
                <w:w w:val="95"/>
                <w:sz w:val="20"/>
              </w:rPr>
              <w:t>782.99</w:t>
            </w:r>
          </w:p>
        </w:tc>
        <w:tc>
          <w:tcPr>
            <w:tcW w:w="1087" w:type="dxa"/>
          </w:tcPr>
          <w:p w:rsidR="007C5447" w:rsidRDefault="00F6308C">
            <w:pPr>
              <w:pStyle w:val="TableParagraph"/>
              <w:spacing w:before="70"/>
              <w:ind w:right="90"/>
              <w:rPr>
                <w:sz w:val="20"/>
              </w:rPr>
            </w:pPr>
            <w:r>
              <w:rPr>
                <w:sz w:val="20"/>
              </w:rPr>
              <w:t>2.11</w:t>
            </w:r>
          </w:p>
        </w:tc>
        <w:tc>
          <w:tcPr>
            <w:tcW w:w="1354" w:type="dxa"/>
          </w:tcPr>
          <w:p w:rsidR="007C5447" w:rsidRDefault="00F6308C">
            <w:pPr>
              <w:pStyle w:val="TableParagraph"/>
              <w:spacing w:before="70"/>
              <w:ind w:right="89"/>
              <w:rPr>
                <w:sz w:val="20"/>
              </w:rPr>
            </w:pPr>
            <w:r>
              <w:rPr>
                <w:w w:val="95"/>
                <w:sz w:val="20"/>
              </w:rPr>
              <w:t>3,713.40</w:t>
            </w:r>
          </w:p>
        </w:tc>
        <w:tc>
          <w:tcPr>
            <w:tcW w:w="1387" w:type="dxa"/>
          </w:tcPr>
          <w:p w:rsidR="007C5447" w:rsidRDefault="00F6308C">
            <w:pPr>
              <w:pStyle w:val="TableParagraph"/>
              <w:spacing w:before="70"/>
              <w:ind w:right="90"/>
              <w:rPr>
                <w:sz w:val="20"/>
              </w:rPr>
            </w:pPr>
            <w:r>
              <w:rPr>
                <w:w w:val="95"/>
                <w:sz w:val="20"/>
              </w:rPr>
              <w:t>782.99</w:t>
            </w:r>
          </w:p>
        </w:tc>
        <w:tc>
          <w:tcPr>
            <w:tcW w:w="1056" w:type="dxa"/>
          </w:tcPr>
          <w:p w:rsidR="007C5447" w:rsidRDefault="00F6308C">
            <w:pPr>
              <w:pStyle w:val="TableParagraph"/>
              <w:spacing w:before="70"/>
              <w:ind w:right="90"/>
              <w:rPr>
                <w:sz w:val="20"/>
              </w:rPr>
            </w:pPr>
            <w:r>
              <w:rPr>
                <w:sz w:val="20"/>
              </w:rPr>
              <w:t>2.11</w:t>
            </w:r>
          </w:p>
        </w:tc>
      </w:tr>
      <w:tr w:rsidR="007C5447">
        <w:trPr>
          <w:trHeight w:val="371"/>
        </w:trPr>
        <w:tc>
          <w:tcPr>
            <w:tcW w:w="3089" w:type="dxa"/>
            <w:tcBorders>
              <w:left w:val="single" w:sz="8" w:space="0" w:color="000000"/>
            </w:tcBorders>
          </w:tcPr>
          <w:p w:rsidR="007C5447" w:rsidRDefault="00F6308C">
            <w:pPr>
              <w:pStyle w:val="TableParagraph"/>
              <w:spacing w:before="70"/>
              <w:ind w:left="107"/>
              <w:jc w:val="left"/>
              <w:rPr>
                <w:sz w:val="20"/>
              </w:rPr>
            </w:pPr>
            <w:r>
              <w:rPr>
                <w:sz w:val="20"/>
              </w:rPr>
              <w:t>NTPC Simhadri</w:t>
            </w:r>
          </w:p>
        </w:tc>
        <w:tc>
          <w:tcPr>
            <w:tcW w:w="1140" w:type="dxa"/>
          </w:tcPr>
          <w:p w:rsidR="007C5447" w:rsidRDefault="00F6308C">
            <w:pPr>
              <w:pStyle w:val="TableParagraph"/>
              <w:spacing w:before="70"/>
              <w:ind w:right="91"/>
              <w:rPr>
                <w:sz w:val="20"/>
              </w:rPr>
            </w:pPr>
            <w:r>
              <w:rPr>
                <w:w w:val="95"/>
                <w:sz w:val="20"/>
              </w:rPr>
              <w:t>1,560.00</w:t>
            </w:r>
          </w:p>
        </w:tc>
        <w:tc>
          <w:tcPr>
            <w:tcW w:w="1300" w:type="dxa"/>
          </w:tcPr>
          <w:p w:rsidR="007C5447" w:rsidRDefault="00F6308C">
            <w:pPr>
              <w:pStyle w:val="TableParagraph"/>
              <w:spacing w:before="70"/>
              <w:ind w:right="91"/>
              <w:rPr>
                <w:sz w:val="20"/>
              </w:rPr>
            </w:pPr>
            <w:r>
              <w:rPr>
                <w:w w:val="95"/>
                <w:sz w:val="20"/>
              </w:rPr>
              <w:t>582.00</w:t>
            </w:r>
          </w:p>
        </w:tc>
        <w:tc>
          <w:tcPr>
            <w:tcW w:w="1274" w:type="dxa"/>
          </w:tcPr>
          <w:p w:rsidR="007C5447" w:rsidRDefault="00F6308C">
            <w:pPr>
              <w:pStyle w:val="TableParagraph"/>
              <w:spacing w:before="70"/>
              <w:ind w:right="86"/>
              <w:rPr>
                <w:sz w:val="20"/>
              </w:rPr>
            </w:pPr>
            <w:r>
              <w:rPr>
                <w:sz w:val="20"/>
              </w:rPr>
              <w:t>3.73</w:t>
            </w:r>
          </w:p>
        </w:tc>
        <w:tc>
          <w:tcPr>
            <w:tcW w:w="1320" w:type="dxa"/>
          </w:tcPr>
          <w:p w:rsidR="007C5447" w:rsidRDefault="00F6308C">
            <w:pPr>
              <w:pStyle w:val="TableParagraph"/>
              <w:spacing w:before="70"/>
              <w:ind w:right="87"/>
              <w:rPr>
                <w:sz w:val="20"/>
              </w:rPr>
            </w:pPr>
            <w:r>
              <w:rPr>
                <w:sz w:val="20"/>
              </w:rPr>
              <w:t>1,543.84</w:t>
            </w:r>
          </w:p>
        </w:tc>
        <w:tc>
          <w:tcPr>
            <w:tcW w:w="1200" w:type="dxa"/>
          </w:tcPr>
          <w:p w:rsidR="007C5447" w:rsidRDefault="00F6308C">
            <w:pPr>
              <w:pStyle w:val="TableParagraph"/>
              <w:spacing w:before="70"/>
              <w:ind w:right="91"/>
              <w:rPr>
                <w:sz w:val="20"/>
              </w:rPr>
            </w:pPr>
            <w:r>
              <w:rPr>
                <w:w w:val="95"/>
                <w:sz w:val="20"/>
              </w:rPr>
              <w:t>621.68</w:t>
            </w:r>
          </w:p>
        </w:tc>
        <w:tc>
          <w:tcPr>
            <w:tcW w:w="1087" w:type="dxa"/>
          </w:tcPr>
          <w:p w:rsidR="007C5447" w:rsidRDefault="00F6308C">
            <w:pPr>
              <w:pStyle w:val="TableParagraph"/>
              <w:spacing w:before="70"/>
              <w:ind w:right="90"/>
              <w:rPr>
                <w:sz w:val="20"/>
              </w:rPr>
            </w:pPr>
            <w:r>
              <w:rPr>
                <w:sz w:val="20"/>
              </w:rPr>
              <w:t>4.03</w:t>
            </w:r>
          </w:p>
        </w:tc>
        <w:tc>
          <w:tcPr>
            <w:tcW w:w="1354" w:type="dxa"/>
          </w:tcPr>
          <w:p w:rsidR="007C5447" w:rsidRDefault="00F6308C">
            <w:pPr>
              <w:pStyle w:val="TableParagraph"/>
              <w:spacing w:before="70"/>
              <w:ind w:right="89"/>
              <w:rPr>
                <w:sz w:val="20"/>
              </w:rPr>
            </w:pPr>
            <w:r>
              <w:rPr>
                <w:w w:val="95"/>
                <w:sz w:val="20"/>
              </w:rPr>
              <w:t>1,543.84</w:t>
            </w:r>
          </w:p>
        </w:tc>
        <w:tc>
          <w:tcPr>
            <w:tcW w:w="1387" w:type="dxa"/>
          </w:tcPr>
          <w:p w:rsidR="007C5447" w:rsidRDefault="00F6308C">
            <w:pPr>
              <w:pStyle w:val="TableParagraph"/>
              <w:spacing w:before="70"/>
              <w:ind w:right="90"/>
              <w:rPr>
                <w:sz w:val="20"/>
              </w:rPr>
            </w:pPr>
            <w:r>
              <w:rPr>
                <w:w w:val="95"/>
                <w:sz w:val="20"/>
              </w:rPr>
              <w:t>621.68</w:t>
            </w:r>
          </w:p>
        </w:tc>
        <w:tc>
          <w:tcPr>
            <w:tcW w:w="1056" w:type="dxa"/>
          </w:tcPr>
          <w:p w:rsidR="007C5447" w:rsidRDefault="00F6308C">
            <w:pPr>
              <w:pStyle w:val="TableParagraph"/>
              <w:spacing w:before="70"/>
              <w:ind w:right="90"/>
              <w:rPr>
                <w:sz w:val="20"/>
              </w:rPr>
            </w:pPr>
            <w:r>
              <w:rPr>
                <w:sz w:val="20"/>
              </w:rPr>
              <w:t>4.03</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MAPS</w:t>
            </w:r>
          </w:p>
        </w:tc>
        <w:tc>
          <w:tcPr>
            <w:tcW w:w="1140" w:type="dxa"/>
          </w:tcPr>
          <w:p w:rsidR="007C5447" w:rsidRDefault="00F6308C">
            <w:pPr>
              <w:pStyle w:val="TableParagraph"/>
              <w:spacing w:before="70"/>
              <w:ind w:right="91"/>
              <w:rPr>
                <w:sz w:val="20"/>
              </w:rPr>
            </w:pPr>
            <w:r>
              <w:rPr>
                <w:w w:val="95"/>
                <w:sz w:val="20"/>
              </w:rPr>
              <w:t>1,573.00</w:t>
            </w:r>
          </w:p>
        </w:tc>
        <w:tc>
          <w:tcPr>
            <w:tcW w:w="1300" w:type="dxa"/>
          </w:tcPr>
          <w:p w:rsidR="007C5447" w:rsidRDefault="00F6308C">
            <w:pPr>
              <w:pStyle w:val="TableParagraph"/>
              <w:spacing w:before="70"/>
              <w:ind w:right="91"/>
              <w:rPr>
                <w:sz w:val="20"/>
              </w:rPr>
            </w:pPr>
            <w:r>
              <w:rPr>
                <w:w w:val="95"/>
                <w:sz w:val="20"/>
              </w:rPr>
              <w:t>321.00</w:t>
            </w:r>
          </w:p>
        </w:tc>
        <w:tc>
          <w:tcPr>
            <w:tcW w:w="1274" w:type="dxa"/>
          </w:tcPr>
          <w:p w:rsidR="007C5447" w:rsidRDefault="00F6308C">
            <w:pPr>
              <w:pStyle w:val="TableParagraph"/>
              <w:spacing w:before="70"/>
              <w:ind w:right="86"/>
              <w:rPr>
                <w:sz w:val="20"/>
              </w:rPr>
            </w:pPr>
            <w:r>
              <w:rPr>
                <w:sz w:val="20"/>
              </w:rPr>
              <w:t>2.04</w:t>
            </w:r>
          </w:p>
        </w:tc>
        <w:tc>
          <w:tcPr>
            <w:tcW w:w="1320" w:type="dxa"/>
          </w:tcPr>
          <w:p w:rsidR="007C5447" w:rsidRDefault="00F6308C">
            <w:pPr>
              <w:pStyle w:val="TableParagraph"/>
              <w:spacing w:before="70"/>
              <w:ind w:right="89"/>
              <w:rPr>
                <w:sz w:val="20"/>
              </w:rPr>
            </w:pPr>
            <w:r>
              <w:rPr>
                <w:w w:val="95"/>
                <w:sz w:val="20"/>
              </w:rPr>
              <w:t>2,090.87</w:t>
            </w:r>
          </w:p>
        </w:tc>
        <w:tc>
          <w:tcPr>
            <w:tcW w:w="1200" w:type="dxa"/>
          </w:tcPr>
          <w:p w:rsidR="007C5447" w:rsidRDefault="00F6308C">
            <w:pPr>
              <w:pStyle w:val="TableParagraph"/>
              <w:spacing w:before="70"/>
              <w:ind w:right="91"/>
              <w:rPr>
                <w:sz w:val="20"/>
              </w:rPr>
            </w:pPr>
            <w:r>
              <w:rPr>
                <w:w w:val="95"/>
                <w:sz w:val="20"/>
              </w:rPr>
              <w:t>435.39</w:t>
            </w:r>
          </w:p>
        </w:tc>
        <w:tc>
          <w:tcPr>
            <w:tcW w:w="1087" w:type="dxa"/>
          </w:tcPr>
          <w:p w:rsidR="007C5447" w:rsidRDefault="00F6308C">
            <w:pPr>
              <w:pStyle w:val="TableParagraph"/>
              <w:spacing w:before="70"/>
              <w:ind w:right="90"/>
              <w:rPr>
                <w:sz w:val="20"/>
              </w:rPr>
            </w:pPr>
            <w:r>
              <w:rPr>
                <w:sz w:val="20"/>
              </w:rPr>
              <w:t>2.08</w:t>
            </w:r>
          </w:p>
        </w:tc>
        <w:tc>
          <w:tcPr>
            <w:tcW w:w="1354" w:type="dxa"/>
          </w:tcPr>
          <w:p w:rsidR="007C5447" w:rsidRDefault="00F6308C">
            <w:pPr>
              <w:pStyle w:val="TableParagraph"/>
              <w:spacing w:before="70"/>
              <w:ind w:right="89"/>
              <w:rPr>
                <w:sz w:val="20"/>
              </w:rPr>
            </w:pPr>
            <w:r>
              <w:rPr>
                <w:w w:val="95"/>
                <w:sz w:val="20"/>
              </w:rPr>
              <w:t>2,090.87</w:t>
            </w:r>
          </w:p>
        </w:tc>
        <w:tc>
          <w:tcPr>
            <w:tcW w:w="1387" w:type="dxa"/>
          </w:tcPr>
          <w:p w:rsidR="007C5447" w:rsidRDefault="00F6308C">
            <w:pPr>
              <w:pStyle w:val="TableParagraph"/>
              <w:spacing w:before="70"/>
              <w:ind w:right="90"/>
              <w:rPr>
                <w:sz w:val="20"/>
              </w:rPr>
            </w:pPr>
            <w:r>
              <w:rPr>
                <w:w w:val="95"/>
                <w:sz w:val="20"/>
              </w:rPr>
              <w:t>435.39</w:t>
            </w:r>
          </w:p>
        </w:tc>
        <w:tc>
          <w:tcPr>
            <w:tcW w:w="1056" w:type="dxa"/>
          </w:tcPr>
          <w:p w:rsidR="007C5447" w:rsidRDefault="00F6308C">
            <w:pPr>
              <w:pStyle w:val="TableParagraph"/>
              <w:spacing w:before="70"/>
              <w:ind w:right="90"/>
              <w:rPr>
                <w:sz w:val="20"/>
              </w:rPr>
            </w:pPr>
            <w:r>
              <w:rPr>
                <w:sz w:val="20"/>
              </w:rPr>
              <w:t>2.08</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KAIGA</w:t>
            </w:r>
          </w:p>
        </w:tc>
        <w:tc>
          <w:tcPr>
            <w:tcW w:w="1140" w:type="dxa"/>
          </w:tcPr>
          <w:p w:rsidR="007C5447" w:rsidRDefault="00F6308C">
            <w:pPr>
              <w:pStyle w:val="TableParagraph"/>
              <w:spacing w:before="70"/>
              <w:ind w:right="91"/>
              <w:rPr>
                <w:sz w:val="20"/>
              </w:rPr>
            </w:pPr>
            <w:r>
              <w:rPr>
                <w:w w:val="95"/>
                <w:sz w:val="20"/>
              </w:rPr>
              <w:t>1,179.00</w:t>
            </w:r>
          </w:p>
        </w:tc>
        <w:tc>
          <w:tcPr>
            <w:tcW w:w="1300" w:type="dxa"/>
          </w:tcPr>
          <w:p w:rsidR="007C5447" w:rsidRDefault="00F6308C">
            <w:pPr>
              <w:pStyle w:val="TableParagraph"/>
              <w:spacing w:before="70"/>
              <w:ind w:right="91"/>
              <w:rPr>
                <w:sz w:val="20"/>
              </w:rPr>
            </w:pPr>
            <w:r>
              <w:rPr>
                <w:w w:val="95"/>
                <w:sz w:val="20"/>
              </w:rPr>
              <w:t>356.00</w:t>
            </w:r>
          </w:p>
        </w:tc>
        <w:tc>
          <w:tcPr>
            <w:tcW w:w="1274" w:type="dxa"/>
          </w:tcPr>
          <w:p w:rsidR="007C5447" w:rsidRDefault="00F6308C">
            <w:pPr>
              <w:pStyle w:val="TableParagraph"/>
              <w:spacing w:before="70"/>
              <w:ind w:right="86"/>
              <w:rPr>
                <w:sz w:val="20"/>
              </w:rPr>
            </w:pPr>
            <w:r>
              <w:rPr>
                <w:sz w:val="20"/>
              </w:rPr>
              <w:t>3.02</w:t>
            </w:r>
          </w:p>
        </w:tc>
        <w:tc>
          <w:tcPr>
            <w:tcW w:w="1320" w:type="dxa"/>
          </w:tcPr>
          <w:p w:rsidR="007C5447" w:rsidRDefault="00F6308C">
            <w:pPr>
              <w:pStyle w:val="TableParagraph"/>
              <w:spacing w:before="70"/>
              <w:ind w:right="89"/>
              <w:rPr>
                <w:sz w:val="20"/>
              </w:rPr>
            </w:pPr>
            <w:r>
              <w:rPr>
                <w:w w:val="95"/>
                <w:sz w:val="20"/>
              </w:rPr>
              <w:t>1,869.06</w:t>
            </w:r>
          </w:p>
        </w:tc>
        <w:tc>
          <w:tcPr>
            <w:tcW w:w="1200" w:type="dxa"/>
          </w:tcPr>
          <w:p w:rsidR="007C5447" w:rsidRDefault="00F6308C">
            <w:pPr>
              <w:pStyle w:val="TableParagraph"/>
              <w:spacing w:before="70"/>
              <w:ind w:right="91"/>
              <w:rPr>
                <w:sz w:val="20"/>
              </w:rPr>
            </w:pPr>
            <w:r>
              <w:rPr>
                <w:w w:val="95"/>
                <w:sz w:val="20"/>
              </w:rPr>
              <w:t>569.33</w:t>
            </w:r>
          </w:p>
        </w:tc>
        <w:tc>
          <w:tcPr>
            <w:tcW w:w="1087" w:type="dxa"/>
          </w:tcPr>
          <w:p w:rsidR="007C5447" w:rsidRDefault="00F6308C">
            <w:pPr>
              <w:pStyle w:val="TableParagraph"/>
              <w:spacing w:before="70"/>
              <w:ind w:right="90"/>
              <w:rPr>
                <w:sz w:val="20"/>
              </w:rPr>
            </w:pPr>
            <w:r>
              <w:rPr>
                <w:sz w:val="20"/>
              </w:rPr>
              <w:t>3.05</w:t>
            </w:r>
          </w:p>
        </w:tc>
        <w:tc>
          <w:tcPr>
            <w:tcW w:w="1354" w:type="dxa"/>
          </w:tcPr>
          <w:p w:rsidR="007C5447" w:rsidRDefault="00F6308C">
            <w:pPr>
              <w:pStyle w:val="TableParagraph"/>
              <w:spacing w:before="70"/>
              <w:ind w:right="89"/>
              <w:rPr>
                <w:sz w:val="20"/>
              </w:rPr>
            </w:pPr>
            <w:r>
              <w:rPr>
                <w:w w:val="95"/>
                <w:sz w:val="20"/>
              </w:rPr>
              <w:t>1,869.06</w:t>
            </w:r>
          </w:p>
        </w:tc>
        <w:tc>
          <w:tcPr>
            <w:tcW w:w="1387" w:type="dxa"/>
          </w:tcPr>
          <w:p w:rsidR="007C5447" w:rsidRDefault="00F6308C">
            <w:pPr>
              <w:pStyle w:val="TableParagraph"/>
              <w:spacing w:before="70"/>
              <w:ind w:right="90"/>
              <w:rPr>
                <w:sz w:val="20"/>
              </w:rPr>
            </w:pPr>
            <w:r>
              <w:rPr>
                <w:w w:val="95"/>
                <w:sz w:val="20"/>
              </w:rPr>
              <w:t>569.33</w:t>
            </w:r>
          </w:p>
        </w:tc>
        <w:tc>
          <w:tcPr>
            <w:tcW w:w="1056" w:type="dxa"/>
          </w:tcPr>
          <w:p w:rsidR="007C5447" w:rsidRDefault="00F6308C">
            <w:pPr>
              <w:pStyle w:val="TableParagraph"/>
              <w:spacing w:before="70"/>
              <w:ind w:right="90"/>
              <w:rPr>
                <w:sz w:val="20"/>
              </w:rPr>
            </w:pPr>
            <w:r>
              <w:rPr>
                <w:sz w:val="20"/>
              </w:rPr>
              <w:t>3.05</w:t>
            </w:r>
          </w:p>
        </w:tc>
      </w:tr>
      <w:tr w:rsidR="007C5447">
        <w:trPr>
          <w:trHeight w:val="372"/>
        </w:trPr>
        <w:tc>
          <w:tcPr>
            <w:tcW w:w="3089" w:type="dxa"/>
            <w:tcBorders>
              <w:left w:val="single" w:sz="8" w:space="0" w:color="000000"/>
            </w:tcBorders>
          </w:tcPr>
          <w:p w:rsidR="007C5447" w:rsidRDefault="00F6308C">
            <w:pPr>
              <w:pStyle w:val="TableParagraph"/>
              <w:spacing w:before="70"/>
              <w:ind w:left="107"/>
              <w:jc w:val="left"/>
              <w:rPr>
                <w:sz w:val="20"/>
              </w:rPr>
            </w:pPr>
            <w:r>
              <w:rPr>
                <w:sz w:val="20"/>
              </w:rPr>
              <w:t>NTPC Kayamkulam</w:t>
            </w:r>
          </w:p>
        </w:tc>
        <w:tc>
          <w:tcPr>
            <w:tcW w:w="1140" w:type="dxa"/>
          </w:tcPr>
          <w:p w:rsidR="007C5447" w:rsidRDefault="00F6308C">
            <w:pPr>
              <w:pStyle w:val="TableParagraph"/>
              <w:spacing w:before="70"/>
              <w:ind w:right="89"/>
              <w:rPr>
                <w:sz w:val="20"/>
              </w:rPr>
            </w:pPr>
            <w:r>
              <w:rPr>
                <w:w w:val="99"/>
                <w:sz w:val="20"/>
              </w:rPr>
              <w:t>-</w:t>
            </w: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0"/>
              <w:ind w:right="87"/>
              <w:rPr>
                <w:sz w:val="20"/>
              </w:rPr>
            </w:pPr>
            <w:r>
              <w:rPr>
                <w:w w:val="99"/>
                <w:sz w:val="20"/>
              </w:rPr>
              <w:t>-</w:t>
            </w:r>
          </w:p>
        </w:tc>
        <w:tc>
          <w:tcPr>
            <w:tcW w:w="1200" w:type="dxa"/>
          </w:tcPr>
          <w:p w:rsidR="007C5447" w:rsidRDefault="00F6308C">
            <w:pPr>
              <w:pStyle w:val="TableParagraph"/>
              <w:spacing w:before="70"/>
              <w:ind w:right="87"/>
              <w:rPr>
                <w:sz w:val="20"/>
              </w:rPr>
            </w:pPr>
            <w:r>
              <w:rPr>
                <w:w w:val="99"/>
                <w:sz w:val="20"/>
              </w:rPr>
              <w:t>-</w:t>
            </w: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NTPC ER</w:t>
            </w:r>
          </w:p>
        </w:tc>
        <w:tc>
          <w:tcPr>
            <w:tcW w:w="1140" w:type="dxa"/>
          </w:tcPr>
          <w:p w:rsidR="007C5447" w:rsidRDefault="00F6308C">
            <w:pPr>
              <w:pStyle w:val="TableParagraph"/>
              <w:spacing w:before="70"/>
              <w:ind w:right="89"/>
              <w:rPr>
                <w:sz w:val="20"/>
              </w:rPr>
            </w:pPr>
            <w:r>
              <w:rPr>
                <w:w w:val="99"/>
                <w:sz w:val="20"/>
              </w:rPr>
              <w:t>-</w:t>
            </w: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0"/>
              <w:ind w:right="91"/>
              <w:rPr>
                <w:sz w:val="20"/>
              </w:rPr>
            </w:pPr>
            <w:r>
              <w:rPr>
                <w:w w:val="95"/>
                <w:sz w:val="20"/>
              </w:rPr>
              <w:t>284.73</w:t>
            </w:r>
          </w:p>
        </w:tc>
        <w:tc>
          <w:tcPr>
            <w:tcW w:w="1200" w:type="dxa"/>
          </w:tcPr>
          <w:p w:rsidR="007C5447" w:rsidRDefault="00F6308C">
            <w:pPr>
              <w:pStyle w:val="TableParagraph"/>
              <w:spacing w:before="70"/>
              <w:ind w:right="90"/>
              <w:rPr>
                <w:sz w:val="20"/>
              </w:rPr>
            </w:pPr>
            <w:r>
              <w:rPr>
                <w:w w:val="95"/>
                <w:sz w:val="20"/>
              </w:rPr>
              <w:t>89.05</w:t>
            </w:r>
          </w:p>
        </w:tc>
        <w:tc>
          <w:tcPr>
            <w:tcW w:w="1087" w:type="dxa"/>
          </w:tcPr>
          <w:p w:rsidR="007C5447" w:rsidRDefault="00F6308C">
            <w:pPr>
              <w:pStyle w:val="TableParagraph"/>
              <w:spacing w:before="70"/>
              <w:ind w:right="90"/>
              <w:rPr>
                <w:sz w:val="20"/>
              </w:rPr>
            </w:pPr>
            <w:r>
              <w:rPr>
                <w:sz w:val="20"/>
              </w:rPr>
              <w:t>3.13</w:t>
            </w:r>
          </w:p>
        </w:tc>
        <w:tc>
          <w:tcPr>
            <w:tcW w:w="1354" w:type="dxa"/>
          </w:tcPr>
          <w:p w:rsidR="007C5447" w:rsidRDefault="00F6308C">
            <w:pPr>
              <w:pStyle w:val="TableParagraph"/>
              <w:spacing w:before="70"/>
              <w:ind w:right="91"/>
              <w:rPr>
                <w:sz w:val="20"/>
              </w:rPr>
            </w:pPr>
            <w:r>
              <w:rPr>
                <w:w w:val="95"/>
                <w:sz w:val="20"/>
              </w:rPr>
              <w:t>284.73</w:t>
            </w:r>
          </w:p>
        </w:tc>
        <w:tc>
          <w:tcPr>
            <w:tcW w:w="1387" w:type="dxa"/>
          </w:tcPr>
          <w:p w:rsidR="007C5447" w:rsidRDefault="00F6308C">
            <w:pPr>
              <w:pStyle w:val="TableParagraph"/>
              <w:spacing w:before="70"/>
              <w:ind w:right="90"/>
              <w:rPr>
                <w:sz w:val="20"/>
              </w:rPr>
            </w:pPr>
            <w:r>
              <w:rPr>
                <w:w w:val="95"/>
                <w:sz w:val="20"/>
              </w:rPr>
              <w:t>89.05</w:t>
            </w:r>
          </w:p>
        </w:tc>
        <w:tc>
          <w:tcPr>
            <w:tcW w:w="1056" w:type="dxa"/>
          </w:tcPr>
          <w:p w:rsidR="007C5447" w:rsidRDefault="00F6308C">
            <w:pPr>
              <w:pStyle w:val="TableParagraph"/>
              <w:spacing w:before="70"/>
              <w:ind w:right="90"/>
              <w:rPr>
                <w:sz w:val="20"/>
              </w:rPr>
            </w:pPr>
            <w:r>
              <w:rPr>
                <w:sz w:val="20"/>
              </w:rPr>
              <w:t>3.13</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NLC Tuticorin</w:t>
            </w:r>
          </w:p>
        </w:tc>
        <w:tc>
          <w:tcPr>
            <w:tcW w:w="1140" w:type="dxa"/>
          </w:tcPr>
          <w:p w:rsidR="007C5447" w:rsidRDefault="00F6308C">
            <w:pPr>
              <w:pStyle w:val="TableParagraph"/>
              <w:spacing w:before="70"/>
              <w:ind w:right="91"/>
              <w:rPr>
                <w:sz w:val="20"/>
              </w:rPr>
            </w:pPr>
            <w:r>
              <w:rPr>
                <w:sz w:val="20"/>
              </w:rPr>
              <w:t>2651.00</w:t>
            </w:r>
          </w:p>
        </w:tc>
        <w:tc>
          <w:tcPr>
            <w:tcW w:w="1300" w:type="dxa"/>
          </w:tcPr>
          <w:p w:rsidR="007C5447" w:rsidRDefault="00F6308C">
            <w:pPr>
              <w:pStyle w:val="TableParagraph"/>
              <w:spacing w:before="70"/>
              <w:ind w:right="91"/>
              <w:rPr>
                <w:sz w:val="20"/>
              </w:rPr>
            </w:pPr>
            <w:r>
              <w:rPr>
                <w:w w:val="95"/>
                <w:sz w:val="20"/>
              </w:rPr>
              <w:t>928.00</w:t>
            </w:r>
          </w:p>
        </w:tc>
        <w:tc>
          <w:tcPr>
            <w:tcW w:w="1274" w:type="dxa"/>
          </w:tcPr>
          <w:p w:rsidR="007C5447" w:rsidRDefault="00F6308C">
            <w:pPr>
              <w:pStyle w:val="TableParagraph"/>
              <w:spacing w:before="70"/>
              <w:ind w:right="86"/>
              <w:rPr>
                <w:sz w:val="20"/>
              </w:rPr>
            </w:pPr>
            <w:r>
              <w:rPr>
                <w:sz w:val="20"/>
              </w:rPr>
              <w:t>3.50</w:t>
            </w:r>
          </w:p>
        </w:tc>
        <w:tc>
          <w:tcPr>
            <w:tcW w:w="1320" w:type="dxa"/>
          </w:tcPr>
          <w:p w:rsidR="007C5447" w:rsidRDefault="00F6308C">
            <w:pPr>
              <w:pStyle w:val="TableParagraph"/>
              <w:spacing w:before="70"/>
              <w:ind w:right="87"/>
              <w:rPr>
                <w:sz w:val="20"/>
              </w:rPr>
            </w:pPr>
            <w:r>
              <w:rPr>
                <w:w w:val="99"/>
                <w:sz w:val="20"/>
              </w:rPr>
              <w:t>-</w:t>
            </w:r>
          </w:p>
        </w:tc>
        <w:tc>
          <w:tcPr>
            <w:tcW w:w="1200" w:type="dxa"/>
          </w:tcPr>
          <w:p w:rsidR="007C5447" w:rsidRDefault="00F6308C">
            <w:pPr>
              <w:pStyle w:val="TableParagraph"/>
              <w:spacing w:before="70"/>
              <w:ind w:right="87"/>
              <w:rPr>
                <w:sz w:val="20"/>
              </w:rPr>
            </w:pPr>
            <w:r>
              <w:rPr>
                <w:w w:val="99"/>
                <w:sz w:val="20"/>
              </w:rPr>
              <w:t>-</w:t>
            </w: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9"/>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9"/>
        <w:gridCol w:w="1140"/>
        <w:gridCol w:w="1300"/>
        <w:gridCol w:w="1274"/>
        <w:gridCol w:w="1320"/>
        <w:gridCol w:w="1200"/>
        <w:gridCol w:w="1087"/>
        <w:gridCol w:w="1354"/>
        <w:gridCol w:w="1387"/>
        <w:gridCol w:w="1056"/>
      </w:tblGrid>
      <w:tr w:rsidR="007C5447">
        <w:trPr>
          <w:trHeight w:val="369"/>
        </w:trPr>
        <w:tc>
          <w:tcPr>
            <w:tcW w:w="3089"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1102" w:right="1084"/>
              <w:jc w:val="center"/>
              <w:rPr>
                <w:b/>
                <w:sz w:val="20"/>
              </w:rPr>
            </w:pPr>
            <w:r>
              <w:rPr>
                <w:b/>
                <w:sz w:val="20"/>
              </w:rPr>
              <w:t>Source</w:t>
            </w:r>
          </w:p>
        </w:tc>
        <w:tc>
          <w:tcPr>
            <w:tcW w:w="11118" w:type="dxa"/>
            <w:gridSpan w:val="9"/>
            <w:shd w:val="clear" w:color="auto" w:fill="F7C9AC"/>
          </w:tcPr>
          <w:p w:rsidR="007C5447" w:rsidRDefault="00F6308C">
            <w:pPr>
              <w:pStyle w:val="TableParagraph"/>
              <w:spacing w:before="125" w:line="224" w:lineRule="exact"/>
              <w:ind w:left="5048" w:right="5026"/>
              <w:jc w:val="center"/>
              <w:rPr>
                <w:b/>
                <w:sz w:val="20"/>
              </w:rPr>
            </w:pPr>
            <w:r>
              <w:rPr>
                <w:b/>
                <w:sz w:val="20"/>
              </w:rPr>
              <w:t>FY 2015-16</w:t>
            </w:r>
          </w:p>
        </w:tc>
      </w:tr>
      <w:tr w:rsidR="007C5447">
        <w:trPr>
          <w:trHeight w:val="371"/>
        </w:trPr>
        <w:tc>
          <w:tcPr>
            <w:tcW w:w="3089" w:type="dxa"/>
            <w:vMerge/>
            <w:tcBorders>
              <w:top w:val="nil"/>
            </w:tcBorders>
            <w:shd w:val="clear" w:color="auto" w:fill="F7C9AC"/>
          </w:tcPr>
          <w:p w:rsidR="007C5447" w:rsidRDefault="007C5447">
            <w:pPr>
              <w:rPr>
                <w:sz w:val="2"/>
                <w:szCs w:val="2"/>
              </w:rPr>
            </w:pPr>
          </w:p>
        </w:tc>
        <w:tc>
          <w:tcPr>
            <w:tcW w:w="3714" w:type="dxa"/>
            <w:gridSpan w:val="3"/>
            <w:shd w:val="clear" w:color="auto" w:fill="F7C9AC"/>
          </w:tcPr>
          <w:p w:rsidR="007C5447" w:rsidRDefault="00F6308C">
            <w:pPr>
              <w:pStyle w:val="TableParagraph"/>
              <w:spacing w:before="70"/>
              <w:ind w:left="1468" w:right="1446"/>
              <w:jc w:val="center"/>
              <w:rPr>
                <w:b/>
                <w:sz w:val="20"/>
              </w:rPr>
            </w:pPr>
            <w:r>
              <w:rPr>
                <w:b/>
                <w:sz w:val="20"/>
              </w:rPr>
              <w:t>TO 2013</w:t>
            </w:r>
          </w:p>
        </w:tc>
        <w:tc>
          <w:tcPr>
            <w:tcW w:w="3607" w:type="dxa"/>
            <w:gridSpan w:val="3"/>
            <w:shd w:val="clear" w:color="auto" w:fill="F7C9AC"/>
          </w:tcPr>
          <w:p w:rsidR="007C5447" w:rsidRDefault="00F6308C">
            <w:pPr>
              <w:pStyle w:val="TableParagraph"/>
              <w:spacing w:before="70"/>
              <w:ind w:left="1204" w:right="1187"/>
              <w:jc w:val="center"/>
              <w:rPr>
                <w:b/>
                <w:sz w:val="20"/>
              </w:rPr>
            </w:pPr>
            <w:r>
              <w:rPr>
                <w:b/>
                <w:sz w:val="20"/>
              </w:rPr>
              <w:t>TANGEDCO</w:t>
            </w:r>
          </w:p>
        </w:tc>
        <w:tc>
          <w:tcPr>
            <w:tcW w:w="3797" w:type="dxa"/>
            <w:gridSpan w:val="3"/>
            <w:shd w:val="clear" w:color="auto" w:fill="F7C9AC"/>
          </w:tcPr>
          <w:p w:rsidR="007C5447" w:rsidRDefault="00F6308C">
            <w:pPr>
              <w:pStyle w:val="TableParagraph"/>
              <w:spacing w:before="70"/>
              <w:ind w:left="907"/>
              <w:jc w:val="left"/>
              <w:rPr>
                <w:b/>
                <w:sz w:val="20"/>
              </w:rPr>
            </w:pPr>
            <w:r>
              <w:rPr>
                <w:b/>
                <w:sz w:val="20"/>
              </w:rPr>
              <w:t>Approved after true up</w:t>
            </w:r>
          </w:p>
        </w:tc>
      </w:tr>
      <w:tr w:rsidR="007C5447">
        <w:trPr>
          <w:trHeight w:val="489"/>
        </w:trPr>
        <w:tc>
          <w:tcPr>
            <w:tcW w:w="3089" w:type="dxa"/>
            <w:vMerge/>
            <w:tcBorders>
              <w:top w:val="nil"/>
            </w:tcBorders>
            <w:shd w:val="clear" w:color="auto" w:fill="F7C9AC"/>
          </w:tcPr>
          <w:p w:rsidR="007C5447" w:rsidRDefault="007C5447">
            <w:pPr>
              <w:rPr>
                <w:sz w:val="2"/>
                <w:szCs w:val="2"/>
              </w:rPr>
            </w:pPr>
          </w:p>
        </w:tc>
        <w:tc>
          <w:tcPr>
            <w:tcW w:w="1140" w:type="dxa"/>
            <w:shd w:val="clear" w:color="auto" w:fill="F7C9AC"/>
          </w:tcPr>
          <w:p w:rsidR="007C5447" w:rsidRDefault="00F6308C">
            <w:pPr>
              <w:pStyle w:val="TableParagraph"/>
              <w:spacing w:before="14" w:line="230" w:lineRule="atLeast"/>
              <w:ind w:left="340" w:right="125" w:hanging="178"/>
              <w:jc w:val="left"/>
              <w:rPr>
                <w:b/>
                <w:sz w:val="20"/>
              </w:rPr>
            </w:pPr>
            <w:r>
              <w:rPr>
                <w:b/>
                <w:sz w:val="20"/>
              </w:rPr>
              <w:t>Quantum (MU)</w:t>
            </w:r>
          </w:p>
        </w:tc>
        <w:tc>
          <w:tcPr>
            <w:tcW w:w="1300" w:type="dxa"/>
            <w:shd w:val="clear" w:color="auto" w:fill="F7C9AC"/>
          </w:tcPr>
          <w:p w:rsidR="007C5447" w:rsidRDefault="00F6308C">
            <w:pPr>
              <w:pStyle w:val="TableParagraph"/>
              <w:spacing w:before="14" w:line="230" w:lineRule="atLeast"/>
              <w:ind w:left="334" w:right="247" w:firstLine="124"/>
              <w:jc w:val="left"/>
              <w:rPr>
                <w:b/>
                <w:sz w:val="20"/>
              </w:rPr>
            </w:pPr>
            <w:r>
              <w:rPr>
                <w:b/>
                <w:sz w:val="20"/>
              </w:rPr>
              <w:t>Cost (Rs. Cr)</w:t>
            </w:r>
          </w:p>
        </w:tc>
        <w:tc>
          <w:tcPr>
            <w:tcW w:w="1274" w:type="dxa"/>
            <w:shd w:val="clear" w:color="auto" w:fill="F7C9AC"/>
          </w:tcPr>
          <w:p w:rsidR="007C5447" w:rsidRDefault="00F6308C">
            <w:pPr>
              <w:pStyle w:val="TableParagraph"/>
              <w:spacing w:before="14" w:line="230" w:lineRule="atLeast"/>
              <w:ind w:left="227" w:firstLine="216"/>
              <w:jc w:val="left"/>
              <w:rPr>
                <w:b/>
                <w:sz w:val="20"/>
              </w:rPr>
            </w:pPr>
            <w:r>
              <w:rPr>
                <w:b/>
                <w:sz w:val="20"/>
              </w:rPr>
              <w:t xml:space="preserve">Rate </w:t>
            </w:r>
            <w:r>
              <w:rPr>
                <w:b/>
                <w:w w:val="95"/>
                <w:sz w:val="20"/>
              </w:rPr>
              <w:t>(Rs/kWh)</w:t>
            </w:r>
          </w:p>
        </w:tc>
        <w:tc>
          <w:tcPr>
            <w:tcW w:w="1320" w:type="dxa"/>
            <w:shd w:val="clear" w:color="auto" w:fill="F7C9AC"/>
          </w:tcPr>
          <w:p w:rsidR="007C5447" w:rsidRDefault="00F6308C">
            <w:pPr>
              <w:pStyle w:val="TableParagraph"/>
              <w:spacing w:before="14" w:line="230" w:lineRule="atLeast"/>
              <w:ind w:left="433" w:right="212" w:hanging="178"/>
              <w:jc w:val="left"/>
              <w:rPr>
                <w:b/>
                <w:sz w:val="20"/>
              </w:rPr>
            </w:pPr>
            <w:r>
              <w:rPr>
                <w:b/>
                <w:sz w:val="20"/>
              </w:rPr>
              <w:t>Quantum (MU)</w:t>
            </w:r>
          </w:p>
        </w:tc>
        <w:tc>
          <w:tcPr>
            <w:tcW w:w="1200" w:type="dxa"/>
            <w:shd w:val="clear" w:color="auto" w:fill="F7C9AC"/>
          </w:tcPr>
          <w:p w:rsidR="007C5447" w:rsidRDefault="00F6308C">
            <w:pPr>
              <w:pStyle w:val="TableParagraph"/>
              <w:spacing w:before="14" w:line="230" w:lineRule="atLeast"/>
              <w:ind w:left="261" w:right="220" w:firstLine="151"/>
              <w:jc w:val="left"/>
              <w:rPr>
                <w:b/>
                <w:sz w:val="20"/>
              </w:rPr>
            </w:pPr>
            <w:r>
              <w:rPr>
                <w:b/>
                <w:sz w:val="20"/>
              </w:rPr>
              <w:t>Cost (Rs. Cr)</w:t>
            </w:r>
          </w:p>
        </w:tc>
        <w:tc>
          <w:tcPr>
            <w:tcW w:w="1087" w:type="dxa"/>
            <w:shd w:val="clear" w:color="auto" w:fill="F7C9AC"/>
          </w:tcPr>
          <w:p w:rsidR="007C5447" w:rsidRDefault="00F6308C">
            <w:pPr>
              <w:pStyle w:val="TableParagraph"/>
              <w:spacing w:before="14" w:line="230" w:lineRule="atLeast"/>
              <w:ind w:left="134" w:right="104" w:firstLine="216"/>
              <w:jc w:val="left"/>
              <w:rPr>
                <w:b/>
                <w:sz w:val="20"/>
              </w:rPr>
            </w:pPr>
            <w:r>
              <w:rPr>
                <w:b/>
                <w:sz w:val="20"/>
              </w:rPr>
              <w:t xml:space="preserve">Rate </w:t>
            </w:r>
            <w:r>
              <w:rPr>
                <w:b/>
                <w:w w:val="95"/>
                <w:sz w:val="20"/>
              </w:rPr>
              <w:t>(Rs/kWh)</w:t>
            </w:r>
          </w:p>
        </w:tc>
        <w:tc>
          <w:tcPr>
            <w:tcW w:w="1354" w:type="dxa"/>
            <w:shd w:val="clear" w:color="auto" w:fill="F7C9AC"/>
          </w:tcPr>
          <w:p w:rsidR="007C5447" w:rsidRDefault="00F6308C">
            <w:pPr>
              <w:pStyle w:val="TableParagraph"/>
              <w:spacing w:before="14" w:line="230" w:lineRule="atLeast"/>
              <w:ind w:left="451" w:right="228" w:hanging="178"/>
              <w:jc w:val="left"/>
              <w:rPr>
                <w:b/>
                <w:sz w:val="20"/>
              </w:rPr>
            </w:pPr>
            <w:r>
              <w:rPr>
                <w:b/>
                <w:sz w:val="20"/>
              </w:rPr>
              <w:t>Quantum (MU)</w:t>
            </w:r>
          </w:p>
        </w:tc>
        <w:tc>
          <w:tcPr>
            <w:tcW w:w="1387" w:type="dxa"/>
            <w:shd w:val="clear" w:color="auto" w:fill="F7C9AC"/>
          </w:tcPr>
          <w:p w:rsidR="007C5447" w:rsidRDefault="00F6308C">
            <w:pPr>
              <w:pStyle w:val="TableParagraph"/>
              <w:spacing w:before="14" w:line="230" w:lineRule="atLeast"/>
              <w:ind w:left="355" w:right="211" w:hanging="104"/>
              <w:jc w:val="left"/>
              <w:rPr>
                <w:b/>
                <w:sz w:val="20"/>
              </w:rPr>
            </w:pPr>
            <w:r>
              <w:rPr>
                <w:b/>
                <w:sz w:val="20"/>
              </w:rPr>
              <w:t>Total Cost (Rs. Cr)</w:t>
            </w:r>
          </w:p>
        </w:tc>
        <w:tc>
          <w:tcPr>
            <w:tcW w:w="1056" w:type="dxa"/>
            <w:shd w:val="clear" w:color="auto" w:fill="F7C9AC"/>
          </w:tcPr>
          <w:p w:rsidR="007C5447" w:rsidRDefault="00F6308C">
            <w:pPr>
              <w:pStyle w:val="TableParagraph"/>
              <w:spacing w:before="14" w:line="230" w:lineRule="atLeast"/>
              <w:ind w:left="117" w:right="77" w:firstLine="216"/>
              <w:jc w:val="left"/>
              <w:rPr>
                <w:b/>
                <w:sz w:val="20"/>
              </w:rPr>
            </w:pPr>
            <w:r>
              <w:rPr>
                <w:b/>
                <w:sz w:val="20"/>
              </w:rPr>
              <w:t xml:space="preserve">Rate </w:t>
            </w:r>
            <w:r>
              <w:rPr>
                <w:b/>
                <w:w w:val="95"/>
                <w:sz w:val="20"/>
              </w:rPr>
              <w:t>(Rs/kWh)</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NTPC Vallur Unit 1 &amp; Unit 2</w:t>
            </w:r>
          </w:p>
        </w:tc>
        <w:tc>
          <w:tcPr>
            <w:tcW w:w="1140" w:type="dxa"/>
          </w:tcPr>
          <w:p w:rsidR="007C5447" w:rsidRDefault="00F6308C">
            <w:pPr>
              <w:pStyle w:val="TableParagraph"/>
              <w:spacing w:before="70"/>
              <w:ind w:right="91"/>
              <w:rPr>
                <w:sz w:val="20"/>
              </w:rPr>
            </w:pPr>
            <w:r>
              <w:rPr>
                <w:w w:val="95"/>
                <w:sz w:val="20"/>
              </w:rPr>
              <w:t>7,112.00</w:t>
            </w:r>
          </w:p>
        </w:tc>
        <w:tc>
          <w:tcPr>
            <w:tcW w:w="1300" w:type="dxa"/>
          </w:tcPr>
          <w:p w:rsidR="007C5447" w:rsidRDefault="00F6308C">
            <w:pPr>
              <w:pStyle w:val="TableParagraph"/>
              <w:spacing w:before="70"/>
              <w:ind w:right="92"/>
              <w:rPr>
                <w:sz w:val="20"/>
              </w:rPr>
            </w:pPr>
            <w:r>
              <w:rPr>
                <w:w w:val="95"/>
                <w:sz w:val="20"/>
              </w:rPr>
              <w:t>2,489.00</w:t>
            </w:r>
          </w:p>
        </w:tc>
        <w:tc>
          <w:tcPr>
            <w:tcW w:w="1274" w:type="dxa"/>
          </w:tcPr>
          <w:p w:rsidR="007C5447" w:rsidRDefault="00F6308C">
            <w:pPr>
              <w:pStyle w:val="TableParagraph"/>
              <w:spacing w:before="70"/>
              <w:ind w:right="86"/>
              <w:rPr>
                <w:sz w:val="20"/>
              </w:rPr>
            </w:pPr>
            <w:r>
              <w:rPr>
                <w:sz w:val="20"/>
              </w:rPr>
              <w:t>3.50</w:t>
            </w:r>
          </w:p>
        </w:tc>
        <w:tc>
          <w:tcPr>
            <w:tcW w:w="1320" w:type="dxa"/>
          </w:tcPr>
          <w:p w:rsidR="007C5447" w:rsidRDefault="00F6308C">
            <w:pPr>
              <w:pStyle w:val="TableParagraph"/>
              <w:spacing w:before="70"/>
              <w:ind w:right="89"/>
              <w:rPr>
                <w:sz w:val="20"/>
              </w:rPr>
            </w:pPr>
            <w:r>
              <w:rPr>
                <w:w w:val="95"/>
                <w:sz w:val="20"/>
              </w:rPr>
              <w:t>5,162.08</w:t>
            </w:r>
          </w:p>
        </w:tc>
        <w:tc>
          <w:tcPr>
            <w:tcW w:w="1200" w:type="dxa"/>
          </w:tcPr>
          <w:p w:rsidR="007C5447" w:rsidRDefault="00F6308C">
            <w:pPr>
              <w:pStyle w:val="TableParagraph"/>
              <w:spacing w:before="70"/>
              <w:ind w:right="89"/>
              <w:rPr>
                <w:sz w:val="20"/>
              </w:rPr>
            </w:pPr>
            <w:r>
              <w:rPr>
                <w:w w:val="95"/>
                <w:sz w:val="20"/>
              </w:rPr>
              <w:t>1,910.52</w:t>
            </w:r>
          </w:p>
        </w:tc>
        <w:tc>
          <w:tcPr>
            <w:tcW w:w="1087" w:type="dxa"/>
          </w:tcPr>
          <w:p w:rsidR="007C5447" w:rsidRDefault="00F6308C">
            <w:pPr>
              <w:pStyle w:val="TableParagraph"/>
              <w:spacing w:before="70"/>
              <w:ind w:right="90"/>
              <w:rPr>
                <w:sz w:val="20"/>
              </w:rPr>
            </w:pPr>
            <w:r>
              <w:rPr>
                <w:sz w:val="20"/>
              </w:rPr>
              <w:t>3.70</w:t>
            </w:r>
          </w:p>
        </w:tc>
        <w:tc>
          <w:tcPr>
            <w:tcW w:w="1354" w:type="dxa"/>
          </w:tcPr>
          <w:p w:rsidR="007C5447" w:rsidRDefault="00F6308C">
            <w:pPr>
              <w:pStyle w:val="TableParagraph"/>
              <w:spacing w:before="70"/>
              <w:ind w:right="89"/>
              <w:rPr>
                <w:sz w:val="20"/>
              </w:rPr>
            </w:pPr>
            <w:r>
              <w:rPr>
                <w:w w:val="95"/>
                <w:sz w:val="20"/>
              </w:rPr>
              <w:t>5,162.08</w:t>
            </w:r>
          </w:p>
        </w:tc>
        <w:tc>
          <w:tcPr>
            <w:tcW w:w="1387" w:type="dxa"/>
          </w:tcPr>
          <w:p w:rsidR="007C5447" w:rsidRDefault="00F6308C">
            <w:pPr>
              <w:pStyle w:val="TableParagraph"/>
              <w:spacing w:before="70"/>
              <w:ind w:right="88"/>
              <w:rPr>
                <w:sz w:val="20"/>
              </w:rPr>
            </w:pPr>
            <w:r>
              <w:rPr>
                <w:w w:val="95"/>
                <w:sz w:val="20"/>
              </w:rPr>
              <w:t>1,910.52</w:t>
            </w:r>
          </w:p>
        </w:tc>
        <w:tc>
          <w:tcPr>
            <w:tcW w:w="1056" w:type="dxa"/>
          </w:tcPr>
          <w:p w:rsidR="007C5447" w:rsidRDefault="00F6308C">
            <w:pPr>
              <w:pStyle w:val="TableParagraph"/>
              <w:spacing w:before="70"/>
              <w:ind w:right="90"/>
              <w:rPr>
                <w:sz w:val="20"/>
              </w:rPr>
            </w:pPr>
            <w:r>
              <w:rPr>
                <w:sz w:val="20"/>
              </w:rPr>
              <w:t>3.70</w:t>
            </w:r>
          </w:p>
        </w:tc>
      </w:tr>
      <w:tr w:rsidR="007C5447">
        <w:trPr>
          <w:trHeight w:val="371"/>
        </w:trPr>
        <w:tc>
          <w:tcPr>
            <w:tcW w:w="3089" w:type="dxa"/>
            <w:tcBorders>
              <w:left w:val="single" w:sz="8" w:space="0" w:color="000000"/>
            </w:tcBorders>
          </w:tcPr>
          <w:p w:rsidR="007C5447" w:rsidRDefault="00F6308C">
            <w:pPr>
              <w:pStyle w:val="TableParagraph"/>
              <w:spacing w:before="70"/>
              <w:ind w:left="107"/>
              <w:jc w:val="left"/>
              <w:rPr>
                <w:sz w:val="20"/>
              </w:rPr>
            </w:pPr>
            <w:r>
              <w:rPr>
                <w:sz w:val="20"/>
              </w:rPr>
              <w:t>PFBR Kalpakkam</w:t>
            </w:r>
          </w:p>
        </w:tc>
        <w:tc>
          <w:tcPr>
            <w:tcW w:w="1140" w:type="dxa"/>
          </w:tcPr>
          <w:p w:rsidR="007C5447" w:rsidRDefault="00F6308C">
            <w:pPr>
              <w:pStyle w:val="TableParagraph"/>
              <w:spacing w:before="70"/>
              <w:ind w:right="90"/>
              <w:rPr>
                <w:sz w:val="20"/>
              </w:rPr>
            </w:pPr>
            <w:r>
              <w:rPr>
                <w:w w:val="95"/>
                <w:sz w:val="20"/>
              </w:rPr>
              <w:t>792.00</w:t>
            </w:r>
          </w:p>
        </w:tc>
        <w:tc>
          <w:tcPr>
            <w:tcW w:w="1300" w:type="dxa"/>
          </w:tcPr>
          <w:p w:rsidR="007C5447" w:rsidRDefault="00F6308C">
            <w:pPr>
              <w:pStyle w:val="TableParagraph"/>
              <w:spacing w:before="70"/>
              <w:ind w:right="91"/>
              <w:rPr>
                <w:sz w:val="20"/>
              </w:rPr>
            </w:pPr>
            <w:r>
              <w:rPr>
                <w:w w:val="95"/>
                <w:sz w:val="20"/>
              </w:rPr>
              <w:t>239.00</w:t>
            </w:r>
          </w:p>
        </w:tc>
        <w:tc>
          <w:tcPr>
            <w:tcW w:w="1274" w:type="dxa"/>
          </w:tcPr>
          <w:p w:rsidR="007C5447" w:rsidRDefault="00F6308C">
            <w:pPr>
              <w:pStyle w:val="TableParagraph"/>
              <w:spacing w:before="70"/>
              <w:ind w:right="86"/>
              <w:rPr>
                <w:sz w:val="20"/>
              </w:rPr>
            </w:pPr>
            <w:r>
              <w:rPr>
                <w:sz w:val="20"/>
              </w:rPr>
              <w:t>3.02</w:t>
            </w:r>
          </w:p>
        </w:tc>
        <w:tc>
          <w:tcPr>
            <w:tcW w:w="1320" w:type="dxa"/>
          </w:tcPr>
          <w:p w:rsidR="007C5447" w:rsidRDefault="00F6308C">
            <w:pPr>
              <w:pStyle w:val="TableParagraph"/>
              <w:spacing w:before="70"/>
              <w:ind w:right="89"/>
              <w:rPr>
                <w:sz w:val="20"/>
              </w:rPr>
            </w:pPr>
            <w:r>
              <w:rPr>
                <w:w w:val="99"/>
                <w:sz w:val="20"/>
              </w:rPr>
              <w:t>-</w:t>
            </w:r>
          </w:p>
        </w:tc>
        <w:tc>
          <w:tcPr>
            <w:tcW w:w="1200" w:type="dxa"/>
          </w:tcPr>
          <w:p w:rsidR="007C5447" w:rsidRDefault="00F6308C">
            <w:pPr>
              <w:pStyle w:val="TableParagraph"/>
              <w:spacing w:before="70"/>
              <w:ind w:right="89"/>
              <w:rPr>
                <w:sz w:val="20"/>
              </w:rPr>
            </w:pPr>
            <w:r>
              <w:rPr>
                <w:w w:val="99"/>
                <w:sz w:val="20"/>
              </w:rPr>
              <w:t>-</w:t>
            </w:r>
          </w:p>
        </w:tc>
        <w:tc>
          <w:tcPr>
            <w:tcW w:w="1087" w:type="dxa"/>
          </w:tcPr>
          <w:p w:rsidR="007C5447" w:rsidRDefault="00F6308C">
            <w:pPr>
              <w:pStyle w:val="TableParagraph"/>
              <w:spacing w:before="70"/>
              <w:ind w:right="89"/>
              <w:rPr>
                <w:sz w:val="20"/>
              </w:rPr>
            </w:pPr>
            <w:r>
              <w:rPr>
                <w:w w:val="99"/>
                <w:sz w:val="20"/>
              </w:rPr>
              <w:t>-</w:t>
            </w:r>
          </w:p>
        </w:tc>
        <w:tc>
          <w:tcPr>
            <w:tcW w:w="1354" w:type="dxa"/>
          </w:tcPr>
          <w:p w:rsidR="007C5447" w:rsidRDefault="00F6308C">
            <w:pPr>
              <w:pStyle w:val="TableParagraph"/>
              <w:spacing w:before="70"/>
              <w:ind w:right="89"/>
              <w:rPr>
                <w:sz w:val="20"/>
              </w:rPr>
            </w:pPr>
            <w:r>
              <w:rPr>
                <w:w w:val="99"/>
                <w:sz w:val="20"/>
              </w:rPr>
              <w:t>-</w:t>
            </w:r>
          </w:p>
        </w:tc>
        <w:tc>
          <w:tcPr>
            <w:tcW w:w="1387" w:type="dxa"/>
          </w:tcPr>
          <w:p w:rsidR="007C5447" w:rsidRDefault="00F6308C">
            <w:pPr>
              <w:pStyle w:val="TableParagraph"/>
              <w:spacing w:before="70"/>
              <w:ind w:right="89"/>
              <w:rPr>
                <w:sz w:val="20"/>
              </w:rPr>
            </w:pPr>
            <w:r>
              <w:rPr>
                <w:w w:val="99"/>
                <w:sz w:val="20"/>
              </w:rPr>
              <w:t>-</w:t>
            </w:r>
          </w:p>
        </w:tc>
        <w:tc>
          <w:tcPr>
            <w:tcW w:w="1056" w:type="dxa"/>
          </w:tcPr>
          <w:p w:rsidR="007C5447" w:rsidRDefault="00F6308C">
            <w:pPr>
              <w:pStyle w:val="TableParagraph"/>
              <w:spacing w:before="70"/>
              <w:ind w:right="89"/>
              <w:rPr>
                <w:sz w:val="20"/>
              </w:rPr>
            </w:pPr>
            <w:r>
              <w:rPr>
                <w:w w:val="99"/>
                <w:sz w:val="20"/>
              </w:rPr>
              <w:t>-</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Kudankulum</w:t>
            </w:r>
          </w:p>
        </w:tc>
        <w:tc>
          <w:tcPr>
            <w:tcW w:w="1140" w:type="dxa"/>
          </w:tcPr>
          <w:p w:rsidR="007C5447" w:rsidRDefault="00F6308C">
            <w:pPr>
              <w:pStyle w:val="TableParagraph"/>
              <w:spacing w:before="70"/>
              <w:ind w:right="91"/>
              <w:rPr>
                <w:sz w:val="20"/>
              </w:rPr>
            </w:pPr>
            <w:r>
              <w:rPr>
                <w:w w:val="95"/>
                <w:sz w:val="20"/>
              </w:rPr>
              <w:t>4,388.00</w:t>
            </w:r>
          </w:p>
        </w:tc>
        <w:tc>
          <w:tcPr>
            <w:tcW w:w="1300" w:type="dxa"/>
          </w:tcPr>
          <w:p w:rsidR="007C5447" w:rsidRDefault="00F6308C">
            <w:pPr>
              <w:pStyle w:val="TableParagraph"/>
              <w:spacing w:before="70"/>
              <w:ind w:right="92"/>
              <w:rPr>
                <w:sz w:val="20"/>
              </w:rPr>
            </w:pPr>
            <w:r>
              <w:rPr>
                <w:w w:val="95"/>
                <w:sz w:val="20"/>
              </w:rPr>
              <w:t>1,325.00</w:t>
            </w:r>
          </w:p>
        </w:tc>
        <w:tc>
          <w:tcPr>
            <w:tcW w:w="1274" w:type="dxa"/>
          </w:tcPr>
          <w:p w:rsidR="007C5447" w:rsidRDefault="00F6308C">
            <w:pPr>
              <w:pStyle w:val="TableParagraph"/>
              <w:spacing w:before="70"/>
              <w:ind w:right="86"/>
              <w:rPr>
                <w:sz w:val="20"/>
              </w:rPr>
            </w:pPr>
            <w:r>
              <w:rPr>
                <w:sz w:val="20"/>
              </w:rPr>
              <w:t>3.02</w:t>
            </w:r>
          </w:p>
        </w:tc>
        <w:tc>
          <w:tcPr>
            <w:tcW w:w="1320" w:type="dxa"/>
          </w:tcPr>
          <w:p w:rsidR="007C5447" w:rsidRDefault="00F6308C">
            <w:pPr>
              <w:pStyle w:val="TableParagraph"/>
              <w:spacing w:before="70"/>
              <w:ind w:right="89"/>
              <w:rPr>
                <w:sz w:val="20"/>
              </w:rPr>
            </w:pPr>
            <w:r>
              <w:rPr>
                <w:w w:val="95"/>
                <w:sz w:val="20"/>
              </w:rPr>
              <w:t>1,046.54</w:t>
            </w:r>
          </w:p>
        </w:tc>
        <w:tc>
          <w:tcPr>
            <w:tcW w:w="1200" w:type="dxa"/>
          </w:tcPr>
          <w:p w:rsidR="007C5447" w:rsidRDefault="00F6308C">
            <w:pPr>
              <w:pStyle w:val="TableParagraph"/>
              <w:spacing w:before="70"/>
              <w:ind w:right="91"/>
              <w:rPr>
                <w:sz w:val="20"/>
              </w:rPr>
            </w:pPr>
            <w:r>
              <w:rPr>
                <w:w w:val="95"/>
                <w:sz w:val="20"/>
              </w:rPr>
              <w:t>412.86</w:t>
            </w:r>
          </w:p>
        </w:tc>
        <w:tc>
          <w:tcPr>
            <w:tcW w:w="1087" w:type="dxa"/>
          </w:tcPr>
          <w:p w:rsidR="007C5447" w:rsidRDefault="00F6308C">
            <w:pPr>
              <w:pStyle w:val="TableParagraph"/>
              <w:spacing w:before="70"/>
              <w:ind w:right="90"/>
              <w:rPr>
                <w:sz w:val="20"/>
              </w:rPr>
            </w:pPr>
            <w:r>
              <w:rPr>
                <w:sz w:val="20"/>
              </w:rPr>
              <w:t>3.94</w:t>
            </w:r>
          </w:p>
        </w:tc>
        <w:tc>
          <w:tcPr>
            <w:tcW w:w="1354" w:type="dxa"/>
          </w:tcPr>
          <w:p w:rsidR="007C5447" w:rsidRDefault="00F6308C">
            <w:pPr>
              <w:pStyle w:val="TableParagraph"/>
              <w:spacing w:before="70"/>
              <w:ind w:right="89"/>
              <w:rPr>
                <w:sz w:val="20"/>
              </w:rPr>
            </w:pPr>
            <w:r>
              <w:rPr>
                <w:w w:val="95"/>
                <w:sz w:val="20"/>
              </w:rPr>
              <w:t>1,046.54</w:t>
            </w:r>
          </w:p>
        </w:tc>
        <w:tc>
          <w:tcPr>
            <w:tcW w:w="1387" w:type="dxa"/>
          </w:tcPr>
          <w:p w:rsidR="007C5447" w:rsidRDefault="00F6308C">
            <w:pPr>
              <w:pStyle w:val="TableParagraph"/>
              <w:spacing w:before="70"/>
              <w:ind w:right="90"/>
              <w:rPr>
                <w:sz w:val="20"/>
              </w:rPr>
            </w:pPr>
            <w:r>
              <w:rPr>
                <w:w w:val="95"/>
                <w:sz w:val="20"/>
              </w:rPr>
              <w:t>412.86</w:t>
            </w:r>
          </w:p>
        </w:tc>
        <w:tc>
          <w:tcPr>
            <w:tcW w:w="1056" w:type="dxa"/>
          </w:tcPr>
          <w:p w:rsidR="007C5447" w:rsidRDefault="00F6308C">
            <w:pPr>
              <w:pStyle w:val="TableParagraph"/>
              <w:spacing w:before="70"/>
              <w:ind w:right="90"/>
              <w:rPr>
                <w:sz w:val="20"/>
              </w:rPr>
            </w:pPr>
            <w:r>
              <w:rPr>
                <w:sz w:val="20"/>
              </w:rPr>
              <w:t>3.94</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b/>
                <w:sz w:val="20"/>
              </w:rPr>
            </w:pPr>
            <w:r>
              <w:rPr>
                <w:b/>
                <w:sz w:val="20"/>
              </w:rPr>
              <w:t>Total CGS</w:t>
            </w:r>
          </w:p>
        </w:tc>
        <w:tc>
          <w:tcPr>
            <w:tcW w:w="1140" w:type="dxa"/>
          </w:tcPr>
          <w:p w:rsidR="007C5447" w:rsidRDefault="00F6308C">
            <w:pPr>
              <w:pStyle w:val="TableParagraph"/>
              <w:spacing w:before="70"/>
              <w:ind w:right="93"/>
              <w:rPr>
                <w:b/>
                <w:sz w:val="20"/>
              </w:rPr>
            </w:pPr>
            <w:r>
              <w:rPr>
                <w:b/>
                <w:w w:val="95"/>
                <w:sz w:val="20"/>
              </w:rPr>
              <w:t>37,947.00</w:t>
            </w:r>
          </w:p>
        </w:tc>
        <w:tc>
          <w:tcPr>
            <w:tcW w:w="1300" w:type="dxa"/>
          </w:tcPr>
          <w:p w:rsidR="007C5447" w:rsidRDefault="00F6308C">
            <w:pPr>
              <w:pStyle w:val="TableParagraph"/>
              <w:spacing w:before="70"/>
              <w:ind w:right="92"/>
              <w:rPr>
                <w:b/>
                <w:sz w:val="20"/>
              </w:rPr>
            </w:pPr>
            <w:r>
              <w:rPr>
                <w:b/>
                <w:w w:val="95"/>
                <w:sz w:val="20"/>
              </w:rPr>
              <w:t>11,293.00</w:t>
            </w:r>
          </w:p>
        </w:tc>
        <w:tc>
          <w:tcPr>
            <w:tcW w:w="1274" w:type="dxa"/>
          </w:tcPr>
          <w:p w:rsidR="007C5447" w:rsidRDefault="00F6308C">
            <w:pPr>
              <w:pStyle w:val="TableParagraph"/>
              <w:spacing w:before="70"/>
              <w:ind w:right="86"/>
              <w:rPr>
                <w:b/>
                <w:sz w:val="20"/>
              </w:rPr>
            </w:pPr>
            <w:r>
              <w:rPr>
                <w:b/>
                <w:sz w:val="20"/>
              </w:rPr>
              <w:t>2.98</w:t>
            </w:r>
          </w:p>
        </w:tc>
        <w:tc>
          <w:tcPr>
            <w:tcW w:w="1320" w:type="dxa"/>
          </w:tcPr>
          <w:p w:rsidR="007C5447" w:rsidRDefault="00F6308C">
            <w:pPr>
              <w:pStyle w:val="TableParagraph"/>
              <w:spacing w:before="70"/>
              <w:ind w:right="91"/>
              <w:rPr>
                <w:b/>
                <w:sz w:val="20"/>
              </w:rPr>
            </w:pPr>
            <w:r>
              <w:rPr>
                <w:b/>
                <w:w w:val="95"/>
                <w:sz w:val="20"/>
              </w:rPr>
              <w:t>29,678.09</w:t>
            </w:r>
          </w:p>
        </w:tc>
        <w:tc>
          <w:tcPr>
            <w:tcW w:w="1200" w:type="dxa"/>
          </w:tcPr>
          <w:p w:rsidR="007C5447" w:rsidRDefault="00F6308C">
            <w:pPr>
              <w:pStyle w:val="TableParagraph"/>
              <w:spacing w:before="70"/>
              <w:ind w:right="89"/>
              <w:rPr>
                <w:b/>
                <w:sz w:val="20"/>
              </w:rPr>
            </w:pPr>
            <w:r>
              <w:rPr>
                <w:b/>
                <w:w w:val="95"/>
                <w:sz w:val="20"/>
              </w:rPr>
              <w:t>9,438.23</w:t>
            </w:r>
          </w:p>
        </w:tc>
        <w:tc>
          <w:tcPr>
            <w:tcW w:w="1087" w:type="dxa"/>
          </w:tcPr>
          <w:p w:rsidR="007C5447" w:rsidRDefault="00F6308C">
            <w:pPr>
              <w:pStyle w:val="TableParagraph"/>
              <w:spacing w:before="70"/>
              <w:ind w:right="90"/>
              <w:rPr>
                <w:b/>
                <w:sz w:val="20"/>
              </w:rPr>
            </w:pPr>
            <w:r>
              <w:rPr>
                <w:b/>
                <w:sz w:val="20"/>
              </w:rPr>
              <w:t>3.18</w:t>
            </w:r>
          </w:p>
        </w:tc>
        <w:tc>
          <w:tcPr>
            <w:tcW w:w="1354" w:type="dxa"/>
          </w:tcPr>
          <w:p w:rsidR="007C5447" w:rsidRDefault="00F6308C">
            <w:pPr>
              <w:pStyle w:val="TableParagraph"/>
              <w:spacing w:before="70"/>
              <w:ind w:right="91"/>
              <w:rPr>
                <w:b/>
                <w:sz w:val="20"/>
              </w:rPr>
            </w:pPr>
            <w:r>
              <w:rPr>
                <w:b/>
                <w:w w:val="95"/>
                <w:sz w:val="20"/>
              </w:rPr>
              <w:t>29,678.09</w:t>
            </w:r>
          </w:p>
        </w:tc>
        <w:tc>
          <w:tcPr>
            <w:tcW w:w="1387" w:type="dxa"/>
          </w:tcPr>
          <w:p w:rsidR="007C5447" w:rsidRDefault="00F6308C">
            <w:pPr>
              <w:pStyle w:val="TableParagraph"/>
              <w:spacing w:before="70"/>
              <w:ind w:right="88"/>
              <w:rPr>
                <w:b/>
                <w:sz w:val="20"/>
              </w:rPr>
            </w:pPr>
            <w:r>
              <w:rPr>
                <w:b/>
                <w:w w:val="95"/>
                <w:sz w:val="20"/>
              </w:rPr>
              <w:t>9,438.39</w:t>
            </w:r>
          </w:p>
        </w:tc>
        <w:tc>
          <w:tcPr>
            <w:tcW w:w="1056" w:type="dxa"/>
          </w:tcPr>
          <w:p w:rsidR="007C5447" w:rsidRDefault="00F6308C">
            <w:pPr>
              <w:pStyle w:val="TableParagraph"/>
              <w:spacing w:before="70"/>
              <w:ind w:right="90"/>
              <w:rPr>
                <w:b/>
                <w:sz w:val="20"/>
              </w:rPr>
            </w:pPr>
            <w:r>
              <w:rPr>
                <w:b/>
                <w:sz w:val="20"/>
              </w:rPr>
              <w:t>3.18</w:t>
            </w:r>
          </w:p>
        </w:tc>
      </w:tr>
      <w:tr w:rsidR="007C5447">
        <w:trPr>
          <w:trHeight w:val="371"/>
        </w:trPr>
        <w:tc>
          <w:tcPr>
            <w:tcW w:w="3089" w:type="dxa"/>
            <w:tcBorders>
              <w:left w:val="single" w:sz="8" w:space="0" w:color="000000"/>
            </w:tcBorders>
          </w:tcPr>
          <w:p w:rsidR="007C5447" w:rsidRDefault="00F6308C">
            <w:pPr>
              <w:pStyle w:val="TableParagraph"/>
              <w:spacing w:before="70"/>
              <w:ind w:left="107"/>
              <w:jc w:val="left"/>
              <w:rPr>
                <w:b/>
                <w:sz w:val="20"/>
              </w:rPr>
            </w:pPr>
            <w:r>
              <w:rPr>
                <w:b/>
                <w:sz w:val="20"/>
              </w:rPr>
              <w:t>IPP</w:t>
            </w:r>
          </w:p>
        </w:tc>
        <w:tc>
          <w:tcPr>
            <w:tcW w:w="1140"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7C5447">
            <w:pPr>
              <w:pStyle w:val="TableParagraph"/>
              <w:jc w:val="left"/>
              <w:rPr>
                <w:sz w:val="20"/>
              </w:rPr>
            </w:pPr>
          </w:p>
        </w:tc>
        <w:tc>
          <w:tcPr>
            <w:tcW w:w="1200" w:type="dxa"/>
          </w:tcPr>
          <w:p w:rsidR="007C5447" w:rsidRDefault="007C5447">
            <w:pPr>
              <w:pStyle w:val="TableParagraph"/>
              <w:jc w:val="left"/>
              <w:rPr>
                <w:sz w:val="20"/>
              </w:rPr>
            </w:pP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GMR Vasavi</w:t>
            </w:r>
          </w:p>
        </w:tc>
        <w:tc>
          <w:tcPr>
            <w:tcW w:w="1140" w:type="dxa"/>
          </w:tcPr>
          <w:p w:rsidR="007C5447" w:rsidRDefault="00F6308C">
            <w:pPr>
              <w:pStyle w:val="TableParagraph"/>
              <w:spacing w:before="70"/>
              <w:ind w:right="91"/>
              <w:rPr>
                <w:sz w:val="20"/>
              </w:rPr>
            </w:pPr>
            <w:r>
              <w:rPr>
                <w:w w:val="99"/>
                <w:sz w:val="20"/>
              </w:rPr>
              <w:t>-</w:t>
            </w:r>
          </w:p>
        </w:tc>
        <w:tc>
          <w:tcPr>
            <w:tcW w:w="1300" w:type="dxa"/>
          </w:tcPr>
          <w:p w:rsidR="007C5447" w:rsidRDefault="00F6308C">
            <w:pPr>
              <w:pStyle w:val="TableParagraph"/>
              <w:spacing w:before="70"/>
              <w:ind w:right="93"/>
              <w:rPr>
                <w:sz w:val="20"/>
              </w:rPr>
            </w:pPr>
            <w:r>
              <w:rPr>
                <w:w w:val="99"/>
                <w:sz w:val="20"/>
              </w:rPr>
              <w:t>-</w:t>
            </w:r>
          </w:p>
        </w:tc>
        <w:tc>
          <w:tcPr>
            <w:tcW w:w="1274" w:type="dxa"/>
          </w:tcPr>
          <w:p w:rsidR="007C5447" w:rsidRDefault="00F6308C">
            <w:pPr>
              <w:pStyle w:val="TableParagraph"/>
              <w:spacing w:before="70"/>
              <w:ind w:right="87"/>
              <w:rPr>
                <w:sz w:val="20"/>
              </w:rPr>
            </w:pPr>
            <w:r>
              <w:rPr>
                <w:w w:val="99"/>
                <w:sz w:val="20"/>
              </w:rPr>
              <w:t>-</w:t>
            </w:r>
          </w:p>
        </w:tc>
        <w:tc>
          <w:tcPr>
            <w:tcW w:w="1320" w:type="dxa"/>
          </w:tcPr>
          <w:p w:rsidR="007C5447" w:rsidRDefault="00F6308C">
            <w:pPr>
              <w:pStyle w:val="TableParagraph"/>
              <w:spacing w:before="70"/>
              <w:ind w:right="87"/>
              <w:rPr>
                <w:sz w:val="20"/>
              </w:rPr>
            </w:pPr>
            <w:r>
              <w:rPr>
                <w:w w:val="99"/>
                <w:sz w:val="20"/>
              </w:rPr>
              <w:t>-</w:t>
            </w:r>
          </w:p>
        </w:tc>
        <w:tc>
          <w:tcPr>
            <w:tcW w:w="1200" w:type="dxa"/>
          </w:tcPr>
          <w:p w:rsidR="007C5447" w:rsidRDefault="00F6308C">
            <w:pPr>
              <w:pStyle w:val="TableParagraph"/>
              <w:spacing w:before="70"/>
              <w:ind w:right="87"/>
              <w:rPr>
                <w:sz w:val="20"/>
              </w:rPr>
            </w:pPr>
            <w:r>
              <w:rPr>
                <w:w w:val="99"/>
                <w:sz w:val="20"/>
              </w:rPr>
              <w:t>-</w:t>
            </w:r>
          </w:p>
        </w:tc>
        <w:tc>
          <w:tcPr>
            <w:tcW w:w="1087" w:type="dxa"/>
          </w:tcPr>
          <w:p w:rsidR="007C5447" w:rsidRDefault="00F6308C">
            <w:pPr>
              <w:pStyle w:val="TableParagraph"/>
              <w:spacing w:before="70"/>
              <w:ind w:right="89"/>
              <w:rPr>
                <w:sz w:val="20"/>
              </w:rPr>
            </w:pPr>
            <w:r>
              <w:rPr>
                <w:w w:val="99"/>
                <w:sz w:val="20"/>
              </w:rPr>
              <w:t>=</w:t>
            </w:r>
          </w:p>
        </w:tc>
        <w:tc>
          <w:tcPr>
            <w:tcW w:w="1354" w:type="dxa"/>
          </w:tcPr>
          <w:p w:rsidR="007C5447" w:rsidRDefault="00F6308C">
            <w:pPr>
              <w:pStyle w:val="TableParagraph"/>
              <w:spacing w:before="70"/>
              <w:ind w:right="87"/>
              <w:rPr>
                <w:sz w:val="20"/>
              </w:rPr>
            </w:pPr>
            <w:r>
              <w:rPr>
                <w:w w:val="99"/>
                <w:sz w:val="20"/>
              </w:rPr>
              <w:t>-</w:t>
            </w:r>
          </w:p>
        </w:tc>
        <w:tc>
          <w:tcPr>
            <w:tcW w:w="1387" w:type="dxa"/>
          </w:tcPr>
          <w:p w:rsidR="007C5447" w:rsidRDefault="00F6308C">
            <w:pPr>
              <w:pStyle w:val="TableParagraph"/>
              <w:spacing w:before="70"/>
              <w:ind w:right="86"/>
              <w:rPr>
                <w:sz w:val="20"/>
              </w:rPr>
            </w:pPr>
            <w:r>
              <w:rPr>
                <w:w w:val="99"/>
                <w:sz w:val="20"/>
              </w:rPr>
              <w:t>-</w:t>
            </w: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Samalpatti</w:t>
            </w:r>
          </w:p>
        </w:tc>
        <w:tc>
          <w:tcPr>
            <w:tcW w:w="1140" w:type="dxa"/>
          </w:tcPr>
          <w:p w:rsidR="007C5447" w:rsidRDefault="00F6308C">
            <w:pPr>
              <w:pStyle w:val="TableParagraph"/>
              <w:spacing w:before="70"/>
              <w:ind w:right="91"/>
              <w:rPr>
                <w:sz w:val="20"/>
              </w:rPr>
            </w:pPr>
            <w:r>
              <w:rPr>
                <w:w w:val="99"/>
                <w:sz w:val="20"/>
              </w:rPr>
              <w:t>-</w:t>
            </w:r>
          </w:p>
        </w:tc>
        <w:tc>
          <w:tcPr>
            <w:tcW w:w="1300" w:type="dxa"/>
          </w:tcPr>
          <w:p w:rsidR="007C5447" w:rsidRDefault="00F6308C">
            <w:pPr>
              <w:pStyle w:val="TableParagraph"/>
              <w:spacing w:before="70"/>
              <w:ind w:right="91"/>
              <w:rPr>
                <w:sz w:val="20"/>
              </w:rPr>
            </w:pPr>
            <w:r>
              <w:rPr>
                <w:w w:val="95"/>
                <w:sz w:val="20"/>
              </w:rPr>
              <w:t>100.00</w:t>
            </w:r>
          </w:p>
        </w:tc>
        <w:tc>
          <w:tcPr>
            <w:tcW w:w="1274" w:type="dxa"/>
          </w:tcPr>
          <w:p w:rsidR="007C5447" w:rsidRDefault="00F6308C">
            <w:pPr>
              <w:pStyle w:val="TableParagraph"/>
              <w:spacing w:before="70"/>
              <w:ind w:right="87"/>
              <w:rPr>
                <w:sz w:val="20"/>
              </w:rPr>
            </w:pPr>
            <w:r>
              <w:rPr>
                <w:w w:val="99"/>
                <w:sz w:val="20"/>
              </w:rPr>
              <w:t>-</w:t>
            </w:r>
          </w:p>
        </w:tc>
        <w:tc>
          <w:tcPr>
            <w:tcW w:w="1320" w:type="dxa"/>
          </w:tcPr>
          <w:p w:rsidR="007C5447" w:rsidRDefault="00F6308C">
            <w:pPr>
              <w:pStyle w:val="TableParagraph"/>
              <w:spacing w:before="70"/>
              <w:ind w:right="91"/>
              <w:rPr>
                <w:sz w:val="20"/>
              </w:rPr>
            </w:pPr>
            <w:r>
              <w:rPr>
                <w:w w:val="95"/>
                <w:sz w:val="20"/>
              </w:rPr>
              <w:t>35.81</w:t>
            </w:r>
          </w:p>
        </w:tc>
        <w:tc>
          <w:tcPr>
            <w:tcW w:w="1200" w:type="dxa"/>
          </w:tcPr>
          <w:p w:rsidR="007C5447" w:rsidRDefault="00F6308C">
            <w:pPr>
              <w:pStyle w:val="TableParagraph"/>
              <w:spacing w:before="70"/>
              <w:ind w:right="90"/>
              <w:rPr>
                <w:sz w:val="20"/>
              </w:rPr>
            </w:pPr>
            <w:r>
              <w:rPr>
                <w:w w:val="95"/>
                <w:sz w:val="20"/>
              </w:rPr>
              <w:t>85.09</w:t>
            </w:r>
          </w:p>
        </w:tc>
        <w:tc>
          <w:tcPr>
            <w:tcW w:w="1087" w:type="dxa"/>
          </w:tcPr>
          <w:p w:rsidR="007C5447" w:rsidRDefault="00F6308C">
            <w:pPr>
              <w:pStyle w:val="TableParagraph"/>
              <w:spacing w:before="70"/>
              <w:ind w:right="90"/>
              <w:rPr>
                <w:sz w:val="20"/>
              </w:rPr>
            </w:pPr>
            <w:r>
              <w:rPr>
                <w:w w:val="95"/>
                <w:sz w:val="20"/>
              </w:rPr>
              <w:t>23.76</w:t>
            </w:r>
          </w:p>
        </w:tc>
        <w:tc>
          <w:tcPr>
            <w:tcW w:w="1354" w:type="dxa"/>
          </w:tcPr>
          <w:p w:rsidR="007C5447" w:rsidRDefault="00F6308C">
            <w:pPr>
              <w:pStyle w:val="TableParagraph"/>
              <w:spacing w:before="70"/>
              <w:ind w:right="87"/>
              <w:rPr>
                <w:sz w:val="20"/>
              </w:rPr>
            </w:pPr>
            <w:r>
              <w:rPr>
                <w:w w:val="99"/>
                <w:sz w:val="20"/>
              </w:rPr>
              <w:t>-</w:t>
            </w:r>
          </w:p>
        </w:tc>
        <w:tc>
          <w:tcPr>
            <w:tcW w:w="1387" w:type="dxa"/>
          </w:tcPr>
          <w:p w:rsidR="007C5447" w:rsidRDefault="00F6308C">
            <w:pPr>
              <w:pStyle w:val="TableParagraph"/>
              <w:spacing w:before="70"/>
              <w:ind w:right="90"/>
              <w:rPr>
                <w:sz w:val="20"/>
              </w:rPr>
            </w:pPr>
            <w:r>
              <w:rPr>
                <w:w w:val="95"/>
                <w:sz w:val="20"/>
              </w:rPr>
              <w:t>67.00</w:t>
            </w:r>
          </w:p>
        </w:tc>
        <w:tc>
          <w:tcPr>
            <w:tcW w:w="1056" w:type="dxa"/>
          </w:tcPr>
          <w:p w:rsidR="007C5447" w:rsidRDefault="007C5447">
            <w:pPr>
              <w:pStyle w:val="TableParagraph"/>
              <w:jc w:val="left"/>
              <w:rPr>
                <w:sz w:val="20"/>
              </w:rPr>
            </w:pPr>
          </w:p>
        </w:tc>
      </w:tr>
      <w:tr w:rsidR="007C5447">
        <w:trPr>
          <w:trHeight w:val="371"/>
        </w:trPr>
        <w:tc>
          <w:tcPr>
            <w:tcW w:w="3089" w:type="dxa"/>
            <w:tcBorders>
              <w:left w:val="single" w:sz="8" w:space="0" w:color="000000"/>
            </w:tcBorders>
          </w:tcPr>
          <w:p w:rsidR="007C5447" w:rsidRDefault="00F6308C">
            <w:pPr>
              <w:pStyle w:val="TableParagraph"/>
              <w:spacing w:before="70"/>
              <w:ind w:left="107"/>
              <w:jc w:val="left"/>
              <w:rPr>
                <w:sz w:val="20"/>
              </w:rPr>
            </w:pPr>
            <w:r>
              <w:rPr>
                <w:sz w:val="20"/>
              </w:rPr>
              <w:t>Madurai Power Corpn</w:t>
            </w:r>
          </w:p>
        </w:tc>
        <w:tc>
          <w:tcPr>
            <w:tcW w:w="1140" w:type="dxa"/>
          </w:tcPr>
          <w:p w:rsidR="007C5447" w:rsidRDefault="00F6308C">
            <w:pPr>
              <w:pStyle w:val="TableParagraph"/>
              <w:spacing w:before="70"/>
              <w:ind w:right="91"/>
              <w:rPr>
                <w:sz w:val="20"/>
              </w:rPr>
            </w:pPr>
            <w:r>
              <w:rPr>
                <w:w w:val="99"/>
                <w:sz w:val="20"/>
              </w:rPr>
              <w:t>-</w:t>
            </w:r>
          </w:p>
        </w:tc>
        <w:tc>
          <w:tcPr>
            <w:tcW w:w="1300" w:type="dxa"/>
          </w:tcPr>
          <w:p w:rsidR="007C5447" w:rsidRDefault="00F6308C">
            <w:pPr>
              <w:pStyle w:val="TableParagraph"/>
              <w:spacing w:before="70"/>
              <w:ind w:right="91"/>
              <w:rPr>
                <w:sz w:val="20"/>
              </w:rPr>
            </w:pPr>
            <w:r>
              <w:rPr>
                <w:w w:val="95"/>
                <w:sz w:val="20"/>
              </w:rPr>
              <w:t>292.00</w:t>
            </w:r>
          </w:p>
        </w:tc>
        <w:tc>
          <w:tcPr>
            <w:tcW w:w="1274" w:type="dxa"/>
          </w:tcPr>
          <w:p w:rsidR="007C5447" w:rsidRDefault="00F6308C">
            <w:pPr>
              <w:pStyle w:val="TableParagraph"/>
              <w:spacing w:before="70"/>
              <w:ind w:right="87"/>
              <w:rPr>
                <w:sz w:val="20"/>
              </w:rPr>
            </w:pPr>
            <w:r>
              <w:rPr>
                <w:w w:val="99"/>
                <w:sz w:val="20"/>
              </w:rPr>
              <w:t>-</w:t>
            </w:r>
          </w:p>
        </w:tc>
        <w:tc>
          <w:tcPr>
            <w:tcW w:w="1320" w:type="dxa"/>
          </w:tcPr>
          <w:p w:rsidR="007C5447" w:rsidRDefault="00F6308C">
            <w:pPr>
              <w:pStyle w:val="TableParagraph"/>
              <w:spacing w:before="70"/>
              <w:ind w:right="91"/>
              <w:rPr>
                <w:sz w:val="20"/>
              </w:rPr>
            </w:pPr>
            <w:r>
              <w:rPr>
                <w:w w:val="95"/>
                <w:sz w:val="20"/>
              </w:rPr>
              <w:t>39.95</w:t>
            </w:r>
          </w:p>
        </w:tc>
        <w:tc>
          <w:tcPr>
            <w:tcW w:w="1200" w:type="dxa"/>
          </w:tcPr>
          <w:p w:rsidR="007C5447" w:rsidRDefault="00F6308C">
            <w:pPr>
              <w:pStyle w:val="TableParagraph"/>
              <w:spacing w:before="70"/>
              <w:ind w:right="91"/>
              <w:rPr>
                <w:sz w:val="20"/>
              </w:rPr>
            </w:pPr>
            <w:r>
              <w:rPr>
                <w:w w:val="95"/>
                <w:sz w:val="20"/>
              </w:rPr>
              <w:t>104.56</w:t>
            </w:r>
          </w:p>
        </w:tc>
        <w:tc>
          <w:tcPr>
            <w:tcW w:w="1087" w:type="dxa"/>
          </w:tcPr>
          <w:p w:rsidR="007C5447" w:rsidRDefault="00F6308C">
            <w:pPr>
              <w:pStyle w:val="TableParagraph"/>
              <w:spacing w:before="70"/>
              <w:ind w:right="90"/>
              <w:rPr>
                <w:sz w:val="20"/>
              </w:rPr>
            </w:pPr>
            <w:r>
              <w:rPr>
                <w:w w:val="95"/>
                <w:sz w:val="20"/>
              </w:rPr>
              <w:t>26.17</w:t>
            </w:r>
          </w:p>
        </w:tc>
        <w:tc>
          <w:tcPr>
            <w:tcW w:w="1354" w:type="dxa"/>
          </w:tcPr>
          <w:p w:rsidR="007C5447" w:rsidRDefault="00F6308C">
            <w:pPr>
              <w:pStyle w:val="TableParagraph"/>
              <w:spacing w:before="70"/>
              <w:ind w:right="87"/>
              <w:rPr>
                <w:sz w:val="20"/>
              </w:rPr>
            </w:pPr>
            <w:r>
              <w:rPr>
                <w:w w:val="99"/>
                <w:sz w:val="20"/>
              </w:rPr>
              <w:t>-</w:t>
            </w:r>
          </w:p>
        </w:tc>
        <w:tc>
          <w:tcPr>
            <w:tcW w:w="1387" w:type="dxa"/>
          </w:tcPr>
          <w:p w:rsidR="007C5447" w:rsidRDefault="00F6308C">
            <w:pPr>
              <w:pStyle w:val="TableParagraph"/>
              <w:spacing w:before="70"/>
              <w:ind w:right="90"/>
              <w:rPr>
                <w:sz w:val="20"/>
              </w:rPr>
            </w:pPr>
            <w:r>
              <w:rPr>
                <w:w w:val="95"/>
                <w:sz w:val="20"/>
              </w:rPr>
              <w:t>75.57</w:t>
            </w: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PPN</w:t>
            </w:r>
          </w:p>
        </w:tc>
        <w:tc>
          <w:tcPr>
            <w:tcW w:w="1140" w:type="dxa"/>
          </w:tcPr>
          <w:p w:rsidR="007C5447" w:rsidRDefault="00F6308C">
            <w:pPr>
              <w:pStyle w:val="TableParagraph"/>
              <w:spacing w:before="70"/>
              <w:ind w:right="91"/>
              <w:rPr>
                <w:sz w:val="20"/>
              </w:rPr>
            </w:pPr>
            <w:r>
              <w:rPr>
                <w:w w:val="99"/>
                <w:sz w:val="20"/>
              </w:rPr>
              <w:t>-</w:t>
            </w:r>
          </w:p>
        </w:tc>
        <w:tc>
          <w:tcPr>
            <w:tcW w:w="1300" w:type="dxa"/>
          </w:tcPr>
          <w:p w:rsidR="007C5447" w:rsidRDefault="00F6308C">
            <w:pPr>
              <w:pStyle w:val="TableParagraph"/>
              <w:spacing w:before="70"/>
              <w:ind w:right="91"/>
              <w:rPr>
                <w:sz w:val="20"/>
              </w:rPr>
            </w:pPr>
            <w:r>
              <w:rPr>
                <w:w w:val="95"/>
                <w:sz w:val="20"/>
              </w:rPr>
              <w:t>110.00</w:t>
            </w:r>
          </w:p>
        </w:tc>
        <w:tc>
          <w:tcPr>
            <w:tcW w:w="1274" w:type="dxa"/>
          </w:tcPr>
          <w:p w:rsidR="007C5447" w:rsidRDefault="00F6308C">
            <w:pPr>
              <w:pStyle w:val="TableParagraph"/>
              <w:spacing w:before="70"/>
              <w:ind w:right="87"/>
              <w:rPr>
                <w:sz w:val="20"/>
              </w:rPr>
            </w:pPr>
            <w:r>
              <w:rPr>
                <w:w w:val="99"/>
                <w:sz w:val="20"/>
              </w:rPr>
              <w:t>-</w:t>
            </w:r>
          </w:p>
        </w:tc>
        <w:tc>
          <w:tcPr>
            <w:tcW w:w="1320" w:type="dxa"/>
          </w:tcPr>
          <w:p w:rsidR="007C5447" w:rsidRDefault="00F6308C">
            <w:pPr>
              <w:pStyle w:val="TableParagraph"/>
              <w:spacing w:before="70"/>
              <w:ind w:right="91"/>
              <w:rPr>
                <w:sz w:val="20"/>
              </w:rPr>
            </w:pPr>
            <w:r>
              <w:rPr>
                <w:w w:val="95"/>
                <w:sz w:val="20"/>
              </w:rPr>
              <w:t>159.18</w:t>
            </w:r>
          </w:p>
        </w:tc>
        <w:tc>
          <w:tcPr>
            <w:tcW w:w="1200" w:type="dxa"/>
          </w:tcPr>
          <w:p w:rsidR="007C5447" w:rsidRDefault="00F6308C">
            <w:pPr>
              <w:pStyle w:val="TableParagraph"/>
              <w:spacing w:before="70"/>
              <w:ind w:right="91"/>
              <w:rPr>
                <w:sz w:val="20"/>
              </w:rPr>
            </w:pPr>
            <w:r>
              <w:rPr>
                <w:w w:val="95"/>
                <w:sz w:val="20"/>
              </w:rPr>
              <w:t>346.98</w:t>
            </w:r>
          </w:p>
        </w:tc>
        <w:tc>
          <w:tcPr>
            <w:tcW w:w="1087" w:type="dxa"/>
          </w:tcPr>
          <w:p w:rsidR="007C5447" w:rsidRDefault="00F6308C">
            <w:pPr>
              <w:pStyle w:val="TableParagraph"/>
              <w:spacing w:before="70"/>
              <w:ind w:right="90"/>
              <w:rPr>
                <w:sz w:val="20"/>
              </w:rPr>
            </w:pPr>
            <w:r>
              <w:rPr>
                <w:w w:val="95"/>
                <w:sz w:val="20"/>
              </w:rPr>
              <w:t>21.80</w:t>
            </w:r>
          </w:p>
        </w:tc>
        <w:tc>
          <w:tcPr>
            <w:tcW w:w="1354" w:type="dxa"/>
          </w:tcPr>
          <w:p w:rsidR="007C5447" w:rsidRDefault="00F6308C">
            <w:pPr>
              <w:pStyle w:val="TableParagraph"/>
              <w:spacing w:before="70"/>
              <w:ind w:right="87"/>
              <w:rPr>
                <w:sz w:val="20"/>
              </w:rPr>
            </w:pPr>
            <w:r>
              <w:rPr>
                <w:w w:val="99"/>
                <w:sz w:val="20"/>
              </w:rPr>
              <w:t>-</w:t>
            </w:r>
          </w:p>
        </w:tc>
        <w:tc>
          <w:tcPr>
            <w:tcW w:w="1387" w:type="dxa"/>
          </w:tcPr>
          <w:p w:rsidR="007C5447" w:rsidRDefault="00F6308C">
            <w:pPr>
              <w:pStyle w:val="TableParagraph"/>
              <w:spacing w:before="70"/>
              <w:ind w:right="90"/>
              <w:rPr>
                <w:sz w:val="20"/>
              </w:rPr>
            </w:pPr>
            <w:r>
              <w:rPr>
                <w:w w:val="95"/>
                <w:sz w:val="20"/>
              </w:rPr>
              <w:t>259.09</w:t>
            </w: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STCMS - Neyveli</w:t>
            </w:r>
          </w:p>
        </w:tc>
        <w:tc>
          <w:tcPr>
            <w:tcW w:w="1140" w:type="dxa"/>
          </w:tcPr>
          <w:p w:rsidR="007C5447" w:rsidRDefault="00F6308C">
            <w:pPr>
              <w:pStyle w:val="TableParagraph"/>
              <w:spacing w:before="70"/>
              <w:ind w:right="91"/>
              <w:rPr>
                <w:sz w:val="20"/>
              </w:rPr>
            </w:pPr>
            <w:r>
              <w:rPr>
                <w:w w:val="95"/>
                <w:sz w:val="20"/>
              </w:rPr>
              <w:t>1,665.00</w:t>
            </w:r>
          </w:p>
        </w:tc>
        <w:tc>
          <w:tcPr>
            <w:tcW w:w="1300" w:type="dxa"/>
          </w:tcPr>
          <w:p w:rsidR="007C5447" w:rsidRDefault="00F6308C">
            <w:pPr>
              <w:pStyle w:val="TableParagraph"/>
              <w:spacing w:before="70"/>
              <w:ind w:right="91"/>
              <w:rPr>
                <w:sz w:val="20"/>
              </w:rPr>
            </w:pPr>
            <w:r>
              <w:rPr>
                <w:w w:val="95"/>
                <w:sz w:val="20"/>
              </w:rPr>
              <w:t>749.00</w:t>
            </w:r>
          </w:p>
        </w:tc>
        <w:tc>
          <w:tcPr>
            <w:tcW w:w="1274" w:type="dxa"/>
          </w:tcPr>
          <w:p w:rsidR="007C5447" w:rsidRDefault="00F6308C">
            <w:pPr>
              <w:pStyle w:val="TableParagraph"/>
              <w:spacing w:before="70"/>
              <w:ind w:right="86"/>
              <w:rPr>
                <w:sz w:val="20"/>
              </w:rPr>
            </w:pPr>
            <w:r>
              <w:rPr>
                <w:sz w:val="20"/>
              </w:rPr>
              <w:t>4.50</w:t>
            </w:r>
          </w:p>
        </w:tc>
        <w:tc>
          <w:tcPr>
            <w:tcW w:w="1320" w:type="dxa"/>
          </w:tcPr>
          <w:p w:rsidR="007C5447" w:rsidRDefault="00F6308C">
            <w:pPr>
              <w:pStyle w:val="TableParagraph"/>
              <w:spacing w:before="70"/>
              <w:ind w:right="89"/>
              <w:rPr>
                <w:sz w:val="20"/>
              </w:rPr>
            </w:pPr>
            <w:r>
              <w:rPr>
                <w:w w:val="95"/>
                <w:sz w:val="20"/>
              </w:rPr>
              <w:t>1,384.93</w:t>
            </w:r>
          </w:p>
        </w:tc>
        <w:tc>
          <w:tcPr>
            <w:tcW w:w="1200" w:type="dxa"/>
          </w:tcPr>
          <w:p w:rsidR="007C5447" w:rsidRDefault="00F6308C">
            <w:pPr>
              <w:pStyle w:val="TableParagraph"/>
              <w:spacing w:before="70"/>
              <w:ind w:right="90"/>
              <w:rPr>
                <w:sz w:val="20"/>
              </w:rPr>
            </w:pPr>
            <w:r>
              <w:rPr>
                <w:sz w:val="20"/>
              </w:rPr>
              <w:t>633.40</w:t>
            </w:r>
          </w:p>
        </w:tc>
        <w:tc>
          <w:tcPr>
            <w:tcW w:w="1087" w:type="dxa"/>
          </w:tcPr>
          <w:p w:rsidR="007C5447" w:rsidRDefault="00F6308C">
            <w:pPr>
              <w:pStyle w:val="TableParagraph"/>
              <w:spacing w:before="70"/>
              <w:ind w:right="90"/>
              <w:rPr>
                <w:sz w:val="20"/>
              </w:rPr>
            </w:pPr>
            <w:r>
              <w:rPr>
                <w:sz w:val="20"/>
              </w:rPr>
              <w:t>4.57</w:t>
            </w:r>
          </w:p>
        </w:tc>
        <w:tc>
          <w:tcPr>
            <w:tcW w:w="1354" w:type="dxa"/>
          </w:tcPr>
          <w:p w:rsidR="007C5447" w:rsidRDefault="00F6308C">
            <w:pPr>
              <w:pStyle w:val="TableParagraph"/>
              <w:spacing w:before="70"/>
              <w:ind w:right="89"/>
              <w:rPr>
                <w:sz w:val="20"/>
              </w:rPr>
            </w:pPr>
            <w:r>
              <w:rPr>
                <w:w w:val="95"/>
                <w:sz w:val="20"/>
              </w:rPr>
              <w:t>1,384.93</w:t>
            </w:r>
          </w:p>
        </w:tc>
        <w:tc>
          <w:tcPr>
            <w:tcW w:w="1387" w:type="dxa"/>
          </w:tcPr>
          <w:p w:rsidR="007C5447" w:rsidRDefault="00F6308C">
            <w:pPr>
              <w:pStyle w:val="TableParagraph"/>
              <w:spacing w:before="70"/>
              <w:ind w:right="90"/>
              <w:rPr>
                <w:sz w:val="20"/>
              </w:rPr>
            </w:pPr>
            <w:r>
              <w:rPr>
                <w:w w:val="95"/>
                <w:sz w:val="20"/>
              </w:rPr>
              <w:t>633.32</w:t>
            </w:r>
          </w:p>
        </w:tc>
        <w:tc>
          <w:tcPr>
            <w:tcW w:w="1056" w:type="dxa"/>
          </w:tcPr>
          <w:p w:rsidR="007C5447" w:rsidRDefault="00F6308C">
            <w:pPr>
              <w:pStyle w:val="TableParagraph"/>
              <w:spacing w:before="70"/>
              <w:ind w:right="90"/>
              <w:rPr>
                <w:sz w:val="20"/>
              </w:rPr>
            </w:pPr>
            <w:r>
              <w:rPr>
                <w:sz w:val="20"/>
              </w:rPr>
              <w:t>4.57</w:t>
            </w:r>
          </w:p>
        </w:tc>
      </w:tr>
      <w:tr w:rsidR="007C5447">
        <w:trPr>
          <w:trHeight w:val="371"/>
        </w:trPr>
        <w:tc>
          <w:tcPr>
            <w:tcW w:w="3089" w:type="dxa"/>
            <w:tcBorders>
              <w:left w:val="single" w:sz="8" w:space="0" w:color="000000"/>
            </w:tcBorders>
          </w:tcPr>
          <w:p w:rsidR="007C5447" w:rsidRDefault="00F6308C">
            <w:pPr>
              <w:pStyle w:val="TableParagraph"/>
              <w:spacing w:before="70"/>
              <w:ind w:left="107"/>
              <w:jc w:val="left"/>
              <w:rPr>
                <w:sz w:val="20"/>
              </w:rPr>
            </w:pPr>
            <w:r>
              <w:rPr>
                <w:sz w:val="20"/>
              </w:rPr>
              <w:t>LANCO Power (Aban co)</w:t>
            </w:r>
          </w:p>
        </w:tc>
        <w:tc>
          <w:tcPr>
            <w:tcW w:w="1140" w:type="dxa"/>
          </w:tcPr>
          <w:p w:rsidR="007C5447" w:rsidRDefault="00F6308C">
            <w:pPr>
              <w:pStyle w:val="TableParagraph"/>
              <w:spacing w:before="70"/>
              <w:ind w:right="90"/>
              <w:rPr>
                <w:sz w:val="20"/>
              </w:rPr>
            </w:pPr>
            <w:r>
              <w:rPr>
                <w:w w:val="95"/>
                <w:sz w:val="20"/>
              </w:rPr>
              <w:t>783.00</w:t>
            </w:r>
          </w:p>
        </w:tc>
        <w:tc>
          <w:tcPr>
            <w:tcW w:w="1300" w:type="dxa"/>
          </w:tcPr>
          <w:p w:rsidR="007C5447" w:rsidRDefault="00F6308C">
            <w:pPr>
              <w:pStyle w:val="TableParagraph"/>
              <w:spacing w:before="70"/>
              <w:ind w:right="91"/>
              <w:rPr>
                <w:sz w:val="20"/>
              </w:rPr>
            </w:pPr>
            <w:r>
              <w:rPr>
                <w:w w:val="95"/>
                <w:sz w:val="20"/>
              </w:rPr>
              <w:t>274.00</w:t>
            </w:r>
          </w:p>
        </w:tc>
        <w:tc>
          <w:tcPr>
            <w:tcW w:w="1274" w:type="dxa"/>
          </w:tcPr>
          <w:p w:rsidR="007C5447" w:rsidRDefault="00F6308C">
            <w:pPr>
              <w:pStyle w:val="TableParagraph"/>
              <w:spacing w:before="70"/>
              <w:ind w:right="86"/>
              <w:rPr>
                <w:sz w:val="20"/>
              </w:rPr>
            </w:pPr>
            <w:r>
              <w:rPr>
                <w:sz w:val="20"/>
              </w:rPr>
              <w:t>3.50</w:t>
            </w:r>
          </w:p>
        </w:tc>
        <w:tc>
          <w:tcPr>
            <w:tcW w:w="1320" w:type="dxa"/>
          </w:tcPr>
          <w:p w:rsidR="007C5447" w:rsidRDefault="00F6308C">
            <w:pPr>
              <w:pStyle w:val="TableParagraph"/>
              <w:spacing w:before="70"/>
              <w:ind w:right="91"/>
              <w:rPr>
                <w:sz w:val="20"/>
              </w:rPr>
            </w:pPr>
            <w:r>
              <w:rPr>
                <w:w w:val="95"/>
                <w:sz w:val="20"/>
              </w:rPr>
              <w:t>620.22</w:t>
            </w:r>
          </w:p>
        </w:tc>
        <w:tc>
          <w:tcPr>
            <w:tcW w:w="1200" w:type="dxa"/>
          </w:tcPr>
          <w:p w:rsidR="007C5447" w:rsidRDefault="00F6308C">
            <w:pPr>
              <w:pStyle w:val="TableParagraph"/>
              <w:spacing w:before="70"/>
              <w:ind w:right="91"/>
              <w:rPr>
                <w:sz w:val="20"/>
              </w:rPr>
            </w:pPr>
            <w:r>
              <w:rPr>
                <w:w w:val="95"/>
                <w:sz w:val="20"/>
              </w:rPr>
              <w:t>224.56</w:t>
            </w:r>
          </w:p>
        </w:tc>
        <w:tc>
          <w:tcPr>
            <w:tcW w:w="1087" w:type="dxa"/>
          </w:tcPr>
          <w:p w:rsidR="007C5447" w:rsidRDefault="00F6308C">
            <w:pPr>
              <w:pStyle w:val="TableParagraph"/>
              <w:spacing w:before="70"/>
              <w:ind w:right="90"/>
              <w:rPr>
                <w:sz w:val="20"/>
              </w:rPr>
            </w:pPr>
            <w:r>
              <w:rPr>
                <w:sz w:val="20"/>
              </w:rPr>
              <w:t>3.62</w:t>
            </w:r>
          </w:p>
        </w:tc>
        <w:tc>
          <w:tcPr>
            <w:tcW w:w="1354" w:type="dxa"/>
          </w:tcPr>
          <w:p w:rsidR="007C5447" w:rsidRDefault="00F6308C">
            <w:pPr>
              <w:pStyle w:val="TableParagraph"/>
              <w:spacing w:before="70"/>
              <w:ind w:right="91"/>
              <w:rPr>
                <w:sz w:val="20"/>
              </w:rPr>
            </w:pPr>
            <w:r>
              <w:rPr>
                <w:w w:val="95"/>
                <w:sz w:val="20"/>
              </w:rPr>
              <w:t>620.22</w:t>
            </w:r>
          </w:p>
        </w:tc>
        <w:tc>
          <w:tcPr>
            <w:tcW w:w="1387" w:type="dxa"/>
          </w:tcPr>
          <w:p w:rsidR="007C5447" w:rsidRDefault="00F6308C">
            <w:pPr>
              <w:pStyle w:val="TableParagraph"/>
              <w:spacing w:before="70"/>
              <w:ind w:right="90"/>
              <w:rPr>
                <w:sz w:val="20"/>
              </w:rPr>
            </w:pPr>
            <w:r>
              <w:rPr>
                <w:w w:val="95"/>
                <w:sz w:val="20"/>
              </w:rPr>
              <w:t>224.57</w:t>
            </w:r>
          </w:p>
        </w:tc>
        <w:tc>
          <w:tcPr>
            <w:tcW w:w="1056" w:type="dxa"/>
          </w:tcPr>
          <w:p w:rsidR="007C5447" w:rsidRDefault="00F6308C">
            <w:pPr>
              <w:pStyle w:val="TableParagraph"/>
              <w:spacing w:before="70"/>
              <w:ind w:right="90"/>
              <w:rPr>
                <w:sz w:val="20"/>
              </w:rPr>
            </w:pPr>
            <w:r>
              <w:rPr>
                <w:sz w:val="20"/>
              </w:rPr>
              <w:t>3.62</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Penna</w:t>
            </w:r>
          </w:p>
        </w:tc>
        <w:tc>
          <w:tcPr>
            <w:tcW w:w="1140" w:type="dxa"/>
          </w:tcPr>
          <w:p w:rsidR="007C5447" w:rsidRDefault="00F6308C">
            <w:pPr>
              <w:pStyle w:val="TableParagraph"/>
              <w:spacing w:before="70"/>
              <w:ind w:right="90"/>
              <w:rPr>
                <w:sz w:val="20"/>
              </w:rPr>
            </w:pPr>
            <w:r>
              <w:rPr>
                <w:w w:val="95"/>
                <w:sz w:val="20"/>
              </w:rPr>
              <w:t>353.00</w:t>
            </w:r>
          </w:p>
        </w:tc>
        <w:tc>
          <w:tcPr>
            <w:tcW w:w="1300" w:type="dxa"/>
          </w:tcPr>
          <w:p w:rsidR="007C5447" w:rsidRDefault="00F6308C">
            <w:pPr>
              <w:pStyle w:val="TableParagraph"/>
              <w:spacing w:before="70"/>
              <w:ind w:right="91"/>
              <w:rPr>
                <w:sz w:val="20"/>
              </w:rPr>
            </w:pPr>
            <w:r>
              <w:rPr>
                <w:w w:val="95"/>
                <w:sz w:val="20"/>
              </w:rPr>
              <w:t>130.00</w:t>
            </w:r>
          </w:p>
        </w:tc>
        <w:tc>
          <w:tcPr>
            <w:tcW w:w="1274" w:type="dxa"/>
          </w:tcPr>
          <w:p w:rsidR="007C5447" w:rsidRDefault="00F6308C">
            <w:pPr>
              <w:pStyle w:val="TableParagraph"/>
              <w:spacing w:before="70"/>
              <w:ind w:right="86"/>
              <w:rPr>
                <w:sz w:val="20"/>
              </w:rPr>
            </w:pPr>
            <w:r>
              <w:rPr>
                <w:sz w:val="20"/>
              </w:rPr>
              <w:t>3.68</w:t>
            </w:r>
          </w:p>
        </w:tc>
        <w:tc>
          <w:tcPr>
            <w:tcW w:w="1320" w:type="dxa"/>
          </w:tcPr>
          <w:p w:rsidR="007C5447" w:rsidRDefault="00F6308C">
            <w:pPr>
              <w:pStyle w:val="TableParagraph"/>
              <w:spacing w:before="70"/>
              <w:ind w:right="91"/>
              <w:rPr>
                <w:sz w:val="20"/>
              </w:rPr>
            </w:pPr>
            <w:r>
              <w:rPr>
                <w:w w:val="95"/>
                <w:sz w:val="20"/>
              </w:rPr>
              <w:t>178.67</w:t>
            </w:r>
          </w:p>
        </w:tc>
        <w:tc>
          <w:tcPr>
            <w:tcW w:w="1200" w:type="dxa"/>
          </w:tcPr>
          <w:p w:rsidR="007C5447" w:rsidRDefault="00F6308C">
            <w:pPr>
              <w:pStyle w:val="TableParagraph"/>
              <w:spacing w:before="70"/>
              <w:ind w:right="90"/>
              <w:rPr>
                <w:sz w:val="20"/>
              </w:rPr>
            </w:pPr>
            <w:r>
              <w:rPr>
                <w:w w:val="95"/>
                <w:sz w:val="20"/>
              </w:rPr>
              <w:t>63.65</w:t>
            </w:r>
          </w:p>
        </w:tc>
        <w:tc>
          <w:tcPr>
            <w:tcW w:w="1087" w:type="dxa"/>
          </w:tcPr>
          <w:p w:rsidR="007C5447" w:rsidRDefault="00F6308C">
            <w:pPr>
              <w:pStyle w:val="TableParagraph"/>
              <w:spacing w:before="70"/>
              <w:ind w:right="90"/>
              <w:rPr>
                <w:sz w:val="20"/>
              </w:rPr>
            </w:pPr>
            <w:r>
              <w:rPr>
                <w:sz w:val="20"/>
              </w:rPr>
              <w:t>3.56</w:t>
            </w:r>
          </w:p>
        </w:tc>
        <w:tc>
          <w:tcPr>
            <w:tcW w:w="1354" w:type="dxa"/>
          </w:tcPr>
          <w:p w:rsidR="007C5447" w:rsidRDefault="00F6308C">
            <w:pPr>
              <w:pStyle w:val="TableParagraph"/>
              <w:spacing w:before="70"/>
              <w:ind w:right="91"/>
              <w:rPr>
                <w:sz w:val="20"/>
              </w:rPr>
            </w:pPr>
            <w:r>
              <w:rPr>
                <w:w w:val="95"/>
                <w:sz w:val="20"/>
              </w:rPr>
              <w:t>178.67</w:t>
            </w:r>
          </w:p>
        </w:tc>
        <w:tc>
          <w:tcPr>
            <w:tcW w:w="1387" w:type="dxa"/>
          </w:tcPr>
          <w:p w:rsidR="007C5447" w:rsidRDefault="00F6308C">
            <w:pPr>
              <w:pStyle w:val="TableParagraph"/>
              <w:spacing w:before="70"/>
              <w:ind w:right="90"/>
              <w:rPr>
                <w:sz w:val="20"/>
              </w:rPr>
            </w:pPr>
            <w:r>
              <w:rPr>
                <w:w w:val="95"/>
                <w:sz w:val="20"/>
              </w:rPr>
              <w:t>63.65</w:t>
            </w:r>
          </w:p>
        </w:tc>
        <w:tc>
          <w:tcPr>
            <w:tcW w:w="1056" w:type="dxa"/>
          </w:tcPr>
          <w:p w:rsidR="007C5447" w:rsidRDefault="00F6308C">
            <w:pPr>
              <w:pStyle w:val="TableParagraph"/>
              <w:spacing w:before="70"/>
              <w:ind w:right="90"/>
              <w:rPr>
                <w:sz w:val="20"/>
              </w:rPr>
            </w:pPr>
            <w:r>
              <w:rPr>
                <w:sz w:val="20"/>
              </w:rPr>
              <w:t>3.56</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b/>
                <w:sz w:val="20"/>
              </w:rPr>
            </w:pPr>
            <w:r>
              <w:rPr>
                <w:b/>
                <w:sz w:val="20"/>
              </w:rPr>
              <w:t>Total IPP</w:t>
            </w:r>
          </w:p>
        </w:tc>
        <w:tc>
          <w:tcPr>
            <w:tcW w:w="1140" w:type="dxa"/>
          </w:tcPr>
          <w:p w:rsidR="007C5447" w:rsidRDefault="00F6308C">
            <w:pPr>
              <w:pStyle w:val="TableParagraph"/>
              <w:spacing w:before="70"/>
              <w:ind w:right="91"/>
              <w:rPr>
                <w:b/>
                <w:sz w:val="20"/>
              </w:rPr>
            </w:pPr>
            <w:r>
              <w:rPr>
                <w:b/>
                <w:w w:val="95"/>
                <w:sz w:val="20"/>
              </w:rPr>
              <w:t>2,801.00</w:t>
            </w:r>
          </w:p>
        </w:tc>
        <w:tc>
          <w:tcPr>
            <w:tcW w:w="1300" w:type="dxa"/>
          </w:tcPr>
          <w:p w:rsidR="007C5447" w:rsidRDefault="00F6308C">
            <w:pPr>
              <w:pStyle w:val="TableParagraph"/>
              <w:spacing w:before="70"/>
              <w:ind w:right="92"/>
              <w:rPr>
                <w:b/>
                <w:sz w:val="20"/>
              </w:rPr>
            </w:pPr>
            <w:r>
              <w:rPr>
                <w:b/>
                <w:w w:val="95"/>
                <w:sz w:val="20"/>
              </w:rPr>
              <w:t>1,655.00</w:t>
            </w:r>
          </w:p>
        </w:tc>
        <w:tc>
          <w:tcPr>
            <w:tcW w:w="1274" w:type="dxa"/>
          </w:tcPr>
          <w:p w:rsidR="007C5447" w:rsidRDefault="00F6308C">
            <w:pPr>
              <w:pStyle w:val="TableParagraph"/>
              <w:spacing w:before="70"/>
              <w:ind w:right="88"/>
              <w:rPr>
                <w:b/>
                <w:sz w:val="20"/>
              </w:rPr>
            </w:pPr>
            <w:r>
              <w:rPr>
                <w:b/>
                <w:sz w:val="20"/>
              </w:rPr>
              <w:t>5.91</w:t>
            </w:r>
          </w:p>
        </w:tc>
        <w:tc>
          <w:tcPr>
            <w:tcW w:w="1320" w:type="dxa"/>
          </w:tcPr>
          <w:p w:rsidR="007C5447" w:rsidRDefault="00F6308C">
            <w:pPr>
              <w:pStyle w:val="TableParagraph"/>
              <w:spacing w:before="70"/>
              <w:ind w:right="89"/>
              <w:rPr>
                <w:b/>
                <w:sz w:val="20"/>
              </w:rPr>
            </w:pPr>
            <w:r>
              <w:rPr>
                <w:b/>
                <w:w w:val="95"/>
                <w:sz w:val="20"/>
              </w:rPr>
              <w:t>2,418.76</w:t>
            </w:r>
          </w:p>
        </w:tc>
        <w:tc>
          <w:tcPr>
            <w:tcW w:w="1200" w:type="dxa"/>
          </w:tcPr>
          <w:p w:rsidR="007C5447" w:rsidRDefault="00F6308C">
            <w:pPr>
              <w:pStyle w:val="TableParagraph"/>
              <w:spacing w:before="70"/>
              <w:ind w:right="89"/>
              <w:rPr>
                <w:b/>
                <w:sz w:val="20"/>
              </w:rPr>
            </w:pPr>
            <w:r>
              <w:rPr>
                <w:b/>
                <w:w w:val="95"/>
                <w:sz w:val="20"/>
              </w:rPr>
              <w:t>1,458.24</w:t>
            </w:r>
          </w:p>
        </w:tc>
        <w:tc>
          <w:tcPr>
            <w:tcW w:w="1087" w:type="dxa"/>
          </w:tcPr>
          <w:p w:rsidR="007C5447" w:rsidRDefault="00F6308C">
            <w:pPr>
              <w:pStyle w:val="TableParagraph"/>
              <w:spacing w:before="70"/>
              <w:ind w:right="90"/>
              <w:rPr>
                <w:b/>
                <w:sz w:val="20"/>
              </w:rPr>
            </w:pPr>
            <w:r>
              <w:rPr>
                <w:b/>
                <w:sz w:val="20"/>
              </w:rPr>
              <w:t>6.03</w:t>
            </w:r>
          </w:p>
        </w:tc>
        <w:tc>
          <w:tcPr>
            <w:tcW w:w="1354" w:type="dxa"/>
          </w:tcPr>
          <w:p w:rsidR="007C5447" w:rsidRDefault="00F6308C">
            <w:pPr>
              <w:pStyle w:val="TableParagraph"/>
              <w:spacing w:before="70"/>
              <w:ind w:right="89"/>
              <w:rPr>
                <w:b/>
                <w:sz w:val="20"/>
              </w:rPr>
            </w:pPr>
            <w:r>
              <w:rPr>
                <w:b/>
                <w:w w:val="95"/>
                <w:sz w:val="20"/>
              </w:rPr>
              <w:t>2,183.82</w:t>
            </w:r>
          </w:p>
        </w:tc>
        <w:tc>
          <w:tcPr>
            <w:tcW w:w="1387" w:type="dxa"/>
          </w:tcPr>
          <w:p w:rsidR="007C5447" w:rsidRDefault="00F6308C">
            <w:pPr>
              <w:pStyle w:val="TableParagraph"/>
              <w:spacing w:before="70"/>
              <w:ind w:right="88"/>
              <w:rPr>
                <w:b/>
                <w:sz w:val="20"/>
              </w:rPr>
            </w:pPr>
            <w:r>
              <w:rPr>
                <w:b/>
                <w:w w:val="95"/>
                <w:sz w:val="20"/>
              </w:rPr>
              <w:t>1,323.20</w:t>
            </w:r>
          </w:p>
        </w:tc>
        <w:tc>
          <w:tcPr>
            <w:tcW w:w="1056" w:type="dxa"/>
          </w:tcPr>
          <w:p w:rsidR="007C5447" w:rsidRDefault="00F6308C">
            <w:pPr>
              <w:pStyle w:val="TableParagraph"/>
              <w:spacing w:before="70"/>
              <w:ind w:right="90"/>
              <w:rPr>
                <w:b/>
                <w:sz w:val="20"/>
              </w:rPr>
            </w:pPr>
            <w:r>
              <w:rPr>
                <w:b/>
                <w:sz w:val="20"/>
              </w:rPr>
              <w:t>6.06</w:t>
            </w:r>
          </w:p>
        </w:tc>
      </w:tr>
      <w:tr w:rsidR="007C5447">
        <w:trPr>
          <w:trHeight w:val="371"/>
        </w:trPr>
        <w:tc>
          <w:tcPr>
            <w:tcW w:w="3089" w:type="dxa"/>
            <w:tcBorders>
              <w:left w:val="single" w:sz="8" w:space="0" w:color="000000"/>
            </w:tcBorders>
          </w:tcPr>
          <w:p w:rsidR="007C5447" w:rsidRDefault="00F6308C">
            <w:pPr>
              <w:pStyle w:val="TableParagraph"/>
              <w:spacing w:before="70"/>
              <w:ind w:left="107"/>
              <w:jc w:val="left"/>
              <w:rPr>
                <w:b/>
                <w:sz w:val="20"/>
              </w:rPr>
            </w:pPr>
            <w:r>
              <w:rPr>
                <w:b/>
                <w:sz w:val="20"/>
              </w:rPr>
              <w:t>Renewables</w:t>
            </w:r>
          </w:p>
        </w:tc>
        <w:tc>
          <w:tcPr>
            <w:tcW w:w="1140"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7C5447">
            <w:pPr>
              <w:pStyle w:val="TableParagraph"/>
              <w:jc w:val="left"/>
              <w:rPr>
                <w:sz w:val="20"/>
              </w:rPr>
            </w:pPr>
          </w:p>
        </w:tc>
        <w:tc>
          <w:tcPr>
            <w:tcW w:w="1200" w:type="dxa"/>
          </w:tcPr>
          <w:p w:rsidR="007C5447" w:rsidRDefault="007C5447">
            <w:pPr>
              <w:pStyle w:val="TableParagraph"/>
              <w:jc w:val="left"/>
              <w:rPr>
                <w:sz w:val="20"/>
              </w:rPr>
            </w:pP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Wind</w:t>
            </w:r>
          </w:p>
        </w:tc>
        <w:tc>
          <w:tcPr>
            <w:tcW w:w="1140" w:type="dxa"/>
          </w:tcPr>
          <w:p w:rsidR="007C5447" w:rsidRDefault="00F6308C">
            <w:pPr>
              <w:pStyle w:val="TableParagraph"/>
              <w:spacing w:before="70"/>
              <w:ind w:right="88"/>
              <w:rPr>
                <w:sz w:val="20"/>
              </w:rPr>
            </w:pPr>
            <w:r>
              <w:rPr>
                <w:sz w:val="20"/>
              </w:rPr>
              <w:t>7145</w:t>
            </w:r>
          </w:p>
        </w:tc>
        <w:tc>
          <w:tcPr>
            <w:tcW w:w="1300" w:type="dxa"/>
          </w:tcPr>
          <w:p w:rsidR="007C5447" w:rsidRDefault="00F6308C">
            <w:pPr>
              <w:pStyle w:val="TableParagraph"/>
              <w:spacing w:before="70"/>
              <w:ind w:right="89"/>
              <w:rPr>
                <w:sz w:val="20"/>
              </w:rPr>
            </w:pPr>
            <w:r>
              <w:rPr>
                <w:sz w:val="20"/>
              </w:rPr>
              <w:t>2229</w:t>
            </w:r>
          </w:p>
        </w:tc>
        <w:tc>
          <w:tcPr>
            <w:tcW w:w="1274" w:type="dxa"/>
          </w:tcPr>
          <w:p w:rsidR="007C5447" w:rsidRDefault="00F6308C">
            <w:pPr>
              <w:pStyle w:val="TableParagraph"/>
              <w:spacing w:before="70"/>
              <w:ind w:right="86"/>
              <w:rPr>
                <w:sz w:val="20"/>
              </w:rPr>
            </w:pPr>
            <w:r>
              <w:rPr>
                <w:sz w:val="20"/>
              </w:rPr>
              <w:t>3.12</w:t>
            </w:r>
          </w:p>
        </w:tc>
        <w:tc>
          <w:tcPr>
            <w:tcW w:w="1320" w:type="dxa"/>
          </w:tcPr>
          <w:p w:rsidR="007C5447" w:rsidRDefault="00F6308C">
            <w:pPr>
              <w:pStyle w:val="TableParagraph"/>
              <w:spacing w:before="70"/>
              <w:ind w:right="89"/>
              <w:rPr>
                <w:sz w:val="20"/>
              </w:rPr>
            </w:pPr>
            <w:r>
              <w:rPr>
                <w:w w:val="95"/>
                <w:sz w:val="20"/>
              </w:rPr>
              <w:t>2,873.00</w:t>
            </w:r>
          </w:p>
        </w:tc>
        <w:tc>
          <w:tcPr>
            <w:tcW w:w="1200" w:type="dxa"/>
          </w:tcPr>
          <w:p w:rsidR="007C5447" w:rsidRDefault="00F6308C">
            <w:pPr>
              <w:pStyle w:val="TableParagraph"/>
              <w:spacing w:before="70"/>
              <w:ind w:right="91"/>
              <w:rPr>
                <w:sz w:val="20"/>
              </w:rPr>
            </w:pPr>
            <w:r>
              <w:rPr>
                <w:w w:val="95"/>
                <w:sz w:val="20"/>
              </w:rPr>
              <w:t>945.00</w:t>
            </w:r>
          </w:p>
        </w:tc>
        <w:tc>
          <w:tcPr>
            <w:tcW w:w="1087" w:type="dxa"/>
          </w:tcPr>
          <w:p w:rsidR="007C5447" w:rsidRDefault="00F6308C">
            <w:pPr>
              <w:pStyle w:val="TableParagraph"/>
              <w:spacing w:before="70"/>
              <w:ind w:right="90"/>
              <w:rPr>
                <w:sz w:val="20"/>
              </w:rPr>
            </w:pPr>
            <w:r>
              <w:rPr>
                <w:sz w:val="20"/>
              </w:rPr>
              <w:t>3.29</w:t>
            </w:r>
          </w:p>
        </w:tc>
        <w:tc>
          <w:tcPr>
            <w:tcW w:w="1354" w:type="dxa"/>
          </w:tcPr>
          <w:p w:rsidR="007C5447" w:rsidRDefault="00F6308C">
            <w:pPr>
              <w:pStyle w:val="TableParagraph"/>
              <w:spacing w:before="70"/>
              <w:ind w:right="89"/>
              <w:rPr>
                <w:sz w:val="20"/>
              </w:rPr>
            </w:pPr>
            <w:r>
              <w:rPr>
                <w:w w:val="95"/>
                <w:sz w:val="20"/>
              </w:rPr>
              <w:t>2,873.00</w:t>
            </w:r>
          </w:p>
        </w:tc>
        <w:tc>
          <w:tcPr>
            <w:tcW w:w="1387" w:type="dxa"/>
          </w:tcPr>
          <w:p w:rsidR="007C5447" w:rsidRDefault="00F6308C">
            <w:pPr>
              <w:pStyle w:val="TableParagraph"/>
              <w:spacing w:before="70"/>
              <w:ind w:right="90"/>
              <w:rPr>
                <w:sz w:val="20"/>
              </w:rPr>
            </w:pPr>
            <w:r>
              <w:rPr>
                <w:w w:val="95"/>
                <w:sz w:val="20"/>
              </w:rPr>
              <w:t>945.00</w:t>
            </w:r>
          </w:p>
        </w:tc>
        <w:tc>
          <w:tcPr>
            <w:tcW w:w="1056" w:type="dxa"/>
          </w:tcPr>
          <w:p w:rsidR="007C5447" w:rsidRDefault="00F6308C">
            <w:pPr>
              <w:pStyle w:val="TableParagraph"/>
              <w:spacing w:before="70"/>
              <w:ind w:right="90"/>
              <w:rPr>
                <w:sz w:val="20"/>
              </w:rPr>
            </w:pPr>
            <w:r>
              <w:rPr>
                <w:sz w:val="20"/>
              </w:rPr>
              <w:t>3.29</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Biomass</w:t>
            </w:r>
          </w:p>
        </w:tc>
        <w:tc>
          <w:tcPr>
            <w:tcW w:w="1140" w:type="dxa"/>
          </w:tcPr>
          <w:p w:rsidR="007C5447" w:rsidRDefault="00F6308C">
            <w:pPr>
              <w:pStyle w:val="TableParagraph"/>
              <w:spacing w:before="70"/>
              <w:ind w:right="88"/>
              <w:rPr>
                <w:sz w:val="20"/>
              </w:rPr>
            </w:pPr>
            <w:r>
              <w:rPr>
                <w:sz w:val="20"/>
              </w:rPr>
              <w:t>11</w:t>
            </w:r>
          </w:p>
        </w:tc>
        <w:tc>
          <w:tcPr>
            <w:tcW w:w="1300" w:type="dxa"/>
          </w:tcPr>
          <w:p w:rsidR="007C5447" w:rsidRDefault="00F6308C">
            <w:pPr>
              <w:pStyle w:val="TableParagraph"/>
              <w:spacing w:before="70"/>
              <w:ind w:right="93"/>
              <w:rPr>
                <w:sz w:val="20"/>
              </w:rPr>
            </w:pPr>
            <w:r>
              <w:rPr>
                <w:w w:val="99"/>
                <w:sz w:val="20"/>
              </w:rPr>
              <w:t>5</w:t>
            </w:r>
          </w:p>
        </w:tc>
        <w:tc>
          <w:tcPr>
            <w:tcW w:w="1274" w:type="dxa"/>
          </w:tcPr>
          <w:p w:rsidR="007C5447" w:rsidRDefault="00F6308C">
            <w:pPr>
              <w:pStyle w:val="TableParagraph"/>
              <w:spacing w:before="70"/>
              <w:ind w:right="86"/>
              <w:rPr>
                <w:sz w:val="20"/>
              </w:rPr>
            </w:pPr>
            <w:r>
              <w:rPr>
                <w:sz w:val="20"/>
              </w:rPr>
              <w:t>4.55</w:t>
            </w:r>
          </w:p>
        </w:tc>
        <w:tc>
          <w:tcPr>
            <w:tcW w:w="1320" w:type="dxa"/>
          </w:tcPr>
          <w:p w:rsidR="007C5447" w:rsidRDefault="00F6308C">
            <w:pPr>
              <w:pStyle w:val="TableParagraph"/>
              <w:spacing w:before="70"/>
              <w:ind w:right="91"/>
              <w:rPr>
                <w:sz w:val="20"/>
              </w:rPr>
            </w:pPr>
            <w:r>
              <w:rPr>
                <w:w w:val="95"/>
                <w:sz w:val="20"/>
              </w:rPr>
              <w:t>21.39</w:t>
            </w:r>
          </w:p>
        </w:tc>
        <w:tc>
          <w:tcPr>
            <w:tcW w:w="1200" w:type="dxa"/>
          </w:tcPr>
          <w:p w:rsidR="007C5447" w:rsidRDefault="00F6308C">
            <w:pPr>
              <w:pStyle w:val="TableParagraph"/>
              <w:spacing w:before="70"/>
              <w:ind w:right="90"/>
              <w:rPr>
                <w:sz w:val="20"/>
              </w:rPr>
            </w:pPr>
            <w:r>
              <w:rPr>
                <w:w w:val="95"/>
                <w:sz w:val="20"/>
              </w:rPr>
              <w:t>10.00</w:t>
            </w:r>
          </w:p>
        </w:tc>
        <w:tc>
          <w:tcPr>
            <w:tcW w:w="1087" w:type="dxa"/>
          </w:tcPr>
          <w:p w:rsidR="007C5447" w:rsidRDefault="00F6308C">
            <w:pPr>
              <w:pStyle w:val="TableParagraph"/>
              <w:spacing w:before="70"/>
              <w:ind w:right="90"/>
              <w:rPr>
                <w:sz w:val="20"/>
              </w:rPr>
            </w:pPr>
            <w:r>
              <w:rPr>
                <w:sz w:val="20"/>
              </w:rPr>
              <w:t>4.67</w:t>
            </w:r>
          </w:p>
        </w:tc>
        <w:tc>
          <w:tcPr>
            <w:tcW w:w="1354" w:type="dxa"/>
          </w:tcPr>
          <w:p w:rsidR="007C5447" w:rsidRDefault="00F6308C">
            <w:pPr>
              <w:pStyle w:val="TableParagraph"/>
              <w:spacing w:before="70"/>
              <w:ind w:right="90"/>
              <w:rPr>
                <w:sz w:val="20"/>
              </w:rPr>
            </w:pPr>
            <w:r>
              <w:rPr>
                <w:w w:val="95"/>
                <w:sz w:val="20"/>
              </w:rPr>
              <w:t>21.39</w:t>
            </w:r>
          </w:p>
        </w:tc>
        <w:tc>
          <w:tcPr>
            <w:tcW w:w="1387" w:type="dxa"/>
          </w:tcPr>
          <w:p w:rsidR="007C5447" w:rsidRDefault="00F6308C">
            <w:pPr>
              <w:pStyle w:val="TableParagraph"/>
              <w:spacing w:before="70"/>
              <w:ind w:right="90"/>
              <w:rPr>
                <w:sz w:val="20"/>
              </w:rPr>
            </w:pPr>
            <w:r>
              <w:rPr>
                <w:w w:val="95"/>
                <w:sz w:val="20"/>
              </w:rPr>
              <w:t>10.00</w:t>
            </w:r>
          </w:p>
        </w:tc>
        <w:tc>
          <w:tcPr>
            <w:tcW w:w="1056" w:type="dxa"/>
          </w:tcPr>
          <w:p w:rsidR="007C5447" w:rsidRDefault="00F6308C">
            <w:pPr>
              <w:pStyle w:val="TableParagraph"/>
              <w:spacing w:before="70"/>
              <w:ind w:right="90"/>
              <w:rPr>
                <w:sz w:val="20"/>
              </w:rPr>
            </w:pPr>
            <w:r>
              <w:rPr>
                <w:sz w:val="20"/>
              </w:rPr>
              <w:t>4.67</w:t>
            </w:r>
          </w:p>
        </w:tc>
      </w:tr>
      <w:tr w:rsidR="007C5447">
        <w:trPr>
          <w:trHeight w:val="372"/>
        </w:trPr>
        <w:tc>
          <w:tcPr>
            <w:tcW w:w="3089" w:type="dxa"/>
            <w:tcBorders>
              <w:left w:val="single" w:sz="8" w:space="0" w:color="000000"/>
            </w:tcBorders>
          </w:tcPr>
          <w:p w:rsidR="007C5447" w:rsidRDefault="00F6308C">
            <w:pPr>
              <w:pStyle w:val="TableParagraph"/>
              <w:spacing w:before="70"/>
              <w:ind w:left="107"/>
              <w:jc w:val="left"/>
              <w:rPr>
                <w:sz w:val="20"/>
              </w:rPr>
            </w:pPr>
            <w:r>
              <w:rPr>
                <w:sz w:val="20"/>
              </w:rPr>
              <w:t>Cogeneration</w:t>
            </w:r>
          </w:p>
        </w:tc>
        <w:tc>
          <w:tcPr>
            <w:tcW w:w="1140" w:type="dxa"/>
          </w:tcPr>
          <w:p w:rsidR="007C5447" w:rsidRDefault="00F6308C">
            <w:pPr>
              <w:pStyle w:val="TableParagraph"/>
              <w:spacing w:before="70"/>
              <w:ind w:right="88"/>
              <w:rPr>
                <w:sz w:val="20"/>
              </w:rPr>
            </w:pPr>
            <w:r>
              <w:rPr>
                <w:sz w:val="20"/>
              </w:rPr>
              <w:t>2233</w:t>
            </w:r>
          </w:p>
        </w:tc>
        <w:tc>
          <w:tcPr>
            <w:tcW w:w="1300" w:type="dxa"/>
          </w:tcPr>
          <w:p w:rsidR="007C5447" w:rsidRDefault="00F6308C">
            <w:pPr>
              <w:pStyle w:val="TableParagraph"/>
              <w:spacing w:before="70"/>
              <w:ind w:right="89"/>
              <w:rPr>
                <w:sz w:val="20"/>
              </w:rPr>
            </w:pPr>
            <w:r>
              <w:rPr>
                <w:sz w:val="20"/>
              </w:rPr>
              <w:t>823</w:t>
            </w:r>
          </w:p>
        </w:tc>
        <w:tc>
          <w:tcPr>
            <w:tcW w:w="1274" w:type="dxa"/>
          </w:tcPr>
          <w:p w:rsidR="007C5447" w:rsidRDefault="00F6308C">
            <w:pPr>
              <w:pStyle w:val="TableParagraph"/>
              <w:spacing w:before="70"/>
              <w:ind w:right="86"/>
              <w:rPr>
                <w:sz w:val="20"/>
              </w:rPr>
            </w:pPr>
            <w:r>
              <w:rPr>
                <w:sz w:val="20"/>
              </w:rPr>
              <w:t>3.69</w:t>
            </w:r>
          </w:p>
        </w:tc>
        <w:tc>
          <w:tcPr>
            <w:tcW w:w="1320" w:type="dxa"/>
          </w:tcPr>
          <w:p w:rsidR="007C5447" w:rsidRDefault="00F6308C">
            <w:pPr>
              <w:pStyle w:val="TableParagraph"/>
              <w:spacing w:before="70"/>
              <w:ind w:right="91"/>
              <w:rPr>
                <w:sz w:val="20"/>
              </w:rPr>
            </w:pPr>
            <w:r>
              <w:rPr>
                <w:w w:val="95"/>
                <w:sz w:val="20"/>
              </w:rPr>
              <w:t>508.58</w:t>
            </w:r>
          </w:p>
        </w:tc>
        <w:tc>
          <w:tcPr>
            <w:tcW w:w="1200" w:type="dxa"/>
          </w:tcPr>
          <w:p w:rsidR="007C5447" w:rsidRDefault="00F6308C">
            <w:pPr>
              <w:pStyle w:val="TableParagraph"/>
              <w:spacing w:before="70"/>
              <w:ind w:right="91"/>
              <w:rPr>
                <w:sz w:val="20"/>
              </w:rPr>
            </w:pPr>
            <w:r>
              <w:rPr>
                <w:w w:val="95"/>
                <w:sz w:val="20"/>
              </w:rPr>
              <w:t>181.00</w:t>
            </w:r>
          </w:p>
        </w:tc>
        <w:tc>
          <w:tcPr>
            <w:tcW w:w="1087" w:type="dxa"/>
          </w:tcPr>
          <w:p w:rsidR="007C5447" w:rsidRDefault="00F6308C">
            <w:pPr>
              <w:pStyle w:val="TableParagraph"/>
              <w:spacing w:before="70"/>
              <w:ind w:right="88"/>
              <w:rPr>
                <w:sz w:val="20"/>
              </w:rPr>
            </w:pPr>
            <w:r>
              <w:rPr>
                <w:sz w:val="20"/>
              </w:rPr>
              <w:t>3.56</w:t>
            </w:r>
          </w:p>
        </w:tc>
        <w:tc>
          <w:tcPr>
            <w:tcW w:w="1354" w:type="dxa"/>
          </w:tcPr>
          <w:p w:rsidR="007C5447" w:rsidRDefault="00F6308C">
            <w:pPr>
              <w:pStyle w:val="TableParagraph"/>
              <w:spacing w:before="70"/>
              <w:ind w:right="91"/>
              <w:rPr>
                <w:sz w:val="20"/>
              </w:rPr>
            </w:pPr>
            <w:r>
              <w:rPr>
                <w:w w:val="95"/>
                <w:sz w:val="20"/>
              </w:rPr>
              <w:t>508.58</w:t>
            </w:r>
          </w:p>
        </w:tc>
        <w:tc>
          <w:tcPr>
            <w:tcW w:w="1387" w:type="dxa"/>
          </w:tcPr>
          <w:p w:rsidR="007C5447" w:rsidRDefault="00F6308C">
            <w:pPr>
              <w:pStyle w:val="TableParagraph"/>
              <w:spacing w:before="70"/>
              <w:ind w:right="90"/>
              <w:rPr>
                <w:sz w:val="20"/>
              </w:rPr>
            </w:pPr>
            <w:r>
              <w:rPr>
                <w:w w:val="95"/>
                <w:sz w:val="20"/>
              </w:rPr>
              <w:t>181.00</w:t>
            </w:r>
          </w:p>
        </w:tc>
        <w:tc>
          <w:tcPr>
            <w:tcW w:w="1056" w:type="dxa"/>
          </w:tcPr>
          <w:p w:rsidR="007C5447" w:rsidRDefault="00F6308C">
            <w:pPr>
              <w:pStyle w:val="TableParagraph"/>
              <w:spacing w:before="70"/>
              <w:ind w:right="90"/>
              <w:rPr>
                <w:sz w:val="20"/>
              </w:rPr>
            </w:pPr>
            <w:r>
              <w:rPr>
                <w:sz w:val="20"/>
              </w:rPr>
              <w:t>3.56</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Captive</w:t>
            </w:r>
          </w:p>
        </w:tc>
        <w:tc>
          <w:tcPr>
            <w:tcW w:w="1140" w:type="dxa"/>
          </w:tcPr>
          <w:p w:rsidR="007C5447" w:rsidRDefault="00F6308C">
            <w:pPr>
              <w:pStyle w:val="TableParagraph"/>
              <w:spacing w:before="70"/>
              <w:ind w:right="91"/>
              <w:rPr>
                <w:sz w:val="20"/>
              </w:rPr>
            </w:pPr>
            <w:r>
              <w:rPr>
                <w:w w:val="99"/>
                <w:sz w:val="20"/>
              </w:rPr>
              <w:t>-</w:t>
            </w:r>
          </w:p>
        </w:tc>
        <w:tc>
          <w:tcPr>
            <w:tcW w:w="1300" w:type="dxa"/>
          </w:tcPr>
          <w:p w:rsidR="007C5447" w:rsidRDefault="00F6308C">
            <w:pPr>
              <w:pStyle w:val="TableParagraph"/>
              <w:spacing w:before="70"/>
              <w:ind w:right="93"/>
              <w:rPr>
                <w:sz w:val="20"/>
              </w:rPr>
            </w:pPr>
            <w:r>
              <w:rPr>
                <w:w w:val="99"/>
                <w:sz w:val="20"/>
              </w:rPr>
              <w:t>-</w:t>
            </w:r>
          </w:p>
        </w:tc>
        <w:tc>
          <w:tcPr>
            <w:tcW w:w="1274" w:type="dxa"/>
          </w:tcPr>
          <w:p w:rsidR="007C5447" w:rsidRDefault="00F6308C">
            <w:pPr>
              <w:pStyle w:val="TableParagraph"/>
              <w:spacing w:before="70"/>
              <w:ind w:right="87"/>
              <w:rPr>
                <w:sz w:val="20"/>
              </w:rPr>
            </w:pPr>
            <w:r>
              <w:rPr>
                <w:w w:val="99"/>
                <w:sz w:val="20"/>
              </w:rPr>
              <w:t>-</w:t>
            </w:r>
          </w:p>
        </w:tc>
        <w:tc>
          <w:tcPr>
            <w:tcW w:w="1320" w:type="dxa"/>
          </w:tcPr>
          <w:p w:rsidR="007C5447" w:rsidRDefault="00F6308C">
            <w:pPr>
              <w:pStyle w:val="TableParagraph"/>
              <w:spacing w:before="70"/>
              <w:ind w:right="91"/>
              <w:rPr>
                <w:sz w:val="20"/>
              </w:rPr>
            </w:pPr>
            <w:r>
              <w:rPr>
                <w:w w:val="95"/>
                <w:sz w:val="20"/>
              </w:rPr>
              <w:t>23.55</w:t>
            </w:r>
          </w:p>
        </w:tc>
        <w:tc>
          <w:tcPr>
            <w:tcW w:w="1200" w:type="dxa"/>
          </w:tcPr>
          <w:p w:rsidR="007C5447" w:rsidRDefault="00F6308C">
            <w:pPr>
              <w:pStyle w:val="TableParagraph"/>
              <w:spacing w:before="70"/>
              <w:ind w:right="90"/>
              <w:rPr>
                <w:sz w:val="20"/>
              </w:rPr>
            </w:pPr>
            <w:r>
              <w:rPr>
                <w:sz w:val="20"/>
              </w:rPr>
              <w:t>4.00</w:t>
            </w:r>
          </w:p>
        </w:tc>
        <w:tc>
          <w:tcPr>
            <w:tcW w:w="1087" w:type="dxa"/>
          </w:tcPr>
          <w:p w:rsidR="007C5447" w:rsidRDefault="00F6308C">
            <w:pPr>
              <w:pStyle w:val="TableParagraph"/>
              <w:spacing w:before="70"/>
              <w:ind w:right="90"/>
              <w:rPr>
                <w:sz w:val="20"/>
              </w:rPr>
            </w:pPr>
            <w:r>
              <w:rPr>
                <w:sz w:val="20"/>
              </w:rPr>
              <w:t>1.70</w:t>
            </w:r>
          </w:p>
        </w:tc>
        <w:tc>
          <w:tcPr>
            <w:tcW w:w="1354" w:type="dxa"/>
          </w:tcPr>
          <w:p w:rsidR="007C5447" w:rsidRDefault="00F6308C">
            <w:pPr>
              <w:pStyle w:val="TableParagraph"/>
              <w:spacing w:before="70"/>
              <w:ind w:right="90"/>
              <w:rPr>
                <w:sz w:val="20"/>
              </w:rPr>
            </w:pPr>
            <w:r>
              <w:rPr>
                <w:w w:val="95"/>
                <w:sz w:val="20"/>
              </w:rPr>
              <w:t>23.55</w:t>
            </w:r>
          </w:p>
        </w:tc>
        <w:tc>
          <w:tcPr>
            <w:tcW w:w="1387" w:type="dxa"/>
          </w:tcPr>
          <w:p w:rsidR="007C5447" w:rsidRDefault="00F6308C">
            <w:pPr>
              <w:pStyle w:val="TableParagraph"/>
              <w:spacing w:before="70"/>
              <w:ind w:right="90"/>
              <w:rPr>
                <w:sz w:val="20"/>
              </w:rPr>
            </w:pPr>
            <w:r>
              <w:rPr>
                <w:sz w:val="20"/>
              </w:rPr>
              <w:t>4.00</w:t>
            </w:r>
          </w:p>
        </w:tc>
        <w:tc>
          <w:tcPr>
            <w:tcW w:w="1056" w:type="dxa"/>
          </w:tcPr>
          <w:p w:rsidR="007C5447" w:rsidRDefault="00F6308C">
            <w:pPr>
              <w:pStyle w:val="TableParagraph"/>
              <w:spacing w:before="70"/>
              <w:ind w:right="90"/>
              <w:rPr>
                <w:sz w:val="20"/>
              </w:rPr>
            </w:pPr>
            <w:r>
              <w:rPr>
                <w:sz w:val="20"/>
              </w:rPr>
              <w:t>1.70</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Solar</w:t>
            </w:r>
          </w:p>
        </w:tc>
        <w:tc>
          <w:tcPr>
            <w:tcW w:w="1140" w:type="dxa"/>
          </w:tcPr>
          <w:p w:rsidR="007C5447" w:rsidRDefault="00F6308C">
            <w:pPr>
              <w:pStyle w:val="TableParagraph"/>
              <w:spacing w:before="70"/>
              <w:ind w:right="88"/>
              <w:rPr>
                <w:sz w:val="20"/>
              </w:rPr>
            </w:pPr>
            <w:r>
              <w:rPr>
                <w:sz w:val="20"/>
              </w:rPr>
              <w:t>16</w:t>
            </w:r>
          </w:p>
        </w:tc>
        <w:tc>
          <w:tcPr>
            <w:tcW w:w="1300" w:type="dxa"/>
          </w:tcPr>
          <w:p w:rsidR="007C5447" w:rsidRDefault="00F6308C">
            <w:pPr>
              <w:pStyle w:val="TableParagraph"/>
              <w:spacing w:before="70"/>
              <w:ind w:right="93"/>
              <w:rPr>
                <w:sz w:val="20"/>
              </w:rPr>
            </w:pPr>
            <w:r>
              <w:rPr>
                <w:w w:val="99"/>
                <w:sz w:val="20"/>
              </w:rPr>
              <w:t>7</w:t>
            </w:r>
          </w:p>
        </w:tc>
        <w:tc>
          <w:tcPr>
            <w:tcW w:w="1274" w:type="dxa"/>
          </w:tcPr>
          <w:p w:rsidR="007C5447" w:rsidRDefault="00F6308C">
            <w:pPr>
              <w:pStyle w:val="TableParagraph"/>
              <w:spacing w:before="70"/>
              <w:ind w:right="86"/>
              <w:rPr>
                <w:sz w:val="20"/>
              </w:rPr>
            </w:pPr>
            <w:r>
              <w:rPr>
                <w:sz w:val="20"/>
              </w:rPr>
              <w:t>4.38</w:t>
            </w:r>
          </w:p>
        </w:tc>
        <w:tc>
          <w:tcPr>
            <w:tcW w:w="1320" w:type="dxa"/>
          </w:tcPr>
          <w:p w:rsidR="007C5447" w:rsidRDefault="00F6308C">
            <w:pPr>
              <w:pStyle w:val="TableParagraph"/>
              <w:spacing w:before="70"/>
              <w:ind w:right="91"/>
              <w:rPr>
                <w:sz w:val="20"/>
              </w:rPr>
            </w:pPr>
            <w:r>
              <w:rPr>
                <w:w w:val="95"/>
                <w:sz w:val="20"/>
              </w:rPr>
              <w:t>69.09</w:t>
            </w:r>
          </w:p>
        </w:tc>
        <w:tc>
          <w:tcPr>
            <w:tcW w:w="1200" w:type="dxa"/>
          </w:tcPr>
          <w:p w:rsidR="007C5447" w:rsidRDefault="00F6308C">
            <w:pPr>
              <w:pStyle w:val="TableParagraph"/>
              <w:spacing w:before="70"/>
              <w:ind w:right="90"/>
              <w:rPr>
                <w:sz w:val="20"/>
              </w:rPr>
            </w:pPr>
            <w:r>
              <w:rPr>
                <w:w w:val="95"/>
                <w:sz w:val="20"/>
              </w:rPr>
              <w:t>36.00</w:t>
            </w:r>
          </w:p>
        </w:tc>
        <w:tc>
          <w:tcPr>
            <w:tcW w:w="1087" w:type="dxa"/>
          </w:tcPr>
          <w:p w:rsidR="007C5447" w:rsidRDefault="00F6308C">
            <w:pPr>
              <w:pStyle w:val="TableParagraph"/>
              <w:spacing w:before="70"/>
              <w:ind w:right="90"/>
              <w:rPr>
                <w:sz w:val="20"/>
              </w:rPr>
            </w:pPr>
            <w:r>
              <w:rPr>
                <w:sz w:val="20"/>
              </w:rPr>
              <w:t>5.21</w:t>
            </w:r>
          </w:p>
        </w:tc>
        <w:tc>
          <w:tcPr>
            <w:tcW w:w="1354" w:type="dxa"/>
          </w:tcPr>
          <w:p w:rsidR="007C5447" w:rsidRDefault="00F6308C">
            <w:pPr>
              <w:pStyle w:val="TableParagraph"/>
              <w:spacing w:before="70"/>
              <w:ind w:right="90"/>
              <w:rPr>
                <w:sz w:val="20"/>
              </w:rPr>
            </w:pPr>
            <w:r>
              <w:rPr>
                <w:w w:val="95"/>
                <w:sz w:val="20"/>
              </w:rPr>
              <w:t>69.09</w:t>
            </w:r>
          </w:p>
        </w:tc>
        <w:tc>
          <w:tcPr>
            <w:tcW w:w="1387" w:type="dxa"/>
          </w:tcPr>
          <w:p w:rsidR="007C5447" w:rsidRDefault="00F6308C">
            <w:pPr>
              <w:pStyle w:val="TableParagraph"/>
              <w:spacing w:before="70"/>
              <w:ind w:right="90"/>
              <w:rPr>
                <w:sz w:val="20"/>
              </w:rPr>
            </w:pPr>
            <w:r>
              <w:rPr>
                <w:w w:val="95"/>
                <w:sz w:val="20"/>
              </w:rPr>
              <w:t>36.00</w:t>
            </w:r>
          </w:p>
        </w:tc>
        <w:tc>
          <w:tcPr>
            <w:tcW w:w="1056" w:type="dxa"/>
          </w:tcPr>
          <w:p w:rsidR="007C5447" w:rsidRDefault="00F6308C">
            <w:pPr>
              <w:pStyle w:val="TableParagraph"/>
              <w:spacing w:before="70"/>
              <w:ind w:right="90"/>
              <w:rPr>
                <w:sz w:val="20"/>
              </w:rPr>
            </w:pPr>
            <w:r>
              <w:rPr>
                <w:sz w:val="20"/>
              </w:rPr>
              <w:t>5.21</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7C5447">
      <w:pPr>
        <w:pStyle w:val="BodyText"/>
        <w:rPr>
          <w:sz w:val="29"/>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9"/>
        <w:gridCol w:w="1140"/>
        <w:gridCol w:w="1300"/>
        <w:gridCol w:w="1274"/>
        <w:gridCol w:w="1320"/>
        <w:gridCol w:w="1200"/>
        <w:gridCol w:w="1087"/>
        <w:gridCol w:w="1354"/>
        <w:gridCol w:w="1387"/>
        <w:gridCol w:w="1056"/>
      </w:tblGrid>
      <w:tr w:rsidR="007C5447">
        <w:trPr>
          <w:trHeight w:val="369"/>
        </w:trPr>
        <w:tc>
          <w:tcPr>
            <w:tcW w:w="3089" w:type="dxa"/>
            <w:vMerge w:val="restart"/>
            <w:shd w:val="clear" w:color="auto" w:fill="F7C9AC"/>
          </w:tcPr>
          <w:p w:rsidR="007C5447" w:rsidRDefault="007C5447">
            <w:pPr>
              <w:pStyle w:val="TableParagraph"/>
              <w:jc w:val="left"/>
            </w:pPr>
          </w:p>
          <w:p w:rsidR="007C5447" w:rsidRDefault="007C5447">
            <w:pPr>
              <w:pStyle w:val="TableParagraph"/>
              <w:spacing w:before="3"/>
              <w:jc w:val="left"/>
            </w:pPr>
          </w:p>
          <w:p w:rsidR="007C5447" w:rsidRDefault="00F6308C">
            <w:pPr>
              <w:pStyle w:val="TableParagraph"/>
              <w:ind w:left="1102" w:right="1084"/>
              <w:jc w:val="center"/>
              <w:rPr>
                <w:b/>
                <w:sz w:val="20"/>
              </w:rPr>
            </w:pPr>
            <w:r>
              <w:rPr>
                <w:b/>
                <w:sz w:val="20"/>
              </w:rPr>
              <w:t>Source</w:t>
            </w:r>
          </w:p>
        </w:tc>
        <w:tc>
          <w:tcPr>
            <w:tcW w:w="11118" w:type="dxa"/>
            <w:gridSpan w:val="9"/>
            <w:shd w:val="clear" w:color="auto" w:fill="F7C9AC"/>
          </w:tcPr>
          <w:p w:rsidR="007C5447" w:rsidRDefault="00F6308C">
            <w:pPr>
              <w:pStyle w:val="TableParagraph"/>
              <w:spacing w:before="125" w:line="224" w:lineRule="exact"/>
              <w:ind w:left="5048" w:right="5026"/>
              <w:jc w:val="center"/>
              <w:rPr>
                <w:b/>
                <w:sz w:val="20"/>
              </w:rPr>
            </w:pPr>
            <w:r>
              <w:rPr>
                <w:b/>
                <w:sz w:val="20"/>
              </w:rPr>
              <w:t>FY 2015-16</w:t>
            </w:r>
          </w:p>
        </w:tc>
      </w:tr>
      <w:tr w:rsidR="007C5447">
        <w:trPr>
          <w:trHeight w:val="371"/>
        </w:trPr>
        <w:tc>
          <w:tcPr>
            <w:tcW w:w="3089" w:type="dxa"/>
            <w:vMerge/>
            <w:tcBorders>
              <w:top w:val="nil"/>
            </w:tcBorders>
            <w:shd w:val="clear" w:color="auto" w:fill="F7C9AC"/>
          </w:tcPr>
          <w:p w:rsidR="007C5447" w:rsidRDefault="007C5447">
            <w:pPr>
              <w:rPr>
                <w:sz w:val="2"/>
                <w:szCs w:val="2"/>
              </w:rPr>
            </w:pPr>
          </w:p>
        </w:tc>
        <w:tc>
          <w:tcPr>
            <w:tcW w:w="3714" w:type="dxa"/>
            <w:gridSpan w:val="3"/>
            <w:shd w:val="clear" w:color="auto" w:fill="F7C9AC"/>
          </w:tcPr>
          <w:p w:rsidR="007C5447" w:rsidRDefault="00F6308C">
            <w:pPr>
              <w:pStyle w:val="TableParagraph"/>
              <w:spacing w:before="70"/>
              <w:ind w:left="1468" w:right="1446"/>
              <w:jc w:val="center"/>
              <w:rPr>
                <w:b/>
                <w:sz w:val="20"/>
              </w:rPr>
            </w:pPr>
            <w:r>
              <w:rPr>
                <w:b/>
                <w:sz w:val="20"/>
              </w:rPr>
              <w:t>TO 2013</w:t>
            </w:r>
          </w:p>
        </w:tc>
        <w:tc>
          <w:tcPr>
            <w:tcW w:w="3607" w:type="dxa"/>
            <w:gridSpan w:val="3"/>
            <w:shd w:val="clear" w:color="auto" w:fill="F7C9AC"/>
          </w:tcPr>
          <w:p w:rsidR="007C5447" w:rsidRDefault="00F6308C">
            <w:pPr>
              <w:pStyle w:val="TableParagraph"/>
              <w:spacing w:before="70"/>
              <w:ind w:left="1204" w:right="1187"/>
              <w:jc w:val="center"/>
              <w:rPr>
                <w:b/>
                <w:sz w:val="20"/>
              </w:rPr>
            </w:pPr>
            <w:r>
              <w:rPr>
                <w:b/>
                <w:sz w:val="20"/>
              </w:rPr>
              <w:t>TANGEDCO</w:t>
            </w:r>
          </w:p>
        </w:tc>
        <w:tc>
          <w:tcPr>
            <w:tcW w:w="3797" w:type="dxa"/>
            <w:gridSpan w:val="3"/>
            <w:shd w:val="clear" w:color="auto" w:fill="F7C9AC"/>
          </w:tcPr>
          <w:p w:rsidR="007C5447" w:rsidRDefault="00F6308C">
            <w:pPr>
              <w:pStyle w:val="TableParagraph"/>
              <w:spacing w:before="70"/>
              <w:ind w:left="907"/>
              <w:jc w:val="left"/>
              <w:rPr>
                <w:b/>
                <w:sz w:val="20"/>
              </w:rPr>
            </w:pPr>
            <w:r>
              <w:rPr>
                <w:b/>
                <w:sz w:val="20"/>
              </w:rPr>
              <w:t>Approved after true up</w:t>
            </w:r>
          </w:p>
        </w:tc>
      </w:tr>
      <w:tr w:rsidR="007C5447">
        <w:trPr>
          <w:trHeight w:val="489"/>
        </w:trPr>
        <w:tc>
          <w:tcPr>
            <w:tcW w:w="3089" w:type="dxa"/>
            <w:vMerge/>
            <w:tcBorders>
              <w:top w:val="nil"/>
            </w:tcBorders>
            <w:shd w:val="clear" w:color="auto" w:fill="F7C9AC"/>
          </w:tcPr>
          <w:p w:rsidR="007C5447" w:rsidRDefault="007C5447">
            <w:pPr>
              <w:rPr>
                <w:sz w:val="2"/>
                <w:szCs w:val="2"/>
              </w:rPr>
            </w:pPr>
          </w:p>
        </w:tc>
        <w:tc>
          <w:tcPr>
            <w:tcW w:w="1140" w:type="dxa"/>
            <w:shd w:val="clear" w:color="auto" w:fill="F7C9AC"/>
          </w:tcPr>
          <w:p w:rsidR="007C5447" w:rsidRDefault="00F6308C">
            <w:pPr>
              <w:pStyle w:val="TableParagraph"/>
              <w:spacing w:before="14" w:line="230" w:lineRule="atLeast"/>
              <w:ind w:left="340" w:right="125" w:hanging="178"/>
              <w:jc w:val="left"/>
              <w:rPr>
                <w:b/>
                <w:sz w:val="20"/>
              </w:rPr>
            </w:pPr>
            <w:r>
              <w:rPr>
                <w:b/>
                <w:sz w:val="20"/>
              </w:rPr>
              <w:t>Quantum (MU)</w:t>
            </w:r>
          </w:p>
        </w:tc>
        <w:tc>
          <w:tcPr>
            <w:tcW w:w="1300" w:type="dxa"/>
            <w:shd w:val="clear" w:color="auto" w:fill="F7C9AC"/>
          </w:tcPr>
          <w:p w:rsidR="007C5447" w:rsidRDefault="00F6308C">
            <w:pPr>
              <w:pStyle w:val="TableParagraph"/>
              <w:spacing w:before="14" w:line="230" w:lineRule="atLeast"/>
              <w:ind w:left="334" w:right="247" w:firstLine="124"/>
              <w:jc w:val="left"/>
              <w:rPr>
                <w:b/>
                <w:sz w:val="20"/>
              </w:rPr>
            </w:pPr>
            <w:r>
              <w:rPr>
                <w:b/>
                <w:sz w:val="20"/>
              </w:rPr>
              <w:t>Cost (Rs. Cr)</w:t>
            </w:r>
          </w:p>
        </w:tc>
        <w:tc>
          <w:tcPr>
            <w:tcW w:w="1274" w:type="dxa"/>
            <w:shd w:val="clear" w:color="auto" w:fill="F7C9AC"/>
          </w:tcPr>
          <w:p w:rsidR="007C5447" w:rsidRDefault="00F6308C">
            <w:pPr>
              <w:pStyle w:val="TableParagraph"/>
              <w:spacing w:before="14" w:line="230" w:lineRule="atLeast"/>
              <w:ind w:left="227" w:firstLine="216"/>
              <w:jc w:val="left"/>
              <w:rPr>
                <w:b/>
                <w:sz w:val="20"/>
              </w:rPr>
            </w:pPr>
            <w:r>
              <w:rPr>
                <w:b/>
                <w:sz w:val="20"/>
              </w:rPr>
              <w:t xml:space="preserve">Rate </w:t>
            </w:r>
            <w:r>
              <w:rPr>
                <w:b/>
                <w:w w:val="95"/>
                <w:sz w:val="20"/>
              </w:rPr>
              <w:t>(Rs/kWh)</w:t>
            </w:r>
          </w:p>
        </w:tc>
        <w:tc>
          <w:tcPr>
            <w:tcW w:w="1320" w:type="dxa"/>
            <w:shd w:val="clear" w:color="auto" w:fill="F7C9AC"/>
          </w:tcPr>
          <w:p w:rsidR="007C5447" w:rsidRDefault="00F6308C">
            <w:pPr>
              <w:pStyle w:val="TableParagraph"/>
              <w:spacing w:before="14" w:line="230" w:lineRule="atLeast"/>
              <w:ind w:left="433" w:right="212" w:hanging="178"/>
              <w:jc w:val="left"/>
              <w:rPr>
                <w:b/>
                <w:sz w:val="20"/>
              </w:rPr>
            </w:pPr>
            <w:r>
              <w:rPr>
                <w:b/>
                <w:sz w:val="20"/>
              </w:rPr>
              <w:t>Quantum (MU)</w:t>
            </w:r>
          </w:p>
        </w:tc>
        <w:tc>
          <w:tcPr>
            <w:tcW w:w="1200" w:type="dxa"/>
            <w:shd w:val="clear" w:color="auto" w:fill="F7C9AC"/>
          </w:tcPr>
          <w:p w:rsidR="007C5447" w:rsidRDefault="00F6308C">
            <w:pPr>
              <w:pStyle w:val="TableParagraph"/>
              <w:spacing w:before="14" w:line="230" w:lineRule="atLeast"/>
              <w:ind w:left="261" w:right="220" w:firstLine="151"/>
              <w:jc w:val="left"/>
              <w:rPr>
                <w:b/>
                <w:sz w:val="20"/>
              </w:rPr>
            </w:pPr>
            <w:r>
              <w:rPr>
                <w:b/>
                <w:sz w:val="20"/>
              </w:rPr>
              <w:t>Cost (Rs. Cr)</w:t>
            </w:r>
          </w:p>
        </w:tc>
        <w:tc>
          <w:tcPr>
            <w:tcW w:w="1087" w:type="dxa"/>
            <w:shd w:val="clear" w:color="auto" w:fill="F7C9AC"/>
          </w:tcPr>
          <w:p w:rsidR="007C5447" w:rsidRDefault="00F6308C">
            <w:pPr>
              <w:pStyle w:val="TableParagraph"/>
              <w:spacing w:before="14" w:line="230" w:lineRule="atLeast"/>
              <w:ind w:left="134" w:right="104" w:firstLine="216"/>
              <w:jc w:val="left"/>
              <w:rPr>
                <w:b/>
                <w:sz w:val="20"/>
              </w:rPr>
            </w:pPr>
            <w:r>
              <w:rPr>
                <w:b/>
                <w:sz w:val="20"/>
              </w:rPr>
              <w:t xml:space="preserve">Rate </w:t>
            </w:r>
            <w:r>
              <w:rPr>
                <w:b/>
                <w:w w:val="95"/>
                <w:sz w:val="20"/>
              </w:rPr>
              <w:t>(Rs/kWh)</w:t>
            </w:r>
          </w:p>
        </w:tc>
        <w:tc>
          <w:tcPr>
            <w:tcW w:w="1354" w:type="dxa"/>
            <w:shd w:val="clear" w:color="auto" w:fill="F7C9AC"/>
          </w:tcPr>
          <w:p w:rsidR="007C5447" w:rsidRDefault="00F6308C">
            <w:pPr>
              <w:pStyle w:val="TableParagraph"/>
              <w:spacing w:before="14" w:line="230" w:lineRule="atLeast"/>
              <w:ind w:left="451" w:right="228" w:hanging="178"/>
              <w:jc w:val="left"/>
              <w:rPr>
                <w:b/>
                <w:sz w:val="20"/>
              </w:rPr>
            </w:pPr>
            <w:r>
              <w:rPr>
                <w:b/>
                <w:sz w:val="20"/>
              </w:rPr>
              <w:t>Quantum (MU)</w:t>
            </w:r>
          </w:p>
        </w:tc>
        <w:tc>
          <w:tcPr>
            <w:tcW w:w="1387" w:type="dxa"/>
            <w:shd w:val="clear" w:color="auto" w:fill="F7C9AC"/>
          </w:tcPr>
          <w:p w:rsidR="007C5447" w:rsidRDefault="00F6308C">
            <w:pPr>
              <w:pStyle w:val="TableParagraph"/>
              <w:spacing w:before="14" w:line="230" w:lineRule="atLeast"/>
              <w:ind w:left="355" w:right="211" w:hanging="104"/>
              <w:jc w:val="left"/>
              <w:rPr>
                <w:b/>
                <w:sz w:val="20"/>
              </w:rPr>
            </w:pPr>
            <w:r>
              <w:rPr>
                <w:b/>
                <w:sz w:val="20"/>
              </w:rPr>
              <w:t>Total Cost (Rs. Cr)</w:t>
            </w:r>
          </w:p>
        </w:tc>
        <w:tc>
          <w:tcPr>
            <w:tcW w:w="1056" w:type="dxa"/>
            <w:shd w:val="clear" w:color="auto" w:fill="F7C9AC"/>
          </w:tcPr>
          <w:p w:rsidR="007C5447" w:rsidRDefault="00F6308C">
            <w:pPr>
              <w:pStyle w:val="TableParagraph"/>
              <w:spacing w:before="14" w:line="230" w:lineRule="atLeast"/>
              <w:ind w:left="117" w:right="77" w:firstLine="216"/>
              <w:jc w:val="left"/>
              <w:rPr>
                <w:b/>
                <w:sz w:val="20"/>
              </w:rPr>
            </w:pPr>
            <w:r>
              <w:rPr>
                <w:b/>
                <w:sz w:val="20"/>
              </w:rPr>
              <w:t xml:space="preserve">Rate </w:t>
            </w:r>
            <w:r>
              <w:rPr>
                <w:b/>
                <w:w w:val="95"/>
                <w:sz w:val="20"/>
              </w:rPr>
              <w:t>(Rs/kWh)</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b/>
                <w:sz w:val="20"/>
              </w:rPr>
            </w:pPr>
            <w:r>
              <w:rPr>
                <w:b/>
                <w:sz w:val="20"/>
              </w:rPr>
              <w:t>Total Renewables</w:t>
            </w:r>
          </w:p>
        </w:tc>
        <w:tc>
          <w:tcPr>
            <w:tcW w:w="1140" w:type="dxa"/>
          </w:tcPr>
          <w:p w:rsidR="007C5447" w:rsidRDefault="00F6308C">
            <w:pPr>
              <w:pStyle w:val="TableParagraph"/>
              <w:spacing w:before="70"/>
              <w:ind w:right="93"/>
              <w:rPr>
                <w:b/>
                <w:sz w:val="20"/>
              </w:rPr>
            </w:pPr>
            <w:r>
              <w:rPr>
                <w:b/>
                <w:w w:val="95"/>
                <w:sz w:val="20"/>
              </w:rPr>
              <w:t>9,405.00</w:t>
            </w:r>
          </w:p>
        </w:tc>
        <w:tc>
          <w:tcPr>
            <w:tcW w:w="1300" w:type="dxa"/>
          </w:tcPr>
          <w:p w:rsidR="007C5447" w:rsidRDefault="00F6308C">
            <w:pPr>
              <w:pStyle w:val="TableParagraph"/>
              <w:spacing w:before="70"/>
              <w:ind w:right="92"/>
              <w:rPr>
                <w:b/>
                <w:sz w:val="20"/>
              </w:rPr>
            </w:pPr>
            <w:r>
              <w:rPr>
                <w:b/>
                <w:w w:val="95"/>
                <w:sz w:val="20"/>
              </w:rPr>
              <w:t>3,064.00</w:t>
            </w:r>
          </w:p>
        </w:tc>
        <w:tc>
          <w:tcPr>
            <w:tcW w:w="1274" w:type="dxa"/>
          </w:tcPr>
          <w:p w:rsidR="007C5447" w:rsidRDefault="00F6308C">
            <w:pPr>
              <w:pStyle w:val="TableParagraph"/>
              <w:spacing w:before="70"/>
              <w:ind w:right="86"/>
              <w:rPr>
                <w:b/>
                <w:sz w:val="20"/>
              </w:rPr>
            </w:pPr>
            <w:r>
              <w:rPr>
                <w:b/>
                <w:sz w:val="20"/>
              </w:rPr>
              <w:t>3.26</w:t>
            </w:r>
          </w:p>
        </w:tc>
        <w:tc>
          <w:tcPr>
            <w:tcW w:w="1320" w:type="dxa"/>
          </w:tcPr>
          <w:p w:rsidR="007C5447" w:rsidRDefault="00F6308C">
            <w:pPr>
              <w:pStyle w:val="TableParagraph"/>
              <w:spacing w:before="70"/>
              <w:ind w:right="89"/>
              <w:rPr>
                <w:b/>
                <w:sz w:val="20"/>
              </w:rPr>
            </w:pPr>
            <w:r>
              <w:rPr>
                <w:b/>
                <w:w w:val="95"/>
                <w:sz w:val="20"/>
              </w:rPr>
              <w:t>3,495.62</w:t>
            </w:r>
          </w:p>
        </w:tc>
        <w:tc>
          <w:tcPr>
            <w:tcW w:w="1200" w:type="dxa"/>
          </w:tcPr>
          <w:p w:rsidR="007C5447" w:rsidRDefault="00F6308C">
            <w:pPr>
              <w:pStyle w:val="TableParagraph"/>
              <w:spacing w:before="70"/>
              <w:ind w:right="89"/>
              <w:rPr>
                <w:b/>
                <w:sz w:val="20"/>
              </w:rPr>
            </w:pPr>
            <w:r>
              <w:rPr>
                <w:b/>
                <w:w w:val="95"/>
                <w:sz w:val="20"/>
              </w:rPr>
              <w:t>1,176.00</w:t>
            </w:r>
          </w:p>
        </w:tc>
        <w:tc>
          <w:tcPr>
            <w:tcW w:w="1087" w:type="dxa"/>
          </w:tcPr>
          <w:p w:rsidR="007C5447" w:rsidRDefault="00F6308C">
            <w:pPr>
              <w:pStyle w:val="TableParagraph"/>
              <w:spacing w:before="70"/>
              <w:ind w:right="90"/>
              <w:rPr>
                <w:b/>
                <w:sz w:val="20"/>
              </w:rPr>
            </w:pPr>
            <w:r>
              <w:rPr>
                <w:b/>
                <w:sz w:val="20"/>
              </w:rPr>
              <w:t>3.36</w:t>
            </w:r>
          </w:p>
        </w:tc>
        <w:tc>
          <w:tcPr>
            <w:tcW w:w="1354" w:type="dxa"/>
          </w:tcPr>
          <w:p w:rsidR="007C5447" w:rsidRDefault="00F6308C">
            <w:pPr>
              <w:pStyle w:val="TableParagraph"/>
              <w:spacing w:before="70"/>
              <w:ind w:right="89"/>
              <w:rPr>
                <w:b/>
                <w:sz w:val="20"/>
              </w:rPr>
            </w:pPr>
            <w:r>
              <w:rPr>
                <w:b/>
                <w:w w:val="95"/>
                <w:sz w:val="20"/>
              </w:rPr>
              <w:t>3,495.62</w:t>
            </w:r>
          </w:p>
        </w:tc>
        <w:tc>
          <w:tcPr>
            <w:tcW w:w="1387" w:type="dxa"/>
          </w:tcPr>
          <w:p w:rsidR="007C5447" w:rsidRDefault="00F6308C">
            <w:pPr>
              <w:pStyle w:val="TableParagraph"/>
              <w:spacing w:before="70"/>
              <w:ind w:right="88"/>
              <w:rPr>
                <w:b/>
                <w:sz w:val="20"/>
              </w:rPr>
            </w:pPr>
            <w:r>
              <w:rPr>
                <w:b/>
                <w:w w:val="95"/>
                <w:sz w:val="20"/>
              </w:rPr>
              <w:t>1,176.00</w:t>
            </w:r>
          </w:p>
        </w:tc>
        <w:tc>
          <w:tcPr>
            <w:tcW w:w="1056" w:type="dxa"/>
          </w:tcPr>
          <w:p w:rsidR="007C5447" w:rsidRDefault="00F6308C">
            <w:pPr>
              <w:pStyle w:val="TableParagraph"/>
              <w:spacing w:before="70"/>
              <w:ind w:right="90"/>
              <w:rPr>
                <w:b/>
                <w:sz w:val="20"/>
              </w:rPr>
            </w:pPr>
            <w:r>
              <w:rPr>
                <w:b/>
                <w:sz w:val="20"/>
              </w:rPr>
              <w:t>3.36</w:t>
            </w:r>
          </w:p>
        </w:tc>
      </w:tr>
      <w:tr w:rsidR="007C5447">
        <w:trPr>
          <w:trHeight w:val="371"/>
        </w:trPr>
        <w:tc>
          <w:tcPr>
            <w:tcW w:w="3089" w:type="dxa"/>
            <w:tcBorders>
              <w:left w:val="single" w:sz="8" w:space="0" w:color="000000"/>
            </w:tcBorders>
          </w:tcPr>
          <w:p w:rsidR="007C5447" w:rsidRDefault="00F6308C">
            <w:pPr>
              <w:pStyle w:val="TableParagraph"/>
              <w:spacing w:before="70"/>
              <w:ind w:left="107"/>
              <w:jc w:val="left"/>
              <w:rPr>
                <w:b/>
                <w:sz w:val="20"/>
              </w:rPr>
            </w:pPr>
            <w:r>
              <w:rPr>
                <w:b/>
                <w:sz w:val="20"/>
              </w:rPr>
              <w:t>Other Sources</w:t>
            </w:r>
          </w:p>
        </w:tc>
        <w:tc>
          <w:tcPr>
            <w:tcW w:w="1140"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7C5447">
            <w:pPr>
              <w:pStyle w:val="TableParagraph"/>
              <w:jc w:val="left"/>
              <w:rPr>
                <w:sz w:val="20"/>
              </w:rPr>
            </w:pPr>
          </w:p>
        </w:tc>
        <w:tc>
          <w:tcPr>
            <w:tcW w:w="1200" w:type="dxa"/>
          </w:tcPr>
          <w:p w:rsidR="007C5447" w:rsidRDefault="007C5447">
            <w:pPr>
              <w:pStyle w:val="TableParagraph"/>
              <w:jc w:val="left"/>
              <w:rPr>
                <w:sz w:val="20"/>
              </w:rPr>
            </w:pP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Trading - Bilateral &amp; Exchange</w:t>
            </w:r>
          </w:p>
        </w:tc>
        <w:tc>
          <w:tcPr>
            <w:tcW w:w="1140"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0"/>
              <w:ind w:right="91"/>
              <w:rPr>
                <w:sz w:val="20"/>
              </w:rPr>
            </w:pPr>
            <w:r>
              <w:rPr>
                <w:w w:val="95"/>
                <w:sz w:val="20"/>
              </w:rPr>
              <w:t>14,184.00</w:t>
            </w:r>
          </w:p>
        </w:tc>
        <w:tc>
          <w:tcPr>
            <w:tcW w:w="1200" w:type="dxa"/>
          </w:tcPr>
          <w:p w:rsidR="007C5447" w:rsidRDefault="00F6308C">
            <w:pPr>
              <w:pStyle w:val="TableParagraph"/>
              <w:spacing w:before="70"/>
              <w:ind w:right="89"/>
              <w:rPr>
                <w:sz w:val="20"/>
              </w:rPr>
            </w:pPr>
            <w:r>
              <w:rPr>
                <w:w w:val="95"/>
                <w:sz w:val="20"/>
              </w:rPr>
              <w:t>7,291.00</w:t>
            </w:r>
          </w:p>
        </w:tc>
        <w:tc>
          <w:tcPr>
            <w:tcW w:w="1087" w:type="dxa"/>
          </w:tcPr>
          <w:p w:rsidR="007C5447" w:rsidRDefault="00F6308C">
            <w:pPr>
              <w:pStyle w:val="TableParagraph"/>
              <w:spacing w:before="70"/>
              <w:ind w:right="90"/>
              <w:rPr>
                <w:sz w:val="20"/>
              </w:rPr>
            </w:pPr>
            <w:r>
              <w:rPr>
                <w:sz w:val="20"/>
              </w:rPr>
              <w:t>5.14</w:t>
            </w:r>
          </w:p>
        </w:tc>
        <w:tc>
          <w:tcPr>
            <w:tcW w:w="1354" w:type="dxa"/>
          </w:tcPr>
          <w:p w:rsidR="007C5447" w:rsidRDefault="00F6308C">
            <w:pPr>
              <w:pStyle w:val="TableParagraph"/>
              <w:spacing w:before="70"/>
              <w:ind w:right="91"/>
              <w:rPr>
                <w:sz w:val="20"/>
              </w:rPr>
            </w:pPr>
            <w:r>
              <w:rPr>
                <w:w w:val="95"/>
                <w:sz w:val="20"/>
              </w:rPr>
              <w:t>14,184.00</w:t>
            </w:r>
          </w:p>
        </w:tc>
        <w:tc>
          <w:tcPr>
            <w:tcW w:w="1387" w:type="dxa"/>
          </w:tcPr>
          <w:p w:rsidR="007C5447" w:rsidRDefault="00F6308C">
            <w:pPr>
              <w:pStyle w:val="TableParagraph"/>
              <w:spacing w:before="70"/>
              <w:ind w:right="88"/>
              <w:rPr>
                <w:sz w:val="20"/>
              </w:rPr>
            </w:pPr>
            <w:r>
              <w:rPr>
                <w:w w:val="95"/>
                <w:sz w:val="20"/>
              </w:rPr>
              <w:t>7,291.00</w:t>
            </w:r>
          </w:p>
        </w:tc>
        <w:tc>
          <w:tcPr>
            <w:tcW w:w="1056" w:type="dxa"/>
          </w:tcPr>
          <w:p w:rsidR="007C5447" w:rsidRDefault="00F6308C">
            <w:pPr>
              <w:pStyle w:val="TableParagraph"/>
              <w:spacing w:before="70"/>
              <w:ind w:right="90"/>
              <w:rPr>
                <w:sz w:val="20"/>
              </w:rPr>
            </w:pPr>
            <w:r>
              <w:rPr>
                <w:sz w:val="20"/>
              </w:rPr>
              <w:t>5.14</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UI</w:t>
            </w:r>
          </w:p>
        </w:tc>
        <w:tc>
          <w:tcPr>
            <w:tcW w:w="1140"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0"/>
              <w:ind w:right="89"/>
              <w:rPr>
                <w:sz w:val="20"/>
              </w:rPr>
            </w:pPr>
            <w:r>
              <w:rPr>
                <w:w w:val="95"/>
                <w:sz w:val="20"/>
              </w:rPr>
              <w:t>(230.76)</w:t>
            </w:r>
          </w:p>
        </w:tc>
        <w:tc>
          <w:tcPr>
            <w:tcW w:w="1200" w:type="dxa"/>
          </w:tcPr>
          <w:p w:rsidR="007C5447" w:rsidRDefault="00F6308C">
            <w:pPr>
              <w:pStyle w:val="TableParagraph"/>
              <w:spacing w:before="70"/>
              <w:ind w:right="88"/>
              <w:rPr>
                <w:sz w:val="20"/>
              </w:rPr>
            </w:pPr>
            <w:r>
              <w:rPr>
                <w:w w:val="95"/>
                <w:sz w:val="20"/>
              </w:rPr>
              <w:t>(43.00)</w:t>
            </w:r>
          </w:p>
        </w:tc>
        <w:tc>
          <w:tcPr>
            <w:tcW w:w="1087" w:type="dxa"/>
          </w:tcPr>
          <w:p w:rsidR="007C5447" w:rsidRDefault="00F6308C">
            <w:pPr>
              <w:pStyle w:val="TableParagraph"/>
              <w:spacing w:before="70"/>
              <w:ind w:right="90"/>
              <w:rPr>
                <w:sz w:val="20"/>
              </w:rPr>
            </w:pPr>
            <w:r>
              <w:rPr>
                <w:sz w:val="20"/>
              </w:rPr>
              <w:t>1.86</w:t>
            </w:r>
          </w:p>
        </w:tc>
        <w:tc>
          <w:tcPr>
            <w:tcW w:w="1354" w:type="dxa"/>
          </w:tcPr>
          <w:p w:rsidR="007C5447" w:rsidRDefault="00F6308C">
            <w:pPr>
              <w:pStyle w:val="TableParagraph"/>
              <w:spacing w:before="70"/>
              <w:ind w:right="88"/>
              <w:rPr>
                <w:sz w:val="20"/>
              </w:rPr>
            </w:pPr>
            <w:r>
              <w:rPr>
                <w:w w:val="95"/>
                <w:sz w:val="20"/>
              </w:rPr>
              <w:t>(230.76)</w:t>
            </w:r>
          </w:p>
        </w:tc>
        <w:tc>
          <w:tcPr>
            <w:tcW w:w="1387" w:type="dxa"/>
          </w:tcPr>
          <w:p w:rsidR="007C5447" w:rsidRDefault="00F6308C">
            <w:pPr>
              <w:pStyle w:val="TableParagraph"/>
              <w:spacing w:before="70"/>
              <w:ind w:right="87"/>
              <w:rPr>
                <w:sz w:val="20"/>
              </w:rPr>
            </w:pPr>
            <w:r>
              <w:rPr>
                <w:w w:val="95"/>
                <w:sz w:val="20"/>
              </w:rPr>
              <w:t>(43.00)</w:t>
            </w:r>
          </w:p>
        </w:tc>
        <w:tc>
          <w:tcPr>
            <w:tcW w:w="1056" w:type="dxa"/>
          </w:tcPr>
          <w:p w:rsidR="007C5447" w:rsidRDefault="00F6308C">
            <w:pPr>
              <w:pStyle w:val="TableParagraph"/>
              <w:spacing w:before="70"/>
              <w:ind w:right="90"/>
              <w:rPr>
                <w:sz w:val="20"/>
              </w:rPr>
            </w:pPr>
            <w:r>
              <w:rPr>
                <w:sz w:val="20"/>
              </w:rPr>
              <w:t>1.86</w:t>
            </w:r>
          </w:p>
        </w:tc>
      </w:tr>
      <w:tr w:rsidR="007C5447">
        <w:trPr>
          <w:trHeight w:val="371"/>
        </w:trPr>
        <w:tc>
          <w:tcPr>
            <w:tcW w:w="3089" w:type="dxa"/>
            <w:tcBorders>
              <w:left w:val="single" w:sz="8" w:space="0" w:color="000000"/>
            </w:tcBorders>
          </w:tcPr>
          <w:p w:rsidR="007C5447" w:rsidRDefault="00F6308C">
            <w:pPr>
              <w:pStyle w:val="TableParagraph"/>
              <w:spacing w:before="70"/>
              <w:ind w:left="107"/>
              <w:jc w:val="left"/>
              <w:rPr>
                <w:sz w:val="20"/>
              </w:rPr>
            </w:pPr>
            <w:r>
              <w:rPr>
                <w:sz w:val="20"/>
              </w:rPr>
              <w:t>STOA</w:t>
            </w:r>
          </w:p>
        </w:tc>
        <w:tc>
          <w:tcPr>
            <w:tcW w:w="1140"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0"/>
              <w:ind w:right="89"/>
              <w:rPr>
                <w:sz w:val="20"/>
              </w:rPr>
            </w:pPr>
            <w:r>
              <w:rPr>
                <w:w w:val="95"/>
                <w:sz w:val="20"/>
              </w:rPr>
              <w:t>4,542.06</w:t>
            </w:r>
          </w:p>
        </w:tc>
        <w:tc>
          <w:tcPr>
            <w:tcW w:w="1200" w:type="dxa"/>
          </w:tcPr>
          <w:p w:rsidR="007C5447" w:rsidRDefault="00F6308C">
            <w:pPr>
              <w:pStyle w:val="TableParagraph"/>
              <w:spacing w:before="70"/>
              <w:ind w:right="89"/>
              <w:rPr>
                <w:sz w:val="20"/>
              </w:rPr>
            </w:pPr>
            <w:r>
              <w:rPr>
                <w:w w:val="95"/>
                <w:sz w:val="20"/>
              </w:rPr>
              <w:t>2,294.00</w:t>
            </w:r>
          </w:p>
        </w:tc>
        <w:tc>
          <w:tcPr>
            <w:tcW w:w="1087" w:type="dxa"/>
          </w:tcPr>
          <w:p w:rsidR="007C5447" w:rsidRDefault="00F6308C">
            <w:pPr>
              <w:pStyle w:val="TableParagraph"/>
              <w:spacing w:before="70"/>
              <w:ind w:right="90"/>
              <w:rPr>
                <w:sz w:val="20"/>
              </w:rPr>
            </w:pPr>
            <w:r>
              <w:rPr>
                <w:sz w:val="20"/>
              </w:rPr>
              <w:t>5.05</w:t>
            </w:r>
          </w:p>
        </w:tc>
        <w:tc>
          <w:tcPr>
            <w:tcW w:w="1354" w:type="dxa"/>
          </w:tcPr>
          <w:p w:rsidR="007C5447" w:rsidRDefault="00F6308C">
            <w:pPr>
              <w:pStyle w:val="TableParagraph"/>
              <w:spacing w:before="70"/>
              <w:ind w:right="89"/>
              <w:rPr>
                <w:sz w:val="20"/>
              </w:rPr>
            </w:pPr>
            <w:r>
              <w:rPr>
                <w:w w:val="95"/>
                <w:sz w:val="20"/>
              </w:rPr>
              <w:t>3,428.52</w:t>
            </w:r>
          </w:p>
        </w:tc>
        <w:tc>
          <w:tcPr>
            <w:tcW w:w="1387" w:type="dxa"/>
          </w:tcPr>
          <w:p w:rsidR="007C5447" w:rsidRDefault="00F6308C">
            <w:pPr>
              <w:pStyle w:val="TableParagraph"/>
              <w:spacing w:before="70"/>
              <w:ind w:right="88"/>
              <w:rPr>
                <w:sz w:val="20"/>
              </w:rPr>
            </w:pPr>
            <w:r>
              <w:rPr>
                <w:w w:val="95"/>
                <w:sz w:val="20"/>
              </w:rPr>
              <w:t>1,731.60</w:t>
            </w:r>
          </w:p>
        </w:tc>
        <w:tc>
          <w:tcPr>
            <w:tcW w:w="1056" w:type="dxa"/>
          </w:tcPr>
          <w:p w:rsidR="007C5447" w:rsidRDefault="00F6308C">
            <w:pPr>
              <w:pStyle w:val="TableParagraph"/>
              <w:spacing w:before="70"/>
              <w:ind w:right="90"/>
              <w:rPr>
                <w:sz w:val="20"/>
              </w:rPr>
            </w:pPr>
            <w:r>
              <w:rPr>
                <w:sz w:val="20"/>
              </w:rPr>
              <w:t>5.05</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CPP Traders</w:t>
            </w:r>
          </w:p>
        </w:tc>
        <w:tc>
          <w:tcPr>
            <w:tcW w:w="1140"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0"/>
              <w:ind w:right="87"/>
              <w:rPr>
                <w:sz w:val="20"/>
              </w:rPr>
            </w:pPr>
            <w:r>
              <w:rPr>
                <w:w w:val="99"/>
                <w:sz w:val="20"/>
              </w:rPr>
              <w:t>-</w:t>
            </w:r>
          </w:p>
        </w:tc>
        <w:tc>
          <w:tcPr>
            <w:tcW w:w="1200" w:type="dxa"/>
          </w:tcPr>
          <w:p w:rsidR="007C5447" w:rsidRDefault="00F6308C">
            <w:pPr>
              <w:pStyle w:val="TableParagraph"/>
              <w:spacing w:before="70"/>
              <w:ind w:right="87"/>
              <w:rPr>
                <w:sz w:val="20"/>
              </w:rPr>
            </w:pPr>
            <w:r>
              <w:rPr>
                <w:w w:val="99"/>
                <w:sz w:val="20"/>
              </w:rPr>
              <w:t>-</w:t>
            </w: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MTOA - Jindal</w:t>
            </w:r>
          </w:p>
        </w:tc>
        <w:tc>
          <w:tcPr>
            <w:tcW w:w="1140" w:type="dxa"/>
          </w:tcPr>
          <w:p w:rsidR="007C5447" w:rsidRDefault="00F6308C">
            <w:pPr>
              <w:pStyle w:val="TableParagraph"/>
              <w:spacing w:before="70"/>
              <w:ind w:right="91"/>
              <w:rPr>
                <w:sz w:val="20"/>
              </w:rPr>
            </w:pPr>
            <w:r>
              <w:rPr>
                <w:w w:val="95"/>
                <w:sz w:val="20"/>
              </w:rPr>
              <w:t>1,171.00</w:t>
            </w:r>
          </w:p>
        </w:tc>
        <w:tc>
          <w:tcPr>
            <w:tcW w:w="1300" w:type="dxa"/>
          </w:tcPr>
          <w:p w:rsidR="007C5447" w:rsidRDefault="00F6308C">
            <w:pPr>
              <w:pStyle w:val="TableParagraph"/>
              <w:spacing w:before="70"/>
              <w:ind w:right="91"/>
              <w:rPr>
                <w:sz w:val="20"/>
              </w:rPr>
            </w:pPr>
            <w:r>
              <w:rPr>
                <w:w w:val="95"/>
                <w:sz w:val="20"/>
              </w:rPr>
              <w:t>576.00</w:t>
            </w:r>
          </w:p>
        </w:tc>
        <w:tc>
          <w:tcPr>
            <w:tcW w:w="1274" w:type="dxa"/>
          </w:tcPr>
          <w:p w:rsidR="007C5447" w:rsidRDefault="00F6308C">
            <w:pPr>
              <w:pStyle w:val="TableParagraph"/>
              <w:spacing w:before="70"/>
              <w:ind w:right="86"/>
              <w:rPr>
                <w:sz w:val="20"/>
              </w:rPr>
            </w:pPr>
            <w:r>
              <w:rPr>
                <w:sz w:val="20"/>
              </w:rPr>
              <w:t>4.92</w:t>
            </w:r>
          </w:p>
        </w:tc>
        <w:tc>
          <w:tcPr>
            <w:tcW w:w="1320" w:type="dxa"/>
          </w:tcPr>
          <w:p w:rsidR="007C5447" w:rsidRDefault="007C5447">
            <w:pPr>
              <w:pStyle w:val="TableParagraph"/>
              <w:jc w:val="left"/>
              <w:rPr>
                <w:sz w:val="20"/>
              </w:rPr>
            </w:pPr>
          </w:p>
        </w:tc>
        <w:tc>
          <w:tcPr>
            <w:tcW w:w="1200" w:type="dxa"/>
          </w:tcPr>
          <w:p w:rsidR="007C5447" w:rsidRDefault="007C5447">
            <w:pPr>
              <w:pStyle w:val="TableParagraph"/>
              <w:jc w:val="left"/>
              <w:rPr>
                <w:sz w:val="20"/>
              </w:rPr>
            </w:pP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r w:rsidR="007C5447">
        <w:trPr>
          <w:trHeight w:val="371"/>
        </w:trPr>
        <w:tc>
          <w:tcPr>
            <w:tcW w:w="3089" w:type="dxa"/>
            <w:tcBorders>
              <w:left w:val="single" w:sz="8" w:space="0" w:color="000000"/>
            </w:tcBorders>
          </w:tcPr>
          <w:p w:rsidR="007C5447" w:rsidRDefault="00F6308C">
            <w:pPr>
              <w:pStyle w:val="TableParagraph"/>
              <w:spacing w:before="70"/>
              <w:ind w:left="107"/>
              <w:jc w:val="left"/>
              <w:rPr>
                <w:sz w:val="20"/>
              </w:rPr>
            </w:pPr>
            <w:r>
              <w:rPr>
                <w:sz w:val="20"/>
              </w:rPr>
              <w:t>MTOA – LANCO (NETS)</w:t>
            </w:r>
          </w:p>
        </w:tc>
        <w:tc>
          <w:tcPr>
            <w:tcW w:w="1140" w:type="dxa"/>
          </w:tcPr>
          <w:p w:rsidR="007C5447" w:rsidRDefault="00F6308C">
            <w:pPr>
              <w:pStyle w:val="TableParagraph"/>
              <w:spacing w:before="70"/>
              <w:ind w:right="90"/>
              <w:rPr>
                <w:sz w:val="20"/>
              </w:rPr>
            </w:pPr>
            <w:r>
              <w:rPr>
                <w:w w:val="95"/>
                <w:sz w:val="20"/>
              </w:rPr>
              <w:t>878.00</w:t>
            </w:r>
          </w:p>
        </w:tc>
        <w:tc>
          <w:tcPr>
            <w:tcW w:w="1300" w:type="dxa"/>
          </w:tcPr>
          <w:p w:rsidR="007C5447" w:rsidRDefault="00F6308C">
            <w:pPr>
              <w:pStyle w:val="TableParagraph"/>
              <w:spacing w:before="70"/>
              <w:ind w:right="91"/>
              <w:rPr>
                <w:sz w:val="20"/>
              </w:rPr>
            </w:pPr>
            <w:r>
              <w:rPr>
                <w:w w:val="95"/>
                <w:sz w:val="20"/>
              </w:rPr>
              <w:t>429.00</w:t>
            </w:r>
          </w:p>
        </w:tc>
        <w:tc>
          <w:tcPr>
            <w:tcW w:w="1274" w:type="dxa"/>
          </w:tcPr>
          <w:p w:rsidR="007C5447" w:rsidRDefault="00F6308C">
            <w:pPr>
              <w:pStyle w:val="TableParagraph"/>
              <w:spacing w:before="70"/>
              <w:ind w:right="86"/>
              <w:rPr>
                <w:sz w:val="20"/>
              </w:rPr>
            </w:pPr>
            <w:r>
              <w:rPr>
                <w:sz w:val="20"/>
              </w:rPr>
              <w:t>4.89</w:t>
            </w:r>
          </w:p>
        </w:tc>
        <w:tc>
          <w:tcPr>
            <w:tcW w:w="1320" w:type="dxa"/>
          </w:tcPr>
          <w:p w:rsidR="007C5447" w:rsidRDefault="007C5447">
            <w:pPr>
              <w:pStyle w:val="TableParagraph"/>
              <w:jc w:val="left"/>
              <w:rPr>
                <w:sz w:val="20"/>
              </w:rPr>
            </w:pPr>
          </w:p>
        </w:tc>
        <w:tc>
          <w:tcPr>
            <w:tcW w:w="1200" w:type="dxa"/>
          </w:tcPr>
          <w:p w:rsidR="007C5447" w:rsidRDefault="007C5447">
            <w:pPr>
              <w:pStyle w:val="TableParagraph"/>
              <w:jc w:val="left"/>
              <w:rPr>
                <w:sz w:val="20"/>
              </w:rPr>
            </w:pP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MTOA - Adani</w:t>
            </w:r>
          </w:p>
        </w:tc>
        <w:tc>
          <w:tcPr>
            <w:tcW w:w="1140" w:type="dxa"/>
          </w:tcPr>
          <w:p w:rsidR="007C5447" w:rsidRDefault="007C5447">
            <w:pPr>
              <w:pStyle w:val="TableParagraph"/>
              <w:jc w:val="left"/>
              <w:rPr>
                <w:sz w:val="20"/>
              </w:rPr>
            </w:pPr>
          </w:p>
        </w:tc>
        <w:tc>
          <w:tcPr>
            <w:tcW w:w="1300" w:type="dxa"/>
          </w:tcPr>
          <w:p w:rsidR="007C5447" w:rsidRDefault="00F6308C">
            <w:pPr>
              <w:pStyle w:val="TableParagraph"/>
              <w:spacing w:before="70"/>
              <w:ind w:right="91"/>
              <w:rPr>
                <w:sz w:val="20"/>
              </w:rPr>
            </w:pPr>
            <w:r>
              <w:rPr>
                <w:w w:val="95"/>
                <w:sz w:val="20"/>
              </w:rPr>
              <w:t>231.00</w:t>
            </w:r>
          </w:p>
        </w:tc>
        <w:tc>
          <w:tcPr>
            <w:tcW w:w="1274" w:type="dxa"/>
          </w:tcPr>
          <w:p w:rsidR="007C5447" w:rsidRDefault="007C5447">
            <w:pPr>
              <w:pStyle w:val="TableParagraph"/>
              <w:jc w:val="left"/>
              <w:rPr>
                <w:sz w:val="20"/>
              </w:rPr>
            </w:pPr>
          </w:p>
        </w:tc>
        <w:tc>
          <w:tcPr>
            <w:tcW w:w="1320" w:type="dxa"/>
          </w:tcPr>
          <w:p w:rsidR="007C5447" w:rsidRDefault="007C5447">
            <w:pPr>
              <w:pStyle w:val="TableParagraph"/>
              <w:jc w:val="left"/>
              <w:rPr>
                <w:sz w:val="20"/>
              </w:rPr>
            </w:pPr>
          </w:p>
        </w:tc>
        <w:tc>
          <w:tcPr>
            <w:tcW w:w="1200" w:type="dxa"/>
          </w:tcPr>
          <w:p w:rsidR="007C5447" w:rsidRDefault="007C5447">
            <w:pPr>
              <w:pStyle w:val="TableParagraph"/>
              <w:jc w:val="left"/>
              <w:rPr>
                <w:sz w:val="20"/>
              </w:rPr>
            </w:pP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sz w:val="20"/>
              </w:rPr>
            </w:pPr>
            <w:r>
              <w:rPr>
                <w:sz w:val="20"/>
              </w:rPr>
              <w:t>NTPC NVVN (Solar)</w:t>
            </w:r>
          </w:p>
        </w:tc>
        <w:tc>
          <w:tcPr>
            <w:tcW w:w="1140" w:type="dxa"/>
          </w:tcPr>
          <w:p w:rsidR="007C5447" w:rsidRDefault="00F6308C">
            <w:pPr>
              <w:pStyle w:val="TableParagraph"/>
              <w:spacing w:before="70"/>
              <w:ind w:right="90"/>
              <w:rPr>
                <w:sz w:val="20"/>
              </w:rPr>
            </w:pPr>
            <w:r>
              <w:rPr>
                <w:sz w:val="20"/>
              </w:rPr>
              <w:t>35.00</w:t>
            </w:r>
          </w:p>
        </w:tc>
        <w:tc>
          <w:tcPr>
            <w:tcW w:w="1300" w:type="dxa"/>
          </w:tcPr>
          <w:p w:rsidR="007C5447" w:rsidRDefault="00F6308C">
            <w:pPr>
              <w:pStyle w:val="TableParagraph"/>
              <w:spacing w:before="70"/>
              <w:ind w:right="91"/>
              <w:rPr>
                <w:sz w:val="20"/>
              </w:rPr>
            </w:pPr>
            <w:r>
              <w:rPr>
                <w:sz w:val="20"/>
              </w:rPr>
              <w:t>16.00</w:t>
            </w:r>
          </w:p>
        </w:tc>
        <w:tc>
          <w:tcPr>
            <w:tcW w:w="1274" w:type="dxa"/>
          </w:tcPr>
          <w:p w:rsidR="007C5447" w:rsidRDefault="00F6308C">
            <w:pPr>
              <w:pStyle w:val="TableParagraph"/>
              <w:spacing w:before="70"/>
              <w:ind w:right="86"/>
              <w:rPr>
                <w:sz w:val="20"/>
              </w:rPr>
            </w:pPr>
            <w:r>
              <w:rPr>
                <w:sz w:val="20"/>
              </w:rPr>
              <w:t>4.57</w:t>
            </w:r>
          </w:p>
        </w:tc>
        <w:tc>
          <w:tcPr>
            <w:tcW w:w="1320" w:type="dxa"/>
          </w:tcPr>
          <w:p w:rsidR="007C5447" w:rsidRDefault="007C5447">
            <w:pPr>
              <w:pStyle w:val="TableParagraph"/>
              <w:jc w:val="left"/>
              <w:rPr>
                <w:sz w:val="20"/>
              </w:rPr>
            </w:pPr>
          </w:p>
        </w:tc>
        <w:tc>
          <w:tcPr>
            <w:tcW w:w="1200" w:type="dxa"/>
          </w:tcPr>
          <w:p w:rsidR="007C5447" w:rsidRDefault="007C5447">
            <w:pPr>
              <w:pStyle w:val="TableParagraph"/>
              <w:jc w:val="left"/>
              <w:rPr>
                <w:sz w:val="20"/>
              </w:rPr>
            </w:pP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r w:rsidR="007C5447">
        <w:trPr>
          <w:trHeight w:val="371"/>
        </w:trPr>
        <w:tc>
          <w:tcPr>
            <w:tcW w:w="3089" w:type="dxa"/>
            <w:tcBorders>
              <w:left w:val="single" w:sz="8" w:space="0" w:color="000000"/>
            </w:tcBorders>
          </w:tcPr>
          <w:p w:rsidR="007C5447" w:rsidRDefault="00F6308C">
            <w:pPr>
              <w:pStyle w:val="TableParagraph"/>
              <w:spacing w:before="70"/>
              <w:ind w:left="107"/>
              <w:jc w:val="left"/>
              <w:rPr>
                <w:sz w:val="20"/>
              </w:rPr>
            </w:pPr>
            <w:r>
              <w:rPr>
                <w:sz w:val="20"/>
              </w:rPr>
              <w:t>KSEB Power</w:t>
            </w:r>
          </w:p>
        </w:tc>
        <w:tc>
          <w:tcPr>
            <w:tcW w:w="1140"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7C5447">
            <w:pPr>
              <w:pStyle w:val="TableParagraph"/>
              <w:jc w:val="left"/>
              <w:rPr>
                <w:sz w:val="20"/>
              </w:rPr>
            </w:pPr>
          </w:p>
        </w:tc>
        <w:tc>
          <w:tcPr>
            <w:tcW w:w="1200" w:type="dxa"/>
          </w:tcPr>
          <w:p w:rsidR="007C5447" w:rsidRDefault="007C5447">
            <w:pPr>
              <w:pStyle w:val="TableParagraph"/>
              <w:jc w:val="left"/>
              <w:rPr>
                <w:sz w:val="20"/>
              </w:rPr>
            </w:pP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b/>
                <w:sz w:val="20"/>
              </w:rPr>
            </w:pPr>
            <w:r>
              <w:rPr>
                <w:b/>
                <w:sz w:val="20"/>
              </w:rPr>
              <w:t>Total Other Sources</w:t>
            </w:r>
          </w:p>
        </w:tc>
        <w:tc>
          <w:tcPr>
            <w:tcW w:w="1140" w:type="dxa"/>
          </w:tcPr>
          <w:p w:rsidR="007C5447" w:rsidRDefault="00F6308C">
            <w:pPr>
              <w:pStyle w:val="TableParagraph"/>
              <w:spacing w:before="70"/>
              <w:ind w:right="91"/>
              <w:rPr>
                <w:b/>
                <w:sz w:val="20"/>
              </w:rPr>
            </w:pPr>
            <w:r>
              <w:rPr>
                <w:b/>
                <w:w w:val="95"/>
                <w:sz w:val="20"/>
              </w:rPr>
              <w:t>2,084.00</w:t>
            </w:r>
          </w:p>
        </w:tc>
        <w:tc>
          <w:tcPr>
            <w:tcW w:w="1300" w:type="dxa"/>
          </w:tcPr>
          <w:p w:rsidR="007C5447" w:rsidRDefault="00F6308C">
            <w:pPr>
              <w:pStyle w:val="TableParagraph"/>
              <w:spacing w:before="70"/>
              <w:ind w:right="92"/>
              <w:rPr>
                <w:b/>
                <w:sz w:val="20"/>
              </w:rPr>
            </w:pPr>
            <w:r>
              <w:rPr>
                <w:b/>
                <w:sz w:val="20"/>
              </w:rPr>
              <w:t>1252.00</w:t>
            </w:r>
          </w:p>
        </w:tc>
        <w:tc>
          <w:tcPr>
            <w:tcW w:w="1274" w:type="dxa"/>
          </w:tcPr>
          <w:p w:rsidR="007C5447" w:rsidRDefault="00F6308C">
            <w:pPr>
              <w:pStyle w:val="TableParagraph"/>
              <w:spacing w:before="70"/>
              <w:ind w:right="86"/>
              <w:rPr>
                <w:b/>
                <w:sz w:val="20"/>
              </w:rPr>
            </w:pPr>
            <w:r>
              <w:rPr>
                <w:b/>
                <w:sz w:val="20"/>
              </w:rPr>
              <w:t>6.01</w:t>
            </w:r>
          </w:p>
        </w:tc>
        <w:tc>
          <w:tcPr>
            <w:tcW w:w="1320" w:type="dxa"/>
          </w:tcPr>
          <w:p w:rsidR="007C5447" w:rsidRDefault="00F6308C">
            <w:pPr>
              <w:pStyle w:val="TableParagraph"/>
              <w:spacing w:before="70"/>
              <w:ind w:right="91"/>
              <w:rPr>
                <w:b/>
                <w:sz w:val="20"/>
              </w:rPr>
            </w:pPr>
            <w:r>
              <w:rPr>
                <w:b/>
                <w:w w:val="95"/>
                <w:sz w:val="20"/>
              </w:rPr>
              <w:t>18,495.30</w:t>
            </w:r>
          </w:p>
        </w:tc>
        <w:tc>
          <w:tcPr>
            <w:tcW w:w="1200" w:type="dxa"/>
          </w:tcPr>
          <w:p w:rsidR="007C5447" w:rsidRDefault="00F6308C">
            <w:pPr>
              <w:pStyle w:val="TableParagraph"/>
              <w:spacing w:before="70"/>
              <w:ind w:right="88"/>
              <w:rPr>
                <w:b/>
                <w:sz w:val="20"/>
              </w:rPr>
            </w:pPr>
            <w:r>
              <w:rPr>
                <w:b/>
                <w:w w:val="95"/>
                <w:sz w:val="20"/>
              </w:rPr>
              <w:t>9,542.00</w:t>
            </w:r>
          </w:p>
        </w:tc>
        <w:tc>
          <w:tcPr>
            <w:tcW w:w="1087" w:type="dxa"/>
          </w:tcPr>
          <w:p w:rsidR="007C5447" w:rsidRDefault="00F6308C">
            <w:pPr>
              <w:pStyle w:val="TableParagraph"/>
              <w:spacing w:before="70"/>
              <w:ind w:right="90"/>
              <w:rPr>
                <w:b/>
                <w:sz w:val="20"/>
              </w:rPr>
            </w:pPr>
            <w:r>
              <w:rPr>
                <w:b/>
                <w:sz w:val="20"/>
              </w:rPr>
              <w:t>5.16</w:t>
            </w:r>
          </w:p>
        </w:tc>
        <w:tc>
          <w:tcPr>
            <w:tcW w:w="1354" w:type="dxa"/>
          </w:tcPr>
          <w:p w:rsidR="007C5447" w:rsidRDefault="00F6308C">
            <w:pPr>
              <w:pStyle w:val="TableParagraph"/>
              <w:spacing w:before="70"/>
              <w:ind w:right="91"/>
              <w:rPr>
                <w:b/>
                <w:sz w:val="20"/>
              </w:rPr>
            </w:pPr>
            <w:r>
              <w:rPr>
                <w:b/>
                <w:w w:val="95"/>
                <w:sz w:val="20"/>
              </w:rPr>
              <w:t>17,381.76</w:t>
            </w:r>
          </w:p>
        </w:tc>
        <w:tc>
          <w:tcPr>
            <w:tcW w:w="1387" w:type="dxa"/>
          </w:tcPr>
          <w:p w:rsidR="007C5447" w:rsidRDefault="00F6308C">
            <w:pPr>
              <w:pStyle w:val="TableParagraph"/>
              <w:spacing w:before="70"/>
              <w:ind w:right="88"/>
              <w:rPr>
                <w:b/>
                <w:sz w:val="20"/>
              </w:rPr>
            </w:pPr>
            <w:r>
              <w:rPr>
                <w:b/>
                <w:w w:val="95"/>
                <w:sz w:val="20"/>
              </w:rPr>
              <w:t>8,979.60</w:t>
            </w:r>
          </w:p>
        </w:tc>
        <w:tc>
          <w:tcPr>
            <w:tcW w:w="1056" w:type="dxa"/>
          </w:tcPr>
          <w:p w:rsidR="007C5447" w:rsidRDefault="00F6308C">
            <w:pPr>
              <w:pStyle w:val="TableParagraph"/>
              <w:spacing w:before="70"/>
              <w:ind w:right="87"/>
              <w:rPr>
                <w:b/>
                <w:sz w:val="20"/>
              </w:rPr>
            </w:pPr>
            <w:r>
              <w:rPr>
                <w:b/>
                <w:sz w:val="20"/>
              </w:rPr>
              <w:t>5.17</w:t>
            </w: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b/>
                <w:sz w:val="20"/>
              </w:rPr>
            </w:pPr>
            <w:r>
              <w:rPr>
                <w:b/>
                <w:sz w:val="20"/>
              </w:rPr>
              <w:t>Gross Power Purchase</w:t>
            </w:r>
          </w:p>
        </w:tc>
        <w:tc>
          <w:tcPr>
            <w:tcW w:w="1140" w:type="dxa"/>
          </w:tcPr>
          <w:p w:rsidR="007C5447" w:rsidRDefault="00F6308C">
            <w:pPr>
              <w:pStyle w:val="TableParagraph"/>
              <w:spacing w:before="70"/>
              <w:ind w:left="172"/>
              <w:jc w:val="left"/>
              <w:rPr>
                <w:b/>
                <w:sz w:val="20"/>
              </w:rPr>
            </w:pPr>
            <w:r>
              <w:rPr>
                <w:b/>
                <w:sz w:val="20"/>
              </w:rPr>
              <w:t>52,237.00</w:t>
            </w:r>
          </w:p>
        </w:tc>
        <w:tc>
          <w:tcPr>
            <w:tcW w:w="1300" w:type="dxa"/>
          </w:tcPr>
          <w:p w:rsidR="007C5447" w:rsidRDefault="00F6308C">
            <w:pPr>
              <w:pStyle w:val="TableParagraph"/>
              <w:spacing w:before="70"/>
              <w:ind w:right="92"/>
              <w:rPr>
                <w:b/>
                <w:sz w:val="20"/>
              </w:rPr>
            </w:pPr>
            <w:r>
              <w:rPr>
                <w:b/>
                <w:sz w:val="20"/>
              </w:rPr>
              <w:t>17264.00</w:t>
            </w:r>
          </w:p>
        </w:tc>
        <w:tc>
          <w:tcPr>
            <w:tcW w:w="1274" w:type="dxa"/>
          </w:tcPr>
          <w:p w:rsidR="007C5447" w:rsidRDefault="00F6308C">
            <w:pPr>
              <w:pStyle w:val="TableParagraph"/>
              <w:spacing w:before="70"/>
              <w:ind w:right="86"/>
              <w:rPr>
                <w:b/>
                <w:sz w:val="20"/>
              </w:rPr>
            </w:pPr>
            <w:r>
              <w:rPr>
                <w:b/>
                <w:sz w:val="20"/>
              </w:rPr>
              <w:t>3.30</w:t>
            </w:r>
          </w:p>
        </w:tc>
        <w:tc>
          <w:tcPr>
            <w:tcW w:w="1320" w:type="dxa"/>
          </w:tcPr>
          <w:p w:rsidR="007C5447" w:rsidRDefault="00F6308C">
            <w:pPr>
              <w:pStyle w:val="TableParagraph"/>
              <w:spacing w:before="70"/>
              <w:ind w:right="91"/>
              <w:rPr>
                <w:b/>
                <w:sz w:val="20"/>
              </w:rPr>
            </w:pPr>
            <w:r>
              <w:rPr>
                <w:b/>
                <w:w w:val="95"/>
                <w:sz w:val="20"/>
              </w:rPr>
              <w:t>83,640.56</w:t>
            </w:r>
          </w:p>
        </w:tc>
        <w:tc>
          <w:tcPr>
            <w:tcW w:w="1200" w:type="dxa"/>
          </w:tcPr>
          <w:p w:rsidR="007C5447" w:rsidRDefault="00F6308C">
            <w:pPr>
              <w:pStyle w:val="TableParagraph"/>
              <w:spacing w:before="70"/>
              <w:ind w:right="91"/>
              <w:rPr>
                <w:b/>
                <w:sz w:val="20"/>
              </w:rPr>
            </w:pPr>
            <w:r>
              <w:rPr>
                <w:b/>
                <w:w w:val="95"/>
                <w:sz w:val="20"/>
              </w:rPr>
              <w:t>37,926.42</w:t>
            </w:r>
          </w:p>
        </w:tc>
        <w:tc>
          <w:tcPr>
            <w:tcW w:w="1087" w:type="dxa"/>
          </w:tcPr>
          <w:p w:rsidR="007C5447" w:rsidRDefault="00F6308C">
            <w:pPr>
              <w:pStyle w:val="TableParagraph"/>
              <w:spacing w:before="70"/>
              <w:ind w:right="90"/>
              <w:rPr>
                <w:b/>
                <w:sz w:val="20"/>
              </w:rPr>
            </w:pPr>
            <w:r>
              <w:rPr>
                <w:b/>
                <w:sz w:val="20"/>
              </w:rPr>
              <w:t>4.53</w:t>
            </w:r>
          </w:p>
        </w:tc>
        <w:tc>
          <w:tcPr>
            <w:tcW w:w="1354" w:type="dxa"/>
          </w:tcPr>
          <w:p w:rsidR="007C5447" w:rsidRDefault="00F6308C">
            <w:pPr>
              <w:pStyle w:val="TableParagraph"/>
              <w:spacing w:before="70"/>
              <w:ind w:right="92"/>
              <w:rPr>
                <w:b/>
                <w:sz w:val="20"/>
              </w:rPr>
            </w:pPr>
            <w:r>
              <w:rPr>
                <w:b/>
                <w:w w:val="95"/>
                <w:sz w:val="20"/>
              </w:rPr>
              <w:t>81,879.07</w:t>
            </w:r>
          </w:p>
        </w:tc>
        <w:tc>
          <w:tcPr>
            <w:tcW w:w="1387" w:type="dxa"/>
          </w:tcPr>
          <w:p w:rsidR="007C5447" w:rsidRDefault="00F6308C">
            <w:pPr>
              <w:pStyle w:val="TableParagraph"/>
              <w:spacing w:before="70"/>
              <w:ind w:right="90"/>
              <w:rPr>
                <w:b/>
                <w:sz w:val="20"/>
              </w:rPr>
            </w:pPr>
            <w:r>
              <w:rPr>
                <w:b/>
                <w:w w:val="95"/>
                <w:sz w:val="20"/>
              </w:rPr>
              <w:t>34,671.12</w:t>
            </w:r>
          </w:p>
        </w:tc>
        <w:tc>
          <w:tcPr>
            <w:tcW w:w="1056" w:type="dxa"/>
          </w:tcPr>
          <w:p w:rsidR="007C5447" w:rsidRDefault="00F6308C">
            <w:pPr>
              <w:pStyle w:val="TableParagraph"/>
              <w:spacing w:before="70"/>
              <w:ind w:right="90"/>
              <w:rPr>
                <w:b/>
                <w:sz w:val="20"/>
              </w:rPr>
            </w:pPr>
            <w:r>
              <w:rPr>
                <w:b/>
                <w:sz w:val="20"/>
              </w:rPr>
              <w:t>4.23</w:t>
            </w:r>
          </w:p>
        </w:tc>
      </w:tr>
      <w:tr w:rsidR="007C5447">
        <w:trPr>
          <w:trHeight w:val="371"/>
        </w:trPr>
        <w:tc>
          <w:tcPr>
            <w:tcW w:w="3089" w:type="dxa"/>
            <w:tcBorders>
              <w:left w:val="single" w:sz="8" w:space="0" w:color="000000"/>
            </w:tcBorders>
          </w:tcPr>
          <w:p w:rsidR="007C5447" w:rsidRDefault="00F6308C">
            <w:pPr>
              <w:pStyle w:val="TableParagraph"/>
              <w:spacing w:before="70"/>
              <w:ind w:left="107"/>
              <w:jc w:val="left"/>
              <w:rPr>
                <w:b/>
                <w:sz w:val="20"/>
              </w:rPr>
            </w:pPr>
            <w:r>
              <w:rPr>
                <w:b/>
                <w:sz w:val="20"/>
              </w:rPr>
              <w:t>PGCIL Charges</w:t>
            </w:r>
          </w:p>
        </w:tc>
        <w:tc>
          <w:tcPr>
            <w:tcW w:w="1140"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7C5447">
            <w:pPr>
              <w:pStyle w:val="TableParagraph"/>
              <w:jc w:val="left"/>
              <w:rPr>
                <w:sz w:val="20"/>
              </w:rPr>
            </w:pPr>
          </w:p>
        </w:tc>
        <w:tc>
          <w:tcPr>
            <w:tcW w:w="1200" w:type="dxa"/>
          </w:tcPr>
          <w:p w:rsidR="007C5447" w:rsidRDefault="007C5447">
            <w:pPr>
              <w:pStyle w:val="TableParagraph"/>
              <w:jc w:val="left"/>
              <w:rPr>
                <w:sz w:val="20"/>
              </w:rPr>
            </w:pP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i/>
                <w:sz w:val="20"/>
              </w:rPr>
            </w:pPr>
            <w:r>
              <w:rPr>
                <w:i/>
                <w:sz w:val="20"/>
              </w:rPr>
              <w:t>PGCIL SR and ER wheeling</w:t>
            </w:r>
          </w:p>
        </w:tc>
        <w:tc>
          <w:tcPr>
            <w:tcW w:w="1140" w:type="dxa"/>
          </w:tcPr>
          <w:p w:rsidR="007C5447" w:rsidRDefault="007C5447">
            <w:pPr>
              <w:pStyle w:val="TableParagraph"/>
              <w:jc w:val="left"/>
              <w:rPr>
                <w:sz w:val="20"/>
              </w:rPr>
            </w:pPr>
          </w:p>
        </w:tc>
        <w:tc>
          <w:tcPr>
            <w:tcW w:w="1300" w:type="dxa"/>
          </w:tcPr>
          <w:p w:rsidR="007C5447" w:rsidRDefault="00F6308C">
            <w:pPr>
              <w:pStyle w:val="TableParagraph"/>
              <w:spacing w:before="70"/>
              <w:ind w:right="91"/>
              <w:rPr>
                <w:sz w:val="20"/>
              </w:rPr>
            </w:pPr>
            <w:r>
              <w:rPr>
                <w:w w:val="95"/>
                <w:sz w:val="20"/>
              </w:rPr>
              <w:t>637.00</w:t>
            </w:r>
          </w:p>
        </w:tc>
        <w:tc>
          <w:tcPr>
            <w:tcW w:w="1274" w:type="dxa"/>
          </w:tcPr>
          <w:p w:rsidR="007C5447" w:rsidRDefault="007C5447">
            <w:pPr>
              <w:pStyle w:val="TableParagraph"/>
              <w:jc w:val="left"/>
              <w:rPr>
                <w:sz w:val="20"/>
              </w:rPr>
            </w:pPr>
          </w:p>
        </w:tc>
        <w:tc>
          <w:tcPr>
            <w:tcW w:w="1320" w:type="dxa"/>
          </w:tcPr>
          <w:p w:rsidR="007C5447" w:rsidRDefault="007C5447">
            <w:pPr>
              <w:pStyle w:val="TableParagraph"/>
              <w:jc w:val="left"/>
              <w:rPr>
                <w:sz w:val="20"/>
              </w:rPr>
            </w:pPr>
          </w:p>
        </w:tc>
        <w:tc>
          <w:tcPr>
            <w:tcW w:w="1200" w:type="dxa"/>
          </w:tcPr>
          <w:p w:rsidR="007C5447" w:rsidRDefault="00F6308C">
            <w:pPr>
              <w:pStyle w:val="TableParagraph"/>
              <w:spacing w:before="70"/>
              <w:ind w:right="91"/>
              <w:rPr>
                <w:sz w:val="20"/>
              </w:rPr>
            </w:pPr>
            <w:r>
              <w:rPr>
                <w:w w:val="95"/>
                <w:sz w:val="20"/>
              </w:rPr>
              <w:t>900.00</w:t>
            </w: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F6308C">
            <w:pPr>
              <w:pStyle w:val="TableParagraph"/>
              <w:spacing w:before="70"/>
              <w:ind w:right="90"/>
              <w:rPr>
                <w:sz w:val="20"/>
              </w:rPr>
            </w:pPr>
            <w:r>
              <w:rPr>
                <w:w w:val="95"/>
                <w:sz w:val="20"/>
              </w:rPr>
              <w:t>900.00</w:t>
            </w: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i/>
                <w:sz w:val="20"/>
              </w:rPr>
            </w:pPr>
            <w:r>
              <w:rPr>
                <w:i/>
                <w:sz w:val="20"/>
              </w:rPr>
              <w:t>PGCIL- Reactive energy</w:t>
            </w:r>
          </w:p>
        </w:tc>
        <w:tc>
          <w:tcPr>
            <w:tcW w:w="1140" w:type="dxa"/>
          </w:tcPr>
          <w:p w:rsidR="007C5447" w:rsidRDefault="007C5447">
            <w:pPr>
              <w:pStyle w:val="TableParagraph"/>
              <w:jc w:val="left"/>
              <w:rPr>
                <w:sz w:val="20"/>
              </w:rPr>
            </w:pPr>
          </w:p>
        </w:tc>
        <w:tc>
          <w:tcPr>
            <w:tcW w:w="1300" w:type="dxa"/>
          </w:tcPr>
          <w:p w:rsidR="007C5447" w:rsidRDefault="007C5447">
            <w:pPr>
              <w:pStyle w:val="TableParagraph"/>
              <w:jc w:val="left"/>
              <w:rPr>
                <w:sz w:val="20"/>
              </w:rPr>
            </w:pPr>
          </w:p>
        </w:tc>
        <w:tc>
          <w:tcPr>
            <w:tcW w:w="1274" w:type="dxa"/>
          </w:tcPr>
          <w:p w:rsidR="007C5447" w:rsidRDefault="007C5447">
            <w:pPr>
              <w:pStyle w:val="TableParagraph"/>
              <w:jc w:val="left"/>
              <w:rPr>
                <w:sz w:val="20"/>
              </w:rPr>
            </w:pPr>
          </w:p>
        </w:tc>
        <w:tc>
          <w:tcPr>
            <w:tcW w:w="1320" w:type="dxa"/>
          </w:tcPr>
          <w:p w:rsidR="007C5447" w:rsidRDefault="007C5447">
            <w:pPr>
              <w:pStyle w:val="TableParagraph"/>
              <w:jc w:val="left"/>
              <w:rPr>
                <w:sz w:val="20"/>
              </w:rPr>
            </w:pPr>
          </w:p>
        </w:tc>
        <w:tc>
          <w:tcPr>
            <w:tcW w:w="1200" w:type="dxa"/>
          </w:tcPr>
          <w:p w:rsidR="007C5447" w:rsidRDefault="007C5447">
            <w:pPr>
              <w:pStyle w:val="TableParagraph"/>
              <w:jc w:val="left"/>
              <w:rPr>
                <w:sz w:val="20"/>
              </w:rPr>
            </w:pP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7C5447">
            <w:pPr>
              <w:pStyle w:val="TableParagraph"/>
              <w:jc w:val="left"/>
              <w:rPr>
                <w:sz w:val="20"/>
              </w:rPr>
            </w:pPr>
          </w:p>
        </w:tc>
        <w:tc>
          <w:tcPr>
            <w:tcW w:w="1056" w:type="dxa"/>
          </w:tcPr>
          <w:p w:rsidR="007C5447" w:rsidRDefault="007C5447">
            <w:pPr>
              <w:pStyle w:val="TableParagraph"/>
              <w:jc w:val="left"/>
              <w:rPr>
                <w:sz w:val="20"/>
              </w:rPr>
            </w:pPr>
          </w:p>
        </w:tc>
      </w:tr>
      <w:tr w:rsidR="007C5447">
        <w:trPr>
          <w:trHeight w:val="372"/>
        </w:trPr>
        <w:tc>
          <w:tcPr>
            <w:tcW w:w="3089" w:type="dxa"/>
            <w:tcBorders>
              <w:left w:val="single" w:sz="8" w:space="0" w:color="000000"/>
            </w:tcBorders>
          </w:tcPr>
          <w:p w:rsidR="007C5447" w:rsidRDefault="00F6308C">
            <w:pPr>
              <w:pStyle w:val="TableParagraph"/>
              <w:spacing w:before="70"/>
              <w:ind w:left="107"/>
              <w:jc w:val="left"/>
              <w:rPr>
                <w:b/>
                <w:sz w:val="20"/>
              </w:rPr>
            </w:pPr>
            <w:r>
              <w:rPr>
                <w:b/>
                <w:sz w:val="20"/>
              </w:rPr>
              <w:t>Total PGCIL charges</w:t>
            </w:r>
          </w:p>
        </w:tc>
        <w:tc>
          <w:tcPr>
            <w:tcW w:w="1140" w:type="dxa"/>
          </w:tcPr>
          <w:p w:rsidR="007C5447" w:rsidRDefault="00F6308C">
            <w:pPr>
              <w:pStyle w:val="TableParagraph"/>
              <w:spacing w:before="70"/>
              <w:ind w:right="91"/>
              <w:rPr>
                <w:b/>
                <w:sz w:val="20"/>
              </w:rPr>
            </w:pPr>
            <w:r>
              <w:rPr>
                <w:b/>
                <w:w w:val="99"/>
                <w:sz w:val="20"/>
              </w:rPr>
              <w:t>-</w:t>
            </w:r>
          </w:p>
        </w:tc>
        <w:tc>
          <w:tcPr>
            <w:tcW w:w="1300" w:type="dxa"/>
          </w:tcPr>
          <w:p w:rsidR="007C5447" w:rsidRDefault="00F6308C">
            <w:pPr>
              <w:pStyle w:val="TableParagraph"/>
              <w:spacing w:before="70"/>
              <w:ind w:right="94"/>
              <w:rPr>
                <w:b/>
                <w:sz w:val="20"/>
              </w:rPr>
            </w:pPr>
            <w:r>
              <w:rPr>
                <w:b/>
                <w:w w:val="95"/>
                <w:sz w:val="20"/>
              </w:rPr>
              <w:t>637.00</w:t>
            </w:r>
          </w:p>
        </w:tc>
        <w:tc>
          <w:tcPr>
            <w:tcW w:w="1274" w:type="dxa"/>
          </w:tcPr>
          <w:p w:rsidR="007C5447" w:rsidRDefault="007C5447">
            <w:pPr>
              <w:pStyle w:val="TableParagraph"/>
              <w:jc w:val="left"/>
              <w:rPr>
                <w:sz w:val="20"/>
              </w:rPr>
            </w:pPr>
          </w:p>
        </w:tc>
        <w:tc>
          <w:tcPr>
            <w:tcW w:w="1320" w:type="dxa"/>
          </w:tcPr>
          <w:p w:rsidR="007C5447" w:rsidRDefault="00F6308C">
            <w:pPr>
              <w:pStyle w:val="TableParagraph"/>
              <w:spacing w:before="70"/>
              <w:ind w:right="89"/>
              <w:rPr>
                <w:b/>
                <w:sz w:val="20"/>
              </w:rPr>
            </w:pPr>
            <w:r>
              <w:rPr>
                <w:b/>
                <w:w w:val="99"/>
                <w:sz w:val="20"/>
              </w:rPr>
              <w:t>-</w:t>
            </w:r>
          </w:p>
        </w:tc>
        <w:tc>
          <w:tcPr>
            <w:tcW w:w="1200" w:type="dxa"/>
          </w:tcPr>
          <w:p w:rsidR="007C5447" w:rsidRDefault="00F6308C">
            <w:pPr>
              <w:pStyle w:val="TableParagraph"/>
              <w:spacing w:before="70"/>
              <w:ind w:right="91"/>
              <w:rPr>
                <w:b/>
                <w:sz w:val="20"/>
              </w:rPr>
            </w:pPr>
            <w:r>
              <w:rPr>
                <w:b/>
                <w:w w:val="95"/>
                <w:sz w:val="20"/>
              </w:rPr>
              <w:t>900.00</w:t>
            </w:r>
          </w:p>
        </w:tc>
        <w:tc>
          <w:tcPr>
            <w:tcW w:w="1087" w:type="dxa"/>
          </w:tcPr>
          <w:p w:rsidR="007C5447" w:rsidRDefault="007C5447">
            <w:pPr>
              <w:pStyle w:val="TableParagraph"/>
              <w:jc w:val="left"/>
              <w:rPr>
                <w:sz w:val="20"/>
              </w:rPr>
            </w:pPr>
          </w:p>
        </w:tc>
        <w:tc>
          <w:tcPr>
            <w:tcW w:w="1354" w:type="dxa"/>
          </w:tcPr>
          <w:p w:rsidR="007C5447" w:rsidRDefault="00F6308C">
            <w:pPr>
              <w:pStyle w:val="TableParagraph"/>
              <w:spacing w:before="70"/>
              <w:ind w:right="89"/>
              <w:rPr>
                <w:b/>
                <w:sz w:val="20"/>
              </w:rPr>
            </w:pPr>
            <w:r>
              <w:rPr>
                <w:b/>
                <w:w w:val="99"/>
                <w:sz w:val="20"/>
              </w:rPr>
              <w:t>-</w:t>
            </w:r>
          </w:p>
        </w:tc>
        <w:tc>
          <w:tcPr>
            <w:tcW w:w="1387" w:type="dxa"/>
          </w:tcPr>
          <w:p w:rsidR="007C5447" w:rsidRDefault="00F6308C">
            <w:pPr>
              <w:pStyle w:val="TableParagraph"/>
              <w:spacing w:before="70"/>
              <w:ind w:right="90"/>
              <w:rPr>
                <w:b/>
                <w:sz w:val="20"/>
              </w:rPr>
            </w:pPr>
            <w:r>
              <w:rPr>
                <w:b/>
                <w:w w:val="95"/>
                <w:sz w:val="20"/>
              </w:rPr>
              <w:t>900.00</w:t>
            </w: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b/>
                <w:sz w:val="20"/>
              </w:rPr>
            </w:pPr>
            <w:r>
              <w:rPr>
                <w:b/>
                <w:sz w:val="20"/>
              </w:rPr>
              <w:t>TANTRANSCO Charges</w:t>
            </w:r>
          </w:p>
        </w:tc>
        <w:tc>
          <w:tcPr>
            <w:tcW w:w="1140" w:type="dxa"/>
          </w:tcPr>
          <w:p w:rsidR="007C5447" w:rsidRDefault="007C5447">
            <w:pPr>
              <w:pStyle w:val="TableParagraph"/>
              <w:jc w:val="left"/>
              <w:rPr>
                <w:sz w:val="20"/>
              </w:rPr>
            </w:pPr>
          </w:p>
        </w:tc>
        <w:tc>
          <w:tcPr>
            <w:tcW w:w="1300" w:type="dxa"/>
          </w:tcPr>
          <w:p w:rsidR="007C5447" w:rsidRDefault="00F6308C">
            <w:pPr>
              <w:pStyle w:val="TableParagraph"/>
              <w:spacing w:before="70"/>
              <w:ind w:right="92"/>
              <w:rPr>
                <w:b/>
                <w:sz w:val="20"/>
              </w:rPr>
            </w:pPr>
            <w:r>
              <w:rPr>
                <w:b/>
                <w:w w:val="95"/>
                <w:sz w:val="20"/>
              </w:rPr>
              <w:t>3,632.00</w:t>
            </w:r>
          </w:p>
        </w:tc>
        <w:tc>
          <w:tcPr>
            <w:tcW w:w="1274" w:type="dxa"/>
          </w:tcPr>
          <w:p w:rsidR="007C5447" w:rsidRDefault="007C5447">
            <w:pPr>
              <w:pStyle w:val="TableParagraph"/>
              <w:jc w:val="left"/>
              <w:rPr>
                <w:sz w:val="20"/>
              </w:rPr>
            </w:pPr>
          </w:p>
        </w:tc>
        <w:tc>
          <w:tcPr>
            <w:tcW w:w="1320" w:type="dxa"/>
          </w:tcPr>
          <w:p w:rsidR="007C5447" w:rsidRDefault="007C5447">
            <w:pPr>
              <w:pStyle w:val="TableParagraph"/>
              <w:jc w:val="left"/>
              <w:rPr>
                <w:sz w:val="20"/>
              </w:rPr>
            </w:pPr>
          </w:p>
        </w:tc>
        <w:tc>
          <w:tcPr>
            <w:tcW w:w="1200" w:type="dxa"/>
          </w:tcPr>
          <w:p w:rsidR="007C5447" w:rsidRDefault="00F6308C">
            <w:pPr>
              <w:pStyle w:val="TableParagraph"/>
              <w:spacing w:before="70"/>
              <w:ind w:right="89"/>
              <w:rPr>
                <w:b/>
                <w:sz w:val="20"/>
              </w:rPr>
            </w:pPr>
            <w:r>
              <w:rPr>
                <w:b/>
                <w:w w:val="95"/>
                <w:sz w:val="20"/>
              </w:rPr>
              <w:t>1,697.00</w:t>
            </w:r>
          </w:p>
        </w:tc>
        <w:tc>
          <w:tcPr>
            <w:tcW w:w="1087" w:type="dxa"/>
          </w:tcPr>
          <w:p w:rsidR="007C5447" w:rsidRDefault="007C5447">
            <w:pPr>
              <w:pStyle w:val="TableParagraph"/>
              <w:jc w:val="left"/>
              <w:rPr>
                <w:sz w:val="20"/>
              </w:rPr>
            </w:pPr>
          </w:p>
        </w:tc>
        <w:tc>
          <w:tcPr>
            <w:tcW w:w="1354" w:type="dxa"/>
          </w:tcPr>
          <w:p w:rsidR="007C5447" w:rsidRDefault="007C5447">
            <w:pPr>
              <w:pStyle w:val="TableParagraph"/>
              <w:jc w:val="left"/>
              <w:rPr>
                <w:sz w:val="20"/>
              </w:rPr>
            </w:pPr>
          </w:p>
        </w:tc>
        <w:tc>
          <w:tcPr>
            <w:tcW w:w="1387" w:type="dxa"/>
          </w:tcPr>
          <w:p w:rsidR="007C5447" w:rsidRDefault="00F6308C">
            <w:pPr>
              <w:pStyle w:val="TableParagraph"/>
              <w:spacing w:before="70"/>
              <w:ind w:right="88"/>
              <w:rPr>
                <w:b/>
                <w:sz w:val="20"/>
              </w:rPr>
            </w:pPr>
            <w:r>
              <w:rPr>
                <w:b/>
                <w:w w:val="95"/>
                <w:sz w:val="20"/>
              </w:rPr>
              <w:t>1,696.89</w:t>
            </w:r>
          </w:p>
        </w:tc>
        <w:tc>
          <w:tcPr>
            <w:tcW w:w="1056" w:type="dxa"/>
          </w:tcPr>
          <w:p w:rsidR="007C5447" w:rsidRDefault="007C5447">
            <w:pPr>
              <w:pStyle w:val="TableParagraph"/>
              <w:jc w:val="left"/>
              <w:rPr>
                <w:sz w:val="20"/>
              </w:rPr>
            </w:pPr>
          </w:p>
        </w:tc>
      </w:tr>
      <w:tr w:rsidR="007C5447">
        <w:trPr>
          <w:trHeight w:val="369"/>
        </w:trPr>
        <w:tc>
          <w:tcPr>
            <w:tcW w:w="3089" w:type="dxa"/>
            <w:tcBorders>
              <w:left w:val="single" w:sz="8" w:space="0" w:color="000000"/>
            </w:tcBorders>
          </w:tcPr>
          <w:p w:rsidR="007C5447" w:rsidRDefault="00F6308C">
            <w:pPr>
              <w:pStyle w:val="TableParagraph"/>
              <w:spacing w:before="70"/>
              <w:ind w:left="107"/>
              <w:jc w:val="left"/>
              <w:rPr>
                <w:b/>
                <w:sz w:val="20"/>
              </w:rPr>
            </w:pPr>
            <w:r>
              <w:rPr>
                <w:b/>
                <w:sz w:val="20"/>
              </w:rPr>
              <w:t>Total Power Purchase</w:t>
            </w:r>
          </w:p>
        </w:tc>
        <w:tc>
          <w:tcPr>
            <w:tcW w:w="1140" w:type="dxa"/>
          </w:tcPr>
          <w:p w:rsidR="007C5447" w:rsidRDefault="00F6308C">
            <w:pPr>
              <w:pStyle w:val="TableParagraph"/>
              <w:spacing w:before="70"/>
              <w:ind w:right="93"/>
              <w:rPr>
                <w:b/>
                <w:sz w:val="20"/>
              </w:rPr>
            </w:pPr>
            <w:r>
              <w:rPr>
                <w:b/>
                <w:w w:val="95"/>
                <w:sz w:val="20"/>
              </w:rPr>
              <w:t>52,237.00</w:t>
            </w:r>
          </w:p>
        </w:tc>
        <w:tc>
          <w:tcPr>
            <w:tcW w:w="1300" w:type="dxa"/>
          </w:tcPr>
          <w:p w:rsidR="007C5447" w:rsidRDefault="00F6308C">
            <w:pPr>
              <w:pStyle w:val="TableParagraph"/>
              <w:spacing w:before="70"/>
              <w:ind w:right="92"/>
              <w:rPr>
                <w:b/>
                <w:sz w:val="20"/>
              </w:rPr>
            </w:pPr>
            <w:r>
              <w:rPr>
                <w:b/>
                <w:w w:val="95"/>
                <w:sz w:val="20"/>
              </w:rPr>
              <w:t>21,533.00</w:t>
            </w:r>
          </w:p>
        </w:tc>
        <w:tc>
          <w:tcPr>
            <w:tcW w:w="1274" w:type="dxa"/>
          </w:tcPr>
          <w:p w:rsidR="007C5447" w:rsidRDefault="00F6308C">
            <w:pPr>
              <w:pStyle w:val="TableParagraph"/>
              <w:spacing w:before="70"/>
              <w:ind w:right="86"/>
              <w:rPr>
                <w:b/>
                <w:sz w:val="20"/>
              </w:rPr>
            </w:pPr>
            <w:r>
              <w:rPr>
                <w:b/>
                <w:sz w:val="20"/>
              </w:rPr>
              <w:t>4.12</w:t>
            </w:r>
          </w:p>
        </w:tc>
        <w:tc>
          <w:tcPr>
            <w:tcW w:w="1320" w:type="dxa"/>
          </w:tcPr>
          <w:p w:rsidR="007C5447" w:rsidRDefault="00F6308C">
            <w:pPr>
              <w:pStyle w:val="TableParagraph"/>
              <w:spacing w:before="70"/>
              <w:ind w:right="89"/>
              <w:rPr>
                <w:b/>
                <w:sz w:val="20"/>
              </w:rPr>
            </w:pPr>
            <w:r>
              <w:rPr>
                <w:b/>
                <w:w w:val="95"/>
                <w:sz w:val="20"/>
              </w:rPr>
              <w:t>83,640.56</w:t>
            </w:r>
          </w:p>
        </w:tc>
        <w:tc>
          <w:tcPr>
            <w:tcW w:w="1200" w:type="dxa"/>
          </w:tcPr>
          <w:p w:rsidR="007C5447" w:rsidRDefault="00F6308C">
            <w:pPr>
              <w:pStyle w:val="TableParagraph"/>
              <w:spacing w:before="70"/>
              <w:ind w:right="91"/>
              <w:rPr>
                <w:b/>
                <w:sz w:val="20"/>
              </w:rPr>
            </w:pPr>
            <w:r>
              <w:rPr>
                <w:b/>
                <w:w w:val="95"/>
                <w:sz w:val="20"/>
              </w:rPr>
              <w:t>40,523.42</w:t>
            </w:r>
          </w:p>
        </w:tc>
        <w:tc>
          <w:tcPr>
            <w:tcW w:w="1087" w:type="dxa"/>
          </w:tcPr>
          <w:p w:rsidR="007C5447" w:rsidRDefault="00F6308C">
            <w:pPr>
              <w:pStyle w:val="TableParagraph"/>
              <w:spacing w:before="70"/>
              <w:ind w:right="90"/>
              <w:rPr>
                <w:b/>
                <w:sz w:val="20"/>
              </w:rPr>
            </w:pPr>
            <w:r>
              <w:rPr>
                <w:b/>
                <w:sz w:val="20"/>
              </w:rPr>
              <w:t>4.84</w:t>
            </w:r>
          </w:p>
        </w:tc>
        <w:tc>
          <w:tcPr>
            <w:tcW w:w="1354" w:type="dxa"/>
          </w:tcPr>
          <w:p w:rsidR="007C5447" w:rsidRDefault="00F6308C">
            <w:pPr>
              <w:pStyle w:val="TableParagraph"/>
              <w:spacing w:before="70"/>
              <w:ind w:right="88"/>
              <w:rPr>
                <w:b/>
                <w:sz w:val="20"/>
              </w:rPr>
            </w:pPr>
            <w:r>
              <w:rPr>
                <w:b/>
                <w:w w:val="95"/>
                <w:sz w:val="20"/>
              </w:rPr>
              <w:t>81,879.09</w:t>
            </w:r>
          </w:p>
        </w:tc>
        <w:tc>
          <w:tcPr>
            <w:tcW w:w="1387" w:type="dxa"/>
          </w:tcPr>
          <w:p w:rsidR="007C5447" w:rsidRDefault="00F6308C">
            <w:pPr>
              <w:pStyle w:val="TableParagraph"/>
              <w:spacing w:before="70"/>
              <w:ind w:right="90"/>
              <w:rPr>
                <w:b/>
                <w:sz w:val="20"/>
              </w:rPr>
            </w:pPr>
            <w:r>
              <w:rPr>
                <w:b/>
                <w:w w:val="95"/>
                <w:sz w:val="20"/>
              </w:rPr>
              <w:t>37,268.01</w:t>
            </w:r>
          </w:p>
        </w:tc>
        <w:tc>
          <w:tcPr>
            <w:tcW w:w="1056" w:type="dxa"/>
          </w:tcPr>
          <w:p w:rsidR="007C5447" w:rsidRDefault="00F6308C">
            <w:pPr>
              <w:pStyle w:val="TableParagraph"/>
              <w:spacing w:before="70"/>
              <w:ind w:right="87"/>
              <w:rPr>
                <w:b/>
                <w:sz w:val="20"/>
              </w:rPr>
            </w:pPr>
            <w:r>
              <w:rPr>
                <w:b/>
                <w:sz w:val="20"/>
              </w:rPr>
              <w:t>4.55</w:t>
            </w:r>
          </w:p>
        </w:tc>
      </w:tr>
    </w:tbl>
    <w:p w:rsidR="007C5447" w:rsidRDefault="007C5447">
      <w:pPr>
        <w:rPr>
          <w:sz w:val="20"/>
        </w:rPr>
        <w:sectPr w:rsidR="007C5447">
          <w:pgSz w:w="16840" w:h="11910" w:orient="landscape"/>
          <w:pgMar w:top="1100" w:right="1220" w:bottom="960" w:left="1180" w:header="0" w:footer="777" w:gutter="0"/>
          <w:cols w:space="720"/>
        </w:sectPr>
      </w:pPr>
    </w:p>
    <w:p w:rsidR="007C5447" w:rsidRDefault="00F6308C">
      <w:pPr>
        <w:pStyle w:val="Heading2"/>
        <w:numPr>
          <w:ilvl w:val="1"/>
          <w:numId w:val="92"/>
        </w:numPr>
        <w:tabs>
          <w:tab w:val="left" w:pos="707"/>
        </w:tabs>
        <w:spacing w:before="61"/>
        <w:ind w:left="706"/>
        <w:jc w:val="left"/>
      </w:pPr>
      <w:bookmarkStart w:id="53" w:name="_bookmark53"/>
      <w:bookmarkEnd w:id="53"/>
      <w:r>
        <w:lastRenderedPageBreak/>
        <w:t>Summary of ARR for FY 2011-12 to FY</w:t>
      </w:r>
      <w:r>
        <w:rPr>
          <w:spacing w:val="-1"/>
        </w:rPr>
        <w:t xml:space="preserve"> </w:t>
      </w:r>
      <w:r>
        <w:t>2015-16</w:t>
      </w:r>
    </w:p>
    <w:p w:rsidR="007C5447" w:rsidRDefault="007C5447">
      <w:pPr>
        <w:pStyle w:val="BodyText"/>
        <w:spacing w:before="11"/>
        <w:rPr>
          <w:b/>
          <w:sz w:val="27"/>
        </w:rPr>
      </w:pPr>
    </w:p>
    <w:p w:rsidR="007C5447" w:rsidRDefault="00F6308C">
      <w:pPr>
        <w:pStyle w:val="ListParagraph"/>
        <w:numPr>
          <w:ilvl w:val="2"/>
          <w:numId w:val="92"/>
        </w:numPr>
        <w:tabs>
          <w:tab w:val="left" w:pos="993"/>
        </w:tabs>
        <w:spacing w:line="312" w:lineRule="auto"/>
        <w:ind w:left="992" w:right="130"/>
        <w:jc w:val="both"/>
        <w:rPr>
          <w:sz w:val="24"/>
        </w:rPr>
      </w:pPr>
      <w:r>
        <w:rPr>
          <w:sz w:val="24"/>
        </w:rPr>
        <w:t>Based on the component-wise approval as elaborated in the above Sections, the summary of Aggregate Revenue Requirement for TANGEDCO as whole for FY 2011- 12 to FY 2015-16 as approved in earlier Orders, as submitted by TANGEDCO and as approved after final t</w:t>
      </w:r>
      <w:r>
        <w:rPr>
          <w:sz w:val="24"/>
        </w:rPr>
        <w:t>rue up are shown in the Tables</w:t>
      </w:r>
      <w:r>
        <w:rPr>
          <w:spacing w:val="-4"/>
          <w:sz w:val="24"/>
        </w:rPr>
        <w:t xml:space="preserve"> </w:t>
      </w:r>
      <w:r>
        <w:rPr>
          <w:sz w:val="24"/>
        </w:rPr>
        <w:t>below:</w:t>
      </w: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F6308C">
      <w:pPr>
        <w:pStyle w:val="BodyText"/>
        <w:spacing w:before="2"/>
        <w:rPr>
          <w:sz w:val="12"/>
        </w:rPr>
      </w:pPr>
      <w:r>
        <w:pict>
          <v:line id="_x0000_s1056" style="position:absolute;z-index:-251646976;mso-wrap-distance-left:0;mso-wrap-distance-right:0;mso-position-horizontal-relative:page" from="70.6pt,9.75pt" to="540.2pt,9.75pt" strokeweight="1.44pt">
            <w10:wrap type="topAndBottom" anchorx="page"/>
          </v:line>
        </w:pict>
      </w:r>
    </w:p>
    <w:p w:rsidR="007C5447" w:rsidRDefault="007C5447">
      <w:pPr>
        <w:rPr>
          <w:sz w:val="12"/>
        </w:rPr>
        <w:sectPr w:rsidR="007C5447">
          <w:footerReference w:type="default" r:id="rId39"/>
          <w:pgSz w:w="11910" w:h="16840"/>
          <w:pgMar w:top="1480" w:right="1000" w:bottom="960" w:left="1300" w:header="0" w:footer="777" w:gutter="0"/>
          <w:cols w:space="720"/>
        </w:sectPr>
      </w:pPr>
    </w:p>
    <w:p w:rsidR="007C5447" w:rsidRDefault="007C5447">
      <w:pPr>
        <w:pStyle w:val="BodyText"/>
        <w:rPr>
          <w:sz w:val="20"/>
        </w:rPr>
      </w:pPr>
    </w:p>
    <w:p w:rsidR="007C5447" w:rsidRDefault="007C5447">
      <w:pPr>
        <w:pStyle w:val="BodyText"/>
        <w:spacing w:before="6"/>
        <w:rPr>
          <w:sz w:val="19"/>
        </w:rPr>
      </w:pPr>
    </w:p>
    <w:p w:rsidR="007C5447" w:rsidRDefault="00F6308C">
      <w:pPr>
        <w:ind w:left="3368"/>
        <w:rPr>
          <w:b/>
        </w:rPr>
      </w:pPr>
      <w:r>
        <w:rPr>
          <w:b/>
        </w:rPr>
        <w:t>Table 3-71: Summary of ARR approved by the Commission after true-up for FY 2011-12 to FY 2013-14 (Rs. Crore)</w:t>
      </w:r>
    </w:p>
    <w:p w:rsidR="007C5447" w:rsidRDefault="007C5447">
      <w:pPr>
        <w:pStyle w:val="BodyText"/>
        <w:spacing w:before="11"/>
        <w:rPr>
          <w:b/>
          <w:sz w:val="16"/>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20"/>
        <w:gridCol w:w="1353"/>
        <w:gridCol w:w="1495"/>
        <w:gridCol w:w="1346"/>
        <w:gridCol w:w="1346"/>
        <w:gridCol w:w="1494"/>
        <w:gridCol w:w="1348"/>
        <w:gridCol w:w="1267"/>
        <w:gridCol w:w="1559"/>
        <w:gridCol w:w="1559"/>
      </w:tblGrid>
      <w:tr w:rsidR="007C5447">
        <w:trPr>
          <w:trHeight w:val="261"/>
        </w:trPr>
        <w:tc>
          <w:tcPr>
            <w:tcW w:w="3120" w:type="dxa"/>
            <w:vMerge w:val="restart"/>
            <w:shd w:val="clear" w:color="auto" w:fill="F7C9AC"/>
          </w:tcPr>
          <w:p w:rsidR="007C5447" w:rsidRDefault="007C5447">
            <w:pPr>
              <w:pStyle w:val="TableParagraph"/>
              <w:spacing w:before="11"/>
              <w:jc w:val="left"/>
              <w:rPr>
                <w:b/>
                <w:sz w:val="27"/>
              </w:rPr>
            </w:pPr>
          </w:p>
          <w:p w:rsidR="007C5447" w:rsidRDefault="00F6308C">
            <w:pPr>
              <w:pStyle w:val="TableParagraph"/>
              <w:ind w:left="89" w:right="82"/>
              <w:jc w:val="center"/>
              <w:rPr>
                <w:b/>
                <w:sz w:val="20"/>
              </w:rPr>
            </w:pPr>
            <w:r>
              <w:rPr>
                <w:b/>
                <w:sz w:val="20"/>
              </w:rPr>
              <w:t>Details</w:t>
            </w:r>
          </w:p>
        </w:tc>
        <w:tc>
          <w:tcPr>
            <w:tcW w:w="4194" w:type="dxa"/>
            <w:gridSpan w:val="3"/>
            <w:shd w:val="clear" w:color="auto" w:fill="F7C9AC"/>
          </w:tcPr>
          <w:p w:rsidR="007C5447" w:rsidRDefault="00F6308C">
            <w:pPr>
              <w:pStyle w:val="TableParagraph"/>
              <w:spacing w:before="14" w:line="227" w:lineRule="exact"/>
              <w:ind w:left="1584" w:right="1575"/>
              <w:jc w:val="center"/>
              <w:rPr>
                <w:b/>
                <w:sz w:val="20"/>
              </w:rPr>
            </w:pPr>
            <w:r>
              <w:rPr>
                <w:b/>
                <w:sz w:val="20"/>
              </w:rPr>
              <w:t>FY 2011-12</w:t>
            </w:r>
          </w:p>
        </w:tc>
        <w:tc>
          <w:tcPr>
            <w:tcW w:w="4188" w:type="dxa"/>
            <w:gridSpan w:val="3"/>
            <w:shd w:val="clear" w:color="auto" w:fill="F7C9AC"/>
          </w:tcPr>
          <w:p w:rsidR="007C5447" w:rsidRDefault="00F6308C">
            <w:pPr>
              <w:pStyle w:val="TableParagraph"/>
              <w:spacing w:before="14" w:line="227" w:lineRule="exact"/>
              <w:ind w:left="1586" w:right="1567"/>
              <w:jc w:val="center"/>
              <w:rPr>
                <w:b/>
                <w:sz w:val="20"/>
              </w:rPr>
            </w:pPr>
            <w:r>
              <w:rPr>
                <w:b/>
                <w:sz w:val="20"/>
              </w:rPr>
              <w:t>FY 2012-13</w:t>
            </w:r>
          </w:p>
        </w:tc>
        <w:tc>
          <w:tcPr>
            <w:tcW w:w="4385" w:type="dxa"/>
            <w:gridSpan w:val="3"/>
            <w:shd w:val="clear" w:color="auto" w:fill="F7C9AC"/>
          </w:tcPr>
          <w:p w:rsidR="007C5447" w:rsidRDefault="00F6308C">
            <w:pPr>
              <w:pStyle w:val="TableParagraph"/>
              <w:spacing w:before="14" w:line="227" w:lineRule="exact"/>
              <w:ind w:left="1688" w:right="1663"/>
              <w:jc w:val="center"/>
              <w:rPr>
                <w:b/>
                <w:sz w:val="20"/>
              </w:rPr>
            </w:pPr>
            <w:r>
              <w:rPr>
                <w:b/>
                <w:sz w:val="20"/>
              </w:rPr>
              <w:t>FY 2013-14</w:t>
            </w:r>
          </w:p>
        </w:tc>
      </w:tr>
      <w:tr w:rsidR="007C5447">
        <w:trPr>
          <w:trHeight w:val="599"/>
        </w:trPr>
        <w:tc>
          <w:tcPr>
            <w:tcW w:w="3120" w:type="dxa"/>
            <w:vMerge/>
            <w:tcBorders>
              <w:top w:val="nil"/>
            </w:tcBorders>
            <w:shd w:val="clear" w:color="auto" w:fill="F7C9AC"/>
          </w:tcPr>
          <w:p w:rsidR="007C5447" w:rsidRDefault="007C5447">
            <w:pPr>
              <w:rPr>
                <w:sz w:val="2"/>
                <w:szCs w:val="2"/>
              </w:rPr>
            </w:pPr>
          </w:p>
        </w:tc>
        <w:tc>
          <w:tcPr>
            <w:tcW w:w="1353" w:type="dxa"/>
            <w:shd w:val="clear" w:color="auto" w:fill="F7C9AC"/>
          </w:tcPr>
          <w:p w:rsidR="007C5447" w:rsidRDefault="00F6308C">
            <w:pPr>
              <w:pStyle w:val="TableParagraph"/>
              <w:spacing w:before="185"/>
              <w:ind w:left="165"/>
              <w:jc w:val="left"/>
              <w:rPr>
                <w:b/>
                <w:sz w:val="20"/>
              </w:rPr>
            </w:pPr>
            <w:r>
              <w:rPr>
                <w:b/>
                <w:sz w:val="20"/>
              </w:rPr>
              <w:t>SMT Order</w:t>
            </w:r>
          </w:p>
        </w:tc>
        <w:tc>
          <w:tcPr>
            <w:tcW w:w="1495" w:type="dxa"/>
            <w:shd w:val="clear" w:color="auto" w:fill="F7C9AC"/>
          </w:tcPr>
          <w:p w:rsidR="007C5447" w:rsidRDefault="00F6308C">
            <w:pPr>
              <w:pStyle w:val="TableParagraph"/>
              <w:spacing w:before="185"/>
              <w:ind w:right="161"/>
              <w:rPr>
                <w:b/>
                <w:sz w:val="20"/>
              </w:rPr>
            </w:pPr>
            <w:r>
              <w:rPr>
                <w:b/>
                <w:w w:val="95"/>
                <w:sz w:val="20"/>
              </w:rPr>
              <w:t>TANGEDCO</w:t>
            </w:r>
          </w:p>
        </w:tc>
        <w:tc>
          <w:tcPr>
            <w:tcW w:w="1346" w:type="dxa"/>
            <w:shd w:val="clear" w:color="auto" w:fill="F7C9AC"/>
          </w:tcPr>
          <w:p w:rsidR="007C5447" w:rsidRDefault="00F6308C">
            <w:pPr>
              <w:pStyle w:val="TableParagraph"/>
              <w:spacing w:before="70"/>
              <w:ind w:left="126" w:right="101" w:firstLine="117"/>
              <w:jc w:val="left"/>
              <w:rPr>
                <w:b/>
                <w:sz w:val="20"/>
              </w:rPr>
            </w:pPr>
            <w:r>
              <w:rPr>
                <w:b/>
                <w:sz w:val="20"/>
              </w:rPr>
              <w:t>Approved after true up</w:t>
            </w:r>
          </w:p>
        </w:tc>
        <w:tc>
          <w:tcPr>
            <w:tcW w:w="1346" w:type="dxa"/>
            <w:shd w:val="clear" w:color="auto" w:fill="F7C9AC"/>
          </w:tcPr>
          <w:p w:rsidR="007C5447" w:rsidRDefault="00F6308C">
            <w:pPr>
              <w:pStyle w:val="TableParagraph"/>
              <w:spacing w:before="185"/>
              <w:ind w:left="165"/>
              <w:jc w:val="left"/>
              <w:rPr>
                <w:b/>
                <w:sz w:val="20"/>
              </w:rPr>
            </w:pPr>
            <w:r>
              <w:rPr>
                <w:b/>
                <w:sz w:val="20"/>
              </w:rPr>
              <w:t>SMT Order</w:t>
            </w:r>
          </w:p>
        </w:tc>
        <w:tc>
          <w:tcPr>
            <w:tcW w:w="1494" w:type="dxa"/>
            <w:shd w:val="clear" w:color="auto" w:fill="F7C9AC"/>
          </w:tcPr>
          <w:p w:rsidR="007C5447" w:rsidRDefault="00F6308C">
            <w:pPr>
              <w:pStyle w:val="TableParagraph"/>
              <w:spacing w:before="185"/>
              <w:ind w:left="170"/>
              <w:jc w:val="left"/>
              <w:rPr>
                <w:b/>
                <w:sz w:val="20"/>
              </w:rPr>
            </w:pPr>
            <w:r>
              <w:rPr>
                <w:b/>
                <w:sz w:val="20"/>
              </w:rPr>
              <w:t>TANGEDCO</w:t>
            </w:r>
          </w:p>
        </w:tc>
        <w:tc>
          <w:tcPr>
            <w:tcW w:w="1348" w:type="dxa"/>
            <w:shd w:val="clear" w:color="auto" w:fill="F7C9AC"/>
          </w:tcPr>
          <w:p w:rsidR="007C5447" w:rsidRDefault="00F6308C">
            <w:pPr>
              <w:pStyle w:val="TableParagraph"/>
              <w:spacing w:before="70"/>
              <w:ind w:left="133" w:right="96" w:firstLine="117"/>
              <w:jc w:val="left"/>
              <w:rPr>
                <w:b/>
                <w:sz w:val="20"/>
              </w:rPr>
            </w:pPr>
            <w:r>
              <w:rPr>
                <w:b/>
                <w:sz w:val="20"/>
              </w:rPr>
              <w:t>Approved after true up</w:t>
            </w:r>
          </w:p>
        </w:tc>
        <w:tc>
          <w:tcPr>
            <w:tcW w:w="1267" w:type="dxa"/>
            <w:shd w:val="clear" w:color="auto" w:fill="F7C9AC"/>
          </w:tcPr>
          <w:p w:rsidR="007C5447" w:rsidRDefault="00F6308C">
            <w:pPr>
              <w:pStyle w:val="TableParagraph"/>
              <w:spacing w:before="185"/>
              <w:ind w:right="109"/>
              <w:rPr>
                <w:b/>
                <w:sz w:val="20"/>
              </w:rPr>
            </w:pPr>
            <w:r>
              <w:rPr>
                <w:b/>
                <w:sz w:val="20"/>
              </w:rPr>
              <w:t>SMT Order</w:t>
            </w:r>
          </w:p>
        </w:tc>
        <w:tc>
          <w:tcPr>
            <w:tcW w:w="1559" w:type="dxa"/>
            <w:shd w:val="clear" w:color="auto" w:fill="F7C9AC"/>
          </w:tcPr>
          <w:p w:rsidR="007C5447" w:rsidRDefault="00F6308C">
            <w:pPr>
              <w:pStyle w:val="TableParagraph"/>
              <w:spacing w:before="185"/>
              <w:ind w:left="207"/>
              <w:jc w:val="left"/>
              <w:rPr>
                <w:b/>
                <w:sz w:val="20"/>
              </w:rPr>
            </w:pPr>
            <w:r>
              <w:rPr>
                <w:b/>
                <w:sz w:val="20"/>
              </w:rPr>
              <w:t>TANGEDCO</w:t>
            </w:r>
          </w:p>
        </w:tc>
        <w:tc>
          <w:tcPr>
            <w:tcW w:w="1559" w:type="dxa"/>
            <w:shd w:val="clear" w:color="auto" w:fill="F7C9AC"/>
          </w:tcPr>
          <w:p w:rsidR="007C5447" w:rsidRDefault="00F6308C">
            <w:pPr>
              <w:pStyle w:val="TableParagraph"/>
              <w:spacing w:before="70"/>
              <w:ind w:left="472" w:right="86" w:hanging="346"/>
              <w:jc w:val="left"/>
              <w:rPr>
                <w:b/>
                <w:sz w:val="20"/>
              </w:rPr>
            </w:pPr>
            <w:r>
              <w:rPr>
                <w:b/>
                <w:sz w:val="20"/>
              </w:rPr>
              <w:t>Approved after true up</w:t>
            </w:r>
          </w:p>
        </w:tc>
      </w:tr>
      <w:tr w:rsidR="007C5447">
        <w:trPr>
          <w:trHeight w:val="489"/>
        </w:trPr>
        <w:tc>
          <w:tcPr>
            <w:tcW w:w="3120" w:type="dxa"/>
          </w:tcPr>
          <w:p w:rsidR="007C5447" w:rsidRDefault="00F6308C">
            <w:pPr>
              <w:pStyle w:val="TableParagraph"/>
              <w:spacing w:before="14" w:line="230" w:lineRule="atLeast"/>
              <w:ind w:left="107" w:right="428"/>
              <w:jc w:val="left"/>
              <w:rPr>
                <w:sz w:val="20"/>
              </w:rPr>
            </w:pPr>
            <w:r>
              <w:rPr>
                <w:sz w:val="20"/>
              </w:rPr>
              <w:t>Power Purchase Expenses (incl. Trans. Charges)</w:t>
            </w:r>
          </w:p>
        </w:tc>
        <w:tc>
          <w:tcPr>
            <w:tcW w:w="1353" w:type="dxa"/>
          </w:tcPr>
          <w:p w:rsidR="007C5447" w:rsidRDefault="00F6308C">
            <w:pPr>
              <w:pStyle w:val="TableParagraph"/>
              <w:spacing w:before="130"/>
              <w:ind w:right="97"/>
              <w:rPr>
                <w:sz w:val="20"/>
              </w:rPr>
            </w:pPr>
            <w:r>
              <w:rPr>
                <w:w w:val="95"/>
                <w:sz w:val="20"/>
              </w:rPr>
              <w:t>23,899.44</w:t>
            </w:r>
          </w:p>
        </w:tc>
        <w:tc>
          <w:tcPr>
            <w:tcW w:w="1495" w:type="dxa"/>
          </w:tcPr>
          <w:p w:rsidR="007C5447" w:rsidRDefault="00F6308C">
            <w:pPr>
              <w:pStyle w:val="TableParagraph"/>
              <w:spacing w:before="130"/>
              <w:ind w:right="94"/>
              <w:rPr>
                <w:sz w:val="20"/>
              </w:rPr>
            </w:pPr>
            <w:r>
              <w:rPr>
                <w:w w:val="95"/>
                <w:sz w:val="20"/>
              </w:rPr>
              <w:t>27,871.90</w:t>
            </w:r>
          </w:p>
        </w:tc>
        <w:tc>
          <w:tcPr>
            <w:tcW w:w="1346" w:type="dxa"/>
          </w:tcPr>
          <w:p w:rsidR="007C5447" w:rsidRDefault="00F6308C">
            <w:pPr>
              <w:pStyle w:val="TableParagraph"/>
              <w:spacing w:before="130"/>
              <w:ind w:right="95"/>
              <w:rPr>
                <w:sz w:val="20"/>
              </w:rPr>
            </w:pPr>
            <w:r>
              <w:rPr>
                <w:w w:val="95"/>
                <w:sz w:val="20"/>
              </w:rPr>
              <w:t>23,304.96</w:t>
            </w:r>
          </w:p>
        </w:tc>
        <w:tc>
          <w:tcPr>
            <w:tcW w:w="1346" w:type="dxa"/>
          </w:tcPr>
          <w:p w:rsidR="007C5447" w:rsidRDefault="00F6308C">
            <w:pPr>
              <w:pStyle w:val="TableParagraph"/>
              <w:spacing w:before="130"/>
              <w:ind w:right="93"/>
              <w:rPr>
                <w:sz w:val="20"/>
              </w:rPr>
            </w:pPr>
            <w:r>
              <w:rPr>
                <w:w w:val="95"/>
                <w:sz w:val="20"/>
              </w:rPr>
              <w:t>25,812.33</w:t>
            </w:r>
          </w:p>
        </w:tc>
        <w:tc>
          <w:tcPr>
            <w:tcW w:w="1494" w:type="dxa"/>
          </w:tcPr>
          <w:p w:rsidR="007C5447" w:rsidRDefault="00F6308C">
            <w:pPr>
              <w:pStyle w:val="TableParagraph"/>
              <w:spacing w:before="130"/>
              <w:ind w:right="92"/>
              <w:rPr>
                <w:sz w:val="20"/>
              </w:rPr>
            </w:pPr>
            <w:r>
              <w:rPr>
                <w:w w:val="95"/>
                <w:sz w:val="20"/>
              </w:rPr>
              <w:t>30,462.88</w:t>
            </w:r>
          </w:p>
        </w:tc>
        <w:tc>
          <w:tcPr>
            <w:tcW w:w="1348" w:type="dxa"/>
          </w:tcPr>
          <w:p w:rsidR="007C5447" w:rsidRDefault="00F6308C">
            <w:pPr>
              <w:pStyle w:val="TableParagraph"/>
              <w:spacing w:before="130"/>
              <w:ind w:right="90"/>
              <w:rPr>
                <w:sz w:val="20"/>
              </w:rPr>
            </w:pPr>
            <w:r>
              <w:rPr>
                <w:w w:val="95"/>
                <w:sz w:val="20"/>
              </w:rPr>
              <w:t>24,123.03</w:t>
            </w:r>
          </w:p>
        </w:tc>
        <w:tc>
          <w:tcPr>
            <w:tcW w:w="1267" w:type="dxa"/>
          </w:tcPr>
          <w:p w:rsidR="007C5447" w:rsidRDefault="00F6308C">
            <w:pPr>
              <w:pStyle w:val="TableParagraph"/>
              <w:spacing w:before="130"/>
              <w:ind w:right="88"/>
              <w:rPr>
                <w:sz w:val="20"/>
              </w:rPr>
            </w:pPr>
            <w:r>
              <w:rPr>
                <w:w w:val="95"/>
                <w:sz w:val="20"/>
              </w:rPr>
              <w:t>28,923.58</w:t>
            </w:r>
          </w:p>
        </w:tc>
        <w:tc>
          <w:tcPr>
            <w:tcW w:w="1559" w:type="dxa"/>
          </w:tcPr>
          <w:p w:rsidR="007C5447" w:rsidRDefault="00F6308C">
            <w:pPr>
              <w:pStyle w:val="TableParagraph"/>
              <w:spacing w:before="130"/>
              <w:ind w:right="88"/>
              <w:rPr>
                <w:sz w:val="20"/>
              </w:rPr>
            </w:pPr>
            <w:r>
              <w:rPr>
                <w:w w:val="95"/>
                <w:sz w:val="20"/>
              </w:rPr>
              <w:t>37,161.91</w:t>
            </w:r>
          </w:p>
        </w:tc>
        <w:tc>
          <w:tcPr>
            <w:tcW w:w="1559" w:type="dxa"/>
          </w:tcPr>
          <w:p w:rsidR="007C5447" w:rsidRDefault="00F6308C">
            <w:pPr>
              <w:pStyle w:val="TableParagraph"/>
              <w:spacing w:before="130"/>
              <w:ind w:right="87"/>
              <w:rPr>
                <w:sz w:val="20"/>
              </w:rPr>
            </w:pPr>
            <w:r>
              <w:rPr>
                <w:w w:val="95"/>
                <w:sz w:val="20"/>
              </w:rPr>
              <w:t>29,798.37</w:t>
            </w:r>
          </w:p>
        </w:tc>
      </w:tr>
      <w:tr w:rsidR="007C5447">
        <w:trPr>
          <w:trHeight w:val="361"/>
        </w:trPr>
        <w:tc>
          <w:tcPr>
            <w:tcW w:w="3120" w:type="dxa"/>
          </w:tcPr>
          <w:p w:rsidR="007C5447" w:rsidRDefault="00F6308C">
            <w:pPr>
              <w:pStyle w:val="TableParagraph"/>
              <w:spacing w:before="67"/>
              <w:ind w:left="107"/>
              <w:jc w:val="left"/>
              <w:rPr>
                <w:sz w:val="20"/>
              </w:rPr>
            </w:pPr>
            <w:r>
              <w:rPr>
                <w:sz w:val="20"/>
              </w:rPr>
              <w:t>O&amp;M Expenses</w:t>
            </w:r>
          </w:p>
        </w:tc>
        <w:tc>
          <w:tcPr>
            <w:tcW w:w="1353" w:type="dxa"/>
          </w:tcPr>
          <w:p w:rsidR="007C5447" w:rsidRDefault="00F6308C">
            <w:pPr>
              <w:pStyle w:val="TableParagraph"/>
              <w:spacing w:before="67"/>
              <w:ind w:right="97"/>
              <w:rPr>
                <w:sz w:val="20"/>
              </w:rPr>
            </w:pPr>
            <w:r>
              <w:rPr>
                <w:w w:val="95"/>
                <w:sz w:val="20"/>
              </w:rPr>
              <w:t>3,327.36</w:t>
            </w:r>
          </w:p>
        </w:tc>
        <w:tc>
          <w:tcPr>
            <w:tcW w:w="1495" w:type="dxa"/>
          </w:tcPr>
          <w:p w:rsidR="007C5447" w:rsidRDefault="00F6308C">
            <w:pPr>
              <w:pStyle w:val="TableParagraph"/>
              <w:spacing w:before="67"/>
              <w:ind w:right="94"/>
              <w:rPr>
                <w:sz w:val="20"/>
              </w:rPr>
            </w:pPr>
            <w:r>
              <w:rPr>
                <w:w w:val="95"/>
                <w:sz w:val="20"/>
              </w:rPr>
              <w:t>3,626.33</w:t>
            </w:r>
          </w:p>
        </w:tc>
        <w:tc>
          <w:tcPr>
            <w:tcW w:w="1346" w:type="dxa"/>
          </w:tcPr>
          <w:p w:rsidR="007C5447" w:rsidRDefault="00F6308C">
            <w:pPr>
              <w:pStyle w:val="TableParagraph"/>
              <w:spacing w:before="67"/>
              <w:ind w:right="96"/>
              <w:rPr>
                <w:sz w:val="20"/>
              </w:rPr>
            </w:pPr>
            <w:r>
              <w:rPr>
                <w:w w:val="95"/>
                <w:sz w:val="20"/>
              </w:rPr>
              <w:t>3,327.36</w:t>
            </w:r>
          </w:p>
        </w:tc>
        <w:tc>
          <w:tcPr>
            <w:tcW w:w="1346" w:type="dxa"/>
          </w:tcPr>
          <w:p w:rsidR="007C5447" w:rsidRDefault="00F6308C">
            <w:pPr>
              <w:pStyle w:val="TableParagraph"/>
              <w:spacing w:before="67"/>
              <w:ind w:right="93"/>
              <w:rPr>
                <w:sz w:val="20"/>
              </w:rPr>
            </w:pPr>
            <w:r>
              <w:rPr>
                <w:w w:val="95"/>
                <w:sz w:val="20"/>
              </w:rPr>
              <w:t>3,477.42</w:t>
            </w:r>
          </w:p>
        </w:tc>
        <w:tc>
          <w:tcPr>
            <w:tcW w:w="1494" w:type="dxa"/>
          </w:tcPr>
          <w:p w:rsidR="007C5447" w:rsidRDefault="00F6308C">
            <w:pPr>
              <w:pStyle w:val="TableParagraph"/>
              <w:spacing w:before="67"/>
              <w:ind w:right="92"/>
              <w:rPr>
                <w:sz w:val="20"/>
              </w:rPr>
            </w:pPr>
            <w:r>
              <w:rPr>
                <w:w w:val="95"/>
                <w:sz w:val="20"/>
              </w:rPr>
              <w:t>3,523.79</w:t>
            </w:r>
          </w:p>
        </w:tc>
        <w:tc>
          <w:tcPr>
            <w:tcW w:w="1348" w:type="dxa"/>
          </w:tcPr>
          <w:p w:rsidR="007C5447" w:rsidRDefault="00F6308C">
            <w:pPr>
              <w:pStyle w:val="TableParagraph"/>
              <w:spacing w:before="67"/>
              <w:ind w:right="91"/>
              <w:rPr>
                <w:sz w:val="20"/>
              </w:rPr>
            </w:pPr>
            <w:r>
              <w:rPr>
                <w:w w:val="95"/>
                <w:sz w:val="20"/>
              </w:rPr>
              <w:t>3,477.42</w:t>
            </w:r>
          </w:p>
        </w:tc>
        <w:tc>
          <w:tcPr>
            <w:tcW w:w="1267" w:type="dxa"/>
          </w:tcPr>
          <w:p w:rsidR="007C5447" w:rsidRDefault="00F6308C">
            <w:pPr>
              <w:pStyle w:val="TableParagraph"/>
              <w:spacing w:before="67"/>
              <w:ind w:right="88"/>
              <w:rPr>
                <w:sz w:val="20"/>
              </w:rPr>
            </w:pPr>
            <w:r>
              <w:rPr>
                <w:w w:val="95"/>
                <w:sz w:val="20"/>
              </w:rPr>
              <w:t>3,852.37</w:t>
            </w:r>
          </w:p>
        </w:tc>
        <w:tc>
          <w:tcPr>
            <w:tcW w:w="1559" w:type="dxa"/>
          </w:tcPr>
          <w:p w:rsidR="007C5447" w:rsidRDefault="00F6308C">
            <w:pPr>
              <w:pStyle w:val="TableParagraph"/>
              <w:spacing w:before="67"/>
              <w:ind w:right="89"/>
              <w:rPr>
                <w:sz w:val="20"/>
              </w:rPr>
            </w:pPr>
            <w:r>
              <w:rPr>
                <w:w w:val="95"/>
                <w:sz w:val="20"/>
              </w:rPr>
              <w:t>3,970.93</w:t>
            </w:r>
          </w:p>
        </w:tc>
        <w:tc>
          <w:tcPr>
            <w:tcW w:w="1559" w:type="dxa"/>
          </w:tcPr>
          <w:p w:rsidR="007C5447" w:rsidRDefault="00F6308C">
            <w:pPr>
              <w:pStyle w:val="TableParagraph"/>
              <w:spacing w:before="67"/>
              <w:ind w:right="88"/>
              <w:rPr>
                <w:sz w:val="20"/>
              </w:rPr>
            </w:pPr>
            <w:r>
              <w:rPr>
                <w:w w:val="95"/>
                <w:sz w:val="20"/>
              </w:rPr>
              <w:t>3,851.31</w:t>
            </w:r>
          </w:p>
        </w:tc>
      </w:tr>
      <w:tr w:rsidR="007C5447">
        <w:trPr>
          <w:trHeight w:val="350"/>
        </w:trPr>
        <w:tc>
          <w:tcPr>
            <w:tcW w:w="3120" w:type="dxa"/>
          </w:tcPr>
          <w:p w:rsidR="007C5447" w:rsidRDefault="00F6308C">
            <w:pPr>
              <w:pStyle w:val="TableParagraph"/>
              <w:spacing w:before="61"/>
              <w:ind w:left="107"/>
              <w:jc w:val="left"/>
              <w:rPr>
                <w:sz w:val="20"/>
              </w:rPr>
            </w:pPr>
            <w:r>
              <w:rPr>
                <w:sz w:val="20"/>
              </w:rPr>
              <w:t>Depreciation</w:t>
            </w:r>
          </w:p>
        </w:tc>
        <w:tc>
          <w:tcPr>
            <w:tcW w:w="1353" w:type="dxa"/>
          </w:tcPr>
          <w:p w:rsidR="007C5447" w:rsidRDefault="00F6308C">
            <w:pPr>
              <w:pStyle w:val="TableParagraph"/>
              <w:spacing w:before="61"/>
              <w:ind w:right="97"/>
              <w:rPr>
                <w:sz w:val="20"/>
              </w:rPr>
            </w:pPr>
            <w:r>
              <w:rPr>
                <w:w w:val="95"/>
                <w:sz w:val="20"/>
              </w:rPr>
              <w:t>272.78</w:t>
            </w:r>
          </w:p>
        </w:tc>
        <w:tc>
          <w:tcPr>
            <w:tcW w:w="1495" w:type="dxa"/>
          </w:tcPr>
          <w:p w:rsidR="007C5447" w:rsidRDefault="00F6308C">
            <w:pPr>
              <w:pStyle w:val="TableParagraph"/>
              <w:spacing w:before="61"/>
              <w:ind w:right="94"/>
              <w:rPr>
                <w:sz w:val="20"/>
              </w:rPr>
            </w:pPr>
            <w:r>
              <w:rPr>
                <w:w w:val="95"/>
                <w:sz w:val="20"/>
              </w:rPr>
              <w:t>265.10</w:t>
            </w:r>
          </w:p>
        </w:tc>
        <w:tc>
          <w:tcPr>
            <w:tcW w:w="1346" w:type="dxa"/>
          </w:tcPr>
          <w:p w:rsidR="007C5447" w:rsidRDefault="00F6308C">
            <w:pPr>
              <w:pStyle w:val="TableParagraph"/>
              <w:spacing w:before="61"/>
              <w:ind w:right="96"/>
              <w:rPr>
                <w:sz w:val="20"/>
              </w:rPr>
            </w:pPr>
            <w:r>
              <w:rPr>
                <w:w w:val="95"/>
                <w:sz w:val="20"/>
              </w:rPr>
              <w:t>271.51</w:t>
            </w:r>
          </w:p>
        </w:tc>
        <w:tc>
          <w:tcPr>
            <w:tcW w:w="1346" w:type="dxa"/>
          </w:tcPr>
          <w:p w:rsidR="007C5447" w:rsidRDefault="00F6308C">
            <w:pPr>
              <w:pStyle w:val="TableParagraph"/>
              <w:spacing w:before="61"/>
              <w:ind w:right="93"/>
              <w:rPr>
                <w:sz w:val="20"/>
              </w:rPr>
            </w:pPr>
            <w:r>
              <w:rPr>
                <w:w w:val="95"/>
                <w:sz w:val="20"/>
              </w:rPr>
              <w:t>302.13</w:t>
            </w:r>
          </w:p>
        </w:tc>
        <w:tc>
          <w:tcPr>
            <w:tcW w:w="1494" w:type="dxa"/>
          </w:tcPr>
          <w:p w:rsidR="007C5447" w:rsidRDefault="00F6308C">
            <w:pPr>
              <w:pStyle w:val="TableParagraph"/>
              <w:spacing w:before="61"/>
              <w:ind w:right="91"/>
              <w:rPr>
                <w:sz w:val="20"/>
              </w:rPr>
            </w:pPr>
            <w:r>
              <w:rPr>
                <w:w w:val="95"/>
                <w:sz w:val="20"/>
              </w:rPr>
              <w:t>294.39</w:t>
            </w:r>
          </w:p>
        </w:tc>
        <w:tc>
          <w:tcPr>
            <w:tcW w:w="1348" w:type="dxa"/>
          </w:tcPr>
          <w:p w:rsidR="007C5447" w:rsidRDefault="00F6308C">
            <w:pPr>
              <w:pStyle w:val="TableParagraph"/>
              <w:spacing w:before="61"/>
              <w:ind w:right="90"/>
              <w:rPr>
                <w:sz w:val="20"/>
              </w:rPr>
            </w:pPr>
            <w:r>
              <w:rPr>
                <w:w w:val="95"/>
                <w:sz w:val="20"/>
              </w:rPr>
              <w:t>297.87</w:t>
            </w:r>
          </w:p>
        </w:tc>
        <w:tc>
          <w:tcPr>
            <w:tcW w:w="1267" w:type="dxa"/>
          </w:tcPr>
          <w:p w:rsidR="007C5447" w:rsidRDefault="00F6308C">
            <w:pPr>
              <w:pStyle w:val="TableParagraph"/>
              <w:spacing w:before="61"/>
              <w:ind w:right="87"/>
              <w:rPr>
                <w:sz w:val="20"/>
              </w:rPr>
            </w:pPr>
            <w:r>
              <w:rPr>
                <w:w w:val="95"/>
                <w:sz w:val="20"/>
              </w:rPr>
              <w:t>362.39</w:t>
            </w:r>
          </w:p>
        </w:tc>
        <w:tc>
          <w:tcPr>
            <w:tcW w:w="1559" w:type="dxa"/>
          </w:tcPr>
          <w:p w:rsidR="007C5447" w:rsidRDefault="00F6308C">
            <w:pPr>
              <w:pStyle w:val="TableParagraph"/>
              <w:spacing w:before="61"/>
              <w:ind w:right="89"/>
              <w:rPr>
                <w:sz w:val="20"/>
              </w:rPr>
            </w:pPr>
            <w:r>
              <w:rPr>
                <w:w w:val="95"/>
                <w:sz w:val="20"/>
              </w:rPr>
              <w:t>327.15</w:t>
            </w:r>
          </w:p>
        </w:tc>
        <w:tc>
          <w:tcPr>
            <w:tcW w:w="1559" w:type="dxa"/>
          </w:tcPr>
          <w:p w:rsidR="007C5447" w:rsidRDefault="00F6308C">
            <w:pPr>
              <w:pStyle w:val="TableParagraph"/>
              <w:spacing w:before="61"/>
              <w:ind w:right="88"/>
              <w:rPr>
                <w:sz w:val="20"/>
              </w:rPr>
            </w:pPr>
            <w:r>
              <w:rPr>
                <w:w w:val="95"/>
                <w:sz w:val="20"/>
              </w:rPr>
              <w:t>327.43</w:t>
            </w:r>
          </w:p>
        </w:tc>
      </w:tr>
      <w:tr w:rsidR="007C5447">
        <w:trPr>
          <w:trHeight w:val="347"/>
        </w:trPr>
        <w:tc>
          <w:tcPr>
            <w:tcW w:w="3120" w:type="dxa"/>
          </w:tcPr>
          <w:p w:rsidR="007C5447" w:rsidRDefault="00F6308C">
            <w:pPr>
              <w:pStyle w:val="TableParagraph"/>
              <w:spacing w:before="58"/>
              <w:ind w:left="107"/>
              <w:jc w:val="left"/>
              <w:rPr>
                <w:sz w:val="20"/>
              </w:rPr>
            </w:pPr>
            <w:r>
              <w:rPr>
                <w:sz w:val="20"/>
              </w:rPr>
              <w:t>Interest &amp; Finance Charges</w:t>
            </w:r>
          </w:p>
        </w:tc>
        <w:tc>
          <w:tcPr>
            <w:tcW w:w="1353" w:type="dxa"/>
          </w:tcPr>
          <w:p w:rsidR="007C5447" w:rsidRDefault="00F6308C">
            <w:pPr>
              <w:pStyle w:val="TableParagraph"/>
              <w:spacing w:before="58"/>
              <w:ind w:right="97"/>
              <w:rPr>
                <w:sz w:val="20"/>
              </w:rPr>
            </w:pPr>
            <w:r>
              <w:rPr>
                <w:w w:val="95"/>
                <w:sz w:val="20"/>
              </w:rPr>
              <w:t>718.40</w:t>
            </w:r>
          </w:p>
        </w:tc>
        <w:tc>
          <w:tcPr>
            <w:tcW w:w="1495" w:type="dxa"/>
          </w:tcPr>
          <w:p w:rsidR="007C5447" w:rsidRDefault="00F6308C">
            <w:pPr>
              <w:pStyle w:val="TableParagraph"/>
              <w:spacing w:before="58"/>
              <w:ind w:right="94"/>
              <w:rPr>
                <w:sz w:val="20"/>
              </w:rPr>
            </w:pPr>
            <w:r>
              <w:rPr>
                <w:w w:val="95"/>
                <w:sz w:val="20"/>
              </w:rPr>
              <w:t>708.20</w:t>
            </w:r>
          </w:p>
        </w:tc>
        <w:tc>
          <w:tcPr>
            <w:tcW w:w="1346" w:type="dxa"/>
          </w:tcPr>
          <w:p w:rsidR="007C5447" w:rsidRDefault="00F6308C">
            <w:pPr>
              <w:pStyle w:val="TableParagraph"/>
              <w:spacing w:before="58"/>
              <w:ind w:right="96"/>
              <w:rPr>
                <w:sz w:val="20"/>
              </w:rPr>
            </w:pPr>
            <w:r>
              <w:rPr>
                <w:w w:val="95"/>
                <w:sz w:val="20"/>
              </w:rPr>
              <w:t>718.47</w:t>
            </w:r>
          </w:p>
        </w:tc>
        <w:tc>
          <w:tcPr>
            <w:tcW w:w="1346" w:type="dxa"/>
          </w:tcPr>
          <w:p w:rsidR="007C5447" w:rsidRDefault="00F6308C">
            <w:pPr>
              <w:pStyle w:val="TableParagraph"/>
              <w:spacing w:before="58"/>
              <w:ind w:right="93"/>
              <w:rPr>
                <w:sz w:val="20"/>
              </w:rPr>
            </w:pPr>
            <w:r>
              <w:rPr>
                <w:w w:val="95"/>
                <w:sz w:val="20"/>
              </w:rPr>
              <w:t>877.39</w:t>
            </w:r>
          </w:p>
        </w:tc>
        <w:tc>
          <w:tcPr>
            <w:tcW w:w="1494" w:type="dxa"/>
          </w:tcPr>
          <w:p w:rsidR="007C5447" w:rsidRDefault="00F6308C">
            <w:pPr>
              <w:pStyle w:val="TableParagraph"/>
              <w:spacing w:before="58"/>
              <w:ind w:right="92"/>
              <w:rPr>
                <w:sz w:val="20"/>
              </w:rPr>
            </w:pPr>
            <w:r>
              <w:rPr>
                <w:w w:val="95"/>
                <w:sz w:val="20"/>
              </w:rPr>
              <w:t>1,454.09</w:t>
            </w:r>
          </w:p>
        </w:tc>
        <w:tc>
          <w:tcPr>
            <w:tcW w:w="1348" w:type="dxa"/>
          </w:tcPr>
          <w:p w:rsidR="007C5447" w:rsidRDefault="00F6308C">
            <w:pPr>
              <w:pStyle w:val="TableParagraph"/>
              <w:spacing w:before="58"/>
              <w:ind w:right="90"/>
              <w:rPr>
                <w:sz w:val="20"/>
              </w:rPr>
            </w:pPr>
            <w:r>
              <w:rPr>
                <w:w w:val="95"/>
                <w:sz w:val="20"/>
              </w:rPr>
              <w:t>877.80</w:t>
            </w:r>
          </w:p>
        </w:tc>
        <w:tc>
          <w:tcPr>
            <w:tcW w:w="1267" w:type="dxa"/>
          </w:tcPr>
          <w:p w:rsidR="007C5447" w:rsidRDefault="00F6308C">
            <w:pPr>
              <w:pStyle w:val="TableParagraph"/>
              <w:spacing w:before="58"/>
              <w:ind w:right="88"/>
              <w:rPr>
                <w:sz w:val="20"/>
              </w:rPr>
            </w:pPr>
            <w:r>
              <w:rPr>
                <w:w w:val="95"/>
                <w:sz w:val="20"/>
              </w:rPr>
              <w:t>1,034.39</w:t>
            </w:r>
          </w:p>
        </w:tc>
        <w:tc>
          <w:tcPr>
            <w:tcW w:w="1559" w:type="dxa"/>
          </w:tcPr>
          <w:p w:rsidR="007C5447" w:rsidRDefault="00F6308C">
            <w:pPr>
              <w:pStyle w:val="TableParagraph"/>
              <w:spacing w:before="58"/>
              <w:ind w:right="89"/>
              <w:rPr>
                <w:sz w:val="20"/>
              </w:rPr>
            </w:pPr>
            <w:r>
              <w:rPr>
                <w:w w:val="95"/>
                <w:sz w:val="20"/>
              </w:rPr>
              <w:t>2,385.94</w:t>
            </w:r>
          </w:p>
        </w:tc>
        <w:tc>
          <w:tcPr>
            <w:tcW w:w="1559" w:type="dxa"/>
          </w:tcPr>
          <w:p w:rsidR="007C5447" w:rsidRDefault="00F6308C">
            <w:pPr>
              <w:pStyle w:val="TableParagraph"/>
              <w:spacing w:before="58"/>
              <w:ind w:right="88"/>
              <w:rPr>
                <w:sz w:val="20"/>
              </w:rPr>
            </w:pPr>
            <w:r>
              <w:rPr>
                <w:w w:val="95"/>
                <w:sz w:val="20"/>
              </w:rPr>
              <w:t>1,037.16</w:t>
            </w:r>
          </w:p>
        </w:tc>
      </w:tr>
      <w:tr w:rsidR="007C5447">
        <w:trPr>
          <w:trHeight w:val="347"/>
        </w:trPr>
        <w:tc>
          <w:tcPr>
            <w:tcW w:w="3120" w:type="dxa"/>
          </w:tcPr>
          <w:p w:rsidR="007C5447" w:rsidRDefault="00F6308C">
            <w:pPr>
              <w:pStyle w:val="TableParagraph"/>
              <w:spacing w:before="58"/>
              <w:ind w:left="107"/>
              <w:jc w:val="left"/>
              <w:rPr>
                <w:sz w:val="20"/>
              </w:rPr>
            </w:pPr>
            <w:r>
              <w:rPr>
                <w:sz w:val="20"/>
              </w:rPr>
              <w:t>Interest on Working Capital</w:t>
            </w:r>
          </w:p>
        </w:tc>
        <w:tc>
          <w:tcPr>
            <w:tcW w:w="1353" w:type="dxa"/>
          </w:tcPr>
          <w:p w:rsidR="007C5447" w:rsidRDefault="00F6308C">
            <w:pPr>
              <w:pStyle w:val="TableParagraph"/>
              <w:spacing w:before="58"/>
              <w:ind w:right="98"/>
              <w:rPr>
                <w:sz w:val="20"/>
              </w:rPr>
            </w:pPr>
            <w:r>
              <w:rPr>
                <w:w w:val="99"/>
                <w:sz w:val="20"/>
              </w:rPr>
              <w:t>-</w:t>
            </w:r>
          </w:p>
        </w:tc>
        <w:tc>
          <w:tcPr>
            <w:tcW w:w="1495" w:type="dxa"/>
          </w:tcPr>
          <w:p w:rsidR="007C5447" w:rsidRDefault="00F6308C">
            <w:pPr>
              <w:pStyle w:val="TableParagraph"/>
              <w:spacing w:before="58"/>
              <w:ind w:right="95"/>
              <w:rPr>
                <w:sz w:val="20"/>
              </w:rPr>
            </w:pPr>
            <w:r>
              <w:rPr>
                <w:w w:val="99"/>
                <w:sz w:val="20"/>
              </w:rPr>
              <w:t>-</w:t>
            </w:r>
          </w:p>
        </w:tc>
        <w:tc>
          <w:tcPr>
            <w:tcW w:w="1346" w:type="dxa"/>
          </w:tcPr>
          <w:p w:rsidR="007C5447" w:rsidRDefault="00F6308C">
            <w:pPr>
              <w:pStyle w:val="TableParagraph"/>
              <w:spacing w:before="58"/>
              <w:ind w:right="97"/>
              <w:rPr>
                <w:sz w:val="20"/>
              </w:rPr>
            </w:pPr>
            <w:r>
              <w:rPr>
                <w:w w:val="99"/>
                <w:sz w:val="20"/>
              </w:rPr>
              <w:t>-</w:t>
            </w:r>
          </w:p>
        </w:tc>
        <w:tc>
          <w:tcPr>
            <w:tcW w:w="1346" w:type="dxa"/>
          </w:tcPr>
          <w:p w:rsidR="007C5447" w:rsidRDefault="00F6308C">
            <w:pPr>
              <w:pStyle w:val="TableParagraph"/>
              <w:spacing w:before="58"/>
              <w:ind w:right="94"/>
              <w:rPr>
                <w:sz w:val="20"/>
              </w:rPr>
            </w:pPr>
            <w:r>
              <w:rPr>
                <w:w w:val="99"/>
                <w:sz w:val="20"/>
              </w:rPr>
              <w:t>-</w:t>
            </w:r>
          </w:p>
        </w:tc>
        <w:tc>
          <w:tcPr>
            <w:tcW w:w="1494" w:type="dxa"/>
          </w:tcPr>
          <w:p w:rsidR="007C5447" w:rsidRDefault="00F6308C">
            <w:pPr>
              <w:pStyle w:val="TableParagraph"/>
              <w:spacing w:before="58"/>
              <w:ind w:right="92"/>
              <w:rPr>
                <w:sz w:val="20"/>
              </w:rPr>
            </w:pPr>
            <w:r>
              <w:rPr>
                <w:w w:val="99"/>
                <w:sz w:val="20"/>
              </w:rPr>
              <w:t>-</w:t>
            </w:r>
          </w:p>
        </w:tc>
        <w:tc>
          <w:tcPr>
            <w:tcW w:w="1348" w:type="dxa"/>
          </w:tcPr>
          <w:p w:rsidR="007C5447" w:rsidRDefault="00F6308C">
            <w:pPr>
              <w:pStyle w:val="TableParagraph"/>
              <w:spacing w:before="58"/>
              <w:ind w:right="92"/>
              <w:rPr>
                <w:sz w:val="20"/>
              </w:rPr>
            </w:pPr>
            <w:r>
              <w:rPr>
                <w:w w:val="99"/>
                <w:sz w:val="20"/>
              </w:rPr>
              <w:t>-</w:t>
            </w:r>
          </w:p>
        </w:tc>
        <w:tc>
          <w:tcPr>
            <w:tcW w:w="1267" w:type="dxa"/>
          </w:tcPr>
          <w:p w:rsidR="007C5447" w:rsidRDefault="00F6308C">
            <w:pPr>
              <w:pStyle w:val="TableParagraph"/>
              <w:spacing w:before="58"/>
              <w:ind w:right="88"/>
              <w:rPr>
                <w:sz w:val="20"/>
              </w:rPr>
            </w:pPr>
            <w:r>
              <w:rPr>
                <w:w w:val="99"/>
                <w:sz w:val="20"/>
              </w:rPr>
              <w:t>-</w:t>
            </w:r>
          </w:p>
        </w:tc>
        <w:tc>
          <w:tcPr>
            <w:tcW w:w="1559" w:type="dxa"/>
          </w:tcPr>
          <w:p w:rsidR="007C5447" w:rsidRDefault="00F6308C">
            <w:pPr>
              <w:pStyle w:val="TableParagraph"/>
              <w:spacing w:before="58"/>
              <w:ind w:right="90"/>
              <w:rPr>
                <w:sz w:val="20"/>
              </w:rPr>
            </w:pPr>
            <w:r>
              <w:rPr>
                <w:w w:val="99"/>
                <w:sz w:val="20"/>
              </w:rPr>
              <w:t>-</w:t>
            </w:r>
          </w:p>
        </w:tc>
        <w:tc>
          <w:tcPr>
            <w:tcW w:w="1559" w:type="dxa"/>
          </w:tcPr>
          <w:p w:rsidR="007C5447" w:rsidRDefault="00F6308C">
            <w:pPr>
              <w:pStyle w:val="TableParagraph"/>
              <w:spacing w:before="58"/>
              <w:ind w:right="88"/>
              <w:rPr>
                <w:sz w:val="20"/>
              </w:rPr>
            </w:pPr>
            <w:r>
              <w:rPr>
                <w:w w:val="99"/>
                <w:sz w:val="20"/>
              </w:rPr>
              <w:t>-</w:t>
            </w:r>
          </w:p>
        </w:tc>
      </w:tr>
      <w:tr w:rsidR="007C5447">
        <w:trPr>
          <w:trHeight w:val="347"/>
        </w:trPr>
        <w:tc>
          <w:tcPr>
            <w:tcW w:w="3120" w:type="dxa"/>
          </w:tcPr>
          <w:p w:rsidR="007C5447" w:rsidRDefault="00F6308C">
            <w:pPr>
              <w:pStyle w:val="TableParagraph"/>
              <w:spacing w:before="58"/>
              <w:ind w:left="107"/>
              <w:jc w:val="left"/>
              <w:rPr>
                <w:sz w:val="20"/>
              </w:rPr>
            </w:pPr>
            <w:r>
              <w:rPr>
                <w:sz w:val="20"/>
              </w:rPr>
              <w:t>Return on Equity</w:t>
            </w:r>
          </w:p>
        </w:tc>
        <w:tc>
          <w:tcPr>
            <w:tcW w:w="1353" w:type="dxa"/>
          </w:tcPr>
          <w:p w:rsidR="007C5447" w:rsidRDefault="00F6308C">
            <w:pPr>
              <w:pStyle w:val="TableParagraph"/>
              <w:spacing w:before="58"/>
              <w:ind w:right="98"/>
              <w:rPr>
                <w:sz w:val="20"/>
              </w:rPr>
            </w:pPr>
            <w:r>
              <w:rPr>
                <w:w w:val="99"/>
                <w:sz w:val="20"/>
              </w:rPr>
              <w:t>-</w:t>
            </w:r>
          </w:p>
        </w:tc>
        <w:tc>
          <w:tcPr>
            <w:tcW w:w="1495" w:type="dxa"/>
          </w:tcPr>
          <w:p w:rsidR="007C5447" w:rsidRDefault="00F6308C">
            <w:pPr>
              <w:pStyle w:val="TableParagraph"/>
              <w:spacing w:before="58"/>
              <w:ind w:right="94"/>
              <w:rPr>
                <w:sz w:val="20"/>
              </w:rPr>
            </w:pPr>
            <w:r>
              <w:rPr>
                <w:w w:val="95"/>
                <w:sz w:val="20"/>
              </w:rPr>
              <w:t>260.62</w:t>
            </w:r>
          </w:p>
        </w:tc>
        <w:tc>
          <w:tcPr>
            <w:tcW w:w="1346" w:type="dxa"/>
          </w:tcPr>
          <w:p w:rsidR="007C5447" w:rsidRDefault="00F6308C">
            <w:pPr>
              <w:pStyle w:val="TableParagraph"/>
              <w:spacing w:before="58"/>
              <w:ind w:right="97"/>
              <w:rPr>
                <w:sz w:val="20"/>
              </w:rPr>
            </w:pPr>
            <w:r>
              <w:rPr>
                <w:w w:val="99"/>
                <w:sz w:val="20"/>
              </w:rPr>
              <w:t>-</w:t>
            </w:r>
          </w:p>
        </w:tc>
        <w:tc>
          <w:tcPr>
            <w:tcW w:w="1346" w:type="dxa"/>
          </w:tcPr>
          <w:p w:rsidR="007C5447" w:rsidRDefault="00F6308C">
            <w:pPr>
              <w:pStyle w:val="TableParagraph"/>
              <w:spacing w:before="58"/>
              <w:ind w:right="94"/>
              <w:rPr>
                <w:sz w:val="20"/>
              </w:rPr>
            </w:pPr>
            <w:r>
              <w:rPr>
                <w:w w:val="99"/>
                <w:sz w:val="20"/>
              </w:rPr>
              <w:t>-</w:t>
            </w:r>
          </w:p>
        </w:tc>
        <w:tc>
          <w:tcPr>
            <w:tcW w:w="1494" w:type="dxa"/>
          </w:tcPr>
          <w:p w:rsidR="007C5447" w:rsidRDefault="00F6308C">
            <w:pPr>
              <w:pStyle w:val="TableParagraph"/>
              <w:spacing w:before="58"/>
              <w:ind w:right="91"/>
              <w:rPr>
                <w:sz w:val="20"/>
              </w:rPr>
            </w:pPr>
            <w:r>
              <w:rPr>
                <w:w w:val="95"/>
                <w:sz w:val="20"/>
              </w:rPr>
              <w:t>471.02</w:t>
            </w:r>
          </w:p>
        </w:tc>
        <w:tc>
          <w:tcPr>
            <w:tcW w:w="1348" w:type="dxa"/>
          </w:tcPr>
          <w:p w:rsidR="007C5447" w:rsidRDefault="00F6308C">
            <w:pPr>
              <w:pStyle w:val="TableParagraph"/>
              <w:spacing w:before="58"/>
              <w:ind w:right="92"/>
              <w:rPr>
                <w:sz w:val="20"/>
              </w:rPr>
            </w:pPr>
            <w:r>
              <w:rPr>
                <w:w w:val="99"/>
                <w:sz w:val="20"/>
              </w:rPr>
              <w:t>-</w:t>
            </w:r>
          </w:p>
        </w:tc>
        <w:tc>
          <w:tcPr>
            <w:tcW w:w="1267" w:type="dxa"/>
          </w:tcPr>
          <w:p w:rsidR="007C5447" w:rsidRDefault="00F6308C">
            <w:pPr>
              <w:pStyle w:val="TableParagraph"/>
              <w:spacing w:before="58"/>
              <w:ind w:right="88"/>
              <w:rPr>
                <w:sz w:val="20"/>
              </w:rPr>
            </w:pPr>
            <w:r>
              <w:rPr>
                <w:w w:val="99"/>
                <w:sz w:val="20"/>
              </w:rPr>
              <w:t>-</w:t>
            </w:r>
          </w:p>
        </w:tc>
        <w:tc>
          <w:tcPr>
            <w:tcW w:w="1559" w:type="dxa"/>
          </w:tcPr>
          <w:p w:rsidR="007C5447" w:rsidRDefault="00F6308C">
            <w:pPr>
              <w:pStyle w:val="TableParagraph"/>
              <w:spacing w:before="58"/>
              <w:ind w:right="89"/>
              <w:rPr>
                <w:sz w:val="20"/>
              </w:rPr>
            </w:pPr>
            <w:r>
              <w:rPr>
                <w:w w:val="95"/>
                <w:sz w:val="20"/>
              </w:rPr>
              <w:t>600.44</w:t>
            </w:r>
          </w:p>
        </w:tc>
        <w:tc>
          <w:tcPr>
            <w:tcW w:w="1559" w:type="dxa"/>
          </w:tcPr>
          <w:p w:rsidR="007C5447" w:rsidRDefault="00F6308C">
            <w:pPr>
              <w:pStyle w:val="TableParagraph"/>
              <w:spacing w:before="58"/>
              <w:ind w:right="88"/>
              <w:rPr>
                <w:sz w:val="20"/>
              </w:rPr>
            </w:pPr>
            <w:r>
              <w:rPr>
                <w:w w:val="99"/>
                <w:sz w:val="20"/>
              </w:rPr>
              <w:t>-</w:t>
            </w:r>
          </w:p>
        </w:tc>
      </w:tr>
      <w:tr w:rsidR="007C5447">
        <w:trPr>
          <w:trHeight w:val="347"/>
        </w:trPr>
        <w:tc>
          <w:tcPr>
            <w:tcW w:w="3120" w:type="dxa"/>
          </w:tcPr>
          <w:p w:rsidR="007C5447" w:rsidRDefault="00F6308C">
            <w:pPr>
              <w:pStyle w:val="TableParagraph"/>
              <w:spacing w:before="60"/>
              <w:ind w:left="107"/>
              <w:jc w:val="left"/>
              <w:rPr>
                <w:sz w:val="20"/>
              </w:rPr>
            </w:pPr>
            <w:r>
              <w:rPr>
                <w:sz w:val="20"/>
              </w:rPr>
              <w:t>Other Debits</w:t>
            </w:r>
          </w:p>
        </w:tc>
        <w:tc>
          <w:tcPr>
            <w:tcW w:w="1353" w:type="dxa"/>
          </w:tcPr>
          <w:p w:rsidR="007C5447" w:rsidRDefault="00F6308C">
            <w:pPr>
              <w:pStyle w:val="TableParagraph"/>
              <w:spacing w:before="60"/>
              <w:ind w:right="97"/>
              <w:rPr>
                <w:sz w:val="20"/>
              </w:rPr>
            </w:pPr>
            <w:r>
              <w:rPr>
                <w:sz w:val="20"/>
              </w:rPr>
              <w:t>14.26</w:t>
            </w:r>
          </w:p>
        </w:tc>
        <w:tc>
          <w:tcPr>
            <w:tcW w:w="1495" w:type="dxa"/>
          </w:tcPr>
          <w:p w:rsidR="007C5447" w:rsidRDefault="00F6308C">
            <w:pPr>
              <w:pStyle w:val="TableParagraph"/>
              <w:spacing w:before="60"/>
              <w:ind w:right="94"/>
              <w:rPr>
                <w:sz w:val="20"/>
              </w:rPr>
            </w:pPr>
            <w:r>
              <w:rPr>
                <w:sz w:val="20"/>
              </w:rPr>
              <w:t>36.52</w:t>
            </w:r>
          </w:p>
        </w:tc>
        <w:tc>
          <w:tcPr>
            <w:tcW w:w="1346" w:type="dxa"/>
          </w:tcPr>
          <w:p w:rsidR="007C5447" w:rsidRDefault="00F6308C">
            <w:pPr>
              <w:pStyle w:val="TableParagraph"/>
              <w:spacing w:before="60"/>
              <w:ind w:right="96"/>
              <w:rPr>
                <w:sz w:val="20"/>
              </w:rPr>
            </w:pPr>
            <w:r>
              <w:rPr>
                <w:sz w:val="20"/>
              </w:rPr>
              <w:t>14.86</w:t>
            </w:r>
          </w:p>
        </w:tc>
        <w:tc>
          <w:tcPr>
            <w:tcW w:w="1346" w:type="dxa"/>
          </w:tcPr>
          <w:p w:rsidR="007C5447" w:rsidRDefault="00F6308C">
            <w:pPr>
              <w:pStyle w:val="TableParagraph"/>
              <w:spacing w:before="60"/>
              <w:ind w:right="93"/>
              <w:rPr>
                <w:sz w:val="20"/>
              </w:rPr>
            </w:pPr>
            <w:r>
              <w:rPr>
                <w:sz w:val="20"/>
              </w:rPr>
              <w:t>16.90</w:t>
            </w:r>
          </w:p>
        </w:tc>
        <w:tc>
          <w:tcPr>
            <w:tcW w:w="1494" w:type="dxa"/>
          </w:tcPr>
          <w:p w:rsidR="007C5447" w:rsidRDefault="00F6308C">
            <w:pPr>
              <w:pStyle w:val="TableParagraph"/>
              <w:spacing w:before="60"/>
              <w:ind w:right="91"/>
              <w:rPr>
                <w:sz w:val="20"/>
              </w:rPr>
            </w:pPr>
            <w:r>
              <w:rPr>
                <w:sz w:val="20"/>
              </w:rPr>
              <w:t>10.14</w:t>
            </w:r>
          </w:p>
        </w:tc>
        <w:tc>
          <w:tcPr>
            <w:tcW w:w="1348" w:type="dxa"/>
          </w:tcPr>
          <w:p w:rsidR="007C5447" w:rsidRDefault="00F6308C">
            <w:pPr>
              <w:pStyle w:val="TableParagraph"/>
              <w:spacing w:before="60"/>
              <w:ind w:right="90"/>
              <w:rPr>
                <w:sz w:val="20"/>
              </w:rPr>
            </w:pPr>
            <w:r>
              <w:rPr>
                <w:sz w:val="20"/>
              </w:rPr>
              <w:t>2.87</w:t>
            </w:r>
          </w:p>
        </w:tc>
        <w:tc>
          <w:tcPr>
            <w:tcW w:w="1267" w:type="dxa"/>
          </w:tcPr>
          <w:p w:rsidR="007C5447" w:rsidRDefault="00F6308C">
            <w:pPr>
              <w:pStyle w:val="TableParagraph"/>
              <w:spacing w:before="60"/>
              <w:ind w:right="87"/>
              <w:rPr>
                <w:sz w:val="20"/>
              </w:rPr>
            </w:pPr>
            <w:r>
              <w:rPr>
                <w:sz w:val="20"/>
              </w:rPr>
              <w:t>19.93</w:t>
            </w:r>
          </w:p>
        </w:tc>
        <w:tc>
          <w:tcPr>
            <w:tcW w:w="1559" w:type="dxa"/>
          </w:tcPr>
          <w:p w:rsidR="007C5447" w:rsidRDefault="00F6308C">
            <w:pPr>
              <w:pStyle w:val="TableParagraph"/>
              <w:spacing w:before="60"/>
              <w:ind w:right="89"/>
              <w:rPr>
                <w:sz w:val="20"/>
              </w:rPr>
            </w:pPr>
            <w:r>
              <w:rPr>
                <w:sz w:val="20"/>
              </w:rPr>
              <w:t>21.70</w:t>
            </w:r>
          </w:p>
        </w:tc>
        <w:tc>
          <w:tcPr>
            <w:tcW w:w="1559" w:type="dxa"/>
          </w:tcPr>
          <w:p w:rsidR="007C5447" w:rsidRDefault="00F6308C">
            <w:pPr>
              <w:pStyle w:val="TableParagraph"/>
              <w:spacing w:before="60"/>
              <w:ind w:right="88"/>
              <w:rPr>
                <w:sz w:val="20"/>
              </w:rPr>
            </w:pPr>
            <w:r>
              <w:rPr>
                <w:sz w:val="20"/>
              </w:rPr>
              <w:t>14.04</w:t>
            </w:r>
          </w:p>
        </w:tc>
      </w:tr>
      <w:tr w:rsidR="007C5447">
        <w:trPr>
          <w:trHeight w:val="491"/>
        </w:trPr>
        <w:tc>
          <w:tcPr>
            <w:tcW w:w="3120" w:type="dxa"/>
          </w:tcPr>
          <w:p w:rsidR="007C5447" w:rsidRDefault="00F6308C">
            <w:pPr>
              <w:pStyle w:val="TableParagraph"/>
              <w:spacing w:before="14" w:line="230" w:lineRule="atLeast"/>
              <w:ind w:left="107"/>
              <w:jc w:val="left"/>
              <w:rPr>
                <w:sz w:val="20"/>
              </w:rPr>
            </w:pPr>
            <w:r>
              <w:rPr>
                <w:sz w:val="20"/>
              </w:rPr>
              <w:t>Sharing of (Gains)/Losses for O&amp;M Expenses</w:t>
            </w:r>
          </w:p>
        </w:tc>
        <w:tc>
          <w:tcPr>
            <w:tcW w:w="1353" w:type="dxa"/>
          </w:tcPr>
          <w:p w:rsidR="007C5447" w:rsidRDefault="007C5447">
            <w:pPr>
              <w:pStyle w:val="TableParagraph"/>
              <w:jc w:val="left"/>
              <w:rPr>
                <w:sz w:val="20"/>
              </w:rPr>
            </w:pPr>
          </w:p>
        </w:tc>
        <w:tc>
          <w:tcPr>
            <w:tcW w:w="1495" w:type="dxa"/>
          </w:tcPr>
          <w:p w:rsidR="007C5447" w:rsidRDefault="007C5447">
            <w:pPr>
              <w:pStyle w:val="TableParagraph"/>
              <w:jc w:val="left"/>
              <w:rPr>
                <w:sz w:val="20"/>
              </w:rPr>
            </w:pPr>
          </w:p>
        </w:tc>
        <w:tc>
          <w:tcPr>
            <w:tcW w:w="1346" w:type="dxa"/>
          </w:tcPr>
          <w:p w:rsidR="007C5447" w:rsidRDefault="00F6308C">
            <w:pPr>
              <w:pStyle w:val="TableParagraph"/>
              <w:spacing w:before="130"/>
              <w:ind w:right="97"/>
              <w:rPr>
                <w:sz w:val="20"/>
              </w:rPr>
            </w:pPr>
            <w:r>
              <w:rPr>
                <w:w w:val="99"/>
                <w:sz w:val="20"/>
              </w:rPr>
              <w:t>-</w:t>
            </w:r>
          </w:p>
        </w:tc>
        <w:tc>
          <w:tcPr>
            <w:tcW w:w="1346" w:type="dxa"/>
          </w:tcPr>
          <w:p w:rsidR="007C5447" w:rsidRDefault="007C5447">
            <w:pPr>
              <w:pStyle w:val="TableParagraph"/>
              <w:jc w:val="left"/>
              <w:rPr>
                <w:sz w:val="20"/>
              </w:rPr>
            </w:pPr>
          </w:p>
        </w:tc>
        <w:tc>
          <w:tcPr>
            <w:tcW w:w="1494" w:type="dxa"/>
          </w:tcPr>
          <w:p w:rsidR="007C5447" w:rsidRDefault="007C5447">
            <w:pPr>
              <w:pStyle w:val="TableParagraph"/>
              <w:jc w:val="left"/>
              <w:rPr>
                <w:sz w:val="20"/>
              </w:rPr>
            </w:pPr>
          </w:p>
        </w:tc>
        <w:tc>
          <w:tcPr>
            <w:tcW w:w="1348" w:type="dxa"/>
          </w:tcPr>
          <w:p w:rsidR="007C5447" w:rsidRDefault="00F6308C">
            <w:pPr>
              <w:pStyle w:val="TableParagraph"/>
              <w:spacing w:before="130"/>
              <w:ind w:right="92"/>
              <w:rPr>
                <w:sz w:val="20"/>
              </w:rPr>
            </w:pPr>
            <w:r>
              <w:rPr>
                <w:w w:val="99"/>
                <w:sz w:val="20"/>
              </w:rPr>
              <w:t>-</w:t>
            </w:r>
          </w:p>
        </w:tc>
        <w:tc>
          <w:tcPr>
            <w:tcW w:w="1267" w:type="dxa"/>
          </w:tcPr>
          <w:p w:rsidR="007C5447" w:rsidRDefault="007C5447">
            <w:pPr>
              <w:pStyle w:val="TableParagraph"/>
              <w:jc w:val="left"/>
              <w:rPr>
                <w:sz w:val="20"/>
              </w:rPr>
            </w:pPr>
          </w:p>
        </w:tc>
        <w:tc>
          <w:tcPr>
            <w:tcW w:w="1559" w:type="dxa"/>
          </w:tcPr>
          <w:p w:rsidR="007C5447" w:rsidRDefault="007C5447">
            <w:pPr>
              <w:pStyle w:val="TableParagraph"/>
              <w:jc w:val="left"/>
              <w:rPr>
                <w:sz w:val="20"/>
              </w:rPr>
            </w:pPr>
          </w:p>
        </w:tc>
        <w:tc>
          <w:tcPr>
            <w:tcW w:w="1559" w:type="dxa"/>
          </w:tcPr>
          <w:p w:rsidR="007C5447" w:rsidRDefault="00F6308C">
            <w:pPr>
              <w:pStyle w:val="TableParagraph"/>
              <w:spacing w:before="130"/>
              <w:ind w:right="88"/>
              <w:rPr>
                <w:sz w:val="20"/>
              </w:rPr>
            </w:pPr>
            <w:r>
              <w:rPr>
                <w:w w:val="99"/>
                <w:sz w:val="20"/>
              </w:rPr>
              <w:t>-</w:t>
            </w:r>
          </w:p>
        </w:tc>
      </w:tr>
      <w:tr w:rsidR="007C5447">
        <w:trPr>
          <w:trHeight w:val="348"/>
        </w:trPr>
        <w:tc>
          <w:tcPr>
            <w:tcW w:w="3120" w:type="dxa"/>
          </w:tcPr>
          <w:p w:rsidR="007C5447" w:rsidRDefault="00F6308C">
            <w:pPr>
              <w:pStyle w:val="TableParagraph"/>
              <w:spacing w:before="58"/>
              <w:ind w:left="107"/>
              <w:jc w:val="left"/>
              <w:rPr>
                <w:sz w:val="20"/>
              </w:rPr>
            </w:pPr>
            <w:r>
              <w:rPr>
                <w:sz w:val="20"/>
              </w:rPr>
              <w:t>Operating charges</w:t>
            </w:r>
          </w:p>
        </w:tc>
        <w:tc>
          <w:tcPr>
            <w:tcW w:w="1353" w:type="dxa"/>
          </w:tcPr>
          <w:p w:rsidR="007C5447" w:rsidRDefault="00F6308C">
            <w:pPr>
              <w:pStyle w:val="TableParagraph"/>
              <w:spacing w:before="58"/>
              <w:ind w:right="98"/>
              <w:rPr>
                <w:sz w:val="20"/>
              </w:rPr>
            </w:pPr>
            <w:r>
              <w:rPr>
                <w:w w:val="99"/>
                <w:sz w:val="20"/>
              </w:rPr>
              <w:t>-</w:t>
            </w:r>
          </w:p>
        </w:tc>
        <w:tc>
          <w:tcPr>
            <w:tcW w:w="1495" w:type="dxa"/>
          </w:tcPr>
          <w:p w:rsidR="007C5447" w:rsidRDefault="00F6308C">
            <w:pPr>
              <w:pStyle w:val="TableParagraph"/>
              <w:spacing w:before="58"/>
              <w:ind w:right="93"/>
              <w:rPr>
                <w:sz w:val="20"/>
              </w:rPr>
            </w:pPr>
            <w:r>
              <w:rPr>
                <w:sz w:val="20"/>
              </w:rPr>
              <w:t>2.22</w:t>
            </w:r>
          </w:p>
        </w:tc>
        <w:tc>
          <w:tcPr>
            <w:tcW w:w="1346" w:type="dxa"/>
          </w:tcPr>
          <w:p w:rsidR="007C5447" w:rsidRDefault="00F6308C">
            <w:pPr>
              <w:pStyle w:val="TableParagraph"/>
              <w:spacing w:before="58"/>
              <w:ind w:right="97"/>
              <w:rPr>
                <w:sz w:val="20"/>
              </w:rPr>
            </w:pPr>
            <w:r>
              <w:rPr>
                <w:w w:val="99"/>
                <w:sz w:val="20"/>
              </w:rPr>
              <w:t>-</w:t>
            </w:r>
          </w:p>
        </w:tc>
        <w:tc>
          <w:tcPr>
            <w:tcW w:w="1346" w:type="dxa"/>
          </w:tcPr>
          <w:p w:rsidR="007C5447" w:rsidRDefault="00F6308C">
            <w:pPr>
              <w:pStyle w:val="TableParagraph"/>
              <w:spacing w:before="58"/>
              <w:ind w:right="94"/>
              <w:rPr>
                <w:sz w:val="20"/>
              </w:rPr>
            </w:pPr>
            <w:r>
              <w:rPr>
                <w:w w:val="99"/>
                <w:sz w:val="20"/>
              </w:rPr>
              <w:t>-</w:t>
            </w:r>
          </w:p>
        </w:tc>
        <w:tc>
          <w:tcPr>
            <w:tcW w:w="1494" w:type="dxa"/>
          </w:tcPr>
          <w:p w:rsidR="007C5447" w:rsidRDefault="00F6308C">
            <w:pPr>
              <w:pStyle w:val="TableParagraph"/>
              <w:spacing w:before="58"/>
              <w:ind w:right="91"/>
              <w:rPr>
                <w:sz w:val="20"/>
              </w:rPr>
            </w:pPr>
            <w:r>
              <w:rPr>
                <w:sz w:val="20"/>
              </w:rPr>
              <w:t>0.13</w:t>
            </w:r>
          </w:p>
        </w:tc>
        <w:tc>
          <w:tcPr>
            <w:tcW w:w="1348" w:type="dxa"/>
          </w:tcPr>
          <w:p w:rsidR="007C5447" w:rsidRDefault="00F6308C">
            <w:pPr>
              <w:pStyle w:val="TableParagraph"/>
              <w:spacing w:before="58"/>
              <w:ind w:right="92"/>
              <w:rPr>
                <w:sz w:val="20"/>
              </w:rPr>
            </w:pPr>
            <w:r>
              <w:rPr>
                <w:w w:val="99"/>
                <w:sz w:val="20"/>
              </w:rPr>
              <w:t>-</w:t>
            </w:r>
          </w:p>
        </w:tc>
        <w:tc>
          <w:tcPr>
            <w:tcW w:w="1267" w:type="dxa"/>
          </w:tcPr>
          <w:p w:rsidR="007C5447" w:rsidRDefault="00F6308C">
            <w:pPr>
              <w:pStyle w:val="TableParagraph"/>
              <w:spacing w:before="58"/>
              <w:ind w:right="88"/>
              <w:rPr>
                <w:sz w:val="20"/>
              </w:rPr>
            </w:pPr>
            <w:r>
              <w:rPr>
                <w:w w:val="99"/>
                <w:sz w:val="20"/>
              </w:rPr>
              <w:t>-</w:t>
            </w:r>
          </w:p>
        </w:tc>
        <w:tc>
          <w:tcPr>
            <w:tcW w:w="1559" w:type="dxa"/>
          </w:tcPr>
          <w:p w:rsidR="007C5447" w:rsidRDefault="00F6308C">
            <w:pPr>
              <w:pStyle w:val="TableParagraph"/>
              <w:spacing w:before="58"/>
              <w:ind w:right="88"/>
              <w:rPr>
                <w:sz w:val="20"/>
              </w:rPr>
            </w:pPr>
            <w:r>
              <w:rPr>
                <w:sz w:val="20"/>
              </w:rPr>
              <w:t>0.08</w:t>
            </w:r>
          </w:p>
        </w:tc>
        <w:tc>
          <w:tcPr>
            <w:tcW w:w="1559" w:type="dxa"/>
          </w:tcPr>
          <w:p w:rsidR="007C5447" w:rsidRDefault="00F6308C">
            <w:pPr>
              <w:pStyle w:val="TableParagraph"/>
              <w:spacing w:before="58"/>
              <w:ind w:right="88"/>
              <w:rPr>
                <w:sz w:val="20"/>
              </w:rPr>
            </w:pPr>
            <w:r>
              <w:rPr>
                <w:w w:val="99"/>
                <w:sz w:val="20"/>
              </w:rPr>
              <w:t>-</w:t>
            </w:r>
          </w:p>
        </w:tc>
      </w:tr>
      <w:tr w:rsidR="007C5447">
        <w:trPr>
          <w:trHeight w:val="347"/>
        </w:trPr>
        <w:tc>
          <w:tcPr>
            <w:tcW w:w="3120" w:type="dxa"/>
          </w:tcPr>
          <w:p w:rsidR="007C5447" w:rsidRDefault="00F6308C">
            <w:pPr>
              <w:pStyle w:val="TableParagraph"/>
              <w:spacing w:before="58"/>
              <w:ind w:left="107"/>
              <w:jc w:val="left"/>
              <w:rPr>
                <w:sz w:val="20"/>
              </w:rPr>
            </w:pPr>
            <w:r>
              <w:rPr>
                <w:sz w:val="20"/>
              </w:rPr>
              <w:t>Other Interest &amp;Finance Charges</w:t>
            </w:r>
          </w:p>
        </w:tc>
        <w:tc>
          <w:tcPr>
            <w:tcW w:w="1353" w:type="dxa"/>
          </w:tcPr>
          <w:p w:rsidR="007C5447" w:rsidRDefault="00F6308C">
            <w:pPr>
              <w:pStyle w:val="TableParagraph"/>
              <w:spacing w:before="58"/>
              <w:ind w:right="97"/>
              <w:rPr>
                <w:sz w:val="20"/>
              </w:rPr>
            </w:pPr>
            <w:r>
              <w:rPr>
                <w:w w:val="95"/>
                <w:sz w:val="20"/>
              </w:rPr>
              <w:t>334.69</w:t>
            </w:r>
          </w:p>
        </w:tc>
        <w:tc>
          <w:tcPr>
            <w:tcW w:w="1495" w:type="dxa"/>
          </w:tcPr>
          <w:p w:rsidR="007C5447" w:rsidRDefault="00F6308C">
            <w:pPr>
              <w:pStyle w:val="TableParagraph"/>
              <w:spacing w:before="58"/>
              <w:ind w:right="94"/>
              <w:rPr>
                <w:sz w:val="20"/>
              </w:rPr>
            </w:pPr>
            <w:r>
              <w:rPr>
                <w:w w:val="95"/>
                <w:sz w:val="20"/>
              </w:rPr>
              <w:t>531.17</w:t>
            </w:r>
          </w:p>
        </w:tc>
        <w:tc>
          <w:tcPr>
            <w:tcW w:w="1346" w:type="dxa"/>
          </w:tcPr>
          <w:p w:rsidR="007C5447" w:rsidRDefault="00F6308C">
            <w:pPr>
              <w:pStyle w:val="TableParagraph"/>
              <w:spacing w:before="58"/>
              <w:ind w:right="96"/>
              <w:rPr>
                <w:sz w:val="20"/>
              </w:rPr>
            </w:pPr>
            <w:r>
              <w:rPr>
                <w:w w:val="95"/>
                <w:sz w:val="20"/>
              </w:rPr>
              <w:t>391.91</w:t>
            </w:r>
          </w:p>
        </w:tc>
        <w:tc>
          <w:tcPr>
            <w:tcW w:w="1346" w:type="dxa"/>
          </w:tcPr>
          <w:p w:rsidR="007C5447" w:rsidRDefault="00F6308C">
            <w:pPr>
              <w:pStyle w:val="TableParagraph"/>
              <w:spacing w:before="58"/>
              <w:ind w:right="93"/>
              <w:rPr>
                <w:sz w:val="20"/>
              </w:rPr>
            </w:pPr>
            <w:r>
              <w:rPr>
                <w:w w:val="95"/>
                <w:sz w:val="20"/>
              </w:rPr>
              <w:t>497.62</w:t>
            </w:r>
          </w:p>
        </w:tc>
        <w:tc>
          <w:tcPr>
            <w:tcW w:w="1494" w:type="dxa"/>
          </w:tcPr>
          <w:p w:rsidR="007C5447" w:rsidRDefault="00F6308C">
            <w:pPr>
              <w:pStyle w:val="TableParagraph"/>
              <w:spacing w:before="58"/>
              <w:ind w:right="91"/>
              <w:rPr>
                <w:sz w:val="20"/>
              </w:rPr>
            </w:pPr>
            <w:r>
              <w:rPr>
                <w:w w:val="95"/>
                <w:sz w:val="20"/>
              </w:rPr>
              <w:t>682.51</w:t>
            </w:r>
          </w:p>
        </w:tc>
        <w:tc>
          <w:tcPr>
            <w:tcW w:w="1348" w:type="dxa"/>
          </w:tcPr>
          <w:p w:rsidR="007C5447" w:rsidRDefault="00F6308C">
            <w:pPr>
              <w:pStyle w:val="TableParagraph"/>
              <w:spacing w:before="58"/>
              <w:ind w:right="90"/>
              <w:rPr>
                <w:sz w:val="20"/>
              </w:rPr>
            </w:pPr>
            <w:r>
              <w:rPr>
                <w:w w:val="95"/>
                <w:sz w:val="20"/>
              </w:rPr>
              <w:t>569.39</w:t>
            </w:r>
          </w:p>
        </w:tc>
        <w:tc>
          <w:tcPr>
            <w:tcW w:w="1267" w:type="dxa"/>
          </w:tcPr>
          <w:p w:rsidR="007C5447" w:rsidRDefault="00F6308C">
            <w:pPr>
              <w:pStyle w:val="TableParagraph"/>
              <w:spacing w:before="58"/>
              <w:ind w:right="87"/>
              <w:rPr>
                <w:sz w:val="20"/>
              </w:rPr>
            </w:pPr>
            <w:r>
              <w:rPr>
                <w:w w:val="95"/>
                <w:sz w:val="20"/>
              </w:rPr>
              <w:t>575.99</w:t>
            </w:r>
          </w:p>
        </w:tc>
        <w:tc>
          <w:tcPr>
            <w:tcW w:w="1559" w:type="dxa"/>
          </w:tcPr>
          <w:p w:rsidR="007C5447" w:rsidRDefault="00F6308C">
            <w:pPr>
              <w:pStyle w:val="TableParagraph"/>
              <w:spacing w:before="58"/>
              <w:ind w:right="89"/>
              <w:rPr>
                <w:sz w:val="20"/>
              </w:rPr>
            </w:pPr>
            <w:r>
              <w:rPr>
                <w:w w:val="95"/>
                <w:sz w:val="20"/>
              </w:rPr>
              <w:t>965.35</w:t>
            </w:r>
          </w:p>
        </w:tc>
        <w:tc>
          <w:tcPr>
            <w:tcW w:w="1559" w:type="dxa"/>
          </w:tcPr>
          <w:p w:rsidR="007C5447" w:rsidRDefault="00F6308C">
            <w:pPr>
              <w:pStyle w:val="TableParagraph"/>
              <w:spacing w:before="58"/>
              <w:ind w:right="88"/>
              <w:rPr>
                <w:sz w:val="20"/>
              </w:rPr>
            </w:pPr>
            <w:r>
              <w:rPr>
                <w:w w:val="95"/>
                <w:sz w:val="20"/>
              </w:rPr>
              <w:t>802.14</w:t>
            </w:r>
          </w:p>
        </w:tc>
      </w:tr>
      <w:tr w:rsidR="007C5447">
        <w:trPr>
          <w:trHeight w:val="347"/>
        </w:trPr>
        <w:tc>
          <w:tcPr>
            <w:tcW w:w="3120" w:type="dxa"/>
          </w:tcPr>
          <w:p w:rsidR="007C5447" w:rsidRDefault="00F6308C">
            <w:pPr>
              <w:pStyle w:val="TableParagraph"/>
              <w:spacing w:before="58"/>
              <w:ind w:left="107"/>
              <w:jc w:val="left"/>
              <w:rPr>
                <w:b/>
                <w:sz w:val="20"/>
              </w:rPr>
            </w:pPr>
            <w:r>
              <w:rPr>
                <w:b/>
                <w:sz w:val="20"/>
              </w:rPr>
              <w:t>Gross ARR</w:t>
            </w:r>
          </w:p>
        </w:tc>
        <w:tc>
          <w:tcPr>
            <w:tcW w:w="1353" w:type="dxa"/>
          </w:tcPr>
          <w:p w:rsidR="007C5447" w:rsidRDefault="00F6308C">
            <w:pPr>
              <w:pStyle w:val="TableParagraph"/>
              <w:spacing w:before="58"/>
              <w:ind w:right="97"/>
              <w:rPr>
                <w:b/>
                <w:sz w:val="20"/>
              </w:rPr>
            </w:pPr>
            <w:r>
              <w:rPr>
                <w:b/>
                <w:w w:val="95"/>
                <w:sz w:val="20"/>
              </w:rPr>
              <w:t>28,566.93</w:t>
            </w:r>
          </w:p>
        </w:tc>
        <w:tc>
          <w:tcPr>
            <w:tcW w:w="1495" w:type="dxa"/>
          </w:tcPr>
          <w:p w:rsidR="007C5447" w:rsidRDefault="00F6308C">
            <w:pPr>
              <w:pStyle w:val="TableParagraph"/>
              <w:spacing w:before="58"/>
              <w:ind w:right="94"/>
              <w:rPr>
                <w:b/>
                <w:sz w:val="20"/>
              </w:rPr>
            </w:pPr>
            <w:r>
              <w:rPr>
                <w:b/>
                <w:w w:val="95"/>
                <w:sz w:val="20"/>
              </w:rPr>
              <w:t>33,302.08</w:t>
            </w:r>
          </w:p>
        </w:tc>
        <w:tc>
          <w:tcPr>
            <w:tcW w:w="1346" w:type="dxa"/>
          </w:tcPr>
          <w:p w:rsidR="007C5447" w:rsidRDefault="00F6308C">
            <w:pPr>
              <w:pStyle w:val="TableParagraph"/>
              <w:spacing w:before="58"/>
              <w:ind w:right="95"/>
              <w:rPr>
                <w:b/>
                <w:sz w:val="20"/>
              </w:rPr>
            </w:pPr>
            <w:r>
              <w:rPr>
                <w:b/>
                <w:w w:val="95"/>
                <w:sz w:val="20"/>
              </w:rPr>
              <w:t>28,029.06</w:t>
            </w:r>
          </w:p>
        </w:tc>
        <w:tc>
          <w:tcPr>
            <w:tcW w:w="1346" w:type="dxa"/>
          </w:tcPr>
          <w:p w:rsidR="007C5447" w:rsidRDefault="00F6308C">
            <w:pPr>
              <w:pStyle w:val="TableParagraph"/>
              <w:spacing w:before="58"/>
              <w:ind w:right="93"/>
              <w:rPr>
                <w:b/>
                <w:sz w:val="20"/>
              </w:rPr>
            </w:pPr>
            <w:r>
              <w:rPr>
                <w:b/>
                <w:w w:val="95"/>
                <w:sz w:val="20"/>
              </w:rPr>
              <w:t>30,983.79</w:t>
            </w:r>
          </w:p>
        </w:tc>
        <w:tc>
          <w:tcPr>
            <w:tcW w:w="1494" w:type="dxa"/>
          </w:tcPr>
          <w:p w:rsidR="007C5447" w:rsidRDefault="00F6308C">
            <w:pPr>
              <w:pStyle w:val="TableParagraph"/>
              <w:spacing w:before="58"/>
              <w:ind w:right="92"/>
              <w:rPr>
                <w:b/>
                <w:sz w:val="20"/>
              </w:rPr>
            </w:pPr>
            <w:r>
              <w:rPr>
                <w:b/>
                <w:w w:val="95"/>
                <w:sz w:val="20"/>
              </w:rPr>
              <w:t>36,898.96</w:t>
            </w:r>
          </w:p>
        </w:tc>
        <w:tc>
          <w:tcPr>
            <w:tcW w:w="1348" w:type="dxa"/>
          </w:tcPr>
          <w:p w:rsidR="007C5447" w:rsidRDefault="00F6308C">
            <w:pPr>
              <w:pStyle w:val="TableParagraph"/>
              <w:spacing w:before="58"/>
              <w:ind w:right="90"/>
              <w:rPr>
                <w:b/>
                <w:sz w:val="20"/>
              </w:rPr>
            </w:pPr>
            <w:r>
              <w:rPr>
                <w:b/>
                <w:w w:val="95"/>
                <w:sz w:val="20"/>
              </w:rPr>
              <w:t>29,348.37</w:t>
            </w:r>
          </w:p>
        </w:tc>
        <w:tc>
          <w:tcPr>
            <w:tcW w:w="1267" w:type="dxa"/>
          </w:tcPr>
          <w:p w:rsidR="007C5447" w:rsidRDefault="00F6308C">
            <w:pPr>
              <w:pStyle w:val="TableParagraph"/>
              <w:spacing w:before="58"/>
              <w:ind w:right="88"/>
              <w:rPr>
                <w:b/>
                <w:sz w:val="20"/>
              </w:rPr>
            </w:pPr>
            <w:r>
              <w:rPr>
                <w:b/>
                <w:w w:val="95"/>
                <w:sz w:val="20"/>
              </w:rPr>
              <w:t>34,768.65</w:t>
            </w:r>
          </w:p>
        </w:tc>
        <w:tc>
          <w:tcPr>
            <w:tcW w:w="1559" w:type="dxa"/>
          </w:tcPr>
          <w:p w:rsidR="007C5447" w:rsidRDefault="00F6308C">
            <w:pPr>
              <w:pStyle w:val="TableParagraph"/>
              <w:spacing w:before="58"/>
              <w:ind w:right="89"/>
              <w:rPr>
                <w:b/>
                <w:sz w:val="20"/>
              </w:rPr>
            </w:pPr>
            <w:r>
              <w:rPr>
                <w:b/>
                <w:w w:val="95"/>
                <w:sz w:val="20"/>
              </w:rPr>
              <w:t>45,433.52</w:t>
            </w:r>
          </w:p>
        </w:tc>
        <w:tc>
          <w:tcPr>
            <w:tcW w:w="1559" w:type="dxa"/>
          </w:tcPr>
          <w:p w:rsidR="007C5447" w:rsidRDefault="00F6308C">
            <w:pPr>
              <w:pStyle w:val="TableParagraph"/>
              <w:spacing w:before="58"/>
              <w:ind w:right="87"/>
              <w:rPr>
                <w:b/>
                <w:sz w:val="20"/>
              </w:rPr>
            </w:pPr>
            <w:r>
              <w:rPr>
                <w:b/>
                <w:w w:val="95"/>
                <w:sz w:val="20"/>
              </w:rPr>
              <w:t>35,830.45</w:t>
            </w:r>
          </w:p>
        </w:tc>
      </w:tr>
      <w:tr w:rsidR="007C5447">
        <w:trPr>
          <w:trHeight w:val="347"/>
        </w:trPr>
        <w:tc>
          <w:tcPr>
            <w:tcW w:w="3120" w:type="dxa"/>
          </w:tcPr>
          <w:p w:rsidR="007C5447" w:rsidRDefault="00F6308C">
            <w:pPr>
              <w:pStyle w:val="TableParagraph"/>
              <w:spacing w:before="60"/>
              <w:ind w:left="107"/>
              <w:jc w:val="left"/>
              <w:rPr>
                <w:sz w:val="20"/>
              </w:rPr>
            </w:pPr>
            <w:r>
              <w:rPr>
                <w:sz w:val="20"/>
              </w:rPr>
              <w:t>Less: Other Income</w:t>
            </w:r>
          </w:p>
        </w:tc>
        <w:tc>
          <w:tcPr>
            <w:tcW w:w="1353" w:type="dxa"/>
          </w:tcPr>
          <w:p w:rsidR="007C5447" w:rsidRDefault="00F6308C">
            <w:pPr>
              <w:pStyle w:val="TableParagraph"/>
              <w:spacing w:before="60"/>
              <w:ind w:right="95"/>
              <w:rPr>
                <w:sz w:val="20"/>
              </w:rPr>
            </w:pPr>
            <w:r>
              <w:rPr>
                <w:sz w:val="20"/>
              </w:rPr>
              <w:t>141</w:t>
            </w:r>
          </w:p>
        </w:tc>
        <w:tc>
          <w:tcPr>
            <w:tcW w:w="1495" w:type="dxa"/>
          </w:tcPr>
          <w:p w:rsidR="007C5447" w:rsidRDefault="00F6308C">
            <w:pPr>
              <w:pStyle w:val="TableParagraph"/>
              <w:spacing w:before="60"/>
              <w:ind w:right="94"/>
              <w:rPr>
                <w:sz w:val="20"/>
              </w:rPr>
            </w:pPr>
            <w:r>
              <w:rPr>
                <w:w w:val="95"/>
                <w:sz w:val="20"/>
              </w:rPr>
              <w:t>144.13</w:t>
            </w:r>
          </w:p>
        </w:tc>
        <w:tc>
          <w:tcPr>
            <w:tcW w:w="1346" w:type="dxa"/>
          </w:tcPr>
          <w:p w:rsidR="007C5447" w:rsidRDefault="00F6308C">
            <w:pPr>
              <w:pStyle w:val="TableParagraph"/>
              <w:spacing w:before="60"/>
              <w:ind w:right="96"/>
              <w:rPr>
                <w:sz w:val="20"/>
              </w:rPr>
            </w:pPr>
            <w:r>
              <w:rPr>
                <w:w w:val="95"/>
                <w:sz w:val="20"/>
              </w:rPr>
              <w:t>148.20</w:t>
            </w:r>
          </w:p>
        </w:tc>
        <w:tc>
          <w:tcPr>
            <w:tcW w:w="1346" w:type="dxa"/>
          </w:tcPr>
          <w:p w:rsidR="007C5447" w:rsidRDefault="00F6308C">
            <w:pPr>
              <w:pStyle w:val="TableParagraph"/>
              <w:spacing w:before="60"/>
              <w:ind w:right="93"/>
              <w:rPr>
                <w:sz w:val="20"/>
              </w:rPr>
            </w:pPr>
            <w:r>
              <w:rPr>
                <w:w w:val="95"/>
                <w:sz w:val="20"/>
              </w:rPr>
              <w:t>197.00</w:t>
            </w:r>
          </w:p>
        </w:tc>
        <w:tc>
          <w:tcPr>
            <w:tcW w:w="1494" w:type="dxa"/>
          </w:tcPr>
          <w:p w:rsidR="007C5447" w:rsidRDefault="00F6308C">
            <w:pPr>
              <w:pStyle w:val="TableParagraph"/>
              <w:spacing w:before="60"/>
              <w:ind w:right="91"/>
              <w:rPr>
                <w:sz w:val="20"/>
              </w:rPr>
            </w:pPr>
            <w:r>
              <w:rPr>
                <w:w w:val="95"/>
                <w:sz w:val="20"/>
              </w:rPr>
              <w:t>196.41</w:t>
            </w:r>
          </w:p>
        </w:tc>
        <w:tc>
          <w:tcPr>
            <w:tcW w:w="1348" w:type="dxa"/>
          </w:tcPr>
          <w:p w:rsidR="007C5447" w:rsidRDefault="00F6308C">
            <w:pPr>
              <w:pStyle w:val="TableParagraph"/>
              <w:spacing w:before="60"/>
              <w:ind w:right="90"/>
              <w:rPr>
                <w:sz w:val="20"/>
              </w:rPr>
            </w:pPr>
            <w:r>
              <w:rPr>
                <w:w w:val="95"/>
                <w:sz w:val="20"/>
              </w:rPr>
              <w:t>201.76</w:t>
            </w:r>
          </w:p>
        </w:tc>
        <w:tc>
          <w:tcPr>
            <w:tcW w:w="1267" w:type="dxa"/>
          </w:tcPr>
          <w:p w:rsidR="007C5447" w:rsidRDefault="00F6308C">
            <w:pPr>
              <w:pStyle w:val="TableParagraph"/>
              <w:spacing w:before="60"/>
              <w:ind w:right="87"/>
              <w:rPr>
                <w:sz w:val="20"/>
              </w:rPr>
            </w:pPr>
            <w:r>
              <w:rPr>
                <w:w w:val="95"/>
                <w:sz w:val="20"/>
              </w:rPr>
              <w:t>264.00</w:t>
            </w:r>
          </w:p>
        </w:tc>
        <w:tc>
          <w:tcPr>
            <w:tcW w:w="1559" w:type="dxa"/>
          </w:tcPr>
          <w:p w:rsidR="007C5447" w:rsidRDefault="00F6308C">
            <w:pPr>
              <w:pStyle w:val="TableParagraph"/>
              <w:spacing w:before="60"/>
              <w:ind w:right="89"/>
              <w:rPr>
                <w:sz w:val="20"/>
              </w:rPr>
            </w:pPr>
            <w:r>
              <w:rPr>
                <w:w w:val="95"/>
                <w:sz w:val="20"/>
              </w:rPr>
              <w:t>229.61</w:t>
            </w:r>
          </w:p>
        </w:tc>
        <w:tc>
          <w:tcPr>
            <w:tcW w:w="1559" w:type="dxa"/>
          </w:tcPr>
          <w:p w:rsidR="007C5447" w:rsidRDefault="00F6308C">
            <w:pPr>
              <w:pStyle w:val="TableParagraph"/>
              <w:spacing w:before="60"/>
              <w:ind w:right="88"/>
              <w:rPr>
                <w:sz w:val="20"/>
              </w:rPr>
            </w:pPr>
            <w:r>
              <w:rPr>
                <w:w w:val="95"/>
                <w:sz w:val="20"/>
              </w:rPr>
              <w:t>233.54</w:t>
            </w:r>
          </w:p>
        </w:tc>
      </w:tr>
      <w:tr w:rsidR="007C5447">
        <w:trPr>
          <w:trHeight w:val="347"/>
        </w:trPr>
        <w:tc>
          <w:tcPr>
            <w:tcW w:w="3120" w:type="dxa"/>
          </w:tcPr>
          <w:p w:rsidR="007C5447" w:rsidRDefault="00F6308C">
            <w:pPr>
              <w:pStyle w:val="TableParagraph"/>
              <w:spacing w:before="60"/>
              <w:ind w:left="107"/>
              <w:jc w:val="left"/>
              <w:rPr>
                <w:sz w:val="20"/>
              </w:rPr>
            </w:pPr>
            <w:r>
              <w:rPr>
                <w:sz w:val="20"/>
              </w:rPr>
              <w:t>Less: Non-Tariff Income</w:t>
            </w:r>
          </w:p>
        </w:tc>
        <w:tc>
          <w:tcPr>
            <w:tcW w:w="1353" w:type="dxa"/>
          </w:tcPr>
          <w:p w:rsidR="007C5447" w:rsidRDefault="00F6308C">
            <w:pPr>
              <w:pStyle w:val="TableParagraph"/>
              <w:spacing w:before="60"/>
              <w:ind w:right="97"/>
              <w:rPr>
                <w:sz w:val="20"/>
              </w:rPr>
            </w:pPr>
            <w:r>
              <w:rPr>
                <w:w w:val="95"/>
                <w:sz w:val="20"/>
              </w:rPr>
              <w:t>553.00</w:t>
            </w:r>
          </w:p>
        </w:tc>
        <w:tc>
          <w:tcPr>
            <w:tcW w:w="1495" w:type="dxa"/>
          </w:tcPr>
          <w:p w:rsidR="007C5447" w:rsidRDefault="00F6308C">
            <w:pPr>
              <w:pStyle w:val="TableParagraph"/>
              <w:spacing w:before="60"/>
              <w:ind w:right="94"/>
              <w:rPr>
                <w:sz w:val="20"/>
              </w:rPr>
            </w:pPr>
            <w:r>
              <w:rPr>
                <w:w w:val="95"/>
                <w:sz w:val="20"/>
              </w:rPr>
              <w:t>553.00</w:t>
            </w:r>
          </w:p>
        </w:tc>
        <w:tc>
          <w:tcPr>
            <w:tcW w:w="1346" w:type="dxa"/>
          </w:tcPr>
          <w:p w:rsidR="007C5447" w:rsidRDefault="00F6308C">
            <w:pPr>
              <w:pStyle w:val="TableParagraph"/>
              <w:spacing w:before="60"/>
              <w:ind w:right="96"/>
              <w:rPr>
                <w:sz w:val="20"/>
              </w:rPr>
            </w:pPr>
            <w:r>
              <w:rPr>
                <w:w w:val="95"/>
                <w:sz w:val="20"/>
              </w:rPr>
              <w:t>553.01</w:t>
            </w:r>
          </w:p>
        </w:tc>
        <w:tc>
          <w:tcPr>
            <w:tcW w:w="1346" w:type="dxa"/>
          </w:tcPr>
          <w:p w:rsidR="007C5447" w:rsidRDefault="00F6308C">
            <w:pPr>
              <w:pStyle w:val="TableParagraph"/>
              <w:spacing w:before="60"/>
              <w:ind w:right="93"/>
              <w:rPr>
                <w:sz w:val="20"/>
              </w:rPr>
            </w:pPr>
            <w:r>
              <w:rPr>
                <w:w w:val="95"/>
                <w:sz w:val="20"/>
              </w:rPr>
              <w:t>936.00</w:t>
            </w:r>
          </w:p>
        </w:tc>
        <w:tc>
          <w:tcPr>
            <w:tcW w:w="1494" w:type="dxa"/>
          </w:tcPr>
          <w:p w:rsidR="007C5447" w:rsidRDefault="00F6308C">
            <w:pPr>
              <w:pStyle w:val="TableParagraph"/>
              <w:spacing w:before="60"/>
              <w:ind w:right="91"/>
              <w:rPr>
                <w:sz w:val="20"/>
              </w:rPr>
            </w:pPr>
            <w:r>
              <w:rPr>
                <w:w w:val="95"/>
                <w:sz w:val="20"/>
              </w:rPr>
              <w:t>935.80</w:t>
            </w:r>
          </w:p>
        </w:tc>
        <w:tc>
          <w:tcPr>
            <w:tcW w:w="1348" w:type="dxa"/>
          </w:tcPr>
          <w:p w:rsidR="007C5447" w:rsidRDefault="00F6308C">
            <w:pPr>
              <w:pStyle w:val="TableParagraph"/>
              <w:spacing w:before="60"/>
              <w:ind w:right="90"/>
              <w:rPr>
                <w:sz w:val="20"/>
              </w:rPr>
            </w:pPr>
            <w:r>
              <w:rPr>
                <w:w w:val="95"/>
                <w:sz w:val="20"/>
              </w:rPr>
              <w:t>935.81</w:t>
            </w:r>
          </w:p>
        </w:tc>
        <w:tc>
          <w:tcPr>
            <w:tcW w:w="1267" w:type="dxa"/>
          </w:tcPr>
          <w:p w:rsidR="007C5447" w:rsidRDefault="00F6308C">
            <w:pPr>
              <w:pStyle w:val="TableParagraph"/>
              <w:spacing w:before="60"/>
              <w:ind w:right="87"/>
              <w:rPr>
                <w:sz w:val="20"/>
              </w:rPr>
            </w:pPr>
            <w:r>
              <w:rPr>
                <w:w w:val="95"/>
                <w:sz w:val="20"/>
              </w:rPr>
              <w:t>822.00</w:t>
            </w:r>
          </w:p>
        </w:tc>
        <w:tc>
          <w:tcPr>
            <w:tcW w:w="1559" w:type="dxa"/>
          </w:tcPr>
          <w:p w:rsidR="007C5447" w:rsidRDefault="00F6308C">
            <w:pPr>
              <w:pStyle w:val="TableParagraph"/>
              <w:spacing w:before="60"/>
              <w:ind w:right="89"/>
              <w:rPr>
                <w:sz w:val="20"/>
              </w:rPr>
            </w:pPr>
            <w:r>
              <w:rPr>
                <w:w w:val="95"/>
                <w:sz w:val="20"/>
              </w:rPr>
              <w:t>822.16</w:t>
            </w:r>
          </w:p>
        </w:tc>
        <w:tc>
          <w:tcPr>
            <w:tcW w:w="1559" w:type="dxa"/>
          </w:tcPr>
          <w:p w:rsidR="007C5447" w:rsidRDefault="00F6308C">
            <w:pPr>
              <w:pStyle w:val="TableParagraph"/>
              <w:spacing w:before="60"/>
              <w:ind w:right="88"/>
              <w:rPr>
                <w:sz w:val="20"/>
              </w:rPr>
            </w:pPr>
            <w:r>
              <w:rPr>
                <w:w w:val="95"/>
                <w:sz w:val="20"/>
              </w:rPr>
              <w:t>822.32</w:t>
            </w:r>
          </w:p>
        </w:tc>
      </w:tr>
      <w:tr w:rsidR="007C5447">
        <w:trPr>
          <w:trHeight w:val="637"/>
        </w:trPr>
        <w:tc>
          <w:tcPr>
            <w:tcW w:w="3120" w:type="dxa"/>
          </w:tcPr>
          <w:p w:rsidR="007C5447" w:rsidRDefault="00F6308C">
            <w:pPr>
              <w:pStyle w:val="TableParagraph"/>
              <w:spacing w:before="89"/>
              <w:ind w:left="107"/>
              <w:jc w:val="left"/>
              <w:rPr>
                <w:sz w:val="20"/>
              </w:rPr>
            </w:pPr>
            <w:r>
              <w:rPr>
                <w:sz w:val="20"/>
              </w:rPr>
              <w:t>Add: Net Prior Period Expense</w:t>
            </w:r>
          </w:p>
          <w:p w:rsidR="007C5447" w:rsidRDefault="00F6308C">
            <w:pPr>
              <w:pStyle w:val="TableParagraph"/>
              <w:ind w:left="107"/>
              <w:jc w:val="left"/>
              <w:rPr>
                <w:sz w:val="20"/>
              </w:rPr>
            </w:pPr>
            <w:r>
              <w:rPr>
                <w:sz w:val="20"/>
              </w:rPr>
              <w:t>/(Income)</w:t>
            </w:r>
          </w:p>
        </w:tc>
        <w:tc>
          <w:tcPr>
            <w:tcW w:w="1353" w:type="dxa"/>
          </w:tcPr>
          <w:p w:rsidR="007C5447" w:rsidRDefault="007C5447">
            <w:pPr>
              <w:pStyle w:val="TableParagraph"/>
              <w:spacing w:before="8"/>
              <w:jc w:val="left"/>
              <w:rPr>
                <w:b/>
                <w:sz w:val="17"/>
              </w:rPr>
            </w:pPr>
          </w:p>
          <w:p w:rsidR="007C5447" w:rsidRDefault="00F6308C">
            <w:pPr>
              <w:pStyle w:val="TableParagraph"/>
              <w:ind w:right="98"/>
              <w:rPr>
                <w:sz w:val="20"/>
              </w:rPr>
            </w:pPr>
            <w:r>
              <w:rPr>
                <w:w w:val="99"/>
                <w:sz w:val="20"/>
              </w:rPr>
              <w:t>-</w:t>
            </w:r>
          </w:p>
        </w:tc>
        <w:tc>
          <w:tcPr>
            <w:tcW w:w="1495" w:type="dxa"/>
          </w:tcPr>
          <w:p w:rsidR="007C5447" w:rsidRDefault="007C5447">
            <w:pPr>
              <w:pStyle w:val="TableParagraph"/>
              <w:spacing w:before="8"/>
              <w:jc w:val="left"/>
              <w:rPr>
                <w:b/>
                <w:sz w:val="17"/>
              </w:rPr>
            </w:pPr>
          </w:p>
          <w:p w:rsidR="007C5447" w:rsidRDefault="00F6308C">
            <w:pPr>
              <w:pStyle w:val="TableParagraph"/>
              <w:ind w:right="94"/>
              <w:rPr>
                <w:sz w:val="20"/>
              </w:rPr>
            </w:pPr>
            <w:r>
              <w:rPr>
                <w:w w:val="95"/>
                <w:sz w:val="20"/>
              </w:rPr>
              <w:t>583.84</w:t>
            </w:r>
          </w:p>
        </w:tc>
        <w:tc>
          <w:tcPr>
            <w:tcW w:w="1346" w:type="dxa"/>
          </w:tcPr>
          <w:p w:rsidR="007C5447" w:rsidRDefault="007C5447">
            <w:pPr>
              <w:pStyle w:val="TableParagraph"/>
              <w:spacing w:before="8"/>
              <w:jc w:val="left"/>
              <w:rPr>
                <w:b/>
                <w:sz w:val="17"/>
              </w:rPr>
            </w:pPr>
          </w:p>
          <w:p w:rsidR="007C5447" w:rsidRDefault="00F6308C">
            <w:pPr>
              <w:pStyle w:val="TableParagraph"/>
              <w:ind w:right="96"/>
              <w:rPr>
                <w:sz w:val="20"/>
              </w:rPr>
            </w:pPr>
            <w:r>
              <w:rPr>
                <w:sz w:val="20"/>
              </w:rPr>
              <w:t>(859.10)</w:t>
            </w:r>
          </w:p>
        </w:tc>
        <w:tc>
          <w:tcPr>
            <w:tcW w:w="1346" w:type="dxa"/>
          </w:tcPr>
          <w:p w:rsidR="007C5447" w:rsidRDefault="007C5447">
            <w:pPr>
              <w:pStyle w:val="TableParagraph"/>
              <w:spacing w:before="8"/>
              <w:jc w:val="left"/>
              <w:rPr>
                <w:b/>
                <w:sz w:val="17"/>
              </w:rPr>
            </w:pPr>
          </w:p>
          <w:p w:rsidR="007C5447" w:rsidRDefault="00F6308C">
            <w:pPr>
              <w:pStyle w:val="TableParagraph"/>
              <w:ind w:right="94"/>
              <w:rPr>
                <w:sz w:val="20"/>
              </w:rPr>
            </w:pPr>
            <w:r>
              <w:rPr>
                <w:w w:val="99"/>
                <w:sz w:val="20"/>
              </w:rPr>
              <w:t>-</w:t>
            </w:r>
          </w:p>
        </w:tc>
        <w:tc>
          <w:tcPr>
            <w:tcW w:w="1494" w:type="dxa"/>
          </w:tcPr>
          <w:p w:rsidR="007C5447" w:rsidRDefault="007C5447">
            <w:pPr>
              <w:pStyle w:val="TableParagraph"/>
              <w:spacing w:before="8"/>
              <w:jc w:val="left"/>
              <w:rPr>
                <w:b/>
                <w:sz w:val="17"/>
              </w:rPr>
            </w:pPr>
          </w:p>
          <w:p w:rsidR="007C5447" w:rsidRDefault="00F6308C">
            <w:pPr>
              <w:pStyle w:val="TableParagraph"/>
              <w:ind w:right="92"/>
              <w:rPr>
                <w:sz w:val="20"/>
              </w:rPr>
            </w:pPr>
            <w:r>
              <w:rPr>
                <w:w w:val="95"/>
                <w:sz w:val="20"/>
              </w:rPr>
              <w:t>1,695.80</w:t>
            </w:r>
          </w:p>
        </w:tc>
        <w:tc>
          <w:tcPr>
            <w:tcW w:w="1348" w:type="dxa"/>
          </w:tcPr>
          <w:p w:rsidR="007C5447" w:rsidRDefault="007C5447">
            <w:pPr>
              <w:pStyle w:val="TableParagraph"/>
              <w:spacing w:before="8"/>
              <w:jc w:val="left"/>
              <w:rPr>
                <w:b/>
                <w:sz w:val="17"/>
              </w:rPr>
            </w:pPr>
          </w:p>
          <w:p w:rsidR="007C5447" w:rsidRDefault="00F6308C">
            <w:pPr>
              <w:pStyle w:val="TableParagraph"/>
              <w:ind w:right="90"/>
              <w:rPr>
                <w:sz w:val="20"/>
              </w:rPr>
            </w:pPr>
            <w:r>
              <w:rPr>
                <w:sz w:val="20"/>
              </w:rPr>
              <w:t>81.54</w:t>
            </w:r>
          </w:p>
        </w:tc>
        <w:tc>
          <w:tcPr>
            <w:tcW w:w="1267" w:type="dxa"/>
          </w:tcPr>
          <w:p w:rsidR="007C5447" w:rsidRDefault="007C5447">
            <w:pPr>
              <w:pStyle w:val="TableParagraph"/>
              <w:spacing w:before="8"/>
              <w:jc w:val="left"/>
              <w:rPr>
                <w:b/>
                <w:sz w:val="17"/>
              </w:rPr>
            </w:pPr>
          </w:p>
          <w:p w:rsidR="007C5447" w:rsidRDefault="00F6308C">
            <w:pPr>
              <w:pStyle w:val="TableParagraph"/>
              <w:ind w:right="88"/>
              <w:rPr>
                <w:sz w:val="20"/>
              </w:rPr>
            </w:pPr>
            <w:r>
              <w:rPr>
                <w:w w:val="99"/>
                <w:sz w:val="20"/>
              </w:rPr>
              <w:t>-</w:t>
            </w:r>
          </w:p>
        </w:tc>
        <w:tc>
          <w:tcPr>
            <w:tcW w:w="1559" w:type="dxa"/>
          </w:tcPr>
          <w:p w:rsidR="007C5447" w:rsidRDefault="007C5447">
            <w:pPr>
              <w:pStyle w:val="TableParagraph"/>
              <w:spacing w:before="8"/>
              <w:jc w:val="left"/>
              <w:rPr>
                <w:b/>
                <w:sz w:val="17"/>
              </w:rPr>
            </w:pPr>
          </w:p>
          <w:p w:rsidR="007C5447" w:rsidRDefault="00F6308C">
            <w:pPr>
              <w:pStyle w:val="TableParagraph"/>
              <w:ind w:right="89"/>
              <w:rPr>
                <w:sz w:val="20"/>
              </w:rPr>
            </w:pPr>
            <w:r>
              <w:rPr>
                <w:sz w:val="20"/>
              </w:rPr>
              <w:t>(284.26)</w:t>
            </w:r>
          </w:p>
        </w:tc>
        <w:tc>
          <w:tcPr>
            <w:tcW w:w="1559" w:type="dxa"/>
          </w:tcPr>
          <w:p w:rsidR="007C5447" w:rsidRDefault="007C5447">
            <w:pPr>
              <w:pStyle w:val="TableParagraph"/>
              <w:spacing w:before="8"/>
              <w:jc w:val="left"/>
              <w:rPr>
                <w:b/>
                <w:sz w:val="17"/>
              </w:rPr>
            </w:pPr>
          </w:p>
          <w:p w:rsidR="007C5447" w:rsidRDefault="00F6308C">
            <w:pPr>
              <w:pStyle w:val="TableParagraph"/>
              <w:ind w:right="87"/>
              <w:rPr>
                <w:sz w:val="20"/>
              </w:rPr>
            </w:pPr>
            <w:r>
              <w:rPr>
                <w:w w:val="95"/>
                <w:sz w:val="20"/>
              </w:rPr>
              <w:t>(52.84)</w:t>
            </w:r>
          </w:p>
        </w:tc>
      </w:tr>
      <w:tr w:rsidR="007C5447">
        <w:trPr>
          <w:trHeight w:val="638"/>
        </w:trPr>
        <w:tc>
          <w:tcPr>
            <w:tcW w:w="3120" w:type="dxa"/>
          </w:tcPr>
          <w:p w:rsidR="007C5447" w:rsidRDefault="00F6308C">
            <w:pPr>
              <w:pStyle w:val="TableParagraph"/>
              <w:spacing w:before="89"/>
              <w:ind w:left="107" w:right="83"/>
              <w:jc w:val="left"/>
              <w:rPr>
                <w:sz w:val="20"/>
              </w:rPr>
            </w:pPr>
            <w:r>
              <w:rPr>
                <w:sz w:val="20"/>
              </w:rPr>
              <w:t>Less: Cap. cost of generation during trial stage</w:t>
            </w:r>
          </w:p>
        </w:tc>
        <w:tc>
          <w:tcPr>
            <w:tcW w:w="1353" w:type="dxa"/>
          </w:tcPr>
          <w:p w:rsidR="007C5447" w:rsidRDefault="007C5447">
            <w:pPr>
              <w:pStyle w:val="TableParagraph"/>
              <w:jc w:val="left"/>
              <w:rPr>
                <w:sz w:val="20"/>
              </w:rPr>
            </w:pPr>
          </w:p>
        </w:tc>
        <w:tc>
          <w:tcPr>
            <w:tcW w:w="1495" w:type="dxa"/>
          </w:tcPr>
          <w:p w:rsidR="007C5447" w:rsidRDefault="007C5447">
            <w:pPr>
              <w:pStyle w:val="TableParagraph"/>
              <w:jc w:val="left"/>
              <w:rPr>
                <w:sz w:val="20"/>
              </w:rPr>
            </w:pPr>
          </w:p>
        </w:tc>
        <w:tc>
          <w:tcPr>
            <w:tcW w:w="1346" w:type="dxa"/>
          </w:tcPr>
          <w:p w:rsidR="007C5447" w:rsidRDefault="007C5447">
            <w:pPr>
              <w:pStyle w:val="TableParagraph"/>
              <w:jc w:val="left"/>
              <w:rPr>
                <w:sz w:val="20"/>
              </w:rPr>
            </w:pPr>
          </w:p>
        </w:tc>
        <w:tc>
          <w:tcPr>
            <w:tcW w:w="1346" w:type="dxa"/>
          </w:tcPr>
          <w:p w:rsidR="007C5447" w:rsidRDefault="007C5447">
            <w:pPr>
              <w:pStyle w:val="TableParagraph"/>
              <w:jc w:val="left"/>
              <w:rPr>
                <w:sz w:val="20"/>
              </w:rPr>
            </w:pPr>
          </w:p>
        </w:tc>
        <w:tc>
          <w:tcPr>
            <w:tcW w:w="1494" w:type="dxa"/>
          </w:tcPr>
          <w:p w:rsidR="007C5447" w:rsidRDefault="007C5447">
            <w:pPr>
              <w:pStyle w:val="TableParagraph"/>
              <w:jc w:val="left"/>
              <w:rPr>
                <w:sz w:val="20"/>
              </w:rPr>
            </w:pPr>
          </w:p>
        </w:tc>
        <w:tc>
          <w:tcPr>
            <w:tcW w:w="1348" w:type="dxa"/>
          </w:tcPr>
          <w:p w:rsidR="007C5447" w:rsidRDefault="007C5447">
            <w:pPr>
              <w:pStyle w:val="TableParagraph"/>
              <w:jc w:val="left"/>
              <w:rPr>
                <w:sz w:val="20"/>
              </w:rPr>
            </w:pPr>
          </w:p>
        </w:tc>
        <w:tc>
          <w:tcPr>
            <w:tcW w:w="1267" w:type="dxa"/>
          </w:tcPr>
          <w:p w:rsidR="007C5447" w:rsidRDefault="007C5447">
            <w:pPr>
              <w:pStyle w:val="TableParagraph"/>
              <w:jc w:val="left"/>
              <w:rPr>
                <w:sz w:val="20"/>
              </w:rPr>
            </w:pPr>
          </w:p>
        </w:tc>
        <w:tc>
          <w:tcPr>
            <w:tcW w:w="1559" w:type="dxa"/>
          </w:tcPr>
          <w:p w:rsidR="007C5447" w:rsidRDefault="007C5447">
            <w:pPr>
              <w:pStyle w:val="TableParagraph"/>
              <w:spacing w:before="9"/>
              <w:jc w:val="left"/>
              <w:rPr>
                <w:b/>
                <w:sz w:val="17"/>
              </w:rPr>
            </w:pPr>
          </w:p>
          <w:p w:rsidR="007C5447" w:rsidRDefault="00F6308C">
            <w:pPr>
              <w:pStyle w:val="TableParagraph"/>
              <w:ind w:right="89"/>
              <w:rPr>
                <w:sz w:val="20"/>
              </w:rPr>
            </w:pPr>
            <w:r>
              <w:rPr>
                <w:w w:val="95"/>
                <w:sz w:val="20"/>
              </w:rPr>
              <w:t>(1,042.80)</w:t>
            </w:r>
          </w:p>
        </w:tc>
        <w:tc>
          <w:tcPr>
            <w:tcW w:w="1559" w:type="dxa"/>
          </w:tcPr>
          <w:p w:rsidR="007C5447" w:rsidRDefault="007C5447">
            <w:pPr>
              <w:pStyle w:val="TableParagraph"/>
              <w:spacing w:before="9"/>
              <w:jc w:val="left"/>
              <w:rPr>
                <w:b/>
                <w:sz w:val="17"/>
              </w:rPr>
            </w:pPr>
          </w:p>
          <w:p w:rsidR="007C5447" w:rsidRDefault="00F6308C">
            <w:pPr>
              <w:pStyle w:val="TableParagraph"/>
              <w:ind w:right="88"/>
              <w:rPr>
                <w:sz w:val="20"/>
              </w:rPr>
            </w:pPr>
            <w:r>
              <w:rPr>
                <w:w w:val="99"/>
                <w:sz w:val="20"/>
              </w:rPr>
              <w:t>-</w:t>
            </w:r>
          </w:p>
        </w:tc>
      </w:tr>
      <w:tr w:rsidR="007C5447">
        <w:trPr>
          <w:trHeight w:val="386"/>
        </w:trPr>
        <w:tc>
          <w:tcPr>
            <w:tcW w:w="3120" w:type="dxa"/>
          </w:tcPr>
          <w:p w:rsidR="007C5447" w:rsidRDefault="00F6308C">
            <w:pPr>
              <w:pStyle w:val="TableParagraph"/>
              <w:spacing w:before="77"/>
              <w:ind w:left="107"/>
              <w:jc w:val="left"/>
              <w:rPr>
                <w:b/>
                <w:sz w:val="20"/>
              </w:rPr>
            </w:pPr>
            <w:r>
              <w:rPr>
                <w:b/>
                <w:sz w:val="20"/>
              </w:rPr>
              <w:t>Net ARR</w:t>
            </w:r>
          </w:p>
        </w:tc>
        <w:tc>
          <w:tcPr>
            <w:tcW w:w="1353" w:type="dxa"/>
          </w:tcPr>
          <w:p w:rsidR="007C5447" w:rsidRDefault="00F6308C">
            <w:pPr>
              <w:pStyle w:val="TableParagraph"/>
              <w:spacing w:before="77"/>
              <w:ind w:right="97"/>
              <w:rPr>
                <w:b/>
                <w:sz w:val="20"/>
              </w:rPr>
            </w:pPr>
            <w:r>
              <w:rPr>
                <w:b/>
                <w:w w:val="95"/>
                <w:sz w:val="20"/>
              </w:rPr>
              <w:t>27,872.93</w:t>
            </w:r>
          </w:p>
        </w:tc>
        <w:tc>
          <w:tcPr>
            <w:tcW w:w="1495" w:type="dxa"/>
          </w:tcPr>
          <w:p w:rsidR="007C5447" w:rsidRDefault="00F6308C">
            <w:pPr>
              <w:pStyle w:val="TableParagraph"/>
              <w:spacing w:before="77"/>
              <w:ind w:right="94"/>
              <w:rPr>
                <w:b/>
                <w:sz w:val="20"/>
              </w:rPr>
            </w:pPr>
            <w:r>
              <w:rPr>
                <w:b/>
                <w:w w:val="95"/>
                <w:sz w:val="20"/>
              </w:rPr>
              <w:t>33,188.78</w:t>
            </w:r>
          </w:p>
        </w:tc>
        <w:tc>
          <w:tcPr>
            <w:tcW w:w="1346" w:type="dxa"/>
          </w:tcPr>
          <w:p w:rsidR="007C5447" w:rsidRDefault="00F6308C">
            <w:pPr>
              <w:pStyle w:val="TableParagraph"/>
              <w:spacing w:before="77"/>
              <w:ind w:right="96"/>
              <w:rPr>
                <w:b/>
                <w:sz w:val="20"/>
              </w:rPr>
            </w:pPr>
            <w:r>
              <w:rPr>
                <w:b/>
                <w:w w:val="95"/>
                <w:sz w:val="20"/>
              </w:rPr>
              <w:t>26,468.75</w:t>
            </w:r>
          </w:p>
        </w:tc>
        <w:tc>
          <w:tcPr>
            <w:tcW w:w="1346" w:type="dxa"/>
          </w:tcPr>
          <w:p w:rsidR="007C5447" w:rsidRDefault="00F6308C">
            <w:pPr>
              <w:pStyle w:val="TableParagraph"/>
              <w:spacing w:before="77"/>
              <w:ind w:right="93"/>
              <w:rPr>
                <w:b/>
                <w:sz w:val="20"/>
              </w:rPr>
            </w:pPr>
            <w:r>
              <w:rPr>
                <w:b/>
                <w:w w:val="95"/>
                <w:sz w:val="20"/>
              </w:rPr>
              <w:t>29,850.79</w:t>
            </w:r>
          </w:p>
        </w:tc>
        <w:tc>
          <w:tcPr>
            <w:tcW w:w="1494" w:type="dxa"/>
          </w:tcPr>
          <w:p w:rsidR="007C5447" w:rsidRDefault="00F6308C">
            <w:pPr>
              <w:pStyle w:val="TableParagraph"/>
              <w:spacing w:before="77"/>
              <w:ind w:right="92"/>
              <w:rPr>
                <w:b/>
                <w:sz w:val="20"/>
              </w:rPr>
            </w:pPr>
            <w:r>
              <w:rPr>
                <w:b/>
                <w:w w:val="95"/>
                <w:sz w:val="20"/>
              </w:rPr>
              <w:t>37,462.54</w:t>
            </w:r>
          </w:p>
        </w:tc>
        <w:tc>
          <w:tcPr>
            <w:tcW w:w="1348" w:type="dxa"/>
          </w:tcPr>
          <w:p w:rsidR="007C5447" w:rsidRDefault="00F6308C">
            <w:pPr>
              <w:pStyle w:val="TableParagraph"/>
              <w:spacing w:before="77"/>
              <w:ind w:right="90"/>
              <w:rPr>
                <w:b/>
                <w:sz w:val="20"/>
              </w:rPr>
            </w:pPr>
            <w:r>
              <w:rPr>
                <w:b/>
                <w:w w:val="95"/>
                <w:sz w:val="20"/>
              </w:rPr>
              <w:t>28,292.35</w:t>
            </w:r>
          </w:p>
        </w:tc>
        <w:tc>
          <w:tcPr>
            <w:tcW w:w="1267" w:type="dxa"/>
          </w:tcPr>
          <w:p w:rsidR="007C5447" w:rsidRDefault="00F6308C">
            <w:pPr>
              <w:pStyle w:val="TableParagraph"/>
              <w:spacing w:before="77"/>
              <w:ind w:right="88"/>
              <w:rPr>
                <w:b/>
                <w:sz w:val="20"/>
              </w:rPr>
            </w:pPr>
            <w:r>
              <w:rPr>
                <w:b/>
                <w:w w:val="95"/>
                <w:sz w:val="20"/>
              </w:rPr>
              <w:t>33,682.65</w:t>
            </w:r>
          </w:p>
        </w:tc>
        <w:tc>
          <w:tcPr>
            <w:tcW w:w="1559" w:type="dxa"/>
          </w:tcPr>
          <w:p w:rsidR="007C5447" w:rsidRDefault="00F6308C">
            <w:pPr>
              <w:pStyle w:val="TableParagraph"/>
              <w:spacing w:before="77"/>
              <w:ind w:right="89"/>
              <w:rPr>
                <w:b/>
                <w:sz w:val="20"/>
              </w:rPr>
            </w:pPr>
            <w:r>
              <w:rPr>
                <w:b/>
                <w:w w:val="95"/>
                <w:sz w:val="20"/>
              </w:rPr>
              <w:t>43,054.69</w:t>
            </w:r>
          </w:p>
        </w:tc>
        <w:tc>
          <w:tcPr>
            <w:tcW w:w="1559" w:type="dxa"/>
          </w:tcPr>
          <w:p w:rsidR="007C5447" w:rsidRDefault="00F6308C">
            <w:pPr>
              <w:pStyle w:val="TableParagraph"/>
              <w:spacing w:before="77"/>
              <w:ind w:right="87"/>
              <w:rPr>
                <w:b/>
                <w:sz w:val="20"/>
              </w:rPr>
            </w:pPr>
            <w:r>
              <w:rPr>
                <w:b/>
                <w:w w:val="95"/>
                <w:sz w:val="20"/>
              </w:rPr>
              <w:t>34,721.75</w:t>
            </w:r>
          </w:p>
        </w:tc>
      </w:tr>
    </w:tbl>
    <w:p w:rsidR="007C5447" w:rsidRDefault="007C5447">
      <w:pPr>
        <w:rPr>
          <w:sz w:val="20"/>
        </w:rPr>
        <w:sectPr w:rsidR="007C5447">
          <w:footerReference w:type="default" r:id="rId40"/>
          <w:pgSz w:w="16840" w:h="11910" w:orient="landscape"/>
          <w:pgMar w:top="1100" w:right="380" w:bottom="1240" w:left="340" w:header="0" w:footer="1057" w:gutter="0"/>
          <w:pgNumType w:start="179"/>
          <w:cols w:space="720"/>
        </w:sect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F6308C">
      <w:pPr>
        <w:spacing w:before="214"/>
        <w:ind w:left="3370"/>
        <w:rPr>
          <w:b/>
        </w:rPr>
      </w:pPr>
      <w:r>
        <w:rPr>
          <w:b/>
        </w:rPr>
        <w:t>Table 3-72: Summary of ARR approved by the Commission after true-up for FY 2014-15 to FY 2015-16 (Rs. Crore)</w:t>
      </w:r>
    </w:p>
    <w:p w:rsidR="007C5447" w:rsidRDefault="007C5447">
      <w:pPr>
        <w:pStyle w:val="BodyText"/>
        <w:spacing w:before="10"/>
        <w:rPr>
          <w:b/>
          <w:sz w:val="16"/>
        </w:rPr>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84"/>
        <w:gridCol w:w="1814"/>
        <w:gridCol w:w="1776"/>
        <w:gridCol w:w="1641"/>
        <w:gridCol w:w="1814"/>
        <w:gridCol w:w="1775"/>
        <w:gridCol w:w="1648"/>
      </w:tblGrid>
      <w:tr w:rsidR="007C5447">
        <w:trPr>
          <w:trHeight w:val="347"/>
        </w:trPr>
        <w:tc>
          <w:tcPr>
            <w:tcW w:w="4184" w:type="dxa"/>
            <w:vMerge w:val="restart"/>
            <w:shd w:val="clear" w:color="auto" w:fill="F7C9AC"/>
          </w:tcPr>
          <w:p w:rsidR="007C5447" w:rsidRDefault="007C5447">
            <w:pPr>
              <w:pStyle w:val="TableParagraph"/>
              <w:spacing w:before="10"/>
              <w:jc w:val="left"/>
              <w:rPr>
                <w:b/>
                <w:sz w:val="26"/>
              </w:rPr>
            </w:pPr>
          </w:p>
          <w:p w:rsidR="007C5447" w:rsidRDefault="00F6308C">
            <w:pPr>
              <w:pStyle w:val="TableParagraph"/>
              <w:spacing w:before="1"/>
              <w:ind w:left="1777" w:right="1767"/>
              <w:jc w:val="center"/>
              <w:rPr>
                <w:b/>
                <w:sz w:val="20"/>
              </w:rPr>
            </w:pPr>
            <w:r>
              <w:rPr>
                <w:b/>
                <w:sz w:val="20"/>
              </w:rPr>
              <w:t>Details</w:t>
            </w:r>
          </w:p>
        </w:tc>
        <w:tc>
          <w:tcPr>
            <w:tcW w:w="5231" w:type="dxa"/>
            <w:gridSpan w:val="3"/>
            <w:shd w:val="clear" w:color="auto" w:fill="F7C9AC"/>
          </w:tcPr>
          <w:p w:rsidR="007C5447" w:rsidRDefault="00F6308C">
            <w:pPr>
              <w:pStyle w:val="TableParagraph"/>
              <w:spacing w:before="58"/>
              <w:ind w:left="2105" w:right="2092"/>
              <w:jc w:val="center"/>
              <w:rPr>
                <w:b/>
                <w:sz w:val="20"/>
              </w:rPr>
            </w:pPr>
            <w:r>
              <w:rPr>
                <w:b/>
                <w:sz w:val="20"/>
              </w:rPr>
              <w:t>FY 2014-15</w:t>
            </w:r>
          </w:p>
        </w:tc>
        <w:tc>
          <w:tcPr>
            <w:tcW w:w="5237" w:type="dxa"/>
            <w:gridSpan w:val="3"/>
            <w:shd w:val="clear" w:color="auto" w:fill="F7C9AC"/>
          </w:tcPr>
          <w:p w:rsidR="007C5447" w:rsidRDefault="00F6308C">
            <w:pPr>
              <w:pStyle w:val="TableParagraph"/>
              <w:spacing w:before="58"/>
              <w:ind w:left="2109" w:right="2093"/>
              <w:jc w:val="center"/>
              <w:rPr>
                <w:b/>
                <w:sz w:val="20"/>
              </w:rPr>
            </w:pPr>
            <w:r>
              <w:rPr>
                <w:b/>
                <w:sz w:val="20"/>
              </w:rPr>
              <w:t>FY 2015-16</w:t>
            </w:r>
          </w:p>
        </w:tc>
      </w:tr>
      <w:tr w:rsidR="007C5447">
        <w:trPr>
          <w:trHeight w:val="489"/>
        </w:trPr>
        <w:tc>
          <w:tcPr>
            <w:tcW w:w="4184" w:type="dxa"/>
            <w:vMerge/>
            <w:tcBorders>
              <w:top w:val="nil"/>
            </w:tcBorders>
            <w:shd w:val="clear" w:color="auto" w:fill="F7C9AC"/>
          </w:tcPr>
          <w:p w:rsidR="007C5447" w:rsidRDefault="007C5447">
            <w:pPr>
              <w:rPr>
                <w:sz w:val="2"/>
                <w:szCs w:val="2"/>
              </w:rPr>
            </w:pPr>
          </w:p>
        </w:tc>
        <w:tc>
          <w:tcPr>
            <w:tcW w:w="1814" w:type="dxa"/>
            <w:shd w:val="clear" w:color="auto" w:fill="F7C9AC"/>
          </w:tcPr>
          <w:p w:rsidR="007C5447" w:rsidRDefault="00F6308C">
            <w:pPr>
              <w:pStyle w:val="TableParagraph"/>
              <w:spacing w:before="130"/>
              <w:ind w:left="398"/>
              <w:jc w:val="left"/>
              <w:rPr>
                <w:b/>
                <w:sz w:val="20"/>
              </w:rPr>
            </w:pPr>
            <w:r>
              <w:rPr>
                <w:b/>
                <w:sz w:val="20"/>
              </w:rPr>
              <w:t>SMT Order</w:t>
            </w:r>
          </w:p>
        </w:tc>
        <w:tc>
          <w:tcPr>
            <w:tcW w:w="1776" w:type="dxa"/>
            <w:shd w:val="clear" w:color="auto" w:fill="F7C9AC"/>
          </w:tcPr>
          <w:p w:rsidR="007C5447" w:rsidRDefault="00F6308C">
            <w:pPr>
              <w:pStyle w:val="TableParagraph"/>
              <w:spacing w:before="130"/>
              <w:ind w:left="310"/>
              <w:jc w:val="left"/>
              <w:rPr>
                <w:b/>
                <w:sz w:val="20"/>
              </w:rPr>
            </w:pPr>
            <w:r>
              <w:rPr>
                <w:b/>
                <w:sz w:val="20"/>
              </w:rPr>
              <w:t>TANGEDCO</w:t>
            </w:r>
          </w:p>
        </w:tc>
        <w:tc>
          <w:tcPr>
            <w:tcW w:w="1641" w:type="dxa"/>
            <w:shd w:val="clear" w:color="auto" w:fill="F7C9AC"/>
          </w:tcPr>
          <w:p w:rsidR="007C5447" w:rsidRDefault="00F6308C">
            <w:pPr>
              <w:pStyle w:val="TableParagraph"/>
              <w:spacing w:before="14" w:line="230" w:lineRule="atLeast"/>
              <w:ind w:left="507" w:right="133" w:hanging="346"/>
              <w:jc w:val="left"/>
              <w:rPr>
                <w:b/>
                <w:sz w:val="20"/>
              </w:rPr>
            </w:pPr>
            <w:r>
              <w:rPr>
                <w:b/>
                <w:sz w:val="20"/>
              </w:rPr>
              <w:t>Approved after true up</w:t>
            </w:r>
          </w:p>
        </w:tc>
        <w:tc>
          <w:tcPr>
            <w:tcW w:w="1814" w:type="dxa"/>
            <w:shd w:val="clear" w:color="auto" w:fill="F7C9AC"/>
          </w:tcPr>
          <w:p w:rsidR="007C5447" w:rsidRDefault="00F6308C">
            <w:pPr>
              <w:pStyle w:val="TableParagraph"/>
              <w:spacing w:before="130"/>
              <w:ind w:left="539"/>
              <w:jc w:val="left"/>
              <w:rPr>
                <w:b/>
                <w:sz w:val="20"/>
              </w:rPr>
            </w:pPr>
            <w:r>
              <w:rPr>
                <w:b/>
                <w:sz w:val="20"/>
              </w:rPr>
              <w:t>2013 TO</w:t>
            </w:r>
          </w:p>
        </w:tc>
        <w:tc>
          <w:tcPr>
            <w:tcW w:w="1775" w:type="dxa"/>
            <w:shd w:val="clear" w:color="auto" w:fill="F7C9AC"/>
          </w:tcPr>
          <w:p w:rsidR="007C5447" w:rsidRDefault="00F6308C">
            <w:pPr>
              <w:pStyle w:val="TableParagraph"/>
              <w:spacing w:before="130"/>
              <w:ind w:left="311"/>
              <w:jc w:val="left"/>
              <w:rPr>
                <w:b/>
                <w:sz w:val="20"/>
              </w:rPr>
            </w:pPr>
            <w:r>
              <w:rPr>
                <w:b/>
                <w:sz w:val="20"/>
              </w:rPr>
              <w:t>TANGEDCO</w:t>
            </w:r>
          </w:p>
        </w:tc>
        <w:tc>
          <w:tcPr>
            <w:tcW w:w="1648" w:type="dxa"/>
            <w:shd w:val="clear" w:color="auto" w:fill="F7C9AC"/>
          </w:tcPr>
          <w:p w:rsidR="007C5447" w:rsidRDefault="00F6308C">
            <w:pPr>
              <w:pStyle w:val="TableParagraph"/>
              <w:spacing w:before="14" w:line="230" w:lineRule="atLeast"/>
              <w:ind w:left="512" w:right="133" w:hanging="344"/>
              <w:jc w:val="left"/>
              <w:rPr>
                <w:b/>
                <w:sz w:val="20"/>
              </w:rPr>
            </w:pPr>
            <w:r>
              <w:rPr>
                <w:b/>
                <w:sz w:val="20"/>
              </w:rPr>
              <w:t>Approved after true up</w:t>
            </w:r>
          </w:p>
        </w:tc>
      </w:tr>
      <w:tr w:rsidR="007C5447">
        <w:trPr>
          <w:trHeight w:val="347"/>
        </w:trPr>
        <w:tc>
          <w:tcPr>
            <w:tcW w:w="4184" w:type="dxa"/>
          </w:tcPr>
          <w:p w:rsidR="007C5447" w:rsidRDefault="00F6308C">
            <w:pPr>
              <w:pStyle w:val="TableParagraph"/>
              <w:spacing w:before="58"/>
              <w:ind w:left="107"/>
              <w:jc w:val="left"/>
              <w:rPr>
                <w:sz w:val="20"/>
              </w:rPr>
            </w:pPr>
            <w:r>
              <w:rPr>
                <w:sz w:val="20"/>
              </w:rPr>
              <w:t>Power Purchase Expenses (incl. Trans. Charges)</w:t>
            </w:r>
          </w:p>
        </w:tc>
        <w:tc>
          <w:tcPr>
            <w:tcW w:w="1814" w:type="dxa"/>
          </w:tcPr>
          <w:p w:rsidR="007C5447" w:rsidRDefault="00F6308C">
            <w:pPr>
              <w:pStyle w:val="TableParagraph"/>
              <w:spacing w:before="58"/>
              <w:ind w:right="96"/>
              <w:rPr>
                <w:sz w:val="20"/>
              </w:rPr>
            </w:pPr>
            <w:r>
              <w:rPr>
                <w:w w:val="95"/>
                <w:sz w:val="20"/>
              </w:rPr>
              <w:t>31,618.73</w:t>
            </w:r>
          </w:p>
        </w:tc>
        <w:tc>
          <w:tcPr>
            <w:tcW w:w="1776" w:type="dxa"/>
          </w:tcPr>
          <w:p w:rsidR="007C5447" w:rsidRDefault="00F6308C">
            <w:pPr>
              <w:pStyle w:val="TableParagraph"/>
              <w:spacing w:before="58"/>
              <w:ind w:right="98"/>
              <w:rPr>
                <w:sz w:val="20"/>
              </w:rPr>
            </w:pPr>
            <w:r>
              <w:rPr>
                <w:w w:val="95"/>
                <w:sz w:val="20"/>
              </w:rPr>
              <w:t>40,817.47</w:t>
            </w:r>
          </w:p>
        </w:tc>
        <w:tc>
          <w:tcPr>
            <w:tcW w:w="1641" w:type="dxa"/>
          </w:tcPr>
          <w:p w:rsidR="007C5447" w:rsidRDefault="00F6308C">
            <w:pPr>
              <w:pStyle w:val="TableParagraph"/>
              <w:spacing w:before="58"/>
              <w:ind w:right="96"/>
              <w:rPr>
                <w:sz w:val="20"/>
              </w:rPr>
            </w:pPr>
            <w:r>
              <w:rPr>
                <w:w w:val="95"/>
                <w:sz w:val="20"/>
              </w:rPr>
              <w:t>32,591.62</w:t>
            </w:r>
          </w:p>
        </w:tc>
        <w:tc>
          <w:tcPr>
            <w:tcW w:w="1814" w:type="dxa"/>
          </w:tcPr>
          <w:p w:rsidR="007C5447" w:rsidRDefault="00F6308C">
            <w:pPr>
              <w:pStyle w:val="TableParagraph"/>
              <w:spacing w:before="58"/>
              <w:ind w:right="91"/>
              <w:rPr>
                <w:sz w:val="20"/>
              </w:rPr>
            </w:pPr>
            <w:r>
              <w:rPr>
                <w:w w:val="95"/>
                <w:sz w:val="20"/>
              </w:rPr>
              <w:t>31,467.00</w:t>
            </w:r>
          </w:p>
        </w:tc>
        <w:tc>
          <w:tcPr>
            <w:tcW w:w="1775" w:type="dxa"/>
          </w:tcPr>
          <w:p w:rsidR="007C5447" w:rsidRDefault="00F6308C">
            <w:pPr>
              <w:pStyle w:val="TableParagraph"/>
              <w:spacing w:before="58"/>
              <w:ind w:right="95"/>
              <w:rPr>
                <w:sz w:val="20"/>
              </w:rPr>
            </w:pPr>
            <w:r>
              <w:rPr>
                <w:w w:val="95"/>
                <w:sz w:val="20"/>
              </w:rPr>
              <w:t>40,524.22</w:t>
            </w:r>
          </w:p>
        </w:tc>
        <w:tc>
          <w:tcPr>
            <w:tcW w:w="1648" w:type="dxa"/>
          </w:tcPr>
          <w:p w:rsidR="007C5447" w:rsidRDefault="00F6308C">
            <w:pPr>
              <w:pStyle w:val="TableParagraph"/>
              <w:spacing w:before="58"/>
              <w:ind w:right="93"/>
              <w:rPr>
                <w:sz w:val="20"/>
              </w:rPr>
            </w:pPr>
            <w:r>
              <w:rPr>
                <w:w w:val="95"/>
                <w:sz w:val="20"/>
              </w:rPr>
              <w:t>37,268.01</w:t>
            </w:r>
          </w:p>
        </w:tc>
      </w:tr>
      <w:tr w:rsidR="007C5447">
        <w:trPr>
          <w:trHeight w:val="398"/>
        </w:trPr>
        <w:tc>
          <w:tcPr>
            <w:tcW w:w="4184" w:type="dxa"/>
          </w:tcPr>
          <w:p w:rsidR="007C5447" w:rsidRDefault="00F6308C">
            <w:pPr>
              <w:pStyle w:val="TableParagraph"/>
              <w:spacing w:before="85"/>
              <w:ind w:left="107"/>
              <w:jc w:val="left"/>
              <w:rPr>
                <w:sz w:val="20"/>
              </w:rPr>
            </w:pPr>
            <w:r>
              <w:rPr>
                <w:sz w:val="20"/>
              </w:rPr>
              <w:t>O&amp;M Expenses</w:t>
            </w:r>
          </w:p>
        </w:tc>
        <w:tc>
          <w:tcPr>
            <w:tcW w:w="1814" w:type="dxa"/>
          </w:tcPr>
          <w:p w:rsidR="007C5447" w:rsidRDefault="00F6308C">
            <w:pPr>
              <w:pStyle w:val="TableParagraph"/>
              <w:spacing w:before="85"/>
              <w:ind w:right="93"/>
              <w:rPr>
                <w:sz w:val="20"/>
              </w:rPr>
            </w:pPr>
            <w:r>
              <w:rPr>
                <w:w w:val="95"/>
                <w:sz w:val="20"/>
              </w:rPr>
              <w:t>4,303.63</w:t>
            </w:r>
          </w:p>
        </w:tc>
        <w:tc>
          <w:tcPr>
            <w:tcW w:w="1776" w:type="dxa"/>
          </w:tcPr>
          <w:p w:rsidR="007C5447" w:rsidRDefault="00F6308C">
            <w:pPr>
              <w:pStyle w:val="TableParagraph"/>
              <w:spacing w:before="85"/>
              <w:ind w:right="95"/>
              <w:rPr>
                <w:sz w:val="20"/>
              </w:rPr>
            </w:pPr>
            <w:r>
              <w:rPr>
                <w:w w:val="95"/>
                <w:sz w:val="20"/>
              </w:rPr>
              <w:t>4,565.07</w:t>
            </w:r>
          </w:p>
        </w:tc>
        <w:tc>
          <w:tcPr>
            <w:tcW w:w="1641" w:type="dxa"/>
          </w:tcPr>
          <w:p w:rsidR="007C5447" w:rsidRDefault="00F6308C">
            <w:pPr>
              <w:pStyle w:val="TableParagraph"/>
              <w:spacing w:before="85"/>
              <w:ind w:right="94"/>
              <w:rPr>
                <w:sz w:val="20"/>
              </w:rPr>
            </w:pPr>
            <w:r>
              <w:rPr>
                <w:w w:val="95"/>
                <w:sz w:val="20"/>
              </w:rPr>
              <w:t>4,150.46</w:t>
            </w:r>
          </w:p>
        </w:tc>
        <w:tc>
          <w:tcPr>
            <w:tcW w:w="1814" w:type="dxa"/>
          </w:tcPr>
          <w:p w:rsidR="007C5447" w:rsidRDefault="00F6308C">
            <w:pPr>
              <w:pStyle w:val="TableParagraph"/>
              <w:spacing w:before="85"/>
              <w:ind w:right="91"/>
              <w:rPr>
                <w:sz w:val="20"/>
              </w:rPr>
            </w:pPr>
            <w:r>
              <w:rPr>
                <w:w w:val="95"/>
                <w:sz w:val="20"/>
              </w:rPr>
              <w:t>4,395.62</w:t>
            </w:r>
          </w:p>
        </w:tc>
        <w:tc>
          <w:tcPr>
            <w:tcW w:w="1775" w:type="dxa"/>
          </w:tcPr>
          <w:p w:rsidR="007C5447" w:rsidRDefault="00F6308C">
            <w:pPr>
              <w:pStyle w:val="TableParagraph"/>
              <w:spacing w:before="85"/>
              <w:ind w:right="92"/>
              <w:rPr>
                <w:sz w:val="20"/>
              </w:rPr>
            </w:pPr>
            <w:r>
              <w:rPr>
                <w:w w:val="95"/>
                <w:sz w:val="20"/>
              </w:rPr>
              <w:t>4,844.82</w:t>
            </w:r>
          </w:p>
        </w:tc>
        <w:tc>
          <w:tcPr>
            <w:tcW w:w="1648" w:type="dxa"/>
          </w:tcPr>
          <w:p w:rsidR="007C5447" w:rsidRDefault="00F6308C">
            <w:pPr>
              <w:pStyle w:val="TableParagraph"/>
              <w:spacing w:before="85"/>
              <w:ind w:right="91"/>
              <w:rPr>
                <w:sz w:val="20"/>
              </w:rPr>
            </w:pPr>
            <w:r>
              <w:rPr>
                <w:w w:val="95"/>
                <w:sz w:val="20"/>
              </w:rPr>
              <w:t>4,419.95</w:t>
            </w:r>
          </w:p>
        </w:tc>
      </w:tr>
      <w:tr w:rsidR="007C5447">
        <w:trPr>
          <w:trHeight w:val="347"/>
        </w:trPr>
        <w:tc>
          <w:tcPr>
            <w:tcW w:w="4184" w:type="dxa"/>
          </w:tcPr>
          <w:p w:rsidR="007C5447" w:rsidRDefault="00F6308C">
            <w:pPr>
              <w:pStyle w:val="TableParagraph"/>
              <w:spacing w:before="60"/>
              <w:ind w:left="107"/>
              <w:jc w:val="left"/>
              <w:rPr>
                <w:sz w:val="20"/>
              </w:rPr>
            </w:pPr>
            <w:r>
              <w:rPr>
                <w:sz w:val="20"/>
              </w:rPr>
              <w:t>Depreciation</w:t>
            </w:r>
          </w:p>
        </w:tc>
        <w:tc>
          <w:tcPr>
            <w:tcW w:w="1814" w:type="dxa"/>
          </w:tcPr>
          <w:p w:rsidR="007C5447" w:rsidRDefault="00F6308C">
            <w:pPr>
              <w:pStyle w:val="TableParagraph"/>
              <w:spacing w:before="60"/>
              <w:ind w:right="95"/>
              <w:rPr>
                <w:sz w:val="20"/>
              </w:rPr>
            </w:pPr>
            <w:r>
              <w:rPr>
                <w:w w:val="95"/>
                <w:sz w:val="20"/>
              </w:rPr>
              <w:t>435.26</w:t>
            </w:r>
          </w:p>
        </w:tc>
        <w:tc>
          <w:tcPr>
            <w:tcW w:w="1776" w:type="dxa"/>
          </w:tcPr>
          <w:p w:rsidR="007C5447" w:rsidRDefault="00F6308C">
            <w:pPr>
              <w:pStyle w:val="TableParagraph"/>
              <w:spacing w:before="60"/>
              <w:ind w:right="97"/>
              <w:rPr>
                <w:sz w:val="20"/>
              </w:rPr>
            </w:pPr>
            <w:r>
              <w:rPr>
                <w:w w:val="95"/>
                <w:sz w:val="20"/>
              </w:rPr>
              <w:t>525.28</w:t>
            </w:r>
          </w:p>
        </w:tc>
        <w:tc>
          <w:tcPr>
            <w:tcW w:w="1641" w:type="dxa"/>
          </w:tcPr>
          <w:p w:rsidR="007C5447" w:rsidRDefault="00F6308C">
            <w:pPr>
              <w:pStyle w:val="TableParagraph"/>
              <w:spacing w:before="60"/>
              <w:ind w:right="96"/>
              <w:rPr>
                <w:sz w:val="20"/>
              </w:rPr>
            </w:pPr>
            <w:r>
              <w:rPr>
                <w:w w:val="95"/>
                <w:sz w:val="20"/>
              </w:rPr>
              <w:t>552.44</w:t>
            </w:r>
          </w:p>
        </w:tc>
        <w:tc>
          <w:tcPr>
            <w:tcW w:w="1814" w:type="dxa"/>
          </w:tcPr>
          <w:p w:rsidR="007C5447" w:rsidRDefault="00F6308C">
            <w:pPr>
              <w:pStyle w:val="TableParagraph"/>
              <w:spacing w:before="60"/>
              <w:ind w:right="93"/>
              <w:rPr>
                <w:sz w:val="20"/>
              </w:rPr>
            </w:pPr>
            <w:r>
              <w:rPr>
                <w:w w:val="95"/>
                <w:sz w:val="20"/>
              </w:rPr>
              <w:t>519.04</w:t>
            </w:r>
          </w:p>
        </w:tc>
        <w:tc>
          <w:tcPr>
            <w:tcW w:w="1775" w:type="dxa"/>
          </w:tcPr>
          <w:p w:rsidR="007C5447" w:rsidRDefault="00F6308C">
            <w:pPr>
              <w:pStyle w:val="TableParagraph"/>
              <w:spacing w:before="60"/>
              <w:ind w:right="94"/>
              <w:rPr>
                <w:sz w:val="20"/>
              </w:rPr>
            </w:pPr>
            <w:r>
              <w:rPr>
                <w:w w:val="95"/>
                <w:sz w:val="20"/>
              </w:rPr>
              <w:t>670.46</w:t>
            </w:r>
          </w:p>
        </w:tc>
        <w:tc>
          <w:tcPr>
            <w:tcW w:w="1648" w:type="dxa"/>
          </w:tcPr>
          <w:p w:rsidR="007C5447" w:rsidRDefault="00F6308C">
            <w:pPr>
              <w:pStyle w:val="TableParagraph"/>
              <w:spacing w:before="60"/>
              <w:ind w:right="93"/>
              <w:rPr>
                <w:sz w:val="20"/>
              </w:rPr>
            </w:pPr>
            <w:r>
              <w:rPr>
                <w:w w:val="95"/>
                <w:sz w:val="20"/>
              </w:rPr>
              <w:t>664.47</w:t>
            </w:r>
          </w:p>
        </w:tc>
      </w:tr>
      <w:tr w:rsidR="007C5447">
        <w:trPr>
          <w:trHeight w:val="347"/>
        </w:trPr>
        <w:tc>
          <w:tcPr>
            <w:tcW w:w="4184" w:type="dxa"/>
          </w:tcPr>
          <w:p w:rsidR="007C5447" w:rsidRDefault="00F6308C">
            <w:pPr>
              <w:pStyle w:val="TableParagraph"/>
              <w:spacing w:before="58"/>
              <w:ind w:left="107"/>
              <w:jc w:val="left"/>
              <w:rPr>
                <w:sz w:val="20"/>
              </w:rPr>
            </w:pPr>
            <w:r>
              <w:rPr>
                <w:sz w:val="20"/>
              </w:rPr>
              <w:t>Interest &amp; Finance Charges</w:t>
            </w:r>
          </w:p>
        </w:tc>
        <w:tc>
          <w:tcPr>
            <w:tcW w:w="1814" w:type="dxa"/>
          </w:tcPr>
          <w:p w:rsidR="007C5447" w:rsidRDefault="00F6308C">
            <w:pPr>
              <w:pStyle w:val="TableParagraph"/>
              <w:spacing w:before="58"/>
              <w:ind w:right="93"/>
              <w:rPr>
                <w:sz w:val="20"/>
              </w:rPr>
            </w:pPr>
            <w:r>
              <w:rPr>
                <w:w w:val="95"/>
                <w:sz w:val="20"/>
              </w:rPr>
              <w:t>1,213.55</w:t>
            </w:r>
          </w:p>
        </w:tc>
        <w:tc>
          <w:tcPr>
            <w:tcW w:w="1776" w:type="dxa"/>
          </w:tcPr>
          <w:p w:rsidR="007C5447" w:rsidRDefault="00F6308C">
            <w:pPr>
              <w:pStyle w:val="TableParagraph"/>
              <w:spacing w:before="58"/>
              <w:ind w:right="95"/>
              <w:rPr>
                <w:sz w:val="20"/>
              </w:rPr>
            </w:pPr>
            <w:r>
              <w:rPr>
                <w:w w:val="95"/>
                <w:sz w:val="20"/>
              </w:rPr>
              <w:t>2,992.22</w:t>
            </w:r>
          </w:p>
        </w:tc>
        <w:tc>
          <w:tcPr>
            <w:tcW w:w="1641" w:type="dxa"/>
          </w:tcPr>
          <w:p w:rsidR="007C5447" w:rsidRDefault="00F6308C">
            <w:pPr>
              <w:pStyle w:val="TableParagraph"/>
              <w:spacing w:before="58"/>
              <w:ind w:right="94"/>
              <w:rPr>
                <w:sz w:val="20"/>
              </w:rPr>
            </w:pPr>
            <w:r>
              <w:rPr>
                <w:w w:val="95"/>
                <w:sz w:val="20"/>
              </w:rPr>
              <w:t>1,209.47</w:t>
            </w:r>
          </w:p>
        </w:tc>
        <w:tc>
          <w:tcPr>
            <w:tcW w:w="1814" w:type="dxa"/>
          </w:tcPr>
          <w:p w:rsidR="007C5447" w:rsidRDefault="00F6308C">
            <w:pPr>
              <w:pStyle w:val="TableParagraph"/>
              <w:spacing w:before="58"/>
              <w:ind w:right="91"/>
              <w:rPr>
                <w:sz w:val="20"/>
              </w:rPr>
            </w:pPr>
            <w:r>
              <w:rPr>
                <w:w w:val="95"/>
                <w:sz w:val="20"/>
              </w:rPr>
              <w:t>1,317.23</w:t>
            </w:r>
          </w:p>
        </w:tc>
        <w:tc>
          <w:tcPr>
            <w:tcW w:w="1775" w:type="dxa"/>
          </w:tcPr>
          <w:p w:rsidR="007C5447" w:rsidRDefault="00F6308C">
            <w:pPr>
              <w:pStyle w:val="TableParagraph"/>
              <w:spacing w:before="58"/>
              <w:ind w:right="92"/>
              <w:rPr>
                <w:sz w:val="20"/>
              </w:rPr>
            </w:pPr>
            <w:r>
              <w:rPr>
                <w:w w:val="95"/>
                <w:sz w:val="20"/>
              </w:rPr>
              <w:t>3,501.33</w:t>
            </w:r>
          </w:p>
        </w:tc>
        <w:tc>
          <w:tcPr>
            <w:tcW w:w="1648" w:type="dxa"/>
          </w:tcPr>
          <w:p w:rsidR="007C5447" w:rsidRDefault="00F6308C">
            <w:pPr>
              <w:pStyle w:val="TableParagraph"/>
              <w:spacing w:before="58"/>
              <w:ind w:right="91"/>
              <w:rPr>
                <w:sz w:val="20"/>
              </w:rPr>
            </w:pPr>
            <w:r>
              <w:rPr>
                <w:w w:val="95"/>
                <w:sz w:val="20"/>
              </w:rPr>
              <w:t>1,391.53</w:t>
            </w:r>
          </w:p>
        </w:tc>
      </w:tr>
      <w:tr w:rsidR="007C5447">
        <w:trPr>
          <w:trHeight w:val="347"/>
        </w:trPr>
        <w:tc>
          <w:tcPr>
            <w:tcW w:w="4184" w:type="dxa"/>
          </w:tcPr>
          <w:p w:rsidR="007C5447" w:rsidRDefault="00F6308C">
            <w:pPr>
              <w:pStyle w:val="TableParagraph"/>
              <w:spacing w:before="58"/>
              <w:ind w:left="107"/>
              <w:jc w:val="left"/>
              <w:rPr>
                <w:sz w:val="20"/>
              </w:rPr>
            </w:pPr>
            <w:r>
              <w:rPr>
                <w:sz w:val="20"/>
              </w:rPr>
              <w:t>Interest on Working Capital</w:t>
            </w:r>
          </w:p>
        </w:tc>
        <w:tc>
          <w:tcPr>
            <w:tcW w:w="1814" w:type="dxa"/>
          </w:tcPr>
          <w:p w:rsidR="007C5447" w:rsidRDefault="00F6308C">
            <w:pPr>
              <w:pStyle w:val="TableParagraph"/>
              <w:spacing w:before="58"/>
              <w:ind w:right="91"/>
              <w:rPr>
                <w:sz w:val="20"/>
              </w:rPr>
            </w:pPr>
            <w:r>
              <w:rPr>
                <w:w w:val="99"/>
                <w:sz w:val="20"/>
              </w:rPr>
              <w:t>-</w:t>
            </w:r>
          </w:p>
        </w:tc>
        <w:tc>
          <w:tcPr>
            <w:tcW w:w="1776" w:type="dxa"/>
          </w:tcPr>
          <w:p w:rsidR="007C5447" w:rsidRDefault="00F6308C">
            <w:pPr>
              <w:pStyle w:val="TableParagraph"/>
              <w:spacing w:before="58"/>
              <w:ind w:right="97"/>
              <w:rPr>
                <w:sz w:val="20"/>
              </w:rPr>
            </w:pPr>
            <w:r>
              <w:rPr>
                <w:w w:val="95"/>
                <w:sz w:val="20"/>
              </w:rPr>
              <w:t>189.53</w:t>
            </w:r>
          </w:p>
        </w:tc>
        <w:tc>
          <w:tcPr>
            <w:tcW w:w="1641" w:type="dxa"/>
          </w:tcPr>
          <w:p w:rsidR="007C5447" w:rsidRDefault="00F6308C">
            <w:pPr>
              <w:pStyle w:val="TableParagraph"/>
              <w:spacing w:before="58"/>
              <w:ind w:right="93"/>
              <w:rPr>
                <w:sz w:val="20"/>
              </w:rPr>
            </w:pPr>
            <w:r>
              <w:rPr>
                <w:w w:val="99"/>
                <w:sz w:val="20"/>
              </w:rPr>
              <w:t>-</w:t>
            </w:r>
          </w:p>
        </w:tc>
        <w:tc>
          <w:tcPr>
            <w:tcW w:w="1814" w:type="dxa"/>
          </w:tcPr>
          <w:p w:rsidR="007C5447" w:rsidRDefault="00F6308C">
            <w:pPr>
              <w:pStyle w:val="TableParagraph"/>
              <w:spacing w:before="58"/>
              <w:ind w:right="89"/>
              <w:rPr>
                <w:sz w:val="20"/>
              </w:rPr>
            </w:pPr>
            <w:r>
              <w:rPr>
                <w:w w:val="99"/>
                <w:sz w:val="20"/>
              </w:rPr>
              <w:t>-</w:t>
            </w:r>
          </w:p>
        </w:tc>
        <w:tc>
          <w:tcPr>
            <w:tcW w:w="1775" w:type="dxa"/>
          </w:tcPr>
          <w:p w:rsidR="007C5447" w:rsidRDefault="00F6308C">
            <w:pPr>
              <w:pStyle w:val="TableParagraph"/>
              <w:spacing w:before="58"/>
              <w:ind w:right="94"/>
              <w:rPr>
                <w:sz w:val="20"/>
              </w:rPr>
            </w:pPr>
            <w:r>
              <w:rPr>
                <w:w w:val="95"/>
                <w:sz w:val="20"/>
              </w:rPr>
              <w:t>178.74</w:t>
            </w:r>
          </w:p>
        </w:tc>
        <w:tc>
          <w:tcPr>
            <w:tcW w:w="1648" w:type="dxa"/>
          </w:tcPr>
          <w:p w:rsidR="007C5447" w:rsidRDefault="00F6308C">
            <w:pPr>
              <w:pStyle w:val="TableParagraph"/>
              <w:spacing w:before="58"/>
              <w:ind w:right="90"/>
              <w:rPr>
                <w:sz w:val="20"/>
              </w:rPr>
            </w:pPr>
            <w:r>
              <w:rPr>
                <w:w w:val="99"/>
                <w:sz w:val="20"/>
              </w:rPr>
              <w:t>-</w:t>
            </w:r>
          </w:p>
        </w:tc>
      </w:tr>
      <w:tr w:rsidR="007C5447">
        <w:trPr>
          <w:trHeight w:val="345"/>
        </w:trPr>
        <w:tc>
          <w:tcPr>
            <w:tcW w:w="4184" w:type="dxa"/>
          </w:tcPr>
          <w:p w:rsidR="007C5447" w:rsidRDefault="00F6308C">
            <w:pPr>
              <w:pStyle w:val="TableParagraph"/>
              <w:spacing w:before="58"/>
              <w:ind w:left="107"/>
              <w:jc w:val="left"/>
              <w:rPr>
                <w:sz w:val="20"/>
              </w:rPr>
            </w:pPr>
            <w:r>
              <w:rPr>
                <w:sz w:val="20"/>
              </w:rPr>
              <w:t>Return on Equity</w:t>
            </w:r>
          </w:p>
        </w:tc>
        <w:tc>
          <w:tcPr>
            <w:tcW w:w="1814" w:type="dxa"/>
          </w:tcPr>
          <w:p w:rsidR="007C5447" w:rsidRDefault="00F6308C">
            <w:pPr>
              <w:pStyle w:val="TableParagraph"/>
              <w:spacing w:before="58"/>
              <w:ind w:right="91"/>
              <w:rPr>
                <w:sz w:val="20"/>
              </w:rPr>
            </w:pPr>
            <w:r>
              <w:rPr>
                <w:w w:val="99"/>
                <w:sz w:val="20"/>
              </w:rPr>
              <w:t>-</w:t>
            </w:r>
          </w:p>
        </w:tc>
        <w:tc>
          <w:tcPr>
            <w:tcW w:w="1776" w:type="dxa"/>
          </w:tcPr>
          <w:p w:rsidR="007C5447" w:rsidRDefault="00F6308C">
            <w:pPr>
              <w:pStyle w:val="TableParagraph"/>
              <w:spacing w:before="58"/>
              <w:ind w:right="97"/>
              <w:rPr>
                <w:sz w:val="20"/>
              </w:rPr>
            </w:pPr>
            <w:r>
              <w:rPr>
                <w:w w:val="95"/>
                <w:sz w:val="20"/>
              </w:rPr>
              <w:t>582.32</w:t>
            </w:r>
          </w:p>
        </w:tc>
        <w:tc>
          <w:tcPr>
            <w:tcW w:w="1641" w:type="dxa"/>
          </w:tcPr>
          <w:p w:rsidR="007C5447" w:rsidRDefault="00F6308C">
            <w:pPr>
              <w:pStyle w:val="TableParagraph"/>
              <w:spacing w:before="58"/>
              <w:ind w:right="93"/>
              <w:rPr>
                <w:sz w:val="20"/>
              </w:rPr>
            </w:pPr>
            <w:r>
              <w:rPr>
                <w:w w:val="99"/>
                <w:sz w:val="20"/>
              </w:rPr>
              <w:t>-</w:t>
            </w:r>
          </w:p>
        </w:tc>
        <w:tc>
          <w:tcPr>
            <w:tcW w:w="1814" w:type="dxa"/>
          </w:tcPr>
          <w:p w:rsidR="007C5447" w:rsidRDefault="00F6308C">
            <w:pPr>
              <w:pStyle w:val="TableParagraph"/>
              <w:spacing w:before="58"/>
              <w:ind w:right="89"/>
              <w:rPr>
                <w:sz w:val="20"/>
              </w:rPr>
            </w:pPr>
            <w:r>
              <w:rPr>
                <w:w w:val="99"/>
                <w:sz w:val="20"/>
              </w:rPr>
              <w:t>-</w:t>
            </w:r>
          </w:p>
        </w:tc>
        <w:tc>
          <w:tcPr>
            <w:tcW w:w="1775" w:type="dxa"/>
          </w:tcPr>
          <w:p w:rsidR="007C5447" w:rsidRDefault="00F6308C">
            <w:pPr>
              <w:pStyle w:val="TableParagraph"/>
              <w:spacing w:before="58"/>
              <w:ind w:right="94"/>
              <w:rPr>
                <w:sz w:val="20"/>
              </w:rPr>
            </w:pPr>
            <w:r>
              <w:rPr>
                <w:w w:val="95"/>
                <w:sz w:val="20"/>
              </w:rPr>
              <w:t>582.32</w:t>
            </w:r>
          </w:p>
        </w:tc>
        <w:tc>
          <w:tcPr>
            <w:tcW w:w="1648" w:type="dxa"/>
          </w:tcPr>
          <w:p w:rsidR="007C5447" w:rsidRDefault="00F6308C">
            <w:pPr>
              <w:pStyle w:val="TableParagraph"/>
              <w:spacing w:before="58"/>
              <w:ind w:right="90"/>
              <w:rPr>
                <w:sz w:val="20"/>
              </w:rPr>
            </w:pPr>
            <w:r>
              <w:rPr>
                <w:w w:val="99"/>
                <w:sz w:val="20"/>
              </w:rPr>
              <w:t>-</w:t>
            </w:r>
          </w:p>
        </w:tc>
      </w:tr>
      <w:tr w:rsidR="007C5447">
        <w:trPr>
          <w:trHeight w:val="347"/>
        </w:trPr>
        <w:tc>
          <w:tcPr>
            <w:tcW w:w="4184" w:type="dxa"/>
          </w:tcPr>
          <w:p w:rsidR="007C5447" w:rsidRDefault="00F6308C">
            <w:pPr>
              <w:pStyle w:val="TableParagraph"/>
              <w:spacing w:before="60"/>
              <w:ind w:left="107"/>
              <w:jc w:val="left"/>
              <w:rPr>
                <w:sz w:val="20"/>
              </w:rPr>
            </w:pPr>
            <w:r>
              <w:rPr>
                <w:sz w:val="20"/>
              </w:rPr>
              <w:t>Other Debits</w:t>
            </w:r>
          </w:p>
        </w:tc>
        <w:tc>
          <w:tcPr>
            <w:tcW w:w="1814" w:type="dxa"/>
          </w:tcPr>
          <w:p w:rsidR="007C5447" w:rsidRDefault="00F6308C">
            <w:pPr>
              <w:pStyle w:val="TableParagraph"/>
              <w:spacing w:before="60"/>
              <w:ind w:right="95"/>
              <w:rPr>
                <w:sz w:val="20"/>
              </w:rPr>
            </w:pPr>
            <w:r>
              <w:rPr>
                <w:sz w:val="20"/>
              </w:rPr>
              <w:t>6.30</w:t>
            </w:r>
          </w:p>
        </w:tc>
        <w:tc>
          <w:tcPr>
            <w:tcW w:w="1776" w:type="dxa"/>
          </w:tcPr>
          <w:p w:rsidR="007C5447" w:rsidRDefault="00F6308C">
            <w:pPr>
              <w:pStyle w:val="TableParagraph"/>
              <w:spacing w:before="60"/>
              <w:ind w:right="97"/>
              <w:rPr>
                <w:sz w:val="20"/>
              </w:rPr>
            </w:pPr>
            <w:r>
              <w:rPr>
                <w:w w:val="95"/>
                <w:sz w:val="20"/>
              </w:rPr>
              <w:t>25.98</w:t>
            </w:r>
          </w:p>
        </w:tc>
        <w:tc>
          <w:tcPr>
            <w:tcW w:w="1641" w:type="dxa"/>
          </w:tcPr>
          <w:p w:rsidR="007C5447" w:rsidRDefault="00F6308C">
            <w:pPr>
              <w:pStyle w:val="TableParagraph"/>
              <w:spacing w:before="60"/>
              <w:ind w:right="93"/>
              <w:rPr>
                <w:sz w:val="20"/>
              </w:rPr>
            </w:pPr>
            <w:r>
              <w:rPr>
                <w:w w:val="99"/>
                <w:sz w:val="20"/>
              </w:rPr>
              <w:t>-</w:t>
            </w:r>
          </w:p>
        </w:tc>
        <w:tc>
          <w:tcPr>
            <w:tcW w:w="1814" w:type="dxa"/>
          </w:tcPr>
          <w:p w:rsidR="007C5447" w:rsidRDefault="00F6308C">
            <w:pPr>
              <w:pStyle w:val="TableParagraph"/>
              <w:spacing w:before="60"/>
              <w:ind w:right="93"/>
              <w:rPr>
                <w:sz w:val="20"/>
              </w:rPr>
            </w:pPr>
            <w:r>
              <w:rPr>
                <w:w w:val="95"/>
                <w:sz w:val="20"/>
              </w:rPr>
              <w:t>28.42</w:t>
            </w:r>
          </w:p>
        </w:tc>
        <w:tc>
          <w:tcPr>
            <w:tcW w:w="1775" w:type="dxa"/>
          </w:tcPr>
          <w:p w:rsidR="007C5447" w:rsidRDefault="00F6308C">
            <w:pPr>
              <w:pStyle w:val="TableParagraph"/>
              <w:spacing w:before="60"/>
              <w:ind w:right="94"/>
              <w:rPr>
                <w:sz w:val="20"/>
              </w:rPr>
            </w:pPr>
            <w:r>
              <w:rPr>
                <w:w w:val="95"/>
                <w:sz w:val="20"/>
              </w:rPr>
              <w:t>13.19</w:t>
            </w:r>
          </w:p>
        </w:tc>
        <w:tc>
          <w:tcPr>
            <w:tcW w:w="1648" w:type="dxa"/>
          </w:tcPr>
          <w:p w:rsidR="007C5447" w:rsidRDefault="00F6308C">
            <w:pPr>
              <w:pStyle w:val="TableParagraph"/>
              <w:spacing w:before="60"/>
              <w:ind w:right="90"/>
              <w:rPr>
                <w:sz w:val="20"/>
              </w:rPr>
            </w:pPr>
            <w:r>
              <w:rPr>
                <w:w w:val="99"/>
                <w:sz w:val="20"/>
              </w:rPr>
              <w:t>-</w:t>
            </w:r>
          </w:p>
        </w:tc>
      </w:tr>
      <w:tr w:rsidR="007C5447">
        <w:trPr>
          <w:trHeight w:val="347"/>
        </w:trPr>
        <w:tc>
          <w:tcPr>
            <w:tcW w:w="4184" w:type="dxa"/>
          </w:tcPr>
          <w:p w:rsidR="007C5447" w:rsidRDefault="00F6308C">
            <w:pPr>
              <w:pStyle w:val="TableParagraph"/>
              <w:spacing w:before="58"/>
              <w:ind w:left="107"/>
              <w:jc w:val="left"/>
              <w:rPr>
                <w:sz w:val="20"/>
              </w:rPr>
            </w:pPr>
            <w:r>
              <w:rPr>
                <w:sz w:val="20"/>
              </w:rPr>
              <w:t>Sharing of (Gains)/Losses for O&amp;M Expenses</w:t>
            </w:r>
          </w:p>
        </w:tc>
        <w:tc>
          <w:tcPr>
            <w:tcW w:w="1814" w:type="dxa"/>
          </w:tcPr>
          <w:p w:rsidR="007C5447" w:rsidRDefault="007C5447">
            <w:pPr>
              <w:pStyle w:val="TableParagraph"/>
              <w:jc w:val="left"/>
              <w:rPr>
                <w:sz w:val="20"/>
              </w:rPr>
            </w:pPr>
          </w:p>
        </w:tc>
        <w:tc>
          <w:tcPr>
            <w:tcW w:w="1776" w:type="dxa"/>
          </w:tcPr>
          <w:p w:rsidR="007C5447" w:rsidRDefault="007C5447">
            <w:pPr>
              <w:pStyle w:val="TableParagraph"/>
              <w:jc w:val="left"/>
              <w:rPr>
                <w:sz w:val="20"/>
              </w:rPr>
            </w:pPr>
          </w:p>
        </w:tc>
        <w:tc>
          <w:tcPr>
            <w:tcW w:w="1641" w:type="dxa"/>
          </w:tcPr>
          <w:p w:rsidR="007C5447" w:rsidRDefault="00F6308C">
            <w:pPr>
              <w:pStyle w:val="TableParagraph"/>
              <w:spacing w:before="58"/>
              <w:ind w:right="93"/>
              <w:rPr>
                <w:sz w:val="20"/>
              </w:rPr>
            </w:pPr>
            <w:r>
              <w:rPr>
                <w:w w:val="99"/>
                <w:sz w:val="20"/>
              </w:rPr>
              <w:t>-</w:t>
            </w:r>
          </w:p>
        </w:tc>
        <w:tc>
          <w:tcPr>
            <w:tcW w:w="1814" w:type="dxa"/>
          </w:tcPr>
          <w:p w:rsidR="007C5447" w:rsidRDefault="007C5447">
            <w:pPr>
              <w:pStyle w:val="TableParagraph"/>
              <w:jc w:val="left"/>
              <w:rPr>
                <w:sz w:val="20"/>
              </w:rPr>
            </w:pPr>
          </w:p>
        </w:tc>
        <w:tc>
          <w:tcPr>
            <w:tcW w:w="1775" w:type="dxa"/>
          </w:tcPr>
          <w:p w:rsidR="007C5447" w:rsidRDefault="007C5447">
            <w:pPr>
              <w:pStyle w:val="TableParagraph"/>
              <w:jc w:val="left"/>
              <w:rPr>
                <w:sz w:val="20"/>
              </w:rPr>
            </w:pPr>
          </w:p>
        </w:tc>
        <w:tc>
          <w:tcPr>
            <w:tcW w:w="1648" w:type="dxa"/>
          </w:tcPr>
          <w:p w:rsidR="007C5447" w:rsidRDefault="00F6308C">
            <w:pPr>
              <w:pStyle w:val="TableParagraph"/>
              <w:spacing w:before="58"/>
              <w:ind w:right="90"/>
              <w:rPr>
                <w:sz w:val="20"/>
              </w:rPr>
            </w:pPr>
            <w:r>
              <w:rPr>
                <w:w w:val="99"/>
                <w:sz w:val="20"/>
              </w:rPr>
              <w:t>-</w:t>
            </w:r>
          </w:p>
        </w:tc>
      </w:tr>
      <w:tr w:rsidR="007C5447">
        <w:trPr>
          <w:trHeight w:val="347"/>
        </w:trPr>
        <w:tc>
          <w:tcPr>
            <w:tcW w:w="4184" w:type="dxa"/>
          </w:tcPr>
          <w:p w:rsidR="007C5447" w:rsidRDefault="00F6308C">
            <w:pPr>
              <w:pStyle w:val="TableParagraph"/>
              <w:spacing w:before="58"/>
              <w:ind w:left="107"/>
              <w:jc w:val="left"/>
              <w:rPr>
                <w:sz w:val="20"/>
              </w:rPr>
            </w:pPr>
            <w:r>
              <w:rPr>
                <w:sz w:val="20"/>
              </w:rPr>
              <w:t>Operating charges</w:t>
            </w:r>
          </w:p>
        </w:tc>
        <w:tc>
          <w:tcPr>
            <w:tcW w:w="1814" w:type="dxa"/>
          </w:tcPr>
          <w:p w:rsidR="007C5447" w:rsidRDefault="00F6308C">
            <w:pPr>
              <w:pStyle w:val="TableParagraph"/>
              <w:spacing w:before="58"/>
              <w:ind w:right="91"/>
              <w:rPr>
                <w:sz w:val="20"/>
              </w:rPr>
            </w:pPr>
            <w:r>
              <w:rPr>
                <w:w w:val="99"/>
                <w:sz w:val="20"/>
              </w:rPr>
              <w:t>-</w:t>
            </w:r>
          </w:p>
        </w:tc>
        <w:tc>
          <w:tcPr>
            <w:tcW w:w="1776" w:type="dxa"/>
          </w:tcPr>
          <w:p w:rsidR="007C5447" w:rsidRDefault="00F6308C">
            <w:pPr>
              <w:pStyle w:val="TableParagraph"/>
              <w:spacing w:before="58"/>
              <w:ind w:right="93"/>
              <w:rPr>
                <w:sz w:val="20"/>
              </w:rPr>
            </w:pPr>
            <w:r>
              <w:rPr>
                <w:w w:val="99"/>
                <w:sz w:val="20"/>
              </w:rPr>
              <w:t>-</w:t>
            </w:r>
          </w:p>
        </w:tc>
        <w:tc>
          <w:tcPr>
            <w:tcW w:w="1641" w:type="dxa"/>
          </w:tcPr>
          <w:p w:rsidR="007C5447" w:rsidRDefault="00F6308C">
            <w:pPr>
              <w:pStyle w:val="TableParagraph"/>
              <w:spacing w:before="58"/>
              <w:ind w:right="93"/>
              <w:rPr>
                <w:sz w:val="20"/>
              </w:rPr>
            </w:pPr>
            <w:r>
              <w:rPr>
                <w:w w:val="99"/>
                <w:sz w:val="20"/>
              </w:rPr>
              <w:t>-</w:t>
            </w:r>
          </w:p>
        </w:tc>
        <w:tc>
          <w:tcPr>
            <w:tcW w:w="1814" w:type="dxa"/>
          </w:tcPr>
          <w:p w:rsidR="007C5447" w:rsidRDefault="00F6308C">
            <w:pPr>
              <w:pStyle w:val="TableParagraph"/>
              <w:spacing w:before="58"/>
              <w:ind w:right="89"/>
              <w:rPr>
                <w:sz w:val="20"/>
              </w:rPr>
            </w:pPr>
            <w:r>
              <w:rPr>
                <w:w w:val="99"/>
                <w:sz w:val="20"/>
              </w:rPr>
              <w:t>-</w:t>
            </w:r>
          </w:p>
        </w:tc>
        <w:tc>
          <w:tcPr>
            <w:tcW w:w="1775" w:type="dxa"/>
          </w:tcPr>
          <w:p w:rsidR="007C5447" w:rsidRDefault="00F6308C">
            <w:pPr>
              <w:pStyle w:val="TableParagraph"/>
              <w:spacing w:before="58"/>
              <w:ind w:right="91"/>
              <w:rPr>
                <w:sz w:val="20"/>
              </w:rPr>
            </w:pPr>
            <w:r>
              <w:rPr>
                <w:w w:val="99"/>
                <w:sz w:val="20"/>
              </w:rPr>
              <w:t>-</w:t>
            </w:r>
          </w:p>
        </w:tc>
        <w:tc>
          <w:tcPr>
            <w:tcW w:w="1648" w:type="dxa"/>
          </w:tcPr>
          <w:p w:rsidR="007C5447" w:rsidRDefault="00F6308C">
            <w:pPr>
              <w:pStyle w:val="TableParagraph"/>
              <w:spacing w:before="58"/>
              <w:ind w:right="90"/>
              <w:rPr>
                <w:sz w:val="20"/>
              </w:rPr>
            </w:pPr>
            <w:r>
              <w:rPr>
                <w:w w:val="99"/>
                <w:sz w:val="20"/>
              </w:rPr>
              <w:t>-</w:t>
            </w:r>
          </w:p>
        </w:tc>
      </w:tr>
      <w:tr w:rsidR="007C5447">
        <w:trPr>
          <w:trHeight w:val="345"/>
        </w:trPr>
        <w:tc>
          <w:tcPr>
            <w:tcW w:w="4184" w:type="dxa"/>
          </w:tcPr>
          <w:p w:rsidR="007C5447" w:rsidRDefault="00F6308C">
            <w:pPr>
              <w:pStyle w:val="TableParagraph"/>
              <w:spacing w:before="58"/>
              <w:ind w:left="107"/>
              <w:jc w:val="left"/>
              <w:rPr>
                <w:sz w:val="20"/>
              </w:rPr>
            </w:pPr>
            <w:r>
              <w:rPr>
                <w:sz w:val="20"/>
              </w:rPr>
              <w:t>Other Interest &amp; Finance Charges</w:t>
            </w:r>
          </w:p>
        </w:tc>
        <w:tc>
          <w:tcPr>
            <w:tcW w:w="1814" w:type="dxa"/>
          </w:tcPr>
          <w:p w:rsidR="007C5447" w:rsidRDefault="00F6308C">
            <w:pPr>
              <w:pStyle w:val="TableParagraph"/>
              <w:spacing w:before="58"/>
              <w:ind w:right="95"/>
              <w:rPr>
                <w:sz w:val="20"/>
              </w:rPr>
            </w:pPr>
            <w:r>
              <w:rPr>
                <w:w w:val="95"/>
                <w:sz w:val="20"/>
              </w:rPr>
              <w:t>688.40</w:t>
            </w:r>
          </w:p>
        </w:tc>
        <w:tc>
          <w:tcPr>
            <w:tcW w:w="1776" w:type="dxa"/>
          </w:tcPr>
          <w:p w:rsidR="007C5447" w:rsidRDefault="00F6308C">
            <w:pPr>
              <w:pStyle w:val="TableParagraph"/>
              <w:spacing w:before="58"/>
              <w:ind w:right="95"/>
              <w:rPr>
                <w:sz w:val="20"/>
              </w:rPr>
            </w:pPr>
            <w:r>
              <w:rPr>
                <w:w w:val="95"/>
                <w:sz w:val="20"/>
              </w:rPr>
              <w:t>1,002.90</w:t>
            </w:r>
          </w:p>
        </w:tc>
        <w:tc>
          <w:tcPr>
            <w:tcW w:w="1641" w:type="dxa"/>
          </w:tcPr>
          <w:p w:rsidR="007C5447" w:rsidRDefault="00F6308C">
            <w:pPr>
              <w:pStyle w:val="TableParagraph"/>
              <w:spacing w:before="58"/>
              <w:ind w:right="96"/>
              <w:rPr>
                <w:sz w:val="20"/>
              </w:rPr>
            </w:pPr>
            <w:r>
              <w:rPr>
                <w:w w:val="95"/>
                <w:sz w:val="20"/>
              </w:rPr>
              <w:t>852.60</w:t>
            </w:r>
          </w:p>
        </w:tc>
        <w:tc>
          <w:tcPr>
            <w:tcW w:w="1814" w:type="dxa"/>
          </w:tcPr>
          <w:p w:rsidR="007C5447" w:rsidRDefault="00F6308C">
            <w:pPr>
              <w:pStyle w:val="TableParagraph"/>
              <w:spacing w:before="58"/>
              <w:ind w:right="93"/>
              <w:rPr>
                <w:sz w:val="20"/>
              </w:rPr>
            </w:pPr>
            <w:r>
              <w:rPr>
                <w:w w:val="95"/>
                <w:sz w:val="20"/>
              </w:rPr>
              <w:t>621.45</w:t>
            </w:r>
          </w:p>
        </w:tc>
        <w:tc>
          <w:tcPr>
            <w:tcW w:w="1775" w:type="dxa"/>
          </w:tcPr>
          <w:p w:rsidR="007C5447" w:rsidRDefault="00F6308C">
            <w:pPr>
              <w:pStyle w:val="TableParagraph"/>
              <w:spacing w:before="58"/>
              <w:ind w:right="94"/>
              <w:rPr>
                <w:sz w:val="20"/>
              </w:rPr>
            </w:pPr>
            <w:r>
              <w:rPr>
                <w:w w:val="95"/>
                <w:sz w:val="20"/>
              </w:rPr>
              <w:t>882.25</w:t>
            </w:r>
          </w:p>
        </w:tc>
        <w:tc>
          <w:tcPr>
            <w:tcW w:w="1648" w:type="dxa"/>
          </w:tcPr>
          <w:p w:rsidR="007C5447" w:rsidRDefault="00F6308C">
            <w:pPr>
              <w:pStyle w:val="TableParagraph"/>
              <w:spacing w:before="58"/>
              <w:ind w:right="93"/>
              <w:rPr>
                <w:sz w:val="20"/>
              </w:rPr>
            </w:pPr>
            <w:r>
              <w:rPr>
                <w:w w:val="95"/>
                <w:sz w:val="20"/>
              </w:rPr>
              <w:t>689.22</w:t>
            </w:r>
          </w:p>
        </w:tc>
      </w:tr>
      <w:tr w:rsidR="007C5447">
        <w:trPr>
          <w:trHeight w:val="347"/>
        </w:trPr>
        <w:tc>
          <w:tcPr>
            <w:tcW w:w="4184" w:type="dxa"/>
          </w:tcPr>
          <w:p w:rsidR="007C5447" w:rsidRDefault="00F6308C">
            <w:pPr>
              <w:pStyle w:val="TableParagraph"/>
              <w:spacing w:before="60"/>
              <w:ind w:left="107"/>
              <w:jc w:val="left"/>
              <w:rPr>
                <w:b/>
                <w:sz w:val="20"/>
              </w:rPr>
            </w:pPr>
            <w:r>
              <w:rPr>
                <w:b/>
                <w:sz w:val="20"/>
              </w:rPr>
              <w:t>Gross ARR</w:t>
            </w:r>
          </w:p>
        </w:tc>
        <w:tc>
          <w:tcPr>
            <w:tcW w:w="1814" w:type="dxa"/>
          </w:tcPr>
          <w:p w:rsidR="007C5447" w:rsidRDefault="00F6308C">
            <w:pPr>
              <w:pStyle w:val="TableParagraph"/>
              <w:spacing w:before="60"/>
              <w:ind w:right="95"/>
              <w:rPr>
                <w:b/>
                <w:sz w:val="20"/>
              </w:rPr>
            </w:pPr>
            <w:r>
              <w:rPr>
                <w:b/>
                <w:w w:val="95"/>
                <w:sz w:val="20"/>
              </w:rPr>
              <w:t>38,265.87</w:t>
            </w:r>
          </w:p>
        </w:tc>
        <w:tc>
          <w:tcPr>
            <w:tcW w:w="1776" w:type="dxa"/>
          </w:tcPr>
          <w:p w:rsidR="007C5447" w:rsidRDefault="00F6308C">
            <w:pPr>
              <w:pStyle w:val="TableParagraph"/>
              <w:spacing w:before="60"/>
              <w:ind w:right="98"/>
              <w:rPr>
                <w:b/>
                <w:sz w:val="20"/>
              </w:rPr>
            </w:pPr>
            <w:r>
              <w:rPr>
                <w:b/>
                <w:w w:val="95"/>
                <w:sz w:val="20"/>
              </w:rPr>
              <w:t>50,700.78</w:t>
            </w:r>
          </w:p>
        </w:tc>
        <w:tc>
          <w:tcPr>
            <w:tcW w:w="1641" w:type="dxa"/>
          </w:tcPr>
          <w:p w:rsidR="007C5447" w:rsidRDefault="00F6308C">
            <w:pPr>
              <w:pStyle w:val="TableParagraph"/>
              <w:spacing w:before="60"/>
              <w:ind w:right="97"/>
              <w:rPr>
                <w:b/>
                <w:sz w:val="20"/>
              </w:rPr>
            </w:pPr>
            <w:r>
              <w:rPr>
                <w:b/>
                <w:w w:val="95"/>
                <w:sz w:val="20"/>
              </w:rPr>
              <w:t>39,356.60</w:t>
            </w:r>
          </w:p>
        </w:tc>
        <w:tc>
          <w:tcPr>
            <w:tcW w:w="1814" w:type="dxa"/>
          </w:tcPr>
          <w:p w:rsidR="007C5447" w:rsidRDefault="00F6308C">
            <w:pPr>
              <w:pStyle w:val="TableParagraph"/>
              <w:spacing w:before="60"/>
              <w:ind w:right="94"/>
              <w:rPr>
                <w:b/>
                <w:sz w:val="20"/>
              </w:rPr>
            </w:pPr>
            <w:r>
              <w:rPr>
                <w:b/>
                <w:w w:val="95"/>
                <w:sz w:val="20"/>
              </w:rPr>
              <w:t>38,348.76</w:t>
            </w:r>
          </w:p>
        </w:tc>
        <w:tc>
          <w:tcPr>
            <w:tcW w:w="1775" w:type="dxa"/>
          </w:tcPr>
          <w:p w:rsidR="007C5447" w:rsidRDefault="00F6308C">
            <w:pPr>
              <w:pStyle w:val="TableParagraph"/>
              <w:spacing w:before="60"/>
              <w:ind w:right="95"/>
              <w:rPr>
                <w:b/>
                <w:sz w:val="20"/>
              </w:rPr>
            </w:pPr>
            <w:r>
              <w:rPr>
                <w:b/>
                <w:w w:val="95"/>
                <w:sz w:val="20"/>
              </w:rPr>
              <w:t>51,197.34</w:t>
            </w:r>
          </w:p>
        </w:tc>
        <w:tc>
          <w:tcPr>
            <w:tcW w:w="1648" w:type="dxa"/>
          </w:tcPr>
          <w:p w:rsidR="007C5447" w:rsidRDefault="00F6308C">
            <w:pPr>
              <w:pStyle w:val="TableParagraph"/>
              <w:spacing w:before="60"/>
              <w:ind w:right="93"/>
              <w:rPr>
                <w:b/>
                <w:sz w:val="20"/>
              </w:rPr>
            </w:pPr>
            <w:r>
              <w:rPr>
                <w:b/>
                <w:w w:val="95"/>
                <w:sz w:val="20"/>
              </w:rPr>
              <w:t>44,433.18</w:t>
            </w:r>
          </w:p>
        </w:tc>
      </w:tr>
      <w:tr w:rsidR="007C5447">
        <w:trPr>
          <w:trHeight w:val="347"/>
        </w:trPr>
        <w:tc>
          <w:tcPr>
            <w:tcW w:w="4184" w:type="dxa"/>
          </w:tcPr>
          <w:p w:rsidR="007C5447" w:rsidRDefault="00F6308C">
            <w:pPr>
              <w:pStyle w:val="TableParagraph"/>
              <w:spacing w:before="58"/>
              <w:ind w:left="107"/>
              <w:jc w:val="left"/>
              <w:rPr>
                <w:sz w:val="20"/>
              </w:rPr>
            </w:pPr>
            <w:r>
              <w:rPr>
                <w:sz w:val="20"/>
              </w:rPr>
              <w:t>Less: Other Income</w:t>
            </w:r>
          </w:p>
        </w:tc>
        <w:tc>
          <w:tcPr>
            <w:tcW w:w="1814" w:type="dxa"/>
          </w:tcPr>
          <w:p w:rsidR="007C5447" w:rsidRDefault="00F6308C">
            <w:pPr>
              <w:pStyle w:val="TableParagraph"/>
              <w:spacing w:before="58"/>
              <w:ind w:right="95"/>
              <w:rPr>
                <w:sz w:val="20"/>
              </w:rPr>
            </w:pPr>
            <w:r>
              <w:rPr>
                <w:w w:val="95"/>
                <w:sz w:val="20"/>
              </w:rPr>
              <w:t>146.00</w:t>
            </w:r>
          </w:p>
        </w:tc>
        <w:tc>
          <w:tcPr>
            <w:tcW w:w="1776" w:type="dxa"/>
          </w:tcPr>
          <w:p w:rsidR="007C5447" w:rsidRDefault="00F6308C">
            <w:pPr>
              <w:pStyle w:val="TableParagraph"/>
              <w:spacing w:before="58"/>
              <w:ind w:right="97"/>
              <w:rPr>
                <w:sz w:val="20"/>
              </w:rPr>
            </w:pPr>
            <w:r>
              <w:rPr>
                <w:w w:val="95"/>
                <w:sz w:val="20"/>
              </w:rPr>
              <w:t>302.23</w:t>
            </w:r>
          </w:p>
        </w:tc>
        <w:tc>
          <w:tcPr>
            <w:tcW w:w="1641" w:type="dxa"/>
          </w:tcPr>
          <w:p w:rsidR="007C5447" w:rsidRDefault="00F6308C">
            <w:pPr>
              <w:pStyle w:val="TableParagraph"/>
              <w:spacing w:before="58"/>
              <w:ind w:right="96"/>
              <w:rPr>
                <w:sz w:val="20"/>
              </w:rPr>
            </w:pPr>
            <w:r>
              <w:rPr>
                <w:w w:val="95"/>
                <w:sz w:val="20"/>
              </w:rPr>
              <w:t>236.28</w:t>
            </w:r>
          </w:p>
        </w:tc>
        <w:tc>
          <w:tcPr>
            <w:tcW w:w="1814" w:type="dxa"/>
          </w:tcPr>
          <w:p w:rsidR="007C5447" w:rsidRDefault="00F6308C">
            <w:pPr>
              <w:pStyle w:val="TableParagraph"/>
              <w:spacing w:before="58"/>
              <w:ind w:right="93"/>
              <w:rPr>
                <w:sz w:val="20"/>
              </w:rPr>
            </w:pPr>
            <w:r>
              <w:rPr>
                <w:w w:val="95"/>
                <w:sz w:val="20"/>
              </w:rPr>
              <w:t>363.54</w:t>
            </w:r>
          </w:p>
        </w:tc>
        <w:tc>
          <w:tcPr>
            <w:tcW w:w="1775" w:type="dxa"/>
          </w:tcPr>
          <w:p w:rsidR="007C5447" w:rsidRDefault="00F6308C">
            <w:pPr>
              <w:pStyle w:val="TableParagraph"/>
              <w:spacing w:before="58"/>
              <w:ind w:right="94"/>
              <w:rPr>
                <w:sz w:val="20"/>
              </w:rPr>
            </w:pPr>
            <w:r>
              <w:rPr>
                <w:w w:val="95"/>
                <w:sz w:val="20"/>
              </w:rPr>
              <w:t>322.02</w:t>
            </w:r>
          </w:p>
        </w:tc>
        <w:tc>
          <w:tcPr>
            <w:tcW w:w="1648" w:type="dxa"/>
          </w:tcPr>
          <w:p w:rsidR="007C5447" w:rsidRDefault="00F6308C">
            <w:pPr>
              <w:pStyle w:val="TableParagraph"/>
              <w:spacing w:before="58"/>
              <w:ind w:right="93"/>
              <w:rPr>
                <w:sz w:val="20"/>
              </w:rPr>
            </w:pPr>
            <w:r>
              <w:rPr>
                <w:w w:val="95"/>
                <w:sz w:val="20"/>
              </w:rPr>
              <w:t>344.84</w:t>
            </w:r>
          </w:p>
        </w:tc>
      </w:tr>
      <w:tr w:rsidR="007C5447">
        <w:trPr>
          <w:trHeight w:val="347"/>
        </w:trPr>
        <w:tc>
          <w:tcPr>
            <w:tcW w:w="4184" w:type="dxa"/>
          </w:tcPr>
          <w:p w:rsidR="007C5447" w:rsidRDefault="00F6308C">
            <w:pPr>
              <w:pStyle w:val="TableParagraph"/>
              <w:spacing w:before="58"/>
              <w:ind w:left="107"/>
              <w:jc w:val="left"/>
              <w:rPr>
                <w:sz w:val="20"/>
              </w:rPr>
            </w:pPr>
            <w:r>
              <w:rPr>
                <w:sz w:val="20"/>
              </w:rPr>
              <w:t>Less: Non-Tariff Income</w:t>
            </w:r>
          </w:p>
        </w:tc>
        <w:tc>
          <w:tcPr>
            <w:tcW w:w="1814" w:type="dxa"/>
          </w:tcPr>
          <w:p w:rsidR="007C5447" w:rsidRDefault="00F6308C">
            <w:pPr>
              <w:pStyle w:val="TableParagraph"/>
              <w:spacing w:before="58"/>
              <w:ind w:right="95"/>
              <w:rPr>
                <w:sz w:val="20"/>
              </w:rPr>
            </w:pPr>
            <w:r>
              <w:rPr>
                <w:w w:val="95"/>
                <w:sz w:val="20"/>
              </w:rPr>
              <w:t>680.00</w:t>
            </w:r>
          </w:p>
        </w:tc>
        <w:tc>
          <w:tcPr>
            <w:tcW w:w="1776" w:type="dxa"/>
          </w:tcPr>
          <w:p w:rsidR="007C5447" w:rsidRDefault="00F6308C">
            <w:pPr>
              <w:pStyle w:val="TableParagraph"/>
              <w:spacing w:before="58"/>
              <w:ind w:right="97"/>
              <w:rPr>
                <w:sz w:val="20"/>
              </w:rPr>
            </w:pPr>
            <w:r>
              <w:rPr>
                <w:w w:val="95"/>
                <w:sz w:val="20"/>
              </w:rPr>
              <w:t>852.97</w:t>
            </w:r>
          </w:p>
        </w:tc>
        <w:tc>
          <w:tcPr>
            <w:tcW w:w="1641" w:type="dxa"/>
          </w:tcPr>
          <w:p w:rsidR="007C5447" w:rsidRDefault="00F6308C">
            <w:pPr>
              <w:pStyle w:val="TableParagraph"/>
              <w:spacing w:before="58"/>
              <w:ind w:right="96"/>
              <w:rPr>
                <w:sz w:val="20"/>
              </w:rPr>
            </w:pPr>
            <w:r>
              <w:rPr>
                <w:w w:val="95"/>
                <w:sz w:val="20"/>
              </w:rPr>
              <w:t>852.97</w:t>
            </w:r>
          </w:p>
        </w:tc>
        <w:tc>
          <w:tcPr>
            <w:tcW w:w="1814" w:type="dxa"/>
          </w:tcPr>
          <w:p w:rsidR="007C5447" w:rsidRDefault="00F6308C">
            <w:pPr>
              <w:pStyle w:val="TableParagraph"/>
              <w:spacing w:before="58"/>
              <w:ind w:right="93"/>
              <w:rPr>
                <w:sz w:val="20"/>
              </w:rPr>
            </w:pPr>
            <w:r>
              <w:rPr>
                <w:w w:val="95"/>
                <w:sz w:val="20"/>
              </w:rPr>
              <w:t>728.70</w:t>
            </w:r>
          </w:p>
        </w:tc>
        <w:tc>
          <w:tcPr>
            <w:tcW w:w="1775" w:type="dxa"/>
          </w:tcPr>
          <w:p w:rsidR="007C5447" w:rsidRDefault="00F6308C">
            <w:pPr>
              <w:pStyle w:val="TableParagraph"/>
              <w:spacing w:before="58"/>
              <w:ind w:right="94"/>
              <w:rPr>
                <w:sz w:val="20"/>
              </w:rPr>
            </w:pPr>
            <w:r>
              <w:rPr>
                <w:w w:val="95"/>
                <w:sz w:val="20"/>
              </w:rPr>
              <w:t>780.86</w:t>
            </w:r>
          </w:p>
        </w:tc>
        <w:tc>
          <w:tcPr>
            <w:tcW w:w="1648" w:type="dxa"/>
          </w:tcPr>
          <w:p w:rsidR="007C5447" w:rsidRDefault="00F6308C">
            <w:pPr>
              <w:pStyle w:val="TableParagraph"/>
              <w:spacing w:before="58"/>
              <w:ind w:right="93"/>
              <w:rPr>
                <w:sz w:val="20"/>
              </w:rPr>
            </w:pPr>
            <w:r>
              <w:rPr>
                <w:w w:val="95"/>
                <w:sz w:val="20"/>
              </w:rPr>
              <w:t>780.86</w:t>
            </w:r>
          </w:p>
        </w:tc>
      </w:tr>
      <w:tr w:rsidR="007C5447">
        <w:trPr>
          <w:trHeight w:val="347"/>
        </w:trPr>
        <w:tc>
          <w:tcPr>
            <w:tcW w:w="4184" w:type="dxa"/>
          </w:tcPr>
          <w:p w:rsidR="007C5447" w:rsidRDefault="00F6308C">
            <w:pPr>
              <w:pStyle w:val="TableParagraph"/>
              <w:spacing w:before="58"/>
              <w:ind w:left="107"/>
              <w:jc w:val="left"/>
              <w:rPr>
                <w:sz w:val="20"/>
              </w:rPr>
            </w:pPr>
            <w:r>
              <w:rPr>
                <w:sz w:val="20"/>
              </w:rPr>
              <w:t>Add: Net Prior Period Expense / (Income0</w:t>
            </w:r>
          </w:p>
        </w:tc>
        <w:tc>
          <w:tcPr>
            <w:tcW w:w="1814" w:type="dxa"/>
          </w:tcPr>
          <w:p w:rsidR="007C5447" w:rsidRDefault="00F6308C">
            <w:pPr>
              <w:pStyle w:val="TableParagraph"/>
              <w:spacing w:before="58"/>
              <w:ind w:right="91"/>
              <w:rPr>
                <w:sz w:val="20"/>
              </w:rPr>
            </w:pPr>
            <w:r>
              <w:rPr>
                <w:w w:val="99"/>
                <w:sz w:val="20"/>
              </w:rPr>
              <w:t>-</w:t>
            </w:r>
          </w:p>
        </w:tc>
        <w:tc>
          <w:tcPr>
            <w:tcW w:w="1776" w:type="dxa"/>
          </w:tcPr>
          <w:p w:rsidR="007C5447" w:rsidRDefault="00F6308C">
            <w:pPr>
              <w:pStyle w:val="TableParagraph"/>
              <w:spacing w:before="58"/>
              <w:ind w:right="95"/>
              <w:rPr>
                <w:sz w:val="20"/>
              </w:rPr>
            </w:pPr>
            <w:r>
              <w:rPr>
                <w:w w:val="95"/>
                <w:sz w:val="20"/>
              </w:rPr>
              <w:t>(89.24)</w:t>
            </w:r>
          </w:p>
        </w:tc>
        <w:tc>
          <w:tcPr>
            <w:tcW w:w="1641" w:type="dxa"/>
          </w:tcPr>
          <w:p w:rsidR="007C5447" w:rsidRDefault="00F6308C">
            <w:pPr>
              <w:pStyle w:val="TableParagraph"/>
              <w:spacing w:before="58"/>
              <w:ind w:right="94"/>
              <w:rPr>
                <w:sz w:val="20"/>
              </w:rPr>
            </w:pPr>
            <w:r>
              <w:rPr>
                <w:w w:val="95"/>
                <w:sz w:val="20"/>
              </w:rPr>
              <w:t>(319.94)</w:t>
            </w:r>
          </w:p>
        </w:tc>
        <w:tc>
          <w:tcPr>
            <w:tcW w:w="1814" w:type="dxa"/>
          </w:tcPr>
          <w:p w:rsidR="007C5447" w:rsidRDefault="00F6308C">
            <w:pPr>
              <w:pStyle w:val="TableParagraph"/>
              <w:spacing w:before="58"/>
              <w:ind w:right="89"/>
              <w:rPr>
                <w:sz w:val="20"/>
              </w:rPr>
            </w:pPr>
            <w:r>
              <w:rPr>
                <w:w w:val="99"/>
                <w:sz w:val="20"/>
              </w:rPr>
              <w:t>-</w:t>
            </w:r>
          </w:p>
        </w:tc>
        <w:tc>
          <w:tcPr>
            <w:tcW w:w="1775" w:type="dxa"/>
          </w:tcPr>
          <w:p w:rsidR="007C5447" w:rsidRDefault="00F6308C">
            <w:pPr>
              <w:pStyle w:val="TableParagraph"/>
              <w:spacing w:before="58"/>
              <w:ind w:right="92"/>
              <w:rPr>
                <w:sz w:val="20"/>
              </w:rPr>
            </w:pPr>
            <w:r>
              <w:rPr>
                <w:w w:val="95"/>
                <w:sz w:val="20"/>
              </w:rPr>
              <w:t>(1,526.91)</w:t>
            </w:r>
          </w:p>
        </w:tc>
        <w:tc>
          <w:tcPr>
            <w:tcW w:w="1648" w:type="dxa"/>
          </w:tcPr>
          <w:p w:rsidR="007C5447" w:rsidRDefault="00F6308C">
            <w:pPr>
              <w:pStyle w:val="TableParagraph"/>
              <w:spacing w:before="58"/>
              <w:ind w:right="91"/>
              <w:rPr>
                <w:sz w:val="20"/>
              </w:rPr>
            </w:pPr>
            <w:r>
              <w:rPr>
                <w:w w:val="95"/>
                <w:sz w:val="20"/>
              </w:rPr>
              <w:t>(1,008.76)</w:t>
            </w:r>
          </w:p>
        </w:tc>
      </w:tr>
      <w:tr w:rsidR="007C5447">
        <w:trPr>
          <w:trHeight w:val="421"/>
        </w:trPr>
        <w:tc>
          <w:tcPr>
            <w:tcW w:w="4184" w:type="dxa"/>
          </w:tcPr>
          <w:p w:rsidR="007C5447" w:rsidRDefault="00F6308C">
            <w:pPr>
              <w:pStyle w:val="TableParagraph"/>
              <w:spacing w:before="96"/>
              <w:ind w:left="107"/>
              <w:jc w:val="left"/>
              <w:rPr>
                <w:sz w:val="20"/>
              </w:rPr>
            </w:pPr>
            <w:r>
              <w:rPr>
                <w:sz w:val="20"/>
              </w:rPr>
              <w:t>Less: Cap cost of generation during trial stage</w:t>
            </w:r>
          </w:p>
        </w:tc>
        <w:tc>
          <w:tcPr>
            <w:tcW w:w="1814" w:type="dxa"/>
          </w:tcPr>
          <w:p w:rsidR="007C5447" w:rsidRDefault="007C5447">
            <w:pPr>
              <w:pStyle w:val="TableParagraph"/>
              <w:jc w:val="left"/>
              <w:rPr>
                <w:sz w:val="20"/>
              </w:rPr>
            </w:pPr>
          </w:p>
        </w:tc>
        <w:tc>
          <w:tcPr>
            <w:tcW w:w="1776" w:type="dxa"/>
          </w:tcPr>
          <w:p w:rsidR="007C5447" w:rsidRDefault="00F6308C">
            <w:pPr>
              <w:pStyle w:val="TableParagraph"/>
              <w:spacing w:before="96"/>
              <w:ind w:right="95"/>
              <w:rPr>
                <w:sz w:val="20"/>
              </w:rPr>
            </w:pPr>
            <w:r>
              <w:rPr>
                <w:w w:val="95"/>
                <w:sz w:val="20"/>
              </w:rPr>
              <w:t>(17.76)</w:t>
            </w:r>
          </w:p>
        </w:tc>
        <w:tc>
          <w:tcPr>
            <w:tcW w:w="1641" w:type="dxa"/>
          </w:tcPr>
          <w:p w:rsidR="007C5447" w:rsidRDefault="00F6308C">
            <w:pPr>
              <w:pStyle w:val="TableParagraph"/>
              <w:spacing w:before="96"/>
              <w:ind w:right="93"/>
              <w:rPr>
                <w:sz w:val="20"/>
              </w:rPr>
            </w:pPr>
            <w:r>
              <w:rPr>
                <w:w w:val="99"/>
                <w:sz w:val="20"/>
              </w:rPr>
              <w:t>-</w:t>
            </w:r>
          </w:p>
        </w:tc>
        <w:tc>
          <w:tcPr>
            <w:tcW w:w="1814" w:type="dxa"/>
          </w:tcPr>
          <w:p w:rsidR="007C5447" w:rsidRDefault="00F6308C">
            <w:pPr>
              <w:pStyle w:val="TableParagraph"/>
              <w:spacing w:before="96"/>
              <w:ind w:right="91"/>
              <w:rPr>
                <w:sz w:val="20"/>
              </w:rPr>
            </w:pPr>
            <w:r>
              <w:rPr>
                <w:sz w:val="20"/>
              </w:rPr>
              <w:t>(128)</w:t>
            </w:r>
          </w:p>
        </w:tc>
        <w:tc>
          <w:tcPr>
            <w:tcW w:w="1775" w:type="dxa"/>
          </w:tcPr>
          <w:p w:rsidR="007C5447" w:rsidRDefault="007C5447">
            <w:pPr>
              <w:pStyle w:val="TableParagraph"/>
              <w:jc w:val="left"/>
              <w:rPr>
                <w:sz w:val="20"/>
              </w:rPr>
            </w:pPr>
          </w:p>
        </w:tc>
        <w:tc>
          <w:tcPr>
            <w:tcW w:w="1648" w:type="dxa"/>
          </w:tcPr>
          <w:p w:rsidR="007C5447" w:rsidRDefault="007C5447">
            <w:pPr>
              <w:pStyle w:val="TableParagraph"/>
              <w:jc w:val="left"/>
              <w:rPr>
                <w:sz w:val="20"/>
              </w:rPr>
            </w:pPr>
          </w:p>
        </w:tc>
      </w:tr>
      <w:tr w:rsidR="007C5447">
        <w:trPr>
          <w:trHeight w:val="261"/>
        </w:trPr>
        <w:tc>
          <w:tcPr>
            <w:tcW w:w="4184" w:type="dxa"/>
          </w:tcPr>
          <w:p w:rsidR="007C5447" w:rsidRDefault="00F6308C">
            <w:pPr>
              <w:pStyle w:val="TableParagraph"/>
              <w:spacing w:before="15" w:line="227" w:lineRule="exact"/>
              <w:ind w:left="107"/>
              <w:jc w:val="left"/>
              <w:rPr>
                <w:b/>
                <w:sz w:val="20"/>
              </w:rPr>
            </w:pPr>
            <w:r>
              <w:rPr>
                <w:b/>
                <w:sz w:val="20"/>
              </w:rPr>
              <w:t>Net ARR</w:t>
            </w:r>
          </w:p>
        </w:tc>
        <w:tc>
          <w:tcPr>
            <w:tcW w:w="1814" w:type="dxa"/>
          </w:tcPr>
          <w:p w:rsidR="007C5447" w:rsidRDefault="00F6308C">
            <w:pPr>
              <w:pStyle w:val="TableParagraph"/>
              <w:spacing w:before="15" w:line="227" w:lineRule="exact"/>
              <w:ind w:right="95"/>
              <w:rPr>
                <w:b/>
                <w:sz w:val="20"/>
              </w:rPr>
            </w:pPr>
            <w:r>
              <w:rPr>
                <w:b/>
                <w:w w:val="95"/>
                <w:sz w:val="20"/>
              </w:rPr>
              <w:t>33,682.65</w:t>
            </w:r>
          </w:p>
        </w:tc>
        <w:tc>
          <w:tcPr>
            <w:tcW w:w="1776" w:type="dxa"/>
          </w:tcPr>
          <w:p w:rsidR="007C5447" w:rsidRDefault="00F6308C">
            <w:pPr>
              <w:pStyle w:val="TableParagraph"/>
              <w:spacing w:before="15" w:line="227" w:lineRule="exact"/>
              <w:ind w:right="98"/>
              <w:rPr>
                <w:b/>
                <w:sz w:val="20"/>
              </w:rPr>
            </w:pPr>
            <w:r>
              <w:rPr>
                <w:b/>
                <w:w w:val="95"/>
                <w:sz w:val="20"/>
              </w:rPr>
              <w:t>49,438.59</w:t>
            </w:r>
          </w:p>
        </w:tc>
        <w:tc>
          <w:tcPr>
            <w:tcW w:w="1641" w:type="dxa"/>
          </w:tcPr>
          <w:p w:rsidR="007C5447" w:rsidRDefault="00F6308C">
            <w:pPr>
              <w:pStyle w:val="TableParagraph"/>
              <w:spacing w:before="15" w:line="227" w:lineRule="exact"/>
              <w:ind w:right="96"/>
              <w:rPr>
                <w:b/>
                <w:sz w:val="20"/>
              </w:rPr>
            </w:pPr>
            <w:r>
              <w:rPr>
                <w:b/>
                <w:w w:val="95"/>
                <w:sz w:val="20"/>
              </w:rPr>
              <w:t>37,947.41</w:t>
            </w:r>
          </w:p>
        </w:tc>
        <w:tc>
          <w:tcPr>
            <w:tcW w:w="1814" w:type="dxa"/>
          </w:tcPr>
          <w:p w:rsidR="007C5447" w:rsidRDefault="00F6308C">
            <w:pPr>
              <w:pStyle w:val="TableParagraph"/>
              <w:spacing w:before="15" w:line="227" w:lineRule="exact"/>
              <w:ind w:right="94"/>
              <w:rPr>
                <w:b/>
                <w:sz w:val="20"/>
              </w:rPr>
            </w:pPr>
            <w:r>
              <w:rPr>
                <w:b/>
                <w:w w:val="95"/>
                <w:sz w:val="20"/>
              </w:rPr>
              <w:t>37,128.52</w:t>
            </w:r>
          </w:p>
        </w:tc>
        <w:tc>
          <w:tcPr>
            <w:tcW w:w="1775" w:type="dxa"/>
          </w:tcPr>
          <w:p w:rsidR="007C5447" w:rsidRDefault="00F6308C">
            <w:pPr>
              <w:pStyle w:val="TableParagraph"/>
              <w:spacing w:before="15" w:line="227" w:lineRule="exact"/>
              <w:ind w:right="95"/>
              <w:rPr>
                <w:b/>
                <w:sz w:val="20"/>
              </w:rPr>
            </w:pPr>
            <w:r>
              <w:rPr>
                <w:b/>
                <w:w w:val="95"/>
                <w:sz w:val="20"/>
              </w:rPr>
              <w:t>48,567.55</w:t>
            </w:r>
          </w:p>
        </w:tc>
        <w:tc>
          <w:tcPr>
            <w:tcW w:w="1648" w:type="dxa"/>
          </w:tcPr>
          <w:p w:rsidR="007C5447" w:rsidRDefault="00F6308C">
            <w:pPr>
              <w:pStyle w:val="TableParagraph"/>
              <w:spacing w:before="15" w:line="227" w:lineRule="exact"/>
              <w:ind w:right="93"/>
              <w:rPr>
                <w:b/>
                <w:sz w:val="20"/>
              </w:rPr>
            </w:pPr>
            <w:r>
              <w:rPr>
                <w:b/>
                <w:w w:val="95"/>
                <w:sz w:val="20"/>
              </w:rPr>
              <w:t>42,298.72</w:t>
            </w:r>
          </w:p>
        </w:tc>
      </w:tr>
    </w:tbl>
    <w:p w:rsidR="007C5447" w:rsidRDefault="007C5447">
      <w:pPr>
        <w:spacing w:line="227" w:lineRule="exact"/>
        <w:rPr>
          <w:sz w:val="20"/>
        </w:rPr>
        <w:sectPr w:rsidR="007C5447">
          <w:pgSz w:w="16840" w:h="11910" w:orient="landscape"/>
          <w:pgMar w:top="1100" w:right="380" w:bottom="1240" w:left="340" w:header="0" w:footer="1057" w:gutter="0"/>
          <w:cols w:space="720"/>
        </w:sectPr>
      </w:pPr>
    </w:p>
    <w:p w:rsidR="007C5447" w:rsidRDefault="00F6308C">
      <w:pPr>
        <w:pStyle w:val="Heading2"/>
        <w:numPr>
          <w:ilvl w:val="1"/>
          <w:numId w:val="92"/>
        </w:numPr>
        <w:tabs>
          <w:tab w:val="left" w:pos="707"/>
        </w:tabs>
        <w:spacing w:before="61"/>
        <w:ind w:left="706"/>
        <w:jc w:val="left"/>
      </w:pPr>
      <w:bookmarkStart w:id="54" w:name="_bookmark54"/>
      <w:bookmarkEnd w:id="54"/>
      <w:r>
        <w:lastRenderedPageBreak/>
        <w:t>Revenue from sale of</w:t>
      </w:r>
      <w:r>
        <w:rPr>
          <w:spacing w:val="-6"/>
        </w:rPr>
        <w:t xml:space="preserve"> </w:t>
      </w:r>
      <w:r>
        <w:t>power</w:t>
      </w:r>
    </w:p>
    <w:p w:rsidR="007C5447" w:rsidRDefault="007C5447">
      <w:pPr>
        <w:pStyle w:val="BodyText"/>
        <w:spacing w:before="11"/>
        <w:rPr>
          <w:b/>
          <w:sz w:val="27"/>
        </w:rPr>
      </w:pPr>
    </w:p>
    <w:p w:rsidR="007C5447" w:rsidRDefault="00F6308C">
      <w:pPr>
        <w:pStyle w:val="ListParagraph"/>
        <w:numPr>
          <w:ilvl w:val="2"/>
          <w:numId w:val="92"/>
        </w:numPr>
        <w:tabs>
          <w:tab w:val="left" w:pos="993"/>
        </w:tabs>
        <w:spacing w:line="312" w:lineRule="auto"/>
        <w:ind w:left="992" w:right="129"/>
        <w:jc w:val="both"/>
        <w:rPr>
          <w:sz w:val="24"/>
        </w:rPr>
      </w:pPr>
      <w:r>
        <w:rPr>
          <w:sz w:val="24"/>
        </w:rPr>
        <w:t>TANGEDCO submitted that revenue available in accounts for all the years is inclusive of revenue from wheeling units. Therefore, it has excluded the revenue earned from wheeling units and then submitted category-wise revenue earned from FY 2011-12 to FY</w:t>
      </w:r>
      <w:r>
        <w:rPr>
          <w:spacing w:val="-1"/>
          <w:sz w:val="24"/>
        </w:rPr>
        <w:t xml:space="preserve"> </w:t>
      </w:r>
      <w:r>
        <w:rPr>
          <w:sz w:val="24"/>
        </w:rPr>
        <w:t>201</w:t>
      </w:r>
      <w:r>
        <w:rPr>
          <w:sz w:val="24"/>
        </w:rPr>
        <w:t>5-16.</w:t>
      </w:r>
    </w:p>
    <w:p w:rsidR="007C5447" w:rsidRDefault="007C5447">
      <w:pPr>
        <w:pStyle w:val="BodyText"/>
        <w:spacing w:before="10"/>
        <w:rPr>
          <w:sz w:val="20"/>
        </w:rPr>
      </w:pPr>
    </w:p>
    <w:p w:rsidR="007C5447" w:rsidRDefault="00F6308C">
      <w:pPr>
        <w:pStyle w:val="Heading2"/>
        <w:ind w:left="992"/>
      </w:pPr>
      <w:r>
        <w:t>Commission’s view</w:t>
      </w:r>
    </w:p>
    <w:p w:rsidR="007C5447" w:rsidRDefault="00F6308C">
      <w:pPr>
        <w:pStyle w:val="ListParagraph"/>
        <w:numPr>
          <w:ilvl w:val="2"/>
          <w:numId w:val="92"/>
        </w:numPr>
        <w:tabs>
          <w:tab w:val="left" w:pos="993"/>
        </w:tabs>
        <w:spacing w:before="204" w:line="312" w:lineRule="auto"/>
        <w:ind w:left="992" w:right="131"/>
        <w:jc w:val="both"/>
        <w:rPr>
          <w:sz w:val="24"/>
        </w:rPr>
      </w:pPr>
      <w:r>
        <w:rPr>
          <w:sz w:val="24"/>
        </w:rPr>
        <w:t>The Commission has considered the revenue from sales as given in the Audited Accounts for FY 2011-12 to FY 2015-16. However, as revenue in the Audited  Accounts consist of revenue from wheeling units also, the same has been deducte</w:t>
      </w:r>
      <w:r>
        <w:rPr>
          <w:sz w:val="24"/>
        </w:rPr>
        <w:t>d from the total revenue, whereas TANGEDCO has reduced the wheeling revenue from the category-wise revenue. Further, as sales to Puducherry have been disallowed by the Commission, corresponding revenue has also not been considered. The revenue from sales a</w:t>
      </w:r>
      <w:r>
        <w:rPr>
          <w:sz w:val="24"/>
        </w:rPr>
        <w:t>pproved for FY 2011-12 to FY 2015-16 is shown in the Table</w:t>
      </w:r>
      <w:r>
        <w:rPr>
          <w:spacing w:val="-4"/>
          <w:sz w:val="24"/>
        </w:rPr>
        <w:t xml:space="preserve"> </w:t>
      </w:r>
      <w:r>
        <w:rPr>
          <w:sz w:val="24"/>
        </w:rPr>
        <w:t>below:</w:t>
      </w: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F6308C">
      <w:pPr>
        <w:pStyle w:val="BodyText"/>
        <w:spacing w:before="2"/>
        <w:rPr>
          <w:sz w:val="11"/>
        </w:rPr>
      </w:pPr>
      <w:r>
        <w:pict>
          <v:line id="_x0000_s1055" style="position:absolute;z-index:-251645952;mso-wrap-distance-left:0;mso-wrap-distance-right:0;mso-position-horizontal-relative:page" from="70.6pt,9.15pt" to="540.2pt,9.15pt" strokeweight="1.44pt">
            <w10:wrap type="topAndBottom" anchorx="page"/>
          </v:line>
        </w:pict>
      </w:r>
    </w:p>
    <w:p w:rsidR="007C5447" w:rsidRDefault="007C5447">
      <w:pPr>
        <w:rPr>
          <w:sz w:val="11"/>
        </w:rPr>
        <w:sectPr w:rsidR="007C5447">
          <w:footerReference w:type="default" r:id="rId41"/>
          <w:pgSz w:w="11910" w:h="16840"/>
          <w:pgMar w:top="1480" w:right="1000" w:bottom="1040" w:left="1300" w:header="0" w:footer="857" w:gutter="0"/>
          <w:cols w:space="720"/>
        </w:sectPr>
      </w:pPr>
    </w:p>
    <w:p w:rsidR="007C5447" w:rsidRDefault="007C5447">
      <w:pPr>
        <w:pStyle w:val="BodyText"/>
        <w:rPr>
          <w:sz w:val="20"/>
        </w:rPr>
      </w:pPr>
    </w:p>
    <w:p w:rsidR="007C5447" w:rsidRDefault="007C5447">
      <w:pPr>
        <w:pStyle w:val="BodyText"/>
        <w:spacing w:before="6"/>
        <w:rPr>
          <w:sz w:val="19"/>
        </w:rPr>
      </w:pPr>
    </w:p>
    <w:p w:rsidR="007C5447" w:rsidRDefault="00F6308C">
      <w:pPr>
        <w:ind w:left="2649"/>
        <w:rPr>
          <w:b/>
        </w:rPr>
      </w:pPr>
      <w:r>
        <w:rPr>
          <w:b/>
        </w:rPr>
        <w:t>Table 3-73: Revenue from Sales approved by the Commission after true-up for FY 2011-12 to FY 2013-14 (Rs. Crore)</w:t>
      </w:r>
    </w:p>
    <w:p w:rsidR="007C5447" w:rsidRDefault="007C5447">
      <w:pPr>
        <w:pStyle w:val="BodyText"/>
        <w:spacing w:before="11"/>
        <w:rPr>
          <w:b/>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3144"/>
        <w:gridCol w:w="1003"/>
        <w:gridCol w:w="1257"/>
        <w:gridCol w:w="1403"/>
        <w:gridCol w:w="1003"/>
        <w:gridCol w:w="1257"/>
        <w:gridCol w:w="1401"/>
        <w:gridCol w:w="1006"/>
        <w:gridCol w:w="1255"/>
        <w:gridCol w:w="1404"/>
      </w:tblGrid>
      <w:tr w:rsidR="007C5447">
        <w:trPr>
          <w:trHeight w:val="297"/>
        </w:trPr>
        <w:tc>
          <w:tcPr>
            <w:tcW w:w="3782" w:type="dxa"/>
            <w:gridSpan w:val="2"/>
            <w:vMerge w:val="restart"/>
            <w:shd w:val="clear" w:color="auto" w:fill="FBD4B4"/>
          </w:tcPr>
          <w:p w:rsidR="007C5447" w:rsidRDefault="007C5447">
            <w:pPr>
              <w:pStyle w:val="TableParagraph"/>
              <w:jc w:val="left"/>
              <w:rPr>
                <w:b/>
                <w:sz w:val="20"/>
              </w:rPr>
            </w:pPr>
          </w:p>
          <w:p w:rsidR="007C5447" w:rsidRDefault="00F6308C">
            <w:pPr>
              <w:pStyle w:val="TableParagraph"/>
              <w:spacing w:before="122"/>
              <w:ind w:left="1269"/>
              <w:jc w:val="left"/>
              <w:rPr>
                <w:b/>
                <w:sz w:val="18"/>
              </w:rPr>
            </w:pPr>
            <w:r>
              <w:rPr>
                <w:b/>
                <w:sz w:val="18"/>
              </w:rPr>
              <w:t>Consumer category</w:t>
            </w:r>
          </w:p>
        </w:tc>
        <w:tc>
          <w:tcPr>
            <w:tcW w:w="3663" w:type="dxa"/>
            <w:gridSpan w:val="3"/>
            <w:shd w:val="clear" w:color="auto" w:fill="FBD4B4"/>
          </w:tcPr>
          <w:p w:rsidR="007C5447" w:rsidRDefault="00F6308C">
            <w:pPr>
              <w:pStyle w:val="TableParagraph"/>
              <w:spacing w:before="45"/>
              <w:ind w:left="1372" w:right="1356"/>
              <w:jc w:val="center"/>
              <w:rPr>
                <w:b/>
                <w:sz w:val="18"/>
              </w:rPr>
            </w:pPr>
            <w:r>
              <w:rPr>
                <w:b/>
                <w:sz w:val="18"/>
              </w:rPr>
              <w:t>FY 2011-12</w:t>
            </w:r>
          </w:p>
        </w:tc>
        <w:tc>
          <w:tcPr>
            <w:tcW w:w="3661" w:type="dxa"/>
            <w:gridSpan w:val="3"/>
            <w:shd w:val="clear" w:color="auto" w:fill="FBD4B4"/>
          </w:tcPr>
          <w:p w:rsidR="007C5447" w:rsidRDefault="00F6308C">
            <w:pPr>
              <w:pStyle w:val="TableParagraph"/>
              <w:spacing w:before="45"/>
              <w:ind w:left="1372" w:right="1354"/>
              <w:jc w:val="center"/>
              <w:rPr>
                <w:b/>
                <w:sz w:val="18"/>
              </w:rPr>
            </w:pPr>
            <w:r>
              <w:rPr>
                <w:b/>
                <w:sz w:val="18"/>
              </w:rPr>
              <w:t>FY 2012-13</w:t>
            </w:r>
          </w:p>
        </w:tc>
        <w:tc>
          <w:tcPr>
            <w:tcW w:w="3665" w:type="dxa"/>
            <w:gridSpan w:val="3"/>
            <w:shd w:val="clear" w:color="auto" w:fill="FBD4B4"/>
          </w:tcPr>
          <w:p w:rsidR="007C5447" w:rsidRDefault="00F6308C">
            <w:pPr>
              <w:pStyle w:val="TableParagraph"/>
              <w:spacing w:before="45"/>
              <w:ind w:left="1376" w:right="1353"/>
              <w:jc w:val="center"/>
              <w:rPr>
                <w:b/>
                <w:sz w:val="18"/>
              </w:rPr>
            </w:pPr>
            <w:r>
              <w:rPr>
                <w:b/>
                <w:sz w:val="18"/>
              </w:rPr>
              <w:t>FY 2013-14</w:t>
            </w:r>
          </w:p>
        </w:tc>
      </w:tr>
      <w:tr w:rsidR="007C5447">
        <w:trPr>
          <w:trHeight w:val="606"/>
        </w:trPr>
        <w:tc>
          <w:tcPr>
            <w:tcW w:w="3782" w:type="dxa"/>
            <w:gridSpan w:val="2"/>
            <w:vMerge/>
            <w:tcBorders>
              <w:top w:val="nil"/>
            </w:tcBorders>
            <w:shd w:val="clear" w:color="auto" w:fill="FBD4B4"/>
          </w:tcPr>
          <w:p w:rsidR="007C5447" w:rsidRDefault="007C5447">
            <w:pPr>
              <w:rPr>
                <w:sz w:val="2"/>
                <w:szCs w:val="2"/>
              </w:rPr>
            </w:pPr>
          </w:p>
        </w:tc>
        <w:tc>
          <w:tcPr>
            <w:tcW w:w="1003" w:type="dxa"/>
            <w:shd w:val="clear" w:color="auto" w:fill="FBD4B4"/>
          </w:tcPr>
          <w:p w:rsidR="007C5447" w:rsidRDefault="00F6308C">
            <w:pPr>
              <w:pStyle w:val="TableParagraph"/>
              <w:spacing w:before="95" w:line="207" w:lineRule="exact"/>
              <w:ind w:left="305"/>
              <w:jc w:val="left"/>
              <w:rPr>
                <w:b/>
                <w:sz w:val="18"/>
              </w:rPr>
            </w:pPr>
            <w:r>
              <w:rPr>
                <w:b/>
                <w:sz w:val="18"/>
              </w:rPr>
              <w:t>SMT</w:t>
            </w:r>
          </w:p>
          <w:p w:rsidR="007C5447" w:rsidRDefault="00F6308C">
            <w:pPr>
              <w:pStyle w:val="TableParagraph"/>
              <w:spacing w:line="207" w:lineRule="exact"/>
              <w:ind w:left="262"/>
              <w:jc w:val="left"/>
              <w:rPr>
                <w:b/>
                <w:sz w:val="18"/>
              </w:rPr>
            </w:pPr>
            <w:r>
              <w:rPr>
                <w:b/>
                <w:sz w:val="18"/>
              </w:rPr>
              <w:t>Order</w:t>
            </w:r>
          </w:p>
        </w:tc>
        <w:tc>
          <w:tcPr>
            <w:tcW w:w="1257" w:type="dxa"/>
            <w:shd w:val="clear" w:color="auto" w:fill="FBD4B4"/>
          </w:tcPr>
          <w:p w:rsidR="007C5447" w:rsidRDefault="007C5447">
            <w:pPr>
              <w:pStyle w:val="TableParagraph"/>
              <w:spacing w:before="3"/>
              <w:jc w:val="left"/>
              <w:rPr>
                <w:b/>
                <w:sz w:val="17"/>
              </w:rPr>
            </w:pPr>
          </w:p>
          <w:p w:rsidR="007C5447" w:rsidRDefault="00F6308C">
            <w:pPr>
              <w:pStyle w:val="TableParagraph"/>
              <w:ind w:right="97"/>
              <w:rPr>
                <w:b/>
                <w:sz w:val="18"/>
              </w:rPr>
            </w:pPr>
            <w:r>
              <w:rPr>
                <w:b/>
                <w:sz w:val="18"/>
              </w:rPr>
              <w:t>TANGEDCO</w:t>
            </w:r>
          </w:p>
        </w:tc>
        <w:tc>
          <w:tcPr>
            <w:tcW w:w="1403" w:type="dxa"/>
            <w:shd w:val="clear" w:color="auto" w:fill="FBD4B4"/>
          </w:tcPr>
          <w:p w:rsidR="007C5447" w:rsidRDefault="00F6308C">
            <w:pPr>
              <w:pStyle w:val="TableParagraph"/>
              <w:spacing w:before="95"/>
              <w:ind w:left="422" w:right="76" w:hanging="310"/>
              <w:jc w:val="left"/>
              <w:rPr>
                <w:b/>
                <w:sz w:val="18"/>
              </w:rPr>
            </w:pPr>
            <w:r>
              <w:rPr>
                <w:b/>
                <w:sz w:val="18"/>
              </w:rPr>
              <w:t>Approved after true up</w:t>
            </w:r>
          </w:p>
        </w:tc>
        <w:tc>
          <w:tcPr>
            <w:tcW w:w="1003" w:type="dxa"/>
            <w:shd w:val="clear" w:color="auto" w:fill="FBD4B4"/>
          </w:tcPr>
          <w:p w:rsidR="007C5447" w:rsidRDefault="00F6308C">
            <w:pPr>
              <w:pStyle w:val="TableParagraph"/>
              <w:spacing w:before="95" w:line="207" w:lineRule="exact"/>
              <w:ind w:left="305"/>
              <w:jc w:val="left"/>
              <w:rPr>
                <w:b/>
                <w:sz w:val="18"/>
              </w:rPr>
            </w:pPr>
            <w:r>
              <w:rPr>
                <w:b/>
                <w:sz w:val="18"/>
              </w:rPr>
              <w:t>SMT</w:t>
            </w:r>
          </w:p>
          <w:p w:rsidR="007C5447" w:rsidRDefault="00F6308C">
            <w:pPr>
              <w:pStyle w:val="TableParagraph"/>
              <w:spacing w:line="207" w:lineRule="exact"/>
              <w:ind w:left="262"/>
              <w:jc w:val="left"/>
              <w:rPr>
                <w:b/>
                <w:sz w:val="18"/>
              </w:rPr>
            </w:pPr>
            <w:r>
              <w:rPr>
                <w:b/>
                <w:sz w:val="18"/>
              </w:rPr>
              <w:t>Order</w:t>
            </w:r>
          </w:p>
        </w:tc>
        <w:tc>
          <w:tcPr>
            <w:tcW w:w="1257" w:type="dxa"/>
            <w:shd w:val="clear" w:color="auto" w:fill="FBD4B4"/>
          </w:tcPr>
          <w:p w:rsidR="007C5447" w:rsidRDefault="007C5447">
            <w:pPr>
              <w:pStyle w:val="TableParagraph"/>
              <w:spacing w:before="3"/>
              <w:jc w:val="left"/>
              <w:rPr>
                <w:b/>
                <w:sz w:val="17"/>
              </w:rPr>
            </w:pPr>
          </w:p>
          <w:p w:rsidR="007C5447" w:rsidRDefault="00F6308C">
            <w:pPr>
              <w:pStyle w:val="TableParagraph"/>
              <w:ind w:right="95"/>
              <w:rPr>
                <w:b/>
                <w:sz w:val="18"/>
              </w:rPr>
            </w:pPr>
            <w:r>
              <w:rPr>
                <w:b/>
                <w:sz w:val="18"/>
              </w:rPr>
              <w:t>TANGEDCO</w:t>
            </w:r>
          </w:p>
        </w:tc>
        <w:tc>
          <w:tcPr>
            <w:tcW w:w="1401" w:type="dxa"/>
            <w:shd w:val="clear" w:color="auto" w:fill="FBD4B4"/>
          </w:tcPr>
          <w:p w:rsidR="007C5447" w:rsidRDefault="00F6308C">
            <w:pPr>
              <w:pStyle w:val="TableParagraph"/>
              <w:spacing w:before="95"/>
              <w:ind w:left="424" w:right="72" w:hanging="310"/>
              <w:jc w:val="left"/>
              <w:rPr>
                <w:b/>
                <w:sz w:val="18"/>
              </w:rPr>
            </w:pPr>
            <w:r>
              <w:rPr>
                <w:b/>
                <w:sz w:val="18"/>
              </w:rPr>
              <w:t>Approved after true up</w:t>
            </w:r>
          </w:p>
        </w:tc>
        <w:tc>
          <w:tcPr>
            <w:tcW w:w="1006" w:type="dxa"/>
            <w:shd w:val="clear" w:color="auto" w:fill="FBD4B4"/>
          </w:tcPr>
          <w:p w:rsidR="007C5447" w:rsidRDefault="00F6308C">
            <w:pPr>
              <w:pStyle w:val="TableParagraph"/>
              <w:spacing w:before="95" w:line="207" w:lineRule="exact"/>
              <w:ind w:left="309"/>
              <w:jc w:val="left"/>
              <w:rPr>
                <w:b/>
                <w:sz w:val="18"/>
              </w:rPr>
            </w:pPr>
            <w:r>
              <w:rPr>
                <w:b/>
                <w:sz w:val="18"/>
              </w:rPr>
              <w:t>SMT</w:t>
            </w:r>
          </w:p>
          <w:p w:rsidR="007C5447" w:rsidRDefault="00F6308C">
            <w:pPr>
              <w:pStyle w:val="TableParagraph"/>
              <w:spacing w:line="207" w:lineRule="exact"/>
              <w:ind w:left="266"/>
              <w:jc w:val="left"/>
              <w:rPr>
                <w:b/>
                <w:sz w:val="18"/>
              </w:rPr>
            </w:pPr>
            <w:r>
              <w:rPr>
                <w:b/>
                <w:sz w:val="18"/>
              </w:rPr>
              <w:t>Order</w:t>
            </w:r>
          </w:p>
        </w:tc>
        <w:tc>
          <w:tcPr>
            <w:tcW w:w="1255" w:type="dxa"/>
            <w:shd w:val="clear" w:color="auto" w:fill="FBD4B4"/>
          </w:tcPr>
          <w:p w:rsidR="007C5447" w:rsidRDefault="007C5447">
            <w:pPr>
              <w:pStyle w:val="TableParagraph"/>
              <w:spacing w:before="3"/>
              <w:jc w:val="left"/>
              <w:rPr>
                <w:b/>
                <w:sz w:val="17"/>
              </w:rPr>
            </w:pPr>
          </w:p>
          <w:p w:rsidR="007C5447" w:rsidRDefault="00F6308C">
            <w:pPr>
              <w:pStyle w:val="TableParagraph"/>
              <w:ind w:right="94"/>
              <w:rPr>
                <w:b/>
                <w:sz w:val="18"/>
              </w:rPr>
            </w:pPr>
            <w:r>
              <w:rPr>
                <w:b/>
                <w:sz w:val="18"/>
              </w:rPr>
              <w:t>TANGEDCO</w:t>
            </w:r>
          </w:p>
        </w:tc>
        <w:tc>
          <w:tcPr>
            <w:tcW w:w="1404" w:type="dxa"/>
            <w:shd w:val="clear" w:color="auto" w:fill="FBD4B4"/>
          </w:tcPr>
          <w:p w:rsidR="007C5447" w:rsidRDefault="00F6308C">
            <w:pPr>
              <w:pStyle w:val="TableParagraph"/>
              <w:spacing w:before="95"/>
              <w:ind w:left="425" w:right="74" w:hanging="310"/>
              <w:jc w:val="left"/>
              <w:rPr>
                <w:b/>
                <w:sz w:val="18"/>
              </w:rPr>
            </w:pPr>
            <w:r>
              <w:rPr>
                <w:b/>
                <w:sz w:val="18"/>
              </w:rPr>
              <w:t>Approved after true up</w:t>
            </w:r>
          </w:p>
        </w:tc>
      </w:tr>
      <w:tr w:rsidR="007C5447">
        <w:trPr>
          <w:trHeight w:val="345"/>
        </w:trPr>
        <w:tc>
          <w:tcPr>
            <w:tcW w:w="638" w:type="dxa"/>
          </w:tcPr>
          <w:p w:rsidR="007C5447" w:rsidRDefault="007C5447">
            <w:pPr>
              <w:pStyle w:val="TableParagraph"/>
              <w:jc w:val="left"/>
              <w:rPr>
                <w:sz w:val="18"/>
              </w:rPr>
            </w:pPr>
          </w:p>
        </w:tc>
        <w:tc>
          <w:tcPr>
            <w:tcW w:w="3144" w:type="dxa"/>
          </w:tcPr>
          <w:p w:rsidR="007C5447" w:rsidRDefault="00F6308C">
            <w:pPr>
              <w:pStyle w:val="TableParagraph"/>
              <w:spacing w:before="69"/>
              <w:ind w:left="108"/>
              <w:jc w:val="left"/>
              <w:rPr>
                <w:b/>
                <w:sz w:val="18"/>
              </w:rPr>
            </w:pPr>
            <w:r>
              <w:rPr>
                <w:b/>
                <w:sz w:val="18"/>
              </w:rPr>
              <w:t>HT Category</w:t>
            </w:r>
          </w:p>
        </w:tc>
        <w:tc>
          <w:tcPr>
            <w:tcW w:w="1003" w:type="dxa"/>
          </w:tcPr>
          <w:p w:rsidR="007C5447" w:rsidRDefault="007C5447">
            <w:pPr>
              <w:pStyle w:val="TableParagraph"/>
              <w:jc w:val="left"/>
              <w:rPr>
                <w:sz w:val="18"/>
              </w:rPr>
            </w:pPr>
          </w:p>
        </w:tc>
        <w:tc>
          <w:tcPr>
            <w:tcW w:w="1257" w:type="dxa"/>
          </w:tcPr>
          <w:p w:rsidR="007C5447" w:rsidRDefault="007C5447">
            <w:pPr>
              <w:pStyle w:val="TableParagraph"/>
              <w:jc w:val="left"/>
              <w:rPr>
                <w:sz w:val="18"/>
              </w:rPr>
            </w:pPr>
          </w:p>
        </w:tc>
        <w:tc>
          <w:tcPr>
            <w:tcW w:w="1403" w:type="dxa"/>
          </w:tcPr>
          <w:p w:rsidR="007C5447" w:rsidRDefault="007C5447">
            <w:pPr>
              <w:pStyle w:val="TableParagraph"/>
              <w:jc w:val="left"/>
              <w:rPr>
                <w:sz w:val="18"/>
              </w:rPr>
            </w:pPr>
          </w:p>
        </w:tc>
        <w:tc>
          <w:tcPr>
            <w:tcW w:w="1003" w:type="dxa"/>
          </w:tcPr>
          <w:p w:rsidR="007C5447" w:rsidRDefault="007C5447">
            <w:pPr>
              <w:pStyle w:val="TableParagraph"/>
              <w:jc w:val="left"/>
              <w:rPr>
                <w:sz w:val="18"/>
              </w:rPr>
            </w:pPr>
          </w:p>
        </w:tc>
        <w:tc>
          <w:tcPr>
            <w:tcW w:w="1257" w:type="dxa"/>
          </w:tcPr>
          <w:p w:rsidR="007C5447" w:rsidRDefault="007C5447">
            <w:pPr>
              <w:pStyle w:val="TableParagraph"/>
              <w:jc w:val="left"/>
              <w:rPr>
                <w:sz w:val="18"/>
              </w:rPr>
            </w:pPr>
          </w:p>
        </w:tc>
        <w:tc>
          <w:tcPr>
            <w:tcW w:w="1401" w:type="dxa"/>
          </w:tcPr>
          <w:p w:rsidR="007C5447" w:rsidRDefault="007C5447">
            <w:pPr>
              <w:pStyle w:val="TableParagraph"/>
              <w:jc w:val="left"/>
              <w:rPr>
                <w:sz w:val="18"/>
              </w:rPr>
            </w:pPr>
          </w:p>
        </w:tc>
        <w:tc>
          <w:tcPr>
            <w:tcW w:w="1006" w:type="dxa"/>
          </w:tcPr>
          <w:p w:rsidR="007C5447" w:rsidRDefault="007C5447">
            <w:pPr>
              <w:pStyle w:val="TableParagraph"/>
              <w:jc w:val="left"/>
              <w:rPr>
                <w:sz w:val="18"/>
              </w:rPr>
            </w:pPr>
          </w:p>
        </w:tc>
        <w:tc>
          <w:tcPr>
            <w:tcW w:w="1255" w:type="dxa"/>
          </w:tcPr>
          <w:p w:rsidR="007C5447" w:rsidRDefault="007C5447">
            <w:pPr>
              <w:pStyle w:val="TableParagraph"/>
              <w:jc w:val="left"/>
              <w:rPr>
                <w:sz w:val="18"/>
              </w:rPr>
            </w:pPr>
          </w:p>
        </w:tc>
        <w:tc>
          <w:tcPr>
            <w:tcW w:w="1404" w:type="dxa"/>
          </w:tcPr>
          <w:p w:rsidR="007C5447" w:rsidRDefault="007C5447">
            <w:pPr>
              <w:pStyle w:val="TableParagraph"/>
              <w:jc w:val="left"/>
              <w:rPr>
                <w:sz w:val="18"/>
              </w:rPr>
            </w:pPr>
          </w:p>
        </w:tc>
      </w:tr>
      <w:tr w:rsidR="007C5447">
        <w:trPr>
          <w:trHeight w:val="345"/>
        </w:trPr>
        <w:tc>
          <w:tcPr>
            <w:tcW w:w="638" w:type="dxa"/>
          </w:tcPr>
          <w:p w:rsidR="007C5447" w:rsidRDefault="00F6308C">
            <w:pPr>
              <w:pStyle w:val="TableParagraph"/>
              <w:spacing w:before="69"/>
              <w:ind w:left="88" w:right="81"/>
              <w:jc w:val="center"/>
              <w:rPr>
                <w:sz w:val="18"/>
              </w:rPr>
            </w:pPr>
            <w:r>
              <w:rPr>
                <w:sz w:val="18"/>
              </w:rPr>
              <w:t>I (A)</w:t>
            </w:r>
          </w:p>
        </w:tc>
        <w:tc>
          <w:tcPr>
            <w:tcW w:w="3144" w:type="dxa"/>
          </w:tcPr>
          <w:p w:rsidR="007C5447" w:rsidRDefault="00F6308C">
            <w:pPr>
              <w:pStyle w:val="TableParagraph"/>
              <w:spacing w:before="69"/>
              <w:ind w:left="108"/>
              <w:jc w:val="left"/>
              <w:rPr>
                <w:sz w:val="18"/>
              </w:rPr>
            </w:pPr>
            <w:r>
              <w:rPr>
                <w:sz w:val="18"/>
              </w:rPr>
              <w:t>HT Industries</w:t>
            </w:r>
          </w:p>
        </w:tc>
        <w:tc>
          <w:tcPr>
            <w:tcW w:w="1003" w:type="dxa"/>
          </w:tcPr>
          <w:p w:rsidR="007C5447" w:rsidRDefault="00F6308C">
            <w:pPr>
              <w:pStyle w:val="TableParagraph"/>
              <w:spacing w:before="69"/>
              <w:ind w:right="180"/>
              <w:rPr>
                <w:sz w:val="18"/>
              </w:rPr>
            </w:pPr>
            <w:r>
              <w:rPr>
                <w:sz w:val="18"/>
              </w:rPr>
              <w:t>5,649</w:t>
            </w:r>
          </w:p>
        </w:tc>
        <w:tc>
          <w:tcPr>
            <w:tcW w:w="1257" w:type="dxa"/>
          </w:tcPr>
          <w:p w:rsidR="007C5447" w:rsidRDefault="00F6308C">
            <w:pPr>
              <w:pStyle w:val="TableParagraph"/>
              <w:spacing w:before="69"/>
              <w:ind w:right="182"/>
              <w:rPr>
                <w:sz w:val="18"/>
              </w:rPr>
            </w:pPr>
            <w:r>
              <w:rPr>
                <w:sz w:val="18"/>
              </w:rPr>
              <w:t>5,649</w:t>
            </w:r>
          </w:p>
        </w:tc>
        <w:tc>
          <w:tcPr>
            <w:tcW w:w="1403" w:type="dxa"/>
          </w:tcPr>
          <w:p w:rsidR="007C5447" w:rsidRDefault="00F6308C">
            <w:pPr>
              <w:pStyle w:val="TableParagraph"/>
              <w:spacing w:before="65"/>
              <w:ind w:right="179"/>
              <w:rPr>
                <w:sz w:val="12"/>
              </w:rPr>
            </w:pPr>
            <w:r>
              <w:rPr>
                <w:sz w:val="18"/>
              </w:rPr>
              <w:t>7,917</w:t>
            </w:r>
            <w:r>
              <w:rPr>
                <w:position w:val="6"/>
                <w:sz w:val="12"/>
              </w:rPr>
              <w:t>#</w:t>
            </w:r>
          </w:p>
        </w:tc>
        <w:tc>
          <w:tcPr>
            <w:tcW w:w="1003" w:type="dxa"/>
          </w:tcPr>
          <w:p w:rsidR="007C5447" w:rsidRDefault="00F6308C">
            <w:pPr>
              <w:pStyle w:val="TableParagraph"/>
              <w:spacing w:before="69"/>
              <w:ind w:right="183"/>
              <w:rPr>
                <w:sz w:val="18"/>
              </w:rPr>
            </w:pPr>
            <w:r>
              <w:rPr>
                <w:sz w:val="18"/>
              </w:rPr>
              <w:t>5,881</w:t>
            </w:r>
          </w:p>
        </w:tc>
        <w:tc>
          <w:tcPr>
            <w:tcW w:w="1257" w:type="dxa"/>
          </w:tcPr>
          <w:p w:rsidR="007C5447" w:rsidRDefault="00F6308C">
            <w:pPr>
              <w:pStyle w:val="TableParagraph"/>
              <w:spacing w:before="69"/>
              <w:ind w:right="179"/>
              <w:rPr>
                <w:sz w:val="18"/>
              </w:rPr>
            </w:pPr>
            <w:r>
              <w:rPr>
                <w:sz w:val="18"/>
              </w:rPr>
              <w:t>4,978</w:t>
            </w:r>
          </w:p>
        </w:tc>
        <w:tc>
          <w:tcPr>
            <w:tcW w:w="1401" w:type="dxa"/>
          </w:tcPr>
          <w:p w:rsidR="007C5447" w:rsidRDefault="00F6308C">
            <w:pPr>
              <w:pStyle w:val="TableParagraph"/>
              <w:spacing w:before="65"/>
              <w:ind w:right="175"/>
              <w:rPr>
                <w:sz w:val="12"/>
              </w:rPr>
            </w:pPr>
            <w:r>
              <w:rPr>
                <w:sz w:val="18"/>
              </w:rPr>
              <w:t xml:space="preserve">10,362 </w:t>
            </w:r>
            <w:r>
              <w:rPr>
                <w:position w:val="6"/>
                <w:sz w:val="12"/>
              </w:rPr>
              <w:t>#</w:t>
            </w:r>
          </w:p>
        </w:tc>
        <w:tc>
          <w:tcPr>
            <w:tcW w:w="1006" w:type="dxa"/>
          </w:tcPr>
          <w:p w:rsidR="007C5447" w:rsidRDefault="00F6308C">
            <w:pPr>
              <w:pStyle w:val="TableParagraph"/>
              <w:spacing w:before="69"/>
              <w:ind w:right="179"/>
              <w:rPr>
                <w:sz w:val="18"/>
              </w:rPr>
            </w:pPr>
            <w:r>
              <w:rPr>
                <w:sz w:val="18"/>
              </w:rPr>
              <w:t>6,992</w:t>
            </w:r>
          </w:p>
        </w:tc>
        <w:tc>
          <w:tcPr>
            <w:tcW w:w="1255" w:type="dxa"/>
          </w:tcPr>
          <w:p w:rsidR="007C5447" w:rsidRDefault="00F6308C">
            <w:pPr>
              <w:pStyle w:val="TableParagraph"/>
              <w:spacing w:before="69"/>
              <w:ind w:right="178"/>
              <w:rPr>
                <w:sz w:val="18"/>
              </w:rPr>
            </w:pPr>
            <w:r>
              <w:rPr>
                <w:sz w:val="18"/>
              </w:rPr>
              <w:t>6,552</w:t>
            </w:r>
          </w:p>
        </w:tc>
        <w:tc>
          <w:tcPr>
            <w:tcW w:w="1404" w:type="dxa"/>
          </w:tcPr>
          <w:p w:rsidR="007C5447" w:rsidRDefault="00F6308C">
            <w:pPr>
              <w:pStyle w:val="TableParagraph"/>
              <w:spacing w:before="65"/>
              <w:ind w:right="177"/>
              <w:rPr>
                <w:sz w:val="12"/>
              </w:rPr>
            </w:pPr>
            <w:r>
              <w:rPr>
                <w:sz w:val="18"/>
              </w:rPr>
              <w:t xml:space="preserve">12,259 </w:t>
            </w:r>
            <w:r>
              <w:rPr>
                <w:position w:val="6"/>
                <w:sz w:val="12"/>
              </w:rPr>
              <w:t>#</w:t>
            </w:r>
          </w:p>
        </w:tc>
      </w:tr>
      <w:tr w:rsidR="007C5447">
        <w:trPr>
          <w:trHeight w:val="348"/>
        </w:trPr>
        <w:tc>
          <w:tcPr>
            <w:tcW w:w="638" w:type="dxa"/>
          </w:tcPr>
          <w:p w:rsidR="007C5447" w:rsidRDefault="00F6308C">
            <w:pPr>
              <w:pStyle w:val="TableParagraph"/>
              <w:spacing w:before="70"/>
              <w:ind w:left="88" w:right="79"/>
              <w:jc w:val="center"/>
              <w:rPr>
                <w:sz w:val="18"/>
              </w:rPr>
            </w:pPr>
            <w:r>
              <w:rPr>
                <w:sz w:val="18"/>
              </w:rPr>
              <w:t>I (B)</w:t>
            </w:r>
          </w:p>
        </w:tc>
        <w:tc>
          <w:tcPr>
            <w:tcW w:w="3144" w:type="dxa"/>
          </w:tcPr>
          <w:p w:rsidR="007C5447" w:rsidRDefault="00F6308C">
            <w:pPr>
              <w:pStyle w:val="TableParagraph"/>
              <w:spacing w:before="70"/>
              <w:ind w:left="108"/>
              <w:jc w:val="left"/>
              <w:rPr>
                <w:sz w:val="18"/>
              </w:rPr>
            </w:pPr>
            <w:r>
              <w:rPr>
                <w:sz w:val="18"/>
              </w:rPr>
              <w:t>Railway Traction</w:t>
            </w:r>
          </w:p>
        </w:tc>
        <w:tc>
          <w:tcPr>
            <w:tcW w:w="1003" w:type="dxa"/>
          </w:tcPr>
          <w:p w:rsidR="007C5447" w:rsidRDefault="00F6308C">
            <w:pPr>
              <w:pStyle w:val="TableParagraph"/>
              <w:spacing w:before="70"/>
              <w:ind w:right="182"/>
              <w:rPr>
                <w:sz w:val="18"/>
              </w:rPr>
            </w:pPr>
            <w:r>
              <w:rPr>
                <w:sz w:val="18"/>
              </w:rPr>
              <w:t>347</w:t>
            </w:r>
          </w:p>
        </w:tc>
        <w:tc>
          <w:tcPr>
            <w:tcW w:w="1257" w:type="dxa"/>
          </w:tcPr>
          <w:p w:rsidR="007C5447" w:rsidRDefault="00F6308C">
            <w:pPr>
              <w:pStyle w:val="TableParagraph"/>
              <w:spacing w:before="70"/>
              <w:ind w:right="184"/>
              <w:rPr>
                <w:sz w:val="18"/>
              </w:rPr>
            </w:pPr>
            <w:r>
              <w:rPr>
                <w:sz w:val="18"/>
              </w:rPr>
              <w:t>347</w:t>
            </w:r>
          </w:p>
        </w:tc>
        <w:tc>
          <w:tcPr>
            <w:tcW w:w="1403" w:type="dxa"/>
          </w:tcPr>
          <w:p w:rsidR="007C5447" w:rsidRDefault="00F6308C">
            <w:pPr>
              <w:pStyle w:val="TableParagraph"/>
              <w:spacing w:before="70"/>
              <w:ind w:right="183"/>
              <w:rPr>
                <w:sz w:val="18"/>
              </w:rPr>
            </w:pPr>
            <w:r>
              <w:rPr>
                <w:sz w:val="18"/>
              </w:rPr>
              <w:t>347</w:t>
            </w:r>
          </w:p>
        </w:tc>
        <w:tc>
          <w:tcPr>
            <w:tcW w:w="1003" w:type="dxa"/>
          </w:tcPr>
          <w:p w:rsidR="007C5447" w:rsidRDefault="00F6308C">
            <w:pPr>
              <w:pStyle w:val="TableParagraph"/>
              <w:spacing w:before="70"/>
              <w:ind w:right="182"/>
              <w:rPr>
                <w:sz w:val="18"/>
              </w:rPr>
            </w:pPr>
            <w:r>
              <w:rPr>
                <w:sz w:val="18"/>
              </w:rPr>
              <w:t>393</w:t>
            </w:r>
          </w:p>
        </w:tc>
        <w:tc>
          <w:tcPr>
            <w:tcW w:w="1257" w:type="dxa"/>
          </w:tcPr>
          <w:p w:rsidR="007C5447" w:rsidRDefault="00F6308C">
            <w:pPr>
              <w:pStyle w:val="TableParagraph"/>
              <w:spacing w:before="70"/>
              <w:ind w:right="181"/>
              <w:rPr>
                <w:sz w:val="18"/>
              </w:rPr>
            </w:pPr>
            <w:r>
              <w:rPr>
                <w:sz w:val="18"/>
              </w:rPr>
              <w:t>393</w:t>
            </w:r>
          </w:p>
        </w:tc>
        <w:tc>
          <w:tcPr>
            <w:tcW w:w="1401" w:type="dxa"/>
          </w:tcPr>
          <w:p w:rsidR="007C5447" w:rsidRDefault="00F6308C">
            <w:pPr>
              <w:pStyle w:val="TableParagraph"/>
              <w:spacing w:before="70"/>
              <w:ind w:right="178"/>
              <w:rPr>
                <w:sz w:val="18"/>
              </w:rPr>
            </w:pPr>
            <w:r>
              <w:rPr>
                <w:sz w:val="18"/>
              </w:rPr>
              <w:t>393</w:t>
            </w:r>
          </w:p>
        </w:tc>
        <w:tc>
          <w:tcPr>
            <w:tcW w:w="1006" w:type="dxa"/>
          </w:tcPr>
          <w:p w:rsidR="007C5447" w:rsidRDefault="00F6308C">
            <w:pPr>
              <w:pStyle w:val="TableParagraph"/>
              <w:spacing w:before="70"/>
              <w:ind w:right="181"/>
              <w:rPr>
                <w:sz w:val="18"/>
              </w:rPr>
            </w:pPr>
            <w:r>
              <w:rPr>
                <w:sz w:val="18"/>
              </w:rPr>
              <w:t>483</w:t>
            </w:r>
          </w:p>
        </w:tc>
        <w:tc>
          <w:tcPr>
            <w:tcW w:w="1255" w:type="dxa"/>
          </w:tcPr>
          <w:p w:rsidR="007C5447" w:rsidRDefault="00F6308C">
            <w:pPr>
              <w:pStyle w:val="TableParagraph"/>
              <w:spacing w:before="70"/>
              <w:ind w:right="180"/>
              <w:rPr>
                <w:sz w:val="18"/>
              </w:rPr>
            </w:pPr>
            <w:r>
              <w:rPr>
                <w:sz w:val="18"/>
              </w:rPr>
              <w:t>483</w:t>
            </w:r>
          </w:p>
        </w:tc>
        <w:tc>
          <w:tcPr>
            <w:tcW w:w="1404" w:type="dxa"/>
          </w:tcPr>
          <w:p w:rsidR="007C5447" w:rsidRDefault="00F6308C">
            <w:pPr>
              <w:pStyle w:val="TableParagraph"/>
              <w:spacing w:before="70"/>
              <w:ind w:right="180"/>
              <w:rPr>
                <w:sz w:val="18"/>
              </w:rPr>
            </w:pPr>
            <w:r>
              <w:rPr>
                <w:sz w:val="18"/>
              </w:rPr>
              <w:t>483</w:t>
            </w:r>
          </w:p>
        </w:tc>
      </w:tr>
      <w:tr w:rsidR="007C5447">
        <w:trPr>
          <w:trHeight w:val="662"/>
        </w:trPr>
        <w:tc>
          <w:tcPr>
            <w:tcW w:w="638" w:type="dxa"/>
          </w:tcPr>
          <w:p w:rsidR="007C5447" w:rsidRDefault="007C5447">
            <w:pPr>
              <w:pStyle w:val="TableParagraph"/>
              <w:spacing w:before="9"/>
              <w:jc w:val="left"/>
              <w:rPr>
                <w:b/>
                <w:sz w:val="19"/>
              </w:rPr>
            </w:pPr>
          </w:p>
          <w:p w:rsidR="007C5447" w:rsidRDefault="00F6308C">
            <w:pPr>
              <w:pStyle w:val="TableParagraph"/>
              <w:ind w:left="88" w:right="84"/>
              <w:jc w:val="center"/>
              <w:rPr>
                <w:sz w:val="18"/>
              </w:rPr>
            </w:pPr>
            <w:r>
              <w:rPr>
                <w:sz w:val="18"/>
              </w:rPr>
              <w:t>II (A)</w:t>
            </w:r>
          </w:p>
        </w:tc>
        <w:tc>
          <w:tcPr>
            <w:tcW w:w="3144" w:type="dxa"/>
          </w:tcPr>
          <w:p w:rsidR="007C5447" w:rsidRDefault="00F6308C">
            <w:pPr>
              <w:pStyle w:val="TableParagraph"/>
              <w:spacing w:before="124"/>
              <w:ind w:left="108" w:right="86"/>
              <w:jc w:val="left"/>
              <w:rPr>
                <w:sz w:val="18"/>
              </w:rPr>
            </w:pPr>
            <w:r>
              <w:rPr>
                <w:sz w:val="18"/>
              </w:rPr>
              <w:t>Government Educational Institution Etc. (HT)</w:t>
            </w:r>
          </w:p>
        </w:tc>
        <w:tc>
          <w:tcPr>
            <w:tcW w:w="1003" w:type="dxa"/>
          </w:tcPr>
          <w:p w:rsidR="007C5447" w:rsidRDefault="007C5447">
            <w:pPr>
              <w:pStyle w:val="TableParagraph"/>
              <w:spacing w:before="9"/>
              <w:jc w:val="left"/>
              <w:rPr>
                <w:b/>
                <w:sz w:val="19"/>
              </w:rPr>
            </w:pPr>
          </w:p>
          <w:p w:rsidR="007C5447" w:rsidRDefault="00F6308C">
            <w:pPr>
              <w:pStyle w:val="TableParagraph"/>
              <w:ind w:right="182"/>
              <w:rPr>
                <w:sz w:val="18"/>
              </w:rPr>
            </w:pPr>
            <w:r>
              <w:rPr>
                <w:sz w:val="18"/>
              </w:rPr>
              <w:t>581</w:t>
            </w:r>
          </w:p>
        </w:tc>
        <w:tc>
          <w:tcPr>
            <w:tcW w:w="1257" w:type="dxa"/>
          </w:tcPr>
          <w:p w:rsidR="007C5447" w:rsidRDefault="007C5447">
            <w:pPr>
              <w:pStyle w:val="TableParagraph"/>
              <w:spacing w:before="9"/>
              <w:jc w:val="left"/>
              <w:rPr>
                <w:b/>
                <w:sz w:val="19"/>
              </w:rPr>
            </w:pPr>
          </w:p>
          <w:p w:rsidR="007C5447" w:rsidRDefault="00F6308C">
            <w:pPr>
              <w:pStyle w:val="TableParagraph"/>
              <w:ind w:right="184"/>
              <w:rPr>
                <w:sz w:val="18"/>
              </w:rPr>
            </w:pPr>
            <w:r>
              <w:rPr>
                <w:sz w:val="18"/>
              </w:rPr>
              <w:t>581</w:t>
            </w:r>
          </w:p>
        </w:tc>
        <w:tc>
          <w:tcPr>
            <w:tcW w:w="1403" w:type="dxa"/>
          </w:tcPr>
          <w:p w:rsidR="007C5447" w:rsidRDefault="007C5447">
            <w:pPr>
              <w:pStyle w:val="TableParagraph"/>
              <w:spacing w:before="9"/>
              <w:jc w:val="left"/>
              <w:rPr>
                <w:b/>
                <w:sz w:val="19"/>
              </w:rPr>
            </w:pPr>
          </w:p>
          <w:p w:rsidR="007C5447" w:rsidRDefault="00F6308C">
            <w:pPr>
              <w:pStyle w:val="TableParagraph"/>
              <w:ind w:right="183"/>
              <w:rPr>
                <w:sz w:val="18"/>
              </w:rPr>
            </w:pPr>
            <w:r>
              <w:rPr>
                <w:sz w:val="18"/>
              </w:rPr>
              <w:t>581</w:t>
            </w:r>
          </w:p>
        </w:tc>
        <w:tc>
          <w:tcPr>
            <w:tcW w:w="1003" w:type="dxa"/>
          </w:tcPr>
          <w:p w:rsidR="007C5447" w:rsidRDefault="007C5447">
            <w:pPr>
              <w:pStyle w:val="TableParagraph"/>
              <w:spacing w:before="9"/>
              <w:jc w:val="left"/>
              <w:rPr>
                <w:b/>
                <w:sz w:val="19"/>
              </w:rPr>
            </w:pPr>
          </w:p>
          <w:p w:rsidR="007C5447" w:rsidRDefault="00F6308C">
            <w:pPr>
              <w:pStyle w:val="TableParagraph"/>
              <w:ind w:right="182"/>
              <w:rPr>
                <w:sz w:val="18"/>
              </w:rPr>
            </w:pPr>
            <w:r>
              <w:rPr>
                <w:sz w:val="18"/>
              </w:rPr>
              <w:t>566</w:t>
            </w:r>
          </w:p>
        </w:tc>
        <w:tc>
          <w:tcPr>
            <w:tcW w:w="1257" w:type="dxa"/>
          </w:tcPr>
          <w:p w:rsidR="007C5447" w:rsidRDefault="007C5447">
            <w:pPr>
              <w:pStyle w:val="TableParagraph"/>
              <w:spacing w:before="9"/>
              <w:jc w:val="left"/>
              <w:rPr>
                <w:b/>
                <w:sz w:val="19"/>
              </w:rPr>
            </w:pPr>
          </w:p>
          <w:p w:rsidR="007C5447" w:rsidRDefault="00F6308C">
            <w:pPr>
              <w:pStyle w:val="TableParagraph"/>
              <w:ind w:right="181"/>
              <w:rPr>
                <w:sz w:val="18"/>
              </w:rPr>
            </w:pPr>
            <w:r>
              <w:rPr>
                <w:sz w:val="18"/>
              </w:rPr>
              <w:t>566</w:t>
            </w:r>
          </w:p>
        </w:tc>
        <w:tc>
          <w:tcPr>
            <w:tcW w:w="1401" w:type="dxa"/>
          </w:tcPr>
          <w:p w:rsidR="007C5447" w:rsidRDefault="007C5447">
            <w:pPr>
              <w:pStyle w:val="TableParagraph"/>
              <w:spacing w:before="9"/>
              <w:jc w:val="left"/>
              <w:rPr>
                <w:b/>
                <w:sz w:val="19"/>
              </w:rPr>
            </w:pPr>
          </w:p>
          <w:p w:rsidR="007C5447" w:rsidRDefault="00F6308C">
            <w:pPr>
              <w:pStyle w:val="TableParagraph"/>
              <w:ind w:right="178"/>
              <w:rPr>
                <w:sz w:val="18"/>
              </w:rPr>
            </w:pPr>
            <w:r>
              <w:rPr>
                <w:sz w:val="18"/>
              </w:rPr>
              <w:t>566</w:t>
            </w:r>
          </w:p>
        </w:tc>
        <w:tc>
          <w:tcPr>
            <w:tcW w:w="1006" w:type="dxa"/>
          </w:tcPr>
          <w:p w:rsidR="007C5447" w:rsidRDefault="007C5447">
            <w:pPr>
              <w:pStyle w:val="TableParagraph"/>
              <w:spacing w:before="9"/>
              <w:jc w:val="left"/>
              <w:rPr>
                <w:b/>
                <w:sz w:val="19"/>
              </w:rPr>
            </w:pPr>
          </w:p>
          <w:p w:rsidR="007C5447" w:rsidRDefault="00F6308C">
            <w:pPr>
              <w:pStyle w:val="TableParagraph"/>
              <w:ind w:right="181"/>
              <w:rPr>
                <w:sz w:val="18"/>
              </w:rPr>
            </w:pPr>
            <w:r>
              <w:rPr>
                <w:sz w:val="18"/>
              </w:rPr>
              <w:t>599</w:t>
            </w:r>
          </w:p>
        </w:tc>
        <w:tc>
          <w:tcPr>
            <w:tcW w:w="1255" w:type="dxa"/>
          </w:tcPr>
          <w:p w:rsidR="007C5447" w:rsidRDefault="007C5447">
            <w:pPr>
              <w:pStyle w:val="TableParagraph"/>
              <w:spacing w:before="9"/>
              <w:jc w:val="left"/>
              <w:rPr>
                <w:b/>
                <w:sz w:val="19"/>
              </w:rPr>
            </w:pPr>
          </w:p>
          <w:p w:rsidR="007C5447" w:rsidRDefault="00F6308C">
            <w:pPr>
              <w:pStyle w:val="TableParagraph"/>
              <w:ind w:right="180"/>
              <w:rPr>
                <w:sz w:val="18"/>
              </w:rPr>
            </w:pPr>
            <w:r>
              <w:rPr>
                <w:sz w:val="18"/>
              </w:rPr>
              <w:t>599</w:t>
            </w:r>
          </w:p>
        </w:tc>
        <w:tc>
          <w:tcPr>
            <w:tcW w:w="1404" w:type="dxa"/>
          </w:tcPr>
          <w:p w:rsidR="007C5447" w:rsidRDefault="007C5447">
            <w:pPr>
              <w:pStyle w:val="TableParagraph"/>
              <w:spacing w:before="9"/>
              <w:jc w:val="left"/>
              <w:rPr>
                <w:b/>
                <w:sz w:val="19"/>
              </w:rPr>
            </w:pPr>
          </w:p>
          <w:p w:rsidR="007C5447" w:rsidRDefault="00F6308C">
            <w:pPr>
              <w:pStyle w:val="TableParagraph"/>
              <w:ind w:right="180"/>
              <w:rPr>
                <w:sz w:val="18"/>
              </w:rPr>
            </w:pPr>
            <w:r>
              <w:rPr>
                <w:sz w:val="18"/>
              </w:rPr>
              <w:t>599</w:t>
            </w:r>
          </w:p>
        </w:tc>
      </w:tr>
      <w:tr w:rsidR="007C5447">
        <w:trPr>
          <w:trHeight w:val="345"/>
        </w:trPr>
        <w:tc>
          <w:tcPr>
            <w:tcW w:w="638" w:type="dxa"/>
          </w:tcPr>
          <w:p w:rsidR="007C5447" w:rsidRDefault="00F6308C">
            <w:pPr>
              <w:pStyle w:val="TableParagraph"/>
              <w:spacing w:before="69"/>
              <w:ind w:left="88" w:right="81"/>
              <w:jc w:val="center"/>
              <w:rPr>
                <w:sz w:val="18"/>
              </w:rPr>
            </w:pPr>
            <w:r>
              <w:rPr>
                <w:sz w:val="18"/>
              </w:rPr>
              <w:t>II (B)</w:t>
            </w:r>
          </w:p>
        </w:tc>
        <w:tc>
          <w:tcPr>
            <w:tcW w:w="3144" w:type="dxa"/>
          </w:tcPr>
          <w:p w:rsidR="007C5447" w:rsidRDefault="00F6308C">
            <w:pPr>
              <w:pStyle w:val="TableParagraph"/>
              <w:spacing w:before="69"/>
              <w:ind w:left="108"/>
              <w:jc w:val="left"/>
              <w:rPr>
                <w:sz w:val="18"/>
              </w:rPr>
            </w:pPr>
            <w:r>
              <w:rPr>
                <w:sz w:val="18"/>
              </w:rPr>
              <w:t>Pvt. Educational Institutions etc.</w:t>
            </w:r>
          </w:p>
        </w:tc>
        <w:tc>
          <w:tcPr>
            <w:tcW w:w="1003" w:type="dxa"/>
          </w:tcPr>
          <w:p w:rsidR="007C5447" w:rsidRDefault="00F6308C">
            <w:pPr>
              <w:pStyle w:val="TableParagraph"/>
              <w:spacing w:before="69"/>
              <w:ind w:right="182"/>
              <w:rPr>
                <w:sz w:val="18"/>
              </w:rPr>
            </w:pPr>
            <w:r>
              <w:rPr>
                <w:sz w:val="18"/>
              </w:rPr>
              <w:t>123</w:t>
            </w:r>
          </w:p>
        </w:tc>
        <w:tc>
          <w:tcPr>
            <w:tcW w:w="1257" w:type="dxa"/>
          </w:tcPr>
          <w:p w:rsidR="007C5447" w:rsidRDefault="00F6308C">
            <w:pPr>
              <w:pStyle w:val="TableParagraph"/>
              <w:spacing w:before="69"/>
              <w:ind w:right="184"/>
              <w:rPr>
                <w:sz w:val="18"/>
              </w:rPr>
            </w:pPr>
            <w:r>
              <w:rPr>
                <w:sz w:val="18"/>
              </w:rPr>
              <w:t>123</w:t>
            </w:r>
          </w:p>
        </w:tc>
        <w:tc>
          <w:tcPr>
            <w:tcW w:w="1403" w:type="dxa"/>
          </w:tcPr>
          <w:p w:rsidR="007C5447" w:rsidRDefault="00F6308C">
            <w:pPr>
              <w:pStyle w:val="TableParagraph"/>
              <w:spacing w:before="69"/>
              <w:ind w:right="183"/>
              <w:rPr>
                <w:sz w:val="18"/>
              </w:rPr>
            </w:pPr>
            <w:r>
              <w:rPr>
                <w:sz w:val="18"/>
              </w:rPr>
              <w:t>128</w:t>
            </w:r>
          </w:p>
        </w:tc>
        <w:tc>
          <w:tcPr>
            <w:tcW w:w="1003" w:type="dxa"/>
          </w:tcPr>
          <w:p w:rsidR="007C5447" w:rsidRDefault="00F6308C">
            <w:pPr>
              <w:pStyle w:val="TableParagraph"/>
              <w:spacing w:before="69"/>
              <w:ind w:right="182"/>
              <w:rPr>
                <w:sz w:val="18"/>
              </w:rPr>
            </w:pPr>
            <w:r>
              <w:rPr>
                <w:sz w:val="18"/>
              </w:rPr>
              <w:t>143</w:t>
            </w:r>
          </w:p>
        </w:tc>
        <w:tc>
          <w:tcPr>
            <w:tcW w:w="1257" w:type="dxa"/>
          </w:tcPr>
          <w:p w:rsidR="007C5447" w:rsidRDefault="00F6308C">
            <w:pPr>
              <w:pStyle w:val="TableParagraph"/>
              <w:spacing w:before="69"/>
              <w:ind w:right="181"/>
              <w:rPr>
                <w:sz w:val="18"/>
              </w:rPr>
            </w:pPr>
            <w:r>
              <w:rPr>
                <w:sz w:val="18"/>
              </w:rPr>
              <w:t>138</w:t>
            </w:r>
          </w:p>
        </w:tc>
        <w:tc>
          <w:tcPr>
            <w:tcW w:w="1401" w:type="dxa"/>
          </w:tcPr>
          <w:p w:rsidR="007C5447" w:rsidRDefault="00F6308C">
            <w:pPr>
              <w:pStyle w:val="TableParagraph"/>
              <w:spacing w:before="69"/>
              <w:ind w:right="178"/>
              <w:rPr>
                <w:sz w:val="18"/>
              </w:rPr>
            </w:pPr>
            <w:r>
              <w:rPr>
                <w:sz w:val="18"/>
              </w:rPr>
              <w:t>143</w:t>
            </w:r>
          </w:p>
        </w:tc>
        <w:tc>
          <w:tcPr>
            <w:tcW w:w="1006" w:type="dxa"/>
          </w:tcPr>
          <w:p w:rsidR="007C5447" w:rsidRDefault="00F6308C">
            <w:pPr>
              <w:pStyle w:val="TableParagraph"/>
              <w:spacing w:before="69"/>
              <w:ind w:right="181"/>
              <w:rPr>
                <w:sz w:val="18"/>
              </w:rPr>
            </w:pPr>
            <w:r>
              <w:rPr>
                <w:sz w:val="18"/>
              </w:rPr>
              <w:t>188</w:t>
            </w:r>
          </w:p>
        </w:tc>
        <w:tc>
          <w:tcPr>
            <w:tcW w:w="1255" w:type="dxa"/>
          </w:tcPr>
          <w:p w:rsidR="007C5447" w:rsidRDefault="00F6308C">
            <w:pPr>
              <w:pStyle w:val="TableParagraph"/>
              <w:spacing w:before="69"/>
              <w:ind w:right="180"/>
              <w:rPr>
                <w:sz w:val="18"/>
              </w:rPr>
            </w:pPr>
            <w:r>
              <w:rPr>
                <w:sz w:val="18"/>
              </w:rPr>
              <w:t>187</w:t>
            </w:r>
          </w:p>
        </w:tc>
        <w:tc>
          <w:tcPr>
            <w:tcW w:w="1404" w:type="dxa"/>
          </w:tcPr>
          <w:p w:rsidR="007C5447" w:rsidRDefault="00F6308C">
            <w:pPr>
              <w:pStyle w:val="TableParagraph"/>
              <w:spacing w:before="69"/>
              <w:ind w:right="180"/>
              <w:rPr>
                <w:sz w:val="18"/>
              </w:rPr>
            </w:pPr>
            <w:r>
              <w:rPr>
                <w:sz w:val="18"/>
              </w:rPr>
              <w:t>197</w:t>
            </w:r>
          </w:p>
        </w:tc>
      </w:tr>
      <w:tr w:rsidR="007C5447">
        <w:trPr>
          <w:trHeight w:val="347"/>
        </w:trPr>
        <w:tc>
          <w:tcPr>
            <w:tcW w:w="638" w:type="dxa"/>
          </w:tcPr>
          <w:p w:rsidR="007C5447" w:rsidRDefault="00F6308C">
            <w:pPr>
              <w:pStyle w:val="TableParagraph"/>
              <w:spacing w:before="69"/>
              <w:ind w:left="88" w:right="81"/>
              <w:jc w:val="center"/>
              <w:rPr>
                <w:sz w:val="18"/>
              </w:rPr>
            </w:pPr>
            <w:r>
              <w:rPr>
                <w:sz w:val="18"/>
              </w:rPr>
              <w:t>II (C)</w:t>
            </w:r>
          </w:p>
        </w:tc>
        <w:tc>
          <w:tcPr>
            <w:tcW w:w="3144" w:type="dxa"/>
          </w:tcPr>
          <w:p w:rsidR="007C5447" w:rsidRDefault="00F6308C">
            <w:pPr>
              <w:pStyle w:val="TableParagraph"/>
              <w:spacing w:before="69"/>
              <w:ind w:left="108"/>
              <w:jc w:val="left"/>
              <w:rPr>
                <w:sz w:val="18"/>
              </w:rPr>
            </w:pPr>
            <w:r>
              <w:rPr>
                <w:sz w:val="18"/>
              </w:rPr>
              <w:t>Places of Public Worship</w:t>
            </w:r>
          </w:p>
        </w:tc>
        <w:tc>
          <w:tcPr>
            <w:tcW w:w="1003" w:type="dxa"/>
          </w:tcPr>
          <w:p w:rsidR="007C5447" w:rsidRDefault="00F6308C">
            <w:pPr>
              <w:pStyle w:val="TableParagraph"/>
              <w:spacing w:before="69"/>
              <w:ind w:right="182"/>
              <w:rPr>
                <w:sz w:val="18"/>
              </w:rPr>
            </w:pPr>
            <w:r>
              <w:rPr>
                <w:sz w:val="18"/>
              </w:rPr>
              <w:t>9</w:t>
            </w:r>
          </w:p>
        </w:tc>
        <w:tc>
          <w:tcPr>
            <w:tcW w:w="1257" w:type="dxa"/>
          </w:tcPr>
          <w:p w:rsidR="007C5447" w:rsidRDefault="00F6308C">
            <w:pPr>
              <w:pStyle w:val="TableParagraph"/>
              <w:spacing w:before="69"/>
              <w:ind w:right="185"/>
              <w:rPr>
                <w:sz w:val="18"/>
              </w:rPr>
            </w:pPr>
            <w:r>
              <w:rPr>
                <w:sz w:val="18"/>
              </w:rPr>
              <w:t>9</w:t>
            </w:r>
          </w:p>
        </w:tc>
        <w:tc>
          <w:tcPr>
            <w:tcW w:w="1403" w:type="dxa"/>
          </w:tcPr>
          <w:p w:rsidR="007C5447" w:rsidRDefault="00F6308C">
            <w:pPr>
              <w:pStyle w:val="TableParagraph"/>
              <w:spacing w:before="69"/>
              <w:ind w:right="184"/>
              <w:rPr>
                <w:sz w:val="18"/>
              </w:rPr>
            </w:pPr>
            <w:r>
              <w:rPr>
                <w:sz w:val="18"/>
              </w:rPr>
              <w:t>9</w:t>
            </w:r>
          </w:p>
        </w:tc>
        <w:tc>
          <w:tcPr>
            <w:tcW w:w="1003" w:type="dxa"/>
          </w:tcPr>
          <w:p w:rsidR="007C5447" w:rsidRDefault="00F6308C">
            <w:pPr>
              <w:pStyle w:val="TableParagraph"/>
              <w:spacing w:before="69"/>
              <w:ind w:right="182"/>
              <w:rPr>
                <w:sz w:val="18"/>
              </w:rPr>
            </w:pPr>
            <w:r>
              <w:rPr>
                <w:sz w:val="18"/>
              </w:rPr>
              <w:t>4</w:t>
            </w:r>
          </w:p>
        </w:tc>
        <w:tc>
          <w:tcPr>
            <w:tcW w:w="1257" w:type="dxa"/>
          </w:tcPr>
          <w:p w:rsidR="007C5447" w:rsidRDefault="00F6308C">
            <w:pPr>
              <w:pStyle w:val="TableParagraph"/>
              <w:spacing w:before="69"/>
              <w:ind w:right="181"/>
              <w:rPr>
                <w:sz w:val="18"/>
              </w:rPr>
            </w:pPr>
            <w:r>
              <w:rPr>
                <w:sz w:val="18"/>
              </w:rPr>
              <w:t>4</w:t>
            </w:r>
          </w:p>
        </w:tc>
        <w:tc>
          <w:tcPr>
            <w:tcW w:w="1401" w:type="dxa"/>
          </w:tcPr>
          <w:p w:rsidR="007C5447" w:rsidRDefault="00F6308C">
            <w:pPr>
              <w:pStyle w:val="TableParagraph"/>
              <w:spacing w:before="69"/>
              <w:ind w:right="178"/>
              <w:rPr>
                <w:sz w:val="18"/>
              </w:rPr>
            </w:pPr>
            <w:r>
              <w:rPr>
                <w:sz w:val="18"/>
              </w:rPr>
              <w:t>4</w:t>
            </w:r>
          </w:p>
        </w:tc>
        <w:tc>
          <w:tcPr>
            <w:tcW w:w="1006" w:type="dxa"/>
          </w:tcPr>
          <w:p w:rsidR="007C5447" w:rsidRDefault="00F6308C">
            <w:pPr>
              <w:pStyle w:val="TableParagraph"/>
              <w:spacing w:before="69"/>
              <w:ind w:right="180"/>
              <w:rPr>
                <w:sz w:val="18"/>
              </w:rPr>
            </w:pPr>
            <w:r>
              <w:rPr>
                <w:sz w:val="18"/>
              </w:rPr>
              <w:t>13</w:t>
            </w:r>
          </w:p>
        </w:tc>
        <w:tc>
          <w:tcPr>
            <w:tcW w:w="1255" w:type="dxa"/>
          </w:tcPr>
          <w:p w:rsidR="007C5447" w:rsidRDefault="00F6308C">
            <w:pPr>
              <w:pStyle w:val="TableParagraph"/>
              <w:spacing w:before="69"/>
              <w:ind w:right="180"/>
              <w:rPr>
                <w:sz w:val="18"/>
              </w:rPr>
            </w:pPr>
            <w:r>
              <w:rPr>
                <w:sz w:val="18"/>
              </w:rPr>
              <w:t>13</w:t>
            </w:r>
          </w:p>
        </w:tc>
        <w:tc>
          <w:tcPr>
            <w:tcW w:w="1404" w:type="dxa"/>
          </w:tcPr>
          <w:p w:rsidR="007C5447" w:rsidRDefault="00F6308C">
            <w:pPr>
              <w:pStyle w:val="TableParagraph"/>
              <w:spacing w:before="69"/>
              <w:ind w:right="179"/>
              <w:rPr>
                <w:sz w:val="18"/>
              </w:rPr>
            </w:pPr>
            <w:r>
              <w:rPr>
                <w:sz w:val="18"/>
              </w:rPr>
              <w:t>13</w:t>
            </w:r>
          </w:p>
        </w:tc>
      </w:tr>
      <w:tr w:rsidR="007C5447">
        <w:trPr>
          <w:trHeight w:val="345"/>
        </w:trPr>
        <w:tc>
          <w:tcPr>
            <w:tcW w:w="638" w:type="dxa"/>
          </w:tcPr>
          <w:p w:rsidR="007C5447" w:rsidRDefault="00F6308C">
            <w:pPr>
              <w:pStyle w:val="TableParagraph"/>
              <w:spacing w:before="69"/>
              <w:ind w:left="88" w:right="81"/>
              <w:jc w:val="center"/>
              <w:rPr>
                <w:sz w:val="18"/>
              </w:rPr>
            </w:pPr>
            <w:r>
              <w:rPr>
                <w:sz w:val="18"/>
              </w:rPr>
              <w:t>III</w:t>
            </w:r>
          </w:p>
        </w:tc>
        <w:tc>
          <w:tcPr>
            <w:tcW w:w="3144" w:type="dxa"/>
          </w:tcPr>
          <w:p w:rsidR="007C5447" w:rsidRDefault="00F6308C">
            <w:pPr>
              <w:pStyle w:val="TableParagraph"/>
              <w:spacing w:before="69"/>
              <w:ind w:left="108"/>
              <w:jc w:val="left"/>
              <w:rPr>
                <w:sz w:val="18"/>
              </w:rPr>
            </w:pPr>
            <w:r>
              <w:rPr>
                <w:sz w:val="18"/>
              </w:rPr>
              <w:t>Commercial and Other HT</w:t>
            </w:r>
          </w:p>
        </w:tc>
        <w:tc>
          <w:tcPr>
            <w:tcW w:w="1003" w:type="dxa"/>
          </w:tcPr>
          <w:p w:rsidR="007C5447" w:rsidRDefault="00F6308C">
            <w:pPr>
              <w:pStyle w:val="TableParagraph"/>
              <w:spacing w:before="69"/>
              <w:ind w:right="180"/>
              <w:rPr>
                <w:sz w:val="18"/>
              </w:rPr>
            </w:pPr>
            <w:r>
              <w:rPr>
                <w:sz w:val="18"/>
              </w:rPr>
              <w:t>1,311</w:t>
            </w:r>
          </w:p>
        </w:tc>
        <w:tc>
          <w:tcPr>
            <w:tcW w:w="1257" w:type="dxa"/>
          </w:tcPr>
          <w:p w:rsidR="007C5447" w:rsidRDefault="00F6308C">
            <w:pPr>
              <w:pStyle w:val="TableParagraph"/>
              <w:spacing w:before="69"/>
              <w:ind w:right="182"/>
              <w:rPr>
                <w:sz w:val="18"/>
              </w:rPr>
            </w:pPr>
            <w:r>
              <w:rPr>
                <w:sz w:val="18"/>
              </w:rPr>
              <w:t>1,311</w:t>
            </w:r>
          </w:p>
        </w:tc>
        <w:tc>
          <w:tcPr>
            <w:tcW w:w="1403" w:type="dxa"/>
          </w:tcPr>
          <w:p w:rsidR="007C5447" w:rsidRDefault="00F6308C">
            <w:pPr>
              <w:pStyle w:val="TableParagraph"/>
              <w:spacing w:before="69"/>
              <w:ind w:right="181"/>
              <w:rPr>
                <w:sz w:val="18"/>
              </w:rPr>
            </w:pPr>
            <w:r>
              <w:rPr>
                <w:sz w:val="18"/>
              </w:rPr>
              <w:t>1,514</w:t>
            </w:r>
          </w:p>
        </w:tc>
        <w:tc>
          <w:tcPr>
            <w:tcW w:w="1003" w:type="dxa"/>
          </w:tcPr>
          <w:p w:rsidR="007C5447" w:rsidRDefault="00F6308C">
            <w:pPr>
              <w:pStyle w:val="TableParagraph"/>
              <w:spacing w:before="69"/>
              <w:ind w:right="180"/>
              <w:rPr>
                <w:sz w:val="18"/>
              </w:rPr>
            </w:pPr>
            <w:r>
              <w:rPr>
                <w:sz w:val="18"/>
              </w:rPr>
              <w:t>1,288</w:t>
            </w:r>
          </w:p>
        </w:tc>
        <w:tc>
          <w:tcPr>
            <w:tcW w:w="1257" w:type="dxa"/>
          </w:tcPr>
          <w:p w:rsidR="007C5447" w:rsidRDefault="00F6308C">
            <w:pPr>
              <w:pStyle w:val="TableParagraph"/>
              <w:spacing w:before="69"/>
              <w:ind w:right="179"/>
              <w:rPr>
                <w:sz w:val="18"/>
              </w:rPr>
            </w:pPr>
            <w:r>
              <w:rPr>
                <w:sz w:val="18"/>
              </w:rPr>
              <w:t>1,411</w:t>
            </w:r>
          </w:p>
        </w:tc>
        <w:tc>
          <w:tcPr>
            <w:tcW w:w="1401" w:type="dxa"/>
          </w:tcPr>
          <w:p w:rsidR="007C5447" w:rsidRDefault="00F6308C">
            <w:pPr>
              <w:pStyle w:val="TableParagraph"/>
              <w:spacing w:before="69"/>
              <w:ind w:right="176"/>
              <w:rPr>
                <w:sz w:val="18"/>
              </w:rPr>
            </w:pPr>
            <w:r>
              <w:rPr>
                <w:sz w:val="18"/>
              </w:rPr>
              <w:t>1,558</w:t>
            </w:r>
          </w:p>
        </w:tc>
        <w:tc>
          <w:tcPr>
            <w:tcW w:w="1006" w:type="dxa"/>
          </w:tcPr>
          <w:p w:rsidR="007C5447" w:rsidRDefault="00F6308C">
            <w:pPr>
              <w:pStyle w:val="TableParagraph"/>
              <w:spacing w:before="69"/>
              <w:ind w:right="179"/>
              <w:rPr>
                <w:sz w:val="18"/>
              </w:rPr>
            </w:pPr>
            <w:r>
              <w:rPr>
                <w:sz w:val="18"/>
              </w:rPr>
              <w:t>1,651</w:t>
            </w:r>
          </w:p>
        </w:tc>
        <w:tc>
          <w:tcPr>
            <w:tcW w:w="1255" w:type="dxa"/>
          </w:tcPr>
          <w:p w:rsidR="007C5447" w:rsidRDefault="00F6308C">
            <w:pPr>
              <w:pStyle w:val="TableParagraph"/>
              <w:spacing w:before="69"/>
              <w:ind w:right="178"/>
              <w:rPr>
                <w:sz w:val="18"/>
              </w:rPr>
            </w:pPr>
            <w:r>
              <w:rPr>
                <w:sz w:val="18"/>
              </w:rPr>
              <w:t>1,280</w:t>
            </w:r>
          </w:p>
        </w:tc>
        <w:tc>
          <w:tcPr>
            <w:tcW w:w="1404" w:type="dxa"/>
          </w:tcPr>
          <w:p w:rsidR="007C5447" w:rsidRDefault="00F6308C">
            <w:pPr>
              <w:pStyle w:val="TableParagraph"/>
              <w:spacing w:before="69"/>
              <w:ind w:right="178"/>
              <w:rPr>
                <w:sz w:val="18"/>
              </w:rPr>
            </w:pPr>
            <w:r>
              <w:rPr>
                <w:sz w:val="18"/>
              </w:rPr>
              <w:t>1,701</w:t>
            </w:r>
          </w:p>
        </w:tc>
      </w:tr>
      <w:tr w:rsidR="007C5447">
        <w:trPr>
          <w:trHeight w:val="345"/>
        </w:trPr>
        <w:tc>
          <w:tcPr>
            <w:tcW w:w="638" w:type="dxa"/>
          </w:tcPr>
          <w:p w:rsidR="007C5447" w:rsidRDefault="00F6308C">
            <w:pPr>
              <w:pStyle w:val="TableParagraph"/>
              <w:spacing w:before="69"/>
              <w:ind w:left="88" w:right="80"/>
              <w:jc w:val="center"/>
              <w:rPr>
                <w:sz w:val="18"/>
              </w:rPr>
            </w:pPr>
            <w:r>
              <w:rPr>
                <w:sz w:val="18"/>
              </w:rPr>
              <w:t>IV</w:t>
            </w:r>
          </w:p>
        </w:tc>
        <w:tc>
          <w:tcPr>
            <w:tcW w:w="3144" w:type="dxa"/>
          </w:tcPr>
          <w:p w:rsidR="007C5447" w:rsidRDefault="00F6308C">
            <w:pPr>
              <w:pStyle w:val="TableParagraph"/>
              <w:spacing w:before="69"/>
              <w:ind w:left="108"/>
              <w:jc w:val="left"/>
              <w:rPr>
                <w:sz w:val="18"/>
              </w:rPr>
            </w:pPr>
            <w:r>
              <w:rPr>
                <w:sz w:val="18"/>
              </w:rPr>
              <w:t>Lift Irrigation and co-ops (HT)</w:t>
            </w:r>
          </w:p>
        </w:tc>
        <w:tc>
          <w:tcPr>
            <w:tcW w:w="1003" w:type="dxa"/>
          </w:tcPr>
          <w:p w:rsidR="007C5447" w:rsidRDefault="00F6308C">
            <w:pPr>
              <w:pStyle w:val="TableParagraph"/>
              <w:spacing w:before="69"/>
              <w:ind w:right="181"/>
              <w:rPr>
                <w:sz w:val="18"/>
              </w:rPr>
            </w:pPr>
            <w:r>
              <w:rPr>
                <w:w w:val="99"/>
                <w:sz w:val="18"/>
              </w:rPr>
              <w:t>-</w:t>
            </w:r>
          </w:p>
        </w:tc>
        <w:tc>
          <w:tcPr>
            <w:tcW w:w="1257" w:type="dxa"/>
          </w:tcPr>
          <w:p w:rsidR="007C5447" w:rsidRDefault="00F6308C">
            <w:pPr>
              <w:pStyle w:val="TableParagraph"/>
              <w:spacing w:before="69"/>
              <w:ind w:right="182"/>
              <w:rPr>
                <w:sz w:val="18"/>
              </w:rPr>
            </w:pPr>
            <w:r>
              <w:rPr>
                <w:w w:val="99"/>
                <w:sz w:val="18"/>
              </w:rPr>
              <w:t>-</w:t>
            </w:r>
          </w:p>
        </w:tc>
        <w:tc>
          <w:tcPr>
            <w:tcW w:w="1403" w:type="dxa"/>
          </w:tcPr>
          <w:p w:rsidR="007C5447" w:rsidRDefault="00F6308C">
            <w:pPr>
              <w:pStyle w:val="TableParagraph"/>
              <w:spacing w:before="69"/>
              <w:ind w:right="181"/>
              <w:rPr>
                <w:sz w:val="18"/>
              </w:rPr>
            </w:pPr>
            <w:r>
              <w:rPr>
                <w:w w:val="99"/>
                <w:sz w:val="18"/>
              </w:rPr>
              <w:t>-</w:t>
            </w:r>
          </w:p>
        </w:tc>
        <w:tc>
          <w:tcPr>
            <w:tcW w:w="1003" w:type="dxa"/>
          </w:tcPr>
          <w:p w:rsidR="007C5447" w:rsidRDefault="00F6308C">
            <w:pPr>
              <w:pStyle w:val="TableParagraph"/>
              <w:spacing w:before="69"/>
              <w:ind w:right="181"/>
              <w:rPr>
                <w:sz w:val="18"/>
              </w:rPr>
            </w:pPr>
            <w:r>
              <w:rPr>
                <w:w w:val="99"/>
                <w:sz w:val="18"/>
              </w:rPr>
              <w:t>-</w:t>
            </w:r>
          </w:p>
        </w:tc>
        <w:tc>
          <w:tcPr>
            <w:tcW w:w="1257" w:type="dxa"/>
          </w:tcPr>
          <w:p w:rsidR="007C5447" w:rsidRDefault="00F6308C">
            <w:pPr>
              <w:pStyle w:val="TableParagraph"/>
              <w:spacing w:before="69"/>
              <w:ind w:right="180"/>
              <w:rPr>
                <w:sz w:val="18"/>
              </w:rPr>
            </w:pPr>
            <w:r>
              <w:rPr>
                <w:w w:val="99"/>
                <w:sz w:val="18"/>
              </w:rPr>
              <w:t>-</w:t>
            </w:r>
          </w:p>
        </w:tc>
        <w:tc>
          <w:tcPr>
            <w:tcW w:w="1401" w:type="dxa"/>
          </w:tcPr>
          <w:p w:rsidR="007C5447" w:rsidRDefault="00F6308C">
            <w:pPr>
              <w:pStyle w:val="TableParagraph"/>
              <w:spacing w:before="69"/>
              <w:ind w:right="177"/>
              <w:rPr>
                <w:sz w:val="18"/>
              </w:rPr>
            </w:pPr>
            <w:r>
              <w:rPr>
                <w:w w:val="99"/>
                <w:sz w:val="18"/>
              </w:rPr>
              <w:t>-</w:t>
            </w:r>
          </w:p>
        </w:tc>
        <w:tc>
          <w:tcPr>
            <w:tcW w:w="1006" w:type="dxa"/>
          </w:tcPr>
          <w:p w:rsidR="007C5447" w:rsidRDefault="00F6308C">
            <w:pPr>
              <w:pStyle w:val="TableParagraph"/>
              <w:spacing w:before="69"/>
              <w:ind w:right="179"/>
              <w:rPr>
                <w:sz w:val="18"/>
              </w:rPr>
            </w:pPr>
            <w:r>
              <w:rPr>
                <w:w w:val="99"/>
                <w:sz w:val="18"/>
              </w:rPr>
              <w:t>-</w:t>
            </w:r>
          </w:p>
        </w:tc>
        <w:tc>
          <w:tcPr>
            <w:tcW w:w="1255" w:type="dxa"/>
          </w:tcPr>
          <w:p w:rsidR="007C5447" w:rsidRDefault="00F6308C">
            <w:pPr>
              <w:pStyle w:val="TableParagraph"/>
              <w:spacing w:before="69"/>
              <w:ind w:right="179"/>
              <w:rPr>
                <w:sz w:val="18"/>
              </w:rPr>
            </w:pPr>
            <w:r>
              <w:rPr>
                <w:w w:val="99"/>
                <w:sz w:val="18"/>
              </w:rPr>
              <w:t>-</w:t>
            </w:r>
          </w:p>
        </w:tc>
        <w:tc>
          <w:tcPr>
            <w:tcW w:w="1404" w:type="dxa"/>
          </w:tcPr>
          <w:p w:rsidR="007C5447" w:rsidRDefault="00F6308C">
            <w:pPr>
              <w:pStyle w:val="TableParagraph"/>
              <w:spacing w:before="69"/>
              <w:ind w:right="179"/>
              <w:rPr>
                <w:sz w:val="18"/>
              </w:rPr>
            </w:pPr>
            <w:r>
              <w:rPr>
                <w:w w:val="99"/>
                <w:sz w:val="18"/>
              </w:rPr>
              <w:t>-</w:t>
            </w:r>
          </w:p>
        </w:tc>
      </w:tr>
      <w:tr w:rsidR="007C5447">
        <w:trPr>
          <w:trHeight w:val="664"/>
        </w:trPr>
        <w:tc>
          <w:tcPr>
            <w:tcW w:w="638" w:type="dxa"/>
          </w:tcPr>
          <w:p w:rsidR="007C5447" w:rsidRDefault="007C5447">
            <w:pPr>
              <w:pStyle w:val="TableParagraph"/>
              <w:jc w:val="left"/>
              <w:rPr>
                <w:sz w:val="18"/>
              </w:rPr>
            </w:pPr>
          </w:p>
        </w:tc>
        <w:tc>
          <w:tcPr>
            <w:tcW w:w="3144" w:type="dxa"/>
          </w:tcPr>
          <w:p w:rsidR="007C5447" w:rsidRDefault="00F6308C">
            <w:pPr>
              <w:pStyle w:val="TableParagraph"/>
              <w:spacing w:before="125"/>
              <w:ind w:left="108" w:right="386"/>
              <w:jc w:val="left"/>
              <w:rPr>
                <w:sz w:val="18"/>
              </w:rPr>
            </w:pPr>
            <w:r>
              <w:rPr>
                <w:sz w:val="18"/>
              </w:rPr>
              <w:t>Supply to Puducherry plus wheeling charges</w:t>
            </w:r>
          </w:p>
        </w:tc>
        <w:tc>
          <w:tcPr>
            <w:tcW w:w="1003" w:type="dxa"/>
          </w:tcPr>
          <w:p w:rsidR="007C5447" w:rsidRDefault="007C5447">
            <w:pPr>
              <w:pStyle w:val="TableParagraph"/>
              <w:jc w:val="left"/>
              <w:rPr>
                <w:b/>
                <w:sz w:val="20"/>
              </w:rPr>
            </w:pPr>
          </w:p>
          <w:p w:rsidR="007C5447" w:rsidRDefault="00F6308C">
            <w:pPr>
              <w:pStyle w:val="TableParagraph"/>
              <w:ind w:right="181"/>
              <w:rPr>
                <w:sz w:val="18"/>
              </w:rPr>
            </w:pPr>
            <w:r>
              <w:rPr>
                <w:w w:val="99"/>
                <w:sz w:val="18"/>
              </w:rPr>
              <w:t>-</w:t>
            </w:r>
          </w:p>
        </w:tc>
        <w:tc>
          <w:tcPr>
            <w:tcW w:w="1257" w:type="dxa"/>
          </w:tcPr>
          <w:p w:rsidR="007C5447" w:rsidRDefault="007C5447">
            <w:pPr>
              <w:pStyle w:val="TableParagraph"/>
              <w:jc w:val="left"/>
              <w:rPr>
                <w:b/>
                <w:sz w:val="20"/>
              </w:rPr>
            </w:pPr>
          </w:p>
          <w:p w:rsidR="007C5447" w:rsidRDefault="00F6308C">
            <w:pPr>
              <w:pStyle w:val="TableParagraph"/>
              <w:ind w:right="184"/>
              <w:rPr>
                <w:sz w:val="18"/>
              </w:rPr>
            </w:pPr>
            <w:r>
              <w:rPr>
                <w:sz w:val="18"/>
              </w:rPr>
              <w:t>123</w:t>
            </w:r>
          </w:p>
        </w:tc>
        <w:tc>
          <w:tcPr>
            <w:tcW w:w="1403" w:type="dxa"/>
          </w:tcPr>
          <w:p w:rsidR="007C5447" w:rsidRDefault="007C5447">
            <w:pPr>
              <w:pStyle w:val="TableParagraph"/>
              <w:jc w:val="left"/>
              <w:rPr>
                <w:b/>
                <w:sz w:val="20"/>
              </w:rPr>
            </w:pPr>
          </w:p>
          <w:p w:rsidR="007C5447" w:rsidRDefault="00F6308C">
            <w:pPr>
              <w:pStyle w:val="TableParagraph"/>
              <w:ind w:right="181"/>
              <w:rPr>
                <w:sz w:val="18"/>
              </w:rPr>
            </w:pPr>
            <w:r>
              <w:rPr>
                <w:w w:val="99"/>
                <w:sz w:val="18"/>
              </w:rPr>
              <w:t>-</w:t>
            </w:r>
          </w:p>
        </w:tc>
        <w:tc>
          <w:tcPr>
            <w:tcW w:w="1003" w:type="dxa"/>
          </w:tcPr>
          <w:p w:rsidR="007C5447" w:rsidRDefault="007C5447">
            <w:pPr>
              <w:pStyle w:val="TableParagraph"/>
              <w:jc w:val="left"/>
              <w:rPr>
                <w:b/>
                <w:sz w:val="20"/>
              </w:rPr>
            </w:pPr>
          </w:p>
          <w:p w:rsidR="007C5447" w:rsidRDefault="00F6308C">
            <w:pPr>
              <w:pStyle w:val="TableParagraph"/>
              <w:ind w:right="181"/>
              <w:rPr>
                <w:sz w:val="18"/>
              </w:rPr>
            </w:pPr>
            <w:r>
              <w:rPr>
                <w:w w:val="99"/>
                <w:sz w:val="18"/>
              </w:rPr>
              <w:t>-</w:t>
            </w:r>
          </w:p>
        </w:tc>
        <w:tc>
          <w:tcPr>
            <w:tcW w:w="1257" w:type="dxa"/>
          </w:tcPr>
          <w:p w:rsidR="007C5447" w:rsidRDefault="007C5447">
            <w:pPr>
              <w:pStyle w:val="TableParagraph"/>
              <w:jc w:val="left"/>
              <w:rPr>
                <w:b/>
                <w:sz w:val="20"/>
              </w:rPr>
            </w:pPr>
          </w:p>
          <w:p w:rsidR="007C5447" w:rsidRDefault="00F6308C">
            <w:pPr>
              <w:pStyle w:val="TableParagraph"/>
              <w:ind w:right="181"/>
              <w:rPr>
                <w:sz w:val="18"/>
              </w:rPr>
            </w:pPr>
            <w:r>
              <w:rPr>
                <w:sz w:val="18"/>
              </w:rPr>
              <w:t>132</w:t>
            </w:r>
          </w:p>
        </w:tc>
        <w:tc>
          <w:tcPr>
            <w:tcW w:w="1401" w:type="dxa"/>
          </w:tcPr>
          <w:p w:rsidR="007C5447" w:rsidRDefault="007C5447">
            <w:pPr>
              <w:pStyle w:val="TableParagraph"/>
              <w:jc w:val="left"/>
              <w:rPr>
                <w:b/>
                <w:sz w:val="20"/>
              </w:rPr>
            </w:pPr>
          </w:p>
          <w:p w:rsidR="007C5447" w:rsidRDefault="00F6308C">
            <w:pPr>
              <w:pStyle w:val="TableParagraph"/>
              <w:ind w:right="177"/>
              <w:rPr>
                <w:sz w:val="18"/>
              </w:rPr>
            </w:pPr>
            <w:r>
              <w:rPr>
                <w:w w:val="99"/>
                <w:sz w:val="18"/>
              </w:rPr>
              <w:t>-</w:t>
            </w:r>
          </w:p>
        </w:tc>
        <w:tc>
          <w:tcPr>
            <w:tcW w:w="1006" w:type="dxa"/>
          </w:tcPr>
          <w:p w:rsidR="007C5447" w:rsidRDefault="007C5447">
            <w:pPr>
              <w:pStyle w:val="TableParagraph"/>
              <w:jc w:val="left"/>
              <w:rPr>
                <w:b/>
                <w:sz w:val="20"/>
              </w:rPr>
            </w:pPr>
          </w:p>
          <w:p w:rsidR="007C5447" w:rsidRDefault="00F6308C">
            <w:pPr>
              <w:pStyle w:val="TableParagraph"/>
              <w:ind w:right="179"/>
              <w:rPr>
                <w:sz w:val="18"/>
              </w:rPr>
            </w:pPr>
            <w:r>
              <w:rPr>
                <w:w w:val="99"/>
                <w:sz w:val="18"/>
              </w:rPr>
              <w:t>-</w:t>
            </w:r>
          </w:p>
        </w:tc>
        <w:tc>
          <w:tcPr>
            <w:tcW w:w="1255" w:type="dxa"/>
          </w:tcPr>
          <w:p w:rsidR="007C5447" w:rsidRDefault="007C5447">
            <w:pPr>
              <w:pStyle w:val="TableParagraph"/>
              <w:jc w:val="left"/>
              <w:rPr>
                <w:b/>
                <w:sz w:val="20"/>
              </w:rPr>
            </w:pPr>
          </w:p>
          <w:p w:rsidR="007C5447" w:rsidRDefault="00F6308C">
            <w:pPr>
              <w:pStyle w:val="TableParagraph"/>
              <w:ind w:right="179"/>
              <w:rPr>
                <w:sz w:val="18"/>
              </w:rPr>
            </w:pPr>
            <w:r>
              <w:rPr>
                <w:sz w:val="18"/>
              </w:rPr>
              <w:t>86</w:t>
            </w:r>
          </w:p>
        </w:tc>
        <w:tc>
          <w:tcPr>
            <w:tcW w:w="1404" w:type="dxa"/>
          </w:tcPr>
          <w:p w:rsidR="007C5447" w:rsidRDefault="007C5447">
            <w:pPr>
              <w:pStyle w:val="TableParagraph"/>
              <w:jc w:val="left"/>
              <w:rPr>
                <w:b/>
                <w:sz w:val="20"/>
              </w:rPr>
            </w:pPr>
          </w:p>
          <w:p w:rsidR="007C5447" w:rsidRDefault="00F6308C">
            <w:pPr>
              <w:pStyle w:val="TableParagraph"/>
              <w:ind w:right="179"/>
              <w:rPr>
                <w:sz w:val="18"/>
              </w:rPr>
            </w:pPr>
            <w:r>
              <w:rPr>
                <w:w w:val="99"/>
                <w:sz w:val="18"/>
              </w:rPr>
              <w:t>-</w:t>
            </w:r>
          </w:p>
        </w:tc>
      </w:tr>
      <w:tr w:rsidR="007C5447">
        <w:trPr>
          <w:trHeight w:val="345"/>
        </w:trPr>
        <w:tc>
          <w:tcPr>
            <w:tcW w:w="638" w:type="dxa"/>
          </w:tcPr>
          <w:p w:rsidR="007C5447" w:rsidRDefault="00F6308C">
            <w:pPr>
              <w:pStyle w:val="TableParagraph"/>
              <w:spacing w:before="69"/>
              <w:ind w:left="88" w:right="77"/>
              <w:jc w:val="center"/>
              <w:rPr>
                <w:sz w:val="18"/>
              </w:rPr>
            </w:pPr>
            <w:r>
              <w:rPr>
                <w:sz w:val="18"/>
              </w:rPr>
              <w:t>VI</w:t>
            </w:r>
          </w:p>
        </w:tc>
        <w:tc>
          <w:tcPr>
            <w:tcW w:w="3144" w:type="dxa"/>
          </w:tcPr>
          <w:p w:rsidR="007C5447" w:rsidRDefault="00F6308C">
            <w:pPr>
              <w:pStyle w:val="TableParagraph"/>
              <w:spacing w:before="69"/>
              <w:ind w:left="108"/>
              <w:jc w:val="left"/>
              <w:rPr>
                <w:sz w:val="18"/>
              </w:rPr>
            </w:pPr>
            <w:r>
              <w:rPr>
                <w:sz w:val="18"/>
              </w:rPr>
              <w:t>Temporary Supply</w:t>
            </w:r>
          </w:p>
        </w:tc>
        <w:tc>
          <w:tcPr>
            <w:tcW w:w="1003" w:type="dxa"/>
          </w:tcPr>
          <w:p w:rsidR="007C5447" w:rsidRDefault="00F6308C">
            <w:pPr>
              <w:pStyle w:val="TableParagraph"/>
              <w:spacing w:before="69"/>
              <w:ind w:right="181"/>
              <w:rPr>
                <w:sz w:val="18"/>
              </w:rPr>
            </w:pPr>
            <w:r>
              <w:rPr>
                <w:w w:val="99"/>
                <w:sz w:val="18"/>
              </w:rPr>
              <w:t>-</w:t>
            </w:r>
          </w:p>
        </w:tc>
        <w:tc>
          <w:tcPr>
            <w:tcW w:w="1257" w:type="dxa"/>
          </w:tcPr>
          <w:p w:rsidR="007C5447" w:rsidRDefault="00F6308C">
            <w:pPr>
              <w:pStyle w:val="TableParagraph"/>
              <w:spacing w:before="69"/>
              <w:ind w:right="182"/>
              <w:rPr>
                <w:sz w:val="18"/>
              </w:rPr>
            </w:pPr>
            <w:r>
              <w:rPr>
                <w:w w:val="99"/>
                <w:sz w:val="18"/>
              </w:rPr>
              <w:t>-</w:t>
            </w:r>
          </w:p>
        </w:tc>
        <w:tc>
          <w:tcPr>
            <w:tcW w:w="1403" w:type="dxa"/>
          </w:tcPr>
          <w:p w:rsidR="007C5447" w:rsidRDefault="00F6308C">
            <w:pPr>
              <w:pStyle w:val="TableParagraph"/>
              <w:spacing w:before="69"/>
              <w:ind w:right="181"/>
              <w:rPr>
                <w:sz w:val="18"/>
              </w:rPr>
            </w:pPr>
            <w:r>
              <w:rPr>
                <w:w w:val="99"/>
                <w:sz w:val="18"/>
              </w:rPr>
              <w:t>-</w:t>
            </w:r>
          </w:p>
        </w:tc>
        <w:tc>
          <w:tcPr>
            <w:tcW w:w="1003" w:type="dxa"/>
          </w:tcPr>
          <w:p w:rsidR="007C5447" w:rsidRDefault="00F6308C">
            <w:pPr>
              <w:pStyle w:val="TableParagraph"/>
              <w:spacing w:before="69"/>
              <w:ind w:right="179"/>
              <w:rPr>
                <w:sz w:val="18"/>
              </w:rPr>
            </w:pPr>
            <w:r>
              <w:rPr>
                <w:sz w:val="18"/>
              </w:rPr>
              <w:t>173</w:t>
            </w:r>
          </w:p>
        </w:tc>
        <w:tc>
          <w:tcPr>
            <w:tcW w:w="1257" w:type="dxa"/>
          </w:tcPr>
          <w:p w:rsidR="007C5447" w:rsidRDefault="00F6308C">
            <w:pPr>
              <w:pStyle w:val="TableParagraph"/>
              <w:spacing w:before="69"/>
              <w:ind w:right="181"/>
              <w:rPr>
                <w:sz w:val="18"/>
              </w:rPr>
            </w:pPr>
            <w:r>
              <w:rPr>
                <w:sz w:val="18"/>
              </w:rPr>
              <w:t>173</w:t>
            </w:r>
          </w:p>
        </w:tc>
        <w:tc>
          <w:tcPr>
            <w:tcW w:w="1401" w:type="dxa"/>
          </w:tcPr>
          <w:p w:rsidR="007C5447" w:rsidRDefault="00F6308C">
            <w:pPr>
              <w:pStyle w:val="TableParagraph"/>
              <w:spacing w:before="69"/>
              <w:ind w:right="178"/>
              <w:rPr>
                <w:sz w:val="18"/>
              </w:rPr>
            </w:pPr>
            <w:r>
              <w:rPr>
                <w:sz w:val="18"/>
              </w:rPr>
              <w:t>173</w:t>
            </w:r>
          </w:p>
        </w:tc>
        <w:tc>
          <w:tcPr>
            <w:tcW w:w="1006" w:type="dxa"/>
          </w:tcPr>
          <w:p w:rsidR="007C5447" w:rsidRDefault="00F6308C">
            <w:pPr>
              <w:pStyle w:val="TableParagraph"/>
              <w:spacing w:before="69"/>
              <w:ind w:right="181"/>
              <w:rPr>
                <w:sz w:val="18"/>
              </w:rPr>
            </w:pPr>
            <w:r>
              <w:rPr>
                <w:sz w:val="18"/>
              </w:rPr>
              <w:t>313</w:t>
            </w:r>
          </w:p>
        </w:tc>
        <w:tc>
          <w:tcPr>
            <w:tcW w:w="1255" w:type="dxa"/>
          </w:tcPr>
          <w:p w:rsidR="007C5447" w:rsidRDefault="00F6308C">
            <w:pPr>
              <w:pStyle w:val="TableParagraph"/>
              <w:spacing w:before="69"/>
              <w:ind w:right="180"/>
              <w:rPr>
                <w:sz w:val="18"/>
              </w:rPr>
            </w:pPr>
            <w:r>
              <w:rPr>
                <w:sz w:val="18"/>
              </w:rPr>
              <w:t>313</w:t>
            </w:r>
          </w:p>
        </w:tc>
        <w:tc>
          <w:tcPr>
            <w:tcW w:w="1404" w:type="dxa"/>
          </w:tcPr>
          <w:p w:rsidR="007C5447" w:rsidRDefault="00F6308C">
            <w:pPr>
              <w:pStyle w:val="TableParagraph"/>
              <w:spacing w:before="69"/>
              <w:ind w:right="180"/>
              <w:rPr>
                <w:sz w:val="18"/>
              </w:rPr>
            </w:pPr>
            <w:r>
              <w:rPr>
                <w:sz w:val="18"/>
              </w:rPr>
              <w:t>313</w:t>
            </w:r>
          </w:p>
        </w:tc>
      </w:tr>
      <w:tr w:rsidR="007C5447">
        <w:trPr>
          <w:trHeight w:val="345"/>
        </w:trPr>
        <w:tc>
          <w:tcPr>
            <w:tcW w:w="638" w:type="dxa"/>
          </w:tcPr>
          <w:p w:rsidR="007C5447" w:rsidRDefault="00F6308C">
            <w:pPr>
              <w:pStyle w:val="TableParagraph"/>
              <w:spacing w:before="69"/>
              <w:ind w:left="10"/>
              <w:jc w:val="center"/>
              <w:rPr>
                <w:sz w:val="18"/>
              </w:rPr>
            </w:pPr>
            <w:r>
              <w:rPr>
                <w:w w:val="99"/>
                <w:sz w:val="18"/>
              </w:rPr>
              <w:t>V</w:t>
            </w:r>
          </w:p>
        </w:tc>
        <w:tc>
          <w:tcPr>
            <w:tcW w:w="3144" w:type="dxa"/>
          </w:tcPr>
          <w:p w:rsidR="007C5447" w:rsidRDefault="00F6308C">
            <w:pPr>
              <w:pStyle w:val="TableParagraph"/>
              <w:spacing w:before="69"/>
              <w:ind w:left="108"/>
              <w:jc w:val="left"/>
              <w:rPr>
                <w:sz w:val="18"/>
              </w:rPr>
            </w:pPr>
            <w:r>
              <w:rPr>
                <w:sz w:val="18"/>
              </w:rPr>
              <w:t>Supply to Other States (SWAP)</w:t>
            </w:r>
          </w:p>
        </w:tc>
        <w:tc>
          <w:tcPr>
            <w:tcW w:w="1003" w:type="dxa"/>
          </w:tcPr>
          <w:p w:rsidR="007C5447" w:rsidRDefault="00F6308C">
            <w:pPr>
              <w:pStyle w:val="TableParagraph"/>
              <w:spacing w:before="69"/>
              <w:ind w:right="182"/>
              <w:rPr>
                <w:sz w:val="18"/>
              </w:rPr>
            </w:pPr>
            <w:r>
              <w:rPr>
                <w:sz w:val="18"/>
              </w:rPr>
              <w:t>219</w:t>
            </w:r>
          </w:p>
        </w:tc>
        <w:tc>
          <w:tcPr>
            <w:tcW w:w="1257" w:type="dxa"/>
          </w:tcPr>
          <w:p w:rsidR="007C5447" w:rsidRDefault="00F6308C">
            <w:pPr>
              <w:pStyle w:val="TableParagraph"/>
              <w:spacing w:before="69"/>
              <w:ind w:right="184"/>
              <w:rPr>
                <w:sz w:val="18"/>
              </w:rPr>
            </w:pPr>
            <w:r>
              <w:rPr>
                <w:sz w:val="18"/>
              </w:rPr>
              <w:t>219</w:t>
            </w:r>
          </w:p>
        </w:tc>
        <w:tc>
          <w:tcPr>
            <w:tcW w:w="1403" w:type="dxa"/>
          </w:tcPr>
          <w:p w:rsidR="007C5447" w:rsidRDefault="00F6308C">
            <w:pPr>
              <w:pStyle w:val="TableParagraph"/>
              <w:spacing w:before="69"/>
              <w:ind w:right="183"/>
              <w:rPr>
                <w:sz w:val="18"/>
              </w:rPr>
            </w:pPr>
            <w:r>
              <w:rPr>
                <w:sz w:val="18"/>
              </w:rPr>
              <w:t>219</w:t>
            </w:r>
          </w:p>
        </w:tc>
        <w:tc>
          <w:tcPr>
            <w:tcW w:w="1003" w:type="dxa"/>
          </w:tcPr>
          <w:p w:rsidR="007C5447" w:rsidRDefault="00F6308C">
            <w:pPr>
              <w:pStyle w:val="TableParagraph"/>
              <w:spacing w:before="69"/>
              <w:ind w:right="181"/>
              <w:rPr>
                <w:sz w:val="18"/>
              </w:rPr>
            </w:pPr>
            <w:r>
              <w:rPr>
                <w:w w:val="99"/>
                <w:sz w:val="18"/>
              </w:rPr>
              <w:t>-</w:t>
            </w:r>
          </w:p>
        </w:tc>
        <w:tc>
          <w:tcPr>
            <w:tcW w:w="1257" w:type="dxa"/>
          </w:tcPr>
          <w:p w:rsidR="007C5447" w:rsidRDefault="00F6308C">
            <w:pPr>
              <w:pStyle w:val="TableParagraph"/>
              <w:spacing w:before="69"/>
              <w:ind w:right="180"/>
              <w:rPr>
                <w:sz w:val="18"/>
              </w:rPr>
            </w:pPr>
            <w:r>
              <w:rPr>
                <w:w w:val="99"/>
                <w:sz w:val="18"/>
              </w:rPr>
              <w:t>-</w:t>
            </w:r>
          </w:p>
        </w:tc>
        <w:tc>
          <w:tcPr>
            <w:tcW w:w="1401" w:type="dxa"/>
          </w:tcPr>
          <w:p w:rsidR="007C5447" w:rsidRDefault="00F6308C">
            <w:pPr>
              <w:pStyle w:val="TableParagraph"/>
              <w:spacing w:before="69"/>
              <w:ind w:right="177"/>
              <w:rPr>
                <w:sz w:val="18"/>
              </w:rPr>
            </w:pPr>
            <w:r>
              <w:rPr>
                <w:w w:val="99"/>
                <w:sz w:val="18"/>
              </w:rPr>
              <w:t>-</w:t>
            </w:r>
          </w:p>
        </w:tc>
        <w:tc>
          <w:tcPr>
            <w:tcW w:w="1006" w:type="dxa"/>
          </w:tcPr>
          <w:p w:rsidR="007C5447" w:rsidRDefault="00F6308C">
            <w:pPr>
              <w:pStyle w:val="TableParagraph"/>
              <w:spacing w:before="69"/>
              <w:ind w:right="179"/>
              <w:rPr>
                <w:sz w:val="18"/>
              </w:rPr>
            </w:pPr>
            <w:r>
              <w:rPr>
                <w:w w:val="99"/>
                <w:sz w:val="18"/>
              </w:rPr>
              <w:t>-</w:t>
            </w:r>
          </w:p>
        </w:tc>
        <w:tc>
          <w:tcPr>
            <w:tcW w:w="1255" w:type="dxa"/>
          </w:tcPr>
          <w:p w:rsidR="007C5447" w:rsidRDefault="00F6308C">
            <w:pPr>
              <w:pStyle w:val="TableParagraph"/>
              <w:spacing w:before="69"/>
              <w:ind w:right="179"/>
              <w:rPr>
                <w:sz w:val="18"/>
              </w:rPr>
            </w:pPr>
            <w:r>
              <w:rPr>
                <w:w w:val="99"/>
                <w:sz w:val="18"/>
              </w:rPr>
              <w:t>-</w:t>
            </w:r>
          </w:p>
        </w:tc>
        <w:tc>
          <w:tcPr>
            <w:tcW w:w="1404" w:type="dxa"/>
          </w:tcPr>
          <w:p w:rsidR="007C5447" w:rsidRDefault="00F6308C">
            <w:pPr>
              <w:pStyle w:val="TableParagraph"/>
              <w:spacing w:before="69"/>
              <w:ind w:right="179"/>
              <w:rPr>
                <w:sz w:val="18"/>
              </w:rPr>
            </w:pPr>
            <w:r>
              <w:rPr>
                <w:w w:val="99"/>
                <w:sz w:val="18"/>
              </w:rPr>
              <w:t>-</w:t>
            </w:r>
          </w:p>
        </w:tc>
      </w:tr>
      <w:tr w:rsidR="007C5447">
        <w:trPr>
          <w:trHeight w:val="347"/>
        </w:trPr>
        <w:tc>
          <w:tcPr>
            <w:tcW w:w="638" w:type="dxa"/>
          </w:tcPr>
          <w:p w:rsidR="007C5447" w:rsidRDefault="007C5447">
            <w:pPr>
              <w:pStyle w:val="TableParagraph"/>
              <w:jc w:val="left"/>
              <w:rPr>
                <w:sz w:val="18"/>
              </w:rPr>
            </w:pPr>
          </w:p>
        </w:tc>
        <w:tc>
          <w:tcPr>
            <w:tcW w:w="3144" w:type="dxa"/>
          </w:tcPr>
          <w:p w:rsidR="007C5447" w:rsidRDefault="00F6308C">
            <w:pPr>
              <w:pStyle w:val="TableParagraph"/>
              <w:spacing w:before="71"/>
              <w:ind w:left="108"/>
              <w:jc w:val="left"/>
              <w:rPr>
                <w:b/>
                <w:sz w:val="18"/>
              </w:rPr>
            </w:pPr>
            <w:r>
              <w:rPr>
                <w:b/>
                <w:sz w:val="18"/>
              </w:rPr>
              <w:t>TOTAL HT category revenue</w:t>
            </w:r>
          </w:p>
        </w:tc>
        <w:tc>
          <w:tcPr>
            <w:tcW w:w="1003" w:type="dxa"/>
          </w:tcPr>
          <w:p w:rsidR="007C5447" w:rsidRDefault="00F6308C">
            <w:pPr>
              <w:pStyle w:val="TableParagraph"/>
              <w:spacing w:before="71"/>
              <w:ind w:right="180"/>
              <w:rPr>
                <w:b/>
                <w:sz w:val="18"/>
              </w:rPr>
            </w:pPr>
            <w:r>
              <w:rPr>
                <w:b/>
                <w:sz w:val="18"/>
              </w:rPr>
              <w:t>8,239</w:t>
            </w:r>
          </w:p>
        </w:tc>
        <w:tc>
          <w:tcPr>
            <w:tcW w:w="1257" w:type="dxa"/>
          </w:tcPr>
          <w:p w:rsidR="007C5447" w:rsidRDefault="00F6308C">
            <w:pPr>
              <w:pStyle w:val="TableParagraph"/>
              <w:spacing w:before="71"/>
              <w:ind w:right="182"/>
              <w:rPr>
                <w:b/>
                <w:sz w:val="18"/>
              </w:rPr>
            </w:pPr>
            <w:r>
              <w:rPr>
                <w:b/>
                <w:sz w:val="18"/>
              </w:rPr>
              <w:t>8,362</w:t>
            </w:r>
          </w:p>
        </w:tc>
        <w:tc>
          <w:tcPr>
            <w:tcW w:w="1403" w:type="dxa"/>
          </w:tcPr>
          <w:p w:rsidR="007C5447" w:rsidRDefault="00F6308C">
            <w:pPr>
              <w:pStyle w:val="TableParagraph"/>
              <w:spacing w:before="67"/>
              <w:ind w:right="179"/>
              <w:rPr>
                <w:sz w:val="12"/>
              </w:rPr>
            </w:pPr>
            <w:r>
              <w:rPr>
                <w:b/>
                <w:sz w:val="18"/>
              </w:rPr>
              <w:t>10,715</w:t>
            </w:r>
            <w:r>
              <w:rPr>
                <w:position w:val="6"/>
                <w:sz w:val="12"/>
              </w:rPr>
              <w:t>#</w:t>
            </w:r>
          </w:p>
        </w:tc>
        <w:tc>
          <w:tcPr>
            <w:tcW w:w="1003" w:type="dxa"/>
          </w:tcPr>
          <w:p w:rsidR="007C5447" w:rsidRDefault="00F6308C">
            <w:pPr>
              <w:pStyle w:val="TableParagraph"/>
              <w:spacing w:before="71"/>
              <w:ind w:right="180"/>
              <w:rPr>
                <w:b/>
                <w:sz w:val="18"/>
              </w:rPr>
            </w:pPr>
            <w:r>
              <w:rPr>
                <w:b/>
                <w:sz w:val="18"/>
              </w:rPr>
              <w:t>8,448</w:t>
            </w:r>
          </w:p>
        </w:tc>
        <w:tc>
          <w:tcPr>
            <w:tcW w:w="1257" w:type="dxa"/>
          </w:tcPr>
          <w:p w:rsidR="007C5447" w:rsidRDefault="00F6308C">
            <w:pPr>
              <w:pStyle w:val="TableParagraph"/>
              <w:spacing w:before="71"/>
              <w:ind w:right="179"/>
              <w:rPr>
                <w:b/>
                <w:sz w:val="18"/>
              </w:rPr>
            </w:pPr>
            <w:r>
              <w:rPr>
                <w:b/>
                <w:sz w:val="18"/>
              </w:rPr>
              <w:t>7,795</w:t>
            </w:r>
          </w:p>
        </w:tc>
        <w:tc>
          <w:tcPr>
            <w:tcW w:w="1401" w:type="dxa"/>
          </w:tcPr>
          <w:p w:rsidR="007C5447" w:rsidRDefault="00F6308C">
            <w:pPr>
              <w:pStyle w:val="TableParagraph"/>
              <w:spacing w:before="67"/>
              <w:ind w:right="177"/>
              <w:rPr>
                <w:sz w:val="12"/>
              </w:rPr>
            </w:pPr>
            <w:r>
              <w:rPr>
                <w:b/>
                <w:sz w:val="18"/>
              </w:rPr>
              <w:t>13,200</w:t>
            </w:r>
            <w:r>
              <w:rPr>
                <w:position w:val="6"/>
                <w:sz w:val="12"/>
              </w:rPr>
              <w:t>#</w:t>
            </w:r>
          </w:p>
        </w:tc>
        <w:tc>
          <w:tcPr>
            <w:tcW w:w="1006" w:type="dxa"/>
          </w:tcPr>
          <w:p w:rsidR="007C5447" w:rsidRDefault="00F6308C">
            <w:pPr>
              <w:pStyle w:val="TableParagraph"/>
              <w:spacing w:before="71"/>
              <w:ind w:right="182"/>
              <w:rPr>
                <w:b/>
                <w:sz w:val="18"/>
              </w:rPr>
            </w:pPr>
            <w:r>
              <w:rPr>
                <w:b/>
                <w:sz w:val="18"/>
              </w:rPr>
              <w:t>10,240</w:t>
            </w:r>
          </w:p>
        </w:tc>
        <w:tc>
          <w:tcPr>
            <w:tcW w:w="1255" w:type="dxa"/>
          </w:tcPr>
          <w:p w:rsidR="007C5447" w:rsidRDefault="00F6308C">
            <w:pPr>
              <w:pStyle w:val="TableParagraph"/>
              <w:spacing w:before="71"/>
              <w:ind w:right="178"/>
              <w:rPr>
                <w:b/>
                <w:sz w:val="18"/>
              </w:rPr>
            </w:pPr>
            <w:r>
              <w:rPr>
                <w:b/>
                <w:sz w:val="18"/>
              </w:rPr>
              <w:t>9,513</w:t>
            </w:r>
          </w:p>
        </w:tc>
        <w:tc>
          <w:tcPr>
            <w:tcW w:w="1404" w:type="dxa"/>
          </w:tcPr>
          <w:p w:rsidR="007C5447" w:rsidRDefault="00F6308C">
            <w:pPr>
              <w:pStyle w:val="TableParagraph"/>
              <w:spacing w:before="67"/>
              <w:ind w:right="179"/>
              <w:rPr>
                <w:sz w:val="12"/>
              </w:rPr>
            </w:pPr>
            <w:r>
              <w:rPr>
                <w:b/>
                <w:sz w:val="18"/>
              </w:rPr>
              <w:t>15,565</w:t>
            </w:r>
            <w:r>
              <w:rPr>
                <w:position w:val="6"/>
                <w:sz w:val="12"/>
              </w:rPr>
              <w:t>#</w:t>
            </w:r>
          </w:p>
        </w:tc>
      </w:tr>
      <w:tr w:rsidR="007C5447">
        <w:trPr>
          <w:trHeight w:val="345"/>
        </w:trPr>
        <w:tc>
          <w:tcPr>
            <w:tcW w:w="638" w:type="dxa"/>
          </w:tcPr>
          <w:p w:rsidR="007C5447" w:rsidRDefault="007C5447">
            <w:pPr>
              <w:pStyle w:val="TableParagraph"/>
              <w:jc w:val="left"/>
              <w:rPr>
                <w:sz w:val="18"/>
              </w:rPr>
            </w:pPr>
          </w:p>
        </w:tc>
        <w:tc>
          <w:tcPr>
            <w:tcW w:w="3144" w:type="dxa"/>
          </w:tcPr>
          <w:p w:rsidR="007C5447" w:rsidRDefault="00F6308C">
            <w:pPr>
              <w:pStyle w:val="TableParagraph"/>
              <w:spacing w:before="69"/>
              <w:ind w:left="108"/>
              <w:jc w:val="left"/>
              <w:rPr>
                <w:b/>
                <w:sz w:val="18"/>
              </w:rPr>
            </w:pPr>
            <w:r>
              <w:rPr>
                <w:b/>
                <w:sz w:val="18"/>
              </w:rPr>
              <w:t>LT Category</w:t>
            </w:r>
          </w:p>
        </w:tc>
        <w:tc>
          <w:tcPr>
            <w:tcW w:w="1003" w:type="dxa"/>
          </w:tcPr>
          <w:p w:rsidR="007C5447" w:rsidRDefault="007C5447">
            <w:pPr>
              <w:pStyle w:val="TableParagraph"/>
              <w:jc w:val="left"/>
              <w:rPr>
                <w:sz w:val="18"/>
              </w:rPr>
            </w:pPr>
          </w:p>
        </w:tc>
        <w:tc>
          <w:tcPr>
            <w:tcW w:w="1257" w:type="dxa"/>
          </w:tcPr>
          <w:p w:rsidR="007C5447" w:rsidRDefault="007C5447">
            <w:pPr>
              <w:pStyle w:val="TableParagraph"/>
              <w:jc w:val="left"/>
              <w:rPr>
                <w:sz w:val="18"/>
              </w:rPr>
            </w:pPr>
          </w:p>
        </w:tc>
        <w:tc>
          <w:tcPr>
            <w:tcW w:w="1403" w:type="dxa"/>
          </w:tcPr>
          <w:p w:rsidR="007C5447" w:rsidRDefault="007C5447">
            <w:pPr>
              <w:pStyle w:val="TableParagraph"/>
              <w:jc w:val="left"/>
              <w:rPr>
                <w:sz w:val="18"/>
              </w:rPr>
            </w:pPr>
          </w:p>
        </w:tc>
        <w:tc>
          <w:tcPr>
            <w:tcW w:w="1003" w:type="dxa"/>
          </w:tcPr>
          <w:p w:rsidR="007C5447" w:rsidRDefault="007C5447">
            <w:pPr>
              <w:pStyle w:val="TableParagraph"/>
              <w:jc w:val="left"/>
              <w:rPr>
                <w:sz w:val="18"/>
              </w:rPr>
            </w:pPr>
          </w:p>
        </w:tc>
        <w:tc>
          <w:tcPr>
            <w:tcW w:w="1257" w:type="dxa"/>
          </w:tcPr>
          <w:p w:rsidR="007C5447" w:rsidRDefault="007C5447">
            <w:pPr>
              <w:pStyle w:val="TableParagraph"/>
              <w:jc w:val="left"/>
              <w:rPr>
                <w:sz w:val="18"/>
              </w:rPr>
            </w:pPr>
          </w:p>
        </w:tc>
        <w:tc>
          <w:tcPr>
            <w:tcW w:w="1401" w:type="dxa"/>
          </w:tcPr>
          <w:p w:rsidR="007C5447" w:rsidRDefault="007C5447">
            <w:pPr>
              <w:pStyle w:val="TableParagraph"/>
              <w:jc w:val="left"/>
              <w:rPr>
                <w:sz w:val="18"/>
              </w:rPr>
            </w:pPr>
          </w:p>
        </w:tc>
        <w:tc>
          <w:tcPr>
            <w:tcW w:w="1006" w:type="dxa"/>
          </w:tcPr>
          <w:p w:rsidR="007C5447" w:rsidRDefault="007C5447">
            <w:pPr>
              <w:pStyle w:val="TableParagraph"/>
              <w:jc w:val="left"/>
              <w:rPr>
                <w:sz w:val="18"/>
              </w:rPr>
            </w:pPr>
          </w:p>
        </w:tc>
        <w:tc>
          <w:tcPr>
            <w:tcW w:w="1255" w:type="dxa"/>
          </w:tcPr>
          <w:p w:rsidR="007C5447" w:rsidRDefault="007C5447">
            <w:pPr>
              <w:pStyle w:val="TableParagraph"/>
              <w:jc w:val="left"/>
              <w:rPr>
                <w:sz w:val="18"/>
              </w:rPr>
            </w:pPr>
          </w:p>
        </w:tc>
        <w:tc>
          <w:tcPr>
            <w:tcW w:w="1404" w:type="dxa"/>
          </w:tcPr>
          <w:p w:rsidR="007C5447" w:rsidRDefault="007C5447">
            <w:pPr>
              <w:pStyle w:val="TableParagraph"/>
              <w:jc w:val="left"/>
              <w:rPr>
                <w:sz w:val="18"/>
              </w:rPr>
            </w:pPr>
          </w:p>
        </w:tc>
      </w:tr>
      <w:tr w:rsidR="007C5447">
        <w:trPr>
          <w:trHeight w:val="345"/>
        </w:trPr>
        <w:tc>
          <w:tcPr>
            <w:tcW w:w="638" w:type="dxa"/>
          </w:tcPr>
          <w:p w:rsidR="007C5447" w:rsidRDefault="00F6308C">
            <w:pPr>
              <w:pStyle w:val="TableParagraph"/>
              <w:spacing w:before="69"/>
              <w:ind w:left="88" w:right="81"/>
              <w:jc w:val="center"/>
              <w:rPr>
                <w:sz w:val="18"/>
              </w:rPr>
            </w:pPr>
            <w:r>
              <w:rPr>
                <w:sz w:val="18"/>
              </w:rPr>
              <w:t>I (A)</w:t>
            </w:r>
          </w:p>
        </w:tc>
        <w:tc>
          <w:tcPr>
            <w:tcW w:w="3144" w:type="dxa"/>
          </w:tcPr>
          <w:p w:rsidR="007C5447" w:rsidRDefault="00F6308C">
            <w:pPr>
              <w:pStyle w:val="TableParagraph"/>
              <w:spacing w:before="69"/>
              <w:ind w:left="108"/>
              <w:jc w:val="left"/>
              <w:rPr>
                <w:sz w:val="18"/>
              </w:rPr>
            </w:pPr>
            <w:r>
              <w:rPr>
                <w:sz w:val="18"/>
              </w:rPr>
              <w:t>Domestic</w:t>
            </w:r>
          </w:p>
        </w:tc>
        <w:tc>
          <w:tcPr>
            <w:tcW w:w="1003" w:type="dxa"/>
          </w:tcPr>
          <w:p w:rsidR="007C5447" w:rsidRDefault="00F6308C">
            <w:pPr>
              <w:pStyle w:val="TableParagraph"/>
              <w:spacing w:before="69"/>
              <w:ind w:right="180"/>
              <w:rPr>
                <w:sz w:val="18"/>
              </w:rPr>
            </w:pPr>
            <w:r>
              <w:rPr>
                <w:sz w:val="18"/>
              </w:rPr>
              <w:t>2,889</w:t>
            </w:r>
          </w:p>
        </w:tc>
        <w:tc>
          <w:tcPr>
            <w:tcW w:w="1257" w:type="dxa"/>
          </w:tcPr>
          <w:p w:rsidR="007C5447" w:rsidRDefault="00F6308C">
            <w:pPr>
              <w:pStyle w:val="TableParagraph"/>
              <w:spacing w:before="69"/>
              <w:ind w:right="182"/>
              <w:rPr>
                <w:sz w:val="18"/>
              </w:rPr>
            </w:pPr>
            <w:r>
              <w:rPr>
                <w:sz w:val="18"/>
              </w:rPr>
              <w:t>2,889</w:t>
            </w:r>
          </w:p>
        </w:tc>
        <w:tc>
          <w:tcPr>
            <w:tcW w:w="1403" w:type="dxa"/>
          </w:tcPr>
          <w:p w:rsidR="007C5447" w:rsidRDefault="00F6308C">
            <w:pPr>
              <w:pStyle w:val="TableParagraph"/>
              <w:spacing w:before="69"/>
              <w:ind w:right="181"/>
              <w:rPr>
                <w:sz w:val="18"/>
              </w:rPr>
            </w:pPr>
            <w:r>
              <w:rPr>
                <w:sz w:val="18"/>
              </w:rPr>
              <w:t>2,889</w:t>
            </w:r>
          </w:p>
        </w:tc>
        <w:tc>
          <w:tcPr>
            <w:tcW w:w="1003" w:type="dxa"/>
          </w:tcPr>
          <w:p w:rsidR="007C5447" w:rsidRDefault="00F6308C">
            <w:pPr>
              <w:pStyle w:val="TableParagraph"/>
              <w:spacing w:before="69"/>
              <w:ind w:right="180"/>
              <w:rPr>
                <w:sz w:val="18"/>
              </w:rPr>
            </w:pPr>
            <w:r>
              <w:rPr>
                <w:sz w:val="18"/>
              </w:rPr>
              <w:t>4,462</w:t>
            </w:r>
          </w:p>
        </w:tc>
        <w:tc>
          <w:tcPr>
            <w:tcW w:w="1257" w:type="dxa"/>
          </w:tcPr>
          <w:p w:rsidR="007C5447" w:rsidRDefault="00F6308C">
            <w:pPr>
              <w:pStyle w:val="TableParagraph"/>
              <w:spacing w:before="69"/>
              <w:ind w:right="179"/>
              <w:rPr>
                <w:sz w:val="18"/>
              </w:rPr>
            </w:pPr>
            <w:r>
              <w:rPr>
                <w:sz w:val="18"/>
              </w:rPr>
              <w:t>4,462</w:t>
            </w:r>
          </w:p>
        </w:tc>
        <w:tc>
          <w:tcPr>
            <w:tcW w:w="1401" w:type="dxa"/>
          </w:tcPr>
          <w:p w:rsidR="007C5447" w:rsidRDefault="00F6308C">
            <w:pPr>
              <w:pStyle w:val="TableParagraph"/>
              <w:spacing w:before="69"/>
              <w:ind w:right="176"/>
              <w:rPr>
                <w:sz w:val="18"/>
              </w:rPr>
            </w:pPr>
            <w:r>
              <w:rPr>
                <w:sz w:val="18"/>
              </w:rPr>
              <w:t>4,462</w:t>
            </w:r>
          </w:p>
        </w:tc>
        <w:tc>
          <w:tcPr>
            <w:tcW w:w="1006" w:type="dxa"/>
          </w:tcPr>
          <w:p w:rsidR="007C5447" w:rsidRDefault="00F6308C">
            <w:pPr>
              <w:pStyle w:val="TableParagraph"/>
              <w:spacing w:before="69"/>
              <w:ind w:right="179"/>
              <w:rPr>
                <w:sz w:val="18"/>
              </w:rPr>
            </w:pPr>
            <w:r>
              <w:rPr>
                <w:sz w:val="18"/>
              </w:rPr>
              <w:t>5,342</w:t>
            </w:r>
          </w:p>
        </w:tc>
        <w:tc>
          <w:tcPr>
            <w:tcW w:w="1255" w:type="dxa"/>
          </w:tcPr>
          <w:p w:rsidR="007C5447" w:rsidRDefault="00F6308C">
            <w:pPr>
              <w:pStyle w:val="TableParagraph"/>
              <w:spacing w:before="69"/>
              <w:ind w:right="178"/>
              <w:rPr>
                <w:sz w:val="18"/>
              </w:rPr>
            </w:pPr>
            <w:r>
              <w:rPr>
                <w:sz w:val="18"/>
              </w:rPr>
              <w:t>5,342</w:t>
            </w:r>
          </w:p>
        </w:tc>
        <w:tc>
          <w:tcPr>
            <w:tcW w:w="1404" w:type="dxa"/>
          </w:tcPr>
          <w:p w:rsidR="007C5447" w:rsidRDefault="00F6308C">
            <w:pPr>
              <w:pStyle w:val="TableParagraph"/>
              <w:spacing w:before="69"/>
              <w:ind w:right="178"/>
              <w:rPr>
                <w:sz w:val="18"/>
              </w:rPr>
            </w:pPr>
            <w:r>
              <w:rPr>
                <w:sz w:val="18"/>
              </w:rPr>
              <w:t>5,342</w:t>
            </w:r>
          </w:p>
        </w:tc>
      </w:tr>
      <w:tr w:rsidR="007C5447">
        <w:trPr>
          <w:trHeight w:val="348"/>
        </w:trPr>
        <w:tc>
          <w:tcPr>
            <w:tcW w:w="638" w:type="dxa"/>
          </w:tcPr>
          <w:p w:rsidR="007C5447" w:rsidRDefault="00F6308C">
            <w:pPr>
              <w:pStyle w:val="TableParagraph"/>
              <w:spacing w:before="71"/>
              <w:ind w:left="88" w:right="79"/>
              <w:jc w:val="center"/>
              <w:rPr>
                <w:sz w:val="18"/>
              </w:rPr>
            </w:pPr>
            <w:r>
              <w:rPr>
                <w:sz w:val="18"/>
              </w:rPr>
              <w:t>I (B)</w:t>
            </w:r>
          </w:p>
        </w:tc>
        <w:tc>
          <w:tcPr>
            <w:tcW w:w="3144" w:type="dxa"/>
          </w:tcPr>
          <w:p w:rsidR="007C5447" w:rsidRDefault="00F6308C">
            <w:pPr>
              <w:pStyle w:val="TableParagraph"/>
              <w:spacing w:before="71"/>
              <w:ind w:left="108"/>
              <w:jc w:val="left"/>
              <w:rPr>
                <w:sz w:val="18"/>
              </w:rPr>
            </w:pPr>
            <w:r>
              <w:rPr>
                <w:sz w:val="18"/>
              </w:rPr>
              <w:t>Huts</w:t>
            </w:r>
          </w:p>
        </w:tc>
        <w:tc>
          <w:tcPr>
            <w:tcW w:w="1003" w:type="dxa"/>
          </w:tcPr>
          <w:p w:rsidR="007C5447" w:rsidRDefault="00F6308C">
            <w:pPr>
              <w:pStyle w:val="TableParagraph"/>
              <w:spacing w:before="71"/>
              <w:ind w:right="181"/>
              <w:rPr>
                <w:sz w:val="18"/>
              </w:rPr>
            </w:pPr>
            <w:r>
              <w:rPr>
                <w:w w:val="99"/>
                <w:sz w:val="18"/>
              </w:rPr>
              <w:t>-</w:t>
            </w:r>
          </w:p>
        </w:tc>
        <w:tc>
          <w:tcPr>
            <w:tcW w:w="1257" w:type="dxa"/>
          </w:tcPr>
          <w:p w:rsidR="007C5447" w:rsidRDefault="00F6308C">
            <w:pPr>
              <w:pStyle w:val="TableParagraph"/>
              <w:spacing w:before="71"/>
              <w:ind w:right="182"/>
              <w:rPr>
                <w:sz w:val="18"/>
              </w:rPr>
            </w:pPr>
            <w:r>
              <w:rPr>
                <w:w w:val="99"/>
                <w:sz w:val="18"/>
              </w:rPr>
              <w:t>-</w:t>
            </w:r>
          </w:p>
        </w:tc>
        <w:tc>
          <w:tcPr>
            <w:tcW w:w="1403" w:type="dxa"/>
          </w:tcPr>
          <w:p w:rsidR="007C5447" w:rsidRDefault="00F6308C">
            <w:pPr>
              <w:pStyle w:val="TableParagraph"/>
              <w:spacing w:before="71"/>
              <w:ind w:right="181"/>
              <w:rPr>
                <w:sz w:val="18"/>
              </w:rPr>
            </w:pPr>
            <w:r>
              <w:rPr>
                <w:w w:val="99"/>
                <w:sz w:val="18"/>
              </w:rPr>
              <w:t>-</w:t>
            </w:r>
          </w:p>
        </w:tc>
        <w:tc>
          <w:tcPr>
            <w:tcW w:w="1003" w:type="dxa"/>
          </w:tcPr>
          <w:p w:rsidR="007C5447" w:rsidRDefault="00F6308C">
            <w:pPr>
              <w:pStyle w:val="TableParagraph"/>
              <w:spacing w:before="71"/>
              <w:ind w:right="181"/>
              <w:rPr>
                <w:sz w:val="18"/>
              </w:rPr>
            </w:pPr>
            <w:r>
              <w:rPr>
                <w:w w:val="99"/>
                <w:sz w:val="18"/>
              </w:rPr>
              <w:t>-</w:t>
            </w:r>
          </w:p>
        </w:tc>
        <w:tc>
          <w:tcPr>
            <w:tcW w:w="1257" w:type="dxa"/>
          </w:tcPr>
          <w:p w:rsidR="007C5447" w:rsidRDefault="00F6308C">
            <w:pPr>
              <w:pStyle w:val="TableParagraph"/>
              <w:spacing w:before="71"/>
              <w:ind w:right="180"/>
              <w:rPr>
                <w:sz w:val="18"/>
              </w:rPr>
            </w:pPr>
            <w:r>
              <w:rPr>
                <w:w w:val="99"/>
                <w:sz w:val="18"/>
              </w:rPr>
              <w:t>-</w:t>
            </w:r>
          </w:p>
        </w:tc>
        <w:tc>
          <w:tcPr>
            <w:tcW w:w="1401" w:type="dxa"/>
          </w:tcPr>
          <w:p w:rsidR="007C5447" w:rsidRDefault="00F6308C">
            <w:pPr>
              <w:pStyle w:val="TableParagraph"/>
              <w:spacing w:before="71"/>
              <w:ind w:right="177"/>
              <w:rPr>
                <w:sz w:val="18"/>
              </w:rPr>
            </w:pPr>
            <w:r>
              <w:rPr>
                <w:w w:val="99"/>
                <w:sz w:val="18"/>
              </w:rPr>
              <w:t>-</w:t>
            </w:r>
          </w:p>
        </w:tc>
        <w:tc>
          <w:tcPr>
            <w:tcW w:w="1006" w:type="dxa"/>
          </w:tcPr>
          <w:p w:rsidR="007C5447" w:rsidRDefault="00F6308C">
            <w:pPr>
              <w:pStyle w:val="TableParagraph"/>
              <w:spacing w:before="71"/>
              <w:ind w:right="179"/>
              <w:rPr>
                <w:sz w:val="18"/>
              </w:rPr>
            </w:pPr>
            <w:r>
              <w:rPr>
                <w:w w:val="99"/>
                <w:sz w:val="18"/>
              </w:rPr>
              <w:t>-</w:t>
            </w:r>
          </w:p>
        </w:tc>
        <w:tc>
          <w:tcPr>
            <w:tcW w:w="1255" w:type="dxa"/>
          </w:tcPr>
          <w:p w:rsidR="007C5447" w:rsidRDefault="00F6308C">
            <w:pPr>
              <w:pStyle w:val="TableParagraph"/>
              <w:spacing w:before="71"/>
              <w:ind w:right="179"/>
              <w:rPr>
                <w:sz w:val="18"/>
              </w:rPr>
            </w:pPr>
            <w:r>
              <w:rPr>
                <w:w w:val="99"/>
                <w:sz w:val="18"/>
              </w:rPr>
              <w:t>-</w:t>
            </w:r>
          </w:p>
        </w:tc>
        <w:tc>
          <w:tcPr>
            <w:tcW w:w="1404" w:type="dxa"/>
          </w:tcPr>
          <w:p w:rsidR="007C5447" w:rsidRDefault="00F6308C">
            <w:pPr>
              <w:pStyle w:val="TableParagraph"/>
              <w:spacing w:before="71"/>
              <w:ind w:right="179"/>
              <w:rPr>
                <w:sz w:val="18"/>
              </w:rPr>
            </w:pPr>
            <w:r>
              <w:rPr>
                <w:w w:val="99"/>
                <w:sz w:val="18"/>
              </w:rPr>
              <w:t>-</w:t>
            </w:r>
          </w:p>
        </w:tc>
      </w:tr>
      <w:tr w:rsidR="007C5447">
        <w:trPr>
          <w:trHeight w:val="345"/>
        </w:trPr>
        <w:tc>
          <w:tcPr>
            <w:tcW w:w="638" w:type="dxa"/>
          </w:tcPr>
          <w:p w:rsidR="007C5447" w:rsidRDefault="00F6308C">
            <w:pPr>
              <w:pStyle w:val="TableParagraph"/>
              <w:spacing w:before="69"/>
              <w:ind w:left="88" w:right="79"/>
              <w:jc w:val="center"/>
              <w:rPr>
                <w:sz w:val="18"/>
              </w:rPr>
            </w:pPr>
            <w:r>
              <w:rPr>
                <w:sz w:val="18"/>
              </w:rPr>
              <w:t>I (C)</w:t>
            </w:r>
          </w:p>
        </w:tc>
        <w:tc>
          <w:tcPr>
            <w:tcW w:w="3144" w:type="dxa"/>
          </w:tcPr>
          <w:p w:rsidR="007C5447" w:rsidRDefault="00F6308C">
            <w:pPr>
              <w:pStyle w:val="TableParagraph"/>
              <w:spacing w:before="69"/>
              <w:ind w:left="108"/>
              <w:jc w:val="left"/>
              <w:rPr>
                <w:sz w:val="18"/>
              </w:rPr>
            </w:pPr>
            <w:r>
              <w:rPr>
                <w:sz w:val="18"/>
              </w:rPr>
              <w:t>Defence colonies etc. notified area</w:t>
            </w:r>
          </w:p>
        </w:tc>
        <w:tc>
          <w:tcPr>
            <w:tcW w:w="1003" w:type="dxa"/>
          </w:tcPr>
          <w:p w:rsidR="007C5447" w:rsidRDefault="00F6308C">
            <w:pPr>
              <w:pStyle w:val="TableParagraph"/>
              <w:spacing w:before="69"/>
              <w:ind w:right="182"/>
              <w:rPr>
                <w:sz w:val="18"/>
              </w:rPr>
            </w:pPr>
            <w:r>
              <w:rPr>
                <w:sz w:val="18"/>
              </w:rPr>
              <w:t>9</w:t>
            </w:r>
          </w:p>
        </w:tc>
        <w:tc>
          <w:tcPr>
            <w:tcW w:w="1257" w:type="dxa"/>
          </w:tcPr>
          <w:p w:rsidR="007C5447" w:rsidRDefault="00F6308C">
            <w:pPr>
              <w:pStyle w:val="TableParagraph"/>
              <w:spacing w:before="69"/>
              <w:ind w:right="185"/>
              <w:rPr>
                <w:sz w:val="18"/>
              </w:rPr>
            </w:pPr>
            <w:r>
              <w:rPr>
                <w:sz w:val="18"/>
              </w:rPr>
              <w:t>9</w:t>
            </w:r>
          </w:p>
        </w:tc>
        <w:tc>
          <w:tcPr>
            <w:tcW w:w="1403" w:type="dxa"/>
          </w:tcPr>
          <w:p w:rsidR="007C5447" w:rsidRDefault="00F6308C">
            <w:pPr>
              <w:pStyle w:val="TableParagraph"/>
              <w:spacing w:before="69"/>
              <w:ind w:right="184"/>
              <w:rPr>
                <w:sz w:val="18"/>
              </w:rPr>
            </w:pPr>
            <w:r>
              <w:rPr>
                <w:sz w:val="18"/>
              </w:rPr>
              <w:t>9</w:t>
            </w:r>
          </w:p>
        </w:tc>
        <w:tc>
          <w:tcPr>
            <w:tcW w:w="1003" w:type="dxa"/>
          </w:tcPr>
          <w:p w:rsidR="007C5447" w:rsidRDefault="00F6308C">
            <w:pPr>
              <w:pStyle w:val="TableParagraph"/>
              <w:spacing w:before="69"/>
              <w:ind w:right="181"/>
              <w:rPr>
                <w:sz w:val="18"/>
              </w:rPr>
            </w:pPr>
            <w:r>
              <w:rPr>
                <w:sz w:val="18"/>
              </w:rPr>
              <w:t>10</w:t>
            </w:r>
          </w:p>
        </w:tc>
        <w:tc>
          <w:tcPr>
            <w:tcW w:w="1257" w:type="dxa"/>
          </w:tcPr>
          <w:p w:rsidR="007C5447" w:rsidRDefault="00F6308C">
            <w:pPr>
              <w:pStyle w:val="TableParagraph"/>
              <w:spacing w:before="69"/>
              <w:ind w:right="180"/>
              <w:rPr>
                <w:sz w:val="18"/>
              </w:rPr>
            </w:pPr>
            <w:r>
              <w:rPr>
                <w:sz w:val="18"/>
              </w:rPr>
              <w:t>10</w:t>
            </w:r>
          </w:p>
        </w:tc>
        <w:tc>
          <w:tcPr>
            <w:tcW w:w="1401" w:type="dxa"/>
          </w:tcPr>
          <w:p w:rsidR="007C5447" w:rsidRDefault="00F6308C">
            <w:pPr>
              <w:pStyle w:val="TableParagraph"/>
              <w:spacing w:before="69"/>
              <w:ind w:right="177"/>
              <w:rPr>
                <w:sz w:val="18"/>
              </w:rPr>
            </w:pPr>
            <w:r>
              <w:rPr>
                <w:sz w:val="18"/>
              </w:rPr>
              <w:t>10</w:t>
            </w:r>
          </w:p>
        </w:tc>
        <w:tc>
          <w:tcPr>
            <w:tcW w:w="1006" w:type="dxa"/>
          </w:tcPr>
          <w:p w:rsidR="007C5447" w:rsidRDefault="00F6308C">
            <w:pPr>
              <w:pStyle w:val="TableParagraph"/>
              <w:spacing w:before="69"/>
              <w:ind w:right="182"/>
              <w:rPr>
                <w:sz w:val="18"/>
              </w:rPr>
            </w:pPr>
            <w:r>
              <w:rPr>
                <w:sz w:val="18"/>
              </w:rPr>
              <w:t>4</w:t>
            </w:r>
          </w:p>
        </w:tc>
        <w:tc>
          <w:tcPr>
            <w:tcW w:w="1255" w:type="dxa"/>
          </w:tcPr>
          <w:p w:rsidR="007C5447" w:rsidRDefault="00F6308C">
            <w:pPr>
              <w:pStyle w:val="TableParagraph"/>
              <w:spacing w:before="69"/>
              <w:ind w:right="180"/>
              <w:rPr>
                <w:sz w:val="18"/>
              </w:rPr>
            </w:pPr>
            <w:r>
              <w:rPr>
                <w:sz w:val="18"/>
              </w:rPr>
              <w:t>4</w:t>
            </w:r>
          </w:p>
        </w:tc>
        <w:tc>
          <w:tcPr>
            <w:tcW w:w="1404" w:type="dxa"/>
          </w:tcPr>
          <w:p w:rsidR="007C5447" w:rsidRDefault="00F6308C">
            <w:pPr>
              <w:pStyle w:val="TableParagraph"/>
              <w:spacing w:before="69"/>
              <w:ind w:right="180"/>
              <w:rPr>
                <w:sz w:val="18"/>
              </w:rPr>
            </w:pPr>
            <w:r>
              <w:rPr>
                <w:sz w:val="18"/>
              </w:rPr>
              <w:t>4</w:t>
            </w:r>
          </w:p>
        </w:tc>
      </w:tr>
      <w:tr w:rsidR="007C5447">
        <w:trPr>
          <w:trHeight w:val="347"/>
        </w:trPr>
        <w:tc>
          <w:tcPr>
            <w:tcW w:w="638" w:type="dxa"/>
          </w:tcPr>
          <w:p w:rsidR="007C5447" w:rsidRDefault="00F6308C">
            <w:pPr>
              <w:pStyle w:val="TableParagraph"/>
              <w:spacing w:before="69"/>
              <w:ind w:left="88" w:right="84"/>
              <w:jc w:val="center"/>
              <w:rPr>
                <w:sz w:val="18"/>
              </w:rPr>
            </w:pPr>
            <w:r>
              <w:rPr>
                <w:sz w:val="18"/>
              </w:rPr>
              <w:t>II (A)</w:t>
            </w:r>
          </w:p>
        </w:tc>
        <w:tc>
          <w:tcPr>
            <w:tcW w:w="3144" w:type="dxa"/>
          </w:tcPr>
          <w:p w:rsidR="007C5447" w:rsidRDefault="00F6308C">
            <w:pPr>
              <w:pStyle w:val="TableParagraph"/>
              <w:spacing w:before="69"/>
              <w:ind w:left="108"/>
              <w:jc w:val="left"/>
              <w:rPr>
                <w:sz w:val="18"/>
              </w:rPr>
            </w:pPr>
            <w:r>
              <w:rPr>
                <w:sz w:val="18"/>
              </w:rPr>
              <w:t>Public Lighting &amp; Water Works</w:t>
            </w:r>
          </w:p>
        </w:tc>
        <w:tc>
          <w:tcPr>
            <w:tcW w:w="1003" w:type="dxa"/>
          </w:tcPr>
          <w:p w:rsidR="007C5447" w:rsidRDefault="00F6308C">
            <w:pPr>
              <w:pStyle w:val="TableParagraph"/>
              <w:spacing w:before="69"/>
              <w:ind w:right="182"/>
              <w:rPr>
                <w:sz w:val="18"/>
              </w:rPr>
            </w:pPr>
            <w:r>
              <w:rPr>
                <w:sz w:val="18"/>
              </w:rPr>
              <w:t>526</w:t>
            </w:r>
          </w:p>
        </w:tc>
        <w:tc>
          <w:tcPr>
            <w:tcW w:w="1257" w:type="dxa"/>
          </w:tcPr>
          <w:p w:rsidR="007C5447" w:rsidRDefault="00F6308C">
            <w:pPr>
              <w:pStyle w:val="TableParagraph"/>
              <w:spacing w:before="69"/>
              <w:ind w:right="184"/>
              <w:rPr>
                <w:sz w:val="18"/>
              </w:rPr>
            </w:pPr>
            <w:r>
              <w:rPr>
                <w:sz w:val="18"/>
              </w:rPr>
              <w:t>526</w:t>
            </w:r>
          </w:p>
        </w:tc>
        <w:tc>
          <w:tcPr>
            <w:tcW w:w="1403" w:type="dxa"/>
          </w:tcPr>
          <w:p w:rsidR="007C5447" w:rsidRDefault="00F6308C">
            <w:pPr>
              <w:pStyle w:val="TableParagraph"/>
              <w:spacing w:before="69"/>
              <w:ind w:right="183"/>
              <w:rPr>
                <w:sz w:val="18"/>
              </w:rPr>
            </w:pPr>
            <w:r>
              <w:rPr>
                <w:sz w:val="18"/>
              </w:rPr>
              <w:t>526</w:t>
            </w:r>
          </w:p>
        </w:tc>
        <w:tc>
          <w:tcPr>
            <w:tcW w:w="1003" w:type="dxa"/>
          </w:tcPr>
          <w:p w:rsidR="007C5447" w:rsidRDefault="00F6308C">
            <w:pPr>
              <w:pStyle w:val="TableParagraph"/>
              <w:spacing w:before="69"/>
              <w:ind w:right="182"/>
              <w:rPr>
                <w:sz w:val="18"/>
              </w:rPr>
            </w:pPr>
            <w:r>
              <w:rPr>
                <w:sz w:val="18"/>
              </w:rPr>
              <w:t>861</w:t>
            </w:r>
          </w:p>
        </w:tc>
        <w:tc>
          <w:tcPr>
            <w:tcW w:w="1257" w:type="dxa"/>
          </w:tcPr>
          <w:p w:rsidR="007C5447" w:rsidRDefault="00F6308C">
            <w:pPr>
              <w:pStyle w:val="TableParagraph"/>
              <w:spacing w:before="69"/>
              <w:ind w:right="181"/>
              <w:rPr>
                <w:sz w:val="18"/>
              </w:rPr>
            </w:pPr>
            <w:r>
              <w:rPr>
                <w:sz w:val="18"/>
              </w:rPr>
              <w:t>861</w:t>
            </w:r>
          </w:p>
        </w:tc>
        <w:tc>
          <w:tcPr>
            <w:tcW w:w="1401" w:type="dxa"/>
          </w:tcPr>
          <w:p w:rsidR="007C5447" w:rsidRDefault="00F6308C">
            <w:pPr>
              <w:pStyle w:val="TableParagraph"/>
              <w:spacing w:before="69"/>
              <w:ind w:right="178"/>
              <w:rPr>
                <w:sz w:val="18"/>
              </w:rPr>
            </w:pPr>
            <w:r>
              <w:rPr>
                <w:sz w:val="18"/>
              </w:rPr>
              <w:t>861</w:t>
            </w:r>
          </w:p>
        </w:tc>
        <w:tc>
          <w:tcPr>
            <w:tcW w:w="1006" w:type="dxa"/>
          </w:tcPr>
          <w:p w:rsidR="007C5447" w:rsidRDefault="00F6308C">
            <w:pPr>
              <w:pStyle w:val="TableParagraph"/>
              <w:spacing w:before="69"/>
              <w:ind w:right="179"/>
              <w:rPr>
                <w:sz w:val="18"/>
              </w:rPr>
            </w:pPr>
            <w:r>
              <w:rPr>
                <w:sz w:val="18"/>
              </w:rPr>
              <w:t>1,074</w:t>
            </w:r>
          </w:p>
        </w:tc>
        <w:tc>
          <w:tcPr>
            <w:tcW w:w="1255" w:type="dxa"/>
          </w:tcPr>
          <w:p w:rsidR="007C5447" w:rsidRDefault="00F6308C">
            <w:pPr>
              <w:pStyle w:val="TableParagraph"/>
              <w:spacing w:before="69"/>
              <w:ind w:right="178"/>
              <w:rPr>
                <w:sz w:val="18"/>
              </w:rPr>
            </w:pPr>
            <w:r>
              <w:rPr>
                <w:sz w:val="18"/>
              </w:rPr>
              <w:t>1,074</w:t>
            </w:r>
          </w:p>
        </w:tc>
        <w:tc>
          <w:tcPr>
            <w:tcW w:w="1404" w:type="dxa"/>
          </w:tcPr>
          <w:p w:rsidR="007C5447" w:rsidRDefault="00F6308C">
            <w:pPr>
              <w:pStyle w:val="TableParagraph"/>
              <w:spacing w:before="69"/>
              <w:ind w:right="178"/>
              <w:rPr>
                <w:sz w:val="18"/>
              </w:rPr>
            </w:pPr>
            <w:r>
              <w:rPr>
                <w:sz w:val="18"/>
              </w:rPr>
              <w:t>1,074</w:t>
            </w:r>
          </w:p>
        </w:tc>
      </w:tr>
    </w:tbl>
    <w:p w:rsidR="007C5447" w:rsidRDefault="007C5447">
      <w:pPr>
        <w:rPr>
          <w:sz w:val="18"/>
        </w:rPr>
        <w:sectPr w:rsidR="007C5447">
          <w:footerReference w:type="default" r:id="rId42"/>
          <w:pgSz w:w="16840" w:h="11910" w:orient="landscape"/>
          <w:pgMar w:top="1100" w:right="1140" w:bottom="1240" w:left="620" w:header="0" w:footer="1057" w:gutter="0"/>
          <w:pgNumType w:start="182"/>
          <w:cols w:space="720"/>
        </w:sectPr>
      </w:pPr>
    </w:p>
    <w:p w:rsidR="007C5447" w:rsidRDefault="007C5447">
      <w:pPr>
        <w:pStyle w:val="BodyText"/>
        <w:rPr>
          <w:b/>
          <w:sz w:val="2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3144"/>
        <w:gridCol w:w="1003"/>
        <w:gridCol w:w="1257"/>
        <w:gridCol w:w="1403"/>
        <w:gridCol w:w="1003"/>
        <w:gridCol w:w="1257"/>
        <w:gridCol w:w="1401"/>
        <w:gridCol w:w="1006"/>
        <w:gridCol w:w="1255"/>
        <w:gridCol w:w="1404"/>
      </w:tblGrid>
      <w:tr w:rsidR="007C5447">
        <w:trPr>
          <w:trHeight w:val="297"/>
        </w:trPr>
        <w:tc>
          <w:tcPr>
            <w:tcW w:w="3782" w:type="dxa"/>
            <w:gridSpan w:val="2"/>
            <w:vMerge w:val="restart"/>
            <w:shd w:val="clear" w:color="auto" w:fill="FBD4B4"/>
          </w:tcPr>
          <w:p w:rsidR="007C5447" w:rsidRDefault="007C5447">
            <w:pPr>
              <w:pStyle w:val="TableParagraph"/>
              <w:jc w:val="left"/>
              <w:rPr>
                <w:b/>
                <w:sz w:val="20"/>
              </w:rPr>
            </w:pPr>
          </w:p>
          <w:p w:rsidR="007C5447" w:rsidRDefault="00F6308C">
            <w:pPr>
              <w:pStyle w:val="TableParagraph"/>
              <w:spacing w:before="122"/>
              <w:ind w:left="1269"/>
              <w:jc w:val="left"/>
              <w:rPr>
                <w:b/>
                <w:sz w:val="18"/>
              </w:rPr>
            </w:pPr>
            <w:r>
              <w:rPr>
                <w:b/>
                <w:sz w:val="18"/>
              </w:rPr>
              <w:t>Consumer category</w:t>
            </w:r>
          </w:p>
        </w:tc>
        <w:tc>
          <w:tcPr>
            <w:tcW w:w="3663" w:type="dxa"/>
            <w:gridSpan w:val="3"/>
            <w:shd w:val="clear" w:color="auto" w:fill="FBD4B4"/>
          </w:tcPr>
          <w:p w:rsidR="007C5447" w:rsidRDefault="00F6308C">
            <w:pPr>
              <w:pStyle w:val="TableParagraph"/>
              <w:spacing w:before="45"/>
              <w:ind w:left="1372" w:right="1356"/>
              <w:jc w:val="center"/>
              <w:rPr>
                <w:b/>
                <w:sz w:val="18"/>
              </w:rPr>
            </w:pPr>
            <w:r>
              <w:rPr>
                <w:b/>
                <w:sz w:val="18"/>
              </w:rPr>
              <w:t>FY 2011-12</w:t>
            </w:r>
          </w:p>
        </w:tc>
        <w:tc>
          <w:tcPr>
            <w:tcW w:w="3661" w:type="dxa"/>
            <w:gridSpan w:val="3"/>
            <w:shd w:val="clear" w:color="auto" w:fill="FBD4B4"/>
          </w:tcPr>
          <w:p w:rsidR="007C5447" w:rsidRDefault="00F6308C">
            <w:pPr>
              <w:pStyle w:val="TableParagraph"/>
              <w:spacing w:before="45"/>
              <w:ind w:left="1372" w:right="1354"/>
              <w:jc w:val="center"/>
              <w:rPr>
                <w:b/>
                <w:sz w:val="18"/>
              </w:rPr>
            </w:pPr>
            <w:r>
              <w:rPr>
                <w:b/>
                <w:sz w:val="18"/>
              </w:rPr>
              <w:t>FY 2012-13</w:t>
            </w:r>
          </w:p>
        </w:tc>
        <w:tc>
          <w:tcPr>
            <w:tcW w:w="3665" w:type="dxa"/>
            <w:gridSpan w:val="3"/>
            <w:shd w:val="clear" w:color="auto" w:fill="FBD4B4"/>
          </w:tcPr>
          <w:p w:rsidR="007C5447" w:rsidRDefault="00F6308C">
            <w:pPr>
              <w:pStyle w:val="TableParagraph"/>
              <w:spacing w:before="45"/>
              <w:ind w:left="1376" w:right="1353"/>
              <w:jc w:val="center"/>
              <w:rPr>
                <w:b/>
                <w:sz w:val="18"/>
              </w:rPr>
            </w:pPr>
            <w:r>
              <w:rPr>
                <w:b/>
                <w:sz w:val="18"/>
              </w:rPr>
              <w:t>FY 2013-14</w:t>
            </w:r>
          </w:p>
        </w:tc>
      </w:tr>
      <w:tr w:rsidR="007C5447">
        <w:trPr>
          <w:trHeight w:val="606"/>
        </w:trPr>
        <w:tc>
          <w:tcPr>
            <w:tcW w:w="3782" w:type="dxa"/>
            <w:gridSpan w:val="2"/>
            <w:vMerge/>
            <w:tcBorders>
              <w:top w:val="nil"/>
            </w:tcBorders>
            <w:shd w:val="clear" w:color="auto" w:fill="FBD4B4"/>
          </w:tcPr>
          <w:p w:rsidR="007C5447" w:rsidRDefault="007C5447">
            <w:pPr>
              <w:rPr>
                <w:sz w:val="2"/>
                <w:szCs w:val="2"/>
              </w:rPr>
            </w:pPr>
          </w:p>
        </w:tc>
        <w:tc>
          <w:tcPr>
            <w:tcW w:w="1003" w:type="dxa"/>
            <w:shd w:val="clear" w:color="auto" w:fill="FBD4B4"/>
          </w:tcPr>
          <w:p w:rsidR="007C5447" w:rsidRDefault="00F6308C">
            <w:pPr>
              <w:pStyle w:val="TableParagraph"/>
              <w:spacing w:before="95" w:line="207" w:lineRule="exact"/>
              <w:ind w:left="305"/>
              <w:jc w:val="left"/>
              <w:rPr>
                <w:b/>
                <w:sz w:val="18"/>
              </w:rPr>
            </w:pPr>
            <w:r>
              <w:rPr>
                <w:b/>
                <w:sz w:val="18"/>
              </w:rPr>
              <w:t>SMT</w:t>
            </w:r>
          </w:p>
          <w:p w:rsidR="007C5447" w:rsidRDefault="00F6308C">
            <w:pPr>
              <w:pStyle w:val="TableParagraph"/>
              <w:spacing w:line="207" w:lineRule="exact"/>
              <w:ind w:left="262"/>
              <w:jc w:val="left"/>
              <w:rPr>
                <w:b/>
                <w:sz w:val="18"/>
              </w:rPr>
            </w:pPr>
            <w:r>
              <w:rPr>
                <w:b/>
                <w:sz w:val="18"/>
              </w:rPr>
              <w:t>Order</w:t>
            </w:r>
          </w:p>
        </w:tc>
        <w:tc>
          <w:tcPr>
            <w:tcW w:w="1257" w:type="dxa"/>
            <w:shd w:val="clear" w:color="auto" w:fill="FBD4B4"/>
          </w:tcPr>
          <w:p w:rsidR="007C5447" w:rsidRDefault="007C5447">
            <w:pPr>
              <w:pStyle w:val="TableParagraph"/>
              <w:spacing w:before="3"/>
              <w:jc w:val="left"/>
              <w:rPr>
                <w:b/>
                <w:sz w:val="17"/>
              </w:rPr>
            </w:pPr>
          </w:p>
          <w:p w:rsidR="007C5447" w:rsidRDefault="00F6308C">
            <w:pPr>
              <w:pStyle w:val="TableParagraph"/>
              <w:ind w:right="97"/>
              <w:rPr>
                <w:b/>
                <w:sz w:val="18"/>
              </w:rPr>
            </w:pPr>
            <w:r>
              <w:rPr>
                <w:b/>
                <w:sz w:val="18"/>
              </w:rPr>
              <w:t>TANGEDCO</w:t>
            </w:r>
          </w:p>
        </w:tc>
        <w:tc>
          <w:tcPr>
            <w:tcW w:w="1403" w:type="dxa"/>
            <w:shd w:val="clear" w:color="auto" w:fill="FBD4B4"/>
          </w:tcPr>
          <w:p w:rsidR="007C5447" w:rsidRDefault="00F6308C">
            <w:pPr>
              <w:pStyle w:val="TableParagraph"/>
              <w:spacing w:before="95"/>
              <w:ind w:left="422" w:right="76" w:hanging="310"/>
              <w:jc w:val="left"/>
              <w:rPr>
                <w:b/>
                <w:sz w:val="18"/>
              </w:rPr>
            </w:pPr>
            <w:r>
              <w:rPr>
                <w:b/>
                <w:sz w:val="18"/>
              </w:rPr>
              <w:t>Approved after true up</w:t>
            </w:r>
          </w:p>
        </w:tc>
        <w:tc>
          <w:tcPr>
            <w:tcW w:w="1003" w:type="dxa"/>
            <w:shd w:val="clear" w:color="auto" w:fill="FBD4B4"/>
          </w:tcPr>
          <w:p w:rsidR="007C5447" w:rsidRDefault="00F6308C">
            <w:pPr>
              <w:pStyle w:val="TableParagraph"/>
              <w:spacing w:before="95" w:line="207" w:lineRule="exact"/>
              <w:ind w:left="305"/>
              <w:jc w:val="left"/>
              <w:rPr>
                <w:b/>
                <w:sz w:val="18"/>
              </w:rPr>
            </w:pPr>
            <w:r>
              <w:rPr>
                <w:b/>
                <w:sz w:val="18"/>
              </w:rPr>
              <w:t>SMT</w:t>
            </w:r>
          </w:p>
          <w:p w:rsidR="007C5447" w:rsidRDefault="00F6308C">
            <w:pPr>
              <w:pStyle w:val="TableParagraph"/>
              <w:spacing w:line="207" w:lineRule="exact"/>
              <w:ind w:left="262"/>
              <w:jc w:val="left"/>
              <w:rPr>
                <w:b/>
                <w:sz w:val="18"/>
              </w:rPr>
            </w:pPr>
            <w:r>
              <w:rPr>
                <w:b/>
                <w:sz w:val="18"/>
              </w:rPr>
              <w:t>Order</w:t>
            </w:r>
          </w:p>
        </w:tc>
        <w:tc>
          <w:tcPr>
            <w:tcW w:w="1257" w:type="dxa"/>
            <w:shd w:val="clear" w:color="auto" w:fill="FBD4B4"/>
          </w:tcPr>
          <w:p w:rsidR="007C5447" w:rsidRDefault="007C5447">
            <w:pPr>
              <w:pStyle w:val="TableParagraph"/>
              <w:spacing w:before="3"/>
              <w:jc w:val="left"/>
              <w:rPr>
                <w:b/>
                <w:sz w:val="17"/>
              </w:rPr>
            </w:pPr>
          </w:p>
          <w:p w:rsidR="007C5447" w:rsidRDefault="00F6308C">
            <w:pPr>
              <w:pStyle w:val="TableParagraph"/>
              <w:ind w:right="95"/>
              <w:rPr>
                <w:b/>
                <w:sz w:val="18"/>
              </w:rPr>
            </w:pPr>
            <w:r>
              <w:rPr>
                <w:b/>
                <w:sz w:val="18"/>
              </w:rPr>
              <w:t>TANGEDCO</w:t>
            </w:r>
          </w:p>
        </w:tc>
        <w:tc>
          <w:tcPr>
            <w:tcW w:w="1401" w:type="dxa"/>
            <w:shd w:val="clear" w:color="auto" w:fill="FBD4B4"/>
          </w:tcPr>
          <w:p w:rsidR="007C5447" w:rsidRDefault="00F6308C">
            <w:pPr>
              <w:pStyle w:val="TableParagraph"/>
              <w:spacing w:before="95"/>
              <w:ind w:left="424" w:right="72" w:hanging="310"/>
              <w:jc w:val="left"/>
              <w:rPr>
                <w:b/>
                <w:sz w:val="18"/>
              </w:rPr>
            </w:pPr>
            <w:r>
              <w:rPr>
                <w:b/>
                <w:sz w:val="18"/>
              </w:rPr>
              <w:t>Approved after true up</w:t>
            </w:r>
          </w:p>
        </w:tc>
        <w:tc>
          <w:tcPr>
            <w:tcW w:w="1006" w:type="dxa"/>
            <w:shd w:val="clear" w:color="auto" w:fill="FBD4B4"/>
          </w:tcPr>
          <w:p w:rsidR="007C5447" w:rsidRDefault="00F6308C">
            <w:pPr>
              <w:pStyle w:val="TableParagraph"/>
              <w:spacing w:before="95" w:line="207" w:lineRule="exact"/>
              <w:ind w:left="309"/>
              <w:jc w:val="left"/>
              <w:rPr>
                <w:b/>
                <w:sz w:val="18"/>
              </w:rPr>
            </w:pPr>
            <w:r>
              <w:rPr>
                <w:b/>
                <w:sz w:val="18"/>
              </w:rPr>
              <w:t>SMT</w:t>
            </w:r>
          </w:p>
          <w:p w:rsidR="007C5447" w:rsidRDefault="00F6308C">
            <w:pPr>
              <w:pStyle w:val="TableParagraph"/>
              <w:spacing w:line="207" w:lineRule="exact"/>
              <w:ind w:left="266"/>
              <w:jc w:val="left"/>
              <w:rPr>
                <w:b/>
                <w:sz w:val="18"/>
              </w:rPr>
            </w:pPr>
            <w:r>
              <w:rPr>
                <w:b/>
                <w:sz w:val="18"/>
              </w:rPr>
              <w:t>Order</w:t>
            </w:r>
          </w:p>
        </w:tc>
        <w:tc>
          <w:tcPr>
            <w:tcW w:w="1255" w:type="dxa"/>
            <w:shd w:val="clear" w:color="auto" w:fill="FBD4B4"/>
          </w:tcPr>
          <w:p w:rsidR="007C5447" w:rsidRDefault="007C5447">
            <w:pPr>
              <w:pStyle w:val="TableParagraph"/>
              <w:spacing w:before="3"/>
              <w:jc w:val="left"/>
              <w:rPr>
                <w:b/>
                <w:sz w:val="17"/>
              </w:rPr>
            </w:pPr>
          </w:p>
          <w:p w:rsidR="007C5447" w:rsidRDefault="00F6308C">
            <w:pPr>
              <w:pStyle w:val="TableParagraph"/>
              <w:ind w:right="94"/>
              <w:rPr>
                <w:b/>
                <w:sz w:val="18"/>
              </w:rPr>
            </w:pPr>
            <w:r>
              <w:rPr>
                <w:b/>
                <w:sz w:val="18"/>
              </w:rPr>
              <w:t>TANGEDCO</w:t>
            </w:r>
          </w:p>
        </w:tc>
        <w:tc>
          <w:tcPr>
            <w:tcW w:w="1404" w:type="dxa"/>
            <w:shd w:val="clear" w:color="auto" w:fill="FBD4B4"/>
          </w:tcPr>
          <w:p w:rsidR="007C5447" w:rsidRDefault="00F6308C">
            <w:pPr>
              <w:pStyle w:val="TableParagraph"/>
              <w:spacing w:before="95"/>
              <w:ind w:left="425" w:right="74" w:hanging="310"/>
              <w:jc w:val="left"/>
              <w:rPr>
                <w:b/>
                <w:sz w:val="18"/>
              </w:rPr>
            </w:pPr>
            <w:r>
              <w:rPr>
                <w:b/>
                <w:sz w:val="18"/>
              </w:rPr>
              <w:t>Approved after true up</w:t>
            </w:r>
          </w:p>
        </w:tc>
      </w:tr>
      <w:tr w:rsidR="007C5447">
        <w:trPr>
          <w:trHeight w:val="443"/>
        </w:trPr>
        <w:tc>
          <w:tcPr>
            <w:tcW w:w="638" w:type="dxa"/>
          </w:tcPr>
          <w:p w:rsidR="007C5447" w:rsidRDefault="00F6308C">
            <w:pPr>
              <w:pStyle w:val="TableParagraph"/>
              <w:spacing w:before="17" w:line="206" w:lineRule="exact"/>
              <w:ind w:left="124" w:right="111" w:firstLine="134"/>
              <w:jc w:val="left"/>
              <w:rPr>
                <w:sz w:val="18"/>
              </w:rPr>
            </w:pPr>
            <w:r>
              <w:rPr>
                <w:sz w:val="18"/>
              </w:rPr>
              <w:t>II (B)-1</w:t>
            </w:r>
          </w:p>
        </w:tc>
        <w:tc>
          <w:tcPr>
            <w:tcW w:w="3144" w:type="dxa"/>
          </w:tcPr>
          <w:p w:rsidR="007C5447" w:rsidRDefault="00F6308C">
            <w:pPr>
              <w:pStyle w:val="TableParagraph"/>
              <w:spacing w:before="117"/>
              <w:ind w:left="108"/>
              <w:jc w:val="left"/>
              <w:rPr>
                <w:sz w:val="18"/>
              </w:rPr>
            </w:pPr>
            <w:r>
              <w:rPr>
                <w:sz w:val="18"/>
              </w:rPr>
              <w:t>Government Educational Institution</w:t>
            </w:r>
          </w:p>
        </w:tc>
        <w:tc>
          <w:tcPr>
            <w:tcW w:w="1003" w:type="dxa"/>
          </w:tcPr>
          <w:p w:rsidR="007C5447" w:rsidRDefault="00F6308C">
            <w:pPr>
              <w:pStyle w:val="TableParagraph"/>
              <w:spacing w:before="117"/>
              <w:ind w:right="182"/>
              <w:rPr>
                <w:sz w:val="18"/>
              </w:rPr>
            </w:pPr>
            <w:r>
              <w:rPr>
                <w:sz w:val="18"/>
              </w:rPr>
              <w:t>279</w:t>
            </w:r>
          </w:p>
        </w:tc>
        <w:tc>
          <w:tcPr>
            <w:tcW w:w="1257" w:type="dxa"/>
          </w:tcPr>
          <w:p w:rsidR="007C5447" w:rsidRDefault="00F6308C">
            <w:pPr>
              <w:pStyle w:val="TableParagraph"/>
              <w:spacing w:before="117"/>
              <w:ind w:right="184"/>
              <w:rPr>
                <w:sz w:val="18"/>
              </w:rPr>
            </w:pPr>
            <w:r>
              <w:rPr>
                <w:sz w:val="18"/>
              </w:rPr>
              <w:t>279</w:t>
            </w:r>
          </w:p>
        </w:tc>
        <w:tc>
          <w:tcPr>
            <w:tcW w:w="1403" w:type="dxa"/>
          </w:tcPr>
          <w:p w:rsidR="007C5447" w:rsidRDefault="00F6308C">
            <w:pPr>
              <w:pStyle w:val="TableParagraph"/>
              <w:spacing w:before="117"/>
              <w:ind w:right="183"/>
              <w:rPr>
                <w:sz w:val="18"/>
              </w:rPr>
            </w:pPr>
            <w:r>
              <w:rPr>
                <w:sz w:val="18"/>
              </w:rPr>
              <w:t>279</w:t>
            </w:r>
          </w:p>
        </w:tc>
        <w:tc>
          <w:tcPr>
            <w:tcW w:w="1003" w:type="dxa"/>
          </w:tcPr>
          <w:p w:rsidR="007C5447" w:rsidRDefault="00F6308C">
            <w:pPr>
              <w:pStyle w:val="TableParagraph"/>
              <w:spacing w:before="117"/>
              <w:ind w:right="182"/>
              <w:rPr>
                <w:sz w:val="18"/>
              </w:rPr>
            </w:pPr>
            <w:r>
              <w:rPr>
                <w:sz w:val="18"/>
              </w:rPr>
              <w:t>298</w:t>
            </w:r>
          </w:p>
        </w:tc>
        <w:tc>
          <w:tcPr>
            <w:tcW w:w="1257" w:type="dxa"/>
          </w:tcPr>
          <w:p w:rsidR="007C5447" w:rsidRDefault="00F6308C">
            <w:pPr>
              <w:pStyle w:val="TableParagraph"/>
              <w:spacing w:before="117"/>
              <w:ind w:right="181"/>
              <w:rPr>
                <w:sz w:val="18"/>
              </w:rPr>
            </w:pPr>
            <w:r>
              <w:rPr>
                <w:sz w:val="18"/>
              </w:rPr>
              <w:t>298</w:t>
            </w:r>
          </w:p>
        </w:tc>
        <w:tc>
          <w:tcPr>
            <w:tcW w:w="1401" w:type="dxa"/>
          </w:tcPr>
          <w:p w:rsidR="007C5447" w:rsidRDefault="00F6308C">
            <w:pPr>
              <w:pStyle w:val="TableParagraph"/>
              <w:spacing w:before="117"/>
              <w:ind w:right="178"/>
              <w:rPr>
                <w:sz w:val="18"/>
              </w:rPr>
            </w:pPr>
            <w:r>
              <w:rPr>
                <w:sz w:val="18"/>
              </w:rPr>
              <w:t>298</w:t>
            </w:r>
          </w:p>
        </w:tc>
        <w:tc>
          <w:tcPr>
            <w:tcW w:w="1006" w:type="dxa"/>
          </w:tcPr>
          <w:p w:rsidR="007C5447" w:rsidRDefault="00F6308C">
            <w:pPr>
              <w:pStyle w:val="TableParagraph"/>
              <w:spacing w:before="117"/>
              <w:ind w:right="181"/>
              <w:rPr>
                <w:sz w:val="18"/>
              </w:rPr>
            </w:pPr>
            <w:r>
              <w:rPr>
                <w:sz w:val="18"/>
              </w:rPr>
              <w:t>204</w:t>
            </w:r>
          </w:p>
        </w:tc>
        <w:tc>
          <w:tcPr>
            <w:tcW w:w="1255" w:type="dxa"/>
          </w:tcPr>
          <w:p w:rsidR="007C5447" w:rsidRDefault="00F6308C">
            <w:pPr>
              <w:pStyle w:val="TableParagraph"/>
              <w:spacing w:before="117"/>
              <w:ind w:right="180"/>
              <w:rPr>
                <w:sz w:val="18"/>
              </w:rPr>
            </w:pPr>
            <w:r>
              <w:rPr>
                <w:sz w:val="18"/>
              </w:rPr>
              <w:t>204</w:t>
            </w:r>
          </w:p>
        </w:tc>
        <w:tc>
          <w:tcPr>
            <w:tcW w:w="1404" w:type="dxa"/>
          </w:tcPr>
          <w:p w:rsidR="007C5447" w:rsidRDefault="00F6308C">
            <w:pPr>
              <w:pStyle w:val="TableParagraph"/>
              <w:spacing w:before="117"/>
              <w:ind w:right="180"/>
              <w:rPr>
                <w:sz w:val="18"/>
              </w:rPr>
            </w:pPr>
            <w:r>
              <w:rPr>
                <w:sz w:val="18"/>
              </w:rPr>
              <w:t>204</w:t>
            </w:r>
          </w:p>
        </w:tc>
      </w:tr>
      <w:tr w:rsidR="007C5447">
        <w:trPr>
          <w:trHeight w:val="443"/>
        </w:trPr>
        <w:tc>
          <w:tcPr>
            <w:tcW w:w="638" w:type="dxa"/>
          </w:tcPr>
          <w:p w:rsidR="007C5447" w:rsidRDefault="00F6308C">
            <w:pPr>
              <w:pStyle w:val="TableParagraph"/>
              <w:spacing w:before="17" w:line="206" w:lineRule="exact"/>
              <w:ind w:left="124" w:right="111" w:firstLine="134"/>
              <w:jc w:val="left"/>
              <w:rPr>
                <w:sz w:val="18"/>
              </w:rPr>
            </w:pPr>
            <w:r>
              <w:rPr>
                <w:sz w:val="18"/>
              </w:rPr>
              <w:t>II (B)-2</w:t>
            </w:r>
          </w:p>
        </w:tc>
        <w:tc>
          <w:tcPr>
            <w:tcW w:w="3144" w:type="dxa"/>
          </w:tcPr>
          <w:p w:rsidR="007C5447" w:rsidRDefault="00F6308C">
            <w:pPr>
              <w:pStyle w:val="TableParagraph"/>
              <w:spacing w:before="117"/>
              <w:ind w:left="108"/>
              <w:jc w:val="left"/>
              <w:rPr>
                <w:sz w:val="18"/>
              </w:rPr>
            </w:pPr>
            <w:r>
              <w:rPr>
                <w:sz w:val="18"/>
              </w:rPr>
              <w:t>Pvt. Educational Institutions</w:t>
            </w:r>
          </w:p>
        </w:tc>
        <w:tc>
          <w:tcPr>
            <w:tcW w:w="1003" w:type="dxa"/>
          </w:tcPr>
          <w:p w:rsidR="007C5447" w:rsidRDefault="00F6308C">
            <w:pPr>
              <w:pStyle w:val="TableParagraph"/>
              <w:spacing w:before="117"/>
              <w:ind w:right="182"/>
              <w:rPr>
                <w:sz w:val="18"/>
              </w:rPr>
            </w:pPr>
            <w:r>
              <w:rPr>
                <w:sz w:val="18"/>
              </w:rPr>
              <w:t>136</w:t>
            </w:r>
          </w:p>
        </w:tc>
        <w:tc>
          <w:tcPr>
            <w:tcW w:w="1257" w:type="dxa"/>
          </w:tcPr>
          <w:p w:rsidR="007C5447" w:rsidRDefault="00F6308C">
            <w:pPr>
              <w:pStyle w:val="TableParagraph"/>
              <w:spacing w:before="117"/>
              <w:ind w:right="184"/>
              <w:rPr>
                <w:sz w:val="18"/>
              </w:rPr>
            </w:pPr>
            <w:r>
              <w:rPr>
                <w:sz w:val="18"/>
              </w:rPr>
              <w:t>136</w:t>
            </w:r>
          </w:p>
        </w:tc>
        <w:tc>
          <w:tcPr>
            <w:tcW w:w="1403" w:type="dxa"/>
          </w:tcPr>
          <w:p w:rsidR="007C5447" w:rsidRDefault="00F6308C">
            <w:pPr>
              <w:pStyle w:val="TableParagraph"/>
              <w:spacing w:before="117"/>
              <w:ind w:right="183"/>
              <w:rPr>
                <w:sz w:val="18"/>
              </w:rPr>
            </w:pPr>
            <w:r>
              <w:rPr>
                <w:sz w:val="18"/>
              </w:rPr>
              <w:t>136</w:t>
            </w:r>
          </w:p>
        </w:tc>
        <w:tc>
          <w:tcPr>
            <w:tcW w:w="1003" w:type="dxa"/>
          </w:tcPr>
          <w:p w:rsidR="007C5447" w:rsidRDefault="00F6308C">
            <w:pPr>
              <w:pStyle w:val="TableParagraph"/>
              <w:spacing w:before="117"/>
              <w:ind w:right="182"/>
              <w:rPr>
                <w:sz w:val="18"/>
              </w:rPr>
            </w:pPr>
            <w:r>
              <w:rPr>
                <w:sz w:val="18"/>
              </w:rPr>
              <w:t>131</w:t>
            </w:r>
          </w:p>
        </w:tc>
        <w:tc>
          <w:tcPr>
            <w:tcW w:w="1257" w:type="dxa"/>
          </w:tcPr>
          <w:p w:rsidR="007C5447" w:rsidRDefault="00F6308C">
            <w:pPr>
              <w:pStyle w:val="TableParagraph"/>
              <w:spacing w:before="117"/>
              <w:ind w:right="181"/>
              <w:rPr>
                <w:sz w:val="18"/>
              </w:rPr>
            </w:pPr>
            <w:r>
              <w:rPr>
                <w:sz w:val="18"/>
              </w:rPr>
              <w:t>131</w:t>
            </w:r>
          </w:p>
        </w:tc>
        <w:tc>
          <w:tcPr>
            <w:tcW w:w="1401" w:type="dxa"/>
          </w:tcPr>
          <w:p w:rsidR="007C5447" w:rsidRDefault="00F6308C">
            <w:pPr>
              <w:pStyle w:val="TableParagraph"/>
              <w:spacing w:before="117"/>
              <w:ind w:right="178"/>
              <w:rPr>
                <w:sz w:val="18"/>
              </w:rPr>
            </w:pPr>
            <w:r>
              <w:rPr>
                <w:sz w:val="18"/>
              </w:rPr>
              <w:t>131</w:t>
            </w:r>
          </w:p>
        </w:tc>
        <w:tc>
          <w:tcPr>
            <w:tcW w:w="1006" w:type="dxa"/>
          </w:tcPr>
          <w:p w:rsidR="007C5447" w:rsidRDefault="00F6308C">
            <w:pPr>
              <w:pStyle w:val="TableParagraph"/>
              <w:spacing w:before="117"/>
              <w:ind w:right="181"/>
              <w:rPr>
                <w:sz w:val="18"/>
              </w:rPr>
            </w:pPr>
            <w:r>
              <w:rPr>
                <w:sz w:val="18"/>
              </w:rPr>
              <w:t>164</w:t>
            </w:r>
          </w:p>
        </w:tc>
        <w:tc>
          <w:tcPr>
            <w:tcW w:w="1255" w:type="dxa"/>
          </w:tcPr>
          <w:p w:rsidR="007C5447" w:rsidRDefault="00F6308C">
            <w:pPr>
              <w:pStyle w:val="TableParagraph"/>
              <w:spacing w:before="117"/>
              <w:ind w:right="180"/>
              <w:rPr>
                <w:sz w:val="18"/>
              </w:rPr>
            </w:pPr>
            <w:r>
              <w:rPr>
                <w:sz w:val="18"/>
              </w:rPr>
              <w:t>164</w:t>
            </w:r>
          </w:p>
        </w:tc>
        <w:tc>
          <w:tcPr>
            <w:tcW w:w="1404" w:type="dxa"/>
          </w:tcPr>
          <w:p w:rsidR="007C5447" w:rsidRDefault="00F6308C">
            <w:pPr>
              <w:pStyle w:val="TableParagraph"/>
              <w:spacing w:before="117"/>
              <w:ind w:right="180"/>
              <w:rPr>
                <w:sz w:val="18"/>
              </w:rPr>
            </w:pPr>
            <w:r>
              <w:rPr>
                <w:sz w:val="18"/>
              </w:rPr>
              <w:t>164</w:t>
            </w:r>
          </w:p>
        </w:tc>
      </w:tr>
      <w:tr w:rsidR="007C5447">
        <w:trPr>
          <w:trHeight w:val="345"/>
        </w:trPr>
        <w:tc>
          <w:tcPr>
            <w:tcW w:w="638" w:type="dxa"/>
          </w:tcPr>
          <w:p w:rsidR="007C5447" w:rsidRDefault="00F6308C">
            <w:pPr>
              <w:pStyle w:val="TableParagraph"/>
              <w:spacing w:before="69"/>
              <w:ind w:left="88" w:right="81"/>
              <w:jc w:val="center"/>
              <w:rPr>
                <w:sz w:val="18"/>
              </w:rPr>
            </w:pPr>
            <w:r>
              <w:rPr>
                <w:sz w:val="18"/>
              </w:rPr>
              <w:t>II (C)</w:t>
            </w:r>
          </w:p>
        </w:tc>
        <w:tc>
          <w:tcPr>
            <w:tcW w:w="3144" w:type="dxa"/>
          </w:tcPr>
          <w:p w:rsidR="007C5447" w:rsidRDefault="00F6308C">
            <w:pPr>
              <w:pStyle w:val="TableParagraph"/>
              <w:spacing w:before="69"/>
              <w:ind w:left="108"/>
              <w:jc w:val="left"/>
              <w:rPr>
                <w:sz w:val="18"/>
              </w:rPr>
            </w:pPr>
            <w:r>
              <w:rPr>
                <w:sz w:val="18"/>
              </w:rPr>
              <w:t>Places of Public Worship (LT)</w:t>
            </w:r>
          </w:p>
        </w:tc>
        <w:tc>
          <w:tcPr>
            <w:tcW w:w="1003" w:type="dxa"/>
          </w:tcPr>
          <w:p w:rsidR="007C5447" w:rsidRDefault="00F6308C">
            <w:pPr>
              <w:pStyle w:val="TableParagraph"/>
              <w:spacing w:before="69"/>
              <w:ind w:right="181"/>
              <w:rPr>
                <w:sz w:val="18"/>
              </w:rPr>
            </w:pPr>
            <w:r>
              <w:rPr>
                <w:sz w:val="18"/>
              </w:rPr>
              <w:t>25</w:t>
            </w:r>
          </w:p>
        </w:tc>
        <w:tc>
          <w:tcPr>
            <w:tcW w:w="1257" w:type="dxa"/>
          </w:tcPr>
          <w:p w:rsidR="007C5447" w:rsidRDefault="00F6308C">
            <w:pPr>
              <w:pStyle w:val="TableParagraph"/>
              <w:spacing w:before="69"/>
              <w:ind w:right="182"/>
              <w:rPr>
                <w:sz w:val="18"/>
              </w:rPr>
            </w:pPr>
            <w:r>
              <w:rPr>
                <w:sz w:val="18"/>
              </w:rPr>
              <w:t>25</w:t>
            </w:r>
          </w:p>
        </w:tc>
        <w:tc>
          <w:tcPr>
            <w:tcW w:w="1403" w:type="dxa"/>
          </w:tcPr>
          <w:p w:rsidR="007C5447" w:rsidRDefault="00F6308C">
            <w:pPr>
              <w:pStyle w:val="TableParagraph"/>
              <w:spacing w:before="69"/>
              <w:ind w:right="181"/>
              <w:rPr>
                <w:sz w:val="18"/>
              </w:rPr>
            </w:pPr>
            <w:r>
              <w:rPr>
                <w:sz w:val="18"/>
              </w:rPr>
              <w:t>25</w:t>
            </w:r>
          </w:p>
        </w:tc>
        <w:tc>
          <w:tcPr>
            <w:tcW w:w="1003" w:type="dxa"/>
          </w:tcPr>
          <w:p w:rsidR="007C5447" w:rsidRDefault="00F6308C">
            <w:pPr>
              <w:pStyle w:val="TableParagraph"/>
              <w:spacing w:before="69"/>
              <w:ind w:right="181"/>
              <w:rPr>
                <w:sz w:val="18"/>
              </w:rPr>
            </w:pPr>
            <w:r>
              <w:rPr>
                <w:sz w:val="18"/>
              </w:rPr>
              <w:t>27</w:t>
            </w:r>
          </w:p>
        </w:tc>
        <w:tc>
          <w:tcPr>
            <w:tcW w:w="1257" w:type="dxa"/>
          </w:tcPr>
          <w:p w:rsidR="007C5447" w:rsidRDefault="00F6308C">
            <w:pPr>
              <w:pStyle w:val="TableParagraph"/>
              <w:spacing w:before="69"/>
              <w:ind w:right="180"/>
              <w:rPr>
                <w:sz w:val="18"/>
              </w:rPr>
            </w:pPr>
            <w:r>
              <w:rPr>
                <w:sz w:val="18"/>
              </w:rPr>
              <w:t>27</w:t>
            </w:r>
          </w:p>
        </w:tc>
        <w:tc>
          <w:tcPr>
            <w:tcW w:w="1401" w:type="dxa"/>
          </w:tcPr>
          <w:p w:rsidR="007C5447" w:rsidRDefault="00F6308C">
            <w:pPr>
              <w:pStyle w:val="TableParagraph"/>
              <w:spacing w:before="69"/>
              <w:ind w:right="177"/>
              <w:rPr>
                <w:sz w:val="18"/>
              </w:rPr>
            </w:pPr>
            <w:r>
              <w:rPr>
                <w:sz w:val="18"/>
              </w:rPr>
              <w:t>27</w:t>
            </w:r>
          </w:p>
        </w:tc>
        <w:tc>
          <w:tcPr>
            <w:tcW w:w="1006" w:type="dxa"/>
          </w:tcPr>
          <w:p w:rsidR="007C5447" w:rsidRDefault="00F6308C">
            <w:pPr>
              <w:pStyle w:val="TableParagraph"/>
              <w:spacing w:before="69"/>
              <w:ind w:right="180"/>
              <w:rPr>
                <w:sz w:val="18"/>
              </w:rPr>
            </w:pPr>
            <w:r>
              <w:rPr>
                <w:sz w:val="18"/>
              </w:rPr>
              <w:t>52</w:t>
            </w:r>
          </w:p>
        </w:tc>
        <w:tc>
          <w:tcPr>
            <w:tcW w:w="1255" w:type="dxa"/>
          </w:tcPr>
          <w:p w:rsidR="007C5447" w:rsidRDefault="00F6308C">
            <w:pPr>
              <w:pStyle w:val="TableParagraph"/>
              <w:spacing w:before="69"/>
              <w:ind w:right="179"/>
              <w:rPr>
                <w:sz w:val="18"/>
              </w:rPr>
            </w:pPr>
            <w:r>
              <w:rPr>
                <w:sz w:val="18"/>
              </w:rPr>
              <w:t>52</w:t>
            </w:r>
          </w:p>
        </w:tc>
        <w:tc>
          <w:tcPr>
            <w:tcW w:w="1404" w:type="dxa"/>
          </w:tcPr>
          <w:p w:rsidR="007C5447" w:rsidRDefault="00F6308C">
            <w:pPr>
              <w:pStyle w:val="TableParagraph"/>
              <w:spacing w:before="69"/>
              <w:ind w:right="179"/>
              <w:rPr>
                <w:sz w:val="18"/>
              </w:rPr>
            </w:pPr>
            <w:r>
              <w:rPr>
                <w:sz w:val="18"/>
              </w:rPr>
              <w:t>52</w:t>
            </w:r>
          </w:p>
        </w:tc>
      </w:tr>
      <w:tr w:rsidR="007C5447">
        <w:trPr>
          <w:trHeight w:val="444"/>
        </w:trPr>
        <w:tc>
          <w:tcPr>
            <w:tcW w:w="638" w:type="dxa"/>
          </w:tcPr>
          <w:p w:rsidR="007C5447" w:rsidRDefault="00F6308C">
            <w:pPr>
              <w:pStyle w:val="TableParagraph"/>
              <w:spacing w:before="20" w:line="206" w:lineRule="exact"/>
              <w:ind w:left="117" w:right="111" w:firstLine="110"/>
              <w:jc w:val="left"/>
              <w:rPr>
                <w:sz w:val="18"/>
              </w:rPr>
            </w:pPr>
            <w:r>
              <w:rPr>
                <w:sz w:val="18"/>
              </w:rPr>
              <w:t>III (A)-1</w:t>
            </w:r>
          </w:p>
        </w:tc>
        <w:tc>
          <w:tcPr>
            <w:tcW w:w="3144" w:type="dxa"/>
          </w:tcPr>
          <w:p w:rsidR="007C5447" w:rsidRDefault="00F6308C">
            <w:pPr>
              <w:pStyle w:val="TableParagraph"/>
              <w:spacing w:before="120"/>
              <w:ind w:left="108"/>
              <w:jc w:val="left"/>
              <w:rPr>
                <w:sz w:val="18"/>
              </w:rPr>
            </w:pPr>
            <w:r>
              <w:rPr>
                <w:sz w:val="18"/>
              </w:rPr>
              <w:t>Cottage and Tiny Industries</w:t>
            </w:r>
          </w:p>
        </w:tc>
        <w:tc>
          <w:tcPr>
            <w:tcW w:w="1003" w:type="dxa"/>
          </w:tcPr>
          <w:p w:rsidR="007C5447" w:rsidRDefault="00F6308C">
            <w:pPr>
              <w:pStyle w:val="TableParagraph"/>
              <w:spacing w:before="120"/>
              <w:ind w:right="182"/>
              <w:rPr>
                <w:sz w:val="18"/>
              </w:rPr>
            </w:pPr>
            <w:r>
              <w:rPr>
                <w:sz w:val="18"/>
              </w:rPr>
              <w:t>152</w:t>
            </w:r>
          </w:p>
        </w:tc>
        <w:tc>
          <w:tcPr>
            <w:tcW w:w="1257" w:type="dxa"/>
          </w:tcPr>
          <w:p w:rsidR="007C5447" w:rsidRDefault="00F6308C">
            <w:pPr>
              <w:pStyle w:val="TableParagraph"/>
              <w:spacing w:before="120"/>
              <w:ind w:right="184"/>
              <w:rPr>
                <w:sz w:val="18"/>
              </w:rPr>
            </w:pPr>
            <w:r>
              <w:rPr>
                <w:sz w:val="18"/>
              </w:rPr>
              <w:t>152</w:t>
            </w:r>
          </w:p>
        </w:tc>
        <w:tc>
          <w:tcPr>
            <w:tcW w:w="1403" w:type="dxa"/>
          </w:tcPr>
          <w:p w:rsidR="007C5447" w:rsidRDefault="00F6308C">
            <w:pPr>
              <w:pStyle w:val="TableParagraph"/>
              <w:spacing w:before="120"/>
              <w:ind w:right="183"/>
              <w:rPr>
                <w:sz w:val="18"/>
              </w:rPr>
            </w:pPr>
            <w:r>
              <w:rPr>
                <w:sz w:val="18"/>
              </w:rPr>
              <w:t>152</w:t>
            </w:r>
          </w:p>
        </w:tc>
        <w:tc>
          <w:tcPr>
            <w:tcW w:w="1003" w:type="dxa"/>
          </w:tcPr>
          <w:p w:rsidR="007C5447" w:rsidRDefault="00F6308C">
            <w:pPr>
              <w:pStyle w:val="TableParagraph"/>
              <w:spacing w:before="120"/>
              <w:ind w:right="182"/>
              <w:rPr>
                <w:sz w:val="18"/>
              </w:rPr>
            </w:pPr>
            <w:r>
              <w:rPr>
                <w:sz w:val="18"/>
              </w:rPr>
              <w:t>193</w:t>
            </w:r>
          </w:p>
        </w:tc>
        <w:tc>
          <w:tcPr>
            <w:tcW w:w="1257" w:type="dxa"/>
          </w:tcPr>
          <w:p w:rsidR="007C5447" w:rsidRDefault="00F6308C">
            <w:pPr>
              <w:pStyle w:val="TableParagraph"/>
              <w:spacing w:before="120"/>
              <w:ind w:right="181"/>
              <w:rPr>
                <w:sz w:val="18"/>
              </w:rPr>
            </w:pPr>
            <w:r>
              <w:rPr>
                <w:sz w:val="18"/>
              </w:rPr>
              <w:t>193</w:t>
            </w:r>
          </w:p>
        </w:tc>
        <w:tc>
          <w:tcPr>
            <w:tcW w:w="1401" w:type="dxa"/>
          </w:tcPr>
          <w:p w:rsidR="007C5447" w:rsidRDefault="00F6308C">
            <w:pPr>
              <w:pStyle w:val="TableParagraph"/>
              <w:spacing w:before="120"/>
              <w:ind w:right="178"/>
              <w:rPr>
                <w:sz w:val="18"/>
              </w:rPr>
            </w:pPr>
            <w:r>
              <w:rPr>
                <w:sz w:val="18"/>
              </w:rPr>
              <w:t>193</w:t>
            </w:r>
          </w:p>
        </w:tc>
        <w:tc>
          <w:tcPr>
            <w:tcW w:w="1006" w:type="dxa"/>
          </w:tcPr>
          <w:p w:rsidR="007C5447" w:rsidRDefault="00F6308C">
            <w:pPr>
              <w:pStyle w:val="TableParagraph"/>
              <w:spacing w:before="120"/>
              <w:ind w:right="181"/>
              <w:rPr>
                <w:sz w:val="18"/>
              </w:rPr>
            </w:pPr>
            <w:r>
              <w:rPr>
                <w:sz w:val="18"/>
              </w:rPr>
              <w:t>196</w:t>
            </w:r>
          </w:p>
        </w:tc>
        <w:tc>
          <w:tcPr>
            <w:tcW w:w="1255" w:type="dxa"/>
          </w:tcPr>
          <w:p w:rsidR="007C5447" w:rsidRDefault="00F6308C">
            <w:pPr>
              <w:pStyle w:val="TableParagraph"/>
              <w:spacing w:before="120"/>
              <w:ind w:right="180"/>
              <w:rPr>
                <w:sz w:val="18"/>
              </w:rPr>
            </w:pPr>
            <w:r>
              <w:rPr>
                <w:sz w:val="18"/>
              </w:rPr>
              <w:t>196</w:t>
            </w:r>
          </w:p>
        </w:tc>
        <w:tc>
          <w:tcPr>
            <w:tcW w:w="1404" w:type="dxa"/>
          </w:tcPr>
          <w:p w:rsidR="007C5447" w:rsidRDefault="00F6308C">
            <w:pPr>
              <w:pStyle w:val="TableParagraph"/>
              <w:spacing w:before="120"/>
              <w:ind w:right="180"/>
              <w:rPr>
                <w:sz w:val="18"/>
              </w:rPr>
            </w:pPr>
            <w:r>
              <w:rPr>
                <w:sz w:val="18"/>
              </w:rPr>
              <w:t>196</w:t>
            </w:r>
          </w:p>
        </w:tc>
      </w:tr>
      <w:tr w:rsidR="007C5447">
        <w:trPr>
          <w:trHeight w:val="446"/>
        </w:trPr>
        <w:tc>
          <w:tcPr>
            <w:tcW w:w="638" w:type="dxa"/>
          </w:tcPr>
          <w:p w:rsidR="007C5447" w:rsidRDefault="00F6308C">
            <w:pPr>
              <w:pStyle w:val="TableParagraph"/>
              <w:spacing w:before="20" w:line="206" w:lineRule="exact"/>
              <w:ind w:left="117" w:right="111" w:firstLine="110"/>
              <w:jc w:val="left"/>
              <w:rPr>
                <w:sz w:val="18"/>
              </w:rPr>
            </w:pPr>
            <w:r>
              <w:rPr>
                <w:sz w:val="18"/>
              </w:rPr>
              <w:t>III (A)-2</w:t>
            </w:r>
          </w:p>
        </w:tc>
        <w:tc>
          <w:tcPr>
            <w:tcW w:w="3144" w:type="dxa"/>
          </w:tcPr>
          <w:p w:rsidR="007C5447" w:rsidRDefault="00F6308C">
            <w:pPr>
              <w:pStyle w:val="TableParagraph"/>
              <w:spacing w:before="119"/>
              <w:ind w:left="108"/>
              <w:jc w:val="left"/>
              <w:rPr>
                <w:sz w:val="18"/>
              </w:rPr>
            </w:pPr>
            <w:r>
              <w:rPr>
                <w:sz w:val="18"/>
              </w:rPr>
              <w:t>Power Loom</w:t>
            </w:r>
          </w:p>
        </w:tc>
        <w:tc>
          <w:tcPr>
            <w:tcW w:w="1003" w:type="dxa"/>
          </w:tcPr>
          <w:p w:rsidR="007C5447" w:rsidRDefault="00F6308C">
            <w:pPr>
              <w:pStyle w:val="TableParagraph"/>
              <w:spacing w:before="119"/>
              <w:ind w:right="182"/>
              <w:rPr>
                <w:sz w:val="18"/>
              </w:rPr>
            </w:pPr>
            <w:r>
              <w:rPr>
                <w:sz w:val="18"/>
              </w:rPr>
              <w:t>121</w:t>
            </w:r>
          </w:p>
        </w:tc>
        <w:tc>
          <w:tcPr>
            <w:tcW w:w="1257" w:type="dxa"/>
          </w:tcPr>
          <w:p w:rsidR="007C5447" w:rsidRDefault="00F6308C">
            <w:pPr>
              <w:pStyle w:val="TableParagraph"/>
              <w:spacing w:before="119"/>
              <w:ind w:right="184"/>
              <w:rPr>
                <w:sz w:val="18"/>
              </w:rPr>
            </w:pPr>
            <w:r>
              <w:rPr>
                <w:sz w:val="18"/>
              </w:rPr>
              <w:t>121</w:t>
            </w:r>
          </w:p>
        </w:tc>
        <w:tc>
          <w:tcPr>
            <w:tcW w:w="1403" w:type="dxa"/>
          </w:tcPr>
          <w:p w:rsidR="007C5447" w:rsidRDefault="00F6308C">
            <w:pPr>
              <w:pStyle w:val="TableParagraph"/>
              <w:spacing w:before="119"/>
              <w:ind w:right="183"/>
              <w:rPr>
                <w:sz w:val="18"/>
              </w:rPr>
            </w:pPr>
            <w:r>
              <w:rPr>
                <w:sz w:val="18"/>
              </w:rPr>
              <w:t>121</w:t>
            </w:r>
          </w:p>
        </w:tc>
        <w:tc>
          <w:tcPr>
            <w:tcW w:w="1003" w:type="dxa"/>
          </w:tcPr>
          <w:p w:rsidR="007C5447" w:rsidRDefault="00F6308C">
            <w:pPr>
              <w:pStyle w:val="TableParagraph"/>
              <w:spacing w:before="119"/>
              <w:ind w:right="182"/>
              <w:rPr>
                <w:sz w:val="18"/>
              </w:rPr>
            </w:pPr>
            <w:r>
              <w:rPr>
                <w:sz w:val="18"/>
              </w:rPr>
              <w:t>153</w:t>
            </w:r>
          </w:p>
        </w:tc>
        <w:tc>
          <w:tcPr>
            <w:tcW w:w="1257" w:type="dxa"/>
          </w:tcPr>
          <w:p w:rsidR="007C5447" w:rsidRDefault="00F6308C">
            <w:pPr>
              <w:pStyle w:val="TableParagraph"/>
              <w:spacing w:before="119"/>
              <w:ind w:right="181"/>
              <w:rPr>
                <w:sz w:val="18"/>
              </w:rPr>
            </w:pPr>
            <w:r>
              <w:rPr>
                <w:sz w:val="18"/>
              </w:rPr>
              <w:t>153</w:t>
            </w:r>
          </w:p>
        </w:tc>
        <w:tc>
          <w:tcPr>
            <w:tcW w:w="1401" w:type="dxa"/>
          </w:tcPr>
          <w:p w:rsidR="007C5447" w:rsidRDefault="00F6308C">
            <w:pPr>
              <w:pStyle w:val="TableParagraph"/>
              <w:spacing w:before="119"/>
              <w:ind w:right="178"/>
              <w:rPr>
                <w:sz w:val="18"/>
              </w:rPr>
            </w:pPr>
            <w:r>
              <w:rPr>
                <w:sz w:val="18"/>
              </w:rPr>
              <w:t>153</w:t>
            </w:r>
          </w:p>
        </w:tc>
        <w:tc>
          <w:tcPr>
            <w:tcW w:w="1006" w:type="dxa"/>
          </w:tcPr>
          <w:p w:rsidR="007C5447" w:rsidRDefault="00F6308C">
            <w:pPr>
              <w:pStyle w:val="TableParagraph"/>
              <w:spacing w:before="119"/>
              <w:ind w:right="181"/>
              <w:rPr>
                <w:sz w:val="18"/>
              </w:rPr>
            </w:pPr>
            <w:r>
              <w:rPr>
                <w:sz w:val="18"/>
              </w:rPr>
              <w:t>184</w:t>
            </w:r>
          </w:p>
        </w:tc>
        <w:tc>
          <w:tcPr>
            <w:tcW w:w="1255" w:type="dxa"/>
          </w:tcPr>
          <w:p w:rsidR="007C5447" w:rsidRDefault="00F6308C">
            <w:pPr>
              <w:pStyle w:val="TableParagraph"/>
              <w:spacing w:before="119"/>
              <w:ind w:right="180"/>
              <w:rPr>
                <w:sz w:val="18"/>
              </w:rPr>
            </w:pPr>
            <w:r>
              <w:rPr>
                <w:sz w:val="18"/>
              </w:rPr>
              <w:t>184</w:t>
            </w:r>
          </w:p>
        </w:tc>
        <w:tc>
          <w:tcPr>
            <w:tcW w:w="1404" w:type="dxa"/>
          </w:tcPr>
          <w:p w:rsidR="007C5447" w:rsidRDefault="00F6308C">
            <w:pPr>
              <w:pStyle w:val="TableParagraph"/>
              <w:spacing w:before="119"/>
              <w:ind w:right="180"/>
              <w:rPr>
                <w:sz w:val="18"/>
              </w:rPr>
            </w:pPr>
            <w:r>
              <w:rPr>
                <w:sz w:val="18"/>
              </w:rPr>
              <w:t>184</w:t>
            </w:r>
          </w:p>
        </w:tc>
      </w:tr>
      <w:tr w:rsidR="007C5447">
        <w:trPr>
          <w:trHeight w:val="443"/>
        </w:trPr>
        <w:tc>
          <w:tcPr>
            <w:tcW w:w="638" w:type="dxa"/>
          </w:tcPr>
          <w:p w:rsidR="007C5447" w:rsidRDefault="00F6308C">
            <w:pPr>
              <w:pStyle w:val="TableParagraph"/>
              <w:spacing w:before="17" w:line="206" w:lineRule="exact"/>
              <w:ind w:left="199" w:right="169" w:firstLine="28"/>
              <w:jc w:val="left"/>
              <w:rPr>
                <w:sz w:val="18"/>
              </w:rPr>
            </w:pPr>
            <w:r>
              <w:rPr>
                <w:sz w:val="18"/>
              </w:rPr>
              <w:t>III (B)</w:t>
            </w:r>
          </w:p>
        </w:tc>
        <w:tc>
          <w:tcPr>
            <w:tcW w:w="3144" w:type="dxa"/>
          </w:tcPr>
          <w:p w:rsidR="007C5447" w:rsidRDefault="00F6308C">
            <w:pPr>
              <w:pStyle w:val="TableParagraph"/>
              <w:spacing w:before="117"/>
              <w:ind w:left="108"/>
              <w:jc w:val="left"/>
              <w:rPr>
                <w:sz w:val="18"/>
              </w:rPr>
            </w:pPr>
            <w:r>
              <w:rPr>
                <w:sz w:val="18"/>
              </w:rPr>
              <w:t>Industries</w:t>
            </w:r>
          </w:p>
        </w:tc>
        <w:tc>
          <w:tcPr>
            <w:tcW w:w="1003" w:type="dxa"/>
          </w:tcPr>
          <w:p w:rsidR="007C5447" w:rsidRDefault="00F6308C">
            <w:pPr>
              <w:pStyle w:val="TableParagraph"/>
              <w:spacing w:before="117"/>
              <w:ind w:right="180"/>
              <w:rPr>
                <w:sz w:val="18"/>
              </w:rPr>
            </w:pPr>
            <w:r>
              <w:rPr>
                <w:sz w:val="18"/>
              </w:rPr>
              <w:t>1,968</w:t>
            </w:r>
          </w:p>
        </w:tc>
        <w:tc>
          <w:tcPr>
            <w:tcW w:w="1257" w:type="dxa"/>
          </w:tcPr>
          <w:p w:rsidR="007C5447" w:rsidRDefault="00F6308C">
            <w:pPr>
              <w:pStyle w:val="TableParagraph"/>
              <w:spacing w:before="117"/>
              <w:ind w:right="182"/>
              <w:rPr>
                <w:sz w:val="18"/>
              </w:rPr>
            </w:pPr>
            <w:r>
              <w:rPr>
                <w:sz w:val="18"/>
              </w:rPr>
              <w:t>1,968</w:t>
            </w:r>
          </w:p>
        </w:tc>
        <w:tc>
          <w:tcPr>
            <w:tcW w:w="1403" w:type="dxa"/>
          </w:tcPr>
          <w:p w:rsidR="007C5447" w:rsidRDefault="00F6308C">
            <w:pPr>
              <w:pStyle w:val="TableParagraph"/>
              <w:spacing w:before="117"/>
              <w:ind w:right="181"/>
              <w:rPr>
                <w:sz w:val="18"/>
              </w:rPr>
            </w:pPr>
            <w:r>
              <w:rPr>
                <w:sz w:val="18"/>
              </w:rPr>
              <w:t>1,968</w:t>
            </w:r>
          </w:p>
        </w:tc>
        <w:tc>
          <w:tcPr>
            <w:tcW w:w="1003" w:type="dxa"/>
          </w:tcPr>
          <w:p w:rsidR="007C5447" w:rsidRDefault="00F6308C">
            <w:pPr>
              <w:pStyle w:val="TableParagraph"/>
              <w:spacing w:before="117"/>
              <w:ind w:right="180"/>
              <w:rPr>
                <w:sz w:val="18"/>
              </w:rPr>
            </w:pPr>
            <w:r>
              <w:rPr>
                <w:sz w:val="18"/>
              </w:rPr>
              <w:t>2,461</w:t>
            </w:r>
          </w:p>
        </w:tc>
        <w:tc>
          <w:tcPr>
            <w:tcW w:w="1257" w:type="dxa"/>
          </w:tcPr>
          <w:p w:rsidR="007C5447" w:rsidRDefault="00F6308C">
            <w:pPr>
              <w:pStyle w:val="TableParagraph"/>
              <w:spacing w:before="117"/>
              <w:ind w:right="179"/>
              <w:rPr>
                <w:sz w:val="18"/>
              </w:rPr>
            </w:pPr>
            <w:r>
              <w:rPr>
                <w:sz w:val="18"/>
              </w:rPr>
              <w:t>2,461</w:t>
            </w:r>
          </w:p>
        </w:tc>
        <w:tc>
          <w:tcPr>
            <w:tcW w:w="1401" w:type="dxa"/>
          </w:tcPr>
          <w:p w:rsidR="007C5447" w:rsidRDefault="00F6308C">
            <w:pPr>
              <w:pStyle w:val="TableParagraph"/>
              <w:spacing w:before="117"/>
              <w:ind w:right="176"/>
              <w:rPr>
                <w:sz w:val="18"/>
              </w:rPr>
            </w:pPr>
            <w:r>
              <w:rPr>
                <w:sz w:val="18"/>
              </w:rPr>
              <w:t>2,461</w:t>
            </w:r>
          </w:p>
        </w:tc>
        <w:tc>
          <w:tcPr>
            <w:tcW w:w="1006" w:type="dxa"/>
          </w:tcPr>
          <w:p w:rsidR="007C5447" w:rsidRDefault="00F6308C">
            <w:pPr>
              <w:pStyle w:val="TableParagraph"/>
              <w:spacing w:before="117"/>
              <w:ind w:right="179"/>
              <w:rPr>
                <w:sz w:val="18"/>
              </w:rPr>
            </w:pPr>
            <w:r>
              <w:rPr>
                <w:sz w:val="18"/>
              </w:rPr>
              <w:t>2,986</w:t>
            </w:r>
          </w:p>
        </w:tc>
        <w:tc>
          <w:tcPr>
            <w:tcW w:w="1255" w:type="dxa"/>
          </w:tcPr>
          <w:p w:rsidR="007C5447" w:rsidRDefault="00F6308C">
            <w:pPr>
              <w:pStyle w:val="TableParagraph"/>
              <w:spacing w:before="117"/>
              <w:ind w:right="178"/>
              <w:rPr>
                <w:sz w:val="18"/>
              </w:rPr>
            </w:pPr>
            <w:r>
              <w:rPr>
                <w:sz w:val="18"/>
              </w:rPr>
              <w:t>2,986</w:t>
            </w:r>
          </w:p>
        </w:tc>
        <w:tc>
          <w:tcPr>
            <w:tcW w:w="1404" w:type="dxa"/>
          </w:tcPr>
          <w:p w:rsidR="007C5447" w:rsidRDefault="00F6308C">
            <w:pPr>
              <w:pStyle w:val="TableParagraph"/>
              <w:spacing w:before="117"/>
              <w:ind w:right="178"/>
              <w:rPr>
                <w:sz w:val="18"/>
              </w:rPr>
            </w:pPr>
            <w:r>
              <w:rPr>
                <w:sz w:val="18"/>
              </w:rPr>
              <w:t>2,986</w:t>
            </w:r>
          </w:p>
        </w:tc>
      </w:tr>
      <w:tr w:rsidR="007C5447">
        <w:trPr>
          <w:trHeight w:val="345"/>
        </w:trPr>
        <w:tc>
          <w:tcPr>
            <w:tcW w:w="638" w:type="dxa"/>
          </w:tcPr>
          <w:p w:rsidR="007C5447" w:rsidRDefault="00F6308C">
            <w:pPr>
              <w:pStyle w:val="TableParagraph"/>
              <w:spacing w:before="69"/>
              <w:ind w:left="88" w:right="80"/>
              <w:jc w:val="center"/>
              <w:rPr>
                <w:sz w:val="18"/>
              </w:rPr>
            </w:pPr>
            <w:r>
              <w:rPr>
                <w:sz w:val="18"/>
              </w:rPr>
              <w:t>IV</w:t>
            </w:r>
          </w:p>
        </w:tc>
        <w:tc>
          <w:tcPr>
            <w:tcW w:w="3144" w:type="dxa"/>
          </w:tcPr>
          <w:p w:rsidR="007C5447" w:rsidRDefault="00F6308C">
            <w:pPr>
              <w:pStyle w:val="TableParagraph"/>
              <w:spacing w:before="69"/>
              <w:ind w:left="108"/>
              <w:jc w:val="left"/>
              <w:rPr>
                <w:sz w:val="18"/>
              </w:rPr>
            </w:pPr>
            <w:r>
              <w:rPr>
                <w:sz w:val="18"/>
              </w:rPr>
              <w:t>Agriculture &amp; Government seed farm</w:t>
            </w:r>
          </w:p>
        </w:tc>
        <w:tc>
          <w:tcPr>
            <w:tcW w:w="1003" w:type="dxa"/>
          </w:tcPr>
          <w:p w:rsidR="007C5447" w:rsidRDefault="00F6308C">
            <w:pPr>
              <w:pStyle w:val="TableParagraph"/>
              <w:spacing w:before="69"/>
              <w:ind w:right="181"/>
              <w:rPr>
                <w:sz w:val="18"/>
              </w:rPr>
            </w:pPr>
            <w:r>
              <w:rPr>
                <w:w w:val="99"/>
                <w:sz w:val="18"/>
              </w:rPr>
              <w:t>-</w:t>
            </w:r>
          </w:p>
        </w:tc>
        <w:tc>
          <w:tcPr>
            <w:tcW w:w="1257" w:type="dxa"/>
          </w:tcPr>
          <w:p w:rsidR="007C5447" w:rsidRDefault="00F6308C">
            <w:pPr>
              <w:pStyle w:val="TableParagraph"/>
              <w:spacing w:before="69"/>
              <w:ind w:right="182"/>
              <w:rPr>
                <w:sz w:val="18"/>
              </w:rPr>
            </w:pPr>
            <w:r>
              <w:rPr>
                <w:w w:val="99"/>
                <w:sz w:val="18"/>
              </w:rPr>
              <w:t>-</w:t>
            </w:r>
          </w:p>
        </w:tc>
        <w:tc>
          <w:tcPr>
            <w:tcW w:w="1403" w:type="dxa"/>
          </w:tcPr>
          <w:p w:rsidR="007C5447" w:rsidRDefault="00F6308C">
            <w:pPr>
              <w:pStyle w:val="TableParagraph"/>
              <w:spacing w:before="69"/>
              <w:ind w:right="181"/>
              <w:rPr>
                <w:sz w:val="18"/>
              </w:rPr>
            </w:pPr>
            <w:r>
              <w:rPr>
                <w:w w:val="99"/>
                <w:sz w:val="18"/>
              </w:rPr>
              <w:t>-</w:t>
            </w:r>
          </w:p>
        </w:tc>
        <w:tc>
          <w:tcPr>
            <w:tcW w:w="1003" w:type="dxa"/>
          </w:tcPr>
          <w:p w:rsidR="007C5447" w:rsidRDefault="00F6308C">
            <w:pPr>
              <w:pStyle w:val="TableParagraph"/>
              <w:spacing w:before="69"/>
              <w:ind w:right="181"/>
              <w:rPr>
                <w:sz w:val="18"/>
              </w:rPr>
            </w:pPr>
            <w:r>
              <w:rPr>
                <w:w w:val="99"/>
                <w:sz w:val="18"/>
              </w:rPr>
              <w:t>-</w:t>
            </w:r>
          </w:p>
        </w:tc>
        <w:tc>
          <w:tcPr>
            <w:tcW w:w="1257" w:type="dxa"/>
          </w:tcPr>
          <w:p w:rsidR="007C5447" w:rsidRDefault="00F6308C">
            <w:pPr>
              <w:pStyle w:val="TableParagraph"/>
              <w:spacing w:before="69"/>
              <w:ind w:right="180"/>
              <w:rPr>
                <w:sz w:val="18"/>
              </w:rPr>
            </w:pPr>
            <w:r>
              <w:rPr>
                <w:w w:val="99"/>
                <w:sz w:val="18"/>
              </w:rPr>
              <w:t>-</w:t>
            </w:r>
          </w:p>
        </w:tc>
        <w:tc>
          <w:tcPr>
            <w:tcW w:w="1401" w:type="dxa"/>
          </w:tcPr>
          <w:p w:rsidR="007C5447" w:rsidRDefault="00F6308C">
            <w:pPr>
              <w:pStyle w:val="TableParagraph"/>
              <w:spacing w:before="69"/>
              <w:ind w:right="177"/>
              <w:rPr>
                <w:sz w:val="18"/>
              </w:rPr>
            </w:pPr>
            <w:r>
              <w:rPr>
                <w:w w:val="99"/>
                <w:sz w:val="18"/>
              </w:rPr>
              <w:t>-</w:t>
            </w:r>
          </w:p>
        </w:tc>
        <w:tc>
          <w:tcPr>
            <w:tcW w:w="1006" w:type="dxa"/>
          </w:tcPr>
          <w:p w:rsidR="007C5447" w:rsidRDefault="00F6308C">
            <w:pPr>
              <w:pStyle w:val="TableParagraph"/>
              <w:spacing w:before="69"/>
              <w:ind w:right="179"/>
              <w:rPr>
                <w:sz w:val="18"/>
              </w:rPr>
            </w:pPr>
            <w:r>
              <w:rPr>
                <w:w w:val="99"/>
                <w:sz w:val="18"/>
              </w:rPr>
              <w:t>-</w:t>
            </w:r>
          </w:p>
        </w:tc>
        <w:tc>
          <w:tcPr>
            <w:tcW w:w="1255" w:type="dxa"/>
          </w:tcPr>
          <w:p w:rsidR="007C5447" w:rsidRDefault="00F6308C">
            <w:pPr>
              <w:pStyle w:val="TableParagraph"/>
              <w:spacing w:before="69"/>
              <w:ind w:right="179"/>
              <w:rPr>
                <w:sz w:val="18"/>
              </w:rPr>
            </w:pPr>
            <w:r>
              <w:rPr>
                <w:w w:val="99"/>
                <w:sz w:val="18"/>
              </w:rPr>
              <w:t>-</w:t>
            </w:r>
          </w:p>
        </w:tc>
        <w:tc>
          <w:tcPr>
            <w:tcW w:w="1404" w:type="dxa"/>
          </w:tcPr>
          <w:p w:rsidR="007C5447" w:rsidRDefault="00F6308C">
            <w:pPr>
              <w:pStyle w:val="TableParagraph"/>
              <w:spacing w:before="69"/>
              <w:ind w:right="179"/>
              <w:rPr>
                <w:sz w:val="18"/>
              </w:rPr>
            </w:pPr>
            <w:r>
              <w:rPr>
                <w:w w:val="99"/>
                <w:sz w:val="18"/>
              </w:rPr>
              <w:t>-</w:t>
            </w:r>
          </w:p>
        </w:tc>
      </w:tr>
      <w:tr w:rsidR="007C5447">
        <w:trPr>
          <w:trHeight w:val="345"/>
        </w:trPr>
        <w:tc>
          <w:tcPr>
            <w:tcW w:w="638" w:type="dxa"/>
          </w:tcPr>
          <w:p w:rsidR="007C5447" w:rsidRDefault="00F6308C">
            <w:pPr>
              <w:pStyle w:val="TableParagraph"/>
              <w:spacing w:before="69"/>
              <w:ind w:left="10"/>
              <w:jc w:val="center"/>
              <w:rPr>
                <w:sz w:val="18"/>
              </w:rPr>
            </w:pPr>
            <w:r>
              <w:rPr>
                <w:w w:val="99"/>
                <w:sz w:val="18"/>
              </w:rPr>
              <w:t>V</w:t>
            </w:r>
          </w:p>
        </w:tc>
        <w:tc>
          <w:tcPr>
            <w:tcW w:w="3144" w:type="dxa"/>
          </w:tcPr>
          <w:p w:rsidR="007C5447" w:rsidRDefault="00F6308C">
            <w:pPr>
              <w:pStyle w:val="TableParagraph"/>
              <w:spacing w:before="69"/>
              <w:ind w:left="108"/>
              <w:jc w:val="left"/>
              <w:rPr>
                <w:sz w:val="18"/>
              </w:rPr>
            </w:pPr>
            <w:r>
              <w:rPr>
                <w:sz w:val="18"/>
              </w:rPr>
              <w:t>Commercial and Other</w:t>
            </w:r>
          </w:p>
        </w:tc>
        <w:tc>
          <w:tcPr>
            <w:tcW w:w="1003" w:type="dxa"/>
          </w:tcPr>
          <w:p w:rsidR="007C5447" w:rsidRDefault="00F6308C">
            <w:pPr>
              <w:pStyle w:val="TableParagraph"/>
              <w:spacing w:before="69"/>
              <w:ind w:right="180"/>
              <w:rPr>
                <w:sz w:val="18"/>
              </w:rPr>
            </w:pPr>
            <w:r>
              <w:rPr>
                <w:sz w:val="18"/>
              </w:rPr>
              <w:t>3,035</w:t>
            </w:r>
          </w:p>
        </w:tc>
        <w:tc>
          <w:tcPr>
            <w:tcW w:w="1257" w:type="dxa"/>
          </w:tcPr>
          <w:p w:rsidR="007C5447" w:rsidRDefault="00F6308C">
            <w:pPr>
              <w:pStyle w:val="TableParagraph"/>
              <w:spacing w:before="69"/>
              <w:ind w:right="182"/>
              <w:rPr>
                <w:sz w:val="18"/>
              </w:rPr>
            </w:pPr>
            <w:r>
              <w:rPr>
                <w:sz w:val="18"/>
              </w:rPr>
              <w:t>3,035</w:t>
            </w:r>
          </w:p>
        </w:tc>
        <w:tc>
          <w:tcPr>
            <w:tcW w:w="1403" w:type="dxa"/>
          </w:tcPr>
          <w:p w:rsidR="007C5447" w:rsidRDefault="00F6308C">
            <w:pPr>
              <w:pStyle w:val="TableParagraph"/>
              <w:spacing w:before="69"/>
              <w:ind w:right="181"/>
              <w:rPr>
                <w:sz w:val="18"/>
              </w:rPr>
            </w:pPr>
            <w:r>
              <w:rPr>
                <w:sz w:val="18"/>
              </w:rPr>
              <w:t>3,035</w:t>
            </w:r>
          </w:p>
        </w:tc>
        <w:tc>
          <w:tcPr>
            <w:tcW w:w="1003" w:type="dxa"/>
          </w:tcPr>
          <w:p w:rsidR="007C5447" w:rsidRDefault="00F6308C">
            <w:pPr>
              <w:pStyle w:val="TableParagraph"/>
              <w:spacing w:before="69"/>
              <w:ind w:right="180"/>
              <w:rPr>
                <w:sz w:val="18"/>
              </w:rPr>
            </w:pPr>
            <w:r>
              <w:rPr>
                <w:sz w:val="18"/>
              </w:rPr>
              <w:t>3,801</w:t>
            </w:r>
          </w:p>
        </w:tc>
        <w:tc>
          <w:tcPr>
            <w:tcW w:w="1257" w:type="dxa"/>
          </w:tcPr>
          <w:p w:rsidR="007C5447" w:rsidRDefault="00F6308C">
            <w:pPr>
              <w:pStyle w:val="TableParagraph"/>
              <w:spacing w:before="69"/>
              <w:ind w:right="179"/>
              <w:rPr>
                <w:sz w:val="18"/>
              </w:rPr>
            </w:pPr>
            <w:r>
              <w:rPr>
                <w:sz w:val="18"/>
              </w:rPr>
              <w:t>3,801</w:t>
            </w:r>
          </w:p>
        </w:tc>
        <w:tc>
          <w:tcPr>
            <w:tcW w:w="1401" w:type="dxa"/>
          </w:tcPr>
          <w:p w:rsidR="007C5447" w:rsidRDefault="00F6308C">
            <w:pPr>
              <w:pStyle w:val="TableParagraph"/>
              <w:spacing w:before="69"/>
              <w:ind w:right="176"/>
              <w:rPr>
                <w:sz w:val="18"/>
              </w:rPr>
            </w:pPr>
            <w:r>
              <w:rPr>
                <w:sz w:val="18"/>
              </w:rPr>
              <w:t>3,801</w:t>
            </w:r>
          </w:p>
        </w:tc>
        <w:tc>
          <w:tcPr>
            <w:tcW w:w="1006" w:type="dxa"/>
          </w:tcPr>
          <w:p w:rsidR="007C5447" w:rsidRDefault="00F6308C">
            <w:pPr>
              <w:pStyle w:val="TableParagraph"/>
              <w:spacing w:before="69"/>
              <w:ind w:right="179"/>
              <w:rPr>
                <w:sz w:val="18"/>
              </w:rPr>
            </w:pPr>
            <w:r>
              <w:rPr>
                <w:sz w:val="18"/>
              </w:rPr>
              <w:t>4,446</w:t>
            </w:r>
          </w:p>
        </w:tc>
        <w:tc>
          <w:tcPr>
            <w:tcW w:w="1255" w:type="dxa"/>
          </w:tcPr>
          <w:p w:rsidR="007C5447" w:rsidRDefault="00F6308C">
            <w:pPr>
              <w:pStyle w:val="TableParagraph"/>
              <w:spacing w:before="69"/>
              <w:ind w:right="178"/>
              <w:rPr>
                <w:sz w:val="18"/>
              </w:rPr>
            </w:pPr>
            <w:r>
              <w:rPr>
                <w:sz w:val="18"/>
              </w:rPr>
              <w:t>4,446</w:t>
            </w:r>
          </w:p>
        </w:tc>
        <w:tc>
          <w:tcPr>
            <w:tcW w:w="1404" w:type="dxa"/>
          </w:tcPr>
          <w:p w:rsidR="007C5447" w:rsidRDefault="00F6308C">
            <w:pPr>
              <w:pStyle w:val="TableParagraph"/>
              <w:spacing w:before="69"/>
              <w:ind w:right="178"/>
              <w:rPr>
                <w:sz w:val="18"/>
              </w:rPr>
            </w:pPr>
            <w:r>
              <w:rPr>
                <w:sz w:val="18"/>
              </w:rPr>
              <w:t>4,446</w:t>
            </w:r>
          </w:p>
        </w:tc>
      </w:tr>
      <w:tr w:rsidR="007C5447">
        <w:trPr>
          <w:trHeight w:val="347"/>
        </w:trPr>
        <w:tc>
          <w:tcPr>
            <w:tcW w:w="638" w:type="dxa"/>
          </w:tcPr>
          <w:p w:rsidR="007C5447" w:rsidRDefault="00F6308C">
            <w:pPr>
              <w:pStyle w:val="TableParagraph"/>
              <w:spacing w:before="69"/>
              <w:ind w:left="88" w:right="77"/>
              <w:jc w:val="center"/>
              <w:rPr>
                <w:sz w:val="18"/>
              </w:rPr>
            </w:pPr>
            <w:r>
              <w:rPr>
                <w:sz w:val="18"/>
              </w:rPr>
              <w:t>VI</w:t>
            </w:r>
          </w:p>
        </w:tc>
        <w:tc>
          <w:tcPr>
            <w:tcW w:w="3144" w:type="dxa"/>
          </w:tcPr>
          <w:p w:rsidR="007C5447" w:rsidRDefault="00F6308C">
            <w:pPr>
              <w:pStyle w:val="TableParagraph"/>
              <w:spacing w:before="69"/>
              <w:ind w:left="108"/>
              <w:jc w:val="left"/>
              <w:rPr>
                <w:sz w:val="18"/>
              </w:rPr>
            </w:pPr>
            <w:r>
              <w:rPr>
                <w:sz w:val="18"/>
              </w:rPr>
              <w:t>Temporary Supply</w:t>
            </w:r>
          </w:p>
        </w:tc>
        <w:tc>
          <w:tcPr>
            <w:tcW w:w="1003" w:type="dxa"/>
          </w:tcPr>
          <w:p w:rsidR="007C5447" w:rsidRDefault="00F6308C">
            <w:pPr>
              <w:pStyle w:val="TableParagraph"/>
              <w:spacing w:before="69"/>
              <w:ind w:right="181"/>
              <w:rPr>
                <w:sz w:val="18"/>
              </w:rPr>
            </w:pPr>
            <w:r>
              <w:rPr>
                <w:sz w:val="18"/>
              </w:rPr>
              <w:t>25</w:t>
            </w:r>
          </w:p>
        </w:tc>
        <w:tc>
          <w:tcPr>
            <w:tcW w:w="1257" w:type="dxa"/>
          </w:tcPr>
          <w:p w:rsidR="007C5447" w:rsidRDefault="00F6308C">
            <w:pPr>
              <w:pStyle w:val="TableParagraph"/>
              <w:spacing w:before="69"/>
              <w:ind w:right="182"/>
              <w:rPr>
                <w:sz w:val="18"/>
              </w:rPr>
            </w:pPr>
            <w:r>
              <w:rPr>
                <w:sz w:val="18"/>
              </w:rPr>
              <w:t>25</w:t>
            </w:r>
          </w:p>
        </w:tc>
        <w:tc>
          <w:tcPr>
            <w:tcW w:w="1403" w:type="dxa"/>
          </w:tcPr>
          <w:p w:rsidR="007C5447" w:rsidRDefault="00F6308C">
            <w:pPr>
              <w:pStyle w:val="TableParagraph"/>
              <w:spacing w:before="69"/>
              <w:ind w:right="181"/>
              <w:rPr>
                <w:sz w:val="18"/>
              </w:rPr>
            </w:pPr>
            <w:r>
              <w:rPr>
                <w:sz w:val="18"/>
              </w:rPr>
              <w:t>25</w:t>
            </w:r>
          </w:p>
        </w:tc>
        <w:tc>
          <w:tcPr>
            <w:tcW w:w="1003" w:type="dxa"/>
          </w:tcPr>
          <w:p w:rsidR="007C5447" w:rsidRDefault="00F6308C">
            <w:pPr>
              <w:pStyle w:val="TableParagraph"/>
              <w:spacing w:before="69"/>
              <w:ind w:right="181"/>
              <w:rPr>
                <w:sz w:val="18"/>
              </w:rPr>
            </w:pPr>
            <w:r>
              <w:rPr>
                <w:sz w:val="18"/>
              </w:rPr>
              <w:t>25</w:t>
            </w:r>
          </w:p>
        </w:tc>
        <w:tc>
          <w:tcPr>
            <w:tcW w:w="1257" w:type="dxa"/>
          </w:tcPr>
          <w:p w:rsidR="007C5447" w:rsidRDefault="00F6308C">
            <w:pPr>
              <w:pStyle w:val="TableParagraph"/>
              <w:spacing w:before="69"/>
              <w:ind w:right="180"/>
              <w:rPr>
                <w:sz w:val="18"/>
              </w:rPr>
            </w:pPr>
            <w:r>
              <w:rPr>
                <w:sz w:val="18"/>
              </w:rPr>
              <w:t>25</w:t>
            </w:r>
          </w:p>
        </w:tc>
        <w:tc>
          <w:tcPr>
            <w:tcW w:w="1401" w:type="dxa"/>
          </w:tcPr>
          <w:p w:rsidR="007C5447" w:rsidRDefault="00F6308C">
            <w:pPr>
              <w:pStyle w:val="TableParagraph"/>
              <w:spacing w:before="69"/>
              <w:ind w:right="177"/>
              <w:rPr>
                <w:sz w:val="18"/>
              </w:rPr>
            </w:pPr>
            <w:r>
              <w:rPr>
                <w:sz w:val="18"/>
              </w:rPr>
              <w:t>25</w:t>
            </w:r>
          </w:p>
        </w:tc>
        <w:tc>
          <w:tcPr>
            <w:tcW w:w="1006" w:type="dxa"/>
          </w:tcPr>
          <w:p w:rsidR="007C5447" w:rsidRDefault="00F6308C">
            <w:pPr>
              <w:pStyle w:val="TableParagraph"/>
              <w:spacing w:before="69"/>
              <w:ind w:right="180"/>
              <w:rPr>
                <w:sz w:val="18"/>
              </w:rPr>
            </w:pPr>
            <w:r>
              <w:rPr>
                <w:sz w:val="18"/>
              </w:rPr>
              <w:t>95</w:t>
            </w:r>
          </w:p>
        </w:tc>
        <w:tc>
          <w:tcPr>
            <w:tcW w:w="1255" w:type="dxa"/>
          </w:tcPr>
          <w:p w:rsidR="007C5447" w:rsidRDefault="00F6308C">
            <w:pPr>
              <w:pStyle w:val="TableParagraph"/>
              <w:spacing w:before="69"/>
              <w:ind w:right="179"/>
              <w:rPr>
                <w:sz w:val="18"/>
              </w:rPr>
            </w:pPr>
            <w:r>
              <w:rPr>
                <w:sz w:val="18"/>
              </w:rPr>
              <w:t>95</w:t>
            </w:r>
          </w:p>
        </w:tc>
        <w:tc>
          <w:tcPr>
            <w:tcW w:w="1404" w:type="dxa"/>
          </w:tcPr>
          <w:p w:rsidR="007C5447" w:rsidRDefault="00F6308C">
            <w:pPr>
              <w:pStyle w:val="TableParagraph"/>
              <w:spacing w:before="69"/>
              <w:ind w:right="179"/>
              <w:rPr>
                <w:sz w:val="18"/>
              </w:rPr>
            </w:pPr>
            <w:r>
              <w:rPr>
                <w:sz w:val="18"/>
              </w:rPr>
              <w:t>95</w:t>
            </w:r>
          </w:p>
        </w:tc>
      </w:tr>
      <w:tr w:rsidR="007C5447">
        <w:trPr>
          <w:trHeight w:val="345"/>
        </w:trPr>
        <w:tc>
          <w:tcPr>
            <w:tcW w:w="638" w:type="dxa"/>
          </w:tcPr>
          <w:p w:rsidR="007C5447" w:rsidRDefault="007C5447">
            <w:pPr>
              <w:pStyle w:val="TableParagraph"/>
              <w:jc w:val="left"/>
              <w:rPr>
                <w:sz w:val="18"/>
              </w:rPr>
            </w:pPr>
          </w:p>
        </w:tc>
        <w:tc>
          <w:tcPr>
            <w:tcW w:w="3144" w:type="dxa"/>
          </w:tcPr>
          <w:p w:rsidR="007C5447" w:rsidRDefault="00F6308C">
            <w:pPr>
              <w:pStyle w:val="TableParagraph"/>
              <w:spacing w:before="69"/>
              <w:ind w:left="108"/>
              <w:jc w:val="left"/>
              <w:rPr>
                <w:b/>
                <w:sz w:val="18"/>
              </w:rPr>
            </w:pPr>
            <w:r>
              <w:rPr>
                <w:b/>
                <w:sz w:val="18"/>
              </w:rPr>
              <w:t>TOTAL LT category revenue</w:t>
            </w:r>
          </w:p>
        </w:tc>
        <w:tc>
          <w:tcPr>
            <w:tcW w:w="1003" w:type="dxa"/>
          </w:tcPr>
          <w:p w:rsidR="007C5447" w:rsidRDefault="00F6308C">
            <w:pPr>
              <w:pStyle w:val="TableParagraph"/>
              <w:spacing w:before="69"/>
              <w:ind w:right="180"/>
              <w:rPr>
                <w:b/>
                <w:sz w:val="18"/>
              </w:rPr>
            </w:pPr>
            <w:r>
              <w:rPr>
                <w:b/>
                <w:sz w:val="18"/>
              </w:rPr>
              <w:t>9,165</w:t>
            </w:r>
          </w:p>
        </w:tc>
        <w:tc>
          <w:tcPr>
            <w:tcW w:w="1257" w:type="dxa"/>
          </w:tcPr>
          <w:p w:rsidR="007C5447" w:rsidRDefault="00F6308C">
            <w:pPr>
              <w:pStyle w:val="TableParagraph"/>
              <w:spacing w:before="69"/>
              <w:ind w:right="182"/>
              <w:rPr>
                <w:b/>
                <w:sz w:val="18"/>
              </w:rPr>
            </w:pPr>
            <w:r>
              <w:rPr>
                <w:b/>
                <w:sz w:val="18"/>
              </w:rPr>
              <w:t>9,165</w:t>
            </w:r>
          </w:p>
        </w:tc>
        <w:tc>
          <w:tcPr>
            <w:tcW w:w="1403" w:type="dxa"/>
          </w:tcPr>
          <w:p w:rsidR="007C5447" w:rsidRDefault="00F6308C">
            <w:pPr>
              <w:pStyle w:val="TableParagraph"/>
              <w:spacing w:before="69"/>
              <w:ind w:right="181"/>
              <w:rPr>
                <w:b/>
                <w:sz w:val="18"/>
              </w:rPr>
            </w:pPr>
            <w:r>
              <w:rPr>
                <w:b/>
                <w:sz w:val="18"/>
              </w:rPr>
              <w:t>9,165</w:t>
            </w:r>
          </w:p>
        </w:tc>
        <w:tc>
          <w:tcPr>
            <w:tcW w:w="1003" w:type="dxa"/>
          </w:tcPr>
          <w:p w:rsidR="007C5447" w:rsidRDefault="00F6308C">
            <w:pPr>
              <w:pStyle w:val="TableParagraph"/>
              <w:spacing w:before="69"/>
              <w:ind w:right="183"/>
              <w:rPr>
                <w:b/>
                <w:sz w:val="18"/>
              </w:rPr>
            </w:pPr>
            <w:r>
              <w:rPr>
                <w:b/>
                <w:sz w:val="18"/>
              </w:rPr>
              <w:t>12,422</w:t>
            </w:r>
          </w:p>
        </w:tc>
        <w:tc>
          <w:tcPr>
            <w:tcW w:w="1257" w:type="dxa"/>
          </w:tcPr>
          <w:p w:rsidR="007C5447" w:rsidRDefault="00F6308C">
            <w:pPr>
              <w:pStyle w:val="TableParagraph"/>
              <w:spacing w:before="69"/>
              <w:ind w:right="181"/>
              <w:rPr>
                <w:b/>
                <w:sz w:val="18"/>
              </w:rPr>
            </w:pPr>
            <w:r>
              <w:rPr>
                <w:b/>
                <w:sz w:val="18"/>
              </w:rPr>
              <w:t>12,422</w:t>
            </w:r>
          </w:p>
        </w:tc>
        <w:tc>
          <w:tcPr>
            <w:tcW w:w="1401" w:type="dxa"/>
          </w:tcPr>
          <w:p w:rsidR="007C5447" w:rsidRDefault="00F6308C">
            <w:pPr>
              <w:pStyle w:val="TableParagraph"/>
              <w:spacing w:before="69"/>
              <w:ind w:right="179"/>
              <w:rPr>
                <w:b/>
                <w:sz w:val="18"/>
              </w:rPr>
            </w:pPr>
            <w:r>
              <w:rPr>
                <w:b/>
                <w:sz w:val="18"/>
              </w:rPr>
              <w:t>12,422</w:t>
            </w:r>
          </w:p>
        </w:tc>
        <w:tc>
          <w:tcPr>
            <w:tcW w:w="1006" w:type="dxa"/>
          </w:tcPr>
          <w:p w:rsidR="007C5447" w:rsidRDefault="00F6308C">
            <w:pPr>
              <w:pStyle w:val="TableParagraph"/>
              <w:spacing w:before="69"/>
              <w:ind w:right="182"/>
              <w:rPr>
                <w:b/>
                <w:sz w:val="18"/>
              </w:rPr>
            </w:pPr>
            <w:r>
              <w:rPr>
                <w:b/>
                <w:sz w:val="18"/>
              </w:rPr>
              <w:t>14,746</w:t>
            </w:r>
          </w:p>
        </w:tc>
        <w:tc>
          <w:tcPr>
            <w:tcW w:w="1255" w:type="dxa"/>
          </w:tcPr>
          <w:p w:rsidR="007C5447" w:rsidRDefault="00F6308C">
            <w:pPr>
              <w:pStyle w:val="TableParagraph"/>
              <w:spacing w:before="69"/>
              <w:ind w:right="181"/>
              <w:rPr>
                <w:b/>
                <w:sz w:val="18"/>
              </w:rPr>
            </w:pPr>
            <w:r>
              <w:rPr>
                <w:b/>
                <w:sz w:val="18"/>
              </w:rPr>
              <w:t>14,747</w:t>
            </w:r>
          </w:p>
        </w:tc>
        <w:tc>
          <w:tcPr>
            <w:tcW w:w="1404" w:type="dxa"/>
          </w:tcPr>
          <w:p w:rsidR="007C5447" w:rsidRDefault="00F6308C">
            <w:pPr>
              <w:pStyle w:val="TableParagraph"/>
              <w:spacing w:before="69"/>
              <w:ind w:right="181"/>
              <w:rPr>
                <w:b/>
                <w:sz w:val="18"/>
              </w:rPr>
            </w:pPr>
            <w:r>
              <w:rPr>
                <w:b/>
                <w:sz w:val="18"/>
              </w:rPr>
              <w:t>14,746</w:t>
            </w:r>
          </w:p>
        </w:tc>
      </w:tr>
      <w:tr w:rsidR="007C5447">
        <w:trPr>
          <w:trHeight w:val="345"/>
        </w:trPr>
        <w:tc>
          <w:tcPr>
            <w:tcW w:w="638" w:type="dxa"/>
          </w:tcPr>
          <w:p w:rsidR="007C5447" w:rsidRDefault="007C5447">
            <w:pPr>
              <w:pStyle w:val="TableParagraph"/>
              <w:jc w:val="left"/>
              <w:rPr>
                <w:sz w:val="18"/>
              </w:rPr>
            </w:pPr>
          </w:p>
        </w:tc>
        <w:tc>
          <w:tcPr>
            <w:tcW w:w="3144" w:type="dxa"/>
          </w:tcPr>
          <w:p w:rsidR="007C5447" w:rsidRDefault="007C5447">
            <w:pPr>
              <w:pStyle w:val="TableParagraph"/>
              <w:jc w:val="left"/>
              <w:rPr>
                <w:sz w:val="18"/>
              </w:rPr>
            </w:pPr>
          </w:p>
        </w:tc>
        <w:tc>
          <w:tcPr>
            <w:tcW w:w="1003" w:type="dxa"/>
          </w:tcPr>
          <w:p w:rsidR="007C5447" w:rsidRDefault="007C5447">
            <w:pPr>
              <w:pStyle w:val="TableParagraph"/>
              <w:jc w:val="left"/>
              <w:rPr>
                <w:sz w:val="18"/>
              </w:rPr>
            </w:pPr>
          </w:p>
        </w:tc>
        <w:tc>
          <w:tcPr>
            <w:tcW w:w="1257" w:type="dxa"/>
          </w:tcPr>
          <w:p w:rsidR="007C5447" w:rsidRDefault="007C5447">
            <w:pPr>
              <w:pStyle w:val="TableParagraph"/>
              <w:jc w:val="left"/>
              <w:rPr>
                <w:sz w:val="18"/>
              </w:rPr>
            </w:pPr>
          </w:p>
        </w:tc>
        <w:tc>
          <w:tcPr>
            <w:tcW w:w="1403" w:type="dxa"/>
          </w:tcPr>
          <w:p w:rsidR="007C5447" w:rsidRDefault="007C5447">
            <w:pPr>
              <w:pStyle w:val="TableParagraph"/>
              <w:jc w:val="left"/>
              <w:rPr>
                <w:sz w:val="18"/>
              </w:rPr>
            </w:pPr>
          </w:p>
        </w:tc>
        <w:tc>
          <w:tcPr>
            <w:tcW w:w="1003" w:type="dxa"/>
          </w:tcPr>
          <w:p w:rsidR="007C5447" w:rsidRDefault="007C5447">
            <w:pPr>
              <w:pStyle w:val="TableParagraph"/>
              <w:jc w:val="left"/>
              <w:rPr>
                <w:sz w:val="18"/>
              </w:rPr>
            </w:pPr>
          </w:p>
        </w:tc>
        <w:tc>
          <w:tcPr>
            <w:tcW w:w="1257" w:type="dxa"/>
          </w:tcPr>
          <w:p w:rsidR="007C5447" w:rsidRDefault="007C5447">
            <w:pPr>
              <w:pStyle w:val="TableParagraph"/>
              <w:jc w:val="left"/>
              <w:rPr>
                <w:sz w:val="18"/>
              </w:rPr>
            </w:pPr>
          </w:p>
        </w:tc>
        <w:tc>
          <w:tcPr>
            <w:tcW w:w="1401" w:type="dxa"/>
          </w:tcPr>
          <w:p w:rsidR="007C5447" w:rsidRDefault="007C5447">
            <w:pPr>
              <w:pStyle w:val="TableParagraph"/>
              <w:jc w:val="left"/>
              <w:rPr>
                <w:sz w:val="18"/>
              </w:rPr>
            </w:pPr>
          </w:p>
        </w:tc>
        <w:tc>
          <w:tcPr>
            <w:tcW w:w="1006" w:type="dxa"/>
          </w:tcPr>
          <w:p w:rsidR="007C5447" w:rsidRDefault="007C5447">
            <w:pPr>
              <w:pStyle w:val="TableParagraph"/>
              <w:jc w:val="left"/>
              <w:rPr>
                <w:sz w:val="18"/>
              </w:rPr>
            </w:pPr>
          </w:p>
        </w:tc>
        <w:tc>
          <w:tcPr>
            <w:tcW w:w="1255" w:type="dxa"/>
          </w:tcPr>
          <w:p w:rsidR="007C5447" w:rsidRDefault="007C5447">
            <w:pPr>
              <w:pStyle w:val="TableParagraph"/>
              <w:jc w:val="left"/>
              <w:rPr>
                <w:sz w:val="18"/>
              </w:rPr>
            </w:pPr>
          </w:p>
        </w:tc>
        <w:tc>
          <w:tcPr>
            <w:tcW w:w="1404" w:type="dxa"/>
          </w:tcPr>
          <w:p w:rsidR="007C5447" w:rsidRDefault="007C5447">
            <w:pPr>
              <w:pStyle w:val="TableParagraph"/>
              <w:jc w:val="left"/>
              <w:rPr>
                <w:sz w:val="18"/>
              </w:rPr>
            </w:pPr>
          </w:p>
        </w:tc>
      </w:tr>
      <w:tr w:rsidR="007C5447">
        <w:trPr>
          <w:trHeight w:val="347"/>
        </w:trPr>
        <w:tc>
          <w:tcPr>
            <w:tcW w:w="638" w:type="dxa"/>
          </w:tcPr>
          <w:p w:rsidR="007C5447" w:rsidRDefault="007C5447">
            <w:pPr>
              <w:pStyle w:val="TableParagraph"/>
              <w:jc w:val="left"/>
              <w:rPr>
                <w:sz w:val="18"/>
              </w:rPr>
            </w:pPr>
          </w:p>
        </w:tc>
        <w:tc>
          <w:tcPr>
            <w:tcW w:w="3144" w:type="dxa"/>
          </w:tcPr>
          <w:p w:rsidR="007C5447" w:rsidRDefault="00F6308C">
            <w:pPr>
              <w:pStyle w:val="TableParagraph"/>
              <w:spacing w:before="69"/>
              <w:ind w:left="108"/>
              <w:jc w:val="left"/>
              <w:rPr>
                <w:b/>
                <w:sz w:val="18"/>
              </w:rPr>
            </w:pPr>
            <w:r>
              <w:rPr>
                <w:b/>
                <w:sz w:val="18"/>
              </w:rPr>
              <w:t>TOTAL Revenue from LT &amp; HT</w:t>
            </w:r>
          </w:p>
        </w:tc>
        <w:tc>
          <w:tcPr>
            <w:tcW w:w="1003" w:type="dxa"/>
          </w:tcPr>
          <w:p w:rsidR="007C5447" w:rsidRDefault="00F6308C">
            <w:pPr>
              <w:pStyle w:val="TableParagraph"/>
              <w:spacing w:before="69"/>
              <w:ind w:right="180"/>
              <w:rPr>
                <w:b/>
                <w:sz w:val="18"/>
              </w:rPr>
            </w:pPr>
            <w:r>
              <w:rPr>
                <w:b/>
                <w:sz w:val="18"/>
              </w:rPr>
              <w:t>17,404*</w:t>
            </w:r>
          </w:p>
        </w:tc>
        <w:tc>
          <w:tcPr>
            <w:tcW w:w="1257" w:type="dxa"/>
          </w:tcPr>
          <w:p w:rsidR="007C5447" w:rsidRDefault="00F6308C">
            <w:pPr>
              <w:pStyle w:val="TableParagraph"/>
              <w:spacing w:before="69"/>
              <w:ind w:left="476"/>
              <w:jc w:val="left"/>
              <w:rPr>
                <w:b/>
                <w:sz w:val="18"/>
              </w:rPr>
            </w:pPr>
            <w:r>
              <w:rPr>
                <w:b/>
                <w:sz w:val="18"/>
              </w:rPr>
              <w:t>17,527*</w:t>
            </w:r>
          </w:p>
        </w:tc>
        <w:tc>
          <w:tcPr>
            <w:tcW w:w="1403" w:type="dxa"/>
          </w:tcPr>
          <w:p w:rsidR="007C5447" w:rsidRDefault="00F6308C">
            <w:pPr>
              <w:pStyle w:val="TableParagraph"/>
              <w:spacing w:before="69"/>
              <w:ind w:right="183"/>
              <w:rPr>
                <w:b/>
                <w:sz w:val="18"/>
              </w:rPr>
            </w:pPr>
            <w:r>
              <w:rPr>
                <w:b/>
                <w:sz w:val="18"/>
              </w:rPr>
              <w:t>19,880</w:t>
            </w:r>
          </w:p>
        </w:tc>
        <w:tc>
          <w:tcPr>
            <w:tcW w:w="1003" w:type="dxa"/>
          </w:tcPr>
          <w:p w:rsidR="007C5447" w:rsidRDefault="00F6308C">
            <w:pPr>
              <w:pStyle w:val="TableParagraph"/>
              <w:spacing w:before="69"/>
              <w:ind w:right="180"/>
              <w:rPr>
                <w:b/>
                <w:sz w:val="18"/>
              </w:rPr>
            </w:pPr>
            <w:r>
              <w:rPr>
                <w:b/>
                <w:sz w:val="18"/>
              </w:rPr>
              <w:t>20,870*</w:t>
            </w:r>
          </w:p>
        </w:tc>
        <w:tc>
          <w:tcPr>
            <w:tcW w:w="1257" w:type="dxa"/>
          </w:tcPr>
          <w:p w:rsidR="007C5447" w:rsidRDefault="00F6308C">
            <w:pPr>
              <w:pStyle w:val="TableParagraph"/>
              <w:spacing w:before="69"/>
              <w:ind w:left="478"/>
              <w:jc w:val="left"/>
              <w:rPr>
                <w:b/>
                <w:sz w:val="18"/>
              </w:rPr>
            </w:pPr>
            <w:r>
              <w:rPr>
                <w:b/>
                <w:sz w:val="18"/>
              </w:rPr>
              <w:t>20,217*</w:t>
            </w:r>
          </w:p>
        </w:tc>
        <w:tc>
          <w:tcPr>
            <w:tcW w:w="1401" w:type="dxa"/>
          </w:tcPr>
          <w:p w:rsidR="007C5447" w:rsidRDefault="00F6308C">
            <w:pPr>
              <w:pStyle w:val="TableParagraph"/>
              <w:spacing w:before="69"/>
              <w:ind w:right="179"/>
              <w:rPr>
                <w:b/>
                <w:sz w:val="18"/>
              </w:rPr>
            </w:pPr>
            <w:r>
              <w:rPr>
                <w:b/>
                <w:sz w:val="18"/>
              </w:rPr>
              <w:t>25,621</w:t>
            </w:r>
          </w:p>
        </w:tc>
        <w:tc>
          <w:tcPr>
            <w:tcW w:w="1006" w:type="dxa"/>
          </w:tcPr>
          <w:p w:rsidR="007C5447" w:rsidRDefault="00F6308C">
            <w:pPr>
              <w:pStyle w:val="TableParagraph"/>
              <w:spacing w:before="69"/>
              <w:ind w:right="179"/>
              <w:rPr>
                <w:b/>
                <w:sz w:val="18"/>
              </w:rPr>
            </w:pPr>
            <w:r>
              <w:rPr>
                <w:b/>
                <w:sz w:val="18"/>
              </w:rPr>
              <w:t>24,986*</w:t>
            </w:r>
          </w:p>
        </w:tc>
        <w:tc>
          <w:tcPr>
            <w:tcW w:w="1255" w:type="dxa"/>
          </w:tcPr>
          <w:p w:rsidR="007C5447" w:rsidRDefault="00F6308C">
            <w:pPr>
              <w:pStyle w:val="TableParagraph"/>
              <w:spacing w:before="69"/>
              <w:ind w:right="178"/>
              <w:rPr>
                <w:b/>
                <w:sz w:val="18"/>
              </w:rPr>
            </w:pPr>
            <w:r>
              <w:rPr>
                <w:b/>
                <w:sz w:val="18"/>
              </w:rPr>
              <w:t>24,259*</w:t>
            </w:r>
          </w:p>
        </w:tc>
        <w:tc>
          <w:tcPr>
            <w:tcW w:w="1404" w:type="dxa"/>
          </w:tcPr>
          <w:p w:rsidR="007C5447" w:rsidRDefault="00F6308C">
            <w:pPr>
              <w:pStyle w:val="TableParagraph"/>
              <w:spacing w:before="69"/>
              <w:ind w:right="181"/>
              <w:rPr>
                <w:b/>
                <w:sz w:val="18"/>
              </w:rPr>
            </w:pPr>
            <w:r>
              <w:rPr>
                <w:b/>
                <w:sz w:val="18"/>
              </w:rPr>
              <w:t>30,311</w:t>
            </w:r>
          </w:p>
        </w:tc>
      </w:tr>
      <w:tr w:rsidR="007C5447">
        <w:trPr>
          <w:trHeight w:val="345"/>
        </w:trPr>
        <w:tc>
          <w:tcPr>
            <w:tcW w:w="638" w:type="dxa"/>
          </w:tcPr>
          <w:p w:rsidR="007C5447" w:rsidRDefault="007C5447">
            <w:pPr>
              <w:pStyle w:val="TableParagraph"/>
              <w:jc w:val="left"/>
              <w:rPr>
                <w:sz w:val="18"/>
              </w:rPr>
            </w:pPr>
          </w:p>
        </w:tc>
        <w:tc>
          <w:tcPr>
            <w:tcW w:w="3144" w:type="dxa"/>
          </w:tcPr>
          <w:p w:rsidR="007C5447" w:rsidRDefault="00F6308C">
            <w:pPr>
              <w:pStyle w:val="TableParagraph"/>
              <w:spacing w:before="69"/>
              <w:ind w:left="108"/>
              <w:jc w:val="left"/>
              <w:rPr>
                <w:sz w:val="18"/>
              </w:rPr>
            </w:pPr>
            <w:r>
              <w:rPr>
                <w:sz w:val="18"/>
              </w:rPr>
              <w:t>Less: Revenue from wheeling</w:t>
            </w:r>
          </w:p>
        </w:tc>
        <w:tc>
          <w:tcPr>
            <w:tcW w:w="1003" w:type="dxa"/>
          </w:tcPr>
          <w:p w:rsidR="007C5447" w:rsidRDefault="00F6308C">
            <w:pPr>
              <w:pStyle w:val="TableParagraph"/>
              <w:spacing w:before="69"/>
              <w:ind w:right="181"/>
              <w:rPr>
                <w:sz w:val="18"/>
              </w:rPr>
            </w:pPr>
            <w:r>
              <w:rPr>
                <w:w w:val="99"/>
                <w:sz w:val="18"/>
              </w:rPr>
              <w:t>-</w:t>
            </w:r>
          </w:p>
        </w:tc>
        <w:tc>
          <w:tcPr>
            <w:tcW w:w="1257" w:type="dxa"/>
          </w:tcPr>
          <w:p w:rsidR="007C5447" w:rsidRDefault="00F6308C">
            <w:pPr>
              <w:pStyle w:val="TableParagraph"/>
              <w:spacing w:before="69"/>
              <w:ind w:right="182"/>
              <w:rPr>
                <w:sz w:val="18"/>
              </w:rPr>
            </w:pPr>
            <w:r>
              <w:rPr>
                <w:w w:val="99"/>
                <w:sz w:val="18"/>
              </w:rPr>
              <w:t>-</w:t>
            </w:r>
          </w:p>
        </w:tc>
        <w:tc>
          <w:tcPr>
            <w:tcW w:w="1403" w:type="dxa"/>
          </w:tcPr>
          <w:p w:rsidR="007C5447" w:rsidRDefault="00F6308C">
            <w:pPr>
              <w:pStyle w:val="TableParagraph"/>
              <w:spacing w:before="69"/>
              <w:ind w:right="183"/>
              <w:rPr>
                <w:sz w:val="18"/>
              </w:rPr>
            </w:pPr>
            <w:r>
              <w:rPr>
                <w:sz w:val="18"/>
              </w:rPr>
              <w:t>2,476.00</w:t>
            </w:r>
          </w:p>
        </w:tc>
        <w:tc>
          <w:tcPr>
            <w:tcW w:w="1003" w:type="dxa"/>
          </w:tcPr>
          <w:p w:rsidR="007C5447" w:rsidRDefault="00F6308C">
            <w:pPr>
              <w:pStyle w:val="TableParagraph"/>
              <w:spacing w:before="69"/>
              <w:ind w:right="181"/>
              <w:rPr>
                <w:sz w:val="18"/>
              </w:rPr>
            </w:pPr>
            <w:r>
              <w:rPr>
                <w:w w:val="99"/>
                <w:sz w:val="18"/>
              </w:rPr>
              <w:t>-</w:t>
            </w:r>
          </w:p>
        </w:tc>
        <w:tc>
          <w:tcPr>
            <w:tcW w:w="1257" w:type="dxa"/>
          </w:tcPr>
          <w:p w:rsidR="007C5447" w:rsidRDefault="00F6308C">
            <w:pPr>
              <w:pStyle w:val="TableParagraph"/>
              <w:spacing w:before="69"/>
              <w:ind w:right="180"/>
              <w:rPr>
                <w:sz w:val="18"/>
              </w:rPr>
            </w:pPr>
            <w:r>
              <w:rPr>
                <w:w w:val="99"/>
                <w:sz w:val="18"/>
              </w:rPr>
              <w:t>-</w:t>
            </w:r>
          </w:p>
        </w:tc>
        <w:tc>
          <w:tcPr>
            <w:tcW w:w="1401" w:type="dxa"/>
          </w:tcPr>
          <w:p w:rsidR="007C5447" w:rsidRDefault="00F6308C">
            <w:pPr>
              <w:pStyle w:val="TableParagraph"/>
              <w:spacing w:before="69"/>
              <w:ind w:right="179"/>
              <w:rPr>
                <w:sz w:val="18"/>
              </w:rPr>
            </w:pPr>
            <w:r>
              <w:rPr>
                <w:sz w:val="18"/>
              </w:rPr>
              <w:t>5,536.00</w:t>
            </w:r>
          </w:p>
        </w:tc>
        <w:tc>
          <w:tcPr>
            <w:tcW w:w="1006" w:type="dxa"/>
          </w:tcPr>
          <w:p w:rsidR="007C5447" w:rsidRDefault="00F6308C">
            <w:pPr>
              <w:pStyle w:val="TableParagraph"/>
              <w:spacing w:before="69"/>
              <w:ind w:right="179"/>
              <w:rPr>
                <w:sz w:val="18"/>
              </w:rPr>
            </w:pPr>
            <w:r>
              <w:rPr>
                <w:w w:val="99"/>
                <w:sz w:val="18"/>
              </w:rPr>
              <w:t>-</w:t>
            </w:r>
          </w:p>
        </w:tc>
        <w:tc>
          <w:tcPr>
            <w:tcW w:w="1255" w:type="dxa"/>
          </w:tcPr>
          <w:p w:rsidR="007C5447" w:rsidRDefault="00F6308C">
            <w:pPr>
              <w:pStyle w:val="TableParagraph"/>
              <w:spacing w:before="69"/>
              <w:ind w:right="179"/>
              <w:rPr>
                <w:sz w:val="18"/>
              </w:rPr>
            </w:pPr>
            <w:r>
              <w:rPr>
                <w:w w:val="99"/>
                <w:sz w:val="18"/>
              </w:rPr>
              <w:t>-</w:t>
            </w:r>
          </w:p>
        </w:tc>
        <w:tc>
          <w:tcPr>
            <w:tcW w:w="1404" w:type="dxa"/>
          </w:tcPr>
          <w:p w:rsidR="007C5447" w:rsidRDefault="00F6308C">
            <w:pPr>
              <w:pStyle w:val="TableParagraph"/>
              <w:spacing w:before="69"/>
              <w:ind w:right="181"/>
              <w:rPr>
                <w:sz w:val="18"/>
              </w:rPr>
            </w:pPr>
            <w:r>
              <w:rPr>
                <w:sz w:val="18"/>
              </w:rPr>
              <w:t>6,137.00</w:t>
            </w:r>
          </w:p>
        </w:tc>
      </w:tr>
      <w:tr w:rsidR="007C5447">
        <w:trPr>
          <w:trHeight w:val="347"/>
        </w:trPr>
        <w:tc>
          <w:tcPr>
            <w:tcW w:w="638" w:type="dxa"/>
          </w:tcPr>
          <w:p w:rsidR="007C5447" w:rsidRDefault="007C5447">
            <w:pPr>
              <w:pStyle w:val="TableParagraph"/>
              <w:jc w:val="left"/>
              <w:rPr>
                <w:sz w:val="18"/>
              </w:rPr>
            </w:pPr>
          </w:p>
        </w:tc>
        <w:tc>
          <w:tcPr>
            <w:tcW w:w="3144" w:type="dxa"/>
          </w:tcPr>
          <w:p w:rsidR="007C5447" w:rsidRDefault="00F6308C">
            <w:pPr>
              <w:pStyle w:val="TableParagraph"/>
              <w:spacing w:before="69"/>
              <w:ind w:left="108"/>
              <w:jc w:val="left"/>
              <w:rPr>
                <w:b/>
                <w:sz w:val="18"/>
              </w:rPr>
            </w:pPr>
            <w:r>
              <w:rPr>
                <w:b/>
                <w:sz w:val="18"/>
              </w:rPr>
              <w:t>Total revenue from sales</w:t>
            </w:r>
          </w:p>
        </w:tc>
        <w:tc>
          <w:tcPr>
            <w:tcW w:w="1003" w:type="dxa"/>
          </w:tcPr>
          <w:p w:rsidR="007C5447" w:rsidRDefault="00F6308C">
            <w:pPr>
              <w:pStyle w:val="TableParagraph"/>
              <w:spacing w:before="69"/>
              <w:ind w:right="183"/>
              <w:rPr>
                <w:b/>
                <w:sz w:val="18"/>
              </w:rPr>
            </w:pPr>
            <w:r>
              <w:rPr>
                <w:b/>
                <w:sz w:val="18"/>
              </w:rPr>
              <w:t>17,404</w:t>
            </w:r>
          </w:p>
        </w:tc>
        <w:tc>
          <w:tcPr>
            <w:tcW w:w="1257" w:type="dxa"/>
          </w:tcPr>
          <w:p w:rsidR="007C5447" w:rsidRDefault="00F6308C">
            <w:pPr>
              <w:pStyle w:val="TableParagraph"/>
              <w:spacing w:before="69"/>
              <w:ind w:right="184"/>
              <w:rPr>
                <w:b/>
                <w:sz w:val="18"/>
              </w:rPr>
            </w:pPr>
            <w:r>
              <w:rPr>
                <w:b/>
                <w:sz w:val="18"/>
              </w:rPr>
              <w:t>17,527</w:t>
            </w:r>
          </w:p>
        </w:tc>
        <w:tc>
          <w:tcPr>
            <w:tcW w:w="1403" w:type="dxa"/>
          </w:tcPr>
          <w:p w:rsidR="007C5447" w:rsidRDefault="00F6308C">
            <w:pPr>
              <w:pStyle w:val="TableParagraph"/>
              <w:spacing w:before="69"/>
              <w:ind w:right="183"/>
              <w:rPr>
                <w:b/>
                <w:sz w:val="18"/>
              </w:rPr>
            </w:pPr>
            <w:r>
              <w:rPr>
                <w:b/>
                <w:sz w:val="18"/>
              </w:rPr>
              <w:t>17,404.05</w:t>
            </w:r>
          </w:p>
        </w:tc>
        <w:tc>
          <w:tcPr>
            <w:tcW w:w="1003" w:type="dxa"/>
          </w:tcPr>
          <w:p w:rsidR="007C5447" w:rsidRDefault="00F6308C">
            <w:pPr>
              <w:pStyle w:val="TableParagraph"/>
              <w:spacing w:before="69"/>
              <w:ind w:right="183"/>
              <w:rPr>
                <w:b/>
                <w:sz w:val="18"/>
              </w:rPr>
            </w:pPr>
            <w:r>
              <w:rPr>
                <w:b/>
                <w:sz w:val="18"/>
              </w:rPr>
              <w:t>20,870</w:t>
            </w:r>
          </w:p>
        </w:tc>
        <w:tc>
          <w:tcPr>
            <w:tcW w:w="1257" w:type="dxa"/>
          </w:tcPr>
          <w:p w:rsidR="007C5447" w:rsidRDefault="00F6308C">
            <w:pPr>
              <w:pStyle w:val="TableParagraph"/>
              <w:spacing w:before="69"/>
              <w:ind w:right="182"/>
              <w:rPr>
                <w:b/>
                <w:sz w:val="18"/>
              </w:rPr>
            </w:pPr>
            <w:r>
              <w:rPr>
                <w:b/>
                <w:sz w:val="18"/>
              </w:rPr>
              <w:t>20,217</w:t>
            </w:r>
          </w:p>
        </w:tc>
        <w:tc>
          <w:tcPr>
            <w:tcW w:w="1401" w:type="dxa"/>
          </w:tcPr>
          <w:p w:rsidR="007C5447" w:rsidRDefault="00F6308C">
            <w:pPr>
              <w:pStyle w:val="TableParagraph"/>
              <w:spacing w:before="69"/>
              <w:ind w:right="179"/>
              <w:rPr>
                <w:b/>
                <w:sz w:val="18"/>
              </w:rPr>
            </w:pPr>
            <w:r>
              <w:rPr>
                <w:b/>
                <w:sz w:val="18"/>
              </w:rPr>
              <w:t>20,085.19</w:t>
            </w:r>
          </w:p>
        </w:tc>
        <w:tc>
          <w:tcPr>
            <w:tcW w:w="1006" w:type="dxa"/>
          </w:tcPr>
          <w:p w:rsidR="007C5447" w:rsidRDefault="00F6308C">
            <w:pPr>
              <w:pStyle w:val="TableParagraph"/>
              <w:spacing w:before="69"/>
              <w:ind w:right="182"/>
              <w:rPr>
                <w:b/>
                <w:sz w:val="18"/>
              </w:rPr>
            </w:pPr>
            <w:r>
              <w:rPr>
                <w:b/>
                <w:sz w:val="18"/>
              </w:rPr>
              <w:t>24,986</w:t>
            </w:r>
          </w:p>
        </w:tc>
        <w:tc>
          <w:tcPr>
            <w:tcW w:w="1255" w:type="dxa"/>
          </w:tcPr>
          <w:p w:rsidR="007C5447" w:rsidRDefault="00F6308C">
            <w:pPr>
              <w:pStyle w:val="TableParagraph"/>
              <w:spacing w:before="69"/>
              <w:ind w:right="181"/>
              <w:rPr>
                <w:b/>
                <w:sz w:val="18"/>
              </w:rPr>
            </w:pPr>
            <w:r>
              <w:rPr>
                <w:b/>
                <w:sz w:val="18"/>
              </w:rPr>
              <w:t>24,259</w:t>
            </w:r>
          </w:p>
        </w:tc>
        <w:tc>
          <w:tcPr>
            <w:tcW w:w="1404" w:type="dxa"/>
          </w:tcPr>
          <w:p w:rsidR="007C5447" w:rsidRDefault="00F6308C">
            <w:pPr>
              <w:pStyle w:val="TableParagraph"/>
              <w:spacing w:before="69"/>
              <w:ind w:right="181"/>
              <w:rPr>
                <w:b/>
                <w:sz w:val="18"/>
              </w:rPr>
            </w:pPr>
            <w:r>
              <w:rPr>
                <w:b/>
                <w:sz w:val="18"/>
              </w:rPr>
              <w:t>24,174.21</w:t>
            </w:r>
          </w:p>
        </w:tc>
      </w:tr>
    </w:tbl>
    <w:p w:rsidR="007C5447" w:rsidRDefault="007C5447">
      <w:pPr>
        <w:pStyle w:val="BodyText"/>
        <w:rPr>
          <w:b/>
          <w:sz w:val="13"/>
        </w:rPr>
      </w:pPr>
    </w:p>
    <w:p w:rsidR="007C5447" w:rsidRDefault="00F6308C">
      <w:pPr>
        <w:spacing w:before="91"/>
        <w:ind w:left="407"/>
        <w:rPr>
          <w:b/>
          <w:sz w:val="20"/>
        </w:rPr>
      </w:pPr>
      <w:r>
        <w:rPr>
          <w:b/>
          <w:sz w:val="20"/>
        </w:rPr>
        <w:t>*Revenue approved in Suo-Motu Order and as submitted by TANGEDCO is after excluding revenue from wheeling units</w:t>
      </w:r>
    </w:p>
    <w:p w:rsidR="007C5447" w:rsidRDefault="007C5447">
      <w:pPr>
        <w:pStyle w:val="BodyText"/>
        <w:spacing w:before="4"/>
        <w:rPr>
          <w:b/>
          <w:sz w:val="26"/>
        </w:rPr>
      </w:pPr>
    </w:p>
    <w:p w:rsidR="007C5447" w:rsidRDefault="00F6308C">
      <w:pPr>
        <w:ind w:left="407"/>
        <w:rPr>
          <w:b/>
          <w:sz w:val="20"/>
        </w:rPr>
      </w:pPr>
      <w:r>
        <w:rPr>
          <w:b/>
          <w:position w:val="7"/>
          <w:sz w:val="13"/>
        </w:rPr>
        <w:t>#</w:t>
      </w:r>
      <w:r>
        <w:rPr>
          <w:b/>
          <w:sz w:val="20"/>
        </w:rPr>
        <w:t>Including Revenue from Wheeling, which has been subtracted at the end of the table from the Total Revenue</w:t>
      </w:r>
    </w:p>
    <w:p w:rsidR="007C5447" w:rsidRDefault="007C5447">
      <w:pPr>
        <w:rPr>
          <w:sz w:val="20"/>
        </w:rPr>
        <w:sectPr w:rsidR="007C5447">
          <w:pgSz w:w="16840" w:h="11910" w:orient="landscape"/>
          <w:pgMar w:top="1100" w:right="1140" w:bottom="1240" w:left="620" w:header="0" w:footer="1057" w:gutter="0"/>
          <w:cols w:space="720"/>
        </w:sectPr>
      </w:pPr>
    </w:p>
    <w:p w:rsidR="007C5447" w:rsidRDefault="007C5447">
      <w:pPr>
        <w:pStyle w:val="BodyText"/>
        <w:spacing w:before="2"/>
        <w:rPr>
          <w:b/>
          <w:sz w:val="21"/>
        </w:rPr>
      </w:pPr>
    </w:p>
    <w:p w:rsidR="007C5447" w:rsidRDefault="00F6308C">
      <w:pPr>
        <w:spacing w:before="91"/>
        <w:ind w:left="2560"/>
        <w:rPr>
          <w:b/>
        </w:rPr>
      </w:pPr>
      <w:r>
        <w:rPr>
          <w:b/>
        </w:rPr>
        <w:t>Table 3-74: Rev</w:t>
      </w:r>
      <w:r>
        <w:rPr>
          <w:b/>
        </w:rPr>
        <w:t>enue from Sales approved by the Commission after true-up for FY 2014-15 and FY 2015-16 (Rs. Crore)</w:t>
      </w:r>
    </w:p>
    <w:p w:rsidR="007C5447" w:rsidRDefault="007C5447">
      <w:pPr>
        <w:pStyle w:val="BodyText"/>
        <w:spacing w:before="11"/>
        <w:rPr>
          <w:b/>
          <w:sz w:val="16"/>
        </w:rPr>
      </w:pPr>
    </w:p>
    <w:tbl>
      <w:tblPr>
        <w:tblW w:w="0" w:type="auto"/>
        <w:tblInd w:w="1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4321"/>
        <w:gridCol w:w="2206"/>
        <w:gridCol w:w="2143"/>
        <w:gridCol w:w="2206"/>
        <w:gridCol w:w="2119"/>
      </w:tblGrid>
      <w:tr w:rsidR="007C5447">
        <w:trPr>
          <w:trHeight w:val="381"/>
        </w:trPr>
        <w:tc>
          <w:tcPr>
            <w:tcW w:w="5029" w:type="dxa"/>
            <w:gridSpan w:val="2"/>
            <w:vMerge w:val="restart"/>
            <w:shd w:val="clear" w:color="auto" w:fill="FBD4B4"/>
          </w:tcPr>
          <w:p w:rsidR="007C5447" w:rsidRDefault="007C5447">
            <w:pPr>
              <w:pStyle w:val="TableParagraph"/>
              <w:jc w:val="left"/>
              <w:rPr>
                <w:b/>
                <w:sz w:val="25"/>
              </w:rPr>
            </w:pPr>
          </w:p>
          <w:p w:rsidR="007C5447" w:rsidRDefault="00F6308C">
            <w:pPr>
              <w:pStyle w:val="TableParagraph"/>
              <w:spacing w:before="1"/>
              <w:ind w:left="1646"/>
              <w:jc w:val="left"/>
              <w:rPr>
                <w:b/>
                <w:sz w:val="20"/>
              </w:rPr>
            </w:pPr>
            <w:r>
              <w:rPr>
                <w:b/>
                <w:sz w:val="20"/>
              </w:rPr>
              <w:t>Consumer Category</w:t>
            </w:r>
          </w:p>
        </w:tc>
        <w:tc>
          <w:tcPr>
            <w:tcW w:w="4349" w:type="dxa"/>
            <w:gridSpan w:val="2"/>
            <w:shd w:val="clear" w:color="auto" w:fill="FBD4B4"/>
          </w:tcPr>
          <w:p w:rsidR="007C5447" w:rsidRDefault="00F6308C">
            <w:pPr>
              <w:pStyle w:val="TableParagraph"/>
              <w:spacing w:before="77"/>
              <w:ind w:left="1643" w:right="1632"/>
              <w:jc w:val="center"/>
              <w:rPr>
                <w:b/>
                <w:sz w:val="20"/>
              </w:rPr>
            </w:pPr>
            <w:r>
              <w:rPr>
                <w:b/>
                <w:sz w:val="20"/>
              </w:rPr>
              <w:t>FY 2014-15</w:t>
            </w:r>
          </w:p>
        </w:tc>
        <w:tc>
          <w:tcPr>
            <w:tcW w:w="4325" w:type="dxa"/>
            <w:gridSpan w:val="2"/>
            <w:shd w:val="clear" w:color="auto" w:fill="FBD4B4"/>
          </w:tcPr>
          <w:p w:rsidR="007C5447" w:rsidRDefault="00F6308C">
            <w:pPr>
              <w:pStyle w:val="TableParagraph"/>
              <w:spacing w:before="77"/>
              <w:ind w:left="1649" w:right="1642"/>
              <w:jc w:val="center"/>
              <w:rPr>
                <w:b/>
                <w:sz w:val="20"/>
              </w:rPr>
            </w:pPr>
            <w:r>
              <w:rPr>
                <w:b/>
                <w:sz w:val="20"/>
              </w:rPr>
              <w:t>FY 2015-16</w:t>
            </w:r>
          </w:p>
        </w:tc>
      </w:tr>
      <w:tr w:rsidR="007C5447">
        <w:trPr>
          <w:trHeight w:val="414"/>
        </w:trPr>
        <w:tc>
          <w:tcPr>
            <w:tcW w:w="5029" w:type="dxa"/>
            <w:gridSpan w:val="2"/>
            <w:vMerge/>
            <w:tcBorders>
              <w:top w:val="nil"/>
            </w:tcBorders>
            <w:shd w:val="clear" w:color="auto" w:fill="FBD4B4"/>
          </w:tcPr>
          <w:p w:rsidR="007C5447" w:rsidRDefault="007C5447">
            <w:pPr>
              <w:rPr>
                <w:sz w:val="2"/>
                <w:szCs w:val="2"/>
              </w:rPr>
            </w:pPr>
          </w:p>
        </w:tc>
        <w:tc>
          <w:tcPr>
            <w:tcW w:w="2206" w:type="dxa"/>
            <w:shd w:val="clear" w:color="auto" w:fill="FBD4B4"/>
          </w:tcPr>
          <w:p w:rsidR="007C5447" w:rsidRDefault="00F6308C">
            <w:pPr>
              <w:pStyle w:val="TableParagraph"/>
              <w:spacing w:before="94"/>
              <w:ind w:left="522"/>
              <w:jc w:val="left"/>
              <w:rPr>
                <w:b/>
                <w:sz w:val="20"/>
              </w:rPr>
            </w:pPr>
            <w:r>
              <w:rPr>
                <w:b/>
                <w:sz w:val="20"/>
              </w:rPr>
              <w:t>TANGEDCO</w:t>
            </w:r>
          </w:p>
        </w:tc>
        <w:tc>
          <w:tcPr>
            <w:tcW w:w="2143" w:type="dxa"/>
            <w:shd w:val="clear" w:color="auto" w:fill="FBD4B4"/>
          </w:tcPr>
          <w:p w:rsidR="007C5447" w:rsidRDefault="00F6308C">
            <w:pPr>
              <w:pStyle w:val="TableParagraph"/>
              <w:spacing w:before="105"/>
              <w:ind w:left="174"/>
              <w:jc w:val="left"/>
              <w:rPr>
                <w:b/>
                <w:sz w:val="18"/>
              </w:rPr>
            </w:pPr>
            <w:r>
              <w:rPr>
                <w:b/>
                <w:sz w:val="18"/>
              </w:rPr>
              <w:t>Approved after true up</w:t>
            </w:r>
          </w:p>
        </w:tc>
        <w:tc>
          <w:tcPr>
            <w:tcW w:w="2206" w:type="dxa"/>
            <w:shd w:val="clear" w:color="auto" w:fill="FBD4B4"/>
          </w:tcPr>
          <w:p w:rsidR="007C5447" w:rsidRDefault="00F6308C">
            <w:pPr>
              <w:pStyle w:val="TableParagraph"/>
              <w:spacing w:before="94"/>
              <w:ind w:left="522"/>
              <w:jc w:val="left"/>
              <w:rPr>
                <w:b/>
                <w:sz w:val="20"/>
              </w:rPr>
            </w:pPr>
            <w:r>
              <w:rPr>
                <w:b/>
                <w:sz w:val="20"/>
              </w:rPr>
              <w:t>TANGEDCO</w:t>
            </w:r>
          </w:p>
        </w:tc>
        <w:tc>
          <w:tcPr>
            <w:tcW w:w="2119" w:type="dxa"/>
            <w:shd w:val="clear" w:color="auto" w:fill="FBD4B4"/>
          </w:tcPr>
          <w:p w:rsidR="007C5447" w:rsidRDefault="00F6308C">
            <w:pPr>
              <w:pStyle w:val="TableParagraph"/>
              <w:spacing w:before="105"/>
              <w:ind w:right="153"/>
              <w:rPr>
                <w:b/>
                <w:sz w:val="18"/>
              </w:rPr>
            </w:pPr>
            <w:r>
              <w:rPr>
                <w:b/>
                <w:sz w:val="18"/>
              </w:rPr>
              <w:t>Approved after true up</w:t>
            </w:r>
          </w:p>
        </w:tc>
      </w:tr>
      <w:tr w:rsidR="007C5447">
        <w:trPr>
          <w:trHeight w:val="316"/>
        </w:trPr>
        <w:tc>
          <w:tcPr>
            <w:tcW w:w="708" w:type="dxa"/>
          </w:tcPr>
          <w:p w:rsidR="007C5447" w:rsidRDefault="007C5447">
            <w:pPr>
              <w:pStyle w:val="TableParagraph"/>
              <w:jc w:val="left"/>
              <w:rPr>
                <w:sz w:val="20"/>
              </w:rPr>
            </w:pPr>
          </w:p>
        </w:tc>
        <w:tc>
          <w:tcPr>
            <w:tcW w:w="4321" w:type="dxa"/>
          </w:tcPr>
          <w:p w:rsidR="007C5447" w:rsidRDefault="00F6308C">
            <w:pPr>
              <w:pStyle w:val="TableParagraph"/>
              <w:spacing w:before="43"/>
              <w:ind w:left="107"/>
              <w:jc w:val="left"/>
              <w:rPr>
                <w:b/>
                <w:sz w:val="20"/>
              </w:rPr>
            </w:pPr>
            <w:r>
              <w:rPr>
                <w:b/>
                <w:sz w:val="20"/>
              </w:rPr>
              <w:t>HT Category</w:t>
            </w:r>
          </w:p>
        </w:tc>
        <w:tc>
          <w:tcPr>
            <w:tcW w:w="2206" w:type="dxa"/>
          </w:tcPr>
          <w:p w:rsidR="007C5447" w:rsidRDefault="007C5447">
            <w:pPr>
              <w:pStyle w:val="TableParagraph"/>
              <w:jc w:val="left"/>
              <w:rPr>
                <w:sz w:val="20"/>
              </w:rPr>
            </w:pPr>
          </w:p>
        </w:tc>
        <w:tc>
          <w:tcPr>
            <w:tcW w:w="2143" w:type="dxa"/>
          </w:tcPr>
          <w:p w:rsidR="007C5447" w:rsidRDefault="007C5447">
            <w:pPr>
              <w:pStyle w:val="TableParagraph"/>
              <w:jc w:val="left"/>
              <w:rPr>
                <w:sz w:val="20"/>
              </w:rPr>
            </w:pPr>
          </w:p>
        </w:tc>
        <w:tc>
          <w:tcPr>
            <w:tcW w:w="2206" w:type="dxa"/>
          </w:tcPr>
          <w:p w:rsidR="007C5447" w:rsidRDefault="007C5447">
            <w:pPr>
              <w:pStyle w:val="TableParagraph"/>
              <w:jc w:val="left"/>
              <w:rPr>
                <w:sz w:val="20"/>
              </w:rPr>
            </w:pPr>
          </w:p>
        </w:tc>
        <w:tc>
          <w:tcPr>
            <w:tcW w:w="2119" w:type="dxa"/>
          </w:tcPr>
          <w:p w:rsidR="007C5447" w:rsidRDefault="007C5447">
            <w:pPr>
              <w:pStyle w:val="TableParagraph"/>
              <w:jc w:val="left"/>
              <w:rPr>
                <w:sz w:val="20"/>
              </w:rPr>
            </w:pPr>
          </w:p>
        </w:tc>
      </w:tr>
      <w:tr w:rsidR="007C5447">
        <w:trPr>
          <w:trHeight w:val="316"/>
        </w:trPr>
        <w:tc>
          <w:tcPr>
            <w:tcW w:w="708" w:type="dxa"/>
          </w:tcPr>
          <w:p w:rsidR="007C5447" w:rsidRDefault="00F6308C">
            <w:pPr>
              <w:pStyle w:val="TableParagraph"/>
              <w:spacing w:before="55"/>
              <w:ind w:left="95" w:right="95"/>
              <w:jc w:val="center"/>
              <w:rPr>
                <w:sz w:val="18"/>
              </w:rPr>
            </w:pPr>
            <w:r>
              <w:rPr>
                <w:sz w:val="18"/>
              </w:rPr>
              <w:t>I (A)</w:t>
            </w:r>
          </w:p>
        </w:tc>
        <w:tc>
          <w:tcPr>
            <w:tcW w:w="4321" w:type="dxa"/>
          </w:tcPr>
          <w:p w:rsidR="007C5447" w:rsidRDefault="00F6308C">
            <w:pPr>
              <w:pStyle w:val="TableParagraph"/>
              <w:spacing w:before="43"/>
              <w:ind w:left="107"/>
              <w:jc w:val="left"/>
              <w:rPr>
                <w:sz w:val="20"/>
              </w:rPr>
            </w:pPr>
            <w:r>
              <w:rPr>
                <w:sz w:val="20"/>
              </w:rPr>
              <w:t>HT Industries</w:t>
            </w:r>
          </w:p>
        </w:tc>
        <w:tc>
          <w:tcPr>
            <w:tcW w:w="2206" w:type="dxa"/>
          </w:tcPr>
          <w:p w:rsidR="007C5447" w:rsidRDefault="00F6308C">
            <w:pPr>
              <w:pStyle w:val="TableParagraph"/>
              <w:spacing w:before="43"/>
              <w:ind w:right="98"/>
              <w:rPr>
                <w:sz w:val="20"/>
              </w:rPr>
            </w:pPr>
            <w:r>
              <w:rPr>
                <w:w w:val="95"/>
                <w:sz w:val="20"/>
              </w:rPr>
              <w:t>8,700</w:t>
            </w:r>
          </w:p>
        </w:tc>
        <w:tc>
          <w:tcPr>
            <w:tcW w:w="2143" w:type="dxa"/>
          </w:tcPr>
          <w:p w:rsidR="007C5447" w:rsidRDefault="00F6308C">
            <w:pPr>
              <w:pStyle w:val="TableParagraph"/>
              <w:spacing w:before="43"/>
              <w:ind w:right="94"/>
              <w:rPr>
                <w:sz w:val="12"/>
              </w:rPr>
            </w:pPr>
            <w:r>
              <w:rPr>
                <w:sz w:val="20"/>
              </w:rPr>
              <w:t>14,347</w:t>
            </w:r>
            <w:r>
              <w:rPr>
                <w:position w:val="6"/>
                <w:sz w:val="12"/>
              </w:rPr>
              <w:t>#</w:t>
            </w:r>
          </w:p>
        </w:tc>
        <w:tc>
          <w:tcPr>
            <w:tcW w:w="2206" w:type="dxa"/>
          </w:tcPr>
          <w:p w:rsidR="007C5447" w:rsidRDefault="00F6308C">
            <w:pPr>
              <w:pStyle w:val="TableParagraph"/>
              <w:spacing w:before="43"/>
              <w:ind w:right="98"/>
              <w:rPr>
                <w:sz w:val="20"/>
              </w:rPr>
            </w:pPr>
            <w:r>
              <w:rPr>
                <w:w w:val="95"/>
                <w:sz w:val="20"/>
              </w:rPr>
              <w:t>9,806</w:t>
            </w:r>
          </w:p>
        </w:tc>
        <w:tc>
          <w:tcPr>
            <w:tcW w:w="2119" w:type="dxa"/>
          </w:tcPr>
          <w:p w:rsidR="007C5447" w:rsidRDefault="00F6308C">
            <w:pPr>
              <w:pStyle w:val="TableParagraph"/>
              <w:spacing w:before="43"/>
              <w:ind w:right="96"/>
              <w:rPr>
                <w:sz w:val="12"/>
              </w:rPr>
            </w:pPr>
            <w:r>
              <w:rPr>
                <w:sz w:val="20"/>
              </w:rPr>
              <w:t>16,733</w:t>
            </w:r>
            <w:r>
              <w:rPr>
                <w:position w:val="6"/>
                <w:sz w:val="12"/>
              </w:rPr>
              <w:t>#</w:t>
            </w:r>
          </w:p>
        </w:tc>
      </w:tr>
      <w:tr w:rsidR="007C5447">
        <w:trPr>
          <w:trHeight w:val="316"/>
        </w:trPr>
        <w:tc>
          <w:tcPr>
            <w:tcW w:w="708" w:type="dxa"/>
          </w:tcPr>
          <w:p w:rsidR="007C5447" w:rsidRDefault="00F6308C">
            <w:pPr>
              <w:pStyle w:val="TableParagraph"/>
              <w:spacing w:before="55"/>
              <w:ind w:left="97" w:right="95"/>
              <w:jc w:val="center"/>
              <w:rPr>
                <w:sz w:val="18"/>
              </w:rPr>
            </w:pPr>
            <w:r>
              <w:rPr>
                <w:sz w:val="18"/>
              </w:rPr>
              <w:t>I (B)</w:t>
            </w:r>
          </w:p>
        </w:tc>
        <w:tc>
          <w:tcPr>
            <w:tcW w:w="4321" w:type="dxa"/>
          </w:tcPr>
          <w:p w:rsidR="007C5447" w:rsidRDefault="00F6308C">
            <w:pPr>
              <w:pStyle w:val="TableParagraph"/>
              <w:spacing w:before="43"/>
              <w:ind w:left="107"/>
              <w:jc w:val="left"/>
              <w:rPr>
                <w:sz w:val="20"/>
              </w:rPr>
            </w:pPr>
            <w:r>
              <w:rPr>
                <w:sz w:val="20"/>
              </w:rPr>
              <w:t>Railway Traction</w:t>
            </w:r>
          </w:p>
        </w:tc>
        <w:tc>
          <w:tcPr>
            <w:tcW w:w="2206" w:type="dxa"/>
          </w:tcPr>
          <w:p w:rsidR="007C5447" w:rsidRDefault="00F6308C">
            <w:pPr>
              <w:pStyle w:val="TableParagraph"/>
              <w:spacing w:before="43"/>
              <w:ind w:right="97"/>
              <w:rPr>
                <w:sz w:val="20"/>
              </w:rPr>
            </w:pPr>
            <w:r>
              <w:rPr>
                <w:sz w:val="20"/>
              </w:rPr>
              <w:t>577</w:t>
            </w:r>
          </w:p>
        </w:tc>
        <w:tc>
          <w:tcPr>
            <w:tcW w:w="2143" w:type="dxa"/>
          </w:tcPr>
          <w:p w:rsidR="007C5447" w:rsidRDefault="00F6308C">
            <w:pPr>
              <w:pStyle w:val="TableParagraph"/>
              <w:spacing w:before="43"/>
              <w:ind w:right="94"/>
              <w:rPr>
                <w:sz w:val="20"/>
              </w:rPr>
            </w:pPr>
            <w:r>
              <w:rPr>
                <w:sz w:val="20"/>
              </w:rPr>
              <w:t>577</w:t>
            </w:r>
          </w:p>
        </w:tc>
        <w:tc>
          <w:tcPr>
            <w:tcW w:w="2206" w:type="dxa"/>
          </w:tcPr>
          <w:p w:rsidR="007C5447" w:rsidRDefault="00F6308C">
            <w:pPr>
              <w:pStyle w:val="TableParagraph"/>
              <w:spacing w:before="43"/>
              <w:ind w:right="96"/>
              <w:rPr>
                <w:sz w:val="20"/>
              </w:rPr>
            </w:pPr>
            <w:r>
              <w:rPr>
                <w:sz w:val="20"/>
              </w:rPr>
              <w:t>621</w:t>
            </w:r>
          </w:p>
        </w:tc>
        <w:tc>
          <w:tcPr>
            <w:tcW w:w="2119" w:type="dxa"/>
          </w:tcPr>
          <w:p w:rsidR="007C5447" w:rsidRDefault="00F6308C">
            <w:pPr>
              <w:pStyle w:val="TableParagraph"/>
              <w:spacing w:before="43"/>
              <w:ind w:right="96"/>
              <w:rPr>
                <w:sz w:val="20"/>
              </w:rPr>
            </w:pPr>
            <w:r>
              <w:rPr>
                <w:sz w:val="20"/>
              </w:rPr>
              <w:t>621</w:t>
            </w:r>
          </w:p>
        </w:tc>
      </w:tr>
      <w:tr w:rsidR="007C5447">
        <w:trPr>
          <w:trHeight w:val="412"/>
        </w:trPr>
        <w:tc>
          <w:tcPr>
            <w:tcW w:w="708" w:type="dxa"/>
          </w:tcPr>
          <w:p w:rsidR="007C5447" w:rsidRDefault="00F6308C">
            <w:pPr>
              <w:pStyle w:val="TableParagraph"/>
              <w:spacing w:before="103"/>
              <w:ind w:left="97" w:right="95"/>
              <w:jc w:val="center"/>
              <w:rPr>
                <w:sz w:val="18"/>
              </w:rPr>
            </w:pPr>
            <w:r>
              <w:rPr>
                <w:sz w:val="18"/>
              </w:rPr>
              <w:t>II (A)</w:t>
            </w:r>
          </w:p>
        </w:tc>
        <w:tc>
          <w:tcPr>
            <w:tcW w:w="4321" w:type="dxa"/>
          </w:tcPr>
          <w:p w:rsidR="007C5447" w:rsidRDefault="00F6308C">
            <w:pPr>
              <w:pStyle w:val="TableParagraph"/>
              <w:spacing w:before="92"/>
              <w:ind w:left="107"/>
              <w:jc w:val="left"/>
              <w:rPr>
                <w:sz w:val="20"/>
              </w:rPr>
            </w:pPr>
            <w:r>
              <w:rPr>
                <w:sz w:val="20"/>
              </w:rPr>
              <w:t>Government Educational Institution Etc. (HT)</w:t>
            </w:r>
          </w:p>
        </w:tc>
        <w:tc>
          <w:tcPr>
            <w:tcW w:w="2206" w:type="dxa"/>
          </w:tcPr>
          <w:p w:rsidR="007C5447" w:rsidRDefault="00F6308C">
            <w:pPr>
              <w:pStyle w:val="TableParagraph"/>
              <w:spacing w:before="92"/>
              <w:ind w:right="98"/>
              <w:rPr>
                <w:sz w:val="20"/>
              </w:rPr>
            </w:pPr>
            <w:r>
              <w:rPr>
                <w:sz w:val="20"/>
              </w:rPr>
              <w:t>768</w:t>
            </w:r>
          </w:p>
        </w:tc>
        <w:tc>
          <w:tcPr>
            <w:tcW w:w="2143" w:type="dxa"/>
          </w:tcPr>
          <w:p w:rsidR="007C5447" w:rsidRDefault="00F6308C">
            <w:pPr>
              <w:pStyle w:val="TableParagraph"/>
              <w:spacing w:before="92"/>
              <w:ind w:right="94"/>
              <w:rPr>
                <w:sz w:val="20"/>
              </w:rPr>
            </w:pPr>
            <w:r>
              <w:rPr>
                <w:sz w:val="20"/>
              </w:rPr>
              <w:t>775</w:t>
            </w:r>
          </w:p>
        </w:tc>
        <w:tc>
          <w:tcPr>
            <w:tcW w:w="2206" w:type="dxa"/>
          </w:tcPr>
          <w:p w:rsidR="007C5447" w:rsidRDefault="00F6308C">
            <w:pPr>
              <w:pStyle w:val="TableParagraph"/>
              <w:spacing w:before="92"/>
              <w:ind w:right="98"/>
              <w:rPr>
                <w:sz w:val="20"/>
              </w:rPr>
            </w:pPr>
            <w:r>
              <w:rPr>
                <w:w w:val="95"/>
                <w:sz w:val="20"/>
              </w:rPr>
              <w:t>1,046</w:t>
            </w:r>
          </w:p>
        </w:tc>
        <w:tc>
          <w:tcPr>
            <w:tcW w:w="2119" w:type="dxa"/>
          </w:tcPr>
          <w:p w:rsidR="007C5447" w:rsidRDefault="00F6308C">
            <w:pPr>
              <w:pStyle w:val="TableParagraph"/>
              <w:spacing w:before="92"/>
              <w:ind w:right="97"/>
              <w:rPr>
                <w:sz w:val="20"/>
              </w:rPr>
            </w:pPr>
            <w:r>
              <w:rPr>
                <w:w w:val="95"/>
                <w:sz w:val="20"/>
              </w:rPr>
              <w:t>1,052</w:t>
            </w:r>
          </w:p>
        </w:tc>
      </w:tr>
      <w:tr w:rsidR="007C5447">
        <w:trPr>
          <w:trHeight w:val="316"/>
        </w:trPr>
        <w:tc>
          <w:tcPr>
            <w:tcW w:w="708" w:type="dxa"/>
          </w:tcPr>
          <w:p w:rsidR="007C5447" w:rsidRDefault="00F6308C">
            <w:pPr>
              <w:pStyle w:val="TableParagraph"/>
              <w:spacing w:before="55"/>
              <w:ind w:left="97" w:right="93"/>
              <w:jc w:val="center"/>
              <w:rPr>
                <w:sz w:val="18"/>
              </w:rPr>
            </w:pPr>
            <w:r>
              <w:rPr>
                <w:sz w:val="18"/>
              </w:rPr>
              <w:t>II (B)</w:t>
            </w:r>
          </w:p>
        </w:tc>
        <w:tc>
          <w:tcPr>
            <w:tcW w:w="4321" w:type="dxa"/>
          </w:tcPr>
          <w:p w:rsidR="007C5447" w:rsidRDefault="00F6308C">
            <w:pPr>
              <w:pStyle w:val="TableParagraph"/>
              <w:spacing w:before="43"/>
              <w:ind w:left="107"/>
              <w:jc w:val="left"/>
              <w:rPr>
                <w:sz w:val="20"/>
              </w:rPr>
            </w:pPr>
            <w:r>
              <w:rPr>
                <w:sz w:val="20"/>
              </w:rPr>
              <w:t>Pvt. Educational Institutions etc.</w:t>
            </w:r>
          </w:p>
        </w:tc>
        <w:tc>
          <w:tcPr>
            <w:tcW w:w="2206" w:type="dxa"/>
          </w:tcPr>
          <w:p w:rsidR="007C5447" w:rsidRDefault="00F6308C">
            <w:pPr>
              <w:pStyle w:val="TableParagraph"/>
              <w:spacing w:before="43"/>
              <w:ind w:right="97"/>
              <w:rPr>
                <w:sz w:val="20"/>
              </w:rPr>
            </w:pPr>
            <w:r>
              <w:rPr>
                <w:sz w:val="20"/>
              </w:rPr>
              <w:t>227</w:t>
            </w:r>
          </w:p>
        </w:tc>
        <w:tc>
          <w:tcPr>
            <w:tcW w:w="2143" w:type="dxa"/>
          </w:tcPr>
          <w:p w:rsidR="007C5447" w:rsidRDefault="00F6308C">
            <w:pPr>
              <w:pStyle w:val="TableParagraph"/>
              <w:spacing w:before="43"/>
              <w:ind w:right="94"/>
              <w:rPr>
                <w:sz w:val="20"/>
              </w:rPr>
            </w:pPr>
            <w:r>
              <w:rPr>
                <w:sz w:val="20"/>
              </w:rPr>
              <w:t>227</w:t>
            </w:r>
          </w:p>
        </w:tc>
        <w:tc>
          <w:tcPr>
            <w:tcW w:w="2206" w:type="dxa"/>
          </w:tcPr>
          <w:p w:rsidR="007C5447" w:rsidRDefault="00F6308C">
            <w:pPr>
              <w:pStyle w:val="TableParagraph"/>
              <w:spacing w:before="43"/>
              <w:ind w:right="96"/>
              <w:rPr>
                <w:sz w:val="20"/>
              </w:rPr>
            </w:pPr>
            <w:r>
              <w:rPr>
                <w:sz w:val="20"/>
              </w:rPr>
              <w:t>267</w:t>
            </w:r>
          </w:p>
        </w:tc>
        <w:tc>
          <w:tcPr>
            <w:tcW w:w="2119" w:type="dxa"/>
          </w:tcPr>
          <w:p w:rsidR="007C5447" w:rsidRDefault="00F6308C">
            <w:pPr>
              <w:pStyle w:val="TableParagraph"/>
              <w:spacing w:before="43"/>
              <w:ind w:right="96"/>
              <w:rPr>
                <w:sz w:val="20"/>
              </w:rPr>
            </w:pPr>
            <w:r>
              <w:rPr>
                <w:sz w:val="20"/>
              </w:rPr>
              <w:t>267</w:t>
            </w:r>
          </w:p>
        </w:tc>
      </w:tr>
      <w:tr w:rsidR="007C5447">
        <w:trPr>
          <w:trHeight w:val="313"/>
        </w:trPr>
        <w:tc>
          <w:tcPr>
            <w:tcW w:w="708" w:type="dxa"/>
          </w:tcPr>
          <w:p w:rsidR="007C5447" w:rsidRDefault="00F6308C">
            <w:pPr>
              <w:pStyle w:val="TableParagraph"/>
              <w:spacing w:before="52"/>
              <w:ind w:left="97" w:right="93"/>
              <w:jc w:val="center"/>
              <w:rPr>
                <w:sz w:val="18"/>
              </w:rPr>
            </w:pPr>
            <w:r>
              <w:rPr>
                <w:sz w:val="18"/>
              </w:rPr>
              <w:t>II (C)</w:t>
            </w:r>
          </w:p>
        </w:tc>
        <w:tc>
          <w:tcPr>
            <w:tcW w:w="4321" w:type="dxa"/>
          </w:tcPr>
          <w:p w:rsidR="007C5447" w:rsidRDefault="00F6308C">
            <w:pPr>
              <w:pStyle w:val="TableParagraph"/>
              <w:spacing w:before="43"/>
              <w:ind w:left="107"/>
              <w:jc w:val="left"/>
              <w:rPr>
                <w:sz w:val="20"/>
              </w:rPr>
            </w:pPr>
            <w:r>
              <w:rPr>
                <w:sz w:val="20"/>
              </w:rPr>
              <w:t>Places of Public Worship</w:t>
            </w:r>
          </w:p>
        </w:tc>
        <w:tc>
          <w:tcPr>
            <w:tcW w:w="2206" w:type="dxa"/>
          </w:tcPr>
          <w:p w:rsidR="007C5447" w:rsidRDefault="00F6308C">
            <w:pPr>
              <w:pStyle w:val="TableParagraph"/>
              <w:spacing w:before="43"/>
              <w:ind w:right="95"/>
              <w:rPr>
                <w:sz w:val="20"/>
              </w:rPr>
            </w:pPr>
            <w:r>
              <w:rPr>
                <w:w w:val="99"/>
                <w:sz w:val="20"/>
              </w:rPr>
              <w:t>-</w:t>
            </w:r>
          </w:p>
        </w:tc>
        <w:tc>
          <w:tcPr>
            <w:tcW w:w="2143" w:type="dxa"/>
          </w:tcPr>
          <w:p w:rsidR="007C5447" w:rsidRDefault="00F6308C">
            <w:pPr>
              <w:pStyle w:val="TableParagraph"/>
              <w:spacing w:before="43"/>
              <w:ind w:right="92"/>
              <w:rPr>
                <w:sz w:val="20"/>
              </w:rPr>
            </w:pPr>
            <w:r>
              <w:rPr>
                <w:w w:val="99"/>
                <w:sz w:val="20"/>
              </w:rPr>
              <w:t>-</w:t>
            </w:r>
          </w:p>
        </w:tc>
        <w:tc>
          <w:tcPr>
            <w:tcW w:w="2206" w:type="dxa"/>
          </w:tcPr>
          <w:p w:rsidR="007C5447" w:rsidRDefault="00F6308C">
            <w:pPr>
              <w:pStyle w:val="TableParagraph"/>
              <w:spacing w:before="43"/>
              <w:ind w:right="94"/>
              <w:rPr>
                <w:sz w:val="20"/>
              </w:rPr>
            </w:pPr>
            <w:r>
              <w:rPr>
                <w:w w:val="99"/>
                <w:sz w:val="20"/>
              </w:rPr>
              <w:t>-</w:t>
            </w:r>
          </w:p>
        </w:tc>
        <w:tc>
          <w:tcPr>
            <w:tcW w:w="2119" w:type="dxa"/>
          </w:tcPr>
          <w:p w:rsidR="007C5447" w:rsidRDefault="00F6308C">
            <w:pPr>
              <w:pStyle w:val="TableParagraph"/>
              <w:spacing w:before="43"/>
              <w:ind w:right="94"/>
              <w:rPr>
                <w:sz w:val="20"/>
              </w:rPr>
            </w:pPr>
            <w:r>
              <w:rPr>
                <w:w w:val="99"/>
                <w:sz w:val="20"/>
              </w:rPr>
              <w:t>-</w:t>
            </w:r>
          </w:p>
        </w:tc>
      </w:tr>
      <w:tr w:rsidR="007C5447">
        <w:trPr>
          <w:trHeight w:val="316"/>
        </w:trPr>
        <w:tc>
          <w:tcPr>
            <w:tcW w:w="708" w:type="dxa"/>
          </w:tcPr>
          <w:p w:rsidR="007C5447" w:rsidRDefault="00F6308C">
            <w:pPr>
              <w:pStyle w:val="TableParagraph"/>
              <w:spacing w:before="55"/>
              <w:ind w:left="97" w:right="93"/>
              <w:jc w:val="center"/>
              <w:rPr>
                <w:sz w:val="18"/>
              </w:rPr>
            </w:pPr>
            <w:r>
              <w:rPr>
                <w:sz w:val="18"/>
              </w:rPr>
              <w:t>III</w:t>
            </w:r>
          </w:p>
        </w:tc>
        <w:tc>
          <w:tcPr>
            <w:tcW w:w="4321" w:type="dxa"/>
          </w:tcPr>
          <w:p w:rsidR="007C5447" w:rsidRDefault="00F6308C">
            <w:pPr>
              <w:pStyle w:val="TableParagraph"/>
              <w:spacing w:before="43"/>
              <w:ind w:left="107"/>
              <w:jc w:val="left"/>
              <w:rPr>
                <w:sz w:val="20"/>
              </w:rPr>
            </w:pPr>
            <w:r>
              <w:rPr>
                <w:sz w:val="20"/>
              </w:rPr>
              <w:t>Commercial and Other HT</w:t>
            </w:r>
          </w:p>
        </w:tc>
        <w:tc>
          <w:tcPr>
            <w:tcW w:w="2206" w:type="dxa"/>
          </w:tcPr>
          <w:p w:rsidR="007C5447" w:rsidRDefault="00F6308C">
            <w:pPr>
              <w:pStyle w:val="TableParagraph"/>
              <w:spacing w:before="43"/>
              <w:ind w:right="98"/>
              <w:rPr>
                <w:sz w:val="20"/>
              </w:rPr>
            </w:pPr>
            <w:r>
              <w:rPr>
                <w:w w:val="95"/>
                <w:sz w:val="20"/>
              </w:rPr>
              <w:t>1,542</w:t>
            </w:r>
          </w:p>
        </w:tc>
        <w:tc>
          <w:tcPr>
            <w:tcW w:w="2143" w:type="dxa"/>
          </w:tcPr>
          <w:p w:rsidR="007C5447" w:rsidRDefault="00F6308C">
            <w:pPr>
              <w:pStyle w:val="TableParagraph"/>
              <w:spacing w:before="43"/>
              <w:ind w:right="95"/>
              <w:rPr>
                <w:sz w:val="20"/>
              </w:rPr>
            </w:pPr>
            <w:r>
              <w:rPr>
                <w:w w:val="95"/>
                <w:sz w:val="20"/>
              </w:rPr>
              <w:t>1,952</w:t>
            </w:r>
          </w:p>
        </w:tc>
        <w:tc>
          <w:tcPr>
            <w:tcW w:w="2206" w:type="dxa"/>
          </w:tcPr>
          <w:p w:rsidR="007C5447" w:rsidRDefault="00F6308C">
            <w:pPr>
              <w:pStyle w:val="TableParagraph"/>
              <w:spacing w:before="43"/>
              <w:ind w:right="98"/>
              <w:rPr>
                <w:sz w:val="20"/>
              </w:rPr>
            </w:pPr>
            <w:r>
              <w:rPr>
                <w:w w:val="95"/>
                <w:sz w:val="20"/>
              </w:rPr>
              <w:t>1,986</w:t>
            </w:r>
          </w:p>
        </w:tc>
        <w:tc>
          <w:tcPr>
            <w:tcW w:w="2119" w:type="dxa"/>
          </w:tcPr>
          <w:p w:rsidR="007C5447" w:rsidRDefault="00F6308C">
            <w:pPr>
              <w:pStyle w:val="TableParagraph"/>
              <w:spacing w:before="43"/>
              <w:ind w:right="97"/>
              <w:rPr>
                <w:sz w:val="20"/>
              </w:rPr>
            </w:pPr>
            <w:r>
              <w:rPr>
                <w:w w:val="95"/>
                <w:sz w:val="20"/>
              </w:rPr>
              <w:t>2,407</w:t>
            </w:r>
          </w:p>
        </w:tc>
      </w:tr>
      <w:tr w:rsidR="007C5447">
        <w:trPr>
          <w:trHeight w:val="316"/>
        </w:trPr>
        <w:tc>
          <w:tcPr>
            <w:tcW w:w="708" w:type="dxa"/>
          </w:tcPr>
          <w:p w:rsidR="007C5447" w:rsidRDefault="00F6308C">
            <w:pPr>
              <w:pStyle w:val="TableParagraph"/>
              <w:spacing w:before="55"/>
              <w:ind w:left="97" w:right="92"/>
              <w:jc w:val="center"/>
              <w:rPr>
                <w:sz w:val="18"/>
              </w:rPr>
            </w:pPr>
            <w:r>
              <w:rPr>
                <w:sz w:val="18"/>
              </w:rPr>
              <w:t>IV</w:t>
            </w:r>
          </w:p>
        </w:tc>
        <w:tc>
          <w:tcPr>
            <w:tcW w:w="4321" w:type="dxa"/>
          </w:tcPr>
          <w:p w:rsidR="007C5447" w:rsidRDefault="00F6308C">
            <w:pPr>
              <w:pStyle w:val="TableParagraph"/>
              <w:spacing w:before="43"/>
              <w:ind w:left="107"/>
              <w:jc w:val="left"/>
              <w:rPr>
                <w:sz w:val="20"/>
              </w:rPr>
            </w:pPr>
            <w:r>
              <w:rPr>
                <w:sz w:val="20"/>
              </w:rPr>
              <w:t>Lift Irrigation and co-ops (HT)</w:t>
            </w:r>
          </w:p>
        </w:tc>
        <w:tc>
          <w:tcPr>
            <w:tcW w:w="2206" w:type="dxa"/>
          </w:tcPr>
          <w:p w:rsidR="007C5447" w:rsidRDefault="00F6308C">
            <w:pPr>
              <w:pStyle w:val="TableParagraph"/>
              <w:spacing w:before="43"/>
              <w:ind w:right="95"/>
              <w:rPr>
                <w:sz w:val="20"/>
              </w:rPr>
            </w:pPr>
            <w:r>
              <w:rPr>
                <w:w w:val="99"/>
                <w:sz w:val="20"/>
              </w:rPr>
              <w:t>-</w:t>
            </w:r>
          </w:p>
        </w:tc>
        <w:tc>
          <w:tcPr>
            <w:tcW w:w="2143" w:type="dxa"/>
          </w:tcPr>
          <w:p w:rsidR="007C5447" w:rsidRDefault="00F6308C">
            <w:pPr>
              <w:pStyle w:val="TableParagraph"/>
              <w:spacing w:before="43"/>
              <w:ind w:right="92"/>
              <w:rPr>
                <w:sz w:val="20"/>
              </w:rPr>
            </w:pPr>
            <w:r>
              <w:rPr>
                <w:w w:val="99"/>
                <w:sz w:val="20"/>
              </w:rPr>
              <w:t>-</w:t>
            </w:r>
          </w:p>
        </w:tc>
        <w:tc>
          <w:tcPr>
            <w:tcW w:w="2206" w:type="dxa"/>
          </w:tcPr>
          <w:p w:rsidR="007C5447" w:rsidRDefault="00F6308C">
            <w:pPr>
              <w:pStyle w:val="TableParagraph"/>
              <w:spacing w:before="43"/>
              <w:ind w:right="94"/>
              <w:rPr>
                <w:sz w:val="20"/>
              </w:rPr>
            </w:pPr>
            <w:r>
              <w:rPr>
                <w:w w:val="99"/>
                <w:sz w:val="20"/>
              </w:rPr>
              <w:t>-</w:t>
            </w:r>
          </w:p>
        </w:tc>
        <w:tc>
          <w:tcPr>
            <w:tcW w:w="2119" w:type="dxa"/>
          </w:tcPr>
          <w:p w:rsidR="007C5447" w:rsidRDefault="00F6308C">
            <w:pPr>
              <w:pStyle w:val="TableParagraph"/>
              <w:spacing w:before="43"/>
              <w:ind w:right="94"/>
              <w:rPr>
                <w:sz w:val="20"/>
              </w:rPr>
            </w:pPr>
            <w:r>
              <w:rPr>
                <w:w w:val="99"/>
                <w:sz w:val="20"/>
              </w:rPr>
              <w:t>-</w:t>
            </w:r>
          </w:p>
        </w:tc>
      </w:tr>
      <w:tr w:rsidR="007C5447">
        <w:trPr>
          <w:trHeight w:val="261"/>
        </w:trPr>
        <w:tc>
          <w:tcPr>
            <w:tcW w:w="708" w:type="dxa"/>
          </w:tcPr>
          <w:p w:rsidR="007C5447" w:rsidRDefault="007C5447">
            <w:pPr>
              <w:pStyle w:val="TableParagraph"/>
              <w:jc w:val="left"/>
              <w:rPr>
                <w:sz w:val="18"/>
              </w:rPr>
            </w:pPr>
          </w:p>
        </w:tc>
        <w:tc>
          <w:tcPr>
            <w:tcW w:w="4321" w:type="dxa"/>
          </w:tcPr>
          <w:p w:rsidR="007C5447" w:rsidRDefault="00F6308C">
            <w:pPr>
              <w:pStyle w:val="TableParagraph"/>
              <w:spacing w:before="14" w:line="227" w:lineRule="exact"/>
              <w:ind w:left="107"/>
              <w:jc w:val="left"/>
              <w:rPr>
                <w:sz w:val="20"/>
              </w:rPr>
            </w:pPr>
            <w:r>
              <w:rPr>
                <w:sz w:val="20"/>
              </w:rPr>
              <w:t>Supply to Puducherry plus wheeling charges</w:t>
            </w:r>
          </w:p>
        </w:tc>
        <w:tc>
          <w:tcPr>
            <w:tcW w:w="2206" w:type="dxa"/>
          </w:tcPr>
          <w:p w:rsidR="007C5447" w:rsidRDefault="00F6308C">
            <w:pPr>
              <w:pStyle w:val="TableParagraph"/>
              <w:spacing w:before="14" w:line="227" w:lineRule="exact"/>
              <w:ind w:right="97"/>
              <w:rPr>
                <w:sz w:val="20"/>
              </w:rPr>
            </w:pPr>
            <w:r>
              <w:rPr>
                <w:sz w:val="20"/>
              </w:rPr>
              <w:t>126</w:t>
            </w:r>
          </w:p>
        </w:tc>
        <w:tc>
          <w:tcPr>
            <w:tcW w:w="2143" w:type="dxa"/>
          </w:tcPr>
          <w:p w:rsidR="007C5447" w:rsidRDefault="00F6308C">
            <w:pPr>
              <w:pStyle w:val="TableParagraph"/>
              <w:spacing w:before="14" w:line="227" w:lineRule="exact"/>
              <w:ind w:right="92"/>
              <w:rPr>
                <w:sz w:val="20"/>
              </w:rPr>
            </w:pPr>
            <w:r>
              <w:rPr>
                <w:w w:val="99"/>
                <w:sz w:val="20"/>
              </w:rPr>
              <w:t>-</w:t>
            </w:r>
          </w:p>
        </w:tc>
        <w:tc>
          <w:tcPr>
            <w:tcW w:w="2206" w:type="dxa"/>
          </w:tcPr>
          <w:p w:rsidR="007C5447" w:rsidRDefault="00F6308C">
            <w:pPr>
              <w:pStyle w:val="TableParagraph"/>
              <w:spacing w:before="14" w:line="227" w:lineRule="exact"/>
              <w:ind w:right="96"/>
              <w:rPr>
                <w:sz w:val="20"/>
              </w:rPr>
            </w:pPr>
            <w:r>
              <w:rPr>
                <w:sz w:val="20"/>
              </w:rPr>
              <w:t>72</w:t>
            </w:r>
          </w:p>
        </w:tc>
        <w:tc>
          <w:tcPr>
            <w:tcW w:w="2119" w:type="dxa"/>
          </w:tcPr>
          <w:p w:rsidR="007C5447" w:rsidRDefault="00F6308C">
            <w:pPr>
              <w:pStyle w:val="TableParagraph"/>
              <w:spacing w:before="14" w:line="227" w:lineRule="exact"/>
              <w:ind w:right="96"/>
              <w:rPr>
                <w:sz w:val="20"/>
              </w:rPr>
            </w:pPr>
            <w:r>
              <w:rPr>
                <w:w w:val="99"/>
                <w:sz w:val="20"/>
              </w:rPr>
              <w:t>-</w:t>
            </w:r>
          </w:p>
        </w:tc>
      </w:tr>
      <w:tr w:rsidR="007C5447">
        <w:trPr>
          <w:trHeight w:val="313"/>
        </w:trPr>
        <w:tc>
          <w:tcPr>
            <w:tcW w:w="708" w:type="dxa"/>
          </w:tcPr>
          <w:p w:rsidR="007C5447" w:rsidRDefault="00F6308C">
            <w:pPr>
              <w:pStyle w:val="TableParagraph"/>
              <w:spacing w:before="52"/>
              <w:ind w:left="97" w:right="88"/>
              <w:jc w:val="center"/>
              <w:rPr>
                <w:sz w:val="18"/>
              </w:rPr>
            </w:pPr>
            <w:r>
              <w:rPr>
                <w:sz w:val="18"/>
              </w:rPr>
              <w:t>VI</w:t>
            </w:r>
          </w:p>
        </w:tc>
        <w:tc>
          <w:tcPr>
            <w:tcW w:w="4321" w:type="dxa"/>
          </w:tcPr>
          <w:p w:rsidR="007C5447" w:rsidRDefault="00F6308C">
            <w:pPr>
              <w:pStyle w:val="TableParagraph"/>
              <w:spacing w:before="43"/>
              <w:ind w:left="107"/>
              <w:jc w:val="left"/>
              <w:rPr>
                <w:sz w:val="20"/>
              </w:rPr>
            </w:pPr>
            <w:r>
              <w:rPr>
                <w:sz w:val="20"/>
              </w:rPr>
              <w:t>Temporary Supply</w:t>
            </w:r>
          </w:p>
        </w:tc>
        <w:tc>
          <w:tcPr>
            <w:tcW w:w="2206" w:type="dxa"/>
          </w:tcPr>
          <w:p w:rsidR="007C5447" w:rsidRDefault="00F6308C">
            <w:pPr>
              <w:pStyle w:val="TableParagraph"/>
              <w:spacing w:before="43"/>
              <w:ind w:right="97"/>
              <w:rPr>
                <w:sz w:val="20"/>
              </w:rPr>
            </w:pPr>
            <w:r>
              <w:rPr>
                <w:sz w:val="20"/>
              </w:rPr>
              <w:t>77</w:t>
            </w:r>
          </w:p>
        </w:tc>
        <w:tc>
          <w:tcPr>
            <w:tcW w:w="2143" w:type="dxa"/>
          </w:tcPr>
          <w:p w:rsidR="007C5447" w:rsidRDefault="00F6308C">
            <w:pPr>
              <w:pStyle w:val="TableParagraph"/>
              <w:spacing w:before="43"/>
              <w:ind w:right="94"/>
              <w:rPr>
                <w:sz w:val="20"/>
              </w:rPr>
            </w:pPr>
            <w:r>
              <w:rPr>
                <w:sz w:val="20"/>
              </w:rPr>
              <w:t>77</w:t>
            </w:r>
          </w:p>
        </w:tc>
        <w:tc>
          <w:tcPr>
            <w:tcW w:w="2206" w:type="dxa"/>
          </w:tcPr>
          <w:p w:rsidR="007C5447" w:rsidRDefault="00F6308C">
            <w:pPr>
              <w:pStyle w:val="TableParagraph"/>
              <w:spacing w:before="43"/>
              <w:ind w:right="97"/>
              <w:rPr>
                <w:sz w:val="20"/>
              </w:rPr>
            </w:pPr>
            <w:r>
              <w:rPr>
                <w:sz w:val="20"/>
              </w:rPr>
              <w:t>247</w:t>
            </w:r>
          </w:p>
        </w:tc>
        <w:tc>
          <w:tcPr>
            <w:tcW w:w="2119" w:type="dxa"/>
          </w:tcPr>
          <w:p w:rsidR="007C5447" w:rsidRDefault="00F6308C">
            <w:pPr>
              <w:pStyle w:val="TableParagraph"/>
              <w:spacing w:before="43"/>
              <w:ind w:right="93"/>
              <w:rPr>
                <w:sz w:val="20"/>
              </w:rPr>
            </w:pPr>
            <w:r>
              <w:rPr>
                <w:sz w:val="20"/>
              </w:rPr>
              <w:t>247</w:t>
            </w:r>
          </w:p>
        </w:tc>
      </w:tr>
      <w:tr w:rsidR="007C5447">
        <w:trPr>
          <w:trHeight w:val="316"/>
        </w:trPr>
        <w:tc>
          <w:tcPr>
            <w:tcW w:w="708" w:type="dxa"/>
          </w:tcPr>
          <w:p w:rsidR="007C5447" w:rsidRDefault="00F6308C">
            <w:pPr>
              <w:pStyle w:val="TableParagraph"/>
              <w:spacing w:before="55"/>
              <w:ind w:left="2"/>
              <w:jc w:val="center"/>
              <w:rPr>
                <w:sz w:val="18"/>
              </w:rPr>
            </w:pPr>
            <w:r>
              <w:rPr>
                <w:w w:val="99"/>
                <w:sz w:val="18"/>
              </w:rPr>
              <w:t>V</w:t>
            </w:r>
          </w:p>
        </w:tc>
        <w:tc>
          <w:tcPr>
            <w:tcW w:w="4321" w:type="dxa"/>
          </w:tcPr>
          <w:p w:rsidR="007C5447" w:rsidRDefault="00F6308C">
            <w:pPr>
              <w:pStyle w:val="TableParagraph"/>
              <w:spacing w:before="43"/>
              <w:ind w:left="107"/>
              <w:jc w:val="left"/>
              <w:rPr>
                <w:sz w:val="20"/>
              </w:rPr>
            </w:pPr>
            <w:r>
              <w:rPr>
                <w:sz w:val="20"/>
              </w:rPr>
              <w:t>Supply to Other States (SWAP)</w:t>
            </w:r>
          </w:p>
        </w:tc>
        <w:tc>
          <w:tcPr>
            <w:tcW w:w="2206" w:type="dxa"/>
          </w:tcPr>
          <w:p w:rsidR="007C5447" w:rsidRDefault="00F6308C">
            <w:pPr>
              <w:pStyle w:val="TableParagraph"/>
              <w:spacing w:before="43"/>
              <w:ind w:right="95"/>
              <w:rPr>
                <w:sz w:val="20"/>
              </w:rPr>
            </w:pPr>
            <w:r>
              <w:rPr>
                <w:w w:val="99"/>
                <w:sz w:val="20"/>
              </w:rPr>
              <w:t>-</w:t>
            </w:r>
          </w:p>
        </w:tc>
        <w:tc>
          <w:tcPr>
            <w:tcW w:w="2143" w:type="dxa"/>
          </w:tcPr>
          <w:p w:rsidR="007C5447" w:rsidRDefault="00F6308C">
            <w:pPr>
              <w:pStyle w:val="TableParagraph"/>
              <w:spacing w:before="43"/>
              <w:ind w:right="92"/>
              <w:rPr>
                <w:sz w:val="20"/>
              </w:rPr>
            </w:pPr>
            <w:r>
              <w:rPr>
                <w:w w:val="99"/>
                <w:sz w:val="20"/>
              </w:rPr>
              <w:t>-</w:t>
            </w:r>
          </w:p>
        </w:tc>
        <w:tc>
          <w:tcPr>
            <w:tcW w:w="2206" w:type="dxa"/>
          </w:tcPr>
          <w:p w:rsidR="007C5447" w:rsidRDefault="00F6308C">
            <w:pPr>
              <w:pStyle w:val="TableParagraph"/>
              <w:spacing w:before="43"/>
              <w:ind w:right="94"/>
              <w:rPr>
                <w:sz w:val="20"/>
              </w:rPr>
            </w:pPr>
            <w:r>
              <w:rPr>
                <w:w w:val="99"/>
                <w:sz w:val="20"/>
              </w:rPr>
              <w:t>-</w:t>
            </w:r>
          </w:p>
        </w:tc>
        <w:tc>
          <w:tcPr>
            <w:tcW w:w="2119" w:type="dxa"/>
          </w:tcPr>
          <w:p w:rsidR="007C5447" w:rsidRDefault="00F6308C">
            <w:pPr>
              <w:pStyle w:val="TableParagraph"/>
              <w:spacing w:before="43"/>
              <w:ind w:right="96"/>
              <w:rPr>
                <w:sz w:val="20"/>
              </w:rPr>
            </w:pPr>
            <w:r>
              <w:rPr>
                <w:w w:val="99"/>
                <w:sz w:val="20"/>
              </w:rPr>
              <w:t>-</w:t>
            </w:r>
          </w:p>
        </w:tc>
      </w:tr>
      <w:tr w:rsidR="007C5447">
        <w:trPr>
          <w:trHeight w:val="316"/>
        </w:trPr>
        <w:tc>
          <w:tcPr>
            <w:tcW w:w="708" w:type="dxa"/>
          </w:tcPr>
          <w:p w:rsidR="007C5447" w:rsidRDefault="007C5447">
            <w:pPr>
              <w:pStyle w:val="TableParagraph"/>
              <w:jc w:val="left"/>
              <w:rPr>
                <w:sz w:val="20"/>
              </w:rPr>
            </w:pPr>
          </w:p>
        </w:tc>
        <w:tc>
          <w:tcPr>
            <w:tcW w:w="4321" w:type="dxa"/>
          </w:tcPr>
          <w:p w:rsidR="007C5447" w:rsidRDefault="00F6308C">
            <w:pPr>
              <w:pStyle w:val="TableParagraph"/>
              <w:spacing w:before="43"/>
              <w:ind w:left="107"/>
              <w:jc w:val="left"/>
              <w:rPr>
                <w:b/>
                <w:sz w:val="20"/>
              </w:rPr>
            </w:pPr>
            <w:r>
              <w:rPr>
                <w:b/>
                <w:sz w:val="20"/>
              </w:rPr>
              <w:t>TOTAL HT category revenue</w:t>
            </w:r>
          </w:p>
        </w:tc>
        <w:tc>
          <w:tcPr>
            <w:tcW w:w="2206" w:type="dxa"/>
          </w:tcPr>
          <w:p w:rsidR="007C5447" w:rsidRDefault="00F6308C">
            <w:pPr>
              <w:pStyle w:val="TableParagraph"/>
              <w:spacing w:before="43"/>
              <w:ind w:right="99"/>
              <w:rPr>
                <w:b/>
                <w:sz w:val="20"/>
              </w:rPr>
            </w:pPr>
            <w:r>
              <w:rPr>
                <w:b/>
                <w:w w:val="95"/>
                <w:sz w:val="20"/>
              </w:rPr>
              <w:t>12,017</w:t>
            </w:r>
          </w:p>
        </w:tc>
        <w:tc>
          <w:tcPr>
            <w:tcW w:w="2143" w:type="dxa"/>
          </w:tcPr>
          <w:p w:rsidR="007C5447" w:rsidRDefault="00F6308C">
            <w:pPr>
              <w:pStyle w:val="TableParagraph"/>
              <w:spacing w:before="43"/>
              <w:ind w:right="94"/>
              <w:rPr>
                <w:sz w:val="12"/>
              </w:rPr>
            </w:pPr>
            <w:r>
              <w:rPr>
                <w:b/>
                <w:sz w:val="20"/>
              </w:rPr>
              <w:t>17,956</w:t>
            </w:r>
            <w:r>
              <w:rPr>
                <w:position w:val="6"/>
                <w:sz w:val="12"/>
              </w:rPr>
              <w:t>#</w:t>
            </w:r>
          </w:p>
        </w:tc>
        <w:tc>
          <w:tcPr>
            <w:tcW w:w="2206" w:type="dxa"/>
          </w:tcPr>
          <w:p w:rsidR="007C5447" w:rsidRDefault="00F6308C">
            <w:pPr>
              <w:pStyle w:val="TableParagraph"/>
              <w:spacing w:before="43"/>
              <w:ind w:right="98"/>
              <w:rPr>
                <w:b/>
                <w:sz w:val="20"/>
              </w:rPr>
            </w:pPr>
            <w:r>
              <w:rPr>
                <w:b/>
                <w:w w:val="95"/>
                <w:sz w:val="20"/>
              </w:rPr>
              <w:t>14,045</w:t>
            </w:r>
          </w:p>
        </w:tc>
        <w:tc>
          <w:tcPr>
            <w:tcW w:w="2119" w:type="dxa"/>
          </w:tcPr>
          <w:p w:rsidR="007C5447" w:rsidRDefault="00F6308C">
            <w:pPr>
              <w:pStyle w:val="TableParagraph"/>
              <w:spacing w:before="43"/>
              <w:ind w:right="96"/>
              <w:rPr>
                <w:sz w:val="12"/>
              </w:rPr>
            </w:pPr>
            <w:r>
              <w:rPr>
                <w:b/>
                <w:sz w:val="20"/>
              </w:rPr>
              <w:t>21,327</w:t>
            </w:r>
            <w:r>
              <w:rPr>
                <w:position w:val="6"/>
                <w:sz w:val="12"/>
              </w:rPr>
              <w:t>#</w:t>
            </w:r>
          </w:p>
        </w:tc>
      </w:tr>
      <w:tr w:rsidR="007C5447">
        <w:trPr>
          <w:trHeight w:val="316"/>
        </w:trPr>
        <w:tc>
          <w:tcPr>
            <w:tcW w:w="708" w:type="dxa"/>
          </w:tcPr>
          <w:p w:rsidR="007C5447" w:rsidRDefault="007C5447">
            <w:pPr>
              <w:pStyle w:val="TableParagraph"/>
              <w:jc w:val="left"/>
              <w:rPr>
                <w:sz w:val="20"/>
              </w:rPr>
            </w:pPr>
          </w:p>
        </w:tc>
        <w:tc>
          <w:tcPr>
            <w:tcW w:w="4321" w:type="dxa"/>
          </w:tcPr>
          <w:p w:rsidR="007C5447" w:rsidRDefault="00F6308C">
            <w:pPr>
              <w:pStyle w:val="TableParagraph"/>
              <w:spacing w:before="43"/>
              <w:ind w:left="107"/>
              <w:jc w:val="left"/>
              <w:rPr>
                <w:b/>
                <w:sz w:val="20"/>
              </w:rPr>
            </w:pPr>
            <w:r>
              <w:rPr>
                <w:b/>
                <w:sz w:val="20"/>
              </w:rPr>
              <w:t>LT Category</w:t>
            </w:r>
          </w:p>
        </w:tc>
        <w:tc>
          <w:tcPr>
            <w:tcW w:w="2206" w:type="dxa"/>
          </w:tcPr>
          <w:p w:rsidR="007C5447" w:rsidRDefault="007C5447">
            <w:pPr>
              <w:pStyle w:val="TableParagraph"/>
              <w:jc w:val="left"/>
              <w:rPr>
                <w:sz w:val="20"/>
              </w:rPr>
            </w:pPr>
          </w:p>
        </w:tc>
        <w:tc>
          <w:tcPr>
            <w:tcW w:w="2143" w:type="dxa"/>
          </w:tcPr>
          <w:p w:rsidR="007C5447" w:rsidRDefault="007C5447">
            <w:pPr>
              <w:pStyle w:val="TableParagraph"/>
              <w:jc w:val="left"/>
              <w:rPr>
                <w:sz w:val="20"/>
              </w:rPr>
            </w:pPr>
          </w:p>
        </w:tc>
        <w:tc>
          <w:tcPr>
            <w:tcW w:w="2206" w:type="dxa"/>
          </w:tcPr>
          <w:p w:rsidR="007C5447" w:rsidRDefault="007C5447">
            <w:pPr>
              <w:pStyle w:val="TableParagraph"/>
              <w:jc w:val="left"/>
              <w:rPr>
                <w:sz w:val="20"/>
              </w:rPr>
            </w:pPr>
          </w:p>
        </w:tc>
        <w:tc>
          <w:tcPr>
            <w:tcW w:w="2119" w:type="dxa"/>
          </w:tcPr>
          <w:p w:rsidR="007C5447" w:rsidRDefault="007C5447">
            <w:pPr>
              <w:pStyle w:val="TableParagraph"/>
              <w:jc w:val="left"/>
              <w:rPr>
                <w:sz w:val="20"/>
              </w:rPr>
            </w:pPr>
          </w:p>
        </w:tc>
      </w:tr>
      <w:tr w:rsidR="007C5447">
        <w:trPr>
          <w:trHeight w:val="316"/>
        </w:trPr>
        <w:tc>
          <w:tcPr>
            <w:tcW w:w="708" w:type="dxa"/>
          </w:tcPr>
          <w:p w:rsidR="007C5447" w:rsidRDefault="00F6308C">
            <w:pPr>
              <w:pStyle w:val="TableParagraph"/>
              <w:spacing w:before="55"/>
              <w:ind w:left="95" w:right="95"/>
              <w:jc w:val="center"/>
              <w:rPr>
                <w:sz w:val="18"/>
              </w:rPr>
            </w:pPr>
            <w:r>
              <w:rPr>
                <w:sz w:val="18"/>
              </w:rPr>
              <w:t>I (A)</w:t>
            </w:r>
          </w:p>
        </w:tc>
        <w:tc>
          <w:tcPr>
            <w:tcW w:w="4321" w:type="dxa"/>
          </w:tcPr>
          <w:p w:rsidR="007C5447" w:rsidRDefault="00F6308C">
            <w:pPr>
              <w:pStyle w:val="TableParagraph"/>
              <w:spacing w:before="43"/>
              <w:ind w:left="107"/>
              <w:jc w:val="left"/>
              <w:rPr>
                <w:sz w:val="20"/>
              </w:rPr>
            </w:pPr>
            <w:r>
              <w:rPr>
                <w:sz w:val="20"/>
              </w:rPr>
              <w:t>Domestic</w:t>
            </w:r>
          </w:p>
        </w:tc>
        <w:tc>
          <w:tcPr>
            <w:tcW w:w="2206" w:type="dxa"/>
          </w:tcPr>
          <w:p w:rsidR="007C5447" w:rsidRDefault="00F6308C">
            <w:pPr>
              <w:pStyle w:val="TableParagraph"/>
              <w:spacing w:before="43"/>
              <w:ind w:right="98"/>
              <w:rPr>
                <w:sz w:val="20"/>
              </w:rPr>
            </w:pPr>
            <w:r>
              <w:rPr>
                <w:w w:val="95"/>
                <w:sz w:val="20"/>
              </w:rPr>
              <w:t>5,671</w:t>
            </w:r>
          </w:p>
        </w:tc>
        <w:tc>
          <w:tcPr>
            <w:tcW w:w="2143" w:type="dxa"/>
          </w:tcPr>
          <w:p w:rsidR="007C5447" w:rsidRDefault="00F6308C">
            <w:pPr>
              <w:pStyle w:val="TableParagraph"/>
              <w:spacing w:before="43"/>
              <w:ind w:right="95"/>
              <w:rPr>
                <w:sz w:val="20"/>
              </w:rPr>
            </w:pPr>
            <w:r>
              <w:rPr>
                <w:w w:val="95"/>
                <w:sz w:val="20"/>
              </w:rPr>
              <w:t>5,671</w:t>
            </w:r>
          </w:p>
        </w:tc>
        <w:tc>
          <w:tcPr>
            <w:tcW w:w="2206" w:type="dxa"/>
          </w:tcPr>
          <w:p w:rsidR="007C5447" w:rsidRDefault="00F6308C">
            <w:pPr>
              <w:pStyle w:val="TableParagraph"/>
              <w:spacing w:before="43"/>
              <w:ind w:right="98"/>
              <w:rPr>
                <w:sz w:val="20"/>
              </w:rPr>
            </w:pPr>
            <w:r>
              <w:rPr>
                <w:w w:val="95"/>
                <w:sz w:val="20"/>
              </w:rPr>
              <w:t>6,756</w:t>
            </w:r>
          </w:p>
        </w:tc>
        <w:tc>
          <w:tcPr>
            <w:tcW w:w="2119" w:type="dxa"/>
          </w:tcPr>
          <w:p w:rsidR="007C5447" w:rsidRDefault="00F6308C">
            <w:pPr>
              <w:pStyle w:val="TableParagraph"/>
              <w:spacing w:before="43"/>
              <w:ind w:right="97"/>
              <w:rPr>
                <w:sz w:val="20"/>
              </w:rPr>
            </w:pPr>
            <w:r>
              <w:rPr>
                <w:w w:val="95"/>
                <w:sz w:val="20"/>
              </w:rPr>
              <w:t>6,756</w:t>
            </w:r>
          </w:p>
        </w:tc>
      </w:tr>
      <w:tr w:rsidR="007C5447">
        <w:trPr>
          <w:trHeight w:val="316"/>
        </w:trPr>
        <w:tc>
          <w:tcPr>
            <w:tcW w:w="708" w:type="dxa"/>
          </w:tcPr>
          <w:p w:rsidR="007C5447" w:rsidRDefault="00F6308C">
            <w:pPr>
              <w:pStyle w:val="TableParagraph"/>
              <w:spacing w:before="55"/>
              <w:ind w:left="97" w:right="95"/>
              <w:jc w:val="center"/>
              <w:rPr>
                <w:sz w:val="18"/>
              </w:rPr>
            </w:pPr>
            <w:r>
              <w:rPr>
                <w:sz w:val="18"/>
              </w:rPr>
              <w:t>I (B)</w:t>
            </w:r>
          </w:p>
        </w:tc>
        <w:tc>
          <w:tcPr>
            <w:tcW w:w="4321" w:type="dxa"/>
          </w:tcPr>
          <w:p w:rsidR="007C5447" w:rsidRDefault="00F6308C">
            <w:pPr>
              <w:pStyle w:val="TableParagraph"/>
              <w:spacing w:before="43"/>
              <w:ind w:left="107"/>
              <w:jc w:val="left"/>
              <w:rPr>
                <w:sz w:val="20"/>
              </w:rPr>
            </w:pPr>
            <w:r>
              <w:rPr>
                <w:sz w:val="20"/>
              </w:rPr>
              <w:t>Huts</w:t>
            </w:r>
          </w:p>
        </w:tc>
        <w:tc>
          <w:tcPr>
            <w:tcW w:w="2206" w:type="dxa"/>
          </w:tcPr>
          <w:p w:rsidR="007C5447" w:rsidRDefault="00F6308C">
            <w:pPr>
              <w:pStyle w:val="TableParagraph"/>
              <w:spacing w:before="43"/>
              <w:ind w:right="95"/>
              <w:rPr>
                <w:sz w:val="20"/>
              </w:rPr>
            </w:pPr>
            <w:r>
              <w:rPr>
                <w:w w:val="99"/>
                <w:sz w:val="20"/>
              </w:rPr>
              <w:t>-</w:t>
            </w:r>
          </w:p>
        </w:tc>
        <w:tc>
          <w:tcPr>
            <w:tcW w:w="2143" w:type="dxa"/>
          </w:tcPr>
          <w:p w:rsidR="007C5447" w:rsidRDefault="00F6308C">
            <w:pPr>
              <w:pStyle w:val="TableParagraph"/>
              <w:spacing w:before="43"/>
              <w:ind w:right="92"/>
              <w:rPr>
                <w:sz w:val="20"/>
              </w:rPr>
            </w:pPr>
            <w:r>
              <w:rPr>
                <w:w w:val="99"/>
                <w:sz w:val="20"/>
              </w:rPr>
              <w:t>-</w:t>
            </w:r>
          </w:p>
        </w:tc>
        <w:tc>
          <w:tcPr>
            <w:tcW w:w="2206" w:type="dxa"/>
          </w:tcPr>
          <w:p w:rsidR="007C5447" w:rsidRDefault="00F6308C">
            <w:pPr>
              <w:pStyle w:val="TableParagraph"/>
              <w:spacing w:before="43"/>
              <w:ind w:right="94"/>
              <w:rPr>
                <w:sz w:val="20"/>
              </w:rPr>
            </w:pPr>
            <w:r>
              <w:rPr>
                <w:w w:val="99"/>
                <w:sz w:val="20"/>
              </w:rPr>
              <w:t>-</w:t>
            </w:r>
          </w:p>
        </w:tc>
        <w:tc>
          <w:tcPr>
            <w:tcW w:w="2119" w:type="dxa"/>
          </w:tcPr>
          <w:p w:rsidR="007C5447" w:rsidRDefault="00F6308C">
            <w:pPr>
              <w:pStyle w:val="TableParagraph"/>
              <w:spacing w:before="43"/>
              <w:ind w:right="94"/>
              <w:rPr>
                <w:sz w:val="20"/>
              </w:rPr>
            </w:pPr>
            <w:r>
              <w:rPr>
                <w:w w:val="99"/>
                <w:sz w:val="20"/>
              </w:rPr>
              <w:t>-</w:t>
            </w:r>
          </w:p>
        </w:tc>
      </w:tr>
      <w:tr w:rsidR="007C5447">
        <w:trPr>
          <w:trHeight w:val="313"/>
        </w:trPr>
        <w:tc>
          <w:tcPr>
            <w:tcW w:w="708" w:type="dxa"/>
          </w:tcPr>
          <w:p w:rsidR="007C5447" w:rsidRDefault="00F6308C">
            <w:pPr>
              <w:pStyle w:val="TableParagraph"/>
              <w:spacing w:before="52"/>
              <w:ind w:left="97" w:right="95"/>
              <w:jc w:val="center"/>
              <w:rPr>
                <w:sz w:val="18"/>
              </w:rPr>
            </w:pPr>
            <w:r>
              <w:rPr>
                <w:sz w:val="18"/>
              </w:rPr>
              <w:t>I (C)</w:t>
            </w:r>
          </w:p>
        </w:tc>
        <w:tc>
          <w:tcPr>
            <w:tcW w:w="4321" w:type="dxa"/>
          </w:tcPr>
          <w:p w:rsidR="007C5447" w:rsidRDefault="00F6308C">
            <w:pPr>
              <w:pStyle w:val="TableParagraph"/>
              <w:spacing w:before="43"/>
              <w:ind w:left="107"/>
              <w:jc w:val="left"/>
              <w:rPr>
                <w:sz w:val="20"/>
              </w:rPr>
            </w:pPr>
            <w:r>
              <w:rPr>
                <w:sz w:val="20"/>
              </w:rPr>
              <w:t>Bulk supply</w:t>
            </w:r>
          </w:p>
        </w:tc>
        <w:tc>
          <w:tcPr>
            <w:tcW w:w="2206" w:type="dxa"/>
          </w:tcPr>
          <w:p w:rsidR="007C5447" w:rsidRDefault="00F6308C">
            <w:pPr>
              <w:pStyle w:val="TableParagraph"/>
              <w:spacing w:before="43"/>
              <w:ind w:right="98"/>
              <w:rPr>
                <w:sz w:val="20"/>
              </w:rPr>
            </w:pPr>
            <w:r>
              <w:rPr>
                <w:w w:val="99"/>
                <w:sz w:val="20"/>
              </w:rPr>
              <w:t>5</w:t>
            </w:r>
          </w:p>
        </w:tc>
        <w:tc>
          <w:tcPr>
            <w:tcW w:w="2143" w:type="dxa"/>
          </w:tcPr>
          <w:p w:rsidR="007C5447" w:rsidRDefault="00F6308C">
            <w:pPr>
              <w:pStyle w:val="TableParagraph"/>
              <w:spacing w:before="43"/>
              <w:ind w:right="95"/>
              <w:rPr>
                <w:sz w:val="20"/>
              </w:rPr>
            </w:pPr>
            <w:r>
              <w:rPr>
                <w:w w:val="99"/>
                <w:sz w:val="20"/>
              </w:rPr>
              <w:t>5</w:t>
            </w:r>
          </w:p>
        </w:tc>
        <w:tc>
          <w:tcPr>
            <w:tcW w:w="2206" w:type="dxa"/>
          </w:tcPr>
          <w:p w:rsidR="007C5447" w:rsidRDefault="00F6308C">
            <w:pPr>
              <w:pStyle w:val="TableParagraph"/>
              <w:spacing w:before="43"/>
              <w:ind w:right="97"/>
              <w:rPr>
                <w:sz w:val="20"/>
              </w:rPr>
            </w:pPr>
            <w:r>
              <w:rPr>
                <w:w w:val="99"/>
                <w:sz w:val="20"/>
              </w:rPr>
              <w:t>5</w:t>
            </w:r>
          </w:p>
        </w:tc>
        <w:tc>
          <w:tcPr>
            <w:tcW w:w="2119" w:type="dxa"/>
          </w:tcPr>
          <w:p w:rsidR="007C5447" w:rsidRDefault="00F6308C">
            <w:pPr>
              <w:pStyle w:val="TableParagraph"/>
              <w:spacing w:before="43"/>
              <w:ind w:right="97"/>
              <w:rPr>
                <w:sz w:val="20"/>
              </w:rPr>
            </w:pPr>
            <w:r>
              <w:rPr>
                <w:w w:val="99"/>
                <w:sz w:val="20"/>
              </w:rPr>
              <w:t>5</w:t>
            </w:r>
          </w:p>
        </w:tc>
      </w:tr>
      <w:tr w:rsidR="007C5447">
        <w:trPr>
          <w:trHeight w:val="316"/>
        </w:trPr>
        <w:tc>
          <w:tcPr>
            <w:tcW w:w="708" w:type="dxa"/>
          </w:tcPr>
          <w:p w:rsidR="007C5447" w:rsidRDefault="00F6308C">
            <w:pPr>
              <w:pStyle w:val="TableParagraph"/>
              <w:spacing w:before="55"/>
              <w:ind w:left="97" w:right="95"/>
              <w:jc w:val="center"/>
              <w:rPr>
                <w:sz w:val="18"/>
              </w:rPr>
            </w:pPr>
            <w:r>
              <w:rPr>
                <w:sz w:val="18"/>
              </w:rPr>
              <w:t>II (A)</w:t>
            </w:r>
          </w:p>
        </w:tc>
        <w:tc>
          <w:tcPr>
            <w:tcW w:w="4321" w:type="dxa"/>
          </w:tcPr>
          <w:p w:rsidR="007C5447" w:rsidRDefault="00F6308C">
            <w:pPr>
              <w:pStyle w:val="TableParagraph"/>
              <w:spacing w:before="43"/>
              <w:ind w:left="107"/>
              <w:jc w:val="left"/>
              <w:rPr>
                <w:sz w:val="20"/>
              </w:rPr>
            </w:pPr>
            <w:r>
              <w:rPr>
                <w:sz w:val="20"/>
              </w:rPr>
              <w:t>Public Lighting &amp; Water Works</w:t>
            </w:r>
          </w:p>
        </w:tc>
        <w:tc>
          <w:tcPr>
            <w:tcW w:w="2206" w:type="dxa"/>
          </w:tcPr>
          <w:p w:rsidR="007C5447" w:rsidRDefault="00F6308C">
            <w:pPr>
              <w:pStyle w:val="TableParagraph"/>
              <w:spacing w:before="43"/>
              <w:ind w:right="98"/>
              <w:rPr>
                <w:sz w:val="20"/>
              </w:rPr>
            </w:pPr>
            <w:r>
              <w:rPr>
                <w:w w:val="95"/>
                <w:sz w:val="20"/>
              </w:rPr>
              <w:t>1,196</w:t>
            </w:r>
          </w:p>
        </w:tc>
        <w:tc>
          <w:tcPr>
            <w:tcW w:w="2143" w:type="dxa"/>
          </w:tcPr>
          <w:p w:rsidR="007C5447" w:rsidRDefault="00F6308C">
            <w:pPr>
              <w:pStyle w:val="TableParagraph"/>
              <w:spacing w:before="43"/>
              <w:ind w:right="95"/>
              <w:rPr>
                <w:sz w:val="20"/>
              </w:rPr>
            </w:pPr>
            <w:r>
              <w:rPr>
                <w:w w:val="95"/>
                <w:sz w:val="20"/>
              </w:rPr>
              <w:t>1,196</w:t>
            </w:r>
          </w:p>
        </w:tc>
        <w:tc>
          <w:tcPr>
            <w:tcW w:w="2206" w:type="dxa"/>
          </w:tcPr>
          <w:p w:rsidR="007C5447" w:rsidRDefault="00F6308C">
            <w:pPr>
              <w:pStyle w:val="TableParagraph"/>
              <w:spacing w:before="43"/>
              <w:ind w:right="98"/>
              <w:rPr>
                <w:sz w:val="20"/>
              </w:rPr>
            </w:pPr>
            <w:r>
              <w:rPr>
                <w:w w:val="95"/>
                <w:sz w:val="20"/>
              </w:rPr>
              <w:t>1,539</w:t>
            </w:r>
          </w:p>
        </w:tc>
        <w:tc>
          <w:tcPr>
            <w:tcW w:w="2119" w:type="dxa"/>
          </w:tcPr>
          <w:p w:rsidR="007C5447" w:rsidRDefault="00F6308C">
            <w:pPr>
              <w:pStyle w:val="TableParagraph"/>
              <w:spacing w:before="43"/>
              <w:ind w:right="97"/>
              <w:rPr>
                <w:sz w:val="20"/>
              </w:rPr>
            </w:pPr>
            <w:r>
              <w:rPr>
                <w:w w:val="95"/>
                <w:sz w:val="20"/>
              </w:rPr>
              <w:t>1,539</w:t>
            </w:r>
          </w:p>
        </w:tc>
      </w:tr>
      <w:tr w:rsidR="007C5447">
        <w:trPr>
          <w:trHeight w:val="443"/>
        </w:trPr>
        <w:tc>
          <w:tcPr>
            <w:tcW w:w="708" w:type="dxa"/>
          </w:tcPr>
          <w:p w:rsidR="007C5447" w:rsidRDefault="00F6308C">
            <w:pPr>
              <w:pStyle w:val="TableParagraph"/>
              <w:spacing w:before="20" w:line="206" w:lineRule="exact"/>
              <w:ind w:left="304" w:right="97" w:hanging="188"/>
              <w:jc w:val="left"/>
              <w:rPr>
                <w:sz w:val="18"/>
              </w:rPr>
            </w:pPr>
            <w:r>
              <w:rPr>
                <w:sz w:val="18"/>
              </w:rPr>
              <w:t>II (B)- 1</w:t>
            </w:r>
          </w:p>
        </w:tc>
        <w:tc>
          <w:tcPr>
            <w:tcW w:w="4321" w:type="dxa"/>
          </w:tcPr>
          <w:p w:rsidR="007C5447" w:rsidRDefault="00F6308C">
            <w:pPr>
              <w:pStyle w:val="TableParagraph"/>
              <w:spacing w:before="108"/>
              <w:ind w:left="107"/>
              <w:jc w:val="left"/>
              <w:rPr>
                <w:sz w:val="20"/>
              </w:rPr>
            </w:pPr>
            <w:r>
              <w:rPr>
                <w:sz w:val="20"/>
              </w:rPr>
              <w:t>Government Educational Institution</w:t>
            </w:r>
          </w:p>
        </w:tc>
        <w:tc>
          <w:tcPr>
            <w:tcW w:w="2206" w:type="dxa"/>
          </w:tcPr>
          <w:p w:rsidR="007C5447" w:rsidRDefault="00F6308C">
            <w:pPr>
              <w:pStyle w:val="TableParagraph"/>
              <w:spacing w:before="108"/>
              <w:ind w:right="97"/>
              <w:rPr>
                <w:sz w:val="20"/>
              </w:rPr>
            </w:pPr>
            <w:r>
              <w:rPr>
                <w:sz w:val="20"/>
              </w:rPr>
              <w:t>104</w:t>
            </w:r>
          </w:p>
        </w:tc>
        <w:tc>
          <w:tcPr>
            <w:tcW w:w="2143" w:type="dxa"/>
          </w:tcPr>
          <w:p w:rsidR="007C5447" w:rsidRDefault="00F6308C">
            <w:pPr>
              <w:pStyle w:val="TableParagraph"/>
              <w:spacing w:before="108"/>
              <w:ind w:right="94"/>
              <w:rPr>
                <w:sz w:val="20"/>
              </w:rPr>
            </w:pPr>
            <w:r>
              <w:rPr>
                <w:sz w:val="20"/>
              </w:rPr>
              <w:t>104</w:t>
            </w:r>
          </w:p>
        </w:tc>
        <w:tc>
          <w:tcPr>
            <w:tcW w:w="2206" w:type="dxa"/>
          </w:tcPr>
          <w:p w:rsidR="007C5447" w:rsidRDefault="00F6308C">
            <w:pPr>
              <w:pStyle w:val="TableParagraph"/>
              <w:spacing w:before="108"/>
              <w:ind w:right="96"/>
              <w:rPr>
                <w:sz w:val="20"/>
              </w:rPr>
            </w:pPr>
            <w:r>
              <w:rPr>
                <w:sz w:val="20"/>
              </w:rPr>
              <w:t>97</w:t>
            </w:r>
          </w:p>
        </w:tc>
        <w:tc>
          <w:tcPr>
            <w:tcW w:w="2119" w:type="dxa"/>
          </w:tcPr>
          <w:p w:rsidR="007C5447" w:rsidRDefault="00F6308C">
            <w:pPr>
              <w:pStyle w:val="TableParagraph"/>
              <w:spacing w:before="108"/>
              <w:ind w:right="96"/>
              <w:rPr>
                <w:sz w:val="20"/>
              </w:rPr>
            </w:pPr>
            <w:r>
              <w:rPr>
                <w:sz w:val="20"/>
              </w:rPr>
              <w:t>97</w:t>
            </w:r>
          </w:p>
        </w:tc>
      </w:tr>
      <w:tr w:rsidR="007C5447">
        <w:trPr>
          <w:trHeight w:val="446"/>
        </w:trPr>
        <w:tc>
          <w:tcPr>
            <w:tcW w:w="708" w:type="dxa"/>
          </w:tcPr>
          <w:p w:rsidR="007C5447" w:rsidRDefault="00F6308C">
            <w:pPr>
              <w:pStyle w:val="TableParagraph"/>
              <w:spacing w:before="20" w:line="206" w:lineRule="exact"/>
              <w:ind w:left="304" w:right="97" w:hanging="188"/>
              <w:jc w:val="left"/>
              <w:rPr>
                <w:sz w:val="18"/>
              </w:rPr>
            </w:pPr>
            <w:r>
              <w:rPr>
                <w:sz w:val="18"/>
              </w:rPr>
              <w:t>II (B)- 2</w:t>
            </w:r>
          </w:p>
        </w:tc>
        <w:tc>
          <w:tcPr>
            <w:tcW w:w="4321" w:type="dxa"/>
          </w:tcPr>
          <w:p w:rsidR="007C5447" w:rsidRDefault="00F6308C">
            <w:pPr>
              <w:pStyle w:val="TableParagraph"/>
              <w:spacing w:before="109"/>
              <w:ind w:left="107"/>
              <w:jc w:val="left"/>
              <w:rPr>
                <w:sz w:val="20"/>
              </w:rPr>
            </w:pPr>
            <w:r>
              <w:rPr>
                <w:sz w:val="20"/>
              </w:rPr>
              <w:t>Pvt. Educational Institutions</w:t>
            </w:r>
          </w:p>
        </w:tc>
        <w:tc>
          <w:tcPr>
            <w:tcW w:w="2206" w:type="dxa"/>
          </w:tcPr>
          <w:p w:rsidR="007C5447" w:rsidRDefault="00F6308C">
            <w:pPr>
              <w:pStyle w:val="TableParagraph"/>
              <w:spacing w:before="109"/>
              <w:ind w:right="97"/>
              <w:rPr>
                <w:sz w:val="20"/>
              </w:rPr>
            </w:pPr>
            <w:r>
              <w:rPr>
                <w:sz w:val="20"/>
              </w:rPr>
              <w:t>177</w:t>
            </w:r>
          </w:p>
        </w:tc>
        <w:tc>
          <w:tcPr>
            <w:tcW w:w="2143" w:type="dxa"/>
          </w:tcPr>
          <w:p w:rsidR="007C5447" w:rsidRDefault="00F6308C">
            <w:pPr>
              <w:pStyle w:val="TableParagraph"/>
              <w:spacing w:before="109"/>
              <w:ind w:right="94"/>
              <w:rPr>
                <w:sz w:val="20"/>
              </w:rPr>
            </w:pPr>
            <w:r>
              <w:rPr>
                <w:sz w:val="20"/>
              </w:rPr>
              <w:t>177</w:t>
            </w:r>
          </w:p>
        </w:tc>
        <w:tc>
          <w:tcPr>
            <w:tcW w:w="2206" w:type="dxa"/>
          </w:tcPr>
          <w:p w:rsidR="007C5447" w:rsidRDefault="00F6308C">
            <w:pPr>
              <w:pStyle w:val="TableParagraph"/>
              <w:spacing w:before="109"/>
              <w:ind w:right="96"/>
              <w:rPr>
                <w:sz w:val="20"/>
              </w:rPr>
            </w:pPr>
            <w:r>
              <w:rPr>
                <w:sz w:val="20"/>
              </w:rPr>
              <w:t>209</w:t>
            </w:r>
          </w:p>
        </w:tc>
        <w:tc>
          <w:tcPr>
            <w:tcW w:w="2119" w:type="dxa"/>
          </w:tcPr>
          <w:p w:rsidR="007C5447" w:rsidRDefault="00F6308C">
            <w:pPr>
              <w:pStyle w:val="TableParagraph"/>
              <w:spacing w:before="109"/>
              <w:ind w:right="96"/>
              <w:rPr>
                <w:sz w:val="20"/>
              </w:rPr>
            </w:pPr>
            <w:r>
              <w:rPr>
                <w:sz w:val="20"/>
              </w:rPr>
              <w:t>209</w:t>
            </w:r>
          </w:p>
        </w:tc>
      </w:tr>
      <w:tr w:rsidR="007C5447">
        <w:trPr>
          <w:trHeight w:val="314"/>
        </w:trPr>
        <w:tc>
          <w:tcPr>
            <w:tcW w:w="708" w:type="dxa"/>
          </w:tcPr>
          <w:p w:rsidR="007C5447" w:rsidRDefault="00F6308C">
            <w:pPr>
              <w:pStyle w:val="TableParagraph"/>
              <w:spacing w:before="52"/>
              <w:ind w:left="97" w:right="93"/>
              <w:jc w:val="center"/>
              <w:rPr>
                <w:sz w:val="18"/>
              </w:rPr>
            </w:pPr>
            <w:r>
              <w:rPr>
                <w:sz w:val="18"/>
              </w:rPr>
              <w:t>II (C)</w:t>
            </w:r>
          </w:p>
        </w:tc>
        <w:tc>
          <w:tcPr>
            <w:tcW w:w="4321" w:type="dxa"/>
          </w:tcPr>
          <w:p w:rsidR="007C5447" w:rsidRDefault="00F6308C">
            <w:pPr>
              <w:pStyle w:val="TableParagraph"/>
              <w:spacing w:before="41"/>
              <w:ind w:left="107"/>
              <w:jc w:val="left"/>
              <w:rPr>
                <w:sz w:val="20"/>
              </w:rPr>
            </w:pPr>
            <w:r>
              <w:rPr>
                <w:sz w:val="20"/>
              </w:rPr>
              <w:t>Places of Public Worship (LT)</w:t>
            </w:r>
          </w:p>
        </w:tc>
        <w:tc>
          <w:tcPr>
            <w:tcW w:w="2206" w:type="dxa"/>
          </w:tcPr>
          <w:p w:rsidR="007C5447" w:rsidRDefault="00F6308C">
            <w:pPr>
              <w:pStyle w:val="TableParagraph"/>
              <w:spacing w:before="41"/>
              <w:ind w:right="97"/>
              <w:rPr>
                <w:sz w:val="20"/>
              </w:rPr>
            </w:pPr>
            <w:r>
              <w:rPr>
                <w:sz w:val="20"/>
              </w:rPr>
              <w:t>62</w:t>
            </w:r>
          </w:p>
        </w:tc>
        <w:tc>
          <w:tcPr>
            <w:tcW w:w="2143" w:type="dxa"/>
          </w:tcPr>
          <w:p w:rsidR="007C5447" w:rsidRDefault="00F6308C">
            <w:pPr>
              <w:pStyle w:val="TableParagraph"/>
              <w:spacing w:before="41"/>
              <w:ind w:right="94"/>
              <w:rPr>
                <w:sz w:val="20"/>
              </w:rPr>
            </w:pPr>
            <w:r>
              <w:rPr>
                <w:sz w:val="20"/>
              </w:rPr>
              <w:t>62</w:t>
            </w:r>
          </w:p>
        </w:tc>
        <w:tc>
          <w:tcPr>
            <w:tcW w:w="2206" w:type="dxa"/>
          </w:tcPr>
          <w:p w:rsidR="007C5447" w:rsidRDefault="00F6308C">
            <w:pPr>
              <w:pStyle w:val="TableParagraph"/>
              <w:spacing w:before="41"/>
              <w:ind w:right="96"/>
              <w:rPr>
                <w:sz w:val="20"/>
              </w:rPr>
            </w:pPr>
            <w:r>
              <w:rPr>
                <w:sz w:val="20"/>
              </w:rPr>
              <w:t>67</w:t>
            </w:r>
          </w:p>
        </w:tc>
        <w:tc>
          <w:tcPr>
            <w:tcW w:w="2119" w:type="dxa"/>
          </w:tcPr>
          <w:p w:rsidR="007C5447" w:rsidRDefault="00F6308C">
            <w:pPr>
              <w:pStyle w:val="TableParagraph"/>
              <w:spacing w:before="41"/>
              <w:ind w:right="96"/>
              <w:rPr>
                <w:sz w:val="20"/>
              </w:rPr>
            </w:pPr>
            <w:r>
              <w:rPr>
                <w:sz w:val="20"/>
              </w:rPr>
              <w:t>67</w:t>
            </w:r>
          </w:p>
        </w:tc>
      </w:tr>
      <w:tr w:rsidR="007C5447">
        <w:trPr>
          <w:trHeight w:val="316"/>
        </w:trPr>
        <w:tc>
          <w:tcPr>
            <w:tcW w:w="708" w:type="dxa"/>
          </w:tcPr>
          <w:p w:rsidR="007C5447" w:rsidRDefault="00F6308C">
            <w:pPr>
              <w:pStyle w:val="TableParagraph"/>
              <w:spacing w:before="55"/>
              <w:ind w:left="97" w:right="93"/>
              <w:jc w:val="center"/>
              <w:rPr>
                <w:sz w:val="18"/>
              </w:rPr>
            </w:pPr>
            <w:r>
              <w:rPr>
                <w:sz w:val="18"/>
              </w:rPr>
              <w:t>III</w:t>
            </w:r>
          </w:p>
        </w:tc>
        <w:tc>
          <w:tcPr>
            <w:tcW w:w="4321" w:type="dxa"/>
          </w:tcPr>
          <w:p w:rsidR="007C5447" w:rsidRDefault="00F6308C">
            <w:pPr>
              <w:pStyle w:val="TableParagraph"/>
              <w:spacing w:before="43"/>
              <w:ind w:left="107"/>
              <w:jc w:val="left"/>
              <w:rPr>
                <w:sz w:val="20"/>
              </w:rPr>
            </w:pPr>
            <w:r>
              <w:rPr>
                <w:sz w:val="20"/>
              </w:rPr>
              <w:t>Cottage and Tiny Industries</w:t>
            </w:r>
          </w:p>
        </w:tc>
        <w:tc>
          <w:tcPr>
            <w:tcW w:w="2206" w:type="dxa"/>
          </w:tcPr>
          <w:p w:rsidR="007C5447" w:rsidRDefault="00F6308C">
            <w:pPr>
              <w:pStyle w:val="TableParagraph"/>
              <w:spacing w:before="43"/>
              <w:ind w:right="97"/>
              <w:rPr>
                <w:sz w:val="20"/>
              </w:rPr>
            </w:pPr>
            <w:r>
              <w:rPr>
                <w:sz w:val="20"/>
              </w:rPr>
              <w:t>89</w:t>
            </w:r>
          </w:p>
        </w:tc>
        <w:tc>
          <w:tcPr>
            <w:tcW w:w="2143" w:type="dxa"/>
          </w:tcPr>
          <w:p w:rsidR="007C5447" w:rsidRDefault="00F6308C">
            <w:pPr>
              <w:pStyle w:val="TableParagraph"/>
              <w:spacing w:before="43"/>
              <w:ind w:right="94"/>
              <w:rPr>
                <w:sz w:val="20"/>
              </w:rPr>
            </w:pPr>
            <w:r>
              <w:rPr>
                <w:sz w:val="20"/>
              </w:rPr>
              <w:t>89</w:t>
            </w:r>
          </w:p>
        </w:tc>
        <w:tc>
          <w:tcPr>
            <w:tcW w:w="2206" w:type="dxa"/>
          </w:tcPr>
          <w:p w:rsidR="007C5447" w:rsidRDefault="00F6308C">
            <w:pPr>
              <w:pStyle w:val="TableParagraph"/>
              <w:spacing w:before="43"/>
              <w:ind w:right="96"/>
              <w:rPr>
                <w:sz w:val="20"/>
              </w:rPr>
            </w:pPr>
            <w:r>
              <w:rPr>
                <w:sz w:val="20"/>
              </w:rPr>
              <w:t>103</w:t>
            </w:r>
          </w:p>
        </w:tc>
        <w:tc>
          <w:tcPr>
            <w:tcW w:w="2119" w:type="dxa"/>
          </w:tcPr>
          <w:p w:rsidR="007C5447" w:rsidRDefault="00F6308C">
            <w:pPr>
              <w:pStyle w:val="TableParagraph"/>
              <w:spacing w:before="43"/>
              <w:ind w:right="96"/>
              <w:rPr>
                <w:sz w:val="20"/>
              </w:rPr>
            </w:pPr>
            <w:r>
              <w:rPr>
                <w:sz w:val="20"/>
              </w:rPr>
              <w:t>103</w:t>
            </w:r>
          </w:p>
        </w:tc>
      </w:tr>
    </w:tbl>
    <w:p w:rsidR="007C5447" w:rsidRDefault="007C5447">
      <w:pPr>
        <w:rPr>
          <w:sz w:val="20"/>
        </w:rPr>
        <w:sectPr w:rsidR="007C5447">
          <w:pgSz w:w="16840" w:h="11910" w:orient="landscape"/>
          <w:pgMar w:top="1100" w:right="1140" w:bottom="1240" w:left="620" w:header="0" w:footer="1057" w:gutter="0"/>
          <w:cols w:space="720"/>
        </w:sectPr>
      </w:pPr>
    </w:p>
    <w:p w:rsidR="007C5447" w:rsidRDefault="007C5447">
      <w:pPr>
        <w:pStyle w:val="BodyText"/>
        <w:rPr>
          <w:b/>
          <w:sz w:val="29"/>
        </w:rPr>
      </w:pPr>
    </w:p>
    <w:tbl>
      <w:tblPr>
        <w:tblW w:w="0" w:type="auto"/>
        <w:tblInd w:w="1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4321"/>
        <w:gridCol w:w="2206"/>
        <w:gridCol w:w="2143"/>
        <w:gridCol w:w="2206"/>
        <w:gridCol w:w="2119"/>
      </w:tblGrid>
      <w:tr w:rsidR="007C5447">
        <w:trPr>
          <w:trHeight w:val="381"/>
        </w:trPr>
        <w:tc>
          <w:tcPr>
            <w:tcW w:w="5029" w:type="dxa"/>
            <w:gridSpan w:val="2"/>
            <w:vMerge w:val="restart"/>
            <w:shd w:val="clear" w:color="auto" w:fill="FBD4B4"/>
          </w:tcPr>
          <w:p w:rsidR="007C5447" w:rsidRDefault="007C5447">
            <w:pPr>
              <w:pStyle w:val="TableParagraph"/>
              <w:jc w:val="left"/>
              <w:rPr>
                <w:b/>
                <w:sz w:val="25"/>
              </w:rPr>
            </w:pPr>
          </w:p>
          <w:p w:rsidR="007C5447" w:rsidRDefault="00F6308C">
            <w:pPr>
              <w:pStyle w:val="TableParagraph"/>
              <w:spacing w:before="1"/>
              <w:ind w:left="1646"/>
              <w:jc w:val="left"/>
              <w:rPr>
                <w:b/>
                <w:sz w:val="20"/>
              </w:rPr>
            </w:pPr>
            <w:r>
              <w:rPr>
                <w:b/>
                <w:sz w:val="20"/>
              </w:rPr>
              <w:t>Consumer Category</w:t>
            </w:r>
          </w:p>
        </w:tc>
        <w:tc>
          <w:tcPr>
            <w:tcW w:w="4349" w:type="dxa"/>
            <w:gridSpan w:val="2"/>
            <w:shd w:val="clear" w:color="auto" w:fill="FBD4B4"/>
          </w:tcPr>
          <w:p w:rsidR="007C5447" w:rsidRDefault="00F6308C">
            <w:pPr>
              <w:pStyle w:val="TableParagraph"/>
              <w:spacing w:before="77"/>
              <w:ind w:left="1643" w:right="1632"/>
              <w:jc w:val="center"/>
              <w:rPr>
                <w:b/>
                <w:sz w:val="20"/>
              </w:rPr>
            </w:pPr>
            <w:r>
              <w:rPr>
                <w:b/>
                <w:sz w:val="20"/>
              </w:rPr>
              <w:t>FY 2014-15</w:t>
            </w:r>
          </w:p>
        </w:tc>
        <w:tc>
          <w:tcPr>
            <w:tcW w:w="4325" w:type="dxa"/>
            <w:gridSpan w:val="2"/>
            <w:shd w:val="clear" w:color="auto" w:fill="FBD4B4"/>
          </w:tcPr>
          <w:p w:rsidR="007C5447" w:rsidRDefault="00F6308C">
            <w:pPr>
              <w:pStyle w:val="TableParagraph"/>
              <w:spacing w:before="77"/>
              <w:ind w:left="1649" w:right="1642"/>
              <w:jc w:val="center"/>
              <w:rPr>
                <w:b/>
                <w:sz w:val="20"/>
              </w:rPr>
            </w:pPr>
            <w:r>
              <w:rPr>
                <w:b/>
                <w:sz w:val="20"/>
              </w:rPr>
              <w:t>FY 2015-16</w:t>
            </w:r>
          </w:p>
        </w:tc>
      </w:tr>
      <w:tr w:rsidR="007C5447">
        <w:trPr>
          <w:trHeight w:val="414"/>
        </w:trPr>
        <w:tc>
          <w:tcPr>
            <w:tcW w:w="5029" w:type="dxa"/>
            <w:gridSpan w:val="2"/>
            <w:vMerge/>
            <w:tcBorders>
              <w:top w:val="nil"/>
            </w:tcBorders>
            <w:shd w:val="clear" w:color="auto" w:fill="FBD4B4"/>
          </w:tcPr>
          <w:p w:rsidR="007C5447" w:rsidRDefault="007C5447">
            <w:pPr>
              <w:rPr>
                <w:sz w:val="2"/>
                <w:szCs w:val="2"/>
              </w:rPr>
            </w:pPr>
          </w:p>
        </w:tc>
        <w:tc>
          <w:tcPr>
            <w:tcW w:w="2206" w:type="dxa"/>
            <w:shd w:val="clear" w:color="auto" w:fill="FBD4B4"/>
          </w:tcPr>
          <w:p w:rsidR="007C5447" w:rsidRDefault="00F6308C">
            <w:pPr>
              <w:pStyle w:val="TableParagraph"/>
              <w:spacing w:before="94"/>
              <w:ind w:left="522"/>
              <w:jc w:val="left"/>
              <w:rPr>
                <w:b/>
                <w:sz w:val="20"/>
              </w:rPr>
            </w:pPr>
            <w:r>
              <w:rPr>
                <w:b/>
                <w:sz w:val="20"/>
              </w:rPr>
              <w:t>TANGEDCO</w:t>
            </w:r>
          </w:p>
        </w:tc>
        <w:tc>
          <w:tcPr>
            <w:tcW w:w="2143" w:type="dxa"/>
            <w:shd w:val="clear" w:color="auto" w:fill="FBD4B4"/>
          </w:tcPr>
          <w:p w:rsidR="007C5447" w:rsidRDefault="00F6308C">
            <w:pPr>
              <w:pStyle w:val="TableParagraph"/>
              <w:spacing w:before="105"/>
              <w:ind w:left="174"/>
              <w:jc w:val="left"/>
              <w:rPr>
                <w:b/>
                <w:sz w:val="18"/>
              </w:rPr>
            </w:pPr>
            <w:r>
              <w:rPr>
                <w:b/>
                <w:sz w:val="18"/>
              </w:rPr>
              <w:t>Approved after true up</w:t>
            </w:r>
          </w:p>
        </w:tc>
        <w:tc>
          <w:tcPr>
            <w:tcW w:w="2206" w:type="dxa"/>
            <w:shd w:val="clear" w:color="auto" w:fill="FBD4B4"/>
          </w:tcPr>
          <w:p w:rsidR="007C5447" w:rsidRDefault="00F6308C">
            <w:pPr>
              <w:pStyle w:val="TableParagraph"/>
              <w:spacing w:before="94"/>
              <w:ind w:left="522"/>
              <w:jc w:val="left"/>
              <w:rPr>
                <w:b/>
                <w:sz w:val="20"/>
              </w:rPr>
            </w:pPr>
            <w:r>
              <w:rPr>
                <w:b/>
                <w:sz w:val="20"/>
              </w:rPr>
              <w:t>TANGEDCO</w:t>
            </w:r>
          </w:p>
        </w:tc>
        <w:tc>
          <w:tcPr>
            <w:tcW w:w="2119" w:type="dxa"/>
            <w:shd w:val="clear" w:color="auto" w:fill="FBD4B4"/>
          </w:tcPr>
          <w:p w:rsidR="007C5447" w:rsidRDefault="00F6308C">
            <w:pPr>
              <w:pStyle w:val="TableParagraph"/>
              <w:spacing w:before="105"/>
              <w:ind w:right="153"/>
              <w:rPr>
                <w:b/>
                <w:sz w:val="18"/>
              </w:rPr>
            </w:pPr>
            <w:r>
              <w:rPr>
                <w:b/>
                <w:sz w:val="18"/>
              </w:rPr>
              <w:t>Approved after true up</w:t>
            </w:r>
          </w:p>
        </w:tc>
      </w:tr>
      <w:tr w:rsidR="007C5447">
        <w:trPr>
          <w:trHeight w:val="316"/>
        </w:trPr>
        <w:tc>
          <w:tcPr>
            <w:tcW w:w="708" w:type="dxa"/>
          </w:tcPr>
          <w:p w:rsidR="007C5447" w:rsidRDefault="00F6308C">
            <w:pPr>
              <w:pStyle w:val="TableParagraph"/>
              <w:spacing w:before="16"/>
              <w:ind w:left="96" w:right="95"/>
              <w:jc w:val="center"/>
              <w:rPr>
                <w:sz w:val="18"/>
              </w:rPr>
            </w:pPr>
            <w:r>
              <w:rPr>
                <w:sz w:val="18"/>
              </w:rPr>
              <w:t>(A)-1</w:t>
            </w:r>
          </w:p>
        </w:tc>
        <w:tc>
          <w:tcPr>
            <w:tcW w:w="4321" w:type="dxa"/>
          </w:tcPr>
          <w:p w:rsidR="007C5447" w:rsidRDefault="007C5447">
            <w:pPr>
              <w:pStyle w:val="TableParagraph"/>
              <w:jc w:val="left"/>
              <w:rPr>
                <w:sz w:val="20"/>
              </w:rPr>
            </w:pPr>
          </w:p>
        </w:tc>
        <w:tc>
          <w:tcPr>
            <w:tcW w:w="2206" w:type="dxa"/>
          </w:tcPr>
          <w:p w:rsidR="007C5447" w:rsidRDefault="007C5447">
            <w:pPr>
              <w:pStyle w:val="TableParagraph"/>
              <w:jc w:val="left"/>
              <w:rPr>
                <w:sz w:val="20"/>
              </w:rPr>
            </w:pPr>
          </w:p>
        </w:tc>
        <w:tc>
          <w:tcPr>
            <w:tcW w:w="2143" w:type="dxa"/>
          </w:tcPr>
          <w:p w:rsidR="007C5447" w:rsidRDefault="007C5447">
            <w:pPr>
              <w:pStyle w:val="TableParagraph"/>
              <w:jc w:val="left"/>
              <w:rPr>
                <w:sz w:val="20"/>
              </w:rPr>
            </w:pPr>
          </w:p>
        </w:tc>
        <w:tc>
          <w:tcPr>
            <w:tcW w:w="2206" w:type="dxa"/>
          </w:tcPr>
          <w:p w:rsidR="007C5447" w:rsidRDefault="007C5447">
            <w:pPr>
              <w:pStyle w:val="TableParagraph"/>
              <w:jc w:val="left"/>
              <w:rPr>
                <w:sz w:val="20"/>
              </w:rPr>
            </w:pPr>
          </w:p>
        </w:tc>
        <w:tc>
          <w:tcPr>
            <w:tcW w:w="2119" w:type="dxa"/>
          </w:tcPr>
          <w:p w:rsidR="007C5447" w:rsidRDefault="007C5447">
            <w:pPr>
              <w:pStyle w:val="TableParagraph"/>
              <w:jc w:val="left"/>
              <w:rPr>
                <w:sz w:val="20"/>
              </w:rPr>
            </w:pPr>
          </w:p>
        </w:tc>
      </w:tr>
      <w:tr w:rsidR="007C5447">
        <w:trPr>
          <w:trHeight w:val="443"/>
        </w:trPr>
        <w:tc>
          <w:tcPr>
            <w:tcW w:w="708" w:type="dxa"/>
          </w:tcPr>
          <w:p w:rsidR="007C5447" w:rsidRDefault="00F6308C">
            <w:pPr>
              <w:pStyle w:val="TableParagraph"/>
              <w:spacing w:before="20" w:line="206" w:lineRule="exact"/>
              <w:ind w:left="150" w:right="147" w:firstLine="110"/>
              <w:jc w:val="left"/>
              <w:rPr>
                <w:sz w:val="18"/>
              </w:rPr>
            </w:pPr>
            <w:r>
              <w:rPr>
                <w:sz w:val="18"/>
              </w:rPr>
              <w:t>III (A)-2</w:t>
            </w:r>
          </w:p>
        </w:tc>
        <w:tc>
          <w:tcPr>
            <w:tcW w:w="4321" w:type="dxa"/>
          </w:tcPr>
          <w:p w:rsidR="007C5447" w:rsidRDefault="00F6308C">
            <w:pPr>
              <w:pStyle w:val="TableParagraph"/>
              <w:spacing w:before="108"/>
              <w:ind w:left="107"/>
              <w:jc w:val="left"/>
              <w:rPr>
                <w:sz w:val="20"/>
              </w:rPr>
            </w:pPr>
            <w:r>
              <w:rPr>
                <w:sz w:val="20"/>
              </w:rPr>
              <w:t>Power Loom</w:t>
            </w:r>
          </w:p>
        </w:tc>
        <w:tc>
          <w:tcPr>
            <w:tcW w:w="2206" w:type="dxa"/>
          </w:tcPr>
          <w:p w:rsidR="007C5447" w:rsidRDefault="00F6308C">
            <w:pPr>
              <w:pStyle w:val="TableParagraph"/>
              <w:spacing w:before="108"/>
              <w:ind w:right="97"/>
              <w:rPr>
                <w:sz w:val="20"/>
              </w:rPr>
            </w:pPr>
            <w:r>
              <w:rPr>
                <w:sz w:val="20"/>
              </w:rPr>
              <w:t>226</w:t>
            </w:r>
          </w:p>
        </w:tc>
        <w:tc>
          <w:tcPr>
            <w:tcW w:w="2143" w:type="dxa"/>
          </w:tcPr>
          <w:p w:rsidR="007C5447" w:rsidRDefault="00F6308C">
            <w:pPr>
              <w:pStyle w:val="TableParagraph"/>
              <w:spacing w:before="108"/>
              <w:ind w:right="94"/>
              <w:rPr>
                <w:sz w:val="20"/>
              </w:rPr>
            </w:pPr>
            <w:r>
              <w:rPr>
                <w:sz w:val="20"/>
              </w:rPr>
              <w:t>226</w:t>
            </w:r>
          </w:p>
        </w:tc>
        <w:tc>
          <w:tcPr>
            <w:tcW w:w="2206" w:type="dxa"/>
          </w:tcPr>
          <w:p w:rsidR="007C5447" w:rsidRDefault="00F6308C">
            <w:pPr>
              <w:pStyle w:val="TableParagraph"/>
              <w:spacing w:before="108"/>
              <w:ind w:right="96"/>
              <w:rPr>
                <w:sz w:val="20"/>
              </w:rPr>
            </w:pPr>
            <w:r>
              <w:rPr>
                <w:sz w:val="20"/>
              </w:rPr>
              <w:t>271</w:t>
            </w:r>
          </w:p>
        </w:tc>
        <w:tc>
          <w:tcPr>
            <w:tcW w:w="2119" w:type="dxa"/>
          </w:tcPr>
          <w:p w:rsidR="007C5447" w:rsidRDefault="00F6308C">
            <w:pPr>
              <w:pStyle w:val="TableParagraph"/>
              <w:spacing w:before="108"/>
              <w:ind w:right="96"/>
              <w:rPr>
                <w:sz w:val="20"/>
              </w:rPr>
            </w:pPr>
            <w:r>
              <w:rPr>
                <w:sz w:val="20"/>
              </w:rPr>
              <w:t>271</w:t>
            </w:r>
          </w:p>
        </w:tc>
      </w:tr>
      <w:tr w:rsidR="007C5447">
        <w:trPr>
          <w:trHeight w:val="316"/>
        </w:trPr>
        <w:tc>
          <w:tcPr>
            <w:tcW w:w="708" w:type="dxa"/>
          </w:tcPr>
          <w:p w:rsidR="007C5447" w:rsidRDefault="00F6308C">
            <w:pPr>
              <w:pStyle w:val="TableParagraph"/>
              <w:spacing w:before="55"/>
              <w:ind w:left="97" w:right="95"/>
              <w:jc w:val="center"/>
              <w:rPr>
                <w:sz w:val="18"/>
              </w:rPr>
            </w:pPr>
            <w:r>
              <w:rPr>
                <w:sz w:val="18"/>
              </w:rPr>
              <w:t>III (B)</w:t>
            </w:r>
          </w:p>
        </w:tc>
        <w:tc>
          <w:tcPr>
            <w:tcW w:w="4321" w:type="dxa"/>
          </w:tcPr>
          <w:p w:rsidR="007C5447" w:rsidRDefault="00F6308C">
            <w:pPr>
              <w:pStyle w:val="TableParagraph"/>
              <w:spacing w:before="43"/>
              <w:ind w:left="107"/>
              <w:jc w:val="left"/>
              <w:rPr>
                <w:sz w:val="20"/>
              </w:rPr>
            </w:pPr>
            <w:r>
              <w:rPr>
                <w:sz w:val="20"/>
              </w:rPr>
              <w:t>Industries</w:t>
            </w:r>
          </w:p>
        </w:tc>
        <w:tc>
          <w:tcPr>
            <w:tcW w:w="2206" w:type="dxa"/>
          </w:tcPr>
          <w:p w:rsidR="007C5447" w:rsidRDefault="00F6308C">
            <w:pPr>
              <w:pStyle w:val="TableParagraph"/>
              <w:spacing w:before="43"/>
              <w:ind w:right="98"/>
              <w:rPr>
                <w:sz w:val="20"/>
              </w:rPr>
            </w:pPr>
            <w:r>
              <w:rPr>
                <w:w w:val="95"/>
                <w:sz w:val="20"/>
              </w:rPr>
              <w:t>3,618</w:t>
            </w:r>
          </w:p>
        </w:tc>
        <w:tc>
          <w:tcPr>
            <w:tcW w:w="2143" w:type="dxa"/>
          </w:tcPr>
          <w:p w:rsidR="007C5447" w:rsidRDefault="00F6308C">
            <w:pPr>
              <w:pStyle w:val="TableParagraph"/>
              <w:spacing w:before="43"/>
              <w:ind w:right="95"/>
              <w:rPr>
                <w:sz w:val="20"/>
              </w:rPr>
            </w:pPr>
            <w:r>
              <w:rPr>
                <w:w w:val="95"/>
                <w:sz w:val="20"/>
              </w:rPr>
              <w:t>3,618</w:t>
            </w:r>
          </w:p>
        </w:tc>
        <w:tc>
          <w:tcPr>
            <w:tcW w:w="2206" w:type="dxa"/>
          </w:tcPr>
          <w:p w:rsidR="007C5447" w:rsidRDefault="00F6308C">
            <w:pPr>
              <w:pStyle w:val="TableParagraph"/>
              <w:spacing w:before="43"/>
              <w:ind w:right="98"/>
              <w:rPr>
                <w:sz w:val="20"/>
              </w:rPr>
            </w:pPr>
            <w:r>
              <w:rPr>
                <w:w w:val="95"/>
                <w:sz w:val="20"/>
              </w:rPr>
              <w:t>4,376</w:t>
            </w:r>
          </w:p>
        </w:tc>
        <w:tc>
          <w:tcPr>
            <w:tcW w:w="2119" w:type="dxa"/>
          </w:tcPr>
          <w:p w:rsidR="007C5447" w:rsidRDefault="00F6308C">
            <w:pPr>
              <w:pStyle w:val="TableParagraph"/>
              <w:spacing w:before="43"/>
              <w:ind w:right="97"/>
              <w:rPr>
                <w:sz w:val="20"/>
              </w:rPr>
            </w:pPr>
            <w:r>
              <w:rPr>
                <w:w w:val="95"/>
                <w:sz w:val="20"/>
              </w:rPr>
              <w:t>4,376</w:t>
            </w:r>
          </w:p>
        </w:tc>
      </w:tr>
      <w:tr w:rsidR="007C5447">
        <w:trPr>
          <w:trHeight w:val="316"/>
        </w:trPr>
        <w:tc>
          <w:tcPr>
            <w:tcW w:w="708" w:type="dxa"/>
          </w:tcPr>
          <w:p w:rsidR="007C5447" w:rsidRDefault="00F6308C">
            <w:pPr>
              <w:pStyle w:val="TableParagraph"/>
              <w:spacing w:before="55"/>
              <w:ind w:left="97" w:right="92"/>
              <w:jc w:val="center"/>
              <w:rPr>
                <w:sz w:val="18"/>
              </w:rPr>
            </w:pPr>
            <w:r>
              <w:rPr>
                <w:sz w:val="18"/>
              </w:rPr>
              <w:t>IV</w:t>
            </w:r>
          </w:p>
        </w:tc>
        <w:tc>
          <w:tcPr>
            <w:tcW w:w="4321" w:type="dxa"/>
          </w:tcPr>
          <w:p w:rsidR="007C5447" w:rsidRDefault="00F6308C">
            <w:pPr>
              <w:pStyle w:val="TableParagraph"/>
              <w:spacing w:before="43"/>
              <w:ind w:left="107"/>
              <w:jc w:val="left"/>
              <w:rPr>
                <w:sz w:val="20"/>
              </w:rPr>
            </w:pPr>
            <w:r>
              <w:rPr>
                <w:sz w:val="20"/>
              </w:rPr>
              <w:t>Agriculture &amp; Government seed farm</w:t>
            </w:r>
          </w:p>
        </w:tc>
        <w:tc>
          <w:tcPr>
            <w:tcW w:w="2206" w:type="dxa"/>
          </w:tcPr>
          <w:p w:rsidR="007C5447" w:rsidRDefault="00F6308C">
            <w:pPr>
              <w:pStyle w:val="TableParagraph"/>
              <w:spacing w:before="43"/>
              <w:ind w:right="95"/>
              <w:rPr>
                <w:sz w:val="20"/>
              </w:rPr>
            </w:pPr>
            <w:r>
              <w:rPr>
                <w:w w:val="99"/>
                <w:sz w:val="20"/>
              </w:rPr>
              <w:t>-</w:t>
            </w:r>
          </w:p>
        </w:tc>
        <w:tc>
          <w:tcPr>
            <w:tcW w:w="2143" w:type="dxa"/>
          </w:tcPr>
          <w:p w:rsidR="007C5447" w:rsidRDefault="00F6308C">
            <w:pPr>
              <w:pStyle w:val="TableParagraph"/>
              <w:spacing w:before="43"/>
              <w:ind w:right="92"/>
              <w:rPr>
                <w:sz w:val="20"/>
              </w:rPr>
            </w:pPr>
            <w:r>
              <w:rPr>
                <w:w w:val="99"/>
                <w:sz w:val="20"/>
              </w:rPr>
              <w:t>-</w:t>
            </w:r>
          </w:p>
        </w:tc>
        <w:tc>
          <w:tcPr>
            <w:tcW w:w="2206" w:type="dxa"/>
          </w:tcPr>
          <w:p w:rsidR="007C5447" w:rsidRDefault="00F6308C">
            <w:pPr>
              <w:pStyle w:val="TableParagraph"/>
              <w:spacing w:before="43"/>
              <w:ind w:right="94"/>
              <w:rPr>
                <w:sz w:val="20"/>
              </w:rPr>
            </w:pPr>
            <w:r>
              <w:rPr>
                <w:w w:val="99"/>
                <w:sz w:val="20"/>
              </w:rPr>
              <w:t>-</w:t>
            </w:r>
          </w:p>
        </w:tc>
        <w:tc>
          <w:tcPr>
            <w:tcW w:w="2119" w:type="dxa"/>
          </w:tcPr>
          <w:p w:rsidR="007C5447" w:rsidRDefault="00F6308C">
            <w:pPr>
              <w:pStyle w:val="TableParagraph"/>
              <w:spacing w:before="43"/>
              <w:ind w:right="94"/>
              <w:rPr>
                <w:sz w:val="20"/>
              </w:rPr>
            </w:pPr>
            <w:r>
              <w:rPr>
                <w:w w:val="99"/>
                <w:sz w:val="20"/>
              </w:rPr>
              <w:t>-</w:t>
            </w:r>
          </w:p>
        </w:tc>
      </w:tr>
      <w:tr w:rsidR="007C5447">
        <w:trPr>
          <w:trHeight w:val="317"/>
        </w:trPr>
        <w:tc>
          <w:tcPr>
            <w:tcW w:w="708" w:type="dxa"/>
          </w:tcPr>
          <w:p w:rsidR="007C5447" w:rsidRDefault="00F6308C">
            <w:pPr>
              <w:pStyle w:val="TableParagraph"/>
              <w:spacing w:before="55"/>
              <w:ind w:left="2"/>
              <w:jc w:val="center"/>
              <w:rPr>
                <w:sz w:val="18"/>
              </w:rPr>
            </w:pPr>
            <w:r>
              <w:rPr>
                <w:w w:val="99"/>
                <w:sz w:val="18"/>
              </w:rPr>
              <w:t>V</w:t>
            </w:r>
          </w:p>
        </w:tc>
        <w:tc>
          <w:tcPr>
            <w:tcW w:w="4321" w:type="dxa"/>
          </w:tcPr>
          <w:p w:rsidR="007C5447" w:rsidRDefault="00F6308C">
            <w:pPr>
              <w:pStyle w:val="TableParagraph"/>
              <w:spacing w:before="44"/>
              <w:ind w:left="107"/>
              <w:jc w:val="left"/>
              <w:rPr>
                <w:sz w:val="20"/>
              </w:rPr>
            </w:pPr>
            <w:r>
              <w:rPr>
                <w:sz w:val="20"/>
              </w:rPr>
              <w:t>Commercial and Other</w:t>
            </w:r>
          </w:p>
        </w:tc>
        <w:tc>
          <w:tcPr>
            <w:tcW w:w="2206" w:type="dxa"/>
          </w:tcPr>
          <w:p w:rsidR="007C5447" w:rsidRDefault="00F6308C">
            <w:pPr>
              <w:pStyle w:val="TableParagraph"/>
              <w:spacing w:before="44"/>
              <w:ind w:right="98"/>
              <w:rPr>
                <w:sz w:val="20"/>
              </w:rPr>
            </w:pPr>
            <w:r>
              <w:rPr>
                <w:w w:val="95"/>
                <w:sz w:val="20"/>
              </w:rPr>
              <w:t>4,816</w:t>
            </w:r>
          </w:p>
        </w:tc>
        <w:tc>
          <w:tcPr>
            <w:tcW w:w="2143" w:type="dxa"/>
          </w:tcPr>
          <w:p w:rsidR="007C5447" w:rsidRDefault="00F6308C">
            <w:pPr>
              <w:pStyle w:val="TableParagraph"/>
              <w:spacing w:before="44"/>
              <w:ind w:right="95"/>
              <w:rPr>
                <w:sz w:val="20"/>
              </w:rPr>
            </w:pPr>
            <w:r>
              <w:rPr>
                <w:w w:val="95"/>
                <w:sz w:val="20"/>
              </w:rPr>
              <w:t>4,816</w:t>
            </w:r>
          </w:p>
        </w:tc>
        <w:tc>
          <w:tcPr>
            <w:tcW w:w="2206" w:type="dxa"/>
          </w:tcPr>
          <w:p w:rsidR="007C5447" w:rsidRDefault="00F6308C">
            <w:pPr>
              <w:pStyle w:val="TableParagraph"/>
              <w:spacing w:before="44"/>
              <w:ind w:right="98"/>
              <w:rPr>
                <w:sz w:val="20"/>
              </w:rPr>
            </w:pPr>
            <w:r>
              <w:rPr>
                <w:w w:val="95"/>
                <w:sz w:val="20"/>
              </w:rPr>
              <w:t>5,682</w:t>
            </w:r>
          </w:p>
        </w:tc>
        <w:tc>
          <w:tcPr>
            <w:tcW w:w="2119" w:type="dxa"/>
          </w:tcPr>
          <w:p w:rsidR="007C5447" w:rsidRDefault="00F6308C">
            <w:pPr>
              <w:pStyle w:val="TableParagraph"/>
              <w:spacing w:before="44"/>
              <w:ind w:right="97"/>
              <w:rPr>
                <w:sz w:val="20"/>
              </w:rPr>
            </w:pPr>
            <w:r>
              <w:rPr>
                <w:w w:val="95"/>
                <w:sz w:val="20"/>
              </w:rPr>
              <w:t>5,682</w:t>
            </w:r>
          </w:p>
        </w:tc>
      </w:tr>
      <w:tr w:rsidR="007C5447">
        <w:trPr>
          <w:trHeight w:val="316"/>
        </w:trPr>
        <w:tc>
          <w:tcPr>
            <w:tcW w:w="708" w:type="dxa"/>
          </w:tcPr>
          <w:p w:rsidR="007C5447" w:rsidRDefault="00F6308C">
            <w:pPr>
              <w:pStyle w:val="TableParagraph"/>
              <w:spacing w:before="55"/>
              <w:ind w:left="97" w:right="88"/>
              <w:jc w:val="center"/>
              <w:rPr>
                <w:sz w:val="18"/>
              </w:rPr>
            </w:pPr>
            <w:r>
              <w:rPr>
                <w:sz w:val="18"/>
              </w:rPr>
              <w:t>VI</w:t>
            </w:r>
          </w:p>
        </w:tc>
        <w:tc>
          <w:tcPr>
            <w:tcW w:w="4321" w:type="dxa"/>
          </w:tcPr>
          <w:p w:rsidR="007C5447" w:rsidRDefault="00F6308C">
            <w:pPr>
              <w:pStyle w:val="TableParagraph"/>
              <w:spacing w:before="43"/>
              <w:ind w:left="107"/>
              <w:jc w:val="left"/>
              <w:rPr>
                <w:sz w:val="20"/>
              </w:rPr>
            </w:pPr>
            <w:r>
              <w:rPr>
                <w:sz w:val="20"/>
              </w:rPr>
              <w:t>Temporary Supply</w:t>
            </w:r>
          </w:p>
        </w:tc>
        <w:tc>
          <w:tcPr>
            <w:tcW w:w="2206" w:type="dxa"/>
          </w:tcPr>
          <w:p w:rsidR="007C5447" w:rsidRDefault="00F6308C">
            <w:pPr>
              <w:pStyle w:val="TableParagraph"/>
              <w:spacing w:before="43"/>
              <w:ind w:right="97"/>
              <w:rPr>
                <w:sz w:val="20"/>
              </w:rPr>
            </w:pPr>
            <w:r>
              <w:rPr>
                <w:sz w:val="20"/>
              </w:rPr>
              <w:t>193</w:t>
            </w:r>
          </w:p>
        </w:tc>
        <w:tc>
          <w:tcPr>
            <w:tcW w:w="2143" w:type="dxa"/>
          </w:tcPr>
          <w:p w:rsidR="007C5447" w:rsidRDefault="00F6308C">
            <w:pPr>
              <w:pStyle w:val="TableParagraph"/>
              <w:spacing w:before="43"/>
              <w:ind w:right="94"/>
              <w:rPr>
                <w:sz w:val="20"/>
              </w:rPr>
            </w:pPr>
            <w:r>
              <w:rPr>
                <w:sz w:val="20"/>
              </w:rPr>
              <w:t>193</w:t>
            </w:r>
          </w:p>
        </w:tc>
        <w:tc>
          <w:tcPr>
            <w:tcW w:w="2206" w:type="dxa"/>
          </w:tcPr>
          <w:p w:rsidR="007C5447" w:rsidRDefault="00F6308C">
            <w:pPr>
              <w:pStyle w:val="TableParagraph"/>
              <w:spacing w:before="43"/>
              <w:ind w:right="96"/>
              <w:rPr>
                <w:sz w:val="20"/>
              </w:rPr>
            </w:pPr>
            <w:r>
              <w:rPr>
                <w:sz w:val="20"/>
              </w:rPr>
              <w:t>231</w:t>
            </w:r>
          </w:p>
        </w:tc>
        <w:tc>
          <w:tcPr>
            <w:tcW w:w="2119" w:type="dxa"/>
          </w:tcPr>
          <w:p w:rsidR="007C5447" w:rsidRDefault="00F6308C">
            <w:pPr>
              <w:pStyle w:val="TableParagraph"/>
              <w:spacing w:before="43"/>
              <w:ind w:right="96"/>
              <w:rPr>
                <w:sz w:val="20"/>
              </w:rPr>
            </w:pPr>
            <w:r>
              <w:rPr>
                <w:sz w:val="20"/>
              </w:rPr>
              <w:t>231</w:t>
            </w:r>
          </w:p>
        </w:tc>
      </w:tr>
      <w:tr w:rsidR="007C5447">
        <w:trPr>
          <w:trHeight w:val="316"/>
        </w:trPr>
        <w:tc>
          <w:tcPr>
            <w:tcW w:w="708" w:type="dxa"/>
          </w:tcPr>
          <w:p w:rsidR="007C5447" w:rsidRDefault="007C5447">
            <w:pPr>
              <w:pStyle w:val="TableParagraph"/>
              <w:jc w:val="left"/>
              <w:rPr>
                <w:sz w:val="20"/>
              </w:rPr>
            </w:pPr>
          </w:p>
        </w:tc>
        <w:tc>
          <w:tcPr>
            <w:tcW w:w="4321" w:type="dxa"/>
          </w:tcPr>
          <w:p w:rsidR="007C5447" w:rsidRDefault="00F6308C">
            <w:pPr>
              <w:pStyle w:val="TableParagraph"/>
              <w:spacing w:before="43"/>
              <w:ind w:left="107"/>
              <w:jc w:val="left"/>
              <w:rPr>
                <w:b/>
                <w:sz w:val="20"/>
              </w:rPr>
            </w:pPr>
            <w:r>
              <w:rPr>
                <w:b/>
                <w:sz w:val="20"/>
              </w:rPr>
              <w:t>TOTAL LT category revenue</w:t>
            </w:r>
          </w:p>
        </w:tc>
        <w:tc>
          <w:tcPr>
            <w:tcW w:w="2206" w:type="dxa"/>
          </w:tcPr>
          <w:p w:rsidR="007C5447" w:rsidRDefault="00F6308C">
            <w:pPr>
              <w:pStyle w:val="TableParagraph"/>
              <w:spacing w:before="43"/>
              <w:ind w:right="99"/>
              <w:rPr>
                <w:b/>
                <w:sz w:val="20"/>
              </w:rPr>
            </w:pPr>
            <w:r>
              <w:rPr>
                <w:b/>
                <w:w w:val="95"/>
                <w:sz w:val="20"/>
              </w:rPr>
              <w:t>16,157</w:t>
            </w:r>
          </w:p>
        </w:tc>
        <w:tc>
          <w:tcPr>
            <w:tcW w:w="2143" w:type="dxa"/>
          </w:tcPr>
          <w:p w:rsidR="007C5447" w:rsidRDefault="00F6308C">
            <w:pPr>
              <w:pStyle w:val="TableParagraph"/>
              <w:spacing w:before="43"/>
              <w:ind w:right="96"/>
              <w:rPr>
                <w:b/>
                <w:sz w:val="20"/>
              </w:rPr>
            </w:pPr>
            <w:r>
              <w:rPr>
                <w:b/>
                <w:w w:val="95"/>
                <w:sz w:val="20"/>
              </w:rPr>
              <w:t>16,156</w:t>
            </w:r>
          </w:p>
        </w:tc>
        <w:tc>
          <w:tcPr>
            <w:tcW w:w="2206" w:type="dxa"/>
          </w:tcPr>
          <w:p w:rsidR="007C5447" w:rsidRDefault="00F6308C">
            <w:pPr>
              <w:pStyle w:val="TableParagraph"/>
              <w:spacing w:before="43"/>
              <w:ind w:right="98"/>
              <w:rPr>
                <w:b/>
                <w:sz w:val="20"/>
              </w:rPr>
            </w:pPr>
            <w:r>
              <w:rPr>
                <w:b/>
                <w:w w:val="95"/>
                <w:sz w:val="20"/>
              </w:rPr>
              <w:t>19,336</w:t>
            </w:r>
          </w:p>
        </w:tc>
        <w:tc>
          <w:tcPr>
            <w:tcW w:w="2119" w:type="dxa"/>
          </w:tcPr>
          <w:p w:rsidR="007C5447" w:rsidRDefault="00F6308C">
            <w:pPr>
              <w:pStyle w:val="TableParagraph"/>
              <w:spacing w:before="43"/>
              <w:ind w:right="98"/>
              <w:rPr>
                <w:b/>
                <w:sz w:val="20"/>
              </w:rPr>
            </w:pPr>
            <w:r>
              <w:rPr>
                <w:b/>
                <w:w w:val="95"/>
                <w:sz w:val="20"/>
              </w:rPr>
              <w:t>19,336</w:t>
            </w:r>
          </w:p>
        </w:tc>
      </w:tr>
      <w:tr w:rsidR="007C5447">
        <w:trPr>
          <w:trHeight w:val="313"/>
        </w:trPr>
        <w:tc>
          <w:tcPr>
            <w:tcW w:w="708" w:type="dxa"/>
          </w:tcPr>
          <w:p w:rsidR="007C5447" w:rsidRDefault="007C5447">
            <w:pPr>
              <w:pStyle w:val="TableParagraph"/>
              <w:jc w:val="left"/>
              <w:rPr>
                <w:sz w:val="20"/>
              </w:rPr>
            </w:pPr>
          </w:p>
        </w:tc>
        <w:tc>
          <w:tcPr>
            <w:tcW w:w="4321" w:type="dxa"/>
          </w:tcPr>
          <w:p w:rsidR="007C5447" w:rsidRDefault="007C5447">
            <w:pPr>
              <w:pStyle w:val="TableParagraph"/>
              <w:jc w:val="left"/>
              <w:rPr>
                <w:sz w:val="20"/>
              </w:rPr>
            </w:pPr>
          </w:p>
        </w:tc>
        <w:tc>
          <w:tcPr>
            <w:tcW w:w="2206" w:type="dxa"/>
          </w:tcPr>
          <w:p w:rsidR="007C5447" w:rsidRDefault="007C5447">
            <w:pPr>
              <w:pStyle w:val="TableParagraph"/>
              <w:jc w:val="left"/>
              <w:rPr>
                <w:sz w:val="20"/>
              </w:rPr>
            </w:pPr>
          </w:p>
        </w:tc>
        <w:tc>
          <w:tcPr>
            <w:tcW w:w="2143" w:type="dxa"/>
          </w:tcPr>
          <w:p w:rsidR="007C5447" w:rsidRDefault="007C5447">
            <w:pPr>
              <w:pStyle w:val="TableParagraph"/>
              <w:jc w:val="left"/>
              <w:rPr>
                <w:sz w:val="20"/>
              </w:rPr>
            </w:pPr>
          </w:p>
        </w:tc>
        <w:tc>
          <w:tcPr>
            <w:tcW w:w="2206" w:type="dxa"/>
          </w:tcPr>
          <w:p w:rsidR="007C5447" w:rsidRDefault="007C5447">
            <w:pPr>
              <w:pStyle w:val="TableParagraph"/>
              <w:jc w:val="left"/>
              <w:rPr>
                <w:sz w:val="20"/>
              </w:rPr>
            </w:pPr>
          </w:p>
        </w:tc>
        <w:tc>
          <w:tcPr>
            <w:tcW w:w="2119" w:type="dxa"/>
          </w:tcPr>
          <w:p w:rsidR="007C5447" w:rsidRDefault="007C5447">
            <w:pPr>
              <w:pStyle w:val="TableParagraph"/>
              <w:jc w:val="left"/>
              <w:rPr>
                <w:sz w:val="20"/>
              </w:rPr>
            </w:pPr>
          </w:p>
        </w:tc>
      </w:tr>
      <w:tr w:rsidR="007C5447">
        <w:trPr>
          <w:trHeight w:val="316"/>
        </w:trPr>
        <w:tc>
          <w:tcPr>
            <w:tcW w:w="708" w:type="dxa"/>
          </w:tcPr>
          <w:p w:rsidR="007C5447" w:rsidRDefault="007C5447">
            <w:pPr>
              <w:pStyle w:val="TableParagraph"/>
              <w:jc w:val="left"/>
              <w:rPr>
                <w:sz w:val="20"/>
              </w:rPr>
            </w:pPr>
          </w:p>
        </w:tc>
        <w:tc>
          <w:tcPr>
            <w:tcW w:w="4321" w:type="dxa"/>
          </w:tcPr>
          <w:p w:rsidR="007C5447" w:rsidRDefault="00F6308C">
            <w:pPr>
              <w:pStyle w:val="TableParagraph"/>
              <w:spacing w:before="43"/>
              <w:ind w:left="107"/>
              <w:jc w:val="left"/>
              <w:rPr>
                <w:b/>
                <w:sz w:val="20"/>
              </w:rPr>
            </w:pPr>
            <w:r>
              <w:rPr>
                <w:b/>
                <w:sz w:val="20"/>
              </w:rPr>
              <w:t>TOTAL Revenue from LT &amp; HT</w:t>
            </w:r>
          </w:p>
        </w:tc>
        <w:tc>
          <w:tcPr>
            <w:tcW w:w="2206" w:type="dxa"/>
          </w:tcPr>
          <w:p w:rsidR="007C5447" w:rsidRDefault="00F6308C">
            <w:pPr>
              <w:pStyle w:val="TableParagraph"/>
              <w:spacing w:before="43"/>
              <w:ind w:right="99"/>
              <w:rPr>
                <w:b/>
                <w:sz w:val="20"/>
              </w:rPr>
            </w:pPr>
            <w:r>
              <w:rPr>
                <w:b/>
                <w:w w:val="95"/>
                <w:sz w:val="20"/>
              </w:rPr>
              <w:t>28,174*</w:t>
            </w:r>
          </w:p>
        </w:tc>
        <w:tc>
          <w:tcPr>
            <w:tcW w:w="2143" w:type="dxa"/>
          </w:tcPr>
          <w:p w:rsidR="007C5447" w:rsidRDefault="00F6308C">
            <w:pPr>
              <w:pStyle w:val="TableParagraph"/>
              <w:spacing w:before="43"/>
              <w:ind w:right="96"/>
              <w:rPr>
                <w:b/>
                <w:sz w:val="20"/>
              </w:rPr>
            </w:pPr>
            <w:r>
              <w:rPr>
                <w:b/>
                <w:w w:val="95"/>
                <w:sz w:val="20"/>
              </w:rPr>
              <w:t>34,111</w:t>
            </w:r>
          </w:p>
        </w:tc>
        <w:tc>
          <w:tcPr>
            <w:tcW w:w="2206" w:type="dxa"/>
          </w:tcPr>
          <w:p w:rsidR="007C5447" w:rsidRDefault="00F6308C">
            <w:pPr>
              <w:pStyle w:val="TableParagraph"/>
              <w:spacing w:before="43"/>
              <w:ind w:right="98"/>
              <w:rPr>
                <w:b/>
                <w:sz w:val="20"/>
              </w:rPr>
            </w:pPr>
            <w:r>
              <w:rPr>
                <w:b/>
                <w:w w:val="95"/>
                <w:sz w:val="20"/>
              </w:rPr>
              <w:t>33,381*</w:t>
            </w:r>
          </w:p>
        </w:tc>
        <w:tc>
          <w:tcPr>
            <w:tcW w:w="2119" w:type="dxa"/>
          </w:tcPr>
          <w:p w:rsidR="007C5447" w:rsidRDefault="00F6308C">
            <w:pPr>
              <w:pStyle w:val="TableParagraph"/>
              <w:spacing w:before="43"/>
              <w:ind w:right="98"/>
              <w:rPr>
                <w:b/>
                <w:sz w:val="20"/>
              </w:rPr>
            </w:pPr>
            <w:r>
              <w:rPr>
                <w:b/>
                <w:w w:val="95"/>
                <w:sz w:val="20"/>
              </w:rPr>
              <w:t>40,663</w:t>
            </w:r>
          </w:p>
        </w:tc>
      </w:tr>
      <w:tr w:rsidR="007C5447">
        <w:trPr>
          <w:trHeight w:val="316"/>
        </w:trPr>
        <w:tc>
          <w:tcPr>
            <w:tcW w:w="708" w:type="dxa"/>
          </w:tcPr>
          <w:p w:rsidR="007C5447" w:rsidRDefault="007C5447">
            <w:pPr>
              <w:pStyle w:val="TableParagraph"/>
              <w:jc w:val="left"/>
              <w:rPr>
                <w:sz w:val="20"/>
              </w:rPr>
            </w:pPr>
          </w:p>
        </w:tc>
        <w:tc>
          <w:tcPr>
            <w:tcW w:w="4321" w:type="dxa"/>
          </w:tcPr>
          <w:p w:rsidR="007C5447" w:rsidRDefault="00F6308C">
            <w:pPr>
              <w:pStyle w:val="TableParagraph"/>
              <w:spacing w:before="43"/>
              <w:ind w:left="107"/>
              <w:jc w:val="left"/>
              <w:rPr>
                <w:sz w:val="20"/>
              </w:rPr>
            </w:pPr>
            <w:r>
              <w:rPr>
                <w:sz w:val="20"/>
              </w:rPr>
              <w:t>Less: Revenue from wheeling</w:t>
            </w:r>
          </w:p>
        </w:tc>
        <w:tc>
          <w:tcPr>
            <w:tcW w:w="2206" w:type="dxa"/>
          </w:tcPr>
          <w:p w:rsidR="007C5447" w:rsidRDefault="007C5447">
            <w:pPr>
              <w:pStyle w:val="TableParagraph"/>
              <w:jc w:val="left"/>
              <w:rPr>
                <w:sz w:val="20"/>
              </w:rPr>
            </w:pPr>
          </w:p>
        </w:tc>
        <w:tc>
          <w:tcPr>
            <w:tcW w:w="2143" w:type="dxa"/>
          </w:tcPr>
          <w:p w:rsidR="007C5447" w:rsidRDefault="00F6308C">
            <w:pPr>
              <w:pStyle w:val="TableParagraph"/>
              <w:spacing w:before="43"/>
              <w:ind w:right="94"/>
              <w:rPr>
                <w:sz w:val="20"/>
              </w:rPr>
            </w:pPr>
            <w:r>
              <w:rPr>
                <w:w w:val="95"/>
                <w:sz w:val="20"/>
              </w:rPr>
              <w:t>6,065.00</w:t>
            </w:r>
          </w:p>
        </w:tc>
        <w:tc>
          <w:tcPr>
            <w:tcW w:w="2206" w:type="dxa"/>
          </w:tcPr>
          <w:p w:rsidR="007C5447" w:rsidRDefault="007C5447">
            <w:pPr>
              <w:pStyle w:val="TableParagraph"/>
              <w:jc w:val="left"/>
              <w:rPr>
                <w:sz w:val="20"/>
              </w:rPr>
            </w:pPr>
          </w:p>
        </w:tc>
        <w:tc>
          <w:tcPr>
            <w:tcW w:w="2119" w:type="dxa"/>
          </w:tcPr>
          <w:p w:rsidR="007C5447" w:rsidRDefault="00F6308C">
            <w:pPr>
              <w:pStyle w:val="TableParagraph"/>
              <w:spacing w:before="43"/>
              <w:ind w:right="96"/>
              <w:rPr>
                <w:sz w:val="20"/>
              </w:rPr>
            </w:pPr>
            <w:r>
              <w:rPr>
                <w:w w:val="95"/>
                <w:sz w:val="20"/>
              </w:rPr>
              <w:t>7,353.00</w:t>
            </w:r>
          </w:p>
        </w:tc>
      </w:tr>
      <w:tr w:rsidR="007C5447">
        <w:trPr>
          <w:trHeight w:val="316"/>
        </w:trPr>
        <w:tc>
          <w:tcPr>
            <w:tcW w:w="708" w:type="dxa"/>
          </w:tcPr>
          <w:p w:rsidR="007C5447" w:rsidRDefault="007C5447">
            <w:pPr>
              <w:pStyle w:val="TableParagraph"/>
              <w:jc w:val="left"/>
              <w:rPr>
                <w:sz w:val="20"/>
              </w:rPr>
            </w:pPr>
          </w:p>
        </w:tc>
        <w:tc>
          <w:tcPr>
            <w:tcW w:w="4321" w:type="dxa"/>
          </w:tcPr>
          <w:p w:rsidR="007C5447" w:rsidRDefault="00F6308C">
            <w:pPr>
              <w:pStyle w:val="TableParagraph"/>
              <w:spacing w:before="43"/>
              <w:ind w:left="107"/>
              <w:jc w:val="left"/>
              <w:rPr>
                <w:b/>
                <w:sz w:val="20"/>
              </w:rPr>
            </w:pPr>
            <w:r>
              <w:rPr>
                <w:b/>
                <w:sz w:val="20"/>
              </w:rPr>
              <w:t>Total revenue from sales</w:t>
            </w:r>
          </w:p>
        </w:tc>
        <w:tc>
          <w:tcPr>
            <w:tcW w:w="2206" w:type="dxa"/>
          </w:tcPr>
          <w:p w:rsidR="007C5447" w:rsidRDefault="00F6308C">
            <w:pPr>
              <w:pStyle w:val="TableParagraph"/>
              <w:spacing w:before="43"/>
              <w:ind w:right="96"/>
              <w:rPr>
                <w:b/>
                <w:sz w:val="20"/>
              </w:rPr>
            </w:pPr>
            <w:r>
              <w:rPr>
                <w:b/>
                <w:w w:val="95"/>
                <w:sz w:val="20"/>
              </w:rPr>
              <w:t>28,174</w:t>
            </w:r>
          </w:p>
        </w:tc>
        <w:tc>
          <w:tcPr>
            <w:tcW w:w="2143" w:type="dxa"/>
          </w:tcPr>
          <w:p w:rsidR="007C5447" w:rsidRDefault="00F6308C">
            <w:pPr>
              <w:pStyle w:val="TableParagraph"/>
              <w:spacing w:before="43"/>
              <w:ind w:right="96"/>
              <w:rPr>
                <w:b/>
                <w:sz w:val="20"/>
              </w:rPr>
            </w:pPr>
            <w:r>
              <w:rPr>
                <w:b/>
                <w:w w:val="95"/>
                <w:sz w:val="20"/>
              </w:rPr>
              <w:t>28,046.44</w:t>
            </w:r>
          </w:p>
        </w:tc>
        <w:tc>
          <w:tcPr>
            <w:tcW w:w="2206" w:type="dxa"/>
          </w:tcPr>
          <w:p w:rsidR="007C5447" w:rsidRDefault="00F6308C">
            <w:pPr>
              <w:pStyle w:val="TableParagraph"/>
              <w:spacing w:before="43"/>
              <w:ind w:right="95"/>
              <w:rPr>
                <w:b/>
                <w:sz w:val="20"/>
              </w:rPr>
            </w:pPr>
            <w:r>
              <w:rPr>
                <w:b/>
                <w:w w:val="95"/>
                <w:sz w:val="20"/>
              </w:rPr>
              <w:t>33,381</w:t>
            </w:r>
          </w:p>
        </w:tc>
        <w:tc>
          <w:tcPr>
            <w:tcW w:w="2119" w:type="dxa"/>
          </w:tcPr>
          <w:p w:rsidR="007C5447" w:rsidRDefault="00F6308C">
            <w:pPr>
              <w:pStyle w:val="TableParagraph"/>
              <w:spacing w:before="43"/>
              <w:ind w:right="98"/>
              <w:rPr>
                <w:b/>
                <w:sz w:val="20"/>
              </w:rPr>
            </w:pPr>
            <w:r>
              <w:rPr>
                <w:b/>
                <w:w w:val="95"/>
                <w:sz w:val="20"/>
              </w:rPr>
              <w:t>33,310.13</w:t>
            </w:r>
          </w:p>
        </w:tc>
      </w:tr>
    </w:tbl>
    <w:p w:rsidR="007C5447" w:rsidRDefault="007C5447">
      <w:pPr>
        <w:pStyle w:val="BodyText"/>
        <w:rPr>
          <w:b/>
          <w:sz w:val="13"/>
        </w:rPr>
      </w:pPr>
    </w:p>
    <w:p w:rsidR="007C5447" w:rsidRDefault="00F6308C">
      <w:pPr>
        <w:spacing w:before="91"/>
        <w:ind w:left="1540"/>
        <w:rPr>
          <w:b/>
          <w:sz w:val="20"/>
        </w:rPr>
      </w:pPr>
      <w:r>
        <w:rPr>
          <w:b/>
          <w:sz w:val="20"/>
        </w:rPr>
        <w:t>*Revenue submitted by TANGEDCO is after excluding revenue from wheeling units</w:t>
      </w:r>
    </w:p>
    <w:p w:rsidR="007C5447" w:rsidRDefault="007C5447">
      <w:pPr>
        <w:pStyle w:val="BodyText"/>
        <w:spacing w:before="6"/>
        <w:rPr>
          <w:b/>
          <w:sz w:val="26"/>
        </w:rPr>
      </w:pPr>
    </w:p>
    <w:p w:rsidR="007C5447" w:rsidRDefault="00F6308C">
      <w:pPr>
        <w:ind w:left="1528"/>
        <w:rPr>
          <w:b/>
          <w:sz w:val="20"/>
        </w:rPr>
      </w:pPr>
      <w:r>
        <w:rPr>
          <w:b/>
          <w:position w:val="7"/>
          <w:sz w:val="13"/>
        </w:rPr>
        <w:t>#</w:t>
      </w:r>
      <w:r>
        <w:rPr>
          <w:b/>
          <w:sz w:val="20"/>
        </w:rPr>
        <w:t>Including Revenue from Wheeling, which has been subtracted at the end of the table from the Total Revenue</w:t>
      </w:r>
    </w:p>
    <w:p w:rsidR="007C5447" w:rsidRDefault="007C5447">
      <w:pPr>
        <w:rPr>
          <w:sz w:val="20"/>
        </w:rPr>
        <w:sectPr w:rsidR="007C5447">
          <w:pgSz w:w="16840" w:h="11910" w:orient="landscape"/>
          <w:pgMar w:top="1100" w:right="1140" w:bottom="1240" w:left="620" w:header="0" w:footer="1057" w:gutter="0"/>
          <w:cols w:space="720"/>
        </w:sectPr>
      </w:pPr>
    </w:p>
    <w:p w:rsidR="007C5447" w:rsidRDefault="00F6308C">
      <w:pPr>
        <w:pStyle w:val="Heading2"/>
        <w:numPr>
          <w:ilvl w:val="1"/>
          <w:numId w:val="92"/>
        </w:numPr>
        <w:tabs>
          <w:tab w:val="left" w:pos="1247"/>
        </w:tabs>
        <w:spacing w:before="61"/>
        <w:jc w:val="left"/>
      </w:pPr>
      <w:bookmarkStart w:id="55" w:name="_bookmark55"/>
      <w:bookmarkEnd w:id="55"/>
      <w:r>
        <w:lastRenderedPageBreak/>
        <w:t>R</w:t>
      </w:r>
      <w:r>
        <w:t>evenue Gap/(Surplus) for FY 2011-12 to FY</w:t>
      </w:r>
      <w:r>
        <w:rPr>
          <w:spacing w:val="-4"/>
        </w:rPr>
        <w:t xml:space="preserve"> </w:t>
      </w:r>
      <w:r>
        <w:t>2015-16</w:t>
      </w:r>
    </w:p>
    <w:p w:rsidR="007C5447" w:rsidRDefault="007C5447">
      <w:pPr>
        <w:pStyle w:val="BodyText"/>
        <w:spacing w:before="11"/>
        <w:rPr>
          <w:b/>
          <w:sz w:val="27"/>
        </w:rPr>
      </w:pPr>
    </w:p>
    <w:p w:rsidR="007C5447" w:rsidRDefault="00F6308C">
      <w:pPr>
        <w:pStyle w:val="ListParagraph"/>
        <w:numPr>
          <w:ilvl w:val="2"/>
          <w:numId w:val="92"/>
        </w:numPr>
        <w:tabs>
          <w:tab w:val="left" w:pos="1533"/>
        </w:tabs>
        <w:spacing w:line="312" w:lineRule="auto"/>
        <w:ind w:right="706"/>
        <w:jc w:val="both"/>
        <w:rPr>
          <w:sz w:val="24"/>
        </w:rPr>
      </w:pPr>
      <w:r>
        <w:rPr>
          <w:sz w:val="24"/>
        </w:rPr>
        <w:t>Based on the approved Aggregate Revenue Requirement and Revenue from sales, and after considering subsidy received from GoTN for FY 2011-12 to FY 2015-16, the Revenue Gap/(Surplus) approved by the Commissi</w:t>
      </w:r>
      <w:r>
        <w:rPr>
          <w:sz w:val="24"/>
        </w:rPr>
        <w:t>on is shown in the Tables</w:t>
      </w:r>
      <w:r>
        <w:rPr>
          <w:spacing w:val="-10"/>
          <w:sz w:val="24"/>
        </w:rPr>
        <w:t xml:space="preserve"> </w:t>
      </w:r>
      <w:r>
        <w:rPr>
          <w:sz w:val="24"/>
        </w:rPr>
        <w:t>below:</w:t>
      </w:r>
    </w:p>
    <w:p w:rsidR="007C5447" w:rsidRDefault="007C5447">
      <w:pPr>
        <w:pStyle w:val="BodyText"/>
        <w:spacing w:before="1"/>
        <w:rPr>
          <w:sz w:val="21"/>
        </w:rPr>
      </w:pPr>
    </w:p>
    <w:p w:rsidR="007C5447" w:rsidRDefault="00F6308C">
      <w:pPr>
        <w:spacing w:before="1" w:line="312" w:lineRule="auto"/>
        <w:ind w:left="4247" w:right="810" w:hanging="3459"/>
        <w:rPr>
          <w:b/>
        </w:rPr>
      </w:pPr>
      <w:r>
        <w:rPr>
          <w:b/>
        </w:rPr>
        <w:t>Table 3-75: Revenue Gap/(Surplus) approved by the Commission after true-up for FY 2011-12 to FY 2012-13 (Rs.</w:t>
      </w:r>
      <w:r>
        <w:rPr>
          <w:b/>
          <w:spacing w:val="-4"/>
        </w:rPr>
        <w:t xml:space="preserve"> </w:t>
      </w:r>
      <w:r>
        <w:rPr>
          <w:b/>
        </w:rPr>
        <w:t>Crore)</w:t>
      </w:r>
    </w:p>
    <w:p w:rsidR="007C5447" w:rsidRDefault="007C5447">
      <w:pPr>
        <w:pStyle w:val="BodyText"/>
        <w:spacing w:before="3" w:after="1"/>
        <w:rPr>
          <w:b/>
          <w:sz w:val="10"/>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8"/>
        <w:gridCol w:w="1347"/>
        <w:gridCol w:w="1373"/>
        <w:gridCol w:w="1388"/>
        <w:gridCol w:w="1344"/>
        <w:gridCol w:w="1371"/>
        <w:gridCol w:w="1402"/>
      </w:tblGrid>
      <w:tr w:rsidR="007C5447">
        <w:trPr>
          <w:trHeight w:val="258"/>
        </w:trPr>
        <w:tc>
          <w:tcPr>
            <w:tcW w:w="2268" w:type="dxa"/>
            <w:vMerge w:val="restart"/>
            <w:shd w:val="clear" w:color="auto" w:fill="F7C9AC"/>
          </w:tcPr>
          <w:p w:rsidR="007C5447" w:rsidRDefault="007C5447">
            <w:pPr>
              <w:pStyle w:val="TableParagraph"/>
              <w:spacing w:before="9"/>
              <w:jc w:val="left"/>
              <w:rPr>
                <w:b/>
                <w:sz w:val="27"/>
              </w:rPr>
            </w:pPr>
          </w:p>
          <w:p w:rsidR="007C5447" w:rsidRDefault="00F6308C">
            <w:pPr>
              <w:pStyle w:val="TableParagraph"/>
              <w:ind w:left="655"/>
              <w:jc w:val="left"/>
              <w:rPr>
                <w:b/>
                <w:sz w:val="20"/>
              </w:rPr>
            </w:pPr>
            <w:r>
              <w:rPr>
                <w:b/>
                <w:sz w:val="20"/>
              </w:rPr>
              <w:t>Particulars</w:t>
            </w:r>
          </w:p>
        </w:tc>
        <w:tc>
          <w:tcPr>
            <w:tcW w:w="4108" w:type="dxa"/>
            <w:gridSpan w:val="3"/>
            <w:shd w:val="clear" w:color="auto" w:fill="F7C9AC"/>
          </w:tcPr>
          <w:p w:rsidR="007C5447" w:rsidRDefault="00F6308C">
            <w:pPr>
              <w:pStyle w:val="TableParagraph"/>
              <w:spacing w:before="14" w:line="224" w:lineRule="exact"/>
              <w:ind w:left="1544" w:right="1530"/>
              <w:jc w:val="center"/>
              <w:rPr>
                <w:b/>
                <w:sz w:val="20"/>
              </w:rPr>
            </w:pPr>
            <w:r>
              <w:rPr>
                <w:b/>
                <w:sz w:val="20"/>
              </w:rPr>
              <w:t>FY 2011-12</w:t>
            </w:r>
          </w:p>
        </w:tc>
        <w:tc>
          <w:tcPr>
            <w:tcW w:w="4117" w:type="dxa"/>
            <w:gridSpan w:val="3"/>
            <w:shd w:val="clear" w:color="auto" w:fill="F7C9AC"/>
          </w:tcPr>
          <w:p w:rsidR="007C5447" w:rsidRDefault="00F6308C">
            <w:pPr>
              <w:pStyle w:val="TableParagraph"/>
              <w:spacing w:before="14" w:line="224" w:lineRule="exact"/>
              <w:ind w:left="1545" w:right="1537"/>
              <w:jc w:val="center"/>
              <w:rPr>
                <w:b/>
                <w:sz w:val="20"/>
              </w:rPr>
            </w:pPr>
            <w:r>
              <w:rPr>
                <w:b/>
                <w:sz w:val="20"/>
              </w:rPr>
              <w:t>FY 2012-13</w:t>
            </w:r>
          </w:p>
        </w:tc>
      </w:tr>
      <w:tr w:rsidR="007C5447">
        <w:trPr>
          <w:trHeight w:val="602"/>
        </w:trPr>
        <w:tc>
          <w:tcPr>
            <w:tcW w:w="2268" w:type="dxa"/>
            <w:vMerge/>
            <w:tcBorders>
              <w:top w:val="nil"/>
            </w:tcBorders>
            <w:shd w:val="clear" w:color="auto" w:fill="F7C9AC"/>
          </w:tcPr>
          <w:p w:rsidR="007C5447" w:rsidRDefault="007C5447">
            <w:pPr>
              <w:rPr>
                <w:sz w:val="2"/>
                <w:szCs w:val="2"/>
              </w:rPr>
            </w:pPr>
          </w:p>
        </w:tc>
        <w:tc>
          <w:tcPr>
            <w:tcW w:w="1347" w:type="dxa"/>
            <w:shd w:val="clear" w:color="auto" w:fill="F7C9AC"/>
          </w:tcPr>
          <w:p w:rsidR="007C5447" w:rsidRDefault="00F6308C">
            <w:pPr>
              <w:pStyle w:val="TableParagraph"/>
              <w:spacing w:before="187"/>
              <w:ind w:right="155"/>
              <w:rPr>
                <w:b/>
                <w:sz w:val="20"/>
              </w:rPr>
            </w:pPr>
            <w:r>
              <w:rPr>
                <w:b/>
                <w:sz w:val="20"/>
              </w:rPr>
              <w:t>SMT Order</w:t>
            </w:r>
          </w:p>
        </w:tc>
        <w:tc>
          <w:tcPr>
            <w:tcW w:w="1373" w:type="dxa"/>
            <w:shd w:val="clear" w:color="auto" w:fill="F7C9AC"/>
          </w:tcPr>
          <w:p w:rsidR="007C5447" w:rsidRDefault="00F6308C">
            <w:pPr>
              <w:pStyle w:val="TableParagraph"/>
              <w:spacing w:before="187"/>
              <w:ind w:right="100"/>
              <w:rPr>
                <w:b/>
                <w:sz w:val="20"/>
              </w:rPr>
            </w:pPr>
            <w:r>
              <w:rPr>
                <w:b/>
                <w:w w:val="95"/>
                <w:sz w:val="20"/>
              </w:rPr>
              <w:t>TANGEDCO</w:t>
            </w:r>
          </w:p>
        </w:tc>
        <w:tc>
          <w:tcPr>
            <w:tcW w:w="1388" w:type="dxa"/>
            <w:shd w:val="clear" w:color="auto" w:fill="F7C9AC"/>
          </w:tcPr>
          <w:p w:rsidR="007C5447" w:rsidRDefault="00F6308C">
            <w:pPr>
              <w:pStyle w:val="TableParagraph"/>
              <w:spacing w:before="72"/>
              <w:ind w:left="148" w:right="121" w:firstLine="117"/>
              <w:jc w:val="left"/>
              <w:rPr>
                <w:b/>
                <w:sz w:val="20"/>
              </w:rPr>
            </w:pPr>
            <w:r>
              <w:rPr>
                <w:b/>
                <w:sz w:val="20"/>
              </w:rPr>
              <w:t>Approved after true up</w:t>
            </w:r>
          </w:p>
        </w:tc>
        <w:tc>
          <w:tcPr>
            <w:tcW w:w="1344" w:type="dxa"/>
            <w:shd w:val="clear" w:color="auto" w:fill="F7C9AC"/>
          </w:tcPr>
          <w:p w:rsidR="007C5447" w:rsidRDefault="00F6308C">
            <w:pPr>
              <w:pStyle w:val="TableParagraph"/>
              <w:spacing w:before="187"/>
              <w:ind w:left="160"/>
              <w:jc w:val="left"/>
              <w:rPr>
                <w:b/>
                <w:sz w:val="20"/>
              </w:rPr>
            </w:pPr>
            <w:r>
              <w:rPr>
                <w:b/>
                <w:sz w:val="20"/>
              </w:rPr>
              <w:t>SMT Order</w:t>
            </w:r>
          </w:p>
        </w:tc>
        <w:tc>
          <w:tcPr>
            <w:tcW w:w="1371" w:type="dxa"/>
            <w:shd w:val="clear" w:color="auto" w:fill="F7C9AC"/>
          </w:tcPr>
          <w:p w:rsidR="007C5447" w:rsidRDefault="00F6308C">
            <w:pPr>
              <w:pStyle w:val="TableParagraph"/>
              <w:spacing w:before="187"/>
              <w:ind w:right="98"/>
              <w:rPr>
                <w:b/>
                <w:sz w:val="20"/>
              </w:rPr>
            </w:pPr>
            <w:r>
              <w:rPr>
                <w:b/>
                <w:w w:val="95"/>
                <w:sz w:val="20"/>
              </w:rPr>
              <w:t>TANGEDCO</w:t>
            </w:r>
          </w:p>
        </w:tc>
        <w:tc>
          <w:tcPr>
            <w:tcW w:w="1402" w:type="dxa"/>
            <w:shd w:val="clear" w:color="auto" w:fill="F7C9AC"/>
          </w:tcPr>
          <w:p w:rsidR="007C5447" w:rsidRDefault="00F6308C">
            <w:pPr>
              <w:pStyle w:val="TableParagraph"/>
              <w:spacing w:before="72"/>
              <w:ind w:left="153" w:right="130" w:firstLine="117"/>
              <w:jc w:val="left"/>
              <w:rPr>
                <w:b/>
                <w:sz w:val="20"/>
              </w:rPr>
            </w:pPr>
            <w:r>
              <w:rPr>
                <w:b/>
                <w:sz w:val="20"/>
              </w:rPr>
              <w:t>Approved after true up</w:t>
            </w:r>
          </w:p>
        </w:tc>
      </w:tr>
      <w:tr w:rsidR="007C5447">
        <w:trPr>
          <w:trHeight w:val="489"/>
        </w:trPr>
        <w:tc>
          <w:tcPr>
            <w:tcW w:w="2268" w:type="dxa"/>
          </w:tcPr>
          <w:p w:rsidR="007C5447" w:rsidRDefault="00F6308C">
            <w:pPr>
              <w:pStyle w:val="TableParagraph"/>
              <w:spacing w:before="14" w:line="230" w:lineRule="atLeast"/>
              <w:ind w:left="107" w:right="120"/>
              <w:jc w:val="left"/>
              <w:rPr>
                <w:b/>
                <w:sz w:val="20"/>
              </w:rPr>
            </w:pPr>
            <w:r>
              <w:rPr>
                <w:b/>
                <w:sz w:val="20"/>
              </w:rPr>
              <w:t>Net Aggregate Revenue Requirement</w:t>
            </w:r>
          </w:p>
        </w:tc>
        <w:tc>
          <w:tcPr>
            <w:tcW w:w="1347" w:type="dxa"/>
          </w:tcPr>
          <w:p w:rsidR="007C5447" w:rsidRDefault="00F6308C">
            <w:pPr>
              <w:pStyle w:val="TableParagraph"/>
              <w:spacing w:before="130"/>
              <w:ind w:right="98"/>
              <w:rPr>
                <w:b/>
                <w:sz w:val="20"/>
              </w:rPr>
            </w:pPr>
            <w:r>
              <w:rPr>
                <w:b/>
                <w:w w:val="95"/>
                <w:sz w:val="20"/>
              </w:rPr>
              <w:t>27,872.93</w:t>
            </w:r>
          </w:p>
        </w:tc>
        <w:tc>
          <w:tcPr>
            <w:tcW w:w="1373" w:type="dxa"/>
          </w:tcPr>
          <w:p w:rsidR="007C5447" w:rsidRDefault="00F6308C">
            <w:pPr>
              <w:pStyle w:val="TableParagraph"/>
              <w:spacing w:before="130"/>
              <w:ind w:right="98"/>
              <w:rPr>
                <w:b/>
                <w:sz w:val="20"/>
              </w:rPr>
            </w:pPr>
            <w:r>
              <w:rPr>
                <w:b/>
                <w:w w:val="95"/>
                <w:sz w:val="20"/>
              </w:rPr>
              <w:t>33,188.78</w:t>
            </w:r>
          </w:p>
        </w:tc>
        <w:tc>
          <w:tcPr>
            <w:tcW w:w="1388" w:type="dxa"/>
          </w:tcPr>
          <w:p w:rsidR="007C5447" w:rsidRDefault="00F6308C">
            <w:pPr>
              <w:pStyle w:val="TableParagraph"/>
              <w:spacing w:before="130"/>
              <w:ind w:right="94"/>
              <w:rPr>
                <w:b/>
                <w:sz w:val="20"/>
              </w:rPr>
            </w:pPr>
            <w:r>
              <w:rPr>
                <w:b/>
                <w:w w:val="95"/>
                <w:sz w:val="20"/>
              </w:rPr>
              <w:t>26,468.75</w:t>
            </w:r>
          </w:p>
        </w:tc>
        <w:tc>
          <w:tcPr>
            <w:tcW w:w="1344" w:type="dxa"/>
          </w:tcPr>
          <w:p w:rsidR="007C5447" w:rsidRDefault="00F6308C">
            <w:pPr>
              <w:pStyle w:val="TableParagraph"/>
              <w:spacing w:before="130"/>
              <w:ind w:right="101"/>
              <w:rPr>
                <w:b/>
                <w:sz w:val="20"/>
              </w:rPr>
            </w:pPr>
            <w:r>
              <w:rPr>
                <w:b/>
                <w:w w:val="95"/>
                <w:sz w:val="20"/>
              </w:rPr>
              <w:t>29,850.79</w:t>
            </w:r>
          </w:p>
        </w:tc>
        <w:tc>
          <w:tcPr>
            <w:tcW w:w="1371" w:type="dxa"/>
          </w:tcPr>
          <w:p w:rsidR="007C5447" w:rsidRDefault="00F6308C">
            <w:pPr>
              <w:pStyle w:val="TableParagraph"/>
              <w:spacing w:before="130"/>
              <w:ind w:right="96"/>
              <w:rPr>
                <w:b/>
                <w:sz w:val="20"/>
              </w:rPr>
            </w:pPr>
            <w:r>
              <w:rPr>
                <w:b/>
                <w:w w:val="95"/>
                <w:sz w:val="20"/>
              </w:rPr>
              <w:t>37,462.54</w:t>
            </w:r>
          </w:p>
        </w:tc>
        <w:tc>
          <w:tcPr>
            <w:tcW w:w="1402" w:type="dxa"/>
          </w:tcPr>
          <w:p w:rsidR="007C5447" w:rsidRDefault="00F6308C">
            <w:pPr>
              <w:pStyle w:val="TableParagraph"/>
              <w:spacing w:before="130"/>
              <w:ind w:right="98"/>
              <w:rPr>
                <w:b/>
                <w:sz w:val="20"/>
              </w:rPr>
            </w:pPr>
            <w:r>
              <w:rPr>
                <w:b/>
                <w:w w:val="95"/>
                <w:sz w:val="20"/>
              </w:rPr>
              <w:t>28,292.35</w:t>
            </w:r>
          </w:p>
        </w:tc>
      </w:tr>
      <w:tr w:rsidR="007C5447">
        <w:trPr>
          <w:trHeight w:val="347"/>
        </w:trPr>
        <w:tc>
          <w:tcPr>
            <w:tcW w:w="2268" w:type="dxa"/>
          </w:tcPr>
          <w:p w:rsidR="007C5447" w:rsidRDefault="007C5447">
            <w:pPr>
              <w:pStyle w:val="TableParagraph"/>
              <w:jc w:val="left"/>
              <w:rPr>
                <w:sz w:val="20"/>
              </w:rPr>
            </w:pPr>
          </w:p>
        </w:tc>
        <w:tc>
          <w:tcPr>
            <w:tcW w:w="1347" w:type="dxa"/>
          </w:tcPr>
          <w:p w:rsidR="007C5447" w:rsidRDefault="007C5447">
            <w:pPr>
              <w:pStyle w:val="TableParagraph"/>
              <w:jc w:val="left"/>
              <w:rPr>
                <w:sz w:val="20"/>
              </w:rPr>
            </w:pPr>
          </w:p>
        </w:tc>
        <w:tc>
          <w:tcPr>
            <w:tcW w:w="1373" w:type="dxa"/>
          </w:tcPr>
          <w:p w:rsidR="007C5447" w:rsidRDefault="007C5447">
            <w:pPr>
              <w:pStyle w:val="TableParagraph"/>
              <w:jc w:val="left"/>
              <w:rPr>
                <w:sz w:val="20"/>
              </w:rPr>
            </w:pPr>
          </w:p>
        </w:tc>
        <w:tc>
          <w:tcPr>
            <w:tcW w:w="1388" w:type="dxa"/>
          </w:tcPr>
          <w:p w:rsidR="007C5447" w:rsidRDefault="007C5447">
            <w:pPr>
              <w:pStyle w:val="TableParagraph"/>
              <w:jc w:val="left"/>
              <w:rPr>
                <w:sz w:val="20"/>
              </w:rPr>
            </w:pPr>
          </w:p>
        </w:tc>
        <w:tc>
          <w:tcPr>
            <w:tcW w:w="1344" w:type="dxa"/>
          </w:tcPr>
          <w:p w:rsidR="007C5447" w:rsidRDefault="007C5447">
            <w:pPr>
              <w:pStyle w:val="TableParagraph"/>
              <w:jc w:val="left"/>
              <w:rPr>
                <w:sz w:val="20"/>
              </w:rPr>
            </w:pPr>
          </w:p>
        </w:tc>
        <w:tc>
          <w:tcPr>
            <w:tcW w:w="1371" w:type="dxa"/>
          </w:tcPr>
          <w:p w:rsidR="007C5447" w:rsidRDefault="007C5447">
            <w:pPr>
              <w:pStyle w:val="TableParagraph"/>
              <w:jc w:val="left"/>
              <w:rPr>
                <w:sz w:val="20"/>
              </w:rPr>
            </w:pPr>
          </w:p>
        </w:tc>
        <w:tc>
          <w:tcPr>
            <w:tcW w:w="1402" w:type="dxa"/>
          </w:tcPr>
          <w:p w:rsidR="007C5447" w:rsidRDefault="007C5447">
            <w:pPr>
              <w:pStyle w:val="TableParagraph"/>
              <w:jc w:val="left"/>
              <w:rPr>
                <w:sz w:val="20"/>
              </w:rPr>
            </w:pPr>
          </w:p>
        </w:tc>
      </w:tr>
      <w:tr w:rsidR="007C5447">
        <w:trPr>
          <w:trHeight w:val="350"/>
        </w:trPr>
        <w:tc>
          <w:tcPr>
            <w:tcW w:w="2268" w:type="dxa"/>
          </w:tcPr>
          <w:p w:rsidR="007C5447" w:rsidRDefault="00F6308C">
            <w:pPr>
              <w:pStyle w:val="TableParagraph"/>
              <w:spacing w:before="60"/>
              <w:ind w:left="107"/>
              <w:jc w:val="left"/>
              <w:rPr>
                <w:sz w:val="20"/>
              </w:rPr>
            </w:pPr>
            <w:r>
              <w:rPr>
                <w:sz w:val="20"/>
              </w:rPr>
              <w:t>Revenue from sales</w:t>
            </w:r>
          </w:p>
        </w:tc>
        <w:tc>
          <w:tcPr>
            <w:tcW w:w="1347" w:type="dxa"/>
          </w:tcPr>
          <w:p w:rsidR="007C5447" w:rsidRDefault="00F6308C">
            <w:pPr>
              <w:pStyle w:val="TableParagraph"/>
              <w:spacing w:before="60"/>
              <w:ind w:right="185"/>
              <w:rPr>
                <w:sz w:val="20"/>
              </w:rPr>
            </w:pPr>
            <w:r>
              <w:rPr>
                <w:w w:val="95"/>
                <w:sz w:val="20"/>
              </w:rPr>
              <w:t>17,404.00</w:t>
            </w:r>
          </w:p>
        </w:tc>
        <w:tc>
          <w:tcPr>
            <w:tcW w:w="1373" w:type="dxa"/>
          </w:tcPr>
          <w:p w:rsidR="007C5447" w:rsidRDefault="00F6308C">
            <w:pPr>
              <w:pStyle w:val="TableParagraph"/>
              <w:spacing w:before="60"/>
              <w:ind w:left="374"/>
              <w:jc w:val="left"/>
              <w:rPr>
                <w:sz w:val="20"/>
              </w:rPr>
            </w:pPr>
            <w:r>
              <w:rPr>
                <w:sz w:val="20"/>
              </w:rPr>
              <w:t>17,526.70</w:t>
            </w:r>
          </w:p>
        </w:tc>
        <w:tc>
          <w:tcPr>
            <w:tcW w:w="1388" w:type="dxa"/>
          </w:tcPr>
          <w:p w:rsidR="007C5447" w:rsidRDefault="00F6308C">
            <w:pPr>
              <w:pStyle w:val="TableParagraph"/>
              <w:spacing w:before="60"/>
              <w:ind w:right="110"/>
              <w:rPr>
                <w:sz w:val="20"/>
              </w:rPr>
            </w:pPr>
            <w:r>
              <w:rPr>
                <w:w w:val="95"/>
                <w:sz w:val="20"/>
              </w:rPr>
              <w:t>17,404.05</w:t>
            </w:r>
          </w:p>
        </w:tc>
        <w:tc>
          <w:tcPr>
            <w:tcW w:w="1344" w:type="dxa"/>
          </w:tcPr>
          <w:p w:rsidR="007C5447" w:rsidRDefault="00F6308C">
            <w:pPr>
              <w:pStyle w:val="TableParagraph"/>
              <w:spacing w:before="60"/>
              <w:ind w:left="345"/>
              <w:jc w:val="left"/>
              <w:rPr>
                <w:sz w:val="20"/>
              </w:rPr>
            </w:pPr>
            <w:r>
              <w:rPr>
                <w:sz w:val="20"/>
              </w:rPr>
              <w:t>20,870.00</w:t>
            </w:r>
          </w:p>
        </w:tc>
        <w:tc>
          <w:tcPr>
            <w:tcW w:w="1371" w:type="dxa"/>
          </w:tcPr>
          <w:p w:rsidR="007C5447" w:rsidRDefault="00F6308C">
            <w:pPr>
              <w:pStyle w:val="TableParagraph"/>
              <w:spacing w:before="60"/>
              <w:ind w:left="374"/>
              <w:jc w:val="left"/>
              <w:rPr>
                <w:sz w:val="20"/>
              </w:rPr>
            </w:pPr>
            <w:r>
              <w:rPr>
                <w:sz w:val="20"/>
              </w:rPr>
              <w:t>20,216.56</w:t>
            </w:r>
          </w:p>
        </w:tc>
        <w:tc>
          <w:tcPr>
            <w:tcW w:w="1402" w:type="dxa"/>
          </w:tcPr>
          <w:p w:rsidR="007C5447" w:rsidRDefault="00F6308C">
            <w:pPr>
              <w:pStyle w:val="TableParagraph"/>
              <w:spacing w:before="60"/>
              <w:ind w:right="99"/>
              <w:rPr>
                <w:sz w:val="20"/>
              </w:rPr>
            </w:pPr>
            <w:r>
              <w:rPr>
                <w:w w:val="95"/>
                <w:sz w:val="20"/>
              </w:rPr>
              <w:t>20,085.19</w:t>
            </w:r>
          </w:p>
        </w:tc>
      </w:tr>
      <w:tr w:rsidR="007C5447">
        <w:trPr>
          <w:trHeight w:val="347"/>
        </w:trPr>
        <w:tc>
          <w:tcPr>
            <w:tcW w:w="2268" w:type="dxa"/>
          </w:tcPr>
          <w:p w:rsidR="007C5447" w:rsidRDefault="00F6308C">
            <w:pPr>
              <w:pStyle w:val="TableParagraph"/>
              <w:spacing w:before="58"/>
              <w:ind w:left="107"/>
              <w:jc w:val="left"/>
              <w:rPr>
                <w:sz w:val="20"/>
              </w:rPr>
            </w:pPr>
            <w:r>
              <w:rPr>
                <w:sz w:val="20"/>
              </w:rPr>
              <w:t>Govt. subsidy</w:t>
            </w:r>
          </w:p>
        </w:tc>
        <w:tc>
          <w:tcPr>
            <w:tcW w:w="1347" w:type="dxa"/>
          </w:tcPr>
          <w:p w:rsidR="007C5447" w:rsidRDefault="00F6308C">
            <w:pPr>
              <w:pStyle w:val="TableParagraph"/>
              <w:spacing w:before="58"/>
              <w:ind w:right="96"/>
              <w:rPr>
                <w:sz w:val="20"/>
              </w:rPr>
            </w:pPr>
            <w:r>
              <w:rPr>
                <w:w w:val="95"/>
                <w:sz w:val="20"/>
              </w:rPr>
              <w:t>2,071.00</w:t>
            </w:r>
          </w:p>
        </w:tc>
        <w:tc>
          <w:tcPr>
            <w:tcW w:w="1373" w:type="dxa"/>
          </w:tcPr>
          <w:p w:rsidR="007C5447" w:rsidRDefault="00F6308C">
            <w:pPr>
              <w:pStyle w:val="TableParagraph"/>
              <w:spacing w:before="58"/>
              <w:ind w:right="96"/>
              <w:rPr>
                <w:sz w:val="20"/>
              </w:rPr>
            </w:pPr>
            <w:r>
              <w:rPr>
                <w:w w:val="95"/>
                <w:sz w:val="20"/>
              </w:rPr>
              <w:t>2,071.41</w:t>
            </w:r>
          </w:p>
        </w:tc>
        <w:tc>
          <w:tcPr>
            <w:tcW w:w="1388" w:type="dxa"/>
          </w:tcPr>
          <w:p w:rsidR="007C5447" w:rsidRDefault="00F6308C">
            <w:pPr>
              <w:pStyle w:val="TableParagraph"/>
              <w:spacing w:before="58"/>
              <w:ind w:right="94"/>
              <w:rPr>
                <w:sz w:val="20"/>
              </w:rPr>
            </w:pPr>
            <w:r>
              <w:rPr>
                <w:w w:val="95"/>
                <w:sz w:val="20"/>
              </w:rPr>
              <w:t>2,071.41</w:t>
            </w:r>
          </w:p>
        </w:tc>
        <w:tc>
          <w:tcPr>
            <w:tcW w:w="1344" w:type="dxa"/>
          </w:tcPr>
          <w:p w:rsidR="007C5447" w:rsidRDefault="00F6308C">
            <w:pPr>
              <w:pStyle w:val="TableParagraph"/>
              <w:spacing w:before="58"/>
              <w:ind w:right="98"/>
              <w:rPr>
                <w:sz w:val="20"/>
              </w:rPr>
            </w:pPr>
            <w:r>
              <w:rPr>
                <w:w w:val="95"/>
                <w:sz w:val="20"/>
              </w:rPr>
              <w:t>4,082.00</w:t>
            </w:r>
          </w:p>
        </w:tc>
        <w:tc>
          <w:tcPr>
            <w:tcW w:w="1371" w:type="dxa"/>
          </w:tcPr>
          <w:p w:rsidR="007C5447" w:rsidRDefault="00F6308C">
            <w:pPr>
              <w:pStyle w:val="TableParagraph"/>
              <w:spacing w:before="58"/>
              <w:ind w:right="94"/>
              <w:rPr>
                <w:sz w:val="20"/>
              </w:rPr>
            </w:pPr>
            <w:r>
              <w:rPr>
                <w:w w:val="95"/>
                <w:sz w:val="20"/>
              </w:rPr>
              <w:t>4,457.23</w:t>
            </w:r>
          </w:p>
        </w:tc>
        <w:tc>
          <w:tcPr>
            <w:tcW w:w="1402" w:type="dxa"/>
          </w:tcPr>
          <w:p w:rsidR="007C5447" w:rsidRDefault="00F6308C">
            <w:pPr>
              <w:pStyle w:val="TableParagraph"/>
              <w:spacing w:before="58"/>
              <w:ind w:right="99"/>
              <w:rPr>
                <w:sz w:val="20"/>
              </w:rPr>
            </w:pPr>
            <w:r>
              <w:rPr>
                <w:w w:val="95"/>
                <w:sz w:val="20"/>
              </w:rPr>
              <w:t>4,457.23</w:t>
            </w:r>
          </w:p>
        </w:tc>
      </w:tr>
      <w:tr w:rsidR="007C5447">
        <w:trPr>
          <w:trHeight w:val="347"/>
        </w:trPr>
        <w:tc>
          <w:tcPr>
            <w:tcW w:w="2268" w:type="dxa"/>
          </w:tcPr>
          <w:p w:rsidR="007C5447" w:rsidRDefault="00F6308C">
            <w:pPr>
              <w:pStyle w:val="TableParagraph"/>
              <w:spacing w:before="58"/>
              <w:ind w:left="107"/>
              <w:jc w:val="left"/>
              <w:rPr>
                <w:b/>
                <w:sz w:val="20"/>
              </w:rPr>
            </w:pPr>
            <w:r>
              <w:rPr>
                <w:b/>
                <w:sz w:val="20"/>
              </w:rPr>
              <w:t>Total Revenue</w:t>
            </w:r>
          </w:p>
        </w:tc>
        <w:tc>
          <w:tcPr>
            <w:tcW w:w="1347" w:type="dxa"/>
          </w:tcPr>
          <w:p w:rsidR="007C5447" w:rsidRDefault="00F6308C">
            <w:pPr>
              <w:pStyle w:val="TableParagraph"/>
              <w:spacing w:before="58"/>
              <w:ind w:right="96"/>
              <w:rPr>
                <w:b/>
                <w:sz w:val="20"/>
              </w:rPr>
            </w:pPr>
            <w:r>
              <w:rPr>
                <w:b/>
                <w:w w:val="95"/>
                <w:sz w:val="20"/>
              </w:rPr>
              <w:t>19,475.00</w:t>
            </w:r>
          </w:p>
        </w:tc>
        <w:tc>
          <w:tcPr>
            <w:tcW w:w="1373" w:type="dxa"/>
          </w:tcPr>
          <w:p w:rsidR="007C5447" w:rsidRDefault="00F6308C">
            <w:pPr>
              <w:pStyle w:val="TableParagraph"/>
              <w:spacing w:before="58"/>
              <w:ind w:right="96"/>
              <w:rPr>
                <w:b/>
                <w:sz w:val="20"/>
              </w:rPr>
            </w:pPr>
            <w:r>
              <w:rPr>
                <w:b/>
                <w:w w:val="95"/>
                <w:sz w:val="20"/>
              </w:rPr>
              <w:t>19,598.11</w:t>
            </w:r>
          </w:p>
        </w:tc>
        <w:tc>
          <w:tcPr>
            <w:tcW w:w="1388" w:type="dxa"/>
          </w:tcPr>
          <w:p w:rsidR="007C5447" w:rsidRDefault="00F6308C">
            <w:pPr>
              <w:pStyle w:val="TableParagraph"/>
              <w:spacing w:before="58"/>
              <w:ind w:right="94"/>
              <w:rPr>
                <w:b/>
                <w:sz w:val="20"/>
              </w:rPr>
            </w:pPr>
            <w:r>
              <w:rPr>
                <w:b/>
                <w:w w:val="95"/>
                <w:sz w:val="20"/>
              </w:rPr>
              <w:t>19,475.46</w:t>
            </w:r>
          </w:p>
        </w:tc>
        <w:tc>
          <w:tcPr>
            <w:tcW w:w="1344" w:type="dxa"/>
          </w:tcPr>
          <w:p w:rsidR="007C5447" w:rsidRDefault="00F6308C">
            <w:pPr>
              <w:pStyle w:val="TableParagraph"/>
              <w:spacing w:before="58"/>
              <w:ind w:right="97"/>
              <w:rPr>
                <w:b/>
                <w:sz w:val="20"/>
              </w:rPr>
            </w:pPr>
            <w:r>
              <w:rPr>
                <w:b/>
                <w:w w:val="95"/>
                <w:sz w:val="20"/>
              </w:rPr>
              <w:t>24,952.00</w:t>
            </w:r>
          </w:p>
        </w:tc>
        <w:tc>
          <w:tcPr>
            <w:tcW w:w="1371" w:type="dxa"/>
          </w:tcPr>
          <w:p w:rsidR="007C5447" w:rsidRDefault="00F6308C">
            <w:pPr>
              <w:pStyle w:val="TableParagraph"/>
              <w:spacing w:before="58"/>
              <w:ind w:right="94"/>
              <w:rPr>
                <w:b/>
                <w:sz w:val="20"/>
              </w:rPr>
            </w:pPr>
            <w:r>
              <w:rPr>
                <w:b/>
                <w:w w:val="95"/>
                <w:sz w:val="20"/>
              </w:rPr>
              <w:t>24,673.79</w:t>
            </w:r>
          </w:p>
        </w:tc>
        <w:tc>
          <w:tcPr>
            <w:tcW w:w="1402" w:type="dxa"/>
          </w:tcPr>
          <w:p w:rsidR="007C5447" w:rsidRDefault="00F6308C">
            <w:pPr>
              <w:pStyle w:val="TableParagraph"/>
              <w:spacing w:before="58"/>
              <w:ind w:right="99"/>
              <w:rPr>
                <w:b/>
                <w:sz w:val="20"/>
              </w:rPr>
            </w:pPr>
            <w:r>
              <w:rPr>
                <w:b/>
                <w:w w:val="95"/>
                <w:sz w:val="20"/>
              </w:rPr>
              <w:t>24,542.42</w:t>
            </w:r>
          </w:p>
        </w:tc>
      </w:tr>
      <w:tr w:rsidR="007C5447">
        <w:trPr>
          <w:trHeight w:val="347"/>
        </w:trPr>
        <w:tc>
          <w:tcPr>
            <w:tcW w:w="2268" w:type="dxa"/>
          </w:tcPr>
          <w:p w:rsidR="007C5447" w:rsidRDefault="007C5447">
            <w:pPr>
              <w:pStyle w:val="TableParagraph"/>
              <w:jc w:val="left"/>
              <w:rPr>
                <w:sz w:val="20"/>
              </w:rPr>
            </w:pPr>
          </w:p>
        </w:tc>
        <w:tc>
          <w:tcPr>
            <w:tcW w:w="1347" w:type="dxa"/>
          </w:tcPr>
          <w:p w:rsidR="007C5447" w:rsidRDefault="007C5447">
            <w:pPr>
              <w:pStyle w:val="TableParagraph"/>
              <w:jc w:val="left"/>
              <w:rPr>
                <w:sz w:val="20"/>
              </w:rPr>
            </w:pPr>
          </w:p>
        </w:tc>
        <w:tc>
          <w:tcPr>
            <w:tcW w:w="1373" w:type="dxa"/>
          </w:tcPr>
          <w:p w:rsidR="007C5447" w:rsidRDefault="007C5447">
            <w:pPr>
              <w:pStyle w:val="TableParagraph"/>
              <w:jc w:val="left"/>
              <w:rPr>
                <w:sz w:val="20"/>
              </w:rPr>
            </w:pPr>
          </w:p>
        </w:tc>
        <w:tc>
          <w:tcPr>
            <w:tcW w:w="1388" w:type="dxa"/>
          </w:tcPr>
          <w:p w:rsidR="007C5447" w:rsidRDefault="007C5447">
            <w:pPr>
              <w:pStyle w:val="TableParagraph"/>
              <w:jc w:val="left"/>
              <w:rPr>
                <w:sz w:val="20"/>
              </w:rPr>
            </w:pPr>
          </w:p>
        </w:tc>
        <w:tc>
          <w:tcPr>
            <w:tcW w:w="1344" w:type="dxa"/>
          </w:tcPr>
          <w:p w:rsidR="007C5447" w:rsidRDefault="007C5447">
            <w:pPr>
              <w:pStyle w:val="TableParagraph"/>
              <w:jc w:val="left"/>
              <w:rPr>
                <w:sz w:val="20"/>
              </w:rPr>
            </w:pPr>
          </w:p>
        </w:tc>
        <w:tc>
          <w:tcPr>
            <w:tcW w:w="1371" w:type="dxa"/>
          </w:tcPr>
          <w:p w:rsidR="007C5447" w:rsidRDefault="007C5447">
            <w:pPr>
              <w:pStyle w:val="TableParagraph"/>
              <w:jc w:val="left"/>
              <w:rPr>
                <w:sz w:val="20"/>
              </w:rPr>
            </w:pPr>
          </w:p>
        </w:tc>
        <w:tc>
          <w:tcPr>
            <w:tcW w:w="1402" w:type="dxa"/>
          </w:tcPr>
          <w:p w:rsidR="007C5447" w:rsidRDefault="007C5447">
            <w:pPr>
              <w:pStyle w:val="TableParagraph"/>
              <w:jc w:val="left"/>
              <w:rPr>
                <w:sz w:val="20"/>
              </w:rPr>
            </w:pPr>
          </w:p>
        </w:tc>
      </w:tr>
      <w:tr w:rsidR="007C5447">
        <w:trPr>
          <w:trHeight w:val="347"/>
        </w:trPr>
        <w:tc>
          <w:tcPr>
            <w:tcW w:w="2268" w:type="dxa"/>
          </w:tcPr>
          <w:p w:rsidR="007C5447" w:rsidRDefault="00F6308C">
            <w:pPr>
              <w:pStyle w:val="TableParagraph"/>
              <w:spacing w:before="60"/>
              <w:ind w:left="107"/>
              <w:jc w:val="left"/>
              <w:rPr>
                <w:b/>
                <w:sz w:val="20"/>
              </w:rPr>
            </w:pPr>
            <w:r>
              <w:rPr>
                <w:b/>
                <w:sz w:val="20"/>
              </w:rPr>
              <w:t>Revenue Gap/(Surplus)</w:t>
            </w:r>
          </w:p>
        </w:tc>
        <w:tc>
          <w:tcPr>
            <w:tcW w:w="1347" w:type="dxa"/>
          </w:tcPr>
          <w:p w:rsidR="007C5447" w:rsidRDefault="00F6308C">
            <w:pPr>
              <w:pStyle w:val="TableParagraph"/>
              <w:spacing w:before="60"/>
              <w:ind w:right="96"/>
              <w:rPr>
                <w:b/>
                <w:sz w:val="20"/>
              </w:rPr>
            </w:pPr>
            <w:r>
              <w:rPr>
                <w:b/>
                <w:w w:val="95"/>
                <w:sz w:val="20"/>
              </w:rPr>
              <w:t>8,397.93</w:t>
            </w:r>
          </w:p>
        </w:tc>
        <w:tc>
          <w:tcPr>
            <w:tcW w:w="1373" w:type="dxa"/>
          </w:tcPr>
          <w:p w:rsidR="007C5447" w:rsidRDefault="00F6308C">
            <w:pPr>
              <w:pStyle w:val="TableParagraph"/>
              <w:spacing w:before="60"/>
              <w:ind w:right="98"/>
              <w:rPr>
                <w:b/>
                <w:sz w:val="20"/>
              </w:rPr>
            </w:pPr>
            <w:r>
              <w:rPr>
                <w:b/>
                <w:w w:val="95"/>
                <w:sz w:val="20"/>
              </w:rPr>
              <w:t>13,590.67</w:t>
            </w:r>
          </w:p>
        </w:tc>
        <w:tc>
          <w:tcPr>
            <w:tcW w:w="1388" w:type="dxa"/>
          </w:tcPr>
          <w:p w:rsidR="007C5447" w:rsidRDefault="00F6308C">
            <w:pPr>
              <w:pStyle w:val="TableParagraph"/>
              <w:spacing w:before="60"/>
              <w:ind w:right="94"/>
              <w:rPr>
                <w:b/>
                <w:sz w:val="20"/>
              </w:rPr>
            </w:pPr>
            <w:r>
              <w:rPr>
                <w:b/>
                <w:w w:val="95"/>
                <w:sz w:val="20"/>
              </w:rPr>
              <w:t>6,993.29</w:t>
            </w:r>
          </w:p>
        </w:tc>
        <w:tc>
          <w:tcPr>
            <w:tcW w:w="1344" w:type="dxa"/>
          </w:tcPr>
          <w:p w:rsidR="007C5447" w:rsidRDefault="00F6308C">
            <w:pPr>
              <w:pStyle w:val="TableParagraph"/>
              <w:spacing w:before="60"/>
              <w:ind w:right="98"/>
              <w:rPr>
                <w:b/>
                <w:sz w:val="20"/>
              </w:rPr>
            </w:pPr>
            <w:r>
              <w:rPr>
                <w:b/>
                <w:w w:val="95"/>
                <w:sz w:val="20"/>
              </w:rPr>
              <w:t>4,898.79</w:t>
            </w:r>
          </w:p>
        </w:tc>
        <w:tc>
          <w:tcPr>
            <w:tcW w:w="1371" w:type="dxa"/>
          </w:tcPr>
          <w:p w:rsidR="007C5447" w:rsidRDefault="00F6308C">
            <w:pPr>
              <w:pStyle w:val="TableParagraph"/>
              <w:spacing w:before="60"/>
              <w:ind w:right="96"/>
              <w:rPr>
                <w:b/>
                <w:sz w:val="20"/>
              </w:rPr>
            </w:pPr>
            <w:r>
              <w:rPr>
                <w:b/>
                <w:w w:val="95"/>
                <w:sz w:val="20"/>
              </w:rPr>
              <w:t>12,788.75</w:t>
            </w:r>
          </w:p>
        </w:tc>
        <w:tc>
          <w:tcPr>
            <w:tcW w:w="1402" w:type="dxa"/>
          </w:tcPr>
          <w:p w:rsidR="007C5447" w:rsidRDefault="00F6308C">
            <w:pPr>
              <w:pStyle w:val="TableParagraph"/>
              <w:spacing w:before="60"/>
              <w:ind w:right="98"/>
              <w:rPr>
                <w:b/>
                <w:sz w:val="20"/>
              </w:rPr>
            </w:pPr>
            <w:r>
              <w:rPr>
                <w:b/>
                <w:w w:val="95"/>
                <w:sz w:val="20"/>
              </w:rPr>
              <w:t>3,749.93</w:t>
            </w:r>
          </w:p>
        </w:tc>
      </w:tr>
    </w:tbl>
    <w:p w:rsidR="007C5447" w:rsidRDefault="007C5447">
      <w:pPr>
        <w:pStyle w:val="BodyText"/>
        <w:spacing w:before="11"/>
        <w:rPr>
          <w:b/>
          <w:sz w:val="20"/>
        </w:rPr>
      </w:pPr>
    </w:p>
    <w:p w:rsidR="007C5447" w:rsidRDefault="00F6308C">
      <w:pPr>
        <w:spacing w:line="312" w:lineRule="auto"/>
        <w:ind w:left="4247" w:right="810" w:hanging="3459"/>
        <w:rPr>
          <w:b/>
        </w:rPr>
      </w:pPr>
      <w:r>
        <w:rPr>
          <w:b/>
        </w:rPr>
        <w:t>Table 3-76: Revenue Gap/(Surplus) approved by the Commission after true-up for FY 2013-14 to FY 2015-16 (Rs.</w:t>
      </w:r>
      <w:r>
        <w:rPr>
          <w:b/>
          <w:spacing w:val="-4"/>
        </w:rPr>
        <w:t xml:space="preserve"> </w:t>
      </w:r>
      <w:r>
        <w:rPr>
          <w:b/>
        </w:rPr>
        <w:t>Crore)</w:t>
      </w:r>
    </w:p>
    <w:p w:rsidR="007C5447" w:rsidRDefault="007C5447">
      <w:pPr>
        <w:pStyle w:val="BodyText"/>
        <w:spacing w:before="6"/>
        <w:rPr>
          <w:b/>
          <w:sz w:val="10"/>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8"/>
        <w:gridCol w:w="1059"/>
        <w:gridCol w:w="1255"/>
        <w:gridCol w:w="1039"/>
        <w:gridCol w:w="1251"/>
        <w:gridCol w:w="1119"/>
        <w:gridCol w:w="1151"/>
        <w:gridCol w:w="1220"/>
      </w:tblGrid>
      <w:tr w:rsidR="007C5447">
        <w:trPr>
          <w:trHeight w:val="631"/>
        </w:trPr>
        <w:tc>
          <w:tcPr>
            <w:tcW w:w="1918" w:type="dxa"/>
            <w:vMerge w:val="restart"/>
            <w:shd w:val="clear" w:color="auto" w:fill="F7C9AC"/>
          </w:tcPr>
          <w:p w:rsidR="007C5447" w:rsidRDefault="007C5447">
            <w:pPr>
              <w:pStyle w:val="TableParagraph"/>
              <w:jc w:val="left"/>
              <w:rPr>
                <w:b/>
              </w:rPr>
            </w:pPr>
          </w:p>
          <w:p w:rsidR="007C5447" w:rsidRDefault="007C5447">
            <w:pPr>
              <w:pStyle w:val="TableParagraph"/>
              <w:spacing w:before="1"/>
              <w:jc w:val="left"/>
              <w:rPr>
                <w:b/>
                <w:sz w:val="27"/>
              </w:rPr>
            </w:pPr>
          </w:p>
          <w:p w:rsidR="007C5447" w:rsidRDefault="00F6308C">
            <w:pPr>
              <w:pStyle w:val="TableParagraph"/>
              <w:ind w:left="107"/>
              <w:jc w:val="left"/>
              <w:rPr>
                <w:b/>
                <w:sz w:val="20"/>
              </w:rPr>
            </w:pPr>
            <w:r>
              <w:rPr>
                <w:b/>
                <w:sz w:val="20"/>
              </w:rPr>
              <w:t>Particulars</w:t>
            </w:r>
          </w:p>
        </w:tc>
        <w:tc>
          <w:tcPr>
            <w:tcW w:w="3353" w:type="dxa"/>
            <w:gridSpan w:val="3"/>
            <w:shd w:val="clear" w:color="auto" w:fill="F7C9AC"/>
          </w:tcPr>
          <w:p w:rsidR="007C5447" w:rsidRDefault="007C5447">
            <w:pPr>
              <w:pStyle w:val="TableParagraph"/>
              <w:spacing w:before="4"/>
              <w:jc w:val="left"/>
              <w:rPr>
                <w:b/>
                <w:sz w:val="17"/>
              </w:rPr>
            </w:pPr>
          </w:p>
          <w:p w:rsidR="007C5447" w:rsidRDefault="00F6308C">
            <w:pPr>
              <w:pStyle w:val="TableParagraph"/>
              <w:ind w:left="1164" w:right="1154"/>
              <w:jc w:val="center"/>
              <w:rPr>
                <w:b/>
                <w:sz w:val="20"/>
              </w:rPr>
            </w:pPr>
            <w:r>
              <w:rPr>
                <w:b/>
                <w:sz w:val="20"/>
              </w:rPr>
              <w:t>FY 2013-14</w:t>
            </w:r>
          </w:p>
        </w:tc>
        <w:tc>
          <w:tcPr>
            <w:tcW w:w="2370" w:type="dxa"/>
            <w:gridSpan w:val="2"/>
            <w:shd w:val="clear" w:color="auto" w:fill="F7C9AC"/>
          </w:tcPr>
          <w:p w:rsidR="007C5447" w:rsidRDefault="007C5447">
            <w:pPr>
              <w:pStyle w:val="TableParagraph"/>
              <w:spacing w:before="4"/>
              <w:jc w:val="left"/>
              <w:rPr>
                <w:b/>
                <w:sz w:val="17"/>
              </w:rPr>
            </w:pPr>
          </w:p>
          <w:p w:rsidR="007C5447" w:rsidRDefault="00F6308C">
            <w:pPr>
              <w:pStyle w:val="TableParagraph"/>
              <w:ind w:left="691"/>
              <w:jc w:val="left"/>
              <w:rPr>
                <w:b/>
                <w:sz w:val="20"/>
              </w:rPr>
            </w:pPr>
            <w:r>
              <w:rPr>
                <w:b/>
                <w:sz w:val="20"/>
              </w:rPr>
              <w:t>FY 2014-15</w:t>
            </w:r>
          </w:p>
        </w:tc>
        <w:tc>
          <w:tcPr>
            <w:tcW w:w="2371" w:type="dxa"/>
            <w:gridSpan w:val="2"/>
            <w:shd w:val="clear" w:color="auto" w:fill="F7C9AC"/>
          </w:tcPr>
          <w:p w:rsidR="007C5447" w:rsidRDefault="007C5447">
            <w:pPr>
              <w:pStyle w:val="TableParagraph"/>
              <w:spacing w:before="4"/>
              <w:jc w:val="left"/>
              <w:rPr>
                <w:b/>
                <w:sz w:val="17"/>
              </w:rPr>
            </w:pPr>
          </w:p>
          <w:p w:rsidR="007C5447" w:rsidRDefault="00F6308C">
            <w:pPr>
              <w:pStyle w:val="TableParagraph"/>
              <w:ind w:left="691"/>
              <w:jc w:val="left"/>
              <w:rPr>
                <w:b/>
                <w:sz w:val="20"/>
              </w:rPr>
            </w:pPr>
            <w:r>
              <w:rPr>
                <w:b/>
                <w:sz w:val="20"/>
              </w:rPr>
              <w:t>FY 2015-16</w:t>
            </w:r>
          </w:p>
        </w:tc>
      </w:tr>
      <w:tr w:rsidR="007C5447">
        <w:trPr>
          <w:trHeight w:val="719"/>
        </w:trPr>
        <w:tc>
          <w:tcPr>
            <w:tcW w:w="1918" w:type="dxa"/>
            <w:vMerge/>
            <w:tcBorders>
              <w:top w:val="nil"/>
            </w:tcBorders>
            <w:shd w:val="clear" w:color="auto" w:fill="F7C9AC"/>
          </w:tcPr>
          <w:p w:rsidR="007C5447" w:rsidRDefault="007C5447">
            <w:pPr>
              <w:rPr>
                <w:sz w:val="2"/>
                <w:szCs w:val="2"/>
              </w:rPr>
            </w:pPr>
          </w:p>
        </w:tc>
        <w:tc>
          <w:tcPr>
            <w:tcW w:w="1059" w:type="dxa"/>
            <w:shd w:val="clear" w:color="auto" w:fill="F7C9AC"/>
          </w:tcPr>
          <w:p w:rsidR="007C5447" w:rsidRDefault="00F6308C">
            <w:pPr>
              <w:pStyle w:val="TableParagraph"/>
              <w:spacing w:before="130"/>
              <w:ind w:left="311"/>
              <w:jc w:val="left"/>
              <w:rPr>
                <w:b/>
                <w:sz w:val="20"/>
              </w:rPr>
            </w:pPr>
            <w:r>
              <w:rPr>
                <w:b/>
                <w:sz w:val="20"/>
              </w:rPr>
              <w:t>SMT</w:t>
            </w:r>
          </w:p>
          <w:p w:rsidR="007C5447" w:rsidRDefault="00F6308C">
            <w:pPr>
              <w:pStyle w:val="TableParagraph"/>
              <w:ind w:left="261"/>
              <w:jc w:val="left"/>
              <w:rPr>
                <w:b/>
                <w:sz w:val="20"/>
              </w:rPr>
            </w:pPr>
            <w:r>
              <w:rPr>
                <w:b/>
                <w:sz w:val="20"/>
              </w:rPr>
              <w:t>Order</w:t>
            </w:r>
          </w:p>
        </w:tc>
        <w:tc>
          <w:tcPr>
            <w:tcW w:w="1255" w:type="dxa"/>
            <w:shd w:val="clear" w:color="auto" w:fill="F7C9AC"/>
          </w:tcPr>
          <w:p w:rsidR="007C5447" w:rsidRDefault="00F6308C">
            <w:pPr>
              <w:pStyle w:val="TableParagraph"/>
              <w:spacing w:before="130"/>
              <w:ind w:left="549" w:right="114" w:hanging="423"/>
              <w:jc w:val="left"/>
              <w:rPr>
                <w:b/>
                <w:sz w:val="20"/>
              </w:rPr>
            </w:pPr>
            <w:r>
              <w:rPr>
                <w:b/>
                <w:w w:val="95"/>
                <w:sz w:val="20"/>
              </w:rPr>
              <w:t xml:space="preserve">TANGEDC </w:t>
            </w:r>
            <w:r>
              <w:rPr>
                <w:b/>
                <w:sz w:val="20"/>
              </w:rPr>
              <w:t>O</w:t>
            </w:r>
          </w:p>
        </w:tc>
        <w:tc>
          <w:tcPr>
            <w:tcW w:w="1039" w:type="dxa"/>
            <w:shd w:val="clear" w:color="auto" w:fill="F7C9AC"/>
          </w:tcPr>
          <w:p w:rsidR="007C5447" w:rsidRDefault="00F6308C">
            <w:pPr>
              <w:pStyle w:val="TableParagraph"/>
              <w:spacing w:before="14" w:line="230" w:lineRule="atLeast"/>
              <w:ind w:left="146" w:right="137"/>
              <w:jc w:val="center"/>
              <w:rPr>
                <w:b/>
                <w:sz w:val="20"/>
              </w:rPr>
            </w:pPr>
            <w:r>
              <w:rPr>
                <w:b/>
                <w:w w:val="95"/>
                <w:sz w:val="20"/>
              </w:rPr>
              <w:t xml:space="preserve">Approve </w:t>
            </w:r>
            <w:r>
              <w:rPr>
                <w:b/>
                <w:sz w:val="20"/>
              </w:rPr>
              <w:t>d after true up</w:t>
            </w:r>
          </w:p>
        </w:tc>
        <w:tc>
          <w:tcPr>
            <w:tcW w:w="1251" w:type="dxa"/>
            <w:shd w:val="clear" w:color="auto" w:fill="F7C9AC"/>
          </w:tcPr>
          <w:p w:rsidR="007C5447" w:rsidRDefault="00F6308C">
            <w:pPr>
              <w:pStyle w:val="TableParagraph"/>
              <w:spacing w:before="130"/>
              <w:ind w:left="545" w:right="109" w:hanging="423"/>
              <w:jc w:val="left"/>
              <w:rPr>
                <w:b/>
                <w:sz w:val="20"/>
              </w:rPr>
            </w:pPr>
            <w:r>
              <w:rPr>
                <w:b/>
                <w:w w:val="95"/>
                <w:sz w:val="20"/>
              </w:rPr>
              <w:t xml:space="preserve">TANGEDC </w:t>
            </w:r>
            <w:r>
              <w:rPr>
                <w:b/>
                <w:sz w:val="20"/>
              </w:rPr>
              <w:t>O</w:t>
            </w:r>
          </w:p>
        </w:tc>
        <w:tc>
          <w:tcPr>
            <w:tcW w:w="1119" w:type="dxa"/>
            <w:shd w:val="clear" w:color="auto" w:fill="F7C9AC"/>
          </w:tcPr>
          <w:p w:rsidR="007C5447" w:rsidRDefault="00F6308C">
            <w:pPr>
              <w:pStyle w:val="TableParagraph"/>
              <w:spacing w:before="14" w:line="230" w:lineRule="atLeast"/>
              <w:ind w:left="131" w:right="121"/>
              <w:jc w:val="center"/>
              <w:rPr>
                <w:b/>
                <w:sz w:val="20"/>
              </w:rPr>
            </w:pPr>
            <w:r>
              <w:rPr>
                <w:b/>
                <w:w w:val="95"/>
                <w:sz w:val="20"/>
              </w:rPr>
              <w:t xml:space="preserve">Approved </w:t>
            </w:r>
            <w:r>
              <w:rPr>
                <w:b/>
                <w:sz w:val="20"/>
              </w:rPr>
              <w:t>after true up</w:t>
            </w:r>
          </w:p>
        </w:tc>
        <w:tc>
          <w:tcPr>
            <w:tcW w:w="1151" w:type="dxa"/>
            <w:shd w:val="clear" w:color="auto" w:fill="F7C9AC"/>
          </w:tcPr>
          <w:p w:rsidR="007C5447" w:rsidRDefault="00F6308C">
            <w:pPr>
              <w:pStyle w:val="TableParagraph"/>
              <w:spacing w:before="130"/>
              <w:ind w:left="424" w:hanging="279"/>
              <w:jc w:val="left"/>
              <w:rPr>
                <w:b/>
                <w:sz w:val="20"/>
              </w:rPr>
            </w:pPr>
            <w:r>
              <w:rPr>
                <w:b/>
                <w:w w:val="95"/>
                <w:sz w:val="20"/>
              </w:rPr>
              <w:t xml:space="preserve">TANGED </w:t>
            </w:r>
            <w:r>
              <w:rPr>
                <w:b/>
                <w:sz w:val="20"/>
              </w:rPr>
              <w:t>CO</w:t>
            </w:r>
          </w:p>
        </w:tc>
        <w:tc>
          <w:tcPr>
            <w:tcW w:w="1220" w:type="dxa"/>
            <w:shd w:val="clear" w:color="auto" w:fill="F7C9AC"/>
          </w:tcPr>
          <w:p w:rsidR="007C5447" w:rsidRDefault="00F6308C">
            <w:pPr>
              <w:pStyle w:val="TableParagraph"/>
              <w:spacing w:before="14" w:line="230" w:lineRule="atLeast"/>
              <w:ind w:left="181" w:right="173"/>
              <w:jc w:val="center"/>
              <w:rPr>
                <w:b/>
                <w:sz w:val="20"/>
              </w:rPr>
            </w:pPr>
            <w:r>
              <w:rPr>
                <w:b/>
                <w:w w:val="95"/>
                <w:sz w:val="20"/>
              </w:rPr>
              <w:t xml:space="preserve">Approved </w:t>
            </w:r>
            <w:r>
              <w:rPr>
                <w:b/>
                <w:sz w:val="20"/>
              </w:rPr>
              <w:t>after true up</w:t>
            </w:r>
          </w:p>
        </w:tc>
      </w:tr>
      <w:tr w:rsidR="007C5447">
        <w:trPr>
          <w:trHeight w:val="719"/>
        </w:trPr>
        <w:tc>
          <w:tcPr>
            <w:tcW w:w="1918" w:type="dxa"/>
          </w:tcPr>
          <w:p w:rsidR="007C5447" w:rsidRDefault="00F6308C">
            <w:pPr>
              <w:pStyle w:val="TableParagraph"/>
              <w:spacing w:before="14" w:line="230" w:lineRule="atLeast"/>
              <w:ind w:left="107" w:right="553"/>
              <w:jc w:val="left"/>
              <w:rPr>
                <w:b/>
                <w:sz w:val="20"/>
              </w:rPr>
            </w:pPr>
            <w:r>
              <w:rPr>
                <w:b/>
                <w:sz w:val="20"/>
              </w:rPr>
              <w:t>Net Aggregate Revenue Requirement</w:t>
            </w:r>
          </w:p>
        </w:tc>
        <w:tc>
          <w:tcPr>
            <w:tcW w:w="1059" w:type="dxa"/>
          </w:tcPr>
          <w:p w:rsidR="007C5447" w:rsidRDefault="007C5447">
            <w:pPr>
              <w:pStyle w:val="TableParagraph"/>
              <w:spacing w:before="3"/>
              <w:jc w:val="left"/>
              <w:rPr>
                <w:b/>
                <w:sz w:val="21"/>
              </w:rPr>
            </w:pPr>
          </w:p>
          <w:p w:rsidR="007C5447" w:rsidRDefault="00F6308C">
            <w:pPr>
              <w:pStyle w:val="TableParagraph"/>
              <w:ind w:right="99"/>
              <w:rPr>
                <w:b/>
                <w:sz w:val="20"/>
              </w:rPr>
            </w:pPr>
            <w:r>
              <w:rPr>
                <w:b/>
                <w:w w:val="95"/>
                <w:sz w:val="20"/>
              </w:rPr>
              <w:t>33,682.65</w:t>
            </w:r>
          </w:p>
        </w:tc>
        <w:tc>
          <w:tcPr>
            <w:tcW w:w="1255" w:type="dxa"/>
          </w:tcPr>
          <w:p w:rsidR="007C5447" w:rsidRDefault="007C5447">
            <w:pPr>
              <w:pStyle w:val="TableParagraph"/>
              <w:spacing w:before="3"/>
              <w:jc w:val="left"/>
              <w:rPr>
                <w:b/>
                <w:sz w:val="21"/>
              </w:rPr>
            </w:pPr>
          </w:p>
          <w:p w:rsidR="007C5447" w:rsidRDefault="00F6308C">
            <w:pPr>
              <w:pStyle w:val="TableParagraph"/>
              <w:ind w:right="98"/>
              <w:rPr>
                <w:b/>
                <w:sz w:val="20"/>
              </w:rPr>
            </w:pPr>
            <w:r>
              <w:rPr>
                <w:b/>
                <w:w w:val="95"/>
                <w:sz w:val="20"/>
              </w:rPr>
              <w:t>43,054.69</w:t>
            </w:r>
          </w:p>
        </w:tc>
        <w:tc>
          <w:tcPr>
            <w:tcW w:w="1039" w:type="dxa"/>
          </w:tcPr>
          <w:p w:rsidR="007C5447" w:rsidRDefault="007C5447">
            <w:pPr>
              <w:pStyle w:val="TableParagraph"/>
              <w:spacing w:before="3"/>
              <w:jc w:val="left"/>
              <w:rPr>
                <w:b/>
                <w:sz w:val="21"/>
              </w:rPr>
            </w:pPr>
          </w:p>
          <w:p w:rsidR="007C5447" w:rsidRDefault="00F6308C">
            <w:pPr>
              <w:pStyle w:val="TableParagraph"/>
              <w:ind w:right="97"/>
              <w:rPr>
                <w:b/>
                <w:sz w:val="20"/>
              </w:rPr>
            </w:pPr>
            <w:r>
              <w:rPr>
                <w:b/>
                <w:w w:val="95"/>
                <w:sz w:val="20"/>
              </w:rPr>
              <w:t>34,721.75</w:t>
            </w:r>
          </w:p>
        </w:tc>
        <w:tc>
          <w:tcPr>
            <w:tcW w:w="1251" w:type="dxa"/>
          </w:tcPr>
          <w:p w:rsidR="007C5447" w:rsidRDefault="007C5447">
            <w:pPr>
              <w:pStyle w:val="TableParagraph"/>
              <w:spacing w:before="3"/>
              <w:jc w:val="left"/>
              <w:rPr>
                <w:b/>
                <w:sz w:val="21"/>
              </w:rPr>
            </w:pPr>
          </w:p>
          <w:p w:rsidR="007C5447" w:rsidRDefault="00F6308C">
            <w:pPr>
              <w:pStyle w:val="TableParagraph"/>
              <w:ind w:right="99"/>
              <w:rPr>
                <w:b/>
                <w:sz w:val="20"/>
              </w:rPr>
            </w:pPr>
            <w:r>
              <w:rPr>
                <w:b/>
                <w:w w:val="95"/>
                <w:sz w:val="20"/>
              </w:rPr>
              <w:t>49,438.59</w:t>
            </w:r>
          </w:p>
        </w:tc>
        <w:tc>
          <w:tcPr>
            <w:tcW w:w="1119" w:type="dxa"/>
          </w:tcPr>
          <w:p w:rsidR="007C5447" w:rsidRDefault="007C5447">
            <w:pPr>
              <w:pStyle w:val="TableParagraph"/>
              <w:spacing w:before="3"/>
              <w:jc w:val="left"/>
              <w:rPr>
                <w:b/>
                <w:sz w:val="21"/>
              </w:rPr>
            </w:pPr>
          </w:p>
          <w:p w:rsidR="007C5447" w:rsidRDefault="00F6308C">
            <w:pPr>
              <w:pStyle w:val="TableParagraph"/>
              <w:ind w:right="96"/>
              <w:rPr>
                <w:b/>
                <w:sz w:val="20"/>
              </w:rPr>
            </w:pPr>
            <w:r>
              <w:rPr>
                <w:b/>
                <w:w w:val="95"/>
                <w:sz w:val="20"/>
              </w:rPr>
              <w:t>37,947.41</w:t>
            </w:r>
          </w:p>
        </w:tc>
        <w:tc>
          <w:tcPr>
            <w:tcW w:w="1151" w:type="dxa"/>
          </w:tcPr>
          <w:p w:rsidR="007C5447" w:rsidRDefault="007C5447">
            <w:pPr>
              <w:pStyle w:val="TableParagraph"/>
              <w:spacing w:before="3"/>
              <w:jc w:val="left"/>
              <w:rPr>
                <w:b/>
                <w:sz w:val="21"/>
              </w:rPr>
            </w:pPr>
          </w:p>
          <w:p w:rsidR="007C5447" w:rsidRDefault="00F6308C">
            <w:pPr>
              <w:pStyle w:val="TableParagraph"/>
              <w:ind w:right="100"/>
              <w:rPr>
                <w:b/>
                <w:sz w:val="20"/>
              </w:rPr>
            </w:pPr>
            <w:r>
              <w:rPr>
                <w:b/>
                <w:w w:val="95"/>
                <w:sz w:val="20"/>
              </w:rPr>
              <w:t>48,567.55</w:t>
            </w:r>
          </w:p>
        </w:tc>
        <w:tc>
          <w:tcPr>
            <w:tcW w:w="1220" w:type="dxa"/>
          </w:tcPr>
          <w:p w:rsidR="007C5447" w:rsidRDefault="007C5447">
            <w:pPr>
              <w:pStyle w:val="TableParagraph"/>
              <w:spacing w:before="3"/>
              <w:jc w:val="left"/>
              <w:rPr>
                <w:b/>
                <w:sz w:val="21"/>
              </w:rPr>
            </w:pPr>
          </w:p>
          <w:p w:rsidR="007C5447" w:rsidRDefault="00F6308C">
            <w:pPr>
              <w:pStyle w:val="TableParagraph"/>
              <w:ind w:right="97"/>
              <w:rPr>
                <w:b/>
                <w:sz w:val="20"/>
              </w:rPr>
            </w:pPr>
            <w:r>
              <w:rPr>
                <w:b/>
                <w:w w:val="95"/>
                <w:sz w:val="20"/>
              </w:rPr>
              <w:t>42,298.72</w:t>
            </w:r>
          </w:p>
        </w:tc>
      </w:tr>
      <w:tr w:rsidR="007C5447">
        <w:trPr>
          <w:trHeight w:val="366"/>
        </w:trPr>
        <w:tc>
          <w:tcPr>
            <w:tcW w:w="1918" w:type="dxa"/>
          </w:tcPr>
          <w:p w:rsidR="007C5447" w:rsidRDefault="007C5447">
            <w:pPr>
              <w:pStyle w:val="TableParagraph"/>
              <w:jc w:val="left"/>
              <w:rPr>
                <w:sz w:val="20"/>
              </w:rPr>
            </w:pPr>
          </w:p>
        </w:tc>
        <w:tc>
          <w:tcPr>
            <w:tcW w:w="1059" w:type="dxa"/>
          </w:tcPr>
          <w:p w:rsidR="007C5447" w:rsidRDefault="007C5447">
            <w:pPr>
              <w:pStyle w:val="TableParagraph"/>
              <w:jc w:val="left"/>
              <w:rPr>
                <w:sz w:val="20"/>
              </w:rPr>
            </w:pPr>
          </w:p>
        </w:tc>
        <w:tc>
          <w:tcPr>
            <w:tcW w:w="1255" w:type="dxa"/>
          </w:tcPr>
          <w:p w:rsidR="007C5447" w:rsidRDefault="007C5447">
            <w:pPr>
              <w:pStyle w:val="TableParagraph"/>
              <w:jc w:val="left"/>
              <w:rPr>
                <w:sz w:val="20"/>
              </w:rPr>
            </w:pPr>
          </w:p>
        </w:tc>
        <w:tc>
          <w:tcPr>
            <w:tcW w:w="1039" w:type="dxa"/>
          </w:tcPr>
          <w:p w:rsidR="007C5447" w:rsidRDefault="007C5447">
            <w:pPr>
              <w:pStyle w:val="TableParagraph"/>
              <w:jc w:val="left"/>
              <w:rPr>
                <w:sz w:val="20"/>
              </w:rPr>
            </w:pPr>
          </w:p>
        </w:tc>
        <w:tc>
          <w:tcPr>
            <w:tcW w:w="1251" w:type="dxa"/>
          </w:tcPr>
          <w:p w:rsidR="007C5447" w:rsidRDefault="007C5447">
            <w:pPr>
              <w:pStyle w:val="TableParagraph"/>
              <w:jc w:val="left"/>
              <w:rPr>
                <w:sz w:val="20"/>
              </w:rPr>
            </w:pPr>
          </w:p>
        </w:tc>
        <w:tc>
          <w:tcPr>
            <w:tcW w:w="1119" w:type="dxa"/>
          </w:tcPr>
          <w:p w:rsidR="007C5447" w:rsidRDefault="007C5447">
            <w:pPr>
              <w:pStyle w:val="TableParagraph"/>
              <w:jc w:val="left"/>
              <w:rPr>
                <w:sz w:val="20"/>
              </w:rPr>
            </w:pPr>
          </w:p>
        </w:tc>
        <w:tc>
          <w:tcPr>
            <w:tcW w:w="1151" w:type="dxa"/>
          </w:tcPr>
          <w:p w:rsidR="007C5447" w:rsidRDefault="007C5447">
            <w:pPr>
              <w:pStyle w:val="TableParagraph"/>
              <w:jc w:val="left"/>
              <w:rPr>
                <w:sz w:val="20"/>
              </w:rPr>
            </w:pPr>
          </w:p>
        </w:tc>
        <w:tc>
          <w:tcPr>
            <w:tcW w:w="1220" w:type="dxa"/>
          </w:tcPr>
          <w:p w:rsidR="007C5447" w:rsidRDefault="007C5447">
            <w:pPr>
              <w:pStyle w:val="TableParagraph"/>
              <w:jc w:val="left"/>
              <w:rPr>
                <w:sz w:val="20"/>
              </w:rPr>
            </w:pPr>
          </w:p>
        </w:tc>
      </w:tr>
      <w:tr w:rsidR="007C5447">
        <w:trPr>
          <w:trHeight w:val="364"/>
        </w:trPr>
        <w:tc>
          <w:tcPr>
            <w:tcW w:w="1918" w:type="dxa"/>
          </w:tcPr>
          <w:p w:rsidR="007C5447" w:rsidRDefault="00F6308C">
            <w:pPr>
              <w:pStyle w:val="TableParagraph"/>
              <w:spacing w:before="67"/>
              <w:ind w:left="107"/>
              <w:jc w:val="left"/>
              <w:rPr>
                <w:sz w:val="20"/>
              </w:rPr>
            </w:pPr>
            <w:r>
              <w:rPr>
                <w:sz w:val="20"/>
              </w:rPr>
              <w:t>Revenue from sales</w:t>
            </w:r>
          </w:p>
        </w:tc>
        <w:tc>
          <w:tcPr>
            <w:tcW w:w="1059" w:type="dxa"/>
          </w:tcPr>
          <w:p w:rsidR="007C5447" w:rsidRDefault="00F6308C">
            <w:pPr>
              <w:pStyle w:val="TableParagraph"/>
              <w:spacing w:before="67"/>
              <w:ind w:right="87"/>
              <w:rPr>
                <w:sz w:val="20"/>
              </w:rPr>
            </w:pPr>
            <w:r>
              <w:rPr>
                <w:w w:val="95"/>
                <w:sz w:val="20"/>
              </w:rPr>
              <w:t>24,986.00</w:t>
            </w:r>
          </w:p>
        </w:tc>
        <w:tc>
          <w:tcPr>
            <w:tcW w:w="1255" w:type="dxa"/>
          </w:tcPr>
          <w:p w:rsidR="007C5447" w:rsidRDefault="00F6308C">
            <w:pPr>
              <w:pStyle w:val="TableParagraph"/>
              <w:spacing w:before="67"/>
              <w:ind w:right="86"/>
              <w:rPr>
                <w:sz w:val="20"/>
              </w:rPr>
            </w:pPr>
            <w:r>
              <w:rPr>
                <w:sz w:val="20"/>
              </w:rPr>
              <w:t>24,260.14</w:t>
            </w:r>
          </w:p>
        </w:tc>
        <w:tc>
          <w:tcPr>
            <w:tcW w:w="1039" w:type="dxa"/>
          </w:tcPr>
          <w:p w:rsidR="007C5447" w:rsidRDefault="00F6308C">
            <w:pPr>
              <w:pStyle w:val="TableParagraph"/>
              <w:spacing w:before="67"/>
              <w:ind w:right="86"/>
              <w:rPr>
                <w:sz w:val="20"/>
              </w:rPr>
            </w:pPr>
            <w:r>
              <w:rPr>
                <w:w w:val="95"/>
                <w:sz w:val="20"/>
              </w:rPr>
              <w:t>24,174.21</w:t>
            </w:r>
          </w:p>
        </w:tc>
        <w:tc>
          <w:tcPr>
            <w:tcW w:w="1251" w:type="dxa"/>
          </w:tcPr>
          <w:p w:rsidR="007C5447" w:rsidRDefault="00F6308C">
            <w:pPr>
              <w:pStyle w:val="TableParagraph"/>
              <w:spacing w:before="67"/>
              <w:ind w:right="86"/>
              <w:rPr>
                <w:sz w:val="20"/>
              </w:rPr>
            </w:pPr>
            <w:r>
              <w:rPr>
                <w:sz w:val="20"/>
              </w:rPr>
              <w:t>28,171.86</w:t>
            </w:r>
          </w:p>
        </w:tc>
        <w:tc>
          <w:tcPr>
            <w:tcW w:w="1119" w:type="dxa"/>
          </w:tcPr>
          <w:p w:rsidR="007C5447" w:rsidRDefault="00F6308C">
            <w:pPr>
              <w:pStyle w:val="TableParagraph"/>
              <w:spacing w:before="67"/>
              <w:ind w:right="87"/>
              <w:rPr>
                <w:sz w:val="20"/>
              </w:rPr>
            </w:pPr>
            <w:r>
              <w:rPr>
                <w:w w:val="95"/>
                <w:sz w:val="20"/>
              </w:rPr>
              <w:t>28,046.44</w:t>
            </w:r>
          </w:p>
        </w:tc>
        <w:tc>
          <w:tcPr>
            <w:tcW w:w="1151" w:type="dxa"/>
          </w:tcPr>
          <w:p w:rsidR="007C5447" w:rsidRDefault="00F6308C">
            <w:pPr>
              <w:pStyle w:val="TableParagraph"/>
              <w:spacing w:before="67"/>
              <w:ind w:right="87"/>
              <w:rPr>
                <w:sz w:val="20"/>
              </w:rPr>
            </w:pPr>
            <w:r>
              <w:rPr>
                <w:w w:val="95"/>
                <w:sz w:val="20"/>
              </w:rPr>
              <w:t>33,381.68</w:t>
            </w:r>
          </w:p>
        </w:tc>
        <w:tc>
          <w:tcPr>
            <w:tcW w:w="1220" w:type="dxa"/>
          </w:tcPr>
          <w:p w:rsidR="007C5447" w:rsidRDefault="00F6308C">
            <w:pPr>
              <w:pStyle w:val="TableParagraph"/>
              <w:spacing w:before="67"/>
              <w:ind w:right="88"/>
              <w:rPr>
                <w:sz w:val="20"/>
              </w:rPr>
            </w:pPr>
            <w:r>
              <w:rPr>
                <w:w w:val="95"/>
                <w:sz w:val="20"/>
              </w:rPr>
              <w:t>33,310.13</w:t>
            </w:r>
          </w:p>
        </w:tc>
      </w:tr>
      <w:tr w:rsidR="007C5447">
        <w:trPr>
          <w:trHeight w:val="364"/>
        </w:trPr>
        <w:tc>
          <w:tcPr>
            <w:tcW w:w="1918" w:type="dxa"/>
          </w:tcPr>
          <w:p w:rsidR="007C5447" w:rsidRDefault="00F6308C">
            <w:pPr>
              <w:pStyle w:val="TableParagraph"/>
              <w:spacing w:before="67"/>
              <w:ind w:left="107"/>
              <w:jc w:val="left"/>
              <w:rPr>
                <w:sz w:val="20"/>
              </w:rPr>
            </w:pPr>
            <w:r>
              <w:rPr>
                <w:sz w:val="20"/>
              </w:rPr>
              <w:t>Govt. subsidy</w:t>
            </w:r>
          </w:p>
        </w:tc>
        <w:tc>
          <w:tcPr>
            <w:tcW w:w="1059" w:type="dxa"/>
          </w:tcPr>
          <w:p w:rsidR="007C5447" w:rsidRDefault="00F6308C">
            <w:pPr>
              <w:pStyle w:val="TableParagraph"/>
              <w:spacing w:before="67"/>
              <w:ind w:right="96"/>
              <w:rPr>
                <w:sz w:val="20"/>
              </w:rPr>
            </w:pPr>
            <w:r>
              <w:rPr>
                <w:w w:val="95"/>
                <w:sz w:val="20"/>
              </w:rPr>
              <w:t>4,985.00</w:t>
            </w:r>
          </w:p>
        </w:tc>
        <w:tc>
          <w:tcPr>
            <w:tcW w:w="1255" w:type="dxa"/>
          </w:tcPr>
          <w:p w:rsidR="007C5447" w:rsidRDefault="00F6308C">
            <w:pPr>
              <w:pStyle w:val="TableParagraph"/>
              <w:spacing w:before="67"/>
              <w:ind w:right="85"/>
              <w:rPr>
                <w:sz w:val="20"/>
              </w:rPr>
            </w:pPr>
            <w:r>
              <w:rPr>
                <w:w w:val="95"/>
                <w:sz w:val="20"/>
              </w:rPr>
              <w:t>4,985.09</w:t>
            </w:r>
          </w:p>
        </w:tc>
        <w:tc>
          <w:tcPr>
            <w:tcW w:w="1039" w:type="dxa"/>
          </w:tcPr>
          <w:p w:rsidR="007C5447" w:rsidRDefault="00F6308C">
            <w:pPr>
              <w:pStyle w:val="TableParagraph"/>
              <w:spacing w:before="67"/>
              <w:ind w:right="85"/>
              <w:rPr>
                <w:sz w:val="20"/>
              </w:rPr>
            </w:pPr>
            <w:r>
              <w:rPr>
                <w:w w:val="95"/>
                <w:sz w:val="20"/>
              </w:rPr>
              <w:t>4,985.09</w:t>
            </w:r>
          </w:p>
        </w:tc>
        <w:tc>
          <w:tcPr>
            <w:tcW w:w="1251" w:type="dxa"/>
          </w:tcPr>
          <w:p w:rsidR="007C5447" w:rsidRDefault="00F6308C">
            <w:pPr>
              <w:pStyle w:val="TableParagraph"/>
              <w:spacing w:before="67"/>
              <w:ind w:right="86"/>
              <w:rPr>
                <w:sz w:val="20"/>
              </w:rPr>
            </w:pPr>
            <w:r>
              <w:rPr>
                <w:w w:val="95"/>
                <w:sz w:val="20"/>
              </w:rPr>
              <w:t>5,953.00</w:t>
            </w:r>
          </w:p>
        </w:tc>
        <w:tc>
          <w:tcPr>
            <w:tcW w:w="1119" w:type="dxa"/>
          </w:tcPr>
          <w:p w:rsidR="007C5447" w:rsidRDefault="00F6308C">
            <w:pPr>
              <w:pStyle w:val="TableParagraph"/>
              <w:spacing w:before="67"/>
              <w:ind w:right="87"/>
              <w:rPr>
                <w:sz w:val="20"/>
              </w:rPr>
            </w:pPr>
            <w:r>
              <w:rPr>
                <w:w w:val="95"/>
                <w:sz w:val="20"/>
              </w:rPr>
              <w:t>5,953.00</w:t>
            </w:r>
          </w:p>
        </w:tc>
        <w:tc>
          <w:tcPr>
            <w:tcW w:w="1151" w:type="dxa"/>
          </w:tcPr>
          <w:p w:rsidR="007C5447" w:rsidRDefault="00F6308C">
            <w:pPr>
              <w:pStyle w:val="TableParagraph"/>
              <w:spacing w:before="67"/>
              <w:ind w:right="87"/>
              <w:rPr>
                <w:sz w:val="20"/>
              </w:rPr>
            </w:pPr>
            <w:r>
              <w:rPr>
                <w:w w:val="95"/>
                <w:sz w:val="20"/>
              </w:rPr>
              <w:t>6,695.10</w:t>
            </w:r>
          </w:p>
        </w:tc>
        <w:tc>
          <w:tcPr>
            <w:tcW w:w="1220" w:type="dxa"/>
          </w:tcPr>
          <w:p w:rsidR="007C5447" w:rsidRDefault="00F6308C">
            <w:pPr>
              <w:pStyle w:val="TableParagraph"/>
              <w:spacing w:before="67"/>
              <w:ind w:right="88"/>
              <w:rPr>
                <w:sz w:val="20"/>
              </w:rPr>
            </w:pPr>
            <w:r>
              <w:rPr>
                <w:w w:val="95"/>
                <w:sz w:val="20"/>
              </w:rPr>
              <w:t>6,695.10</w:t>
            </w:r>
          </w:p>
        </w:tc>
      </w:tr>
      <w:tr w:rsidR="007C5447">
        <w:trPr>
          <w:trHeight w:val="364"/>
        </w:trPr>
        <w:tc>
          <w:tcPr>
            <w:tcW w:w="1918" w:type="dxa"/>
          </w:tcPr>
          <w:p w:rsidR="007C5447" w:rsidRDefault="00F6308C">
            <w:pPr>
              <w:pStyle w:val="TableParagraph"/>
              <w:spacing w:before="67"/>
              <w:ind w:left="107"/>
              <w:jc w:val="left"/>
              <w:rPr>
                <w:b/>
                <w:sz w:val="20"/>
              </w:rPr>
            </w:pPr>
            <w:r>
              <w:rPr>
                <w:b/>
                <w:sz w:val="20"/>
              </w:rPr>
              <w:t>Total Revenue</w:t>
            </w:r>
          </w:p>
        </w:tc>
        <w:tc>
          <w:tcPr>
            <w:tcW w:w="1059" w:type="dxa"/>
          </w:tcPr>
          <w:p w:rsidR="007C5447" w:rsidRDefault="00F6308C">
            <w:pPr>
              <w:pStyle w:val="TableParagraph"/>
              <w:spacing w:before="67"/>
              <w:ind w:right="96"/>
              <w:rPr>
                <w:sz w:val="20"/>
              </w:rPr>
            </w:pPr>
            <w:r>
              <w:rPr>
                <w:w w:val="95"/>
                <w:sz w:val="20"/>
              </w:rPr>
              <w:t>29,971.00</w:t>
            </w:r>
          </w:p>
        </w:tc>
        <w:tc>
          <w:tcPr>
            <w:tcW w:w="1255" w:type="dxa"/>
          </w:tcPr>
          <w:p w:rsidR="007C5447" w:rsidRDefault="00F6308C">
            <w:pPr>
              <w:pStyle w:val="TableParagraph"/>
              <w:spacing w:before="67"/>
              <w:ind w:right="86"/>
              <w:rPr>
                <w:sz w:val="20"/>
              </w:rPr>
            </w:pPr>
            <w:r>
              <w:rPr>
                <w:w w:val="95"/>
                <w:sz w:val="20"/>
              </w:rPr>
              <w:t>29,245.23</w:t>
            </w:r>
          </w:p>
        </w:tc>
        <w:tc>
          <w:tcPr>
            <w:tcW w:w="1039" w:type="dxa"/>
          </w:tcPr>
          <w:p w:rsidR="007C5447" w:rsidRDefault="00F6308C">
            <w:pPr>
              <w:pStyle w:val="TableParagraph"/>
              <w:spacing w:before="67"/>
              <w:ind w:right="86"/>
              <w:rPr>
                <w:sz w:val="20"/>
              </w:rPr>
            </w:pPr>
            <w:r>
              <w:rPr>
                <w:sz w:val="20"/>
              </w:rPr>
              <w:t>29,159.30</w:t>
            </w:r>
          </w:p>
        </w:tc>
        <w:tc>
          <w:tcPr>
            <w:tcW w:w="1251" w:type="dxa"/>
          </w:tcPr>
          <w:p w:rsidR="007C5447" w:rsidRDefault="00F6308C">
            <w:pPr>
              <w:pStyle w:val="TableParagraph"/>
              <w:spacing w:before="67"/>
              <w:ind w:right="86"/>
              <w:rPr>
                <w:sz w:val="20"/>
              </w:rPr>
            </w:pPr>
            <w:r>
              <w:rPr>
                <w:w w:val="95"/>
                <w:sz w:val="20"/>
              </w:rPr>
              <w:t>34,124.86</w:t>
            </w:r>
          </w:p>
        </w:tc>
        <w:tc>
          <w:tcPr>
            <w:tcW w:w="1119" w:type="dxa"/>
          </w:tcPr>
          <w:p w:rsidR="007C5447" w:rsidRDefault="00F6308C">
            <w:pPr>
              <w:pStyle w:val="TableParagraph"/>
              <w:spacing w:before="67"/>
              <w:ind w:right="86"/>
              <w:rPr>
                <w:sz w:val="20"/>
              </w:rPr>
            </w:pPr>
            <w:r>
              <w:rPr>
                <w:w w:val="95"/>
                <w:sz w:val="20"/>
              </w:rPr>
              <w:t>33,999.44</w:t>
            </w:r>
          </w:p>
        </w:tc>
        <w:tc>
          <w:tcPr>
            <w:tcW w:w="1151" w:type="dxa"/>
          </w:tcPr>
          <w:p w:rsidR="007C5447" w:rsidRDefault="00F6308C">
            <w:pPr>
              <w:pStyle w:val="TableParagraph"/>
              <w:spacing w:before="67"/>
              <w:ind w:right="87"/>
              <w:rPr>
                <w:sz w:val="20"/>
              </w:rPr>
            </w:pPr>
            <w:r>
              <w:rPr>
                <w:w w:val="95"/>
                <w:sz w:val="20"/>
              </w:rPr>
              <w:t>40,076.78</w:t>
            </w:r>
          </w:p>
        </w:tc>
        <w:tc>
          <w:tcPr>
            <w:tcW w:w="1220" w:type="dxa"/>
          </w:tcPr>
          <w:p w:rsidR="007C5447" w:rsidRDefault="00F6308C">
            <w:pPr>
              <w:pStyle w:val="TableParagraph"/>
              <w:spacing w:before="67"/>
              <w:ind w:right="89"/>
              <w:rPr>
                <w:sz w:val="20"/>
              </w:rPr>
            </w:pPr>
            <w:r>
              <w:rPr>
                <w:w w:val="95"/>
                <w:sz w:val="20"/>
              </w:rPr>
              <w:t>40,005.25</w:t>
            </w:r>
          </w:p>
        </w:tc>
      </w:tr>
      <w:tr w:rsidR="007C5447">
        <w:trPr>
          <w:trHeight w:val="367"/>
        </w:trPr>
        <w:tc>
          <w:tcPr>
            <w:tcW w:w="1918" w:type="dxa"/>
          </w:tcPr>
          <w:p w:rsidR="007C5447" w:rsidRDefault="007C5447">
            <w:pPr>
              <w:pStyle w:val="TableParagraph"/>
              <w:jc w:val="left"/>
              <w:rPr>
                <w:sz w:val="20"/>
              </w:rPr>
            </w:pPr>
          </w:p>
        </w:tc>
        <w:tc>
          <w:tcPr>
            <w:tcW w:w="1059" w:type="dxa"/>
          </w:tcPr>
          <w:p w:rsidR="007C5447" w:rsidRDefault="007C5447">
            <w:pPr>
              <w:pStyle w:val="TableParagraph"/>
              <w:jc w:val="left"/>
              <w:rPr>
                <w:sz w:val="20"/>
              </w:rPr>
            </w:pPr>
          </w:p>
        </w:tc>
        <w:tc>
          <w:tcPr>
            <w:tcW w:w="1255" w:type="dxa"/>
          </w:tcPr>
          <w:p w:rsidR="007C5447" w:rsidRDefault="007C5447">
            <w:pPr>
              <w:pStyle w:val="TableParagraph"/>
              <w:jc w:val="left"/>
              <w:rPr>
                <w:sz w:val="20"/>
              </w:rPr>
            </w:pPr>
          </w:p>
        </w:tc>
        <w:tc>
          <w:tcPr>
            <w:tcW w:w="1039" w:type="dxa"/>
          </w:tcPr>
          <w:p w:rsidR="007C5447" w:rsidRDefault="007C5447">
            <w:pPr>
              <w:pStyle w:val="TableParagraph"/>
              <w:jc w:val="left"/>
              <w:rPr>
                <w:sz w:val="20"/>
              </w:rPr>
            </w:pPr>
          </w:p>
        </w:tc>
        <w:tc>
          <w:tcPr>
            <w:tcW w:w="1251" w:type="dxa"/>
          </w:tcPr>
          <w:p w:rsidR="007C5447" w:rsidRDefault="007C5447">
            <w:pPr>
              <w:pStyle w:val="TableParagraph"/>
              <w:jc w:val="left"/>
              <w:rPr>
                <w:sz w:val="20"/>
              </w:rPr>
            </w:pPr>
          </w:p>
        </w:tc>
        <w:tc>
          <w:tcPr>
            <w:tcW w:w="1119" w:type="dxa"/>
          </w:tcPr>
          <w:p w:rsidR="007C5447" w:rsidRDefault="007C5447">
            <w:pPr>
              <w:pStyle w:val="TableParagraph"/>
              <w:jc w:val="left"/>
              <w:rPr>
                <w:sz w:val="20"/>
              </w:rPr>
            </w:pPr>
          </w:p>
        </w:tc>
        <w:tc>
          <w:tcPr>
            <w:tcW w:w="1151" w:type="dxa"/>
          </w:tcPr>
          <w:p w:rsidR="007C5447" w:rsidRDefault="007C5447">
            <w:pPr>
              <w:pStyle w:val="TableParagraph"/>
              <w:jc w:val="left"/>
              <w:rPr>
                <w:sz w:val="20"/>
              </w:rPr>
            </w:pPr>
          </w:p>
        </w:tc>
        <w:tc>
          <w:tcPr>
            <w:tcW w:w="1220" w:type="dxa"/>
          </w:tcPr>
          <w:p w:rsidR="007C5447" w:rsidRDefault="007C5447">
            <w:pPr>
              <w:pStyle w:val="TableParagraph"/>
              <w:jc w:val="left"/>
              <w:rPr>
                <w:sz w:val="20"/>
              </w:rPr>
            </w:pPr>
          </w:p>
        </w:tc>
      </w:tr>
      <w:tr w:rsidR="007C5447">
        <w:trPr>
          <w:trHeight w:val="489"/>
        </w:trPr>
        <w:tc>
          <w:tcPr>
            <w:tcW w:w="1918" w:type="dxa"/>
          </w:tcPr>
          <w:p w:rsidR="007C5447" w:rsidRDefault="00F6308C">
            <w:pPr>
              <w:pStyle w:val="TableParagraph"/>
              <w:spacing w:before="14" w:line="230" w:lineRule="atLeast"/>
              <w:ind w:left="107"/>
              <w:jc w:val="left"/>
              <w:rPr>
                <w:b/>
                <w:sz w:val="20"/>
              </w:rPr>
            </w:pPr>
            <w:r>
              <w:rPr>
                <w:b/>
                <w:sz w:val="20"/>
              </w:rPr>
              <w:t xml:space="preserve">Revenue </w:t>
            </w:r>
            <w:r>
              <w:rPr>
                <w:b/>
                <w:w w:val="95"/>
                <w:sz w:val="20"/>
              </w:rPr>
              <w:t>Gap/(Surplus)</w:t>
            </w:r>
          </w:p>
        </w:tc>
        <w:tc>
          <w:tcPr>
            <w:tcW w:w="1059" w:type="dxa"/>
          </w:tcPr>
          <w:p w:rsidR="007C5447" w:rsidRDefault="00F6308C">
            <w:pPr>
              <w:pStyle w:val="TableParagraph"/>
              <w:spacing w:before="130"/>
              <w:ind w:right="87"/>
              <w:rPr>
                <w:b/>
                <w:sz w:val="20"/>
              </w:rPr>
            </w:pPr>
            <w:r>
              <w:rPr>
                <w:b/>
                <w:w w:val="95"/>
                <w:sz w:val="20"/>
              </w:rPr>
              <w:t>3,711.65</w:t>
            </w:r>
          </w:p>
        </w:tc>
        <w:tc>
          <w:tcPr>
            <w:tcW w:w="1255" w:type="dxa"/>
          </w:tcPr>
          <w:p w:rsidR="007C5447" w:rsidRDefault="00F6308C">
            <w:pPr>
              <w:pStyle w:val="TableParagraph"/>
              <w:spacing w:before="130"/>
              <w:ind w:right="88"/>
              <w:rPr>
                <w:b/>
                <w:sz w:val="20"/>
              </w:rPr>
            </w:pPr>
            <w:r>
              <w:rPr>
                <w:b/>
                <w:w w:val="95"/>
                <w:sz w:val="20"/>
              </w:rPr>
              <w:t>13,809.46</w:t>
            </w:r>
          </w:p>
        </w:tc>
        <w:tc>
          <w:tcPr>
            <w:tcW w:w="1039" w:type="dxa"/>
          </w:tcPr>
          <w:p w:rsidR="007C5447" w:rsidRDefault="00F6308C">
            <w:pPr>
              <w:pStyle w:val="TableParagraph"/>
              <w:spacing w:before="130"/>
              <w:ind w:right="85"/>
              <w:rPr>
                <w:b/>
                <w:sz w:val="20"/>
              </w:rPr>
            </w:pPr>
            <w:r>
              <w:rPr>
                <w:b/>
                <w:w w:val="95"/>
                <w:sz w:val="20"/>
              </w:rPr>
              <w:t>5,562.45</w:t>
            </w:r>
          </w:p>
        </w:tc>
        <w:tc>
          <w:tcPr>
            <w:tcW w:w="1251" w:type="dxa"/>
          </w:tcPr>
          <w:p w:rsidR="007C5447" w:rsidRDefault="00F6308C">
            <w:pPr>
              <w:pStyle w:val="TableParagraph"/>
              <w:spacing w:before="130"/>
              <w:ind w:right="88"/>
              <w:rPr>
                <w:b/>
                <w:sz w:val="20"/>
              </w:rPr>
            </w:pPr>
            <w:r>
              <w:rPr>
                <w:b/>
                <w:w w:val="95"/>
                <w:sz w:val="20"/>
              </w:rPr>
              <w:t>15,313.73</w:t>
            </w:r>
          </w:p>
        </w:tc>
        <w:tc>
          <w:tcPr>
            <w:tcW w:w="1119" w:type="dxa"/>
          </w:tcPr>
          <w:p w:rsidR="007C5447" w:rsidRDefault="00F6308C">
            <w:pPr>
              <w:pStyle w:val="TableParagraph"/>
              <w:spacing w:before="130"/>
              <w:ind w:right="86"/>
              <w:rPr>
                <w:b/>
                <w:sz w:val="20"/>
              </w:rPr>
            </w:pPr>
            <w:r>
              <w:rPr>
                <w:b/>
                <w:w w:val="95"/>
                <w:sz w:val="20"/>
              </w:rPr>
              <w:t>3,947.98</w:t>
            </w:r>
          </w:p>
        </w:tc>
        <w:tc>
          <w:tcPr>
            <w:tcW w:w="1151" w:type="dxa"/>
          </w:tcPr>
          <w:p w:rsidR="007C5447" w:rsidRDefault="00F6308C">
            <w:pPr>
              <w:pStyle w:val="TableParagraph"/>
              <w:spacing w:before="130"/>
              <w:ind w:right="87"/>
              <w:rPr>
                <w:b/>
                <w:sz w:val="20"/>
              </w:rPr>
            </w:pPr>
            <w:r>
              <w:rPr>
                <w:b/>
                <w:w w:val="95"/>
                <w:sz w:val="20"/>
              </w:rPr>
              <w:t>8,490.77</w:t>
            </w:r>
          </w:p>
        </w:tc>
        <w:tc>
          <w:tcPr>
            <w:tcW w:w="1220" w:type="dxa"/>
          </w:tcPr>
          <w:p w:rsidR="007C5447" w:rsidRDefault="00F6308C">
            <w:pPr>
              <w:pStyle w:val="TableParagraph"/>
              <w:spacing w:before="130"/>
              <w:ind w:right="88"/>
              <w:rPr>
                <w:b/>
                <w:sz w:val="20"/>
              </w:rPr>
            </w:pPr>
            <w:r>
              <w:rPr>
                <w:b/>
                <w:w w:val="95"/>
                <w:sz w:val="20"/>
              </w:rPr>
              <w:t>2,293.49</w:t>
            </w:r>
          </w:p>
        </w:tc>
      </w:tr>
    </w:tbl>
    <w:p w:rsidR="007C5447" w:rsidRDefault="007C5447">
      <w:pPr>
        <w:rPr>
          <w:sz w:val="20"/>
        </w:rPr>
        <w:sectPr w:rsidR="007C5447">
          <w:footerReference w:type="default" r:id="rId43"/>
          <w:pgSz w:w="11910" w:h="16840"/>
          <w:pgMar w:top="1480" w:right="420" w:bottom="1240" w:left="760" w:header="0" w:footer="1057" w:gutter="0"/>
          <w:pgNumType w:start="186"/>
          <w:cols w:space="720"/>
        </w:sectPr>
      </w:pPr>
    </w:p>
    <w:p w:rsidR="007C5447" w:rsidRDefault="00F6308C">
      <w:pPr>
        <w:pStyle w:val="Heading1"/>
        <w:numPr>
          <w:ilvl w:val="0"/>
          <w:numId w:val="114"/>
        </w:numPr>
        <w:tabs>
          <w:tab w:val="left" w:pos="1112"/>
          <w:tab w:val="left" w:pos="1113"/>
          <w:tab w:val="left" w:pos="3653"/>
          <w:tab w:val="left" w:pos="5611"/>
          <w:tab w:val="left" w:pos="8576"/>
        </w:tabs>
        <w:spacing w:before="64" w:after="16" w:line="360" w:lineRule="auto"/>
        <w:ind w:left="1112" w:right="708"/>
        <w:jc w:val="left"/>
      </w:pPr>
      <w:bookmarkStart w:id="56" w:name="_bookmark56"/>
      <w:bookmarkEnd w:id="56"/>
      <w:r>
        <w:lastRenderedPageBreak/>
        <w:t>AGGREGATE</w:t>
      </w:r>
      <w:r>
        <w:tab/>
        <w:t>REVENUE</w:t>
      </w:r>
      <w:r>
        <w:tab/>
        <w:t>REQUIREMENT</w:t>
      </w:r>
      <w:r>
        <w:tab/>
        <w:t xml:space="preserve">FOR </w:t>
      </w:r>
      <w:r>
        <w:rPr>
          <w:spacing w:val="-9"/>
        </w:rPr>
        <w:t xml:space="preserve">FY </w:t>
      </w:r>
      <w:r>
        <w:t>2016-17, FY 2017-18 AND FY</w:t>
      </w:r>
      <w:r>
        <w:rPr>
          <w:spacing w:val="-3"/>
        </w:rPr>
        <w:t xml:space="preserve"> </w:t>
      </w:r>
      <w:r>
        <w:t>2018-19</w:t>
      </w:r>
    </w:p>
    <w:p w:rsidR="007C5447" w:rsidRDefault="00F6308C">
      <w:pPr>
        <w:pStyle w:val="BodyText"/>
        <w:spacing w:line="20" w:lineRule="exact"/>
        <w:ind w:left="646"/>
        <w:rPr>
          <w:sz w:val="2"/>
        </w:rPr>
      </w:pPr>
      <w:r>
        <w:rPr>
          <w:sz w:val="2"/>
        </w:rPr>
      </w:r>
      <w:r>
        <w:rPr>
          <w:sz w:val="2"/>
        </w:rPr>
        <w:pict>
          <v:group id="_x0000_s1053" style="width:469.65pt;height:.5pt;mso-position-horizontal-relative:char;mso-position-vertical-relative:line" coordsize="9393,10">
            <v:line id="_x0000_s1054" style="position:absolute" from="0,5" to="9393,5" strokeweight=".48pt"/>
            <w10:anchorlock/>
          </v:group>
        </w:pict>
      </w:r>
    </w:p>
    <w:p w:rsidR="007C5447" w:rsidRDefault="007C5447">
      <w:pPr>
        <w:pStyle w:val="BodyText"/>
        <w:spacing w:before="3"/>
        <w:rPr>
          <w:b/>
          <w:sz w:val="12"/>
        </w:rPr>
      </w:pPr>
    </w:p>
    <w:p w:rsidR="007C5447" w:rsidRDefault="00F6308C">
      <w:pPr>
        <w:pStyle w:val="Heading2"/>
        <w:numPr>
          <w:ilvl w:val="1"/>
          <w:numId w:val="114"/>
        </w:numPr>
        <w:tabs>
          <w:tab w:val="left" w:pos="1247"/>
        </w:tabs>
        <w:spacing w:before="90"/>
        <w:ind w:left="1246"/>
        <w:jc w:val="both"/>
      </w:pPr>
      <w:bookmarkStart w:id="57" w:name="_bookmark57"/>
      <w:bookmarkEnd w:id="57"/>
      <w:r>
        <w:t>Energy</w:t>
      </w:r>
      <w:r>
        <w:rPr>
          <w:spacing w:val="-1"/>
        </w:rPr>
        <w:t xml:space="preserve"> </w:t>
      </w:r>
      <w:r>
        <w:t>Sales</w:t>
      </w:r>
    </w:p>
    <w:p w:rsidR="007C5447" w:rsidRDefault="007C5447">
      <w:pPr>
        <w:pStyle w:val="BodyText"/>
        <w:spacing w:before="11"/>
        <w:rPr>
          <w:b/>
          <w:sz w:val="27"/>
        </w:rPr>
      </w:pPr>
    </w:p>
    <w:p w:rsidR="007C5447" w:rsidRDefault="00F6308C">
      <w:pPr>
        <w:pStyle w:val="ListParagraph"/>
        <w:numPr>
          <w:ilvl w:val="2"/>
          <w:numId w:val="114"/>
        </w:numPr>
        <w:tabs>
          <w:tab w:val="left" w:pos="1533"/>
        </w:tabs>
        <w:ind w:left="1532" w:hanging="853"/>
        <w:jc w:val="both"/>
        <w:rPr>
          <w:sz w:val="24"/>
        </w:rPr>
      </w:pPr>
      <w:r>
        <w:rPr>
          <w:sz w:val="24"/>
        </w:rPr>
        <w:t>TANGEDCO</w:t>
      </w:r>
      <w:r>
        <w:rPr>
          <w:spacing w:val="11"/>
          <w:sz w:val="24"/>
        </w:rPr>
        <w:t xml:space="preserve"> </w:t>
      </w:r>
      <w:r>
        <w:rPr>
          <w:sz w:val="24"/>
        </w:rPr>
        <w:t>submitted</w:t>
      </w:r>
      <w:r>
        <w:rPr>
          <w:spacing w:val="13"/>
          <w:sz w:val="24"/>
        </w:rPr>
        <w:t xml:space="preserve"> </w:t>
      </w:r>
      <w:r>
        <w:rPr>
          <w:sz w:val="24"/>
        </w:rPr>
        <w:t>that</w:t>
      </w:r>
      <w:r>
        <w:rPr>
          <w:spacing w:val="12"/>
          <w:sz w:val="24"/>
        </w:rPr>
        <w:t xml:space="preserve"> </w:t>
      </w:r>
      <w:r>
        <w:rPr>
          <w:sz w:val="24"/>
        </w:rPr>
        <w:t>it</w:t>
      </w:r>
      <w:r>
        <w:rPr>
          <w:spacing w:val="12"/>
          <w:sz w:val="24"/>
        </w:rPr>
        <w:t xml:space="preserve"> </w:t>
      </w:r>
      <w:r>
        <w:rPr>
          <w:sz w:val="24"/>
        </w:rPr>
        <w:t>has</w:t>
      </w:r>
      <w:r>
        <w:rPr>
          <w:spacing w:val="12"/>
          <w:sz w:val="24"/>
        </w:rPr>
        <w:t xml:space="preserve"> </w:t>
      </w:r>
      <w:r>
        <w:rPr>
          <w:sz w:val="24"/>
        </w:rPr>
        <w:t>projected</w:t>
      </w:r>
      <w:r>
        <w:rPr>
          <w:spacing w:val="13"/>
          <w:sz w:val="24"/>
        </w:rPr>
        <w:t xml:space="preserve"> </w:t>
      </w:r>
      <w:r>
        <w:rPr>
          <w:sz w:val="24"/>
        </w:rPr>
        <w:t>energy</w:t>
      </w:r>
      <w:r>
        <w:rPr>
          <w:spacing w:val="6"/>
          <w:sz w:val="24"/>
        </w:rPr>
        <w:t xml:space="preserve"> </w:t>
      </w:r>
      <w:r>
        <w:rPr>
          <w:sz w:val="24"/>
        </w:rPr>
        <w:t>sales</w:t>
      </w:r>
      <w:r>
        <w:rPr>
          <w:spacing w:val="13"/>
          <w:sz w:val="24"/>
        </w:rPr>
        <w:t xml:space="preserve"> </w:t>
      </w:r>
      <w:r>
        <w:rPr>
          <w:sz w:val="24"/>
        </w:rPr>
        <w:t>for</w:t>
      </w:r>
      <w:r>
        <w:rPr>
          <w:spacing w:val="12"/>
          <w:sz w:val="24"/>
        </w:rPr>
        <w:t xml:space="preserve"> </w:t>
      </w:r>
      <w:r>
        <w:rPr>
          <w:sz w:val="24"/>
        </w:rPr>
        <w:t>FY</w:t>
      </w:r>
      <w:r>
        <w:rPr>
          <w:spacing w:val="14"/>
          <w:sz w:val="24"/>
        </w:rPr>
        <w:t xml:space="preserve"> </w:t>
      </w:r>
      <w:r>
        <w:rPr>
          <w:sz w:val="24"/>
        </w:rPr>
        <w:t>2016-17</w:t>
      </w:r>
      <w:r>
        <w:rPr>
          <w:spacing w:val="13"/>
          <w:sz w:val="24"/>
        </w:rPr>
        <w:t xml:space="preserve"> </w:t>
      </w:r>
      <w:r>
        <w:rPr>
          <w:sz w:val="24"/>
        </w:rPr>
        <w:t>to</w:t>
      </w:r>
      <w:r>
        <w:rPr>
          <w:spacing w:val="12"/>
          <w:sz w:val="24"/>
        </w:rPr>
        <w:t xml:space="preserve"> </w:t>
      </w:r>
      <w:r>
        <w:rPr>
          <w:sz w:val="24"/>
        </w:rPr>
        <w:t>FY</w:t>
      </w:r>
      <w:r>
        <w:rPr>
          <w:spacing w:val="11"/>
          <w:sz w:val="24"/>
        </w:rPr>
        <w:t xml:space="preserve"> </w:t>
      </w:r>
      <w:r>
        <w:rPr>
          <w:sz w:val="24"/>
        </w:rPr>
        <w:t>2018-</w:t>
      </w:r>
    </w:p>
    <w:p w:rsidR="007C5447" w:rsidRDefault="00F6308C">
      <w:pPr>
        <w:pStyle w:val="BodyText"/>
        <w:spacing w:before="84" w:line="312" w:lineRule="auto"/>
        <w:ind w:left="1532" w:right="707"/>
        <w:jc w:val="both"/>
      </w:pPr>
      <w:r>
        <w:t>19 based on the actual sales (excluding wheeling units) in FY 2015-16 and has considered an overall increase of around 9.1%, 10.9%, and 9.1% in FY 2016-17, FY 2017-18, and FY 2018-19, respectively. TANGEDCO further submitted that HT Category sales have bee</w:t>
      </w:r>
      <w:r>
        <w:t>n escalated by more than 10% in all three years mainly on account of reduction in R&amp;C measures in the State. LT Category sales have been escalated by about 9%, indicating increase in demand due to more power being available from different</w:t>
      </w:r>
      <w:r>
        <w:rPr>
          <w:spacing w:val="-1"/>
        </w:rPr>
        <w:t xml:space="preserve"> </w:t>
      </w:r>
      <w:r>
        <w:t>sources.</w:t>
      </w:r>
    </w:p>
    <w:p w:rsidR="007C5447" w:rsidRDefault="007C5447">
      <w:pPr>
        <w:pStyle w:val="BodyText"/>
        <w:spacing w:before="10"/>
        <w:rPr>
          <w:sz w:val="20"/>
        </w:rPr>
      </w:pPr>
    </w:p>
    <w:p w:rsidR="007C5447" w:rsidRDefault="00F6308C">
      <w:pPr>
        <w:pStyle w:val="ListParagraph"/>
        <w:numPr>
          <w:ilvl w:val="2"/>
          <w:numId w:val="114"/>
        </w:numPr>
        <w:tabs>
          <w:tab w:val="left" w:pos="1533"/>
        </w:tabs>
        <w:spacing w:line="312" w:lineRule="auto"/>
        <w:ind w:left="1532" w:right="710" w:hanging="852"/>
        <w:jc w:val="both"/>
        <w:rPr>
          <w:sz w:val="24"/>
        </w:rPr>
      </w:pPr>
      <w:r>
        <w:rPr>
          <w:sz w:val="24"/>
        </w:rPr>
        <w:t>TANGEDC</w:t>
      </w:r>
      <w:r>
        <w:rPr>
          <w:sz w:val="24"/>
        </w:rPr>
        <w:t>O also submitted that in addition to the above, it has also considered nominal sales growth for each consumer category, while projecting sales for FY 2016- 17 to FY</w:t>
      </w:r>
      <w:r>
        <w:rPr>
          <w:spacing w:val="-1"/>
          <w:sz w:val="24"/>
        </w:rPr>
        <w:t xml:space="preserve"> </w:t>
      </w:r>
      <w:r>
        <w:rPr>
          <w:sz w:val="24"/>
        </w:rPr>
        <w:t>2018-19.</w:t>
      </w:r>
    </w:p>
    <w:p w:rsidR="007C5447" w:rsidRDefault="007C5447">
      <w:pPr>
        <w:pStyle w:val="BodyText"/>
        <w:spacing w:before="11"/>
        <w:rPr>
          <w:sz w:val="20"/>
        </w:rPr>
      </w:pPr>
    </w:p>
    <w:p w:rsidR="007C5447" w:rsidRDefault="00F6308C">
      <w:pPr>
        <w:pStyle w:val="Heading2"/>
        <w:ind w:left="1532"/>
      </w:pPr>
      <w:r>
        <w:t>Commission’s Views</w:t>
      </w:r>
    </w:p>
    <w:p w:rsidR="007C5447" w:rsidRDefault="00F6308C">
      <w:pPr>
        <w:pStyle w:val="ListParagraph"/>
        <w:numPr>
          <w:ilvl w:val="2"/>
          <w:numId w:val="114"/>
        </w:numPr>
        <w:tabs>
          <w:tab w:val="left" w:pos="1533"/>
        </w:tabs>
        <w:spacing w:before="202" w:line="312" w:lineRule="auto"/>
        <w:ind w:left="1532" w:right="715" w:hanging="852"/>
        <w:jc w:val="both"/>
        <w:rPr>
          <w:sz w:val="24"/>
        </w:rPr>
      </w:pPr>
      <w:r>
        <w:rPr>
          <w:sz w:val="24"/>
        </w:rPr>
        <w:t>To estimate the sales for Huts and Agriculture category for th</w:t>
      </w:r>
      <w:r>
        <w:rPr>
          <w:sz w:val="24"/>
        </w:rPr>
        <w:t>e Control Period from FY 2016-17 to FY 2018-19, the Commission has adopted the same approach as discussed in Chapter 3. Similarly, sales to Puducherry have not been considered based on past approach.</w:t>
      </w:r>
    </w:p>
    <w:p w:rsidR="007C5447" w:rsidRDefault="007C5447">
      <w:pPr>
        <w:pStyle w:val="BodyText"/>
        <w:spacing w:before="10"/>
        <w:rPr>
          <w:sz w:val="20"/>
        </w:rPr>
      </w:pPr>
    </w:p>
    <w:p w:rsidR="007C5447" w:rsidRDefault="00F6308C">
      <w:pPr>
        <w:pStyle w:val="ListParagraph"/>
        <w:numPr>
          <w:ilvl w:val="2"/>
          <w:numId w:val="114"/>
        </w:numPr>
        <w:tabs>
          <w:tab w:val="left" w:pos="1533"/>
        </w:tabs>
        <w:spacing w:line="312" w:lineRule="auto"/>
        <w:ind w:left="1532" w:right="713" w:hanging="852"/>
        <w:jc w:val="both"/>
        <w:rPr>
          <w:sz w:val="24"/>
        </w:rPr>
      </w:pPr>
      <w:r>
        <w:rPr>
          <w:sz w:val="24"/>
        </w:rPr>
        <w:t>As regards the sales to other categories, projecting sa</w:t>
      </w:r>
      <w:r>
        <w:rPr>
          <w:sz w:val="24"/>
        </w:rPr>
        <w:t xml:space="preserve">les on the basis of past trends will not be appropriate as in the past R&amp;C measures were in place, and power availability was lower. However, as R&amp;C measures have now been removed and more power is available, the Commission is of the view that TANGEDCO is </w:t>
      </w:r>
      <w:r>
        <w:rPr>
          <w:sz w:val="24"/>
        </w:rPr>
        <w:t>in a better position to estimate the growth in sales. Therefore, the Commission has approved the projected sales for all categories as submitted by TANGEDCO, except Huts and Agriculture, for the Control Period from FY 2016-17 to FY</w:t>
      </w:r>
      <w:r>
        <w:rPr>
          <w:spacing w:val="1"/>
          <w:sz w:val="24"/>
        </w:rPr>
        <w:t xml:space="preserve"> </w:t>
      </w:r>
      <w:r>
        <w:rPr>
          <w:sz w:val="24"/>
        </w:rPr>
        <w:t>2018-19.</w:t>
      </w:r>
    </w:p>
    <w:p w:rsidR="007C5447" w:rsidRDefault="007C5447">
      <w:pPr>
        <w:pStyle w:val="BodyText"/>
        <w:spacing w:before="1"/>
        <w:rPr>
          <w:sz w:val="21"/>
        </w:rPr>
      </w:pPr>
    </w:p>
    <w:p w:rsidR="007C5447" w:rsidRDefault="00F6308C">
      <w:pPr>
        <w:pStyle w:val="ListParagraph"/>
        <w:numPr>
          <w:ilvl w:val="2"/>
          <w:numId w:val="114"/>
        </w:numPr>
        <w:tabs>
          <w:tab w:val="left" w:pos="1533"/>
        </w:tabs>
        <w:spacing w:line="312" w:lineRule="auto"/>
        <w:ind w:left="1532" w:right="711" w:hanging="852"/>
        <w:jc w:val="both"/>
        <w:rPr>
          <w:sz w:val="24"/>
        </w:rPr>
      </w:pPr>
      <w:r>
        <w:rPr>
          <w:sz w:val="24"/>
        </w:rPr>
        <w:t>The category-w</w:t>
      </w:r>
      <w:r>
        <w:rPr>
          <w:sz w:val="24"/>
        </w:rPr>
        <w:t>ise sales projected by TANGEDCO and approved by the Commission have been shown in the Table</w:t>
      </w:r>
      <w:r>
        <w:rPr>
          <w:spacing w:val="-1"/>
          <w:sz w:val="24"/>
        </w:rPr>
        <w:t xml:space="preserve"> </w:t>
      </w:r>
      <w:r>
        <w:rPr>
          <w:sz w:val="24"/>
        </w:rPr>
        <w:t>below:</w:t>
      </w:r>
    </w:p>
    <w:p w:rsidR="007C5447" w:rsidRDefault="007C5447">
      <w:pPr>
        <w:spacing w:line="312" w:lineRule="auto"/>
        <w:jc w:val="both"/>
        <w:rPr>
          <w:sz w:val="24"/>
        </w:rPr>
        <w:sectPr w:rsidR="007C5447">
          <w:pgSz w:w="11910" w:h="16840"/>
          <w:pgMar w:top="1360" w:right="420" w:bottom="1240" w:left="760" w:header="0" w:footer="1057" w:gutter="0"/>
          <w:cols w:space="720"/>
        </w:sectPr>
      </w:pPr>
    </w:p>
    <w:p w:rsidR="007C5447" w:rsidRDefault="007C5447">
      <w:pPr>
        <w:pStyle w:val="BodyText"/>
        <w:rPr>
          <w:sz w:val="20"/>
        </w:rPr>
      </w:pPr>
    </w:p>
    <w:p w:rsidR="007C5447" w:rsidRDefault="007C5447">
      <w:pPr>
        <w:pStyle w:val="BodyText"/>
        <w:rPr>
          <w:sz w:val="22"/>
        </w:rPr>
      </w:pPr>
    </w:p>
    <w:p w:rsidR="007C5447" w:rsidRDefault="00F6308C">
      <w:pPr>
        <w:pStyle w:val="Heading2"/>
        <w:spacing w:before="90"/>
        <w:ind w:left="3659" w:right="3660"/>
        <w:jc w:val="center"/>
      </w:pPr>
      <w:r>
        <w:t>Table 4-1: Category wise sales as approved by the Commission (MU)</w:t>
      </w:r>
    </w:p>
    <w:p w:rsidR="007C5447" w:rsidRDefault="007C5447">
      <w:pPr>
        <w:pStyle w:val="BodyText"/>
        <w:spacing w:before="2"/>
        <w:rPr>
          <w:b/>
          <w:sz w:val="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89"/>
        <w:gridCol w:w="1370"/>
        <w:gridCol w:w="1186"/>
        <w:gridCol w:w="1183"/>
        <w:gridCol w:w="1188"/>
        <w:gridCol w:w="1186"/>
        <w:gridCol w:w="1185"/>
        <w:gridCol w:w="1187"/>
      </w:tblGrid>
      <w:tr w:rsidR="007C5447">
        <w:trPr>
          <w:trHeight w:val="429"/>
        </w:trPr>
        <w:tc>
          <w:tcPr>
            <w:tcW w:w="5689" w:type="dxa"/>
            <w:vMerge w:val="restart"/>
            <w:shd w:val="clear" w:color="auto" w:fill="F7C9AC"/>
          </w:tcPr>
          <w:p w:rsidR="007C5447" w:rsidRDefault="007C5447">
            <w:pPr>
              <w:pStyle w:val="TableParagraph"/>
              <w:spacing w:before="5"/>
              <w:jc w:val="left"/>
              <w:rPr>
                <w:b/>
                <w:sz w:val="30"/>
              </w:rPr>
            </w:pPr>
          </w:p>
          <w:p w:rsidR="007C5447" w:rsidRDefault="00F6308C">
            <w:pPr>
              <w:pStyle w:val="TableParagraph"/>
              <w:ind w:left="107"/>
              <w:jc w:val="left"/>
              <w:rPr>
                <w:b/>
                <w:sz w:val="20"/>
              </w:rPr>
            </w:pPr>
            <w:r>
              <w:rPr>
                <w:b/>
                <w:sz w:val="20"/>
              </w:rPr>
              <w:t>Consumer Category</w:t>
            </w:r>
          </w:p>
        </w:tc>
        <w:tc>
          <w:tcPr>
            <w:tcW w:w="1370" w:type="dxa"/>
            <w:vMerge w:val="restart"/>
            <w:shd w:val="clear" w:color="auto" w:fill="F7C9AC"/>
          </w:tcPr>
          <w:p w:rsidR="007C5447" w:rsidRDefault="007C5447">
            <w:pPr>
              <w:pStyle w:val="TableParagraph"/>
              <w:spacing w:before="5"/>
              <w:jc w:val="left"/>
              <w:rPr>
                <w:b/>
                <w:sz w:val="20"/>
              </w:rPr>
            </w:pPr>
          </w:p>
          <w:p w:rsidR="007C5447" w:rsidRDefault="00F6308C">
            <w:pPr>
              <w:pStyle w:val="TableParagraph"/>
              <w:ind w:left="107" w:right="444"/>
              <w:jc w:val="left"/>
              <w:rPr>
                <w:b/>
                <w:sz w:val="20"/>
              </w:rPr>
            </w:pPr>
            <w:r>
              <w:rPr>
                <w:b/>
                <w:sz w:val="20"/>
              </w:rPr>
              <w:t>Tariff Category</w:t>
            </w:r>
          </w:p>
        </w:tc>
        <w:tc>
          <w:tcPr>
            <w:tcW w:w="3557" w:type="dxa"/>
            <w:gridSpan w:val="3"/>
            <w:shd w:val="clear" w:color="auto" w:fill="F7C9AC"/>
          </w:tcPr>
          <w:p w:rsidR="007C5447" w:rsidRDefault="00F6308C">
            <w:pPr>
              <w:pStyle w:val="TableParagraph"/>
              <w:spacing w:before="101"/>
              <w:ind w:left="1178" w:right="1172"/>
              <w:jc w:val="center"/>
              <w:rPr>
                <w:b/>
                <w:sz w:val="20"/>
              </w:rPr>
            </w:pPr>
            <w:r>
              <w:rPr>
                <w:b/>
                <w:sz w:val="20"/>
              </w:rPr>
              <w:t>TANGEDCO</w:t>
            </w:r>
          </w:p>
        </w:tc>
        <w:tc>
          <w:tcPr>
            <w:tcW w:w="3558" w:type="dxa"/>
            <w:gridSpan w:val="3"/>
            <w:shd w:val="clear" w:color="auto" w:fill="F7C9AC"/>
          </w:tcPr>
          <w:p w:rsidR="007C5447" w:rsidRDefault="00F6308C">
            <w:pPr>
              <w:pStyle w:val="TableParagraph"/>
              <w:spacing w:before="101"/>
              <w:ind w:left="1230" w:right="1222"/>
              <w:jc w:val="center"/>
              <w:rPr>
                <w:b/>
                <w:sz w:val="20"/>
              </w:rPr>
            </w:pPr>
            <w:r>
              <w:rPr>
                <w:b/>
                <w:sz w:val="20"/>
              </w:rPr>
              <w:t>Commission</w:t>
            </w:r>
          </w:p>
        </w:tc>
      </w:tr>
      <w:tr w:rsidR="007C5447">
        <w:trPr>
          <w:trHeight w:val="489"/>
        </w:trPr>
        <w:tc>
          <w:tcPr>
            <w:tcW w:w="5689" w:type="dxa"/>
            <w:vMerge/>
            <w:tcBorders>
              <w:top w:val="nil"/>
            </w:tcBorders>
            <w:shd w:val="clear" w:color="auto" w:fill="F7C9AC"/>
          </w:tcPr>
          <w:p w:rsidR="007C5447" w:rsidRDefault="007C5447">
            <w:pPr>
              <w:rPr>
                <w:sz w:val="2"/>
                <w:szCs w:val="2"/>
              </w:rPr>
            </w:pPr>
          </w:p>
        </w:tc>
        <w:tc>
          <w:tcPr>
            <w:tcW w:w="1370" w:type="dxa"/>
            <w:vMerge/>
            <w:tcBorders>
              <w:top w:val="nil"/>
            </w:tcBorders>
            <w:shd w:val="clear" w:color="auto" w:fill="F7C9AC"/>
          </w:tcPr>
          <w:p w:rsidR="007C5447" w:rsidRDefault="007C5447">
            <w:pPr>
              <w:rPr>
                <w:sz w:val="2"/>
                <w:szCs w:val="2"/>
              </w:rPr>
            </w:pPr>
          </w:p>
        </w:tc>
        <w:tc>
          <w:tcPr>
            <w:tcW w:w="1186" w:type="dxa"/>
            <w:shd w:val="clear" w:color="auto" w:fill="F7C9AC"/>
          </w:tcPr>
          <w:p w:rsidR="007C5447" w:rsidRDefault="00F6308C">
            <w:pPr>
              <w:pStyle w:val="TableParagraph"/>
              <w:spacing w:before="14"/>
              <w:ind w:left="181" w:right="170"/>
              <w:jc w:val="center"/>
              <w:rPr>
                <w:b/>
                <w:sz w:val="20"/>
              </w:rPr>
            </w:pPr>
            <w:r>
              <w:rPr>
                <w:b/>
                <w:sz w:val="20"/>
              </w:rPr>
              <w:t>FY 2016-</w:t>
            </w:r>
          </w:p>
          <w:p w:rsidR="007C5447" w:rsidRDefault="00F6308C">
            <w:pPr>
              <w:pStyle w:val="TableParagraph"/>
              <w:spacing w:before="1" w:line="224" w:lineRule="exact"/>
              <w:ind w:left="180" w:right="170"/>
              <w:jc w:val="center"/>
              <w:rPr>
                <w:b/>
                <w:sz w:val="20"/>
              </w:rPr>
            </w:pPr>
            <w:r>
              <w:rPr>
                <w:b/>
                <w:sz w:val="20"/>
              </w:rPr>
              <w:t>17</w:t>
            </w:r>
          </w:p>
        </w:tc>
        <w:tc>
          <w:tcPr>
            <w:tcW w:w="1183" w:type="dxa"/>
            <w:shd w:val="clear" w:color="auto" w:fill="F7C9AC"/>
          </w:tcPr>
          <w:p w:rsidR="007C5447" w:rsidRDefault="00F6308C">
            <w:pPr>
              <w:pStyle w:val="TableParagraph"/>
              <w:spacing w:before="14"/>
              <w:ind w:left="181" w:right="167"/>
              <w:jc w:val="center"/>
              <w:rPr>
                <w:b/>
                <w:sz w:val="20"/>
              </w:rPr>
            </w:pPr>
            <w:r>
              <w:rPr>
                <w:b/>
                <w:sz w:val="20"/>
              </w:rPr>
              <w:t>FY 2017-</w:t>
            </w:r>
          </w:p>
          <w:p w:rsidR="007C5447" w:rsidRDefault="00F6308C">
            <w:pPr>
              <w:pStyle w:val="TableParagraph"/>
              <w:spacing w:before="1" w:line="224" w:lineRule="exact"/>
              <w:ind w:left="180" w:right="167"/>
              <w:jc w:val="center"/>
              <w:rPr>
                <w:b/>
                <w:sz w:val="20"/>
              </w:rPr>
            </w:pPr>
            <w:r>
              <w:rPr>
                <w:b/>
                <w:sz w:val="20"/>
              </w:rPr>
              <w:t>18</w:t>
            </w:r>
          </w:p>
        </w:tc>
        <w:tc>
          <w:tcPr>
            <w:tcW w:w="1188" w:type="dxa"/>
            <w:shd w:val="clear" w:color="auto" w:fill="F7C9AC"/>
          </w:tcPr>
          <w:p w:rsidR="007C5447" w:rsidRDefault="00F6308C">
            <w:pPr>
              <w:pStyle w:val="TableParagraph"/>
              <w:spacing w:before="14"/>
              <w:ind w:left="181" w:right="172"/>
              <w:jc w:val="center"/>
              <w:rPr>
                <w:b/>
                <w:sz w:val="20"/>
              </w:rPr>
            </w:pPr>
            <w:r>
              <w:rPr>
                <w:b/>
                <w:sz w:val="20"/>
              </w:rPr>
              <w:t>FY 2018-</w:t>
            </w:r>
          </w:p>
          <w:p w:rsidR="007C5447" w:rsidRDefault="00F6308C">
            <w:pPr>
              <w:pStyle w:val="TableParagraph"/>
              <w:spacing w:before="1" w:line="224" w:lineRule="exact"/>
              <w:ind w:left="181" w:right="168"/>
              <w:jc w:val="center"/>
              <w:rPr>
                <w:b/>
                <w:sz w:val="20"/>
              </w:rPr>
            </w:pPr>
            <w:r>
              <w:rPr>
                <w:b/>
                <w:sz w:val="20"/>
              </w:rPr>
              <w:t>19</w:t>
            </w:r>
          </w:p>
        </w:tc>
        <w:tc>
          <w:tcPr>
            <w:tcW w:w="1186" w:type="dxa"/>
            <w:shd w:val="clear" w:color="auto" w:fill="F7C9AC"/>
          </w:tcPr>
          <w:p w:rsidR="007C5447" w:rsidRDefault="00F6308C">
            <w:pPr>
              <w:pStyle w:val="TableParagraph"/>
              <w:spacing w:before="14"/>
              <w:ind w:left="181" w:right="169"/>
              <w:jc w:val="center"/>
              <w:rPr>
                <w:b/>
                <w:sz w:val="20"/>
              </w:rPr>
            </w:pPr>
            <w:r>
              <w:rPr>
                <w:b/>
                <w:sz w:val="20"/>
              </w:rPr>
              <w:t>FY 2016-</w:t>
            </w:r>
          </w:p>
          <w:p w:rsidR="007C5447" w:rsidRDefault="00F6308C">
            <w:pPr>
              <w:pStyle w:val="TableParagraph"/>
              <w:spacing w:before="1" w:line="224" w:lineRule="exact"/>
              <w:ind w:left="180" w:right="170"/>
              <w:jc w:val="center"/>
              <w:rPr>
                <w:b/>
                <w:sz w:val="20"/>
              </w:rPr>
            </w:pPr>
            <w:r>
              <w:rPr>
                <w:b/>
                <w:sz w:val="20"/>
              </w:rPr>
              <w:t>17</w:t>
            </w:r>
          </w:p>
        </w:tc>
        <w:tc>
          <w:tcPr>
            <w:tcW w:w="1185" w:type="dxa"/>
            <w:shd w:val="clear" w:color="auto" w:fill="F7C9AC"/>
          </w:tcPr>
          <w:p w:rsidR="007C5447" w:rsidRDefault="00F6308C">
            <w:pPr>
              <w:pStyle w:val="TableParagraph"/>
              <w:spacing w:before="14"/>
              <w:ind w:left="182" w:right="169"/>
              <w:jc w:val="center"/>
              <w:rPr>
                <w:b/>
                <w:sz w:val="20"/>
              </w:rPr>
            </w:pPr>
            <w:r>
              <w:rPr>
                <w:b/>
                <w:sz w:val="20"/>
              </w:rPr>
              <w:t>FY 2017-</w:t>
            </w:r>
          </w:p>
          <w:p w:rsidR="007C5447" w:rsidRDefault="00F6308C">
            <w:pPr>
              <w:pStyle w:val="TableParagraph"/>
              <w:spacing w:before="1" w:line="224" w:lineRule="exact"/>
              <w:ind w:left="180" w:right="169"/>
              <w:jc w:val="center"/>
              <w:rPr>
                <w:b/>
                <w:sz w:val="20"/>
              </w:rPr>
            </w:pPr>
            <w:r>
              <w:rPr>
                <w:b/>
                <w:sz w:val="20"/>
              </w:rPr>
              <w:t>18</w:t>
            </w:r>
          </w:p>
        </w:tc>
        <w:tc>
          <w:tcPr>
            <w:tcW w:w="1187" w:type="dxa"/>
            <w:shd w:val="clear" w:color="auto" w:fill="F7C9AC"/>
          </w:tcPr>
          <w:p w:rsidR="007C5447" w:rsidRDefault="00F6308C">
            <w:pPr>
              <w:pStyle w:val="TableParagraph"/>
              <w:spacing w:before="14"/>
              <w:ind w:left="182" w:right="170"/>
              <w:jc w:val="center"/>
              <w:rPr>
                <w:b/>
                <w:sz w:val="20"/>
              </w:rPr>
            </w:pPr>
            <w:r>
              <w:rPr>
                <w:b/>
                <w:sz w:val="20"/>
              </w:rPr>
              <w:t>FY 2018-</w:t>
            </w:r>
          </w:p>
          <w:p w:rsidR="007C5447" w:rsidRDefault="00F6308C">
            <w:pPr>
              <w:pStyle w:val="TableParagraph"/>
              <w:spacing w:before="1" w:line="224" w:lineRule="exact"/>
              <w:ind w:left="182" w:right="167"/>
              <w:jc w:val="center"/>
              <w:rPr>
                <w:b/>
                <w:sz w:val="20"/>
              </w:rPr>
            </w:pPr>
            <w:r>
              <w:rPr>
                <w:b/>
                <w:sz w:val="20"/>
              </w:rPr>
              <w:t>19</w:t>
            </w:r>
          </w:p>
        </w:tc>
      </w:tr>
      <w:tr w:rsidR="007C5447">
        <w:trPr>
          <w:trHeight w:val="426"/>
        </w:trPr>
        <w:tc>
          <w:tcPr>
            <w:tcW w:w="5689" w:type="dxa"/>
          </w:tcPr>
          <w:p w:rsidR="007C5447" w:rsidRDefault="00F6308C">
            <w:pPr>
              <w:pStyle w:val="TableParagraph"/>
              <w:spacing w:before="98"/>
              <w:ind w:left="107"/>
              <w:jc w:val="left"/>
              <w:rPr>
                <w:b/>
                <w:sz w:val="20"/>
              </w:rPr>
            </w:pPr>
            <w:r>
              <w:rPr>
                <w:b/>
                <w:sz w:val="20"/>
              </w:rPr>
              <w:t>HIGH TENSION</w:t>
            </w:r>
          </w:p>
        </w:tc>
        <w:tc>
          <w:tcPr>
            <w:tcW w:w="1370" w:type="dxa"/>
          </w:tcPr>
          <w:p w:rsidR="007C5447" w:rsidRDefault="007C5447">
            <w:pPr>
              <w:pStyle w:val="TableParagraph"/>
              <w:jc w:val="left"/>
              <w:rPr>
                <w:sz w:val="20"/>
              </w:rPr>
            </w:pPr>
          </w:p>
        </w:tc>
        <w:tc>
          <w:tcPr>
            <w:tcW w:w="1186" w:type="dxa"/>
          </w:tcPr>
          <w:p w:rsidR="007C5447" w:rsidRDefault="007C5447">
            <w:pPr>
              <w:pStyle w:val="TableParagraph"/>
              <w:jc w:val="left"/>
              <w:rPr>
                <w:sz w:val="20"/>
              </w:rPr>
            </w:pPr>
          </w:p>
        </w:tc>
        <w:tc>
          <w:tcPr>
            <w:tcW w:w="1183" w:type="dxa"/>
          </w:tcPr>
          <w:p w:rsidR="007C5447" w:rsidRDefault="007C5447">
            <w:pPr>
              <w:pStyle w:val="TableParagraph"/>
              <w:jc w:val="left"/>
              <w:rPr>
                <w:sz w:val="20"/>
              </w:rPr>
            </w:pPr>
          </w:p>
        </w:tc>
        <w:tc>
          <w:tcPr>
            <w:tcW w:w="1188" w:type="dxa"/>
          </w:tcPr>
          <w:p w:rsidR="007C5447" w:rsidRDefault="007C5447">
            <w:pPr>
              <w:pStyle w:val="TableParagraph"/>
              <w:jc w:val="left"/>
              <w:rPr>
                <w:sz w:val="20"/>
              </w:rPr>
            </w:pPr>
          </w:p>
        </w:tc>
        <w:tc>
          <w:tcPr>
            <w:tcW w:w="1186" w:type="dxa"/>
          </w:tcPr>
          <w:p w:rsidR="007C5447" w:rsidRDefault="007C5447">
            <w:pPr>
              <w:pStyle w:val="TableParagraph"/>
              <w:jc w:val="left"/>
              <w:rPr>
                <w:sz w:val="20"/>
              </w:rPr>
            </w:pPr>
          </w:p>
        </w:tc>
        <w:tc>
          <w:tcPr>
            <w:tcW w:w="1185" w:type="dxa"/>
          </w:tcPr>
          <w:p w:rsidR="007C5447" w:rsidRDefault="007C5447">
            <w:pPr>
              <w:pStyle w:val="TableParagraph"/>
              <w:jc w:val="left"/>
              <w:rPr>
                <w:sz w:val="20"/>
              </w:rPr>
            </w:pPr>
          </w:p>
        </w:tc>
        <w:tc>
          <w:tcPr>
            <w:tcW w:w="1187" w:type="dxa"/>
          </w:tcPr>
          <w:p w:rsidR="007C5447" w:rsidRDefault="007C5447">
            <w:pPr>
              <w:pStyle w:val="TableParagraph"/>
              <w:jc w:val="left"/>
              <w:rPr>
                <w:sz w:val="20"/>
              </w:rPr>
            </w:pPr>
          </w:p>
        </w:tc>
      </w:tr>
      <w:tr w:rsidR="007C5447">
        <w:trPr>
          <w:trHeight w:val="427"/>
        </w:trPr>
        <w:tc>
          <w:tcPr>
            <w:tcW w:w="5689" w:type="dxa"/>
          </w:tcPr>
          <w:p w:rsidR="007C5447" w:rsidRDefault="00F6308C">
            <w:pPr>
              <w:pStyle w:val="TableParagraph"/>
              <w:spacing w:before="98"/>
              <w:ind w:left="107"/>
              <w:jc w:val="left"/>
              <w:rPr>
                <w:sz w:val="20"/>
              </w:rPr>
            </w:pPr>
            <w:r>
              <w:rPr>
                <w:sz w:val="20"/>
              </w:rPr>
              <w:t>HT Industries</w:t>
            </w:r>
          </w:p>
        </w:tc>
        <w:tc>
          <w:tcPr>
            <w:tcW w:w="1370" w:type="dxa"/>
          </w:tcPr>
          <w:p w:rsidR="007C5447" w:rsidRDefault="00F6308C">
            <w:pPr>
              <w:pStyle w:val="TableParagraph"/>
              <w:spacing w:before="98"/>
              <w:ind w:left="348" w:right="340"/>
              <w:jc w:val="center"/>
              <w:rPr>
                <w:sz w:val="20"/>
              </w:rPr>
            </w:pPr>
            <w:r>
              <w:rPr>
                <w:sz w:val="20"/>
              </w:rPr>
              <w:t>IA</w:t>
            </w:r>
          </w:p>
        </w:tc>
        <w:tc>
          <w:tcPr>
            <w:tcW w:w="1186" w:type="dxa"/>
          </w:tcPr>
          <w:p w:rsidR="007C5447" w:rsidRDefault="00F6308C">
            <w:pPr>
              <w:pStyle w:val="TableParagraph"/>
              <w:spacing w:before="98"/>
              <w:ind w:right="199"/>
              <w:rPr>
                <w:sz w:val="20"/>
              </w:rPr>
            </w:pPr>
            <w:r>
              <w:rPr>
                <w:w w:val="95"/>
                <w:sz w:val="20"/>
              </w:rPr>
              <w:t>12,730</w:t>
            </w:r>
          </w:p>
        </w:tc>
        <w:tc>
          <w:tcPr>
            <w:tcW w:w="1183" w:type="dxa"/>
          </w:tcPr>
          <w:p w:rsidR="007C5447" w:rsidRDefault="00F6308C">
            <w:pPr>
              <w:pStyle w:val="TableParagraph"/>
              <w:spacing w:before="98"/>
              <w:ind w:right="196"/>
              <w:rPr>
                <w:sz w:val="20"/>
              </w:rPr>
            </w:pPr>
            <w:r>
              <w:rPr>
                <w:w w:val="95"/>
                <w:sz w:val="20"/>
              </w:rPr>
              <w:t>15,232</w:t>
            </w:r>
          </w:p>
        </w:tc>
        <w:tc>
          <w:tcPr>
            <w:tcW w:w="1188" w:type="dxa"/>
          </w:tcPr>
          <w:p w:rsidR="007C5447" w:rsidRDefault="00F6308C">
            <w:pPr>
              <w:pStyle w:val="TableParagraph"/>
              <w:spacing w:before="98"/>
              <w:ind w:right="196"/>
              <w:rPr>
                <w:sz w:val="20"/>
              </w:rPr>
            </w:pPr>
            <w:r>
              <w:rPr>
                <w:w w:val="95"/>
                <w:sz w:val="20"/>
              </w:rPr>
              <w:t>17,331</w:t>
            </w:r>
          </w:p>
        </w:tc>
        <w:tc>
          <w:tcPr>
            <w:tcW w:w="1186" w:type="dxa"/>
          </w:tcPr>
          <w:p w:rsidR="007C5447" w:rsidRDefault="00F6308C">
            <w:pPr>
              <w:pStyle w:val="TableParagraph"/>
              <w:spacing w:before="98"/>
              <w:ind w:right="198"/>
              <w:rPr>
                <w:sz w:val="20"/>
              </w:rPr>
            </w:pPr>
            <w:r>
              <w:rPr>
                <w:w w:val="95"/>
                <w:sz w:val="20"/>
              </w:rPr>
              <w:t>12,730</w:t>
            </w:r>
          </w:p>
        </w:tc>
        <w:tc>
          <w:tcPr>
            <w:tcW w:w="1185" w:type="dxa"/>
          </w:tcPr>
          <w:p w:rsidR="007C5447" w:rsidRDefault="00F6308C">
            <w:pPr>
              <w:pStyle w:val="TableParagraph"/>
              <w:spacing w:before="98"/>
              <w:ind w:right="197"/>
              <w:rPr>
                <w:sz w:val="20"/>
              </w:rPr>
            </w:pPr>
            <w:r>
              <w:rPr>
                <w:w w:val="95"/>
                <w:sz w:val="20"/>
              </w:rPr>
              <w:t>15,232</w:t>
            </w:r>
          </w:p>
        </w:tc>
        <w:tc>
          <w:tcPr>
            <w:tcW w:w="1187" w:type="dxa"/>
          </w:tcPr>
          <w:p w:rsidR="007C5447" w:rsidRDefault="00F6308C">
            <w:pPr>
              <w:pStyle w:val="TableParagraph"/>
              <w:spacing w:before="98"/>
              <w:ind w:right="194"/>
              <w:rPr>
                <w:sz w:val="20"/>
              </w:rPr>
            </w:pPr>
            <w:r>
              <w:rPr>
                <w:w w:val="95"/>
                <w:sz w:val="20"/>
              </w:rPr>
              <w:t>17,331</w:t>
            </w:r>
          </w:p>
        </w:tc>
      </w:tr>
      <w:tr w:rsidR="007C5447">
        <w:trPr>
          <w:trHeight w:val="426"/>
        </w:trPr>
        <w:tc>
          <w:tcPr>
            <w:tcW w:w="5689" w:type="dxa"/>
          </w:tcPr>
          <w:p w:rsidR="007C5447" w:rsidRDefault="00F6308C">
            <w:pPr>
              <w:pStyle w:val="TableParagraph"/>
              <w:spacing w:before="98"/>
              <w:ind w:left="107"/>
              <w:jc w:val="left"/>
              <w:rPr>
                <w:sz w:val="20"/>
              </w:rPr>
            </w:pPr>
            <w:r>
              <w:rPr>
                <w:sz w:val="20"/>
              </w:rPr>
              <w:t>Railway Traction</w:t>
            </w:r>
          </w:p>
        </w:tc>
        <w:tc>
          <w:tcPr>
            <w:tcW w:w="1370" w:type="dxa"/>
          </w:tcPr>
          <w:p w:rsidR="007C5447" w:rsidRDefault="00F6308C">
            <w:pPr>
              <w:pStyle w:val="TableParagraph"/>
              <w:spacing w:before="98"/>
              <w:ind w:left="348" w:right="343"/>
              <w:jc w:val="center"/>
              <w:rPr>
                <w:sz w:val="20"/>
              </w:rPr>
            </w:pPr>
            <w:r>
              <w:rPr>
                <w:sz w:val="20"/>
              </w:rPr>
              <w:t>IB</w:t>
            </w:r>
          </w:p>
        </w:tc>
        <w:tc>
          <w:tcPr>
            <w:tcW w:w="1186" w:type="dxa"/>
          </w:tcPr>
          <w:p w:rsidR="007C5447" w:rsidRDefault="00F6308C">
            <w:pPr>
              <w:pStyle w:val="TableParagraph"/>
              <w:spacing w:before="98"/>
              <w:ind w:right="196"/>
              <w:rPr>
                <w:sz w:val="20"/>
              </w:rPr>
            </w:pPr>
            <w:r>
              <w:rPr>
                <w:sz w:val="20"/>
              </w:rPr>
              <w:t>880</w:t>
            </w:r>
          </w:p>
        </w:tc>
        <w:tc>
          <w:tcPr>
            <w:tcW w:w="1183" w:type="dxa"/>
          </w:tcPr>
          <w:p w:rsidR="007C5447" w:rsidRDefault="00F6308C">
            <w:pPr>
              <w:pStyle w:val="TableParagraph"/>
              <w:spacing w:before="98"/>
              <w:ind w:right="195"/>
              <w:rPr>
                <w:sz w:val="20"/>
              </w:rPr>
            </w:pPr>
            <w:r>
              <w:rPr>
                <w:sz w:val="20"/>
              </w:rPr>
              <w:t>938</w:t>
            </w:r>
          </w:p>
        </w:tc>
        <w:tc>
          <w:tcPr>
            <w:tcW w:w="1188" w:type="dxa"/>
          </w:tcPr>
          <w:p w:rsidR="007C5447" w:rsidRDefault="00F6308C">
            <w:pPr>
              <w:pStyle w:val="TableParagraph"/>
              <w:spacing w:before="98"/>
              <w:ind w:right="196"/>
              <w:rPr>
                <w:sz w:val="20"/>
              </w:rPr>
            </w:pPr>
            <w:r>
              <w:rPr>
                <w:sz w:val="20"/>
              </w:rPr>
              <w:t>1,009</w:t>
            </w:r>
          </w:p>
        </w:tc>
        <w:tc>
          <w:tcPr>
            <w:tcW w:w="1186" w:type="dxa"/>
          </w:tcPr>
          <w:p w:rsidR="007C5447" w:rsidRDefault="00F6308C">
            <w:pPr>
              <w:pStyle w:val="TableParagraph"/>
              <w:spacing w:before="98"/>
              <w:ind w:right="197"/>
              <w:rPr>
                <w:sz w:val="20"/>
              </w:rPr>
            </w:pPr>
            <w:r>
              <w:rPr>
                <w:sz w:val="20"/>
              </w:rPr>
              <w:t>880</w:t>
            </w:r>
          </w:p>
        </w:tc>
        <w:tc>
          <w:tcPr>
            <w:tcW w:w="1185" w:type="dxa"/>
          </w:tcPr>
          <w:p w:rsidR="007C5447" w:rsidRDefault="00F6308C">
            <w:pPr>
              <w:pStyle w:val="TableParagraph"/>
              <w:spacing w:before="98"/>
              <w:ind w:right="195"/>
              <w:rPr>
                <w:sz w:val="20"/>
              </w:rPr>
            </w:pPr>
            <w:r>
              <w:rPr>
                <w:sz w:val="20"/>
              </w:rPr>
              <w:t>938</w:t>
            </w:r>
          </w:p>
        </w:tc>
        <w:tc>
          <w:tcPr>
            <w:tcW w:w="1187" w:type="dxa"/>
          </w:tcPr>
          <w:p w:rsidR="007C5447" w:rsidRDefault="00F6308C">
            <w:pPr>
              <w:pStyle w:val="TableParagraph"/>
              <w:spacing w:before="98"/>
              <w:ind w:right="194"/>
              <w:rPr>
                <w:sz w:val="20"/>
              </w:rPr>
            </w:pPr>
            <w:r>
              <w:rPr>
                <w:sz w:val="20"/>
              </w:rPr>
              <w:t>1,009</w:t>
            </w:r>
          </w:p>
        </w:tc>
      </w:tr>
      <w:tr w:rsidR="007C5447">
        <w:trPr>
          <w:trHeight w:val="426"/>
        </w:trPr>
        <w:tc>
          <w:tcPr>
            <w:tcW w:w="5689" w:type="dxa"/>
          </w:tcPr>
          <w:p w:rsidR="007C5447" w:rsidRDefault="00F6308C">
            <w:pPr>
              <w:pStyle w:val="TableParagraph"/>
              <w:spacing w:before="98"/>
              <w:ind w:left="107"/>
              <w:jc w:val="left"/>
              <w:rPr>
                <w:sz w:val="20"/>
              </w:rPr>
            </w:pPr>
            <w:r>
              <w:rPr>
                <w:sz w:val="20"/>
              </w:rPr>
              <w:t>Govt. Educational Institutions, Hospitals, Water supply etc.</w:t>
            </w:r>
          </w:p>
        </w:tc>
        <w:tc>
          <w:tcPr>
            <w:tcW w:w="1370" w:type="dxa"/>
          </w:tcPr>
          <w:p w:rsidR="007C5447" w:rsidRDefault="00F6308C">
            <w:pPr>
              <w:pStyle w:val="TableParagraph"/>
              <w:spacing w:before="98"/>
              <w:ind w:left="348" w:right="340"/>
              <w:jc w:val="center"/>
              <w:rPr>
                <w:sz w:val="20"/>
              </w:rPr>
            </w:pPr>
            <w:r>
              <w:rPr>
                <w:sz w:val="20"/>
              </w:rPr>
              <w:t>IIA</w:t>
            </w:r>
          </w:p>
        </w:tc>
        <w:tc>
          <w:tcPr>
            <w:tcW w:w="1186" w:type="dxa"/>
          </w:tcPr>
          <w:p w:rsidR="007C5447" w:rsidRDefault="00F6308C">
            <w:pPr>
              <w:pStyle w:val="TableParagraph"/>
              <w:spacing w:before="98"/>
              <w:ind w:right="198"/>
              <w:rPr>
                <w:sz w:val="20"/>
              </w:rPr>
            </w:pPr>
            <w:r>
              <w:rPr>
                <w:sz w:val="20"/>
              </w:rPr>
              <w:t>1,502</w:t>
            </w:r>
          </w:p>
        </w:tc>
        <w:tc>
          <w:tcPr>
            <w:tcW w:w="1183" w:type="dxa"/>
          </w:tcPr>
          <w:p w:rsidR="007C5447" w:rsidRDefault="00F6308C">
            <w:pPr>
              <w:pStyle w:val="TableParagraph"/>
              <w:spacing w:before="98"/>
              <w:ind w:right="196"/>
              <w:rPr>
                <w:sz w:val="20"/>
              </w:rPr>
            </w:pPr>
            <w:r>
              <w:rPr>
                <w:sz w:val="20"/>
              </w:rPr>
              <w:t>1,602</w:t>
            </w:r>
          </w:p>
        </w:tc>
        <w:tc>
          <w:tcPr>
            <w:tcW w:w="1188" w:type="dxa"/>
          </w:tcPr>
          <w:p w:rsidR="007C5447" w:rsidRDefault="00F6308C">
            <w:pPr>
              <w:pStyle w:val="TableParagraph"/>
              <w:spacing w:before="98"/>
              <w:ind w:right="196"/>
              <w:rPr>
                <w:sz w:val="20"/>
              </w:rPr>
            </w:pPr>
            <w:r>
              <w:rPr>
                <w:sz w:val="20"/>
              </w:rPr>
              <w:t>1,726</w:t>
            </w:r>
          </w:p>
        </w:tc>
        <w:tc>
          <w:tcPr>
            <w:tcW w:w="1186" w:type="dxa"/>
          </w:tcPr>
          <w:p w:rsidR="007C5447" w:rsidRDefault="00F6308C">
            <w:pPr>
              <w:pStyle w:val="TableParagraph"/>
              <w:spacing w:before="98"/>
              <w:ind w:right="198"/>
              <w:rPr>
                <w:sz w:val="20"/>
              </w:rPr>
            </w:pPr>
            <w:r>
              <w:rPr>
                <w:sz w:val="20"/>
              </w:rPr>
              <w:t>1,502</w:t>
            </w:r>
          </w:p>
        </w:tc>
        <w:tc>
          <w:tcPr>
            <w:tcW w:w="1185" w:type="dxa"/>
          </w:tcPr>
          <w:p w:rsidR="007C5447" w:rsidRDefault="00F6308C">
            <w:pPr>
              <w:pStyle w:val="TableParagraph"/>
              <w:spacing w:before="98"/>
              <w:ind w:right="197"/>
              <w:rPr>
                <w:sz w:val="20"/>
              </w:rPr>
            </w:pPr>
            <w:r>
              <w:rPr>
                <w:sz w:val="20"/>
              </w:rPr>
              <w:t>1,602</w:t>
            </w:r>
          </w:p>
        </w:tc>
        <w:tc>
          <w:tcPr>
            <w:tcW w:w="1187" w:type="dxa"/>
          </w:tcPr>
          <w:p w:rsidR="007C5447" w:rsidRDefault="00F6308C">
            <w:pPr>
              <w:pStyle w:val="TableParagraph"/>
              <w:spacing w:before="98"/>
              <w:ind w:right="194"/>
              <w:rPr>
                <w:sz w:val="20"/>
              </w:rPr>
            </w:pPr>
            <w:r>
              <w:rPr>
                <w:sz w:val="20"/>
              </w:rPr>
              <w:t>1,726</w:t>
            </w:r>
          </w:p>
        </w:tc>
      </w:tr>
      <w:tr w:rsidR="007C5447">
        <w:trPr>
          <w:trHeight w:val="426"/>
        </w:trPr>
        <w:tc>
          <w:tcPr>
            <w:tcW w:w="5689" w:type="dxa"/>
          </w:tcPr>
          <w:p w:rsidR="007C5447" w:rsidRDefault="00F6308C">
            <w:pPr>
              <w:pStyle w:val="TableParagraph"/>
              <w:spacing w:before="98"/>
              <w:ind w:left="107"/>
              <w:jc w:val="left"/>
              <w:rPr>
                <w:sz w:val="20"/>
              </w:rPr>
            </w:pPr>
            <w:r>
              <w:rPr>
                <w:sz w:val="20"/>
              </w:rPr>
              <w:t>Private Educational Institutions, Cinema Theatres &amp; Studios</w:t>
            </w:r>
          </w:p>
        </w:tc>
        <w:tc>
          <w:tcPr>
            <w:tcW w:w="1370" w:type="dxa"/>
          </w:tcPr>
          <w:p w:rsidR="007C5447" w:rsidRDefault="00F6308C">
            <w:pPr>
              <w:pStyle w:val="TableParagraph"/>
              <w:spacing w:before="98"/>
              <w:ind w:left="348" w:right="343"/>
              <w:jc w:val="center"/>
              <w:rPr>
                <w:sz w:val="20"/>
              </w:rPr>
            </w:pPr>
            <w:r>
              <w:rPr>
                <w:sz w:val="20"/>
              </w:rPr>
              <w:t>IIB</w:t>
            </w:r>
          </w:p>
        </w:tc>
        <w:tc>
          <w:tcPr>
            <w:tcW w:w="1186" w:type="dxa"/>
          </w:tcPr>
          <w:p w:rsidR="007C5447" w:rsidRDefault="00F6308C">
            <w:pPr>
              <w:pStyle w:val="TableParagraph"/>
              <w:spacing w:before="98"/>
              <w:ind w:right="196"/>
              <w:rPr>
                <w:sz w:val="20"/>
              </w:rPr>
            </w:pPr>
            <w:r>
              <w:rPr>
                <w:sz w:val="20"/>
              </w:rPr>
              <w:t>351</w:t>
            </w:r>
          </w:p>
        </w:tc>
        <w:tc>
          <w:tcPr>
            <w:tcW w:w="1183" w:type="dxa"/>
          </w:tcPr>
          <w:p w:rsidR="007C5447" w:rsidRDefault="00F6308C">
            <w:pPr>
              <w:pStyle w:val="TableParagraph"/>
              <w:spacing w:before="98"/>
              <w:ind w:right="195"/>
              <w:rPr>
                <w:sz w:val="20"/>
              </w:rPr>
            </w:pPr>
            <w:r>
              <w:rPr>
                <w:sz w:val="20"/>
              </w:rPr>
              <w:t>365</w:t>
            </w:r>
          </w:p>
        </w:tc>
        <w:tc>
          <w:tcPr>
            <w:tcW w:w="1188" w:type="dxa"/>
          </w:tcPr>
          <w:p w:rsidR="007C5447" w:rsidRDefault="00F6308C">
            <w:pPr>
              <w:pStyle w:val="TableParagraph"/>
              <w:spacing w:before="98"/>
              <w:ind w:right="195"/>
              <w:rPr>
                <w:sz w:val="20"/>
              </w:rPr>
            </w:pPr>
            <w:r>
              <w:rPr>
                <w:sz w:val="20"/>
              </w:rPr>
              <w:t>387</w:t>
            </w:r>
          </w:p>
        </w:tc>
        <w:tc>
          <w:tcPr>
            <w:tcW w:w="1186" w:type="dxa"/>
          </w:tcPr>
          <w:p w:rsidR="007C5447" w:rsidRDefault="00F6308C">
            <w:pPr>
              <w:pStyle w:val="TableParagraph"/>
              <w:spacing w:before="98"/>
              <w:ind w:right="196"/>
              <w:rPr>
                <w:sz w:val="20"/>
              </w:rPr>
            </w:pPr>
            <w:r>
              <w:rPr>
                <w:sz w:val="20"/>
              </w:rPr>
              <w:t>351</w:t>
            </w:r>
          </w:p>
        </w:tc>
        <w:tc>
          <w:tcPr>
            <w:tcW w:w="1185" w:type="dxa"/>
          </w:tcPr>
          <w:p w:rsidR="007C5447" w:rsidRDefault="00F6308C">
            <w:pPr>
              <w:pStyle w:val="TableParagraph"/>
              <w:spacing w:before="98"/>
              <w:ind w:right="195"/>
              <w:rPr>
                <w:sz w:val="20"/>
              </w:rPr>
            </w:pPr>
            <w:r>
              <w:rPr>
                <w:sz w:val="20"/>
              </w:rPr>
              <w:t>365</w:t>
            </w:r>
          </w:p>
        </w:tc>
        <w:tc>
          <w:tcPr>
            <w:tcW w:w="1187" w:type="dxa"/>
          </w:tcPr>
          <w:p w:rsidR="007C5447" w:rsidRDefault="00F6308C">
            <w:pPr>
              <w:pStyle w:val="TableParagraph"/>
              <w:spacing w:before="98"/>
              <w:ind w:right="192"/>
              <w:rPr>
                <w:sz w:val="20"/>
              </w:rPr>
            </w:pPr>
            <w:r>
              <w:rPr>
                <w:sz w:val="20"/>
              </w:rPr>
              <w:t>387</w:t>
            </w:r>
          </w:p>
        </w:tc>
      </w:tr>
      <w:tr w:rsidR="007C5447">
        <w:trPr>
          <w:trHeight w:val="426"/>
        </w:trPr>
        <w:tc>
          <w:tcPr>
            <w:tcW w:w="5689" w:type="dxa"/>
          </w:tcPr>
          <w:p w:rsidR="007C5447" w:rsidRDefault="00F6308C">
            <w:pPr>
              <w:pStyle w:val="TableParagraph"/>
              <w:spacing w:before="98"/>
              <w:ind w:left="107"/>
              <w:jc w:val="left"/>
              <w:rPr>
                <w:sz w:val="20"/>
              </w:rPr>
            </w:pPr>
            <w:r>
              <w:rPr>
                <w:sz w:val="20"/>
              </w:rPr>
              <w:t>Actual places of public worship, Mutts and Religious Institutions.</w:t>
            </w:r>
          </w:p>
        </w:tc>
        <w:tc>
          <w:tcPr>
            <w:tcW w:w="1370" w:type="dxa"/>
          </w:tcPr>
          <w:p w:rsidR="007C5447" w:rsidRDefault="00F6308C">
            <w:pPr>
              <w:pStyle w:val="TableParagraph"/>
              <w:spacing w:before="98"/>
              <w:ind w:left="348" w:right="342"/>
              <w:jc w:val="center"/>
              <w:rPr>
                <w:sz w:val="20"/>
              </w:rPr>
            </w:pPr>
            <w:r>
              <w:rPr>
                <w:sz w:val="20"/>
              </w:rPr>
              <w:t>IIC</w:t>
            </w:r>
          </w:p>
        </w:tc>
        <w:tc>
          <w:tcPr>
            <w:tcW w:w="1186" w:type="dxa"/>
          </w:tcPr>
          <w:p w:rsidR="007C5447" w:rsidRDefault="007C5447">
            <w:pPr>
              <w:pStyle w:val="TableParagraph"/>
              <w:jc w:val="left"/>
              <w:rPr>
                <w:sz w:val="20"/>
              </w:rPr>
            </w:pPr>
          </w:p>
        </w:tc>
        <w:tc>
          <w:tcPr>
            <w:tcW w:w="1183" w:type="dxa"/>
          </w:tcPr>
          <w:p w:rsidR="007C5447" w:rsidRDefault="007C5447">
            <w:pPr>
              <w:pStyle w:val="TableParagraph"/>
              <w:jc w:val="left"/>
              <w:rPr>
                <w:sz w:val="20"/>
              </w:rPr>
            </w:pPr>
          </w:p>
        </w:tc>
        <w:tc>
          <w:tcPr>
            <w:tcW w:w="1188" w:type="dxa"/>
          </w:tcPr>
          <w:p w:rsidR="007C5447" w:rsidRDefault="007C5447">
            <w:pPr>
              <w:pStyle w:val="TableParagraph"/>
              <w:jc w:val="left"/>
              <w:rPr>
                <w:sz w:val="20"/>
              </w:rPr>
            </w:pPr>
          </w:p>
        </w:tc>
        <w:tc>
          <w:tcPr>
            <w:tcW w:w="1186" w:type="dxa"/>
          </w:tcPr>
          <w:p w:rsidR="007C5447" w:rsidRDefault="007C5447">
            <w:pPr>
              <w:pStyle w:val="TableParagraph"/>
              <w:jc w:val="left"/>
              <w:rPr>
                <w:sz w:val="20"/>
              </w:rPr>
            </w:pPr>
          </w:p>
        </w:tc>
        <w:tc>
          <w:tcPr>
            <w:tcW w:w="1185" w:type="dxa"/>
          </w:tcPr>
          <w:p w:rsidR="007C5447" w:rsidRDefault="007C5447">
            <w:pPr>
              <w:pStyle w:val="TableParagraph"/>
              <w:jc w:val="left"/>
              <w:rPr>
                <w:sz w:val="20"/>
              </w:rPr>
            </w:pPr>
          </w:p>
        </w:tc>
        <w:tc>
          <w:tcPr>
            <w:tcW w:w="1187" w:type="dxa"/>
          </w:tcPr>
          <w:p w:rsidR="007C5447" w:rsidRDefault="007C5447">
            <w:pPr>
              <w:pStyle w:val="TableParagraph"/>
              <w:jc w:val="left"/>
              <w:rPr>
                <w:sz w:val="20"/>
              </w:rPr>
            </w:pPr>
          </w:p>
        </w:tc>
      </w:tr>
      <w:tr w:rsidR="007C5447">
        <w:trPr>
          <w:trHeight w:val="491"/>
        </w:trPr>
        <w:tc>
          <w:tcPr>
            <w:tcW w:w="5689" w:type="dxa"/>
          </w:tcPr>
          <w:p w:rsidR="007C5447" w:rsidRDefault="00F6308C">
            <w:pPr>
              <w:pStyle w:val="TableParagraph"/>
              <w:spacing w:before="21" w:line="228" w:lineRule="exact"/>
              <w:ind w:left="107" w:right="148"/>
              <w:jc w:val="left"/>
              <w:rPr>
                <w:sz w:val="20"/>
              </w:rPr>
            </w:pPr>
            <w:r>
              <w:rPr>
                <w:sz w:val="20"/>
              </w:rPr>
              <w:t>HT Commercial and all Categories not covered in other HT categories</w:t>
            </w:r>
          </w:p>
        </w:tc>
        <w:tc>
          <w:tcPr>
            <w:tcW w:w="1370" w:type="dxa"/>
          </w:tcPr>
          <w:p w:rsidR="007C5447" w:rsidRDefault="00F6308C">
            <w:pPr>
              <w:pStyle w:val="TableParagraph"/>
              <w:spacing w:before="132"/>
              <w:ind w:left="348" w:right="341"/>
              <w:jc w:val="center"/>
              <w:rPr>
                <w:sz w:val="20"/>
              </w:rPr>
            </w:pPr>
            <w:r>
              <w:rPr>
                <w:sz w:val="20"/>
              </w:rPr>
              <w:t>III</w:t>
            </w:r>
          </w:p>
        </w:tc>
        <w:tc>
          <w:tcPr>
            <w:tcW w:w="1186" w:type="dxa"/>
          </w:tcPr>
          <w:p w:rsidR="007C5447" w:rsidRDefault="00F6308C">
            <w:pPr>
              <w:pStyle w:val="TableParagraph"/>
              <w:spacing w:before="132"/>
              <w:ind w:right="198"/>
              <w:rPr>
                <w:sz w:val="20"/>
              </w:rPr>
            </w:pPr>
            <w:r>
              <w:rPr>
                <w:sz w:val="20"/>
              </w:rPr>
              <w:t>2,160</w:t>
            </w:r>
          </w:p>
        </w:tc>
        <w:tc>
          <w:tcPr>
            <w:tcW w:w="1183" w:type="dxa"/>
          </w:tcPr>
          <w:p w:rsidR="007C5447" w:rsidRDefault="00F6308C">
            <w:pPr>
              <w:pStyle w:val="TableParagraph"/>
              <w:spacing w:before="132"/>
              <w:ind w:right="196"/>
              <w:rPr>
                <w:sz w:val="20"/>
              </w:rPr>
            </w:pPr>
            <w:r>
              <w:rPr>
                <w:sz w:val="20"/>
              </w:rPr>
              <w:t>2,667</w:t>
            </w:r>
          </w:p>
        </w:tc>
        <w:tc>
          <w:tcPr>
            <w:tcW w:w="1188" w:type="dxa"/>
          </w:tcPr>
          <w:p w:rsidR="007C5447" w:rsidRDefault="00F6308C">
            <w:pPr>
              <w:pStyle w:val="TableParagraph"/>
              <w:spacing w:before="132"/>
              <w:ind w:right="196"/>
              <w:rPr>
                <w:sz w:val="20"/>
              </w:rPr>
            </w:pPr>
            <w:r>
              <w:rPr>
                <w:sz w:val="20"/>
              </w:rPr>
              <w:t>3,231</w:t>
            </w:r>
          </w:p>
        </w:tc>
        <w:tc>
          <w:tcPr>
            <w:tcW w:w="1186" w:type="dxa"/>
          </w:tcPr>
          <w:p w:rsidR="007C5447" w:rsidRDefault="00F6308C">
            <w:pPr>
              <w:pStyle w:val="TableParagraph"/>
              <w:spacing w:before="132"/>
              <w:ind w:right="198"/>
              <w:rPr>
                <w:sz w:val="20"/>
              </w:rPr>
            </w:pPr>
            <w:r>
              <w:rPr>
                <w:sz w:val="20"/>
              </w:rPr>
              <w:t>2,160</w:t>
            </w:r>
          </w:p>
        </w:tc>
        <w:tc>
          <w:tcPr>
            <w:tcW w:w="1185" w:type="dxa"/>
          </w:tcPr>
          <w:p w:rsidR="007C5447" w:rsidRDefault="00F6308C">
            <w:pPr>
              <w:pStyle w:val="TableParagraph"/>
              <w:spacing w:before="132"/>
              <w:ind w:right="197"/>
              <w:rPr>
                <w:sz w:val="20"/>
              </w:rPr>
            </w:pPr>
            <w:r>
              <w:rPr>
                <w:sz w:val="20"/>
              </w:rPr>
              <w:t>2,667</w:t>
            </w:r>
          </w:p>
        </w:tc>
        <w:tc>
          <w:tcPr>
            <w:tcW w:w="1187" w:type="dxa"/>
          </w:tcPr>
          <w:p w:rsidR="007C5447" w:rsidRDefault="00F6308C">
            <w:pPr>
              <w:pStyle w:val="TableParagraph"/>
              <w:spacing w:before="132"/>
              <w:ind w:right="194"/>
              <w:rPr>
                <w:sz w:val="20"/>
              </w:rPr>
            </w:pPr>
            <w:r>
              <w:rPr>
                <w:sz w:val="20"/>
              </w:rPr>
              <w:t>3,231</w:t>
            </w:r>
          </w:p>
        </w:tc>
      </w:tr>
      <w:tr w:rsidR="007C5447">
        <w:trPr>
          <w:trHeight w:val="427"/>
        </w:trPr>
        <w:tc>
          <w:tcPr>
            <w:tcW w:w="5689" w:type="dxa"/>
          </w:tcPr>
          <w:p w:rsidR="007C5447" w:rsidRDefault="00F6308C">
            <w:pPr>
              <w:pStyle w:val="TableParagraph"/>
              <w:spacing w:before="99"/>
              <w:ind w:left="107"/>
              <w:jc w:val="left"/>
              <w:rPr>
                <w:sz w:val="20"/>
              </w:rPr>
            </w:pPr>
            <w:r>
              <w:rPr>
                <w:sz w:val="20"/>
              </w:rPr>
              <w:t>Lift Irrigation and Co-operative Societies</w:t>
            </w:r>
          </w:p>
        </w:tc>
        <w:tc>
          <w:tcPr>
            <w:tcW w:w="1370" w:type="dxa"/>
          </w:tcPr>
          <w:p w:rsidR="007C5447" w:rsidRDefault="00F6308C">
            <w:pPr>
              <w:pStyle w:val="TableParagraph"/>
              <w:spacing w:before="99"/>
              <w:ind w:left="348" w:right="340"/>
              <w:jc w:val="center"/>
              <w:rPr>
                <w:sz w:val="20"/>
              </w:rPr>
            </w:pPr>
            <w:r>
              <w:rPr>
                <w:sz w:val="20"/>
              </w:rPr>
              <w:t>IV</w:t>
            </w:r>
          </w:p>
        </w:tc>
        <w:tc>
          <w:tcPr>
            <w:tcW w:w="1186" w:type="dxa"/>
          </w:tcPr>
          <w:p w:rsidR="007C5447" w:rsidRDefault="00F6308C">
            <w:pPr>
              <w:pStyle w:val="TableParagraph"/>
              <w:spacing w:before="99"/>
              <w:ind w:right="200"/>
              <w:rPr>
                <w:sz w:val="20"/>
              </w:rPr>
            </w:pPr>
            <w:r>
              <w:rPr>
                <w:w w:val="99"/>
                <w:sz w:val="20"/>
              </w:rPr>
              <w:t>7</w:t>
            </w:r>
          </w:p>
        </w:tc>
        <w:tc>
          <w:tcPr>
            <w:tcW w:w="1183" w:type="dxa"/>
          </w:tcPr>
          <w:p w:rsidR="007C5447" w:rsidRDefault="00F6308C">
            <w:pPr>
              <w:pStyle w:val="TableParagraph"/>
              <w:spacing w:before="99"/>
              <w:ind w:right="197"/>
              <w:rPr>
                <w:sz w:val="20"/>
              </w:rPr>
            </w:pPr>
            <w:r>
              <w:rPr>
                <w:w w:val="99"/>
                <w:sz w:val="20"/>
              </w:rPr>
              <w:t>8</w:t>
            </w:r>
          </w:p>
        </w:tc>
        <w:tc>
          <w:tcPr>
            <w:tcW w:w="1188" w:type="dxa"/>
          </w:tcPr>
          <w:p w:rsidR="007C5447" w:rsidRDefault="00F6308C">
            <w:pPr>
              <w:pStyle w:val="TableParagraph"/>
              <w:spacing w:before="99"/>
              <w:ind w:right="197"/>
              <w:rPr>
                <w:sz w:val="20"/>
              </w:rPr>
            </w:pPr>
            <w:r>
              <w:rPr>
                <w:w w:val="99"/>
                <w:sz w:val="20"/>
              </w:rPr>
              <w:t>8</w:t>
            </w:r>
          </w:p>
        </w:tc>
        <w:tc>
          <w:tcPr>
            <w:tcW w:w="1186" w:type="dxa"/>
          </w:tcPr>
          <w:p w:rsidR="007C5447" w:rsidRDefault="00F6308C">
            <w:pPr>
              <w:pStyle w:val="TableParagraph"/>
              <w:spacing w:before="99"/>
              <w:ind w:right="199"/>
              <w:rPr>
                <w:sz w:val="20"/>
              </w:rPr>
            </w:pPr>
            <w:r>
              <w:rPr>
                <w:w w:val="99"/>
                <w:sz w:val="20"/>
              </w:rPr>
              <w:t>7</w:t>
            </w:r>
          </w:p>
        </w:tc>
        <w:tc>
          <w:tcPr>
            <w:tcW w:w="1185" w:type="dxa"/>
          </w:tcPr>
          <w:p w:rsidR="007C5447" w:rsidRDefault="00F6308C">
            <w:pPr>
              <w:pStyle w:val="TableParagraph"/>
              <w:spacing w:before="99"/>
              <w:ind w:right="199"/>
              <w:rPr>
                <w:sz w:val="20"/>
              </w:rPr>
            </w:pPr>
            <w:r>
              <w:rPr>
                <w:w w:val="99"/>
                <w:sz w:val="20"/>
              </w:rPr>
              <w:t>8</w:t>
            </w:r>
          </w:p>
        </w:tc>
        <w:tc>
          <w:tcPr>
            <w:tcW w:w="1187" w:type="dxa"/>
          </w:tcPr>
          <w:p w:rsidR="007C5447" w:rsidRDefault="00F6308C">
            <w:pPr>
              <w:pStyle w:val="TableParagraph"/>
              <w:spacing w:before="99"/>
              <w:ind w:right="195"/>
              <w:rPr>
                <w:sz w:val="20"/>
              </w:rPr>
            </w:pPr>
            <w:r>
              <w:rPr>
                <w:w w:val="99"/>
                <w:sz w:val="20"/>
              </w:rPr>
              <w:t>8</w:t>
            </w:r>
          </w:p>
        </w:tc>
      </w:tr>
      <w:tr w:rsidR="007C5447">
        <w:trPr>
          <w:trHeight w:val="426"/>
        </w:trPr>
        <w:tc>
          <w:tcPr>
            <w:tcW w:w="5689" w:type="dxa"/>
          </w:tcPr>
          <w:p w:rsidR="007C5447" w:rsidRDefault="00F6308C">
            <w:pPr>
              <w:pStyle w:val="TableParagraph"/>
              <w:spacing w:before="98"/>
              <w:ind w:left="107"/>
              <w:jc w:val="left"/>
              <w:rPr>
                <w:sz w:val="20"/>
              </w:rPr>
            </w:pPr>
            <w:r>
              <w:rPr>
                <w:sz w:val="20"/>
              </w:rPr>
              <w:t>Temporary Supply</w:t>
            </w:r>
          </w:p>
        </w:tc>
        <w:tc>
          <w:tcPr>
            <w:tcW w:w="1370" w:type="dxa"/>
          </w:tcPr>
          <w:p w:rsidR="007C5447" w:rsidRDefault="00F6308C">
            <w:pPr>
              <w:pStyle w:val="TableParagraph"/>
              <w:spacing w:before="98"/>
              <w:ind w:left="7"/>
              <w:jc w:val="center"/>
              <w:rPr>
                <w:sz w:val="20"/>
              </w:rPr>
            </w:pPr>
            <w:r>
              <w:rPr>
                <w:w w:val="99"/>
                <w:sz w:val="20"/>
              </w:rPr>
              <w:t>V</w:t>
            </w:r>
          </w:p>
        </w:tc>
        <w:tc>
          <w:tcPr>
            <w:tcW w:w="1186" w:type="dxa"/>
          </w:tcPr>
          <w:p w:rsidR="007C5447" w:rsidRDefault="00F6308C">
            <w:pPr>
              <w:pStyle w:val="TableParagraph"/>
              <w:spacing w:before="98"/>
              <w:ind w:right="196"/>
              <w:rPr>
                <w:sz w:val="20"/>
              </w:rPr>
            </w:pPr>
            <w:r>
              <w:rPr>
                <w:sz w:val="20"/>
              </w:rPr>
              <w:t>179</w:t>
            </w:r>
          </w:p>
        </w:tc>
        <w:tc>
          <w:tcPr>
            <w:tcW w:w="1183" w:type="dxa"/>
          </w:tcPr>
          <w:p w:rsidR="007C5447" w:rsidRDefault="00F6308C">
            <w:pPr>
              <w:pStyle w:val="TableParagraph"/>
              <w:spacing w:before="98"/>
              <w:ind w:right="195"/>
              <w:rPr>
                <w:sz w:val="20"/>
              </w:rPr>
            </w:pPr>
            <w:r>
              <w:rPr>
                <w:sz w:val="20"/>
              </w:rPr>
              <w:t>187</w:t>
            </w:r>
          </w:p>
        </w:tc>
        <w:tc>
          <w:tcPr>
            <w:tcW w:w="1188" w:type="dxa"/>
          </w:tcPr>
          <w:p w:rsidR="007C5447" w:rsidRDefault="00F6308C">
            <w:pPr>
              <w:pStyle w:val="TableParagraph"/>
              <w:spacing w:before="98"/>
              <w:ind w:right="195"/>
              <w:rPr>
                <w:sz w:val="20"/>
              </w:rPr>
            </w:pPr>
            <w:r>
              <w:rPr>
                <w:sz w:val="20"/>
              </w:rPr>
              <w:t>207</w:t>
            </w:r>
          </w:p>
        </w:tc>
        <w:tc>
          <w:tcPr>
            <w:tcW w:w="1186" w:type="dxa"/>
          </w:tcPr>
          <w:p w:rsidR="007C5447" w:rsidRDefault="00F6308C">
            <w:pPr>
              <w:pStyle w:val="TableParagraph"/>
              <w:spacing w:before="98"/>
              <w:ind w:right="196"/>
              <w:rPr>
                <w:sz w:val="20"/>
              </w:rPr>
            </w:pPr>
            <w:r>
              <w:rPr>
                <w:sz w:val="20"/>
              </w:rPr>
              <w:t>179</w:t>
            </w:r>
          </w:p>
        </w:tc>
        <w:tc>
          <w:tcPr>
            <w:tcW w:w="1185" w:type="dxa"/>
          </w:tcPr>
          <w:p w:rsidR="007C5447" w:rsidRDefault="00F6308C">
            <w:pPr>
              <w:pStyle w:val="TableParagraph"/>
              <w:spacing w:before="98"/>
              <w:ind w:right="195"/>
              <w:rPr>
                <w:sz w:val="20"/>
              </w:rPr>
            </w:pPr>
            <w:r>
              <w:rPr>
                <w:sz w:val="20"/>
              </w:rPr>
              <w:t>187</w:t>
            </w:r>
          </w:p>
        </w:tc>
        <w:tc>
          <w:tcPr>
            <w:tcW w:w="1187" w:type="dxa"/>
          </w:tcPr>
          <w:p w:rsidR="007C5447" w:rsidRDefault="00F6308C">
            <w:pPr>
              <w:pStyle w:val="TableParagraph"/>
              <w:spacing w:before="98"/>
              <w:ind w:right="192"/>
              <w:rPr>
                <w:sz w:val="20"/>
              </w:rPr>
            </w:pPr>
            <w:r>
              <w:rPr>
                <w:sz w:val="20"/>
              </w:rPr>
              <w:t>207</w:t>
            </w:r>
          </w:p>
        </w:tc>
      </w:tr>
      <w:tr w:rsidR="007C5447">
        <w:trPr>
          <w:trHeight w:val="426"/>
        </w:trPr>
        <w:tc>
          <w:tcPr>
            <w:tcW w:w="5689" w:type="dxa"/>
          </w:tcPr>
          <w:p w:rsidR="007C5447" w:rsidRDefault="00F6308C">
            <w:pPr>
              <w:pStyle w:val="TableParagraph"/>
              <w:spacing w:before="98"/>
              <w:ind w:left="107"/>
              <w:jc w:val="left"/>
              <w:rPr>
                <w:sz w:val="20"/>
              </w:rPr>
            </w:pPr>
            <w:r>
              <w:rPr>
                <w:sz w:val="20"/>
              </w:rPr>
              <w:t>Supply to Puducherry</w:t>
            </w:r>
          </w:p>
        </w:tc>
        <w:tc>
          <w:tcPr>
            <w:tcW w:w="1370" w:type="dxa"/>
          </w:tcPr>
          <w:p w:rsidR="007C5447" w:rsidRDefault="007C5447">
            <w:pPr>
              <w:pStyle w:val="TableParagraph"/>
              <w:jc w:val="left"/>
              <w:rPr>
                <w:sz w:val="20"/>
              </w:rPr>
            </w:pPr>
          </w:p>
        </w:tc>
        <w:tc>
          <w:tcPr>
            <w:tcW w:w="1186" w:type="dxa"/>
          </w:tcPr>
          <w:p w:rsidR="007C5447" w:rsidRDefault="00F6308C">
            <w:pPr>
              <w:pStyle w:val="TableParagraph"/>
              <w:spacing w:before="98"/>
              <w:ind w:right="196"/>
              <w:rPr>
                <w:sz w:val="20"/>
              </w:rPr>
            </w:pPr>
            <w:r>
              <w:rPr>
                <w:sz w:val="20"/>
              </w:rPr>
              <w:t>188</w:t>
            </w:r>
          </w:p>
        </w:tc>
        <w:tc>
          <w:tcPr>
            <w:tcW w:w="1183" w:type="dxa"/>
          </w:tcPr>
          <w:p w:rsidR="007C5447" w:rsidRDefault="00F6308C">
            <w:pPr>
              <w:pStyle w:val="TableParagraph"/>
              <w:spacing w:before="98"/>
              <w:ind w:right="195"/>
              <w:rPr>
                <w:sz w:val="20"/>
              </w:rPr>
            </w:pPr>
            <w:r>
              <w:rPr>
                <w:sz w:val="20"/>
              </w:rPr>
              <w:t>188</w:t>
            </w:r>
          </w:p>
        </w:tc>
        <w:tc>
          <w:tcPr>
            <w:tcW w:w="1188" w:type="dxa"/>
          </w:tcPr>
          <w:p w:rsidR="007C5447" w:rsidRDefault="00F6308C">
            <w:pPr>
              <w:pStyle w:val="TableParagraph"/>
              <w:spacing w:before="98"/>
              <w:ind w:right="195"/>
              <w:rPr>
                <w:sz w:val="20"/>
              </w:rPr>
            </w:pPr>
            <w:r>
              <w:rPr>
                <w:sz w:val="20"/>
              </w:rPr>
              <w:t>188</w:t>
            </w:r>
          </w:p>
        </w:tc>
        <w:tc>
          <w:tcPr>
            <w:tcW w:w="1186" w:type="dxa"/>
          </w:tcPr>
          <w:p w:rsidR="007C5447" w:rsidRDefault="00F6308C">
            <w:pPr>
              <w:pStyle w:val="TableParagraph"/>
              <w:spacing w:before="98"/>
              <w:ind w:right="199"/>
              <w:rPr>
                <w:sz w:val="20"/>
              </w:rPr>
            </w:pPr>
            <w:r>
              <w:rPr>
                <w:w w:val="99"/>
                <w:sz w:val="20"/>
              </w:rPr>
              <w:t>-</w:t>
            </w:r>
          </w:p>
        </w:tc>
        <w:tc>
          <w:tcPr>
            <w:tcW w:w="1185" w:type="dxa"/>
          </w:tcPr>
          <w:p w:rsidR="007C5447" w:rsidRDefault="00F6308C">
            <w:pPr>
              <w:pStyle w:val="TableParagraph"/>
              <w:spacing w:before="98"/>
              <w:ind w:right="198"/>
              <w:rPr>
                <w:sz w:val="20"/>
              </w:rPr>
            </w:pPr>
            <w:r>
              <w:rPr>
                <w:w w:val="99"/>
                <w:sz w:val="20"/>
              </w:rPr>
              <w:t>-</w:t>
            </w:r>
          </w:p>
        </w:tc>
        <w:tc>
          <w:tcPr>
            <w:tcW w:w="1187" w:type="dxa"/>
          </w:tcPr>
          <w:p w:rsidR="007C5447" w:rsidRDefault="00F6308C">
            <w:pPr>
              <w:pStyle w:val="TableParagraph"/>
              <w:spacing w:before="98"/>
              <w:ind w:right="195"/>
              <w:rPr>
                <w:sz w:val="20"/>
              </w:rPr>
            </w:pPr>
            <w:r>
              <w:rPr>
                <w:w w:val="99"/>
                <w:sz w:val="20"/>
              </w:rPr>
              <w:t>-</w:t>
            </w:r>
          </w:p>
        </w:tc>
      </w:tr>
      <w:tr w:rsidR="007C5447">
        <w:trPr>
          <w:trHeight w:val="426"/>
        </w:trPr>
        <w:tc>
          <w:tcPr>
            <w:tcW w:w="5689" w:type="dxa"/>
          </w:tcPr>
          <w:p w:rsidR="007C5447" w:rsidRDefault="00F6308C">
            <w:pPr>
              <w:pStyle w:val="TableParagraph"/>
              <w:spacing w:before="98"/>
              <w:ind w:left="107"/>
              <w:jc w:val="left"/>
              <w:rPr>
                <w:b/>
                <w:sz w:val="20"/>
              </w:rPr>
            </w:pPr>
            <w:r>
              <w:rPr>
                <w:b/>
                <w:sz w:val="20"/>
              </w:rPr>
              <w:t>Total HT</w:t>
            </w:r>
          </w:p>
        </w:tc>
        <w:tc>
          <w:tcPr>
            <w:tcW w:w="1370" w:type="dxa"/>
          </w:tcPr>
          <w:p w:rsidR="007C5447" w:rsidRDefault="007C5447">
            <w:pPr>
              <w:pStyle w:val="TableParagraph"/>
              <w:jc w:val="left"/>
              <w:rPr>
                <w:sz w:val="20"/>
              </w:rPr>
            </w:pPr>
          </w:p>
        </w:tc>
        <w:tc>
          <w:tcPr>
            <w:tcW w:w="1186" w:type="dxa"/>
          </w:tcPr>
          <w:p w:rsidR="007C5447" w:rsidRDefault="00F6308C">
            <w:pPr>
              <w:pStyle w:val="TableParagraph"/>
              <w:spacing w:before="98"/>
              <w:ind w:right="199"/>
              <w:rPr>
                <w:b/>
                <w:sz w:val="20"/>
              </w:rPr>
            </w:pPr>
            <w:r>
              <w:rPr>
                <w:b/>
                <w:w w:val="95"/>
                <w:sz w:val="20"/>
              </w:rPr>
              <w:t>17,996</w:t>
            </w:r>
          </w:p>
        </w:tc>
        <w:tc>
          <w:tcPr>
            <w:tcW w:w="1183" w:type="dxa"/>
          </w:tcPr>
          <w:p w:rsidR="007C5447" w:rsidRDefault="00F6308C">
            <w:pPr>
              <w:pStyle w:val="TableParagraph"/>
              <w:spacing w:before="98"/>
              <w:ind w:right="196"/>
              <w:rPr>
                <w:b/>
                <w:sz w:val="20"/>
              </w:rPr>
            </w:pPr>
            <w:r>
              <w:rPr>
                <w:b/>
                <w:w w:val="95"/>
                <w:sz w:val="20"/>
              </w:rPr>
              <w:t>21,187</w:t>
            </w:r>
          </w:p>
        </w:tc>
        <w:tc>
          <w:tcPr>
            <w:tcW w:w="1188" w:type="dxa"/>
          </w:tcPr>
          <w:p w:rsidR="007C5447" w:rsidRDefault="00F6308C">
            <w:pPr>
              <w:pStyle w:val="TableParagraph"/>
              <w:spacing w:before="98"/>
              <w:ind w:right="196"/>
              <w:rPr>
                <w:b/>
                <w:sz w:val="20"/>
              </w:rPr>
            </w:pPr>
            <w:r>
              <w:rPr>
                <w:b/>
                <w:w w:val="95"/>
                <w:sz w:val="20"/>
              </w:rPr>
              <w:t>24,087</w:t>
            </w:r>
          </w:p>
        </w:tc>
        <w:tc>
          <w:tcPr>
            <w:tcW w:w="1186" w:type="dxa"/>
          </w:tcPr>
          <w:p w:rsidR="007C5447" w:rsidRDefault="00F6308C">
            <w:pPr>
              <w:pStyle w:val="TableParagraph"/>
              <w:spacing w:before="98"/>
              <w:ind w:right="198"/>
              <w:rPr>
                <w:b/>
                <w:sz w:val="20"/>
              </w:rPr>
            </w:pPr>
            <w:r>
              <w:rPr>
                <w:b/>
                <w:w w:val="95"/>
                <w:sz w:val="20"/>
              </w:rPr>
              <w:t>17,809</w:t>
            </w:r>
          </w:p>
        </w:tc>
        <w:tc>
          <w:tcPr>
            <w:tcW w:w="1185" w:type="dxa"/>
          </w:tcPr>
          <w:p w:rsidR="007C5447" w:rsidRDefault="00F6308C">
            <w:pPr>
              <w:pStyle w:val="TableParagraph"/>
              <w:spacing w:before="98"/>
              <w:ind w:right="197"/>
              <w:rPr>
                <w:b/>
                <w:sz w:val="20"/>
              </w:rPr>
            </w:pPr>
            <w:r>
              <w:rPr>
                <w:b/>
                <w:w w:val="95"/>
                <w:sz w:val="20"/>
              </w:rPr>
              <w:t>20,999</w:t>
            </w:r>
          </w:p>
        </w:tc>
        <w:tc>
          <w:tcPr>
            <w:tcW w:w="1187" w:type="dxa"/>
          </w:tcPr>
          <w:p w:rsidR="007C5447" w:rsidRDefault="00F6308C">
            <w:pPr>
              <w:pStyle w:val="TableParagraph"/>
              <w:spacing w:before="98"/>
              <w:ind w:right="194"/>
              <w:rPr>
                <w:b/>
                <w:sz w:val="20"/>
              </w:rPr>
            </w:pPr>
            <w:r>
              <w:rPr>
                <w:b/>
                <w:w w:val="95"/>
                <w:sz w:val="20"/>
              </w:rPr>
              <w:t>23,899</w:t>
            </w:r>
          </w:p>
        </w:tc>
      </w:tr>
      <w:tr w:rsidR="007C5447">
        <w:trPr>
          <w:trHeight w:val="426"/>
        </w:trPr>
        <w:tc>
          <w:tcPr>
            <w:tcW w:w="5689" w:type="dxa"/>
          </w:tcPr>
          <w:p w:rsidR="007C5447" w:rsidRDefault="00F6308C">
            <w:pPr>
              <w:pStyle w:val="TableParagraph"/>
              <w:spacing w:before="98"/>
              <w:ind w:left="107"/>
              <w:jc w:val="left"/>
              <w:rPr>
                <w:b/>
                <w:sz w:val="20"/>
              </w:rPr>
            </w:pPr>
            <w:r>
              <w:rPr>
                <w:b/>
                <w:sz w:val="20"/>
              </w:rPr>
              <w:t>LOW TENSION</w:t>
            </w:r>
          </w:p>
        </w:tc>
        <w:tc>
          <w:tcPr>
            <w:tcW w:w="1370" w:type="dxa"/>
          </w:tcPr>
          <w:p w:rsidR="007C5447" w:rsidRDefault="007C5447">
            <w:pPr>
              <w:pStyle w:val="TableParagraph"/>
              <w:jc w:val="left"/>
              <w:rPr>
                <w:sz w:val="20"/>
              </w:rPr>
            </w:pPr>
          </w:p>
        </w:tc>
        <w:tc>
          <w:tcPr>
            <w:tcW w:w="1186" w:type="dxa"/>
          </w:tcPr>
          <w:p w:rsidR="007C5447" w:rsidRDefault="007C5447">
            <w:pPr>
              <w:pStyle w:val="TableParagraph"/>
              <w:jc w:val="left"/>
              <w:rPr>
                <w:sz w:val="20"/>
              </w:rPr>
            </w:pPr>
          </w:p>
        </w:tc>
        <w:tc>
          <w:tcPr>
            <w:tcW w:w="1183" w:type="dxa"/>
          </w:tcPr>
          <w:p w:rsidR="007C5447" w:rsidRDefault="007C5447">
            <w:pPr>
              <w:pStyle w:val="TableParagraph"/>
              <w:jc w:val="left"/>
              <w:rPr>
                <w:sz w:val="20"/>
              </w:rPr>
            </w:pPr>
          </w:p>
        </w:tc>
        <w:tc>
          <w:tcPr>
            <w:tcW w:w="1188" w:type="dxa"/>
          </w:tcPr>
          <w:p w:rsidR="007C5447" w:rsidRDefault="007C5447">
            <w:pPr>
              <w:pStyle w:val="TableParagraph"/>
              <w:jc w:val="left"/>
              <w:rPr>
                <w:sz w:val="20"/>
              </w:rPr>
            </w:pPr>
          </w:p>
        </w:tc>
        <w:tc>
          <w:tcPr>
            <w:tcW w:w="1186" w:type="dxa"/>
          </w:tcPr>
          <w:p w:rsidR="007C5447" w:rsidRDefault="007C5447">
            <w:pPr>
              <w:pStyle w:val="TableParagraph"/>
              <w:jc w:val="left"/>
              <w:rPr>
                <w:sz w:val="20"/>
              </w:rPr>
            </w:pPr>
          </w:p>
        </w:tc>
        <w:tc>
          <w:tcPr>
            <w:tcW w:w="1185" w:type="dxa"/>
          </w:tcPr>
          <w:p w:rsidR="007C5447" w:rsidRDefault="007C5447">
            <w:pPr>
              <w:pStyle w:val="TableParagraph"/>
              <w:jc w:val="left"/>
              <w:rPr>
                <w:sz w:val="20"/>
              </w:rPr>
            </w:pPr>
          </w:p>
        </w:tc>
        <w:tc>
          <w:tcPr>
            <w:tcW w:w="1187" w:type="dxa"/>
          </w:tcPr>
          <w:p w:rsidR="007C5447" w:rsidRDefault="007C5447">
            <w:pPr>
              <w:pStyle w:val="TableParagraph"/>
              <w:jc w:val="left"/>
              <w:rPr>
                <w:sz w:val="20"/>
              </w:rPr>
            </w:pPr>
          </w:p>
        </w:tc>
      </w:tr>
      <w:tr w:rsidR="007C5447">
        <w:trPr>
          <w:trHeight w:val="426"/>
        </w:trPr>
        <w:tc>
          <w:tcPr>
            <w:tcW w:w="5689" w:type="dxa"/>
          </w:tcPr>
          <w:p w:rsidR="007C5447" w:rsidRDefault="00F6308C">
            <w:pPr>
              <w:pStyle w:val="TableParagraph"/>
              <w:spacing w:before="98"/>
              <w:ind w:left="107"/>
              <w:jc w:val="left"/>
              <w:rPr>
                <w:sz w:val="20"/>
              </w:rPr>
            </w:pPr>
            <w:r>
              <w:rPr>
                <w:sz w:val="20"/>
              </w:rPr>
              <w:t>Domestic, Handloom, etc.</w:t>
            </w:r>
          </w:p>
        </w:tc>
        <w:tc>
          <w:tcPr>
            <w:tcW w:w="1370" w:type="dxa"/>
          </w:tcPr>
          <w:p w:rsidR="007C5447" w:rsidRDefault="00F6308C">
            <w:pPr>
              <w:pStyle w:val="TableParagraph"/>
              <w:spacing w:before="98"/>
              <w:ind w:left="348" w:right="340"/>
              <w:jc w:val="center"/>
              <w:rPr>
                <w:sz w:val="20"/>
              </w:rPr>
            </w:pPr>
            <w:r>
              <w:rPr>
                <w:sz w:val="20"/>
              </w:rPr>
              <w:t>IA</w:t>
            </w:r>
          </w:p>
        </w:tc>
        <w:tc>
          <w:tcPr>
            <w:tcW w:w="1186" w:type="dxa"/>
          </w:tcPr>
          <w:p w:rsidR="007C5447" w:rsidRDefault="00F6308C">
            <w:pPr>
              <w:pStyle w:val="TableParagraph"/>
              <w:spacing w:before="98"/>
              <w:ind w:right="199"/>
              <w:rPr>
                <w:sz w:val="20"/>
              </w:rPr>
            </w:pPr>
            <w:r>
              <w:rPr>
                <w:w w:val="95"/>
                <w:sz w:val="20"/>
              </w:rPr>
              <w:t>25,368</w:t>
            </w:r>
          </w:p>
        </w:tc>
        <w:tc>
          <w:tcPr>
            <w:tcW w:w="1183" w:type="dxa"/>
          </w:tcPr>
          <w:p w:rsidR="007C5447" w:rsidRDefault="00F6308C">
            <w:pPr>
              <w:pStyle w:val="TableParagraph"/>
              <w:spacing w:before="98"/>
              <w:ind w:right="196"/>
              <w:rPr>
                <w:sz w:val="20"/>
              </w:rPr>
            </w:pPr>
            <w:r>
              <w:rPr>
                <w:w w:val="95"/>
                <w:sz w:val="20"/>
              </w:rPr>
              <w:t>26,367</w:t>
            </w:r>
          </w:p>
        </w:tc>
        <w:tc>
          <w:tcPr>
            <w:tcW w:w="1188" w:type="dxa"/>
          </w:tcPr>
          <w:p w:rsidR="007C5447" w:rsidRDefault="00F6308C">
            <w:pPr>
              <w:pStyle w:val="TableParagraph"/>
              <w:spacing w:before="98"/>
              <w:ind w:right="196"/>
              <w:rPr>
                <w:sz w:val="20"/>
              </w:rPr>
            </w:pPr>
            <w:r>
              <w:rPr>
                <w:w w:val="95"/>
                <w:sz w:val="20"/>
              </w:rPr>
              <w:t>27,422</w:t>
            </w:r>
          </w:p>
        </w:tc>
        <w:tc>
          <w:tcPr>
            <w:tcW w:w="1186" w:type="dxa"/>
          </w:tcPr>
          <w:p w:rsidR="007C5447" w:rsidRDefault="00F6308C">
            <w:pPr>
              <w:pStyle w:val="TableParagraph"/>
              <w:spacing w:before="98"/>
              <w:ind w:right="198"/>
              <w:rPr>
                <w:sz w:val="20"/>
              </w:rPr>
            </w:pPr>
            <w:r>
              <w:rPr>
                <w:w w:val="95"/>
                <w:sz w:val="20"/>
              </w:rPr>
              <w:t>25,368</w:t>
            </w:r>
          </w:p>
        </w:tc>
        <w:tc>
          <w:tcPr>
            <w:tcW w:w="1185" w:type="dxa"/>
          </w:tcPr>
          <w:p w:rsidR="007C5447" w:rsidRDefault="00F6308C">
            <w:pPr>
              <w:pStyle w:val="TableParagraph"/>
              <w:spacing w:before="98"/>
              <w:ind w:right="197"/>
              <w:rPr>
                <w:sz w:val="20"/>
              </w:rPr>
            </w:pPr>
            <w:r>
              <w:rPr>
                <w:w w:val="95"/>
                <w:sz w:val="20"/>
              </w:rPr>
              <w:t>26,367</w:t>
            </w:r>
          </w:p>
        </w:tc>
        <w:tc>
          <w:tcPr>
            <w:tcW w:w="1187" w:type="dxa"/>
          </w:tcPr>
          <w:p w:rsidR="007C5447" w:rsidRDefault="00F6308C">
            <w:pPr>
              <w:pStyle w:val="TableParagraph"/>
              <w:spacing w:before="98"/>
              <w:ind w:right="194"/>
              <w:rPr>
                <w:sz w:val="20"/>
              </w:rPr>
            </w:pPr>
            <w:r>
              <w:rPr>
                <w:w w:val="95"/>
                <w:sz w:val="20"/>
              </w:rPr>
              <w:t>27,422</w:t>
            </w:r>
          </w:p>
        </w:tc>
      </w:tr>
      <w:tr w:rsidR="007C5447">
        <w:trPr>
          <w:trHeight w:val="427"/>
        </w:trPr>
        <w:tc>
          <w:tcPr>
            <w:tcW w:w="5689" w:type="dxa"/>
          </w:tcPr>
          <w:p w:rsidR="007C5447" w:rsidRDefault="00F6308C">
            <w:pPr>
              <w:pStyle w:val="TableParagraph"/>
              <w:spacing w:before="99"/>
              <w:ind w:left="107"/>
              <w:jc w:val="left"/>
              <w:rPr>
                <w:sz w:val="20"/>
              </w:rPr>
            </w:pPr>
            <w:r>
              <w:rPr>
                <w:sz w:val="20"/>
              </w:rPr>
              <w:t>Huts in Village panchayats, TAHDCO etc.</w:t>
            </w:r>
          </w:p>
        </w:tc>
        <w:tc>
          <w:tcPr>
            <w:tcW w:w="1370" w:type="dxa"/>
          </w:tcPr>
          <w:p w:rsidR="007C5447" w:rsidRDefault="00F6308C">
            <w:pPr>
              <w:pStyle w:val="TableParagraph"/>
              <w:spacing w:before="99"/>
              <w:ind w:left="348" w:right="343"/>
              <w:jc w:val="center"/>
              <w:rPr>
                <w:sz w:val="20"/>
              </w:rPr>
            </w:pPr>
            <w:r>
              <w:rPr>
                <w:sz w:val="20"/>
              </w:rPr>
              <w:t>IB*</w:t>
            </w:r>
          </w:p>
        </w:tc>
        <w:tc>
          <w:tcPr>
            <w:tcW w:w="1186" w:type="dxa"/>
          </w:tcPr>
          <w:p w:rsidR="007C5447" w:rsidRDefault="00F6308C">
            <w:pPr>
              <w:pStyle w:val="TableParagraph"/>
              <w:spacing w:before="99"/>
              <w:ind w:right="196"/>
              <w:rPr>
                <w:sz w:val="20"/>
              </w:rPr>
            </w:pPr>
            <w:r>
              <w:rPr>
                <w:sz w:val="20"/>
              </w:rPr>
              <w:t>449</w:t>
            </w:r>
          </w:p>
        </w:tc>
        <w:tc>
          <w:tcPr>
            <w:tcW w:w="1183" w:type="dxa"/>
          </w:tcPr>
          <w:p w:rsidR="007C5447" w:rsidRDefault="00F6308C">
            <w:pPr>
              <w:pStyle w:val="TableParagraph"/>
              <w:spacing w:before="99"/>
              <w:ind w:right="195"/>
              <w:rPr>
                <w:sz w:val="20"/>
              </w:rPr>
            </w:pPr>
            <w:r>
              <w:rPr>
                <w:sz w:val="20"/>
              </w:rPr>
              <w:t>458</w:t>
            </w:r>
          </w:p>
        </w:tc>
        <w:tc>
          <w:tcPr>
            <w:tcW w:w="1188" w:type="dxa"/>
          </w:tcPr>
          <w:p w:rsidR="007C5447" w:rsidRDefault="00F6308C">
            <w:pPr>
              <w:pStyle w:val="TableParagraph"/>
              <w:spacing w:before="99"/>
              <w:ind w:right="195"/>
              <w:rPr>
                <w:sz w:val="20"/>
              </w:rPr>
            </w:pPr>
            <w:r>
              <w:rPr>
                <w:sz w:val="20"/>
              </w:rPr>
              <w:t>467</w:t>
            </w:r>
          </w:p>
        </w:tc>
        <w:tc>
          <w:tcPr>
            <w:tcW w:w="1186" w:type="dxa"/>
          </w:tcPr>
          <w:p w:rsidR="007C5447" w:rsidRDefault="00F6308C">
            <w:pPr>
              <w:pStyle w:val="TableParagraph"/>
              <w:spacing w:before="99"/>
              <w:ind w:right="196"/>
              <w:rPr>
                <w:sz w:val="20"/>
              </w:rPr>
            </w:pPr>
            <w:r>
              <w:rPr>
                <w:sz w:val="20"/>
              </w:rPr>
              <w:t>619</w:t>
            </w:r>
          </w:p>
        </w:tc>
        <w:tc>
          <w:tcPr>
            <w:tcW w:w="1185" w:type="dxa"/>
          </w:tcPr>
          <w:p w:rsidR="007C5447" w:rsidRDefault="00F6308C">
            <w:pPr>
              <w:pStyle w:val="TableParagraph"/>
              <w:spacing w:before="99"/>
              <w:ind w:right="195"/>
              <w:rPr>
                <w:sz w:val="20"/>
              </w:rPr>
            </w:pPr>
            <w:r>
              <w:rPr>
                <w:sz w:val="20"/>
              </w:rPr>
              <w:t>659</w:t>
            </w:r>
          </w:p>
        </w:tc>
        <w:tc>
          <w:tcPr>
            <w:tcW w:w="1187" w:type="dxa"/>
          </w:tcPr>
          <w:p w:rsidR="007C5447" w:rsidRDefault="00F6308C">
            <w:pPr>
              <w:pStyle w:val="TableParagraph"/>
              <w:spacing w:before="99"/>
              <w:ind w:right="192"/>
              <w:rPr>
                <w:sz w:val="20"/>
              </w:rPr>
            </w:pPr>
            <w:r>
              <w:rPr>
                <w:sz w:val="20"/>
              </w:rPr>
              <w:t>699</w:t>
            </w:r>
          </w:p>
        </w:tc>
      </w:tr>
      <w:tr w:rsidR="007C5447">
        <w:trPr>
          <w:trHeight w:val="426"/>
        </w:trPr>
        <w:tc>
          <w:tcPr>
            <w:tcW w:w="5689" w:type="dxa"/>
          </w:tcPr>
          <w:p w:rsidR="007C5447" w:rsidRDefault="00F6308C">
            <w:pPr>
              <w:pStyle w:val="TableParagraph"/>
              <w:spacing w:before="98"/>
              <w:ind w:left="107"/>
              <w:jc w:val="left"/>
              <w:rPr>
                <w:sz w:val="20"/>
              </w:rPr>
            </w:pPr>
            <w:r>
              <w:rPr>
                <w:sz w:val="20"/>
              </w:rPr>
              <w:t>Bulk Supply</w:t>
            </w:r>
          </w:p>
        </w:tc>
        <w:tc>
          <w:tcPr>
            <w:tcW w:w="1370" w:type="dxa"/>
          </w:tcPr>
          <w:p w:rsidR="007C5447" w:rsidRDefault="00F6308C">
            <w:pPr>
              <w:pStyle w:val="TableParagraph"/>
              <w:spacing w:before="98"/>
              <w:ind w:left="348" w:right="342"/>
              <w:jc w:val="center"/>
              <w:rPr>
                <w:sz w:val="20"/>
              </w:rPr>
            </w:pPr>
            <w:r>
              <w:rPr>
                <w:sz w:val="20"/>
              </w:rPr>
              <w:t>IC</w:t>
            </w:r>
          </w:p>
        </w:tc>
        <w:tc>
          <w:tcPr>
            <w:tcW w:w="1186" w:type="dxa"/>
          </w:tcPr>
          <w:p w:rsidR="007C5447" w:rsidRDefault="00F6308C">
            <w:pPr>
              <w:pStyle w:val="TableParagraph"/>
              <w:spacing w:before="98"/>
              <w:ind w:right="196"/>
              <w:rPr>
                <w:sz w:val="20"/>
              </w:rPr>
            </w:pPr>
            <w:r>
              <w:rPr>
                <w:sz w:val="20"/>
              </w:rPr>
              <w:t>11</w:t>
            </w:r>
          </w:p>
        </w:tc>
        <w:tc>
          <w:tcPr>
            <w:tcW w:w="1183" w:type="dxa"/>
          </w:tcPr>
          <w:p w:rsidR="007C5447" w:rsidRDefault="00F6308C">
            <w:pPr>
              <w:pStyle w:val="TableParagraph"/>
              <w:spacing w:before="98"/>
              <w:ind w:right="195"/>
              <w:rPr>
                <w:sz w:val="20"/>
              </w:rPr>
            </w:pPr>
            <w:r>
              <w:rPr>
                <w:sz w:val="20"/>
              </w:rPr>
              <w:t>11</w:t>
            </w:r>
          </w:p>
        </w:tc>
        <w:tc>
          <w:tcPr>
            <w:tcW w:w="1188" w:type="dxa"/>
          </w:tcPr>
          <w:p w:rsidR="007C5447" w:rsidRDefault="00F6308C">
            <w:pPr>
              <w:pStyle w:val="TableParagraph"/>
              <w:spacing w:before="98"/>
              <w:ind w:right="195"/>
              <w:rPr>
                <w:sz w:val="20"/>
              </w:rPr>
            </w:pPr>
            <w:r>
              <w:rPr>
                <w:sz w:val="20"/>
              </w:rPr>
              <w:t>12</w:t>
            </w:r>
          </w:p>
        </w:tc>
        <w:tc>
          <w:tcPr>
            <w:tcW w:w="1186" w:type="dxa"/>
          </w:tcPr>
          <w:p w:rsidR="007C5447" w:rsidRDefault="00F6308C">
            <w:pPr>
              <w:pStyle w:val="TableParagraph"/>
              <w:spacing w:before="98"/>
              <w:ind w:right="196"/>
              <w:rPr>
                <w:sz w:val="20"/>
              </w:rPr>
            </w:pPr>
            <w:r>
              <w:rPr>
                <w:sz w:val="20"/>
              </w:rPr>
              <w:t>11</w:t>
            </w:r>
          </w:p>
        </w:tc>
        <w:tc>
          <w:tcPr>
            <w:tcW w:w="1185" w:type="dxa"/>
          </w:tcPr>
          <w:p w:rsidR="007C5447" w:rsidRDefault="00F6308C">
            <w:pPr>
              <w:pStyle w:val="TableParagraph"/>
              <w:spacing w:before="98"/>
              <w:ind w:right="195"/>
              <w:rPr>
                <w:sz w:val="20"/>
              </w:rPr>
            </w:pPr>
            <w:r>
              <w:rPr>
                <w:sz w:val="20"/>
              </w:rPr>
              <w:t>11</w:t>
            </w:r>
          </w:p>
        </w:tc>
        <w:tc>
          <w:tcPr>
            <w:tcW w:w="1187" w:type="dxa"/>
          </w:tcPr>
          <w:p w:rsidR="007C5447" w:rsidRDefault="00F6308C">
            <w:pPr>
              <w:pStyle w:val="TableParagraph"/>
              <w:spacing w:before="98"/>
              <w:ind w:right="192"/>
              <w:rPr>
                <w:sz w:val="20"/>
              </w:rPr>
            </w:pPr>
            <w:r>
              <w:rPr>
                <w:sz w:val="20"/>
              </w:rPr>
              <w:t>12</w:t>
            </w:r>
          </w:p>
        </w:tc>
      </w:tr>
      <w:tr w:rsidR="007C5447">
        <w:trPr>
          <w:trHeight w:val="426"/>
        </w:trPr>
        <w:tc>
          <w:tcPr>
            <w:tcW w:w="5689" w:type="dxa"/>
          </w:tcPr>
          <w:p w:rsidR="007C5447" w:rsidRDefault="00F6308C">
            <w:pPr>
              <w:pStyle w:val="TableParagraph"/>
              <w:spacing w:before="98"/>
              <w:ind w:left="107"/>
              <w:jc w:val="left"/>
              <w:rPr>
                <w:sz w:val="20"/>
              </w:rPr>
            </w:pPr>
            <w:r>
              <w:rPr>
                <w:sz w:val="20"/>
              </w:rPr>
              <w:t>Public Lighting and Public Water Supply &amp; Sewerage</w:t>
            </w:r>
          </w:p>
        </w:tc>
        <w:tc>
          <w:tcPr>
            <w:tcW w:w="1370" w:type="dxa"/>
          </w:tcPr>
          <w:p w:rsidR="007C5447" w:rsidRDefault="00F6308C">
            <w:pPr>
              <w:pStyle w:val="TableParagraph"/>
              <w:spacing w:before="98"/>
              <w:ind w:left="348" w:right="340"/>
              <w:jc w:val="center"/>
              <w:rPr>
                <w:sz w:val="20"/>
              </w:rPr>
            </w:pPr>
            <w:r>
              <w:rPr>
                <w:sz w:val="20"/>
              </w:rPr>
              <w:t>IIA</w:t>
            </w:r>
          </w:p>
        </w:tc>
        <w:tc>
          <w:tcPr>
            <w:tcW w:w="1186" w:type="dxa"/>
          </w:tcPr>
          <w:p w:rsidR="007C5447" w:rsidRDefault="00F6308C">
            <w:pPr>
              <w:pStyle w:val="TableParagraph"/>
              <w:spacing w:before="98"/>
              <w:ind w:right="198"/>
              <w:rPr>
                <w:sz w:val="20"/>
              </w:rPr>
            </w:pPr>
            <w:r>
              <w:rPr>
                <w:sz w:val="20"/>
              </w:rPr>
              <w:t>2,567</w:t>
            </w:r>
          </w:p>
        </w:tc>
        <w:tc>
          <w:tcPr>
            <w:tcW w:w="1183" w:type="dxa"/>
          </w:tcPr>
          <w:p w:rsidR="007C5447" w:rsidRDefault="00F6308C">
            <w:pPr>
              <w:pStyle w:val="TableParagraph"/>
              <w:spacing w:before="98"/>
              <w:ind w:right="196"/>
              <w:rPr>
                <w:sz w:val="20"/>
              </w:rPr>
            </w:pPr>
            <w:r>
              <w:rPr>
                <w:sz w:val="20"/>
              </w:rPr>
              <w:t>2,873</w:t>
            </w:r>
          </w:p>
        </w:tc>
        <w:tc>
          <w:tcPr>
            <w:tcW w:w="1188" w:type="dxa"/>
          </w:tcPr>
          <w:p w:rsidR="007C5447" w:rsidRDefault="00F6308C">
            <w:pPr>
              <w:pStyle w:val="TableParagraph"/>
              <w:spacing w:before="98"/>
              <w:ind w:right="196"/>
              <w:rPr>
                <w:sz w:val="20"/>
              </w:rPr>
            </w:pPr>
            <w:r>
              <w:rPr>
                <w:sz w:val="20"/>
              </w:rPr>
              <w:t>3,215</w:t>
            </w:r>
          </w:p>
        </w:tc>
        <w:tc>
          <w:tcPr>
            <w:tcW w:w="1186" w:type="dxa"/>
          </w:tcPr>
          <w:p w:rsidR="007C5447" w:rsidRDefault="00F6308C">
            <w:pPr>
              <w:pStyle w:val="TableParagraph"/>
              <w:spacing w:before="98"/>
              <w:ind w:right="198"/>
              <w:rPr>
                <w:sz w:val="20"/>
              </w:rPr>
            </w:pPr>
            <w:r>
              <w:rPr>
                <w:sz w:val="20"/>
              </w:rPr>
              <w:t>2,567</w:t>
            </w:r>
          </w:p>
        </w:tc>
        <w:tc>
          <w:tcPr>
            <w:tcW w:w="1185" w:type="dxa"/>
          </w:tcPr>
          <w:p w:rsidR="007C5447" w:rsidRDefault="00F6308C">
            <w:pPr>
              <w:pStyle w:val="TableParagraph"/>
              <w:spacing w:before="98"/>
              <w:ind w:right="197"/>
              <w:rPr>
                <w:sz w:val="20"/>
              </w:rPr>
            </w:pPr>
            <w:r>
              <w:rPr>
                <w:sz w:val="20"/>
              </w:rPr>
              <w:t>2,873</w:t>
            </w:r>
          </w:p>
        </w:tc>
        <w:tc>
          <w:tcPr>
            <w:tcW w:w="1187" w:type="dxa"/>
          </w:tcPr>
          <w:p w:rsidR="007C5447" w:rsidRDefault="00F6308C">
            <w:pPr>
              <w:pStyle w:val="TableParagraph"/>
              <w:spacing w:before="98"/>
              <w:ind w:right="194"/>
              <w:rPr>
                <w:sz w:val="20"/>
              </w:rPr>
            </w:pPr>
            <w:r>
              <w:rPr>
                <w:sz w:val="20"/>
              </w:rPr>
              <w:t>3,215</w:t>
            </w:r>
          </w:p>
        </w:tc>
      </w:tr>
      <w:tr w:rsidR="007C5447">
        <w:trPr>
          <w:trHeight w:val="429"/>
        </w:trPr>
        <w:tc>
          <w:tcPr>
            <w:tcW w:w="5689" w:type="dxa"/>
          </w:tcPr>
          <w:p w:rsidR="007C5447" w:rsidRDefault="00F6308C">
            <w:pPr>
              <w:pStyle w:val="TableParagraph"/>
              <w:spacing w:before="101"/>
              <w:ind w:left="107"/>
              <w:jc w:val="left"/>
              <w:rPr>
                <w:sz w:val="20"/>
              </w:rPr>
            </w:pPr>
            <w:r>
              <w:rPr>
                <w:sz w:val="20"/>
              </w:rPr>
              <w:t>Govt. Educational Institutions., Hospitals, Water supply etc.</w:t>
            </w:r>
          </w:p>
        </w:tc>
        <w:tc>
          <w:tcPr>
            <w:tcW w:w="1370" w:type="dxa"/>
          </w:tcPr>
          <w:p w:rsidR="007C5447" w:rsidRDefault="00F6308C">
            <w:pPr>
              <w:pStyle w:val="TableParagraph"/>
              <w:spacing w:before="101"/>
              <w:ind w:left="348" w:right="343"/>
              <w:jc w:val="center"/>
              <w:rPr>
                <w:sz w:val="20"/>
              </w:rPr>
            </w:pPr>
            <w:r>
              <w:rPr>
                <w:sz w:val="20"/>
              </w:rPr>
              <w:t>IIB (1)</w:t>
            </w:r>
          </w:p>
        </w:tc>
        <w:tc>
          <w:tcPr>
            <w:tcW w:w="1186" w:type="dxa"/>
          </w:tcPr>
          <w:p w:rsidR="007C5447" w:rsidRDefault="00F6308C">
            <w:pPr>
              <w:pStyle w:val="TableParagraph"/>
              <w:spacing w:before="101"/>
              <w:ind w:right="196"/>
              <w:rPr>
                <w:sz w:val="20"/>
              </w:rPr>
            </w:pPr>
            <w:r>
              <w:rPr>
                <w:sz w:val="20"/>
              </w:rPr>
              <w:t>149</w:t>
            </w:r>
          </w:p>
        </w:tc>
        <w:tc>
          <w:tcPr>
            <w:tcW w:w="1183" w:type="dxa"/>
          </w:tcPr>
          <w:p w:rsidR="007C5447" w:rsidRDefault="00F6308C">
            <w:pPr>
              <w:pStyle w:val="TableParagraph"/>
              <w:spacing w:before="101"/>
              <w:ind w:right="195"/>
              <w:rPr>
                <w:sz w:val="20"/>
              </w:rPr>
            </w:pPr>
            <w:r>
              <w:rPr>
                <w:sz w:val="20"/>
              </w:rPr>
              <w:t>155</w:t>
            </w:r>
          </w:p>
        </w:tc>
        <w:tc>
          <w:tcPr>
            <w:tcW w:w="1188" w:type="dxa"/>
          </w:tcPr>
          <w:p w:rsidR="007C5447" w:rsidRDefault="00F6308C">
            <w:pPr>
              <w:pStyle w:val="TableParagraph"/>
              <w:spacing w:before="101"/>
              <w:ind w:right="195"/>
              <w:rPr>
                <w:sz w:val="20"/>
              </w:rPr>
            </w:pPr>
            <w:r>
              <w:rPr>
                <w:sz w:val="20"/>
              </w:rPr>
              <w:t>162</w:t>
            </w:r>
          </w:p>
        </w:tc>
        <w:tc>
          <w:tcPr>
            <w:tcW w:w="1186" w:type="dxa"/>
          </w:tcPr>
          <w:p w:rsidR="007C5447" w:rsidRDefault="00F6308C">
            <w:pPr>
              <w:pStyle w:val="TableParagraph"/>
              <w:spacing w:before="101"/>
              <w:ind w:right="196"/>
              <w:rPr>
                <w:sz w:val="20"/>
              </w:rPr>
            </w:pPr>
            <w:r>
              <w:rPr>
                <w:sz w:val="20"/>
              </w:rPr>
              <w:t>149</w:t>
            </w:r>
          </w:p>
        </w:tc>
        <w:tc>
          <w:tcPr>
            <w:tcW w:w="1185" w:type="dxa"/>
          </w:tcPr>
          <w:p w:rsidR="007C5447" w:rsidRDefault="00F6308C">
            <w:pPr>
              <w:pStyle w:val="TableParagraph"/>
              <w:spacing w:before="101"/>
              <w:ind w:right="195"/>
              <w:rPr>
                <w:sz w:val="20"/>
              </w:rPr>
            </w:pPr>
            <w:r>
              <w:rPr>
                <w:sz w:val="20"/>
              </w:rPr>
              <w:t>155</w:t>
            </w:r>
          </w:p>
        </w:tc>
        <w:tc>
          <w:tcPr>
            <w:tcW w:w="1187" w:type="dxa"/>
          </w:tcPr>
          <w:p w:rsidR="007C5447" w:rsidRDefault="00F6308C">
            <w:pPr>
              <w:pStyle w:val="TableParagraph"/>
              <w:spacing w:before="101"/>
              <w:ind w:right="192"/>
              <w:rPr>
                <w:sz w:val="20"/>
              </w:rPr>
            </w:pPr>
            <w:r>
              <w:rPr>
                <w:sz w:val="20"/>
              </w:rPr>
              <w:t>162</w:t>
            </w:r>
          </w:p>
        </w:tc>
      </w:tr>
    </w:tbl>
    <w:p w:rsidR="007C5447" w:rsidRDefault="007C5447">
      <w:pPr>
        <w:pStyle w:val="BodyText"/>
        <w:rPr>
          <w:b/>
          <w:sz w:val="20"/>
        </w:rPr>
      </w:pPr>
    </w:p>
    <w:p w:rsidR="007C5447" w:rsidRDefault="007C5447">
      <w:pPr>
        <w:pStyle w:val="BodyText"/>
        <w:rPr>
          <w:b/>
          <w:sz w:val="20"/>
        </w:rPr>
      </w:pPr>
    </w:p>
    <w:p w:rsidR="007C5447" w:rsidRDefault="00F6308C">
      <w:pPr>
        <w:pStyle w:val="BodyText"/>
        <w:spacing w:before="9"/>
        <w:rPr>
          <w:b/>
          <w:sz w:val="25"/>
        </w:rPr>
      </w:pPr>
      <w:r>
        <w:pict>
          <v:line id="_x0000_s1052" style="position:absolute;z-index:-251643904;mso-wrap-distance-left:0;mso-wrap-distance-right:0;mso-position-horizontal-relative:page" from="70.55pt,17.55pt" to="771.45pt,17.55pt" strokeweight="1.44pt">
            <w10:wrap type="topAndBottom" anchorx="page"/>
          </v:line>
        </w:pict>
      </w:r>
    </w:p>
    <w:p w:rsidR="007C5447" w:rsidRDefault="007C5447">
      <w:pPr>
        <w:rPr>
          <w:sz w:val="25"/>
        </w:rPr>
        <w:sectPr w:rsidR="007C5447">
          <w:footerReference w:type="default" r:id="rId44"/>
          <w:pgSz w:w="16840" w:h="11910" w:orient="landscape"/>
          <w:pgMar w:top="1100" w:right="1220" w:bottom="260" w:left="1220" w:header="0" w:footer="68" w:gutter="0"/>
          <w:cols w:space="720"/>
        </w:sectPr>
      </w:pPr>
    </w:p>
    <w:p w:rsidR="007C5447" w:rsidRDefault="007C5447">
      <w:pPr>
        <w:pStyle w:val="BodyText"/>
        <w:rPr>
          <w:sz w:val="2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89"/>
        <w:gridCol w:w="1370"/>
        <w:gridCol w:w="1186"/>
        <w:gridCol w:w="1183"/>
        <w:gridCol w:w="1188"/>
        <w:gridCol w:w="1186"/>
        <w:gridCol w:w="1185"/>
        <w:gridCol w:w="1187"/>
      </w:tblGrid>
      <w:tr w:rsidR="007C5447">
        <w:trPr>
          <w:trHeight w:val="426"/>
        </w:trPr>
        <w:tc>
          <w:tcPr>
            <w:tcW w:w="5689" w:type="dxa"/>
            <w:vMerge w:val="restart"/>
            <w:shd w:val="clear" w:color="auto" w:fill="F7C9AC"/>
          </w:tcPr>
          <w:p w:rsidR="007C5447" w:rsidRDefault="007C5447">
            <w:pPr>
              <w:pStyle w:val="TableParagraph"/>
              <w:spacing w:before="3"/>
              <w:jc w:val="left"/>
              <w:rPr>
                <w:sz w:val="30"/>
              </w:rPr>
            </w:pPr>
          </w:p>
          <w:p w:rsidR="007C5447" w:rsidRDefault="00F6308C">
            <w:pPr>
              <w:pStyle w:val="TableParagraph"/>
              <w:ind w:left="107"/>
              <w:jc w:val="left"/>
              <w:rPr>
                <w:b/>
                <w:sz w:val="20"/>
              </w:rPr>
            </w:pPr>
            <w:r>
              <w:rPr>
                <w:b/>
                <w:sz w:val="20"/>
              </w:rPr>
              <w:t>Consumer Category</w:t>
            </w:r>
          </w:p>
        </w:tc>
        <w:tc>
          <w:tcPr>
            <w:tcW w:w="1370" w:type="dxa"/>
            <w:vMerge w:val="restart"/>
            <w:shd w:val="clear" w:color="auto" w:fill="F7C9AC"/>
          </w:tcPr>
          <w:p w:rsidR="007C5447" w:rsidRDefault="007C5447">
            <w:pPr>
              <w:pStyle w:val="TableParagraph"/>
              <w:spacing w:before="3"/>
              <w:jc w:val="left"/>
              <w:rPr>
                <w:sz w:val="20"/>
              </w:rPr>
            </w:pPr>
          </w:p>
          <w:p w:rsidR="007C5447" w:rsidRDefault="00F6308C">
            <w:pPr>
              <w:pStyle w:val="TableParagraph"/>
              <w:ind w:left="107" w:right="444"/>
              <w:jc w:val="left"/>
              <w:rPr>
                <w:b/>
                <w:sz w:val="20"/>
              </w:rPr>
            </w:pPr>
            <w:r>
              <w:rPr>
                <w:b/>
                <w:sz w:val="20"/>
              </w:rPr>
              <w:t>Tariff Category</w:t>
            </w:r>
          </w:p>
        </w:tc>
        <w:tc>
          <w:tcPr>
            <w:tcW w:w="3557" w:type="dxa"/>
            <w:gridSpan w:val="3"/>
            <w:shd w:val="clear" w:color="auto" w:fill="F7C9AC"/>
          </w:tcPr>
          <w:p w:rsidR="007C5447" w:rsidRDefault="00F6308C">
            <w:pPr>
              <w:pStyle w:val="TableParagraph"/>
              <w:spacing w:before="98"/>
              <w:ind w:left="1178" w:right="1172"/>
              <w:jc w:val="center"/>
              <w:rPr>
                <w:b/>
                <w:sz w:val="20"/>
              </w:rPr>
            </w:pPr>
            <w:r>
              <w:rPr>
                <w:b/>
                <w:sz w:val="20"/>
              </w:rPr>
              <w:t>TANGEDCO</w:t>
            </w:r>
          </w:p>
        </w:tc>
        <w:tc>
          <w:tcPr>
            <w:tcW w:w="3558" w:type="dxa"/>
            <w:gridSpan w:val="3"/>
            <w:shd w:val="clear" w:color="auto" w:fill="F7C9AC"/>
          </w:tcPr>
          <w:p w:rsidR="007C5447" w:rsidRDefault="00F6308C">
            <w:pPr>
              <w:pStyle w:val="TableParagraph"/>
              <w:spacing w:before="98"/>
              <w:ind w:left="1230" w:right="1222"/>
              <w:jc w:val="center"/>
              <w:rPr>
                <w:b/>
                <w:sz w:val="20"/>
              </w:rPr>
            </w:pPr>
            <w:r>
              <w:rPr>
                <w:b/>
                <w:sz w:val="20"/>
              </w:rPr>
              <w:t>Commission</w:t>
            </w:r>
          </w:p>
        </w:tc>
      </w:tr>
      <w:tr w:rsidR="007C5447">
        <w:trPr>
          <w:trHeight w:val="489"/>
        </w:trPr>
        <w:tc>
          <w:tcPr>
            <w:tcW w:w="5689" w:type="dxa"/>
            <w:vMerge/>
            <w:tcBorders>
              <w:top w:val="nil"/>
            </w:tcBorders>
            <w:shd w:val="clear" w:color="auto" w:fill="F7C9AC"/>
          </w:tcPr>
          <w:p w:rsidR="007C5447" w:rsidRDefault="007C5447">
            <w:pPr>
              <w:rPr>
                <w:sz w:val="2"/>
                <w:szCs w:val="2"/>
              </w:rPr>
            </w:pPr>
          </w:p>
        </w:tc>
        <w:tc>
          <w:tcPr>
            <w:tcW w:w="1370" w:type="dxa"/>
            <w:vMerge/>
            <w:tcBorders>
              <w:top w:val="nil"/>
            </w:tcBorders>
            <w:shd w:val="clear" w:color="auto" w:fill="F7C9AC"/>
          </w:tcPr>
          <w:p w:rsidR="007C5447" w:rsidRDefault="007C5447">
            <w:pPr>
              <w:rPr>
                <w:sz w:val="2"/>
                <w:szCs w:val="2"/>
              </w:rPr>
            </w:pPr>
          </w:p>
        </w:tc>
        <w:tc>
          <w:tcPr>
            <w:tcW w:w="1186" w:type="dxa"/>
            <w:shd w:val="clear" w:color="auto" w:fill="F7C9AC"/>
          </w:tcPr>
          <w:p w:rsidR="007C5447" w:rsidRDefault="00F6308C">
            <w:pPr>
              <w:pStyle w:val="TableParagraph"/>
              <w:spacing w:before="14"/>
              <w:ind w:left="181" w:right="170"/>
              <w:jc w:val="center"/>
              <w:rPr>
                <w:b/>
                <w:sz w:val="20"/>
              </w:rPr>
            </w:pPr>
            <w:r>
              <w:rPr>
                <w:b/>
                <w:sz w:val="20"/>
              </w:rPr>
              <w:t>FY 2016-</w:t>
            </w:r>
          </w:p>
          <w:p w:rsidR="007C5447" w:rsidRDefault="00F6308C">
            <w:pPr>
              <w:pStyle w:val="TableParagraph"/>
              <w:spacing w:before="1" w:line="224" w:lineRule="exact"/>
              <w:ind w:left="180" w:right="170"/>
              <w:jc w:val="center"/>
              <w:rPr>
                <w:b/>
                <w:sz w:val="20"/>
              </w:rPr>
            </w:pPr>
            <w:r>
              <w:rPr>
                <w:b/>
                <w:sz w:val="20"/>
              </w:rPr>
              <w:t>17</w:t>
            </w:r>
          </w:p>
        </w:tc>
        <w:tc>
          <w:tcPr>
            <w:tcW w:w="1183" w:type="dxa"/>
            <w:shd w:val="clear" w:color="auto" w:fill="F7C9AC"/>
          </w:tcPr>
          <w:p w:rsidR="007C5447" w:rsidRDefault="00F6308C">
            <w:pPr>
              <w:pStyle w:val="TableParagraph"/>
              <w:spacing w:before="14"/>
              <w:ind w:left="181" w:right="167"/>
              <w:jc w:val="center"/>
              <w:rPr>
                <w:b/>
                <w:sz w:val="20"/>
              </w:rPr>
            </w:pPr>
            <w:r>
              <w:rPr>
                <w:b/>
                <w:sz w:val="20"/>
              </w:rPr>
              <w:t>FY 2017-</w:t>
            </w:r>
          </w:p>
          <w:p w:rsidR="007C5447" w:rsidRDefault="00F6308C">
            <w:pPr>
              <w:pStyle w:val="TableParagraph"/>
              <w:spacing w:before="1" w:line="224" w:lineRule="exact"/>
              <w:ind w:left="180" w:right="167"/>
              <w:jc w:val="center"/>
              <w:rPr>
                <w:b/>
                <w:sz w:val="20"/>
              </w:rPr>
            </w:pPr>
            <w:r>
              <w:rPr>
                <w:b/>
                <w:sz w:val="20"/>
              </w:rPr>
              <w:t>18</w:t>
            </w:r>
          </w:p>
        </w:tc>
        <w:tc>
          <w:tcPr>
            <w:tcW w:w="1188" w:type="dxa"/>
            <w:shd w:val="clear" w:color="auto" w:fill="F7C9AC"/>
          </w:tcPr>
          <w:p w:rsidR="007C5447" w:rsidRDefault="00F6308C">
            <w:pPr>
              <w:pStyle w:val="TableParagraph"/>
              <w:spacing w:before="14"/>
              <w:ind w:left="181" w:right="172"/>
              <w:jc w:val="center"/>
              <w:rPr>
                <w:b/>
                <w:sz w:val="20"/>
              </w:rPr>
            </w:pPr>
            <w:r>
              <w:rPr>
                <w:b/>
                <w:sz w:val="20"/>
              </w:rPr>
              <w:t>FY 2018-</w:t>
            </w:r>
          </w:p>
          <w:p w:rsidR="007C5447" w:rsidRDefault="00F6308C">
            <w:pPr>
              <w:pStyle w:val="TableParagraph"/>
              <w:spacing w:before="1" w:line="224" w:lineRule="exact"/>
              <w:ind w:left="181" w:right="168"/>
              <w:jc w:val="center"/>
              <w:rPr>
                <w:b/>
                <w:sz w:val="20"/>
              </w:rPr>
            </w:pPr>
            <w:r>
              <w:rPr>
                <w:b/>
                <w:sz w:val="20"/>
              </w:rPr>
              <w:t>19</w:t>
            </w:r>
          </w:p>
        </w:tc>
        <w:tc>
          <w:tcPr>
            <w:tcW w:w="1186" w:type="dxa"/>
            <w:shd w:val="clear" w:color="auto" w:fill="F7C9AC"/>
          </w:tcPr>
          <w:p w:rsidR="007C5447" w:rsidRDefault="00F6308C">
            <w:pPr>
              <w:pStyle w:val="TableParagraph"/>
              <w:spacing w:before="14"/>
              <w:ind w:left="181" w:right="169"/>
              <w:jc w:val="center"/>
              <w:rPr>
                <w:b/>
                <w:sz w:val="20"/>
              </w:rPr>
            </w:pPr>
            <w:r>
              <w:rPr>
                <w:b/>
                <w:sz w:val="20"/>
              </w:rPr>
              <w:t>FY 2016-</w:t>
            </w:r>
          </w:p>
          <w:p w:rsidR="007C5447" w:rsidRDefault="00F6308C">
            <w:pPr>
              <w:pStyle w:val="TableParagraph"/>
              <w:spacing w:before="1" w:line="224" w:lineRule="exact"/>
              <w:ind w:left="180" w:right="170"/>
              <w:jc w:val="center"/>
              <w:rPr>
                <w:b/>
                <w:sz w:val="20"/>
              </w:rPr>
            </w:pPr>
            <w:r>
              <w:rPr>
                <w:b/>
                <w:sz w:val="20"/>
              </w:rPr>
              <w:t>17</w:t>
            </w:r>
          </w:p>
        </w:tc>
        <w:tc>
          <w:tcPr>
            <w:tcW w:w="1185" w:type="dxa"/>
            <w:shd w:val="clear" w:color="auto" w:fill="F7C9AC"/>
          </w:tcPr>
          <w:p w:rsidR="007C5447" w:rsidRDefault="00F6308C">
            <w:pPr>
              <w:pStyle w:val="TableParagraph"/>
              <w:spacing w:before="14"/>
              <w:ind w:left="182" w:right="169"/>
              <w:jc w:val="center"/>
              <w:rPr>
                <w:b/>
                <w:sz w:val="20"/>
              </w:rPr>
            </w:pPr>
            <w:r>
              <w:rPr>
                <w:b/>
                <w:sz w:val="20"/>
              </w:rPr>
              <w:t>FY 2017-</w:t>
            </w:r>
          </w:p>
          <w:p w:rsidR="007C5447" w:rsidRDefault="00F6308C">
            <w:pPr>
              <w:pStyle w:val="TableParagraph"/>
              <w:spacing w:before="1" w:line="224" w:lineRule="exact"/>
              <w:ind w:left="180" w:right="169"/>
              <w:jc w:val="center"/>
              <w:rPr>
                <w:b/>
                <w:sz w:val="20"/>
              </w:rPr>
            </w:pPr>
            <w:r>
              <w:rPr>
                <w:b/>
                <w:sz w:val="20"/>
              </w:rPr>
              <w:t>18</w:t>
            </w:r>
          </w:p>
        </w:tc>
        <w:tc>
          <w:tcPr>
            <w:tcW w:w="1187" w:type="dxa"/>
            <w:shd w:val="clear" w:color="auto" w:fill="F7C9AC"/>
          </w:tcPr>
          <w:p w:rsidR="007C5447" w:rsidRDefault="00F6308C">
            <w:pPr>
              <w:pStyle w:val="TableParagraph"/>
              <w:spacing w:before="14"/>
              <w:ind w:left="182" w:right="170"/>
              <w:jc w:val="center"/>
              <w:rPr>
                <w:b/>
                <w:sz w:val="20"/>
              </w:rPr>
            </w:pPr>
            <w:r>
              <w:rPr>
                <w:b/>
                <w:sz w:val="20"/>
              </w:rPr>
              <w:t>FY 2018-</w:t>
            </w:r>
          </w:p>
          <w:p w:rsidR="007C5447" w:rsidRDefault="00F6308C">
            <w:pPr>
              <w:pStyle w:val="TableParagraph"/>
              <w:spacing w:before="1" w:line="224" w:lineRule="exact"/>
              <w:ind w:left="182" w:right="167"/>
              <w:jc w:val="center"/>
              <w:rPr>
                <w:b/>
                <w:sz w:val="20"/>
              </w:rPr>
            </w:pPr>
            <w:r>
              <w:rPr>
                <w:b/>
                <w:sz w:val="20"/>
              </w:rPr>
              <w:t>19</w:t>
            </w:r>
          </w:p>
        </w:tc>
      </w:tr>
      <w:tr w:rsidR="007C5447">
        <w:trPr>
          <w:trHeight w:val="426"/>
        </w:trPr>
        <w:tc>
          <w:tcPr>
            <w:tcW w:w="5689" w:type="dxa"/>
          </w:tcPr>
          <w:p w:rsidR="007C5447" w:rsidRDefault="00F6308C">
            <w:pPr>
              <w:pStyle w:val="TableParagraph"/>
              <w:spacing w:before="98"/>
              <w:ind w:left="107"/>
              <w:jc w:val="left"/>
              <w:rPr>
                <w:sz w:val="20"/>
              </w:rPr>
            </w:pPr>
            <w:r>
              <w:rPr>
                <w:sz w:val="20"/>
              </w:rPr>
              <w:t>Private Educational Institutions, Cinema theatre &amp; Studios</w:t>
            </w:r>
          </w:p>
        </w:tc>
        <w:tc>
          <w:tcPr>
            <w:tcW w:w="1370" w:type="dxa"/>
          </w:tcPr>
          <w:p w:rsidR="007C5447" w:rsidRDefault="00F6308C">
            <w:pPr>
              <w:pStyle w:val="TableParagraph"/>
              <w:spacing w:before="98"/>
              <w:ind w:left="348" w:right="343"/>
              <w:jc w:val="center"/>
              <w:rPr>
                <w:sz w:val="20"/>
              </w:rPr>
            </w:pPr>
            <w:r>
              <w:rPr>
                <w:sz w:val="20"/>
              </w:rPr>
              <w:t>IIB (2)</w:t>
            </w:r>
          </w:p>
        </w:tc>
        <w:tc>
          <w:tcPr>
            <w:tcW w:w="1186" w:type="dxa"/>
          </w:tcPr>
          <w:p w:rsidR="007C5447" w:rsidRDefault="00F6308C">
            <w:pPr>
              <w:pStyle w:val="TableParagraph"/>
              <w:spacing w:before="98"/>
              <w:ind w:right="196"/>
              <w:rPr>
                <w:sz w:val="20"/>
              </w:rPr>
            </w:pPr>
            <w:r>
              <w:rPr>
                <w:sz w:val="20"/>
              </w:rPr>
              <w:t>270</w:t>
            </w:r>
          </w:p>
        </w:tc>
        <w:tc>
          <w:tcPr>
            <w:tcW w:w="1183" w:type="dxa"/>
          </w:tcPr>
          <w:p w:rsidR="007C5447" w:rsidRDefault="00F6308C">
            <w:pPr>
              <w:pStyle w:val="TableParagraph"/>
              <w:spacing w:before="98"/>
              <w:ind w:right="195"/>
              <w:rPr>
                <w:sz w:val="20"/>
              </w:rPr>
            </w:pPr>
            <w:r>
              <w:rPr>
                <w:sz w:val="20"/>
              </w:rPr>
              <w:t>289</w:t>
            </w:r>
          </w:p>
        </w:tc>
        <w:tc>
          <w:tcPr>
            <w:tcW w:w="1188" w:type="dxa"/>
          </w:tcPr>
          <w:p w:rsidR="007C5447" w:rsidRDefault="00F6308C">
            <w:pPr>
              <w:pStyle w:val="TableParagraph"/>
              <w:spacing w:before="98"/>
              <w:ind w:right="195"/>
              <w:rPr>
                <w:sz w:val="20"/>
              </w:rPr>
            </w:pPr>
            <w:r>
              <w:rPr>
                <w:sz w:val="20"/>
              </w:rPr>
              <w:t>309</w:t>
            </w:r>
          </w:p>
        </w:tc>
        <w:tc>
          <w:tcPr>
            <w:tcW w:w="1186" w:type="dxa"/>
          </w:tcPr>
          <w:p w:rsidR="007C5447" w:rsidRDefault="00F6308C">
            <w:pPr>
              <w:pStyle w:val="TableParagraph"/>
              <w:spacing w:before="98"/>
              <w:ind w:right="196"/>
              <w:rPr>
                <w:sz w:val="20"/>
              </w:rPr>
            </w:pPr>
            <w:r>
              <w:rPr>
                <w:sz w:val="20"/>
              </w:rPr>
              <w:t>270</w:t>
            </w:r>
          </w:p>
        </w:tc>
        <w:tc>
          <w:tcPr>
            <w:tcW w:w="1185" w:type="dxa"/>
          </w:tcPr>
          <w:p w:rsidR="007C5447" w:rsidRDefault="00F6308C">
            <w:pPr>
              <w:pStyle w:val="TableParagraph"/>
              <w:spacing w:before="98"/>
              <w:ind w:right="195"/>
              <w:rPr>
                <w:sz w:val="20"/>
              </w:rPr>
            </w:pPr>
            <w:r>
              <w:rPr>
                <w:sz w:val="20"/>
              </w:rPr>
              <w:t>289</w:t>
            </w:r>
          </w:p>
        </w:tc>
        <w:tc>
          <w:tcPr>
            <w:tcW w:w="1187" w:type="dxa"/>
          </w:tcPr>
          <w:p w:rsidR="007C5447" w:rsidRDefault="00F6308C">
            <w:pPr>
              <w:pStyle w:val="TableParagraph"/>
              <w:spacing w:before="98"/>
              <w:ind w:right="192"/>
              <w:rPr>
                <w:sz w:val="20"/>
              </w:rPr>
            </w:pPr>
            <w:r>
              <w:rPr>
                <w:sz w:val="20"/>
              </w:rPr>
              <w:t>309</w:t>
            </w:r>
          </w:p>
        </w:tc>
      </w:tr>
      <w:tr w:rsidR="007C5447">
        <w:trPr>
          <w:trHeight w:val="429"/>
        </w:trPr>
        <w:tc>
          <w:tcPr>
            <w:tcW w:w="5689" w:type="dxa"/>
          </w:tcPr>
          <w:p w:rsidR="007C5447" w:rsidRDefault="00F6308C">
            <w:pPr>
              <w:pStyle w:val="TableParagraph"/>
              <w:spacing w:before="101"/>
              <w:ind w:left="107"/>
              <w:jc w:val="left"/>
              <w:rPr>
                <w:sz w:val="20"/>
              </w:rPr>
            </w:pPr>
            <w:r>
              <w:rPr>
                <w:sz w:val="20"/>
              </w:rPr>
              <w:t>Actual place of public worship, Mutts and Religious Institutions</w:t>
            </w:r>
          </w:p>
        </w:tc>
        <w:tc>
          <w:tcPr>
            <w:tcW w:w="1370" w:type="dxa"/>
          </w:tcPr>
          <w:p w:rsidR="007C5447" w:rsidRDefault="00F6308C">
            <w:pPr>
              <w:pStyle w:val="TableParagraph"/>
              <w:spacing w:before="101"/>
              <w:ind w:left="348" w:right="342"/>
              <w:jc w:val="center"/>
              <w:rPr>
                <w:sz w:val="20"/>
              </w:rPr>
            </w:pPr>
            <w:r>
              <w:rPr>
                <w:sz w:val="20"/>
              </w:rPr>
              <w:t>IIC</w:t>
            </w:r>
          </w:p>
        </w:tc>
        <w:tc>
          <w:tcPr>
            <w:tcW w:w="1186" w:type="dxa"/>
          </w:tcPr>
          <w:p w:rsidR="007C5447" w:rsidRDefault="00F6308C">
            <w:pPr>
              <w:pStyle w:val="TableParagraph"/>
              <w:spacing w:before="101"/>
              <w:ind w:right="196"/>
              <w:rPr>
                <w:sz w:val="20"/>
              </w:rPr>
            </w:pPr>
            <w:r>
              <w:rPr>
                <w:sz w:val="20"/>
              </w:rPr>
              <w:t>131</w:t>
            </w:r>
          </w:p>
        </w:tc>
        <w:tc>
          <w:tcPr>
            <w:tcW w:w="1183" w:type="dxa"/>
          </w:tcPr>
          <w:p w:rsidR="007C5447" w:rsidRDefault="00F6308C">
            <w:pPr>
              <w:pStyle w:val="TableParagraph"/>
              <w:spacing w:before="101"/>
              <w:ind w:right="195"/>
              <w:rPr>
                <w:sz w:val="20"/>
              </w:rPr>
            </w:pPr>
            <w:r>
              <w:rPr>
                <w:sz w:val="20"/>
              </w:rPr>
              <w:t>140</w:t>
            </w:r>
          </w:p>
        </w:tc>
        <w:tc>
          <w:tcPr>
            <w:tcW w:w="1188" w:type="dxa"/>
          </w:tcPr>
          <w:p w:rsidR="007C5447" w:rsidRDefault="00F6308C">
            <w:pPr>
              <w:pStyle w:val="TableParagraph"/>
              <w:spacing w:before="101"/>
              <w:ind w:right="195"/>
              <w:rPr>
                <w:sz w:val="20"/>
              </w:rPr>
            </w:pPr>
            <w:r>
              <w:rPr>
                <w:sz w:val="20"/>
              </w:rPr>
              <w:t>150</w:t>
            </w:r>
          </w:p>
        </w:tc>
        <w:tc>
          <w:tcPr>
            <w:tcW w:w="1186" w:type="dxa"/>
          </w:tcPr>
          <w:p w:rsidR="007C5447" w:rsidRDefault="00F6308C">
            <w:pPr>
              <w:pStyle w:val="TableParagraph"/>
              <w:spacing w:before="101"/>
              <w:ind w:right="196"/>
              <w:rPr>
                <w:sz w:val="20"/>
              </w:rPr>
            </w:pPr>
            <w:r>
              <w:rPr>
                <w:sz w:val="20"/>
              </w:rPr>
              <w:t>131</w:t>
            </w:r>
          </w:p>
        </w:tc>
        <w:tc>
          <w:tcPr>
            <w:tcW w:w="1185" w:type="dxa"/>
          </w:tcPr>
          <w:p w:rsidR="007C5447" w:rsidRDefault="00F6308C">
            <w:pPr>
              <w:pStyle w:val="TableParagraph"/>
              <w:spacing w:before="101"/>
              <w:ind w:right="195"/>
              <w:rPr>
                <w:sz w:val="20"/>
              </w:rPr>
            </w:pPr>
            <w:r>
              <w:rPr>
                <w:sz w:val="20"/>
              </w:rPr>
              <w:t>140</w:t>
            </w:r>
          </w:p>
        </w:tc>
        <w:tc>
          <w:tcPr>
            <w:tcW w:w="1187" w:type="dxa"/>
          </w:tcPr>
          <w:p w:rsidR="007C5447" w:rsidRDefault="00F6308C">
            <w:pPr>
              <w:pStyle w:val="TableParagraph"/>
              <w:spacing w:before="101"/>
              <w:ind w:right="192"/>
              <w:rPr>
                <w:sz w:val="20"/>
              </w:rPr>
            </w:pPr>
            <w:r>
              <w:rPr>
                <w:sz w:val="20"/>
              </w:rPr>
              <w:t>150</w:t>
            </w:r>
          </w:p>
        </w:tc>
      </w:tr>
      <w:tr w:rsidR="007C5447">
        <w:trPr>
          <w:trHeight w:val="426"/>
        </w:trPr>
        <w:tc>
          <w:tcPr>
            <w:tcW w:w="5689" w:type="dxa"/>
          </w:tcPr>
          <w:p w:rsidR="007C5447" w:rsidRDefault="00F6308C">
            <w:pPr>
              <w:pStyle w:val="TableParagraph"/>
              <w:spacing w:before="98"/>
              <w:ind w:left="107"/>
              <w:jc w:val="left"/>
              <w:rPr>
                <w:sz w:val="20"/>
              </w:rPr>
            </w:pPr>
            <w:r>
              <w:rPr>
                <w:sz w:val="20"/>
              </w:rPr>
              <w:t>Cottage and Tiny Industries</w:t>
            </w:r>
          </w:p>
        </w:tc>
        <w:tc>
          <w:tcPr>
            <w:tcW w:w="1370" w:type="dxa"/>
          </w:tcPr>
          <w:p w:rsidR="007C5447" w:rsidRDefault="00F6308C">
            <w:pPr>
              <w:pStyle w:val="TableParagraph"/>
              <w:spacing w:before="98"/>
              <w:ind w:left="348" w:right="343"/>
              <w:jc w:val="center"/>
              <w:rPr>
                <w:sz w:val="20"/>
              </w:rPr>
            </w:pPr>
            <w:r>
              <w:rPr>
                <w:sz w:val="20"/>
              </w:rPr>
              <w:t>IIIA (1)</w:t>
            </w:r>
          </w:p>
        </w:tc>
        <w:tc>
          <w:tcPr>
            <w:tcW w:w="1186" w:type="dxa"/>
          </w:tcPr>
          <w:p w:rsidR="007C5447" w:rsidRDefault="00F6308C">
            <w:pPr>
              <w:pStyle w:val="TableParagraph"/>
              <w:spacing w:before="98"/>
              <w:ind w:right="196"/>
              <w:rPr>
                <w:sz w:val="20"/>
              </w:rPr>
            </w:pPr>
            <w:r>
              <w:rPr>
                <w:sz w:val="20"/>
              </w:rPr>
              <w:t>244</w:t>
            </w:r>
          </w:p>
        </w:tc>
        <w:tc>
          <w:tcPr>
            <w:tcW w:w="1183" w:type="dxa"/>
          </w:tcPr>
          <w:p w:rsidR="007C5447" w:rsidRDefault="00F6308C">
            <w:pPr>
              <w:pStyle w:val="TableParagraph"/>
              <w:spacing w:before="98"/>
              <w:ind w:right="195"/>
              <w:rPr>
                <w:sz w:val="20"/>
              </w:rPr>
            </w:pPr>
            <w:r>
              <w:rPr>
                <w:sz w:val="20"/>
              </w:rPr>
              <w:t>261</w:t>
            </w:r>
          </w:p>
        </w:tc>
        <w:tc>
          <w:tcPr>
            <w:tcW w:w="1188" w:type="dxa"/>
          </w:tcPr>
          <w:p w:rsidR="007C5447" w:rsidRDefault="00F6308C">
            <w:pPr>
              <w:pStyle w:val="TableParagraph"/>
              <w:spacing w:before="98"/>
              <w:ind w:right="195"/>
              <w:rPr>
                <w:sz w:val="20"/>
              </w:rPr>
            </w:pPr>
            <w:r>
              <w:rPr>
                <w:sz w:val="20"/>
              </w:rPr>
              <w:t>284</w:t>
            </w:r>
          </w:p>
        </w:tc>
        <w:tc>
          <w:tcPr>
            <w:tcW w:w="1186" w:type="dxa"/>
          </w:tcPr>
          <w:p w:rsidR="007C5447" w:rsidRDefault="00F6308C">
            <w:pPr>
              <w:pStyle w:val="TableParagraph"/>
              <w:spacing w:before="98"/>
              <w:ind w:right="196"/>
              <w:rPr>
                <w:sz w:val="20"/>
              </w:rPr>
            </w:pPr>
            <w:r>
              <w:rPr>
                <w:sz w:val="20"/>
              </w:rPr>
              <w:t>244</w:t>
            </w:r>
          </w:p>
        </w:tc>
        <w:tc>
          <w:tcPr>
            <w:tcW w:w="1185" w:type="dxa"/>
          </w:tcPr>
          <w:p w:rsidR="007C5447" w:rsidRDefault="00F6308C">
            <w:pPr>
              <w:pStyle w:val="TableParagraph"/>
              <w:spacing w:before="98"/>
              <w:ind w:right="195"/>
              <w:rPr>
                <w:sz w:val="20"/>
              </w:rPr>
            </w:pPr>
            <w:r>
              <w:rPr>
                <w:sz w:val="20"/>
              </w:rPr>
              <w:t>261</w:t>
            </w:r>
          </w:p>
        </w:tc>
        <w:tc>
          <w:tcPr>
            <w:tcW w:w="1187" w:type="dxa"/>
          </w:tcPr>
          <w:p w:rsidR="007C5447" w:rsidRDefault="00F6308C">
            <w:pPr>
              <w:pStyle w:val="TableParagraph"/>
              <w:spacing w:before="98"/>
              <w:ind w:right="192"/>
              <w:rPr>
                <w:sz w:val="20"/>
              </w:rPr>
            </w:pPr>
            <w:r>
              <w:rPr>
                <w:sz w:val="20"/>
              </w:rPr>
              <w:t>284</w:t>
            </w:r>
          </w:p>
        </w:tc>
      </w:tr>
      <w:tr w:rsidR="007C5447">
        <w:trPr>
          <w:trHeight w:val="427"/>
        </w:trPr>
        <w:tc>
          <w:tcPr>
            <w:tcW w:w="5689" w:type="dxa"/>
          </w:tcPr>
          <w:p w:rsidR="007C5447" w:rsidRDefault="00F6308C">
            <w:pPr>
              <w:pStyle w:val="TableParagraph"/>
              <w:spacing w:before="99"/>
              <w:ind w:left="107"/>
              <w:jc w:val="left"/>
              <w:rPr>
                <w:sz w:val="20"/>
              </w:rPr>
            </w:pPr>
            <w:r>
              <w:rPr>
                <w:sz w:val="20"/>
              </w:rPr>
              <w:t>Power loom</w:t>
            </w:r>
          </w:p>
        </w:tc>
        <w:tc>
          <w:tcPr>
            <w:tcW w:w="1370" w:type="dxa"/>
          </w:tcPr>
          <w:p w:rsidR="007C5447" w:rsidRDefault="00F6308C">
            <w:pPr>
              <w:pStyle w:val="TableParagraph"/>
              <w:spacing w:before="99"/>
              <w:ind w:left="348" w:right="343"/>
              <w:jc w:val="center"/>
              <w:rPr>
                <w:sz w:val="20"/>
              </w:rPr>
            </w:pPr>
            <w:r>
              <w:rPr>
                <w:sz w:val="20"/>
              </w:rPr>
              <w:t>IIIA (2)</w:t>
            </w:r>
          </w:p>
        </w:tc>
        <w:tc>
          <w:tcPr>
            <w:tcW w:w="1186" w:type="dxa"/>
          </w:tcPr>
          <w:p w:rsidR="007C5447" w:rsidRDefault="00F6308C">
            <w:pPr>
              <w:pStyle w:val="TableParagraph"/>
              <w:spacing w:before="99"/>
              <w:ind w:right="198"/>
              <w:rPr>
                <w:sz w:val="20"/>
              </w:rPr>
            </w:pPr>
            <w:r>
              <w:rPr>
                <w:sz w:val="20"/>
              </w:rPr>
              <w:t>1,036</w:t>
            </w:r>
          </w:p>
        </w:tc>
        <w:tc>
          <w:tcPr>
            <w:tcW w:w="1183" w:type="dxa"/>
          </w:tcPr>
          <w:p w:rsidR="007C5447" w:rsidRDefault="00F6308C">
            <w:pPr>
              <w:pStyle w:val="TableParagraph"/>
              <w:spacing w:before="99"/>
              <w:ind w:right="196"/>
              <w:rPr>
                <w:sz w:val="20"/>
              </w:rPr>
            </w:pPr>
            <w:r>
              <w:rPr>
                <w:sz w:val="20"/>
              </w:rPr>
              <w:t>1,139</w:t>
            </w:r>
          </w:p>
        </w:tc>
        <w:tc>
          <w:tcPr>
            <w:tcW w:w="1188" w:type="dxa"/>
          </w:tcPr>
          <w:p w:rsidR="007C5447" w:rsidRDefault="00F6308C">
            <w:pPr>
              <w:pStyle w:val="TableParagraph"/>
              <w:spacing w:before="99"/>
              <w:ind w:right="196"/>
              <w:rPr>
                <w:sz w:val="20"/>
              </w:rPr>
            </w:pPr>
            <w:r>
              <w:rPr>
                <w:sz w:val="20"/>
              </w:rPr>
              <w:t>1,248</w:t>
            </w:r>
          </w:p>
        </w:tc>
        <w:tc>
          <w:tcPr>
            <w:tcW w:w="1186" w:type="dxa"/>
          </w:tcPr>
          <w:p w:rsidR="007C5447" w:rsidRDefault="00F6308C">
            <w:pPr>
              <w:pStyle w:val="TableParagraph"/>
              <w:spacing w:before="99"/>
              <w:ind w:right="198"/>
              <w:rPr>
                <w:sz w:val="20"/>
              </w:rPr>
            </w:pPr>
            <w:r>
              <w:rPr>
                <w:sz w:val="20"/>
              </w:rPr>
              <w:t>1,036</w:t>
            </w:r>
          </w:p>
        </w:tc>
        <w:tc>
          <w:tcPr>
            <w:tcW w:w="1185" w:type="dxa"/>
          </w:tcPr>
          <w:p w:rsidR="007C5447" w:rsidRDefault="00F6308C">
            <w:pPr>
              <w:pStyle w:val="TableParagraph"/>
              <w:spacing w:before="99"/>
              <w:ind w:right="197"/>
              <w:rPr>
                <w:sz w:val="20"/>
              </w:rPr>
            </w:pPr>
            <w:r>
              <w:rPr>
                <w:sz w:val="20"/>
              </w:rPr>
              <w:t>1,139</w:t>
            </w:r>
          </w:p>
        </w:tc>
        <w:tc>
          <w:tcPr>
            <w:tcW w:w="1187" w:type="dxa"/>
          </w:tcPr>
          <w:p w:rsidR="007C5447" w:rsidRDefault="00F6308C">
            <w:pPr>
              <w:pStyle w:val="TableParagraph"/>
              <w:spacing w:before="99"/>
              <w:ind w:right="194"/>
              <w:rPr>
                <w:sz w:val="20"/>
              </w:rPr>
            </w:pPr>
            <w:r>
              <w:rPr>
                <w:sz w:val="20"/>
              </w:rPr>
              <w:t>1,248</w:t>
            </w:r>
          </w:p>
        </w:tc>
      </w:tr>
      <w:tr w:rsidR="007C5447">
        <w:trPr>
          <w:trHeight w:val="489"/>
        </w:trPr>
        <w:tc>
          <w:tcPr>
            <w:tcW w:w="5689" w:type="dxa"/>
          </w:tcPr>
          <w:p w:rsidR="007C5447" w:rsidRDefault="00F6308C">
            <w:pPr>
              <w:pStyle w:val="TableParagraph"/>
              <w:spacing w:before="14" w:line="230" w:lineRule="atLeast"/>
              <w:ind w:left="107"/>
              <w:jc w:val="left"/>
              <w:rPr>
                <w:sz w:val="20"/>
              </w:rPr>
            </w:pPr>
            <w:r>
              <w:rPr>
                <w:sz w:val="20"/>
              </w:rPr>
              <w:t>Coffee grinding and Ice factories etc. and Industries not covered under LT Tariff IIIA</w:t>
            </w:r>
          </w:p>
        </w:tc>
        <w:tc>
          <w:tcPr>
            <w:tcW w:w="1370" w:type="dxa"/>
          </w:tcPr>
          <w:p w:rsidR="007C5447" w:rsidRDefault="00F6308C">
            <w:pPr>
              <w:pStyle w:val="TableParagraph"/>
              <w:spacing w:before="130"/>
              <w:ind w:left="348" w:right="342"/>
              <w:jc w:val="center"/>
              <w:rPr>
                <w:sz w:val="20"/>
              </w:rPr>
            </w:pPr>
            <w:r>
              <w:rPr>
                <w:sz w:val="20"/>
              </w:rPr>
              <w:t>IIIB</w:t>
            </w:r>
          </w:p>
        </w:tc>
        <w:tc>
          <w:tcPr>
            <w:tcW w:w="1186" w:type="dxa"/>
          </w:tcPr>
          <w:p w:rsidR="007C5447" w:rsidRDefault="00F6308C">
            <w:pPr>
              <w:pStyle w:val="TableParagraph"/>
              <w:spacing w:before="130"/>
              <w:ind w:right="198"/>
              <w:rPr>
                <w:sz w:val="20"/>
              </w:rPr>
            </w:pPr>
            <w:r>
              <w:rPr>
                <w:sz w:val="20"/>
              </w:rPr>
              <w:t>7,335</w:t>
            </w:r>
          </w:p>
        </w:tc>
        <w:tc>
          <w:tcPr>
            <w:tcW w:w="1183" w:type="dxa"/>
          </w:tcPr>
          <w:p w:rsidR="007C5447" w:rsidRDefault="00F6308C">
            <w:pPr>
              <w:pStyle w:val="TableParagraph"/>
              <w:spacing w:before="130"/>
              <w:ind w:right="196"/>
              <w:rPr>
                <w:sz w:val="20"/>
              </w:rPr>
            </w:pPr>
            <w:r>
              <w:rPr>
                <w:sz w:val="20"/>
              </w:rPr>
              <w:t>8,581</w:t>
            </w:r>
          </w:p>
        </w:tc>
        <w:tc>
          <w:tcPr>
            <w:tcW w:w="1188" w:type="dxa"/>
          </w:tcPr>
          <w:p w:rsidR="007C5447" w:rsidRDefault="00F6308C">
            <w:pPr>
              <w:pStyle w:val="TableParagraph"/>
              <w:spacing w:before="130"/>
              <w:ind w:right="196"/>
              <w:rPr>
                <w:sz w:val="20"/>
              </w:rPr>
            </w:pPr>
            <w:r>
              <w:rPr>
                <w:sz w:val="20"/>
              </w:rPr>
              <w:t>9,491</w:t>
            </w:r>
          </w:p>
        </w:tc>
        <w:tc>
          <w:tcPr>
            <w:tcW w:w="1186" w:type="dxa"/>
          </w:tcPr>
          <w:p w:rsidR="007C5447" w:rsidRDefault="00F6308C">
            <w:pPr>
              <w:pStyle w:val="TableParagraph"/>
              <w:spacing w:before="130"/>
              <w:ind w:right="198"/>
              <w:rPr>
                <w:sz w:val="20"/>
              </w:rPr>
            </w:pPr>
            <w:r>
              <w:rPr>
                <w:sz w:val="20"/>
              </w:rPr>
              <w:t>7,335</w:t>
            </w:r>
          </w:p>
        </w:tc>
        <w:tc>
          <w:tcPr>
            <w:tcW w:w="1185" w:type="dxa"/>
          </w:tcPr>
          <w:p w:rsidR="007C5447" w:rsidRDefault="00F6308C">
            <w:pPr>
              <w:pStyle w:val="TableParagraph"/>
              <w:spacing w:before="130"/>
              <w:ind w:right="197"/>
              <w:rPr>
                <w:sz w:val="20"/>
              </w:rPr>
            </w:pPr>
            <w:r>
              <w:rPr>
                <w:sz w:val="20"/>
              </w:rPr>
              <w:t>8,581</w:t>
            </w:r>
          </w:p>
        </w:tc>
        <w:tc>
          <w:tcPr>
            <w:tcW w:w="1187" w:type="dxa"/>
          </w:tcPr>
          <w:p w:rsidR="007C5447" w:rsidRDefault="00F6308C">
            <w:pPr>
              <w:pStyle w:val="TableParagraph"/>
              <w:spacing w:before="130"/>
              <w:ind w:right="194"/>
              <w:rPr>
                <w:sz w:val="20"/>
              </w:rPr>
            </w:pPr>
            <w:r>
              <w:rPr>
                <w:sz w:val="20"/>
              </w:rPr>
              <w:t>9,491</w:t>
            </w:r>
          </w:p>
        </w:tc>
      </w:tr>
      <w:tr w:rsidR="007C5447">
        <w:trPr>
          <w:trHeight w:val="426"/>
        </w:trPr>
        <w:tc>
          <w:tcPr>
            <w:tcW w:w="5689" w:type="dxa"/>
          </w:tcPr>
          <w:p w:rsidR="007C5447" w:rsidRDefault="00F6308C">
            <w:pPr>
              <w:pStyle w:val="TableParagraph"/>
              <w:spacing w:before="98"/>
              <w:ind w:left="107"/>
              <w:jc w:val="left"/>
              <w:rPr>
                <w:sz w:val="20"/>
              </w:rPr>
            </w:pPr>
            <w:r>
              <w:rPr>
                <w:sz w:val="20"/>
              </w:rPr>
              <w:t>Agriculture and Govt. seed farm etc.</w:t>
            </w:r>
          </w:p>
        </w:tc>
        <w:tc>
          <w:tcPr>
            <w:tcW w:w="1370" w:type="dxa"/>
          </w:tcPr>
          <w:p w:rsidR="007C5447" w:rsidRDefault="00F6308C">
            <w:pPr>
              <w:pStyle w:val="TableParagraph"/>
              <w:spacing w:before="98"/>
              <w:ind w:left="348" w:right="340"/>
              <w:jc w:val="center"/>
              <w:rPr>
                <w:sz w:val="20"/>
              </w:rPr>
            </w:pPr>
            <w:r>
              <w:rPr>
                <w:sz w:val="20"/>
              </w:rPr>
              <w:t>IV</w:t>
            </w:r>
          </w:p>
        </w:tc>
        <w:tc>
          <w:tcPr>
            <w:tcW w:w="1186" w:type="dxa"/>
          </w:tcPr>
          <w:p w:rsidR="007C5447" w:rsidRDefault="00F6308C">
            <w:pPr>
              <w:pStyle w:val="TableParagraph"/>
              <w:spacing w:before="98"/>
              <w:ind w:right="199"/>
              <w:rPr>
                <w:sz w:val="20"/>
              </w:rPr>
            </w:pPr>
            <w:r>
              <w:rPr>
                <w:w w:val="95"/>
                <w:sz w:val="20"/>
              </w:rPr>
              <w:t>11,928</w:t>
            </w:r>
          </w:p>
        </w:tc>
        <w:tc>
          <w:tcPr>
            <w:tcW w:w="1183" w:type="dxa"/>
          </w:tcPr>
          <w:p w:rsidR="007C5447" w:rsidRDefault="00F6308C">
            <w:pPr>
              <w:pStyle w:val="TableParagraph"/>
              <w:spacing w:before="98"/>
              <w:ind w:right="196"/>
              <w:rPr>
                <w:sz w:val="20"/>
              </w:rPr>
            </w:pPr>
            <w:r>
              <w:rPr>
                <w:w w:val="95"/>
                <w:sz w:val="20"/>
              </w:rPr>
              <w:t>12,544</w:t>
            </w:r>
          </w:p>
        </w:tc>
        <w:tc>
          <w:tcPr>
            <w:tcW w:w="1188" w:type="dxa"/>
          </w:tcPr>
          <w:p w:rsidR="007C5447" w:rsidRDefault="00F6308C">
            <w:pPr>
              <w:pStyle w:val="TableParagraph"/>
              <w:spacing w:before="98"/>
              <w:ind w:right="196"/>
              <w:rPr>
                <w:sz w:val="20"/>
              </w:rPr>
            </w:pPr>
            <w:r>
              <w:rPr>
                <w:w w:val="95"/>
                <w:sz w:val="20"/>
              </w:rPr>
              <w:t>13,276</w:t>
            </w:r>
          </w:p>
        </w:tc>
        <w:tc>
          <w:tcPr>
            <w:tcW w:w="1186" w:type="dxa"/>
          </w:tcPr>
          <w:p w:rsidR="007C5447" w:rsidRDefault="00F6308C">
            <w:pPr>
              <w:pStyle w:val="TableParagraph"/>
              <w:spacing w:before="98"/>
              <w:ind w:right="198"/>
              <w:rPr>
                <w:sz w:val="20"/>
              </w:rPr>
            </w:pPr>
            <w:r>
              <w:rPr>
                <w:w w:val="95"/>
                <w:sz w:val="20"/>
              </w:rPr>
              <w:t>10,881</w:t>
            </w:r>
          </w:p>
        </w:tc>
        <w:tc>
          <w:tcPr>
            <w:tcW w:w="1185" w:type="dxa"/>
          </w:tcPr>
          <w:p w:rsidR="007C5447" w:rsidRDefault="00F6308C">
            <w:pPr>
              <w:pStyle w:val="TableParagraph"/>
              <w:spacing w:before="98"/>
              <w:ind w:right="197"/>
              <w:rPr>
                <w:sz w:val="20"/>
              </w:rPr>
            </w:pPr>
            <w:r>
              <w:rPr>
                <w:w w:val="95"/>
                <w:sz w:val="20"/>
              </w:rPr>
              <w:t>11,187</w:t>
            </w:r>
          </w:p>
        </w:tc>
        <w:tc>
          <w:tcPr>
            <w:tcW w:w="1187" w:type="dxa"/>
          </w:tcPr>
          <w:p w:rsidR="007C5447" w:rsidRDefault="00F6308C">
            <w:pPr>
              <w:pStyle w:val="TableParagraph"/>
              <w:spacing w:before="98"/>
              <w:ind w:right="194"/>
              <w:rPr>
                <w:sz w:val="20"/>
              </w:rPr>
            </w:pPr>
            <w:r>
              <w:rPr>
                <w:w w:val="95"/>
                <w:sz w:val="20"/>
              </w:rPr>
              <w:t>11,398</w:t>
            </w:r>
          </w:p>
        </w:tc>
      </w:tr>
      <w:tr w:rsidR="007C5447">
        <w:trPr>
          <w:trHeight w:val="489"/>
        </w:trPr>
        <w:tc>
          <w:tcPr>
            <w:tcW w:w="5689" w:type="dxa"/>
          </w:tcPr>
          <w:p w:rsidR="007C5447" w:rsidRDefault="00F6308C">
            <w:pPr>
              <w:pStyle w:val="TableParagraph"/>
              <w:spacing w:before="14" w:line="230" w:lineRule="atLeast"/>
              <w:ind w:left="107" w:right="148"/>
              <w:jc w:val="left"/>
              <w:rPr>
                <w:sz w:val="20"/>
              </w:rPr>
            </w:pPr>
            <w:r>
              <w:rPr>
                <w:sz w:val="20"/>
              </w:rPr>
              <w:t>Commercial and all categories not covered under IA, IB, IC, IIA, II B1, II B2, II C IIIA 1, III A2, IIIB and IV</w:t>
            </w:r>
          </w:p>
        </w:tc>
        <w:tc>
          <w:tcPr>
            <w:tcW w:w="1370" w:type="dxa"/>
          </w:tcPr>
          <w:p w:rsidR="007C5447" w:rsidRDefault="00F6308C">
            <w:pPr>
              <w:pStyle w:val="TableParagraph"/>
              <w:spacing w:before="130"/>
              <w:ind w:left="7"/>
              <w:jc w:val="center"/>
              <w:rPr>
                <w:sz w:val="20"/>
              </w:rPr>
            </w:pPr>
            <w:r>
              <w:rPr>
                <w:w w:val="99"/>
                <w:sz w:val="20"/>
              </w:rPr>
              <w:t>V</w:t>
            </w:r>
          </w:p>
        </w:tc>
        <w:tc>
          <w:tcPr>
            <w:tcW w:w="1186" w:type="dxa"/>
          </w:tcPr>
          <w:p w:rsidR="007C5447" w:rsidRDefault="00F6308C">
            <w:pPr>
              <w:pStyle w:val="TableParagraph"/>
              <w:spacing w:before="130"/>
              <w:ind w:right="198"/>
              <w:rPr>
                <w:sz w:val="20"/>
              </w:rPr>
            </w:pPr>
            <w:r>
              <w:rPr>
                <w:sz w:val="20"/>
              </w:rPr>
              <w:t>7,190</w:t>
            </w:r>
          </w:p>
        </w:tc>
        <w:tc>
          <w:tcPr>
            <w:tcW w:w="1183" w:type="dxa"/>
          </w:tcPr>
          <w:p w:rsidR="007C5447" w:rsidRDefault="00F6308C">
            <w:pPr>
              <w:pStyle w:val="TableParagraph"/>
              <w:spacing w:before="130"/>
              <w:ind w:right="196"/>
              <w:rPr>
                <w:sz w:val="20"/>
              </w:rPr>
            </w:pPr>
            <w:r>
              <w:rPr>
                <w:sz w:val="20"/>
              </w:rPr>
              <w:t>8,808</w:t>
            </w:r>
          </w:p>
        </w:tc>
        <w:tc>
          <w:tcPr>
            <w:tcW w:w="1188" w:type="dxa"/>
          </w:tcPr>
          <w:p w:rsidR="007C5447" w:rsidRDefault="00F6308C">
            <w:pPr>
              <w:pStyle w:val="TableParagraph"/>
              <w:spacing w:before="130"/>
              <w:ind w:right="196"/>
              <w:rPr>
                <w:sz w:val="20"/>
              </w:rPr>
            </w:pPr>
            <w:r>
              <w:rPr>
                <w:w w:val="95"/>
                <w:sz w:val="20"/>
              </w:rPr>
              <w:t>10,182</w:t>
            </w:r>
          </w:p>
        </w:tc>
        <w:tc>
          <w:tcPr>
            <w:tcW w:w="1186" w:type="dxa"/>
          </w:tcPr>
          <w:p w:rsidR="007C5447" w:rsidRDefault="00F6308C">
            <w:pPr>
              <w:pStyle w:val="TableParagraph"/>
              <w:spacing w:before="130"/>
              <w:ind w:right="198"/>
              <w:rPr>
                <w:sz w:val="20"/>
              </w:rPr>
            </w:pPr>
            <w:r>
              <w:rPr>
                <w:sz w:val="20"/>
              </w:rPr>
              <w:t>7,190</w:t>
            </w:r>
          </w:p>
        </w:tc>
        <w:tc>
          <w:tcPr>
            <w:tcW w:w="1185" w:type="dxa"/>
          </w:tcPr>
          <w:p w:rsidR="007C5447" w:rsidRDefault="00F6308C">
            <w:pPr>
              <w:pStyle w:val="TableParagraph"/>
              <w:spacing w:before="130"/>
              <w:ind w:right="197"/>
              <w:rPr>
                <w:sz w:val="20"/>
              </w:rPr>
            </w:pPr>
            <w:r>
              <w:rPr>
                <w:sz w:val="20"/>
              </w:rPr>
              <w:t>8,808</w:t>
            </w:r>
          </w:p>
        </w:tc>
        <w:tc>
          <w:tcPr>
            <w:tcW w:w="1187" w:type="dxa"/>
          </w:tcPr>
          <w:p w:rsidR="007C5447" w:rsidRDefault="00F6308C">
            <w:pPr>
              <w:pStyle w:val="TableParagraph"/>
              <w:spacing w:before="130"/>
              <w:ind w:right="194"/>
              <w:rPr>
                <w:sz w:val="20"/>
              </w:rPr>
            </w:pPr>
            <w:r>
              <w:rPr>
                <w:w w:val="95"/>
                <w:sz w:val="20"/>
              </w:rPr>
              <w:t>10,182</w:t>
            </w:r>
          </w:p>
        </w:tc>
      </w:tr>
      <w:tr w:rsidR="007C5447">
        <w:trPr>
          <w:trHeight w:val="491"/>
        </w:trPr>
        <w:tc>
          <w:tcPr>
            <w:tcW w:w="5689" w:type="dxa"/>
          </w:tcPr>
          <w:p w:rsidR="007C5447" w:rsidRDefault="00F6308C">
            <w:pPr>
              <w:pStyle w:val="TableParagraph"/>
              <w:spacing w:before="17" w:line="230" w:lineRule="atLeast"/>
              <w:ind w:left="107"/>
              <w:jc w:val="left"/>
              <w:rPr>
                <w:sz w:val="20"/>
              </w:rPr>
            </w:pPr>
            <w:r>
              <w:rPr>
                <w:sz w:val="20"/>
              </w:rPr>
              <w:t>Temp. supply (a) Lighting and combined installations, (b) Lavish illuminations</w:t>
            </w:r>
          </w:p>
        </w:tc>
        <w:tc>
          <w:tcPr>
            <w:tcW w:w="1370" w:type="dxa"/>
          </w:tcPr>
          <w:p w:rsidR="007C5447" w:rsidRDefault="00F6308C">
            <w:pPr>
              <w:pStyle w:val="TableParagraph"/>
              <w:spacing w:before="132"/>
              <w:ind w:left="348" w:right="342"/>
              <w:jc w:val="center"/>
              <w:rPr>
                <w:sz w:val="20"/>
              </w:rPr>
            </w:pPr>
            <w:r>
              <w:rPr>
                <w:sz w:val="20"/>
              </w:rPr>
              <w:t>VI</w:t>
            </w:r>
          </w:p>
        </w:tc>
        <w:tc>
          <w:tcPr>
            <w:tcW w:w="1186" w:type="dxa"/>
          </w:tcPr>
          <w:p w:rsidR="007C5447" w:rsidRDefault="00F6308C">
            <w:pPr>
              <w:pStyle w:val="TableParagraph"/>
              <w:spacing w:before="132"/>
              <w:ind w:right="196"/>
              <w:rPr>
                <w:sz w:val="20"/>
              </w:rPr>
            </w:pPr>
            <w:r>
              <w:rPr>
                <w:sz w:val="20"/>
              </w:rPr>
              <w:t>197</w:t>
            </w:r>
          </w:p>
        </w:tc>
        <w:tc>
          <w:tcPr>
            <w:tcW w:w="1183" w:type="dxa"/>
          </w:tcPr>
          <w:p w:rsidR="007C5447" w:rsidRDefault="00F6308C">
            <w:pPr>
              <w:pStyle w:val="TableParagraph"/>
              <w:spacing w:before="132"/>
              <w:ind w:right="195"/>
              <w:rPr>
                <w:sz w:val="20"/>
              </w:rPr>
            </w:pPr>
            <w:r>
              <w:rPr>
                <w:sz w:val="20"/>
              </w:rPr>
              <w:t>247</w:t>
            </w:r>
          </w:p>
        </w:tc>
        <w:tc>
          <w:tcPr>
            <w:tcW w:w="1188" w:type="dxa"/>
          </w:tcPr>
          <w:p w:rsidR="007C5447" w:rsidRDefault="00F6308C">
            <w:pPr>
              <w:pStyle w:val="TableParagraph"/>
              <w:spacing w:before="132"/>
              <w:ind w:right="195"/>
              <w:rPr>
                <w:sz w:val="20"/>
              </w:rPr>
            </w:pPr>
            <w:r>
              <w:rPr>
                <w:sz w:val="20"/>
              </w:rPr>
              <w:t>309</w:t>
            </w:r>
          </w:p>
        </w:tc>
        <w:tc>
          <w:tcPr>
            <w:tcW w:w="1186" w:type="dxa"/>
          </w:tcPr>
          <w:p w:rsidR="007C5447" w:rsidRDefault="00F6308C">
            <w:pPr>
              <w:pStyle w:val="TableParagraph"/>
              <w:spacing w:before="132"/>
              <w:ind w:right="196"/>
              <w:rPr>
                <w:sz w:val="20"/>
              </w:rPr>
            </w:pPr>
            <w:r>
              <w:rPr>
                <w:sz w:val="20"/>
              </w:rPr>
              <w:t>197</w:t>
            </w:r>
          </w:p>
        </w:tc>
        <w:tc>
          <w:tcPr>
            <w:tcW w:w="1185" w:type="dxa"/>
          </w:tcPr>
          <w:p w:rsidR="007C5447" w:rsidRDefault="00F6308C">
            <w:pPr>
              <w:pStyle w:val="TableParagraph"/>
              <w:spacing w:before="132"/>
              <w:ind w:right="195"/>
              <w:rPr>
                <w:sz w:val="20"/>
              </w:rPr>
            </w:pPr>
            <w:r>
              <w:rPr>
                <w:sz w:val="20"/>
              </w:rPr>
              <w:t>247</w:t>
            </w:r>
          </w:p>
        </w:tc>
        <w:tc>
          <w:tcPr>
            <w:tcW w:w="1187" w:type="dxa"/>
          </w:tcPr>
          <w:p w:rsidR="007C5447" w:rsidRDefault="00F6308C">
            <w:pPr>
              <w:pStyle w:val="TableParagraph"/>
              <w:spacing w:before="132"/>
              <w:ind w:right="192"/>
              <w:rPr>
                <w:sz w:val="20"/>
              </w:rPr>
            </w:pPr>
            <w:r>
              <w:rPr>
                <w:sz w:val="20"/>
              </w:rPr>
              <w:t>309</w:t>
            </w:r>
          </w:p>
        </w:tc>
      </w:tr>
      <w:tr w:rsidR="007C5447">
        <w:trPr>
          <w:trHeight w:val="427"/>
        </w:trPr>
        <w:tc>
          <w:tcPr>
            <w:tcW w:w="5689" w:type="dxa"/>
          </w:tcPr>
          <w:p w:rsidR="007C5447" w:rsidRDefault="00F6308C">
            <w:pPr>
              <w:pStyle w:val="TableParagraph"/>
              <w:spacing w:before="99"/>
              <w:ind w:left="107"/>
              <w:jc w:val="left"/>
              <w:rPr>
                <w:b/>
                <w:sz w:val="20"/>
              </w:rPr>
            </w:pPr>
            <w:r>
              <w:rPr>
                <w:b/>
                <w:sz w:val="20"/>
              </w:rPr>
              <w:t>Total LT</w:t>
            </w:r>
          </w:p>
        </w:tc>
        <w:tc>
          <w:tcPr>
            <w:tcW w:w="1370" w:type="dxa"/>
          </w:tcPr>
          <w:p w:rsidR="007C5447" w:rsidRDefault="007C5447">
            <w:pPr>
              <w:pStyle w:val="TableParagraph"/>
              <w:jc w:val="left"/>
              <w:rPr>
                <w:sz w:val="20"/>
              </w:rPr>
            </w:pPr>
          </w:p>
        </w:tc>
        <w:tc>
          <w:tcPr>
            <w:tcW w:w="1186" w:type="dxa"/>
          </w:tcPr>
          <w:p w:rsidR="007C5447" w:rsidRDefault="00F6308C">
            <w:pPr>
              <w:pStyle w:val="TableParagraph"/>
              <w:spacing w:before="99"/>
              <w:ind w:right="199"/>
              <w:rPr>
                <w:b/>
                <w:sz w:val="20"/>
              </w:rPr>
            </w:pPr>
            <w:r>
              <w:rPr>
                <w:b/>
                <w:w w:val="95"/>
                <w:sz w:val="20"/>
              </w:rPr>
              <w:t>56,876</w:t>
            </w:r>
          </w:p>
        </w:tc>
        <w:tc>
          <w:tcPr>
            <w:tcW w:w="1183" w:type="dxa"/>
          </w:tcPr>
          <w:p w:rsidR="007C5447" w:rsidRDefault="00F6308C">
            <w:pPr>
              <w:pStyle w:val="TableParagraph"/>
              <w:spacing w:before="99"/>
              <w:ind w:right="196"/>
              <w:rPr>
                <w:b/>
                <w:sz w:val="20"/>
              </w:rPr>
            </w:pPr>
            <w:r>
              <w:rPr>
                <w:b/>
                <w:w w:val="95"/>
                <w:sz w:val="20"/>
              </w:rPr>
              <w:t>61,873</w:t>
            </w:r>
          </w:p>
        </w:tc>
        <w:tc>
          <w:tcPr>
            <w:tcW w:w="1188" w:type="dxa"/>
          </w:tcPr>
          <w:p w:rsidR="007C5447" w:rsidRDefault="00F6308C">
            <w:pPr>
              <w:pStyle w:val="TableParagraph"/>
              <w:spacing w:before="99"/>
              <w:ind w:right="196"/>
              <w:rPr>
                <w:b/>
                <w:sz w:val="20"/>
              </w:rPr>
            </w:pPr>
            <w:r>
              <w:rPr>
                <w:b/>
                <w:w w:val="95"/>
                <w:sz w:val="20"/>
              </w:rPr>
              <w:t>66,526</w:t>
            </w:r>
          </w:p>
        </w:tc>
        <w:tc>
          <w:tcPr>
            <w:tcW w:w="1186" w:type="dxa"/>
          </w:tcPr>
          <w:p w:rsidR="007C5447" w:rsidRDefault="00F6308C">
            <w:pPr>
              <w:pStyle w:val="TableParagraph"/>
              <w:spacing w:before="99"/>
              <w:ind w:right="198"/>
              <w:rPr>
                <w:b/>
                <w:sz w:val="20"/>
              </w:rPr>
            </w:pPr>
            <w:r>
              <w:rPr>
                <w:b/>
                <w:w w:val="95"/>
                <w:sz w:val="20"/>
              </w:rPr>
              <w:t>56,000</w:t>
            </w:r>
          </w:p>
        </w:tc>
        <w:tc>
          <w:tcPr>
            <w:tcW w:w="1185" w:type="dxa"/>
          </w:tcPr>
          <w:p w:rsidR="007C5447" w:rsidRDefault="00F6308C">
            <w:pPr>
              <w:pStyle w:val="TableParagraph"/>
              <w:spacing w:before="99"/>
              <w:ind w:right="196"/>
              <w:rPr>
                <w:b/>
                <w:sz w:val="20"/>
              </w:rPr>
            </w:pPr>
            <w:r>
              <w:rPr>
                <w:b/>
                <w:w w:val="95"/>
                <w:sz w:val="20"/>
              </w:rPr>
              <w:t>60,717</w:t>
            </w:r>
          </w:p>
        </w:tc>
        <w:tc>
          <w:tcPr>
            <w:tcW w:w="1187" w:type="dxa"/>
          </w:tcPr>
          <w:p w:rsidR="007C5447" w:rsidRDefault="00F6308C">
            <w:pPr>
              <w:pStyle w:val="TableParagraph"/>
              <w:spacing w:before="99"/>
              <w:ind w:right="194"/>
              <w:rPr>
                <w:b/>
                <w:sz w:val="20"/>
              </w:rPr>
            </w:pPr>
            <w:r>
              <w:rPr>
                <w:b/>
                <w:w w:val="95"/>
                <w:sz w:val="20"/>
              </w:rPr>
              <w:t>64,881</w:t>
            </w:r>
          </w:p>
        </w:tc>
      </w:tr>
      <w:tr w:rsidR="007C5447">
        <w:trPr>
          <w:trHeight w:val="426"/>
        </w:trPr>
        <w:tc>
          <w:tcPr>
            <w:tcW w:w="5689" w:type="dxa"/>
          </w:tcPr>
          <w:p w:rsidR="007C5447" w:rsidRDefault="00F6308C">
            <w:pPr>
              <w:pStyle w:val="TableParagraph"/>
              <w:spacing w:before="98"/>
              <w:ind w:left="107"/>
              <w:jc w:val="left"/>
              <w:rPr>
                <w:b/>
                <w:sz w:val="20"/>
              </w:rPr>
            </w:pPr>
            <w:r>
              <w:rPr>
                <w:b/>
                <w:sz w:val="20"/>
              </w:rPr>
              <w:t>Grand Total</w:t>
            </w:r>
          </w:p>
        </w:tc>
        <w:tc>
          <w:tcPr>
            <w:tcW w:w="1370" w:type="dxa"/>
          </w:tcPr>
          <w:p w:rsidR="007C5447" w:rsidRDefault="007C5447">
            <w:pPr>
              <w:pStyle w:val="TableParagraph"/>
              <w:jc w:val="left"/>
              <w:rPr>
                <w:sz w:val="20"/>
              </w:rPr>
            </w:pPr>
          </w:p>
        </w:tc>
        <w:tc>
          <w:tcPr>
            <w:tcW w:w="1186" w:type="dxa"/>
          </w:tcPr>
          <w:p w:rsidR="007C5447" w:rsidRDefault="00F6308C">
            <w:pPr>
              <w:pStyle w:val="TableParagraph"/>
              <w:spacing w:before="98"/>
              <w:ind w:right="199"/>
              <w:rPr>
                <w:b/>
                <w:sz w:val="20"/>
              </w:rPr>
            </w:pPr>
            <w:r>
              <w:rPr>
                <w:b/>
                <w:w w:val="95"/>
                <w:sz w:val="20"/>
              </w:rPr>
              <w:t>74,872</w:t>
            </w:r>
          </w:p>
        </w:tc>
        <w:tc>
          <w:tcPr>
            <w:tcW w:w="1183" w:type="dxa"/>
          </w:tcPr>
          <w:p w:rsidR="007C5447" w:rsidRDefault="00F6308C">
            <w:pPr>
              <w:pStyle w:val="TableParagraph"/>
              <w:spacing w:before="98"/>
              <w:ind w:right="196"/>
              <w:rPr>
                <w:b/>
                <w:sz w:val="20"/>
              </w:rPr>
            </w:pPr>
            <w:r>
              <w:rPr>
                <w:b/>
                <w:w w:val="95"/>
                <w:sz w:val="20"/>
              </w:rPr>
              <w:t>83,060</w:t>
            </w:r>
          </w:p>
        </w:tc>
        <w:tc>
          <w:tcPr>
            <w:tcW w:w="1188" w:type="dxa"/>
          </w:tcPr>
          <w:p w:rsidR="007C5447" w:rsidRDefault="00F6308C">
            <w:pPr>
              <w:pStyle w:val="TableParagraph"/>
              <w:spacing w:before="98"/>
              <w:ind w:right="196"/>
              <w:rPr>
                <w:b/>
                <w:sz w:val="20"/>
              </w:rPr>
            </w:pPr>
            <w:r>
              <w:rPr>
                <w:b/>
                <w:w w:val="95"/>
                <w:sz w:val="20"/>
              </w:rPr>
              <w:t>90,613</w:t>
            </w:r>
          </w:p>
        </w:tc>
        <w:tc>
          <w:tcPr>
            <w:tcW w:w="1186" w:type="dxa"/>
          </w:tcPr>
          <w:p w:rsidR="007C5447" w:rsidRDefault="00F6308C">
            <w:pPr>
              <w:pStyle w:val="TableParagraph"/>
              <w:spacing w:before="98"/>
              <w:ind w:right="198"/>
              <w:rPr>
                <w:b/>
                <w:sz w:val="20"/>
              </w:rPr>
            </w:pPr>
            <w:r>
              <w:rPr>
                <w:b/>
                <w:w w:val="95"/>
                <w:sz w:val="20"/>
              </w:rPr>
              <w:t>73,809</w:t>
            </w:r>
          </w:p>
        </w:tc>
        <w:tc>
          <w:tcPr>
            <w:tcW w:w="1185" w:type="dxa"/>
          </w:tcPr>
          <w:p w:rsidR="007C5447" w:rsidRDefault="00F6308C">
            <w:pPr>
              <w:pStyle w:val="TableParagraph"/>
              <w:spacing w:before="98"/>
              <w:ind w:right="197"/>
              <w:rPr>
                <w:b/>
                <w:sz w:val="20"/>
              </w:rPr>
            </w:pPr>
            <w:r>
              <w:rPr>
                <w:b/>
                <w:w w:val="95"/>
                <w:sz w:val="20"/>
              </w:rPr>
              <w:t>81,717</w:t>
            </w:r>
          </w:p>
        </w:tc>
        <w:tc>
          <w:tcPr>
            <w:tcW w:w="1187" w:type="dxa"/>
          </w:tcPr>
          <w:p w:rsidR="007C5447" w:rsidRDefault="00F6308C">
            <w:pPr>
              <w:pStyle w:val="TableParagraph"/>
              <w:spacing w:before="98"/>
              <w:ind w:right="194"/>
              <w:rPr>
                <w:b/>
                <w:sz w:val="20"/>
              </w:rPr>
            </w:pPr>
            <w:r>
              <w:rPr>
                <w:b/>
                <w:w w:val="95"/>
                <w:sz w:val="20"/>
              </w:rPr>
              <w:t>88,780</w:t>
            </w:r>
          </w:p>
        </w:tc>
      </w:tr>
    </w:tbl>
    <w:p w:rsidR="007C5447" w:rsidRDefault="007C5447">
      <w:pPr>
        <w:rPr>
          <w:sz w:val="20"/>
        </w:rPr>
        <w:sectPr w:rsidR="007C5447">
          <w:footerReference w:type="default" r:id="rId45"/>
          <w:pgSz w:w="16840" w:h="11910" w:orient="landscape"/>
          <w:pgMar w:top="1100" w:right="1220" w:bottom="260" w:left="1220" w:header="0" w:footer="68" w:gutter="0"/>
          <w:cols w:space="720"/>
        </w:sectPr>
      </w:pPr>
    </w:p>
    <w:p w:rsidR="007C5447" w:rsidRDefault="00F6308C">
      <w:pPr>
        <w:pStyle w:val="Heading2"/>
        <w:numPr>
          <w:ilvl w:val="1"/>
          <w:numId w:val="114"/>
        </w:numPr>
        <w:tabs>
          <w:tab w:val="left" w:pos="1106"/>
          <w:tab w:val="left" w:pos="1107"/>
        </w:tabs>
        <w:spacing w:before="81"/>
        <w:ind w:left="1106"/>
      </w:pPr>
      <w:bookmarkStart w:id="58" w:name="_bookmark58"/>
      <w:bookmarkEnd w:id="58"/>
      <w:r>
        <w:lastRenderedPageBreak/>
        <w:t>Energy Balance and Distribution</w:t>
      </w:r>
      <w:r>
        <w:rPr>
          <w:spacing w:val="-2"/>
        </w:rPr>
        <w:t xml:space="preserve"> </w:t>
      </w:r>
      <w:r>
        <w:t>Loss</w:t>
      </w:r>
    </w:p>
    <w:p w:rsidR="007C5447" w:rsidRDefault="007C5447">
      <w:pPr>
        <w:pStyle w:val="BodyText"/>
        <w:spacing w:before="11"/>
        <w:rPr>
          <w:b/>
          <w:sz w:val="27"/>
        </w:rPr>
      </w:pPr>
    </w:p>
    <w:p w:rsidR="007C5447" w:rsidRDefault="00F6308C">
      <w:pPr>
        <w:pStyle w:val="ListParagraph"/>
        <w:numPr>
          <w:ilvl w:val="2"/>
          <w:numId w:val="114"/>
        </w:numPr>
        <w:tabs>
          <w:tab w:val="left" w:pos="1393"/>
        </w:tabs>
        <w:spacing w:line="312" w:lineRule="auto"/>
        <w:ind w:left="1392" w:right="510" w:hanging="852"/>
        <w:jc w:val="both"/>
        <w:rPr>
          <w:sz w:val="24"/>
        </w:rPr>
      </w:pPr>
      <w:r>
        <w:rPr>
          <w:sz w:val="24"/>
        </w:rPr>
        <w:t>TANGEDCO submitted that it has considered losses of 20.44%, 19% and 18.7% for FY 2016-17, FY 2017-18, and FY 2018-19, respectively. Based on the projected T&amp;D loss and projected sales, it has estimated quantum of power to be purchased. The Energy Balance f</w:t>
      </w:r>
      <w:r>
        <w:rPr>
          <w:sz w:val="24"/>
        </w:rPr>
        <w:t>or the Control Period from FY 2016-17 to FY 2018-19 (excluding wheeling units) as submitted by TANGEDCO is shown in the Table</w:t>
      </w:r>
      <w:r>
        <w:rPr>
          <w:spacing w:val="-8"/>
          <w:sz w:val="24"/>
        </w:rPr>
        <w:t xml:space="preserve"> </w:t>
      </w:r>
      <w:r>
        <w:rPr>
          <w:sz w:val="24"/>
        </w:rPr>
        <w:t>below:</w:t>
      </w:r>
    </w:p>
    <w:p w:rsidR="007C5447" w:rsidRDefault="007C5447">
      <w:pPr>
        <w:pStyle w:val="BodyText"/>
        <w:rPr>
          <w:sz w:val="21"/>
        </w:rPr>
      </w:pPr>
    </w:p>
    <w:p w:rsidR="007C5447" w:rsidRDefault="00F6308C">
      <w:pPr>
        <w:pStyle w:val="Heading2"/>
        <w:ind w:left="0" w:right="1085"/>
        <w:jc w:val="right"/>
      </w:pPr>
      <w:r>
        <w:t>Table 4-2: Energy Balance for the Control Period as submitted by TANGEDCO</w:t>
      </w:r>
    </w:p>
    <w:p w:rsidR="007C5447" w:rsidRDefault="007C5447">
      <w:pPr>
        <w:pStyle w:val="BodyText"/>
        <w:spacing w:before="2"/>
        <w:rPr>
          <w:b/>
          <w:sz w:val="7"/>
        </w:rPr>
      </w:pPr>
    </w:p>
    <w:tbl>
      <w:tblPr>
        <w:tblW w:w="0" w:type="auto"/>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3"/>
        <w:gridCol w:w="2597"/>
        <w:gridCol w:w="871"/>
        <w:gridCol w:w="1517"/>
        <w:gridCol w:w="1517"/>
        <w:gridCol w:w="1516"/>
      </w:tblGrid>
      <w:tr w:rsidR="007C5447">
        <w:trPr>
          <w:trHeight w:val="455"/>
        </w:trPr>
        <w:tc>
          <w:tcPr>
            <w:tcW w:w="643" w:type="dxa"/>
            <w:shd w:val="clear" w:color="auto" w:fill="F7C9AC"/>
          </w:tcPr>
          <w:p w:rsidR="007C5447" w:rsidRDefault="00F6308C">
            <w:pPr>
              <w:pStyle w:val="TableParagraph"/>
              <w:spacing w:before="99"/>
              <w:ind w:left="201"/>
              <w:jc w:val="left"/>
              <w:rPr>
                <w:b/>
              </w:rPr>
            </w:pPr>
            <w:r>
              <w:rPr>
                <w:b/>
              </w:rPr>
              <w:t>Sl.</w:t>
            </w:r>
          </w:p>
        </w:tc>
        <w:tc>
          <w:tcPr>
            <w:tcW w:w="2597" w:type="dxa"/>
            <w:shd w:val="clear" w:color="auto" w:fill="F7C9AC"/>
          </w:tcPr>
          <w:p w:rsidR="007C5447" w:rsidRDefault="00F6308C">
            <w:pPr>
              <w:pStyle w:val="TableParagraph"/>
              <w:spacing w:before="99"/>
              <w:ind w:left="772"/>
              <w:jc w:val="left"/>
              <w:rPr>
                <w:b/>
              </w:rPr>
            </w:pPr>
            <w:r>
              <w:rPr>
                <w:b/>
              </w:rPr>
              <w:t>Particulars</w:t>
            </w:r>
          </w:p>
        </w:tc>
        <w:tc>
          <w:tcPr>
            <w:tcW w:w="871" w:type="dxa"/>
            <w:shd w:val="clear" w:color="auto" w:fill="F7C9AC"/>
          </w:tcPr>
          <w:p w:rsidR="007C5447" w:rsidRDefault="00F6308C">
            <w:pPr>
              <w:pStyle w:val="TableParagraph"/>
              <w:spacing w:before="99"/>
              <w:ind w:left="228"/>
              <w:jc w:val="left"/>
              <w:rPr>
                <w:b/>
              </w:rPr>
            </w:pPr>
            <w:r>
              <w:rPr>
                <w:b/>
              </w:rPr>
              <w:t>Unit</w:t>
            </w:r>
          </w:p>
        </w:tc>
        <w:tc>
          <w:tcPr>
            <w:tcW w:w="1517" w:type="dxa"/>
            <w:shd w:val="clear" w:color="auto" w:fill="F7C9AC"/>
          </w:tcPr>
          <w:p w:rsidR="007C5447" w:rsidRDefault="00F6308C">
            <w:pPr>
              <w:pStyle w:val="TableParagraph"/>
              <w:spacing w:before="99"/>
              <w:ind w:right="203"/>
              <w:rPr>
                <w:b/>
              </w:rPr>
            </w:pPr>
            <w:r>
              <w:rPr>
                <w:b/>
              </w:rPr>
              <w:t>FY 2016-17</w:t>
            </w:r>
          </w:p>
        </w:tc>
        <w:tc>
          <w:tcPr>
            <w:tcW w:w="1517" w:type="dxa"/>
            <w:shd w:val="clear" w:color="auto" w:fill="F7C9AC"/>
          </w:tcPr>
          <w:p w:rsidR="007C5447" w:rsidRDefault="00F6308C">
            <w:pPr>
              <w:pStyle w:val="TableParagraph"/>
              <w:spacing w:before="99"/>
              <w:ind w:right="203"/>
              <w:rPr>
                <w:b/>
              </w:rPr>
            </w:pPr>
            <w:r>
              <w:rPr>
                <w:b/>
              </w:rPr>
              <w:t>FY 2017-18</w:t>
            </w:r>
          </w:p>
        </w:tc>
        <w:tc>
          <w:tcPr>
            <w:tcW w:w="1516" w:type="dxa"/>
            <w:shd w:val="clear" w:color="auto" w:fill="F7C9AC"/>
          </w:tcPr>
          <w:p w:rsidR="007C5447" w:rsidRDefault="00F6308C">
            <w:pPr>
              <w:pStyle w:val="TableParagraph"/>
              <w:spacing w:before="99"/>
              <w:ind w:right="202"/>
              <w:rPr>
                <w:b/>
              </w:rPr>
            </w:pPr>
            <w:r>
              <w:rPr>
                <w:b/>
              </w:rPr>
              <w:t>FY 2018-19</w:t>
            </w:r>
          </w:p>
        </w:tc>
      </w:tr>
      <w:tr w:rsidR="007C5447">
        <w:trPr>
          <w:trHeight w:val="305"/>
        </w:trPr>
        <w:tc>
          <w:tcPr>
            <w:tcW w:w="643" w:type="dxa"/>
          </w:tcPr>
          <w:p w:rsidR="007C5447" w:rsidRDefault="00F6308C">
            <w:pPr>
              <w:pStyle w:val="TableParagraph"/>
              <w:spacing w:before="25"/>
              <w:ind w:left="107"/>
              <w:jc w:val="left"/>
            </w:pPr>
            <w:r>
              <w:t>1</w:t>
            </w:r>
          </w:p>
        </w:tc>
        <w:tc>
          <w:tcPr>
            <w:tcW w:w="2597" w:type="dxa"/>
          </w:tcPr>
          <w:p w:rsidR="007C5447" w:rsidRDefault="00F6308C">
            <w:pPr>
              <w:pStyle w:val="TableParagraph"/>
              <w:spacing w:line="252" w:lineRule="exact"/>
              <w:ind w:left="107"/>
              <w:jc w:val="left"/>
            </w:pPr>
            <w:r>
              <w:t>Total Demand/Sales</w:t>
            </w:r>
          </w:p>
        </w:tc>
        <w:tc>
          <w:tcPr>
            <w:tcW w:w="871" w:type="dxa"/>
          </w:tcPr>
          <w:p w:rsidR="007C5447" w:rsidRDefault="00F6308C">
            <w:pPr>
              <w:pStyle w:val="TableParagraph"/>
              <w:spacing w:before="25"/>
              <w:ind w:left="209"/>
              <w:jc w:val="left"/>
            </w:pPr>
            <w:r>
              <w:t>MU</w:t>
            </w:r>
          </w:p>
        </w:tc>
        <w:tc>
          <w:tcPr>
            <w:tcW w:w="1517" w:type="dxa"/>
          </w:tcPr>
          <w:p w:rsidR="007C5447" w:rsidRDefault="00F6308C">
            <w:pPr>
              <w:pStyle w:val="TableParagraph"/>
              <w:spacing w:before="25"/>
              <w:ind w:right="189"/>
            </w:pPr>
            <w:r>
              <w:t>74,872.45</w:t>
            </w:r>
          </w:p>
        </w:tc>
        <w:tc>
          <w:tcPr>
            <w:tcW w:w="1517" w:type="dxa"/>
          </w:tcPr>
          <w:p w:rsidR="007C5447" w:rsidRDefault="00F6308C">
            <w:pPr>
              <w:pStyle w:val="TableParagraph"/>
              <w:spacing w:before="25"/>
              <w:ind w:right="189"/>
            </w:pPr>
            <w:r>
              <w:t>83,059.93</w:t>
            </w:r>
          </w:p>
        </w:tc>
        <w:tc>
          <w:tcPr>
            <w:tcW w:w="1516" w:type="dxa"/>
          </w:tcPr>
          <w:p w:rsidR="007C5447" w:rsidRDefault="00F6308C">
            <w:pPr>
              <w:pStyle w:val="TableParagraph"/>
              <w:spacing w:before="25"/>
              <w:ind w:right="187"/>
            </w:pPr>
            <w:r>
              <w:t>90,612.78</w:t>
            </w:r>
          </w:p>
        </w:tc>
      </w:tr>
      <w:tr w:rsidR="007C5447">
        <w:trPr>
          <w:trHeight w:val="366"/>
        </w:trPr>
        <w:tc>
          <w:tcPr>
            <w:tcW w:w="643" w:type="dxa"/>
          </w:tcPr>
          <w:p w:rsidR="007C5447" w:rsidRDefault="00F6308C">
            <w:pPr>
              <w:pStyle w:val="TableParagraph"/>
              <w:spacing w:before="56"/>
              <w:ind w:left="107"/>
              <w:jc w:val="left"/>
            </w:pPr>
            <w:r>
              <w:t>2</w:t>
            </w:r>
          </w:p>
        </w:tc>
        <w:tc>
          <w:tcPr>
            <w:tcW w:w="2597" w:type="dxa"/>
          </w:tcPr>
          <w:p w:rsidR="007C5447" w:rsidRDefault="00F6308C">
            <w:pPr>
              <w:pStyle w:val="TableParagraph"/>
              <w:spacing w:line="251" w:lineRule="exact"/>
              <w:ind w:left="107"/>
              <w:jc w:val="left"/>
            </w:pPr>
            <w:r>
              <w:t>Distribution Loss*</w:t>
            </w:r>
          </w:p>
        </w:tc>
        <w:tc>
          <w:tcPr>
            <w:tcW w:w="871" w:type="dxa"/>
          </w:tcPr>
          <w:p w:rsidR="007C5447" w:rsidRDefault="00F6308C">
            <w:pPr>
              <w:pStyle w:val="TableParagraph"/>
              <w:spacing w:before="56"/>
              <w:ind w:left="209"/>
              <w:jc w:val="left"/>
            </w:pPr>
            <w:r>
              <w:t>MU</w:t>
            </w:r>
          </w:p>
        </w:tc>
        <w:tc>
          <w:tcPr>
            <w:tcW w:w="1517" w:type="dxa"/>
          </w:tcPr>
          <w:p w:rsidR="007C5447" w:rsidRDefault="00F6308C">
            <w:pPr>
              <w:pStyle w:val="TableParagraph"/>
              <w:spacing w:before="56"/>
              <w:ind w:right="189"/>
            </w:pPr>
            <w:r>
              <w:t>19,234.52</w:t>
            </w:r>
          </w:p>
        </w:tc>
        <w:tc>
          <w:tcPr>
            <w:tcW w:w="1517" w:type="dxa"/>
          </w:tcPr>
          <w:p w:rsidR="007C5447" w:rsidRDefault="00F6308C">
            <w:pPr>
              <w:pStyle w:val="TableParagraph"/>
              <w:spacing w:before="56"/>
              <w:ind w:right="189"/>
            </w:pPr>
            <w:r>
              <w:t>19,483.19</w:t>
            </w:r>
          </w:p>
        </w:tc>
        <w:tc>
          <w:tcPr>
            <w:tcW w:w="1516" w:type="dxa"/>
          </w:tcPr>
          <w:p w:rsidR="007C5447" w:rsidRDefault="00F6308C">
            <w:pPr>
              <w:pStyle w:val="TableParagraph"/>
              <w:spacing w:before="56"/>
              <w:ind w:right="187"/>
            </w:pPr>
            <w:r>
              <w:t>20,842.05</w:t>
            </w:r>
          </w:p>
        </w:tc>
      </w:tr>
      <w:tr w:rsidR="007C5447">
        <w:trPr>
          <w:trHeight w:val="287"/>
        </w:trPr>
        <w:tc>
          <w:tcPr>
            <w:tcW w:w="643" w:type="dxa"/>
          </w:tcPr>
          <w:p w:rsidR="007C5447" w:rsidRDefault="00F6308C">
            <w:pPr>
              <w:pStyle w:val="TableParagraph"/>
              <w:spacing w:before="17" w:line="250" w:lineRule="exact"/>
              <w:ind w:left="107"/>
              <w:jc w:val="left"/>
            </w:pPr>
            <w:r>
              <w:t>3</w:t>
            </w:r>
          </w:p>
        </w:tc>
        <w:tc>
          <w:tcPr>
            <w:tcW w:w="2597" w:type="dxa"/>
          </w:tcPr>
          <w:p w:rsidR="007C5447" w:rsidRDefault="00F6308C">
            <w:pPr>
              <w:pStyle w:val="TableParagraph"/>
              <w:spacing w:before="1"/>
              <w:ind w:left="107"/>
              <w:jc w:val="left"/>
            </w:pPr>
            <w:r>
              <w:t>Distribution Loss*</w:t>
            </w:r>
          </w:p>
        </w:tc>
        <w:tc>
          <w:tcPr>
            <w:tcW w:w="871" w:type="dxa"/>
          </w:tcPr>
          <w:p w:rsidR="007C5447" w:rsidRDefault="00F6308C">
            <w:pPr>
              <w:pStyle w:val="TableParagraph"/>
              <w:spacing w:before="17" w:line="250" w:lineRule="exact"/>
              <w:ind w:right="84"/>
              <w:jc w:val="center"/>
            </w:pPr>
            <w:r>
              <w:t>%</w:t>
            </w:r>
          </w:p>
        </w:tc>
        <w:tc>
          <w:tcPr>
            <w:tcW w:w="1517" w:type="dxa"/>
          </w:tcPr>
          <w:p w:rsidR="007C5447" w:rsidRDefault="00F6308C">
            <w:pPr>
              <w:pStyle w:val="TableParagraph"/>
              <w:spacing w:before="17" w:line="250" w:lineRule="exact"/>
              <w:ind w:right="189"/>
            </w:pPr>
            <w:r>
              <w:t>20.44%</w:t>
            </w:r>
          </w:p>
        </w:tc>
        <w:tc>
          <w:tcPr>
            <w:tcW w:w="1517" w:type="dxa"/>
          </w:tcPr>
          <w:p w:rsidR="007C5447" w:rsidRDefault="00F6308C">
            <w:pPr>
              <w:pStyle w:val="TableParagraph"/>
              <w:spacing w:before="17" w:line="250" w:lineRule="exact"/>
              <w:ind w:right="189"/>
            </w:pPr>
            <w:r>
              <w:t>19.00%</w:t>
            </w:r>
          </w:p>
        </w:tc>
        <w:tc>
          <w:tcPr>
            <w:tcW w:w="1516" w:type="dxa"/>
          </w:tcPr>
          <w:p w:rsidR="007C5447" w:rsidRDefault="00F6308C">
            <w:pPr>
              <w:pStyle w:val="TableParagraph"/>
              <w:spacing w:before="17" w:line="250" w:lineRule="exact"/>
              <w:ind w:right="188"/>
            </w:pPr>
            <w:r>
              <w:t>18.70%</w:t>
            </w:r>
          </w:p>
        </w:tc>
      </w:tr>
      <w:tr w:rsidR="007C5447">
        <w:trPr>
          <w:trHeight w:val="506"/>
        </w:trPr>
        <w:tc>
          <w:tcPr>
            <w:tcW w:w="643" w:type="dxa"/>
          </w:tcPr>
          <w:p w:rsidR="007C5447" w:rsidRDefault="00F6308C">
            <w:pPr>
              <w:pStyle w:val="TableParagraph"/>
              <w:spacing w:before="125"/>
              <w:ind w:left="107"/>
              <w:jc w:val="left"/>
              <w:rPr>
                <w:b/>
              </w:rPr>
            </w:pPr>
            <w:r>
              <w:rPr>
                <w:b/>
              </w:rPr>
              <w:t>4</w:t>
            </w:r>
          </w:p>
        </w:tc>
        <w:tc>
          <w:tcPr>
            <w:tcW w:w="2597" w:type="dxa"/>
          </w:tcPr>
          <w:p w:rsidR="007C5447" w:rsidRDefault="00F6308C">
            <w:pPr>
              <w:pStyle w:val="TableParagraph"/>
              <w:spacing w:line="254" w:lineRule="exact"/>
              <w:ind w:left="107" w:right="107"/>
              <w:jc w:val="left"/>
              <w:rPr>
                <w:b/>
              </w:rPr>
            </w:pPr>
            <w:r>
              <w:rPr>
                <w:b/>
              </w:rPr>
              <w:t>Total Energy required to meet the demand</w:t>
            </w:r>
          </w:p>
        </w:tc>
        <w:tc>
          <w:tcPr>
            <w:tcW w:w="871" w:type="dxa"/>
          </w:tcPr>
          <w:p w:rsidR="007C5447" w:rsidRDefault="00F6308C">
            <w:pPr>
              <w:pStyle w:val="TableParagraph"/>
              <w:spacing w:before="125"/>
              <w:ind w:left="204"/>
              <w:jc w:val="left"/>
              <w:rPr>
                <w:b/>
              </w:rPr>
            </w:pPr>
            <w:r>
              <w:rPr>
                <w:b/>
              </w:rPr>
              <w:t>MU</w:t>
            </w:r>
          </w:p>
        </w:tc>
        <w:tc>
          <w:tcPr>
            <w:tcW w:w="1517" w:type="dxa"/>
          </w:tcPr>
          <w:p w:rsidR="007C5447" w:rsidRDefault="00F6308C">
            <w:pPr>
              <w:pStyle w:val="TableParagraph"/>
              <w:spacing w:before="125"/>
              <w:ind w:right="189"/>
              <w:rPr>
                <w:b/>
              </w:rPr>
            </w:pPr>
            <w:r>
              <w:rPr>
                <w:b/>
              </w:rPr>
              <w:t>94,106.97</w:t>
            </w:r>
          </w:p>
        </w:tc>
        <w:tc>
          <w:tcPr>
            <w:tcW w:w="1517" w:type="dxa"/>
          </w:tcPr>
          <w:p w:rsidR="007C5447" w:rsidRDefault="00F6308C">
            <w:pPr>
              <w:pStyle w:val="TableParagraph"/>
              <w:spacing w:before="125"/>
              <w:ind w:right="189"/>
              <w:rPr>
                <w:b/>
              </w:rPr>
            </w:pPr>
            <w:r>
              <w:rPr>
                <w:b/>
              </w:rPr>
              <w:t>1,02,543.12</w:t>
            </w:r>
          </w:p>
        </w:tc>
        <w:tc>
          <w:tcPr>
            <w:tcW w:w="1516" w:type="dxa"/>
          </w:tcPr>
          <w:p w:rsidR="007C5447" w:rsidRDefault="00F6308C">
            <w:pPr>
              <w:pStyle w:val="TableParagraph"/>
              <w:spacing w:before="125"/>
              <w:ind w:right="187"/>
              <w:rPr>
                <w:b/>
              </w:rPr>
            </w:pPr>
            <w:r>
              <w:rPr>
                <w:b/>
              </w:rPr>
              <w:t>1,11,454.83</w:t>
            </w:r>
          </w:p>
        </w:tc>
      </w:tr>
      <w:tr w:rsidR="007C5447">
        <w:trPr>
          <w:trHeight w:val="503"/>
        </w:trPr>
        <w:tc>
          <w:tcPr>
            <w:tcW w:w="643" w:type="dxa"/>
          </w:tcPr>
          <w:p w:rsidR="007C5447" w:rsidRDefault="00F6308C">
            <w:pPr>
              <w:pStyle w:val="TableParagraph"/>
              <w:spacing w:before="123"/>
              <w:ind w:left="107"/>
              <w:jc w:val="left"/>
            </w:pPr>
            <w:r>
              <w:t>5</w:t>
            </w:r>
          </w:p>
        </w:tc>
        <w:tc>
          <w:tcPr>
            <w:tcW w:w="2597" w:type="dxa"/>
          </w:tcPr>
          <w:p w:rsidR="007C5447" w:rsidRDefault="00F6308C">
            <w:pPr>
              <w:pStyle w:val="TableParagraph"/>
              <w:spacing w:line="249" w:lineRule="exact"/>
              <w:ind w:left="107"/>
              <w:jc w:val="left"/>
            </w:pPr>
            <w:r>
              <w:t>Power available from own</w:t>
            </w:r>
          </w:p>
          <w:p w:rsidR="007C5447" w:rsidRDefault="00F6308C">
            <w:pPr>
              <w:pStyle w:val="TableParagraph"/>
              <w:spacing w:before="1" w:line="233" w:lineRule="exact"/>
              <w:ind w:left="107"/>
              <w:jc w:val="left"/>
            </w:pPr>
            <w:r>
              <w:t>generation</w:t>
            </w:r>
          </w:p>
        </w:tc>
        <w:tc>
          <w:tcPr>
            <w:tcW w:w="871" w:type="dxa"/>
          </w:tcPr>
          <w:p w:rsidR="007C5447" w:rsidRDefault="00F6308C">
            <w:pPr>
              <w:pStyle w:val="TableParagraph"/>
              <w:spacing w:before="123"/>
              <w:ind w:left="209"/>
              <w:jc w:val="left"/>
            </w:pPr>
            <w:r>
              <w:t>MU</w:t>
            </w:r>
          </w:p>
        </w:tc>
        <w:tc>
          <w:tcPr>
            <w:tcW w:w="1517" w:type="dxa"/>
          </w:tcPr>
          <w:p w:rsidR="007C5447" w:rsidRDefault="00F6308C">
            <w:pPr>
              <w:pStyle w:val="TableParagraph"/>
              <w:spacing w:before="123"/>
              <w:ind w:right="189"/>
            </w:pPr>
            <w:r>
              <w:t>34,925.63</w:t>
            </w:r>
          </w:p>
        </w:tc>
        <w:tc>
          <w:tcPr>
            <w:tcW w:w="1517" w:type="dxa"/>
          </w:tcPr>
          <w:p w:rsidR="007C5447" w:rsidRDefault="00F6308C">
            <w:pPr>
              <w:pStyle w:val="TableParagraph"/>
              <w:spacing w:before="123"/>
              <w:ind w:right="189"/>
            </w:pPr>
            <w:r>
              <w:t>36,922.43</w:t>
            </w:r>
          </w:p>
        </w:tc>
        <w:tc>
          <w:tcPr>
            <w:tcW w:w="1516" w:type="dxa"/>
          </w:tcPr>
          <w:p w:rsidR="007C5447" w:rsidRDefault="00F6308C">
            <w:pPr>
              <w:pStyle w:val="TableParagraph"/>
              <w:spacing w:before="123"/>
              <w:ind w:right="187"/>
            </w:pPr>
            <w:r>
              <w:t>39,344.91</w:t>
            </w:r>
          </w:p>
        </w:tc>
      </w:tr>
      <w:tr w:rsidR="007C5447">
        <w:trPr>
          <w:trHeight w:val="506"/>
        </w:trPr>
        <w:tc>
          <w:tcPr>
            <w:tcW w:w="643" w:type="dxa"/>
          </w:tcPr>
          <w:p w:rsidR="007C5447" w:rsidRDefault="00F6308C">
            <w:pPr>
              <w:pStyle w:val="TableParagraph"/>
              <w:spacing w:before="125"/>
              <w:ind w:left="107"/>
              <w:jc w:val="left"/>
            </w:pPr>
            <w:r>
              <w:t>6</w:t>
            </w:r>
          </w:p>
        </w:tc>
        <w:tc>
          <w:tcPr>
            <w:tcW w:w="2597" w:type="dxa"/>
          </w:tcPr>
          <w:p w:rsidR="007C5447" w:rsidRDefault="00F6308C">
            <w:pPr>
              <w:pStyle w:val="TableParagraph"/>
              <w:spacing w:line="254" w:lineRule="exact"/>
              <w:ind w:left="107" w:right="462"/>
              <w:jc w:val="left"/>
            </w:pPr>
            <w:r>
              <w:t>Power to be purchased from outside sources</w:t>
            </w:r>
          </w:p>
        </w:tc>
        <w:tc>
          <w:tcPr>
            <w:tcW w:w="871" w:type="dxa"/>
          </w:tcPr>
          <w:p w:rsidR="007C5447" w:rsidRDefault="00F6308C">
            <w:pPr>
              <w:pStyle w:val="TableParagraph"/>
              <w:spacing w:before="125"/>
              <w:ind w:left="209"/>
              <w:jc w:val="left"/>
            </w:pPr>
            <w:r>
              <w:t>MU</w:t>
            </w:r>
          </w:p>
        </w:tc>
        <w:tc>
          <w:tcPr>
            <w:tcW w:w="1517" w:type="dxa"/>
          </w:tcPr>
          <w:p w:rsidR="007C5447" w:rsidRDefault="00F6308C">
            <w:pPr>
              <w:pStyle w:val="TableParagraph"/>
              <w:spacing w:before="125"/>
              <w:ind w:right="189"/>
            </w:pPr>
            <w:r>
              <w:t>59,181.35</w:t>
            </w:r>
          </w:p>
        </w:tc>
        <w:tc>
          <w:tcPr>
            <w:tcW w:w="1517" w:type="dxa"/>
          </w:tcPr>
          <w:p w:rsidR="007C5447" w:rsidRDefault="00F6308C">
            <w:pPr>
              <w:pStyle w:val="TableParagraph"/>
              <w:spacing w:before="125"/>
              <w:ind w:right="189"/>
            </w:pPr>
            <w:r>
              <w:t>65,620.69</w:t>
            </w:r>
          </w:p>
        </w:tc>
        <w:tc>
          <w:tcPr>
            <w:tcW w:w="1516" w:type="dxa"/>
          </w:tcPr>
          <w:p w:rsidR="007C5447" w:rsidRDefault="00F6308C">
            <w:pPr>
              <w:pStyle w:val="TableParagraph"/>
              <w:spacing w:before="125"/>
              <w:ind w:right="187"/>
            </w:pPr>
            <w:r>
              <w:t>72,109.92</w:t>
            </w:r>
          </w:p>
        </w:tc>
      </w:tr>
    </w:tbl>
    <w:p w:rsidR="007C5447" w:rsidRDefault="00F6308C">
      <w:pPr>
        <w:spacing w:before="1"/>
        <w:ind w:right="1170"/>
        <w:jc w:val="right"/>
      </w:pPr>
      <w:r>
        <w:rPr>
          <w:b/>
        </w:rPr>
        <w:t>Note</w:t>
      </w:r>
      <w:r>
        <w:t>: * mentioned as Distribution Loss in TANGEDCO Petition, however, it is actually T&amp;D loss</w:t>
      </w:r>
    </w:p>
    <w:p w:rsidR="007C5447" w:rsidRDefault="007C5447">
      <w:pPr>
        <w:pStyle w:val="BodyText"/>
        <w:spacing w:before="3"/>
        <w:rPr>
          <w:sz w:val="27"/>
        </w:rPr>
      </w:pPr>
    </w:p>
    <w:p w:rsidR="007C5447" w:rsidRDefault="00F6308C">
      <w:pPr>
        <w:pStyle w:val="Heading2"/>
        <w:ind w:left="1392"/>
      </w:pPr>
      <w:r>
        <w:t>Commission’s Views</w:t>
      </w:r>
    </w:p>
    <w:p w:rsidR="007C5447" w:rsidRDefault="00F6308C">
      <w:pPr>
        <w:pStyle w:val="ListParagraph"/>
        <w:numPr>
          <w:ilvl w:val="2"/>
          <w:numId w:val="114"/>
        </w:numPr>
        <w:tabs>
          <w:tab w:val="left" w:pos="1393"/>
        </w:tabs>
        <w:spacing w:before="205" w:line="312" w:lineRule="auto"/>
        <w:ind w:left="1392" w:right="514" w:hanging="852"/>
        <w:jc w:val="both"/>
        <w:rPr>
          <w:sz w:val="24"/>
        </w:rPr>
      </w:pPr>
      <w:r>
        <w:rPr>
          <w:sz w:val="24"/>
        </w:rPr>
        <w:t xml:space="preserve">As discussed in Chapter 3 of this Order, in the earlier Orders, the Commission had directed TANGEDCO to undertake a scientific study to determine </w:t>
      </w:r>
      <w:r>
        <w:rPr>
          <w:sz w:val="24"/>
        </w:rPr>
        <w:t>Distribution Loss. TANGEDCO submitted that it had undertaken a study to assess the Distribution Loss using the Rural Electrification Corporation (REC) methodology and submitted the Report on the same to the Commission. The Commission has analysed the repor</w:t>
      </w:r>
      <w:r>
        <w:rPr>
          <w:sz w:val="24"/>
        </w:rPr>
        <w:t>t submitted by TANGEDCO and the brief facts have been discussed</w:t>
      </w:r>
      <w:r>
        <w:rPr>
          <w:spacing w:val="-9"/>
          <w:sz w:val="24"/>
        </w:rPr>
        <w:t xml:space="preserve"> </w:t>
      </w:r>
      <w:r>
        <w:rPr>
          <w:sz w:val="24"/>
        </w:rPr>
        <w:t>below.</w:t>
      </w:r>
    </w:p>
    <w:p w:rsidR="007C5447" w:rsidRDefault="007C5447">
      <w:pPr>
        <w:pStyle w:val="BodyText"/>
        <w:spacing w:before="10"/>
        <w:rPr>
          <w:sz w:val="20"/>
        </w:rPr>
      </w:pPr>
    </w:p>
    <w:p w:rsidR="007C5447" w:rsidRDefault="00F6308C">
      <w:pPr>
        <w:pStyle w:val="ListParagraph"/>
        <w:numPr>
          <w:ilvl w:val="2"/>
          <w:numId w:val="114"/>
        </w:numPr>
        <w:tabs>
          <w:tab w:val="left" w:pos="1393"/>
        </w:tabs>
        <w:spacing w:line="312" w:lineRule="auto"/>
        <w:ind w:left="1392" w:right="504" w:hanging="852"/>
        <w:jc w:val="both"/>
        <w:rPr>
          <w:sz w:val="24"/>
        </w:rPr>
      </w:pPr>
      <w:r>
        <w:rPr>
          <w:sz w:val="24"/>
        </w:rPr>
        <w:t>TANGEDCO submitted that it has used REC methodology for computation of Distribution Loss. This approach has also been used by Uttar Gujarat Vij Company Limited, one of the State Distri</w:t>
      </w:r>
      <w:r>
        <w:rPr>
          <w:sz w:val="24"/>
        </w:rPr>
        <w:t>bution Licensee in Gujarat, for assessment of its Distribution Loss and its result was accepted by the Gujarat Electricity Regulatory Commission in FY 2014-15. The steps followed by TANGEDCO are as</w:t>
      </w:r>
      <w:r>
        <w:rPr>
          <w:spacing w:val="-9"/>
          <w:sz w:val="24"/>
        </w:rPr>
        <w:t xml:space="preserve"> </w:t>
      </w:r>
      <w:r>
        <w:rPr>
          <w:sz w:val="24"/>
        </w:rPr>
        <w:t>follows:</w:t>
      </w:r>
    </w:p>
    <w:p w:rsidR="007C5447" w:rsidRDefault="007C5447">
      <w:pPr>
        <w:pStyle w:val="BodyText"/>
        <w:spacing w:before="9"/>
        <w:rPr>
          <w:sz w:val="20"/>
        </w:rPr>
      </w:pPr>
    </w:p>
    <w:p w:rsidR="007C5447" w:rsidRDefault="00F6308C">
      <w:pPr>
        <w:pStyle w:val="ListParagraph"/>
        <w:numPr>
          <w:ilvl w:val="0"/>
          <w:numId w:val="69"/>
        </w:numPr>
        <w:tabs>
          <w:tab w:val="left" w:pos="1753"/>
        </w:tabs>
        <w:spacing w:before="1" w:line="312" w:lineRule="auto"/>
        <w:ind w:right="512"/>
        <w:jc w:val="both"/>
        <w:rPr>
          <w:sz w:val="24"/>
        </w:rPr>
      </w:pPr>
      <w:r>
        <w:rPr>
          <w:sz w:val="24"/>
        </w:rPr>
        <w:t>Since there are 7500 feeders (11/22 kV) as on Ma</w:t>
      </w:r>
      <w:r>
        <w:rPr>
          <w:sz w:val="24"/>
        </w:rPr>
        <w:t xml:space="preserve">rch 31, 2016, TANGEDCO has selected 3 feeders per circle, i.e., total 128 feeders across 43 circles were selected. Feeder selection has been done based on load distribution factor, which takes into account type of feeder, i.e., rural, urban or industrial. </w:t>
      </w:r>
      <w:r>
        <w:rPr>
          <w:sz w:val="24"/>
        </w:rPr>
        <w:t>Further, values were given to each type of feeder, rural (2), urban (1.5) and industrial</w:t>
      </w:r>
      <w:r>
        <w:rPr>
          <w:spacing w:val="-1"/>
          <w:sz w:val="24"/>
        </w:rPr>
        <w:t xml:space="preserve"> </w:t>
      </w:r>
      <w:r>
        <w:rPr>
          <w:sz w:val="24"/>
        </w:rPr>
        <w:t>(1).</w:t>
      </w:r>
    </w:p>
    <w:p w:rsidR="007C5447" w:rsidRDefault="007C5447">
      <w:pPr>
        <w:spacing w:line="312" w:lineRule="auto"/>
        <w:jc w:val="both"/>
        <w:rPr>
          <w:sz w:val="24"/>
        </w:rPr>
        <w:sectPr w:rsidR="007C5447">
          <w:footerReference w:type="default" r:id="rId46"/>
          <w:pgSz w:w="11910" w:h="16840"/>
          <w:pgMar w:top="1580" w:right="620" w:bottom="960" w:left="900" w:header="0" w:footer="777" w:gutter="0"/>
          <w:pgNumType w:start="190"/>
          <w:cols w:space="720"/>
        </w:sectPr>
      </w:pPr>
    </w:p>
    <w:p w:rsidR="007C5447" w:rsidRDefault="00F6308C">
      <w:pPr>
        <w:pStyle w:val="ListParagraph"/>
        <w:numPr>
          <w:ilvl w:val="0"/>
          <w:numId w:val="69"/>
        </w:numPr>
        <w:tabs>
          <w:tab w:val="left" w:pos="1753"/>
        </w:tabs>
        <w:spacing w:before="60" w:line="312" w:lineRule="auto"/>
        <w:ind w:right="513"/>
        <w:jc w:val="both"/>
        <w:rPr>
          <w:sz w:val="24"/>
        </w:rPr>
      </w:pPr>
      <w:r>
        <w:rPr>
          <w:sz w:val="24"/>
        </w:rPr>
        <w:lastRenderedPageBreak/>
        <w:t>Feeder details such as voltage, type, length (HT line), connected load, No. of DTs and its kVA rating, feeder peak (kVA), energy consumed, power factor, average hours of supply, etc., were</w:t>
      </w:r>
      <w:r>
        <w:rPr>
          <w:spacing w:val="-2"/>
          <w:sz w:val="24"/>
        </w:rPr>
        <w:t xml:space="preserve"> </w:t>
      </w:r>
      <w:r>
        <w:rPr>
          <w:sz w:val="24"/>
        </w:rPr>
        <w:t>collected.</w:t>
      </w:r>
    </w:p>
    <w:p w:rsidR="007C5447" w:rsidRDefault="007C5447">
      <w:pPr>
        <w:pStyle w:val="BodyText"/>
        <w:spacing w:before="10"/>
        <w:rPr>
          <w:sz w:val="20"/>
        </w:rPr>
      </w:pPr>
    </w:p>
    <w:p w:rsidR="007C5447" w:rsidRDefault="00F6308C">
      <w:pPr>
        <w:pStyle w:val="ListParagraph"/>
        <w:numPr>
          <w:ilvl w:val="0"/>
          <w:numId w:val="69"/>
        </w:numPr>
        <w:tabs>
          <w:tab w:val="left" w:pos="1753"/>
        </w:tabs>
        <w:ind w:hanging="361"/>
        <w:rPr>
          <w:sz w:val="24"/>
        </w:rPr>
      </w:pPr>
      <w:r>
        <w:rPr>
          <w:sz w:val="24"/>
        </w:rPr>
        <w:t xml:space="preserve">Based on above collected details, Distribution Loss of </w:t>
      </w:r>
      <w:r>
        <w:rPr>
          <w:sz w:val="24"/>
        </w:rPr>
        <w:t>each circle was</w:t>
      </w:r>
      <w:r>
        <w:rPr>
          <w:spacing w:val="-1"/>
          <w:sz w:val="24"/>
        </w:rPr>
        <w:t xml:space="preserve"> </w:t>
      </w:r>
      <w:r>
        <w:rPr>
          <w:sz w:val="24"/>
        </w:rPr>
        <w:t>assessed.</w:t>
      </w:r>
    </w:p>
    <w:p w:rsidR="007C5447" w:rsidRDefault="007C5447">
      <w:pPr>
        <w:pStyle w:val="BodyText"/>
        <w:spacing w:before="2"/>
        <w:rPr>
          <w:sz w:val="28"/>
        </w:rPr>
      </w:pPr>
    </w:p>
    <w:p w:rsidR="007C5447" w:rsidRDefault="00F6308C">
      <w:pPr>
        <w:pStyle w:val="ListParagraph"/>
        <w:numPr>
          <w:ilvl w:val="0"/>
          <w:numId w:val="69"/>
        </w:numPr>
        <w:tabs>
          <w:tab w:val="left" w:pos="1753"/>
        </w:tabs>
        <w:spacing w:line="312" w:lineRule="auto"/>
        <w:ind w:right="512"/>
        <w:jc w:val="both"/>
        <w:rPr>
          <w:sz w:val="24"/>
        </w:rPr>
      </w:pPr>
      <w:r>
        <w:rPr>
          <w:sz w:val="24"/>
        </w:rPr>
        <w:t>Then the circle-wise Distribution Loss was extrapolated for TANGEDCO as a whole.</w:t>
      </w:r>
    </w:p>
    <w:p w:rsidR="007C5447" w:rsidRDefault="007C5447">
      <w:pPr>
        <w:pStyle w:val="BodyText"/>
        <w:spacing w:before="10"/>
        <w:rPr>
          <w:sz w:val="20"/>
        </w:rPr>
      </w:pPr>
    </w:p>
    <w:p w:rsidR="007C5447" w:rsidRDefault="00F6308C">
      <w:pPr>
        <w:pStyle w:val="Heading2"/>
        <w:ind w:left="749"/>
      </w:pPr>
      <w:r>
        <w:t>Table 4-3: Region-wise Distribution Loss for FY 2015-16 as submitted by TANGEDCO</w:t>
      </w:r>
    </w:p>
    <w:p w:rsidR="007C5447" w:rsidRDefault="007C5447">
      <w:pPr>
        <w:pStyle w:val="BodyText"/>
        <w:spacing w:before="7"/>
        <w:rPr>
          <w:b/>
          <w:sz w:val="17"/>
        </w:rPr>
      </w:pPr>
    </w:p>
    <w:tbl>
      <w:tblPr>
        <w:tblW w:w="0" w:type="auto"/>
        <w:tblInd w:w="1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1"/>
        <w:gridCol w:w="2693"/>
        <w:gridCol w:w="1702"/>
        <w:gridCol w:w="1419"/>
        <w:gridCol w:w="1558"/>
      </w:tblGrid>
      <w:tr w:rsidR="007C5447">
        <w:trPr>
          <w:trHeight w:val="505"/>
        </w:trPr>
        <w:tc>
          <w:tcPr>
            <w:tcW w:w="991" w:type="dxa"/>
            <w:shd w:val="clear" w:color="auto" w:fill="F7C9AC"/>
          </w:tcPr>
          <w:p w:rsidR="007C5447" w:rsidRDefault="00F6308C">
            <w:pPr>
              <w:pStyle w:val="TableParagraph"/>
              <w:spacing w:before="125"/>
              <w:ind w:left="184"/>
              <w:jc w:val="left"/>
              <w:rPr>
                <w:b/>
              </w:rPr>
            </w:pPr>
            <w:r>
              <w:rPr>
                <w:b/>
              </w:rPr>
              <w:t>Sl. No.</w:t>
            </w:r>
          </w:p>
        </w:tc>
        <w:tc>
          <w:tcPr>
            <w:tcW w:w="2693" w:type="dxa"/>
            <w:shd w:val="clear" w:color="auto" w:fill="F7C9AC"/>
          </w:tcPr>
          <w:p w:rsidR="007C5447" w:rsidRDefault="00F6308C">
            <w:pPr>
              <w:pStyle w:val="TableParagraph"/>
              <w:spacing w:before="125"/>
              <w:ind w:left="996" w:right="986"/>
              <w:jc w:val="center"/>
              <w:rPr>
                <w:b/>
              </w:rPr>
            </w:pPr>
            <w:r>
              <w:rPr>
                <w:b/>
              </w:rPr>
              <w:t>Region</w:t>
            </w:r>
          </w:p>
        </w:tc>
        <w:tc>
          <w:tcPr>
            <w:tcW w:w="1702" w:type="dxa"/>
            <w:shd w:val="clear" w:color="auto" w:fill="F7C9AC"/>
          </w:tcPr>
          <w:p w:rsidR="007C5447" w:rsidRDefault="00F6308C">
            <w:pPr>
              <w:pStyle w:val="TableParagraph"/>
              <w:spacing w:before="4" w:line="252" w:lineRule="exact"/>
              <w:ind w:left="593" w:right="175" w:hanging="392"/>
              <w:jc w:val="left"/>
              <w:rPr>
                <w:b/>
              </w:rPr>
            </w:pPr>
            <w:r>
              <w:rPr>
                <w:b/>
              </w:rPr>
              <w:t>Units sent out (MU)</w:t>
            </w:r>
          </w:p>
        </w:tc>
        <w:tc>
          <w:tcPr>
            <w:tcW w:w="1419" w:type="dxa"/>
            <w:shd w:val="clear" w:color="auto" w:fill="F7C9AC"/>
          </w:tcPr>
          <w:p w:rsidR="007C5447" w:rsidRDefault="00F6308C">
            <w:pPr>
              <w:pStyle w:val="TableParagraph"/>
              <w:spacing w:before="4" w:line="252" w:lineRule="exact"/>
              <w:ind w:left="451" w:right="97" w:hanging="327"/>
              <w:jc w:val="left"/>
              <w:rPr>
                <w:b/>
              </w:rPr>
            </w:pPr>
            <w:r>
              <w:rPr>
                <w:b/>
              </w:rPr>
              <w:t>Total Losses (MU)</w:t>
            </w:r>
          </w:p>
        </w:tc>
        <w:tc>
          <w:tcPr>
            <w:tcW w:w="1558" w:type="dxa"/>
            <w:shd w:val="clear" w:color="auto" w:fill="F7C9AC"/>
          </w:tcPr>
          <w:p w:rsidR="007C5447" w:rsidRDefault="00F6308C">
            <w:pPr>
              <w:pStyle w:val="TableParagraph"/>
              <w:spacing w:before="4" w:line="252" w:lineRule="exact"/>
              <w:ind w:left="355" w:right="175" w:hanging="152"/>
              <w:jc w:val="left"/>
              <w:rPr>
                <w:b/>
              </w:rPr>
            </w:pPr>
            <w:r>
              <w:rPr>
                <w:b/>
              </w:rPr>
              <w:t>Distribution Loss (%)</w:t>
            </w:r>
          </w:p>
        </w:tc>
      </w:tr>
      <w:tr w:rsidR="007C5447">
        <w:trPr>
          <w:trHeight w:val="410"/>
        </w:trPr>
        <w:tc>
          <w:tcPr>
            <w:tcW w:w="991" w:type="dxa"/>
          </w:tcPr>
          <w:p w:rsidR="007C5447" w:rsidRDefault="00F6308C">
            <w:pPr>
              <w:pStyle w:val="TableParagraph"/>
              <w:spacing w:before="78"/>
              <w:ind w:left="107"/>
              <w:jc w:val="left"/>
            </w:pPr>
            <w:r>
              <w:t>1</w:t>
            </w:r>
          </w:p>
        </w:tc>
        <w:tc>
          <w:tcPr>
            <w:tcW w:w="2693" w:type="dxa"/>
          </w:tcPr>
          <w:p w:rsidR="007C5447" w:rsidRDefault="00F6308C">
            <w:pPr>
              <w:pStyle w:val="TableParagraph"/>
              <w:spacing w:before="78"/>
              <w:ind w:left="108"/>
              <w:jc w:val="left"/>
            </w:pPr>
            <w:r>
              <w:t>Chennai North</w:t>
            </w:r>
          </w:p>
        </w:tc>
        <w:tc>
          <w:tcPr>
            <w:tcW w:w="1702" w:type="dxa"/>
          </w:tcPr>
          <w:p w:rsidR="007C5447" w:rsidRDefault="00F6308C">
            <w:pPr>
              <w:pStyle w:val="TableParagraph"/>
              <w:spacing w:before="78"/>
              <w:ind w:right="189"/>
            </w:pPr>
            <w:r>
              <w:t>115.49</w:t>
            </w:r>
          </w:p>
        </w:tc>
        <w:tc>
          <w:tcPr>
            <w:tcW w:w="1419" w:type="dxa"/>
          </w:tcPr>
          <w:p w:rsidR="007C5447" w:rsidRDefault="00F6308C">
            <w:pPr>
              <w:pStyle w:val="TableParagraph"/>
              <w:spacing w:before="78"/>
              <w:ind w:right="189"/>
            </w:pPr>
            <w:r>
              <w:t>13.29</w:t>
            </w:r>
          </w:p>
        </w:tc>
        <w:tc>
          <w:tcPr>
            <w:tcW w:w="1558" w:type="dxa"/>
          </w:tcPr>
          <w:p w:rsidR="007C5447" w:rsidRDefault="00F6308C">
            <w:pPr>
              <w:pStyle w:val="TableParagraph"/>
              <w:spacing w:before="78"/>
              <w:ind w:right="188"/>
            </w:pPr>
            <w:r>
              <w:t>11.50%</w:t>
            </w:r>
          </w:p>
        </w:tc>
      </w:tr>
      <w:tr w:rsidR="007C5447">
        <w:trPr>
          <w:trHeight w:val="419"/>
        </w:trPr>
        <w:tc>
          <w:tcPr>
            <w:tcW w:w="991" w:type="dxa"/>
          </w:tcPr>
          <w:p w:rsidR="007C5447" w:rsidRDefault="00F6308C">
            <w:pPr>
              <w:pStyle w:val="TableParagraph"/>
              <w:spacing w:before="82"/>
              <w:ind w:left="107"/>
              <w:jc w:val="left"/>
            </w:pPr>
            <w:r>
              <w:t>2</w:t>
            </w:r>
          </w:p>
        </w:tc>
        <w:tc>
          <w:tcPr>
            <w:tcW w:w="2693" w:type="dxa"/>
          </w:tcPr>
          <w:p w:rsidR="007C5447" w:rsidRDefault="00F6308C">
            <w:pPr>
              <w:pStyle w:val="TableParagraph"/>
              <w:spacing w:before="82"/>
              <w:ind w:left="108"/>
              <w:jc w:val="left"/>
            </w:pPr>
            <w:r>
              <w:t>Chennai South</w:t>
            </w:r>
          </w:p>
        </w:tc>
        <w:tc>
          <w:tcPr>
            <w:tcW w:w="1702" w:type="dxa"/>
          </w:tcPr>
          <w:p w:rsidR="007C5447" w:rsidRDefault="00F6308C">
            <w:pPr>
              <w:pStyle w:val="TableParagraph"/>
              <w:spacing w:before="82"/>
              <w:ind w:right="189"/>
            </w:pPr>
            <w:r>
              <w:t>156.77</w:t>
            </w:r>
          </w:p>
        </w:tc>
        <w:tc>
          <w:tcPr>
            <w:tcW w:w="1419" w:type="dxa"/>
          </w:tcPr>
          <w:p w:rsidR="007C5447" w:rsidRDefault="00F6308C">
            <w:pPr>
              <w:pStyle w:val="TableParagraph"/>
              <w:spacing w:before="82"/>
              <w:ind w:right="189"/>
            </w:pPr>
            <w:r>
              <w:t>21.93</w:t>
            </w:r>
          </w:p>
        </w:tc>
        <w:tc>
          <w:tcPr>
            <w:tcW w:w="1558" w:type="dxa"/>
          </w:tcPr>
          <w:p w:rsidR="007C5447" w:rsidRDefault="00F6308C">
            <w:pPr>
              <w:pStyle w:val="TableParagraph"/>
              <w:spacing w:before="82"/>
              <w:ind w:right="188"/>
            </w:pPr>
            <w:r>
              <w:t>13.99%</w:t>
            </w:r>
          </w:p>
        </w:tc>
      </w:tr>
      <w:tr w:rsidR="007C5447">
        <w:trPr>
          <w:trHeight w:val="410"/>
        </w:trPr>
        <w:tc>
          <w:tcPr>
            <w:tcW w:w="991" w:type="dxa"/>
          </w:tcPr>
          <w:p w:rsidR="007C5447" w:rsidRDefault="00F6308C">
            <w:pPr>
              <w:pStyle w:val="TableParagraph"/>
              <w:spacing w:before="77"/>
              <w:ind w:left="107"/>
              <w:jc w:val="left"/>
            </w:pPr>
            <w:r>
              <w:t>3</w:t>
            </w:r>
          </w:p>
        </w:tc>
        <w:tc>
          <w:tcPr>
            <w:tcW w:w="2693" w:type="dxa"/>
          </w:tcPr>
          <w:p w:rsidR="007C5447" w:rsidRDefault="00F6308C">
            <w:pPr>
              <w:pStyle w:val="TableParagraph"/>
              <w:spacing w:before="77"/>
              <w:ind w:left="108"/>
              <w:jc w:val="left"/>
            </w:pPr>
            <w:r>
              <w:t>Erode</w:t>
            </w:r>
          </w:p>
        </w:tc>
        <w:tc>
          <w:tcPr>
            <w:tcW w:w="1702" w:type="dxa"/>
          </w:tcPr>
          <w:p w:rsidR="007C5447" w:rsidRDefault="00F6308C">
            <w:pPr>
              <w:pStyle w:val="TableParagraph"/>
              <w:spacing w:before="77"/>
              <w:ind w:right="189"/>
            </w:pPr>
            <w:r>
              <w:t>208.89</w:t>
            </w:r>
          </w:p>
        </w:tc>
        <w:tc>
          <w:tcPr>
            <w:tcW w:w="1419" w:type="dxa"/>
          </w:tcPr>
          <w:p w:rsidR="007C5447" w:rsidRDefault="00F6308C">
            <w:pPr>
              <w:pStyle w:val="TableParagraph"/>
              <w:spacing w:before="77"/>
              <w:ind w:right="189"/>
            </w:pPr>
            <w:r>
              <w:t>19.86</w:t>
            </w:r>
          </w:p>
        </w:tc>
        <w:tc>
          <w:tcPr>
            <w:tcW w:w="1558" w:type="dxa"/>
          </w:tcPr>
          <w:p w:rsidR="007C5447" w:rsidRDefault="00F6308C">
            <w:pPr>
              <w:pStyle w:val="TableParagraph"/>
              <w:spacing w:before="77"/>
              <w:ind w:right="188"/>
            </w:pPr>
            <w:r>
              <w:t>9.51%</w:t>
            </w:r>
          </w:p>
        </w:tc>
      </w:tr>
      <w:tr w:rsidR="007C5447">
        <w:trPr>
          <w:trHeight w:val="417"/>
        </w:trPr>
        <w:tc>
          <w:tcPr>
            <w:tcW w:w="991" w:type="dxa"/>
          </w:tcPr>
          <w:p w:rsidR="007C5447" w:rsidRDefault="00F6308C">
            <w:pPr>
              <w:pStyle w:val="TableParagraph"/>
              <w:spacing w:before="82"/>
              <w:ind w:left="107"/>
              <w:jc w:val="left"/>
            </w:pPr>
            <w:r>
              <w:t>4</w:t>
            </w:r>
          </w:p>
        </w:tc>
        <w:tc>
          <w:tcPr>
            <w:tcW w:w="2693" w:type="dxa"/>
          </w:tcPr>
          <w:p w:rsidR="007C5447" w:rsidRDefault="00F6308C">
            <w:pPr>
              <w:pStyle w:val="TableParagraph"/>
              <w:spacing w:before="82"/>
              <w:ind w:left="108"/>
              <w:jc w:val="left"/>
            </w:pPr>
            <w:r>
              <w:t>Madurai</w:t>
            </w:r>
          </w:p>
        </w:tc>
        <w:tc>
          <w:tcPr>
            <w:tcW w:w="1702" w:type="dxa"/>
          </w:tcPr>
          <w:p w:rsidR="007C5447" w:rsidRDefault="00F6308C">
            <w:pPr>
              <w:pStyle w:val="TableParagraph"/>
              <w:spacing w:before="82"/>
              <w:ind w:right="189"/>
            </w:pPr>
            <w:r>
              <w:t>234.82</w:t>
            </w:r>
          </w:p>
        </w:tc>
        <w:tc>
          <w:tcPr>
            <w:tcW w:w="1419" w:type="dxa"/>
          </w:tcPr>
          <w:p w:rsidR="007C5447" w:rsidRDefault="00F6308C">
            <w:pPr>
              <w:pStyle w:val="TableParagraph"/>
              <w:spacing w:before="82"/>
              <w:ind w:right="189"/>
            </w:pPr>
            <w:r>
              <w:t>24.66</w:t>
            </w:r>
          </w:p>
        </w:tc>
        <w:tc>
          <w:tcPr>
            <w:tcW w:w="1558" w:type="dxa"/>
          </w:tcPr>
          <w:p w:rsidR="007C5447" w:rsidRDefault="00F6308C">
            <w:pPr>
              <w:pStyle w:val="TableParagraph"/>
              <w:spacing w:before="82"/>
              <w:ind w:right="188"/>
            </w:pPr>
            <w:r>
              <w:t>10.50%</w:t>
            </w:r>
          </w:p>
        </w:tc>
      </w:tr>
      <w:tr w:rsidR="007C5447">
        <w:trPr>
          <w:trHeight w:val="407"/>
        </w:trPr>
        <w:tc>
          <w:tcPr>
            <w:tcW w:w="991" w:type="dxa"/>
          </w:tcPr>
          <w:p w:rsidR="007C5447" w:rsidRDefault="00F6308C">
            <w:pPr>
              <w:pStyle w:val="TableParagraph"/>
              <w:spacing w:before="77"/>
              <w:ind w:left="107"/>
              <w:jc w:val="left"/>
            </w:pPr>
            <w:r>
              <w:t>5</w:t>
            </w:r>
          </w:p>
        </w:tc>
        <w:tc>
          <w:tcPr>
            <w:tcW w:w="2693" w:type="dxa"/>
          </w:tcPr>
          <w:p w:rsidR="007C5447" w:rsidRDefault="00F6308C">
            <w:pPr>
              <w:pStyle w:val="TableParagraph"/>
              <w:spacing w:before="77"/>
              <w:ind w:left="108"/>
              <w:jc w:val="left"/>
            </w:pPr>
            <w:r>
              <w:t>Tirunelveli</w:t>
            </w:r>
          </w:p>
        </w:tc>
        <w:tc>
          <w:tcPr>
            <w:tcW w:w="1702" w:type="dxa"/>
          </w:tcPr>
          <w:p w:rsidR="007C5447" w:rsidRDefault="00F6308C">
            <w:pPr>
              <w:pStyle w:val="TableParagraph"/>
              <w:spacing w:before="77"/>
              <w:ind w:right="189"/>
            </w:pPr>
            <w:r>
              <w:t>197.21</w:t>
            </w:r>
          </w:p>
        </w:tc>
        <w:tc>
          <w:tcPr>
            <w:tcW w:w="1419" w:type="dxa"/>
          </w:tcPr>
          <w:p w:rsidR="007C5447" w:rsidRDefault="00F6308C">
            <w:pPr>
              <w:pStyle w:val="TableParagraph"/>
              <w:spacing w:before="77"/>
              <w:ind w:right="189"/>
            </w:pPr>
            <w:r>
              <w:t>29.89</w:t>
            </w:r>
          </w:p>
        </w:tc>
        <w:tc>
          <w:tcPr>
            <w:tcW w:w="1558" w:type="dxa"/>
          </w:tcPr>
          <w:p w:rsidR="007C5447" w:rsidRDefault="00F6308C">
            <w:pPr>
              <w:pStyle w:val="TableParagraph"/>
              <w:spacing w:before="77"/>
              <w:ind w:right="188"/>
            </w:pPr>
            <w:r>
              <w:t>15.16%</w:t>
            </w:r>
          </w:p>
        </w:tc>
      </w:tr>
      <w:tr w:rsidR="007C5447">
        <w:trPr>
          <w:trHeight w:val="417"/>
        </w:trPr>
        <w:tc>
          <w:tcPr>
            <w:tcW w:w="991" w:type="dxa"/>
          </w:tcPr>
          <w:p w:rsidR="007C5447" w:rsidRDefault="00F6308C">
            <w:pPr>
              <w:pStyle w:val="TableParagraph"/>
              <w:spacing w:before="80"/>
              <w:ind w:left="107"/>
              <w:jc w:val="left"/>
            </w:pPr>
            <w:r>
              <w:t>6</w:t>
            </w:r>
          </w:p>
        </w:tc>
        <w:tc>
          <w:tcPr>
            <w:tcW w:w="2693" w:type="dxa"/>
          </w:tcPr>
          <w:p w:rsidR="007C5447" w:rsidRDefault="00F6308C">
            <w:pPr>
              <w:pStyle w:val="TableParagraph"/>
              <w:spacing w:before="80"/>
              <w:ind w:left="108"/>
              <w:jc w:val="left"/>
            </w:pPr>
            <w:r>
              <w:t>Trichy</w:t>
            </w:r>
          </w:p>
        </w:tc>
        <w:tc>
          <w:tcPr>
            <w:tcW w:w="1702" w:type="dxa"/>
          </w:tcPr>
          <w:p w:rsidR="007C5447" w:rsidRDefault="00F6308C">
            <w:pPr>
              <w:pStyle w:val="TableParagraph"/>
              <w:spacing w:before="80"/>
              <w:ind w:right="189"/>
            </w:pPr>
            <w:r>
              <w:t>267.83</w:t>
            </w:r>
          </w:p>
        </w:tc>
        <w:tc>
          <w:tcPr>
            <w:tcW w:w="1419" w:type="dxa"/>
          </w:tcPr>
          <w:p w:rsidR="007C5447" w:rsidRDefault="00F6308C">
            <w:pPr>
              <w:pStyle w:val="TableParagraph"/>
              <w:spacing w:before="80"/>
              <w:ind w:right="189"/>
            </w:pPr>
            <w:r>
              <w:t>51.11</w:t>
            </w:r>
          </w:p>
        </w:tc>
        <w:tc>
          <w:tcPr>
            <w:tcW w:w="1558" w:type="dxa"/>
          </w:tcPr>
          <w:p w:rsidR="007C5447" w:rsidRDefault="00F6308C">
            <w:pPr>
              <w:pStyle w:val="TableParagraph"/>
              <w:spacing w:before="80"/>
              <w:ind w:right="188"/>
            </w:pPr>
            <w:r>
              <w:t>19.08%</w:t>
            </w:r>
          </w:p>
        </w:tc>
      </w:tr>
      <w:tr w:rsidR="007C5447">
        <w:trPr>
          <w:trHeight w:val="419"/>
        </w:trPr>
        <w:tc>
          <w:tcPr>
            <w:tcW w:w="991" w:type="dxa"/>
          </w:tcPr>
          <w:p w:rsidR="007C5447" w:rsidRDefault="00F6308C">
            <w:pPr>
              <w:pStyle w:val="TableParagraph"/>
              <w:spacing w:before="82"/>
              <w:ind w:left="107"/>
              <w:jc w:val="left"/>
            </w:pPr>
            <w:r>
              <w:t>7</w:t>
            </w:r>
          </w:p>
        </w:tc>
        <w:tc>
          <w:tcPr>
            <w:tcW w:w="2693" w:type="dxa"/>
          </w:tcPr>
          <w:p w:rsidR="007C5447" w:rsidRDefault="00F6308C">
            <w:pPr>
              <w:pStyle w:val="TableParagraph"/>
              <w:spacing w:before="82"/>
              <w:ind w:left="108"/>
              <w:jc w:val="left"/>
            </w:pPr>
            <w:r>
              <w:t>Vellore</w:t>
            </w:r>
          </w:p>
        </w:tc>
        <w:tc>
          <w:tcPr>
            <w:tcW w:w="1702" w:type="dxa"/>
          </w:tcPr>
          <w:p w:rsidR="007C5447" w:rsidRDefault="00F6308C">
            <w:pPr>
              <w:pStyle w:val="TableParagraph"/>
              <w:spacing w:before="82"/>
              <w:ind w:right="189"/>
            </w:pPr>
            <w:r>
              <w:t>130.14</w:t>
            </w:r>
          </w:p>
        </w:tc>
        <w:tc>
          <w:tcPr>
            <w:tcW w:w="1419" w:type="dxa"/>
          </w:tcPr>
          <w:p w:rsidR="007C5447" w:rsidRDefault="00F6308C">
            <w:pPr>
              <w:pStyle w:val="TableParagraph"/>
              <w:spacing w:before="82"/>
              <w:ind w:right="189"/>
            </w:pPr>
            <w:r>
              <w:t>16.95</w:t>
            </w:r>
          </w:p>
        </w:tc>
        <w:tc>
          <w:tcPr>
            <w:tcW w:w="1558" w:type="dxa"/>
          </w:tcPr>
          <w:p w:rsidR="007C5447" w:rsidRDefault="00F6308C">
            <w:pPr>
              <w:pStyle w:val="TableParagraph"/>
              <w:spacing w:before="82"/>
              <w:ind w:right="188"/>
            </w:pPr>
            <w:r>
              <w:t>13.03%</w:t>
            </w:r>
          </w:p>
        </w:tc>
      </w:tr>
      <w:tr w:rsidR="007C5447">
        <w:trPr>
          <w:trHeight w:val="412"/>
        </w:trPr>
        <w:tc>
          <w:tcPr>
            <w:tcW w:w="991" w:type="dxa"/>
          </w:tcPr>
          <w:p w:rsidR="007C5447" w:rsidRDefault="00F6308C">
            <w:pPr>
              <w:pStyle w:val="TableParagraph"/>
              <w:spacing w:before="80"/>
              <w:ind w:left="107"/>
              <w:jc w:val="left"/>
            </w:pPr>
            <w:r>
              <w:t>8</w:t>
            </w:r>
          </w:p>
        </w:tc>
        <w:tc>
          <w:tcPr>
            <w:tcW w:w="2693" w:type="dxa"/>
          </w:tcPr>
          <w:p w:rsidR="007C5447" w:rsidRDefault="00F6308C">
            <w:pPr>
              <w:pStyle w:val="TableParagraph"/>
              <w:spacing w:before="80"/>
              <w:ind w:left="108"/>
              <w:jc w:val="left"/>
            </w:pPr>
            <w:r>
              <w:t>Villupuram</w:t>
            </w:r>
          </w:p>
        </w:tc>
        <w:tc>
          <w:tcPr>
            <w:tcW w:w="1702" w:type="dxa"/>
          </w:tcPr>
          <w:p w:rsidR="007C5447" w:rsidRDefault="00F6308C">
            <w:pPr>
              <w:pStyle w:val="TableParagraph"/>
              <w:spacing w:before="80"/>
              <w:ind w:right="189"/>
            </w:pPr>
            <w:r>
              <w:t>134.23</w:t>
            </w:r>
          </w:p>
        </w:tc>
        <w:tc>
          <w:tcPr>
            <w:tcW w:w="1419" w:type="dxa"/>
          </w:tcPr>
          <w:p w:rsidR="007C5447" w:rsidRDefault="00F6308C">
            <w:pPr>
              <w:pStyle w:val="TableParagraph"/>
              <w:spacing w:before="80"/>
              <w:ind w:right="189"/>
            </w:pPr>
            <w:r>
              <w:t>14.08</w:t>
            </w:r>
          </w:p>
        </w:tc>
        <w:tc>
          <w:tcPr>
            <w:tcW w:w="1558" w:type="dxa"/>
          </w:tcPr>
          <w:p w:rsidR="007C5447" w:rsidRDefault="00F6308C">
            <w:pPr>
              <w:pStyle w:val="TableParagraph"/>
              <w:spacing w:before="80"/>
              <w:ind w:right="188"/>
            </w:pPr>
            <w:r>
              <w:t>10.49%</w:t>
            </w:r>
          </w:p>
        </w:tc>
      </w:tr>
      <w:tr w:rsidR="007C5447">
        <w:trPr>
          <w:trHeight w:val="420"/>
        </w:trPr>
        <w:tc>
          <w:tcPr>
            <w:tcW w:w="991" w:type="dxa"/>
          </w:tcPr>
          <w:p w:rsidR="007C5447" w:rsidRDefault="00F6308C">
            <w:pPr>
              <w:pStyle w:val="TableParagraph"/>
              <w:spacing w:before="83"/>
              <w:ind w:left="107"/>
              <w:jc w:val="left"/>
            </w:pPr>
            <w:r>
              <w:t>9</w:t>
            </w:r>
          </w:p>
        </w:tc>
        <w:tc>
          <w:tcPr>
            <w:tcW w:w="2693" w:type="dxa"/>
          </w:tcPr>
          <w:p w:rsidR="007C5447" w:rsidRDefault="00F6308C">
            <w:pPr>
              <w:pStyle w:val="TableParagraph"/>
              <w:spacing w:before="83"/>
              <w:ind w:left="108"/>
              <w:jc w:val="left"/>
            </w:pPr>
            <w:r>
              <w:t>Coimbatore</w:t>
            </w:r>
          </w:p>
        </w:tc>
        <w:tc>
          <w:tcPr>
            <w:tcW w:w="1702" w:type="dxa"/>
          </w:tcPr>
          <w:p w:rsidR="007C5447" w:rsidRDefault="00F6308C">
            <w:pPr>
              <w:pStyle w:val="TableParagraph"/>
              <w:spacing w:before="83"/>
              <w:ind w:right="189"/>
            </w:pPr>
            <w:r>
              <w:t>302.18</w:t>
            </w:r>
          </w:p>
        </w:tc>
        <w:tc>
          <w:tcPr>
            <w:tcW w:w="1419" w:type="dxa"/>
          </w:tcPr>
          <w:p w:rsidR="007C5447" w:rsidRDefault="00F6308C">
            <w:pPr>
              <w:pStyle w:val="TableParagraph"/>
              <w:spacing w:before="83"/>
              <w:ind w:right="189"/>
            </w:pPr>
            <w:r>
              <w:t>33.80</w:t>
            </w:r>
          </w:p>
        </w:tc>
        <w:tc>
          <w:tcPr>
            <w:tcW w:w="1558" w:type="dxa"/>
          </w:tcPr>
          <w:p w:rsidR="007C5447" w:rsidRDefault="00F6308C">
            <w:pPr>
              <w:pStyle w:val="TableParagraph"/>
              <w:spacing w:before="83"/>
              <w:ind w:right="188"/>
            </w:pPr>
            <w:r>
              <w:t>11.19%</w:t>
            </w:r>
          </w:p>
        </w:tc>
      </w:tr>
      <w:tr w:rsidR="007C5447">
        <w:trPr>
          <w:trHeight w:val="424"/>
        </w:trPr>
        <w:tc>
          <w:tcPr>
            <w:tcW w:w="991" w:type="dxa"/>
          </w:tcPr>
          <w:p w:rsidR="007C5447" w:rsidRDefault="00F6308C">
            <w:pPr>
              <w:pStyle w:val="TableParagraph"/>
              <w:spacing w:before="85"/>
              <w:ind w:left="107"/>
              <w:jc w:val="left"/>
              <w:rPr>
                <w:b/>
              </w:rPr>
            </w:pPr>
            <w:r>
              <w:rPr>
                <w:b/>
              </w:rPr>
              <w:t>10</w:t>
            </w:r>
          </w:p>
        </w:tc>
        <w:tc>
          <w:tcPr>
            <w:tcW w:w="2693" w:type="dxa"/>
          </w:tcPr>
          <w:p w:rsidR="007C5447" w:rsidRDefault="00F6308C">
            <w:pPr>
              <w:pStyle w:val="TableParagraph"/>
              <w:spacing w:before="85"/>
              <w:ind w:left="108"/>
              <w:jc w:val="left"/>
              <w:rPr>
                <w:b/>
              </w:rPr>
            </w:pPr>
            <w:r>
              <w:rPr>
                <w:b/>
              </w:rPr>
              <w:t>Total</w:t>
            </w:r>
          </w:p>
        </w:tc>
        <w:tc>
          <w:tcPr>
            <w:tcW w:w="1702" w:type="dxa"/>
          </w:tcPr>
          <w:p w:rsidR="007C5447" w:rsidRDefault="00F6308C">
            <w:pPr>
              <w:pStyle w:val="TableParagraph"/>
              <w:spacing w:before="85"/>
              <w:ind w:right="189"/>
              <w:rPr>
                <w:b/>
              </w:rPr>
            </w:pPr>
            <w:r>
              <w:rPr>
                <w:b/>
              </w:rPr>
              <w:t>1,747.55</w:t>
            </w:r>
          </w:p>
        </w:tc>
        <w:tc>
          <w:tcPr>
            <w:tcW w:w="1419" w:type="dxa"/>
          </w:tcPr>
          <w:p w:rsidR="007C5447" w:rsidRDefault="00F6308C">
            <w:pPr>
              <w:pStyle w:val="TableParagraph"/>
              <w:spacing w:before="85"/>
              <w:ind w:right="189"/>
              <w:rPr>
                <w:b/>
              </w:rPr>
            </w:pPr>
            <w:r>
              <w:rPr>
                <w:b/>
              </w:rPr>
              <w:t>225.87</w:t>
            </w:r>
          </w:p>
        </w:tc>
        <w:tc>
          <w:tcPr>
            <w:tcW w:w="1558" w:type="dxa"/>
          </w:tcPr>
          <w:p w:rsidR="007C5447" w:rsidRDefault="00F6308C">
            <w:pPr>
              <w:pStyle w:val="TableParagraph"/>
              <w:spacing w:before="85"/>
              <w:ind w:right="187"/>
              <w:rPr>
                <w:b/>
              </w:rPr>
            </w:pPr>
            <w:r>
              <w:rPr>
                <w:b/>
              </w:rPr>
              <w:t>12.91%</w:t>
            </w:r>
          </w:p>
        </w:tc>
      </w:tr>
    </w:tbl>
    <w:p w:rsidR="007C5447" w:rsidRDefault="00F6308C">
      <w:pPr>
        <w:pStyle w:val="ListParagraph"/>
        <w:numPr>
          <w:ilvl w:val="2"/>
          <w:numId w:val="114"/>
        </w:numPr>
        <w:tabs>
          <w:tab w:val="left" w:pos="1393"/>
        </w:tabs>
        <w:spacing w:before="119" w:line="312" w:lineRule="auto"/>
        <w:ind w:left="1392" w:right="511" w:hanging="852"/>
        <w:jc w:val="both"/>
        <w:rPr>
          <w:sz w:val="24"/>
        </w:rPr>
      </w:pPr>
      <w:r>
        <w:rPr>
          <w:sz w:val="24"/>
        </w:rPr>
        <w:t>TANGEDCO stated that the Distribution Loss during the period April 2015 to March 2016 is 12.91%. The sub-transmission loss for FY 2015-16 as per the Energy Balance is 1.52%. When this sub-transmission loss is summed up with Distribution Loss arrived at usi</w:t>
      </w:r>
      <w:r>
        <w:rPr>
          <w:sz w:val="24"/>
        </w:rPr>
        <w:t>ng REC methodology, total Distribution Loss works out to 14.43%. Further, Distribution Loss of 14.43% arrived at using REC methodology is comparable with the AT&amp;C loss of 14.58% for FY 2015-16 committed in the UDAY</w:t>
      </w:r>
      <w:r>
        <w:rPr>
          <w:spacing w:val="-3"/>
          <w:sz w:val="24"/>
        </w:rPr>
        <w:t xml:space="preserve"> </w:t>
      </w:r>
      <w:r>
        <w:rPr>
          <w:sz w:val="24"/>
        </w:rPr>
        <w:t>MoU.</w:t>
      </w:r>
    </w:p>
    <w:p w:rsidR="007C5447" w:rsidRDefault="007C5447">
      <w:pPr>
        <w:pStyle w:val="BodyText"/>
        <w:spacing w:before="10"/>
        <w:rPr>
          <w:sz w:val="20"/>
        </w:rPr>
      </w:pPr>
    </w:p>
    <w:p w:rsidR="007C5447" w:rsidRDefault="00F6308C">
      <w:pPr>
        <w:pStyle w:val="ListParagraph"/>
        <w:numPr>
          <w:ilvl w:val="2"/>
          <w:numId w:val="114"/>
        </w:numPr>
        <w:tabs>
          <w:tab w:val="left" w:pos="1393"/>
        </w:tabs>
        <w:spacing w:line="312" w:lineRule="auto"/>
        <w:ind w:left="1392" w:right="507" w:hanging="852"/>
        <w:jc w:val="both"/>
        <w:rPr>
          <w:sz w:val="24"/>
        </w:rPr>
      </w:pPr>
      <w:r>
        <w:rPr>
          <w:sz w:val="24"/>
        </w:rPr>
        <w:t>The Commission has considered the T</w:t>
      </w:r>
      <w:r>
        <w:rPr>
          <w:sz w:val="24"/>
        </w:rPr>
        <w:t>&amp;D Loss for FY 2015-16 as 15.60%, while truing up for FY 2015-16, as elaborated in Chapter 3 of this Order, as the target T&amp;D loss cannot be revised at the time of true-up, and TANGEDCO has also delayed the submission of the loss assessment Report. It shou</w:t>
      </w:r>
      <w:r>
        <w:rPr>
          <w:sz w:val="24"/>
        </w:rPr>
        <w:t>ld be noted that the above T&amp;D loss of 15.6% included approved Transmission Loss level of</w:t>
      </w:r>
      <w:r>
        <w:rPr>
          <w:spacing w:val="-1"/>
          <w:sz w:val="24"/>
        </w:rPr>
        <w:t xml:space="preserve"> </w:t>
      </w:r>
      <w:r>
        <w:rPr>
          <w:sz w:val="24"/>
        </w:rPr>
        <w:t>2.7%.</w:t>
      </w:r>
    </w:p>
    <w:p w:rsidR="007C5447" w:rsidRDefault="007C5447">
      <w:pPr>
        <w:pStyle w:val="BodyText"/>
        <w:rPr>
          <w:sz w:val="21"/>
        </w:rPr>
      </w:pPr>
    </w:p>
    <w:p w:rsidR="007C5447" w:rsidRDefault="00F6308C">
      <w:pPr>
        <w:pStyle w:val="ListParagraph"/>
        <w:numPr>
          <w:ilvl w:val="2"/>
          <w:numId w:val="114"/>
        </w:numPr>
        <w:tabs>
          <w:tab w:val="left" w:pos="1393"/>
        </w:tabs>
        <w:spacing w:before="1" w:line="312" w:lineRule="auto"/>
        <w:ind w:left="1392" w:right="506" w:hanging="852"/>
        <w:jc w:val="both"/>
        <w:rPr>
          <w:sz w:val="24"/>
        </w:rPr>
      </w:pPr>
      <w:r>
        <w:rPr>
          <w:sz w:val="24"/>
        </w:rPr>
        <w:t>However, for the purpose of projections of Energy Requirement for the MYT Control Period, the Commission has considered the Transmission Loss in FY 2015-16</w:t>
      </w:r>
      <w:r>
        <w:rPr>
          <w:spacing w:val="2"/>
          <w:sz w:val="24"/>
        </w:rPr>
        <w:t xml:space="preserve"> </w:t>
      </w:r>
      <w:r>
        <w:rPr>
          <w:sz w:val="24"/>
        </w:rPr>
        <w:t>as</w:t>
      </w:r>
    </w:p>
    <w:p w:rsidR="007C5447" w:rsidRDefault="007C5447">
      <w:pPr>
        <w:spacing w:line="312" w:lineRule="auto"/>
        <w:jc w:val="both"/>
        <w:rPr>
          <w:sz w:val="24"/>
        </w:rPr>
        <w:sectPr w:rsidR="007C5447">
          <w:pgSz w:w="11910" w:h="16840"/>
          <w:pgMar w:top="1360" w:right="620" w:bottom="1240" w:left="900" w:header="0" w:footer="777" w:gutter="0"/>
          <w:cols w:space="720"/>
        </w:sectPr>
      </w:pPr>
    </w:p>
    <w:p w:rsidR="007C5447" w:rsidRDefault="00F6308C">
      <w:pPr>
        <w:pStyle w:val="BodyText"/>
        <w:spacing w:before="60" w:line="312" w:lineRule="auto"/>
        <w:ind w:left="1392" w:right="519"/>
      </w:pPr>
      <w:r>
        <w:lastRenderedPageBreak/>
        <w:t>4.11%, with annual reduction of 0.1%, as elaborated in the Order in T.P. No. 2 of 2017 dated August 11, 2017 for TANTRANSCO.</w:t>
      </w:r>
    </w:p>
    <w:p w:rsidR="007C5447" w:rsidRDefault="007C5447">
      <w:pPr>
        <w:pStyle w:val="BodyText"/>
        <w:spacing w:before="11"/>
        <w:rPr>
          <w:sz w:val="20"/>
        </w:rPr>
      </w:pPr>
    </w:p>
    <w:p w:rsidR="007C5447" w:rsidRDefault="00F6308C">
      <w:pPr>
        <w:pStyle w:val="ListParagraph"/>
        <w:numPr>
          <w:ilvl w:val="2"/>
          <w:numId w:val="114"/>
        </w:numPr>
        <w:tabs>
          <w:tab w:val="left" w:pos="1393"/>
        </w:tabs>
        <w:spacing w:line="312" w:lineRule="auto"/>
        <w:ind w:left="1392" w:right="504" w:hanging="852"/>
        <w:jc w:val="both"/>
        <w:rPr>
          <w:sz w:val="24"/>
        </w:rPr>
      </w:pPr>
      <w:r>
        <w:rPr>
          <w:sz w:val="24"/>
        </w:rPr>
        <w:t>As regards the Distribution Losses, the Commission is of the view that it is appropriate to restate the Distribution Losses, based</w:t>
      </w:r>
      <w:r>
        <w:rPr>
          <w:sz w:val="24"/>
        </w:rPr>
        <w:t xml:space="preserve"> on the Loss Assessment Report submitted by TANGEDCO. If this is not done, the Distribution Loss trajectory may not reflect the ground reality. TANGEDCO would also be subject to continuous disallowance of certain power purchase expenses on account of actua</w:t>
      </w:r>
      <w:r>
        <w:rPr>
          <w:sz w:val="24"/>
        </w:rPr>
        <w:t>l Distribution Losses being higher than the targeted losses, which would further hinder the viability of TANGEDCO in the long run. Hence, for the purpose of projections of Energy Requirement for the MYT Control Period, the Commission has accepted TANGEDCO’</w:t>
      </w:r>
      <w:r>
        <w:rPr>
          <w:sz w:val="24"/>
        </w:rPr>
        <w:t>s submission of 14.43% for FY 2015-16. Further, the Commission has considered annual reduction of 0.3% in Distribution Losses from FY 2016-17 to FY 2017-18. However, the Study Report still has certain lacunae, as observed subsequently, which have to be rec</w:t>
      </w:r>
      <w:r>
        <w:rPr>
          <w:sz w:val="24"/>
        </w:rPr>
        <w:t>tified by TANGEDCO.</w:t>
      </w:r>
    </w:p>
    <w:p w:rsidR="007C5447" w:rsidRDefault="007C5447">
      <w:pPr>
        <w:pStyle w:val="BodyText"/>
        <w:spacing w:before="11"/>
        <w:rPr>
          <w:sz w:val="20"/>
        </w:rPr>
      </w:pPr>
    </w:p>
    <w:p w:rsidR="007C5447" w:rsidRDefault="00F6308C">
      <w:pPr>
        <w:pStyle w:val="ListParagraph"/>
        <w:numPr>
          <w:ilvl w:val="2"/>
          <w:numId w:val="114"/>
        </w:numPr>
        <w:tabs>
          <w:tab w:val="left" w:pos="1393"/>
        </w:tabs>
        <w:spacing w:line="312" w:lineRule="auto"/>
        <w:ind w:left="1392" w:right="511" w:hanging="852"/>
        <w:jc w:val="both"/>
        <w:rPr>
          <w:sz w:val="24"/>
        </w:rPr>
      </w:pPr>
      <w:r>
        <w:rPr>
          <w:sz w:val="24"/>
        </w:rPr>
        <w:t>The Energy Balance for the MYT Control Period from FY 2016-17 to FY 2018-19 as approved by the Commission is shown in the Table</w:t>
      </w:r>
      <w:r>
        <w:rPr>
          <w:spacing w:val="-7"/>
          <w:sz w:val="24"/>
        </w:rPr>
        <w:t xml:space="preserve"> </w:t>
      </w:r>
      <w:r>
        <w:rPr>
          <w:sz w:val="24"/>
        </w:rPr>
        <w:t>below:</w:t>
      </w:r>
    </w:p>
    <w:p w:rsidR="007C5447" w:rsidRDefault="007C5447">
      <w:pPr>
        <w:pStyle w:val="BodyText"/>
        <w:spacing w:before="10"/>
        <w:rPr>
          <w:sz w:val="20"/>
        </w:rPr>
      </w:pPr>
    </w:p>
    <w:p w:rsidR="007C5447" w:rsidRDefault="00F6308C">
      <w:pPr>
        <w:pStyle w:val="Heading2"/>
        <w:ind w:left="591" w:right="564"/>
        <w:jc w:val="center"/>
      </w:pPr>
      <w:r>
        <w:t>Table 4-4: Approved Energy Balance for the Control Period</w:t>
      </w:r>
    </w:p>
    <w:p w:rsidR="007C5447" w:rsidRDefault="007C5447">
      <w:pPr>
        <w:pStyle w:val="BodyText"/>
        <w:spacing w:before="2"/>
        <w:rPr>
          <w:b/>
          <w:sz w:val="7"/>
        </w:rPr>
      </w:pPr>
    </w:p>
    <w:tbl>
      <w:tblPr>
        <w:tblW w:w="0" w:type="auto"/>
        <w:tblInd w:w="6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53"/>
        <w:gridCol w:w="1560"/>
        <w:gridCol w:w="1416"/>
        <w:gridCol w:w="1560"/>
      </w:tblGrid>
      <w:tr w:rsidR="007C5447">
        <w:trPr>
          <w:trHeight w:val="359"/>
        </w:trPr>
        <w:tc>
          <w:tcPr>
            <w:tcW w:w="4253" w:type="dxa"/>
            <w:shd w:val="clear" w:color="auto" w:fill="FBD4B4"/>
          </w:tcPr>
          <w:p w:rsidR="007C5447" w:rsidRDefault="00F6308C">
            <w:pPr>
              <w:pStyle w:val="TableParagraph"/>
              <w:spacing w:before="53"/>
              <w:ind w:left="1581" w:right="1571"/>
              <w:jc w:val="center"/>
              <w:rPr>
                <w:b/>
              </w:rPr>
            </w:pPr>
            <w:r>
              <w:rPr>
                <w:b/>
              </w:rPr>
              <w:t>Particulars</w:t>
            </w:r>
          </w:p>
        </w:tc>
        <w:tc>
          <w:tcPr>
            <w:tcW w:w="1560" w:type="dxa"/>
            <w:shd w:val="clear" w:color="auto" w:fill="FBD4B4"/>
          </w:tcPr>
          <w:p w:rsidR="007C5447" w:rsidRDefault="00F6308C">
            <w:pPr>
              <w:pStyle w:val="TableParagraph"/>
              <w:spacing w:before="53"/>
              <w:ind w:right="93"/>
              <w:rPr>
                <w:b/>
              </w:rPr>
            </w:pPr>
            <w:r>
              <w:rPr>
                <w:b/>
              </w:rPr>
              <w:t>FY 2016-17</w:t>
            </w:r>
          </w:p>
        </w:tc>
        <w:tc>
          <w:tcPr>
            <w:tcW w:w="1416" w:type="dxa"/>
            <w:tcBorders>
              <w:right w:val="single" w:sz="6" w:space="0" w:color="000000"/>
            </w:tcBorders>
            <w:shd w:val="clear" w:color="auto" w:fill="FBD4B4"/>
          </w:tcPr>
          <w:p w:rsidR="007C5447" w:rsidRDefault="00F6308C">
            <w:pPr>
              <w:pStyle w:val="TableParagraph"/>
              <w:spacing w:before="53"/>
              <w:ind w:right="90"/>
              <w:rPr>
                <w:b/>
              </w:rPr>
            </w:pPr>
            <w:r>
              <w:rPr>
                <w:b/>
              </w:rPr>
              <w:t>FY 2017-18</w:t>
            </w:r>
          </w:p>
        </w:tc>
        <w:tc>
          <w:tcPr>
            <w:tcW w:w="1560" w:type="dxa"/>
            <w:tcBorders>
              <w:left w:val="single" w:sz="6" w:space="0" w:color="000000"/>
            </w:tcBorders>
            <w:shd w:val="clear" w:color="auto" w:fill="FBD4B4"/>
          </w:tcPr>
          <w:p w:rsidR="007C5447" w:rsidRDefault="00F6308C">
            <w:pPr>
              <w:pStyle w:val="TableParagraph"/>
              <w:spacing w:before="53"/>
              <w:ind w:right="92"/>
              <w:rPr>
                <w:b/>
              </w:rPr>
            </w:pPr>
            <w:r>
              <w:rPr>
                <w:b/>
              </w:rPr>
              <w:t>FY 2018-19</w:t>
            </w:r>
          </w:p>
        </w:tc>
      </w:tr>
      <w:tr w:rsidR="007C5447">
        <w:trPr>
          <w:trHeight w:val="362"/>
        </w:trPr>
        <w:tc>
          <w:tcPr>
            <w:tcW w:w="4253" w:type="dxa"/>
          </w:tcPr>
          <w:p w:rsidR="007C5447" w:rsidRDefault="00F6308C">
            <w:pPr>
              <w:pStyle w:val="TableParagraph"/>
              <w:spacing w:before="53"/>
              <w:ind w:left="107"/>
              <w:jc w:val="left"/>
            </w:pPr>
            <w:r>
              <w:t>LT Sales</w:t>
            </w:r>
          </w:p>
        </w:tc>
        <w:tc>
          <w:tcPr>
            <w:tcW w:w="1560" w:type="dxa"/>
          </w:tcPr>
          <w:p w:rsidR="007C5447" w:rsidRDefault="00F6308C">
            <w:pPr>
              <w:pStyle w:val="TableParagraph"/>
              <w:spacing w:before="53"/>
              <w:ind w:right="95"/>
            </w:pPr>
            <w:r>
              <w:t>55,999.93</w:t>
            </w:r>
          </w:p>
        </w:tc>
        <w:tc>
          <w:tcPr>
            <w:tcW w:w="1416" w:type="dxa"/>
            <w:tcBorders>
              <w:right w:val="single" w:sz="6" w:space="0" w:color="000000"/>
            </w:tcBorders>
          </w:tcPr>
          <w:p w:rsidR="007C5447" w:rsidRDefault="00F6308C">
            <w:pPr>
              <w:pStyle w:val="TableParagraph"/>
              <w:spacing w:before="53"/>
              <w:ind w:right="92"/>
            </w:pPr>
            <w:r>
              <w:t>60,717.44</w:t>
            </w:r>
          </w:p>
        </w:tc>
        <w:tc>
          <w:tcPr>
            <w:tcW w:w="1560" w:type="dxa"/>
            <w:tcBorders>
              <w:left w:val="single" w:sz="6" w:space="0" w:color="000000"/>
            </w:tcBorders>
          </w:tcPr>
          <w:p w:rsidR="007C5447" w:rsidRDefault="00F6308C">
            <w:pPr>
              <w:pStyle w:val="TableParagraph"/>
              <w:spacing w:before="53"/>
              <w:ind w:right="94"/>
            </w:pPr>
            <w:r>
              <w:t>64,880.77</w:t>
            </w:r>
          </w:p>
        </w:tc>
      </w:tr>
      <w:tr w:rsidR="007C5447">
        <w:trPr>
          <w:trHeight w:val="359"/>
        </w:trPr>
        <w:tc>
          <w:tcPr>
            <w:tcW w:w="4253" w:type="dxa"/>
          </w:tcPr>
          <w:p w:rsidR="007C5447" w:rsidRDefault="00F6308C">
            <w:pPr>
              <w:pStyle w:val="TableParagraph"/>
              <w:spacing w:before="51"/>
              <w:ind w:left="107"/>
              <w:jc w:val="left"/>
            </w:pPr>
            <w:r>
              <w:t>HT Sales (Up to 33 kV)</w:t>
            </w:r>
          </w:p>
        </w:tc>
        <w:tc>
          <w:tcPr>
            <w:tcW w:w="1560" w:type="dxa"/>
          </w:tcPr>
          <w:p w:rsidR="007C5447" w:rsidRDefault="00F6308C">
            <w:pPr>
              <w:pStyle w:val="TableParagraph"/>
              <w:spacing w:before="51"/>
              <w:ind w:right="95"/>
            </w:pPr>
            <w:r>
              <w:t>13,751.15</w:t>
            </w:r>
          </w:p>
        </w:tc>
        <w:tc>
          <w:tcPr>
            <w:tcW w:w="1416" w:type="dxa"/>
            <w:tcBorders>
              <w:right w:val="single" w:sz="6" w:space="0" w:color="000000"/>
            </w:tcBorders>
          </w:tcPr>
          <w:p w:rsidR="007C5447" w:rsidRDefault="00F6308C">
            <w:pPr>
              <w:pStyle w:val="TableParagraph"/>
              <w:spacing w:before="51"/>
              <w:ind w:right="92"/>
            </w:pPr>
            <w:r>
              <w:t>16,284.23</w:t>
            </w:r>
          </w:p>
        </w:tc>
        <w:tc>
          <w:tcPr>
            <w:tcW w:w="1560" w:type="dxa"/>
            <w:tcBorders>
              <w:left w:val="single" w:sz="6" w:space="0" w:color="000000"/>
            </w:tcBorders>
          </w:tcPr>
          <w:p w:rsidR="007C5447" w:rsidRDefault="00F6308C">
            <w:pPr>
              <w:pStyle w:val="TableParagraph"/>
              <w:spacing w:before="51"/>
              <w:ind w:right="94"/>
            </w:pPr>
            <w:r>
              <w:t>18,587.18</w:t>
            </w:r>
          </w:p>
        </w:tc>
      </w:tr>
      <w:tr w:rsidR="007C5447">
        <w:trPr>
          <w:trHeight w:val="359"/>
        </w:trPr>
        <w:tc>
          <w:tcPr>
            <w:tcW w:w="4253" w:type="dxa"/>
          </w:tcPr>
          <w:p w:rsidR="007C5447" w:rsidRDefault="00F6308C">
            <w:pPr>
              <w:pStyle w:val="TableParagraph"/>
              <w:spacing w:before="89" w:line="250" w:lineRule="exact"/>
              <w:ind w:left="107"/>
              <w:jc w:val="left"/>
            </w:pPr>
            <w:r>
              <w:t>Sale to Consumers below 33 kV (MU)</w:t>
            </w:r>
          </w:p>
        </w:tc>
        <w:tc>
          <w:tcPr>
            <w:tcW w:w="1560" w:type="dxa"/>
          </w:tcPr>
          <w:p w:rsidR="007C5447" w:rsidRDefault="00F6308C">
            <w:pPr>
              <w:pStyle w:val="TableParagraph"/>
              <w:spacing w:before="51"/>
              <w:ind w:right="95"/>
            </w:pPr>
            <w:r>
              <w:t>69,751.08</w:t>
            </w:r>
          </w:p>
        </w:tc>
        <w:tc>
          <w:tcPr>
            <w:tcW w:w="1416" w:type="dxa"/>
            <w:tcBorders>
              <w:right w:val="single" w:sz="6" w:space="0" w:color="000000"/>
            </w:tcBorders>
          </w:tcPr>
          <w:p w:rsidR="007C5447" w:rsidRDefault="00F6308C">
            <w:pPr>
              <w:pStyle w:val="TableParagraph"/>
              <w:spacing w:before="51"/>
              <w:ind w:right="92"/>
            </w:pPr>
            <w:r>
              <w:t>77,001.67</w:t>
            </w:r>
          </w:p>
        </w:tc>
        <w:tc>
          <w:tcPr>
            <w:tcW w:w="1560" w:type="dxa"/>
            <w:tcBorders>
              <w:left w:val="single" w:sz="6" w:space="0" w:color="000000"/>
            </w:tcBorders>
          </w:tcPr>
          <w:p w:rsidR="007C5447" w:rsidRDefault="00F6308C">
            <w:pPr>
              <w:pStyle w:val="TableParagraph"/>
              <w:spacing w:before="51"/>
              <w:ind w:right="94"/>
            </w:pPr>
            <w:r>
              <w:t>83,467.95</w:t>
            </w:r>
          </w:p>
        </w:tc>
      </w:tr>
      <w:tr w:rsidR="007C5447">
        <w:trPr>
          <w:trHeight w:val="359"/>
        </w:trPr>
        <w:tc>
          <w:tcPr>
            <w:tcW w:w="4253" w:type="dxa"/>
          </w:tcPr>
          <w:p w:rsidR="007C5447" w:rsidRDefault="00F6308C">
            <w:pPr>
              <w:pStyle w:val="TableParagraph"/>
              <w:spacing w:before="89" w:line="250" w:lineRule="exact"/>
              <w:ind w:left="107"/>
              <w:jc w:val="left"/>
            </w:pPr>
            <w:r>
              <w:t>Additional Power to Kadamparai (MU)</w:t>
            </w:r>
          </w:p>
        </w:tc>
        <w:tc>
          <w:tcPr>
            <w:tcW w:w="1560" w:type="dxa"/>
          </w:tcPr>
          <w:p w:rsidR="007C5447" w:rsidRDefault="00F6308C">
            <w:pPr>
              <w:pStyle w:val="TableParagraph"/>
              <w:spacing w:before="51"/>
              <w:ind w:right="95"/>
            </w:pPr>
            <w:r>
              <w:t>0</w:t>
            </w:r>
          </w:p>
        </w:tc>
        <w:tc>
          <w:tcPr>
            <w:tcW w:w="1416" w:type="dxa"/>
            <w:tcBorders>
              <w:right w:val="single" w:sz="6" w:space="0" w:color="000000"/>
            </w:tcBorders>
          </w:tcPr>
          <w:p w:rsidR="007C5447" w:rsidRDefault="00F6308C">
            <w:pPr>
              <w:pStyle w:val="TableParagraph"/>
              <w:spacing w:before="51"/>
              <w:ind w:right="92"/>
            </w:pPr>
            <w:r>
              <w:t>0</w:t>
            </w:r>
          </w:p>
        </w:tc>
        <w:tc>
          <w:tcPr>
            <w:tcW w:w="1560" w:type="dxa"/>
            <w:tcBorders>
              <w:left w:val="single" w:sz="6" w:space="0" w:color="000000"/>
            </w:tcBorders>
          </w:tcPr>
          <w:p w:rsidR="007C5447" w:rsidRDefault="00F6308C">
            <w:pPr>
              <w:pStyle w:val="TableParagraph"/>
              <w:spacing w:before="51"/>
              <w:ind w:right="94"/>
            </w:pPr>
            <w:r>
              <w:t>0</w:t>
            </w:r>
          </w:p>
        </w:tc>
      </w:tr>
      <w:tr w:rsidR="007C5447">
        <w:trPr>
          <w:trHeight w:val="359"/>
        </w:trPr>
        <w:tc>
          <w:tcPr>
            <w:tcW w:w="4253" w:type="dxa"/>
          </w:tcPr>
          <w:p w:rsidR="007C5447" w:rsidRDefault="00F6308C">
            <w:pPr>
              <w:pStyle w:val="TableParagraph"/>
              <w:spacing w:before="92" w:line="248" w:lineRule="exact"/>
              <w:ind w:left="107"/>
              <w:jc w:val="left"/>
              <w:rPr>
                <w:b/>
              </w:rPr>
            </w:pPr>
            <w:r>
              <w:rPr>
                <w:b/>
              </w:rPr>
              <w:t>Distribution Loss (%)</w:t>
            </w:r>
          </w:p>
        </w:tc>
        <w:tc>
          <w:tcPr>
            <w:tcW w:w="1560" w:type="dxa"/>
          </w:tcPr>
          <w:p w:rsidR="007C5447" w:rsidRDefault="00F6308C">
            <w:pPr>
              <w:pStyle w:val="TableParagraph"/>
              <w:spacing w:before="53"/>
              <w:ind w:right="93"/>
              <w:rPr>
                <w:b/>
              </w:rPr>
            </w:pPr>
            <w:r>
              <w:rPr>
                <w:b/>
              </w:rPr>
              <w:t>14.13%</w:t>
            </w:r>
          </w:p>
        </w:tc>
        <w:tc>
          <w:tcPr>
            <w:tcW w:w="1416" w:type="dxa"/>
            <w:tcBorders>
              <w:right w:val="single" w:sz="6" w:space="0" w:color="000000"/>
            </w:tcBorders>
          </w:tcPr>
          <w:p w:rsidR="007C5447" w:rsidRDefault="00F6308C">
            <w:pPr>
              <w:pStyle w:val="TableParagraph"/>
              <w:spacing w:before="53"/>
              <w:ind w:right="90"/>
              <w:rPr>
                <w:b/>
              </w:rPr>
            </w:pPr>
            <w:r>
              <w:rPr>
                <w:b/>
              </w:rPr>
              <w:t>13.83%</w:t>
            </w:r>
          </w:p>
        </w:tc>
        <w:tc>
          <w:tcPr>
            <w:tcW w:w="1560" w:type="dxa"/>
            <w:tcBorders>
              <w:left w:val="single" w:sz="6" w:space="0" w:color="000000"/>
            </w:tcBorders>
          </w:tcPr>
          <w:p w:rsidR="007C5447" w:rsidRDefault="00F6308C">
            <w:pPr>
              <w:pStyle w:val="TableParagraph"/>
              <w:spacing w:before="53"/>
              <w:ind w:right="92"/>
              <w:rPr>
                <w:b/>
              </w:rPr>
            </w:pPr>
            <w:r>
              <w:rPr>
                <w:b/>
              </w:rPr>
              <w:t>13.53%</w:t>
            </w:r>
          </w:p>
        </w:tc>
      </w:tr>
      <w:tr w:rsidR="007C5447">
        <w:trPr>
          <w:trHeight w:val="359"/>
        </w:trPr>
        <w:tc>
          <w:tcPr>
            <w:tcW w:w="4253" w:type="dxa"/>
          </w:tcPr>
          <w:p w:rsidR="007C5447" w:rsidRDefault="00F6308C">
            <w:pPr>
              <w:pStyle w:val="TableParagraph"/>
              <w:spacing w:before="92" w:line="248" w:lineRule="exact"/>
              <w:ind w:left="107"/>
              <w:jc w:val="left"/>
            </w:pPr>
            <w:r>
              <w:t>Distribution Loss (MU)</w:t>
            </w:r>
          </w:p>
        </w:tc>
        <w:tc>
          <w:tcPr>
            <w:tcW w:w="1560" w:type="dxa"/>
          </w:tcPr>
          <w:p w:rsidR="007C5447" w:rsidRDefault="00F6308C">
            <w:pPr>
              <w:pStyle w:val="TableParagraph"/>
              <w:spacing w:before="53"/>
              <w:ind w:right="95"/>
            </w:pPr>
            <w:r>
              <w:t>11,477.61</w:t>
            </w:r>
          </w:p>
        </w:tc>
        <w:tc>
          <w:tcPr>
            <w:tcW w:w="1416" w:type="dxa"/>
            <w:tcBorders>
              <w:right w:val="single" w:sz="6" w:space="0" w:color="000000"/>
            </w:tcBorders>
          </w:tcPr>
          <w:p w:rsidR="007C5447" w:rsidRDefault="00F6308C">
            <w:pPr>
              <w:pStyle w:val="TableParagraph"/>
              <w:spacing w:before="53"/>
              <w:ind w:right="92"/>
            </w:pPr>
            <w:r>
              <w:t>12,358.51</w:t>
            </w:r>
          </w:p>
        </w:tc>
        <w:tc>
          <w:tcPr>
            <w:tcW w:w="1560" w:type="dxa"/>
            <w:tcBorders>
              <w:left w:val="single" w:sz="6" w:space="0" w:color="000000"/>
            </w:tcBorders>
          </w:tcPr>
          <w:p w:rsidR="007C5447" w:rsidRDefault="00F6308C">
            <w:pPr>
              <w:pStyle w:val="TableParagraph"/>
              <w:spacing w:before="53"/>
              <w:ind w:right="94"/>
            </w:pPr>
            <w:r>
              <w:t>13,060.27</w:t>
            </w:r>
          </w:p>
        </w:tc>
      </w:tr>
      <w:tr w:rsidR="007C5447">
        <w:trPr>
          <w:trHeight w:val="362"/>
        </w:trPr>
        <w:tc>
          <w:tcPr>
            <w:tcW w:w="4253" w:type="dxa"/>
          </w:tcPr>
          <w:p w:rsidR="007C5447" w:rsidRDefault="00F6308C">
            <w:pPr>
              <w:pStyle w:val="TableParagraph"/>
              <w:spacing w:before="92" w:line="250" w:lineRule="exact"/>
              <w:ind w:left="107"/>
              <w:jc w:val="left"/>
            </w:pPr>
            <w:r>
              <w:t>Energy Input at Distribution periphery (MU)</w:t>
            </w:r>
          </w:p>
        </w:tc>
        <w:tc>
          <w:tcPr>
            <w:tcW w:w="1560" w:type="dxa"/>
          </w:tcPr>
          <w:p w:rsidR="007C5447" w:rsidRDefault="00F6308C">
            <w:pPr>
              <w:pStyle w:val="TableParagraph"/>
              <w:spacing w:before="53"/>
              <w:ind w:right="95"/>
            </w:pPr>
            <w:r>
              <w:t>81,228.69</w:t>
            </w:r>
          </w:p>
        </w:tc>
        <w:tc>
          <w:tcPr>
            <w:tcW w:w="1416" w:type="dxa"/>
            <w:tcBorders>
              <w:right w:val="single" w:sz="6" w:space="0" w:color="000000"/>
            </w:tcBorders>
          </w:tcPr>
          <w:p w:rsidR="007C5447" w:rsidRDefault="00F6308C">
            <w:pPr>
              <w:pStyle w:val="TableParagraph"/>
              <w:spacing w:before="53"/>
              <w:ind w:right="92"/>
            </w:pPr>
            <w:r>
              <w:t>89,360.19</w:t>
            </w:r>
          </w:p>
        </w:tc>
        <w:tc>
          <w:tcPr>
            <w:tcW w:w="1560" w:type="dxa"/>
            <w:tcBorders>
              <w:left w:val="single" w:sz="6" w:space="0" w:color="000000"/>
            </w:tcBorders>
          </w:tcPr>
          <w:p w:rsidR="007C5447" w:rsidRDefault="00F6308C">
            <w:pPr>
              <w:pStyle w:val="TableParagraph"/>
              <w:spacing w:before="53"/>
              <w:ind w:right="94"/>
            </w:pPr>
            <w:r>
              <w:t>96,528.21</w:t>
            </w:r>
          </w:p>
        </w:tc>
      </w:tr>
      <w:tr w:rsidR="007C5447">
        <w:trPr>
          <w:trHeight w:val="359"/>
        </w:trPr>
        <w:tc>
          <w:tcPr>
            <w:tcW w:w="4253" w:type="dxa"/>
          </w:tcPr>
          <w:p w:rsidR="007C5447" w:rsidRDefault="00F6308C">
            <w:pPr>
              <w:pStyle w:val="TableParagraph"/>
              <w:spacing w:before="89" w:line="250" w:lineRule="exact"/>
              <w:ind w:left="107"/>
              <w:jc w:val="left"/>
            </w:pPr>
            <w:r>
              <w:t>110 kV &amp; 230 kV Sales (MU)</w:t>
            </w:r>
          </w:p>
        </w:tc>
        <w:tc>
          <w:tcPr>
            <w:tcW w:w="1560" w:type="dxa"/>
          </w:tcPr>
          <w:p w:rsidR="007C5447" w:rsidRDefault="00F6308C">
            <w:pPr>
              <w:pStyle w:val="TableParagraph"/>
              <w:spacing w:before="51"/>
              <w:ind w:right="93"/>
            </w:pPr>
            <w:r>
              <w:t>4057</w:t>
            </w:r>
          </w:p>
        </w:tc>
        <w:tc>
          <w:tcPr>
            <w:tcW w:w="1416" w:type="dxa"/>
            <w:tcBorders>
              <w:right w:val="single" w:sz="6" w:space="0" w:color="000000"/>
            </w:tcBorders>
          </w:tcPr>
          <w:p w:rsidR="007C5447" w:rsidRDefault="00F6308C">
            <w:pPr>
              <w:pStyle w:val="TableParagraph"/>
              <w:spacing w:before="51"/>
              <w:ind w:right="90"/>
            </w:pPr>
            <w:r>
              <w:t>4715</w:t>
            </w:r>
          </w:p>
        </w:tc>
        <w:tc>
          <w:tcPr>
            <w:tcW w:w="1560" w:type="dxa"/>
            <w:tcBorders>
              <w:left w:val="single" w:sz="6" w:space="0" w:color="000000"/>
            </w:tcBorders>
          </w:tcPr>
          <w:p w:rsidR="007C5447" w:rsidRDefault="00F6308C">
            <w:pPr>
              <w:pStyle w:val="TableParagraph"/>
              <w:spacing w:before="51"/>
              <w:ind w:right="92"/>
            </w:pPr>
            <w:r>
              <w:t>5312</w:t>
            </w:r>
          </w:p>
        </w:tc>
      </w:tr>
      <w:tr w:rsidR="007C5447">
        <w:trPr>
          <w:trHeight w:val="359"/>
        </w:trPr>
        <w:tc>
          <w:tcPr>
            <w:tcW w:w="4253" w:type="dxa"/>
          </w:tcPr>
          <w:p w:rsidR="007C5447" w:rsidRDefault="00F6308C">
            <w:pPr>
              <w:pStyle w:val="TableParagraph"/>
              <w:spacing w:before="89" w:line="250" w:lineRule="exact"/>
              <w:ind w:left="107"/>
              <w:jc w:val="left"/>
              <w:rPr>
                <w:b/>
              </w:rPr>
            </w:pPr>
            <w:r>
              <w:rPr>
                <w:b/>
              </w:rPr>
              <w:t>Transmission Losses (%)</w:t>
            </w:r>
          </w:p>
        </w:tc>
        <w:tc>
          <w:tcPr>
            <w:tcW w:w="1560" w:type="dxa"/>
          </w:tcPr>
          <w:p w:rsidR="007C5447" w:rsidRDefault="00F6308C">
            <w:pPr>
              <w:pStyle w:val="TableParagraph"/>
              <w:spacing w:before="51"/>
              <w:ind w:right="93"/>
              <w:rPr>
                <w:b/>
              </w:rPr>
            </w:pPr>
            <w:r>
              <w:rPr>
                <w:b/>
              </w:rPr>
              <w:t>4.01%</w:t>
            </w:r>
          </w:p>
        </w:tc>
        <w:tc>
          <w:tcPr>
            <w:tcW w:w="1416" w:type="dxa"/>
            <w:tcBorders>
              <w:right w:val="single" w:sz="6" w:space="0" w:color="000000"/>
            </w:tcBorders>
          </w:tcPr>
          <w:p w:rsidR="007C5447" w:rsidRDefault="00F6308C">
            <w:pPr>
              <w:pStyle w:val="TableParagraph"/>
              <w:spacing w:before="51"/>
              <w:ind w:right="90"/>
              <w:rPr>
                <w:b/>
              </w:rPr>
            </w:pPr>
            <w:r>
              <w:rPr>
                <w:b/>
              </w:rPr>
              <w:t>3.91%</w:t>
            </w:r>
          </w:p>
        </w:tc>
        <w:tc>
          <w:tcPr>
            <w:tcW w:w="1560" w:type="dxa"/>
            <w:tcBorders>
              <w:left w:val="single" w:sz="6" w:space="0" w:color="000000"/>
            </w:tcBorders>
          </w:tcPr>
          <w:p w:rsidR="007C5447" w:rsidRDefault="00F6308C">
            <w:pPr>
              <w:pStyle w:val="TableParagraph"/>
              <w:spacing w:before="51"/>
              <w:ind w:right="92"/>
              <w:rPr>
                <w:b/>
              </w:rPr>
            </w:pPr>
            <w:r>
              <w:rPr>
                <w:b/>
              </w:rPr>
              <w:t>3.81%</w:t>
            </w:r>
          </w:p>
        </w:tc>
      </w:tr>
      <w:tr w:rsidR="007C5447">
        <w:trPr>
          <w:trHeight w:val="359"/>
        </w:trPr>
        <w:tc>
          <w:tcPr>
            <w:tcW w:w="4253" w:type="dxa"/>
          </w:tcPr>
          <w:p w:rsidR="007C5447" w:rsidRDefault="00F6308C">
            <w:pPr>
              <w:pStyle w:val="TableParagraph"/>
              <w:spacing w:before="89" w:line="250" w:lineRule="exact"/>
              <w:ind w:left="107"/>
              <w:jc w:val="left"/>
              <w:rPr>
                <w:b/>
              </w:rPr>
            </w:pPr>
            <w:r>
              <w:rPr>
                <w:b/>
              </w:rPr>
              <w:t>Energy required at State boundary</w:t>
            </w:r>
          </w:p>
        </w:tc>
        <w:tc>
          <w:tcPr>
            <w:tcW w:w="1560" w:type="dxa"/>
          </w:tcPr>
          <w:p w:rsidR="007C5447" w:rsidRDefault="00F6308C">
            <w:pPr>
              <w:pStyle w:val="TableParagraph"/>
              <w:spacing w:before="51"/>
              <w:ind w:right="95"/>
              <w:rPr>
                <w:b/>
              </w:rPr>
            </w:pPr>
            <w:r>
              <w:rPr>
                <w:b/>
              </w:rPr>
              <w:t>88,849.02</w:t>
            </w:r>
          </w:p>
        </w:tc>
        <w:tc>
          <w:tcPr>
            <w:tcW w:w="1416" w:type="dxa"/>
            <w:tcBorders>
              <w:right w:val="single" w:sz="6" w:space="0" w:color="000000"/>
            </w:tcBorders>
          </w:tcPr>
          <w:p w:rsidR="007C5447" w:rsidRDefault="00F6308C">
            <w:pPr>
              <w:pStyle w:val="TableParagraph"/>
              <w:spacing w:before="51"/>
              <w:ind w:right="92"/>
              <w:rPr>
                <w:b/>
              </w:rPr>
            </w:pPr>
            <w:r>
              <w:rPr>
                <w:b/>
              </w:rPr>
              <w:t>97,903.15</w:t>
            </w:r>
          </w:p>
        </w:tc>
        <w:tc>
          <w:tcPr>
            <w:tcW w:w="1560" w:type="dxa"/>
            <w:tcBorders>
              <w:left w:val="single" w:sz="6" w:space="0" w:color="000000"/>
            </w:tcBorders>
          </w:tcPr>
          <w:p w:rsidR="007C5447" w:rsidRDefault="00F6308C">
            <w:pPr>
              <w:pStyle w:val="TableParagraph"/>
              <w:spacing w:before="51"/>
              <w:ind w:right="94"/>
              <w:rPr>
                <w:b/>
              </w:rPr>
            </w:pPr>
            <w:r>
              <w:rPr>
                <w:b/>
              </w:rPr>
              <w:t>1,05,873.62</w:t>
            </w:r>
          </w:p>
        </w:tc>
      </w:tr>
      <w:tr w:rsidR="007C5447">
        <w:trPr>
          <w:trHeight w:val="360"/>
        </w:trPr>
        <w:tc>
          <w:tcPr>
            <w:tcW w:w="4253" w:type="dxa"/>
          </w:tcPr>
          <w:p w:rsidR="007C5447" w:rsidRDefault="00F6308C">
            <w:pPr>
              <w:pStyle w:val="TableParagraph"/>
              <w:spacing w:before="92" w:line="248" w:lineRule="exact"/>
              <w:ind w:left="107"/>
              <w:jc w:val="left"/>
            </w:pPr>
            <w:r>
              <w:t>PGCIL Losses</w:t>
            </w:r>
          </w:p>
        </w:tc>
        <w:tc>
          <w:tcPr>
            <w:tcW w:w="1560" w:type="dxa"/>
          </w:tcPr>
          <w:p w:rsidR="007C5447" w:rsidRDefault="00F6308C">
            <w:pPr>
              <w:pStyle w:val="TableParagraph"/>
              <w:spacing w:before="54"/>
              <w:ind w:right="95"/>
            </w:pPr>
            <w:r>
              <w:t>985.50</w:t>
            </w:r>
          </w:p>
        </w:tc>
        <w:tc>
          <w:tcPr>
            <w:tcW w:w="1416" w:type="dxa"/>
            <w:tcBorders>
              <w:right w:val="single" w:sz="6" w:space="0" w:color="000000"/>
            </w:tcBorders>
          </w:tcPr>
          <w:p w:rsidR="007C5447" w:rsidRDefault="00F6308C">
            <w:pPr>
              <w:pStyle w:val="TableParagraph"/>
              <w:spacing w:before="54"/>
              <w:ind w:right="92"/>
            </w:pPr>
            <w:r>
              <w:t>918.07</w:t>
            </w:r>
          </w:p>
        </w:tc>
        <w:tc>
          <w:tcPr>
            <w:tcW w:w="1560" w:type="dxa"/>
            <w:tcBorders>
              <w:left w:val="single" w:sz="6" w:space="0" w:color="000000"/>
            </w:tcBorders>
          </w:tcPr>
          <w:p w:rsidR="007C5447" w:rsidRDefault="00F6308C">
            <w:pPr>
              <w:pStyle w:val="TableParagraph"/>
              <w:spacing w:before="54"/>
              <w:ind w:right="94"/>
            </w:pPr>
            <w:r>
              <w:t>918.07</w:t>
            </w:r>
          </w:p>
        </w:tc>
      </w:tr>
      <w:tr w:rsidR="007C5447">
        <w:trPr>
          <w:trHeight w:val="362"/>
        </w:trPr>
        <w:tc>
          <w:tcPr>
            <w:tcW w:w="4253" w:type="dxa"/>
          </w:tcPr>
          <w:p w:rsidR="007C5447" w:rsidRDefault="00F6308C">
            <w:pPr>
              <w:pStyle w:val="TableParagraph"/>
              <w:spacing w:before="92" w:line="250" w:lineRule="exact"/>
              <w:ind w:left="107"/>
              <w:jc w:val="left"/>
              <w:rPr>
                <w:b/>
              </w:rPr>
            </w:pPr>
            <w:r>
              <w:rPr>
                <w:b/>
              </w:rPr>
              <w:t>Total Power required</w:t>
            </w:r>
          </w:p>
        </w:tc>
        <w:tc>
          <w:tcPr>
            <w:tcW w:w="1560" w:type="dxa"/>
          </w:tcPr>
          <w:p w:rsidR="007C5447" w:rsidRDefault="00F6308C">
            <w:pPr>
              <w:pStyle w:val="TableParagraph"/>
              <w:spacing w:before="53"/>
              <w:ind w:right="93"/>
              <w:rPr>
                <w:b/>
              </w:rPr>
            </w:pPr>
            <w:r>
              <w:rPr>
                <w:b/>
              </w:rPr>
              <w:t>89,834.53</w:t>
            </w:r>
          </w:p>
        </w:tc>
        <w:tc>
          <w:tcPr>
            <w:tcW w:w="1416" w:type="dxa"/>
            <w:tcBorders>
              <w:right w:val="single" w:sz="6" w:space="0" w:color="000000"/>
            </w:tcBorders>
          </w:tcPr>
          <w:p w:rsidR="007C5447" w:rsidRDefault="00F6308C">
            <w:pPr>
              <w:pStyle w:val="TableParagraph"/>
              <w:spacing w:before="53"/>
              <w:ind w:right="90"/>
              <w:rPr>
                <w:b/>
              </w:rPr>
            </w:pPr>
            <w:r>
              <w:rPr>
                <w:b/>
              </w:rPr>
              <w:t>98,821.22</w:t>
            </w:r>
          </w:p>
        </w:tc>
        <w:tc>
          <w:tcPr>
            <w:tcW w:w="1560" w:type="dxa"/>
            <w:tcBorders>
              <w:left w:val="single" w:sz="6" w:space="0" w:color="000000"/>
            </w:tcBorders>
          </w:tcPr>
          <w:p w:rsidR="007C5447" w:rsidRDefault="00F6308C">
            <w:pPr>
              <w:pStyle w:val="TableParagraph"/>
              <w:spacing w:before="53"/>
              <w:ind w:right="92"/>
              <w:rPr>
                <w:b/>
              </w:rPr>
            </w:pPr>
            <w:r>
              <w:rPr>
                <w:b/>
              </w:rPr>
              <w:t>1,06,791.69</w:t>
            </w:r>
          </w:p>
        </w:tc>
      </w:tr>
    </w:tbl>
    <w:p w:rsidR="007C5447" w:rsidRDefault="007C5447">
      <w:pPr>
        <w:pStyle w:val="BodyText"/>
        <w:spacing w:before="10"/>
        <w:rPr>
          <w:b/>
          <w:sz w:val="25"/>
        </w:rPr>
      </w:pPr>
    </w:p>
    <w:p w:rsidR="007C5447" w:rsidRDefault="00F6308C">
      <w:pPr>
        <w:spacing w:before="1" w:line="312" w:lineRule="auto"/>
        <w:ind w:left="540" w:right="508"/>
        <w:jc w:val="both"/>
        <w:rPr>
          <w:b/>
          <w:sz w:val="20"/>
        </w:rPr>
      </w:pPr>
      <w:r>
        <w:rPr>
          <w:b/>
          <w:sz w:val="20"/>
        </w:rPr>
        <w:t>*Note- As additional power requirement for Kadamparai PSHES was only 1 MU in FY 2015-16, therefore, the Commission has not considered any additional requirement as of now. It shall be considered while truing up on actual basis.</w:t>
      </w:r>
    </w:p>
    <w:p w:rsidR="007C5447" w:rsidRDefault="007C5447">
      <w:pPr>
        <w:spacing w:line="312" w:lineRule="auto"/>
        <w:jc w:val="both"/>
        <w:rPr>
          <w:sz w:val="20"/>
        </w:rPr>
        <w:sectPr w:rsidR="007C5447">
          <w:pgSz w:w="11910" w:h="16840"/>
          <w:pgMar w:top="1360" w:right="620" w:bottom="1240" w:left="900" w:header="0" w:footer="777" w:gutter="0"/>
          <w:cols w:space="720"/>
        </w:sectPr>
      </w:pPr>
    </w:p>
    <w:p w:rsidR="007C5447" w:rsidRDefault="00F6308C">
      <w:pPr>
        <w:pStyle w:val="Heading2"/>
        <w:numPr>
          <w:ilvl w:val="1"/>
          <w:numId w:val="114"/>
        </w:numPr>
        <w:tabs>
          <w:tab w:val="left" w:pos="1106"/>
          <w:tab w:val="left" w:pos="1107"/>
        </w:tabs>
        <w:spacing w:before="60"/>
        <w:ind w:left="1106"/>
      </w:pPr>
      <w:bookmarkStart w:id="59" w:name="_bookmark59"/>
      <w:bookmarkEnd w:id="59"/>
      <w:r>
        <w:lastRenderedPageBreak/>
        <w:t>Energy</w:t>
      </w:r>
      <w:r>
        <w:rPr>
          <w:spacing w:val="-1"/>
        </w:rPr>
        <w:t xml:space="preserve"> </w:t>
      </w:r>
      <w:r>
        <w:t>Ava</w:t>
      </w:r>
      <w:r>
        <w:t>ilability</w:t>
      </w:r>
    </w:p>
    <w:p w:rsidR="007C5447" w:rsidRDefault="007C5447">
      <w:pPr>
        <w:pStyle w:val="BodyText"/>
        <w:rPr>
          <w:b/>
          <w:sz w:val="28"/>
        </w:rPr>
      </w:pPr>
    </w:p>
    <w:p w:rsidR="007C5447" w:rsidRDefault="00F6308C">
      <w:pPr>
        <w:pStyle w:val="ListParagraph"/>
        <w:numPr>
          <w:ilvl w:val="2"/>
          <w:numId w:val="114"/>
        </w:numPr>
        <w:tabs>
          <w:tab w:val="left" w:pos="1392"/>
          <w:tab w:val="left" w:pos="1393"/>
        </w:tabs>
        <w:ind w:left="1392" w:hanging="853"/>
        <w:rPr>
          <w:b/>
          <w:sz w:val="24"/>
        </w:rPr>
      </w:pPr>
      <w:r>
        <w:rPr>
          <w:b/>
          <w:sz w:val="24"/>
        </w:rPr>
        <w:t>Own</w:t>
      </w:r>
      <w:r>
        <w:rPr>
          <w:b/>
          <w:spacing w:val="-1"/>
          <w:sz w:val="24"/>
        </w:rPr>
        <w:t xml:space="preserve"> </w:t>
      </w:r>
      <w:r>
        <w:rPr>
          <w:b/>
          <w:sz w:val="24"/>
        </w:rPr>
        <w:t>Generation</w:t>
      </w:r>
    </w:p>
    <w:p w:rsidR="007C5447" w:rsidRDefault="007C5447">
      <w:pPr>
        <w:pStyle w:val="BodyText"/>
        <w:spacing w:before="2"/>
        <w:rPr>
          <w:b/>
          <w:sz w:val="28"/>
        </w:rPr>
      </w:pPr>
    </w:p>
    <w:p w:rsidR="007C5447" w:rsidRDefault="00F6308C">
      <w:pPr>
        <w:pStyle w:val="ListParagraph"/>
        <w:numPr>
          <w:ilvl w:val="3"/>
          <w:numId w:val="68"/>
        </w:numPr>
        <w:tabs>
          <w:tab w:val="left" w:pos="1505"/>
          <w:tab w:val="left" w:pos="1506"/>
        </w:tabs>
        <w:spacing w:before="1" w:line="312" w:lineRule="auto"/>
        <w:ind w:right="508"/>
        <w:rPr>
          <w:sz w:val="24"/>
        </w:rPr>
      </w:pPr>
      <w:r>
        <w:rPr>
          <w:sz w:val="24"/>
        </w:rPr>
        <w:t>Total availability from own generating stations as submitted by TANGEDCO is shown in the Table</w:t>
      </w:r>
      <w:r>
        <w:rPr>
          <w:spacing w:val="-2"/>
          <w:sz w:val="24"/>
        </w:rPr>
        <w:t xml:space="preserve"> </w:t>
      </w:r>
      <w:r>
        <w:rPr>
          <w:sz w:val="24"/>
        </w:rPr>
        <w:t>below:</w:t>
      </w:r>
    </w:p>
    <w:p w:rsidR="007C5447" w:rsidRDefault="007C5447">
      <w:pPr>
        <w:pStyle w:val="BodyText"/>
        <w:rPr>
          <w:sz w:val="21"/>
        </w:rPr>
      </w:pPr>
    </w:p>
    <w:p w:rsidR="007C5447" w:rsidRDefault="00F6308C">
      <w:pPr>
        <w:ind w:left="592" w:right="564"/>
        <w:jc w:val="center"/>
        <w:rPr>
          <w:b/>
        </w:rPr>
      </w:pPr>
      <w:r>
        <w:rPr>
          <w:b/>
        </w:rPr>
        <w:t>Table 4-5: Net Generation as submitted by TANGEDCO (MU)</w:t>
      </w:r>
    </w:p>
    <w:p w:rsidR="007C5447" w:rsidRDefault="007C5447">
      <w:pPr>
        <w:pStyle w:val="BodyText"/>
        <w:spacing w:before="11"/>
        <w:rPr>
          <w:b/>
          <w:sz w:val="16"/>
        </w:rPr>
      </w:pPr>
    </w:p>
    <w:tbl>
      <w:tblPr>
        <w:tblW w:w="0" w:type="auto"/>
        <w:tblInd w:w="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7"/>
        <w:gridCol w:w="1700"/>
        <w:gridCol w:w="1702"/>
        <w:gridCol w:w="1703"/>
      </w:tblGrid>
      <w:tr w:rsidR="007C5447">
        <w:trPr>
          <w:trHeight w:val="294"/>
        </w:trPr>
        <w:tc>
          <w:tcPr>
            <w:tcW w:w="2977" w:type="dxa"/>
            <w:shd w:val="clear" w:color="auto" w:fill="F7C9AC"/>
          </w:tcPr>
          <w:p w:rsidR="007C5447" w:rsidRDefault="00F6308C">
            <w:pPr>
              <w:pStyle w:val="TableParagraph"/>
              <w:spacing w:before="25" w:line="250" w:lineRule="exact"/>
              <w:ind w:left="105"/>
              <w:jc w:val="left"/>
              <w:rPr>
                <w:b/>
              </w:rPr>
            </w:pPr>
            <w:r>
              <w:rPr>
                <w:b/>
              </w:rPr>
              <w:t>Particulars</w:t>
            </w:r>
          </w:p>
        </w:tc>
        <w:tc>
          <w:tcPr>
            <w:tcW w:w="1700" w:type="dxa"/>
            <w:shd w:val="clear" w:color="auto" w:fill="F7C9AC"/>
          </w:tcPr>
          <w:p w:rsidR="007C5447" w:rsidRDefault="00F6308C">
            <w:pPr>
              <w:pStyle w:val="TableParagraph"/>
              <w:spacing w:before="25" w:line="250" w:lineRule="exact"/>
              <w:ind w:right="92"/>
              <w:rPr>
                <w:b/>
              </w:rPr>
            </w:pPr>
            <w:r>
              <w:rPr>
                <w:b/>
              </w:rPr>
              <w:t>FY 2016-17</w:t>
            </w:r>
          </w:p>
        </w:tc>
        <w:tc>
          <w:tcPr>
            <w:tcW w:w="1702" w:type="dxa"/>
            <w:shd w:val="clear" w:color="auto" w:fill="F7C9AC"/>
          </w:tcPr>
          <w:p w:rsidR="007C5447" w:rsidRDefault="00F6308C">
            <w:pPr>
              <w:pStyle w:val="TableParagraph"/>
              <w:spacing w:before="25" w:line="250" w:lineRule="exact"/>
              <w:ind w:right="95"/>
              <w:rPr>
                <w:b/>
              </w:rPr>
            </w:pPr>
            <w:r>
              <w:rPr>
                <w:b/>
              </w:rPr>
              <w:t>FY 2017-18</w:t>
            </w:r>
          </w:p>
        </w:tc>
        <w:tc>
          <w:tcPr>
            <w:tcW w:w="1703" w:type="dxa"/>
            <w:shd w:val="clear" w:color="auto" w:fill="F7C9AC"/>
          </w:tcPr>
          <w:p w:rsidR="007C5447" w:rsidRDefault="00F6308C">
            <w:pPr>
              <w:pStyle w:val="TableParagraph"/>
              <w:spacing w:before="25" w:line="250" w:lineRule="exact"/>
              <w:ind w:left="308"/>
              <w:jc w:val="left"/>
              <w:rPr>
                <w:b/>
              </w:rPr>
            </w:pPr>
            <w:r>
              <w:rPr>
                <w:b/>
              </w:rPr>
              <w:t>FY 2018-19</w:t>
            </w:r>
          </w:p>
        </w:tc>
      </w:tr>
      <w:tr w:rsidR="007C5447">
        <w:trPr>
          <w:trHeight w:val="292"/>
        </w:trPr>
        <w:tc>
          <w:tcPr>
            <w:tcW w:w="2977" w:type="dxa"/>
          </w:tcPr>
          <w:p w:rsidR="007C5447" w:rsidRDefault="00F6308C">
            <w:pPr>
              <w:pStyle w:val="TableParagraph"/>
              <w:spacing w:before="25" w:line="248" w:lineRule="exact"/>
              <w:ind w:left="105"/>
              <w:jc w:val="left"/>
            </w:pPr>
            <w:r>
              <w:t>Ennore TPS</w:t>
            </w:r>
          </w:p>
        </w:tc>
        <w:tc>
          <w:tcPr>
            <w:tcW w:w="1700" w:type="dxa"/>
          </w:tcPr>
          <w:p w:rsidR="007C5447" w:rsidRDefault="00F6308C">
            <w:pPr>
              <w:pStyle w:val="TableParagraph"/>
              <w:spacing w:before="17"/>
              <w:ind w:right="95"/>
            </w:pPr>
            <w:r>
              <w:t>786.83</w:t>
            </w:r>
          </w:p>
        </w:tc>
        <w:tc>
          <w:tcPr>
            <w:tcW w:w="1702" w:type="dxa"/>
          </w:tcPr>
          <w:p w:rsidR="007C5447" w:rsidRDefault="00F6308C">
            <w:pPr>
              <w:pStyle w:val="TableParagraph"/>
              <w:spacing w:before="17"/>
              <w:ind w:right="93"/>
            </w:pPr>
            <w:r>
              <w:t>-</w:t>
            </w:r>
          </w:p>
        </w:tc>
        <w:tc>
          <w:tcPr>
            <w:tcW w:w="1703" w:type="dxa"/>
          </w:tcPr>
          <w:p w:rsidR="007C5447" w:rsidRDefault="00F6308C">
            <w:pPr>
              <w:pStyle w:val="TableParagraph"/>
              <w:spacing w:before="17"/>
              <w:ind w:right="94"/>
            </w:pPr>
            <w:r>
              <w:t>-</w:t>
            </w:r>
          </w:p>
        </w:tc>
      </w:tr>
      <w:tr w:rsidR="007C5447">
        <w:trPr>
          <w:trHeight w:val="294"/>
        </w:trPr>
        <w:tc>
          <w:tcPr>
            <w:tcW w:w="2977" w:type="dxa"/>
          </w:tcPr>
          <w:p w:rsidR="007C5447" w:rsidRDefault="00F6308C">
            <w:pPr>
              <w:pStyle w:val="TableParagraph"/>
              <w:spacing w:before="25" w:line="250" w:lineRule="exact"/>
              <w:ind w:left="105"/>
              <w:jc w:val="left"/>
            </w:pPr>
            <w:r>
              <w:t>Ennore Expansion II</w:t>
            </w:r>
          </w:p>
        </w:tc>
        <w:tc>
          <w:tcPr>
            <w:tcW w:w="1700" w:type="dxa"/>
          </w:tcPr>
          <w:p w:rsidR="007C5447" w:rsidRDefault="00F6308C">
            <w:pPr>
              <w:pStyle w:val="TableParagraph"/>
              <w:spacing w:before="20"/>
              <w:ind w:right="90"/>
            </w:pPr>
            <w:r>
              <w:t>-</w:t>
            </w:r>
          </w:p>
        </w:tc>
        <w:tc>
          <w:tcPr>
            <w:tcW w:w="1702" w:type="dxa"/>
          </w:tcPr>
          <w:p w:rsidR="007C5447" w:rsidRDefault="00F6308C">
            <w:pPr>
              <w:pStyle w:val="TableParagraph"/>
              <w:spacing w:before="20"/>
              <w:ind w:right="93"/>
            </w:pPr>
            <w:r>
              <w:t>-</w:t>
            </w:r>
          </w:p>
        </w:tc>
        <w:tc>
          <w:tcPr>
            <w:tcW w:w="1703" w:type="dxa"/>
          </w:tcPr>
          <w:p w:rsidR="007C5447" w:rsidRDefault="00F6308C">
            <w:pPr>
              <w:pStyle w:val="TableParagraph"/>
              <w:spacing w:before="20"/>
              <w:ind w:right="98"/>
            </w:pPr>
            <w:r>
              <w:t>1,735.17</w:t>
            </w:r>
          </w:p>
        </w:tc>
      </w:tr>
      <w:tr w:rsidR="007C5447">
        <w:trPr>
          <w:trHeight w:val="294"/>
        </w:trPr>
        <w:tc>
          <w:tcPr>
            <w:tcW w:w="2977" w:type="dxa"/>
          </w:tcPr>
          <w:p w:rsidR="007C5447" w:rsidRDefault="00F6308C">
            <w:pPr>
              <w:pStyle w:val="TableParagraph"/>
              <w:spacing w:before="25" w:line="250" w:lineRule="exact"/>
              <w:ind w:left="105"/>
              <w:jc w:val="left"/>
            </w:pPr>
            <w:r>
              <w:t>Tuticorin TPS</w:t>
            </w:r>
          </w:p>
        </w:tc>
        <w:tc>
          <w:tcPr>
            <w:tcW w:w="1700" w:type="dxa"/>
          </w:tcPr>
          <w:p w:rsidR="007C5447" w:rsidRDefault="00F6308C">
            <w:pPr>
              <w:pStyle w:val="TableParagraph"/>
              <w:spacing w:before="20"/>
              <w:ind w:right="95"/>
            </w:pPr>
            <w:r>
              <w:t>6,732.94</w:t>
            </w:r>
          </w:p>
        </w:tc>
        <w:tc>
          <w:tcPr>
            <w:tcW w:w="1702" w:type="dxa"/>
          </w:tcPr>
          <w:p w:rsidR="007C5447" w:rsidRDefault="00F6308C">
            <w:pPr>
              <w:pStyle w:val="TableParagraph"/>
              <w:spacing w:before="20"/>
              <w:ind w:right="97"/>
            </w:pPr>
            <w:r>
              <w:t>6,732.94</w:t>
            </w:r>
          </w:p>
        </w:tc>
        <w:tc>
          <w:tcPr>
            <w:tcW w:w="1703" w:type="dxa"/>
          </w:tcPr>
          <w:p w:rsidR="007C5447" w:rsidRDefault="00F6308C">
            <w:pPr>
              <w:pStyle w:val="TableParagraph"/>
              <w:spacing w:before="20"/>
              <w:ind w:right="98"/>
            </w:pPr>
            <w:r>
              <w:t>6,867.59</w:t>
            </w:r>
          </w:p>
        </w:tc>
      </w:tr>
      <w:tr w:rsidR="007C5447">
        <w:trPr>
          <w:trHeight w:val="293"/>
        </w:trPr>
        <w:tc>
          <w:tcPr>
            <w:tcW w:w="2977" w:type="dxa"/>
          </w:tcPr>
          <w:p w:rsidR="007C5447" w:rsidRDefault="00F6308C">
            <w:pPr>
              <w:pStyle w:val="TableParagraph"/>
              <w:spacing w:before="25" w:line="248" w:lineRule="exact"/>
              <w:ind w:left="105"/>
              <w:jc w:val="left"/>
            </w:pPr>
            <w:r>
              <w:t>Mettur TPS</w:t>
            </w:r>
          </w:p>
        </w:tc>
        <w:tc>
          <w:tcPr>
            <w:tcW w:w="1700" w:type="dxa"/>
          </w:tcPr>
          <w:p w:rsidR="007C5447" w:rsidRDefault="00F6308C">
            <w:pPr>
              <w:pStyle w:val="TableParagraph"/>
              <w:spacing w:before="18"/>
              <w:ind w:right="95"/>
            </w:pPr>
            <w:r>
              <w:t>5,386.35</w:t>
            </w:r>
          </w:p>
        </w:tc>
        <w:tc>
          <w:tcPr>
            <w:tcW w:w="1702" w:type="dxa"/>
          </w:tcPr>
          <w:p w:rsidR="007C5447" w:rsidRDefault="00F6308C">
            <w:pPr>
              <w:pStyle w:val="TableParagraph"/>
              <w:spacing w:before="18"/>
              <w:ind w:right="97"/>
            </w:pPr>
            <w:r>
              <w:t>5,386.35</w:t>
            </w:r>
          </w:p>
        </w:tc>
        <w:tc>
          <w:tcPr>
            <w:tcW w:w="1703" w:type="dxa"/>
          </w:tcPr>
          <w:p w:rsidR="007C5447" w:rsidRDefault="00F6308C">
            <w:pPr>
              <w:pStyle w:val="TableParagraph"/>
              <w:spacing w:before="18"/>
              <w:ind w:right="98"/>
            </w:pPr>
            <w:r>
              <w:t>5,494.08</w:t>
            </w:r>
          </w:p>
        </w:tc>
      </w:tr>
      <w:tr w:rsidR="007C5447">
        <w:trPr>
          <w:trHeight w:val="294"/>
        </w:trPr>
        <w:tc>
          <w:tcPr>
            <w:tcW w:w="2977" w:type="dxa"/>
          </w:tcPr>
          <w:p w:rsidR="007C5447" w:rsidRDefault="00F6308C">
            <w:pPr>
              <w:pStyle w:val="TableParagraph"/>
              <w:spacing w:before="25" w:line="250" w:lineRule="exact"/>
              <w:ind w:left="105"/>
              <w:jc w:val="left"/>
            </w:pPr>
            <w:r>
              <w:t>Mettur Stage III TPS</w:t>
            </w:r>
          </w:p>
        </w:tc>
        <w:tc>
          <w:tcPr>
            <w:tcW w:w="1700" w:type="dxa"/>
          </w:tcPr>
          <w:p w:rsidR="007C5447" w:rsidRDefault="00F6308C">
            <w:pPr>
              <w:pStyle w:val="TableParagraph"/>
              <w:spacing w:before="20"/>
              <w:ind w:right="95"/>
            </w:pPr>
            <w:r>
              <w:t>3,833.52</w:t>
            </w:r>
          </w:p>
        </w:tc>
        <w:tc>
          <w:tcPr>
            <w:tcW w:w="1702" w:type="dxa"/>
          </w:tcPr>
          <w:p w:rsidR="007C5447" w:rsidRDefault="00F6308C">
            <w:pPr>
              <w:pStyle w:val="TableParagraph"/>
              <w:spacing w:before="20"/>
              <w:ind w:right="97"/>
            </w:pPr>
            <w:r>
              <w:t>3,833.52</w:t>
            </w:r>
          </w:p>
        </w:tc>
        <w:tc>
          <w:tcPr>
            <w:tcW w:w="1703" w:type="dxa"/>
          </w:tcPr>
          <w:p w:rsidR="007C5447" w:rsidRDefault="00F6308C">
            <w:pPr>
              <w:pStyle w:val="TableParagraph"/>
              <w:spacing w:before="20"/>
              <w:ind w:right="98"/>
            </w:pPr>
            <w:r>
              <w:t>3,910.19</w:t>
            </w:r>
          </w:p>
        </w:tc>
      </w:tr>
      <w:tr w:rsidR="007C5447">
        <w:trPr>
          <w:trHeight w:val="294"/>
        </w:trPr>
        <w:tc>
          <w:tcPr>
            <w:tcW w:w="2977" w:type="dxa"/>
          </w:tcPr>
          <w:p w:rsidR="007C5447" w:rsidRDefault="00F6308C">
            <w:pPr>
              <w:pStyle w:val="TableParagraph"/>
              <w:spacing w:before="25" w:line="250" w:lineRule="exact"/>
              <w:ind w:left="105"/>
              <w:jc w:val="left"/>
            </w:pPr>
            <w:r>
              <w:t>North Chennai TPS</w:t>
            </w:r>
          </w:p>
        </w:tc>
        <w:tc>
          <w:tcPr>
            <w:tcW w:w="1700" w:type="dxa"/>
          </w:tcPr>
          <w:p w:rsidR="007C5447" w:rsidRDefault="00F6308C">
            <w:pPr>
              <w:pStyle w:val="TableParagraph"/>
              <w:spacing w:before="20"/>
              <w:ind w:right="95"/>
            </w:pPr>
            <w:r>
              <w:t>4,039.76</w:t>
            </w:r>
          </w:p>
        </w:tc>
        <w:tc>
          <w:tcPr>
            <w:tcW w:w="1702" w:type="dxa"/>
          </w:tcPr>
          <w:p w:rsidR="007C5447" w:rsidRDefault="00F6308C">
            <w:pPr>
              <w:pStyle w:val="TableParagraph"/>
              <w:spacing w:before="20"/>
              <w:ind w:right="97"/>
            </w:pPr>
            <w:r>
              <w:t>4,415.46</w:t>
            </w:r>
          </w:p>
        </w:tc>
        <w:tc>
          <w:tcPr>
            <w:tcW w:w="1703" w:type="dxa"/>
          </w:tcPr>
          <w:p w:rsidR="007C5447" w:rsidRDefault="00F6308C">
            <w:pPr>
              <w:pStyle w:val="TableParagraph"/>
              <w:spacing w:before="20"/>
              <w:ind w:right="98"/>
            </w:pPr>
            <w:r>
              <w:t>4,502.82</w:t>
            </w:r>
          </w:p>
        </w:tc>
      </w:tr>
      <w:tr w:rsidR="007C5447">
        <w:trPr>
          <w:trHeight w:val="292"/>
        </w:trPr>
        <w:tc>
          <w:tcPr>
            <w:tcW w:w="2977" w:type="dxa"/>
          </w:tcPr>
          <w:p w:rsidR="007C5447" w:rsidRDefault="00F6308C">
            <w:pPr>
              <w:pStyle w:val="TableParagraph"/>
              <w:spacing w:before="25" w:line="248" w:lineRule="exact"/>
              <w:ind w:left="105"/>
              <w:jc w:val="left"/>
            </w:pPr>
            <w:r>
              <w:t>North Chennai Stage II TPS</w:t>
            </w:r>
          </w:p>
        </w:tc>
        <w:tc>
          <w:tcPr>
            <w:tcW w:w="1700" w:type="dxa"/>
          </w:tcPr>
          <w:p w:rsidR="007C5447" w:rsidRDefault="00F6308C">
            <w:pPr>
              <w:pStyle w:val="TableParagraph"/>
              <w:spacing w:before="17"/>
              <w:ind w:right="95"/>
            </w:pPr>
            <w:r>
              <w:t>7,694.78</w:t>
            </w:r>
          </w:p>
        </w:tc>
        <w:tc>
          <w:tcPr>
            <w:tcW w:w="1702" w:type="dxa"/>
          </w:tcPr>
          <w:p w:rsidR="007C5447" w:rsidRDefault="00F6308C">
            <w:pPr>
              <w:pStyle w:val="TableParagraph"/>
              <w:spacing w:before="17"/>
              <w:ind w:right="97"/>
            </w:pPr>
            <w:r>
              <w:t>7,667.03</w:t>
            </w:r>
          </w:p>
        </w:tc>
        <w:tc>
          <w:tcPr>
            <w:tcW w:w="1703" w:type="dxa"/>
          </w:tcPr>
          <w:p w:rsidR="007C5447" w:rsidRDefault="00F6308C">
            <w:pPr>
              <w:pStyle w:val="TableParagraph"/>
              <w:spacing w:before="17"/>
              <w:ind w:right="98"/>
            </w:pPr>
            <w:r>
              <w:t>7,820.37</w:t>
            </w:r>
          </w:p>
        </w:tc>
      </w:tr>
      <w:tr w:rsidR="007C5447">
        <w:trPr>
          <w:trHeight w:val="323"/>
        </w:trPr>
        <w:tc>
          <w:tcPr>
            <w:tcW w:w="2977" w:type="dxa"/>
            <w:shd w:val="clear" w:color="auto" w:fill="D9D9D9"/>
          </w:tcPr>
          <w:p w:rsidR="007C5447" w:rsidRDefault="00F6308C">
            <w:pPr>
              <w:pStyle w:val="TableParagraph"/>
              <w:spacing w:before="53" w:line="250" w:lineRule="exact"/>
              <w:ind w:left="105"/>
              <w:jc w:val="left"/>
              <w:rPr>
                <w:b/>
              </w:rPr>
            </w:pPr>
            <w:r>
              <w:rPr>
                <w:b/>
              </w:rPr>
              <w:t>Total Coal Thermal</w:t>
            </w:r>
          </w:p>
        </w:tc>
        <w:tc>
          <w:tcPr>
            <w:tcW w:w="1700" w:type="dxa"/>
            <w:shd w:val="clear" w:color="auto" w:fill="D9D9D9"/>
          </w:tcPr>
          <w:p w:rsidR="007C5447" w:rsidRDefault="00F6308C">
            <w:pPr>
              <w:pStyle w:val="TableParagraph"/>
              <w:spacing w:before="34"/>
              <w:ind w:right="95"/>
              <w:rPr>
                <w:b/>
              </w:rPr>
            </w:pPr>
            <w:r>
              <w:rPr>
                <w:b/>
              </w:rPr>
              <w:t>28,474.18</w:t>
            </w:r>
          </w:p>
        </w:tc>
        <w:tc>
          <w:tcPr>
            <w:tcW w:w="1702" w:type="dxa"/>
            <w:shd w:val="clear" w:color="auto" w:fill="D9D9D9"/>
          </w:tcPr>
          <w:p w:rsidR="007C5447" w:rsidRDefault="00F6308C">
            <w:pPr>
              <w:pStyle w:val="TableParagraph"/>
              <w:spacing w:before="34"/>
              <w:ind w:right="97"/>
              <w:rPr>
                <w:b/>
              </w:rPr>
            </w:pPr>
            <w:r>
              <w:rPr>
                <w:b/>
              </w:rPr>
              <w:t>28,035.29</w:t>
            </w:r>
          </w:p>
        </w:tc>
        <w:tc>
          <w:tcPr>
            <w:tcW w:w="1703" w:type="dxa"/>
            <w:shd w:val="clear" w:color="auto" w:fill="D9D9D9"/>
          </w:tcPr>
          <w:p w:rsidR="007C5447" w:rsidRDefault="00F6308C">
            <w:pPr>
              <w:pStyle w:val="TableParagraph"/>
              <w:spacing w:before="34"/>
              <w:ind w:right="98"/>
              <w:rPr>
                <w:b/>
              </w:rPr>
            </w:pPr>
            <w:r>
              <w:rPr>
                <w:b/>
              </w:rPr>
              <w:t>30,330.22</w:t>
            </w:r>
          </w:p>
        </w:tc>
      </w:tr>
      <w:tr w:rsidR="007C5447">
        <w:trPr>
          <w:trHeight w:val="294"/>
        </w:trPr>
        <w:tc>
          <w:tcPr>
            <w:tcW w:w="2977" w:type="dxa"/>
          </w:tcPr>
          <w:p w:rsidR="007C5447" w:rsidRDefault="00F6308C">
            <w:pPr>
              <w:pStyle w:val="TableParagraph"/>
              <w:spacing w:before="25" w:line="250" w:lineRule="exact"/>
              <w:ind w:left="105"/>
              <w:jc w:val="left"/>
            </w:pPr>
            <w:r>
              <w:t>Tirumakottai GTPS</w:t>
            </w:r>
          </w:p>
        </w:tc>
        <w:tc>
          <w:tcPr>
            <w:tcW w:w="1700" w:type="dxa"/>
          </w:tcPr>
          <w:p w:rsidR="007C5447" w:rsidRDefault="00F6308C">
            <w:pPr>
              <w:pStyle w:val="TableParagraph"/>
              <w:spacing w:before="20"/>
              <w:ind w:right="95"/>
            </w:pPr>
            <w:r>
              <w:t>710.66</w:t>
            </w:r>
          </w:p>
        </w:tc>
        <w:tc>
          <w:tcPr>
            <w:tcW w:w="1702" w:type="dxa"/>
          </w:tcPr>
          <w:p w:rsidR="007C5447" w:rsidRDefault="00F6308C">
            <w:pPr>
              <w:pStyle w:val="TableParagraph"/>
              <w:spacing w:before="20"/>
              <w:ind w:right="97"/>
            </w:pPr>
            <w:r>
              <w:t>756.85</w:t>
            </w:r>
          </w:p>
        </w:tc>
        <w:tc>
          <w:tcPr>
            <w:tcW w:w="1703" w:type="dxa"/>
          </w:tcPr>
          <w:p w:rsidR="007C5447" w:rsidRDefault="00F6308C">
            <w:pPr>
              <w:pStyle w:val="TableParagraph"/>
              <w:spacing w:before="20"/>
              <w:ind w:right="98"/>
            </w:pPr>
            <w:r>
              <w:t>772.84</w:t>
            </w:r>
          </w:p>
        </w:tc>
      </w:tr>
      <w:tr w:rsidR="007C5447">
        <w:trPr>
          <w:trHeight w:val="292"/>
        </w:trPr>
        <w:tc>
          <w:tcPr>
            <w:tcW w:w="2977" w:type="dxa"/>
          </w:tcPr>
          <w:p w:rsidR="007C5447" w:rsidRDefault="00F6308C">
            <w:pPr>
              <w:pStyle w:val="TableParagraph"/>
              <w:spacing w:before="25" w:line="248" w:lineRule="exact"/>
              <w:ind w:left="105"/>
              <w:jc w:val="left"/>
            </w:pPr>
            <w:r>
              <w:t>Kuttalam GTPS</w:t>
            </w:r>
          </w:p>
        </w:tc>
        <w:tc>
          <w:tcPr>
            <w:tcW w:w="1700" w:type="dxa"/>
          </w:tcPr>
          <w:p w:rsidR="007C5447" w:rsidRDefault="00F6308C">
            <w:pPr>
              <w:pStyle w:val="TableParagraph"/>
              <w:spacing w:before="17"/>
              <w:ind w:right="95"/>
            </w:pPr>
            <w:r>
              <w:t>658.75</w:t>
            </w:r>
          </w:p>
        </w:tc>
        <w:tc>
          <w:tcPr>
            <w:tcW w:w="1702" w:type="dxa"/>
          </w:tcPr>
          <w:p w:rsidR="007C5447" w:rsidRDefault="00F6308C">
            <w:pPr>
              <w:pStyle w:val="TableParagraph"/>
              <w:spacing w:before="17"/>
              <w:ind w:right="97"/>
            </w:pPr>
            <w:r>
              <w:t>706.51</w:t>
            </w:r>
          </w:p>
        </w:tc>
        <w:tc>
          <w:tcPr>
            <w:tcW w:w="1703" w:type="dxa"/>
          </w:tcPr>
          <w:p w:rsidR="007C5447" w:rsidRDefault="00F6308C">
            <w:pPr>
              <w:pStyle w:val="TableParagraph"/>
              <w:spacing w:before="17"/>
              <w:ind w:right="98"/>
            </w:pPr>
            <w:r>
              <w:t>720.51</w:t>
            </w:r>
          </w:p>
        </w:tc>
      </w:tr>
      <w:tr w:rsidR="007C5447">
        <w:trPr>
          <w:trHeight w:val="294"/>
        </w:trPr>
        <w:tc>
          <w:tcPr>
            <w:tcW w:w="2977" w:type="dxa"/>
          </w:tcPr>
          <w:p w:rsidR="007C5447" w:rsidRDefault="00F6308C">
            <w:pPr>
              <w:pStyle w:val="TableParagraph"/>
              <w:spacing w:before="25" w:line="250" w:lineRule="exact"/>
              <w:ind w:left="105"/>
              <w:jc w:val="left"/>
            </w:pPr>
            <w:r>
              <w:t>Basin Bridge GTPS</w:t>
            </w:r>
          </w:p>
        </w:tc>
        <w:tc>
          <w:tcPr>
            <w:tcW w:w="1700" w:type="dxa"/>
          </w:tcPr>
          <w:p w:rsidR="007C5447" w:rsidRDefault="00F6308C">
            <w:pPr>
              <w:pStyle w:val="TableParagraph"/>
              <w:spacing w:before="20"/>
              <w:ind w:right="95"/>
            </w:pPr>
            <w:r>
              <w:t>6.24</w:t>
            </w:r>
          </w:p>
        </w:tc>
        <w:tc>
          <w:tcPr>
            <w:tcW w:w="1702" w:type="dxa"/>
          </w:tcPr>
          <w:p w:rsidR="007C5447" w:rsidRDefault="00F6308C">
            <w:pPr>
              <w:pStyle w:val="TableParagraph"/>
              <w:spacing w:before="20"/>
              <w:ind w:right="97"/>
            </w:pPr>
            <w:r>
              <w:t>6.24</w:t>
            </w:r>
          </w:p>
        </w:tc>
        <w:tc>
          <w:tcPr>
            <w:tcW w:w="1703" w:type="dxa"/>
          </w:tcPr>
          <w:p w:rsidR="007C5447" w:rsidRDefault="00F6308C">
            <w:pPr>
              <w:pStyle w:val="TableParagraph"/>
              <w:spacing w:before="20"/>
              <w:ind w:right="98"/>
            </w:pPr>
            <w:r>
              <w:t>6.24</w:t>
            </w:r>
          </w:p>
        </w:tc>
      </w:tr>
      <w:tr w:rsidR="007C5447">
        <w:trPr>
          <w:trHeight w:val="294"/>
        </w:trPr>
        <w:tc>
          <w:tcPr>
            <w:tcW w:w="2977" w:type="dxa"/>
          </w:tcPr>
          <w:p w:rsidR="007C5447" w:rsidRDefault="00F6308C">
            <w:pPr>
              <w:pStyle w:val="TableParagraph"/>
              <w:spacing w:before="25" w:line="250" w:lineRule="exact"/>
              <w:ind w:left="105"/>
              <w:jc w:val="left"/>
            </w:pPr>
            <w:r>
              <w:t>Valuthur GTPS</w:t>
            </w:r>
          </w:p>
        </w:tc>
        <w:tc>
          <w:tcPr>
            <w:tcW w:w="1700" w:type="dxa"/>
          </w:tcPr>
          <w:p w:rsidR="007C5447" w:rsidRDefault="00F6308C">
            <w:pPr>
              <w:pStyle w:val="TableParagraph"/>
              <w:spacing w:before="20"/>
              <w:ind w:right="95"/>
            </w:pPr>
            <w:r>
              <w:t>625.81</w:t>
            </w:r>
          </w:p>
        </w:tc>
        <w:tc>
          <w:tcPr>
            <w:tcW w:w="1702" w:type="dxa"/>
          </w:tcPr>
          <w:p w:rsidR="007C5447" w:rsidRDefault="00F6308C">
            <w:pPr>
              <w:pStyle w:val="TableParagraph"/>
              <w:spacing w:before="20"/>
              <w:ind w:right="97"/>
            </w:pPr>
            <w:r>
              <w:t>1,286.68</w:t>
            </w:r>
          </w:p>
        </w:tc>
        <w:tc>
          <w:tcPr>
            <w:tcW w:w="1703" w:type="dxa"/>
          </w:tcPr>
          <w:p w:rsidR="007C5447" w:rsidRDefault="00F6308C">
            <w:pPr>
              <w:pStyle w:val="TableParagraph"/>
              <w:spacing w:before="20"/>
              <w:ind w:right="98"/>
            </w:pPr>
            <w:r>
              <w:t>1,313.00</w:t>
            </w:r>
          </w:p>
        </w:tc>
      </w:tr>
      <w:tr w:rsidR="007C5447">
        <w:trPr>
          <w:trHeight w:val="321"/>
        </w:trPr>
        <w:tc>
          <w:tcPr>
            <w:tcW w:w="2977" w:type="dxa"/>
            <w:shd w:val="clear" w:color="auto" w:fill="D9D9D9"/>
          </w:tcPr>
          <w:p w:rsidR="007C5447" w:rsidRDefault="00F6308C">
            <w:pPr>
              <w:pStyle w:val="TableParagraph"/>
              <w:spacing w:before="53" w:line="248" w:lineRule="exact"/>
              <w:ind w:left="105"/>
              <w:jc w:val="left"/>
              <w:rPr>
                <w:b/>
              </w:rPr>
            </w:pPr>
            <w:r>
              <w:rPr>
                <w:b/>
              </w:rPr>
              <w:t>Total Gas Thermal</w:t>
            </w:r>
          </w:p>
        </w:tc>
        <w:tc>
          <w:tcPr>
            <w:tcW w:w="1700" w:type="dxa"/>
            <w:shd w:val="clear" w:color="auto" w:fill="D9D9D9"/>
          </w:tcPr>
          <w:p w:rsidR="007C5447" w:rsidRDefault="00F6308C">
            <w:pPr>
              <w:pStyle w:val="TableParagraph"/>
              <w:spacing w:before="32"/>
              <w:ind w:right="95"/>
              <w:rPr>
                <w:b/>
              </w:rPr>
            </w:pPr>
            <w:r>
              <w:rPr>
                <w:b/>
              </w:rPr>
              <w:t>2,001.47</w:t>
            </w:r>
          </w:p>
        </w:tc>
        <w:tc>
          <w:tcPr>
            <w:tcW w:w="1702" w:type="dxa"/>
            <w:shd w:val="clear" w:color="auto" w:fill="D9D9D9"/>
          </w:tcPr>
          <w:p w:rsidR="007C5447" w:rsidRDefault="00F6308C">
            <w:pPr>
              <w:pStyle w:val="TableParagraph"/>
              <w:spacing w:before="32"/>
              <w:ind w:right="97"/>
              <w:rPr>
                <w:b/>
              </w:rPr>
            </w:pPr>
            <w:r>
              <w:rPr>
                <w:b/>
              </w:rPr>
              <w:t>2,756.30</w:t>
            </w:r>
          </w:p>
        </w:tc>
        <w:tc>
          <w:tcPr>
            <w:tcW w:w="1703" w:type="dxa"/>
            <w:shd w:val="clear" w:color="auto" w:fill="D9D9D9"/>
          </w:tcPr>
          <w:p w:rsidR="007C5447" w:rsidRDefault="00F6308C">
            <w:pPr>
              <w:pStyle w:val="TableParagraph"/>
              <w:spacing w:before="32"/>
              <w:ind w:right="98"/>
              <w:rPr>
                <w:b/>
              </w:rPr>
            </w:pPr>
            <w:r>
              <w:rPr>
                <w:b/>
              </w:rPr>
              <w:t>2,812.60</w:t>
            </w:r>
          </w:p>
        </w:tc>
      </w:tr>
      <w:tr w:rsidR="007C5447">
        <w:trPr>
          <w:trHeight w:val="294"/>
        </w:trPr>
        <w:tc>
          <w:tcPr>
            <w:tcW w:w="2977" w:type="dxa"/>
          </w:tcPr>
          <w:p w:rsidR="007C5447" w:rsidRDefault="00F6308C">
            <w:pPr>
              <w:pStyle w:val="TableParagraph"/>
              <w:spacing w:before="25" w:line="250" w:lineRule="exact"/>
              <w:ind w:left="105"/>
              <w:jc w:val="left"/>
            </w:pPr>
            <w:r>
              <w:t>Kundah Generation Circle</w:t>
            </w:r>
          </w:p>
        </w:tc>
        <w:tc>
          <w:tcPr>
            <w:tcW w:w="1700" w:type="dxa"/>
          </w:tcPr>
          <w:p w:rsidR="007C5447" w:rsidRDefault="00F6308C">
            <w:pPr>
              <w:pStyle w:val="TableParagraph"/>
              <w:spacing w:before="20"/>
              <w:ind w:right="95"/>
            </w:pPr>
            <w:r>
              <w:t>756.00</w:t>
            </w:r>
          </w:p>
        </w:tc>
        <w:tc>
          <w:tcPr>
            <w:tcW w:w="1702" w:type="dxa"/>
          </w:tcPr>
          <w:p w:rsidR="007C5447" w:rsidRDefault="00F6308C">
            <w:pPr>
              <w:pStyle w:val="TableParagraph"/>
              <w:spacing w:before="20"/>
              <w:ind w:right="97"/>
            </w:pPr>
            <w:r>
              <w:t>1,312.00</w:t>
            </w:r>
          </w:p>
        </w:tc>
        <w:tc>
          <w:tcPr>
            <w:tcW w:w="1703" w:type="dxa"/>
          </w:tcPr>
          <w:p w:rsidR="007C5447" w:rsidRDefault="00F6308C">
            <w:pPr>
              <w:pStyle w:val="TableParagraph"/>
              <w:spacing w:before="20"/>
              <w:ind w:right="98"/>
            </w:pPr>
            <w:r>
              <w:t>1,324.00</w:t>
            </w:r>
          </w:p>
        </w:tc>
      </w:tr>
      <w:tr w:rsidR="007C5447">
        <w:trPr>
          <w:trHeight w:val="295"/>
        </w:trPr>
        <w:tc>
          <w:tcPr>
            <w:tcW w:w="2977" w:type="dxa"/>
          </w:tcPr>
          <w:p w:rsidR="007C5447" w:rsidRDefault="00F6308C">
            <w:pPr>
              <w:pStyle w:val="TableParagraph"/>
              <w:spacing w:before="25" w:line="250" w:lineRule="exact"/>
              <w:ind w:left="105"/>
              <w:jc w:val="left"/>
            </w:pPr>
            <w:r>
              <w:t>Kadamparai Generation Circle</w:t>
            </w:r>
          </w:p>
        </w:tc>
        <w:tc>
          <w:tcPr>
            <w:tcW w:w="1700" w:type="dxa"/>
          </w:tcPr>
          <w:p w:rsidR="007C5447" w:rsidRDefault="00F6308C">
            <w:pPr>
              <w:pStyle w:val="TableParagraph"/>
              <w:spacing w:before="20"/>
              <w:ind w:right="95"/>
            </w:pPr>
            <w:r>
              <w:t>891.00</w:t>
            </w:r>
          </w:p>
        </w:tc>
        <w:tc>
          <w:tcPr>
            <w:tcW w:w="1702" w:type="dxa"/>
          </w:tcPr>
          <w:p w:rsidR="007C5447" w:rsidRDefault="00F6308C">
            <w:pPr>
              <w:pStyle w:val="TableParagraph"/>
              <w:spacing w:before="20"/>
              <w:ind w:right="97"/>
            </w:pPr>
            <w:r>
              <w:t>1,369.97</w:t>
            </w:r>
          </w:p>
        </w:tc>
        <w:tc>
          <w:tcPr>
            <w:tcW w:w="1703" w:type="dxa"/>
          </w:tcPr>
          <w:p w:rsidR="007C5447" w:rsidRDefault="00F6308C">
            <w:pPr>
              <w:pStyle w:val="TableParagraph"/>
              <w:spacing w:before="20"/>
              <w:ind w:right="98"/>
            </w:pPr>
            <w:r>
              <w:t>1,409.69</w:t>
            </w:r>
          </w:p>
        </w:tc>
      </w:tr>
      <w:tr w:rsidR="007C5447">
        <w:trPr>
          <w:trHeight w:val="292"/>
        </w:trPr>
        <w:tc>
          <w:tcPr>
            <w:tcW w:w="2977" w:type="dxa"/>
          </w:tcPr>
          <w:p w:rsidR="007C5447" w:rsidRDefault="00F6308C">
            <w:pPr>
              <w:pStyle w:val="TableParagraph"/>
              <w:spacing w:before="25" w:line="248" w:lineRule="exact"/>
              <w:ind w:left="105"/>
              <w:jc w:val="left"/>
            </w:pPr>
            <w:r>
              <w:t>Tirunelveli Generation Circle</w:t>
            </w:r>
          </w:p>
        </w:tc>
        <w:tc>
          <w:tcPr>
            <w:tcW w:w="1700" w:type="dxa"/>
          </w:tcPr>
          <w:p w:rsidR="007C5447" w:rsidRDefault="00F6308C">
            <w:pPr>
              <w:pStyle w:val="TableParagraph"/>
              <w:spacing w:before="17"/>
              <w:ind w:right="95"/>
            </w:pPr>
            <w:r>
              <w:t>1,096.00</w:t>
            </w:r>
          </w:p>
        </w:tc>
        <w:tc>
          <w:tcPr>
            <w:tcW w:w="1702" w:type="dxa"/>
          </w:tcPr>
          <w:p w:rsidR="007C5447" w:rsidRDefault="00F6308C">
            <w:pPr>
              <w:pStyle w:val="TableParagraph"/>
              <w:spacing w:before="17"/>
              <w:ind w:right="97"/>
            </w:pPr>
            <w:r>
              <w:t>1,026.00</w:t>
            </w:r>
          </w:p>
        </w:tc>
        <w:tc>
          <w:tcPr>
            <w:tcW w:w="1703" w:type="dxa"/>
          </w:tcPr>
          <w:p w:rsidR="007C5447" w:rsidRDefault="00F6308C">
            <w:pPr>
              <w:pStyle w:val="TableParagraph"/>
              <w:spacing w:before="17"/>
              <w:ind w:right="98"/>
            </w:pPr>
            <w:r>
              <w:t>1,030.00</w:t>
            </w:r>
          </w:p>
        </w:tc>
      </w:tr>
      <w:tr w:rsidR="007C5447">
        <w:trPr>
          <w:trHeight w:val="294"/>
        </w:trPr>
        <w:tc>
          <w:tcPr>
            <w:tcW w:w="2977" w:type="dxa"/>
          </w:tcPr>
          <w:p w:rsidR="007C5447" w:rsidRDefault="00F6308C">
            <w:pPr>
              <w:pStyle w:val="TableParagraph"/>
              <w:spacing w:before="25" w:line="250" w:lineRule="exact"/>
              <w:ind w:left="105"/>
              <w:jc w:val="left"/>
            </w:pPr>
            <w:r>
              <w:t>Erode Generation Circle</w:t>
            </w:r>
          </w:p>
        </w:tc>
        <w:tc>
          <w:tcPr>
            <w:tcW w:w="1700" w:type="dxa"/>
          </w:tcPr>
          <w:p w:rsidR="007C5447" w:rsidRDefault="00F6308C">
            <w:pPr>
              <w:pStyle w:val="TableParagraph"/>
              <w:spacing w:before="20"/>
              <w:ind w:right="95"/>
            </w:pPr>
            <w:r>
              <w:t>1,695.00</w:t>
            </w:r>
          </w:p>
        </w:tc>
        <w:tc>
          <w:tcPr>
            <w:tcW w:w="1702" w:type="dxa"/>
          </w:tcPr>
          <w:p w:rsidR="007C5447" w:rsidRDefault="00F6308C">
            <w:pPr>
              <w:pStyle w:val="TableParagraph"/>
              <w:spacing w:before="20"/>
              <w:ind w:right="97"/>
            </w:pPr>
            <w:r>
              <w:t>2,410.94</w:t>
            </w:r>
          </w:p>
        </w:tc>
        <w:tc>
          <w:tcPr>
            <w:tcW w:w="1703" w:type="dxa"/>
          </w:tcPr>
          <w:p w:rsidR="007C5447" w:rsidRDefault="00F6308C">
            <w:pPr>
              <w:pStyle w:val="TableParagraph"/>
              <w:spacing w:before="20"/>
              <w:ind w:right="98"/>
            </w:pPr>
            <w:r>
              <w:t>2,425.41</w:t>
            </w:r>
          </w:p>
        </w:tc>
      </w:tr>
      <w:tr w:rsidR="007C5447">
        <w:trPr>
          <w:trHeight w:val="323"/>
        </w:trPr>
        <w:tc>
          <w:tcPr>
            <w:tcW w:w="2977" w:type="dxa"/>
            <w:shd w:val="clear" w:color="auto" w:fill="D9D9D9"/>
          </w:tcPr>
          <w:p w:rsidR="007C5447" w:rsidRDefault="00F6308C">
            <w:pPr>
              <w:pStyle w:val="TableParagraph"/>
              <w:spacing w:before="53" w:line="250" w:lineRule="exact"/>
              <w:ind w:left="105"/>
              <w:jc w:val="left"/>
              <w:rPr>
                <w:b/>
              </w:rPr>
            </w:pPr>
            <w:r>
              <w:rPr>
                <w:b/>
              </w:rPr>
              <w:t>Total Hydro</w:t>
            </w:r>
          </w:p>
        </w:tc>
        <w:tc>
          <w:tcPr>
            <w:tcW w:w="1700" w:type="dxa"/>
            <w:shd w:val="clear" w:color="auto" w:fill="D9D9D9"/>
          </w:tcPr>
          <w:p w:rsidR="007C5447" w:rsidRDefault="00F6308C">
            <w:pPr>
              <w:pStyle w:val="TableParagraph"/>
              <w:spacing w:before="34"/>
              <w:ind w:right="95"/>
              <w:rPr>
                <w:b/>
              </w:rPr>
            </w:pPr>
            <w:r>
              <w:rPr>
                <w:b/>
              </w:rPr>
              <w:t>4,438.00</w:t>
            </w:r>
          </w:p>
        </w:tc>
        <w:tc>
          <w:tcPr>
            <w:tcW w:w="1702" w:type="dxa"/>
            <w:shd w:val="clear" w:color="auto" w:fill="D9D9D9"/>
          </w:tcPr>
          <w:p w:rsidR="007C5447" w:rsidRDefault="00F6308C">
            <w:pPr>
              <w:pStyle w:val="TableParagraph"/>
              <w:spacing w:before="34"/>
              <w:ind w:right="97"/>
              <w:rPr>
                <w:b/>
              </w:rPr>
            </w:pPr>
            <w:r>
              <w:rPr>
                <w:b/>
              </w:rPr>
              <w:t>6,118.91</w:t>
            </w:r>
          </w:p>
        </w:tc>
        <w:tc>
          <w:tcPr>
            <w:tcW w:w="1703" w:type="dxa"/>
            <w:shd w:val="clear" w:color="auto" w:fill="D9D9D9"/>
          </w:tcPr>
          <w:p w:rsidR="007C5447" w:rsidRDefault="00F6308C">
            <w:pPr>
              <w:pStyle w:val="TableParagraph"/>
              <w:spacing w:before="34"/>
              <w:ind w:right="98"/>
              <w:rPr>
                <w:b/>
              </w:rPr>
            </w:pPr>
            <w:r>
              <w:rPr>
                <w:b/>
              </w:rPr>
              <w:t>6,189.10</w:t>
            </w:r>
          </w:p>
        </w:tc>
      </w:tr>
      <w:tr w:rsidR="007C5447">
        <w:trPr>
          <w:trHeight w:val="292"/>
        </w:trPr>
        <w:tc>
          <w:tcPr>
            <w:tcW w:w="2977" w:type="dxa"/>
          </w:tcPr>
          <w:p w:rsidR="007C5447" w:rsidRDefault="00F6308C">
            <w:pPr>
              <w:pStyle w:val="TableParagraph"/>
              <w:spacing w:before="25" w:line="248" w:lineRule="exact"/>
              <w:ind w:left="105"/>
              <w:jc w:val="left"/>
            </w:pPr>
            <w:r>
              <w:t>Wind</w:t>
            </w:r>
          </w:p>
        </w:tc>
        <w:tc>
          <w:tcPr>
            <w:tcW w:w="1700" w:type="dxa"/>
          </w:tcPr>
          <w:p w:rsidR="007C5447" w:rsidRDefault="00F6308C">
            <w:pPr>
              <w:pStyle w:val="TableParagraph"/>
              <w:spacing w:before="17"/>
              <w:ind w:right="95"/>
            </w:pPr>
            <w:r>
              <w:t>12.00</w:t>
            </w:r>
          </w:p>
        </w:tc>
        <w:tc>
          <w:tcPr>
            <w:tcW w:w="1702" w:type="dxa"/>
          </w:tcPr>
          <w:p w:rsidR="007C5447" w:rsidRDefault="00F6308C">
            <w:pPr>
              <w:pStyle w:val="TableParagraph"/>
              <w:spacing w:before="17"/>
              <w:ind w:right="97"/>
            </w:pPr>
            <w:r>
              <w:t>12.00</w:t>
            </w:r>
          </w:p>
        </w:tc>
        <w:tc>
          <w:tcPr>
            <w:tcW w:w="1703" w:type="dxa"/>
          </w:tcPr>
          <w:p w:rsidR="007C5447" w:rsidRDefault="00F6308C">
            <w:pPr>
              <w:pStyle w:val="TableParagraph"/>
              <w:spacing w:before="17"/>
              <w:ind w:right="98"/>
            </w:pPr>
            <w:r>
              <w:t>12.00</w:t>
            </w:r>
          </w:p>
        </w:tc>
      </w:tr>
      <w:tr w:rsidR="007C5447">
        <w:trPr>
          <w:trHeight w:val="323"/>
        </w:trPr>
        <w:tc>
          <w:tcPr>
            <w:tcW w:w="2977" w:type="dxa"/>
            <w:shd w:val="clear" w:color="auto" w:fill="D9D9D9"/>
          </w:tcPr>
          <w:p w:rsidR="007C5447" w:rsidRDefault="00F6308C">
            <w:pPr>
              <w:pStyle w:val="TableParagraph"/>
              <w:spacing w:before="56" w:line="248" w:lineRule="exact"/>
              <w:ind w:left="105"/>
              <w:jc w:val="left"/>
              <w:rPr>
                <w:b/>
              </w:rPr>
            </w:pPr>
            <w:r>
              <w:rPr>
                <w:b/>
              </w:rPr>
              <w:t>Grand Total</w:t>
            </w:r>
          </w:p>
        </w:tc>
        <w:tc>
          <w:tcPr>
            <w:tcW w:w="1700" w:type="dxa"/>
            <w:shd w:val="clear" w:color="auto" w:fill="D9D9D9"/>
          </w:tcPr>
          <w:p w:rsidR="007C5447" w:rsidRDefault="00F6308C">
            <w:pPr>
              <w:pStyle w:val="TableParagraph"/>
              <w:spacing w:before="34"/>
              <w:ind w:right="95"/>
              <w:rPr>
                <w:b/>
              </w:rPr>
            </w:pPr>
            <w:r>
              <w:rPr>
                <w:b/>
              </w:rPr>
              <w:t>34,925.65</w:t>
            </w:r>
          </w:p>
        </w:tc>
        <w:tc>
          <w:tcPr>
            <w:tcW w:w="1702" w:type="dxa"/>
            <w:shd w:val="clear" w:color="auto" w:fill="D9D9D9"/>
          </w:tcPr>
          <w:p w:rsidR="007C5447" w:rsidRDefault="00F6308C">
            <w:pPr>
              <w:pStyle w:val="TableParagraph"/>
              <w:spacing w:before="34"/>
              <w:ind w:right="97"/>
              <w:rPr>
                <w:b/>
              </w:rPr>
            </w:pPr>
            <w:r>
              <w:rPr>
                <w:b/>
              </w:rPr>
              <w:t>36,922.50</w:t>
            </w:r>
          </w:p>
        </w:tc>
        <w:tc>
          <w:tcPr>
            <w:tcW w:w="1703" w:type="dxa"/>
            <w:shd w:val="clear" w:color="auto" w:fill="D9D9D9"/>
          </w:tcPr>
          <w:p w:rsidR="007C5447" w:rsidRDefault="00F6308C">
            <w:pPr>
              <w:pStyle w:val="TableParagraph"/>
              <w:spacing w:before="34"/>
              <w:ind w:right="98"/>
              <w:rPr>
                <w:b/>
              </w:rPr>
            </w:pPr>
            <w:r>
              <w:rPr>
                <w:b/>
              </w:rPr>
              <w:t>39,343.92</w:t>
            </w:r>
          </w:p>
        </w:tc>
      </w:tr>
    </w:tbl>
    <w:p w:rsidR="007C5447" w:rsidRDefault="007C5447">
      <w:pPr>
        <w:pStyle w:val="BodyText"/>
        <w:spacing w:before="9"/>
        <w:rPr>
          <w:b/>
          <w:sz w:val="20"/>
        </w:rPr>
      </w:pPr>
    </w:p>
    <w:p w:rsidR="007C5447" w:rsidRDefault="00F6308C">
      <w:pPr>
        <w:pStyle w:val="Heading2"/>
        <w:ind w:left="1392"/>
      </w:pPr>
      <w:r>
        <w:t>Commission’s Views</w:t>
      </w:r>
    </w:p>
    <w:p w:rsidR="007C5447" w:rsidRDefault="007C5447">
      <w:pPr>
        <w:pStyle w:val="BodyText"/>
        <w:spacing w:before="2"/>
        <w:rPr>
          <w:b/>
          <w:sz w:val="28"/>
        </w:rPr>
      </w:pPr>
    </w:p>
    <w:p w:rsidR="007C5447" w:rsidRDefault="00F6308C">
      <w:pPr>
        <w:pStyle w:val="ListParagraph"/>
        <w:numPr>
          <w:ilvl w:val="3"/>
          <w:numId w:val="68"/>
        </w:numPr>
        <w:tabs>
          <w:tab w:val="left" w:pos="1505"/>
          <w:tab w:val="left" w:pos="1506"/>
        </w:tabs>
        <w:spacing w:line="312" w:lineRule="auto"/>
        <w:ind w:right="509"/>
        <w:rPr>
          <w:sz w:val="24"/>
        </w:rPr>
      </w:pPr>
      <w:r>
        <w:rPr>
          <w:sz w:val="24"/>
        </w:rPr>
        <w:t>Based on operating parameters as elaborated in subsequent sections, approved net generation from TANGEDCO’s own stations is shown in the Table</w:t>
      </w:r>
      <w:r>
        <w:rPr>
          <w:spacing w:val="-8"/>
          <w:sz w:val="24"/>
        </w:rPr>
        <w:t xml:space="preserve"> </w:t>
      </w:r>
      <w:r>
        <w:rPr>
          <w:sz w:val="24"/>
        </w:rPr>
        <w:t>below:</w:t>
      </w:r>
    </w:p>
    <w:p w:rsidR="007C5447" w:rsidRDefault="007C5447">
      <w:pPr>
        <w:pStyle w:val="BodyText"/>
        <w:spacing w:before="1"/>
        <w:rPr>
          <w:sz w:val="21"/>
        </w:rPr>
      </w:pPr>
    </w:p>
    <w:p w:rsidR="007C5447" w:rsidRDefault="00F6308C">
      <w:pPr>
        <w:ind w:left="1260"/>
        <w:rPr>
          <w:b/>
        </w:rPr>
      </w:pPr>
      <w:r>
        <w:rPr>
          <w:b/>
        </w:rPr>
        <w:t>Table 4-6: Approved Net Generation for the MYT Control Period (MU)</w:t>
      </w:r>
    </w:p>
    <w:p w:rsidR="007C5447" w:rsidRDefault="007C5447">
      <w:pPr>
        <w:pStyle w:val="BodyText"/>
        <w:spacing w:before="11"/>
        <w:rPr>
          <w:b/>
          <w:sz w:val="16"/>
        </w:rPr>
      </w:pPr>
    </w:p>
    <w:tbl>
      <w:tblPr>
        <w:tblW w:w="0" w:type="auto"/>
        <w:tblInd w:w="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25"/>
        <w:gridCol w:w="1299"/>
        <w:gridCol w:w="1299"/>
        <w:gridCol w:w="1299"/>
      </w:tblGrid>
      <w:tr w:rsidR="007C5447">
        <w:trPr>
          <w:trHeight w:val="294"/>
        </w:trPr>
        <w:tc>
          <w:tcPr>
            <w:tcW w:w="3025" w:type="dxa"/>
            <w:shd w:val="clear" w:color="auto" w:fill="F7C9AC"/>
          </w:tcPr>
          <w:p w:rsidR="007C5447" w:rsidRDefault="00F6308C">
            <w:pPr>
              <w:pStyle w:val="TableParagraph"/>
              <w:spacing w:before="25" w:line="250" w:lineRule="exact"/>
              <w:ind w:left="105"/>
              <w:jc w:val="left"/>
              <w:rPr>
                <w:b/>
              </w:rPr>
            </w:pPr>
            <w:r>
              <w:rPr>
                <w:b/>
              </w:rPr>
              <w:t>Particulars</w:t>
            </w:r>
          </w:p>
        </w:tc>
        <w:tc>
          <w:tcPr>
            <w:tcW w:w="1299" w:type="dxa"/>
            <w:shd w:val="clear" w:color="auto" w:fill="F7C9AC"/>
          </w:tcPr>
          <w:p w:rsidR="007C5447" w:rsidRDefault="00F6308C">
            <w:pPr>
              <w:pStyle w:val="TableParagraph"/>
              <w:spacing w:before="25" w:line="250" w:lineRule="exact"/>
              <w:ind w:right="94"/>
              <w:rPr>
                <w:b/>
              </w:rPr>
            </w:pPr>
            <w:r>
              <w:rPr>
                <w:b/>
              </w:rPr>
              <w:t>FY 2016-17</w:t>
            </w:r>
          </w:p>
        </w:tc>
        <w:tc>
          <w:tcPr>
            <w:tcW w:w="1299" w:type="dxa"/>
            <w:shd w:val="clear" w:color="auto" w:fill="F7C9AC"/>
          </w:tcPr>
          <w:p w:rsidR="007C5447" w:rsidRDefault="00F6308C">
            <w:pPr>
              <w:pStyle w:val="TableParagraph"/>
              <w:spacing w:before="25" w:line="250" w:lineRule="exact"/>
              <w:ind w:right="95"/>
              <w:rPr>
                <w:b/>
              </w:rPr>
            </w:pPr>
            <w:r>
              <w:rPr>
                <w:b/>
              </w:rPr>
              <w:t>FY 2017-18</w:t>
            </w:r>
          </w:p>
        </w:tc>
        <w:tc>
          <w:tcPr>
            <w:tcW w:w="1299" w:type="dxa"/>
            <w:shd w:val="clear" w:color="auto" w:fill="F7C9AC"/>
          </w:tcPr>
          <w:p w:rsidR="007C5447" w:rsidRDefault="00F6308C">
            <w:pPr>
              <w:pStyle w:val="TableParagraph"/>
              <w:spacing w:before="25" w:line="250" w:lineRule="exact"/>
              <w:ind w:right="95"/>
              <w:rPr>
                <w:b/>
              </w:rPr>
            </w:pPr>
            <w:r>
              <w:rPr>
                <w:b/>
              </w:rPr>
              <w:t>FY 2018-19</w:t>
            </w:r>
          </w:p>
        </w:tc>
      </w:tr>
      <w:tr w:rsidR="007C5447">
        <w:trPr>
          <w:trHeight w:val="292"/>
        </w:trPr>
        <w:tc>
          <w:tcPr>
            <w:tcW w:w="3025" w:type="dxa"/>
          </w:tcPr>
          <w:p w:rsidR="007C5447" w:rsidRDefault="00F6308C">
            <w:pPr>
              <w:pStyle w:val="TableParagraph"/>
              <w:spacing w:before="17"/>
              <w:ind w:left="105"/>
              <w:jc w:val="left"/>
            </w:pPr>
            <w:r>
              <w:t>Ennore TPS</w:t>
            </w:r>
          </w:p>
        </w:tc>
        <w:tc>
          <w:tcPr>
            <w:tcW w:w="1299" w:type="dxa"/>
          </w:tcPr>
          <w:p w:rsidR="007C5447" w:rsidRDefault="00F6308C">
            <w:pPr>
              <w:pStyle w:val="TableParagraph"/>
              <w:spacing w:before="31"/>
              <w:ind w:right="98"/>
              <w:rPr>
                <w:sz w:val="20"/>
              </w:rPr>
            </w:pPr>
            <w:r>
              <w:rPr>
                <w:w w:val="95"/>
                <w:sz w:val="20"/>
              </w:rPr>
              <w:t>826.11</w:t>
            </w:r>
          </w:p>
        </w:tc>
        <w:tc>
          <w:tcPr>
            <w:tcW w:w="1299" w:type="dxa"/>
          </w:tcPr>
          <w:p w:rsidR="007C5447" w:rsidRDefault="00F6308C">
            <w:pPr>
              <w:pStyle w:val="TableParagraph"/>
              <w:spacing w:before="31"/>
              <w:ind w:right="95"/>
              <w:rPr>
                <w:sz w:val="20"/>
              </w:rPr>
            </w:pPr>
            <w:r>
              <w:rPr>
                <w:w w:val="99"/>
                <w:sz w:val="20"/>
              </w:rPr>
              <w:t>-</w:t>
            </w:r>
          </w:p>
        </w:tc>
        <w:tc>
          <w:tcPr>
            <w:tcW w:w="1299" w:type="dxa"/>
          </w:tcPr>
          <w:p w:rsidR="007C5447" w:rsidRDefault="00F6308C">
            <w:pPr>
              <w:pStyle w:val="TableParagraph"/>
              <w:spacing w:before="31"/>
              <w:ind w:right="96"/>
              <w:rPr>
                <w:sz w:val="20"/>
              </w:rPr>
            </w:pPr>
            <w:r>
              <w:rPr>
                <w:w w:val="99"/>
                <w:sz w:val="20"/>
              </w:rPr>
              <w:t>-</w:t>
            </w:r>
          </w:p>
        </w:tc>
      </w:tr>
      <w:tr w:rsidR="007C5447">
        <w:trPr>
          <w:trHeight w:val="294"/>
        </w:trPr>
        <w:tc>
          <w:tcPr>
            <w:tcW w:w="3025" w:type="dxa"/>
          </w:tcPr>
          <w:p w:rsidR="007C5447" w:rsidRDefault="00F6308C">
            <w:pPr>
              <w:pStyle w:val="TableParagraph"/>
              <w:spacing w:before="20"/>
              <w:ind w:left="105"/>
              <w:jc w:val="left"/>
            </w:pPr>
            <w:r>
              <w:t>Ennore Expansion II</w:t>
            </w:r>
          </w:p>
        </w:tc>
        <w:tc>
          <w:tcPr>
            <w:tcW w:w="1299" w:type="dxa"/>
          </w:tcPr>
          <w:p w:rsidR="007C5447" w:rsidRDefault="00F6308C">
            <w:pPr>
              <w:pStyle w:val="TableParagraph"/>
              <w:spacing w:before="34"/>
              <w:ind w:right="95"/>
              <w:rPr>
                <w:sz w:val="20"/>
              </w:rPr>
            </w:pPr>
            <w:r>
              <w:rPr>
                <w:w w:val="99"/>
                <w:sz w:val="20"/>
              </w:rPr>
              <w:t>-</w:t>
            </w:r>
          </w:p>
        </w:tc>
        <w:tc>
          <w:tcPr>
            <w:tcW w:w="1299" w:type="dxa"/>
          </w:tcPr>
          <w:p w:rsidR="007C5447" w:rsidRDefault="00F6308C">
            <w:pPr>
              <w:pStyle w:val="TableParagraph"/>
              <w:spacing w:before="34"/>
              <w:ind w:right="95"/>
              <w:rPr>
                <w:sz w:val="20"/>
              </w:rPr>
            </w:pPr>
            <w:r>
              <w:rPr>
                <w:w w:val="99"/>
                <w:sz w:val="20"/>
              </w:rPr>
              <w:t>-</w:t>
            </w:r>
          </w:p>
        </w:tc>
        <w:tc>
          <w:tcPr>
            <w:tcW w:w="1299" w:type="dxa"/>
          </w:tcPr>
          <w:p w:rsidR="007C5447" w:rsidRDefault="00F6308C">
            <w:pPr>
              <w:pStyle w:val="TableParagraph"/>
              <w:spacing w:before="34"/>
              <w:ind w:right="98"/>
              <w:rPr>
                <w:sz w:val="20"/>
              </w:rPr>
            </w:pPr>
            <w:r>
              <w:rPr>
                <w:w w:val="95"/>
                <w:sz w:val="20"/>
              </w:rPr>
              <w:t>1,735.17</w:t>
            </w:r>
          </w:p>
        </w:tc>
      </w:tr>
      <w:tr w:rsidR="007C5447">
        <w:trPr>
          <w:trHeight w:val="294"/>
        </w:trPr>
        <w:tc>
          <w:tcPr>
            <w:tcW w:w="3025" w:type="dxa"/>
          </w:tcPr>
          <w:p w:rsidR="007C5447" w:rsidRDefault="00F6308C">
            <w:pPr>
              <w:pStyle w:val="TableParagraph"/>
              <w:spacing w:before="20"/>
              <w:ind w:left="105"/>
              <w:jc w:val="left"/>
            </w:pPr>
            <w:r>
              <w:t>Tuticorin TPS</w:t>
            </w:r>
          </w:p>
        </w:tc>
        <w:tc>
          <w:tcPr>
            <w:tcW w:w="1299" w:type="dxa"/>
          </w:tcPr>
          <w:p w:rsidR="007C5447" w:rsidRDefault="00F6308C">
            <w:pPr>
              <w:pStyle w:val="TableParagraph"/>
              <w:spacing w:before="31"/>
              <w:ind w:right="97"/>
              <w:rPr>
                <w:sz w:val="20"/>
              </w:rPr>
            </w:pPr>
            <w:r>
              <w:rPr>
                <w:w w:val="95"/>
                <w:sz w:val="20"/>
              </w:rPr>
              <w:t>6,732.94</w:t>
            </w:r>
          </w:p>
        </w:tc>
        <w:tc>
          <w:tcPr>
            <w:tcW w:w="1299" w:type="dxa"/>
          </w:tcPr>
          <w:p w:rsidR="007C5447" w:rsidRDefault="00F6308C">
            <w:pPr>
              <w:pStyle w:val="TableParagraph"/>
              <w:spacing w:before="31"/>
              <w:ind w:right="97"/>
              <w:rPr>
                <w:sz w:val="20"/>
              </w:rPr>
            </w:pPr>
            <w:r>
              <w:rPr>
                <w:w w:val="95"/>
                <w:sz w:val="20"/>
              </w:rPr>
              <w:t>6,732.94</w:t>
            </w:r>
          </w:p>
        </w:tc>
        <w:tc>
          <w:tcPr>
            <w:tcW w:w="1299" w:type="dxa"/>
          </w:tcPr>
          <w:p w:rsidR="007C5447" w:rsidRDefault="00F6308C">
            <w:pPr>
              <w:pStyle w:val="TableParagraph"/>
              <w:spacing w:before="31"/>
              <w:ind w:right="98"/>
              <w:rPr>
                <w:sz w:val="20"/>
              </w:rPr>
            </w:pPr>
            <w:r>
              <w:rPr>
                <w:w w:val="95"/>
                <w:sz w:val="20"/>
              </w:rPr>
              <w:t>6,732.94</w:t>
            </w:r>
          </w:p>
        </w:tc>
      </w:tr>
      <w:tr w:rsidR="007C5447">
        <w:trPr>
          <w:trHeight w:val="292"/>
        </w:trPr>
        <w:tc>
          <w:tcPr>
            <w:tcW w:w="3025" w:type="dxa"/>
          </w:tcPr>
          <w:p w:rsidR="007C5447" w:rsidRDefault="00F6308C">
            <w:pPr>
              <w:pStyle w:val="TableParagraph"/>
              <w:spacing w:before="17"/>
              <w:ind w:left="105"/>
              <w:jc w:val="left"/>
            </w:pPr>
            <w:r>
              <w:t>Mettur TPS</w:t>
            </w:r>
          </w:p>
        </w:tc>
        <w:tc>
          <w:tcPr>
            <w:tcW w:w="1299" w:type="dxa"/>
          </w:tcPr>
          <w:p w:rsidR="007C5447" w:rsidRDefault="00F6308C">
            <w:pPr>
              <w:pStyle w:val="TableParagraph"/>
              <w:spacing w:before="31"/>
              <w:ind w:right="96"/>
              <w:rPr>
                <w:sz w:val="20"/>
              </w:rPr>
            </w:pPr>
            <w:r>
              <w:rPr>
                <w:w w:val="95"/>
                <w:sz w:val="20"/>
              </w:rPr>
              <w:t>5,386.35</w:t>
            </w:r>
          </w:p>
        </w:tc>
        <w:tc>
          <w:tcPr>
            <w:tcW w:w="1299" w:type="dxa"/>
          </w:tcPr>
          <w:p w:rsidR="007C5447" w:rsidRDefault="00F6308C">
            <w:pPr>
              <w:pStyle w:val="TableParagraph"/>
              <w:spacing w:before="31"/>
              <w:ind w:right="97"/>
              <w:rPr>
                <w:sz w:val="20"/>
              </w:rPr>
            </w:pPr>
            <w:r>
              <w:rPr>
                <w:w w:val="95"/>
                <w:sz w:val="20"/>
              </w:rPr>
              <w:t>5,386.35</w:t>
            </w:r>
          </w:p>
        </w:tc>
        <w:tc>
          <w:tcPr>
            <w:tcW w:w="1299" w:type="dxa"/>
          </w:tcPr>
          <w:p w:rsidR="007C5447" w:rsidRDefault="00F6308C">
            <w:pPr>
              <w:pStyle w:val="TableParagraph"/>
              <w:spacing w:before="31"/>
              <w:ind w:right="99"/>
              <w:rPr>
                <w:sz w:val="20"/>
              </w:rPr>
            </w:pPr>
            <w:r>
              <w:rPr>
                <w:w w:val="95"/>
                <w:sz w:val="20"/>
              </w:rPr>
              <w:t>5,386.3</w:t>
            </w:r>
          </w:p>
        </w:tc>
      </w:tr>
      <w:tr w:rsidR="007C5447">
        <w:trPr>
          <w:trHeight w:val="294"/>
        </w:trPr>
        <w:tc>
          <w:tcPr>
            <w:tcW w:w="3025" w:type="dxa"/>
          </w:tcPr>
          <w:p w:rsidR="007C5447" w:rsidRDefault="00F6308C">
            <w:pPr>
              <w:pStyle w:val="TableParagraph"/>
              <w:spacing w:before="20"/>
              <w:ind w:left="105"/>
              <w:jc w:val="left"/>
            </w:pPr>
            <w:r>
              <w:t>Mettur Stage III TPS</w:t>
            </w:r>
          </w:p>
        </w:tc>
        <w:tc>
          <w:tcPr>
            <w:tcW w:w="1299" w:type="dxa"/>
          </w:tcPr>
          <w:p w:rsidR="007C5447" w:rsidRDefault="00F6308C">
            <w:pPr>
              <w:pStyle w:val="TableParagraph"/>
              <w:spacing w:before="34"/>
              <w:ind w:right="97"/>
              <w:rPr>
                <w:sz w:val="20"/>
              </w:rPr>
            </w:pPr>
            <w:r>
              <w:rPr>
                <w:w w:val="95"/>
                <w:sz w:val="20"/>
              </w:rPr>
              <w:t>3,847.39</w:t>
            </w:r>
          </w:p>
        </w:tc>
        <w:tc>
          <w:tcPr>
            <w:tcW w:w="1299" w:type="dxa"/>
          </w:tcPr>
          <w:p w:rsidR="007C5447" w:rsidRDefault="00F6308C">
            <w:pPr>
              <w:pStyle w:val="TableParagraph"/>
              <w:spacing w:before="34"/>
              <w:ind w:right="97"/>
              <w:rPr>
                <w:sz w:val="20"/>
              </w:rPr>
            </w:pPr>
            <w:r>
              <w:rPr>
                <w:w w:val="95"/>
                <w:sz w:val="20"/>
              </w:rPr>
              <w:t>3,847.39</w:t>
            </w:r>
          </w:p>
        </w:tc>
        <w:tc>
          <w:tcPr>
            <w:tcW w:w="1299" w:type="dxa"/>
          </w:tcPr>
          <w:p w:rsidR="007C5447" w:rsidRDefault="00F6308C">
            <w:pPr>
              <w:pStyle w:val="TableParagraph"/>
              <w:spacing w:before="34"/>
              <w:ind w:right="98"/>
              <w:rPr>
                <w:sz w:val="20"/>
              </w:rPr>
            </w:pPr>
            <w:r>
              <w:rPr>
                <w:w w:val="95"/>
                <w:sz w:val="20"/>
              </w:rPr>
              <w:t>3,847.39</w:t>
            </w:r>
          </w:p>
        </w:tc>
      </w:tr>
    </w:tbl>
    <w:p w:rsidR="007C5447" w:rsidRDefault="007C5447">
      <w:pPr>
        <w:rPr>
          <w:sz w:val="20"/>
        </w:rPr>
        <w:sectPr w:rsidR="007C5447">
          <w:pgSz w:w="11910" w:h="16840"/>
          <w:pgMar w:top="1360" w:right="620" w:bottom="1240" w:left="900" w:header="0" w:footer="777" w:gutter="0"/>
          <w:cols w:space="720"/>
        </w:sectPr>
      </w:pPr>
    </w:p>
    <w:tbl>
      <w:tblPr>
        <w:tblW w:w="0" w:type="auto"/>
        <w:tblInd w:w="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25"/>
        <w:gridCol w:w="1299"/>
        <w:gridCol w:w="1299"/>
        <w:gridCol w:w="1299"/>
      </w:tblGrid>
      <w:tr w:rsidR="007C5447">
        <w:trPr>
          <w:trHeight w:val="294"/>
        </w:trPr>
        <w:tc>
          <w:tcPr>
            <w:tcW w:w="3025" w:type="dxa"/>
            <w:shd w:val="clear" w:color="auto" w:fill="F7C9AC"/>
          </w:tcPr>
          <w:p w:rsidR="007C5447" w:rsidRDefault="00F6308C">
            <w:pPr>
              <w:pStyle w:val="TableParagraph"/>
              <w:spacing w:before="25" w:line="250" w:lineRule="exact"/>
              <w:ind w:left="105"/>
              <w:jc w:val="left"/>
              <w:rPr>
                <w:b/>
              </w:rPr>
            </w:pPr>
            <w:r>
              <w:rPr>
                <w:b/>
              </w:rPr>
              <w:lastRenderedPageBreak/>
              <w:t>Particulars</w:t>
            </w:r>
          </w:p>
        </w:tc>
        <w:tc>
          <w:tcPr>
            <w:tcW w:w="1299" w:type="dxa"/>
            <w:shd w:val="clear" w:color="auto" w:fill="F7C9AC"/>
          </w:tcPr>
          <w:p w:rsidR="007C5447" w:rsidRDefault="00F6308C">
            <w:pPr>
              <w:pStyle w:val="TableParagraph"/>
              <w:spacing w:before="25" w:line="250" w:lineRule="exact"/>
              <w:ind w:right="94"/>
              <w:rPr>
                <w:b/>
              </w:rPr>
            </w:pPr>
            <w:r>
              <w:rPr>
                <w:b/>
              </w:rPr>
              <w:t>FY 2016-17</w:t>
            </w:r>
          </w:p>
        </w:tc>
        <w:tc>
          <w:tcPr>
            <w:tcW w:w="1299" w:type="dxa"/>
            <w:shd w:val="clear" w:color="auto" w:fill="F7C9AC"/>
          </w:tcPr>
          <w:p w:rsidR="007C5447" w:rsidRDefault="00F6308C">
            <w:pPr>
              <w:pStyle w:val="TableParagraph"/>
              <w:spacing w:before="25" w:line="250" w:lineRule="exact"/>
              <w:ind w:right="95"/>
              <w:rPr>
                <w:b/>
              </w:rPr>
            </w:pPr>
            <w:r>
              <w:rPr>
                <w:b/>
              </w:rPr>
              <w:t>FY 2017-18</w:t>
            </w:r>
          </w:p>
        </w:tc>
        <w:tc>
          <w:tcPr>
            <w:tcW w:w="1299" w:type="dxa"/>
            <w:shd w:val="clear" w:color="auto" w:fill="F7C9AC"/>
          </w:tcPr>
          <w:p w:rsidR="007C5447" w:rsidRDefault="00F6308C">
            <w:pPr>
              <w:pStyle w:val="TableParagraph"/>
              <w:spacing w:before="25" w:line="250" w:lineRule="exact"/>
              <w:ind w:right="95"/>
              <w:rPr>
                <w:b/>
              </w:rPr>
            </w:pPr>
            <w:r>
              <w:rPr>
                <w:b/>
              </w:rPr>
              <w:t>FY 2018-19</w:t>
            </w:r>
          </w:p>
        </w:tc>
      </w:tr>
      <w:tr w:rsidR="007C5447">
        <w:trPr>
          <w:trHeight w:val="292"/>
        </w:trPr>
        <w:tc>
          <w:tcPr>
            <w:tcW w:w="3025" w:type="dxa"/>
          </w:tcPr>
          <w:p w:rsidR="007C5447" w:rsidRDefault="00F6308C">
            <w:pPr>
              <w:pStyle w:val="TableParagraph"/>
              <w:spacing w:before="18"/>
              <w:ind w:left="105"/>
              <w:jc w:val="left"/>
            </w:pPr>
            <w:r>
              <w:t>North Chennai TPS</w:t>
            </w:r>
          </w:p>
        </w:tc>
        <w:tc>
          <w:tcPr>
            <w:tcW w:w="1299" w:type="dxa"/>
          </w:tcPr>
          <w:p w:rsidR="007C5447" w:rsidRDefault="00F6308C">
            <w:pPr>
              <w:pStyle w:val="TableParagraph"/>
              <w:spacing w:before="32"/>
              <w:ind w:right="97"/>
              <w:rPr>
                <w:sz w:val="20"/>
              </w:rPr>
            </w:pPr>
            <w:r>
              <w:rPr>
                <w:w w:val="95"/>
                <w:sz w:val="20"/>
              </w:rPr>
              <w:t>4,039.76</w:t>
            </w:r>
          </w:p>
        </w:tc>
        <w:tc>
          <w:tcPr>
            <w:tcW w:w="1299" w:type="dxa"/>
          </w:tcPr>
          <w:p w:rsidR="007C5447" w:rsidRDefault="00F6308C">
            <w:pPr>
              <w:pStyle w:val="TableParagraph"/>
              <w:spacing w:before="32"/>
              <w:ind w:right="97"/>
              <w:rPr>
                <w:sz w:val="20"/>
              </w:rPr>
            </w:pPr>
            <w:r>
              <w:rPr>
                <w:w w:val="95"/>
                <w:sz w:val="20"/>
              </w:rPr>
              <w:t>4,039.76</w:t>
            </w:r>
          </w:p>
        </w:tc>
        <w:tc>
          <w:tcPr>
            <w:tcW w:w="1299" w:type="dxa"/>
          </w:tcPr>
          <w:p w:rsidR="007C5447" w:rsidRDefault="00F6308C">
            <w:pPr>
              <w:pStyle w:val="TableParagraph"/>
              <w:spacing w:before="32"/>
              <w:ind w:right="98"/>
              <w:rPr>
                <w:sz w:val="20"/>
              </w:rPr>
            </w:pPr>
            <w:r>
              <w:rPr>
                <w:w w:val="95"/>
                <w:sz w:val="20"/>
              </w:rPr>
              <w:t>4,039.76</w:t>
            </w:r>
          </w:p>
        </w:tc>
      </w:tr>
      <w:tr w:rsidR="007C5447">
        <w:trPr>
          <w:trHeight w:val="294"/>
        </w:trPr>
        <w:tc>
          <w:tcPr>
            <w:tcW w:w="3025" w:type="dxa"/>
          </w:tcPr>
          <w:p w:rsidR="007C5447" w:rsidRDefault="00F6308C">
            <w:pPr>
              <w:pStyle w:val="TableParagraph"/>
              <w:spacing w:before="20"/>
              <w:ind w:left="105"/>
              <w:jc w:val="left"/>
            </w:pPr>
            <w:r>
              <w:t>North Chennai Stage II TPS</w:t>
            </w:r>
          </w:p>
        </w:tc>
        <w:tc>
          <w:tcPr>
            <w:tcW w:w="1299" w:type="dxa"/>
          </w:tcPr>
          <w:p w:rsidR="007C5447" w:rsidRDefault="00F6308C">
            <w:pPr>
              <w:pStyle w:val="TableParagraph"/>
              <w:spacing w:before="34"/>
              <w:ind w:right="97"/>
              <w:rPr>
                <w:sz w:val="20"/>
              </w:rPr>
            </w:pPr>
            <w:r>
              <w:rPr>
                <w:w w:val="95"/>
                <w:sz w:val="20"/>
              </w:rPr>
              <w:t>7,694.78</w:t>
            </w:r>
          </w:p>
        </w:tc>
        <w:tc>
          <w:tcPr>
            <w:tcW w:w="1299" w:type="dxa"/>
          </w:tcPr>
          <w:p w:rsidR="007C5447" w:rsidRDefault="00F6308C">
            <w:pPr>
              <w:pStyle w:val="TableParagraph"/>
              <w:spacing w:before="34"/>
              <w:ind w:right="97"/>
              <w:rPr>
                <w:sz w:val="20"/>
              </w:rPr>
            </w:pPr>
            <w:r>
              <w:rPr>
                <w:w w:val="95"/>
                <w:sz w:val="20"/>
              </w:rPr>
              <w:t>7,694.78</w:t>
            </w:r>
          </w:p>
        </w:tc>
        <w:tc>
          <w:tcPr>
            <w:tcW w:w="1299" w:type="dxa"/>
          </w:tcPr>
          <w:p w:rsidR="007C5447" w:rsidRDefault="00F6308C">
            <w:pPr>
              <w:pStyle w:val="TableParagraph"/>
              <w:spacing w:before="34"/>
              <w:ind w:right="98"/>
              <w:rPr>
                <w:sz w:val="20"/>
              </w:rPr>
            </w:pPr>
            <w:r>
              <w:rPr>
                <w:w w:val="95"/>
                <w:sz w:val="20"/>
              </w:rPr>
              <w:t>7,694.78</w:t>
            </w:r>
          </w:p>
        </w:tc>
      </w:tr>
      <w:tr w:rsidR="007C5447">
        <w:trPr>
          <w:trHeight w:val="323"/>
        </w:trPr>
        <w:tc>
          <w:tcPr>
            <w:tcW w:w="3025" w:type="dxa"/>
            <w:shd w:val="clear" w:color="auto" w:fill="D9D9D9"/>
          </w:tcPr>
          <w:p w:rsidR="007C5447" w:rsidRDefault="00F6308C">
            <w:pPr>
              <w:pStyle w:val="TableParagraph"/>
              <w:spacing w:before="34"/>
              <w:ind w:left="105"/>
              <w:jc w:val="left"/>
              <w:rPr>
                <w:b/>
              </w:rPr>
            </w:pPr>
            <w:r>
              <w:rPr>
                <w:b/>
              </w:rPr>
              <w:t>Total Coal Thermal</w:t>
            </w:r>
          </w:p>
        </w:tc>
        <w:tc>
          <w:tcPr>
            <w:tcW w:w="1299" w:type="dxa"/>
            <w:shd w:val="clear" w:color="auto" w:fill="D9D9D9"/>
          </w:tcPr>
          <w:p w:rsidR="007C5447" w:rsidRDefault="00F6308C">
            <w:pPr>
              <w:pStyle w:val="TableParagraph"/>
              <w:spacing w:before="46"/>
              <w:ind w:right="99"/>
              <w:rPr>
                <w:b/>
                <w:sz w:val="20"/>
              </w:rPr>
            </w:pPr>
            <w:r>
              <w:rPr>
                <w:b/>
                <w:w w:val="95"/>
                <w:sz w:val="20"/>
              </w:rPr>
              <w:t>28,527.34</w:t>
            </w:r>
          </w:p>
        </w:tc>
        <w:tc>
          <w:tcPr>
            <w:tcW w:w="1299" w:type="dxa"/>
            <w:shd w:val="clear" w:color="auto" w:fill="D9D9D9"/>
          </w:tcPr>
          <w:p w:rsidR="007C5447" w:rsidRDefault="00F6308C">
            <w:pPr>
              <w:pStyle w:val="TableParagraph"/>
              <w:spacing w:before="46"/>
              <w:ind w:right="99"/>
              <w:rPr>
                <w:b/>
                <w:sz w:val="20"/>
              </w:rPr>
            </w:pPr>
            <w:r>
              <w:rPr>
                <w:b/>
                <w:w w:val="95"/>
                <w:sz w:val="20"/>
              </w:rPr>
              <w:t>27,701.32</w:t>
            </w:r>
          </w:p>
        </w:tc>
        <w:tc>
          <w:tcPr>
            <w:tcW w:w="1299" w:type="dxa"/>
            <w:shd w:val="clear" w:color="auto" w:fill="D9D9D9"/>
          </w:tcPr>
          <w:p w:rsidR="007C5447" w:rsidRDefault="00F6308C">
            <w:pPr>
              <w:pStyle w:val="TableParagraph"/>
              <w:spacing w:before="46"/>
              <w:ind w:right="98"/>
              <w:rPr>
                <w:b/>
                <w:sz w:val="20"/>
              </w:rPr>
            </w:pPr>
            <w:r>
              <w:rPr>
                <w:b/>
                <w:w w:val="95"/>
                <w:sz w:val="20"/>
              </w:rPr>
              <w:t>29,436.40</w:t>
            </w:r>
          </w:p>
        </w:tc>
      </w:tr>
      <w:tr w:rsidR="007C5447">
        <w:trPr>
          <w:trHeight w:val="292"/>
        </w:trPr>
        <w:tc>
          <w:tcPr>
            <w:tcW w:w="3025" w:type="dxa"/>
          </w:tcPr>
          <w:p w:rsidR="007C5447" w:rsidRDefault="00F6308C">
            <w:pPr>
              <w:pStyle w:val="TableParagraph"/>
              <w:spacing w:before="17"/>
              <w:ind w:left="105"/>
              <w:jc w:val="left"/>
            </w:pPr>
            <w:r>
              <w:t>Tirumakottai GTPS</w:t>
            </w:r>
          </w:p>
        </w:tc>
        <w:tc>
          <w:tcPr>
            <w:tcW w:w="1299" w:type="dxa"/>
          </w:tcPr>
          <w:p w:rsidR="007C5447" w:rsidRDefault="00F6308C">
            <w:pPr>
              <w:pStyle w:val="TableParagraph"/>
              <w:spacing w:before="31"/>
              <w:ind w:right="99"/>
              <w:rPr>
                <w:sz w:val="20"/>
              </w:rPr>
            </w:pPr>
            <w:r>
              <w:rPr>
                <w:w w:val="95"/>
                <w:sz w:val="20"/>
              </w:rPr>
              <w:t>710.66</w:t>
            </w:r>
          </w:p>
        </w:tc>
        <w:tc>
          <w:tcPr>
            <w:tcW w:w="1299" w:type="dxa"/>
          </w:tcPr>
          <w:p w:rsidR="007C5447" w:rsidRDefault="00F6308C">
            <w:pPr>
              <w:pStyle w:val="TableParagraph"/>
              <w:spacing w:before="31"/>
              <w:ind w:right="99"/>
              <w:rPr>
                <w:sz w:val="20"/>
              </w:rPr>
            </w:pPr>
            <w:r>
              <w:rPr>
                <w:w w:val="95"/>
                <w:sz w:val="20"/>
              </w:rPr>
              <w:t>710.66</w:t>
            </w:r>
          </w:p>
        </w:tc>
        <w:tc>
          <w:tcPr>
            <w:tcW w:w="1299" w:type="dxa"/>
          </w:tcPr>
          <w:p w:rsidR="007C5447" w:rsidRDefault="00F6308C">
            <w:pPr>
              <w:pStyle w:val="TableParagraph"/>
              <w:spacing w:before="31"/>
              <w:ind w:right="100"/>
              <w:rPr>
                <w:sz w:val="20"/>
              </w:rPr>
            </w:pPr>
            <w:r>
              <w:rPr>
                <w:w w:val="95"/>
                <w:sz w:val="20"/>
              </w:rPr>
              <w:t>710.66</w:t>
            </w:r>
          </w:p>
        </w:tc>
      </w:tr>
      <w:tr w:rsidR="007C5447">
        <w:trPr>
          <w:trHeight w:val="294"/>
        </w:trPr>
        <w:tc>
          <w:tcPr>
            <w:tcW w:w="3025" w:type="dxa"/>
          </w:tcPr>
          <w:p w:rsidR="007C5447" w:rsidRDefault="00F6308C">
            <w:pPr>
              <w:pStyle w:val="TableParagraph"/>
              <w:spacing w:before="20"/>
              <w:ind w:left="105"/>
              <w:jc w:val="left"/>
            </w:pPr>
            <w:r>
              <w:t>Kuttalam GTPS</w:t>
            </w:r>
          </w:p>
        </w:tc>
        <w:tc>
          <w:tcPr>
            <w:tcW w:w="1299" w:type="dxa"/>
          </w:tcPr>
          <w:p w:rsidR="007C5447" w:rsidRDefault="00F6308C">
            <w:pPr>
              <w:pStyle w:val="TableParagraph"/>
              <w:spacing w:before="34"/>
              <w:ind w:right="99"/>
              <w:rPr>
                <w:sz w:val="20"/>
              </w:rPr>
            </w:pPr>
            <w:r>
              <w:rPr>
                <w:w w:val="95"/>
                <w:sz w:val="20"/>
              </w:rPr>
              <w:t>665.34</w:t>
            </w:r>
          </w:p>
        </w:tc>
        <w:tc>
          <w:tcPr>
            <w:tcW w:w="1299" w:type="dxa"/>
          </w:tcPr>
          <w:p w:rsidR="007C5447" w:rsidRDefault="00F6308C">
            <w:pPr>
              <w:pStyle w:val="TableParagraph"/>
              <w:spacing w:before="34"/>
              <w:ind w:right="99"/>
              <w:rPr>
                <w:sz w:val="20"/>
              </w:rPr>
            </w:pPr>
            <w:r>
              <w:rPr>
                <w:w w:val="95"/>
                <w:sz w:val="20"/>
              </w:rPr>
              <w:t>665.34</w:t>
            </w:r>
          </w:p>
        </w:tc>
        <w:tc>
          <w:tcPr>
            <w:tcW w:w="1299" w:type="dxa"/>
          </w:tcPr>
          <w:p w:rsidR="007C5447" w:rsidRDefault="00F6308C">
            <w:pPr>
              <w:pStyle w:val="TableParagraph"/>
              <w:spacing w:before="34"/>
              <w:ind w:right="100"/>
              <w:rPr>
                <w:sz w:val="20"/>
              </w:rPr>
            </w:pPr>
            <w:r>
              <w:rPr>
                <w:w w:val="95"/>
                <w:sz w:val="20"/>
              </w:rPr>
              <w:t>665.34</w:t>
            </w:r>
          </w:p>
        </w:tc>
      </w:tr>
      <w:tr w:rsidR="007C5447">
        <w:trPr>
          <w:trHeight w:val="294"/>
        </w:trPr>
        <w:tc>
          <w:tcPr>
            <w:tcW w:w="3025" w:type="dxa"/>
          </w:tcPr>
          <w:p w:rsidR="007C5447" w:rsidRDefault="00F6308C">
            <w:pPr>
              <w:pStyle w:val="TableParagraph"/>
              <w:spacing w:before="20"/>
              <w:ind w:left="105"/>
              <w:jc w:val="left"/>
            </w:pPr>
            <w:r>
              <w:t>Basin Bridge GTPS</w:t>
            </w:r>
          </w:p>
        </w:tc>
        <w:tc>
          <w:tcPr>
            <w:tcW w:w="1299" w:type="dxa"/>
          </w:tcPr>
          <w:p w:rsidR="007C5447" w:rsidRDefault="00F6308C">
            <w:pPr>
              <w:pStyle w:val="TableParagraph"/>
              <w:spacing w:before="31"/>
              <w:ind w:right="96"/>
              <w:rPr>
                <w:sz w:val="20"/>
              </w:rPr>
            </w:pPr>
            <w:r>
              <w:rPr>
                <w:sz w:val="20"/>
              </w:rPr>
              <w:t>6.24</w:t>
            </w:r>
          </w:p>
        </w:tc>
        <w:tc>
          <w:tcPr>
            <w:tcW w:w="1299" w:type="dxa"/>
          </w:tcPr>
          <w:p w:rsidR="007C5447" w:rsidRDefault="00F6308C">
            <w:pPr>
              <w:pStyle w:val="TableParagraph"/>
              <w:spacing w:before="31"/>
              <w:ind w:right="96"/>
              <w:rPr>
                <w:sz w:val="20"/>
              </w:rPr>
            </w:pPr>
            <w:r>
              <w:rPr>
                <w:sz w:val="20"/>
              </w:rPr>
              <w:t>6.24</w:t>
            </w:r>
          </w:p>
        </w:tc>
        <w:tc>
          <w:tcPr>
            <w:tcW w:w="1299" w:type="dxa"/>
          </w:tcPr>
          <w:p w:rsidR="007C5447" w:rsidRDefault="00F6308C">
            <w:pPr>
              <w:pStyle w:val="TableParagraph"/>
              <w:spacing w:before="31"/>
              <w:ind w:right="97"/>
              <w:rPr>
                <w:sz w:val="20"/>
              </w:rPr>
            </w:pPr>
            <w:r>
              <w:rPr>
                <w:sz w:val="20"/>
              </w:rPr>
              <w:t>6.24</w:t>
            </w:r>
          </w:p>
        </w:tc>
      </w:tr>
      <w:tr w:rsidR="007C5447">
        <w:trPr>
          <w:trHeight w:val="292"/>
        </w:trPr>
        <w:tc>
          <w:tcPr>
            <w:tcW w:w="3025" w:type="dxa"/>
          </w:tcPr>
          <w:p w:rsidR="007C5447" w:rsidRDefault="00F6308C">
            <w:pPr>
              <w:pStyle w:val="TableParagraph"/>
              <w:spacing w:before="17"/>
              <w:ind w:left="105"/>
              <w:jc w:val="left"/>
            </w:pPr>
            <w:r>
              <w:t>Valuthur GTPS</w:t>
            </w:r>
          </w:p>
        </w:tc>
        <w:tc>
          <w:tcPr>
            <w:tcW w:w="1299" w:type="dxa"/>
          </w:tcPr>
          <w:p w:rsidR="007C5447" w:rsidRDefault="00F6308C">
            <w:pPr>
              <w:pStyle w:val="TableParagraph"/>
              <w:spacing w:before="31"/>
              <w:ind w:right="96"/>
              <w:rPr>
                <w:sz w:val="20"/>
              </w:rPr>
            </w:pPr>
            <w:r>
              <w:rPr>
                <w:sz w:val="20"/>
              </w:rPr>
              <w:t>1,231.87</w:t>
            </w:r>
          </w:p>
        </w:tc>
        <w:tc>
          <w:tcPr>
            <w:tcW w:w="1299" w:type="dxa"/>
          </w:tcPr>
          <w:p w:rsidR="007C5447" w:rsidRDefault="00F6308C">
            <w:pPr>
              <w:pStyle w:val="TableParagraph"/>
              <w:spacing w:before="31"/>
              <w:ind w:right="97"/>
              <w:rPr>
                <w:sz w:val="20"/>
              </w:rPr>
            </w:pPr>
            <w:r>
              <w:rPr>
                <w:w w:val="95"/>
                <w:sz w:val="20"/>
              </w:rPr>
              <w:t>1,231.87</w:t>
            </w:r>
          </w:p>
        </w:tc>
        <w:tc>
          <w:tcPr>
            <w:tcW w:w="1299" w:type="dxa"/>
          </w:tcPr>
          <w:p w:rsidR="007C5447" w:rsidRDefault="00F6308C">
            <w:pPr>
              <w:pStyle w:val="TableParagraph"/>
              <w:spacing w:before="31"/>
              <w:ind w:right="98"/>
              <w:rPr>
                <w:sz w:val="20"/>
              </w:rPr>
            </w:pPr>
            <w:r>
              <w:rPr>
                <w:w w:val="95"/>
                <w:sz w:val="20"/>
              </w:rPr>
              <w:t>1,231.87</w:t>
            </w:r>
          </w:p>
        </w:tc>
      </w:tr>
      <w:tr w:rsidR="007C5447">
        <w:trPr>
          <w:trHeight w:val="323"/>
        </w:trPr>
        <w:tc>
          <w:tcPr>
            <w:tcW w:w="3025" w:type="dxa"/>
            <w:shd w:val="clear" w:color="auto" w:fill="D9D9D9"/>
          </w:tcPr>
          <w:p w:rsidR="007C5447" w:rsidRDefault="00F6308C">
            <w:pPr>
              <w:pStyle w:val="TableParagraph"/>
              <w:spacing w:before="34"/>
              <w:ind w:left="105"/>
              <w:jc w:val="left"/>
              <w:rPr>
                <w:b/>
              </w:rPr>
            </w:pPr>
            <w:r>
              <w:rPr>
                <w:b/>
              </w:rPr>
              <w:t>Total Gas Thermal</w:t>
            </w:r>
          </w:p>
        </w:tc>
        <w:tc>
          <w:tcPr>
            <w:tcW w:w="1299" w:type="dxa"/>
            <w:shd w:val="clear" w:color="auto" w:fill="D9D9D9"/>
          </w:tcPr>
          <w:p w:rsidR="007C5447" w:rsidRDefault="00F6308C">
            <w:pPr>
              <w:pStyle w:val="TableParagraph"/>
              <w:spacing w:before="48"/>
              <w:ind w:right="96"/>
              <w:rPr>
                <w:b/>
                <w:sz w:val="20"/>
              </w:rPr>
            </w:pPr>
            <w:r>
              <w:rPr>
                <w:b/>
                <w:sz w:val="20"/>
              </w:rPr>
              <w:t>2,614.11</w:t>
            </w:r>
          </w:p>
        </w:tc>
        <w:tc>
          <w:tcPr>
            <w:tcW w:w="1299" w:type="dxa"/>
            <w:shd w:val="clear" w:color="auto" w:fill="D9D9D9"/>
          </w:tcPr>
          <w:p w:rsidR="007C5447" w:rsidRDefault="00F6308C">
            <w:pPr>
              <w:pStyle w:val="TableParagraph"/>
              <w:spacing w:before="48"/>
              <w:ind w:right="96"/>
              <w:rPr>
                <w:b/>
                <w:sz w:val="20"/>
              </w:rPr>
            </w:pPr>
            <w:r>
              <w:rPr>
                <w:b/>
                <w:sz w:val="20"/>
              </w:rPr>
              <w:t>2,614.11</w:t>
            </w:r>
          </w:p>
        </w:tc>
        <w:tc>
          <w:tcPr>
            <w:tcW w:w="1299" w:type="dxa"/>
            <w:shd w:val="clear" w:color="auto" w:fill="D9D9D9"/>
          </w:tcPr>
          <w:p w:rsidR="007C5447" w:rsidRDefault="00F6308C">
            <w:pPr>
              <w:pStyle w:val="TableParagraph"/>
              <w:spacing w:before="48"/>
              <w:ind w:right="96"/>
              <w:rPr>
                <w:b/>
                <w:sz w:val="20"/>
              </w:rPr>
            </w:pPr>
            <w:r>
              <w:rPr>
                <w:b/>
                <w:sz w:val="20"/>
              </w:rPr>
              <w:t>2,614.11</w:t>
            </w:r>
          </w:p>
        </w:tc>
      </w:tr>
      <w:tr w:rsidR="007C5447">
        <w:trPr>
          <w:trHeight w:val="294"/>
        </w:trPr>
        <w:tc>
          <w:tcPr>
            <w:tcW w:w="3025" w:type="dxa"/>
          </w:tcPr>
          <w:p w:rsidR="007C5447" w:rsidRDefault="00F6308C">
            <w:pPr>
              <w:pStyle w:val="TableParagraph"/>
              <w:spacing w:before="20"/>
              <w:ind w:left="105"/>
              <w:jc w:val="left"/>
            </w:pPr>
            <w:r>
              <w:t>Kundah Generation Circle</w:t>
            </w:r>
          </w:p>
        </w:tc>
        <w:tc>
          <w:tcPr>
            <w:tcW w:w="1299" w:type="dxa"/>
          </w:tcPr>
          <w:p w:rsidR="007C5447" w:rsidRDefault="00F6308C">
            <w:pPr>
              <w:pStyle w:val="TableParagraph"/>
              <w:spacing w:before="31"/>
              <w:ind w:right="97"/>
              <w:rPr>
                <w:sz w:val="20"/>
              </w:rPr>
            </w:pPr>
            <w:r>
              <w:rPr>
                <w:w w:val="95"/>
                <w:sz w:val="20"/>
              </w:rPr>
              <w:t>1,695.00</w:t>
            </w:r>
          </w:p>
        </w:tc>
        <w:tc>
          <w:tcPr>
            <w:tcW w:w="1299" w:type="dxa"/>
          </w:tcPr>
          <w:p w:rsidR="007C5447" w:rsidRDefault="00F6308C">
            <w:pPr>
              <w:pStyle w:val="TableParagraph"/>
              <w:spacing w:before="31"/>
              <w:ind w:right="97"/>
              <w:rPr>
                <w:sz w:val="20"/>
              </w:rPr>
            </w:pPr>
            <w:r>
              <w:rPr>
                <w:sz w:val="20"/>
              </w:rPr>
              <w:t>2411.00</w:t>
            </w:r>
          </w:p>
        </w:tc>
        <w:tc>
          <w:tcPr>
            <w:tcW w:w="1299" w:type="dxa"/>
          </w:tcPr>
          <w:p w:rsidR="007C5447" w:rsidRDefault="00F6308C">
            <w:pPr>
              <w:pStyle w:val="TableParagraph"/>
              <w:spacing w:before="31"/>
              <w:ind w:right="98"/>
              <w:rPr>
                <w:sz w:val="20"/>
              </w:rPr>
            </w:pPr>
            <w:r>
              <w:rPr>
                <w:w w:val="95"/>
                <w:sz w:val="20"/>
              </w:rPr>
              <w:t>2,425.00</w:t>
            </w:r>
          </w:p>
        </w:tc>
      </w:tr>
      <w:tr w:rsidR="007C5447">
        <w:trPr>
          <w:trHeight w:val="292"/>
        </w:trPr>
        <w:tc>
          <w:tcPr>
            <w:tcW w:w="3025" w:type="dxa"/>
          </w:tcPr>
          <w:p w:rsidR="007C5447" w:rsidRDefault="00F6308C">
            <w:pPr>
              <w:pStyle w:val="TableParagraph"/>
              <w:spacing w:before="20" w:line="252" w:lineRule="exact"/>
              <w:ind w:left="105"/>
              <w:jc w:val="left"/>
            </w:pPr>
            <w:r>
              <w:t>Kadamparai Generation Circle*</w:t>
            </w:r>
          </w:p>
        </w:tc>
        <w:tc>
          <w:tcPr>
            <w:tcW w:w="1299" w:type="dxa"/>
          </w:tcPr>
          <w:p w:rsidR="007C5447" w:rsidRDefault="00F6308C">
            <w:pPr>
              <w:pStyle w:val="TableParagraph"/>
              <w:spacing w:before="31"/>
              <w:ind w:right="96"/>
              <w:rPr>
                <w:sz w:val="20"/>
              </w:rPr>
            </w:pPr>
            <w:r>
              <w:rPr>
                <w:w w:val="95"/>
                <w:sz w:val="20"/>
              </w:rPr>
              <w:t>477.00</w:t>
            </w:r>
          </w:p>
        </w:tc>
        <w:tc>
          <w:tcPr>
            <w:tcW w:w="1299" w:type="dxa"/>
          </w:tcPr>
          <w:p w:rsidR="007C5447" w:rsidRDefault="00F6308C">
            <w:pPr>
              <w:pStyle w:val="TableParagraph"/>
              <w:spacing w:before="31"/>
              <w:ind w:right="97"/>
              <w:rPr>
                <w:sz w:val="20"/>
              </w:rPr>
            </w:pPr>
            <w:r>
              <w:rPr>
                <w:w w:val="95"/>
                <w:sz w:val="20"/>
              </w:rPr>
              <w:t>956.00</w:t>
            </w:r>
          </w:p>
        </w:tc>
        <w:tc>
          <w:tcPr>
            <w:tcW w:w="1299" w:type="dxa"/>
          </w:tcPr>
          <w:p w:rsidR="007C5447" w:rsidRDefault="00F6308C">
            <w:pPr>
              <w:pStyle w:val="TableParagraph"/>
              <w:spacing w:before="31"/>
              <w:ind w:right="97"/>
              <w:rPr>
                <w:sz w:val="20"/>
              </w:rPr>
            </w:pPr>
            <w:r>
              <w:rPr>
                <w:w w:val="95"/>
                <w:sz w:val="20"/>
              </w:rPr>
              <w:t>996.00</w:t>
            </w:r>
          </w:p>
        </w:tc>
      </w:tr>
      <w:tr w:rsidR="007C5447">
        <w:trPr>
          <w:trHeight w:val="294"/>
        </w:trPr>
        <w:tc>
          <w:tcPr>
            <w:tcW w:w="3025" w:type="dxa"/>
          </w:tcPr>
          <w:p w:rsidR="007C5447" w:rsidRDefault="00F6308C">
            <w:pPr>
              <w:pStyle w:val="TableParagraph"/>
              <w:spacing w:before="20"/>
              <w:ind w:left="105"/>
              <w:jc w:val="left"/>
            </w:pPr>
            <w:r>
              <w:t>Tirunelveli Generation Circle</w:t>
            </w:r>
          </w:p>
        </w:tc>
        <w:tc>
          <w:tcPr>
            <w:tcW w:w="1299" w:type="dxa"/>
          </w:tcPr>
          <w:p w:rsidR="007C5447" w:rsidRDefault="00F6308C">
            <w:pPr>
              <w:pStyle w:val="TableParagraph"/>
              <w:spacing w:before="34"/>
              <w:ind w:right="97"/>
              <w:rPr>
                <w:sz w:val="20"/>
              </w:rPr>
            </w:pPr>
            <w:r>
              <w:rPr>
                <w:w w:val="95"/>
                <w:sz w:val="20"/>
              </w:rPr>
              <w:t>1,096.00</w:t>
            </w:r>
          </w:p>
        </w:tc>
        <w:tc>
          <w:tcPr>
            <w:tcW w:w="1299" w:type="dxa"/>
          </w:tcPr>
          <w:p w:rsidR="007C5447" w:rsidRDefault="00F6308C">
            <w:pPr>
              <w:pStyle w:val="TableParagraph"/>
              <w:spacing w:before="34"/>
              <w:ind w:right="97"/>
              <w:rPr>
                <w:sz w:val="20"/>
              </w:rPr>
            </w:pPr>
            <w:r>
              <w:rPr>
                <w:w w:val="95"/>
                <w:sz w:val="20"/>
              </w:rPr>
              <w:t>1,026.00</w:t>
            </w:r>
          </w:p>
        </w:tc>
        <w:tc>
          <w:tcPr>
            <w:tcW w:w="1299" w:type="dxa"/>
          </w:tcPr>
          <w:p w:rsidR="007C5447" w:rsidRDefault="00F6308C">
            <w:pPr>
              <w:pStyle w:val="TableParagraph"/>
              <w:spacing w:before="34"/>
              <w:ind w:right="98"/>
              <w:rPr>
                <w:sz w:val="20"/>
              </w:rPr>
            </w:pPr>
            <w:r>
              <w:rPr>
                <w:w w:val="95"/>
                <w:sz w:val="20"/>
              </w:rPr>
              <w:t>1,030.00</w:t>
            </w:r>
          </w:p>
        </w:tc>
      </w:tr>
      <w:tr w:rsidR="007C5447">
        <w:trPr>
          <w:trHeight w:val="295"/>
        </w:trPr>
        <w:tc>
          <w:tcPr>
            <w:tcW w:w="3025" w:type="dxa"/>
          </w:tcPr>
          <w:p w:rsidR="007C5447" w:rsidRDefault="00F6308C">
            <w:pPr>
              <w:pStyle w:val="TableParagraph"/>
              <w:spacing w:before="20"/>
              <w:ind w:left="105"/>
              <w:jc w:val="left"/>
            </w:pPr>
            <w:r>
              <w:t>Erode Generation Circle</w:t>
            </w:r>
          </w:p>
        </w:tc>
        <w:tc>
          <w:tcPr>
            <w:tcW w:w="1299" w:type="dxa"/>
          </w:tcPr>
          <w:p w:rsidR="007C5447" w:rsidRDefault="00F6308C">
            <w:pPr>
              <w:pStyle w:val="TableParagraph"/>
              <w:spacing w:before="32"/>
              <w:ind w:right="96"/>
              <w:rPr>
                <w:sz w:val="20"/>
              </w:rPr>
            </w:pPr>
            <w:r>
              <w:rPr>
                <w:w w:val="95"/>
                <w:sz w:val="20"/>
              </w:rPr>
              <w:t>756.26</w:t>
            </w:r>
          </w:p>
        </w:tc>
        <w:tc>
          <w:tcPr>
            <w:tcW w:w="1299" w:type="dxa"/>
          </w:tcPr>
          <w:p w:rsidR="007C5447" w:rsidRDefault="00F6308C">
            <w:pPr>
              <w:pStyle w:val="TableParagraph"/>
              <w:spacing w:before="32"/>
              <w:ind w:right="97"/>
              <w:rPr>
                <w:sz w:val="20"/>
              </w:rPr>
            </w:pPr>
            <w:r>
              <w:rPr>
                <w:w w:val="95"/>
                <w:sz w:val="20"/>
              </w:rPr>
              <w:t>1,311.97</w:t>
            </w:r>
          </w:p>
        </w:tc>
        <w:tc>
          <w:tcPr>
            <w:tcW w:w="1299" w:type="dxa"/>
          </w:tcPr>
          <w:p w:rsidR="007C5447" w:rsidRDefault="00F6308C">
            <w:pPr>
              <w:pStyle w:val="TableParagraph"/>
              <w:spacing w:before="32"/>
              <w:ind w:right="98"/>
              <w:rPr>
                <w:sz w:val="20"/>
              </w:rPr>
            </w:pPr>
            <w:r>
              <w:rPr>
                <w:w w:val="95"/>
                <w:sz w:val="20"/>
              </w:rPr>
              <w:t>1,324.43</w:t>
            </w:r>
          </w:p>
        </w:tc>
      </w:tr>
      <w:tr w:rsidR="007C5447">
        <w:trPr>
          <w:trHeight w:val="323"/>
        </w:trPr>
        <w:tc>
          <w:tcPr>
            <w:tcW w:w="3025" w:type="dxa"/>
            <w:shd w:val="clear" w:color="auto" w:fill="D9D9D9"/>
          </w:tcPr>
          <w:p w:rsidR="007C5447" w:rsidRDefault="00F6308C">
            <w:pPr>
              <w:pStyle w:val="TableParagraph"/>
              <w:spacing w:before="34"/>
              <w:ind w:left="105"/>
              <w:jc w:val="left"/>
              <w:rPr>
                <w:b/>
              </w:rPr>
            </w:pPr>
            <w:r>
              <w:rPr>
                <w:b/>
              </w:rPr>
              <w:t>Total Hydro</w:t>
            </w:r>
          </w:p>
        </w:tc>
        <w:tc>
          <w:tcPr>
            <w:tcW w:w="1299" w:type="dxa"/>
            <w:shd w:val="clear" w:color="auto" w:fill="D9D9D9"/>
          </w:tcPr>
          <w:p w:rsidR="007C5447" w:rsidRDefault="00F6308C">
            <w:pPr>
              <w:pStyle w:val="TableParagraph"/>
              <w:spacing w:before="46"/>
              <w:ind w:right="96"/>
              <w:rPr>
                <w:b/>
                <w:sz w:val="20"/>
              </w:rPr>
            </w:pPr>
            <w:r>
              <w:rPr>
                <w:b/>
                <w:w w:val="95"/>
                <w:sz w:val="20"/>
              </w:rPr>
              <w:t>4,024.26</w:t>
            </w:r>
          </w:p>
        </w:tc>
        <w:tc>
          <w:tcPr>
            <w:tcW w:w="1299" w:type="dxa"/>
            <w:shd w:val="clear" w:color="auto" w:fill="D9D9D9"/>
          </w:tcPr>
          <w:p w:rsidR="007C5447" w:rsidRDefault="00F6308C">
            <w:pPr>
              <w:pStyle w:val="TableParagraph"/>
              <w:spacing w:before="46"/>
              <w:ind w:right="97"/>
              <w:rPr>
                <w:b/>
                <w:sz w:val="20"/>
              </w:rPr>
            </w:pPr>
            <w:r>
              <w:rPr>
                <w:b/>
                <w:w w:val="95"/>
                <w:sz w:val="20"/>
              </w:rPr>
              <w:t>5,704.97</w:t>
            </w:r>
          </w:p>
        </w:tc>
        <w:tc>
          <w:tcPr>
            <w:tcW w:w="1299" w:type="dxa"/>
            <w:shd w:val="clear" w:color="auto" w:fill="D9D9D9"/>
          </w:tcPr>
          <w:p w:rsidR="007C5447" w:rsidRDefault="00F6308C">
            <w:pPr>
              <w:pStyle w:val="TableParagraph"/>
              <w:spacing w:before="46"/>
              <w:ind w:right="98"/>
              <w:rPr>
                <w:b/>
                <w:sz w:val="20"/>
              </w:rPr>
            </w:pPr>
            <w:r>
              <w:rPr>
                <w:b/>
                <w:w w:val="95"/>
                <w:sz w:val="20"/>
              </w:rPr>
              <w:t>5,775.43</w:t>
            </w:r>
          </w:p>
        </w:tc>
      </w:tr>
      <w:tr w:rsidR="007C5447">
        <w:trPr>
          <w:trHeight w:val="292"/>
        </w:trPr>
        <w:tc>
          <w:tcPr>
            <w:tcW w:w="3025" w:type="dxa"/>
          </w:tcPr>
          <w:p w:rsidR="007C5447" w:rsidRDefault="00F6308C">
            <w:pPr>
              <w:pStyle w:val="TableParagraph"/>
              <w:spacing w:before="17"/>
              <w:ind w:left="105"/>
              <w:jc w:val="left"/>
            </w:pPr>
            <w:r>
              <w:t>Wind</w:t>
            </w:r>
          </w:p>
        </w:tc>
        <w:tc>
          <w:tcPr>
            <w:tcW w:w="1299" w:type="dxa"/>
          </w:tcPr>
          <w:p w:rsidR="007C5447" w:rsidRDefault="00F6308C">
            <w:pPr>
              <w:pStyle w:val="TableParagraph"/>
              <w:spacing w:before="31"/>
              <w:ind w:right="99"/>
              <w:rPr>
                <w:sz w:val="20"/>
              </w:rPr>
            </w:pPr>
            <w:r>
              <w:rPr>
                <w:w w:val="95"/>
                <w:sz w:val="20"/>
              </w:rPr>
              <w:t>12.00</w:t>
            </w:r>
          </w:p>
        </w:tc>
        <w:tc>
          <w:tcPr>
            <w:tcW w:w="1299" w:type="dxa"/>
          </w:tcPr>
          <w:p w:rsidR="007C5447" w:rsidRDefault="00F6308C">
            <w:pPr>
              <w:pStyle w:val="TableParagraph"/>
              <w:spacing w:before="31"/>
              <w:ind w:right="99"/>
              <w:rPr>
                <w:sz w:val="20"/>
              </w:rPr>
            </w:pPr>
            <w:r>
              <w:rPr>
                <w:w w:val="95"/>
                <w:sz w:val="20"/>
              </w:rPr>
              <w:t>12.00</w:t>
            </w:r>
          </w:p>
        </w:tc>
        <w:tc>
          <w:tcPr>
            <w:tcW w:w="1299" w:type="dxa"/>
          </w:tcPr>
          <w:p w:rsidR="007C5447" w:rsidRDefault="00F6308C">
            <w:pPr>
              <w:pStyle w:val="TableParagraph"/>
              <w:spacing w:before="31"/>
              <w:ind w:right="99"/>
              <w:rPr>
                <w:sz w:val="20"/>
              </w:rPr>
            </w:pPr>
            <w:r>
              <w:rPr>
                <w:w w:val="95"/>
                <w:sz w:val="20"/>
              </w:rPr>
              <w:t>12.00</w:t>
            </w:r>
          </w:p>
        </w:tc>
      </w:tr>
      <w:tr w:rsidR="007C5447">
        <w:trPr>
          <w:trHeight w:val="323"/>
        </w:trPr>
        <w:tc>
          <w:tcPr>
            <w:tcW w:w="3025" w:type="dxa"/>
            <w:shd w:val="clear" w:color="auto" w:fill="D9D9D9"/>
          </w:tcPr>
          <w:p w:rsidR="007C5447" w:rsidRDefault="00F6308C">
            <w:pPr>
              <w:pStyle w:val="TableParagraph"/>
              <w:spacing w:before="34"/>
              <w:ind w:left="105"/>
              <w:jc w:val="left"/>
              <w:rPr>
                <w:b/>
              </w:rPr>
            </w:pPr>
            <w:r>
              <w:rPr>
                <w:b/>
              </w:rPr>
              <w:t>Grand Total</w:t>
            </w:r>
          </w:p>
        </w:tc>
        <w:tc>
          <w:tcPr>
            <w:tcW w:w="1299" w:type="dxa"/>
            <w:shd w:val="clear" w:color="auto" w:fill="D9D9D9"/>
          </w:tcPr>
          <w:p w:rsidR="007C5447" w:rsidRDefault="00F6308C">
            <w:pPr>
              <w:pStyle w:val="TableParagraph"/>
              <w:spacing w:before="48"/>
              <w:ind w:right="99"/>
              <w:rPr>
                <w:b/>
                <w:sz w:val="20"/>
              </w:rPr>
            </w:pPr>
            <w:r>
              <w:rPr>
                <w:b/>
                <w:w w:val="95"/>
                <w:sz w:val="20"/>
              </w:rPr>
              <w:t>35,177.71</w:t>
            </w:r>
          </w:p>
        </w:tc>
        <w:tc>
          <w:tcPr>
            <w:tcW w:w="1299" w:type="dxa"/>
            <w:shd w:val="clear" w:color="auto" w:fill="D9D9D9"/>
          </w:tcPr>
          <w:p w:rsidR="007C5447" w:rsidRDefault="00F6308C">
            <w:pPr>
              <w:pStyle w:val="TableParagraph"/>
              <w:spacing w:before="48"/>
              <w:ind w:right="99"/>
              <w:rPr>
                <w:b/>
                <w:sz w:val="20"/>
              </w:rPr>
            </w:pPr>
            <w:r>
              <w:rPr>
                <w:b/>
                <w:w w:val="95"/>
                <w:sz w:val="20"/>
              </w:rPr>
              <w:t>36.032.30</w:t>
            </w:r>
          </w:p>
        </w:tc>
        <w:tc>
          <w:tcPr>
            <w:tcW w:w="1299" w:type="dxa"/>
            <w:shd w:val="clear" w:color="auto" w:fill="D9D9D9"/>
          </w:tcPr>
          <w:p w:rsidR="007C5447" w:rsidRDefault="00F6308C">
            <w:pPr>
              <w:pStyle w:val="TableParagraph"/>
              <w:spacing w:before="48"/>
              <w:ind w:right="98"/>
              <w:rPr>
                <w:b/>
                <w:sz w:val="20"/>
              </w:rPr>
            </w:pPr>
            <w:r>
              <w:rPr>
                <w:b/>
                <w:w w:val="95"/>
                <w:sz w:val="20"/>
              </w:rPr>
              <w:t>37,837.94</w:t>
            </w:r>
          </w:p>
        </w:tc>
      </w:tr>
    </w:tbl>
    <w:p w:rsidR="007C5447" w:rsidRDefault="007C5447">
      <w:pPr>
        <w:pStyle w:val="BodyText"/>
        <w:rPr>
          <w:b/>
          <w:sz w:val="13"/>
        </w:rPr>
      </w:pPr>
    </w:p>
    <w:p w:rsidR="007C5447" w:rsidRDefault="00F6308C">
      <w:pPr>
        <w:spacing w:before="91" w:line="312" w:lineRule="auto"/>
        <w:ind w:left="967" w:right="1110"/>
        <w:rPr>
          <w:b/>
          <w:sz w:val="20"/>
        </w:rPr>
      </w:pPr>
      <w:r>
        <w:rPr>
          <w:b/>
          <w:sz w:val="20"/>
        </w:rPr>
        <w:t>Note* Commission has deducted energy availability from Kadamparai PSHES at the same level as considered in FY 2015-16</w:t>
      </w:r>
    </w:p>
    <w:p w:rsidR="007C5447" w:rsidRDefault="00F6308C">
      <w:pPr>
        <w:pStyle w:val="Heading2"/>
        <w:numPr>
          <w:ilvl w:val="2"/>
          <w:numId w:val="114"/>
        </w:numPr>
        <w:tabs>
          <w:tab w:val="left" w:pos="1392"/>
          <w:tab w:val="left" w:pos="1393"/>
        </w:tabs>
        <w:spacing w:before="118"/>
        <w:ind w:left="1392" w:hanging="853"/>
      </w:pPr>
      <w:r>
        <w:t>Other</w:t>
      </w:r>
      <w:r>
        <w:rPr>
          <w:spacing w:val="-2"/>
        </w:rPr>
        <w:t xml:space="preserve"> </w:t>
      </w:r>
      <w:r>
        <w:t>Sources</w:t>
      </w:r>
    </w:p>
    <w:p w:rsidR="007C5447" w:rsidRDefault="007C5447">
      <w:pPr>
        <w:pStyle w:val="BodyText"/>
        <w:spacing w:before="2"/>
        <w:rPr>
          <w:b/>
          <w:sz w:val="28"/>
        </w:rPr>
      </w:pPr>
    </w:p>
    <w:p w:rsidR="007C5447" w:rsidRDefault="00F6308C">
      <w:pPr>
        <w:pStyle w:val="ListParagraph"/>
        <w:numPr>
          <w:ilvl w:val="3"/>
          <w:numId w:val="67"/>
        </w:numPr>
        <w:tabs>
          <w:tab w:val="left" w:pos="1506"/>
        </w:tabs>
        <w:spacing w:line="312" w:lineRule="auto"/>
        <w:ind w:right="509" w:hanging="864"/>
        <w:jc w:val="both"/>
        <w:rPr>
          <w:sz w:val="24"/>
        </w:rPr>
      </w:pPr>
      <w:r>
        <w:tab/>
      </w:r>
      <w:r>
        <w:rPr>
          <w:sz w:val="24"/>
        </w:rPr>
        <w:t>TANGEDCO submitted that it has projected energy availability for FY 2016-17 to FY 2018-19 based on the energy sources avai</w:t>
      </w:r>
      <w:r>
        <w:rPr>
          <w:sz w:val="24"/>
        </w:rPr>
        <w:t>lable during the year, upcoming Central Generating Stations (CGS) and other sources with which it has tied up power during the respective year, as shown in the Table</w:t>
      </w:r>
      <w:r>
        <w:rPr>
          <w:spacing w:val="3"/>
          <w:sz w:val="24"/>
        </w:rPr>
        <w:t xml:space="preserve"> </w:t>
      </w:r>
      <w:r>
        <w:rPr>
          <w:sz w:val="24"/>
        </w:rPr>
        <w:t>below:</w:t>
      </w:r>
    </w:p>
    <w:p w:rsidR="007C5447" w:rsidRDefault="007C5447">
      <w:pPr>
        <w:pStyle w:val="BodyText"/>
        <w:spacing w:before="1"/>
        <w:rPr>
          <w:sz w:val="21"/>
        </w:rPr>
      </w:pPr>
    </w:p>
    <w:p w:rsidR="007C5447" w:rsidRDefault="00F6308C">
      <w:pPr>
        <w:ind w:left="1152"/>
        <w:rPr>
          <w:b/>
        </w:rPr>
      </w:pPr>
      <w:r>
        <w:rPr>
          <w:b/>
        </w:rPr>
        <w:t>Table 4-7: Energy Availability from other sources as submitted by TANGEDCO (MU)</w:t>
      </w:r>
    </w:p>
    <w:p w:rsidR="007C5447" w:rsidRDefault="007C5447">
      <w:pPr>
        <w:pStyle w:val="BodyText"/>
        <w:spacing w:before="11"/>
        <w:rPr>
          <w:b/>
          <w:sz w:val="16"/>
        </w:rPr>
      </w:pPr>
    </w:p>
    <w:tbl>
      <w:tblPr>
        <w:tblW w:w="0" w:type="auto"/>
        <w:tblInd w:w="1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2"/>
        <w:gridCol w:w="3260"/>
        <w:gridCol w:w="1419"/>
        <w:gridCol w:w="1419"/>
        <w:gridCol w:w="1558"/>
      </w:tblGrid>
      <w:tr w:rsidR="007C5447">
        <w:trPr>
          <w:trHeight w:val="328"/>
        </w:trPr>
        <w:tc>
          <w:tcPr>
            <w:tcW w:w="852" w:type="dxa"/>
            <w:shd w:val="clear" w:color="auto" w:fill="F7C9AC"/>
          </w:tcPr>
          <w:p w:rsidR="007C5447" w:rsidRDefault="00F6308C">
            <w:pPr>
              <w:pStyle w:val="TableParagraph"/>
              <w:spacing w:before="37"/>
              <w:ind w:left="107"/>
              <w:jc w:val="left"/>
              <w:rPr>
                <w:b/>
              </w:rPr>
            </w:pPr>
            <w:r>
              <w:rPr>
                <w:b/>
              </w:rPr>
              <w:t>Sl.</w:t>
            </w:r>
          </w:p>
        </w:tc>
        <w:tc>
          <w:tcPr>
            <w:tcW w:w="3260" w:type="dxa"/>
            <w:shd w:val="clear" w:color="auto" w:fill="F7C9AC"/>
          </w:tcPr>
          <w:p w:rsidR="007C5447" w:rsidRDefault="00F6308C">
            <w:pPr>
              <w:pStyle w:val="TableParagraph"/>
              <w:spacing w:before="37"/>
              <w:ind w:left="107"/>
              <w:jc w:val="left"/>
              <w:rPr>
                <w:b/>
              </w:rPr>
            </w:pPr>
            <w:r>
              <w:rPr>
                <w:b/>
              </w:rPr>
              <w:t>Name of Station</w:t>
            </w:r>
          </w:p>
        </w:tc>
        <w:tc>
          <w:tcPr>
            <w:tcW w:w="1419" w:type="dxa"/>
            <w:shd w:val="clear" w:color="auto" w:fill="F7C9AC"/>
          </w:tcPr>
          <w:p w:rsidR="007C5447" w:rsidRDefault="00F6308C">
            <w:pPr>
              <w:pStyle w:val="TableParagraph"/>
              <w:spacing w:before="37"/>
              <w:ind w:right="96"/>
              <w:rPr>
                <w:b/>
              </w:rPr>
            </w:pPr>
            <w:r>
              <w:rPr>
                <w:b/>
              </w:rPr>
              <w:t>FY 2016-17</w:t>
            </w:r>
          </w:p>
        </w:tc>
        <w:tc>
          <w:tcPr>
            <w:tcW w:w="1419" w:type="dxa"/>
            <w:shd w:val="clear" w:color="auto" w:fill="F7C9AC"/>
          </w:tcPr>
          <w:p w:rsidR="007C5447" w:rsidRDefault="00F6308C">
            <w:pPr>
              <w:pStyle w:val="TableParagraph"/>
              <w:spacing w:before="37"/>
              <w:ind w:right="94"/>
              <w:rPr>
                <w:b/>
              </w:rPr>
            </w:pPr>
            <w:r>
              <w:rPr>
                <w:b/>
              </w:rPr>
              <w:t>FY 2017-18</w:t>
            </w:r>
          </w:p>
        </w:tc>
        <w:tc>
          <w:tcPr>
            <w:tcW w:w="1558" w:type="dxa"/>
            <w:shd w:val="clear" w:color="auto" w:fill="F7C9AC"/>
          </w:tcPr>
          <w:p w:rsidR="007C5447" w:rsidRDefault="00F6308C">
            <w:pPr>
              <w:pStyle w:val="TableParagraph"/>
              <w:spacing w:before="37"/>
              <w:ind w:right="92"/>
              <w:rPr>
                <w:b/>
              </w:rPr>
            </w:pPr>
            <w:r>
              <w:rPr>
                <w:b/>
              </w:rPr>
              <w:t>FY 2018-19</w:t>
            </w:r>
          </w:p>
        </w:tc>
      </w:tr>
      <w:tr w:rsidR="007C5447">
        <w:trPr>
          <w:trHeight w:val="330"/>
        </w:trPr>
        <w:tc>
          <w:tcPr>
            <w:tcW w:w="852" w:type="dxa"/>
          </w:tcPr>
          <w:p w:rsidR="007C5447" w:rsidRDefault="007C5447">
            <w:pPr>
              <w:pStyle w:val="TableParagraph"/>
              <w:jc w:val="left"/>
              <w:rPr>
                <w:sz w:val="20"/>
              </w:rPr>
            </w:pPr>
          </w:p>
        </w:tc>
        <w:tc>
          <w:tcPr>
            <w:tcW w:w="3260" w:type="dxa"/>
          </w:tcPr>
          <w:p w:rsidR="007C5447" w:rsidRDefault="00F6308C">
            <w:pPr>
              <w:pStyle w:val="TableParagraph"/>
              <w:spacing w:before="39"/>
              <w:ind w:left="107"/>
              <w:jc w:val="left"/>
              <w:rPr>
                <w:b/>
              </w:rPr>
            </w:pPr>
            <w:r>
              <w:rPr>
                <w:b/>
              </w:rPr>
              <w:t>NLC Stations</w:t>
            </w:r>
          </w:p>
        </w:tc>
        <w:tc>
          <w:tcPr>
            <w:tcW w:w="1419" w:type="dxa"/>
          </w:tcPr>
          <w:p w:rsidR="007C5447" w:rsidRDefault="007C5447">
            <w:pPr>
              <w:pStyle w:val="TableParagraph"/>
              <w:jc w:val="left"/>
              <w:rPr>
                <w:sz w:val="20"/>
              </w:rPr>
            </w:pPr>
          </w:p>
        </w:tc>
        <w:tc>
          <w:tcPr>
            <w:tcW w:w="1419"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r>
      <w:tr w:rsidR="007C5447">
        <w:trPr>
          <w:trHeight w:val="330"/>
        </w:trPr>
        <w:tc>
          <w:tcPr>
            <w:tcW w:w="852" w:type="dxa"/>
          </w:tcPr>
          <w:p w:rsidR="007C5447" w:rsidRDefault="00F6308C">
            <w:pPr>
              <w:pStyle w:val="TableParagraph"/>
              <w:spacing w:before="37"/>
              <w:ind w:left="107"/>
              <w:jc w:val="left"/>
            </w:pPr>
            <w:r>
              <w:t>1</w:t>
            </w:r>
          </w:p>
        </w:tc>
        <w:tc>
          <w:tcPr>
            <w:tcW w:w="3260" w:type="dxa"/>
          </w:tcPr>
          <w:p w:rsidR="007C5447" w:rsidRDefault="00F6308C">
            <w:pPr>
              <w:pStyle w:val="TableParagraph"/>
              <w:spacing w:before="37"/>
              <w:ind w:left="107"/>
              <w:jc w:val="left"/>
            </w:pPr>
            <w:r>
              <w:t>Neyveli TS-I</w:t>
            </w:r>
          </w:p>
        </w:tc>
        <w:tc>
          <w:tcPr>
            <w:tcW w:w="1419" w:type="dxa"/>
          </w:tcPr>
          <w:p w:rsidR="007C5447" w:rsidRDefault="00F6308C">
            <w:pPr>
              <w:pStyle w:val="TableParagraph"/>
              <w:spacing w:before="37"/>
              <w:ind w:right="96"/>
            </w:pPr>
            <w:r>
              <w:t>2,675.00</w:t>
            </w:r>
          </w:p>
        </w:tc>
        <w:tc>
          <w:tcPr>
            <w:tcW w:w="1419" w:type="dxa"/>
          </w:tcPr>
          <w:p w:rsidR="007C5447" w:rsidRDefault="00F6308C">
            <w:pPr>
              <w:pStyle w:val="TableParagraph"/>
              <w:spacing w:before="37"/>
              <w:ind w:right="94"/>
            </w:pPr>
            <w:r>
              <w:t>3,942.00</w:t>
            </w:r>
          </w:p>
        </w:tc>
        <w:tc>
          <w:tcPr>
            <w:tcW w:w="1558" w:type="dxa"/>
          </w:tcPr>
          <w:p w:rsidR="007C5447" w:rsidRDefault="00F6308C">
            <w:pPr>
              <w:pStyle w:val="TableParagraph"/>
              <w:spacing w:before="37"/>
              <w:ind w:right="92"/>
            </w:pPr>
            <w:r>
              <w:t>3,942.00</w:t>
            </w:r>
          </w:p>
        </w:tc>
      </w:tr>
      <w:tr w:rsidR="007C5447">
        <w:trPr>
          <w:trHeight w:val="328"/>
        </w:trPr>
        <w:tc>
          <w:tcPr>
            <w:tcW w:w="852" w:type="dxa"/>
          </w:tcPr>
          <w:p w:rsidR="007C5447" w:rsidRDefault="00F6308C">
            <w:pPr>
              <w:pStyle w:val="TableParagraph"/>
              <w:spacing w:before="37"/>
              <w:ind w:left="107"/>
              <w:jc w:val="left"/>
            </w:pPr>
            <w:r>
              <w:t>2</w:t>
            </w:r>
          </w:p>
        </w:tc>
        <w:tc>
          <w:tcPr>
            <w:tcW w:w="3260" w:type="dxa"/>
          </w:tcPr>
          <w:p w:rsidR="007C5447" w:rsidRDefault="00F6308C">
            <w:pPr>
              <w:pStyle w:val="TableParagraph"/>
              <w:spacing w:before="37"/>
              <w:ind w:left="107"/>
              <w:jc w:val="left"/>
            </w:pPr>
            <w:r>
              <w:t>Neyveli TS-II Stage I</w:t>
            </w:r>
          </w:p>
        </w:tc>
        <w:tc>
          <w:tcPr>
            <w:tcW w:w="1419" w:type="dxa"/>
          </w:tcPr>
          <w:p w:rsidR="007C5447" w:rsidRDefault="00F6308C">
            <w:pPr>
              <w:pStyle w:val="TableParagraph"/>
              <w:spacing w:before="37"/>
              <w:ind w:right="96"/>
            </w:pPr>
            <w:r>
              <w:t>3,260.00</w:t>
            </w:r>
          </w:p>
        </w:tc>
        <w:tc>
          <w:tcPr>
            <w:tcW w:w="1419" w:type="dxa"/>
          </w:tcPr>
          <w:p w:rsidR="007C5447" w:rsidRDefault="00F6308C">
            <w:pPr>
              <w:pStyle w:val="TableParagraph"/>
              <w:spacing w:before="37"/>
              <w:ind w:right="94"/>
            </w:pPr>
            <w:r>
              <w:t>3,596.42</w:t>
            </w:r>
          </w:p>
        </w:tc>
        <w:tc>
          <w:tcPr>
            <w:tcW w:w="1558" w:type="dxa"/>
          </w:tcPr>
          <w:p w:rsidR="007C5447" w:rsidRDefault="00F6308C">
            <w:pPr>
              <w:pStyle w:val="TableParagraph"/>
              <w:spacing w:before="37"/>
              <w:ind w:right="92"/>
            </w:pPr>
            <w:r>
              <w:t>3,596.42</w:t>
            </w:r>
          </w:p>
        </w:tc>
      </w:tr>
      <w:tr w:rsidR="007C5447">
        <w:trPr>
          <w:trHeight w:val="330"/>
        </w:trPr>
        <w:tc>
          <w:tcPr>
            <w:tcW w:w="852" w:type="dxa"/>
          </w:tcPr>
          <w:p w:rsidR="007C5447" w:rsidRDefault="00F6308C">
            <w:pPr>
              <w:pStyle w:val="TableParagraph"/>
              <w:spacing w:before="39"/>
              <w:ind w:left="107"/>
              <w:jc w:val="left"/>
            </w:pPr>
            <w:r>
              <w:t>3</w:t>
            </w:r>
          </w:p>
        </w:tc>
        <w:tc>
          <w:tcPr>
            <w:tcW w:w="3260" w:type="dxa"/>
          </w:tcPr>
          <w:p w:rsidR="007C5447" w:rsidRDefault="00F6308C">
            <w:pPr>
              <w:pStyle w:val="TableParagraph"/>
              <w:spacing w:before="39"/>
              <w:ind w:left="107"/>
              <w:jc w:val="left"/>
            </w:pPr>
            <w:r>
              <w:t>Neyveli TS-I Expansion</w:t>
            </w:r>
          </w:p>
        </w:tc>
        <w:tc>
          <w:tcPr>
            <w:tcW w:w="1419" w:type="dxa"/>
          </w:tcPr>
          <w:p w:rsidR="007C5447" w:rsidRDefault="00F6308C">
            <w:pPr>
              <w:pStyle w:val="TableParagraph"/>
              <w:spacing w:before="39"/>
              <w:ind w:right="96"/>
            </w:pPr>
            <w:r>
              <w:t>1,675.00</w:t>
            </w:r>
          </w:p>
        </w:tc>
        <w:tc>
          <w:tcPr>
            <w:tcW w:w="1419" w:type="dxa"/>
          </w:tcPr>
          <w:p w:rsidR="007C5447" w:rsidRDefault="00F6308C">
            <w:pPr>
              <w:pStyle w:val="TableParagraph"/>
              <w:spacing w:before="39"/>
              <w:ind w:right="94"/>
            </w:pPr>
            <w:r>
              <w:t>1,675.00</w:t>
            </w:r>
          </w:p>
        </w:tc>
        <w:tc>
          <w:tcPr>
            <w:tcW w:w="1558" w:type="dxa"/>
          </w:tcPr>
          <w:p w:rsidR="007C5447" w:rsidRDefault="00F6308C">
            <w:pPr>
              <w:pStyle w:val="TableParagraph"/>
              <w:spacing w:before="39"/>
              <w:ind w:right="92"/>
            </w:pPr>
            <w:r>
              <w:t>1,675.00</w:t>
            </w:r>
          </w:p>
        </w:tc>
      </w:tr>
      <w:tr w:rsidR="007C5447">
        <w:trPr>
          <w:trHeight w:val="330"/>
        </w:trPr>
        <w:tc>
          <w:tcPr>
            <w:tcW w:w="852" w:type="dxa"/>
          </w:tcPr>
          <w:p w:rsidR="007C5447" w:rsidRDefault="00F6308C">
            <w:pPr>
              <w:pStyle w:val="TableParagraph"/>
              <w:spacing w:before="37"/>
              <w:ind w:left="107"/>
              <w:jc w:val="left"/>
            </w:pPr>
            <w:r>
              <w:t>4</w:t>
            </w:r>
          </w:p>
        </w:tc>
        <w:tc>
          <w:tcPr>
            <w:tcW w:w="3260" w:type="dxa"/>
          </w:tcPr>
          <w:p w:rsidR="007C5447" w:rsidRDefault="00F6308C">
            <w:pPr>
              <w:pStyle w:val="TableParagraph"/>
              <w:spacing w:before="37"/>
              <w:ind w:left="107"/>
              <w:jc w:val="left"/>
            </w:pPr>
            <w:r>
              <w:t>Neyveli Expansion Unit II</w:t>
            </w:r>
          </w:p>
        </w:tc>
        <w:tc>
          <w:tcPr>
            <w:tcW w:w="1419" w:type="dxa"/>
          </w:tcPr>
          <w:p w:rsidR="007C5447" w:rsidRDefault="00F6308C">
            <w:pPr>
              <w:pStyle w:val="TableParagraph"/>
              <w:spacing w:before="37"/>
              <w:ind w:right="96"/>
            </w:pPr>
            <w:r>
              <w:t>1,302.00</w:t>
            </w:r>
          </w:p>
        </w:tc>
        <w:tc>
          <w:tcPr>
            <w:tcW w:w="1419" w:type="dxa"/>
          </w:tcPr>
          <w:p w:rsidR="007C5447" w:rsidRDefault="00F6308C">
            <w:pPr>
              <w:pStyle w:val="TableParagraph"/>
              <w:spacing w:before="37"/>
              <w:ind w:right="94"/>
            </w:pPr>
            <w:r>
              <w:t>1,302.00</w:t>
            </w:r>
          </w:p>
        </w:tc>
        <w:tc>
          <w:tcPr>
            <w:tcW w:w="1558" w:type="dxa"/>
          </w:tcPr>
          <w:p w:rsidR="007C5447" w:rsidRDefault="00F6308C">
            <w:pPr>
              <w:pStyle w:val="TableParagraph"/>
              <w:spacing w:before="37"/>
              <w:ind w:right="92"/>
            </w:pPr>
            <w:r>
              <w:t>1,302.00</w:t>
            </w:r>
          </w:p>
        </w:tc>
      </w:tr>
      <w:tr w:rsidR="007C5447">
        <w:trPr>
          <w:trHeight w:val="328"/>
        </w:trPr>
        <w:tc>
          <w:tcPr>
            <w:tcW w:w="852" w:type="dxa"/>
          </w:tcPr>
          <w:p w:rsidR="007C5447" w:rsidRDefault="00F6308C">
            <w:pPr>
              <w:pStyle w:val="TableParagraph"/>
              <w:spacing w:before="37"/>
              <w:ind w:left="107"/>
              <w:jc w:val="left"/>
            </w:pPr>
            <w:r>
              <w:t>5</w:t>
            </w:r>
          </w:p>
        </w:tc>
        <w:tc>
          <w:tcPr>
            <w:tcW w:w="3260" w:type="dxa"/>
          </w:tcPr>
          <w:p w:rsidR="007C5447" w:rsidRDefault="00F6308C">
            <w:pPr>
              <w:pStyle w:val="TableParagraph"/>
              <w:spacing w:before="37"/>
              <w:ind w:left="107"/>
              <w:jc w:val="left"/>
            </w:pPr>
            <w:r>
              <w:t>NTPL JV with NLC</w:t>
            </w:r>
          </w:p>
        </w:tc>
        <w:tc>
          <w:tcPr>
            <w:tcW w:w="1419" w:type="dxa"/>
          </w:tcPr>
          <w:p w:rsidR="007C5447" w:rsidRDefault="00F6308C">
            <w:pPr>
              <w:pStyle w:val="TableParagraph"/>
              <w:spacing w:before="37"/>
              <w:ind w:right="96"/>
            </w:pPr>
            <w:r>
              <w:t>2,375.00</w:t>
            </w:r>
          </w:p>
        </w:tc>
        <w:tc>
          <w:tcPr>
            <w:tcW w:w="1419" w:type="dxa"/>
          </w:tcPr>
          <w:p w:rsidR="007C5447" w:rsidRDefault="00F6308C">
            <w:pPr>
              <w:pStyle w:val="TableParagraph"/>
              <w:spacing w:before="37"/>
              <w:ind w:right="94"/>
            </w:pPr>
            <w:r>
              <w:t>2,375.00</w:t>
            </w:r>
          </w:p>
        </w:tc>
        <w:tc>
          <w:tcPr>
            <w:tcW w:w="1558" w:type="dxa"/>
          </w:tcPr>
          <w:p w:rsidR="007C5447" w:rsidRDefault="00F6308C">
            <w:pPr>
              <w:pStyle w:val="TableParagraph"/>
              <w:spacing w:before="37"/>
              <w:ind w:right="92"/>
            </w:pPr>
            <w:r>
              <w:t>2,375.00</w:t>
            </w:r>
          </w:p>
        </w:tc>
      </w:tr>
      <w:tr w:rsidR="007C5447">
        <w:trPr>
          <w:trHeight w:val="330"/>
        </w:trPr>
        <w:tc>
          <w:tcPr>
            <w:tcW w:w="852" w:type="dxa"/>
          </w:tcPr>
          <w:p w:rsidR="007C5447" w:rsidRDefault="007C5447">
            <w:pPr>
              <w:pStyle w:val="TableParagraph"/>
              <w:jc w:val="left"/>
              <w:rPr>
                <w:sz w:val="20"/>
              </w:rPr>
            </w:pPr>
          </w:p>
        </w:tc>
        <w:tc>
          <w:tcPr>
            <w:tcW w:w="3260" w:type="dxa"/>
          </w:tcPr>
          <w:p w:rsidR="007C5447" w:rsidRDefault="00F6308C">
            <w:pPr>
              <w:pStyle w:val="TableParagraph"/>
              <w:spacing w:before="39"/>
              <w:ind w:left="107"/>
              <w:jc w:val="left"/>
              <w:rPr>
                <w:b/>
              </w:rPr>
            </w:pPr>
            <w:r>
              <w:rPr>
                <w:b/>
              </w:rPr>
              <w:t>Total NLC</w:t>
            </w:r>
          </w:p>
        </w:tc>
        <w:tc>
          <w:tcPr>
            <w:tcW w:w="1419" w:type="dxa"/>
          </w:tcPr>
          <w:p w:rsidR="007C5447" w:rsidRDefault="00F6308C">
            <w:pPr>
              <w:pStyle w:val="TableParagraph"/>
              <w:spacing w:before="39"/>
              <w:ind w:right="96"/>
              <w:rPr>
                <w:b/>
              </w:rPr>
            </w:pPr>
            <w:r>
              <w:rPr>
                <w:b/>
              </w:rPr>
              <w:t>11,287.00</w:t>
            </w:r>
          </w:p>
        </w:tc>
        <w:tc>
          <w:tcPr>
            <w:tcW w:w="1419" w:type="dxa"/>
          </w:tcPr>
          <w:p w:rsidR="007C5447" w:rsidRDefault="00F6308C">
            <w:pPr>
              <w:pStyle w:val="TableParagraph"/>
              <w:spacing w:before="39"/>
              <w:ind w:right="94"/>
              <w:rPr>
                <w:b/>
              </w:rPr>
            </w:pPr>
            <w:r>
              <w:rPr>
                <w:b/>
              </w:rPr>
              <w:t>12,890.42</w:t>
            </w:r>
          </w:p>
        </w:tc>
        <w:tc>
          <w:tcPr>
            <w:tcW w:w="1558" w:type="dxa"/>
          </w:tcPr>
          <w:p w:rsidR="007C5447" w:rsidRDefault="00F6308C">
            <w:pPr>
              <w:pStyle w:val="TableParagraph"/>
              <w:spacing w:before="39"/>
              <w:ind w:right="92"/>
              <w:rPr>
                <w:b/>
              </w:rPr>
            </w:pPr>
            <w:r>
              <w:rPr>
                <w:b/>
              </w:rPr>
              <w:t>12,890.42</w:t>
            </w:r>
          </w:p>
        </w:tc>
      </w:tr>
      <w:tr w:rsidR="007C5447">
        <w:trPr>
          <w:trHeight w:val="330"/>
        </w:trPr>
        <w:tc>
          <w:tcPr>
            <w:tcW w:w="852" w:type="dxa"/>
          </w:tcPr>
          <w:p w:rsidR="007C5447" w:rsidRDefault="007C5447">
            <w:pPr>
              <w:pStyle w:val="TableParagraph"/>
              <w:jc w:val="left"/>
              <w:rPr>
                <w:sz w:val="20"/>
              </w:rPr>
            </w:pPr>
          </w:p>
        </w:tc>
        <w:tc>
          <w:tcPr>
            <w:tcW w:w="3260" w:type="dxa"/>
          </w:tcPr>
          <w:p w:rsidR="007C5447" w:rsidRDefault="00F6308C">
            <w:pPr>
              <w:pStyle w:val="TableParagraph"/>
              <w:spacing w:before="37"/>
              <w:ind w:left="107"/>
              <w:jc w:val="left"/>
              <w:rPr>
                <w:b/>
              </w:rPr>
            </w:pPr>
            <w:r>
              <w:rPr>
                <w:b/>
              </w:rPr>
              <w:t>NTPC Stations</w:t>
            </w:r>
          </w:p>
        </w:tc>
        <w:tc>
          <w:tcPr>
            <w:tcW w:w="1419" w:type="dxa"/>
          </w:tcPr>
          <w:p w:rsidR="007C5447" w:rsidRDefault="007C5447">
            <w:pPr>
              <w:pStyle w:val="TableParagraph"/>
              <w:jc w:val="left"/>
              <w:rPr>
                <w:sz w:val="20"/>
              </w:rPr>
            </w:pPr>
          </w:p>
        </w:tc>
        <w:tc>
          <w:tcPr>
            <w:tcW w:w="1419"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r>
      <w:tr w:rsidR="007C5447">
        <w:trPr>
          <w:trHeight w:val="328"/>
        </w:trPr>
        <w:tc>
          <w:tcPr>
            <w:tcW w:w="852" w:type="dxa"/>
          </w:tcPr>
          <w:p w:rsidR="007C5447" w:rsidRDefault="00F6308C">
            <w:pPr>
              <w:pStyle w:val="TableParagraph"/>
              <w:spacing w:before="37"/>
              <w:ind w:left="107"/>
              <w:jc w:val="left"/>
            </w:pPr>
            <w:r>
              <w:t>6</w:t>
            </w:r>
          </w:p>
        </w:tc>
        <w:tc>
          <w:tcPr>
            <w:tcW w:w="3260" w:type="dxa"/>
          </w:tcPr>
          <w:p w:rsidR="007C5447" w:rsidRDefault="00F6308C">
            <w:pPr>
              <w:pStyle w:val="TableParagraph"/>
              <w:spacing w:before="37"/>
              <w:ind w:left="107"/>
              <w:jc w:val="left"/>
            </w:pPr>
            <w:r>
              <w:t>Ramagundam I&amp;II</w:t>
            </w:r>
          </w:p>
        </w:tc>
        <w:tc>
          <w:tcPr>
            <w:tcW w:w="1419" w:type="dxa"/>
          </w:tcPr>
          <w:p w:rsidR="007C5447" w:rsidRDefault="00F6308C">
            <w:pPr>
              <w:pStyle w:val="TableParagraph"/>
              <w:spacing w:before="37"/>
              <w:ind w:right="96"/>
            </w:pPr>
            <w:r>
              <w:t>4,050.00</w:t>
            </w:r>
          </w:p>
        </w:tc>
        <w:tc>
          <w:tcPr>
            <w:tcW w:w="1419" w:type="dxa"/>
          </w:tcPr>
          <w:p w:rsidR="007C5447" w:rsidRDefault="00F6308C">
            <w:pPr>
              <w:pStyle w:val="TableParagraph"/>
              <w:spacing w:before="37"/>
              <w:ind w:right="94"/>
            </w:pPr>
            <w:r>
              <w:t>4,050.00</w:t>
            </w:r>
          </w:p>
        </w:tc>
        <w:tc>
          <w:tcPr>
            <w:tcW w:w="1558" w:type="dxa"/>
          </w:tcPr>
          <w:p w:rsidR="007C5447" w:rsidRDefault="00F6308C">
            <w:pPr>
              <w:pStyle w:val="TableParagraph"/>
              <w:spacing w:before="37"/>
              <w:ind w:right="92"/>
            </w:pPr>
            <w:r>
              <w:t>4,050.00</w:t>
            </w:r>
          </w:p>
        </w:tc>
      </w:tr>
      <w:tr w:rsidR="007C5447">
        <w:trPr>
          <w:trHeight w:val="330"/>
        </w:trPr>
        <w:tc>
          <w:tcPr>
            <w:tcW w:w="852" w:type="dxa"/>
          </w:tcPr>
          <w:p w:rsidR="007C5447" w:rsidRDefault="00F6308C">
            <w:pPr>
              <w:pStyle w:val="TableParagraph"/>
              <w:spacing w:before="39"/>
              <w:ind w:left="107"/>
              <w:jc w:val="left"/>
            </w:pPr>
            <w:r>
              <w:t>7</w:t>
            </w:r>
          </w:p>
        </w:tc>
        <w:tc>
          <w:tcPr>
            <w:tcW w:w="3260" w:type="dxa"/>
          </w:tcPr>
          <w:p w:rsidR="007C5447" w:rsidRDefault="00F6308C">
            <w:pPr>
              <w:pStyle w:val="TableParagraph"/>
              <w:spacing w:before="39"/>
              <w:ind w:left="107"/>
              <w:jc w:val="left"/>
            </w:pPr>
            <w:r>
              <w:t>Ramagundam III</w:t>
            </w:r>
          </w:p>
        </w:tc>
        <w:tc>
          <w:tcPr>
            <w:tcW w:w="1419" w:type="dxa"/>
          </w:tcPr>
          <w:p w:rsidR="007C5447" w:rsidRDefault="00F6308C">
            <w:pPr>
              <w:pStyle w:val="TableParagraph"/>
              <w:spacing w:before="39"/>
              <w:ind w:right="96"/>
            </w:pPr>
            <w:r>
              <w:t>1,095.00</w:t>
            </w:r>
          </w:p>
        </w:tc>
        <w:tc>
          <w:tcPr>
            <w:tcW w:w="1419" w:type="dxa"/>
          </w:tcPr>
          <w:p w:rsidR="007C5447" w:rsidRDefault="00F6308C">
            <w:pPr>
              <w:pStyle w:val="TableParagraph"/>
              <w:spacing w:before="39"/>
              <w:ind w:right="94"/>
            </w:pPr>
            <w:r>
              <w:t>967.1</w:t>
            </w:r>
          </w:p>
        </w:tc>
        <w:tc>
          <w:tcPr>
            <w:tcW w:w="1558" w:type="dxa"/>
          </w:tcPr>
          <w:p w:rsidR="007C5447" w:rsidRDefault="00F6308C">
            <w:pPr>
              <w:pStyle w:val="TableParagraph"/>
              <w:spacing w:before="39"/>
              <w:ind w:right="92"/>
            </w:pPr>
            <w:r>
              <w:t>967.1</w:t>
            </w:r>
          </w:p>
        </w:tc>
      </w:tr>
      <w:tr w:rsidR="007C5447">
        <w:trPr>
          <w:trHeight w:val="330"/>
        </w:trPr>
        <w:tc>
          <w:tcPr>
            <w:tcW w:w="852" w:type="dxa"/>
          </w:tcPr>
          <w:p w:rsidR="007C5447" w:rsidRDefault="00F6308C">
            <w:pPr>
              <w:pStyle w:val="TableParagraph"/>
              <w:spacing w:before="37"/>
              <w:ind w:left="107"/>
              <w:jc w:val="left"/>
            </w:pPr>
            <w:r>
              <w:t>8</w:t>
            </w:r>
          </w:p>
        </w:tc>
        <w:tc>
          <w:tcPr>
            <w:tcW w:w="3260" w:type="dxa"/>
          </w:tcPr>
          <w:p w:rsidR="007C5447" w:rsidRDefault="00F6308C">
            <w:pPr>
              <w:pStyle w:val="TableParagraph"/>
              <w:spacing w:before="37"/>
              <w:ind w:left="107"/>
              <w:jc w:val="left"/>
            </w:pPr>
            <w:r>
              <w:t>Simhadri Stage II -Unit III</w:t>
            </w:r>
          </w:p>
        </w:tc>
        <w:tc>
          <w:tcPr>
            <w:tcW w:w="1419" w:type="dxa"/>
          </w:tcPr>
          <w:p w:rsidR="007C5447" w:rsidRDefault="00F6308C">
            <w:pPr>
              <w:pStyle w:val="TableParagraph"/>
              <w:spacing w:before="37"/>
              <w:ind w:right="96"/>
            </w:pPr>
            <w:r>
              <w:t>1,525.00</w:t>
            </w:r>
          </w:p>
        </w:tc>
        <w:tc>
          <w:tcPr>
            <w:tcW w:w="1419" w:type="dxa"/>
          </w:tcPr>
          <w:p w:rsidR="007C5447" w:rsidRDefault="00F6308C">
            <w:pPr>
              <w:pStyle w:val="TableParagraph"/>
              <w:spacing w:before="37"/>
              <w:ind w:right="94"/>
            </w:pPr>
            <w:r>
              <w:t>1,673.86</w:t>
            </w:r>
          </w:p>
        </w:tc>
        <w:tc>
          <w:tcPr>
            <w:tcW w:w="1558" w:type="dxa"/>
          </w:tcPr>
          <w:p w:rsidR="007C5447" w:rsidRDefault="00F6308C">
            <w:pPr>
              <w:pStyle w:val="TableParagraph"/>
              <w:spacing w:before="37"/>
              <w:ind w:right="92"/>
            </w:pPr>
            <w:r>
              <w:t>1,673.86</w:t>
            </w:r>
          </w:p>
        </w:tc>
      </w:tr>
      <w:tr w:rsidR="007C5447">
        <w:trPr>
          <w:trHeight w:val="328"/>
        </w:trPr>
        <w:tc>
          <w:tcPr>
            <w:tcW w:w="852" w:type="dxa"/>
          </w:tcPr>
          <w:p w:rsidR="007C5447" w:rsidRDefault="00F6308C">
            <w:pPr>
              <w:pStyle w:val="TableParagraph"/>
              <w:spacing w:before="37"/>
              <w:ind w:left="107"/>
              <w:jc w:val="left"/>
            </w:pPr>
            <w:r>
              <w:t>9</w:t>
            </w:r>
          </w:p>
        </w:tc>
        <w:tc>
          <w:tcPr>
            <w:tcW w:w="3260" w:type="dxa"/>
          </w:tcPr>
          <w:p w:rsidR="007C5447" w:rsidRDefault="00F6308C">
            <w:pPr>
              <w:pStyle w:val="TableParagraph"/>
              <w:spacing w:before="37"/>
              <w:ind w:left="107"/>
              <w:jc w:val="left"/>
            </w:pPr>
            <w:r>
              <w:t>NTPC TNEB JV Vallur</w:t>
            </w:r>
          </w:p>
        </w:tc>
        <w:tc>
          <w:tcPr>
            <w:tcW w:w="1419" w:type="dxa"/>
          </w:tcPr>
          <w:p w:rsidR="007C5447" w:rsidRDefault="00F6308C">
            <w:pPr>
              <w:pStyle w:val="TableParagraph"/>
              <w:spacing w:before="37"/>
              <w:ind w:right="96"/>
            </w:pPr>
            <w:r>
              <w:t>7,192.84</w:t>
            </w:r>
          </w:p>
        </w:tc>
        <w:tc>
          <w:tcPr>
            <w:tcW w:w="1419" w:type="dxa"/>
          </w:tcPr>
          <w:p w:rsidR="007C5447" w:rsidRDefault="00F6308C">
            <w:pPr>
              <w:pStyle w:val="TableParagraph"/>
              <w:spacing w:before="37"/>
              <w:ind w:right="94"/>
            </w:pPr>
            <w:r>
              <w:t>7,866.70</w:t>
            </w:r>
          </w:p>
        </w:tc>
        <w:tc>
          <w:tcPr>
            <w:tcW w:w="1558" w:type="dxa"/>
          </w:tcPr>
          <w:p w:rsidR="007C5447" w:rsidRDefault="00F6308C">
            <w:pPr>
              <w:pStyle w:val="TableParagraph"/>
              <w:spacing w:before="37"/>
              <w:ind w:right="92"/>
            </w:pPr>
            <w:r>
              <w:t>7,866.70</w:t>
            </w:r>
          </w:p>
        </w:tc>
      </w:tr>
      <w:tr w:rsidR="007C5447">
        <w:trPr>
          <w:trHeight w:val="330"/>
        </w:trPr>
        <w:tc>
          <w:tcPr>
            <w:tcW w:w="852" w:type="dxa"/>
          </w:tcPr>
          <w:p w:rsidR="007C5447" w:rsidRDefault="00F6308C">
            <w:pPr>
              <w:pStyle w:val="TableParagraph"/>
              <w:spacing w:before="39"/>
              <w:ind w:left="107"/>
              <w:jc w:val="left"/>
            </w:pPr>
            <w:r>
              <w:t>10</w:t>
            </w:r>
          </w:p>
        </w:tc>
        <w:tc>
          <w:tcPr>
            <w:tcW w:w="3260" w:type="dxa"/>
          </w:tcPr>
          <w:p w:rsidR="007C5447" w:rsidRDefault="00F6308C">
            <w:pPr>
              <w:pStyle w:val="TableParagraph"/>
              <w:spacing w:before="39"/>
              <w:ind w:left="107"/>
              <w:jc w:val="left"/>
            </w:pPr>
            <w:r>
              <w:t>Talcher</w:t>
            </w:r>
          </w:p>
        </w:tc>
        <w:tc>
          <w:tcPr>
            <w:tcW w:w="1419" w:type="dxa"/>
          </w:tcPr>
          <w:p w:rsidR="007C5447" w:rsidRDefault="00F6308C">
            <w:pPr>
              <w:pStyle w:val="TableParagraph"/>
              <w:spacing w:before="39"/>
              <w:ind w:right="96"/>
            </w:pPr>
            <w:r>
              <w:t>3,810.00</w:t>
            </w:r>
          </w:p>
        </w:tc>
        <w:tc>
          <w:tcPr>
            <w:tcW w:w="1419" w:type="dxa"/>
          </w:tcPr>
          <w:p w:rsidR="007C5447" w:rsidRDefault="00F6308C">
            <w:pPr>
              <w:pStyle w:val="TableParagraph"/>
              <w:spacing w:before="39"/>
              <w:ind w:right="94"/>
            </w:pPr>
            <w:r>
              <w:t>3,925.37</w:t>
            </w:r>
          </w:p>
        </w:tc>
        <w:tc>
          <w:tcPr>
            <w:tcW w:w="1558" w:type="dxa"/>
          </w:tcPr>
          <w:p w:rsidR="007C5447" w:rsidRDefault="00F6308C">
            <w:pPr>
              <w:pStyle w:val="TableParagraph"/>
              <w:spacing w:before="39"/>
              <w:ind w:right="92"/>
            </w:pPr>
            <w:r>
              <w:t>3,925.37</w:t>
            </w:r>
          </w:p>
        </w:tc>
      </w:tr>
    </w:tbl>
    <w:p w:rsidR="007C5447" w:rsidRDefault="007C5447">
      <w:pPr>
        <w:sectPr w:rsidR="007C5447">
          <w:pgSz w:w="11910" w:h="16840"/>
          <w:pgMar w:top="1420" w:right="620" w:bottom="1240" w:left="900" w:header="0" w:footer="777" w:gutter="0"/>
          <w:cols w:space="720"/>
        </w:sectPr>
      </w:pPr>
    </w:p>
    <w:tbl>
      <w:tblPr>
        <w:tblW w:w="0" w:type="auto"/>
        <w:tblInd w:w="1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2"/>
        <w:gridCol w:w="3260"/>
        <w:gridCol w:w="1419"/>
        <w:gridCol w:w="1419"/>
        <w:gridCol w:w="1558"/>
      </w:tblGrid>
      <w:tr w:rsidR="007C5447">
        <w:trPr>
          <w:trHeight w:val="328"/>
        </w:trPr>
        <w:tc>
          <w:tcPr>
            <w:tcW w:w="852" w:type="dxa"/>
            <w:tcBorders>
              <w:bottom w:val="single" w:sz="6" w:space="0" w:color="000000"/>
            </w:tcBorders>
            <w:shd w:val="clear" w:color="auto" w:fill="F7C9AC"/>
          </w:tcPr>
          <w:p w:rsidR="007C5447" w:rsidRDefault="00F6308C">
            <w:pPr>
              <w:pStyle w:val="TableParagraph"/>
              <w:spacing w:before="37"/>
              <w:ind w:left="107"/>
              <w:jc w:val="left"/>
              <w:rPr>
                <w:b/>
              </w:rPr>
            </w:pPr>
            <w:r>
              <w:rPr>
                <w:b/>
              </w:rPr>
              <w:lastRenderedPageBreak/>
              <w:t>Sl.</w:t>
            </w:r>
          </w:p>
        </w:tc>
        <w:tc>
          <w:tcPr>
            <w:tcW w:w="3260" w:type="dxa"/>
            <w:tcBorders>
              <w:bottom w:val="single" w:sz="6" w:space="0" w:color="000000"/>
            </w:tcBorders>
            <w:shd w:val="clear" w:color="auto" w:fill="F7C9AC"/>
          </w:tcPr>
          <w:p w:rsidR="007C5447" w:rsidRDefault="00F6308C">
            <w:pPr>
              <w:pStyle w:val="TableParagraph"/>
              <w:spacing w:before="37"/>
              <w:ind w:left="107"/>
              <w:jc w:val="left"/>
              <w:rPr>
                <w:b/>
              </w:rPr>
            </w:pPr>
            <w:r>
              <w:rPr>
                <w:b/>
              </w:rPr>
              <w:t>Name of Station</w:t>
            </w:r>
          </w:p>
        </w:tc>
        <w:tc>
          <w:tcPr>
            <w:tcW w:w="1419" w:type="dxa"/>
            <w:tcBorders>
              <w:bottom w:val="single" w:sz="6" w:space="0" w:color="000000"/>
            </w:tcBorders>
            <w:shd w:val="clear" w:color="auto" w:fill="F7C9AC"/>
          </w:tcPr>
          <w:p w:rsidR="007C5447" w:rsidRDefault="00F6308C">
            <w:pPr>
              <w:pStyle w:val="TableParagraph"/>
              <w:spacing w:before="37"/>
              <w:ind w:right="96"/>
              <w:rPr>
                <w:b/>
              </w:rPr>
            </w:pPr>
            <w:r>
              <w:rPr>
                <w:b/>
              </w:rPr>
              <w:t>FY 2016-17</w:t>
            </w:r>
          </w:p>
        </w:tc>
        <w:tc>
          <w:tcPr>
            <w:tcW w:w="1419" w:type="dxa"/>
            <w:tcBorders>
              <w:bottom w:val="single" w:sz="6" w:space="0" w:color="000000"/>
            </w:tcBorders>
            <w:shd w:val="clear" w:color="auto" w:fill="F7C9AC"/>
          </w:tcPr>
          <w:p w:rsidR="007C5447" w:rsidRDefault="00F6308C">
            <w:pPr>
              <w:pStyle w:val="TableParagraph"/>
              <w:spacing w:before="37"/>
              <w:ind w:right="94"/>
              <w:rPr>
                <w:b/>
              </w:rPr>
            </w:pPr>
            <w:r>
              <w:rPr>
                <w:b/>
              </w:rPr>
              <w:t>FY 2017-18</w:t>
            </w:r>
          </w:p>
        </w:tc>
        <w:tc>
          <w:tcPr>
            <w:tcW w:w="1558" w:type="dxa"/>
            <w:tcBorders>
              <w:bottom w:val="single" w:sz="6" w:space="0" w:color="000000"/>
            </w:tcBorders>
            <w:shd w:val="clear" w:color="auto" w:fill="F7C9AC"/>
          </w:tcPr>
          <w:p w:rsidR="007C5447" w:rsidRDefault="00F6308C">
            <w:pPr>
              <w:pStyle w:val="TableParagraph"/>
              <w:spacing w:before="37"/>
              <w:ind w:right="92"/>
              <w:rPr>
                <w:b/>
              </w:rPr>
            </w:pPr>
            <w:r>
              <w:rPr>
                <w:b/>
              </w:rPr>
              <w:t>FY 2018-19</w:t>
            </w:r>
          </w:p>
        </w:tc>
      </w:tr>
      <w:tr w:rsidR="007C5447">
        <w:trPr>
          <w:trHeight w:val="326"/>
        </w:trPr>
        <w:tc>
          <w:tcPr>
            <w:tcW w:w="852" w:type="dxa"/>
            <w:tcBorders>
              <w:top w:val="single" w:sz="6" w:space="0" w:color="000000"/>
            </w:tcBorders>
          </w:tcPr>
          <w:p w:rsidR="007C5447" w:rsidRDefault="00F6308C">
            <w:pPr>
              <w:pStyle w:val="TableParagraph"/>
              <w:spacing w:before="34"/>
              <w:ind w:left="107"/>
              <w:jc w:val="left"/>
            </w:pPr>
            <w:r>
              <w:t>11</w:t>
            </w:r>
          </w:p>
        </w:tc>
        <w:tc>
          <w:tcPr>
            <w:tcW w:w="3260" w:type="dxa"/>
            <w:tcBorders>
              <w:top w:val="single" w:sz="6" w:space="0" w:color="000000"/>
            </w:tcBorders>
          </w:tcPr>
          <w:p w:rsidR="007C5447" w:rsidRDefault="00F6308C">
            <w:pPr>
              <w:pStyle w:val="TableParagraph"/>
              <w:spacing w:before="34"/>
              <w:ind w:left="107"/>
              <w:jc w:val="left"/>
            </w:pPr>
            <w:r>
              <w:t>NTPC ER</w:t>
            </w:r>
          </w:p>
        </w:tc>
        <w:tc>
          <w:tcPr>
            <w:tcW w:w="1419" w:type="dxa"/>
            <w:tcBorders>
              <w:top w:val="single" w:sz="6" w:space="0" w:color="000000"/>
            </w:tcBorders>
          </w:tcPr>
          <w:p w:rsidR="007C5447" w:rsidRDefault="00F6308C">
            <w:pPr>
              <w:pStyle w:val="TableParagraph"/>
              <w:spacing w:before="34"/>
              <w:ind w:right="100"/>
            </w:pPr>
            <w:r>
              <w:t>325</w:t>
            </w:r>
          </w:p>
        </w:tc>
        <w:tc>
          <w:tcPr>
            <w:tcW w:w="1419" w:type="dxa"/>
            <w:tcBorders>
              <w:top w:val="single" w:sz="6" w:space="0" w:color="000000"/>
            </w:tcBorders>
          </w:tcPr>
          <w:p w:rsidR="007C5447" w:rsidRDefault="00F6308C">
            <w:pPr>
              <w:pStyle w:val="TableParagraph"/>
              <w:spacing w:before="34"/>
              <w:ind w:right="97"/>
            </w:pPr>
            <w:r>
              <w:t>325</w:t>
            </w:r>
          </w:p>
        </w:tc>
        <w:tc>
          <w:tcPr>
            <w:tcW w:w="1558" w:type="dxa"/>
            <w:tcBorders>
              <w:top w:val="single" w:sz="6" w:space="0" w:color="000000"/>
            </w:tcBorders>
          </w:tcPr>
          <w:p w:rsidR="007C5447" w:rsidRDefault="00F6308C">
            <w:pPr>
              <w:pStyle w:val="TableParagraph"/>
              <w:spacing w:before="34"/>
              <w:ind w:right="94"/>
            </w:pPr>
            <w:r>
              <w:t>325</w:t>
            </w:r>
          </w:p>
        </w:tc>
      </w:tr>
      <w:tr w:rsidR="007C5447">
        <w:trPr>
          <w:trHeight w:val="330"/>
        </w:trPr>
        <w:tc>
          <w:tcPr>
            <w:tcW w:w="852" w:type="dxa"/>
          </w:tcPr>
          <w:p w:rsidR="007C5447" w:rsidRDefault="007C5447">
            <w:pPr>
              <w:pStyle w:val="TableParagraph"/>
              <w:jc w:val="left"/>
            </w:pPr>
          </w:p>
        </w:tc>
        <w:tc>
          <w:tcPr>
            <w:tcW w:w="3260" w:type="dxa"/>
          </w:tcPr>
          <w:p w:rsidR="007C5447" w:rsidRDefault="00F6308C">
            <w:pPr>
              <w:pStyle w:val="TableParagraph"/>
              <w:spacing w:before="39"/>
              <w:ind w:left="107"/>
              <w:jc w:val="left"/>
              <w:rPr>
                <w:b/>
              </w:rPr>
            </w:pPr>
            <w:r>
              <w:rPr>
                <w:b/>
              </w:rPr>
              <w:t>Total NTPC</w:t>
            </w:r>
          </w:p>
        </w:tc>
        <w:tc>
          <w:tcPr>
            <w:tcW w:w="1419" w:type="dxa"/>
          </w:tcPr>
          <w:p w:rsidR="007C5447" w:rsidRDefault="00F6308C">
            <w:pPr>
              <w:pStyle w:val="TableParagraph"/>
              <w:spacing w:before="39"/>
              <w:ind w:right="96"/>
              <w:rPr>
                <w:b/>
              </w:rPr>
            </w:pPr>
            <w:r>
              <w:rPr>
                <w:b/>
              </w:rPr>
              <w:t>17,997.84</w:t>
            </w:r>
          </w:p>
        </w:tc>
        <w:tc>
          <w:tcPr>
            <w:tcW w:w="1419" w:type="dxa"/>
          </w:tcPr>
          <w:p w:rsidR="007C5447" w:rsidRDefault="00F6308C">
            <w:pPr>
              <w:pStyle w:val="TableParagraph"/>
              <w:spacing w:before="39"/>
              <w:ind w:right="94"/>
              <w:rPr>
                <w:b/>
              </w:rPr>
            </w:pPr>
            <w:r>
              <w:rPr>
                <w:b/>
              </w:rPr>
              <w:t>18,808.04</w:t>
            </w:r>
          </w:p>
        </w:tc>
        <w:tc>
          <w:tcPr>
            <w:tcW w:w="1558" w:type="dxa"/>
          </w:tcPr>
          <w:p w:rsidR="007C5447" w:rsidRDefault="00F6308C">
            <w:pPr>
              <w:pStyle w:val="TableParagraph"/>
              <w:spacing w:before="39"/>
              <w:ind w:right="92"/>
              <w:rPr>
                <w:b/>
              </w:rPr>
            </w:pPr>
            <w:r>
              <w:rPr>
                <w:b/>
              </w:rPr>
              <w:t>18,808.04</w:t>
            </w:r>
          </w:p>
        </w:tc>
      </w:tr>
      <w:tr w:rsidR="007C5447">
        <w:trPr>
          <w:trHeight w:val="330"/>
        </w:trPr>
        <w:tc>
          <w:tcPr>
            <w:tcW w:w="852" w:type="dxa"/>
          </w:tcPr>
          <w:p w:rsidR="007C5447" w:rsidRDefault="007C5447">
            <w:pPr>
              <w:pStyle w:val="TableParagraph"/>
              <w:jc w:val="left"/>
            </w:pPr>
          </w:p>
        </w:tc>
        <w:tc>
          <w:tcPr>
            <w:tcW w:w="3260" w:type="dxa"/>
          </w:tcPr>
          <w:p w:rsidR="007C5447" w:rsidRDefault="00F6308C">
            <w:pPr>
              <w:pStyle w:val="TableParagraph"/>
              <w:spacing w:before="37"/>
              <w:ind w:left="107"/>
              <w:jc w:val="left"/>
              <w:rPr>
                <w:b/>
              </w:rPr>
            </w:pPr>
            <w:r>
              <w:rPr>
                <w:b/>
              </w:rPr>
              <w:t>Nuclear Stations</w:t>
            </w:r>
          </w:p>
        </w:tc>
        <w:tc>
          <w:tcPr>
            <w:tcW w:w="1419" w:type="dxa"/>
          </w:tcPr>
          <w:p w:rsidR="007C5447" w:rsidRDefault="007C5447">
            <w:pPr>
              <w:pStyle w:val="TableParagraph"/>
              <w:jc w:val="left"/>
            </w:pPr>
          </w:p>
        </w:tc>
        <w:tc>
          <w:tcPr>
            <w:tcW w:w="1419" w:type="dxa"/>
          </w:tcPr>
          <w:p w:rsidR="007C5447" w:rsidRDefault="007C5447">
            <w:pPr>
              <w:pStyle w:val="TableParagraph"/>
              <w:jc w:val="left"/>
            </w:pPr>
          </w:p>
        </w:tc>
        <w:tc>
          <w:tcPr>
            <w:tcW w:w="1558" w:type="dxa"/>
          </w:tcPr>
          <w:p w:rsidR="007C5447" w:rsidRDefault="007C5447">
            <w:pPr>
              <w:pStyle w:val="TableParagraph"/>
              <w:jc w:val="left"/>
            </w:pPr>
          </w:p>
        </w:tc>
      </w:tr>
      <w:tr w:rsidR="007C5447">
        <w:trPr>
          <w:trHeight w:val="328"/>
        </w:trPr>
        <w:tc>
          <w:tcPr>
            <w:tcW w:w="852" w:type="dxa"/>
          </w:tcPr>
          <w:p w:rsidR="007C5447" w:rsidRDefault="00F6308C">
            <w:pPr>
              <w:pStyle w:val="TableParagraph"/>
              <w:spacing w:before="37"/>
              <w:ind w:left="107"/>
              <w:jc w:val="left"/>
            </w:pPr>
            <w:r>
              <w:t>12</w:t>
            </w:r>
          </w:p>
        </w:tc>
        <w:tc>
          <w:tcPr>
            <w:tcW w:w="3260" w:type="dxa"/>
          </w:tcPr>
          <w:p w:rsidR="007C5447" w:rsidRDefault="00F6308C">
            <w:pPr>
              <w:pStyle w:val="TableParagraph"/>
              <w:spacing w:before="37"/>
              <w:ind w:left="107"/>
              <w:jc w:val="left"/>
            </w:pPr>
            <w:r>
              <w:t>Madras APS</w:t>
            </w:r>
          </w:p>
        </w:tc>
        <w:tc>
          <w:tcPr>
            <w:tcW w:w="1419" w:type="dxa"/>
          </w:tcPr>
          <w:p w:rsidR="007C5447" w:rsidRDefault="00F6308C">
            <w:pPr>
              <w:pStyle w:val="TableParagraph"/>
              <w:spacing w:before="37"/>
              <w:ind w:right="96"/>
            </w:pPr>
            <w:r>
              <w:t>2,371.00</w:t>
            </w:r>
          </w:p>
        </w:tc>
        <w:tc>
          <w:tcPr>
            <w:tcW w:w="1419" w:type="dxa"/>
          </w:tcPr>
          <w:p w:rsidR="007C5447" w:rsidRDefault="00F6308C">
            <w:pPr>
              <w:pStyle w:val="TableParagraph"/>
              <w:spacing w:before="37"/>
              <w:ind w:right="94"/>
            </w:pPr>
            <w:r>
              <w:t>2,471.64</w:t>
            </w:r>
          </w:p>
        </w:tc>
        <w:tc>
          <w:tcPr>
            <w:tcW w:w="1558" w:type="dxa"/>
          </w:tcPr>
          <w:p w:rsidR="007C5447" w:rsidRDefault="00F6308C">
            <w:pPr>
              <w:pStyle w:val="TableParagraph"/>
              <w:spacing w:before="37"/>
              <w:ind w:right="92"/>
            </w:pPr>
            <w:r>
              <w:t>2,479.52</w:t>
            </w:r>
          </w:p>
        </w:tc>
      </w:tr>
      <w:tr w:rsidR="007C5447">
        <w:trPr>
          <w:trHeight w:val="330"/>
        </w:trPr>
        <w:tc>
          <w:tcPr>
            <w:tcW w:w="852" w:type="dxa"/>
          </w:tcPr>
          <w:p w:rsidR="007C5447" w:rsidRDefault="00F6308C">
            <w:pPr>
              <w:pStyle w:val="TableParagraph"/>
              <w:spacing w:before="39"/>
              <w:ind w:left="107"/>
              <w:jc w:val="left"/>
            </w:pPr>
            <w:r>
              <w:t>13</w:t>
            </w:r>
          </w:p>
        </w:tc>
        <w:tc>
          <w:tcPr>
            <w:tcW w:w="3260" w:type="dxa"/>
          </w:tcPr>
          <w:p w:rsidR="007C5447" w:rsidRDefault="00F6308C">
            <w:pPr>
              <w:pStyle w:val="TableParagraph"/>
              <w:spacing w:before="39"/>
              <w:ind w:left="107"/>
              <w:jc w:val="left"/>
            </w:pPr>
            <w:r>
              <w:t>Kaiga APS</w:t>
            </w:r>
          </w:p>
        </w:tc>
        <w:tc>
          <w:tcPr>
            <w:tcW w:w="1419" w:type="dxa"/>
          </w:tcPr>
          <w:p w:rsidR="007C5447" w:rsidRDefault="00F6308C">
            <w:pPr>
              <w:pStyle w:val="TableParagraph"/>
              <w:spacing w:before="39"/>
              <w:ind w:right="96"/>
            </w:pPr>
            <w:r>
              <w:t>1,825.00</w:t>
            </w:r>
          </w:p>
        </w:tc>
        <w:tc>
          <w:tcPr>
            <w:tcW w:w="1419" w:type="dxa"/>
          </w:tcPr>
          <w:p w:rsidR="007C5447" w:rsidRDefault="00F6308C">
            <w:pPr>
              <w:pStyle w:val="TableParagraph"/>
              <w:spacing w:before="39"/>
              <w:ind w:right="94"/>
            </w:pPr>
            <w:r>
              <w:t>1,653.89</w:t>
            </w:r>
          </w:p>
        </w:tc>
        <w:tc>
          <w:tcPr>
            <w:tcW w:w="1558" w:type="dxa"/>
          </w:tcPr>
          <w:p w:rsidR="007C5447" w:rsidRDefault="00F6308C">
            <w:pPr>
              <w:pStyle w:val="TableParagraph"/>
              <w:spacing w:before="39"/>
              <w:ind w:right="92"/>
            </w:pPr>
            <w:r>
              <w:t>1,653.89</w:t>
            </w:r>
          </w:p>
        </w:tc>
      </w:tr>
      <w:tr w:rsidR="007C5447">
        <w:trPr>
          <w:trHeight w:val="330"/>
        </w:trPr>
        <w:tc>
          <w:tcPr>
            <w:tcW w:w="852" w:type="dxa"/>
          </w:tcPr>
          <w:p w:rsidR="007C5447" w:rsidRDefault="00F6308C">
            <w:pPr>
              <w:pStyle w:val="TableParagraph"/>
              <w:spacing w:before="37"/>
              <w:ind w:left="107"/>
              <w:jc w:val="left"/>
            </w:pPr>
            <w:r>
              <w:t>14</w:t>
            </w:r>
          </w:p>
        </w:tc>
        <w:tc>
          <w:tcPr>
            <w:tcW w:w="3260" w:type="dxa"/>
          </w:tcPr>
          <w:p w:rsidR="007C5447" w:rsidRDefault="00F6308C">
            <w:pPr>
              <w:pStyle w:val="TableParagraph"/>
              <w:spacing w:before="37"/>
              <w:ind w:left="107"/>
              <w:jc w:val="left"/>
            </w:pPr>
            <w:r>
              <w:t>Kudankulam Unit I</w:t>
            </w:r>
          </w:p>
        </w:tc>
        <w:tc>
          <w:tcPr>
            <w:tcW w:w="1419" w:type="dxa"/>
          </w:tcPr>
          <w:p w:rsidR="007C5447" w:rsidRDefault="00F6308C">
            <w:pPr>
              <w:pStyle w:val="TableParagraph"/>
              <w:spacing w:before="37"/>
              <w:ind w:right="96"/>
            </w:pPr>
            <w:r>
              <w:t>3,776.54</w:t>
            </w:r>
          </w:p>
        </w:tc>
        <w:tc>
          <w:tcPr>
            <w:tcW w:w="1419" w:type="dxa"/>
          </w:tcPr>
          <w:p w:rsidR="007C5447" w:rsidRDefault="00F6308C">
            <w:pPr>
              <w:pStyle w:val="TableParagraph"/>
              <w:spacing w:before="37"/>
              <w:ind w:right="94"/>
            </w:pPr>
            <w:r>
              <w:t>3,776.54</w:t>
            </w:r>
          </w:p>
        </w:tc>
        <w:tc>
          <w:tcPr>
            <w:tcW w:w="1558" w:type="dxa"/>
          </w:tcPr>
          <w:p w:rsidR="007C5447" w:rsidRDefault="00F6308C">
            <w:pPr>
              <w:pStyle w:val="TableParagraph"/>
              <w:spacing w:before="37"/>
              <w:ind w:right="92"/>
            </w:pPr>
            <w:r>
              <w:t>3,776.54</w:t>
            </w:r>
          </w:p>
        </w:tc>
      </w:tr>
      <w:tr w:rsidR="007C5447">
        <w:trPr>
          <w:trHeight w:val="328"/>
        </w:trPr>
        <w:tc>
          <w:tcPr>
            <w:tcW w:w="852" w:type="dxa"/>
          </w:tcPr>
          <w:p w:rsidR="007C5447" w:rsidRDefault="00F6308C">
            <w:pPr>
              <w:pStyle w:val="TableParagraph"/>
              <w:spacing w:before="37"/>
              <w:ind w:left="107"/>
              <w:jc w:val="left"/>
            </w:pPr>
            <w:r>
              <w:t>15</w:t>
            </w:r>
          </w:p>
        </w:tc>
        <w:tc>
          <w:tcPr>
            <w:tcW w:w="3260" w:type="dxa"/>
          </w:tcPr>
          <w:p w:rsidR="007C5447" w:rsidRDefault="00F6308C">
            <w:pPr>
              <w:pStyle w:val="TableParagraph"/>
              <w:spacing w:before="37"/>
              <w:ind w:left="107"/>
              <w:jc w:val="left"/>
            </w:pPr>
            <w:r>
              <w:t>Kudankulam Unit II</w:t>
            </w:r>
          </w:p>
        </w:tc>
        <w:tc>
          <w:tcPr>
            <w:tcW w:w="1419" w:type="dxa"/>
          </w:tcPr>
          <w:p w:rsidR="007C5447" w:rsidRDefault="00F6308C">
            <w:pPr>
              <w:pStyle w:val="TableParagraph"/>
              <w:spacing w:before="37"/>
              <w:ind w:right="96"/>
            </w:pPr>
            <w:r>
              <w:t>944.14</w:t>
            </w:r>
          </w:p>
        </w:tc>
        <w:tc>
          <w:tcPr>
            <w:tcW w:w="1419" w:type="dxa"/>
          </w:tcPr>
          <w:p w:rsidR="007C5447" w:rsidRDefault="00F6308C">
            <w:pPr>
              <w:pStyle w:val="TableParagraph"/>
              <w:spacing w:before="37"/>
              <w:ind w:right="94"/>
            </w:pPr>
            <w:r>
              <w:t>3,776.54</w:t>
            </w:r>
          </w:p>
        </w:tc>
        <w:tc>
          <w:tcPr>
            <w:tcW w:w="1558" w:type="dxa"/>
          </w:tcPr>
          <w:p w:rsidR="007C5447" w:rsidRDefault="00F6308C">
            <w:pPr>
              <w:pStyle w:val="TableParagraph"/>
              <w:spacing w:before="37"/>
              <w:ind w:right="92"/>
            </w:pPr>
            <w:r>
              <w:t>3,776.54</w:t>
            </w:r>
          </w:p>
        </w:tc>
      </w:tr>
      <w:tr w:rsidR="007C5447">
        <w:trPr>
          <w:trHeight w:val="330"/>
        </w:trPr>
        <w:tc>
          <w:tcPr>
            <w:tcW w:w="852" w:type="dxa"/>
          </w:tcPr>
          <w:p w:rsidR="007C5447" w:rsidRDefault="00F6308C">
            <w:pPr>
              <w:pStyle w:val="TableParagraph"/>
              <w:spacing w:before="39"/>
              <w:ind w:left="107"/>
              <w:jc w:val="left"/>
            </w:pPr>
            <w:r>
              <w:t>16</w:t>
            </w:r>
          </w:p>
        </w:tc>
        <w:tc>
          <w:tcPr>
            <w:tcW w:w="3260" w:type="dxa"/>
          </w:tcPr>
          <w:p w:rsidR="007C5447" w:rsidRDefault="00F6308C">
            <w:pPr>
              <w:pStyle w:val="TableParagraph"/>
              <w:spacing w:before="39"/>
              <w:ind w:left="107"/>
              <w:jc w:val="left"/>
            </w:pPr>
            <w:r>
              <w:t>PFBR Kalpakkam</w:t>
            </w:r>
          </w:p>
        </w:tc>
        <w:tc>
          <w:tcPr>
            <w:tcW w:w="1419" w:type="dxa"/>
          </w:tcPr>
          <w:p w:rsidR="007C5447" w:rsidRDefault="007C5447">
            <w:pPr>
              <w:pStyle w:val="TableParagraph"/>
              <w:jc w:val="left"/>
            </w:pPr>
          </w:p>
        </w:tc>
        <w:tc>
          <w:tcPr>
            <w:tcW w:w="1419" w:type="dxa"/>
          </w:tcPr>
          <w:p w:rsidR="007C5447" w:rsidRDefault="00F6308C">
            <w:pPr>
              <w:pStyle w:val="TableParagraph"/>
              <w:spacing w:before="39"/>
              <w:ind w:right="97"/>
            </w:pPr>
            <w:r>
              <w:t>458</w:t>
            </w:r>
          </w:p>
        </w:tc>
        <w:tc>
          <w:tcPr>
            <w:tcW w:w="1558" w:type="dxa"/>
          </w:tcPr>
          <w:p w:rsidR="007C5447" w:rsidRDefault="00F6308C">
            <w:pPr>
              <w:pStyle w:val="TableParagraph"/>
              <w:spacing w:before="39"/>
              <w:ind w:right="92"/>
            </w:pPr>
            <w:r>
              <w:t>1,170.34</w:t>
            </w:r>
          </w:p>
        </w:tc>
      </w:tr>
      <w:tr w:rsidR="007C5447">
        <w:trPr>
          <w:trHeight w:val="330"/>
        </w:trPr>
        <w:tc>
          <w:tcPr>
            <w:tcW w:w="852" w:type="dxa"/>
          </w:tcPr>
          <w:p w:rsidR="007C5447" w:rsidRDefault="007C5447">
            <w:pPr>
              <w:pStyle w:val="TableParagraph"/>
              <w:jc w:val="left"/>
            </w:pPr>
          </w:p>
        </w:tc>
        <w:tc>
          <w:tcPr>
            <w:tcW w:w="3260" w:type="dxa"/>
          </w:tcPr>
          <w:p w:rsidR="007C5447" w:rsidRDefault="00F6308C">
            <w:pPr>
              <w:pStyle w:val="TableParagraph"/>
              <w:spacing w:before="37"/>
              <w:ind w:left="107"/>
              <w:jc w:val="left"/>
              <w:rPr>
                <w:b/>
              </w:rPr>
            </w:pPr>
            <w:r>
              <w:rPr>
                <w:b/>
              </w:rPr>
              <w:t>Total Nuclear Stations</w:t>
            </w:r>
          </w:p>
        </w:tc>
        <w:tc>
          <w:tcPr>
            <w:tcW w:w="1419" w:type="dxa"/>
          </w:tcPr>
          <w:p w:rsidR="007C5447" w:rsidRDefault="00F6308C">
            <w:pPr>
              <w:pStyle w:val="TableParagraph"/>
              <w:spacing w:before="37"/>
              <w:ind w:right="96"/>
              <w:rPr>
                <w:b/>
              </w:rPr>
            </w:pPr>
            <w:r>
              <w:rPr>
                <w:b/>
              </w:rPr>
              <w:t>8,916.68</w:t>
            </w:r>
          </w:p>
        </w:tc>
        <w:tc>
          <w:tcPr>
            <w:tcW w:w="1419" w:type="dxa"/>
          </w:tcPr>
          <w:p w:rsidR="007C5447" w:rsidRDefault="00F6308C">
            <w:pPr>
              <w:pStyle w:val="TableParagraph"/>
              <w:spacing w:before="37"/>
              <w:ind w:right="94"/>
              <w:rPr>
                <w:b/>
              </w:rPr>
            </w:pPr>
            <w:r>
              <w:rPr>
                <w:b/>
              </w:rPr>
              <w:t>12,136.62</w:t>
            </w:r>
          </w:p>
        </w:tc>
        <w:tc>
          <w:tcPr>
            <w:tcW w:w="1558" w:type="dxa"/>
          </w:tcPr>
          <w:p w:rsidR="007C5447" w:rsidRDefault="00F6308C">
            <w:pPr>
              <w:pStyle w:val="TableParagraph"/>
              <w:spacing w:before="37"/>
              <w:ind w:right="92"/>
              <w:rPr>
                <w:b/>
              </w:rPr>
            </w:pPr>
            <w:r>
              <w:rPr>
                <w:b/>
              </w:rPr>
              <w:t>12,856.83</w:t>
            </w:r>
          </w:p>
        </w:tc>
      </w:tr>
      <w:tr w:rsidR="007C5447">
        <w:trPr>
          <w:trHeight w:val="328"/>
        </w:trPr>
        <w:tc>
          <w:tcPr>
            <w:tcW w:w="852" w:type="dxa"/>
          </w:tcPr>
          <w:p w:rsidR="007C5447" w:rsidRDefault="007C5447">
            <w:pPr>
              <w:pStyle w:val="TableParagraph"/>
              <w:jc w:val="left"/>
            </w:pPr>
          </w:p>
        </w:tc>
        <w:tc>
          <w:tcPr>
            <w:tcW w:w="3260" w:type="dxa"/>
          </w:tcPr>
          <w:p w:rsidR="007C5447" w:rsidRDefault="00F6308C">
            <w:pPr>
              <w:pStyle w:val="TableParagraph"/>
              <w:spacing w:before="37"/>
              <w:ind w:left="107"/>
              <w:jc w:val="left"/>
              <w:rPr>
                <w:b/>
              </w:rPr>
            </w:pPr>
            <w:r>
              <w:rPr>
                <w:b/>
              </w:rPr>
              <w:t>IPPs</w:t>
            </w:r>
          </w:p>
        </w:tc>
        <w:tc>
          <w:tcPr>
            <w:tcW w:w="1419" w:type="dxa"/>
          </w:tcPr>
          <w:p w:rsidR="007C5447" w:rsidRDefault="007C5447">
            <w:pPr>
              <w:pStyle w:val="TableParagraph"/>
              <w:jc w:val="left"/>
            </w:pPr>
          </w:p>
        </w:tc>
        <w:tc>
          <w:tcPr>
            <w:tcW w:w="1419" w:type="dxa"/>
          </w:tcPr>
          <w:p w:rsidR="007C5447" w:rsidRDefault="007C5447">
            <w:pPr>
              <w:pStyle w:val="TableParagraph"/>
              <w:jc w:val="left"/>
            </w:pPr>
          </w:p>
        </w:tc>
        <w:tc>
          <w:tcPr>
            <w:tcW w:w="1558" w:type="dxa"/>
          </w:tcPr>
          <w:p w:rsidR="007C5447" w:rsidRDefault="007C5447">
            <w:pPr>
              <w:pStyle w:val="TableParagraph"/>
              <w:jc w:val="left"/>
            </w:pPr>
          </w:p>
        </w:tc>
      </w:tr>
      <w:tr w:rsidR="007C5447">
        <w:trPr>
          <w:trHeight w:val="331"/>
        </w:trPr>
        <w:tc>
          <w:tcPr>
            <w:tcW w:w="852" w:type="dxa"/>
          </w:tcPr>
          <w:p w:rsidR="007C5447" w:rsidRDefault="00F6308C">
            <w:pPr>
              <w:pStyle w:val="TableParagraph"/>
              <w:spacing w:before="40"/>
              <w:ind w:left="107"/>
              <w:jc w:val="left"/>
            </w:pPr>
            <w:r>
              <w:t>17</w:t>
            </w:r>
          </w:p>
        </w:tc>
        <w:tc>
          <w:tcPr>
            <w:tcW w:w="3260" w:type="dxa"/>
          </w:tcPr>
          <w:p w:rsidR="007C5447" w:rsidRDefault="00F6308C">
            <w:pPr>
              <w:pStyle w:val="TableParagraph"/>
              <w:spacing w:before="40"/>
              <w:ind w:left="107"/>
              <w:jc w:val="left"/>
            </w:pPr>
            <w:r>
              <w:t>Pillaiperumalnallur</w:t>
            </w:r>
          </w:p>
        </w:tc>
        <w:tc>
          <w:tcPr>
            <w:tcW w:w="1419" w:type="dxa"/>
          </w:tcPr>
          <w:p w:rsidR="007C5447" w:rsidRDefault="00F6308C">
            <w:pPr>
              <w:pStyle w:val="TableParagraph"/>
              <w:spacing w:before="40"/>
              <w:ind w:right="96"/>
            </w:pPr>
            <w:r>
              <w:t>159.18</w:t>
            </w:r>
          </w:p>
        </w:tc>
        <w:tc>
          <w:tcPr>
            <w:tcW w:w="1419" w:type="dxa"/>
          </w:tcPr>
          <w:p w:rsidR="007C5447" w:rsidRDefault="00F6308C">
            <w:pPr>
              <w:pStyle w:val="TableParagraph"/>
              <w:spacing w:before="40"/>
              <w:ind w:right="94"/>
            </w:pPr>
            <w:r>
              <w:t>159.18</w:t>
            </w:r>
          </w:p>
        </w:tc>
        <w:tc>
          <w:tcPr>
            <w:tcW w:w="1558" w:type="dxa"/>
          </w:tcPr>
          <w:p w:rsidR="007C5447" w:rsidRDefault="00F6308C">
            <w:pPr>
              <w:pStyle w:val="TableParagraph"/>
              <w:spacing w:before="40"/>
              <w:ind w:right="92"/>
            </w:pPr>
            <w:r>
              <w:t>159.18</w:t>
            </w:r>
          </w:p>
        </w:tc>
      </w:tr>
      <w:tr w:rsidR="007C5447">
        <w:trPr>
          <w:trHeight w:val="330"/>
        </w:trPr>
        <w:tc>
          <w:tcPr>
            <w:tcW w:w="852" w:type="dxa"/>
          </w:tcPr>
          <w:p w:rsidR="007C5447" w:rsidRDefault="00F6308C">
            <w:pPr>
              <w:pStyle w:val="TableParagraph"/>
              <w:spacing w:before="37"/>
              <w:ind w:left="107"/>
              <w:jc w:val="left"/>
            </w:pPr>
            <w:r>
              <w:t>18</w:t>
            </w:r>
          </w:p>
        </w:tc>
        <w:tc>
          <w:tcPr>
            <w:tcW w:w="3260" w:type="dxa"/>
          </w:tcPr>
          <w:p w:rsidR="007C5447" w:rsidRDefault="00F6308C">
            <w:pPr>
              <w:pStyle w:val="TableParagraph"/>
              <w:spacing w:before="37"/>
              <w:ind w:left="107"/>
              <w:jc w:val="left"/>
            </w:pPr>
            <w:r>
              <w:t>TAQA (STCMS)</w:t>
            </w:r>
          </w:p>
        </w:tc>
        <w:tc>
          <w:tcPr>
            <w:tcW w:w="1419" w:type="dxa"/>
          </w:tcPr>
          <w:p w:rsidR="007C5447" w:rsidRDefault="00F6308C">
            <w:pPr>
              <w:pStyle w:val="TableParagraph"/>
              <w:spacing w:before="37"/>
              <w:ind w:right="96"/>
            </w:pPr>
            <w:r>
              <w:t>1,104.94</w:t>
            </w:r>
          </w:p>
        </w:tc>
        <w:tc>
          <w:tcPr>
            <w:tcW w:w="1419" w:type="dxa"/>
          </w:tcPr>
          <w:p w:rsidR="007C5447" w:rsidRDefault="00F6308C">
            <w:pPr>
              <w:pStyle w:val="TableParagraph"/>
              <w:spacing w:before="37"/>
              <w:ind w:right="94"/>
            </w:pPr>
            <w:r>
              <w:t>1,104.94</w:t>
            </w:r>
          </w:p>
        </w:tc>
        <w:tc>
          <w:tcPr>
            <w:tcW w:w="1558" w:type="dxa"/>
          </w:tcPr>
          <w:p w:rsidR="007C5447" w:rsidRDefault="00F6308C">
            <w:pPr>
              <w:pStyle w:val="TableParagraph"/>
              <w:spacing w:before="37"/>
              <w:ind w:right="92"/>
            </w:pPr>
            <w:r>
              <w:t>1,104.94</w:t>
            </w:r>
          </w:p>
        </w:tc>
      </w:tr>
      <w:tr w:rsidR="007C5447">
        <w:trPr>
          <w:trHeight w:val="328"/>
        </w:trPr>
        <w:tc>
          <w:tcPr>
            <w:tcW w:w="852" w:type="dxa"/>
          </w:tcPr>
          <w:p w:rsidR="007C5447" w:rsidRDefault="00F6308C">
            <w:pPr>
              <w:pStyle w:val="TableParagraph"/>
              <w:spacing w:before="37"/>
              <w:ind w:left="107"/>
              <w:jc w:val="left"/>
            </w:pPr>
            <w:r>
              <w:t>19</w:t>
            </w:r>
          </w:p>
        </w:tc>
        <w:tc>
          <w:tcPr>
            <w:tcW w:w="3260" w:type="dxa"/>
          </w:tcPr>
          <w:p w:rsidR="007C5447" w:rsidRDefault="00F6308C">
            <w:pPr>
              <w:pStyle w:val="TableParagraph"/>
              <w:spacing w:before="37"/>
              <w:ind w:left="107"/>
              <w:jc w:val="left"/>
            </w:pPr>
            <w:r>
              <w:t>LANCO Power (Aban co)</w:t>
            </w:r>
          </w:p>
        </w:tc>
        <w:tc>
          <w:tcPr>
            <w:tcW w:w="1419" w:type="dxa"/>
          </w:tcPr>
          <w:p w:rsidR="007C5447" w:rsidRDefault="00F6308C">
            <w:pPr>
              <w:pStyle w:val="TableParagraph"/>
              <w:spacing w:before="37"/>
              <w:ind w:right="96"/>
            </w:pPr>
            <w:r>
              <w:t>793.31</w:t>
            </w:r>
          </w:p>
        </w:tc>
        <w:tc>
          <w:tcPr>
            <w:tcW w:w="1419" w:type="dxa"/>
          </w:tcPr>
          <w:p w:rsidR="007C5447" w:rsidRDefault="00F6308C">
            <w:pPr>
              <w:pStyle w:val="TableParagraph"/>
              <w:spacing w:before="37"/>
              <w:ind w:right="94"/>
            </w:pPr>
            <w:r>
              <w:t>793.4</w:t>
            </w:r>
          </w:p>
        </w:tc>
        <w:tc>
          <w:tcPr>
            <w:tcW w:w="1558" w:type="dxa"/>
          </w:tcPr>
          <w:p w:rsidR="007C5447" w:rsidRDefault="00F6308C">
            <w:pPr>
              <w:pStyle w:val="TableParagraph"/>
              <w:spacing w:before="37"/>
              <w:ind w:right="92"/>
            </w:pPr>
            <w:r>
              <w:t>793.31</w:t>
            </w:r>
          </w:p>
        </w:tc>
      </w:tr>
      <w:tr w:rsidR="007C5447">
        <w:trPr>
          <w:trHeight w:val="330"/>
        </w:trPr>
        <w:tc>
          <w:tcPr>
            <w:tcW w:w="852" w:type="dxa"/>
          </w:tcPr>
          <w:p w:rsidR="007C5447" w:rsidRDefault="00F6308C">
            <w:pPr>
              <w:pStyle w:val="TableParagraph"/>
              <w:spacing w:before="39"/>
              <w:ind w:left="107"/>
              <w:jc w:val="left"/>
            </w:pPr>
            <w:r>
              <w:t>20</w:t>
            </w:r>
          </w:p>
        </w:tc>
        <w:tc>
          <w:tcPr>
            <w:tcW w:w="3260" w:type="dxa"/>
          </w:tcPr>
          <w:p w:rsidR="007C5447" w:rsidRDefault="00F6308C">
            <w:pPr>
              <w:pStyle w:val="TableParagraph"/>
              <w:spacing w:before="39"/>
              <w:ind w:left="107"/>
              <w:jc w:val="left"/>
            </w:pPr>
            <w:r>
              <w:t>PIONEER Power co. (Penna)</w:t>
            </w:r>
          </w:p>
        </w:tc>
        <w:tc>
          <w:tcPr>
            <w:tcW w:w="1419" w:type="dxa"/>
          </w:tcPr>
          <w:p w:rsidR="007C5447" w:rsidRDefault="00F6308C">
            <w:pPr>
              <w:pStyle w:val="TableParagraph"/>
              <w:spacing w:before="39"/>
              <w:ind w:right="96"/>
            </w:pPr>
            <w:r>
              <w:t>370.02</w:t>
            </w:r>
          </w:p>
        </w:tc>
        <w:tc>
          <w:tcPr>
            <w:tcW w:w="1419" w:type="dxa"/>
          </w:tcPr>
          <w:p w:rsidR="007C5447" w:rsidRDefault="00F6308C">
            <w:pPr>
              <w:pStyle w:val="TableParagraph"/>
              <w:spacing w:before="39"/>
              <w:ind w:right="94"/>
            </w:pPr>
            <w:r>
              <w:t>370.35</w:t>
            </w:r>
          </w:p>
        </w:tc>
        <w:tc>
          <w:tcPr>
            <w:tcW w:w="1558" w:type="dxa"/>
          </w:tcPr>
          <w:p w:rsidR="007C5447" w:rsidRDefault="00F6308C">
            <w:pPr>
              <w:pStyle w:val="TableParagraph"/>
              <w:spacing w:before="39"/>
              <w:ind w:right="92"/>
            </w:pPr>
            <w:r>
              <w:t>370.02</w:t>
            </w:r>
          </w:p>
        </w:tc>
      </w:tr>
      <w:tr w:rsidR="007C5447">
        <w:trPr>
          <w:trHeight w:val="330"/>
        </w:trPr>
        <w:tc>
          <w:tcPr>
            <w:tcW w:w="852" w:type="dxa"/>
          </w:tcPr>
          <w:p w:rsidR="007C5447" w:rsidRDefault="007C5447">
            <w:pPr>
              <w:pStyle w:val="TableParagraph"/>
              <w:jc w:val="left"/>
            </w:pPr>
          </w:p>
        </w:tc>
        <w:tc>
          <w:tcPr>
            <w:tcW w:w="3260" w:type="dxa"/>
          </w:tcPr>
          <w:p w:rsidR="007C5447" w:rsidRDefault="00F6308C">
            <w:pPr>
              <w:pStyle w:val="TableParagraph"/>
              <w:spacing w:before="37"/>
              <w:ind w:left="107"/>
              <w:jc w:val="left"/>
              <w:rPr>
                <w:b/>
              </w:rPr>
            </w:pPr>
            <w:r>
              <w:rPr>
                <w:b/>
              </w:rPr>
              <w:t>Total IPP</w:t>
            </w:r>
          </w:p>
        </w:tc>
        <w:tc>
          <w:tcPr>
            <w:tcW w:w="1419" w:type="dxa"/>
          </w:tcPr>
          <w:p w:rsidR="007C5447" w:rsidRDefault="00F6308C">
            <w:pPr>
              <w:pStyle w:val="TableParagraph"/>
              <w:spacing w:before="37"/>
              <w:ind w:right="96"/>
              <w:rPr>
                <w:b/>
              </w:rPr>
            </w:pPr>
            <w:r>
              <w:rPr>
                <w:b/>
              </w:rPr>
              <w:t>2,427.44</w:t>
            </w:r>
          </w:p>
        </w:tc>
        <w:tc>
          <w:tcPr>
            <w:tcW w:w="1419" w:type="dxa"/>
          </w:tcPr>
          <w:p w:rsidR="007C5447" w:rsidRDefault="00F6308C">
            <w:pPr>
              <w:pStyle w:val="TableParagraph"/>
              <w:spacing w:before="37"/>
              <w:ind w:right="94"/>
              <w:rPr>
                <w:b/>
              </w:rPr>
            </w:pPr>
            <w:r>
              <w:rPr>
                <w:b/>
              </w:rPr>
              <w:t>2,427.86</w:t>
            </w:r>
          </w:p>
        </w:tc>
        <w:tc>
          <w:tcPr>
            <w:tcW w:w="1558" w:type="dxa"/>
          </w:tcPr>
          <w:p w:rsidR="007C5447" w:rsidRDefault="00F6308C">
            <w:pPr>
              <w:pStyle w:val="TableParagraph"/>
              <w:spacing w:before="37"/>
              <w:ind w:right="92"/>
              <w:rPr>
                <w:b/>
              </w:rPr>
            </w:pPr>
            <w:r>
              <w:rPr>
                <w:b/>
              </w:rPr>
              <w:t>2,427.44</w:t>
            </w:r>
          </w:p>
        </w:tc>
      </w:tr>
      <w:tr w:rsidR="007C5447">
        <w:trPr>
          <w:trHeight w:val="328"/>
        </w:trPr>
        <w:tc>
          <w:tcPr>
            <w:tcW w:w="852" w:type="dxa"/>
          </w:tcPr>
          <w:p w:rsidR="007C5447" w:rsidRDefault="00F6308C">
            <w:pPr>
              <w:pStyle w:val="TableParagraph"/>
              <w:spacing w:before="37"/>
              <w:ind w:left="107"/>
              <w:jc w:val="left"/>
            </w:pPr>
            <w:r>
              <w:t>21</w:t>
            </w:r>
          </w:p>
        </w:tc>
        <w:tc>
          <w:tcPr>
            <w:tcW w:w="3260" w:type="dxa"/>
          </w:tcPr>
          <w:p w:rsidR="007C5447" w:rsidRDefault="00F6308C">
            <w:pPr>
              <w:pStyle w:val="TableParagraph"/>
              <w:spacing w:before="37"/>
              <w:ind w:left="107"/>
              <w:jc w:val="left"/>
            </w:pPr>
            <w:r>
              <w:t>Windmill</w:t>
            </w:r>
          </w:p>
        </w:tc>
        <w:tc>
          <w:tcPr>
            <w:tcW w:w="1419" w:type="dxa"/>
          </w:tcPr>
          <w:p w:rsidR="007C5447" w:rsidRDefault="00F6308C">
            <w:pPr>
              <w:pStyle w:val="TableParagraph"/>
              <w:spacing w:before="37"/>
              <w:ind w:right="96"/>
            </w:pPr>
            <w:r>
              <w:t>6,944.49</w:t>
            </w:r>
          </w:p>
        </w:tc>
        <w:tc>
          <w:tcPr>
            <w:tcW w:w="1419" w:type="dxa"/>
          </w:tcPr>
          <w:p w:rsidR="007C5447" w:rsidRDefault="00F6308C">
            <w:pPr>
              <w:pStyle w:val="TableParagraph"/>
              <w:spacing w:before="37"/>
              <w:ind w:right="94"/>
            </w:pPr>
            <w:r>
              <w:t>6,149.52</w:t>
            </w:r>
          </w:p>
        </w:tc>
        <w:tc>
          <w:tcPr>
            <w:tcW w:w="1558" w:type="dxa"/>
          </w:tcPr>
          <w:p w:rsidR="007C5447" w:rsidRDefault="00F6308C">
            <w:pPr>
              <w:pStyle w:val="TableParagraph"/>
              <w:spacing w:before="37"/>
              <w:ind w:right="92"/>
            </w:pPr>
            <w:r>
              <w:t>6,346.62</w:t>
            </w:r>
          </w:p>
        </w:tc>
      </w:tr>
      <w:tr w:rsidR="007C5447">
        <w:trPr>
          <w:trHeight w:val="330"/>
        </w:trPr>
        <w:tc>
          <w:tcPr>
            <w:tcW w:w="852" w:type="dxa"/>
          </w:tcPr>
          <w:p w:rsidR="007C5447" w:rsidRDefault="00F6308C">
            <w:pPr>
              <w:pStyle w:val="TableParagraph"/>
              <w:spacing w:before="39"/>
              <w:ind w:left="107"/>
              <w:jc w:val="left"/>
            </w:pPr>
            <w:r>
              <w:t>22</w:t>
            </w:r>
          </w:p>
        </w:tc>
        <w:tc>
          <w:tcPr>
            <w:tcW w:w="3260" w:type="dxa"/>
          </w:tcPr>
          <w:p w:rsidR="007C5447" w:rsidRDefault="00F6308C">
            <w:pPr>
              <w:pStyle w:val="TableParagraph"/>
              <w:spacing w:before="39"/>
              <w:ind w:left="107"/>
              <w:jc w:val="left"/>
            </w:pPr>
            <w:r>
              <w:t>Co-generation</w:t>
            </w:r>
          </w:p>
        </w:tc>
        <w:tc>
          <w:tcPr>
            <w:tcW w:w="1419" w:type="dxa"/>
          </w:tcPr>
          <w:p w:rsidR="007C5447" w:rsidRDefault="00F6308C">
            <w:pPr>
              <w:pStyle w:val="TableParagraph"/>
              <w:spacing w:before="39"/>
              <w:ind w:right="100"/>
            </w:pPr>
            <w:r>
              <w:t>970</w:t>
            </w:r>
          </w:p>
        </w:tc>
        <w:tc>
          <w:tcPr>
            <w:tcW w:w="1419" w:type="dxa"/>
          </w:tcPr>
          <w:p w:rsidR="007C5447" w:rsidRDefault="00F6308C">
            <w:pPr>
              <w:pStyle w:val="TableParagraph"/>
              <w:spacing w:before="39"/>
              <w:ind w:right="94"/>
            </w:pPr>
            <w:r>
              <w:t>970.44</w:t>
            </w:r>
          </w:p>
        </w:tc>
        <w:tc>
          <w:tcPr>
            <w:tcW w:w="1558" w:type="dxa"/>
          </w:tcPr>
          <w:p w:rsidR="007C5447" w:rsidRDefault="00F6308C">
            <w:pPr>
              <w:pStyle w:val="TableParagraph"/>
              <w:spacing w:before="39"/>
              <w:ind w:right="92"/>
            </w:pPr>
            <w:r>
              <w:t>970.44</w:t>
            </w:r>
          </w:p>
        </w:tc>
      </w:tr>
      <w:tr w:rsidR="007C5447">
        <w:trPr>
          <w:trHeight w:val="330"/>
        </w:trPr>
        <w:tc>
          <w:tcPr>
            <w:tcW w:w="852" w:type="dxa"/>
          </w:tcPr>
          <w:p w:rsidR="007C5447" w:rsidRDefault="00F6308C">
            <w:pPr>
              <w:pStyle w:val="TableParagraph"/>
              <w:spacing w:before="37"/>
              <w:ind w:left="107"/>
              <w:jc w:val="left"/>
            </w:pPr>
            <w:r>
              <w:t>23</w:t>
            </w:r>
          </w:p>
        </w:tc>
        <w:tc>
          <w:tcPr>
            <w:tcW w:w="3260" w:type="dxa"/>
          </w:tcPr>
          <w:p w:rsidR="007C5447" w:rsidRDefault="00F6308C">
            <w:pPr>
              <w:pStyle w:val="TableParagraph"/>
              <w:spacing w:before="37"/>
              <w:ind w:left="107"/>
              <w:jc w:val="left"/>
            </w:pPr>
            <w:r>
              <w:t>Biomass</w:t>
            </w:r>
          </w:p>
        </w:tc>
        <w:tc>
          <w:tcPr>
            <w:tcW w:w="1419" w:type="dxa"/>
          </w:tcPr>
          <w:p w:rsidR="007C5447" w:rsidRDefault="00F6308C">
            <w:pPr>
              <w:pStyle w:val="TableParagraph"/>
              <w:spacing w:before="37"/>
              <w:ind w:right="100"/>
            </w:pPr>
            <w:r>
              <w:t>20</w:t>
            </w:r>
          </w:p>
        </w:tc>
        <w:tc>
          <w:tcPr>
            <w:tcW w:w="1419" w:type="dxa"/>
          </w:tcPr>
          <w:p w:rsidR="007C5447" w:rsidRDefault="00F6308C">
            <w:pPr>
              <w:pStyle w:val="TableParagraph"/>
              <w:spacing w:before="37"/>
              <w:ind w:right="97"/>
            </w:pPr>
            <w:r>
              <w:t>20</w:t>
            </w:r>
          </w:p>
        </w:tc>
        <w:tc>
          <w:tcPr>
            <w:tcW w:w="1558" w:type="dxa"/>
          </w:tcPr>
          <w:p w:rsidR="007C5447" w:rsidRDefault="00F6308C">
            <w:pPr>
              <w:pStyle w:val="TableParagraph"/>
              <w:spacing w:before="37"/>
              <w:ind w:right="94"/>
            </w:pPr>
            <w:r>
              <w:t>20</w:t>
            </w:r>
          </w:p>
        </w:tc>
      </w:tr>
      <w:tr w:rsidR="007C5447">
        <w:trPr>
          <w:trHeight w:val="328"/>
        </w:trPr>
        <w:tc>
          <w:tcPr>
            <w:tcW w:w="852" w:type="dxa"/>
          </w:tcPr>
          <w:p w:rsidR="007C5447" w:rsidRDefault="00F6308C">
            <w:pPr>
              <w:pStyle w:val="TableParagraph"/>
              <w:spacing w:before="37"/>
              <w:ind w:left="107"/>
              <w:jc w:val="left"/>
            </w:pPr>
            <w:r>
              <w:t>24</w:t>
            </w:r>
          </w:p>
        </w:tc>
        <w:tc>
          <w:tcPr>
            <w:tcW w:w="3260" w:type="dxa"/>
          </w:tcPr>
          <w:p w:rsidR="007C5447" w:rsidRDefault="00F6308C">
            <w:pPr>
              <w:pStyle w:val="TableParagraph"/>
              <w:spacing w:before="37"/>
              <w:ind w:left="107"/>
              <w:jc w:val="left"/>
            </w:pPr>
            <w:r>
              <w:t>Captive generation</w:t>
            </w:r>
          </w:p>
        </w:tc>
        <w:tc>
          <w:tcPr>
            <w:tcW w:w="1419" w:type="dxa"/>
          </w:tcPr>
          <w:p w:rsidR="007C5447" w:rsidRDefault="00F6308C">
            <w:pPr>
              <w:pStyle w:val="TableParagraph"/>
              <w:spacing w:before="37"/>
              <w:ind w:right="96"/>
            </w:pPr>
            <w:r>
              <w:t>38.5</w:t>
            </w:r>
          </w:p>
        </w:tc>
        <w:tc>
          <w:tcPr>
            <w:tcW w:w="1419" w:type="dxa"/>
          </w:tcPr>
          <w:p w:rsidR="007C5447" w:rsidRDefault="00F6308C">
            <w:pPr>
              <w:pStyle w:val="TableParagraph"/>
              <w:spacing w:before="37"/>
              <w:ind w:right="94"/>
            </w:pPr>
            <w:r>
              <w:t>38.5</w:t>
            </w:r>
          </w:p>
        </w:tc>
        <w:tc>
          <w:tcPr>
            <w:tcW w:w="1558" w:type="dxa"/>
          </w:tcPr>
          <w:p w:rsidR="007C5447" w:rsidRDefault="00F6308C">
            <w:pPr>
              <w:pStyle w:val="TableParagraph"/>
              <w:spacing w:before="37"/>
              <w:ind w:right="94"/>
            </w:pPr>
            <w:r>
              <w:t>35</w:t>
            </w:r>
          </w:p>
        </w:tc>
      </w:tr>
      <w:tr w:rsidR="007C5447">
        <w:trPr>
          <w:trHeight w:val="330"/>
        </w:trPr>
        <w:tc>
          <w:tcPr>
            <w:tcW w:w="852" w:type="dxa"/>
          </w:tcPr>
          <w:p w:rsidR="007C5447" w:rsidRDefault="00F6308C">
            <w:pPr>
              <w:pStyle w:val="TableParagraph"/>
              <w:spacing w:before="39"/>
              <w:ind w:left="107"/>
              <w:jc w:val="left"/>
            </w:pPr>
            <w:r>
              <w:t>25</w:t>
            </w:r>
          </w:p>
        </w:tc>
        <w:tc>
          <w:tcPr>
            <w:tcW w:w="3260" w:type="dxa"/>
          </w:tcPr>
          <w:p w:rsidR="007C5447" w:rsidRDefault="00F6308C">
            <w:pPr>
              <w:pStyle w:val="TableParagraph"/>
              <w:spacing w:before="39"/>
              <w:ind w:left="107"/>
              <w:jc w:val="left"/>
            </w:pPr>
            <w:r>
              <w:t>Solar</w:t>
            </w:r>
          </w:p>
        </w:tc>
        <w:tc>
          <w:tcPr>
            <w:tcW w:w="1419" w:type="dxa"/>
          </w:tcPr>
          <w:p w:rsidR="007C5447" w:rsidRDefault="00F6308C">
            <w:pPr>
              <w:pStyle w:val="TableParagraph"/>
              <w:spacing w:before="39"/>
              <w:ind w:right="96"/>
            </w:pPr>
            <w:r>
              <w:t>1,505.50</w:t>
            </w:r>
          </w:p>
        </w:tc>
        <w:tc>
          <w:tcPr>
            <w:tcW w:w="1419" w:type="dxa"/>
          </w:tcPr>
          <w:p w:rsidR="007C5447" w:rsidRDefault="00F6308C">
            <w:pPr>
              <w:pStyle w:val="TableParagraph"/>
              <w:spacing w:before="39"/>
              <w:ind w:right="94"/>
            </w:pPr>
            <w:r>
              <w:t>2,293.90</w:t>
            </w:r>
          </w:p>
        </w:tc>
        <w:tc>
          <w:tcPr>
            <w:tcW w:w="1558" w:type="dxa"/>
          </w:tcPr>
          <w:p w:rsidR="007C5447" w:rsidRDefault="00F6308C">
            <w:pPr>
              <w:pStyle w:val="TableParagraph"/>
              <w:spacing w:before="39"/>
              <w:ind w:right="92"/>
            </w:pPr>
            <w:r>
              <w:t>2,525.13</w:t>
            </w:r>
          </w:p>
        </w:tc>
      </w:tr>
      <w:tr w:rsidR="007C5447">
        <w:trPr>
          <w:trHeight w:val="331"/>
        </w:trPr>
        <w:tc>
          <w:tcPr>
            <w:tcW w:w="852" w:type="dxa"/>
          </w:tcPr>
          <w:p w:rsidR="007C5447" w:rsidRDefault="00F6308C">
            <w:pPr>
              <w:pStyle w:val="TableParagraph"/>
              <w:spacing w:before="37"/>
              <w:ind w:left="107"/>
              <w:jc w:val="left"/>
            </w:pPr>
            <w:r>
              <w:t>26</w:t>
            </w:r>
          </w:p>
        </w:tc>
        <w:tc>
          <w:tcPr>
            <w:tcW w:w="3260" w:type="dxa"/>
          </w:tcPr>
          <w:p w:rsidR="007C5447" w:rsidRDefault="00F6308C">
            <w:pPr>
              <w:pStyle w:val="TableParagraph"/>
              <w:spacing w:before="37"/>
              <w:ind w:left="107"/>
              <w:jc w:val="left"/>
            </w:pPr>
            <w:r>
              <w:t>Traders-MTOA</w:t>
            </w:r>
          </w:p>
        </w:tc>
        <w:tc>
          <w:tcPr>
            <w:tcW w:w="1419" w:type="dxa"/>
          </w:tcPr>
          <w:p w:rsidR="007C5447" w:rsidRDefault="007C5447">
            <w:pPr>
              <w:pStyle w:val="TableParagraph"/>
              <w:jc w:val="left"/>
            </w:pPr>
          </w:p>
        </w:tc>
        <w:tc>
          <w:tcPr>
            <w:tcW w:w="1419" w:type="dxa"/>
          </w:tcPr>
          <w:p w:rsidR="007C5447" w:rsidRDefault="00F6308C">
            <w:pPr>
              <w:pStyle w:val="TableParagraph"/>
              <w:spacing w:before="37"/>
              <w:ind w:right="94"/>
            </w:pPr>
            <w:r>
              <w:t>1,840.40</w:t>
            </w:r>
          </w:p>
        </w:tc>
        <w:tc>
          <w:tcPr>
            <w:tcW w:w="1558" w:type="dxa"/>
          </w:tcPr>
          <w:p w:rsidR="007C5447" w:rsidRDefault="007C5447">
            <w:pPr>
              <w:pStyle w:val="TableParagraph"/>
              <w:jc w:val="left"/>
            </w:pPr>
          </w:p>
        </w:tc>
      </w:tr>
      <w:tr w:rsidR="007C5447">
        <w:trPr>
          <w:trHeight w:val="328"/>
        </w:trPr>
        <w:tc>
          <w:tcPr>
            <w:tcW w:w="852" w:type="dxa"/>
          </w:tcPr>
          <w:p w:rsidR="007C5447" w:rsidRDefault="00F6308C">
            <w:pPr>
              <w:pStyle w:val="TableParagraph"/>
              <w:spacing w:before="37"/>
              <w:ind w:left="107"/>
              <w:jc w:val="left"/>
            </w:pPr>
            <w:r>
              <w:t>27</w:t>
            </w:r>
          </w:p>
        </w:tc>
        <w:tc>
          <w:tcPr>
            <w:tcW w:w="3260" w:type="dxa"/>
          </w:tcPr>
          <w:p w:rsidR="007C5447" w:rsidRDefault="00F6308C">
            <w:pPr>
              <w:pStyle w:val="TableParagraph"/>
              <w:spacing w:before="37"/>
              <w:ind w:left="107"/>
              <w:jc w:val="left"/>
            </w:pPr>
            <w:r>
              <w:t>Traders-LTOA</w:t>
            </w:r>
          </w:p>
        </w:tc>
        <w:tc>
          <w:tcPr>
            <w:tcW w:w="1419" w:type="dxa"/>
          </w:tcPr>
          <w:p w:rsidR="007C5447" w:rsidRDefault="00F6308C">
            <w:pPr>
              <w:pStyle w:val="TableParagraph"/>
              <w:spacing w:before="37"/>
              <w:ind w:right="96"/>
            </w:pPr>
            <w:r>
              <w:t>8,822.84</w:t>
            </w:r>
          </w:p>
        </w:tc>
        <w:tc>
          <w:tcPr>
            <w:tcW w:w="1419" w:type="dxa"/>
          </w:tcPr>
          <w:p w:rsidR="007C5447" w:rsidRDefault="00F6308C">
            <w:pPr>
              <w:pStyle w:val="TableParagraph"/>
              <w:spacing w:before="37"/>
              <w:ind w:right="94"/>
            </w:pPr>
            <w:r>
              <w:t>8,044.49</w:t>
            </w:r>
          </w:p>
        </w:tc>
        <w:tc>
          <w:tcPr>
            <w:tcW w:w="1558" w:type="dxa"/>
          </w:tcPr>
          <w:p w:rsidR="007C5447" w:rsidRDefault="00F6308C">
            <w:pPr>
              <w:pStyle w:val="TableParagraph"/>
              <w:spacing w:before="37"/>
              <w:ind w:right="92"/>
            </w:pPr>
            <w:r>
              <w:t>15,230.28</w:t>
            </w:r>
          </w:p>
        </w:tc>
      </w:tr>
      <w:tr w:rsidR="007C5447">
        <w:trPr>
          <w:trHeight w:val="330"/>
        </w:trPr>
        <w:tc>
          <w:tcPr>
            <w:tcW w:w="852" w:type="dxa"/>
          </w:tcPr>
          <w:p w:rsidR="007C5447" w:rsidRDefault="00F6308C">
            <w:pPr>
              <w:pStyle w:val="TableParagraph"/>
              <w:spacing w:before="39"/>
              <w:ind w:left="107"/>
              <w:jc w:val="left"/>
            </w:pPr>
            <w:r>
              <w:t>28</w:t>
            </w:r>
          </w:p>
        </w:tc>
        <w:tc>
          <w:tcPr>
            <w:tcW w:w="3260" w:type="dxa"/>
          </w:tcPr>
          <w:p w:rsidR="007C5447" w:rsidRDefault="00F6308C">
            <w:pPr>
              <w:pStyle w:val="TableParagraph"/>
              <w:spacing w:before="39"/>
              <w:ind w:left="107"/>
              <w:jc w:val="left"/>
            </w:pPr>
            <w:r>
              <w:t>Traders -STOA</w:t>
            </w:r>
          </w:p>
        </w:tc>
        <w:tc>
          <w:tcPr>
            <w:tcW w:w="1419" w:type="dxa"/>
          </w:tcPr>
          <w:p w:rsidR="007C5447" w:rsidRDefault="00F6308C">
            <w:pPr>
              <w:pStyle w:val="TableParagraph"/>
              <w:spacing w:before="39"/>
              <w:ind w:right="96"/>
            </w:pPr>
            <w:r>
              <w:t>250.62</w:t>
            </w:r>
          </w:p>
        </w:tc>
        <w:tc>
          <w:tcPr>
            <w:tcW w:w="1419" w:type="dxa"/>
          </w:tcPr>
          <w:p w:rsidR="007C5447" w:rsidRDefault="007C5447">
            <w:pPr>
              <w:pStyle w:val="TableParagraph"/>
              <w:jc w:val="left"/>
            </w:pPr>
          </w:p>
        </w:tc>
        <w:tc>
          <w:tcPr>
            <w:tcW w:w="1558" w:type="dxa"/>
          </w:tcPr>
          <w:p w:rsidR="007C5447" w:rsidRDefault="007C5447">
            <w:pPr>
              <w:pStyle w:val="TableParagraph"/>
              <w:jc w:val="left"/>
            </w:pPr>
          </w:p>
        </w:tc>
      </w:tr>
      <w:tr w:rsidR="007C5447">
        <w:trPr>
          <w:trHeight w:val="330"/>
        </w:trPr>
        <w:tc>
          <w:tcPr>
            <w:tcW w:w="852" w:type="dxa"/>
          </w:tcPr>
          <w:p w:rsidR="007C5447" w:rsidRDefault="007C5447">
            <w:pPr>
              <w:pStyle w:val="TableParagraph"/>
              <w:jc w:val="left"/>
            </w:pPr>
          </w:p>
        </w:tc>
        <w:tc>
          <w:tcPr>
            <w:tcW w:w="3260" w:type="dxa"/>
          </w:tcPr>
          <w:p w:rsidR="007C5447" w:rsidRDefault="00F6308C">
            <w:pPr>
              <w:pStyle w:val="TableParagraph"/>
              <w:spacing w:before="37"/>
              <w:ind w:left="107"/>
              <w:jc w:val="left"/>
              <w:rPr>
                <w:b/>
              </w:rPr>
            </w:pPr>
            <w:r>
              <w:rPr>
                <w:b/>
              </w:rPr>
              <w:t>Grand Total</w:t>
            </w:r>
          </w:p>
        </w:tc>
        <w:tc>
          <w:tcPr>
            <w:tcW w:w="1419" w:type="dxa"/>
          </w:tcPr>
          <w:p w:rsidR="007C5447" w:rsidRDefault="00F6308C">
            <w:pPr>
              <w:pStyle w:val="TableParagraph"/>
              <w:spacing w:before="37"/>
              <w:ind w:right="96"/>
              <w:rPr>
                <w:b/>
              </w:rPr>
            </w:pPr>
            <w:r>
              <w:rPr>
                <w:b/>
              </w:rPr>
              <w:t>59,180.91</w:t>
            </w:r>
          </w:p>
        </w:tc>
        <w:tc>
          <w:tcPr>
            <w:tcW w:w="1419" w:type="dxa"/>
          </w:tcPr>
          <w:p w:rsidR="007C5447" w:rsidRDefault="00F6308C">
            <w:pPr>
              <w:pStyle w:val="TableParagraph"/>
              <w:spacing w:before="37"/>
              <w:ind w:right="94"/>
              <w:rPr>
                <w:b/>
              </w:rPr>
            </w:pPr>
            <w:r>
              <w:rPr>
                <w:b/>
              </w:rPr>
              <w:t>65,620.19</w:t>
            </w:r>
          </w:p>
        </w:tc>
        <w:tc>
          <w:tcPr>
            <w:tcW w:w="1558" w:type="dxa"/>
          </w:tcPr>
          <w:p w:rsidR="007C5447" w:rsidRDefault="00F6308C">
            <w:pPr>
              <w:pStyle w:val="TableParagraph"/>
              <w:spacing w:before="37"/>
              <w:ind w:right="92"/>
              <w:rPr>
                <w:b/>
              </w:rPr>
            </w:pPr>
            <w:r>
              <w:rPr>
                <w:b/>
              </w:rPr>
              <w:t>72,110.20</w:t>
            </w:r>
          </w:p>
        </w:tc>
      </w:tr>
      <w:tr w:rsidR="007C5447">
        <w:trPr>
          <w:trHeight w:val="328"/>
        </w:trPr>
        <w:tc>
          <w:tcPr>
            <w:tcW w:w="852" w:type="dxa"/>
          </w:tcPr>
          <w:p w:rsidR="007C5447" w:rsidRDefault="007C5447">
            <w:pPr>
              <w:pStyle w:val="TableParagraph"/>
              <w:jc w:val="left"/>
            </w:pPr>
          </w:p>
        </w:tc>
        <w:tc>
          <w:tcPr>
            <w:tcW w:w="3260" w:type="dxa"/>
          </w:tcPr>
          <w:p w:rsidR="007C5447" w:rsidRDefault="00F6308C">
            <w:pPr>
              <w:pStyle w:val="TableParagraph"/>
              <w:spacing w:before="37"/>
              <w:ind w:left="107"/>
              <w:jc w:val="left"/>
              <w:rPr>
                <w:b/>
              </w:rPr>
            </w:pPr>
            <w:r>
              <w:rPr>
                <w:b/>
              </w:rPr>
              <w:t>OWN GENERATION</w:t>
            </w:r>
          </w:p>
        </w:tc>
        <w:tc>
          <w:tcPr>
            <w:tcW w:w="1419" w:type="dxa"/>
          </w:tcPr>
          <w:p w:rsidR="007C5447" w:rsidRDefault="007C5447">
            <w:pPr>
              <w:pStyle w:val="TableParagraph"/>
              <w:jc w:val="left"/>
            </w:pPr>
          </w:p>
        </w:tc>
        <w:tc>
          <w:tcPr>
            <w:tcW w:w="1419" w:type="dxa"/>
          </w:tcPr>
          <w:p w:rsidR="007C5447" w:rsidRDefault="007C5447">
            <w:pPr>
              <w:pStyle w:val="TableParagraph"/>
              <w:jc w:val="left"/>
            </w:pPr>
          </w:p>
        </w:tc>
        <w:tc>
          <w:tcPr>
            <w:tcW w:w="1558" w:type="dxa"/>
          </w:tcPr>
          <w:p w:rsidR="007C5447" w:rsidRDefault="007C5447">
            <w:pPr>
              <w:pStyle w:val="TableParagraph"/>
              <w:jc w:val="left"/>
            </w:pPr>
          </w:p>
        </w:tc>
      </w:tr>
      <w:tr w:rsidR="007C5447">
        <w:trPr>
          <w:trHeight w:val="330"/>
        </w:trPr>
        <w:tc>
          <w:tcPr>
            <w:tcW w:w="852" w:type="dxa"/>
          </w:tcPr>
          <w:p w:rsidR="007C5447" w:rsidRDefault="007C5447">
            <w:pPr>
              <w:pStyle w:val="TableParagraph"/>
              <w:jc w:val="left"/>
            </w:pPr>
          </w:p>
        </w:tc>
        <w:tc>
          <w:tcPr>
            <w:tcW w:w="3260" w:type="dxa"/>
          </w:tcPr>
          <w:p w:rsidR="007C5447" w:rsidRDefault="00F6308C">
            <w:pPr>
              <w:pStyle w:val="TableParagraph"/>
              <w:spacing w:before="39"/>
              <w:ind w:left="107"/>
              <w:jc w:val="left"/>
            </w:pPr>
            <w:r>
              <w:t>Hydel</w:t>
            </w:r>
          </w:p>
        </w:tc>
        <w:tc>
          <w:tcPr>
            <w:tcW w:w="1419" w:type="dxa"/>
          </w:tcPr>
          <w:p w:rsidR="007C5447" w:rsidRDefault="007C5447">
            <w:pPr>
              <w:pStyle w:val="TableParagraph"/>
              <w:jc w:val="left"/>
            </w:pPr>
          </w:p>
        </w:tc>
        <w:tc>
          <w:tcPr>
            <w:tcW w:w="1419" w:type="dxa"/>
          </w:tcPr>
          <w:p w:rsidR="007C5447" w:rsidRDefault="007C5447">
            <w:pPr>
              <w:pStyle w:val="TableParagraph"/>
              <w:jc w:val="left"/>
            </w:pPr>
          </w:p>
        </w:tc>
        <w:tc>
          <w:tcPr>
            <w:tcW w:w="1558" w:type="dxa"/>
          </w:tcPr>
          <w:p w:rsidR="007C5447" w:rsidRDefault="007C5447">
            <w:pPr>
              <w:pStyle w:val="TableParagraph"/>
              <w:jc w:val="left"/>
            </w:pPr>
          </w:p>
        </w:tc>
      </w:tr>
      <w:tr w:rsidR="007C5447">
        <w:trPr>
          <w:trHeight w:val="330"/>
        </w:trPr>
        <w:tc>
          <w:tcPr>
            <w:tcW w:w="852" w:type="dxa"/>
          </w:tcPr>
          <w:p w:rsidR="007C5447" w:rsidRDefault="00F6308C">
            <w:pPr>
              <w:pStyle w:val="TableParagraph"/>
              <w:spacing w:before="37"/>
              <w:ind w:left="107"/>
              <w:jc w:val="left"/>
            </w:pPr>
            <w:r>
              <w:t>31</w:t>
            </w:r>
          </w:p>
        </w:tc>
        <w:tc>
          <w:tcPr>
            <w:tcW w:w="3260" w:type="dxa"/>
          </w:tcPr>
          <w:p w:rsidR="007C5447" w:rsidRDefault="00F6308C">
            <w:pPr>
              <w:pStyle w:val="TableParagraph"/>
              <w:spacing w:before="37"/>
              <w:ind w:left="107"/>
              <w:jc w:val="left"/>
            </w:pPr>
            <w:r>
              <w:t>Kundah</w:t>
            </w:r>
          </w:p>
        </w:tc>
        <w:tc>
          <w:tcPr>
            <w:tcW w:w="1419" w:type="dxa"/>
          </w:tcPr>
          <w:p w:rsidR="007C5447" w:rsidRDefault="00F6308C">
            <w:pPr>
              <w:pStyle w:val="TableParagraph"/>
              <w:spacing w:before="37"/>
              <w:ind w:right="96"/>
            </w:pPr>
            <w:r>
              <w:t>1,703.57</w:t>
            </w:r>
          </w:p>
        </w:tc>
        <w:tc>
          <w:tcPr>
            <w:tcW w:w="1419" w:type="dxa"/>
          </w:tcPr>
          <w:p w:rsidR="007C5447" w:rsidRDefault="00F6308C">
            <w:pPr>
              <w:pStyle w:val="TableParagraph"/>
              <w:spacing w:before="37"/>
              <w:ind w:right="94"/>
            </w:pPr>
            <w:r>
              <w:t>2,423.06</w:t>
            </w:r>
          </w:p>
        </w:tc>
        <w:tc>
          <w:tcPr>
            <w:tcW w:w="1558" w:type="dxa"/>
          </w:tcPr>
          <w:p w:rsidR="007C5447" w:rsidRDefault="00F6308C">
            <w:pPr>
              <w:pStyle w:val="TableParagraph"/>
              <w:spacing w:before="37"/>
              <w:ind w:right="92"/>
            </w:pPr>
            <w:r>
              <w:t>2,437.59</w:t>
            </w:r>
          </w:p>
        </w:tc>
      </w:tr>
      <w:tr w:rsidR="007C5447">
        <w:trPr>
          <w:trHeight w:val="328"/>
        </w:trPr>
        <w:tc>
          <w:tcPr>
            <w:tcW w:w="852" w:type="dxa"/>
          </w:tcPr>
          <w:p w:rsidR="007C5447" w:rsidRDefault="00F6308C">
            <w:pPr>
              <w:pStyle w:val="TableParagraph"/>
              <w:spacing w:before="37"/>
              <w:ind w:left="107"/>
              <w:jc w:val="left"/>
            </w:pPr>
            <w:r>
              <w:t>32</w:t>
            </w:r>
          </w:p>
        </w:tc>
        <w:tc>
          <w:tcPr>
            <w:tcW w:w="3260" w:type="dxa"/>
          </w:tcPr>
          <w:p w:rsidR="007C5447" w:rsidRDefault="00F6308C">
            <w:pPr>
              <w:pStyle w:val="TableParagraph"/>
              <w:spacing w:before="37"/>
              <w:ind w:left="107"/>
              <w:jc w:val="left"/>
            </w:pPr>
            <w:r>
              <w:t>Kadamparai</w:t>
            </w:r>
          </w:p>
        </w:tc>
        <w:tc>
          <w:tcPr>
            <w:tcW w:w="1419" w:type="dxa"/>
          </w:tcPr>
          <w:p w:rsidR="007C5447" w:rsidRDefault="00F6308C">
            <w:pPr>
              <w:pStyle w:val="TableParagraph"/>
              <w:spacing w:before="37"/>
              <w:ind w:right="96"/>
            </w:pPr>
            <w:r>
              <w:t>895.25</w:t>
            </w:r>
          </w:p>
        </w:tc>
        <w:tc>
          <w:tcPr>
            <w:tcW w:w="1419" w:type="dxa"/>
          </w:tcPr>
          <w:p w:rsidR="007C5447" w:rsidRDefault="00F6308C">
            <w:pPr>
              <w:pStyle w:val="TableParagraph"/>
              <w:spacing w:before="37"/>
              <w:ind w:right="94"/>
            </w:pPr>
            <w:r>
              <w:t>1,376.85</w:t>
            </w:r>
          </w:p>
        </w:tc>
        <w:tc>
          <w:tcPr>
            <w:tcW w:w="1558" w:type="dxa"/>
          </w:tcPr>
          <w:p w:rsidR="007C5447" w:rsidRDefault="00F6308C">
            <w:pPr>
              <w:pStyle w:val="TableParagraph"/>
              <w:spacing w:before="37"/>
              <w:ind w:right="92"/>
            </w:pPr>
            <w:r>
              <w:t>1,416.78</w:t>
            </w:r>
          </w:p>
        </w:tc>
      </w:tr>
      <w:tr w:rsidR="007C5447">
        <w:trPr>
          <w:trHeight w:val="330"/>
        </w:trPr>
        <w:tc>
          <w:tcPr>
            <w:tcW w:w="852" w:type="dxa"/>
          </w:tcPr>
          <w:p w:rsidR="007C5447" w:rsidRDefault="00F6308C">
            <w:pPr>
              <w:pStyle w:val="TableParagraph"/>
              <w:spacing w:before="39"/>
              <w:ind w:left="107"/>
              <w:jc w:val="left"/>
            </w:pPr>
            <w:r>
              <w:t>33</w:t>
            </w:r>
          </w:p>
        </w:tc>
        <w:tc>
          <w:tcPr>
            <w:tcW w:w="3260" w:type="dxa"/>
          </w:tcPr>
          <w:p w:rsidR="007C5447" w:rsidRDefault="00F6308C">
            <w:pPr>
              <w:pStyle w:val="TableParagraph"/>
              <w:spacing w:before="39"/>
              <w:ind w:left="107"/>
              <w:jc w:val="left"/>
            </w:pPr>
            <w:r>
              <w:t>Erode</w:t>
            </w:r>
          </w:p>
        </w:tc>
        <w:tc>
          <w:tcPr>
            <w:tcW w:w="1419" w:type="dxa"/>
          </w:tcPr>
          <w:p w:rsidR="007C5447" w:rsidRDefault="00F6308C">
            <w:pPr>
              <w:pStyle w:val="TableParagraph"/>
              <w:spacing w:before="39"/>
              <w:ind w:right="96"/>
            </w:pPr>
            <w:r>
              <w:t>760.06</w:t>
            </w:r>
          </w:p>
        </w:tc>
        <w:tc>
          <w:tcPr>
            <w:tcW w:w="1419" w:type="dxa"/>
          </w:tcPr>
          <w:p w:rsidR="007C5447" w:rsidRDefault="00F6308C">
            <w:pPr>
              <w:pStyle w:val="TableParagraph"/>
              <w:spacing w:before="39"/>
              <w:ind w:right="94"/>
            </w:pPr>
            <w:r>
              <w:t>1,318.56</w:t>
            </w:r>
          </w:p>
        </w:tc>
        <w:tc>
          <w:tcPr>
            <w:tcW w:w="1558" w:type="dxa"/>
          </w:tcPr>
          <w:p w:rsidR="007C5447" w:rsidRDefault="00F6308C">
            <w:pPr>
              <w:pStyle w:val="TableParagraph"/>
              <w:spacing w:before="39"/>
              <w:ind w:right="92"/>
            </w:pPr>
            <w:r>
              <w:t>1,331.09</w:t>
            </w:r>
          </w:p>
        </w:tc>
      </w:tr>
      <w:tr w:rsidR="007C5447">
        <w:trPr>
          <w:trHeight w:val="330"/>
        </w:trPr>
        <w:tc>
          <w:tcPr>
            <w:tcW w:w="852" w:type="dxa"/>
          </w:tcPr>
          <w:p w:rsidR="007C5447" w:rsidRDefault="00F6308C">
            <w:pPr>
              <w:pStyle w:val="TableParagraph"/>
              <w:spacing w:before="37"/>
              <w:ind w:left="107"/>
              <w:jc w:val="left"/>
            </w:pPr>
            <w:r>
              <w:t>34</w:t>
            </w:r>
          </w:p>
        </w:tc>
        <w:tc>
          <w:tcPr>
            <w:tcW w:w="3260" w:type="dxa"/>
          </w:tcPr>
          <w:p w:rsidR="007C5447" w:rsidRDefault="00F6308C">
            <w:pPr>
              <w:pStyle w:val="TableParagraph"/>
              <w:spacing w:before="37"/>
              <w:ind w:left="107"/>
              <w:jc w:val="left"/>
            </w:pPr>
            <w:r>
              <w:t>Tirunelveli</w:t>
            </w:r>
          </w:p>
        </w:tc>
        <w:tc>
          <w:tcPr>
            <w:tcW w:w="1419" w:type="dxa"/>
          </w:tcPr>
          <w:p w:rsidR="007C5447" w:rsidRDefault="00F6308C">
            <w:pPr>
              <w:pStyle w:val="TableParagraph"/>
              <w:spacing w:before="37"/>
              <w:ind w:right="96"/>
            </w:pPr>
            <w:r>
              <w:t>1,101.40</w:t>
            </w:r>
          </w:p>
        </w:tc>
        <w:tc>
          <w:tcPr>
            <w:tcW w:w="1419" w:type="dxa"/>
          </w:tcPr>
          <w:p w:rsidR="007C5447" w:rsidRDefault="00F6308C">
            <w:pPr>
              <w:pStyle w:val="TableParagraph"/>
              <w:spacing w:before="37"/>
              <w:ind w:right="94"/>
            </w:pPr>
            <w:r>
              <w:t>1,031.13</w:t>
            </w:r>
          </w:p>
        </w:tc>
        <w:tc>
          <w:tcPr>
            <w:tcW w:w="1558" w:type="dxa"/>
          </w:tcPr>
          <w:p w:rsidR="007C5447" w:rsidRDefault="00F6308C">
            <w:pPr>
              <w:pStyle w:val="TableParagraph"/>
              <w:spacing w:before="37"/>
              <w:ind w:right="92"/>
            </w:pPr>
            <w:r>
              <w:t>1,035.25</w:t>
            </w:r>
          </w:p>
        </w:tc>
      </w:tr>
      <w:tr w:rsidR="007C5447">
        <w:trPr>
          <w:trHeight w:val="328"/>
        </w:trPr>
        <w:tc>
          <w:tcPr>
            <w:tcW w:w="852" w:type="dxa"/>
          </w:tcPr>
          <w:p w:rsidR="007C5447" w:rsidRDefault="007C5447">
            <w:pPr>
              <w:pStyle w:val="TableParagraph"/>
              <w:jc w:val="left"/>
            </w:pPr>
          </w:p>
        </w:tc>
        <w:tc>
          <w:tcPr>
            <w:tcW w:w="3260" w:type="dxa"/>
          </w:tcPr>
          <w:p w:rsidR="007C5447" w:rsidRDefault="00F6308C">
            <w:pPr>
              <w:pStyle w:val="TableParagraph"/>
              <w:spacing w:before="37"/>
              <w:ind w:left="107"/>
              <w:jc w:val="left"/>
              <w:rPr>
                <w:b/>
              </w:rPr>
            </w:pPr>
            <w:r>
              <w:rPr>
                <w:b/>
              </w:rPr>
              <w:t>Sub-Total Hydro (Gross) 1(a)</w:t>
            </w:r>
          </w:p>
        </w:tc>
        <w:tc>
          <w:tcPr>
            <w:tcW w:w="1419" w:type="dxa"/>
          </w:tcPr>
          <w:p w:rsidR="007C5447" w:rsidRDefault="00F6308C">
            <w:pPr>
              <w:pStyle w:val="TableParagraph"/>
              <w:spacing w:before="37"/>
              <w:ind w:right="96"/>
              <w:rPr>
                <w:b/>
              </w:rPr>
            </w:pPr>
            <w:r>
              <w:rPr>
                <w:b/>
              </w:rPr>
              <w:t>4,460.27</w:t>
            </w:r>
          </w:p>
        </w:tc>
        <w:tc>
          <w:tcPr>
            <w:tcW w:w="1419" w:type="dxa"/>
          </w:tcPr>
          <w:p w:rsidR="007C5447" w:rsidRDefault="00F6308C">
            <w:pPr>
              <w:pStyle w:val="TableParagraph"/>
              <w:spacing w:before="37"/>
              <w:ind w:right="94"/>
              <w:rPr>
                <w:b/>
              </w:rPr>
            </w:pPr>
            <w:r>
              <w:rPr>
                <w:b/>
              </w:rPr>
              <w:t>6,149.60</w:t>
            </w:r>
          </w:p>
        </w:tc>
        <w:tc>
          <w:tcPr>
            <w:tcW w:w="1558" w:type="dxa"/>
          </w:tcPr>
          <w:p w:rsidR="007C5447" w:rsidRDefault="00F6308C">
            <w:pPr>
              <w:pStyle w:val="TableParagraph"/>
              <w:spacing w:before="37"/>
              <w:ind w:right="92"/>
              <w:rPr>
                <w:b/>
              </w:rPr>
            </w:pPr>
            <w:r>
              <w:rPr>
                <w:b/>
              </w:rPr>
              <w:t>6,220.71</w:t>
            </w:r>
          </w:p>
        </w:tc>
      </w:tr>
      <w:tr w:rsidR="007C5447">
        <w:trPr>
          <w:trHeight w:val="331"/>
        </w:trPr>
        <w:tc>
          <w:tcPr>
            <w:tcW w:w="852" w:type="dxa"/>
          </w:tcPr>
          <w:p w:rsidR="007C5447" w:rsidRDefault="007C5447">
            <w:pPr>
              <w:pStyle w:val="TableParagraph"/>
              <w:jc w:val="left"/>
            </w:pPr>
          </w:p>
        </w:tc>
        <w:tc>
          <w:tcPr>
            <w:tcW w:w="3260" w:type="dxa"/>
          </w:tcPr>
          <w:p w:rsidR="007C5447" w:rsidRDefault="00F6308C">
            <w:pPr>
              <w:pStyle w:val="TableParagraph"/>
              <w:spacing w:before="40"/>
              <w:ind w:left="107"/>
              <w:jc w:val="left"/>
              <w:rPr>
                <w:b/>
              </w:rPr>
            </w:pPr>
            <w:r>
              <w:rPr>
                <w:b/>
              </w:rPr>
              <w:t>Thermal Stations</w:t>
            </w:r>
          </w:p>
        </w:tc>
        <w:tc>
          <w:tcPr>
            <w:tcW w:w="1419" w:type="dxa"/>
          </w:tcPr>
          <w:p w:rsidR="007C5447" w:rsidRDefault="007C5447">
            <w:pPr>
              <w:pStyle w:val="TableParagraph"/>
              <w:jc w:val="left"/>
            </w:pPr>
          </w:p>
        </w:tc>
        <w:tc>
          <w:tcPr>
            <w:tcW w:w="1419" w:type="dxa"/>
          </w:tcPr>
          <w:p w:rsidR="007C5447" w:rsidRDefault="007C5447">
            <w:pPr>
              <w:pStyle w:val="TableParagraph"/>
              <w:jc w:val="left"/>
            </w:pPr>
          </w:p>
        </w:tc>
        <w:tc>
          <w:tcPr>
            <w:tcW w:w="1558" w:type="dxa"/>
          </w:tcPr>
          <w:p w:rsidR="007C5447" w:rsidRDefault="007C5447">
            <w:pPr>
              <w:pStyle w:val="TableParagraph"/>
              <w:jc w:val="left"/>
            </w:pPr>
          </w:p>
        </w:tc>
      </w:tr>
      <w:tr w:rsidR="007C5447">
        <w:trPr>
          <w:trHeight w:val="330"/>
        </w:trPr>
        <w:tc>
          <w:tcPr>
            <w:tcW w:w="852" w:type="dxa"/>
          </w:tcPr>
          <w:p w:rsidR="007C5447" w:rsidRDefault="00F6308C">
            <w:pPr>
              <w:pStyle w:val="TableParagraph"/>
              <w:spacing w:before="37"/>
              <w:ind w:left="107"/>
              <w:jc w:val="left"/>
            </w:pPr>
            <w:r>
              <w:t>35</w:t>
            </w:r>
          </w:p>
        </w:tc>
        <w:tc>
          <w:tcPr>
            <w:tcW w:w="3260" w:type="dxa"/>
          </w:tcPr>
          <w:p w:rsidR="007C5447" w:rsidRDefault="00F6308C">
            <w:pPr>
              <w:pStyle w:val="TableParagraph"/>
              <w:spacing w:before="37"/>
              <w:ind w:left="107"/>
              <w:jc w:val="left"/>
            </w:pPr>
            <w:r>
              <w:t>NCPTS</w:t>
            </w:r>
          </w:p>
        </w:tc>
        <w:tc>
          <w:tcPr>
            <w:tcW w:w="1419" w:type="dxa"/>
          </w:tcPr>
          <w:p w:rsidR="007C5447" w:rsidRDefault="00F6308C">
            <w:pPr>
              <w:pStyle w:val="TableParagraph"/>
              <w:spacing w:before="37"/>
              <w:ind w:right="96"/>
            </w:pPr>
            <w:r>
              <w:t>4,039.76</w:t>
            </w:r>
          </w:p>
        </w:tc>
        <w:tc>
          <w:tcPr>
            <w:tcW w:w="1419" w:type="dxa"/>
          </w:tcPr>
          <w:p w:rsidR="007C5447" w:rsidRDefault="00F6308C">
            <w:pPr>
              <w:pStyle w:val="TableParagraph"/>
              <w:spacing w:before="37"/>
              <w:ind w:right="94"/>
            </w:pPr>
            <w:r>
              <w:t>4,415.46</w:t>
            </w:r>
          </w:p>
        </w:tc>
        <w:tc>
          <w:tcPr>
            <w:tcW w:w="1558" w:type="dxa"/>
          </w:tcPr>
          <w:p w:rsidR="007C5447" w:rsidRDefault="00F6308C">
            <w:pPr>
              <w:pStyle w:val="TableParagraph"/>
              <w:spacing w:before="37"/>
              <w:ind w:right="92"/>
            </w:pPr>
            <w:r>
              <w:t>4,502.82</w:t>
            </w:r>
          </w:p>
        </w:tc>
      </w:tr>
      <w:tr w:rsidR="007C5447">
        <w:trPr>
          <w:trHeight w:val="328"/>
        </w:trPr>
        <w:tc>
          <w:tcPr>
            <w:tcW w:w="852" w:type="dxa"/>
          </w:tcPr>
          <w:p w:rsidR="007C5447" w:rsidRDefault="00F6308C">
            <w:pPr>
              <w:pStyle w:val="TableParagraph"/>
              <w:spacing w:before="37"/>
              <w:ind w:left="107"/>
              <w:jc w:val="left"/>
            </w:pPr>
            <w:r>
              <w:t>36</w:t>
            </w:r>
          </w:p>
        </w:tc>
        <w:tc>
          <w:tcPr>
            <w:tcW w:w="3260" w:type="dxa"/>
          </w:tcPr>
          <w:p w:rsidR="007C5447" w:rsidRDefault="00F6308C">
            <w:pPr>
              <w:pStyle w:val="TableParagraph"/>
              <w:spacing w:before="37"/>
              <w:ind w:left="107"/>
              <w:jc w:val="left"/>
            </w:pPr>
            <w:r>
              <w:t>NCTPS Stage II</w:t>
            </w:r>
          </w:p>
        </w:tc>
        <w:tc>
          <w:tcPr>
            <w:tcW w:w="1419" w:type="dxa"/>
          </w:tcPr>
          <w:p w:rsidR="007C5447" w:rsidRDefault="00F6308C">
            <w:pPr>
              <w:pStyle w:val="TableParagraph"/>
              <w:spacing w:before="37"/>
              <w:ind w:right="96"/>
            </w:pPr>
            <w:r>
              <w:t>7,694.78</w:t>
            </w:r>
          </w:p>
        </w:tc>
        <w:tc>
          <w:tcPr>
            <w:tcW w:w="1419" w:type="dxa"/>
          </w:tcPr>
          <w:p w:rsidR="007C5447" w:rsidRDefault="00F6308C">
            <w:pPr>
              <w:pStyle w:val="TableParagraph"/>
              <w:spacing w:before="37"/>
              <w:ind w:right="94"/>
            </w:pPr>
            <w:r>
              <w:t>7,667.03</w:t>
            </w:r>
          </w:p>
        </w:tc>
        <w:tc>
          <w:tcPr>
            <w:tcW w:w="1558" w:type="dxa"/>
          </w:tcPr>
          <w:p w:rsidR="007C5447" w:rsidRDefault="00F6308C">
            <w:pPr>
              <w:pStyle w:val="TableParagraph"/>
              <w:spacing w:before="37"/>
              <w:ind w:right="92"/>
            </w:pPr>
            <w:r>
              <w:t>7,820.37</w:t>
            </w:r>
          </w:p>
        </w:tc>
      </w:tr>
      <w:tr w:rsidR="007C5447">
        <w:trPr>
          <w:trHeight w:val="330"/>
        </w:trPr>
        <w:tc>
          <w:tcPr>
            <w:tcW w:w="852" w:type="dxa"/>
          </w:tcPr>
          <w:p w:rsidR="007C5447" w:rsidRDefault="00F6308C">
            <w:pPr>
              <w:pStyle w:val="TableParagraph"/>
              <w:spacing w:before="39"/>
              <w:ind w:left="107"/>
              <w:jc w:val="left"/>
            </w:pPr>
            <w:r>
              <w:t>37</w:t>
            </w:r>
          </w:p>
        </w:tc>
        <w:tc>
          <w:tcPr>
            <w:tcW w:w="3260" w:type="dxa"/>
          </w:tcPr>
          <w:p w:rsidR="007C5447" w:rsidRDefault="00F6308C">
            <w:pPr>
              <w:pStyle w:val="TableParagraph"/>
              <w:spacing w:before="39"/>
              <w:ind w:left="107"/>
              <w:jc w:val="left"/>
            </w:pPr>
            <w:r>
              <w:t>E.T.P.S.</w:t>
            </w:r>
          </w:p>
        </w:tc>
        <w:tc>
          <w:tcPr>
            <w:tcW w:w="1419" w:type="dxa"/>
          </w:tcPr>
          <w:p w:rsidR="007C5447" w:rsidRDefault="00F6308C">
            <w:pPr>
              <w:pStyle w:val="TableParagraph"/>
              <w:spacing w:before="39"/>
              <w:ind w:right="96"/>
            </w:pPr>
            <w:r>
              <w:t>786.83</w:t>
            </w:r>
          </w:p>
        </w:tc>
        <w:tc>
          <w:tcPr>
            <w:tcW w:w="1419" w:type="dxa"/>
          </w:tcPr>
          <w:p w:rsidR="007C5447" w:rsidRDefault="00F6308C">
            <w:pPr>
              <w:pStyle w:val="TableParagraph"/>
              <w:spacing w:before="39"/>
              <w:ind w:right="97"/>
            </w:pPr>
            <w:r>
              <w:t>-</w:t>
            </w:r>
          </w:p>
        </w:tc>
        <w:tc>
          <w:tcPr>
            <w:tcW w:w="1558" w:type="dxa"/>
          </w:tcPr>
          <w:p w:rsidR="007C5447" w:rsidRDefault="00F6308C">
            <w:pPr>
              <w:pStyle w:val="TableParagraph"/>
              <w:spacing w:before="39"/>
              <w:ind w:right="95"/>
            </w:pPr>
            <w:r>
              <w:t>-</w:t>
            </w:r>
          </w:p>
        </w:tc>
      </w:tr>
      <w:tr w:rsidR="007C5447">
        <w:trPr>
          <w:trHeight w:val="330"/>
        </w:trPr>
        <w:tc>
          <w:tcPr>
            <w:tcW w:w="852" w:type="dxa"/>
          </w:tcPr>
          <w:p w:rsidR="007C5447" w:rsidRDefault="00F6308C">
            <w:pPr>
              <w:pStyle w:val="TableParagraph"/>
              <w:spacing w:before="37"/>
              <w:ind w:left="107"/>
              <w:jc w:val="left"/>
            </w:pPr>
            <w:r>
              <w:t>38</w:t>
            </w:r>
          </w:p>
        </w:tc>
        <w:tc>
          <w:tcPr>
            <w:tcW w:w="3260" w:type="dxa"/>
          </w:tcPr>
          <w:p w:rsidR="007C5447" w:rsidRDefault="00F6308C">
            <w:pPr>
              <w:pStyle w:val="TableParagraph"/>
              <w:spacing w:before="37"/>
              <w:ind w:left="107"/>
              <w:jc w:val="left"/>
            </w:pPr>
            <w:r>
              <w:t>M.T.P.S.</w:t>
            </w:r>
          </w:p>
        </w:tc>
        <w:tc>
          <w:tcPr>
            <w:tcW w:w="1419" w:type="dxa"/>
          </w:tcPr>
          <w:p w:rsidR="007C5447" w:rsidRDefault="00F6308C">
            <w:pPr>
              <w:pStyle w:val="TableParagraph"/>
              <w:spacing w:before="37"/>
              <w:ind w:right="96"/>
            </w:pPr>
            <w:r>
              <w:t>5,386.35</w:t>
            </w:r>
          </w:p>
        </w:tc>
        <w:tc>
          <w:tcPr>
            <w:tcW w:w="1419" w:type="dxa"/>
          </w:tcPr>
          <w:p w:rsidR="007C5447" w:rsidRDefault="00F6308C">
            <w:pPr>
              <w:pStyle w:val="TableParagraph"/>
              <w:spacing w:before="37"/>
              <w:ind w:right="94"/>
            </w:pPr>
            <w:r>
              <w:t>5,386.35</w:t>
            </w:r>
          </w:p>
        </w:tc>
        <w:tc>
          <w:tcPr>
            <w:tcW w:w="1558" w:type="dxa"/>
          </w:tcPr>
          <w:p w:rsidR="007C5447" w:rsidRDefault="00F6308C">
            <w:pPr>
              <w:pStyle w:val="TableParagraph"/>
              <w:spacing w:before="37"/>
              <w:ind w:right="92"/>
            </w:pPr>
            <w:r>
              <w:t>5,494.08</w:t>
            </w:r>
          </w:p>
        </w:tc>
      </w:tr>
      <w:tr w:rsidR="007C5447">
        <w:trPr>
          <w:trHeight w:val="328"/>
        </w:trPr>
        <w:tc>
          <w:tcPr>
            <w:tcW w:w="852" w:type="dxa"/>
          </w:tcPr>
          <w:p w:rsidR="007C5447" w:rsidRDefault="00F6308C">
            <w:pPr>
              <w:pStyle w:val="TableParagraph"/>
              <w:spacing w:before="37"/>
              <w:ind w:left="107"/>
              <w:jc w:val="left"/>
            </w:pPr>
            <w:r>
              <w:t>39</w:t>
            </w:r>
          </w:p>
        </w:tc>
        <w:tc>
          <w:tcPr>
            <w:tcW w:w="3260" w:type="dxa"/>
          </w:tcPr>
          <w:p w:rsidR="007C5447" w:rsidRDefault="00F6308C">
            <w:pPr>
              <w:pStyle w:val="TableParagraph"/>
              <w:spacing w:before="37"/>
              <w:ind w:left="107"/>
              <w:jc w:val="left"/>
            </w:pPr>
            <w:r>
              <w:t>MTPS Stage III</w:t>
            </w:r>
          </w:p>
        </w:tc>
        <w:tc>
          <w:tcPr>
            <w:tcW w:w="1419" w:type="dxa"/>
          </w:tcPr>
          <w:p w:rsidR="007C5447" w:rsidRDefault="00F6308C">
            <w:pPr>
              <w:pStyle w:val="TableParagraph"/>
              <w:spacing w:before="37"/>
              <w:ind w:right="96"/>
            </w:pPr>
            <w:r>
              <w:t>3,833.52</w:t>
            </w:r>
          </w:p>
        </w:tc>
        <w:tc>
          <w:tcPr>
            <w:tcW w:w="1419" w:type="dxa"/>
          </w:tcPr>
          <w:p w:rsidR="007C5447" w:rsidRDefault="00F6308C">
            <w:pPr>
              <w:pStyle w:val="TableParagraph"/>
              <w:spacing w:before="37"/>
              <w:ind w:right="94"/>
            </w:pPr>
            <w:r>
              <w:t>3,833.52</w:t>
            </w:r>
          </w:p>
        </w:tc>
        <w:tc>
          <w:tcPr>
            <w:tcW w:w="1558" w:type="dxa"/>
          </w:tcPr>
          <w:p w:rsidR="007C5447" w:rsidRDefault="00F6308C">
            <w:pPr>
              <w:pStyle w:val="TableParagraph"/>
              <w:spacing w:before="37"/>
              <w:ind w:right="92"/>
            </w:pPr>
            <w:r>
              <w:t>3,910.19</w:t>
            </w:r>
          </w:p>
        </w:tc>
      </w:tr>
      <w:tr w:rsidR="007C5447">
        <w:trPr>
          <w:trHeight w:val="330"/>
        </w:trPr>
        <w:tc>
          <w:tcPr>
            <w:tcW w:w="852" w:type="dxa"/>
          </w:tcPr>
          <w:p w:rsidR="007C5447" w:rsidRDefault="00F6308C">
            <w:pPr>
              <w:pStyle w:val="TableParagraph"/>
              <w:spacing w:before="39"/>
              <w:ind w:left="107"/>
              <w:jc w:val="left"/>
            </w:pPr>
            <w:r>
              <w:t>40</w:t>
            </w:r>
          </w:p>
        </w:tc>
        <w:tc>
          <w:tcPr>
            <w:tcW w:w="3260" w:type="dxa"/>
          </w:tcPr>
          <w:p w:rsidR="007C5447" w:rsidRDefault="00F6308C">
            <w:pPr>
              <w:pStyle w:val="TableParagraph"/>
              <w:spacing w:before="39"/>
              <w:ind w:left="107"/>
              <w:jc w:val="left"/>
            </w:pPr>
            <w:r>
              <w:t>T.T.P.S.</w:t>
            </w:r>
          </w:p>
        </w:tc>
        <w:tc>
          <w:tcPr>
            <w:tcW w:w="1419" w:type="dxa"/>
          </w:tcPr>
          <w:p w:rsidR="007C5447" w:rsidRDefault="00F6308C">
            <w:pPr>
              <w:pStyle w:val="TableParagraph"/>
              <w:spacing w:before="39"/>
              <w:ind w:right="96"/>
            </w:pPr>
            <w:r>
              <w:t>6,732.94</w:t>
            </w:r>
          </w:p>
        </w:tc>
        <w:tc>
          <w:tcPr>
            <w:tcW w:w="1419" w:type="dxa"/>
          </w:tcPr>
          <w:p w:rsidR="007C5447" w:rsidRDefault="00F6308C">
            <w:pPr>
              <w:pStyle w:val="TableParagraph"/>
              <w:spacing w:before="39"/>
              <w:ind w:right="94"/>
            </w:pPr>
            <w:r>
              <w:t>6,732.94</w:t>
            </w:r>
          </w:p>
        </w:tc>
        <w:tc>
          <w:tcPr>
            <w:tcW w:w="1558" w:type="dxa"/>
          </w:tcPr>
          <w:p w:rsidR="007C5447" w:rsidRDefault="00F6308C">
            <w:pPr>
              <w:pStyle w:val="TableParagraph"/>
              <w:spacing w:before="39"/>
              <w:ind w:right="92"/>
            </w:pPr>
            <w:r>
              <w:t>6,867.59</w:t>
            </w:r>
          </w:p>
        </w:tc>
      </w:tr>
    </w:tbl>
    <w:p w:rsidR="007C5447" w:rsidRDefault="007C5447">
      <w:pPr>
        <w:sectPr w:rsidR="007C5447">
          <w:pgSz w:w="11910" w:h="16840"/>
          <w:pgMar w:top="1420" w:right="620" w:bottom="960" w:left="900" w:header="0" w:footer="777" w:gutter="0"/>
          <w:cols w:space="720"/>
        </w:sectPr>
      </w:pPr>
    </w:p>
    <w:tbl>
      <w:tblPr>
        <w:tblW w:w="0" w:type="auto"/>
        <w:tblInd w:w="1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2"/>
        <w:gridCol w:w="3260"/>
        <w:gridCol w:w="1419"/>
        <w:gridCol w:w="1419"/>
        <w:gridCol w:w="1558"/>
      </w:tblGrid>
      <w:tr w:rsidR="007C5447">
        <w:trPr>
          <w:trHeight w:val="328"/>
        </w:trPr>
        <w:tc>
          <w:tcPr>
            <w:tcW w:w="852" w:type="dxa"/>
            <w:tcBorders>
              <w:bottom w:val="single" w:sz="6" w:space="0" w:color="000000"/>
            </w:tcBorders>
            <w:shd w:val="clear" w:color="auto" w:fill="F7C9AC"/>
          </w:tcPr>
          <w:p w:rsidR="007C5447" w:rsidRDefault="00F6308C">
            <w:pPr>
              <w:pStyle w:val="TableParagraph"/>
              <w:spacing w:before="37"/>
              <w:ind w:left="107"/>
              <w:jc w:val="left"/>
              <w:rPr>
                <w:b/>
              </w:rPr>
            </w:pPr>
            <w:r>
              <w:rPr>
                <w:b/>
              </w:rPr>
              <w:lastRenderedPageBreak/>
              <w:t>Sl.</w:t>
            </w:r>
          </w:p>
        </w:tc>
        <w:tc>
          <w:tcPr>
            <w:tcW w:w="3260" w:type="dxa"/>
            <w:tcBorders>
              <w:bottom w:val="single" w:sz="6" w:space="0" w:color="000000"/>
            </w:tcBorders>
            <w:shd w:val="clear" w:color="auto" w:fill="F7C9AC"/>
          </w:tcPr>
          <w:p w:rsidR="007C5447" w:rsidRDefault="00F6308C">
            <w:pPr>
              <w:pStyle w:val="TableParagraph"/>
              <w:spacing w:before="37"/>
              <w:ind w:left="107"/>
              <w:jc w:val="left"/>
              <w:rPr>
                <w:b/>
              </w:rPr>
            </w:pPr>
            <w:r>
              <w:rPr>
                <w:b/>
              </w:rPr>
              <w:t>Name of Station</w:t>
            </w:r>
          </w:p>
        </w:tc>
        <w:tc>
          <w:tcPr>
            <w:tcW w:w="1419" w:type="dxa"/>
            <w:tcBorders>
              <w:bottom w:val="single" w:sz="6" w:space="0" w:color="000000"/>
            </w:tcBorders>
            <w:shd w:val="clear" w:color="auto" w:fill="F7C9AC"/>
          </w:tcPr>
          <w:p w:rsidR="007C5447" w:rsidRDefault="00F6308C">
            <w:pPr>
              <w:pStyle w:val="TableParagraph"/>
              <w:spacing w:before="37"/>
              <w:ind w:right="96"/>
              <w:rPr>
                <w:b/>
              </w:rPr>
            </w:pPr>
            <w:r>
              <w:rPr>
                <w:b/>
              </w:rPr>
              <w:t>FY 2016-17</w:t>
            </w:r>
          </w:p>
        </w:tc>
        <w:tc>
          <w:tcPr>
            <w:tcW w:w="1419" w:type="dxa"/>
            <w:tcBorders>
              <w:bottom w:val="single" w:sz="6" w:space="0" w:color="000000"/>
            </w:tcBorders>
            <w:shd w:val="clear" w:color="auto" w:fill="F7C9AC"/>
          </w:tcPr>
          <w:p w:rsidR="007C5447" w:rsidRDefault="00F6308C">
            <w:pPr>
              <w:pStyle w:val="TableParagraph"/>
              <w:spacing w:before="37"/>
              <w:ind w:right="94"/>
              <w:rPr>
                <w:b/>
              </w:rPr>
            </w:pPr>
            <w:r>
              <w:rPr>
                <w:b/>
              </w:rPr>
              <w:t>FY 2017-18</w:t>
            </w:r>
          </w:p>
        </w:tc>
        <w:tc>
          <w:tcPr>
            <w:tcW w:w="1558" w:type="dxa"/>
            <w:tcBorders>
              <w:bottom w:val="single" w:sz="6" w:space="0" w:color="000000"/>
            </w:tcBorders>
            <w:shd w:val="clear" w:color="auto" w:fill="F7C9AC"/>
          </w:tcPr>
          <w:p w:rsidR="007C5447" w:rsidRDefault="00F6308C">
            <w:pPr>
              <w:pStyle w:val="TableParagraph"/>
              <w:spacing w:before="37"/>
              <w:ind w:right="92"/>
              <w:rPr>
                <w:b/>
              </w:rPr>
            </w:pPr>
            <w:r>
              <w:rPr>
                <w:b/>
              </w:rPr>
              <w:t>FY 2018-19</w:t>
            </w:r>
          </w:p>
        </w:tc>
      </w:tr>
      <w:tr w:rsidR="007C5447">
        <w:trPr>
          <w:trHeight w:val="326"/>
        </w:trPr>
        <w:tc>
          <w:tcPr>
            <w:tcW w:w="852" w:type="dxa"/>
            <w:tcBorders>
              <w:top w:val="single" w:sz="6" w:space="0" w:color="000000"/>
            </w:tcBorders>
          </w:tcPr>
          <w:p w:rsidR="007C5447" w:rsidRDefault="00F6308C">
            <w:pPr>
              <w:pStyle w:val="TableParagraph"/>
              <w:spacing w:before="34"/>
              <w:ind w:left="107"/>
              <w:jc w:val="left"/>
            </w:pPr>
            <w:r>
              <w:t>41</w:t>
            </w:r>
          </w:p>
        </w:tc>
        <w:tc>
          <w:tcPr>
            <w:tcW w:w="3260" w:type="dxa"/>
            <w:tcBorders>
              <w:top w:val="single" w:sz="6" w:space="0" w:color="000000"/>
            </w:tcBorders>
          </w:tcPr>
          <w:p w:rsidR="007C5447" w:rsidRDefault="00F6308C">
            <w:pPr>
              <w:pStyle w:val="TableParagraph"/>
              <w:spacing w:before="34"/>
              <w:ind w:left="107"/>
              <w:jc w:val="left"/>
            </w:pPr>
            <w:r>
              <w:t>Ennore Expansion</w:t>
            </w:r>
          </w:p>
        </w:tc>
        <w:tc>
          <w:tcPr>
            <w:tcW w:w="1419" w:type="dxa"/>
            <w:tcBorders>
              <w:top w:val="single" w:sz="6" w:space="0" w:color="000000"/>
            </w:tcBorders>
          </w:tcPr>
          <w:p w:rsidR="007C5447" w:rsidRDefault="00F6308C">
            <w:pPr>
              <w:pStyle w:val="TableParagraph"/>
              <w:spacing w:before="34"/>
              <w:ind w:right="99"/>
            </w:pPr>
            <w:r>
              <w:t>-</w:t>
            </w:r>
          </w:p>
        </w:tc>
        <w:tc>
          <w:tcPr>
            <w:tcW w:w="1419" w:type="dxa"/>
            <w:tcBorders>
              <w:top w:val="single" w:sz="6" w:space="0" w:color="000000"/>
            </w:tcBorders>
          </w:tcPr>
          <w:p w:rsidR="007C5447" w:rsidRDefault="00F6308C">
            <w:pPr>
              <w:pStyle w:val="TableParagraph"/>
              <w:spacing w:before="34"/>
              <w:ind w:right="97"/>
            </w:pPr>
            <w:r>
              <w:t>-</w:t>
            </w:r>
          </w:p>
        </w:tc>
        <w:tc>
          <w:tcPr>
            <w:tcW w:w="1558" w:type="dxa"/>
            <w:tcBorders>
              <w:top w:val="single" w:sz="6" w:space="0" w:color="000000"/>
            </w:tcBorders>
          </w:tcPr>
          <w:p w:rsidR="007C5447" w:rsidRDefault="00F6308C">
            <w:pPr>
              <w:pStyle w:val="TableParagraph"/>
              <w:spacing w:before="34"/>
              <w:ind w:right="92"/>
            </w:pPr>
            <w:r>
              <w:t>1,735.17</w:t>
            </w:r>
          </w:p>
        </w:tc>
      </w:tr>
      <w:tr w:rsidR="007C5447">
        <w:trPr>
          <w:trHeight w:val="330"/>
        </w:trPr>
        <w:tc>
          <w:tcPr>
            <w:tcW w:w="852" w:type="dxa"/>
          </w:tcPr>
          <w:p w:rsidR="007C5447" w:rsidRDefault="007C5447">
            <w:pPr>
              <w:pStyle w:val="TableParagraph"/>
              <w:jc w:val="left"/>
            </w:pPr>
          </w:p>
        </w:tc>
        <w:tc>
          <w:tcPr>
            <w:tcW w:w="3260" w:type="dxa"/>
          </w:tcPr>
          <w:p w:rsidR="007C5447" w:rsidRDefault="00F6308C">
            <w:pPr>
              <w:pStyle w:val="TableParagraph"/>
              <w:spacing w:before="39"/>
              <w:ind w:left="107"/>
              <w:jc w:val="left"/>
              <w:rPr>
                <w:b/>
              </w:rPr>
            </w:pPr>
            <w:r>
              <w:rPr>
                <w:b/>
              </w:rPr>
              <w:t>Sub Total Thermal 1(b)</w:t>
            </w:r>
          </w:p>
        </w:tc>
        <w:tc>
          <w:tcPr>
            <w:tcW w:w="1419" w:type="dxa"/>
          </w:tcPr>
          <w:p w:rsidR="007C5447" w:rsidRDefault="00F6308C">
            <w:pPr>
              <w:pStyle w:val="TableParagraph"/>
              <w:spacing w:before="39"/>
              <w:ind w:right="96"/>
              <w:rPr>
                <w:b/>
              </w:rPr>
            </w:pPr>
            <w:r>
              <w:rPr>
                <w:b/>
              </w:rPr>
              <w:t>28,474.18</w:t>
            </w:r>
          </w:p>
        </w:tc>
        <w:tc>
          <w:tcPr>
            <w:tcW w:w="1419" w:type="dxa"/>
          </w:tcPr>
          <w:p w:rsidR="007C5447" w:rsidRDefault="00F6308C">
            <w:pPr>
              <w:pStyle w:val="TableParagraph"/>
              <w:spacing w:before="39"/>
              <w:ind w:right="94"/>
              <w:rPr>
                <w:b/>
              </w:rPr>
            </w:pPr>
            <w:r>
              <w:rPr>
                <w:b/>
              </w:rPr>
              <w:t>28,035.29</w:t>
            </w:r>
          </w:p>
        </w:tc>
        <w:tc>
          <w:tcPr>
            <w:tcW w:w="1558" w:type="dxa"/>
          </w:tcPr>
          <w:p w:rsidR="007C5447" w:rsidRDefault="00F6308C">
            <w:pPr>
              <w:pStyle w:val="TableParagraph"/>
              <w:spacing w:before="39"/>
              <w:ind w:right="92"/>
              <w:rPr>
                <w:b/>
              </w:rPr>
            </w:pPr>
            <w:r>
              <w:rPr>
                <w:b/>
              </w:rPr>
              <w:t>30,330.22</w:t>
            </w:r>
          </w:p>
        </w:tc>
      </w:tr>
      <w:tr w:rsidR="007C5447">
        <w:trPr>
          <w:trHeight w:val="330"/>
        </w:trPr>
        <w:tc>
          <w:tcPr>
            <w:tcW w:w="852" w:type="dxa"/>
          </w:tcPr>
          <w:p w:rsidR="007C5447" w:rsidRDefault="007C5447">
            <w:pPr>
              <w:pStyle w:val="TableParagraph"/>
              <w:jc w:val="left"/>
            </w:pPr>
          </w:p>
        </w:tc>
        <w:tc>
          <w:tcPr>
            <w:tcW w:w="3260" w:type="dxa"/>
          </w:tcPr>
          <w:p w:rsidR="007C5447" w:rsidRDefault="00F6308C">
            <w:pPr>
              <w:pStyle w:val="TableParagraph"/>
              <w:spacing w:before="37"/>
              <w:ind w:left="107"/>
              <w:jc w:val="left"/>
              <w:rPr>
                <w:b/>
              </w:rPr>
            </w:pPr>
            <w:r>
              <w:rPr>
                <w:b/>
              </w:rPr>
              <w:t>Gas</w:t>
            </w:r>
          </w:p>
        </w:tc>
        <w:tc>
          <w:tcPr>
            <w:tcW w:w="1419" w:type="dxa"/>
          </w:tcPr>
          <w:p w:rsidR="007C5447" w:rsidRDefault="007C5447">
            <w:pPr>
              <w:pStyle w:val="TableParagraph"/>
              <w:jc w:val="left"/>
            </w:pPr>
          </w:p>
        </w:tc>
        <w:tc>
          <w:tcPr>
            <w:tcW w:w="1419" w:type="dxa"/>
          </w:tcPr>
          <w:p w:rsidR="007C5447" w:rsidRDefault="007C5447">
            <w:pPr>
              <w:pStyle w:val="TableParagraph"/>
              <w:jc w:val="left"/>
            </w:pPr>
          </w:p>
        </w:tc>
        <w:tc>
          <w:tcPr>
            <w:tcW w:w="1558" w:type="dxa"/>
          </w:tcPr>
          <w:p w:rsidR="007C5447" w:rsidRDefault="007C5447">
            <w:pPr>
              <w:pStyle w:val="TableParagraph"/>
              <w:jc w:val="left"/>
            </w:pPr>
          </w:p>
        </w:tc>
      </w:tr>
      <w:tr w:rsidR="007C5447">
        <w:trPr>
          <w:trHeight w:val="328"/>
        </w:trPr>
        <w:tc>
          <w:tcPr>
            <w:tcW w:w="852" w:type="dxa"/>
          </w:tcPr>
          <w:p w:rsidR="007C5447" w:rsidRDefault="00F6308C">
            <w:pPr>
              <w:pStyle w:val="TableParagraph"/>
              <w:spacing w:before="37"/>
              <w:ind w:left="107"/>
              <w:jc w:val="left"/>
            </w:pPr>
            <w:r>
              <w:t>42</w:t>
            </w:r>
          </w:p>
        </w:tc>
        <w:tc>
          <w:tcPr>
            <w:tcW w:w="3260" w:type="dxa"/>
          </w:tcPr>
          <w:p w:rsidR="007C5447" w:rsidRDefault="00F6308C">
            <w:pPr>
              <w:pStyle w:val="TableParagraph"/>
              <w:spacing w:before="37"/>
              <w:ind w:left="107"/>
              <w:jc w:val="left"/>
            </w:pPr>
            <w:r>
              <w:t>Tirumakottai GTPS</w:t>
            </w:r>
          </w:p>
        </w:tc>
        <w:tc>
          <w:tcPr>
            <w:tcW w:w="1419" w:type="dxa"/>
          </w:tcPr>
          <w:p w:rsidR="007C5447" w:rsidRDefault="00F6308C">
            <w:pPr>
              <w:pStyle w:val="TableParagraph"/>
              <w:spacing w:before="37"/>
              <w:ind w:right="96"/>
            </w:pPr>
            <w:r>
              <w:t>710.66</w:t>
            </w:r>
          </w:p>
        </w:tc>
        <w:tc>
          <w:tcPr>
            <w:tcW w:w="1419" w:type="dxa"/>
          </w:tcPr>
          <w:p w:rsidR="007C5447" w:rsidRDefault="00F6308C">
            <w:pPr>
              <w:pStyle w:val="TableParagraph"/>
              <w:spacing w:before="37"/>
              <w:ind w:right="94"/>
            </w:pPr>
            <w:r>
              <w:t>756.85</w:t>
            </w:r>
          </w:p>
        </w:tc>
        <w:tc>
          <w:tcPr>
            <w:tcW w:w="1558" w:type="dxa"/>
          </w:tcPr>
          <w:p w:rsidR="007C5447" w:rsidRDefault="00F6308C">
            <w:pPr>
              <w:pStyle w:val="TableParagraph"/>
              <w:spacing w:before="37"/>
              <w:ind w:right="92"/>
            </w:pPr>
            <w:r>
              <w:t>772.84</w:t>
            </w:r>
          </w:p>
        </w:tc>
      </w:tr>
      <w:tr w:rsidR="007C5447">
        <w:trPr>
          <w:trHeight w:val="330"/>
        </w:trPr>
        <w:tc>
          <w:tcPr>
            <w:tcW w:w="852" w:type="dxa"/>
          </w:tcPr>
          <w:p w:rsidR="007C5447" w:rsidRDefault="00F6308C">
            <w:pPr>
              <w:pStyle w:val="TableParagraph"/>
              <w:spacing w:before="39"/>
              <w:ind w:left="107"/>
              <w:jc w:val="left"/>
            </w:pPr>
            <w:r>
              <w:t>43</w:t>
            </w:r>
          </w:p>
        </w:tc>
        <w:tc>
          <w:tcPr>
            <w:tcW w:w="3260" w:type="dxa"/>
          </w:tcPr>
          <w:p w:rsidR="007C5447" w:rsidRDefault="00F6308C">
            <w:pPr>
              <w:pStyle w:val="TableParagraph"/>
              <w:spacing w:before="39"/>
              <w:ind w:left="107"/>
              <w:jc w:val="left"/>
            </w:pPr>
            <w:r>
              <w:t>Kuttalam GTPS</w:t>
            </w:r>
          </w:p>
        </w:tc>
        <w:tc>
          <w:tcPr>
            <w:tcW w:w="1419" w:type="dxa"/>
          </w:tcPr>
          <w:p w:rsidR="007C5447" w:rsidRDefault="00F6308C">
            <w:pPr>
              <w:pStyle w:val="TableParagraph"/>
              <w:spacing w:before="39"/>
              <w:ind w:right="96"/>
            </w:pPr>
            <w:r>
              <w:t>658.75</w:t>
            </w:r>
          </w:p>
        </w:tc>
        <w:tc>
          <w:tcPr>
            <w:tcW w:w="1419" w:type="dxa"/>
          </w:tcPr>
          <w:p w:rsidR="007C5447" w:rsidRDefault="00F6308C">
            <w:pPr>
              <w:pStyle w:val="TableParagraph"/>
              <w:spacing w:before="39"/>
              <w:ind w:right="94"/>
            </w:pPr>
            <w:r>
              <w:t>706.51</w:t>
            </w:r>
          </w:p>
        </w:tc>
        <w:tc>
          <w:tcPr>
            <w:tcW w:w="1558" w:type="dxa"/>
          </w:tcPr>
          <w:p w:rsidR="007C5447" w:rsidRDefault="00F6308C">
            <w:pPr>
              <w:pStyle w:val="TableParagraph"/>
              <w:spacing w:before="39"/>
              <w:ind w:right="92"/>
            </w:pPr>
            <w:r>
              <w:t>720.51</w:t>
            </w:r>
          </w:p>
        </w:tc>
      </w:tr>
      <w:tr w:rsidR="007C5447">
        <w:trPr>
          <w:trHeight w:val="330"/>
        </w:trPr>
        <w:tc>
          <w:tcPr>
            <w:tcW w:w="852" w:type="dxa"/>
          </w:tcPr>
          <w:p w:rsidR="007C5447" w:rsidRDefault="00F6308C">
            <w:pPr>
              <w:pStyle w:val="TableParagraph"/>
              <w:spacing w:before="37"/>
              <w:ind w:left="107"/>
              <w:jc w:val="left"/>
            </w:pPr>
            <w:r>
              <w:t>44</w:t>
            </w:r>
          </w:p>
        </w:tc>
        <w:tc>
          <w:tcPr>
            <w:tcW w:w="3260" w:type="dxa"/>
          </w:tcPr>
          <w:p w:rsidR="007C5447" w:rsidRDefault="00F6308C">
            <w:pPr>
              <w:pStyle w:val="TableParagraph"/>
              <w:spacing w:before="37"/>
              <w:ind w:left="107"/>
              <w:jc w:val="left"/>
            </w:pPr>
            <w:r>
              <w:t>Basin Bridge GTPS</w:t>
            </w:r>
          </w:p>
        </w:tc>
        <w:tc>
          <w:tcPr>
            <w:tcW w:w="1419" w:type="dxa"/>
          </w:tcPr>
          <w:p w:rsidR="007C5447" w:rsidRDefault="00F6308C">
            <w:pPr>
              <w:pStyle w:val="TableParagraph"/>
              <w:spacing w:before="37"/>
              <w:ind w:right="96"/>
            </w:pPr>
            <w:r>
              <w:t>6.24</w:t>
            </w:r>
          </w:p>
        </w:tc>
        <w:tc>
          <w:tcPr>
            <w:tcW w:w="1419" w:type="dxa"/>
          </w:tcPr>
          <w:p w:rsidR="007C5447" w:rsidRDefault="00F6308C">
            <w:pPr>
              <w:pStyle w:val="TableParagraph"/>
              <w:spacing w:before="37"/>
              <w:ind w:right="94"/>
            </w:pPr>
            <w:r>
              <w:t>6.24</w:t>
            </w:r>
          </w:p>
        </w:tc>
        <w:tc>
          <w:tcPr>
            <w:tcW w:w="1558" w:type="dxa"/>
          </w:tcPr>
          <w:p w:rsidR="007C5447" w:rsidRDefault="00F6308C">
            <w:pPr>
              <w:pStyle w:val="TableParagraph"/>
              <w:spacing w:before="37"/>
              <w:ind w:right="92"/>
            </w:pPr>
            <w:r>
              <w:t>6.24</w:t>
            </w:r>
          </w:p>
        </w:tc>
      </w:tr>
      <w:tr w:rsidR="007C5447">
        <w:trPr>
          <w:trHeight w:val="328"/>
        </w:trPr>
        <w:tc>
          <w:tcPr>
            <w:tcW w:w="852" w:type="dxa"/>
          </w:tcPr>
          <w:p w:rsidR="007C5447" w:rsidRDefault="00F6308C">
            <w:pPr>
              <w:pStyle w:val="TableParagraph"/>
              <w:spacing w:before="37"/>
              <w:ind w:left="107"/>
              <w:jc w:val="left"/>
            </w:pPr>
            <w:r>
              <w:t>45</w:t>
            </w:r>
          </w:p>
        </w:tc>
        <w:tc>
          <w:tcPr>
            <w:tcW w:w="3260" w:type="dxa"/>
          </w:tcPr>
          <w:p w:rsidR="007C5447" w:rsidRDefault="00F6308C">
            <w:pPr>
              <w:pStyle w:val="TableParagraph"/>
              <w:spacing w:before="37"/>
              <w:ind w:left="107"/>
              <w:jc w:val="left"/>
            </w:pPr>
            <w:r>
              <w:t>Valathur GTPS</w:t>
            </w:r>
          </w:p>
        </w:tc>
        <w:tc>
          <w:tcPr>
            <w:tcW w:w="1419" w:type="dxa"/>
          </w:tcPr>
          <w:p w:rsidR="007C5447" w:rsidRDefault="00F6308C">
            <w:pPr>
              <w:pStyle w:val="TableParagraph"/>
              <w:spacing w:before="37"/>
              <w:ind w:right="96"/>
            </w:pPr>
            <w:r>
              <w:t>625.81</w:t>
            </w:r>
          </w:p>
        </w:tc>
        <w:tc>
          <w:tcPr>
            <w:tcW w:w="1419" w:type="dxa"/>
          </w:tcPr>
          <w:p w:rsidR="007C5447" w:rsidRDefault="00F6308C">
            <w:pPr>
              <w:pStyle w:val="TableParagraph"/>
              <w:spacing w:before="37"/>
              <w:ind w:right="94"/>
            </w:pPr>
            <w:r>
              <w:t>1,286.68</w:t>
            </w:r>
          </w:p>
        </w:tc>
        <w:tc>
          <w:tcPr>
            <w:tcW w:w="1558" w:type="dxa"/>
          </w:tcPr>
          <w:p w:rsidR="007C5447" w:rsidRDefault="00F6308C">
            <w:pPr>
              <w:pStyle w:val="TableParagraph"/>
              <w:spacing w:before="37"/>
              <w:ind w:right="92"/>
            </w:pPr>
            <w:r>
              <w:t>1,313.48</w:t>
            </w:r>
          </w:p>
        </w:tc>
      </w:tr>
      <w:tr w:rsidR="007C5447">
        <w:trPr>
          <w:trHeight w:val="330"/>
        </w:trPr>
        <w:tc>
          <w:tcPr>
            <w:tcW w:w="852" w:type="dxa"/>
          </w:tcPr>
          <w:p w:rsidR="007C5447" w:rsidRDefault="007C5447">
            <w:pPr>
              <w:pStyle w:val="TableParagraph"/>
              <w:jc w:val="left"/>
            </w:pPr>
          </w:p>
        </w:tc>
        <w:tc>
          <w:tcPr>
            <w:tcW w:w="3260" w:type="dxa"/>
          </w:tcPr>
          <w:p w:rsidR="007C5447" w:rsidRDefault="00F6308C">
            <w:pPr>
              <w:pStyle w:val="TableParagraph"/>
              <w:spacing w:before="39"/>
              <w:ind w:left="107"/>
              <w:jc w:val="left"/>
              <w:rPr>
                <w:b/>
              </w:rPr>
            </w:pPr>
            <w:r>
              <w:rPr>
                <w:b/>
              </w:rPr>
              <w:t>Sub Total gas 1(c)</w:t>
            </w:r>
          </w:p>
        </w:tc>
        <w:tc>
          <w:tcPr>
            <w:tcW w:w="1419" w:type="dxa"/>
          </w:tcPr>
          <w:p w:rsidR="007C5447" w:rsidRDefault="00F6308C">
            <w:pPr>
              <w:pStyle w:val="TableParagraph"/>
              <w:spacing w:before="39"/>
              <w:ind w:right="96"/>
              <w:rPr>
                <w:b/>
              </w:rPr>
            </w:pPr>
            <w:r>
              <w:rPr>
                <w:b/>
              </w:rPr>
              <w:t>2,001.47</w:t>
            </w:r>
          </w:p>
        </w:tc>
        <w:tc>
          <w:tcPr>
            <w:tcW w:w="1419" w:type="dxa"/>
          </w:tcPr>
          <w:p w:rsidR="007C5447" w:rsidRDefault="00F6308C">
            <w:pPr>
              <w:pStyle w:val="TableParagraph"/>
              <w:spacing w:before="39"/>
              <w:ind w:right="94"/>
              <w:rPr>
                <w:b/>
              </w:rPr>
            </w:pPr>
            <w:r>
              <w:rPr>
                <w:b/>
              </w:rPr>
              <w:t>2,756.30</w:t>
            </w:r>
          </w:p>
        </w:tc>
        <w:tc>
          <w:tcPr>
            <w:tcW w:w="1558" w:type="dxa"/>
          </w:tcPr>
          <w:p w:rsidR="007C5447" w:rsidRDefault="00F6308C">
            <w:pPr>
              <w:pStyle w:val="TableParagraph"/>
              <w:spacing w:before="39"/>
              <w:ind w:right="92"/>
              <w:rPr>
                <w:b/>
              </w:rPr>
            </w:pPr>
            <w:r>
              <w:rPr>
                <w:b/>
              </w:rPr>
              <w:t>2,813.08</w:t>
            </w:r>
          </w:p>
        </w:tc>
      </w:tr>
      <w:tr w:rsidR="007C5447">
        <w:trPr>
          <w:trHeight w:val="330"/>
        </w:trPr>
        <w:tc>
          <w:tcPr>
            <w:tcW w:w="852" w:type="dxa"/>
          </w:tcPr>
          <w:p w:rsidR="007C5447" w:rsidRDefault="00F6308C">
            <w:pPr>
              <w:pStyle w:val="TableParagraph"/>
              <w:spacing w:before="37"/>
              <w:ind w:left="107"/>
              <w:jc w:val="left"/>
            </w:pPr>
            <w:r>
              <w:t>46</w:t>
            </w:r>
          </w:p>
        </w:tc>
        <w:tc>
          <w:tcPr>
            <w:tcW w:w="3260" w:type="dxa"/>
          </w:tcPr>
          <w:p w:rsidR="007C5447" w:rsidRDefault="00F6308C">
            <w:pPr>
              <w:pStyle w:val="TableParagraph"/>
              <w:spacing w:before="37"/>
              <w:ind w:left="107"/>
              <w:jc w:val="left"/>
            </w:pPr>
            <w:r>
              <w:t>Wind</w:t>
            </w:r>
          </w:p>
        </w:tc>
        <w:tc>
          <w:tcPr>
            <w:tcW w:w="1419" w:type="dxa"/>
          </w:tcPr>
          <w:p w:rsidR="007C5447" w:rsidRDefault="00F6308C">
            <w:pPr>
              <w:pStyle w:val="TableParagraph"/>
              <w:spacing w:before="37"/>
              <w:ind w:right="100"/>
            </w:pPr>
            <w:r>
              <w:t>12</w:t>
            </w:r>
          </w:p>
        </w:tc>
        <w:tc>
          <w:tcPr>
            <w:tcW w:w="1419" w:type="dxa"/>
          </w:tcPr>
          <w:p w:rsidR="007C5447" w:rsidRDefault="00F6308C">
            <w:pPr>
              <w:pStyle w:val="TableParagraph"/>
              <w:spacing w:before="37"/>
              <w:ind w:right="97"/>
            </w:pPr>
            <w:r>
              <w:t>12</w:t>
            </w:r>
          </w:p>
        </w:tc>
        <w:tc>
          <w:tcPr>
            <w:tcW w:w="1558" w:type="dxa"/>
          </w:tcPr>
          <w:p w:rsidR="007C5447" w:rsidRDefault="00F6308C">
            <w:pPr>
              <w:pStyle w:val="TableParagraph"/>
              <w:spacing w:before="37"/>
              <w:ind w:right="94"/>
            </w:pPr>
            <w:r>
              <w:t>12</w:t>
            </w:r>
          </w:p>
        </w:tc>
      </w:tr>
      <w:tr w:rsidR="007C5447">
        <w:trPr>
          <w:trHeight w:val="535"/>
        </w:trPr>
        <w:tc>
          <w:tcPr>
            <w:tcW w:w="852" w:type="dxa"/>
          </w:tcPr>
          <w:p w:rsidR="007C5447" w:rsidRDefault="00F6308C">
            <w:pPr>
              <w:pStyle w:val="TableParagraph"/>
              <w:spacing w:before="140"/>
              <w:ind w:left="107"/>
              <w:jc w:val="left"/>
            </w:pPr>
            <w:r>
              <w:t>46</w:t>
            </w:r>
          </w:p>
        </w:tc>
        <w:tc>
          <w:tcPr>
            <w:tcW w:w="3260" w:type="dxa"/>
          </w:tcPr>
          <w:p w:rsidR="007C5447" w:rsidRDefault="00F6308C">
            <w:pPr>
              <w:pStyle w:val="TableParagraph"/>
              <w:spacing w:before="16" w:line="252" w:lineRule="exact"/>
              <w:ind w:left="107" w:right="996"/>
              <w:jc w:val="left"/>
              <w:rPr>
                <w:b/>
              </w:rPr>
            </w:pPr>
            <w:r>
              <w:rPr>
                <w:b/>
              </w:rPr>
              <w:t>Total Own Generation (1a+1b+1c)</w:t>
            </w:r>
          </w:p>
        </w:tc>
        <w:tc>
          <w:tcPr>
            <w:tcW w:w="1419" w:type="dxa"/>
          </w:tcPr>
          <w:p w:rsidR="007C5447" w:rsidRDefault="00F6308C">
            <w:pPr>
              <w:pStyle w:val="TableParagraph"/>
              <w:spacing w:before="140"/>
              <w:ind w:right="96"/>
              <w:rPr>
                <w:b/>
              </w:rPr>
            </w:pPr>
            <w:r>
              <w:rPr>
                <w:b/>
              </w:rPr>
              <w:t>34,925.63</w:t>
            </w:r>
          </w:p>
        </w:tc>
        <w:tc>
          <w:tcPr>
            <w:tcW w:w="1419" w:type="dxa"/>
          </w:tcPr>
          <w:p w:rsidR="007C5447" w:rsidRDefault="00F6308C">
            <w:pPr>
              <w:pStyle w:val="TableParagraph"/>
              <w:spacing w:before="140"/>
              <w:ind w:right="94"/>
              <w:rPr>
                <w:b/>
              </w:rPr>
            </w:pPr>
            <w:r>
              <w:rPr>
                <w:b/>
              </w:rPr>
              <w:t>36,922.43</w:t>
            </w:r>
          </w:p>
        </w:tc>
        <w:tc>
          <w:tcPr>
            <w:tcW w:w="1558" w:type="dxa"/>
          </w:tcPr>
          <w:p w:rsidR="007C5447" w:rsidRDefault="00F6308C">
            <w:pPr>
              <w:pStyle w:val="TableParagraph"/>
              <w:spacing w:before="140"/>
              <w:ind w:right="92"/>
              <w:rPr>
                <w:b/>
              </w:rPr>
            </w:pPr>
            <w:r>
              <w:rPr>
                <w:b/>
              </w:rPr>
              <w:t>39,344.91</w:t>
            </w:r>
          </w:p>
        </w:tc>
      </w:tr>
      <w:tr w:rsidR="007C5447">
        <w:trPr>
          <w:trHeight w:val="330"/>
        </w:trPr>
        <w:tc>
          <w:tcPr>
            <w:tcW w:w="852" w:type="dxa"/>
          </w:tcPr>
          <w:p w:rsidR="007C5447" w:rsidRDefault="007C5447">
            <w:pPr>
              <w:pStyle w:val="TableParagraph"/>
              <w:jc w:val="left"/>
            </w:pPr>
          </w:p>
        </w:tc>
        <w:tc>
          <w:tcPr>
            <w:tcW w:w="3260" w:type="dxa"/>
          </w:tcPr>
          <w:p w:rsidR="007C5447" w:rsidRDefault="00F6308C">
            <w:pPr>
              <w:pStyle w:val="TableParagraph"/>
              <w:spacing w:before="37"/>
              <w:ind w:left="107"/>
              <w:jc w:val="left"/>
              <w:rPr>
                <w:b/>
              </w:rPr>
            </w:pPr>
            <w:r>
              <w:rPr>
                <w:b/>
              </w:rPr>
              <w:t>Total Energy Available</w:t>
            </w:r>
          </w:p>
        </w:tc>
        <w:tc>
          <w:tcPr>
            <w:tcW w:w="1419" w:type="dxa"/>
          </w:tcPr>
          <w:p w:rsidR="007C5447" w:rsidRDefault="00F6308C">
            <w:pPr>
              <w:pStyle w:val="TableParagraph"/>
              <w:spacing w:before="37"/>
              <w:ind w:right="96"/>
              <w:rPr>
                <w:b/>
              </w:rPr>
            </w:pPr>
            <w:r>
              <w:rPr>
                <w:b/>
              </w:rPr>
              <w:t>94,106.53*</w:t>
            </w:r>
          </w:p>
        </w:tc>
        <w:tc>
          <w:tcPr>
            <w:tcW w:w="1419" w:type="dxa"/>
          </w:tcPr>
          <w:p w:rsidR="007C5447" w:rsidRDefault="00F6308C">
            <w:pPr>
              <w:pStyle w:val="TableParagraph"/>
              <w:spacing w:before="37"/>
              <w:ind w:right="94"/>
              <w:rPr>
                <w:b/>
              </w:rPr>
            </w:pPr>
            <w:r>
              <w:rPr>
                <w:b/>
              </w:rPr>
              <w:t>1,02,542.62*</w:t>
            </w:r>
          </w:p>
        </w:tc>
        <w:tc>
          <w:tcPr>
            <w:tcW w:w="1558" w:type="dxa"/>
          </w:tcPr>
          <w:p w:rsidR="007C5447" w:rsidRDefault="00F6308C">
            <w:pPr>
              <w:pStyle w:val="TableParagraph"/>
              <w:spacing w:before="37"/>
              <w:ind w:right="92"/>
              <w:rPr>
                <w:b/>
              </w:rPr>
            </w:pPr>
            <w:r>
              <w:rPr>
                <w:b/>
              </w:rPr>
              <w:t>1,11,455.10*</w:t>
            </w:r>
          </w:p>
        </w:tc>
      </w:tr>
    </w:tbl>
    <w:p w:rsidR="007C5447" w:rsidRDefault="007C5447">
      <w:pPr>
        <w:pStyle w:val="BodyText"/>
        <w:rPr>
          <w:b/>
          <w:sz w:val="13"/>
        </w:rPr>
      </w:pPr>
    </w:p>
    <w:p w:rsidR="007C5447" w:rsidRDefault="00F6308C">
      <w:pPr>
        <w:spacing w:before="91" w:line="312" w:lineRule="auto"/>
        <w:ind w:left="540" w:right="519"/>
        <w:rPr>
          <w:sz w:val="20"/>
        </w:rPr>
      </w:pPr>
      <w:r>
        <w:rPr>
          <w:sz w:val="20"/>
        </w:rPr>
        <w:t>* TANGEDCO’s total computation is incorrect. The correct total energy available is 94,128.54 MU, 1,02,573.36 MU and 1,11,486.20 MU for FY 2016-17, FY 2017-18 and FY 2018-19, respectively.</w:t>
      </w:r>
    </w:p>
    <w:p w:rsidR="007C5447" w:rsidRDefault="007C5447">
      <w:pPr>
        <w:pStyle w:val="BodyText"/>
        <w:spacing w:before="8"/>
        <w:rPr>
          <w:sz w:val="20"/>
        </w:rPr>
      </w:pPr>
    </w:p>
    <w:p w:rsidR="007C5447" w:rsidRDefault="00F6308C">
      <w:pPr>
        <w:pStyle w:val="Heading2"/>
        <w:spacing w:line="520" w:lineRule="auto"/>
        <w:ind w:left="1392" w:right="6099"/>
        <w:jc w:val="both"/>
      </w:pPr>
      <w:r>
        <w:t>Commission’s Views Central Generating Stations</w:t>
      </w:r>
    </w:p>
    <w:p w:rsidR="007C5447" w:rsidRDefault="00F6308C">
      <w:pPr>
        <w:pStyle w:val="ListParagraph"/>
        <w:numPr>
          <w:ilvl w:val="3"/>
          <w:numId w:val="67"/>
        </w:numPr>
        <w:tabs>
          <w:tab w:val="left" w:pos="1506"/>
        </w:tabs>
        <w:spacing w:line="312" w:lineRule="auto"/>
        <w:ind w:left="1505" w:right="510"/>
        <w:jc w:val="both"/>
        <w:rPr>
          <w:sz w:val="24"/>
        </w:rPr>
      </w:pPr>
      <w:r>
        <w:rPr>
          <w:sz w:val="24"/>
        </w:rPr>
        <w:t>The Commission has considered the energy availability from CGS based on the allocated share of TANGEDCO from CGS stations, as submitted by TANGEDCO. Further, operational parameters for such CGS stations have b</w:t>
      </w:r>
      <w:r>
        <w:rPr>
          <w:sz w:val="24"/>
        </w:rPr>
        <w:t>een considered as approved by</w:t>
      </w:r>
      <w:r>
        <w:rPr>
          <w:spacing w:val="-5"/>
          <w:sz w:val="24"/>
        </w:rPr>
        <w:t xml:space="preserve"> </w:t>
      </w:r>
      <w:r>
        <w:rPr>
          <w:sz w:val="24"/>
        </w:rPr>
        <w:t>CERC.</w:t>
      </w:r>
    </w:p>
    <w:p w:rsidR="007C5447" w:rsidRDefault="007C5447">
      <w:pPr>
        <w:pStyle w:val="BodyText"/>
        <w:spacing w:before="10"/>
        <w:rPr>
          <w:sz w:val="20"/>
        </w:rPr>
      </w:pPr>
    </w:p>
    <w:p w:rsidR="007C5447" w:rsidRDefault="00F6308C">
      <w:pPr>
        <w:pStyle w:val="Heading2"/>
        <w:ind w:left="1392"/>
      </w:pPr>
      <w:r>
        <w:t>Independent Power Producers</w:t>
      </w:r>
    </w:p>
    <w:p w:rsidR="007C5447" w:rsidRDefault="007C5447">
      <w:pPr>
        <w:pStyle w:val="BodyText"/>
        <w:spacing w:before="2"/>
        <w:rPr>
          <w:b/>
          <w:sz w:val="28"/>
        </w:rPr>
      </w:pPr>
    </w:p>
    <w:p w:rsidR="007C5447" w:rsidRDefault="00F6308C">
      <w:pPr>
        <w:pStyle w:val="ListParagraph"/>
        <w:numPr>
          <w:ilvl w:val="3"/>
          <w:numId w:val="67"/>
        </w:numPr>
        <w:tabs>
          <w:tab w:val="left" w:pos="1506"/>
        </w:tabs>
        <w:spacing w:line="312" w:lineRule="auto"/>
        <w:ind w:left="1505" w:right="512"/>
        <w:jc w:val="both"/>
        <w:rPr>
          <w:sz w:val="24"/>
        </w:rPr>
      </w:pPr>
      <w:r>
        <w:rPr>
          <w:sz w:val="24"/>
        </w:rPr>
        <w:t>The Commission has considered energy availability from IPPs as submitted by TANGEDCO.</w:t>
      </w:r>
    </w:p>
    <w:p w:rsidR="007C5447" w:rsidRDefault="007C5447">
      <w:pPr>
        <w:pStyle w:val="BodyText"/>
        <w:spacing w:before="10"/>
        <w:rPr>
          <w:sz w:val="20"/>
        </w:rPr>
      </w:pPr>
    </w:p>
    <w:p w:rsidR="007C5447" w:rsidRDefault="00F6308C">
      <w:pPr>
        <w:pStyle w:val="Heading2"/>
        <w:spacing w:before="1"/>
        <w:ind w:left="1392"/>
      </w:pPr>
      <w:r>
        <w:t>Renewable Energy Sources and Captive Power Plants</w:t>
      </w:r>
    </w:p>
    <w:p w:rsidR="007C5447" w:rsidRDefault="007C5447">
      <w:pPr>
        <w:pStyle w:val="BodyText"/>
        <w:spacing w:before="11"/>
        <w:rPr>
          <w:b/>
          <w:sz w:val="27"/>
        </w:rPr>
      </w:pPr>
    </w:p>
    <w:p w:rsidR="007C5447" w:rsidRDefault="00F6308C">
      <w:pPr>
        <w:pStyle w:val="ListParagraph"/>
        <w:numPr>
          <w:ilvl w:val="3"/>
          <w:numId w:val="67"/>
        </w:numPr>
        <w:tabs>
          <w:tab w:val="left" w:pos="1506"/>
        </w:tabs>
        <w:spacing w:line="312" w:lineRule="auto"/>
        <w:ind w:left="1505" w:right="510"/>
        <w:jc w:val="both"/>
        <w:rPr>
          <w:sz w:val="24"/>
        </w:rPr>
      </w:pPr>
      <w:r>
        <w:rPr>
          <w:sz w:val="24"/>
        </w:rPr>
        <w:t>The Commission vide its notification dated March 30,</w:t>
      </w:r>
      <w:r>
        <w:rPr>
          <w:sz w:val="24"/>
        </w:rPr>
        <w:t xml:space="preserve"> 2016, has amended the Renewable Energy Obligation Regulations, 2010. Post-amendment, TANGEDCO is obligated to purchase minimum of 11.50% and 14% of its energy from RE sources in FY 2016-17 and FY 2017-18, respectively. Out of this, 2.50% and 5% has to be </w:t>
      </w:r>
      <w:r>
        <w:rPr>
          <w:sz w:val="24"/>
        </w:rPr>
        <w:t>purchased from solar sources in FY 2016-17 and FY 2017-18, respectively. As RE purchase obligation is yet to be specified for FY 2018-19, the Commission has considered total RPO of 14% including solar RPO of 5% for FY 2018-19</w:t>
      </w:r>
      <w:r>
        <w:rPr>
          <w:spacing w:val="-4"/>
          <w:sz w:val="24"/>
        </w:rPr>
        <w:t xml:space="preserve"> </w:t>
      </w:r>
      <w:r>
        <w:rPr>
          <w:sz w:val="24"/>
        </w:rPr>
        <w:t>also.</w:t>
      </w:r>
    </w:p>
    <w:p w:rsidR="007C5447" w:rsidRDefault="007C5447">
      <w:pPr>
        <w:pStyle w:val="BodyText"/>
        <w:spacing w:before="9"/>
        <w:rPr>
          <w:sz w:val="20"/>
        </w:rPr>
      </w:pPr>
    </w:p>
    <w:p w:rsidR="007C5447" w:rsidRDefault="00F6308C">
      <w:pPr>
        <w:pStyle w:val="ListParagraph"/>
        <w:numPr>
          <w:ilvl w:val="3"/>
          <w:numId w:val="67"/>
        </w:numPr>
        <w:tabs>
          <w:tab w:val="left" w:pos="1505"/>
          <w:tab w:val="left" w:pos="1506"/>
        </w:tabs>
        <w:ind w:left="1505" w:hanging="966"/>
        <w:rPr>
          <w:sz w:val="24"/>
        </w:rPr>
      </w:pPr>
      <w:r>
        <w:rPr>
          <w:sz w:val="24"/>
        </w:rPr>
        <w:t>The</w:t>
      </w:r>
      <w:r>
        <w:rPr>
          <w:spacing w:val="11"/>
          <w:sz w:val="24"/>
        </w:rPr>
        <w:t xml:space="preserve"> </w:t>
      </w:r>
      <w:r>
        <w:rPr>
          <w:sz w:val="24"/>
        </w:rPr>
        <w:t>Commission</w:t>
      </w:r>
      <w:r>
        <w:rPr>
          <w:spacing w:val="14"/>
          <w:sz w:val="24"/>
        </w:rPr>
        <w:t xml:space="preserve"> </w:t>
      </w:r>
      <w:r>
        <w:rPr>
          <w:sz w:val="24"/>
        </w:rPr>
        <w:t>has</w:t>
      </w:r>
      <w:r>
        <w:rPr>
          <w:spacing w:val="13"/>
          <w:sz w:val="24"/>
        </w:rPr>
        <w:t xml:space="preserve"> </w:t>
      </w:r>
      <w:r>
        <w:rPr>
          <w:sz w:val="24"/>
        </w:rPr>
        <w:t>cons</w:t>
      </w:r>
      <w:r>
        <w:rPr>
          <w:sz w:val="24"/>
        </w:rPr>
        <w:t>idered</w:t>
      </w:r>
      <w:r>
        <w:rPr>
          <w:spacing w:val="14"/>
          <w:sz w:val="24"/>
        </w:rPr>
        <w:t xml:space="preserve"> </w:t>
      </w:r>
      <w:r>
        <w:rPr>
          <w:sz w:val="24"/>
        </w:rPr>
        <w:t>the</w:t>
      </w:r>
      <w:r>
        <w:rPr>
          <w:spacing w:val="12"/>
          <w:sz w:val="24"/>
        </w:rPr>
        <w:t xml:space="preserve"> </w:t>
      </w:r>
      <w:r>
        <w:rPr>
          <w:sz w:val="24"/>
        </w:rPr>
        <w:t>energy</w:t>
      </w:r>
      <w:r>
        <w:rPr>
          <w:spacing w:val="9"/>
          <w:sz w:val="24"/>
        </w:rPr>
        <w:t xml:space="preserve"> </w:t>
      </w:r>
      <w:r>
        <w:rPr>
          <w:sz w:val="24"/>
        </w:rPr>
        <w:t>availability</w:t>
      </w:r>
      <w:r>
        <w:rPr>
          <w:spacing w:val="8"/>
          <w:sz w:val="24"/>
        </w:rPr>
        <w:t xml:space="preserve"> </w:t>
      </w:r>
      <w:r>
        <w:rPr>
          <w:sz w:val="24"/>
        </w:rPr>
        <w:t>from</w:t>
      </w:r>
      <w:r>
        <w:rPr>
          <w:spacing w:val="14"/>
          <w:sz w:val="24"/>
        </w:rPr>
        <w:t xml:space="preserve"> </w:t>
      </w:r>
      <w:r>
        <w:rPr>
          <w:sz w:val="24"/>
        </w:rPr>
        <w:t>RE</w:t>
      </w:r>
      <w:r>
        <w:rPr>
          <w:spacing w:val="13"/>
          <w:sz w:val="24"/>
        </w:rPr>
        <w:t xml:space="preserve"> </w:t>
      </w:r>
      <w:r>
        <w:rPr>
          <w:sz w:val="24"/>
        </w:rPr>
        <w:t>sources</w:t>
      </w:r>
      <w:r>
        <w:rPr>
          <w:spacing w:val="15"/>
          <w:sz w:val="24"/>
        </w:rPr>
        <w:t xml:space="preserve"> </w:t>
      </w:r>
      <w:r>
        <w:rPr>
          <w:sz w:val="24"/>
        </w:rPr>
        <w:t>and</w:t>
      </w:r>
      <w:r>
        <w:rPr>
          <w:spacing w:val="14"/>
          <w:sz w:val="24"/>
        </w:rPr>
        <w:t xml:space="preserve"> </w:t>
      </w:r>
      <w:r>
        <w:rPr>
          <w:sz w:val="24"/>
        </w:rPr>
        <w:t>Captive</w:t>
      </w:r>
    </w:p>
    <w:p w:rsidR="007C5447" w:rsidRDefault="007C5447">
      <w:pPr>
        <w:rPr>
          <w:sz w:val="24"/>
        </w:rPr>
        <w:sectPr w:rsidR="007C5447">
          <w:pgSz w:w="11910" w:h="16840"/>
          <w:pgMar w:top="1420" w:right="620" w:bottom="960" w:left="900" w:header="0" w:footer="777" w:gutter="0"/>
          <w:cols w:space="720"/>
        </w:sectPr>
      </w:pPr>
    </w:p>
    <w:p w:rsidR="007C5447" w:rsidRDefault="00F6308C">
      <w:pPr>
        <w:pStyle w:val="BodyText"/>
        <w:spacing w:before="60" w:line="312" w:lineRule="auto"/>
        <w:ind w:left="1505" w:right="507"/>
        <w:jc w:val="both"/>
      </w:pPr>
      <w:r>
        <w:lastRenderedPageBreak/>
        <w:t xml:space="preserve">Power Plants based on installed capacity of such sources in the State, and based on TANGEDCO’s projections of the same. Further, it is observed that the actual purchase from Wind </w:t>
      </w:r>
      <w:r>
        <w:t>Energy Generation sources in the first 11 months of FY 2016-17 is significantly lower than the quantum of purchase projected by TANGEDCO. TANGEDCO should submit the reasons and justification for the same at the time of true-up, along with the submission on</w:t>
      </w:r>
      <w:r>
        <w:t xml:space="preserve"> how the RPO is being met.</w:t>
      </w:r>
    </w:p>
    <w:p w:rsidR="007C5447" w:rsidRDefault="007C5447">
      <w:pPr>
        <w:pStyle w:val="BodyText"/>
        <w:spacing w:before="11"/>
        <w:rPr>
          <w:sz w:val="20"/>
        </w:rPr>
      </w:pPr>
    </w:p>
    <w:p w:rsidR="007C5447" w:rsidRDefault="00F6308C">
      <w:pPr>
        <w:pStyle w:val="Heading2"/>
        <w:ind w:left="1392"/>
        <w:jc w:val="both"/>
      </w:pPr>
      <w:r>
        <w:t>Long-Term / Medium Term Open Access</w:t>
      </w:r>
    </w:p>
    <w:p w:rsidR="007C5447" w:rsidRDefault="007C5447">
      <w:pPr>
        <w:pStyle w:val="BodyText"/>
        <w:spacing w:before="11"/>
        <w:rPr>
          <w:b/>
          <w:sz w:val="27"/>
        </w:rPr>
      </w:pPr>
    </w:p>
    <w:p w:rsidR="007C5447" w:rsidRDefault="00F6308C">
      <w:pPr>
        <w:pStyle w:val="ListParagraph"/>
        <w:numPr>
          <w:ilvl w:val="3"/>
          <w:numId w:val="67"/>
        </w:numPr>
        <w:tabs>
          <w:tab w:val="left" w:pos="1506"/>
        </w:tabs>
        <w:spacing w:line="312" w:lineRule="auto"/>
        <w:ind w:left="1505" w:right="513"/>
        <w:jc w:val="both"/>
        <w:rPr>
          <w:sz w:val="24"/>
        </w:rPr>
      </w:pPr>
      <w:r>
        <w:rPr>
          <w:sz w:val="24"/>
        </w:rPr>
        <w:t>The Commission vide its Order dated July 29, 2016 in P.P.A.P. No. 3 of 2014 had approved TANGEDCO’s PPA with 11 Generating Companies for purchase of 3330 MW power on long-term basis. The Commission has projected the energy availability from LTOA sources by</w:t>
      </w:r>
      <w:r>
        <w:rPr>
          <w:sz w:val="24"/>
        </w:rPr>
        <w:t xml:space="preserve"> considering all bidders available as per the requirement of the PPA.</w:t>
      </w:r>
    </w:p>
    <w:p w:rsidR="007C5447" w:rsidRDefault="007C5447">
      <w:pPr>
        <w:pStyle w:val="BodyText"/>
        <w:rPr>
          <w:sz w:val="21"/>
        </w:rPr>
      </w:pPr>
    </w:p>
    <w:p w:rsidR="007C5447" w:rsidRDefault="00F6308C">
      <w:pPr>
        <w:pStyle w:val="ListParagraph"/>
        <w:numPr>
          <w:ilvl w:val="3"/>
          <w:numId w:val="67"/>
        </w:numPr>
        <w:tabs>
          <w:tab w:val="left" w:pos="1506"/>
        </w:tabs>
        <w:spacing w:before="1" w:line="312" w:lineRule="auto"/>
        <w:ind w:left="1505" w:right="508"/>
        <w:jc w:val="both"/>
        <w:rPr>
          <w:sz w:val="24"/>
        </w:rPr>
      </w:pPr>
      <w:r>
        <w:rPr>
          <w:sz w:val="24"/>
        </w:rPr>
        <w:t>The Commission vide its Order dated July 31, 2017, in M.P. No. 4 of 2017 and M.P. No. 5 of 2017, has allowed TANGEDCO to purchase power from M/s NETS, M/s Adani Enterprises Ltd. and M/s</w:t>
      </w:r>
      <w:r>
        <w:rPr>
          <w:sz w:val="24"/>
        </w:rPr>
        <w:t xml:space="preserve"> Jindal Power Ltd. for a period of two years, i.e., February 1, 2017 to January 31, 2019 for M/s NETS and September 1, 2017 to August 31, 2019 for M/s Adani Enterprises Ltd. and M/s Jindal Power Ltd. On the basis of the above Order, the Commission has cons</w:t>
      </w:r>
      <w:r>
        <w:rPr>
          <w:sz w:val="24"/>
        </w:rPr>
        <w:t>idered energy availability from the three MTOA</w:t>
      </w:r>
      <w:r>
        <w:rPr>
          <w:spacing w:val="-2"/>
          <w:sz w:val="24"/>
        </w:rPr>
        <w:t xml:space="preserve"> </w:t>
      </w:r>
      <w:r>
        <w:rPr>
          <w:sz w:val="24"/>
        </w:rPr>
        <w:t>sources.</w:t>
      </w:r>
    </w:p>
    <w:p w:rsidR="007C5447" w:rsidRDefault="007C5447">
      <w:pPr>
        <w:pStyle w:val="BodyText"/>
        <w:spacing w:before="9"/>
        <w:rPr>
          <w:sz w:val="20"/>
        </w:rPr>
      </w:pPr>
    </w:p>
    <w:p w:rsidR="007C5447" w:rsidRDefault="00F6308C">
      <w:pPr>
        <w:pStyle w:val="ListParagraph"/>
        <w:numPr>
          <w:ilvl w:val="3"/>
          <w:numId w:val="67"/>
        </w:numPr>
        <w:tabs>
          <w:tab w:val="left" w:pos="1506"/>
        </w:tabs>
        <w:spacing w:line="312" w:lineRule="auto"/>
        <w:ind w:left="1505" w:right="517"/>
        <w:jc w:val="both"/>
        <w:rPr>
          <w:sz w:val="24"/>
        </w:rPr>
      </w:pPr>
      <w:r>
        <w:rPr>
          <w:sz w:val="24"/>
        </w:rPr>
        <w:t>The source-wise energy availability from Other Sources considered by the Commission for the MYT Control Period is shown in the Table</w:t>
      </w:r>
      <w:r>
        <w:rPr>
          <w:spacing w:val="-2"/>
          <w:sz w:val="24"/>
        </w:rPr>
        <w:t xml:space="preserve"> </w:t>
      </w:r>
      <w:r>
        <w:rPr>
          <w:sz w:val="24"/>
        </w:rPr>
        <w:t>below:</w:t>
      </w:r>
    </w:p>
    <w:p w:rsidR="007C5447" w:rsidRDefault="007C5447">
      <w:pPr>
        <w:pStyle w:val="BodyText"/>
        <w:rPr>
          <w:sz w:val="21"/>
        </w:rPr>
      </w:pPr>
    </w:p>
    <w:p w:rsidR="007C5447" w:rsidRDefault="00F6308C">
      <w:pPr>
        <w:spacing w:before="1"/>
        <w:ind w:left="589" w:right="564"/>
        <w:jc w:val="center"/>
        <w:rPr>
          <w:b/>
        </w:rPr>
      </w:pPr>
      <w:r>
        <w:rPr>
          <w:b/>
        </w:rPr>
        <w:t>Table 4-8: Approved Energy Availability from Other Sources</w:t>
      </w:r>
      <w:r>
        <w:rPr>
          <w:b/>
        </w:rPr>
        <w:t xml:space="preserve"> (MU)</w:t>
      </w:r>
    </w:p>
    <w:p w:rsidR="007C5447" w:rsidRDefault="007C5447">
      <w:pPr>
        <w:pStyle w:val="BodyText"/>
        <w:spacing w:before="10"/>
        <w:rPr>
          <w:b/>
          <w:sz w:val="16"/>
        </w:rPr>
      </w:pPr>
    </w:p>
    <w:tbl>
      <w:tblPr>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3476"/>
        <w:gridCol w:w="1731"/>
        <w:gridCol w:w="1654"/>
        <w:gridCol w:w="1730"/>
      </w:tblGrid>
      <w:tr w:rsidR="007C5447">
        <w:trPr>
          <w:trHeight w:val="330"/>
        </w:trPr>
        <w:tc>
          <w:tcPr>
            <w:tcW w:w="847" w:type="dxa"/>
            <w:vMerge w:val="restart"/>
            <w:shd w:val="clear" w:color="auto" w:fill="FBD4B4"/>
          </w:tcPr>
          <w:p w:rsidR="007C5447" w:rsidRDefault="007C5447">
            <w:pPr>
              <w:pStyle w:val="TableParagraph"/>
              <w:spacing w:before="2"/>
              <w:jc w:val="left"/>
              <w:rPr>
                <w:b/>
                <w:sz w:val="19"/>
              </w:rPr>
            </w:pPr>
          </w:p>
          <w:p w:rsidR="007C5447" w:rsidRDefault="00F6308C">
            <w:pPr>
              <w:pStyle w:val="TableParagraph"/>
              <w:ind w:left="270" w:right="264"/>
              <w:jc w:val="center"/>
              <w:rPr>
                <w:b/>
                <w:sz w:val="20"/>
              </w:rPr>
            </w:pPr>
            <w:r>
              <w:rPr>
                <w:b/>
                <w:sz w:val="20"/>
              </w:rPr>
              <w:t>Sl.</w:t>
            </w:r>
          </w:p>
        </w:tc>
        <w:tc>
          <w:tcPr>
            <w:tcW w:w="3476" w:type="dxa"/>
            <w:vMerge w:val="restart"/>
            <w:shd w:val="clear" w:color="auto" w:fill="FBD4B4"/>
          </w:tcPr>
          <w:p w:rsidR="007C5447" w:rsidRDefault="007C5447">
            <w:pPr>
              <w:pStyle w:val="TableParagraph"/>
              <w:spacing w:before="2"/>
              <w:jc w:val="left"/>
              <w:rPr>
                <w:b/>
                <w:sz w:val="19"/>
              </w:rPr>
            </w:pPr>
          </w:p>
          <w:p w:rsidR="007C5447" w:rsidRDefault="00F6308C">
            <w:pPr>
              <w:pStyle w:val="TableParagraph"/>
              <w:ind w:left="1421" w:right="1416"/>
              <w:jc w:val="center"/>
              <w:rPr>
                <w:b/>
                <w:sz w:val="20"/>
              </w:rPr>
            </w:pPr>
            <w:r>
              <w:rPr>
                <w:b/>
                <w:sz w:val="20"/>
              </w:rPr>
              <w:t>Source</w:t>
            </w:r>
          </w:p>
        </w:tc>
        <w:tc>
          <w:tcPr>
            <w:tcW w:w="5115" w:type="dxa"/>
            <w:gridSpan w:val="3"/>
            <w:shd w:val="clear" w:color="auto" w:fill="FBD4B4"/>
          </w:tcPr>
          <w:p w:rsidR="007C5447" w:rsidRDefault="00F6308C">
            <w:pPr>
              <w:pStyle w:val="TableParagraph"/>
              <w:spacing w:before="50"/>
              <w:ind w:left="1286"/>
              <w:jc w:val="left"/>
              <w:rPr>
                <w:b/>
                <w:sz w:val="20"/>
              </w:rPr>
            </w:pPr>
            <w:r>
              <w:rPr>
                <w:b/>
                <w:sz w:val="20"/>
              </w:rPr>
              <w:t>Net Energy Availability (MU)</w:t>
            </w:r>
          </w:p>
        </w:tc>
      </w:tr>
      <w:tr w:rsidR="007C5447">
        <w:trPr>
          <w:trHeight w:val="330"/>
        </w:trPr>
        <w:tc>
          <w:tcPr>
            <w:tcW w:w="847" w:type="dxa"/>
            <w:vMerge/>
            <w:tcBorders>
              <w:top w:val="nil"/>
            </w:tcBorders>
            <w:shd w:val="clear" w:color="auto" w:fill="FBD4B4"/>
          </w:tcPr>
          <w:p w:rsidR="007C5447" w:rsidRDefault="007C5447">
            <w:pPr>
              <w:rPr>
                <w:sz w:val="2"/>
                <w:szCs w:val="2"/>
              </w:rPr>
            </w:pPr>
          </w:p>
        </w:tc>
        <w:tc>
          <w:tcPr>
            <w:tcW w:w="3476" w:type="dxa"/>
            <w:vMerge/>
            <w:tcBorders>
              <w:top w:val="nil"/>
            </w:tcBorders>
            <w:shd w:val="clear" w:color="auto" w:fill="FBD4B4"/>
          </w:tcPr>
          <w:p w:rsidR="007C5447" w:rsidRDefault="007C5447">
            <w:pPr>
              <w:rPr>
                <w:sz w:val="2"/>
                <w:szCs w:val="2"/>
              </w:rPr>
            </w:pPr>
          </w:p>
        </w:tc>
        <w:tc>
          <w:tcPr>
            <w:tcW w:w="1731" w:type="dxa"/>
            <w:shd w:val="clear" w:color="auto" w:fill="FBD4B4"/>
          </w:tcPr>
          <w:p w:rsidR="007C5447" w:rsidRDefault="00F6308C">
            <w:pPr>
              <w:pStyle w:val="TableParagraph"/>
              <w:spacing w:before="50"/>
              <w:ind w:left="371"/>
              <w:jc w:val="left"/>
              <w:rPr>
                <w:b/>
                <w:sz w:val="20"/>
              </w:rPr>
            </w:pPr>
            <w:r>
              <w:rPr>
                <w:b/>
                <w:sz w:val="20"/>
              </w:rPr>
              <w:t>FY 2016-17</w:t>
            </w:r>
          </w:p>
        </w:tc>
        <w:tc>
          <w:tcPr>
            <w:tcW w:w="1654" w:type="dxa"/>
            <w:shd w:val="clear" w:color="auto" w:fill="FBD4B4"/>
          </w:tcPr>
          <w:p w:rsidR="007C5447" w:rsidRDefault="00F6308C">
            <w:pPr>
              <w:pStyle w:val="TableParagraph"/>
              <w:spacing w:before="50"/>
              <w:ind w:left="333"/>
              <w:jc w:val="left"/>
              <w:rPr>
                <w:b/>
                <w:sz w:val="20"/>
              </w:rPr>
            </w:pPr>
            <w:r>
              <w:rPr>
                <w:b/>
                <w:sz w:val="20"/>
              </w:rPr>
              <w:t>FY 2017-18</w:t>
            </w:r>
          </w:p>
        </w:tc>
        <w:tc>
          <w:tcPr>
            <w:tcW w:w="1730" w:type="dxa"/>
            <w:shd w:val="clear" w:color="auto" w:fill="FBD4B4"/>
          </w:tcPr>
          <w:p w:rsidR="007C5447" w:rsidRDefault="00F6308C">
            <w:pPr>
              <w:pStyle w:val="TableParagraph"/>
              <w:spacing w:before="50"/>
              <w:ind w:left="369"/>
              <w:jc w:val="left"/>
              <w:rPr>
                <w:b/>
                <w:sz w:val="20"/>
              </w:rPr>
            </w:pPr>
            <w:r>
              <w:rPr>
                <w:b/>
                <w:sz w:val="20"/>
              </w:rPr>
              <w:t>FY 2018-19</w:t>
            </w:r>
          </w:p>
        </w:tc>
      </w:tr>
      <w:tr w:rsidR="007C5447">
        <w:trPr>
          <w:trHeight w:val="328"/>
        </w:trPr>
        <w:tc>
          <w:tcPr>
            <w:tcW w:w="847" w:type="dxa"/>
          </w:tcPr>
          <w:p w:rsidR="007C5447" w:rsidRDefault="00F6308C">
            <w:pPr>
              <w:pStyle w:val="TableParagraph"/>
              <w:spacing w:before="48"/>
              <w:ind w:left="6"/>
              <w:jc w:val="center"/>
              <w:rPr>
                <w:b/>
                <w:sz w:val="20"/>
              </w:rPr>
            </w:pPr>
            <w:r>
              <w:rPr>
                <w:b/>
                <w:w w:val="99"/>
                <w:sz w:val="20"/>
              </w:rPr>
              <w:t>1</w:t>
            </w:r>
          </w:p>
        </w:tc>
        <w:tc>
          <w:tcPr>
            <w:tcW w:w="3476" w:type="dxa"/>
          </w:tcPr>
          <w:p w:rsidR="007C5447" w:rsidRDefault="00F6308C">
            <w:pPr>
              <w:pStyle w:val="TableParagraph"/>
              <w:spacing w:before="48"/>
              <w:ind w:left="107"/>
              <w:jc w:val="left"/>
              <w:rPr>
                <w:b/>
                <w:sz w:val="20"/>
              </w:rPr>
            </w:pPr>
            <w:r>
              <w:rPr>
                <w:b/>
                <w:sz w:val="20"/>
              </w:rPr>
              <w:t>Central Generating Stations</w:t>
            </w:r>
          </w:p>
        </w:tc>
        <w:tc>
          <w:tcPr>
            <w:tcW w:w="1731" w:type="dxa"/>
          </w:tcPr>
          <w:p w:rsidR="007C5447" w:rsidRDefault="00F6308C">
            <w:pPr>
              <w:pStyle w:val="TableParagraph"/>
              <w:spacing w:before="48"/>
              <w:ind w:right="96"/>
              <w:rPr>
                <w:b/>
                <w:sz w:val="20"/>
              </w:rPr>
            </w:pPr>
            <w:r>
              <w:rPr>
                <w:b/>
                <w:w w:val="95"/>
                <w:sz w:val="20"/>
              </w:rPr>
              <w:t>33,941.08</w:t>
            </w:r>
          </w:p>
        </w:tc>
        <w:tc>
          <w:tcPr>
            <w:tcW w:w="1654" w:type="dxa"/>
          </w:tcPr>
          <w:p w:rsidR="007C5447" w:rsidRDefault="00F6308C">
            <w:pPr>
              <w:pStyle w:val="TableParagraph"/>
              <w:spacing w:before="48"/>
              <w:ind w:right="98"/>
              <w:rPr>
                <w:b/>
                <w:sz w:val="20"/>
              </w:rPr>
            </w:pPr>
            <w:r>
              <w:rPr>
                <w:b/>
                <w:w w:val="95"/>
                <w:sz w:val="20"/>
              </w:rPr>
              <w:t>34,854.88</w:t>
            </w:r>
          </w:p>
        </w:tc>
        <w:tc>
          <w:tcPr>
            <w:tcW w:w="1730" w:type="dxa"/>
          </w:tcPr>
          <w:p w:rsidR="007C5447" w:rsidRDefault="00F6308C">
            <w:pPr>
              <w:pStyle w:val="TableParagraph"/>
              <w:spacing w:before="48"/>
              <w:ind w:right="98"/>
              <w:rPr>
                <w:b/>
                <w:sz w:val="20"/>
              </w:rPr>
            </w:pPr>
            <w:r>
              <w:rPr>
                <w:b/>
                <w:w w:val="95"/>
                <w:sz w:val="20"/>
              </w:rPr>
              <w:t>34,854.88</w:t>
            </w:r>
          </w:p>
        </w:tc>
      </w:tr>
      <w:tr w:rsidR="007C5447">
        <w:trPr>
          <w:trHeight w:val="299"/>
        </w:trPr>
        <w:tc>
          <w:tcPr>
            <w:tcW w:w="847" w:type="dxa"/>
          </w:tcPr>
          <w:p w:rsidR="007C5447" w:rsidRDefault="00F6308C">
            <w:pPr>
              <w:pStyle w:val="TableParagraph"/>
              <w:spacing w:before="36"/>
              <w:ind w:right="211"/>
              <w:rPr>
                <w:sz w:val="20"/>
              </w:rPr>
            </w:pPr>
            <w:r>
              <w:rPr>
                <w:sz w:val="20"/>
              </w:rPr>
              <w:t>a)</w:t>
            </w:r>
          </w:p>
        </w:tc>
        <w:tc>
          <w:tcPr>
            <w:tcW w:w="3476" w:type="dxa"/>
          </w:tcPr>
          <w:p w:rsidR="007C5447" w:rsidRDefault="00F6308C">
            <w:pPr>
              <w:pStyle w:val="TableParagraph"/>
              <w:spacing w:before="36"/>
              <w:ind w:left="107"/>
              <w:jc w:val="left"/>
              <w:rPr>
                <w:sz w:val="20"/>
              </w:rPr>
            </w:pPr>
            <w:r>
              <w:rPr>
                <w:sz w:val="20"/>
              </w:rPr>
              <w:t>NTPC SR (Ramagundam) (I&amp;II)</w:t>
            </w:r>
          </w:p>
        </w:tc>
        <w:tc>
          <w:tcPr>
            <w:tcW w:w="1731" w:type="dxa"/>
          </w:tcPr>
          <w:p w:rsidR="007C5447" w:rsidRDefault="00F6308C">
            <w:pPr>
              <w:pStyle w:val="TableParagraph"/>
              <w:spacing w:before="36"/>
              <w:ind w:right="96"/>
              <w:rPr>
                <w:sz w:val="20"/>
              </w:rPr>
            </w:pPr>
            <w:r>
              <w:rPr>
                <w:w w:val="95"/>
                <w:sz w:val="20"/>
              </w:rPr>
              <w:t>3,639.70</w:t>
            </w:r>
          </w:p>
        </w:tc>
        <w:tc>
          <w:tcPr>
            <w:tcW w:w="1654" w:type="dxa"/>
          </w:tcPr>
          <w:p w:rsidR="007C5447" w:rsidRDefault="00F6308C">
            <w:pPr>
              <w:pStyle w:val="TableParagraph"/>
              <w:spacing w:before="36"/>
              <w:ind w:right="99"/>
              <w:rPr>
                <w:sz w:val="20"/>
              </w:rPr>
            </w:pPr>
            <w:r>
              <w:rPr>
                <w:w w:val="95"/>
                <w:sz w:val="20"/>
              </w:rPr>
              <w:t>3,727.40</w:t>
            </w:r>
          </w:p>
        </w:tc>
        <w:tc>
          <w:tcPr>
            <w:tcW w:w="1730" w:type="dxa"/>
          </w:tcPr>
          <w:p w:rsidR="007C5447" w:rsidRDefault="00F6308C">
            <w:pPr>
              <w:pStyle w:val="TableParagraph"/>
              <w:spacing w:before="36"/>
              <w:ind w:right="98"/>
              <w:rPr>
                <w:sz w:val="20"/>
              </w:rPr>
            </w:pPr>
            <w:r>
              <w:rPr>
                <w:w w:val="95"/>
                <w:sz w:val="20"/>
              </w:rPr>
              <w:t>3,727.40</w:t>
            </w:r>
          </w:p>
        </w:tc>
      </w:tr>
      <w:tr w:rsidR="007C5447">
        <w:trPr>
          <w:trHeight w:val="302"/>
        </w:trPr>
        <w:tc>
          <w:tcPr>
            <w:tcW w:w="847" w:type="dxa"/>
          </w:tcPr>
          <w:p w:rsidR="007C5447" w:rsidRDefault="00F6308C">
            <w:pPr>
              <w:pStyle w:val="TableParagraph"/>
              <w:spacing w:before="36"/>
              <w:ind w:right="198"/>
              <w:rPr>
                <w:sz w:val="20"/>
              </w:rPr>
            </w:pPr>
            <w:r>
              <w:rPr>
                <w:sz w:val="20"/>
              </w:rPr>
              <w:t>b)</w:t>
            </w:r>
          </w:p>
        </w:tc>
        <w:tc>
          <w:tcPr>
            <w:tcW w:w="3476" w:type="dxa"/>
          </w:tcPr>
          <w:p w:rsidR="007C5447" w:rsidRDefault="00F6308C">
            <w:pPr>
              <w:pStyle w:val="TableParagraph"/>
              <w:spacing w:before="36"/>
              <w:ind w:left="107"/>
              <w:jc w:val="left"/>
              <w:rPr>
                <w:sz w:val="20"/>
              </w:rPr>
            </w:pPr>
            <w:r>
              <w:rPr>
                <w:sz w:val="20"/>
              </w:rPr>
              <w:t>NTPC SR (Ramagundam) III</w:t>
            </w:r>
          </w:p>
        </w:tc>
        <w:tc>
          <w:tcPr>
            <w:tcW w:w="1731" w:type="dxa"/>
          </w:tcPr>
          <w:p w:rsidR="007C5447" w:rsidRDefault="00F6308C">
            <w:pPr>
              <w:pStyle w:val="TableParagraph"/>
              <w:spacing w:before="36"/>
              <w:ind w:right="98"/>
              <w:rPr>
                <w:sz w:val="20"/>
              </w:rPr>
            </w:pPr>
            <w:r>
              <w:rPr>
                <w:w w:val="95"/>
                <w:sz w:val="20"/>
              </w:rPr>
              <w:t>918.99</w:t>
            </w:r>
          </w:p>
        </w:tc>
        <w:tc>
          <w:tcPr>
            <w:tcW w:w="1654" w:type="dxa"/>
          </w:tcPr>
          <w:p w:rsidR="007C5447" w:rsidRDefault="00F6308C">
            <w:pPr>
              <w:pStyle w:val="TableParagraph"/>
              <w:spacing w:before="36"/>
              <w:ind w:right="101"/>
              <w:rPr>
                <w:sz w:val="20"/>
              </w:rPr>
            </w:pPr>
            <w:r>
              <w:rPr>
                <w:w w:val="95"/>
                <w:sz w:val="20"/>
              </w:rPr>
              <w:t>941.14</w:t>
            </w:r>
          </w:p>
        </w:tc>
        <w:tc>
          <w:tcPr>
            <w:tcW w:w="1730" w:type="dxa"/>
          </w:tcPr>
          <w:p w:rsidR="007C5447" w:rsidRDefault="00F6308C">
            <w:pPr>
              <w:pStyle w:val="TableParagraph"/>
              <w:spacing w:before="36"/>
              <w:ind w:right="100"/>
              <w:rPr>
                <w:sz w:val="20"/>
              </w:rPr>
            </w:pPr>
            <w:r>
              <w:rPr>
                <w:w w:val="95"/>
                <w:sz w:val="20"/>
              </w:rPr>
              <w:t>941.14</w:t>
            </w:r>
          </w:p>
        </w:tc>
      </w:tr>
      <w:tr w:rsidR="007C5447">
        <w:trPr>
          <w:trHeight w:val="300"/>
        </w:trPr>
        <w:tc>
          <w:tcPr>
            <w:tcW w:w="847" w:type="dxa"/>
          </w:tcPr>
          <w:p w:rsidR="007C5447" w:rsidRDefault="00F6308C">
            <w:pPr>
              <w:pStyle w:val="TableParagraph"/>
              <w:spacing w:before="34"/>
              <w:ind w:right="211"/>
              <w:rPr>
                <w:sz w:val="20"/>
              </w:rPr>
            </w:pPr>
            <w:r>
              <w:rPr>
                <w:sz w:val="20"/>
              </w:rPr>
              <w:t>c)</w:t>
            </w:r>
          </w:p>
        </w:tc>
        <w:tc>
          <w:tcPr>
            <w:tcW w:w="3476" w:type="dxa"/>
          </w:tcPr>
          <w:p w:rsidR="007C5447" w:rsidRDefault="00F6308C">
            <w:pPr>
              <w:pStyle w:val="TableParagraph"/>
              <w:spacing w:before="34"/>
              <w:ind w:left="107"/>
              <w:jc w:val="left"/>
              <w:rPr>
                <w:sz w:val="20"/>
              </w:rPr>
            </w:pPr>
            <w:r>
              <w:rPr>
                <w:sz w:val="20"/>
              </w:rPr>
              <w:t>NLC TS – I</w:t>
            </w:r>
          </w:p>
        </w:tc>
        <w:tc>
          <w:tcPr>
            <w:tcW w:w="1731" w:type="dxa"/>
          </w:tcPr>
          <w:p w:rsidR="007C5447" w:rsidRDefault="00F6308C">
            <w:pPr>
              <w:pStyle w:val="TableParagraph"/>
              <w:spacing w:before="34"/>
              <w:ind w:right="96"/>
              <w:rPr>
                <w:sz w:val="20"/>
              </w:rPr>
            </w:pPr>
            <w:r>
              <w:rPr>
                <w:w w:val="95"/>
                <w:sz w:val="20"/>
              </w:rPr>
              <w:t>3,236.24</w:t>
            </w:r>
          </w:p>
        </w:tc>
        <w:tc>
          <w:tcPr>
            <w:tcW w:w="1654" w:type="dxa"/>
          </w:tcPr>
          <w:p w:rsidR="007C5447" w:rsidRDefault="00F6308C">
            <w:pPr>
              <w:pStyle w:val="TableParagraph"/>
              <w:spacing w:before="34"/>
              <w:ind w:right="99"/>
              <w:rPr>
                <w:sz w:val="20"/>
              </w:rPr>
            </w:pPr>
            <w:r>
              <w:rPr>
                <w:w w:val="95"/>
                <w:sz w:val="20"/>
              </w:rPr>
              <w:t>3,236.24</w:t>
            </w:r>
          </w:p>
        </w:tc>
        <w:tc>
          <w:tcPr>
            <w:tcW w:w="1730" w:type="dxa"/>
          </w:tcPr>
          <w:p w:rsidR="007C5447" w:rsidRDefault="00F6308C">
            <w:pPr>
              <w:pStyle w:val="TableParagraph"/>
              <w:spacing w:before="34"/>
              <w:ind w:right="98"/>
              <w:rPr>
                <w:sz w:val="20"/>
              </w:rPr>
            </w:pPr>
            <w:r>
              <w:rPr>
                <w:w w:val="95"/>
                <w:sz w:val="20"/>
              </w:rPr>
              <w:t>3,236.24</w:t>
            </w:r>
          </w:p>
        </w:tc>
      </w:tr>
      <w:tr w:rsidR="007C5447">
        <w:trPr>
          <w:trHeight w:val="299"/>
        </w:trPr>
        <w:tc>
          <w:tcPr>
            <w:tcW w:w="847" w:type="dxa"/>
          </w:tcPr>
          <w:p w:rsidR="007C5447" w:rsidRDefault="00F6308C">
            <w:pPr>
              <w:pStyle w:val="TableParagraph"/>
              <w:spacing w:before="34"/>
              <w:ind w:right="198"/>
              <w:rPr>
                <w:sz w:val="20"/>
              </w:rPr>
            </w:pPr>
            <w:r>
              <w:rPr>
                <w:sz w:val="20"/>
              </w:rPr>
              <w:t>d)</w:t>
            </w:r>
          </w:p>
        </w:tc>
        <w:tc>
          <w:tcPr>
            <w:tcW w:w="3476" w:type="dxa"/>
          </w:tcPr>
          <w:p w:rsidR="007C5447" w:rsidRDefault="00F6308C">
            <w:pPr>
              <w:pStyle w:val="TableParagraph"/>
              <w:spacing w:before="34"/>
              <w:ind w:left="107"/>
              <w:jc w:val="left"/>
              <w:rPr>
                <w:sz w:val="20"/>
              </w:rPr>
            </w:pPr>
            <w:r>
              <w:rPr>
                <w:sz w:val="20"/>
              </w:rPr>
              <w:t>NLC TS - II - Stage 1</w:t>
            </w:r>
          </w:p>
        </w:tc>
        <w:tc>
          <w:tcPr>
            <w:tcW w:w="1731" w:type="dxa"/>
          </w:tcPr>
          <w:p w:rsidR="007C5447" w:rsidRDefault="00F6308C">
            <w:pPr>
              <w:pStyle w:val="TableParagraph"/>
              <w:spacing w:before="34"/>
              <w:ind w:right="96"/>
              <w:rPr>
                <w:sz w:val="20"/>
              </w:rPr>
            </w:pPr>
            <w:r>
              <w:rPr>
                <w:w w:val="95"/>
                <w:sz w:val="20"/>
              </w:rPr>
              <w:t>1,189.45</w:t>
            </w:r>
          </w:p>
        </w:tc>
        <w:tc>
          <w:tcPr>
            <w:tcW w:w="1654" w:type="dxa"/>
          </w:tcPr>
          <w:p w:rsidR="007C5447" w:rsidRDefault="00F6308C">
            <w:pPr>
              <w:pStyle w:val="TableParagraph"/>
              <w:spacing w:before="34"/>
              <w:ind w:right="99"/>
              <w:rPr>
                <w:sz w:val="20"/>
              </w:rPr>
            </w:pPr>
            <w:r>
              <w:rPr>
                <w:w w:val="95"/>
                <w:sz w:val="20"/>
              </w:rPr>
              <w:t>1,189.45</w:t>
            </w:r>
          </w:p>
        </w:tc>
        <w:tc>
          <w:tcPr>
            <w:tcW w:w="1730" w:type="dxa"/>
          </w:tcPr>
          <w:p w:rsidR="007C5447" w:rsidRDefault="00F6308C">
            <w:pPr>
              <w:pStyle w:val="TableParagraph"/>
              <w:spacing w:before="34"/>
              <w:ind w:right="98"/>
              <w:rPr>
                <w:sz w:val="20"/>
              </w:rPr>
            </w:pPr>
            <w:r>
              <w:rPr>
                <w:w w:val="95"/>
                <w:sz w:val="20"/>
              </w:rPr>
              <w:t>1,189.45</w:t>
            </w:r>
          </w:p>
        </w:tc>
      </w:tr>
      <w:tr w:rsidR="007C5447">
        <w:trPr>
          <w:trHeight w:val="299"/>
        </w:trPr>
        <w:tc>
          <w:tcPr>
            <w:tcW w:w="847" w:type="dxa"/>
          </w:tcPr>
          <w:p w:rsidR="007C5447" w:rsidRDefault="00F6308C">
            <w:pPr>
              <w:pStyle w:val="TableParagraph"/>
              <w:spacing w:before="36"/>
              <w:ind w:right="211"/>
              <w:rPr>
                <w:sz w:val="20"/>
              </w:rPr>
            </w:pPr>
            <w:r>
              <w:rPr>
                <w:sz w:val="20"/>
              </w:rPr>
              <w:t>e)</w:t>
            </w:r>
          </w:p>
        </w:tc>
        <w:tc>
          <w:tcPr>
            <w:tcW w:w="3476" w:type="dxa"/>
          </w:tcPr>
          <w:p w:rsidR="007C5447" w:rsidRDefault="00F6308C">
            <w:pPr>
              <w:pStyle w:val="TableParagraph"/>
              <w:spacing w:before="36"/>
              <w:ind w:left="107"/>
              <w:jc w:val="left"/>
              <w:rPr>
                <w:sz w:val="20"/>
              </w:rPr>
            </w:pPr>
            <w:r>
              <w:rPr>
                <w:sz w:val="20"/>
              </w:rPr>
              <w:t>NLC TS Expansion I</w:t>
            </w:r>
          </w:p>
        </w:tc>
        <w:tc>
          <w:tcPr>
            <w:tcW w:w="1731" w:type="dxa"/>
          </w:tcPr>
          <w:p w:rsidR="007C5447" w:rsidRDefault="00F6308C">
            <w:pPr>
              <w:pStyle w:val="TableParagraph"/>
              <w:spacing w:before="36"/>
              <w:ind w:right="96"/>
              <w:rPr>
                <w:sz w:val="20"/>
              </w:rPr>
            </w:pPr>
            <w:r>
              <w:rPr>
                <w:w w:val="95"/>
                <w:sz w:val="20"/>
              </w:rPr>
              <w:t>1,408.57</w:t>
            </w:r>
          </w:p>
        </w:tc>
        <w:tc>
          <w:tcPr>
            <w:tcW w:w="1654" w:type="dxa"/>
          </w:tcPr>
          <w:p w:rsidR="007C5447" w:rsidRDefault="00F6308C">
            <w:pPr>
              <w:pStyle w:val="TableParagraph"/>
              <w:spacing w:before="36"/>
              <w:ind w:right="99"/>
              <w:rPr>
                <w:sz w:val="20"/>
              </w:rPr>
            </w:pPr>
            <w:r>
              <w:rPr>
                <w:w w:val="95"/>
                <w:sz w:val="20"/>
              </w:rPr>
              <w:t>1,408.57</w:t>
            </w:r>
          </w:p>
        </w:tc>
        <w:tc>
          <w:tcPr>
            <w:tcW w:w="1730" w:type="dxa"/>
          </w:tcPr>
          <w:p w:rsidR="007C5447" w:rsidRDefault="00F6308C">
            <w:pPr>
              <w:pStyle w:val="TableParagraph"/>
              <w:spacing w:before="36"/>
              <w:ind w:right="98"/>
              <w:rPr>
                <w:sz w:val="20"/>
              </w:rPr>
            </w:pPr>
            <w:r>
              <w:rPr>
                <w:w w:val="95"/>
                <w:sz w:val="20"/>
              </w:rPr>
              <w:t>1,408.57</w:t>
            </w:r>
          </w:p>
        </w:tc>
      </w:tr>
      <w:tr w:rsidR="007C5447">
        <w:trPr>
          <w:trHeight w:val="299"/>
        </w:trPr>
        <w:tc>
          <w:tcPr>
            <w:tcW w:w="847" w:type="dxa"/>
          </w:tcPr>
          <w:p w:rsidR="007C5447" w:rsidRDefault="00F6308C">
            <w:pPr>
              <w:pStyle w:val="TableParagraph"/>
              <w:spacing w:before="36"/>
              <w:ind w:right="237"/>
              <w:rPr>
                <w:sz w:val="20"/>
              </w:rPr>
            </w:pPr>
            <w:r>
              <w:rPr>
                <w:w w:val="95"/>
                <w:sz w:val="20"/>
              </w:rPr>
              <w:t>f)</w:t>
            </w:r>
          </w:p>
        </w:tc>
        <w:tc>
          <w:tcPr>
            <w:tcW w:w="3476" w:type="dxa"/>
          </w:tcPr>
          <w:p w:rsidR="007C5447" w:rsidRDefault="00F6308C">
            <w:pPr>
              <w:pStyle w:val="TableParagraph"/>
              <w:spacing w:before="36"/>
              <w:ind w:left="107"/>
              <w:jc w:val="left"/>
              <w:rPr>
                <w:sz w:val="20"/>
              </w:rPr>
            </w:pPr>
            <w:r>
              <w:rPr>
                <w:sz w:val="20"/>
              </w:rPr>
              <w:t>NLC TS Expansion II</w:t>
            </w:r>
          </w:p>
        </w:tc>
        <w:tc>
          <w:tcPr>
            <w:tcW w:w="1731" w:type="dxa"/>
          </w:tcPr>
          <w:p w:rsidR="007C5447" w:rsidRDefault="00F6308C">
            <w:pPr>
              <w:pStyle w:val="TableParagraph"/>
              <w:spacing w:before="36"/>
              <w:ind w:right="98"/>
              <w:rPr>
                <w:sz w:val="20"/>
              </w:rPr>
            </w:pPr>
            <w:r>
              <w:rPr>
                <w:w w:val="95"/>
                <w:sz w:val="20"/>
              </w:rPr>
              <w:t>930.88</w:t>
            </w:r>
          </w:p>
        </w:tc>
        <w:tc>
          <w:tcPr>
            <w:tcW w:w="1654" w:type="dxa"/>
          </w:tcPr>
          <w:p w:rsidR="007C5447" w:rsidRDefault="00F6308C">
            <w:pPr>
              <w:pStyle w:val="TableParagraph"/>
              <w:spacing w:before="36"/>
              <w:ind w:right="101"/>
              <w:rPr>
                <w:sz w:val="20"/>
              </w:rPr>
            </w:pPr>
            <w:r>
              <w:rPr>
                <w:w w:val="95"/>
                <w:sz w:val="20"/>
              </w:rPr>
              <w:t>930.88</w:t>
            </w:r>
          </w:p>
        </w:tc>
        <w:tc>
          <w:tcPr>
            <w:tcW w:w="1730" w:type="dxa"/>
          </w:tcPr>
          <w:p w:rsidR="007C5447" w:rsidRDefault="00F6308C">
            <w:pPr>
              <w:pStyle w:val="TableParagraph"/>
              <w:spacing w:before="36"/>
              <w:ind w:right="100"/>
              <w:rPr>
                <w:sz w:val="20"/>
              </w:rPr>
            </w:pPr>
            <w:r>
              <w:rPr>
                <w:w w:val="95"/>
                <w:sz w:val="20"/>
              </w:rPr>
              <w:t>930.88</w:t>
            </w:r>
          </w:p>
        </w:tc>
      </w:tr>
      <w:tr w:rsidR="007C5447">
        <w:trPr>
          <w:trHeight w:val="299"/>
        </w:trPr>
        <w:tc>
          <w:tcPr>
            <w:tcW w:w="847" w:type="dxa"/>
          </w:tcPr>
          <w:p w:rsidR="007C5447" w:rsidRDefault="00F6308C">
            <w:pPr>
              <w:pStyle w:val="TableParagraph"/>
              <w:spacing w:before="36"/>
              <w:ind w:right="203"/>
              <w:rPr>
                <w:sz w:val="20"/>
              </w:rPr>
            </w:pPr>
            <w:r>
              <w:rPr>
                <w:w w:val="95"/>
                <w:sz w:val="20"/>
              </w:rPr>
              <w:t>g)</w:t>
            </w:r>
          </w:p>
        </w:tc>
        <w:tc>
          <w:tcPr>
            <w:tcW w:w="3476" w:type="dxa"/>
          </w:tcPr>
          <w:p w:rsidR="007C5447" w:rsidRDefault="00F6308C">
            <w:pPr>
              <w:pStyle w:val="TableParagraph"/>
              <w:spacing w:before="36"/>
              <w:ind w:left="107"/>
              <w:jc w:val="left"/>
              <w:rPr>
                <w:sz w:val="20"/>
              </w:rPr>
            </w:pPr>
            <w:r>
              <w:rPr>
                <w:sz w:val="20"/>
              </w:rPr>
              <w:t>NTPL (JV with NLC)</w:t>
            </w:r>
          </w:p>
        </w:tc>
        <w:tc>
          <w:tcPr>
            <w:tcW w:w="1731" w:type="dxa"/>
          </w:tcPr>
          <w:p w:rsidR="007C5447" w:rsidRDefault="00F6308C">
            <w:pPr>
              <w:pStyle w:val="TableParagraph"/>
              <w:spacing w:before="36"/>
              <w:ind w:right="96"/>
              <w:rPr>
                <w:sz w:val="20"/>
              </w:rPr>
            </w:pPr>
            <w:r>
              <w:rPr>
                <w:w w:val="95"/>
                <w:sz w:val="20"/>
              </w:rPr>
              <w:t>2,597.54</w:t>
            </w:r>
          </w:p>
        </w:tc>
        <w:tc>
          <w:tcPr>
            <w:tcW w:w="1654" w:type="dxa"/>
          </w:tcPr>
          <w:p w:rsidR="007C5447" w:rsidRDefault="00F6308C">
            <w:pPr>
              <w:pStyle w:val="TableParagraph"/>
              <w:spacing w:before="36"/>
              <w:ind w:right="99"/>
              <w:rPr>
                <w:sz w:val="20"/>
              </w:rPr>
            </w:pPr>
            <w:r>
              <w:rPr>
                <w:w w:val="95"/>
                <w:sz w:val="20"/>
              </w:rPr>
              <w:t>2,597.54</w:t>
            </w:r>
          </w:p>
        </w:tc>
        <w:tc>
          <w:tcPr>
            <w:tcW w:w="1730" w:type="dxa"/>
          </w:tcPr>
          <w:p w:rsidR="007C5447" w:rsidRDefault="00F6308C">
            <w:pPr>
              <w:pStyle w:val="TableParagraph"/>
              <w:spacing w:before="36"/>
              <w:ind w:right="98"/>
              <w:rPr>
                <w:sz w:val="20"/>
              </w:rPr>
            </w:pPr>
            <w:r>
              <w:rPr>
                <w:w w:val="95"/>
                <w:sz w:val="20"/>
              </w:rPr>
              <w:t>2,597.54</w:t>
            </w:r>
          </w:p>
        </w:tc>
      </w:tr>
      <w:tr w:rsidR="007C5447">
        <w:trPr>
          <w:trHeight w:val="302"/>
        </w:trPr>
        <w:tc>
          <w:tcPr>
            <w:tcW w:w="847" w:type="dxa"/>
          </w:tcPr>
          <w:p w:rsidR="007C5447" w:rsidRDefault="00F6308C">
            <w:pPr>
              <w:pStyle w:val="TableParagraph"/>
              <w:spacing w:before="36"/>
              <w:ind w:right="203"/>
              <w:rPr>
                <w:sz w:val="20"/>
              </w:rPr>
            </w:pPr>
            <w:r>
              <w:rPr>
                <w:w w:val="95"/>
                <w:sz w:val="20"/>
              </w:rPr>
              <w:t>h)</w:t>
            </w:r>
          </w:p>
        </w:tc>
        <w:tc>
          <w:tcPr>
            <w:tcW w:w="3476" w:type="dxa"/>
          </w:tcPr>
          <w:p w:rsidR="007C5447" w:rsidRDefault="00F6308C">
            <w:pPr>
              <w:pStyle w:val="TableParagraph"/>
              <w:spacing w:before="36"/>
              <w:ind w:left="107"/>
              <w:jc w:val="left"/>
              <w:rPr>
                <w:sz w:val="20"/>
              </w:rPr>
            </w:pPr>
            <w:r>
              <w:rPr>
                <w:sz w:val="20"/>
              </w:rPr>
              <w:t>NTPC Talcher</w:t>
            </w:r>
          </w:p>
        </w:tc>
        <w:tc>
          <w:tcPr>
            <w:tcW w:w="1731" w:type="dxa"/>
          </w:tcPr>
          <w:p w:rsidR="007C5447" w:rsidRDefault="00F6308C">
            <w:pPr>
              <w:pStyle w:val="TableParagraph"/>
              <w:spacing w:before="36"/>
              <w:ind w:right="96"/>
              <w:rPr>
                <w:sz w:val="20"/>
              </w:rPr>
            </w:pPr>
            <w:r>
              <w:rPr>
                <w:w w:val="95"/>
                <w:sz w:val="20"/>
              </w:rPr>
              <w:t>3,231.59</w:t>
            </w:r>
          </w:p>
        </w:tc>
        <w:tc>
          <w:tcPr>
            <w:tcW w:w="1654" w:type="dxa"/>
          </w:tcPr>
          <w:p w:rsidR="007C5447" w:rsidRDefault="00F6308C">
            <w:pPr>
              <w:pStyle w:val="TableParagraph"/>
              <w:spacing w:before="36"/>
              <w:ind w:right="99"/>
              <w:rPr>
                <w:sz w:val="20"/>
              </w:rPr>
            </w:pPr>
            <w:r>
              <w:rPr>
                <w:w w:val="95"/>
                <w:sz w:val="20"/>
              </w:rPr>
              <w:t>3,231.59</w:t>
            </w:r>
          </w:p>
        </w:tc>
        <w:tc>
          <w:tcPr>
            <w:tcW w:w="1730" w:type="dxa"/>
          </w:tcPr>
          <w:p w:rsidR="007C5447" w:rsidRDefault="00F6308C">
            <w:pPr>
              <w:pStyle w:val="TableParagraph"/>
              <w:spacing w:before="36"/>
              <w:ind w:right="98"/>
              <w:rPr>
                <w:sz w:val="20"/>
              </w:rPr>
            </w:pPr>
            <w:r>
              <w:rPr>
                <w:w w:val="95"/>
                <w:sz w:val="20"/>
              </w:rPr>
              <w:t>3,231.59</w:t>
            </w:r>
          </w:p>
        </w:tc>
      </w:tr>
      <w:tr w:rsidR="007C5447">
        <w:trPr>
          <w:trHeight w:val="299"/>
        </w:trPr>
        <w:tc>
          <w:tcPr>
            <w:tcW w:w="847" w:type="dxa"/>
          </w:tcPr>
          <w:p w:rsidR="007C5447" w:rsidRDefault="00F6308C">
            <w:pPr>
              <w:pStyle w:val="TableParagraph"/>
              <w:spacing w:before="34"/>
              <w:ind w:left="467"/>
              <w:jc w:val="left"/>
              <w:rPr>
                <w:sz w:val="20"/>
              </w:rPr>
            </w:pPr>
            <w:r>
              <w:rPr>
                <w:sz w:val="20"/>
              </w:rPr>
              <w:t>i)</w:t>
            </w:r>
          </w:p>
        </w:tc>
        <w:tc>
          <w:tcPr>
            <w:tcW w:w="3476" w:type="dxa"/>
          </w:tcPr>
          <w:p w:rsidR="007C5447" w:rsidRDefault="00F6308C">
            <w:pPr>
              <w:pStyle w:val="TableParagraph"/>
              <w:spacing w:before="34"/>
              <w:ind w:left="107"/>
              <w:jc w:val="left"/>
              <w:rPr>
                <w:sz w:val="20"/>
              </w:rPr>
            </w:pPr>
            <w:r>
              <w:rPr>
                <w:sz w:val="20"/>
              </w:rPr>
              <w:t>NTPC Simhadri</w:t>
            </w:r>
          </w:p>
        </w:tc>
        <w:tc>
          <w:tcPr>
            <w:tcW w:w="1731" w:type="dxa"/>
          </w:tcPr>
          <w:p w:rsidR="007C5447" w:rsidRDefault="00F6308C">
            <w:pPr>
              <w:pStyle w:val="TableParagraph"/>
              <w:spacing w:before="34"/>
              <w:ind w:right="96"/>
              <w:rPr>
                <w:sz w:val="20"/>
              </w:rPr>
            </w:pPr>
            <w:r>
              <w:rPr>
                <w:w w:val="95"/>
                <w:sz w:val="20"/>
              </w:rPr>
              <w:t>1,504.97</w:t>
            </w:r>
          </w:p>
        </w:tc>
        <w:tc>
          <w:tcPr>
            <w:tcW w:w="1654" w:type="dxa"/>
          </w:tcPr>
          <w:p w:rsidR="007C5447" w:rsidRDefault="00F6308C">
            <w:pPr>
              <w:pStyle w:val="TableParagraph"/>
              <w:spacing w:before="34"/>
              <w:ind w:right="99"/>
              <w:rPr>
                <w:sz w:val="20"/>
              </w:rPr>
            </w:pPr>
            <w:r>
              <w:rPr>
                <w:w w:val="95"/>
                <w:sz w:val="20"/>
              </w:rPr>
              <w:t>1,541.23</w:t>
            </w:r>
          </w:p>
        </w:tc>
        <w:tc>
          <w:tcPr>
            <w:tcW w:w="1730" w:type="dxa"/>
          </w:tcPr>
          <w:p w:rsidR="007C5447" w:rsidRDefault="00F6308C">
            <w:pPr>
              <w:pStyle w:val="TableParagraph"/>
              <w:spacing w:before="34"/>
              <w:ind w:right="98"/>
              <w:rPr>
                <w:sz w:val="20"/>
              </w:rPr>
            </w:pPr>
            <w:r>
              <w:rPr>
                <w:w w:val="95"/>
                <w:sz w:val="20"/>
              </w:rPr>
              <w:t>1,541.23</w:t>
            </w:r>
          </w:p>
        </w:tc>
      </w:tr>
      <w:tr w:rsidR="007C5447">
        <w:trPr>
          <w:trHeight w:val="299"/>
        </w:trPr>
        <w:tc>
          <w:tcPr>
            <w:tcW w:w="847" w:type="dxa"/>
          </w:tcPr>
          <w:p w:rsidR="007C5447" w:rsidRDefault="00F6308C">
            <w:pPr>
              <w:pStyle w:val="TableParagraph"/>
              <w:spacing w:before="34"/>
              <w:ind w:left="467"/>
              <w:jc w:val="left"/>
              <w:rPr>
                <w:sz w:val="20"/>
              </w:rPr>
            </w:pPr>
            <w:r>
              <w:rPr>
                <w:sz w:val="20"/>
              </w:rPr>
              <w:t>j)</w:t>
            </w:r>
          </w:p>
        </w:tc>
        <w:tc>
          <w:tcPr>
            <w:tcW w:w="3476" w:type="dxa"/>
          </w:tcPr>
          <w:p w:rsidR="007C5447" w:rsidRDefault="00F6308C">
            <w:pPr>
              <w:pStyle w:val="TableParagraph"/>
              <w:spacing w:before="34"/>
              <w:ind w:left="107"/>
              <w:jc w:val="left"/>
              <w:rPr>
                <w:sz w:val="20"/>
              </w:rPr>
            </w:pPr>
            <w:r>
              <w:rPr>
                <w:sz w:val="20"/>
              </w:rPr>
              <w:t>MAPS</w:t>
            </w:r>
          </w:p>
        </w:tc>
        <w:tc>
          <w:tcPr>
            <w:tcW w:w="1731" w:type="dxa"/>
          </w:tcPr>
          <w:p w:rsidR="007C5447" w:rsidRDefault="00F6308C">
            <w:pPr>
              <w:pStyle w:val="TableParagraph"/>
              <w:spacing w:before="34"/>
              <w:ind w:right="96"/>
              <w:rPr>
                <w:sz w:val="20"/>
              </w:rPr>
            </w:pPr>
            <w:r>
              <w:rPr>
                <w:w w:val="95"/>
                <w:sz w:val="20"/>
              </w:rPr>
              <w:t>1,530.78</w:t>
            </w:r>
          </w:p>
        </w:tc>
        <w:tc>
          <w:tcPr>
            <w:tcW w:w="1654" w:type="dxa"/>
          </w:tcPr>
          <w:p w:rsidR="007C5447" w:rsidRDefault="00F6308C">
            <w:pPr>
              <w:pStyle w:val="TableParagraph"/>
              <w:spacing w:before="34"/>
              <w:ind w:right="99"/>
              <w:rPr>
                <w:sz w:val="20"/>
              </w:rPr>
            </w:pPr>
            <w:r>
              <w:rPr>
                <w:w w:val="95"/>
                <w:sz w:val="20"/>
              </w:rPr>
              <w:t>1,530.78</w:t>
            </w:r>
          </w:p>
        </w:tc>
        <w:tc>
          <w:tcPr>
            <w:tcW w:w="1730" w:type="dxa"/>
          </w:tcPr>
          <w:p w:rsidR="007C5447" w:rsidRDefault="00F6308C">
            <w:pPr>
              <w:pStyle w:val="TableParagraph"/>
              <w:spacing w:before="34"/>
              <w:ind w:right="98"/>
              <w:rPr>
                <w:sz w:val="20"/>
              </w:rPr>
            </w:pPr>
            <w:r>
              <w:rPr>
                <w:w w:val="95"/>
                <w:sz w:val="20"/>
              </w:rPr>
              <w:t>1,530.78</w:t>
            </w:r>
          </w:p>
        </w:tc>
      </w:tr>
    </w:tbl>
    <w:p w:rsidR="007C5447" w:rsidRDefault="007C5447">
      <w:pPr>
        <w:rPr>
          <w:sz w:val="20"/>
        </w:rPr>
        <w:sectPr w:rsidR="007C5447">
          <w:pgSz w:w="11910" w:h="16840"/>
          <w:pgMar w:top="1360" w:right="620" w:bottom="1240" w:left="900" w:header="0" w:footer="777" w:gutter="0"/>
          <w:cols w:space="720"/>
        </w:sectPr>
      </w:pPr>
    </w:p>
    <w:tbl>
      <w:tblPr>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3476"/>
        <w:gridCol w:w="1731"/>
        <w:gridCol w:w="1654"/>
        <w:gridCol w:w="1730"/>
      </w:tblGrid>
      <w:tr w:rsidR="007C5447">
        <w:trPr>
          <w:trHeight w:val="328"/>
        </w:trPr>
        <w:tc>
          <w:tcPr>
            <w:tcW w:w="847" w:type="dxa"/>
            <w:vMerge w:val="restart"/>
            <w:shd w:val="clear" w:color="auto" w:fill="FBD4B4"/>
          </w:tcPr>
          <w:p w:rsidR="007C5447" w:rsidRDefault="007C5447">
            <w:pPr>
              <w:pStyle w:val="TableParagraph"/>
              <w:spacing w:before="3"/>
              <w:jc w:val="left"/>
              <w:rPr>
                <w:b/>
                <w:sz w:val="19"/>
              </w:rPr>
            </w:pPr>
          </w:p>
          <w:p w:rsidR="007C5447" w:rsidRDefault="00F6308C">
            <w:pPr>
              <w:pStyle w:val="TableParagraph"/>
              <w:ind w:left="270" w:right="264"/>
              <w:jc w:val="center"/>
              <w:rPr>
                <w:b/>
                <w:sz w:val="20"/>
              </w:rPr>
            </w:pPr>
            <w:r>
              <w:rPr>
                <w:b/>
                <w:sz w:val="20"/>
              </w:rPr>
              <w:t>Sl.</w:t>
            </w:r>
          </w:p>
        </w:tc>
        <w:tc>
          <w:tcPr>
            <w:tcW w:w="3476" w:type="dxa"/>
            <w:vMerge w:val="restart"/>
            <w:shd w:val="clear" w:color="auto" w:fill="FBD4B4"/>
          </w:tcPr>
          <w:p w:rsidR="007C5447" w:rsidRDefault="007C5447">
            <w:pPr>
              <w:pStyle w:val="TableParagraph"/>
              <w:spacing w:before="3"/>
              <w:jc w:val="left"/>
              <w:rPr>
                <w:b/>
                <w:sz w:val="19"/>
              </w:rPr>
            </w:pPr>
          </w:p>
          <w:p w:rsidR="007C5447" w:rsidRDefault="00F6308C">
            <w:pPr>
              <w:pStyle w:val="TableParagraph"/>
              <w:ind w:left="1421" w:right="1416"/>
              <w:jc w:val="center"/>
              <w:rPr>
                <w:b/>
                <w:sz w:val="20"/>
              </w:rPr>
            </w:pPr>
            <w:r>
              <w:rPr>
                <w:b/>
                <w:sz w:val="20"/>
              </w:rPr>
              <w:t>Source</w:t>
            </w:r>
          </w:p>
        </w:tc>
        <w:tc>
          <w:tcPr>
            <w:tcW w:w="5115" w:type="dxa"/>
            <w:gridSpan w:val="3"/>
            <w:tcBorders>
              <w:bottom w:val="single" w:sz="6" w:space="0" w:color="000000"/>
            </w:tcBorders>
            <w:shd w:val="clear" w:color="auto" w:fill="FBD4B4"/>
          </w:tcPr>
          <w:p w:rsidR="007C5447" w:rsidRDefault="00F6308C">
            <w:pPr>
              <w:pStyle w:val="TableParagraph"/>
              <w:spacing w:before="50"/>
              <w:ind w:left="1286"/>
              <w:jc w:val="left"/>
              <w:rPr>
                <w:b/>
                <w:sz w:val="20"/>
              </w:rPr>
            </w:pPr>
            <w:r>
              <w:rPr>
                <w:b/>
                <w:sz w:val="20"/>
              </w:rPr>
              <w:t>Net Energy Availability (MU)</w:t>
            </w:r>
          </w:p>
        </w:tc>
      </w:tr>
      <w:tr w:rsidR="007C5447">
        <w:trPr>
          <w:trHeight w:val="326"/>
        </w:trPr>
        <w:tc>
          <w:tcPr>
            <w:tcW w:w="847" w:type="dxa"/>
            <w:vMerge/>
            <w:tcBorders>
              <w:top w:val="nil"/>
            </w:tcBorders>
            <w:shd w:val="clear" w:color="auto" w:fill="FBD4B4"/>
          </w:tcPr>
          <w:p w:rsidR="007C5447" w:rsidRDefault="007C5447">
            <w:pPr>
              <w:rPr>
                <w:sz w:val="2"/>
                <w:szCs w:val="2"/>
              </w:rPr>
            </w:pPr>
          </w:p>
        </w:tc>
        <w:tc>
          <w:tcPr>
            <w:tcW w:w="3476" w:type="dxa"/>
            <w:vMerge/>
            <w:tcBorders>
              <w:top w:val="nil"/>
            </w:tcBorders>
            <w:shd w:val="clear" w:color="auto" w:fill="FBD4B4"/>
          </w:tcPr>
          <w:p w:rsidR="007C5447" w:rsidRDefault="007C5447">
            <w:pPr>
              <w:rPr>
                <w:sz w:val="2"/>
                <w:szCs w:val="2"/>
              </w:rPr>
            </w:pPr>
          </w:p>
        </w:tc>
        <w:tc>
          <w:tcPr>
            <w:tcW w:w="1731" w:type="dxa"/>
            <w:tcBorders>
              <w:top w:val="single" w:sz="6" w:space="0" w:color="000000"/>
            </w:tcBorders>
            <w:shd w:val="clear" w:color="auto" w:fill="FBD4B4"/>
          </w:tcPr>
          <w:p w:rsidR="007C5447" w:rsidRDefault="00F6308C">
            <w:pPr>
              <w:pStyle w:val="TableParagraph"/>
              <w:spacing w:before="46"/>
              <w:ind w:left="371"/>
              <w:jc w:val="left"/>
              <w:rPr>
                <w:b/>
                <w:sz w:val="20"/>
              </w:rPr>
            </w:pPr>
            <w:r>
              <w:rPr>
                <w:b/>
                <w:sz w:val="20"/>
              </w:rPr>
              <w:t>FY 2016-17</w:t>
            </w:r>
          </w:p>
        </w:tc>
        <w:tc>
          <w:tcPr>
            <w:tcW w:w="1654" w:type="dxa"/>
            <w:tcBorders>
              <w:top w:val="single" w:sz="6" w:space="0" w:color="000000"/>
            </w:tcBorders>
            <w:shd w:val="clear" w:color="auto" w:fill="FBD4B4"/>
          </w:tcPr>
          <w:p w:rsidR="007C5447" w:rsidRDefault="00F6308C">
            <w:pPr>
              <w:pStyle w:val="TableParagraph"/>
              <w:spacing w:before="46"/>
              <w:ind w:left="333"/>
              <w:jc w:val="left"/>
              <w:rPr>
                <w:b/>
                <w:sz w:val="20"/>
              </w:rPr>
            </w:pPr>
            <w:r>
              <w:rPr>
                <w:b/>
                <w:sz w:val="20"/>
              </w:rPr>
              <w:t>FY 2017-18</w:t>
            </w:r>
          </w:p>
        </w:tc>
        <w:tc>
          <w:tcPr>
            <w:tcW w:w="1730" w:type="dxa"/>
            <w:tcBorders>
              <w:top w:val="single" w:sz="6" w:space="0" w:color="000000"/>
            </w:tcBorders>
            <w:shd w:val="clear" w:color="auto" w:fill="FBD4B4"/>
          </w:tcPr>
          <w:p w:rsidR="007C5447" w:rsidRDefault="00F6308C">
            <w:pPr>
              <w:pStyle w:val="TableParagraph"/>
              <w:spacing w:before="46"/>
              <w:ind w:left="369"/>
              <w:jc w:val="left"/>
              <w:rPr>
                <w:b/>
                <w:sz w:val="20"/>
              </w:rPr>
            </w:pPr>
            <w:r>
              <w:rPr>
                <w:b/>
                <w:sz w:val="20"/>
              </w:rPr>
              <w:t>FY 2018-19</w:t>
            </w:r>
          </w:p>
        </w:tc>
      </w:tr>
      <w:tr w:rsidR="007C5447">
        <w:trPr>
          <w:trHeight w:val="302"/>
        </w:trPr>
        <w:tc>
          <w:tcPr>
            <w:tcW w:w="847" w:type="dxa"/>
          </w:tcPr>
          <w:p w:rsidR="007C5447" w:rsidRDefault="00F6308C">
            <w:pPr>
              <w:pStyle w:val="TableParagraph"/>
              <w:spacing w:before="36"/>
              <w:ind w:left="467"/>
              <w:jc w:val="left"/>
              <w:rPr>
                <w:sz w:val="20"/>
              </w:rPr>
            </w:pPr>
            <w:r>
              <w:rPr>
                <w:sz w:val="20"/>
              </w:rPr>
              <w:t>k)</w:t>
            </w:r>
          </w:p>
        </w:tc>
        <w:tc>
          <w:tcPr>
            <w:tcW w:w="3476" w:type="dxa"/>
          </w:tcPr>
          <w:p w:rsidR="007C5447" w:rsidRDefault="00F6308C">
            <w:pPr>
              <w:pStyle w:val="TableParagraph"/>
              <w:spacing w:before="36"/>
              <w:ind w:left="107"/>
              <w:jc w:val="left"/>
              <w:rPr>
                <w:sz w:val="20"/>
              </w:rPr>
            </w:pPr>
            <w:r>
              <w:rPr>
                <w:sz w:val="20"/>
              </w:rPr>
              <w:t>KAIGA</w:t>
            </w:r>
          </w:p>
        </w:tc>
        <w:tc>
          <w:tcPr>
            <w:tcW w:w="1731" w:type="dxa"/>
          </w:tcPr>
          <w:p w:rsidR="007C5447" w:rsidRDefault="00F6308C">
            <w:pPr>
              <w:pStyle w:val="TableParagraph"/>
              <w:spacing w:before="36"/>
              <w:ind w:right="96"/>
              <w:rPr>
                <w:sz w:val="20"/>
              </w:rPr>
            </w:pPr>
            <w:r>
              <w:rPr>
                <w:w w:val="95"/>
                <w:sz w:val="20"/>
              </w:rPr>
              <w:t>1,175.28</w:t>
            </w:r>
          </w:p>
        </w:tc>
        <w:tc>
          <w:tcPr>
            <w:tcW w:w="1654" w:type="dxa"/>
          </w:tcPr>
          <w:p w:rsidR="007C5447" w:rsidRDefault="00F6308C">
            <w:pPr>
              <w:pStyle w:val="TableParagraph"/>
              <w:spacing w:before="36"/>
              <w:ind w:right="99"/>
              <w:rPr>
                <w:sz w:val="20"/>
              </w:rPr>
            </w:pPr>
            <w:r>
              <w:rPr>
                <w:w w:val="95"/>
                <w:sz w:val="20"/>
              </w:rPr>
              <w:t>1,175.28</w:t>
            </w:r>
          </w:p>
        </w:tc>
        <w:tc>
          <w:tcPr>
            <w:tcW w:w="1730" w:type="dxa"/>
          </w:tcPr>
          <w:p w:rsidR="007C5447" w:rsidRDefault="00F6308C">
            <w:pPr>
              <w:pStyle w:val="TableParagraph"/>
              <w:spacing w:before="36"/>
              <w:ind w:right="98"/>
              <w:rPr>
                <w:sz w:val="20"/>
              </w:rPr>
            </w:pPr>
            <w:r>
              <w:rPr>
                <w:w w:val="95"/>
                <w:sz w:val="20"/>
              </w:rPr>
              <w:t>1,175.28</w:t>
            </w:r>
          </w:p>
        </w:tc>
      </w:tr>
      <w:tr w:rsidR="007C5447">
        <w:trPr>
          <w:trHeight w:val="299"/>
        </w:trPr>
        <w:tc>
          <w:tcPr>
            <w:tcW w:w="847" w:type="dxa"/>
          </w:tcPr>
          <w:p w:rsidR="007C5447" w:rsidRDefault="00F6308C">
            <w:pPr>
              <w:pStyle w:val="TableParagraph"/>
              <w:spacing w:before="34"/>
              <w:ind w:left="467"/>
              <w:jc w:val="left"/>
              <w:rPr>
                <w:sz w:val="20"/>
              </w:rPr>
            </w:pPr>
            <w:r>
              <w:rPr>
                <w:sz w:val="20"/>
              </w:rPr>
              <w:t>l)</w:t>
            </w:r>
          </w:p>
        </w:tc>
        <w:tc>
          <w:tcPr>
            <w:tcW w:w="3476" w:type="dxa"/>
          </w:tcPr>
          <w:p w:rsidR="007C5447" w:rsidRDefault="00F6308C">
            <w:pPr>
              <w:pStyle w:val="TableParagraph"/>
              <w:spacing w:before="34"/>
              <w:ind w:left="107"/>
              <w:jc w:val="left"/>
              <w:rPr>
                <w:sz w:val="20"/>
              </w:rPr>
            </w:pPr>
            <w:r>
              <w:rPr>
                <w:sz w:val="20"/>
              </w:rPr>
              <w:t>NTPC ER</w:t>
            </w:r>
          </w:p>
        </w:tc>
        <w:tc>
          <w:tcPr>
            <w:tcW w:w="1731" w:type="dxa"/>
          </w:tcPr>
          <w:p w:rsidR="007C5447" w:rsidRDefault="00F6308C">
            <w:pPr>
              <w:pStyle w:val="TableParagraph"/>
              <w:spacing w:before="34"/>
              <w:ind w:right="98"/>
              <w:rPr>
                <w:sz w:val="20"/>
              </w:rPr>
            </w:pPr>
            <w:r>
              <w:rPr>
                <w:w w:val="95"/>
                <w:sz w:val="20"/>
              </w:rPr>
              <w:t>325.00</w:t>
            </w:r>
          </w:p>
        </w:tc>
        <w:tc>
          <w:tcPr>
            <w:tcW w:w="1654" w:type="dxa"/>
          </w:tcPr>
          <w:p w:rsidR="007C5447" w:rsidRDefault="00F6308C">
            <w:pPr>
              <w:pStyle w:val="TableParagraph"/>
              <w:spacing w:before="34"/>
              <w:ind w:right="101"/>
              <w:rPr>
                <w:sz w:val="20"/>
              </w:rPr>
            </w:pPr>
            <w:r>
              <w:rPr>
                <w:w w:val="95"/>
                <w:sz w:val="20"/>
              </w:rPr>
              <w:t>325.00</w:t>
            </w:r>
          </w:p>
        </w:tc>
        <w:tc>
          <w:tcPr>
            <w:tcW w:w="1730" w:type="dxa"/>
          </w:tcPr>
          <w:p w:rsidR="007C5447" w:rsidRDefault="00F6308C">
            <w:pPr>
              <w:pStyle w:val="TableParagraph"/>
              <w:spacing w:before="34"/>
              <w:ind w:right="100"/>
              <w:rPr>
                <w:sz w:val="20"/>
              </w:rPr>
            </w:pPr>
            <w:r>
              <w:rPr>
                <w:w w:val="95"/>
                <w:sz w:val="20"/>
              </w:rPr>
              <w:t>325.00</w:t>
            </w:r>
          </w:p>
        </w:tc>
      </w:tr>
      <w:tr w:rsidR="007C5447">
        <w:trPr>
          <w:trHeight w:val="299"/>
        </w:trPr>
        <w:tc>
          <w:tcPr>
            <w:tcW w:w="847" w:type="dxa"/>
          </w:tcPr>
          <w:p w:rsidR="007C5447" w:rsidRDefault="00F6308C">
            <w:pPr>
              <w:pStyle w:val="TableParagraph"/>
              <w:spacing w:before="34"/>
              <w:ind w:left="467"/>
              <w:jc w:val="left"/>
              <w:rPr>
                <w:sz w:val="20"/>
              </w:rPr>
            </w:pPr>
            <w:r>
              <w:rPr>
                <w:sz w:val="20"/>
              </w:rPr>
              <w:t>m)</w:t>
            </w:r>
          </w:p>
        </w:tc>
        <w:tc>
          <w:tcPr>
            <w:tcW w:w="3476" w:type="dxa"/>
          </w:tcPr>
          <w:p w:rsidR="007C5447" w:rsidRDefault="00F6308C">
            <w:pPr>
              <w:pStyle w:val="TableParagraph"/>
              <w:spacing w:before="34"/>
              <w:ind w:left="107"/>
              <w:jc w:val="left"/>
              <w:rPr>
                <w:sz w:val="20"/>
              </w:rPr>
            </w:pPr>
            <w:r>
              <w:rPr>
                <w:sz w:val="20"/>
              </w:rPr>
              <w:t>NTPC Vallur Unit 1 &amp; Unit 2 (NTECL)</w:t>
            </w:r>
          </w:p>
        </w:tc>
        <w:tc>
          <w:tcPr>
            <w:tcW w:w="1731" w:type="dxa"/>
          </w:tcPr>
          <w:p w:rsidR="007C5447" w:rsidRDefault="00F6308C">
            <w:pPr>
              <w:pStyle w:val="TableParagraph"/>
              <w:spacing w:before="34"/>
              <w:ind w:right="96"/>
              <w:rPr>
                <w:sz w:val="20"/>
              </w:rPr>
            </w:pPr>
            <w:r>
              <w:rPr>
                <w:w w:val="95"/>
                <w:sz w:val="20"/>
              </w:rPr>
              <w:t>7,075.96</w:t>
            </w:r>
          </w:p>
        </w:tc>
        <w:tc>
          <w:tcPr>
            <w:tcW w:w="1654" w:type="dxa"/>
          </w:tcPr>
          <w:p w:rsidR="007C5447" w:rsidRDefault="00F6308C">
            <w:pPr>
              <w:pStyle w:val="TableParagraph"/>
              <w:spacing w:before="34"/>
              <w:ind w:right="99"/>
              <w:rPr>
                <w:sz w:val="20"/>
              </w:rPr>
            </w:pPr>
            <w:r>
              <w:rPr>
                <w:w w:val="95"/>
                <w:sz w:val="20"/>
              </w:rPr>
              <w:t>7,075.96</w:t>
            </w:r>
          </w:p>
        </w:tc>
        <w:tc>
          <w:tcPr>
            <w:tcW w:w="1730" w:type="dxa"/>
          </w:tcPr>
          <w:p w:rsidR="007C5447" w:rsidRDefault="00F6308C">
            <w:pPr>
              <w:pStyle w:val="TableParagraph"/>
              <w:spacing w:before="34"/>
              <w:ind w:right="98"/>
              <w:rPr>
                <w:sz w:val="20"/>
              </w:rPr>
            </w:pPr>
            <w:r>
              <w:rPr>
                <w:w w:val="95"/>
                <w:sz w:val="20"/>
              </w:rPr>
              <w:t>7,075.96</w:t>
            </w:r>
          </w:p>
        </w:tc>
      </w:tr>
      <w:tr w:rsidR="007C5447">
        <w:trPr>
          <w:trHeight w:val="299"/>
        </w:trPr>
        <w:tc>
          <w:tcPr>
            <w:tcW w:w="847" w:type="dxa"/>
          </w:tcPr>
          <w:p w:rsidR="007C5447" w:rsidRDefault="00F6308C">
            <w:pPr>
              <w:pStyle w:val="TableParagraph"/>
              <w:spacing w:before="34"/>
              <w:ind w:left="467"/>
              <w:jc w:val="left"/>
              <w:rPr>
                <w:sz w:val="20"/>
              </w:rPr>
            </w:pPr>
            <w:r>
              <w:rPr>
                <w:sz w:val="20"/>
              </w:rPr>
              <w:t>n)</w:t>
            </w:r>
          </w:p>
        </w:tc>
        <w:tc>
          <w:tcPr>
            <w:tcW w:w="3476" w:type="dxa"/>
          </w:tcPr>
          <w:p w:rsidR="007C5447" w:rsidRDefault="00F6308C">
            <w:pPr>
              <w:pStyle w:val="TableParagraph"/>
              <w:spacing w:before="34"/>
              <w:ind w:left="107"/>
              <w:jc w:val="left"/>
              <w:rPr>
                <w:sz w:val="20"/>
              </w:rPr>
            </w:pPr>
            <w:r>
              <w:rPr>
                <w:sz w:val="20"/>
              </w:rPr>
              <w:t>PFBR Kalpakkam</w:t>
            </w:r>
          </w:p>
        </w:tc>
        <w:tc>
          <w:tcPr>
            <w:tcW w:w="1731" w:type="dxa"/>
          </w:tcPr>
          <w:p w:rsidR="007C5447" w:rsidRDefault="00F6308C">
            <w:pPr>
              <w:pStyle w:val="TableParagraph"/>
              <w:spacing w:before="34"/>
              <w:ind w:right="94"/>
              <w:rPr>
                <w:sz w:val="20"/>
              </w:rPr>
            </w:pPr>
            <w:r>
              <w:rPr>
                <w:w w:val="99"/>
                <w:sz w:val="20"/>
              </w:rPr>
              <w:t>-</w:t>
            </w:r>
          </w:p>
        </w:tc>
        <w:tc>
          <w:tcPr>
            <w:tcW w:w="1654" w:type="dxa"/>
          </w:tcPr>
          <w:p w:rsidR="007C5447" w:rsidRDefault="00F6308C">
            <w:pPr>
              <w:pStyle w:val="TableParagraph"/>
              <w:spacing w:before="34"/>
              <w:ind w:right="101"/>
              <w:rPr>
                <w:sz w:val="20"/>
              </w:rPr>
            </w:pPr>
            <w:r>
              <w:rPr>
                <w:w w:val="95"/>
                <w:sz w:val="20"/>
              </w:rPr>
              <w:t>767.69</w:t>
            </w:r>
          </w:p>
        </w:tc>
        <w:tc>
          <w:tcPr>
            <w:tcW w:w="1730" w:type="dxa"/>
          </w:tcPr>
          <w:p w:rsidR="007C5447" w:rsidRDefault="00F6308C">
            <w:pPr>
              <w:pStyle w:val="TableParagraph"/>
              <w:spacing w:before="34"/>
              <w:ind w:right="100"/>
              <w:rPr>
                <w:sz w:val="20"/>
              </w:rPr>
            </w:pPr>
            <w:r>
              <w:rPr>
                <w:w w:val="95"/>
                <w:sz w:val="20"/>
              </w:rPr>
              <w:t>767.69</w:t>
            </w:r>
          </w:p>
        </w:tc>
      </w:tr>
      <w:tr w:rsidR="007C5447">
        <w:trPr>
          <w:trHeight w:val="299"/>
        </w:trPr>
        <w:tc>
          <w:tcPr>
            <w:tcW w:w="847" w:type="dxa"/>
          </w:tcPr>
          <w:p w:rsidR="007C5447" w:rsidRDefault="00F6308C">
            <w:pPr>
              <w:pStyle w:val="TableParagraph"/>
              <w:spacing w:before="36"/>
              <w:ind w:left="467"/>
              <w:jc w:val="left"/>
              <w:rPr>
                <w:sz w:val="20"/>
              </w:rPr>
            </w:pPr>
            <w:r>
              <w:rPr>
                <w:sz w:val="20"/>
              </w:rPr>
              <w:t>o)</w:t>
            </w:r>
          </w:p>
        </w:tc>
        <w:tc>
          <w:tcPr>
            <w:tcW w:w="3476" w:type="dxa"/>
          </w:tcPr>
          <w:p w:rsidR="007C5447" w:rsidRDefault="00F6308C">
            <w:pPr>
              <w:pStyle w:val="TableParagraph"/>
              <w:spacing w:before="36"/>
              <w:ind w:left="107"/>
              <w:jc w:val="left"/>
              <w:rPr>
                <w:sz w:val="20"/>
              </w:rPr>
            </w:pPr>
            <w:r>
              <w:rPr>
                <w:sz w:val="20"/>
              </w:rPr>
              <w:t>Kudankulum</w:t>
            </w:r>
          </w:p>
        </w:tc>
        <w:tc>
          <w:tcPr>
            <w:tcW w:w="1731" w:type="dxa"/>
          </w:tcPr>
          <w:p w:rsidR="007C5447" w:rsidRDefault="00F6308C">
            <w:pPr>
              <w:pStyle w:val="TableParagraph"/>
              <w:spacing w:before="36"/>
              <w:ind w:right="96"/>
              <w:rPr>
                <w:sz w:val="20"/>
              </w:rPr>
            </w:pPr>
            <w:r>
              <w:rPr>
                <w:w w:val="95"/>
                <w:sz w:val="20"/>
              </w:rPr>
              <w:t>5,176.14</w:t>
            </w:r>
          </w:p>
        </w:tc>
        <w:tc>
          <w:tcPr>
            <w:tcW w:w="1654" w:type="dxa"/>
          </w:tcPr>
          <w:p w:rsidR="007C5447" w:rsidRDefault="00F6308C">
            <w:pPr>
              <w:pStyle w:val="TableParagraph"/>
              <w:spacing w:before="36"/>
              <w:ind w:right="99"/>
              <w:rPr>
                <w:sz w:val="20"/>
              </w:rPr>
            </w:pPr>
            <w:r>
              <w:rPr>
                <w:w w:val="95"/>
                <w:sz w:val="20"/>
              </w:rPr>
              <w:t>5,176.14</w:t>
            </w:r>
          </w:p>
        </w:tc>
        <w:tc>
          <w:tcPr>
            <w:tcW w:w="1730" w:type="dxa"/>
          </w:tcPr>
          <w:p w:rsidR="007C5447" w:rsidRDefault="00F6308C">
            <w:pPr>
              <w:pStyle w:val="TableParagraph"/>
              <w:spacing w:before="36"/>
              <w:ind w:right="98"/>
              <w:rPr>
                <w:sz w:val="20"/>
              </w:rPr>
            </w:pPr>
            <w:r>
              <w:rPr>
                <w:w w:val="95"/>
                <w:sz w:val="20"/>
              </w:rPr>
              <w:t>5,176.14</w:t>
            </w:r>
          </w:p>
        </w:tc>
      </w:tr>
      <w:tr w:rsidR="007C5447">
        <w:trPr>
          <w:trHeight w:val="330"/>
        </w:trPr>
        <w:tc>
          <w:tcPr>
            <w:tcW w:w="847" w:type="dxa"/>
          </w:tcPr>
          <w:p w:rsidR="007C5447" w:rsidRDefault="00F6308C">
            <w:pPr>
              <w:pStyle w:val="TableParagraph"/>
              <w:spacing w:before="50"/>
              <w:ind w:left="371"/>
              <w:jc w:val="left"/>
              <w:rPr>
                <w:b/>
                <w:sz w:val="20"/>
              </w:rPr>
            </w:pPr>
            <w:r>
              <w:rPr>
                <w:b/>
                <w:w w:val="99"/>
                <w:sz w:val="20"/>
              </w:rPr>
              <w:t>2</w:t>
            </w:r>
          </w:p>
        </w:tc>
        <w:tc>
          <w:tcPr>
            <w:tcW w:w="3476" w:type="dxa"/>
          </w:tcPr>
          <w:p w:rsidR="007C5447" w:rsidRDefault="00F6308C">
            <w:pPr>
              <w:pStyle w:val="TableParagraph"/>
              <w:spacing w:before="50"/>
              <w:ind w:left="107"/>
              <w:jc w:val="left"/>
              <w:rPr>
                <w:b/>
                <w:sz w:val="20"/>
              </w:rPr>
            </w:pPr>
            <w:r>
              <w:rPr>
                <w:b/>
                <w:sz w:val="20"/>
              </w:rPr>
              <w:t>Independent Power Producers (IPP)</w:t>
            </w:r>
          </w:p>
        </w:tc>
        <w:tc>
          <w:tcPr>
            <w:tcW w:w="1731" w:type="dxa"/>
          </w:tcPr>
          <w:p w:rsidR="007C5447" w:rsidRDefault="00F6308C">
            <w:pPr>
              <w:pStyle w:val="TableParagraph"/>
              <w:spacing w:before="50"/>
              <w:ind w:right="96"/>
              <w:rPr>
                <w:b/>
                <w:sz w:val="20"/>
              </w:rPr>
            </w:pPr>
            <w:r>
              <w:rPr>
                <w:b/>
                <w:w w:val="95"/>
                <w:sz w:val="20"/>
              </w:rPr>
              <w:t>1,911.47</w:t>
            </w:r>
          </w:p>
        </w:tc>
        <w:tc>
          <w:tcPr>
            <w:tcW w:w="1654" w:type="dxa"/>
          </w:tcPr>
          <w:p w:rsidR="007C5447" w:rsidRDefault="00F6308C">
            <w:pPr>
              <w:pStyle w:val="TableParagraph"/>
              <w:spacing w:before="50"/>
              <w:ind w:right="99"/>
              <w:rPr>
                <w:b/>
                <w:sz w:val="20"/>
              </w:rPr>
            </w:pPr>
            <w:r>
              <w:rPr>
                <w:b/>
                <w:w w:val="95"/>
                <w:sz w:val="20"/>
              </w:rPr>
              <w:t>1,911.47</w:t>
            </w:r>
          </w:p>
        </w:tc>
        <w:tc>
          <w:tcPr>
            <w:tcW w:w="1730" w:type="dxa"/>
          </w:tcPr>
          <w:p w:rsidR="007C5447" w:rsidRDefault="00F6308C">
            <w:pPr>
              <w:pStyle w:val="TableParagraph"/>
              <w:spacing w:before="50"/>
              <w:ind w:right="98"/>
              <w:rPr>
                <w:b/>
                <w:sz w:val="20"/>
              </w:rPr>
            </w:pPr>
            <w:r>
              <w:rPr>
                <w:b/>
                <w:w w:val="95"/>
                <w:sz w:val="20"/>
              </w:rPr>
              <w:t>1,911.47</w:t>
            </w:r>
          </w:p>
        </w:tc>
      </w:tr>
      <w:tr w:rsidR="007C5447">
        <w:trPr>
          <w:trHeight w:val="299"/>
        </w:trPr>
        <w:tc>
          <w:tcPr>
            <w:tcW w:w="847" w:type="dxa"/>
          </w:tcPr>
          <w:p w:rsidR="007C5447" w:rsidRDefault="00F6308C">
            <w:pPr>
              <w:pStyle w:val="TableParagraph"/>
              <w:spacing w:before="34"/>
              <w:ind w:left="467"/>
              <w:jc w:val="left"/>
              <w:rPr>
                <w:sz w:val="20"/>
              </w:rPr>
            </w:pPr>
            <w:r>
              <w:rPr>
                <w:sz w:val="20"/>
              </w:rPr>
              <w:t>a)</w:t>
            </w:r>
          </w:p>
        </w:tc>
        <w:tc>
          <w:tcPr>
            <w:tcW w:w="3476" w:type="dxa"/>
          </w:tcPr>
          <w:p w:rsidR="007C5447" w:rsidRDefault="00F6308C">
            <w:pPr>
              <w:pStyle w:val="TableParagraph"/>
              <w:spacing w:before="34"/>
              <w:ind w:left="107"/>
              <w:jc w:val="left"/>
              <w:rPr>
                <w:sz w:val="20"/>
              </w:rPr>
            </w:pPr>
            <w:r>
              <w:rPr>
                <w:sz w:val="20"/>
              </w:rPr>
              <w:t>PPN</w:t>
            </w:r>
          </w:p>
        </w:tc>
        <w:tc>
          <w:tcPr>
            <w:tcW w:w="1731" w:type="dxa"/>
          </w:tcPr>
          <w:p w:rsidR="007C5447" w:rsidRDefault="00F6308C">
            <w:pPr>
              <w:pStyle w:val="TableParagraph"/>
              <w:spacing w:before="34"/>
              <w:ind w:right="98"/>
              <w:rPr>
                <w:sz w:val="20"/>
              </w:rPr>
            </w:pPr>
            <w:r>
              <w:rPr>
                <w:w w:val="95"/>
                <w:sz w:val="20"/>
              </w:rPr>
              <w:t>171.39</w:t>
            </w:r>
          </w:p>
        </w:tc>
        <w:tc>
          <w:tcPr>
            <w:tcW w:w="1654" w:type="dxa"/>
          </w:tcPr>
          <w:p w:rsidR="007C5447" w:rsidRDefault="00F6308C">
            <w:pPr>
              <w:pStyle w:val="TableParagraph"/>
              <w:spacing w:before="34"/>
              <w:ind w:right="101"/>
              <w:rPr>
                <w:sz w:val="20"/>
              </w:rPr>
            </w:pPr>
            <w:r>
              <w:rPr>
                <w:w w:val="95"/>
                <w:sz w:val="20"/>
              </w:rPr>
              <w:t>171.39</w:t>
            </w:r>
          </w:p>
        </w:tc>
        <w:tc>
          <w:tcPr>
            <w:tcW w:w="1730" w:type="dxa"/>
          </w:tcPr>
          <w:p w:rsidR="007C5447" w:rsidRDefault="00F6308C">
            <w:pPr>
              <w:pStyle w:val="TableParagraph"/>
              <w:spacing w:before="34"/>
              <w:ind w:right="100"/>
              <w:rPr>
                <w:sz w:val="20"/>
              </w:rPr>
            </w:pPr>
            <w:r>
              <w:rPr>
                <w:w w:val="95"/>
                <w:sz w:val="20"/>
              </w:rPr>
              <w:t>171.39</w:t>
            </w:r>
          </w:p>
        </w:tc>
      </w:tr>
      <w:tr w:rsidR="007C5447">
        <w:trPr>
          <w:trHeight w:val="330"/>
        </w:trPr>
        <w:tc>
          <w:tcPr>
            <w:tcW w:w="847" w:type="dxa"/>
          </w:tcPr>
          <w:p w:rsidR="007C5447" w:rsidRDefault="00F6308C">
            <w:pPr>
              <w:pStyle w:val="TableParagraph"/>
              <w:spacing w:before="50"/>
              <w:ind w:left="467"/>
              <w:jc w:val="left"/>
              <w:rPr>
                <w:sz w:val="20"/>
              </w:rPr>
            </w:pPr>
            <w:r>
              <w:rPr>
                <w:sz w:val="20"/>
              </w:rPr>
              <w:t>b)</w:t>
            </w:r>
          </w:p>
        </w:tc>
        <w:tc>
          <w:tcPr>
            <w:tcW w:w="3476" w:type="dxa"/>
          </w:tcPr>
          <w:p w:rsidR="007C5447" w:rsidRDefault="00F6308C">
            <w:pPr>
              <w:pStyle w:val="TableParagraph"/>
              <w:spacing w:before="50"/>
              <w:ind w:left="107"/>
              <w:jc w:val="left"/>
              <w:rPr>
                <w:sz w:val="20"/>
              </w:rPr>
            </w:pPr>
            <w:r>
              <w:rPr>
                <w:sz w:val="20"/>
              </w:rPr>
              <w:t>STCMS - Neyveli (TAQA)</w:t>
            </w:r>
          </w:p>
        </w:tc>
        <w:tc>
          <w:tcPr>
            <w:tcW w:w="1731" w:type="dxa"/>
          </w:tcPr>
          <w:p w:rsidR="007C5447" w:rsidRDefault="00F6308C">
            <w:pPr>
              <w:pStyle w:val="TableParagraph"/>
              <w:spacing w:before="50"/>
              <w:ind w:right="98"/>
              <w:rPr>
                <w:sz w:val="20"/>
              </w:rPr>
            </w:pPr>
            <w:r>
              <w:rPr>
                <w:w w:val="95"/>
                <w:sz w:val="20"/>
              </w:rPr>
              <w:t>914.75</w:t>
            </w:r>
          </w:p>
        </w:tc>
        <w:tc>
          <w:tcPr>
            <w:tcW w:w="1654" w:type="dxa"/>
          </w:tcPr>
          <w:p w:rsidR="007C5447" w:rsidRDefault="00F6308C">
            <w:pPr>
              <w:pStyle w:val="TableParagraph"/>
              <w:spacing w:before="50"/>
              <w:ind w:right="101"/>
              <w:rPr>
                <w:sz w:val="20"/>
              </w:rPr>
            </w:pPr>
            <w:r>
              <w:rPr>
                <w:w w:val="95"/>
                <w:sz w:val="20"/>
              </w:rPr>
              <w:t>914.75</w:t>
            </w:r>
          </w:p>
        </w:tc>
        <w:tc>
          <w:tcPr>
            <w:tcW w:w="1730" w:type="dxa"/>
          </w:tcPr>
          <w:p w:rsidR="007C5447" w:rsidRDefault="00F6308C">
            <w:pPr>
              <w:pStyle w:val="TableParagraph"/>
              <w:spacing w:before="50"/>
              <w:ind w:right="100"/>
              <w:rPr>
                <w:sz w:val="20"/>
              </w:rPr>
            </w:pPr>
            <w:r>
              <w:rPr>
                <w:w w:val="95"/>
                <w:sz w:val="20"/>
              </w:rPr>
              <w:t>914.75</w:t>
            </w:r>
          </w:p>
        </w:tc>
      </w:tr>
      <w:tr w:rsidR="007C5447">
        <w:trPr>
          <w:trHeight w:val="299"/>
        </w:trPr>
        <w:tc>
          <w:tcPr>
            <w:tcW w:w="847" w:type="dxa"/>
          </w:tcPr>
          <w:p w:rsidR="007C5447" w:rsidRDefault="00F6308C">
            <w:pPr>
              <w:pStyle w:val="TableParagraph"/>
              <w:spacing w:before="34"/>
              <w:ind w:left="467"/>
              <w:jc w:val="left"/>
              <w:rPr>
                <w:sz w:val="20"/>
              </w:rPr>
            </w:pPr>
            <w:r>
              <w:rPr>
                <w:sz w:val="20"/>
              </w:rPr>
              <w:t>c)</w:t>
            </w:r>
          </w:p>
        </w:tc>
        <w:tc>
          <w:tcPr>
            <w:tcW w:w="3476" w:type="dxa"/>
          </w:tcPr>
          <w:p w:rsidR="007C5447" w:rsidRDefault="00F6308C">
            <w:pPr>
              <w:pStyle w:val="TableParagraph"/>
              <w:spacing w:before="34"/>
              <w:ind w:left="107"/>
              <w:jc w:val="left"/>
              <w:rPr>
                <w:sz w:val="20"/>
              </w:rPr>
            </w:pPr>
            <w:r>
              <w:rPr>
                <w:sz w:val="20"/>
              </w:rPr>
              <w:t>LANCO Power (Aban co)</w:t>
            </w:r>
          </w:p>
        </w:tc>
        <w:tc>
          <w:tcPr>
            <w:tcW w:w="1731" w:type="dxa"/>
          </w:tcPr>
          <w:p w:rsidR="007C5447" w:rsidRDefault="00F6308C">
            <w:pPr>
              <w:pStyle w:val="TableParagraph"/>
              <w:spacing w:before="34"/>
              <w:ind w:right="98"/>
              <w:rPr>
                <w:sz w:val="20"/>
              </w:rPr>
            </w:pPr>
            <w:r>
              <w:rPr>
                <w:w w:val="95"/>
                <w:sz w:val="20"/>
              </w:rPr>
              <w:t>466.69</w:t>
            </w:r>
          </w:p>
        </w:tc>
        <w:tc>
          <w:tcPr>
            <w:tcW w:w="1654" w:type="dxa"/>
          </w:tcPr>
          <w:p w:rsidR="007C5447" w:rsidRDefault="00F6308C">
            <w:pPr>
              <w:pStyle w:val="TableParagraph"/>
              <w:spacing w:before="34"/>
              <w:ind w:right="101"/>
              <w:rPr>
                <w:sz w:val="20"/>
              </w:rPr>
            </w:pPr>
            <w:r>
              <w:rPr>
                <w:w w:val="95"/>
                <w:sz w:val="20"/>
              </w:rPr>
              <w:t>466.69</w:t>
            </w:r>
          </w:p>
        </w:tc>
        <w:tc>
          <w:tcPr>
            <w:tcW w:w="1730" w:type="dxa"/>
          </w:tcPr>
          <w:p w:rsidR="007C5447" w:rsidRDefault="00F6308C">
            <w:pPr>
              <w:pStyle w:val="TableParagraph"/>
              <w:spacing w:before="34"/>
              <w:ind w:right="100"/>
              <w:rPr>
                <w:sz w:val="20"/>
              </w:rPr>
            </w:pPr>
            <w:r>
              <w:rPr>
                <w:w w:val="95"/>
                <w:sz w:val="20"/>
              </w:rPr>
              <w:t>466.69</w:t>
            </w:r>
          </w:p>
        </w:tc>
      </w:tr>
      <w:tr w:rsidR="007C5447">
        <w:trPr>
          <w:trHeight w:val="299"/>
        </w:trPr>
        <w:tc>
          <w:tcPr>
            <w:tcW w:w="847" w:type="dxa"/>
          </w:tcPr>
          <w:p w:rsidR="007C5447" w:rsidRDefault="00F6308C">
            <w:pPr>
              <w:pStyle w:val="TableParagraph"/>
              <w:spacing w:before="34"/>
              <w:ind w:left="467"/>
              <w:jc w:val="left"/>
              <w:rPr>
                <w:sz w:val="20"/>
              </w:rPr>
            </w:pPr>
            <w:r>
              <w:rPr>
                <w:sz w:val="20"/>
              </w:rPr>
              <w:t>d)</w:t>
            </w:r>
          </w:p>
        </w:tc>
        <w:tc>
          <w:tcPr>
            <w:tcW w:w="3476" w:type="dxa"/>
          </w:tcPr>
          <w:p w:rsidR="007C5447" w:rsidRDefault="00F6308C">
            <w:pPr>
              <w:pStyle w:val="TableParagraph"/>
              <w:spacing w:before="34"/>
              <w:ind w:left="107"/>
              <w:jc w:val="left"/>
              <w:rPr>
                <w:sz w:val="20"/>
              </w:rPr>
            </w:pPr>
            <w:r>
              <w:rPr>
                <w:sz w:val="20"/>
              </w:rPr>
              <w:t>Penna</w:t>
            </w:r>
          </w:p>
        </w:tc>
        <w:tc>
          <w:tcPr>
            <w:tcW w:w="1731" w:type="dxa"/>
          </w:tcPr>
          <w:p w:rsidR="007C5447" w:rsidRDefault="00F6308C">
            <w:pPr>
              <w:pStyle w:val="TableParagraph"/>
              <w:spacing w:before="34"/>
              <w:ind w:right="98"/>
              <w:rPr>
                <w:sz w:val="20"/>
              </w:rPr>
            </w:pPr>
            <w:r>
              <w:rPr>
                <w:w w:val="95"/>
                <w:sz w:val="20"/>
              </w:rPr>
              <w:t>358.63</w:t>
            </w:r>
          </w:p>
        </w:tc>
        <w:tc>
          <w:tcPr>
            <w:tcW w:w="1654" w:type="dxa"/>
          </w:tcPr>
          <w:p w:rsidR="007C5447" w:rsidRDefault="00F6308C">
            <w:pPr>
              <w:pStyle w:val="TableParagraph"/>
              <w:spacing w:before="34"/>
              <w:ind w:right="101"/>
              <w:rPr>
                <w:sz w:val="20"/>
              </w:rPr>
            </w:pPr>
            <w:r>
              <w:rPr>
                <w:w w:val="95"/>
                <w:sz w:val="20"/>
              </w:rPr>
              <w:t>358.63</w:t>
            </w:r>
          </w:p>
        </w:tc>
        <w:tc>
          <w:tcPr>
            <w:tcW w:w="1730" w:type="dxa"/>
          </w:tcPr>
          <w:p w:rsidR="007C5447" w:rsidRDefault="00F6308C">
            <w:pPr>
              <w:pStyle w:val="TableParagraph"/>
              <w:spacing w:before="34"/>
              <w:ind w:right="100"/>
              <w:rPr>
                <w:sz w:val="20"/>
              </w:rPr>
            </w:pPr>
            <w:r>
              <w:rPr>
                <w:w w:val="95"/>
                <w:sz w:val="20"/>
              </w:rPr>
              <w:t>358.63</w:t>
            </w:r>
          </w:p>
        </w:tc>
      </w:tr>
      <w:tr w:rsidR="007C5447">
        <w:trPr>
          <w:trHeight w:val="331"/>
        </w:trPr>
        <w:tc>
          <w:tcPr>
            <w:tcW w:w="847" w:type="dxa"/>
          </w:tcPr>
          <w:p w:rsidR="007C5447" w:rsidRDefault="00F6308C">
            <w:pPr>
              <w:pStyle w:val="TableParagraph"/>
              <w:spacing w:before="51"/>
              <w:ind w:left="371"/>
              <w:jc w:val="left"/>
              <w:rPr>
                <w:b/>
                <w:sz w:val="20"/>
              </w:rPr>
            </w:pPr>
            <w:r>
              <w:rPr>
                <w:b/>
                <w:w w:val="99"/>
                <w:sz w:val="20"/>
              </w:rPr>
              <w:t>3</w:t>
            </w:r>
          </w:p>
        </w:tc>
        <w:tc>
          <w:tcPr>
            <w:tcW w:w="3476" w:type="dxa"/>
          </w:tcPr>
          <w:p w:rsidR="007C5447" w:rsidRDefault="00F6308C">
            <w:pPr>
              <w:pStyle w:val="TableParagraph"/>
              <w:spacing w:before="51"/>
              <w:ind w:left="107"/>
              <w:jc w:val="left"/>
              <w:rPr>
                <w:b/>
                <w:sz w:val="20"/>
              </w:rPr>
            </w:pPr>
            <w:r>
              <w:rPr>
                <w:b/>
                <w:sz w:val="20"/>
              </w:rPr>
              <w:t>Renewables</w:t>
            </w:r>
          </w:p>
        </w:tc>
        <w:tc>
          <w:tcPr>
            <w:tcW w:w="1731" w:type="dxa"/>
          </w:tcPr>
          <w:p w:rsidR="007C5447" w:rsidRDefault="00F6308C">
            <w:pPr>
              <w:pStyle w:val="TableParagraph"/>
              <w:spacing w:before="51"/>
              <w:ind w:right="95"/>
              <w:rPr>
                <w:b/>
                <w:sz w:val="20"/>
              </w:rPr>
            </w:pPr>
            <w:r>
              <w:rPr>
                <w:b/>
                <w:sz w:val="20"/>
              </w:rPr>
              <w:t>9,478.49</w:t>
            </w:r>
          </w:p>
        </w:tc>
        <w:tc>
          <w:tcPr>
            <w:tcW w:w="1654" w:type="dxa"/>
          </w:tcPr>
          <w:p w:rsidR="007C5447" w:rsidRDefault="00F6308C">
            <w:pPr>
              <w:pStyle w:val="TableParagraph"/>
              <w:spacing w:before="51"/>
              <w:ind w:right="99"/>
              <w:rPr>
                <w:b/>
                <w:sz w:val="20"/>
              </w:rPr>
            </w:pPr>
            <w:r>
              <w:rPr>
                <w:b/>
                <w:w w:val="95"/>
                <w:sz w:val="20"/>
              </w:rPr>
              <w:t>10,464.43</w:t>
            </w:r>
          </w:p>
        </w:tc>
        <w:tc>
          <w:tcPr>
            <w:tcW w:w="1730" w:type="dxa"/>
          </w:tcPr>
          <w:p w:rsidR="007C5447" w:rsidRDefault="00F6308C">
            <w:pPr>
              <w:pStyle w:val="TableParagraph"/>
              <w:spacing w:before="51"/>
              <w:ind w:right="98"/>
              <w:rPr>
                <w:b/>
                <w:sz w:val="20"/>
              </w:rPr>
            </w:pPr>
            <w:r>
              <w:rPr>
                <w:b/>
                <w:w w:val="95"/>
                <w:sz w:val="20"/>
              </w:rPr>
              <w:t>10,692.16</w:t>
            </w:r>
          </w:p>
        </w:tc>
      </w:tr>
      <w:tr w:rsidR="007C5447">
        <w:trPr>
          <w:trHeight w:val="328"/>
        </w:trPr>
        <w:tc>
          <w:tcPr>
            <w:tcW w:w="847" w:type="dxa"/>
          </w:tcPr>
          <w:p w:rsidR="007C5447" w:rsidRDefault="00F6308C">
            <w:pPr>
              <w:pStyle w:val="TableParagraph"/>
              <w:spacing w:before="48"/>
              <w:ind w:left="467"/>
              <w:jc w:val="left"/>
              <w:rPr>
                <w:sz w:val="20"/>
              </w:rPr>
            </w:pPr>
            <w:r>
              <w:rPr>
                <w:sz w:val="20"/>
              </w:rPr>
              <w:t>a)</w:t>
            </w:r>
          </w:p>
        </w:tc>
        <w:tc>
          <w:tcPr>
            <w:tcW w:w="3476" w:type="dxa"/>
          </w:tcPr>
          <w:p w:rsidR="007C5447" w:rsidRDefault="00F6308C">
            <w:pPr>
              <w:pStyle w:val="TableParagraph"/>
              <w:spacing w:before="48"/>
              <w:ind w:left="107"/>
              <w:jc w:val="left"/>
              <w:rPr>
                <w:sz w:val="20"/>
              </w:rPr>
            </w:pPr>
            <w:r>
              <w:rPr>
                <w:sz w:val="20"/>
              </w:rPr>
              <w:t>Wind</w:t>
            </w:r>
          </w:p>
        </w:tc>
        <w:tc>
          <w:tcPr>
            <w:tcW w:w="1731" w:type="dxa"/>
          </w:tcPr>
          <w:p w:rsidR="007C5447" w:rsidRDefault="00F6308C">
            <w:pPr>
              <w:pStyle w:val="TableParagraph"/>
              <w:spacing w:before="48"/>
              <w:ind w:right="96"/>
              <w:rPr>
                <w:sz w:val="20"/>
              </w:rPr>
            </w:pPr>
            <w:r>
              <w:rPr>
                <w:w w:val="95"/>
                <w:sz w:val="20"/>
              </w:rPr>
              <w:t>6,944.49</w:t>
            </w:r>
          </w:p>
        </w:tc>
        <w:tc>
          <w:tcPr>
            <w:tcW w:w="1654" w:type="dxa"/>
          </w:tcPr>
          <w:p w:rsidR="007C5447" w:rsidRDefault="00F6308C">
            <w:pPr>
              <w:pStyle w:val="TableParagraph"/>
              <w:spacing w:before="48"/>
              <w:ind w:right="99"/>
              <w:rPr>
                <w:sz w:val="20"/>
              </w:rPr>
            </w:pPr>
            <w:r>
              <w:rPr>
                <w:w w:val="95"/>
                <w:sz w:val="20"/>
              </w:rPr>
              <w:t>7,141.59</w:t>
            </w:r>
          </w:p>
        </w:tc>
        <w:tc>
          <w:tcPr>
            <w:tcW w:w="1730" w:type="dxa"/>
          </w:tcPr>
          <w:p w:rsidR="007C5447" w:rsidRDefault="00F6308C">
            <w:pPr>
              <w:pStyle w:val="TableParagraph"/>
              <w:spacing w:before="48"/>
              <w:ind w:right="98"/>
              <w:rPr>
                <w:sz w:val="20"/>
              </w:rPr>
            </w:pPr>
            <w:r>
              <w:rPr>
                <w:w w:val="95"/>
                <w:sz w:val="20"/>
              </w:rPr>
              <w:t>7,141.59</w:t>
            </w:r>
          </w:p>
        </w:tc>
      </w:tr>
      <w:tr w:rsidR="007C5447">
        <w:trPr>
          <w:trHeight w:val="330"/>
        </w:trPr>
        <w:tc>
          <w:tcPr>
            <w:tcW w:w="847" w:type="dxa"/>
          </w:tcPr>
          <w:p w:rsidR="007C5447" w:rsidRDefault="00F6308C">
            <w:pPr>
              <w:pStyle w:val="TableParagraph"/>
              <w:spacing w:before="50"/>
              <w:ind w:left="467"/>
              <w:jc w:val="left"/>
              <w:rPr>
                <w:sz w:val="20"/>
              </w:rPr>
            </w:pPr>
            <w:r>
              <w:rPr>
                <w:sz w:val="20"/>
              </w:rPr>
              <w:t>b)</w:t>
            </w:r>
          </w:p>
        </w:tc>
        <w:tc>
          <w:tcPr>
            <w:tcW w:w="3476" w:type="dxa"/>
          </w:tcPr>
          <w:p w:rsidR="007C5447" w:rsidRDefault="00F6308C">
            <w:pPr>
              <w:pStyle w:val="TableParagraph"/>
              <w:spacing w:before="50"/>
              <w:ind w:left="107"/>
              <w:jc w:val="left"/>
              <w:rPr>
                <w:sz w:val="20"/>
              </w:rPr>
            </w:pPr>
            <w:r>
              <w:rPr>
                <w:sz w:val="20"/>
              </w:rPr>
              <w:t>Biomass</w:t>
            </w:r>
          </w:p>
        </w:tc>
        <w:tc>
          <w:tcPr>
            <w:tcW w:w="1731" w:type="dxa"/>
          </w:tcPr>
          <w:p w:rsidR="007C5447" w:rsidRDefault="00F6308C">
            <w:pPr>
              <w:pStyle w:val="TableParagraph"/>
              <w:spacing w:before="50"/>
              <w:ind w:right="94"/>
              <w:rPr>
                <w:sz w:val="20"/>
              </w:rPr>
            </w:pPr>
            <w:r>
              <w:rPr>
                <w:sz w:val="20"/>
              </w:rPr>
              <w:t>20</w:t>
            </w:r>
          </w:p>
        </w:tc>
        <w:tc>
          <w:tcPr>
            <w:tcW w:w="1654" w:type="dxa"/>
          </w:tcPr>
          <w:p w:rsidR="007C5447" w:rsidRDefault="00F6308C">
            <w:pPr>
              <w:pStyle w:val="TableParagraph"/>
              <w:spacing w:before="50"/>
              <w:ind w:right="96"/>
              <w:rPr>
                <w:sz w:val="20"/>
              </w:rPr>
            </w:pPr>
            <w:r>
              <w:rPr>
                <w:sz w:val="20"/>
              </w:rPr>
              <w:t>20</w:t>
            </w:r>
          </w:p>
        </w:tc>
        <w:tc>
          <w:tcPr>
            <w:tcW w:w="1730" w:type="dxa"/>
          </w:tcPr>
          <w:p w:rsidR="007C5447" w:rsidRDefault="00F6308C">
            <w:pPr>
              <w:pStyle w:val="TableParagraph"/>
              <w:spacing w:before="50"/>
              <w:ind w:right="95"/>
              <w:rPr>
                <w:sz w:val="20"/>
              </w:rPr>
            </w:pPr>
            <w:r>
              <w:rPr>
                <w:sz w:val="20"/>
              </w:rPr>
              <w:t>20</w:t>
            </w:r>
          </w:p>
        </w:tc>
      </w:tr>
      <w:tr w:rsidR="007C5447">
        <w:trPr>
          <w:trHeight w:val="330"/>
        </w:trPr>
        <w:tc>
          <w:tcPr>
            <w:tcW w:w="847" w:type="dxa"/>
          </w:tcPr>
          <w:p w:rsidR="007C5447" w:rsidRDefault="00F6308C">
            <w:pPr>
              <w:pStyle w:val="TableParagraph"/>
              <w:spacing w:before="50"/>
              <w:ind w:left="467"/>
              <w:jc w:val="left"/>
              <w:rPr>
                <w:sz w:val="20"/>
              </w:rPr>
            </w:pPr>
            <w:r>
              <w:rPr>
                <w:sz w:val="20"/>
              </w:rPr>
              <w:t>c)</w:t>
            </w:r>
          </w:p>
        </w:tc>
        <w:tc>
          <w:tcPr>
            <w:tcW w:w="3476" w:type="dxa"/>
          </w:tcPr>
          <w:p w:rsidR="007C5447" w:rsidRDefault="00F6308C">
            <w:pPr>
              <w:pStyle w:val="TableParagraph"/>
              <w:spacing w:before="50"/>
              <w:ind w:left="107"/>
              <w:jc w:val="left"/>
              <w:rPr>
                <w:sz w:val="20"/>
              </w:rPr>
            </w:pPr>
            <w:r>
              <w:rPr>
                <w:sz w:val="20"/>
              </w:rPr>
              <w:t>Cogeneration</w:t>
            </w:r>
          </w:p>
        </w:tc>
        <w:tc>
          <w:tcPr>
            <w:tcW w:w="1731" w:type="dxa"/>
          </w:tcPr>
          <w:p w:rsidR="007C5447" w:rsidRDefault="00F6308C">
            <w:pPr>
              <w:pStyle w:val="TableParagraph"/>
              <w:spacing w:before="50"/>
              <w:ind w:right="94"/>
              <w:rPr>
                <w:sz w:val="20"/>
              </w:rPr>
            </w:pPr>
            <w:r>
              <w:rPr>
                <w:sz w:val="20"/>
              </w:rPr>
              <w:t>970</w:t>
            </w:r>
          </w:p>
        </w:tc>
        <w:tc>
          <w:tcPr>
            <w:tcW w:w="1654" w:type="dxa"/>
          </w:tcPr>
          <w:p w:rsidR="007C5447" w:rsidRDefault="00F6308C">
            <w:pPr>
              <w:pStyle w:val="TableParagraph"/>
              <w:spacing w:before="50"/>
              <w:ind w:right="98"/>
              <w:rPr>
                <w:sz w:val="20"/>
              </w:rPr>
            </w:pPr>
            <w:r>
              <w:rPr>
                <w:w w:val="95"/>
                <w:sz w:val="20"/>
              </w:rPr>
              <w:t>970.44</w:t>
            </w:r>
          </w:p>
        </w:tc>
        <w:tc>
          <w:tcPr>
            <w:tcW w:w="1730" w:type="dxa"/>
          </w:tcPr>
          <w:p w:rsidR="007C5447" w:rsidRDefault="00F6308C">
            <w:pPr>
              <w:pStyle w:val="TableParagraph"/>
              <w:spacing w:before="50"/>
              <w:ind w:right="97"/>
              <w:rPr>
                <w:sz w:val="20"/>
              </w:rPr>
            </w:pPr>
            <w:r>
              <w:rPr>
                <w:w w:val="95"/>
                <w:sz w:val="20"/>
              </w:rPr>
              <w:t>970.44</w:t>
            </w:r>
          </w:p>
        </w:tc>
      </w:tr>
      <w:tr w:rsidR="007C5447">
        <w:trPr>
          <w:trHeight w:val="328"/>
        </w:trPr>
        <w:tc>
          <w:tcPr>
            <w:tcW w:w="847" w:type="dxa"/>
          </w:tcPr>
          <w:p w:rsidR="007C5447" w:rsidRDefault="00F6308C">
            <w:pPr>
              <w:pStyle w:val="TableParagraph"/>
              <w:spacing w:before="48"/>
              <w:ind w:left="467"/>
              <w:jc w:val="left"/>
              <w:rPr>
                <w:sz w:val="20"/>
              </w:rPr>
            </w:pPr>
            <w:r>
              <w:rPr>
                <w:sz w:val="20"/>
              </w:rPr>
              <w:t>d)</w:t>
            </w:r>
          </w:p>
        </w:tc>
        <w:tc>
          <w:tcPr>
            <w:tcW w:w="3476" w:type="dxa"/>
          </w:tcPr>
          <w:p w:rsidR="007C5447" w:rsidRDefault="00F6308C">
            <w:pPr>
              <w:pStyle w:val="TableParagraph"/>
              <w:spacing w:before="48"/>
              <w:ind w:left="107"/>
              <w:jc w:val="left"/>
              <w:rPr>
                <w:sz w:val="20"/>
              </w:rPr>
            </w:pPr>
            <w:r>
              <w:rPr>
                <w:sz w:val="20"/>
              </w:rPr>
              <w:t>Captive</w:t>
            </w:r>
          </w:p>
        </w:tc>
        <w:tc>
          <w:tcPr>
            <w:tcW w:w="1731" w:type="dxa"/>
          </w:tcPr>
          <w:p w:rsidR="007C5447" w:rsidRDefault="00F6308C">
            <w:pPr>
              <w:pStyle w:val="TableParagraph"/>
              <w:spacing w:before="48"/>
              <w:ind w:right="95"/>
              <w:rPr>
                <w:sz w:val="20"/>
              </w:rPr>
            </w:pPr>
            <w:r>
              <w:rPr>
                <w:sz w:val="20"/>
              </w:rPr>
              <w:t>38.5</w:t>
            </w:r>
          </w:p>
        </w:tc>
        <w:tc>
          <w:tcPr>
            <w:tcW w:w="1654" w:type="dxa"/>
          </w:tcPr>
          <w:p w:rsidR="007C5447" w:rsidRDefault="00F6308C">
            <w:pPr>
              <w:pStyle w:val="TableParagraph"/>
              <w:spacing w:before="48"/>
              <w:ind w:right="98"/>
              <w:rPr>
                <w:sz w:val="20"/>
              </w:rPr>
            </w:pPr>
            <w:r>
              <w:rPr>
                <w:sz w:val="20"/>
              </w:rPr>
              <w:t>38.5</w:t>
            </w:r>
          </w:p>
        </w:tc>
        <w:tc>
          <w:tcPr>
            <w:tcW w:w="1730" w:type="dxa"/>
          </w:tcPr>
          <w:p w:rsidR="007C5447" w:rsidRDefault="00F6308C">
            <w:pPr>
              <w:pStyle w:val="TableParagraph"/>
              <w:spacing w:before="48"/>
              <w:ind w:right="95"/>
              <w:rPr>
                <w:sz w:val="20"/>
              </w:rPr>
            </w:pPr>
            <w:r>
              <w:rPr>
                <w:sz w:val="20"/>
              </w:rPr>
              <w:t>35</w:t>
            </w:r>
          </w:p>
        </w:tc>
      </w:tr>
      <w:tr w:rsidR="007C5447">
        <w:trPr>
          <w:trHeight w:val="330"/>
        </w:trPr>
        <w:tc>
          <w:tcPr>
            <w:tcW w:w="847" w:type="dxa"/>
          </w:tcPr>
          <w:p w:rsidR="007C5447" w:rsidRDefault="00F6308C">
            <w:pPr>
              <w:pStyle w:val="TableParagraph"/>
              <w:spacing w:before="50"/>
              <w:ind w:left="467"/>
              <w:jc w:val="left"/>
              <w:rPr>
                <w:sz w:val="20"/>
              </w:rPr>
            </w:pPr>
            <w:r>
              <w:rPr>
                <w:sz w:val="20"/>
              </w:rPr>
              <w:t>e)</w:t>
            </w:r>
          </w:p>
        </w:tc>
        <w:tc>
          <w:tcPr>
            <w:tcW w:w="3476" w:type="dxa"/>
          </w:tcPr>
          <w:p w:rsidR="007C5447" w:rsidRDefault="00F6308C">
            <w:pPr>
              <w:pStyle w:val="TableParagraph"/>
              <w:spacing w:before="50"/>
              <w:ind w:left="107"/>
              <w:jc w:val="left"/>
              <w:rPr>
                <w:sz w:val="20"/>
              </w:rPr>
            </w:pPr>
            <w:r>
              <w:rPr>
                <w:sz w:val="20"/>
              </w:rPr>
              <w:t>Solar</w:t>
            </w:r>
          </w:p>
        </w:tc>
        <w:tc>
          <w:tcPr>
            <w:tcW w:w="1731" w:type="dxa"/>
          </w:tcPr>
          <w:p w:rsidR="007C5447" w:rsidRDefault="00F6308C">
            <w:pPr>
              <w:pStyle w:val="TableParagraph"/>
              <w:spacing w:before="50"/>
              <w:ind w:right="96"/>
              <w:rPr>
                <w:sz w:val="20"/>
              </w:rPr>
            </w:pPr>
            <w:r>
              <w:rPr>
                <w:w w:val="95"/>
                <w:sz w:val="20"/>
              </w:rPr>
              <w:t>1,505.50</w:t>
            </w:r>
          </w:p>
        </w:tc>
        <w:tc>
          <w:tcPr>
            <w:tcW w:w="1654" w:type="dxa"/>
          </w:tcPr>
          <w:p w:rsidR="007C5447" w:rsidRDefault="00F6308C">
            <w:pPr>
              <w:pStyle w:val="TableParagraph"/>
              <w:spacing w:before="50"/>
              <w:ind w:right="99"/>
              <w:rPr>
                <w:sz w:val="20"/>
              </w:rPr>
            </w:pPr>
            <w:r>
              <w:rPr>
                <w:w w:val="95"/>
                <w:sz w:val="20"/>
              </w:rPr>
              <w:t>2,293.90</w:t>
            </w:r>
          </w:p>
        </w:tc>
        <w:tc>
          <w:tcPr>
            <w:tcW w:w="1730" w:type="dxa"/>
          </w:tcPr>
          <w:p w:rsidR="007C5447" w:rsidRDefault="00F6308C">
            <w:pPr>
              <w:pStyle w:val="TableParagraph"/>
              <w:spacing w:before="50"/>
              <w:ind w:right="98"/>
              <w:rPr>
                <w:sz w:val="20"/>
              </w:rPr>
            </w:pPr>
            <w:r>
              <w:rPr>
                <w:w w:val="95"/>
                <w:sz w:val="20"/>
              </w:rPr>
              <w:t>2,525.13</w:t>
            </w:r>
          </w:p>
        </w:tc>
      </w:tr>
      <w:tr w:rsidR="007C5447">
        <w:trPr>
          <w:trHeight w:val="330"/>
        </w:trPr>
        <w:tc>
          <w:tcPr>
            <w:tcW w:w="847" w:type="dxa"/>
          </w:tcPr>
          <w:p w:rsidR="007C5447" w:rsidRDefault="00F6308C">
            <w:pPr>
              <w:pStyle w:val="TableParagraph"/>
              <w:spacing w:before="50"/>
              <w:ind w:left="371"/>
              <w:jc w:val="left"/>
              <w:rPr>
                <w:b/>
                <w:sz w:val="20"/>
              </w:rPr>
            </w:pPr>
            <w:r>
              <w:rPr>
                <w:b/>
                <w:w w:val="99"/>
                <w:sz w:val="20"/>
              </w:rPr>
              <w:t>4</w:t>
            </w:r>
          </w:p>
        </w:tc>
        <w:tc>
          <w:tcPr>
            <w:tcW w:w="3476" w:type="dxa"/>
          </w:tcPr>
          <w:p w:rsidR="007C5447" w:rsidRDefault="00F6308C">
            <w:pPr>
              <w:pStyle w:val="TableParagraph"/>
              <w:spacing w:before="50"/>
              <w:ind w:left="107"/>
              <w:jc w:val="left"/>
              <w:rPr>
                <w:b/>
                <w:sz w:val="20"/>
              </w:rPr>
            </w:pPr>
            <w:r>
              <w:rPr>
                <w:b/>
                <w:sz w:val="20"/>
              </w:rPr>
              <w:t>Traders</w:t>
            </w:r>
          </w:p>
        </w:tc>
        <w:tc>
          <w:tcPr>
            <w:tcW w:w="1731" w:type="dxa"/>
          </w:tcPr>
          <w:p w:rsidR="007C5447" w:rsidRDefault="00F6308C">
            <w:pPr>
              <w:pStyle w:val="TableParagraph"/>
              <w:spacing w:before="50"/>
              <w:ind w:right="96"/>
              <w:rPr>
                <w:b/>
                <w:sz w:val="20"/>
              </w:rPr>
            </w:pPr>
            <w:r>
              <w:rPr>
                <w:b/>
                <w:w w:val="95"/>
                <w:sz w:val="20"/>
              </w:rPr>
              <w:t>26,606.14</w:t>
            </w:r>
          </w:p>
        </w:tc>
        <w:tc>
          <w:tcPr>
            <w:tcW w:w="1654" w:type="dxa"/>
          </w:tcPr>
          <w:p w:rsidR="007C5447" w:rsidRDefault="00F6308C">
            <w:pPr>
              <w:pStyle w:val="TableParagraph"/>
              <w:spacing w:before="50"/>
              <w:ind w:right="99"/>
              <w:rPr>
                <w:b/>
                <w:sz w:val="20"/>
              </w:rPr>
            </w:pPr>
            <w:r>
              <w:rPr>
                <w:b/>
                <w:w w:val="95"/>
                <w:sz w:val="20"/>
              </w:rPr>
              <w:t>26,220.14</w:t>
            </w:r>
          </w:p>
        </w:tc>
        <w:tc>
          <w:tcPr>
            <w:tcW w:w="1730" w:type="dxa"/>
          </w:tcPr>
          <w:p w:rsidR="007C5447" w:rsidRDefault="00F6308C">
            <w:pPr>
              <w:pStyle w:val="TableParagraph"/>
              <w:spacing w:before="50"/>
              <w:ind w:right="98"/>
              <w:rPr>
                <w:b/>
                <w:sz w:val="20"/>
              </w:rPr>
            </w:pPr>
            <w:r>
              <w:rPr>
                <w:b/>
                <w:w w:val="95"/>
                <w:sz w:val="20"/>
              </w:rPr>
              <w:t>26,545.84</w:t>
            </w:r>
          </w:p>
        </w:tc>
      </w:tr>
      <w:tr w:rsidR="007C5447">
        <w:trPr>
          <w:trHeight w:val="299"/>
        </w:trPr>
        <w:tc>
          <w:tcPr>
            <w:tcW w:w="847" w:type="dxa"/>
          </w:tcPr>
          <w:p w:rsidR="007C5447" w:rsidRDefault="00F6308C">
            <w:pPr>
              <w:pStyle w:val="TableParagraph"/>
              <w:spacing w:before="34"/>
              <w:ind w:left="467"/>
              <w:jc w:val="left"/>
              <w:rPr>
                <w:sz w:val="20"/>
              </w:rPr>
            </w:pPr>
            <w:r>
              <w:rPr>
                <w:sz w:val="20"/>
              </w:rPr>
              <w:t>a)</w:t>
            </w:r>
          </w:p>
        </w:tc>
        <w:tc>
          <w:tcPr>
            <w:tcW w:w="3476" w:type="dxa"/>
          </w:tcPr>
          <w:p w:rsidR="007C5447" w:rsidRDefault="00F6308C">
            <w:pPr>
              <w:pStyle w:val="TableParagraph"/>
              <w:spacing w:before="34"/>
              <w:ind w:left="107"/>
              <w:jc w:val="left"/>
              <w:rPr>
                <w:sz w:val="20"/>
              </w:rPr>
            </w:pPr>
            <w:r>
              <w:rPr>
                <w:sz w:val="20"/>
              </w:rPr>
              <w:t>M/s. D.B.Power Ltd.</w:t>
            </w:r>
          </w:p>
        </w:tc>
        <w:tc>
          <w:tcPr>
            <w:tcW w:w="1731" w:type="dxa"/>
          </w:tcPr>
          <w:p w:rsidR="007C5447" w:rsidRDefault="00F6308C">
            <w:pPr>
              <w:pStyle w:val="TableParagraph"/>
              <w:spacing w:before="34"/>
              <w:ind w:right="96"/>
              <w:rPr>
                <w:sz w:val="20"/>
              </w:rPr>
            </w:pPr>
            <w:r>
              <w:rPr>
                <w:w w:val="95"/>
                <w:sz w:val="20"/>
              </w:rPr>
              <w:t>1,489.60</w:t>
            </w:r>
          </w:p>
        </w:tc>
        <w:tc>
          <w:tcPr>
            <w:tcW w:w="1654" w:type="dxa"/>
          </w:tcPr>
          <w:p w:rsidR="007C5447" w:rsidRDefault="00F6308C">
            <w:pPr>
              <w:pStyle w:val="TableParagraph"/>
              <w:spacing w:before="34"/>
              <w:ind w:right="98"/>
              <w:rPr>
                <w:sz w:val="20"/>
              </w:rPr>
            </w:pPr>
            <w:r>
              <w:rPr>
                <w:w w:val="95"/>
                <w:sz w:val="20"/>
              </w:rPr>
              <w:t>1,489.60</w:t>
            </w:r>
          </w:p>
        </w:tc>
        <w:tc>
          <w:tcPr>
            <w:tcW w:w="1730" w:type="dxa"/>
          </w:tcPr>
          <w:p w:rsidR="007C5447" w:rsidRDefault="00F6308C">
            <w:pPr>
              <w:pStyle w:val="TableParagraph"/>
              <w:spacing w:before="34"/>
              <w:ind w:right="98"/>
              <w:rPr>
                <w:sz w:val="20"/>
              </w:rPr>
            </w:pPr>
            <w:r>
              <w:rPr>
                <w:w w:val="95"/>
                <w:sz w:val="20"/>
              </w:rPr>
              <w:t>1,489.60</w:t>
            </w:r>
          </w:p>
        </w:tc>
      </w:tr>
      <w:tr w:rsidR="007C5447">
        <w:trPr>
          <w:trHeight w:val="299"/>
        </w:trPr>
        <w:tc>
          <w:tcPr>
            <w:tcW w:w="847" w:type="dxa"/>
          </w:tcPr>
          <w:p w:rsidR="007C5447" w:rsidRDefault="00F6308C">
            <w:pPr>
              <w:pStyle w:val="TableParagraph"/>
              <w:spacing w:before="34"/>
              <w:ind w:left="467"/>
              <w:jc w:val="left"/>
              <w:rPr>
                <w:sz w:val="20"/>
              </w:rPr>
            </w:pPr>
            <w:r>
              <w:rPr>
                <w:sz w:val="20"/>
              </w:rPr>
              <w:t>b)</w:t>
            </w:r>
          </w:p>
        </w:tc>
        <w:tc>
          <w:tcPr>
            <w:tcW w:w="3476" w:type="dxa"/>
          </w:tcPr>
          <w:p w:rsidR="007C5447" w:rsidRDefault="00F6308C">
            <w:pPr>
              <w:pStyle w:val="TableParagraph"/>
              <w:spacing w:before="34"/>
              <w:ind w:left="107"/>
              <w:jc w:val="left"/>
              <w:rPr>
                <w:sz w:val="20"/>
              </w:rPr>
            </w:pPr>
            <w:r>
              <w:rPr>
                <w:sz w:val="20"/>
              </w:rPr>
              <w:t>M/s. Jindal Power Ltd.</w:t>
            </w:r>
          </w:p>
        </w:tc>
        <w:tc>
          <w:tcPr>
            <w:tcW w:w="1731" w:type="dxa"/>
          </w:tcPr>
          <w:p w:rsidR="007C5447" w:rsidRDefault="00F6308C">
            <w:pPr>
              <w:pStyle w:val="TableParagraph"/>
              <w:spacing w:before="34"/>
              <w:ind w:right="96"/>
              <w:rPr>
                <w:sz w:val="20"/>
              </w:rPr>
            </w:pPr>
            <w:r>
              <w:rPr>
                <w:w w:val="95"/>
                <w:sz w:val="20"/>
              </w:rPr>
              <w:t>2,864.62</w:t>
            </w:r>
          </w:p>
        </w:tc>
        <w:tc>
          <w:tcPr>
            <w:tcW w:w="1654" w:type="dxa"/>
          </w:tcPr>
          <w:p w:rsidR="007C5447" w:rsidRDefault="00F6308C">
            <w:pPr>
              <w:pStyle w:val="TableParagraph"/>
              <w:spacing w:before="34"/>
              <w:ind w:right="99"/>
              <w:rPr>
                <w:sz w:val="20"/>
              </w:rPr>
            </w:pPr>
            <w:r>
              <w:rPr>
                <w:w w:val="95"/>
                <w:sz w:val="20"/>
              </w:rPr>
              <w:t>2,864.62</w:t>
            </w:r>
          </w:p>
        </w:tc>
        <w:tc>
          <w:tcPr>
            <w:tcW w:w="1730" w:type="dxa"/>
          </w:tcPr>
          <w:p w:rsidR="007C5447" w:rsidRDefault="00F6308C">
            <w:pPr>
              <w:pStyle w:val="TableParagraph"/>
              <w:spacing w:before="34"/>
              <w:ind w:right="98"/>
              <w:rPr>
                <w:sz w:val="20"/>
              </w:rPr>
            </w:pPr>
            <w:r>
              <w:rPr>
                <w:w w:val="95"/>
                <w:sz w:val="20"/>
              </w:rPr>
              <w:t>2,864.62</w:t>
            </w:r>
          </w:p>
        </w:tc>
      </w:tr>
      <w:tr w:rsidR="007C5447">
        <w:trPr>
          <w:trHeight w:val="299"/>
        </w:trPr>
        <w:tc>
          <w:tcPr>
            <w:tcW w:w="847" w:type="dxa"/>
          </w:tcPr>
          <w:p w:rsidR="007C5447" w:rsidRDefault="00F6308C">
            <w:pPr>
              <w:pStyle w:val="TableParagraph"/>
              <w:spacing w:before="36"/>
              <w:ind w:left="467"/>
              <w:jc w:val="left"/>
              <w:rPr>
                <w:sz w:val="20"/>
              </w:rPr>
            </w:pPr>
            <w:r>
              <w:rPr>
                <w:sz w:val="20"/>
              </w:rPr>
              <w:t>c)</w:t>
            </w:r>
          </w:p>
        </w:tc>
        <w:tc>
          <w:tcPr>
            <w:tcW w:w="3476" w:type="dxa"/>
          </w:tcPr>
          <w:p w:rsidR="007C5447" w:rsidRDefault="00F6308C">
            <w:pPr>
              <w:pStyle w:val="TableParagraph"/>
              <w:spacing w:before="36"/>
              <w:ind w:left="107"/>
              <w:jc w:val="left"/>
              <w:rPr>
                <w:sz w:val="20"/>
              </w:rPr>
            </w:pPr>
            <w:r>
              <w:rPr>
                <w:sz w:val="20"/>
              </w:rPr>
              <w:t>M/s. Ind Bharath Energy (Utkal) Ltd.</w:t>
            </w:r>
          </w:p>
        </w:tc>
        <w:tc>
          <w:tcPr>
            <w:tcW w:w="1731" w:type="dxa"/>
          </w:tcPr>
          <w:p w:rsidR="007C5447" w:rsidRDefault="00F6308C">
            <w:pPr>
              <w:pStyle w:val="TableParagraph"/>
              <w:spacing w:before="36"/>
              <w:ind w:right="96"/>
              <w:rPr>
                <w:sz w:val="20"/>
              </w:rPr>
            </w:pPr>
            <w:r>
              <w:rPr>
                <w:w w:val="95"/>
                <w:sz w:val="20"/>
              </w:rPr>
              <w:t>3,580.78</w:t>
            </w:r>
          </w:p>
        </w:tc>
        <w:tc>
          <w:tcPr>
            <w:tcW w:w="1654" w:type="dxa"/>
          </w:tcPr>
          <w:p w:rsidR="007C5447" w:rsidRDefault="00F6308C">
            <w:pPr>
              <w:pStyle w:val="TableParagraph"/>
              <w:spacing w:before="36"/>
              <w:ind w:right="99"/>
              <w:rPr>
                <w:sz w:val="20"/>
              </w:rPr>
            </w:pPr>
            <w:r>
              <w:rPr>
                <w:w w:val="95"/>
                <w:sz w:val="20"/>
              </w:rPr>
              <w:t>3,580.78</w:t>
            </w:r>
          </w:p>
        </w:tc>
        <w:tc>
          <w:tcPr>
            <w:tcW w:w="1730" w:type="dxa"/>
          </w:tcPr>
          <w:p w:rsidR="007C5447" w:rsidRDefault="00F6308C">
            <w:pPr>
              <w:pStyle w:val="TableParagraph"/>
              <w:spacing w:before="36"/>
              <w:ind w:right="98"/>
              <w:rPr>
                <w:sz w:val="20"/>
              </w:rPr>
            </w:pPr>
            <w:r>
              <w:rPr>
                <w:w w:val="95"/>
                <w:sz w:val="20"/>
              </w:rPr>
              <w:t>3,580.78</w:t>
            </w:r>
          </w:p>
        </w:tc>
      </w:tr>
      <w:tr w:rsidR="007C5447">
        <w:trPr>
          <w:trHeight w:val="297"/>
        </w:trPr>
        <w:tc>
          <w:tcPr>
            <w:tcW w:w="847" w:type="dxa"/>
            <w:tcBorders>
              <w:bottom w:val="single" w:sz="6" w:space="0" w:color="000000"/>
            </w:tcBorders>
          </w:tcPr>
          <w:p w:rsidR="007C5447" w:rsidRDefault="00F6308C">
            <w:pPr>
              <w:pStyle w:val="TableParagraph"/>
              <w:spacing w:before="36"/>
              <w:ind w:left="467"/>
              <w:jc w:val="left"/>
              <w:rPr>
                <w:sz w:val="20"/>
              </w:rPr>
            </w:pPr>
            <w:r>
              <w:rPr>
                <w:sz w:val="20"/>
              </w:rPr>
              <w:t>d)</w:t>
            </w:r>
          </w:p>
        </w:tc>
        <w:tc>
          <w:tcPr>
            <w:tcW w:w="3476" w:type="dxa"/>
            <w:tcBorders>
              <w:bottom w:val="single" w:sz="6" w:space="0" w:color="000000"/>
            </w:tcBorders>
          </w:tcPr>
          <w:p w:rsidR="007C5447" w:rsidRDefault="00F6308C">
            <w:pPr>
              <w:pStyle w:val="TableParagraph"/>
              <w:spacing w:before="36"/>
              <w:ind w:left="107"/>
              <w:jc w:val="left"/>
              <w:rPr>
                <w:sz w:val="20"/>
              </w:rPr>
            </w:pPr>
            <w:r>
              <w:rPr>
                <w:sz w:val="20"/>
              </w:rPr>
              <w:t>M/s. Bharat Aluminium Company Ltd.</w:t>
            </w:r>
          </w:p>
        </w:tc>
        <w:tc>
          <w:tcPr>
            <w:tcW w:w="1731" w:type="dxa"/>
            <w:tcBorders>
              <w:bottom w:val="single" w:sz="6" w:space="0" w:color="000000"/>
            </w:tcBorders>
          </w:tcPr>
          <w:p w:rsidR="007C5447" w:rsidRDefault="00F6308C">
            <w:pPr>
              <w:pStyle w:val="TableParagraph"/>
              <w:spacing w:before="36"/>
              <w:ind w:right="96"/>
              <w:rPr>
                <w:sz w:val="20"/>
              </w:rPr>
            </w:pPr>
            <w:r>
              <w:rPr>
                <w:w w:val="95"/>
                <w:sz w:val="20"/>
              </w:rPr>
              <w:t>1,432.31</w:t>
            </w:r>
          </w:p>
        </w:tc>
        <w:tc>
          <w:tcPr>
            <w:tcW w:w="1654" w:type="dxa"/>
            <w:tcBorders>
              <w:bottom w:val="single" w:sz="6" w:space="0" w:color="000000"/>
            </w:tcBorders>
          </w:tcPr>
          <w:p w:rsidR="007C5447" w:rsidRDefault="00F6308C">
            <w:pPr>
              <w:pStyle w:val="TableParagraph"/>
              <w:spacing w:before="36"/>
              <w:ind w:right="99"/>
              <w:rPr>
                <w:sz w:val="20"/>
              </w:rPr>
            </w:pPr>
            <w:r>
              <w:rPr>
                <w:w w:val="95"/>
                <w:sz w:val="20"/>
              </w:rPr>
              <w:t>1,432.31</w:t>
            </w:r>
          </w:p>
        </w:tc>
        <w:tc>
          <w:tcPr>
            <w:tcW w:w="1730" w:type="dxa"/>
            <w:tcBorders>
              <w:bottom w:val="single" w:sz="6" w:space="0" w:color="000000"/>
            </w:tcBorders>
          </w:tcPr>
          <w:p w:rsidR="007C5447" w:rsidRDefault="00F6308C">
            <w:pPr>
              <w:pStyle w:val="TableParagraph"/>
              <w:spacing w:before="36"/>
              <w:ind w:right="98"/>
              <w:rPr>
                <w:sz w:val="20"/>
              </w:rPr>
            </w:pPr>
            <w:r>
              <w:rPr>
                <w:w w:val="95"/>
                <w:sz w:val="20"/>
              </w:rPr>
              <w:t>1,432.31</w:t>
            </w:r>
          </w:p>
        </w:tc>
      </w:tr>
      <w:tr w:rsidR="007C5447">
        <w:trPr>
          <w:trHeight w:val="299"/>
        </w:trPr>
        <w:tc>
          <w:tcPr>
            <w:tcW w:w="847" w:type="dxa"/>
            <w:tcBorders>
              <w:top w:val="single" w:sz="6" w:space="0" w:color="000000"/>
            </w:tcBorders>
          </w:tcPr>
          <w:p w:rsidR="007C5447" w:rsidRDefault="00F6308C">
            <w:pPr>
              <w:pStyle w:val="TableParagraph"/>
              <w:spacing w:before="34"/>
              <w:ind w:left="467"/>
              <w:jc w:val="left"/>
              <w:rPr>
                <w:sz w:val="20"/>
              </w:rPr>
            </w:pPr>
            <w:r>
              <w:rPr>
                <w:sz w:val="20"/>
              </w:rPr>
              <w:t>e)</w:t>
            </w:r>
          </w:p>
        </w:tc>
        <w:tc>
          <w:tcPr>
            <w:tcW w:w="3476" w:type="dxa"/>
            <w:tcBorders>
              <w:top w:val="single" w:sz="6" w:space="0" w:color="000000"/>
            </w:tcBorders>
          </w:tcPr>
          <w:p w:rsidR="007C5447" w:rsidRDefault="00F6308C">
            <w:pPr>
              <w:pStyle w:val="TableParagraph"/>
              <w:spacing w:before="34"/>
              <w:ind w:left="107"/>
              <w:jc w:val="left"/>
              <w:rPr>
                <w:sz w:val="20"/>
              </w:rPr>
            </w:pPr>
            <w:r>
              <w:rPr>
                <w:sz w:val="20"/>
              </w:rPr>
              <w:t>M/s. Dhariwal Infrastructure Ltd</w:t>
            </w:r>
          </w:p>
        </w:tc>
        <w:tc>
          <w:tcPr>
            <w:tcW w:w="1731" w:type="dxa"/>
            <w:tcBorders>
              <w:top w:val="single" w:sz="6" w:space="0" w:color="000000"/>
            </w:tcBorders>
          </w:tcPr>
          <w:p w:rsidR="007C5447" w:rsidRDefault="00F6308C">
            <w:pPr>
              <w:pStyle w:val="TableParagraph"/>
              <w:spacing w:before="34"/>
              <w:ind w:right="98"/>
              <w:rPr>
                <w:sz w:val="20"/>
              </w:rPr>
            </w:pPr>
            <w:r>
              <w:rPr>
                <w:w w:val="95"/>
                <w:sz w:val="20"/>
              </w:rPr>
              <w:t>716.16</w:t>
            </w:r>
          </w:p>
        </w:tc>
        <w:tc>
          <w:tcPr>
            <w:tcW w:w="1654" w:type="dxa"/>
            <w:tcBorders>
              <w:top w:val="single" w:sz="6" w:space="0" w:color="000000"/>
            </w:tcBorders>
          </w:tcPr>
          <w:p w:rsidR="007C5447" w:rsidRDefault="00F6308C">
            <w:pPr>
              <w:pStyle w:val="TableParagraph"/>
              <w:spacing w:before="34"/>
              <w:ind w:right="101"/>
              <w:rPr>
                <w:sz w:val="20"/>
              </w:rPr>
            </w:pPr>
            <w:r>
              <w:rPr>
                <w:w w:val="95"/>
                <w:sz w:val="20"/>
              </w:rPr>
              <w:t>716.16</w:t>
            </w:r>
          </w:p>
        </w:tc>
        <w:tc>
          <w:tcPr>
            <w:tcW w:w="1730" w:type="dxa"/>
            <w:tcBorders>
              <w:top w:val="single" w:sz="6" w:space="0" w:color="000000"/>
            </w:tcBorders>
          </w:tcPr>
          <w:p w:rsidR="007C5447" w:rsidRDefault="00F6308C">
            <w:pPr>
              <w:pStyle w:val="TableParagraph"/>
              <w:spacing w:before="34"/>
              <w:ind w:right="100"/>
              <w:rPr>
                <w:sz w:val="20"/>
              </w:rPr>
            </w:pPr>
            <w:r>
              <w:rPr>
                <w:w w:val="95"/>
                <w:sz w:val="20"/>
              </w:rPr>
              <w:t>716.16</w:t>
            </w:r>
          </w:p>
        </w:tc>
      </w:tr>
      <w:tr w:rsidR="007C5447">
        <w:trPr>
          <w:trHeight w:val="299"/>
        </w:trPr>
        <w:tc>
          <w:tcPr>
            <w:tcW w:w="847" w:type="dxa"/>
          </w:tcPr>
          <w:p w:rsidR="007C5447" w:rsidRDefault="00F6308C">
            <w:pPr>
              <w:pStyle w:val="TableParagraph"/>
              <w:spacing w:before="34"/>
              <w:ind w:left="467"/>
              <w:jc w:val="left"/>
              <w:rPr>
                <w:sz w:val="20"/>
              </w:rPr>
            </w:pPr>
            <w:r>
              <w:rPr>
                <w:sz w:val="20"/>
              </w:rPr>
              <w:t>f)</w:t>
            </w:r>
          </w:p>
        </w:tc>
        <w:tc>
          <w:tcPr>
            <w:tcW w:w="3476" w:type="dxa"/>
          </w:tcPr>
          <w:p w:rsidR="007C5447" w:rsidRDefault="00F6308C">
            <w:pPr>
              <w:pStyle w:val="TableParagraph"/>
              <w:spacing w:before="34"/>
              <w:ind w:left="107"/>
              <w:jc w:val="left"/>
              <w:rPr>
                <w:sz w:val="20"/>
              </w:rPr>
            </w:pPr>
            <w:r>
              <w:rPr>
                <w:sz w:val="20"/>
              </w:rPr>
              <w:t>M/s. PTC India Ltd.</w:t>
            </w:r>
          </w:p>
        </w:tc>
        <w:tc>
          <w:tcPr>
            <w:tcW w:w="1731" w:type="dxa"/>
          </w:tcPr>
          <w:p w:rsidR="007C5447" w:rsidRDefault="00F6308C">
            <w:pPr>
              <w:pStyle w:val="TableParagraph"/>
              <w:spacing w:before="34"/>
              <w:ind w:right="98"/>
              <w:rPr>
                <w:sz w:val="20"/>
              </w:rPr>
            </w:pPr>
            <w:r>
              <w:rPr>
                <w:w w:val="95"/>
                <w:sz w:val="20"/>
              </w:rPr>
              <w:t>716.16</w:t>
            </w:r>
          </w:p>
        </w:tc>
        <w:tc>
          <w:tcPr>
            <w:tcW w:w="1654" w:type="dxa"/>
          </w:tcPr>
          <w:p w:rsidR="007C5447" w:rsidRDefault="00F6308C">
            <w:pPr>
              <w:pStyle w:val="TableParagraph"/>
              <w:spacing w:before="34"/>
              <w:ind w:right="101"/>
              <w:rPr>
                <w:sz w:val="20"/>
              </w:rPr>
            </w:pPr>
            <w:r>
              <w:rPr>
                <w:w w:val="95"/>
                <w:sz w:val="20"/>
              </w:rPr>
              <w:t>716.16</w:t>
            </w:r>
          </w:p>
        </w:tc>
        <w:tc>
          <w:tcPr>
            <w:tcW w:w="1730" w:type="dxa"/>
          </w:tcPr>
          <w:p w:rsidR="007C5447" w:rsidRDefault="00F6308C">
            <w:pPr>
              <w:pStyle w:val="TableParagraph"/>
              <w:spacing w:before="34"/>
              <w:ind w:right="100"/>
              <w:rPr>
                <w:sz w:val="20"/>
              </w:rPr>
            </w:pPr>
            <w:r>
              <w:rPr>
                <w:w w:val="95"/>
                <w:sz w:val="20"/>
              </w:rPr>
              <w:t>716.16</w:t>
            </w:r>
          </w:p>
        </w:tc>
      </w:tr>
      <w:tr w:rsidR="007C5447">
        <w:trPr>
          <w:trHeight w:val="489"/>
        </w:trPr>
        <w:tc>
          <w:tcPr>
            <w:tcW w:w="847" w:type="dxa"/>
          </w:tcPr>
          <w:p w:rsidR="007C5447" w:rsidRDefault="00F6308C">
            <w:pPr>
              <w:pStyle w:val="TableParagraph"/>
              <w:spacing w:before="130"/>
              <w:ind w:left="467"/>
              <w:jc w:val="left"/>
              <w:rPr>
                <w:sz w:val="20"/>
              </w:rPr>
            </w:pPr>
            <w:r>
              <w:rPr>
                <w:sz w:val="20"/>
              </w:rPr>
              <w:t>g)</w:t>
            </w:r>
          </w:p>
        </w:tc>
        <w:tc>
          <w:tcPr>
            <w:tcW w:w="3476" w:type="dxa"/>
          </w:tcPr>
          <w:p w:rsidR="007C5447" w:rsidRDefault="00F6308C">
            <w:pPr>
              <w:pStyle w:val="TableParagraph"/>
              <w:spacing w:before="14" w:line="230" w:lineRule="atLeast"/>
              <w:ind w:left="107" w:right="289"/>
              <w:jc w:val="left"/>
              <w:rPr>
                <w:sz w:val="20"/>
              </w:rPr>
            </w:pPr>
            <w:r>
              <w:rPr>
                <w:sz w:val="20"/>
              </w:rPr>
              <w:t>M/s. KSK Mahanadi Power Company Ltd.</w:t>
            </w:r>
          </w:p>
        </w:tc>
        <w:tc>
          <w:tcPr>
            <w:tcW w:w="1731" w:type="dxa"/>
          </w:tcPr>
          <w:p w:rsidR="007C5447" w:rsidRDefault="00F6308C">
            <w:pPr>
              <w:pStyle w:val="TableParagraph"/>
              <w:spacing w:before="130"/>
              <w:ind w:right="96"/>
              <w:rPr>
                <w:sz w:val="20"/>
              </w:rPr>
            </w:pPr>
            <w:r>
              <w:rPr>
                <w:w w:val="95"/>
                <w:sz w:val="20"/>
              </w:rPr>
              <w:t>3,580.78</w:t>
            </w:r>
          </w:p>
        </w:tc>
        <w:tc>
          <w:tcPr>
            <w:tcW w:w="1654" w:type="dxa"/>
          </w:tcPr>
          <w:p w:rsidR="007C5447" w:rsidRDefault="00F6308C">
            <w:pPr>
              <w:pStyle w:val="TableParagraph"/>
              <w:spacing w:before="130"/>
              <w:ind w:right="99"/>
              <w:rPr>
                <w:sz w:val="20"/>
              </w:rPr>
            </w:pPr>
            <w:r>
              <w:rPr>
                <w:w w:val="95"/>
                <w:sz w:val="20"/>
              </w:rPr>
              <w:t>3,580.78</w:t>
            </w:r>
          </w:p>
        </w:tc>
        <w:tc>
          <w:tcPr>
            <w:tcW w:w="1730" w:type="dxa"/>
          </w:tcPr>
          <w:p w:rsidR="007C5447" w:rsidRDefault="00F6308C">
            <w:pPr>
              <w:pStyle w:val="TableParagraph"/>
              <w:spacing w:before="130"/>
              <w:ind w:right="98"/>
              <w:rPr>
                <w:sz w:val="20"/>
              </w:rPr>
            </w:pPr>
            <w:r>
              <w:rPr>
                <w:w w:val="95"/>
                <w:sz w:val="20"/>
              </w:rPr>
              <w:t>3,580.78</w:t>
            </w:r>
          </w:p>
        </w:tc>
      </w:tr>
      <w:tr w:rsidR="007C5447">
        <w:trPr>
          <w:trHeight w:val="299"/>
        </w:trPr>
        <w:tc>
          <w:tcPr>
            <w:tcW w:w="847" w:type="dxa"/>
          </w:tcPr>
          <w:p w:rsidR="007C5447" w:rsidRDefault="00F6308C">
            <w:pPr>
              <w:pStyle w:val="TableParagraph"/>
              <w:spacing w:before="36"/>
              <w:ind w:left="467"/>
              <w:jc w:val="left"/>
              <w:rPr>
                <w:sz w:val="20"/>
              </w:rPr>
            </w:pPr>
            <w:r>
              <w:rPr>
                <w:sz w:val="20"/>
              </w:rPr>
              <w:t>h)</w:t>
            </w:r>
          </w:p>
        </w:tc>
        <w:tc>
          <w:tcPr>
            <w:tcW w:w="3476" w:type="dxa"/>
          </w:tcPr>
          <w:p w:rsidR="007C5447" w:rsidRDefault="00F6308C">
            <w:pPr>
              <w:pStyle w:val="TableParagraph"/>
              <w:spacing w:before="36"/>
              <w:ind w:left="107"/>
              <w:jc w:val="left"/>
              <w:rPr>
                <w:sz w:val="20"/>
              </w:rPr>
            </w:pPr>
            <w:r>
              <w:rPr>
                <w:sz w:val="20"/>
              </w:rPr>
              <w:t>M/s. G.M.R. Energy Trading Ltd.</w:t>
            </w:r>
          </w:p>
        </w:tc>
        <w:tc>
          <w:tcPr>
            <w:tcW w:w="1731" w:type="dxa"/>
          </w:tcPr>
          <w:p w:rsidR="007C5447" w:rsidRDefault="00F6308C">
            <w:pPr>
              <w:pStyle w:val="TableParagraph"/>
              <w:spacing w:before="36"/>
              <w:ind w:right="96"/>
              <w:rPr>
                <w:sz w:val="20"/>
              </w:rPr>
            </w:pPr>
            <w:r>
              <w:rPr>
                <w:w w:val="95"/>
                <w:sz w:val="20"/>
              </w:rPr>
              <w:t>1,074.23</w:t>
            </w:r>
          </w:p>
        </w:tc>
        <w:tc>
          <w:tcPr>
            <w:tcW w:w="1654" w:type="dxa"/>
          </w:tcPr>
          <w:p w:rsidR="007C5447" w:rsidRDefault="00F6308C">
            <w:pPr>
              <w:pStyle w:val="TableParagraph"/>
              <w:spacing w:before="36"/>
              <w:ind w:right="99"/>
              <w:rPr>
                <w:sz w:val="20"/>
              </w:rPr>
            </w:pPr>
            <w:r>
              <w:rPr>
                <w:w w:val="95"/>
                <w:sz w:val="20"/>
              </w:rPr>
              <w:t>1,074.23</w:t>
            </w:r>
          </w:p>
        </w:tc>
        <w:tc>
          <w:tcPr>
            <w:tcW w:w="1730" w:type="dxa"/>
          </w:tcPr>
          <w:p w:rsidR="007C5447" w:rsidRDefault="00F6308C">
            <w:pPr>
              <w:pStyle w:val="TableParagraph"/>
              <w:spacing w:before="36"/>
              <w:ind w:right="98"/>
              <w:rPr>
                <w:sz w:val="20"/>
              </w:rPr>
            </w:pPr>
            <w:r>
              <w:rPr>
                <w:w w:val="95"/>
                <w:sz w:val="20"/>
              </w:rPr>
              <w:t>1,074.23</w:t>
            </w:r>
          </w:p>
        </w:tc>
      </w:tr>
      <w:tr w:rsidR="007C5447">
        <w:trPr>
          <w:trHeight w:val="489"/>
        </w:trPr>
        <w:tc>
          <w:tcPr>
            <w:tcW w:w="847" w:type="dxa"/>
          </w:tcPr>
          <w:p w:rsidR="007C5447" w:rsidRDefault="00F6308C">
            <w:pPr>
              <w:pStyle w:val="TableParagraph"/>
              <w:spacing w:before="130"/>
              <w:ind w:left="467"/>
              <w:jc w:val="left"/>
              <w:rPr>
                <w:sz w:val="20"/>
              </w:rPr>
            </w:pPr>
            <w:r>
              <w:rPr>
                <w:sz w:val="20"/>
              </w:rPr>
              <w:t>i)</w:t>
            </w:r>
          </w:p>
        </w:tc>
        <w:tc>
          <w:tcPr>
            <w:tcW w:w="3476" w:type="dxa"/>
          </w:tcPr>
          <w:p w:rsidR="007C5447" w:rsidRDefault="00F6308C">
            <w:pPr>
              <w:pStyle w:val="TableParagraph"/>
              <w:spacing w:before="14" w:line="230" w:lineRule="atLeast"/>
              <w:ind w:left="107"/>
              <w:jc w:val="left"/>
              <w:rPr>
                <w:sz w:val="20"/>
              </w:rPr>
            </w:pPr>
            <w:r>
              <w:rPr>
                <w:sz w:val="20"/>
              </w:rPr>
              <w:t>M/s. IL &amp; FS Tamil Nadu Power Company Ltd.</w:t>
            </w:r>
          </w:p>
        </w:tc>
        <w:tc>
          <w:tcPr>
            <w:tcW w:w="1731" w:type="dxa"/>
          </w:tcPr>
          <w:p w:rsidR="007C5447" w:rsidRDefault="00F6308C">
            <w:pPr>
              <w:pStyle w:val="TableParagraph"/>
              <w:spacing w:before="130"/>
              <w:ind w:right="96"/>
              <w:rPr>
                <w:sz w:val="20"/>
              </w:rPr>
            </w:pPr>
            <w:r>
              <w:rPr>
                <w:w w:val="95"/>
                <w:sz w:val="20"/>
              </w:rPr>
              <w:t>3,867.24</w:t>
            </w:r>
          </w:p>
        </w:tc>
        <w:tc>
          <w:tcPr>
            <w:tcW w:w="1654" w:type="dxa"/>
          </w:tcPr>
          <w:p w:rsidR="007C5447" w:rsidRDefault="00F6308C">
            <w:pPr>
              <w:pStyle w:val="TableParagraph"/>
              <w:spacing w:before="130"/>
              <w:ind w:right="99"/>
              <w:rPr>
                <w:sz w:val="20"/>
              </w:rPr>
            </w:pPr>
            <w:r>
              <w:rPr>
                <w:w w:val="95"/>
                <w:sz w:val="20"/>
              </w:rPr>
              <w:t>3,867.24</w:t>
            </w:r>
          </w:p>
        </w:tc>
        <w:tc>
          <w:tcPr>
            <w:tcW w:w="1730" w:type="dxa"/>
          </w:tcPr>
          <w:p w:rsidR="007C5447" w:rsidRDefault="00F6308C">
            <w:pPr>
              <w:pStyle w:val="TableParagraph"/>
              <w:spacing w:before="130"/>
              <w:ind w:right="98"/>
              <w:rPr>
                <w:sz w:val="20"/>
              </w:rPr>
            </w:pPr>
            <w:r>
              <w:rPr>
                <w:w w:val="95"/>
                <w:sz w:val="20"/>
              </w:rPr>
              <w:t>3,867.24</w:t>
            </w:r>
          </w:p>
        </w:tc>
      </w:tr>
      <w:tr w:rsidR="007C5447">
        <w:trPr>
          <w:trHeight w:val="302"/>
        </w:trPr>
        <w:tc>
          <w:tcPr>
            <w:tcW w:w="847" w:type="dxa"/>
          </w:tcPr>
          <w:p w:rsidR="007C5447" w:rsidRDefault="00F6308C">
            <w:pPr>
              <w:pStyle w:val="TableParagraph"/>
              <w:spacing w:before="36"/>
              <w:ind w:left="467"/>
              <w:jc w:val="left"/>
              <w:rPr>
                <w:sz w:val="20"/>
              </w:rPr>
            </w:pPr>
            <w:r>
              <w:rPr>
                <w:sz w:val="20"/>
              </w:rPr>
              <w:t>j)</w:t>
            </w:r>
          </w:p>
        </w:tc>
        <w:tc>
          <w:tcPr>
            <w:tcW w:w="3476" w:type="dxa"/>
          </w:tcPr>
          <w:p w:rsidR="007C5447" w:rsidRDefault="00F6308C">
            <w:pPr>
              <w:pStyle w:val="TableParagraph"/>
              <w:spacing w:before="36"/>
              <w:ind w:left="107"/>
              <w:jc w:val="left"/>
              <w:rPr>
                <w:sz w:val="20"/>
              </w:rPr>
            </w:pPr>
            <w:r>
              <w:rPr>
                <w:sz w:val="20"/>
              </w:rPr>
              <w:t>M/s. Coastal Energen Power Ltd.</w:t>
            </w:r>
          </w:p>
        </w:tc>
        <w:tc>
          <w:tcPr>
            <w:tcW w:w="1731" w:type="dxa"/>
          </w:tcPr>
          <w:p w:rsidR="007C5447" w:rsidRDefault="00F6308C">
            <w:pPr>
              <w:pStyle w:val="TableParagraph"/>
              <w:spacing w:before="36"/>
              <w:ind w:right="96"/>
              <w:rPr>
                <w:sz w:val="20"/>
              </w:rPr>
            </w:pPr>
            <w:r>
              <w:rPr>
                <w:w w:val="95"/>
                <w:sz w:val="20"/>
              </w:rPr>
              <w:t>3,996.15</w:t>
            </w:r>
          </w:p>
        </w:tc>
        <w:tc>
          <w:tcPr>
            <w:tcW w:w="1654" w:type="dxa"/>
          </w:tcPr>
          <w:p w:rsidR="007C5447" w:rsidRDefault="00F6308C">
            <w:pPr>
              <w:pStyle w:val="TableParagraph"/>
              <w:spacing w:before="36"/>
              <w:ind w:right="99"/>
              <w:rPr>
                <w:sz w:val="20"/>
              </w:rPr>
            </w:pPr>
            <w:r>
              <w:rPr>
                <w:w w:val="95"/>
                <w:sz w:val="20"/>
              </w:rPr>
              <w:t>3,996.15</w:t>
            </w:r>
          </w:p>
        </w:tc>
        <w:tc>
          <w:tcPr>
            <w:tcW w:w="1730" w:type="dxa"/>
          </w:tcPr>
          <w:p w:rsidR="007C5447" w:rsidRDefault="00F6308C">
            <w:pPr>
              <w:pStyle w:val="TableParagraph"/>
              <w:spacing w:before="36"/>
              <w:ind w:right="98"/>
              <w:rPr>
                <w:sz w:val="20"/>
              </w:rPr>
            </w:pPr>
            <w:r>
              <w:rPr>
                <w:w w:val="95"/>
                <w:sz w:val="20"/>
              </w:rPr>
              <w:t>3,996.15</w:t>
            </w:r>
          </w:p>
        </w:tc>
      </w:tr>
      <w:tr w:rsidR="007C5447">
        <w:trPr>
          <w:trHeight w:val="299"/>
        </w:trPr>
        <w:tc>
          <w:tcPr>
            <w:tcW w:w="847" w:type="dxa"/>
          </w:tcPr>
          <w:p w:rsidR="007C5447" w:rsidRDefault="00F6308C">
            <w:pPr>
              <w:pStyle w:val="TableParagraph"/>
              <w:spacing w:before="34"/>
              <w:ind w:left="467"/>
              <w:jc w:val="left"/>
              <w:rPr>
                <w:sz w:val="20"/>
              </w:rPr>
            </w:pPr>
            <w:r>
              <w:rPr>
                <w:sz w:val="20"/>
              </w:rPr>
              <w:t>k)</w:t>
            </w:r>
          </w:p>
        </w:tc>
        <w:tc>
          <w:tcPr>
            <w:tcW w:w="3476" w:type="dxa"/>
          </w:tcPr>
          <w:p w:rsidR="007C5447" w:rsidRDefault="00F6308C">
            <w:pPr>
              <w:pStyle w:val="TableParagraph"/>
              <w:spacing w:before="34"/>
              <w:ind w:left="107"/>
              <w:jc w:val="left"/>
              <w:rPr>
                <w:sz w:val="20"/>
              </w:rPr>
            </w:pPr>
            <w:r>
              <w:rPr>
                <w:sz w:val="20"/>
              </w:rPr>
              <w:t>M/s. OPG Power Gen Pvt. Ltd.</w:t>
            </w:r>
          </w:p>
        </w:tc>
        <w:tc>
          <w:tcPr>
            <w:tcW w:w="1731" w:type="dxa"/>
          </w:tcPr>
          <w:p w:rsidR="007C5447" w:rsidRDefault="00F6308C">
            <w:pPr>
              <w:pStyle w:val="TableParagraph"/>
              <w:spacing w:before="34"/>
              <w:ind w:right="98"/>
              <w:rPr>
                <w:sz w:val="20"/>
              </w:rPr>
            </w:pPr>
            <w:r>
              <w:rPr>
                <w:w w:val="95"/>
                <w:sz w:val="20"/>
              </w:rPr>
              <w:t>529.96</w:t>
            </w:r>
          </w:p>
        </w:tc>
        <w:tc>
          <w:tcPr>
            <w:tcW w:w="1654" w:type="dxa"/>
          </w:tcPr>
          <w:p w:rsidR="007C5447" w:rsidRDefault="00F6308C">
            <w:pPr>
              <w:pStyle w:val="TableParagraph"/>
              <w:spacing w:before="34"/>
              <w:ind w:right="101"/>
              <w:rPr>
                <w:sz w:val="20"/>
              </w:rPr>
            </w:pPr>
            <w:r>
              <w:rPr>
                <w:w w:val="95"/>
                <w:sz w:val="20"/>
              </w:rPr>
              <w:t>529.96</w:t>
            </w:r>
          </w:p>
        </w:tc>
        <w:tc>
          <w:tcPr>
            <w:tcW w:w="1730" w:type="dxa"/>
          </w:tcPr>
          <w:p w:rsidR="007C5447" w:rsidRDefault="00F6308C">
            <w:pPr>
              <w:pStyle w:val="TableParagraph"/>
              <w:spacing w:before="34"/>
              <w:ind w:right="100"/>
              <w:rPr>
                <w:sz w:val="20"/>
              </w:rPr>
            </w:pPr>
            <w:r>
              <w:rPr>
                <w:w w:val="95"/>
                <w:sz w:val="20"/>
              </w:rPr>
              <w:t>529.96</w:t>
            </w:r>
          </w:p>
        </w:tc>
      </w:tr>
      <w:tr w:rsidR="007C5447">
        <w:trPr>
          <w:trHeight w:val="299"/>
        </w:trPr>
        <w:tc>
          <w:tcPr>
            <w:tcW w:w="847" w:type="dxa"/>
          </w:tcPr>
          <w:p w:rsidR="007C5447" w:rsidRDefault="00F6308C">
            <w:pPr>
              <w:pStyle w:val="TableParagraph"/>
              <w:spacing w:before="34"/>
              <w:ind w:left="467"/>
              <w:jc w:val="left"/>
              <w:rPr>
                <w:sz w:val="20"/>
              </w:rPr>
            </w:pPr>
            <w:r>
              <w:rPr>
                <w:sz w:val="20"/>
              </w:rPr>
              <w:t>l)</w:t>
            </w:r>
          </w:p>
        </w:tc>
        <w:tc>
          <w:tcPr>
            <w:tcW w:w="3476" w:type="dxa"/>
          </w:tcPr>
          <w:p w:rsidR="007C5447" w:rsidRDefault="00F6308C">
            <w:pPr>
              <w:pStyle w:val="TableParagraph"/>
              <w:spacing w:before="34"/>
              <w:ind w:left="107"/>
              <w:jc w:val="left"/>
              <w:rPr>
                <w:sz w:val="20"/>
              </w:rPr>
            </w:pPr>
            <w:r>
              <w:rPr>
                <w:sz w:val="20"/>
              </w:rPr>
              <w:t>MTOA</w:t>
            </w:r>
          </w:p>
        </w:tc>
        <w:tc>
          <w:tcPr>
            <w:tcW w:w="1731" w:type="dxa"/>
          </w:tcPr>
          <w:p w:rsidR="007C5447" w:rsidRDefault="00F6308C">
            <w:pPr>
              <w:pStyle w:val="TableParagraph"/>
              <w:spacing w:before="34"/>
              <w:ind w:right="96"/>
              <w:rPr>
                <w:sz w:val="20"/>
              </w:rPr>
            </w:pPr>
            <w:r>
              <w:rPr>
                <w:w w:val="95"/>
                <w:sz w:val="20"/>
              </w:rPr>
              <w:t>2,507.53</w:t>
            </w:r>
          </w:p>
        </w:tc>
        <w:tc>
          <w:tcPr>
            <w:tcW w:w="1654" w:type="dxa"/>
          </w:tcPr>
          <w:p w:rsidR="007C5447" w:rsidRDefault="00F6308C">
            <w:pPr>
              <w:pStyle w:val="TableParagraph"/>
              <w:spacing w:before="34"/>
              <w:ind w:right="99"/>
              <w:rPr>
                <w:sz w:val="20"/>
              </w:rPr>
            </w:pPr>
            <w:r>
              <w:rPr>
                <w:w w:val="95"/>
                <w:sz w:val="20"/>
              </w:rPr>
              <w:t>2,372.14</w:t>
            </w:r>
          </w:p>
        </w:tc>
        <w:tc>
          <w:tcPr>
            <w:tcW w:w="1730" w:type="dxa"/>
          </w:tcPr>
          <w:p w:rsidR="007C5447" w:rsidRDefault="00F6308C">
            <w:pPr>
              <w:pStyle w:val="TableParagraph"/>
              <w:spacing w:before="34"/>
              <w:ind w:right="98"/>
              <w:rPr>
                <w:sz w:val="20"/>
              </w:rPr>
            </w:pPr>
            <w:r>
              <w:rPr>
                <w:w w:val="95"/>
                <w:sz w:val="20"/>
              </w:rPr>
              <w:t>2,697.85</w:t>
            </w:r>
          </w:p>
        </w:tc>
      </w:tr>
      <w:tr w:rsidR="007C5447">
        <w:trPr>
          <w:trHeight w:val="299"/>
        </w:trPr>
        <w:tc>
          <w:tcPr>
            <w:tcW w:w="847" w:type="dxa"/>
          </w:tcPr>
          <w:p w:rsidR="007C5447" w:rsidRDefault="00F6308C">
            <w:pPr>
              <w:pStyle w:val="TableParagraph"/>
              <w:spacing w:before="36"/>
              <w:ind w:left="515"/>
              <w:jc w:val="left"/>
              <w:rPr>
                <w:sz w:val="20"/>
              </w:rPr>
            </w:pPr>
            <w:r>
              <w:rPr>
                <w:sz w:val="20"/>
              </w:rPr>
              <w:t>m)</w:t>
            </w:r>
          </w:p>
        </w:tc>
        <w:tc>
          <w:tcPr>
            <w:tcW w:w="3476" w:type="dxa"/>
          </w:tcPr>
          <w:p w:rsidR="007C5447" w:rsidRDefault="00F6308C">
            <w:pPr>
              <w:pStyle w:val="TableParagraph"/>
              <w:spacing w:before="36"/>
              <w:ind w:left="107"/>
              <w:jc w:val="left"/>
              <w:rPr>
                <w:sz w:val="20"/>
              </w:rPr>
            </w:pPr>
            <w:r>
              <w:rPr>
                <w:sz w:val="20"/>
              </w:rPr>
              <w:t>STOA</w:t>
            </w:r>
          </w:p>
        </w:tc>
        <w:tc>
          <w:tcPr>
            <w:tcW w:w="1731" w:type="dxa"/>
          </w:tcPr>
          <w:p w:rsidR="007C5447" w:rsidRDefault="00F6308C">
            <w:pPr>
              <w:pStyle w:val="TableParagraph"/>
              <w:spacing w:before="36"/>
              <w:ind w:right="98"/>
              <w:rPr>
                <w:sz w:val="20"/>
              </w:rPr>
            </w:pPr>
            <w:r>
              <w:rPr>
                <w:w w:val="95"/>
                <w:sz w:val="20"/>
              </w:rPr>
              <w:t>250.62</w:t>
            </w:r>
          </w:p>
        </w:tc>
        <w:tc>
          <w:tcPr>
            <w:tcW w:w="1654" w:type="dxa"/>
          </w:tcPr>
          <w:p w:rsidR="007C5447" w:rsidRDefault="00F6308C">
            <w:pPr>
              <w:pStyle w:val="TableParagraph"/>
              <w:spacing w:before="36"/>
              <w:ind w:right="97"/>
              <w:rPr>
                <w:sz w:val="20"/>
              </w:rPr>
            </w:pPr>
            <w:r>
              <w:rPr>
                <w:w w:val="99"/>
                <w:sz w:val="20"/>
              </w:rPr>
              <w:t>-</w:t>
            </w:r>
          </w:p>
        </w:tc>
        <w:tc>
          <w:tcPr>
            <w:tcW w:w="1730" w:type="dxa"/>
          </w:tcPr>
          <w:p w:rsidR="007C5447" w:rsidRDefault="00F6308C">
            <w:pPr>
              <w:pStyle w:val="TableParagraph"/>
              <w:spacing w:before="36"/>
              <w:ind w:right="96"/>
              <w:rPr>
                <w:sz w:val="20"/>
              </w:rPr>
            </w:pPr>
            <w:r>
              <w:rPr>
                <w:w w:val="99"/>
                <w:sz w:val="20"/>
              </w:rPr>
              <w:t>-</w:t>
            </w:r>
          </w:p>
        </w:tc>
      </w:tr>
      <w:tr w:rsidR="007C5447">
        <w:trPr>
          <w:trHeight w:val="299"/>
        </w:trPr>
        <w:tc>
          <w:tcPr>
            <w:tcW w:w="847" w:type="dxa"/>
            <w:shd w:val="clear" w:color="auto" w:fill="D9D9D9"/>
          </w:tcPr>
          <w:p w:rsidR="007C5447" w:rsidRDefault="007C5447">
            <w:pPr>
              <w:pStyle w:val="TableParagraph"/>
              <w:jc w:val="left"/>
              <w:rPr>
                <w:sz w:val="20"/>
              </w:rPr>
            </w:pPr>
          </w:p>
        </w:tc>
        <w:tc>
          <w:tcPr>
            <w:tcW w:w="3476" w:type="dxa"/>
            <w:shd w:val="clear" w:color="auto" w:fill="D9D9D9"/>
          </w:tcPr>
          <w:p w:rsidR="007C5447" w:rsidRDefault="00F6308C">
            <w:pPr>
              <w:pStyle w:val="TableParagraph"/>
              <w:spacing w:before="36"/>
              <w:ind w:left="107"/>
              <w:jc w:val="left"/>
              <w:rPr>
                <w:b/>
                <w:sz w:val="20"/>
              </w:rPr>
            </w:pPr>
            <w:r>
              <w:rPr>
                <w:b/>
                <w:sz w:val="20"/>
              </w:rPr>
              <w:t>Total Energy Availability</w:t>
            </w:r>
          </w:p>
        </w:tc>
        <w:tc>
          <w:tcPr>
            <w:tcW w:w="1731" w:type="dxa"/>
            <w:shd w:val="clear" w:color="auto" w:fill="D9D9D9"/>
          </w:tcPr>
          <w:p w:rsidR="007C5447" w:rsidRDefault="00F6308C">
            <w:pPr>
              <w:pStyle w:val="TableParagraph"/>
              <w:spacing w:before="36"/>
              <w:ind w:right="96"/>
              <w:rPr>
                <w:b/>
                <w:sz w:val="20"/>
              </w:rPr>
            </w:pPr>
            <w:r>
              <w:rPr>
                <w:b/>
                <w:w w:val="95"/>
                <w:sz w:val="20"/>
              </w:rPr>
              <w:t>71,937.18</w:t>
            </w:r>
          </w:p>
        </w:tc>
        <w:tc>
          <w:tcPr>
            <w:tcW w:w="1654" w:type="dxa"/>
            <w:shd w:val="clear" w:color="auto" w:fill="D9D9D9"/>
          </w:tcPr>
          <w:p w:rsidR="007C5447" w:rsidRDefault="00F6308C">
            <w:pPr>
              <w:pStyle w:val="TableParagraph"/>
              <w:spacing w:before="36"/>
              <w:ind w:right="99"/>
              <w:rPr>
                <w:b/>
                <w:sz w:val="20"/>
              </w:rPr>
            </w:pPr>
            <w:r>
              <w:rPr>
                <w:b/>
                <w:w w:val="95"/>
                <w:sz w:val="20"/>
              </w:rPr>
              <w:t>73,450.92</w:t>
            </w:r>
          </w:p>
        </w:tc>
        <w:tc>
          <w:tcPr>
            <w:tcW w:w="1730" w:type="dxa"/>
            <w:shd w:val="clear" w:color="auto" w:fill="D9D9D9"/>
          </w:tcPr>
          <w:p w:rsidR="007C5447" w:rsidRDefault="00F6308C">
            <w:pPr>
              <w:pStyle w:val="TableParagraph"/>
              <w:spacing w:before="36"/>
              <w:ind w:right="98"/>
              <w:rPr>
                <w:b/>
                <w:sz w:val="20"/>
              </w:rPr>
            </w:pPr>
            <w:r>
              <w:rPr>
                <w:b/>
                <w:w w:val="95"/>
                <w:sz w:val="20"/>
              </w:rPr>
              <w:t>74.004.35</w:t>
            </w:r>
          </w:p>
        </w:tc>
      </w:tr>
    </w:tbl>
    <w:p w:rsidR="007C5447" w:rsidRDefault="007C5447">
      <w:pPr>
        <w:pStyle w:val="BodyText"/>
        <w:rPr>
          <w:b/>
          <w:sz w:val="13"/>
        </w:rPr>
      </w:pPr>
    </w:p>
    <w:p w:rsidR="007C5447" w:rsidRDefault="00F6308C">
      <w:pPr>
        <w:pStyle w:val="Heading2"/>
        <w:numPr>
          <w:ilvl w:val="1"/>
          <w:numId w:val="114"/>
        </w:numPr>
        <w:tabs>
          <w:tab w:val="left" w:pos="1106"/>
          <w:tab w:val="left" w:pos="1107"/>
        </w:tabs>
        <w:spacing w:before="90"/>
        <w:ind w:left="1106"/>
      </w:pPr>
      <w:bookmarkStart w:id="60" w:name="_bookmark60"/>
      <w:bookmarkEnd w:id="60"/>
      <w:r>
        <w:t>Fixed</w:t>
      </w:r>
      <w:r>
        <w:rPr>
          <w:spacing w:val="-1"/>
        </w:rPr>
        <w:t xml:space="preserve"> </w:t>
      </w:r>
      <w:r>
        <w:t>Expenses</w:t>
      </w:r>
    </w:p>
    <w:p w:rsidR="007C5447" w:rsidRDefault="007C5447">
      <w:pPr>
        <w:pStyle w:val="BodyText"/>
        <w:spacing w:before="2"/>
        <w:rPr>
          <w:b/>
          <w:sz w:val="28"/>
        </w:rPr>
      </w:pPr>
    </w:p>
    <w:p w:rsidR="007C5447" w:rsidRDefault="00F6308C">
      <w:pPr>
        <w:ind w:left="1392"/>
        <w:rPr>
          <w:b/>
          <w:sz w:val="24"/>
        </w:rPr>
      </w:pPr>
      <w:r>
        <w:rPr>
          <w:b/>
          <w:sz w:val="24"/>
        </w:rPr>
        <w:t>Recovery of Fixed Charges for Ennore TPS (ETPS)</w:t>
      </w:r>
    </w:p>
    <w:p w:rsidR="007C5447" w:rsidRDefault="00F6308C">
      <w:pPr>
        <w:pStyle w:val="ListParagraph"/>
        <w:numPr>
          <w:ilvl w:val="2"/>
          <w:numId w:val="114"/>
        </w:numPr>
        <w:tabs>
          <w:tab w:val="left" w:pos="1393"/>
        </w:tabs>
        <w:spacing w:before="202" w:line="312" w:lineRule="auto"/>
        <w:ind w:left="1392" w:right="511" w:hanging="852"/>
        <w:jc w:val="both"/>
        <w:rPr>
          <w:sz w:val="24"/>
        </w:rPr>
      </w:pPr>
      <w:r>
        <w:rPr>
          <w:sz w:val="24"/>
        </w:rPr>
        <w:t>The Commission asked TANGEDCO to justify its claim for recovery of Fixed Charges pertaining to ETPS for FY 2017-18 and FY 2018-19 when the entire power plant has been decommissioned on March 31,</w:t>
      </w:r>
      <w:r>
        <w:rPr>
          <w:spacing w:val="-1"/>
          <w:sz w:val="24"/>
        </w:rPr>
        <w:t xml:space="preserve"> </w:t>
      </w:r>
      <w:r>
        <w:rPr>
          <w:sz w:val="24"/>
        </w:rPr>
        <w:t>2017.</w:t>
      </w:r>
    </w:p>
    <w:p w:rsidR="007C5447" w:rsidRDefault="007C5447">
      <w:pPr>
        <w:spacing w:line="312" w:lineRule="auto"/>
        <w:jc w:val="both"/>
        <w:rPr>
          <w:sz w:val="24"/>
        </w:rPr>
        <w:sectPr w:rsidR="007C5447">
          <w:pgSz w:w="11910" w:h="16840"/>
          <w:pgMar w:top="1420" w:right="620" w:bottom="1240" w:left="900" w:header="0" w:footer="777" w:gutter="0"/>
          <w:cols w:space="720"/>
        </w:sectPr>
      </w:pPr>
    </w:p>
    <w:p w:rsidR="007C5447" w:rsidRDefault="00F6308C">
      <w:pPr>
        <w:pStyle w:val="ListParagraph"/>
        <w:numPr>
          <w:ilvl w:val="2"/>
          <w:numId w:val="114"/>
        </w:numPr>
        <w:tabs>
          <w:tab w:val="left" w:pos="1393"/>
        </w:tabs>
        <w:spacing w:before="60" w:line="312" w:lineRule="auto"/>
        <w:ind w:left="1392" w:right="508" w:hanging="852"/>
        <w:jc w:val="both"/>
        <w:rPr>
          <w:sz w:val="24"/>
        </w:rPr>
      </w:pPr>
      <w:r>
        <w:rPr>
          <w:sz w:val="24"/>
        </w:rPr>
        <w:lastRenderedPageBreak/>
        <w:t>In its reply, TANGEDCO submitted that</w:t>
      </w:r>
      <w:r>
        <w:rPr>
          <w:sz w:val="24"/>
        </w:rPr>
        <w:t xml:space="preserve"> ETPS thermal Units were established during 1970-1975. After all the Units had served their life-time of more than 1 lakh running hours, Renovation &amp; Modernisation works were contemplated during 1999. After completion of Renovation &amp; Modernisation works, U</w:t>
      </w:r>
      <w:r>
        <w:rPr>
          <w:sz w:val="24"/>
        </w:rPr>
        <w:t>nits I and II served for more than 8 years and Units III, IV and V served for more than 10 years. Considering the major breakdowns and cost of generation, TANGEDCO decided to shut down the plant. Accordingly, the Plant (Units 1 to V) were shut down permane</w:t>
      </w:r>
      <w:r>
        <w:rPr>
          <w:sz w:val="24"/>
        </w:rPr>
        <w:t>ntly with effect from March 31, 2017, and TANGEDCO decided to decommission ETPS.</w:t>
      </w:r>
    </w:p>
    <w:p w:rsidR="007C5447" w:rsidRDefault="007C5447">
      <w:pPr>
        <w:pStyle w:val="BodyText"/>
        <w:spacing w:before="11"/>
        <w:rPr>
          <w:sz w:val="20"/>
        </w:rPr>
      </w:pPr>
    </w:p>
    <w:p w:rsidR="007C5447" w:rsidRDefault="00F6308C">
      <w:pPr>
        <w:pStyle w:val="ListParagraph"/>
        <w:numPr>
          <w:ilvl w:val="2"/>
          <w:numId w:val="114"/>
        </w:numPr>
        <w:tabs>
          <w:tab w:val="left" w:pos="1393"/>
        </w:tabs>
        <w:spacing w:line="312" w:lineRule="auto"/>
        <w:ind w:left="1392" w:right="511" w:hanging="852"/>
        <w:jc w:val="both"/>
        <w:rPr>
          <w:sz w:val="24"/>
        </w:rPr>
      </w:pPr>
      <w:r>
        <w:rPr>
          <w:sz w:val="24"/>
        </w:rPr>
        <w:t>After shutdown of the plants, minimum staff will be retained for evaluation and safeguarding the dismantled materials till disposal/closure of Purchase Orders. and works cont</w:t>
      </w:r>
      <w:r>
        <w:rPr>
          <w:sz w:val="24"/>
        </w:rPr>
        <w:t>ract, etc. To accommodate establishment expenses payable to retained staff in ETPS, necessary claim under the head O&amp;M expenses and IoWC has been made for FY 2017-18 and FY</w:t>
      </w:r>
      <w:r>
        <w:rPr>
          <w:spacing w:val="1"/>
          <w:sz w:val="24"/>
        </w:rPr>
        <w:t xml:space="preserve"> </w:t>
      </w:r>
      <w:r>
        <w:rPr>
          <w:sz w:val="24"/>
        </w:rPr>
        <w:t>2018-19.</w:t>
      </w:r>
    </w:p>
    <w:p w:rsidR="007C5447" w:rsidRDefault="007C5447">
      <w:pPr>
        <w:pStyle w:val="BodyText"/>
        <w:spacing w:before="9"/>
        <w:rPr>
          <w:sz w:val="20"/>
        </w:rPr>
      </w:pPr>
    </w:p>
    <w:p w:rsidR="007C5447" w:rsidRDefault="00F6308C">
      <w:pPr>
        <w:pStyle w:val="ListParagraph"/>
        <w:numPr>
          <w:ilvl w:val="2"/>
          <w:numId w:val="114"/>
        </w:numPr>
        <w:tabs>
          <w:tab w:val="left" w:pos="1393"/>
        </w:tabs>
        <w:spacing w:before="1" w:line="312" w:lineRule="auto"/>
        <w:ind w:left="1392" w:right="514" w:hanging="852"/>
        <w:jc w:val="both"/>
        <w:rPr>
          <w:sz w:val="24"/>
        </w:rPr>
      </w:pPr>
      <w:r>
        <w:rPr>
          <w:sz w:val="24"/>
        </w:rPr>
        <w:t>TANGEDCO submitted that Clause 2.74 of Uniform Commercial Accounting, rep</w:t>
      </w:r>
      <w:r>
        <w:rPr>
          <w:sz w:val="24"/>
        </w:rPr>
        <w:t>roduced below, permits accommodation of the expenses incurred for decommissioning of plant under revenue</w:t>
      </w:r>
      <w:r>
        <w:rPr>
          <w:spacing w:val="-7"/>
          <w:sz w:val="24"/>
        </w:rPr>
        <w:t xml:space="preserve"> </w:t>
      </w:r>
      <w:r>
        <w:rPr>
          <w:sz w:val="24"/>
        </w:rPr>
        <w:t>expenses:</w:t>
      </w:r>
    </w:p>
    <w:p w:rsidR="007C5447" w:rsidRDefault="007C5447">
      <w:pPr>
        <w:pStyle w:val="BodyText"/>
        <w:spacing w:before="11"/>
        <w:rPr>
          <w:sz w:val="20"/>
        </w:rPr>
      </w:pPr>
    </w:p>
    <w:p w:rsidR="007C5447" w:rsidRDefault="00F6308C">
      <w:pPr>
        <w:ind w:left="1980"/>
        <w:rPr>
          <w:i/>
          <w:sz w:val="24"/>
        </w:rPr>
      </w:pPr>
      <w:r>
        <w:rPr>
          <w:i/>
          <w:sz w:val="24"/>
        </w:rPr>
        <w:t>“</w:t>
      </w:r>
      <w:r>
        <w:rPr>
          <w:i/>
          <w:sz w:val="24"/>
          <w:u w:val="single"/>
        </w:rPr>
        <w:t>Cost of Retirement, scrapping, sale of assets</w:t>
      </w:r>
    </w:p>
    <w:p w:rsidR="007C5447" w:rsidRDefault="007C5447">
      <w:pPr>
        <w:pStyle w:val="BodyText"/>
        <w:spacing w:before="10"/>
        <w:rPr>
          <w:i/>
          <w:sz w:val="20"/>
        </w:rPr>
      </w:pPr>
    </w:p>
    <w:p w:rsidR="007C5447" w:rsidRDefault="00F6308C">
      <w:pPr>
        <w:ind w:left="1980" w:right="1229"/>
        <w:jc w:val="both"/>
        <w:rPr>
          <w:i/>
          <w:sz w:val="24"/>
        </w:rPr>
      </w:pPr>
      <w:r>
        <w:rPr>
          <w:i/>
          <w:sz w:val="24"/>
        </w:rPr>
        <w:t>2.74 All costs incurred on retirement scrapping and sale of assets shall be charged to Revenue Account in the year in which the costs are incurred, examples of such costs are</w:t>
      </w:r>
    </w:p>
    <w:p w:rsidR="007C5447" w:rsidRDefault="007C5447">
      <w:pPr>
        <w:pStyle w:val="BodyText"/>
        <w:spacing w:before="10"/>
        <w:rPr>
          <w:i/>
          <w:sz w:val="20"/>
        </w:rPr>
      </w:pPr>
    </w:p>
    <w:p w:rsidR="007C5447" w:rsidRDefault="00F6308C">
      <w:pPr>
        <w:pStyle w:val="ListParagraph"/>
        <w:numPr>
          <w:ilvl w:val="0"/>
          <w:numId w:val="66"/>
        </w:numPr>
        <w:tabs>
          <w:tab w:val="left" w:pos="2320"/>
        </w:tabs>
        <w:spacing w:before="1"/>
        <w:ind w:hanging="340"/>
        <w:jc w:val="both"/>
        <w:rPr>
          <w:i/>
          <w:sz w:val="24"/>
        </w:rPr>
      </w:pPr>
      <w:r>
        <w:rPr>
          <w:i/>
          <w:sz w:val="24"/>
        </w:rPr>
        <w:t>Building / civil works demolition</w:t>
      </w:r>
      <w:r>
        <w:rPr>
          <w:i/>
          <w:spacing w:val="-1"/>
          <w:sz w:val="24"/>
        </w:rPr>
        <w:t xml:space="preserve"> </w:t>
      </w:r>
      <w:r>
        <w:rPr>
          <w:i/>
          <w:sz w:val="24"/>
        </w:rPr>
        <w:t>costs</w:t>
      </w:r>
    </w:p>
    <w:p w:rsidR="007C5447" w:rsidRDefault="007C5447">
      <w:pPr>
        <w:pStyle w:val="BodyText"/>
        <w:spacing w:before="9"/>
        <w:rPr>
          <w:i/>
          <w:sz w:val="20"/>
        </w:rPr>
      </w:pPr>
    </w:p>
    <w:p w:rsidR="007C5447" w:rsidRDefault="00F6308C">
      <w:pPr>
        <w:pStyle w:val="ListParagraph"/>
        <w:numPr>
          <w:ilvl w:val="0"/>
          <w:numId w:val="66"/>
        </w:numPr>
        <w:tabs>
          <w:tab w:val="left" w:pos="2320"/>
        </w:tabs>
        <w:spacing w:before="1"/>
        <w:ind w:hanging="340"/>
        <w:jc w:val="both"/>
        <w:rPr>
          <w:i/>
          <w:sz w:val="24"/>
        </w:rPr>
      </w:pPr>
      <w:r>
        <w:rPr>
          <w:i/>
          <w:sz w:val="24"/>
        </w:rPr>
        <w:t>Plant decommissioning</w:t>
      </w:r>
      <w:r>
        <w:rPr>
          <w:i/>
          <w:spacing w:val="-1"/>
          <w:sz w:val="24"/>
        </w:rPr>
        <w:t xml:space="preserve"> </w:t>
      </w:r>
      <w:r>
        <w:rPr>
          <w:i/>
          <w:sz w:val="24"/>
        </w:rPr>
        <w:t>costs</w:t>
      </w:r>
    </w:p>
    <w:p w:rsidR="007C5447" w:rsidRDefault="007C5447">
      <w:pPr>
        <w:pStyle w:val="BodyText"/>
        <w:spacing w:before="9"/>
        <w:rPr>
          <w:i/>
          <w:sz w:val="20"/>
        </w:rPr>
      </w:pPr>
    </w:p>
    <w:p w:rsidR="007C5447" w:rsidRDefault="00F6308C">
      <w:pPr>
        <w:pStyle w:val="ListParagraph"/>
        <w:numPr>
          <w:ilvl w:val="0"/>
          <w:numId w:val="66"/>
        </w:numPr>
        <w:tabs>
          <w:tab w:val="left" w:pos="2320"/>
        </w:tabs>
        <w:spacing w:before="1"/>
        <w:ind w:hanging="340"/>
        <w:jc w:val="both"/>
        <w:rPr>
          <w:i/>
          <w:sz w:val="24"/>
        </w:rPr>
      </w:pPr>
      <w:r>
        <w:rPr>
          <w:i/>
          <w:sz w:val="24"/>
        </w:rPr>
        <w:t>Site restoration</w:t>
      </w:r>
      <w:r>
        <w:rPr>
          <w:i/>
          <w:spacing w:val="-2"/>
          <w:sz w:val="24"/>
        </w:rPr>
        <w:t xml:space="preserve"> </w:t>
      </w:r>
      <w:r>
        <w:rPr>
          <w:i/>
          <w:sz w:val="24"/>
        </w:rPr>
        <w:t>costs</w:t>
      </w:r>
    </w:p>
    <w:p w:rsidR="007C5447" w:rsidRDefault="007C5447">
      <w:pPr>
        <w:pStyle w:val="BodyText"/>
        <w:spacing w:before="9"/>
        <w:rPr>
          <w:i/>
          <w:sz w:val="20"/>
        </w:rPr>
      </w:pPr>
    </w:p>
    <w:p w:rsidR="007C5447" w:rsidRDefault="00F6308C">
      <w:pPr>
        <w:pStyle w:val="ListParagraph"/>
        <w:numPr>
          <w:ilvl w:val="0"/>
          <w:numId w:val="66"/>
        </w:numPr>
        <w:tabs>
          <w:tab w:val="left" w:pos="2333"/>
        </w:tabs>
        <w:spacing w:before="1"/>
        <w:ind w:left="1980" w:right="1232" w:firstLine="0"/>
        <w:jc w:val="both"/>
        <w:rPr>
          <w:i/>
          <w:sz w:val="24"/>
        </w:rPr>
      </w:pPr>
      <w:r>
        <w:rPr>
          <w:i/>
          <w:sz w:val="24"/>
        </w:rPr>
        <w:t>Expenses like legal charges and stamp duty for transfer of title to the purchaser</w:t>
      </w:r>
    </w:p>
    <w:p w:rsidR="007C5447" w:rsidRDefault="007C5447">
      <w:pPr>
        <w:pStyle w:val="BodyText"/>
        <w:spacing w:before="10"/>
        <w:rPr>
          <w:i/>
          <w:sz w:val="20"/>
        </w:rPr>
      </w:pPr>
    </w:p>
    <w:p w:rsidR="007C5447" w:rsidRDefault="00F6308C">
      <w:pPr>
        <w:pStyle w:val="ListParagraph"/>
        <w:numPr>
          <w:ilvl w:val="0"/>
          <w:numId w:val="66"/>
        </w:numPr>
        <w:tabs>
          <w:tab w:val="left" w:pos="2320"/>
        </w:tabs>
        <w:ind w:left="1980" w:right="1229" w:firstLine="0"/>
        <w:jc w:val="both"/>
        <w:rPr>
          <w:i/>
          <w:sz w:val="24"/>
        </w:rPr>
      </w:pPr>
      <w:r>
        <w:rPr>
          <w:i/>
          <w:sz w:val="24"/>
        </w:rPr>
        <w:t>Freight etc, on transfer of assets to any asset / scrap disposal authority in the</w:t>
      </w:r>
      <w:r>
        <w:rPr>
          <w:i/>
          <w:spacing w:val="-1"/>
          <w:sz w:val="24"/>
        </w:rPr>
        <w:t xml:space="preserve"> </w:t>
      </w:r>
      <w:r>
        <w:rPr>
          <w:i/>
          <w:sz w:val="24"/>
        </w:rPr>
        <w:t>Board</w:t>
      </w:r>
    </w:p>
    <w:p w:rsidR="007C5447" w:rsidRDefault="007C5447">
      <w:pPr>
        <w:pStyle w:val="BodyText"/>
        <w:spacing w:before="10"/>
        <w:rPr>
          <w:i/>
          <w:sz w:val="20"/>
        </w:rPr>
      </w:pPr>
    </w:p>
    <w:p w:rsidR="007C5447" w:rsidRDefault="00F6308C">
      <w:pPr>
        <w:pStyle w:val="ListParagraph"/>
        <w:numPr>
          <w:ilvl w:val="0"/>
          <w:numId w:val="66"/>
        </w:numPr>
        <w:tabs>
          <w:tab w:val="left" w:pos="2326"/>
        </w:tabs>
        <w:ind w:left="1980" w:right="1230" w:firstLine="0"/>
        <w:jc w:val="both"/>
        <w:rPr>
          <w:i/>
          <w:sz w:val="24"/>
        </w:rPr>
      </w:pPr>
      <w:r>
        <w:rPr>
          <w:i/>
          <w:sz w:val="24"/>
        </w:rPr>
        <w:t>Expenditure on freight etc, on delivery of the sold assets / scrap to the scrap.”</w:t>
      </w:r>
    </w:p>
    <w:p w:rsidR="007C5447" w:rsidRDefault="00F6308C">
      <w:pPr>
        <w:pStyle w:val="ListParagraph"/>
        <w:numPr>
          <w:ilvl w:val="2"/>
          <w:numId w:val="114"/>
        </w:numPr>
        <w:tabs>
          <w:tab w:val="left" w:pos="1393"/>
        </w:tabs>
        <w:spacing w:before="120" w:line="312" w:lineRule="auto"/>
        <w:ind w:left="1392" w:right="508" w:hanging="852"/>
        <w:jc w:val="both"/>
        <w:rPr>
          <w:sz w:val="24"/>
        </w:rPr>
      </w:pPr>
      <w:r>
        <w:rPr>
          <w:sz w:val="24"/>
        </w:rPr>
        <w:t>The Tariff Regulations notified by the Commission are oriented towards creation of plant, determination of tariff for generating plant and purchase of power from generating p</w:t>
      </w:r>
      <w:r>
        <w:rPr>
          <w:sz w:val="24"/>
        </w:rPr>
        <w:t xml:space="preserve">lant. It does not have any provision with regard to decommissioning </w:t>
      </w:r>
      <w:r>
        <w:rPr>
          <w:spacing w:val="4"/>
          <w:sz w:val="24"/>
        </w:rPr>
        <w:t xml:space="preserve">of </w:t>
      </w:r>
      <w:r>
        <w:rPr>
          <w:sz w:val="24"/>
        </w:rPr>
        <w:t>plant.</w:t>
      </w:r>
    </w:p>
    <w:p w:rsidR="007C5447" w:rsidRDefault="007C5447">
      <w:pPr>
        <w:spacing w:line="312" w:lineRule="auto"/>
        <w:jc w:val="both"/>
        <w:rPr>
          <w:sz w:val="24"/>
        </w:rPr>
        <w:sectPr w:rsidR="007C5447">
          <w:pgSz w:w="11910" w:h="16840"/>
          <w:pgMar w:top="1360" w:right="620" w:bottom="1240" w:left="900" w:header="0" w:footer="777" w:gutter="0"/>
          <w:cols w:space="720"/>
        </w:sectPr>
      </w:pPr>
    </w:p>
    <w:p w:rsidR="007C5447" w:rsidRDefault="00F6308C">
      <w:pPr>
        <w:pStyle w:val="ListParagraph"/>
        <w:numPr>
          <w:ilvl w:val="2"/>
          <w:numId w:val="114"/>
        </w:numPr>
        <w:tabs>
          <w:tab w:val="left" w:pos="1393"/>
        </w:tabs>
        <w:spacing w:before="60" w:line="312" w:lineRule="auto"/>
        <w:ind w:left="1392" w:right="514" w:hanging="852"/>
        <w:jc w:val="both"/>
        <w:rPr>
          <w:sz w:val="24"/>
        </w:rPr>
      </w:pPr>
      <w:r>
        <w:rPr>
          <w:sz w:val="24"/>
        </w:rPr>
        <w:lastRenderedPageBreak/>
        <w:t>Therefore, TANGEDCO requested the Commission to exercise its powers specified in Regulations 89 and 90 of the Tariff Regulations, reproduced below, to approve t</w:t>
      </w:r>
      <w:r>
        <w:rPr>
          <w:sz w:val="24"/>
        </w:rPr>
        <w:t>he O&amp;M expenses and IoWC claimed in regard to decommissioning of ETPS</w:t>
      </w:r>
      <w:r>
        <w:rPr>
          <w:spacing w:val="-1"/>
          <w:sz w:val="24"/>
        </w:rPr>
        <w:t xml:space="preserve"> </w:t>
      </w:r>
      <w:r>
        <w:rPr>
          <w:sz w:val="24"/>
        </w:rPr>
        <w:t>Plant.</w:t>
      </w:r>
    </w:p>
    <w:p w:rsidR="007C5447" w:rsidRDefault="007C5447">
      <w:pPr>
        <w:pStyle w:val="BodyText"/>
        <w:spacing w:before="10"/>
        <w:rPr>
          <w:sz w:val="20"/>
        </w:rPr>
      </w:pPr>
    </w:p>
    <w:p w:rsidR="007C5447" w:rsidRDefault="00F6308C">
      <w:pPr>
        <w:pStyle w:val="Heading3"/>
        <w:ind w:left="1980"/>
        <w:jc w:val="both"/>
      </w:pPr>
      <w:r>
        <w:t>“89. Power to remove difficulty</w:t>
      </w:r>
    </w:p>
    <w:p w:rsidR="007C5447" w:rsidRDefault="007C5447">
      <w:pPr>
        <w:pStyle w:val="BodyText"/>
        <w:spacing w:before="10"/>
        <w:rPr>
          <w:b/>
          <w:i/>
          <w:sz w:val="20"/>
        </w:rPr>
      </w:pPr>
    </w:p>
    <w:p w:rsidR="007C5447" w:rsidRDefault="00F6308C">
      <w:pPr>
        <w:ind w:left="1980" w:right="1232"/>
        <w:jc w:val="both"/>
        <w:rPr>
          <w:i/>
          <w:sz w:val="24"/>
        </w:rPr>
      </w:pPr>
      <w:r>
        <w:rPr>
          <w:i/>
          <w:sz w:val="24"/>
        </w:rPr>
        <w:t>If any difficulty arises in giving effect to any of these regulations, the Commission, may, of its own motion or otherwise, by an order and after</w:t>
      </w:r>
      <w:r>
        <w:rPr>
          <w:i/>
          <w:sz w:val="24"/>
        </w:rPr>
        <w:t xml:space="preserve"> giving a reasonable opportunity to those likely to be affected by such order, make such provisions, not inconsistent with these regulations, as may appear to be necessary for removing difficulties.</w:t>
      </w:r>
    </w:p>
    <w:p w:rsidR="007C5447" w:rsidRDefault="007C5447">
      <w:pPr>
        <w:pStyle w:val="BodyText"/>
        <w:spacing w:before="10"/>
        <w:rPr>
          <w:i/>
          <w:sz w:val="20"/>
        </w:rPr>
      </w:pPr>
    </w:p>
    <w:p w:rsidR="007C5447" w:rsidRDefault="00F6308C">
      <w:pPr>
        <w:pStyle w:val="Heading3"/>
        <w:ind w:left="1980"/>
      </w:pPr>
      <w:r>
        <w:t>90. Power to relax / amend</w:t>
      </w:r>
    </w:p>
    <w:p w:rsidR="007C5447" w:rsidRDefault="007C5447">
      <w:pPr>
        <w:pStyle w:val="BodyText"/>
        <w:spacing w:before="10"/>
        <w:rPr>
          <w:b/>
          <w:i/>
          <w:sz w:val="20"/>
        </w:rPr>
      </w:pPr>
    </w:p>
    <w:p w:rsidR="007C5447" w:rsidRDefault="00F6308C">
      <w:pPr>
        <w:spacing w:before="1"/>
        <w:ind w:left="1980" w:right="1231"/>
        <w:jc w:val="both"/>
        <w:rPr>
          <w:i/>
          <w:sz w:val="24"/>
        </w:rPr>
      </w:pPr>
      <w:r>
        <w:rPr>
          <w:i/>
          <w:sz w:val="24"/>
        </w:rPr>
        <w:t xml:space="preserve">The Commission, for reasons </w:t>
      </w:r>
      <w:r>
        <w:rPr>
          <w:i/>
          <w:sz w:val="24"/>
        </w:rPr>
        <w:t>to be recorded in writing, may vary / amend any of the provisions of these Regulations on its own motion or on an application made before it.</w:t>
      </w:r>
    </w:p>
    <w:p w:rsidR="007C5447" w:rsidRDefault="00F6308C">
      <w:pPr>
        <w:pStyle w:val="ListParagraph"/>
        <w:numPr>
          <w:ilvl w:val="2"/>
          <w:numId w:val="114"/>
        </w:numPr>
        <w:tabs>
          <w:tab w:val="left" w:pos="1393"/>
        </w:tabs>
        <w:spacing w:before="120" w:line="312" w:lineRule="auto"/>
        <w:ind w:left="1392" w:right="511" w:hanging="852"/>
        <w:jc w:val="both"/>
        <w:rPr>
          <w:sz w:val="24"/>
        </w:rPr>
      </w:pPr>
      <w:r>
        <w:rPr>
          <w:sz w:val="24"/>
        </w:rPr>
        <w:t>The Commission has analysed the submissions made by TANGEDCO with regard to the claim of fixed cost towards ETPS for FY 2017-18 and FY 2018-19. The Tariff Regulations do not allow inclusion of such costs. TANGEDCO also books other cost elements in accordan</w:t>
      </w:r>
      <w:r>
        <w:rPr>
          <w:sz w:val="24"/>
        </w:rPr>
        <w:t>ce with accounting principles while preparing the annual accounts, however, such costs are not allowed to be recovered in tariff, if the Tariff Regulations do not permit such</w:t>
      </w:r>
      <w:r>
        <w:rPr>
          <w:spacing w:val="-1"/>
          <w:sz w:val="24"/>
        </w:rPr>
        <w:t xml:space="preserve"> </w:t>
      </w:r>
      <w:r>
        <w:rPr>
          <w:sz w:val="24"/>
        </w:rPr>
        <w:t>recovery.</w:t>
      </w:r>
    </w:p>
    <w:p w:rsidR="007C5447" w:rsidRDefault="007C5447">
      <w:pPr>
        <w:pStyle w:val="BodyText"/>
        <w:spacing w:before="10"/>
        <w:rPr>
          <w:sz w:val="20"/>
        </w:rPr>
      </w:pPr>
    </w:p>
    <w:p w:rsidR="007C5447" w:rsidRDefault="00F6308C">
      <w:pPr>
        <w:pStyle w:val="ListParagraph"/>
        <w:numPr>
          <w:ilvl w:val="2"/>
          <w:numId w:val="114"/>
        </w:numPr>
        <w:tabs>
          <w:tab w:val="left" w:pos="1393"/>
        </w:tabs>
        <w:spacing w:line="312" w:lineRule="auto"/>
        <w:ind w:left="1392" w:right="509" w:hanging="852"/>
        <w:jc w:val="both"/>
        <w:rPr>
          <w:sz w:val="24"/>
        </w:rPr>
      </w:pPr>
      <w:r>
        <w:rPr>
          <w:sz w:val="24"/>
        </w:rPr>
        <w:t>The Tariff Regulations link recovery of fixed charges to the availabil</w:t>
      </w:r>
      <w:r>
        <w:rPr>
          <w:sz w:val="24"/>
        </w:rPr>
        <w:t xml:space="preserve">ity of the plant. </w:t>
      </w:r>
      <w:r>
        <w:rPr>
          <w:spacing w:val="-3"/>
          <w:sz w:val="24"/>
        </w:rPr>
        <w:t xml:space="preserve">In </w:t>
      </w:r>
      <w:r>
        <w:rPr>
          <w:sz w:val="24"/>
        </w:rPr>
        <w:t>case of ETPS, the plant has been decommissioned on March 31, 2017. As ETPS will not be available for generation in FY 2017-18 and FY 2018-19, the Commission is disallowing recovery of O&amp;M expenses and IoWC from</w:t>
      </w:r>
      <w:r>
        <w:rPr>
          <w:spacing w:val="-4"/>
          <w:sz w:val="24"/>
        </w:rPr>
        <w:t xml:space="preserve"> </w:t>
      </w:r>
      <w:r>
        <w:rPr>
          <w:sz w:val="24"/>
        </w:rPr>
        <w:t>tariff.</w:t>
      </w:r>
    </w:p>
    <w:p w:rsidR="007C5447" w:rsidRDefault="007C5447">
      <w:pPr>
        <w:pStyle w:val="BodyText"/>
        <w:spacing w:before="10"/>
        <w:rPr>
          <w:sz w:val="20"/>
        </w:rPr>
      </w:pPr>
    </w:p>
    <w:p w:rsidR="007C5447" w:rsidRDefault="00F6308C">
      <w:pPr>
        <w:pStyle w:val="ListParagraph"/>
        <w:numPr>
          <w:ilvl w:val="2"/>
          <w:numId w:val="114"/>
        </w:numPr>
        <w:tabs>
          <w:tab w:val="left" w:pos="1393"/>
        </w:tabs>
        <w:spacing w:line="312" w:lineRule="auto"/>
        <w:ind w:left="1392" w:right="511" w:hanging="852"/>
        <w:jc w:val="both"/>
        <w:rPr>
          <w:sz w:val="24"/>
        </w:rPr>
      </w:pPr>
      <w:r>
        <w:rPr>
          <w:sz w:val="24"/>
        </w:rPr>
        <w:t>TANGEDCO submit</w:t>
      </w:r>
      <w:r>
        <w:rPr>
          <w:sz w:val="24"/>
        </w:rPr>
        <w:t>ted that it has claimed Fixed Cost for FY 2016-17 to FY 2018-19 under the following</w:t>
      </w:r>
      <w:r>
        <w:rPr>
          <w:spacing w:val="-5"/>
          <w:sz w:val="24"/>
        </w:rPr>
        <w:t xml:space="preserve"> </w:t>
      </w:r>
      <w:r>
        <w:rPr>
          <w:sz w:val="24"/>
        </w:rPr>
        <w:t>heads:</w:t>
      </w:r>
    </w:p>
    <w:p w:rsidR="007C5447" w:rsidRDefault="007C5447">
      <w:pPr>
        <w:pStyle w:val="BodyText"/>
        <w:spacing w:before="10"/>
        <w:rPr>
          <w:sz w:val="20"/>
        </w:rPr>
      </w:pPr>
    </w:p>
    <w:p w:rsidR="007C5447" w:rsidRDefault="00F6308C">
      <w:pPr>
        <w:pStyle w:val="ListParagraph"/>
        <w:numPr>
          <w:ilvl w:val="0"/>
          <w:numId w:val="65"/>
        </w:numPr>
        <w:tabs>
          <w:tab w:val="left" w:pos="1958"/>
          <w:tab w:val="left" w:pos="1959"/>
        </w:tabs>
        <w:jc w:val="left"/>
        <w:rPr>
          <w:sz w:val="24"/>
        </w:rPr>
      </w:pPr>
      <w:r>
        <w:rPr>
          <w:sz w:val="24"/>
        </w:rPr>
        <w:t>Operation and Maintenance</w:t>
      </w:r>
      <w:r>
        <w:rPr>
          <w:spacing w:val="-2"/>
          <w:sz w:val="24"/>
        </w:rPr>
        <w:t xml:space="preserve"> </w:t>
      </w:r>
      <w:r>
        <w:rPr>
          <w:sz w:val="24"/>
        </w:rPr>
        <w:t>Expenses</w:t>
      </w:r>
    </w:p>
    <w:p w:rsidR="007C5447" w:rsidRDefault="00F6308C">
      <w:pPr>
        <w:pStyle w:val="ListParagraph"/>
        <w:numPr>
          <w:ilvl w:val="0"/>
          <w:numId w:val="65"/>
        </w:numPr>
        <w:tabs>
          <w:tab w:val="left" w:pos="1958"/>
          <w:tab w:val="left" w:pos="1959"/>
        </w:tabs>
        <w:spacing w:before="84"/>
        <w:ind w:hanging="555"/>
        <w:jc w:val="left"/>
        <w:rPr>
          <w:sz w:val="24"/>
        </w:rPr>
      </w:pPr>
      <w:r>
        <w:rPr>
          <w:sz w:val="24"/>
        </w:rPr>
        <w:t>Depreciation</w:t>
      </w:r>
    </w:p>
    <w:p w:rsidR="007C5447" w:rsidRDefault="00F6308C">
      <w:pPr>
        <w:pStyle w:val="ListParagraph"/>
        <w:numPr>
          <w:ilvl w:val="0"/>
          <w:numId w:val="65"/>
        </w:numPr>
        <w:tabs>
          <w:tab w:val="left" w:pos="1958"/>
          <w:tab w:val="left" w:pos="1959"/>
        </w:tabs>
        <w:spacing w:before="82"/>
        <w:ind w:hanging="622"/>
        <w:jc w:val="left"/>
        <w:rPr>
          <w:sz w:val="24"/>
        </w:rPr>
      </w:pPr>
      <w:r>
        <w:rPr>
          <w:sz w:val="24"/>
        </w:rPr>
        <w:t>Interest and Finance</w:t>
      </w:r>
      <w:r>
        <w:rPr>
          <w:spacing w:val="-1"/>
          <w:sz w:val="24"/>
        </w:rPr>
        <w:t xml:space="preserve"> </w:t>
      </w:r>
      <w:r>
        <w:rPr>
          <w:sz w:val="24"/>
        </w:rPr>
        <w:t>Charges</w:t>
      </w:r>
    </w:p>
    <w:p w:rsidR="007C5447" w:rsidRDefault="00F6308C">
      <w:pPr>
        <w:pStyle w:val="ListParagraph"/>
        <w:numPr>
          <w:ilvl w:val="0"/>
          <w:numId w:val="65"/>
        </w:numPr>
        <w:tabs>
          <w:tab w:val="left" w:pos="1958"/>
          <w:tab w:val="left" w:pos="1959"/>
        </w:tabs>
        <w:spacing w:before="85"/>
        <w:ind w:hanging="608"/>
        <w:jc w:val="left"/>
        <w:rPr>
          <w:sz w:val="24"/>
        </w:rPr>
      </w:pPr>
      <w:r>
        <w:rPr>
          <w:sz w:val="24"/>
        </w:rPr>
        <w:t>Return on Equity</w:t>
      </w:r>
    </w:p>
    <w:p w:rsidR="007C5447" w:rsidRDefault="00F6308C">
      <w:pPr>
        <w:pStyle w:val="ListParagraph"/>
        <w:numPr>
          <w:ilvl w:val="0"/>
          <w:numId w:val="65"/>
        </w:numPr>
        <w:tabs>
          <w:tab w:val="left" w:pos="1958"/>
          <w:tab w:val="left" w:pos="1959"/>
        </w:tabs>
        <w:spacing w:before="81"/>
        <w:ind w:hanging="541"/>
        <w:jc w:val="left"/>
        <w:rPr>
          <w:sz w:val="24"/>
        </w:rPr>
      </w:pPr>
      <w:r>
        <w:rPr>
          <w:sz w:val="24"/>
        </w:rPr>
        <w:t>Interest on Working</w:t>
      </w:r>
      <w:r>
        <w:rPr>
          <w:spacing w:val="-3"/>
          <w:sz w:val="24"/>
        </w:rPr>
        <w:t xml:space="preserve"> </w:t>
      </w:r>
      <w:r>
        <w:rPr>
          <w:sz w:val="24"/>
        </w:rPr>
        <w:t>Capital</w:t>
      </w:r>
    </w:p>
    <w:p w:rsidR="007C5447" w:rsidRDefault="00F6308C">
      <w:pPr>
        <w:pStyle w:val="ListParagraph"/>
        <w:numPr>
          <w:ilvl w:val="0"/>
          <w:numId w:val="65"/>
        </w:numPr>
        <w:tabs>
          <w:tab w:val="left" w:pos="1958"/>
          <w:tab w:val="left" w:pos="1959"/>
        </w:tabs>
        <w:spacing w:before="84"/>
        <w:ind w:hanging="608"/>
        <w:jc w:val="left"/>
        <w:rPr>
          <w:sz w:val="24"/>
        </w:rPr>
      </w:pPr>
      <w:r>
        <w:rPr>
          <w:sz w:val="24"/>
        </w:rPr>
        <w:t>Other</w:t>
      </w:r>
      <w:r>
        <w:rPr>
          <w:spacing w:val="-1"/>
          <w:sz w:val="24"/>
        </w:rPr>
        <w:t xml:space="preserve"> </w:t>
      </w:r>
      <w:r>
        <w:rPr>
          <w:sz w:val="24"/>
        </w:rPr>
        <w:t>Debits</w:t>
      </w:r>
    </w:p>
    <w:p w:rsidR="007C5447" w:rsidRDefault="007C5447">
      <w:pPr>
        <w:rPr>
          <w:sz w:val="24"/>
        </w:rPr>
        <w:sectPr w:rsidR="007C5447">
          <w:pgSz w:w="11910" w:h="16840"/>
          <w:pgMar w:top="1360" w:right="620" w:bottom="1240" w:left="900" w:header="0" w:footer="777" w:gutter="0"/>
          <w:cols w:space="720"/>
        </w:sectPr>
      </w:pPr>
    </w:p>
    <w:p w:rsidR="007C5447" w:rsidRDefault="00F6308C">
      <w:pPr>
        <w:pStyle w:val="Heading2"/>
        <w:numPr>
          <w:ilvl w:val="1"/>
          <w:numId w:val="114"/>
        </w:numPr>
        <w:tabs>
          <w:tab w:val="left" w:pos="1106"/>
          <w:tab w:val="left" w:pos="1107"/>
        </w:tabs>
        <w:spacing w:before="60"/>
        <w:ind w:left="1106"/>
      </w:pPr>
      <w:bookmarkStart w:id="61" w:name="_bookmark61"/>
      <w:bookmarkEnd w:id="61"/>
      <w:r>
        <w:lastRenderedPageBreak/>
        <w:t>O</w:t>
      </w:r>
      <w:r>
        <w:t>peration and Maintenance (O&amp;M)</w:t>
      </w:r>
      <w:r>
        <w:rPr>
          <w:spacing w:val="-2"/>
        </w:rPr>
        <w:t xml:space="preserve"> </w:t>
      </w:r>
      <w:r>
        <w:t>expenses</w:t>
      </w:r>
    </w:p>
    <w:p w:rsidR="007C5447" w:rsidRDefault="007C5447">
      <w:pPr>
        <w:pStyle w:val="BodyText"/>
        <w:rPr>
          <w:b/>
          <w:sz w:val="28"/>
        </w:rPr>
      </w:pPr>
    </w:p>
    <w:p w:rsidR="007C5447" w:rsidRDefault="00F6308C">
      <w:pPr>
        <w:pStyle w:val="ListParagraph"/>
        <w:numPr>
          <w:ilvl w:val="2"/>
          <w:numId w:val="114"/>
        </w:numPr>
        <w:tabs>
          <w:tab w:val="left" w:pos="1393"/>
        </w:tabs>
        <w:spacing w:line="312" w:lineRule="auto"/>
        <w:ind w:left="1392" w:right="509" w:hanging="852"/>
        <w:jc w:val="both"/>
        <w:rPr>
          <w:sz w:val="24"/>
        </w:rPr>
      </w:pPr>
      <w:r>
        <w:rPr>
          <w:sz w:val="24"/>
        </w:rPr>
        <w:t>TANGEDCO submitted that it has projected the O&amp;M Expenses for FY 2016-17 to FY 2018-19 by escalating the O&amp;M expense of previous years by 5.72%, with some exceptions as detailed below. O&amp;M expenses comprise employee</w:t>
      </w:r>
      <w:r>
        <w:rPr>
          <w:sz w:val="24"/>
        </w:rPr>
        <w:t xml:space="preserve"> expenses, A&amp;G expenses and R&amp;M expenses. As per the Tariff Regulations 2005, O&amp;M expenses are to be derived on the basis of actual O&amp;M expenses for the last 5 years based on the audited accounts. However, since TANGEDCO was unbundled from the erstwhile TN</w:t>
      </w:r>
      <w:r>
        <w:rPr>
          <w:sz w:val="24"/>
        </w:rPr>
        <w:t>EB only on October 30, 2010, it is difficult to derive the O&amp;M expenses pertaining to Generation and Distribution activities for the last 5</w:t>
      </w:r>
      <w:r>
        <w:rPr>
          <w:spacing w:val="-1"/>
          <w:sz w:val="24"/>
        </w:rPr>
        <w:t xml:space="preserve"> </w:t>
      </w:r>
      <w:r>
        <w:rPr>
          <w:sz w:val="24"/>
        </w:rPr>
        <w:t>years.</w:t>
      </w:r>
    </w:p>
    <w:p w:rsidR="007C5447" w:rsidRDefault="007C5447">
      <w:pPr>
        <w:pStyle w:val="BodyText"/>
        <w:rPr>
          <w:sz w:val="21"/>
        </w:rPr>
      </w:pPr>
    </w:p>
    <w:p w:rsidR="007C5447" w:rsidRDefault="00F6308C">
      <w:pPr>
        <w:pStyle w:val="ListParagraph"/>
        <w:numPr>
          <w:ilvl w:val="2"/>
          <w:numId w:val="114"/>
        </w:numPr>
        <w:tabs>
          <w:tab w:val="left" w:pos="1393"/>
        </w:tabs>
        <w:spacing w:line="312" w:lineRule="auto"/>
        <w:ind w:left="1392" w:right="505" w:hanging="852"/>
        <w:jc w:val="both"/>
        <w:rPr>
          <w:sz w:val="24"/>
        </w:rPr>
      </w:pPr>
      <w:r>
        <w:rPr>
          <w:sz w:val="24"/>
        </w:rPr>
        <w:t xml:space="preserve">The rationale for considering the escalation rates for certain particulars </w:t>
      </w:r>
      <w:r>
        <w:rPr>
          <w:spacing w:val="2"/>
          <w:sz w:val="24"/>
        </w:rPr>
        <w:t xml:space="preserve">as </w:t>
      </w:r>
      <w:r>
        <w:rPr>
          <w:sz w:val="24"/>
        </w:rPr>
        <w:t>submitted by TANGEDCO is as</w:t>
      </w:r>
      <w:r>
        <w:rPr>
          <w:spacing w:val="-1"/>
          <w:sz w:val="24"/>
        </w:rPr>
        <w:t xml:space="preserve"> </w:t>
      </w:r>
      <w:r>
        <w:rPr>
          <w:sz w:val="24"/>
        </w:rPr>
        <w:t>fo</w:t>
      </w:r>
      <w:r>
        <w:rPr>
          <w:sz w:val="24"/>
        </w:rPr>
        <w:t>llows:</w:t>
      </w:r>
    </w:p>
    <w:p w:rsidR="007C5447" w:rsidRDefault="007C5447">
      <w:pPr>
        <w:pStyle w:val="BodyText"/>
        <w:spacing w:before="10"/>
        <w:rPr>
          <w:sz w:val="20"/>
        </w:rPr>
      </w:pPr>
    </w:p>
    <w:p w:rsidR="007C5447" w:rsidRDefault="00F6308C">
      <w:pPr>
        <w:pStyle w:val="Heading2"/>
        <w:numPr>
          <w:ilvl w:val="0"/>
          <w:numId w:val="64"/>
        </w:numPr>
        <w:tabs>
          <w:tab w:val="left" w:pos="1633"/>
        </w:tabs>
        <w:ind w:hanging="241"/>
      </w:pPr>
      <w:r>
        <w:t>Employee</w:t>
      </w:r>
      <w:r>
        <w:rPr>
          <w:spacing w:val="-3"/>
        </w:rPr>
        <w:t xml:space="preserve"> </w:t>
      </w:r>
      <w:r>
        <w:t>Cost</w:t>
      </w:r>
    </w:p>
    <w:p w:rsidR="007C5447" w:rsidRDefault="007C5447">
      <w:pPr>
        <w:pStyle w:val="BodyText"/>
        <w:spacing w:before="2"/>
        <w:rPr>
          <w:b/>
          <w:sz w:val="28"/>
        </w:rPr>
      </w:pPr>
    </w:p>
    <w:p w:rsidR="007C5447" w:rsidRDefault="00F6308C">
      <w:pPr>
        <w:pStyle w:val="ListParagraph"/>
        <w:numPr>
          <w:ilvl w:val="0"/>
          <w:numId w:val="63"/>
        </w:numPr>
        <w:tabs>
          <w:tab w:val="left" w:pos="1580"/>
        </w:tabs>
        <w:ind w:hanging="188"/>
        <w:rPr>
          <w:b/>
          <w:sz w:val="24"/>
        </w:rPr>
      </w:pPr>
      <w:r>
        <w:rPr>
          <w:b/>
          <w:sz w:val="24"/>
        </w:rPr>
        <w:t>Salaries</w:t>
      </w:r>
    </w:p>
    <w:p w:rsidR="007C5447" w:rsidRDefault="00F6308C">
      <w:pPr>
        <w:pStyle w:val="ListParagraph"/>
        <w:numPr>
          <w:ilvl w:val="2"/>
          <w:numId w:val="114"/>
        </w:numPr>
        <w:tabs>
          <w:tab w:val="left" w:pos="1393"/>
        </w:tabs>
        <w:spacing w:before="202" w:line="304" w:lineRule="auto"/>
        <w:ind w:left="1392" w:right="517" w:hanging="852"/>
        <w:jc w:val="both"/>
        <w:rPr>
          <w:sz w:val="24"/>
        </w:rPr>
      </w:pPr>
      <w:r>
        <w:rPr>
          <w:sz w:val="24"/>
        </w:rPr>
        <w:t>TANGEDCO submitted that it has considered normal escalation of 5.72% on Basic Salary for the entire Control Period. However, it has considered an escalation of 15% for FY 2015-16 considering the impact of 7</w:t>
      </w:r>
      <w:r>
        <w:rPr>
          <w:position w:val="9"/>
          <w:sz w:val="16"/>
        </w:rPr>
        <w:t xml:space="preserve">th </w:t>
      </w:r>
      <w:r>
        <w:rPr>
          <w:sz w:val="24"/>
        </w:rPr>
        <w:t>Pay</w:t>
      </w:r>
      <w:r>
        <w:rPr>
          <w:spacing w:val="-28"/>
          <w:sz w:val="24"/>
        </w:rPr>
        <w:t xml:space="preserve"> </w:t>
      </w:r>
      <w:r>
        <w:rPr>
          <w:sz w:val="24"/>
        </w:rPr>
        <w:t>Commission.</w:t>
      </w:r>
    </w:p>
    <w:p w:rsidR="007C5447" w:rsidRDefault="00F6308C">
      <w:pPr>
        <w:pStyle w:val="Heading2"/>
        <w:numPr>
          <w:ilvl w:val="0"/>
          <w:numId w:val="63"/>
        </w:numPr>
        <w:tabs>
          <w:tab w:val="left" w:pos="1647"/>
        </w:tabs>
        <w:spacing w:before="250"/>
        <w:ind w:left="1646" w:hanging="255"/>
      </w:pPr>
      <w:r>
        <w:t>Dearness</w:t>
      </w:r>
      <w:r>
        <w:rPr>
          <w:spacing w:val="-1"/>
        </w:rPr>
        <w:t xml:space="preserve"> </w:t>
      </w:r>
      <w:r>
        <w:t>Allowance</w:t>
      </w:r>
    </w:p>
    <w:p w:rsidR="007C5447" w:rsidRDefault="00F6308C">
      <w:pPr>
        <w:pStyle w:val="ListParagraph"/>
        <w:numPr>
          <w:ilvl w:val="2"/>
          <w:numId w:val="114"/>
        </w:numPr>
        <w:tabs>
          <w:tab w:val="left" w:pos="1393"/>
        </w:tabs>
        <w:spacing w:before="202" w:line="312" w:lineRule="auto"/>
        <w:ind w:left="1392" w:right="510" w:hanging="852"/>
        <w:jc w:val="both"/>
        <w:rPr>
          <w:sz w:val="24"/>
        </w:rPr>
      </w:pPr>
      <w:r>
        <w:rPr>
          <w:sz w:val="24"/>
        </w:rPr>
        <w:t>TANGEDCO sub</w:t>
      </w:r>
      <w:r>
        <w:rPr>
          <w:sz w:val="24"/>
        </w:rPr>
        <w:t xml:space="preserve">mitted that during FY 2013-14, DA was estimated at 90% of the Basic Salary during that year. From FY 2016-17 to FY 2018-19, it has considered growth rates of 5.72% on the amount estimated for FY 2013-14. For the ensuing years, additional escalation of 15% </w:t>
      </w:r>
      <w:r>
        <w:rPr>
          <w:sz w:val="24"/>
        </w:rPr>
        <w:t>had been considered on that of the previous year.</w:t>
      </w:r>
    </w:p>
    <w:p w:rsidR="007C5447" w:rsidRDefault="007C5447">
      <w:pPr>
        <w:pStyle w:val="BodyText"/>
        <w:spacing w:before="10"/>
        <w:rPr>
          <w:sz w:val="20"/>
        </w:rPr>
      </w:pPr>
    </w:p>
    <w:p w:rsidR="007C5447" w:rsidRDefault="00F6308C">
      <w:pPr>
        <w:pStyle w:val="Heading2"/>
        <w:numPr>
          <w:ilvl w:val="0"/>
          <w:numId w:val="63"/>
        </w:numPr>
        <w:tabs>
          <w:tab w:val="left" w:pos="1714"/>
        </w:tabs>
        <w:spacing w:before="1"/>
        <w:ind w:left="1713" w:hanging="322"/>
      </w:pPr>
      <w:r>
        <w:t>Bonus and</w:t>
      </w:r>
      <w:r>
        <w:rPr>
          <w:spacing w:val="-1"/>
        </w:rPr>
        <w:t xml:space="preserve"> </w:t>
      </w:r>
      <w:r>
        <w:t>Ex-gratia</w:t>
      </w:r>
    </w:p>
    <w:p w:rsidR="007C5447" w:rsidRDefault="00F6308C">
      <w:pPr>
        <w:pStyle w:val="ListParagraph"/>
        <w:numPr>
          <w:ilvl w:val="2"/>
          <w:numId w:val="114"/>
        </w:numPr>
        <w:tabs>
          <w:tab w:val="left" w:pos="1393"/>
        </w:tabs>
        <w:spacing w:before="204" w:line="312" w:lineRule="auto"/>
        <w:ind w:left="1392" w:right="516" w:hanging="852"/>
        <w:jc w:val="both"/>
        <w:rPr>
          <w:sz w:val="24"/>
        </w:rPr>
      </w:pPr>
      <w:r>
        <w:rPr>
          <w:sz w:val="24"/>
        </w:rPr>
        <w:t>TANGEDCO submitted that it has considered an escalation of 5.72% for the entire Control Period.</w:t>
      </w:r>
    </w:p>
    <w:p w:rsidR="007C5447" w:rsidRDefault="007C5447">
      <w:pPr>
        <w:pStyle w:val="BodyText"/>
        <w:spacing w:before="10"/>
        <w:rPr>
          <w:sz w:val="20"/>
        </w:rPr>
      </w:pPr>
    </w:p>
    <w:p w:rsidR="007C5447" w:rsidRDefault="00F6308C">
      <w:pPr>
        <w:pStyle w:val="Heading2"/>
        <w:numPr>
          <w:ilvl w:val="0"/>
          <w:numId w:val="63"/>
        </w:numPr>
        <w:tabs>
          <w:tab w:val="left" w:pos="1700"/>
        </w:tabs>
        <w:ind w:left="1699" w:hanging="308"/>
      </w:pPr>
      <w:r>
        <w:t>Other components of Employee</w:t>
      </w:r>
      <w:r>
        <w:rPr>
          <w:spacing w:val="-4"/>
        </w:rPr>
        <w:t xml:space="preserve"> </w:t>
      </w:r>
      <w:r>
        <w:t>cost</w:t>
      </w:r>
    </w:p>
    <w:p w:rsidR="007C5447" w:rsidRDefault="00F6308C">
      <w:pPr>
        <w:pStyle w:val="ListParagraph"/>
        <w:numPr>
          <w:ilvl w:val="2"/>
          <w:numId w:val="114"/>
        </w:numPr>
        <w:tabs>
          <w:tab w:val="left" w:pos="1393"/>
        </w:tabs>
        <w:spacing w:before="202" w:line="312" w:lineRule="auto"/>
        <w:ind w:left="1392" w:right="518" w:hanging="852"/>
        <w:jc w:val="both"/>
        <w:rPr>
          <w:sz w:val="24"/>
        </w:rPr>
      </w:pPr>
      <w:r>
        <w:rPr>
          <w:sz w:val="24"/>
        </w:rPr>
        <w:t>TANGEDCO submitted that all other components of Employ</w:t>
      </w:r>
      <w:r>
        <w:rPr>
          <w:sz w:val="24"/>
        </w:rPr>
        <w:t>ee cost have been escalated at 5.72% in line with the Tariff Regulations.</w:t>
      </w:r>
    </w:p>
    <w:p w:rsidR="007C5447" w:rsidRDefault="007C5447">
      <w:pPr>
        <w:pStyle w:val="BodyText"/>
        <w:spacing w:before="10"/>
        <w:rPr>
          <w:sz w:val="20"/>
        </w:rPr>
      </w:pPr>
    </w:p>
    <w:p w:rsidR="007C5447" w:rsidRDefault="00F6308C">
      <w:pPr>
        <w:pStyle w:val="Heading2"/>
        <w:numPr>
          <w:ilvl w:val="0"/>
          <w:numId w:val="64"/>
        </w:numPr>
        <w:tabs>
          <w:tab w:val="left" w:pos="1647"/>
        </w:tabs>
        <w:ind w:left="1646" w:hanging="255"/>
      </w:pPr>
      <w:r>
        <w:t>Administration &amp; General</w:t>
      </w:r>
      <w:r>
        <w:rPr>
          <w:spacing w:val="-2"/>
        </w:rPr>
        <w:t xml:space="preserve"> </w:t>
      </w:r>
      <w:r>
        <w:t>Expenses</w:t>
      </w:r>
    </w:p>
    <w:p w:rsidR="007C5447" w:rsidRDefault="00F6308C">
      <w:pPr>
        <w:pStyle w:val="ListParagraph"/>
        <w:numPr>
          <w:ilvl w:val="2"/>
          <w:numId w:val="114"/>
        </w:numPr>
        <w:tabs>
          <w:tab w:val="left" w:pos="1393"/>
        </w:tabs>
        <w:spacing w:before="204" w:line="312" w:lineRule="auto"/>
        <w:ind w:left="1392" w:right="513" w:hanging="852"/>
        <w:jc w:val="both"/>
        <w:rPr>
          <w:sz w:val="24"/>
        </w:rPr>
      </w:pPr>
      <w:r>
        <w:rPr>
          <w:sz w:val="24"/>
        </w:rPr>
        <w:t>TANGEDCO submitted that all the components of A&amp;G expenses have been escalated at 5.72% for the Control</w:t>
      </w:r>
      <w:r>
        <w:rPr>
          <w:spacing w:val="-1"/>
          <w:sz w:val="24"/>
        </w:rPr>
        <w:t xml:space="preserve"> </w:t>
      </w:r>
      <w:r>
        <w:rPr>
          <w:sz w:val="24"/>
        </w:rPr>
        <w:t>Period.</w:t>
      </w:r>
    </w:p>
    <w:p w:rsidR="007C5447" w:rsidRDefault="007C5447">
      <w:pPr>
        <w:spacing w:line="312" w:lineRule="auto"/>
        <w:jc w:val="both"/>
        <w:rPr>
          <w:sz w:val="24"/>
        </w:rPr>
        <w:sectPr w:rsidR="007C5447">
          <w:pgSz w:w="11910" w:h="16840"/>
          <w:pgMar w:top="1360" w:right="620" w:bottom="1240" w:left="900" w:header="0" w:footer="777" w:gutter="0"/>
          <w:cols w:space="720"/>
        </w:sectPr>
      </w:pPr>
    </w:p>
    <w:p w:rsidR="007C5447" w:rsidRDefault="00F6308C">
      <w:pPr>
        <w:pStyle w:val="Heading2"/>
        <w:numPr>
          <w:ilvl w:val="0"/>
          <w:numId w:val="64"/>
        </w:numPr>
        <w:tabs>
          <w:tab w:val="left" w:pos="1618"/>
        </w:tabs>
        <w:spacing w:before="60"/>
        <w:ind w:left="1617" w:hanging="226"/>
      </w:pPr>
      <w:r>
        <w:lastRenderedPageBreak/>
        <w:t>Repair &amp; Maintenance</w:t>
      </w:r>
      <w:r>
        <w:rPr>
          <w:spacing w:val="-2"/>
        </w:rPr>
        <w:t xml:space="preserve"> </w:t>
      </w:r>
      <w:r>
        <w:t>Expenses</w:t>
      </w:r>
    </w:p>
    <w:p w:rsidR="007C5447" w:rsidRDefault="00F6308C">
      <w:pPr>
        <w:pStyle w:val="ListParagraph"/>
        <w:numPr>
          <w:ilvl w:val="2"/>
          <w:numId w:val="114"/>
        </w:numPr>
        <w:tabs>
          <w:tab w:val="left" w:pos="1393"/>
        </w:tabs>
        <w:spacing w:before="202" w:line="312" w:lineRule="auto"/>
        <w:ind w:left="1392" w:right="518" w:hanging="852"/>
        <w:jc w:val="both"/>
        <w:rPr>
          <w:sz w:val="24"/>
        </w:rPr>
      </w:pPr>
      <w:r>
        <w:rPr>
          <w:sz w:val="24"/>
        </w:rPr>
        <w:t xml:space="preserve">TANGEDCO submitted that all the components of R&amp;M expenses have been escalated at 5.72% for the </w:t>
      </w:r>
      <w:r>
        <w:rPr>
          <w:sz w:val="24"/>
        </w:rPr>
        <w:t>Control</w:t>
      </w:r>
      <w:r>
        <w:rPr>
          <w:spacing w:val="-1"/>
          <w:sz w:val="24"/>
        </w:rPr>
        <w:t xml:space="preserve"> </w:t>
      </w:r>
      <w:r>
        <w:rPr>
          <w:sz w:val="24"/>
        </w:rPr>
        <w:t>Period.</w:t>
      </w:r>
    </w:p>
    <w:p w:rsidR="007C5447" w:rsidRDefault="007C5447">
      <w:pPr>
        <w:pStyle w:val="BodyText"/>
        <w:spacing w:before="10"/>
        <w:rPr>
          <w:sz w:val="20"/>
        </w:rPr>
      </w:pPr>
    </w:p>
    <w:p w:rsidR="007C5447" w:rsidRDefault="00F6308C">
      <w:pPr>
        <w:pStyle w:val="Heading2"/>
        <w:spacing w:before="1"/>
        <w:ind w:left="1392"/>
      </w:pPr>
      <w:r>
        <w:t>Commission’s Views</w:t>
      </w:r>
    </w:p>
    <w:p w:rsidR="007C5447" w:rsidRDefault="00F6308C">
      <w:pPr>
        <w:pStyle w:val="ListParagraph"/>
        <w:numPr>
          <w:ilvl w:val="2"/>
          <w:numId w:val="114"/>
        </w:numPr>
        <w:tabs>
          <w:tab w:val="left" w:pos="1393"/>
        </w:tabs>
        <w:spacing w:before="204" w:line="312" w:lineRule="auto"/>
        <w:ind w:left="1392" w:right="508" w:hanging="852"/>
        <w:jc w:val="both"/>
        <w:rPr>
          <w:sz w:val="24"/>
        </w:rPr>
      </w:pPr>
      <w:r>
        <w:rPr>
          <w:sz w:val="24"/>
        </w:rPr>
        <w:t>The Commission has approved O&amp;M expenses for the Control Period from FY 2016-17 to FY 2018-19 in accordance with Regulation 25 of TNERC Tariff Regulations, 2005, reproduced</w:t>
      </w:r>
      <w:r>
        <w:rPr>
          <w:spacing w:val="-1"/>
          <w:sz w:val="24"/>
        </w:rPr>
        <w:t xml:space="preserve"> </w:t>
      </w:r>
      <w:r>
        <w:rPr>
          <w:sz w:val="24"/>
        </w:rPr>
        <w:t>below:</w:t>
      </w:r>
    </w:p>
    <w:p w:rsidR="007C5447" w:rsidRDefault="007C5447">
      <w:pPr>
        <w:pStyle w:val="BodyText"/>
        <w:spacing w:before="8"/>
        <w:rPr>
          <w:sz w:val="20"/>
        </w:rPr>
      </w:pPr>
    </w:p>
    <w:p w:rsidR="007C5447" w:rsidRDefault="00F6308C">
      <w:pPr>
        <w:pStyle w:val="Heading3"/>
        <w:ind w:left="1980"/>
      </w:pPr>
      <w:r>
        <w:t>“25. Operation and Maintenance Expenses</w:t>
      </w:r>
    </w:p>
    <w:p w:rsidR="007C5447" w:rsidRDefault="007C5447">
      <w:pPr>
        <w:pStyle w:val="BodyText"/>
        <w:spacing w:before="11"/>
        <w:rPr>
          <w:b/>
          <w:i/>
          <w:sz w:val="20"/>
        </w:rPr>
      </w:pPr>
    </w:p>
    <w:p w:rsidR="007C5447" w:rsidRDefault="00F6308C">
      <w:pPr>
        <w:pStyle w:val="ListParagraph"/>
        <w:numPr>
          <w:ilvl w:val="0"/>
          <w:numId w:val="62"/>
        </w:numPr>
        <w:tabs>
          <w:tab w:val="left" w:pos="2341"/>
        </w:tabs>
        <w:ind w:right="1227"/>
        <w:jc w:val="both"/>
        <w:rPr>
          <w:i/>
          <w:sz w:val="24"/>
        </w:rPr>
      </w:pPr>
      <w:r>
        <w:rPr>
          <w:i/>
          <w:sz w:val="24"/>
        </w:rPr>
        <w:t xml:space="preserve">The operation and maintenance expenses shall be derived on the basis </w:t>
      </w:r>
      <w:r>
        <w:rPr>
          <w:i/>
          <w:sz w:val="24"/>
        </w:rPr>
        <w:t>of actual operation and maintenance expenses for the past five years previous to current year based on the audited Annual Accounts excluding abnormal operation and maintenance expenses, if any, after prudence check by the Commission. The Commission may, if</w:t>
      </w:r>
      <w:r>
        <w:rPr>
          <w:i/>
          <w:sz w:val="24"/>
        </w:rPr>
        <w:t xml:space="preserve"> considered necessary engage Consultant / Auditors in the process of prudence check for</w:t>
      </w:r>
      <w:r>
        <w:rPr>
          <w:i/>
          <w:spacing w:val="-3"/>
          <w:sz w:val="24"/>
        </w:rPr>
        <w:t xml:space="preserve"> </w:t>
      </w:r>
      <w:r>
        <w:rPr>
          <w:i/>
          <w:sz w:val="24"/>
        </w:rPr>
        <w:t>correctness.</w:t>
      </w:r>
    </w:p>
    <w:p w:rsidR="007C5447" w:rsidRDefault="007C5447">
      <w:pPr>
        <w:pStyle w:val="BodyText"/>
        <w:spacing w:before="10"/>
        <w:rPr>
          <w:i/>
          <w:sz w:val="20"/>
        </w:rPr>
      </w:pPr>
    </w:p>
    <w:p w:rsidR="007C5447" w:rsidRDefault="00F6308C">
      <w:pPr>
        <w:pStyle w:val="ListParagraph"/>
        <w:numPr>
          <w:ilvl w:val="0"/>
          <w:numId w:val="62"/>
        </w:numPr>
        <w:tabs>
          <w:tab w:val="left" w:pos="2341"/>
        </w:tabs>
        <w:ind w:right="1234"/>
        <w:jc w:val="both"/>
        <w:rPr>
          <w:i/>
          <w:sz w:val="24"/>
        </w:rPr>
      </w:pPr>
      <w:r>
        <w:rPr>
          <w:i/>
          <w:sz w:val="24"/>
        </w:rPr>
        <w:t>The average of such normative operation and maintenance expenses after prudence check shall be escalated at the rate of 5.72% per annum to arrive at opera</w:t>
      </w:r>
      <w:r>
        <w:rPr>
          <w:i/>
          <w:sz w:val="24"/>
        </w:rPr>
        <w:t>tion and maintenance expenses for current year i.e. base year and ensuing year.</w:t>
      </w:r>
    </w:p>
    <w:p w:rsidR="007C5447" w:rsidRDefault="007C5447">
      <w:pPr>
        <w:pStyle w:val="BodyText"/>
        <w:spacing w:before="11"/>
        <w:rPr>
          <w:i/>
          <w:sz w:val="20"/>
        </w:rPr>
      </w:pPr>
    </w:p>
    <w:p w:rsidR="007C5447" w:rsidRDefault="00F6308C">
      <w:pPr>
        <w:pStyle w:val="ListParagraph"/>
        <w:numPr>
          <w:ilvl w:val="0"/>
          <w:numId w:val="62"/>
        </w:numPr>
        <w:tabs>
          <w:tab w:val="left" w:pos="2341"/>
        </w:tabs>
        <w:ind w:right="1233"/>
        <w:jc w:val="both"/>
        <w:rPr>
          <w:i/>
          <w:sz w:val="24"/>
        </w:rPr>
      </w:pPr>
      <w:r>
        <w:rPr>
          <w:i/>
          <w:sz w:val="24"/>
        </w:rPr>
        <w:t>The base operation and maintenance expenses so determined shall be escalated further at the rate of 5.72% per annum to arrive at permissible operation and maintenance expenses</w:t>
      </w:r>
      <w:r>
        <w:rPr>
          <w:i/>
          <w:sz w:val="24"/>
        </w:rPr>
        <w:t xml:space="preserve"> for the relevant years of tariff</w:t>
      </w:r>
      <w:r>
        <w:rPr>
          <w:i/>
          <w:spacing w:val="-1"/>
          <w:sz w:val="24"/>
        </w:rPr>
        <w:t xml:space="preserve"> </w:t>
      </w:r>
      <w:r>
        <w:rPr>
          <w:i/>
          <w:sz w:val="24"/>
        </w:rPr>
        <w:t>period.</w:t>
      </w:r>
    </w:p>
    <w:p w:rsidR="007C5447" w:rsidRDefault="007C5447">
      <w:pPr>
        <w:pStyle w:val="BodyText"/>
        <w:rPr>
          <w:i/>
          <w:sz w:val="13"/>
        </w:rPr>
      </w:pPr>
    </w:p>
    <w:p w:rsidR="007C5447" w:rsidRDefault="00F6308C">
      <w:pPr>
        <w:spacing w:before="90"/>
        <w:ind w:left="1980"/>
        <w:rPr>
          <w:i/>
          <w:sz w:val="24"/>
        </w:rPr>
      </w:pPr>
      <w:r>
        <w:rPr>
          <w:i/>
          <w:sz w:val="24"/>
        </w:rPr>
        <w:t>…”</w:t>
      </w:r>
    </w:p>
    <w:p w:rsidR="007C5447" w:rsidRDefault="007C5447">
      <w:pPr>
        <w:pStyle w:val="BodyText"/>
        <w:spacing w:before="10"/>
        <w:rPr>
          <w:i/>
          <w:sz w:val="20"/>
        </w:rPr>
      </w:pPr>
    </w:p>
    <w:p w:rsidR="007C5447" w:rsidRDefault="00F6308C">
      <w:pPr>
        <w:pStyle w:val="Heading2"/>
        <w:ind w:left="1392"/>
      </w:pPr>
      <w:r>
        <w:t>Employee Expenses</w:t>
      </w:r>
    </w:p>
    <w:p w:rsidR="007C5447" w:rsidRDefault="00F6308C">
      <w:pPr>
        <w:pStyle w:val="ListParagraph"/>
        <w:numPr>
          <w:ilvl w:val="2"/>
          <w:numId w:val="114"/>
        </w:numPr>
        <w:tabs>
          <w:tab w:val="left" w:pos="1393"/>
        </w:tabs>
        <w:spacing w:before="204" w:line="312" w:lineRule="auto"/>
        <w:ind w:left="1392" w:right="509" w:hanging="852"/>
        <w:jc w:val="both"/>
        <w:rPr>
          <w:sz w:val="24"/>
        </w:rPr>
      </w:pPr>
      <w:r>
        <w:rPr>
          <w:sz w:val="24"/>
        </w:rPr>
        <w:t>The Commission has approved the Employee expenses for the Control Period from FY 2016-17 to FY 2018-19, based on the same approach adopted while truing-up for FY 2011-12 to FY 2015-16. The av</w:t>
      </w:r>
      <w:r>
        <w:rPr>
          <w:sz w:val="24"/>
        </w:rPr>
        <w:t xml:space="preserve">erage of actual employee expenses (without DA) for past five years, viz., FY 2011-12 to FY 2015-16, as shown in the audited accounts, has been escalated twice by 5.72%, as per Tariff Regulations, 2005, to arrive at the employee expenses for base year i.e. </w:t>
      </w:r>
      <w:r>
        <w:rPr>
          <w:sz w:val="24"/>
        </w:rPr>
        <w:t>FY 2015-16 Employee expenses arrived at for FY 2015-16, have been further escalated by 5.72% annually for approving Employee expenses for the Control Period from FY 2016-17 to FY</w:t>
      </w:r>
      <w:r>
        <w:rPr>
          <w:spacing w:val="-2"/>
          <w:sz w:val="24"/>
        </w:rPr>
        <w:t xml:space="preserve"> </w:t>
      </w:r>
      <w:r>
        <w:rPr>
          <w:sz w:val="24"/>
        </w:rPr>
        <w:t>2018-19.</w:t>
      </w:r>
    </w:p>
    <w:p w:rsidR="007C5447" w:rsidRDefault="007C5447">
      <w:pPr>
        <w:pStyle w:val="BodyText"/>
        <w:rPr>
          <w:sz w:val="21"/>
        </w:rPr>
      </w:pPr>
    </w:p>
    <w:p w:rsidR="007C5447" w:rsidRDefault="00F6308C">
      <w:pPr>
        <w:pStyle w:val="ListParagraph"/>
        <w:numPr>
          <w:ilvl w:val="2"/>
          <w:numId w:val="114"/>
        </w:numPr>
        <w:tabs>
          <w:tab w:val="left" w:pos="1393"/>
        </w:tabs>
        <w:spacing w:line="312" w:lineRule="auto"/>
        <w:ind w:left="1392" w:right="510" w:hanging="852"/>
        <w:jc w:val="both"/>
        <w:rPr>
          <w:sz w:val="24"/>
        </w:rPr>
      </w:pPr>
      <w:r>
        <w:rPr>
          <w:sz w:val="24"/>
        </w:rPr>
        <w:t>As per the Tariff Regulations, the increase in costs due to inflati</w:t>
      </w:r>
      <w:r>
        <w:rPr>
          <w:sz w:val="24"/>
        </w:rPr>
        <w:t>on is required to be passed</w:t>
      </w:r>
      <w:r>
        <w:rPr>
          <w:spacing w:val="41"/>
          <w:sz w:val="24"/>
        </w:rPr>
        <w:t xml:space="preserve"> </w:t>
      </w:r>
      <w:r>
        <w:rPr>
          <w:sz w:val="24"/>
        </w:rPr>
        <w:t>through</w:t>
      </w:r>
      <w:r>
        <w:rPr>
          <w:spacing w:val="41"/>
          <w:sz w:val="24"/>
        </w:rPr>
        <w:t xml:space="preserve"> </w:t>
      </w:r>
      <w:r>
        <w:rPr>
          <w:sz w:val="24"/>
        </w:rPr>
        <w:t>in</w:t>
      </w:r>
      <w:r>
        <w:rPr>
          <w:spacing w:val="42"/>
          <w:sz w:val="24"/>
        </w:rPr>
        <w:t xml:space="preserve"> </w:t>
      </w:r>
      <w:r>
        <w:rPr>
          <w:sz w:val="24"/>
        </w:rPr>
        <w:t>tariff.</w:t>
      </w:r>
      <w:r>
        <w:rPr>
          <w:spacing w:val="44"/>
          <w:sz w:val="24"/>
        </w:rPr>
        <w:t xml:space="preserve"> </w:t>
      </w:r>
      <w:r>
        <w:rPr>
          <w:sz w:val="24"/>
        </w:rPr>
        <w:t>The</w:t>
      </w:r>
      <w:r>
        <w:rPr>
          <w:spacing w:val="41"/>
          <w:sz w:val="24"/>
        </w:rPr>
        <w:t xml:space="preserve"> </w:t>
      </w:r>
      <w:r>
        <w:rPr>
          <w:sz w:val="24"/>
        </w:rPr>
        <w:t>DA</w:t>
      </w:r>
      <w:r>
        <w:rPr>
          <w:spacing w:val="41"/>
          <w:sz w:val="24"/>
        </w:rPr>
        <w:t xml:space="preserve"> </w:t>
      </w:r>
      <w:r>
        <w:rPr>
          <w:sz w:val="24"/>
        </w:rPr>
        <w:t>percentage</w:t>
      </w:r>
      <w:r>
        <w:rPr>
          <w:spacing w:val="41"/>
          <w:sz w:val="24"/>
        </w:rPr>
        <w:t xml:space="preserve"> </w:t>
      </w:r>
      <w:r>
        <w:rPr>
          <w:sz w:val="24"/>
        </w:rPr>
        <w:t>notified</w:t>
      </w:r>
      <w:r>
        <w:rPr>
          <w:spacing w:val="41"/>
          <w:sz w:val="24"/>
        </w:rPr>
        <w:t xml:space="preserve"> </w:t>
      </w:r>
      <w:r>
        <w:rPr>
          <w:sz w:val="24"/>
        </w:rPr>
        <w:t>by</w:t>
      </w:r>
      <w:r>
        <w:rPr>
          <w:spacing w:val="35"/>
          <w:sz w:val="24"/>
        </w:rPr>
        <w:t xml:space="preserve"> </w:t>
      </w:r>
      <w:r>
        <w:rPr>
          <w:sz w:val="24"/>
        </w:rPr>
        <w:t>the</w:t>
      </w:r>
      <w:r>
        <w:rPr>
          <w:spacing w:val="41"/>
          <w:sz w:val="24"/>
        </w:rPr>
        <w:t xml:space="preserve"> </w:t>
      </w:r>
      <w:r>
        <w:rPr>
          <w:sz w:val="24"/>
        </w:rPr>
        <w:t>GoTN</w:t>
      </w:r>
      <w:r>
        <w:rPr>
          <w:spacing w:val="40"/>
          <w:sz w:val="24"/>
        </w:rPr>
        <w:t xml:space="preserve"> </w:t>
      </w:r>
      <w:r>
        <w:rPr>
          <w:sz w:val="24"/>
        </w:rPr>
        <w:t>is</w:t>
      </w:r>
      <w:r>
        <w:rPr>
          <w:spacing w:val="42"/>
          <w:sz w:val="24"/>
        </w:rPr>
        <w:t xml:space="preserve"> </w:t>
      </w:r>
      <w:r>
        <w:rPr>
          <w:sz w:val="24"/>
        </w:rPr>
        <w:t>dependent</w:t>
      </w:r>
      <w:r>
        <w:rPr>
          <w:spacing w:val="42"/>
          <w:sz w:val="24"/>
        </w:rPr>
        <w:t xml:space="preserve"> </w:t>
      </w:r>
      <w:r>
        <w:rPr>
          <w:sz w:val="24"/>
        </w:rPr>
        <w:t>on</w:t>
      </w:r>
    </w:p>
    <w:p w:rsidR="007C5447" w:rsidRDefault="007C5447">
      <w:pPr>
        <w:spacing w:line="312" w:lineRule="auto"/>
        <w:jc w:val="both"/>
        <w:rPr>
          <w:sz w:val="24"/>
        </w:rPr>
        <w:sectPr w:rsidR="007C5447">
          <w:pgSz w:w="11910" w:h="16840"/>
          <w:pgMar w:top="1360" w:right="620" w:bottom="1240" w:left="900" w:header="0" w:footer="777" w:gutter="0"/>
          <w:cols w:space="720"/>
        </w:sectPr>
      </w:pPr>
    </w:p>
    <w:p w:rsidR="007C5447" w:rsidRDefault="00F6308C">
      <w:pPr>
        <w:pStyle w:val="BodyText"/>
        <w:spacing w:before="60" w:line="312" w:lineRule="auto"/>
        <w:ind w:left="1392" w:right="507"/>
        <w:jc w:val="both"/>
      </w:pPr>
      <w:r>
        <w:lastRenderedPageBreak/>
        <w:t>inflation and hence, increase in employee costs to the extent of DA variation is being allowed as a pass through in tariff. Therefore, the DA rates as notified by GoTN have been used for estimating the DA instead of taking an escalation of 5.72% as per the</w:t>
      </w:r>
      <w:r>
        <w:t xml:space="preserve"> Tariff Regulations. The DA rate applicable for FY 2016-17 is given in the Table below:</w:t>
      </w:r>
    </w:p>
    <w:p w:rsidR="007C5447" w:rsidRDefault="007C5447">
      <w:pPr>
        <w:pStyle w:val="BodyText"/>
        <w:spacing w:before="11"/>
        <w:rPr>
          <w:sz w:val="20"/>
        </w:rPr>
      </w:pPr>
    </w:p>
    <w:p w:rsidR="007C5447" w:rsidRDefault="00F6308C">
      <w:pPr>
        <w:pStyle w:val="Heading2"/>
        <w:ind w:left="586" w:right="564"/>
        <w:jc w:val="center"/>
      </w:pPr>
      <w:r>
        <w:t>Table 4-9: Applicable DA rates considered by the Commission</w:t>
      </w:r>
    </w:p>
    <w:p w:rsidR="007C5447" w:rsidRDefault="007C5447">
      <w:pPr>
        <w:pStyle w:val="BodyText"/>
        <w:spacing w:before="7"/>
        <w:rPr>
          <w:b/>
          <w:sz w:val="17"/>
        </w:rPr>
      </w:pPr>
    </w:p>
    <w:tbl>
      <w:tblPr>
        <w:tblW w:w="0" w:type="auto"/>
        <w:tblInd w:w="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8"/>
        <w:gridCol w:w="3688"/>
        <w:gridCol w:w="1842"/>
        <w:gridCol w:w="1561"/>
      </w:tblGrid>
      <w:tr w:rsidR="007C5447">
        <w:trPr>
          <w:trHeight w:val="465"/>
        </w:trPr>
        <w:tc>
          <w:tcPr>
            <w:tcW w:w="1558" w:type="dxa"/>
            <w:shd w:val="clear" w:color="auto" w:fill="F7C9AC"/>
          </w:tcPr>
          <w:p w:rsidR="007C5447" w:rsidRDefault="00F6308C">
            <w:pPr>
              <w:pStyle w:val="TableParagraph"/>
              <w:spacing w:before="54"/>
              <w:ind w:left="501" w:right="499"/>
              <w:jc w:val="center"/>
              <w:rPr>
                <w:b/>
                <w:sz w:val="24"/>
              </w:rPr>
            </w:pPr>
            <w:r>
              <w:rPr>
                <w:b/>
                <w:sz w:val="24"/>
              </w:rPr>
              <w:t>Year</w:t>
            </w:r>
          </w:p>
        </w:tc>
        <w:tc>
          <w:tcPr>
            <w:tcW w:w="3688" w:type="dxa"/>
            <w:shd w:val="clear" w:color="auto" w:fill="F7C9AC"/>
          </w:tcPr>
          <w:p w:rsidR="007C5447" w:rsidRDefault="00F6308C">
            <w:pPr>
              <w:pStyle w:val="TableParagraph"/>
              <w:spacing w:before="54"/>
              <w:ind w:left="107"/>
              <w:jc w:val="left"/>
              <w:rPr>
                <w:b/>
                <w:sz w:val="24"/>
              </w:rPr>
            </w:pPr>
            <w:r>
              <w:rPr>
                <w:b/>
                <w:sz w:val="24"/>
              </w:rPr>
              <w:t>Effective Date</w:t>
            </w:r>
          </w:p>
        </w:tc>
        <w:tc>
          <w:tcPr>
            <w:tcW w:w="1842" w:type="dxa"/>
            <w:shd w:val="clear" w:color="auto" w:fill="F7C9AC"/>
          </w:tcPr>
          <w:p w:rsidR="007C5447" w:rsidRDefault="00F6308C">
            <w:pPr>
              <w:pStyle w:val="TableParagraph"/>
              <w:spacing w:before="54"/>
              <w:ind w:left="323" w:right="321"/>
              <w:jc w:val="center"/>
              <w:rPr>
                <w:b/>
                <w:sz w:val="24"/>
              </w:rPr>
            </w:pPr>
            <w:r>
              <w:rPr>
                <w:b/>
                <w:sz w:val="24"/>
              </w:rPr>
              <w:t>Rate of DA</w:t>
            </w:r>
          </w:p>
        </w:tc>
        <w:tc>
          <w:tcPr>
            <w:tcW w:w="1561" w:type="dxa"/>
            <w:shd w:val="clear" w:color="auto" w:fill="F7C9AC"/>
          </w:tcPr>
          <w:p w:rsidR="007C5447" w:rsidRDefault="00F6308C">
            <w:pPr>
              <w:pStyle w:val="TableParagraph"/>
              <w:spacing w:before="54"/>
              <w:ind w:left="364" w:right="360"/>
              <w:jc w:val="center"/>
              <w:rPr>
                <w:b/>
                <w:sz w:val="24"/>
              </w:rPr>
            </w:pPr>
            <w:r>
              <w:rPr>
                <w:b/>
                <w:sz w:val="24"/>
              </w:rPr>
              <w:t>Months</w:t>
            </w:r>
          </w:p>
        </w:tc>
      </w:tr>
      <w:tr w:rsidR="007C5447">
        <w:trPr>
          <w:trHeight w:val="359"/>
        </w:trPr>
        <w:tc>
          <w:tcPr>
            <w:tcW w:w="1558" w:type="dxa"/>
            <w:vMerge w:val="restart"/>
          </w:tcPr>
          <w:p w:rsidR="007C5447" w:rsidRDefault="007C5447">
            <w:pPr>
              <w:pStyle w:val="TableParagraph"/>
              <w:jc w:val="left"/>
              <w:rPr>
                <w:b/>
                <w:sz w:val="32"/>
              </w:rPr>
            </w:pPr>
          </w:p>
          <w:p w:rsidR="007C5447" w:rsidRDefault="00F6308C">
            <w:pPr>
              <w:pStyle w:val="TableParagraph"/>
              <w:ind w:left="105"/>
              <w:jc w:val="left"/>
              <w:rPr>
                <w:sz w:val="24"/>
              </w:rPr>
            </w:pPr>
            <w:r>
              <w:rPr>
                <w:sz w:val="24"/>
              </w:rPr>
              <w:t>FY 2016-17</w:t>
            </w:r>
          </w:p>
        </w:tc>
        <w:tc>
          <w:tcPr>
            <w:tcW w:w="3688" w:type="dxa"/>
          </w:tcPr>
          <w:p w:rsidR="007C5447" w:rsidRDefault="00F6308C">
            <w:pPr>
              <w:pStyle w:val="TableParagraph"/>
              <w:spacing w:before="1"/>
              <w:ind w:left="107"/>
              <w:jc w:val="left"/>
              <w:rPr>
                <w:sz w:val="24"/>
              </w:rPr>
            </w:pPr>
            <w:r>
              <w:rPr>
                <w:sz w:val="24"/>
              </w:rPr>
              <w:t>Apr 1, 2016 to June 30, 2016</w:t>
            </w:r>
          </w:p>
        </w:tc>
        <w:tc>
          <w:tcPr>
            <w:tcW w:w="1842" w:type="dxa"/>
          </w:tcPr>
          <w:p w:rsidR="007C5447" w:rsidRDefault="00F6308C">
            <w:pPr>
              <w:pStyle w:val="TableParagraph"/>
              <w:spacing w:before="1"/>
              <w:ind w:left="323" w:right="321"/>
              <w:jc w:val="center"/>
              <w:rPr>
                <w:sz w:val="24"/>
              </w:rPr>
            </w:pPr>
            <w:r>
              <w:rPr>
                <w:sz w:val="24"/>
              </w:rPr>
              <w:t>125%</w:t>
            </w:r>
          </w:p>
        </w:tc>
        <w:tc>
          <w:tcPr>
            <w:tcW w:w="1561" w:type="dxa"/>
          </w:tcPr>
          <w:p w:rsidR="007C5447" w:rsidRDefault="00F6308C">
            <w:pPr>
              <w:pStyle w:val="TableParagraph"/>
              <w:spacing w:before="1"/>
              <w:ind w:left="5"/>
              <w:jc w:val="center"/>
              <w:rPr>
                <w:sz w:val="24"/>
              </w:rPr>
            </w:pPr>
            <w:r>
              <w:rPr>
                <w:sz w:val="24"/>
              </w:rPr>
              <w:t>3</w:t>
            </w:r>
          </w:p>
        </w:tc>
      </w:tr>
      <w:tr w:rsidR="007C5447">
        <w:trPr>
          <w:trHeight w:val="359"/>
        </w:trPr>
        <w:tc>
          <w:tcPr>
            <w:tcW w:w="1558" w:type="dxa"/>
            <w:vMerge/>
            <w:tcBorders>
              <w:top w:val="nil"/>
            </w:tcBorders>
          </w:tcPr>
          <w:p w:rsidR="007C5447" w:rsidRDefault="007C5447">
            <w:pPr>
              <w:rPr>
                <w:sz w:val="2"/>
                <w:szCs w:val="2"/>
              </w:rPr>
            </w:pPr>
          </w:p>
        </w:tc>
        <w:tc>
          <w:tcPr>
            <w:tcW w:w="3688" w:type="dxa"/>
          </w:tcPr>
          <w:p w:rsidR="007C5447" w:rsidRDefault="00F6308C">
            <w:pPr>
              <w:pStyle w:val="TableParagraph"/>
              <w:spacing w:line="275" w:lineRule="exact"/>
              <w:ind w:left="107"/>
              <w:jc w:val="left"/>
              <w:rPr>
                <w:sz w:val="24"/>
              </w:rPr>
            </w:pPr>
            <w:r>
              <w:rPr>
                <w:sz w:val="24"/>
              </w:rPr>
              <w:t>July 1, 2016 to Dec 31, 2016</w:t>
            </w:r>
          </w:p>
        </w:tc>
        <w:tc>
          <w:tcPr>
            <w:tcW w:w="1842" w:type="dxa"/>
          </w:tcPr>
          <w:p w:rsidR="007C5447" w:rsidRDefault="00F6308C">
            <w:pPr>
              <w:pStyle w:val="TableParagraph"/>
              <w:spacing w:line="275" w:lineRule="exact"/>
              <w:ind w:left="323" w:right="321"/>
              <w:jc w:val="center"/>
              <w:rPr>
                <w:sz w:val="24"/>
              </w:rPr>
            </w:pPr>
            <w:r>
              <w:rPr>
                <w:sz w:val="24"/>
              </w:rPr>
              <w:t>132%</w:t>
            </w:r>
          </w:p>
        </w:tc>
        <w:tc>
          <w:tcPr>
            <w:tcW w:w="1561" w:type="dxa"/>
          </w:tcPr>
          <w:p w:rsidR="007C5447" w:rsidRDefault="00F6308C">
            <w:pPr>
              <w:pStyle w:val="TableParagraph"/>
              <w:spacing w:line="275" w:lineRule="exact"/>
              <w:ind w:left="5"/>
              <w:jc w:val="center"/>
              <w:rPr>
                <w:sz w:val="24"/>
              </w:rPr>
            </w:pPr>
            <w:r>
              <w:rPr>
                <w:sz w:val="24"/>
              </w:rPr>
              <w:t>6</w:t>
            </w:r>
          </w:p>
        </w:tc>
      </w:tr>
      <w:tr w:rsidR="007C5447">
        <w:trPr>
          <w:trHeight w:val="357"/>
        </w:trPr>
        <w:tc>
          <w:tcPr>
            <w:tcW w:w="1558" w:type="dxa"/>
            <w:vMerge/>
            <w:tcBorders>
              <w:top w:val="nil"/>
            </w:tcBorders>
          </w:tcPr>
          <w:p w:rsidR="007C5447" w:rsidRDefault="007C5447">
            <w:pPr>
              <w:rPr>
                <w:sz w:val="2"/>
                <w:szCs w:val="2"/>
              </w:rPr>
            </w:pPr>
          </w:p>
        </w:tc>
        <w:tc>
          <w:tcPr>
            <w:tcW w:w="3688" w:type="dxa"/>
          </w:tcPr>
          <w:p w:rsidR="007C5447" w:rsidRDefault="00F6308C">
            <w:pPr>
              <w:pStyle w:val="TableParagraph"/>
              <w:spacing w:line="275" w:lineRule="exact"/>
              <w:ind w:left="107"/>
              <w:jc w:val="left"/>
              <w:rPr>
                <w:sz w:val="24"/>
              </w:rPr>
            </w:pPr>
            <w:r>
              <w:rPr>
                <w:sz w:val="24"/>
              </w:rPr>
              <w:t>Jan 1, 2017 to Mar 31, 2017</w:t>
            </w:r>
          </w:p>
        </w:tc>
        <w:tc>
          <w:tcPr>
            <w:tcW w:w="1842" w:type="dxa"/>
          </w:tcPr>
          <w:p w:rsidR="007C5447" w:rsidRDefault="00F6308C">
            <w:pPr>
              <w:pStyle w:val="TableParagraph"/>
              <w:spacing w:line="275" w:lineRule="exact"/>
              <w:ind w:left="323" w:right="321"/>
              <w:jc w:val="center"/>
              <w:rPr>
                <w:sz w:val="24"/>
              </w:rPr>
            </w:pPr>
            <w:r>
              <w:rPr>
                <w:sz w:val="24"/>
              </w:rPr>
              <w:t>136%</w:t>
            </w:r>
          </w:p>
        </w:tc>
        <w:tc>
          <w:tcPr>
            <w:tcW w:w="1561" w:type="dxa"/>
          </w:tcPr>
          <w:p w:rsidR="007C5447" w:rsidRDefault="00F6308C">
            <w:pPr>
              <w:pStyle w:val="TableParagraph"/>
              <w:spacing w:line="275" w:lineRule="exact"/>
              <w:ind w:left="5"/>
              <w:jc w:val="center"/>
              <w:rPr>
                <w:sz w:val="24"/>
              </w:rPr>
            </w:pPr>
            <w:r>
              <w:rPr>
                <w:sz w:val="24"/>
              </w:rPr>
              <w:t>3</w:t>
            </w:r>
          </w:p>
        </w:tc>
      </w:tr>
    </w:tbl>
    <w:p w:rsidR="007C5447" w:rsidRDefault="00F6308C">
      <w:pPr>
        <w:pStyle w:val="ListParagraph"/>
        <w:numPr>
          <w:ilvl w:val="2"/>
          <w:numId w:val="114"/>
        </w:numPr>
        <w:tabs>
          <w:tab w:val="left" w:pos="1393"/>
        </w:tabs>
        <w:spacing w:before="119" w:line="312" w:lineRule="auto"/>
        <w:ind w:left="1392" w:right="510" w:hanging="852"/>
        <w:jc w:val="both"/>
        <w:rPr>
          <w:sz w:val="24"/>
        </w:rPr>
      </w:pPr>
      <w:r>
        <w:rPr>
          <w:sz w:val="24"/>
        </w:rPr>
        <w:t>GoTN vide G.O. No. 105 dated April 26, 2017 had increased the rate of DA from 132% to 136% with retrospective effect from January 1, 2017. Therefore, the Commission has also considered a 4% periodic increase in DA rate throughout the Control Period, as sho</w:t>
      </w:r>
      <w:r>
        <w:rPr>
          <w:sz w:val="24"/>
        </w:rPr>
        <w:t>wn in the Table</w:t>
      </w:r>
      <w:r>
        <w:rPr>
          <w:spacing w:val="-2"/>
          <w:sz w:val="24"/>
        </w:rPr>
        <w:t xml:space="preserve"> </w:t>
      </w:r>
      <w:r>
        <w:rPr>
          <w:sz w:val="24"/>
        </w:rPr>
        <w:t>below:</w:t>
      </w:r>
    </w:p>
    <w:p w:rsidR="007C5447" w:rsidRDefault="007C5447">
      <w:pPr>
        <w:pStyle w:val="BodyText"/>
        <w:spacing w:before="10"/>
        <w:rPr>
          <w:sz w:val="20"/>
        </w:rPr>
      </w:pPr>
    </w:p>
    <w:p w:rsidR="007C5447" w:rsidRDefault="00F6308C">
      <w:pPr>
        <w:pStyle w:val="Heading2"/>
        <w:spacing w:before="1"/>
        <w:ind w:left="591" w:right="564"/>
        <w:jc w:val="center"/>
      </w:pPr>
      <w:r>
        <w:t>Table 4-10: DA rates considered by the Commission</w:t>
      </w:r>
    </w:p>
    <w:p w:rsidR="007C5447" w:rsidRDefault="007C5447">
      <w:pPr>
        <w:pStyle w:val="BodyText"/>
        <w:spacing w:before="9"/>
        <w:rPr>
          <w:b/>
          <w:sz w:val="17"/>
        </w:rPr>
      </w:pPr>
    </w:p>
    <w:tbl>
      <w:tblPr>
        <w:tblW w:w="0" w:type="auto"/>
        <w:tblInd w:w="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8"/>
        <w:gridCol w:w="3688"/>
        <w:gridCol w:w="1842"/>
        <w:gridCol w:w="1561"/>
      </w:tblGrid>
      <w:tr w:rsidR="007C5447">
        <w:trPr>
          <w:trHeight w:val="366"/>
        </w:trPr>
        <w:tc>
          <w:tcPr>
            <w:tcW w:w="1558" w:type="dxa"/>
            <w:shd w:val="clear" w:color="auto" w:fill="F7C9AC"/>
          </w:tcPr>
          <w:p w:rsidR="007C5447" w:rsidRDefault="00F6308C">
            <w:pPr>
              <w:pStyle w:val="TableParagraph"/>
              <w:spacing w:before="3"/>
              <w:ind w:left="501" w:right="499"/>
              <w:jc w:val="center"/>
              <w:rPr>
                <w:b/>
                <w:sz w:val="24"/>
              </w:rPr>
            </w:pPr>
            <w:r>
              <w:rPr>
                <w:b/>
                <w:sz w:val="24"/>
              </w:rPr>
              <w:t>Year</w:t>
            </w:r>
          </w:p>
        </w:tc>
        <w:tc>
          <w:tcPr>
            <w:tcW w:w="3688" w:type="dxa"/>
            <w:shd w:val="clear" w:color="auto" w:fill="F7C9AC"/>
          </w:tcPr>
          <w:p w:rsidR="007C5447" w:rsidRDefault="00F6308C">
            <w:pPr>
              <w:pStyle w:val="TableParagraph"/>
              <w:spacing w:before="3"/>
              <w:ind w:left="1118"/>
              <w:jc w:val="left"/>
              <w:rPr>
                <w:b/>
                <w:sz w:val="24"/>
              </w:rPr>
            </w:pPr>
            <w:r>
              <w:rPr>
                <w:b/>
                <w:sz w:val="24"/>
              </w:rPr>
              <w:t>Effective Date</w:t>
            </w:r>
          </w:p>
        </w:tc>
        <w:tc>
          <w:tcPr>
            <w:tcW w:w="1842" w:type="dxa"/>
            <w:shd w:val="clear" w:color="auto" w:fill="F7C9AC"/>
          </w:tcPr>
          <w:p w:rsidR="007C5447" w:rsidRDefault="00F6308C">
            <w:pPr>
              <w:pStyle w:val="TableParagraph"/>
              <w:spacing w:before="3"/>
              <w:ind w:left="323" w:right="321"/>
              <w:jc w:val="center"/>
              <w:rPr>
                <w:b/>
                <w:sz w:val="24"/>
              </w:rPr>
            </w:pPr>
            <w:r>
              <w:rPr>
                <w:b/>
                <w:sz w:val="24"/>
              </w:rPr>
              <w:t>Rate of DA</w:t>
            </w:r>
          </w:p>
        </w:tc>
        <w:tc>
          <w:tcPr>
            <w:tcW w:w="1561" w:type="dxa"/>
            <w:shd w:val="clear" w:color="auto" w:fill="F7C9AC"/>
          </w:tcPr>
          <w:p w:rsidR="007C5447" w:rsidRDefault="00F6308C">
            <w:pPr>
              <w:pStyle w:val="TableParagraph"/>
              <w:spacing w:before="3"/>
              <w:ind w:left="364" w:right="360"/>
              <w:jc w:val="center"/>
              <w:rPr>
                <w:b/>
                <w:sz w:val="24"/>
              </w:rPr>
            </w:pPr>
            <w:r>
              <w:rPr>
                <w:b/>
                <w:sz w:val="24"/>
              </w:rPr>
              <w:t>Months</w:t>
            </w:r>
          </w:p>
        </w:tc>
      </w:tr>
      <w:tr w:rsidR="007C5447">
        <w:trPr>
          <w:trHeight w:val="357"/>
        </w:trPr>
        <w:tc>
          <w:tcPr>
            <w:tcW w:w="1558" w:type="dxa"/>
            <w:vMerge w:val="restart"/>
          </w:tcPr>
          <w:p w:rsidR="007C5447" w:rsidRDefault="007C5447">
            <w:pPr>
              <w:pStyle w:val="TableParagraph"/>
              <w:spacing w:before="9"/>
              <w:jc w:val="left"/>
              <w:rPr>
                <w:b/>
                <w:sz w:val="31"/>
              </w:rPr>
            </w:pPr>
          </w:p>
          <w:p w:rsidR="007C5447" w:rsidRDefault="00F6308C">
            <w:pPr>
              <w:pStyle w:val="TableParagraph"/>
              <w:ind w:left="194"/>
              <w:jc w:val="left"/>
              <w:rPr>
                <w:sz w:val="24"/>
              </w:rPr>
            </w:pPr>
            <w:r>
              <w:rPr>
                <w:sz w:val="24"/>
              </w:rPr>
              <w:t>FY 2017-18</w:t>
            </w:r>
          </w:p>
        </w:tc>
        <w:tc>
          <w:tcPr>
            <w:tcW w:w="3688" w:type="dxa"/>
          </w:tcPr>
          <w:p w:rsidR="007C5447" w:rsidRDefault="00F6308C">
            <w:pPr>
              <w:pStyle w:val="TableParagraph"/>
              <w:spacing w:line="275" w:lineRule="exact"/>
              <w:ind w:left="107"/>
              <w:jc w:val="left"/>
              <w:rPr>
                <w:sz w:val="24"/>
              </w:rPr>
            </w:pPr>
            <w:r>
              <w:rPr>
                <w:sz w:val="24"/>
              </w:rPr>
              <w:t>Apr 1, 2017 to June 30, 2017</w:t>
            </w:r>
          </w:p>
        </w:tc>
        <w:tc>
          <w:tcPr>
            <w:tcW w:w="1842" w:type="dxa"/>
          </w:tcPr>
          <w:p w:rsidR="007C5447" w:rsidRDefault="00F6308C">
            <w:pPr>
              <w:pStyle w:val="TableParagraph"/>
              <w:spacing w:line="275" w:lineRule="exact"/>
              <w:ind w:left="323" w:right="321"/>
              <w:jc w:val="center"/>
              <w:rPr>
                <w:sz w:val="24"/>
              </w:rPr>
            </w:pPr>
            <w:r>
              <w:rPr>
                <w:sz w:val="24"/>
              </w:rPr>
              <w:t>136%</w:t>
            </w:r>
          </w:p>
        </w:tc>
        <w:tc>
          <w:tcPr>
            <w:tcW w:w="1561" w:type="dxa"/>
          </w:tcPr>
          <w:p w:rsidR="007C5447" w:rsidRDefault="00F6308C">
            <w:pPr>
              <w:pStyle w:val="TableParagraph"/>
              <w:spacing w:line="275" w:lineRule="exact"/>
              <w:ind w:left="5"/>
              <w:jc w:val="center"/>
              <w:rPr>
                <w:sz w:val="24"/>
              </w:rPr>
            </w:pPr>
            <w:r>
              <w:rPr>
                <w:sz w:val="24"/>
              </w:rPr>
              <w:t>3</w:t>
            </w:r>
          </w:p>
        </w:tc>
      </w:tr>
      <w:tr w:rsidR="007C5447">
        <w:trPr>
          <w:trHeight w:val="359"/>
        </w:trPr>
        <w:tc>
          <w:tcPr>
            <w:tcW w:w="1558" w:type="dxa"/>
            <w:vMerge/>
            <w:tcBorders>
              <w:top w:val="nil"/>
            </w:tcBorders>
          </w:tcPr>
          <w:p w:rsidR="007C5447" w:rsidRDefault="007C5447">
            <w:pPr>
              <w:rPr>
                <w:sz w:val="2"/>
                <w:szCs w:val="2"/>
              </w:rPr>
            </w:pPr>
          </w:p>
        </w:tc>
        <w:tc>
          <w:tcPr>
            <w:tcW w:w="3688" w:type="dxa"/>
          </w:tcPr>
          <w:p w:rsidR="007C5447" w:rsidRDefault="00F6308C">
            <w:pPr>
              <w:pStyle w:val="TableParagraph"/>
              <w:spacing w:line="275" w:lineRule="exact"/>
              <w:ind w:left="107"/>
              <w:jc w:val="left"/>
              <w:rPr>
                <w:sz w:val="24"/>
              </w:rPr>
            </w:pPr>
            <w:r>
              <w:rPr>
                <w:sz w:val="24"/>
              </w:rPr>
              <w:t>July 1, 2017 to Dec 31, 2017</w:t>
            </w:r>
          </w:p>
        </w:tc>
        <w:tc>
          <w:tcPr>
            <w:tcW w:w="1842" w:type="dxa"/>
          </w:tcPr>
          <w:p w:rsidR="007C5447" w:rsidRDefault="00F6308C">
            <w:pPr>
              <w:pStyle w:val="TableParagraph"/>
              <w:spacing w:line="275" w:lineRule="exact"/>
              <w:ind w:left="323" w:right="321"/>
              <w:jc w:val="center"/>
              <w:rPr>
                <w:sz w:val="24"/>
              </w:rPr>
            </w:pPr>
            <w:r>
              <w:rPr>
                <w:sz w:val="24"/>
              </w:rPr>
              <w:t>140%</w:t>
            </w:r>
          </w:p>
        </w:tc>
        <w:tc>
          <w:tcPr>
            <w:tcW w:w="1561" w:type="dxa"/>
          </w:tcPr>
          <w:p w:rsidR="007C5447" w:rsidRDefault="00F6308C">
            <w:pPr>
              <w:pStyle w:val="TableParagraph"/>
              <w:spacing w:line="275" w:lineRule="exact"/>
              <w:ind w:left="5"/>
              <w:jc w:val="center"/>
              <w:rPr>
                <w:sz w:val="24"/>
              </w:rPr>
            </w:pPr>
            <w:r>
              <w:rPr>
                <w:sz w:val="24"/>
              </w:rPr>
              <w:t>6</w:t>
            </w:r>
          </w:p>
        </w:tc>
      </w:tr>
      <w:tr w:rsidR="007C5447">
        <w:trPr>
          <w:trHeight w:val="360"/>
        </w:trPr>
        <w:tc>
          <w:tcPr>
            <w:tcW w:w="1558" w:type="dxa"/>
            <w:vMerge/>
            <w:tcBorders>
              <w:top w:val="nil"/>
            </w:tcBorders>
          </w:tcPr>
          <w:p w:rsidR="007C5447" w:rsidRDefault="007C5447">
            <w:pPr>
              <w:rPr>
                <w:sz w:val="2"/>
                <w:szCs w:val="2"/>
              </w:rPr>
            </w:pPr>
          </w:p>
        </w:tc>
        <w:tc>
          <w:tcPr>
            <w:tcW w:w="3688" w:type="dxa"/>
          </w:tcPr>
          <w:p w:rsidR="007C5447" w:rsidRDefault="00F6308C">
            <w:pPr>
              <w:pStyle w:val="TableParagraph"/>
              <w:spacing w:line="275" w:lineRule="exact"/>
              <w:ind w:left="107"/>
              <w:jc w:val="left"/>
              <w:rPr>
                <w:sz w:val="24"/>
              </w:rPr>
            </w:pPr>
            <w:r>
              <w:rPr>
                <w:sz w:val="24"/>
              </w:rPr>
              <w:t>Jan 1, 2018 to Mar 31, 2018</w:t>
            </w:r>
          </w:p>
        </w:tc>
        <w:tc>
          <w:tcPr>
            <w:tcW w:w="1842" w:type="dxa"/>
          </w:tcPr>
          <w:p w:rsidR="007C5447" w:rsidRDefault="00F6308C">
            <w:pPr>
              <w:pStyle w:val="TableParagraph"/>
              <w:spacing w:line="275" w:lineRule="exact"/>
              <w:ind w:left="323" w:right="321"/>
              <w:jc w:val="center"/>
              <w:rPr>
                <w:sz w:val="24"/>
              </w:rPr>
            </w:pPr>
            <w:r>
              <w:rPr>
                <w:sz w:val="24"/>
              </w:rPr>
              <w:t>144%</w:t>
            </w:r>
          </w:p>
        </w:tc>
        <w:tc>
          <w:tcPr>
            <w:tcW w:w="1561" w:type="dxa"/>
          </w:tcPr>
          <w:p w:rsidR="007C5447" w:rsidRDefault="00F6308C">
            <w:pPr>
              <w:pStyle w:val="TableParagraph"/>
              <w:spacing w:line="275" w:lineRule="exact"/>
              <w:ind w:left="5"/>
              <w:jc w:val="center"/>
              <w:rPr>
                <w:sz w:val="24"/>
              </w:rPr>
            </w:pPr>
            <w:r>
              <w:rPr>
                <w:sz w:val="24"/>
              </w:rPr>
              <w:t>3</w:t>
            </w:r>
          </w:p>
        </w:tc>
      </w:tr>
      <w:tr w:rsidR="007C5447">
        <w:trPr>
          <w:trHeight w:val="357"/>
        </w:trPr>
        <w:tc>
          <w:tcPr>
            <w:tcW w:w="1558" w:type="dxa"/>
            <w:vMerge w:val="restart"/>
          </w:tcPr>
          <w:p w:rsidR="007C5447" w:rsidRDefault="007C5447">
            <w:pPr>
              <w:pStyle w:val="TableParagraph"/>
              <w:spacing w:before="9"/>
              <w:jc w:val="left"/>
              <w:rPr>
                <w:b/>
                <w:sz w:val="31"/>
              </w:rPr>
            </w:pPr>
          </w:p>
          <w:p w:rsidR="007C5447" w:rsidRDefault="00F6308C">
            <w:pPr>
              <w:pStyle w:val="TableParagraph"/>
              <w:ind w:left="194"/>
              <w:jc w:val="left"/>
              <w:rPr>
                <w:sz w:val="24"/>
              </w:rPr>
            </w:pPr>
            <w:r>
              <w:rPr>
                <w:sz w:val="24"/>
              </w:rPr>
              <w:t>FY 2018-19</w:t>
            </w:r>
          </w:p>
        </w:tc>
        <w:tc>
          <w:tcPr>
            <w:tcW w:w="3688" w:type="dxa"/>
          </w:tcPr>
          <w:p w:rsidR="007C5447" w:rsidRDefault="00F6308C">
            <w:pPr>
              <w:pStyle w:val="TableParagraph"/>
              <w:spacing w:line="275" w:lineRule="exact"/>
              <w:ind w:left="107"/>
              <w:jc w:val="left"/>
              <w:rPr>
                <w:sz w:val="24"/>
              </w:rPr>
            </w:pPr>
            <w:r>
              <w:rPr>
                <w:sz w:val="24"/>
              </w:rPr>
              <w:t>Apr 1, 2018 to June 30, 2018</w:t>
            </w:r>
          </w:p>
        </w:tc>
        <w:tc>
          <w:tcPr>
            <w:tcW w:w="1842" w:type="dxa"/>
          </w:tcPr>
          <w:p w:rsidR="007C5447" w:rsidRDefault="00F6308C">
            <w:pPr>
              <w:pStyle w:val="TableParagraph"/>
              <w:spacing w:line="275" w:lineRule="exact"/>
              <w:ind w:left="323" w:right="321"/>
              <w:jc w:val="center"/>
              <w:rPr>
                <w:sz w:val="24"/>
              </w:rPr>
            </w:pPr>
            <w:r>
              <w:rPr>
                <w:sz w:val="24"/>
              </w:rPr>
              <w:t>144%</w:t>
            </w:r>
          </w:p>
        </w:tc>
        <w:tc>
          <w:tcPr>
            <w:tcW w:w="1561" w:type="dxa"/>
          </w:tcPr>
          <w:p w:rsidR="007C5447" w:rsidRDefault="00F6308C">
            <w:pPr>
              <w:pStyle w:val="TableParagraph"/>
              <w:spacing w:line="275" w:lineRule="exact"/>
              <w:ind w:left="5"/>
              <w:jc w:val="center"/>
              <w:rPr>
                <w:sz w:val="24"/>
              </w:rPr>
            </w:pPr>
            <w:r>
              <w:rPr>
                <w:sz w:val="24"/>
              </w:rPr>
              <w:t>3</w:t>
            </w:r>
          </w:p>
        </w:tc>
      </w:tr>
      <w:tr w:rsidR="007C5447">
        <w:trPr>
          <w:trHeight w:val="359"/>
        </w:trPr>
        <w:tc>
          <w:tcPr>
            <w:tcW w:w="1558" w:type="dxa"/>
            <w:vMerge/>
            <w:tcBorders>
              <w:top w:val="nil"/>
            </w:tcBorders>
          </w:tcPr>
          <w:p w:rsidR="007C5447" w:rsidRDefault="007C5447">
            <w:pPr>
              <w:rPr>
                <w:sz w:val="2"/>
                <w:szCs w:val="2"/>
              </w:rPr>
            </w:pPr>
          </w:p>
        </w:tc>
        <w:tc>
          <w:tcPr>
            <w:tcW w:w="3688" w:type="dxa"/>
          </w:tcPr>
          <w:p w:rsidR="007C5447" w:rsidRDefault="00F6308C">
            <w:pPr>
              <w:pStyle w:val="TableParagraph"/>
              <w:spacing w:line="275" w:lineRule="exact"/>
              <w:ind w:left="107"/>
              <w:jc w:val="left"/>
              <w:rPr>
                <w:sz w:val="24"/>
              </w:rPr>
            </w:pPr>
            <w:r>
              <w:rPr>
                <w:sz w:val="24"/>
              </w:rPr>
              <w:t>July 1, 2018 to Dec 31, 2018</w:t>
            </w:r>
          </w:p>
        </w:tc>
        <w:tc>
          <w:tcPr>
            <w:tcW w:w="1842" w:type="dxa"/>
          </w:tcPr>
          <w:p w:rsidR="007C5447" w:rsidRDefault="00F6308C">
            <w:pPr>
              <w:pStyle w:val="TableParagraph"/>
              <w:spacing w:line="275" w:lineRule="exact"/>
              <w:ind w:left="323" w:right="321"/>
              <w:jc w:val="center"/>
              <w:rPr>
                <w:sz w:val="24"/>
              </w:rPr>
            </w:pPr>
            <w:r>
              <w:rPr>
                <w:sz w:val="24"/>
              </w:rPr>
              <w:t>148%</w:t>
            </w:r>
          </w:p>
        </w:tc>
        <w:tc>
          <w:tcPr>
            <w:tcW w:w="1561" w:type="dxa"/>
          </w:tcPr>
          <w:p w:rsidR="007C5447" w:rsidRDefault="00F6308C">
            <w:pPr>
              <w:pStyle w:val="TableParagraph"/>
              <w:spacing w:line="275" w:lineRule="exact"/>
              <w:ind w:left="5"/>
              <w:jc w:val="center"/>
              <w:rPr>
                <w:sz w:val="24"/>
              </w:rPr>
            </w:pPr>
            <w:r>
              <w:rPr>
                <w:sz w:val="24"/>
              </w:rPr>
              <w:t>6</w:t>
            </w:r>
          </w:p>
        </w:tc>
      </w:tr>
      <w:tr w:rsidR="007C5447">
        <w:trPr>
          <w:trHeight w:val="359"/>
        </w:trPr>
        <w:tc>
          <w:tcPr>
            <w:tcW w:w="1558" w:type="dxa"/>
            <w:vMerge/>
            <w:tcBorders>
              <w:top w:val="nil"/>
            </w:tcBorders>
          </w:tcPr>
          <w:p w:rsidR="007C5447" w:rsidRDefault="007C5447">
            <w:pPr>
              <w:rPr>
                <w:sz w:val="2"/>
                <w:szCs w:val="2"/>
              </w:rPr>
            </w:pPr>
          </w:p>
        </w:tc>
        <w:tc>
          <w:tcPr>
            <w:tcW w:w="3688" w:type="dxa"/>
          </w:tcPr>
          <w:p w:rsidR="007C5447" w:rsidRDefault="00F6308C">
            <w:pPr>
              <w:pStyle w:val="TableParagraph"/>
              <w:spacing w:line="275" w:lineRule="exact"/>
              <w:ind w:left="107"/>
              <w:jc w:val="left"/>
              <w:rPr>
                <w:sz w:val="24"/>
              </w:rPr>
            </w:pPr>
            <w:r>
              <w:rPr>
                <w:sz w:val="24"/>
              </w:rPr>
              <w:t>Jan 1, 2019 to Mar 31, 2019</w:t>
            </w:r>
          </w:p>
        </w:tc>
        <w:tc>
          <w:tcPr>
            <w:tcW w:w="1842" w:type="dxa"/>
          </w:tcPr>
          <w:p w:rsidR="007C5447" w:rsidRDefault="00F6308C">
            <w:pPr>
              <w:pStyle w:val="TableParagraph"/>
              <w:spacing w:line="275" w:lineRule="exact"/>
              <w:ind w:left="323" w:right="321"/>
              <w:jc w:val="center"/>
              <w:rPr>
                <w:sz w:val="24"/>
              </w:rPr>
            </w:pPr>
            <w:r>
              <w:rPr>
                <w:sz w:val="24"/>
              </w:rPr>
              <w:t>152%</w:t>
            </w:r>
          </w:p>
        </w:tc>
        <w:tc>
          <w:tcPr>
            <w:tcW w:w="1561" w:type="dxa"/>
          </w:tcPr>
          <w:p w:rsidR="007C5447" w:rsidRDefault="00F6308C">
            <w:pPr>
              <w:pStyle w:val="TableParagraph"/>
              <w:spacing w:line="275" w:lineRule="exact"/>
              <w:ind w:left="5"/>
              <w:jc w:val="center"/>
              <w:rPr>
                <w:sz w:val="24"/>
              </w:rPr>
            </w:pPr>
            <w:r>
              <w:rPr>
                <w:sz w:val="24"/>
              </w:rPr>
              <w:t>3</w:t>
            </w:r>
          </w:p>
        </w:tc>
      </w:tr>
    </w:tbl>
    <w:p w:rsidR="007C5447" w:rsidRDefault="007C5447">
      <w:pPr>
        <w:pStyle w:val="BodyText"/>
        <w:spacing w:before="9"/>
        <w:rPr>
          <w:b/>
          <w:sz w:val="20"/>
        </w:rPr>
      </w:pPr>
    </w:p>
    <w:p w:rsidR="007C5447" w:rsidRDefault="00F6308C">
      <w:pPr>
        <w:ind w:left="1392"/>
        <w:jc w:val="both"/>
        <w:rPr>
          <w:b/>
          <w:sz w:val="24"/>
        </w:rPr>
      </w:pPr>
      <w:r>
        <w:rPr>
          <w:b/>
          <w:sz w:val="24"/>
        </w:rPr>
        <w:t>Repair and Maintenance Expenses</w:t>
      </w:r>
    </w:p>
    <w:p w:rsidR="007C5447" w:rsidRDefault="00F6308C">
      <w:pPr>
        <w:pStyle w:val="ListParagraph"/>
        <w:numPr>
          <w:ilvl w:val="2"/>
          <w:numId w:val="114"/>
        </w:numPr>
        <w:tabs>
          <w:tab w:val="left" w:pos="1393"/>
        </w:tabs>
        <w:spacing w:before="201" w:line="312" w:lineRule="auto"/>
        <w:ind w:left="1392" w:right="509" w:hanging="852"/>
        <w:jc w:val="both"/>
        <w:rPr>
          <w:sz w:val="24"/>
        </w:rPr>
      </w:pPr>
      <w:r>
        <w:rPr>
          <w:sz w:val="24"/>
        </w:rPr>
        <w:t xml:space="preserve">The Commission has approved the R&amp;M expenses for the Control Period from FY 2016-17 to FY 2018-19, based on the same approach adopted while truing-up for FY 2011-12 to FY 2015-16. The average of actual R&amp;M expenses for past five years, viz., FY 2011-12 to </w:t>
      </w:r>
      <w:r>
        <w:rPr>
          <w:sz w:val="24"/>
        </w:rPr>
        <w:t>FY 2015-16, as shown in the audited accounts, has been escalated twice by 5.72%, as per Tariff Regulations, 2005, to arrive at the R&amp;M expenses for FY</w:t>
      </w:r>
      <w:r>
        <w:rPr>
          <w:spacing w:val="49"/>
          <w:sz w:val="24"/>
        </w:rPr>
        <w:t xml:space="preserve"> </w:t>
      </w:r>
      <w:r>
        <w:rPr>
          <w:sz w:val="24"/>
        </w:rPr>
        <w:t>2015-</w:t>
      </w:r>
    </w:p>
    <w:p w:rsidR="007C5447" w:rsidRDefault="00F6308C">
      <w:pPr>
        <w:pStyle w:val="BodyText"/>
        <w:spacing w:before="2" w:line="312" w:lineRule="auto"/>
        <w:ind w:left="1392" w:right="511"/>
        <w:jc w:val="both"/>
      </w:pPr>
      <w:r>
        <w:t>16. R&amp;M expenses arrived at for FY 2015-16, have been further escalated by 5.72% annually for appro</w:t>
      </w:r>
      <w:r>
        <w:t>ving R&amp;M expenses for the Control Period from FY 2016-17 to FY 2018-19.</w:t>
      </w:r>
    </w:p>
    <w:p w:rsidR="007C5447" w:rsidRDefault="007C5447">
      <w:pPr>
        <w:pStyle w:val="BodyText"/>
        <w:spacing w:before="9"/>
        <w:rPr>
          <w:sz w:val="20"/>
        </w:rPr>
      </w:pPr>
    </w:p>
    <w:p w:rsidR="007C5447" w:rsidRDefault="00F6308C">
      <w:pPr>
        <w:pStyle w:val="Heading2"/>
        <w:ind w:left="1392"/>
        <w:jc w:val="both"/>
      </w:pPr>
      <w:r>
        <w:t>Administrative and General Expenses</w:t>
      </w:r>
    </w:p>
    <w:p w:rsidR="007C5447" w:rsidRDefault="00F6308C">
      <w:pPr>
        <w:pStyle w:val="ListParagraph"/>
        <w:numPr>
          <w:ilvl w:val="2"/>
          <w:numId w:val="114"/>
        </w:numPr>
        <w:tabs>
          <w:tab w:val="left" w:pos="1392"/>
          <w:tab w:val="left" w:pos="1393"/>
        </w:tabs>
        <w:spacing w:before="204"/>
        <w:ind w:left="1392" w:hanging="853"/>
        <w:rPr>
          <w:sz w:val="24"/>
        </w:rPr>
      </w:pPr>
      <w:r>
        <w:rPr>
          <w:sz w:val="24"/>
        </w:rPr>
        <w:t>The</w:t>
      </w:r>
      <w:r>
        <w:rPr>
          <w:spacing w:val="45"/>
          <w:sz w:val="24"/>
        </w:rPr>
        <w:t xml:space="preserve"> </w:t>
      </w:r>
      <w:r>
        <w:rPr>
          <w:sz w:val="24"/>
        </w:rPr>
        <w:t>Commission</w:t>
      </w:r>
      <w:r>
        <w:rPr>
          <w:spacing w:val="44"/>
          <w:sz w:val="24"/>
        </w:rPr>
        <w:t xml:space="preserve"> </w:t>
      </w:r>
      <w:r>
        <w:rPr>
          <w:sz w:val="24"/>
        </w:rPr>
        <w:t>has</w:t>
      </w:r>
      <w:r>
        <w:rPr>
          <w:spacing w:val="49"/>
          <w:sz w:val="24"/>
        </w:rPr>
        <w:t xml:space="preserve"> </w:t>
      </w:r>
      <w:r>
        <w:rPr>
          <w:sz w:val="24"/>
        </w:rPr>
        <w:t>approved</w:t>
      </w:r>
      <w:r>
        <w:rPr>
          <w:spacing w:val="47"/>
          <w:sz w:val="24"/>
        </w:rPr>
        <w:t xml:space="preserve"> </w:t>
      </w:r>
      <w:r>
        <w:rPr>
          <w:sz w:val="24"/>
        </w:rPr>
        <w:t>the</w:t>
      </w:r>
      <w:r>
        <w:rPr>
          <w:spacing w:val="46"/>
          <w:sz w:val="24"/>
        </w:rPr>
        <w:t xml:space="preserve"> </w:t>
      </w:r>
      <w:r>
        <w:rPr>
          <w:sz w:val="24"/>
        </w:rPr>
        <w:t>A&amp;G</w:t>
      </w:r>
      <w:r>
        <w:rPr>
          <w:spacing w:val="46"/>
          <w:sz w:val="24"/>
        </w:rPr>
        <w:t xml:space="preserve"> </w:t>
      </w:r>
      <w:r>
        <w:rPr>
          <w:sz w:val="24"/>
        </w:rPr>
        <w:t>expenses</w:t>
      </w:r>
      <w:r>
        <w:rPr>
          <w:spacing w:val="48"/>
          <w:sz w:val="24"/>
        </w:rPr>
        <w:t xml:space="preserve"> </w:t>
      </w:r>
      <w:r>
        <w:rPr>
          <w:sz w:val="24"/>
        </w:rPr>
        <w:t>for</w:t>
      </w:r>
      <w:r>
        <w:rPr>
          <w:spacing w:val="45"/>
          <w:sz w:val="24"/>
        </w:rPr>
        <w:t xml:space="preserve"> </w:t>
      </w:r>
      <w:r>
        <w:rPr>
          <w:sz w:val="24"/>
        </w:rPr>
        <w:t>the</w:t>
      </w:r>
      <w:r>
        <w:rPr>
          <w:spacing w:val="46"/>
          <w:sz w:val="24"/>
        </w:rPr>
        <w:t xml:space="preserve"> </w:t>
      </w:r>
      <w:r>
        <w:rPr>
          <w:sz w:val="24"/>
        </w:rPr>
        <w:t>Control</w:t>
      </w:r>
      <w:r>
        <w:rPr>
          <w:spacing w:val="45"/>
          <w:sz w:val="24"/>
        </w:rPr>
        <w:t xml:space="preserve"> </w:t>
      </w:r>
      <w:r>
        <w:rPr>
          <w:sz w:val="24"/>
        </w:rPr>
        <w:t>Period</w:t>
      </w:r>
      <w:r>
        <w:rPr>
          <w:spacing w:val="46"/>
          <w:sz w:val="24"/>
        </w:rPr>
        <w:t xml:space="preserve"> </w:t>
      </w:r>
      <w:r>
        <w:rPr>
          <w:sz w:val="24"/>
        </w:rPr>
        <w:t>from</w:t>
      </w:r>
      <w:r>
        <w:rPr>
          <w:spacing w:val="47"/>
          <w:sz w:val="24"/>
        </w:rPr>
        <w:t xml:space="preserve"> </w:t>
      </w:r>
      <w:r>
        <w:rPr>
          <w:sz w:val="24"/>
        </w:rPr>
        <w:t>FY</w:t>
      </w:r>
    </w:p>
    <w:p w:rsidR="007C5447" w:rsidRDefault="007C5447">
      <w:pPr>
        <w:rPr>
          <w:sz w:val="24"/>
        </w:rPr>
        <w:sectPr w:rsidR="007C5447">
          <w:pgSz w:w="11910" w:h="16840"/>
          <w:pgMar w:top="1360" w:right="620" w:bottom="1240" w:left="900" w:header="0" w:footer="777" w:gutter="0"/>
          <w:cols w:space="720"/>
        </w:sectPr>
      </w:pPr>
    </w:p>
    <w:p w:rsidR="007C5447" w:rsidRDefault="00F6308C">
      <w:pPr>
        <w:pStyle w:val="BodyText"/>
        <w:spacing w:before="60" w:line="312" w:lineRule="auto"/>
        <w:ind w:left="1392" w:right="508"/>
        <w:jc w:val="both"/>
      </w:pPr>
      <w:r>
        <w:lastRenderedPageBreak/>
        <w:t>2016-17 to FY 2018-19, based on the same approach adopted while truing-up for FY 2011-12 to FY 2015-16. The average of actual A&amp;G expenses for past five years, viz., FY 2011-12 to FY 2015-16, as shown in the audited accounts, has been escalated twice by 5.</w:t>
      </w:r>
      <w:r>
        <w:t>72%, as per Tariff Regulations, 2005, to arrive at the A&amp;G expenses for FY 2015-</w:t>
      </w:r>
    </w:p>
    <w:p w:rsidR="007C5447" w:rsidRDefault="00F6308C">
      <w:pPr>
        <w:pStyle w:val="BodyText"/>
        <w:spacing w:before="1" w:line="312" w:lineRule="auto"/>
        <w:ind w:left="1392" w:right="511"/>
        <w:jc w:val="both"/>
      </w:pPr>
      <w:r>
        <w:t>16. A&amp;G expenses arrived at for FY 2015-16, have been further escalated by 5.72% annually for approving A&amp;G expenses for the Control Period from FY 2016-17 to FY 2018-19.</w:t>
      </w:r>
    </w:p>
    <w:p w:rsidR="007C5447" w:rsidRDefault="007C5447">
      <w:pPr>
        <w:pStyle w:val="BodyText"/>
        <w:spacing w:before="9"/>
        <w:rPr>
          <w:sz w:val="20"/>
        </w:rPr>
      </w:pPr>
    </w:p>
    <w:p w:rsidR="007C5447" w:rsidRDefault="00F6308C">
      <w:pPr>
        <w:pStyle w:val="Heading2"/>
        <w:ind w:left="1392"/>
        <w:jc w:val="both"/>
      </w:pPr>
      <w:r>
        <w:t>O&amp;M</w:t>
      </w:r>
      <w:r>
        <w:t xml:space="preserve"> Expenses for new generating stations</w:t>
      </w:r>
    </w:p>
    <w:p w:rsidR="007C5447" w:rsidRDefault="00F6308C">
      <w:pPr>
        <w:pStyle w:val="ListParagraph"/>
        <w:numPr>
          <w:ilvl w:val="2"/>
          <w:numId w:val="114"/>
        </w:numPr>
        <w:tabs>
          <w:tab w:val="left" w:pos="1393"/>
        </w:tabs>
        <w:spacing w:before="204" w:line="312" w:lineRule="auto"/>
        <w:ind w:left="1392" w:right="517" w:hanging="852"/>
        <w:jc w:val="both"/>
        <w:rPr>
          <w:sz w:val="24"/>
        </w:rPr>
      </w:pPr>
      <w:r>
        <w:rPr>
          <w:sz w:val="24"/>
        </w:rPr>
        <w:t>The Commission has determined the O&amp;M expenses for new generating stations of TANGEDCO, namely MTPS Stage III and NCTPS Stage II (Unit 1 and Unit 2) in accordance with Regulation 25(5) of the Tariff Regulations, as rep</w:t>
      </w:r>
      <w:r>
        <w:rPr>
          <w:sz w:val="24"/>
        </w:rPr>
        <w:t>roduced</w:t>
      </w:r>
      <w:r>
        <w:rPr>
          <w:spacing w:val="-7"/>
          <w:sz w:val="24"/>
        </w:rPr>
        <w:t xml:space="preserve"> </w:t>
      </w:r>
      <w:r>
        <w:rPr>
          <w:sz w:val="24"/>
        </w:rPr>
        <w:t>below:</w:t>
      </w:r>
    </w:p>
    <w:p w:rsidR="007C5447" w:rsidRDefault="007C5447">
      <w:pPr>
        <w:pStyle w:val="BodyText"/>
        <w:spacing w:before="9"/>
        <w:rPr>
          <w:sz w:val="20"/>
        </w:rPr>
      </w:pPr>
    </w:p>
    <w:p w:rsidR="007C5447" w:rsidRDefault="00F6308C">
      <w:pPr>
        <w:pStyle w:val="Heading3"/>
        <w:ind w:left="1980"/>
      </w:pPr>
      <w:r>
        <w:rPr>
          <w:b w:val="0"/>
        </w:rPr>
        <w:t>“</w:t>
      </w:r>
      <w:r>
        <w:t>25. Operation and Maintenance Expenses</w:t>
      </w:r>
    </w:p>
    <w:p w:rsidR="007C5447" w:rsidRDefault="007C5447">
      <w:pPr>
        <w:pStyle w:val="BodyText"/>
        <w:spacing w:before="10"/>
        <w:rPr>
          <w:b/>
          <w:i/>
          <w:sz w:val="20"/>
        </w:rPr>
      </w:pPr>
    </w:p>
    <w:p w:rsidR="007C5447" w:rsidRDefault="00F6308C">
      <w:pPr>
        <w:ind w:left="1980"/>
        <w:rPr>
          <w:i/>
          <w:sz w:val="24"/>
        </w:rPr>
      </w:pPr>
      <w:r>
        <w:rPr>
          <w:i/>
          <w:sz w:val="24"/>
        </w:rPr>
        <w:t>…</w:t>
      </w:r>
    </w:p>
    <w:p w:rsidR="007C5447" w:rsidRDefault="007C5447">
      <w:pPr>
        <w:pStyle w:val="BodyText"/>
        <w:spacing w:before="10"/>
        <w:rPr>
          <w:i/>
          <w:sz w:val="20"/>
        </w:rPr>
      </w:pPr>
    </w:p>
    <w:p w:rsidR="007C5447" w:rsidRDefault="00F6308C">
      <w:pPr>
        <w:ind w:left="1980" w:right="1233"/>
        <w:jc w:val="both"/>
        <w:rPr>
          <w:i/>
          <w:sz w:val="24"/>
        </w:rPr>
      </w:pPr>
      <w:r>
        <w:rPr>
          <w:i/>
          <w:sz w:val="24"/>
        </w:rPr>
        <w:t xml:space="preserve">In case of the thermal power generating stations declared under </w:t>
      </w:r>
      <w:r>
        <w:rPr>
          <w:i/>
          <w:sz w:val="24"/>
        </w:rPr>
        <w:t>commercial operation on or after the notification of these Regulations, the base operation and maintenance expenses shall be fixed at 1.0% of the actual capital cost (as admitted by the Commission), in the year of commissioning and shall be subject to an a</w:t>
      </w:r>
      <w:r>
        <w:rPr>
          <w:i/>
          <w:sz w:val="24"/>
        </w:rPr>
        <w:t>nnual escalation of 5.72% per annum for the subsequent years.”</w:t>
      </w:r>
    </w:p>
    <w:p w:rsidR="007C5447" w:rsidRDefault="00F6308C">
      <w:pPr>
        <w:pStyle w:val="ListParagraph"/>
        <w:numPr>
          <w:ilvl w:val="2"/>
          <w:numId w:val="114"/>
        </w:numPr>
        <w:tabs>
          <w:tab w:val="left" w:pos="1393"/>
        </w:tabs>
        <w:spacing w:before="121" w:line="312" w:lineRule="auto"/>
        <w:ind w:left="1392" w:right="515" w:hanging="852"/>
        <w:jc w:val="both"/>
        <w:rPr>
          <w:sz w:val="24"/>
        </w:rPr>
      </w:pPr>
      <w:r>
        <w:rPr>
          <w:sz w:val="24"/>
        </w:rPr>
        <w:t>In the Capital Cost Order for MTPS Stage III and NCTPS Stage II (Unit 1 and 2), the Commission has provisionally approved the project cost and has directed TANGEDCO to file the Petition for app</w:t>
      </w:r>
      <w:r>
        <w:rPr>
          <w:sz w:val="24"/>
        </w:rPr>
        <w:t xml:space="preserve">roval of final capital cost based on completed actual project cost. Therefore, in case if there is any variation in capital cost of MTPS Stage III and NCTPS Stage II (Unit 1 and 2) after final approval, the consequent impact in O&amp;M expenses will be passed </w:t>
      </w:r>
      <w:r>
        <w:rPr>
          <w:sz w:val="24"/>
        </w:rPr>
        <w:t>on while truing up for respective</w:t>
      </w:r>
      <w:r>
        <w:rPr>
          <w:spacing w:val="-2"/>
          <w:sz w:val="24"/>
        </w:rPr>
        <w:t xml:space="preserve"> </w:t>
      </w:r>
      <w:r>
        <w:rPr>
          <w:sz w:val="24"/>
        </w:rPr>
        <w:t>years.</w:t>
      </w:r>
    </w:p>
    <w:p w:rsidR="007C5447" w:rsidRDefault="007C5447">
      <w:pPr>
        <w:pStyle w:val="BodyText"/>
        <w:spacing w:before="10"/>
        <w:rPr>
          <w:sz w:val="20"/>
        </w:rPr>
      </w:pPr>
    </w:p>
    <w:p w:rsidR="007C5447" w:rsidRDefault="00F6308C">
      <w:pPr>
        <w:pStyle w:val="Heading2"/>
        <w:spacing w:line="312" w:lineRule="auto"/>
        <w:ind w:left="4477" w:right="519" w:hanging="3918"/>
      </w:pPr>
      <w:r>
        <w:t>Table 4-11: Approved O&amp;M expenses for the Control Period from FY 2016-17 to FY 2018- 19 (Rs. Crore)</w:t>
      </w:r>
    </w:p>
    <w:tbl>
      <w:tblPr>
        <w:tblW w:w="0" w:type="auto"/>
        <w:tblInd w:w="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0"/>
        <w:gridCol w:w="2667"/>
        <w:gridCol w:w="917"/>
        <w:gridCol w:w="915"/>
        <w:gridCol w:w="917"/>
        <w:gridCol w:w="918"/>
        <w:gridCol w:w="1117"/>
        <w:gridCol w:w="915"/>
      </w:tblGrid>
      <w:tr w:rsidR="007C5447">
        <w:trPr>
          <w:trHeight w:val="381"/>
        </w:trPr>
        <w:tc>
          <w:tcPr>
            <w:tcW w:w="650" w:type="dxa"/>
            <w:vMerge w:val="restart"/>
            <w:shd w:val="clear" w:color="auto" w:fill="F7C9AC"/>
          </w:tcPr>
          <w:p w:rsidR="007C5447" w:rsidRDefault="007C5447">
            <w:pPr>
              <w:pStyle w:val="TableParagraph"/>
              <w:jc w:val="left"/>
              <w:rPr>
                <w:b/>
              </w:rPr>
            </w:pPr>
          </w:p>
          <w:p w:rsidR="007C5447" w:rsidRDefault="00F6308C">
            <w:pPr>
              <w:pStyle w:val="TableParagraph"/>
              <w:spacing w:before="144"/>
              <w:ind w:left="215"/>
              <w:jc w:val="left"/>
              <w:rPr>
                <w:b/>
                <w:sz w:val="20"/>
              </w:rPr>
            </w:pPr>
            <w:r>
              <w:rPr>
                <w:b/>
                <w:sz w:val="20"/>
              </w:rPr>
              <w:t>Sl.</w:t>
            </w:r>
          </w:p>
        </w:tc>
        <w:tc>
          <w:tcPr>
            <w:tcW w:w="2667" w:type="dxa"/>
            <w:vMerge w:val="restart"/>
            <w:shd w:val="clear" w:color="auto" w:fill="F7C9AC"/>
          </w:tcPr>
          <w:p w:rsidR="007C5447" w:rsidRDefault="007C5447">
            <w:pPr>
              <w:pStyle w:val="TableParagraph"/>
              <w:jc w:val="left"/>
              <w:rPr>
                <w:b/>
              </w:rPr>
            </w:pPr>
          </w:p>
          <w:p w:rsidR="007C5447" w:rsidRDefault="00F6308C">
            <w:pPr>
              <w:pStyle w:val="TableParagraph"/>
              <w:spacing w:before="144"/>
              <w:ind w:left="108"/>
              <w:jc w:val="left"/>
              <w:rPr>
                <w:b/>
                <w:sz w:val="20"/>
              </w:rPr>
            </w:pPr>
            <w:r>
              <w:rPr>
                <w:b/>
                <w:sz w:val="20"/>
              </w:rPr>
              <w:t>Power Station</w:t>
            </w:r>
          </w:p>
        </w:tc>
        <w:tc>
          <w:tcPr>
            <w:tcW w:w="2749" w:type="dxa"/>
            <w:gridSpan w:val="3"/>
            <w:shd w:val="clear" w:color="auto" w:fill="F7C9AC"/>
          </w:tcPr>
          <w:p w:rsidR="007C5447" w:rsidRDefault="00F6308C">
            <w:pPr>
              <w:pStyle w:val="TableParagraph"/>
              <w:spacing w:before="74"/>
              <w:ind w:left="794"/>
              <w:jc w:val="left"/>
              <w:rPr>
                <w:b/>
                <w:sz w:val="20"/>
              </w:rPr>
            </w:pPr>
            <w:r>
              <w:rPr>
                <w:b/>
                <w:sz w:val="20"/>
              </w:rPr>
              <w:t>TANGEDCO</w:t>
            </w:r>
          </w:p>
        </w:tc>
        <w:tc>
          <w:tcPr>
            <w:tcW w:w="2950" w:type="dxa"/>
            <w:gridSpan w:val="3"/>
            <w:shd w:val="clear" w:color="auto" w:fill="F7C9AC"/>
          </w:tcPr>
          <w:p w:rsidR="007C5447" w:rsidRDefault="00F6308C">
            <w:pPr>
              <w:pStyle w:val="TableParagraph"/>
              <w:spacing w:before="74"/>
              <w:ind w:left="945"/>
              <w:jc w:val="left"/>
              <w:rPr>
                <w:b/>
                <w:sz w:val="20"/>
              </w:rPr>
            </w:pPr>
            <w:r>
              <w:rPr>
                <w:b/>
                <w:sz w:val="20"/>
              </w:rPr>
              <w:t>Commission</w:t>
            </w:r>
          </w:p>
        </w:tc>
      </w:tr>
      <w:tr w:rsidR="007C5447">
        <w:trPr>
          <w:trHeight w:val="629"/>
        </w:trPr>
        <w:tc>
          <w:tcPr>
            <w:tcW w:w="650" w:type="dxa"/>
            <w:vMerge/>
            <w:tcBorders>
              <w:top w:val="nil"/>
            </w:tcBorders>
            <w:shd w:val="clear" w:color="auto" w:fill="F7C9AC"/>
          </w:tcPr>
          <w:p w:rsidR="007C5447" w:rsidRDefault="007C5447">
            <w:pPr>
              <w:rPr>
                <w:sz w:val="2"/>
                <w:szCs w:val="2"/>
              </w:rPr>
            </w:pPr>
          </w:p>
        </w:tc>
        <w:tc>
          <w:tcPr>
            <w:tcW w:w="2667" w:type="dxa"/>
            <w:vMerge/>
            <w:tcBorders>
              <w:top w:val="nil"/>
            </w:tcBorders>
            <w:shd w:val="clear" w:color="auto" w:fill="F7C9AC"/>
          </w:tcPr>
          <w:p w:rsidR="007C5447" w:rsidRDefault="007C5447">
            <w:pPr>
              <w:rPr>
                <w:sz w:val="2"/>
                <w:szCs w:val="2"/>
              </w:rPr>
            </w:pPr>
          </w:p>
        </w:tc>
        <w:tc>
          <w:tcPr>
            <w:tcW w:w="917" w:type="dxa"/>
            <w:shd w:val="clear" w:color="auto" w:fill="F7C9AC"/>
          </w:tcPr>
          <w:p w:rsidR="007C5447" w:rsidRDefault="00F6308C">
            <w:pPr>
              <w:pStyle w:val="TableParagraph"/>
              <w:spacing w:before="85"/>
              <w:ind w:left="124" w:right="110" w:firstLine="199"/>
              <w:jc w:val="left"/>
              <w:rPr>
                <w:b/>
                <w:sz w:val="20"/>
              </w:rPr>
            </w:pPr>
            <w:r>
              <w:rPr>
                <w:b/>
                <w:sz w:val="20"/>
              </w:rPr>
              <w:t>FY 2016-17</w:t>
            </w:r>
          </w:p>
        </w:tc>
        <w:tc>
          <w:tcPr>
            <w:tcW w:w="915" w:type="dxa"/>
            <w:shd w:val="clear" w:color="auto" w:fill="F7C9AC"/>
          </w:tcPr>
          <w:p w:rsidR="007C5447" w:rsidRDefault="00F6308C">
            <w:pPr>
              <w:pStyle w:val="TableParagraph"/>
              <w:spacing w:before="85"/>
              <w:ind w:left="124" w:right="108" w:firstLine="199"/>
              <w:jc w:val="left"/>
              <w:rPr>
                <w:b/>
                <w:sz w:val="20"/>
              </w:rPr>
            </w:pPr>
            <w:r>
              <w:rPr>
                <w:b/>
                <w:sz w:val="20"/>
              </w:rPr>
              <w:t>FY 2017-18</w:t>
            </w:r>
          </w:p>
        </w:tc>
        <w:tc>
          <w:tcPr>
            <w:tcW w:w="917" w:type="dxa"/>
            <w:shd w:val="clear" w:color="auto" w:fill="F7C9AC"/>
          </w:tcPr>
          <w:p w:rsidR="007C5447" w:rsidRDefault="00F6308C">
            <w:pPr>
              <w:pStyle w:val="TableParagraph"/>
              <w:spacing w:before="85"/>
              <w:ind w:left="124" w:right="110" w:firstLine="199"/>
              <w:jc w:val="left"/>
              <w:rPr>
                <w:b/>
                <w:sz w:val="20"/>
              </w:rPr>
            </w:pPr>
            <w:r>
              <w:rPr>
                <w:b/>
                <w:sz w:val="20"/>
              </w:rPr>
              <w:t>FY 2018-19</w:t>
            </w:r>
          </w:p>
        </w:tc>
        <w:tc>
          <w:tcPr>
            <w:tcW w:w="918" w:type="dxa"/>
            <w:shd w:val="clear" w:color="auto" w:fill="F7C9AC"/>
          </w:tcPr>
          <w:p w:rsidR="007C5447" w:rsidRDefault="00F6308C">
            <w:pPr>
              <w:pStyle w:val="TableParagraph"/>
              <w:spacing w:before="85"/>
              <w:ind w:left="124" w:right="112" w:firstLine="199"/>
              <w:jc w:val="left"/>
              <w:rPr>
                <w:b/>
                <w:sz w:val="20"/>
              </w:rPr>
            </w:pPr>
            <w:r>
              <w:rPr>
                <w:b/>
                <w:sz w:val="20"/>
              </w:rPr>
              <w:t>FY 2016-17</w:t>
            </w:r>
          </w:p>
        </w:tc>
        <w:tc>
          <w:tcPr>
            <w:tcW w:w="1117" w:type="dxa"/>
            <w:shd w:val="clear" w:color="auto" w:fill="F7C9AC"/>
          </w:tcPr>
          <w:p w:rsidR="007C5447" w:rsidRDefault="00F6308C">
            <w:pPr>
              <w:pStyle w:val="TableParagraph"/>
              <w:spacing w:before="85"/>
              <w:ind w:left="119" w:right="163"/>
              <w:jc w:val="center"/>
              <w:rPr>
                <w:b/>
                <w:sz w:val="20"/>
              </w:rPr>
            </w:pPr>
            <w:r>
              <w:rPr>
                <w:b/>
                <w:sz w:val="20"/>
              </w:rPr>
              <w:t>FY 2017-</w:t>
            </w:r>
          </w:p>
          <w:p w:rsidR="007C5447" w:rsidRDefault="00F6308C">
            <w:pPr>
              <w:pStyle w:val="TableParagraph"/>
              <w:ind w:left="117" w:right="163"/>
              <w:jc w:val="center"/>
              <w:rPr>
                <w:b/>
                <w:sz w:val="20"/>
              </w:rPr>
            </w:pPr>
            <w:r>
              <w:rPr>
                <w:b/>
                <w:sz w:val="20"/>
              </w:rPr>
              <w:t>18</w:t>
            </w:r>
          </w:p>
        </w:tc>
        <w:tc>
          <w:tcPr>
            <w:tcW w:w="915" w:type="dxa"/>
            <w:shd w:val="clear" w:color="auto" w:fill="F7C9AC"/>
          </w:tcPr>
          <w:p w:rsidR="007C5447" w:rsidRDefault="00F6308C">
            <w:pPr>
              <w:pStyle w:val="TableParagraph"/>
              <w:spacing w:before="85"/>
              <w:ind w:left="122" w:right="110" w:firstLine="199"/>
              <w:jc w:val="left"/>
              <w:rPr>
                <w:b/>
                <w:sz w:val="20"/>
              </w:rPr>
            </w:pPr>
            <w:r>
              <w:rPr>
                <w:b/>
                <w:sz w:val="20"/>
              </w:rPr>
              <w:t>FY 2018-19</w:t>
            </w:r>
          </w:p>
        </w:tc>
      </w:tr>
      <w:tr w:rsidR="007C5447">
        <w:trPr>
          <w:trHeight w:val="301"/>
        </w:trPr>
        <w:tc>
          <w:tcPr>
            <w:tcW w:w="650" w:type="dxa"/>
          </w:tcPr>
          <w:p w:rsidR="007C5447" w:rsidRDefault="00F6308C">
            <w:pPr>
              <w:pStyle w:val="TableParagraph"/>
              <w:spacing w:before="36"/>
              <w:ind w:right="265"/>
              <w:rPr>
                <w:sz w:val="20"/>
              </w:rPr>
            </w:pPr>
            <w:r>
              <w:rPr>
                <w:w w:val="99"/>
                <w:sz w:val="20"/>
              </w:rPr>
              <w:t>1</w:t>
            </w:r>
          </w:p>
        </w:tc>
        <w:tc>
          <w:tcPr>
            <w:tcW w:w="2667" w:type="dxa"/>
          </w:tcPr>
          <w:p w:rsidR="007C5447" w:rsidRDefault="00F6308C">
            <w:pPr>
              <w:pStyle w:val="TableParagraph"/>
              <w:spacing w:before="36"/>
              <w:ind w:left="108"/>
              <w:jc w:val="left"/>
              <w:rPr>
                <w:sz w:val="20"/>
              </w:rPr>
            </w:pPr>
            <w:r>
              <w:rPr>
                <w:sz w:val="20"/>
              </w:rPr>
              <w:t>Ennore TPS</w:t>
            </w:r>
          </w:p>
        </w:tc>
        <w:tc>
          <w:tcPr>
            <w:tcW w:w="917" w:type="dxa"/>
          </w:tcPr>
          <w:p w:rsidR="007C5447" w:rsidRDefault="00F6308C">
            <w:pPr>
              <w:pStyle w:val="TableParagraph"/>
              <w:spacing w:before="36"/>
              <w:ind w:right="98"/>
              <w:rPr>
                <w:sz w:val="20"/>
              </w:rPr>
            </w:pPr>
            <w:r>
              <w:rPr>
                <w:w w:val="95"/>
                <w:sz w:val="20"/>
              </w:rPr>
              <w:t>145.92</w:t>
            </w:r>
          </w:p>
        </w:tc>
        <w:tc>
          <w:tcPr>
            <w:tcW w:w="915" w:type="dxa"/>
          </w:tcPr>
          <w:p w:rsidR="007C5447" w:rsidRDefault="00F6308C">
            <w:pPr>
              <w:pStyle w:val="TableParagraph"/>
              <w:spacing w:before="36"/>
              <w:ind w:right="95"/>
              <w:rPr>
                <w:sz w:val="20"/>
              </w:rPr>
            </w:pPr>
            <w:r>
              <w:rPr>
                <w:w w:val="95"/>
                <w:sz w:val="20"/>
              </w:rPr>
              <w:t>21.63</w:t>
            </w:r>
          </w:p>
        </w:tc>
        <w:tc>
          <w:tcPr>
            <w:tcW w:w="917" w:type="dxa"/>
          </w:tcPr>
          <w:p w:rsidR="007C5447" w:rsidRDefault="00F6308C">
            <w:pPr>
              <w:pStyle w:val="TableParagraph"/>
              <w:spacing w:before="36"/>
              <w:ind w:right="98"/>
              <w:rPr>
                <w:sz w:val="20"/>
              </w:rPr>
            </w:pPr>
            <w:r>
              <w:rPr>
                <w:w w:val="95"/>
                <w:sz w:val="20"/>
              </w:rPr>
              <w:t>21.63</w:t>
            </w:r>
          </w:p>
        </w:tc>
        <w:tc>
          <w:tcPr>
            <w:tcW w:w="918" w:type="dxa"/>
          </w:tcPr>
          <w:p w:rsidR="007C5447" w:rsidRDefault="00F6308C">
            <w:pPr>
              <w:pStyle w:val="TableParagraph"/>
              <w:spacing w:before="36"/>
              <w:ind w:right="99"/>
              <w:rPr>
                <w:sz w:val="20"/>
              </w:rPr>
            </w:pPr>
            <w:r>
              <w:rPr>
                <w:w w:val="95"/>
                <w:sz w:val="20"/>
              </w:rPr>
              <w:t>142.33</w:t>
            </w:r>
          </w:p>
        </w:tc>
        <w:tc>
          <w:tcPr>
            <w:tcW w:w="1117" w:type="dxa"/>
          </w:tcPr>
          <w:p w:rsidR="007C5447" w:rsidRDefault="00F6308C">
            <w:pPr>
              <w:pStyle w:val="TableParagraph"/>
              <w:spacing w:before="36"/>
              <w:ind w:right="96"/>
              <w:rPr>
                <w:sz w:val="20"/>
              </w:rPr>
            </w:pPr>
            <w:r>
              <w:rPr>
                <w:w w:val="99"/>
                <w:sz w:val="20"/>
              </w:rPr>
              <w:t>-</w:t>
            </w:r>
          </w:p>
        </w:tc>
        <w:tc>
          <w:tcPr>
            <w:tcW w:w="915" w:type="dxa"/>
          </w:tcPr>
          <w:p w:rsidR="007C5447" w:rsidRDefault="00F6308C">
            <w:pPr>
              <w:pStyle w:val="TableParagraph"/>
              <w:spacing w:before="36"/>
              <w:ind w:right="94"/>
              <w:rPr>
                <w:sz w:val="20"/>
              </w:rPr>
            </w:pPr>
            <w:r>
              <w:rPr>
                <w:w w:val="99"/>
                <w:sz w:val="20"/>
              </w:rPr>
              <w:t>-</w:t>
            </w:r>
          </w:p>
        </w:tc>
      </w:tr>
      <w:tr w:rsidR="007C5447">
        <w:trPr>
          <w:trHeight w:val="299"/>
        </w:trPr>
        <w:tc>
          <w:tcPr>
            <w:tcW w:w="650" w:type="dxa"/>
          </w:tcPr>
          <w:p w:rsidR="007C5447" w:rsidRDefault="00F6308C">
            <w:pPr>
              <w:pStyle w:val="TableParagraph"/>
              <w:spacing w:before="34"/>
              <w:ind w:right="265"/>
              <w:rPr>
                <w:sz w:val="20"/>
              </w:rPr>
            </w:pPr>
            <w:r>
              <w:rPr>
                <w:w w:val="99"/>
                <w:sz w:val="20"/>
              </w:rPr>
              <w:t>2</w:t>
            </w:r>
          </w:p>
        </w:tc>
        <w:tc>
          <w:tcPr>
            <w:tcW w:w="2667" w:type="dxa"/>
          </w:tcPr>
          <w:p w:rsidR="007C5447" w:rsidRDefault="00F6308C">
            <w:pPr>
              <w:pStyle w:val="TableParagraph"/>
              <w:spacing w:before="34"/>
              <w:ind w:left="108"/>
              <w:jc w:val="left"/>
              <w:rPr>
                <w:sz w:val="20"/>
              </w:rPr>
            </w:pPr>
            <w:r>
              <w:rPr>
                <w:sz w:val="20"/>
              </w:rPr>
              <w:t>Tuticorin TPS</w:t>
            </w:r>
          </w:p>
        </w:tc>
        <w:tc>
          <w:tcPr>
            <w:tcW w:w="917" w:type="dxa"/>
          </w:tcPr>
          <w:p w:rsidR="007C5447" w:rsidRDefault="00F6308C">
            <w:pPr>
              <w:pStyle w:val="TableParagraph"/>
              <w:spacing w:before="34"/>
              <w:ind w:right="98"/>
              <w:rPr>
                <w:sz w:val="20"/>
              </w:rPr>
            </w:pPr>
            <w:r>
              <w:rPr>
                <w:w w:val="95"/>
                <w:sz w:val="20"/>
              </w:rPr>
              <w:t>339.30</w:t>
            </w:r>
          </w:p>
        </w:tc>
        <w:tc>
          <w:tcPr>
            <w:tcW w:w="915" w:type="dxa"/>
          </w:tcPr>
          <w:p w:rsidR="007C5447" w:rsidRDefault="00F6308C">
            <w:pPr>
              <w:pStyle w:val="TableParagraph"/>
              <w:spacing w:before="34"/>
              <w:ind w:right="95"/>
              <w:rPr>
                <w:sz w:val="20"/>
              </w:rPr>
            </w:pPr>
            <w:r>
              <w:rPr>
                <w:w w:val="95"/>
                <w:sz w:val="20"/>
              </w:rPr>
              <w:t>358.71</w:t>
            </w:r>
          </w:p>
        </w:tc>
        <w:tc>
          <w:tcPr>
            <w:tcW w:w="917" w:type="dxa"/>
          </w:tcPr>
          <w:p w:rsidR="007C5447" w:rsidRDefault="00F6308C">
            <w:pPr>
              <w:pStyle w:val="TableParagraph"/>
              <w:spacing w:before="34"/>
              <w:ind w:right="98"/>
              <w:rPr>
                <w:sz w:val="20"/>
              </w:rPr>
            </w:pPr>
            <w:r>
              <w:rPr>
                <w:w w:val="95"/>
                <w:sz w:val="20"/>
              </w:rPr>
              <w:t>379.23</w:t>
            </w:r>
          </w:p>
        </w:tc>
        <w:tc>
          <w:tcPr>
            <w:tcW w:w="918" w:type="dxa"/>
          </w:tcPr>
          <w:p w:rsidR="007C5447" w:rsidRDefault="00F6308C">
            <w:pPr>
              <w:pStyle w:val="TableParagraph"/>
              <w:spacing w:before="34"/>
              <w:ind w:right="99"/>
              <w:rPr>
                <w:sz w:val="20"/>
              </w:rPr>
            </w:pPr>
            <w:r>
              <w:rPr>
                <w:w w:val="95"/>
                <w:sz w:val="20"/>
              </w:rPr>
              <w:t>332.32</w:t>
            </w:r>
          </w:p>
        </w:tc>
        <w:tc>
          <w:tcPr>
            <w:tcW w:w="1117" w:type="dxa"/>
          </w:tcPr>
          <w:p w:rsidR="007C5447" w:rsidRDefault="00F6308C">
            <w:pPr>
              <w:pStyle w:val="TableParagraph"/>
              <w:spacing w:before="34"/>
              <w:ind w:right="100"/>
              <w:rPr>
                <w:sz w:val="20"/>
              </w:rPr>
            </w:pPr>
            <w:r>
              <w:rPr>
                <w:w w:val="95"/>
                <w:sz w:val="20"/>
              </w:rPr>
              <w:t>360.06</w:t>
            </w:r>
          </w:p>
        </w:tc>
        <w:tc>
          <w:tcPr>
            <w:tcW w:w="915" w:type="dxa"/>
          </w:tcPr>
          <w:p w:rsidR="007C5447" w:rsidRDefault="00F6308C">
            <w:pPr>
              <w:pStyle w:val="TableParagraph"/>
              <w:spacing w:before="34"/>
              <w:ind w:right="98"/>
              <w:rPr>
                <w:sz w:val="20"/>
              </w:rPr>
            </w:pPr>
            <w:r>
              <w:rPr>
                <w:w w:val="95"/>
                <w:sz w:val="20"/>
              </w:rPr>
              <w:t>389.11</w:t>
            </w:r>
          </w:p>
        </w:tc>
      </w:tr>
      <w:tr w:rsidR="007C5447">
        <w:trPr>
          <w:trHeight w:val="299"/>
        </w:trPr>
        <w:tc>
          <w:tcPr>
            <w:tcW w:w="650" w:type="dxa"/>
          </w:tcPr>
          <w:p w:rsidR="007C5447" w:rsidRDefault="00F6308C">
            <w:pPr>
              <w:pStyle w:val="TableParagraph"/>
              <w:spacing w:before="34"/>
              <w:ind w:right="265"/>
              <w:rPr>
                <w:sz w:val="20"/>
              </w:rPr>
            </w:pPr>
            <w:r>
              <w:rPr>
                <w:w w:val="99"/>
                <w:sz w:val="20"/>
              </w:rPr>
              <w:t>3</w:t>
            </w:r>
          </w:p>
        </w:tc>
        <w:tc>
          <w:tcPr>
            <w:tcW w:w="2667" w:type="dxa"/>
          </w:tcPr>
          <w:p w:rsidR="007C5447" w:rsidRDefault="00F6308C">
            <w:pPr>
              <w:pStyle w:val="TableParagraph"/>
              <w:spacing w:before="34"/>
              <w:ind w:left="108"/>
              <w:jc w:val="left"/>
              <w:rPr>
                <w:sz w:val="20"/>
              </w:rPr>
            </w:pPr>
            <w:r>
              <w:rPr>
                <w:sz w:val="20"/>
              </w:rPr>
              <w:t>Mettur TPS</w:t>
            </w:r>
          </w:p>
        </w:tc>
        <w:tc>
          <w:tcPr>
            <w:tcW w:w="917" w:type="dxa"/>
          </w:tcPr>
          <w:p w:rsidR="007C5447" w:rsidRDefault="00F6308C">
            <w:pPr>
              <w:pStyle w:val="TableParagraph"/>
              <w:spacing w:before="34"/>
              <w:ind w:right="98"/>
              <w:rPr>
                <w:sz w:val="20"/>
              </w:rPr>
            </w:pPr>
            <w:r>
              <w:rPr>
                <w:w w:val="95"/>
                <w:sz w:val="20"/>
              </w:rPr>
              <w:t>267.00</w:t>
            </w:r>
          </w:p>
        </w:tc>
        <w:tc>
          <w:tcPr>
            <w:tcW w:w="915" w:type="dxa"/>
          </w:tcPr>
          <w:p w:rsidR="007C5447" w:rsidRDefault="00F6308C">
            <w:pPr>
              <w:pStyle w:val="TableParagraph"/>
              <w:spacing w:before="34"/>
              <w:ind w:right="95"/>
              <w:rPr>
                <w:sz w:val="20"/>
              </w:rPr>
            </w:pPr>
            <w:r>
              <w:rPr>
                <w:w w:val="95"/>
                <w:sz w:val="20"/>
              </w:rPr>
              <w:t>282.27</w:t>
            </w:r>
          </w:p>
        </w:tc>
        <w:tc>
          <w:tcPr>
            <w:tcW w:w="917" w:type="dxa"/>
          </w:tcPr>
          <w:p w:rsidR="007C5447" w:rsidRDefault="00F6308C">
            <w:pPr>
              <w:pStyle w:val="TableParagraph"/>
              <w:spacing w:before="34"/>
              <w:ind w:right="98"/>
              <w:rPr>
                <w:sz w:val="20"/>
              </w:rPr>
            </w:pPr>
            <w:r>
              <w:rPr>
                <w:w w:val="95"/>
                <w:sz w:val="20"/>
              </w:rPr>
              <w:t>298.42</w:t>
            </w:r>
          </w:p>
        </w:tc>
        <w:tc>
          <w:tcPr>
            <w:tcW w:w="918" w:type="dxa"/>
          </w:tcPr>
          <w:p w:rsidR="007C5447" w:rsidRDefault="00F6308C">
            <w:pPr>
              <w:pStyle w:val="TableParagraph"/>
              <w:spacing w:before="34"/>
              <w:ind w:right="99"/>
              <w:rPr>
                <w:sz w:val="20"/>
              </w:rPr>
            </w:pPr>
            <w:r>
              <w:rPr>
                <w:w w:val="95"/>
                <w:sz w:val="20"/>
              </w:rPr>
              <w:t>254.05</w:t>
            </w:r>
          </w:p>
        </w:tc>
        <w:tc>
          <w:tcPr>
            <w:tcW w:w="1117" w:type="dxa"/>
          </w:tcPr>
          <w:p w:rsidR="007C5447" w:rsidRDefault="00F6308C">
            <w:pPr>
              <w:pStyle w:val="TableParagraph"/>
              <w:spacing w:before="34"/>
              <w:ind w:right="100"/>
              <w:rPr>
                <w:sz w:val="20"/>
              </w:rPr>
            </w:pPr>
            <w:r>
              <w:rPr>
                <w:w w:val="95"/>
                <w:sz w:val="20"/>
              </w:rPr>
              <w:t>275.26</w:t>
            </w:r>
          </w:p>
        </w:tc>
        <w:tc>
          <w:tcPr>
            <w:tcW w:w="915" w:type="dxa"/>
          </w:tcPr>
          <w:p w:rsidR="007C5447" w:rsidRDefault="00F6308C">
            <w:pPr>
              <w:pStyle w:val="TableParagraph"/>
              <w:spacing w:before="34"/>
              <w:ind w:right="98"/>
              <w:rPr>
                <w:sz w:val="20"/>
              </w:rPr>
            </w:pPr>
            <w:r>
              <w:rPr>
                <w:w w:val="95"/>
                <w:sz w:val="20"/>
              </w:rPr>
              <w:t>297.46</w:t>
            </w:r>
          </w:p>
        </w:tc>
      </w:tr>
      <w:tr w:rsidR="007C5447">
        <w:trPr>
          <w:trHeight w:val="299"/>
        </w:trPr>
        <w:tc>
          <w:tcPr>
            <w:tcW w:w="650" w:type="dxa"/>
          </w:tcPr>
          <w:p w:rsidR="007C5447" w:rsidRDefault="00F6308C">
            <w:pPr>
              <w:pStyle w:val="TableParagraph"/>
              <w:spacing w:before="34"/>
              <w:ind w:right="265"/>
              <w:rPr>
                <w:sz w:val="20"/>
              </w:rPr>
            </w:pPr>
            <w:r>
              <w:rPr>
                <w:w w:val="99"/>
                <w:sz w:val="20"/>
              </w:rPr>
              <w:t>4</w:t>
            </w:r>
          </w:p>
        </w:tc>
        <w:tc>
          <w:tcPr>
            <w:tcW w:w="2667" w:type="dxa"/>
          </w:tcPr>
          <w:p w:rsidR="007C5447" w:rsidRDefault="00F6308C">
            <w:pPr>
              <w:pStyle w:val="TableParagraph"/>
              <w:spacing w:before="34"/>
              <w:ind w:left="108"/>
              <w:jc w:val="left"/>
              <w:rPr>
                <w:sz w:val="20"/>
              </w:rPr>
            </w:pPr>
            <w:r>
              <w:rPr>
                <w:sz w:val="20"/>
              </w:rPr>
              <w:t>North Chennai TPS</w:t>
            </w:r>
          </w:p>
        </w:tc>
        <w:tc>
          <w:tcPr>
            <w:tcW w:w="917" w:type="dxa"/>
          </w:tcPr>
          <w:p w:rsidR="007C5447" w:rsidRDefault="00F6308C">
            <w:pPr>
              <w:pStyle w:val="TableParagraph"/>
              <w:spacing w:before="34"/>
              <w:ind w:right="98"/>
              <w:rPr>
                <w:sz w:val="20"/>
              </w:rPr>
            </w:pPr>
            <w:r>
              <w:rPr>
                <w:w w:val="95"/>
                <w:sz w:val="20"/>
              </w:rPr>
              <w:t>241.70</w:t>
            </w:r>
          </w:p>
        </w:tc>
        <w:tc>
          <w:tcPr>
            <w:tcW w:w="915" w:type="dxa"/>
          </w:tcPr>
          <w:p w:rsidR="007C5447" w:rsidRDefault="00F6308C">
            <w:pPr>
              <w:pStyle w:val="TableParagraph"/>
              <w:spacing w:before="34"/>
              <w:ind w:right="95"/>
              <w:rPr>
                <w:sz w:val="20"/>
              </w:rPr>
            </w:pPr>
            <w:r>
              <w:rPr>
                <w:w w:val="95"/>
                <w:sz w:val="20"/>
              </w:rPr>
              <w:t>255.53</w:t>
            </w:r>
          </w:p>
        </w:tc>
        <w:tc>
          <w:tcPr>
            <w:tcW w:w="917" w:type="dxa"/>
          </w:tcPr>
          <w:p w:rsidR="007C5447" w:rsidRDefault="00F6308C">
            <w:pPr>
              <w:pStyle w:val="TableParagraph"/>
              <w:spacing w:before="34"/>
              <w:ind w:right="98"/>
              <w:rPr>
                <w:sz w:val="20"/>
              </w:rPr>
            </w:pPr>
            <w:r>
              <w:rPr>
                <w:w w:val="95"/>
                <w:sz w:val="20"/>
              </w:rPr>
              <w:t>270.15</w:t>
            </w:r>
          </w:p>
        </w:tc>
        <w:tc>
          <w:tcPr>
            <w:tcW w:w="918" w:type="dxa"/>
          </w:tcPr>
          <w:p w:rsidR="007C5447" w:rsidRDefault="00F6308C">
            <w:pPr>
              <w:pStyle w:val="TableParagraph"/>
              <w:spacing w:before="34"/>
              <w:ind w:right="99"/>
              <w:rPr>
                <w:sz w:val="20"/>
              </w:rPr>
            </w:pPr>
            <w:r>
              <w:rPr>
                <w:w w:val="95"/>
                <w:sz w:val="20"/>
              </w:rPr>
              <w:t>237.01</w:t>
            </w:r>
          </w:p>
        </w:tc>
        <w:tc>
          <w:tcPr>
            <w:tcW w:w="1117" w:type="dxa"/>
          </w:tcPr>
          <w:p w:rsidR="007C5447" w:rsidRDefault="00F6308C">
            <w:pPr>
              <w:pStyle w:val="TableParagraph"/>
              <w:spacing w:before="34"/>
              <w:ind w:right="100"/>
              <w:rPr>
                <w:sz w:val="20"/>
              </w:rPr>
            </w:pPr>
            <w:r>
              <w:rPr>
                <w:w w:val="95"/>
                <w:sz w:val="20"/>
              </w:rPr>
              <w:t>256.80</w:t>
            </w:r>
          </w:p>
        </w:tc>
        <w:tc>
          <w:tcPr>
            <w:tcW w:w="915" w:type="dxa"/>
          </w:tcPr>
          <w:p w:rsidR="007C5447" w:rsidRDefault="00F6308C">
            <w:pPr>
              <w:pStyle w:val="TableParagraph"/>
              <w:spacing w:before="34"/>
              <w:ind w:right="98"/>
              <w:rPr>
                <w:sz w:val="20"/>
              </w:rPr>
            </w:pPr>
            <w:r>
              <w:rPr>
                <w:w w:val="95"/>
                <w:sz w:val="20"/>
              </w:rPr>
              <w:t>277.51</w:t>
            </w:r>
          </w:p>
        </w:tc>
      </w:tr>
      <w:tr w:rsidR="007C5447">
        <w:trPr>
          <w:trHeight w:val="299"/>
        </w:trPr>
        <w:tc>
          <w:tcPr>
            <w:tcW w:w="650" w:type="dxa"/>
          </w:tcPr>
          <w:p w:rsidR="007C5447" w:rsidRDefault="00F6308C">
            <w:pPr>
              <w:pStyle w:val="TableParagraph"/>
              <w:spacing w:before="36"/>
              <w:ind w:right="265"/>
              <w:rPr>
                <w:sz w:val="20"/>
              </w:rPr>
            </w:pPr>
            <w:r>
              <w:rPr>
                <w:w w:val="99"/>
                <w:sz w:val="20"/>
              </w:rPr>
              <w:t>5</w:t>
            </w:r>
          </w:p>
        </w:tc>
        <w:tc>
          <w:tcPr>
            <w:tcW w:w="2667" w:type="dxa"/>
          </w:tcPr>
          <w:p w:rsidR="007C5447" w:rsidRDefault="00F6308C">
            <w:pPr>
              <w:pStyle w:val="TableParagraph"/>
              <w:spacing w:before="36"/>
              <w:ind w:left="108"/>
              <w:jc w:val="left"/>
              <w:rPr>
                <w:sz w:val="20"/>
              </w:rPr>
            </w:pPr>
            <w:r>
              <w:rPr>
                <w:sz w:val="20"/>
              </w:rPr>
              <w:t>Mettur TPS Stage III</w:t>
            </w:r>
          </w:p>
        </w:tc>
        <w:tc>
          <w:tcPr>
            <w:tcW w:w="917" w:type="dxa"/>
          </w:tcPr>
          <w:p w:rsidR="007C5447" w:rsidRDefault="00F6308C">
            <w:pPr>
              <w:pStyle w:val="TableParagraph"/>
              <w:spacing w:before="36"/>
              <w:ind w:right="98"/>
              <w:rPr>
                <w:sz w:val="20"/>
              </w:rPr>
            </w:pPr>
            <w:r>
              <w:rPr>
                <w:w w:val="95"/>
                <w:sz w:val="20"/>
              </w:rPr>
              <w:t>103.80</w:t>
            </w:r>
          </w:p>
        </w:tc>
        <w:tc>
          <w:tcPr>
            <w:tcW w:w="915" w:type="dxa"/>
          </w:tcPr>
          <w:p w:rsidR="007C5447" w:rsidRDefault="00F6308C">
            <w:pPr>
              <w:pStyle w:val="TableParagraph"/>
              <w:spacing w:before="36"/>
              <w:ind w:right="95"/>
              <w:rPr>
                <w:sz w:val="20"/>
              </w:rPr>
            </w:pPr>
            <w:r>
              <w:rPr>
                <w:w w:val="95"/>
                <w:sz w:val="20"/>
              </w:rPr>
              <w:t>109.74</w:t>
            </w:r>
          </w:p>
        </w:tc>
        <w:tc>
          <w:tcPr>
            <w:tcW w:w="917" w:type="dxa"/>
          </w:tcPr>
          <w:p w:rsidR="007C5447" w:rsidRDefault="00F6308C">
            <w:pPr>
              <w:pStyle w:val="TableParagraph"/>
              <w:spacing w:before="36"/>
              <w:ind w:right="98"/>
              <w:rPr>
                <w:sz w:val="20"/>
              </w:rPr>
            </w:pPr>
            <w:r>
              <w:rPr>
                <w:w w:val="95"/>
                <w:sz w:val="20"/>
              </w:rPr>
              <w:t>116.01</w:t>
            </w:r>
          </w:p>
        </w:tc>
        <w:tc>
          <w:tcPr>
            <w:tcW w:w="918" w:type="dxa"/>
          </w:tcPr>
          <w:p w:rsidR="007C5447" w:rsidRDefault="00F6308C">
            <w:pPr>
              <w:pStyle w:val="TableParagraph"/>
              <w:spacing w:before="36"/>
              <w:ind w:right="99"/>
              <w:rPr>
                <w:sz w:val="20"/>
              </w:rPr>
            </w:pPr>
            <w:r>
              <w:rPr>
                <w:w w:val="95"/>
                <w:sz w:val="20"/>
              </w:rPr>
              <w:t>45.10</w:t>
            </w:r>
          </w:p>
        </w:tc>
        <w:tc>
          <w:tcPr>
            <w:tcW w:w="1117" w:type="dxa"/>
          </w:tcPr>
          <w:p w:rsidR="007C5447" w:rsidRDefault="00F6308C">
            <w:pPr>
              <w:pStyle w:val="TableParagraph"/>
              <w:spacing w:before="36"/>
              <w:ind w:right="99"/>
              <w:rPr>
                <w:sz w:val="20"/>
              </w:rPr>
            </w:pPr>
            <w:r>
              <w:rPr>
                <w:w w:val="95"/>
                <w:sz w:val="20"/>
              </w:rPr>
              <w:t>47.67</w:t>
            </w:r>
          </w:p>
        </w:tc>
        <w:tc>
          <w:tcPr>
            <w:tcW w:w="915" w:type="dxa"/>
          </w:tcPr>
          <w:p w:rsidR="007C5447" w:rsidRDefault="00F6308C">
            <w:pPr>
              <w:pStyle w:val="TableParagraph"/>
              <w:spacing w:before="36"/>
              <w:ind w:right="98"/>
              <w:rPr>
                <w:sz w:val="20"/>
              </w:rPr>
            </w:pPr>
            <w:r>
              <w:rPr>
                <w:w w:val="95"/>
                <w:sz w:val="20"/>
              </w:rPr>
              <w:t>50.40</w:t>
            </w:r>
          </w:p>
        </w:tc>
      </w:tr>
      <w:tr w:rsidR="007C5447">
        <w:trPr>
          <w:trHeight w:val="301"/>
        </w:trPr>
        <w:tc>
          <w:tcPr>
            <w:tcW w:w="650" w:type="dxa"/>
          </w:tcPr>
          <w:p w:rsidR="007C5447" w:rsidRDefault="00F6308C">
            <w:pPr>
              <w:pStyle w:val="TableParagraph"/>
              <w:spacing w:before="36"/>
              <w:ind w:right="265"/>
              <w:rPr>
                <w:sz w:val="20"/>
              </w:rPr>
            </w:pPr>
            <w:r>
              <w:rPr>
                <w:w w:val="99"/>
                <w:sz w:val="20"/>
              </w:rPr>
              <w:t>6</w:t>
            </w:r>
          </w:p>
        </w:tc>
        <w:tc>
          <w:tcPr>
            <w:tcW w:w="2667" w:type="dxa"/>
          </w:tcPr>
          <w:p w:rsidR="007C5447" w:rsidRDefault="00F6308C">
            <w:pPr>
              <w:pStyle w:val="TableParagraph"/>
              <w:spacing w:before="36"/>
              <w:ind w:left="108"/>
              <w:jc w:val="left"/>
              <w:rPr>
                <w:sz w:val="20"/>
              </w:rPr>
            </w:pPr>
            <w:r>
              <w:rPr>
                <w:sz w:val="20"/>
              </w:rPr>
              <w:t>North Chennai TPS II</w:t>
            </w:r>
          </w:p>
        </w:tc>
        <w:tc>
          <w:tcPr>
            <w:tcW w:w="917" w:type="dxa"/>
          </w:tcPr>
          <w:p w:rsidR="007C5447" w:rsidRDefault="00F6308C">
            <w:pPr>
              <w:pStyle w:val="TableParagraph"/>
              <w:spacing w:before="36"/>
              <w:ind w:right="98"/>
              <w:rPr>
                <w:sz w:val="20"/>
              </w:rPr>
            </w:pPr>
            <w:r>
              <w:rPr>
                <w:w w:val="95"/>
                <w:sz w:val="20"/>
              </w:rPr>
              <w:t>177.66</w:t>
            </w:r>
          </w:p>
        </w:tc>
        <w:tc>
          <w:tcPr>
            <w:tcW w:w="915" w:type="dxa"/>
          </w:tcPr>
          <w:p w:rsidR="007C5447" w:rsidRDefault="00F6308C">
            <w:pPr>
              <w:pStyle w:val="TableParagraph"/>
              <w:spacing w:before="36"/>
              <w:ind w:right="95"/>
              <w:rPr>
                <w:sz w:val="20"/>
              </w:rPr>
            </w:pPr>
            <w:r>
              <w:rPr>
                <w:w w:val="95"/>
                <w:sz w:val="20"/>
              </w:rPr>
              <w:t>188.27</w:t>
            </w:r>
          </w:p>
        </w:tc>
        <w:tc>
          <w:tcPr>
            <w:tcW w:w="917" w:type="dxa"/>
          </w:tcPr>
          <w:p w:rsidR="007C5447" w:rsidRDefault="00F6308C">
            <w:pPr>
              <w:pStyle w:val="TableParagraph"/>
              <w:spacing w:before="36"/>
              <w:ind w:right="98"/>
              <w:rPr>
                <w:sz w:val="20"/>
              </w:rPr>
            </w:pPr>
            <w:r>
              <w:rPr>
                <w:w w:val="95"/>
                <w:sz w:val="20"/>
              </w:rPr>
              <w:t>199.52</w:t>
            </w:r>
          </w:p>
        </w:tc>
        <w:tc>
          <w:tcPr>
            <w:tcW w:w="918" w:type="dxa"/>
          </w:tcPr>
          <w:p w:rsidR="007C5447" w:rsidRDefault="00F6308C">
            <w:pPr>
              <w:pStyle w:val="TableParagraph"/>
              <w:spacing w:before="36"/>
              <w:ind w:right="99"/>
              <w:rPr>
                <w:sz w:val="20"/>
              </w:rPr>
            </w:pPr>
            <w:r>
              <w:rPr>
                <w:w w:val="95"/>
                <w:sz w:val="20"/>
              </w:rPr>
              <w:t>75.79</w:t>
            </w:r>
          </w:p>
        </w:tc>
        <w:tc>
          <w:tcPr>
            <w:tcW w:w="1117" w:type="dxa"/>
          </w:tcPr>
          <w:p w:rsidR="007C5447" w:rsidRDefault="00F6308C">
            <w:pPr>
              <w:pStyle w:val="TableParagraph"/>
              <w:spacing w:before="36"/>
              <w:ind w:right="99"/>
              <w:rPr>
                <w:sz w:val="20"/>
              </w:rPr>
            </w:pPr>
            <w:r>
              <w:rPr>
                <w:w w:val="95"/>
                <w:sz w:val="20"/>
              </w:rPr>
              <w:t>80.12</w:t>
            </w:r>
          </w:p>
        </w:tc>
        <w:tc>
          <w:tcPr>
            <w:tcW w:w="915" w:type="dxa"/>
          </w:tcPr>
          <w:p w:rsidR="007C5447" w:rsidRDefault="00F6308C">
            <w:pPr>
              <w:pStyle w:val="TableParagraph"/>
              <w:spacing w:before="36"/>
              <w:ind w:right="98"/>
              <w:rPr>
                <w:sz w:val="20"/>
              </w:rPr>
            </w:pPr>
            <w:r>
              <w:rPr>
                <w:w w:val="95"/>
                <w:sz w:val="20"/>
              </w:rPr>
              <w:t>84.71</w:t>
            </w:r>
          </w:p>
        </w:tc>
      </w:tr>
    </w:tbl>
    <w:p w:rsidR="007C5447" w:rsidRDefault="007C5447">
      <w:pPr>
        <w:rPr>
          <w:sz w:val="20"/>
        </w:rPr>
        <w:sectPr w:rsidR="007C5447">
          <w:pgSz w:w="11910" w:h="16840"/>
          <w:pgMar w:top="1360" w:right="620" w:bottom="1240" w:left="900" w:header="0" w:footer="777" w:gutter="0"/>
          <w:cols w:space="720"/>
        </w:sectPr>
      </w:pPr>
    </w:p>
    <w:tbl>
      <w:tblPr>
        <w:tblW w:w="0" w:type="auto"/>
        <w:tblInd w:w="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0"/>
        <w:gridCol w:w="2667"/>
        <w:gridCol w:w="917"/>
        <w:gridCol w:w="915"/>
        <w:gridCol w:w="917"/>
        <w:gridCol w:w="918"/>
        <w:gridCol w:w="1117"/>
        <w:gridCol w:w="915"/>
      </w:tblGrid>
      <w:tr w:rsidR="007C5447">
        <w:trPr>
          <w:trHeight w:val="381"/>
        </w:trPr>
        <w:tc>
          <w:tcPr>
            <w:tcW w:w="650" w:type="dxa"/>
            <w:vMerge w:val="restart"/>
            <w:shd w:val="clear" w:color="auto" w:fill="F7C9AC"/>
          </w:tcPr>
          <w:p w:rsidR="007C5447" w:rsidRDefault="007C5447">
            <w:pPr>
              <w:pStyle w:val="TableParagraph"/>
              <w:jc w:val="left"/>
              <w:rPr>
                <w:b/>
              </w:rPr>
            </w:pPr>
          </w:p>
          <w:p w:rsidR="007C5447" w:rsidRDefault="00F6308C">
            <w:pPr>
              <w:pStyle w:val="TableParagraph"/>
              <w:spacing w:before="143"/>
              <w:ind w:left="215"/>
              <w:jc w:val="left"/>
              <w:rPr>
                <w:b/>
                <w:sz w:val="20"/>
              </w:rPr>
            </w:pPr>
            <w:r>
              <w:rPr>
                <w:b/>
                <w:sz w:val="20"/>
              </w:rPr>
              <w:t>Sl.</w:t>
            </w:r>
          </w:p>
        </w:tc>
        <w:tc>
          <w:tcPr>
            <w:tcW w:w="2667" w:type="dxa"/>
            <w:vMerge w:val="restart"/>
            <w:shd w:val="clear" w:color="auto" w:fill="F7C9AC"/>
          </w:tcPr>
          <w:p w:rsidR="007C5447" w:rsidRDefault="007C5447">
            <w:pPr>
              <w:pStyle w:val="TableParagraph"/>
              <w:jc w:val="left"/>
              <w:rPr>
                <w:b/>
              </w:rPr>
            </w:pPr>
          </w:p>
          <w:p w:rsidR="007C5447" w:rsidRDefault="00F6308C">
            <w:pPr>
              <w:pStyle w:val="TableParagraph"/>
              <w:spacing w:before="143"/>
              <w:ind w:left="108"/>
              <w:jc w:val="left"/>
              <w:rPr>
                <w:b/>
                <w:sz w:val="20"/>
              </w:rPr>
            </w:pPr>
            <w:r>
              <w:rPr>
                <w:b/>
                <w:sz w:val="20"/>
              </w:rPr>
              <w:t>Power Station</w:t>
            </w:r>
          </w:p>
        </w:tc>
        <w:tc>
          <w:tcPr>
            <w:tcW w:w="2749" w:type="dxa"/>
            <w:gridSpan w:val="3"/>
            <w:shd w:val="clear" w:color="auto" w:fill="F7C9AC"/>
          </w:tcPr>
          <w:p w:rsidR="007C5447" w:rsidRDefault="00F6308C">
            <w:pPr>
              <w:pStyle w:val="TableParagraph"/>
              <w:spacing w:before="74"/>
              <w:ind w:left="794"/>
              <w:jc w:val="left"/>
              <w:rPr>
                <w:b/>
                <w:sz w:val="20"/>
              </w:rPr>
            </w:pPr>
            <w:r>
              <w:rPr>
                <w:b/>
                <w:sz w:val="20"/>
              </w:rPr>
              <w:t>TANGEDCO</w:t>
            </w:r>
          </w:p>
        </w:tc>
        <w:tc>
          <w:tcPr>
            <w:tcW w:w="2950" w:type="dxa"/>
            <w:gridSpan w:val="3"/>
            <w:shd w:val="clear" w:color="auto" w:fill="F7C9AC"/>
          </w:tcPr>
          <w:p w:rsidR="007C5447" w:rsidRDefault="00F6308C">
            <w:pPr>
              <w:pStyle w:val="TableParagraph"/>
              <w:spacing w:before="74"/>
              <w:ind w:left="945"/>
              <w:jc w:val="left"/>
              <w:rPr>
                <w:b/>
                <w:sz w:val="20"/>
              </w:rPr>
            </w:pPr>
            <w:r>
              <w:rPr>
                <w:b/>
                <w:sz w:val="20"/>
              </w:rPr>
              <w:t>Commission</w:t>
            </w:r>
          </w:p>
        </w:tc>
      </w:tr>
      <w:tr w:rsidR="007C5447">
        <w:trPr>
          <w:trHeight w:val="628"/>
        </w:trPr>
        <w:tc>
          <w:tcPr>
            <w:tcW w:w="650" w:type="dxa"/>
            <w:vMerge/>
            <w:tcBorders>
              <w:top w:val="nil"/>
            </w:tcBorders>
            <w:shd w:val="clear" w:color="auto" w:fill="F7C9AC"/>
          </w:tcPr>
          <w:p w:rsidR="007C5447" w:rsidRDefault="007C5447">
            <w:pPr>
              <w:rPr>
                <w:sz w:val="2"/>
                <w:szCs w:val="2"/>
              </w:rPr>
            </w:pPr>
          </w:p>
        </w:tc>
        <w:tc>
          <w:tcPr>
            <w:tcW w:w="2667" w:type="dxa"/>
            <w:vMerge/>
            <w:tcBorders>
              <w:top w:val="nil"/>
            </w:tcBorders>
            <w:shd w:val="clear" w:color="auto" w:fill="F7C9AC"/>
          </w:tcPr>
          <w:p w:rsidR="007C5447" w:rsidRDefault="007C5447">
            <w:pPr>
              <w:rPr>
                <w:sz w:val="2"/>
                <w:szCs w:val="2"/>
              </w:rPr>
            </w:pPr>
          </w:p>
        </w:tc>
        <w:tc>
          <w:tcPr>
            <w:tcW w:w="917" w:type="dxa"/>
            <w:shd w:val="clear" w:color="auto" w:fill="F7C9AC"/>
          </w:tcPr>
          <w:p w:rsidR="007C5447" w:rsidRDefault="00F6308C">
            <w:pPr>
              <w:pStyle w:val="TableParagraph"/>
              <w:spacing w:before="84"/>
              <w:ind w:left="124" w:right="110" w:firstLine="199"/>
              <w:jc w:val="left"/>
              <w:rPr>
                <w:b/>
                <w:sz w:val="20"/>
              </w:rPr>
            </w:pPr>
            <w:r>
              <w:rPr>
                <w:b/>
                <w:sz w:val="20"/>
              </w:rPr>
              <w:t>FY 2016-17</w:t>
            </w:r>
          </w:p>
        </w:tc>
        <w:tc>
          <w:tcPr>
            <w:tcW w:w="915" w:type="dxa"/>
            <w:shd w:val="clear" w:color="auto" w:fill="F7C9AC"/>
          </w:tcPr>
          <w:p w:rsidR="007C5447" w:rsidRDefault="00F6308C">
            <w:pPr>
              <w:pStyle w:val="TableParagraph"/>
              <w:spacing w:before="84"/>
              <w:ind w:left="124" w:right="108" w:firstLine="199"/>
              <w:jc w:val="left"/>
              <w:rPr>
                <w:b/>
                <w:sz w:val="20"/>
              </w:rPr>
            </w:pPr>
            <w:r>
              <w:rPr>
                <w:b/>
                <w:sz w:val="20"/>
              </w:rPr>
              <w:t>FY 2017-18</w:t>
            </w:r>
          </w:p>
        </w:tc>
        <w:tc>
          <w:tcPr>
            <w:tcW w:w="917" w:type="dxa"/>
            <w:shd w:val="clear" w:color="auto" w:fill="F7C9AC"/>
          </w:tcPr>
          <w:p w:rsidR="007C5447" w:rsidRDefault="00F6308C">
            <w:pPr>
              <w:pStyle w:val="TableParagraph"/>
              <w:spacing w:before="84"/>
              <w:ind w:left="124" w:right="110" w:firstLine="199"/>
              <w:jc w:val="left"/>
              <w:rPr>
                <w:b/>
                <w:sz w:val="20"/>
              </w:rPr>
            </w:pPr>
            <w:r>
              <w:rPr>
                <w:b/>
                <w:sz w:val="20"/>
              </w:rPr>
              <w:t>FY 2018-19</w:t>
            </w:r>
          </w:p>
        </w:tc>
        <w:tc>
          <w:tcPr>
            <w:tcW w:w="918" w:type="dxa"/>
            <w:shd w:val="clear" w:color="auto" w:fill="F7C9AC"/>
          </w:tcPr>
          <w:p w:rsidR="007C5447" w:rsidRDefault="00F6308C">
            <w:pPr>
              <w:pStyle w:val="TableParagraph"/>
              <w:spacing w:before="84"/>
              <w:ind w:left="124" w:right="112" w:firstLine="199"/>
              <w:jc w:val="left"/>
              <w:rPr>
                <w:b/>
                <w:sz w:val="20"/>
              </w:rPr>
            </w:pPr>
            <w:r>
              <w:rPr>
                <w:b/>
                <w:sz w:val="20"/>
              </w:rPr>
              <w:t>FY 2016-17</w:t>
            </w:r>
          </w:p>
        </w:tc>
        <w:tc>
          <w:tcPr>
            <w:tcW w:w="1117" w:type="dxa"/>
            <w:shd w:val="clear" w:color="auto" w:fill="F7C9AC"/>
          </w:tcPr>
          <w:p w:rsidR="007C5447" w:rsidRDefault="00F6308C">
            <w:pPr>
              <w:pStyle w:val="TableParagraph"/>
              <w:spacing w:before="84"/>
              <w:ind w:left="119" w:right="163"/>
              <w:jc w:val="center"/>
              <w:rPr>
                <w:b/>
                <w:sz w:val="20"/>
              </w:rPr>
            </w:pPr>
            <w:r>
              <w:rPr>
                <w:b/>
                <w:sz w:val="20"/>
              </w:rPr>
              <w:t>FY 2017-</w:t>
            </w:r>
          </w:p>
          <w:p w:rsidR="007C5447" w:rsidRDefault="00F6308C">
            <w:pPr>
              <w:pStyle w:val="TableParagraph"/>
              <w:ind w:left="117" w:right="163"/>
              <w:jc w:val="center"/>
              <w:rPr>
                <w:b/>
                <w:sz w:val="20"/>
              </w:rPr>
            </w:pPr>
            <w:r>
              <w:rPr>
                <w:b/>
                <w:sz w:val="20"/>
              </w:rPr>
              <w:t>18</w:t>
            </w:r>
          </w:p>
        </w:tc>
        <w:tc>
          <w:tcPr>
            <w:tcW w:w="915" w:type="dxa"/>
            <w:shd w:val="clear" w:color="auto" w:fill="F7C9AC"/>
          </w:tcPr>
          <w:p w:rsidR="007C5447" w:rsidRDefault="00F6308C">
            <w:pPr>
              <w:pStyle w:val="TableParagraph"/>
              <w:spacing w:before="84"/>
              <w:ind w:left="122" w:right="110" w:firstLine="199"/>
              <w:jc w:val="left"/>
              <w:rPr>
                <w:b/>
                <w:sz w:val="20"/>
              </w:rPr>
            </w:pPr>
            <w:r>
              <w:rPr>
                <w:b/>
                <w:sz w:val="20"/>
              </w:rPr>
              <w:t>FY 2018-19</w:t>
            </w:r>
          </w:p>
        </w:tc>
      </w:tr>
      <w:tr w:rsidR="007C5447">
        <w:trPr>
          <w:trHeight w:val="299"/>
        </w:trPr>
        <w:tc>
          <w:tcPr>
            <w:tcW w:w="650" w:type="dxa"/>
          </w:tcPr>
          <w:p w:rsidR="007C5447" w:rsidRDefault="00F6308C">
            <w:pPr>
              <w:pStyle w:val="TableParagraph"/>
              <w:spacing w:before="36"/>
              <w:ind w:left="6"/>
              <w:jc w:val="center"/>
              <w:rPr>
                <w:sz w:val="20"/>
              </w:rPr>
            </w:pPr>
            <w:r>
              <w:rPr>
                <w:w w:val="99"/>
                <w:sz w:val="20"/>
              </w:rPr>
              <w:t>7</w:t>
            </w:r>
          </w:p>
        </w:tc>
        <w:tc>
          <w:tcPr>
            <w:tcW w:w="2667" w:type="dxa"/>
          </w:tcPr>
          <w:p w:rsidR="007C5447" w:rsidRDefault="00F6308C">
            <w:pPr>
              <w:pStyle w:val="TableParagraph"/>
              <w:spacing w:before="36"/>
              <w:ind w:left="108"/>
              <w:jc w:val="left"/>
              <w:rPr>
                <w:sz w:val="20"/>
              </w:rPr>
            </w:pPr>
            <w:r>
              <w:rPr>
                <w:sz w:val="20"/>
              </w:rPr>
              <w:t>Ennore Expansion</w:t>
            </w:r>
          </w:p>
        </w:tc>
        <w:tc>
          <w:tcPr>
            <w:tcW w:w="917" w:type="dxa"/>
          </w:tcPr>
          <w:p w:rsidR="007C5447" w:rsidRDefault="007C5447">
            <w:pPr>
              <w:pStyle w:val="TableParagraph"/>
              <w:jc w:val="left"/>
            </w:pPr>
          </w:p>
        </w:tc>
        <w:tc>
          <w:tcPr>
            <w:tcW w:w="915" w:type="dxa"/>
          </w:tcPr>
          <w:p w:rsidR="007C5447" w:rsidRDefault="00F6308C">
            <w:pPr>
              <w:pStyle w:val="TableParagraph"/>
              <w:spacing w:before="36"/>
              <w:ind w:right="94"/>
              <w:rPr>
                <w:sz w:val="20"/>
              </w:rPr>
            </w:pPr>
            <w:r>
              <w:rPr>
                <w:w w:val="99"/>
                <w:sz w:val="20"/>
              </w:rPr>
              <w:t>-</w:t>
            </w:r>
          </w:p>
        </w:tc>
        <w:tc>
          <w:tcPr>
            <w:tcW w:w="917" w:type="dxa"/>
          </w:tcPr>
          <w:p w:rsidR="007C5447" w:rsidRDefault="00F6308C">
            <w:pPr>
              <w:pStyle w:val="TableParagraph"/>
              <w:spacing w:before="36"/>
              <w:ind w:right="96"/>
              <w:rPr>
                <w:sz w:val="20"/>
              </w:rPr>
            </w:pPr>
            <w:r>
              <w:rPr>
                <w:w w:val="95"/>
                <w:sz w:val="20"/>
              </w:rPr>
              <w:t>122.00</w:t>
            </w:r>
          </w:p>
        </w:tc>
        <w:tc>
          <w:tcPr>
            <w:tcW w:w="918" w:type="dxa"/>
          </w:tcPr>
          <w:p w:rsidR="007C5447" w:rsidRDefault="00F6308C">
            <w:pPr>
              <w:pStyle w:val="TableParagraph"/>
              <w:spacing w:before="36"/>
              <w:ind w:right="98"/>
              <w:rPr>
                <w:sz w:val="20"/>
              </w:rPr>
            </w:pPr>
            <w:r>
              <w:rPr>
                <w:w w:val="99"/>
                <w:sz w:val="20"/>
              </w:rPr>
              <w:t>-</w:t>
            </w:r>
          </w:p>
        </w:tc>
        <w:tc>
          <w:tcPr>
            <w:tcW w:w="1117" w:type="dxa"/>
          </w:tcPr>
          <w:p w:rsidR="007C5447" w:rsidRDefault="00F6308C">
            <w:pPr>
              <w:pStyle w:val="TableParagraph"/>
              <w:spacing w:before="36"/>
              <w:ind w:right="98"/>
              <w:rPr>
                <w:sz w:val="20"/>
              </w:rPr>
            </w:pPr>
            <w:r>
              <w:rPr>
                <w:w w:val="99"/>
                <w:sz w:val="20"/>
              </w:rPr>
              <w:t>-</w:t>
            </w:r>
          </w:p>
        </w:tc>
        <w:tc>
          <w:tcPr>
            <w:tcW w:w="915" w:type="dxa"/>
          </w:tcPr>
          <w:p w:rsidR="007C5447" w:rsidRDefault="00F6308C">
            <w:pPr>
              <w:pStyle w:val="TableParagraph"/>
              <w:spacing w:before="36"/>
              <w:ind w:right="95"/>
              <w:rPr>
                <w:sz w:val="20"/>
              </w:rPr>
            </w:pPr>
            <w:r>
              <w:rPr>
                <w:w w:val="95"/>
                <w:sz w:val="20"/>
              </w:rPr>
              <w:t>122.00</w:t>
            </w:r>
          </w:p>
        </w:tc>
      </w:tr>
      <w:tr w:rsidR="007C5447">
        <w:trPr>
          <w:trHeight w:val="302"/>
        </w:trPr>
        <w:tc>
          <w:tcPr>
            <w:tcW w:w="650" w:type="dxa"/>
          </w:tcPr>
          <w:p w:rsidR="007C5447" w:rsidRDefault="00F6308C">
            <w:pPr>
              <w:pStyle w:val="TableParagraph"/>
              <w:spacing w:before="36"/>
              <w:ind w:left="6"/>
              <w:jc w:val="center"/>
              <w:rPr>
                <w:sz w:val="20"/>
              </w:rPr>
            </w:pPr>
            <w:r>
              <w:rPr>
                <w:w w:val="99"/>
                <w:sz w:val="20"/>
              </w:rPr>
              <w:t>8</w:t>
            </w:r>
          </w:p>
        </w:tc>
        <w:tc>
          <w:tcPr>
            <w:tcW w:w="2667" w:type="dxa"/>
          </w:tcPr>
          <w:p w:rsidR="007C5447" w:rsidRDefault="00F6308C">
            <w:pPr>
              <w:pStyle w:val="TableParagraph"/>
              <w:spacing w:before="36"/>
              <w:ind w:left="108"/>
              <w:jc w:val="left"/>
              <w:rPr>
                <w:sz w:val="20"/>
              </w:rPr>
            </w:pPr>
            <w:r>
              <w:rPr>
                <w:sz w:val="20"/>
              </w:rPr>
              <w:t>Tirumakottai GTPS</w:t>
            </w:r>
          </w:p>
        </w:tc>
        <w:tc>
          <w:tcPr>
            <w:tcW w:w="917" w:type="dxa"/>
          </w:tcPr>
          <w:p w:rsidR="007C5447" w:rsidRDefault="00F6308C">
            <w:pPr>
              <w:pStyle w:val="TableParagraph"/>
              <w:spacing w:before="36"/>
              <w:ind w:right="95"/>
              <w:rPr>
                <w:sz w:val="20"/>
              </w:rPr>
            </w:pPr>
            <w:r>
              <w:rPr>
                <w:sz w:val="20"/>
              </w:rPr>
              <w:t>13.64</w:t>
            </w:r>
          </w:p>
        </w:tc>
        <w:tc>
          <w:tcPr>
            <w:tcW w:w="915" w:type="dxa"/>
          </w:tcPr>
          <w:p w:rsidR="007C5447" w:rsidRDefault="00F6308C">
            <w:pPr>
              <w:pStyle w:val="TableParagraph"/>
              <w:spacing w:before="36"/>
              <w:ind w:right="93"/>
              <w:rPr>
                <w:sz w:val="20"/>
              </w:rPr>
            </w:pPr>
            <w:r>
              <w:rPr>
                <w:sz w:val="20"/>
              </w:rPr>
              <w:t>14.44</w:t>
            </w:r>
          </w:p>
        </w:tc>
        <w:tc>
          <w:tcPr>
            <w:tcW w:w="917" w:type="dxa"/>
          </w:tcPr>
          <w:p w:rsidR="007C5447" w:rsidRDefault="00F6308C">
            <w:pPr>
              <w:pStyle w:val="TableParagraph"/>
              <w:spacing w:before="36"/>
              <w:ind w:right="96"/>
              <w:rPr>
                <w:sz w:val="20"/>
              </w:rPr>
            </w:pPr>
            <w:r>
              <w:rPr>
                <w:sz w:val="20"/>
              </w:rPr>
              <w:t>15.29</w:t>
            </w:r>
          </w:p>
        </w:tc>
        <w:tc>
          <w:tcPr>
            <w:tcW w:w="918" w:type="dxa"/>
          </w:tcPr>
          <w:p w:rsidR="007C5447" w:rsidRDefault="00F6308C">
            <w:pPr>
              <w:pStyle w:val="TableParagraph"/>
              <w:spacing w:before="36"/>
              <w:ind w:right="97"/>
              <w:rPr>
                <w:sz w:val="20"/>
              </w:rPr>
            </w:pPr>
            <w:r>
              <w:rPr>
                <w:sz w:val="20"/>
              </w:rPr>
              <w:t>13.32</w:t>
            </w:r>
          </w:p>
        </w:tc>
        <w:tc>
          <w:tcPr>
            <w:tcW w:w="1117" w:type="dxa"/>
          </w:tcPr>
          <w:p w:rsidR="007C5447" w:rsidRDefault="00F6308C">
            <w:pPr>
              <w:pStyle w:val="TableParagraph"/>
              <w:spacing w:before="36"/>
              <w:ind w:right="97"/>
              <w:rPr>
                <w:sz w:val="20"/>
              </w:rPr>
            </w:pPr>
            <w:r>
              <w:rPr>
                <w:sz w:val="20"/>
              </w:rPr>
              <w:t>14.43</w:t>
            </w:r>
          </w:p>
        </w:tc>
        <w:tc>
          <w:tcPr>
            <w:tcW w:w="915" w:type="dxa"/>
          </w:tcPr>
          <w:p w:rsidR="007C5447" w:rsidRDefault="00F6308C">
            <w:pPr>
              <w:pStyle w:val="TableParagraph"/>
              <w:spacing w:before="36"/>
              <w:ind w:right="95"/>
              <w:rPr>
                <w:sz w:val="20"/>
              </w:rPr>
            </w:pPr>
            <w:r>
              <w:rPr>
                <w:sz w:val="20"/>
              </w:rPr>
              <w:t>15.59</w:t>
            </w:r>
          </w:p>
        </w:tc>
      </w:tr>
      <w:tr w:rsidR="007C5447">
        <w:trPr>
          <w:trHeight w:val="299"/>
        </w:trPr>
        <w:tc>
          <w:tcPr>
            <w:tcW w:w="650" w:type="dxa"/>
          </w:tcPr>
          <w:p w:rsidR="007C5447" w:rsidRDefault="00F6308C">
            <w:pPr>
              <w:pStyle w:val="TableParagraph"/>
              <w:spacing w:before="34"/>
              <w:ind w:left="6"/>
              <w:jc w:val="center"/>
              <w:rPr>
                <w:sz w:val="20"/>
              </w:rPr>
            </w:pPr>
            <w:r>
              <w:rPr>
                <w:w w:val="99"/>
                <w:sz w:val="20"/>
              </w:rPr>
              <w:t>9</w:t>
            </w:r>
          </w:p>
        </w:tc>
        <w:tc>
          <w:tcPr>
            <w:tcW w:w="2667" w:type="dxa"/>
          </w:tcPr>
          <w:p w:rsidR="007C5447" w:rsidRDefault="00F6308C">
            <w:pPr>
              <w:pStyle w:val="TableParagraph"/>
              <w:spacing w:before="34"/>
              <w:ind w:left="108"/>
              <w:jc w:val="left"/>
              <w:rPr>
                <w:sz w:val="20"/>
              </w:rPr>
            </w:pPr>
            <w:r>
              <w:rPr>
                <w:sz w:val="20"/>
              </w:rPr>
              <w:t>Kuttalam GTPS</w:t>
            </w:r>
          </w:p>
        </w:tc>
        <w:tc>
          <w:tcPr>
            <w:tcW w:w="917" w:type="dxa"/>
          </w:tcPr>
          <w:p w:rsidR="007C5447" w:rsidRDefault="00F6308C">
            <w:pPr>
              <w:pStyle w:val="TableParagraph"/>
              <w:spacing w:before="34"/>
              <w:ind w:right="95"/>
              <w:rPr>
                <w:sz w:val="20"/>
              </w:rPr>
            </w:pPr>
            <w:r>
              <w:rPr>
                <w:sz w:val="20"/>
              </w:rPr>
              <w:t>10.38</w:t>
            </w:r>
          </w:p>
        </w:tc>
        <w:tc>
          <w:tcPr>
            <w:tcW w:w="915" w:type="dxa"/>
          </w:tcPr>
          <w:p w:rsidR="007C5447" w:rsidRDefault="00F6308C">
            <w:pPr>
              <w:pStyle w:val="TableParagraph"/>
              <w:spacing w:before="34"/>
              <w:ind w:right="93"/>
              <w:rPr>
                <w:sz w:val="20"/>
              </w:rPr>
            </w:pPr>
            <w:r>
              <w:rPr>
                <w:sz w:val="20"/>
              </w:rPr>
              <w:t>11.04</w:t>
            </w:r>
          </w:p>
        </w:tc>
        <w:tc>
          <w:tcPr>
            <w:tcW w:w="917" w:type="dxa"/>
          </w:tcPr>
          <w:p w:rsidR="007C5447" w:rsidRDefault="00F6308C">
            <w:pPr>
              <w:pStyle w:val="TableParagraph"/>
              <w:spacing w:before="34"/>
              <w:ind w:right="95"/>
              <w:rPr>
                <w:sz w:val="20"/>
              </w:rPr>
            </w:pPr>
            <w:r>
              <w:rPr>
                <w:sz w:val="20"/>
              </w:rPr>
              <w:t>11.74</w:t>
            </w:r>
          </w:p>
        </w:tc>
        <w:tc>
          <w:tcPr>
            <w:tcW w:w="918" w:type="dxa"/>
          </w:tcPr>
          <w:p w:rsidR="007C5447" w:rsidRDefault="00F6308C">
            <w:pPr>
              <w:pStyle w:val="TableParagraph"/>
              <w:spacing w:before="34"/>
              <w:ind w:right="97"/>
              <w:rPr>
                <w:sz w:val="20"/>
              </w:rPr>
            </w:pPr>
            <w:r>
              <w:rPr>
                <w:sz w:val="20"/>
              </w:rPr>
              <w:t>10.06</w:t>
            </w:r>
          </w:p>
        </w:tc>
        <w:tc>
          <w:tcPr>
            <w:tcW w:w="1117" w:type="dxa"/>
          </w:tcPr>
          <w:p w:rsidR="007C5447" w:rsidRDefault="00F6308C">
            <w:pPr>
              <w:pStyle w:val="TableParagraph"/>
              <w:spacing w:before="34"/>
              <w:ind w:right="97"/>
              <w:rPr>
                <w:sz w:val="20"/>
              </w:rPr>
            </w:pPr>
            <w:r>
              <w:rPr>
                <w:sz w:val="20"/>
              </w:rPr>
              <w:t>10.90</w:t>
            </w:r>
          </w:p>
        </w:tc>
        <w:tc>
          <w:tcPr>
            <w:tcW w:w="915" w:type="dxa"/>
          </w:tcPr>
          <w:p w:rsidR="007C5447" w:rsidRDefault="00F6308C">
            <w:pPr>
              <w:pStyle w:val="TableParagraph"/>
              <w:spacing w:before="34"/>
              <w:ind w:right="95"/>
              <w:rPr>
                <w:sz w:val="20"/>
              </w:rPr>
            </w:pPr>
            <w:r>
              <w:rPr>
                <w:sz w:val="20"/>
              </w:rPr>
              <w:t>11.78</w:t>
            </w:r>
          </w:p>
        </w:tc>
      </w:tr>
      <w:tr w:rsidR="007C5447">
        <w:trPr>
          <w:trHeight w:val="299"/>
        </w:trPr>
        <w:tc>
          <w:tcPr>
            <w:tcW w:w="650" w:type="dxa"/>
          </w:tcPr>
          <w:p w:rsidR="007C5447" w:rsidRDefault="00F6308C">
            <w:pPr>
              <w:pStyle w:val="TableParagraph"/>
              <w:spacing w:before="34"/>
              <w:ind w:left="203" w:right="196"/>
              <w:jc w:val="center"/>
              <w:rPr>
                <w:sz w:val="20"/>
              </w:rPr>
            </w:pPr>
            <w:r>
              <w:rPr>
                <w:sz w:val="20"/>
              </w:rPr>
              <w:t>10</w:t>
            </w:r>
          </w:p>
        </w:tc>
        <w:tc>
          <w:tcPr>
            <w:tcW w:w="2667" w:type="dxa"/>
          </w:tcPr>
          <w:p w:rsidR="007C5447" w:rsidRDefault="00F6308C">
            <w:pPr>
              <w:pStyle w:val="TableParagraph"/>
              <w:spacing w:before="34"/>
              <w:ind w:left="108"/>
              <w:jc w:val="left"/>
              <w:rPr>
                <w:sz w:val="20"/>
              </w:rPr>
            </w:pPr>
            <w:r>
              <w:rPr>
                <w:sz w:val="20"/>
              </w:rPr>
              <w:t>Basin Bridge GTPS (Naphtha)</w:t>
            </w:r>
          </w:p>
        </w:tc>
        <w:tc>
          <w:tcPr>
            <w:tcW w:w="917" w:type="dxa"/>
          </w:tcPr>
          <w:p w:rsidR="007C5447" w:rsidRDefault="00F6308C">
            <w:pPr>
              <w:pStyle w:val="TableParagraph"/>
              <w:spacing w:before="34"/>
              <w:ind w:right="95"/>
              <w:rPr>
                <w:sz w:val="20"/>
              </w:rPr>
            </w:pPr>
            <w:r>
              <w:rPr>
                <w:sz w:val="20"/>
              </w:rPr>
              <w:t>8.78</w:t>
            </w:r>
          </w:p>
        </w:tc>
        <w:tc>
          <w:tcPr>
            <w:tcW w:w="915" w:type="dxa"/>
          </w:tcPr>
          <w:p w:rsidR="007C5447" w:rsidRDefault="00F6308C">
            <w:pPr>
              <w:pStyle w:val="TableParagraph"/>
              <w:spacing w:before="34"/>
              <w:ind w:right="93"/>
              <w:rPr>
                <w:sz w:val="20"/>
              </w:rPr>
            </w:pPr>
            <w:r>
              <w:rPr>
                <w:sz w:val="20"/>
              </w:rPr>
              <w:t>9.28</w:t>
            </w:r>
          </w:p>
        </w:tc>
        <w:tc>
          <w:tcPr>
            <w:tcW w:w="917" w:type="dxa"/>
          </w:tcPr>
          <w:p w:rsidR="007C5447" w:rsidRDefault="00F6308C">
            <w:pPr>
              <w:pStyle w:val="TableParagraph"/>
              <w:spacing w:before="34"/>
              <w:ind w:right="95"/>
              <w:rPr>
                <w:sz w:val="20"/>
              </w:rPr>
            </w:pPr>
            <w:r>
              <w:rPr>
                <w:sz w:val="20"/>
              </w:rPr>
              <w:t>9.81</w:t>
            </w:r>
          </w:p>
        </w:tc>
        <w:tc>
          <w:tcPr>
            <w:tcW w:w="918" w:type="dxa"/>
          </w:tcPr>
          <w:p w:rsidR="007C5447" w:rsidRDefault="00F6308C">
            <w:pPr>
              <w:pStyle w:val="TableParagraph"/>
              <w:spacing w:before="34"/>
              <w:ind w:right="97"/>
              <w:rPr>
                <w:sz w:val="20"/>
              </w:rPr>
            </w:pPr>
            <w:r>
              <w:rPr>
                <w:sz w:val="20"/>
              </w:rPr>
              <w:t>8.53</w:t>
            </w:r>
          </w:p>
        </w:tc>
        <w:tc>
          <w:tcPr>
            <w:tcW w:w="1117" w:type="dxa"/>
          </w:tcPr>
          <w:p w:rsidR="007C5447" w:rsidRDefault="00F6308C">
            <w:pPr>
              <w:pStyle w:val="TableParagraph"/>
              <w:spacing w:before="34"/>
              <w:ind w:right="97"/>
              <w:rPr>
                <w:sz w:val="20"/>
              </w:rPr>
            </w:pPr>
            <w:r>
              <w:rPr>
                <w:sz w:val="20"/>
              </w:rPr>
              <w:t>9.24</w:t>
            </w:r>
          </w:p>
        </w:tc>
        <w:tc>
          <w:tcPr>
            <w:tcW w:w="915" w:type="dxa"/>
          </w:tcPr>
          <w:p w:rsidR="007C5447" w:rsidRDefault="00F6308C">
            <w:pPr>
              <w:pStyle w:val="TableParagraph"/>
              <w:spacing w:before="34"/>
              <w:ind w:right="95"/>
              <w:rPr>
                <w:sz w:val="20"/>
              </w:rPr>
            </w:pPr>
            <w:r>
              <w:rPr>
                <w:sz w:val="20"/>
              </w:rPr>
              <w:t>9.98</w:t>
            </w:r>
          </w:p>
        </w:tc>
      </w:tr>
      <w:tr w:rsidR="007C5447">
        <w:trPr>
          <w:trHeight w:val="299"/>
        </w:trPr>
        <w:tc>
          <w:tcPr>
            <w:tcW w:w="650" w:type="dxa"/>
          </w:tcPr>
          <w:p w:rsidR="007C5447" w:rsidRDefault="00F6308C">
            <w:pPr>
              <w:pStyle w:val="TableParagraph"/>
              <w:spacing w:before="34"/>
              <w:ind w:left="203" w:right="196"/>
              <w:jc w:val="center"/>
              <w:rPr>
                <w:sz w:val="20"/>
              </w:rPr>
            </w:pPr>
            <w:r>
              <w:rPr>
                <w:sz w:val="20"/>
              </w:rPr>
              <w:t>11</w:t>
            </w:r>
          </w:p>
        </w:tc>
        <w:tc>
          <w:tcPr>
            <w:tcW w:w="2667" w:type="dxa"/>
          </w:tcPr>
          <w:p w:rsidR="007C5447" w:rsidRDefault="00F6308C">
            <w:pPr>
              <w:pStyle w:val="TableParagraph"/>
              <w:spacing w:before="34"/>
              <w:ind w:left="108"/>
              <w:jc w:val="left"/>
              <w:rPr>
                <w:sz w:val="20"/>
              </w:rPr>
            </w:pPr>
            <w:r>
              <w:rPr>
                <w:sz w:val="20"/>
              </w:rPr>
              <w:t>Valuthur GTPS</w:t>
            </w:r>
          </w:p>
        </w:tc>
        <w:tc>
          <w:tcPr>
            <w:tcW w:w="917" w:type="dxa"/>
          </w:tcPr>
          <w:p w:rsidR="007C5447" w:rsidRDefault="00F6308C">
            <w:pPr>
              <w:pStyle w:val="TableParagraph"/>
              <w:spacing w:before="34"/>
              <w:ind w:right="95"/>
              <w:rPr>
                <w:sz w:val="20"/>
              </w:rPr>
            </w:pPr>
            <w:r>
              <w:rPr>
                <w:sz w:val="20"/>
              </w:rPr>
              <w:t>13.04</w:t>
            </w:r>
          </w:p>
        </w:tc>
        <w:tc>
          <w:tcPr>
            <w:tcW w:w="915" w:type="dxa"/>
          </w:tcPr>
          <w:p w:rsidR="007C5447" w:rsidRDefault="00F6308C">
            <w:pPr>
              <w:pStyle w:val="TableParagraph"/>
              <w:spacing w:before="34"/>
              <w:ind w:right="93"/>
              <w:rPr>
                <w:sz w:val="20"/>
              </w:rPr>
            </w:pPr>
            <w:r>
              <w:rPr>
                <w:sz w:val="20"/>
              </w:rPr>
              <w:t>13.78</w:t>
            </w:r>
          </w:p>
        </w:tc>
        <w:tc>
          <w:tcPr>
            <w:tcW w:w="917" w:type="dxa"/>
          </w:tcPr>
          <w:p w:rsidR="007C5447" w:rsidRDefault="00F6308C">
            <w:pPr>
              <w:pStyle w:val="TableParagraph"/>
              <w:spacing w:before="34"/>
              <w:ind w:right="96"/>
              <w:rPr>
                <w:sz w:val="20"/>
              </w:rPr>
            </w:pPr>
            <w:r>
              <w:rPr>
                <w:sz w:val="20"/>
              </w:rPr>
              <w:t>14.57</w:t>
            </w:r>
          </w:p>
        </w:tc>
        <w:tc>
          <w:tcPr>
            <w:tcW w:w="918" w:type="dxa"/>
          </w:tcPr>
          <w:p w:rsidR="007C5447" w:rsidRDefault="00F6308C">
            <w:pPr>
              <w:pStyle w:val="TableParagraph"/>
              <w:spacing w:before="34"/>
              <w:ind w:right="97"/>
              <w:rPr>
                <w:sz w:val="20"/>
              </w:rPr>
            </w:pPr>
            <w:r>
              <w:rPr>
                <w:sz w:val="20"/>
              </w:rPr>
              <w:t>12.63</w:t>
            </w:r>
          </w:p>
        </w:tc>
        <w:tc>
          <w:tcPr>
            <w:tcW w:w="1117" w:type="dxa"/>
          </w:tcPr>
          <w:p w:rsidR="007C5447" w:rsidRDefault="00F6308C">
            <w:pPr>
              <w:pStyle w:val="TableParagraph"/>
              <w:spacing w:before="34"/>
              <w:ind w:right="97"/>
              <w:rPr>
                <w:sz w:val="20"/>
              </w:rPr>
            </w:pPr>
            <w:r>
              <w:rPr>
                <w:sz w:val="20"/>
              </w:rPr>
              <w:t>69.42</w:t>
            </w:r>
          </w:p>
        </w:tc>
        <w:tc>
          <w:tcPr>
            <w:tcW w:w="915" w:type="dxa"/>
          </w:tcPr>
          <w:p w:rsidR="007C5447" w:rsidRDefault="00F6308C">
            <w:pPr>
              <w:pStyle w:val="TableParagraph"/>
              <w:spacing w:before="34"/>
              <w:ind w:right="95"/>
              <w:rPr>
                <w:sz w:val="20"/>
              </w:rPr>
            </w:pPr>
            <w:r>
              <w:rPr>
                <w:sz w:val="20"/>
              </w:rPr>
              <w:t>14.79</w:t>
            </w:r>
          </w:p>
        </w:tc>
      </w:tr>
      <w:tr w:rsidR="007C5447">
        <w:trPr>
          <w:trHeight w:val="299"/>
        </w:trPr>
        <w:tc>
          <w:tcPr>
            <w:tcW w:w="650" w:type="dxa"/>
          </w:tcPr>
          <w:p w:rsidR="007C5447" w:rsidRDefault="00F6308C">
            <w:pPr>
              <w:pStyle w:val="TableParagraph"/>
              <w:spacing w:before="36"/>
              <w:ind w:left="203" w:right="196"/>
              <w:jc w:val="center"/>
              <w:rPr>
                <w:sz w:val="20"/>
              </w:rPr>
            </w:pPr>
            <w:r>
              <w:rPr>
                <w:sz w:val="20"/>
              </w:rPr>
              <w:t>12</w:t>
            </w:r>
          </w:p>
        </w:tc>
        <w:tc>
          <w:tcPr>
            <w:tcW w:w="2667" w:type="dxa"/>
          </w:tcPr>
          <w:p w:rsidR="007C5447" w:rsidRDefault="00F6308C">
            <w:pPr>
              <w:pStyle w:val="TableParagraph"/>
              <w:spacing w:before="36"/>
              <w:ind w:left="108"/>
              <w:jc w:val="left"/>
              <w:rPr>
                <w:sz w:val="20"/>
              </w:rPr>
            </w:pPr>
            <w:r>
              <w:rPr>
                <w:sz w:val="20"/>
              </w:rPr>
              <w:t>Erode HEP</w:t>
            </w:r>
          </w:p>
        </w:tc>
        <w:tc>
          <w:tcPr>
            <w:tcW w:w="917" w:type="dxa"/>
          </w:tcPr>
          <w:p w:rsidR="007C5447" w:rsidRDefault="00F6308C">
            <w:pPr>
              <w:pStyle w:val="TableParagraph"/>
              <w:spacing w:before="36"/>
              <w:ind w:right="95"/>
              <w:rPr>
                <w:sz w:val="20"/>
              </w:rPr>
            </w:pPr>
            <w:r>
              <w:rPr>
                <w:sz w:val="20"/>
              </w:rPr>
              <w:t>52.96</w:t>
            </w:r>
          </w:p>
        </w:tc>
        <w:tc>
          <w:tcPr>
            <w:tcW w:w="915" w:type="dxa"/>
          </w:tcPr>
          <w:p w:rsidR="007C5447" w:rsidRDefault="00F6308C">
            <w:pPr>
              <w:pStyle w:val="TableParagraph"/>
              <w:spacing w:before="36"/>
              <w:ind w:right="93"/>
              <w:rPr>
                <w:sz w:val="20"/>
              </w:rPr>
            </w:pPr>
            <w:r>
              <w:rPr>
                <w:sz w:val="20"/>
              </w:rPr>
              <w:t>55.99</w:t>
            </w:r>
          </w:p>
        </w:tc>
        <w:tc>
          <w:tcPr>
            <w:tcW w:w="917" w:type="dxa"/>
          </w:tcPr>
          <w:p w:rsidR="007C5447" w:rsidRDefault="00F6308C">
            <w:pPr>
              <w:pStyle w:val="TableParagraph"/>
              <w:spacing w:before="36"/>
              <w:ind w:right="96"/>
              <w:rPr>
                <w:sz w:val="20"/>
              </w:rPr>
            </w:pPr>
            <w:r>
              <w:rPr>
                <w:sz w:val="20"/>
              </w:rPr>
              <w:t>59.19</w:t>
            </w:r>
          </w:p>
        </w:tc>
        <w:tc>
          <w:tcPr>
            <w:tcW w:w="918" w:type="dxa"/>
          </w:tcPr>
          <w:p w:rsidR="007C5447" w:rsidRDefault="00F6308C">
            <w:pPr>
              <w:pStyle w:val="TableParagraph"/>
              <w:spacing w:before="36"/>
              <w:ind w:right="97"/>
              <w:rPr>
                <w:sz w:val="20"/>
              </w:rPr>
            </w:pPr>
            <w:r>
              <w:rPr>
                <w:sz w:val="20"/>
              </w:rPr>
              <w:t>51.45</w:t>
            </w:r>
          </w:p>
        </w:tc>
        <w:tc>
          <w:tcPr>
            <w:tcW w:w="1117" w:type="dxa"/>
          </w:tcPr>
          <w:p w:rsidR="007C5447" w:rsidRDefault="00F6308C">
            <w:pPr>
              <w:pStyle w:val="TableParagraph"/>
              <w:spacing w:before="36"/>
              <w:ind w:right="97"/>
              <w:rPr>
                <w:sz w:val="20"/>
              </w:rPr>
            </w:pPr>
            <w:r>
              <w:rPr>
                <w:sz w:val="20"/>
              </w:rPr>
              <w:t>55.74</w:t>
            </w:r>
          </w:p>
        </w:tc>
        <w:tc>
          <w:tcPr>
            <w:tcW w:w="915" w:type="dxa"/>
          </w:tcPr>
          <w:p w:rsidR="007C5447" w:rsidRDefault="00F6308C">
            <w:pPr>
              <w:pStyle w:val="TableParagraph"/>
              <w:spacing w:before="36"/>
              <w:ind w:right="95"/>
              <w:rPr>
                <w:sz w:val="20"/>
              </w:rPr>
            </w:pPr>
            <w:r>
              <w:rPr>
                <w:sz w:val="20"/>
              </w:rPr>
              <w:t>60.24</w:t>
            </w:r>
          </w:p>
        </w:tc>
      </w:tr>
      <w:tr w:rsidR="007C5447">
        <w:trPr>
          <w:trHeight w:val="299"/>
        </w:trPr>
        <w:tc>
          <w:tcPr>
            <w:tcW w:w="650" w:type="dxa"/>
          </w:tcPr>
          <w:p w:rsidR="007C5447" w:rsidRDefault="00F6308C">
            <w:pPr>
              <w:pStyle w:val="TableParagraph"/>
              <w:spacing w:before="36"/>
              <w:ind w:left="203" w:right="196"/>
              <w:jc w:val="center"/>
              <w:rPr>
                <w:sz w:val="20"/>
              </w:rPr>
            </w:pPr>
            <w:r>
              <w:rPr>
                <w:sz w:val="20"/>
              </w:rPr>
              <w:t>13</w:t>
            </w:r>
          </w:p>
        </w:tc>
        <w:tc>
          <w:tcPr>
            <w:tcW w:w="2667" w:type="dxa"/>
          </w:tcPr>
          <w:p w:rsidR="007C5447" w:rsidRDefault="00F6308C">
            <w:pPr>
              <w:pStyle w:val="TableParagraph"/>
              <w:spacing w:before="36"/>
              <w:ind w:left="108"/>
              <w:jc w:val="left"/>
              <w:rPr>
                <w:sz w:val="20"/>
              </w:rPr>
            </w:pPr>
            <w:r>
              <w:rPr>
                <w:sz w:val="20"/>
              </w:rPr>
              <w:t>Kadamparai HEP</w:t>
            </w:r>
          </w:p>
        </w:tc>
        <w:tc>
          <w:tcPr>
            <w:tcW w:w="917" w:type="dxa"/>
          </w:tcPr>
          <w:p w:rsidR="007C5447" w:rsidRDefault="00F6308C">
            <w:pPr>
              <w:pStyle w:val="TableParagraph"/>
              <w:spacing w:before="36"/>
              <w:ind w:right="95"/>
              <w:rPr>
                <w:sz w:val="20"/>
              </w:rPr>
            </w:pPr>
            <w:r>
              <w:rPr>
                <w:sz w:val="20"/>
              </w:rPr>
              <w:t>35.14</w:t>
            </w:r>
          </w:p>
        </w:tc>
        <w:tc>
          <w:tcPr>
            <w:tcW w:w="915" w:type="dxa"/>
          </w:tcPr>
          <w:p w:rsidR="007C5447" w:rsidRDefault="00F6308C">
            <w:pPr>
              <w:pStyle w:val="TableParagraph"/>
              <w:spacing w:before="36"/>
              <w:ind w:right="93"/>
              <w:rPr>
                <w:sz w:val="20"/>
              </w:rPr>
            </w:pPr>
            <w:r>
              <w:rPr>
                <w:sz w:val="20"/>
              </w:rPr>
              <w:t>37.15</w:t>
            </w:r>
          </w:p>
        </w:tc>
        <w:tc>
          <w:tcPr>
            <w:tcW w:w="917" w:type="dxa"/>
          </w:tcPr>
          <w:p w:rsidR="007C5447" w:rsidRDefault="00F6308C">
            <w:pPr>
              <w:pStyle w:val="TableParagraph"/>
              <w:spacing w:before="36"/>
              <w:ind w:right="96"/>
              <w:rPr>
                <w:sz w:val="20"/>
              </w:rPr>
            </w:pPr>
            <w:r>
              <w:rPr>
                <w:sz w:val="20"/>
              </w:rPr>
              <w:t>39.27</w:t>
            </w:r>
          </w:p>
        </w:tc>
        <w:tc>
          <w:tcPr>
            <w:tcW w:w="918" w:type="dxa"/>
          </w:tcPr>
          <w:p w:rsidR="007C5447" w:rsidRDefault="00F6308C">
            <w:pPr>
              <w:pStyle w:val="TableParagraph"/>
              <w:spacing w:before="36"/>
              <w:ind w:right="97"/>
              <w:rPr>
                <w:sz w:val="20"/>
              </w:rPr>
            </w:pPr>
            <w:r>
              <w:rPr>
                <w:sz w:val="20"/>
              </w:rPr>
              <w:t>34.05</w:t>
            </w:r>
          </w:p>
        </w:tc>
        <w:tc>
          <w:tcPr>
            <w:tcW w:w="1117" w:type="dxa"/>
          </w:tcPr>
          <w:p w:rsidR="007C5447" w:rsidRDefault="00F6308C">
            <w:pPr>
              <w:pStyle w:val="TableParagraph"/>
              <w:spacing w:before="36"/>
              <w:ind w:right="97"/>
              <w:rPr>
                <w:sz w:val="20"/>
              </w:rPr>
            </w:pPr>
            <w:r>
              <w:rPr>
                <w:sz w:val="20"/>
              </w:rPr>
              <w:t>36.89</w:t>
            </w:r>
          </w:p>
        </w:tc>
        <w:tc>
          <w:tcPr>
            <w:tcW w:w="915" w:type="dxa"/>
          </w:tcPr>
          <w:p w:rsidR="007C5447" w:rsidRDefault="00F6308C">
            <w:pPr>
              <w:pStyle w:val="TableParagraph"/>
              <w:spacing w:before="36"/>
              <w:ind w:right="95"/>
              <w:rPr>
                <w:sz w:val="20"/>
              </w:rPr>
            </w:pPr>
            <w:r>
              <w:rPr>
                <w:sz w:val="20"/>
              </w:rPr>
              <w:t>39.87</w:t>
            </w:r>
          </w:p>
        </w:tc>
      </w:tr>
      <w:tr w:rsidR="007C5447">
        <w:trPr>
          <w:trHeight w:val="316"/>
        </w:trPr>
        <w:tc>
          <w:tcPr>
            <w:tcW w:w="650" w:type="dxa"/>
          </w:tcPr>
          <w:p w:rsidR="007C5447" w:rsidRDefault="00F6308C">
            <w:pPr>
              <w:pStyle w:val="TableParagraph"/>
              <w:spacing w:before="43"/>
              <w:ind w:left="203" w:right="196"/>
              <w:jc w:val="center"/>
              <w:rPr>
                <w:sz w:val="20"/>
              </w:rPr>
            </w:pPr>
            <w:r>
              <w:rPr>
                <w:sz w:val="20"/>
              </w:rPr>
              <w:t>14</w:t>
            </w:r>
          </w:p>
        </w:tc>
        <w:tc>
          <w:tcPr>
            <w:tcW w:w="2667" w:type="dxa"/>
          </w:tcPr>
          <w:p w:rsidR="007C5447" w:rsidRDefault="00F6308C">
            <w:pPr>
              <w:pStyle w:val="TableParagraph"/>
              <w:spacing w:before="43"/>
              <w:ind w:left="108"/>
              <w:jc w:val="left"/>
              <w:rPr>
                <w:sz w:val="20"/>
              </w:rPr>
            </w:pPr>
            <w:r>
              <w:rPr>
                <w:sz w:val="20"/>
              </w:rPr>
              <w:t>Kundah HEP</w:t>
            </w:r>
          </w:p>
        </w:tc>
        <w:tc>
          <w:tcPr>
            <w:tcW w:w="917" w:type="dxa"/>
          </w:tcPr>
          <w:p w:rsidR="007C5447" w:rsidRDefault="00F6308C">
            <w:pPr>
              <w:pStyle w:val="TableParagraph"/>
              <w:spacing w:before="43"/>
              <w:ind w:right="95"/>
              <w:rPr>
                <w:sz w:val="20"/>
              </w:rPr>
            </w:pPr>
            <w:r>
              <w:rPr>
                <w:sz w:val="20"/>
              </w:rPr>
              <w:t>54.38</w:t>
            </w:r>
          </w:p>
        </w:tc>
        <w:tc>
          <w:tcPr>
            <w:tcW w:w="915" w:type="dxa"/>
          </w:tcPr>
          <w:p w:rsidR="007C5447" w:rsidRDefault="00F6308C">
            <w:pPr>
              <w:pStyle w:val="TableParagraph"/>
              <w:spacing w:before="43"/>
              <w:ind w:right="93"/>
              <w:rPr>
                <w:sz w:val="20"/>
              </w:rPr>
            </w:pPr>
            <w:r>
              <w:rPr>
                <w:sz w:val="20"/>
              </w:rPr>
              <w:t>57.49</w:t>
            </w:r>
          </w:p>
        </w:tc>
        <w:tc>
          <w:tcPr>
            <w:tcW w:w="917" w:type="dxa"/>
          </w:tcPr>
          <w:p w:rsidR="007C5447" w:rsidRDefault="00F6308C">
            <w:pPr>
              <w:pStyle w:val="TableParagraph"/>
              <w:spacing w:before="43"/>
              <w:ind w:right="96"/>
              <w:rPr>
                <w:sz w:val="20"/>
              </w:rPr>
            </w:pPr>
            <w:r>
              <w:rPr>
                <w:sz w:val="20"/>
              </w:rPr>
              <w:t>60.78</w:t>
            </w:r>
          </w:p>
        </w:tc>
        <w:tc>
          <w:tcPr>
            <w:tcW w:w="918" w:type="dxa"/>
          </w:tcPr>
          <w:p w:rsidR="007C5447" w:rsidRDefault="00F6308C">
            <w:pPr>
              <w:pStyle w:val="TableParagraph"/>
              <w:spacing w:before="43"/>
              <w:ind w:right="97"/>
              <w:rPr>
                <w:sz w:val="20"/>
              </w:rPr>
            </w:pPr>
            <w:r>
              <w:rPr>
                <w:sz w:val="20"/>
              </w:rPr>
              <w:t>52.89</w:t>
            </w:r>
          </w:p>
        </w:tc>
        <w:tc>
          <w:tcPr>
            <w:tcW w:w="1117" w:type="dxa"/>
          </w:tcPr>
          <w:p w:rsidR="007C5447" w:rsidRDefault="00F6308C">
            <w:pPr>
              <w:pStyle w:val="TableParagraph"/>
              <w:spacing w:before="43"/>
              <w:ind w:right="97"/>
              <w:rPr>
                <w:sz w:val="20"/>
              </w:rPr>
            </w:pPr>
            <w:r>
              <w:rPr>
                <w:sz w:val="20"/>
              </w:rPr>
              <w:t>57.31</w:t>
            </w:r>
          </w:p>
        </w:tc>
        <w:tc>
          <w:tcPr>
            <w:tcW w:w="915" w:type="dxa"/>
          </w:tcPr>
          <w:p w:rsidR="007C5447" w:rsidRDefault="00F6308C">
            <w:pPr>
              <w:pStyle w:val="TableParagraph"/>
              <w:spacing w:before="43"/>
              <w:ind w:right="95"/>
              <w:rPr>
                <w:sz w:val="20"/>
              </w:rPr>
            </w:pPr>
            <w:r>
              <w:rPr>
                <w:sz w:val="20"/>
              </w:rPr>
              <w:t>61.93</w:t>
            </w:r>
          </w:p>
        </w:tc>
      </w:tr>
      <w:tr w:rsidR="007C5447">
        <w:trPr>
          <w:trHeight w:val="328"/>
        </w:trPr>
        <w:tc>
          <w:tcPr>
            <w:tcW w:w="650" w:type="dxa"/>
          </w:tcPr>
          <w:p w:rsidR="007C5447" w:rsidRDefault="00F6308C">
            <w:pPr>
              <w:pStyle w:val="TableParagraph"/>
              <w:spacing w:before="50"/>
              <w:ind w:left="203" w:right="196"/>
              <w:jc w:val="center"/>
              <w:rPr>
                <w:sz w:val="20"/>
              </w:rPr>
            </w:pPr>
            <w:r>
              <w:rPr>
                <w:sz w:val="20"/>
              </w:rPr>
              <w:t>15</w:t>
            </w:r>
          </w:p>
        </w:tc>
        <w:tc>
          <w:tcPr>
            <w:tcW w:w="2667" w:type="dxa"/>
          </w:tcPr>
          <w:p w:rsidR="007C5447" w:rsidRDefault="00F6308C">
            <w:pPr>
              <w:pStyle w:val="TableParagraph"/>
              <w:spacing w:before="50"/>
              <w:ind w:left="108"/>
              <w:jc w:val="left"/>
              <w:rPr>
                <w:sz w:val="20"/>
              </w:rPr>
            </w:pPr>
            <w:r>
              <w:rPr>
                <w:sz w:val="20"/>
              </w:rPr>
              <w:t>Tirunelveli HEP</w:t>
            </w:r>
          </w:p>
        </w:tc>
        <w:tc>
          <w:tcPr>
            <w:tcW w:w="917" w:type="dxa"/>
          </w:tcPr>
          <w:p w:rsidR="007C5447" w:rsidRDefault="00F6308C">
            <w:pPr>
              <w:pStyle w:val="TableParagraph"/>
              <w:spacing w:before="50"/>
              <w:ind w:right="95"/>
              <w:rPr>
                <w:sz w:val="20"/>
              </w:rPr>
            </w:pPr>
            <w:r>
              <w:rPr>
                <w:sz w:val="20"/>
              </w:rPr>
              <w:t>47.17</w:t>
            </w:r>
          </w:p>
        </w:tc>
        <w:tc>
          <w:tcPr>
            <w:tcW w:w="915" w:type="dxa"/>
          </w:tcPr>
          <w:p w:rsidR="007C5447" w:rsidRDefault="00F6308C">
            <w:pPr>
              <w:pStyle w:val="TableParagraph"/>
              <w:spacing w:before="50"/>
              <w:ind w:right="93"/>
              <w:rPr>
                <w:sz w:val="20"/>
              </w:rPr>
            </w:pPr>
            <w:r>
              <w:rPr>
                <w:sz w:val="20"/>
              </w:rPr>
              <w:t>49.87</w:t>
            </w:r>
          </w:p>
        </w:tc>
        <w:tc>
          <w:tcPr>
            <w:tcW w:w="917" w:type="dxa"/>
          </w:tcPr>
          <w:p w:rsidR="007C5447" w:rsidRDefault="00F6308C">
            <w:pPr>
              <w:pStyle w:val="TableParagraph"/>
              <w:spacing w:before="50"/>
              <w:ind w:right="96"/>
              <w:rPr>
                <w:sz w:val="20"/>
              </w:rPr>
            </w:pPr>
            <w:r>
              <w:rPr>
                <w:sz w:val="20"/>
              </w:rPr>
              <w:t>52.72</w:t>
            </w:r>
          </w:p>
        </w:tc>
        <w:tc>
          <w:tcPr>
            <w:tcW w:w="918" w:type="dxa"/>
          </w:tcPr>
          <w:p w:rsidR="007C5447" w:rsidRDefault="00F6308C">
            <w:pPr>
              <w:pStyle w:val="TableParagraph"/>
              <w:spacing w:before="50"/>
              <w:ind w:right="97"/>
              <w:rPr>
                <w:sz w:val="20"/>
              </w:rPr>
            </w:pPr>
            <w:r>
              <w:rPr>
                <w:sz w:val="20"/>
              </w:rPr>
              <w:t>45.79</w:t>
            </w:r>
          </w:p>
        </w:tc>
        <w:tc>
          <w:tcPr>
            <w:tcW w:w="1117" w:type="dxa"/>
          </w:tcPr>
          <w:p w:rsidR="007C5447" w:rsidRDefault="00F6308C">
            <w:pPr>
              <w:pStyle w:val="TableParagraph"/>
              <w:spacing w:before="50"/>
              <w:ind w:right="97"/>
              <w:rPr>
                <w:sz w:val="20"/>
              </w:rPr>
            </w:pPr>
            <w:r>
              <w:rPr>
                <w:sz w:val="20"/>
              </w:rPr>
              <w:t>49.61</w:t>
            </w:r>
          </w:p>
        </w:tc>
        <w:tc>
          <w:tcPr>
            <w:tcW w:w="915" w:type="dxa"/>
          </w:tcPr>
          <w:p w:rsidR="007C5447" w:rsidRDefault="00F6308C">
            <w:pPr>
              <w:pStyle w:val="TableParagraph"/>
              <w:spacing w:before="50"/>
              <w:ind w:right="95"/>
              <w:rPr>
                <w:sz w:val="20"/>
              </w:rPr>
            </w:pPr>
            <w:r>
              <w:rPr>
                <w:sz w:val="20"/>
              </w:rPr>
              <w:t>53.61</w:t>
            </w:r>
          </w:p>
        </w:tc>
      </w:tr>
      <w:tr w:rsidR="007C5447">
        <w:trPr>
          <w:trHeight w:val="331"/>
        </w:trPr>
        <w:tc>
          <w:tcPr>
            <w:tcW w:w="650" w:type="dxa"/>
          </w:tcPr>
          <w:p w:rsidR="007C5447" w:rsidRDefault="00F6308C">
            <w:pPr>
              <w:pStyle w:val="TableParagraph"/>
              <w:spacing w:before="51"/>
              <w:ind w:left="203" w:right="196"/>
              <w:jc w:val="center"/>
              <w:rPr>
                <w:b/>
                <w:sz w:val="20"/>
              </w:rPr>
            </w:pPr>
            <w:r>
              <w:rPr>
                <w:b/>
                <w:sz w:val="20"/>
              </w:rPr>
              <w:t>16</w:t>
            </w:r>
          </w:p>
        </w:tc>
        <w:tc>
          <w:tcPr>
            <w:tcW w:w="2667" w:type="dxa"/>
          </w:tcPr>
          <w:p w:rsidR="007C5447" w:rsidRDefault="00F6308C">
            <w:pPr>
              <w:pStyle w:val="TableParagraph"/>
              <w:spacing w:before="51"/>
              <w:ind w:left="108"/>
              <w:jc w:val="left"/>
              <w:rPr>
                <w:b/>
                <w:sz w:val="20"/>
              </w:rPr>
            </w:pPr>
            <w:r>
              <w:rPr>
                <w:b/>
                <w:sz w:val="20"/>
              </w:rPr>
              <w:t>Total Generation</w:t>
            </w:r>
          </w:p>
        </w:tc>
        <w:tc>
          <w:tcPr>
            <w:tcW w:w="917" w:type="dxa"/>
          </w:tcPr>
          <w:p w:rsidR="007C5447" w:rsidRDefault="00F6308C">
            <w:pPr>
              <w:pStyle w:val="TableParagraph"/>
              <w:spacing w:before="51"/>
              <w:ind w:right="96"/>
              <w:rPr>
                <w:b/>
                <w:sz w:val="20"/>
              </w:rPr>
            </w:pPr>
            <w:r>
              <w:rPr>
                <w:b/>
                <w:w w:val="95"/>
                <w:sz w:val="20"/>
              </w:rPr>
              <w:t>1,510.86</w:t>
            </w:r>
          </w:p>
        </w:tc>
        <w:tc>
          <w:tcPr>
            <w:tcW w:w="915" w:type="dxa"/>
          </w:tcPr>
          <w:p w:rsidR="007C5447" w:rsidRDefault="00F6308C">
            <w:pPr>
              <w:pStyle w:val="TableParagraph"/>
              <w:spacing w:before="51"/>
              <w:ind w:right="94"/>
              <w:rPr>
                <w:b/>
                <w:sz w:val="20"/>
              </w:rPr>
            </w:pPr>
            <w:r>
              <w:rPr>
                <w:b/>
                <w:w w:val="95"/>
                <w:sz w:val="20"/>
              </w:rPr>
              <w:t>1,465.19</w:t>
            </w:r>
          </w:p>
        </w:tc>
        <w:tc>
          <w:tcPr>
            <w:tcW w:w="917" w:type="dxa"/>
          </w:tcPr>
          <w:p w:rsidR="007C5447" w:rsidRDefault="00F6308C">
            <w:pPr>
              <w:pStyle w:val="TableParagraph"/>
              <w:spacing w:before="51"/>
              <w:ind w:right="96"/>
              <w:rPr>
                <w:b/>
                <w:sz w:val="20"/>
              </w:rPr>
            </w:pPr>
            <w:r>
              <w:rPr>
                <w:b/>
                <w:w w:val="95"/>
                <w:sz w:val="20"/>
              </w:rPr>
              <w:t>1,670.33</w:t>
            </w:r>
          </w:p>
        </w:tc>
        <w:tc>
          <w:tcPr>
            <w:tcW w:w="918" w:type="dxa"/>
          </w:tcPr>
          <w:p w:rsidR="007C5447" w:rsidRDefault="00F6308C">
            <w:pPr>
              <w:pStyle w:val="TableParagraph"/>
              <w:spacing w:before="51"/>
              <w:ind w:right="97"/>
              <w:rPr>
                <w:b/>
                <w:sz w:val="20"/>
              </w:rPr>
            </w:pPr>
            <w:r>
              <w:rPr>
                <w:b/>
                <w:w w:val="95"/>
                <w:sz w:val="20"/>
              </w:rPr>
              <w:t>1,315.29</w:t>
            </w:r>
          </w:p>
        </w:tc>
        <w:tc>
          <w:tcPr>
            <w:tcW w:w="1117" w:type="dxa"/>
          </w:tcPr>
          <w:p w:rsidR="007C5447" w:rsidRDefault="00F6308C">
            <w:pPr>
              <w:pStyle w:val="TableParagraph"/>
              <w:spacing w:before="51"/>
              <w:ind w:right="98"/>
              <w:rPr>
                <w:b/>
                <w:sz w:val="20"/>
              </w:rPr>
            </w:pPr>
            <w:r>
              <w:rPr>
                <w:b/>
                <w:w w:val="95"/>
                <w:sz w:val="20"/>
              </w:rPr>
              <w:t>1,323.47</w:t>
            </w:r>
          </w:p>
        </w:tc>
        <w:tc>
          <w:tcPr>
            <w:tcW w:w="915" w:type="dxa"/>
          </w:tcPr>
          <w:p w:rsidR="007C5447" w:rsidRDefault="00F6308C">
            <w:pPr>
              <w:pStyle w:val="TableParagraph"/>
              <w:spacing w:before="51"/>
              <w:ind w:right="96"/>
              <w:rPr>
                <w:b/>
                <w:sz w:val="20"/>
              </w:rPr>
            </w:pPr>
            <w:r>
              <w:rPr>
                <w:b/>
                <w:w w:val="95"/>
                <w:sz w:val="20"/>
              </w:rPr>
              <w:t>1,488.97</w:t>
            </w:r>
          </w:p>
        </w:tc>
      </w:tr>
      <w:tr w:rsidR="007C5447">
        <w:trPr>
          <w:trHeight w:val="330"/>
        </w:trPr>
        <w:tc>
          <w:tcPr>
            <w:tcW w:w="650" w:type="dxa"/>
          </w:tcPr>
          <w:p w:rsidR="007C5447" w:rsidRDefault="00F6308C">
            <w:pPr>
              <w:pStyle w:val="TableParagraph"/>
              <w:spacing w:before="50"/>
              <w:ind w:left="203" w:right="196"/>
              <w:jc w:val="center"/>
              <w:rPr>
                <w:b/>
                <w:sz w:val="20"/>
              </w:rPr>
            </w:pPr>
            <w:r>
              <w:rPr>
                <w:b/>
                <w:sz w:val="20"/>
              </w:rPr>
              <w:t>17</w:t>
            </w:r>
          </w:p>
        </w:tc>
        <w:tc>
          <w:tcPr>
            <w:tcW w:w="2667" w:type="dxa"/>
          </w:tcPr>
          <w:p w:rsidR="007C5447" w:rsidRDefault="00F6308C">
            <w:pPr>
              <w:pStyle w:val="TableParagraph"/>
              <w:spacing w:before="50"/>
              <w:ind w:left="108"/>
              <w:jc w:val="left"/>
              <w:rPr>
                <w:b/>
                <w:sz w:val="20"/>
              </w:rPr>
            </w:pPr>
            <w:r>
              <w:rPr>
                <w:b/>
                <w:sz w:val="20"/>
              </w:rPr>
              <w:t>Distribution</w:t>
            </w:r>
          </w:p>
        </w:tc>
        <w:tc>
          <w:tcPr>
            <w:tcW w:w="917" w:type="dxa"/>
          </w:tcPr>
          <w:p w:rsidR="007C5447" w:rsidRDefault="00F6308C">
            <w:pPr>
              <w:pStyle w:val="TableParagraph"/>
              <w:spacing w:before="50"/>
              <w:ind w:right="96"/>
              <w:rPr>
                <w:b/>
                <w:sz w:val="20"/>
              </w:rPr>
            </w:pPr>
            <w:r>
              <w:rPr>
                <w:b/>
                <w:w w:val="95"/>
                <w:sz w:val="20"/>
              </w:rPr>
              <w:t>5,234.90</w:t>
            </w:r>
          </w:p>
        </w:tc>
        <w:tc>
          <w:tcPr>
            <w:tcW w:w="915" w:type="dxa"/>
          </w:tcPr>
          <w:p w:rsidR="007C5447" w:rsidRDefault="00F6308C">
            <w:pPr>
              <w:pStyle w:val="TableParagraph"/>
              <w:spacing w:before="50"/>
              <w:ind w:right="94"/>
              <w:rPr>
                <w:b/>
                <w:sz w:val="20"/>
              </w:rPr>
            </w:pPr>
            <w:r>
              <w:rPr>
                <w:b/>
                <w:w w:val="95"/>
                <w:sz w:val="20"/>
              </w:rPr>
              <w:t>5,534.33</w:t>
            </w:r>
          </w:p>
        </w:tc>
        <w:tc>
          <w:tcPr>
            <w:tcW w:w="917" w:type="dxa"/>
          </w:tcPr>
          <w:p w:rsidR="007C5447" w:rsidRDefault="00F6308C">
            <w:pPr>
              <w:pStyle w:val="TableParagraph"/>
              <w:spacing w:before="50"/>
              <w:ind w:right="96"/>
              <w:rPr>
                <w:b/>
                <w:sz w:val="20"/>
              </w:rPr>
            </w:pPr>
            <w:r>
              <w:rPr>
                <w:b/>
                <w:w w:val="95"/>
                <w:sz w:val="20"/>
              </w:rPr>
              <w:t>5,850.89</w:t>
            </w:r>
          </w:p>
        </w:tc>
        <w:tc>
          <w:tcPr>
            <w:tcW w:w="918" w:type="dxa"/>
          </w:tcPr>
          <w:p w:rsidR="007C5447" w:rsidRDefault="00F6308C">
            <w:pPr>
              <w:pStyle w:val="TableParagraph"/>
              <w:spacing w:before="50"/>
              <w:ind w:right="97"/>
              <w:rPr>
                <w:b/>
                <w:sz w:val="20"/>
              </w:rPr>
            </w:pPr>
            <w:r>
              <w:rPr>
                <w:b/>
                <w:w w:val="95"/>
                <w:sz w:val="20"/>
              </w:rPr>
              <w:t>4,989.42</w:t>
            </w:r>
          </w:p>
        </w:tc>
        <w:tc>
          <w:tcPr>
            <w:tcW w:w="1117" w:type="dxa"/>
          </w:tcPr>
          <w:p w:rsidR="007C5447" w:rsidRDefault="00F6308C">
            <w:pPr>
              <w:pStyle w:val="TableParagraph"/>
              <w:spacing w:before="50"/>
              <w:ind w:right="98"/>
              <w:rPr>
                <w:b/>
                <w:sz w:val="20"/>
              </w:rPr>
            </w:pPr>
            <w:r>
              <w:rPr>
                <w:b/>
                <w:w w:val="95"/>
                <w:sz w:val="20"/>
              </w:rPr>
              <w:t>5,393.95</w:t>
            </w:r>
          </w:p>
        </w:tc>
        <w:tc>
          <w:tcPr>
            <w:tcW w:w="915" w:type="dxa"/>
          </w:tcPr>
          <w:p w:rsidR="007C5447" w:rsidRDefault="00F6308C">
            <w:pPr>
              <w:pStyle w:val="TableParagraph"/>
              <w:spacing w:before="50"/>
              <w:ind w:right="96"/>
              <w:rPr>
                <w:b/>
                <w:sz w:val="20"/>
              </w:rPr>
            </w:pPr>
            <w:r>
              <w:rPr>
                <w:b/>
                <w:w w:val="95"/>
                <w:sz w:val="20"/>
              </w:rPr>
              <w:t>5,817.64</w:t>
            </w:r>
          </w:p>
        </w:tc>
      </w:tr>
      <w:tr w:rsidR="007C5447">
        <w:trPr>
          <w:trHeight w:val="330"/>
        </w:trPr>
        <w:tc>
          <w:tcPr>
            <w:tcW w:w="650" w:type="dxa"/>
          </w:tcPr>
          <w:p w:rsidR="007C5447" w:rsidRDefault="00F6308C">
            <w:pPr>
              <w:pStyle w:val="TableParagraph"/>
              <w:spacing w:before="50"/>
              <w:ind w:left="203" w:right="196"/>
              <w:jc w:val="center"/>
              <w:rPr>
                <w:b/>
                <w:sz w:val="20"/>
              </w:rPr>
            </w:pPr>
            <w:r>
              <w:rPr>
                <w:b/>
                <w:sz w:val="20"/>
              </w:rPr>
              <w:t>18</w:t>
            </w:r>
          </w:p>
        </w:tc>
        <w:tc>
          <w:tcPr>
            <w:tcW w:w="2667" w:type="dxa"/>
          </w:tcPr>
          <w:p w:rsidR="007C5447" w:rsidRDefault="00F6308C">
            <w:pPr>
              <w:pStyle w:val="TableParagraph"/>
              <w:spacing w:before="50"/>
              <w:ind w:left="108"/>
              <w:jc w:val="left"/>
              <w:rPr>
                <w:b/>
                <w:sz w:val="20"/>
              </w:rPr>
            </w:pPr>
            <w:r>
              <w:rPr>
                <w:b/>
                <w:sz w:val="20"/>
              </w:rPr>
              <w:t>Total</w:t>
            </w:r>
          </w:p>
        </w:tc>
        <w:tc>
          <w:tcPr>
            <w:tcW w:w="917" w:type="dxa"/>
          </w:tcPr>
          <w:p w:rsidR="007C5447" w:rsidRDefault="00F6308C">
            <w:pPr>
              <w:pStyle w:val="TableParagraph"/>
              <w:spacing w:before="50"/>
              <w:ind w:right="95"/>
              <w:rPr>
                <w:b/>
                <w:sz w:val="20"/>
              </w:rPr>
            </w:pPr>
            <w:r>
              <w:rPr>
                <w:b/>
                <w:sz w:val="20"/>
              </w:rPr>
              <w:t>6,745.76</w:t>
            </w:r>
          </w:p>
        </w:tc>
        <w:tc>
          <w:tcPr>
            <w:tcW w:w="915" w:type="dxa"/>
          </w:tcPr>
          <w:p w:rsidR="007C5447" w:rsidRDefault="00F6308C">
            <w:pPr>
              <w:pStyle w:val="TableParagraph"/>
              <w:spacing w:before="50"/>
              <w:ind w:right="94"/>
              <w:rPr>
                <w:b/>
                <w:sz w:val="20"/>
              </w:rPr>
            </w:pPr>
            <w:r>
              <w:rPr>
                <w:b/>
                <w:w w:val="95"/>
                <w:sz w:val="20"/>
              </w:rPr>
              <w:t>6,999.52</w:t>
            </w:r>
          </w:p>
        </w:tc>
        <w:tc>
          <w:tcPr>
            <w:tcW w:w="917" w:type="dxa"/>
          </w:tcPr>
          <w:p w:rsidR="007C5447" w:rsidRDefault="00F6308C">
            <w:pPr>
              <w:pStyle w:val="TableParagraph"/>
              <w:spacing w:before="50"/>
              <w:ind w:right="96"/>
              <w:rPr>
                <w:b/>
                <w:sz w:val="20"/>
              </w:rPr>
            </w:pPr>
            <w:r>
              <w:rPr>
                <w:b/>
                <w:w w:val="95"/>
                <w:sz w:val="20"/>
              </w:rPr>
              <w:t>7,521.22</w:t>
            </w:r>
          </w:p>
        </w:tc>
        <w:tc>
          <w:tcPr>
            <w:tcW w:w="918" w:type="dxa"/>
          </w:tcPr>
          <w:p w:rsidR="007C5447" w:rsidRDefault="00F6308C">
            <w:pPr>
              <w:pStyle w:val="TableParagraph"/>
              <w:spacing w:before="50"/>
              <w:ind w:right="97"/>
              <w:rPr>
                <w:b/>
                <w:sz w:val="20"/>
              </w:rPr>
            </w:pPr>
            <w:r>
              <w:rPr>
                <w:b/>
                <w:w w:val="95"/>
                <w:sz w:val="20"/>
              </w:rPr>
              <w:t>6,304.71</w:t>
            </w:r>
          </w:p>
        </w:tc>
        <w:tc>
          <w:tcPr>
            <w:tcW w:w="1117" w:type="dxa"/>
          </w:tcPr>
          <w:p w:rsidR="007C5447" w:rsidRDefault="00F6308C">
            <w:pPr>
              <w:pStyle w:val="TableParagraph"/>
              <w:spacing w:before="50"/>
              <w:ind w:right="98"/>
              <w:rPr>
                <w:b/>
                <w:sz w:val="20"/>
              </w:rPr>
            </w:pPr>
            <w:r>
              <w:rPr>
                <w:b/>
                <w:w w:val="95"/>
                <w:sz w:val="20"/>
              </w:rPr>
              <w:t>6,717.42</w:t>
            </w:r>
          </w:p>
        </w:tc>
        <w:tc>
          <w:tcPr>
            <w:tcW w:w="915" w:type="dxa"/>
          </w:tcPr>
          <w:p w:rsidR="007C5447" w:rsidRDefault="00F6308C">
            <w:pPr>
              <w:pStyle w:val="TableParagraph"/>
              <w:spacing w:before="50"/>
              <w:ind w:right="96"/>
              <w:rPr>
                <w:b/>
                <w:sz w:val="20"/>
              </w:rPr>
            </w:pPr>
            <w:r>
              <w:rPr>
                <w:b/>
                <w:w w:val="95"/>
                <w:sz w:val="20"/>
              </w:rPr>
              <w:t>7,306.61</w:t>
            </w:r>
          </w:p>
        </w:tc>
      </w:tr>
    </w:tbl>
    <w:p w:rsidR="007C5447" w:rsidRDefault="007C5447">
      <w:pPr>
        <w:pStyle w:val="BodyText"/>
        <w:spacing w:before="9"/>
        <w:rPr>
          <w:b/>
          <w:sz w:val="12"/>
        </w:rPr>
      </w:pPr>
    </w:p>
    <w:p w:rsidR="007C5447" w:rsidRDefault="00F6308C">
      <w:pPr>
        <w:spacing w:before="93"/>
        <w:ind w:left="540"/>
        <w:rPr>
          <w:sz w:val="18"/>
        </w:rPr>
      </w:pPr>
      <w:r>
        <w:rPr>
          <w:sz w:val="18"/>
        </w:rPr>
        <w:t>*Note – As ETPS has been decommissioned in FY 2016-17, no O&amp;M has been approved for future years.</w:t>
      </w: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F6308C">
      <w:pPr>
        <w:pStyle w:val="Heading2"/>
        <w:numPr>
          <w:ilvl w:val="1"/>
          <w:numId w:val="114"/>
        </w:numPr>
        <w:tabs>
          <w:tab w:val="left" w:pos="1106"/>
          <w:tab w:val="left" w:pos="1107"/>
        </w:tabs>
        <w:spacing w:before="120"/>
        <w:ind w:left="1106"/>
      </w:pPr>
      <w:bookmarkStart w:id="62" w:name="_bookmark62"/>
      <w:bookmarkEnd w:id="62"/>
      <w:r>
        <w:t>Capital Expenditure and</w:t>
      </w:r>
      <w:r>
        <w:rPr>
          <w:spacing w:val="-2"/>
        </w:rPr>
        <w:t xml:space="preserve"> </w:t>
      </w:r>
      <w:r>
        <w:t>Capitalization</w:t>
      </w:r>
    </w:p>
    <w:p w:rsidR="007C5447" w:rsidRDefault="007C5447">
      <w:pPr>
        <w:pStyle w:val="BodyText"/>
        <w:spacing w:before="10"/>
        <w:rPr>
          <w:b/>
          <w:sz w:val="27"/>
        </w:rPr>
      </w:pPr>
    </w:p>
    <w:p w:rsidR="007C5447" w:rsidRDefault="00F6308C">
      <w:pPr>
        <w:pStyle w:val="ListParagraph"/>
        <w:numPr>
          <w:ilvl w:val="2"/>
          <w:numId w:val="114"/>
        </w:numPr>
        <w:tabs>
          <w:tab w:val="left" w:pos="1393"/>
        </w:tabs>
        <w:spacing w:before="1" w:line="312" w:lineRule="auto"/>
        <w:ind w:left="1392" w:right="509" w:hanging="852"/>
        <w:jc w:val="both"/>
        <w:rPr>
          <w:sz w:val="24"/>
        </w:rPr>
      </w:pPr>
      <w:r>
        <w:rPr>
          <w:sz w:val="24"/>
        </w:rPr>
        <w:t>TANGEDCO submitted that the expenditure incurred in the existing power stations is on account of replacement of worn-out machinery, damaged equipment, transformers, boilers, generators, stators, auxiliary equipment, etc., which are necessary works to be ca</w:t>
      </w:r>
      <w:r>
        <w:rPr>
          <w:sz w:val="24"/>
        </w:rPr>
        <w:t xml:space="preserve">rried out for effective and efficient working of the power station. The additional expenditure incurred on the generation plant is in line with Regulation 19 of the Tariff Regulations, and have been incurred for ensuring efficient and successful operation </w:t>
      </w:r>
      <w:r>
        <w:rPr>
          <w:sz w:val="24"/>
        </w:rPr>
        <w:t>of the Generating Station, and for the commercial operation of the</w:t>
      </w:r>
      <w:r>
        <w:rPr>
          <w:spacing w:val="-6"/>
          <w:sz w:val="24"/>
        </w:rPr>
        <w:t xml:space="preserve"> </w:t>
      </w:r>
      <w:r>
        <w:rPr>
          <w:sz w:val="24"/>
        </w:rPr>
        <w:t>plant.</w:t>
      </w:r>
    </w:p>
    <w:p w:rsidR="007C5447" w:rsidRDefault="007C5447">
      <w:pPr>
        <w:pStyle w:val="BodyText"/>
        <w:rPr>
          <w:sz w:val="21"/>
        </w:rPr>
      </w:pPr>
    </w:p>
    <w:p w:rsidR="007C5447" w:rsidRDefault="00F6308C">
      <w:pPr>
        <w:pStyle w:val="ListParagraph"/>
        <w:numPr>
          <w:ilvl w:val="2"/>
          <w:numId w:val="114"/>
        </w:numPr>
        <w:tabs>
          <w:tab w:val="left" w:pos="1393"/>
        </w:tabs>
        <w:spacing w:line="312" w:lineRule="auto"/>
        <w:ind w:left="1392" w:right="510" w:hanging="852"/>
        <w:jc w:val="both"/>
        <w:rPr>
          <w:sz w:val="24"/>
        </w:rPr>
      </w:pPr>
      <w:r>
        <w:rPr>
          <w:sz w:val="24"/>
        </w:rPr>
        <w:t>TANGEDCO submitted that the expenditure incurred for the Distribution function is on account of works, which are necessary for efficient working of the distribution system. The prop</w:t>
      </w:r>
      <w:r>
        <w:rPr>
          <w:sz w:val="24"/>
        </w:rPr>
        <w:t xml:space="preserve">osed capital works for the distribution function are mainly on account of addition of </w:t>
      </w:r>
      <w:r>
        <w:rPr>
          <w:spacing w:val="-3"/>
          <w:sz w:val="24"/>
        </w:rPr>
        <w:t xml:space="preserve">LT </w:t>
      </w:r>
      <w:r>
        <w:rPr>
          <w:sz w:val="24"/>
        </w:rPr>
        <w:t>and HT lines, distribution transformers, services rendered during the respective years, and works carried out under RGGVY</w:t>
      </w:r>
      <w:r>
        <w:rPr>
          <w:spacing w:val="1"/>
          <w:sz w:val="24"/>
        </w:rPr>
        <w:t xml:space="preserve"> </w:t>
      </w:r>
      <w:r>
        <w:rPr>
          <w:sz w:val="24"/>
        </w:rPr>
        <w:t>scheme.</w:t>
      </w:r>
    </w:p>
    <w:p w:rsidR="007C5447" w:rsidRDefault="007C5447">
      <w:pPr>
        <w:pStyle w:val="BodyText"/>
        <w:spacing w:before="9"/>
        <w:rPr>
          <w:sz w:val="20"/>
        </w:rPr>
      </w:pPr>
    </w:p>
    <w:p w:rsidR="007C5447" w:rsidRDefault="00F6308C">
      <w:pPr>
        <w:pStyle w:val="ListParagraph"/>
        <w:numPr>
          <w:ilvl w:val="2"/>
          <w:numId w:val="114"/>
        </w:numPr>
        <w:tabs>
          <w:tab w:val="left" w:pos="1392"/>
          <w:tab w:val="left" w:pos="1393"/>
        </w:tabs>
        <w:spacing w:before="1"/>
        <w:ind w:left="1392" w:hanging="853"/>
        <w:rPr>
          <w:sz w:val="24"/>
        </w:rPr>
      </w:pPr>
      <w:r>
        <w:rPr>
          <w:sz w:val="24"/>
        </w:rPr>
        <w:t>The capitalisation proposed by TANGE</w:t>
      </w:r>
      <w:r>
        <w:rPr>
          <w:sz w:val="24"/>
        </w:rPr>
        <w:t>DCO is shown in the Table</w:t>
      </w:r>
      <w:r>
        <w:rPr>
          <w:spacing w:val="-9"/>
          <w:sz w:val="24"/>
        </w:rPr>
        <w:t xml:space="preserve"> </w:t>
      </w:r>
      <w:r>
        <w:rPr>
          <w:sz w:val="24"/>
        </w:rPr>
        <w:t>below:</w:t>
      </w:r>
    </w:p>
    <w:p w:rsidR="007C5447" w:rsidRDefault="007C5447">
      <w:pPr>
        <w:rPr>
          <w:sz w:val="24"/>
        </w:rPr>
        <w:sectPr w:rsidR="007C5447">
          <w:pgSz w:w="11910" w:h="16840"/>
          <w:pgMar w:top="1420" w:right="620" w:bottom="1240" w:left="900" w:header="0" w:footer="777" w:gutter="0"/>
          <w:cols w:space="720"/>
        </w:sectPr>
      </w:pPr>
    </w:p>
    <w:p w:rsidR="007C5447" w:rsidRDefault="00F6308C">
      <w:pPr>
        <w:pStyle w:val="Heading2"/>
        <w:spacing w:before="60"/>
        <w:ind w:left="587" w:right="564"/>
        <w:jc w:val="center"/>
      </w:pPr>
      <w:r>
        <w:lastRenderedPageBreak/>
        <w:t>Table 4-12: Capitalization as submitted by TANGEDCO (Rs. Crore)</w:t>
      </w:r>
    </w:p>
    <w:p w:rsidR="007C5447" w:rsidRDefault="007C5447">
      <w:pPr>
        <w:pStyle w:val="BodyText"/>
        <w:spacing w:before="3"/>
        <w:rPr>
          <w:b/>
          <w:sz w:val="7"/>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2735"/>
        <w:gridCol w:w="1712"/>
        <w:gridCol w:w="1709"/>
        <w:gridCol w:w="1712"/>
      </w:tblGrid>
      <w:tr w:rsidR="007C5447">
        <w:trPr>
          <w:trHeight w:val="333"/>
        </w:trPr>
        <w:tc>
          <w:tcPr>
            <w:tcW w:w="994" w:type="dxa"/>
            <w:vMerge w:val="restart"/>
            <w:shd w:val="clear" w:color="auto" w:fill="F7C9AC"/>
          </w:tcPr>
          <w:p w:rsidR="007C5447" w:rsidRDefault="007C5447">
            <w:pPr>
              <w:pStyle w:val="TableParagraph"/>
              <w:spacing w:before="6"/>
              <w:jc w:val="left"/>
              <w:rPr>
                <w:b/>
                <w:sz w:val="26"/>
              </w:rPr>
            </w:pPr>
          </w:p>
          <w:p w:rsidR="007C5447" w:rsidRDefault="00F6308C">
            <w:pPr>
              <w:pStyle w:val="TableParagraph"/>
              <w:ind w:left="367" w:right="359"/>
              <w:jc w:val="center"/>
              <w:rPr>
                <w:b/>
                <w:sz w:val="20"/>
              </w:rPr>
            </w:pPr>
            <w:r>
              <w:rPr>
                <w:b/>
                <w:sz w:val="20"/>
              </w:rPr>
              <w:t>Sl.</w:t>
            </w:r>
          </w:p>
        </w:tc>
        <w:tc>
          <w:tcPr>
            <w:tcW w:w="2735" w:type="dxa"/>
            <w:vMerge w:val="restart"/>
            <w:shd w:val="clear" w:color="auto" w:fill="F7C9AC"/>
          </w:tcPr>
          <w:p w:rsidR="007C5447" w:rsidRDefault="007C5447">
            <w:pPr>
              <w:pStyle w:val="TableParagraph"/>
              <w:spacing w:before="6"/>
              <w:jc w:val="left"/>
              <w:rPr>
                <w:b/>
                <w:sz w:val="26"/>
              </w:rPr>
            </w:pPr>
          </w:p>
          <w:p w:rsidR="007C5447" w:rsidRDefault="00F6308C">
            <w:pPr>
              <w:pStyle w:val="TableParagraph"/>
              <w:ind w:left="107"/>
              <w:jc w:val="left"/>
              <w:rPr>
                <w:b/>
                <w:sz w:val="20"/>
              </w:rPr>
            </w:pPr>
            <w:r>
              <w:rPr>
                <w:b/>
                <w:sz w:val="20"/>
              </w:rPr>
              <w:t>Power Station</w:t>
            </w:r>
          </w:p>
        </w:tc>
        <w:tc>
          <w:tcPr>
            <w:tcW w:w="5133" w:type="dxa"/>
            <w:gridSpan w:val="3"/>
            <w:shd w:val="clear" w:color="auto" w:fill="F7C9AC"/>
          </w:tcPr>
          <w:p w:rsidR="007C5447" w:rsidRDefault="00F6308C">
            <w:pPr>
              <w:pStyle w:val="TableParagraph"/>
              <w:spacing w:before="53"/>
              <w:ind w:left="1963" w:right="1963"/>
              <w:jc w:val="center"/>
              <w:rPr>
                <w:b/>
                <w:sz w:val="20"/>
              </w:rPr>
            </w:pPr>
            <w:r>
              <w:rPr>
                <w:b/>
                <w:sz w:val="20"/>
              </w:rPr>
              <w:t>TANGEDCO</w:t>
            </w:r>
          </w:p>
        </w:tc>
      </w:tr>
      <w:tr w:rsidR="007C5447">
        <w:trPr>
          <w:trHeight w:val="494"/>
        </w:trPr>
        <w:tc>
          <w:tcPr>
            <w:tcW w:w="994" w:type="dxa"/>
            <w:vMerge/>
            <w:tcBorders>
              <w:top w:val="nil"/>
            </w:tcBorders>
            <w:shd w:val="clear" w:color="auto" w:fill="F7C9AC"/>
          </w:tcPr>
          <w:p w:rsidR="007C5447" w:rsidRDefault="007C5447">
            <w:pPr>
              <w:rPr>
                <w:sz w:val="2"/>
                <w:szCs w:val="2"/>
              </w:rPr>
            </w:pPr>
          </w:p>
        </w:tc>
        <w:tc>
          <w:tcPr>
            <w:tcW w:w="2735" w:type="dxa"/>
            <w:vMerge/>
            <w:tcBorders>
              <w:top w:val="nil"/>
            </w:tcBorders>
            <w:shd w:val="clear" w:color="auto" w:fill="F7C9AC"/>
          </w:tcPr>
          <w:p w:rsidR="007C5447" w:rsidRDefault="007C5447">
            <w:pPr>
              <w:rPr>
                <w:sz w:val="2"/>
                <w:szCs w:val="2"/>
              </w:rPr>
            </w:pPr>
          </w:p>
        </w:tc>
        <w:tc>
          <w:tcPr>
            <w:tcW w:w="1712" w:type="dxa"/>
            <w:shd w:val="clear" w:color="auto" w:fill="F7C9AC"/>
          </w:tcPr>
          <w:p w:rsidR="007C5447" w:rsidRDefault="00F6308C">
            <w:pPr>
              <w:pStyle w:val="TableParagraph"/>
              <w:spacing w:before="132"/>
              <w:ind w:left="360"/>
              <w:jc w:val="left"/>
              <w:rPr>
                <w:b/>
                <w:sz w:val="20"/>
              </w:rPr>
            </w:pPr>
            <w:r>
              <w:rPr>
                <w:b/>
                <w:sz w:val="20"/>
              </w:rPr>
              <w:t>FY 2016-17</w:t>
            </w:r>
          </w:p>
        </w:tc>
        <w:tc>
          <w:tcPr>
            <w:tcW w:w="1709" w:type="dxa"/>
            <w:shd w:val="clear" w:color="auto" w:fill="F7C9AC"/>
          </w:tcPr>
          <w:p w:rsidR="007C5447" w:rsidRDefault="00F6308C">
            <w:pPr>
              <w:pStyle w:val="TableParagraph"/>
              <w:spacing w:before="132"/>
              <w:ind w:left="360"/>
              <w:jc w:val="left"/>
              <w:rPr>
                <w:b/>
                <w:sz w:val="20"/>
              </w:rPr>
            </w:pPr>
            <w:r>
              <w:rPr>
                <w:b/>
                <w:sz w:val="20"/>
              </w:rPr>
              <w:t>FY 2017-18</w:t>
            </w:r>
          </w:p>
        </w:tc>
        <w:tc>
          <w:tcPr>
            <w:tcW w:w="1712" w:type="dxa"/>
            <w:shd w:val="clear" w:color="auto" w:fill="F7C9AC"/>
          </w:tcPr>
          <w:p w:rsidR="007C5447" w:rsidRDefault="00F6308C">
            <w:pPr>
              <w:pStyle w:val="TableParagraph"/>
              <w:spacing w:before="132"/>
              <w:ind w:left="360"/>
              <w:jc w:val="left"/>
              <w:rPr>
                <w:b/>
                <w:sz w:val="20"/>
              </w:rPr>
            </w:pPr>
            <w:r>
              <w:rPr>
                <w:b/>
                <w:sz w:val="20"/>
              </w:rPr>
              <w:t>FY 2018-19</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1</w:t>
            </w:r>
          </w:p>
        </w:tc>
        <w:tc>
          <w:tcPr>
            <w:tcW w:w="2735" w:type="dxa"/>
          </w:tcPr>
          <w:p w:rsidR="007C5447" w:rsidRDefault="00F6308C">
            <w:pPr>
              <w:pStyle w:val="TableParagraph"/>
              <w:spacing w:before="17" w:line="224" w:lineRule="exact"/>
              <w:ind w:left="107"/>
              <w:jc w:val="left"/>
              <w:rPr>
                <w:sz w:val="20"/>
              </w:rPr>
            </w:pPr>
            <w:r>
              <w:rPr>
                <w:sz w:val="20"/>
              </w:rPr>
              <w:t>Ennore TPS</w:t>
            </w:r>
          </w:p>
        </w:tc>
        <w:tc>
          <w:tcPr>
            <w:tcW w:w="1712" w:type="dxa"/>
          </w:tcPr>
          <w:p w:rsidR="007C5447" w:rsidRDefault="00F6308C">
            <w:pPr>
              <w:pStyle w:val="TableParagraph"/>
              <w:spacing w:before="17" w:line="224" w:lineRule="exact"/>
              <w:ind w:right="99"/>
              <w:rPr>
                <w:sz w:val="20"/>
              </w:rPr>
            </w:pPr>
            <w:r>
              <w:rPr>
                <w:sz w:val="20"/>
              </w:rPr>
              <w:t>0.00</w:t>
            </w:r>
          </w:p>
        </w:tc>
        <w:tc>
          <w:tcPr>
            <w:tcW w:w="1709" w:type="dxa"/>
          </w:tcPr>
          <w:p w:rsidR="007C5447" w:rsidRDefault="00F6308C">
            <w:pPr>
              <w:pStyle w:val="TableParagraph"/>
              <w:spacing w:before="17" w:line="224" w:lineRule="exact"/>
              <w:ind w:right="97"/>
              <w:rPr>
                <w:sz w:val="20"/>
              </w:rPr>
            </w:pPr>
            <w:r>
              <w:rPr>
                <w:sz w:val="20"/>
              </w:rPr>
              <w:t>0.00</w:t>
            </w:r>
          </w:p>
        </w:tc>
        <w:tc>
          <w:tcPr>
            <w:tcW w:w="1712" w:type="dxa"/>
          </w:tcPr>
          <w:p w:rsidR="007C5447" w:rsidRDefault="00F6308C">
            <w:pPr>
              <w:pStyle w:val="TableParagraph"/>
              <w:spacing w:before="17" w:line="224" w:lineRule="exact"/>
              <w:ind w:right="100"/>
              <w:rPr>
                <w:sz w:val="20"/>
              </w:rPr>
            </w:pPr>
            <w:r>
              <w:rPr>
                <w:sz w:val="20"/>
              </w:rPr>
              <w:t>0.00</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2</w:t>
            </w:r>
          </w:p>
        </w:tc>
        <w:tc>
          <w:tcPr>
            <w:tcW w:w="2735" w:type="dxa"/>
          </w:tcPr>
          <w:p w:rsidR="007C5447" w:rsidRDefault="00F6308C">
            <w:pPr>
              <w:pStyle w:val="TableParagraph"/>
              <w:spacing w:before="14" w:line="224" w:lineRule="exact"/>
              <w:ind w:left="107"/>
              <w:jc w:val="left"/>
              <w:rPr>
                <w:sz w:val="20"/>
              </w:rPr>
            </w:pPr>
            <w:r>
              <w:rPr>
                <w:sz w:val="20"/>
              </w:rPr>
              <w:t>Tuticorin TPS</w:t>
            </w:r>
          </w:p>
        </w:tc>
        <w:tc>
          <w:tcPr>
            <w:tcW w:w="1712" w:type="dxa"/>
          </w:tcPr>
          <w:p w:rsidR="007C5447" w:rsidRDefault="00F6308C">
            <w:pPr>
              <w:pStyle w:val="TableParagraph"/>
              <w:spacing w:before="14" w:line="224" w:lineRule="exact"/>
              <w:ind w:right="99"/>
              <w:rPr>
                <w:sz w:val="20"/>
              </w:rPr>
            </w:pPr>
            <w:r>
              <w:rPr>
                <w:w w:val="95"/>
                <w:sz w:val="20"/>
              </w:rPr>
              <w:t>393.22</w:t>
            </w:r>
          </w:p>
        </w:tc>
        <w:tc>
          <w:tcPr>
            <w:tcW w:w="1709" w:type="dxa"/>
          </w:tcPr>
          <w:p w:rsidR="007C5447" w:rsidRDefault="00F6308C">
            <w:pPr>
              <w:pStyle w:val="TableParagraph"/>
              <w:spacing w:before="14" w:line="224" w:lineRule="exact"/>
              <w:ind w:right="97"/>
              <w:rPr>
                <w:sz w:val="20"/>
              </w:rPr>
            </w:pPr>
            <w:r>
              <w:rPr>
                <w:w w:val="95"/>
                <w:sz w:val="20"/>
              </w:rPr>
              <w:t>245.02</w:t>
            </w:r>
          </w:p>
        </w:tc>
        <w:tc>
          <w:tcPr>
            <w:tcW w:w="1712" w:type="dxa"/>
          </w:tcPr>
          <w:p w:rsidR="007C5447" w:rsidRDefault="00F6308C">
            <w:pPr>
              <w:pStyle w:val="TableParagraph"/>
              <w:spacing w:before="14" w:line="224" w:lineRule="exact"/>
              <w:ind w:right="100"/>
              <w:rPr>
                <w:sz w:val="20"/>
              </w:rPr>
            </w:pPr>
            <w:r>
              <w:rPr>
                <w:w w:val="95"/>
                <w:sz w:val="20"/>
              </w:rPr>
              <w:t>266.40</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3</w:t>
            </w:r>
          </w:p>
        </w:tc>
        <w:tc>
          <w:tcPr>
            <w:tcW w:w="2735" w:type="dxa"/>
          </w:tcPr>
          <w:p w:rsidR="007C5447" w:rsidRDefault="00F6308C">
            <w:pPr>
              <w:pStyle w:val="TableParagraph"/>
              <w:spacing w:before="17" w:line="224" w:lineRule="exact"/>
              <w:ind w:left="107"/>
              <w:jc w:val="left"/>
              <w:rPr>
                <w:sz w:val="20"/>
              </w:rPr>
            </w:pPr>
            <w:r>
              <w:rPr>
                <w:sz w:val="20"/>
              </w:rPr>
              <w:t>Mettur TPS</w:t>
            </w:r>
          </w:p>
        </w:tc>
        <w:tc>
          <w:tcPr>
            <w:tcW w:w="1712" w:type="dxa"/>
          </w:tcPr>
          <w:p w:rsidR="007C5447" w:rsidRDefault="00F6308C">
            <w:pPr>
              <w:pStyle w:val="TableParagraph"/>
              <w:spacing w:before="17" w:line="224" w:lineRule="exact"/>
              <w:ind w:right="100"/>
              <w:rPr>
                <w:sz w:val="20"/>
              </w:rPr>
            </w:pPr>
            <w:r>
              <w:rPr>
                <w:w w:val="95"/>
                <w:sz w:val="20"/>
              </w:rPr>
              <w:t>217.61</w:t>
            </w:r>
          </w:p>
        </w:tc>
        <w:tc>
          <w:tcPr>
            <w:tcW w:w="1709" w:type="dxa"/>
          </w:tcPr>
          <w:p w:rsidR="007C5447" w:rsidRDefault="00F6308C">
            <w:pPr>
              <w:pStyle w:val="TableParagraph"/>
              <w:spacing w:before="17" w:line="224" w:lineRule="exact"/>
              <w:ind w:right="97"/>
              <w:rPr>
                <w:sz w:val="20"/>
              </w:rPr>
            </w:pPr>
            <w:r>
              <w:rPr>
                <w:w w:val="95"/>
                <w:sz w:val="20"/>
              </w:rPr>
              <w:t>127.67</w:t>
            </w:r>
          </w:p>
        </w:tc>
        <w:tc>
          <w:tcPr>
            <w:tcW w:w="1712" w:type="dxa"/>
          </w:tcPr>
          <w:p w:rsidR="007C5447" w:rsidRDefault="00F6308C">
            <w:pPr>
              <w:pStyle w:val="TableParagraph"/>
              <w:spacing w:before="17" w:line="224" w:lineRule="exact"/>
              <w:ind w:right="100"/>
              <w:rPr>
                <w:sz w:val="20"/>
              </w:rPr>
            </w:pPr>
            <w:r>
              <w:rPr>
                <w:w w:val="95"/>
                <w:sz w:val="20"/>
              </w:rPr>
              <w:t>109.20</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4</w:t>
            </w:r>
          </w:p>
        </w:tc>
        <w:tc>
          <w:tcPr>
            <w:tcW w:w="2735" w:type="dxa"/>
          </w:tcPr>
          <w:p w:rsidR="007C5447" w:rsidRDefault="00F6308C">
            <w:pPr>
              <w:pStyle w:val="TableParagraph"/>
              <w:spacing w:before="14" w:line="224" w:lineRule="exact"/>
              <w:ind w:left="107"/>
              <w:jc w:val="left"/>
              <w:rPr>
                <w:sz w:val="20"/>
              </w:rPr>
            </w:pPr>
            <w:r>
              <w:rPr>
                <w:sz w:val="20"/>
              </w:rPr>
              <w:t>North Chennai TPS</w:t>
            </w:r>
          </w:p>
        </w:tc>
        <w:tc>
          <w:tcPr>
            <w:tcW w:w="1712" w:type="dxa"/>
          </w:tcPr>
          <w:p w:rsidR="007C5447" w:rsidRDefault="00F6308C">
            <w:pPr>
              <w:pStyle w:val="TableParagraph"/>
              <w:spacing w:before="14" w:line="224" w:lineRule="exact"/>
              <w:ind w:right="100"/>
              <w:rPr>
                <w:sz w:val="20"/>
              </w:rPr>
            </w:pPr>
            <w:r>
              <w:rPr>
                <w:w w:val="95"/>
                <w:sz w:val="20"/>
              </w:rPr>
              <w:t>483.24</w:t>
            </w:r>
          </w:p>
        </w:tc>
        <w:tc>
          <w:tcPr>
            <w:tcW w:w="1709" w:type="dxa"/>
          </w:tcPr>
          <w:p w:rsidR="007C5447" w:rsidRDefault="00F6308C">
            <w:pPr>
              <w:pStyle w:val="TableParagraph"/>
              <w:spacing w:before="14" w:line="224" w:lineRule="exact"/>
              <w:ind w:right="97"/>
              <w:rPr>
                <w:sz w:val="20"/>
              </w:rPr>
            </w:pPr>
            <w:r>
              <w:rPr>
                <w:w w:val="95"/>
                <w:sz w:val="20"/>
              </w:rPr>
              <w:t>260.82</w:t>
            </w:r>
          </w:p>
        </w:tc>
        <w:tc>
          <w:tcPr>
            <w:tcW w:w="1712" w:type="dxa"/>
          </w:tcPr>
          <w:p w:rsidR="007C5447" w:rsidRDefault="00F6308C">
            <w:pPr>
              <w:pStyle w:val="TableParagraph"/>
              <w:spacing w:before="14" w:line="224" w:lineRule="exact"/>
              <w:ind w:right="100"/>
              <w:rPr>
                <w:sz w:val="20"/>
              </w:rPr>
            </w:pPr>
            <w:r>
              <w:rPr>
                <w:w w:val="95"/>
                <w:sz w:val="20"/>
              </w:rPr>
              <w:t>917.82</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5</w:t>
            </w:r>
          </w:p>
        </w:tc>
        <w:tc>
          <w:tcPr>
            <w:tcW w:w="2735" w:type="dxa"/>
          </w:tcPr>
          <w:p w:rsidR="007C5447" w:rsidRDefault="00F6308C">
            <w:pPr>
              <w:pStyle w:val="TableParagraph"/>
              <w:spacing w:before="17" w:line="224" w:lineRule="exact"/>
              <w:ind w:left="107"/>
              <w:jc w:val="left"/>
              <w:rPr>
                <w:sz w:val="20"/>
              </w:rPr>
            </w:pPr>
            <w:r>
              <w:rPr>
                <w:sz w:val="20"/>
              </w:rPr>
              <w:t>Mettur TPS Stage III</w:t>
            </w:r>
          </w:p>
        </w:tc>
        <w:tc>
          <w:tcPr>
            <w:tcW w:w="1712" w:type="dxa"/>
          </w:tcPr>
          <w:p w:rsidR="007C5447" w:rsidRDefault="00F6308C">
            <w:pPr>
              <w:pStyle w:val="TableParagraph"/>
              <w:spacing w:before="17" w:line="224" w:lineRule="exact"/>
              <w:ind w:right="99"/>
              <w:rPr>
                <w:sz w:val="20"/>
              </w:rPr>
            </w:pPr>
            <w:r>
              <w:rPr>
                <w:sz w:val="20"/>
              </w:rPr>
              <w:t>18.42</w:t>
            </w:r>
          </w:p>
        </w:tc>
        <w:tc>
          <w:tcPr>
            <w:tcW w:w="1709" w:type="dxa"/>
          </w:tcPr>
          <w:p w:rsidR="007C5447" w:rsidRDefault="00F6308C">
            <w:pPr>
              <w:pStyle w:val="TableParagraph"/>
              <w:spacing w:before="17" w:line="224" w:lineRule="exact"/>
              <w:ind w:right="97"/>
              <w:rPr>
                <w:sz w:val="20"/>
              </w:rPr>
            </w:pPr>
            <w:r>
              <w:rPr>
                <w:sz w:val="20"/>
              </w:rPr>
              <w:t>74.83</w:t>
            </w:r>
          </w:p>
        </w:tc>
        <w:tc>
          <w:tcPr>
            <w:tcW w:w="1712" w:type="dxa"/>
          </w:tcPr>
          <w:p w:rsidR="007C5447" w:rsidRDefault="00F6308C">
            <w:pPr>
              <w:pStyle w:val="TableParagraph"/>
              <w:spacing w:before="17" w:line="224" w:lineRule="exact"/>
              <w:ind w:right="100"/>
              <w:rPr>
                <w:sz w:val="20"/>
              </w:rPr>
            </w:pPr>
            <w:r>
              <w:rPr>
                <w:sz w:val="20"/>
              </w:rPr>
              <w:t>52.08</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6</w:t>
            </w:r>
          </w:p>
        </w:tc>
        <w:tc>
          <w:tcPr>
            <w:tcW w:w="2735" w:type="dxa"/>
          </w:tcPr>
          <w:p w:rsidR="007C5447" w:rsidRDefault="00F6308C">
            <w:pPr>
              <w:pStyle w:val="TableParagraph"/>
              <w:spacing w:before="14" w:line="224" w:lineRule="exact"/>
              <w:ind w:left="107"/>
              <w:jc w:val="left"/>
              <w:rPr>
                <w:sz w:val="20"/>
              </w:rPr>
            </w:pPr>
            <w:r>
              <w:rPr>
                <w:sz w:val="20"/>
              </w:rPr>
              <w:t>North Chennai TPS II</w:t>
            </w:r>
          </w:p>
        </w:tc>
        <w:tc>
          <w:tcPr>
            <w:tcW w:w="1712" w:type="dxa"/>
          </w:tcPr>
          <w:p w:rsidR="007C5447" w:rsidRDefault="00F6308C">
            <w:pPr>
              <w:pStyle w:val="TableParagraph"/>
              <w:spacing w:before="14" w:line="224" w:lineRule="exact"/>
              <w:ind w:right="99"/>
              <w:rPr>
                <w:sz w:val="20"/>
              </w:rPr>
            </w:pPr>
            <w:r>
              <w:rPr>
                <w:sz w:val="20"/>
              </w:rPr>
              <w:t>7.67</w:t>
            </w:r>
          </w:p>
        </w:tc>
        <w:tc>
          <w:tcPr>
            <w:tcW w:w="1709" w:type="dxa"/>
          </w:tcPr>
          <w:p w:rsidR="007C5447" w:rsidRDefault="00F6308C">
            <w:pPr>
              <w:pStyle w:val="TableParagraph"/>
              <w:spacing w:before="14" w:line="224" w:lineRule="exact"/>
              <w:ind w:right="97"/>
              <w:rPr>
                <w:sz w:val="20"/>
              </w:rPr>
            </w:pPr>
            <w:r>
              <w:rPr>
                <w:sz w:val="20"/>
              </w:rPr>
              <w:t>19.31</w:t>
            </w:r>
          </w:p>
        </w:tc>
        <w:tc>
          <w:tcPr>
            <w:tcW w:w="1712" w:type="dxa"/>
          </w:tcPr>
          <w:p w:rsidR="007C5447" w:rsidRDefault="00F6308C">
            <w:pPr>
              <w:pStyle w:val="TableParagraph"/>
              <w:spacing w:before="14" w:line="224" w:lineRule="exact"/>
              <w:ind w:right="100"/>
              <w:rPr>
                <w:sz w:val="20"/>
              </w:rPr>
            </w:pPr>
            <w:r>
              <w:rPr>
                <w:sz w:val="20"/>
              </w:rPr>
              <w:t>71.31</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7</w:t>
            </w:r>
          </w:p>
        </w:tc>
        <w:tc>
          <w:tcPr>
            <w:tcW w:w="2735" w:type="dxa"/>
          </w:tcPr>
          <w:p w:rsidR="007C5447" w:rsidRDefault="00F6308C">
            <w:pPr>
              <w:pStyle w:val="TableParagraph"/>
              <w:spacing w:before="17" w:line="224" w:lineRule="exact"/>
              <w:ind w:left="107"/>
              <w:jc w:val="left"/>
              <w:rPr>
                <w:sz w:val="20"/>
              </w:rPr>
            </w:pPr>
            <w:r>
              <w:rPr>
                <w:sz w:val="20"/>
              </w:rPr>
              <w:t>Ennore Expansion II</w:t>
            </w:r>
          </w:p>
        </w:tc>
        <w:tc>
          <w:tcPr>
            <w:tcW w:w="1712" w:type="dxa"/>
          </w:tcPr>
          <w:p w:rsidR="007C5447" w:rsidRDefault="00F6308C">
            <w:pPr>
              <w:pStyle w:val="TableParagraph"/>
              <w:spacing w:before="17" w:line="224" w:lineRule="exact"/>
              <w:ind w:right="99"/>
              <w:rPr>
                <w:sz w:val="20"/>
              </w:rPr>
            </w:pPr>
            <w:r>
              <w:rPr>
                <w:sz w:val="20"/>
              </w:rPr>
              <w:t>0.00</w:t>
            </w:r>
          </w:p>
        </w:tc>
        <w:tc>
          <w:tcPr>
            <w:tcW w:w="1709" w:type="dxa"/>
          </w:tcPr>
          <w:p w:rsidR="007C5447" w:rsidRDefault="00F6308C">
            <w:pPr>
              <w:pStyle w:val="TableParagraph"/>
              <w:spacing w:before="17" w:line="224" w:lineRule="exact"/>
              <w:ind w:right="97"/>
              <w:rPr>
                <w:sz w:val="20"/>
              </w:rPr>
            </w:pPr>
            <w:r>
              <w:rPr>
                <w:sz w:val="20"/>
              </w:rPr>
              <w:t>0.00</w:t>
            </w:r>
          </w:p>
        </w:tc>
        <w:tc>
          <w:tcPr>
            <w:tcW w:w="1712" w:type="dxa"/>
          </w:tcPr>
          <w:p w:rsidR="007C5447" w:rsidRDefault="00F6308C">
            <w:pPr>
              <w:pStyle w:val="TableParagraph"/>
              <w:spacing w:before="17" w:line="224" w:lineRule="exact"/>
              <w:ind w:right="100"/>
              <w:rPr>
                <w:sz w:val="20"/>
              </w:rPr>
            </w:pPr>
            <w:r>
              <w:rPr>
                <w:sz w:val="20"/>
              </w:rPr>
              <w:t>5421.00</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8</w:t>
            </w:r>
          </w:p>
        </w:tc>
        <w:tc>
          <w:tcPr>
            <w:tcW w:w="2735" w:type="dxa"/>
          </w:tcPr>
          <w:p w:rsidR="007C5447" w:rsidRDefault="00F6308C">
            <w:pPr>
              <w:pStyle w:val="TableParagraph"/>
              <w:spacing w:before="14" w:line="224" w:lineRule="exact"/>
              <w:ind w:left="107"/>
              <w:jc w:val="left"/>
              <w:rPr>
                <w:sz w:val="20"/>
              </w:rPr>
            </w:pPr>
            <w:r>
              <w:rPr>
                <w:sz w:val="20"/>
              </w:rPr>
              <w:t>Tirumakottai GTPS</w:t>
            </w:r>
          </w:p>
        </w:tc>
        <w:tc>
          <w:tcPr>
            <w:tcW w:w="1712" w:type="dxa"/>
          </w:tcPr>
          <w:p w:rsidR="007C5447" w:rsidRDefault="00F6308C">
            <w:pPr>
              <w:pStyle w:val="TableParagraph"/>
              <w:spacing w:before="14" w:line="224" w:lineRule="exact"/>
              <w:ind w:right="99"/>
              <w:rPr>
                <w:sz w:val="20"/>
              </w:rPr>
            </w:pPr>
            <w:r>
              <w:rPr>
                <w:sz w:val="20"/>
              </w:rPr>
              <w:t>17.52</w:t>
            </w:r>
          </w:p>
        </w:tc>
        <w:tc>
          <w:tcPr>
            <w:tcW w:w="1709" w:type="dxa"/>
          </w:tcPr>
          <w:p w:rsidR="007C5447" w:rsidRDefault="00F6308C">
            <w:pPr>
              <w:pStyle w:val="TableParagraph"/>
              <w:spacing w:before="14" w:line="224" w:lineRule="exact"/>
              <w:ind w:right="97"/>
              <w:rPr>
                <w:sz w:val="20"/>
              </w:rPr>
            </w:pPr>
            <w:r>
              <w:rPr>
                <w:w w:val="95"/>
                <w:sz w:val="20"/>
              </w:rPr>
              <w:t>108.00</w:t>
            </w:r>
          </w:p>
        </w:tc>
        <w:tc>
          <w:tcPr>
            <w:tcW w:w="1712" w:type="dxa"/>
          </w:tcPr>
          <w:p w:rsidR="007C5447" w:rsidRDefault="00F6308C">
            <w:pPr>
              <w:pStyle w:val="TableParagraph"/>
              <w:spacing w:before="14" w:line="224" w:lineRule="exact"/>
              <w:ind w:right="100"/>
              <w:rPr>
                <w:sz w:val="20"/>
              </w:rPr>
            </w:pPr>
            <w:r>
              <w:rPr>
                <w:sz w:val="20"/>
              </w:rPr>
              <w:t>43.00</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9</w:t>
            </w:r>
          </w:p>
        </w:tc>
        <w:tc>
          <w:tcPr>
            <w:tcW w:w="2735" w:type="dxa"/>
          </w:tcPr>
          <w:p w:rsidR="007C5447" w:rsidRDefault="00F6308C">
            <w:pPr>
              <w:pStyle w:val="TableParagraph"/>
              <w:spacing w:before="17" w:line="224" w:lineRule="exact"/>
              <w:ind w:left="107"/>
              <w:jc w:val="left"/>
              <w:rPr>
                <w:sz w:val="20"/>
              </w:rPr>
            </w:pPr>
            <w:r>
              <w:rPr>
                <w:sz w:val="20"/>
              </w:rPr>
              <w:t>Kuttalam GTPS</w:t>
            </w:r>
          </w:p>
        </w:tc>
        <w:tc>
          <w:tcPr>
            <w:tcW w:w="1712" w:type="dxa"/>
          </w:tcPr>
          <w:p w:rsidR="007C5447" w:rsidRDefault="00F6308C">
            <w:pPr>
              <w:pStyle w:val="TableParagraph"/>
              <w:spacing w:before="17" w:line="224" w:lineRule="exact"/>
              <w:ind w:right="99"/>
              <w:rPr>
                <w:sz w:val="20"/>
              </w:rPr>
            </w:pPr>
            <w:r>
              <w:rPr>
                <w:sz w:val="20"/>
              </w:rPr>
              <w:t>20.29</w:t>
            </w:r>
          </w:p>
        </w:tc>
        <w:tc>
          <w:tcPr>
            <w:tcW w:w="1709" w:type="dxa"/>
          </w:tcPr>
          <w:p w:rsidR="007C5447" w:rsidRDefault="00F6308C">
            <w:pPr>
              <w:pStyle w:val="TableParagraph"/>
              <w:spacing w:before="17" w:line="224" w:lineRule="exact"/>
              <w:ind w:right="97"/>
              <w:rPr>
                <w:sz w:val="20"/>
              </w:rPr>
            </w:pPr>
            <w:r>
              <w:rPr>
                <w:sz w:val="20"/>
              </w:rPr>
              <w:t>12.00</w:t>
            </w:r>
          </w:p>
        </w:tc>
        <w:tc>
          <w:tcPr>
            <w:tcW w:w="1712" w:type="dxa"/>
          </w:tcPr>
          <w:p w:rsidR="007C5447" w:rsidRDefault="00F6308C">
            <w:pPr>
              <w:pStyle w:val="TableParagraph"/>
              <w:spacing w:before="17" w:line="224" w:lineRule="exact"/>
              <w:ind w:right="100"/>
              <w:rPr>
                <w:sz w:val="20"/>
              </w:rPr>
            </w:pPr>
            <w:r>
              <w:rPr>
                <w:sz w:val="20"/>
              </w:rPr>
              <w:t>40.00</w:t>
            </w:r>
          </w:p>
        </w:tc>
      </w:tr>
      <w:tr w:rsidR="007C5447">
        <w:trPr>
          <w:trHeight w:val="256"/>
        </w:trPr>
        <w:tc>
          <w:tcPr>
            <w:tcW w:w="994" w:type="dxa"/>
            <w:tcBorders>
              <w:bottom w:val="single" w:sz="6" w:space="0" w:color="000000"/>
            </w:tcBorders>
          </w:tcPr>
          <w:p w:rsidR="007C5447" w:rsidRDefault="00F6308C">
            <w:pPr>
              <w:pStyle w:val="TableParagraph"/>
              <w:spacing w:before="14" w:line="222" w:lineRule="exact"/>
              <w:ind w:left="367" w:right="358"/>
              <w:jc w:val="center"/>
              <w:rPr>
                <w:sz w:val="20"/>
              </w:rPr>
            </w:pPr>
            <w:r>
              <w:rPr>
                <w:sz w:val="20"/>
              </w:rPr>
              <w:t>10</w:t>
            </w:r>
          </w:p>
        </w:tc>
        <w:tc>
          <w:tcPr>
            <w:tcW w:w="2735" w:type="dxa"/>
            <w:tcBorders>
              <w:bottom w:val="single" w:sz="6" w:space="0" w:color="000000"/>
            </w:tcBorders>
          </w:tcPr>
          <w:p w:rsidR="007C5447" w:rsidRDefault="00F6308C">
            <w:pPr>
              <w:pStyle w:val="TableParagraph"/>
              <w:spacing w:before="14" w:line="222" w:lineRule="exact"/>
              <w:ind w:left="107"/>
              <w:jc w:val="left"/>
              <w:rPr>
                <w:sz w:val="20"/>
              </w:rPr>
            </w:pPr>
            <w:r>
              <w:rPr>
                <w:sz w:val="20"/>
              </w:rPr>
              <w:t>Basin Bridge GTPS</w:t>
            </w:r>
          </w:p>
        </w:tc>
        <w:tc>
          <w:tcPr>
            <w:tcW w:w="1712" w:type="dxa"/>
            <w:tcBorders>
              <w:bottom w:val="single" w:sz="6" w:space="0" w:color="000000"/>
            </w:tcBorders>
          </w:tcPr>
          <w:p w:rsidR="007C5447" w:rsidRDefault="00F6308C">
            <w:pPr>
              <w:pStyle w:val="TableParagraph"/>
              <w:spacing w:before="14" w:line="222" w:lineRule="exact"/>
              <w:ind w:right="99"/>
              <w:rPr>
                <w:sz w:val="20"/>
              </w:rPr>
            </w:pPr>
            <w:r>
              <w:rPr>
                <w:sz w:val="20"/>
              </w:rPr>
              <w:t>0.00</w:t>
            </w:r>
          </w:p>
        </w:tc>
        <w:tc>
          <w:tcPr>
            <w:tcW w:w="1709" w:type="dxa"/>
            <w:tcBorders>
              <w:bottom w:val="single" w:sz="6" w:space="0" w:color="000000"/>
            </w:tcBorders>
          </w:tcPr>
          <w:p w:rsidR="007C5447" w:rsidRDefault="00F6308C">
            <w:pPr>
              <w:pStyle w:val="TableParagraph"/>
              <w:spacing w:before="14" w:line="222" w:lineRule="exact"/>
              <w:ind w:right="97"/>
              <w:rPr>
                <w:sz w:val="20"/>
              </w:rPr>
            </w:pPr>
            <w:r>
              <w:rPr>
                <w:sz w:val="20"/>
              </w:rPr>
              <w:t>12.79</w:t>
            </w:r>
          </w:p>
        </w:tc>
        <w:tc>
          <w:tcPr>
            <w:tcW w:w="1712" w:type="dxa"/>
            <w:tcBorders>
              <w:bottom w:val="single" w:sz="6" w:space="0" w:color="000000"/>
            </w:tcBorders>
          </w:tcPr>
          <w:p w:rsidR="007C5447" w:rsidRDefault="00F6308C">
            <w:pPr>
              <w:pStyle w:val="TableParagraph"/>
              <w:spacing w:before="14" w:line="222" w:lineRule="exact"/>
              <w:ind w:right="100"/>
              <w:rPr>
                <w:sz w:val="20"/>
              </w:rPr>
            </w:pPr>
            <w:r>
              <w:rPr>
                <w:sz w:val="20"/>
              </w:rPr>
              <w:t>0.00</w:t>
            </w:r>
          </w:p>
        </w:tc>
      </w:tr>
      <w:tr w:rsidR="007C5447">
        <w:trPr>
          <w:trHeight w:val="258"/>
        </w:trPr>
        <w:tc>
          <w:tcPr>
            <w:tcW w:w="994" w:type="dxa"/>
            <w:tcBorders>
              <w:top w:val="single" w:sz="6" w:space="0" w:color="000000"/>
            </w:tcBorders>
          </w:tcPr>
          <w:p w:rsidR="007C5447" w:rsidRDefault="00F6308C">
            <w:pPr>
              <w:pStyle w:val="TableParagraph"/>
              <w:spacing w:before="15" w:line="224" w:lineRule="exact"/>
              <w:ind w:left="367" w:right="358"/>
              <w:jc w:val="center"/>
              <w:rPr>
                <w:sz w:val="20"/>
              </w:rPr>
            </w:pPr>
            <w:r>
              <w:rPr>
                <w:sz w:val="20"/>
              </w:rPr>
              <w:t>11</w:t>
            </w:r>
          </w:p>
        </w:tc>
        <w:tc>
          <w:tcPr>
            <w:tcW w:w="2735" w:type="dxa"/>
            <w:tcBorders>
              <w:top w:val="single" w:sz="6" w:space="0" w:color="000000"/>
            </w:tcBorders>
          </w:tcPr>
          <w:p w:rsidR="007C5447" w:rsidRDefault="00F6308C">
            <w:pPr>
              <w:pStyle w:val="TableParagraph"/>
              <w:spacing w:before="15" w:line="224" w:lineRule="exact"/>
              <w:ind w:left="107"/>
              <w:jc w:val="left"/>
              <w:rPr>
                <w:sz w:val="20"/>
              </w:rPr>
            </w:pPr>
            <w:r>
              <w:rPr>
                <w:sz w:val="20"/>
              </w:rPr>
              <w:t>Valuthur GTPS</w:t>
            </w:r>
          </w:p>
        </w:tc>
        <w:tc>
          <w:tcPr>
            <w:tcW w:w="1712" w:type="dxa"/>
            <w:tcBorders>
              <w:top w:val="single" w:sz="6" w:space="0" w:color="000000"/>
            </w:tcBorders>
          </w:tcPr>
          <w:p w:rsidR="007C5447" w:rsidRDefault="00F6308C">
            <w:pPr>
              <w:pStyle w:val="TableParagraph"/>
              <w:spacing w:before="15" w:line="224" w:lineRule="exact"/>
              <w:ind w:right="99"/>
              <w:rPr>
                <w:sz w:val="20"/>
              </w:rPr>
            </w:pPr>
            <w:r>
              <w:rPr>
                <w:sz w:val="20"/>
              </w:rPr>
              <w:t>23.16</w:t>
            </w:r>
          </w:p>
        </w:tc>
        <w:tc>
          <w:tcPr>
            <w:tcW w:w="1709" w:type="dxa"/>
            <w:tcBorders>
              <w:top w:val="single" w:sz="6" w:space="0" w:color="000000"/>
            </w:tcBorders>
          </w:tcPr>
          <w:p w:rsidR="007C5447" w:rsidRDefault="00F6308C">
            <w:pPr>
              <w:pStyle w:val="TableParagraph"/>
              <w:spacing w:before="15" w:line="224" w:lineRule="exact"/>
              <w:ind w:right="97"/>
              <w:rPr>
                <w:sz w:val="20"/>
              </w:rPr>
            </w:pPr>
            <w:r>
              <w:rPr>
                <w:w w:val="95"/>
                <w:sz w:val="20"/>
              </w:rPr>
              <w:t>226.10</w:t>
            </w:r>
          </w:p>
        </w:tc>
        <w:tc>
          <w:tcPr>
            <w:tcW w:w="1712" w:type="dxa"/>
            <w:tcBorders>
              <w:top w:val="single" w:sz="6" w:space="0" w:color="000000"/>
            </w:tcBorders>
          </w:tcPr>
          <w:p w:rsidR="007C5447" w:rsidRDefault="00F6308C">
            <w:pPr>
              <w:pStyle w:val="TableParagraph"/>
              <w:spacing w:before="15" w:line="224" w:lineRule="exact"/>
              <w:ind w:right="100"/>
              <w:rPr>
                <w:sz w:val="20"/>
              </w:rPr>
            </w:pPr>
            <w:r>
              <w:rPr>
                <w:sz w:val="20"/>
              </w:rPr>
              <w:t>15.00</w:t>
            </w:r>
          </w:p>
        </w:tc>
      </w:tr>
      <w:tr w:rsidR="007C5447">
        <w:trPr>
          <w:trHeight w:val="258"/>
        </w:trPr>
        <w:tc>
          <w:tcPr>
            <w:tcW w:w="994" w:type="dxa"/>
          </w:tcPr>
          <w:p w:rsidR="007C5447" w:rsidRDefault="00F6308C">
            <w:pPr>
              <w:pStyle w:val="TableParagraph"/>
              <w:spacing w:before="14" w:line="224" w:lineRule="exact"/>
              <w:ind w:left="367" w:right="358"/>
              <w:jc w:val="center"/>
              <w:rPr>
                <w:sz w:val="20"/>
              </w:rPr>
            </w:pPr>
            <w:r>
              <w:rPr>
                <w:sz w:val="20"/>
              </w:rPr>
              <w:t>12</w:t>
            </w:r>
          </w:p>
        </w:tc>
        <w:tc>
          <w:tcPr>
            <w:tcW w:w="2735" w:type="dxa"/>
          </w:tcPr>
          <w:p w:rsidR="007C5447" w:rsidRDefault="00F6308C">
            <w:pPr>
              <w:pStyle w:val="TableParagraph"/>
              <w:spacing w:before="14" w:line="224" w:lineRule="exact"/>
              <w:ind w:left="107"/>
              <w:jc w:val="left"/>
              <w:rPr>
                <w:sz w:val="20"/>
              </w:rPr>
            </w:pPr>
            <w:r>
              <w:rPr>
                <w:sz w:val="20"/>
              </w:rPr>
              <w:t>Erode HEP</w:t>
            </w:r>
          </w:p>
        </w:tc>
        <w:tc>
          <w:tcPr>
            <w:tcW w:w="1712" w:type="dxa"/>
          </w:tcPr>
          <w:p w:rsidR="007C5447" w:rsidRDefault="00F6308C">
            <w:pPr>
              <w:pStyle w:val="TableParagraph"/>
              <w:spacing w:before="14" w:line="224" w:lineRule="exact"/>
              <w:ind w:right="99"/>
              <w:rPr>
                <w:sz w:val="20"/>
              </w:rPr>
            </w:pPr>
            <w:r>
              <w:rPr>
                <w:sz w:val="20"/>
              </w:rPr>
              <w:t>0.00</w:t>
            </w:r>
          </w:p>
        </w:tc>
        <w:tc>
          <w:tcPr>
            <w:tcW w:w="1709" w:type="dxa"/>
          </w:tcPr>
          <w:p w:rsidR="007C5447" w:rsidRDefault="00F6308C">
            <w:pPr>
              <w:pStyle w:val="TableParagraph"/>
              <w:spacing w:before="14" w:line="224" w:lineRule="exact"/>
              <w:ind w:right="97"/>
              <w:rPr>
                <w:sz w:val="20"/>
              </w:rPr>
            </w:pPr>
            <w:r>
              <w:rPr>
                <w:sz w:val="20"/>
              </w:rPr>
              <w:t>0.00</w:t>
            </w:r>
          </w:p>
        </w:tc>
        <w:tc>
          <w:tcPr>
            <w:tcW w:w="1712" w:type="dxa"/>
          </w:tcPr>
          <w:p w:rsidR="007C5447" w:rsidRDefault="00F6308C">
            <w:pPr>
              <w:pStyle w:val="TableParagraph"/>
              <w:spacing w:before="14" w:line="224" w:lineRule="exact"/>
              <w:ind w:right="100"/>
              <w:rPr>
                <w:sz w:val="20"/>
              </w:rPr>
            </w:pPr>
            <w:r>
              <w:rPr>
                <w:sz w:val="20"/>
              </w:rPr>
              <w:t>0.00</w:t>
            </w:r>
          </w:p>
        </w:tc>
      </w:tr>
      <w:tr w:rsidR="007C5447">
        <w:trPr>
          <w:trHeight w:val="261"/>
        </w:trPr>
        <w:tc>
          <w:tcPr>
            <w:tcW w:w="994" w:type="dxa"/>
          </w:tcPr>
          <w:p w:rsidR="007C5447" w:rsidRDefault="00F6308C">
            <w:pPr>
              <w:pStyle w:val="TableParagraph"/>
              <w:spacing w:before="17" w:line="224" w:lineRule="exact"/>
              <w:ind w:left="367" w:right="358"/>
              <w:jc w:val="center"/>
              <w:rPr>
                <w:sz w:val="20"/>
              </w:rPr>
            </w:pPr>
            <w:r>
              <w:rPr>
                <w:sz w:val="20"/>
              </w:rPr>
              <w:t>13</w:t>
            </w:r>
          </w:p>
        </w:tc>
        <w:tc>
          <w:tcPr>
            <w:tcW w:w="2735" w:type="dxa"/>
          </w:tcPr>
          <w:p w:rsidR="007C5447" w:rsidRDefault="00F6308C">
            <w:pPr>
              <w:pStyle w:val="TableParagraph"/>
              <w:spacing w:before="17" w:line="224" w:lineRule="exact"/>
              <w:ind w:left="107"/>
              <w:jc w:val="left"/>
              <w:rPr>
                <w:sz w:val="20"/>
              </w:rPr>
            </w:pPr>
            <w:r>
              <w:rPr>
                <w:sz w:val="20"/>
              </w:rPr>
              <w:t>Kadamparai HEP</w:t>
            </w:r>
          </w:p>
        </w:tc>
        <w:tc>
          <w:tcPr>
            <w:tcW w:w="1712" w:type="dxa"/>
          </w:tcPr>
          <w:p w:rsidR="007C5447" w:rsidRDefault="00F6308C">
            <w:pPr>
              <w:pStyle w:val="TableParagraph"/>
              <w:spacing w:before="17" w:line="224" w:lineRule="exact"/>
              <w:ind w:right="99"/>
              <w:rPr>
                <w:sz w:val="20"/>
              </w:rPr>
            </w:pPr>
            <w:r>
              <w:rPr>
                <w:sz w:val="20"/>
              </w:rPr>
              <w:t>3.68</w:t>
            </w:r>
          </w:p>
        </w:tc>
        <w:tc>
          <w:tcPr>
            <w:tcW w:w="1709" w:type="dxa"/>
          </w:tcPr>
          <w:p w:rsidR="007C5447" w:rsidRDefault="00F6308C">
            <w:pPr>
              <w:pStyle w:val="TableParagraph"/>
              <w:spacing w:before="17" w:line="224" w:lineRule="exact"/>
              <w:ind w:right="97"/>
              <w:rPr>
                <w:sz w:val="20"/>
              </w:rPr>
            </w:pPr>
            <w:r>
              <w:rPr>
                <w:sz w:val="20"/>
              </w:rPr>
              <w:t>7.34</w:t>
            </w:r>
          </w:p>
        </w:tc>
        <w:tc>
          <w:tcPr>
            <w:tcW w:w="1712" w:type="dxa"/>
          </w:tcPr>
          <w:p w:rsidR="007C5447" w:rsidRDefault="00F6308C">
            <w:pPr>
              <w:pStyle w:val="TableParagraph"/>
              <w:spacing w:before="17" w:line="224" w:lineRule="exact"/>
              <w:ind w:right="100"/>
              <w:rPr>
                <w:sz w:val="20"/>
              </w:rPr>
            </w:pPr>
            <w:r>
              <w:rPr>
                <w:sz w:val="20"/>
              </w:rPr>
              <w:t>14.08</w:t>
            </w:r>
          </w:p>
        </w:tc>
      </w:tr>
      <w:tr w:rsidR="007C5447">
        <w:trPr>
          <w:trHeight w:val="258"/>
        </w:trPr>
        <w:tc>
          <w:tcPr>
            <w:tcW w:w="994" w:type="dxa"/>
          </w:tcPr>
          <w:p w:rsidR="007C5447" w:rsidRDefault="00F6308C">
            <w:pPr>
              <w:pStyle w:val="TableParagraph"/>
              <w:spacing w:before="14" w:line="224" w:lineRule="exact"/>
              <w:ind w:left="367" w:right="358"/>
              <w:jc w:val="center"/>
              <w:rPr>
                <w:sz w:val="20"/>
              </w:rPr>
            </w:pPr>
            <w:r>
              <w:rPr>
                <w:sz w:val="20"/>
              </w:rPr>
              <w:t>14</w:t>
            </w:r>
          </w:p>
        </w:tc>
        <w:tc>
          <w:tcPr>
            <w:tcW w:w="2735" w:type="dxa"/>
          </w:tcPr>
          <w:p w:rsidR="007C5447" w:rsidRDefault="00F6308C">
            <w:pPr>
              <w:pStyle w:val="TableParagraph"/>
              <w:spacing w:before="14" w:line="224" w:lineRule="exact"/>
              <w:ind w:left="107"/>
              <w:jc w:val="left"/>
              <w:rPr>
                <w:sz w:val="20"/>
              </w:rPr>
            </w:pPr>
            <w:r>
              <w:rPr>
                <w:sz w:val="20"/>
              </w:rPr>
              <w:t>Kundah HEP</w:t>
            </w:r>
          </w:p>
        </w:tc>
        <w:tc>
          <w:tcPr>
            <w:tcW w:w="1712" w:type="dxa"/>
          </w:tcPr>
          <w:p w:rsidR="007C5447" w:rsidRDefault="00F6308C">
            <w:pPr>
              <w:pStyle w:val="TableParagraph"/>
              <w:spacing w:before="14" w:line="224" w:lineRule="exact"/>
              <w:ind w:right="99"/>
              <w:rPr>
                <w:sz w:val="20"/>
              </w:rPr>
            </w:pPr>
            <w:r>
              <w:rPr>
                <w:sz w:val="20"/>
              </w:rPr>
              <w:t>11.21</w:t>
            </w:r>
          </w:p>
        </w:tc>
        <w:tc>
          <w:tcPr>
            <w:tcW w:w="1709" w:type="dxa"/>
          </w:tcPr>
          <w:p w:rsidR="007C5447" w:rsidRDefault="00F6308C">
            <w:pPr>
              <w:pStyle w:val="TableParagraph"/>
              <w:spacing w:before="14" w:line="224" w:lineRule="exact"/>
              <w:ind w:right="97"/>
              <w:rPr>
                <w:sz w:val="20"/>
              </w:rPr>
            </w:pPr>
            <w:r>
              <w:rPr>
                <w:sz w:val="20"/>
              </w:rPr>
              <w:t>14.45</w:t>
            </w:r>
          </w:p>
        </w:tc>
        <w:tc>
          <w:tcPr>
            <w:tcW w:w="1712" w:type="dxa"/>
          </w:tcPr>
          <w:p w:rsidR="007C5447" w:rsidRDefault="00F6308C">
            <w:pPr>
              <w:pStyle w:val="TableParagraph"/>
              <w:spacing w:before="14" w:line="224" w:lineRule="exact"/>
              <w:ind w:right="100"/>
              <w:rPr>
                <w:sz w:val="20"/>
              </w:rPr>
            </w:pPr>
            <w:r>
              <w:rPr>
                <w:w w:val="95"/>
                <w:sz w:val="20"/>
              </w:rPr>
              <w:t>142.37</w:t>
            </w:r>
          </w:p>
        </w:tc>
      </w:tr>
      <w:tr w:rsidR="007C5447">
        <w:trPr>
          <w:trHeight w:val="263"/>
        </w:trPr>
        <w:tc>
          <w:tcPr>
            <w:tcW w:w="994" w:type="dxa"/>
          </w:tcPr>
          <w:p w:rsidR="007C5447" w:rsidRDefault="00F6308C">
            <w:pPr>
              <w:pStyle w:val="TableParagraph"/>
              <w:spacing w:before="17" w:line="227" w:lineRule="exact"/>
              <w:ind w:left="367" w:right="358"/>
              <w:jc w:val="center"/>
              <w:rPr>
                <w:sz w:val="20"/>
              </w:rPr>
            </w:pPr>
            <w:r>
              <w:rPr>
                <w:sz w:val="20"/>
              </w:rPr>
              <w:t>15</w:t>
            </w:r>
          </w:p>
        </w:tc>
        <w:tc>
          <w:tcPr>
            <w:tcW w:w="2735" w:type="dxa"/>
          </w:tcPr>
          <w:p w:rsidR="007C5447" w:rsidRDefault="00F6308C">
            <w:pPr>
              <w:pStyle w:val="TableParagraph"/>
              <w:spacing w:before="17" w:line="227" w:lineRule="exact"/>
              <w:ind w:left="107"/>
              <w:jc w:val="left"/>
              <w:rPr>
                <w:sz w:val="20"/>
              </w:rPr>
            </w:pPr>
            <w:r>
              <w:rPr>
                <w:sz w:val="20"/>
              </w:rPr>
              <w:t>Tirunelveli HEP</w:t>
            </w:r>
          </w:p>
        </w:tc>
        <w:tc>
          <w:tcPr>
            <w:tcW w:w="1712" w:type="dxa"/>
          </w:tcPr>
          <w:p w:rsidR="007C5447" w:rsidRDefault="00F6308C">
            <w:pPr>
              <w:pStyle w:val="TableParagraph"/>
              <w:spacing w:before="17" w:line="227" w:lineRule="exact"/>
              <w:ind w:right="100"/>
              <w:rPr>
                <w:sz w:val="20"/>
              </w:rPr>
            </w:pPr>
            <w:r>
              <w:rPr>
                <w:w w:val="95"/>
                <w:sz w:val="20"/>
              </w:rPr>
              <w:t>174.08</w:t>
            </w:r>
          </w:p>
        </w:tc>
        <w:tc>
          <w:tcPr>
            <w:tcW w:w="1709" w:type="dxa"/>
          </w:tcPr>
          <w:p w:rsidR="007C5447" w:rsidRDefault="00F6308C">
            <w:pPr>
              <w:pStyle w:val="TableParagraph"/>
              <w:spacing w:before="17" w:line="227" w:lineRule="exact"/>
              <w:ind w:right="97"/>
              <w:rPr>
                <w:sz w:val="20"/>
              </w:rPr>
            </w:pPr>
            <w:r>
              <w:rPr>
                <w:sz w:val="20"/>
              </w:rPr>
              <w:t>7.50</w:t>
            </w:r>
          </w:p>
        </w:tc>
        <w:tc>
          <w:tcPr>
            <w:tcW w:w="1712" w:type="dxa"/>
          </w:tcPr>
          <w:p w:rsidR="007C5447" w:rsidRDefault="00F6308C">
            <w:pPr>
              <w:pStyle w:val="TableParagraph"/>
              <w:spacing w:before="17" w:line="227" w:lineRule="exact"/>
              <w:ind w:right="100"/>
              <w:rPr>
                <w:sz w:val="20"/>
              </w:rPr>
            </w:pPr>
            <w:r>
              <w:rPr>
                <w:sz w:val="20"/>
              </w:rPr>
              <w:t>67.35</w:t>
            </w:r>
          </w:p>
        </w:tc>
      </w:tr>
      <w:tr w:rsidR="007C5447">
        <w:trPr>
          <w:trHeight w:val="263"/>
        </w:trPr>
        <w:tc>
          <w:tcPr>
            <w:tcW w:w="994" w:type="dxa"/>
          </w:tcPr>
          <w:p w:rsidR="007C5447" w:rsidRDefault="00F6308C">
            <w:pPr>
              <w:pStyle w:val="TableParagraph"/>
              <w:spacing w:before="17" w:line="227" w:lineRule="exact"/>
              <w:ind w:left="367" w:right="358"/>
              <w:jc w:val="center"/>
              <w:rPr>
                <w:b/>
                <w:sz w:val="20"/>
              </w:rPr>
            </w:pPr>
            <w:r>
              <w:rPr>
                <w:b/>
                <w:sz w:val="20"/>
              </w:rPr>
              <w:t>16</w:t>
            </w:r>
          </w:p>
        </w:tc>
        <w:tc>
          <w:tcPr>
            <w:tcW w:w="2735" w:type="dxa"/>
          </w:tcPr>
          <w:p w:rsidR="007C5447" w:rsidRDefault="00F6308C">
            <w:pPr>
              <w:pStyle w:val="TableParagraph"/>
              <w:spacing w:before="17" w:line="227" w:lineRule="exact"/>
              <w:ind w:left="107"/>
              <w:jc w:val="left"/>
              <w:rPr>
                <w:b/>
                <w:sz w:val="20"/>
              </w:rPr>
            </w:pPr>
            <w:r>
              <w:rPr>
                <w:b/>
                <w:sz w:val="20"/>
              </w:rPr>
              <w:t>Total Generation</w:t>
            </w:r>
          </w:p>
        </w:tc>
        <w:tc>
          <w:tcPr>
            <w:tcW w:w="1712" w:type="dxa"/>
          </w:tcPr>
          <w:p w:rsidR="007C5447" w:rsidRDefault="00F6308C">
            <w:pPr>
              <w:pStyle w:val="TableParagraph"/>
              <w:spacing w:before="17" w:line="227" w:lineRule="exact"/>
              <w:ind w:right="100"/>
              <w:rPr>
                <w:b/>
                <w:sz w:val="20"/>
              </w:rPr>
            </w:pPr>
            <w:r>
              <w:rPr>
                <w:b/>
                <w:sz w:val="20"/>
              </w:rPr>
              <w:t>1370.10</w:t>
            </w:r>
          </w:p>
        </w:tc>
        <w:tc>
          <w:tcPr>
            <w:tcW w:w="1709" w:type="dxa"/>
          </w:tcPr>
          <w:p w:rsidR="007C5447" w:rsidRDefault="00F6308C">
            <w:pPr>
              <w:pStyle w:val="TableParagraph"/>
              <w:spacing w:before="17" w:line="227" w:lineRule="exact"/>
              <w:ind w:right="97"/>
              <w:rPr>
                <w:b/>
                <w:sz w:val="20"/>
              </w:rPr>
            </w:pPr>
            <w:r>
              <w:rPr>
                <w:b/>
                <w:sz w:val="20"/>
              </w:rPr>
              <w:t>1115.83</w:t>
            </w:r>
          </w:p>
        </w:tc>
        <w:tc>
          <w:tcPr>
            <w:tcW w:w="1712" w:type="dxa"/>
          </w:tcPr>
          <w:p w:rsidR="007C5447" w:rsidRDefault="00F6308C">
            <w:pPr>
              <w:pStyle w:val="TableParagraph"/>
              <w:spacing w:before="17" w:line="227" w:lineRule="exact"/>
              <w:ind w:right="100"/>
              <w:rPr>
                <w:b/>
                <w:sz w:val="20"/>
              </w:rPr>
            </w:pPr>
            <w:r>
              <w:rPr>
                <w:b/>
                <w:sz w:val="20"/>
              </w:rPr>
              <w:t>7159.61</w:t>
            </w:r>
          </w:p>
        </w:tc>
      </w:tr>
      <w:tr w:rsidR="007C5447">
        <w:trPr>
          <w:trHeight w:val="263"/>
        </w:trPr>
        <w:tc>
          <w:tcPr>
            <w:tcW w:w="994" w:type="dxa"/>
          </w:tcPr>
          <w:p w:rsidR="007C5447" w:rsidRDefault="00F6308C">
            <w:pPr>
              <w:pStyle w:val="TableParagraph"/>
              <w:spacing w:before="17" w:line="227" w:lineRule="exact"/>
              <w:ind w:left="367" w:right="358"/>
              <w:jc w:val="center"/>
              <w:rPr>
                <w:b/>
                <w:sz w:val="20"/>
              </w:rPr>
            </w:pPr>
            <w:r>
              <w:rPr>
                <w:b/>
                <w:sz w:val="20"/>
              </w:rPr>
              <w:t>17</w:t>
            </w:r>
          </w:p>
        </w:tc>
        <w:tc>
          <w:tcPr>
            <w:tcW w:w="2735" w:type="dxa"/>
          </w:tcPr>
          <w:p w:rsidR="007C5447" w:rsidRDefault="00F6308C">
            <w:pPr>
              <w:pStyle w:val="TableParagraph"/>
              <w:spacing w:before="17" w:line="227" w:lineRule="exact"/>
              <w:ind w:left="107"/>
              <w:jc w:val="left"/>
              <w:rPr>
                <w:b/>
                <w:sz w:val="20"/>
              </w:rPr>
            </w:pPr>
            <w:r>
              <w:rPr>
                <w:b/>
                <w:sz w:val="20"/>
              </w:rPr>
              <w:t>Distribution</w:t>
            </w:r>
          </w:p>
        </w:tc>
        <w:tc>
          <w:tcPr>
            <w:tcW w:w="1712" w:type="dxa"/>
          </w:tcPr>
          <w:p w:rsidR="007C5447" w:rsidRDefault="00F6308C">
            <w:pPr>
              <w:pStyle w:val="TableParagraph"/>
              <w:spacing w:before="17" w:line="227" w:lineRule="exact"/>
              <w:ind w:right="100"/>
              <w:rPr>
                <w:b/>
                <w:sz w:val="20"/>
              </w:rPr>
            </w:pPr>
            <w:r>
              <w:rPr>
                <w:b/>
                <w:sz w:val="20"/>
              </w:rPr>
              <w:t>5298.47</w:t>
            </w:r>
          </w:p>
        </w:tc>
        <w:tc>
          <w:tcPr>
            <w:tcW w:w="1709" w:type="dxa"/>
          </w:tcPr>
          <w:p w:rsidR="007C5447" w:rsidRDefault="00F6308C">
            <w:pPr>
              <w:pStyle w:val="TableParagraph"/>
              <w:spacing w:before="17" w:line="227" w:lineRule="exact"/>
              <w:ind w:right="97"/>
              <w:rPr>
                <w:b/>
                <w:sz w:val="20"/>
              </w:rPr>
            </w:pPr>
            <w:r>
              <w:rPr>
                <w:b/>
                <w:sz w:val="20"/>
              </w:rPr>
              <w:t>3073.03</w:t>
            </w:r>
          </w:p>
        </w:tc>
        <w:tc>
          <w:tcPr>
            <w:tcW w:w="1712" w:type="dxa"/>
          </w:tcPr>
          <w:p w:rsidR="007C5447" w:rsidRDefault="00F6308C">
            <w:pPr>
              <w:pStyle w:val="TableParagraph"/>
              <w:spacing w:before="17" w:line="227" w:lineRule="exact"/>
              <w:ind w:right="100"/>
              <w:rPr>
                <w:b/>
                <w:sz w:val="20"/>
              </w:rPr>
            </w:pPr>
            <w:r>
              <w:rPr>
                <w:b/>
                <w:sz w:val="20"/>
              </w:rPr>
              <w:t>2173.32</w:t>
            </w:r>
          </w:p>
        </w:tc>
      </w:tr>
      <w:tr w:rsidR="007C5447">
        <w:trPr>
          <w:trHeight w:val="261"/>
        </w:trPr>
        <w:tc>
          <w:tcPr>
            <w:tcW w:w="994" w:type="dxa"/>
          </w:tcPr>
          <w:p w:rsidR="007C5447" w:rsidRDefault="00F6308C">
            <w:pPr>
              <w:pStyle w:val="TableParagraph"/>
              <w:spacing w:before="14" w:line="227" w:lineRule="exact"/>
              <w:ind w:left="367" w:right="358"/>
              <w:jc w:val="center"/>
              <w:rPr>
                <w:b/>
                <w:sz w:val="20"/>
              </w:rPr>
            </w:pPr>
            <w:r>
              <w:rPr>
                <w:b/>
                <w:sz w:val="20"/>
              </w:rPr>
              <w:t>18</w:t>
            </w:r>
          </w:p>
        </w:tc>
        <w:tc>
          <w:tcPr>
            <w:tcW w:w="2735" w:type="dxa"/>
          </w:tcPr>
          <w:p w:rsidR="007C5447" w:rsidRDefault="00F6308C">
            <w:pPr>
              <w:pStyle w:val="TableParagraph"/>
              <w:spacing w:before="14" w:line="227" w:lineRule="exact"/>
              <w:ind w:left="107"/>
              <w:jc w:val="left"/>
              <w:rPr>
                <w:b/>
                <w:sz w:val="20"/>
              </w:rPr>
            </w:pPr>
            <w:r>
              <w:rPr>
                <w:b/>
                <w:sz w:val="20"/>
              </w:rPr>
              <w:t>Total</w:t>
            </w:r>
          </w:p>
        </w:tc>
        <w:tc>
          <w:tcPr>
            <w:tcW w:w="1712" w:type="dxa"/>
          </w:tcPr>
          <w:p w:rsidR="007C5447" w:rsidRDefault="00F6308C">
            <w:pPr>
              <w:pStyle w:val="TableParagraph"/>
              <w:spacing w:before="14" w:line="227" w:lineRule="exact"/>
              <w:ind w:right="100"/>
              <w:rPr>
                <w:b/>
                <w:sz w:val="20"/>
              </w:rPr>
            </w:pPr>
            <w:r>
              <w:rPr>
                <w:b/>
                <w:sz w:val="20"/>
              </w:rPr>
              <w:t>6668.57</w:t>
            </w:r>
          </w:p>
        </w:tc>
        <w:tc>
          <w:tcPr>
            <w:tcW w:w="1709" w:type="dxa"/>
          </w:tcPr>
          <w:p w:rsidR="007C5447" w:rsidRDefault="00F6308C">
            <w:pPr>
              <w:pStyle w:val="TableParagraph"/>
              <w:spacing w:before="14" w:line="227" w:lineRule="exact"/>
              <w:ind w:right="97"/>
              <w:rPr>
                <w:b/>
                <w:sz w:val="20"/>
              </w:rPr>
            </w:pPr>
            <w:r>
              <w:rPr>
                <w:b/>
                <w:sz w:val="20"/>
              </w:rPr>
              <w:t>4188.86</w:t>
            </w:r>
          </w:p>
        </w:tc>
        <w:tc>
          <w:tcPr>
            <w:tcW w:w="1712" w:type="dxa"/>
          </w:tcPr>
          <w:p w:rsidR="007C5447" w:rsidRDefault="00F6308C">
            <w:pPr>
              <w:pStyle w:val="TableParagraph"/>
              <w:spacing w:before="14" w:line="227" w:lineRule="exact"/>
              <w:ind w:right="100"/>
              <w:rPr>
                <w:b/>
                <w:sz w:val="20"/>
              </w:rPr>
            </w:pPr>
            <w:r>
              <w:rPr>
                <w:b/>
                <w:sz w:val="20"/>
              </w:rPr>
              <w:t>9332.93</w:t>
            </w:r>
          </w:p>
        </w:tc>
      </w:tr>
    </w:tbl>
    <w:p w:rsidR="007C5447" w:rsidRDefault="007C5447">
      <w:pPr>
        <w:pStyle w:val="BodyText"/>
        <w:rPr>
          <w:b/>
          <w:sz w:val="26"/>
        </w:rPr>
      </w:pPr>
    </w:p>
    <w:p w:rsidR="007C5447" w:rsidRDefault="007C5447">
      <w:pPr>
        <w:pStyle w:val="BodyText"/>
        <w:rPr>
          <w:b/>
          <w:sz w:val="26"/>
        </w:rPr>
      </w:pPr>
    </w:p>
    <w:p w:rsidR="007C5447" w:rsidRDefault="007C5447">
      <w:pPr>
        <w:pStyle w:val="BodyText"/>
        <w:spacing w:before="11"/>
        <w:rPr>
          <w:b/>
          <w:sz w:val="20"/>
        </w:rPr>
      </w:pPr>
    </w:p>
    <w:p w:rsidR="007C5447" w:rsidRDefault="00F6308C">
      <w:pPr>
        <w:ind w:left="1392"/>
        <w:rPr>
          <w:b/>
          <w:sz w:val="24"/>
        </w:rPr>
      </w:pPr>
      <w:r>
        <w:rPr>
          <w:b/>
          <w:sz w:val="24"/>
        </w:rPr>
        <w:t>Commission’s Views</w:t>
      </w:r>
    </w:p>
    <w:p w:rsidR="007C5447" w:rsidRDefault="00F6308C">
      <w:pPr>
        <w:pStyle w:val="ListParagraph"/>
        <w:numPr>
          <w:ilvl w:val="2"/>
          <w:numId w:val="114"/>
        </w:numPr>
        <w:tabs>
          <w:tab w:val="left" w:pos="1393"/>
        </w:tabs>
        <w:spacing w:before="202" w:line="312" w:lineRule="auto"/>
        <w:ind w:left="1392" w:right="506" w:hanging="852"/>
        <w:jc w:val="both"/>
        <w:rPr>
          <w:sz w:val="24"/>
        </w:rPr>
      </w:pPr>
      <w:r>
        <w:rPr>
          <w:sz w:val="24"/>
        </w:rPr>
        <w:t>TANGEDCO has considered different values of capital expenditure and capitalisation in the CIP Petition and the ARR and Tariff Petition, which is incorrect. The same  values should have been considered in both Petitions. The Commission has considered capita</w:t>
      </w:r>
      <w:r>
        <w:rPr>
          <w:sz w:val="24"/>
        </w:rPr>
        <w:t>l expenditure and capitalisation for the Control Period from FY 2016-17 to FY 2018-19 in accordance with the approval given in CIP Order dated 31.07.2017 in M.P. No.28 of 2016. As stated in the CIP Order, the Commission has not approved capital cost</w:t>
      </w:r>
      <w:r>
        <w:rPr>
          <w:spacing w:val="14"/>
          <w:sz w:val="24"/>
        </w:rPr>
        <w:t xml:space="preserve"> </w:t>
      </w:r>
      <w:r>
        <w:rPr>
          <w:sz w:val="24"/>
        </w:rPr>
        <w:t>for</w:t>
      </w:r>
      <w:r>
        <w:rPr>
          <w:spacing w:val="14"/>
          <w:sz w:val="24"/>
        </w:rPr>
        <w:t xml:space="preserve"> </w:t>
      </w:r>
      <w:r>
        <w:rPr>
          <w:sz w:val="24"/>
        </w:rPr>
        <w:t>ne</w:t>
      </w:r>
      <w:r>
        <w:rPr>
          <w:sz w:val="24"/>
        </w:rPr>
        <w:t>w</w:t>
      </w:r>
      <w:r>
        <w:rPr>
          <w:spacing w:val="18"/>
          <w:sz w:val="24"/>
        </w:rPr>
        <w:t xml:space="preserve"> </w:t>
      </w:r>
      <w:r>
        <w:rPr>
          <w:sz w:val="24"/>
        </w:rPr>
        <w:t>generating</w:t>
      </w:r>
      <w:r>
        <w:rPr>
          <w:spacing w:val="14"/>
          <w:sz w:val="24"/>
        </w:rPr>
        <w:t xml:space="preserve"> </w:t>
      </w:r>
      <w:r>
        <w:rPr>
          <w:sz w:val="24"/>
        </w:rPr>
        <w:t>stations</w:t>
      </w:r>
      <w:r>
        <w:rPr>
          <w:spacing w:val="14"/>
          <w:sz w:val="24"/>
        </w:rPr>
        <w:t xml:space="preserve"> </w:t>
      </w:r>
      <w:r>
        <w:rPr>
          <w:sz w:val="24"/>
        </w:rPr>
        <w:t>while</w:t>
      </w:r>
      <w:r>
        <w:rPr>
          <w:spacing w:val="13"/>
          <w:sz w:val="24"/>
        </w:rPr>
        <w:t xml:space="preserve"> </w:t>
      </w:r>
      <w:r>
        <w:rPr>
          <w:sz w:val="24"/>
        </w:rPr>
        <w:t>approving</w:t>
      </w:r>
      <w:r>
        <w:rPr>
          <w:spacing w:val="14"/>
          <w:sz w:val="24"/>
        </w:rPr>
        <w:t xml:space="preserve"> </w:t>
      </w:r>
      <w:r>
        <w:rPr>
          <w:sz w:val="24"/>
        </w:rPr>
        <w:t>the</w:t>
      </w:r>
      <w:r>
        <w:rPr>
          <w:spacing w:val="13"/>
          <w:sz w:val="24"/>
        </w:rPr>
        <w:t xml:space="preserve"> </w:t>
      </w:r>
      <w:r>
        <w:rPr>
          <w:sz w:val="24"/>
        </w:rPr>
        <w:t>CIP</w:t>
      </w:r>
      <w:r>
        <w:rPr>
          <w:spacing w:val="14"/>
          <w:sz w:val="24"/>
        </w:rPr>
        <w:t xml:space="preserve"> </w:t>
      </w:r>
      <w:r>
        <w:rPr>
          <w:sz w:val="24"/>
        </w:rPr>
        <w:t>for</w:t>
      </w:r>
      <w:r>
        <w:rPr>
          <w:spacing w:val="15"/>
          <w:sz w:val="24"/>
        </w:rPr>
        <w:t xml:space="preserve"> </w:t>
      </w:r>
      <w:r>
        <w:rPr>
          <w:sz w:val="24"/>
        </w:rPr>
        <w:t>FY</w:t>
      </w:r>
      <w:r>
        <w:rPr>
          <w:spacing w:val="13"/>
          <w:sz w:val="24"/>
        </w:rPr>
        <w:t xml:space="preserve"> </w:t>
      </w:r>
      <w:r>
        <w:rPr>
          <w:sz w:val="24"/>
        </w:rPr>
        <w:t>2016-17</w:t>
      </w:r>
      <w:r>
        <w:rPr>
          <w:spacing w:val="16"/>
          <w:sz w:val="24"/>
        </w:rPr>
        <w:t xml:space="preserve"> </w:t>
      </w:r>
      <w:r>
        <w:rPr>
          <w:sz w:val="24"/>
        </w:rPr>
        <w:t>to</w:t>
      </w:r>
      <w:r>
        <w:rPr>
          <w:spacing w:val="14"/>
          <w:sz w:val="24"/>
        </w:rPr>
        <w:t xml:space="preserve"> </w:t>
      </w:r>
      <w:r>
        <w:rPr>
          <w:sz w:val="24"/>
        </w:rPr>
        <w:t>FY</w:t>
      </w:r>
      <w:r>
        <w:rPr>
          <w:spacing w:val="13"/>
          <w:sz w:val="24"/>
        </w:rPr>
        <w:t xml:space="preserve"> </w:t>
      </w:r>
      <w:r>
        <w:rPr>
          <w:sz w:val="24"/>
        </w:rPr>
        <w:t>2018-</w:t>
      </w:r>
    </w:p>
    <w:p w:rsidR="007C5447" w:rsidRDefault="00F6308C">
      <w:pPr>
        <w:pStyle w:val="BodyText"/>
        <w:spacing w:before="1" w:line="312" w:lineRule="auto"/>
        <w:ind w:left="1392" w:right="512"/>
        <w:jc w:val="both"/>
      </w:pPr>
      <w:r>
        <w:t>19. The Commission directs TANGEDCO to file a Petition for determination of provisional tariff for new generating stations six months before the expected COD. The summary of capital e</w:t>
      </w:r>
      <w:r>
        <w:t>xpenditure and capitalisation approved by the Commission is shown in the Table below:</w:t>
      </w:r>
    </w:p>
    <w:p w:rsidR="007C5447" w:rsidRDefault="007C5447">
      <w:pPr>
        <w:spacing w:line="312" w:lineRule="auto"/>
        <w:jc w:val="both"/>
        <w:sectPr w:rsidR="007C5447">
          <w:pgSz w:w="11910" w:h="16840"/>
          <w:pgMar w:top="1360" w:right="620" w:bottom="1240" w:left="900" w:header="0" w:footer="777" w:gutter="0"/>
          <w:cols w:space="720"/>
        </w:sectPr>
      </w:pPr>
    </w:p>
    <w:p w:rsidR="007C5447" w:rsidRDefault="00F6308C">
      <w:pPr>
        <w:pStyle w:val="Heading2"/>
        <w:spacing w:before="60"/>
        <w:ind w:left="591" w:right="564"/>
        <w:jc w:val="center"/>
      </w:pPr>
      <w:r>
        <w:lastRenderedPageBreak/>
        <w:t>Table 4-13: Capital Expenditure and Capitalization as considered by Commission (Rs.</w:t>
      </w:r>
    </w:p>
    <w:p w:rsidR="007C5447" w:rsidRDefault="00F6308C">
      <w:pPr>
        <w:spacing w:before="82"/>
        <w:ind w:left="591" w:right="564"/>
        <w:jc w:val="center"/>
        <w:rPr>
          <w:b/>
          <w:sz w:val="24"/>
        </w:rPr>
      </w:pPr>
      <w:r>
        <w:rPr>
          <w:b/>
          <w:sz w:val="24"/>
        </w:rPr>
        <w:t>Crore)</w:t>
      </w:r>
    </w:p>
    <w:p w:rsidR="007C5447" w:rsidRDefault="007C5447">
      <w:pPr>
        <w:pStyle w:val="BodyText"/>
        <w:spacing w:before="5"/>
        <w:rPr>
          <w:b/>
          <w:sz w:val="7"/>
        </w:rPr>
      </w:pPr>
    </w:p>
    <w:tbl>
      <w:tblPr>
        <w:tblW w:w="0" w:type="auto"/>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3"/>
        <w:gridCol w:w="1824"/>
        <w:gridCol w:w="1180"/>
        <w:gridCol w:w="1178"/>
        <w:gridCol w:w="1181"/>
        <w:gridCol w:w="1181"/>
        <w:gridCol w:w="1182"/>
        <w:gridCol w:w="1181"/>
      </w:tblGrid>
      <w:tr w:rsidR="007C5447">
        <w:trPr>
          <w:trHeight w:val="438"/>
        </w:trPr>
        <w:tc>
          <w:tcPr>
            <w:tcW w:w="643" w:type="dxa"/>
            <w:vMerge w:val="restart"/>
            <w:shd w:val="clear" w:color="auto" w:fill="F7C9AC"/>
          </w:tcPr>
          <w:p w:rsidR="007C5447" w:rsidRDefault="007C5447">
            <w:pPr>
              <w:pStyle w:val="TableParagraph"/>
              <w:spacing w:before="10"/>
              <w:jc w:val="left"/>
              <w:rPr>
                <w:b/>
                <w:sz w:val="33"/>
              </w:rPr>
            </w:pPr>
          </w:p>
          <w:p w:rsidR="007C5447" w:rsidRDefault="00F6308C">
            <w:pPr>
              <w:pStyle w:val="TableParagraph"/>
              <w:ind w:left="201"/>
              <w:jc w:val="left"/>
              <w:rPr>
                <w:b/>
              </w:rPr>
            </w:pPr>
            <w:r>
              <w:rPr>
                <w:b/>
              </w:rPr>
              <w:t>Sl.</w:t>
            </w:r>
          </w:p>
        </w:tc>
        <w:tc>
          <w:tcPr>
            <w:tcW w:w="1824" w:type="dxa"/>
            <w:vMerge w:val="restart"/>
            <w:shd w:val="clear" w:color="auto" w:fill="F7C9AC"/>
          </w:tcPr>
          <w:p w:rsidR="007C5447" w:rsidRDefault="007C5447">
            <w:pPr>
              <w:pStyle w:val="TableParagraph"/>
              <w:spacing w:before="10"/>
              <w:jc w:val="left"/>
              <w:rPr>
                <w:b/>
                <w:sz w:val="33"/>
              </w:rPr>
            </w:pPr>
          </w:p>
          <w:p w:rsidR="007C5447" w:rsidRDefault="00F6308C">
            <w:pPr>
              <w:pStyle w:val="TableParagraph"/>
              <w:ind w:left="383"/>
              <w:jc w:val="left"/>
              <w:rPr>
                <w:b/>
              </w:rPr>
            </w:pPr>
            <w:r>
              <w:rPr>
                <w:b/>
              </w:rPr>
              <w:t>Particulars</w:t>
            </w:r>
          </w:p>
        </w:tc>
        <w:tc>
          <w:tcPr>
            <w:tcW w:w="3539" w:type="dxa"/>
            <w:gridSpan w:val="3"/>
            <w:shd w:val="clear" w:color="auto" w:fill="F7C9AC"/>
          </w:tcPr>
          <w:p w:rsidR="007C5447" w:rsidRDefault="00F6308C">
            <w:pPr>
              <w:pStyle w:val="TableParagraph"/>
              <w:spacing w:before="1"/>
              <w:ind w:left="830"/>
              <w:jc w:val="left"/>
              <w:rPr>
                <w:b/>
              </w:rPr>
            </w:pPr>
            <w:r>
              <w:rPr>
                <w:b/>
              </w:rPr>
              <w:t>Capital expenditure</w:t>
            </w:r>
          </w:p>
        </w:tc>
        <w:tc>
          <w:tcPr>
            <w:tcW w:w="3544" w:type="dxa"/>
            <w:gridSpan w:val="3"/>
            <w:shd w:val="clear" w:color="auto" w:fill="F7C9AC"/>
          </w:tcPr>
          <w:p w:rsidR="007C5447" w:rsidRDefault="00F6308C">
            <w:pPr>
              <w:pStyle w:val="TableParagraph"/>
              <w:spacing w:before="1"/>
              <w:ind w:left="1113"/>
              <w:jc w:val="left"/>
              <w:rPr>
                <w:b/>
              </w:rPr>
            </w:pPr>
            <w:r>
              <w:rPr>
                <w:b/>
              </w:rPr>
              <w:t>Capitalisation</w:t>
            </w:r>
          </w:p>
        </w:tc>
      </w:tr>
      <w:tr w:rsidR="007C5447">
        <w:trPr>
          <w:trHeight w:val="657"/>
        </w:trPr>
        <w:tc>
          <w:tcPr>
            <w:tcW w:w="643" w:type="dxa"/>
            <w:vMerge/>
            <w:tcBorders>
              <w:top w:val="nil"/>
            </w:tcBorders>
            <w:shd w:val="clear" w:color="auto" w:fill="F7C9AC"/>
          </w:tcPr>
          <w:p w:rsidR="007C5447" w:rsidRDefault="007C5447">
            <w:pPr>
              <w:rPr>
                <w:sz w:val="2"/>
                <w:szCs w:val="2"/>
              </w:rPr>
            </w:pPr>
          </w:p>
        </w:tc>
        <w:tc>
          <w:tcPr>
            <w:tcW w:w="1824" w:type="dxa"/>
            <w:vMerge/>
            <w:tcBorders>
              <w:top w:val="nil"/>
            </w:tcBorders>
            <w:shd w:val="clear" w:color="auto" w:fill="F7C9AC"/>
          </w:tcPr>
          <w:p w:rsidR="007C5447" w:rsidRDefault="007C5447">
            <w:pPr>
              <w:rPr>
                <w:sz w:val="2"/>
                <w:szCs w:val="2"/>
              </w:rPr>
            </w:pPr>
          </w:p>
        </w:tc>
        <w:tc>
          <w:tcPr>
            <w:tcW w:w="1180" w:type="dxa"/>
            <w:shd w:val="clear" w:color="auto" w:fill="F7C9AC"/>
          </w:tcPr>
          <w:p w:rsidR="007C5447" w:rsidRDefault="00F6308C">
            <w:pPr>
              <w:pStyle w:val="TableParagraph"/>
              <w:spacing w:before="1"/>
              <w:ind w:left="139" w:right="129"/>
              <w:jc w:val="center"/>
              <w:rPr>
                <w:b/>
              </w:rPr>
            </w:pPr>
            <w:r>
              <w:rPr>
                <w:b/>
              </w:rPr>
              <w:t>FY 2016-</w:t>
            </w:r>
          </w:p>
          <w:p w:rsidR="007C5447" w:rsidRDefault="00F6308C">
            <w:pPr>
              <w:pStyle w:val="TableParagraph"/>
              <w:spacing w:before="75"/>
              <w:ind w:left="139" w:right="128"/>
              <w:jc w:val="center"/>
              <w:rPr>
                <w:b/>
              </w:rPr>
            </w:pPr>
            <w:r>
              <w:rPr>
                <w:b/>
              </w:rPr>
              <w:t>17</w:t>
            </w:r>
          </w:p>
        </w:tc>
        <w:tc>
          <w:tcPr>
            <w:tcW w:w="1178" w:type="dxa"/>
            <w:shd w:val="clear" w:color="auto" w:fill="F7C9AC"/>
          </w:tcPr>
          <w:p w:rsidR="007C5447" w:rsidRDefault="00F6308C">
            <w:pPr>
              <w:pStyle w:val="TableParagraph"/>
              <w:spacing w:before="1"/>
              <w:ind w:left="130" w:right="116"/>
              <w:jc w:val="center"/>
              <w:rPr>
                <w:b/>
              </w:rPr>
            </w:pPr>
            <w:r>
              <w:rPr>
                <w:b/>
              </w:rPr>
              <w:t>FY 2017-</w:t>
            </w:r>
          </w:p>
          <w:p w:rsidR="007C5447" w:rsidRDefault="00F6308C">
            <w:pPr>
              <w:pStyle w:val="TableParagraph"/>
              <w:spacing w:before="75"/>
              <w:ind w:left="130" w:right="115"/>
              <w:jc w:val="center"/>
              <w:rPr>
                <w:b/>
              </w:rPr>
            </w:pPr>
            <w:r>
              <w:rPr>
                <w:b/>
              </w:rPr>
              <w:t>18</w:t>
            </w:r>
          </w:p>
        </w:tc>
        <w:tc>
          <w:tcPr>
            <w:tcW w:w="1181" w:type="dxa"/>
            <w:shd w:val="clear" w:color="auto" w:fill="F7C9AC"/>
          </w:tcPr>
          <w:p w:rsidR="007C5447" w:rsidRDefault="00F6308C">
            <w:pPr>
              <w:pStyle w:val="TableParagraph"/>
              <w:spacing w:before="1"/>
              <w:ind w:left="140" w:right="127"/>
              <w:jc w:val="center"/>
              <w:rPr>
                <w:b/>
              </w:rPr>
            </w:pPr>
            <w:r>
              <w:rPr>
                <w:b/>
              </w:rPr>
              <w:t>FY 2018-</w:t>
            </w:r>
          </w:p>
          <w:p w:rsidR="007C5447" w:rsidRDefault="00F6308C">
            <w:pPr>
              <w:pStyle w:val="TableParagraph"/>
              <w:spacing w:before="75"/>
              <w:ind w:left="140" w:right="126"/>
              <w:jc w:val="center"/>
              <w:rPr>
                <w:b/>
              </w:rPr>
            </w:pPr>
            <w:r>
              <w:rPr>
                <w:b/>
              </w:rPr>
              <w:t>19</w:t>
            </w:r>
          </w:p>
        </w:tc>
        <w:tc>
          <w:tcPr>
            <w:tcW w:w="1181" w:type="dxa"/>
            <w:shd w:val="clear" w:color="auto" w:fill="F7C9AC"/>
          </w:tcPr>
          <w:p w:rsidR="007C5447" w:rsidRDefault="00F6308C">
            <w:pPr>
              <w:pStyle w:val="TableParagraph"/>
              <w:spacing w:before="1"/>
              <w:ind w:left="140" w:right="128"/>
              <w:jc w:val="center"/>
              <w:rPr>
                <w:b/>
              </w:rPr>
            </w:pPr>
            <w:r>
              <w:rPr>
                <w:b/>
              </w:rPr>
              <w:t>FY 2016-</w:t>
            </w:r>
          </w:p>
          <w:p w:rsidR="007C5447" w:rsidRDefault="00F6308C">
            <w:pPr>
              <w:pStyle w:val="TableParagraph"/>
              <w:spacing w:before="75"/>
              <w:ind w:left="140" w:right="127"/>
              <w:jc w:val="center"/>
              <w:rPr>
                <w:b/>
              </w:rPr>
            </w:pPr>
            <w:r>
              <w:rPr>
                <w:b/>
              </w:rPr>
              <w:t>17</w:t>
            </w:r>
          </w:p>
        </w:tc>
        <w:tc>
          <w:tcPr>
            <w:tcW w:w="1182" w:type="dxa"/>
            <w:shd w:val="clear" w:color="auto" w:fill="F7C9AC"/>
          </w:tcPr>
          <w:p w:rsidR="007C5447" w:rsidRDefault="00F6308C">
            <w:pPr>
              <w:pStyle w:val="TableParagraph"/>
              <w:spacing w:before="1"/>
              <w:ind w:left="140" w:right="129"/>
              <w:jc w:val="center"/>
              <w:rPr>
                <w:b/>
              </w:rPr>
            </w:pPr>
            <w:r>
              <w:rPr>
                <w:b/>
              </w:rPr>
              <w:t>FY 2017-</w:t>
            </w:r>
          </w:p>
          <w:p w:rsidR="007C5447" w:rsidRDefault="00F6308C">
            <w:pPr>
              <w:pStyle w:val="TableParagraph"/>
              <w:spacing w:before="75"/>
              <w:ind w:left="140" w:right="127"/>
              <w:jc w:val="center"/>
              <w:rPr>
                <w:b/>
              </w:rPr>
            </w:pPr>
            <w:r>
              <w:rPr>
                <w:b/>
              </w:rPr>
              <w:t>18</w:t>
            </w:r>
          </w:p>
        </w:tc>
        <w:tc>
          <w:tcPr>
            <w:tcW w:w="1181" w:type="dxa"/>
            <w:shd w:val="clear" w:color="auto" w:fill="F7C9AC"/>
          </w:tcPr>
          <w:p w:rsidR="007C5447" w:rsidRDefault="00F6308C">
            <w:pPr>
              <w:pStyle w:val="TableParagraph"/>
              <w:spacing w:before="1"/>
              <w:ind w:left="139" w:right="128"/>
              <w:jc w:val="center"/>
              <w:rPr>
                <w:b/>
              </w:rPr>
            </w:pPr>
            <w:r>
              <w:rPr>
                <w:b/>
              </w:rPr>
              <w:t>FY 2018-</w:t>
            </w:r>
          </w:p>
          <w:p w:rsidR="007C5447" w:rsidRDefault="00F6308C">
            <w:pPr>
              <w:pStyle w:val="TableParagraph"/>
              <w:spacing w:before="75"/>
              <w:ind w:left="140" w:right="128"/>
              <w:jc w:val="center"/>
              <w:rPr>
                <w:b/>
              </w:rPr>
            </w:pPr>
            <w:r>
              <w:rPr>
                <w:b/>
              </w:rPr>
              <w:t>19</w:t>
            </w:r>
          </w:p>
        </w:tc>
      </w:tr>
      <w:tr w:rsidR="007C5447">
        <w:trPr>
          <w:trHeight w:val="328"/>
        </w:trPr>
        <w:tc>
          <w:tcPr>
            <w:tcW w:w="643" w:type="dxa"/>
          </w:tcPr>
          <w:p w:rsidR="007C5447" w:rsidRDefault="00F6308C">
            <w:pPr>
              <w:pStyle w:val="TableParagraph"/>
              <w:spacing w:before="1"/>
              <w:ind w:left="266"/>
              <w:jc w:val="left"/>
            </w:pPr>
            <w:r>
              <w:t>1</w:t>
            </w:r>
          </w:p>
        </w:tc>
        <w:tc>
          <w:tcPr>
            <w:tcW w:w="1824" w:type="dxa"/>
          </w:tcPr>
          <w:p w:rsidR="007C5447" w:rsidRDefault="00F6308C">
            <w:pPr>
              <w:pStyle w:val="TableParagraph"/>
              <w:spacing w:before="1"/>
              <w:ind w:left="105"/>
              <w:jc w:val="left"/>
            </w:pPr>
            <w:r>
              <w:t>Generation</w:t>
            </w:r>
          </w:p>
        </w:tc>
        <w:tc>
          <w:tcPr>
            <w:tcW w:w="1180" w:type="dxa"/>
          </w:tcPr>
          <w:p w:rsidR="007C5447" w:rsidRDefault="00F6308C">
            <w:pPr>
              <w:pStyle w:val="TableParagraph"/>
              <w:spacing w:before="1"/>
              <w:ind w:right="92"/>
            </w:pPr>
            <w:r>
              <w:t>543.16</w:t>
            </w:r>
          </w:p>
        </w:tc>
        <w:tc>
          <w:tcPr>
            <w:tcW w:w="1178" w:type="dxa"/>
          </w:tcPr>
          <w:p w:rsidR="007C5447" w:rsidRDefault="00F6308C">
            <w:pPr>
              <w:pStyle w:val="TableParagraph"/>
              <w:spacing w:before="1"/>
              <w:ind w:right="89"/>
            </w:pPr>
            <w:r>
              <w:t>1,050.53</w:t>
            </w:r>
          </w:p>
        </w:tc>
        <w:tc>
          <w:tcPr>
            <w:tcW w:w="1181" w:type="dxa"/>
          </w:tcPr>
          <w:p w:rsidR="007C5447" w:rsidRDefault="00F6308C">
            <w:pPr>
              <w:pStyle w:val="TableParagraph"/>
              <w:spacing w:before="1"/>
              <w:ind w:right="91"/>
            </w:pPr>
            <w:r>
              <w:t>1,286.48</w:t>
            </w:r>
          </w:p>
        </w:tc>
        <w:tc>
          <w:tcPr>
            <w:tcW w:w="1181" w:type="dxa"/>
          </w:tcPr>
          <w:p w:rsidR="007C5447" w:rsidRDefault="00F6308C">
            <w:pPr>
              <w:pStyle w:val="TableParagraph"/>
              <w:spacing w:before="1"/>
              <w:ind w:right="91"/>
            </w:pPr>
            <w:r>
              <w:t>207.26</w:t>
            </w:r>
          </w:p>
        </w:tc>
        <w:tc>
          <w:tcPr>
            <w:tcW w:w="1182" w:type="dxa"/>
          </w:tcPr>
          <w:p w:rsidR="007C5447" w:rsidRDefault="00F6308C">
            <w:pPr>
              <w:pStyle w:val="TableParagraph"/>
              <w:spacing w:before="1"/>
              <w:ind w:right="92"/>
            </w:pPr>
            <w:r>
              <w:t>1,109.51</w:t>
            </w:r>
          </w:p>
        </w:tc>
        <w:tc>
          <w:tcPr>
            <w:tcW w:w="1181" w:type="dxa"/>
          </w:tcPr>
          <w:p w:rsidR="007C5447" w:rsidRDefault="00F6308C">
            <w:pPr>
              <w:pStyle w:val="TableParagraph"/>
              <w:spacing w:before="1"/>
              <w:ind w:right="92"/>
            </w:pPr>
            <w:r>
              <w:t>1,210.58</w:t>
            </w:r>
          </w:p>
        </w:tc>
      </w:tr>
      <w:tr w:rsidR="007C5447">
        <w:trPr>
          <w:trHeight w:val="328"/>
        </w:trPr>
        <w:tc>
          <w:tcPr>
            <w:tcW w:w="643" w:type="dxa"/>
          </w:tcPr>
          <w:p w:rsidR="007C5447" w:rsidRDefault="00F6308C">
            <w:pPr>
              <w:pStyle w:val="TableParagraph"/>
              <w:spacing w:before="1"/>
              <w:ind w:left="266"/>
              <w:jc w:val="left"/>
            </w:pPr>
            <w:r>
              <w:t>2</w:t>
            </w:r>
          </w:p>
        </w:tc>
        <w:tc>
          <w:tcPr>
            <w:tcW w:w="1824" w:type="dxa"/>
          </w:tcPr>
          <w:p w:rsidR="007C5447" w:rsidRDefault="00F6308C">
            <w:pPr>
              <w:pStyle w:val="TableParagraph"/>
              <w:spacing w:before="1"/>
              <w:ind w:left="105"/>
              <w:jc w:val="left"/>
            </w:pPr>
            <w:r>
              <w:t>Distribution</w:t>
            </w:r>
          </w:p>
        </w:tc>
        <w:tc>
          <w:tcPr>
            <w:tcW w:w="1180" w:type="dxa"/>
          </w:tcPr>
          <w:p w:rsidR="007C5447" w:rsidRDefault="00F6308C">
            <w:pPr>
              <w:pStyle w:val="TableParagraph"/>
              <w:spacing w:before="1"/>
              <w:ind w:right="92"/>
            </w:pPr>
            <w:r>
              <w:t>5,298.36</w:t>
            </w:r>
          </w:p>
        </w:tc>
        <w:tc>
          <w:tcPr>
            <w:tcW w:w="1178" w:type="dxa"/>
          </w:tcPr>
          <w:p w:rsidR="007C5447" w:rsidRDefault="00F6308C">
            <w:pPr>
              <w:pStyle w:val="TableParagraph"/>
              <w:spacing w:before="1"/>
              <w:ind w:right="89"/>
            </w:pPr>
            <w:r>
              <w:t>2,883.77</w:t>
            </w:r>
          </w:p>
        </w:tc>
        <w:tc>
          <w:tcPr>
            <w:tcW w:w="1181" w:type="dxa"/>
          </w:tcPr>
          <w:p w:rsidR="007C5447" w:rsidRDefault="00F6308C">
            <w:pPr>
              <w:pStyle w:val="TableParagraph"/>
              <w:spacing w:before="1"/>
              <w:ind w:right="91"/>
            </w:pPr>
            <w:r>
              <w:t>1,966.36</w:t>
            </w:r>
          </w:p>
        </w:tc>
        <w:tc>
          <w:tcPr>
            <w:tcW w:w="1181" w:type="dxa"/>
          </w:tcPr>
          <w:p w:rsidR="007C5447" w:rsidRDefault="00F6308C">
            <w:pPr>
              <w:pStyle w:val="TableParagraph"/>
              <w:spacing w:before="1"/>
              <w:ind w:right="91"/>
            </w:pPr>
            <w:r>
              <w:t>5,034.85</w:t>
            </w:r>
          </w:p>
        </w:tc>
        <w:tc>
          <w:tcPr>
            <w:tcW w:w="1182" w:type="dxa"/>
          </w:tcPr>
          <w:p w:rsidR="007C5447" w:rsidRDefault="00F6308C">
            <w:pPr>
              <w:pStyle w:val="TableParagraph"/>
              <w:spacing w:before="1"/>
              <w:ind w:right="92"/>
            </w:pPr>
            <w:r>
              <w:t>2,938.54</w:t>
            </w:r>
          </w:p>
        </w:tc>
        <w:tc>
          <w:tcPr>
            <w:tcW w:w="1181" w:type="dxa"/>
          </w:tcPr>
          <w:p w:rsidR="007C5447" w:rsidRDefault="00F6308C">
            <w:pPr>
              <w:pStyle w:val="TableParagraph"/>
              <w:spacing w:before="1"/>
              <w:ind w:right="92"/>
            </w:pPr>
            <w:r>
              <w:t>2,025.13</w:t>
            </w:r>
          </w:p>
        </w:tc>
      </w:tr>
      <w:tr w:rsidR="007C5447">
        <w:trPr>
          <w:trHeight w:val="330"/>
        </w:trPr>
        <w:tc>
          <w:tcPr>
            <w:tcW w:w="643" w:type="dxa"/>
          </w:tcPr>
          <w:p w:rsidR="007C5447" w:rsidRDefault="00F6308C">
            <w:pPr>
              <w:pStyle w:val="TableParagraph"/>
              <w:spacing w:before="1"/>
              <w:ind w:left="266"/>
              <w:jc w:val="left"/>
              <w:rPr>
                <w:b/>
              </w:rPr>
            </w:pPr>
            <w:r>
              <w:rPr>
                <w:b/>
              </w:rPr>
              <w:t>3</w:t>
            </w:r>
          </w:p>
        </w:tc>
        <w:tc>
          <w:tcPr>
            <w:tcW w:w="1824" w:type="dxa"/>
          </w:tcPr>
          <w:p w:rsidR="007C5447" w:rsidRDefault="00F6308C">
            <w:pPr>
              <w:pStyle w:val="TableParagraph"/>
              <w:spacing w:before="1"/>
              <w:ind w:left="105"/>
              <w:jc w:val="left"/>
              <w:rPr>
                <w:b/>
              </w:rPr>
            </w:pPr>
            <w:r>
              <w:rPr>
                <w:b/>
              </w:rPr>
              <w:t>Total</w:t>
            </w:r>
          </w:p>
        </w:tc>
        <w:tc>
          <w:tcPr>
            <w:tcW w:w="1180" w:type="dxa"/>
          </w:tcPr>
          <w:p w:rsidR="007C5447" w:rsidRDefault="00F6308C">
            <w:pPr>
              <w:pStyle w:val="TableParagraph"/>
              <w:spacing w:before="1"/>
              <w:ind w:right="92"/>
              <w:rPr>
                <w:b/>
              </w:rPr>
            </w:pPr>
            <w:r>
              <w:rPr>
                <w:b/>
              </w:rPr>
              <w:t>5,841.52</w:t>
            </w:r>
          </w:p>
        </w:tc>
        <w:tc>
          <w:tcPr>
            <w:tcW w:w="1178" w:type="dxa"/>
          </w:tcPr>
          <w:p w:rsidR="007C5447" w:rsidRDefault="00F6308C">
            <w:pPr>
              <w:pStyle w:val="TableParagraph"/>
              <w:spacing w:before="1"/>
              <w:ind w:right="89"/>
              <w:rPr>
                <w:b/>
              </w:rPr>
            </w:pPr>
            <w:r>
              <w:rPr>
                <w:b/>
              </w:rPr>
              <w:t>3,934.30</w:t>
            </w:r>
          </w:p>
        </w:tc>
        <w:tc>
          <w:tcPr>
            <w:tcW w:w="1181" w:type="dxa"/>
          </w:tcPr>
          <w:p w:rsidR="007C5447" w:rsidRDefault="00F6308C">
            <w:pPr>
              <w:pStyle w:val="TableParagraph"/>
              <w:spacing w:before="1"/>
              <w:ind w:right="91"/>
              <w:rPr>
                <w:b/>
              </w:rPr>
            </w:pPr>
            <w:r>
              <w:rPr>
                <w:b/>
              </w:rPr>
              <w:t>3,252.84</w:t>
            </w:r>
          </w:p>
        </w:tc>
        <w:tc>
          <w:tcPr>
            <w:tcW w:w="1181" w:type="dxa"/>
          </w:tcPr>
          <w:p w:rsidR="007C5447" w:rsidRDefault="00F6308C">
            <w:pPr>
              <w:pStyle w:val="TableParagraph"/>
              <w:spacing w:before="1"/>
              <w:ind w:right="91"/>
              <w:rPr>
                <w:b/>
              </w:rPr>
            </w:pPr>
            <w:r>
              <w:rPr>
                <w:b/>
              </w:rPr>
              <w:t>5,242.11</w:t>
            </w:r>
          </w:p>
        </w:tc>
        <w:tc>
          <w:tcPr>
            <w:tcW w:w="1182" w:type="dxa"/>
          </w:tcPr>
          <w:p w:rsidR="007C5447" w:rsidRDefault="00F6308C">
            <w:pPr>
              <w:pStyle w:val="TableParagraph"/>
              <w:spacing w:before="1"/>
              <w:ind w:right="92"/>
              <w:rPr>
                <w:b/>
              </w:rPr>
            </w:pPr>
            <w:r>
              <w:rPr>
                <w:b/>
              </w:rPr>
              <w:t>4,048.05</w:t>
            </w:r>
          </w:p>
        </w:tc>
        <w:tc>
          <w:tcPr>
            <w:tcW w:w="1181" w:type="dxa"/>
          </w:tcPr>
          <w:p w:rsidR="007C5447" w:rsidRDefault="00F6308C">
            <w:pPr>
              <w:pStyle w:val="TableParagraph"/>
              <w:spacing w:before="1"/>
              <w:ind w:right="92"/>
              <w:rPr>
                <w:b/>
              </w:rPr>
            </w:pPr>
            <w:r>
              <w:rPr>
                <w:b/>
              </w:rPr>
              <w:t>3,235.71</w:t>
            </w:r>
          </w:p>
        </w:tc>
      </w:tr>
    </w:tbl>
    <w:p w:rsidR="007C5447" w:rsidRDefault="007C5447">
      <w:pPr>
        <w:pStyle w:val="BodyText"/>
        <w:spacing w:before="9"/>
        <w:rPr>
          <w:b/>
          <w:sz w:val="20"/>
        </w:rPr>
      </w:pPr>
    </w:p>
    <w:p w:rsidR="007C5447" w:rsidRDefault="00F6308C">
      <w:pPr>
        <w:pStyle w:val="Heading2"/>
        <w:numPr>
          <w:ilvl w:val="1"/>
          <w:numId w:val="114"/>
        </w:numPr>
        <w:tabs>
          <w:tab w:val="left" w:pos="1106"/>
          <w:tab w:val="left" w:pos="1107"/>
        </w:tabs>
        <w:ind w:left="1106"/>
      </w:pPr>
      <w:bookmarkStart w:id="63" w:name="_bookmark63"/>
      <w:bookmarkEnd w:id="63"/>
      <w:r>
        <w:t>Depreciation</w:t>
      </w:r>
    </w:p>
    <w:p w:rsidR="007C5447" w:rsidRDefault="007C5447">
      <w:pPr>
        <w:pStyle w:val="BodyText"/>
        <w:rPr>
          <w:b/>
          <w:sz w:val="28"/>
        </w:rPr>
      </w:pPr>
    </w:p>
    <w:p w:rsidR="007C5447" w:rsidRDefault="00F6308C">
      <w:pPr>
        <w:pStyle w:val="ListParagraph"/>
        <w:numPr>
          <w:ilvl w:val="2"/>
          <w:numId w:val="114"/>
        </w:numPr>
        <w:tabs>
          <w:tab w:val="left" w:pos="1393"/>
        </w:tabs>
        <w:spacing w:line="312" w:lineRule="auto"/>
        <w:ind w:left="1392" w:right="508" w:hanging="852"/>
        <w:jc w:val="both"/>
        <w:rPr>
          <w:sz w:val="24"/>
        </w:rPr>
      </w:pPr>
      <w:r>
        <w:rPr>
          <w:sz w:val="24"/>
        </w:rPr>
        <w:t>TANGEDCO submitted that it has calculated depreciation for FY 2016-17 to FY 2018- 19 considering the Opening GFA and proposed capitalization for FY 2016-17 to FY 2018-19 and weighted average depreciation rate of 5.28%. Depreciation for FY 2016- 17 to FY 20</w:t>
      </w:r>
      <w:r>
        <w:rPr>
          <w:sz w:val="24"/>
        </w:rPr>
        <w:t>18-19 as submitted by TANGEDCO is shown in the Table</w:t>
      </w:r>
      <w:r>
        <w:rPr>
          <w:spacing w:val="-8"/>
          <w:sz w:val="24"/>
        </w:rPr>
        <w:t xml:space="preserve"> </w:t>
      </w:r>
      <w:r>
        <w:rPr>
          <w:sz w:val="24"/>
        </w:rPr>
        <w:t>below:</w:t>
      </w:r>
    </w:p>
    <w:p w:rsidR="007C5447" w:rsidRDefault="007C5447">
      <w:pPr>
        <w:pStyle w:val="BodyText"/>
        <w:spacing w:before="10"/>
        <w:rPr>
          <w:sz w:val="20"/>
        </w:rPr>
      </w:pPr>
    </w:p>
    <w:p w:rsidR="007C5447" w:rsidRDefault="00F6308C">
      <w:pPr>
        <w:pStyle w:val="Heading2"/>
        <w:ind w:left="589" w:right="564"/>
        <w:jc w:val="center"/>
      </w:pPr>
      <w:r>
        <w:t>Table 4-14: Depreciation as submitted by TANGEDCO (Rs. Crore)</w:t>
      </w:r>
    </w:p>
    <w:p w:rsidR="007C5447" w:rsidRDefault="007C5447">
      <w:pPr>
        <w:pStyle w:val="BodyText"/>
        <w:spacing w:before="2"/>
        <w:rPr>
          <w:b/>
          <w:sz w:val="7"/>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2735"/>
        <w:gridCol w:w="1712"/>
        <w:gridCol w:w="1709"/>
        <w:gridCol w:w="1712"/>
      </w:tblGrid>
      <w:tr w:rsidR="007C5447">
        <w:trPr>
          <w:trHeight w:val="337"/>
        </w:trPr>
        <w:tc>
          <w:tcPr>
            <w:tcW w:w="994" w:type="dxa"/>
            <w:vMerge w:val="restart"/>
            <w:shd w:val="clear" w:color="auto" w:fill="F7C9AC"/>
          </w:tcPr>
          <w:p w:rsidR="007C5447" w:rsidRDefault="007C5447">
            <w:pPr>
              <w:pStyle w:val="TableParagraph"/>
              <w:spacing w:before="8"/>
              <w:jc w:val="left"/>
              <w:rPr>
                <w:b/>
                <w:sz w:val="26"/>
              </w:rPr>
            </w:pPr>
          </w:p>
          <w:p w:rsidR="007C5447" w:rsidRDefault="00F6308C">
            <w:pPr>
              <w:pStyle w:val="TableParagraph"/>
              <w:ind w:left="367" w:right="359"/>
              <w:jc w:val="center"/>
              <w:rPr>
                <w:b/>
                <w:sz w:val="20"/>
              </w:rPr>
            </w:pPr>
            <w:r>
              <w:rPr>
                <w:b/>
                <w:sz w:val="20"/>
              </w:rPr>
              <w:t>Sl.</w:t>
            </w:r>
          </w:p>
        </w:tc>
        <w:tc>
          <w:tcPr>
            <w:tcW w:w="2735" w:type="dxa"/>
            <w:vMerge w:val="restart"/>
            <w:shd w:val="clear" w:color="auto" w:fill="F7C9AC"/>
          </w:tcPr>
          <w:p w:rsidR="007C5447" w:rsidRDefault="007C5447">
            <w:pPr>
              <w:pStyle w:val="TableParagraph"/>
              <w:spacing w:before="8"/>
              <w:jc w:val="left"/>
              <w:rPr>
                <w:b/>
                <w:sz w:val="26"/>
              </w:rPr>
            </w:pPr>
          </w:p>
          <w:p w:rsidR="007C5447" w:rsidRDefault="00F6308C">
            <w:pPr>
              <w:pStyle w:val="TableParagraph"/>
              <w:ind w:left="107"/>
              <w:jc w:val="left"/>
              <w:rPr>
                <w:b/>
                <w:sz w:val="20"/>
              </w:rPr>
            </w:pPr>
            <w:r>
              <w:rPr>
                <w:b/>
                <w:sz w:val="20"/>
              </w:rPr>
              <w:t>Power Station</w:t>
            </w:r>
          </w:p>
        </w:tc>
        <w:tc>
          <w:tcPr>
            <w:tcW w:w="5133" w:type="dxa"/>
            <w:gridSpan w:val="3"/>
            <w:shd w:val="clear" w:color="auto" w:fill="F7C9AC"/>
          </w:tcPr>
          <w:p w:rsidR="007C5447" w:rsidRDefault="00F6308C">
            <w:pPr>
              <w:pStyle w:val="TableParagraph"/>
              <w:spacing w:before="55"/>
              <w:ind w:left="1963" w:right="1963"/>
              <w:jc w:val="center"/>
              <w:rPr>
                <w:b/>
                <w:sz w:val="20"/>
              </w:rPr>
            </w:pPr>
            <w:r>
              <w:rPr>
                <w:b/>
                <w:sz w:val="20"/>
              </w:rPr>
              <w:t>TANGEDCO</w:t>
            </w:r>
          </w:p>
        </w:tc>
      </w:tr>
      <w:tr w:rsidR="007C5447">
        <w:trPr>
          <w:trHeight w:val="494"/>
        </w:trPr>
        <w:tc>
          <w:tcPr>
            <w:tcW w:w="994" w:type="dxa"/>
            <w:vMerge/>
            <w:tcBorders>
              <w:top w:val="nil"/>
            </w:tcBorders>
            <w:shd w:val="clear" w:color="auto" w:fill="F7C9AC"/>
          </w:tcPr>
          <w:p w:rsidR="007C5447" w:rsidRDefault="007C5447">
            <w:pPr>
              <w:rPr>
                <w:sz w:val="2"/>
                <w:szCs w:val="2"/>
              </w:rPr>
            </w:pPr>
          </w:p>
        </w:tc>
        <w:tc>
          <w:tcPr>
            <w:tcW w:w="2735" w:type="dxa"/>
            <w:vMerge/>
            <w:tcBorders>
              <w:top w:val="nil"/>
            </w:tcBorders>
            <w:shd w:val="clear" w:color="auto" w:fill="F7C9AC"/>
          </w:tcPr>
          <w:p w:rsidR="007C5447" w:rsidRDefault="007C5447">
            <w:pPr>
              <w:rPr>
                <w:sz w:val="2"/>
                <w:szCs w:val="2"/>
              </w:rPr>
            </w:pPr>
          </w:p>
        </w:tc>
        <w:tc>
          <w:tcPr>
            <w:tcW w:w="1712" w:type="dxa"/>
            <w:shd w:val="clear" w:color="auto" w:fill="F7C9AC"/>
          </w:tcPr>
          <w:p w:rsidR="007C5447" w:rsidRDefault="00F6308C">
            <w:pPr>
              <w:pStyle w:val="TableParagraph"/>
              <w:spacing w:before="132"/>
              <w:ind w:left="360"/>
              <w:jc w:val="left"/>
              <w:rPr>
                <w:b/>
                <w:sz w:val="20"/>
              </w:rPr>
            </w:pPr>
            <w:r>
              <w:rPr>
                <w:b/>
                <w:sz w:val="20"/>
              </w:rPr>
              <w:t>FY 2016-17</w:t>
            </w:r>
          </w:p>
        </w:tc>
        <w:tc>
          <w:tcPr>
            <w:tcW w:w="1709" w:type="dxa"/>
            <w:shd w:val="clear" w:color="auto" w:fill="F7C9AC"/>
          </w:tcPr>
          <w:p w:rsidR="007C5447" w:rsidRDefault="00F6308C">
            <w:pPr>
              <w:pStyle w:val="TableParagraph"/>
              <w:spacing w:before="132"/>
              <w:ind w:left="360"/>
              <w:jc w:val="left"/>
              <w:rPr>
                <w:b/>
                <w:sz w:val="20"/>
              </w:rPr>
            </w:pPr>
            <w:r>
              <w:rPr>
                <w:b/>
                <w:sz w:val="20"/>
              </w:rPr>
              <w:t>FY 2017-18</w:t>
            </w:r>
          </w:p>
        </w:tc>
        <w:tc>
          <w:tcPr>
            <w:tcW w:w="1712" w:type="dxa"/>
            <w:shd w:val="clear" w:color="auto" w:fill="F7C9AC"/>
          </w:tcPr>
          <w:p w:rsidR="007C5447" w:rsidRDefault="00F6308C">
            <w:pPr>
              <w:pStyle w:val="TableParagraph"/>
              <w:spacing w:before="132"/>
              <w:ind w:left="360"/>
              <w:jc w:val="left"/>
              <w:rPr>
                <w:b/>
                <w:sz w:val="20"/>
              </w:rPr>
            </w:pPr>
            <w:r>
              <w:rPr>
                <w:b/>
                <w:sz w:val="20"/>
              </w:rPr>
              <w:t>FY 2018-19</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1</w:t>
            </w:r>
          </w:p>
        </w:tc>
        <w:tc>
          <w:tcPr>
            <w:tcW w:w="2735" w:type="dxa"/>
          </w:tcPr>
          <w:p w:rsidR="007C5447" w:rsidRDefault="00F6308C">
            <w:pPr>
              <w:pStyle w:val="TableParagraph"/>
              <w:spacing w:before="17" w:line="224" w:lineRule="exact"/>
              <w:ind w:left="107"/>
              <w:jc w:val="left"/>
              <w:rPr>
                <w:sz w:val="20"/>
              </w:rPr>
            </w:pPr>
            <w:r>
              <w:rPr>
                <w:sz w:val="20"/>
              </w:rPr>
              <w:t>Ennore TPS</w:t>
            </w:r>
          </w:p>
        </w:tc>
        <w:tc>
          <w:tcPr>
            <w:tcW w:w="1712" w:type="dxa"/>
          </w:tcPr>
          <w:p w:rsidR="007C5447" w:rsidRDefault="00F6308C">
            <w:pPr>
              <w:pStyle w:val="TableParagraph"/>
              <w:spacing w:before="17" w:line="224" w:lineRule="exact"/>
              <w:ind w:right="100"/>
              <w:rPr>
                <w:sz w:val="20"/>
              </w:rPr>
            </w:pPr>
            <w:r>
              <w:rPr>
                <w:w w:val="95"/>
                <w:sz w:val="20"/>
              </w:rPr>
              <w:t>166.55</w:t>
            </w:r>
          </w:p>
        </w:tc>
        <w:tc>
          <w:tcPr>
            <w:tcW w:w="1709" w:type="dxa"/>
          </w:tcPr>
          <w:p w:rsidR="007C5447" w:rsidRDefault="00F6308C">
            <w:pPr>
              <w:pStyle w:val="TableParagraph"/>
              <w:spacing w:before="17" w:line="224" w:lineRule="exact"/>
              <w:ind w:right="98"/>
              <w:rPr>
                <w:sz w:val="20"/>
              </w:rPr>
            </w:pPr>
            <w:r>
              <w:rPr>
                <w:w w:val="99"/>
                <w:sz w:val="20"/>
              </w:rPr>
              <w:t>-</w:t>
            </w:r>
          </w:p>
        </w:tc>
        <w:tc>
          <w:tcPr>
            <w:tcW w:w="1712" w:type="dxa"/>
          </w:tcPr>
          <w:p w:rsidR="007C5447" w:rsidRDefault="00F6308C">
            <w:pPr>
              <w:pStyle w:val="TableParagraph"/>
              <w:spacing w:before="17" w:line="224" w:lineRule="exact"/>
              <w:ind w:right="101"/>
              <w:rPr>
                <w:sz w:val="20"/>
              </w:rPr>
            </w:pPr>
            <w:r>
              <w:rPr>
                <w:w w:val="99"/>
                <w:sz w:val="20"/>
              </w:rPr>
              <w:t>-</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2</w:t>
            </w:r>
          </w:p>
        </w:tc>
        <w:tc>
          <w:tcPr>
            <w:tcW w:w="2735" w:type="dxa"/>
          </w:tcPr>
          <w:p w:rsidR="007C5447" w:rsidRDefault="00F6308C">
            <w:pPr>
              <w:pStyle w:val="TableParagraph"/>
              <w:spacing w:before="14" w:line="224" w:lineRule="exact"/>
              <w:ind w:left="107"/>
              <w:jc w:val="left"/>
              <w:rPr>
                <w:sz w:val="20"/>
              </w:rPr>
            </w:pPr>
            <w:r>
              <w:rPr>
                <w:sz w:val="20"/>
              </w:rPr>
              <w:t>Tuticorin TPS</w:t>
            </w:r>
          </w:p>
        </w:tc>
        <w:tc>
          <w:tcPr>
            <w:tcW w:w="1712" w:type="dxa"/>
          </w:tcPr>
          <w:p w:rsidR="007C5447" w:rsidRDefault="00F6308C">
            <w:pPr>
              <w:pStyle w:val="TableParagraph"/>
              <w:spacing w:before="14" w:line="224" w:lineRule="exact"/>
              <w:ind w:right="100"/>
              <w:rPr>
                <w:sz w:val="20"/>
              </w:rPr>
            </w:pPr>
            <w:r>
              <w:rPr>
                <w:w w:val="95"/>
                <w:sz w:val="20"/>
              </w:rPr>
              <w:t>130.91</w:t>
            </w:r>
          </w:p>
        </w:tc>
        <w:tc>
          <w:tcPr>
            <w:tcW w:w="1709" w:type="dxa"/>
          </w:tcPr>
          <w:p w:rsidR="007C5447" w:rsidRDefault="00F6308C">
            <w:pPr>
              <w:pStyle w:val="TableParagraph"/>
              <w:spacing w:before="14" w:line="224" w:lineRule="exact"/>
              <w:ind w:right="97"/>
              <w:rPr>
                <w:sz w:val="20"/>
              </w:rPr>
            </w:pPr>
            <w:r>
              <w:rPr>
                <w:w w:val="95"/>
                <w:sz w:val="20"/>
              </w:rPr>
              <w:t>151.67</w:t>
            </w:r>
          </w:p>
        </w:tc>
        <w:tc>
          <w:tcPr>
            <w:tcW w:w="1712" w:type="dxa"/>
          </w:tcPr>
          <w:p w:rsidR="007C5447" w:rsidRDefault="00F6308C">
            <w:pPr>
              <w:pStyle w:val="TableParagraph"/>
              <w:spacing w:before="14" w:line="224" w:lineRule="exact"/>
              <w:ind w:right="100"/>
              <w:rPr>
                <w:sz w:val="20"/>
              </w:rPr>
            </w:pPr>
            <w:r>
              <w:rPr>
                <w:w w:val="95"/>
                <w:sz w:val="20"/>
              </w:rPr>
              <w:t>164.61</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3</w:t>
            </w:r>
          </w:p>
        </w:tc>
        <w:tc>
          <w:tcPr>
            <w:tcW w:w="2735" w:type="dxa"/>
          </w:tcPr>
          <w:p w:rsidR="007C5447" w:rsidRDefault="00F6308C">
            <w:pPr>
              <w:pStyle w:val="TableParagraph"/>
              <w:spacing w:before="17" w:line="224" w:lineRule="exact"/>
              <w:ind w:left="107"/>
              <w:jc w:val="left"/>
              <w:rPr>
                <w:sz w:val="20"/>
              </w:rPr>
            </w:pPr>
            <w:r>
              <w:rPr>
                <w:sz w:val="20"/>
              </w:rPr>
              <w:t>Mettur TPS</w:t>
            </w:r>
          </w:p>
        </w:tc>
        <w:tc>
          <w:tcPr>
            <w:tcW w:w="1712" w:type="dxa"/>
          </w:tcPr>
          <w:p w:rsidR="007C5447" w:rsidRDefault="00F6308C">
            <w:pPr>
              <w:pStyle w:val="TableParagraph"/>
              <w:spacing w:before="17" w:line="224" w:lineRule="exact"/>
              <w:ind w:right="99"/>
              <w:rPr>
                <w:sz w:val="20"/>
              </w:rPr>
            </w:pPr>
            <w:r>
              <w:rPr>
                <w:sz w:val="20"/>
              </w:rPr>
              <w:t>83.98</w:t>
            </w:r>
          </w:p>
        </w:tc>
        <w:tc>
          <w:tcPr>
            <w:tcW w:w="1709" w:type="dxa"/>
          </w:tcPr>
          <w:p w:rsidR="007C5447" w:rsidRDefault="00F6308C">
            <w:pPr>
              <w:pStyle w:val="TableParagraph"/>
              <w:spacing w:before="17" w:line="224" w:lineRule="exact"/>
              <w:ind w:right="97"/>
              <w:rPr>
                <w:sz w:val="20"/>
              </w:rPr>
            </w:pPr>
            <w:r>
              <w:rPr>
                <w:sz w:val="20"/>
              </w:rPr>
              <w:t>95.46</w:t>
            </w:r>
          </w:p>
        </w:tc>
        <w:tc>
          <w:tcPr>
            <w:tcW w:w="1712" w:type="dxa"/>
          </w:tcPr>
          <w:p w:rsidR="007C5447" w:rsidRDefault="00F6308C">
            <w:pPr>
              <w:pStyle w:val="TableParagraph"/>
              <w:spacing w:before="17" w:line="224" w:lineRule="exact"/>
              <w:ind w:right="100"/>
              <w:rPr>
                <w:sz w:val="20"/>
              </w:rPr>
            </w:pPr>
            <w:r>
              <w:rPr>
                <w:w w:val="95"/>
                <w:sz w:val="20"/>
              </w:rPr>
              <w:t>102.21</w:t>
            </w:r>
          </w:p>
        </w:tc>
      </w:tr>
      <w:tr w:rsidR="007C5447">
        <w:trPr>
          <w:trHeight w:val="259"/>
        </w:trPr>
        <w:tc>
          <w:tcPr>
            <w:tcW w:w="994" w:type="dxa"/>
          </w:tcPr>
          <w:p w:rsidR="007C5447" w:rsidRDefault="00F6308C">
            <w:pPr>
              <w:pStyle w:val="TableParagraph"/>
              <w:spacing w:before="15" w:line="224" w:lineRule="exact"/>
              <w:ind w:left="8"/>
              <w:jc w:val="center"/>
              <w:rPr>
                <w:sz w:val="20"/>
              </w:rPr>
            </w:pPr>
            <w:r>
              <w:rPr>
                <w:w w:val="99"/>
                <w:sz w:val="20"/>
              </w:rPr>
              <w:t>4</w:t>
            </w:r>
          </w:p>
        </w:tc>
        <w:tc>
          <w:tcPr>
            <w:tcW w:w="2735" w:type="dxa"/>
          </w:tcPr>
          <w:p w:rsidR="007C5447" w:rsidRDefault="00F6308C">
            <w:pPr>
              <w:pStyle w:val="TableParagraph"/>
              <w:spacing w:before="15" w:line="224" w:lineRule="exact"/>
              <w:ind w:left="107"/>
              <w:jc w:val="left"/>
              <w:rPr>
                <w:sz w:val="20"/>
              </w:rPr>
            </w:pPr>
            <w:r>
              <w:rPr>
                <w:sz w:val="20"/>
              </w:rPr>
              <w:t>North Chennai TPS</w:t>
            </w:r>
          </w:p>
        </w:tc>
        <w:tc>
          <w:tcPr>
            <w:tcW w:w="1712" w:type="dxa"/>
          </w:tcPr>
          <w:p w:rsidR="007C5447" w:rsidRDefault="00F6308C">
            <w:pPr>
              <w:pStyle w:val="TableParagraph"/>
              <w:spacing w:before="15" w:line="224" w:lineRule="exact"/>
              <w:ind w:right="100"/>
              <w:rPr>
                <w:sz w:val="20"/>
              </w:rPr>
            </w:pPr>
            <w:r>
              <w:rPr>
                <w:w w:val="95"/>
                <w:sz w:val="20"/>
              </w:rPr>
              <w:t>156.55</w:t>
            </w:r>
          </w:p>
        </w:tc>
        <w:tc>
          <w:tcPr>
            <w:tcW w:w="1709" w:type="dxa"/>
          </w:tcPr>
          <w:p w:rsidR="007C5447" w:rsidRDefault="00F6308C">
            <w:pPr>
              <w:pStyle w:val="TableParagraph"/>
              <w:spacing w:before="15" w:line="224" w:lineRule="exact"/>
              <w:ind w:right="97"/>
              <w:rPr>
                <w:sz w:val="20"/>
              </w:rPr>
            </w:pPr>
            <w:r>
              <w:rPr>
                <w:w w:val="95"/>
                <w:sz w:val="20"/>
              </w:rPr>
              <w:t>182.07</w:t>
            </w:r>
          </w:p>
        </w:tc>
        <w:tc>
          <w:tcPr>
            <w:tcW w:w="1712" w:type="dxa"/>
          </w:tcPr>
          <w:p w:rsidR="007C5447" w:rsidRDefault="00F6308C">
            <w:pPr>
              <w:pStyle w:val="TableParagraph"/>
              <w:spacing w:before="15" w:line="224" w:lineRule="exact"/>
              <w:ind w:right="100"/>
              <w:rPr>
                <w:sz w:val="20"/>
              </w:rPr>
            </w:pPr>
            <w:r>
              <w:rPr>
                <w:w w:val="95"/>
                <w:sz w:val="20"/>
              </w:rPr>
              <w:t>195.84</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5</w:t>
            </w:r>
          </w:p>
        </w:tc>
        <w:tc>
          <w:tcPr>
            <w:tcW w:w="2735" w:type="dxa"/>
          </w:tcPr>
          <w:p w:rsidR="007C5447" w:rsidRDefault="00F6308C">
            <w:pPr>
              <w:pStyle w:val="TableParagraph"/>
              <w:spacing w:before="17" w:line="224" w:lineRule="exact"/>
              <w:ind w:left="107"/>
              <w:jc w:val="left"/>
              <w:rPr>
                <w:sz w:val="20"/>
              </w:rPr>
            </w:pPr>
            <w:r>
              <w:rPr>
                <w:sz w:val="20"/>
              </w:rPr>
              <w:t>Mettur TPS Stage III</w:t>
            </w:r>
          </w:p>
        </w:tc>
        <w:tc>
          <w:tcPr>
            <w:tcW w:w="1712" w:type="dxa"/>
          </w:tcPr>
          <w:p w:rsidR="007C5447" w:rsidRDefault="00F6308C">
            <w:pPr>
              <w:pStyle w:val="TableParagraph"/>
              <w:spacing w:before="17" w:line="224" w:lineRule="exact"/>
              <w:ind w:right="100"/>
              <w:rPr>
                <w:sz w:val="20"/>
              </w:rPr>
            </w:pPr>
            <w:r>
              <w:rPr>
                <w:w w:val="95"/>
                <w:sz w:val="20"/>
              </w:rPr>
              <w:t>192.93</w:t>
            </w:r>
          </w:p>
        </w:tc>
        <w:tc>
          <w:tcPr>
            <w:tcW w:w="1709" w:type="dxa"/>
          </w:tcPr>
          <w:p w:rsidR="007C5447" w:rsidRDefault="00F6308C">
            <w:pPr>
              <w:pStyle w:val="TableParagraph"/>
              <w:spacing w:before="17" w:line="224" w:lineRule="exact"/>
              <w:ind w:right="97"/>
              <w:rPr>
                <w:sz w:val="20"/>
              </w:rPr>
            </w:pPr>
            <w:r>
              <w:rPr>
                <w:w w:val="95"/>
                <w:sz w:val="20"/>
              </w:rPr>
              <w:t>193.90</w:t>
            </w:r>
          </w:p>
        </w:tc>
        <w:tc>
          <w:tcPr>
            <w:tcW w:w="1712" w:type="dxa"/>
          </w:tcPr>
          <w:p w:rsidR="007C5447" w:rsidRDefault="00F6308C">
            <w:pPr>
              <w:pStyle w:val="TableParagraph"/>
              <w:spacing w:before="17" w:line="224" w:lineRule="exact"/>
              <w:ind w:right="100"/>
              <w:rPr>
                <w:sz w:val="20"/>
              </w:rPr>
            </w:pPr>
            <w:r>
              <w:rPr>
                <w:w w:val="95"/>
                <w:sz w:val="20"/>
              </w:rPr>
              <w:t>197.85</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6</w:t>
            </w:r>
          </w:p>
        </w:tc>
        <w:tc>
          <w:tcPr>
            <w:tcW w:w="2735" w:type="dxa"/>
          </w:tcPr>
          <w:p w:rsidR="007C5447" w:rsidRDefault="00F6308C">
            <w:pPr>
              <w:pStyle w:val="TableParagraph"/>
              <w:spacing w:before="14" w:line="224" w:lineRule="exact"/>
              <w:ind w:left="107"/>
              <w:jc w:val="left"/>
              <w:rPr>
                <w:sz w:val="20"/>
              </w:rPr>
            </w:pPr>
            <w:r>
              <w:rPr>
                <w:sz w:val="20"/>
              </w:rPr>
              <w:t>North Chennai TPS II</w:t>
            </w:r>
          </w:p>
        </w:tc>
        <w:tc>
          <w:tcPr>
            <w:tcW w:w="1712" w:type="dxa"/>
          </w:tcPr>
          <w:p w:rsidR="007C5447" w:rsidRDefault="00F6308C">
            <w:pPr>
              <w:pStyle w:val="TableParagraph"/>
              <w:spacing w:before="14" w:line="224" w:lineRule="exact"/>
              <w:ind w:right="100"/>
              <w:rPr>
                <w:sz w:val="20"/>
              </w:rPr>
            </w:pPr>
            <w:r>
              <w:rPr>
                <w:w w:val="95"/>
                <w:sz w:val="20"/>
              </w:rPr>
              <w:t>403.51</w:t>
            </w:r>
          </w:p>
        </w:tc>
        <w:tc>
          <w:tcPr>
            <w:tcW w:w="1709" w:type="dxa"/>
          </w:tcPr>
          <w:p w:rsidR="007C5447" w:rsidRDefault="00F6308C">
            <w:pPr>
              <w:pStyle w:val="TableParagraph"/>
              <w:spacing w:before="14" w:line="224" w:lineRule="exact"/>
              <w:ind w:right="97"/>
              <w:rPr>
                <w:sz w:val="20"/>
              </w:rPr>
            </w:pPr>
            <w:r>
              <w:rPr>
                <w:w w:val="95"/>
                <w:sz w:val="20"/>
              </w:rPr>
              <w:t>403.92</w:t>
            </w:r>
          </w:p>
        </w:tc>
        <w:tc>
          <w:tcPr>
            <w:tcW w:w="1712" w:type="dxa"/>
          </w:tcPr>
          <w:p w:rsidR="007C5447" w:rsidRDefault="00F6308C">
            <w:pPr>
              <w:pStyle w:val="TableParagraph"/>
              <w:spacing w:before="14" w:line="224" w:lineRule="exact"/>
              <w:ind w:right="100"/>
              <w:rPr>
                <w:sz w:val="20"/>
              </w:rPr>
            </w:pPr>
            <w:r>
              <w:rPr>
                <w:w w:val="95"/>
                <w:sz w:val="20"/>
              </w:rPr>
              <w:t>404.94</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7</w:t>
            </w:r>
          </w:p>
        </w:tc>
        <w:tc>
          <w:tcPr>
            <w:tcW w:w="2735" w:type="dxa"/>
          </w:tcPr>
          <w:p w:rsidR="007C5447" w:rsidRDefault="00F6308C">
            <w:pPr>
              <w:pStyle w:val="TableParagraph"/>
              <w:spacing w:before="17" w:line="224" w:lineRule="exact"/>
              <w:ind w:left="107"/>
              <w:jc w:val="left"/>
              <w:rPr>
                <w:sz w:val="20"/>
              </w:rPr>
            </w:pPr>
            <w:r>
              <w:rPr>
                <w:sz w:val="20"/>
              </w:rPr>
              <w:t>Tirumakottai GTPS</w:t>
            </w:r>
          </w:p>
        </w:tc>
        <w:tc>
          <w:tcPr>
            <w:tcW w:w="1712" w:type="dxa"/>
          </w:tcPr>
          <w:p w:rsidR="007C5447" w:rsidRDefault="00F6308C">
            <w:pPr>
              <w:pStyle w:val="TableParagraph"/>
              <w:spacing w:before="17" w:line="224" w:lineRule="exact"/>
              <w:ind w:right="99"/>
              <w:rPr>
                <w:sz w:val="20"/>
              </w:rPr>
            </w:pPr>
            <w:r>
              <w:rPr>
                <w:sz w:val="20"/>
              </w:rPr>
              <w:t>35.46</w:t>
            </w:r>
          </w:p>
        </w:tc>
        <w:tc>
          <w:tcPr>
            <w:tcW w:w="1709" w:type="dxa"/>
          </w:tcPr>
          <w:p w:rsidR="007C5447" w:rsidRDefault="00F6308C">
            <w:pPr>
              <w:pStyle w:val="TableParagraph"/>
              <w:spacing w:before="17" w:line="224" w:lineRule="exact"/>
              <w:ind w:right="97"/>
              <w:rPr>
                <w:sz w:val="20"/>
              </w:rPr>
            </w:pPr>
            <w:r>
              <w:rPr>
                <w:sz w:val="20"/>
              </w:rPr>
              <w:t>36.38</w:t>
            </w:r>
          </w:p>
        </w:tc>
        <w:tc>
          <w:tcPr>
            <w:tcW w:w="1712" w:type="dxa"/>
          </w:tcPr>
          <w:p w:rsidR="007C5447" w:rsidRDefault="00F6308C">
            <w:pPr>
              <w:pStyle w:val="TableParagraph"/>
              <w:spacing w:before="17" w:line="224" w:lineRule="exact"/>
              <w:ind w:right="100"/>
              <w:rPr>
                <w:sz w:val="20"/>
              </w:rPr>
            </w:pPr>
            <w:r>
              <w:rPr>
                <w:sz w:val="20"/>
              </w:rPr>
              <w:t>42.09</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8</w:t>
            </w:r>
          </w:p>
        </w:tc>
        <w:tc>
          <w:tcPr>
            <w:tcW w:w="2735" w:type="dxa"/>
          </w:tcPr>
          <w:p w:rsidR="007C5447" w:rsidRDefault="00F6308C">
            <w:pPr>
              <w:pStyle w:val="TableParagraph"/>
              <w:spacing w:before="14" w:line="224" w:lineRule="exact"/>
              <w:ind w:left="107"/>
              <w:jc w:val="left"/>
              <w:rPr>
                <w:sz w:val="20"/>
              </w:rPr>
            </w:pPr>
            <w:r>
              <w:rPr>
                <w:sz w:val="20"/>
              </w:rPr>
              <w:t>Kuttalam GTPS</w:t>
            </w:r>
          </w:p>
        </w:tc>
        <w:tc>
          <w:tcPr>
            <w:tcW w:w="1712" w:type="dxa"/>
          </w:tcPr>
          <w:p w:rsidR="007C5447" w:rsidRDefault="00F6308C">
            <w:pPr>
              <w:pStyle w:val="TableParagraph"/>
              <w:spacing w:before="14" w:line="224" w:lineRule="exact"/>
              <w:ind w:right="99"/>
              <w:rPr>
                <w:sz w:val="20"/>
              </w:rPr>
            </w:pPr>
            <w:r>
              <w:rPr>
                <w:sz w:val="20"/>
              </w:rPr>
              <w:t>32.18</w:t>
            </w:r>
          </w:p>
        </w:tc>
        <w:tc>
          <w:tcPr>
            <w:tcW w:w="1709" w:type="dxa"/>
          </w:tcPr>
          <w:p w:rsidR="007C5447" w:rsidRDefault="00F6308C">
            <w:pPr>
              <w:pStyle w:val="TableParagraph"/>
              <w:spacing w:before="14" w:line="224" w:lineRule="exact"/>
              <w:ind w:right="97"/>
              <w:rPr>
                <w:sz w:val="20"/>
              </w:rPr>
            </w:pPr>
            <w:r>
              <w:rPr>
                <w:sz w:val="20"/>
              </w:rPr>
              <w:t>33.25</w:t>
            </w:r>
          </w:p>
        </w:tc>
        <w:tc>
          <w:tcPr>
            <w:tcW w:w="1712" w:type="dxa"/>
          </w:tcPr>
          <w:p w:rsidR="007C5447" w:rsidRDefault="00F6308C">
            <w:pPr>
              <w:pStyle w:val="TableParagraph"/>
              <w:spacing w:before="14" w:line="224" w:lineRule="exact"/>
              <w:ind w:right="100"/>
              <w:rPr>
                <w:sz w:val="20"/>
              </w:rPr>
            </w:pPr>
            <w:r>
              <w:rPr>
                <w:sz w:val="20"/>
              </w:rPr>
              <w:t>33.88</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9</w:t>
            </w:r>
          </w:p>
        </w:tc>
        <w:tc>
          <w:tcPr>
            <w:tcW w:w="2735" w:type="dxa"/>
          </w:tcPr>
          <w:p w:rsidR="007C5447" w:rsidRDefault="00F6308C">
            <w:pPr>
              <w:pStyle w:val="TableParagraph"/>
              <w:spacing w:before="17" w:line="224" w:lineRule="exact"/>
              <w:ind w:left="107"/>
              <w:jc w:val="left"/>
              <w:rPr>
                <w:sz w:val="20"/>
              </w:rPr>
            </w:pPr>
            <w:r>
              <w:rPr>
                <w:sz w:val="20"/>
              </w:rPr>
              <w:t>Basin Bridge GTPS</w:t>
            </w:r>
          </w:p>
        </w:tc>
        <w:tc>
          <w:tcPr>
            <w:tcW w:w="1712" w:type="dxa"/>
          </w:tcPr>
          <w:p w:rsidR="007C5447" w:rsidRDefault="00F6308C">
            <w:pPr>
              <w:pStyle w:val="TableParagraph"/>
              <w:spacing w:before="17" w:line="224" w:lineRule="exact"/>
              <w:ind w:right="100"/>
              <w:rPr>
                <w:sz w:val="20"/>
              </w:rPr>
            </w:pPr>
            <w:r>
              <w:rPr>
                <w:w w:val="95"/>
                <w:sz w:val="20"/>
              </w:rPr>
              <w:t>117.11</w:t>
            </w:r>
          </w:p>
        </w:tc>
        <w:tc>
          <w:tcPr>
            <w:tcW w:w="1709" w:type="dxa"/>
          </w:tcPr>
          <w:p w:rsidR="007C5447" w:rsidRDefault="00F6308C">
            <w:pPr>
              <w:pStyle w:val="TableParagraph"/>
              <w:spacing w:before="17" w:line="224" w:lineRule="exact"/>
              <w:ind w:right="97"/>
              <w:rPr>
                <w:sz w:val="20"/>
              </w:rPr>
            </w:pPr>
            <w:r>
              <w:rPr>
                <w:w w:val="95"/>
                <w:sz w:val="20"/>
              </w:rPr>
              <w:t>117.11</w:t>
            </w:r>
          </w:p>
        </w:tc>
        <w:tc>
          <w:tcPr>
            <w:tcW w:w="1712" w:type="dxa"/>
          </w:tcPr>
          <w:p w:rsidR="007C5447" w:rsidRDefault="00F6308C">
            <w:pPr>
              <w:pStyle w:val="TableParagraph"/>
              <w:spacing w:before="17" w:line="224" w:lineRule="exact"/>
              <w:ind w:right="100"/>
              <w:rPr>
                <w:sz w:val="20"/>
              </w:rPr>
            </w:pPr>
            <w:r>
              <w:rPr>
                <w:w w:val="95"/>
                <w:sz w:val="20"/>
              </w:rPr>
              <w:t>117.79</w:t>
            </w:r>
          </w:p>
        </w:tc>
      </w:tr>
      <w:tr w:rsidR="007C5447">
        <w:trPr>
          <w:trHeight w:val="258"/>
        </w:trPr>
        <w:tc>
          <w:tcPr>
            <w:tcW w:w="994" w:type="dxa"/>
          </w:tcPr>
          <w:p w:rsidR="007C5447" w:rsidRDefault="00F6308C">
            <w:pPr>
              <w:pStyle w:val="TableParagraph"/>
              <w:spacing w:before="14" w:line="224" w:lineRule="exact"/>
              <w:ind w:left="367" w:right="358"/>
              <w:jc w:val="center"/>
              <w:rPr>
                <w:sz w:val="20"/>
              </w:rPr>
            </w:pPr>
            <w:r>
              <w:rPr>
                <w:sz w:val="20"/>
              </w:rPr>
              <w:t>10</w:t>
            </w:r>
          </w:p>
        </w:tc>
        <w:tc>
          <w:tcPr>
            <w:tcW w:w="2735" w:type="dxa"/>
          </w:tcPr>
          <w:p w:rsidR="007C5447" w:rsidRDefault="00F6308C">
            <w:pPr>
              <w:pStyle w:val="TableParagraph"/>
              <w:spacing w:before="14" w:line="224" w:lineRule="exact"/>
              <w:ind w:left="107"/>
              <w:jc w:val="left"/>
              <w:rPr>
                <w:sz w:val="20"/>
              </w:rPr>
            </w:pPr>
            <w:r>
              <w:rPr>
                <w:sz w:val="20"/>
              </w:rPr>
              <w:t>Valuthur GTPS</w:t>
            </w:r>
          </w:p>
        </w:tc>
        <w:tc>
          <w:tcPr>
            <w:tcW w:w="1712" w:type="dxa"/>
          </w:tcPr>
          <w:p w:rsidR="007C5447" w:rsidRDefault="00F6308C">
            <w:pPr>
              <w:pStyle w:val="TableParagraph"/>
              <w:spacing w:before="14" w:line="224" w:lineRule="exact"/>
              <w:ind w:right="99"/>
              <w:rPr>
                <w:sz w:val="20"/>
              </w:rPr>
            </w:pPr>
            <w:r>
              <w:rPr>
                <w:sz w:val="20"/>
              </w:rPr>
              <w:t>61.59</w:t>
            </w:r>
          </w:p>
        </w:tc>
        <w:tc>
          <w:tcPr>
            <w:tcW w:w="1709" w:type="dxa"/>
          </w:tcPr>
          <w:p w:rsidR="007C5447" w:rsidRDefault="00F6308C">
            <w:pPr>
              <w:pStyle w:val="TableParagraph"/>
              <w:spacing w:before="14" w:line="224" w:lineRule="exact"/>
              <w:ind w:right="97"/>
              <w:rPr>
                <w:sz w:val="20"/>
              </w:rPr>
            </w:pPr>
            <w:r>
              <w:rPr>
                <w:sz w:val="20"/>
              </w:rPr>
              <w:t>62.81</w:t>
            </w:r>
          </w:p>
        </w:tc>
        <w:tc>
          <w:tcPr>
            <w:tcW w:w="1712" w:type="dxa"/>
          </w:tcPr>
          <w:p w:rsidR="007C5447" w:rsidRDefault="00F6308C">
            <w:pPr>
              <w:pStyle w:val="TableParagraph"/>
              <w:spacing w:before="14" w:line="224" w:lineRule="exact"/>
              <w:ind w:right="100"/>
              <w:rPr>
                <w:sz w:val="20"/>
              </w:rPr>
            </w:pPr>
            <w:r>
              <w:rPr>
                <w:sz w:val="20"/>
              </w:rPr>
              <w:t>74.75</w:t>
            </w:r>
          </w:p>
        </w:tc>
      </w:tr>
      <w:tr w:rsidR="007C5447">
        <w:trPr>
          <w:trHeight w:val="261"/>
        </w:trPr>
        <w:tc>
          <w:tcPr>
            <w:tcW w:w="994" w:type="dxa"/>
          </w:tcPr>
          <w:p w:rsidR="007C5447" w:rsidRDefault="00F6308C">
            <w:pPr>
              <w:pStyle w:val="TableParagraph"/>
              <w:spacing w:before="17" w:line="224" w:lineRule="exact"/>
              <w:ind w:left="367" w:right="358"/>
              <w:jc w:val="center"/>
              <w:rPr>
                <w:sz w:val="20"/>
              </w:rPr>
            </w:pPr>
            <w:r>
              <w:rPr>
                <w:sz w:val="20"/>
              </w:rPr>
              <w:t>11</w:t>
            </w:r>
          </w:p>
        </w:tc>
        <w:tc>
          <w:tcPr>
            <w:tcW w:w="2735" w:type="dxa"/>
          </w:tcPr>
          <w:p w:rsidR="007C5447" w:rsidRDefault="00F6308C">
            <w:pPr>
              <w:pStyle w:val="TableParagraph"/>
              <w:spacing w:before="17" w:line="224" w:lineRule="exact"/>
              <w:ind w:left="107"/>
              <w:jc w:val="left"/>
              <w:rPr>
                <w:sz w:val="20"/>
              </w:rPr>
            </w:pPr>
            <w:r>
              <w:rPr>
                <w:sz w:val="20"/>
              </w:rPr>
              <w:t>Erode HEP</w:t>
            </w:r>
          </w:p>
        </w:tc>
        <w:tc>
          <w:tcPr>
            <w:tcW w:w="1712" w:type="dxa"/>
          </w:tcPr>
          <w:p w:rsidR="007C5447" w:rsidRDefault="00F6308C">
            <w:pPr>
              <w:pStyle w:val="TableParagraph"/>
              <w:spacing w:before="17" w:line="224" w:lineRule="exact"/>
              <w:ind w:right="99"/>
              <w:rPr>
                <w:sz w:val="20"/>
              </w:rPr>
            </w:pPr>
            <w:r>
              <w:rPr>
                <w:sz w:val="20"/>
              </w:rPr>
              <w:t>77.08</w:t>
            </w:r>
          </w:p>
        </w:tc>
        <w:tc>
          <w:tcPr>
            <w:tcW w:w="1709" w:type="dxa"/>
          </w:tcPr>
          <w:p w:rsidR="007C5447" w:rsidRDefault="00F6308C">
            <w:pPr>
              <w:pStyle w:val="TableParagraph"/>
              <w:spacing w:before="17" w:line="224" w:lineRule="exact"/>
              <w:ind w:right="97"/>
              <w:rPr>
                <w:sz w:val="20"/>
              </w:rPr>
            </w:pPr>
            <w:r>
              <w:rPr>
                <w:sz w:val="20"/>
              </w:rPr>
              <w:t>77.08</w:t>
            </w:r>
          </w:p>
        </w:tc>
        <w:tc>
          <w:tcPr>
            <w:tcW w:w="1712" w:type="dxa"/>
          </w:tcPr>
          <w:p w:rsidR="007C5447" w:rsidRDefault="00F6308C">
            <w:pPr>
              <w:pStyle w:val="TableParagraph"/>
              <w:spacing w:before="17" w:line="224" w:lineRule="exact"/>
              <w:ind w:right="100"/>
              <w:rPr>
                <w:sz w:val="20"/>
              </w:rPr>
            </w:pPr>
            <w:r>
              <w:rPr>
                <w:sz w:val="20"/>
              </w:rPr>
              <w:t>77.47</w:t>
            </w:r>
          </w:p>
        </w:tc>
      </w:tr>
      <w:tr w:rsidR="007C5447">
        <w:trPr>
          <w:trHeight w:val="258"/>
        </w:trPr>
        <w:tc>
          <w:tcPr>
            <w:tcW w:w="994" w:type="dxa"/>
          </w:tcPr>
          <w:p w:rsidR="007C5447" w:rsidRDefault="00F6308C">
            <w:pPr>
              <w:pStyle w:val="TableParagraph"/>
              <w:spacing w:before="14" w:line="224" w:lineRule="exact"/>
              <w:ind w:left="367" w:right="358"/>
              <w:jc w:val="center"/>
              <w:rPr>
                <w:sz w:val="20"/>
              </w:rPr>
            </w:pPr>
            <w:r>
              <w:rPr>
                <w:sz w:val="20"/>
              </w:rPr>
              <w:t>12</w:t>
            </w:r>
          </w:p>
        </w:tc>
        <w:tc>
          <w:tcPr>
            <w:tcW w:w="2735" w:type="dxa"/>
          </w:tcPr>
          <w:p w:rsidR="007C5447" w:rsidRDefault="00F6308C">
            <w:pPr>
              <w:pStyle w:val="TableParagraph"/>
              <w:spacing w:before="14" w:line="224" w:lineRule="exact"/>
              <w:ind w:left="107"/>
              <w:jc w:val="left"/>
              <w:rPr>
                <w:sz w:val="20"/>
              </w:rPr>
            </w:pPr>
            <w:r>
              <w:rPr>
                <w:sz w:val="20"/>
              </w:rPr>
              <w:t>Kadamparai HEP</w:t>
            </w:r>
          </w:p>
        </w:tc>
        <w:tc>
          <w:tcPr>
            <w:tcW w:w="1712" w:type="dxa"/>
          </w:tcPr>
          <w:p w:rsidR="007C5447" w:rsidRDefault="00F6308C">
            <w:pPr>
              <w:pStyle w:val="TableParagraph"/>
              <w:spacing w:before="14" w:line="224" w:lineRule="exact"/>
              <w:ind w:right="99"/>
              <w:rPr>
                <w:sz w:val="20"/>
              </w:rPr>
            </w:pPr>
            <w:r>
              <w:rPr>
                <w:sz w:val="20"/>
              </w:rPr>
              <w:t>26.88</w:t>
            </w:r>
          </w:p>
        </w:tc>
        <w:tc>
          <w:tcPr>
            <w:tcW w:w="1709" w:type="dxa"/>
          </w:tcPr>
          <w:p w:rsidR="007C5447" w:rsidRDefault="00F6308C">
            <w:pPr>
              <w:pStyle w:val="TableParagraph"/>
              <w:spacing w:before="14" w:line="224" w:lineRule="exact"/>
              <w:ind w:right="97"/>
              <w:rPr>
                <w:sz w:val="20"/>
              </w:rPr>
            </w:pPr>
            <w:r>
              <w:rPr>
                <w:sz w:val="20"/>
              </w:rPr>
              <w:t>27.07</w:t>
            </w:r>
          </w:p>
        </w:tc>
        <w:tc>
          <w:tcPr>
            <w:tcW w:w="1712" w:type="dxa"/>
          </w:tcPr>
          <w:p w:rsidR="007C5447" w:rsidRDefault="00F6308C">
            <w:pPr>
              <w:pStyle w:val="TableParagraph"/>
              <w:spacing w:before="14" w:line="224" w:lineRule="exact"/>
              <w:ind w:right="100"/>
              <w:rPr>
                <w:sz w:val="20"/>
              </w:rPr>
            </w:pPr>
            <w:r>
              <w:rPr>
                <w:sz w:val="20"/>
              </w:rPr>
              <w:t>27.84</w:t>
            </w:r>
          </w:p>
        </w:tc>
      </w:tr>
      <w:tr w:rsidR="007C5447">
        <w:trPr>
          <w:trHeight w:val="261"/>
        </w:trPr>
        <w:tc>
          <w:tcPr>
            <w:tcW w:w="994" w:type="dxa"/>
          </w:tcPr>
          <w:p w:rsidR="007C5447" w:rsidRDefault="00F6308C">
            <w:pPr>
              <w:pStyle w:val="TableParagraph"/>
              <w:spacing w:before="17" w:line="224" w:lineRule="exact"/>
              <w:ind w:left="367" w:right="358"/>
              <w:jc w:val="center"/>
              <w:rPr>
                <w:sz w:val="20"/>
              </w:rPr>
            </w:pPr>
            <w:r>
              <w:rPr>
                <w:sz w:val="20"/>
              </w:rPr>
              <w:t>13</w:t>
            </w:r>
          </w:p>
        </w:tc>
        <w:tc>
          <w:tcPr>
            <w:tcW w:w="2735" w:type="dxa"/>
          </w:tcPr>
          <w:p w:rsidR="007C5447" w:rsidRDefault="00F6308C">
            <w:pPr>
              <w:pStyle w:val="TableParagraph"/>
              <w:spacing w:before="17" w:line="224" w:lineRule="exact"/>
              <w:ind w:left="107"/>
              <w:jc w:val="left"/>
              <w:rPr>
                <w:sz w:val="20"/>
              </w:rPr>
            </w:pPr>
            <w:r>
              <w:rPr>
                <w:sz w:val="20"/>
              </w:rPr>
              <w:t>Kundah HEP</w:t>
            </w:r>
          </w:p>
        </w:tc>
        <w:tc>
          <w:tcPr>
            <w:tcW w:w="1712" w:type="dxa"/>
          </w:tcPr>
          <w:p w:rsidR="007C5447" w:rsidRDefault="00F6308C">
            <w:pPr>
              <w:pStyle w:val="TableParagraph"/>
              <w:spacing w:before="17" w:line="224" w:lineRule="exact"/>
              <w:ind w:right="99"/>
              <w:rPr>
                <w:sz w:val="20"/>
              </w:rPr>
            </w:pPr>
            <w:r>
              <w:rPr>
                <w:sz w:val="20"/>
              </w:rPr>
              <w:t>86.92</w:t>
            </w:r>
          </w:p>
        </w:tc>
        <w:tc>
          <w:tcPr>
            <w:tcW w:w="1709" w:type="dxa"/>
          </w:tcPr>
          <w:p w:rsidR="007C5447" w:rsidRDefault="00F6308C">
            <w:pPr>
              <w:pStyle w:val="TableParagraph"/>
              <w:spacing w:before="17" w:line="224" w:lineRule="exact"/>
              <w:ind w:right="97"/>
              <w:rPr>
                <w:sz w:val="20"/>
              </w:rPr>
            </w:pPr>
            <w:r>
              <w:rPr>
                <w:sz w:val="20"/>
              </w:rPr>
              <w:t>87.51</w:t>
            </w:r>
          </w:p>
        </w:tc>
        <w:tc>
          <w:tcPr>
            <w:tcW w:w="1712" w:type="dxa"/>
          </w:tcPr>
          <w:p w:rsidR="007C5447" w:rsidRDefault="00F6308C">
            <w:pPr>
              <w:pStyle w:val="TableParagraph"/>
              <w:spacing w:before="17" w:line="224" w:lineRule="exact"/>
              <w:ind w:right="100"/>
              <w:rPr>
                <w:sz w:val="20"/>
              </w:rPr>
            </w:pPr>
            <w:r>
              <w:rPr>
                <w:sz w:val="20"/>
              </w:rPr>
              <w:t>87.91</w:t>
            </w:r>
          </w:p>
        </w:tc>
      </w:tr>
      <w:tr w:rsidR="007C5447">
        <w:trPr>
          <w:trHeight w:val="263"/>
        </w:trPr>
        <w:tc>
          <w:tcPr>
            <w:tcW w:w="994" w:type="dxa"/>
          </w:tcPr>
          <w:p w:rsidR="007C5447" w:rsidRDefault="00F6308C">
            <w:pPr>
              <w:pStyle w:val="TableParagraph"/>
              <w:spacing w:before="17" w:line="227" w:lineRule="exact"/>
              <w:ind w:left="367" w:right="358"/>
              <w:jc w:val="center"/>
              <w:rPr>
                <w:sz w:val="20"/>
              </w:rPr>
            </w:pPr>
            <w:r>
              <w:rPr>
                <w:sz w:val="20"/>
              </w:rPr>
              <w:t>14</w:t>
            </w:r>
          </w:p>
        </w:tc>
        <w:tc>
          <w:tcPr>
            <w:tcW w:w="2735" w:type="dxa"/>
          </w:tcPr>
          <w:p w:rsidR="007C5447" w:rsidRDefault="00F6308C">
            <w:pPr>
              <w:pStyle w:val="TableParagraph"/>
              <w:spacing w:before="17" w:line="227" w:lineRule="exact"/>
              <w:ind w:left="107"/>
              <w:jc w:val="left"/>
              <w:rPr>
                <w:sz w:val="20"/>
              </w:rPr>
            </w:pPr>
            <w:r>
              <w:rPr>
                <w:sz w:val="20"/>
              </w:rPr>
              <w:t>Tirunelveli HEP</w:t>
            </w:r>
          </w:p>
        </w:tc>
        <w:tc>
          <w:tcPr>
            <w:tcW w:w="1712" w:type="dxa"/>
          </w:tcPr>
          <w:p w:rsidR="007C5447" w:rsidRDefault="00F6308C">
            <w:pPr>
              <w:pStyle w:val="TableParagraph"/>
              <w:spacing w:before="17" w:line="227" w:lineRule="exact"/>
              <w:ind w:right="99"/>
              <w:rPr>
                <w:sz w:val="20"/>
              </w:rPr>
            </w:pPr>
            <w:r>
              <w:rPr>
                <w:sz w:val="20"/>
              </w:rPr>
              <w:t>38.09</w:t>
            </w:r>
          </w:p>
        </w:tc>
        <w:tc>
          <w:tcPr>
            <w:tcW w:w="1709" w:type="dxa"/>
          </w:tcPr>
          <w:p w:rsidR="007C5447" w:rsidRDefault="00F6308C">
            <w:pPr>
              <w:pStyle w:val="TableParagraph"/>
              <w:spacing w:before="17" w:line="227" w:lineRule="exact"/>
              <w:ind w:right="97"/>
              <w:rPr>
                <w:sz w:val="20"/>
              </w:rPr>
            </w:pPr>
            <w:r>
              <w:rPr>
                <w:sz w:val="20"/>
              </w:rPr>
              <w:t>47.28</w:t>
            </w:r>
          </w:p>
        </w:tc>
        <w:tc>
          <w:tcPr>
            <w:tcW w:w="1712" w:type="dxa"/>
          </w:tcPr>
          <w:p w:rsidR="007C5447" w:rsidRDefault="00F6308C">
            <w:pPr>
              <w:pStyle w:val="TableParagraph"/>
              <w:spacing w:before="17" w:line="227" w:lineRule="exact"/>
              <w:ind w:right="100"/>
              <w:rPr>
                <w:sz w:val="20"/>
              </w:rPr>
            </w:pPr>
            <w:r>
              <w:rPr>
                <w:sz w:val="20"/>
              </w:rPr>
              <w:t>47.28</w:t>
            </w:r>
          </w:p>
        </w:tc>
      </w:tr>
      <w:tr w:rsidR="007C5447">
        <w:trPr>
          <w:trHeight w:val="261"/>
        </w:trPr>
        <w:tc>
          <w:tcPr>
            <w:tcW w:w="994" w:type="dxa"/>
          </w:tcPr>
          <w:p w:rsidR="007C5447" w:rsidRDefault="00F6308C">
            <w:pPr>
              <w:pStyle w:val="TableParagraph"/>
              <w:spacing w:before="14" w:line="227" w:lineRule="exact"/>
              <w:ind w:left="367" w:right="358"/>
              <w:jc w:val="center"/>
              <w:rPr>
                <w:b/>
                <w:sz w:val="20"/>
              </w:rPr>
            </w:pPr>
            <w:r>
              <w:rPr>
                <w:b/>
                <w:sz w:val="20"/>
              </w:rPr>
              <w:t>15</w:t>
            </w:r>
          </w:p>
        </w:tc>
        <w:tc>
          <w:tcPr>
            <w:tcW w:w="2735" w:type="dxa"/>
          </w:tcPr>
          <w:p w:rsidR="007C5447" w:rsidRDefault="00F6308C">
            <w:pPr>
              <w:pStyle w:val="TableParagraph"/>
              <w:spacing w:before="14" w:line="227" w:lineRule="exact"/>
              <w:ind w:left="107"/>
              <w:jc w:val="left"/>
              <w:rPr>
                <w:b/>
                <w:sz w:val="20"/>
              </w:rPr>
            </w:pPr>
            <w:r>
              <w:rPr>
                <w:b/>
                <w:sz w:val="20"/>
              </w:rPr>
              <w:t>Total Generation</w:t>
            </w:r>
          </w:p>
        </w:tc>
        <w:tc>
          <w:tcPr>
            <w:tcW w:w="1712" w:type="dxa"/>
          </w:tcPr>
          <w:p w:rsidR="007C5447" w:rsidRDefault="00F6308C">
            <w:pPr>
              <w:pStyle w:val="TableParagraph"/>
              <w:spacing w:before="14" w:line="227" w:lineRule="exact"/>
              <w:ind w:right="100"/>
              <w:rPr>
                <w:b/>
                <w:sz w:val="20"/>
              </w:rPr>
            </w:pPr>
            <w:r>
              <w:rPr>
                <w:b/>
                <w:w w:val="95"/>
                <w:sz w:val="20"/>
              </w:rPr>
              <w:t>1,609.74</w:t>
            </w:r>
          </w:p>
        </w:tc>
        <w:tc>
          <w:tcPr>
            <w:tcW w:w="1709" w:type="dxa"/>
          </w:tcPr>
          <w:p w:rsidR="007C5447" w:rsidRDefault="00F6308C">
            <w:pPr>
              <w:pStyle w:val="TableParagraph"/>
              <w:spacing w:before="14" w:line="227" w:lineRule="exact"/>
              <w:ind w:right="98"/>
              <w:rPr>
                <w:b/>
                <w:sz w:val="20"/>
              </w:rPr>
            </w:pPr>
            <w:r>
              <w:rPr>
                <w:b/>
                <w:w w:val="95"/>
                <w:sz w:val="20"/>
              </w:rPr>
              <w:t>1,515.53</w:t>
            </w:r>
          </w:p>
        </w:tc>
        <w:tc>
          <w:tcPr>
            <w:tcW w:w="1712" w:type="dxa"/>
          </w:tcPr>
          <w:p w:rsidR="007C5447" w:rsidRDefault="00F6308C">
            <w:pPr>
              <w:pStyle w:val="TableParagraph"/>
              <w:spacing w:before="14" w:line="227" w:lineRule="exact"/>
              <w:ind w:right="100"/>
              <w:rPr>
                <w:b/>
                <w:sz w:val="20"/>
              </w:rPr>
            </w:pPr>
            <w:r>
              <w:rPr>
                <w:b/>
                <w:w w:val="95"/>
                <w:sz w:val="20"/>
              </w:rPr>
              <w:t>1,574.44</w:t>
            </w:r>
          </w:p>
        </w:tc>
      </w:tr>
      <w:tr w:rsidR="007C5447">
        <w:trPr>
          <w:trHeight w:val="263"/>
        </w:trPr>
        <w:tc>
          <w:tcPr>
            <w:tcW w:w="994" w:type="dxa"/>
          </w:tcPr>
          <w:p w:rsidR="007C5447" w:rsidRDefault="00F6308C">
            <w:pPr>
              <w:pStyle w:val="TableParagraph"/>
              <w:spacing w:before="17" w:line="227" w:lineRule="exact"/>
              <w:ind w:left="367" w:right="358"/>
              <w:jc w:val="center"/>
              <w:rPr>
                <w:b/>
                <w:sz w:val="20"/>
              </w:rPr>
            </w:pPr>
            <w:r>
              <w:rPr>
                <w:b/>
                <w:sz w:val="20"/>
              </w:rPr>
              <w:t>16</w:t>
            </w:r>
          </w:p>
        </w:tc>
        <w:tc>
          <w:tcPr>
            <w:tcW w:w="2735" w:type="dxa"/>
          </w:tcPr>
          <w:p w:rsidR="007C5447" w:rsidRDefault="00F6308C">
            <w:pPr>
              <w:pStyle w:val="TableParagraph"/>
              <w:spacing w:before="17" w:line="227" w:lineRule="exact"/>
              <w:ind w:left="107"/>
              <w:jc w:val="left"/>
              <w:rPr>
                <w:b/>
                <w:sz w:val="20"/>
              </w:rPr>
            </w:pPr>
            <w:r>
              <w:rPr>
                <w:b/>
                <w:sz w:val="20"/>
              </w:rPr>
              <w:t>Distribution</w:t>
            </w:r>
          </w:p>
        </w:tc>
        <w:tc>
          <w:tcPr>
            <w:tcW w:w="1712" w:type="dxa"/>
          </w:tcPr>
          <w:p w:rsidR="007C5447" w:rsidRDefault="00F6308C">
            <w:pPr>
              <w:pStyle w:val="TableParagraph"/>
              <w:spacing w:before="17" w:line="227" w:lineRule="exact"/>
              <w:ind w:right="100"/>
              <w:rPr>
                <w:b/>
                <w:sz w:val="20"/>
              </w:rPr>
            </w:pPr>
            <w:r>
              <w:rPr>
                <w:b/>
                <w:w w:val="95"/>
                <w:sz w:val="20"/>
              </w:rPr>
              <w:t>203.77</w:t>
            </w:r>
          </w:p>
        </w:tc>
        <w:tc>
          <w:tcPr>
            <w:tcW w:w="1709" w:type="dxa"/>
          </w:tcPr>
          <w:p w:rsidR="007C5447" w:rsidRDefault="00F6308C">
            <w:pPr>
              <w:pStyle w:val="TableParagraph"/>
              <w:spacing w:before="17" w:line="227" w:lineRule="exact"/>
              <w:ind w:right="97"/>
              <w:rPr>
                <w:b/>
                <w:sz w:val="20"/>
              </w:rPr>
            </w:pPr>
            <w:r>
              <w:rPr>
                <w:b/>
                <w:w w:val="95"/>
                <w:sz w:val="20"/>
              </w:rPr>
              <w:t>483.53</w:t>
            </w:r>
          </w:p>
        </w:tc>
        <w:tc>
          <w:tcPr>
            <w:tcW w:w="1712" w:type="dxa"/>
          </w:tcPr>
          <w:p w:rsidR="007C5447" w:rsidRDefault="00F6308C">
            <w:pPr>
              <w:pStyle w:val="TableParagraph"/>
              <w:spacing w:before="17" w:line="227" w:lineRule="exact"/>
              <w:ind w:right="100"/>
              <w:rPr>
                <w:b/>
                <w:sz w:val="20"/>
              </w:rPr>
            </w:pPr>
            <w:r>
              <w:rPr>
                <w:b/>
                <w:w w:val="95"/>
                <w:sz w:val="20"/>
              </w:rPr>
              <w:t>645.79</w:t>
            </w:r>
          </w:p>
        </w:tc>
      </w:tr>
      <w:tr w:rsidR="007C5447">
        <w:trPr>
          <w:trHeight w:val="264"/>
        </w:trPr>
        <w:tc>
          <w:tcPr>
            <w:tcW w:w="994" w:type="dxa"/>
          </w:tcPr>
          <w:p w:rsidR="007C5447" w:rsidRDefault="00F6308C">
            <w:pPr>
              <w:pStyle w:val="TableParagraph"/>
              <w:spacing w:before="17" w:line="227" w:lineRule="exact"/>
              <w:ind w:left="367" w:right="358"/>
              <w:jc w:val="center"/>
              <w:rPr>
                <w:b/>
                <w:sz w:val="20"/>
              </w:rPr>
            </w:pPr>
            <w:r>
              <w:rPr>
                <w:b/>
                <w:sz w:val="20"/>
              </w:rPr>
              <w:t>17</w:t>
            </w:r>
          </w:p>
        </w:tc>
        <w:tc>
          <w:tcPr>
            <w:tcW w:w="2735" w:type="dxa"/>
          </w:tcPr>
          <w:p w:rsidR="007C5447" w:rsidRDefault="00F6308C">
            <w:pPr>
              <w:pStyle w:val="TableParagraph"/>
              <w:spacing w:before="17" w:line="227" w:lineRule="exact"/>
              <w:ind w:left="107"/>
              <w:jc w:val="left"/>
              <w:rPr>
                <w:b/>
                <w:sz w:val="20"/>
              </w:rPr>
            </w:pPr>
            <w:r>
              <w:rPr>
                <w:b/>
                <w:sz w:val="20"/>
              </w:rPr>
              <w:t>Total *</w:t>
            </w:r>
          </w:p>
        </w:tc>
        <w:tc>
          <w:tcPr>
            <w:tcW w:w="1712" w:type="dxa"/>
          </w:tcPr>
          <w:p w:rsidR="007C5447" w:rsidRDefault="00F6308C">
            <w:pPr>
              <w:pStyle w:val="TableParagraph"/>
              <w:spacing w:before="17" w:line="227" w:lineRule="exact"/>
              <w:ind w:right="100"/>
              <w:rPr>
                <w:b/>
                <w:sz w:val="20"/>
              </w:rPr>
            </w:pPr>
            <w:r>
              <w:rPr>
                <w:b/>
                <w:w w:val="95"/>
                <w:sz w:val="20"/>
              </w:rPr>
              <w:t>1,820.92</w:t>
            </w:r>
          </w:p>
        </w:tc>
        <w:tc>
          <w:tcPr>
            <w:tcW w:w="1709" w:type="dxa"/>
          </w:tcPr>
          <w:p w:rsidR="007C5447" w:rsidRDefault="00F6308C">
            <w:pPr>
              <w:pStyle w:val="TableParagraph"/>
              <w:spacing w:before="17" w:line="227" w:lineRule="exact"/>
              <w:ind w:right="98"/>
              <w:rPr>
                <w:b/>
                <w:sz w:val="20"/>
              </w:rPr>
            </w:pPr>
            <w:r>
              <w:rPr>
                <w:b/>
                <w:w w:val="95"/>
                <w:sz w:val="20"/>
              </w:rPr>
              <w:t>2,006.47</w:t>
            </w:r>
          </w:p>
        </w:tc>
        <w:tc>
          <w:tcPr>
            <w:tcW w:w="1712" w:type="dxa"/>
          </w:tcPr>
          <w:p w:rsidR="007C5447" w:rsidRDefault="00F6308C">
            <w:pPr>
              <w:pStyle w:val="TableParagraph"/>
              <w:spacing w:before="17" w:line="227" w:lineRule="exact"/>
              <w:ind w:right="100"/>
              <w:rPr>
                <w:b/>
                <w:sz w:val="20"/>
              </w:rPr>
            </w:pPr>
            <w:r>
              <w:rPr>
                <w:b/>
                <w:w w:val="95"/>
                <w:sz w:val="20"/>
              </w:rPr>
              <w:t>2,220.23</w:t>
            </w:r>
          </w:p>
        </w:tc>
      </w:tr>
    </w:tbl>
    <w:p w:rsidR="007C5447" w:rsidRDefault="007C5447">
      <w:pPr>
        <w:pStyle w:val="BodyText"/>
        <w:spacing w:before="11"/>
        <w:rPr>
          <w:b/>
          <w:sz w:val="20"/>
        </w:rPr>
      </w:pPr>
    </w:p>
    <w:p w:rsidR="007C5447" w:rsidRDefault="00F6308C">
      <w:pPr>
        <w:ind w:left="540"/>
        <w:rPr>
          <w:b/>
          <w:sz w:val="20"/>
        </w:rPr>
      </w:pPr>
      <w:r>
        <w:rPr>
          <w:b/>
          <w:sz w:val="20"/>
        </w:rPr>
        <w:t>*- Minor error in summation submitted by TANGEDCO</w:t>
      </w:r>
    </w:p>
    <w:p w:rsidR="007C5447" w:rsidRDefault="007C5447">
      <w:pPr>
        <w:pStyle w:val="BodyText"/>
        <w:spacing w:before="9"/>
        <w:rPr>
          <w:b/>
          <w:sz w:val="26"/>
        </w:rPr>
      </w:pPr>
    </w:p>
    <w:p w:rsidR="007C5447" w:rsidRDefault="00F6308C">
      <w:pPr>
        <w:pStyle w:val="Heading2"/>
        <w:spacing w:before="1"/>
        <w:ind w:left="1392"/>
      </w:pPr>
      <w:r>
        <w:t>Commission’s Views</w:t>
      </w:r>
    </w:p>
    <w:p w:rsidR="007C5447" w:rsidRDefault="00F6308C">
      <w:pPr>
        <w:pStyle w:val="ListParagraph"/>
        <w:numPr>
          <w:ilvl w:val="2"/>
          <w:numId w:val="114"/>
        </w:numPr>
        <w:tabs>
          <w:tab w:val="left" w:pos="1393"/>
        </w:tabs>
        <w:spacing w:before="201" w:line="312" w:lineRule="auto"/>
        <w:ind w:left="1392" w:right="507" w:hanging="852"/>
        <w:jc w:val="both"/>
        <w:rPr>
          <w:sz w:val="24"/>
        </w:rPr>
      </w:pPr>
      <w:r>
        <w:rPr>
          <w:sz w:val="24"/>
        </w:rPr>
        <w:t>The Commission has approved depreciation for FY 2016-17 to FY 2018-19 in accordance</w:t>
      </w:r>
      <w:r>
        <w:rPr>
          <w:spacing w:val="12"/>
          <w:sz w:val="24"/>
        </w:rPr>
        <w:t xml:space="preserve"> </w:t>
      </w:r>
      <w:r>
        <w:rPr>
          <w:sz w:val="24"/>
        </w:rPr>
        <w:t>with</w:t>
      </w:r>
      <w:r>
        <w:rPr>
          <w:spacing w:val="14"/>
          <w:sz w:val="24"/>
        </w:rPr>
        <w:t xml:space="preserve"> </w:t>
      </w:r>
      <w:r>
        <w:rPr>
          <w:sz w:val="24"/>
        </w:rPr>
        <w:t>the</w:t>
      </w:r>
      <w:r>
        <w:rPr>
          <w:spacing w:val="13"/>
          <w:sz w:val="24"/>
        </w:rPr>
        <w:t xml:space="preserve"> </w:t>
      </w:r>
      <w:r>
        <w:rPr>
          <w:sz w:val="24"/>
        </w:rPr>
        <w:t>Tariff</w:t>
      </w:r>
      <w:r>
        <w:rPr>
          <w:spacing w:val="12"/>
          <w:sz w:val="24"/>
        </w:rPr>
        <w:t xml:space="preserve"> </w:t>
      </w:r>
      <w:r>
        <w:rPr>
          <w:sz w:val="24"/>
        </w:rPr>
        <w:t>Regulations.</w:t>
      </w:r>
      <w:r>
        <w:rPr>
          <w:spacing w:val="14"/>
          <w:sz w:val="24"/>
        </w:rPr>
        <w:t xml:space="preserve"> </w:t>
      </w:r>
      <w:r>
        <w:rPr>
          <w:sz w:val="24"/>
        </w:rPr>
        <w:t>The</w:t>
      </w:r>
      <w:r>
        <w:rPr>
          <w:spacing w:val="11"/>
          <w:sz w:val="24"/>
        </w:rPr>
        <w:t xml:space="preserve"> </w:t>
      </w:r>
      <w:r>
        <w:rPr>
          <w:sz w:val="24"/>
        </w:rPr>
        <w:t>closing</w:t>
      </w:r>
      <w:r>
        <w:rPr>
          <w:spacing w:val="11"/>
          <w:sz w:val="24"/>
        </w:rPr>
        <w:t xml:space="preserve"> </w:t>
      </w:r>
      <w:r>
        <w:rPr>
          <w:sz w:val="24"/>
        </w:rPr>
        <w:t>GFA</w:t>
      </w:r>
      <w:r>
        <w:rPr>
          <w:spacing w:val="13"/>
          <w:sz w:val="24"/>
        </w:rPr>
        <w:t xml:space="preserve"> </w:t>
      </w:r>
      <w:r>
        <w:rPr>
          <w:sz w:val="24"/>
        </w:rPr>
        <w:t>for</w:t>
      </w:r>
      <w:r>
        <w:rPr>
          <w:spacing w:val="13"/>
          <w:sz w:val="24"/>
        </w:rPr>
        <w:t xml:space="preserve"> </w:t>
      </w:r>
      <w:r>
        <w:rPr>
          <w:sz w:val="24"/>
        </w:rPr>
        <w:t>FY</w:t>
      </w:r>
      <w:r>
        <w:rPr>
          <w:spacing w:val="13"/>
          <w:sz w:val="24"/>
        </w:rPr>
        <w:t xml:space="preserve"> </w:t>
      </w:r>
      <w:r>
        <w:rPr>
          <w:sz w:val="24"/>
        </w:rPr>
        <w:t>2015-16</w:t>
      </w:r>
      <w:r>
        <w:rPr>
          <w:spacing w:val="15"/>
          <w:sz w:val="24"/>
        </w:rPr>
        <w:t xml:space="preserve"> </w:t>
      </w:r>
      <w:r>
        <w:rPr>
          <w:sz w:val="24"/>
        </w:rPr>
        <w:t>as</w:t>
      </w:r>
      <w:r>
        <w:rPr>
          <w:spacing w:val="14"/>
          <w:sz w:val="24"/>
        </w:rPr>
        <w:t xml:space="preserve"> </w:t>
      </w:r>
      <w:r>
        <w:rPr>
          <w:sz w:val="24"/>
        </w:rPr>
        <w:t>approved</w:t>
      </w:r>
    </w:p>
    <w:p w:rsidR="007C5447" w:rsidRDefault="007C5447">
      <w:pPr>
        <w:spacing w:line="312" w:lineRule="auto"/>
        <w:jc w:val="both"/>
        <w:rPr>
          <w:sz w:val="24"/>
        </w:rPr>
        <w:sectPr w:rsidR="007C5447">
          <w:pgSz w:w="11910" w:h="16840"/>
          <w:pgMar w:top="1360" w:right="620" w:bottom="1240" w:left="900" w:header="0" w:footer="777" w:gutter="0"/>
          <w:cols w:space="720"/>
        </w:sectPr>
      </w:pPr>
    </w:p>
    <w:p w:rsidR="007C5447" w:rsidRDefault="00F6308C">
      <w:pPr>
        <w:pStyle w:val="BodyText"/>
        <w:spacing w:before="60" w:line="312" w:lineRule="auto"/>
        <w:ind w:left="1392" w:right="510"/>
        <w:jc w:val="both"/>
      </w:pPr>
      <w:r>
        <w:lastRenderedPageBreak/>
        <w:t>in Chapter 3 has been considered as the opening GFA (excluding land) for each plant. Addition during the year in FY 2016-17 to FY 2018-18 has been considered same as capitalisation approved in CIP Order dated 31.07.2017 and as shown in the Table above. Fur</w:t>
      </w:r>
      <w:r>
        <w:t>ther, depreciation has been computed on opening GFA for the year. In order to determine depreciation, the Commission has used the depreciation rates specified in the Tariff Regulations, as shown in the Table</w:t>
      </w:r>
      <w:r>
        <w:rPr>
          <w:spacing w:val="-2"/>
        </w:rPr>
        <w:t xml:space="preserve"> </w:t>
      </w:r>
      <w:r>
        <w:t>below:</w:t>
      </w:r>
    </w:p>
    <w:p w:rsidR="007C5447" w:rsidRDefault="007C5447">
      <w:pPr>
        <w:pStyle w:val="BodyText"/>
        <w:spacing w:before="11"/>
        <w:rPr>
          <w:sz w:val="20"/>
        </w:rPr>
      </w:pPr>
    </w:p>
    <w:p w:rsidR="007C5447" w:rsidRDefault="00F6308C">
      <w:pPr>
        <w:pStyle w:val="Heading2"/>
        <w:spacing w:line="312" w:lineRule="auto"/>
        <w:ind w:left="4628" w:right="520" w:hanging="4064"/>
      </w:pPr>
      <w:r>
        <w:t>Table 4-15: Approved Depreciation for the Control Period from FY 2016-17 to FY 2018-19 (Rs. Crore)</w:t>
      </w: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1"/>
        <w:gridCol w:w="2098"/>
        <w:gridCol w:w="1135"/>
        <w:gridCol w:w="1133"/>
        <w:gridCol w:w="1136"/>
        <w:gridCol w:w="1133"/>
        <w:gridCol w:w="1136"/>
        <w:gridCol w:w="1133"/>
      </w:tblGrid>
      <w:tr w:rsidR="007C5447">
        <w:trPr>
          <w:trHeight w:val="381"/>
        </w:trPr>
        <w:tc>
          <w:tcPr>
            <w:tcW w:w="881" w:type="dxa"/>
            <w:vMerge w:val="restart"/>
            <w:shd w:val="clear" w:color="auto" w:fill="F7C9AC"/>
          </w:tcPr>
          <w:p w:rsidR="007C5447" w:rsidRDefault="007C5447">
            <w:pPr>
              <w:pStyle w:val="TableParagraph"/>
              <w:jc w:val="left"/>
              <w:rPr>
                <w:b/>
              </w:rPr>
            </w:pPr>
          </w:p>
          <w:p w:rsidR="007C5447" w:rsidRDefault="00F6308C">
            <w:pPr>
              <w:pStyle w:val="TableParagraph"/>
              <w:spacing w:before="143"/>
              <w:ind w:left="310" w:right="304"/>
              <w:jc w:val="center"/>
              <w:rPr>
                <w:b/>
                <w:sz w:val="20"/>
              </w:rPr>
            </w:pPr>
            <w:r>
              <w:rPr>
                <w:b/>
                <w:sz w:val="20"/>
              </w:rPr>
              <w:t>Sl.</w:t>
            </w:r>
          </w:p>
        </w:tc>
        <w:tc>
          <w:tcPr>
            <w:tcW w:w="2098" w:type="dxa"/>
            <w:vMerge w:val="restart"/>
            <w:shd w:val="clear" w:color="auto" w:fill="F7C9AC"/>
          </w:tcPr>
          <w:p w:rsidR="007C5447" w:rsidRDefault="007C5447">
            <w:pPr>
              <w:pStyle w:val="TableParagraph"/>
              <w:jc w:val="left"/>
              <w:rPr>
                <w:b/>
              </w:rPr>
            </w:pPr>
          </w:p>
          <w:p w:rsidR="007C5447" w:rsidRDefault="00F6308C">
            <w:pPr>
              <w:pStyle w:val="TableParagraph"/>
              <w:spacing w:before="143"/>
              <w:ind w:left="107"/>
              <w:jc w:val="left"/>
              <w:rPr>
                <w:b/>
                <w:sz w:val="20"/>
              </w:rPr>
            </w:pPr>
            <w:r>
              <w:rPr>
                <w:b/>
                <w:sz w:val="20"/>
              </w:rPr>
              <w:t>Power Station</w:t>
            </w:r>
          </w:p>
        </w:tc>
        <w:tc>
          <w:tcPr>
            <w:tcW w:w="3404" w:type="dxa"/>
            <w:gridSpan w:val="3"/>
            <w:shd w:val="clear" w:color="auto" w:fill="F7C9AC"/>
          </w:tcPr>
          <w:p w:rsidR="007C5447" w:rsidRDefault="00F6308C">
            <w:pPr>
              <w:pStyle w:val="TableParagraph"/>
              <w:spacing w:before="77"/>
              <w:ind w:left="1123"/>
              <w:jc w:val="left"/>
              <w:rPr>
                <w:b/>
                <w:sz w:val="20"/>
              </w:rPr>
            </w:pPr>
            <w:r>
              <w:rPr>
                <w:b/>
                <w:sz w:val="20"/>
              </w:rPr>
              <w:t>TANGEDCO</w:t>
            </w:r>
          </w:p>
        </w:tc>
        <w:tc>
          <w:tcPr>
            <w:tcW w:w="3402" w:type="dxa"/>
            <w:gridSpan w:val="3"/>
            <w:shd w:val="clear" w:color="auto" w:fill="F7C9AC"/>
          </w:tcPr>
          <w:p w:rsidR="007C5447" w:rsidRDefault="00F6308C">
            <w:pPr>
              <w:pStyle w:val="TableParagraph"/>
              <w:spacing w:before="77"/>
              <w:ind w:left="1152" w:right="1144"/>
              <w:jc w:val="center"/>
              <w:rPr>
                <w:b/>
                <w:sz w:val="20"/>
              </w:rPr>
            </w:pPr>
            <w:r>
              <w:rPr>
                <w:b/>
                <w:sz w:val="20"/>
              </w:rPr>
              <w:t>Commission</w:t>
            </w:r>
          </w:p>
        </w:tc>
      </w:tr>
      <w:tr w:rsidR="007C5447">
        <w:trPr>
          <w:trHeight w:val="631"/>
        </w:trPr>
        <w:tc>
          <w:tcPr>
            <w:tcW w:w="881" w:type="dxa"/>
            <w:vMerge/>
            <w:tcBorders>
              <w:top w:val="nil"/>
            </w:tcBorders>
            <w:shd w:val="clear" w:color="auto" w:fill="F7C9AC"/>
          </w:tcPr>
          <w:p w:rsidR="007C5447" w:rsidRDefault="007C5447">
            <w:pPr>
              <w:rPr>
                <w:sz w:val="2"/>
                <w:szCs w:val="2"/>
              </w:rPr>
            </w:pPr>
          </w:p>
        </w:tc>
        <w:tc>
          <w:tcPr>
            <w:tcW w:w="2098" w:type="dxa"/>
            <w:vMerge/>
            <w:tcBorders>
              <w:top w:val="nil"/>
            </w:tcBorders>
            <w:shd w:val="clear" w:color="auto" w:fill="F7C9AC"/>
          </w:tcPr>
          <w:p w:rsidR="007C5447" w:rsidRDefault="007C5447">
            <w:pPr>
              <w:rPr>
                <w:sz w:val="2"/>
                <w:szCs w:val="2"/>
              </w:rPr>
            </w:pPr>
          </w:p>
        </w:tc>
        <w:tc>
          <w:tcPr>
            <w:tcW w:w="1135" w:type="dxa"/>
            <w:shd w:val="clear" w:color="auto" w:fill="F7C9AC"/>
          </w:tcPr>
          <w:p w:rsidR="007C5447" w:rsidRDefault="00F6308C">
            <w:pPr>
              <w:pStyle w:val="TableParagraph"/>
              <w:spacing w:before="86" w:line="229" w:lineRule="exact"/>
              <w:ind w:left="115" w:right="106"/>
              <w:jc w:val="center"/>
              <w:rPr>
                <w:b/>
                <w:sz w:val="20"/>
              </w:rPr>
            </w:pPr>
            <w:r>
              <w:rPr>
                <w:b/>
                <w:sz w:val="20"/>
              </w:rPr>
              <w:t>FY 2016-</w:t>
            </w:r>
          </w:p>
          <w:p w:rsidR="007C5447" w:rsidRDefault="00F6308C">
            <w:pPr>
              <w:pStyle w:val="TableParagraph"/>
              <w:spacing w:line="229" w:lineRule="exact"/>
              <w:ind w:left="114" w:right="106"/>
              <w:jc w:val="center"/>
              <w:rPr>
                <w:b/>
                <w:sz w:val="20"/>
              </w:rPr>
            </w:pPr>
            <w:r>
              <w:rPr>
                <w:b/>
                <w:sz w:val="20"/>
              </w:rPr>
              <w:t>17</w:t>
            </w:r>
          </w:p>
        </w:tc>
        <w:tc>
          <w:tcPr>
            <w:tcW w:w="1133" w:type="dxa"/>
            <w:shd w:val="clear" w:color="auto" w:fill="F7C9AC"/>
          </w:tcPr>
          <w:p w:rsidR="007C5447" w:rsidRDefault="00F6308C">
            <w:pPr>
              <w:pStyle w:val="TableParagraph"/>
              <w:spacing w:before="86" w:line="229" w:lineRule="exact"/>
              <w:ind w:left="154" w:right="142"/>
              <w:jc w:val="center"/>
              <w:rPr>
                <w:b/>
                <w:sz w:val="20"/>
              </w:rPr>
            </w:pPr>
            <w:r>
              <w:rPr>
                <w:b/>
                <w:sz w:val="20"/>
              </w:rPr>
              <w:t>FY 2017-</w:t>
            </w:r>
          </w:p>
          <w:p w:rsidR="007C5447" w:rsidRDefault="00F6308C">
            <w:pPr>
              <w:pStyle w:val="TableParagraph"/>
              <w:spacing w:line="229" w:lineRule="exact"/>
              <w:ind w:left="153" w:right="143"/>
              <w:jc w:val="center"/>
              <w:rPr>
                <w:b/>
                <w:sz w:val="20"/>
              </w:rPr>
            </w:pPr>
            <w:r>
              <w:rPr>
                <w:b/>
                <w:sz w:val="20"/>
              </w:rPr>
              <w:t>18</w:t>
            </w:r>
          </w:p>
        </w:tc>
        <w:tc>
          <w:tcPr>
            <w:tcW w:w="1136" w:type="dxa"/>
            <w:shd w:val="clear" w:color="auto" w:fill="F7C9AC"/>
          </w:tcPr>
          <w:p w:rsidR="007C5447" w:rsidRDefault="00F6308C">
            <w:pPr>
              <w:pStyle w:val="TableParagraph"/>
              <w:spacing w:before="86" w:line="229" w:lineRule="exact"/>
              <w:ind w:left="154" w:right="145"/>
              <w:jc w:val="center"/>
              <w:rPr>
                <w:b/>
                <w:sz w:val="20"/>
              </w:rPr>
            </w:pPr>
            <w:r>
              <w:rPr>
                <w:b/>
                <w:sz w:val="20"/>
              </w:rPr>
              <w:t>FY 2018-</w:t>
            </w:r>
          </w:p>
          <w:p w:rsidR="007C5447" w:rsidRDefault="00F6308C">
            <w:pPr>
              <w:pStyle w:val="TableParagraph"/>
              <w:spacing w:line="229" w:lineRule="exact"/>
              <w:ind w:left="154" w:right="146"/>
              <w:jc w:val="center"/>
              <w:rPr>
                <w:b/>
                <w:sz w:val="20"/>
              </w:rPr>
            </w:pPr>
            <w:r>
              <w:rPr>
                <w:b/>
                <w:sz w:val="20"/>
              </w:rPr>
              <w:t>19</w:t>
            </w:r>
          </w:p>
        </w:tc>
        <w:tc>
          <w:tcPr>
            <w:tcW w:w="1133" w:type="dxa"/>
            <w:shd w:val="clear" w:color="auto" w:fill="F7C9AC"/>
          </w:tcPr>
          <w:p w:rsidR="007C5447" w:rsidRDefault="00F6308C">
            <w:pPr>
              <w:pStyle w:val="TableParagraph"/>
              <w:spacing w:before="86" w:line="229" w:lineRule="exact"/>
              <w:ind w:left="153" w:right="143"/>
              <w:jc w:val="center"/>
              <w:rPr>
                <w:b/>
                <w:sz w:val="20"/>
              </w:rPr>
            </w:pPr>
            <w:r>
              <w:rPr>
                <w:b/>
                <w:sz w:val="20"/>
              </w:rPr>
              <w:t>FY 2016-</w:t>
            </w:r>
          </w:p>
          <w:p w:rsidR="007C5447" w:rsidRDefault="00F6308C">
            <w:pPr>
              <w:pStyle w:val="TableParagraph"/>
              <w:spacing w:line="229" w:lineRule="exact"/>
              <w:ind w:left="152" w:right="143"/>
              <w:jc w:val="center"/>
              <w:rPr>
                <w:b/>
                <w:sz w:val="20"/>
              </w:rPr>
            </w:pPr>
            <w:r>
              <w:rPr>
                <w:b/>
                <w:sz w:val="20"/>
              </w:rPr>
              <w:t>17</w:t>
            </w:r>
          </w:p>
        </w:tc>
        <w:tc>
          <w:tcPr>
            <w:tcW w:w="1136" w:type="dxa"/>
            <w:shd w:val="clear" w:color="auto" w:fill="F7C9AC"/>
          </w:tcPr>
          <w:p w:rsidR="007C5447" w:rsidRDefault="00F6308C">
            <w:pPr>
              <w:pStyle w:val="TableParagraph"/>
              <w:spacing w:before="86" w:line="229" w:lineRule="exact"/>
              <w:ind w:left="154" w:right="146"/>
              <w:jc w:val="center"/>
              <w:rPr>
                <w:b/>
                <w:sz w:val="20"/>
              </w:rPr>
            </w:pPr>
            <w:r>
              <w:rPr>
                <w:b/>
                <w:sz w:val="20"/>
              </w:rPr>
              <w:t>FY 2017-</w:t>
            </w:r>
          </w:p>
          <w:p w:rsidR="007C5447" w:rsidRDefault="00F6308C">
            <w:pPr>
              <w:pStyle w:val="TableParagraph"/>
              <w:spacing w:line="229" w:lineRule="exact"/>
              <w:ind w:left="153" w:right="146"/>
              <w:jc w:val="center"/>
              <w:rPr>
                <w:b/>
                <w:sz w:val="20"/>
              </w:rPr>
            </w:pPr>
            <w:r>
              <w:rPr>
                <w:b/>
                <w:sz w:val="20"/>
              </w:rPr>
              <w:t>18</w:t>
            </w:r>
          </w:p>
        </w:tc>
        <w:tc>
          <w:tcPr>
            <w:tcW w:w="1133" w:type="dxa"/>
            <w:shd w:val="clear" w:color="auto" w:fill="F7C9AC"/>
          </w:tcPr>
          <w:p w:rsidR="007C5447" w:rsidRDefault="00F6308C">
            <w:pPr>
              <w:pStyle w:val="TableParagraph"/>
              <w:spacing w:before="86" w:line="229" w:lineRule="exact"/>
              <w:ind w:left="153" w:right="143"/>
              <w:jc w:val="center"/>
              <w:rPr>
                <w:b/>
                <w:sz w:val="20"/>
              </w:rPr>
            </w:pPr>
            <w:r>
              <w:rPr>
                <w:b/>
                <w:sz w:val="20"/>
              </w:rPr>
              <w:t>FY 2018-</w:t>
            </w:r>
          </w:p>
          <w:p w:rsidR="007C5447" w:rsidRDefault="00F6308C">
            <w:pPr>
              <w:pStyle w:val="TableParagraph"/>
              <w:spacing w:line="229" w:lineRule="exact"/>
              <w:ind w:left="151" w:right="143"/>
              <w:jc w:val="center"/>
              <w:rPr>
                <w:b/>
                <w:sz w:val="20"/>
              </w:rPr>
            </w:pPr>
            <w:r>
              <w:rPr>
                <w:b/>
                <w:sz w:val="20"/>
              </w:rPr>
              <w:t>19</w:t>
            </w:r>
          </w:p>
        </w:tc>
      </w:tr>
      <w:tr w:rsidR="007C5447">
        <w:trPr>
          <w:trHeight w:val="299"/>
        </w:trPr>
        <w:tc>
          <w:tcPr>
            <w:tcW w:w="881" w:type="dxa"/>
          </w:tcPr>
          <w:p w:rsidR="007C5447" w:rsidRDefault="00F6308C">
            <w:pPr>
              <w:pStyle w:val="TableParagraph"/>
              <w:spacing w:before="34"/>
              <w:ind w:right="380"/>
              <w:rPr>
                <w:sz w:val="20"/>
              </w:rPr>
            </w:pPr>
            <w:r>
              <w:rPr>
                <w:w w:val="99"/>
                <w:sz w:val="20"/>
              </w:rPr>
              <w:t>1</w:t>
            </w:r>
          </w:p>
        </w:tc>
        <w:tc>
          <w:tcPr>
            <w:tcW w:w="2098" w:type="dxa"/>
          </w:tcPr>
          <w:p w:rsidR="007C5447" w:rsidRDefault="00F6308C">
            <w:pPr>
              <w:pStyle w:val="TableParagraph"/>
              <w:spacing w:before="34"/>
              <w:ind w:left="107"/>
              <w:jc w:val="left"/>
              <w:rPr>
                <w:sz w:val="20"/>
              </w:rPr>
            </w:pPr>
            <w:r>
              <w:rPr>
                <w:sz w:val="20"/>
              </w:rPr>
              <w:t>Ennore TPS</w:t>
            </w:r>
          </w:p>
        </w:tc>
        <w:tc>
          <w:tcPr>
            <w:tcW w:w="1135" w:type="dxa"/>
          </w:tcPr>
          <w:p w:rsidR="007C5447" w:rsidRDefault="00F6308C">
            <w:pPr>
              <w:pStyle w:val="TableParagraph"/>
              <w:spacing w:before="34"/>
              <w:ind w:right="97"/>
              <w:rPr>
                <w:sz w:val="20"/>
              </w:rPr>
            </w:pPr>
            <w:r>
              <w:rPr>
                <w:w w:val="95"/>
                <w:sz w:val="20"/>
              </w:rPr>
              <w:t>166.55</w:t>
            </w:r>
          </w:p>
        </w:tc>
        <w:tc>
          <w:tcPr>
            <w:tcW w:w="1133" w:type="dxa"/>
          </w:tcPr>
          <w:p w:rsidR="007C5447" w:rsidRDefault="00F6308C">
            <w:pPr>
              <w:pStyle w:val="TableParagraph"/>
              <w:spacing w:before="34"/>
              <w:ind w:right="96"/>
              <w:rPr>
                <w:sz w:val="20"/>
              </w:rPr>
            </w:pPr>
            <w:r>
              <w:rPr>
                <w:w w:val="99"/>
                <w:sz w:val="20"/>
              </w:rPr>
              <w:t>-</w:t>
            </w:r>
          </w:p>
        </w:tc>
        <w:tc>
          <w:tcPr>
            <w:tcW w:w="1136" w:type="dxa"/>
          </w:tcPr>
          <w:p w:rsidR="007C5447" w:rsidRDefault="00F6308C">
            <w:pPr>
              <w:pStyle w:val="TableParagraph"/>
              <w:spacing w:before="34"/>
              <w:ind w:right="99"/>
              <w:rPr>
                <w:sz w:val="20"/>
              </w:rPr>
            </w:pPr>
            <w:r>
              <w:rPr>
                <w:w w:val="99"/>
                <w:sz w:val="20"/>
              </w:rPr>
              <w:t>-</w:t>
            </w:r>
          </w:p>
        </w:tc>
        <w:tc>
          <w:tcPr>
            <w:tcW w:w="1133" w:type="dxa"/>
          </w:tcPr>
          <w:p w:rsidR="007C5447" w:rsidRDefault="00F6308C">
            <w:pPr>
              <w:pStyle w:val="TableParagraph"/>
              <w:spacing w:before="34"/>
              <w:ind w:right="96"/>
              <w:rPr>
                <w:sz w:val="20"/>
              </w:rPr>
            </w:pPr>
            <w:r>
              <w:rPr>
                <w:sz w:val="20"/>
              </w:rPr>
              <w:t>98.27</w:t>
            </w:r>
          </w:p>
        </w:tc>
        <w:tc>
          <w:tcPr>
            <w:tcW w:w="1136" w:type="dxa"/>
          </w:tcPr>
          <w:p w:rsidR="007C5447" w:rsidRDefault="00F6308C">
            <w:pPr>
              <w:pStyle w:val="TableParagraph"/>
              <w:spacing w:before="34"/>
              <w:ind w:right="99"/>
              <w:rPr>
                <w:sz w:val="20"/>
              </w:rPr>
            </w:pPr>
            <w:r>
              <w:rPr>
                <w:w w:val="99"/>
                <w:sz w:val="20"/>
              </w:rPr>
              <w:t>-</w:t>
            </w:r>
          </w:p>
        </w:tc>
        <w:tc>
          <w:tcPr>
            <w:tcW w:w="1133" w:type="dxa"/>
          </w:tcPr>
          <w:p w:rsidR="007C5447" w:rsidRDefault="00F6308C">
            <w:pPr>
              <w:pStyle w:val="TableParagraph"/>
              <w:spacing w:before="34"/>
              <w:ind w:right="97"/>
              <w:rPr>
                <w:sz w:val="20"/>
              </w:rPr>
            </w:pPr>
            <w:r>
              <w:rPr>
                <w:w w:val="99"/>
                <w:sz w:val="20"/>
              </w:rPr>
              <w:t>-</w:t>
            </w:r>
          </w:p>
        </w:tc>
      </w:tr>
      <w:tr w:rsidR="007C5447">
        <w:trPr>
          <w:trHeight w:val="299"/>
        </w:trPr>
        <w:tc>
          <w:tcPr>
            <w:tcW w:w="881" w:type="dxa"/>
          </w:tcPr>
          <w:p w:rsidR="007C5447" w:rsidRDefault="00F6308C">
            <w:pPr>
              <w:pStyle w:val="TableParagraph"/>
              <w:spacing w:before="36"/>
              <w:ind w:right="380"/>
              <w:rPr>
                <w:sz w:val="20"/>
              </w:rPr>
            </w:pPr>
            <w:r>
              <w:rPr>
                <w:w w:val="99"/>
                <w:sz w:val="20"/>
              </w:rPr>
              <w:t>2</w:t>
            </w:r>
          </w:p>
        </w:tc>
        <w:tc>
          <w:tcPr>
            <w:tcW w:w="2098" w:type="dxa"/>
          </w:tcPr>
          <w:p w:rsidR="007C5447" w:rsidRDefault="00F6308C">
            <w:pPr>
              <w:pStyle w:val="TableParagraph"/>
              <w:spacing w:before="36"/>
              <w:ind w:left="107"/>
              <w:jc w:val="left"/>
              <w:rPr>
                <w:sz w:val="20"/>
              </w:rPr>
            </w:pPr>
            <w:r>
              <w:rPr>
                <w:sz w:val="20"/>
              </w:rPr>
              <w:t>Tuticorin TPS</w:t>
            </w:r>
          </w:p>
        </w:tc>
        <w:tc>
          <w:tcPr>
            <w:tcW w:w="1135" w:type="dxa"/>
          </w:tcPr>
          <w:p w:rsidR="007C5447" w:rsidRDefault="00F6308C">
            <w:pPr>
              <w:pStyle w:val="TableParagraph"/>
              <w:spacing w:before="36"/>
              <w:ind w:right="97"/>
              <w:rPr>
                <w:sz w:val="20"/>
              </w:rPr>
            </w:pPr>
            <w:r>
              <w:rPr>
                <w:w w:val="95"/>
                <w:sz w:val="20"/>
              </w:rPr>
              <w:t>130.91</w:t>
            </w:r>
          </w:p>
        </w:tc>
        <w:tc>
          <w:tcPr>
            <w:tcW w:w="1133" w:type="dxa"/>
          </w:tcPr>
          <w:p w:rsidR="007C5447" w:rsidRDefault="00F6308C">
            <w:pPr>
              <w:pStyle w:val="TableParagraph"/>
              <w:spacing w:before="36"/>
              <w:ind w:right="95"/>
              <w:rPr>
                <w:sz w:val="20"/>
              </w:rPr>
            </w:pPr>
            <w:r>
              <w:rPr>
                <w:w w:val="95"/>
                <w:sz w:val="20"/>
              </w:rPr>
              <w:t>151.67</w:t>
            </w:r>
          </w:p>
        </w:tc>
        <w:tc>
          <w:tcPr>
            <w:tcW w:w="1136" w:type="dxa"/>
          </w:tcPr>
          <w:p w:rsidR="007C5447" w:rsidRDefault="00F6308C">
            <w:pPr>
              <w:pStyle w:val="TableParagraph"/>
              <w:spacing w:before="36"/>
              <w:ind w:right="98"/>
              <w:rPr>
                <w:sz w:val="20"/>
              </w:rPr>
            </w:pPr>
            <w:r>
              <w:rPr>
                <w:w w:val="95"/>
                <w:sz w:val="20"/>
              </w:rPr>
              <w:t>164.61</w:t>
            </w:r>
          </w:p>
        </w:tc>
        <w:tc>
          <w:tcPr>
            <w:tcW w:w="1133" w:type="dxa"/>
          </w:tcPr>
          <w:p w:rsidR="007C5447" w:rsidRDefault="00F6308C">
            <w:pPr>
              <w:pStyle w:val="TableParagraph"/>
              <w:spacing w:before="36"/>
              <w:ind w:right="96"/>
              <w:rPr>
                <w:sz w:val="20"/>
              </w:rPr>
            </w:pPr>
            <w:r>
              <w:rPr>
                <w:w w:val="95"/>
                <w:sz w:val="20"/>
              </w:rPr>
              <w:t>110.32</w:t>
            </w:r>
          </w:p>
        </w:tc>
        <w:tc>
          <w:tcPr>
            <w:tcW w:w="1136" w:type="dxa"/>
          </w:tcPr>
          <w:p w:rsidR="007C5447" w:rsidRDefault="00F6308C">
            <w:pPr>
              <w:pStyle w:val="TableParagraph"/>
              <w:spacing w:before="36"/>
              <w:ind w:right="98"/>
              <w:rPr>
                <w:sz w:val="20"/>
              </w:rPr>
            </w:pPr>
            <w:r>
              <w:rPr>
                <w:w w:val="95"/>
                <w:sz w:val="20"/>
              </w:rPr>
              <w:t>110.61</w:t>
            </w:r>
          </w:p>
        </w:tc>
        <w:tc>
          <w:tcPr>
            <w:tcW w:w="1133" w:type="dxa"/>
          </w:tcPr>
          <w:p w:rsidR="007C5447" w:rsidRDefault="00F6308C">
            <w:pPr>
              <w:pStyle w:val="TableParagraph"/>
              <w:spacing w:before="36"/>
              <w:ind w:right="96"/>
              <w:rPr>
                <w:sz w:val="20"/>
              </w:rPr>
            </w:pPr>
            <w:r>
              <w:rPr>
                <w:w w:val="95"/>
                <w:sz w:val="20"/>
              </w:rPr>
              <w:t>121.94</w:t>
            </w:r>
          </w:p>
        </w:tc>
      </w:tr>
      <w:tr w:rsidR="007C5447">
        <w:trPr>
          <w:trHeight w:val="299"/>
        </w:trPr>
        <w:tc>
          <w:tcPr>
            <w:tcW w:w="881" w:type="dxa"/>
          </w:tcPr>
          <w:p w:rsidR="007C5447" w:rsidRDefault="00F6308C">
            <w:pPr>
              <w:pStyle w:val="TableParagraph"/>
              <w:spacing w:before="36"/>
              <w:ind w:right="380"/>
              <w:rPr>
                <w:sz w:val="20"/>
              </w:rPr>
            </w:pPr>
            <w:r>
              <w:rPr>
                <w:w w:val="99"/>
                <w:sz w:val="20"/>
              </w:rPr>
              <w:t>3</w:t>
            </w:r>
          </w:p>
        </w:tc>
        <w:tc>
          <w:tcPr>
            <w:tcW w:w="2098" w:type="dxa"/>
          </w:tcPr>
          <w:p w:rsidR="007C5447" w:rsidRDefault="00F6308C">
            <w:pPr>
              <w:pStyle w:val="TableParagraph"/>
              <w:spacing w:before="36"/>
              <w:ind w:left="107"/>
              <w:jc w:val="left"/>
              <w:rPr>
                <w:sz w:val="20"/>
              </w:rPr>
            </w:pPr>
            <w:r>
              <w:rPr>
                <w:sz w:val="20"/>
              </w:rPr>
              <w:t>Mettur TPS</w:t>
            </w:r>
          </w:p>
        </w:tc>
        <w:tc>
          <w:tcPr>
            <w:tcW w:w="1135" w:type="dxa"/>
          </w:tcPr>
          <w:p w:rsidR="007C5447" w:rsidRDefault="00F6308C">
            <w:pPr>
              <w:pStyle w:val="TableParagraph"/>
              <w:spacing w:before="36"/>
              <w:ind w:right="97"/>
              <w:rPr>
                <w:sz w:val="20"/>
              </w:rPr>
            </w:pPr>
            <w:r>
              <w:rPr>
                <w:sz w:val="20"/>
              </w:rPr>
              <w:t>83.98</w:t>
            </w:r>
          </w:p>
        </w:tc>
        <w:tc>
          <w:tcPr>
            <w:tcW w:w="1133" w:type="dxa"/>
          </w:tcPr>
          <w:p w:rsidR="007C5447" w:rsidRDefault="00F6308C">
            <w:pPr>
              <w:pStyle w:val="TableParagraph"/>
              <w:spacing w:before="36"/>
              <w:ind w:right="95"/>
              <w:rPr>
                <w:sz w:val="20"/>
              </w:rPr>
            </w:pPr>
            <w:r>
              <w:rPr>
                <w:sz w:val="20"/>
              </w:rPr>
              <w:t>95.46</w:t>
            </w:r>
          </w:p>
        </w:tc>
        <w:tc>
          <w:tcPr>
            <w:tcW w:w="1136" w:type="dxa"/>
          </w:tcPr>
          <w:p w:rsidR="007C5447" w:rsidRDefault="00F6308C">
            <w:pPr>
              <w:pStyle w:val="TableParagraph"/>
              <w:spacing w:before="36"/>
              <w:ind w:right="98"/>
              <w:rPr>
                <w:sz w:val="20"/>
              </w:rPr>
            </w:pPr>
            <w:r>
              <w:rPr>
                <w:w w:val="95"/>
                <w:sz w:val="20"/>
              </w:rPr>
              <w:t>102.21</w:t>
            </w:r>
          </w:p>
        </w:tc>
        <w:tc>
          <w:tcPr>
            <w:tcW w:w="1133" w:type="dxa"/>
          </w:tcPr>
          <w:p w:rsidR="007C5447" w:rsidRDefault="00F6308C">
            <w:pPr>
              <w:pStyle w:val="TableParagraph"/>
              <w:spacing w:before="36"/>
              <w:ind w:right="96"/>
              <w:rPr>
                <w:sz w:val="20"/>
              </w:rPr>
            </w:pPr>
            <w:r>
              <w:rPr>
                <w:sz w:val="20"/>
              </w:rPr>
              <w:t>72.14</w:t>
            </w:r>
          </w:p>
        </w:tc>
        <w:tc>
          <w:tcPr>
            <w:tcW w:w="1136" w:type="dxa"/>
          </w:tcPr>
          <w:p w:rsidR="007C5447" w:rsidRDefault="00F6308C">
            <w:pPr>
              <w:pStyle w:val="TableParagraph"/>
              <w:spacing w:before="36"/>
              <w:ind w:right="98"/>
              <w:rPr>
                <w:sz w:val="20"/>
              </w:rPr>
            </w:pPr>
            <w:r>
              <w:rPr>
                <w:sz w:val="20"/>
              </w:rPr>
              <w:t>72.27</w:t>
            </w:r>
          </w:p>
        </w:tc>
        <w:tc>
          <w:tcPr>
            <w:tcW w:w="1133" w:type="dxa"/>
          </w:tcPr>
          <w:p w:rsidR="007C5447" w:rsidRDefault="00F6308C">
            <w:pPr>
              <w:pStyle w:val="TableParagraph"/>
              <w:spacing w:before="36"/>
              <w:ind w:right="96"/>
              <w:rPr>
                <w:sz w:val="20"/>
              </w:rPr>
            </w:pPr>
            <w:r>
              <w:rPr>
                <w:sz w:val="20"/>
              </w:rPr>
              <w:t>76.93</w:t>
            </w:r>
          </w:p>
        </w:tc>
      </w:tr>
      <w:tr w:rsidR="007C5447">
        <w:trPr>
          <w:trHeight w:val="302"/>
        </w:trPr>
        <w:tc>
          <w:tcPr>
            <w:tcW w:w="881" w:type="dxa"/>
          </w:tcPr>
          <w:p w:rsidR="007C5447" w:rsidRDefault="00F6308C">
            <w:pPr>
              <w:pStyle w:val="TableParagraph"/>
              <w:spacing w:before="36"/>
              <w:ind w:right="380"/>
              <w:rPr>
                <w:sz w:val="20"/>
              </w:rPr>
            </w:pPr>
            <w:r>
              <w:rPr>
                <w:w w:val="99"/>
                <w:sz w:val="20"/>
              </w:rPr>
              <w:t>4</w:t>
            </w:r>
          </w:p>
        </w:tc>
        <w:tc>
          <w:tcPr>
            <w:tcW w:w="2098" w:type="dxa"/>
          </w:tcPr>
          <w:p w:rsidR="007C5447" w:rsidRDefault="00F6308C">
            <w:pPr>
              <w:pStyle w:val="TableParagraph"/>
              <w:spacing w:before="36"/>
              <w:ind w:left="107"/>
              <w:jc w:val="left"/>
              <w:rPr>
                <w:sz w:val="20"/>
              </w:rPr>
            </w:pPr>
            <w:r>
              <w:rPr>
                <w:sz w:val="20"/>
              </w:rPr>
              <w:t>North Chennai TPS</w:t>
            </w:r>
          </w:p>
        </w:tc>
        <w:tc>
          <w:tcPr>
            <w:tcW w:w="1135" w:type="dxa"/>
          </w:tcPr>
          <w:p w:rsidR="007C5447" w:rsidRDefault="00F6308C">
            <w:pPr>
              <w:pStyle w:val="TableParagraph"/>
              <w:spacing w:before="36"/>
              <w:ind w:right="97"/>
              <w:rPr>
                <w:sz w:val="20"/>
              </w:rPr>
            </w:pPr>
            <w:r>
              <w:rPr>
                <w:w w:val="95"/>
                <w:sz w:val="20"/>
              </w:rPr>
              <w:t>156.55</w:t>
            </w:r>
          </w:p>
        </w:tc>
        <w:tc>
          <w:tcPr>
            <w:tcW w:w="1133" w:type="dxa"/>
          </w:tcPr>
          <w:p w:rsidR="007C5447" w:rsidRDefault="00F6308C">
            <w:pPr>
              <w:pStyle w:val="TableParagraph"/>
              <w:spacing w:before="36"/>
              <w:ind w:right="95"/>
              <w:rPr>
                <w:sz w:val="20"/>
              </w:rPr>
            </w:pPr>
            <w:r>
              <w:rPr>
                <w:w w:val="95"/>
                <w:sz w:val="20"/>
              </w:rPr>
              <w:t>182.07</w:t>
            </w:r>
          </w:p>
        </w:tc>
        <w:tc>
          <w:tcPr>
            <w:tcW w:w="1136" w:type="dxa"/>
          </w:tcPr>
          <w:p w:rsidR="007C5447" w:rsidRDefault="00F6308C">
            <w:pPr>
              <w:pStyle w:val="TableParagraph"/>
              <w:spacing w:before="36"/>
              <w:ind w:right="98"/>
              <w:rPr>
                <w:sz w:val="20"/>
              </w:rPr>
            </w:pPr>
            <w:r>
              <w:rPr>
                <w:w w:val="95"/>
                <w:sz w:val="20"/>
              </w:rPr>
              <w:t>195.84</w:t>
            </w:r>
          </w:p>
        </w:tc>
        <w:tc>
          <w:tcPr>
            <w:tcW w:w="1133" w:type="dxa"/>
          </w:tcPr>
          <w:p w:rsidR="007C5447" w:rsidRDefault="00F6308C">
            <w:pPr>
              <w:pStyle w:val="TableParagraph"/>
              <w:spacing w:before="36"/>
              <w:ind w:right="96"/>
              <w:rPr>
                <w:sz w:val="20"/>
              </w:rPr>
            </w:pPr>
            <w:r>
              <w:rPr>
                <w:w w:val="95"/>
                <w:sz w:val="20"/>
              </w:rPr>
              <w:t>112.71</w:t>
            </w:r>
          </w:p>
        </w:tc>
        <w:tc>
          <w:tcPr>
            <w:tcW w:w="1136" w:type="dxa"/>
          </w:tcPr>
          <w:p w:rsidR="007C5447" w:rsidRDefault="00F6308C">
            <w:pPr>
              <w:pStyle w:val="TableParagraph"/>
              <w:spacing w:before="36"/>
              <w:ind w:right="98"/>
              <w:rPr>
                <w:sz w:val="20"/>
              </w:rPr>
            </w:pPr>
            <w:r>
              <w:rPr>
                <w:w w:val="95"/>
                <w:sz w:val="20"/>
              </w:rPr>
              <w:t>118.41</w:t>
            </w:r>
          </w:p>
        </w:tc>
        <w:tc>
          <w:tcPr>
            <w:tcW w:w="1133" w:type="dxa"/>
          </w:tcPr>
          <w:p w:rsidR="007C5447" w:rsidRDefault="00F6308C">
            <w:pPr>
              <w:pStyle w:val="TableParagraph"/>
              <w:spacing w:before="36"/>
              <w:ind w:right="96"/>
              <w:rPr>
                <w:sz w:val="20"/>
              </w:rPr>
            </w:pPr>
            <w:r>
              <w:rPr>
                <w:w w:val="95"/>
                <w:sz w:val="20"/>
              </w:rPr>
              <w:t>126.91</w:t>
            </w:r>
          </w:p>
        </w:tc>
      </w:tr>
      <w:tr w:rsidR="007C5447">
        <w:trPr>
          <w:trHeight w:val="299"/>
        </w:trPr>
        <w:tc>
          <w:tcPr>
            <w:tcW w:w="881" w:type="dxa"/>
          </w:tcPr>
          <w:p w:rsidR="007C5447" w:rsidRDefault="00F6308C">
            <w:pPr>
              <w:pStyle w:val="TableParagraph"/>
              <w:spacing w:before="34"/>
              <w:ind w:right="380"/>
              <w:rPr>
                <w:sz w:val="20"/>
              </w:rPr>
            </w:pPr>
            <w:r>
              <w:rPr>
                <w:w w:val="99"/>
                <w:sz w:val="20"/>
              </w:rPr>
              <w:t>5</w:t>
            </w:r>
          </w:p>
        </w:tc>
        <w:tc>
          <w:tcPr>
            <w:tcW w:w="2098" w:type="dxa"/>
          </w:tcPr>
          <w:p w:rsidR="007C5447" w:rsidRDefault="00F6308C">
            <w:pPr>
              <w:pStyle w:val="TableParagraph"/>
              <w:spacing w:before="34"/>
              <w:ind w:left="107"/>
              <w:jc w:val="left"/>
              <w:rPr>
                <w:sz w:val="20"/>
              </w:rPr>
            </w:pPr>
            <w:r>
              <w:rPr>
                <w:sz w:val="20"/>
              </w:rPr>
              <w:t>Mettur TPS Stage III</w:t>
            </w:r>
          </w:p>
        </w:tc>
        <w:tc>
          <w:tcPr>
            <w:tcW w:w="1135" w:type="dxa"/>
          </w:tcPr>
          <w:p w:rsidR="007C5447" w:rsidRDefault="00F6308C">
            <w:pPr>
              <w:pStyle w:val="TableParagraph"/>
              <w:spacing w:before="34"/>
              <w:ind w:right="97"/>
              <w:rPr>
                <w:sz w:val="20"/>
              </w:rPr>
            </w:pPr>
            <w:r>
              <w:rPr>
                <w:w w:val="95"/>
                <w:sz w:val="20"/>
              </w:rPr>
              <w:t>192.93</w:t>
            </w:r>
          </w:p>
        </w:tc>
        <w:tc>
          <w:tcPr>
            <w:tcW w:w="1133" w:type="dxa"/>
          </w:tcPr>
          <w:p w:rsidR="007C5447" w:rsidRDefault="00F6308C">
            <w:pPr>
              <w:pStyle w:val="TableParagraph"/>
              <w:spacing w:before="34"/>
              <w:ind w:right="95"/>
              <w:rPr>
                <w:sz w:val="20"/>
              </w:rPr>
            </w:pPr>
            <w:r>
              <w:rPr>
                <w:w w:val="95"/>
                <w:sz w:val="20"/>
              </w:rPr>
              <w:t>193.90</w:t>
            </w:r>
          </w:p>
        </w:tc>
        <w:tc>
          <w:tcPr>
            <w:tcW w:w="1136" w:type="dxa"/>
          </w:tcPr>
          <w:p w:rsidR="007C5447" w:rsidRDefault="00F6308C">
            <w:pPr>
              <w:pStyle w:val="TableParagraph"/>
              <w:spacing w:before="34"/>
              <w:ind w:right="98"/>
              <w:rPr>
                <w:sz w:val="20"/>
              </w:rPr>
            </w:pPr>
            <w:r>
              <w:rPr>
                <w:w w:val="95"/>
                <w:sz w:val="20"/>
              </w:rPr>
              <w:t>197.85</w:t>
            </w:r>
          </w:p>
        </w:tc>
        <w:tc>
          <w:tcPr>
            <w:tcW w:w="1133" w:type="dxa"/>
          </w:tcPr>
          <w:p w:rsidR="007C5447" w:rsidRDefault="00F6308C">
            <w:pPr>
              <w:pStyle w:val="TableParagraph"/>
              <w:spacing w:before="34"/>
              <w:ind w:right="96"/>
              <w:rPr>
                <w:sz w:val="20"/>
              </w:rPr>
            </w:pPr>
            <w:r>
              <w:rPr>
                <w:w w:val="95"/>
                <w:sz w:val="20"/>
              </w:rPr>
              <w:t>160.62</w:t>
            </w:r>
          </w:p>
        </w:tc>
        <w:tc>
          <w:tcPr>
            <w:tcW w:w="1136" w:type="dxa"/>
          </w:tcPr>
          <w:p w:rsidR="007C5447" w:rsidRDefault="00F6308C">
            <w:pPr>
              <w:pStyle w:val="TableParagraph"/>
              <w:spacing w:before="34"/>
              <w:ind w:right="98"/>
              <w:rPr>
                <w:sz w:val="20"/>
              </w:rPr>
            </w:pPr>
            <w:r>
              <w:rPr>
                <w:w w:val="95"/>
                <w:sz w:val="20"/>
              </w:rPr>
              <w:t>160.97</w:t>
            </w:r>
          </w:p>
        </w:tc>
        <w:tc>
          <w:tcPr>
            <w:tcW w:w="1133" w:type="dxa"/>
          </w:tcPr>
          <w:p w:rsidR="007C5447" w:rsidRDefault="00F6308C">
            <w:pPr>
              <w:pStyle w:val="TableParagraph"/>
              <w:spacing w:before="34"/>
              <w:ind w:right="96"/>
              <w:rPr>
                <w:sz w:val="20"/>
              </w:rPr>
            </w:pPr>
            <w:r>
              <w:rPr>
                <w:w w:val="95"/>
                <w:sz w:val="20"/>
              </w:rPr>
              <w:t>162.32</w:t>
            </w:r>
          </w:p>
        </w:tc>
      </w:tr>
      <w:tr w:rsidR="007C5447">
        <w:trPr>
          <w:trHeight w:val="299"/>
        </w:trPr>
        <w:tc>
          <w:tcPr>
            <w:tcW w:w="881" w:type="dxa"/>
          </w:tcPr>
          <w:p w:rsidR="007C5447" w:rsidRDefault="00F6308C">
            <w:pPr>
              <w:pStyle w:val="TableParagraph"/>
              <w:spacing w:before="34"/>
              <w:ind w:right="380"/>
              <w:rPr>
                <w:sz w:val="20"/>
              </w:rPr>
            </w:pPr>
            <w:r>
              <w:rPr>
                <w:w w:val="99"/>
                <w:sz w:val="20"/>
              </w:rPr>
              <w:t>6</w:t>
            </w:r>
          </w:p>
        </w:tc>
        <w:tc>
          <w:tcPr>
            <w:tcW w:w="2098" w:type="dxa"/>
          </w:tcPr>
          <w:p w:rsidR="007C5447" w:rsidRDefault="00F6308C">
            <w:pPr>
              <w:pStyle w:val="TableParagraph"/>
              <w:spacing w:before="34"/>
              <w:ind w:left="107"/>
              <w:jc w:val="left"/>
              <w:rPr>
                <w:sz w:val="20"/>
              </w:rPr>
            </w:pPr>
            <w:r>
              <w:rPr>
                <w:sz w:val="20"/>
              </w:rPr>
              <w:t>North Chennai TPS II</w:t>
            </w:r>
          </w:p>
        </w:tc>
        <w:tc>
          <w:tcPr>
            <w:tcW w:w="1135" w:type="dxa"/>
          </w:tcPr>
          <w:p w:rsidR="007C5447" w:rsidRDefault="00F6308C">
            <w:pPr>
              <w:pStyle w:val="TableParagraph"/>
              <w:spacing w:before="34"/>
              <w:ind w:right="97"/>
              <w:rPr>
                <w:sz w:val="20"/>
              </w:rPr>
            </w:pPr>
            <w:r>
              <w:rPr>
                <w:w w:val="95"/>
                <w:sz w:val="20"/>
              </w:rPr>
              <w:t>403.51</w:t>
            </w:r>
          </w:p>
        </w:tc>
        <w:tc>
          <w:tcPr>
            <w:tcW w:w="1133" w:type="dxa"/>
          </w:tcPr>
          <w:p w:rsidR="007C5447" w:rsidRDefault="00F6308C">
            <w:pPr>
              <w:pStyle w:val="TableParagraph"/>
              <w:spacing w:before="34"/>
              <w:ind w:right="95"/>
              <w:rPr>
                <w:sz w:val="20"/>
              </w:rPr>
            </w:pPr>
            <w:r>
              <w:rPr>
                <w:w w:val="95"/>
                <w:sz w:val="20"/>
              </w:rPr>
              <w:t>403.92</w:t>
            </w:r>
          </w:p>
        </w:tc>
        <w:tc>
          <w:tcPr>
            <w:tcW w:w="1136" w:type="dxa"/>
          </w:tcPr>
          <w:p w:rsidR="007C5447" w:rsidRDefault="00F6308C">
            <w:pPr>
              <w:pStyle w:val="TableParagraph"/>
              <w:spacing w:before="34"/>
              <w:ind w:right="98"/>
              <w:rPr>
                <w:sz w:val="20"/>
              </w:rPr>
            </w:pPr>
            <w:r>
              <w:rPr>
                <w:w w:val="95"/>
                <w:sz w:val="20"/>
              </w:rPr>
              <w:t>404.94</w:t>
            </w:r>
          </w:p>
        </w:tc>
        <w:tc>
          <w:tcPr>
            <w:tcW w:w="1133" w:type="dxa"/>
          </w:tcPr>
          <w:p w:rsidR="007C5447" w:rsidRDefault="00F6308C">
            <w:pPr>
              <w:pStyle w:val="TableParagraph"/>
              <w:spacing w:before="34"/>
              <w:ind w:right="96"/>
              <w:rPr>
                <w:sz w:val="20"/>
              </w:rPr>
            </w:pPr>
            <w:r>
              <w:rPr>
                <w:w w:val="95"/>
                <w:sz w:val="20"/>
              </w:rPr>
              <w:t>289.46</w:t>
            </w:r>
          </w:p>
        </w:tc>
        <w:tc>
          <w:tcPr>
            <w:tcW w:w="1136" w:type="dxa"/>
          </w:tcPr>
          <w:p w:rsidR="007C5447" w:rsidRDefault="00F6308C">
            <w:pPr>
              <w:pStyle w:val="TableParagraph"/>
              <w:spacing w:before="34"/>
              <w:ind w:right="98"/>
              <w:rPr>
                <w:sz w:val="20"/>
              </w:rPr>
            </w:pPr>
            <w:r>
              <w:rPr>
                <w:w w:val="95"/>
                <w:sz w:val="20"/>
              </w:rPr>
              <w:t>289.71</w:t>
            </w:r>
          </w:p>
        </w:tc>
        <w:tc>
          <w:tcPr>
            <w:tcW w:w="1133" w:type="dxa"/>
          </w:tcPr>
          <w:p w:rsidR="007C5447" w:rsidRDefault="00F6308C">
            <w:pPr>
              <w:pStyle w:val="TableParagraph"/>
              <w:spacing w:before="34"/>
              <w:ind w:right="96"/>
              <w:rPr>
                <w:sz w:val="20"/>
              </w:rPr>
            </w:pPr>
            <w:r>
              <w:rPr>
                <w:w w:val="95"/>
                <w:sz w:val="20"/>
              </w:rPr>
              <w:t>289.75</w:t>
            </w:r>
          </w:p>
        </w:tc>
      </w:tr>
      <w:tr w:rsidR="007C5447">
        <w:trPr>
          <w:trHeight w:val="299"/>
        </w:trPr>
        <w:tc>
          <w:tcPr>
            <w:tcW w:w="881" w:type="dxa"/>
          </w:tcPr>
          <w:p w:rsidR="007C5447" w:rsidRDefault="00F6308C">
            <w:pPr>
              <w:pStyle w:val="TableParagraph"/>
              <w:spacing w:before="34"/>
              <w:ind w:right="380"/>
              <w:rPr>
                <w:sz w:val="20"/>
              </w:rPr>
            </w:pPr>
            <w:r>
              <w:rPr>
                <w:w w:val="99"/>
                <w:sz w:val="20"/>
              </w:rPr>
              <w:t>7</w:t>
            </w:r>
          </w:p>
        </w:tc>
        <w:tc>
          <w:tcPr>
            <w:tcW w:w="2098" w:type="dxa"/>
          </w:tcPr>
          <w:p w:rsidR="007C5447" w:rsidRDefault="00F6308C">
            <w:pPr>
              <w:pStyle w:val="TableParagraph"/>
              <w:spacing w:before="34"/>
              <w:ind w:left="107"/>
              <w:jc w:val="left"/>
              <w:rPr>
                <w:sz w:val="20"/>
              </w:rPr>
            </w:pPr>
            <w:r>
              <w:rPr>
                <w:sz w:val="20"/>
              </w:rPr>
              <w:t>Ennore Expansion</w:t>
            </w:r>
          </w:p>
        </w:tc>
        <w:tc>
          <w:tcPr>
            <w:tcW w:w="1135" w:type="dxa"/>
          </w:tcPr>
          <w:p w:rsidR="007C5447" w:rsidRDefault="00F6308C">
            <w:pPr>
              <w:pStyle w:val="TableParagraph"/>
              <w:spacing w:before="34"/>
              <w:ind w:right="98"/>
              <w:rPr>
                <w:sz w:val="20"/>
              </w:rPr>
            </w:pPr>
            <w:r>
              <w:rPr>
                <w:w w:val="99"/>
                <w:sz w:val="20"/>
              </w:rPr>
              <w:t>-</w:t>
            </w:r>
          </w:p>
        </w:tc>
        <w:tc>
          <w:tcPr>
            <w:tcW w:w="1133" w:type="dxa"/>
          </w:tcPr>
          <w:p w:rsidR="007C5447" w:rsidRDefault="00F6308C">
            <w:pPr>
              <w:pStyle w:val="TableParagraph"/>
              <w:spacing w:before="34"/>
              <w:ind w:right="96"/>
              <w:rPr>
                <w:sz w:val="20"/>
              </w:rPr>
            </w:pPr>
            <w:r>
              <w:rPr>
                <w:w w:val="99"/>
                <w:sz w:val="20"/>
              </w:rPr>
              <w:t>-</w:t>
            </w:r>
          </w:p>
        </w:tc>
        <w:tc>
          <w:tcPr>
            <w:tcW w:w="1136" w:type="dxa"/>
          </w:tcPr>
          <w:p w:rsidR="007C5447" w:rsidRDefault="00F6308C">
            <w:pPr>
              <w:pStyle w:val="TableParagraph"/>
              <w:spacing w:before="34"/>
              <w:ind w:right="99"/>
              <w:rPr>
                <w:sz w:val="20"/>
              </w:rPr>
            </w:pPr>
            <w:r>
              <w:rPr>
                <w:w w:val="99"/>
                <w:sz w:val="20"/>
              </w:rPr>
              <w:t>-</w:t>
            </w:r>
          </w:p>
        </w:tc>
        <w:tc>
          <w:tcPr>
            <w:tcW w:w="1133" w:type="dxa"/>
          </w:tcPr>
          <w:p w:rsidR="007C5447" w:rsidRDefault="00F6308C">
            <w:pPr>
              <w:pStyle w:val="TableParagraph"/>
              <w:spacing w:before="34"/>
              <w:ind w:right="97"/>
              <w:rPr>
                <w:sz w:val="20"/>
              </w:rPr>
            </w:pPr>
            <w:r>
              <w:rPr>
                <w:w w:val="99"/>
                <w:sz w:val="20"/>
              </w:rPr>
              <w:t>-</w:t>
            </w:r>
          </w:p>
        </w:tc>
        <w:tc>
          <w:tcPr>
            <w:tcW w:w="1136" w:type="dxa"/>
          </w:tcPr>
          <w:p w:rsidR="007C5447" w:rsidRDefault="00F6308C">
            <w:pPr>
              <w:pStyle w:val="TableParagraph"/>
              <w:spacing w:before="34"/>
              <w:ind w:right="99"/>
              <w:rPr>
                <w:sz w:val="20"/>
              </w:rPr>
            </w:pPr>
            <w:r>
              <w:rPr>
                <w:w w:val="99"/>
                <w:sz w:val="20"/>
              </w:rPr>
              <w:t>-</w:t>
            </w:r>
          </w:p>
        </w:tc>
        <w:tc>
          <w:tcPr>
            <w:tcW w:w="1133" w:type="dxa"/>
          </w:tcPr>
          <w:p w:rsidR="007C5447" w:rsidRDefault="00F6308C">
            <w:pPr>
              <w:pStyle w:val="TableParagraph"/>
              <w:spacing w:before="34"/>
              <w:ind w:right="97"/>
              <w:rPr>
                <w:sz w:val="20"/>
              </w:rPr>
            </w:pPr>
            <w:r>
              <w:rPr>
                <w:w w:val="99"/>
                <w:sz w:val="20"/>
              </w:rPr>
              <w:t>-</w:t>
            </w:r>
          </w:p>
        </w:tc>
      </w:tr>
      <w:tr w:rsidR="007C5447">
        <w:trPr>
          <w:trHeight w:val="328"/>
        </w:trPr>
        <w:tc>
          <w:tcPr>
            <w:tcW w:w="881" w:type="dxa"/>
          </w:tcPr>
          <w:p w:rsidR="007C5447" w:rsidRDefault="00F6308C">
            <w:pPr>
              <w:pStyle w:val="TableParagraph"/>
              <w:spacing w:before="50"/>
              <w:ind w:right="380"/>
              <w:rPr>
                <w:sz w:val="20"/>
              </w:rPr>
            </w:pPr>
            <w:r>
              <w:rPr>
                <w:w w:val="99"/>
                <w:sz w:val="20"/>
              </w:rPr>
              <w:t>8</w:t>
            </w:r>
          </w:p>
        </w:tc>
        <w:tc>
          <w:tcPr>
            <w:tcW w:w="2098" w:type="dxa"/>
          </w:tcPr>
          <w:p w:rsidR="007C5447" w:rsidRDefault="00F6308C">
            <w:pPr>
              <w:pStyle w:val="TableParagraph"/>
              <w:spacing w:before="50"/>
              <w:ind w:left="107"/>
              <w:jc w:val="left"/>
              <w:rPr>
                <w:sz w:val="20"/>
              </w:rPr>
            </w:pPr>
            <w:r>
              <w:rPr>
                <w:sz w:val="20"/>
              </w:rPr>
              <w:t>Tirumakottai GTPS</w:t>
            </w:r>
          </w:p>
        </w:tc>
        <w:tc>
          <w:tcPr>
            <w:tcW w:w="1135" w:type="dxa"/>
          </w:tcPr>
          <w:p w:rsidR="007C5447" w:rsidRDefault="00F6308C">
            <w:pPr>
              <w:pStyle w:val="TableParagraph"/>
              <w:spacing w:before="50"/>
              <w:ind w:right="97"/>
              <w:rPr>
                <w:sz w:val="20"/>
              </w:rPr>
            </w:pPr>
            <w:r>
              <w:rPr>
                <w:sz w:val="20"/>
              </w:rPr>
              <w:t>35.46</w:t>
            </w:r>
          </w:p>
        </w:tc>
        <w:tc>
          <w:tcPr>
            <w:tcW w:w="1133" w:type="dxa"/>
          </w:tcPr>
          <w:p w:rsidR="007C5447" w:rsidRDefault="00F6308C">
            <w:pPr>
              <w:pStyle w:val="TableParagraph"/>
              <w:spacing w:before="50"/>
              <w:ind w:right="95"/>
              <w:rPr>
                <w:sz w:val="20"/>
              </w:rPr>
            </w:pPr>
            <w:r>
              <w:rPr>
                <w:sz w:val="20"/>
              </w:rPr>
              <w:t>36.38</w:t>
            </w:r>
          </w:p>
        </w:tc>
        <w:tc>
          <w:tcPr>
            <w:tcW w:w="1136" w:type="dxa"/>
          </w:tcPr>
          <w:p w:rsidR="007C5447" w:rsidRDefault="00F6308C">
            <w:pPr>
              <w:pStyle w:val="TableParagraph"/>
              <w:spacing w:before="50"/>
              <w:ind w:right="98"/>
              <w:rPr>
                <w:sz w:val="20"/>
              </w:rPr>
            </w:pPr>
            <w:r>
              <w:rPr>
                <w:sz w:val="20"/>
              </w:rPr>
              <w:t>42.09</w:t>
            </w:r>
          </w:p>
        </w:tc>
        <w:tc>
          <w:tcPr>
            <w:tcW w:w="1133" w:type="dxa"/>
          </w:tcPr>
          <w:p w:rsidR="007C5447" w:rsidRDefault="00F6308C">
            <w:pPr>
              <w:pStyle w:val="TableParagraph"/>
              <w:spacing w:before="50"/>
              <w:ind w:right="96"/>
              <w:rPr>
                <w:sz w:val="20"/>
              </w:rPr>
            </w:pPr>
            <w:r>
              <w:rPr>
                <w:sz w:val="20"/>
              </w:rPr>
              <w:t>40.80</w:t>
            </w:r>
          </w:p>
        </w:tc>
        <w:tc>
          <w:tcPr>
            <w:tcW w:w="1136" w:type="dxa"/>
          </w:tcPr>
          <w:p w:rsidR="007C5447" w:rsidRDefault="00F6308C">
            <w:pPr>
              <w:pStyle w:val="TableParagraph"/>
              <w:spacing w:before="14"/>
              <w:ind w:right="98"/>
              <w:rPr>
                <w:sz w:val="20"/>
              </w:rPr>
            </w:pPr>
            <w:r>
              <w:rPr>
                <w:sz w:val="20"/>
              </w:rPr>
              <w:t>40.80</w:t>
            </w:r>
          </w:p>
        </w:tc>
        <w:tc>
          <w:tcPr>
            <w:tcW w:w="1133" w:type="dxa"/>
          </w:tcPr>
          <w:p w:rsidR="007C5447" w:rsidRDefault="00F6308C">
            <w:pPr>
              <w:pStyle w:val="TableParagraph"/>
              <w:spacing w:before="14"/>
              <w:ind w:right="96"/>
              <w:rPr>
                <w:sz w:val="20"/>
              </w:rPr>
            </w:pPr>
            <w:r>
              <w:rPr>
                <w:sz w:val="20"/>
              </w:rPr>
              <w:t>46.05</w:t>
            </w:r>
          </w:p>
        </w:tc>
      </w:tr>
      <w:tr w:rsidR="007C5447">
        <w:trPr>
          <w:trHeight w:val="299"/>
        </w:trPr>
        <w:tc>
          <w:tcPr>
            <w:tcW w:w="881" w:type="dxa"/>
          </w:tcPr>
          <w:p w:rsidR="007C5447" w:rsidRDefault="00F6308C">
            <w:pPr>
              <w:pStyle w:val="TableParagraph"/>
              <w:spacing w:before="36"/>
              <w:ind w:right="380"/>
              <w:rPr>
                <w:sz w:val="20"/>
              </w:rPr>
            </w:pPr>
            <w:r>
              <w:rPr>
                <w:w w:val="99"/>
                <w:sz w:val="20"/>
              </w:rPr>
              <w:t>9</w:t>
            </w:r>
          </w:p>
        </w:tc>
        <w:tc>
          <w:tcPr>
            <w:tcW w:w="2098" w:type="dxa"/>
          </w:tcPr>
          <w:p w:rsidR="007C5447" w:rsidRDefault="00F6308C">
            <w:pPr>
              <w:pStyle w:val="TableParagraph"/>
              <w:spacing w:before="36"/>
              <w:ind w:left="107"/>
              <w:jc w:val="left"/>
              <w:rPr>
                <w:sz w:val="20"/>
              </w:rPr>
            </w:pPr>
            <w:r>
              <w:rPr>
                <w:sz w:val="20"/>
              </w:rPr>
              <w:t>Kuttalam GTPS</w:t>
            </w:r>
          </w:p>
        </w:tc>
        <w:tc>
          <w:tcPr>
            <w:tcW w:w="1135" w:type="dxa"/>
          </w:tcPr>
          <w:p w:rsidR="007C5447" w:rsidRDefault="00F6308C">
            <w:pPr>
              <w:pStyle w:val="TableParagraph"/>
              <w:spacing w:before="36"/>
              <w:ind w:right="97"/>
              <w:rPr>
                <w:sz w:val="20"/>
              </w:rPr>
            </w:pPr>
            <w:r>
              <w:rPr>
                <w:sz w:val="20"/>
              </w:rPr>
              <w:t>32.18</w:t>
            </w:r>
          </w:p>
        </w:tc>
        <w:tc>
          <w:tcPr>
            <w:tcW w:w="1133" w:type="dxa"/>
          </w:tcPr>
          <w:p w:rsidR="007C5447" w:rsidRDefault="00F6308C">
            <w:pPr>
              <w:pStyle w:val="TableParagraph"/>
              <w:spacing w:before="36"/>
              <w:ind w:right="95"/>
              <w:rPr>
                <w:sz w:val="20"/>
              </w:rPr>
            </w:pPr>
            <w:r>
              <w:rPr>
                <w:sz w:val="20"/>
              </w:rPr>
              <w:t>33.25</w:t>
            </w:r>
          </w:p>
        </w:tc>
        <w:tc>
          <w:tcPr>
            <w:tcW w:w="1136" w:type="dxa"/>
          </w:tcPr>
          <w:p w:rsidR="007C5447" w:rsidRDefault="00F6308C">
            <w:pPr>
              <w:pStyle w:val="TableParagraph"/>
              <w:spacing w:before="36"/>
              <w:ind w:right="98"/>
              <w:rPr>
                <w:sz w:val="20"/>
              </w:rPr>
            </w:pPr>
            <w:r>
              <w:rPr>
                <w:sz w:val="20"/>
              </w:rPr>
              <w:t>33.88</w:t>
            </w:r>
          </w:p>
        </w:tc>
        <w:tc>
          <w:tcPr>
            <w:tcW w:w="1133" w:type="dxa"/>
          </w:tcPr>
          <w:p w:rsidR="007C5447" w:rsidRDefault="00F6308C">
            <w:pPr>
              <w:pStyle w:val="TableParagraph"/>
              <w:spacing w:before="36"/>
              <w:ind w:right="96"/>
              <w:rPr>
                <w:sz w:val="20"/>
              </w:rPr>
            </w:pPr>
            <w:r>
              <w:rPr>
                <w:sz w:val="20"/>
              </w:rPr>
              <w:t>34.38</w:t>
            </w:r>
          </w:p>
        </w:tc>
        <w:tc>
          <w:tcPr>
            <w:tcW w:w="1136" w:type="dxa"/>
          </w:tcPr>
          <w:p w:rsidR="007C5447" w:rsidRDefault="00F6308C">
            <w:pPr>
              <w:pStyle w:val="TableParagraph"/>
              <w:spacing w:before="36"/>
              <w:ind w:right="98"/>
              <w:rPr>
                <w:sz w:val="20"/>
              </w:rPr>
            </w:pPr>
            <w:r>
              <w:rPr>
                <w:sz w:val="20"/>
              </w:rPr>
              <w:t>34.38</w:t>
            </w:r>
          </w:p>
        </w:tc>
        <w:tc>
          <w:tcPr>
            <w:tcW w:w="1133" w:type="dxa"/>
          </w:tcPr>
          <w:p w:rsidR="007C5447" w:rsidRDefault="00F6308C">
            <w:pPr>
              <w:pStyle w:val="TableParagraph"/>
              <w:spacing w:before="36"/>
              <w:ind w:right="96"/>
              <w:rPr>
                <w:sz w:val="20"/>
              </w:rPr>
            </w:pPr>
            <w:r>
              <w:rPr>
                <w:sz w:val="20"/>
              </w:rPr>
              <w:t>34.38</w:t>
            </w:r>
          </w:p>
        </w:tc>
      </w:tr>
      <w:tr w:rsidR="007C5447">
        <w:trPr>
          <w:trHeight w:val="302"/>
        </w:trPr>
        <w:tc>
          <w:tcPr>
            <w:tcW w:w="881" w:type="dxa"/>
          </w:tcPr>
          <w:p w:rsidR="007C5447" w:rsidRDefault="00F6308C">
            <w:pPr>
              <w:pStyle w:val="TableParagraph"/>
              <w:spacing w:before="36"/>
              <w:ind w:right="326"/>
              <w:rPr>
                <w:sz w:val="20"/>
              </w:rPr>
            </w:pPr>
            <w:r>
              <w:rPr>
                <w:sz w:val="20"/>
              </w:rPr>
              <w:t>10</w:t>
            </w:r>
          </w:p>
        </w:tc>
        <w:tc>
          <w:tcPr>
            <w:tcW w:w="2098" w:type="dxa"/>
          </w:tcPr>
          <w:p w:rsidR="007C5447" w:rsidRDefault="00F6308C">
            <w:pPr>
              <w:pStyle w:val="TableParagraph"/>
              <w:spacing w:before="36"/>
              <w:ind w:left="107"/>
              <w:jc w:val="left"/>
              <w:rPr>
                <w:sz w:val="20"/>
              </w:rPr>
            </w:pPr>
            <w:r>
              <w:rPr>
                <w:sz w:val="20"/>
              </w:rPr>
              <w:t>Basin Bridge GTPS</w:t>
            </w:r>
          </w:p>
        </w:tc>
        <w:tc>
          <w:tcPr>
            <w:tcW w:w="1135" w:type="dxa"/>
          </w:tcPr>
          <w:p w:rsidR="007C5447" w:rsidRDefault="00F6308C">
            <w:pPr>
              <w:pStyle w:val="TableParagraph"/>
              <w:spacing w:before="36"/>
              <w:ind w:right="97"/>
              <w:rPr>
                <w:sz w:val="20"/>
              </w:rPr>
            </w:pPr>
            <w:r>
              <w:rPr>
                <w:w w:val="95"/>
                <w:sz w:val="20"/>
              </w:rPr>
              <w:t>117.11</w:t>
            </w:r>
          </w:p>
        </w:tc>
        <w:tc>
          <w:tcPr>
            <w:tcW w:w="1133" w:type="dxa"/>
          </w:tcPr>
          <w:p w:rsidR="007C5447" w:rsidRDefault="00F6308C">
            <w:pPr>
              <w:pStyle w:val="TableParagraph"/>
              <w:spacing w:before="36"/>
              <w:ind w:right="95"/>
              <w:rPr>
                <w:sz w:val="20"/>
              </w:rPr>
            </w:pPr>
            <w:r>
              <w:rPr>
                <w:w w:val="95"/>
                <w:sz w:val="20"/>
              </w:rPr>
              <w:t>117.11</w:t>
            </w:r>
          </w:p>
        </w:tc>
        <w:tc>
          <w:tcPr>
            <w:tcW w:w="1136" w:type="dxa"/>
          </w:tcPr>
          <w:p w:rsidR="007C5447" w:rsidRDefault="00F6308C">
            <w:pPr>
              <w:pStyle w:val="TableParagraph"/>
              <w:spacing w:before="36"/>
              <w:ind w:right="98"/>
              <w:rPr>
                <w:sz w:val="20"/>
              </w:rPr>
            </w:pPr>
            <w:r>
              <w:rPr>
                <w:w w:val="95"/>
                <w:sz w:val="20"/>
              </w:rPr>
              <w:t>117.79</w:t>
            </w:r>
          </w:p>
        </w:tc>
        <w:tc>
          <w:tcPr>
            <w:tcW w:w="1133" w:type="dxa"/>
          </w:tcPr>
          <w:p w:rsidR="007C5447" w:rsidRDefault="00F6308C">
            <w:pPr>
              <w:pStyle w:val="TableParagraph"/>
              <w:spacing w:before="36"/>
              <w:ind w:right="96"/>
              <w:rPr>
                <w:sz w:val="20"/>
              </w:rPr>
            </w:pPr>
            <w:r>
              <w:rPr>
                <w:sz w:val="20"/>
              </w:rPr>
              <w:t>31.42</w:t>
            </w:r>
          </w:p>
        </w:tc>
        <w:tc>
          <w:tcPr>
            <w:tcW w:w="1136" w:type="dxa"/>
          </w:tcPr>
          <w:p w:rsidR="007C5447" w:rsidRDefault="00F6308C">
            <w:pPr>
              <w:pStyle w:val="TableParagraph"/>
              <w:spacing w:before="36"/>
              <w:ind w:right="98"/>
              <w:rPr>
                <w:sz w:val="20"/>
              </w:rPr>
            </w:pPr>
            <w:r>
              <w:rPr>
                <w:sz w:val="20"/>
              </w:rPr>
              <w:t>31.42</w:t>
            </w:r>
          </w:p>
        </w:tc>
        <w:tc>
          <w:tcPr>
            <w:tcW w:w="1133" w:type="dxa"/>
          </w:tcPr>
          <w:p w:rsidR="007C5447" w:rsidRDefault="00F6308C">
            <w:pPr>
              <w:pStyle w:val="TableParagraph"/>
              <w:spacing w:before="36"/>
              <w:ind w:right="96"/>
              <w:rPr>
                <w:sz w:val="20"/>
              </w:rPr>
            </w:pPr>
            <w:r>
              <w:rPr>
                <w:sz w:val="20"/>
              </w:rPr>
              <w:t>31.97</w:t>
            </w:r>
          </w:p>
        </w:tc>
      </w:tr>
      <w:tr w:rsidR="007C5447">
        <w:trPr>
          <w:trHeight w:val="381"/>
        </w:trPr>
        <w:tc>
          <w:tcPr>
            <w:tcW w:w="881" w:type="dxa"/>
          </w:tcPr>
          <w:p w:rsidR="007C5447" w:rsidRDefault="00F6308C">
            <w:pPr>
              <w:pStyle w:val="TableParagraph"/>
              <w:spacing w:before="75"/>
              <w:ind w:right="326"/>
              <w:rPr>
                <w:sz w:val="20"/>
              </w:rPr>
            </w:pPr>
            <w:r>
              <w:rPr>
                <w:sz w:val="20"/>
              </w:rPr>
              <w:t>11</w:t>
            </w:r>
          </w:p>
        </w:tc>
        <w:tc>
          <w:tcPr>
            <w:tcW w:w="2098" w:type="dxa"/>
          </w:tcPr>
          <w:p w:rsidR="007C5447" w:rsidRDefault="00F6308C">
            <w:pPr>
              <w:pStyle w:val="TableParagraph"/>
              <w:spacing w:before="75"/>
              <w:ind w:left="107"/>
              <w:jc w:val="left"/>
              <w:rPr>
                <w:sz w:val="20"/>
              </w:rPr>
            </w:pPr>
            <w:r>
              <w:rPr>
                <w:sz w:val="20"/>
              </w:rPr>
              <w:t>Valuthur GTPS</w:t>
            </w:r>
          </w:p>
        </w:tc>
        <w:tc>
          <w:tcPr>
            <w:tcW w:w="1135" w:type="dxa"/>
          </w:tcPr>
          <w:p w:rsidR="007C5447" w:rsidRDefault="00F6308C">
            <w:pPr>
              <w:pStyle w:val="TableParagraph"/>
              <w:spacing w:before="75"/>
              <w:ind w:right="97"/>
              <w:rPr>
                <w:sz w:val="20"/>
              </w:rPr>
            </w:pPr>
            <w:r>
              <w:rPr>
                <w:sz w:val="20"/>
              </w:rPr>
              <w:t>61.59</w:t>
            </w:r>
          </w:p>
        </w:tc>
        <w:tc>
          <w:tcPr>
            <w:tcW w:w="1133" w:type="dxa"/>
          </w:tcPr>
          <w:p w:rsidR="007C5447" w:rsidRDefault="00F6308C">
            <w:pPr>
              <w:pStyle w:val="TableParagraph"/>
              <w:spacing w:before="75"/>
              <w:ind w:right="95"/>
              <w:rPr>
                <w:sz w:val="20"/>
              </w:rPr>
            </w:pPr>
            <w:r>
              <w:rPr>
                <w:sz w:val="20"/>
              </w:rPr>
              <w:t>62.81</w:t>
            </w:r>
          </w:p>
        </w:tc>
        <w:tc>
          <w:tcPr>
            <w:tcW w:w="1136" w:type="dxa"/>
          </w:tcPr>
          <w:p w:rsidR="007C5447" w:rsidRDefault="00F6308C">
            <w:pPr>
              <w:pStyle w:val="TableParagraph"/>
              <w:spacing w:before="75"/>
              <w:ind w:right="98"/>
              <w:rPr>
                <w:sz w:val="20"/>
              </w:rPr>
            </w:pPr>
            <w:r>
              <w:rPr>
                <w:sz w:val="20"/>
              </w:rPr>
              <w:t>74.75</w:t>
            </w:r>
          </w:p>
        </w:tc>
        <w:tc>
          <w:tcPr>
            <w:tcW w:w="1133" w:type="dxa"/>
          </w:tcPr>
          <w:p w:rsidR="007C5447" w:rsidRDefault="00F6308C">
            <w:pPr>
              <w:pStyle w:val="TableParagraph"/>
              <w:spacing w:before="75"/>
              <w:ind w:right="96"/>
              <w:rPr>
                <w:sz w:val="20"/>
              </w:rPr>
            </w:pPr>
            <w:r>
              <w:rPr>
                <w:sz w:val="20"/>
              </w:rPr>
              <w:t>71.66</w:t>
            </w:r>
          </w:p>
        </w:tc>
        <w:tc>
          <w:tcPr>
            <w:tcW w:w="1136" w:type="dxa"/>
          </w:tcPr>
          <w:p w:rsidR="007C5447" w:rsidRDefault="00F6308C">
            <w:pPr>
              <w:pStyle w:val="TableParagraph"/>
              <w:spacing w:before="75"/>
              <w:ind w:right="98"/>
              <w:rPr>
                <w:sz w:val="20"/>
              </w:rPr>
            </w:pPr>
            <w:r>
              <w:rPr>
                <w:sz w:val="20"/>
              </w:rPr>
              <w:t>71.86</w:t>
            </w:r>
          </w:p>
        </w:tc>
        <w:tc>
          <w:tcPr>
            <w:tcW w:w="1133" w:type="dxa"/>
          </w:tcPr>
          <w:p w:rsidR="007C5447" w:rsidRDefault="00F6308C">
            <w:pPr>
              <w:pStyle w:val="TableParagraph"/>
              <w:spacing w:before="75"/>
              <w:ind w:right="96"/>
              <w:rPr>
                <w:sz w:val="20"/>
              </w:rPr>
            </w:pPr>
            <w:r>
              <w:rPr>
                <w:sz w:val="20"/>
              </w:rPr>
              <w:t>72.59</w:t>
            </w:r>
          </w:p>
        </w:tc>
      </w:tr>
      <w:tr w:rsidR="007C5447">
        <w:trPr>
          <w:trHeight w:val="299"/>
        </w:trPr>
        <w:tc>
          <w:tcPr>
            <w:tcW w:w="881" w:type="dxa"/>
          </w:tcPr>
          <w:p w:rsidR="007C5447" w:rsidRDefault="00F6308C">
            <w:pPr>
              <w:pStyle w:val="TableParagraph"/>
              <w:spacing w:before="34"/>
              <w:ind w:right="326"/>
              <w:rPr>
                <w:sz w:val="20"/>
              </w:rPr>
            </w:pPr>
            <w:r>
              <w:rPr>
                <w:sz w:val="20"/>
              </w:rPr>
              <w:t>12</w:t>
            </w:r>
          </w:p>
        </w:tc>
        <w:tc>
          <w:tcPr>
            <w:tcW w:w="2098" w:type="dxa"/>
          </w:tcPr>
          <w:p w:rsidR="007C5447" w:rsidRDefault="00F6308C">
            <w:pPr>
              <w:pStyle w:val="TableParagraph"/>
              <w:spacing w:before="34"/>
              <w:ind w:left="107"/>
              <w:jc w:val="left"/>
              <w:rPr>
                <w:sz w:val="20"/>
              </w:rPr>
            </w:pPr>
            <w:r>
              <w:rPr>
                <w:sz w:val="20"/>
              </w:rPr>
              <w:t>Erode HEP</w:t>
            </w:r>
          </w:p>
        </w:tc>
        <w:tc>
          <w:tcPr>
            <w:tcW w:w="1135" w:type="dxa"/>
          </w:tcPr>
          <w:p w:rsidR="007C5447" w:rsidRDefault="00F6308C">
            <w:pPr>
              <w:pStyle w:val="TableParagraph"/>
              <w:spacing w:before="34"/>
              <w:ind w:right="97"/>
              <w:rPr>
                <w:sz w:val="20"/>
              </w:rPr>
            </w:pPr>
            <w:r>
              <w:rPr>
                <w:sz w:val="20"/>
              </w:rPr>
              <w:t>77.08</w:t>
            </w:r>
          </w:p>
        </w:tc>
        <w:tc>
          <w:tcPr>
            <w:tcW w:w="1133" w:type="dxa"/>
          </w:tcPr>
          <w:p w:rsidR="007C5447" w:rsidRDefault="00F6308C">
            <w:pPr>
              <w:pStyle w:val="TableParagraph"/>
              <w:spacing w:before="34"/>
              <w:ind w:right="95"/>
              <w:rPr>
                <w:sz w:val="20"/>
              </w:rPr>
            </w:pPr>
            <w:r>
              <w:rPr>
                <w:sz w:val="20"/>
              </w:rPr>
              <w:t>77.08</w:t>
            </w:r>
          </w:p>
        </w:tc>
        <w:tc>
          <w:tcPr>
            <w:tcW w:w="1136" w:type="dxa"/>
          </w:tcPr>
          <w:p w:rsidR="007C5447" w:rsidRDefault="00F6308C">
            <w:pPr>
              <w:pStyle w:val="TableParagraph"/>
              <w:spacing w:before="34"/>
              <w:ind w:right="98"/>
              <w:rPr>
                <w:sz w:val="20"/>
              </w:rPr>
            </w:pPr>
            <w:r>
              <w:rPr>
                <w:sz w:val="20"/>
              </w:rPr>
              <w:t>77.47</w:t>
            </w:r>
          </w:p>
        </w:tc>
        <w:tc>
          <w:tcPr>
            <w:tcW w:w="1133" w:type="dxa"/>
          </w:tcPr>
          <w:p w:rsidR="007C5447" w:rsidRDefault="00F6308C">
            <w:pPr>
              <w:pStyle w:val="TableParagraph"/>
              <w:spacing w:before="34"/>
              <w:ind w:right="96"/>
              <w:rPr>
                <w:sz w:val="20"/>
              </w:rPr>
            </w:pPr>
            <w:r>
              <w:rPr>
                <w:sz w:val="20"/>
              </w:rPr>
              <w:t>64.03</w:t>
            </w:r>
          </w:p>
        </w:tc>
        <w:tc>
          <w:tcPr>
            <w:tcW w:w="1136" w:type="dxa"/>
          </w:tcPr>
          <w:p w:rsidR="007C5447" w:rsidRDefault="00F6308C">
            <w:pPr>
              <w:pStyle w:val="TableParagraph"/>
              <w:spacing w:before="34"/>
              <w:ind w:right="98"/>
              <w:rPr>
                <w:sz w:val="20"/>
              </w:rPr>
            </w:pPr>
            <w:r>
              <w:rPr>
                <w:sz w:val="20"/>
              </w:rPr>
              <w:t>64.43</w:t>
            </w:r>
          </w:p>
        </w:tc>
        <w:tc>
          <w:tcPr>
            <w:tcW w:w="1133" w:type="dxa"/>
          </w:tcPr>
          <w:p w:rsidR="007C5447" w:rsidRDefault="00F6308C">
            <w:pPr>
              <w:pStyle w:val="TableParagraph"/>
              <w:spacing w:before="34"/>
              <w:ind w:right="96"/>
              <w:rPr>
                <w:sz w:val="20"/>
              </w:rPr>
            </w:pPr>
            <w:r>
              <w:rPr>
                <w:sz w:val="20"/>
              </w:rPr>
              <w:t>67.94</w:t>
            </w:r>
          </w:p>
        </w:tc>
      </w:tr>
      <w:tr w:rsidR="007C5447">
        <w:trPr>
          <w:trHeight w:val="299"/>
        </w:trPr>
        <w:tc>
          <w:tcPr>
            <w:tcW w:w="881" w:type="dxa"/>
          </w:tcPr>
          <w:p w:rsidR="007C5447" w:rsidRDefault="00F6308C">
            <w:pPr>
              <w:pStyle w:val="TableParagraph"/>
              <w:spacing w:before="34"/>
              <w:ind w:right="326"/>
              <w:rPr>
                <w:sz w:val="20"/>
              </w:rPr>
            </w:pPr>
            <w:r>
              <w:rPr>
                <w:sz w:val="20"/>
              </w:rPr>
              <w:t>13</w:t>
            </w:r>
          </w:p>
        </w:tc>
        <w:tc>
          <w:tcPr>
            <w:tcW w:w="2098" w:type="dxa"/>
          </w:tcPr>
          <w:p w:rsidR="007C5447" w:rsidRDefault="00F6308C">
            <w:pPr>
              <w:pStyle w:val="TableParagraph"/>
              <w:spacing w:before="34"/>
              <w:ind w:left="107"/>
              <w:jc w:val="left"/>
              <w:rPr>
                <w:sz w:val="20"/>
              </w:rPr>
            </w:pPr>
            <w:r>
              <w:rPr>
                <w:sz w:val="20"/>
              </w:rPr>
              <w:t>Kadamparai HEP</w:t>
            </w:r>
          </w:p>
        </w:tc>
        <w:tc>
          <w:tcPr>
            <w:tcW w:w="1135" w:type="dxa"/>
          </w:tcPr>
          <w:p w:rsidR="007C5447" w:rsidRDefault="00F6308C">
            <w:pPr>
              <w:pStyle w:val="TableParagraph"/>
              <w:spacing w:before="34"/>
              <w:ind w:right="97"/>
              <w:rPr>
                <w:sz w:val="20"/>
              </w:rPr>
            </w:pPr>
            <w:r>
              <w:rPr>
                <w:sz w:val="20"/>
              </w:rPr>
              <w:t>26.88</w:t>
            </w:r>
          </w:p>
        </w:tc>
        <w:tc>
          <w:tcPr>
            <w:tcW w:w="1133" w:type="dxa"/>
          </w:tcPr>
          <w:p w:rsidR="007C5447" w:rsidRDefault="00F6308C">
            <w:pPr>
              <w:pStyle w:val="TableParagraph"/>
              <w:spacing w:before="34"/>
              <w:ind w:right="95"/>
              <w:rPr>
                <w:sz w:val="20"/>
              </w:rPr>
            </w:pPr>
            <w:r>
              <w:rPr>
                <w:sz w:val="20"/>
              </w:rPr>
              <w:t>27.07</w:t>
            </w:r>
          </w:p>
        </w:tc>
        <w:tc>
          <w:tcPr>
            <w:tcW w:w="1136" w:type="dxa"/>
          </w:tcPr>
          <w:p w:rsidR="007C5447" w:rsidRDefault="00F6308C">
            <w:pPr>
              <w:pStyle w:val="TableParagraph"/>
              <w:spacing w:before="34"/>
              <w:ind w:right="98"/>
              <w:rPr>
                <w:sz w:val="20"/>
              </w:rPr>
            </w:pPr>
            <w:r>
              <w:rPr>
                <w:sz w:val="20"/>
              </w:rPr>
              <w:t>27.84</w:t>
            </w:r>
          </w:p>
        </w:tc>
        <w:tc>
          <w:tcPr>
            <w:tcW w:w="1133" w:type="dxa"/>
          </w:tcPr>
          <w:p w:rsidR="007C5447" w:rsidRDefault="00F6308C">
            <w:pPr>
              <w:pStyle w:val="TableParagraph"/>
              <w:spacing w:before="34"/>
              <w:ind w:right="96"/>
              <w:rPr>
                <w:sz w:val="20"/>
              </w:rPr>
            </w:pPr>
            <w:r>
              <w:rPr>
                <w:sz w:val="20"/>
              </w:rPr>
              <w:t>30.22</w:t>
            </w:r>
          </w:p>
        </w:tc>
        <w:tc>
          <w:tcPr>
            <w:tcW w:w="1136" w:type="dxa"/>
          </w:tcPr>
          <w:p w:rsidR="007C5447" w:rsidRDefault="00F6308C">
            <w:pPr>
              <w:pStyle w:val="TableParagraph"/>
              <w:spacing w:before="34"/>
              <w:ind w:right="98"/>
              <w:rPr>
                <w:sz w:val="20"/>
              </w:rPr>
            </w:pPr>
            <w:r>
              <w:rPr>
                <w:sz w:val="20"/>
              </w:rPr>
              <w:t>30.22</w:t>
            </w:r>
          </w:p>
        </w:tc>
        <w:tc>
          <w:tcPr>
            <w:tcW w:w="1133" w:type="dxa"/>
          </w:tcPr>
          <w:p w:rsidR="007C5447" w:rsidRDefault="00F6308C">
            <w:pPr>
              <w:pStyle w:val="TableParagraph"/>
              <w:spacing w:before="34"/>
              <w:ind w:right="96"/>
              <w:rPr>
                <w:sz w:val="20"/>
              </w:rPr>
            </w:pPr>
            <w:r>
              <w:rPr>
                <w:sz w:val="20"/>
              </w:rPr>
              <w:t>33.74</w:t>
            </w:r>
          </w:p>
        </w:tc>
      </w:tr>
      <w:tr w:rsidR="007C5447">
        <w:trPr>
          <w:trHeight w:val="313"/>
        </w:trPr>
        <w:tc>
          <w:tcPr>
            <w:tcW w:w="881" w:type="dxa"/>
          </w:tcPr>
          <w:p w:rsidR="007C5447" w:rsidRDefault="00F6308C">
            <w:pPr>
              <w:pStyle w:val="TableParagraph"/>
              <w:spacing w:before="43"/>
              <w:ind w:right="326"/>
              <w:rPr>
                <w:sz w:val="20"/>
              </w:rPr>
            </w:pPr>
            <w:r>
              <w:rPr>
                <w:sz w:val="20"/>
              </w:rPr>
              <w:t>14</w:t>
            </w:r>
          </w:p>
        </w:tc>
        <w:tc>
          <w:tcPr>
            <w:tcW w:w="2098" w:type="dxa"/>
          </w:tcPr>
          <w:p w:rsidR="007C5447" w:rsidRDefault="00F6308C">
            <w:pPr>
              <w:pStyle w:val="TableParagraph"/>
              <w:spacing w:before="43"/>
              <w:ind w:left="107"/>
              <w:jc w:val="left"/>
              <w:rPr>
                <w:sz w:val="20"/>
              </w:rPr>
            </w:pPr>
            <w:r>
              <w:rPr>
                <w:sz w:val="20"/>
              </w:rPr>
              <w:t>Kundah HEP</w:t>
            </w:r>
          </w:p>
        </w:tc>
        <w:tc>
          <w:tcPr>
            <w:tcW w:w="1135" w:type="dxa"/>
          </w:tcPr>
          <w:p w:rsidR="007C5447" w:rsidRDefault="00F6308C">
            <w:pPr>
              <w:pStyle w:val="TableParagraph"/>
              <w:spacing w:before="43"/>
              <w:ind w:right="97"/>
              <w:rPr>
                <w:sz w:val="20"/>
              </w:rPr>
            </w:pPr>
            <w:r>
              <w:rPr>
                <w:sz w:val="20"/>
              </w:rPr>
              <w:t>86.92</w:t>
            </w:r>
          </w:p>
        </w:tc>
        <w:tc>
          <w:tcPr>
            <w:tcW w:w="1133" w:type="dxa"/>
          </w:tcPr>
          <w:p w:rsidR="007C5447" w:rsidRDefault="00F6308C">
            <w:pPr>
              <w:pStyle w:val="TableParagraph"/>
              <w:spacing w:before="43"/>
              <w:ind w:right="95"/>
              <w:rPr>
                <w:sz w:val="20"/>
              </w:rPr>
            </w:pPr>
            <w:r>
              <w:rPr>
                <w:sz w:val="20"/>
              </w:rPr>
              <w:t>87.51</w:t>
            </w:r>
          </w:p>
        </w:tc>
        <w:tc>
          <w:tcPr>
            <w:tcW w:w="1136" w:type="dxa"/>
          </w:tcPr>
          <w:p w:rsidR="007C5447" w:rsidRDefault="00F6308C">
            <w:pPr>
              <w:pStyle w:val="TableParagraph"/>
              <w:spacing w:before="43"/>
              <w:ind w:right="98"/>
              <w:rPr>
                <w:sz w:val="20"/>
              </w:rPr>
            </w:pPr>
            <w:r>
              <w:rPr>
                <w:sz w:val="20"/>
              </w:rPr>
              <w:t>87.91</w:t>
            </w:r>
          </w:p>
        </w:tc>
        <w:tc>
          <w:tcPr>
            <w:tcW w:w="1133" w:type="dxa"/>
          </w:tcPr>
          <w:p w:rsidR="007C5447" w:rsidRDefault="00F6308C">
            <w:pPr>
              <w:pStyle w:val="TableParagraph"/>
              <w:spacing w:before="43"/>
              <w:ind w:right="96"/>
              <w:rPr>
                <w:sz w:val="20"/>
              </w:rPr>
            </w:pPr>
            <w:r>
              <w:rPr>
                <w:w w:val="95"/>
                <w:sz w:val="20"/>
              </w:rPr>
              <w:t>103.77</w:t>
            </w:r>
          </w:p>
        </w:tc>
        <w:tc>
          <w:tcPr>
            <w:tcW w:w="1136" w:type="dxa"/>
          </w:tcPr>
          <w:p w:rsidR="007C5447" w:rsidRDefault="00F6308C">
            <w:pPr>
              <w:pStyle w:val="TableParagraph"/>
              <w:spacing w:before="43"/>
              <w:ind w:right="98"/>
              <w:rPr>
                <w:sz w:val="20"/>
              </w:rPr>
            </w:pPr>
            <w:r>
              <w:rPr>
                <w:w w:val="95"/>
                <w:sz w:val="20"/>
              </w:rPr>
              <w:t>104.32</w:t>
            </w:r>
          </w:p>
        </w:tc>
        <w:tc>
          <w:tcPr>
            <w:tcW w:w="1133" w:type="dxa"/>
          </w:tcPr>
          <w:p w:rsidR="007C5447" w:rsidRDefault="00F6308C">
            <w:pPr>
              <w:pStyle w:val="TableParagraph"/>
              <w:spacing w:before="43"/>
              <w:ind w:right="96"/>
              <w:rPr>
                <w:sz w:val="20"/>
              </w:rPr>
            </w:pPr>
            <w:r>
              <w:rPr>
                <w:w w:val="95"/>
                <w:sz w:val="20"/>
              </w:rPr>
              <w:t>109.64</w:t>
            </w:r>
          </w:p>
        </w:tc>
      </w:tr>
      <w:tr w:rsidR="007C5447">
        <w:trPr>
          <w:trHeight w:val="330"/>
        </w:trPr>
        <w:tc>
          <w:tcPr>
            <w:tcW w:w="881" w:type="dxa"/>
          </w:tcPr>
          <w:p w:rsidR="007C5447" w:rsidRDefault="00F6308C">
            <w:pPr>
              <w:pStyle w:val="TableParagraph"/>
              <w:spacing w:before="50"/>
              <w:ind w:right="326"/>
              <w:rPr>
                <w:sz w:val="20"/>
              </w:rPr>
            </w:pPr>
            <w:r>
              <w:rPr>
                <w:sz w:val="20"/>
              </w:rPr>
              <w:t>15</w:t>
            </w:r>
          </w:p>
        </w:tc>
        <w:tc>
          <w:tcPr>
            <w:tcW w:w="2098" w:type="dxa"/>
          </w:tcPr>
          <w:p w:rsidR="007C5447" w:rsidRDefault="00F6308C">
            <w:pPr>
              <w:pStyle w:val="TableParagraph"/>
              <w:spacing w:before="50"/>
              <w:ind w:left="107"/>
              <w:jc w:val="left"/>
              <w:rPr>
                <w:sz w:val="20"/>
              </w:rPr>
            </w:pPr>
            <w:r>
              <w:rPr>
                <w:sz w:val="20"/>
              </w:rPr>
              <w:t>Tirunelveli HEP</w:t>
            </w:r>
          </w:p>
        </w:tc>
        <w:tc>
          <w:tcPr>
            <w:tcW w:w="1135" w:type="dxa"/>
          </w:tcPr>
          <w:p w:rsidR="007C5447" w:rsidRDefault="00F6308C">
            <w:pPr>
              <w:pStyle w:val="TableParagraph"/>
              <w:spacing w:before="50"/>
              <w:ind w:right="97"/>
              <w:rPr>
                <w:sz w:val="20"/>
              </w:rPr>
            </w:pPr>
            <w:r>
              <w:rPr>
                <w:sz w:val="20"/>
              </w:rPr>
              <w:t>38.09</w:t>
            </w:r>
          </w:p>
        </w:tc>
        <w:tc>
          <w:tcPr>
            <w:tcW w:w="1133" w:type="dxa"/>
          </w:tcPr>
          <w:p w:rsidR="007C5447" w:rsidRDefault="00F6308C">
            <w:pPr>
              <w:pStyle w:val="TableParagraph"/>
              <w:spacing w:before="50"/>
              <w:ind w:right="95"/>
              <w:rPr>
                <w:sz w:val="20"/>
              </w:rPr>
            </w:pPr>
            <w:r>
              <w:rPr>
                <w:sz w:val="20"/>
              </w:rPr>
              <w:t>47.28</w:t>
            </w:r>
          </w:p>
        </w:tc>
        <w:tc>
          <w:tcPr>
            <w:tcW w:w="1136" w:type="dxa"/>
          </w:tcPr>
          <w:p w:rsidR="007C5447" w:rsidRDefault="00F6308C">
            <w:pPr>
              <w:pStyle w:val="TableParagraph"/>
              <w:spacing w:before="50"/>
              <w:ind w:right="98"/>
              <w:rPr>
                <w:sz w:val="20"/>
              </w:rPr>
            </w:pPr>
            <w:r>
              <w:rPr>
                <w:sz w:val="20"/>
              </w:rPr>
              <w:t>47.28</w:t>
            </w:r>
          </w:p>
        </w:tc>
        <w:tc>
          <w:tcPr>
            <w:tcW w:w="1133" w:type="dxa"/>
          </w:tcPr>
          <w:p w:rsidR="007C5447" w:rsidRDefault="00F6308C">
            <w:pPr>
              <w:pStyle w:val="TableParagraph"/>
              <w:spacing w:before="50"/>
              <w:ind w:right="96"/>
              <w:rPr>
                <w:sz w:val="20"/>
              </w:rPr>
            </w:pPr>
            <w:r>
              <w:rPr>
                <w:sz w:val="20"/>
              </w:rPr>
              <w:t>38.97</w:t>
            </w:r>
          </w:p>
        </w:tc>
        <w:tc>
          <w:tcPr>
            <w:tcW w:w="1136" w:type="dxa"/>
          </w:tcPr>
          <w:p w:rsidR="007C5447" w:rsidRDefault="00F6308C">
            <w:pPr>
              <w:pStyle w:val="TableParagraph"/>
              <w:spacing w:before="50"/>
              <w:ind w:right="98"/>
              <w:rPr>
                <w:sz w:val="20"/>
              </w:rPr>
            </w:pPr>
            <w:r>
              <w:rPr>
                <w:sz w:val="20"/>
              </w:rPr>
              <w:t>40.28</w:t>
            </w:r>
          </w:p>
        </w:tc>
        <w:tc>
          <w:tcPr>
            <w:tcW w:w="1133" w:type="dxa"/>
          </w:tcPr>
          <w:p w:rsidR="007C5447" w:rsidRDefault="00F6308C">
            <w:pPr>
              <w:pStyle w:val="TableParagraph"/>
              <w:spacing w:before="50"/>
              <w:ind w:right="96"/>
              <w:rPr>
                <w:sz w:val="20"/>
              </w:rPr>
            </w:pPr>
            <w:r>
              <w:rPr>
                <w:sz w:val="20"/>
              </w:rPr>
              <w:t>42.18</w:t>
            </w:r>
          </w:p>
        </w:tc>
      </w:tr>
      <w:tr w:rsidR="007C5447">
        <w:trPr>
          <w:trHeight w:val="330"/>
        </w:trPr>
        <w:tc>
          <w:tcPr>
            <w:tcW w:w="881" w:type="dxa"/>
          </w:tcPr>
          <w:p w:rsidR="007C5447" w:rsidRDefault="00F6308C">
            <w:pPr>
              <w:pStyle w:val="TableParagraph"/>
              <w:spacing w:before="50"/>
              <w:ind w:right="326"/>
              <w:rPr>
                <w:b/>
                <w:sz w:val="20"/>
              </w:rPr>
            </w:pPr>
            <w:r>
              <w:rPr>
                <w:b/>
                <w:sz w:val="20"/>
              </w:rPr>
              <w:t>16</w:t>
            </w:r>
          </w:p>
        </w:tc>
        <w:tc>
          <w:tcPr>
            <w:tcW w:w="2098" w:type="dxa"/>
          </w:tcPr>
          <w:p w:rsidR="007C5447" w:rsidRDefault="00F6308C">
            <w:pPr>
              <w:pStyle w:val="TableParagraph"/>
              <w:spacing w:before="50"/>
              <w:ind w:left="107"/>
              <w:jc w:val="left"/>
              <w:rPr>
                <w:b/>
                <w:sz w:val="20"/>
              </w:rPr>
            </w:pPr>
            <w:r>
              <w:rPr>
                <w:b/>
                <w:sz w:val="20"/>
              </w:rPr>
              <w:t>Total Generation</w:t>
            </w:r>
          </w:p>
        </w:tc>
        <w:tc>
          <w:tcPr>
            <w:tcW w:w="1135" w:type="dxa"/>
          </w:tcPr>
          <w:p w:rsidR="007C5447" w:rsidRDefault="00F6308C">
            <w:pPr>
              <w:pStyle w:val="TableParagraph"/>
              <w:spacing w:before="50"/>
              <w:ind w:right="98"/>
              <w:rPr>
                <w:b/>
                <w:sz w:val="20"/>
              </w:rPr>
            </w:pPr>
            <w:r>
              <w:rPr>
                <w:b/>
                <w:w w:val="95"/>
                <w:sz w:val="20"/>
              </w:rPr>
              <w:t>1,609.74</w:t>
            </w:r>
          </w:p>
        </w:tc>
        <w:tc>
          <w:tcPr>
            <w:tcW w:w="1133" w:type="dxa"/>
          </w:tcPr>
          <w:p w:rsidR="007C5447" w:rsidRDefault="00F6308C">
            <w:pPr>
              <w:pStyle w:val="TableParagraph"/>
              <w:spacing w:before="50"/>
              <w:ind w:right="95"/>
              <w:rPr>
                <w:b/>
                <w:sz w:val="20"/>
              </w:rPr>
            </w:pPr>
            <w:r>
              <w:rPr>
                <w:b/>
                <w:w w:val="95"/>
                <w:sz w:val="20"/>
              </w:rPr>
              <w:t>1,515.53</w:t>
            </w:r>
          </w:p>
        </w:tc>
        <w:tc>
          <w:tcPr>
            <w:tcW w:w="1136" w:type="dxa"/>
          </w:tcPr>
          <w:p w:rsidR="007C5447" w:rsidRDefault="00F6308C">
            <w:pPr>
              <w:pStyle w:val="TableParagraph"/>
              <w:spacing w:before="50"/>
              <w:ind w:right="98"/>
              <w:rPr>
                <w:b/>
                <w:sz w:val="20"/>
              </w:rPr>
            </w:pPr>
            <w:r>
              <w:rPr>
                <w:b/>
                <w:w w:val="95"/>
                <w:sz w:val="20"/>
              </w:rPr>
              <w:t>1,574.44</w:t>
            </w:r>
          </w:p>
        </w:tc>
        <w:tc>
          <w:tcPr>
            <w:tcW w:w="1133" w:type="dxa"/>
          </w:tcPr>
          <w:p w:rsidR="007C5447" w:rsidRDefault="00F6308C">
            <w:pPr>
              <w:pStyle w:val="TableParagraph"/>
              <w:spacing w:before="50"/>
              <w:ind w:right="96"/>
              <w:rPr>
                <w:b/>
                <w:sz w:val="20"/>
              </w:rPr>
            </w:pPr>
            <w:r>
              <w:rPr>
                <w:b/>
                <w:w w:val="95"/>
                <w:sz w:val="20"/>
              </w:rPr>
              <w:t>1,258.76</w:t>
            </w:r>
          </w:p>
        </w:tc>
        <w:tc>
          <w:tcPr>
            <w:tcW w:w="1136" w:type="dxa"/>
          </w:tcPr>
          <w:p w:rsidR="007C5447" w:rsidRDefault="00F6308C">
            <w:pPr>
              <w:pStyle w:val="TableParagraph"/>
              <w:spacing w:before="50"/>
              <w:ind w:right="97"/>
              <w:rPr>
                <w:b/>
                <w:sz w:val="20"/>
              </w:rPr>
            </w:pPr>
            <w:r>
              <w:rPr>
                <w:b/>
                <w:w w:val="95"/>
                <w:sz w:val="20"/>
              </w:rPr>
              <w:t>1,169.65</w:t>
            </w:r>
          </w:p>
        </w:tc>
        <w:tc>
          <w:tcPr>
            <w:tcW w:w="1133" w:type="dxa"/>
          </w:tcPr>
          <w:p w:rsidR="007C5447" w:rsidRDefault="00F6308C">
            <w:pPr>
              <w:pStyle w:val="TableParagraph"/>
              <w:spacing w:before="50"/>
              <w:ind w:right="95"/>
              <w:rPr>
                <w:b/>
                <w:sz w:val="20"/>
              </w:rPr>
            </w:pPr>
            <w:r>
              <w:rPr>
                <w:b/>
                <w:sz w:val="20"/>
              </w:rPr>
              <w:t>1,216.35</w:t>
            </w:r>
          </w:p>
        </w:tc>
      </w:tr>
      <w:tr w:rsidR="007C5447">
        <w:trPr>
          <w:trHeight w:val="328"/>
        </w:trPr>
        <w:tc>
          <w:tcPr>
            <w:tcW w:w="881" w:type="dxa"/>
          </w:tcPr>
          <w:p w:rsidR="007C5447" w:rsidRDefault="00F6308C">
            <w:pPr>
              <w:pStyle w:val="TableParagraph"/>
              <w:spacing w:before="48"/>
              <w:ind w:right="326"/>
              <w:rPr>
                <w:b/>
                <w:sz w:val="20"/>
              </w:rPr>
            </w:pPr>
            <w:r>
              <w:rPr>
                <w:b/>
                <w:sz w:val="20"/>
              </w:rPr>
              <w:t>17</w:t>
            </w:r>
          </w:p>
        </w:tc>
        <w:tc>
          <w:tcPr>
            <w:tcW w:w="2098" w:type="dxa"/>
          </w:tcPr>
          <w:p w:rsidR="007C5447" w:rsidRDefault="00F6308C">
            <w:pPr>
              <w:pStyle w:val="TableParagraph"/>
              <w:spacing w:before="48"/>
              <w:ind w:left="107"/>
              <w:jc w:val="left"/>
              <w:rPr>
                <w:b/>
                <w:sz w:val="20"/>
              </w:rPr>
            </w:pPr>
            <w:r>
              <w:rPr>
                <w:b/>
                <w:sz w:val="20"/>
              </w:rPr>
              <w:t>Distribution</w:t>
            </w:r>
          </w:p>
        </w:tc>
        <w:tc>
          <w:tcPr>
            <w:tcW w:w="1135" w:type="dxa"/>
          </w:tcPr>
          <w:p w:rsidR="007C5447" w:rsidRDefault="00F6308C">
            <w:pPr>
              <w:pStyle w:val="TableParagraph"/>
              <w:spacing w:before="48"/>
              <w:ind w:right="97"/>
              <w:rPr>
                <w:b/>
                <w:sz w:val="20"/>
              </w:rPr>
            </w:pPr>
            <w:r>
              <w:rPr>
                <w:b/>
                <w:w w:val="95"/>
                <w:sz w:val="20"/>
              </w:rPr>
              <w:t>203.77</w:t>
            </w:r>
          </w:p>
        </w:tc>
        <w:tc>
          <w:tcPr>
            <w:tcW w:w="1133" w:type="dxa"/>
          </w:tcPr>
          <w:p w:rsidR="007C5447" w:rsidRDefault="00F6308C">
            <w:pPr>
              <w:pStyle w:val="TableParagraph"/>
              <w:spacing w:before="48"/>
              <w:ind w:right="95"/>
              <w:rPr>
                <w:b/>
                <w:sz w:val="20"/>
              </w:rPr>
            </w:pPr>
            <w:r>
              <w:rPr>
                <w:b/>
                <w:w w:val="95"/>
                <w:sz w:val="20"/>
              </w:rPr>
              <w:t>483.53</w:t>
            </w:r>
          </w:p>
        </w:tc>
        <w:tc>
          <w:tcPr>
            <w:tcW w:w="1136" w:type="dxa"/>
          </w:tcPr>
          <w:p w:rsidR="007C5447" w:rsidRDefault="00F6308C">
            <w:pPr>
              <w:pStyle w:val="TableParagraph"/>
              <w:spacing w:before="48"/>
              <w:ind w:right="98"/>
              <w:rPr>
                <w:b/>
                <w:sz w:val="20"/>
              </w:rPr>
            </w:pPr>
            <w:r>
              <w:rPr>
                <w:b/>
                <w:w w:val="95"/>
                <w:sz w:val="20"/>
              </w:rPr>
              <w:t>645.79</w:t>
            </w:r>
          </w:p>
        </w:tc>
        <w:tc>
          <w:tcPr>
            <w:tcW w:w="1133" w:type="dxa"/>
          </w:tcPr>
          <w:p w:rsidR="007C5447" w:rsidRDefault="00F6308C">
            <w:pPr>
              <w:pStyle w:val="TableParagraph"/>
              <w:spacing w:before="48"/>
              <w:ind w:right="96"/>
              <w:rPr>
                <w:b/>
                <w:sz w:val="20"/>
              </w:rPr>
            </w:pPr>
            <w:r>
              <w:rPr>
                <w:b/>
                <w:w w:val="95"/>
                <w:sz w:val="20"/>
              </w:rPr>
              <w:t>910.73</w:t>
            </w:r>
          </w:p>
        </w:tc>
        <w:tc>
          <w:tcPr>
            <w:tcW w:w="1136" w:type="dxa"/>
          </w:tcPr>
          <w:p w:rsidR="007C5447" w:rsidRDefault="00F6308C">
            <w:pPr>
              <w:pStyle w:val="TableParagraph"/>
              <w:spacing w:before="48"/>
              <w:ind w:right="99"/>
              <w:rPr>
                <w:b/>
                <w:sz w:val="20"/>
              </w:rPr>
            </w:pPr>
            <w:r>
              <w:rPr>
                <w:b/>
                <w:w w:val="95"/>
                <w:sz w:val="20"/>
              </w:rPr>
              <w:t>1,172.58</w:t>
            </w:r>
          </w:p>
        </w:tc>
        <w:tc>
          <w:tcPr>
            <w:tcW w:w="1133" w:type="dxa"/>
          </w:tcPr>
          <w:p w:rsidR="007C5447" w:rsidRDefault="00F6308C">
            <w:pPr>
              <w:pStyle w:val="TableParagraph"/>
              <w:spacing w:before="48"/>
              <w:ind w:right="96"/>
              <w:rPr>
                <w:b/>
                <w:sz w:val="20"/>
              </w:rPr>
            </w:pPr>
            <w:r>
              <w:rPr>
                <w:b/>
                <w:w w:val="95"/>
                <w:sz w:val="20"/>
              </w:rPr>
              <w:t>1,325.41</w:t>
            </w:r>
          </w:p>
        </w:tc>
      </w:tr>
      <w:tr w:rsidR="007C5447">
        <w:trPr>
          <w:trHeight w:val="330"/>
        </w:trPr>
        <w:tc>
          <w:tcPr>
            <w:tcW w:w="881" w:type="dxa"/>
          </w:tcPr>
          <w:p w:rsidR="007C5447" w:rsidRDefault="00F6308C">
            <w:pPr>
              <w:pStyle w:val="TableParagraph"/>
              <w:spacing w:before="50"/>
              <w:ind w:right="326"/>
              <w:rPr>
                <w:b/>
                <w:sz w:val="20"/>
              </w:rPr>
            </w:pPr>
            <w:r>
              <w:rPr>
                <w:b/>
                <w:sz w:val="20"/>
              </w:rPr>
              <w:t>18</w:t>
            </w:r>
          </w:p>
        </w:tc>
        <w:tc>
          <w:tcPr>
            <w:tcW w:w="2098" w:type="dxa"/>
          </w:tcPr>
          <w:p w:rsidR="007C5447" w:rsidRDefault="00F6308C">
            <w:pPr>
              <w:pStyle w:val="TableParagraph"/>
              <w:spacing w:before="50"/>
              <w:ind w:left="107"/>
              <w:jc w:val="left"/>
              <w:rPr>
                <w:b/>
                <w:sz w:val="20"/>
              </w:rPr>
            </w:pPr>
            <w:r>
              <w:rPr>
                <w:b/>
                <w:sz w:val="20"/>
              </w:rPr>
              <w:t>Total</w:t>
            </w:r>
          </w:p>
        </w:tc>
        <w:tc>
          <w:tcPr>
            <w:tcW w:w="1135" w:type="dxa"/>
          </w:tcPr>
          <w:p w:rsidR="007C5447" w:rsidRDefault="00F6308C">
            <w:pPr>
              <w:pStyle w:val="TableParagraph"/>
              <w:spacing w:before="50"/>
              <w:ind w:right="98"/>
              <w:rPr>
                <w:b/>
                <w:sz w:val="20"/>
              </w:rPr>
            </w:pPr>
            <w:r>
              <w:rPr>
                <w:b/>
                <w:w w:val="95"/>
                <w:sz w:val="20"/>
              </w:rPr>
              <w:t>1,820.92</w:t>
            </w:r>
          </w:p>
        </w:tc>
        <w:tc>
          <w:tcPr>
            <w:tcW w:w="1133" w:type="dxa"/>
          </w:tcPr>
          <w:p w:rsidR="007C5447" w:rsidRDefault="00F6308C">
            <w:pPr>
              <w:pStyle w:val="TableParagraph"/>
              <w:spacing w:before="50"/>
              <w:ind w:right="95"/>
              <w:rPr>
                <w:b/>
                <w:sz w:val="20"/>
              </w:rPr>
            </w:pPr>
            <w:r>
              <w:rPr>
                <w:b/>
                <w:w w:val="95"/>
                <w:sz w:val="20"/>
              </w:rPr>
              <w:t>2,006.47</w:t>
            </w:r>
          </w:p>
        </w:tc>
        <w:tc>
          <w:tcPr>
            <w:tcW w:w="1136" w:type="dxa"/>
          </w:tcPr>
          <w:p w:rsidR="007C5447" w:rsidRDefault="00F6308C">
            <w:pPr>
              <w:pStyle w:val="TableParagraph"/>
              <w:spacing w:before="50"/>
              <w:ind w:right="98"/>
              <w:rPr>
                <w:b/>
                <w:sz w:val="20"/>
              </w:rPr>
            </w:pPr>
            <w:r>
              <w:rPr>
                <w:b/>
                <w:w w:val="95"/>
                <w:sz w:val="20"/>
              </w:rPr>
              <w:t>2,220.23</w:t>
            </w:r>
          </w:p>
        </w:tc>
        <w:tc>
          <w:tcPr>
            <w:tcW w:w="1133" w:type="dxa"/>
          </w:tcPr>
          <w:p w:rsidR="007C5447" w:rsidRDefault="00F6308C">
            <w:pPr>
              <w:pStyle w:val="TableParagraph"/>
              <w:spacing w:before="50"/>
              <w:ind w:right="96"/>
              <w:rPr>
                <w:b/>
                <w:sz w:val="20"/>
              </w:rPr>
            </w:pPr>
            <w:r>
              <w:rPr>
                <w:b/>
                <w:w w:val="95"/>
                <w:sz w:val="20"/>
              </w:rPr>
              <w:t>2,169.49</w:t>
            </w:r>
          </w:p>
        </w:tc>
        <w:tc>
          <w:tcPr>
            <w:tcW w:w="1136" w:type="dxa"/>
          </w:tcPr>
          <w:p w:rsidR="007C5447" w:rsidRDefault="00F6308C">
            <w:pPr>
              <w:pStyle w:val="TableParagraph"/>
              <w:spacing w:before="50"/>
              <w:ind w:right="99"/>
              <w:rPr>
                <w:b/>
                <w:sz w:val="20"/>
              </w:rPr>
            </w:pPr>
            <w:r>
              <w:rPr>
                <w:b/>
                <w:w w:val="95"/>
                <w:sz w:val="20"/>
              </w:rPr>
              <w:t>2,342.24</w:t>
            </w:r>
          </w:p>
        </w:tc>
        <w:tc>
          <w:tcPr>
            <w:tcW w:w="1133" w:type="dxa"/>
          </w:tcPr>
          <w:p w:rsidR="007C5447" w:rsidRDefault="00F6308C">
            <w:pPr>
              <w:pStyle w:val="TableParagraph"/>
              <w:spacing w:before="50"/>
              <w:ind w:right="96"/>
              <w:rPr>
                <w:b/>
                <w:sz w:val="20"/>
              </w:rPr>
            </w:pPr>
            <w:r>
              <w:rPr>
                <w:b/>
                <w:w w:val="95"/>
                <w:sz w:val="20"/>
              </w:rPr>
              <w:t>2,541.76</w:t>
            </w:r>
          </w:p>
        </w:tc>
      </w:tr>
    </w:tbl>
    <w:p w:rsidR="007C5447" w:rsidRDefault="007C5447">
      <w:pPr>
        <w:pStyle w:val="BodyText"/>
        <w:rPr>
          <w:b/>
          <w:sz w:val="26"/>
        </w:rPr>
      </w:pPr>
    </w:p>
    <w:p w:rsidR="007C5447" w:rsidRDefault="007C5447">
      <w:pPr>
        <w:pStyle w:val="BodyText"/>
        <w:rPr>
          <w:b/>
          <w:sz w:val="26"/>
        </w:rPr>
      </w:pPr>
    </w:p>
    <w:p w:rsidR="007C5447" w:rsidRDefault="007C5447">
      <w:pPr>
        <w:pStyle w:val="BodyText"/>
        <w:rPr>
          <w:b/>
          <w:sz w:val="21"/>
        </w:rPr>
      </w:pPr>
    </w:p>
    <w:p w:rsidR="007C5447" w:rsidRDefault="00F6308C">
      <w:pPr>
        <w:pStyle w:val="Heading2"/>
        <w:numPr>
          <w:ilvl w:val="1"/>
          <w:numId w:val="114"/>
        </w:numPr>
        <w:tabs>
          <w:tab w:val="left" w:pos="1106"/>
          <w:tab w:val="left" w:pos="1107"/>
        </w:tabs>
        <w:ind w:left="1106"/>
      </w:pPr>
      <w:bookmarkStart w:id="64" w:name="_bookmark64"/>
      <w:bookmarkEnd w:id="64"/>
      <w:r>
        <w:t>Interest and Financing</w:t>
      </w:r>
      <w:r>
        <w:rPr>
          <w:spacing w:val="-2"/>
        </w:rPr>
        <w:t xml:space="preserve"> </w:t>
      </w:r>
      <w:r>
        <w:t>Charges</w:t>
      </w:r>
    </w:p>
    <w:p w:rsidR="007C5447" w:rsidRDefault="007C5447">
      <w:pPr>
        <w:pStyle w:val="BodyText"/>
        <w:spacing w:before="11"/>
        <w:rPr>
          <w:b/>
          <w:sz w:val="27"/>
        </w:rPr>
      </w:pPr>
    </w:p>
    <w:p w:rsidR="007C5447" w:rsidRDefault="00F6308C">
      <w:pPr>
        <w:pStyle w:val="ListParagraph"/>
        <w:numPr>
          <w:ilvl w:val="2"/>
          <w:numId w:val="114"/>
        </w:numPr>
        <w:tabs>
          <w:tab w:val="left" w:pos="1393"/>
        </w:tabs>
        <w:spacing w:line="312" w:lineRule="auto"/>
        <w:ind w:left="1392" w:right="507" w:hanging="852"/>
        <w:jc w:val="both"/>
        <w:rPr>
          <w:sz w:val="24"/>
        </w:rPr>
      </w:pPr>
      <w:r>
        <w:rPr>
          <w:sz w:val="24"/>
        </w:rPr>
        <w:t>TANGEDCO submitted that it has a basket of loans, which cannot be separately identified for each project. Hence, it has taken the entire loan balance available in the accounts of FY 2015-16 except working capital loans (closing outstanding loans of FY 2015</w:t>
      </w:r>
      <w:r>
        <w:rPr>
          <w:sz w:val="24"/>
        </w:rPr>
        <w:t>-16) and the same has been allocated to each project based on the opening GFA of FY 2016-17 to arrive at the Opening Loan balance for each project for FY 2016-17.</w:t>
      </w:r>
      <w:r>
        <w:rPr>
          <w:spacing w:val="-6"/>
          <w:sz w:val="24"/>
        </w:rPr>
        <w:t xml:space="preserve"> </w:t>
      </w:r>
      <w:r>
        <w:rPr>
          <w:sz w:val="24"/>
        </w:rPr>
        <w:t>The</w:t>
      </w:r>
    </w:p>
    <w:p w:rsidR="007C5447" w:rsidRDefault="007C5447">
      <w:pPr>
        <w:spacing w:line="312" w:lineRule="auto"/>
        <w:jc w:val="both"/>
        <w:rPr>
          <w:sz w:val="24"/>
        </w:rPr>
        <w:sectPr w:rsidR="007C5447">
          <w:pgSz w:w="11910" w:h="16840"/>
          <w:pgMar w:top="1360" w:right="620" w:bottom="1240" w:left="900" w:header="0" w:footer="777" w:gutter="0"/>
          <w:cols w:space="720"/>
        </w:sectPr>
      </w:pPr>
    </w:p>
    <w:p w:rsidR="007C5447" w:rsidRDefault="00F6308C">
      <w:pPr>
        <w:pStyle w:val="BodyText"/>
        <w:spacing w:before="60" w:line="312" w:lineRule="auto"/>
        <w:ind w:left="1392" w:right="519"/>
      </w:pPr>
      <w:r>
        <w:lastRenderedPageBreak/>
        <w:t>loan additions and deductions during the year have been estimated based</w:t>
      </w:r>
      <w:r>
        <w:t xml:space="preserve"> on the projections for upcoming works for Generation and Distribution in the ensuing years.</w:t>
      </w:r>
    </w:p>
    <w:p w:rsidR="007C5447" w:rsidRDefault="007C5447">
      <w:pPr>
        <w:pStyle w:val="BodyText"/>
        <w:spacing w:before="11"/>
        <w:rPr>
          <w:sz w:val="20"/>
        </w:rPr>
      </w:pPr>
    </w:p>
    <w:p w:rsidR="007C5447" w:rsidRDefault="00F6308C">
      <w:pPr>
        <w:pStyle w:val="ListParagraph"/>
        <w:numPr>
          <w:ilvl w:val="2"/>
          <w:numId w:val="114"/>
        </w:numPr>
        <w:tabs>
          <w:tab w:val="left" w:pos="1393"/>
        </w:tabs>
        <w:spacing w:line="312" w:lineRule="auto"/>
        <w:ind w:left="1392" w:right="514" w:hanging="852"/>
        <w:jc w:val="both"/>
        <w:rPr>
          <w:sz w:val="24"/>
        </w:rPr>
      </w:pPr>
      <w:r>
        <w:rPr>
          <w:sz w:val="24"/>
        </w:rPr>
        <w:t>TANGEDCO submitted that it has joined the GoI initiated UDAY for revival of Discoms and has entered in to a Tripartite Memorandum of Understanding (MoU) between G</w:t>
      </w:r>
      <w:r>
        <w:rPr>
          <w:sz w:val="24"/>
        </w:rPr>
        <w:t>oTN, GoI and TANGEDCO on January 9,</w:t>
      </w:r>
      <w:r>
        <w:rPr>
          <w:spacing w:val="-3"/>
          <w:sz w:val="24"/>
        </w:rPr>
        <w:t xml:space="preserve"> </w:t>
      </w:r>
      <w:r>
        <w:rPr>
          <w:sz w:val="24"/>
        </w:rPr>
        <w:t>2017.</w:t>
      </w:r>
    </w:p>
    <w:p w:rsidR="007C5447" w:rsidRDefault="007C5447">
      <w:pPr>
        <w:pStyle w:val="BodyText"/>
        <w:spacing w:before="9"/>
        <w:rPr>
          <w:sz w:val="20"/>
        </w:rPr>
      </w:pPr>
    </w:p>
    <w:p w:rsidR="007C5447" w:rsidRDefault="00F6308C">
      <w:pPr>
        <w:pStyle w:val="ListParagraph"/>
        <w:numPr>
          <w:ilvl w:val="2"/>
          <w:numId w:val="114"/>
        </w:numPr>
        <w:tabs>
          <w:tab w:val="left" w:pos="1393"/>
        </w:tabs>
        <w:spacing w:line="312" w:lineRule="auto"/>
        <w:ind w:left="1392" w:right="510" w:hanging="852"/>
        <w:jc w:val="both"/>
        <w:rPr>
          <w:sz w:val="24"/>
        </w:rPr>
      </w:pPr>
      <w:r>
        <w:rPr>
          <w:sz w:val="24"/>
        </w:rPr>
        <w:t>TANGEDCO submitted that the total loan outstanding as on March 31, 2017 was estimated to be Rs. 81,782 Crore, and GoTN will take over 75% of the Distribution function’s loan of Rs. 30,420 Crore. This will result i</w:t>
      </w:r>
      <w:r>
        <w:rPr>
          <w:sz w:val="24"/>
        </w:rPr>
        <w:t>n an interest savings of approximately Rs 2882 Crore at a weighted average interest rate of 12.25%. The average interest rate of 12.25% has been arrived based on the actual net average interest rate of FY 2013-14 and FY</w:t>
      </w:r>
      <w:r>
        <w:rPr>
          <w:spacing w:val="1"/>
          <w:sz w:val="24"/>
        </w:rPr>
        <w:t xml:space="preserve"> </w:t>
      </w:r>
      <w:r>
        <w:rPr>
          <w:sz w:val="24"/>
        </w:rPr>
        <w:t>2014-15.</w:t>
      </w:r>
    </w:p>
    <w:p w:rsidR="007C5447" w:rsidRDefault="007C5447">
      <w:pPr>
        <w:pStyle w:val="BodyText"/>
        <w:spacing w:before="10"/>
        <w:rPr>
          <w:sz w:val="20"/>
        </w:rPr>
      </w:pPr>
    </w:p>
    <w:p w:rsidR="007C5447" w:rsidRDefault="00F6308C">
      <w:pPr>
        <w:pStyle w:val="ListParagraph"/>
        <w:numPr>
          <w:ilvl w:val="2"/>
          <w:numId w:val="114"/>
        </w:numPr>
        <w:tabs>
          <w:tab w:val="left" w:pos="1393"/>
        </w:tabs>
        <w:spacing w:before="1" w:line="312" w:lineRule="auto"/>
        <w:ind w:left="1392" w:right="509" w:hanging="852"/>
        <w:jc w:val="both"/>
        <w:rPr>
          <w:sz w:val="24"/>
        </w:rPr>
      </w:pPr>
      <w:r>
        <w:rPr>
          <w:sz w:val="24"/>
        </w:rPr>
        <w:t>TANGEDCO submitted that th</w:t>
      </w:r>
      <w:r>
        <w:rPr>
          <w:sz w:val="24"/>
        </w:rPr>
        <w:t xml:space="preserve">e interest rate considered for FY 2016-17 is 11.29%, and 10.50% for FY 2017-18 and FY 2018-19. The other finance charges had been estimated based on the actuals for FY 2015-16 reflecting in accounts of individual projects. The interest and finance charges </w:t>
      </w:r>
      <w:r>
        <w:rPr>
          <w:sz w:val="24"/>
        </w:rPr>
        <w:t>as submitted by TANGEDCO is shown in the Table</w:t>
      </w:r>
      <w:r>
        <w:rPr>
          <w:spacing w:val="-15"/>
          <w:sz w:val="24"/>
        </w:rPr>
        <w:t xml:space="preserve"> </w:t>
      </w:r>
      <w:r>
        <w:rPr>
          <w:sz w:val="24"/>
        </w:rPr>
        <w:t>below:</w:t>
      </w:r>
    </w:p>
    <w:p w:rsidR="007C5447" w:rsidRDefault="007C5447">
      <w:pPr>
        <w:pStyle w:val="BodyText"/>
        <w:spacing w:before="10"/>
        <w:rPr>
          <w:sz w:val="20"/>
        </w:rPr>
      </w:pPr>
    </w:p>
    <w:p w:rsidR="007C5447" w:rsidRDefault="00F6308C">
      <w:pPr>
        <w:pStyle w:val="Heading2"/>
        <w:ind w:left="938"/>
      </w:pPr>
      <w:r>
        <w:t>Table 4-16: Interest and Finance charges as submitted by TANGEDCO (Rs. Crore)</w:t>
      </w:r>
    </w:p>
    <w:p w:rsidR="007C5447" w:rsidRDefault="007C5447">
      <w:pPr>
        <w:pStyle w:val="BodyText"/>
        <w:spacing w:before="4"/>
        <w:rPr>
          <w:b/>
          <w:sz w:val="7"/>
        </w:rPr>
      </w:pPr>
    </w:p>
    <w:tbl>
      <w:tblPr>
        <w:tblW w:w="0" w:type="auto"/>
        <w:tblInd w:w="1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0"/>
        <w:gridCol w:w="3263"/>
        <w:gridCol w:w="1416"/>
        <w:gridCol w:w="1419"/>
        <w:gridCol w:w="1416"/>
      </w:tblGrid>
      <w:tr w:rsidR="007C5447">
        <w:trPr>
          <w:trHeight w:val="311"/>
        </w:trPr>
        <w:tc>
          <w:tcPr>
            <w:tcW w:w="850" w:type="dxa"/>
            <w:vMerge w:val="restart"/>
            <w:shd w:val="clear" w:color="auto" w:fill="F7C9AC"/>
          </w:tcPr>
          <w:p w:rsidR="007C5447" w:rsidRDefault="007C5447">
            <w:pPr>
              <w:pStyle w:val="TableParagraph"/>
              <w:spacing w:before="10"/>
              <w:jc w:val="left"/>
              <w:rPr>
                <w:b/>
                <w:sz w:val="21"/>
              </w:rPr>
            </w:pPr>
          </w:p>
          <w:p w:rsidR="007C5447" w:rsidRDefault="00F6308C">
            <w:pPr>
              <w:pStyle w:val="TableParagraph"/>
              <w:spacing w:before="1"/>
              <w:ind w:left="295" w:right="287"/>
              <w:jc w:val="center"/>
              <w:rPr>
                <w:b/>
                <w:sz w:val="20"/>
              </w:rPr>
            </w:pPr>
            <w:r>
              <w:rPr>
                <w:b/>
                <w:sz w:val="20"/>
              </w:rPr>
              <w:t>Sl.</w:t>
            </w:r>
          </w:p>
        </w:tc>
        <w:tc>
          <w:tcPr>
            <w:tcW w:w="3263" w:type="dxa"/>
            <w:vMerge w:val="restart"/>
            <w:shd w:val="clear" w:color="auto" w:fill="F7C9AC"/>
          </w:tcPr>
          <w:p w:rsidR="007C5447" w:rsidRDefault="007C5447">
            <w:pPr>
              <w:pStyle w:val="TableParagraph"/>
              <w:spacing w:before="10"/>
              <w:jc w:val="left"/>
              <w:rPr>
                <w:b/>
                <w:sz w:val="21"/>
              </w:rPr>
            </w:pPr>
          </w:p>
          <w:p w:rsidR="007C5447" w:rsidRDefault="00F6308C">
            <w:pPr>
              <w:pStyle w:val="TableParagraph"/>
              <w:spacing w:before="1"/>
              <w:ind w:left="107"/>
              <w:jc w:val="left"/>
              <w:rPr>
                <w:b/>
                <w:sz w:val="20"/>
              </w:rPr>
            </w:pPr>
            <w:r>
              <w:rPr>
                <w:b/>
                <w:sz w:val="20"/>
              </w:rPr>
              <w:t>Power Station</w:t>
            </w:r>
          </w:p>
        </w:tc>
        <w:tc>
          <w:tcPr>
            <w:tcW w:w="4251" w:type="dxa"/>
            <w:gridSpan w:val="3"/>
            <w:shd w:val="clear" w:color="auto" w:fill="F7C9AC"/>
          </w:tcPr>
          <w:p w:rsidR="007C5447" w:rsidRDefault="00F6308C">
            <w:pPr>
              <w:pStyle w:val="TableParagraph"/>
              <w:spacing w:before="41"/>
              <w:ind w:left="1525" w:right="1520"/>
              <w:jc w:val="center"/>
              <w:rPr>
                <w:b/>
                <w:sz w:val="20"/>
              </w:rPr>
            </w:pPr>
            <w:r>
              <w:rPr>
                <w:b/>
                <w:sz w:val="20"/>
              </w:rPr>
              <w:t>TANGEDCO</w:t>
            </w:r>
          </w:p>
        </w:tc>
      </w:tr>
      <w:tr w:rsidR="007C5447">
        <w:trPr>
          <w:trHeight w:val="414"/>
        </w:trPr>
        <w:tc>
          <w:tcPr>
            <w:tcW w:w="850" w:type="dxa"/>
            <w:vMerge/>
            <w:tcBorders>
              <w:top w:val="nil"/>
            </w:tcBorders>
            <w:shd w:val="clear" w:color="auto" w:fill="F7C9AC"/>
          </w:tcPr>
          <w:p w:rsidR="007C5447" w:rsidRDefault="007C5447">
            <w:pPr>
              <w:rPr>
                <w:sz w:val="2"/>
                <w:szCs w:val="2"/>
              </w:rPr>
            </w:pPr>
          </w:p>
        </w:tc>
        <w:tc>
          <w:tcPr>
            <w:tcW w:w="3263" w:type="dxa"/>
            <w:vMerge/>
            <w:tcBorders>
              <w:top w:val="nil"/>
            </w:tcBorders>
            <w:shd w:val="clear" w:color="auto" w:fill="F7C9AC"/>
          </w:tcPr>
          <w:p w:rsidR="007C5447" w:rsidRDefault="007C5447">
            <w:pPr>
              <w:rPr>
                <w:sz w:val="2"/>
                <w:szCs w:val="2"/>
              </w:rPr>
            </w:pPr>
          </w:p>
        </w:tc>
        <w:tc>
          <w:tcPr>
            <w:tcW w:w="1416" w:type="dxa"/>
            <w:shd w:val="clear" w:color="auto" w:fill="F7C9AC"/>
          </w:tcPr>
          <w:p w:rsidR="007C5447" w:rsidRDefault="00F6308C">
            <w:pPr>
              <w:pStyle w:val="TableParagraph"/>
              <w:spacing w:before="94"/>
              <w:ind w:left="215"/>
              <w:jc w:val="left"/>
              <w:rPr>
                <w:b/>
                <w:sz w:val="20"/>
              </w:rPr>
            </w:pPr>
            <w:r>
              <w:rPr>
                <w:b/>
                <w:sz w:val="20"/>
              </w:rPr>
              <w:t>FY 2016-17</w:t>
            </w:r>
          </w:p>
        </w:tc>
        <w:tc>
          <w:tcPr>
            <w:tcW w:w="1419" w:type="dxa"/>
            <w:shd w:val="clear" w:color="auto" w:fill="F7C9AC"/>
          </w:tcPr>
          <w:p w:rsidR="007C5447" w:rsidRDefault="00F6308C">
            <w:pPr>
              <w:pStyle w:val="TableParagraph"/>
              <w:spacing w:before="94"/>
              <w:ind w:left="215"/>
              <w:jc w:val="left"/>
              <w:rPr>
                <w:b/>
                <w:sz w:val="20"/>
              </w:rPr>
            </w:pPr>
            <w:r>
              <w:rPr>
                <w:b/>
                <w:sz w:val="20"/>
              </w:rPr>
              <w:t>FY 2017-18</w:t>
            </w:r>
          </w:p>
        </w:tc>
        <w:tc>
          <w:tcPr>
            <w:tcW w:w="1416" w:type="dxa"/>
            <w:shd w:val="clear" w:color="auto" w:fill="F7C9AC"/>
          </w:tcPr>
          <w:p w:rsidR="007C5447" w:rsidRDefault="00F6308C">
            <w:pPr>
              <w:pStyle w:val="TableParagraph"/>
              <w:spacing w:before="94"/>
              <w:ind w:left="215"/>
              <w:jc w:val="left"/>
              <w:rPr>
                <w:b/>
                <w:sz w:val="20"/>
              </w:rPr>
            </w:pPr>
            <w:r>
              <w:rPr>
                <w:b/>
                <w:sz w:val="20"/>
              </w:rPr>
              <w:t>FY 2018-19</w:t>
            </w:r>
          </w:p>
        </w:tc>
      </w:tr>
      <w:tr w:rsidR="007C5447">
        <w:trPr>
          <w:trHeight w:val="261"/>
        </w:trPr>
        <w:tc>
          <w:tcPr>
            <w:tcW w:w="850" w:type="dxa"/>
          </w:tcPr>
          <w:p w:rsidR="007C5447" w:rsidRDefault="00F6308C">
            <w:pPr>
              <w:pStyle w:val="TableParagraph"/>
              <w:spacing w:before="15" w:line="227" w:lineRule="exact"/>
              <w:ind w:left="8"/>
              <w:jc w:val="center"/>
              <w:rPr>
                <w:sz w:val="20"/>
              </w:rPr>
            </w:pPr>
            <w:r>
              <w:rPr>
                <w:w w:val="99"/>
                <w:sz w:val="20"/>
              </w:rPr>
              <w:t>1</w:t>
            </w:r>
          </w:p>
        </w:tc>
        <w:tc>
          <w:tcPr>
            <w:tcW w:w="3263" w:type="dxa"/>
          </w:tcPr>
          <w:p w:rsidR="007C5447" w:rsidRDefault="00F6308C">
            <w:pPr>
              <w:pStyle w:val="TableParagraph"/>
              <w:spacing w:before="15" w:line="227" w:lineRule="exact"/>
              <w:ind w:left="107"/>
              <w:jc w:val="left"/>
              <w:rPr>
                <w:sz w:val="20"/>
              </w:rPr>
            </w:pPr>
            <w:r>
              <w:rPr>
                <w:sz w:val="20"/>
              </w:rPr>
              <w:t>Ennore TPS</w:t>
            </w:r>
          </w:p>
        </w:tc>
        <w:tc>
          <w:tcPr>
            <w:tcW w:w="1416" w:type="dxa"/>
          </w:tcPr>
          <w:p w:rsidR="007C5447" w:rsidRDefault="00F6308C">
            <w:pPr>
              <w:pStyle w:val="TableParagraph"/>
              <w:spacing w:before="15" w:line="227" w:lineRule="exact"/>
              <w:ind w:right="96"/>
              <w:rPr>
                <w:sz w:val="20"/>
              </w:rPr>
            </w:pPr>
            <w:r>
              <w:rPr>
                <w:w w:val="95"/>
                <w:sz w:val="20"/>
              </w:rPr>
              <w:t>399.78</w:t>
            </w:r>
          </w:p>
        </w:tc>
        <w:tc>
          <w:tcPr>
            <w:tcW w:w="1419" w:type="dxa"/>
          </w:tcPr>
          <w:p w:rsidR="007C5447" w:rsidRDefault="00F6308C">
            <w:pPr>
              <w:pStyle w:val="TableParagraph"/>
              <w:spacing w:before="15" w:line="227" w:lineRule="exact"/>
              <w:ind w:right="97"/>
              <w:rPr>
                <w:sz w:val="20"/>
              </w:rPr>
            </w:pPr>
            <w:r>
              <w:rPr>
                <w:w w:val="99"/>
                <w:sz w:val="20"/>
              </w:rPr>
              <w:t>-</w:t>
            </w:r>
          </w:p>
        </w:tc>
        <w:tc>
          <w:tcPr>
            <w:tcW w:w="1416" w:type="dxa"/>
          </w:tcPr>
          <w:p w:rsidR="007C5447" w:rsidRDefault="00F6308C">
            <w:pPr>
              <w:pStyle w:val="TableParagraph"/>
              <w:spacing w:before="15" w:line="227" w:lineRule="exact"/>
              <w:ind w:right="97"/>
              <w:rPr>
                <w:sz w:val="20"/>
              </w:rPr>
            </w:pPr>
            <w:r>
              <w:rPr>
                <w:w w:val="99"/>
                <w:sz w:val="20"/>
              </w:rPr>
              <w:t>-</w:t>
            </w:r>
          </w:p>
        </w:tc>
      </w:tr>
      <w:tr w:rsidR="007C5447">
        <w:trPr>
          <w:trHeight w:val="258"/>
        </w:trPr>
        <w:tc>
          <w:tcPr>
            <w:tcW w:w="850" w:type="dxa"/>
          </w:tcPr>
          <w:p w:rsidR="007C5447" w:rsidRDefault="00F6308C">
            <w:pPr>
              <w:pStyle w:val="TableParagraph"/>
              <w:spacing w:before="14" w:line="224" w:lineRule="exact"/>
              <w:ind w:left="8"/>
              <w:jc w:val="center"/>
              <w:rPr>
                <w:sz w:val="20"/>
              </w:rPr>
            </w:pPr>
            <w:r>
              <w:rPr>
                <w:w w:val="99"/>
                <w:sz w:val="20"/>
              </w:rPr>
              <w:t>2</w:t>
            </w:r>
          </w:p>
        </w:tc>
        <w:tc>
          <w:tcPr>
            <w:tcW w:w="3263" w:type="dxa"/>
          </w:tcPr>
          <w:p w:rsidR="007C5447" w:rsidRDefault="00F6308C">
            <w:pPr>
              <w:pStyle w:val="TableParagraph"/>
              <w:spacing w:before="14" w:line="224" w:lineRule="exact"/>
              <w:ind w:left="107"/>
              <w:jc w:val="left"/>
              <w:rPr>
                <w:sz w:val="20"/>
              </w:rPr>
            </w:pPr>
            <w:r>
              <w:rPr>
                <w:sz w:val="20"/>
              </w:rPr>
              <w:t>Tuticorin TPS</w:t>
            </w:r>
          </w:p>
        </w:tc>
        <w:tc>
          <w:tcPr>
            <w:tcW w:w="1416" w:type="dxa"/>
          </w:tcPr>
          <w:p w:rsidR="007C5447" w:rsidRDefault="00F6308C">
            <w:pPr>
              <w:pStyle w:val="TableParagraph"/>
              <w:spacing w:before="14" w:line="224" w:lineRule="exact"/>
              <w:ind w:right="96"/>
              <w:rPr>
                <w:sz w:val="20"/>
              </w:rPr>
            </w:pPr>
            <w:r>
              <w:rPr>
                <w:w w:val="95"/>
                <w:sz w:val="20"/>
              </w:rPr>
              <w:t>701.32</w:t>
            </w:r>
          </w:p>
        </w:tc>
        <w:tc>
          <w:tcPr>
            <w:tcW w:w="1419" w:type="dxa"/>
          </w:tcPr>
          <w:p w:rsidR="007C5447" w:rsidRDefault="00F6308C">
            <w:pPr>
              <w:pStyle w:val="TableParagraph"/>
              <w:spacing w:before="14" w:line="224" w:lineRule="exact"/>
              <w:ind w:right="97"/>
              <w:rPr>
                <w:sz w:val="20"/>
              </w:rPr>
            </w:pPr>
            <w:r>
              <w:rPr>
                <w:w w:val="95"/>
                <w:sz w:val="20"/>
              </w:rPr>
              <w:t>285.04</w:t>
            </w:r>
          </w:p>
        </w:tc>
        <w:tc>
          <w:tcPr>
            <w:tcW w:w="1416" w:type="dxa"/>
          </w:tcPr>
          <w:p w:rsidR="007C5447" w:rsidRDefault="00F6308C">
            <w:pPr>
              <w:pStyle w:val="TableParagraph"/>
              <w:spacing w:before="14" w:line="224" w:lineRule="exact"/>
              <w:ind w:right="96"/>
              <w:rPr>
                <w:sz w:val="20"/>
              </w:rPr>
            </w:pPr>
            <w:r>
              <w:rPr>
                <w:w w:val="95"/>
                <w:sz w:val="20"/>
              </w:rPr>
              <w:t>332.29</w:t>
            </w:r>
          </w:p>
        </w:tc>
      </w:tr>
      <w:tr w:rsidR="007C5447">
        <w:trPr>
          <w:trHeight w:val="261"/>
        </w:trPr>
        <w:tc>
          <w:tcPr>
            <w:tcW w:w="850" w:type="dxa"/>
          </w:tcPr>
          <w:p w:rsidR="007C5447" w:rsidRDefault="00F6308C">
            <w:pPr>
              <w:pStyle w:val="TableParagraph"/>
              <w:spacing w:before="14" w:line="227" w:lineRule="exact"/>
              <w:ind w:left="8"/>
              <w:jc w:val="center"/>
              <w:rPr>
                <w:sz w:val="20"/>
              </w:rPr>
            </w:pPr>
            <w:r>
              <w:rPr>
                <w:w w:val="99"/>
                <w:sz w:val="20"/>
              </w:rPr>
              <w:t>3</w:t>
            </w:r>
          </w:p>
        </w:tc>
        <w:tc>
          <w:tcPr>
            <w:tcW w:w="3263" w:type="dxa"/>
          </w:tcPr>
          <w:p w:rsidR="007C5447" w:rsidRDefault="00F6308C">
            <w:pPr>
              <w:pStyle w:val="TableParagraph"/>
              <w:spacing w:before="14" w:line="227" w:lineRule="exact"/>
              <w:ind w:left="107"/>
              <w:jc w:val="left"/>
              <w:rPr>
                <w:sz w:val="20"/>
              </w:rPr>
            </w:pPr>
            <w:r>
              <w:rPr>
                <w:sz w:val="20"/>
              </w:rPr>
              <w:t>Mettur TPS</w:t>
            </w:r>
          </w:p>
        </w:tc>
        <w:tc>
          <w:tcPr>
            <w:tcW w:w="1416" w:type="dxa"/>
          </w:tcPr>
          <w:p w:rsidR="007C5447" w:rsidRDefault="00F6308C">
            <w:pPr>
              <w:pStyle w:val="TableParagraph"/>
              <w:spacing w:before="14" w:line="227" w:lineRule="exact"/>
              <w:ind w:right="96"/>
              <w:rPr>
                <w:sz w:val="20"/>
              </w:rPr>
            </w:pPr>
            <w:r>
              <w:rPr>
                <w:w w:val="95"/>
                <w:sz w:val="20"/>
              </w:rPr>
              <w:t>419.88</w:t>
            </w:r>
          </w:p>
        </w:tc>
        <w:tc>
          <w:tcPr>
            <w:tcW w:w="1419" w:type="dxa"/>
          </w:tcPr>
          <w:p w:rsidR="007C5447" w:rsidRDefault="00F6308C">
            <w:pPr>
              <w:pStyle w:val="TableParagraph"/>
              <w:spacing w:before="14" w:line="227" w:lineRule="exact"/>
              <w:ind w:right="97"/>
              <w:rPr>
                <w:sz w:val="20"/>
              </w:rPr>
            </w:pPr>
            <w:r>
              <w:rPr>
                <w:w w:val="95"/>
                <w:sz w:val="20"/>
              </w:rPr>
              <w:t>180.13</w:t>
            </w:r>
          </w:p>
        </w:tc>
        <w:tc>
          <w:tcPr>
            <w:tcW w:w="1416" w:type="dxa"/>
          </w:tcPr>
          <w:p w:rsidR="007C5447" w:rsidRDefault="00F6308C">
            <w:pPr>
              <w:pStyle w:val="TableParagraph"/>
              <w:spacing w:before="14" w:line="227" w:lineRule="exact"/>
              <w:ind w:right="96"/>
              <w:rPr>
                <w:sz w:val="20"/>
              </w:rPr>
            </w:pPr>
            <w:r>
              <w:rPr>
                <w:w w:val="95"/>
                <w:sz w:val="20"/>
              </w:rPr>
              <w:t>199.59</w:t>
            </w:r>
          </w:p>
        </w:tc>
      </w:tr>
      <w:tr w:rsidR="007C5447">
        <w:trPr>
          <w:trHeight w:val="258"/>
        </w:trPr>
        <w:tc>
          <w:tcPr>
            <w:tcW w:w="850" w:type="dxa"/>
          </w:tcPr>
          <w:p w:rsidR="007C5447" w:rsidRDefault="00F6308C">
            <w:pPr>
              <w:pStyle w:val="TableParagraph"/>
              <w:spacing w:before="14" w:line="224" w:lineRule="exact"/>
              <w:ind w:left="8"/>
              <w:jc w:val="center"/>
              <w:rPr>
                <w:sz w:val="20"/>
              </w:rPr>
            </w:pPr>
            <w:r>
              <w:rPr>
                <w:w w:val="99"/>
                <w:sz w:val="20"/>
              </w:rPr>
              <w:t>4</w:t>
            </w:r>
          </w:p>
        </w:tc>
        <w:tc>
          <w:tcPr>
            <w:tcW w:w="3263" w:type="dxa"/>
          </w:tcPr>
          <w:p w:rsidR="007C5447" w:rsidRDefault="00F6308C">
            <w:pPr>
              <w:pStyle w:val="TableParagraph"/>
              <w:spacing w:before="14" w:line="224" w:lineRule="exact"/>
              <w:ind w:left="107"/>
              <w:jc w:val="left"/>
              <w:rPr>
                <w:sz w:val="20"/>
              </w:rPr>
            </w:pPr>
            <w:r>
              <w:rPr>
                <w:sz w:val="20"/>
              </w:rPr>
              <w:t>North Chennai TPS</w:t>
            </w:r>
          </w:p>
        </w:tc>
        <w:tc>
          <w:tcPr>
            <w:tcW w:w="1416" w:type="dxa"/>
          </w:tcPr>
          <w:p w:rsidR="007C5447" w:rsidRDefault="00F6308C">
            <w:pPr>
              <w:pStyle w:val="TableParagraph"/>
              <w:spacing w:before="14" w:line="224" w:lineRule="exact"/>
              <w:ind w:right="96"/>
              <w:rPr>
                <w:sz w:val="20"/>
              </w:rPr>
            </w:pPr>
            <w:r>
              <w:rPr>
                <w:w w:val="95"/>
                <w:sz w:val="20"/>
              </w:rPr>
              <w:t>727.19</w:t>
            </w:r>
          </w:p>
        </w:tc>
        <w:tc>
          <w:tcPr>
            <w:tcW w:w="1419" w:type="dxa"/>
          </w:tcPr>
          <w:p w:rsidR="007C5447" w:rsidRDefault="00F6308C">
            <w:pPr>
              <w:pStyle w:val="TableParagraph"/>
              <w:spacing w:before="14" w:line="224" w:lineRule="exact"/>
              <w:ind w:right="97"/>
              <w:rPr>
                <w:sz w:val="20"/>
              </w:rPr>
            </w:pPr>
            <w:r>
              <w:rPr>
                <w:w w:val="95"/>
                <w:sz w:val="20"/>
              </w:rPr>
              <w:t>330.02</w:t>
            </w:r>
          </w:p>
        </w:tc>
        <w:tc>
          <w:tcPr>
            <w:tcW w:w="1416" w:type="dxa"/>
          </w:tcPr>
          <w:p w:rsidR="007C5447" w:rsidRDefault="00F6308C">
            <w:pPr>
              <w:pStyle w:val="TableParagraph"/>
              <w:spacing w:before="14" w:line="224" w:lineRule="exact"/>
              <w:ind w:right="96"/>
              <w:rPr>
                <w:sz w:val="20"/>
              </w:rPr>
            </w:pPr>
            <w:r>
              <w:rPr>
                <w:w w:val="95"/>
                <w:sz w:val="20"/>
              </w:rPr>
              <w:t>462.03</w:t>
            </w:r>
          </w:p>
        </w:tc>
      </w:tr>
      <w:tr w:rsidR="007C5447">
        <w:trPr>
          <w:trHeight w:val="261"/>
        </w:trPr>
        <w:tc>
          <w:tcPr>
            <w:tcW w:w="850" w:type="dxa"/>
          </w:tcPr>
          <w:p w:rsidR="007C5447" w:rsidRDefault="00F6308C">
            <w:pPr>
              <w:pStyle w:val="TableParagraph"/>
              <w:spacing w:before="14" w:line="227" w:lineRule="exact"/>
              <w:ind w:left="8"/>
              <w:jc w:val="center"/>
              <w:rPr>
                <w:sz w:val="20"/>
              </w:rPr>
            </w:pPr>
            <w:r>
              <w:rPr>
                <w:w w:val="99"/>
                <w:sz w:val="20"/>
              </w:rPr>
              <w:t>5</w:t>
            </w:r>
          </w:p>
        </w:tc>
        <w:tc>
          <w:tcPr>
            <w:tcW w:w="3263" w:type="dxa"/>
          </w:tcPr>
          <w:p w:rsidR="007C5447" w:rsidRDefault="00F6308C">
            <w:pPr>
              <w:pStyle w:val="TableParagraph"/>
              <w:spacing w:before="14" w:line="227" w:lineRule="exact"/>
              <w:ind w:left="107"/>
              <w:jc w:val="left"/>
              <w:rPr>
                <w:sz w:val="20"/>
              </w:rPr>
            </w:pPr>
            <w:r>
              <w:rPr>
                <w:sz w:val="20"/>
              </w:rPr>
              <w:t>Mettur TPS Stage III</w:t>
            </w:r>
          </w:p>
        </w:tc>
        <w:tc>
          <w:tcPr>
            <w:tcW w:w="1416" w:type="dxa"/>
          </w:tcPr>
          <w:p w:rsidR="007C5447" w:rsidRDefault="00F6308C">
            <w:pPr>
              <w:pStyle w:val="TableParagraph"/>
              <w:spacing w:before="14" w:line="227" w:lineRule="exact"/>
              <w:ind w:right="96"/>
              <w:rPr>
                <w:sz w:val="20"/>
              </w:rPr>
            </w:pPr>
            <w:r>
              <w:rPr>
                <w:w w:val="95"/>
                <w:sz w:val="20"/>
              </w:rPr>
              <w:t>197.29</w:t>
            </w:r>
          </w:p>
        </w:tc>
        <w:tc>
          <w:tcPr>
            <w:tcW w:w="1419" w:type="dxa"/>
          </w:tcPr>
          <w:p w:rsidR="007C5447" w:rsidRDefault="00F6308C">
            <w:pPr>
              <w:pStyle w:val="TableParagraph"/>
              <w:spacing w:before="14" w:line="227" w:lineRule="exact"/>
              <w:ind w:right="97"/>
              <w:rPr>
                <w:sz w:val="20"/>
              </w:rPr>
            </w:pPr>
            <w:r>
              <w:rPr>
                <w:w w:val="95"/>
                <w:sz w:val="20"/>
              </w:rPr>
              <w:t>257.87</w:t>
            </w:r>
          </w:p>
        </w:tc>
        <w:tc>
          <w:tcPr>
            <w:tcW w:w="1416" w:type="dxa"/>
          </w:tcPr>
          <w:p w:rsidR="007C5447" w:rsidRDefault="00F6308C">
            <w:pPr>
              <w:pStyle w:val="TableParagraph"/>
              <w:spacing w:before="14" w:line="227" w:lineRule="exact"/>
              <w:ind w:right="96"/>
              <w:rPr>
                <w:sz w:val="20"/>
              </w:rPr>
            </w:pPr>
            <w:r>
              <w:rPr>
                <w:w w:val="95"/>
                <w:sz w:val="20"/>
              </w:rPr>
              <w:t>255.69</w:t>
            </w:r>
          </w:p>
        </w:tc>
      </w:tr>
      <w:tr w:rsidR="007C5447">
        <w:trPr>
          <w:trHeight w:val="258"/>
        </w:trPr>
        <w:tc>
          <w:tcPr>
            <w:tcW w:w="850" w:type="dxa"/>
          </w:tcPr>
          <w:p w:rsidR="007C5447" w:rsidRDefault="00F6308C">
            <w:pPr>
              <w:pStyle w:val="TableParagraph"/>
              <w:spacing w:before="14" w:line="224" w:lineRule="exact"/>
              <w:ind w:left="8"/>
              <w:jc w:val="center"/>
              <w:rPr>
                <w:sz w:val="20"/>
              </w:rPr>
            </w:pPr>
            <w:r>
              <w:rPr>
                <w:w w:val="99"/>
                <w:sz w:val="20"/>
              </w:rPr>
              <w:t>6</w:t>
            </w:r>
          </w:p>
        </w:tc>
        <w:tc>
          <w:tcPr>
            <w:tcW w:w="3263" w:type="dxa"/>
          </w:tcPr>
          <w:p w:rsidR="007C5447" w:rsidRDefault="00F6308C">
            <w:pPr>
              <w:pStyle w:val="TableParagraph"/>
              <w:spacing w:before="14" w:line="224" w:lineRule="exact"/>
              <w:ind w:left="107"/>
              <w:jc w:val="left"/>
              <w:rPr>
                <w:sz w:val="20"/>
              </w:rPr>
            </w:pPr>
            <w:r>
              <w:rPr>
                <w:sz w:val="20"/>
              </w:rPr>
              <w:t>North Chennai TPS II</w:t>
            </w:r>
          </w:p>
        </w:tc>
        <w:tc>
          <w:tcPr>
            <w:tcW w:w="1416" w:type="dxa"/>
          </w:tcPr>
          <w:p w:rsidR="007C5447" w:rsidRDefault="00F6308C">
            <w:pPr>
              <w:pStyle w:val="TableParagraph"/>
              <w:spacing w:before="14" w:line="224" w:lineRule="exact"/>
              <w:ind w:right="96"/>
              <w:rPr>
                <w:sz w:val="20"/>
              </w:rPr>
            </w:pPr>
            <w:r>
              <w:rPr>
                <w:w w:val="95"/>
                <w:sz w:val="20"/>
              </w:rPr>
              <w:t>237.14</w:t>
            </w:r>
          </w:p>
        </w:tc>
        <w:tc>
          <w:tcPr>
            <w:tcW w:w="1419" w:type="dxa"/>
          </w:tcPr>
          <w:p w:rsidR="007C5447" w:rsidRDefault="00F6308C">
            <w:pPr>
              <w:pStyle w:val="TableParagraph"/>
              <w:spacing w:before="14" w:line="224" w:lineRule="exact"/>
              <w:ind w:right="97"/>
              <w:rPr>
                <w:sz w:val="20"/>
              </w:rPr>
            </w:pPr>
            <w:r>
              <w:rPr>
                <w:w w:val="95"/>
                <w:sz w:val="20"/>
              </w:rPr>
              <w:t>565.72</w:t>
            </w:r>
          </w:p>
        </w:tc>
        <w:tc>
          <w:tcPr>
            <w:tcW w:w="1416" w:type="dxa"/>
          </w:tcPr>
          <w:p w:rsidR="007C5447" w:rsidRDefault="00F6308C">
            <w:pPr>
              <w:pStyle w:val="TableParagraph"/>
              <w:spacing w:before="14" w:line="224" w:lineRule="exact"/>
              <w:ind w:right="96"/>
              <w:rPr>
                <w:sz w:val="20"/>
              </w:rPr>
            </w:pPr>
            <w:r>
              <w:rPr>
                <w:w w:val="95"/>
                <w:sz w:val="20"/>
              </w:rPr>
              <w:t>542.40</w:t>
            </w:r>
          </w:p>
        </w:tc>
      </w:tr>
      <w:tr w:rsidR="007C5447">
        <w:trPr>
          <w:trHeight w:val="258"/>
        </w:trPr>
        <w:tc>
          <w:tcPr>
            <w:tcW w:w="850" w:type="dxa"/>
          </w:tcPr>
          <w:p w:rsidR="007C5447" w:rsidRDefault="00F6308C">
            <w:pPr>
              <w:pStyle w:val="TableParagraph"/>
              <w:spacing w:before="14" w:line="224" w:lineRule="exact"/>
              <w:ind w:left="8"/>
              <w:jc w:val="center"/>
              <w:rPr>
                <w:sz w:val="20"/>
              </w:rPr>
            </w:pPr>
            <w:r>
              <w:rPr>
                <w:w w:val="99"/>
                <w:sz w:val="20"/>
              </w:rPr>
              <w:t>7</w:t>
            </w:r>
          </w:p>
        </w:tc>
        <w:tc>
          <w:tcPr>
            <w:tcW w:w="3263" w:type="dxa"/>
          </w:tcPr>
          <w:p w:rsidR="007C5447" w:rsidRDefault="00F6308C">
            <w:pPr>
              <w:pStyle w:val="TableParagraph"/>
              <w:spacing w:before="14" w:line="224" w:lineRule="exact"/>
              <w:ind w:left="107"/>
              <w:jc w:val="left"/>
              <w:rPr>
                <w:sz w:val="20"/>
              </w:rPr>
            </w:pPr>
            <w:r>
              <w:rPr>
                <w:sz w:val="20"/>
              </w:rPr>
              <w:t>Ennore Expansion II</w:t>
            </w:r>
          </w:p>
        </w:tc>
        <w:tc>
          <w:tcPr>
            <w:tcW w:w="1416" w:type="dxa"/>
          </w:tcPr>
          <w:p w:rsidR="007C5447" w:rsidRDefault="00F6308C">
            <w:pPr>
              <w:pStyle w:val="TableParagraph"/>
              <w:spacing w:before="14" w:line="224" w:lineRule="exact"/>
              <w:ind w:right="97"/>
              <w:rPr>
                <w:sz w:val="20"/>
              </w:rPr>
            </w:pPr>
            <w:r>
              <w:rPr>
                <w:w w:val="99"/>
                <w:sz w:val="20"/>
              </w:rPr>
              <w:t>-</w:t>
            </w:r>
          </w:p>
        </w:tc>
        <w:tc>
          <w:tcPr>
            <w:tcW w:w="1419" w:type="dxa"/>
          </w:tcPr>
          <w:p w:rsidR="007C5447" w:rsidRDefault="00F6308C">
            <w:pPr>
              <w:pStyle w:val="TableParagraph"/>
              <w:spacing w:before="14" w:line="224" w:lineRule="exact"/>
              <w:ind w:right="97"/>
              <w:rPr>
                <w:sz w:val="20"/>
              </w:rPr>
            </w:pPr>
            <w:r>
              <w:rPr>
                <w:w w:val="99"/>
                <w:sz w:val="20"/>
              </w:rPr>
              <w:t>-</w:t>
            </w:r>
          </w:p>
        </w:tc>
        <w:tc>
          <w:tcPr>
            <w:tcW w:w="1416" w:type="dxa"/>
          </w:tcPr>
          <w:p w:rsidR="007C5447" w:rsidRDefault="00F6308C">
            <w:pPr>
              <w:pStyle w:val="TableParagraph"/>
              <w:spacing w:before="14" w:line="224" w:lineRule="exact"/>
              <w:ind w:right="96"/>
              <w:rPr>
                <w:sz w:val="20"/>
              </w:rPr>
            </w:pPr>
            <w:r>
              <w:rPr>
                <w:w w:val="95"/>
                <w:sz w:val="20"/>
              </w:rPr>
              <w:t>163.36</w:t>
            </w:r>
          </w:p>
        </w:tc>
      </w:tr>
      <w:tr w:rsidR="007C5447">
        <w:trPr>
          <w:trHeight w:val="261"/>
        </w:trPr>
        <w:tc>
          <w:tcPr>
            <w:tcW w:w="850" w:type="dxa"/>
          </w:tcPr>
          <w:p w:rsidR="007C5447" w:rsidRDefault="00F6308C">
            <w:pPr>
              <w:pStyle w:val="TableParagraph"/>
              <w:spacing w:before="17" w:line="224" w:lineRule="exact"/>
              <w:ind w:left="8"/>
              <w:jc w:val="center"/>
              <w:rPr>
                <w:sz w:val="20"/>
              </w:rPr>
            </w:pPr>
            <w:r>
              <w:rPr>
                <w:w w:val="99"/>
                <w:sz w:val="20"/>
              </w:rPr>
              <w:t>8</w:t>
            </w:r>
          </w:p>
        </w:tc>
        <w:tc>
          <w:tcPr>
            <w:tcW w:w="3263" w:type="dxa"/>
          </w:tcPr>
          <w:p w:rsidR="007C5447" w:rsidRDefault="00F6308C">
            <w:pPr>
              <w:pStyle w:val="TableParagraph"/>
              <w:spacing w:before="17" w:line="224" w:lineRule="exact"/>
              <w:ind w:left="107"/>
              <w:jc w:val="left"/>
              <w:rPr>
                <w:sz w:val="20"/>
              </w:rPr>
            </w:pPr>
            <w:r>
              <w:rPr>
                <w:sz w:val="20"/>
              </w:rPr>
              <w:t>Tirumakottai GTPS</w:t>
            </w:r>
          </w:p>
        </w:tc>
        <w:tc>
          <w:tcPr>
            <w:tcW w:w="1416" w:type="dxa"/>
          </w:tcPr>
          <w:p w:rsidR="007C5447" w:rsidRDefault="00F6308C">
            <w:pPr>
              <w:pStyle w:val="TableParagraph"/>
              <w:spacing w:before="17" w:line="224" w:lineRule="exact"/>
              <w:ind w:right="96"/>
              <w:rPr>
                <w:sz w:val="20"/>
              </w:rPr>
            </w:pPr>
            <w:r>
              <w:rPr>
                <w:w w:val="95"/>
                <w:sz w:val="20"/>
              </w:rPr>
              <w:t>168.27</w:t>
            </w:r>
          </w:p>
        </w:tc>
        <w:tc>
          <w:tcPr>
            <w:tcW w:w="1419" w:type="dxa"/>
          </w:tcPr>
          <w:p w:rsidR="007C5447" w:rsidRDefault="00F6308C">
            <w:pPr>
              <w:pStyle w:val="TableParagraph"/>
              <w:spacing w:before="17" w:line="224" w:lineRule="exact"/>
              <w:ind w:right="97"/>
              <w:rPr>
                <w:sz w:val="20"/>
              </w:rPr>
            </w:pPr>
            <w:r>
              <w:rPr>
                <w:sz w:val="20"/>
              </w:rPr>
              <w:t>72.63</w:t>
            </w:r>
          </w:p>
        </w:tc>
        <w:tc>
          <w:tcPr>
            <w:tcW w:w="1416" w:type="dxa"/>
          </w:tcPr>
          <w:p w:rsidR="007C5447" w:rsidRDefault="00F6308C">
            <w:pPr>
              <w:pStyle w:val="TableParagraph"/>
              <w:spacing w:before="17" w:line="224" w:lineRule="exact"/>
              <w:ind w:right="96"/>
              <w:rPr>
                <w:sz w:val="20"/>
              </w:rPr>
            </w:pPr>
            <w:r>
              <w:rPr>
                <w:sz w:val="20"/>
              </w:rPr>
              <w:t>86.05</w:t>
            </w:r>
          </w:p>
        </w:tc>
      </w:tr>
      <w:tr w:rsidR="007C5447">
        <w:trPr>
          <w:trHeight w:val="258"/>
        </w:trPr>
        <w:tc>
          <w:tcPr>
            <w:tcW w:w="850" w:type="dxa"/>
          </w:tcPr>
          <w:p w:rsidR="007C5447" w:rsidRDefault="00F6308C">
            <w:pPr>
              <w:pStyle w:val="TableParagraph"/>
              <w:spacing w:before="14" w:line="224" w:lineRule="exact"/>
              <w:ind w:left="8"/>
              <w:jc w:val="center"/>
              <w:rPr>
                <w:sz w:val="20"/>
              </w:rPr>
            </w:pPr>
            <w:r>
              <w:rPr>
                <w:w w:val="99"/>
                <w:sz w:val="20"/>
              </w:rPr>
              <w:t>9</w:t>
            </w:r>
          </w:p>
        </w:tc>
        <w:tc>
          <w:tcPr>
            <w:tcW w:w="3263" w:type="dxa"/>
          </w:tcPr>
          <w:p w:rsidR="007C5447" w:rsidRDefault="00F6308C">
            <w:pPr>
              <w:pStyle w:val="TableParagraph"/>
              <w:spacing w:before="14" w:line="224" w:lineRule="exact"/>
              <w:ind w:left="107"/>
              <w:jc w:val="left"/>
              <w:rPr>
                <w:sz w:val="20"/>
              </w:rPr>
            </w:pPr>
            <w:r>
              <w:rPr>
                <w:sz w:val="20"/>
              </w:rPr>
              <w:t>Kuttalam GTPS</w:t>
            </w:r>
          </w:p>
        </w:tc>
        <w:tc>
          <w:tcPr>
            <w:tcW w:w="1416" w:type="dxa"/>
          </w:tcPr>
          <w:p w:rsidR="007C5447" w:rsidRDefault="00F6308C">
            <w:pPr>
              <w:pStyle w:val="TableParagraph"/>
              <w:spacing w:before="14" w:line="224" w:lineRule="exact"/>
              <w:ind w:right="96"/>
              <w:rPr>
                <w:sz w:val="20"/>
              </w:rPr>
            </w:pPr>
            <w:r>
              <w:rPr>
                <w:w w:val="95"/>
                <w:sz w:val="20"/>
              </w:rPr>
              <w:t>140.61</w:t>
            </w:r>
          </w:p>
        </w:tc>
        <w:tc>
          <w:tcPr>
            <w:tcW w:w="1419" w:type="dxa"/>
          </w:tcPr>
          <w:p w:rsidR="007C5447" w:rsidRDefault="00F6308C">
            <w:pPr>
              <w:pStyle w:val="TableParagraph"/>
              <w:spacing w:before="14" w:line="224" w:lineRule="exact"/>
              <w:ind w:right="97"/>
              <w:rPr>
                <w:sz w:val="20"/>
              </w:rPr>
            </w:pPr>
            <w:r>
              <w:rPr>
                <w:sz w:val="20"/>
              </w:rPr>
              <w:t>57.38</w:t>
            </w:r>
          </w:p>
        </w:tc>
        <w:tc>
          <w:tcPr>
            <w:tcW w:w="1416" w:type="dxa"/>
          </w:tcPr>
          <w:p w:rsidR="007C5447" w:rsidRDefault="00F6308C">
            <w:pPr>
              <w:pStyle w:val="TableParagraph"/>
              <w:spacing w:before="14" w:line="224" w:lineRule="exact"/>
              <w:ind w:right="96"/>
              <w:rPr>
                <w:sz w:val="20"/>
              </w:rPr>
            </w:pPr>
            <w:r>
              <w:rPr>
                <w:sz w:val="20"/>
              </w:rPr>
              <w:t>61.03</w:t>
            </w:r>
          </w:p>
        </w:tc>
      </w:tr>
      <w:tr w:rsidR="007C5447">
        <w:trPr>
          <w:trHeight w:val="261"/>
        </w:trPr>
        <w:tc>
          <w:tcPr>
            <w:tcW w:w="850" w:type="dxa"/>
          </w:tcPr>
          <w:p w:rsidR="007C5447" w:rsidRDefault="00F6308C">
            <w:pPr>
              <w:pStyle w:val="TableParagraph"/>
              <w:spacing w:before="17" w:line="224" w:lineRule="exact"/>
              <w:ind w:left="295" w:right="286"/>
              <w:jc w:val="center"/>
              <w:rPr>
                <w:sz w:val="20"/>
              </w:rPr>
            </w:pPr>
            <w:r>
              <w:rPr>
                <w:sz w:val="20"/>
              </w:rPr>
              <w:t>10</w:t>
            </w:r>
          </w:p>
        </w:tc>
        <w:tc>
          <w:tcPr>
            <w:tcW w:w="3263" w:type="dxa"/>
          </w:tcPr>
          <w:p w:rsidR="007C5447" w:rsidRDefault="00F6308C">
            <w:pPr>
              <w:pStyle w:val="TableParagraph"/>
              <w:spacing w:before="17" w:line="224" w:lineRule="exact"/>
              <w:ind w:left="107"/>
              <w:jc w:val="left"/>
              <w:rPr>
                <w:sz w:val="20"/>
              </w:rPr>
            </w:pPr>
            <w:r>
              <w:rPr>
                <w:sz w:val="20"/>
              </w:rPr>
              <w:t>Basin Bridge GTPS</w:t>
            </w:r>
          </w:p>
        </w:tc>
        <w:tc>
          <w:tcPr>
            <w:tcW w:w="1416" w:type="dxa"/>
          </w:tcPr>
          <w:p w:rsidR="007C5447" w:rsidRDefault="00F6308C">
            <w:pPr>
              <w:pStyle w:val="TableParagraph"/>
              <w:spacing w:before="17" w:line="224" w:lineRule="exact"/>
              <w:ind w:right="96"/>
              <w:rPr>
                <w:sz w:val="20"/>
              </w:rPr>
            </w:pPr>
            <w:r>
              <w:rPr>
                <w:w w:val="95"/>
                <w:sz w:val="20"/>
              </w:rPr>
              <w:t>209.48</w:t>
            </w:r>
          </w:p>
        </w:tc>
        <w:tc>
          <w:tcPr>
            <w:tcW w:w="1419" w:type="dxa"/>
          </w:tcPr>
          <w:p w:rsidR="007C5447" w:rsidRDefault="00F6308C">
            <w:pPr>
              <w:pStyle w:val="TableParagraph"/>
              <w:spacing w:before="17" w:line="224" w:lineRule="exact"/>
              <w:ind w:right="97"/>
              <w:rPr>
                <w:sz w:val="20"/>
              </w:rPr>
            </w:pPr>
            <w:r>
              <w:rPr>
                <w:w w:val="95"/>
                <w:sz w:val="20"/>
              </w:rPr>
              <w:t>199.32</w:t>
            </w:r>
          </w:p>
        </w:tc>
        <w:tc>
          <w:tcPr>
            <w:tcW w:w="1416" w:type="dxa"/>
          </w:tcPr>
          <w:p w:rsidR="007C5447" w:rsidRDefault="00F6308C">
            <w:pPr>
              <w:pStyle w:val="TableParagraph"/>
              <w:spacing w:before="17" w:line="224" w:lineRule="exact"/>
              <w:ind w:right="96"/>
              <w:rPr>
                <w:sz w:val="20"/>
              </w:rPr>
            </w:pPr>
            <w:r>
              <w:rPr>
                <w:w w:val="95"/>
                <w:sz w:val="20"/>
              </w:rPr>
              <w:t>190.54</w:t>
            </w:r>
          </w:p>
        </w:tc>
      </w:tr>
      <w:tr w:rsidR="007C5447">
        <w:trPr>
          <w:trHeight w:val="258"/>
        </w:trPr>
        <w:tc>
          <w:tcPr>
            <w:tcW w:w="850" w:type="dxa"/>
          </w:tcPr>
          <w:p w:rsidR="007C5447" w:rsidRDefault="00F6308C">
            <w:pPr>
              <w:pStyle w:val="TableParagraph"/>
              <w:spacing w:before="14" w:line="224" w:lineRule="exact"/>
              <w:ind w:left="295" w:right="286"/>
              <w:jc w:val="center"/>
              <w:rPr>
                <w:sz w:val="20"/>
              </w:rPr>
            </w:pPr>
            <w:r>
              <w:rPr>
                <w:sz w:val="20"/>
              </w:rPr>
              <w:t>11</w:t>
            </w:r>
          </w:p>
        </w:tc>
        <w:tc>
          <w:tcPr>
            <w:tcW w:w="3263" w:type="dxa"/>
          </w:tcPr>
          <w:p w:rsidR="007C5447" w:rsidRDefault="00F6308C">
            <w:pPr>
              <w:pStyle w:val="TableParagraph"/>
              <w:spacing w:before="14" w:line="224" w:lineRule="exact"/>
              <w:ind w:left="107"/>
              <w:jc w:val="left"/>
              <w:rPr>
                <w:sz w:val="20"/>
              </w:rPr>
            </w:pPr>
            <w:r>
              <w:rPr>
                <w:sz w:val="20"/>
              </w:rPr>
              <w:t>Valuthur GTPS</w:t>
            </w:r>
          </w:p>
        </w:tc>
        <w:tc>
          <w:tcPr>
            <w:tcW w:w="1416" w:type="dxa"/>
          </w:tcPr>
          <w:p w:rsidR="007C5447" w:rsidRDefault="00F6308C">
            <w:pPr>
              <w:pStyle w:val="TableParagraph"/>
              <w:spacing w:before="14" w:line="224" w:lineRule="exact"/>
              <w:ind w:right="96"/>
              <w:rPr>
                <w:sz w:val="20"/>
              </w:rPr>
            </w:pPr>
            <w:r>
              <w:rPr>
                <w:w w:val="95"/>
                <w:sz w:val="20"/>
              </w:rPr>
              <w:t>207.83</w:t>
            </w:r>
          </w:p>
        </w:tc>
        <w:tc>
          <w:tcPr>
            <w:tcW w:w="1419" w:type="dxa"/>
          </w:tcPr>
          <w:p w:rsidR="007C5447" w:rsidRDefault="00F6308C">
            <w:pPr>
              <w:pStyle w:val="TableParagraph"/>
              <w:spacing w:before="14" w:line="224" w:lineRule="exact"/>
              <w:ind w:right="97"/>
              <w:rPr>
                <w:sz w:val="20"/>
              </w:rPr>
            </w:pPr>
            <w:r>
              <w:rPr>
                <w:w w:val="95"/>
                <w:sz w:val="20"/>
              </w:rPr>
              <w:t>129.58</w:t>
            </w:r>
          </w:p>
        </w:tc>
        <w:tc>
          <w:tcPr>
            <w:tcW w:w="1416" w:type="dxa"/>
          </w:tcPr>
          <w:p w:rsidR="007C5447" w:rsidRDefault="00F6308C">
            <w:pPr>
              <w:pStyle w:val="TableParagraph"/>
              <w:spacing w:before="14" w:line="224" w:lineRule="exact"/>
              <w:ind w:right="96"/>
              <w:rPr>
                <w:sz w:val="20"/>
              </w:rPr>
            </w:pPr>
            <w:r>
              <w:rPr>
                <w:w w:val="95"/>
                <w:sz w:val="20"/>
              </w:rPr>
              <w:t>148.92</w:t>
            </w:r>
          </w:p>
        </w:tc>
      </w:tr>
      <w:tr w:rsidR="007C5447">
        <w:trPr>
          <w:trHeight w:val="261"/>
        </w:trPr>
        <w:tc>
          <w:tcPr>
            <w:tcW w:w="850" w:type="dxa"/>
          </w:tcPr>
          <w:p w:rsidR="007C5447" w:rsidRDefault="00F6308C">
            <w:pPr>
              <w:pStyle w:val="TableParagraph"/>
              <w:spacing w:before="17" w:line="224" w:lineRule="exact"/>
              <w:ind w:left="295" w:right="286"/>
              <w:jc w:val="center"/>
              <w:rPr>
                <w:sz w:val="20"/>
              </w:rPr>
            </w:pPr>
            <w:r>
              <w:rPr>
                <w:sz w:val="20"/>
              </w:rPr>
              <w:t>12</w:t>
            </w:r>
          </w:p>
        </w:tc>
        <w:tc>
          <w:tcPr>
            <w:tcW w:w="3263" w:type="dxa"/>
          </w:tcPr>
          <w:p w:rsidR="007C5447" w:rsidRDefault="00F6308C">
            <w:pPr>
              <w:pStyle w:val="TableParagraph"/>
              <w:spacing w:before="17" w:line="224" w:lineRule="exact"/>
              <w:ind w:left="107"/>
              <w:jc w:val="left"/>
              <w:rPr>
                <w:sz w:val="20"/>
              </w:rPr>
            </w:pPr>
            <w:r>
              <w:rPr>
                <w:sz w:val="20"/>
              </w:rPr>
              <w:t>Erode HEP</w:t>
            </w:r>
          </w:p>
        </w:tc>
        <w:tc>
          <w:tcPr>
            <w:tcW w:w="1416" w:type="dxa"/>
          </w:tcPr>
          <w:p w:rsidR="007C5447" w:rsidRDefault="00F6308C">
            <w:pPr>
              <w:pStyle w:val="TableParagraph"/>
              <w:spacing w:before="17" w:line="224" w:lineRule="exact"/>
              <w:ind w:right="96"/>
              <w:rPr>
                <w:sz w:val="20"/>
              </w:rPr>
            </w:pPr>
            <w:r>
              <w:rPr>
                <w:w w:val="95"/>
                <w:sz w:val="20"/>
              </w:rPr>
              <w:t>264.43</w:t>
            </w:r>
          </w:p>
        </w:tc>
        <w:tc>
          <w:tcPr>
            <w:tcW w:w="1419" w:type="dxa"/>
          </w:tcPr>
          <w:p w:rsidR="007C5447" w:rsidRDefault="00F6308C">
            <w:pPr>
              <w:pStyle w:val="TableParagraph"/>
              <w:spacing w:before="17" w:line="224" w:lineRule="exact"/>
              <w:ind w:right="97"/>
              <w:rPr>
                <w:sz w:val="20"/>
              </w:rPr>
            </w:pPr>
            <w:r>
              <w:rPr>
                <w:w w:val="95"/>
                <w:sz w:val="20"/>
              </w:rPr>
              <w:t>133.54</w:t>
            </w:r>
          </w:p>
        </w:tc>
        <w:tc>
          <w:tcPr>
            <w:tcW w:w="1416" w:type="dxa"/>
          </w:tcPr>
          <w:p w:rsidR="007C5447" w:rsidRDefault="00F6308C">
            <w:pPr>
              <w:pStyle w:val="TableParagraph"/>
              <w:spacing w:before="17" w:line="224" w:lineRule="exact"/>
              <w:ind w:right="96"/>
              <w:rPr>
                <w:sz w:val="20"/>
              </w:rPr>
            </w:pPr>
            <w:r>
              <w:rPr>
                <w:w w:val="95"/>
                <w:sz w:val="20"/>
              </w:rPr>
              <w:t>129.61</w:t>
            </w:r>
          </w:p>
        </w:tc>
      </w:tr>
      <w:tr w:rsidR="007C5447">
        <w:trPr>
          <w:trHeight w:val="258"/>
        </w:trPr>
        <w:tc>
          <w:tcPr>
            <w:tcW w:w="850" w:type="dxa"/>
          </w:tcPr>
          <w:p w:rsidR="007C5447" w:rsidRDefault="00F6308C">
            <w:pPr>
              <w:pStyle w:val="TableParagraph"/>
              <w:spacing w:before="14" w:line="224" w:lineRule="exact"/>
              <w:ind w:left="295" w:right="286"/>
              <w:jc w:val="center"/>
              <w:rPr>
                <w:sz w:val="20"/>
              </w:rPr>
            </w:pPr>
            <w:r>
              <w:rPr>
                <w:sz w:val="20"/>
              </w:rPr>
              <w:t>13</w:t>
            </w:r>
          </w:p>
        </w:tc>
        <w:tc>
          <w:tcPr>
            <w:tcW w:w="3263" w:type="dxa"/>
          </w:tcPr>
          <w:p w:rsidR="007C5447" w:rsidRDefault="00F6308C">
            <w:pPr>
              <w:pStyle w:val="TableParagraph"/>
              <w:spacing w:before="14" w:line="224" w:lineRule="exact"/>
              <w:ind w:left="107"/>
              <w:jc w:val="left"/>
              <w:rPr>
                <w:sz w:val="20"/>
              </w:rPr>
            </w:pPr>
            <w:r>
              <w:rPr>
                <w:sz w:val="20"/>
              </w:rPr>
              <w:t>Kadamparai HEP</w:t>
            </w:r>
          </w:p>
        </w:tc>
        <w:tc>
          <w:tcPr>
            <w:tcW w:w="1416" w:type="dxa"/>
          </w:tcPr>
          <w:p w:rsidR="007C5447" w:rsidRDefault="00F6308C">
            <w:pPr>
              <w:pStyle w:val="TableParagraph"/>
              <w:spacing w:before="14" w:line="224" w:lineRule="exact"/>
              <w:ind w:right="96"/>
              <w:rPr>
                <w:sz w:val="20"/>
              </w:rPr>
            </w:pPr>
            <w:r>
              <w:rPr>
                <w:w w:val="95"/>
                <w:sz w:val="20"/>
              </w:rPr>
              <w:t>155.16</w:t>
            </w:r>
          </w:p>
        </w:tc>
        <w:tc>
          <w:tcPr>
            <w:tcW w:w="1419" w:type="dxa"/>
          </w:tcPr>
          <w:p w:rsidR="007C5447" w:rsidRDefault="00F6308C">
            <w:pPr>
              <w:pStyle w:val="TableParagraph"/>
              <w:spacing w:before="14" w:line="224" w:lineRule="exact"/>
              <w:ind w:right="97"/>
              <w:rPr>
                <w:sz w:val="20"/>
              </w:rPr>
            </w:pPr>
            <w:r>
              <w:rPr>
                <w:sz w:val="20"/>
              </w:rPr>
              <w:t>48.82</w:t>
            </w:r>
          </w:p>
        </w:tc>
        <w:tc>
          <w:tcPr>
            <w:tcW w:w="1416" w:type="dxa"/>
          </w:tcPr>
          <w:p w:rsidR="007C5447" w:rsidRDefault="00F6308C">
            <w:pPr>
              <w:pStyle w:val="TableParagraph"/>
              <w:spacing w:before="14" w:line="224" w:lineRule="exact"/>
              <w:ind w:right="96"/>
              <w:rPr>
                <w:sz w:val="20"/>
              </w:rPr>
            </w:pPr>
            <w:r>
              <w:rPr>
                <w:sz w:val="20"/>
              </w:rPr>
              <w:t>66.81</w:t>
            </w:r>
          </w:p>
        </w:tc>
      </w:tr>
      <w:tr w:rsidR="007C5447">
        <w:trPr>
          <w:trHeight w:val="261"/>
        </w:trPr>
        <w:tc>
          <w:tcPr>
            <w:tcW w:w="850" w:type="dxa"/>
          </w:tcPr>
          <w:p w:rsidR="007C5447" w:rsidRDefault="00F6308C">
            <w:pPr>
              <w:pStyle w:val="TableParagraph"/>
              <w:spacing w:before="17" w:line="224" w:lineRule="exact"/>
              <w:ind w:left="295" w:right="286"/>
              <w:jc w:val="center"/>
              <w:rPr>
                <w:sz w:val="20"/>
              </w:rPr>
            </w:pPr>
            <w:r>
              <w:rPr>
                <w:sz w:val="20"/>
              </w:rPr>
              <w:t>14</w:t>
            </w:r>
          </w:p>
        </w:tc>
        <w:tc>
          <w:tcPr>
            <w:tcW w:w="3263" w:type="dxa"/>
          </w:tcPr>
          <w:p w:rsidR="007C5447" w:rsidRDefault="00F6308C">
            <w:pPr>
              <w:pStyle w:val="TableParagraph"/>
              <w:spacing w:before="17" w:line="224" w:lineRule="exact"/>
              <w:ind w:left="107"/>
              <w:jc w:val="left"/>
              <w:rPr>
                <w:sz w:val="20"/>
              </w:rPr>
            </w:pPr>
            <w:r>
              <w:rPr>
                <w:sz w:val="20"/>
              </w:rPr>
              <w:t>Kundah HEP</w:t>
            </w:r>
          </w:p>
        </w:tc>
        <w:tc>
          <w:tcPr>
            <w:tcW w:w="1416" w:type="dxa"/>
          </w:tcPr>
          <w:p w:rsidR="007C5447" w:rsidRDefault="00F6308C">
            <w:pPr>
              <w:pStyle w:val="TableParagraph"/>
              <w:spacing w:before="17" w:line="224" w:lineRule="exact"/>
              <w:ind w:right="96"/>
              <w:rPr>
                <w:sz w:val="20"/>
              </w:rPr>
            </w:pPr>
            <w:r>
              <w:rPr>
                <w:w w:val="95"/>
                <w:sz w:val="20"/>
              </w:rPr>
              <w:t>338.40</w:t>
            </w:r>
          </w:p>
        </w:tc>
        <w:tc>
          <w:tcPr>
            <w:tcW w:w="1419" w:type="dxa"/>
          </w:tcPr>
          <w:p w:rsidR="007C5447" w:rsidRDefault="00F6308C">
            <w:pPr>
              <w:pStyle w:val="TableParagraph"/>
              <w:spacing w:before="17" w:line="224" w:lineRule="exact"/>
              <w:ind w:right="97"/>
              <w:rPr>
                <w:sz w:val="20"/>
              </w:rPr>
            </w:pPr>
            <w:r>
              <w:rPr>
                <w:w w:val="95"/>
                <w:sz w:val="20"/>
              </w:rPr>
              <w:t>150.99</w:t>
            </w:r>
          </w:p>
        </w:tc>
        <w:tc>
          <w:tcPr>
            <w:tcW w:w="1416" w:type="dxa"/>
          </w:tcPr>
          <w:p w:rsidR="007C5447" w:rsidRDefault="00F6308C">
            <w:pPr>
              <w:pStyle w:val="TableParagraph"/>
              <w:spacing w:before="17" w:line="224" w:lineRule="exact"/>
              <w:ind w:right="96"/>
              <w:rPr>
                <w:sz w:val="20"/>
              </w:rPr>
            </w:pPr>
            <w:r>
              <w:rPr>
                <w:w w:val="95"/>
                <w:sz w:val="20"/>
              </w:rPr>
              <w:t>153.22</w:t>
            </w:r>
          </w:p>
        </w:tc>
      </w:tr>
      <w:tr w:rsidR="007C5447">
        <w:trPr>
          <w:trHeight w:val="263"/>
        </w:trPr>
        <w:tc>
          <w:tcPr>
            <w:tcW w:w="850" w:type="dxa"/>
          </w:tcPr>
          <w:p w:rsidR="007C5447" w:rsidRDefault="00F6308C">
            <w:pPr>
              <w:pStyle w:val="TableParagraph"/>
              <w:spacing w:before="17" w:line="227" w:lineRule="exact"/>
              <w:ind w:left="295" w:right="286"/>
              <w:jc w:val="center"/>
              <w:rPr>
                <w:sz w:val="20"/>
              </w:rPr>
            </w:pPr>
            <w:r>
              <w:rPr>
                <w:sz w:val="20"/>
              </w:rPr>
              <w:t>15</w:t>
            </w:r>
          </w:p>
        </w:tc>
        <w:tc>
          <w:tcPr>
            <w:tcW w:w="3263" w:type="dxa"/>
          </w:tcPr>
          <w:p w:rsidR="007C5447" w:rsidRDefault="00F6308C">
            <w:pPr>
              <w:pStyle w:val="TableParagraph"/>
              <w:spacing w:before="17" w:line="227" w:lineRule="exact"/>
              <w:ind w:left="107"/>
              <w:jc w:val="left"/>
              <w:rPr>
                <w:sz w:val="20"/>
              </w:rPr>
            </w:pPr>
            <w:r>
              <w:rPr>
                <w:sz w:val="20"/>
              </w:rPr>
              <w:t>Tirunelveli HEP</w:t>
            </w:r>
          </w:p>
        </w:tc>
        <w:tc>
          <w:tcPr>
            <w:tcW w:w="1416" w:type="dxa"/>
          </w:tcPr>
          <w:p w:rsidR="007C5447" w:rsidRDefault="00F6308C">
            <w:pPr>
              <w:pStyle w:val="TableParagraph"/>
              <w:spacing w:before="17" w:line="227" w:lineRule="exact"/>
              <w:ind w:right="96"/>
              <w:rPr>
                <w:sz w:val="20"/>
              </w:rPr>
            </w:pPr>
            <w:r>
              <w:rPr>
                <w:w w:val="95"/>
                <w:sz w:val="20"/>
              </w:rPr>
              <w:t>232.16</w:t>
            </w:r>
          </w:p>
        </w:tc>
        <w:tc>
          <w:tcPr>
            <w:tcW w:w="1419" w:type="dxa"/>
          </w:tcPr>
          <w:p w:rsidR="007C5447" w:rsidRDefault="00F6308C">
            <w:pPr>
              <w:pStyle w:val="TableParagraph"/>
              <w:spacing w:before="17" w:line="227" w:lineRule="exact"/>
              <w:ind w:right="97"/>
              <w:rPr>
                <w:sz w:val="20"/>
              </w:rPr>
            </w:pPr>
            <w:r>
              <w:rPr>
                <w:sz w:val="20"/>
              </w:rPr>
              <w:t>79.01</w:t>
            </w:r>
          </w:p>
        </w:tc>
        <w:tc>
          <w:tcPr>
            <w:tcW w:w="1416" w:type="dxa"/>
          </w:tcPr>
          <w:p w:rsidR="007C5447" w:rsidRDefault="00F6308C">
            <w:pPr>
              <w:pStyle w:val="TableParagraph"/>
              <w:spacing w:before="17" w:line="227" w:lineRule="exact"/>
              <w:ind w:right="96"/>
              <w:rPr>
                <w:sz w:val="20"/>
              </w:rPr>
            </w:pPr>
            <w:r>
              <w:rPr>
                <w:sz w:val="20"/>
              </w:rPr>
              <w:t>75.07</w:t>
            </w:r>
          </w:p>
        </w:tc>
      </w:tr>
      <w:tr w:rsidR="007C5447">
        <w:trPr>
          <w:trHeight w:val="261"/>
        </w:trPr>
        <w:tc>
          <w:tcPr>
            <w:tcW w:w="850" w:type="dxa"/>
          </w:tcPr>
          <w:p w:rsidR="007C5447" w:rsidRDefault="00F6308C">
            <w:pPr>
              <w:pStyle w:val="TableParagraph"/>
              <w:spacing w:before="17" w:line="224" w:lineRule="exact"/>
              <w:ind w:left="295" w:right="286"/>
              <w:jc w:val="center"/>
              <w:rPr>
                <w:b/>
                <w:sz w:val="20"/>
              </w:rPr>
            </w:pPr>
            <w:r>
              <w:rPr>
                <w:b/>
                <w:sz w:val="20"/>
              </w:rPr>
              <w:t>16</w:t>
            </w:r>
          </w:p>
        </w:tc>
        <w:tc>
          <w:tcPr>
            <w:tcW w:w="3263" w:type="dxa"/>
          </w:tcPr>
          <w:p w:rsidR="007C5447" w:rsidRDefault="00F6308C">
            <w:pPr>
              <w:pStyle w:val="TableParagraph"/>
              <w:spacing w:before="17" w:line="224" w:lineRule="exact"/>
              <w:ind w:left="107"/>
              <w:jc w:val="left"/>
              <w:rPr>
                <w:b/>
                <w:sz w:val="20"/>
              </w:rPr>
            </w:pPr>
            <w:r>
              <w:rPr>
                <w:b/>
                <w:sz w:val="20"/>
              </w:rPr>
              <w:t>Total Generation*</w:t>
            </w:r>
          </w:p>
        </w:tc>
        <w:tc>
          <w:tcPr>
            <w:tcW w:w="1416" w:type="dxa"/>
          </w:tcPr>
          <w:p w:rsidR="007C5447" w:rsidRDefault="00F6308C">
            <w:pPr>
              <w:pStyle w:val="TableParagraph"/>
              <w:spacing w:before="17" w:line="224" w:lineRule="exact"/>
              <w:ind w:right="96"/>
              <w:rPr>
                <w:b/>
                <w:sz w:val="20"/>
              </w:rPr>
            </w:pPr>
            <w:r>
              <w:rPr>
                <w:b/>
                <w:sz w:val="20"/>
              </w:rPr>
              <w:t>4399.84</w:t>
            </w:r>
          </w:p>
        </w:tc>
        <w:tc>
          <w:tcPr>
            <w:tcW w:w="1419" w:type="dxa"/>
          </w:tcPr>
          <w:p w:rsidR="007C5447" w:rsidRDefault="00F6308C">
            <w:pPr>
              <w:pStyle w:val="TableParagraph"/>
              <w:spacing w:before="17" w:line="224" w:lineRule="exact"/>
              <w:ind w:right="97"/>
              <w:rPr>
                <w:b/>
                <w:sz w:val="20"/>
              </w:rPr>
            </w:pPr>
            <w:r>
              <w:rPr>
                <w:b/>
                <w:sz w:val="20"/>
              </w:rPr>
              <w:t>2489.85</w:t>
            </w:r>
          </w:p>
        </w:tc>
        <w:tc>
          <w:tcPr>
            <w:tcW w:w="1416" w:type="dxa"/>
          </w:tcPr>
          <w:p w:rsidR="007C5447" w:rsidRDefault="00F6308C">
            <w:pPr>
              <w:pStyle w:val="TableParagraph"/>
              <w:spacing w:before="17" w:line="224" w:lineRule="exact"/>
              <w:ind w:right="96"/>
              <w:rPr>
                <w:b/>
                <w:sz w:val="20"/>
              </w:rPr>
            </w:pPr>
            <w:r>
              <w:rPr>
                <w:b/>
                <w:sz w:val="20"/>
              </w:rPr>
              <w:t>2866.00</w:t>
            </w:r>
          </w:p>
        </w:tc>
      </w:tr>
      <w:tr w:rsidR="007C5447">
        <w:trPr>
          <w:trHeight w:val="263"/>
        </w:trPr>
        <w:tc>
          <w:tcPr>
            <w:tcW w:w="850" w:type="dxa"/>
          </w:tcPr>
          <w:p w:rsidR="007C5447" w:rsidRDefault="00F6308C">
            <w:pPr>
              <w:pStyle w:val="TableParagraph"/>
              <w:spacing w:before="17" w:line="227" w:lineRule="exact"/>
              <w:ind w:left="295" w:right="286"/>
              <w:jc w:val="center"/>
              <w:rPr>
                <w:b/>
                <w:sz w:val="20"/>
              </w:rPr>
            </w:pPr>
            <w:r>
              <w:rPr>
                <w:b/>
                <w:sz w:val="20"/>
              </w:rPr>
              <w:t>17</w:t>
            </w:r>
          </w:p>
        </w:tc>
        <w:tc>
          <w:tcPr>
            <w:tcW w:w="3263" w:type="dxa"/>
          </w:tcPr>
          <w:p w:rsidR="007C5447" w:rsidRDefault="00F6308C">
            <w:pPr>
              <w:pStyle w:val="TableParagraph"/>
              <w:spacing w:before="17" w:line="227" w:lineRule="exact"/>
              <w:ind w:left="107"/>
              <w:jc w:val="left"/>
              <w:rPr>
                <w:b/>
                <w:sz w:val="20"/>
              </w:rPr>
            </w:pPr>
            <w:r>
              <w:rPr>
                <w:b/>
                <w:sz w:val="20"/>
              </w:rPr>
              <w:t>Distribution</w:t>
            </w:r>
          </w:p>
        </w:tc>
        <w:tc>
          <w:tcPr>
            <w:tcW w:w="1416" w:type="dxa"/>
          </w:tcPr>
          <w:p w:rsidR="007C5447" w:rsidRDefault="00F6308C">
            <w:pPr>
              <w:pStyle w:val="TableParagraph"/>
              <w:spacing w:before="17" w:line="227" w:lineRule="exact"/>
              <w:ind w:right="96"/>
              <w:rPr>
                <w:b/>
                <w:sz w:val="20"/>
              </w:rPr>
            </w:pPr>
            <w:r>
              <w:rPr>
                <w:b/>
                <w:sz w:val="20"/>
              </w:rPr>
              <w:t>3807.19</w:t>
            </w:r>
          </w:p>
        </w:tc>
        <w:tc>
          <w:tcPr>
            <w:tcW w:w="1419" w:type="dxa"/>
          </w:tcPr>
          <w:p w:rsidR="007C5447" w:rsidRDefault="00F6308C">
            <w:pPr>
              <w:pStyle w:val="TableParagraph"/>
              <w:spacing w:before="17" w:line="227" w:lineRule="exact"/>
              <w:ind w:right="97"/>
              <w:rPr>
                <w:b/>
                <w:sz w:val="20"/>
              </w:rPr>
            </w:pPr>
            <w:r>
              <w:rPr>
                <w:b/>
                <w:sz w:val="20"/>
              </w:rPr>
              <w:t>3345.74</w:t>
            </w:r>
          </w:p>
        </w:tc>
        <w:tc>
          <w:tcPr>
            <w:tcW w:w="1416" w:type="dxa"/>
          </w:tcPr>
          <w:p w:rsidR="007C5447" w:rsidRDefault="00F6308C">
            <w:pPr>
              <w:pStyle w:val="TableParagraph"/>
              <w:spacing w:before="17" w:line="227" w:lineRule="exact"/>
              <w:ind w:right="96"/>
              <w:rPr>
                <w:b/>
                <w:sz w:val="20"/>
              </w:rPr>
            </w:pPr>
            <w:r>
              <w:rPr>
                <w:b/>
                <w:sz w:val="20"/>
              </w:rPr>
              <w:t>3945.15</w:t>
            </w:r>
          </w:p>
        </w:tc>
      </w:tr>
      <w:tr w:rsidR="007C5447">
        <w:trPr>
          <w:trHeight w:val="263"/>
        </w:trPr>
        <w:tc>
          <w:tcPr>
            <w:tcW w:w="850" w:type="dxa"/>
          </w:tcPr>
          <w:p w:rsidR="007C5447" w:rsidRDefault="00F6308C">
            <w:pPr>
              <w:pStyle w:val="TableParagraph"/>
              <w:spacing w:before="17" w:line="227" w:lineRule="exact"/>
              <w:ind w:left="295" w:right="286"/>
              <w:jc w:val="center"/>
              <w:rPr>
                <w:b/>
                <w:sz w:val="20"/>
              </w:rPr>
            </w:pPr>
            <w:r>
              <w:rPr>
                <w:b/>
                <w:sz w:val="20"/>
              </w:rPr>
              <w:t>18</w:t>
            </w:r>
          </w:p>
        </w:tc>
        <w:tc>
          <w:tcPr>
            <w:tcW w:w="3263" w:type="dxa"/>
          </w:tcPr>
          <w:p w:rsidR="007C5447" w:rsidRDefault="00F6308C">
            <w:pPr>
              <w:pStyle w:val="TableParagraph"/>
              <w:spacing w:before="17" w:line="227" w:lineRule="exact"/>
              <w:ind w:left="107"/>
              <w:jc w:val="left"/>
              <w:rPr>
                <w:b/>
                <w:sz w:val="20"/>
              </w:rPr>
            </w:pPr>
            <w:r>
              <w:rPr>
                <w:b/>
                <w:sz w:val="20"/>
              </w:rPr>
              <w:t>Total</w:t>
            </w:r>
          </w:p>
        </w:tc>
        <w:tc>
          <w:tcPr>
            <w:tcW w:w="1416" w:type="dxa"/>
          </w:tcPr>
          <w:p w:rsidR="007C5447" w:rsidRDefault="00F6308C">
            <w:pPr>
              <w:pStyle w:val="TableParagraph"/>
              <w:spacing w:before="17" w:line="227" w:lineRule="exact"/>
              <w:ind w:right="96"/>
              <w:rPr>
                <w:b/>
                <w:sz w:val="20"/>
              </w:rPr>
            </w:pPr>
            <w:r>
              <w:rPr>
                <w:b/>
                <w:sz w:val="20"/>
              </w:rPr>
              <w:t>8207.03</w:t>
            </w:r>
          </w:p>
        </w:tc>
        <w:tc>
          <w:tcPr>
            <w:tcW w:w="1419" w:type="dxa"/>
          </w:tcPr>
          <w:p w:rsidR="007C5447" w:rsidRDefault="00F6308C">
            <w:pPr>
              <w:pStyle w:val="TableParagraph"/>
              <w:spacing w:before="17" w:line="227" w:lineRule="exact"/>
              <w:ind w:right="97"/>
              <w:rPr>
                <w:b/>
                <w:sz w:val="20"/>
              </w:rPr>
            </w:pPr>
            <w:r>
              <w:rPr>
                <w:b/>
                <w:sz w:val="20"/>
              </w:rPr>
              <w:t>5835.59</w:t>
            </w:r>
          </w:p>
        </w:tc>
        <w:tc>
          <w:tcPr>
            <w:tcW w:w="1416" w:type="dxa"/>
          </w:tcPr>
          <w:p w:rsidR="007C5447" w:rsidRDefault="00F6308C">
            <w:pPr>
              <w:pStyle w:val="TableParagraph"/>
              <w:spacing w:before="17" w:line="227" w:lineRule="exact"/>
              <w:ind w:right="96"/>
              <w:rPr>
                <w:b/>
                <w:sz w:val="20"/>
              </w:rPr>
            </w:pPr>
            <w:r>
              <w:rPr>
                <w:b/>
                <w:sz w:val="20"/>
              </w:rPr>
              <w:t>6811.16</w:t>
            </w:r>
          </w:p>
        </w:tc>
      </w:tr>
    </w:tbl>
    <w:p w:rsidR="007C5447" w:rsidRDefault="007C5447">
      <w:pPr>
        <w:pStyle w:val="BodyText"/>
        <w:spacing w:before="10"/>
        <w:rPr>
          <w:b/>
          <w:sz w:val="20"/>
        </w:rPr>
      </w:pPr>
    </w:p>
    <w:p w:rsidR="007C5447" w:rsidRDefault="00F6308C">
      <w:pPr>
        <w:spacing w:before="1"/>
        <w:ind w:left="1260"/>
        <w:rPr>
          <w:b/>
          <w:sz w:val="20"/>
        </w:rPr>
      </w:pPr>
      <w:r>
        <w:rPr>
          <w:b/>
          <w:sz w:val="20"/>
        </w:rPr>
        <w:t>*- Minor error in summation submitted by TANGEDCO</w:t>
      </w:r>
    </w:p>
    <w:p w:rsidR="007C5447" w:rsidRDefault="007C5447">
      <w:pPr>
        <w:rPr>
          <w:sz w:val="20"/>
        </w:rPr>
        <w:sectPr w:rsidR="007C5447">
          <w:pgSz w:w="11910" w:h="16840"/>
          <w:pgMar w:top="1360" w:right="620" w:bottom="1240" w:left="900" w:header="0" w:footer="777" w:gutter="0"/>
          <w:cols w:space="720"/>
        </w:sectPr>
      </w:pPr>
    </w:p>
    <w:p w:rsidR="007C5447" w:rsidRDefault="00F6308C">
      <w:pPr>
        <w:pStyle w:val="Heading2"/>
        <w:spacing w:before="60"/>
        <w:ind w:left="1392"/>
      </w:pPr>
      <w:r>
        <w:lastRenderedPageBreak/>
        <w:t>Commission’s Views</w:t>
      </w:r>
    </w:p>
    <w:p w:rsidR="007C5447" w:rsidRDefault="00F6308C">
      <w:pPr>
        <w:pStyle w:val="ListParagraph"/>
        <w:numPr>
          <w:ilvl w:val="2"/>
          <w:numId w:val="114"/>
        </w:numPr>
        <w:tabs>
          <w:tab w:val="left" w:pos="1393"/>
        </w:tabs>
        <w:spacing w:before="202" w:line="312" w:lineRule="auto"/>
        <w:ind w:left="1392" w:right="507" w:hanging="852"/>
        <w:jc w:val="both"/>
        <w:rPr>
          <w:sz w:val="24"/>
        </w:rPr>
      </w:pPr>
      <w:r>
        <w:rPr>
          <w:sz w:val="24"/>
        </w:rPr>
        <w:t>The Commission has approved interest on loans for FY 2016-17 to FY 2018-19 in accordance with the methodology adopted while approving interest on loans during the true-up for FY 2011-12 to FY 2015-16, as elaborated in Chapter 3. Further,</w:t>
      </w:r>
      <w:r>
        <w:rPr>
          <w:sz w:val="24"/>
        </w:rPr>
        <w:t xml:space="preserve"> the Commission has not considered the impact of UDAY while approving the interest on loans. The Commission is of the view that the benefit of loan takeover by GoTN under UDAY is pertaining to TANGEDCO’s actual loan basket, which is related to the past los</w:t>
      </w:r>
      <w:r>
        <w:rPr>
          <w:sz w:val="24"/>
        </w:rPr>
        <w:t>ses and Regulatory Asset of TANGEDCO. However, since the Commission does not recognize TANGEDCO’s actual loan basket while approving interest on loan, it would be incorrect to consider the impact of UDAY while approving interest on loan as per  the Commiss</w:t>
      </w:r>
      <w:r>
        <w:rPr>
          <w:sz w:val="24"/>
        </w:rPr>
        <w:t>ion’s</w:t>
      </w:r>
      <w:r>
        <w:rPr>
          <w:spacing w:val="-1"/>
          <w:sz w:val="24"/>
        </w:rPr>
        <w:t xml:space="preserve"> </w:t>
      </w:r>
      <w:r>
        <w:rPr>
          <w:sz w:val="24"/>
        </w:rPr>
        <w:t>methodology.</w:t>
      </w:r>
    </w:p>
    <w:p w:rsidR="007C5447" w:rsidRDefault="007C5447">
      <w:pPr>
        <w:pStyle w:val="BodyText"/>
        <w:rPr>
          <w:sz w:val="21"/>
        </w:rPr>
      </w:pPr>
    </w:p>
    <w:p w:rsidR="007C5447" w:rsidRDefault="00F6308C">
      <w:pPr>
        <w:pStyle w:val="ListParagraph"/>
        <w:numPr>
          <w:ilvl w:val="2"/>
          <w:numId w:val="114"/>
        </w:numPr>
        <w:tabs>
          <w:tab w:val="left" w:pos="1393"/>
        </w:tabs>
        <w:spacing w:line="312" w:lineRule="auto"/>
        <w:ind w:left="1392" w:right="509" w:hanging="852"/>
        <w:jc w:val="both"/>
        <w:rPr>
          <w:sz w:val="24"/>
        </w:rPr>
      </w:pPr>
      <w:r>
        <w:rPr>
          <w:sz w:val="24"/>
        </w:rPr>
        <w:t>The interest on loan for the Control Period from FY 2016-17 to FY 2018-19 as approved by the Commission is shown in the Table</w:t>
      </w:r>
      <w:r>
        <w:rPr>
          <w:spacing w:val="-7"/>
          <w:sz w:val="24"/>
        </w:rPr>
        <w:t xml:space="preserve"> </w:t>
      </w:r>
      <w:r>
        <w:rPr>
          <w:sz w:val="24"/>
        </w:rPr>
        <w:t>below:</w:t>
      </w:r>
    </w:p>
    <w:p w:rsidR="007C5447" w:rsidRDefault="007C5447">
      <w:pPr>
        <w:pStyle w:val="BodyText"/>
        <w:spacing w:before="10"/>
        <w:rPr>
          <w:sz w:val="20"/>
        </w:rPr>
      </w:pPr>
    </w:p>
    <w:p w:rsidR="007C5447" w:rsidRDefault="00F6308C">
      <w:pPr>
        <w:pStyle w:val="Heading2"/>
        <w:ind w:left="591" w:right="564"/>
        <w:jc w:val="center"/>
      </w:pPr>
      <w:r>
        <w:t>Table 4-17: Approved Interest Expenses for FY 2016-17 to FY 2018-19 (Rs. Crore)</w:t>
      </w:r>
    </w:p>
    <w:p w:rsidR="007C5447" w:rsidRDefault="007C5447">
      <w:pPr>
        <w:pStyle w:val="BodyText"/>
        <w:spacing w:before="4"/>
        <w:rPr>
          <w:b/>
          <w:sz w:val="7"/>
        </w:rPr>
      </w:pPr>
    </w:p>
    <w:tbl>
      <w:tblPr>
        <w:tblW w:w="0" w:type="auto"/>
        <w:tblInd w:w="1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1"/>
        <w:gridCol w:w="1846"/>
        <w:gridCol w:w="1952"/>
        <w:gridCol w:w="1455"/>
      </w:tblGrid>
      <w:tr w:rsidR="007C5447">
        <w:trPr>
          <w:trHeight w:val="359"/>
        </w:trPr>
        <w:tc>
          <w:tcPr>
            <w:tcW w:w="3111" w:type="dxa"/>
            <w:vMerge w:val="restart"/>
            <w:shd w:val="clear" w:color="auto" w:fill="F7C9AC"/>
          </w:tcPr>
          <w:p w:rsidR="007C5447" w:rsidRDefault="00F6308C">
            <w:pPr>
              <w:pStyle w:val="TableParagraph"/>
              <w:spacing w:before="56"/>
              <w:ind w:left="107"/>
              <w:jc w:val="left"/>
              <w:rPr>
                <w:b/>
              </w:rPr>
            </w:pPr>
            <w:r>
              <w:rPr>
                <w:b/>
              </w:rPr>
              <w:t>Particulars</w:t>
            </w:r>
          </w:p>
        </w:tc>
        <w:tc>
          <w:tcPr>
            <w:tcW w:w="5253" w:type="dxa"/>
            <w:gridSpan w:val="3"/>
            <w:shd w:val="clear" w:color="auto" w:fill="F7C9AC"/>
          </w:tcPr>
          <w:p w:rsidR="007C5447" w:rsidRDefault="00F6308C">
            <w:pPr>
              <w:pStyle w:val="TableParagraph"/>
              <w:spacing w:before="15"/>
              <w:ind w:left="2025" w:right="2015"/>
              <w:jc w:val="center"/>
              <w:rPr>
                <w:b/>
              </w:rPr>
            </w:pPr>
            <w:r>
              <w:rPr>
                <w:b/>
              </w:rPr>
              <w:t>Commissio</w:t>
            </w:r>
            <w:r>
              <w:rPr>
                <w:b/>
              </w:rPr>
              <w:t>n</w:t>
            </w:r>
          </w:p>
        </w:tc>
      </w:tr>
      <w:tr w:rsidR="007C5447">
        <w:trPr>
          <w:trHeight w:val="357"/>
        </w:trPr>
        <w:tc>
          <w:tcPr>
            <w:tcW w:w="3111" w:type="dxa"/>
            <w:vMerge/>
            <w:tcBorders>
              <w:top w:val="nil"/>
            </w:tcBorders>
            <w:shd w:val="clear" w:color="auto" w:fill="F7C9AC"/>
          </w:tcPr>
          <w:p w:rsidR="007C5447" w:rsidRDefault="007C5447">
            <w:pPr>
              <w:rPr>
                <w:sz w:val="2"/>
                <w:szCs w:val="2"/>
              </w:rPr>
            </w:pPr>
          </w:p>
        </w:tc>
        <w:tc>
          <w:tcPr>
            <w:tcW w:w="1846" w:type="dxa"/>
            <w:shd w:val="clear" w:color="auto" w:fill="F7C9AC"/>
          </w:tcPr>
          <w:p w:rsidR="007C5447" w:rsidRDefault="00F6308C">
            <w:pPr>
              <w:pStyle w:val="TableParagraph"/>
              <w:spacing w:before="15"/>
              <w:ind w:right="369"/>
              <w:rPr>
                <w:b/>
              </w:rPr>
            </w:pPr>
            <w:r>
              <w:rPr>
                <w:b/>
              </w:rPr>
              <w:t>FY 2016-17</w:t>
            </w:r>
          </w:p>
        </w:tc>
        <w:tc>
          <w:tcPr>
            <w:tcW w:w="1952" w:type="dxa"/>
            <w:shd w:val="clear" w:color="auto" w:fill="F7C9AC"/>
          </w:tcPr>
          <w:p w:rsidR="007C5447" w:rsidRDefault="00F6308C">
            <w:pPr>
              <w:pStyle w:val="TableParagraph"/>
              <w:spacing w:before="15"/>
              <w:ind w:left="434"/>
              <w:jc w:val="left"/>
              <w:rPr>
                <w:b/>
              </w:rPr>
            </w:pPr>
            <w:r>
              <w:rPr>
                <w:b/>
              </w:rPr>
              <w:t>FY 2017-18</w:t>
            </w:r>
          </w:p>
        </w:tc>
        <w:tc>
          <w:tcPr>
            <w:tcW w:w="1455" w:type="dxa"/>
            <w:shd w:val="clear" w:color="auto" w:fill="F7C9AC"/>
          </w:tcPr>
          <w:p w:rsidR="007C5447" w:rsidRDefault="00F6308C">
            <w:pPr>
              <w:pStyle w:val="TableParagraph"/>
              <w:spacing w:before="15"/>
              <w:ind w:left="184"/>
              <w:jc w:val="left"/>
              <w:rPr>
                <w:b/>
              </w:rPr>
            </w:pPr>
            <w:r>
              <w:rPr>
                <w:b/>
              </w:rPr>
              <w:t>FY 2018-19</w:t>
            </w:r>
          </w:p>
        </w:tc>
      </w:tr>
      <w:tr w:rsidR="007C5447">
        <w:trPr>
          <w:trHeight w:val="381"/>
        </w:trPr>
        <w:tc>
          <w:tcPr>
            <w:tcW w:w="3111" w:type="dxa"/>
          </w:tcPr>
          <w:p w:rsidR="007C5447" w:rsidRDefault="00F6308C">
            <w:pPr>
              <w:pStyle w:val="TableParagraph"/>
              <w:spacing w:before="27"/>
              <w:ind w:left="107"/>
              <w:jc w:val="left"/>
              <w:rPr>
                <w:b/>
              </w:rPr>
            </w:pPr>
            <w:r>
              <w:rPr>
                <w:b/>
              </w:rPr>
              <w:t>Opening Balance</w:t>
            </w:r>
          </w:p>
        </w:tc>
        <w:tc>
          <w:tcPr>
            <w:tcW w:w="1846" w:type="dxa"/>
          </w:tcPr>
          <w:p w:rsidR="007C5447" w:rsidRDefault="00F6308C">
            <w:pPr>
              <w:pStyle w:val="TableParagraph"/>
              <w:spacing w:before="27"/>
              <w:ind w:right="326"/>
              <w:rPr>
                <w:b/>
              </w:rPr>
            </w:pPr>
            <w:r>
              <w:rPr>
                <w:b/>
              </w:rPr>
              <w:t>38,578.87</w:t>
            </w:r>
          </w:p>
        </w:tc>
        <w:tc>
          <w:tcPr>
            <w:tcW w:w="1952" w:type="dxa"/>
          </w:tcPr>
          <w:p w:rsidR="007C5447" w:rsidRDefault="00F6308C">
            <w:pPr>
              <w:pStyle w:val="TableParagraph"/>
              <w:spacing w:before="27"/>
              <w:ind w:right="322"/>
              <w:rPr>
                <w:b/>
              </w:rPr>
            </w:pPr>
            <w:r>
              <w:rPr>
                <w:b/>
              </w:rPr>
              <w:t>41,466.36</w:t>
            </w:r>
          </w:p>
        </w:tc>
        <w:tc>
          <w:tcPr>
            <w:tcW w:w="1455" w:type="dxa"/>
          </w:tcPr>
          <w:p w:rsidR="007C5447" w:rsidRDefault="00F6308C">
            <w:pPr>
              <w:pStyle w:val="TableParagraph"/>
              <w:spacing w:before="27"/>
              <w:ind w:left="234"/>
              <w:jc w:val="left"/>
              <w:rPr>
                <w:b/>
              </w:rPr>
            </w:pPr>
            <w:r>
              <w:rPr>
                <w:b/>
              </w:rPr>
              <w:t>42,119.13</w:t>
            </w:r>
          </w:p>
        </w:tc>
      </w:tr>
      <w:tr w:rsidR="007C5447">
        <w:trPr>
          <w:trHeight w:val="357"/>
        </w:trPr>
        <w:tc>
          <w:tcPr>
            <w:tcW w:w="3111" w:type="dxa"/>
          </w:tcPr>
          <w:p w:rsidR="007C5447" w:rsidRDefault="00F6308C">
            <w:pPr>
              <w:pStyle w:val="TableParagraph"/>
              <w:spacing w:before="15"/>
              <w:ind w:left="107"/>
              <w:jc w:val="left"/>
            </w:pPr>
            <w:r>
              <w:t>Add: Addition for CAPEX</w:t>
            </w:r>
          </w:p>
        </w:tc>
        <w:tc>
          <w:tcPr>
            <w:tcW w:w="1846" w:type="dxa"/>
          </w:tcPr>
          <w:p w:rsidR="007C5447" w:rsidRDefault="00F6308C">
            <w:pPr>
              <w:pStyle w:val="TableParagraph"/>
              <w:spacing w:before="15"/>
              <w:ind w:right="324"/>
            </w:pPr>
            <w:r>
              <w:t>5,026.93</w:t>
            </w:r>
          </w:p>
        </w:tc>
        <w:tc>
          <w:tcPr>
            <w:tcW w:w="1952" w:type="dxa"/>
          </w:tcPr>
          <w:p w:rsidR="007C5447" w:rsidRDefault="00F6308C">
            <w:pPr>
              <w:pStyle w:val="TableParagraph"/>
              <w:spacing w:before="15"/>
              <w:ind w:right="322"/>
            </w:pPr>
            <w:r>
              <w:t>3,012.89</w:t>
            </w:r>
          </w:p>
        </w:tc>
        <w:tc>
          <w:tcPr>
            <w:tcW w:w="1455" w:type="dxa"/>
          </w:tcPr>
          <w:p w:rsidR="007C5447" w:rsidRDefault="00F6308C">
            <w:pPr>
              <w:pStyle w:val="TableParagraph"/>
              <w:spacing w:before="15"/>
              <w:ind w:left="347"/>
              <w:jc w:val="left"/>
            </w:pPr>
            <w:r>
              <w:t>2,210.32</w:t>
            </w:r>
          </w:p>
        </w:tc>
      </w:tr>
      <w:tr w:rsidR="007C5447">
        <w:trPr>
          <w:trHeight w:val="688"/>
        </w:trPr>
        <w:tc>
          <w:tcPr>
            <w:tcW w:w="3111" w:type="dxa"/>
          </w:tcPr>
          <w:p w:rsidR="007C5447" w:rsidRDefault="00F6308C">
            <w:pPr>
              <w:pStyle w:val="TableParagraph"/>
              <w:spacing w:before="17"/>
              <w:ind w:left="107"/>
              <w:jc w:val="left"/>
            </w:pPr>
            <w:r>
              <w:t>Add: Addition for Loan</w:t>
            </w:r>
          </w:p>
          <w:p w:rsidR="007C5447" w:rsidRDefault="00F6308C">
            <w:pPr>
              <w:pStyle w:val="TableParagraph"/>
              <w:spacing w:before="77"/>
              <w:ind w:left="107"/>
              <w:jc w:val="left"/>
            </w:pPr>
            <w:r>
              <w:t>Repayment of Existing Loans</w:t>
            </w:r>
          </w:p>
        </w:tc>
        <w:tc>
          <w:tcPr>
            <w:tcW w:w="1846" w:type="dxa"/>
          </w:tcPr>
          <w:p w:rsidR="007C5447" w:rsidRDefault="00F6308C">
            <w:pPr>
              <w:pStyle w:val="TableParagraph"/>
              <w:spacing w:before="181"/>
              <w:ind w:right="325"/>
            </w:pPr>
            <w:r>
              <w:t>(264.72)</w:t>
            </w:r>
          </w:p>
        </w:tc>
        <w:tc>
          <w:tcPr>
            <w:tcW w:w="1952" w:type="dxa"/>
          </w:tcPr>
          <w:p w:rsidR="007C5447" w:rsidRDefault="00F6308C">
            <w:pPr>
              <w:pStyle w:val="TableParagraph"/>
              <w:spacing w:before="181"/>
              <w:ind w:right="323"/>
            </w:pPr>
            <w:r>
              <w:t>(485.39)</w:t>
            </w:r>
          </w:p>
        </w:tc>
        <w:tc>
          <w:tcPr>
            <w:tcW w:w="1455" w:type="dxa"/>
          </w:tcPr>
          <w:p w:rsidR="007C5447" w:rsidRDefault="00F6308C">
            <w:pPr>
              <w:pStyle w:val="TableParagraph"/>
              <w:spacing w:before="181"/>
              <w:ind w:left="364"/>
              <w:jc w:val="left"/>
            </w:pPr>
            <w:r>
              <w:t>(684.91)</w:t>
            </w:r>
          </w:p>
        </w:tc>
      </w:tr>
      <w:tr w:rsidR="007C5447">
        <w:trPr>
          <w:trHeight w:val="688"/>
        </w:trPr>
        <w:tc>
          <w:tcPr>
            <w:tcW w:w="3111" w:type="dxa"/>
          </w:tcPr>
          <w:p w:rsidR="007C5447" w:rsidRDefault="00F6308C">
            <w:pPr>
              <w:pStyle w:val="TableParagraph"/>
              <w:spacing w:before="17"/>
              <w:ind w:left="107"/>
              <w:jc w:val="left"/>
            </w:pPr>
            <w:r>
              <w:t>Add: For Repayment of new</w:t>
            </w:r>
          </w:p>
          <w:p w:rsidR="007C5447" w:rsidRDefault="00F6308C">
            <w:pPr>
              <w:pStyle w:val="TableParagraph"/>
              <w:spacing w:before="76"/>
              <w:ind w:left="107"/>
              <w:jc w:val="left"/>
            </w:pPr>
            <w:r>
              <w:t>loans</w:t>
            </w:r>
          </w:p>
        </w:tc>
        <w:tc>
          <w:tcPr>
            <w:tcW w:w="1846" w:type="dxa"/>
          </w:tcPr>
          <w:p w:rsidR="007C5447" w:rsidRDefault="00F6308C">
            <w:pPr>
              <w:pStyle w:val="TableParagraph"/>
              <w:spacing w:before="181"/>
              <w:ind w:right="326"/>
            </w:pPr>
            <w:r>
              <w:t>5,425.66</w:t>
            </w:r>
          </w:p>
        </w:tc>
        <w:tc>
          <w:tcPr>
            <w:tcW w:w="1952" w:type="dxa"/>
          </w:tcPr>
          <w:p w:rsidR="007C5447" w:rsidRDefault="00F6308C">
            <w:pPr>
              <w:pStyle w:val="TableParagraph"/>
              <w:spacing w:before="181"/>
              <w:ind w:right="322"/>
            </w:pPr>
            <w:r>
              <w:t>6,309.34</w:t>
            </w:r>
          </w:p>
        </w:tc>
        <w:tc>
          <w:tcPr>
            <w:tcW w:w="1455" w:type="dxa"/>
          </w:tcPr>
          <w:p w:rsidR="007C5447" w:rsidRDefault="00F6308C">
            <w:pPr>
              <w:pStyle w:val="TableParagraph"/>
              <w:spacing w:before="181"/>
              <w:ind w:left="347"/>
              <w:jc w:val="left"/>
            </w:pPr>
            <w:r>
              <w:t>7,179.87</w:t>
            </w:r>
          </w:p>
        </w:tc>
      </w:tr>
      <w:tr w:rsidR="007C5447">
        <w:trPr>
          <w:trHeight w:val="359"/>
        </w:trPr>
        <w:tc>
          <w:tcPr>
            <w:tcW w:w="3111" w:type="dxa"/>
          </w:tcPr>
          <w:p w:rsidR="007C5447" w:rsidRDefault="00F6308C">
            <w:pPr>
              <w:pStyle w:val="TableParagraph"/>
              <w:spacing w:before="15"/>
              <w:ind w:left="107"/>
              <w:jc w:val="left"/>
            </w:pPr>
            <w:r>
              <w:t>Less: Loan Repayment</w:t>
            </w:r>
          </w:p>
        </w:tc>
        <w:tc>
          <w:tcPr>
            <w:tcW w:w="1846" w:type="dxa"/>
          </w:tcPr>
          <w:p w:rsidR="007C5447" w:rsidRDefault="00F6308C">
            <w:pPr>
              <w:pStyle w:val="TableParagraph"/>
              <w:spacing w:before="15"/>
              <w:ind w:right="326"/>
            </w:pPr>
            <w:r>
              <w:t>7,300.38</w:t>
            </w:r>
          </w:p>
        </w:tc>
        <w:tc>
          <w:tcPr>
            <w:tcW w:w="1952" w:type="dxa"/>
          </w:tcPr>
          <w:p w:rsidR="007C5447" w:rsidRDefault="00F6308C">
            <w:pPr>
              <w:pStyle w:val="TableParagraph"/>
              <w:spacing w:before="15"/>
              <w:ind w:right="322"/>
            </w:pPr>
            <w:r>
              <w:t>8,184.07</w:t>
            </w:r>
          </w:p>
        </w:tc>
        <w:tc>
          <w:tcPr>
            <w:tcW w:w="1455" w:type="dxa"/>
          </w:tcPr>
          <w:p w:rsidR="007C5447" w:rsidRDefault="00F6308C">
            <w:pPr>
              <w:pStyle w:val="TableParagraph"/>
              <w:spacing w:before="15"/>
              <w:ind w:left="345"/>
              <w:jc w:val="left"/>
            </w:pPr>
            <w:r>
              <w:t>9,054.59</w:t>
            </w:r>
          </w:p>
        </w:tc>
      </w:tr>
      <w:tr w:rsidR="007C5447">
        <w:trPr>
          <w:trHeight w:val="357"/>
        </w:trPr>
        <w:tc>
          <w:tcPr>
            <w:tcW w:w="3111" w:type="dxa"/>
          </w:tcPr>
          <w:p w:rsidR="007C5447" w:rsidRDefault="00F6308C">
            <w:pPr>
              <w:pStyle w:val="TableParagraph"/>
              <w:spacing w:before="15"/>
              <w:ind w:left="107"/>
              <w:jc w:val="left"/>
              <w:rPr>
                <w:b/>
              </w:rPr>
            </w:pPr>
            <w:r>
              <w:rPr>
                <w:b/>
              </w:rPr>
              <w:t>Closing Balance</w:t>
            </w:r>
          </w:p>
        </w:tc>
        <w:tc>
          <w:tcPr>
            <w:tcW w:w="1846" w:type="dxa"/>
          </w:tcPr>
          <w:p w:rsidR="007C5447" w:rsidRDefault="00F6308C">
            <w:pPr>
              <w:pStyle w:val="TableParagraph"/>
              <w:spacing w:before="15"/>
              <w:ind w:right="328"/>
              <w:rPr>
                <w:b/>
              </w:rPr>
            </w:pPr>
            <w:r>
              <w:rPr>
                <w:b/>
              </w:rPr>
              <w:t>41,466.36</w:t>
            </w:r>
          </w:p>
        </w:tc>
        <w:tc>
          <w:tcPr>
            <w:tcW w:w="1952" w:type="dxa"/>
          </w:tcPr>
          <w:p w:rsidR="007C5447" w:rsidRDefault="00F6308C">
            <w:pPr>
              <w:pStyle w:val="TableParagraph"/>
              <w:spacing w:before="15"/>
              <w:ind w:right="322"/>
              <w:rPr>
                <w:b/>
              </w:rPr>
            </w:pPr>
            <w:r>
              <w:rPr>
                <w:b/>
              </w:rPr>
              <w:t>42,119.13</w:t>
            </w:r>
          </w:p>
        </w:tc>
        <w:tc>
          <w:tcPr>
            <w:tcW w:w="1455" w:type="dxa"/>
          </w:tcPr>
          <w:p w:rsidR="007C5447" w:rsidRDefault="00F6308C">
            <w:pPr>
              <w:pStyle w:val="TableParagraph"/>
              <w:spacing w:before="15"/>
              <w:ind w:left="234"/>
              <w:jc w:val="left"/>
              <w:rPr>
                <w:b/>
              </w:rPr>
            </w:pPr>
            <w:r>
              <w:rPr>
                <w:b/>
              </w:rPr>
              <w:t>41,769.82</w:t>
            </w:r>
          </w:p>
        </w:tc>
      </w:tr>
      <w:tr w:rsidR="007C5447">
        <w:trPr>
          <w:trHeight w:val="359"/>
        </w:trPr>
        <w:tc>
          <w:tcPr>
            <w:tcW w:w="3111" w:type="dxa"/>
          </w:tcPr>
          <w:p w:rsidR="007C5447" w:rsidRDefault="00F6308C">
            <w:pPr>
              <w:pStyle w:val="TableParagraph"/>
              <w:spacing w:before="17"/>
              <w:ind w:left="107"/>
              <w:jc w:val="left"/>
            </w:pPr>
            <w:r>
              <w:t>Gross Interest Expenses</w:t>
            </w:r>
          </w:p>
        </w:tc>
        <w:tc>
          <w:tcPr>
            <w:tcW w:w="1846" w:type="dxa"/>
          </w:tcPr>
          <w:p w:rsidR="007C5447" w:rsidRDefault="00F6308C">
            <w:pPr>
              <w:pStyle w:val="TableParagraph"/>
              <w:spacing w:before="17"/>
              <w:ind w:right="324"/>
            </w:pPr>
            <w:r>
              <w:t>4,379.69</w:t>
            </w:r>
          </w:p>
        </w:tc>
        <w:tc>
          <w:tcPr>
            <w:tcW w:w="1952" w:type="dxa"/>
          </w:tcPr>
          <w:p w:rsidR="007C5447" w:rsidRDefault="00F6308C">
            <w:pPr>
              <w:pStyle w:val="TableParagraph"/>
              <w:spacing w:before="17"/>
              <w:ind w:right="322"/>
            </w:pPr>
            <w:r>
              <w:t>4,573.49</w:t>
            </w:r>
          </w:p>
        </w:tc>
        <w:tc>
          <w:tcPr>
            <w:tcW w:w="1455" w:type="dxa"/>
          </w:tcPr>
          <w:p w:rsidR="007C5447" w:rsidRDefault="00F6308C">
            <w:pPr>
              <w:pStyle w:val="TableParagraph"/>
              <w:spacing w:before="17"/>
              <w:ind w:left="347"/>
              <w:jc w:val="left"/>
            </w:pPr>
            <w:r>
              <w:t>4,590.10</w:t>
            </w:r>
          </w:p>
        </w:tc>
      </w:tr>
      <w:tr w:rsidR="007C5447">
        <w:trPr>
          <w:trHeight w:val="359"/>
        </w:trPr>
        <w:tc>
          <w:tcPr>
            <w:tcW w:w="3111" w:type="dxa"/>
          </w:tcPr>
          <w:p w:rsidR="007C5447" w:rsidRDefault="00F6308C">
            <w:pPr>
              <w:pStyle w:val="TableParagraph"/>
              <w:spacing w:before="15"/>
              <w:ind w:left="107"/>
              <w:jc w:val="left"/>
            </w:pPr>
            <w:r>
              <w:t>IDC</w:t>
            </w:r>
          </w:p>
        </w:tc>
        <w:tc>
          <w:tcPr>
            <w:tcW w:w="1846" w:type="dxa"/>
          </w:tcPr>
          <w:p w:rsidR="007C5447" w:rsidRDefault="00F6308C">
            <w:pPr>
              <w:pStyle w:val="TableParagraph"/>
              <w:spacing w:before="15"/>
              <w:ind w:right="326"/>
            </w:pPr>
            <w:r>
              <w:t>772.64</w:t>
            </w:r>
          </w:p>
        </w:tc>
        <w:tc>
          <w:tcPr>
            <w:tcW w:w="1952" w:type="dxa"/>
          </w:tcPr>
          <w:p w:rsidR="007C5447" w:rsidRDefault="00F6308C">
            <w:pPr>
              <w:pStyle w:val="TableParagraph"/>
              <w:spacing w:before="15"/>
              <w:ind w:right="326"/>
            </w:pPr>
            <w:r>
              <w:t>823.78</w:t>
            </w:r>
          </w:p>
        </w:tc>
        <w:tc>
          <w:tcPr>
            <w:tcW w:w="1455" w:type="dxa"/>
          </w:tcPr>
          <w:p w:rsidR="007C5447" w:rsidRDefault="00F6308C">
            <w:pPr>
              <w:pStyle w:val="TableParagraph"/>
              <w:spacing w:before="15"/>
              <w:ind w:left="513"/>
              <w:jc w:val="left"/>
            </w:pPr>
            <w:r>
              <w:t>830.05</w:t>
            </w:r>
          </w:p>
        </w:tc>
      </w:tr>
      <w:tr w:rsidR="007C5447">
        <w:trPr>
          <w:trHeight w:val="359"/>
        </w:trPr>
        <w:tc>
          <w:tcPr>
            <w:tcW w:w="3111" w:type="dxa"/>
          </w:tcPr>
          <w:p w:rsidR="007C5447" w:rsidRDefault="00F6308C">
            <w:pPr>
              <w:pStyle w:val="TableParagraph"/>
              <w:spacing w:before="15"/>
              <w:ind w:left="107"/>
              <w:jc w:val="left"/>
              <w:rPr>
                <w:b/>
              </w:rPr>
            </w:pPr>
            <w:r>
              <w:rPr>
                <w:b/>
              </w:rPr>
              <w:t>Net Interest Expenses</w:t>
            </w:r>
          </w:p>
        </w:tc>
        <w:tc>
          <w:tcPr>
            <w:tcW w:w="1846" w:type="dxa"/>
          </w:tcPr>
          <w:p w:rsidR="007C5447" w:rsidRDefault="00F6308C">
            <w:pPr>
              <w:pStyle w:val="TableParagraph"/>
              <w:spacing w:before="15"/>
              <w:ind w:right="324"/>
              <w:rPr>
                <w:b/>
              </w:rPr>
            </w:pPr>
            <w:r>
              <w:rPr>
                <w:b/>
              </w:rPr>
              <w:t>3,607.05</w:t>
            </w:r>
          </w:p>
        </w:tc>
        <w:tc>
          <w:tcPr>
            <w:tcW w:w="1952" w:type="dxa"/>
          </w:tcPr>
          <w:p w:rsidR="007C5447" w:rsidRDefault="00F6308C">
            <w:pPr>
              <w:pStyle w:val="TableParagraph"/>
              <w:spacing w:before="15"/>
              <w:ind w:right="322"/>
              <w:rPr>
                <w:b/>
              </w:rPr>
            </w:pPr>
            <w:r>
              <w:rPr>
                <w:b/>
              </w:rPr>
              <w:t>3,749.71</w:t>
            </w:r>
          </w:p>
        </w:tc>
        <w:tc>
          <w:tcPr>
            <w:tcW w:w="1455" w:type="dxa"/>
          </w:tcPr>
          <w:p w:rsidR="007C5447" w:rsidRDefault="00F6308C">
            <w:pPr>
              <w:pStyle w:val="TableParagraph"/>
              <w:spacing w:before="15"/>
              <w:ind w:left="347"/>
              <w:jc w:val="left"/>
              <w:rPr>
                <w:b/>
              </w:rPr>
            </w:pPr>
            <w:r>
              <w:rPr>
                <w:b/>
              </w:rPr>
              <w:t>3,760.05</w:t>
            </w:r>
          </w:p>
        </w:tc>
      </w:tr>
    </w:tbl>
    <w:p w:rsidR="007C5447" w:rsidRDefault="007C5447">
      <w:pPr>
        <w:pStyle w:val="BodyText"/>
        <w:rPr>
          <w:b/>
          <w:sz w:val="26"/>
        </w:rPr>
      </w:pPr>
    </w:p>
    <w:p w:rsidR="007C5447" w:rsidRDefault="007C5447">
      <w:pPr>
        <w:pStyle w:val="BodyText"/>
        <w:rPr>
          <w:b/>
          <w:sz w:val="26"/>
        </w:rPr>
      </w:pPr>
    </w:p>
    <w:p w:rsidR="007C5447" w:rsidRDefault="007C5447">
      <w:pPr>
        <w:pStyle w:val="BodyText"/>
        <w:spacing w:before="10"/>
        <w:rPr>
          <w:b/>
          <w:sz w:val="20"/>
        </w:rPr>
      </w:pPr>
    </w:p>
    <w:p w:rsidR="007C5447" w:rsidRDefault="00F6308C">
      <w:pPr>
        <w:ind w:left="593" w:right="564"/>
        <w:jc w:val="center"/>
        <w:rPr>
          <w:b/>
          <w:sz w:val="24"/>
        </w:rPr>
      </w:pPr>
      <w:r>
        <w:rPr>
          <w:b/>
          <w:sz w:val="24"/>
        </w:rPr>
        <w:t>Table 4-18: Approved Function-wise Interest Expenses for FY 2016-17 to FY 2018-19 (Rs.</w:t>
      </w:r>
    </w:p>
    <w:p w:rsidR="007C5447" w:rsidRDefault="00F6308C">
      <w:pPr>
        <w:spacing w:before="81"/>
        <w:ind w:left="591" w:right="564"/>
        <w:jc w:val="center"/>
        <w:rPr>
          <w:b/>
          <w:sz w:val="24"/>
        </w:rPr>
      </w:pPr>
      <w:r>
        <w:rPr>
          <w:b/>
          <w:sz w:val="24"/>
        </w:rPr>
        <w:t>Crore)</w:t>
      </w:r>
    </w:p>
    <w:p w:rsidR="007C5447" w:rsidRDefault="007C5447">
      <w:pPr>
        <w:pStyle w:val="BodyText"/>
        <w:spacing w:before="5"/>
        <w:rPr>
          <w:b/>
          <w:sz w:val="7"/>
        </w:rPr>
      </w:pPr>
    </w:p>
    <w:tbl>
      <w:tblPr>
        <w:tblW w:w="0" w:type="auto"/>
        <w:tblInd w:w="1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0"/>
        <w:gridCol w:w="2903"/>
        <w:gridCol w:w="1664"/>
        <w:gridCol w:w="1491"/>
        <w:gridCol w:w="1565"/>
      </w:tblGrid>
      <w:tr w:rsidR="007C5447">
        <w:trPr>
          <w:trHeight w:val="311"/>
        </w:trPr>
        <w:tc>
          <w:tcPr>
            <w:tcW w:w="970" w:type="dxa"/>
            <w:shd w:val="clear" w:color="auto" w:fill="F7C9AC"/>
          </w:tcPr>
          <w:p w:rsidR="007C5447" w:rsidRDefault="00F6308C">
            <w:pPr>
              <w:pStyle w:val="TableParagraph"/>
              <w:spacing w:before="41"/>
              <w:ind w:left="355" w:right="347"/>
              <w:jc w:val="center"/>
              <w:rPr>
                <w:b/>
                <w:sz w:val="20"/>
              </w:rPr>
            </w:pPr>
            <w:r>
              <w:rPr>
                <w:b/>
                <w:sz w:val="20"/>
              </w:rPr>
              <w:t>Sl.</w:t>
            </w:r>
          </w:p>
        </w:tc>
        <w:tc>
          <w:tcPr>
            <w:tcW w:w="2903" w:type="dxa"/>
            <w:shd w:val="clear" w:color="auto" w:fill="F7C9AC"/>
          </w:tcPr>
          <w:p w:rsidR="007C5447" w:rsidRDefault="00F6308C">
            <w:pPr>
              <w:pStyle w:val="TableParagraph"/>
              <w:spacing w:before="41"/>
              <w:ind w:left="849"/>
              <w:jc w:val="left"/>
              <w:rPr>
                <w:b/>
                <w:sz w:val="20"/>
              </w:rPr>
            </w:pPr>
            <w:r>
              <w:rPr>
                <w:b/>
                <w:sz w:val="20"/>
              </w:rPr>
              <w:t>Power Station</w:t>
            </w:r>
          </w:p>
        </w:tc>
        <w:tc>
          <w:tcPr>
            <w:tcW w:w="1664" w:type="dxa"/>
            <w:shd w:val="clear" w:color="auto" w:fill="F7C9AC"/>
          </w:tcPr>
          <w:p w:rsidR="007C5447" w:rsidRDefault="00F6308C">
            <w:pPr>
              <w:pStyle w:val="TableParagraph"/>
              <w:spacing w:before="41"/>
              <w:ind w:right="328"/>
              <w:rPr>
                <w:b/>
                <w:sz w:val="20"/>
              </w:rPr>
            </w:pPr>
            <w:r>
              <w:rPr>
                <w:b/>
                <w:sz w:val="20"/>
              </w:rPr>
              <w:t>FY 2016-17</w:t>
            </w:r>
          </w:p>
        </w:tc>
        <w:tc>
          <w:tcPr>
            <w:tcW w:w="1491" w:type="dxa"/>
            <w:shd w:val="clear" w:color="auto" w:fill="F7C9AC"/>
          </w:tcPr>
          <w:p w:rsidR="007C5447" w:rsidRDefault="00F6308C">
            <w:pPr>
              <w:pStyle w:val="TableParagraph"/>
              <w:spacing w:before="41"/>
              <w:ind w:right="241"/>
              <w:rPr>
                <w:b/>
                <w:sz w:val="20"/>
              </w:rPr>
            </w:pPr>
            <w:r>
              <w:rPr>
                <w:b/>
                <w:sz w:val="20"/>
              </w:rPr>
              <w:t>FY 2017-18</w:t>
            </w:r>
          </w:p>
        </w:tc>
        <w:tc>
          <w:tcPr>
            <w:tcW w:w="1565" w:type="dxa"/>
            <w:shd w:val="clear" w:color="auto" w:fill="F7C9AC"/>
          </w:tcPr>
          <w:p w:rsidR="007C5447" w:rsidRDefault="00F6308C">
            <w:pPr>
              <w:pStyle w:val="TableParagraph"/>
              <w:spacing w:before="41"/>
              <w:ind w:right="279"/>
              <w:rPr>
                <w:b/>
                <w:sz w:val="20"/>
              </w:rPr>
            </w:pPr>
            <w:r>
              <w:rPr>
                <w:b/>
                <w:sz w:val="20"/>
              </w:rPr>
              <w:t>FY 2018-19</w:t>
            </w:r>
          </w:p>
        </w:tc>
      </w:tr>
      <w:tr w:rsidR="007C5447">
        <w:trPr>
          <w:trHeight w:val="282"/>
        </w:trPr>
        <w:tc>
          <w:tcPr>
            <w:tcW w:w="970" w:type="dxa"/>
          </w:tcPr>
          <w:p w:rsidR="007C5447" w:rsidRDefault="00F6308C">
            <w:pPr>
              <w:pStyle w:val="TableParagraph"/>
              <w:spacing w:before="26"/>
              <w:ind w:left="8"/>
              <w:jc w:val="center"/>
              <w:rPr>
                <w:sz w:val="20"/>
              </w:rPr>
            </w:pPr>
            <w:r>
              <w:rPr>
                <w:w w:val="99"/>
                <w:sz w:val="20"/>
              </w:rPr>
              <w:t>1</w:t>
            </w:r>
          </w:p>
        </w:tc>
        <w:tc>
          <w:tcPr>
            <w:tcW w:w="2903" w:type="dxa"/>
          </w:tcPr>
          <w:p w:rsidR="007C5447" w:rsidRDefault="00F6308C">
            <w:pPr>
              <w:pStyle w:val="TableParagraph"/>
              <w:spacing w:before="26"/>
              <w:ind w:left="107"/>
              <w:jc w:val="left"/>
              <w:rPr>
                <w:sz w:val="20"/>
              </w:rPr>
            </w:pPr>
            <w:r>
              <w:rPr>
                <w:sz w:val="20"/>
              </w:rPr>
              <w:t>Ennore TPS</w:t>
            </w:r>
          </w:p>
        </w:tc>
        <w:tc>
          <w:tcPr>
            <w:tcW w:w="1664" w:type="dxa"/>
          </w:tcPr>
          <w:p w:rsidR="007C5447" w:rsidRDefault="00F6308C">
            <w:pPr>
              <w:pStyle w:val="TableParagraph"/>
              <w:spacing w:before="26"/>
              <w:ind w:right="315"/>
              <w:rPr>
                <w:sz w:val="20"/>
              </w:rPr>
            </w:pPr>
            <w:r>
              <w:rPr>
                <w:w w:val="95"/>
                <w:sz w:val="20"/>
              </w:rPr>
              <w:t>79.65</w:t>
            </w:r>
          </w:p>
        </w:tc>
        <w:tc>
          <w:tcPr>
            <w:tcW w:w="1491" w:type="dxa"/>
          </w:tcPr>
          <w:p w:rsidR="007C5447" w:rsidRDefault="00F6308C">
            <w:pPr>
              <w:pStyle w:val="TableParagraph"/>
              <w:spacing w:before="26"/>
              <w:ind w:right="316"/>
              <w:rPr>
                <w:sz w:val="20"/>
              </w:rPr>
            </w:pPr>
            <w:r>
              <w:rPr>
                <w:w w:val="95"/>
                <w:sz w:val="20"/>
              </w:rPr>
              <w:t>74.27</w:t>
            </w:r>
          </w:p>
        </w:tc>
        <w:tc>
          <w:tcPr>
            <w:tcW w:w="1565" w:type="dxa"/>
          </w:tcPr>
          <w:p w:rsidR="007C5447" w:rsidRDefault="00F6308C">
            <w:pPr>
              <w:pStyle w:val="TableParagraph"/>
              <w:spacing w:before="26"/>
              <w:ind w:right="315"/>
              <w:rPr>
                <w:sz w:val="20"/>
              </w:rPr>
            </w:pPr>
            <w:r>
              <w:rPr>
                <w:w w:val="95"/>
                <w:sz w:val="20"/>
              </w:rPr>
              <w:t>74.27</w:t>
            </w:r>
          </w:p>
        </w:tc>
      </w:tr>
      <w:tr w:rsidR="007C5447">
        <w:trPr>
          <w:trHeight w:val="282"/>
        </w:trPr>
        <w:tc>
          <w:tcPr>
            <w:tcW w:w="970" w:type="dxa"/>
          </w:tcPr>
          <w:p w:rsidR="007C5447" w:rsidRDefault="00F6308C">
            <w:pPr>
              <w:pStyle w:val="TableParagraph"/>
              <w:spacing w:before="26"/>
              <w:ind w:left="8"/>
              <w:jc w:val="center"/>
              <w:rPr>
                <w:sz w:val="20"/>
              </w:rPr>
            </w:pPr>
            <w:r>
              <w:rPr>
                <w:w w:val="99"/>
                <w:sz w:val="20"/>
              </w:rPr>
              <w:t>2</w:t>
            </w:r>
          </w:p>
        </w:tc>
        <w:tc>
          <w:tcPr>
            <w:tcW w:w="2903" w:type="dxa"/>
          </w:tcPr>
          <w:p w:rsidR="007C5447" w:rsidRDefault="00F6308C">
            <w:pPr>
              <w:pStyle w:val="TableParagraph"/>
              <w:spacing w:before="26"/>
              <w:ind w:left="107"/>
              <w:jc w:val="left"/>
              <w:rPr>
                <w:sz w:val="20"/>
              </w:rPr>
            </w:pPr>
            <w:r>
              <w:rPr>
                <w:sz w:val="20"/>
              </w:rPr>
              <w:t>Tuticorin TPS</w:t>
            </w:r>
          </w:p>
        </w:tc>
        <w:tc>
          <w:tcPr>
            <w:tcW w:w="1664" w:type="dxa"/>
          </w:tcPr>
          <w:p w:rsidR="007C5447" w:rsidRDefault="00F6308C">
            <w:pPr>
              <w:pStyle w:val="TableParagraph"/>
              <w:spacing w:before="26"/>
              <w:ind w:right="315"/>
              <w:rPr>
                <w:sz w:val="20"/>
              </w:rPr>
            </w:pPr>
            <w:r>
              <w:rPr>
                <w:w w:val="95"/>
                <w:sz w:val="20"/>
              </w:rPr>
              <w:t>130.89</w:t>
            </w:r>
          </w:p>
        </w:tc>
        <w:tc>
          <w:tcPr>
            <w:tcW w:w="1491" w:type="dxa"/>
          </w:tcPr>
          <w:p w:rsidR="007C5447" w:rsidRDefault="00F6308C">
            <w:pPr>
              <w:pStyle w:val="TableParagraph"/>
              <w:spacing w:before="26"/>
              <w:ind w:right="316"/>
              <w:rPr>
                <w:sz w:val="20"/>
              </w:rPr>
            </w:pPr>
            <w:r>
              <w:rPr>
                <w:w w:val="95"/>
                <w:sz w:val="20"/>
              </w:rPr>
              <w:t>137.39</w:t>
            </w:r>
          </w:p>
        </w:tc>
        <w:tc>
          <w:tcPr>
            <w:tcW w:w="1565" w:type="dxa"/>
          </w:tcPr>
          <w:p w:rsidR="007C5447" w:rsidRDefault="00F6308C">
            <w:pPr>
              <w:pStyle w:val="TableParagraph"/>
              <w:spacing w:before="26"/>
              <w:ind w:right="316"/>
              <w:rPr>
                <w:sz w:val="20"/>
              </w:rPr>
            </w:pPr>
            <w:r>
              <w:rPr>
                <w:w w:val="95"/>
                <w:sz w:val="20"/>
              </w:rPr>
              <w:t>168.87</w:t>
            </w:r>
          </w:p>
        </w:tc>
      </w:tr>
      <w:tr w:rsidR="007C5447">
        <w:trPr>
          <w:trHeight w:val="282"/>
        </w:trPr>
        <w:tc>
          <w:tcPr>
            <w:tcW w:w="970" w:type="dxa"/>
          </w:tcPr>
          <w:p w:rsidR="007C5447" w:rsidRDefault="00F6308C">
            <w:pPr>
              <w:pStyle w:val="TableParagraph"/>
              <w:spacing w:before="26"/>
              <w:ind w:left="8"/>
              <w:jc w:val="center"/>
              <w:rPr>
                <w:sz w:val="20"/>
              </w:rPr>
            </w:pPr>
            <w:r>
              <w:rPr>
                <w:w w:val="99"/>
                <w:sz w:val="20"/>
              </w:rPr>
              <w:t>3</w:t>
            </w:r>
          </w:p>
        </w:tc>
        <w:tc>
          <w:tcPr>
            <w:tcW w:w="2903" w:type="dxa"/>
          </w:tcPr>
          <w:p w:rsidR="007C5447" w:rsidRDefault="00F6308C">
            <w:pPr>
              <w:pStyle w:val="TableParagraph"/>
              <w:spacing w:before="26"/>
              <w:ind w:left="107"/>
              <w:jc w:val="left"/>
              <w:rPr>
                <w:sz w:val="20"/>
              </w:rPr>
            </w:pPr>
            <w:r>
              <w:rPr>
                <w:sz w:val="20"/>
              </w:rPr>
              <w:t>Mettur TPS</w:t>
            </w:r>
          </w:p>
        </w:tc>
        <w:tc>
          <w:tcPr>
            <w:tcW w:w="1664" w:type="dxa"/>
          </w:tcPr>
          <w:p w:rsidR="007C5447" w:rsidRDefault="00F6308C">
            <w:pPr>
              <w:pStyle w:val="TableParagraph"/>
              <w:spacing w:before="26"/>
              <w:ind w:right="315"/>
              <w:rPr>
                <w:sz w:val="20"/>
              </w:rPr>
            </w:pPr>
            <w:r>
              <w:rPr>
                <w:w w:val="95"/>
                <w:sz w:val="20"/>
              </w:rPr>
              <w:t>81.53</w:t>
            </w:r>
          </w:p>
        </w:tc>
        <w:tc>
          <w:tcPr>
            <w:tcW w:w="1491" w:type="dxa"/>
          </w:tcPr>
          <w:p w:rsidR="007C5447" w:rsidRDefault="00F6308C">
            <w:pPr>
              <w:pStyle w:val="TableParagraph"/>
              <w:spacing w:before="26"/>
              <w:ind w:right="316"/>
              <w:rPr>
                <w:sz w:val="20"/>
              </w:rPr>
            </w:pPr>
            <w:r>
              <w:rPr>
                <w:w w:val="95"/>
                <w:sz w:val="20"/>
              </w:rPr>
              <w:t>80.02</w:t>
            </w:r>
          </w:p>
        </w:tc>
        <w:tc>
          <w:tcPr>
            <w:tcW w:w="1565" w:type="dxa"/>
          </w:tcPr>
          <w:p w:rsidR="007C5447" w:rsidRDefault="00F6308C">
            <w:pPr>
              <w:pStyle w:val="TableParagraph"/>
              <w:spacing w:before="26"/>
              <w:ind w:right="315"/>
              <w:rPr>
                <w:sz w:val="20"/>
              </w:rPr>
            </w:pPr>
            <w:r>
              <w:rPr>
                <w:w w:val="95"/>
                <w:sz w:val="20"/>
              </w:rPr>
              <w:t>81.24</w:t>
            </w:r>
          </w:p>
        </w:tc>
      </w:tr>
      <w:tr w:rsidR="007C5447">
        <w:trPr>
          <w:trHeight w:val="282"/>
        </w:trPr>
        <w:tc>
          <w:tcPr>
            <w:tcW w:w="970" w:type="dxa"/>
          </w:tcPr>
          <w:p w:rsidR="007C5447" w:rsidRDefault="00F6308C">
            <w:pPr>
              <w:pStyle w:val="TableParagraph"/>
              <w:spacing w:before="26"/>
              <w:ind w:left="8"/>
              <w:jc w:val="center"/>
              <w:rPr>
                <w:sz w:val="20"/>
              </w:rPr>
            </w:pPr>
            <w:r>
              <w:rPr>
                <w:w w:val="99"/>
                <w:sz w:val="20"/>
              </w:rPr>
              <w:t>4</w:t>
            </w:r>
          </w:p>
        </w:tc>
        <w:tc>
          <w:tcPr>
            <w:tcW w:w="2903" w:type="dxa"/>
          </w:tcPr>
          <w:p w:rsidR="007C5447" w:rsidRDefault="00F6308C">
            <w:pPr>
              <w:pStyle w:val="TableParagraph"/>
              <w:spacing w:before="26"/>
              <w:ind w:left="107"/>
              <w:jc w:val="left"/>
              <w:rPr>
                <w:sz w:val="20"/>
              </w:rPr>
            </w:pPr>
            <w:r>
              <w:rPr>
                <w:sz w:val="20"/>
              </w:rPr>
              <w:t>North Chennai TPS</w:t>
            </w:r>
          </w:p>
        </w:tc>
        <w:tc>
          <w:tcPr>
            <w:tcW w:w="1664" w:type="dxa"/>
          </w:tcPr>
          <w:p w:rsidR="007C5447" w:rsidRDefault="00F6308C">
            <w:pPr>
              <w:pStyle w:val="TableParagraph"/>
              <w:spacing w:before="26"/>
              <w:ind w:right="315"/>
              <w:rPr>
                <w:sz w:val="20"/>
              </w:rPr>
            </w:pPr>
            <w:r>
              <w:rPr>
                <w:w w:val="95"/>
                <w:sz w:val="20"/>
              </w:rPr>
              <w:t>94.15</w:t>
            </w:r>
          </w:p>
        </w:tc>
        <w:tc>
          <w:tcPr>
            <w:tcW w:w="1491" w:type="dxa"/>
          </w:tcPr>
          <w:p w:rsidR="007C5447" w:rsidRDefault="00F6308C">
            <w:pPr>
              <w:pStyle w:val="TableParagraph"/>
              <w:spacing w:before="26"/>
              <w:ind w:right="316"/>
              <w:rPr>
                <w:sz w:val="20"/>
              </w:rPr>
            </w:pPr>
            <w:r>
              <w:rPr>
                <w:w w:val="95"/>
                <w:sz w:val="20"/>
              </w:rPr>
              <w:t>98.98</w:t>
            </w:r>
          </w:p>
        </w:tc>
        <w:tc>
          <w:tcPr>
            <w:tcW w:w="1565" w:type="dxa"/>
          </w:tcPr>
          <w:p w:rsidR="007C5447" w:rsidRDefault="00F6308C">
            <w:pPr>
              <w:pStyle w:val="TableParagraph"/>
              <w:spacing w:before="26"/>
              <w:ind w:right="316"/>
              <w:rPr>
                <w:sz w:val="20"/>
              </w:rPr>
            </w:pPr>
            <w:r>
              <w:rPr>
                <w:w w:val="95"/>
                <w:sz w:val="20"/>
              </w:rPr>
              <w:t>113.72</w:t>
            </w:r>
          </w:p>
        </w:tc>
      </w:tr>
    </w:tbl>
    <w:p w:rsidR="007C5447" w:rsidRDefault="007C5447">
      <w:pPr>
        <w:rPr>
          <w:sz w:val="20"/>
        </w:rPr>
        <w:sectPr w:rsidR="007C5447">
          <w:footerReference w:type="default" r:id="rId47"/>
          <w:pgSz w:w="11910" w:h="16840"/>
          <w:pgMar w:top="1360" w:right="620" w:bottom="1240" w:left="900" w:header="0" w:footer="1057" w:gutter="0"/>
          <w:cols w:space="720"/>
        </w:sectPr>
      </w:pPr>
    </w:p>
    <w:tbl>
      <w:tblPr>
        <w:tblW w:w="0" w:type="auto"/>
        <w:tblInd w:w="1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0"/>
        <w:gridCol w:w="2903"/>
        <w:gridCol w:w="1664"/>
        <w:gridCol w:w="1491"/>
        <w:gridCol w:w="1565"/>
      </w:tblGrid>
      <w:tr w:rsidR="007C5447">
        <w:trPr>
          <w:trHeight w:val="311"/>
        </w:trPr>
        <w:tc>
          <w:tcPr>
            <w:tcW w:w="970" w:type="dxa"/>
            <w:shd w:val="clear" w:color="auto" w:fill="F7C9AC"/>
          </w:tcPr>
          <w:p w:rsidR="007C5447" w:rsidRDefault="00F6308C">
            <w:pPr>
              <w:pStyle w:val="TableParagraph"/>
              <w:spacing w:before="41"/>
              <w:ind w:left="376"/>
              <w:jc w:val="left"/>
              <w:rPr>
                <w:b/>
                <w:sz w:val="20"/>
              </w:rPr>
            </w:pPr>
            <w:r>
              <w:rPr>
                <w:b/>
                <w:sz w:val="20"/>
              </w:rPr>
              <w:lastRenderedPageBreak/>
              <w:t>Sl.</w:t>
            </w:r>
          </w:p>
        </w:tc>
        <w:tc>
          <w:tcPr>
            <w:tcW w:w="2903" w:type="dxa"/>
            <w:shd w:val="clear" w:color="auto" w:fill="F7C9AC"/>
          </w:tcPr>
          <w:p w:rsidR="007C5447" w:rsidRDefault="00F6308C">
            <w:pPr>
              <w:pStyle w:val="TableParagraph"/>
              <w:spacing w:before="41"/>
              <w:ind w:left="849"/>
              <w:jc w:val="left"/>
              <w:rPr>
                <w:b/>
                <w:sz w:val="20"/>
              </w:rPr>
            </w:pPr>
            <w:r>
              <w:rPr>
                <w:b/>
                <w:sz w:val="20"/>
              </w:rPr>
              <w:t>Power Station</w:t>
            </w:r>
          </w:p>
        </w:tc>
        <w:tc>
          <w:tcPr>
            <w:tcW w:w="1664" w:type="dxa"/>
            <w:shd w:val="clear" w:color="auto" w:fill="F7C9AC"/>
          </w:tcPr>
          <w:p w:rsidR="007C5447" w:rsidRDefault="00F6308C">
            <w:pPr>
              <w:pStyle w:val="TableParagraph"/>
              <w:spacing w:before="41"/>
              <w:ind w:right="328"/>
              <w:rPr>
                <w:b/>
                <w:sz w:val="20"/>
              </w:rPr>
            </w:pPr>
            <w:r>
              <w:rPr>
                <w:b/>
                <w:sz w:val="20"/>
              </w:rPr>
              <w:t>FY 2016-17</w:t>
            </w:r>
          </w:p>
        </w:tc>
        <w:tc>
          <w:tcPr>
            <w:tcW w:w="1491" w:type="dxa"/>
            <w:shd w:val="clear" w:color="auto" w:fill="F7C9AC"/>
          </w:tcPr>
          <w:p w:rsidR="007C5447" w:rsidRDefault="00F6308C">
            <w:pPr>
              <w:pStyle w:val="TableParagraph"/>
              <w:spacing w:before="41"/>
              <w:ind w:right="241"/>
              <w:rPr>
                <w:b/>
                <w:sz w:val="20"/>
              </w:rPr>
            </w:pPr>
            <w:r>
              <w:rPr>
                <w:b/>
                <w:sz w:val="20"/>
              </w:rPr>
              <w:t>FY 2017-18</w:t>
            </w:r>
          </w:p>
        </w:tc>
        <w:tc>
          <w:tcPr>
            <w:tcW w:w="1565" w:type="dxa"/>
            <w:shd w:val="clear" w:color="auto" w:fill="F7C9AC"/>
          </w:tcPr>
          <w:p w:rsidR="007C5447" w:rsidRDefault="00F6308C">
            <w:pPr>
              <w:pStyle w:val="TableParagraph"/>
              <w:spacing w:before="41"/>
              <w:ind w:right="279"/>
              <w:rPr>
                <w:b/>
                <w:sz w:val="20"/>
              </w:rPr>
            </w:pPr>
            <w:r>
              <w:rPr>
                <w:b/>
                <w:sz w:val="20"/>
              </w:rPr>
              <w:t>FY 2018-19</w:t>
            </w:r>
          </w:p>
        </w:tc>
      </w:tr>
      <w:tr w:rsidR="007C5447">
        <w:trPr>
          <w:trHeight w:val="283"/>
        </w:trPr>
        <w:tc>
          <w:tcPr>
            <w:tcW w:w="970" w:type="dxa"/>
          </w:tcPr>
          <w:p w:rsidR="007C5447" w:rsidRDefault="00F6308C">
            <w:pPr>
              <w:pStyle w:val="TableParagraph"/>
              <w:spacing w:before="27"/>
              <w:ind w:left="8"/>
              <w:jc w:val="center"/>
              <w:rPr>
                <w:sz w:val="20"/>
              </w:rPr>
            </w:pPr>
            <w:r>
              <w:rPr>
                <w:w w:val="99"/>
                <w:sz w:val="20"/>
              </w:rPr>
              <w:t>5</w:t>
            </w:r>
          </w:p>
        </w:tc>
        <w:tc>
          <w:tcPr>
            <w:tcW w:w="2903" w:type="dxa"/>
          </w:tcPr>
          <w:p w:rsidR="007C5447" w:rsidRDefault="00F6308C">
            <w:pPr>
              <w:pStyle w:val="TableParagraph"/>
              <w:spacing w:before="27"/>
              <w:ind w:left="107"/>
              <w:jc w:val="left"/>
              <w:rPr>
                <w:sz w:val="20"/>
              </w:rPr>
            </w:pPr>
            <w:r>
              <w:rPr>
                <w:sz w:val="20"/>
              </w:rPr>
              <w:t>NCTPS Stage-II (unit 1)</w:t>
            </w:r>
          </w:p>
        </w:tc>
        <w:tc>
          <w:tcPr>
            <w:tcW w:w="1664" w:type="dxa"/>
          </w:tcPr>
          <w:p w:rsidR="007C5447" w:rsidRDefault="00F6308C">
            <w:pPr>
              <w:pStyle w:val="TableParagraph"/>
              <w:spacing w:before="27"/>
              <w:ind w:right="315"/>
              <w:rPr>
                <w:sz w:val="20"/>
              </w:rPr>
            </w:pPr>
            <w:r>
              <w:rPr>
                <w:w w:val="95"/>
                <w:sz w:val="20"/>
              </w:rPr>
              <w:t>313.48</w:t>
            </w:r>
          </w:p>
        </w:tc>
        <w:tc>
          <w:tcPr>
            <w:tcW w:w="1491" w:type="dxa"/>
          </w:tcPr>
          <w:p w:rsidR="007C5447" w:rsidRDefault="00F6308C">
            <w:pPr>
              <w:pStyle w:val="TableParagraph"/>
              <w:spacing w:before="27"/>
              <w:ind w:right="316"/>
              <w:rPr>
                <w:sz w:val="20"/>
              </w:rPr>
            </w:pPr>
            <w:r>
              <w:rPr>
                <w:w w:val="95"/>
                <w:sz w:val="20"/>
              </w:rPr>
              <w:t>281.96</w:t>
            </w:r>
          </w:p>
        </w:tc>
        <w:tc>
          <w:tcPr>
            <w:tcW w:w="1565" w:type="dxa"/>
          </w:tcPr>
          <w:p w:rsidR="007C5447" w:rsidRDefault="00F6308C">
            <w:pPr>
              <w:pStyle w:val="TableParagraph"/>
              <w:spacing w:before="27"/>
              <w:ind w:right="316"/>
              <w:rPr>
                <w:sz w:val="20"/>
              </w:rPr>
            </w:pPr>
            <w:r>
              <w:rPr>
                <w:w w:val="95"/>
                <w:sz w:val="20"/>
              </w:rPr>
              <w:t>252.05</w:t>
            </w:r>
          </w:p>
        </w:tc>
      </w:tr>
      <w:tr w:rsidR="007C5447">
        <w:trPr>
          <w:trHeight w:val="282"/>
        </w:trPr>
        <w:tc>
          <w:tcPr>
            <w:tcW w:w="970" w:type="dxa"/>
          </w:tcPr>
          <w:p w:rsidR="007C5447" w:rsidRDefault="00F6308C">
            <w:pPr>
              <w:pStyle w:val="TableParagraph"/>
              <w:spacing w:before="26"/>
              <w:ind w:left="8"/>
              <w:jc w:val="center"/>
              <w:rPr>
                <w:sz w:val="20"/>
              </w:rPr>
            </w:pPr>
            <w:r>
              <w:rPr>
                <w:w w:val="99"/>
                <w:sz w:val="20"/>
              </w:rPr>
              <w:t>6</w:t>
            </w:r>
          </w:p>
        </w:tc>
        <w:tc>
          <w:tcPr>
            <w:tcW w:w="2903" w:type="dxa"/>
          </w:tcPr>
          <w:p w:rsidR="007C5447" w:rsidRDefault="00F6308C">
            <w:pPr>
              <w:pStyle w:val="TableParagraph"/>
              <w:spacing w:before="26"/>
              <w:ind w:left="107"/>
              <w:jc w:val="left"/>
              <w:rPr>
                <w:sz w:val="20"/>
              </w:rPr>
            </w:pPr>
            <w:r>
              <w:rPr>
                <w:sz w:val="20"/>
              </w:rPr>
              <w:t>NCTPS Stage-II (unit 2)</w:t>
            </w:r>
          </w:p>
        </w:tc>
        <w:tc>
          <w:tcPr>
            <w:tcW w:w="1664" w:type="dxa"/>
          </w:tcPr>
          <w:p w:rsidR="007C5447" w:rsidRDefault="00F6308C">
            <w:pPr>
              <w:pStyle w:val="TableParagraph"/>
              <w:spacing w:before="26"/>
              <w:ind w:right="315"/>
              <w:rPr>
                <w:sz w:val="20"/>
              </w:rPr>
            </w:pPr>
            <w:r>
              <w:rPr>
                <w:w w:val="95"/>
                <w:sz w:val="20"/>
              </w:rPr>
              <w:t>360.61</w:t>
            </w:r>
          </w:p>
        </w:tc>
        <w:tc>
          <w:tcPr>
            <w:tcW w:w="1491" w:type="dxa"/>
          </w:tcPr>
          <w:p w:rsidR="007C5447" w:rsidRDefault="00F6308C">
            <w:pPr>
              <w:pStyle w:val="TableParagraph"/>
              <w:spacing w:before="26"/>
              <w:ind w:right="316"/>
              <w:rPr>
                <w:sz w:val="20"/>
              </w:rPr>
            </w:pPr>
            <w:r>
              <w:rPr>
                <w:w w:val="95"/>
                <w:sz w:val="20"/>
              </w:rPr>
              <w:t>360.79</w:t>
            </w:r>
          </w:p>
        </w:tc>
        <w:tc>
          <w:tcPr>
            <w:tcW w:w="1565" w:type="dxa"/>
          </w:tcPr>
          <w:p w:rsidR="007C5447" w:rsidRDefault="00F6308C">
            <w:pPr>
              <w:pStyle w:val="TableParagraph"/>
              <w:spacing w:before="26"/>
              <w:ind w:right="316"/>
              <w:rPr>
                <w:sz w:val="20"/>
              </w:rPr>
            </w:pPr>
            <w:r>
              <w:rPr>
                <w:w w:val="95"/>
                <w:sz w:val="20"/>
              </w:rPr>
              <w:t>362.60</w:t>
            </w:r>
          </w:p>
        </w:tc>
      </w:tr>
      <w:tr w:rsidR="007C5447">
        <w:trPr>
          <w:trHeight w:val="282"/>
        </w:trPr>
        <w:tc>
          <w:tcPr>
            <w:tcW w:w="970" w:type="dxa"/>
          </w:tcPr>
          <w:p w:rsidR="007C5447" w:rsidRDefault="00F6308C">
            <w:pPr>
              <w:pStyle w:val="TableParagraph"/>
              <w:spacing w:before="26"/>
              <w:ind w:left="8"/>
              <w:jc w:val="center"/>
              <w:rPr>
                <w:sz w:val="20"/>
              </w:rPr>
            </w:pPr>
            <w:r>
              <w:rPr>
                <w:w w:val="99"/>
                <w:sz w:val="20"/>
              </w:rPr>
              <w:t>7</w:t>
            </w:r>
          </w:p>
        </w:tc>
        <w:tc>
          <w:tcPr>
            <w:tcW w:w="2903" w:type="dxa"/>
          </w:tcPr>
          <w:p w:rsidR="007C5447" w:rsidRDefault="00F6308C">
            <w:pPr>
              <w:pStyle w:val="TableParagraph"/>
              <w:spacing w:before="26"/>
              <w:ind w:left="107"/>
              <w:jc w:val="left"/>
              <w:rPr>
                <w:sz w:val="20"/>
              </w:rPr>
            </w:pPr>
            <w:r>
              <w:rPr>
                <w:sz w:val="20"/>
              </w:rPr>
              <w:t>MTPS Stage-III</w:t>
            </w:r>
          </w:p>
        </w:tc>
        <w:tc>
          <w:tcPr>
            <w:tcW w:w="1664" w:type="dxa"/>
          </w:tcPr>
          <w:p w:rsidR="007C5447" w:rsidRDefault="00F6308C">
            <w:pPr>
              <w:pStyle w:val="TableParagraph"/>
              <w:spacing w:before="26"/>
              <w:ind w:right="315"/>
              <w:rPr>
                <w:sz w:val="20"/>
              </w:rPr>
            </w:pPr>
            <w:r>
              <w:rPr>
                <w:w w:val="95"/>
                <w:sz w:val="20"/>
              </w:rPr>
              <w:t>349.37</w:t>
            </w:r>
          </w:p>
        </w:tc>
        <w:tc>
          <w:tcPr>
            <w:tcW w:w="1491" w:type="dxa"/>
          </w:tcPr>
          <w:p w:rsidR="007C5447" w:rsidRDefault="00F6308C">
            <w:pPr>
              <w:pStyle w:val="TableParagraph"/>
              <w:spacing w:before="26"/>
              <w:ind w:right="316"/>
              <w:rPr>
                <w:sz w:val="20"/>
              </w:rPr>
            </w:pPr>
            <w:r>
              <w:rPr>
                <w:w w:val="95"/>
                <w:sz w:val="20"/>
              </w:rPr>
              <w:t>336.50</w:t>
            </w:r>
          </w:p>
        </w:tc>
        <w:tc>
          <w:tcPr>
            <w:tcW w:w="1565" w:type="dxa"/>
          </w:tcPr>
          <w:p w:rsidR="007C5447" w:rsidRDefault="00F6308C">
            <w:pPr>
              <w:pStyle w:val="TableParagraph"/>
              <w:spacing w:before="26"/>
              <w:ind w:right="316"/>
              <w:rPr>
                <w:sz w:val="20"/>
              </w:rPr>
            </w:pPr>
            <w:r>
              <w:rPr>
                <w:w w:val="95"/>
                <w:sz w:val="20"/>
              </w:rPr>
              <w:t>323.04</w:t>
            </w:r>
          </w:p>
        </w:tc>
      </w:tr>
      <w:tr w:rsidR="007C5447">
        <w:trPr>
          <w:trHeight w:val="282"/>
        </w:trPr>
        <w:tc>
          <w:tcPr>
            <w:tcW w:w="970" w:type="dxa"/>
          </w:tcPr>
          <w:p w:rsidR="007C5447" w:rsidRDefault="00F6308C">
            <w:pPr>
              <w:pStyle w:val="TableParagraph"/>
              <w:spacing w:before="26"/>
              <w:ind w:left="8"/>
              <w:jc w:val="center"/>
              <w:rPr>
                <w:sz w:val="20"/>
              </w:rPr>
            </w:pPr>
            <w:r>
              <w:rPr>
                <w:w w:val="99"/>
                <w:sz w:val="20"/>
              </w:rPr>
              <w:t>8</w:t>
            </w:r>
          </w:p>
        </w:tc>
        <w:tc>
          <w:tcPr>
            <w:tcW w:w="2903" w:type="dxa"/>
          </w:tcPr>
          <w:p w:rsidR="007C5447" w:rsidRDefault="00F6308C">
            <w:pPr>
              <w:pStyle w:val="TableParagraph"/>
              <w:spacing w:before="26"/>
              <w:ind w:left="107"/>
              <w:jc w:val="left"/>
              <w:rPr>
                <w:sz w:val="20"/>
              </w:rPr>
            </w:pPr>
            <w:r>
              <w:rPr>
                <w:sz w:val="20"/>
              </w:rPr>
              <w:t>Uppur TPP</w:t>
            </w:r>
          </w:p>
        </w:tc>
        <w:tc>
          <w:tcPr>
            <w:tcW w:w="1664" w:type="dxa"/>
          </w:tcPr>
          <w:p w:rsidR="007C5447" w:rsidRDefault="00F6308C">
            <w:pPr>
              <w:pStyle w:val="TableParagraph"/>
              <w:spacing w:before="26"/>
              <w:ind w:right="312"/>
              <w:rPr>
                <w:sz w:val="20"/>
              </w:rPr>
            </w:pPr>
            <w:r>
              <w:rPr>
                <w:w w:val="99"/>
                <w:sz w:val="20"/>
              </w:rPr>
              <w:t>-</w:t>
            </w:r>
          </w:p>
        </w:tc>
        <w:tc>
          <w:tcPr>
            <w:tcW w:w="1491" w:type="dxa"/>
          </w:tcPr>
          <w:p w:rsidR="007C5447" w:rsidRDefault="00F6308C">
            <w:pPr>
              <w:pStyle w:val="TableParagraph"/>
              <w:spacing w:before="26"/>
              <w:ind w:right="312"/>
              <w:rPr>
                <w:sz w:val="20"/>
              </w:rPr>
            </w:pPr>
            <w:r>
              <w:rPr>
                <w:w w:val="99"/>
                <w:sz w:val="20"/>
              </w:rPr>
              <w:t>-</w:t>
            </w:r>
          </w:p>
        </w:tc>
        <w:tc>
          <w:tcPr>
            <w:tcW w:w="1565" w:type="dxa"/>
          </w:tcPr>
          <w:p w:rsidR="007C5447" w:rsidRDefault="00F6308C">
            <w:pPr>
              <w:pStyle w:val="TableParagraph"/>
              <w:spacing w:before="26"/>
              <w:ind w:right="312"/>
              <w:rPr>
                <w:sz w:val="20"/>
              </w:rPr>
            </w:pPr>
            <w:r>
              <w:rPr>
                <w:w w:val="99"/>
                <w:sz w:val="20"/>
              </w:rPr>
              <w:t>-</w:t>
            </w:r>
          </w:p>
        </w:tc>
      </w:tr>
      <w:tr w:rsidR="007C5447">
        <w:trPr>
          <w:trHeight w:val="282"/>
        </w:trPr>
        <w:tc>
          <w:tcPr>
            <w:tcW w:w="970" w:type="dxa"/>
          </w:tcPr>
          <w:p w:rsidR="007C5447" w:rsidRDefault="00F6308C">
            <w:pPr>
              <w:pStyle w:val="TableParagraph"/>
              <w:spacing w:before="26"/>
              <w:ind w:left="8"/>
              <w:jc w:val="center"/>
              <w:rPr>
                <w:sz w:val="20"/>
              </w:rPr>
            </w:pPr>
            <w:r>
              <w:rPr>
                <w:w w:val="99"/>
                <w:sz w:val="20"/>
              </w:rPr>
              <w:t>9</w:t>
            </w:r>
          </w:p>
        </w:tc>
        <w:tc>
          <w:tcPr>
            <w:tcW w:w="2903" w:type="dxa"/>
          </w:tcPr>
          <w:p w:rsidR="007C5447" w:rsidRDefault="00F6308C">
            <w:pPr>
              <w:pStyle w:val="TableParagraph"/>
              <w:spacing w:before="26"/>
              <w:ind w:left="107"/>
              <w:jc w:val="left"/>
              <w:rPr>
                <w:sz w:val="20"/>
              </w:rPr>
            </w:pPr>
            <w:r>
              <w:rPr>
                <w:sz w:val="20"/>
              </w:rPr>
              <w:t>Udangudi TPP</w:t>
            </w:r>
          </w:p>
        </w:tc>
        <w:tc>
          <w:tcPr>
            <w:tcW w:w="1664" w:type="dxa"/>
          </w:tcPr>
          <w:p w:rsidR="007C5447" w:rsidRDefault="00F6308C">
            <w:pPr>
              <w:pStyle w:val="TableParagraph"/>
              <w:spacing w:before="26"/>
              <w:ind w:right="312"/>
              <w:rPr>
                <w:sz w:val="20"/>
              </w:rPr>
            </w:pPr>
            <w:r>
              <w:rPr>
                <w:w w:val="99"/>
                <w:sz w:val="20"/>
              </w:rPr>
              <w:t>-</w:t>
            </w:r>
          </w:p>
        </w:tc>
        <w:tc>
          <w:tcPr>
            <w:tcW w:w="1491" w:type="dxa"/>
          </w:tcPr>
          <w:p w:rsidR="007C5447" w:rsidRDefault="00F6308C">
            <w:pPr>
              <w:pStyle w:val="TableParagraph"/>
              <w:spacing w:before="26"/>
              <w:ind w:right="312"/>
              <w:rPr>
                <w:sz w:val="20"/>
              </w:rPr>
            </w:pPr>
            <w:r>
              <w:rPr>
                <w:w w:val="99"/>
                <w:sz w:val="20"/>
              </w:rPr>
              <w:t>-</w:t>
            </w:r>
          </w:p>
        </w:tc>
        <w:tc>
          <w:tcPr>
            <w:tcW w:w="1565" w:type="dxa"/>
          </w:tcPr>
          <w:p w:rsidR="007C5447" w:rsidRDefault="00F6308C">
            <w:pPr>
              <w:pStyle w:val="TableParagraph"/>
              <w:spacing w:before="26"/>
              <w:ind w:right="312"/>
              <w:rPr>
                <w:sz w:val="20"/>
              </w:rPr>
            </w:pPr>
            <w:r>
              <w:rPr>
                <w:w w:val="99"/>
                <w:sz w:val="20"/>
              </w:rPr>
              <w:t>-</w:t>
            </w:r>
          </w:p>
        </w:tc>
      </w:tr>
      <w:tr w:rsidR="007C5447">
        <w:trPr>
          <w:trHeight w:val="282"/>
        </w:trPr>
        <w:tc>
          <w:tcPr>
            <w:tcW w:w="970" w:type="dxa"/>
          </w:tcPr>
          <w:p w:rsidR="007C5447" w:rsidRDefault="00F6308C">
            <w:pPr>
              <w:pStyle w:val="TableParagraph"/>
              <w:spacing w:before="26"/>
              <w:ind w:left="383"/>
              <w:jc w:val="left"/>
              <w:rPr>
                <w:sz w:val="20"/>
              </w:rPr>
            </w:pPr>
            <w:r>
              <w:rPr>
                <w:sz w:val="20"/>
              </w:rPr>
              <w:t>10</w:t>
            </w:r>
          </w:p>
        </w:tc>
        <w:tc>
          <w:tcPr>
            <w:tcW w:w="2903" w:type="dxa"/>
          </w:tcPr>
          <w:p w:rsidR="007C5447" w:rsidRDefault="00F6308C">
            <w:pPr>
              <w:pStyle w:val="TableParagraph"/>
              <w:spacing w:before="26"/>
              <w:ind w:left="107"/>
              <w:jc w:val="left"/>
              <w:rPr>
                <w:sz w:val="20"/>
              </w:rPr>
            </w:pPr>
            <w:r>
              <w:rPr>
                <w:sz w:val="20"/>
              </w:rPr>
              <w:t>NCTPS Stage-III</w:t>
            </w:r>
          </w:p>
        </w:tc>
        <w:tc>
          <w:tcPr>
            <w:tcW w:w="1664" w:type="dxa"/>
          </w:tcPr>
          <w:p w:rsidR="007C5447" w:rsidRDefault="00F6308C">
            <w:pPr>
              <w:pStyle w:val="TableParagraph"/>
              <w:spacing w:before="26"/>
              <w:ind w:right="312"/>
              <w:rPr>
                <w:sz w:val="20"/>
              </w:rPr>
            </w:pPr>
            <w:r>
              <w:rPr>
                <w:w w:val="99"/>
                <w:sz w:val="20"/>
              </w:rPr>
              <w:t>-</w:t>
            </w:r>
          </w:p>
        </w:tc>
        <w:tc>
          <w:tcPr>
            <w:tcW w:w="1491" w:type="dxa"/>
          </w:tcPr>
          <w:p w:rsidR="007C5447" w:rsidRDefault="00F6308C">
            <w:pPr>
              <w:pStyle w:val="TableParagraph"/>
              <w:spacing w:before="26"/>
              <w:ind w:right="312"/>
              <w:rPr>
                <w:sz w:val="20"/>
              </w:rPr>
            </w:pPr>
            <w:r>
              <w:rPr>
                <w:w w:val="99"/>
                <w:sz w:val="20"/>
              </w:rPr>
              <w:t>-</w:t>
            </w:r>
          </w:p>
        </w:tc>
        <w:tc>
          <w:tcPr>
            <w:tcW w:w="1565" w:type="dxa"/>
          </w:tcPr>
          <w:p w:rsidR="007C5447" w:rsidRDefault="00F6308C">
            <w:pPr>
              <w:pStyle w:val="TableParagraph"/>
              <w:spacing w:before="26"/>
              <w:ind w:right="312"/>
              <w:rPr>
                <w:sz w:val="20"/>
              </w:rPr>
            </w:pPr>
            <w:r>
              <w:rPr>
                <w:w w:val="99"/>
                <w:sz w:val="20"/>
              </w:rPr>
              <w:t>-</w:t>
            </w:r>
          </w:p>
        </w:tc>
      </w:tr>
      <w:tr w:rsidR="007C5447">
        <w:trPr>
          <w:trHeight w:val="282"/>
        </w:trPr>
        <w:tc>
          <w:tcPr>
            <w:tcW w:w="970" w:type="dxa"/>
          </w:tcPr>
          <w:p w:rsidR="007C5447" w:rsidRDefault="00F6308C">
            <w:pPr>
              <w:pStyle w:val="TableParagraph"/>
              <w:spacing w:before="26"/>
              <w:ind w:left="383"/>
              <w:jc w:val="left"/>
              <w:rPr>
                <w:sz w:val="20"/>
              </w:rPr>
            </w:pPr>
            <w:r>
              <w:rPr>
                <w:sz w:val="20"/>
              </w:rPr>
              <w:t>11</w:t>
            </w:r>
          </w:p>
        </w:tc>
        <w:tc>
          <w:tcPr>
            <w:tcW w:w="2903" w:type="dxa"/>
          </w:tcPr>
          <w:p w:rsidR="007C5447" w:rsidRDefault="00F6308C">
            <w:pPr>
              <w:pStyle w:val="TableParagraph"/>
              <w:spacing w:before="26"/>
              <w:ind w:left="107"/>
              <w:jc w:val="left"/>
              <w:rPr>
                <w:sz w:val="20"/>
              </w:rPr>
            </w:pPr>
            <w:r>
              <w:rPr>
                <w:sz w:val="20"/>
              </w:rPr>
              <w:t>Ennore Expansion</w:t>
            </w:r>
          </w:p>
        </w:tc>
        <w:tc>
          <w:tcPr>
            <w:tcW w:w="1664" w:type="dxa"/>
          </w:tcPr>
          <w:p w:rsidR="007C5447" w:rsidRDefault="00F6308C">
            <w:pPr>
              <w:pStyle w:val="TableParagraph"/>
              <w:spacing w:before="26"/>
              <w:ind w:right="315"/>
              <w:rPr>
                <w:sz w:val="20"/>
              </w:rPr>
            </w:pPr>
            <w:r>
              <w:rPr>
                <w:sz w:val="20"/>
              </w:rPr>
              <w:t>0.00</w:t>
            </w:r>
          </w:p>
        </w:tc>
        <w:tc>
          <w:tcPr>
            <w:tcW w:w="1491" w:type="dxa"/>
          </w:tcPr>
          <w:p w:rsidR="007C5447" w:rsidRDefault="00F6308C">
            <w:pPr>
              <w:pStyle w:val="TableParagraph"/>
              <w:spacing w:before="26"/>
              <w:ind w:right="316"/>
              <w:rPr>
                <w:sz w:val="20"/>
              </w:rPr>
            </w:pPr>
            <w:r>
              <w:rPr>
                <w:sz w:val="20"/>
              </w:rPr>
              <w:t>0.00</w:t>
            </w:r>
          </w:p>
        </w:tc>
        <w:tc>
          <w:tcPr>
            <w:tcW w:w="1565" w:type="dxa"/>
          </w:tcPr>
          <w:p w:rsidR="007C5447" w:rsidRDefault="00F6308C">
            <w:pPr>
              <w:pStyle w:val="TableParagraph"/>
              <w:spacing w:before="26"/>
              <w:ind w:right="315"/>
              <w:rPr>
                <w:sz w:val="20"/>
              </w:rPr>
            </w:pPr>
            <w:r>
              <w:rPr>
                <w:sz w:val="20"/>
              </w:rPr>
              <w:t>0.00</w:t>
            </w:r>
          </w:p>
        </w:tc>
      </w:tr>
      <w:tr w:rsidR="007C5447">
        <w:trPr>
          <w:trHeight w:val="282"/>
        </w:trPr>
        <w:tc>
          <w:tcPr>
            <w:tcW w:w="970" w:type="dxa"/>
          </w:tcPr>
          <w:p w:rsidR="007C5447" w:rsidRDefault="00F6308C">
            <w:pPr>
              <w:pStyle w:val="TableParagraph"/>
              <w:spacing w:before="26"/>
              <w:ind w:left="383"/>
              <w:jc w:val="left"/>
              <w:rPr>
                <w:sz w:val="20"/>
              </w:rPr>
            </w:pPr>
            <w:r>
              <w:rPr>
                <w:sz w:val="20"/>
              </w:rPr>
              <w:t>12</w:t>
            </w:r>
          </w:p>
        </w:tc>
        <w:tc>
          <w:tcPr>
            <w:tcW w:w="2903" w:type="dxa"/>
          </w:tcPr>
          <w:p w:rsidR="007C5447" w:rsidRDefault="00F6308C">
            <w:pPr>
              <w:pStyle w:val="TableParagraph"/>
              <w:spacing w:before="26"/>
              <w:ind w:left="107"/>
              <w:jc w:val="left"/>
              <w:rPr>
                <w:sz w:val="20"/>
              </w:rPr>
            </w:pPr>
            <w:r>
              <w:rPr>
                <w:sz w:val="20"/>
              </w:rPr>
              <w:t>Ennore SEZ</w:t>
            </w:r>
          </w:p>
        </w:tc>
        <w:tc>
          <w:tcPr>
            <w:tcW w:w="1664" w:type="dxa"/>
          </w:tcPr>
          <w:p w:rsidR="007C5447" w:rsidRDefault="00F6308C">
            <w:pPr>
              <w:pStyle w:val="TableParagraph"/>
              <w:spacing w:before="26"/>
              <w:ind w:right="312"/>
              <w:rPr>
                <w:sz w:val="20"/>
              </w:rPr>
            </w:pPr>
            <w:r>
              <w:rPr>
                <w:w w:val="99"/>
                <w:sz w:val="20"/>
              </w:rPr>
              <w:t>-</w:t>
            </w:r>
          </w:p>
        </w:tc>
        <w:tc>
          <w:tcPr>
            <w:tcW w:w="1491" w:type="dxa"/>
          </w:tcPr>
          <w:p w:rsidR="007C5447" w:rsidRDefault="00F6308C">
            <w:pPr>
              <w:pStyle w:val="TableParagraph"/>
              <w:spacing w:before="26"/>
              <w:ind w:right="312"/>
              <w:rPr>
                <w:sz w:val="20"/>
              </w:rPr>
            </w:pPr>
            <w:r>
              <w:rPr>
                <w:w w:val="99"/>
                <w:sz w:val="20"/>
              </w:rPr>
              <w:t>-</w:t>
            </w:r>
          </w:p>
        </w:tc>
        <w:tc>
          <w:tcPr>
            <w:tcW w:w="1565" w:type="dxa"/>
          </w:tcPr>
          <w:p w:rsidR="007C5447" w:rsidRDefault="00F6308C">
            <w:pPr>
              <w:pStyle w:val="TableParagraph"/>
              <w:spacing w:before="26"/>
              <w:ind w:right="312"/>
              <w:rPr>
                <w:sz w:val="20"/>
              </w:rPr>
            </w:pPr>
            <w:r>
              <w:rPr>
                <w:w w:val="99"/>
                <w:sz w:val="20"/>
              </w:rPr>
              <w:t>-</w:t>
            </w:r>
          </w:p>
        </w:tc>
      </w:tr>
      <w:tr w:rsidR="007C5447">
        <w:trPr>
          <w:trHeight w:val="282"/>
        </w:trPr>
        <w:tc>
          <w:tcPr>
            <w:tcW w:w="970" w:type="dxa"/>
          </w:tcPr>
          <w:p w:rsidR="007C5447" w:rsidRDefault="00F6308C">
            <w:pPr>
              <w:pStyle w:val="TableParagraph"/>
              <w:spacing w:before="26"/>
              <w:ind w:left="383"/>
              <w:jc w:val="left"/>
              <w:rPr>
                <w:sz w:val="20"/>
              </w:rPr>
            </w:pPr>
            <w:r>
              <w:rPr>
                <w:sz w:val="20"/>
              </w:rPr>
              <w:t>13</w:t>
            </w:r>
          </w:p>
        </w:tc>
        <w:tc>
          <w:tcPr>
            <w:tcW w:w="2903" w:type="dxa"/>
          </w:tcPr>
          <w:p w:rsidR="007C5447" w:rsidRDefault="00F6308C">
            <w:pPr>
              <w:pStyle w:val="TableParagraph"/>
              <w:spacing w:before="26"/>
              <w:ind w:left="107"/>
              <w:jc w:val="left"/>
              <w:rPr>
                <w:sz w:val="20"/>
              </w:rPr>
            </w:pPr>
            <w:r>
              <w:rPr>
                <w:sz w:val="20"/>
              </w:rPr>
              <w:t>Ennore replacement</w:t>
            </w:r>
          </w:p>
        </w:tc>
        <w:tc>
          <w:tcPr>
            <w:tcW w:w="1664" w:type="dxa"/>
          </w:tcPr>
          <w:p w:rsidR="007C5447" w:rsidRDefault="00F6308C">
            <w:pPr>
              <w:pStyle w:val="TableParagraph"/>
              <w:spacing w:before="26"/>
              <w:ind w:right="312"/>
              <w:rPr>
                <w:sz w:val="20"/>
              </w:rPr>
            </w:pPr>
            <w:r>
              <w:rPr>
                <w:w w:val="99"/>
                <w:sz w:val="20"/>
              </w:rPr>
              <w:t>-</w:t>
            </w:r>
          </w:p>
        </w:tc>
        <w:tc>
          <w:tcPr>
            <w:tcW w:w="1491" w:type="dxa"/>
          </w:tcPr>
          <w:p w:rsidR="007C5447" w:rsidRDefault="00F6308C">
            <w:pPr>
              <w:pStyle w:val="TableParagraph"/>
              <w:spacing w:before="26"/>
              <w:ind w:right="312"/>
              <w:rPr>
                <w:sz w:val="20"/>
              </w:rPr>
            </w:pPr>
            <w:r>
              <w:rPr>
                <w:w w:val="99"/>
                <w:sz w:val="20"/>
              </w:rPr>
              <w:t>-</w:t>
            </w:r>
          </w:p>
        </w:tc>
        <w:tc>
          <w:tcPr>
            <w:tcW w:w="1565" w:type="dxa"/>
          </w:tcPr>
          <w:p w:rsidR="007C5447" w:rsidRDefault="00F6308C">
            <w:pPr>
              <w:pStyle w:val="TableParagraph"/>
              <w:spacing w:before="26"/>
              <w:ind w:right="312"/>
              <w:rPr>
                <w:sz w:val="20"/>
              </w:rPr>
            </w:pPr>
            <w:r>
              <w:rPr>
                <w:w w:val="99"/>
                <w:sz w:val="20"/>
              </w:rPr>
              <w:t>-</w:t>
            </w:r>
          </w:p>
        </w:tc>
      </w:tr>
      <w:tr w:rsidR="007C5447">
        <w:trPr>
          <w:trHeight w:val="311"/>
        </w:trPr>
        <w:tc>
          <w:tcPr>
            <w:tcW w:w="970" w:type="dxa"/>
          </w:tcPr>
          <w:p w:rsidR="007C5447" w:rsidRDefault="00F6308C">
            <w:pPr>
              <w:pStyle w:val="TableParagraph"/>
              <w:spacing w:before="41"/>
              <w:ind w:left="383"/>
              <w:jc w:val="left"/>
              <w:rPr>
                <w:sz w:val="20"/>
              </w:rPr>
            </w:pPr>
            <w:r>
              <w:rPr>
                <w:sz w:val="20"/>
              </w:rPr>
              <w:t>14</w:t>
            </w:r>
          </w:p>
        </w:tc>
        <w:tc>
          <w:tcPr>
            <w:tcW w:w="2903" w:type="dxa"/>
          </w:tcPr>
          <w:p w:rsidR="007C5447" w:rsidRDefault="00F6308C">
            <w:pPr>
              <w:pStyle w:val="TableParagraph"/>
              <w:spacing w:before="41"/>
              <w:ind w:left="107"/>
              <w:jc w:val="left"/>
              <w:rPr>
                <w:b/>
                <w:sz w:val="20"/>
              </w:rPr>
            </w:pPr>
            <w:r>
              <w:rPr>
                <w:b/>
                <w:sz w:val="20"/>
              </w:rPr>
              <w:t>Total Thermal</w:t>
            </w:r>
          </w:p>
        </w:tc>
        <w:tc>
          <w:tcPr>
            <w:tcW w:w="1664" w:type="dxa"/>
          </w:tcPr>
          <w:p w:rsidR="007C5447" w:rsidRDefault="00F6308C">
            <w:pPr>
              <w:pStyle w:val="TableParagraph"/>
              <w:spacing w:before="41"/>
              <w:ind w:right="313"/>
              <w:rPr>
                <w:b/>
                <w:sz w:val="20"/>
              </w:rPr>
            </w:pPr>
            <w:r>
              <w:rPr>
                <w:b/>
                <w:w w:val="95"/>
                <w:sz w:val="20"/>
              </w:rPr>
              <w:t>1,409.68</w:t>
            </w:r>
          </w:p>
        </w:tc>
        <w:tc>
          <w:tcPr>
            <w:tcW w:w="1491" w:type="dxa"/>
          </w:tcPr>
          <w:p w:rsidR="007C5447" w:rsidRDefault="00F6308C">
            <w:pPr>
              <w:pStyle w:val="TableParagraph"/>
              <w:spacing w:before="41"/>
              <w:ind w:left="463"/>
              <w:jc w:val="left"/>
              <w:rPr>
                <w:b/>
                <w:sz w:val="20"/>
              </w:rPr>
            </w:pPr>
            <w:r>
              <w:rPr>
                <w:b/>
                <w:sz w:val="20"/>
              </w:rPr>
              <w:t>1,369.92</w:t>
            </w:r>
          </w:p>
        </w:tc>
        <w:tc>
          <w:tcPr>
            <w:tcW w:w="1565" w:type="dxa"/>
          </w:tcPr>
          <w:p w:rsidR="007C5447" w:rsidRDefault="00F6308C">
            <w:pPr>
              <w:pStyle w:val="TableParagraph"/>
              <w:spacing w:before="41"/>
              <w:ind w:right="314"/>
              <w:rPr>
                <w:b/>
                <w:sz w:val="20"/>
              </w:rPr>
            </w:pPr>
            <w:r>
              <w:rPr>
                <w:b/>
                <w:w w:val="95"/>
                <w:sz w:val="20"/>
              </w:rPr>
              <w:t>1,375.79</w:t>
            </w:r>
          </w:p>
        </w:tc>
      </w:tr>
      <w:tr w:rsidR="007C5447">
        <w:trPr>
          <w:trHeight w:val="282"/>
        </w:trPr>
        <w:tc>
          <w:tcPr>
            <w:tcW w:w="970" w:type="dxa"/>
          </w:tcPr>
          <w:p w:rsidR="007C5447" w:rsidRDefault="00F6308C">
            <w:pPr>
              <w:pStyle w:val="TableParagraph"/>
              <w:spacing w:before="26"/>
              <w:ind w:left="383"/>
              <w:jc w:val="left"/>
              <w:rPr>
                <w:sz w:val="20"/>
              </w:rPr>
            </w:pPr>
            <w:r>
              <w:rPr>
                <w:sz w:val="20"/>
              </w:rPr>
              <w:t>15</w:t>
            </w:r>
          </w:p>
        </w:tc>
        <w:tc>
          <w:tcPr>
            <w:tcW w:w="2903" w:type="dxa"/>
          </w:tcPr>
          <w:p w:rsidR="007C5447" w:rsidRDefault="00F6308C">
            <w:pPr>
              <w:pStyle w:val="TableParagraph"/>
              <w:spacing w:before="26"/>
              <w:ind w:left="107"/>
              <w:jc w:val="left"/>
              <w:rPr>
                <w:sz w:val="20"/>
              </w:rPr>
            </w:pPr>
            <w:r>
              <w:rPr>
                <w:sz w:val="20"/>
              </w:rPr>
              <w:t>Tirumakottai GTPS</w:t>
            </w:r>
          </w:p>
        </w:tc>
        <w:tc>
          <w:tcPr>
            <w:tcW w:w="1664" w:type="dxa"/>
          </w:tcPr>
          <w:p w:rsidR="007C5447" w:rsidRDefault="00F6308C">
            <w:pPr>
              <w:pStyle w:val="TableParagraph"/>
              <w:spacing w:before="26"/>
              <w:ind w:right="315"/>
              <w:rPr>
                <w:sz w:val="20"/>
              </w:rPr>
            </w:pPr>
            <w:r>
              <w:rPr>
                <w:w w:val="95"/>
                <w:sz w:val="20"/>
              </w:rPr>
              <w:t>34.93</w:t>
            </w:r>
          </w:p>
        </w:tc>
        <w:tc>
          <w:tcPr>
            <w:tcW w:w="1491" w:type="dxa"/>
          </w:tcPr>
          <w:p w:rsidR="007C5447" w:rsidRDefault="00F6308C">
            <w:pPr>
              <w:pStyle w:val="TableParagraph"/>
              <w:spacing w:before="26"/>
              <w:ind w:right="316"/>
              <w:rPr>
                <w:sz w:val="20"/>
              </w:rPr>
            </w:pPr>
            <w:r>
              <w:rPr>
                <w:w w:val="95"/>
                <w:sz w:val="20"/>
              </w:rPr>
              <w:t>36.63</w:t>
            </w:r>
          </w:p>
        </w:tc>
        <w:tc>
          <w:tcPr>
            <w:tcW w:w="1565" w:type="dxa"/>
          </w:tcPr>
          <w:p w:rsidR="007C5447" w:rsidRDefault="00F6308C">
            <w:pPr>
              <w:pStyle w:val="TableParagraph"/>
              <w:spacing w:before="26"/>
              <w:ind w:right="315"/>
              <w:rPr>
                <w:sz w:val="20"/>
              </w:rPr>
            </w:pPr>
            <w:r>
              <w:rPr>
                <w:w w:val="95"/>
                <w:sz w:val="20"/>
              </w:rPr>
              <w:t>40.33</w:t>
            </w:r>
          </w:p>
        </w:tc>
      </w:tr>
      <w:tr w:rsidR="007C5447">
        <w:trPr>
          <w:trHeight w:val="282"/>
        </w:trPr>
        <w:tc>
          <w:tcPr>
            <w:tcW w:w="970" w:type="dxa"/>
          </w:tcPr>
          <w:p w:rsidR="007C5447" w:rsidRDefault="00F6308C">
            <w:pPr>
              <w:pStyle w:val="TableParagraph"/>
              <w:spacing w:before="26"/>
              <w:ind w:left="383"/>
              <w:jc w:val="left"/>
              <w:rPr>
                <w:sz w:val="20"/>
              </w:rPr>
            </w:pPr>
            <w:r>
              <w:rPr>
                <w:sz w:val="20"/>
              </w:rPr>
              <w:t>16</w:t>
            </w:r>
          </w:p>
        </w:tc>
        <w:tc>
          <w:tcPr>
            <w:tcW w:w="2903" w:type="dxa"/>
          </w:tcPr>
          <w:p w:rsidR="007C5447" w:rsidRDefault="00F6308C">
            <w:pPr>
              <w:pStyle w:val="TableParagraph"/>
              <w:spacing w:before="26"/>
              <w:ind w:left="107"/>
              <w:jc w:val="left"/>
              <w:rPr>
                <w:sz w:val="20"/>
              </w:rPr>
            </w:pPr>
            <w:r>
              <w:rPr>
                <w:sz w:val="20"/>
              </w:rPr>
              <w:t>Kuttalam GTPS</w:t>
            </w:r>
          </w:p>
        </w:tc>
        <w:tc>
          <w:tcPr>
            <w:tcW w:w="1664" w:type="dxa"/>
          </w:tcPr>
          <w:p w:rsidR="007C5447" w:rsidRDefault="00F6308C">
            <w:pPr>
              <w:pStyle w:val="TableParagraph"/>
              <w:spacing w:before="26"/>
              <w:ind w:right="315"/>
              <w:rPr>
                <w:sz w:val="20"/>
              </w:rPr>
            </w:pPr>
            <w:r>
              <w:rPr>
                <w:w w:val="95"/>
                <w:sz w:val="20"/>
              </w:rPr>
              <w:t>44.71</w:t>
            </w:r>
          </w:p>
        </w:tc>
        <w:tc>
          <w:tcPr>
            <w:tcW w:w="1491" w:type="dxa"/>
          </w:tcPr>
          <w:p w:rsidR="007C5447" w:rsidRDefault="00F6308C">
            <w:pPr>
              <w:pStyle w:val="TableParagraph"/>
              <w:spacing w:before="26"/>
              <w:ind w:right="316"/>
              <w:rPr>
                <w:sz w:val="20"/>
              </w:rPr>
            </w:pPr>
            <w:r>
              <w:rPr>
                <w:w w:val="95"/>
                <w:sz w:val="20"/>
              </w:rPr>
              <w:t>40.95</w:t>
            </w:r>
          </w:p>
        </w:tc>
        <w:tc>
          <w:tcPr>
            <w:tcW w:w="1565" w:type="dxa"/>
          </w:tcPr>
          <w:p w:rsidR="007C5447" w:rsidRDefault="00F6308C">
            <w:pPr>
              <w:pStyle w:val="TableParagraph"/>
              <w:spacing w:before="26"/>
              <w:ind w:right="315"/>
              <w:rPr>
                <w:sz w:val="20"/>
              </w:rPr>
            </w:pPr>
            <w:r>
              <w:rPr>
                <w:w w:val="95"/>
                <w:sz w:val="20"/>
              </w:rPr>
              <w:t>37.59</w:t>
            </w:r>
          </w:p>
        </w:tc>
      </w:tr>
      <w:tr w:rsidR="007C5447">
        <w:trPr>
          <w:trHeight w:val="283"/>
        </w:trPr>
        <w:tc>
          <w:tcPr>
            <w:tcW w:w="970" w:type="dxa"/>
          </w:tcPr>
          <w:p w:rsidR="007C5447" w:rsidRDefault="00F6308C">
            <w:pPr>
              <w:pStyle w:val="TableParagraph"/>
              <w:spacing w:before="27"/>
              <w:ind w:left="383"/>
              <w:jc w:val="left"/>
              <w:rPr>
                <w:sz w:val="20"/>
              </w:rPr>
            </w:pPr>
            <w:r>
              <w:rPr>
                <w:sz w:val="20"/>
              </w:rPr>
              <w:t>17</w:t>
            </w:r>
          </w:p>
        </w:tc>
        <w:tc>
          <w:tcPr>
            <w:tcW w:w="2903" w:type="dxa"/>
          </w:tcPr>
          <w:p w:rsidR="007C5447" w:rsidRDefault="00F6308C">
            <w:pPr>
              <w:pStyle w:val="TableParagraph"/>
              <w:spacing w:before="27"/>
              <w:ind w:left="107"/>
              <w:jc w:val="left"/>
              <w:rPr>
                <w:sz w:val="20"/>
              </w:rPr>
            </w:pPr>
            <w:r>
              <w:rPr>
                <w:sz w:val="20"/>
              </w:rPr>
              <w:t>Basin Bridge GTPS</w:t>
            </w:r>
          </w:p>
        </w:tc>
        <w:tc>
          <w:tcPr>
            <w:tcW w:w="1664" w:type="dxa"/>
          </w:tcPr>
          <w:p w:rsidR="007C5447" w:rsidRDefault="00F6308C">
            <w:pPr>
              <w:pStyle w:val="TableParagraph"/>
              <w:spacing w:before="27"/>
              <w:ind w:right="315"/>
              <w:rPr>
                <w:sz w:val="20"/>
              </w:rPr>
            </w:pPr>
            <w:r>
              <w:rPr>
                <w:sz w:val="20"/>
              </w:rPr>
              <w:t>6.25</w:t>
            </w:r>
          </w:p>
        </w:tc>
        <w:tc>
          <w:tcPr>
            <w:tcW w:w="1491" w:type="dxa"/>
          </w:tcPr>
          <w:p w:rsidR="007C5447" w:rsidRDefault="00F6308C">
            <w:pPr>
              <w:pStyle w:val="TableParagraph"/>
              <w:spacing w:before="27"/>
              <w:ind w:right="316"/>
              <w:rPr>
                <w:sz w:val="20"/>
              </w:rPr>
            </w:pPr>
            <w:r>
              <w:rPr>
                <w:sz w:val="20"/>
              </w:rPr>
              <w:t>3.46</w:t>
            </w:r>
          </w:p>
        </w:tc>
        <w:tc>
          <w:tcPr>
            <w:tcW w:w="1565" w:type="dxa"/>
          </w:tcPr>
          <w:p w:rsidR="007C5447" w:rsidRDefault="00F6308C">
            <w:pPr>
              <w:pStyle w:val="TableParagraph"/>
              <w:spacing w:before="27"/>
              <w:ind w:right="315"/>
              <w:rPr>
                <w:sz w:val="20"/>
              </w:rPr>
            </w:pPr>
            <w:r>
              <w:rPr>
                <w:sz w:val="20"/>
              </w:rPr>
              <w:t>0.69</w:t>
            </w:r>
          </w:p>
        </w:tc>
      </w:tr>
      <w:tr w:rsidR="007C5447">
        <w:trPr>
          <w:trHeight w:val="285"/>
        </w:trPr>
        <w:tc>
          <w:tcPr>
            <w:tcW w:w="970" w:type="dxa"/>
          </w:tcPr>
          <w:p w:rsidR="007C5447" w:rsidRDefault="00F6308C">
            <w:pPr>
              <w:pStyle w:val="TableParagraph"/>
              <w:spacing w:before="29"/>
              <w:ind w:left="383"/>
              <w:jc w:val="left"/>
              <w:rPr>
                <w:sz w:val="20"/>
              </w:rPr>
            </w:pPr>
            <w:r>
              <w:rPr>
                <w:sz w:val="20"/>
              </w:rPr>
              <w:t>18</w:t>
            </w:r>
          </w:p>
        </w:tc>
        <w:tc>
          <w:tcPr>
            <w:tcW w:w="2903" w:type="dxa"/>
          </w:tcPr>
          <w:p w:rsidR="007C5447" w:rsidRDefault="00F6308C">
            <w:pPr>
              <w:pStyle w:val="TableParagraph"/>
              <w:spacing w:before="29"/>
              <w:ind w:left="107"/>
              <w:jc w:val="left"/>
              <w:rPr>
                <w:sz w:val="20"/>
              </w:rPr>
            </w:pPr>
            <w:r>
              <w:rPr>
                <w:sz w:val="20"/>
              </w:rPr>
              <w:t>Valuthur Unit-I</w:t>
            </w:r>
          </w:p>
        </w:tc>
        <w:tc>
          <w:tcPr>
            <w:tcW w:w="1664" w:type="dxa"/>
          </w:tcPr>
          <w:p w:rsidR="007C5447" w:rsidRDefault="00F6308C">
            <w:pPr>
              <w:pStyle w:val="TableParagraph"/>
              <w:spacing w:before="29"/>
              <w:ind w:right="315"/>
              <w:rPr>
                <w:sz w:val="20"/>
              </w:rPr>
            </w:pPr>
            <w:r>
              <w:rPr>
                <w:w w:val="95"/>
                <w:sz w:val="20"/>
              </w:rPr>
              <w:t>90.09</w:t>
            </w:r>
          </w:p>
        </w:tc>
        <w:tc>
          <w:tcPr>
            <w:tcW w:w="1491" w:type="dxa"/>
          </w:tcPr>
          <w:p w:rsidR="007C5447" w:rsidRDefault="00F6308C">
            <w:pPr>
              <w:pStyle w:val="TableParagraph"/>
              <w:spacing w:before="29"/>
              <w:ind w:right="316"/>
              <w:rPr>
                <w:sz w:val="20"/>
              </w:rPr>
            </w:pPr>
            <w:r>
              <w:rPr>
                <w:w w:val="95"/>
                <w:sz w:val="20"/>
              </w:rPr>
              <w:t>83.30</w:t>
            </w:r>
          </w:p>
        </w:tc>
        <w:tc>
          <w:tcPr>
            <w:tcW w:w="1565" w:type="dxa"/>
          </w:tcPr>
          <w:p w:rsidR="007C5447" w:rsidRDefault="00F6308C">
            <w:pPr>
              <w:pStyle w:val="TableParagraph"/>
              <w:spacing w:before="29"/>
              <w:ind w:right="315"/>
              <w:rPr>
                <w:sz w:val="20"/>
              </w:rPr>
            </w:pPr>
            <w:r>
              <w:rPr>
                <w:w w:val="95"/>
                <w:sz w:val="20"/>
              </w:rPr>
              <w:t>78.80</w:t>
            </w:r>
          </w:p>
        </w:tc>
      </w:tr>
      <w:tr w:rsidR="007C5447">
        <w:trPr>
          <w:trHeight w:val="309"/>
        </w:trPr>
        <w:tc>
          <w:tcPr>
            <w:tcW w:w="970" w:type="dxa"/>
          </w:tcPr>
          <w:p w:rsidR="007C5447" w:rsidRDefault="00F6308C">
            <w:pPr>
              <w:pStyle w:val="TableParagraph"/>
              <w:spacing w:before="38"/>
              <w:ind w:left="383"/>
              <w:jc w:val="left"/>
              <w:rPr>
                <w:sz w:val="20"/>
              </w:rPr>
            </w:pPr>
            <w:r>
              <w:rPr>
                <w:sz w:val="20"/>
              </w:rPr>
              <w:t>19</w:t>
            </w:r>
          </w:p>
        </w:tc>
        <w:tc>
          <w:tcPr>
            <w:tcW w:w="2903" w:type="dxa"/>
          </w:tcPr>
          <w:p w:rsidR="007C5447" w:rsidRDefault="00F6308C">
            <w:pPr>
              <w:pStyle w:val="TableParagraph"/>
              <w:spacing w:before="38"/>
              <w:ind w:left="107"/>
              <w:jc w:val="left"/>
              <w:rPr>
                <w:b/>
                <w:sz w:val="20"/>
              </w:rPr>
            </w:pPr>
            <w:r>
              <w:rPr>
                <w:b/>
                <w:sz w:val="20"/>
              </w:rPr>
              <w:t>Total Gas</w:t>
            </w:r>
          </w:p>
        </w:tc>
        <w:tc>
          <w:tcPr>
            <w:tcW w:w="1664" w:type="dxa"/>
          </w:tcPr>
          <w:p w:rsidR="007C5447" w:rsidRDefault="00F6308C">
            <w:pPr>
              <w:pStyle w:val="TableParagraph"/>
              <w:spacing w:before="38"/>
              <w:ind w:right="315"/>
              <w:rPr>
                <w:b/>
                <w:sz w:val="20"/>
              </w:rPr>
            </w:pPr>
            <w:r>
              <w:rPr>
                <w:b/>
                <w:w w:val="95"/>
                <w:sz w:val="20"/>
              </w:rPr>
              <w:t>175.99</w:t>
            </w:r>
          </w:p>
        </w:tc>
        <w:tc>
          <w:tcPr>
            <w:tcW w:w="1491" w:type="dxa"/>
          </w:tcPr>
          <w:p w:rsidR="007C5447" w:rsidRDefault="00F6308C">
            <w:pPr>
              <w:pStyle w:val="TableParagraph"/>
              <w:spacing w:before="38"/>
              <w:ind w:right="316"/>
              <w:rPr>
                <w:b/>
                <w:sz w:val="20"/>
              </w:rPr>
            </w:pPr>
            <w:r>
              <w:rPr>
                <w:b/>
                <w:w w:val="95"/>
                <w:sz w:val="20"/>
              </w:rPr>
              <w:t>164.33</w:t>
            </w:r>
          </w:p>
        </w:tc>
        <w:tc>
          <w:tcPr>
            <w:tcW w:w="1565" w:type="dxa"/>
          </w:tcPr>
          <w:p w:rsidR="007C5447" w:rsidRDefault="00F6308C">
            <w:pPr>
              <w:pStyle w:val="TableParagraph"/>
              <w:spacing w:before="38"/>
              <w:ind w:right="316"/>
              <w:rPr>
                <w:b/>
                <w:sz w:val="20"/>
              </w:rPr>
            </w:pPr>
            <w:r>
              <w:rPr>
                <w:b/>
                <w:w w:val="95"/>
                <w:sz w:val="20"/>
              </w:rPr>
              <w:t>157.41</w:t>
            </w:r>
          </w:p>
        </w:tc>
      </w:tr>
      <w:tr w:rsidR="007C5447">
        <w:trPr>
          <w:trHeight w:val="546"/>
        </w:trPr>
        <w:tc>
          <w:tcPr>
            <w:tcW w:w="970" w:type="dxa"/>
          </w:tcPr>
          <w:p w:rsidR="007C5447" w:rsidRDefault="00F6308C">
            <w:pPr>
              <w:pStyle w:val="TableParagraph"/>
              <w:spacing w:before="158"/>
              <w:ind w:left="383"/>
              <w:jc w:val="left"/>
              <w:rPr>
                <w:sz w:val="20"/>
              </w:rPr>
            </w:pPr>
            <w:r>
              <w:rPr>
                <w:sz w:val="20"/>
              </w:rPr>
              <w:t>20</w:t>
            </w:r>
          </w:p>
        </w:tc>
        <w:tc>
          <w:tcPr>
            <w:tcW w:w="2903" w:type="dxa"/>
          </w:tcPr>
          <w:p w:rsidR="007C5447" w:rsidRDefault="00F6308C">
            <w:pPr>
              <w:pStyle w:val="TableParagraph"/>
              <w:spacing w:before="43"/>
              <w:ind w:left="107"/>
              <w:jc w:val="left"/>
              <w:rPr>
                <w:sz w:val="20"/>
              </w:rPr>
            </w:pPr>
            <w:r>
              <w:rPr>
                <w:sz w:val="20"/>
              </w:rPr>
              <w:t>Erode HEP - (incl. Bhavani Barrage and Bhavani Khattai)</w:t>
            </w:r>
          </w:p>
        </w:tc>
        <w:tc>
          <w:tcPr>
            <w:tcW w:w="1664" w:type="dxa"/>
          </w:tcPr>
          <w:p w:rsidR="007C5447" w:rsidRDefault="00F6308C">
            <w:pPr>
              <w:pStyle w:val="TableParagraph"/>
              <w:spacing w:before="158"/>
              <w:ind w:right="315"/>
              <w:rPr>
                <w:sz w:val="20"/>
              </w:rPr>
            </w:pPr>
            <w:r>
              <w:rPr>
                <w:w w:val="95"/>
                <w:sz w:val="20"/>
              </w:rPr>
              <w:t>194.68</w:t>
            </w:r>
          </w:p>
        </w:tc>
        <w:tc>
          <w:tcPr>
            <w:tcW w:w="1491" w:type="dxa"/>
          </w:tcPr>
          <w:p w:rsidR="007C5447" w:rsidRDefault="00F6308C">
            <w:pPr>
              <w:pStyle w:val="TableParagraph"/>
              <w:spacing w:before="158"/>
              <w:ind w:right="316"/>
              <w:rPr>
                <w:sz w:val="20"/>
              </w:rPr>
            </w:pPr>
            <w:r>
              <w:rPr>
                <w:w w:val="95"/>
                <w:sz w:val="20"/>
              </w:rPr>
              <w:t>187.83</w:t>
            </w:r>
          </w:p>
        </w:tc>
        <w:tc>
          <w:tcPr>
            <w:tcW w:w="1565" w:type="dxa"/>
          </w:tcPr>
          <w:p w:rsidR="007C5447" w:rsidRDefault="00F6308C">
            <w:pPr>
              <w:pStyle w:val="TableParagraph"/>
              <w:spacing w:before="158"/>
              <w:ind w:right="316"/>
              <w:rPr>
                <w:sz w:val="20"/>
              </w:rPr>
            </w:pPr>
            <w:r>
              <w:rPr>
                <w:w w:val="95"/>
                <w:sz w:val="20"/>
              </w:rPr>
              <w:t>181.53</w:t>
            </w:r>
          </w:p>
        </w:tc>
      </w:tr>
      <w:tr w:rsidR="007C5447">
        <w:trPr>
          <w:trHeight w:val="282"/>
        </w:trPr>
        <w:tc>
          <w:tcPr>
            <w:tcW w:w="970" w:type="dxa"/>
          </w:tcPr>
          <w:p w:rsidR="007C5447" w:rsidRDefault="00F6308C">
            <w:pPr>
              <w:pStyle w:val="TableParagraph"/>
              <w:spacing w:before="26"/>
              <w:ind w:left="383"/>
              <w:jc w:val="left"/>
              <w:rPr>
                <w:sz w:val="20"/>
              </w:rPr>
            </w:pPr>
            <w:r>
              <w:rPr>
                <w:sz w:val="20"/>
              </w:rPr>
              <w:t>21</w:t>
            </w:r>
          </w:p>
        </w:tc>
        <w:tc>
          <w:tcPr>
            <w:tcW w:w="2903" w:type="dxa"/>
          </w:tcPr>
          <w:p w:rsidR="007C5447" w:rsidRDefault="00F6308C">
            <w:pPr>
              <w:pStyle w:val="TableParagraph"/>
              <w:spacing w:before="26"/>
              <w:ind w:left="107"/>
              <w:jc w:val="left"/>
              <w:rPr>
                <w:sz w:val="20"/>
              </w:rPr>
            </w:pPr>
            <w:r>
              <w:rPr>
                <w:sz w:val="20"/>
              </w:rPr>
              <w:t>Kadamparai HEP</w:t>
            </w:r>
          </w:p>
        </w:tc>
        <w:tc>
          <w:tcPr>
            <w:tcW w:w="1664" w:type="dxa"/>
          </w:tcPr>
          <w:p w:rsidR="007C5447" w:rsidRDefault="00F6308C">
            <w:pPr>
              <w:pStyle w:val="TableParagraph"/>
              <w:spacing w:before="26"/>
              <w:ind w:right="315"/>
              <w:rPr>
                <w:sz w:val="20"/>
              </w:rPr>
            </w:pPr>
            <w:r>
              <w:rPr>
                <w:w w:val="95"/>
                <w:sz w:val="20"/>
              </w:rPr>
              <w:t>25.32</w:t>
            </w:r>
          </w:p>
        </w:tc>
        <w:tc>
          <w:tcPr>
            <w:tcW w:w="1491" w:type="dxa"/>
          </w:tcPr>
          <w:p w:rsidR="007C5447" w:rsidRDefault="00F6308C">
            <w:pPr>
              <w:pStyle w:val="TableParagraph"/>
              <w:spacing w:before="26"/>
              <w:ind w:right="316"/>
              <w:rPr>
                <w:sz w:val="20"/>
              </w:rPr>
            </w:pPr>
            <w:r>
              <w:rPr>
                <w:w w:val="95"/>
                <w:sz w:val="20"/>
              </w:rPr>
              <w:t>22.29</w:t>
            </w:r>
          </w:p>
        </w:tc>
        <w:tc>
          <w:tcPr>
            <w:tcW w:w="1565" w:type="dxa"/>
          </w:tcPr>
          <w:p w:rsidR="007C5447" w:rsidRDefault="00F6308C">
            <w:pPr>
              <w:pStyle w:val="TableParagraph"/>
              <w:spacing w:before="26"/>
              <w:ind w:right="315"/>
              <w:rPr>
                <w:sz w:val="20"/>
              </w:rPr>
            </w:pPr>
            <w:r>
              <w:rPr>
                <w:w w:val="95"/>
                <w:sz w:val="20"/>
              </w:rPr>
              <w:t>26.09</w:t>
            </w:r>
          </w:p>
        </w:tc>
      </w:tr>
      <w:tr w:rsidR="007C5447">
        <w:trPr>
          <w:trHeight w:val="285"/>
        </w:trPr>
        <w:tc>
          <w:tcPr>
            <w:tcW w:w="970" w:type="dxa"/>
          </w:tcPr>
          <w:p w:rsidR="007C5447" w:rsidRDefault="00F6308C">
            <w:pPr>
              <w:pStyle w:val="TableParagraph"/>
              <w:spacing w:before="29"/>
              <w:ind w:left="383"/>
              <w:jc w:val="left"/>
              <w:rPr>
                <w:sz w:val="20"/>
              </w:rPr>
            </w:pPr>
            <w:r>
              <w:rPr>
                <w:sz w:val="20"/>
              </w:rPr>
              <w:t>22</w:t>
            </w:r>
          </w:p>
        </w:tc>
        <w:tc>
          <w:tcPr>
            <w:tcW w:w="2903" w:type="dxa"/>
          </w:tcPr>
          <w:p w:rsidR="007C5447" w:rsidRDefault="00F6308C">
            <w:pPr>
              <w:pStyle w:val="TableParagraph"/>
              <w:spacing w:before="29"/>
              <w:ind w:left="107"/>
              <w:jc w:val="left"/>
              <w:rPr>
                <w:sz w:val="20"/>
              </w:rPr>
            </w:pPr>
            <w:r>
              <w:rPr>
                <w:sz w:val="20"/>
              </w:rPr>
              <w:t>Kundah HEP</w:t>
            </w:r>
          </w:p>
        </w:tc>
        <w:tc>
          <w:tcPr>
            <w:tcW w:w="1664" w:type="dxa"/>
          </w:tcPr>
          <w:p w:rsidR="007C5447" w:rsidRDefault="00F6308C">
            <w:pPr>
              <w:pStyle w:val="TableParagraph"/>
              <w:spacing w:before="29"/>
              <w:ind w:right="315"/>
              <w:rPr>
                <w:sz w:val="20"/>
              </w:rPr>
            </w:pPr>
            <w:r>
              <w:rPr>
                <w:w w:val="95"/>
                <w:sz w:val="20"/>
              </w:rPr>
              <w:t>95.02</w:t>
            </w:r>
          </w:p>
        </w:tc>
        <w:tc>
          <w:tcPr>
            <w:tcW w:w="1491" w:type="dxa"/>
          </w:tcPr>
          <w:p w:rsidR="007C5447" w:rsidRDefault="00F6308C">
            <w:pPr>
              <w:pStyle w:val="TableParagraph"/>
              <w:spacing w:before="29"/>
              <w:ind w:right="316"/>
              <w:rPr>
                <w:sz w:val="20"/>
              </w:rPr>
            </w:pPr>
            <w:r>
              <w:rPr>
                <w:w w:val="95"/>
                <w:sz w:val="20"/>
              </w:rPr>
              <w:t>84.65</w:t>
            </w:r>
          </w:p>
        </w:tc>
        <w:tc>
          <w:tcPr>
            <w:tcW w:w="1565" w:type="dxa"/>
          </w:tcPr>
          <w:p w:rsidR="007C5447" w:rsidRDefault="00F6308C">
            <w:pPr>
              <w:pStyle w:val="TableParagraph"/>
              <w:spacing w:before="29"/>
              <w:ind w:right="315"/>
              <w:rPr>
                <w:sz w:val="20"/>
              </w:rPr>
            </w:pPr>
            <w:r>
              <w:rPr>
                <w:w w:val="95"/>
                <w:sz w:val="20"/>
              </w:rPr>
              <w:t>73.45</w:t>
            </w:r>
          </w:p>
        </w:tc>
      </w:tr>
      <w:tr w:rsidR="007C5447">
        <w:trPr>
          <w:trHeight w:val="258"/>
        </w:trPr>
        <w:tc>
          <w:tcPr>
            <w:tcW w:w="970" w:type="dxa"/>
          </w:tcPr>
          <w:p w:rsidR="007C5447" w:rsidRDefault="00F6308C">
            <w:pPr>
              <w:pStyle w:val="TableParagraph"/>
              <w:spacing w:before="14" w:line="224" w:lineRule="exact"/>
              <w:ind w:left="383"/>
              <w:jc w:val="left"/>
              <w:rPr>
                <w:sz w:val="20"/>
              </w:rPr>
            </w:pPr>
            <w:r>
              <w:rPr>
                <w:sz w:val="20"/>
              </w:rPr>
              <w:t>23</w:t>
            </w:r>
          </w:p>
        </w:tc>
        <w:tc>
          <w:tcPr>
            <w:tcW w:w="2903" w:type="dxa"/>
          </w:tcPr>
          <w:p w:rsidR="007C5447" w:rsidRDefault="00F6308C">
            <w:pPr>
              <w:pStyle w:val="TableParagraph"/>
              <w:spacing w:before="14" w:line="224" w:lineRule="exact"/>
              <w:ind w:left="107"/>
              <w:jc w:val="left"/>
              <w:rPr>
                <w:sz w:val="20"/>
              </w:rPr>
            </w:pPr>
            <w:r>
              <w:rPr>
                <w:sz w:val="20"/>
              </w:rPr>
              <w:t>Tirunelveli HEP (incl - Periyar)</w:t>
            </w:r>
          </w:p>
        </w:tc>
        <w:tc>
          <w:tcPr>
            <w:tcW w:w="1664" w:type="dxa"/>
          </w:tcPr>
          <w:p w:rsidR="007C5447" w:rsidRDefault="00F6308C">
            <w:pPr>
              <w:pStyle w:val="TableParagraph"/>
              <w:spacing w:before="14" w:line="224" w:lineRule="exact"/>
              <w:ind w:right="315"/>
              <w:rPr>
                <w:sz w:val="20"/>
              </w:rPr>
            </w:pPr>
            <w:r>
              <w:rPr>
                <w:w w:val="95"/>
                <w:sz w:val="20"/>
              </w:rPr>
              <w:t>61.30</w:t>
            </w:r>
          </w:p>
        </w:tc>
        <w:tc>
          <w:tcPr>
            <w:tcW w:w="1491" w:type="dxa"/>
          </w:tcPr>
          <w:p w:rsidR="007C5447" w:rsidRDefault="00F6308C">
            <w:pPr>
              <w:pStyle w:val="TableParagraph"/>
              <w:spacing w:before="14" w:line="224" w:lineRule="exact"/>
              <w:ind w:right="316"/>
              <w:rPr>
                <w:sz w:val="20"/>
              </w:rPr>
            </w:pPr>
            <w:r>
              <w:rPr>
                <w:w w:val="95"/>
                <w:sz w:val="20"/>
              </w:rPr>
              <w:t>58.64</w:t>
            </w:r>
          </w:p>
        </w:tc>
        <w:tc>
          <w:tcPr>
            <w:tcW w:w="1565" w:type="dxa"/>
          </w:tcPr>
          <w:p w:rsidR="007C5447" w:rsidRDefault="00F6308C">
            <w:pPr>
              <w:pStyle w:val="TableParagraph"/>
              <w:spacing w:before="14" w:line="224" w:lineRule="exact"/>
              <w:ind w:right="315"/>
              <w:rPr>
                <w:sz w:val="20"/>
              </w:rPr>
            </w:pPr>
            <w:r>
              <w:rPr>
                <w:w w:val="95"/>
                <w:sz w:val="20"/>
              </w:rPr>
              <w:t>54.12</w:t>
            </w:r>
          </w:p>
        </w:tc>
      </w:tr>
      <w:tr w:rsidR="007C5447">
        <w:trPr>
          <w:trHeight w:val="282"/>
        </w:trPr>
        <w:tc>
          <w:tcPr>
            <w:tcW w:w="970" w:type="dxa"/>
          </w:tcPr>
          <w:p w:rsidR="007C5447" w:rsidRDefault="00F6308C">
            <w:pPr>
              <w:pStyle w:val="TableParagraph"/>
              <w:spacing w:before="26"/>
              <w:ind w:left="383"/>
              <w:jc w:val="left"/>
              <w:rPr>
                <w:sz w:val="20"/>
              </w:rPr>
            </w:pPr>
            <w:r>
              <w:rPr>
                <w:sz w:val="20"/>
              </w:rPr>
              <w:t>24</w:t>
            </w:r>
          </w:p>
        </w:tc>
        <w:tc>
          <w:tcPr>
            <w:tcW w:w="2903" w:type="dxa"/>
          </w:tcPr>
          <w:p w:rsidR="007C5447" w:rsidRDefault="00F6308C">
            <w:pPr>
              <w:pStyle w:val="TableParagraph"/>
              <w:spacing w:before="26"/>
              <w:ind w:left="107"/>
              <w:jc w:val="left"/>
              <w:rPr>
                <w:sz w:val="20"/>
              </w:rPr>
            </w:pPr>
            <w:r>
              <w:rPr>
                <w:sz w:val="20"/>
              </w:rPr>
              <w:t>Drip Work (WB funded)</w:t>
            </w:r>
          </w:p>
        </w:tc>
        <w:tc>
          <w:tcPr>
            <w:tcW w:w="1664" w:type="dxa"/>
          </w:tcPr>
          <w:p w:rsidR="007C5447" w:rsidRDefault="00F6308C">
            <w:pPr>
              <w:pStyle w:val="TableParagraph"/>
              <w:spacing w:before="26"/>
              <w:ind w:right="315"/>
              <w:rPr>
                <w:sz w:val="20"/>
              </w:rPr>
            </w:pPr>
            <w:r>
              <w:rPr>
                <w:sz w:val="20"/>
              </w:rPr>
              <w:t>0.60</w:t>
            </w:r>
          </w:p>
        </w:tc>
        <w:tc>
          <w:tcPr>
            <w:tcW w:w="1491" w:type="dxa"/>
          </w:tcPr>
          <w:p w:rsidR="007C5447" w:rsidRDefault="00F6308C">
            <w:pPr>
              <w:pStyle w:val="TableParagraph"/>
              <w:spacing w:before="26"/>
              <w:ind w:right="316"/>
              <w:rPr>
                <w:sz w:val="20"/>
              </w:rPr>
            </w:pPr>
            <w:r>
              <w:rPr>
                <w:w w:val="95"/>
                <w:sz w:val="20"/>
              </w:rPr>
              <w:t>11.99</w:t>
            </w:r>
          </w:p>
        </w:tc>
        <w:tc>
          <w:tcPr>
            <w:tcW w:w="1565" w:type="dxa"/>
          </w:tcPr>
          <w:p w:rsidR="007C5447" w:rsidRDefault="00F6308C">
            <w:pPr>
              <w:pStyle w:val="TableParagraph"/>
              <w:spacing w:before="26"/>
              <w:ind w:right="315"/>
              <w:rPr>
                <w:sz w:val="20"/>
              </w:rPr>
            </w:pPr>
            <w:r>
              <w:rPr>
                <w:w w:val="95"/>
                <w:sz w:val="20"/>
              </w:rPr>
              <w:t>29.59</w:t>
            </w:r>
          </w:p>
        </w:tc>
      </w:tr>
      <w:tr w:rsidR="007C5447">
        <w:trPr>
          <w:trHeight w:val="282"/>
        </w:trPr>
        <w:tc>
          <w:tcPr>
            <w:tcW w:w="970" w:type="dxa"/>
          </w:tcPr>
          <w:p w:rsidR="007C5447" w:rsidRDefault="00F6308C">
            <w:pPr>
              <w:pStyle w:val="TableParagraph"/>
              <w:spacing w:before="26"/>
              <w:ind w:left="383"/>
              <w:jc w:val="left"/>
              <w:rPr>
                <w:sz w:val="20"/>
              </w:rPr>
            </w:pPr>
            <w:r>
              <w:rPr>
                <w:sz w:val="20"/>
              </w:rPr>
              <w:t>25</w:t>
            </w:r>
          </w:p>
        </w:tc>
        <w:tc>
          <w:tcPr>
            <w:tcW w:w="2903" w:type="dxa"/>
          </w:tcPr>
          <w:p w:rsidR="007C5447" w:rsidRDefault="00F6308C">
            <w:pPr>
              <w:pStyle w:val="TableParagraph"/>
              <w:spacing w:before="26"/>
              <w:ind w:left="107"/>
              <w:jc w:val="left"/>
              <w:rPr>
                <w:sz w:val="20"/>
              </w:rPr>
            </w:pPr>
            <w:r>
              <w:rPr>
                <w:sz w:val="20"/>
              </w:rPr>
              <w:t>Sillahalla</w:t>
            </w:r>
          </w:p>
        </w:tc>
        <w:tc>
          <w:tcPr>
            <w:tcW w:w="1664" w:type="dxa"/>
          </w:tcPr>
          <w:p w:rsidR="007C5447" w:rsidRDefault="00F6308C">
            <w:pPr>
              <w:pStyle w:val="TableParagraph"/>
              <w:spacing w:before="26"/>
              <w:ind w:right="315"/>
              <w:rPr>
                <w:sz w:val="20"/>
              </w:rPr>
            </w:pPr>
            <w:r>
              <w:rPr>
                <w:sz w:val="20"/>
              </w:rPr>
              <w:t>0.02</w:t>
            </w:r>
          </w:p>
        </w:tc>
        <w:tc>
          <w:tcPr>
            <w:tcW w:w="1491" w:type="dxa"/>
          </w:tcPr>
          <w:p w:rsidR="007C5447" w:rsidRDefault="00F6308C">
            <w:pPr>
              <w:pStyle w:val="TableParagraph"/>
              <w:spacing w:before="26"/>
              <w:ind w:right="316"/>
              <w:rPr>
                <w:sz w:val="20"/>
              </w:rPr>
            </w:pPr>
            <w:r>
              <w:rPr>
                <w:sz w:val="20"/>
              </w:rPr>
              <w:t>0.02</w:t>
            </w:r>
          </w:p>
        </w:tc>
        <w:tc>
          <w:tcPr>
            <w:tcW w:w="1565" w:type="dxa"/>
          </w:tcPr>
          <w:p w:rsidR="007C5447" w:rsidRDefault="00F6308C">
            <w:pPr>
              <w:pStyle w:val="TableParagraph"/>
              <w:spacing w:before="26"/>
              <w:ind w:right="315"/>
              <w:rPr>
                <w:sz w:val="20"/>
              </w:rPr>
            </w:pPr>
            <w:r>
              <w:rPr>
                <w:sz w:val="20"/>
              </w:rPr>
              <w:t>0.02</w:t>
            </w:r>
          </w:p>
        </w:tc>
      </w:tr>
      <w:tr w:rsidR="007C5447">
        <w:trPr>
          <w:trHeight w:val="311"/>
        </w:trPr>
        <w:tc>
          <w:tcPr>
            <w:tcW w:w="970" w:type="dxa"/>
          </w:tcPr>
          <w:p w:rsidR="007C5447" w:rsidRDefault="00F6308C">
            <w:pPr>
              <w:pStyle w:val="TableParagraph"/>
              <w:spacing w:before="41"/>
              <w:ind w:left="383"/>
              <w:jc w:val="left"/>
              <w:rPr>
                <w:sz w:val="20"/>
              </w:rPr>
            </w:pPr>
            <w:r>
              <w:rPr>
                <w:sz w:val="20"/>
              </w:rPr>
              <w:t>26</w:t>
            </w:r>
          </w:p>
        </w:tc>
        <w:tc>
          <w:tcPr>
            <w:tcW w:w="2903" w:type="dxa"/>
          </w:tcPr>
          <w:p w:rsidR="007C5447" w:rsidRDefault="00F6308C">
            <w:pPr>
              <w:pStyle w:val="TableParagraph"/>
              <w:spacing w:before="41"/>
              <w:ind w:left="107"/>
              <w:jc w:val="left"/>
              <w:rPr>
                <w:b/>
                <w:sz w:val="20"/>
              </w:rPr>
            </w:pPr>
            <w:r>
              <w:rPr>
                <w:b/>
                <w:sz w:val="20"/>
              </w:rPr>
              <w:t>Total Hydro</w:t>
            </w:r>
          </w:p>
        </w:tc>
        <w:tc>
          <w:tcPr>
            <w:tcW w:w="1664" w:type="dxa"/>
          </w:tcPr>
          <w:p w:rsidR="007C5447" w:rsidRDefault="00F6308C">
            <w:pPr>
              <w:pStyle w:val="TableParagraph"/>
              <w:spacing w:before="41"/>
              <w:ind w:right="315"/>
              <w:rPr>
                <w:b/>
                <w:sz w:val="20"/>
              </w:rPr>
            </w:pPr>
            <w:r>
              <w:rPr>
                <w:b/>
                <w:w w:val="95"/>
                <w:sz w:val="20"/>
              </w:rPr>
              <w:t>376.94</w:t>
            </w:r>
          </w:p>
        </w:tc>
        <w:tc>
          <w:tcPr>
            <w:tcW w:w="1491" w:type="dxa"/>
          </w:tcPr>
          <w:p w:rsidR="007C5447" w:rsidRDefault="00F6308C">
            <w:pPr>
              <w:pStyle w:val="TableParagraph"/>
              <w:spacing w:before="41"/>
              <w:ind w:right="316"/>
              <w:rPr>
                <w:b/>
                <w:sz w:val="20"/>
              </w:rPr>
            </w:pPr>
            <w:r>
              <w:rPr>
                <w:b/>
                <w:w w:val="95"/>
                <w:sz w:val="20"/>
              </w:rPr>
              <w:t>365.41</w:t>
            </w:r>
          </w:p>
        </w:tc>
        <w:tc>
          <w:tcPr>
            <w:tcW w:w="1565" w:type="dxa"/>
          </w:tcPr>
          <w:p w:rsidR="007C5447" w:rsidRDefault="00F6308C">
            <w:pPr>
              <w:pStyle w:val="TableParagraph"/>
              <w:spacing w:before="41"/>
              <w:ind w:right="315"/>
              <w:rPr>
                <w:b/>
                <w:sz w:val="20"/>
              </w:rPr>
            </w:pPr>
            <w:r>
              <w:rPr>
                <w:b/>
                <w:w w:val="95"/>
                <w:sz w:val="20"/>
              </w:rPr>
              <w:t>364.81</w:t>
            </w:r>
          </w:p>
        </w:tc>
      </w:tr>
      <w:tr w:rsidR="007C5447">
        <w:trPr>
          <w:trHeight w:val="282"/>
        </w:trPr>
        <w:tc>
          <w:tcPr>
            <w:tcW w:w="970" w:type="dxa"/>
          </w:tcPr>
          <w:p w:rsidR="007C5447" w:rsidRDefault="00F6308C">
            <w:pPr>
              <w:pStyle w:val="TableParagraph"/>
              <w:spacing w:before="26"/>
              <w:ind w:left="383"/>
              <w:jc w:val="left"/>
              <w:rPr>
                <w:sz w:val="20"/>
              </w:rPr>
            </w:pPr>
            <w:r>
              <w:rPr>
                <w:sz w:val="20"/>
              </w:rPr>
              <w:t>27</w:t>
            </w:r>
          </w:p>
        </w:tc>
        <w:tc>
          <w:tcPr>
            <w:tcW w:w="2903" w:type="dxa"/>
          </w:tcPr>
          <w:p w:rsidR="007C5447" w:rsidRDefault="00F6308C">
            <w:pPr>
              <w:pStyle w:val="TableParagraph"/>
              <w:spacing w:before="26"/>
              <w:ind w:left="107"/>
              <w:jc w:val="left"/>
              <w:rPr>
                <w:sz w:val="20"/>
              </w:rPr>
            </w:pPr>
            <w:r>
              <w:rPr>
                <w:sz w:val="20"/>
              </w:rPr>
              <w:t>Tirunelveli</w:t>
            </w:r>
          </w:p>
        </w:tc>
        <w:tc>
          <w:tcPr>
            <w:tcW w:w="1664" w:type="dxa"/>
          </w:tcPr>
          <w:p w:rsidR="007C5447" w:rsidRDefault="00F6308C">
            <w:pPr>
              <w:pStyle w:val="TableParagraph"/>
              <w:spacing w:before="26"/>
              <w:ind w:right="314"/>
              <w:rPr>
                <w:sz w:val="20"/>
              </w:rPr>
            </w:pPr>
            <w:r>
              <w:rPr>
                <w:w w:val="99"/>
                <w:sz w:val="20"/>
              </w:rPr>
              <w:t>-</w:t>
            </w:r>
          </w:p>
        </w:tc>
        <w:tc>
          <w:tcPr>
            <w:tcW w:w="1491" w:type="dxa"/>
          </w:tcPr>
          <w:p w:rsidR="007C5447" w:rsidRDefault="00F6308C">
            <w:pPr>
              <w:pStyle w:val="TableParagraph"/>
              <w:spacing w:before="26"/>
              <w:ind w:right="314"/>
              <w:rPr>
                <w:sz w:val="20"/>
              </w:rPr>
            </w:pPr>
            <w:r>
              <w:rPr>
                <w:w w:val="99"/>
                <w:sz w:val="20"/>
              </w:rPr>
              <w:t>-</w:t>
            </w:r>
          </w:p>
        </w:tc>
        <w:tc>
          <w:tcPr>
            <w:tcW w:w="1565" w:type="dxa"/>
          </w:tcPr>
          <w:p w:rsidR="007C5447" w:rsidRDefault="00F6308C">
            <w:pPr>
              <w:pStyle w:val="TableParagraph"/>
              <w:spacing w:before="26"/>
              <w:ind w:right="314"/>
              <w:rPr>
                <w:sz w:val="20"/>
              </w:rPr>
            </w:pPr>
            <w:r>
              <w:rPr>
                <w:w w:val="99"/>
                <w:sz w:val="20"/>
              </w:rPr>
              <w:t>-</w:t>
            </w:r>
          </w:p>
        </w:tc>
      </w:tr>
      <w:tr w:rsidR="007C5447">
        <w:trPr>
          <w:trHeight w:val="283"/>
        </w:trPr>
        <w:tc>
          <w:tcPr>
            <w:tcW w:w="970" w:type="dxa"/>
          </w:tcPr>
          <w:p w:rsidR="007C5447" w:rsidRDefault="00F6308C">
            <w:pPr>
              <w:pStyle w:val="TableParagraph"/>
              <w:spacing w:before="27"/>
              <w:ind w:left="383"/>
              <w:jc w:val="left"/>
              <w:rPr>
                <w:sz w:val="20"/>
              </w:rPr>
            </w:pPr>
            <w:r>
              <w:rPr>
                <w:sz w:val="20"/>
              </w:rPr>
              <w:t>28</w:t>
            </w:r>
          </w:p>
        </w:tc>
        <w:tc>
          <w:tcPr>
            <w:tcW w:w="2903" w:type="dxa"/>
          </w:tcPr>
          <w:p w:rsidR="007C5447" w:rsidRDefault="00F6308C">
            <w:pPr>
              <w:pStyle w:val="TableParagraph"/>
              <w:spacing w:before="27"/>
              <w:ind w:left="107"/>
              <w:jc w:val="left"/>
              <w:rPr>
                <w:sz w:val="20"/>
              </w:rPr>
            </w:pPr>
            <w:r>
              <w:rPr>
                <w:sz w:val="20"/>
              </w:rPr>
              <w:t>Udumalpet</w:t>
            </w:r>
          </w:p>
        </w:tc>
        <w:tc>
          <w:tcPr>
            <w:tcW w:w="1664" w:type="dxa"/>
          </w:tcPr>
          <w:p w:rsidR="007C5447" w:rsidRDefault="00F6308C">
            <w:pPr>
              <w:pStyle w:val="TableParagraph"/>
              <w:spacing w:before="27"/>
              <w:ind w:right="314"/>
              <w:rPr>
                <w:sz w:val="20"/>
              </w:rPr>
            </w:pPr>
            <w:r>
              <w:rPr>
                <w:w w:val="99"/>
                <w:sz w:val="20"/>
              </w:rPr>
              <w:t>-</w:t>
            </w:r>
          </w:p>
        </w:tc>
        <w:tc>
          <w:tcPr>
            <w:tcW w:w="1491" w:type="dxa"/>
          </w:tcPr>
          <w:p w:rsidR="007C5447" w:rsidRDefault="00F6308C">
            <w:pPr>
              <w:pStyle w:val="TableParagraph"/>
              <w:spacing w:before="27"/>
              <w:ind w:right="314"/>
              <w:rPr>
                <w:sz w:val="20"/>
              </w:rPr>
            </w:pPr>
            <w:r>
              <w:rPr>
                <w:w w:val="99"/>
                <w:sz w:val="20"/>
              </w:rPr>
              <w:t>-</w:t>
            </w:r>
          </w:p>
        </w:tc>
        <w:tc>
          <w:tcPr>
            <w:tcW w:w="1565" w:type="dxa"/>
          </w:tcPr>
          <w:p w:rsidR="007C5447" w:rsidRDefault="00F6308C">
            <w:pPr>
              <w:pStyle w:val="TableParagraph"/>
              <w:spacing w:before="27"/>
              <w:ind w:right="314"/>
              <w:rPr>
                <w:sz w:val="20"/>
              </w:rPr>
            </w:pPr>
            <w:r>
              <w:rPr>
                <w:w w:val="99"/>
                <w:sz w:val="20"/>
              </w:rPr>
              <w:t>-</w:t>
            </w:r>
          </w:p>
        </w:tc>
      </w:tr>
      <w:tr w:rsidR="007C5447">
        <w:trPr>
          <w:trHeight w:val="311"/>
        </w:trPr>
        <w:tc>
          <w:tcPr>
            <w:tcW w:w="970" w:type="dxa"/>
          </w:tcPr>
          <w:p w:rsidR="007C5447" w:rsidRDefault="00F6308C">
            <w:pPr>
              <w:pStyle w:val="TableParagraph"/>
              <w:spacing w:before="41"/>
              <w:ind w:left="383"/>
              <w:jc w:val="left"/>
              <w:rPr>
                <w:sz w:val="20"/>
              </w:rPr>
            </w:pPr>
            <w:r>
              <w:rPr>
                <w:sz w:val="20"/>
              </w:rPr>
              <w:t>29</w:t>
            </w:r>
          </w:p>
        </w:tc>
        <w:tc>
          <w:tcPr>
            <w:tcW w:w="2903" w:type="dxa"/>
          </w:tcPr>
          <w:p w:rsidR="007C5447" w:rsidRDefault="00F6308C">
            <w:pPr>
              <w:pStyle w:val="TableParagraph"/>
              <w:spacing w:before="41"/>
              <w:ind w:left="107"/>
              <w:jc w:val="left"/>
              <w:rPr>
                <w:b/>
                <w:sz w:val="20"/>
              </w:rPr>
            </w:pPr>
            <w:r>
              <w:rPr>
                <w:b/>
                <w:sz w:val="20"/>
              </w:rPr>
              <w:t>Total Wind</w:t>
            </w:r>
          </w:p>
        </w:tc>
        <w:tc>
          <w:tcPr>
            <w:tcW w:w="1664" w:type="dxa"/>
          </w:tcPr>
          <w:p w:rsidR="007C5447" w:rsidRDefault="00F6308C">
            <w:pPr>
              <w:pStyle w:val="TableParagraph"/>
              <w:spacing w:before="41"/>
              <w:ind w:right="314"/>
              <w:rPr>
                <w:b/>
                <w:sz w:val="20"/>
              </w:rPr>
            </w:pPr>
            <w:r>
              <w:rPr>
                <w:b/>
                <w:w w:val="99"/>
                <w:sz w:val="20"/>
              </w:rPr>
              <w:t>-</w:t>
            </w:r>
          </w:p>
        </w:tc>
        <w:tc>
          <w:tcPr>
            <w:tcW w:w="1491" w:type="dxa"/>
          </w:tcPr>
          <w:p w:rsidR="007C5447" w:rsidRDefault="00F6308C">
            <w:pPr>
              <w:pStyle w:val="TableParagraph"/>
              <w:spacing w:before="41"/>
              <w:ind w:right="314"/>
              <w:rPr>
                <w:b/>
                <w:sz w:val="20"/>
              </w:rPr>
            </w:pPr>
            <w:r>
              <w:rPr>
                <w:b/>
                <w:w w:val="99"/>
                <w:sz w:val="20"/>
              </w:rPr>
              <w:t>-</w:t>
            </w:r>
          </w:p>
        </w:tc>
        <w:tc>
          <w:tcPr>
            <w:tcW w:w="1565" w:type="dxa"/>
          </w:tcPr>
          <w:p w:rsidR="007C5447" w:rsidRDefault="00F6308C">
            <w:pPr>
              <w:pStyle w:val="TableParagraph"/>
              <w:spacing w:before="41"/>
              <w:ind w:right="314"/>
              <w:rPr>
                <w:b/>
                <w:sz w:val="20"/>
              </w:rPr>
            </w:pPr>
            <w:r>
              <w:rPr>
                <w:b/>
                <w:w w:val="99"/>
                <w:sz w:val="20"/>
              </w:rPr>
              <w:t>-</w:t>
            </w:r>
          </w:p>
        </w:tc>
      </w:tr>
      <w:tr w:rsidR="007C5447">
        <w:trPr>
          <w:trHeight w:val="489"/>
        </w:trPr>
        <w:tc>
          <w:tcPr>
            <w:tcW w:w="970" w:type="dxa"/>
          </w:tcPr>
          <w:p w:rsidR="007C5447" w:rsidRDefault="00F6308C">
            <w:pPr>
              <w:pStyle w:val="TableParagraph"/>
              <w:spacing w:before="130"/>
              <w:ind w:left="383"/>
              <w:jc w:val="left"/>
              <w:rPr>
                <w:sz w:val="20"/>
              </w:rPr>
            </w:pPr>
            <w:r>
              <w:rPr>
                <w:sz w:val="20"/>
              </w:rPr>
              <w:t>30</w:t>
            </w:r>
          </w:p>
        </w:tc>
        <w:tc>
          <w:tcPr>
            <w:tcW w:w="2903" w:type="dxa"/>
          </w:tcPr>
          <w:p w:rsidR="007C5447" w:rsidRDefault="00F6308C">
            <w:pPr>
              <w:pStyle w:val="TableParagraph"/>
              <w:spacing w:before="14" w:line="230" w:lineRule="atLeast"/>
              <w:ind w:left="107"/>
              <w:jc w:val="left"/>
              <w:rPr>
                <w:b/>
                <w:sz w:val="20"/>
              </w:rPr>
            </w:pPr>
            <w:r>
              <w:rPr>
                <w:b/>
                <w:sz w:val="20"/>
              </w:rPr>
              <w:t>Cogen Sugar Mills Under Modernisation</w:t>
            </w:r>
          </w:p>
        </w:tc>
        <w:tc>
          <w:tcPr>
            <w:tcW w:w="1664" w:type="dxa"/>
          </w:tcPr>
          <w:p w:rsidR="007C5447" w:rsidRDefault="00F6308C">
            <w:pPr>
              <w:pStyle w:val="TableParagraph"/>
              <w:spacing w:before="130"/>
              <w:ind w:right="313"/>
              <w:rPr>
                <w:sz w:val="20"/>
              </w:rPr>
            </w:pPr>
            <w:r>
              <w:rPr>
                <w:w w:val="95"/>
                <w:sz w:val="20"/>
              </w:rPr>
              <w:t>120.12</w:t>
            </w:r>
          </w:p>
        </w:tc>
        <w:tc>
          <w:tcPr>
            <w:tcW w:w="1491" w:type="dxa"/>
          </w:tcPr>
          <w:p w:rsidR="007C5447" w:rsidRDefault="00F6308C">
            <w:pPr>
              <w:pStyle w:val="TableParagraph"/>
              <w:spacing w:before="130"/>
              <w:ind w:right="314"/>
              <w:rPr>
                <w:sz w:val="20"/>
              </w:rPr>
            </w:pPr>
            <w:r>
              <w:rPr>
                <w:w w:val="95"/>
                <w:sz w:val="20"/>
              </w:rPr>
              <w:t>120.12</w:t>
            </w:r>
          </w:p>
        </w:tc>
        <w:tc>
          <w:tcPr>
            <w:tcW w:w="1565" w:type="dxa"/>
          </w:tcPr>
          <w:p w:rsidR="007C5447" w:rsidRDefault="00F6308C">
            <w:pPr>
              <w:pStyle w:val="TableParagraph"/>
              <w:spacing w:before="130"/>
              <w:ind w:right="313"/>
              <w:rPr>
                <w:sz w:val="20"/>
              </w:rPr>
            </w:pPr>
            <w:r>
              <w:rPr>
                <w:w w:val="95"/>
                <w:sz w:val="20"/>
              </w:rPr>
              <w:t>120.12</w:t>
            </w:r>
          </w:p>
        </w:tc>
      </w:tr>
      <w:tr w:rsidR="007C5447">
        <w:trPr>
          <w:trHeight w:val="311"/>
        </w:trPr>
        <w:tc>
          <w:tcPr>
            <w:tcW w:w="970" w:type="dxa"/>
          </w:tcPr>
          <w:p w:rsidR="007C5447" w:rsidRDefault="00F6308C">
            <w:pPr>
              <w:pStyle w:val="TableParagraph"/>
              <w:spacing w:before="41"/>
              <w:ind w:left="383"/>
              <w:jc w:val="left"/>
              <w:rPr>
                <w:b/>
                <w:sz w:val="20"/>
              </w:rPr>
            </w:pPr>
            <w:r>
              <w:rPr>
                <w:b/>
                <w:sz w:val="20"/>
              </w:rPr>
              <w:t>31</w:t>
            </w:r>
          </w:p>
        </w:tc>
        <w:tc>
          <w:tcPr>
            <w:tcW w:w="2903" w:type="dxa"/>
          </w:tcPr>
          <w:p w:rsidR="007C5447" w:rsidRDefault="00F6308C">
            <w:pPr>
              <w:pStyle w:val="TableParagraph"/>
              <w:spacing w:before="41"/>
              <w:ind w:left="107"/>
              <w:jc w:val="left"/>
              <w:rPr>
                <w:b/>
                <w:sz w:val="20"/>
              </w:rPr>
            </w:pPr>
            <w:r>
              <w:rPr>
                <w:b/>
                <w:sz w:val="20"/>
              </w:rPr>
              <w:t>Total Generation</w:t>
            </w:r>
          </w:p>
        </w:tc>
        <w:tc>
          <w:tcPr>
            <w:tcW w:w="1664" w:type="dxa"/>
          </w:tcPr>
          <w:p w:rsidR="007C5447" w:rsidRDefault="00F6308C">
            <w:pPr>
              <w:pStyle w:val="TableParagraph"/>
              <w:spacing w:before="41"/>
              <w:ind w:right="313"/>
              <w:rPr>
                <w:b/>
                <w:sz w:val="20"/>
              </w:rPr>
            </w:pPr>
            <w:r>
              <w:rPr>
                <w:b/>
                <w:w w:val="95"/>
                <w:sz w:val="20"/>
              </w:rPr>
              <w:t>2,082.73</w:t>
            </w:r>
          </w:p>
        </w:tc>
        <w:tc>
          <w:tcPr>
            <w:tcW w:w="1491" w:type="dxa"/>
          </w:tcPr>
          <w:p w:rsidR="007C5447" w:rsidRDefault="00F6308C">
            <w:pPr>
              <w:pStyle w:val="TableParagraph"/>
              <w:spacing w:before="41"/>
              <w:ind w:left="463"/>
              <w:jc w:val="left"/>
              <w:rPr>
                <w:b/>
                <w:sz w:val="20"/>
              </w:rPr>
            </w:pPr>
            <w:r>
              <w:rPr>
                <w:b/>
                <w:sz w:val="20"/>
              </w:rPr>
              <w:t>2,019.78</w:t>
            </w:r>
          </w:p>
        </w:tc>
        <w:tc>
          <w:tcPr>
            <w:tcW w:w="1565" w:type="dxa"/>
          </w:tcPr>
          <w:p w:rsidR="007C5447" w:rsidRDefault="00F6308C">
            <w:pPr>
              <w:pStyle w:val="TableParagraph"/>
              <w:spacing w:before="41"/>
              <w:ind w:right="314"/>
              <w:rPr>
                <w:b/>
                <w:sz w:val="20"/>
              </w:rPr>
            </w:pPr>
            <w:r>
              <w:rPr>
                <w:b/>
                <w:w w:val="95"/>
                <w:sz w:val="20"/>
              </w:rPr>
              <w:t>2,018.13</w:t>
            </w:r>
          </w:p>
        </w:tc>
      </w:tr>
      <w:tr w:rsidR="007C5447">
        <w:trPr>
          <w:trHeight w:val="311"/>
        </w:trPr>
        <w:tc>
          <w:tcPr>
            <w:tcW w:w="970" w:type="dxa"/>
          </w:tcPr>
          <w:p w:rsidR="007C5447" w:rsidRDefault="00F6308C">
            <w:pPr>
              <w:pStyle w:val="TableParagraph"/>
              <w:spacing w:before="41"/>
              <w:ind w:left="383"/>
              <w:jc w:val="left"/>
              <w:rPr>
                <w:b/>
                <w:sz w:val="20"/>
              </w:rPr>
            </w:pPr>
            <w:r>
              <w:rPr>
                <w:b/>
                <w:sz w:val="20"/>
              </w:rPr>
              <w:t>32</w:t>
            </w:r>
          </w:p>
        </w:tc>
        <w:tc>
          <w:tcPr>
            <w:tcW w:w="2903" w:type="dxa"/>
          </w:tcPr>
          <w:p w:rsidR="007C5447" w:rsidRDefault="00F6308C">
            <w:pPr>
              <w:pStyle w:val="TableParagraph"/>
              <w:spacing w:before="41"/>
              <w:ind w:left="107"/>
              <w:jc w:val="left"/>
              <w:rPr>
                <w:b/>
                <w:sz w:val="20"/>
              </w:rPr>
            </w:pPr>
            <w:r>
              <w:rPr>
                <w:b/>
                <w:sz w:val="20"/>
              </w:rPr>
              <w:t>Total Distribution</w:t>
            </w:r>
          </w:p>
        </w:tc>
        <w:tc>
          <w:tcPr>
            <w:tcW w:w="1664" w:type="dxa"/>
          </w:tcPr>
          <w:p w:rsidR="007C5447" w:rsidRDefault="00F6308C">
            <w:pPr>
              <w:pStyle w:val="TableParagraph"/>
              <w:spacing w:before="41"/>
              <w:ind w:right="313"/>
              <w:rPr>
                <w:b/>
                <w:sz w:val="20"/>
              </w:rPr>
            </w:pPr>
            <w:r>
              <w:rPr>
                <w:b/>
                <w:sz w:val="20"/>
              </w:rPr>
              <w:t>1,524.32</w:t>
            </w:r>
          </w:p>
        </w:tc>
        <w:tc>
          <w:tcPr>
            <w:tcW w:w="1491" w:type="dxa"/>
          </w:tcPr>
          <w:p w:rsidR="007C5447" w:rsidRDefault="00F6308C">
            <w:pPr>
              <w:pStyle w:val="TableParagraph"/>
              <w:spacing w:before="41"/>
              <w:ind w:left="463"/>
              <w:jc w:val="left"/>
              <w:rPr>
                <w:b/>
                <w:sz w:val="20"/>
              </w:rPr>
            </w:pPr>
            <w:r>
              <w:rPr>
                <w:b/>
                <w:sz w:val="20"/>
              </w:rPr>
              <w:t>1,729.92</w:t>
            </w:r>
          </w:p>
        </w:tc>
        <w:tc>
          <w:tcPr>
            <w:tcW w:w="1565" w:type="dxa"/>
          </w:tcPr>
          <w:p w:rsidR="007C5447" w:rsidRDefault="00F6308C">
            <w:pPr>
              <w:pStyle w:val="TableParagraph"/>
              <w:spacing w:before="41"/>
              <w:ind w:right="313"/>
              <w:rPr>
                <w:b/>
                <w:sz w:val="20"/>
              </w:rPr>
            </w:pPr>
            <w:r>
              <w:rPr>
                <w:b/>
                <w:sz w:val="20"/>
              </w:rPr>
              <w:t>1,741.92</w:t>
            </w:r>
          </w:p>
        </w:tc>
      </w:tr>
      <w:tr w:rsidR="007C5447">
        <w:trPr>
          <w:trHeight w:val="311"/>
        </w:trPr>
        <w:tc>
          <w:tcPr>
            <w:tcW w:w="970" w:type="dxa"/>
          </w:tcPr>
          <w:p w:rsidR="007C5447" w:rsidRDefault="00F6308C">
            <w:pPr>
              <w:pStyle w:val="TableParagraph"/>
              <w:spacing w:before="41"/>
              <w:ind w:left="383"/>
              <w:jc w:val="left"/>
              <w:rPr>
                <w:b/>
                <w:sz w:val="20"/>
              </w:rPr>
            </w:pPr>
            <w:r>
              <w:rPr>
                <w:b/>
                <w:sz w:val="20"/>
              </w:rPr>
              <w:t>33</w:t>
            </w:r>
          </w:p>
        </w:tc>
        <w:tc>
          <w:tcPr>
            <w:tcW w:w="2903" w:type="dxa"/>
          </w:tcPr>
          <w:p w:rsidR="007C5447" w:rsidRDefault="00F6308C">
            <w:pPr>
              <w:pStyle w:val="TableParagraph"/>
              <w:spacing w:before="41"/>
              <w:ind w:left="107"/>
              <w:jc w:val="left"/>
              <w:rPr>
                <w:b/>
                <w:sz w:val="20"/>
              </w:rPr>
            </w:pPr>
            <w:r>
              <w:rPr>
                <w:b/>
                <w:sz w:val="20"/>
              </w:rPr>
              <w:t>Total G&amp;D</w:t>
            </w:r>
          </w:p>
        </w:tc>
        <w:tc>
          <w:tcPr>
            <w:tcW w:w="1664" w:type="dxa"/>
          </w:tcPr>
          <w:p w:rsidR="007C5447" w:rsidRDefault="00F6308C">
            <w:pPr>
              <w:pStyle w:val="TableParagraph"/>
              <w:spacing w:before="41"/>
              <w:ind w:right="311"/>
              <w:rPr>
                <w:b/>
                <w:sz w:val="20"/>
              </w:rPr>
            </w:pPr>
            <w:r>
              <w:rPr>
                <w:b/>
                <w:sz w:val="20"/>
              </w:rPr>
              <w:t>3,607.05</w:t>
            </w:r>
          </w:p>
        </w:tc>
        <w:tc>
          <w:tcPr>
            <w:tcW w:w="1491" w:type="dxa"/>
          </w:tcPr>
          <w:p w:rsidR="007C5447" w:rsidRDefault="00F6308C">
            <w:pPr>
              <w:pStyle w:val="TableParagraph"/>
              <w:spacing w:before="41"/>
              <w:ind w:left="463"/>
              <w:jc w:val="left"/>
              <w:rPr>
                <w:b/>
                <w:sz w:val="20"/>
              </w:rPr>
            </w:pPr>
            <w:r>
              <w:rPr>
                <w:b/>
                <w:sz w:val="20"/>
              </w:rPr>
              <w:t>3,749.71</w:t>
            </w:r>
          </w:p>
        </w:tc>
        <w:tc>
          <w:tcPr>
            <w:tcW w:w="1565" w:type="dxa"/>
          </w:tcPr>
          <w:p w:rsidR="007C5447" w:rsidRDefault="00F6308C">
            <w:pPr>
              <w:pStyle w:val="TableParagraph"/>
              <w:spacing w:before="41"/>
              <w:ind w:right="313"/>
              <w:rPr>
                <w:b/>
                <w:sz w:val="20"/>
              </w:rPr>
            </w:pPr>
            <w:r>
              <w:rPr>
                <w:b/>
                <w:w w:val="95"/>
                <w:sz w:val="20"/>
              </w:rPr>
              <w:t>3,760.05</w:t>
            </w:r>
          </w:p>
        </w:tc>
      </w:tr>
    </w:tbl>
    <w:p w:rsidR="007C5447" w:rsidRDefault="007C5447">
      <w:pPr>
        <w:pStyle w:val="BodyText"/>
        <w:spacing w:before="11"/>
        <w:rPr>
          <w:b/>
          <w:sz w:val="12"/>
        </w:rPr>
      </w:pPr>
    </w:p>
    <w:p w:rsidR="007C5447" w:rsidRDefault="00F6308C">
      <w:pPr>
        <w:spacing w:before="90"/>
        <w:ind w:left="1392"/>
        <w:rPr>
          <w:b/>
          <w:sz w:val="24"/>
        </w:rPr>
      </w:pPr>
      <w:r>
        <w:rPr>
          <w:b/>
          <w:sz w:val="24"/>
        </w:rPr>
        <w:t>Other Finance Charges</w:t>
      </w:r>
    </w:p>
    <w:p w:rsidR="007C5447" w:rsidRDefault="00F6308C">
      <w:pPr>
        <w:pStyle w:val="ListParagraph"/>
        <w:numPr>
          <w:ilvl w:val="2"/>
          <w:numId w:val="114"/>
        </w:numPr>
        <w:tabs>
          <w:tab w:val="left" w:pos="1393"/>
        </w:tabs>
        <w:spacing w:before="201" w:line="312" w:lineRule="auto"/>
        <w:ind w:left="1392" w:right="511" w:hanging="852"/>
        <w:jc w:val="both"/>
        <w:rPr>
          <w:sz w:val="24"/>
        </w:rPr>
      </w:pPr>
      <w:r>
        <w:rPr>
          <w:sz w:val="24"/>
        </w:rPr>
        <w:t>Other Finance Charges consist of interest on security deposit and other charges such as cost of raising finance, bank charges, etc. The Commission has estimated security deposit for the Control Period based on the number of consumers projected for FY 2016-</w:t>
      </w:r>
      <w:r>
        <w:rPr>
          <w:sz w:val="24"/>
        </w:rPr>
        <w:t>17 to FY 2018-19 and average of actual security deposit per consumer for past three years. To determine the interest on security deposit for the Control Period, the Commission has considered the interest rate of 6.90% based on T.O. 1 of 2017 dated March 3,</w:t>
      </w:r>
      <w:r>
        <w:rPr>
          <w:sz w:val="24"/>
        </w:rPr>
        <w:t xml:space="preserve"> 2017. Any variation in actual interest on security deposit vis-à-vis projected interest on security deposit will be reviewed at the time of</w:t>
      </w:r>
      <w:r>
        <w:rPr>
          <w:spacing w:val="-8"/>
          <w:sz w:val="24"/>
        </w:rPr>
        <w:t xml:space="preserve"> </w:t>
      </w:r>
      <w:r>
        <w:rPr>
          <w:sz w:val="24"/>
        </w:rPr>
        <w:t>true-up.</w:t>
      </w:r>
    </w:p>
    <w:p w:rsidR="007C5447" w:rsidRDefault="007C5447">
      <w:pPr>
        <w:spacing w:line="312" w:lineRule="auto"/>
        <w:jc w:val="both"/>
        <w:rPr>
          <w:sz w:val="24"/>
        </w:rPr>
        <w:sectPr w:rsidR="007C5447">
          <w:footerReference w:type="default" r:id="rId48"/>
          <w:pgSz w:w="11910" w:h="16840"/>
          <w:pgMar w:top="1420" w:right="620" w:bottom="1240" w:left="900" w:header="0" w:footer="1057" w:gutter="0"/>
          <w:pgNumType w:start="211"/>
          <w:cols w:space="720"/>
        </w:sectPr>
      </w:pPr>
    </w:p>
    <w:p w:rsidR="007C5447" w:rsidRDefault="00F6308C">
      <w:pPr>
        <w:pStyle w:val="ListParagraph"/>
        <w:numPr>
          <w:ilvl w:val="2"/>
          <w:numId w:val="114"/>
        </w:numPr>
        <w:tabs>
          <w:tab w:val="left" w:pos="1393"/>
        </w:tabs>
        <w:spacing w:before="60" w:line="312" w:lineRule="auto"/>
        <w:ind w:left="1392" w:right="509" w:hanging="852"/>
        <w:jc w:val="both"/>
        <w:rPr>
          <w:sz w:val="24"/>
        </w:rPr>
      </w:pPr>
      <w:r>
        <w:rPr>
          <w:sz w:val="24"/>
        </w:rPr>
        <w:lastRenderedPageBreak/>
        <w:t>The interest on consumer security deposit as approved by the Commission is shown in the Table</w:t>
      </w:r>
      <w:r>
        <w:rPr>
          <w:spacing w:val="-1"/>
          <w:sz w:val="24"/>
        </w:rPr>
        <w:t xml:space="preserve"> </w:t>
      </w:r>
      <w:r>
        <w:rPr>
          <w:sz w:val="24"/>
        </w:rPr>
        <w:t>below:</w:t>
      </w:r>
    </w:p>
    <w:p w:rsidR="007C5447" w:rsidRDefault="007C5447">
      <w:pPr>
        <w:pStyle w:val="BodyText"/>
        <w:spacing w:before="11"/>
        <w:rPr>
          <w:sz w:val="20"/>
        </w:rPr>
      </w:pPr>
    </w:p>
    <w:p w:rsidR="007C5447" w:rsidRDefault="00F6308C">
      <w:pPr>
        <w:pStyle w:val="Heading2"/>
        <w:spacing w:line="312" w:lineRule="auto"/>
        <w:ind w:left="593" w:right="561"/>
        <w:jc w:val="center"/>
      </w:pPr>
      <w:r>
        <w:rPr>
          <w:sz w:val="22"/>
        </w:rPr>
        <w:t xml:space="preserve">Table 4-19: Approved </w:t>
      </w:r>
      <w:r>
        <w:t>Interest on Security Deposit for the Control Period from FY 2016-17 to FY 2018-19 (Rs. Crore)</w:t>
      </w:r>
    </w:p>
    <w:p w:rsidR="007C5447" w:rsidRDefault="007C5447">
      <w:pPr>
        <w:pStyle w:val="BodyText"/>
        <w:spacing w:before="6"/>
        <w:rPr>
          <w:b/>
          <w:sz w:val="10"/>
        </w:rPr>
      </w:pPr>
    </w:p>
    <w:tbl>
      <w:tblPr>
        <w:tblW w:w="0" w:type="auto"/>
        <w:tblInd w:w="1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2891"/>
        <w:gridCol w:w="1444"/>
        <w:gridCol w:w="1444"/>
        <w:gridCol w:w="1447"/>
      </w:tblGrid>
      <w:tr w:rsidR="007C5447">
        <w:trPr>
          <w:trHeight w:val="314"/>
        </w:trPr>
        <w:tc>
          <w:tcPr>
            <w:tcW w:w="514" w:type="dxa"/>
            <w:shd w:val="clear" w:color="auto" w:fill="FBD4B4"/>
          </w:tcPr>
          <w:p w:rsidR="007C5447" w:rsidRDefault="00F6308C">
            <w:pPr>
              <w:pStyle w:val="TableParagraph"/>
              <w:spacing w:before="29"/>
              <w:ind w:left="136"/>
              <w:jc w:val="left"/>
              <w:rPr>
                <w:b/>
              </w:rPr>
            </w:pPr>
            <w:r>
              <w:rPr>
                <w:b/>
              </w:rPr>
              <w:t>Sl.</w:t>
            </w:r>
          </w:p>
        </w:tc>
        <w:tc>
          <w:tcPr>
            <w:tcW w:w="2891" w:type="dxa"/>
            <w:shd w:val="clear" w:color="auto" w:fill="FBD4B4"/>
          </w:tcPr>
          <w:p w:rsidR="007C5447" w:rsidRDefault="00F6308C">
            <w:pPr>
              <w:pStyle w:val="TableParagraph"/>
              <w:spacing w:before="29"/>
              <w:ind w:left="916"/>
              <w:jc w:val="left"/>
              <w:rPr>
                <w:b/>
              </w:rPr>
            </w:pPr>
            <w:r>
              <w:rPr>
                <w:b/>
              </w:rPr>
              <w:t>Particulars</w:t>
            </w:r>
          </w:p>
        </w:tc>
        <w:tc>
          <w:tcPr>
            <w:tcW w:w="1444" w:type="dxa"/>
            <w:shd w:val="clear" w:color="auto" w:fill="FBD4B4"/>
          </w:tcPr>
          <w:p w:rsidR="007C5447" w:rsidRDefault="00F6308C">
            <w:pPr>
              <w:pStyle w:val="TableParagraph"/>
              <w:spacing w:before="29"/>
              <w:ind w:left="178"/>
              <w:jc w:val="left"/>
              <w:rPr>
                <w:b/>
              </w:rPr>
            </w:pPr>
            <w:r>
              <w:rPr>
                <w:b/>
              </w:rPr>
              <w:t>FY 2016-17</w:t>
            </w:r>
          </w:p>
        </w:tc>
        <w:tc>
          <w:tcPr>
            <w:tcW w:w="1444" w:type="dxa"/>
            <w:shd w:val="clear" w:color="auto" w:fill="FBD4B4"/>
          </w:tcPr>
          <w:p w:rsidR="007C5447" w:rsidRDefault="00F6308C">
            <w:pPr>
              <w:pStyle w:val="TableParagraph"/>
              <w:spacing w:before="29"/>
              <w:ind w:left="177"/>
              <w:jc w:val="left"/>
              <w:rPr>
                <w:b/>
              </w:rPr>
            </w:pPr>
            <w:r>
              <w:rPr>
                <w:b/>
              </w:rPr>
              <w:t>FY 2017-18</w:t>
            </w:r>
          </w:p>
        </w:tc>
        <w:tc>
          <w:tcPr>
            <w:tcW w:w="1447" w:type="dxa"/>
            <w:shd w:val="clear" w:color="auto" w:fill="FBD4B4"/>
          </w:tcPr>
          <w:p w:rsidR="007C5447" w:rsidRDefault="00F6308C">
            <w:pPr>
              <w:pStyle w:val="TableParagraph"/>
              <w:spacing w:before="29"/>
              <w:ind w:right="173"/>
              <w:rPr>
                <w:b/>
              </w:rPr>
            </w:pPr>
            <w:r>
              <w:rPr>
                <w:b/>
              </w:rPr>
              <w:t>FY 2018-19</w:t>
            </w:r>
          </w:p>
        </w:tc>
      </w:tr>
      <w:tr w:rsidR="007C5447">
        <w:trPr>
          <w:trHeight w:val="316"/>
        </w:trPr>
        <w:tc>
          <w:tcPr>
            <w:tcW w:w="514" w:type="dxa"/>
          </w:tcPr>
          <w:p w:rsidR="007C5447" w:rsidRDefault="00F6308C">
            <w:pPr>
              <w:pStyle w:val="TableParagraph"/>
              <w:spacing w:before="15"/>
              <w:ind w:left="107"/>
              <w:jc w:val="left"/>
            </w:pPr>
            <w:r>
              <w:t>1</w:t>
            </w:r>
          </w:p>
        </w:tc>
        <w:tc>
          <w:tcPr>
            <w:tcW w:w="2891" w:type="dxa"/>
          </w:tcPr>
          <w:p w:rsidR="007C5447" w:rsidRDefault="00F6308C">
            <w:pPr>
              <w:pStyle w:val="TableParagraph"/>
              <w:spacing w:before="15"/>
              <w:ind w:left="107"/>
              <w:jc w:val="left"/>
            </w:pPr>
            <w:r>
              <w:t>Opening Security Deposit</w:t>
            </w:r>
          </w:p>
        </w:tc>
        <w:tc>
          <w:tcPr>
            <w:tcW w:w="1444" w:type="dxa"/>
          </w:tcPr>
          <w:p w:rsidR="007C5447" w:rsidRDefault="00F6308C">
            <w:pPr>
              <w:pStyle w:val="TableParagraph"/>
              <w:spacing w:before="29"/>
              <w:ind w:right="96"/>
            </w:pPr>
            <w:r>
              <w:t>7.940.29</w:t>
            </w:r>
          </w:p>
        </w:tc>
        <w:tc>
          <w:tcPr>
            <w:tcW w:w="1444" w:type="dxa"/>
          </w:tcPr>
          <w:p w:rsidR="007C5447" w:rsidRDefault="00F6308C">
            <w:pPr>
              <w:pStyle w:val="TableParagraph"/>
              <w:spacing w:before="29"/>
              <w:ind w:right="97"/>
            </w:pPr>
            <w:r>
              <w:t>8491.51</w:t>
            </w:r>
          </w:p>
        </w:tc>
        <w:tc>
          <w:tcPr>
            <w:tcW w:w="1447" w:type="dxa"/>
          </w:tcPr>
          <w:p w:rsidR="007C5447" w:rsidRDefault="00F6308C">
            <w:pPr>
              <w:pStyle w:val="TableParagraph"/>
              <w:spacing w:before="29"/>
              <w:ind w:right="101"/>
            </w:pPr>
            <w:r>
              <w:t>9,282.02</w:t>
            </w:r>
          </w:p>
        </w:tc>
      </w:tr>
      <w:tr w:rsidR="007C5447">
        <w:trPr>
          <w:trHeight w:val="313"/>
        </w:trPr>
        <w:tc>
          <w:tcPr>
            <w:tcW w:w="514" w:type="dxa"/>
          </w:tcPr>
          <w:p w:rsidR="007C5447" w:rsidRDefault="00F6308C">
            <w:pPr>
              <w:pStyle w:val="TableParagraph"/>
              <w:spacing w:before="13"/>
              <w:ind w:left="107"/>
              <w:jc w:val="left"/>
            </w:pPr>
            <w:r>
              <w:t>2</w:t>
            </w:r>
          </w:p>
        </w:tc>
        <w:tc>
          <w:tcPr>
            <w:tcW w:w="2891" w:type="dxa"/>
          </w:tcPr>
          <w:p w:rsidR="007C5447" w:rsidRDefault="00F6308C">
            <w:pPr>
              <w:pStyle w:val="TableParagraph"/>
              <w:spacing w:before="13"/>
              <w:ind w:left="107"/>
              <w:jc w:val="left"/>
            </w:pPr>
            <w:r>
              <w:t>Closing security deposit</w:t>
            </w:r>
          </w:p>
        </w:tc>
        <w:tc>
          <w:tcPr>
            <w:tcW w:w="1444" w:type="dxa"/>
          </w:tcPr>
          <w:p w:rsidR="007C5447" w:rsidRDefault="00F6308C">
            <w:pPr>
              <w:pStyle w:val="TableParagraph"/>
              <w:spacing w:before="29"/>
              <w:ind w:right="96"/>
            </w:pPr>
            <w:r>
              <w:t>8,491.51</w:t>
            </w:r>
          </w:p>
        </w:tc>
        <w:tc>
          <w:tcPr>
            <w:tcW w:w="1444" w:type="dxa"/>
          </w:tcPr>
          <w:p w:rsidR="007C5447" w:rsidRDefault="00F6308C">
            <w:pPr>
              <w:pStyle w:val="TableParagraph"/>
              <w:spacing w:before="29"/>
              <w:ind w:right="97"/>
            </w:pPr>
            <w:r>
              <w:t>9,282.02</w:t>
            </w:r>
          </w:p>
        </w:tc>
        <w:tc>
          <w:tcPr>
            <w:tcW w:w="1447" w:type="dxa"/>
          </w:tcPr>
          <w:p w:rsidR="007C5447" w:rsidRDefault="00F6308C">
            <w:pPr>
              <w:pStyle w:val="TableParagraph"/>
              <w:spacing w:before="29"/>
              <w:ind w:right="102"/>
            </w:pPr>
            <w:r>
              <w:t>10,107.23</w:t>
            </w:r>
          </w:p>
        </w:tc>
      </w:tr>
      <w:tr w:rsidR="007C5447">
        <w:trPr>
          <w:trHeight w:val="316"/>
        </w:trPr>
        <w:tc>
          <w:tcPr>
            <w:tcW w:w="514" w:type="dxa"/>
          </w:tcPr>
          <w:p w:rsidR="007C5447" w:rsidRDefault="00F6308C">
            <w:pPr>
              <w:pStyle w:val="TableParagraph"/>
              <w:spacing w:before="15"/>
              <w:ind w:left="107"/>
              <w:jc w:val="left"/>
            </w:pPr>
            <w:r>
              <w:t>3</w:t>
            </w:r>
          </w:p>
        </w:tc>
        <w:tc>
          <w:tcPr>
            <w:tcW w:w="2891" w:type="dxa"/>
          </w:tcPr>
          <w:p w:rsidR="007C5447" w:rsidRDefault="00F6308C">
            <w:pPr>
              <w:pStyle w:val="TableParagraph"/>
              <w:spacing w:before="15"/>
              <w:ind w:left="107"/>
              <w:jc w:val="left"/>
            </w:pPr>
            <w:r>
              <w:t>Average Deposit</w:t>
            </w:r>
          </w:p>
        </w:tc>
        <w:tc>
          <w:tcPr>
            <w:tcW w:w="1444" w:type="dxa"/>
          </w:tcPr>
          <w:p w:rsidR="007C5447" w:rsidRDefault="00F6308C">
            <w:pPr>
              <w:pStyle w:val="TableParagraph"/>
              <w:spacing w:before="29"/>
              <w:ind w:right="96"/>
            </w:pPr>
            <w:r>
              <w:t>8,215.90</w:t>
            </w:r>
          </w:p>
        </w:tc>
        <w:tc>
          <w:tcPr>
            <w:tcW w:w="1444" w:type="dxa"/>
          </w:tcPr>
          <w:p w:rsidR="007C5447" w:rsidRDefault="00F6308C">
            <w:pPr>
              <w:pStyle w:val="TableParagraph"/>
              <w:spacing w:before="29"/>
              <w:ind w:right="97"/>
            </w:pPr>
            <w:r>
              <w:t>8,886.77</w:t>
            </w:r>
          </w:p>
        </w:tc>
        <w:tc>
          <w:tcPr>
            <w:tcW w:w="1447" w:type="dxa"/>
          </w:tcPr>
          <w:p w:rsidR="007C5447" w:rsidRDefault="00F6308C">
            <w:pPr>
              <w:pStyle w:val="TableParagraph"/>
              <w:spacing w:before="29"/>
              <w:ind w:right="101"/>
            </w:pPr>
            <w:r>
              <w:t>9,694.62</w:t>
            </w:r>
          </w:p>
        </w:tc>
      </w:tr>
      <w:tr w:rsidR="007C5447">
        <w:trPr>
          <w:trHeight w:val="314"/>
        </w:trPr>
        <w:tc>
          <w:tcPr>
            <w:tcW w:w="514" w:type="dxa"/>
          </w:tcPr>
          <w:p w:rsidR="007C5447" w:rsidRDefault="00F6308C">
            <w:pPr>
              <w:pStyle w:val="TableParagraph"/>
              <w:spacing w:before="13"/>
              <w:ind w:left="107"/>
              <w:jc w:val="left"/>
            </w:pPr>
            <w:r>
              <w:t>4</w:t>
            </w:r>
          </w:p>
        </w:tc>
        <w:tc>
          <w:tcPr>
            <w:tcW w:w="2891" w:type="dxa"/>
          </w:tcPr>
          <w:p w:rsidR="007C5447" w:rsidRDefault="00F6308C">
            <w:pPr>
              <w:pStyle w:val="TableParagraph"/>
              <w:spacing w:before="13"/>
              <w:ind w:left="107"/>
              <w:jc w:val="left"/>
            </w:pPr>
            <w:r>
              <w:t>Interest rate (%)</w:t>
            </w:r>
          </w:p>
        </w:tc>
        <w:tc>
          <w:tcPr>
            <w:tcW w:w="1444" w:type="dxa"/>
          </w:tcPr>
          <w:p w:rsidR="007C5447" w:rsidRDefault="00F6308C">
            <w:pPr>
              <w:pStyle w:val="TableParagraph"/>
              <w:spacing w:before="29"/>
              <w:ind w:right="97"/>
            </w:pPr>
            <w:r>
              <w:t>6.90%</w:t>
            </w:r>
          </w:p>
        </w:tc>
        <w:tc>
          <w:tcPr>
            <w:tcW w:w="1444" w:type="dxa"/>
          </w:tcPr>
          <w:p w:rsidR="007C5447" w:rsidRDefault="00F6308C">
            <w:pPr>
              <w:pStyle w:val="TableParagraph"/>
              <w:spacing w:before="29"/>
              <w:ind w:right="98"/>
            </w:pPr>
            <w:r>
              <w:t>6.90%</w:t>
            </w:r>
          </w:p>
        </w:tc>
        <w:tc>
          <w:tcPr>
            <w:tcW w:w="1447" w:type="dxa"/>
          </w:tcPr>
          <w:p w:rsidR="007C5447" w:rsidRDefault="00F6308C">
            <w:pPr>
              <w:pStyle w:val="TableParagraph"/>
              <w:spacing w:before="29"/>
              <w:ind w:right="102"/>
            </w:pPr>
            <w:r>
              <w:t>6.90%</w:t>
            </w:r>
          </w:p>
        </w:tc>
      </w:tr>
      <w:tr w:rsidR="007C5447">
        <w:trPr>
          <w:trHeight w:val="316"/>
        </w:trPr>
        <w:tc>
          <w:tcPr>
            <w:tcW w:w="514" w:type="dxa"/>
          </w:tcPr>
          <w:p w:rsidR="007C5447" w:rsidRDefault="00F6308C">
            <w:pPr>
              <w:pStyle w:val="TableParagraph"/>
              <w:spacing w:before="13"/>
              <w:ind w:left="107"/>
              <w:jc w:val="left"/>
              <w:rPr>
                <w:b/>
              </w:rPr>
            </w:pPr>
            <w:r>
              <w:rPr>
                <w:b/>
              </w:rPr>
              <w:t>5</w:t>
            </w:r>
          </w:p>
        </w:tc>
        <w:tc>
          <w:tcPr>
            <w:tcW w:w="2891" w:type="dxa"/>
          </w:tcPr>
          <w:p w:rsidR="007C5447" w:rsidRDefault="00F6308C">
            <w:pPr>
              <w:pStyle w:val="TableParagraph"/>
              <w:spacing w:before="13"/>
              <w:ind w:left="107"/>
              <w:jc w:val="left"/>
              <w:rPr>
                <w:b/>
              </w:rPr>
            </w:pPr>
            <w:r>
              <w:rPr>
                <w:b/>
              </w:rPr>
              <w:t>Interest on security deposit</w:t>
            </w:r>
          </w:p>
        </w:tc>
        <w:tc>
          <w:tcPr>
            <w:tcW w:w="1444" w:type="dxa"/>
          </w:tcPr>
          <w:p w:rsidR="007C5447" w:rsidRDefault="00F6308C">
            <w:pPr>
              <w:pStyle w:val="TableParagraph"/>
              <w:spacing w:before="29"/>
              <w:ind w:right="96"/>
              <w:rPr>
                <w:b/>
              </w:rPr>
            </w:pPr>
            <w:r>
              <w:rPr>
                <w:b/>
              </w:rPr>
              <w:t>566.90</w:t>
            </w:r>
          </w:p>
        </w:tc>
        <w:tc>
          <w:tcPr>
            <w:tcW w:w="1444" w:type="dxa"/>
          </w:tcPr>
          <w:p w:rsidR="007C5447" w:rsidRDefault="00F6308C">
            <w:pPr>
              <w:pStyle w:val="TableParagraph"/>
              <w:spacing w:before="29"/>
              <w:ind w:right="97"/>
              <w:rPr>
                <w:b/>
              </w:rPr>
            </w:pPr>
            <w:r>
              <w:rPr>
                <w:b/>
              </w:rPr>
              <w:t>613.19</w:t>
            </w:r>
          </w:p>
        </w:tc>
        <w:tc>
          <w:tcPr>
            <w:tcW w:w="1447" w:type="dxa"/>
          </w:tcPr>
          <w:p w:rsidR="007C5447" w:rsidRDefault="00F6308C">
            <w:pPr>
              <w:pStyle w:val="TableParagraph"/>
              <w:spacing w:before="29"/>
              <w:ind w:right="101"/>
              <w:rPr>
                <w:b/>
              </w:rPr>
            </w:pPr>
            <w:r>
              <w:rPr>
                <w:b/>
              </w:rPr>
              <w:t>668.93</w:t>
            </w:r>
          </w:p>
        </w:tc>
      </w:tr>
    </w:tbl>
    <w:p w:rsidR="007C5447" w:rsidRDefault="00F6308C">
      <w:pPr>
        <w:pStyle w:val="ListParagraph"/>
        <w:numPr>
          <w:ilvl w:val="2"/>
          <w:numId w:val="114"/>
        </w:numPr>
        <w:tabs>
          <w:tab w:val="left" w:pos="1393"/>
        </w:tabs>
        <w:spacing w:before="119" w:line="312" w:lineRule="auto"/>
        <w:ind w:left="1392" w:right="506" w:hanging="852"/>
        <w:jc w:val="both"/>
        <w:rPr>
          <w:sz w:val="24"/>
        </w:rPr>
      </w:pPr>
      <w:r>
        <w:rPr>
          <w:sz w:val="24"/>
        </w:rPr>
        <w:t>The Commission has approved Other Finance Charges such as cost of raising finance, bank charges, etc., at the same level as that approved for FY 2015-16, as shown in the Table below. Any variation in the Other Finance Charges will be reviewed at the time o</w:t>
      </w:r>
      <w:r>
        <w:rPr>
          <w:sz w:val="24"/>
        </w:rPr>
        <w:t>f</w:t>
      </w:r>
      <w:r>
        <w:rPr>
          <w:spacing w:val="-1"/>
          <w:sz w:val="24"/>
        </w:rPr>
        <w:t xml:space="preserve"> </w:t>
      </w:r>
      <w:r>
        <w:rPr>
          <w:sz w:val="24"/>
        </w:rPr>
        <w:t>true-up.</w:t>
      </w:r>
    </w:p>
    <w:p w:rsidR="007C5447" w:rsidRDefault="007C5447">
      <w:pPr>
        <w:pStyle w:val="BodyText"/>
        <w:rPr>
          <w:sz w:val="26"/>
        </w:rPr>
      </w:pPr>
    </w:p>
    <w:p w:rsidR="007C5447" w:rsidRDefault="007C5447">
      <w:pPr>
        <w:pStyle w:val="BodyText"/>
        <w:rPr>
          <w:sz w:val="26"/>
        </w:rPr>
      </w:pPr>
    </w:p>
    <w:p w:rsidR="007C5447" w:rsidRDefault="007C5447">
      <w:pPr>
        <w:pStyle w:val="BodyText"/>
        <w:spacing w:before="10"/>
        <w:rPr>
          <w:sz w:val="20"/>
        </w:rPr>
      </w:pPr>
    </w:p>
    <w:p w:rsidR="007C5447" w:rsidRDefault="00F6308C">
      <w:pPr>
        <w:spacing w:line="312" w:lineRule="auto"/>
        <w:ind w:left="653" w:right="623"/>
        <w:jc w:val="center"/>
        <w:rPr>
          <w:b/>
        </w:rPr>
      </w:pPr>
      <w:r>
        <w:rPr>
          <w:b/>
        </w:rPr>
        <w:t xml:space="preserve">Table 4-20: Approved Other Finance Charges </w:t>
      </w:r>
      <w:r>
        <w:rPr>
          <w:b/>
          <w:sz w:val="24"/>
        </w:rPr>
        <w:t xml:space="preserve">for the Control Period from FY 2016-17 to FY 2018-19 </w:t>
      </w:r>
      <w:r>
        <w:rPr>
          <w:b/>
        </w:rPr>
        <w:t>(Rs. Crore)</w:t>
      </w:r>
    </w:p>
    <w:p w:rsidR="007C5447" w:rsidRDefault="007C5447">
      <w:pPr>
        <w:pStyle w:val="BodyText"/>
        <w:spacing w:before="6"/>
        <w:rPr>
          <w:b/>
          <w:sz w:val="10"/>
        </w:rPr>
      </w:pPr>
    </w:p>
    <w:tbl>
      <w:tblPr>
        <w:tblW w:w="0" w:type="auto"/>
        <w:tblInd w:w="1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2"/>
        <w:gridCol w:w="2729"/>
        <w:gridCol w:w="1452"/>
        <w:gridCol w:w="1452"/>
        <w:gridCol w:w="1453"/>
      </w:tblGrid>
      <w:tr w:rsidR="007C5447">
        <w:trPr>
          <w:trHeight w:val="412"/>
        </w:trPr>
        <w:tc>
          <w:tcPr>
            <w:tcW w:w="492" w:type="dxa"/>
            <w:shd w:val="clear" w:color="auto" w:fill="FBD4B4"/>
          </w:tcPr>
          <w:p w:rsidR="007C5447" w:rsidRDefault="00F6308C">
            <w:pPr>
              <w:pStyle w:val="TableParagraph"/>
              <w:spacing w:before="80"/>
              <w:ind w:left="127"/>
              <w:jc w:val="left"/>
              <w:rPr>
                <w:b/>
              </w:rPr>
            </w:pPr>
            <w:r>
              <w:rPr>
                <w:b/>
              </w:rPr>
              <w:t>Sl.</w:t>
            </w:r>
          </w:p>
        </w:tc>
        <w:tc>
          <w:tcPr>
            <w:tcW w:w="2729" w:type="dxa"/>
            <w:shd w:val="clear" w:color="auto" w:fill="FBD4B4"/>
          </w:tcPr>
          <w:p w:rsidR="007C5447" w:rsidRDefault="00F6308C">
            <w:pPr>
              <w:pStyle w:val="TableParagraph"/>
              <w:spacing w:before="80"/>
              <w:ind w:left="837"/>
              <w:jc w:val="left"/>
              <w:rPr>
                <w:b/>
              </w:rPr>
            </w:pPr>
            <w:r>
              <w:rPr>
                <w:b/>
              </w:rPr>
              <w:t>Particulars</w:t>
            </w:r>
          </w:p>
        </w:tc>
        <w:tc>
          <w:tcPr>
            <w:tcW w:w="1452" w:type="dxa"/>
            <w:shd w:val="clear" w:color="auto" w:fill="FBD4B4"/>
          </w:tcPr>
          <w:p w:rsidR="007C5447" w:rsidRDefault="00F6308C">
            <w:pPr>
              <w:pStyle w:val="TableParagraph"/>
              <w:spacing w:before="80"/>
              <w:ind w:left="185"/>
              <w:jc w:val="left"/>
              <w:rPr>
                <w:b/>
              </w:rPr>
            </w:pPr>
            <w:r>
              <w:rPr>
                <w:b/>
              </w:rPr>
              <w:t>FY 2016-17</w:t>
            </w:r>
          </w:p>
        </w:tc>
        <w:tc>
          <w:tcPr>
            <w:tcW w:w="1452" w:type="dxa"/>
            <w:shd w:val="clear" w:color="auto" w:fill="FBD4B4"/>
          </w:tcPr>
          <w:p w:rsidR="007C5447" w:rsidRDefault="00F6308C">
            <w:pPr>
              <w:pStyle w:val="TableParagraph"/>
              <w:spacing w:before="80"/>
              <w:ind w:left="185"/>
              <w:jc w:val="left"/>
              <w:rPr>
                <w:b/>
              </w:rPr>
            </w:pPr>
            <w:r>
              <w:rPr>
                <w:b/>
              </w:rPr>
              <w:t>FY 2017-18</w:t>
            </w:r>
          </w:p>
        </w:tc>
        <w:tc>
          <w:tcPr>
            <w:tcW w:w="1453" w:type="dxa"/>
            <w:shd w:val="clear" w:color="auto" w:fill="FBD4B4"/>
          </w:tcPr>
          <w:p w:rsidR="007C5447" w:rsidRDefault="00F6308C">
            <w:pPr>
              <w:pStyle w:val="TableParagraph"/>
              <w:spacing w:before="80"/>
              <w:ind w:left="185"/>
              <w:jc w:val="left"/>
              <w:rPr>
                <w:b/>
              </w:rPr>
            </w:pPr>
            <w:r>
              <w:rPr>
                <w:b/>
              </w:rPr>
              <w:t>FY 2018-19</w:t>
            </w:r>
          </w:p>
        </w:tc>
      </w:tr>
      <w:tr w:rsidR="007C5447">
        <w:trPr>
          <w:trHeight w:val="415"/>
        </w:trPr>
        <w:tc>
          <w:tcPr>
            <w:tcW w:w="492" w:type="dxa"/>
          </w:tcPr>
          <w:p w:rsidR="007C5447" w:rsidRDefault="00F6308C">
            <w:pPr>
              <w:pStyle w:val="TableParagraph"/>
              <w:spacing w:before="80"/>
              <w:ind w:left="189"/>
              <w:jc w:val="left"/>
            </w:pPr>
            <w:r>
              <w:t>1</w:t>
            </w:r>
          </w:p>
        </w:tc>
        <w:tc>
          <w:tcPr>
            <w:tcW w:w="2729" w:type="dxa"/>
          </w:tcPr>
          <w:p w:rsidR="007C5447" w:rsidRDefault="00F6308C">
            <w:pPr>
              <w:pStyle w:val="TableParagraph"/>
              <w:spacing w:before="80"/>
              <w:ind w:left="107"/>
              <w:jc w:val="left"/>
            </w:pPr>
            <w:r>
              <w:t>Other finance charges</w:t>
            </w:r>
          </w:p>
        </w:tc>
        <w:tc>
          <w:tcPr>
            <w:tcW w:w="1452" w:type="dxa"/>
          </w:tcPr>
          <w:p w:rsidR="007C5447" w:rsidRDefault="00F6308C">
            <w:pPr>
              <w:pStyle w:val="TableParagraph"/>
              <w:spacing w:before="80"/>
              <w:ind w:left="559"/>
              <w:jc w:val="left"/>
            </w:pPr>
            <w:r>
              <w:t>245.15</w:t>
            </w:r>
          </w:p>
        </w:tc>
        <w:tc>
          <w:tcPr>
            <w:tcW w:w="1452" w:type="dxa"/>
          </w:tcPr>
          <w:p w:rsidR="007C5447" w:rsidRDefault="00F6308C">
            <w:pPr>
              <w:pStyle w:val="TableParagraph"/>
              <w:spacing w:before="80"/>
              <w:ind w:left="562"/>
              <w:jc w:val="left"/>
            </w:pPr>
            <w:r>
              <w:t>245.15</w:t>
            </w:r>
          </w:p>
        </w:tc>
        <w:tc>
          <w:tcPr>
            <w:tcW w:w="1453" w:type="dxa"/>
          </w:tcPr>
          <w:p w:rsidR="007C5447" w:rsidRDefault="00F6308C">
            <w:pPr>
              <w:pStyle w:val="TableParagraph"/>
              <w:spacing w:before="80"/>
              <w:ind w:left="562"/>
              <w:jc w:val="left"/>
            </w:pPr>
            <w:r>
              <w:t>245.15</w:t>
            </w:r>
          </w:p>
        </w:tc>
      </w:tr>
    </w:tbl>
    <w:p w:rsidR="007C5447" w:rsidRDefault="007C5447">
      <w:pPr>
        <w:pStyle w:val="BodyText"/>
        <w:rPr>
          <w:b/>
          <w:sz w:val="26"/>
        </w:rPr>
      </w:pPr>
    </w:p>
    <w:p w:rsidR="007C5447" w:rsidRDefault="007C5447">
      <w:pPr>
        <w:pStyle w:val="BodyText"/>
        <w:rPr>
          <w:b/>
          <w:sz w:val="26"/>
        </w:rPr>
      </w:pPr>
    </w:p>
    <w:p w:rsidR="007C5447" w:rsidRDefault="007C5447">
      <w:pPr>
        <w:pStyle w:val="BodyText"/>
        <w:spacing w:before="8"/>
        <w:rPr>
          <w:b/>
          <w:sz w:val="20"/>
        </w:rPr>
      </w:pPr>
    </w:p>
    <w:p w:rsidR="007C5447" w:rsidRDefault="00F6308C">
      <w:pPr>
        <w:pStyle w:val="Heading2"/>
        <w:numPr>
          <w:ilvl w:val="1"/>
          <w:numId w:val="114"/>
        </w:numPr>
        <w:tabs>
          <w:tab w:val="left" w:pos="1106"/>
          <w:tab w:val="left" w:pos="1107"/>
        </w:tabs>
        <w:spacing w:before="1"/>
        <w:ind w:left="1106"/>
      </w:pPr>
      <w:bookmarkStart w:id="65" w:name="_bookmark65"/>
      <w:bookmarkEnd w:id="65"/>
      <w:r>
        <w:t>Return on</w:t>
      </w:r>
      <w:r>
        <w:rPr>
          <w:spacing w:val="-1"/>
        </w:rPr>
        <w:t xml:space="preserve"> </w:t>
      </w:r>
      <w:r>
        <w:t>Equity</w:t>
      </w:r>
    </w:p>
    <w:p w:rsidR="007C5447" w:rsidRDefault="007C5447">
      <w:pPr>
        <w:pStyle w:val="BodyText"/>
        <w:spacing w:before="1"/>
        <w:rPr>
          <w:b/>
          <w:sz w:val="28"/>
        </w:rPr>
      </w:pPr>
    </w:p>
    <w:p w:rsidR="007C5447" w:rsidRDefault="00F6308C">
      <w:pPr>
        <w:pStyle w:val="ListParagraph"/>
        <w:numPr>
          <w:ilvl w:val="2"/>
          <w:numId w:val="114"/>
        </w:numPr>
        <w:tabs>
          <w:tab w:val="left" w:pos="1393"/>
        </w:tabs>
        <w:spacing w:before="1" w:line="312" w:lineRule="auto"/>
        <w:ind w:left="1392" w:right="506" w:hanging="852"/>
        <w:jc w:val="both"/>
        <w:rPr>
          <w:sz w:val="24"/>
        </w:rPr>
      </w:pPr>
      <w:r>
        <w:rPr>
          <w:sz w:val="24"/>
        </w:rPr>
        <w:t>TANGEDCO submitted that it has calculated RoE for FY 2016-17 to FY 2018-19 on the basis on the average equity for the corresponding years. TANGEDCO submitted that RoE is a surplus generated, which entitles a Utility to safeguard itself against any uneven c</w:t>
      </w:r>
      <w:r>
        <w:rPr>
          <w:sz w:val="24"/>
        </w:rPr>
        <w:t xml:space="preserve">ontingencies in future. </w:t>
      </w:r>
      <w:r>
        <w:rPr>
          <w:spacing w:val="-3"/>
          <w:sz w:val="24"/>
        </w:rPr>
        <w:t xml:space="preserve">It </w:t>
      </w:r>
      <w:r>
        <w:rPr>
          <w:sz w:val="24"/>
        </w:rPr>
        <w:t>further submitted that the addition of equity has been considered based on the capitalization of the assets (30% of capitalization). The reasonable rate of return has been considered as 14% as specified in the Tariff Regulations.</w:t>
      </w:r>
    </w:p>
    <w:p w:rsidR="007C5447" w:rsidRDefault="007C5447">
      <w:pPr>
        <w:pStyle w:val="BodyText"/>
        <w:spacing w:before="9"/>
        <w:rPr>
          <w:sz w:val="20"/>
        </w:rPr>
      </w:pPr>
    </w:p>
    <w:p w:rsidR="007C5447" w:rsidRDefault="00F6308C">
      <w:pPr>
        <w:pStyle w:val="ListParagraph"/>
        <w:numPr>
          <w:ilvl w:val="2"/>
          <w:numId w:val="114"/>
        </w:numPr>
        <w:tabs>
          <w:tab w:val="left" w:pos="1392"/>
          <w:tab w:val="left" w:pos="1393"/>
        </w:tabs>
        <w:ind w:left="1392" w:hanging="853"/>
        <w:rPr>
          <w:sz w:val="24"/>
        </w:rPr>
      </w:pPr>
      <w:r>
        <w:rPr>
          <w:sz w:val="24"/>
        </w:rPr>
        <w:t>RoE as submitted by TANGEDCO is shown in the Table</w:t>
      </w:r>
      <w:r>
        <w:rPr>
          <w:spacing w:val="-8"/>
          <w:sz w:val="24"/>
        </w:rPr>
        <w:t xml:space="preserve"> </w:t>
      </w:r>
      <w:r>
        <w:rPr>
          <w:sz w:val="24"/>
        </w:rPr>
        <w:t>below:</w:t>
      </w:r>
    </w:p>
    <w:p w:rsidR="007C5447" w:rsidRDefault="007C5447">
      <w:pPr>
        <w:rPr>
          <w:sz w:val="24"/>
        </w:rPr>
        <w:sectPr w:rsidR="007C5447">
          <w:pgSz w:w="11910" w:h="16840"/>
          <w:pgMar w:top="1360" w:right="620" w:bottom="1240" w:left="900" w:header="0" w:footer="1057" w:gutter="0"/>
          <w:cols w:space="720"/>
        </w:sectPr>
      </w:pPr>
    </w:p>
    <w:p w:rsidR="007C5447" w:rsidRDefault="00F6308C">
      <w:pPr>
        <w:pStyle w:val="Heading2"/>
        <w:spacing w:before="60"/>
        <w:ind w:left="1524"/>
      </w:pPr>
      <w:r>
        <w:lastRenderedPageBreak/>
        <w:t>Table 4-21: Return on Equity as submitted by TANGEDCO (Rs. Crore)</w:t>
      </w:r>
    </w:p>
    <w:p w:rsidR="007C5447" w:rsidRDefault="007C5447">
      <w:pPr>
        <w:pStyle w:val="BodyText"/>
        <w:spacing w:before="3"/>
        <w:rPr>
          <w:b/>
          <w:sz w:val="7"/>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2735"/>
        <w:gridCol w:w="1712"/>
        <w:gridCol w:w="1709"/>
        <w:gridCol w:w="1712"/>
      </w:tblGrid>
      <w:tr w:rsidR="007C5447">
        <w:trPr>
          <w:trHeight w:val="426"/>
        </w:trPr>
        <w:tc>
          <w:tcPr>
            <w:tcW w:w="994" w:type="dxa"/>
            <w:vMerge w:val="restart"/>
            <w:shd w:val="clear" w:color="auto" w:fill="F7C9AC"/>
          </w:tcPr>
          <w:p w:rsidR="007C5447" w:rsidRDefault="007C5447">
            <w:pPr>
              <w:pStyle w:val="TableParagraph"/>
              <w:spacing w:before="8"/>
              <w:jc w:val="left"/>
              <w:rPr>
                <w:b/>
                <w:sz w:val="30"/>
              </w:rPr>
            </w:pPr>
          </w:p>
          <w:p w:rsidR="007C5447" w:rsidRDefault="00F6308C">
            <w:pPr>
              <w:pStyle w:val="TableParagraph"/>
              <w:ind w:left="367" w:right="359"/>
              <w:jc w:val="center"/>
              <w:rPr>
                <w:b/>
                <w:sz w:val="20"/>
              </w:rPr>
            </w:pPr>
            <w:r>
              <w:rPr>
                <w:b/>
                <w:sz w:val="20"/>
              </w:rPr>
              <w:t>Sl.</w:t>
            </w:r>
          </w:p>
        </w:tc>
        <w:tc>
          <w:tcPr>
            <w:tcW w:w="2735" w:type="dxa"/>
            <w:vMerge w:val="restart"/>
            <w:shd w:val="clear" w:color="auto" w:fill="F7C9AC"/>
          </w:tcPr>
          <w:p w:rsidR="007C5447" w:rsidRDefault="007C5447">
            <w:pPr>
              <w:pStyle w:val="TableParagraph"/>
              <w:spacing w:before="8"/>
              <w:jc w:val="left"/>
              <w:rPr>
                <w:b/>
                <w:sz w:val="30"/>
              </w:rPr>
            </w:pPr>
          </w:p>
          <w:p w:rsidR="007C5447" w:rsidRDefault="00F6308C">
            <w:pPr>
              <w:pStyle w:val="TableParagraph"/>
              <w:ind w:left="107"/>
              <w:jc w:val="left"/>
              <w:rPr>
                <w:b/>
                <w:sz w:val="20"/>
              </w:rPr>
            </w:pPr>
            <w:r>
              <w:rPr>
                <w:b/>
                <w:sz w:val="20"/>
              </w:rPr>
              <w:t>Power Station</w:t>
            </w:r>
          </w:p>
        </w:tc>
        <w:tc>
          <w:tcPr>
            <w:tcW w:w="5133" w:type="dxa"/>
            <w:gridSpan w:val="3"/>
            <w:shd w:val="clear" w:color="auto" w:fill="F7C9AC"/>
          </w:tcPr>
          <w:p w:rsidR="007C5447" w:rsidRDefault="00F6308C">
            <w:pPr>
              <w:pStyle w:val="TableParagraph"/>
              <w:spacing w:before="98"/>
              <w:ind w:left="1963" w:right="1963"/>
              <w:jc w:val="center"/>
              <w:rPr>
                <w:b/>
                <w:sz w:val="20"/>
              </w:rPr>
            </w:pPr>
            <w:r>
              <w:rPr>
                <w:b/>
                <w:sz w:val="20"/>
              </w:rPr>
              <w:t>TANGEDCO</w:t>
            </w:r>
          </w:p>
        </w:tc>
      </w:tr>
      <w:tr w:rsidR="007C5447">
        <w:trPr>
          <w:trHeight w:val="496"/>
        </w:trPr>
        <w:tc>
          <w:tcPr>
            <w:tcW w:w="994" w:type="dxa"/>
            <w:vMerge/>
            <w:tcBorders>
              <w:top w:val="nil"/>
            </w:tcBorders>
            <w:shd w:val="clear" w:color="auto" w:fill="F7C9AC"/>
          </w:tcPr>
          <w:p w:rsidR="007C5447" w:rsidRDefault="007C5447">
            <w:pPr>
              <w:rPr>
                <w:sz w:val="2"/>
                <w:szCs w:val="2"/>
              </w:rPr>
            </w:pPr>
          </w:p>
        </w:tc>
        <w:tc>
          <w:tcPr>
            <w:tcW w:w="2735" w:type="dxa"/>
            <w:vMerge/>
            <w:tcBorders>
              <w:top w:val="nil"/>
            </w:tcBorders>
            <w:shd w:val="clear" w:color="auto" w:fill="F7C9AC"/>
          </w:tcPr>
          <w:p w:rsidR="007C5447" w:rsidRDefault="007C5447">
            <w:pPr>
              <w:rPr>
                <w:sz w:val="2"/>
                <w:szCs w:val="2"/>
              </w:rPr>
            </w:pPr>
          </w:p>
        </w:tc>
        <w:tc>
          <w:tcPr>
            <w:tcW w:w="1712" w:type="dxa"/>
            <w:shd w:val="clear" w:color="auto" w:fill="F7C9AC"/>
          </w:tcPr>
          <w:p w:rsidR="007C5447" w:rsidRDefault="00F6308C">
            <w:pPr>
              <w:pStyle w:val="TableParagraph"/>
              <w:spacing w:before="134"/>
              <w:ind w:left="360"/>
              <w:jc w:val="left"/>
              <w:rPr>
                <w:b/>
                <w:sz w:val="20"/>
              </w:rPr>
            </w:pPr>
            <w:r>
              <w:rPr>
                <w:b/>
                <w:sz w:val="20"/>
              </w:rPr>
              <w:t>FY 2016-17</w:t>
            </w:r>
          </w:p>
        </w:tc>
        <w:tc>
          <w:tcPr>
            <w:tcW w:w="1709" w:type="dxa"/>
            <w:shd w:val="clear" w:color="auto" w:fill="F7C9AC"/>
          </w:tcPr>
          <w:p w:rsidR="007C5447" w:rsidRDefault="00F6308C">
            <w:pPr>
              <w:pStyle w:val="TableParagraph"/>
              <w:spacing w:before="134"/>
              <w:ind w:left="360"/>
              <w:jc w:val="left"/>
              <w:rPr>
                <w:b/>
                <w:sz w:val="20"/>
              </w:rPr>
            </w:pPr>
            <w:r>
              <w:rPr>
                <w:b/>
                <w:sz w:val="20"/>
              </w:rPr>
              <w:t>FY 2017-18</w:t>
            </w:r>
          </w:p>
        </w:tc>
        <w:tc>
          <w:tcPr>
            <w:tcW w:w="1712" w:type="dxa"/>
            <w:shd w:val="clear" w:color="auto" w:fill="F7C9AC"/>
          </w:tcPr>
          <w:p w:rsidR="007C5447" w:rsidRDefault="00F6308C">
            <w:pPr>
              <w:pStyle w:val="TableParagraph"/>
              <w:spacing w:before="134"/>
              <w:ind w:left="360"/>
              <w:jc w:val="left"/>
              <w:rPr>
                <w:b/>
                <w:sz w:val="20"/>
              </w:rPr>
            </w:pPr>
            <w:r>
              <w:rPr>
                <w:b/>
                <w:sz w:val="20"/>
              </w:rPr>
              <w:t>FY 2018-19</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1</w:t>
            </w:r>
          </w:p>
        </w:tc>
        <w:tc>
          <w:tcPr>
            <w:tcW w:w="2735" w:type="dxa"/>
          </w:tcPr>
          <w:p w:rsidR="007C5447" w:rsidRDefault="00F6308C">
            <w:pPr>
              <w:pStyle w:val="TableParagraph"/>
              <w:spacing w:before="14" w:line="224" w:lineRule="exact"/>
              <w:ind w:left="107"/>
              <w:jc w:val="left"/>
              <w:rPr>
                <w:sz w:val="20"/>
              </w:rPr>
            </w:pPr>
            <w:r>
              <w:rPr>
                <w:sz w:val="20"/>
              </w:rPr>
              <w:t>Ennore TPS</w:t>
            </w:r>
          </w:p>
        </w:tc>
        <w:tc>
          <w:tcPr>
            <w:tcW w:w="1712" w:type="dxa"/>
          </w:tcPr>
          <w:p w:rsidR="007C5447" w:rsidRDefault="00F6308C">
            <w:pPr>
              <w:pStyle w:val="TableParagraph"/>
              <w:spacing w:before="14" w:line="224" w:lineRule="exact"/>
              <w:ind w:right="99"/>
              <w:rPr>
                <w:sz w:val="20"/>
              </w:rPr>
            </w:pPr>
            <w:r>
              <w:rPr>
                <w:sz w:val="20"/>
              </w:rPr>
              <w:t>63.82</w:t>
            </w:r>
          </w:p>
        </w:tc>
        <w:tc>
          <w:tcPr>
            <w:tcW w:w="1709" w:type="dxa"/>
          </w:tcPr>
          <w:p w:rsidR="007C5447" w:rsidRDefault="00F6308C">
            <w:pPr>
              <w:pStyle w:val="TableParagraph"/>
              <w:spacing w:before="14" w:line="224" w:lineRule="exact"/>
              <w:ind w:right="98"/>
              <w:rPr>
                <w:sz w:val="20"/>
              </w:rPr>
            </w:pPr>
            <w:r>
              <w:rPr>
                <w:w w:val="99"/>
                <w:sz w:val="20"/>
              </w:rPr>
              <w:t>-</w:t>
            </w:r>
          </w:p>
        </w:tc>
        <w:tc>
          <w:tcPr>
            <w:tcW w:w="1712" w:type="dxa"/>
          </w:tcPr>
          <w:p w:rsidR="007C5447" w:rsidRDefault="00F6308C">
            <w:pPr>
              <w:pStyle w:val="TableParagraph"/>
              <w:spacing w:before="14" w:line="224" w:lineRule="exact"/>
              <w:ind w:right="101"/>
              <w:rPr>
                <w:sz w:val="20"/>
              </w:rPr>
            </w:pPr>
            <w:r>
              <w:rPr>
                <w:w w:val="99"/>
                <w:sz w:val="20"/>
              </w:rPr>
              <w:t>-</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2</w:t>
            </w:r>
          </w:p>
        </w:tc>
        <w:tc>
          <w:tcPr>
            <w:tcW w:w="2735" w:type="dxa"/>
          </w:tcPr>
          <w:p w:rsidR="007C5447" w:rsidRDefault="00F6308C">
            <w:pPr>
              <w:pStyle w:val="TableParagraph"/>
              <w:spacing w:before="17" w:line="224" w:lineRule="exact"/>
              <w:ind w:left="107"/>
              <w:jc w:val="left"/>
              <w:rPr>
                <w:sz w:val="20"/>
              </w:rPr>
            </w:pPr>
            <w:r>
              <w:rPr>
                <w:sz w:val="20"/>
              </w:rPr>
              <w:t>Tuticorin TPS</w:t>
            </w:r>
          </w:p>
        </w:tc>
        <w:tc>
          <w:tcPr>
            <w:tcW w:w="1712" w:type="dxa"/>
          </w:tcPr>
          <w:p w:rsidR="007C5447" w:rsidRDefault="00F6308C">
            <w:pPr>
              <w:pStyle w:val="TableParagraph"/>
              <w:spacing w:before="17" w:line="224" w:lineRule="exact"/>
              <w:ind w:right="100"/>
              <w:rPr>
                <w:sz w:val="20"/>
              </w:rPr>
            </w:pPr>
            <w:r>
              <w:rPr>
                <w:w w:val="95"/>
                <w:sz w:val="20"/>
              </w:rPr>
              <w:t>115.10</w:t>
            </w:r>
          </w:p>
        </w:tc>
        <w:tc>
          <w:tcPr>
            <w:tcW w:w="1709" w:type="dxa"/>
          </w:tcPr>
          <w:p w:rsidR="007C5447" w:rsidRDefault="00F6308C">
            <w:pPr>
              <w:pStyle w:val="TableParagraph"/>
              <w:spacing w:before="17" w:line="224" w:lineRule="exact"/>
              <w:ind w:right="97"/>
              <w:rPr>
                <w:sz w:val="20"/>
              </w:rPr>
            </w:pPr>
            <w:r>
              <w:rPr>
                <w:w w:val="95"/>
                <w:sz w:val="20"/>
              </w:rPr>
              <w:t>120.49</w:t>
            </w:r>
          </w:p>
        </w:tc>
        <w:tc>
          <w:tcPr>
            <w:tcW w:w="1712" w:type="dxa"/>
          </w:tcPr>
          <w:p w:rsidR="007C5447" w:rsidRDefault="00F6308C">
            <w:pPr>
              <w:pStyle w:val="TableParagraph"/>
              <w:spacing w:before="17" w:line="224" w:lineRule="exact"/>
              <w:ind w:right="100"/>
              <w:rPr>
                <w:sz w:val="20"/>
              </w:rPr>
            </w:pPr>
            <w:r>
              <w:rPr>
                <w:w w:val="95"/>
                <w:sz w:val="20"/>
              </w:rPr>
              <w:t>120.49</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3</w:t>
            </w:r>
          </w:p>
        </w:tc>
        <w:tc>
          <w:tcPr>
            <w:tcW w:w="2735" w:type="dxa"/>
          </w:tcPr>
          <w:p w:rsidR="007C5447" w:rsidRDefault="00F6308C">
            <w:pPr>
              <w:pStyle w:val="TableParagraph"/>
              <w:spacing w:before="14" w:line="224" w:lineRule="exact"/>
              <w:ind w:left="107"/>
              <w:jc w:val="left"/>
              <w:rPr>
                <w:sz w:val="20"/>
              </w:rPr>
            </w:pPr>
            <w:r>
              <w:rPr>
                <w:sz w:val="20"/>
              </w:rPr>
              <w:t>Mettur TPS</w:t>
            </w:r>
          </w:p>
        </w:tc>
        <w:tc>
          <w:tcPr>
            <w:tcW w:w="1712" w:type="dxa"/>
          </w:tcPr>
          <w:p w:rsidR="007C5447" w:rsidRDefault="00F6308C">
            <w:pPr>
              <w:pStyle w:val="TableParagraph"/>
              <w:spacing w:before="14" w:line="224" w:lineRule="exact"/>
              <w:ind w:right="99"/>
              <w:rPr>
                <w:sz w:val="20"/>
              </w:rPr>
            </w:pPr>
            <w:r>
              <w:rPr>
                <w:sz w:val="20"/>
              </w:rPr>
              <w:t>66.89</w:t>
            </w:r>
          </w:p>
        </w:tc>
        <w:tc>
          <w:tcPr>
            <w:tcW w:w="1709" w:type="dxa"/>
          </w:tcPr>
          <w:p w:rsidR="007C5447" w:rsidRDefault="00F6308C">
            <w:pPr>
              <w:pStyle w:val="TableParagraph"/>
              <w:spacing w:before="14" w:line="224" w:lineRule="exact"/>
              <w:ind w:right="97"/>
              <w:rPr>
                <w:sz w:val="20"/>
              </w:rPr>
            </w:pPr>
            <w:r>
              <w:rPr>
                <w:sz w:val="20"/>
              </w:rPr>
              <w:t>70.02</w:t>
            </w:r>
          </w:p>
        </w:tc>
        <w:tc>
          <w:tcPr>
            <w:tcW w:w="1712" w:type="dxa"/>
          </w:tcPr>
          <w:p w:rsidR="007C5447" w:rsidRDefault="00F6308C">
            <w:pPr>
              <w:pStyle w:val="TableParagraph"/>
              <w:spacing w:before="14" w:line="224" w:lineRule="exact"/>
              <w:ind w:right="100"/>
              <w:rPr>
                <w:sz w:val="20"/>
              </w:rPr>
            </w:pPr>
            <w:r>
              <w:rPr>
                <w:sz w:val="20"/>
              </w:rPr>
              <w:t>70.02</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4</w:t>
            </w:r>
          </w:p>
        </w:tc>
        <w:tc>
          <w:tcPr>
            <w:tcW w:w="2735" w:type="dxa"/>
          </w:tcPr>
          <w:p w:rsidR="007C5447" w:rsidRDefault="00F6308C">
            <w:pPr>
              <w:pStyle w:val="TableParagraph"/>
              <w:spacing w:before="17" w:line="224" w:lineRule="exact"/>
              <w:ind w:left="107"/>
              <w:jc w:val="left"/>
              <w:rPr>
                <w:sz w:val="20"/>
              </w:rPr>
            </w:pPr>
            <w:r>
              <w:rPr>
                <w:sz w:val="20"/>
              </w:rPr>
              <w:t>North Chennai TPS</w:t>
            </w:r>
          </w:p>
        </w:tc>
        <w:tc>
          <w:tcPr>
            <w:tcW w:w="1712" w:type="dxa"/>
          </w:tcPr>
          <w:p w:rsidR="007C5447" w:rsidRDefault="00F6308C">
            <w:pPr>
              <w:pStyle w:val="TableParagraph"/>
              <w:spacing w:before="17" w:line="224" w:lineRule="exact"/>
              <w:ind w:right="100"/>
              <w:rPr>
                <w:sz w:val="20"/>
              </w:rPr>
            </w:pPr>
            <w:r>
              <w:rPr>
                <w:w w:val="95"/>
                <w:sz w:val="20"/>
              </w:rPr>
              <w:t>135.19</w:t>
            </w:r>
          </w:p>
        </w:tc>
        <w:tc>
          <w:tcPr>
            <w:tcW w:w="1709" w:type="dxa"/>
          </w:tcPr>
          <w:p w:rsidR="007C5447" w:rsidRDefault="00F6308C">
            <w:pPr>
              <w:pStyle w:val="TableParagraph"/>
              <w:spacing w:before="17" w:line="224" w:lineRule="exact"/>
              <w:ind w:right="97"/>
              <w:rPr>
                <w:sz w:val="20"/>
              </w:rPr>
            </w:pPr>
            <w:r>
              <w:rPr>
                <w:w w:val="95"/>
                <w:sz w:val="20"/>
              </w:rPr>
              <w:t>141.52</w:t>
            </w:r>
          </w:p>
        </w:tc>
        <w:tc>
          <w:tcPr>
            <w:tcW w:w="1712" w:type="dxa"/>
          </w:tcPr>
          <w:p w:rsidR="007C5447" w:rsidRDefault="00F6308C">
            <w:pPr>
              <w:pStyle w:val="TableParagraph"/>
              <w:spacing w:before="17" w:line="224" w:lineRule="exact"/>
              <w:ind w:right="100"/>
              <w:rPr>
                <w:sz w:val="20"/>
              </w:rPr>
            </w:pPr>
            <w:r>
              <w:rPr>
                <w:w w:val="95"/>
                <w:sz w:val="20"/>
              </w:rPr>
              <w:t>141.52</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5</w:t>
            </w:r>
          </w:p>
        </w:tc>
        <w:tc>
          <w:tcPr>
            <w:tcW w:w="2735" w:type="dxa"/>
          </w:tcPr>
          <w:p w:rsidR="007C5447" w:rsidRDefault="00F6308C">
            <w:pPr>
              <w:pStyle w:val="TableParagraph"/>
              <w:spacing w:before="14" w:line="224" w:lineRule="exact"/>
              <w:ind w:left="107"/>
              <w:jc w:val="left"/>
              <w:rPr>
                <w:sz w:val="20"/>
              </w:rPr>
            </w:pPr>
            <w:r>
              <w:rPr>
                <w:sz w:val="20"/>
              </w:rPr>
              <w:t>Mettur TPS Stage III</w:t>
            </w:r>
          </w:p>
        </w:tc>
        <w:tc>
          <w:tcPr>
            <w:tcW w:w="1712" w:type="dxa"/>
          </w:tcPr>
          <w:p w:rsidR="007C5447" w:rsidRDefault="00F6308C">
            <w:pPr>
              <w:pStyle w:val="TableParagraph"/>
              <w:spacing w:before="14" w:line="224" w:lineRule="exact"/>
              <w:ind w:right="100"/>
              <w:rPr>
                <w:sz w:val="20"/>
              </w:rPr>
            </w:pPr>
            <w:r>
              <w:rPr>
                <w:w w:val="95"/>
                <w:sz w:val="20"/>
              </w:rPr>
              <w:t>163.83</w:t>
            </w:r>
          </w:p>
        </w:tc>
        <w:tc>
          <w:tcPr>
            <w:tcW w:w="1709" w:type="dxa"/>
          </w:tcPr>
          <w:p w:rsidR="007C5447" w:rsidRDefault="00F6308C">
            <w:pPr>
              <w:pStyle w:val="TableParagraph"/>
              <w:spacing w:before="14" w:line="224" w:lineRule="exact"/>
              <w:ind w:right="97"/>
              <w:rPr>
                <w:sz w:val="20"/>
              </w:rPr>
            </w:pPr>
            <w:r>
              <w:rPr>
                <w:w w:val="95"/>
                <w:sz w:val="20"/>
              </w:rPr>
              <w:t>171.51</w:t>
            </w:r>
          </w:p>
        </w:tc>
        <w:tc>
          <w:tcPr>
            <w:tcW w:w="1712" w:type="dxa"/>
          </w:tcPr>
          <w:p w:rsidR="007C5447" w:rsidRDefault="00F6308C">
            <w:pPr>
              <w:pStyle w:val="TableParagraph"/>
              <w:spacing w:before="14" w:line="224" w:lineRule="exact"/>
              <w:ind w:right="100"/>
              <w:rPr>
                <w:sz w:val="20"/>
              </w:rPr>
            </w:pPr>
            <w:r>
              <w:rPr>
                <w:w w:val="95"/>
                <w:sz w:val="20"/>
              </w:rPr>
              <w:t>171.51</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6</w:t>
            </w:r>
          </w:p>
        </w:tc>
        <w:tc>
          <w:tcPr>
            <w:tcW w:w="2735" w:type="dxa"/>
          </w:tcPr>
          <w:p w:rsidR="007C5447" w:rsidRDefault="00F6308C">
            <w:pPr>
              <w:pStyle w:val="TableParagraph"/>
              <w:spacing w:before="17" w:line="224" w:lineRule="exact"/>
              <w:ind w:left="107"/>
              <w:jc w:val="left"/>
              <w:rPr>
                <w:sz w:val="20"/>
              </w:rPr>
            </w:pPr>
            <w:r>
              <w:rPr>
                <w:sz w:val="20"/>
              </w:rPr>
              <w:t>North Chennai TPS II</w:t>
            </w:r>
          </w:p>
        </w:tc>
        <w:tc>
          <w:tcPr>
            <w:tcW w:w="1712" w:type="dxa"/>
          </w:tcPr>
          <w:p w:rsidR="007C5447" w:rsidRDefault="00F6308C">
            <w:pPr>
              <w:pStyle w:val="TableParagraph"/>
              <w:spacing w:before="17" w:line="224" w:lineRule="exact"/>
              <w:ind w:right="99"/>
              <w:rPr>
                <w:sz w:val="20"/>
              </w:rPr>
            </w:pPr>
            <w:r>
              <w:rPr>
                <w:sz w:val="20"/>
              </w:rPr>
              <w:t>0.00</w:t>
            </w:r>
          </w:p>
        </w:tc>
        <w:tc>
          <w:tcPr>
            <w:tcW w:w="1709" w:type="dxa"/>
          </w:tcPr>
          <w:p w:rsidR="007C5447" w:rsidRDefault="00F6308C">
            <w:pPr>
              <w:pStyle w:val="TableParagraph"/>
              <w:spacing w:before="17" w:line="224" w:lineRule="exact"/>
              <w:ind w:right="97"/>
              <w:rPr>
                <w:sz w:val="20"/>
              </w:rPr>
            </w:pPr>
            <w:r>
              <w:rPr>
                <w:sz w:val="20"/>
              </w:rPr>
              <w:t>0.00</w:t>
            </w:r>
          </w:p>
        </w:tc>
        <w:tc>
          <w:tcPr>
            <w:tcW w:w="1712" w:type="dxa"/>
          </w:tcPr>
          <w:p w:rsidR="007C5447" w:rsidRDefault="00F6308C">
            <w:pPr>
              <w:pStyle w:val="TableParagraph"/>
              <w:spacing w:before="17" w:line="224" w:lineRule="exact"/>
              <w:ind w:right="100"/>
              <w:rPr>
                <w:sz w:val="20"/>
              </w:rPr>
            </w:pPr>
            <w:r>
              <w:rPr>
                <w:sz w:val="20"/>
              </w:rPr>
              <w:t>0.00</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7</w:t>
            </w:r>
          </w:p>
        </w:tc>
        <w:tc>
          <w:tcPr>
            <w:tcW w:w="2735" w:type="dxa"/>
          </w:tcPr>
          <w:p w:rsidR="007C5447" w:rsidRDefault="00F6308C">
            <w:pPr>
              <w:pStyle w:val="TableParagraph"/>
              <w:spacing w:before="14" w:line="224" w:lineRule="exact"/>
              <w:ind w:left="107"/>
              <w:jc w:val="left"/>
              <w:rPr>
                <w:sz w:val="20"/>
              </w:rPr>
            </w:pPr>
            <w:r>
              <w:rPr>
                <w:sz w:val="20"/>
              </w:rPr>
              <w:t>Ennore Expansion II</w:t>
            </w:r>
          </w:p>
        </w:tc>
        <w:tc>
          <w:tcPr>
            <w:tcW w:w="1712" w:type="dxa"/>
          </w:tcPr>
          <w:p w:rsidR="007C5447" w:rsidRDefault="00F6308C">
            <w:pPr>
              <w:pStyle w:val="TableParagraph"/>
              <w:spacing w:before="14" w:line="224" w:lineRule="exact"/>
              <w:ind w:right="101"/>
              <w:rPr>
                <w:sz w:val="20"/>
              </w:rPr>
            </w:pPr>
            <w:r>
              <w:rPr>
                <w:w w:val="99"/>
                <w:sz w:val="20"/>
              </w:rPr>
              <w:t>-</w:t>
            </w:r>
          </w:p>
        </w:tc>
        <w:tc>
          <w:tcPr>
            <w:tcW w:w="1709" w:type="dxa"/>
          </w:tcPr>
          <w:p w:rsidR="007C5447" w:rsidRDefault="00F6308C">
            <w:pPr>
              <w:pStyle w:val="TableParagraph"/>
              <w:spacing w:before="14" w:line="224" w:lineRule="exact"/>
              <w:ind w:right="98"/>
              <w:rPr>
                <w:sz w:val="20"/>
              </w:rPr>
            </w:pPr>
            <w:r>
              <w:rPr>
                <w:w w:val="99"/>
                <w:sz w:val="20"/>
              </w:rPr>
              <w:t>-</w:t>
            </w:r>
          </w:p>
        </w:tc>
        <w:tc>
          <w:tcPr>
            <w:tcW w:w="1712" w:type="dxa"/>
          </w:tcPr>
          <w:p w:rsidR="007C5447" w:rsidRDefault="00F6308C">
            <w:pPr>
              <w:pStyle w:val="TableParagraph"/>
              <w:spacing w:before="14" w:line="224" w:lineRule="exact"/>
              <w:ind w:right="100"/>
              <w:rPr>
                <w:sz w:val="20"/>
              </w:rPr>
            </w:pPr>
            <w:r>
              <w:rPr>
                <w:w w:val="95"/>
                <w:sz w:val="20"/>
              </w:rPr>
              <w:t>113.84</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8</w:t>
            </w:r>
          </w:p>
        </w:tc>
        <w:tc>
          <w:tcPr>
            <w:tcW w:w="2735" w:type="dxa"/>
          </w:tcPr>
          <w:p w:rsidR="007C5447" w:rsidRDefault="00F6308C">
            <w:pPr>
              <w:pStyle w:val="TableParagraph"/>
              <w:spacing w:before="17" w:line="224" w:lineRule="exact"/>
              <w:ind w:left="107"/>
              <w:jc w:val="left"/>
              <w:rPr>
                <w:sz w:val="20"/>
              </w:rPr>
            </w:pPr>
            <w:r>
              <w:rPr>
                <w:sz w:val="20"/>
              </w:rPr>
              <w:t>Tirumakottai GTPS</w:t>
            </w:r>
          </w:p>
        </w:tc>
        <w:tc>
          <w:tcPr>
            <w:tcW w:w="1712" w:type="dxa"/>
          </w:tcPr>
          <w:p w:rsidR="007C5447" w:rsidRDefault="00F6308C">
            <w:pPr>
              <w:pStyle w:val="TableParagraph"/>
              <w:spacing w:before="17" w:line="224" w:lineRule="exact"/>
              <w:ind w:right="99"/>
              <w:rPr>
                <w:sz w:val="20"/>
              </w:rPr>
            </w:pPr>
            <w:r>
              <w:rPr>
                <w:sz w:val="20"/>
              </w:rPr>
              <w:t>26.84</w:t>
            </w:r>
          </w:p>
        </w:tc>
        <w:tc>
          <w:tcPr>
            <w:tcW w:w="1709" w:type="dxa"/>
          </w:tcPr>
          <w:p w:rsidR="007C5447" w:rsidRDefault="00F6308C">
            <w:pPr>
              <w:pStyle w:val="TableParagraph"/>
              <w:spacing w:before="17" w:line="224" w:lineRule="exact"/>
              <w:ind w:right="97"/>
              <w:rPr>
                <w:sz w:val="20"/>
              </w:rPr>
            </w:pPr>
            <w:r>
              <w:rPr>
                <w:sz w:val="20"/>
              </w:rPr>
              <w:t>28.10</w:t>
            </w:r>
          </w:p>
        </w:tc>
        <w:tc>
          <w:tcPr>
            <w:tcW w:w="1712" w:type="dxa"/>
          </w:tcPr>
          <w:p w:rsidR="007C5447" w:rsidRDefault="00F6308C">
            <w:pPr>
              <w:pStyle w:val="TableParagraph"/>
              <w:spacing w:before="17" w:line="224" w:lineRule="exact"/>
              <w:ind w:right="100"/>
              <w:rPr>
                <w:sz w:val="20"/>
              </w:rPr>
            </w:pPr>
            <w:r>
              <w:rPr>
                <w:sz w:val="20"/>
              </w:rPr>
              <w:t>28.10</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9</w:t>
            </w:r>
          </w:p>
        </w:tc>
        <w:tc>
          <w:tcPr>
            <w:tcW w:w="2735" w:type="dxa"/>
          </w:tcPr>
          <w:p w:rsidR="007C5447" w:rsidRDefault="00F6308C">
            <w:pPr>
              <w:pStyle w:val="TableParagraph"/>
              <w:spacing w:before="14" w:line="224" w:lineRule="exact"/>
              <w:ind w:left="107"/>
              <w:jc w:val="left"/>
              <w:rPr>
                <w:sz w:val="20"/>
              </w:rPr>
            </w:pPr>
            <w:r>
              <w:rPr>
                <w:sz w:val="20"/>
              </w:rPr>
              <w:t>Kuttalam GTPS</w:t>
            </w:r>
          </w:p>
        </w:tc>
        <w:tc>
          <w:tcPr>
            <w:tcW w:w="1712" w:type="dxa"/>
          </w:tcPr>
          <w:p w:rsidR="007C5447" w:rsidRDefault="00F6308C">
            <w:pPr>
              <w:pStyle w:val="TableParagraph"/>
              <w:spacing w:before="14" w:line="224" w:lineRule="exact"/>
              <w:ind w:right="99"/>
              <w:rPr>
                <w:sz w:val="20"/>
              </w:rPr>
            </w:pPr>
            <w:r>
              <w:rPr>
                <w:sz w:val="20"/>
              </w:rPr>
              <w:t>27.80</w:t>
            </w:r>
          </w:p>
        </w:tc>
        <w:tc>
          <w:tcPr>
            <w:tcW w:w="1709" w:type="dxa"/>
          </w:tcPr>
          <w:p w:rsidR="007C5447" w:rsidRDefault="00F6308C">
            <w:pPr>
              <w:pStyle w:val="TableParagraph"/>
              <w:spacing w:before="14" w:line="224" w:lineRule="exact"/>
              <w:ind w:right="97"/>
              <w:rPr>
                <w:sz w:val="20"/>
              </w:rPr>
            </w:pPr>
            <w:r>
              <w:rPr>
                <w:sz w:val="20"/>
              </w:rPr>
              <w:t>29.11</w:t>
            </w:r>
          </w:p>
        </w:tc>
        <w:tc>
          <w:tcPr>
            <w:tcW w:w="1712" w:type="dxa"/>
          </w:tcPr>
          <w:p w:rsidR="007C5447" w:rsidRDefault="00F6308C">
            <w:pPr>
              <w:pStyle w:val="TableParagraph"/>
              <w:spacing w:before="14" w:line="224" w:lineRule="exact"/>
              <w:ind w:right="100"/>
              <w:rPr>
                <w:sz w:val="20"/>
              </w:rPr>
            </w:pPr>
            <w:r>
              <w:rPr>
                <w:sz w:val="20"/>
              </w:rPr>
              <w:t>29.11</w:t>
            </w:r>
          </w:p>
        </w:tc>
      </w:tr>
      <w:tr w:rsidR="007C5447">
        <w:trPr>
          <w:trHeight w:val="261"/>
        </w:trPr>
        <w:tc>
          <w:tcPr>
            <w:tcW w:w="994" w:type="dxa"/>
          </w:tcPr>
          <w:p w:rsidR="007C5447" w:rsidRDefault="00F6308C">
            <w:pPr>
              <w:pStyle w:val="TableParagraph"/>
              <w:spacing w:before="17" w:line="224" w:lineRule="exact"/>
              <w:ind w:left="367" w:right="358"/>
              <w:jc w:val="center"/>
              <w:rPr>
                <w:sz w:val="20"/>
              </w:rPr>
            </w:pPr>
            <w:r>
              <w:rPr>
                <w:sz w:val="20"/>
              </w:rPr>
              <w:t>10</w:t>
            </w:r>
          </w:p>
        </w:tc>
        <w:tc>
          <w:tcPr>
            <w:tcW w:w="2735" w:type="dxa"/>
          </w:tcPr>
          <w:p w:rsidR="007C5447" w:rsidRDefault="00F6308C">
            <w:pPr>
              <w:pStyle w:val="TableParagraph"/>
              <w:spacing w:before="17" w:line="224" w:lineRule="exact"/>
              <w:ind w:left="107"/>
              <w:jc w:val="left"/>
              <w:rPr>
                <w:sz w:val="20"/>
              </w:rPr>
            </w:pPr>
            <w:r>
              <w:rPr>
                <w:sz w:val="20"/>
              </w:rPr>
              <w:t>Basin Bridge GTPS</w:t>
            </w:r>
          </w:p>
        </w:tc>
        <w:tc>
          <w:tcPr>
            <w:tcW w:w="1712" w:type="dxa"/>
          </w:tcPr>
          <w:p w:rsidR="007C5447" w:rsidRDefault="00F6308C">
            <w:pPr>
              <w:pStyle w:val="TableParagraph"/>
              <w:spacing w:before="17" w:line="224" w:lineRule="exact"/>
              <w:ind w:right="99"/>
              <w:rPr>
                <w:sz w:val="20"/>
              </w:rPr>
            </w:pPr>
            <w:r>
              <w:rPr>
                <w:sz w:val="20"/>
              </w:rPr>
              <w:t>32.56</w:t>
            </w:r>
          </w:p>
        </w:tc>
        <w:tc>
          <w:tcPr>
            <w:tcW w:w="1709" w:type="dxa"/>
          </w:tcPr>
          <w:p w:rsidR="007C5447" w:rsidRDefault="00F6308C">
            <w:pPr>
              <w:pStyle w:val="TableParagraph"/>
              <w:spacing w:before="17" w:line="224" w:lineRule="exact"/>
              <w:ind w:right="97"/>
              <w:rPr>
                <w:sz w:val="20"/>
              </w:rPr>
            </w:pPr>
            <w:r>
              <w:rPr>
                <w:sz w:val="20"/>
              </w:rPr>
              <w:t>34.09</w:t>
            </w:r>
          </w:p>
        </w:tc>
        <w:tc>
          <w:tcPr>
            <w:tcW w:w="1712" w:type="dxa"/>
          </w:tcPr>
          <w:p w:rsidR="007C5447" w:rsidRDefault="00F6308C">
            <w:pPr>
              <w:pStyle w:val="TableParagraph"/>
              <w:spacing w:before="17" w:line="224" w:lineRule="exact"/>
              <w:ind w:right="100"/>
              <w:rPr>
                <w:sz w:val="20"/>
              </w:rPr>
            </w:pPr>
            <w:r>
              <w:rPr>
                <w:sz w:val="20"/>
              </w:rPr>
              <w:t>34.09</w:t>
            </w:r>
          </w:p>
        </w:tc>
      </w:tr>
      <w:tr w:rsidR="007C5447">
        <w:trPr>
          <w:trHeight w:val="258"/>
        </w:trPr>
        <w:tc>
          <w:tcPr>
            <w:tcW w:w="994" w:type="dxa"/>
          </w:tcPr>
          <w:p w:rsidR="007C5447" w:rsidRDefault="00F6308C">
            <w:pPr>
              <w:pStyle w:val="TableParagraph"/>
              <w:spacing w:before="14" w:line="224" w:lineRule="exact"/>
              <w:ind w:left="367" w:right="358"/>
              <w:jc w:val="center"/>
              <w:rPr>
                <w:sz w:val="20"/>
              </w:rPr>
            </w:pPr>
            <w:r>
              <w:rPr>
                <w:sz w:val="20"/>
              </w:rPr>
              <w:t>11</w:t>
            </w:r>
          </w:p>
        </w:tc>
        <w:tc>
          <w:tcPr>
            <w:tcW w:w="2735" w:type="dxa"/>
          </w:tcPr>
          <w:p w:rsidR="007C5447" w:rsidRDefault="00F6308C">
            <w:pPr>
              <w:pStyle w:val="TableParagraph"/>
              <w:spacing w:before="14" w:line="224" w:lineRule="exact"/>
              <w:ind w:left="107"/>
              <w:jc w:val="left"/>
              <w:rPr>
                <w:sz w:val="20"/>
              </w:rPr>
            </w:pPr>
            <w:r>
              <w:rPr>
                <w:sz w:val="20"/>
              </w:rPr>
              <w:t>Valuthur GTPS</w:t>
            </w:r>
          </w:p>
        </w:tc>
        <w:tc>
          <w:tcPr>
            <w:tcW w:w="1712" w:type="dxa"/>
          </w:tcPr>
          <w:p w:rsidR="007C5447" w:rsidRDefault="00F6308C">
            <w:pPr>
              <w:pStyle w:val="TableParagraph"/>
              <w:spacing w:before="14" w:line="224" w:lineRule="exact"/>
              <w:ind w:right="99"/>
              <w:rPr>
                <w:sz w:val="20"/>
              </w:rPr>
            </w:pPr>
            <w:r>
              <w:rPr>
                <w:sz w:val="20"/>
              </w:rPr>
              <w:t>34.31</w:t>
            </w:r>
          </w:p>
        </w:tc>
        <w:tc>
          <w:tcPr>
            <w:tcW w:w="1709" w:type="dxa"/>
          </w:tcPr>
          <w:p w:rsidR="007C5447" w:rsidRDefault="00F6308C">
            <w:pPr>
              <w:pStyle w:val="TableParagraph"/>
              <w:spacing w:before="14" w:line="224" w:lineRule="exact"/>
              <w:ind w:right="97"/>
              <w:rPr>
                <w:sz w:val="20"/>
              </w:rPr>
            </w:pPr>
            <w:r>
              <w:rPr>
                <w:sz w:val="20"/>
              </w:rPr>
              <w:t>35.92</w:t>
            </w:r>
          </w:p>
        </w:tc>
        <w:tc>
          <w:tcPr>
            <w:tcW w:w="1712" w:type="dxa"/>
          </w:tcPr>
          <w:p w:rsidR="007C5447" w:rsidRDefault="00F6308C">
            <w:pPr>
              <w:pStyle w:val="TableParagraph"/>
              <w:spacing w:before="14" w:line="224" w:lineRule="exact"/>
              <w:ind w:right="100"/>
              <w:rPr>
                <w:sz w:val="20"/>
              </w:rPr>
            </w:pPr>
            <w:r>
              <w:rPr>
                <w:sz w:val="20"/>
              </w:rPr>
              <w:t>35.92</w:t>
            </w:r>
          </w:p>
        </w:tc>
      </w:tr>
      <w:tr w:rsidR="007C5447">
        <w:trPr>
          <w:trHeight w:val="261"/>
        </w:trPr>
        <w:tc>
          <w:tcPr>
            <w:tcW w:w="994" w:type="dxa"/>
          </w:tcPr>
          <w:p w:rsidR="007C5447" w:rsidRDefault="00F6308C">
            <w:pPr>
              <w:pStyle w:val="TableParagraph"/>
              <w:spacing w:before="17" w:line="224" w:lineRule="exact"/>
              <w:ind w:left="367" w:right="358"/>
              <w:jc w:val="center"/>
              <w:rPr>
                <w:sz w:val="20"/>
              </w:rPr>
            </w:pPr>
            <w:r>
              <w:rPr>
                <w:sz w:val="20"/>
              </w:rPr>
              <w:t>12</w:t>
            </w:r>
          </w:p>
        </w:tc>
        <w:tc>
          <w:tcPr>
            <w:tcW w:w="2735" w:type="dxa"/>
          </w:tcPr>
          <w:p w:rsidR="007C5447" w:rsidRDefault="00F6308C">
            <w:pPr>
              <w:pStyle w:val="TableParagraph"/>
              <w:spacing w:before="17" w:line="224" w:lineRule="exact"/>
              <w:ind w:left="107"/>
              <w:jc w:val="left"/>
              <w:rPr>
                <w:sz w:val="20"/>
              </w:rPr>
            </w:pPr>
            <w:r>
              <w:rPr>
                <w:sz w:val="20"/>
              </w:rPr>
              <w:t>Erode HEP</w:t>
            </w:r>
          </w:p>
        </w:tc>
        <w:tc>
          <w:tcPr>
            <w:tcW w:w="1712" w:type="dxa"/>
          </w:tcPr>
          <w:p w:rsidR="007C5447" w:rsidRDefault="00F6308C">
            <w:pPr>
              <w:pStyle w:val="TableParagraph"/>
              <w:spacing w:before="17" w:line="224" w:lineRule="exact"/>
              <w:ind w:right="99"/>
              <w:rPr>
                <w:sz w:val="20"/>
              </w:rPr>
            </w:pPr>
            <w:r>
              <w:rPr>
                <w:sz w:val="20"/>
              </w:rPr>
              <w:t>70.00</w:t>
            </w:r>
          </w:p>
        </w:tc>
        <w:tc>
          <w:tcPr>
            <w:tcW w:w="1709" w:type="dxa"/>
          </w:tcPr>
          <w:p w:rsidR="007C5447" w:rsidRDefault="00F6308C">
            <w:pPr>
              <w:pStyle w:val="TableParagraph"/>
              <w:spacing w:before="17" w:line="224" w:lineRule="exact"/>
              <w:ind w:right="97"/>
              <w:rPr>
                <w:sz w:val="20"/>
              </w:rPr>
            </w:pPr>
            <w:r>
              <w:rPr>
                <w:sz w:val="20"/>
              </w:rPr>
              <w:t>73.28</w:t>
            </w:r>
          </w:p>
        </w:tc>
        <w:tc>
          <w:tcPr>
            <w:tcW w:w="1712" w:type="dxa"/>
          </w:tcPr>
          <w:p w:rsidR="007C5447" w:rsidRDefault="00F6308C">
            <w:pPr>
              <w:pStyle w:val="TableParagraph"/>
              <w:spacing w:before="17" w:line="224" w:lineRule="exact"/>
              <w:ind w:right="100"/>
              <w:rPr>
                <w:sz w:val="20"/>
              </w:rPr>
            </w:pPr>
            <w:r>
              <w:rPr>
                <w:sz w:val="20"/>
              </w:rPr>
              <w:t>73.28</w:t>
            </w:r>
          </w:p>
        </w:tc>
      </w:tr>
      <w:tr w:rsidR="007C5447">
        <w:trPr>
          <w:trHeight w:val="258"/>
        </w:trPr>
        <w:tc>
          <w:tcPr>
            <w:tcW w:w="994" w:type="dxa"/>
          </w:tcPr>
          <w:p w:rsidR="007C5447" w:rsidRDefault="00F6308C">
            <w:pPr>
              <w:pStyle w:val="TableParagraph"/>
              <w:spacing w:before="14" w:line="224" w:lineRule="exact"/>
              <w:ind w:left="367" w:right="358"/>
              <w:jc w:val="center"/>
              <w:rPr>
                <w:sz w:val="20"/>
              </w:rPr>
            </w:pPr>
            <w:r>
              <w:rPr>
                <w:sz w:val="20"/>
              </w:rPr>
              <w:t>13</w:t>
            </w:r>
          </w:p>
        </w:tc>
        <w:tc>
          <w:tcPr>
            <w:tcW w:w="2735" w:type="dxa"/>
          </w:tcPr>
          <w:p w:rsidR="007C5447" w:rsidRDefault="00F6308C">
            <w:pPr>
              <w:pStyle w:val="TableParagraph"/>
              <w:spacing w:before="14" w:line="224" w:lineRule="exact"/>
              <w:ind w:left="107"/>
              <w:jc w:val="left"/>
              <w:rPr>
                <w:sz w:val="20"/>
              </w:rPr>
            </w:pPr>
            <w:r>
              <w:rPr>
                <w:sz w:val="20"/>
              </w:rPr>
              <w:t>Kadamparai HEP</w:t>
            </w:r>
          </w:p>
        </w:tc>
        <w:tc>
          <w:tcPr>
            <w:tcW w:w="1712" w:type="dxa"/>
          </w:tcPr>
          <w:p w:rsidR="007C5447" w:rsidRDefault="00F6308C">
            <w:pPr>
              <w:pStyle w:val="TableParagraph"/>
              <w:spacing w:before="14" w:line="224" w:lineRule="exact"/>
              <w:ind w:right="99"/>
              <w:rPr>
                <w:sz w:val="20"/>
              </w:rPr>
            </w:pPr>
            <w:r>
              <w:rPr>
                <w:sz w:val="20"/>
              </w:rPr>
              <w:t>22.43</w:t>
            </w:r>
          </w:p>
        </w:tc>
        <w:tc>
          <w:tcPr>
            <w:tcW w:w="1709" w:type="dxa"/>
          </w:tcPr>
          <w:p w:rsidR="007C5447" w:rsidRDefault="00F6308C">
            <w:pPr>
              <w:pStyle w:val="TableParagraph"/>
              <w:spacing w:before="14" w:line="224" w:lineRule="exact"/>
              <w:ind w:right="97"/>
              <w:rPr>
                <w:sz w:val="20"/>
              </w:rPr>
            </w:pPr>
            <w:r>
              <w:rPr>
                <w:sz w:val="20"/>
              </w:rPr>
              <w:t>23.48</w:t>
            </w:r>
          </w:p>
        </w:tc>
        <w:tc>
          <w:tcPr>
            <w:tcW w:w="1712" w:type="dxa"/>
          </w:tcPr>
          <w:p w:rsidR="007C5447" w:rsidRDefault="00F6308C">
            <w:pPr>
              <w:pStyle w:val="TableParagraph"/>
              <w:spacing w:before="14" w:line="224" w:lineRule="exact"/>
              <w:ind w:right="100"/>
              <w:rPr>
                <w:sz w:val="20"/>
              </w:rPr>
            </w:pPr>
            <w:r>
              <w:rPr>
                <w:sz w:val="20"/>
              </w:rPr>
              <w:t>23.48</w:t>
            </w:r>
          </w:p>
        </w:tc>
      </w:tr>
      <w:tr w:rsidR="007C5447">
        <w:trPr>
          <w:trHeight w:val="261"/>
        </w:trPr>
        <w:tc>
          <w:tcPr>
            <w:tcW w:w="994" w:type="dxa"/>
          </w:tcPr>
          <w:p w:rsidR="007C5447" w:rsidRDefault="00F6308C">
            <w:pPr>
              <w:pStyle w:val="TableParagraph"/>
              <w:spacing w:before="17" w:line="224" w:lineRule="exact"/>
              <w:ind w:left="367" w:right="358"/>
              <w:jc w:val="center"/>
              <w:rPr>
                <w:sz w:val="20"/>
              </w:rPr>
            </w:pPr>
            <w:r>
              <w:rPr>
                <w:sz w:val="20"/>
              </w:rPr>
              <w:t>14</w:t>
            </w:r>
          </w:p>
        </w:tc>
        <w:tc>
          <w:tcPr>
            <w:tcW w:w="2735" w:type="dxa"/>
          </w:tcPr>
          <w:p w:rsidR="007C5447" w:rsidRDefault="00F6308C">
            <w:pPr>
              <w:pStyle w:val="TableParagraph"/>
              <w:spacing w:before="17" w:line="224" w:lineRule="exact"/>
              <w:ind w:left="107"/>
              <w:jc w:val="left"/>
              <w:rPr>
                <w:sz w:val="20"/>
              </w:rPr>
            </w:pPr>
            <w:r>
              <w:rPr>
                <w:sz w:val="20"/>
              </w:rPr>
              <w:t>Kundah HEP</w:t>
            </w:r>
          </w:p>
        </w:tc>
        <w:tc>
          <w:tcPr>
            <w:tcW w:w="1712" w:type="dxa"/>
          </w:tcPr>
          <w:p w:rsidR="007C5447" w:rsidRDefault="00F6308C">
            <w:pPr>
              <w:pStyle w:val="TableParagraph"/>
              <w:spacing w:before="17" w:line="224" w:lineRule="exact"/>
              <w:ind w:right="99"/>
              <w:rPr>
                <w:sz w:val="20"/>
              </w:rPr>
            </w:pPr>
            <w:r>
              <w:rPr>
                <w:sz w:val="20"/>
              </w:rPr>
              <w:t>57.12</w:t>
            </w:r>
          </w:p>
        </w:tc>
        <w:tc>
          <w:tcPr>
            <w:tcW w:w="1709" w:type="dxa"/>
          </w:tcPr>
          <w:p w:rsidR="007C5447" w:rsidRDefault="00F6308C">
            <w:pPr>
              <w:pStyle w:val="TableParagraph"/>
              <w:spacing w:before="17" w:line="224" w:lineRule="exact"/>
              <w:ind w:right="97"/>
              <w:rPr>
                <w:sz w:val="20"/>
              </w:rPr>
            </w:pPr>
            <w:r>
              <w:rPr>
                <w:sz w:val="20"/>
              </w:rPr>
              <w:t>59.80</w:t>
            </w:r>
          </w:p>
        </w:tc>
        <w:tc>
          <w:tcPr>
            <w:tcW w:w="1712" w:type="dxa"/>
          </w:tcPr>
          <w:p w:rsidR="007C5447" w:rsidRDefault="00F6308C">
            <w:pPr>
              <w:pStyle w:val="TableParagraph"/>
              <w:spacing w:before="17" w:line="224" w:lineRule="exact"/>
              <w:ind w:right="100"/>
              <w:rPr>
                <w:sz w:val="20"/>
              </w:rPr>
            </w:pPr>
            <w:r>
              <w:rPr>
                <w:sz w:val="20"/>
              </w:rPr>
              <w:t>59.80</w:t>
            </w:r>
          </w:p>
        </w:tc>
      </w:tr>
      <w:tr w:rsidR="007C5447">
        <w:trPr>
          <w:trHeight w:val="263"/>
        </w:trPr>
        <w:tc>
          <w:tcPr>
            <w:tcW w:w="994" w:type="dxa"/>
          </w:tcPr>
          <w:p w:rsidR="007C5447" w:rsidRDefault="00F6308C">
            <w:pPr>
              <w:pStyle w:val="TableParagraph"/>
              <w:spacing w:before="17" w:line="227" w:lineRule="exact"/>
              <w:ind w:left="367" w:right="359"/>
              <w:jc w:val="center"/>
              <w:rPr>
                <w:sz w:val="20"/>
              </w:rPr>
            </w:pPr>
            <w:r>
              <w:rPr>
                <w:sz w:val="20"/>
              </w:rPr>
              <w:t>15</w:t>
            </w:r>
          </w:p>
        </w:tc>
        <w:tc>
          <w:tcPr>
            <w:tcW w:w="2735" w:type="dxa"/>
          </w:tcPr>
          <w:p w:rsidR="007C5447" w:rsidRDefault="00F6308C">
            <w:pPr>
              <w:pStyle w:val="TableParagraph"/>
              <w:spacing w:before="17" w:line="227" w:lineRule="exact"/>
              <w:ind w:left="107"/>
              <w:jc w:val="left"/>
              <w:rPr>
                <w:sz w:val="20"/>
              </w:rPr>
            </w:pPr>
            <w:r>
              <w:rPr>
                <w:sz w:val="20"/>
              </w:rPr>
              <w:t>Tirunelveli HEP</w:t>
            </w:r>
          </w:p>
        </w:tc>
        <w:tc>
          <w:tcPr>
            <w:tcW w:w="1712" w:type="dxa"/>
          </w:tcPr>
          <w:p w:rsidR="007C5447" w:rsidRDefault="00F6308C">
            <w:pPr>
              <w:pStyle w:val="TableParagraph"/>
              <w:spacing w:before="17" w:line="227" w:lineRule="exact"/>
              <w:ind w:right="99"/>
              <w:rPr>
                <w:sz w:val="20"/>
              </w:rPr>
            </w:pPr>
            <w:r>
              <w:rPr>
                <w:sz w:val="20"/>
              </w:rPr>
              <w:t>26.84</w:t>
            </w:r>
          </w:p>
        </w:tc>
        <w:tc>
          <w:tcPr>
            <w:tcW w:w="1709" w:type="dxa"/>
          </w:tcPr>
          <w:p w:rsidR="007C5447" w:rsidRDefault="00F6308C">
            <w:pPr>
              <w:pStyle w:val="TableParagraph"/>
              <w:spacing w:before="17" w:line="227" w:lineRule="exact"/>
              <w:ind w:right="97"/>
              <w:rPr>
                <w:sz w:val="20"/>
              </w:rPr>
            </w:pPr>
            <w:r>
              <w:rPr>
                <w:sz w:val="20"/>
              </w:rPr>
              <w:t>28.10</w:t>
            </w:r>
          </w:p>
        </w:tc>
        <w:tc>
          <w:tcPr>
            <w:tcW w:w="1712" w:type="dxa"/>
          </w:tcPr>
          <w:p w:rsidR="007C5447" w:rsidRDefault="00F6308C">
            <w:pPr>
              <w:pStyle w:val="TableParagraph"/>
              <w:spacing w:before="17" w:line="227" w:lineRule="exact"/>
              <w:ind w:right="100"/>
              <w:rPr>
                <w:sz w:val="20"/>
              </w:rPr>
            </w:pPr>
            <w:r>
              <w:rPr>
                <w:sz w:val="20"/>
              </w:rPr>
              <w:t>28.10</w:t>
            </w:r>
          </w:p>
        </w:tc>
      </w:tr>
      <w:tr w:rsidR="007C5447">
        <w:trPr>
          <w:trHeight w:val="261"/>
        </w:trPr>
        <w:tc>
          <w:tcPr>
            <w:tcW w:w="994" w:type="dxa"/>
          </w:tcPr>
          <w:p w:rsidR="007C5447" w:rsidRDefault="00F6308C">
            <w:pPr>
              <w:pStyle w:val="TableParagraph"/>
              <w:spacing w:before="14" w:line="227" w:lineRule="exact"/>
              <w:ind w:left="367" w:right="358"/>
              <w:jc w:val="center"/>
              <w:rPr>
                <w:b/>
                <w:sz w:val="20"/>
              </w:rPr>
            </w:pPr>
            <w:r>
              <w:rPr>
                <w:b/>
                <w:sz w:val="20"/>
              </w:rPr>
              <w:t>16</w:t>
            </w:r>
          </w:p>
        </w:tc>
        <w:tc>
          <w:tcPr>
            <w:tcW w:w="2735" w:type="dxa"/>
          </w:tcPr>
          <w:p w:rsidR="007C5447" w:rsidRDefault="00F6308C">
            <w:pPr>
              <w:pStyle w:val="TableParagraph"/>
              <w:spacing w:before="14" w:line="227" w:lineRule="exact"/>
              <w:ind w:left="107"/>
              <w:jc w:val="left"/>
              <w:rPr>
                <w:b/>
                <w:sz w:val="20"/>
              </w:rPr>
            </w:pPr>
            <w:r>
              <w:rPr>
                <w:b/>
                <w:sz w:val="20"/>
              </w:rPr>
              <w:t>Total Generation</w:t>
            </w:r>
          </w:p>
        </w:tc>
        <w:tc>
          <w:tcPr>
            <w:tcW w:w="1712" w:type="dxa"/>
          </w:tcPr>
          <w:p w:rsidR="007C5447" w:rsidRDefault="00F6308C">
            <w:pPr>
              <w:pStyle w:val="TableParagraph"/>
              <w:spacing w:before="14" w:line="227" w:lineRule="exact"/>
              <w:ind w:right="100"/>
              <w:rPr>
                <w:b/>
                <w:sz w:val="20"/>
              </w:rPr>
            </w:pPr>
            <w:r>
              <w:rPr>
                <w:b/>
                <w:w w:val="95"/>
                <w:sz w:val="20"/>
              </w:rPr>
              <w:t>842.72</w:t>
            </w:r>
          </w:p>
        </w:tc>
        <w:tc>
          <w:tcPr>
            <w:tcW w:w="1709" w:type="dxa"/>
          </w:tcPr>
          <w:p w:rsidR="007C5447" w:rsidRDefault="00F6308C">
            <w:pPr>
              <w:pStyle w:val="TableParagraph"/>
              <w:spacing w:before="14" w:line="227" w:lineRule="exact"/>
              <w:ind w:right="97"/>
              <w:rPr>
                <w:b/>
                <w:sz w:val="20"/>
              </w:rPr>
            </w:pPr>
            <w:r>
              <w:rPr>
                <w:b/>
                <w:w w:val="95"/>
                <w:sz w:val="20"/>
              </w:rPr>
              <w:t>815.42</w:t>
            </w:r>
          </w:p>
        </w:tc>
        <w:tc>
          <w:tcPr>
            <w:tcW w:w="1712" w:type="dxa"/>
          </w:tcPr>
          <w:p w:rsidR="007C5447" w:rsidRDefault="00F6308C">
            <w:pPr>
              <w:pStyle w:val="TableParagraph"/>
              <w:spacing w:before="14" w:line="227" w:lineRule="exact"/>
              <w:ind w:right="100"/>
              <w:rPr>
                <w:b/>
                <w:sz w:val="20"/>
              </w:rPr>
            </w:pPr>
            <w:r>
              <w:rPr>
                <w:b/>
                <w:w w:val="95"/>
                <w:sz w:val="20"/>
              </w:rPr>
              <w:t>929.26</w:t>
            </w:r>
          </w:p>
        </w:tc>
      </w:tr>
      <w:tr w:rsidR="007C5447">
        <w:trPr>
          <w:trHeight w:val="263"/>
        </w:trPr>
        <w:tc>
          <w:tcPr>
            <w:tcW w:w="994" w:type="dxa"/>
          </w:tcPr>
          <w:p w:rsidR="007C5447" w:rsidRDefault="00F6308C">
            <w:pPr>
              <w:pStyle w:val="TableParagraph"/>
              <w:spacing w:before="17" w:line="227" w:lineRule="exact"/>
              <w:ind w:left="367" w:right="358"/>
              <w:jc w:val="center"/>
              <w:rPr>
                <w:b/>
                <w:sz w:val="20"/>
              </w:rPr>
            </w:pPr>
            <w:r>
              <w:rPr>
                <w:b/>
                <w:sz w:val="20"/>
              </w:rPr>
              <w:t>17</w:t>
            </w:r>
          </w:p>
        </w:tc>
        <w:tc>
          <w:tcPr>
            <w:tcW w:w="2735" w:type="dxa"/>
          </w:tcPr>
          <w:p w:rsidR="007C5447" w:rsidRDefault="00F6308C">
            <w:pPr>
              <w:pStyle w:val="TableParagraph"/>
              <w:spacing w:before="17" w:line="227" w:lineRule="exact"/>
              <w:ind w:left="107"/>
              <w:jc w:val="left"/>
              <w:rPr>
                <w:b/>
                <w:sz w:val="20"/>
              </w:rPr>
            </w:pPr>
            <w:r>
              <w:rPr>
                <w:b/>
                <w:sz w:val="20"/>
              </w:rPr>
              <w:t>Distribution</w:t>
            </w:r>
          </w:p>
        </w:tc>
        <w:tc>
          <w:tcPr>
            <w:tcW w:w="1712" w:type="dxa"/>
          </w:tcPr>
          <w:p w:rsidR="007C5447" w:rsidRDefault="00F6308C">
            <w:pPr>
              <w:pStyle w:val="TableParagraph"/>
              <w:spacing w:before="17" w:line="227" w:lineRule="exact"/>
              <w:ind w:right="100"/>
              <w:rPr>
                <w:b/>
                <w:sz w:val="20"/>
              </w:rPr>
            </w:pPr>
            <w:r>
              <w:rPr>
                <w:b/>
                <w:w w:val="95"/>
                <w:sz w:val="20"/>
              </w:rPr>
              <w:t>582.32</w:t>
            </w:r>
          </w:p>
        </w:tc>
        <w:tc>
          <w:tcPr>
            <w:tcW w:w="1709" w:type="dxa"/>
          </w:tcPr>
          <w:p w:rsidR="007C5447" w:rsidRDefault="00F6308C">
            <w:pPr>
              <w:pStyle w:val="TableParagraph"/>
              <w:spacing w:before="17" w:line="227" w:lineRule="exact"/>
              <w:ind w:right="97"/>
              <w:rPr>
                <w:b/>
                <w:sz w:val="20"/>
              </w:rPr>
            </w:pPr>
            <w:r>
              <w:rPr>
                <w:b/>
                <w:w w:val="95"/>
                <w:sz w:val="20"/>
              </w:rPr>
              <w:t>609.62</w:t>
            </w:r>
          </w:p>
        </w:tc>
        <w:tc>
          <w:tcPr>
            <w:tcW w:w="1712" w:type="dxa"/>
          </w:tcPr>
          <w:p w:rsidR="007C5447" w:rsidRDefault="00F6308C">
            <w:pPr>
              <w:pStyle w:val="TableParagraph"/>
              <w:spacing w:before="17" w:line="227" w:lineRule="exact"/>
              <w:ind w:right="100"/>
              <w:rPr>
                <w:b/>
                <w:sz w:val="20"/>
              </w:rPr>
            </w:pPr>
            <w:r>
              <w:rPr>
                <w:b/>
                <w:w w:val="95"/>
                <w:sz w:val="20"/>
              </w:rPr>
              <w:t>609.62</w:t>
            </w:r>
          </w:p>
        </w:tc>
      </w:tr>
      <w:tr w:rsidR="007C5447">
        <w:trPr>
          <w:trHeight w:val="263"/>
        </w:trPr>
        <w:tc>
          <w:tcPr>
            <w:tcW w:w="994" w:type="dxa"/>
          </w:tcPr>
          <w:p w:rsidR="007C5447" w:rsidRDefault="00F6308C">
            <w:pPr>
              <w:pStyle w:val="TableParagraph"/>
              <w:spacing w:before="17" w:line="227" w:lineRule="exact"/>
              <w:ind w:left="367" w:right="358"/>
              <w:jc w:val="center"/>
              <w:rPr>
                <w:b/>
                <w:sz w:val="20"/>
              </w:rPr>
            </w:pPr>
            <w:r>
              <w:rPr>
                <w:b/>
                <w:sz w:val="20"/>
              </w:rPr>
              <w:t>18</w:t>
            </w:r>
          </w:p>
        </w:tc>
        <w:tc>
          <w:tcPr>
            <w:tcW w:w="2735" w:type="dxa"/>
          </w:tcPr>
          <w:p w:rsidR="007C5447" w:rsidRDefault="00F6308C">
            <w:pPr>
              <w:pStyle w:val="TableParagraph"/>
              <w:spacing w:before="17" w:line="227" w:lineRule="exact"/>
              <w:ind w:left="107"/>
              <w:jc w:val="left"/>
              <w:rPr>
                <w:b/>
                <w:sz w:val="20"/>
              </w:rPr>
            </w:pPr>
            <w:r>
              <w:rPr>
                <w:b/>
                <w:sz w:val="20"/>
              </w:rPr>
              <w:t>Total</w:t>
            </w:r>
          </w:p>
        </w:tc>
        <w:tc>
          <w:tcPr>
            <w:tcW w:w="1712" w:type="dxa"/>
          </w:tcPr>
          <w:p w:rsidR="007C5447" w:rsidRDefault="00F6308C">
            <w:pPr>
              <w:pStyle w:val="TableParagraph"/>
              <w:spacing w:before="17" w:line="227" w:lineRule="exact"/>
              <w:ind w:right="100"/>
              <w:rPr>
                <w:b/>
                <w:sz w:val="20"/>
              </w:rPr>
            </w:pPr>
            <w:r>
              <w:rPr>
                <w:b/>
                <w:w w:val="95"/>
                <w:sz w:val="20"/>
              </w:rPr>
              <w:t>1,425.04</w:t>
            </w:r>
          </w:p>
        </w:tc>
        <w:tc>
          <w:tcPr>
            <w:tcW w:w="1709" w:type="dxa"/>
          </w:tcPr>
          <w:p w:rsidR="007C5447" w:rsidRDefault="00F6308C">
            <w:pPr>
              <w:pStyle w:val="TableParagraph"/>
              <w:spacing w:before="17" w:line="227" w:lineRule="exact"/>
              <w:ind w:right="98"/>
              <w:rPr>
                <w:b/>
                <w:sz w:val="20"/>
              </w:rPr>
            </w:pPr>
            <w:r>
              <w:rPr>
                <w:b/>
                <w:w w:val="95"/>
                <w:sz w:val="20"/>
              </w:rPr>
              <w:t>1,425.04</w:t>
            </w:r>
          </w:p>
        </w:tc>
        <w:tc>
          <w:tcPr>
            <w:tcW w:w="1712" w:type="dxa"/>
          </w:tcPr>
          <w:p w:rsidR="007C5447" w:rsidRDefault="00F6308C">
            <w:pPr>
              <w:pStyle w:val="TableParagraph"/>
              <w:spacing w:before="17" w:line="227" w:lineRule="exact"/>
              <w:ind w:right="100"/>
              <w:rPr>
                <w:b/>
                <w:sz w:val="20"/>
              </w:rPr>
            </w:pPr>
            <w:r>
              <w:rPr>
                <w:b/>
                <w:w w:val="95"/>
                <w:sz w:val="20"/>
              </w:rPr>
              <w:t>1,538.88</w:t>
            </w:r>
          </w:p>
        </w:tc>
      </w:tr>
    </w:tbl>
    <w:p w:rsidR="007C5447" w:rsidRDefault="007C5447">
      <w:pPr>
        <w:pStyle w:val="BodyText"/>
        <w:spacing w:before="9"/>
        <w:rPr>
          <w:b/>
          <w:sz w:val="20"/>
        </w:rPr>
      </w:pPr>
    </w:p>
    <w:p w:rsidR="007C5447" w:rsidRDefault="00F6308C">
      <w:pPr>
        <w:ind w:left="1392"/>
        <w:rPr>
          <w:b/>
          <w:sz w:val="24"/>
        </w:rPr>
      </w:pPr>
      <w:r>
        <w:rPr>
          <w:b/>
          <w:sz w:val="24"/>
        </w:rPr>
        <w:t>Commission’s Views</w:t>
      </w:r>
    </w:p>
    <w:p w:rsidR="007C5447" w:rsidRDefault="00F6308C">
      <w:pPr>
        <w:pStyle w:val="ListParagraph"/>
        <w:numPr>
          <w:ilvl w:val="2"/>
          <w:numId w:val="114"/>
        </w:numPr>
        <w:tabs>
          <w:tab w:val="left" w:pos="1393"/>
        </w:tabs>
        <w:spacing w:before="204" w:line="312" w:lineRule="auto"/>
        <w:ind w:left="1392" w:right="508" w:hanging="852"/>
        <w:jc w:val="both"/>
        <w:rPr>
          <w:sz w:val="24"/>
        </w:rPr>
      </w:pPr>
      <w:r>
        <w:rPr>
          <w:sz w:val="24"/>
        </w:rPr>
        <w:t>In continuation of the approach discussed in detail in Chapter 3 of the Order, the Commission has not approved RoE for the Control Period from FY 2016-17 to FY 2018-19.</w:t>
      </w:r>
    </w:p>
    <w:p w:rsidR="007C5447" w:rsidRDefault="007C5447">
      <w:pPr>
        <w:pStyle w:val="BodyText"/>
        <w:rPr>
          <w:sz w:val="26"/>
        </w:rPr>
      </w:pPr>
    </w:p>
    <w:p w:rsidR="007C5447" w:rsidRDefault="007C5447">
      <w:pPr>
        <w:pStyle w:val="BodyText"/>
        <w:rPr>
          <w:sz w:val="26"/>
        </w:rPr>
      </w:pPr>
    </w:p>
    <w:p w:rsidR="007C5447" w:rsidRDefault="007C5447">
      <w:pPr>
        <w:pStyle w:val="BodyText"/>
        <w:spacing w:before="9"/>
        <w:rPr>
          <w:sz w:val="20"/>
        </w:rPr>
      </w:pPr>
    </w:p>
    <w:p w:rsidR="007C5447" w:rsidRDefault="00F6308C">
      <w:pPr>
        <w:pStyle w:val="Heading2"/>
        <w:numPr>
          <w:ilvl w:val="1"/>
          <w:numId w:val="114"/>
        </w:numPr>
        <w:tabs>
          <w:tab w:val="left" w:pos="1107"/>
        </w:tabs>
        <w:ind w:left="1106"/>
      </w:pPr>
      <w:bookmarkStart w:id="66" w:name="_bookmark66"/>
      <w:bookmarkEnd w:id="66"/>
      <w:r>
        <w:t>Interest on Working</w:t>
      </w:r>
      <w:r>
        <w:rPr>
          <w:spacing w:val="-2"/>
        </w:rPr>
        <w:t xml:space="preserve"> </w:t>
      </w:r>
      <w:r>
        <w:t>Capital</w:t>
      </w:r>
    </w:p>
    <w:p w:rsidR="007C5447" w:rsidRDefault="007C5447">
      <w:pPr>
        <w:pStyle w:val="BodyText"/>
        <w:spacing w:before="2"/>
        <w:rPr>
          <w:b/>
          <w:sz w:val="28"/>
        </w:rPr>
      </w:pPr>
    </w:p>
    <w:p w:rsidR="007C5447" w:rsidRDefault="00F6308C">
      <w:pPr>
        <w:pStyle w:val="ListParagraph"/>
        <w:numPr>
          <w:ilvl w:val="2"/>
          <w:numId w:val="114"/>
        </w:numPr>
        <w:tabs>
          <w:tab w:val="left" w:pos="1393"/>
        </w:tabs>
        <w:spacing w:line="312" w:lineRule="auto"/>
        <w:ind w:left="1392" w:right="509" w:hanging="852"/>
        <w:jc w:val="both"/>
        <w:rPr>
          <w:sz w:val="24"/>
        </w:rPr>
      </w:pPr>
      <w:r>
        <w:rPr>
          <w:sz w:val="24"/>
        </w:rPr>
        <w:t>TANGEDCO submitted that the IoWC for FY 2016-17 to FY 2018-19 is based on normative calculations as specified in the Tariff Regulations. Further, it has considered interest rate of 12.25% in FY 2016-17 and 11.50% for FY 2017-18 and FY</w:t>
      </w:r>
      <w:r>
        <w:rPr>
          <w:spacing w:val="-4"/>
          <w:sz w:val="24"/>
        </w:rPr>
        <w:t xml:space="preserve"> </w:t>
      </w:r>
      <w:r>
        <w:rPr>
          <w:sz w:val="24"/>
        </w:rPr>
        <w:t>2018-19.</w:t>
      </w:r>
    </w:p>
    <w:p w:rsidR="007C5447" w:rsidRDefault="007C5447">
      <w:pPr>
        <w:pStyle w:val="BodyText"/>
        <w:spacing w:before="9"/>
        <w:rPr>
          <w:sz w:val="20"/>
        </w:rPr>
      </w:pPr>
    </w:p>
    <w:p w:rsidR="007C5447" w:rsidRDefault="00F6308C">
      <w:pPr>
        <w:pStyle w:val="ListParagraph"/>
        <w:numPr>
          <w:ilvl w:val="2"/>
          <w:numId w:val="114"/>
        </w:numPr>
        <w:tabs>
          <w:tab w:val="left" w:pos="1393"/>
        </w:tabs>
        <w:spacing w:line="312" w:lineRule="auto"/>
        <w:ind w:left="1392" w:right="509" w:hanging="852"/>
        <w:jc w:val="both"/>
        <w:rPr>
          <w:sz w:val="24"/>
        </w:rPr>
      </w:pPr>
      <w:r>
        <w:rPr>
          <w:sz w:val="24"/>
        </w:rPr>
        <w:t>TANGEDCO su</w:t>
      </w:r>
      <w:r>
        <w:rPr>
          <w:sz w:val="24"/>
        </w:rPr>
        <w:t>bmitted that while calculating the IoWC for distribution function, the amount collected as security deposit has been deducted from the working capital requirement, in line with the past Tariff Order, though the calculation of IoWC as specified under the Re</w:t>
      </w:r>
      <w:r>
        <w:rPr>
          <w:sz w:val="24"/>
        </w:rPr>
        <w:t>gulations does not require the same to be</w:t>
      </w:r>
      <w:r>
        <w:rPr>
          <w:spacing w:val="-8"/>
          <w:sz w:val="24"/>
        </w:rPr>
        <w:t xml:space="preserve"> </w:t>
      </w:r>
      <w:r>
        <w:rPr>
          <w:sz w:val="24"/>
        </w:rPr>
        <w:t>deducted.</w:t>
      </w:r>
    </w:p>
    <w:p w:rsidR="007C5447" w:rsidRDefault="007C5447">
      <w:pPr>
        <w:spacing w:line="312" w:lineRule="auto"/>
        <w:jc w:val="both"/>
        <w:rPr>
          <w:sz w:val="24"/>
        </w:rPr>
        <w:sectPr w:rsidR="007C5447">
          <w:pgSz w:w="11910" w:h="16840"/>
          <w:pgMar w:top="1360" w:right="620" w:bottom="1240" w:left="900" w:header="0" w:footer="1057" w:gutter="0"/>
          <w:cols w:space="720"/>
        </w:sectPr>
      </w:pPr>
    </w:p>
    <w:p w:rsidR="007C5447" w:rsidRDefault="00F6308C">
      <w:pPr>
        <w:pStyle w:val="Heading2"/>
        <w:spacing w:before="60"/>
        <w:ind w:left="967"/>
      </w:pPr>
      <w:r>
        <w:lastRenderedPageBreak/>
        <w:t>Table 4-22: Interest on Working Capital as submitted by TANGEDCO (Rs. Crore)</w:t>
      </w:r>
    </w:p>
    <w:p w:rsidR="007C5447" w:rsidRDefault="007C5447">
      <w:pPr>
        <w:pStyle w:val="BodyText"/>
        <w:spacing w:before="3"/>
        <w:rPr>
          <w:b/>
          <w:sz w:val="7"/>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2735"/>
        <w:gridCol w:w="1712"/>
        <w:gridCol w:w="1709"/>
        <w:gridCol w:w="1712"/>
      </w:tblGrid>
      <w:tr w:rsidR="007C5447">
        <w:trPr>
          <w:trHeight w:val="311"/>
        </w:trPr>
        <w:tc>
          <w:tcPr>
            <w:tcW w:w="994" w:type="dxa"/>
            <w:vMerge w:val="restart"/>
            <w:shd w:val="clear" w:color="auto" w:fill="F7C9AC"/>
          </w:tcPr>
          <w:p w:rsidR="007C5447" w:rsidRDefault="007C5447">
            <w:pPr>
              <w:pStyle w:val="TableParagraph"/>
              <w:spacing w:before="10"/>
              <w:jc w:val="left"/>
              <w:rPr>
                <w:b/>
                <w:sz w:val="21"/>
              </w:rPr>
            </w:pPr>
          </w:p>
          <w:p w:rsidR="007C5447" w:rsidRDefault="00F6308C">
            <w:pPr>
              <w:pStyle w:val="TableParagraph"/>
              <w:spacing w:before="1"/>
              <w:ind w:left="367" w:right="359"/>
              <w:jc w:val="center"/>
              <w:rPr>
                <w:b/>
                <w:sz w:val="20"/>
              </w:rPr>
            </w:pPr>
            <w:r>
              <w:rPr>
                <w:b/>
                <w:sz w:val="20"/>
              </w:rPr>
              <w:t>Sl.</w:t>
            </w:r>
          </w:p>
        </w:tc>
        <w:tc>
          <w:tcPr>
            <w:tcW w:w="2735" w:type="dxa"/>
            <w:vMerge w:val="restart"/>
            <w:shd w:val="clear" w:color="auto" w:fill="F7C9AC"/>
          </w:tcPr>
          <w:p w:rsidR="007C5447" w:rsidRDefault="007C5447">
            <w:pPr>
              <w:pStyle w:val="TableParagraph"/>
              <w:spacing w:before="10"/>
              <w:jc w:val="left"/>
              <w:rPr>
                <w:b/>
                <w:sz w:val="21"/>
              </w:rPr>
            </w:pPr>
          </w:p>
          <w:p w:rsidR="007C5447" w:rsidRDefault="00F6308C">
            <w:pPr>
              <w:pStyle w:val="TableParagraph"/>
              <w:spacing w:before="1"/>
              <w:ind w:left="107"/>
              <w:jc w:val="left"/>
              <w:rPr>
                <w:b/>
                <w:sz w:val="20"/>
              </w:rPr>
            </w:pPr>
            <w:r>
              <w:rPr>
                <w:b/>
                <w:sz w:val="20"/>
              </w:rPr>
              <w:t>Power Station</w:t>
            </w:r>
          </w:p>
        </w:tc>
        <w:tc>
          <w:tcPr>
            <w:tcW w:w="5133" w:type="dxa"/>
            <w:gridSpan w:val="3"/>
            <w:shd w:val="clear" w:color="auto" w:fill="F7C9AC"/>
          </w:tcPr>
          <w:p w:rsidR="007C5447" w:rsidRDefault="00F6308C">
            <w:pPr>
              <w:pStyle w:val="TableParagraph"/>
              <w:spacing w:before="41"/>
              <w:ind w:left="1963" w:right="1963"/>
              <w:jc w:val="center"/>
              <w:rPr>
                <w:b/>
                <w:sz w:val="20"/>
              </w:rPr>
            </w:pPr>
            <w:r>
              <w:rPr>
                <w:b/>
                <w:sz w:val="20"/>
              </w:rPr>
              <w:t>TANGEDCO</w:t>
            </w:r>
          </w:p>
        </w:tc>
      </w:tr>
      <w:tr w:rsidR="007C5447">
        <w:trPr>
          <w:trHeight w:val="412"/>
        </w:trPr>
        <w:tc>
          <w:tcPr>
            <w:tcW w:w="994" w:type="dxa"/>
            <w:vMerge/>
            <w:tcBorders>
              <w:top w:val="nil"/>
            </w:tcBorders>
            <w:shd w:val="clear" w:color="auto" w:fill="F7C9AC"/>
          </w:tcPr>
          <w:p w:rsidR="007C5447" w:rsidRDefault="007C5447">
            <w:pPr>
              <w:rPr>
                <w:sz w:val="2"/>
                <w:szCs w:val="2"/>
              </w:rPr>
            </w:pPr>
          </w:p>
        </w:tc>
        <w:tc>
          <w:tcPr>
            <w:tcW w:w="2735" w:type="dxa"/>
            <w:vMerge/>
            <w:tcBorders>
              <w:top w:val="nil"/>
            </w:tcBorders>
            <w:shd w:val="clear" w:color="auto" w:fill="F7C9AC"/>
          </w:tcPr>
          <w:p w:rsidR="007C5447" w:rsidRDefault="007C5447">
            <w:pPr>
              <w:rPr>
                <w:sz w:val="2"/>
                <w:szCs w:val="2"/>
              </w:rPr>
            </w:pPr>
          </w:p>
        </w:tc>
        <w:tc>
          <w:tcPr>
            <w:tcW w:w="1712" w:type="dxa"/>
            <w:shd w:val="clear" w:color="auto" w:fill="F7C9AC"/>
          </w:tcPr>
          <w:p w:rsidR="007C5447" w:rsidRDefault="00F6308C">
            <w:pPr>
              <w:pStyle w:val="TableParagraph"/>
              <w:spacing w:before="91"/>
              <w:ind w:left="360"/>
              <w:jc w:val="left"/>
              <w:rPr>
                <w:b/>
                <w:sz w:val="20"/>
              </w:rPr>
            </w:pPr>
            <w:r>
              <w:rPr>
                <w:b/>
                <w:sz w:val="20"/>
              </w:rPr>
              <w:t>FY 2016-17</w:t>
            </w:r>
          </w:p>
        </w:tc>
        <w:tc>
          <w:tcPr>
            <w:tcW w:w="1709" w:type="dxa"/>
            <w:shd w:val="clear" w:color="auto" w:fill="F7C9AC"/>
          </w:tcPr>
          <w:p w:rsidR="007C5447" w:rsidRDefault="00F6308C">
            <w:pPr>
              <w:pStyle w:val="TableParagraph"/>
              <w:spacing w:before="91"/>
              <w:ind w:left="360"/>
              <w:jc w:val="left"/>
              <w:rPr>
                <w:b/>
                <w:sz w:val="20"/>
              </w:rPr>
            </w:pPr>
            <w:r>
              <w:rPr>
                <w:b/>
                <w:sz w:val="20"/>
              </w:rPr>
              <w:t>FY 2017-18</w:t>
            </w:r>
          </w:p>
        </w:tc>
        <w:tc>
          <w:tcPr>
            <w:tcW w:w="1712" w:type="dxa"/>
            <w:shd w:val="clear" w:color="auto" w:fill="F7C9AC"/>
          </w:tcPr>
          <w:p w:rsidR="007C5447" w:rsidRDefault="00F6308C">
            <w:pPr>
              <w:pStyle w:val="TableParagraph"/>
              <w:spacing w:before="91"/>
              <w:ind w:left="360"/>
              <w:jc w:val="left"/>
              <w:rPr>
                <w:b/>
                <w:sz w:val="20"/>
              </w:rPr>
            </w:pPr>
            <w:r>
              <w:rPr>
                <w:b/>
                <w:sz w:val="20"/>
              </w:rPr>
              <w:t>FY 2018-19</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1</w:t>
            </w:r>
          </w:p>
        </w:tc>
        <w:tc>
          <w:tcPr>
            <w:tcW w:w="2735" w:type="dxa"/>
          </w:tcPr>
          <w:p w:rsidR="007C5447" w:rsidRDefault="00F6308C">
            <w:pPr>
              <w:pStyle w:val="TableParagraph"/>
              <w:spacing w:before="17" w:line="224" w:lineRule="exact"/>
              <w:ind w:left="107"/>
              <w:jc w:val="left"/>
              <w:rPr>
                <w:sz w:val="20"/>
              </w:rPr>
            </w:pPr>
            <w:r>
              <w:rPr>
                <w:sz w:val="20"/>
              </w:rPr>
              <w:t>Ennore TPS</w:t>
            </w:r>
          </w:p>
        </w:tc>
        <w:tc>
          <w:tcPr>
            <w:tcW w:w="1712" w:type="dxa"/>
          </w:tcPr>
          <w:p w:rsidR="007C5447" w:rsidRDefault="00F6308C">
            <w:pPr>
              <w:pStyle w:val="TableParagraph"/>
              <w:spacing w:before="17" w:line="224" w:lineRule="exact"/>
              <w:ind w:right="99"/>
              <w:rPr>
                <w:sz w:val="20"/>
              </w:rPr>
            </w:pPr>
            <w:r>
              <w:rPr>
                <w:sz w:val="20"/>
              </w:rPr>
              <w:t>35.98</w:t>
            </w:r>
          </w:p>
        </w:tc>
        <w:tc>
          <w:tcPr>
            <w:tcW w:w="1709" w:type="dxa"/>
          </w:tcPr>
          <w:p w:rsidR="007C5447" w:rsidRDefault="00F6308C">
            <w:pPr>
              <w:pStyle w:val="TableParagraph"/>
              <w:spacing w:before="17" w:line="224" w:lineRule="exact"/>
              <w:ind w:right="97"/>
              <w:rPr>
                <w:sz w:val="20"/>
              </w:rPr>
            </w:pPr>
            <w:r>
              <w:rPr>
                <w:sz w:val="20"/>
              </w:rPr>
              <w:t>0.63</w:t>
            </w:r>
          </w:p>
        </w:tc>
        <w:tc>
          <w:tcPr>
            <w:tcW w:w="1712" w:type="dxa"/>
          </w:tcPr>
          <w:p w:rsidR="007C5447" w:rsidRDefault="00F6308C">
            <w:pPr>
              <w:pStyle w:val="TableParagraph"/>
              <w:spacing w:before="17" w:line="224" w:lineRule="exact"/>
              <w:ind w:right="100"/>
              <w:rPr>
                <w:sz w:val="20"/>
              </w:rPr>
            </w:pPr>
            <w:r>
              <w:rPr>
                <w:sz w:val="20"/>
              </w:rPr>
              <w:t>0.63</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2</w:t>
            </w:r>
          </w:p>
        </w:tc>
        <w:tc>
          <w:tcPr>
            <w:tcW w:w="2735" w:type="dxa"/>
          </w:tcPr>
          <w:p w:rsidR="007C5447" w:rsidRDefault="00F6308C">
            <w:pPr>
              <w:pStyle w:val="TableParagraph"/>
              <w:spacing w:before="14" w:line="224" w:lineRule="exact"/>
              <w:ind w:left="107"/>
              <w:jc w:val="left"/>
              <w:rPr>
                <w:sz w:val="20"/>
              </w:rPr>
            </w:pPr>
            <w:r>
              <w:rPr>
                <w:sz w:val="20"/>
              </w:rPr>
              <w:t>Tuticorin TPS</w:t>
            </w:r>
          </w:p>
        </w:tc>
        <w:tc>
          <w:tcPr>
            <w:tcW w:w="1712" w:type="dxa"/>
          </w:tcPr>
          <w:p w:rsidR="007C5447" w:rsidRDefault="00F6308C">
            <w:pPr>
              <w:pStyle w:val="TableParagraph"/>
              <w:spacing w:before="14" w:line="224" w:lineRule="exact"/>
              <w:ind w:right="100"/>
              <w:rPr>
                <w:sz w:val="20"/>
              </w:rPr>
            </w:pPr>
            <w:r>
              <w:rPr>
                <w:w w:val="95"/>
                <w:sz w:val="20"/>
              </w:rPr>
              <w:t>129.81</w:t>
            </w:r>
          </w:p>
        </w:tc>
        <w:tc>
          <w:tcPr>
            <w:tcW w:w="1709" w:type="dxa"/>
          </w:tcPr>
          <w:p w:rsidR="007C5447" w:rsidRDefault="00F6308C">
            <w:pPr>
              <w:pStyle w:val="TableParagraph"/>
              <w:spacing w:before="14" w:line="224" w:lineRule="exact"/>
              <w:ind w:right="97"/>
              <w:rPr>
                <w:sz w:val="20"/>
              </w:rPr>
            </w:pPr>
            <w:r>
              <w:rPr>
                <w:w w:val="95"/>
                <w:sz w:val="20"/>
              </w:rPr>
              <w:t>111.66</w:t>
            </w:r>
          </w:p>
        </w:tc>
        <w:tc>
          <w:tcPr>
            <w:tcW w:w="1712" w:type="dxa"/>
          </w:tcPr>
          <w:p w:rsidR="007C5447" w:rsidRDefault="00F6308C">
            <w:pPr>
              <w:pStyle w:val="TableParagraph"/>
              <w:spacing w:before="14" w:line="224" w:lineRule="exact"/>
              <w:ind w:right="100"/>
              <w:rPr>
                <w:sz w:val="20"/>
              </w:rPr>
            </w:pPr>
            <w:r>
              <w:rPr>
                <w:w w:val="95"/>
                <w:sz w:val="20"/>
              </w:rPr>
              <w:t>118.13</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3</w:t>
            </w:r>
          </w:p>
        </w:tc>
        <w:tc>
          <w:tcPr>
            <w:tcW w:w="2735" w:type="dxa"/>
          </w:tcPr>
          <w:p w:rsidR="007C5447" w:rsidRDefault="00F6308C">
            <w:pPr>
              <w:pStyle w:val="TableParagraph"/>
              <w:spacing w:before="17" w:line="224" w:lineRule="exact"/>
              <w:ind w:left="107"/>
              <w:jc w:val="left"/>
              <w:rPr>
                <w:sz w:val="20"/>
              </w:rPr>
            </w:pPr>
            <w:r>
              <w:rPr>
                <w:sz w:val="20"/>
              </w:rPr>
              <w:t>Mettur TPS</w:t>
            </w:r>
          </w:p>
        </w:tc>
        <w:tc>
          <w:tcPr>
            <w:tcW w:w="1712" w:type="dxa"/>
          </w:tcPr>
          <w:p w:rsidR="007C5447" w:rsidRDefault="00F6308C">
            <w:pPr>
              <w:pStyle w:val="TableParagraph"/>
              <w:spacing w:before="17" w:line="224" w:lineRule="exact"/>
              <w:ind w:right="100"/>
              <w:rPr>
                <w:sz w:val="20"/>
              </w:rPr>
            </w:pPr>
            <w:r>
              <w:rPr>
                <w:w w:val="95"/>
                <w:sz w:val="20"/>
              </w:rPr>
              <w:t>108.83</w:t>
            </w:r>
          </w:p>
        </w:tc>
        <w:tc>
          <w:tcPr>
            <w:tcW w:w="1709" w:type="dxa"/>
          </w:tcPr>
          <w:p w:rsidR="007C5447" w:rsidRDefault="00F6308C">
            <w:pPr>
              <w:pStyle w:val="TableParagraph"/>
              <w:spacing w:before="17" w:line="224" w:lineRule="exact"/>
              <w:ind w:right="97"/>
              <w:rPr>
                <w:sz w:val="20"/>
              </w:rPr>
            </w:pPr>
            <w:r>
              <w:rPr>
                <w:sz w:val="20"/>
              </w:rPr>
              <w:t>89.81</w:t>
            </w:r>
          </w:p>
        </w:tc>
        <w:tc>
          <w:tcPr>
            <w:tcW w:w="1712" w:type="dxa"/>
          </w:tcPr>
          <w:p w:rsidR="007C5447" w:rsidRDefault="00F6308C">
            <w:pPr>
              <w:pStyle w:val="TableParagraph"/>
              <w:spacing w:before="17" w:line="224" w:lineRule="exact"/>
              <w:ind w:right="100"/>
              <w:rPr>
                <w:sz w:val="20"/>
              </w:rPr>
            </w:pPr>
            <w:r>
              <w:rPr>
                <w:sz w:val="20"/>
              </w:rPr>
              <w:t>94.59</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4</w:t>
            </w:r>
          </w:p>
        </w:tc>
        <w:tc>
          <w:tcPr>
            <w:tcW w:w="2735" w:type="dxa"/>
          </w:tcPr>
          <w:p w:rsidR="007C5447" w:rsidRDefault="00F6308C">
            <w:pPr>
              <w:pStyle w:val="TableParagraph"/>
              <w:spacing w:before="14" w:line="224" w:lineRule="exact"/>
              <w:ind w:left="107"/>
              <w:jc w:val="left"/>
              <w:rPr>
                <w:sz w:val="20"/>
              </w:rPr>
            </w:pPr>
            <w:r>
              <w:rPr>
                <w:sz w:val="20"/>
              </w:rPr>
              <w:t>North Chennai TPS</w:t>
            </w:r>
          </w:p>
        </w:tc>
        <w:tc>
          <w:tcPr>
            <w:tcW w:w="1712" w:type="dxa"/>
          </w:tcPr>
          <w:p w:rsidR="007C5447" w:rsidRDefault="00F6308C">
            <w:pPr>
              <w:pStyle w:val="TableParagraph"/>
              <w:spacing w:before="14" w:line="224" w:lineRule="exact"/>
              <w:ind w:right="99"/>
              <w:rPr>
                <w:sz w:val="20"/>
              </w:rPr>
            </w:pPr>
            <w:r>
              <w:rPr>
                <w:sz w:val="20"/>
              </w:rPr>
              <w:t>74.74</w:t>
            </w:r>
          </w:p>
        </w:tc>
        <w:tc>
          <w:tcPr>
            <w:tcW w:w="1709" w:type="dxa"/>
          </w:tcPr>
          <w:p w:rsidR="007C5447" w:rsidRDefault="00F6308C">
            <w:pPr>
              <w:pStyle w:val="TableParagraph"/>
              <w:spacing w:before="14" w:line="224" w:lineRule="exact"/>
              <w:ind w:right="97"/>
              <w:rPr>
                <w:sz w:val="20"/>
              </w:rPr>
            </w:pPr>
            <w:r>
              <w:rPr>
                <w:sz w:val="20"/>
              </w:rPr>
              <w:t>66.05</w:t>
            </w:r>
          </w:p>
        </w:tc>
        <w:tc>
          <w:tcPr>
            <w:tcW w:w="1712" w:type="dxa"/>
          </w:tcPr>
          <w:p w:rsidR="007C5447" w:rsidRDefault="00F6308C">
            <w:pPr>
              <w:pStyle w:val="TableParagraph"/>
              <w:spacing w:before="14" w:line="224" w:lineRule="exact"/>
              <w:ind w:right="100"/>
              <w:rPr>
                <w:sz w:val="20"/>
              </w:rPr>
            </w:pPr>
            <w:r>
              <w:rPr>
                <w:sz w:val="20"/>
              </w:rPr>
              <w:t>72.53</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5</w:t>
            </w:r>
          </w:p>
        </w:tc>
        <w:tc>
          <w:tcPr>
            <w:tcW w:w="2735" w:type="dxa"/>
          </w:tcPr>
          <w:p w:rsidR="007C5447" w:rsidRDefault="00F6308C">
            <w:pPr>
              <w:pStyle w:val="TableParagraph"/>
              <w:spacing w:before="17" w:line="224" w:lineRule="exact"/>
              <w:ind w:left="107"/>
              <w:jc w:val="left"/>
              <w:rPr>
                <w:sz w:val="20"/>
              </w:rPr>
            </w:pPr>
            <w:r>
              <w:rPr>
                <w:sz w:val="20"/>
              </w:rPr>
              <w:t>Mettur TPS Stage III</w:t>
            </w:r>
          </w:p>
        </w:tc>
        <w:tc>
          <w:tcPr>
            <w:tcW w:w="1712" w:type="dxa"/>
          </w:tcPr>
          <w:p w:rsidR="007C5447" w:rsidRDefault="00F6308C">
            <w:pPr>
              <w:pStyle w:val="TableParagraph"/>
              <w:spacing w:before="17" w:line="224" w:lineRule="exact"/>
              <w:ind w:right="99"/>
              <w:rPr>
                <w:sz w:val="20"/>
              </w:rPr>
            </w:pPr>
            <w:r>
              <w:rPr>
                <w:sz w:val="20"/>
              </w:rPr>
              <w:t>77.25</w:t>
            </w:r>
          </w:p>
        </w:tc>
        <w:tc>
          <w:tcPr>
            <w:tcW w:w="1709" w:type="dxa"/>
          </w:tcPr>
          <w:p w:rsidR="007C5447" w:rsidRDefault="00F6308C">
            <w:pPr>
              <w:pStyle w:val="TableParagraph"/>
              <w:spacing w:before="17" w:line="224" w:lineRule="exact"/>
              <w:ind w:right="97"/>
              <w:rPr>
                <w:sz w:val="20"/>
              </w:rPr>
            </w:pPr>
            <w:r>
              <w:rPr>
                <w:sz w:val="20"/>
              </w:rPr>
              <w:t>71.17</w:t>
            </w:r>
          </w:p>
        </w:tc>
        <w:tc>
          <w:tcPr>
            <w:tcW w:w="1712" w:type="dxa"/>
          </w:tcPr>
          <w:p w:rsidR="007C5447" w:rsidRDefault="00F6308C">
            <w:pPr>
              <w:pStyle w:val="TableParagraph"/>
              <w:spacing w:before="17" w:line="224" w:lineRule="exact"/>
              <w:ind w:right="100"/>
              <w:rPr>
                <w:sz w:val="20"/>
              </w:rPr>
            </w:pPr>
            <w:r>
              <w:rPr>
                <w:sz w:val="20"/>
              </w:rPr>
              <w:t>74.10</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6</w:t>
            </w:r>
          </w:p>
        </w:tc>
        <w:tc>
          <w:tcPr>
            <w:tcW w:w="2735" w:type="dxa"/>
          </w:tcPr>
          <w:p w:rsidR="007C5447" w:rsidRDefault="00F6308C">
            <w:pPr>
              <w:pStyle w:val="TableParagraph"/>
              <w:spacing w:before="14" w:line="224" w:lineRule="exact"/>
              <w:ind w:left="107"/>
              <w:jc w:val="left"/>
              <w:rPr>
                <w:sz w:val="20"/>
              </w:rPr>
            </w:pPr>
            <w:r>
              <w:rPr>
                <w:sz w:val="20"/>
              </w:rPr>
              <w:t>North Chennai TPS II</w:t>
            </w:r>
          </w:p>
        </w:tc>
        <w:tc>
          <w:tcPr>
            <w:tcW w:w="1712" w:type="dxa"/>
          </w:tcPr>
          <w:p w:rsidR="007C5447" w:rsidRDefault="00F6308C">
            <w:pPr>
              <w:pStyle w:val="TableParagraph"/>
              <w:spacing w:before="14" w:line="224" w:lineRule="exact"/>
              <w:ind w:right="99"/>
              <w:rPr>
                <w:sz w:val="20"/>
              </w:rPr>
            </w:pPr>
            <w:r>
              <w:rPr>
                <w:sz w:val="20"/>
              </w:rPr>
              <w:t>92.81</w:t>
            </w:r>
          </w:p>
        </w:tc>
        <w:tc>
          <w:tcPr>
            <w:tcW w:w="1709" w:type="dxa"/>
          </w:tcPr>
          <w:p w:rsidR="007C5447" w:rsidRDefault="00F6308C">
            <w:pPr>
              <w:pStyle w:val="TableParagraph"/>
              <w:spacing w:before="14" w:line="224" w:lineRule="exact"/>
              <w:ind w:right="97"/>
              <w:rPr>
                <w:sz w:val="20"/>
              </w:rPr>
            </w:pPr>
            <w:r>
              <w:rPr>
                <w:w w:val="95"/>
                <w:sz w:val="20"/>
              </w:rPr>
              <w:t>113.32</w:t>
            </w:r>
          </w:p>
        </w:tc>
        <w:tc>
          <w:tcPr>
            <w:tcW w:w="1712" w:type="dxa"/>
          </w:tcPr>
          <w:p w:rsidR="007C5447" w:rsidRDefault="00F6308C">
            <w:pPr>
              <w:pStyle w:val="TableParagraph"/>
              <w:spacing w:before="14" w:line="224" w:lineRule="exact"/>
              <w:ind w:right="100"/>
              <w:rPr>
                <w:sz w:val="20"/>
              </w:rPr>
            </w:pPr>
            <w:r>
              <w:rPr>
                <w:w w:val="95"/>
                <w:sz w:val="20"/>
              </w:rPr>
              <w:t>117.56</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7</w:t>
            </w:r>
          </w:p>
        </w:tc>
        <w:tc>
          <w:tcPr>
            <w:tcW w:w="2735" w:type="dxa"/>
          </w:tcPr>
          <w:p w:rsidR="007C5447" w:rsidRDefault="00F6308C">
            <w:pPr>
              <w:pStyle w:val="TableParagraph"/>
              <w:spacing w:before="17" w:line="224" w:lineRule="exact"/>
              <w:ind w:left="107"/>
              <w:jc w:val="left"/>
              <w:rPr>
                <w:sz w:val="20"/>
              </w:rPr>
            </w:pPr>
            <w:r>
              <w:rPr>
                <w:sz w:val="20"/>
              </w:rPr>
              <w:t>Ennore Expansion II</w:t>
            </w:r>
          </w:p>
        </w:tc>
        <w:tc>
          <w:tcPr>
            <w:tcW w:w="1712" w:type="dxa"/>
          </w:tcPr>
          <w:p w:rsidR="007C5447" w:rsidRDefault="00F6308C">
            <w:pPr>
              <w:pStyle w:val="TableParagraph"/>
              <w:spacing w:before="17" w:line="224" w:lineRule="exact"/>
              <w:ind w:right="101"/>
              <w:rPr>
                <w:sz w:val="20"/>
              </w:rPr>
            </w:pPr>
            <w:r>
              <w:rPr>
                <w:w w:val="99"/>
                <w:sz w:val="20"/>
              </w:rPr>
              <w:t>-</w:t>
            </w:r>
          </w:p>
        </w:tc>
        <w:tc>
          <w:tcPr>
            <w:tcW w:w="1709" w:type="dxa"/>
          </w:tcPr>
          <w:p w:rsidR="007C5447" w:rsidRDefault="00F6308C">
            <w:pPr>
              <w:pStyle w:val="TableParagraph"/>
              <w:spacing w:before="17" w:line="224" w:lineRule="exact"/>
              <w:ind w:right="98"/>
              <w:rPr>
                <w:sz w:val="20"/>
              </w:rPr>
            </w:pPr>
            <w:r>
              <w:rPr>
                <w:w w:val="99"/>
                <w:sz w:val="20"/>
              </w:rPr>
              <w:t>-</w:t>
            </w:r>
          </w:p>
        </w:tc>
        <w:tc>
          <w:tcPr>
            <w:tcW w:w="1712" w:type="dxa"/>
          </w:tcPr>
          <w:p w:rsidR="007C5447" w:rsidRDefault="00F6308C">
            <w:pPr>
              <w:pStyle w:val="TableParagraph"/>
              <w:spacing w:before="17" w:line="224" w:lineRule="exact"/>
              <w:ind w:right="100"/>
              <w:rPr>
                <w:sz w:val="20"/>
              </w:rPr>
            </w:pPr>
            <w:r>
              <w:rPr>
                <w:sz w:val="20"/>
              </w:rPr>
              <w:t>45.21</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8</w:t>
            </w:r>
          </w:p>
        </w:tc>
        <w:tc>
          <w:tcPr>
            <w:tcW w:w="2735" w:type="dxa"/>
          </w:tcPr>
          <w:p w:rsidR="007C5447" w:rsidRDefault="00F6308C">
            <w:pPr>
              <w:pStyle w:val="TableParagraph"/>
              <w:spacing w:before="14" w:line="224" w:lineRule="exact"/>
              <w:ind w:left="107"/>
              <w:jc w:val="left"/>
              <w:rPr>
                <w:sz w:val="20"/>
              </w:rPr>
            </w:pPr>
            <w:r>
              <w:rPr>
                <w:sz w:val="20"/>
              </w:rPr>
              <w:t>Tirumakottai GTPS</w:t>
            </w:r>
          </w:p>
        </w:tc>
        <w:tc>
          <w:tcPr>
            <w:tcW w:w="1712" w:type="dxa"/>
          </w:tcPr>
          <w:p w:rsidR="007C5447" w:rsidRDefault="00F6308C">
            <w:pPr>
              <w:pStyle w:val="TableParagraph"/>
              <w:spacing w:before="14" w:line="224" w:lineRule="exact"/>
              <w:ind w:right="99"/>
              <w:rPr>
                <w:sz w:val="20"/>
              </w:rPr>
            </w:pPr>
            <w:r>
              <w:rPr>
                <w:sz w:val="20"/>
              </w:rPr>
              <w:t>13.27</w:t>
            </w:r>
          </w:p>
        </w:tc>
        <w:tc>
          <w:tcPr>
            <w:tcW w:w="1709" w:type="dxa"/>
          </w:tcPr>
          <w:p w:rsidR="007C5447" w:rsidRDefault="00F6308C">
            <w:pPr>
              <w:pStyle w:val="TableParagraph"/>
              <w:spacing w:before="14" w:line="224" w:lineRule="exact"/>
              <w:ind w:right="97"/>
              <w:rPr>
                <w:sz w:val="20"/>
              </w:rPr>
            </w:pPr>
            <w:r>
              <w:rPr>
                <w:sz w:val="20"/>
              </w:rPr>
              <w:t>11.39</w:t>
            </w:r>
          </w:p>
        </w:tc>
        <w:tc>
          <w:tcPr>
            <w:tcW w:w="1712" w:type="dxa"/>
          </w:tcPr>
          <w:p w:rsidR="007C5447" w:rsidRDefault="00F6308C">
            <w:pPr>
              <w:pStyle w:val="TableParagraph"/>
              <w:spacing w:before="14" w:line="224" w:lineRule="exact"/>
              <w:ind w:right="100"/>
              <w:rPr>
                <w:sz w:val="20"/>
              </w:rPr>
            </w:pPr>
            <w:r>
              <w:rPr>
                <w:sz w:val="20"/>
              </w:rPr>
              <w:t>12.21</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9</w:t>
            </w:r>
          </w:p>
        </w:tc>
        <w:tc>
          <w:tcPr>
            <w:tcW w:w="2735" w:type="dxa"/>
          </w:tcPr>
          <w:p w:rsidR="007C5447" w:rsidRDefault="00F6308C">
            <w:pPr>
              <w:pStyle w:val="TableParagraph"/>
              <w:spacing w:before="17" w:line="224" w:lineRule="exact"/>
              <w:ind w:left="107"/>
              <w:jc w:val="left"/>
              <w:rPr>
                <w:sz w:val="20"/>
              </w:rPr>
            </w:pPr>
            <w:r>
              <w:rPr>
                <w:sz w:val="20"/>
              </w:rPr>
              <w:t>Kuttalam GTPS</w:t>
            </w:r>
          </w:p>
        </w:tc>
        <w:tc>
          <w:tcPr>
            <w:tcW w:w="1712" w:type="dxa"/>
          </w:tcPr>
          <w:p w:rsidR="007C5447" w:rsidRDefault="00F6308C">
            <w:pPr>
              <w:pStyle w:val="TableParagraph"/>
              <w:spacing w:before="17" w:line="224" w:lineRule="exact"/>
              <w:ind w:right="99"/>
              <w:rPr>
                <w:sz w:val="20"/>
              </w:rPr>
            </w:pPr>
            <w:r>
              <w:rPr>
                <w:sz w:val="20"/>
              </w:rPr>
              <w:t>12.02</w:t>
            </w:r>
          </w:p>
        </w:tc>
        <w:tc>
          <w:tcPr>
            <w:tcW w:w="1709" w:type="dxa"/>
          </w:tcPr>
          <w:p w:rsidR="007C5447" w:rsidRDefault="00F6308C">
            <w:pPr>
              <w:pStyle w:val="TableParagraph"/>
              <w:spacing w:before="17" w:line="224" w:lineRule="exact"/>
              <w:ind w:right="97"/>
              <w:rPr>
                <w:sz w:val="20"/>
              </w:rPr>
            </w:pPr>
            <w:r>
              <w:rPr>
                <w:sz w:val="20"/>
              </w:rPr>
              <w:t>10.35</w:t>
            </w:r>
          </w:p>
        </w:tc>
        <w:tc>
          <w:tcPr>
            <w:tcW w:w="1712" w:type="dxa"/>
          </w:tcPr>
          <w:p w:rsidR="007C5447" w:rsidRDefault="00F6308C">
            <w:pPr>
              <w:pStyle w:val="TableParagraph"/>
              <w:spacing w:before="17" w:line="224" w:lineRule="exact"/>
              <w:ind w:right="100"/>
              <w:rPr>
                <w:sz w:val="20"/>
              </w:rPr>
            </w:pPr>
            <w:r>
              <w:rPr>
                <w:sz w:val="20"/>
              </w:rPr>
              <w:t>10.84</w:t>
            </w:r>
          </w:p>
        </w:tc>
      </w:tr>
      <w:tr w:rsidR="007C5447">
        <w:trPr>
          <w:trHeight w:val="258"/>
        </w:trPr>
        <w:tc>
          <w:tcPr>
            <w:tcW w:w="994" w:type="dxa"/>
          </w:tcPr>
          <w:p w:rsidR="007C5447" w:rsidRDefault="00F6308C">
            <w:pPr>
              <w:pStyle w:val="TableParagraph"/>
              <w:spacing w:before="14" w:line="224" w:lineRule="exact"/>
              <w:ind w:left="367" w:right="358"/>
              <w:jc w:val="center"/>
              <w:rPr>
                <w:sz w:val="20"/>
              </w:rPr>
            </w:pPr>
            <w:r>
              <w:rPr>
                <w:sz w:val="20"/>
              </w:rPr>
              <w:t>10</w:t>
            </w:r>
          </w:p>
        </w:tc>
        <w:tc>
          <w:tcPr>
            <w:tcW w:w="2735" w:type="dxa"/>
          </w:tcPr>
          <w:p w:rsidR="007C5447" w:rsidRDefault="00F6308C">
            <w:pPr>
              <w:pStyle w:val="TableParagraph"/>
              <w:spacing w:before="14" w:line="224" w:lineRule="exact"/>
              <w:ind w:left="107"/>
              <w:jc w:val="left"/>
              <w:rPr>
                <w:sz w:val="20"/>
              </w:rPr>
            </w:pPr>
            <w:r>
              <w:rPr>
                <w:sz w:val="20"/>
              </w:rPr>
              <w:t>Basin Bridge GTPS</w:t>
            </w:r>
          </w:p>
        </w:tc>
        <w:tc>
          <w:tcPr>
            <w:tcW w:w="1712" w:type="dxa"/>
          </w:tcPr>
          <w:p w:rsidR="007C5447" w:rsidRDefault="00F6308C">
            <w:pPr>
              <w:pStyle w:val="TableParagraph"/>
              <w:spacing w:before="14" w:line="224" w:lineRule="exact"/>
              <w:ind w:right="99"/>
              <w:rPr>
                <w:sz w:val="20"/>
              </w:rPr>
            </w:pPr>
            <w:r>
              <w:rPr>
                <w:sz w:val="20"/>
              </w:rPr>
              <w:t>11.77</w:t>
            </w:r>
          </w:p>
        </w:tc>
        <w:tc>
          <w:tcPr>
            <w:tcW w:w="1709" w:type="dxa"/>
          </w:tcPr>
          <w:p w:rsidR="007C5447" w:rsidRDefault="00F6308C">
            <w:pPr>
              <w:pStyle w:val="TableParagraph"/>
              <w:spacing w:before="14" w:line="224" w:lineRule="exact"/>
              <w:ind w:right="97"/>
              <w:rPr>
                <w:sz w:val="20"/>
              </w:rPr>
            </w:pPr>
            <w:r>
              <w:rPr>
                <w:sz w:val="20"/>
              </w:rPr>
              <w:t>10.90</w:t>
            </w:r>
          </w:p>
        </w:tc>
        <w:tc>
          <w:tcPr>
            <w:tcW w:w="1712" w:type="dxa"/>
          </w:tcPr>
          <w:p w:rsidR="007C5447" w:rsidRDefault="00F6308C">
            <w:pPr>
              <w:pStyle w:val="TableParagraph"/>
              <w:spacing w:before="14" w:line="224" w:lineRule="exact"/>
              <w:ind w:right="100"/>
              <w:rPr>
                <w:sz w:val="20"/>
              </w:rPr>
            </w:pPr>
            <w:r>
              <w:rPr>
                <w:sz w:val="20"/>
              </w:rPr>
              <w:t>10.76</w:t>
            </w:r>
          </w:p>
        </w:tc>
      </w:tr>
      <w:tr w:rsidR="007C5447">
        <w:trPr>
          <w:trHeight w:val="261"/>
        </w:trPr>
        <w:tc>
          <w:tcPr>
            <w:tcW w:w="994" w:type="dxa"/>
          </w:tcPr>
          <w:p w:rsidR="007C5447" w:rsidRDefault="00F6308C">
            <w:pPr>
              <w:pStyle w:val="TableParagraph"/>
              <w:spacing w:before="17" w:line="224" w:lineRule="exact"/>
              <w:ind w:left="367" w:right="358"/>
              <w:jc w:val="center"/>
              <w:rPr>
                <w:sz w:val="20"/>
              </w:rPr>
            </w:pPr>
            <w:r>
              <w:rPr>
                <w:sz w:val="20"/>
              </w:rPr>
              <w:t>11</w:t>
            </w:r>
          </w:p>
        </w:tc>
        <w:tc>
          <w:tcPr>
            <w:tcW w:w="2735" w:type="dxa"/>
          </w:tcPr>
          <w:p w:rsidR="007C5447" w:rsidRDefault="00F6308C">
            <w:pPr>
              <w:pStyle w:val="TableParagraph"/>
              <w:spacing w:before="17" w:line="224" w:lineRule="exact"/>
              <w:ind w:left="107"/>
              <w:jc w:val="left"/>
              <w:rPr>
                <w:sz w:val="20"/>
              </w:rPr>
            </w:pPr>
            <w:r>
              <w:rPr>
                <w:sz w:val="20"/>
              </w:rPr>
              <w:t>Valuthur GTPS</w:t>
            </w:r>
          </w:p>
        </w:tc>
        <w:tc>
          <w:tcPr>
            <w:tcW w:w="1712" w:type="dxa"/>
          </w:tcPr>
          <w:p w:rsidR="007C5447" w:rsidRDefault="00F6308C">
            <w:pPr>
              <w:pStyle w:val="TableParagraph"/>
              <w:spacing w:before="17" w:line="224" w:lineRule="exact"/>
              <w:ind w:right="99"/>
              <w:rPr>
                <w:sz w:val="20"/>
              </w:rPr>
            </w:pPr>
            <w:r>
              <w:rPr>
                <w:sz w:val="20"/>
              </w:rPr>
              <w:t>14.55</w:t>
            </w:r>
          </w:p>
        </w:tc>
        <w:tc>
          <w:tcPr>
            <w:tcW w:w="1709" w:type="dxa"/>
          </w:tcPr>
          <w:p w:rsidR="007C5447" w:rsidRDefault="00F6308C">
            <w:pPr>
              <w:pStyle w:val="TableParagraph"/>
              <w:spacing w:before="17" w:line="224" w:lineRule="exact"/>
              <w:ind w:right="97"/>
              <w:rPr>
                <w:sz w:val="20"/>
              </w:rPr>
            </w:pPr>
            <w:r>
              <w:rPr>
                <w:sz w:val="20"/>
              </w:rPr>
              <w:t>18.49</w:t>
            </w:r>
          </w:p>
        </w:tc>
        <w:tc>
          <w:tcPr>
            <w:tcW w:w="1712" w:type="dxa"/>
          </w:tcPr>
          <w:p w:rsidR="007C5447" w:rsidRDefault="00F6308C">
            <w:pPr>
              <w:pStyle w:val="TableParagraph"/>
              <w:spacing w:before="17" w:line="224" w:lineRule="exact"/>
              <w:ind w:right="100"/>
              <w:rPr>
                <w:sz w:val="20"/>
              </w:rPr>
            </w:pPr>
            <w:r>
              <w:rPr>
                <w:sz w:val="20"/>
              </w:rPr>
              <w:t>19.75</w:t>
            </w:r>
          </w:p>
        </w:tc>
      </w:tr>
      <w:tr w:rsidR="007C5447">
        <w:trPr>
          <w:trHeight w:val="258"/>
        </w:trPr>
        <w:tc>
          <w:tcPr>
            <w:tcW w:w="994" w:type="dxa"/>
          </w:tcPr>
          <w:p w:rsidR="007C5447" w:rsidRDefault="00F6308C">
            <w:pPr>
              <w:pStyle w:val="TableParagraph"/>
              <w:spacing w:before="14" w:line="224" w:lineRule="exact"/>
              <w:ind w:left="367" w:right="358"/>
              <w:jc w:val="center"/>
              <w:rPr>
                <w:sz w:val="20"/>
              </w:rPr>
            </w:pPr>
            <w:r>
              <w:rPr>
                <w:sz w:val="20"/>
              </w:rPr>
              <w:t>12</w:t>
            </w:r>
          </w:p>
        </w:tc>
        <w:tc>
          <w:tcPr>
            <w:tcW w:w="2735" w:type="dxa"/>
          </w:tcPr>
          <w:p w:rsidR="007C5447" w:rsidRDefault="00F6308C">
            <w:pPr>
              <w:pStyle w:val="TableParagraph"/>
              <w:spacing w:before="14" w:line="224" w:lineRule="exact"/>
              <w:ind w:left="107"/>
              <w:jc w:val="left"/>
              <w:rPr>
                <w:sz w:val="20"/>
              </w:rPr>
            </w:pPr>
            <w:r>
              <w:rPr>
                <w:sz w:val="20"/>
              </w:rPr>
              <w:t>Erode HEP</w:t>
            </w:r>
          </w:p>
        </w:tc>
        <w:tc>
          <w:tcPr>
            <w:tcW w:w="1712" w:type="dxa"/>
          </w:tcPr>
          <w:p w:rsidR="007C5447" w:rsidRDefault="00F6308C">
            <w:pPr>
              <w:pStyle w:val="TableParagraph"/>
              <w:spacing w:before="14" w:line="224" w:lineRule="exact"/>
              <w:ind w:right="99"/>
              <w:rPr>
                <w:sz w:val="20"/>
              </w:rPr>
            </w:pPr>
            <w:r>
              <w:rPr>
                <w:sz w:val="20"/>
              </w:rPr>
              <w:t>6.20</w:t>
            </w:r>
          </w:p>
        </w:tc>
        <w:tc>
          <w:tcPr>
            <w:tcW w:w="1709" w:type="dxa"/>
          </w:tcPr>
          <w:p w:rsidR="007C5447" w:rsidRDefault="00F6308C">
            <w:pPr>
              <w:pStyle w:val="TableParagraph"/>
              <w:spacing w:before="14" w:line="224" w:lineRule="exact"/>
              <w:ind w:right="97"/>
              <w:rPr>
                <w:sz w:val="20"/>
              </w:rPr>
            </w:pPr>
            <w:r>
              <w:rPr>
                <w:sz w:val="20"/>
              </w:rPr>
              <w:t>3.82</w:t>
            </w:r>
          </w:p>
        </w:tc>
        <w:tc>
          <w:tcPr>
            <w:tcW w:w="1712" w:type="dxa"/>
          </w:tcPr>
          <w:p w:rsidR="007C5447" w:rsidRDefault="00F6308C">
            <w:pPr>
              <w:pStyle w:val="TableParagraph"/>
              <w:spacing w:before="14" w:line="224" w:lineRule="exact"/>
              <w:ind w:right="100"/>
              <w:rPr>
                <w:sz w:val="20"/>
              </w:rPr>
            </w:pPr>
            <w:r>
              <w:rPr>
                <w:sz w:val="20"/>
              </w:rPr>
              <w:t>4.21</w:t>
            </w:r>
          </w:p>
        </w:tc>
      </w:tr>
      <w:tr w:rsidR="007C5447">
        <w:trPr>
          <w:trHeight w:val="261"/>
        </w:trPr>
        <w:tc>
          <w:tcPr>
            <w:tcW w:w="994" w:type="dxa"/>
          </w:tcPr>
          <w:p w:rsidR="007C5447" w:rsidRDefault="00F6308C">
            <w:pPr>
              <w:pStyle w:val="TableParagraph"/>
              <w:spacing w:before="17" w:line="224" w:lineRule="exact"/>
              <w:ind w:left="367" w:right="358"/>
              <w:jc w:val="center"/>
              <w:rPr>
                <w:sz w:val="20"/>
              </w:rPr>
            </w:pPr>
            <w:r>
              <w:rPr>
                <w:sz w:val="20"/>
              </w:rPr>
              <w:t>13</w:t>
            </w:r>
          </w:p>
        </w:tc>
        <w:tc>
          <w:tcPr>
            <w:tcW w:w="2735" w:type="dxa"/>
          </w:tcPr>
          <w:p w:rsidR="007C5447" w:rsidRDefault="00F6308C">
            <w:pPr>
              <w:pStyle w:val="TableParagraph"/>
              <w:spacing w:before="17" w:line="224" w:lineRule="exact"/>
              <w:ind w:left="107"/>
              <w:jc w:val="left"/>
              <w:rPr>
                <w:sz w:val="20"/>
              </w:rPr>
            </w:pPr>
            <w:r>
              <w:rPr>
                <w:sz w:val="20"/>
              </w:rPr>
              <w:t>Kadamparai HEP</w:t>
            </w:r>
          </w:p>
        </w:tc>
        <w:tc>
          <w:tcPr>
            <w:tcW w:w="1712" w:type="dxa"/>
          </w:tcPr>
          <w:p w:rsidR="007C5447" w:rsidRDefault="00F6308C">
            <w:pPr>
              <w:pStyle w:val="TableParagraph"/>
              <w:spacing w:before="17" w:line="224" w:lineRule="exact"/>
              <w:ind w:right="99"/>
              <w:rPr>
                <w:sz w:val="20"/>
              </w:rPr>
            </w:pPr>
            <w:r>
              <w:rPr>
                <w:sz w:val="20"/>
              </w:rPr>
              <w:t>6.28</w:t>
            </w:r>
          </w:p>
        </w:tc>
        <w:tc>
          <w:tcPr>
            <w:tcW w:w="1709" w:type="dxa"/>
          </w:tcPr>
          <w:p w:rsidR="007C5447" w:rsidRDefault="00F6308C">
            <w:pPr>
              <w:pStyle w:val="TableParagraph"/>
              <w:spacing w:before="17" w:line="224" w:lineRule="exact"/>
              <w:ind w:right="97"/>
              <w:rPr>
                <w:sz w:val="20"/>
              </w:rPr>
            </w:pPr>
            <w:r>
              <w:rPr>
                <w:sz w:val="20"/>
              </w:rPr>
              <w:t>3.92</w:t>
            </w:r>
          </w:p>
        </w:tc>
        <w:tc>
          <w:tcPr>
            <w:tcW w:w="1712" w:type="dxa"/>
          </w:tcPr>
          <w:p w:rsidR="007C5447" w:rsidRDefault="00F6308C">
            <w:pPr>
              <w:pStyle w:val="TableParagraph"/>
              <w:spacing w:before="17" w:line="224" w:lineRule="exact"/>
              <w:ind w:right="100"/>
              <w:rPr>
                <w:sz w:val="20"/>
              </w:rPr>
            </w:pPr>
            <w:r>
              <w:rPr>
                <w:sz w:val="20"/>
              </w:rPr>
              <w:t>4.51</w:t>
            </w:r>
          </w:p>
        </w:tc>
      </w:tr>
      <w:tr w:rsidR="007C5447">
        <w:trPr>
          <w:trHeight w:val="258"/>
        </w:trPr>
        <w:tc>
          <w:tcPr>
            <w:tcW w:w="994" w:type="dxa"/>
          </w:tcPr>
          <w:p w:rsidR="007C5447" w:rsidRDefault="00F6308C">
            <w:pPr>
              <w:pStyle w:val="TableParagraph"/>
              <w:spacing w:before="14" w:line="224" w:lineRule="exact"/>
              <w:ind w:left="367" w:right="358"/>
              <w:jc w:val="center"/>
              <w:rPr>
                <w:sz w:val="20"/>
              </w:rPr>
            </w:pPr>
            <w:r>
              <w:rPr>
                <w:sz w:val="20"/>
              </w:rPr>
              <w:t>14</w:t>
            </w:r>
          </w:p>
        </w:tc>
        <w:tc>
          <w:tcPr>
            <w:tcW w:w="2735" w:type="dxa"/>
          </w:tcPr>
          <w:p w:rsidR="007C5447" w:rsidRDefault="00F6308C">
            <w:pPr>
              <w:pStyle w:val="TableParagraph"/>
              <w:spacing w:before="14" w:line="224" w:lineRule="exact"/>
              <w:ind w:left="107"/>
              <w:jc w:val="left"/>
              <w:rPr>
                <w:sz w:val="20"/>
              </w:rPr>
            </w:pPr>
            <w:r>
              <w:rPr>
                <w:sz w:val="20"/>
              </w:rPr>
              <w:t>Kundah HEP</w:t>
            </w:r>
          </w:p>
        </w:tc>
        <w:tc>
          <w:tcPr>
            <w:tcW w:w="1712" w:type="dxa"/>
          </w:tcPr>
          <w:p w:rsidR="007C5447" w:rsidRDefault="00F6308C">
            <w:pPr>
              <w:pStyle w:val="TableParagraph"/>
              <w:spacing w:before="14" w:line="224" w:lineRule="exact"/>
              <w:ind w:right="99"/>
              <w:rPr>
                <w:sz w:val="20"/>
              </w:rPr>
            </w:pPr>
            <w:r>
              <w:rPr>
                <w:sz w:val="20"/>
              </w:rPr>
              <w:t>14.81</w:t>
            </w:r>
          </w:p>
        </w:tc>
        <w:tc>
          <w:tcPr>
            <w:tcW w:w="1709" w:type="dxa"/>
          </w:tcPr>
          <w:p w:rsidR="007C5447" w:rsidRDefault="00F6308C">
            <w:pPr>
              <w:pStyle w:val="TableParagraph"/>
              <w:spacing w:before="14" w:line="224" w:lineRule="exact"/>
              <w:ind w:right="97"/>
              <w:rPr>
                <w:sz w:val="20"/>
              </w:rPr>
            </w:pPr>
            <w:r>
              <w:rPr>
                <w:sz w:val="20"/>
              </w:rPr>
              <w:t>10.40</w:t>
            </w:r>
          </w:p>
        </w:tc>
        <w:tc>
          <w:tcPr>
            <w:tcW w:w="1712" w:type="dxa"/>
          </w:tcPr>
          <w:p w:rsidR="007C5447" w:rsidRDefault="00F6308C">
            <w:pPr>
              <w:pStyle w:val="TableParagraph"/>
              <w:spacing w:before="14" w:line="224" w:lineRule="exact"/>
              <w:ind w:right="100"/>
              <w:rPr>
                <w:sz w:val="20"/>
              </w:rPr>
            </w:pPr>
            <w:r>
              <w:rPr>
                <w:sz w:val="20"/>
              </w:rPr>
              <w:t>10.63</w:t>
            </w:r>
          </w:p>
        </w:tc>
      </w:tr>
      <w:tr w:rsidR="007C5447">
        <w:trPr>
          <w:trHeight w:val="263"/>
        </w:trPr>
        <w:tc>
          <w:tcPr>
            <w:tcW w:w="994" w:type="dxa"/>
          </w:tcPr>
          <w:p w:rsidR="007C5447" w:rsidRDefault="00F6308C">
            <w:pPr>
              <w:pStyle w:val="TableParagraph"/>
              <w:spacing w:before="17" w:line="227" w:lineRule="exact"/>
              <w:ind w:left="367" w:right="358"/>
              <w:jc w:val="center"/>
              <w:rPr>
                <w:sz w:val="20"/>
              </w:rPr>
            </w:pPr>
            <w:r>
              <w:rPr>
                <w:sz w:val="20"/>
              </w:rPr>
              <w:t>15</w:t>
            </w:r>
          </w:p>
        </w:tc>
        <w:tc>
          <w:tcPr>
            <w:tcW w:w="2735" w:type="dxa"/>
          </w:tcPr>
          <w:p w:rsidR="007C5447" w:rsidRDefault="00F6308C">
            <w:pPr>
              <w:pStyle w:val="TableParagraph"/>
              <w:spacing w:before="17" w:line="227" w:lineRule="exact"/>
              <w:ind w:left="107"/>
              <w:jc w:val="left"/>
              <w:rPr>
                <w:sz w:val="20"/>
              </w:rPr>
            </w:pPr>
            <w:r>
              <w:rPr>
                <w:sz w:val="20"/>
              </w:rPr>
              <w:t>Tirunelveli HEP</w:t>
            </w:r>
          </w:p>
        </w:tc>
        <w:tc>
          <w:tcPr>
            <w:tcW w:w="1712" w:type="dxa"/>
          </w:tcPr>
          <w:p w:rsidR="007C5447" w:rsidRDefault="00F6308C">
            <w:pPr>
              <w:pStyle w:val="TableParagraph"/>
              <w:spacing w:before="17" w:line="227" w:lineRule="exact"/>
              <w:ind w:right="99"/>
              <w:rPr>
                <w:sz w:val="20"/>
              </w:rPr>
            </w:pPr>
            <w:r>
              <w:rPr>
                <w:sz w:val="20"/>
              </w:rPr>
              <w:t>9.19</w:t>
            </w:r>
          </w:p>
        </w:tc>
        <w:tc>
          <w:tcPr>
            <w:tcW w:w="1709" w:type="dxa"/>
          </w:tcPr>
          <w:p w:rsidR="007C5447" w:rsidRDefault="00F6308C">
            <w:pPr>
              <w:pStyle w:val="TableParagraph"/>
              <w:spacing w:before="17" w:line="227" w:lineRule="exact"/>
              <w:ind w:right="97"/>
              <w:rPr>
                <w:sz w:val="20"/>
              </w:rPr>
            </w:pPr>
            <w:r>
              <w:rPr>
                <w:sz w:val="20"/>
              </w:rPr>
              <w:t>5.92</w:t>
            </w:r>
          </w:p>
        </w:tc>
        <w:tc>
          <w:tcPr>
            <w:tcW w:w="1712" w:type="dxa"/>
          </w:tcPr>
          <w:p w:rsidR="007C5447" w:rsidRDefault="00F6308C">
            <w:pPr>
              <w:pStyle w:val="TableParagraph"/>
              <w:spacing w:before="17" w:line="227" w:lineRule="exact"/>
              <w:ind w:right="100"/>
              <w:rPr>
                <w:sz w:val="20"/>
              </w:rPr>
            </w:pPr>
            <w:r>
              <w:rPr>
                <w:sz w:val="20"/>
              </w:rPr>
              <w:t>5.93</w:t>
            </w:r>
          </w:p>
        </w:tc>
      </w:tr>
      <w:tr w:rsidR="007C5447">
        <w:trPr>
          <w:trHeight w:val="263"/>
        </w:trPr>
        <w:tc>
          <w:tcPr>
            <w:tcW w:w="994" w:type="dxa"/>
          </w:tcPr>
          <w:p w:rsidR="007C5447" w:rsidRDefault="00F6308C">
            <w:pPr>
              <w:pStyle w:val="TableParagraph"/>
              <w:spacing w:before="17" w:line="227" w:lineRule="exact"/>
              <w:ind w:left="367" w:right="358"/>
              <w:jc w:val="center"/>
              <w:rPr>
                <w:b/>
                <w:sz w:val="20"/>
              </w:rPr>
            </w:pPr>
            <w:r>
              <w:rPr>
                <w:b/>
                <w:sz w:val="20"/>
              </w:rPr>
              <w:t>16</w:t>
            </w:r>
          </w:p>
        </w:tc>
        <w:tc>
          <w:tcPr>
            <w:tcW w:w="2735" w:type="dxa"/>
          </w:tcPr>
          <w:p w:rsidR="007C5447" w:rsidRDefault="00F6308C">
            <w:pPr>
              <w:pStyle w:val="TableParagraph"/>
              <w:spacing w:before="17" w:line="227" w:lineRule="exact"/>
              <w:ind w:left="107"/>
              <w:jc w:val="left"/>
              <w:rPr>
                <w:b/>
                <w:sz w:val="20"/>
              </w:rPr>
            </w:pPr>
            <w:r>
              <w:rPr>
                <w:b/>
                <w:sz w:val="20"/>
              </w:rPr>
              <w:t>Total Generation</w:t>
            </w:r>
          </w:p>
        </w:tc>
        <w:tc>
          <w:tcPr>
            <w:tcW w:w="1712" w:type="dxa"/>
          </w:tcPr>
          <w:p w:rsidR="007C5447" w:rsidRDefault="00F6308C">
            <w:pPr>
              <w:pStyle w:val="TableParagraph"/>
              <w:spacing w:before="17" w:line="227" w:lineRule="exact"/>
              <w:ind w:right="100"/>
              <w:rPr>
                <w:b/>
                <w:sz w:val="20"/>
              </w:rPr>
            </w:pPr>
            <w:r>
              <w:rPr>
                <w:b/>
                <w:w w:val="95"/>
                <w:sz w:val="20"/>
              </w:rPr>
              <w:t>607.51</w:t>
            </w:r>
          </w:p>
        </w:tc>
        <w:tc>
          <w:tcPr>
            <w:tcW w:w="1709" w:type="dxa"/>
          </w:tcPr>
          <w:p w:rsidR="007C5447" w:rsidRDefault="00F6308C">
            <w:pPr>
              <w:pStyle w:val="TableParagraph"/>
              <w:spacing w:before="17" w:line="227" w:lineRule="exact"/>
              <w:ind w:right="97"/>
              <w:rPr>
                <w:b/>
                <w:sz w:val="20"/>
              </w:rPr>
            </w:pPr>
            <w:r>
              <w:rPr>
                <w:b/>
                <w:w w:val="95"/>
                <w:sz w:val="20"/>
              </w:rPr>
              <w:t>527.84</w:t>
            </w:r>
          </w:p>
        </w:tc>
        <w:tc>
          <w:tcPr>
            <w:tcW w:w="1712" w:type="dxa"/>
          </w:tcPr>
          <w:p w:rsidR="007C5447" w:rsidRDefault="00F6308C">
            <w:pPr>
              <w:pStyle w:val="TableParagraph"/>
              <w:spacing w:before="17" w:line="227" w:lineRule="exact"/>
              <w:ind w:right="100"/>
              <w:rPr>
                <w:b/>
                <w:sz w:val="20"/>
              </w:rPr>
            </w:pPr>
            <w:r>
              <w:rPr>
                <w:b/>
                <w:w w:val="95"/>
                <w:sz w:val="20"/>
              </w:rPr>
              <w:t>601.59</w:t>
            </w:r>
          </w:p>
        </w:tc>
      </w:tr>
      <w:tr w:rsidR="007C5447">
        <w:trPr>
          <w:trHeight w:val="263"/>
        </w:trPr>
        <w:tc>
          <w:tcPr>
            <w:tcW w:w="994" w:type="dxa"/>
          </w:tcPr>
          <w:p w:rsidR="007C5447" w:rsidRDefault="00F6308C">
            <w:pPr>
              <w:pStyle w:val="TableParagraph"/>
              <w:spacing w:before="17" w:line="227" w:lineRule="exact"/>
              <w:ind w:left="367" w:right="358"/>
              <w:jc w:val="center"/>
              <w:rPr>
                <w:b/>
                <w:sz w:val="20"/>
              </w:rPr>
            </w:pPr>
            <w:r>
              <w:rPr>
                <w:b/>
                <w:sz w:val="20"/>
              </w:rPr>
              <w:t>17</w:t>
            </w:r>
          </w:p>
        </w:tc>
        <w:tc>
          <w:tcPr>
            <w:tcW w:w="2735" w:type="dxa"/>
          </w:tcPr>
          <w:p w:rsidR="007C5447" w:rsidRDefault="00F6308C">
            <w:pPr>
              <w:pStyle w:val="TableParagraph"/>
              <w:spacing w:before="17" w:line="227" w:lineRule="exact"/>
              <w:ind w:left="107"/>
              <w:jc w:val="left"/>
              <w:rPr>
                <w:b/>
                <w:sz w:val="20"/>
              </w:rPr>
            </w:pPr>
            <w:r>
              <w:rPr>
                <w:b/>
                <w:sz w:val="20"/>
              </w:rPr>
              <w:t>Distribution</w:t>
            </w:r>
          </w:p>
        </w:tc>
        <w:tc>
          <w:tcPr>
            <w:tcW w:w="1712" w:type="dxa"/>
          </w:tcPr>
          <w:p w:rsidR="007C5447" w:rsidRDefault="00F6308C">
            <w:pPr>
              <w:pStyle w:val="TableParagraph"/>
              <w:spacing w:before="17" w:line="227" w:lineRule="exact"/>
              <w:ind w:right="100"/>
              <w:rPr>
                <w:b/>
                <w:sz w:val="20"/>
              </w:rPr>
            </w:pPr>
            <w:r>
              <w:rPr>
                <w:b/>
                <w:w w:val="95"/>
                <w:sz w:val="20"/>
              </w:rPr>
              <w:t>238.13</w:t>
            </w:r>
          </w:p>
        </w:tc>
        <w:tc>
          <w:tcPr>
            <w:tcW w:w="1709" w:type="dxa"/>
          </w:tcPr>
          <w:p w:rsidR="007C5447" w:rsidRDefault="00F6308C">
            <w:pPr>
              <w:pStyle w:val="TableParagraph"/>
              <w:spacing w:before="17" w:line="227" w:lineRule="exact"/>
              <w:ind w:right="97"/>
              <w:rPr>
                <w:b/>
                <w:sz w:val="20"/>
              </w:rPr>
            </w:pPr>
            <w:r>
              <w:rPr>
                <w:b/>
                <w:w w:val="95"/>
                <w:sz w:val="20"/>
              </w:rPr>
              <w:t>235.23</w:t>
            </w:r>
          </w:p>
        </w:tc>
        <w:tc>
          <w:tcPr>
            <w:tcW w:w="1712" w:type="dxa"/>
          </w:tcPr>
          <w:p w:rsidR="007C5447" w:rsidRDefault="00F6308C">
            <w:pPr>
              <w:pStyle w:val="TableParagraph"/>
              <w:spacing w:before="17" w:line="227" w:lineRule="exact"/>
              <w:ind w:right="100"/>
              <w:rPr>
                <w:b/>
                <w:sz w:val="20"/>
              </w:rPr>
            </w:pPr>
            <w:r>
              <w:rPr>
                <w:b/>
                <w:w w:val="95"/>
                <w:sz w:val="20"/>
              </w:rPr>
              <w:t>351.19</w:t>
            </w:r>
          </w:p>
        </w:tc>
      </w:tr>
      <w:tr w:rsidR="007C5447">
        <w:trPr>
          <w:trHeight w:val="263"/>
        </w:trPr>
        <w:tc>
          <w:tcPr>
            <w:tcW w:w="994" w:type="dxa"/>
          </w:tcPr>
          <w:p w:rsidR="007C5447" w:rsidRDefault="00F6308C">
            <w:pPr>
              <w:pStyle w:val="TableParagraph"/>
              <w:spacing w:before="14" w:line="229" w:lineRule="exact"/>
              <w:ind w:left="367" w:right="358"/>
              <w:jc w:val="center"/>
              <w:rPr>
                <w:b/>
                <w:sz w:val="20"/>
              </w:rPr>
            </w:pPr>
            <w:r>
              <w:rPr>
                <w:b/>
                <w:sz w:val="20"/>
              </w:rPr>
              <w:t>18</w:t>
            </w:r>
          </w:p>
        </w:tc>
        <w:tc>
          <w:tcPr>
            <w:tcW w:w="2735" w:type="dxa"/>
          </w:tcPr>
          <w:p w:rsidR="007C5447" w:rsidRDefault="00F6308C">
            <w:pPr>
              <w:pStyle w:val="TableParagraph"/>
              <w:spacing w:before="14" w:line="229" w:lineRule="exact"/>
              <w:ind w:left="107"/>
              <w:jc w:val="left"/>
              <w:rPr>
                <w:b/>
                <w:sz w:val="20"/>
              </w:rPr>
            </w:pPr>
            <w:r>
              <w:rPr>
                <w:b/>
                <w:sz w:val="20"/>
              </w:rPr>
              <w:t>Total</w:t>
            </w:r>
          </w:p>
        </w:tc>
        <w:tc>
          <w:tcPr>
            <w:tcW w:w="1712" w:type="dxa"/>
          </w:tcPr>
          <w:p w:rsidR="007C5447" w:rsidRDefault="00F6308C">
            <w:pPr>
              <w:pStyle w:val="TableParagraph"/>
              <w:spacing w:before="14" w:line="229" w:lineRule="exact"/>
              <w:ind w:right="100"/>
              <w:rPr>
                <w:b/>
                <w:sz w:val="20"/>
              </w:rPr>
            </w:pPr>
            <w:r>
              <w:rPr>
                <w:b/>
                <w:w w:val="95"/>
                <w:sz w:val="20"/>
              </w:rPr>
              <w:t>845.64</w:t>
            </w:r>
          </w:p>
        </w:tc>
        <w:tc>
          <w:tcPr>
            <w:tcW w:w="1709" w:type="dxa"/>
          </w:tcPr>
          <w:p w:rsidR="007C5447" w:rsidRDefault="00F6308C">
            <w:pPr>
              <w:pStyle w:val="TableParagraph"/>
              <w:spacing w:before="14" w:line="229" w:lineRule="exact"/>
              <w:ind w:right="97"/>
              <w:rPr>
                <w:b/>
                <w:sz w:val="20"/>
              </w:rPr>
            </w:pPr>
            <w:r>
              <w:rPr>
                <w:b/>
                <w:w w:val="95"/>
                <w:sz w:val="20"/>
              </w:rPr>
              <w:t>763.07</w:t>
            </w:r>
          </w:p>
        </w:tc>
        <w:tc>
          <w:tcPr>
            <w:tcW w:w="1712" w:type="dxa"/>
          </w:tcPr>
          <w:p w:rsidR="007C5447" w:rsidRDefault="00F6308C">
            <w:pPr>
              <w:pStyle w:val="TableParagraph"/>
              <w:spacing w:before="14" w:line="229" w:lineRule="exact"/>
              <w:ind w:right="100"/>
              <w:rPr>
                <w:b/>
                <w:sz w:val="20"/>
              </w:rPr>
            </w:pPr>
            <w:r>
              <w:rPr>
                <w:b/>
                <w:w w:val="95"/>
                <w:sz w:val="20"/>
              </w:rPr>
              <w:t>952.79</w:t>
            </w:r>
          </w:p>
        </w:tc>
      </w:tr>
    </w:tbl>
    <w:p w:rsidR="007C5447" w:rsidRDefault="007C5447">
      <w:pPr>
        <w:pStyle w:val="BodyText"/>
        <w:spacing w:before="9"/>
        <w:rPr>
          <w:b/>
          <w:sz w:val="20"/>
        </w:rPr>
      </w:pPr>
    </w:p>
    <w:p w:rsidR="007C5447" w:rsidRDefault="00F6308C">
      <w:pPr>
        <w:ind w:left="1392"/>
        <w:rPr>
          <w:b/>
          <w:sz w:val="24"/>
        </w:rPr>
      </w:pPr>
      <w:r>
        <w:rPr>
          <w:b/>
          <w:sz w:val="24"/>
        </w:rPr>
        <w:t>Commission’s Views</w:t>
      </w:r>
    </w:p>
    <w:p w:rsidR="007C5447" w:rsidRDefault="00F6308C">
      <w:pPr>
        <w:pStyle w:val="ListParagraph"/>
        <w:numPr>
          <w:ilvl w:val="2"/>
          <w:numId w:val="114"/>
        </w:numPr>
        <w:tabs>
          <w:tab w:val="left" w:pos="1393"/>
        </w:tabs>
        <w:spacing w:before="202" w:line="312" w:lineRule="auto"/>
        <w:ind w:left="1392" w:right="513" w:hanging="852"/>
        <w:jc w:val="both"/>
        <w:rPr>
          <w:sz w:val="24"/>
        </w:rPr>
      </w:pPr>
      <w:r>
        <w:rPr>
          <w:sz w:val="24"/>
        </w:rPr>
        <w:t>The Commission has approved Interest on Working Capital (IoWC) separately for generating and distribution function of TANGEDCO in accordance with Regulation 26 of TNERC Tariff Regulations,</w:t>
      </w:r>
      <w:r>
        <w:rPr>
          <w:spacing w:val="-1"/>
          <w:sz w:val="24"/>
        </w:rPr>
        <w:t xml:space="preserve"> </w:t>
      </w:r>
      <w:r>
        <w:rPr>
          <w:sz w:val="24"/>
        </w:rPr>
        <w:t>2005.</w:t>
      </w:r>
    </w:p>
    <w:p w:rsidR="007C5447" w:rsidRDefault="007C5447">
      <w:pPr>
        <w:pStyle w:val="BodyText"/>
        <w:spacing w:before="9"/>
        <w:rPr>
          <w:sz w:val="20"/>
        </w:rPr>
      </w:pPr>
    </w:p>
    <w:p w:rsidR="007C5447" w:rsidRDefault="00F6308C">
      <w:pPr>
        <w:ind w:left="1980" w:right="6289"/>
        <w:rPr>
          <w:i/>
          <w:sz w:val="24"/>
        </w:rPr>
      </w:pPr>
      <w:r>
        <w:rPr>
          <w:i/>
          <w:sz w:val="24"/>
        </w:rPr>
        <w:t>“26. Working Capital (1)…</w:t>
      </w:r>
    </w:p>
    <w:p w:rsidR="007C5447" w:rsidRDefault="00F6308C">
      <w:pPr>
        <w:pStyle w:val="ListParagraph"/>
        <w:numPr>
          <w:ilvl w:val="0"/>
          <w:numId w:val="61"/>
        </w:numPr>
        <w:tabs>
          <w:tab w:val="left" w:pos="2326"/>
        </w:tabs>
        <w:spacing w:before="43" w:line="276" w:lineRule="auto"/>
        <w:ind w:right="1231" w:firstLine="0"/>
        <w:rPr>
          <w:i/>
          <w:sz w:val="24"/>
        </w:rPr>
      </w:pPr>
      <w:r>
        <w:rPr>
          <w:i/>
          <w:sz w:val="24"/>
        </w:rPr>
        <w:t>Till such a formula is evolved, th</w:t>
      </w:r>
      <w:r>
        <w:rPr>
          <w:i/>
          <w:sz w:val="24"/>
        </w:rPr>
        <w:t>e norms for Working Capital shall be as below:</w:t>
      </w:r>
    </w:p>
    <w:p w:rsidR="007C5447" w:rsidRDefault="00F6308C">
      <w:pPr>
        <w:pStyle w:val="ListParagraph"/>
        <w:numPr>
          <w:ilvl w:val="1"/>
          <w:numId w:val="61"/>
        </w:numPr>
        <w:tabs>
          <w:tab w:val="left" w:pos="2701"/>
        </w:tabs>
        <w:spacing w:line="275" w:lineRule="exact"/>
        <w:jc w:val="left"/>
        <w:rPr>
          <w:i/>
          <w:sz w:val="24"/>
        </w:rPr>
      </w:pPr>
      <w:r>
        <w:rPr>
          <w:i/>
          <w:sz w:val="24"/>
        </w:rPr>
        <w:t>For Coal based / Lignite fired Generating</w:t>
      </w:r>
      <w:r>
        <w:rPr>
          <w:i/>
          <w:spacing w:val="-4"/>
          <w:sz w:val="24"/>
        </w:rPr>
        <w:t xml:space="preserve"> </w:t>
      </w:r>
      <w:r>
        <w:rPr>
          <w:i/>
          <w:sz w:val="24"/>
        </w:rPr>
        <w:t>Stations</w:t>
      </w:r>
    </w:p>
    <w:p w:rsidR="007C5447" w:rsidRDefault="00F6308C">
      <w:pPr>
        <w:pStyle w:val="ListParagraph"/>
        <w:numPr>
          <w:ilvl w:val="2"/>
          <w:numId w:val="61"/>
        </w:numPr>
        <w:tabs>
          <w:tab w:val="left" w:pos="4140"/>
          <w:tab w:val="left" w:pos="4141"/>
        </w:tabs>
        <w:spacing w:before="161" w:line="276" w:lineRule="auto"/>
        <w:ind w:right="517" w:firstLine="855"/>
        <w:jc w:val="both"/>
        <w:rPr>
          <w:i/>
          <w:sz w:val="24"/>
        </w:rPr>
      </w:pPr>
      <w:r>
        <w:rPr>
          <w:i/>
          <w:sz w:val="24"/>
        </w:rPr>
        <w:t>Cost of coal or lignite for one and half month for pit head generating stations and two months for non pit head generating stations corresponding to the targe</w:t>
      </w:r>
      <w:r>
        <w:rPr>
          <w:i/>
          <w:sz w:val="24"/>
        </w:rPr>
        <w:t>t</w:t>
      </w:r>
      <w:r>
        <w:rPr>
          <w:i/>
          <w:spacing w:val="-1"/>
          <w:sz w:val="24"/>
        </w:rPr>
        <w:t xml:space="preserve"> </w:t>
      </w:r>
      <w:r>
        <w:rPr>
          <w:i/>
          <w:sz w:val="24"/>
        </w:rPr>
        <w:t>availability;</w:t>
      </w:r>
    </w:p>
    <w:p w:rsidR="007C5447" w:rsidRDefault="00F6308C">
      <w:pPr>
        <w:pStyle w:val="ListParagraph"/>
        <w:numPr>
          <w:ilvl w:val="2"/>
          <w:numId w:val="61"/>
        </w:numPr>
        <w:tabs>
          <w:tab w:val="left" w:pos="4141"/>
        </w:tabs>
        <w:spacing w:before="121" w:line="276" w:lineRule="auto"/>
        <w:ind w:left="2537" w:right="510" w:firstLine="787"/>
        <w:jc w:val="both"/>
        <w:rPr>
          <w:i/>
          <w:sz w:val="24"/>
        </w:rPr>
      </w:pPr>
      <w:r>
        <w:rPr>
          <w:i/>
          <w:sz w:val="24"/>
        </w:rPr>
        <w:t>Cost of secondary fuel oil for two months corresponding to the target</w:t>
      </w:r>
      <w:r>
        <w:rPr>
          <w:i/>
          <w:spacing w:val="-1"/>
          <w:sz w:val="24"/>
        </w:rPr>
        <w:t xml:space="preserve"> </w:t>
      </w:r>
      <w:r>
        <w:rPr>
          <w:i/>
          <w:sz w:val="24"/>
        </w:rPr>
        <w:t>availability;</w:t>
      </w:r>
    </w:p>
    <w:p w:rsidR="007C5447" w:rsidRDefault="00F6308C">
      <w:pPr>
        <w:pStyle w:val="ListParagraph"/>
        <w:numPr>
          <w:ilvl w:val="2"/>
          <w:numId w:val="61"/>
        </w:numPr>
        <w:tabs>
          <w:tab w:val="left" w:pos="4141"/>
        </w:tabs>
        <w:spacing w:before="122"/>
        <w:ind w:left="4141" w:hanging="884"/>
        <w:jc w:val="both"/>
        <w:rPr>
          <w:i/>
          <w:sz w:val="24"/>
        </w:rPr>
      </w:pPr>
      <w:r>
        <w:rPr>
          <w:i/>
          <w:sz w:val="24"/>
        </w:rPr>
        <w:t>Operation and Maintenance expenses for one</w:t>
      </w:r>
      <w:r>
        <w:rPr>
          <w:i/>
          <w:spacing w:val="-2"/>
          <w:sz w:val="24"/>
        </w:rPr>
        <w:t xml:space="preserve"> </w:t>
      </w:r>
      <w:r>
        <w:rPr>
          <w:i/>
          <w:sz w:val="24"/>
        </w:rPr>
        <w:t>month;</w:t>
      </w:r>
    </w:p>
    <w:p w:rsidR="007C5447" w:rsidRDefault="00F6308C">
      <w:pPr>
        <w:pStyle w:val="ListParagraph"/>
        <w:numPr>
          <w:ilvl w:val="2"/>
          <w:numId w:val="61"/>
        </w:numPr>
        <w:tabs>
          <w:tab w:val="left" w:pos="4141"/>
        </w:tabs>
        <w:spacing w:before="160" w:line="276" w:lineRule="auto"/>
        <w:ind w:left="2537" w:right="515" w:firstLine="747"/>
        <w:jc w:val="both"/>
        <w:rPr>
          <w:i/>
          <w:sz w:val="24"/>
        </w:rPr>
      </w:pPr>
      <w:r>
        <w:rPr>
          <w:i/>
          <w:sz w:val="24"/>
        </w:rPr>
        <w:t>Maintenance spares @ 1% of the historical cost escalated @ 6% per annum from the date of commercial operation;</w:t>
      </w:r>
      <w:r>
        <w:rPr>
          <w:i/>
          <w:spacing w:val="-3"/>
          <w:sz w:val="24"/>
        </w:rPr>
        <w:t xml:space="preserve"> </w:t>
      </w:r>
      <w:r>
        <w:rPr>
          <w:i/>
          <w:sz w:val="24"/>
        </w:rPr>
        <w:t>and</w:t>
      </w:r>
    </w:p>
    <w:p w:rsidR="007C5447" w:rsidRDefault="00F6308C">
      <w:pPr>
        <w:pStyle w:val="ListParagraph"/>
        <w:numPr>
          <w:ilvl w:val="2"/>
          <w:numId w:val="61"/>
        </w:numPr>
        <w:tabs>
          <w:tab w:val="left" w:pos="4141"/>
        </w:tabs>
        <w:spacing w:before="119" w:line="278" w:lineRule="auto"/>
        <w:ind w:left="2537" w:right="512" w:firstLine="814"/>
        <w:jc w:val="both"/>
        <w:rPr>
          <w:i/>
          <w:sz w:val="24"/>
        </w:rPr>
      </w:pPr>
      <w:r>
        <w:rPr>
          <w:i/>
          <w:sz w:val="24"/>
        </w:rPr>
        <w:t>Receivables equivalent to two months of fixed and variable charges for sale of electricity calculated on target</w:t>
      </w:r>
      <w:r>
        <w:rPr>
          <w:i/>
          <w:spacing w:val="-2"/>
          <w:sz w:val="24"/>
        </w:rPr>
        <w:t xml:space="preserve"> </w:t>
      </w:r>
      <w:r>
        <w:rPr>
          <w:i/>
          <w:sz w:val="24"/>
        </w:rPr>
        <w:t>availability.</w:t>
      </w:r>
    </w:p>
    <w:p w:rsidR="007C5447" w:rsidRDefault="007C5447">
      <w:pPr>
        <w:spacing w:line="278" w:lineRule="auto"/>
        <w:jc w:val="both"/>
        <w:rPr>
          <w:sz w:val="24"/>
        </w:rPr>
        <w:sectPr w:rsidR="007C5447">
          <w:pgSz w:w="11910" w:h="16840"/>
          <w:pgMar w:top="1360" w:right="620" w:bottom="1240" w:left="900" w:header="0" w:footer="1057" w:gutter="0"/>
          <w:cols w:space="720"/>
        </w:sectPr>
      </w:pPr>
    </w:p>
    <w:p w:rsidR="007C5447" w:rsidRDefault="00F6308C">
      <w:pPr>
        <w:pStyle w:val="ListParagraph"/>
        <w:numPr>
          <w:ilvl w:val="1"/>
          <w:numId w:val="61"/>
        </w:numPr>
        <w:tabs>
          <w:tab w:val="left" w:pos="3421"/>
        </w:tabs>
        <w:spacing w:before="60"/>
        <w:ind w:left="3421"/>
        <w:jc w:val="left"/>
        <w:rPr>
          <w:i/>
          <w:sz w:val="24"/>
        </w:rPr>
      </w:pPr>
      <w:r>
        <w:rPr>
          <w:i/>
          <w:sz w:val="24"/>
        </w:rPr>
        <w:lastRenderedPageBreak/>
        <w:t>For Gas Turbine / combined cycle Generating</w:t>
      </w:r>
      <w:r>
        <w:rPr>
          <w:i/>
          <w:spacing w:val="-2"/>
          <w:sz w:val="24"/>
        </w:rPr>
        <w:t xml:space="preserve"> </w:t>
      </w:r>
      <w:r>
        <w:rPr>
          <w:i/>
          <w:sz w:val="24"/>
        </w:rPr>
        <w:t>Stations</w:t>
      </w:r>
    </w:p>
    <w:p w:rsidR="007C5447" w:rsidRDefault="00F6308C">
      <w:pPr>
        <w:pStyle w:val="ListParagraph"/>
        <w:numPr>
          <w:ilvl w:val="2"/>
          <w:numId w:val="61"/>
        </w:numPr>
        <w:tabs>
          <w:tab w:val="left" w:pos="4141"/>
        </w:tabs>
        <w:spacing w:before="162" w:line="276" w:lineRule="auto"/>
        <w:ind w:left="2537" w:right="514" w:firstLine="855"/>
        <w:jc w:val="both"/>
        <w:rPr>
          <w:i/>
          <w:sz w:val="24"/>
        </w:rPr>
      </w:pPr>
      <w:r>
        <w:rPr>
          <w:i/>
          <w:sz w:val="24"/>
        </w:rPr>
        <w:t>Fuel cost for one month corresponding to the target availability duly taking into account the mode of operation of the Generating Station on gas fuel and liquid</w:t>
      </w:r>
      <w:r>
        <w:rPr>
          <w:i/>
          <w:spacing w:val="-1"/>
          <w:sz w:val="24"/>
        </w:rPr>
        <w:t xml:space="preserve"> </w:t>
      </w:r>
      <w:r>
        <w:rPr>
          <w:i/>
          <w:sz w:val="24"/>
        </w:rPr>
        <w:t>fuel;</w:t>
      </w:r>
    </w:p>
    <w:p w:rsidR="007C5447" w:rsidRDefault="00F6308C">
      <w:pPr>
        <w:pStyle w:val="ListParagraph"/>
        <w:numPr>
          <w:ilvl w:val="2"/>
          <w:numId w:val="61"/>
        </w:numPr>
        <w:tabs>
          <w:tab w:val="left" w:pos="4141"/>
        </w:tabs>
        <w:spacing w:before="120"/>
        <w:ind w:left="4141" w:hanging="816"/>
        <w:jc w:val="both"/>
        <w:rPr>
          <w:i/>
          <w:sz w:val="24"/>
        </w:rPr>
      </w:pPr>
      <w:r>
        <w:rPr>
          <w:i/>
          <w:sz w:val="24"/>
        </w:rPr>
        <w:t>Liquid fuel stock</w:t>
      </w:r>
      <w:r>
        <w:rPr>
          <w:i/>
          <w:sz w:val="24"/>
        </w:rPr>
        <w:t xml:space="preserve"> for half</w:t>
      </w:r>
      <w:r>
        <w:rPr>
          <w:i/>
          <w:spacing w:val="-4"/>
          <w:sz w:val="24"/>
        </w:rPr>
        <w:t xml:space="preserve"> </w:t>
      </w:r>
      <w:r>
        <w:rPr>
          <w:i/>
          <w:sz w:val="24"/>
        </w:rPr>
        <w:t>month;</w:t>
      </w:r>
    </w:p>
    <w:p w:rsidR="007C5447" w:rsidRDefault="00F6308C">
      <w:pPr>
        <w:pStyle w:val="ListParagraph"/>
        <w:numPr>
          <w:ilvl w:val="2"/>
          <w:numId w:val="61"/>
        </w:numPr>
        <w:tabs>
          <w:tab w:val="left" w:pos="4141"/>
        </w:tabs>
        <w:spacing w:before="161"/>
        <w:ind w:left="4141" w:hanging="884"/>
        <w:jc w:val="both"/>
        <w:rPr>
          <w:i/>
          <w:sz w:val="24"/>
        </w:rPr>
      </w:pPr>
      <w:r>
        <w:rPr>
          <w:i/>
          <w:sz w:val="24"/>
        </w:rPr>
        <w:t>Operation and Maintenance expenses for one</w:t>
      </w:r>
      <w:r>
        <w:rPr>
          <w:i/>
          <w:spacing w:val="-2"/>
          <w:sz w:val="24"/>
        </w:rPr>
        <w:t xml:space="preserve"> </w:t>
      </w:r>
      <w:r>
        <w:rPr>
          <w:i/>
          <w:sz w:val="24"/>
        </w:rPr>
        <w:t>month;</w:t>
      </w:r>
    </w:p>
    <w:p w:rsidR="007C5447" w:rsidRDefault="00F6308C">
      <w:pPr>
        <w:pStyle w:val="ListParagraph"/>
        <w:numPr>
          <w:ilvl w:val="2"/>
          <w:numId w:val="61"/>
        </w:numPr>
        <w:tabs>
          <w:tab w:val="left" w:pos="4140"/>
          <w:tab w:val="left" w:pos="4141"/>
        </w:tabs>
        <w:spacing w:before="161" w:line="278" w:lineRule="auto"/>
        <w:ind w:left="2537" w:right="515" w:firstLine="747"/>
        <w:jc w:val="left"/>
        <w:rPr>
          <w:i/>
          <w:sz w:val="24"/>
        </w:rPr>
      </w:pPr>
      <w:r>
        <w:rPr>
          <w:i/>
          <w:sz w:val="24"/>
        </w:rPr>
        <w:t>Maintenance spares @ 1% of the historical cost escalated @ 6% per annum from the date of commercial operation;</w:t>
      </w:r>
      <w:r>
        <w:rPr>
          <w:i/>
          <w:spacing w:val="-3"/>
          <w:sz w:val="24"/>
        </w:rPr>
        <w:t xml:space="preserve"> </w:t>
      </w:r>
      <w:r>
        <w:rPr>
          <w:i/>
          <w:sz w:val="24"/>
        </w:rPr>
        <w:t>and</w:t>
      </w:r>
    </w:p>
    <w:p w:rsidR="007C5447" w:rsidRDefault="00F6308C">
      <w:pPr>
        <w:pStyle w:val="ListParagraph"/>
        <w:numPr>
          <w:ilvl w:val="2"/>
          <w:numId w:val="61"/>
        </w:numPr>
        <w:tabs>
          <w:tab w:val="left" w:pos="4140"/>
          <w:tab w:val="left" w:pos="4141"/>
        </w:tabs>
        <w:spacing w:before="116" w:line="276" w:lineRule="auto"/>
        <w:ind w:left="2537" w:right="512" w:firstLine="814"/>
        <w:jc w:val="left"/>
        <w:rPr>
          <w:i/>
          <w:sz w:val="24"/>
        </w:rPr>
      </w:pPr>
      <w:r>
        <w:rPr>
          <w:i/>
          <w:sz w:val="24"/>
        </w:rPr>
        <w:t>Receivables equivalent to two months of fixed and variable charges for sale of electricity calculated on target</w:t>
      </w:r>
      <w:r>
        <w:rPr>
          <w:i/>
          <w:spacing w:val="-2"/>
          <w:sz w:val="24"/>
        </w:rPr>
        <w:t xml:space="preserve"> </w:t>
      </w:r>
      <w:r>
        <w:rPr>
          <w:i/>
          <w:sz w:val="24"/>
        </w:rPr>
        <w:t>availability.</w:t>
      </w:r>
    </w:p>
    <w:p w:rsidR="007C5447" w:rsidRDefault="00F6308C">
      <w:pPr>
        <w:pStyle w:val="ListParagraph"/>
        <w:numPr>
          <w:ilvl w:val="1"/>
          <w:numId w:val="61"/>
        </w:numPr>
        <w:tabs>
          <w:tab w:val="left" w:pos="3421"/>
        </w:tabs>
        <w:spacing w:before="119" w:line="381" w:lineRule="auto"/>
        <w:ind w:left="2602" w:right="3255" w:firstLine="360"/>
        <w:jc w:val="left"/>
        <w:rPr>
          <w:i/>
          <w:sz w:val="24"/>
        </w:rPr>
      </w:pPr>
      <w:r>
        <w:rPr>
          <w:i/>
          <w:sz w:val="24"/>
        </w:rPr>
        <w:t>For Hydro Power Generating Stations The working Capital shall</w:t>
      </w:r>
      <w:r>
        <w:rPr>
          <w:i/>
          <w:spacing w:val="-2"/>
          <w:sz w:val="24"/>
        </w:rPr>
        <w:t xml:space="preserve"> </w:t>
      </w:r>
      <w:r>
        <w:rPr>
          <w:i/>
          <w:sz w:val="24"/>
        </w:rPr>
        <w:t>cover:</w:t>
      </w:r>
    </w:p>
    <w:p w:rsidR="007C5447" w:rsidRDefault="00F6308C">
      <w:pPr>
        <w:pStyle w:val="ListParagraph"/>
        <w:numPr>
          <w:ilvl w:val="2"/>
          <w:numId w:val="61"/>
        </w:numPr>
        <w:tabs>
          <w:tab w:val="left" w:pos="4140"/>
          <w:tab w:val="left" w:pos="4141"/>
        </w:tabs>
        <w:spacing w:line="274" w:lineRule="exact"/>
        <w:ind w:left="4141" w:hanging="749"/>
        <w:jc w:val="left"/>
        <w:rPr>
          <w:i/>
          <w:sz w:val="24"/>
        </w:rPr>
      </w:pPr>
      <w:r>
        <w:rPr>
          <w:i/>
          <w:sz w:val="24"/>
        </w:rPr>
        <w:t>Operation and Maintenance expenses for one</w:t>
      </w:r>
      <w:r>
        <w:rPr>
          <w:i/>
          <w:spacing w:val="-2"/>
          <w:sz w:val="24"/>
        </w:rPr>
        <w:t xml:space="preserve"> </w:t>
      </w:r>
      <w:r>
        <w:rPr>
          <w:i/>
          <w:sz w:val="24"/>
        </w:rPr>
        <w:t>month;</w:t>
      </w:r>
    </w:p>
    <w:p w:rsidR="007C5447" w:rsidRDefault="00F6308C">
      <w:pPr>
        <w:pStyle w:val="ListParagraph"/>
        <w:numPr>
          <w:ilvl w:val="2"/>
          <w:numId w:val="61"/>
        </w:numPr>
        <w:tabs>
          <w:tab w:val="left" w:pos="4140"/>
          <w:tab w:val="left" w:pos="4141"/>
        </w:tabs>
        <w:spacing w:before="161" w:line="276" w:lineRule="auto"/>
        <w:ind w:left="2537" w:right="515" w:firstLine="787"/>
        <w:jc w:val="left"/>
        <w:rPr>
          <w:i/>
          <w:sz w:val="24"/>
        </w:rPr>
      </w:pPr>
      <w:r>
        <w:rPr>
          <w:i/>
          <w:sz w:val="24"/>
        </w:rPr>
        <w:t>Maintenance</w:t>
      </w:r>
      <w:r>
        <w:rPr>
          <w:i/>
          <w:sz w:val="24"/>
        </w:rPr>
        <w:t xml:space="preserve"> spares @ 1% of the historical cost escalated @ 6% per annum from the date of commercial operation;</w:t>
      </w:r>
      <w:r>
        <w:rPr>
          <w:i/>
          <w:spacing w:val="-3"/>
          <w:sz w:val="24"/>
        </w:rPr>
        <w:t xml:space="preserve"> </w:t>
      </w:r>
      <w:r>
        <w:rPr>
          <w:i/>
          <w:sz w:val="24"/>
        </w:rPr>
        <w:t>and</w:t>
      </w:r>
    </w:p>
    <w:p w:rsidR="007C5447" w:rsidRDefault="00F6308C">
      <w:pPr>
        <w:pStyle w:val="ListParagraph"/>
        <w:numPr>
          <w:ilvl w:val="2"/>
          <w:numId w:val="61"/>
        </w:numPr>
        <w:tabs>
          <w:tab w:val="left" w:pos="4140"/>
          <w:tab w:val="left" w:pos="4141"/>
        </w:tabs>
        <w:spacing w:before="121" w:line="276" w:lineRule="auto"/>
        <w:ind w:left="2537" w:right="513" w:firstLine="720"/>
        <w:jc w:val="left"/>
        <w:rPr>
          <w:i/>
          <w:sz w:val="24"/>
        </w:rPr>
      </w:pPr>
      <w:r>
        <w:rPr>
          <w:i/>
          <w:sz w:val="24"/>
        </w:rPr>
        <w:t>Receivables equivalent to two months of fixed charges for sale of electricity, calculated on normative capacity</w:t>
      </w:r>
      <w:r>
        <w:rPr>
          <w:i/>
          <w:spacing w:val="-2"/>
          <w:sz w:val="24"/>
        </w:rPr>
        <w:t xml:space="preserve"> </w:t>
      </w:r>
      <w:r>
        <w:rPr>
          <w:i/>
          <w:sz w:val="24"/>
        </w:rPr>
        <w:t>index.</w:t>
      </w:r>
    </w:p>
    <w:p w:rsidR="007C5447" w:rsidRDefault="00F6308C">
      <w:pPr>
        <w:pStyle w:val="ListParagraph"/>
        <w:numPr>
          <w:ilvl w:val="1"/>
          <w:numId w:val="61"/>
        </w:numPr>
        <w:tabs>
          <w:tab w:val="left" w:pos="2701"/>
        </w:tabs>
        <w:spacing w:before="119"/>
        <w:jc w:val="left"/>
        <w:rPr>
          <w:sz w:val="24"/>
        </w:rPr>
      </w:pPr>
      <w:r>
        <w:rPr>
          <w:i/>
          <w:w w:val="99"/>
          <w:sz w:val="24"/>
        </w:rPr>
        <w:t>…</w:t>
      </w:r>
    </w:p>
    <w:p w:rsidR="007C5447" w:rsidRDefault="00F6308C">
      <w:pPr>
        <w:pStyle w:val="ListParagraph"/>
        <w:numPr>
          <w:ilvl w:val="1"/>
          <w:numId w:val="61"/>
        </w:numPr>
        <w:tabs>
          <w:tab w:val="left" w:pos="2701"/>
        </w:tabs>
        <w:spacing w:before="161"/>
        <w:jc w:val="left"/>
        <w:rPr>
          <w:i/>
          <w:sz w:val="24"/>
        </w:rPr>
      </w:pPr>
      <w:r>
        <w:rPr>
          <w:i/>
          <w:sz w:val="24"/>
        </w:rPr>
        <w:t>For Distribution</w:t>
      </w:r>
      <w:r>
        <w:rPr>
          <w:i/>
          <w:spacing w:val="-1"/>
          <w:sz w:val="24"/>
        </w:rPr>
        <w:t xml:space="preserve"> </w:t>
      </w:r>
      <w:r>
        <w:rPr>
          <w:i/>
          <w:sz w:val="24"/>
        </w:rPr>
        <w:t>System</w:t>
      </w:r>
    </w:p>
    <w:p w:rsidR="007C5447" w:rsidRDefault="00F6308C">
      <w:pPr>
        <w:pStyle w:val="ListParagraph"/>
        <w:numPr>
          <w:ilvl w:val="2"/>
          <w:numId w:val="61"/>
        </w:numPr>
        <w:tabs>
          <w:tab w:val="left" w:pos="4140"/>
          <w:tab w:val="left" w:pos="4141"/>
        </w:tabs>
        <w:spacing w:before="164"/>
        <w:ind w:left="4141" w:hanging="749"/>
        <w:jc w:val="left"/>
        <w:rPr>
          <w:i/>
          <w:sz w:val="24"/>
        </w:rPr>
      </w:pPr>
      <w:r>
        <w:rPr>
          <w:i/>
          <w:sz w:val="24"/>
        </w:rPr>
        <w:t>Operation and Maintenance expenses for one</w:t>
      </w:r>
      <w:r>
        <w:rPr>
          <w:i/>
          <w:spacing w:val="-2"/>
          <w:sz w:val="24"/>
        </w:rPr>
        <w:t xml:space="preserve"> </w:t>
      </w:r>
      <w:r>
        <w:rPr>
          <w:i/>
          <w:sz w:val="24"/>
        </w:rPr>
        <w:t>month</w:t>
      </w:r>
    </w:p>
    <w:p w:rsidR="007C5447" w:rsidRDefault="00F6308C">
      <w:pPr>
        <w:pStyle w:val="ListParagraph"/>
        <w:numPr>
          <w:ilvl w:val="2"/>
          <w:numId w:val="61"/>
        </w:numPr>
        <w:tabs>
          <w:tab w:val="left" w:pos="4141"/>
        </w:tabs>
        <w:spacing w:before="160" w:line="276" w:lineRule="auto"/>
        <w:ind w:left="2537" w:right="513" w:firstLine="787"/>
        <w:jc w:val="both"/>
        <w:rPr>
          <w:i/>
          <w:sz w:val="24"/>
        </w:rPr>
      </w:pPr>
      <w:r>
        <w:rPr>
          <w:i/>
          <w:sz w:val="24"/>
        </w:rPr>
        <w:t>Maintenance spares for two months based on annual requirement considered at 1% of the gross fixed cost at the beginning of the year.</w:t>
      </w:r>
    </w:p>
    <w:p w:rsidR="007C5447" w:rsidRDefault="00F6308C">
      <w:pPr>
        <w:pStyle w:val="ListParagraph"/>
        <w:numPr>
          <w:ilvl w:val="2"/>
          <w:numId w:val="61"/>
        </w:numPr>
        <w:tabs>
          <w:tab w:val="left" w:pos="4141"/>
        </w:tabs>
        <w:spacing w:before="119"/>
        <w:ind w:left="4141" w:hanging="884"/>
        <w:jc w:val="both"/>
        <w:rPr>
          <w:i/>
          <w:sz w:val="24"/>
        </w:rPr>
      </w:pPr>
      <w:r>
        <w:rPr>
          <w:i/>
          <w:sz w:val="24"/>
        </w:rPr>
        <w:t>Receivable equivalent to sixty days consumption</w:t>
      </w:r>
      <w:r>
        <w:rPr>
          <w:i/>
          <w:spacing w:val="-5"/>
          <w:sz w:val="24"/>
        </w:rPr>
        <w:t xml:space="preserve"> </w:t>
      </w:r>
      <w:r>
        <w:rPr>
          <w:i/>
          <w:sz w:val="24"/>
        </w:rPr>
        <w:t>ch</w:t>
      </w:r>
      <w:r>
        <w:rPr>
          <w:i/>
          <w:sz w:val="24"/>
        </w:rPr>
        <w:t>arges.”</w:t>
      </w:r>
    </w:p>
    <w:p w:rsidR="007C5447" w:rsidRDefault="00F6308C">
      <w:pPr>
        <w:pStyle w:val="ListParagraph"/>
        <w:numPr>
          <w:ilvl w:val="2"/>
          <w:numId w:val="114"/>
        </w:numPr>
        <w:tabs>
          <w:tab w:val="left" w:pos="1393"/>
        </w:tabs>
        <w:spacing w:before="163" w:line="312" w:lineRule="auto"/>
        <w:ind w:left="1392" w:right="511" w:hanging="852"/>
        <w:jc w:val="both"/>
        <w:rPr>
          <w:sz w:val="24"/>
        </w:rPr>
      </w:pPr>
      <w:r>
        <w:rPr>
          <w:sz w:val="24"/>
        </w:rPr>
        <w:t>As it is difficult to estimate the historical cost of assets, the Commission has approved maintenance spares at 1% of opening GFA for respective years (in line with the approach adopted in chapter 3. Further, assets were segregated between generati</w:t>
      </w:r>
      <w:r>
        <w:rPr>
          <w:sz w:val="24"/>
        </w:rPr>
        <w:t>on and distribution function based on the GFA details submitted by TANGEDCO. Further, interest rate for approving IoWC has been considered in accordance with Tariff Regulations.</w:t>
      </w:r>
    </w:p>
    <w:p w:rsidR="007C5447" w:rsidRDefault="007C5447">
      <w:pPr>
        <w:pStyle w:val="BodyText"/>
        <w:spacing w:before="10"/>
        <w:rPr>
          <w:sz w:val="20"/>
        </w:rPr>
      </w:pPr>
    </w:p>
    <w:p w:rsidR="007C5447" w:rsidRDefault="00F6308C">
      <w:pPr>
        <w:pStyle w:val="ListParagraph"/>
        <w:numPr>
          <w:ilvl w:val="2"/>
          <w:numId w:val="114"/>
        </w:numPr>
        <w:tabs>
          <w:tab w:val="left" w:pos="1393"/>
        </w:tabs>
        <w:spacing w:before="1" w:line="312" w:lineRule="auto"/>
        <w:ind w:left="1392" w:right="511" w:hanging="852"/>
        <w:jc w:val="both"/>
        <w:rPr>
          <w:sz w:val="24"/>
        </w:rPr>
      </w:pPr>
      <w:r>
        <w:rPr>
          <w:sz w:val="24"/>
        </w:rPr>
        <w:t>Interest on Working Capital as approved by the Commission for third Control P</w:t>
      </w:r>
      <w:r>
        <w:rPr>
          <w:sz w:val="24"/>
        </w:rPr>
        <w:t>eriod FY 2016-17 to FY 2018-19 has been shown in the table below:</w:t>
      </w:r>
    </w:p>
    <w:p w:rsidR="007C5447" w:rsidRDefault="007C5447">
      <w:pPr>
        <w:spacing w:line="312" w:lineRule="auto"/>
        <w:jc w:val="both"/>
        <w:rPr>
          <w:sz w:val="24"/>
        </w:rPr>
        <w:sectPr w:rsidR="007C5447">
          <w:pgSz w:w="11910" w:h="16840"/>
          <w:pgMar w:top="1360" w:right="620" w:bottom="1240" w:left="900" w:header="0" w:footer="1057" w:gutter="0"/>
          <w:cols w:space="720"/>
        </w:sectPr>
      </w:pPr>
    </w:p>
    <w:p w:rsidR="007C5447" w:rsidRDefault="00F6308C">
      <w:pPr>
        <w:pStyle w:val="Heading2"/>
        <w:spacing w:before="60" w:after="2" w:line="312" w:lineRule="auto"/>
        <w:ind w:left="592" w:right="564"/>
        <w:jc w:val="center"/>
      </w:pPr>
      <w:r>
        <w:lastRenderedPageBreak/>
        <w:t>Table 4-23: Approved Interest on Working Capital for the Control Period from FY 2016- 17 to FY 2018-19 (Rs. Crore)</w:t>
      </w: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1"/>
        <w:gridCol w:w="2098"/>
        <w:gridCol w:w="1135"/>
        <w:gridCol w:w="1133"/>
        <w:gridCol w:w="1136"/>
        <w:gridCol w:w="1133"/>
        <w:gridCol w:w="1136"/>
        <w:gridCol w:w="1133"/>
      </w:tblGrid>
      <w:tr w:rsidR="007C5447">
        <w:trPr>
          <w:trHeight w:val="318"/>
        </w:trPr>
        <w:tc>
          <w:tcPr>
            <w:tcW w:w="881" w:type="dxa"/>
            <w:vMerge w:val="restart"/>
            <w:shd w:val="clear" w:color="auto" w:fill="F7C9AC"/>
          </w:tcPr>
          <w:p w:rsidR="007C5447" w:rsidRDefault="007C5447">
            <w:pPr>
              <w:pStyle w:val="TableParagraph"/>
              <w:spacing w:before="4"/>
              <w:jc w:val="left"/>
              <w:rPr>
                <w:b/>
                <w:sz w:val="28"/>
              </w:rPr>
            </w:pPr>
          </w:p>
          <w:p w:rsidR="007C5447" w:rsidRDefault="00F6308C">
            <w:pPr>
              <w:pStyle w:val="TableParagraph"/>
              <w:ind w:left="310" w:right="304"/>
              <w:jc w:val="center"/>
              <w:rPr>
                <w:b/>
                <w:sz w:val="20"/>
              </w:rPr>
            </w:pPr>
            <w:r>
              <w:rPr>
                <w:b/>
                <w:sz w:val="20"/>
              </w:rPr>
              <w:t>Sl.</w:t>
            </w:r>
          </w:p>
        </w:tc>
        <w:tc>
          <w:tcPr>
            <w:tcW w:w="2098" w:type="dxa"/>
            <w:vMerge w:val="restart"/>
            <w:shd w:val="clear" w:color="auto" w:fill="F7C9AC"/>
          </w:tcPr>
          <w:p w:rsidR="007C5447" w:rsidRDefault="007C5447">
            <w:pPr>
              <w:pStyle w:val="TableParagraph"/>
              <w:spacing w:before="4"/>
              <w:jc w:val="left"/>
              <w:rPr>
                <w:b/>
                <w:sz w:val="28"/>
              </w:rPr>
            </w:pPr>
          </w:p>
          <w:p w:rsidR="007C5447" w:rsidRDefault="00F6308C">
            <w:pPr>
              <w:pStyle w:val="TableParagraph"/>
              <w:ind w:left="107"/>
              <w:jc w:val="left"/>
              <w:rPr>
                <w:b/>
                <w:sz w:val="20"/>
              </w:rPr>
            </w:pPr>
            <w:r>
              <w:rPr>
                <w:b/>
                <w:sz w:val="20"/>
              </w:rPr>
              <w:t>Power Station</w:t>
            </w:r>
          </w:p>
        </w:tc>
        <w:tc>
          <w:tcPr>
            <w:tcW w:w="3404" w:type="dxa"/>
            <w:gridSpan w:val="3"/>
            <w:shd w:val="clear" w:color="auto" w:fill="F7C9AC"/>
          </w:tcPr>
          <w:p w:rsidR="007C5447" w:rsidRDefault="00F6308C">
            <w:pPr>
              <w:pStyle w:val="TableParagraph"/>
              <w:spacing w:before="46"/>
              <w:ind w:left="1123"/>
              <w:jc w:val="left"/>
              <w:rPr>
                <w:b/>
                <w:sz w:val="20"/>
              </w:rPr>
            </w:pPr>
            <w:r>
              <w:rPr>
                <w:b/>
                <w:sz w:val="20"/>
              </w:rPr>
              <w:t>TANGEDCO</w:t>
            </w:r>
          </w:p>
        </w:tc>
        <w:tc>
          <w:tcPr>
            <w:tcW w:w="3402" w:type="dxa"/>
            <w:gridSpan w:val="3"/>
            <w:shd w:val="clear" w:color="auto" w:fill="F7C9AC"/>
          </w:tcPr>
          <w:p w:rsidR="007C5447" w:rsidRDefault="00F6308C">
            <w:pPr>
              <w:pStyle w:val="TableParagraph"/>
              <w:spacing w:before="46"/>
              <w:ind w:left="1152" w:right="1144"/>
              <w:jc w:val="center"/>
              <w:rPr>
                <w:b/>
                <w:sz w:val="20"/>
              </w:rPr>
            </w:pPr>
            <w:r>
              <w:rPr>
                <w:b/>
                <w:sz w:val="20"/>
              </w:rPr>
              <w:t>Commission</w:t>
            </w:r>
          </w:p>
        </w:tc>
      </w:tr>
      <w:tr w:rsidR="007C5447">
        <w:trPr>
          <w:trHeight w:val="551"/>
        </w:trPr>
        <w:tc>
          <w:tcPr>
            <w:tcW w:w="881" w:type="dxa"/>
            <w:vMerge/>
            <w:tcBorders>
              <w:top w:val="nil"/>
            </w:tcBorders>
            <w:shd w:val="clear" w:color="auto" w:fill="F7C9AC"/>
          </w:tcPr>
          <w:p w:rsidR="007C5447" w:rsidRDefault="007C5447">
            <w:pPr>
              <w:rPr>
                <w:sz w:val="2"/>
                <w:szCs w:val="2"/>
              </w:rPr>
            </w:pPr>
          </w:p>
        </w:tc>
        <w:tc>
          <w:tcPr>
            <w:tcW w:w="2098" w:type="dxa"/>
            <w:vMerge/>
            <w:tcBorders>
              <w:top w:val="nil"/>
            </w:tcBorders>
            <w:shd w:val="clear" w:color="auto" w:fill="F7C9AC"/>
          </w:tcPr>
          <w:p w:rsidR="007C5447" w:rsidRDefault="007C5447">
            <w:pPr>
              <w:rPr>
                <w:sz w:val="2"/>
                <w:szCs w:val="2"/>
              </w:rPr>
            </w:pPr>
          </w:p>
        </w:tc>
        <w:tc>
          <w:tcPr>
            <w:tcW w:w="1135" w:type="dxa"/>
            <w:shd w:val="clear" w:color="auto" w:fill="F7C9AC"/>
          </w:tcPr>
          <w:p w:rsidR="007C5447" w:rsidRDefault="00F6308C">
            <w:pPr>
              <w:pStyle w:val="TableParagraph"/>
              <w:spacing w:before="46"/>
              <w:ind w:left="115" w:right="106"/>
              <w:jc w:val="center"/>
              <w:rPr>
                <w:b/>
                <w:sz w:val="20"/>
              </w:rPr>
            </w:pPr>
            <w:r>
              <w:rPr>
                <w:b/>
                <w:sz w:val="20"/>
              </w:rPr>
              <w:t>FY 2016-</w:t>
            </w:r>
          </w:p>
          <w:p w:rsidR="007C5447" w:rsidRDefault="00F6308C">
            <w:pPr>
              <w:pStyle w:val="TableParagraph"/>
              <w:ind w:left="114" w:right="106"/>
              <w:jc w:val="center"/>
              <w:rPr>
                <w:b/>
                <w:sz w:val="20"/>
              </w:rPr>
            </w:pPr>
            <w:r>
              <w:rPr>
                <w:b/>
                <w:sz w:val="20"/>
              </w:rPr>
              <w:t>17</w:t>
            </w:r>
          </w:p>
        </w:tc>
        <w:tc>
          <w:tcPr>
            <w:tcW w:w="1133" w:type="dxa"/>
            <w:shd w:val="clear" w:color="auto" w:fill="F7C9AC"/>
          </w:tcPr>
          <w:p w:rsidR="007C5447" w:rsidRDefault="00F6308C">
            <w:pPr>
              <w:pStyle w:val="TableParagraph"/>
              <w:spacing w:before="46"/>
              <w:ind w:left="154" w:right="142"/>
              <w:jc w:val="center"/>
              <w:rPr>
                <w:b/>
                <w:sz w:val="20"/>
              </w:rPr>
            </w:pPr>
            <w:r>
              <w:rPr>
                <w:b/>
                <w:sz w:val="20"/>
              </w:rPr>
              <w:t>FY 2017-</w:t>
            </w:r>
          </w:p>
          <w:p w:rsidR="007C5447" w:rsidRDefault="00F6308C">
            <w:pPr>
              <w:pStyle w:val="TableParagraph"/>
              <w:ind w:left="153" w:right="143"/>
              <w:jc w:val="center"/>
              <w:rPr>
                <w:b/>
                <w:sz w:val="20"/>
              </w:rPr>
            </w:pPr>
            <w:r>
              <w:rPr>
                <w:b/>
                <w:sz w:val="20"/>
              </w:rPr>
              <w:t>18</w:t>
            </w:r>
          </w:p>
        </w:tc>
        <w:tc>
          <w:tcPr>
            <w:tcW w:w="1136" w:type="dxa"/>
            <w:shd w:val="clear" w:color="auto" w:fill="F7C9AC"/>
          </w:tcPr>
          <w:p w:rsidR="007C5447" w:rsidRDefault="00F6308C">
            <w:pPr>
              <w:pStyle w:val="TableParagraph"/>
              <w:spacing w:before="46"/>
              <w:ind w:left="154" w:right="145"/>
              <w:jc w:val="center"/>
              <w:rPr>
                <w:b/>
                <w:sz w:val="20"/>
              </w:rPr>
            </w:pPr>
            <w:r>
              <w:rPr>
                <w:b/>
                <w:sz w:val="20"/>
              </w:rPr>
              <w:t>FY 2018-</w:t>
            </w:r>
          </w:p>
          <w:p w:rsidR="007C5447" w:rsidRDefault="00F6308C">
            <w:pPr>
              <w:pStyle w:val="TableParagraph"/>
              <w:ind w:left="154" w:right="146"/>
              <w:jc w:val="center"/>
              <w:rPr>
                <w:b/>
                <w:sz w:val="20"/>
              </w:rPr>
            </w:pPr>
            <w:r>
              <w:rPr>
                <w:b/>
                <w:sz w:val="20"/>
              </w:rPr>
              <w:t>19</w:t>
            </w:r>
          </w:p>
        </w:tc>
        <w:tc>
          <w:tcPr>
            <w:tcW w:w="1133" w:type="dxa"/>
            <w:shd w:val="clear" w:color="auto" w:fill="F7C9AC"/>
          </w:tcPr>
          <w:p w:rsidR="007C5447" w:rsidRDefault="00F6308C">
            <w:pPr>
              <w:pStyle w:val="TableParagraph"/>
              <w:spacing w:before="46"/>
              <w:ind w:left="153" w:right="143"/>
              <w:jc w:val="center"/>
              <w:rPr>
                <w:b/>
                <w:sz w:val="20"/>
              </w:rPr>
            </w:pPr>
            <w:r>
              <w:rPr>
                <w:b/>
                <w:sz w:val="20"/>
              </w:rPr>
              <w:t>FY 2016-</w:t>
            </w:r>
          </w:p>
          <w:p w:rsidR="007C5447" w:rsidRDefault="00F6308C">
            <w:pPr>
              <w:pStyle w:val="TableParagraph"/>
              <w:ind w:left="152" w:right="143"/>
              <w:jc w:val="center"/>
              <w:rPr>
                <w:b/>
                <w:sz w:val="20"/>
              </w:rPr>
            </w:pPr>
            <w:r>
              <w:rPr>
                <w:b/>
                <w:sz w:val="20"/>
              </w:rPr>
              <w:t>17</w:t>
            </w:r>
          </w:p>
        </w:tc>
        <w:tc>
          <w:tcPr>
            <w:tcW w:w="1136" w:type="dxa"/>
            <w:shd w:val="clear" w:color="auto" w:fill="F7C9AC"/>
          </w:tcPr>
          <w:p w:rsidR="007C5447" w:rsidRDefault="00F6308C">
            <w:pPr>
              <w:pStyle w:val="TableParagraph"/>
              <w:spacing w:before="46"/>
              <w:ind w:left="154" w:right="146"/>
              <w:jc w:val="center"/>
              <w:rPr>
                <w:b/>
                <w:sz w:val="20"/>
              </w:rPr>
            </w:pPr>
            <w:r>
              <w:rPr>
                <w:b/>
                <w:sz w:val="20"/>
              </w:rPr>
              <w:t>FY 2017-</w:t>
            </w:r>
          </w:p>
          <w:p w:rsidR="007C5447" w:rsidRDefault="00F6308C">
            <w:pPr>
              <w:pStyle w:val="TableParagraph"/>
              <w:ind w:left="153" w:right="146"/>
              <w:jc w:val="center"/>
              <w:rPr>
                <w:b/>
                <w:sz w:val="20"/>
              </w:rPr>
            </w:pPr>
            <w:r>
              <w:rPr>
                <w:b/>
                <w:sz w:val="20"/>
              </w:rPr>
              <w:t>18</w:t>
            </w:r>
          </w:p>
        </w:tc>
        <w:tc>
          <w:tcPr>
            <w:tcW w:w="1133" w:type="dxa"/>
            <w:shd w:val="clear" w:color="auto" w:fill="F7C9AC"/>
          </w:tcPr>
          <w:p w:rsidR="007C5447" w:rsidRDefault="00F6308C">
            <w:pPr>
              <w:pStyle w:val="TableParagraph"/>
              <w:spacing w:before="46"/>
              <w:ind w:left="153" w:right="143"/>
              <w:jc w:val="center"/>
              <w:rPr>
                <w:b/>
                <w:sz w:val="20"/>
              </w:rPr>
            </w:pPr>
            <w:r>
              <w:rPr>
                <w:b/>
                <w:sz w:val="20"/>
              </w:rPr>
              <w:t>FY 2018-</w:t>
            </w:r>
          </w:p>
          <w:p w:rsidR="007C5447" w:rsidRDefault="00F6308C">
            <w:pPr>
              <w:pStyle w:val="TableParagraph"/>
              <w:ind w:left="151" w:right="143"/>
              <w:jc w:val="center"/>
              <w:rPr>
                <w:b/>
                <w:sz w:val="20"/>
              </w:rPr>
            </w:pPr>
            <w:r>
              <w:rPr>
                <w:b/>
                <w:sz w:val="20"/>
              </w:rPr>
              <w:t>19</w:t>
            </w:r>
          </w:p>
        </w:tc>
      </w:tr>
      <w:tr w:rsidR="007C5447">
        <w:trPr>
          <w:trHeight w:val="299"/>
        </w:trPr>
        <w:tc>
          <w:tcPr>
            <w:tcW w:w="881" w:type="dxa"/>
          </w:tcPr>
          <w:p w:rsidR="007C5447" w:rsidRDefault="00F6308C">
            <w:pPr>
              <w:pStyle w:val="TableParagraph"/>
              <w:spacing w:before="36"/>
              <w:ind w:right="380"/>
              <w:rPr>
                <w:sz w:val="20"/>
              </w:rPr>
            </w:pPr>
            <w:r>
              <w:rPr>
                <w:w w:val="99"/>
                <w:sz w:val="20"/>
              </w:rPr>
              <w:t>1</w:t>
            </w:r>
          </w:p>
        </w:tc>
        <w:tc>
          <w:tcPr>
            <w:tcW w:w="2098" w:type="dxa"/>
          </w:tcPr>
          <w:p w:rsidR="007C5447" w:rsidRDefault="00F6308C">
            <w:pPr>
              <w:pStyle w:val="TableParagraph"/>
              <w:spacing w:before="36"/>
              <w:ind w:left="107"/>
              <w:jc w:val="left"/>
              <w:rPr>
                <w:sz w:val="20"/>
              </w:rPr>
            </w:pPr>
            <w:r>
              <w:rPr>
                <w:sz w:val="20"/>
              </w:rPr>
              <w:t>Ennore TPS</w:t>
            </w:r>
          </w:p>
        </w:tc>
        <w:tc>
          <w:tcPr>
            <w:tcW w:w="1135" w:type="dxa"/>
          </w:tcPr>
          <w:p w:rsidR="007C5447" w:rsidRDefault="00F6308C">
            <w:pPr>
              <w:pStyle w:val="TableParagraph"/>
              <w:spacing w:before="36"/>
              <w:ind w:right="97"/>
              <w:rPr>
                <w:sz w:val="20"/>
              </w:rPr>
            </w:pPr>
            <w:r>
              <w:rPr>
                <w:sz w:val="20"/>
              </w:rPr>
              <w:t>35.98</w:t>
            </w:r>
          </w:p>
        </w:tc>
        <w:tc>
          <w:tcPr>
            <w:tcW w:w="1133" w:type="dxa"/>
          </w:tcPr>
          <w:p w:rsidR="007C5447" w:rsidRDefault="00F6308C">
            <w:pPr>
              <w:pStyle w:val="TableParagraph"/>
              <w:spacing w:before="36"/>
              <w:ind w:right="95"/>
              <w:rPr>
                <w:sz w:val="20"/>
              </w:rPr>
            </w:pPr>
            <w:r>
              <w:rPr>
                <w:sz w:val="20"/>
              </w:rPr>
              <w:t>0.63</w:t>
            </w:r>
          </w:p>
        </w:tc>
        <w:tc>
          <w:tcPr>
            <w:tcW w:w="1136" w:type="dxa"/>
          </w:tcPr>
          <w:p w:rsidR="007C5447" w:rsidRDefault="00F6308C">
            <w:pPr>
              <w:pStyle w:val="TableParagraph"/>
              <w:spacing w:before="36"/>
              <w:ind w:right="98"/>
              <w:rPr>
                <w:sz w:val="20"/>
              </w:rPr>
            </w:pPr>
            <w:r>
              <w:rPr>
                <w:sz w:val="20"/>
              </w:rPr>
              <w:t>0.63</w:t>
            </w:r>
          </w:p>
        </w:tc>
        <w:tc>
          <w:tcPr>
            <w:tcW w:w="1133" w:type="dxa"/>
          </w:tcPr>
          <w:p w:rsidR="007C5447" w:rsidRDefault="00F6308C">
            <w:pPr>
              <w:pStyle w:val="TableParagraph"/>
              <w:spacing w:before="36"/>
              <w:ind w:right="98"/>
              <w:rPr>
                <w:sz w:val="20"/>
              </w:rPr>
            </w:pPr>
            <w:r>
              <w:rPr>
                <w:sz w:val="20"/>
              </w:rPr>
              <w:t>41.72</w:t>
            </w:r>
          </w:p>
        </w:tc>
        <w:tc>
          <w:tcPr>
            <w:tcW w:w="1136" w:type="dxa"/>
          </w:tcPr>
          <w:p w:rsidR="007C5447" w:rsidRDefault="00F6308C">
            <w:pPr>
              <w:pStyle w:val="TableParagraph"/>
              <w:spacing w:before="36"/>
              <w:ind w:right="99"/>
              <w:rPr>
                <w:sz w:val="20"/>
              </w:rPr>
            </w:pPr>
            <w:r>
              <w:rPr>
                <w:w w:val="99"/>
                <w:sz w:val="20"/>
              </w:rPr>
              <w:t>-</w:t>
            </w:r>
          </w:p>
        </w:tc>
        <w:tc>
          <w:tcPr>
            <w:tcW w:w="1133" w:type="dxa"/>
          </w:tcPr>
          <w:p w:rsidR="007C5447" w:rsidRDefault="00F6308C">
            <w:pPr>
              <w:pStyle w:val="TableParagraph"/>
              <w:spacing w:before="36"/>
              <w:ind w:right="97"/>
              <w:rPr>
                <w:sz w:val="20"/>
              </w:rPr>
            </w:pPr>
            <w:r>
              <w:rPr>
                <w:w w:val="99"/>
                <w:sz w:val="20"/>
              </w:rPr>
              <w:t>-</w:t>
            </w:r>
          </w:p>
        </w:tc>
      </w:tr>
      <w:tr w:rsidR="007C5447">
        <w:trPr>
          <w:trHeight w:val="301"/>
        </w:trPr>
        <w:tc>
          <w:tcPr>
            <w:tcW w:w="881" w:type="dxa"/>
          </w:tcPr>
          <w:p w:rsidR="007C5447" w:rsidRDefault="00F6308C">
            <w:pPr>
              <w:pStyle w:val="TableParagraph"/>
              <w:spacing w:before="36"/>
              <w:ind w:right="380"/>
              <w:rPr>
                <w:sz w:val="20"/>
              </w:rPr>
            </w:pPr>
            <w:r>
              <w:rPr>
                <w:w w:val="99"/>
                <w:sz w:val="20"/>
              </w:rPr>
              <w:t>2</w:t>
            </w:r>
          </w:p>
        </w:tc>
        <w:tc>
          <w:tcPr>
            <w:tcW w:w="2098" w:type="dxa"/>
          </w:tcPr>
          <w:p w:rsidR="007C5447" w:rsidRDefault="00F6308C">
            <w:pPr>
              <w:pStyle w:val="TableParagraph"/>
              <w:spacing w:before="36"/>
              <w:ind w:left="107"/>
              <w:jc w:val="left"/>
              <w:rPr>
                <w:sz w:val="20"/>
              </w:rPr>
            </w:pPr>
            <w:r>
              <w:rPr>
                <w:sz w:val="20"/>
              </w:rPr>
              <w:t>Tuticorin TPS</w:t>
            </w:r>
          </w:p>
        </w:tc>
        <w:tc>
          <w:tcPr>
            <w:tcW w:w="1135" w:type="dxa"/>
          </w:tcPr>
          <w:p w:rsidR="007C5447" w:rsidRDefault="00F6308C">
            <w:pPr>
              <w:pStyle w:val="TableParagraph"/>
              <w:spacing w:before="36"/>
              <w:ind w:right="97"/>
              <w:rPr>
                <w:sz w:val="20"/>
              </w:rPr>
            </w:pPr>
            <w:r>
              <w:rPr>
                <w:w w:val="95"/>
                <w:sz w:val="20"/>
              </w:rPr>
              <w:t>129.81</w:t>
            </w:r>
          </w:p>
        </w:tc>
        <w:tc>
          <w:tcPr>
            <w:tcW w:w="1133" w:type="dxa"/>
          </w:tcPr>
          <w:p w:rsidR="007C5447" w:rsidRDefault="00F6308C">
            <w:pPr>
              <w:pStyle w:val="TableParagraph"/>
              <w:spacing w:before="36"/>
              <w:ind w:right="95"/>
              <w:rPr>
                <w:sz w:val="20"/>
              </w:rPr>
            </w:pPr>
            <w:r>
              <w:rPr>
                <w:w w:val="95"/>
                <w:sz w:val="20"/>
              </w:rPr>
              <w:t>111.66</w:t>
            </w:r>
          </w:p>
        </w:tc>
        <w:tc>
          <w:tcPr>
            <w:tcW w:w="1136" w:type="dxa"/>
          </w:tcPr>
          <w:p w:rsidR="007C5447" w:rsidRDefault="00F6308C">
            <w:pPr>
              <w:pStyle w:val="TableParagraph"/>
              <w:spacing w:before="36"/>
              <w:ind w:right="98"/>
              <w:rPr>
                <w:sz w:val="20"/>
              </w:rPr>
            </w:pPr>
            <w:r>
              <w:rPr>
                <w:w w:val="95"/>
                <w:sz w:val="20"/>
              </w:rPr>
              <w:t>118.13</w:t>
            </w:r>
          </w:p>
        </w:tc>
        <w:tc>
          <w:tcPr>
            <w:tcW w:w="1133" w:type="dxa"/>
          </w:tcPr>
          <w:p w:rsidR="007C5447" w:rsidRDefault="00F6308C">
            <w:pPr>
              <w:pStyle w:val="TableParagraph"/>
              <w:spacing w:before="36"/>
              <w:ind w:right="96"/>
              <w:rPr>
                <w:sz w:val="20"/>
              </w:rPr>
            </w:pPr>
            <w:r>
              <w:rPr>
                <w:sz w:val="20"/>
              </w:rPr>
              <w:t>150.56</w:t>
            </w:r>
          </w:p>
        </w:tc>
        <w:tc>
          <w:tcPr>
            <w:tcW w:w="1136" w:type="dxa"/>
          </w:tcPr>
          <w:p w:rsidR="007C5447" w:rsidRDefault="00F6308C">
            <w:pPr>
              <w:pStyle w:val="TableParagraph"/>
              <w:spacing w:before="36"/>
              <w:ind w:right="97"/>
              <w:rPr>
                <w:sz w:val="20"/>
              </w:rPr>
            </w:pPr>
            <w:r>
              <w:rPr>
                <w:w w:val="95"/>
                <w:sz w:val="20"/>
              </w:rPr>
              <w:t>139.53</w:t>
            </w:r>
          </w:p>
        </w:tc>
        <w:tc>
          <w:tcPr>
            <w:tcW w:w="1133" w:type="dxa"/>
          </w:tcPr>
          <w:p w:rsidR="007C5447" w:rsidRDefault="00F6308C">
            <w:pPr>
              <w:pStyle w:val="TableParagraph"/>
              <w:spacing w:before="36"/>
              <w:ind w:right="99"/>
              <w:rPr>
                <w:sz w:val="20"/>
              </w:rPr>
            </w:pPr>
            <w:r>
              <w:rPr>
                <w:w w:val="95"/>
                <w:sz w:val="20"/>
              </w:rPr>
              <w:t>139.92</w:t>
            </w:r>
          </w:p>
        </w:tc>
      </w:tr>
      <w:tr w:rsidR="007C5447">
        <w:trPr>
          <w:trHeight w:val="299"/>
        </w:trPr>
        <w:tc>
          <w:tcPr>
            <w:tcW w:w="881" w:type="dxa"/>
          </w:tcPr>
          <w:p w:rsidR="007C5447" w:rsidRDefault="00F6308C">
            <w:pPr>
              <w:pStyle w:val="TableParagraph"/>
              <w:spacing w:before="34"/>
              <w:ind w:right="380"/>
              <w:rPr>
                <w:sz w:val="20"/>
              </w:rPr>
            </w:pPr>
            <w:r>
              <w:rPr>
                <w:w w:val="99"/>
                <w:sz w:val="20"/>
              </w:rPr>
              <w:t>3</w:t>
            </w:r>
          </w:p>
        </w:tc>
        <w:tc>
          <w:tcPr>
            <w:tcW w:w="2098" w:type="dxa"/>
          </w:tcPr>
          <w:p w:rsidR="007C5447" w:rsidRDefault="00F6308C">
            <w:pPr>
              <w:pStyle w:val="TableParagraph"/>
              <w:spacing w:before="34"/>
              <w:ind w:left="107"/>
              <w:jc w:val="left"/>
              <w:rPr>
                <w:sz w:val="20"/>
              </w:rPr>
            </w:pPr>
            <w:r>
              <w:rPr>
                <w:sz w:val="20"/>
              </w:rPr>
              <w:t>Mettur TPS</w:t>
            </w:r>
          </w:p>
        </w:tc>
        <w:tc>
          <w:tcPr>
            <w:tcW w:w="1135" w:type="dxa"/>
          </w:tcPr>
          <w:p w:rsidR="007C5447" w:rsidRDefault="00F6308C">
            <w:pPr>
              <w:pStyle w:val="TableParagraph"/>
              <w:spacing w:before="34"/>
              <w:ind w:right="97"/>
              <w:rPr>
                <w:sz w:val="20"/>
              </w:rPr>
            </w:pPr>
            <w:r>
              <w:rPr>
                <w:w w:val="95"/>
                <w:sz w:val="20"/>
              </w:rPr>
              <w:t>108.83</w:t>
            </w:r>
          </w:p>
        </w:tc>
        <w:tc>
          <w:tcPr>
            <w:tcW w:w="1133" w:type="dxa"/>
          </w:tcPr>
          <w:p w:rsidR="007C5447" w:rsidRDefault="00F6308C">
            <w:pPr>
              <w:pStyle w:val="TableParagraph"/>
              <w:spacing w:before="34"/>
              <w:ind w:right="95"/>
              <w:rPr>
                <w:sz w:val="20"/>
              </w:rPr>
            </w:pPr>
            <w:r>
              <w:rPr>
                <w:sz w:val="20"/>
              </w:rPr>
              <w:t>89.81</w:t>
            </w:r>
          </w:p>
        </w:tc>
        <w:tc>
          <w:tcPr>
            <w:tcW w:w="1136" w:type="dxa"/>
          </w:tcPr>
          <w:p w:rsidR="007C5447" w:rsidRDefault="00F6308C">
            <w:pPr>
              <w:pStyle w:val="TableParagraph"/>
              <w:spacing w:before="34"/>
              <w:ind w:right="98"/>
              <w:rPr>
                <w:sz w:val="20"/>
              </w:rPr>
            </w:pPr>
            <w:r>
              <w:rPr>
                <w:sz w:val="20"/>
              </w:rPr>
              <w:t>94.59</w:t>
            </w:r>
          </w:p>
        </w:tc>
        <w:tc>
          <w:tcPr>
            <w:tcW w:w="1133" w:type="dxa"/>
          </w:tcPr>
          <w:p w:rsidR="007C5447" w:rsidRDefault="00F6308C">
            <w:pPr>
              <w:pStyle w:val="TableParagraph"/>
              <w:spacing w:before="34"/>
              <w:ind w:right="96"/>
              <w:rPr>
                <w:sz w:val="20"/>
              </w:rPr>
            </w:pPr>
            <w:r>
              <w:rPr>
                <w:sz w:val="20"/>
              </w:rPr>
              <w:t>126.22</w:t>
            </w:r>
          </w:p>
        </w:tc>
        <w:tc>
          <w:tcPr>
            <w:tcW w:w="1136" w:type="dxa"/>
          </w:tcPr>
          <w:p w:rsidR="007C5447" w:rsidRDefault="00F6308C">
            <w:pPr>
              <w:pStyle w:val="TableParagraph"/>
              <w:spacing w:before="34"/>
              <w:ind w:right="101"/>
              <w:rPr>
                <w:sz w:val="20"/>
              </w:rPr>
            </w:pPr>
            <w:r>
              <w:rPr>
                <w:w w:val="95"/>
                <w:sz w:val="20"/>
              </w:rPr>
              <w:t>116.98</w:t>
            </w:r>
          </w:p>
        </w:tc>
        <w:tc>
          <w:tcPr>
            <w:tcW w:w="1133" w:type="dxa"/>
          </w:tcPr>
          <w:p w:rsidR="007C5447" w:rsidRDefault="00F6308C">
            <w:pPr>
              <w:pStyle w:val="TableParagraph"/>
              <w:spacing w:before="34"/>
              <w:ind w:right="99"/>
              <w:rPr>
                <w:sz w:val="20"/>
              </w:rPr>
            </w:pPr>
            <w:r>
              <w:rPr>
                <w:w w:val="95"/>
                <w:sz w:val="20"/>
              </w:rPr>
              <w:t>117.30</w:t>
            </w:r>
          </w:p>
        </w:tc>
      </w:tr>
      <w:tr w:rsidR="007C5447">
        <w:trPr>
          <w:trHeight w:val="299"/>
        </w:trPr>
        <w:tc>
          <w:tcPr>
            <w:tcW w:w="881" w:type="dxa"/>
          </w:tcPr>
          <w:p w:rsidR="007C5447" w:rsidRDefault="00F6308C">
            <w:pPr>
              <w:pStyle w:val="TableParagraph"/>
              <w:spacing w:before="34"/>
              <w:ind w:right="380"/>
              <w:rPr>
                <w:sz w:val="20"/>
              </w:rPr>
            </w:pPr>
            <w:r>
              <w:rPr>
                <w:w w:val="99"/>
                <w:sz w:val="20"/>
              </w:rPr>
              <w:t>4</w:t>
            </w:r>
          </w:p>
        </w:tc>
        <w:tc>
          <w:tcPr>
            <w:tcW w:w="2098" w:type="dxa"/>
          </w:tcPr>
          <w:p w:rsidR="007C5447" w:rsidRDefault="00F6308C">
            <w:pPr>
              <w:pStyle w:val="TableParagraph"/>
              <w:spacing w:before="34"/>
              <w:ind w:left="107"/>
              <w:jc w:val="left"/>
              <w:rPr>
                <w:sz w:val="20"/>
              </w:rPr>
            </w:pPr>
            <w:r>
              <w:rPr>
                <w:sz w:val="20"/>
              </w:rPr>
              <w:t>North Chennai TPS</w:t>
            </w:r>
          </w:p>
        </w:tc>
        <w:tc>
          <w:tcPr>
            <w:tcW w:w="1135" w:type="dxa"/>
          </w:tcPr>
          <w:p w:rsidR="007C5447" w:rsidRDefault="00F6308C">
            <w:pPr>
              <w:pStyle w:val="TableParagraph"/>
              <w:spacing w:before="34"/>
              <w:ind w:right="97"/>
              <w:rPr>
                <w:sz w:val="20"/>
              </w:rPr>
            </w:pPr>
            <w:r>
              <w:rPr>
                <w:sz w:val="20"/>
              </w:rPr>
              <w:t>74.74</w:t>
            </w:r>
          </w:p>
        </w:tc>
        <w:tc>
          <w:tcPr>
            <w:tcW w:w="1133" w:type="dxa"/>
          </w:tcPr>
          <w:p w:rsidR="007C5447" w:rsidRDefault="00F6308C">
            <w:pPr>
              <w:pStyle w:val="TableParagraph"/>
              <w:spacing w:before="34"/>
              <w:ind w:right="95"/>
              <w:rPr>
                <w:sz w:val="20"/>
              </w:rPr>
            </w:pPr>
            <w:r>
              <w:rPr>
                <w:sz w:val="20"/>
              </w:rPr>
              <w:t>66.05</w:t>
            </w:r>
          </w:p>
        </w:tc>
        <w:tc>
          <w:tcPr>
            <w:tcW w:w="1136" w:type="dxa"/>
          </w:tcPr>
          <w:p w:rsidR="007C5447" w:rsidRDefault="00F6308C">
            <w:pPr>
              <w:pStyle w:val="TableParagraph"/>
              <w:spacing w:before="34"/>
              <w:ind w:right="98"/>
              <w:rPr>
                <w:sz w:val="20"/>
              </w:rPr>
            </w:pPr>
            <w:r>
              <w:rPr>
                <w:sz w:val="20"/>
              </w:rPr>
              <w:t>72.53</w:t>
            </w:r>
          </w:p>
        </w:tc>
        <w:tc>
          <w:tcPr>
            <w:tcW w:w="1133" w:type="dxa"/>
          </w:tcPr>
          <w:p w:rsidR="007C5447" w:rsidRDefault="00F6308C">
            <w:pPr>
              <w:pStyle w:val="TableParagraph"/>
              <w:spacing w:before="34"/>
              <w:ind w:right="98"/>
              <w:rPr>
                <w:sz w:val="20"/>
              </w:rPr>
            </w:pPr>
            <w:r>
              <w:rPr>
                <w:sz w:val="20"/>
              </w:rPr>
              <w:t>86.68</w:t>
            </w:r>
          </w:p>
        </w:tc>
        <w:tc>
          <w:tcPr>
            <w:tcW w:w="1136" w:type="dxa"/>
          </w:tcPr>
          <w:p w:rsidR="007C5447" w:rsidRDefault="00F6308C">
            <w:pPr>
              <w:pStyle w:val="TableParagraph"/>
              <w:spacing w:before="34"/>
              <w:ind w:right="100"/>
              <w:rPr>
                <w:sz w:val="20"/>
              </w:rPr>
            </w:pPr>
            <w:r>
              <w:rPr>
                <w:w w:val="95"/>
                <w:sz w:val="20"/>
              </w:rPr>
              <w:t>80.34</w:t>
            </w:r>
          </w:p>
        </w:tc>
        <w:tc>
          <w:tcPr>
            <w:tcW w:w="1133" w:type="dxa"/>
          </w:tcPr>
          <w:p w:rsidR="007C5447" w:rsidRDefault="00F6308C">
            <w:pPr>
              <w:pStyle w:val="TableParagraph"/>
              <w:spacing w:before="34"/>
              <w:ind w:right="99"/>
              <w:rPr>
                <w:sz w:val="20"/>
              </w:rPr>
            </w:pPr>
            <w:r>
              <w:rPr>
                <w:w w:val="95"/>
                <w:sz w:val="20"/>
              </w:rPr>
              <w:t>80.56</w:t>
            </w:r>
          </w:p>
        </w:tc>
      </w:tr>
      <w:tr w:rsidR="007C5447">
        <w:trPr>
          <w:trHeight w:val="299"/>
        </w:trPr>
        <w:tc>
          <w:tcPr>
            <w:tcW w:w="881" w:type="dxa"/>
          </w:tcPr>
          <w:p w:rsidR="007C5447" w:rsidRDefault="00F6308C">
            <w:pPr>
              <w:pStyle w:val="TableParagraph"/>
              <w:spacing w:before="34"/>
              <w:ind w:right="380"/>
              <w:rPr>
                <w:sz w:val="20"/>
              </w:rPr>
            </w:pPr>
            <w:r>
              <w:rPr>
                <w:w w:val="99"/>
                <w:sz w:val="20"/>
              </w:rPr>
              <w:t>5</w:t>
            </w:r>
          </w:p>
        </w:tc>
        <w:tc>
          <w:tcPr>
            <w:tcW w:w="2098" w:type="dxa"/>
          </w:tcPr>
          <w:p w:rsidR="007C5447" w:rsidRDefault="00F6308C">
            <w:pPr>
              <w:pStyle w:val="TableParagraph"/>
              <w:spacing w:before="34"/>
              <w:ind w:left="107"/>
              <w:jc w:val="left"/>
              <w:rPr>
                <w:sz w:val="20"/>
              </w:rPr>
            </w:pPr>
            <w:r>
              <w:rPr>
                <w:sz w:val="20"/>
              </w:rPr>
              <w:t>Mettur TPS Stage III</w:t>
            </w:r>
          </w:p>
        </w:tc>
        <w:tc>
          <w:tcPr>
            <w:tcW w:w="1135" w:type="dxa"/>
          </w:tcPr>
          <w:p w:rsidR="007C5447" w:rsidRDefault="00F6308C">
            <w:pPr>
              <w:pStyle w:val="TableParagraph"/>
              <w:spacing w:before="34"/>
              <w:ind w:right="97"/>
              <w:rPr>
                <w:sz w:val="20"/>
              </w:rPr>
            </w:pPr>
            <w:r>
              <w:rPr>
                <w:sz w:val="20"/>
              </w:rPr>
              <w:t>77.25</w:t>
            </w:r>
          </w:p>
        </w:tc>
        <w:tc>
          <w:tcPr>
            <w:tcW w:w="1133" w:type="dxa"/>
          </w:tcPr>
          <w:p w:rsidR="007C5447" w:rsidRDefault="00F6308C">
            <w:pPr>
              <w:pStyle w:val="TableParagraph"/>
              <w:spacing w:before="34"/>
              <w:ind w:right="95"/>
              <w:rPr>
                <w:sz w:val="20"/>
              </w:rPr>
            </w:pPr>
            <w:r>
              <w:rPr>
                <w:sz w:val="20"/>
              </w:rPr>
              <w:t>71.17</w:t>
            </w:r>
          </w:p>
        </w:tc>
        <w:tc>
          <w:tcPr>
            <w:tcW w:w="1136" w:type="dxa"/>
          </w:tcPr>
          <w:p w:rsidR="007C5447" w:rsidRDefault="00F6308C">
            <w:pPr>
              <w:pStyle w:val="TableParagraph"/>
              <w:spacing w:before="34"/>
              <w:ind w:right="98"/>
              <w:rPr>
                <w:sz w:val="20"/>
              </w:rPr>
            </w:pPr>
            <w:r>
              <w:rPr>
                <w:sz w:val="20"/>
              </w:rPr>
              <w:t>74.10</w:t>
            </w:r>
          </w:p>
        </w:tc>
        <w:tc>
          <w:tcPr>
            <w:tcW w:w="1133" w:type="dxa"/>
          </w:tcPr>
          <w:p w:rsidR="007C5447" w:rsidRDefault="00F6308C">
            <w:pPr>
              <w:pStyle w:val="TableParagraph"/>
              <w:spacing w:before="34"/>
              <w:ind w:right="98"/>
              <w:rPr>
                <w:sz w:val="20"/>
              </w:rPr>
            </w:pPr>
            <w:r>
              <w:rPr>
                <w:sz w:val="20"/>
              </w:rPr>
              <w:t>89.59</w:t>
            </w:r>
          </w:p>
        </w:tc>
        <w:tc>
          <w:tcPr>
            <w:tcW w:w="1136" w:type="dxa"/>
          </w:tcPr>
          <w:p w:rsidR="007C5447" w:rsidRDefault="00F6308C">
            <w:pPr>
              <w:pStyle w:val="TableParagraph"/>
              <w:spacing w:before="34"/>
              <w:ind w:right="100"/>
              <w:rPr>
                <w:sz w:val="20"/>
              </w:rPr>
            </w:pPr>
            <w:r>
              <w:rPr>
                <w:w w:val="95"/>
                <w:sz w:val="20"/>
              </w:rPr>
              <w:t>83.03</w:t>
            </w:r>
          </w:p>
        </w:tc>
        <w:tc>
          <w:tcPr>
            <w:tcW w:w="1133" w:type="dxa"/>
          </w:tcPr>
          <w:p w:rsidR="007C5447" w:rsidRDefault="00F6308C">
            <w:pPr>
              <w:pStyle w:val="TableParagraph"/>
              <w:spacing w:before="34"/>
              <w:ind w:right="99"/>
              <w:rPr>
                <w:sz w:val="20"/>
              </w:rPr>
            </w:pPr>
            <w:r>
              <w:rPr>
                <w:w w:val="95"/>
                <w:sz w:val="20"/>
              </w:rPr>
              <w:t>83.26</w:t>
            </w:r>
          </w:p>
        </w:tc>
      </w:tr>
      <w:tr w:rsidR="007C5447">
        <w:trPr>
          <w:trHeight w:val="299"/>
        </w:trPr>
        <w:tc>
          <w:tcPr>
            <w:tcW w:w="881" w:type="dxa"/>
          </w:tcPr>
          <w:p w:rsidR="007C5447" w:rsidRDefault="00F6308C">
            <w:pPr>
              <w:pStyle w:val="TableParagraph"/>
              <w:spacing w:before="36"/>
              <w:ind w:right="380"/>
              <w:rPr>
                <w:sz w:val="20"/>
              </w:rPr>
            </w:pPr>
            <w:r>
              <w:rPr>
                <w:w w:val="99"/>
                <w:sz w:val="20"/>
              </w:rPr>
              <w:t>6</w:t>
            </w:r>
          </w:p>
        </w:tc>
        <w:tc>
          <w:tcPr>
            <w:tcW w:w="2098" w:type="dxa"/>
          </w:tcPr>
          <w:p w:rsidR="007C5447" w:rsidRDefault="00F6308C">
            <w:pPr>
              <w:pStyle w:val="TableParagraph"/>
              <w:spacing w:before="36"/>
              <w:ind w:left="107"/>
              <w:jc w:val="left"/>
              <w:rPr>
                <w:sz w:val="20"/>
              </w:rPr>
            </w:pPr>
            <w:r>
              <w:rPr>
                <w:sz w:val="20"/>
              </w:rPr>
              <w:t>North Chennai TPS II</w:t>
            </w:r>
          </w:p>
        </w:tc>
        <w:tc>
          <w:tcPr>
            <w:tcW w:w="1135" w:type="dxa"/>
          </w:tcPr>
          <w:p w:rsidR="007C5447" w:rsidRDefault="00F6308C">
            <w:pPr>
              <w:pStyle w:val="TableParagraph"/>
              <w:spacing w:before="36"/>
              <w:ind w:right="97"/>
              <w:rPr>
                <w:sz w:val="20"/>
              </w:rPr>
            </w:pPr>
            <w:r>
              <w:rPr>
                <w:sz w:val="20"/>
              </w:rPr>
              <w:t>92.81</w:t>
            </w:r>
          </w:p>
        </w:tc>
        <w:tc>
          <w:tcPr>
            <w:tcW w:w="1133" w:type="dxa"/>
          </w:tcPr>
          <w:p w:rsidR="007C5447" w:rsidRDefault="00F6308C">
            <w:pPr>
              <w:pStyle w:val="TableParagraph"/>
              <w:spacing w:before="36"/>
              <w:ind w:right="95"/>
              <w:rPr>
                <w:sz w:val="20"/>
              </w:rPr>
            </w:pPr>
            <w:r>
              <w:rPr>
                <w:w w:val="95"/>
                <w:sz w:val="20"/>
              </w:rPr>
              <w:t>113.32</w:t>
            </w:r>
          </w:p>
        </w:tc>
        <w:tc>
          <w:tcPr>
            <w:tcW w:w="1136" w:type="dxa"/>
          </w:tcPr>
          <w:p w:rsidR="007C5447" w:rsidRDefault="00F6308C">
            <w:pPr>
              <w:pStyle w:val="TableParagraph"/>
              <w:spacing w:before="36"/>
              <w:ind w:right="98"/>
              <w:rPr>
                <w:sz w:val="20"/>
              </w:rPr>
            </w:pPr>
            <w:r>
              <w:rPr>
                <w:w w:val="95"/>
                <w:sz w:val="20"/>
              </w:rPr>
              <w:t>117.56</w:t>
            </w:r>
          </w:p>
        </w:tc>
        <w:tc>
          <w:tcPr>
            <w:tcW w:w="1133" w:type="dxa"/>
          </w:tcPr>
          <w:p w:rsidR="007C5447" w:rsidRDefault="00F6308C">
            <w:pPr>
              <w:pStyle w:val="TableParagraph"/>
              <w:spacing w:before="36"/>
              <w:ind w:right="96"/>
              <w:rPr>
                <w:sz w:val="20"/>
              </w:rPr>
            </w:pPr>
            <w:r>
              <w:rPr>
                <w:sz w:val="20"/>
              </w:rPr>
              <w:t>107.64</w:t>
            </w:r>
          </w:p>
        </w:tc>
        <w:tc>
          <w:tcPr>
            <w:tcW w:w="1136" w:type="dxa"/>
          </w:tcPr>
          <w:p w:rsidR="007C5447" w:rsidRDefault="00F6308C">
            <w:pPr>
              <w:pStyle w:val="TableParagraph"/>
              <w:spacing w:before="36"/>
              <w:ind w:right="100"/>
              <w:rPr>
                <w:sz w:val="20"/>
              </w:rPr>
            </w:pPr>
            <w:r>
              <w:rPr>
                <w:w w:val="95"/>
                <w:sz w:val="20"/>
              </w:rPr>
              <w:t>99.76</w:t>
            </w:r>
          </w:p>
        </w:tc>
        <w:tc>
          <w:tcPr>
            <w:tcW w:w="1133" w:type="dxa"/>
          </w:tcPr>
          <w:p w:rsidR="007C5447" w:rsidRDefault="00F6308C">
            <w:pPr>
              <w:pStyle w:val="TableParagraph"/>
              <w:spacing w:before="36"/>
              <w:ind w:right="99"/>
              <w:rPr>
                <w:sz w:val="20"/>
              </w:rPr>
            </w:pPr>
            <w:r>
              <w:rPr>
                <w:w w:val="95"/>
                <w:sz w:val="20"/>
              </w:rPr>
              <w:t>100.04</w:t>
            </w:r>
          </w:p>
        </w:tc>
      </w:tr>
      <w:tr w:rsidR="007C5447">
        <w:trPr>
          <w:trHeight w:val="299"/>
        </w:trPr>
        <w:tc>
          <w:tcPr>
            <w:tcW w:w="881" w:type="dxa"/>
          </w:tcPr>
          <w:p w:rsidR="007C5447" w:rsidRDefault="00F6308C">
            <w:pPr>
              <w:pStyle w:val="TableParagraph"/>
              <w:spacing w:before="36"/>
              <w:ind w:right="380"/>
              <w:rPr>
                <w:sz w:val="20"/>
              </w:rPr>
            </w:pPr>
            <w:r>
              <w:rPr>
                <w:w w:val="99"/>
                <w:sz w:val="20"/>
              </w:rPr>
              <w:t>7</w:t>
            </w:r>
          </w:p>
        </w:tc>
        <w:tc>
          <w:tcPr>
            <w:tcW w:w="2098" w:type="dxa"/>
          </w:tcPr>
          <w:p w:rsidR="007C5447" w:rsidRDefault="00F6308C">
            <w:pPr>
              <w:pStyle w:val="TableParagraph"/>
              <w:spacing w:before="36"/>
              <w:ind w:left="107"/>
              <w:jc w:val="left"/>
              <w:rPr>
                <w:sz w:val="20"/>
              </w:rPr>
            </w:pPr>
            <w:r>
              <w:rPr>
                <w:sz w:val="20"/>
              </w:rPr>
              <w:t>Ennore Expansion</w:t>
            </w:r>
          </w:p>
        </w:tc>
        <w:tc>
          <w:tcPr>
            <w:tcW w:w="1135" w:type="dxa"/>
          </w:tcPr>
          <w:p w:rsidR="007C5447" w:rsidRDefault="00F6308C">
            <w:pPr>
              <w:pStyle w:val="TableParagraph"/>
              <w:spacing w:before="36"/>
              <w:ind w:right="98"/>
              <w:rPr>
                <w:sz w:val="20"/>
              </w:rPr>
            </w:pPr>
            <w:r>
              <w:rPr>
                <w:w w:val="99"/>
                <w:sz w:val="20"/>
              </w:rPr>
              <w:t>-</w:t>
            </w:r>
          </w:p>
        </w:tc>
        <w:tc>
          <w:tcPr>
            <w:tcW w:w="1133" w:type="dxa"/>
          </w:tcPr>
          <w:p w:rsidR="007C5447" w:rsidRDefault="00F6308C">
            <w:pPr>
              <w:pStyle w:val="TableParagraph"/>
              <w:spacing w:before="36"/>
              <w:ind w:right="96"/>
              <w:rPr>
                <w:sz w:val="20"/>
              </w:rPr>
            </w:pPr>
            <w:r>
              <w:rPr>
                <w:w w:val="99"/>
                <w:sz w:val="20"/>
              </w:rPr>
              <w:t>-</w:t>
            </w:r>
          </w:p>
        </w:tc>
        <w:tc>
          <w:tcPr>
            <w:tcW w:w="1136" w:type="dxa"/>
          </w:tcPr>
          <w:p w:rsidR="007C5447" w:rsidRDefault="00F6308C">
            <w:pPr>
              <w:pStyle w:val="TableParagraph"/>
              <w:spacing w:before="36"/>
              <w:ind w:right="98"/>
              <w:rPr>
                <w:sz w:val="20"/>
              </w:rPr>
            </w:pPr>
            <w:r>
              <w:rPr>
                <w:sz w:val="20"/>
              </w:rPr>
              <w:t>45.21</w:t>
            </w:r>
          </w:p>
        </w:tc>
        <w:tc>
          <w:tcPr>
            <w:tcW w:w="1133" w:type="dxa"/>
          </w:tcPr>
          <w:p w:rsidR="007C5447" w:rsidRDefault="00F6308C">
            <w:pPr>
              <w:pStyle w:val="TableParagraph"/>
              <w:spacing w:before="36"/>
              <w:ind w:right="97"/>
              <w:rPr>
                <w:sz w:val="20"/>
              </w:rPr>
            </w:pPr>
            <w:r>
              <w:rPr>
                <w:w w:val="99"/>
                <w:sz w:val="20"/>
              </w:rPr>
              <w:t>-</w:t>
            </w:r>
          </w:p>
        </w:tc>
        <w:tc>
          <w:tcPr>
            <w:tcW w:w="1136" w:type="dxa"/>
          </w:tcPr>
          <w:p w:rsidR="007C5447" w:rsidRDefault="00F6308C">
            <w:pPr>
              <w:pStyle w:val="TableParagraph"/>
              <w:spacing w:before="36"/>
              <w:ind w:right="99"/>
              <w:rPr>
                <w:sz w:val="20"/>
              </w:rPr>
            </w:pPr>
            <w:r>
              <w:rPr>
                <w:w w:val="99"/>
                <w:sz w:val="20"/>
              </w:rPr>
              <w:t>-</w:t>
            </w:r>
          </w:p>
        </w:tc>
        <w:tc>
          <w:tcPr>
            <w:tcW w:w="1133" w:type="dxa"/>
          </w:tcPr>
          <w:p w:rsidR="007C5447" w:rsidRDefault="00F6308C">
            <w:pPr>
              <w:pStyle w:val="TableParagraph"/>
              <w:spacing w:before="36"/>
              <w:ind w:right="98"/>
              <w:rPr>
                <w:sz w:val="20"/>
              </w:rPr>
            </w:pPr>
            <w:r>
              <w:rPr>
                <w:w w:val="95"/>
                <w:sz w:val="20"/>
              </w:rPr>
              <w:t>45.21</w:t>
            </w:r>
          </w:p>
        </w:tc>
      </w:tr>
      <w:tr w:rsidR="007C5447">
        <w:trPr>
          <w:trHeight w:val="302"/>
        </w:trPr>
        <w:tc>
          <w:tcPr>
            <w:tcW w:w="881" w:type="dxa"/>
          </w:tcPr>
          <w:p w:rsidR="007C5447" w:rsidRDefault="00F6308C">
            <w:pPr>
              <w:pStyle w:val="TableParagraph"/>
              <w:spacing w:before="37"/>
              <w:ind w:right="380"/>
              <w:rPr>
                <w:sz w:val="20"/>
              </w:rPr>
            </w:pPr>
            <w:r>
              <w:rPr>
                <w:w w:val="99"/>
                <w:sz w:val="20"/>
              </w:rPr>
              <w:t>8</w:t>
            </w:r>
          </w:p>
        </w:tc>
        <w:tc>
          <w:tcPr>
            <w:tcW w:w="2098" w:type="dxa"/>
          </w:tcPr>
          <w:p w:rsidR="007C5447" w:rsidRDefault="00F6308C">
            <w:pPr>
              <w:pStyle w:val="TableParagraph"/>
              <w:spacing w:before="37"/>
              <w:ind w:left="107"/>
              <w:jc w:val="left"/>
              <w:rPr>
                <w:sz w:val="20"/>
              </w:rPr>
            </w:pPr>
            <w:r>
              <w:rPr>
                <w:sz w:val="20"/>
              </w:rPr>
              <w:t>Tirumakottai GTPS</w:t>
            </w:r>
          </w:p>
        </w:tc>
        <w:tc>
          <w:tcPr>
            <w:tcW w:w="1135" w:type="dxa"/>
          </w:tcPr>
          <w:p w:rsidR="007C5447" w:rsidRDefault="00F6308C">
            <w:pPr>
              <w:pStyle w:val="TableParagraph"/>
              <w:spacing w:before="37"/>
              <w:ind w:right="97"/>
              <w:rPr>
                <w:sz w:val="20"/>
              </w:rPr>
            </w:pPr>
            <w:r>
              <w:rPr>
                <w:sz w:val="20"/>
              </w:rPr>
              <w:t>13.27</w:t>
            </w:r>
          </w:p>
        </w:tc>
        <w:tc>
          <w:tcPr>
            <w:tcW w:w="1133" w:type="dxa"/>
          </w:tcPr>
          <w:p w:rsidR="007C5447" w:rsidRDefault="00F6308C">
            <w:pPr>
              <w:pStyle w:val="TableParagraph"/>
              <w:spacing w:before="37"/>
              <w:ind w:right="95"/>
              <w:rPr>
                <w:sz w:val="20"/>
              </w:rPr>
            </w:pPr>
            <w:r>
              <w:rPr>
                <w:sz w:val="20"/>
              </w:rPr>
              <w:t>11.39</w:t>
            </w:r>
          </w:p>
        </w:tc>
        <w:tc>
          <w:tcPr>
            <w:tcW w:w="1136" w:type="dxa"/>
          </w:tcPr>
          <w:p w:rsidR="007C5447" w:rsidRDefault="00F6308C">
            <w:pPr>
              <w:pStyle w:val="TableParagraph"/>
              <w:spacing w:before="37"/>
              <w:ind w:right="98"/>
              <w:rPr>
                <w:sz w:val="20"/>
              </w:rPr>
            </w:pPr>
            <w:r>
              <w:rPr>
                <w:sz w:val="20"/>
              </w:rPr>
              <w:t>12.21</w:t>
            </w:r>
          </w:p>
        </w:tc>
        <w:tc>
          <w:tcPr>
            <w:tcW w:w="1133" w:type="dxa"/>
          </w:tcPr>
          <w:p w:rsidR="007C5447" w:rsidRDefault="00F6308C">
            <w:pPr>
              <w:pStyle w:val="TableParagraph"/>
              <w:spacing w:before="37"/>
              <w:ind w:right="98"/>
              <w:rPr>
                <w:sz w:val="20"/>
              </w:rPr>
            </w:pPr>
            <w:r>
              <w:rPr>
                <w:sz w:val="20"/>
              </w:rPr>
              <w:t>15.39</w:t>
            </w:r>
          </w:p>
        </w:tc>
        <w:tc>
          <w:tcPr>
            <w:tcW w:w="1136" w:type="dxa"/>
          </w:tcPr>
          <w:p w:rsidR="007C5447" w:rsidRDefault="00F6308C">
            <w:pPr>
              <w:pStyle w:val="TableParagraph"/>
              <w:spacing w:before="37"/>
              <w:ind w:right="100"/>
              <w:rPr>
                <w:sz w:val="20"/>
              </w:rPr>
            </w:pPr>
            <w:r>
              <w:rPr>
                <w:w w:val="95"/>
                <w:sz w:val="20"/>
              </w:rPr>
              <w:t>14.27</w:t>
            </w:r>
          </w:p>
        </w:tc>
        <w:tc>
          <w:tcPr>
            <w:tcW w:w="1133" w:type="dxa"/>
          </w:tcPr>
          <w:p w:rsidR="007C5447" w:rsidRDefault="00F6308C">
            <w:pPr>
              <w:pStyle w:val="TableParagraph"/>
              <w:spacing w:before="37"/>
              <w:ind w:right="98"/>
              <w:rPr>
                <w:sz w:val="20"/>
              </w:rPr>
            </w:pPr>
            <w:r>
              <w:rPr>
                <w:w w:val="95"/>
                <w:sz w:val="20"/>
              </w:rPr>
              <w:t>14.31</w:t>
            </w:r>
          </w:p>
        </w:tc>
      </w:tr>
      <w:tr w:rsidR="007C5447">
        <w:trPr>
          <w:trHeight w:val="299"/>
        </w:trPr>
        <w:tc>
          <w:tcPr>
            <w:tcW w:w="881" w:type="dxa"/>
          </w:tcPr>
          <w:p w:rsidR="007C5447" w:rsidRDefault="00F6308C">
            <w:pPr>
              <w:pStyle w:val="TableParagraph"/>
              <w:spacing w:before="34"/>
              <w:ind w:right="380"/>
              <w:rPr>
                <w:sz w:val="20"/>
              </w:rPr>
            </w:pPr>
            <w:r>
              <w:rPr>
                <w:w w:val="99"/>
                <w:sz w:val="20"/>
              </w:rPr>
              <w:t>9</w:t>
            </w:r>
          </w:p>
        </w:tc>
        <w:tc>
          <w:tcPr>
            <w:tcW w:w="2098" w:type="dxa"/>
          </w:tcPr>
          <w:p w:rsidR="007C5447" w:rsidRDefault="00F6308C">
            <w:pPr>
              <w:pStyle w:val="TableParagraph"/>
              <w:spacing w:before="34"/>
              <w:ind w:left="107"/>
              <w:jc w:val="left"/>
              <w:rPr>
                <w:sz w:val="20"/>
              </w:rPr>
            </w:pPr>
            <w:r>
              <w:rPr>
                <w:sz w:val="20"/>
              </w:rPr>
              <w:t>Kuttalam GTPS</w:t>
            </w:r>
          </w:p>
        </w:tc>
        <w:tc>
          <w:tcPr>
            <w:tcW w:w="1135" w:type="dxa"/>
          </w:tcPr>
          <w:p w:rsidR="007C5447" w:rsidRDefault="00F6308C">
            <w:pPr>
              <w:pStyle w:val="TableParagraph"/>
              <w:spacing w:before="34"/>
              <w:ind w:right="97"/>
              <w:rPr>
                <w:sz w:val="20"/>
              </w:rPr>
            </w:pPr>
            <w:r>
              <w:rPr>
                <w:sz w:val="20"/>
              </w:rPr>
              <w:t>12.02</w:t>
            </w:r>
          </w:p>
        </w:tc>
        <w:tc>
          <w:tcPr>
            <w:tcW w:w="1133" w:type="dxa"/>
          </w:tcPr>
          <w:p w:rsidR="007C5447" w:rsidRDefault="00F6308C">
            <w:pPr>
              <w:pStyle w:val="TableParagraph"/>
              <w:spacing w:before="34"/>
              <w:ind w:right="95"/>
              <w:rPr>
                <w:sz w:val="20"/>
              </w:rPr>
            </w:pPr>
            <w:r>
              <w:rPr>
                <w:sz w:val="20"/>
              </w:rPr>
              <w:t>10.35</w:t>
            </w:r>
          </w:p>
        </w:tc>
        <w:tc>
          <w:tcPr>
            <w:tcW w:w="1136" w:type="dxa"/>
          </w:tcPr>
          <w:p w:rsidR="007C5447" w:rsidRDefault="00F6308C">
            <w:pPr>
              <w:pStyle w:val="TableParagraph"/>
              <w:spacing w:before="34"/>
              <w:ind w:right="98"/>
              <w:rPr>
                <w:sz w:val="20"/>
              </w:rPr>
            </w:pPr>
            <w:r>
              <w:rPr>
                <w:sz w:val="20"/>
              </w:rPr>
              <w:t>10.84</w:t>
            </w:r>
          </w:p>
        </w:tc>
        <w:tc>
          <w:tcPr>
            <w:tcW w:w="1133" w:type="dxa"/>
          </w:tcPr>
          <w:p w:rsidR="007C5447" w:rsidRDefault="00F6308C">
            <w:pPr>
              <w:pStyle w:val="TableParagraph"/>
              <w:spacing w:before="34"/>
              <w:ind w:right="97"/>
              <w:rPr>
                <w:sz w:val="20"/>
              </w:rPr>
            </w:pPr>
            <w:r>
              <w:rPr>
                <w:w w:val="95"/>
                <w:sz w:val="20"/>
              </w:rPr>
              <w:t>13.94</w:t>
            </w:r>
          </w:p>
        </w:tc>
        <w:tc>
          <w:tcPr>
            <w:tcW w:w="1136" w:type="dxa"/>
          </w:tcPr>
          <w:p w:rsidR="007C5447" w:rsidRDefault="00F6308C">
            <w:pPr>
              <w:pStyle w:val="TableParagraph"/>
              <w:spacing w:before="34"/>
              <w:ind w:right="100"/>
              <w:rPr>
                <w:sz w:val="20"/>
              </w:rPr>
            </w:pPr>
            <w:r>
              <w:rPr>
                <w:w w:val="95"/>
                <w:sz w:val="20"/>
              </w:rPr>
              <w:t>12.92</w:t>
            </w:r>
          </w:p>
        </w:tc>
        <w:tc>
          <w:tcPr>
            <w:tcW w:w="1133" w:type="dxa"/>
          </w:tcPr>
          <w:p w:rsidR="007C5447" w:rsidRDefault="00F6308C">
            <w:pPr>
              <w:pStyle w:val="TableParagraph"/>
              <w:spacing w:before="34"/>
              <w:ind w:right="98"/>
              <w:rPr>
                <w:sz w:val="20"/>
              </w:rPr>
            </w:pPr>
            <w:r>
              <w:rPr>
                <w:w w:val="95"/>
                <w:sz w:val="20"/>
              </w:rPr>
              <w:t>12.95</w:t>
            </w:r>
          </w:p>
        </w:tc>
      </w:tr>
      <w:tr w:rsidR="007C5447">
        <w:trPr>
          <w:trHeight w:val="299"/>
        </w:trPr>
        <w:tc>
          <w:tcPr>
            <w:tcW w:w="881" w:type="dxa"/>
          </w:tcPr>
          <w:p w:rsidR="007C5447" w:rsidRDefault="00F6308C">
            <w:pPr>
              <w:pStyle w:val="TableParagraph"/>
              <w:spacing w:before="34"/>
              <w:ind w:right="326"/>
              <w:rPr>
                <w:sz w:val="20"/>
              </w:rPr>
            </w:pPr>
            <w:r>
              <w:rPr>
                <w:sz w:val="20"/>
              </w:rPr>
              <w:t>10</w:t>
            </w:r>
          </w:p>
        </w:tc>
        <w:tc>
          <w:tcPr>
            <w:tcW w:w="2098" w:type="dxa"/>
          </w:tcPr>
          <w:p w:rsidR="007C5447" w:rsidRDefault="00F6308C">
            <w:pPr>
              <w:pStyle w:val="TableParagraph"/>
              <w:spacing w:before="34"/>
              <w:ind w:left="107"/>
              <w:jc w:val="left"/>
              <w:rPr>
                <w:sz w:val="20"/>
              </w:rPr>
            </w:pPr>
            <w:r>
              <w:rPr>
                <w:sz w:val="20"/>
              </w:rPr>
              <w:t>Basin Bridge GTPS</w:t>
            </w:r>
          </w:p>
        </w:tc>
        <w:tc>
          <w:tcPr>
            <w:tcW w:w="1135" w:type="dxa"/>
          </w:tcPr>
          <w:p w:rsidR="007C5447" w:rsidRDefault="00F6308C">
            <w:pPr>
              <w:pStyle w:val="TableParagraph"/>
              <w:spacing w:before="34"/>
              <w:ind w:right="97"/>
              <w:rPr>
                <w:sz w:val="20"/>
              </w:rPr>
            </w:pPr>
            <w:r>
              <w:rPr>
                <w:sz w:val="20"/>
              </w:rPr>
              <w:t>11.77</w:t>
            </w:r>
          </w:p>
        </w:tc>
        <w:tc>
          <w:tcPr>
            <w:tcW w:w="1133" w:type="dxa"/>
          </w:tcPr>
          <w:p w:rsidR="007C5447" w:rsidRDefault="00F6308C">
            <w:pPr>
              <w:pStyle w:val="TableParagraph"/>
              <w:spacing w:before="34"/>
              <w:ind w:right="95"/>
              <w:rPr>
                <w:sz w:val="20"/>
              </w:rPr>
            </w:pPr>
            <w:r>
              <w:rPr>
                <w:sz w:val="20"/>
              </w:rPr>
              <w:t>10.90</w:t>
            </w:r>
          </w:p>
        </w:tc>
        <w:tc>
          <w:tcPr>
            <w:tcW w:w="1136" w:type="dxa"/>
          </w:tcPr>
          <w:p w:rsidR="007C5447" w:rsidRDefault="00F6308C">
            <w:pPr>
              <w:pStyle w:val="TableParagraph"/>
              <w:spacing w:before="34"/>
              <w:ind w:right="98"/>
              <w:rPr>
                <w:sz w:val="20"/>
              </w:rPr>
            </w:pPr>
            <w:r>
              <w:rPr>
                <w:sz w:val="20"/>
              </w:rPr>
              <w:t>10.76</w:t>
            </w:r>
          </w:p>
        </w:tc>
        <w:tc>
          <w:tcPr>
            <w:tcW w:w="1133" w:type="dxa"/>
          </w:tcPr>
          <w:p w:rsidR="007C5447" w:rsidRDefault="00F6308C">
            <w:pPr>
              <w:pStyle w:val="TableParagraph"/>
              <w:spacing w:before="34"/>
              <w:ind w:right="97"/>
              <w:rPr>
                <w:sz w:val="20"/>
              </w:rPr>
            </w:pPr>
            <w:r>
              <w:rPr>
                <w:w w:val="95"/>
                <w:sz w:val="20"/>
              </w:rPr>
              <w:t>13.65</w:t>
            </w:r>
          </w:p>
        </w:tc>
        <w:tc>
          <w:tcPr>
            <w:tcW w:w="1136" w:type="dxa"/>
          </w:tcPr>
          <w:p w:rsidR="007C5447" w:rsidRDefault="00F6308C">
            <w:pPr>
              <w:pStyle w:val="TableParagraph"/>
              <w:spacing w:before="34"/>
              <w:ind w:right="100"/>
              <w:rPr>
                <w:sz w:val="20"/>
              </w:rPr>
            </w:pPr>
            <w:r>
              <w:rPr>
                <w:w w:val="95"/>
                <w:sz w:val="20"/>
              </w:rPr>
              <w:t>12.65</w:t>
            </w:r>
          </w:p>
        </w:tc>
        <w:tc>
          <w:tcPr>
            <w:tcW w:w="1133" w:type="dxa"/>
          </w:tcPr>
          <w:p w:rsidR="007C5447" w:rsidRDefault="00F6308C">
            <w:pPr>
              <w:pStyle w:val="TableParagraph"/>
              <w:spacing w:before="34"/>
              <w:ind w:right="98"/>
              <w:rPr>
                <w:sz w:val="20"/>
              </w:rPr>
            </w:pPr>
            <w:r>
              <w:rPr>
                <w:w w:val="95"/>
                <w:sz w:val="20"/>
              </w:rPr>
              <w:t>12.69</w:t>
            </w:r>
          </w:p>
        </w:tc>
      </w:tr>
      <w:tr w:rsidR="007C5447">
        <w:trPr>
          <w:trHeight w:val="381"/>
        </w:trPr>
        <w:tc>
          <w:tcPr>
            <w:tcW w:w="881" w:type="dxa"/>
          </w:tcPr>
          <w:p w:rsidR="007C5447" w:rsidRDefault="00F6308C">
            <w:pPr>
              <w:pStyle w:val="TableParagraph"/>
              <w:spacing w:before="74"/>
              <w:ind w:right="326"/>
              <w:rPr>
                <w:sz w:val="20"/>
              </w:rPr>
            </w:pPr>
            <w:r>
              <w:rPr>
                <w:sz w:val="20"/>
              </w:rPr>
              <w:t>11</w:t>
            </w:r>
          </w:p>
        </w:tc>
        <w:tc>
          <w:tcPr>
            <w:tcW w:w="2098" w:type="dxa"/>
          </w:tcPr>
          <w:p w:rsidR="007C5447" w:rsidRDefault="00F6308C">
            <w:pPr>
              <w:pStyle w:val="TableParagraph"/>
              <w:spacing w:before="74"/>
              <w:ind w:left="107"/>
              <w:jc w:val="left"/>
              <w:rPr>
                <w:sz w:val="20"/>
              </w:rPr>
            </w:pPr>
            <w:r>
              <w:rPr>
                <w:sz w:val="20"/>
              </w:rPr>
              <w:t>Valuthur GTPS</w:t>
            </w:r>
          </w:p>
        </w:tc>
        <w:tc>
          <w:tcPr>
            <w:tcW w:w="1135" w:type="dxa"/>
          </w:tcPr>
          <w:p w:rsidR="007C5447" w:rsidRDefault="00F6308C">
            <w:pPr>
              <w:pStyle w:val="TableParagraph"/>
              <w:spacing w:before="74"/>
              <w:ind w:right="97"/>
              <w:rPr>
                <w:sz w:val="20"/>
              </w:rPr>
            </w:pPr>
            <w:r>
              <w:rPr>
                <w:sz w:val="20"/>
              </w:rPr>
              <w:t>14.55</w:t>
            </w:r>
          </w:p>
        </w:tc>
        <w:tc>
          <w:tcPr>
            <w:tcW w:w="1133" w:type="dxa"/>
          </w:tcPr>
          <w:p w:rsidR="007C5447" w:rsidRDefault="00F6308C">
            <w:pPr>
              <w:pStyle w:val="TableParagraph"/>
              <w:spacing w:before="74"/>
              <w:ind w:right="95"/>
              <w:rPr>
                <w:sz w:val="20"/>
              </w:rPr>
            </w:pPr>
            <w:r>
              <w:rPr>
                <w:sz w:val="20"/>
              </w:rPr>
              <w:t>18.49</w:t>
            </w:r>
          </w:p>
        </w:tc>
        <w:tc>
          <w:tcPr>
            <w:tcW w:w="1136" w:type="dxa"/>
          </w:tcPr>
          <w:p w:rsidR="007C5447" w:rsidRDefault="00F6308C">
            <w:pPr>
              <w:pStyle w:val="TableParagraph"/>
              <w:spacing w:before="74"/>
              <w:ind w:right="98"/>
              <w:rPr>
                <w:sz w:val="20"/>
              </w:rPr>
            </w:pPr>
            <w:r>
              <w:rPr>
                <w:sz w:val="20"/>
              </w:rPr>
              <w:t>19.75</w:t>
            </w:r>
          </w:p>
        </w:tc>
        <w:tc>
          <w:tcPr>
            <w:tcW w:w="1133" w:type="dxa"/>
          </w:tcPr>
          <w:p w:rsidR="007C5447" w:rsidRDefault="00F6308C">
            <w:pPr>
              <w:pStyle w:val="TableParagraph"/>
              <w:spacing w:before="74"/>
              <w:ind w:right="98"/>
              <w:rPr>
                <w:sz w:val="20"/>
              </w:rPr>
            </w:pPr>
            <w:r>
              <w:rPr>
                <w:sz w:val="20"/>
              </w:rPr>
              <w:t>16.88</w:t>
            </w:r>
          </w:p>
        </w:tc>
        <w:tc>
          <w:tcPr>
            <w:tcW w:w="1136" w:type="dxa"/>
          </w:tcPr>
          <w:p w:rsidR="007C5447" w:rsidRDefault="00F6308C">
            <w:pPr>
              <w:pStyle w:val="TableParagraph"/>
              <w:spacing w:before="74"/>
              <w:ind w:right="100"/>
              <w:rPr>
                <w:sz w:val="20"/>
              </w:rPr>
            </w:pPr>
            <w:r>
              <w:rPr>
                <w:w w:val="95"/>
                <w:sz w:val="20"/>
              </w:rPr>
              <w:t>15.64</w:t>
            </w:r>
          </w:p>
        </w:tc>
        <w:tc>
          <w:tcPr>
            <w:tcW w:w="1133" w:type="dxa"/>
          </w:tcPr>
          <w:p w:rsidR="007C5447" w:rsidRDefault="00F6308C">
            <w:pPr>
              <w:pStyle w:val="TableParagraph"/>
              <w:spacing w:before="74"/>
              <w:ind w:right="98"/>
              <w:rPr>
                <w:sz w:val="20"/>
              </w:rPr>
            </w:pPr>
            <w:r>
              <w:rPr>
                <w:w w:val="95"/>
                <w:sz w:val="20"/>
              </w:rPr>
              <w:t>15.69</w:t>
            </w:r>
          </w:p>
        </w:tc>
      </w:tr>
      <w:tr w:rsidR="007C5447">
        <w:trPr>
          <w:trHeight w:val="299"/>
        </w:trPr>
        <w:tc>
          <w:tcPr>
            <w:tcW w:w="881" w:type="dxa"/>
          </w:tcPr>
          <w:p w:rsidR="007C5447" w:rsidRDefault="00F6308C">
            <w:pPr>
              <w:pStyle w:val="TableParagraph"/>
              <w:spacing w:before="34"/>
              <w:ind w:right="326"/>
              <w:rPr>
                <w:sz w:val="20"/>
              </w:rPr>
            </w:pPr>
            <w:r>
              <w:rPr>
                <w:sz w:val="20"/>
              </w:rPr>
              <w:t>12</w:t>
            </w:r>
          </w:p>
        </w:tc>
        <w:tc>
          <w:tcPr>
            <w:tcW w:w="2098" w:type="dxa"/>
          </w:tcPr>
          <w:p w:rsidR="007C5447" w:rsidRDefault="00F6308C">
            <w:pPr>
              <w:pStyle w:val="TableParagraph"/>
              <w:spacing w:before="34"/>
              <w:ind w:left="107"/>
              <w:jc w:val="left"/>
              <w:rPr>
                <w:sz w:val="20"/>
              </w:rPr>
            </w:pPr>
            <w:r>
              <w:rPr>
                <w:sz w:val="20"/>
              </w:rPr>
              <w:t>Erode HEP</w:t>
            </w:r>
          </w:p>
        </w:tc>
        <w:tc>
          <w:tcPr>
            <w:tcW w:w="1135" w:type="dxa"/>
          </w:tcPr>
          <w:p w:rsidR="007C5447" w:rsidRDefault="00F6308C">
            <w:pPr>
              <w:pStyle w:val="TableParagraph"/>
              <w:spacing w:before="34"/>
              <w:ind w:right="97"/>
              <w:rPr>
                <w:sz w:val="20"/>
              </w:rPr>
            </w:pPr>
            <w:r>
              <w:rPr>
                <w:sz w:val="20"/>
              </w:rPr>
              <w:t>6.20</w:t>
            </w:r>
          </w:p>
        </w:tc>
        <w:tc>
          <w:tcPr>
            <w:tcW w:w="1133" w:type="dxa"/>
          </w:tcPr>
          <w:p w:rsidR="007C5447" w:rsidRDefault="00F6308C">
            <w:pPr>
              <w:pStyle w:val="TableParagraph"/>
              <w:spacing w:before="34"/>
              <w:ind w:right="95"/>
              <w:rPr>
                <w:sz w:val="20"/>
              </w:rPr>
            </w:pPr>
            <w:r>
              <w:rPr>
                <w:sz w:val="20"/>
              </w:rPr>
              <w:t>3.82</w:t>
            </w:r>
          </w:p>
        </w:tc>
        <w:tc>
          <w:tcPr>
            <w:tcW w:w="1136" w:type="dxa"/>
          </w:tcPr>
          <w:p w:rsidR="007C5447" w:rsidRDefault="00F6308C">
            <w:pPr>
              <w:pStyle w:val="TableParagraph"/>
              <w:spacing w:before="34"/>
              <w:ind w:right="98"/>
              <w:rPr>
                <w:sz w:val="20"/>
              </w:rPr>
            </w:pPr>
            <w:r>
              <w:rPr>
                <w:sz w:val="20"/>
              </w:rPr>
              <w:t>4.21</w:t>
            </w:r>
          </w:p>
        </w:tc>
        <w:tc>
          <w:tcPr>
            <w:tcW w:w="1133" w:type="dxa"/>
          </w:tcPr>
          <w:p w:rsidR="007C5447" w:rsidRDefault="00F6308C">
            <w:pPr>
              <w:pStyle w:val="TableParagraph"/>
              <w:spacing w:before="34"/>
              <w:ind w:right="96"/>
              <w:rPr>
                <w:sz w:val="20"/>
              </w:rPr>
            </w:pPr>
            <w:r>
              <w:rPr>
                <w:sz w:val="20"/>
              </w:rPr>
              <w:t>7.19</w:t>
            </w:r>
          </w:p>
        </w:tc>
        <w:tc>
          <w:tcPr>
            <w:tcW w:w="1136" w:type="dxa"/>
          </w:tcPr>
          <w:p w:rsidR="007C5447" w:rsidRDefault="00F6308C">
            <w:pPr>
              <w:pStyle w:val="TableParagraph"/>
              <w:spacing w:before="34"/>
              <w:ind w:right="100"/>
              <w:rPr>
                <w:sz w:val="20"/>
              </w:rPr>
            </w:pPr>
            <w:r>
              <w:rPr>
                <w:sz w:val="20"/>
              </w:rPr>
              <w:t>6.66</w:t>
            </w:r>
          </w:p>
        </w:tc>
        <w:tc>
          <w:tcPr>
            <w:tcW w:w="1133" w:type="dxa"/>
          </w:tcPr>
          <w:p w:rsidR="007C5447" w:rsidRDefault="00F6308C">
            <w:pPr>
              <w:pStyle w:val="TableParagraph"/>
              <w:spacing w:before="34"/>
              <w:ind w:right="98"/>
              <w:rPr>
                <w:sz w:val="20"/>
              </w:rPr>
            </w:pPr>
            <w:r>
              <w:rPr>
                <w:sz w:val="20"/>
              </w:rPr>
              <w:t>6.68</w:t>
            </w:r>
          </w:p>
        </w:tc>
      </w:tr>
      <w:tr w:rsidR="007C5447">
        <w:trPr>
          <w:trHeight w:val="299"/>
        </w:trPr>
        <w:tc>
          <w:tcPr>
            <w:tcW w:w="881" w:type="dxa"/>
          </w:tcPr>
          <w:p w:rsidR="007C5447" w:rsidRDefault="00F6308C">
            <w:pPr>
              <w:pStyle w:val="TableParagraph"/>
              <w:spacing w:before="36"/>
              <w:ind w:right="326"/>
              <w:rPr>
                <w:sz w:val="20"/>
              </w:rPr>
            </w:pPr>
            <w:r>
              <w:rPr>
                <w:sz w:val="20"/>
              </w:rPr>
              <w:t>13</w:t>
            </w:r>
          </w:p>
        </w:tc>
        <w:tc>
          <w:tcPr>
            <w:tcW w:w="2098" w:type="dxa"/>
          </w:tcPr>
          <w:p w:rsidR="007C5447" w:rsidRDefault="00F6308C">
            <w:pPr>
              <w:pStyle w:val="TableParagraph"/>
              <w:spacing w:before="36"/>
              <w:ind w:left="107"/>
              <w:jc w:val="left"/>
              <w:rPr>
                <w:sz w:val="20"/>
              </w:rPr>
            </w:pPr>
            <w:r>
              <w:rPr>
                <w:sz w:val="20"/>
              </w:rPr>
              <w:t>Kadamparai HEP</w:t>
            </w:r>
          </w:p>
        </w:tc>
        <w:tc>
          <w:tcPr>
            <w:tcW w:w="1135" w:type="dxa"/>
          </w:tcPr>
          <w:p w:rsidR="007C5447" w:rsidRDefault="00F6308C">
            <w:pPr>
              <w:pStyle w:val="TableParagraph"/>
              <w:spacing w:before="36"/>
              <w:ind w:right="97"/>
              <w:rPr>
                <w:sz w:val="20"/>
              </w:rPr>
            </w:pPr>
            <w:r>
              <w:rPr>
                <w:sz w:val="20"/>
              </w:rPr>
              <w:t>6.28</w:t>
            </w:r>
          </w:p>
        </w:tc>
        <w:tc>
          <w:tcPr>
            <w:tcW w:w="1133" w:type="dxa"/>
          </w:tcPr>
          <w:p w:rsidR="007C5447" w:rsidRDefault="00F6308C">
            <w:pPr>
              <w:pStyle w:val="TableParagraph"/>
              <w:spacing w:before="36"/>
              <w:ind w:right="95"/>
              <w:rPr>
                <w:sz w:val="20"/>
              </w:rPr>
            </w:pPr>
            <w:r>
              <w:rPr>
                <w:sz w:val="20"/>
              </w:rPr>
              <w:t>3.92</w:t>
            </w:r>
          </w:p>
        </w:tc>
        <w:tc>
          <w:tcPr>
            <w:tcW w:w="1136" w:type="dxa"/>
          </w:tcPr>
          <w:p w:rsidR="007C5447" w:rsidRDefault="00F6308C">
            <w:pPr>
              <w:pStyle w:val="TableParagraph"/>
              <w:spacing w:before="36"/>
              <w:ind w:right="98"/>
              <w:rPr>
                <w:sz w:val="20"/>
              </w:rPr>
            </w:pPr>
            <w:r>
              <w:rPr>
                <w:sz w:val="20"/>
              </w:rPr>
              <w:t>4.51</w:t>
            </w:r>
          </w:p>
        </w:tc>
        <w:tc>
          <w:tcPr>
            <w:tcW w:w="1133" w:type="dxa"/>
          </w:tcPr>
          <w:p w:rsidR="007C5447" w:rsidRDefault="00F6308C">
            <w:pPr>
              <w:pStyle w:val="TableParagraph"/>
              <w:spacing w:before="36"/>
              <w:ind w:right="96"/>
              <w:rPr>
                <w:sz w:val="20"/>
              </w:rPr>
            </w:pPr>
            <w:r>
              <w:rPr>
                <w:sz w:val="20"/>
              </w:rPr>
              <w:t>7.29</w:t>
            </w:r>
          </w:p>
        </w:tc>
        <w:tc>
          <w:tcPr>
            <w:tcW w:w="1136" w:type="dxa"/>
          </w:tcPr>
          <w:p w:rsidR="007C5447" w:rsidRDefault="00F6308C">
            <w:pPr>
              <w:pStyle w:val="TableParagraph"/>
              <w:spacing w:before="36"/>
              <w:ind w:right="100"/>
              <w:rPr>
                <w:sz w:val="20"/>
              </w:rPr>
            </w:pPr>
            <w:r>
              <w:rPr>
                <w:sz w:val="20"/>
              </w:rPr>
              <w:t>6.75</w:t>
            </w:r>
          </w:p>
        </w:tc>
        <w:tc>
          <w:tcPr>
            <w:tcW w:w="1133" w:type="dxa"/>
          </w:tcPr>
          <w:p w:rsidR="007C5447" w:rsidRDefault="00F6308C">
            <w:pPr>
              <w:pStyle w:val="TableParagraph"/>
              <w:spacing w:before="36"/>
              <w:ind w:right="98"/>
              <w:rPr>
                <w:sz w:val="20"/>
              </w:rPr>
            </w:pPr>
            <w:r>
              <w:rPr>
                <w:sz w:val="20"/>
              </w:rPr>
              <w:t>6.77</w:t>
            </w:r>
          </w:p>
        </w:tc>
      </w:tr>
      <w:tr w:rsidR="007C5447">
        <w:trPr>
          <w:trHeight w:val="316"/>
        </w:trPr>
        <w:tc>
          <w:tcPr>
            <w:tcW w:w="881" w:type="dxa"/>
          </w:tcPr>
          <w:p w:rsidR="007C5447" w:rsidRDefault="00F6308C">
            <w:pPr>
              <w:pStyle w:val="TableParagraph"/>
              <w:spacing w:before="43"/>
              <w:ind w:right="326"/>
              <w:rPr>
                <w:sz w:val="20"/>
              </w:rPr>
            </w:pPr>
            <w:r>
              <w:rPr>
                <w:sz w:val="20"/>
              </w:rPr>
              <w:t>14</w:t>
            </w:r>
          </w:p>
        </w:tc>
        <w:tc>
          <w:tcPr>
            <w:tcW w:w="2098" w:type="dxa"/>
          </w:tcPr>
          <w:p w:rsidR="007C5447" w:rsidRDefault="00F6308C">
            <w:pPr>
              <w:pStyle w:val="TableParagraph"/>
              <w:spacing w:before="43"/>
              <w:ind w:left="107"/>
              <w:jc w:val="left"/>
              <w:rPr>
                <w:sz w:val="20"/>
              </w:rPr>
            </w:pPr>
            <w:r>
              <w:rPr>
                <w:sz w:val="20"/>
              </w:rPr>
              <w:t>Kundah HEP</w:t>
            </w:r>
          </w:p>
        </w:tc>
        <w:tc>
          <w:tcPr>
            <w:tcW w:w="1135" w:type="dxa"/>
          </w:tcPr>
          <w:p w:rsidR="007C5447" w:rsidRDefault="00F6308C">
            <w:pPr>
              <w:pStyle w:val="TableParagraph"/>
              <w:spacing w:before="43"/>
              <w:ind w:right="97"/>
              <w:rPr>
                <w:sz w:val="20"/>
              </w:rPr>
            </w:pPr>
            <w:r>
              <w:rPr>
                <w:sz w:val="20"/>
              </w:rPr>
              <w:t>14.81</w:t>
            </w:r>
          </w:p>
        </w:tc>
        <w:tc>
          <w:tcPr>
            <w:tcW w:w="1133" w:type="dxa"/>
          </w:tcPr>
          <w:p w:rsidR="007C5447" w:rsidRDefault="00F6308C">
            <w:pPr>
              <w:pStyle w:val="TableParagraph"/>
              <w:spacing w:before="43"/>
              <w:ind w:right="95"/>
              <w:rPr>
                <w:sz w:val="20"/>
              </w:rPr>
            </w:pPr>
            <w:r>
              <w:rPr>
                <w:sz w:val="20"/>
              </w:rPr>
              <w:t>10.40</w:t>
            </w:r>
          </w:p>
        </w:tc>
        <w:tc>
          <w:tcPr>
            <w:tcW w:w="1136" w:type="dxa"/>
          </w:tcPr>
          <w:p w:rsidR="007C5447" w:rsidRDefault="00F6308C">
            <w:pPr>
              <w:pStyle w:val="TableParagraph"/>
              <w:spacing w:before="43"/>
              <w:ind w:right="98"/>
              <w:rPr>
                <w:sz w:val="20"/>
              </w:rPr>
            </w:pPr>
            <w:r>
              <w:rPr>
                <w:sz w:val="20"/>
              </w:rPr>
              <w:t>10.63</w:t>
            </w:r>
          </w:p>
        </w:tc>
        <w:tc>
          <w:tcPr>
            <w:tcW w:w="1133" w:type="dxa"/>
          </w:tcPr>
          <w:p w:rsidR="007C5447" w:rsidRDefault="00F6308C">
            <w:pPr>
              <w:pStyle w:val="TableParagraph"/>
              <w:spacing w:before="43"/>
              <w:ind w:right="98"/>
              <w:rPr>
                <w:sz w:val="20"/>
              </w:rPr>
            </w:pPr>
            <w:r>
              <w:rPr>
                <w:sz w:val="20"/>
              </w:rPr>
              <w:t>17.18</w:t>
            </w:r>
          </w:p>
        </w:tc>
        <w:tc>
          <w:tcPr>
            <w:tcW w:w="1136" w:type="dxa"/>
          </w:tcPr>
          <w:p w:rsidR="007C5447" w:rsidRDefault="00F6308C">
            <w:pPr>
              <w:pStyle w:val="TableParagraph"/>
              <w:spacing w:before="43"/>
              <w:ind w:right="100"/>
              <w:rPr>
                <w:sz w:val="20"/>
              </w:rPr>
            </w:pPr>
            <w:r>
              <w:rPr>
                <w:w w:val="95"/>
                <w:sz w:val="20"/>
              </w:rPr>
              <w:t>15.92</w:t>
            </w:r>
          </w:p>
        </w:tc>
        <w:tc>
          <w:tcPr>
            <w:tcW w:w="1133" w:type="dxa"/>
          </w:tcPr>
          <w:p w:rsidR="007C5447" w:rsidRDefault="00F6308C">
            <w:pPr>
              <w:pStyle w:val="TableParagraph"/>
              <w:spacing w:before="43"/>
              <w:ind w:right="98"/>
              <w:rPr>
                <w:sz w:val="20"/>
              </w:rPr>
            </w:pPr>
            <w:r>
              <w:rPr>
                <w:w w:val="95"/>
                <w:sz w:val="20"/>
              </w:rPr>
              <w:t>15.97</w:t>
            </w:r>
          </w:p>
        </w:tc>
      </w:tr>
      <w:tr w:rsidR="007C5447">
        <w:trPr>
          <w:trHeight w:val="328"/>
        </w:trPr>
        <w:tc>
          <w:tcPr>
            <w:tcW w:w="881" w:type="dxa"/>
          </w:tcPr>
          <w:p w:rsidR="007C5447" w:rsidRDefault="00F6308C">
            <w:pPr>
              <w:pStyle w:val="TableParagraph"/>
              <w:spacing w:before="48"/>
              <w:ind w:right="326"/>
              <w:rPr>
                <w:sz w:val="20"/>
              </w:rPr>
            </w:pPr>
            <w:r>
              <w:rPr>
                <w:sz w:val="20"/>
              </w:rPr>
              <w:t>15</w:t>
            </w:r>
          </w:p>
        </w:tc>
        <w:tc>
          <w:tcPr>
            <w:tcW w:w="2098" w:type="dxa"/>
          </w:tcPr>
          <w:p w:rsidR="007C5447" w:rsidRDefault="00F6308C">
            <w:pPr>
              <w:pStyle w:val="TableParagraph"/>
              <w:spacing w:before="48"/>
              <w:ind w:left="107"/>
              <w:jc w:val="left"/>
              <w:rPr>
                <w:sz w:val="20"/>
              </w:rPr>
            </w:pPr>
            <w:r>
              <w:rPr>
                <w:sz w:val="20"/>
              </w:rPr>
              <w:t>Tirunelveli HEP</w:t>
            </w:r>
          </w:p>
        </w:tc>
        <w:tc>
          <w:tcPr>
            <w:tcW w:w="1135" w:type="dxa"/>
          </w:tcPr>
          <w:p w:rsidR="007C5447" w:rsidRDefault="00F6308C">
            <w:pPr>
              <w:pStyle w:val="TableParagraph"/>
              <w:spacing w:before="48"/>
              <w:ind w:right="97"/>
              <w:rPr>
                <w:sz w:val="20"/>
              </w:rPr>
            </w:pPr>
            <w:r>
              <w:rPr>
                <w:sz w:val="20"/>
              </w:rPr>
              <w:t>9.19</w:t>
            </w:r>
          </w:p>
        </w:tc>
        <w:tc>
          <w:tcPr>
            <w:tcW w:w="1133" w:type="dxa"/>
          </w:tcPr>
          <w:p w:rsidR="007C5447" w:rsidRDefault="00F6308C">
            <w:pPr>
              <w:pStyle w:val="TableParagraph"/>
              <w:spacing w:before="48"/>
              <w:ind w:right="95"/>
              <w:rPr>
                <w:sz w:val="20"/>
              </w:rPr>
            </w:pPr>
            <w:r>
              <w:rPr>
                <w:sz w:val="20"/>
              </w:rPr>
              <w:t>5.92</w:t>
            </w:r>
          </w:p>
        </w:tc>
        <w:tc>
          <w:tcPr>
            <w:tcW w:w="1136" w:type="dxa"/>
          </w:tcPr>
          <w:p w:rsidR="007C5447" w:rsidRDefault="00F6308C">
            <w:pPr>
              <w:pStyle w:val="TableParagraph"/>
              <w:spacing w:before="48"/>
              <w:ind w:right="98"/>
              <w:rPr>
                <w:sz w:val="20"/>
              </w:rPr>
            </w:pPr>
            <w:r>
              <w:rPr>
                <w:sz w:val="20"/>
              </w:rPr>
              <w:t>5.93</w:t>
            </w:r>
          </w:p>
        </w:tc>
        <w:tc>
          <w:tcPr>
            <w:tcW w:w="1133" w:type="dxa"/>
          </w:tcPr>
          <w:p w:rsidR="007C5447" w:rsidRDefault="00F6308C">
            <w:pPr>
              <w:pStyle w:val="TableParagraph"/>
              <w:spacing w:before="48"/>
              <w:ind w:right="97"/>
              <w:rPr>
                <w:sz w:val="20"/>
              </w:rPr>
            </w:pPr>
            <w:r>
              <w:rPr>
                <w:w w:val="95"/>
                <w:sz w:val="20"/>
              </w:rPr>
              <w:t>10.66</w:t>
            </w:r>
          </w:p>
        </w:tc>
        <w:tc>
          <w:tcPr>
            <w:tcW w:w="1136" w:type="dxa"/>
          </w:tcPr>
          <w:p w:rsidR="007C5447" w:rsidRDefault="00F6308C">
            <w:pPr>
              <w:pStyle w:val="TableParagraph"/>
              <w:spacing w:before="48"/>
              <w:ind w:right="100"/>
              <w:rPr>
                <w:sz w:val="20"/>
              </w:rPr>
            </w:pPr>
            <w:r>
              <w:rPr>
                <w:sz w:val="20"/>
              </w:rPr>
              <w:t>9.88</w:t>
            </w:r>
          </w:p>
        </w:tc>
        <w:tc>
          <w:tcPr>
            <w:tcW w:w="1133" w:type="dxa"/>
          </w:tcPr>
          <w:p w:rsidR="007C5447" w:rsidRDefault="00F6308C">
            <w:pPr>
              <w:pStyle w:val="TableParagraph"/>
              <w:spacing w:before="48"/>
              <w:ind w:right="99"/>
              <w:rPr>
                <w:sz w:val="20"/>
              </w:rPr>
            </w:pPr>
            <w:r>
              <w:rPr>
                <w:sz w:val="20"/>
              </w:rPr>
              <w:t>9.90</w:t>
            </w:r>
          </w:p>
        </w:tc>
      </w:tr>
      <w:tr w:rsidR="007C5447">
        <w:trPr>
          <w:trHeight w:val="330"/>
        </w:trPr>
        <w:tc>
          <w:tcPr>
            <w:tcW w:w="881" w:type="dxa"/>
          </w:tcPr>
          <w:p w:rsidR="007C5447" w:rsidRDefault="00F6308C">
            <w:pPr>
              <w:pStyle w:val="TableParagraph"/>
              <w:spacing w:before="50"/>
              <w:ind w:right="326"/>
              <w:rPr>
                <w:b/>
                <w:sz w:val="20"/>
              </w:rPr>
            </w:pPr>
            <w:r>
              <w:rPr>
                <w:b/>
                <w:sz w:val="20"/>
              </w:rPr>
              <w:t>16</w:t>
            </w:r>
          </w:p>
        </w:tc>
        <w:tc>
          <w:tcPr>
            <w:tcW w:w="2098" w:type="dxa"/>
          </w:tcPr>
          <w:p w:rsidR="007C5447" w:rsidRDefault="00F6308C">
            <w:pPr>
              <w:pStyle w:val="TableParagraph"/>
              <w:spacing w:before="50"/>
              <w:ind w:left="107"/>
              <w:jc w:val="left"/>
              <w:rPr>
                <w:b/>
                <w:sz w:val="20"/>
              </w:rPr>
            </w:pPr>
            <w:r>
              <w:rPr>
                <w:b/>
                <w:sz w:val="20"/>
              </w:rPr>
              <w:t>Total Generation</w:t>
            </w:r>
          </w:p>
        </w:tc>
        <w:tc>
          <w:tcPr>
            <w:tcW w:w="1135" w:type="dxa"/>
          </w:tcPr>
          <w:p w:rsidR="007C5447" w:rsidRDefault="00F6308C">
            <w:pPr>
              <w:pStyle w:val="TableParagraph"/>
              <w:spacing w:before="50"/>
              <w:ind w:right="97"/>
              <w:rPr>
                <w:b/>
                <w:sz w:val="20"/>
              </w:rPr>
            </w:pPr>
            <w:r>
              <w:rPr>
                <w:b/>
                <w:w w:val="95"/>
                <w:sz w:val="20"/>
              </w:rPr>
              <w:t>607.51</w:t>
            </w:r>
          </w:p>
        </w:tc>
        <w:tc>
          <w:tcPr>
            <w:tcW w:w="1133" w:type="dxa"/>
          </w:tcPr>
          <w:p w:rsidR="007C5447" w:rsidRDefault="00F6308C">
            <w:pPr>
              <w:pStyle w:val="TableParagraph"/>
              <w:spacing w:before="50"/>
              <w:ind w:right="95"/>
              <w:rPr>
                <w:b/>
                <w:sz w:val="20"/>
              </w:rPr>
            </w:pPr>
            <w:r>
              <w:rPr>
                <w:b/>
                <w:w w:val="95"/>
                <w:sz w:val="20"/>
              </w:rPr>
              <w:t>527.84</w:t>
            </w:r>
          </w:p>
        </w:tc>
        <w:tc>
          <w:tcPr>
            <w:tcW w:w="1136" w:type="dxa"/>
          </w:tcPr>
          <w:p w:rsidR="007C5447" w:rsidRDefault="00F6308C">
            <w:pPr>
              <w:pStyle w:val="TableParagraph"/>
              <w:spacing w:before="50"/>
              <w:ind w:right="98"/>
              <w:rPr>
                <w:b/>
                <w:sz w:val="20"/>
              </w:rPr>
            </w:pPr>
            <w:r>
              <w:rPr>
                <w:b/>
                <w:w w:val="95"/>
                <w:sz w:val="20"/>
              </w:rPr>
              <w:t>601.59</w:t>
            </w:r>
          </w:p>
        </w:tc>
        <w:tc>
          <w:tcPr>
            <w:tcW w:w="1133" w:type="dxa"/>
          </w:tcPr>
          <w:p w:rsidR="007C5447" w:rsidRDefault="00F6308C">
            <w:pPr>
              <w:pStyle w:val="TableParagraph"/>
              <w:spacing w:before="50"/>
              <w:ind w:right="95"/>
              <w:rPr>
                <w:b/>
                <w:sz w:val="20"/>
              </w:rPr>
            </w:pPr>
            <w:r>
              <w:rPr>
                <w:b/>
                <w:w w:val="95"/>
                <w:sz w:val="20"/>
              </w:rPr>
              <w:t>704.59</w:t>
            </w:r>
          </w:p>
        </w:tc>
        <w:tc>
          <w:tcPr>
            <w:tcW w:w="1136" w:type="dxa"/>
          </w:tcPr>
          <w:p w:rsidR="007C5447" w:rsidRDefault="00F6308C">
            <w:pPr>
              <w:pStyle w:val="TableParagraph"/>
              <w:spacing w:before="50"/>
              <w:ind w:right="97"/>
              <w:rPr>
                <w:b/>
                <w:sz w:val="20"/>
              </w:rPr>
            </w:pPr>
            <w:r>
              <w:rPr>
                <w:b/>
                <w:w w:val="95"/>
                <w:sz w:val="20"/>
              </w:rPr>
              <w:t>614.32</w:t>
            </w:r>
          </w:p>
        </w:tc>
        <w:tc>
          <w:tcPr>
            <w:tcW w:w="1133" w:type="dxa"/>
          </w:tcPr>
          <w:p w:rsidR="007C5447" w:rsidRDefault="00F6308C">
            <w:pPr>
              <w:pStyle w:val="TableParagraph"/>
              <w:spacing w:before="50"/>
              <w:ind w:right="95"/>
              <w:rPr>
                <w:b/>
                <w:sz w:val="20"/>
              </w:rPr>
            </w:pPr>
            <w:r>
              <w:rPr>
                <w:b/>
                <w:w w:val="95"/>
                <w:sz w:val="20"/>
              </w:rPr>
              <w:t>661.24</w:t>
            </w:r>
          </w:p>
        </w:tc>
      </w:tr>
      <w:tr w:rsidR="007C5447">
        <w:trPr>
          <w:trHeight w:val="330"/>
        </w:trPr>
        <w:tc>
          <w:tcPr>
            <w:tcW w:w="881" w:type="dxa"/>
          </w:tcPr>
          <w:p w:rsidR="007C5447" w:rsidRDefault="00F6308C">
            <w:pPr>
              <w:pStyle w:val="TableParagraph"/>
              <w:spacing w:before="50"/>
              <w:ind w:right="326"/>
              <w:rPr>
                <w:b/>
                <w:sz w:val="20"/>
              </w:rPr>
            </w:pPr>
            <w:r>
              <w:rPr>
                <w:b/>
                <w:sz w:val="20"/>
              </w:rPr>
              <w:t>17</w:t>
            </w:r>
          </w:p>
        </w:tc>
        <w:tc>
          <w:tcPr>
            <w:tcW w:w="2098" w:type="dxa"/>
          </w:tcPr>
          <w:p w:rsidR="007C5447" w:rsidRDefault="00F6308C">
            <w:pPr>
              <w:pStyle w:val="TableParagraph"/>
              <w:spacing w:before="50"/>
              <w:ind w:left="107"/>
              <w:jc w:val="left"/>
              <w:rPr>
                <w:b/>
                <w:sz w:val="20"/>
              </w:rPr>
            </w:pPr>
            <w:r>
              <w:rPr>
                <w:b/>
                <w:sz w:val="20"/>
              </w:rPr>
              <w:t>Distribution</w:t>
            </w:r>
          </w:p>
        </w:tc>
        <w:tc>
          <w:tcPr>
            <w:tcW w:w="1135" w:type="dxa"/>
          </w:tcPr>
          <w:p w:rsidR="007C5447" w:rsidRDefault="00F6308C">
            <w:pPr>
              <w:pStyle w:val="TableParagraph"/>
              <w:spacing w:before="50"/>
              <w:ind w:right="97"/>
              <w:rPr>
                <w:b/>
                <w:sz w:val="20"/>
              </w:rPr>
            </w:pPr>
            <w:r>
              <w:rPr>
                <w:b/>
                <w:w w:val="95"/>
                <w:sz w:val="20"/>
              </w:rPr>
              <w:t>238.13</w:t>
            </w:r>
          </w:p>
        </w:tc>
        <w:tc>
          <w:tcPr>
            <w:tcW w:w="1133" w:type="dxa"/>
          </w:tcPr>
          <w:p w:rsidR="007C5447" w:rsidRDefault="00F6308C">
            <w:pPr>
              <w:pStyle w:val="TableParagraph"/>
              <w:spacing w:before="50"/>
              <w:ind w:right="95"/>
              <w:rPr>
                <w:b/>
                <w:sz w:val="20"/>
              </w:rPr>
            </w:pPr>
            <w:r>
              <w:rPr>
                <w:b/>
                <w:w w:val="95"/>
                <w:sz w:val="20"/>
              </w:rPr>
              <w:t>235.23</w:t>
            </w:r>
          </w:p>
        </w:tc>
        <w:tc>
          <w:tcPr>
            <w:tcW w:w="1136" w:type="dxa"/>
          </w:tcPr>
          <w:p w:rsidR="007C5447" w:rsidRDefault="00F6308C">
            <w:pPr>
              <w:pStyle w:val="TableParagraph"/>
              <w:spacing w:before="50"/>
              <w:ind w:right="98"/>
              <w:rPr>
                <w:b/>
                <w:sz w:val="20"/>
              </w:rPr>
            </w:pPr>
            <w:r>
              <w:rPr>
                <w:b/>
                <w:w w:val="95"/>
                <w:sz w:val="20"/>
              </w:rPr>
              <w:t>351.19</w:t>
            </w:r>
          </w:p>
        </w:tc>
        <w:tc>
          <w:tcPr>
            <w:tcW w:w="1133" w:type="dxa"/>
          </w:tcPr>
          <w:p w:rsidR="007C5447" w:rsidRDefault="00F6308C">
            <w:pPr>
              <w:pStyle w:val="TableParagraph"/>
              <w:spacing w:before="50"/>
              <w:ind w:right="97"/>
              <w:rPr>
                <w:sz w:val="20"/>
              </w:rPr>
            </w:pPr>
            <w:r>
              <w:rPr>
                <w:w w:val="99"/>
                <w:sz w:val="20"/>
              </w:rPr>
              <w:t>-</w:t>
            </w:r>
          </w:p>
        </w:tc>
        <w:tc>
          <w:tcPr>
            <w:tcW w:w="1136" w:type="dxa"/>
          </w:tcPr>
          <w:p w:rsidR="007C5447" w:rsidRDefault="00F6308C">
            <w:pPr>
              <w:pStyle w:val="TableParagraph"/>
              <w:spacing w:before="50"/>
              <w:ind w:right="99"/>
              <w:rPr>
                <w:sz w:val="20"/>
              </w:rPr>
            </w:pPr>
            <w:r>
              <w:rPr>
                <w:w w:val="99"/>
                <w:sz w:val="20"/>
              </w:rPr>
              <w:t>-</w:t>
            </w:r>
          </w:p>
        </w:tc>
        <w:tc>
          <w:tcPr>
            <w:tcW w:w="1133" w:type="dxa"/>
          </w:tcPr>
          <w:p w:rsidR="007C5447" w:rsidRDefault="00F6308C">
            <w:pPr>
              <w:pStyle w:val="TableParagraph"/>
              <w:spacing w:before="50"/>
              <w:ind w:right="97"/>
              <w:rPr>
                <w:sz w:val="20"/>
              </w:rPr>
            </w:pPr>
            <w:r>
              <w:rPr>
                <w:w w:val="99"/>
                <w:sz w:val="20"/>
              </w:rPr>
              <w:t>-</w:t>
            </w:r>
          </w:p>
        </w:tc>
      </w:tr>
      <w:tr w:rsidR="007C5447">
        <w:trPr>
          <w:trHeight w:val="328"/>
        </w:trPr>
        <w:tc>
          <w:tcPr>
            <w:tcW w:w="881" w:type="dxa"/>
          </w:tcPr>
          <w:p w:rsidR="007C5447" w:rsidRDefault="00F6308C">
            <w:pPr>
              <w:pStyle w:val="TableParagraph"/>
              <w:spacing w:before="48"/>
              <w:ind w:right="326"/>
              <w:rPr>
                <w:b/>
                <w:sz w:val="20"/>
              </w:rPr>
            </w:pPr>
            <w:r>
              <w:rPr>
                <w:b/>
                <w:sz w:val="20"/>
              </w:rPr>
              <w:t>18</w:t>
            </w:r>
          </w:p>
        </w:tc>
        <w:tc>
          <w:tcPr>
            <w:tcW w:w="2098" w:type="dxa"/>
          </w:tcPr>
          <w:p w:rsidR="007C5447" w:rsidRDefault="00F6308C">
            <w:pPr>
              <w:pStyle w:val="TableParagraph"/>
              <w:spacing w:before="48"/>
              <w:ind w:left="107"/>
              <w:jc w:val="left"/>
              <w:rPr>
                <w:b/>
                <w:sz w:val="20"/>
              </w:rPr>
            </w:pPr>
            <w:r>
              <w:rPr>
                <w:b/>
                <w:sz w:val="20"/>
              </w:rPr>
              <w:t>Total</w:t>
            </w:r>
          </w:p>
        </w:tc>
        <w:tc>
          <w:tcPr>
            <w:tcW w:w="1135" w:type="dxa"/>
          </w:tcPr>
          <w:p w:rsidR="007C5447" w:rsidRDefault="00F6308C">
            <w:pPr>
              <w:pStyle w:val="TableParagraph"/>
              <w:spacing w:before="48"/>
              <w:ind w:right="97"/>
              <w:rPr>
                <w:b/>
                <w:sz w:val="20"/>
              </w:rPr>
            </w:pPr>
            <w:r>
              <w:rPr>
                <w:b/>
                <w:w w:val="95"/>
                <w:sz w:val="20"/>
              </w:rPr>
              <w:t>845.64</w:t>
            </w:r>
          </w:p>
        </w:tc>
        <w:tc>
          <w:tcPr>
            <w:tcW w:w="1133" w:type="dxa"/>
          </w:tcPr>
          <w:p w:rsidR="007C5447" w:rsidRDefault="00F6308C">
            <w:pPr>
              <w:pStyle w:val="TableParagraph"/>
              <w:spacing w:before="48"/>
              <w:ind w:right="95"/>
              <w:rPr>
                <w:b/>
                <w:sz w:val="20"/>
              </w:rPr>
            </w:pPr>
            <w:r>
              <w:rPr>
                <w:b/>
                <w:w w:val="95"/>
                <w:sz w:val="20"/>
              </w:rPr>
              <w:t>763.07</w:t>
            </w:r>
          </w:p>
        </w:tc>
        <w:tc>
          <w:tcPr>
            <w:tcW w:w="1136" w:type="dxa"/>
          </w:tcPr>
          <w:p w:rsidR="007C5447" w:rsidRDefault="00F6308C">
            <w:pPr>
              <w:pStyle w:val="TableParagraph"/>
              <w:spacing w:before="48"/>
              <w:ind w:right="98"/>
              <w:rPr>
                <w:b/>
                <w:sz w:val="20"/>
              </w:rPr>
            </w:pPr>
            <w:r>
              <w:rPr>
                <w:b/>
                <w:w w:val="95"/>
                <w:sz w:val="20"/>
              </w:rPr>
              <w:t>952.79</w:t>
            </w:r>
          </w:p>
        </w:tc>
        <w:tc>
          <w:tcPr>
            <w:tcW w:w="1133" w:type="dxa"/>
          </w:tcPr>
          <w:p w:rsidR="007C5447" w:rsidRDefault="00F6308C">
            <w:pPr>
              <w:pStyle w:val="TableParagraph"/>
              <w:spacing w:before="48"/>
              <w:ind w:right="95"/>
              <w:rPr>
                <w:b/>
                <w:sz w:val="20"/>
              </w:rPr>
            </w:pPr>
            <w:r>
              <w:rPr>
                <w:b/>
                <w:w w:val="95"/>
                <w:sz w:val="20"/>
              </w:rPr>
              <w:t>704.59</w:t>
            </w:r>
          </w:p>
        </w:tc>
        <w:tc>
          <w:tcPr>
            <w:tcW w:w="1136" w:type="dxa"/>
          </w:tcPr>
          <w:p w:rsidR="007C5447" w:rsidRDefault="00F6308C">
            <w:pPr>
              <w:pStyle w:val="TableParagraph"/>
              <w:spacing w:before="48"/>
              <w:ind w:right="97"/>
              <w:rPr>
                <w:b/>
                <w:sz w:val="20"/>
              </w:rPr>
            </w:pPr>
            <w:r>
              <w:rPr>
                <w:b/>
                <w:w w:val="95"/>
                <w:sz w:val="20"/>
              </w:rPr>
              <w:t>614.32</w:t>
            </w:r>
          </w:p>
        </w:tc>
        <w:tc>
          <w:tcPr>
            <w:tcW w:w="1133" w:type="dxa"/>
          </w:tcPr>
          <w:p w:rsidR="007C5447" w:rsidRDefault="00F6308C">
            <w:pPr>
              <w:pStyle w:val="TableParagraph"/>
              <w:spacing w:before="48"/>
              <w:ind w:right="95"/>
              <w:rPr>
                <w:b/>
                <w:sz w:val="20"/>
              </w:rPr>
            </w:pPr>
            <w:r>
              <w:rPr>
                <w:b/>
                <w:w w:val="95"/>
                <w:sz w:val="20"/>
              </w:rPr>
              <w:t>661.24</w:t>
            </w:r>
          </w:p>
        </w:tc>
      </w:tr>
    </w:tbl>
    <w:p w:rsidR="007C5447" w:rsidRDefault="00F6308C">
      <w:pPr>
        <w:ind w:left="540"/>
        <w:rPr>
          <w:sz w:val="18"/>
        </w:rPr>
      </w:pPr>
      <w:r>
        <w:rPr>
          <w:sz w:val="18"/>
        </w:rPr>
        <w:t>*Note – As ETPS has been decommissioned in FY 2016-17, no IoWC has been approved for future years.</w:t>
      </w:r>
    </w:p>
    <w:p w:rsidR="007C5447" w:rsidRDefault="007C5447">
      <w:pPr>
        <w:pStyle w:val="BodyText"/>
        <w:spacing w:before="4"/>
        <w:rPr>
          <w:sz w:val="26"/>
        </w:rPr>
      </w:pPr>
    </w:p>
    <w:p w:rsidR="007C5447" w:rsidRDefault="00F6308C">
      <w:pPr>
        <w:pStyle w:val="Heading2"/>
        <w:numPr>
          <w:ilvl w:val="1"/>
          <w:numId w:val="114"/>
        </w:numPr>
        <w:tabs>
          <w:tab w:val="left" w:pos="1107"/>
        </w:tabs>
        <w:ind w:left="1106"/>
      </w:pPr>
      <w:bookmarkStart w:id="67" w:name="_bookmark67"/>
      <w:bookmarkEnd w:id="67"/>
      <w:r>
        <w:t>Other</w:t>
      </w:r>
      <w:r>
        <w:rPr>
          <w:spacing w:val="-2"/>
        </w:rPr>
        <w:t xml:space="preserve"> </w:t>
      </w:r>
      <w:r>
        <w:t>Debits</w:t>
      </w:r>
    </w:p>
    <w:p w:rsidR="007C5447" w:rsidRDefault="007C5447">
      <w:pPr>
        <w:pStyle w:val="BodyText"/>
        <w:rPr>
          <w:b/>
          <w:sz w:val="28"/>
        </w:rPr>
      </w:pPr>
    </w:p>
    <w:p w:rsidR="007C5447" w:rsidRDefault="00F6308C">
      <w:pPr>
        <w:pStyle w:val="ListParagraph"/>
        <w:numPr>
          <w:ilvl w:val="2"/>
          <w:numId w:val="114"/>
        </w:numPr>
        <w:tabs>
          <w:tab w:val="left" w:pos="1392"/>
          <w:tab w:val="left" w:pos="1393"/>
        </w:tabs>
        <w:ind w:left="1392" w:hanging="853"/>
        <w:rPr>
          <w:sz w:val="24"/>
        </w:rPr>
      </w:pPr>
      <w:r>
        <w:rPr>
          <w:sz w:val="24"/>
        </w:rPr>
        <w:t>Other Debits as submitted by TANGEDCO is shown in the Table</w:t>
      </w:r>
      <w:r>
        <w:rPr>
          <w:spacing w:val="-6"/>
          <w:sz w:val="24"/>
        </w:rPr>
        <w:t xml:space="preserve"> </w:t>
      </w:r>
      <w:r>
        <w:rPr>
          <w:sz w:val="24"/>
        </w:rPr>
        <w:t>below:</w:t>
      </w:r>
    </w:p>
    <w:p w:rsidR="007C5447" w:rsidRDefault="007C5447">
      <w:pPr>
        <w:pStyle w:val="BodyText"/>
        <w:rPr>
          <w:sz w:val="28"/>
        </w:rPr>
      </w:pPr>
    </w:p>
    <w:p w:rsidR="007C5447" w:rsidRDefault="00F6308C">
      <w:pPr>
        <w:pStyle w:val="Heading2"/>
        <w:ind w:left="587" w:right="564"/>
        <w:jc w:val="center"/>
      </w:pPr>
      <w:r>
        <w:t>Table 4-24: Other debits as submitted by TANGEDCO (Rs. Crore)</w:t>
      </w:r>
    </w:p>
    <w:p w:rsidR="007C5447" w:rsidRDefault="007C5447">
      <w:pPr>
        <w:pStyle w:val="BodyText"/>
        <w:spacing w:before="4"/>
        <w:rPr>
          <w:b/>
          <w:sz w:val="7"/>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3543"/>
        <w:gridCol w:w="1560"/>
        <w:gridCol w:w="1560"/>
        <w:gridCol w:w="1202"/>
      </w:tblGrid>
      <w:tr w:rsidR="007C5447">
        <w:trPr>
          <w:trHeight w:val="350"/>
        </w:trPr>
        <w:tc>
          <w:tcPr>
            <w:tcW w:w="994" w:type="dxa"/>
            <w:vMerge w:val="restart"/>
            <w:shd w:val="clear" w:color="auto" w:fill="F7C9AC"/>
          </w:tcPr>
          <w:p w:rsidR="007C5447" w:rsidRDefault="007C5447">
            <w:pPr>
              <w:pStyle w:val="TableParagraph"/>
              <w:spacing w:before="7"/>
              <w:jc w:val="left"/>
              <w:rPr>
                <w:b/>
                <w:sz w:val="23"/>
              </w:rPr>
            </w:pPr>
          </w:p>
          <w:p w:rsidR="007C5447" w:rsidRDefault="00F6308C">
            <w:pPr>
              <w:pStyle w:val="TableParagraph"/>
              <w:ind w:left="367" w:right="359"/>
              <w:jc w:val="center"/>
              <w:rPr>
                <w:b/>
                <w:sz w:val="20"/>
              </w:rPr>
            </w:pPr>
            <w:r>
              <w:rPr>
                <w:b/>
                <w:sz w:val="20"/>
              </w:rPr>
              <w:t>Sl.</w:t>
            </w:r>
          </w:p>
        </w:tc>
        <w:tc>
          <w:tcPr>
            <w:tcW w:w="3543" w:type="dxa"/>
            <w:vMerge w:val="restart"/>
            <w:shd w:val="clear" w:color="auto" w:fill="F7C9AC"/>
          </w:tcPr>
          <w:p w:rsidR="007C5447" w:rsidRDefault="007C5447">
            <w:pPr>
              <w:pStyle w:val="TableParagraph"/>
              <w:spacing w:before="7"/>
              <w:jc w:val="left"/>
              <w:rPr>
                <w:b/>
                <w:sz w:val="23"/>
              </w:rPr>
            </w:pPr>
          </w:p>
          <w:p w:rsidR="007C5447" w:rsidRDefault="00F6308C">
            <w:pPr>
              <w:pStyle w:val="TableParagraph"/>
              <w:ind w:left="107"/>
              <w:jc w:val="left"/>
              <w:rPr>
                <w:b/>
                <w:sz w:val="20"/>
              </w:rPr>
            </w:pPr>
            <w:r>
              <w:rPr>
                <w:b/>
                <w:sz w:val="20"/>
              </w:rPr>
              <w:t>Power Station</w:t>
            </w:r>
          </w:p>
        </w:tc>
        <w:tc>
          <w:tcPr>
            <w:tcW w:w="4322" w:type="dxa"/>
            <w:gridSpan w:val="3"/>
            <w:shd w:val="clear" w:color="auto" w:fill="F7C9AC"/>
          </w:tcPr>
          <w:p w:rsidR="007C5447" w:rsidRDefault="00F6308C">
            <w:pPr>
              <w:pStyle w:val="TableParagraph"/>
              <w:spacing w:before="60"/>
              <w:ind w:left="1559" w:right="1556"/>
              <w:jc w:val="center"/>
              <w:rPr>
                <w:b/>
                <w:sz w:val="20"/>
              </w:rPr>
            </w:pPr>
            <w:r>
              <w:rPr>
                <w:b/>
                <w:sz w:val="20"/>
              </w:rPr>
              <w:t>TANGEDCO</w:t>
            </w:r>
          </w:p>
        </w:tc>
      </w:tr>
      <w:tr w:rsidR="007C5447">
        <w:trPr>
          <w:trHeight w:val="410"/>
        </w:trPr>
        <w:tc>
          <w:tcPr>
            <w:tcW w:w="994" w:type="dxa"/>
            <w:vMerge/>
            <w:tcBorders>
              <w:top w:val="nil"/>
            </w:tcBorders>
            <w:shd w:val="clear" w:color="auto" w:fill="F7C9AC"/>
          </w:tcPr>
          <w:p w:rsidR="007C5447" w:rsidRDefault="007C5447">
            <w:pPr>
              <w:rPr>
                <w:sz w:val="2"/>
                <w:szCs w:val="2"/>
              </w:rPr>
            </w:pPr>
          </w:p>
        </w:tc>
        <w:tc>
          <w:tcPr>
            <w:tcW w:w="3543" w:type="dxa"/>
            <w:vMerge/>
            <w:tcBorders>
              <w:top w:val="nil"/>
            </w:tcBorders>
            <w:shd w:val="clear" w:color="auto" w:fill="F7C9AC"/>
          </w:tcPr>
          <w:p w:rsidR="007C5447" w:rsidRDefault="007C5447">
            <w:pPr>
              <w:rPr>
                <w:sz w:val="2"/>
                <w:szCs w:val="2"/>
              </w:rPr>
            </w:pPr>
          </w:p>
        </w:tc>
        <w:tc>
          <w:tcPr>
            <w:tcW w:w="1560" w:type="dxa"/>
            <w:shd w:val="clear" w:color="auto" w:fill="F7C9AC"/>
          </w:tcPr>
          <w:p w:rsidR="007C5447" w:rsidRDefault="00F6308C">
            <w:pPr>
              <w:pStyle w:val="TableParagraph"/>
              <w:spacing w:before="91"/>
              <w:ind w:left="287"/>
              <w:jc w:val="left"/>
              <w:rPr>
                <w:b/>
                <w:sz w:val="20"/>
              </w:rPr>
            </w:pPr>
            <w:r>
              <w:rPr>
                <w:b/>
                <w:sz w:val="20"/>
              </w:rPr>
              <w:t>FY 2016-17</w:t>
            </w:r>
          </w:p>
        </w:tc>
        <w:tc>
          <w:tcPr>
            <w:tcW w:w="1560" w:type="dxa"/>
            <w:shd w:val="clear" w:color="auto" w:fill="F7C9AC"/>
          </w:tcPr>
          <w:p w:rsidR="007C5447" w:rsidRDefault="00F6308C">
            <w:pPr>
              <w:pStyle w:val="TableParagraph"/>
              <w:spacing w:before="91"/>
              <w:ind w:left="287"/>
              <w:jc w:val="left"/>
              <w:rPr>
                <w:b/>
                <w:sz w:val="20"/>
              </w:rPr>
            </w:pPr>
            <w:r>
              <w:rPr>
                <w:b/>
                <w:sz w:val="20"/>
              </w:rPr>
              <w:t>FY 2017-18</w:t>
            </w:r>
          </w:p>
        </w:tc>
        <w:tc>
          <w:tcPr>
            <w:tcW w:w="1202" w:type="dxa"/>
            <w:shd w:val="clear" w:color="auto" w:fill="F7C9AC"/>
          </w:tcPr>
          <w:p w:rsidR="007C5447" w:rsidRDefault="00F6308C">
            <w:pPr>
              <w:pStyle w:val="TableParagraph"/>
              <w:spacing w:before="91"/>
              <w:ind w:right="95"/>
              <w:rPr>
                <w:b/>
                <w:sz w:val="20"/>
              </w:rPr>
            </w:pPr>
            <w:r>
              <w:rPr>
                <w:b/>
                <w:sz w:val="20"/>
              </w:rPr>
              <w:t>FY 2018-19</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1</w:t>
            </w:r>
          </w:p>
        </w:tc>
        <w:tc>
          <w:tcPr>
            <w:tcW w:w="3543" w:type="dxa"/>
          </w:tcPr>
          <w:p w:rsidR="007C5447" w:rsidRDefault="00F6308C">
            <w:pPr>
              <w:pStyle w:val="TableParagraph"/>
              <w:spacing w:before="17" w:line="224" w:lineRule="exact"/>
              <w:ind w:left="107"/>
              <w:jc w:val="left"/>
              <w:rPr>
                <w:sz w:val="20"/>
              </w:rPr>
            </w:pPr>
            <w:r>
              <w:rPr>
                <w:sz w:val="20"/>
              </w:rPr>
              <w:t>Ennore TPS</w:t>
            </w:r>
          </w:p>
        </w:tc>
        <w:tc>
          <w:tcPr>
            <w:tcW w:w="1560" w:type="dxa"/>
          </w:tcPr>
          <w:p w:rsidR="007C5447" w:rsidRDefault="00F6308C">
            <w:pPr>
              <w:pStyle w:val="TableParagraph"/>
              <w:spacing w:before="17" w:line="224" w:lineRule="exact"/>
              <w:ind w:right="97"/>
              <w:rPr>
                <w:sz w:val="20"/>
              </w:rPr>
            </w:pPr>
            <w:r>
              <w:rPr>
                <w:w w:val="99"/>
                <w:sz w:val="20"/>
              </w:rPr>
              <w:t>-</w:t>
            </w:r>
          </w:p>
        </w:tc>
        <w:tc>
          <w:tcPr>
            <w:tcW w:w="1560" w:type="dxa"/>
          </w:tcPr>
          <w:p w:rsidR="007C5447" w:rsidRDefault="00F6308C">
            <w:pPr>
              <w:pStyle w:val="TableParagraph"/>
              <w:spacing w:before="17" w:line="224" w:lineRule="exact"/>
              <w:ind w:right="96"/>
              <w:rPr>
                <w:sz w:val="20"/>
              </w:rPr>
            </w:pPr>
            <w:r>
              <w:rPr>
                <w:w w:val="99"/>
                <w:sz w:val="20"/>
              </w:rPr>
              <w:t>-</w:t>
            </w:r>
          </w:p>
        </w:tc>
        <w:tc>
          <w:tcPr>
            <w:tcW w:w="1202" w:type="dxa"/>
          </w:tcPr>
          <w:p w:rsidR="007C5447" w:rsidRDefault="00F6308C">
            <w:pPr>
              <w:pStyle w:val="TableParagraph"/>
              <w:spacing w:before="17" w:line="224" w:lineRule="exact"/>
              <w:ind w:right="96"/>
              <w:rPr>
                <w:sz w:val="20"/>
              </w:rPr>
            </w:pPr>
            <w:r>
              <w:rPr>
                <w:w w:val="99"/>
                <w:sz w:val="20"/>
              </w:rPr>
              <w:t>-</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2</w:t>
            </w:r>
          </w:p>
        </w:tc>
        <w:tc>
          <w:tcPr>
            <w:tcW w:w="3543" w:type="dxa"/>
          </w:tcPr>
          <w:p w:rsidR="007C5447" w:rsidRDefault="00F6308C">
            <w:pPr>
              <w:pStyle w:val="TableParagraph"/>
              <w:spacing w:before="14" w:line="224" w:lineRule="exact"/>
              <w:ind w:left="107"/>
              <w:jc w:val="left"/>
              <w:rPr>
                <w:sz w:val="20"/>
              </w:rPr>
            </w:pPr>
            <w:r>
              <w:rPr>
                <w:sz w:val="20"/>
              </w:rPr>
              <w:t>Tuticorin TPS</w:t>
            </w:r>
          </w:p>
        </w:tc>
        <w:tc>
          <w:tcPr>
            <w:tcW w:w="1560" w:type="dxa"/>
          </w:tcPr>
          <w:p w:rsidR="007C5447" w:rsidRDefault="00F6308C">
            <w:pPr>
              <w:pStyle w:val="TableParagraph"/>
              <w:spacing w:before="14" w:line="224" w:lineRule="exact"/>
              <w:ind w:right="95"/>
              <w:rPr>
                <w:sz w:val="20"/>
              </w:rPr>
            </w:pPr>
            <w:r>
              <w:rPr>
                <w:sz w:val="20"/>
              </w:rPr>
              <w:t>0.86</w:t>
            </w:r>
          </w:p>
        </w:tc>
        <w:tc>
          <w:tcPr>
            <w:tcW w:w="1560" w:type="dxa"/>
          </w:tcPr>
          <w:p w:rsidR="007C5447" w:rsidRDefault="00F6308C">
            <w:pPr>
              <w:pStyle w:val="TableParagraph"/>
              <w:spacing w:before="14" w:line="224" w:lineRule="exact"/>
              <w:ind w:right="95"/>
              <w:rPr>
                <w:sz w:val="20"/>
              </w:rPr>
            </w:pPr>
            <w:r>
              <w:rPr>
                <w:sz w:val="20"/>
              </w:rPr>
              <w:t>0.86</w:t>
            </w:r>
          </w:p>
        </w:tc>
        <w:tc>
          <w:tcPr>
            <w:tcW w:w="1202" w:type="dxa"/>
          </w:tcPr>
          <w:p w:rsidR="007C5447" w:rsidRDefault="00F6308C">
            <w:pPr>
              <w:pStyle w:val="TableParagraph"/>
              <w:spacing w:before="14" w:line="224" w:lineRule="exact"/>
              <w:ind w:right="94"/>
              <w:rPr>
                <w:sz w:val="20"/>
              </w:rPr>
            </w:pPr>
            <w:r>
              <w:rPr>
                <w:sz w:val="20"/>
              </w:rPr>
              <w:t>0.86</w:t>
            </w:r>
          </w:p>
        </w:tc>
      </w:tr>
      <w:tr w:rsidR="007C5447">
        <w:trPr>
          <w:trHeight w:val="261"/>
        </w:trPr>
        <w:tc>
          <w:tcPr>
            <w:tcW w:w="994" w:type="dxa"/>
          </w:tcPr>
          <w:p w:rsidR="007C5447" w:rsidRDefault="00F6308C">
            <w:pPr>
              <w:pStyle w:val="TableParagraph"/>
              <w:spacing w:before="14" w:line="227" w:lineRule="exact"/>
              <w:ind w:left="8"/>
              <w:jc w:val="center"/>
              <w:rPr>
                <w:sz w:val="20"/>
              </w:rPr>
            </w:pPr>
            <w:r>
              <w:rPr>
                <w:w w:val="99"/>
                <w:sz w:val="20"/>
              </w:rPr>
              <w:t>3</w:t>
            </w:r>
          </w:p>
        </w:tc>
        <w:tc>
          <w:tcPr>
            <w:tcW w:w="3543" w:type="dxa"/>
          </w:tcPr>
          <w:p w:rsidR="007C5447" w:rsidRDefault="00F6308C">
            <w:pPr>
              <w:pStyle w:val="TableParagraph"/>
              <w:spacing w:before="14" w:line="227" w:lineRule="exact"/>
              <w:ind w:left="107"/>
              <w:jc w:val="left"/>
              <w:rPr>
                <w:sz w:val="20"/>
              </w:rPr>
            </w:pPr>
            <w:r>
              <w:rPr>
                <w:sz w:val="20"/>
              </w:rPr>
              <w:t>Mettur TPS</w:t>
            </w:r>
          </w:p>
        </w:tc>
        <w:tc>
          <w:tcPr>
            <w:tcW w:w="1560" w:type="dxa"/>
          </w:tcPr>
          <w:p w:rsidR="007C5447" w:rsidRDefault="00F6308C">
            <w:pPr>
              <w:pStyle w:val="TableParagraph"/>
              <w:spacing w:before="14" w:line="227" w:lineRule="exact"/>
              <w:ind w:right="95"/>
              <w:rPr>
                <w:sz w:val="20"/>
              </w:rPr>
            </w:pPr>
            <w:r>
              <w:rPr>
                <w:sz w:val="20"/>
              </w:rPr>
              <w:t>1.13</w:t>
            </w:r>
          </w:p>
        </w:tc>
        <w:tc>
          <w:tcPr>
            <w:tcW w:w="1560" w:type="dxa"/>
          </w:tcPr>
          <w:p w:rsidR="007C5447" w:rsidRDefault="00F6308C">
            <w:pPr>
              <w:pStyle w:val="TableParagraph"/>
              <w:spacing w:before="14" w:line="227" w:lineRule="exact"/>
              <w:ind w:right="95"/>
              <w:rPr>
                <w:sz w:val="20"/>
              </w:rPr>
            </w:pPr>
            <w:r>
              <w:rPr>
                <w:sz w:val="20"/>
              </w:rPr>
              <w:t>1.13</w:t>
            </w:r>
          </w:p>
        </w:tc>
        <w:tc>
          <w:tcPr>
            <w:tcW w:w="1202" w:type="dxa"/>
          </w:tcPr>
          <w:p w:rsidR="007C5447" w:rsidRDefault="00F6308C">
            <w:pPr>
              <w:pStyle w:val="TableParagraph"/>
              <w:spacing w:before="14" w:line="227" w:lineRule="exact"/>
              <w:ind w:right="94"/>
              <w:rPr>
                <w:sz w:val="20"/>
              </w:rPr>
            </w:pPr>
            <w:r>
              <w:rPr>
                <w:sz w:val="20"/>
              </w:rPr>
              <w:t>1.13</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4</w:t>
            </w:r>
          </w:p>
        </w:tc>
        <w:tc>
          <w:tcPr>
            <w:tcW w:w="3543" w:type="dxa"/>
          </w:tcPr>
          <w:p w:rsidR="007C5447" w:rsidRDefault="00F6308C">
            <w:pPr>
              <w:pStyle w:val="TableParagraph"/>
              <w:spacing w:before="14" w:line="224" w:lineRule="exact"/>
              <w:ind w:left="107"/>
              <w:jc w:val="left"/>
              <w:rPr>
                <w:sz w:val="20"/>
              </w:rPr>
            </w:pPr>
            <w:r>
              <w:rPr>
                <w:sz w:val="20"/>
              </w:rPr>
              <w:t>North Chennai TPS</w:t>
            </w:r>
          </w:p>
        </w:tc>
        <w:tc>
          <w:tcPr>
            <w:tcW w:w="1560" w:type="dxa"/>
          </w:tcPr>
          <w:p w:rsidR="007C5447" w:rsidRDefault="00F6308C">
            <w:pPr>
              <w:pStyle w:val="TableParagraph"/>
              <w:spacing w:before="14" w:line="224" w:lineRule="exact"/>
              <w:ind w:right="95"/>
              <w:rPr>
                <w:sz w:val="20"/>
              </w:rPr>
            </w:pPr>
            <w:r>
              <w:rPr>
                <w:sz w:val="20"/>
              </w:rPr>
              <w:t>0.25</w:t>
            </w:r>
          </w:p>
        </w:tc>
        <w:tc>
          <w:tcPr>
            <w:tcW w:w="1560" w:type="dxa"/>
          </w:tcPr>
          <w:p w:rsidR="007C5447" w:rsidRDefault="00F6308C">
            <w:pPr>
              <w:pStyle w:val="TableParagraph"/>
              <w:spacing w:before="14" w:line="224" w:lineRule="exact"/>
              <w:ind w:right="95"/>
              <w:rPr>
                <w:sz w:val="20"/>
              </w:rPr>
            </w:pPr>
            <w:r>
              <w:rPr>
                <w:sz w:val="20"/>
              </w:rPr>
              <w:t>0.25</w:t>
            </w:r>
          </w:p>
        </w:tc>
        <w:tc>
          <w:tcPr>
            <w:tcW w:w="1202" w:type="dxa"/>
          </w:tcPr>
          <w:p w:rsidR="007C5447" w:rsidRDefault="00F6308C">
            <w:pPr>
              <w:pStyle w:val="TableParagraph"/>
              <w:spacing w:before="14" w:line="224" w:lineRule="exact"/>
              <w:ind w:right="94"/>
              <w:rPr>
                <w:sz w:val="20"/>
              </w:rPr>
            </w:pPr>
            <w:r>
              <w:rPr>
                <w:sz w:val="20"/>
              </w:rPr>
              <w:t>0.25</w:t>
            </w:r>
          </w:p>
        </w:tc>
      </w:tr>
      <w:tr w:rsidR="007C5447">
        <w:trPr>
          <w:trHeight w:val="261"/>
        </w:trPr>
        <w:tc>
          <w:tcPr>
            <w:tcW w:w="994" w:type="dxa"/>
          </w:tcPr>
          <w:p w:rsidR="007C5447" w:rsidRDefault="00F6308C">
            <w:pPr>
              <w:pStyle w:val="TableParagraph"/>
              <w:spacing w:before="14" w:line="227" w:lineRule="exact"/>
              <w:ind w:left="8"/>
              <w:jc w:val="center"/>
              <w:rPr>
                <w:sz w:val="20"/>
              </w:rPr>
            </w:pPr>
            <w:r>
              <w:rPr>
                <w:w w:val="99"/>
                <w:sz w:val="20"/>
              </w:rPr>
              <w:t>5</w:t>
            </w:r>
          </w:p>
        </w:tc>
        <w:tc>
          <w:tcPr>
            <w:tcW w:w="3543" w:type="dxa"/>
          </w:tcPr>
          <w:p w:rsidR="007C5447" w:rsidRDefault="00F6308C">
            <w:pPr>
              <w:pStyle w:val="TableParagraph"/>
              <w:spacing w:before="14" w:line="227" w:lineRule="exact"/>
              <w:ind w:left="107"/>
              <w:jc w:val="left"/>
              <w:rPr>
                <w:sz w:val="20"/>
              </w:rPr>
            </w:pPr>
            <w:r>
              <w:rPr>
                <w:sz w:val="20"/>
              </w:rPr>
              <w:t>Mettur TPS Stage III</w:t>
            </w:r>
          </w:p>
        </w:tc>
        <w:tc>
          <w:tcPr>
            <w:tcW w:w="1560" w:type="dxa"/>
          </w:tcPr>
          <w:p w:rsidR="007C5447" w:rsidRDefault="00F6308C">
            <w:pPr>
              <w:pStyle w:val="TableParagraph"/>
              <w:spacing w:before="14" w:line="227" w:lineRule="exact"/>
              <w:ind w:right="95"/>
              <w:rPr>
                <w:sz w:val="20"/>
              </w:rPr>
            </w:pPr>
            <w:r>
              <w:rPr>
                <w:sz w:val="20"/>
              </w:rPr>
              <w:t>0.99</w:t>
            </w:r>
          </w:p>
        </w:tc>
        <w:tc>
          <w:tcPr>
            <w:tcW w:w="1560" w:type="dxa"/>
          </w:tcPr>
          <w:p w:rsidR="007C5447" w:rsidRDefault="00F6308C">
            <w:pPr>
              <w:pStyle w:val="TableParagraph"/>
              <w:spacing w:before="14" w:line="227" w:lineRule="exact"/>
              <w:ind w:right="95"/>
              <w:rPr>
                <w:sz w:val="20"/>
              </w:rPr>
            </w:pPr>
            <w:r>
              <w:rPr>
                <w:sz w:val="20"/>
              </w:rPr>
              <w:t>0.99</w:t>
            </w:r>
          </w:p>
        </w:tc>
        <w:tc>
          <w:tcPr>
            <w:tcW w:w="1202" w:type="dxa"/>
          </w:tcPr>
          <w:p w:rsidR="007C5447" w:rsidRDefault="00F6308C">
            <w:pPr>
              <w:pStyle w:val="TableParagraph"/>
              <w:spacing w:before="14" w:line="227" w:lineRule="exact"/>
              <w:ind w:right="94"/>
              <w:rPr>
                <w:sz w:val="20"/>
              </w:rPr>
            </w:pPr>
            <w:r>
              <w:rPr>
                <w:sz w:val="20"/>
              </w:rPr>
              <w:t>0.99</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6</w:t>
            </w:r>
          </w:p>
        </w:tc>
        <w:tc>
          <w:tcPr>
            <w:tcW w:w="3543" w:type="dxa"/>
          </w:tcPr>
          <w:p w:rsidR="007C5447" w:rsidRDefault="00F6308C">
            <w:pPr>
              <w:pStyle w:val="TableParagraph"/>
              <w:spacing w:before="14" w:line="224" w:lineRule="exact"/>
              <w:ind w:left="107"/>
              <w:jc w:val="left"/>
              <w:rPr>
                <w:sz w:val="20"/>
              </w:rPr>
            </w:pPr>
            <w:r>
              <w:rPr>
                <w:sz w:val="20"/>
              </w:rPr>
              <w:t>North Chennai TPS II</w:t>
            </w:r>
          </w:p>
        </w:tc>
        <w:tc>
          <w:tcPr>
            <w:tcW w:w="1560" w:type="dxa"/>
          </w:tcPr>
          <w:p w:rsidR="007C5447" w:rsidRDefault="00F6308C">
            <w:pPr>
              <w:pStyle w:val="TableParagraph"/>
              <w:spacing w:before="14" w:line="224" w:lineRule="exact"/>
              <w:ind w:right="97"/>
              <w:rPr>
                <w:sz w:val="20"/>
              </w:rPr>
            </w:pPr>
            <w:r>
              <w:rPr>
                <w:w w:val="99"/>
                <w:sz w:val="20"/>
              </w:rPr>
              <w:t>-</w:t>
            </w:r>
          </w:p>
        </w:tc>
        <w:tc>
          <w:tcPr>
            <w:tcW w:w="1560" w:type="dxa"/>
          </w:tcPr>
          <w:p w:rsidR="007C5447" w:rsidRDefault="00F6308C">
            <w:pPr>
              <w:pStyle w:val="TableParagraph"/>
              <w:spacing w:before="14" w:line="224" w:lineRule="exact"/>
              <w:ind w:right="96"/>
              <w:rPr>
                <w:sz w:val="20"/>
              </w:rPr>
            </w:pPr>
            <w:r>
              <w:rPr>
                <w:w w:val="99"/>
                <w:sz w:val="20"/>
              </w:rPr>
              <w:t>-</w:t>
            </w:r>
          </w:p>
        </w:tc>
        <w:tc>
          <w:tcPr>
            <w:tcW w:w="1202" w:type="dxa"/>
          </w:tcPr>
          <w:p w:rsidR="007C5447" w:rsidRDefault="00F6308C">
            <w:pPr>
              <w:pStyle w:val="TableParagraph"/>
              <w:spacing w:before="14" w:line="224" w:lineRule="exact"/>
              <w:ind w:right="96"/>
              <w:rPr>
                <w:sz w:val="20"/>
              </w:rPr>
            </w:pPr>
            <w:r>
              <w:rPr>
                <w:w w:val="99"/>
                <w:sz w:val="20"/>
              </w:rPr>
              <w:t>-</w:t>
            </w:r>
          </w:p>
        </w:tc>
      </w:tr>
      <w:tr w:rsidR="007C5447">
        <w:trPr>
          <w:trHeight w:val="261"/>
        </w:trPr>
        <w:tc>
          <w:tcPr>
            <w:tcW w:w="994" w:type="dxa"/>
          </w:tcPr>
          <w:p w:rsidR="007C5447" w:rsidRDefault="00F6308C">
            <w:pPr>
              <w:pStyle w:val="TableParagraph"/>
              <w:spacing w:before="14" w:line="227" w:lineRule="exact"/>
              <w:ind w:left="8"/>
              <w:jc w:val="center"/>
              <w:rPr>
                <w:sz w:val="20"/>
              </w:rPr>
            </w:pPr>
            <w:r>
              <w:rPr>
                <w:w w:val="99"/>
                <w:sz w:val="20"/>
              </w:rPr>
              <w:t>7</w:t>
            </w:r>
          </w:p>
        </w:tc>
        <w:tc>
          <w:tcPr>
            <w:tcW w:w="3543" w:type="dxa"/>
          </w:tcPr>
          <w:p w:rsidR="007C5447" w:rsidRDefault="00F6308C">
            <w:pPr>
              <w:pStyle w:val="TableParagraph"/>
              <w:spacing w:before="14" w:line="227" w:lineRule="exact"/>
              <w:ind w:left="107"/>
              <w:jc w:val="left"/>
              <w:rPr>
                <w:sz w:val="20"/>
              </w:rPr>
            </w:pPr>
            <w:r>
              <w:rPr>
                <w:sz w:val="20"/>
              </w:rPr>
              <w:t>Ennore Expansion II</w:t>
            </w:r>
          </w:p>
        </w:tc>
        <w:tc>
          <w:tcPr>
            <w:tcW w:w="1560" w:type="dxa"/>
          </w:tcPr>
          <w:p w:rsidR="007C5447" w:rsidRDefault="00F6308C">
            <w:pPr>
              <w:pStyle w:val="TableParagraph"/>
              <w:spacing w:before="14" w:line="227" w:lineRule="exact"/>
              <w:ind w:right="97"/>
              <w:rPr>
                <w:sz w:val="20"/>
              </w:rPr>
            </w:pPr>
            <w:r>
              <w:rPr>
                <w:w w:val="99"/>
                <w:sz w:val="20"/>
              </w:rPr>
              <w:t>-</w:t>
            </w:r>
          </w:p>
        </w:tc>
        <w:tc>
          <w:tcPr>
            <w:tcW w:w="1560" w:type="dxa"/>
          </w:tcPr>
          <w:p w:rsidR="007C5447" w:rsidRDefault="00F6308C">
            <w:pPr>
              <w:pStyle w:val="TableParagraph"/>
              <w:spacing w:before="14" w:line="227" w:lineRule="exact"/>
              <w:ind w:right="96"/>
              <w:rPr>
                <w:sz w:val="20"/>
              </w:rPr>
            </w:pPr>
            <w:r>
              <w:rPr>
                <w:w w:val="99"/>
                <w:sz w:val="20"/>
              </w:rPr>
              <w:t>-</w:t>
            </w:r>
          </w:p>
        </w:tc>
        <w:tc>
          <w:tcPr>
            <w:tcW w:w="1202" w:type="dxa"/>
          </w:tcPr>
          <w:p w:rsidR="007C5447" w:rsidRDefault="00F6308C">
            <w:pPr>
              <w:pStyle w:val="TableParagraph"/>
              <w:spacing w:before="14" w:line="227" w:lineRule="exact"/>
              <w:ind w:right="96"/>
              <w:rPr>
                <w:sz w:val="20"/>
              </w:rPr>
            </w:pPr>
            <w:r>
              <w:rPr>
                <w:w w:val="99"/>
                <w:sz w:val="20"/>
              </w:rPr>
              <w:t>-</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8</w:t>
            </w:r>
          </w:p>
        </w:tc>
        <w:tc>
          <w:tcPr>
            <w:tcW w:w="3543" w:type="dxa"/>
          </w:tcPr>
          <w:p w:rsidR="007C5447" w:rsidRDefault="00F6308C">
            <w:pPr>
              <w:pStyle w:val="TableParagraph"/>
              <w:spacing w:before="14" w:line="224" w:lineRule="exact"/>
              <w:ind w:left="107"/>
              <w:jc w:val="left"/>
              <w:rPr>
                <w:sz w:val="20"/>
              </w:rPr>
            </w:pPr>
            <w:r>
              <w:rPr>
                <w:sz w:val="20"/>
              </w:rPr>
              <w:t>Tirumakottai GTPS</w:t>
            </w:r>
          </w:p>
        </w:tc>
        <w:tc>
          <w:tcPr>
            <w:tcW w:w="1560" w:type="dxa"/>
          </w:tcPr>
          <w:p w:rsidR="007C5447" w:rsidRDefault="00F6308C">
            <w:pPr>
              <w:pStyle w:val="TableParagraph"/>
              <w:spacing w:before="14" w:line="224" w:lineRule="exact"/>
              <w:ind w:right="97"/>
              <w:rPr>
                <w:sz w:val="20"/>
              </w:rPr>
            </w:pPr>
            <w:r>
              <w:rPr>
                <w:w w:val="99"/>
                <w:sz w:val="20"/>
              </w:rPr>
              <w:t>-</w:t>
            </w:r>
          </w:p>
        </w:tc>
        <w:tc>
          <w:tcPr>
            <w:tcW w:w="1560" w:type="dxa"/>
          </w:tcPr>
          <w:p w:rsidR="007C5447" w:rsidRDefault="00F6308C">
            <w:pPr>
              <w:pStyle w:val="TableParagraph"/>
              <w:spacing w:before="14" w:line="224" w:lineRule="exact"/>
              <w:ind w:right="96"/>
              <w:rPr>
                <w:sz w:val="20"/>
              </w:rPr>
            </w:pPr>
            <w:r>
              <w:rPr>
                <w:w w:val="99"/>
                <w:sz w:val="20"/>
              </w:rPr>
              <w:t>-</w:t>
            </w:r>
          </w:p>
        </w:tc>
        <w:tc>
          <w:tcPr>
            <w:tcW w:w="1202" w:type="dxa"/>
          </w:tcPr>
          <w:p w:rsidR="007C5447" w:rsidRDefault="00F6308C">
            <w:pPr>
              <w:pStyle w:val="TableParagraph"/>
              <w:spacing w:before="14" w:line="224" w:lineRule="exact"/>
              <w:ind w:right="96"/>
              <w:rPr>
                <w:sz w:val="20"/>
              </w:rPr>
            </w:pPr>
            <w:r>
              <w:rPr>
                <w:w w:val="99"/>
                <w:sz w:val="20"/>
              </w:rPr>
              <w:t>-</w:t>
            </w:r>
          </w:p>
        </w:tc>
      </w:tr>
      <w:tr w:rsidR="007C5447">
        <w:trPr>
          <w:trHeight w:val="261"/>
        </w:trPr>
        <w:tc>
          <w:tcPr>
            <w:tcW w:w="994" w:type="dxa"/>
          </w:tcPr>
          <w:p w:rsidR="007C5447" w:rsidRDefault="00F6308C">
            <w:pPr>
              <w:pStyle w:val="TableParagraph"/>
              <w:spacing w:before="14" w:line="227" w:lineRule="exact"/>
              <w:ind w:left="8"/>
              <w:jc w:val="center"/>
              <w:rPr>
                <w:sz w:val="20"/>
              </w:rPr>
            </w:pPr>
            <w:r>
              <w:rPr>
                <w:w w:val="99"/>
                <w:sz w:val="20"/>
              </w:rPr>
              <w:t>9</w:t>
            </w:r>
          </w:p>
        </w:tc>
        <w:tc>
          <w:tcPr>
            <w:tcW w:w="3543" w:type="dxa"/>
          </w:tcPr>
          <w:p w:rsidR="007C5447" w:rsidRDefault="00F6308C">
            <w:pPr>
              <w:pStyle w:val="TableParagraph"/>
              <w:spacing w:before="14" w:line="227" w:lineRule="exact"/>
              <w:ind w:left="107"/>
              <w:jc w:val="left"/>
              <w:rPr>
                <w:sz w:val="20"/>
              </w:rPr>
            </w:pPr>
            <w:r>
              <w:rPr>
                <w:sz w:val="20"/>
              </w:rPr>
              <w:t>Kuttalam GTPS</w:t>
            </w:r>
          </w:p>
        </w:tc>
        <w:tc>
          <w:tcPr>
            <w:tcW w:w="1560" w:type="dxa"/>
          </w:tcPr>
          <w:p w:rsidR="007C5447" w:rsidRDefault="00F6308C">
            <w:pPr>
              <w:pStyle w:val="TableParagraph"/>
              <w:spacing w:before="14" w:line="227" w:lineRule="exact"/>
              <w:ind w:right="97"/>
              <w:rPr>
                <w:sz w:val="20"/>
              </w:rPr>
            </w:pPr>
            <w:r>
              <w:rPr>
                <w:w w:val="99"/>
                <w:sz w:val="20"/>
              </w:rPr>
              <w:t>-</w:t>
            </w:r>
          </w:p>
        </w:tc>
        <w:tc>
          <w:tcPr>
            <w:tcW w:w="1560" w:type="dxa"/>
          </w:tcPr>
          <w:p w:rsidR="007C5447" w:rsidRDefault="00F6308C">
            <w:pPr>
              <w:pStyle w:val="TableParagraph"/>
              <w:spacing w:before="14" w:line="227" w:lineRule="exact"/>
              <w:ind w:right="96"/>
              <w:rPr>
                <w:sz w:val="20"/>
              </w:rPr>
            </w:pPr>
            <w:r>
              <w:rPr>
                <w:w w:val="99"/>
                <w:sz w:val="20"/>
              </w:rPr>
              <w:t>-</w:t>
            </w:r>
          </w:p>
        </w:tc>
        <w:tc>
          <w:tcPr>
            <w:tcW w:w="1202" w:type="dxa"/>
          </w:tcPr>
          <w:p w:rsidR="007C5447" w:rsidRDefault="00F6308C">
            <w:pPr>
              <w:pStyle w:val="TableParagraph"/>
              <w:spacing w:before="14" w:line="227" w:lineRule="exact"/>
              <w:ind w:right="96"/>
              <w:rPr>
                <w:sz w:val="20"/>
              </w:rPr>
            </w:pPr>
            <w:r>
              <w:rPr>
                <w:w w:val="99"/>
                <w:sz w:val="20"/>
              </w:rPr>
              <w:t>-</w:t>
            </w:r>
          </w:p>
        </w:tc>
      </w:tr>
      <w:tr w:rsidR="007C5447">
        <w:trPr>
          <w:trHeight w:val="258"/>
        </w:trPr>
        <w:tc>
          <w:tcPr>
            <w:tcW w:w="994" w:type="dxa"/>
          </w:tcPr>
          <w:p w:rsidR="007C5447" w:rsidRDefault="00F6308C">
            <w:pPr>
              <w:pStyle w:val="TableParagraph"/>
              <w:spacing w:before="14" w:line="224" w:lineRule="exact"/>
              <w:ind w:left="367" w:right="358"/>
              <w:jc w:val="center"/>
              <w:rPr>
                <w:sz w:val="20"/>
              </w:rPr>
            </w:pPr>
            <w:r>
              <w:rPr>
                <w:sz w:val="20"/>
              </w:rPr>
              <w:t>10</w:t>
            </w:r>
          </w:p>
        </w:tc>
        <w:tc>
          <w:tcPr>
            <w:tcW w:w="3543" w:type="dxa"/>
          </w:tcPr>
          <w:p w:rsidR="007C5447" w:rsidRDefault="00F6308C">
            <w:pPr>
              <w:pStyle w:val="TableParagraph"/>
              <w:spacing w:before="14" w:line="224" w:lineRule="exact"/>
              <w:ind w:left="107"/>
              <w:jc w:val="left"/>
              <w:rPr>
                <w:sz w:val="20"/>
              </w:rPr>
            </w:pPr>
            <w:r>
              <w:rPr>
                <w:sz w:val="20"/>
              </w:rPr>
              <w:t>Basin Bridge GTPS</w:t>
            </w:r>
          </w:p>
        </w:tc>
        <w:tc>
          <w:tcPr>
            <w:tcW w:w="1560" w:type="dxa"/>
          </w:tcPr>
          <w:p w:rsidR="007C5447" w:rsidRDefault="00F6308C">
            <w:pPr>
              <w:pStyle w:val="TableParagraph"/>
              <w:spacing w:before="14" w:line="224" w:lineRule="exact"/>
              <w:ind w:right="97"/>
              <w:rPr>
                <w:sz w:val="20"/>
              </w:rPr>
            </w:pPr>
            <w:r>
              <w:rPr>
                <w:w w:val="99"/>
                <w:sz w:val="20"/>
              </w:rPr>
              <w:t>-</w:t>
            </w:r>
          </w:p>
        </w:tc>
        <w:tc>
          <w:tcPr>
            <w:tcW w:w="1560" w:type="dxa"/>
          </w:tcPr>
          <w:p w:rsidR="007C5447" w:rsidRDefault="00F6308C">
            <w:pPr>
              <w:pStyle w:val="TableParagraph"/>
              <w:spacing w:before="14" w:line="224" w:lineRule="exact"/>
              <w:ind w:right="96"/>
              <w:rPr>
                <w:sz w:val="20"/>
              </w:rPr>
            </w:pPr>
            <w:r>
              <w:rPr>
                <w:w w:val="99"/>
                <w:sz w:val="20"/>
              </w:rPr>
              <w:t>-</w:t>
            </w:r>
          </w:p>
        </w:tc>
        <w:tc>
          <w:tcPr>
            <w:tcW w:w="1202" w:type="dxa"/>
          </w:tcPr>
          <w:p w:rsidR="007C5447" w:rsidRDefault="00F6308C">
            <w:pPr>
              <w:pStyle w:val="TableParagraph"/>
              <w:spacing w:before="14" w:line="224" w:lineRule="exact"/>
              <w:ind w:right="96"/>
              <w:rPr>
                <w:sz w:val="20"/>
              </w:rPr>
            </w:pPr>
            <w:r>
              <w:rPr>
                <w:w w:val="99"/>
                <w:sz w:val="20"/>
              </w:rPr>
              <w:t>-</w:t>
            </w:r>
          </w:p>
        </w:tc>
      </w:tr>
      <w:tr w:rsidR="007C5447">
        <w:trPr>
          <w:trHeight w:val="261"/>
        </w:trPr>
        <w:tc>
          <w:tcPr>
            <w:tcW w:w="994" w:type="dxa"/>
          </w:tcPr>
          <w:p w:rsidR="007C5447" w:rsidRDefault="00F6308C">
            <w:pPr>
              <w:pStyle w:val="TableParagraph"/>
              <w:spacing w:before="14" w:line="227" w:lineRule="exact"/>
              <w:ind w:left="367" w:right="358"/>
              <w:jc w:val="center"/>
              <w:rPr>
                <w:sz w:val="20"/>
              </w:rPr>
            </w:pPr>
            <w:r>
              <w:rPr>
                <w:sz w:val="20"/>
              </w:rPr>
              <w:t>11</w:t>
            </w:r>
          </w:p>
        </w:tc>
        <w:tc>
          <w:tcPr>
            <w:tcW w:w="3543" w:type="dxa"/>
          </w:tcPr>
          <w:p w:rsidR="007C5447" w:rsidRDefault="00F6308C">
            <w:pPr>
              <w:pStyle w:val="TableParagraph"/>
              <w:spacing w:before="14" w:line="227" w:lineRule="exact"/>
              <w:ind w:left="107"/>
              <w:jc w:val="left"/>
              <w:rPr>
                <w:sz w:val="20"/>
              </w:rPr>
            </w:pPr>
            <w:r>
              <w:rPr>
                <w:sz w:val="20"/>
              </w:rPr>
              <w:t>Valuthur GTPS</w:t>
            </w:r>
          </w:p>
        </w:tc>
        <w:tc>
          <w:tcPr>
            <w:tcW w:w="1560" w:type="dxa"/>
          </w:tcPr>
          <w:p w:rsidR="007C5447" w:rsidRDefault="00F6308C">
            <w:pPr>
              <w:pStyle w:val="TableParagraph"/>
              <w:spacing w:before="14" w:line="227" w:lineRule="exact"/>
              <w:ind w:right="97"/>
              <w:rPr>
                <w:sz w:val="20"/>
              </w:rPr>
            </w:pPr>
            <w:r>
              <w:rPr>
                <w:w w:val="99"/>
                <w:sz w:val="20"/>
              </w:rPr>
              <w:t>-</w:t>
            </w:r>
          </w:p>
        </w:tc>
        <w:tc>
          <w:tcPr>
            <w:tcW w:w="1560" w:type="dxa"/>
          </w:tcPr>
          <w:p w:rsidR="007C5447" w:rsidRDefault="00F6308C">
            <w:pPr>
              <w:pStyle w:val="TableParagraph"/>
              <w:spacing w:before="14" w:line="227" w:lineRule="exact"/>
              <w:ind w:right="96"/>
              <w:rPr>
                <w:sz w:val="20"/>
              </w:rPr>
            </w:pPr>
            <w:r>
              <w:rPr>
                <w:w w:val="99"/>
                <w:sz w:val="20"/>
              </w:rPr>
              <w:t>-</w:t>
            </w:r>
          </w:p>
        </w:tc>
        <w:tc>
          <w:tcPr>
            <w:tcW w:w="1202" w:type="dxa"/>
          </w:tcPr>
          <w:p w:rsidR="007C5447" w:rsidRDefault="00F6308C">
            <w:pPr>
              <w:pStyle w:val="TableParagraph"/>
              <w:spacing w:before="14" w:line="227" w:lineRule="exact"/>
              <w:ind w:right="96"/>
              <w:rPr>
                <w:sz w:val="20"/>
              </w:rPr>
            </w:pPr>
            <w:r>
              <w:rPr>
                <w:w w:val="99"/>
                <w:sz w:val="20"/>
              </w:rPr>
              <w:t>-</w:t>
            </w:r>
          </w:p>
        </w:tc>
      </w:tr>
    </w:tbl>
    <w:p w:rsidR="007C5447" w:rsidRDefault="007C5447">
      <w:pPr>
        <w:spacing w:line="227" w:lineRule="exact"/>
        <w:rPr>
          <w:sz w:val="20"/>
        </w:rPr>
        <w:sectPr w:rsidR="007C5447">
          <w:pgSz w:w="11910" w:h="16840"/>
          <w:pgMar w:top="1360" w:right="620" w:bottom="1240" w:left="900" w:header="0" w:footer="1057" w:gutter="0"/>
          <w:cols w:space="720"/>
        </w:sect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3543"/>
        <w:gridCol w:w="1560"/>
        <w:gridCol w:w="1560"/>
        <w:gridCol w:w="1202"/>
      </w:tblGrid>
      <w:tr w:rsidR="007C5447">
        <w:trPr>
          <w:trHeight w:val="350"/>
        </w:trPr>
        <w:tc>
          <w:tcPr>
            <w:tcW w:w="994" w:type="dxa"/>
            <w:vMerge w:val="restart"/>
            <w:shd w:val="clear" w:color="auto" w:fill="F7C9AC"/>
          </w:tcPr>
          <w:p w:rsidR="007C5447" w:rsidRDefault="007C5447">
            <w:pPr>
              <w:pStyle w:val="TableParagraph"/>
              <w:spacing w:before="7"/>
              <w:jc w:val="left"/>
              <w:rPr>
                <w:b/>
                <w:sz w:val="23"/>
              </w:rPr>
            </w:pPr>
          </w:p>
          <w:p w:rsidR="007C5447" w:rsidRDefault="00F6308C">
            <w:pPr>
              <w:pStyle w:val="TableParagraph"/>
              <w:ind w:left="367" w:right="359"/>
              <w:jc w:val="center"/>
              <w:rPr>
                <w:b/>
                <w:sz w:val="20"/>
              </w:rPr>
            </w:pPr>
            <w:r>
              <w:rPr>
                <w:b/>
                <w:sz w:val="20"/>
              </w:rPr>
              <w:t>Sl.</w:t>
            </w:r>
          </w:p>
        </w:tc>
        <w:tc>
          <w:tcPr>
            <w:tcW w:w="3543" w:type="dxa"/>
            <w:vMerge w:val="restart"/>
            <w:shd w:val="clear" w:color="auto" w:fill="F7C9AC"/>
          </w:tcPr>
          <w:p w:rsidR="007C5447" w:rsidRDefault="007C5447">
            <w:pPr>
              <w:pStyle w:val="TableParagraph"/>
              <w:spacing w:before="7"/>
              <w:jc w:val="left"/>
              <w:rPr>
                <w:b/>
                <w:sz w:val="23"/>
              </w:rPr>
            </w:pPr>
          </w:p>
          <w:p w:rsidR="007C5447" w:rsidRDefault="00F6308C">
            <w:pPr>
              <w:pStyle w:val="TableParagraph"/>
              <w:ind w:left="107"/>
              <w:jc w:val="left"/>
              <w:rPr>
                <w:b/>
                <w:sz w:val="20"/>
              </w:rPr>
            </w:pPr>
            <w:r>
              <w:rPr>
                <w:b/>
                <w:sz w:val="20"/>
              </w:rPr>
              <w:t>Power Station</w:t>
            </w:r>
          </w:p>
        </w:tc>
        <w:tc>
          <w:tcPr>
            <w:tcW w:w="4322" w:type="dxa"/>
            <w:gridSpan w:val="3"/>
            <w:shd w:val="clear" w:color="auto" w:fill="F7C9AC"/>
          </w:tcPr>
          <w:p w:rsidR="007C5447" w:rsidRDefault="00F6308C">
            <w:pPr>
              <w:pStyle w:val="TableParagraph"/>
              <w:spacing w:before="60"/>
              <w:ind w:left="1559" w:right="1556"/>
              <w:jc w:val="center"/>
              <w:rPr>
                <w:b/>
                <w:sz w:val="20"/>
              </w:rPr>
            </w:pPr>
            <w:r>
              <w:rPr>
                <w:b/>
                <w:sz w:val="20"/>
              </w:rPr>
              <w:t>TANGEDCO</w:t>
            </w:r>
          </w:p>
        </w:tc>
      </w:tr>
      <w:tr w:rsidR="007C5447">
        <w:trPr>
          <w:trHeight w:val="410"/>
        </w:trPr>
        <w:tc>
          <w:tcPr>
            <w:tcW w:w="994" w:type="dxa"/>
            <w:vMerge/>
            <w:tcBorders>
              <w:top w:val="nil"/>
            </w:tcBorders>
            <w:shd w:val="clear" w:color="auto" w:fill="F7C9AC"/>
          </w:tcPr>
          <w:p w:rsidR="007C5447" w:rsidRDefault="007C5447">
            <w:pPr>
              <w:rPr>
                <w:sz w:val="2"/>
                <w:szCs w:val="2"/>
              </w:rPr>
            </w:pPr>
          </w:p>
        </w:tc>
        <w:tc>
          <w:tcPr>
            <w:tcW w:w="3543" w:type="dxa"/>
            <w:vMerge/>
            <w:tcBorders>
              <w:top w:val="nil"/>
            </w:tcBorders>
            <w:shd w:val="clear" w:color="auto" w:fill="F7C9AC"/>
          </w:tcPr>
          <w:p w:rsidR="007C5447" w:rsidRDefault="007C5447">
            <w:pPr>
              <w:rPr>
                <w:sz w:val="2"/>
                <w:szCs w:val="2"/>
              </w:rPr>
            </w:pPr>
          </w:p>
        </w:tc>
        <w:tc>
          <w:tcPr>
            <w:tcW w:w="1560" w:type="dxa"/>
            <w:shd w:val="clear" w:color="auto" w:fill="F7C9AC"/>
          </w:tcPr>
          <w:p w:rsidR="007C5447" w:rsidRDefault="00F6308C">
            <w:pPr>
              <w:pStyle w:val="TableParagraph"/>
              <w:spacing w:before="91"/>
              <w:ind w:left="287"/>
              <w:jc w:val="left"/>
              <w:rPr>
                <w:b/>
                <w:sz w:val="20"/>
              </w:rPr>
            </w:pPr>
            <w:r>
              <w:rPr>
                <w:b/>
                <w:sz w:val="20"/>
              </w:rPr>
              <w:t>FY 2016-17</w:t>
            </w:r>
          </w:p>
        </w:tc>
        <w:tc>
          <w:tcPr>
            <w:tcW w:w="1560" w:type="dxa"/>
            <w:shd w:val="clear" w:color="auto" w:fill="F7C9AC"/>
          </w:tcPr>
          <w:p w:rsidR="007C5447" w:rsidRDefault="00F6308C">
            <w:pPr>
              <w:pStyle w:val="TableParagraph"/>
              <w:spacing w:before="91"/>
              <w:ind w:left="287"/>
              <w:jc w:val="left"/>
              <w:rPr>
                <w:b/>
                <w:sz w:val="20"/>
              </w:rPr>
            </w:pPr>
            <w:r>
              <w:rPr>
                <w:b/>
                <w:sz w:val="20"/>
              </w:rPr>
              <w:t>FY 2017-18</w:t>
            </w:r>
          </w:p>
        </w:tc>
        <w:tc>
          <w:tcPr>
            <w:tcW w:w="1202" w:type="dxa"/>
            <w:shd w:val="clear" w:color="auto" w:fill="F7C9AC"/>
          </w:tcPr>
          <w:p w:rsidR="007C5447" w:rsidRDefault="00F6308C">
            <w:pPr>
              <w:pStyle w:val="TableParagraph"/>
              <w:spacing w:before="91"/>
              <w:ind w:right="95"/>
              <w:rPr>
                <w:b/>
                <w:sz w:val="20"/>
              </w:rPr>
            </w:pPr>
            <w:r>
              <w:rPr>
                <w:b/>
                <w:sz w:val="20"/>
              </w:rPr>
              <w:t>FY 2018-19</w:t>
            </w:r>
          </w:p>
        </w:tc>
      </w:tr>
      <w:tr w:rsidR="007C5447">
        <w:trPr>
          <w:trHeight w:val="261"/>
        </w:trPr>
        <w:tc>
          <w:tcPr>
            <w:tcW w:w="994" w:type="dxa"/>
          </w:tcPr>
          <w:p w:rsidR="007C5447" w:rsidRDefault="00F6308C">
            <w:pPr>
              <w:pStyle w:val="TableParagraph"/>
              <w:spacing w:before="17" w:line="224" w:lineRule="exact"/>
              <w:ind w:left="367" w:right="358"/>
              <w:jc w:val="center"/>
              <w:rPr>
                <w:sz w:val="20"/>
              </w:rPr>
            </w:pPr>
            <w:r>
              <w:rPr>
                <w:sz w:val="20"/>
              </w:rPr>
              <w:t>12</w:t>
            </w:r>
          </w:p>
        </w:tc>
        <w:tc>
          <w:tcPr>
            <w:tcW w:w="3543" w:type="dxa"/>
          </w:tcPr>
          <w:p w:rsidR="007C5447" w:rsidRDefault="00F6308C">
            <w:pPr>
              <w:pStyle w:val="TableParagraph"/>
              <w:spacing w:before="17" w:line="224" w:lineRule="exact"/>
              <w:ind w:left="107"/>
              <w:jc w:val="left"/>
              <w:rPr>
                <w:sz w:val="20"/>
              </w:rPr>
            </w:pPr>
            <w:r>
              <w:rPr>
                <w:sz w:val="20"/>
              </w:rPr>
              <w:t>Erode HEP</w:t>
            </w:r>
          </w:p>
        </w:tc>
        <w:tc>
          <w:tcPr>
            <w:tcW w:w="1560" w:type="dxa"/>
          </w:tcPr>
          <w:p w:rsidR="007C5447" w:rsidRDefault="00F6308C">
            <w:pPr>
              <w:pStyle w:val="TableParagraph"/>
              <w:spacing w:before="17" w:line="224" w:lineRule="exact"/>
              <w:ind w:right="97"/>
              <w:rPr>
                <w:sz w:val="20"/>
              </w:rPr>
            </w:pPr>
            <w:r>
              <w:rPr>
                <w:w w:val="99"/>
                <w:sz w:val="20"/>
              </w:rPr>
              <w:t>-</w:t>
            </w:r>
          </w:p>
        </w:tc>
        <w:tc>
          <w:tcPr>
            <w:tcW w:w="1560" w:type="dxa"/>
          </w:tcPr>
          <w:p w:rsidR="007C5447" w:rsidRDefault="00F6308C">
            <w:pPr>
              <w:pStyle w:val="TableParagraph"/>
              <w:spacing w:before="17" w:line="224" w:lineRule="exact"/>
              <w:ind w:right="96"/>
              <w:rPr>
                <w:sz w:val="20"/>
              </w:rPr>
            </w:pPr>
            <w:r>
              <w:rPr>
                <w:w w:val="99"/>
                <w:sz w:val="20"/>
              </w:rPr>
              <w:t>-</w:t>
            </w:r>
          </w:p>
        </w:tc>
        <w:tc>
          <w:tcPr>
            <w:tcW w:w="1202" w:type="dxa"/>
          </w:tcPr>
          <w:p w:rsidR="007C5447" w:rsidRDefault="00F6308C">
            <w:pPr>
              <w:pStyle w:val="TableParagraph"/>
              <w:spacing w:before="17" w:line="224" w:lineRule="exact"/>
              <w:ind w:right="96"/>
              <w:rPr>
                <w:sz w:val="20"/>
              </w:rPr>
            </w:pPr>
            <w:r>
              <w:rPr>
                <w:w w:val="99"/>
                <w:sz w:val="20"/>
              </w:rPr>
              <w:t>-</w:t>
            </w:r>
          </w:p>
        </w:tc>
      </w:tr>
      <w:tr w:rsidR="007C5447">
        <w:trPr>
          <w:trHeight w:val="258"/>
        </w:trPr>
        <w:tc>
          <w:tcPr>
            <w:tcW w:w="994" w:type="dxa"/>
          </w:tcPr>
          <w:p w:rsidR="007C5447" w:rsidRDefault="00F6308C">
            <w:pPr>
              <w:pStyle w:val="TableParagraph"/>
              <w:spacing w:before="14" w:line="224" w:lineRule="exact"/>
              <w:ind w:left="367" w:right="358"/>
              <w:jc w:val="center"/>
              <w:rPr>
                <w:sz w:val="20"/>
              </w:rPr>
            </w:pPr>
            <w:r>
              <w:rPr>
                <w:sz w:val="20"/>
              </w:rPr>
              <w:t>13</w:t>
            </w:r>
          </w:p>
        </w:tc>
        <w:tc>
          <w:tcPr>
            <w:tcW w:w="3543" w:type="dxa"/>
          </w:tcPr>
          <w:p w:rsidR="007C5447" w:rsidRDefault="00F6308C">
            <w:pPr>
              <w:pStyle w:val="TableParagraph"/>
              <w:spacing w:before="14" w:line="224" w:lineRule="exact"/>
              <w:ind w:left="107"/>
              <w:jc w:val="left"/>
              <w:rPr>
                <w:sz w:val="20"/>
              </w:rPr>
            </w:pPr>
            <w:r>
              <w:rPr>
                <w:sz w:val="20"/>
              </w:rPr>
              <w:t>Kadamparai HEP</w:t>
            </w:r>
          </w:p>
        </w:tc>
        <w:tc>
          <w:tcPr>
            <w:tcW w:w="1560" w:type="dxa"/>
          </w:tcPr>
          <w:p w:rsidR="007C5447" w:rsidRDefault="00F6308C">
            <w:pPr>
              <w:pStyle w:val="TableParagraph"/>
              <w:spacing w:before="14" w:line="224" w:lineRule="exact"/>
              <w:ind w:right="95"/>
              <w:rPr>
                <w:sz w:val="20"/>
              </w:rPr>
            </w:pPr>
            <w:r>
              <w:rPr>
                <w:sz w:val="20"/>
              </w:rPr>
              <w:t>0.02</w:t>
            </w:r>
          </w:p>
        </w:tc>
        <w:tc>
          <w:tcPr>
            <w:tcW w:w="1560" w:type="dxa"/>
          </w:tcPr>
          <w:p w:rsidR="007C5447" w:rsidRDefault="00F6308C">
            <w:pPr>
              <w:pStyle w:val="TableParagraph"/>
              <w:spacing w:before="14" w:line="224" w:lineRule="exact"/>
              <w:ind w:right="95"/>
              <w:rPr>
                <w:sz w:val="20"/>
              </w:rPr>
            </w:pPr>
            <w:r>
              <w:rPr>
                <w:sz w:val="20"/>
              </w:rPr>
              <w:t>0.02</w:t>
            </w:r>
          </w:p>
        </w:tc>
        <w:tc>
          <w:tcPr>
            <w:tcW w:w="1202" w:type="dxa"/>
          </w:tcPr>
          <w:p w:rsidR="007C5447" w:rsidRDefault="00F6308C">
            <w:pPr>
              <w:pStyle w:val="TableParagraph"/>
              <w:spacing w:before="14" w:line="224" w:lineRule="exact"/>
              <w:ind w:right="94"/>
              <w:rPr>
                <w:sz w:val="20"/>
              </w:rPr>
            </w:pPr>
            <w:r>
              <w:rPr>
                <w:sz w:val="20"/>
              </w:rPr>
              <w:t>0.02</w:t>
            </w:r>
          </w:p>
        </w:tc>
      </w:tr>
      <w:tr w:rsidR="007C5447">
        <w:trPr>
          <w:trHeight w:val="261"/>
        </w:trPr>
        <w:tc>
          <w:tcPr>
            <w:tcW w:w="994" w:type="dxa"/>
          </w:tcPr>
          <w:p w:rsidR="007C5447" w:rsidRDefault="00F6308C">
            <w:pPr>
              <w:pStyle w:val="TableParagraph"/>
              <w:spacing w:before="17" w:line="224" w:lineRule="exact"/>
              <w:ind w:left="367" w:right="358"/>
              <w:jc w:val="center"/>
              <w:rPr>
                <w:sz w:val="20"/>
              </w:rPr>
            </w:pPr>
            <w:r>
              <w:rPr>
                <w:sz w:val="20"/>
              </w:rPr>
              <w:t>14</w:t>
            </w:r>
          </w:p>
        </w:tc>
        <w:tc>
          <w:tcPr>
            <w:tcW w:w="3543" w:type="dxa"/>
          </w:tcPr>
          <w:p w:rsidR="007C5447" w:rsidRDefault="00F6308C">
            <w:pPr>
              <w:pStyle w:val="TableParagraph"/>
              <w:spacing w:before="17" w:line="224" w:lineRule="exact"/>
              <w:ind w:left="107"/>
              <w:jc w:val="left"/>
              <w:rPr>
                <w:sz w:val="20"/>
              </w:rPr>
            </w:pPr>
            <w:r>
              <w:rPr>
                <w:sz w:val="20"/>
              </w:rPr>
              <w:t>Kundah HEP</w:t>
            </w:r>
          </w:p>
        </w:tc>
        <w:tc>
          <w:tcPr>
            <w:tcW w:w="1560" w:type="dxa"/>
          </w:tcPr>
          <w:p w:rsidR="007C5447" w:rsidRDefault="00F6308C">
            <w:pPr>
              <w:pStyle w:val="TableParagraph"/>
              <w:spacing w:before="17" w:line="224" w:lineRule="exact"/>
              <w:ind w:right="95"/>
              <w:rPr>
                <w:sz w:val="20"/>
              </w:rPr>
            </w:pPr>
            <w:r>
              <w:rPr>
                <w:sz w:val="20"/>
              </w:rPr>
              <w:t>0.09</w:t>
            </w:r>
          </w:p>
        </w:tc>
        <w:tc>
          <w:tcPr>
            <w:tcW w:w="1560" w:type="dxa"/>
          </w:tcPr>
          <w:p w:rsidR="007C5447" w:rsidRDefault="00F6308C">
            <w:pPr>
              <w:pStyle w:val="TableParagraph"/>
              <w:spacing w:before="17" w:line="224" w:lineRule="exact"/>
              <w:ind w:right="95"/>
              <w:rPr>
                <w:sz w:val="20"/>
              </w:rPr>
            </w:pPr>
            <w:r>
              <w:rPr>
                <w:sz w:val="20"/>
              </w:rPr>
              <w:t>0.09</w:t>
            </w:r>
          </w:p>
        </w:tc>
        <w:tc>
          <w:tcPr>
            <w:tcW w:w="1202" w:type="dxa"/>
          </w:tcPr>
          <w:p w:rsidR="007C5447" w:rsidRDefault="00F6308C">
            <w:pPr>
              <w:pStyle w:val="TableParagraph"/>
              <w:spacing w:before="17" w:line="224" w:lineRule="exact"/>
              <w:ind w:right="94"/>
              <w:rPr>
                <w:sz w:val="20"/>
              </w:rPr>
            </w:pPr>
            <w:r>
              <w:rPr>
                <w:sz w:val="20"/>
              </w:rPr>
              <w:t>0.09</w:t>
            </w:r>
          </w:p>
        </w:tc>
      </w:tr>
      <w:tr w:rsidR="007C5447">
        <w:trPr>
          <w:trHeight w:val="263"/>
        </w:trPr>
        <w:tc>
          <w:tcPr>
            <w:tcW w:w="994" w:type="dxa"/>
          </w:tcPr>
          <w:p w:rsidR="007C5447" w:rsidRDefault="00F6308C">
            <w:pPr>
              <w:pStyle w:val="TableParagraph"/>
              <w:spacing w:before="17" w:line="227" w:lineRule="exact"/>
              <w:ind w:left="367" w:right="358"/>
              <w:jc w:val="center"/>
              <w:rPr>
                <w:sz w:val="20"/>
              </w:rPr>
            </w:pPr>
            <w:r>
              <w:rPr>
                <w:sz w:val="20"/>
              </w:rPr>
              <w:t>15</w:t>
            </w:r>
          </w:p>
        </w:tc>
        <w:tc>
          <w:tcPr>
            <w:tcW w:w="3543" w:type="dxa"/>
          </w:tcPr>
          <w:p w:rsidR="007C5447" w:rsidRDefault="00F6308C">
            <w:pPr>
              <w:pStyle w:val="TableParagraph"/>
              <w:spacing w:before="17" w:line="227" w:lineRule="exact"/>
              <w:ind w:left="107"/>
              <w:jc w:val="left"/>
              <w:rPr>
                <w:sz w:val="20"/>
              </w:rPr>
            </w:pPr>
            <w:r>
              <w:rPr>
                <w:sz w:val="20"/>
              </w:rPr>
              <w:t>Tirunelveli HEP</w:t>
            </w:r>
          </w:p>
        </w:tc>
        <w:tc>
          <w:tcPr>
            <w:tcW w:w="1560" w:type="dxa"/>
          </w:tcPr>
          <w:p w:rsidR="007C5447" w:rsidRDefault="00F6308C">
            <w:pPr>
              <w:pStyle w:val="TableParagraph"/>
              <w:spacing w:before="17" w:line="227" w:lineRule="exact"/>
              <w:ind w:right="95"/>
              <w:rPr>
                <w:sz w:val="20"/>
              </w:rPr>
            </w:pPr>
            <w:r>
              <w:rPr>
                <w:sz w:val="20"/>
              </w:rPr>
              <w:t>0.08</w:t>
            </w:r>
          </w:p>
        </w:tc>
        <w:tc>
          <w:tcPr>
            <w:tcW w:w="1560" w:type="dxa"/>
          </w:tcPr>
          <w:p w:rsidR="007C5447" w:rsidRDefault="00F6308C">
            <w:pPr>
              <w:pStyle w:val="TableParagraph"/>
              <w:spacing w:before="17" w:line="227" w:lineRule="exact"/>
              <w:ind w:right="95"/>
              <w:rPr>
                <w:sz w:val="20"/>
              </w:rPr>
            </w:pPr>
            <w:r>
              <w:rPr>
                <w:sz w:val="20"/>
              </w:rPr>
              <w:t>0.08</w:t>
            </w:r>
          </w:p>
        </w:tc>
        <w:tc>
          <w:tcPr>
            <w:tcW w:w="1202" w:type="dxa"/>
          </w:tcPr>
          <w:p w:rsidR="007C5447" w:rsidRDefault="00F6308C">
            <w:pPr>
              <w:pStyle w:val="TableParagraph"/>
              <w:spacing w:before="17" w:line="227" w:lineRule="exact"/>
              <w:ind w:right="94"/>
              <w:rPr>
                <w:sz w:val="20"/>
              </w:rPr>
            </w:pPr>
            <w:r>
              <w:rPr>
                <w:sz w:val="20"/>
              </w:rPr>
              <w:t>0.08</w:t>
            </w:r>
          </w:p>
        </w:tc>
      </w:tr>
      <w:tr w:rsidR="007C5447">
        <w:trPr>
          <w:trHeight w:val="261"/>
        </w:trPr>
        <w:tc>
          <w:tcPr>
            <w:tcW w:w="994" w:type="dxa"/>
          </w:tcPr>
          <w:p w:rsidR="007C5447" w:rsidRDefault="00F6308C">
            <w:pPr>
              <w:pStyle w:val="TableParagraph"/>
              <w:spacing w:before="17" w:line="224" w:lineRule="exact"/>
              <w:ind w:left="367" w:right="358"/>
              <w:jc w:val="center"/>
              <w:rPr>
                <w:b/>
                <w:sz w:val="20"/>
              </w:rPr>
            </w:pPr>
            <w:r>
              <w:rPr>
                <w:b/>
                <w:sz w:val="20"/>
              </w:rPr>
              <w:t>16</w:t>
            </w:r>
          </w:p>
        </w:tc>
        <w:tc>
          <w:tcPr>
            <w:tcW w:w="3543" w:type="dxa"/>
          </w:tcPr>
          <w:p w:rsidR="007C5447" w:rsidRDefault="00F6308C">
            <w:pPr>
              <w:pStyle w:val="TableParagraph"/>
              <w:spacing w:before="17" w:line="224" w:lineRule="exact"/>
              <w:ind w:left="107"/>
              <w:jc w:val="left"/>
              <w:rPr>
                <w:b/>
                <w:sz w:val="20"/>
              </w:rPr>
            </w:pPr>
            <w:r>
              <w:rPr>
                <w:b/>
                <w:sz w:val="20"/>
              </w:rPr>
              <w:t>Total Generation</w:t>
            </w:r>
          </w:p>
        </w:tc>
        <w:tc>
          <w:tcPr>
            <w:tcW w:w="1560" w:type="dxa"/>
          </w:tcPr>
          <w:p w:rsidR="007C5447" w:rsidRDefault="00F6308C">
            <w:pPr>
              <w:pStyle w:val="TableParagraph"/>
              <w:spacing w:before="17" w:line="224" w:lineRule="exact"/>
              <w:ind w:right="95"/>
              <w:rPr>
                <w:b/>
                <w:sz w:val="20"/>
              </w:rPr>
            </w:pPr>
            <w:r>
              <w:rPr>
                <w:b/>
                <w:sz w:val="20"/>
              </w:rPr>
              <w:t>3.43</w:t>
            </w:r>
          </w:p>
        </w:tc>
        <w:tc>
          <w:tcPr>
            <w:tcW w:w="1560" w:type="dxa"/>
          </w:tcPr>
          <w:p w:rsidR="007C5447" w:rsidRDefault="00F6308C">
            <w:pPr>
              <w:pStyle w:val="TableParagraph"/>
              <w:spacing w:before="17" w:line="224" w:lineRule="exact"/>
              <w:ind w:right="95"/>
              <w:rPr>
                <w:b/>
                <w:sz w:val="20"/>
              </w:rPr>
            </w:pPr>
            <w:r>
              <w:rPr>
                <w:b/>
                <w:sz w:val="20"/>
              </w:rPr>
              <w:t>3.43</w:t>
            </w:r>
          </w:p>
        </w:tc>
        <w:tc>
          <w:tcPr>
            <w:tcW w:w="1202" w:type="dxa"/>
          </w:tcPr>
          <w:p w:rsidR="007C5447" w:rsidRDefault="00F6308C">
            <w:pPr>
              <w:pStyle w:val="TableParagraph"/>
              <w:spacing w:before="17" w:line="224" w:lineRule="exact"/>
              <w:ind w:right="94"/>
              <w:rPr>
                <w:b/>
                <w:sz w:val="20"/>
              </w:rPr>
            </w:pPr>
            <w:r>
              <w:rPr>
                <w:b/>
                <w:sz w:val="20"/>
              </w:rPr>
              <w:t>3.43</w:t>
            </w:r>
          </w:p>
        </w:tc>
      </w:tr>
      <w:tr w:rsidR="007C5447">
        <w:trPr>
          <w:trHeight w:val="263"/>
        </w:trPr>
        <w:tc>
          <w:tcPr>
            <w:tcW w:w="994" w:type="dxa"/>
          </w:tcPr>
          <w:p w:rsidR="007C5447" w:rsidRDefault="00F6308C">
            <w:pPr>
              <w:pStyle w:val="TableParagraph"/>
              <w:spacing w:before="17" w:line="227" w:lineRule="exact"/>
              <w:ind w:left="367" w:right="358"/>
              <w:jc w:val="center"/>
              <w:rPr>
                <w:b/>
                <w:sz w:val="20"/>
              </w:rPr>
            </w:pPr>
            <w:r>
              <w:rPr>
                <w:b/>
                <w:sz w:val="20"/>
              </w:rPr>
              <w:t>17</w:t>
            </w:r>
          </w:p>
        </w:tc>
        <w:tc>
          <w:tcPr>
            <w:tcW w:w="3543" w:type="dxa"/>
          </w:tcPr>
          <w:p w:rsidR="007C5447" w:rsidRDefault="00F6308C">
            <w:pPr>
              <w:pStyle w:val="TableParagraph"/>
              <w:spacing w:before="17" w:line="227" w:lineRule="exact"/>
              <w:ind w:left="107"/>
              <w:jc w:val="left"/>
              <w:rPr>
                <w:b/>
                <w:sz w:val="20"/>
              </w:rPr>
            </w:pPr>
            <w:r>
              <w:rPr>
                <w:b/>
                <w:sz w:val="20"/>
              </w:rPr>
              <w:t>Distribution</w:t>
            </w:r>
          </w:p>
        </w:tc>
        <w:tc>
          <w:tcPr>
            <w:tcW w:w="1560" w:type="dxa"/>
          </w:tcPr>
          <w:p w:rsidR="007C5447" w:rsidRDefault="00F6308C">
            <w:pPr>
              <w:pStyle w:val="TableParagraph"/>
              <w:spacing w:before="17" w:line="227" w:lineRule="exact"/>
              <w:ind w:right="95"/>
              <w:rPr>
                <w:b/>
                <w:sz w:val="20"/>
              </w:rPr>
            </w:pPr>
            <w:r>
              <w:rPr>
                <w:b/>
                <w:sz w:val="20"/>
              </w:rPr>
              <w:t>13.19</w:t>
            </w:r>
          </w:p>
        </w:tc>
        <w:tc>
          <w:tcPr>
            <w:tcW w:w="1560" w:type="dxa"/>
          </w:tcPr>
          <w:p w:rsidR="007C5447" w:rsidRDefault="00F6308C">
            <w:pPr>
              <w:pStyle w:val="TableParagraph"/>
              <w:spacing w:before="17" w:line="227" w:lineRule="exact"/>
              <w:ind w:right="95"/>
              <w:rPr>
                <w:b/>
                <w:sz w:val="20"/>
              </w:rPr>
            </w:pPr>
            <w:r>
              <w:rPr>
                <w:b/>
                <w:sz w:val="20"/>
              </w:rPr>
              <w:t>13.19</w:t>
            </w:r>
          </w:p>
        </w:tc>
        <w:tc>
          <w:tcPr>
            <w:tcW w:w="1202" w:type="dxa"/>
          </w:tcPr>
          <w:p w:rsidR="007C5447" w:rsidRDefault="00F6308C">
            <w:pPr>
              <w:pStyle w:val="TableParagraph"/>
              <w:spacing w:before="17" w:line="227" w:lineRule="exact"/>
              <w:ind w:right="94"/>
              <w:rPr>
                <w:b/>
                <w:sz w:val="20"/>
              </w:rPr>
            </w:pPr>
            <w:r>
              <w:rPr>
                <w:b/>
                <w:sz w:val="20"/>
              </w:rPr>
              <w:t>13.19</w:t>
            </w:r>
          </w:p>
        </w:tc>
      </w:tr>
      <w:tr w:rsidR="007C5447">
        <w:trPr>
          <w:trHeight w:val="263"/>
        </w:trPr>
        <w:tc>
          <w:tcPr>
            <w:tcW w:w="994" w:type="dxa"/>
          </w:tcPr>
          <w:p w:rsidR="007C5447" w:rsidRDefault="00F6308C">
            <w:pPr>
              <w:pStyle w:val="TableParagraph"/>
              <w:spacing w:before="17" w:line="227" w:lineRule="exact"/>
              <w:ind w:left="367" w:right="358"/>
              <w:jc w:val="center"/>
              <w:rPr>
                <w:b/>
                <w:sz w:val="20"/>
              </w:rPr>
            </w:pPr>
            <w:r>
              <w:rPr>
                <w:b/>
                <w:sz w:val="20"/>
              </w:rPr>
              <w:t>18</w:t>
            </w:r>
          </w:p>
        </w:tc>
        <w:tc>
          <w:tcPr>
            <w:tcW w:w="3543" w:type="dxa"/>
          </w:tcPr>
          <w:p w:rsidR="007C5447" w:rsidRDefault="00F6308C">
            <w:pPr>
              <w:pStyle w:val="TableParagraph"/>
              <w:spacing w:before="17" w:line="227" w:lineRule="exact"/>
              <w:ind w:left="107"/>
              <w:jc w:val="left"/>
              <w:rPr>
                <w:b/>
                <w:sz w:val="20"/>
              </w:rPr>
            </w:pPr>
            <w:r>
              <w:rPr>
                <w:b/>
                <w:sz w:val="20"/>
              </w:rPr>
              <w:t>Total</w:t>
            </w:r>
          </w:p>
        </w:tc>
        <w:tc>
          <w:tcPr>
            <w:tcW w:w="1560" w:type="dxa"/>
          </w:tcPr>
          <w:p w:rsidR="007C5447" w:rsidRDefault="00F6308C">
            <w:pPr>
              <w:pStyle w:val="TableParagraph"/>
              <w:spacing w:before="17" w:line="227" w:lineRule="exact"/>
              <w:ind w:right="95"/>
              <w:rPr>
                <w:b/>
                <w:sz w:val="20"/>
              </w:rPr>
            </w:pPr>
            <w:r>
              <w:rPr>
                <w:b/>
                <w:sz w:val="20"/>
              </w:rPr>
              <w:t>16.61</w:t>
            </w:r>
          </w:p>
        </w:tc>
        <w:tc>
          <w:tcPr>
            <w:tcW w:w="1560" w:type="dxa"/>
          </w:tcPr>
          <w:p w:rsidR="007C5447" w:rsidRDefault="00F6308C">
            <w:pPr>
              <w:pStyle w:val="TableParagraph"/>
              <w:spacing w:before="17" w:line="227" w:lineRule="exact"/>
              <w:ind w:right="95"/>
              <w:rPr>
                <w:b/>
                <w:sz w:val="20"/>
              </w:rPr>
            </w:pPr>
            <w:r>
              <w:rPr>
                <w:b/>
                <w:sz w:val="20"/>
              </w:rPr>
              <w:t>16.61</w:t>
            </w:r>
          </w:p>
        </w:tc>
        <w:tc>
          <w:tcPr>
            <w:tcW w:w="1202" w:type="dxa"/>
          </w:tcPr>
          <w:p w:rsidR="007C5447" w:rsidRDefault="00F6308C">
            <w:pPr>
              <w:pStyle w:val="TableParagraph"/>
              <w:spacing w:before="17" w:line="227" w:lineRule="exact"/>
              <w:ind w:right="94"/>
              <w:rPr>
                <w:b/>
                <w:sz w:val="20"/>
              </w:rPr>
            </w:pPr>
            <w:r>
              <w:rPr>
                <w:b/>
                <w:sz w:val="20"/>
              </w:rPr>
              <w:t>16.61</w:t>
            </w:r>
          </w:p>
        </w:tc>
      </w:tr>
    </w:tbl>
    <w:p w:rsidR="007C5447" w:rsidRDefault="007C5447">
      <w:pPr>
        <w:pStyle w:val="BodyText"/>
        <w:spacing w:before="11"/>
        <w:rPr>
          <w:b/>
          <w:sz w:val="12"/>
        </w:rPr>
      </w:pPr>
    </w:p>
    <w:p w:rsidR="007C5447" w:rsidRDefault="00F6308C">
      <w:pPr>
        <w:spacing w:before="90"/>
        <w:ind w:left="1392"/>
        <w:rPr>
          <w:b/>
          <w:sz w:val="24"/>
        </w:rPr>
      </w:pPr>
      <w:r>
        <w:rPr>
          <w:b/>
          <w:sz w:val="24"/>
        </w:rPr>
        <w:t>Commission’s Views</w:t>
      </w:r>
    </w:p>
    <w:p w:rsidR="007C5447" w:rsidRDefault="00F6308C">
      <w:pPr>
        <w:pStyle w:val="ListParagraph"/>
        <w:numPr>
          <w:ilvl w:val="2"/>
          <w:numId w:val="114"/>
        </w:numPr>
        <w:tabs>
          <w:tab w:val="left" w:pos="1393"/>
        </w:tabs>
        <w:spacing w:before="204" w:line="312" w:lineRule="auto"/>
        <w:ind w:left="1392" w:right="511" w:hanging="852"/>
        <w:jc w:val="both"/>
        <w:rPr>
          <w:sz w:val="24"/>
        </w:rPr>
      </w:pPr>
      <w:r>
        <w:rPr>
          <w:sz w:val="24"/>
        </w:rPr>
        <w:t>At present, the Commission has not approved Other Debits for the Control Period from FY 2016-17 to FY 2018-19 on projection basis. The Commission shall allow Other Debits after scrutiny at the time of true-up based on prudence check of t</w:t>
      </w:r>
      <w:r>
        <w:rPr>
          <w:sz w:val="24"/>
        </w:rPr>
        <w:t>he audited accounts.</w:t>
      </w:r>
    </w:p>
    <w:p w:rsidR="007C5447" w:rsidRDefault="007C5447">
      <w:pPr>
        <w:pStyle w:val="BodyText"/>
        <w:spacing w:before="8"/>
        <w:rPr>
          <w:sz w:val="20"/>
        </w:rPr>
      </w:pPr>
    </w:p>
    <w:p w:rsidR="007C5447" w:rsidRDefault="00F6308C">
      <w:pPr>
        <w:pStyle w:val="Heading2"/>
        <w:numPr>
          <w:ilvl w:val="1"/>
          <w:numId w:val="114"/>
        </w:numPr>
        <w:tabs>
          <w:tab w:val="left" w:pos="1107"/>
        </w:tabs>
        <w:ind w:left="1106"/>
      </w:pPr>
      <w:bookmarkStart w:id="68" w:name="_bookmark68"/>
      <w:bookmarkEnd w:id="68"/>
      <w:r>
        <w:t>Other Income and Non-Tariff</w:t>
      </w:r>
      <w:r>
        <w:rPr>
          <w:spacing w:val="-4"/>
        </w:rPr>
        <w:t xml:space="preserve"> </w:t>
      </w:r>
      <w:r>
        <w:t>Income</w:t>
      </w:r>
    </w:p>
    <w:p w:rsidR="007C5447" w:rsidRDefault="007C5447">
      <w:pPr>
        <w:pStyle w:val="BodyText"/>
        <w:spacing w:before="2"/>
        <w:rPr>
          <w:b/>
          <w:sz w:val="28"/>
        </w:rPr>
      </w:pPr>
    </w:p>
    <w:p w:rsidR="007C5447" w:rsidRDefault="00F6308C">
      <w:pPr>
        <w:pStyle w:val="ListParagraph"/>
        <w:numPr>
          <w:ilvl w:val="2"/>
          <w:numId w:val="114"/>
        </w:numPr>
        <w:tabs>
          <w:tab w:val="left" w:pos="1393"/>
        </w:tabs>
        <w:spacing w:line="312" w:lineRule="auto"/>
        <w:ind w:left="1392" w:right="509" w:hanging="852"/>
        <w:jc w:val="both"/>
        <w:rPr>
          <w:sz w:val="24"/>
        </w:rPr>
      </w:pPr>
      <w:r>
        <w:rPr>
          <w:sz w:val="24"/>
        </w:rPr>
        <w:t>TANGEDCO submitted that the Other Income for Generation function has been projected for FY 2016-17 to FY 2018-19 based on the actuals of FY 2015-16. Other Income for FY 2016-17 to FY 2018-19 for Gen</w:t>
      </w:r>
      <w:r>
        <w:rPr>
          <w:sz w:val="24"/>
        </w:rPr>
        <w:t>eration and Distribution functions as submitted by TANGEDCO is shown in the Table</w:t>
      </w:r>
      <w:r>
        <w:rPr>
          <w:spacing w:val="-7"/>
          <w:sz w:val="24"/>
        </w:rPr>
        <w:t xml:space="preserve"> </w:t>
      </w:r>
      <w:r>
        <w:rPr>
          <w:sz w:val="24"/>
        </w:rPr>
        <w:t>below:</w:t>
      </w:r>
    </w:p>
    <w:p w:rsidR="007C5447" w:rsidRDefault="007C5447">
      <w:pPr>
        <w:pStyle w:val="BodyText"/>
        <w:spacing w:before="11"/>
        <w:rPr>
          <w:sz w:val="20"/>
        </w:rPr>
      </w:pPr>
    </w:p>
    <w:p w:rsidR="007C5447" w:rsidRDefault="00F6308C">
      <w:pPr>
        <w:pStyle w:val="Heading2"/>
        <w:ind w:left="587" w:right="564"/>
        <w:jc w:val="center"/>
      </w:pPr>
      <w:r>
        <w:t>Table 4-25: Other Income as submitted by TANGEDCO (Rs. Crore)</w:t>
      </w:r>
    </w:p>
    <w:p w:rsidR="007C5447" w:rsidRDefault="007C5447">
      <w:pPr>
        <w:pStyle w:val="BodyText"/>
        <w:spacing w:before="2"/>
        <w:rPr>
          <w:b/>
          <w:sz w:val="7"/>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2735"/>
        <w:gridCol w:w="1712"/>
        <w:gridCol w:w="1709"/>
        <w:gridCol w:w="1712"/>
      </w:tblGrid>
      <w:tr w:rsidR="007C5447">
        <w:trPr>
          <w:trHeight w:val="390"/>
        </w:trPr>
        <w:tc>
          <w:tcPr>
            <w:tcW w:w="994" w:type="dxa"/>
            <w:vMerge w:val="restart"/>
            <w:shd w:val="clear" w:color="auto" w:fill="F7C9AC"/>
          </w:tcPr>
          <w:p w:rsidR="007C5447" w:rsidRDefault="007C5447">
            <w:pPr>
              <w:pStyle w:val="TableParagraph"/>
              <w:spacing w:before="3"/>
              <w:jc w:val="left"/>
              <w:rPr>
                <w:b/>
                <w:sz w:val="25"/>
              </w:rPr>
            </w:pPr>
          </w:p>
          <w:p w:rsidR="007C5447" w:rsidRDefault="00F6308C">
            <w:pPr>
              <w:pStyle w:val="TableParagraph"/>
              <w:ind w:left="367" w:right="359"/>
              <w:jc w:val="center"/>
              <w:rPr>
                <w:b/>
                <w:sz w:val="20"/>
              </w:rPr>
            </w:pPr>
            <w:r>
              <w:rPr>
                <w:b/>
                <w:sz w:val="20"/>
              </w:rPr>
              <w:t>Sl.</w:t>
            </w:r>
          </w:p>
        </w:tc>
        <w:tc>
          <w:tcPr>
            <w:tcW w:w="2735" w:type="dxa"/>
            <w:vMerge w:val="restart"/>
            <w:shd w:val="clear" w:color="auto" w:fill="F7C9AC"/>
          </w:tcPr>
          <w:p w:rsidR="007C5447" w:rsidRDefault="007C5447">
            <w:pPr>
              <w:pStyle w:val="TableParagraph"/>
              <w:spacing w:before="3"/>
              <w:jc w:val="left"/>
              <w:rPr>
                <w:b/>
                <w:sz w:val="25"/>
              </w:rPr>
            </w:pPr>
          </w:p>
          <w:p w:rsidR="007C5447" w:rsidRDefault="00F6308C">
            <w:pPr>
              <w:pStyle w:val="TableParagraph"/>
              <w:ind w:left="107"/>
              <w:jc w:val="left"/>
              <w:rPr>
                <w:b/>
                <w:sz w:val="20"/>
              </w:rPr>
            </w:pPr>
            <w:r>
              <w:rPr>
                <w:b/>
                <w:sz w:val="20"/>
              </w:rPr>
              <w:t>Power Station</w:t>
            </w:r>
          </w:p>
        </w:tc>
        <w:tc>
          <w:tcPr>
            <w:tcW w:w="5133" w:type="dxa"/>
            <w:gridSpan w:val="3"/>
            <w:shd w:val="clear" w:color="auto" w:fill="F7C9AC"/>
          </w:tcPr>
          <w:p w:rsidR="007C5447" w:rsidRDefault="00F6308C">
            <w:pPr>
              <w:pStyle w:val="TableParagraph"/>
              <w:spacing w:before="82"/>
              <w:ind w:left="1963" w:right="1963"/>
              <w:jc w:val="center"/>
              <w:rPr>
                <w:b/>
                <w:sz w:val="20"/>
              </w:rPr>
            </w:pPr>
            <w:r>
              <w:rPr>
                <w:b/>
                <w:sz w:val="20"/>
              </w:rPr>
              <w:t>TANGEDCO</w:t>
            </w:r>
          </w:p>
        </w:tc>
      </w:tr>
      <w:tr w:rsidR="007C5447">
        <w:trPr>
          <w:trHeight w:val="410"/>
        </w:trPr>
        <w:tc>
          <w:tcPr>
            <w:tcW w:w="994" w:type="dxa"/>
            <w:vMerge/>
            <w:tcBorders>
              <w:top w:val="nil"/>
            </w:tcBorders>
            <w:shd w:val="clear" w:color="auto" w:fill="F7C9AC"/>
          </w:tcPr>
          <w:p w:rsidR="007C5447" w:rsidRDefault="007C5447">
            <w:pPr>
              <w:rPr>
                <w:sz w:val="2"/>
                <w:szCs w:val="2"/>
              </w:rPr>
            </w:pPr>
          </w:p>
        </w:tc>
        <w:tc>
          <w:tcPr>
            <w:tcW w:w="2735" w:type="dxa"/>
            <w:vMerge/>
            <w:tcBorders>
              <w:top w:val="nil"/>
            </w:tcBorders>
            <w:shd w:val="clear" w:color="auto" w:fill="F7C9AC"/>
          </w:tcPr>
          <w:p w:rsidR="007C5447" w:rsidRDefault="007C5447">
            <w:pPr>
              <w:rPr>
                <w:sz w:val="2"/>
                <w:szCs w:val="2"/>
              </w:rPr>
            </w:pPr>
          </w:p>
        </w:tc>
        <w:tc>
          <w:tcPr>
            <w:tcW w:w="1712" w:type="dxa"/>
            <w:shd w:val="clear" w:color="auto" w:fill="F7C9AC"/>
          </w:tcPr>
          <w:p w:rsidR="007C5447" w:rsidRDefault="00F6308C">
            <w:pPr>
              <w:pStyle w:val="TableParagraph"/>
              <w:spacing w:before="89"/>
              <w:ind w:left="360"/>
              <w:jc w:val="left"/>
              <w:rPr>
                <w:b/>
                <w:sz w:val="20"/>
              </w:rPr>
            </w:pPr>
            <w:r>
              <w:rPr>
                <w:b/>
                <w:sz w:val="20"/>
              </w:rPr>
              <w:t>FY 2016-17</w:t>
            </w:r>
          </w:p>
        </w:tc>
        <w:tc>
          <w:tcPr>
            <w:tcW w:w="1709" w:type="dxa"/>
            <w:shd w:val="clear" w:color="auto" w:fill="F7C9AC"/>
          </w:tcPr>
          <w:p w:rsidR="007C5447" w:rsidRDefault="00F6308C">
            <w:pPr>
              <w:pStyle w:val="TableParagraph"/>
              <w:spacing w:before="89"/>
              <w:ind w:left="360"/>
              <w:jc w:val="left"/>
              <w:rPr>
                <w:b/>
                <w:sz w:val="20"/>
              </w:rPr>
            </w:pPr>
            <w:r>
              <w:rPr>
                <w:b/>
                <w:sz w:val="20"/>
              </w:rPr>
              <w:t>FY 2017-18</w:t>
            </w:r>
          </w:p>
        </w:tc>
        <w:tc>
          <w:tcPr>
            <w:tcW w:w="1712" w:type="dxa"/>
            <w:shd w:val="clear" w:color="auto" w:fill="F7C9AC"/>
          </w:tcPr>
          <w:p w:rsidR="007C5447" w:rsidRDefault="00F6308C">
            <w:pPr>
              <w:pStyle w:val="TableParagraph"/>
              <w:spacing w:before="89"/>
              <w:ind w:left="360"/>
              <w:jc w:val="left"/>
              <w:rPr>
                <w:b/>
                <w:sz w:val="20"/>
              </w:rPr>
            </w:pPr>
            <w:r>
              <w:rPr>
                <w:b/>
                <w:sz w:val="20"/>
              </w:rPr>
              <w:t>FY 2018-19</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1</w:t>
            </w:r>
          </w:p>
        </w:tc>
        <w:tc>
          <w:tcPr>
            <w:tcW w:w="2735" w:type="dxa"/>
          </w:tcPr>
          <w:p w:rsidR="007C5447" w:rsidRDefault="00F6308C">
            <w:pPr>
              <w:pStyle w:val="TableParagraph"/>
              <w:spacing w:before="14" w:line="224" w:lineRule="exact"/>
              <w:ind w:left="107"/>
              <w:jc w:val="left"/>
              <w:rPr>
                <w:sz w:val="20"/>
              </w:rPr>
            </w:pPr>
            <w:r>
              <w:rPr>
                <w:sz w:val="20"/>
              </w:rPr>
              <w:t>Ennore TPS</w:t>
            </w:r>
          </w:p>
        </w:tc>
        <w:tc>
          <w:tcPr>
            <w:tcW w:w="1712" w:type="dxa"/>
          </w:tcPr>
          <w:p w:rsidR="007C5447" w:rsidRDefault="00F6308C">
            <w:pPr>
              <w:pStyle w:val="TableParagraph"/>
              <w:spacing w:before="14" w:line="224" w:lineRule="exact"/>
              <w:ind w:right="99"/>
              <w:rPr>
                <w:sz w:val="20"/>
              </w:rPr>
            </w:pPr>
            <w:r>
              <w:rPr>
                <w:sz w:val="20"/>
              </w:rPr>
              <w:t>12.72</w:t>
            </w:r>
          </w:p>
        </w:tc>
        <w:tc>
          <w:tcPr>
            <w:tcW w:w="1709" w:type="dxa"/>
          </w:tcPr>
          <w:p w:rsidR="007C5447" w:rsidRDefault="00F6308C">
            <w:pPr>
              <w:pStyle w:val="TableParagraph"/>
              <w:spacing w:before="14" w:line="224" w:lineRule="exact"/>
              <w:ind w:right="98"/>
              <w:rPr>
                <w:sz w:val="20"/>
              </w:rPr>
            </w:pPr>
            <w:r>
              <w:rPr>
                <w:w w:val="99"/>
                <w:sz w:val="20"/>
              </w:rPr>
              <w:t>-</w:t>
            </w:r>
          </w:p>
        </w:tc>
        <w:tc>
          <w:tcPr>
            <w:tcW w:w="1712" w:type="dxa"/>
          </w:tcPr>
          <w:p w:rsidR="007C5447" w:rsidRDefault="00F6308C">
            <w:pPr>
              <w:pStyle w:val="TableParagraph"/>
              <w:spacing w:before="14" w:line="224" w:lineRule="exact"/>
              <w:ind w:right="101"/>
              <w:rPr>
                <w:sz w:val="20"/>
              </w:rPr>
            </w:pPr>
            <w:r>
              <w:rPr>
                <w:w w:val="99"/>
                <w:sz w:val="20"/>
              </w:rPr>
              <w:t>-</w:t>
            </w:r>
          </w:p>
        </w:tc>
      </w:tr>
      <w:tr w:rsidR="007C5447">
        <w:trPr>
          <w:trHeight w:val="261"/>
        </w:trPr>
        <w:tc>
          <w:tcPr>
            <w:tcW w:w="994" w:type="dxa"/>
          </w:tcPr>
          <w:p w:rsidR="007C5447" w:rsidRDefault="00F6308C">
            <w:pPr>
              <w:pStyle w:val="TableParagraph"/>
              <w:spacing w:before="14" w:line="227" w:lineRule="exact"/>
              <w:ind w:left="8"/>
              <w:jc w:val="center"/>
              <w:rPr>
                <w:sz w:val="20"/>
              </w:rPr>
            </w:pPr>
            <w:r>
              <w:rPr>
                <w:w w:val="99"/>
                <w:sz w:val="20"/>
              </w:rPr>
              <w:t>2</w:t>
            </w:r>
          </w:p>
        </w:tc>
        <w:tc>
          <w:tcPr>
            <w:tcW w:w="2735" w:type="dxa"/>
          </w:tcPr>
          <w:p w:rsidR="007C5447" w:rsidRDefault="00F6308C">
            <w:pPr>
              <w:pStyle w:val="TableParagraph"/>
              <w:spacing w:before="14" w:line="227" w:lineRule="exact"/>
              <w:ind w:left="107"/>
              <w:jc w:val="left"/>
              <w:rPr>
                <w:sz w:val="20"/>
              </w:rPr>
            </w:pPr>
            <w:r>
              <w:rPr>
                <w:sz w:val="20"/>
              </w:rPr>
              <w:t>Tuticorin TPS</w:t>
            </w:r>
          </w:p>
        </w:tc>
        <w:tc>
          <w:tcPr>
            <w:tcW w:w="1712" w:type="dxa"/>
          </w:tcPr>
          <w:p w:rsidR="007C5447" w:rsidRDefault="00F6308C">
            <w:pPr>
              <w:pStyle w:val="TableParagraph"/>
              <w:spacing w:before="14" w:line="227" w:lineRule="exact"/>
              <w:ind w:right="99"/>
              <w:rPr>
                <w:sz w:val="20"/>
              </w:rPr>
            </w:pPr>
            <w:r>
              <w:rPr>
                <w:sz w:val="20"/>
              </w:rPr>
              <w:t>36.40</w:t>
            </w:r>
          </w:p>
        </w:tc>
        <w:tc>
          <w:tcPr>
            <w:tcW w:w="1709" w:type="dxa"/>
          </w:tcPr>
          <w:p w:rsidR="007C5447" w:rsidRDefault="00F6308C">
            <w:pPr>
              <w:pStyle w:val="TableParagraph"/>
              <w:spacing w:before="14" w:line="227" w:lineRule="exact"/>
              <w:ind w:right="97"/>
              <w:rPr>
                <w:sz w:val="20"/>
              </w:rPr>
            </w:pPr>
            <w:r>
              <w:rPr>
                <w:sz w:val="20"/>
              </w:rPr>
              <w:t>36.40</w:t>
            </w:r>
          </w:p>
        </w:tc>
        <w:tc>
          <w:tcPr>
            <w:tcW w:w="1712" w:type="dxa"/>
          </w:tcPr>
          <w:p w:rsidR="007C5447" w:rsidRDefault="00F6308C">
            <w:pPr>
              <w:pStyle w:val="TableParagraph"/>
              <w:spacing w:before="14" w:line="227" w:lineRule="exact"/>
              <w:ind w:right="100"/>
              <w:rPr>
                <w:sz w:val="20"/>
              </w:rPr>
            </w:pPr>
            <w:r>
              <w:rPr>
                <w:sz w:val="20"/>
              </w:rPr>
              <w:t>36.40</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3</w:t>
            </w:r>
          </w:p>
        </w:tc>
        <w:tc>
          <w:tcPr>
            <w:tcW w:w="2735" w:type="dxa"/>
          </w:tcPr>
          <w:p w:rsidR="007C5447" w:rsidRDefault="00F6308C">
            <w:pPr>
              <w:pStyle w:val="TableParagraph"/>
              <w:spacing w:before="14" w:line="224" w:lineRule="exact"/>
              <w:ind w:left="107"/>
              <w:jc w:val="left"/>
              <w:rPr>
                <w:sz w:val="20"/>
              </w:rPr>
            </w:pPr>
            <w:r>
              <w:rPr>
                <w:sz w:val="20"/>
              </w:rPr>
              <w:t>Mettur TPS</w:t>
            </w:r>
          </w:p>
        </w:tc>
        <w:tc>
          <w:tcPr>
            <w:tcW w:w="1712" w:type="dxa"/>
          </w:tcPr>
          <w:p w:rsidR="007C5447" w:rsidRDefault="00F6308C">
            <w:pPr>
              <w:pStyle w:val="TableParagraph"/>
              <w:spacing w:before="14" w:line="224" w:lineRule="exact"/>
              <w:ind w:right="99"/>
              <w:rPr>
                <w:sz w:val="20"/>
              </w:rPr>
            </w:pPr>
            <w:r>
              <w:rPr>
                <w:sz w:val="20"/>
              </w:rPr>
              <w:t>32.36</w:t>
            </w:r>
          </w:p>
        </w:tc>
        <w:tc>
          <w:tcPr>
            <w:tcW w:w="1709" w:type="dxa"/>
          </w:tcPr>
          <w:p w:rsidR="007C5447" w:rsidRDefault="00F6308C">
            <w:pPr>
              <w:pStyle w:val="TableParagraph"/>
              <w:spacing w:before="14" w:line="224" w:lineRule="exact"/>
              <w:ind w:right="97"/>
              <w:rPr>
                <w:sz w:val="20"/>
              </w:rPr>
            </w:pPr>
            <w:r>
              <w:rPr>
                <w:sz w:val="20"/>
              </w:rPr>
              <w:t>32.36</w:t>
            </w:r>
          </w:p>
        </w:tc>
        <w:tc>
          <w:tcPr>
            <w:tcW w:w="1712" w:type="dxa"/>
          </w:tcPr>
          <w:p w:rsidR="007C5447" w:rsidRDefault="00F6308C">
            <w:pPr>
              <w:pStyle w:val="TableParagraph"/>
              <w:spacing w:before="14" w:line="224" w:lineRule="exact"/>
              <w:ind w:right="100"/>
              <w:rPr>
                <w:sz w:val="20"/>
              </w:rPr>
            </w:pPr>
            <w:r>
              <w:rPr>
                <w:sz w:val="20"/>
              </w:rPr>
              <w:t>32.36</w:t>
            </w:r>
          </w:p>
        </w:tc>
      </w:tr>
      <w:tr w:rsidR="007C5447">
        <w:trPr>
          <w:trHeight w:val="261"/>
        </w:trPr>
        <w:tc>
          <w:tcPr>
            <w:tcW w:w="994" w:type="dxa"/>
          </w:tcPr>
          <w:p w:rsidR="007C5447" w:rsidRDefault="00F6308C">
            <w:pPr>
              <w:pStyle w:val="TableParagraph"/>
              <w:spacing w:before="14" w:line="227" w:lineRule="exact"/>
              <w:ind w:left="8"/>
              <w:jc w:val="center"/>
              <w:rPr>
                <w:sz w:val="20"/>
              </w:rPr>
            </w:pPr>
            <w:r>
              <w:rPr>
                <w:w w:val="99"/>
                <w:sz w:val="20"/>
              </w:rPr>
              <w:t>4</w:t>
            </w:r>
          </w:p>
        </w:tc>
        <w:tc>
          <w:tcPr>
            <w:tcW w:w="2735" w:type="dxa"/>
          </w:tcPr>
          <w:p w:rsidR="007C5447" w:rsidRDefault="00F6308C">
            <w:pPr>
              <w:pStyle w:val="TableParagraph"/>
              <w:spacing w:before="14" w:line="227" w:lineRule="exact"/>
              <w:ind w:left="107"/>
              <w:jc w:val="left"/>
              <w:rPr>
                <w:sz w:val="20"/>
              </w:rPr>
            </w:pPr>
            <w:r>
              <w:rPr>
                <w:sz w:val="20"/>
              </w:rPr>
              <w:t>North Chennai TPS</w:t>
            </w:r>
          </w:p>
        </w:tc>
        <w:tc>
          <w:tcPr>
            <w:tcW w:w="1712" w:type="dxa"/>
          </w:tcPr>
          <w:p w:rsidR="007C5447" w:rsidRDefault="00F6308C">
            <w:pPr>
              <w:pStyle w:val="TableParagraph"/>
              <w:spacing w:before="14" w:line="227" w:lineRule="exact"/>
              <w:ind w:right="99"/>
              <w:rPr>
                <w:sz w:val="20"/>
              </w:rPr>
            </w:pPr>
            <w:r>
              <w:rPr>
                <w:sz w:val="20"/>
              </w:rPr>
              <w:t>29.11</w:t>
            </w:r>
          </w:p>
        </w:tc>
        <w:tc>
          <w:tcPr>
            <w:tcW w:w="1709" w:type="dxa"/>
          </w:tcPr>
          <w:p w:rsidR="007C5447" w:rsidRDefault="00F6308C">
            <w:pPr>
              <w:pStyle w:val="TableParagraph"/>
              <w:spacing w:before="14" w:line="227" w:lineRule="exact"/>
              <w:ind w:right="97"/>
              <w:rPr>
                <w:sz w:val="20"/>
              </w:rPr>
            </w:pPr>
            <w:r>
              <w:rPr>
                <w:sz w:val="20"/>
              </w:rPr>
              <w:t>29.11</w:t>
            </w:r>
          </w:p>
        </w:tc>
        <w:tc>
          <w:tcPr>
            <w:tcW w:w="1712" w:type="dxa"/>
          </w:tcPr>
          <w:p w:rsidR="007C5447" w:rsidRDefault="00F6308C">
            <w:pPr>
              <w:pStyle w:val="TableParagraph"/>
              <w:spacing w:before="14" w:line="227" w:lineRule="exact"/>
              <w:ind w:right="100"/>
              <w:rPr>
                <w:sz w:val="20"/>
              </w:rPr>
            </w:pPr>
            <w:r>
              <w:rPr>
                <w:sz w:val="20"/>
              </w:rPr>
              <w:t>29.11</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5</w:t>
            </w:r>
          </w:p>
        </w:tc>
        <w:tc>
          <w:tcPr>
            <w:tcW w:w="2735" w:type="dxa"/>
          </w:tcPr>
          <w:p w:rsidR="007C5447" w:rsidRDefault="00F6308C">
            <w:pPr>
              <w:pStyle w:val="TableParagraph"/>
              <w:spacing w:before="14" w:line="224" w:lineRule="exact"/>
              <w:ind w:left="107"/>
              <w:jc w:val="left"/>
              <w:rPr>
                <w:sz w:val="20"/>
              </w:rPr>
            </w:pPr>
            <w:r>
              <w:rPr>
                <w:sz w:val="20"/>
              </w:rPr>
              <w:t>Mettur TPS Stage III</w:t>
            </w:r>
          </w:p>
        </w:tc>
        <w:tc>
          <w:tcPr>
            <w:tcW w:w="1712" w:type="dxa"/>
          </w:tcPr>
          <w:p w:rsidR="007C5447" w:rsidRDefault="00F6308C">
            <w:pPr>
              <w:pStyle w:val="TableParagraph"/>
              <w:spacing w:before="14" w:line="224" w:lineRule="exact"/>
              <w:ind w:right="99"/>
              <w:rPr>
                <w:sz w:val="20"/>
              </w:rPr>
            </w:pPr>
            <w:r>
              <w:rPr>
                <w:sz w:val="20"/>
              </w:rPr>
              <w:t>34.50</w:t>
            </w:r>
          </w:p>
        </w:tc>
        <w:tc>
          <w:tcPr>
            <w:tcW w:w="1709" w:type="dxa"/>
          </w:tcPr>
          <w:p w:rsidR="007C5447" w:rsidRDefault="00F6308C">
            <w:pPr>
              <w:pStyle w:val="TableParagraph"/>
              <w:spacing w:before="14" w:line="224" w:lineRule="exact"/>
              <w:ind w:right="97"/>
              <w:rPr>
                <w:sz w:val="20"/>
              </w:rPr>
            </w:pPr>
            <w:r>
              <w:rPr>
                <w:sz w:val="20"/>
              </w:rPr>
              <w:t>34.50</w:t>
            </w:r>
          </w:p>
        </w:tc>
        <w:tc>
          <w:tcPr>
            <w:tcW w:w="1712" w:type="dxa"/>
          </w:tcPr>
          <w:p w:rsidR="007C5447" w:rsidRDefault="00F6308C">
            <w:pPr>
              <w:pStyle w:val="TableParagraph"/>
              <w:spacing w:before="14" w:line="224" w:lineRule="exact"/>
              <w:ind w:right="100"/>
              <w:rPr>
                <w:sz w:val="20"/>
              </w:rPr>
            </w:pPr>
            <w:r>
              <w:rPr>
                <w:sz w:val="20"/>
              </w:rPr>
              <w:t>34.50</w:t>
            </w:r>
          </w:p>
        </w:tc>
      </w:tr>
      <w:tr w:rsidR="007C5447">
        <w:trPr>
          <w:trHeight w:val="261"/>
        </w:trPr>
        <w:tc>
          <w:tcPr>
            <w:tcW w:w="994" w:type="dxa"/>
          </w:tcPr>
          <w:p w:rsidR="007C5447" w:rsidRDefault="00F6308C">
            <w:pPr>
              <w:pStyle w:val="TableParagraph"/>
              <w:spacing w:before="14" w:line="227" w:lineRule="exact"/>
              <w:ind w:left="8"/>
              <w:jc w:val="center"/>
              <w:rPr>
                <w:sz w:val="20"/>
              </w:rPr>
            </w:pPr>
            <w:r>
              <w:rPr>
                <w:w w:val="99"/>
                <w:sz w:val="20"/>
              </w:rPr>
              <w:t>6</w:t>
            </w:r>
          </w:p>
        </w:tc>
        <w:tc>
          <w:tcPr>
            <w:tcW w:w="2735" w:type="dxa"/>
          </w:tcPr>
          <w:p w:rsidR="007C5447" w:rsidRDefault="00F6308C">
            <w:pPr>
              <w:pStyle w:val="TableParagraph"/>
              <w:spacing w:before="14" w:line="227" w:lineRule="exact"/>
              <w:ind w:left="107"/>
              <w:jc w:val="left"/>
              <w:rPr>
                <w:sz w:val="20"/>
              </w:rPr>
            </w:pPr>
            <w:r>
              <w:rPr>
                <w:sz w:val="20"/>
              </w:rPr>
              <w:t>North Chennai TPS II</w:t>
            </w:r>
          </w:p>
        </w:tc>
        <w:tc>
          <w:tcPr>
            <w:tcW w:w="1712" w:type="dxa"/>
          </w:tcPr>
          <w:p w:rsidR="007C5447" w:rsidRDefault="00F6308C">
            <w:pPr>
              <w:pStyle w:val="TableParagraph"/>
              <w:spacing w:before="14" w:line="227" w:lineRule="exact"/>
              <w:ind w:right="99"/>
              <w:rPr>
                <w:sz w:val="20"/>
              </w:rPr>
            </w:pPr>
            <w:r>
              <w:rPr>
                <w:sz w:val="20"/>
              </w:rPr>
              <w:t>9.78</w:t>
            </w:r>
          </w:p>
        </w:tc>
        <w:tc>
          <w:tcPr>
            <w:tcW w:w="1709" w:type="dxa"/>
          </w:tcPr>
          <w:p w:rsidR="007C5447" w:rsidRDefault="00F6308C">
            <w:pPr>
              <w:pStyle w:val="TableParagraph"/>
              <w:spacing w:before="14" w:line="227" w:lineRule="exact"/>
              <w:ind w:right="97"/>
              <w:rPr>
                <w:sz w:val="20"/>
              </w:rPr>
            </w:pPr>
            <w:r>
              <w:rPr>
                <w:sz w:val="20"/>
              </w:rPr>
              <w:t>9.78</w:t>
            </w:r>
          </w:p>
        </w:tc>
        <w:tc>
          <w:tcPr>
            <w:tcW w:w="1712" w:type="dxa"/>
          </w:tcPr>
          <w:p w:rsidR="007C5447" w:rsidRDefault="00F6308C">
            <w:pPr>
              <w:pStyle w:val="TableParagraph"/>
              <w:spacing w:before="14" w:line="227" w:lineRule="exact"/>
              <w:ind w:right="100"/>
              <w:rPr>
                <w:sz w:val="20"/>
              </w:rPr>
            </w:pPr>
            <w:r>
              <w:rPr>
                <w:sz w:val="20"/>
              </w:rPr>
              <w:t>9.78</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7</w:t>
            </w:r>
          </w:p>
        </w:tc>
        <w:tc>
          <w:tcPr>
            <w:tcW w:w="2735" w:type="dxa"/>
          </w:tcPr>
          <w:p w:rsidR="007C5447" w:rsidRDefault="00F6308C">
            <w:pPr>
              <w:pStyle w:val="TableParagraph"/>
              <w:spacing w:before="14" w:line="224" w:lineRule="exact"/>
              <w:ind w:left="107"/>
              <w:jc w:val="left"/>
              <w:rPr>
                <w:sz w:val="20"/>
              </w:rPr>
            </w:pPr>
            <w:r>
              <w:rPr>
                <w:sz w:val="20"/>
              </w:rPr>
              <w:t>Ennore Expansion II</w:t>
            </w:r>
          </w:p>
        </w:tc>
        <w:tc>
          <w:tcPr>
            <w:tcW w:w="1712" w:type="dxa"/>
          </w:tcPr>
          <w:p w:rsidR="007C5447" w:rsidRDefault="00F6308C">
            <w:pPr>
              <w:pStyle w:val="TableParagraph"/>
              <w:spacing w:before="14" w:line="224" w:lineRule="exact"/>
              <w:ind w:right="101"/>
              <w:rPr>
                <w:sz w:val="20"/>
              </w:rPr>
            </w:pPr>
            <w:r>
              <w:rPr>
                <w:w w:val="99"/>
                <w:sz w:val="20"/>
              </w:rPr>
              <w:t>-</w:t>
            </w:r>
          </w:p>
        </w:tc>
        <w:tc>
          <w:tcPr>
            <w:tcW w:w="1709" w:type="dxa"/>
          </w:tcPr>
          <w:p w:rsidR="007C5447" w:rsidRDefault="00F6308C">
            <w:pPr>
              <w:pStyle w:val="TableParagraph"/>
              <w:spacing w:before="14" w:line="224" w:lineRule="exact"/>
              <w:ind w:right="98"/>
              <w:rPr>
                <w:sz w:val="20"/>
              </w:rPr>
            </w:pPr>
            <w:r>
              <w:rPr>
                <w:w w:val="99"/>
                <w:sz w:val="20"/>
              </w:rPr>
              <w:t>-</w:t>
            </w:r>
          </w:p>
        </w:tc>
        <w:tc>
          <w:tcPr>
            <w:tcW w:w="1712" w:type="dxa"/>
          </w:tcPr>
          <w:p w:rsidR="007C5447" w:rsidRDefault="00F6308C">
            <w:pPr>
              <w:pStyle w:val="TableParagraph"/>
              <w:spacing w:before="14" w:line="224" w:lineRule="exact"/>
              <w:ind w:right="101"/>
              <w:rPr>
                <w:sz w:val="20"/>
              </w:rPr>
            </w:pPr>
            <w:r>
              <w:rPr>
                <w:w w:val="99"/>
                <w:sz w:val="20"/>
              </w:rPr>
              <w:t>-</w:t>
            </w:r>
          </w:p>
        </w:tc>
      </w:tr>
      <w:tr w:rsidR="007C5447">
        <w:trPr>
          <w:trHeight w:val="258"/>
        </w:trPr>
        <w:tc>
          <w:tcPr>
            <w:tcW w:w="994" w:type="dxa"/>
          </w:tcPr>
          <w:p w:rsidR="007C5447" w:rsidRDefault="00F6308C">
            <w:pPr>
              <w:pStyle w:val="TableParagraph"/>
              <w:spacing w:before="14" w:line="224" w:lineRule="exact"/>
              <w:ind w:left="8"/>
              <w:jc w:val="center"/>
              <w:rPr>
                <w:sz w:val="20"/>
              </w:rPr>
            </w:pPr>
            <w:r>
              <w:rPr>
                <w:w w:val="99"/>
                <w:sz w:val="20"/>
              </w:rPr>
              <w:t>8</w:t>
            </w:r>
          </w:p>
        </w:tc>
        <w:tc>
          <w:tcPr>
            <w:tcW w:w="2735" w:type="dxa"/>
          </w:tcPr>
          <w:p w:rsidR="007C5447" w:rsidRDefault="00F6308C">
            <w:pPr>
              <w:pStyle w:val="TableParagraph"/>
              <w:spacing w:before="14" w:line="224" w:lineRule="exact"/>
              <w:ind w:left="107"/>
              <w:jc w:val="left"/>
              <w:rPr>
                <w:sz w:val="20"/>
              </w:rPr>
            </w:pPr>
            <w:r>
              <w:rPr>
                <w:sz w:val="20"/>
              </w:rPr>
              <w:t>Tirumakottai GTPS</w:t>
            </w:r>
          </w:p>
        </w:tc>
        <w:tc>
          <w:tcPr>
            <w:tcW w:w="1712" w:type="dxa"/>
          </w:tcPr>
          <w:p w:rsidR="007C5447" w:rsidRDefault="00F6308C">
            <w:pPr>
              <w:pStyle w:val="TableParagraph"/>
              <w:spacing w:before="14" w:line="224" w:lineRule="exact"/>
              <w:ind w:right="99"/>
              <w:rPr>
                <w:sz w:val="20"/>
              </w:rPr>
            </w:pPr>
            <w:r>
              <w:rPr>
                <w:sz w:val="20"/>
              </w:rPr>
              <w:t>0.15</w:t>
            </w:r>
          </w:p>
        </w:tc>
        <w:tc>
          <w:tcPr>
            <w:tcW w:w="1709" w:type="dxa"/>
          </w:tcPr>
          <w:p w:rsidR="007C5447" w:rsidRDefault="00F6308C">
            <w:pPr>
              <w:pStyle w:val="TableParagraph"/>
              <w:spacing w:before="14" w:line="224" w:lineRule="exact"/>
              <w:ind w:right="97"/>
              <w:rPr>
                <w:sz w:val="20"/>
              </w:rPr>
            </w:pPr>
            <w:r>
              <w:rPr>
                <w:sz w:val="20"/>
              </w:rPr>
              <w:t>0.15</w:t>
            </w:r>
          </w:p>
        </w:tc>
        <w:tc>
          <w:tcPr>
            <w:tcW w:w="1712" w:type="dxa"/>
          </w:tcPr>
          <w:p w:rsidR="007C5447" w:rsidRDefault="00F6308C">
            <w:pPr>
              <w:pStyle w:val="TableParagraph"/>
              <w:spacing w:before="14" w:line="224" w:lineRule="exact"/>
              <w:ind w:right="100"/>
              <w:rPr>
                <w:sz w:val="20"/>
              </w:rPr>
            </w:pPr>
            <w:r>
              <w:rPr>
                <w:sz w:val="20"/>
              </w:rPr>
              <w:t>0.15</w:t>
            </w:r>
          </w:p>
        </w:tc>
      </w:tr>
      <w:tr w:rsidR="007C5447">
        <w:trPr>
          <w:trHeight w:val="261"/>
        </w:trPr>
        <w:tc>
          <w:tcPr>
            <w:tcW w:w="994" w:type="dxa"/>
          </w:tcPr>
          <w:p w:rsidR="007C5447" w:rsidRDefault="00F6308C">
            <w:pPr>
              <w:pStyle w:val="TableParagraph"/>
              <w:spacing w:before="17" w:line="224" w:lineRule="exact"/>
              <w:ind w:left="8"/>
              <w:jc w:val="center"/>
              <w:rPr>
                <w:sz w:val="20"/>
              </w:rPr>
            </w:pPr>
            <w:r>
              <w:rPr>
                <w:w w:val="99"/>
                <w:sz w:val="20"/>
              </w:rPr>
              <w:t>9</w:t>
            </w:r>
          </w:p>
        </w:tc>
        <w:tc>
          <w:tcPr>
            <w:tcW w:w="2735" w:type="dxa"/>
          </w:tcPr>
          <w:p w:rsidR="007C5447" w:rsidRDefault="00F6308C">
            <w:pPr>
              <w:pStyle w:val="TableParagraph"/>
              <w:spacing w:before="17" w:line="224" w:lineRule="exact"/>
              <w:ind w:left="107"/>
              <w:jc w:val="left"/>
              <w:rPr>
                <w:sz w:val="20"/>
              </w:rPr>
            </w:pPr>
            <w:r>
              <w:rPr>
                <w:sz w:val="20"/>
              </w:rPr>
              <w:t>Kuttalam GTPS</w:t>
            </w:r>
          </w:p>
        </w:tc>
        <w:tc>
          <w:tcPr>
            <w:tcW w:w="1712" w:type="dxa"/>
          </w:tcPr>
          <w:p w:rsidR="007C5447" w:rsidRDefault="00F6308C">
            <w:pPr>
              <w:pStyle w:val="TableParagraph"/>
              <w:spacing w:before="17" w:line="224" w:lineRule="exact"/>
              <w:ind w:right="99"/>
              <w:rPr>
                <w:sz w:val="20"/>
              </w:rPr>
            </w:pPr>
            <w:r>
              <w:rPr>
                <w:sz w:val="20"/>
              </w:rPr>
              <w:t>0.12</w:t>
            </w:r>
          </w:p>
        </w:tc>
        <w:tc>
          <w:tcPr>
            <w:tcW w:w="1709" w:type="dxa"/>
          </w:tcPr>
          <w:p w:rsidR="007C5447" w:rsidRDefault="00F6308C">
            <w:pPr>
              <w:pStyle w:val="TableParagraph"/>
              <w:spacing w:before="17" w:line="224" w:lineRule="exact"/>
              <w:ind w:right="97"/>
              <w:rPr>
                <w:sz w:val="20"/>
              </w:rPr>
            </w:pPr>
            <w:r>
              <w:rPr>
                <w:sz w:val="20"/>
              </w:rPr>
              <w:t>0.12</w:t>
            </w:r>
          </w:p>
        </w:tc>
        <w:tc>
          <w:tcPr>
            <w:tcW w:w="1712" w:type="dxa"/>
          </w:tcPr>
          <w:p w:rsidR="007C5447" w:rsidRDefault="00F6308C">
            <w:pPr>
              <w:pStyle w:val="TableParagraph"/>
              <w:spacing w:before="17" w:line="224" w:lineRule="exact"/>
              <w:ind w:right="100"/>
              <w:rPr>
                <w:sz w:val="20"/>
              </w:rPr>
            </w:pPr>
            <w:r>
              <w:rPr>
                <w:sz w:val="20"/>
              </w:rPr>
              <w:t>0.12</w:t>
            </w:r>
          </w:p>
        </w:tc>
      </w:tr>
      <w:tr w:rsidR="007C5447">
        <w:trPr>
          <w:trHeight w:val="259"/>
        </w:trPr>
        <w:tc>
          <w:tcPr>
            <w:tcW w:w="994" w:type="dxa"/>
          </w:tcPr>
          <w:p w:rsidR="007C5447" w:rsidRDefault="00F6308C">
            <w:pPr>
              <w:pStyle w:val="TableParagraph"/>
              <w:spacing w:before="15" w:line="224" w:lineRule="exact"/>
              <w:ind w:left="367" w:right="358"/>
              <w:jc w:val="center"/>
              <w:rPr>
                <w:sz w:val="20"/>
              </w:rPr>
            </w:pPr>
            <w:r>
              <w:rPr>
                <w:sz w:val="20"/>
              </w:rPr>
              <w:t>10</w:t>
            </w:r>
          </w:p>
        </w:tc>
        <w:tc>
          <w:tcPr>
            <w:tcW w:w="2735" w:type="dxa"/>
          </w:tcPr>
          <w:p w:rsidR="007C5447" w:rsidRDefault="00F6308C">
            <w:pPr>
              <w:pStyle w:val="TableParagraph"/>
              <w:spacing w:before="15" w:line="224" w:lineRule="exact"/>
              <w:ind w:left="107"/>
              <w:jc w:val="left"/>
              <w:rPr>
                <w:sz w:val="20"/>
              </w:rPr>
            </w:pPr>
            <w:r>
              <w:rPr>
                <w:sz w:val="20"/>
              </w:rPr>
              <w:t>Basin Bridge GTPS</w:t>
            </w:r>
          </w:p>
        </w:tc>
        <w:tc>
          <w:tcPr>
            <w:tcW w:w="1712" w:type="dxa"/>
          </w:tcPr>
          <w:p w:rsidR="007C5447" w:rsidRDefault="00F6308C">
            <w:pPr>
              <w:pStyle w:val="TableParagraph"/>
              <w:spacing w:before="15" w:line="224" w:lineRule="exact"/>
              <w:ind w:right="99"/>
              <w:rPr>
                <w:sz w:val="20"/>
              </w:rPr>
            </w:pPr>
            <w:r>
              <w:rPr>
                <w:sz w:val="20"/>
              </w:rPr>
              <w:t>0.05</w:t>
            </w:r>
          </w:p>
        </w:tc>
        <w:tc>
          <w:tcPr>
            <w:tcW w:w="1709" w:type="dxa"/>
          </w:tcPr>
          <w:p w:rsidR="007C5447" w:rsidRDefault="00F6308C">
            <w:pPr>
              <w:pStyle w:val="TableParagraph"/>
              <w:spacing w:before="15" w:line="224" w:lineRule="exact"/>
              <w:ind w:right="97"/>
              <w:rPr>
                <w:sz w:val="20"/>
              </w:rPr>
            </w:pPr>
            <w:r>
              <w:rPr>
                <w:sz w:val="20"/>
              </w:rPr>
              <w:t>0.05</w:t>
            </w:r>
          </w:p>
        </w:tc>
        <w:tc>
          <w:tcPr>
            <w:tcW w:w="1712" w:type="dxa"/>
          </w:tcPr>
          <w:p w:rsidR="007C5447" w:rsidRDefault="00F6308C">
            <w:pPr>
              <w:pStyle w:val="TableParagraph"/>
              <w:spacing w:before="15" w:line="224" w:lineRule="exact"/>
              <w:ind w:right="100"/>
              <w:rPr>
                <w:sz w:val="20"/>
              </w:rPr>
            </w:pPr>
            <w:r>
              <w:rPr>
                <w:sz w:val="20"/>
              </w:rPr>
              <w:t>0.05</w:t>
            </w:r>
          </w:p>
        </w:tc>
      </w:tr>
      <w:tr w:rsidR="007C5447">
        <w:trPr>
          <w:trHeight w:val="261"/>
        </w:trPr>
        <w:tc>
          <w:tcPr>
            <w:tcW w:w="994" w:type="dxa"/>
          </w:tcPr>
          <w:p w:rsidR="007C5447" w:rsidRDefault="00F6308C">
            <w:pPr>
              <w:pStyle w:val="TableParagraph"/>
              <w:spacing w:before="17" w:line="224" w:lineRule="exact"/>
              <w:ind w:left="367" w:right="358"/>
              <w:jc w:val="center"/>
              <w:rPr>
                <w:sz w:val="20"/>
              </w:rPr>
            </w:pPr>
            <w:r>
              <w:rPr>
                <w:sz w:val="20"/>
              </w:rPr>
              <w:t>11</w:t>
            </w:r>
          </w:p>
        </w:tc>
        <w:tc>
          <w:tcPr>
            <w:tcW w:w="2735" w:type="dxa"/>
          </w:tcPr>
          <w:p w:rsidR="007C5447" w:rsidRDefault="00F6308C">
            <w:pPr>
              <w:pStyle w:val="TableParagraph"/>
              <w:spacing w:before="17" w:line="224" w:lineRule="exact"/>
              <w:ind w:left="107"/>
              <w:jc w:val="left"/>
              <w:rPr>
                <w:sz w:val="20"/>
              </w:rPr>
            </w:pPr>
            <w:r>
              <w:rPr>
                <w:sz w:val="20"/>
              </w:rPr>
              <w:t>Valuthur GTPS</w:t>
            </w:r>
          </w:p>
        </w:tc>
        <w:tc>
          <w:tcPr>
            <w:tcW w:w="1712" w:type="dxa"/>
          </w:tcPr>
          <w:p w:rsidR="007C5447" w:rsidRDefault="00F6308C">
            <w:pPr>
              <w:pStyle w:val="TableParagraph"/>
              <w:spacing w:before="17" w:line="224" w:lineRule="exact"/>
              <w:ind w:right="99"/>
              <w:rPr>
                <w:sz w:val="20"/>
              </w:rPr>
            </w:pPr>
            <w:r>
              <w:rPr>
                <w:sz w:val="20"/>
              </w:rPr>
              <w:t>0.16</w:t>
            </w:r>
          </w:p>
        </w:tc>
        <w:tc>
          <w:tcPr>
            <w:tcW w:w="1709" w:type="dxa"/>
          </w:tcPr>
          <w:p w:rsidR="007C5447" w:rsidRDefault="00F6308C">
            <w:pPr>
              <w:pStyle w:val="TableParagraph"/>
              <w:spacing w:before="17" w:line="224" w:lineRule="exact"/>
              <w:ind w:right="97"/>
              <w:rPr>
                <w:sz w:val="20"/>
              </w:rPr>
            </w:pPr>
            <w:r>
              <w:rPr>
                <w:sz w:val="20"/>
              </w:rPr>
              <w:t>0.16</w:t>
            </w:r>
          </w:p>
        </w:tc>
        <w:tc>
          <w:tcPr>
            <w:tcW w:w="1712" w:type="dxa"/>
          </w:tcPr>
          <w:p w:rsidR="007C5447" w:rsidRDefault="00F6308C">
            <w:pPr>
              <w:pStyle w:val="TableParagraph"/>
              <w:spacing w:before="17" w:line="224" w:lineRule="exact"/>
              <w:ind w:right="100"/>
              <w:rPr>
                <w:sz w:val="20"/>
              </w:rPr>
            </w:pPr>
            <w:r>
              <w:rPr>
                <w:sz w:val="20"/>
              </w:rPr>
              <w:t>0.16</w:t>
            </w:r>
          </w:p>
        </w:tc>
      </w:tr>
      <w:tr w:rsidR="007C5447">
        <w:trPr>
          <w:trHeight w:val="258"/>
        </w:trPr>
        <w:tc>
          <w:tcPr>
            <w:tcW w:w="994" w:type="dxa"/>
          </w:tcPr>
          <w:p w:rsidR="007C5447" w:rsidRDefault="00F6308C">
            <w:pPr>
              <w:pStyle w:val="TableParagraph"/>
              <w:spacing w:before="14" w:line="224" w:lineRule="exact"/>
              <w:ind w:left="367" w:right="358"/>
              <w:jc w:val="center"/>
              <w:rPr>
                <w:sz w:val="20"/>
              </w:rPr>
            </w:pPr>
            <w:r>
              <w:rPr>
                <w:sz w:val="20"/>
              </w:rPr>
              <w:t>12</w:t>
            </w:r>
          </w:p>
        </w:tc>
        <w:tc>
          <w:tcPr>
            <w:tcW w:w="2735" w:type="dxa"/>
          </w:tcPr>
          <w:p w:rsidR="007C5447" w:rsidRDefault="00F6308C">
            <w:pPr>
              <w:pStyle w:val="TableParagraph"/>
              <w:spacing w:before="14" w:line="224" w:lineRule="exact"/>
              <w:ind w:left="107"/>
              <w:jc w:val="left"/>
              <w:rPr>
                <w:sz w:val="20"/>
              </w:rPr>
            </w:pPr>
            <w:r>
              <w:rPr>
                <w:sz w:val="20"/>
              </w:rPr>
              <w:t>Erode HEP</w:t>
            </w:r>
          </w:p>
        </w:tc>
        <w:tc>
          <w:tcPr>
            <w:tcW w:w="1712" w:type="dxa"/>
          </w:tcPr>
          <w:p w:rsidR="007C5447" w:rsidRDefault="00F6308C">
            <w:pPr>
              <w:pStyle w:val="TableParagraph"/>
              <w:spacing w:before="14" w:line="224" w:lineRule="exact"/>
              <w:ind w:right="99"/>
              <w:rPr>
                <w:sz w:val="20"/>
              </w:rPr>
            </w:pPr>
            <w:r>
              <w:rPr>
                <w:sz w:val="20"/>
              </w:rPr>
              <w:t>0.10</w:t>
            </w:r>
          </w:p>
        </w:tc>
        <w:tc>
          <w:tcPr>
            <w:tcW w:w="1709" w:type="dxa"/>
          </w:tcPr>
          <w:p w:rsidR="007C5447" w:rsidRDefault="00F6308C">
            <w:pPr>
              <w:pStyle w:val="TableParagraph"/>
              <w:spacing w:before="14" w:line="224" w:lineRule="exact"/>
              <w:ind w:right="97"/>
              <w:rPr>
                <w:sz w:val="20"/>
              </w:rPr>
            </w:pPr>
            <w:r>
              <w:rPr>
                <w:sz w:val="20"/>
              </w:rPr>
              <w:t>0.10</w:t>
            </w:r>
          </w:p>
        </w:tc>
        <w:tc>
          <w:tcPr>
            <w:tcW w:w="1712" w:type="dxa"/>
          </w:tcPr>
          <w:p w:rsidR="007C5447" w:rsidRDefault="00F6308C">
            <w:pPr>
              <w:pStyle w:val="TableParagraph"/>
              <w:spacing w:before="14" w:line="224" w:lineRule="exact"/>
              <w:ind w:right="100"/>
              <w:rPr>
                <w:sz w:val="20"/>
              </w:rPr>
            </w:pPr>
            <w:r>
              <w:rPr>
                <w:sz w:val="20"/>
              </w:rPr>
              <w:t>0.10</w:t>
            </w:r>
          </w:p>
        </w:tc>
      </w:tr>
      <w:tr w:rsidR="007C5447">
        <w:trPr>
          <w:trHeight w:val="261"/>
        </w:trPr>
        <w:tc>
          <w:tcPr>
            <w:tcW w:w="994" w:type="dxa"/>
          </w:tcPr>
          <w:p w:rsidR="007C5447" w:rsidRDefault="00F6308C">
            <w:pPr>
              <w:pStyle w:val="TableParagraph"/>
              <w:spacing w:before="17" w:line="224" w:lineRule="exact"/>
              <w:ind w:left="367" w:right="358"/>
              <w:jc w:val="center"/>
              <w:rPr>
                <w:sz w:val="20"/>
              </w:rPr>
            </w:pPr>
            <w:r>
              <w:rPr>
                <w:sz w:val="20"/>
              </w:rPr>
              <w:t>13</w:t>
            </w:r>
          </w:p>
        </w:tc>
        <w:tc>
          <w:tcPr>
            <w:tcW w:w="2735" w:type="dxa"/>
          </w:tcPr>
          <w:p w:rsidR="007C5447" w:rsidRDefault="00F6308C">
            <w:pPr>
              <w:pStyle w:val="TableParagraph"/>
              <w:spacing w:before="17" w:line="224" w:lineRule="exact"/>
              <w:ind w:left="107"/>
              <w:jc w:val="left"/>
              <w:rPr>
                <w:sz w:val="20"/>
              </w:rPr>
            </w:pPr>
            <w:r>
              <w:rPr>
                <w:sz w:val="20"/>
              </w:rPr>
              <w:t>Kadamparai HEP</w:t>
            </w:r>
          </w:p>
        </w:tc>
        <w:tc>
          <w:tcPr>
            <w:tcW w:w="1712" w:type="dxa"/>
          </w:tcPr>
          <w:p w:rsidR="007C5447" w:rsidRDefault="00F6308C">
            <w:pPr>
              <w:pStyle w:val="TableParagraph"/>
              <w:spacing w:before="17" w:line="224" w:lineRule="exact"/>
              <w:ind w:right="99"/>
              <w:rPr>
                <w:sz w:val="20"/>
              </w:rPr>
            </w:pPr>
            <w:r>
              <w:rPr>
                <w:sz w:val="20"/>
              </w:rPr>
              <w:t>0.25</w:t>
            </w:r>
          </w:p>
        </w:tc>
        <w:tc>
          <w:tcPr>
            <w:tcW w:w="1709" w:type="dxa"/>
          </w:tcPr>
          <w:p w:rsidR="007C5447" w:rsidRDefault="00F6308C">
            <w:pPr>
              <w:pStyle w:val="TableParagraph"/>
              <w:spacing w:before="17" w:line="224" w:lineRule="exact"/>
              <w:ind w:right="97"/>
              <w:rPr>
                <w:sz w:val="20"/>
              </w:rPr>
            </w:pPr>
            <w:r>
              <w:rPr>
                <w:sz w:val="20"/>
              </w:rPr>
              <w:t>0.25</w:t>
            </w:r>
          </w:p>
        </w:tc>
        <w:tc>
          <w:tcPr>
            <w:tcW w:w="1712" w:type="dxa"/>
          </w:tcPr>
          <w:p w:rsidR="007C5447" w:rsidRDefault="00F6308C">
            <w:pPr>
              <w:pStyle w:val="TableParagraph"/>
              <w:spacing w:before="17" w:line="224" w:lineRule="exact"/>
              <w:ind w:right="100"/>
              <w:rPr>
                <w:sz w:val="20"/>
              </w:rPr>
            </w:pPr>
            <w:r>
              <w:rPr>
                <w:sz w:val="20"/>
              </w:rPr>
              <w:t>0.25</w:t>
            </w:r>
          </w:p>
        </w:tc>
      </w:tr>
      <w:tr w:rsidR="007C5447">
        <w:trPr>
          <w:trHeight w:val="258"/>
        </w:trPr>
        <w:tc>
          <w:tcPr>
            <w:tcW w:w="994" w:type="dxa"/>
          </w:tcPr>
          <w:p w:rsidR="007C5447" w:rsidRDefault="00F6308C">
            <w:pPr>
              <w:pStyle w:val="TableParagraph"/>
              <w:spacing w:before="14" w:line="224" w:lineRule="exact"/>
              <w:ind w:left="367" w:right="358"/>
              <w:jc w:val="center"/>
              <w:rPr>
                <w:sz w:val="20"/>
              </w:rPr>
            </w:pPr>
            <w:r>
              <w:rPr>
                <w:sz w:val="20"/>
              </w:rPr>
              <w:t>14</w:t>
            </w:r>
          </w:p>
        </w:tc>
        <w:tc>
          <w:tcPr>
            <w:tcW w:w="2735" w:type="dxa"/>
          </w:tcPr>
          <w:p w:rsidR="007C5447" w:rsidRDefault="00F6308C">
            <w:pPr>
              <w:pStyle w:val="TableParagraph"/>
              <w:spacing w:before="14" w:line="224" w:lineRule="exact"/>
              <w:ind w:left="107"/>
              <w:jc w:val="left"/>
              <w:rPr>
                <w:sz w:val="20"/>
              </w:rPr>
            </w:pPr>
            <w:r>
              <w:rPr>
                <w:sz w:val="20"/>
              </w:rPr>
              <w:t>Kundah HEP</w:t>
            </w:r>
          </w:p>
        </w:tc>
        <w:tc>
          <w:tcPr>
            <w:tcW w:w="1712" w:type="dxa"/>
          </w:tcPr>
          <w:p w:rsidR="007C5447" w:rsidRDefault="00F6308C">
            <w:pPr>
              <w:pStyle w:val="TableParagraph"/>
              <w:spacing w:before="14" w:line="224" w:lineRule="exact"/>
              <w:ind w:right="99"/>
              <w:rPr>
                <w:sz w:val="20"/>
              </w:rPr>
            </w:pPr>
            <w:r>
              <w:rPr>
                <w:sz w:val="20"/>
              </w:rPr>
              <w:t>0.90</w:t>
            </w:r>
          </w:p>
        </w:tc>
        <w:tc>
          <w:tcPr>
            <w:tcW w:w="1709" w:type="dxa"/>
          </w:tcPr>
          <w:p w:rsidR="007C5447" w:rsidRDefault="00F6308C">
            <w:pPr>
              <w:pStyle w:val="TableParagraph"/>
              <w:spacing w:before="14" w:line="224" w:lineRule="exact"/>
              <w:ind w:right="97"/>
              <w:rPr>
                <w:sz w:val="20"/>
              </w:rPr>
            </w:pPr>
            <w:r>
              <w:rPr>
                <w:sz w:val="20"/>
              </w:rPr>
              <w:t>0.90</w:t>
            </w:r>
          </w:p>
        </w:tc>
        <w:tc>
          <w:tcPr>
            <w:tcW w:w="1712" w:type="dxa"/>
          </w:tcPr>
          <w:p w:rsidR="007C5447" w:rsidRDefault="00F6308C">
            <w:pPr>
              <w:pStyle w:val="TableParagraph"/>
              <w:spacing w:before="14" w:line="224" w:lineRule="exact"/>
              <w:ind w:right="100"/>
              <w:rPr>
                <w:sz w:val="20"/>
              </w:rPr>
            </w:pPr>
            <w:r>
              <w:rPr>
                <w:sz w:val="20"/>
              </w:rPr>
              <w:t>0.90</w:t>
            </w:r>
          </w:p>
        </w:tc>
      </w:tr>
      <w:tr w:rsidR="007C5447">
        <w:trPr>
          <w:trHeight w:val="263"/>
        </w:trPr>
        <w:tc>
          <w:tcPr>
            <w:tcW w:w="994" w:type="dxa"/>
          </w:tcPr>
          <w:p w:rsidR="007C5447" w:rsidRDefault="00F6308C">
            <w:pPr>
              <w:pStyle w:val="TableParagraph"/>
              <w:spacing w:before="17" w:line="227" w:lineRule="exact"/>
              <w:ind w:left="367" w:right="358"/>
              <w:jc w:val="center"/>
              <w:rPr>
                <w:sz w:val="20"/>
              </w:rPr>
            </w:pPr>
            <w:r>
              <w:rPr>
                <w:sz w:val="20"/>
              </w:rPr>
              <w:t>15</w:t>
            </w:r>
          </w:p>
        </w:tc>
        <w:tc>
          <w:tcPr>
            <w:tcW w:w="2735" w:type="dxa"/>
          </w:tcPr>
          <w:p w:rsidR="007C5447" w:rsidRDefault="00F6308C">
            <w:pPr>
              <w:pStyle w:val="TableParagraph"/>
              <w:spacing w:before="17" w:line="227" w:lineRule="exact"/>
              <w:ind w:left="107"/>
              <w:jc w:val="left"/>
              <w:rPr>
                <w:sz w:val="20"/>
              </w:rPr>
            </w:pPr>
            <w:r>
              <w:rPr>
                <w:sz w:val="20"/>
              </w:rPr>
              <w:t>Tirunelveli HEP</w:t>
            </w:r>
          </w:p>
        </w:tc>
        <w:tc>
          <w:tcPr>
            <w:tcW w:w="1712" w:type="dxa"/>
          </w:tcPr>
          <w:p w:rsidR="007C5447" w:rsidRDefault="00F6308C">
            <w:pPr>
              <w:pStyle w:val="TableParagraph"/>
              <w:spacing w:before="17" w:line="227" w:lineRule="exact"/>
              <w:ind w:right="99"/>
              <w:rPr>
                <w:sz w:val="20"/>
              </w:rPr>
            </w:pPr>
            <w:r>
              <w:rPr>
                <w:sz w:val="20"/>
              </w:rPr>
              <w:t>0.47</w:t>
            </w:r>
          </w:p>
        </w:tc>
        <w:tc>
          <w:tcPr>
            <w:tcW w:w="1709" w:type="dxa"/>
          </w:tcPr>
          <w:p w:rsidR="007C5447" w:rsidRDefault="00F6308C">
            <w:pPr>
              <w:pStyle w:val="TableParagraph"/>
              <w:spacing w:before="17" w:line="227" w:lineRule="exact"/>
              <w:ind w:right="97"/>
              <w:rPr>
                <w:sz w:val="20"/>
              </w:rPr>
            </w:pPr>
            <w:r>
              <w:rPr>
                <w:sz w:val="20"/>
              </w:rPr>
              <w:t>0.47</w:t>
            </w:r>
          </w:p>
        </w:tc>
        <w:tc>
          <w:tcPr>
            <w:tcW w:w="1712" w:type="dxa"/>
          </w:tcPr>
          <w:p w:rsidR="007C5447" w:rsidRDefault="00F6308C">
            <w:pPr>
              <w:pStyle w:val="TableParagraph"/>
              <w:spacing w:before="17" w:line="227" w:lineRule="exact"/>
              <w:ind w:right="100"/>
              <w:rPr>
                <w:sz w:val="20"/>
              </w:rPr>
            </w:pPr>
            <w:r>
              <w:rPr>
                <w:sz w:val="20"/>
              </w:rPr>
              <w:t>0.47</w:t>
            </w:r>
          </w:p>
        </w:tc>
      </w:tr>
      <w:tr w:rsidR="007C5447">
        <w:trPr>
          <w:trHeight w:val="263"/>
        </w:trPr>
        <w:tc>
          <w:tcPr>
            <w:tcW w:w="994" w:type="dxa"/>
          </w:tcPr>
          <w:p w:rsidR="007C5447" w:rsidRDefault="00F6308C">
            <w:pPr>
              <w:pStyle w:val="TableParagraph"/>
              <w:spacing w:before="17" w:line="227" w:lineRule="exact"/>
              <w:ind w:left="367" w:right="358"/>
              <w:jc w:val="center"/>
              <w:rPr>
                <w:b/>
                <w:sz w:val="20"/>
              </w:rPr>
            </w:pPr>
            <w:r>
              <w:rPr>
                <w:b/>
                <w:sz w:val="20"/>
              </w:rPr>
              <w:t>16</w:t>
            </w:r>
          </w:p>
        </w:tc>
        <w:tc>
          <w:tcPr>
            <w:tcW w:w="2735" w:type="dxa"/>
          </w:tcPr>
          <w:p w:rsidR="007C5447" w:rsidRDefault="00F6308C">
            <w:pPr>
              <w:pStyle w:val="TableParagraph"/>
              <w:spacing w:before="17" w:line="227" w:lineRule="exact"/>
              <w:ind w:left="107"/>
              <w:jc w:val="left"/>
              <w:rPr>
                <w:b/>
                <w:sz w:val="20"/>
              </w:rPr>
            </w:pPr>
            <w:r>
              <w:rPr>
                <w:b/>
                <w:sz w:val="20"/>
              </w:rPr>
              <w:t>Total Generation</w:t>
            </w:r>
          </w:p>
        </w:tc>
        <w:tc>
          <w:tcPr>
            <w:tcW w:w="1712" w:type="dxa"/>
          </w:tcPr>
          <w:p w:rsidR="007C5447" w:rsidRDefault="00F6308C">
            <w:pPr>
              <w:pStyle w:val="TableParagraph"/>
              <w:spacing w:before="17" w:line="227" w:lineRule="exact"/>
              <w:ind w:right="100"/>
              <w:rPr>
                <w:b/>
                <w:sz w:val="20"/>
              </w:rPr>
            </w:pPr>
            <w:r>
              <w:rPr>
                <w:b/>
                <w:w w:val="95"/>
                <w:sz w:val="20"/>
              </w:rPr>
              <w:t>157.07</w:t>
            </w:r>
          </w:p>
        </w:tc>
        <w:tc>
          <w:tcPr>
            <w:tcW w:w="1709" w:type="dxa"/>
          </w:tcPr>
          <w:p w:rsidR="007C5447" w:rsidRDefault="00F6308C">
            <w:pPr>
              <w:pStyle w:val="TableParagraph"/>
              <w:spacing w:before="17" w:line="227" w:lineRule="exact"/>
              <w:ind w:right="97"/>
              <w:rPr>
                <w:b/>
                <w:sz w:val="20"/>
              </w:rPr>
            </w:pPr>
            <w:r>
              <w:rPr>
                <w:b/>
                <w:w w:val="95"/>
                <w:sz w:val="20"/>
              </w:rPr>
              <w:t>144.35</w:t>
            </w:r>
          </w:p>
        </w:tc>
        <w:tc>
          <w:tcPr>
            <w:tcW w:w="1712" w:type="dxa"/>
          </w:tcPr>
          <w:p w:rsidR="007C5447" w:rsidRDefault="00F6308C">
            <w:pPr>
              <w:pStyle w:val="TableParagraph"/>
              <w:spacing w:before="17" w:line="227" w:lineRule="exact"/>
              <w:ind w:right="100"/>
              <w:rPr>
                <w:b/>
                <w:sz w:val="20"/>
              </w:rPr>
            </w:pPr>
            <w:r>
              <w:rPr>
                <w:b/>
                <w:w w:val="95"/>
                <w:sz w:val="20"/>
              </w:rPr>
              <w:t>144.35</w:t>
            </w:r>
          </w:p>
        </w:tc>
      </w:tr>
      <w:tr w:rsidR="007C5447">
        <w:trPr>
          <w:trHeight w:val="263"/>
        </w:trPr>
        <w:tc>
          <w:tcPr>
            <w:tcW w:w="994" w:type="dxa"/>
          </w:tcPr>
          <w:p w:rsidR="007C5447" w:rsidRDefault="00F6308C">
            <w:pPr>
              <w:pStyle w:val="TableParagraph"/>
              <w:spacing w:before="17" w:line="227" w:lineRule="exact"/>
              <w:ind w:left="367" w:right="358"/>
              <w:jc w:val="center"/>
              <w:rPr>
                <w:b/>
                <w:sz w:val="20"/>
              </w:rPr>
            </w:pPr>
            <w:r>
              <w:rPr>
                <w:b/>
                <w:sz w:val="20"/>
              </w:rPr>
              <w:t>17</w:t>
            </w:r>
          </w:p>
        </w:tc>
        <w:tc>
          <w:tcPr>
            <w:tcW w:w="2735" w:type="dxa"/>
          </w:tcPr>
          <w:p w:rsidR="007C5447" w:rsidRDefault="00F6308C">
            <w:pPr>
              <w:pStyle w:val="TableParagraph"/>
              <w:spacing w:before="17" w:line="227" w:lineRule="exact"/>
              <w:ind w:left="107"/>
              <w:jc w:val="left"/>
              <w:rPr>
                <w:b/>
                <w:sz w:val="20"/>
              </w:rPr>
            </w:pPr>
            <w:r>
              <w:rPr>
                <w:b/>
                <w:sz w:val="20"/>
              </w:rPr>
              <w:t>Distribution</w:t>
            </w:r>
          </w:p>
        </w:tc>
        <w:tc>
          <w:tcPr>
            <w:tcW w:w="1712" w:type="dxa"/>
          </w:tcPr>
          <w:p w:rsidR="007C5447" w:rsidRDefault="00F6308C">
            <w:pPr>
              <w:pStyle w:val="TableParagraph"/>
              <w:spacing w:before="17" w:line="227" w:lineRule="exact"/>
              <w:ind w:right="100"/>
              <w:rPr>
                <w:b/>
                <w:sz w:val="20"/>
              </w:rPr>
            </w:pPr>
            <w:r>
              <w:rPr>
                <w:b/>
                <w:w w:val="95"/>
                <w:sz w:val="20"/>
              </w:rPr>
              <w:t>434.73</w:t>
            </w:r>
          </w:p>
        </w:tc>
        <w:tc>
          <w:tcPr>
            <w:tcW w:w="1709" w:type="dxa"/>
          </w:tcPr>
          <w:p w:rsidR="007C5447" w:rsidRDefault="00F6308C">
            <w:pPr>
              <w:pStyle w:val="TableParagraph"/>
              <w:spacing w:before="17" w:line="227" w:lineRule="exact"/>
              <w:ind w:right="97"/>
              <w:rPr>
                <w:b/>
                <w:sz w:val="20"/>
              </w:rPr>
            </w:pPr>
            <w:r>
              <w:rPr>
                <w:b/>
                <w:w w:val="95"/>
                <w:sz w:val="20"/>
              </w:rPr>
              <w:t>586.89</w:t>
            </w:r>
          </w:p>
        </w:tc>
        <w:tc>
          <w:tcPr>
            <w:tcW w:w="1712" w:type="dxa"/>
          </w:tcPr>
          <w:p w:rsidR="007C5447" w:rsidRDefault="00F6308C">
            <w:pPr>
              <w:pStyle w:val="TableParagraph"/>
              <w:spacing w:before="17" w:line="227" w:lineRule="exact"/>
              <w:ind w:right="100"/>
              <w:rPr>
                <w:b/>
                <w:sz w:val="20"/>
              </w:rPr>
            </w:pPr>
            <w:r>
              <w:rPr>
                <w:b/>
                <w:w w:val="95"/>
                <w:sz w:val="20"/>
              </w:rPr>
              <w:t>704.27</w:t>
            </w:r>
          </w:p>
        </w:tc>
      </w:tr>
      <w:tr w:rsidR="007C5447">
        <w:trPr>
          <w:trHeight w:val="263"/>
        </w:trPr>
        <w:tc>
          <w:tcPr>
            <w:tcW w:w="994" w:type="dxa"/>
          </w:tcPr>
          <w:p w:rsidR="007C5447" w:rsidRDefault="00F6308C">
            <w:pPr>
              <w:pStyle w:val="TableParagraph"/>
              <w:spacing w:before="17" w:line="226" w:lineRule="exact"/>
              <w:ind w:left="367" w:right="358"/>
              <w:jc w:val="center"/>
              <w:rPr>
                <w:b/>
                <w:sz w:val="20"/>
              </w:rPr>
            </w:pPr>
            <w:r>
              <w:rPr>
                <w:b/>
                <w:sz w:val="20"/>
              </w:rPr>
              <w:t>18</w:t>
            </w:r>
          </w:p>
        </w:tc>
        <w:tc>
          <w:tcPr>
            <w:tcW w:w="2735" w:type="dxa"/>
          </w:tcPr>
          <w:p w:rsidR="007C5447" w:rsidRDefault="00F6308C">
            <w:pPr>
              <w:pStyle w:val="TableParagraph"/>
              <w:spacing w:before="17" w:line="226" w:lineRule="exact"/>
              <w:ind w:left="107"/>
              <w:jc w:val="left"/>
              <w:rPr>
                <w:b/>
                <w:sz w:val="20"/>
              </w:rPr>
            </w:pPr>
            <w:r>
              <w:rPr>
                <w:b/>
                <w:sz w:val="20"/>
              </w:rPr>
              <w:t>Total</w:t>
            </w:r>
          </w:p>
        </w:tc>
        <w:tc>
          <w:tcPr>
            <w:tcW w:w="1712" w:type="dxa"/>
          </w:tcPr>
          <w:p w:rsidR="007C5447" w:rsidRDefault="00F6308C">
            <w:pPr>
              <w:pStyle w:val="TableParagraph"/>
              <w:spacing w:before="17" w:line="226" w:lineRule="exact"/>
              <w:ind w:right="100"/>
              <w:rPr>
                <w:b/>
                <w:sz w:val="20"/>
              </w:rPr>
            </w:pPr>
            <w:r>
              <w:rPr>
                <w:b/>
                <w:w w:val="95"/>
                <w:sz w:val="20"/>
              </w:rPr>
              <w:t>591.80</w:t>
            </w:r>
          </w:p>
        </w:tc>
        <w:tc>
          <w:tcPr>
            <w:tcW w:w="1709" w:type="dxa"/>
          </w:tcPr>
          <w:p w:rsidR="007C5447" w:rsidRDefault="00F6308C">
            <w:pPr>
              <w:pStyle w:val="TableParagraph"/>
              <w:spacing w:before="17" w:line="226" w:lineRule="exact"/>
              <w:ind w:right="97"/>
              <w:rPr>
                <w:b/>
                <w:sz w:val="20"/>
              </w:rPr>
            </w:pPr>
            <w:r>
              <w:rPr>
                <w:b/>
                <w:w w:val="95"/>
                <w:sz w:val="20"/>
              </w:rPr>
              <w:t>731.24</w:t>
            </w:r>
          </w:p>
        </w:tc>
        <w:tc>
          <w:tcPr>
            <w:tcW w:w="1712" w:type="dxa"/>
          </w:tcPr>
          <w:p w:rsidR="007C5447" w:rsidRDefault="00F6308C">
            <w:pPr>
              <w:pStyle w:val="TableParagraph"/>
              <w:spacing w:before="17" w:line="226" w:lineRule="exact"/>
              <w:ind w:right="100"/>
              <w:rPr>
                <w:b/>
                <w:sz w:val="20"/>
              </w:rPr>
            </w:pPr>
            <w:r>
              <w:rPr>
                <w:b/>
                <w:w w:val="95"/>
                <w:sz w:val="20"/>
              </w:rPr>
              <w:t>848.62</w:t>
            </w:r>
          </w:p>
        </w:tc>
      </w:tr>
    </w:tbl>
    <w:p w:rsidR="007C5447" w:rsidRDefault="007C5447">
      <w:pPr>
        <w:spacing w:line="226" w:lineRule="exact"/>
        <w:rPr>
          <w:sz w:val="20"/>
        </w:rPr>
        <w:sectPr w:rsidR="007C5447">
          <w:pgSz w:w="11910" w:h="16840"/>
          <w:pgMar w:top="1420" w:right="620" w:bottom="1240" w:left="900" w:header="0" w:footer="1057" w:gutter="0"/>
          <w:cols w:space="720"/>
        </w:sectPr>
      </w:pPr>
    </w:p>
    <w:p w:rsidR="007C5447" w:rsidRDefault="007C5447">
      <w:pPr>
        <w:pStyle w:val="BodyText"/>
        <w:spacing w:before="10"/>
        <w:rPr>
          <w:b/>
          <w:sz w:val="19"/>
        </w:rPr>
      </w:pPr>
    </w:p>
    <w:p w:rsidR="007C5447" w:rsidRDefault="00F6308C">
      <w:pPr>
        <w:pStyle w:val="ListParagraph"/>
        <w:numPr>
          <w:ilvl w:val="2"/>
          <w:numId w:val="114"/>
        </w:numPr>
        <w:tabs>
          <w:tab w:val="left" w:pos="1393"/>
        </w:tabs>
        <w:spacing w:before="90" w:line="312" w:lineRule="auto"/>
        <w:ind w:left="1392" w:right="512" w:hanging="852"/>
        <w:jc w:val="both"/>
        <w:rPr>
          <w:sz w:val="24"/>
        </w:rPr>
      </w:pPr>
      <w:r>
        <w:rPr>
          <w:sz w:val="24"/>
        </w:rPr>
        <w:t>The Non-Tariff Income estimated by TANGEDCO for Distribution function is shown in the Table</w:t>
      </w:r>
      <w:r>
        <w:rPr>
          <w:spacing w:val="-2"/>
          <w:sz w:val="24"/>
        </w:rPr>
        <w:t xml:space="preserve"> </w:t>
      </w:r>
      <w:r>
        <w:rPr>
          <w:sz w:val="24"/>
        </w:rPr>
        <w:t>below:</w:t>
      </w:r>
    </w:p>
    <w:p w:rsidR="007C5447" w:rsidRDefault="007C5447">
      <w:pPr>
        <w:pStyle w:val="BodyText"/>
        <w:spacing w:before="10"/>
        <w:rPr>
          <w:sz w:val="20"/>
        </w:rPr>
      </w:pPr>
    </w:p>
    <w:p w:rsidR="007C5447" w:rsidRDefault="00F6308C">
      <w:pPr>
        <w:pStyle w:val="Heading2"/>
        <w:ind w:left="1505"/>
      </w:pPr>
      <w:r>
        <w:rPr>
          <w:sz w:val="22"/>
        </w:rPr>
        <w:t xml:space="preserve">Table 4-26: </w:t>
      </w:r>
      <w:r>
        <w:t>Non-Tariff Income as submitted by TANGEDCO (Rs. Crore)</w:t>
      </w:r>
    </w:p>
    <w:p w:rsidR="007C5447" w:rsidRDefault="007C5447">
      <w:pPr>
        <w:pStyle w:val="BodyText"/>
        <w:spacing w:before="9"/>
        <w:rPr>
          <w:b/>
          <w:sz w:val="17"/>
        </w:rPr>
      </w:pPr>
    </w:p>
    <w:tbl>
      <w:tblPr>
        <w:tblW w:w="0" w:type="auto"/>
        <w:tblInd w:w="1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2386"/>
        <w:gridCol w:w="1205"/>
        <w:gridCol w:w="1207"/>
        <w:gridCol w:w="1205"/>
      </w:tblGrid>
      <w:tr w:rsidR="007C5447">
        <w:trPr>
          <w:trHeight w:val="354"/>
        </w:trPr>
        <w:tc>
          <w:tcPr>
            <w:tcW w:w="590" w:type="dxa"/>
            <w:shd w:val="clear" w:color="auto" w:fill="F7C9AC"/>
          </w:tcPr>
          <w:p w:rsidR="007C5447" w:rsidRDefault="00F6308C">
            <w:pPr>
              <w:pStyle w:val="TableParagraph"/>
              <w:spacing w:before="62"/>
              <w:ind w:left="161" w:right="157"/>
              <w:jc w:val="center"/>
              <w:rPr>
                <w:b/>
                <w:sz w:val="20"/>
              </w:rPr>
            </w:pPr>
            <w:r>
              <w:rPr>
                <w:b/>
                <w:sz w:val="20"/>
              </w:rPr>
              <w:t>Sl.</w:t>
            </w:r>
          </w:p>
        </w:tc>
        <w:tc>
          <w:tcPr>
            <w:tcW w:w="2386" w:type="dxa"/>
            <w:shd w:val="clear" w:color="auto" w:fill="F7C9AC"/>
          </w:tcPr>
          <w:p w:rsidR="007C5447" w:rsidRDefault="00F6308C">
            <w:pPr>
              <w:pStyle w:val="TableParagraph"/>
              <w:spacing w:before="62"/>
              <w:ind w:right="703"/>
              <w:rPr>
                <w:b/>
                <w:sz w:val="20"/>
              </w:rPr>
            </w:pPr>
            <w:r>
              <w:rPr>
                <w:b/>
                <w:w w:val="95"/>
                <w:sz w:val="20"/>
              </w:rPr>
              <w:t>Particulars</w:t>
            </w:r>
          </w:p>
        </w:tc>
        <w:tc>
          <w:tcPr>
            <w:tcW w:w="1205" w:type="dxa"/>
            <w:shd w:val="clear" w:color="auto" w:fill="F7C9AC"/>
          </w:tcPr>
          <w:p w:rsidR="007C5447" w:rsidRDefault="00F6308C">
            <w:pPr>
              <w:pStyle w:val="TableParagraph"/>
              <w:spacing w:before="62"/>
              <w:ind w:right="95"/>
              <w:rPr>
                <w:b/>
                <w:sz w:val="20"/>
              </w:rPr>
            </w:pPr>
            <w:r>
              <w:rPr>
                <w:b/>
                <w:sz w:val="20"/>
              </w:rPr>
              <w:t>FY 2016-17</w:t>
            </w:r>
          </w:p>
        </w:tc>
        <w:tc>
          <w:tcPr>
            <w:tcW w:w="1207" w:type="dxa"/>
            <w:shd w:val="clear" w:color="auto" w:fill="F7C9AC"/>
          </w:tcPr>
          <w:p w:rsidR="007C5447" w:rsidRDefault="00F6308C">
            <w:pPr>
              <w:pStyle w:val="TableParagraph"/>
              <w:spacing w:before="62"/>
              <w:ind w:left="111"/>
              <w:jc w:val="left"/>
              <w:rPr>
                <w:b/>
                <w:sz w:val="20"/>
              </w:rPr>
            </w:pPr>
            <w:r>
              <w:rPr>
                <w:b/>
                <w:sz w:val="20"/>
              </w:rPr>
              <w:t>FY 2017-18</w:t>
            </w:r>
          </w:p>
        </w:tc>
        <w:tc>
          <w:tcPr>
            <w:tcW w:w="1205" w:type="dxa"/>
            <w:shd w:val="clear" w:color="auto" w:fill="F7C9AC"/>
          </w:tcPr>
          <w:p w:rsidR="007C5447" w:rsidRDefault="00F6308C">
            <w:pPr>
              <w:pStyle w:val="TableParagraph"/>
              <w:spacing w:before="62"/>
              <w:ind w:left="111"/>
              <w:jc w:val="left"/>
              <w:rPr>
                <w:b/>
                <w:sz w:val="20"/>
              </w:rPr>
            </w:pPr>
            <w:r>
              <w:rPr>
                <w:b/>
                <w:sz w:val="20"/>
              </w:rPr>
              <w:t>FY 2018-19</w:t>
            </w:r>
          </w:p>
        </w:tc>
      </w:tr>
      <w:tr w:rsidR="007C5447">
        <w:trPr>
          <w:trHeight w:val="299"/>
        </w:trPr>
        <w:tc>
          <w:tcPr>
            <w:tcW w:w="590" w:type="dxa"/>
          </w:tcPr>
          <w:p w:rsidR="007C5447" w:rsidRDefault="00F6308C">
            <w:pPr>
              <w:pStyle w:val="TableParagraph"/>
              <w:spacing w:before="36"/>
              <w:ind w:left="4"/>
              <w:jc w:val="center"/>
              <w:rPr>
                <w:sz w:val="20"/>
              </w:rPr>
            </w:pPr>
            <w:r>
              <w:rPr>
                <w:w w:val="99"/>
                <w:sz w:val="20"/>
              </w:rPr>
              <w:t>1</w:t>
            </w:r>
          </w:p>
        </w:tc>
        <w:tc>
          <w:tcPr>
            <w:tcW w:w="2386" w:type="dxa"/>
          </w:tcPr>
          <w:p w:rsidR="007C5447" w:rsidRDefault="00F6308C">
            <w:pPr>
              <w:pStyle w:val="TableParagraph"/>
              <w:spacing w:before="36"/>
              <w:ind w:right="743"/>
              <w:rPr>
                <w:sz w:val="20"/>
              </w:rPr>
            </w:pPr>
            <w:r>
              <w:rPr>
                <w:sz w:val="20"/>
              </w:rPr>
              <w:t>Non-Tariff Income</w:t>
            </w:r>
          </w:p>
        </w:tc>
        <w:tc>
          <w:tcPr>
            <w:tcW w:w="1205" w:type="dxa"/>
          </w:tcPr>
          <w:p w:rsidR="007C5447" w:rsidRDefault="00F6308C">
            <w:pPr>
              <w:pStyle w:val="TableParagraph"/>
              <w:spacing w:before="36"/>
              <w:ind w:right="205"/>
              <w:rPr>
                <w:sz w:val="20"/>
              </w:rPr>
            </w:pPr>
            <w:r>
              <w:rPr>
                <w:w w:val="95"/>
                <w:sz w:val="20"/>
              </w:rPr>
              <w:t>780.86</w:t>
            </w:r>
          </w:p>
        </w:tc>
        <w:tc>
          <w:tcPr>
            <w:tcW w:w="1207" w:type="dxa"/>
          </w:tcPr>
          <w:p w:rsidR="007C5447" w:rsidRDefault="00F6308C">
            <w:pPr>
              <w:pStyle w:val="TableParagraph"/>
              <w:spacing w:before="36"/>
              <w:ind w:left="437"/>
              <w:jc w:val="left"/>
              <w:rPr>
                <w:sz w:val="20"/>
              </w:rPr>
            </w:pPr>
            <w:r>
              <w:rPr>
                <w:sz w:val="20"/>
              </w:rPr>
              <w:t>952.65</w:t>
            </w:r>
          </w:p>
        </w:tc>
        <w:tc>
          <w:tcPr>
            <w:tcW w:w="1205" w:type="dxa"/>
          </w:tcPr>
          <w:p w:rsidR="007C5447" w:rsidRDefault="00F6308C">
            <w:pPr>
              <w:pStyle w:val="TableParagraph"/>
              <w:spacing w:before="36"/>
              <w:ind w:left="437"/>
              <w:jc w:val="left"/>
              <w:rPr>
                <w:sz w:val="20"/>
              </w:rPr>
            </w:pPr>
            <w:r>
              <w:rPr>
                <w:sz w:val="20"/>
              </w:rPr>
              <w:t>971.70</w:t>
            </w:r>
          </w:p>
        </w:tc>
      </w:tr>
    </w:tbl>
    <w:p w:rsidR="007C5447" w:rsidRDefault="007C5447">
      <w:pPr>
        <w:pStyle w:val="BodyText"/>
        <w:spacing w:before="9"/>
        <w:rPr>
          <w:b/>
          <w:sz w:val="20"/>
        </w:rPr>
      </w:pPr>
    </w:p>
    <w:p w:rsidR="007C5447" w:rsidRDefault="00F6308C">
      <w:pPr>
        <w:ind w:left="1392"/>
        <w:rPr>
          <w:b/>
          <w:sz w:val="24"/>
        </w:rPr>
      </w:pPr>
      <w:r>
        <w:rPr>
          <w:b/>
          <w:sz w:val="24"/>
        </w:rPr>
        <w:t>Commission’s Views</w:t>
      </w:r>
    </w:p>
    <w:p w:rsidR="007C5447" w:rsidRDefault="00F6308C">
      <w:pPr>
        <w:pStyle w:val="ListParagraph"/>
        <w:numPr>
          <w:ilvl w:val="2"/>
          <w:numId w:val="114"/>
        </w:numPr>
        <w:tabs>
          <w:tab w:val="left" w:pos="1393"/>
        </w:tabs>
        <w:spacing w:before="204" w:line="312" w:lineRule="auto"/>
        <w:ind w:left="1392" w:right="508" w:hanging="852"/>
        <w:jc w:val="both"/>
        <w:rPr>
          <w:sz w:val="24"/>
        </w:rPr>
      </w:pPr>
      <w:r>
        <w:rPr>
          <w:sz w:val="24"/>
        </w:rPr>
        <w:t>The Commission has approved Other Income and Non-Tariff Income based on past trend, i.e., 4 year CAGR of 9% and 16% for Non-Tariff Income and Other Income, respectively. Actual Other Income and Non-Tariff Income shall be considered at the time of truing up</w:t>
      </w:r>
      <w:r>
        <w:rPr>
          <w:sz w:val="24"/>
        </w:rPr>
        <w:t xml:space="preserve"> based on audited accounts and prudence check. The Other Income and Non-Tariff Income approved by the Commission for the Control Period from FY 2016- 17 to FY 2018-19 is shown in the Table</w:t>
      </w:r>
      <w:r>
        <w:rPr>
          <w:spacing w:val="-1"/>
          <w:sz w:val="24"/>
        </w:rPr>
        <w:t xml:space="preserve"> </w:t>
      </w:r>
      <w:r>
        <w:rPr>
          <w:sz w:val="24"/>
        </w:rPr>
        <w:t>below:</w:t>
      </w:r>
    </w:p>
    <w:p w:rsidR="007C5447" w:rsidRDefault="007C5447">
      <w:pPr>
        <w:pStyle w:val="BodyText"/>
        <w:spacing w:before="10"/>
        <w:rPr>
          <w:sz w:val="20"/>
        </w:rPr>
      </w:pPr>
    </w:p>
    <w:p w:rsidR="007C5447" w:rsidRDefault="00F6308C">
      <w:pPr>
        <w:pStyle w:val="Heading2"/>
        <w:spacing w:before="1" w:after="8" w:line="312" w:lineRule="auto"/>
        <w:ind w:left="3257" w:right="610" w:hanging="2603"/>
      </w:pPr>
      <w:r>
        <w:t>Table 4-27: Approved Other Income and Non-Tariff Income for</w:t>
      </w:r>
      <w:r>
        <w:t xml:space="preserve"> the Control Period from FY 2016-17 to FY 2018-19 (Rs. Crore)</w:t>
      </w:r>
    </w:p>
    <w:tbl>
      <w:tblPr>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1292"/>
        <w:gridCol w:w="1289"/>
        <w:gridCol w:w="1292"/>
        <w:gridCol w:w="1289"/>
        <w:gridCol w:w="1292"/>
        <w:gridCol w:w="1289"/>
      </w:tblGrid>
      <w:tr w:rsidR="007C5447">
        <w:trPr>
          <w:trHeight w:val="321"/>
        </w:trPr>
        <w:tc>
          <w:tcPr>
            <w:tcW w:w="1980" w:type="dxa"/>
            <w:vMerge w:val="restart"/>
            <w:shd w:val="clear" w:color="auto" w:fill="FBD4B4"/>
          </w:tcPr>
          <w:p w:rsidR="007C5447" w:rsidRDefault="007C5447">
            <w:pPr>
              <w:pStyle w:val="TableParagraph"/>
              <w:spacing w:before="4"/>
              <w:jc w:val="left"/>
              <w:rPr>
                <w:b/>
                <w:sz w:val="26"/>
              </w:rPr>
            </w:pPr>
          </w:p>
          <w:p w:rsidR="007C5447" w:rsidRDefault="00F6308C">
            <w:pPr>
              <w:pStyle w:val="TableParagraph"/>
              <w:ind w:left="463"/>
              <w:jc w:val="left"/>
              <w:rPr>
                <w:b/>
              </w:rPr>
            </w:pPr>
            <w:r>
              <w:rPr>
                <w:b/>
              </w:rPr>
              <w:t>Particulars</w:t>
            </w:r>
          </w:p>
        </w:tc>
        <w:tc>
          <w:tcPr>
            <w:tcW w:w="3873" w:type="dxa"/>
            <w:gridSpan w:val="3"/>
            <w:shd w:val="clear" w:color="auto" w:fill="FBD4B4"/>
          </w:tcPr>
          <w:p w:rsidR="007C5447" w:rsidRDefault="00F6308C">
            <w:pPr>
              <w:pStyle w:val="TableParagraph"/>
              <w:spacing w:before="5"/>
              <w:ind w:left="1276" w:right="1274"/>
              <w:jc w:val="center"/>
              <w:rPr>
                <w:b/>
              </w:rPr>
            </w:pPr>
            <w:r>
              <w:rPr>
                <w:b/>
              </w:rPr>
              <w:t>TANGEDCO</w:t>
            </w:r>
          </w:p>
        </w:tc>
        <w:tc>
          <w:tcPr>
            <w:tcW w:w="3870" w:type="dxa"/>
            <w:gridSpan w:val="3"/>
            <w:shd w:val="clear" w:color="auto" w:fill="FBD4B4"/>
          </w:tcPr>
          <w:p w:rsidR="007C5447" w:rsidRDefault="00F6308C">
            <w:pPr>
              <w:pStyle w:val="TableParagraph"/>
              <w:spacing w:before="5"/>
              <w:ind w:left="1333" w:right="1325"/>
              <w:jc w:val="center"/>
              <w:rPr>
                <w:b/>
              </w:rPr>
            </w:pPr>
            <w:r>
              <w:rPr>
                <w:b/>
              </w:rPr>
              <w:t>Commission</w:t>
            </w:r>
          </w:p>
        </w:tc>
      </w:tr>
      <w:tr w:rsidR="007C5447">
        <w:trPr>
          <w:trHeight w:val="537"/>
        </w:trPr>
        <w:tc>
          <w:tcPr>
            <w:tcW w:w="1980" w:type="dxa"/>
            <w:vMerge/>
            <w:tcBorders>
              <w:top w:val="nil"/>
            </w:tcBorders>
            <w:shd w:val="clear" w:color="auto" w:fill="FBD4B4"/>
          </w:tcPr>
          <w:p w:rsidR="007C5447" w:rsidRDefault="007C5447">
            <w:pPr>
              <w:rPr>
                <w:sz w:val="2"/>
                <w:szCs w:val="2"/>
              </w:rPr>
            </w:pPr>
          </w:p>
        </w:tc>
        <w:tc>
          <w:tcPr>
            <w:tcW w:w="1292" w:type="dxa"/>
            <w:shd w:val="clear" w:color="auto" w:fill="F7C9AC"/>
          </w:tcPr>
          <w:p w:rsidR="007C5447" w:rsidRDefault="00F6308C">
            <w:pPr>
              <w:pStyle w:val="TableParagraph"/>
              <w:spacing w:before="15" w:line="252" w:lineRule="exact"/>
              <w:ind w:left="193" w:right="185"/>
              <w:jc w:val="center"/>
              <w:rPr>
                <w:b/>
              </w:rPr>
            </w:pPr>
            <w:r>
              <w:rPr>
                <w:b/>
              </w:rPr>
              <w:t>FY 2016-</w:t>
            </w:r>
          </w:p>
          <w:p w:rsidR="007C5447" w:rsidRDefault="00F6308C">
            <w:pPr>
              <w:pStyle w:val="TableParagraph"/>
              <w:spacing w:line="250" w:lineRule="exact"/>
              <w:ind w:left="191" w:right="186"/>
              <w:jc w:val="center"/>
              <w:rPr>
                <w:b/>
              </w:rPr>
            </w:pPr>
            <w:r>
              <w:rPr>
                <w:b/>
              </w:rPr>
              <w:t>17</w:t>
            </w:r>
          </w:p>
        </w:tc>
        <w:tc>
          <w:tcPr>
            <w:tcW w:w="1289" w:type="dxa"/>
            <w:shd w:val="clear" w:color="auto" w:fill="F7C9AC"/>
          </w:tcPr>
          <w:p w:rsidR="007C5447" w:rsidRDefault="00F6308C">
            <w:pPr>
              <w:pStyle w:val="TableParagraph"/>
              <w:spacing w:before="15" w:line="252" w:lineRule="exact"/>
              <w:ind w:left="192" w:right="182"/>
              <w:jc w:val="center"/>
              <w:rPr>
                <w:b/>
              </w:rPr>
            </w:pPr>
            <w:r>
              <w:rPr>
                <w:b/>
              </w:rPr>
              <w:t>FY 2017-</w:t>
            </w:r>
          </w:p>
          <w:p w:rsidR="007C5447" w:rsidRDefault="00F6308C">
            <w:pPr>
              <w:pStyle w:val="TableParagraph"/>
              <w:spacing w:line="250" w:lineRule="exact"/>
              <w:ind w:left="189" w:right="183"/>
              <w:jc w:val="center"/>
              <w:rPr>
                <w:b/>
              </w:rPr>
            </w:pPr>
            <w:r>
              <w:rPr>
                <w:b/>
              </w:rPr>
              <w:t>18</w:t>
            </w:r>
          </w:p>
        </w:tc>
        <w:tc>
          <w:tcPr>
            <w:tcW w:w="1292" w:type="dxa"/>
            <w:shd w:val="clear" w:color="auto" w:fill="F7C9AC"/>
          </w:tcPr>
          <w:p w:rsidR="007C5447" w:rsidRDefault="00F6308C">
            <w:pPr>
              <w:pStyle w:val="TableParagraph"/>
              <w:spacing w:before="15" w:line="252" w:lineRule="exact"/>
              <w:ind w:left="193" w:right="186"/>
              <w:jc w:val="center"/>
              <w:rPr>
                <w:b/>
              </w:rPr>
            </w:pPr>
            <w:r>
              <w:rPr>
                <w:b/>
              </w:rPr>
              <w:t>FY 2018-</w:t>
            </w:r>
          </w:p>
          <w:p w:rsidR="007C5447" w:rsidRDefault="00F6308C">
            <w:pPr>
              <w:pStyle w:val="TableParagraph"/>
              <w:spacing w:line="250" w:lineRule="exact"/>
              <w:ind w:left="189" w:right="186"/>
              <w:jc w:val="center"/>
              <w:rPr>
                <w:b/>
              </w:rPr>
            </w:pPr>
            <w:r>
              <w:rPr>
                <w:b/>
              </w:rPr>
              <w:t>19</w:t>
            </w:r>
          </w:p>
        </w:tc>
        <w:tc>
          <w:tcPr>
            <w:tcW w:w="1289" w:type="dxa"/>
            <w:shd w:val="clear" w:color="auto" w:fill="F7C9AC"/>
          </w:tcPr>
          <w:p w:rsidR="007C5447" w:rsidRDefault="00F6308C">
            <w:pPr>
              <w:pStyle w:val="TableParagraph"/>
              <w:spacing w:before="15" w:line="252" w:lineRule="exact"/>
              <w:ind w:left="192" w:right="183"/>
              <w:jc w:val="center"/>
              <w:rPr>
                <w:b/>
              </w:rPr>
            </w:pPr>
            <w:r>
              <w:rPr>
                <w:b/>
              </w:rPr>
              <w:t>FY 2016-</w:t>
            </w:r>
          </w:p>
          <w:p w:rsidR="007C5447" w:rsidRDefault="00F6308C">
            <w:pPr>
              <w:pStyle w:val="TableParagraph"/>
              <w:spacing w:line="250" w:lineRule="exact"/>
              <w:ind w:left="188" w:right="183"/>
              <w:jc w:val="center"/>
              <w:rPr>
                <w:b/>
              </w:rPr>
            </w:pPr>
            <w:r>
              <w:rPr>
                <w:b/>
              </w:rPr>
              <w:t>17</w:t>
            </w:r>
          </w:p>
        </w:tc>
        <w:tc>
          <w:tcPr>
            <w:tcW w:w="1292" w:type="dxa"/>
            <w:shd w:val="clear" w:color="auto" w:fill="F7C9AC"/>
          </w:tcPr>
          <w:p w:rsidR="007C5447" w:rsidRDefault="00F6308C">
            <w:pPr>
              <w:pStyle w:val="TableParagraph"/>
              <w:spacing w:before="15" w:line="252" w:lineRule="exact"/>
              <w:ind w:left="192" w:right="186"/>
              <w:jc w:val="center"/>
              <w:rPr>
                <w:b/>
              </w:rPr>
            </w:pPr>
            <w:r>
              <w:rPr>
                <w:b/>
              </w:rPr>
              <w:t>FY 2017-</w:t>
            </w:r>
          </w:p>
          <w:p w:rsidR="007C5447" w:rsidRDefault="00F6308C">
            <w:pPr>
              <w:pStyle w:val="TableParagraph"/>
              <w:spacing w:line="250" w:lineRule="exact"/>
              <w:ind w:left="189" w:right="186"/>
              <w:jc w:val="center"/>
              <w:rPr>
                <w:b/>
              </w:rPr>
            </w:pPr>
            <w:r>
              <w:rPr>
                <w:b/>
              </w:rPr>
              <w:t>18</w:t>
            </w:r>
          </w:p>
        </w:tc>
        <w:tc>
          <w:tcPr>
            <w:tcW w:w="1289" w:type="dxa"/>
            <w:shd w:val="clear" w:color="auto" w:fill="F7C9AC"/>
          </w:tcPr>
          <w:p w:rsidR="007C5447" w:rsidRDefault="00F6308C">
            <w:pPr>
              <w:pStyle w:val="TableParagraph"/>
              <w:spacing w:before="15" w:line="252" w:lineRule="exact"/>
              <w:ind w:left="191" w:right="183"/>
              <w:jc w:val="center"/>
              <w:rPr>
                <w:b/>
              </w:rPr>
            </w:pPr>
            <w:r>
              <w:rPr>
                <w:b/>
              </w:rPr>
              <w:t>FY 2018-</w:t>
            </w:r>
          </w:p>
          <w:p w:rsidR="007C5447" w:rsidRDefault="00F6308C">
            <w:pPr>
              <w:pStyle w:val="TableParagraph"/>
              <w:spacing w:line="250" w:lineRule="exact"/>
              <w:ind w:left="187" w:right="183"/>
              <w:jc w:val="center"/>
              <w:rPr>
                <w:b/>
              </w:rPr>
            </w:pPr>
            <w:r>
              <w:rPr>
                <w:b/>
              </w:rPr>
              <w:t>19</w:t>
            </w:r>
          </w:p>
        </w:tc>
      </w:tr>
      <w:tr w:rsidR="007C5447">
        <w:trPr>
          <w:trHeight w:val="331"/>
        </w:trPr>
        <w:tc>
          <w:tcPr>
            <w:tcW w:w="1980" w:type="dxa"/>
          </w:tcPr>
          <w:p w:rsidR="007C5447" w:rsidRDefault="00F6308C">
            <w:pPr>
              <w:pStyle w:val="TableParagraph"/>
              <w:spacing w:before="61" w:line="250" w:lineRule="exact"/>
              <w:ind w:left="107"/>
              <w:jc w:val="left"/>
            </w:pPr>
            <w:r>
              <w:t>Non-Tariff Income</w:t>
            </w:r>
          </w:p>
        </w:tc>
        <w:tc>
          <w:tcPr>
            <w:tcW w:w="1292" w:type="dxa"/>
          </w:tcPr>
          <w:p w:rsidR="007C5447" w:rsidRDefault="00F6308C">
            <w:pPr>
              <w:pStyle w:val="TableParagraph"/>
              <w:spacing w:before="37"/>
              <w:ind w:right="139"/>
            </w:pPr>
            <w:r>
              <w:t>780.86</w:t>
            </w:r>
          </w:p>
        </w:tc>
        <w:tc>
          <w:tcPr>
            <w:tcW w:w="1289" w:type="dxa"/>
          </w:tcPr>
          <w:p w:rsidR="007C5447" w:rsidRDefault="00F6308C">
            <w:pPr>
              <w:pStyle w:val="TableParagraph"/>
              <w:spacing w:before="37"/>
              <w:ind w:right="137"/>
            </w:pPr>
            <w:r>
              <w:t>952.65</w:t>
            </w:r>
          </w:p>
        </w:tc>
        <w:tc>
          <w:tcPr>
            <w:tcW w:w="1292" w:type="dxa"/>
          </w:tcPr>
          <w:p w:rsidR="007C5447" w:rsidRDefault="00F6308C">
            <w:pPr>
              <w:pStyle w:val="TableParagraph"/>
              <w:spacing w:before="37"/>
              <w:ind w:right="140"/>
            </w:pPr>
            <w:r>
              <w:t>971.70</w:t>
            </w:r>
          </w:p>
        </w:tc>
        <w:tc>
          <w:tcPr>
            <w:tcW w:w="1289" w:type="dxa"/>
          </w:tcPr>
          <w:p w:rsidR="007C5447" w:rsidRDefault="00F6308C">
            <w:pPr>
              <w:pStyle w:val="TableParagraph"/>
              <w:spacing w:before="37"/>
              <w:ind w:right="138"/>
            </w:pPr>
            <w:r>
              <w:t>851.20</w:t>
            </w:r>
          </w:p>
        </w:tc>
        <w:tc>
          <w:tcPr>
            <w:tcW w:w="1292" w:type="dxa"/>
          </w:tcPr>
          <w:p w:rsidR="007C5447" w:rsidRDefault="00F6308C">
            <w:pPr>
              <w:pStyle w:val="TableParagraph"/>
              <w:spacing w:before="37"/>
              <w:ind w:right="140"/>
            </w:pPr>
            <w:r>
              <w:t>927.88</w:t>
            </w:r>
          </w:p>
        </w:tc>
        <w:tc>
          <w:tcPr>
            <w:tcW w:w="1289" w:type="dxa"/>
          </w:tcPr>
          <w:p w:rsidR="007C5447" w:rsidRDefault="00F6308C">
            <w:pPr>
              <w:pStyle w:val="TableParagraph"/>
              <w:spacing w:before="37"/>
              <w:ind w:right="138"/>
            </w:pPr>
            <w:r>
              <w:t>1,011.47</w:t>
            </w:r>
          </w:p>
        </w:tc>
      </w:tr>
      <w:tr w:rsidR="007C5447">
        <w:trPr>
          <w:trHeight w:val="328"/>
        </w:trPr>
        <w:tc>
          <w:tcPr>
            <w:tcW w:w="1980" w:type="dxa"/>
          </w:tcPr>
          <w:p w:rsidR="007C5447" w:rsidRDefault="00F6308C">
            <w:pPr>
              <w:pStyle w:val="TableParagraph"/>
              <w:spacing w:before="61" w:line="248" w:lineRule="exact"/>
              <w:ind w:left="107"/>
              <w:jc w:val="left"/>
            </w:pPr>
            <w:r>
              <w:t>Other Income</w:t>
            </w:r>
          </w:p>
        </w:tc>
        <w:tc>
          <w:tcPr>
            <w:tcW w:w="1292" w:type="dxa"/>
          </w:tcPr>
          <w:p w:rsidR="007C5447" w:rsidRDefault="00F6308C">
            <w:pPr>
              <w:pStyle w:val="TableParagraph"/>
              <w:spacing w:before="37"/>
              <w:ind w:right="139"/>
            </w:pPr>
            <w:r>
              <w:t>591.80</w:t>
            </w:r>
          </w:p>
        </w:tc>
        <w:tc>
          <w:tcPr>
            <w:tcW w:w="1289" w:type="dxa"/>
          </w:tcPr>
          <w:p w:rsidR="007C5447" w:rsidRDefault="00F6308C">
            <w:pPr>
              <w:pStyle w:val="TableParagraph"/>
              <w:spacing w:before="37"/>
              <w:ind w:right="137"/>
            </w:pPr>
            <w:r>
              <w:t>731.24</w:t>
            </w:r>
          </w:p>
        </w:tc>
        <w:tc>
          <w:tcPr>
            <w:tcW w:w="1292" w:type="dxa"/>
          </w:tcPr>
          <w:p w:rsidR="007C5447" w:rsidRDefault="00F6308C">
            <w:pPr>
              <w:pStyle w:val="TableParagraph"/>
              <w:spacing w:before="37"/>
              <w:ind w:right="140"/>
            </w:pPr>
            <w:r>
              <w:t>848.62</w:t>
            </w:r>
          </w:p>
        </w:tc>
        <w:tc>
          <w:tcPr>
            <w:tcW w:w="1289" w:type="dxa"/>
          </w:tcPr>
          <w:p w:rsidR="007C5447" w:rsidRDefault="00F6308C">
            <w:pPr>
              <w:pStyle w:val="TableParagraph"/>
              <w:spacing w:before="37"/>
              <w:ind w:right="138"/>
            </w:pPr>
            <w:r>
              <w:t>574.59</w:t>
            </w:r>
          </w:p>
        </w:tc>
        <w:tc>
          <w:tcPr>
            <w:tcW w:w="1292" w:type="dxa"/>
          </w:tcPr>
          <w:p w:rsidR="007C5447" w:rsidRDefault="00F6308C">
            <w:pPr>
              <w:pStyle w:val="TableParagraph"/>
              <w:spacing w:before="37"/>
              <w:ind w:right="140"/>
            </w:pPr>
            <w:r>
              <w:t>667.59</w:t>
            </w:r>
          </w:p>
        </w:tc>
        <w:tc>
          <w:tcPr>
            <w:tcW w:w="1289" w:type="dxa"/>
          </w:tcPr>
          <w:p w:rsidR="007C5447" w:rsidRDefault="00F6308C">
            <w:pPr>
              <w:pStyle w:val="TableParagraph"/>
              <w:spacing w:before="37"/>
              <w:ind w:right="138"/>
            </w:pPr>
            <w:r>
              <w:t>775.65</w:t>
            </w:r>
          </w:p>
        </w:tc>
      </w:tr>
      <w:tr w:rsidR="007C5447">
        <w:trPr>
          <w:trHeight w:val="330"/>
        </w:trPr>
        <w:tc>
          <w:tcPr>
            <w:tcW w:w="1980" w:type="dxa"/>
          </w:tcPr>
          <w:p w:rsidR="007C5447" w:rsidRDefault="00F6308C">
            <w:pPr>
              <w:pStyle w:val="TableParagraph"/>
              <w:spacing w:before="61" w:line="250" w:lineRule="exact"/>
              <w:ind w:left="107"/>
              <w:jc w:val="left"/>
              <w:rPr>
                <w:b/>
              </w:rPr>
            </w:pPr>
            <w:r>
              <w:rPr>
                <w:b/>
              </w:rPr>
              <w:t>Total</w:t>
            </w:r>
          </w:p>
        </w:tc>
        <w:tc>
          <w:tcPr>
            <w:tcW w:w="1292" w:type="dxa"/>
          </w:tcPr>
          <w:p w:rsidR="007C5447" w:rsidRDefault="00F6308C">
            <w:pPr>
              <w:pStyle w:val="TableParagraph"/>
              <w:spacing w:before="37"/>
              <w:ind w:right="96"/>
              <w:rPr>
                <w:b/>
              </w:rPr>
            </w:pPr>
            <w:r>
              <w:rPr>
                <w:b/>
              </w:rPr>
              <w:t>1,372.66</w:t>
            </w:r>
          </w:p>
        </w:tc>
        <w:tc>
          <w:tcPr>
            <w:tcW w:w="1289" w:type="dxa"/>
          </w:tcPr>
          <w:p w:rsidR="007C5447" w:rsidRDefault="00F6308C">
            <w:pPr>
              <w:pStyle w:val="TableParagraph"/>
              <w:spacing w:before="37"/>
              <w:ind w:right="94"/>
              <w:rPr>
                <w:b/>
              </w:rPr>
            </w:pPr>
            <w:r>
              <w:rPr>
                <w:b/>
              </w:rPr>
              <w:t>1,683.89</w:t>
            </w:r>
          </w:p>
        </w:tc>
        <w:tc>
          <w:tcPr>
            <w:tcW w:w="1292" w:type="dxa"/>
          </w:tcPr>
          <w:p w:rsidR="007C5447" w:rsidRDefault="00F6308C">
            <w:pPr>
              <w:pStyle w:val="TableParagraph"/>
              <w:spacing w:before="37"/>
              <w:ind w:right="97"/>
              <w:rPr>
                <w:b/>
              </w:rPr>
            </w:pPr>
            <w:r>
              <w:rPr>
                <w:b/>
              </w:rPr>
              <w:t>1,820.32</w:t>
            </w:r>
          </w:p>
        </w:tc>
        <w:tc>
          <w:tcPr>
            <w:tcW w:w="1289" w:type="dxa"/>
          </w:tcPr>
          <w:p w:rsidR="007C5447" w:rsidRDefault="00F6308C">
            <w:pPr>
              <w:pStyle w:val="TableParagraph"/>
              <w:spacing w:before="37"/>
              <w:ind w:right="94"/>
              <w:rPr>
                <w:b/>
              </w:rPr>
            </w:pPr>
            <w:r>
              <w:rPr>
                <w:b/>
              </w:rPr>
              <w:t>1,425.79</w:t>
            </w:r>
          </w:p>
        </w:tc>
        <w:tc>
          <w:tcPr>
            <w:tcW w:w="1292" w:type="dxa"/>
          </w:tcPr>
          <w:p w:rsidR="007C5447" w:rsidRDefault="00F6308C">
            <w:pPr>
              <w:pStyle w:val="TableParagraph"/>
              <w:spacing w:before="37"/>
              <w:ind w:right="97"/>
              <w:rPr>
                <w:b/>
              </w:rPr>
            </w:pPr>
            <w:r>
              <w:rPr>
                <w:b/>
              </w:rPr>
              <w:t>1,595.48</w:t>
            </w:r>
          </w:p>
        </w:tc>
        <w:tc>
          <w:tcPr>
            <w:tcW w:w="1289" w:type="dxa"/>
          </w:tcPr>
          <w:p w:rsidR="007C5447" w:rsidRDefault="00F6308C">
            <w:pPr>
              <w:pStyle w:val="TableParagraph"/>
              <w:spacing w:before="37"/>
              <w:ind w:right="95"/>
              <w:rPr>
                <w:b/>
              </w:rPr>
            </w:pPr>
            <w:r>
              <w:rPr>
                <w:b/>
              </w:rPr>
              <w:t>1,787.13</w:t>
            </w:r>
          </w:p>
        </w:tc>
      </w:tr>
    </w:tbl>
    <w:p w:rsidR="007C5447" w:rsidRDefault="007C5447">
      <w:pPr>
        <w:pStyle w:val="BodyText"/>
        <w:rPr>
          <w:b/>
          <w:sz w:val="26"/>
        </w:rPr>
      </w:pPr>
    </w:p>
    <w:p w:rsidR="007C5447" w:rsidRDefault="007C5447">
      <w:pPr>
        <w:pStyle w:val="BodyText"/>
        <w:rPr>
          <w:b/>
          <w:sz w:val="26"/>
        </w:rPr>
      </w:pPr>
    </w:p>
    <w:p w:rsidR="007C5447" w:rsidRDefault="007C5447">
      <w:pPr>
        <w:pStyle w:val="BodyText"/>
        <w:spacing w:before="11"/>
        <w:rPr>
          <w:b/>
          <w:sz w:val="20"/>
        </w:rPr>
      </w:pPr>
    </w:p>
    <w:p w:rsidR="007C5447" w:rsidRDefault="00F6308C">
      <w:pPr>
        <w:pStyle w:val="Heading2"/>
        <w:numPr>
          <w:ilvl w:val="1"/>
          <w:numId w:val="114"/>
        </w:numPr>
        <w:tabs>
          <w:tab w:val="left" w:pos="1107"/>
        </w:tabs>
        <w:ind w:left="1106"/>
      </w:pPr>
      <w:bookmarkStart w:id="69" w:name="_bookmark69"/>
      <w:bookmarkEnd w:id="69"/>
      <w:r>
        <w:t>Summary of Fixed</w:t>
      </w:r>
      <w:r>
        <w:rPr>
          <w:spacing w:val="2"/>
        </w:rPr>
        <w:t xml:space="preserve"> </w:t>
      </w:r>
      <w:r>
        <w:t>Expenses</w:t>
      </w:r>
    </w:p>
    <w:p w:rsidR="007C5447" w:rsidRDefault="007C5447">
      <w:pPr>
        <w:pStyle w:val="BodyText"/>
        <w:spacing w:before="11"/>
        <w:rPr>
          <w:b/>
          <w:sz w:val="27"/>
        </w:rPr>
      </w:pPr>
    </w:p>
    <w:p w:rsidR="007C5447" w:rsidRDefault="00F6308C">
      <w:pPr>
        <w:pStyle w:val="ListParagraph"/>
        <w:numPr>
          <w:ilvl w:val="2"/>
          <w:numId w:val="114"/>
        </w:numPr>
        <w:tabs>
          <w:tab w:val="left" w:pos="1393"/>
        </w:tabs>
        <w:spacing w:line="312" w:lineRule="auto"/>
        <w:ind w:left="1392" w:right="517" w:hanging="852"/>
        <w:jc w:val="both"/>
        <w:rPr>
          <w:sz w:val="24"/>
        </w:rPr>
      </w:pPr>
      <w:r>
        <w:rPr>
          <w:sz w:val="24"/>
        </w:rPr>
        <w:t>Based on above submission, summary of Fixed Cost for the Control Period from FY 2016-17 to FY 2018-19 as submitted by TANGEDCO is shown in the Table</w:t>
      </w:r>
      <w:r>
        <w:rPr>
          <w:spacing w:val="-11"/>
          <w:sz w:val="24"/>
        </w:rPr>
        <w:t xml:space="preserve"> </w:t>
      </w:r>
      <w:r>
        <w:rPr>
          <w:sz w:val="24"/>
        </w:rPr>
        <w:t>below:</w:t>
      </w:r>
    </w:p>
    <w:p w:rsidR="007C5447" w:rsidRDefault="007C5447">
      <w:pPr>
        <w:spacing w:line="312" w:lineRule="auto"/>
        <w:jc w:val="both"/>
        <w:rPr>
          <w:sz w:val="24"/>
        </w:rPr>
        <w:sectPr w:rsidR="007C5447">
          <w:pgSz w:w="11910" w:h="16840"/>
          <w:pgMar w:top="1580" w:right="620" w:bottom="1240" w:left="900" w:header="0" w:footer="1057" w:gutter="0"/>
          <w:cols w:space="720"/>
        </w:sectPr>
      </w:pPr>
    </w:p>
    <w:p w:rsidR="007C5447" w:rsidRDefault="007C5447">
      <w:pPr>
        <w:pStyle w:val="BodyText"/>
        <w:rPr>
          <w:sz w:val="20"/>
        </w:rPr>
      </w:pPr>
    </w:p>
    <w:p w:rsidR="007C5447" w:rsidRDefault="007C5447">
      <w:pPr>
        <w:pStyle w:val="BodyText"/>
        <w:rPr>
          <w:sz w:val="22"/>
        </w:rPr>
      </w:pPr>
    </w:p>
    <w:p w:rsidR="007C5447" w:rsidRDefault="00F6308C">
      <w:pPr>
        <w:spacing w:before="92"/>
        <w:ind w:left="3796" w:right="4012"/>
        <w:jc w:val="center"/>
        <w:rPr>
          <w:b/>
        </w:rPr>
      </w:pPr>
      <w:r>
        <w:rPr>
          <w:b/>
        </w:rPr>
        <w:t>Table 4-28: Fixed Cost summary for FY 2016-17 as submitted by TANGEDCO (Rs. Crore)</w:t>
      </w:r>
    </w:p>
    <w:p w:rsidR="007C5447" w:rsidRDefault="007C5447">
      <w:pPr>
        <w:pStyle w:val="BodyText"/>
        <w:spacing w:before="10" w:after="1"/>
        <w:rPr>
          <w:b/>
          <w:sz w:val="16"/>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1985"/>
        <w:gridCol w:w="1274"/>
        <w:gridCol w:w="1277"/>
        <w:gridCol w:w="991"/>
        <w:gridCol w:w="1135"/>
        <w:gridCol w:w="1277"/>
        <w:gridCol w:w="1133"/>
        <w:gridCol w:w="1277"/>
        <w:gridCol w:w="1134"/>
        <w:gridCol w:w="1136"/>
        <w:gridCol w:w="1275"/>
        <w:gridCol w:w="1542"/>
      </w:tblGrid>
      <w:tr w:rsidR="007C5447">
        <w:trPr>
          <w:trHeight w:val="455"/>
        </w:trPr>
        <w:tc>
          <w:tcPr>
            <w:tcW w:w="710" w:type="dxa"/>
            <w:vMerge w:val="restart"/>
            <w:shd w:val="clear" w:color="auto" w:fill="FBD4B4"/>
          </w:tcPr>
          <w:p w:rsidR="007C5447" w:rsidRDefault="007C5447">
            <w:pPr>
              <w:pStyle w:val="TableParagraph"/>
              <w:jc w:val="left"/>
              <w:rPr>
                <w:b/>
                <w:sz w:val="20"/>
              </w:rPr>
            </w:pPr>
          </w:p>
          <w:p w:rsidR="007C5447" w:rsidRDefault="007C5447">
            <w:pPr>
              <w:pStyle w:val="TableParagraph"/>
              <w:spacing w:before="5"/>
              <w:jc w:val="left"/>
              <w:rPr>
                <w:b/>
                <w:sz w:val="21"/>
              </w:rPr>
            </w:pPr>
          </w:p>
          <w:p w:rsidR="007C5447" w:rsidRDefault="00F6308C">
            <w:pPr>
              <w:pStyle w:val="TableParagraph"/>
              <w:spacing w:before="1"/>
              <w:ind w:left="236" w:right="228"/>
              <w:jc w:val="center"/>
              <w:rPr>
                <w:b/>
                <w:sz w:val="18"/>
              </w:rPr>
            </w:pPr>
            <w:r>
              <w:rPr>
                <w:b/>
                <w:sz w:val="18"/>
              </w:rPr>
              <w:t>Sl.</w:t>
            </w:r>
          </w:p>
        </w:tc>
        <w:tc>
          <w:tcPr>
            <w:tcW w:w="1985" w:type="dxa"/>
            <w:vMerge w:val="restart"/>
            <w:shd w:val="clear" w:color="auto" w:fill="FBD4B4"/>
          </w:tcPr>
          <w:p w:rsidR="007C5447" w:rsidRDefault="007C5447">
            <w:pPr>
              <w:pStyle w:val="TableParagraph"/>
              <w:jc w:val="left"/>
              <w:rPr>
                <w:b/>
                <w:sz w:val="20"/>
              </w:rPr>
            </w:pPr>
          </w:p>
          <w:p w:rsidR="007C5447" w:rsidRDefault="007C5447">
            <w:pPr>
              <w:pStyle w:val="TableParagraph"/>
              <w:spacing w:before="5"/>
              <w:jc w:val="left"/>
              <w:rPr>
                <w:b/>
                <w:sz w:val="21"/>
              </w:rPr>
            </w:pPr>
          </w:p>
          <w:p w:rsidR="007C5447" w:rsidRDefault="00F6308C">
            <w:pPr>
              <w:pStyle w:val="TableParagraph"/>
              <w:spacing w:before="1"/>
              <w:ind w:left="449"/>
              <w:jc w:val="left"/>
              <w:rPr>
                <w:b/>
                <w:sz w:val="18"/>
              </w:rPr>
            </w:pPr>
            <w:r>
              <w:rPr>
                <w:b/>
                <w:sz w:val="18"/>
              </w:rPr>
              <w:t>Power Station</w:t>
            </w:r>
          </w:p>
        </w:tc>
        <w:tc>
          <w:tcPr>
            <w:tcW w:w="13451" w:type="dxa"/>
            <w:gridSpan w:val="11"/>
            <w:shd w:val="clear" w:color="auto" w:fill="FBD4B4"/>
          </w:tcPr>
          <w:p w:rsidR="007C5447" w:rsidRDefault="00F6308C">
            <w:pPr>
              <w:pStyle w:val="TableParagraph"/>
              <w:spacing w:before="124"/>
              <w:ind w:left="6263" w:right="6252"/>
              <w:jc w:val="center"/>
              <w:rPr>
                <w:b/>
                <w:sz w:val="18"/>
              </w:rPr>
            </w:pPr>
            <w:r>
              <w:rPr>
                <w:b/>
                <w:sz w:val="18"/>
              </w:rPr>
              <w:t>FY 2016-17</w:t>
            </w:r>
          </w:p>
        </w:tc>
      </w:tr>
      <w:tr w:rsidR="007C5447">
        <w:trPr>
          <w:trHeight w:val="695"/>
        </w:trPr>
        <w:tc>
          <w:tcPr>
            <w:tcW w:w="710" w:type="dxa"/>
            <w:vMerge/>
            <w:tcBorders>
              <w:top w:val="nil"/>
            </w:tcBorders>
            <w:shd w:val="clear" w:color="auto" w:fill="FBD4B4"/>
          </w:tcPr>
          <w:p w:rsidR="007C5447" w:rsidRDefault="007C5447">
            <w:pPr>
              <w:rPr>
                <w:sz w:val="2"/>
                <w:szCs w:val="2"/>
              </w:rPr>
            </w:pPr>
          </w:p>
        </w:tc>
        <w:tc>
          <w:tcPr>
            <w:tcW w:w="1985" w:type="dxa"/>
            <w:vMerge/>
            <w:tcBorders>
              <w:top w:val="nil"/>
            </w:tcBorders>
            <w:shd w:val="clear" w:color="auto" w:fill="FBD4B4"/>
          </w:tcPr>
          <w:p w:rsidR="007C5447" w:rsidRDefault="007C5447">
            <w:pPr>
              <w:rPr>
                <w:sz w:val="2"/>
                <w:szCs w:val="2"/>
              </w:rPr>
            </w:pPr>
          </w:p>
        </w:tc>
        <w:tc>
          <w:tcPr>
            <w:tcW w:w="1274" w:type="dxa"/>
            <w:shd w:val="clear" w:color="auto" w:fill="FBD4B4"/>
          </w:tcPr>
          <w:p w:rsidR="007C5447" w:rsidRDefault="007C5447">
            <w:pPr>
              <w:pStyle w:val="TableParagraph"/>
              <w:spacing w:before="3"/>
              <w:jc w:val="left"/>
              <w:rPr>
                <w:b/>
                <w:sz w:val="21"/>
              </w:rPr>
            </w:pPr>
          </w:p>
          <w:p w:rsidR="007C5447" w:rsidRDefault="00F6308C">
            <w:pPr>
              <w:pStyle w:val="TableParagraph"/>
              <w:ind w:right="130"/>
              <w:rPr>
                <w:b/>
                <w:sz w:val="18"/>
              </w:rPr>
            </w:pPr>
            <w:r>
              <w:rPr>
                <w:b/>
                <w:sz w:val="18"/>
              </w:rPr>
              <w:t>Depreciation</w:t>
            </w:r>
          </w:p>
        </w:tc>
        <w:tc>
          <w:tcPr>
            <w:tcW w:w="1277" w:type="dxa"/>
            <w:shd w:val="clear" w:color="auto" w:fill="FBD4B4"/>
          </w:tcPr>
          <w:p w:rsidR="007C5447" w:rsidRDefault="007C5447">
            <w:pPr>
              <w:pStyle w:val="TableParagraph"/>
              <w:spacing w:before="3"/>
              <w:jc w:val="left"/>
              <w:rPr>
                <w:b/>
                <w:sz w:val="21"/>
              </w:rPr>
            </w:pPr>
          </w:p>
          <w:p w:rsidR="007C5447" w:rsidRDefault="00F6308C">
            <w:pPr>
              <w:pStyle w:val="TableParagraph"/>
              <w:ind w:left="408"/>
              <w:jc w:val="left"/>
              <w:rPr>
                <w:b/>
                <w:sz w:val="18"/>
              </w:rPr>
            </w:pPr>
            <w:r>
              <w:rPr>
                <w:b/>
                <w:sz w:val="18"/>
              </w:rPr>
              <w:t>I&amp;FC</w:t>
            </w:r>
          </w:p>
        </w:tc>
        <w:tc>
          <w:tcPr>
            <w:tcW w:w="991" w:type="dxa"/>
            <w:shd w:val="clear" w:color="auto" w:fill="FBD4B4"/>
          </w:tcPr>
          <w:p w:rsidR="007C5447" w:rsidRDefault="00F6308C">
            <w:pPr>
              <w:pStyle w:val="TableParagraph"/>
              <w:spacing w:before="139"/>
              <w:ind w:left="118" w:right="39" w:firstLine="103"/>
              <w:jc w:val="left"/>
              <w:rPr>
                <w:b/>
                <w:sz w:val="18"/>
              </w:rPr>
            </w:pPr>
            <w:r>
              <w:rPr>
                <w:b/>
                <w:sz w:val="18"/>
              </w:rPr>
              <w:t>Return on Equity</w:t>
            </w:r>
          </w:p>
        </w:tc>
        <w:tc>
          <w:tcPr>
            <w:tcW w:w="1135" w:type="dxa"/>
            <w:shd w:val="clear" w:color="auto" w:fill="FBD4B4"/>
          </w:tcPr>
          <w:p w:rsidR="007C5447" w:rsidRDefault="00F6308C">
            <w:pPr>
              <w:pStyle w:val="TableParagraph"/>
              <w:spacing w:before="35"/>
              <w:ind w:left="116" w:right="104"/>
              <w:jc w:val="center"/>
              <w:rPr>
                <w:b/>
                <w:sz w:val="18"/>
              </w:rPr>
            </w:pPr>
            <w:r>
              <w:rPr>
                <w:b/>
                <w:sz w:val="18"/>
              </w:rPr>
              <w:t>Interest on Working Capital</w:t>
            </w:r>
          </w:p>
        </w:tc>
        <w:tc>
          <w:tcPr>
            <w:tcW w:w="1277" w:type="dxa"/>
            <w:shd w:val="clear" w:color="auto" w:fill="FBD4B4"/>
          </w:tcPr>
          <w:p w:rsidR="007C5447" w:rsidRDefault="00F6308C">
            <w:pPr>
              <w:pStyle w:val="TableParagraph"/>
              <w:spacing w:before="139"/>
              <w:ind w:left="284" w:right="252" w:firstLine="79"/>
              <w:jc w:val="left"/>
              <w:rPr>
                <w:b/>
                <w:sz w:val="18"/>
              </w:rPr>
            </w:pPr>
            <w:r>
              <w:rPr>
                <w:b/>
                <w:sz w:val="18"/>
              </w:rPr>
              <w:t>O &amp; M Expenses</w:t>
            </w:r>
          </w:p>
        </w:tc>
        <w:tc>
          <w:tcPr>
            <w:tcW w:w="1133" w:type="dxa"/>
            <w:shd w:val="clear" w:color="auto" w:fill="FBD4B4"/>
          </w:tcPr>
          <w:p w:rsidR="007C5447" w:rsidRDefault="00F6308C">
            <w:pPr>
              <w:pStyle w:val="TableParagraph"/>
              <w:spacing w:before="139"/>
              <w:ind w:left="323" w:right="290" w:firstLine="14"/>
              <w:jc w:val="left"/>
              <w:rPr>
                <w:b/>
                <w:sz w:val="18"/>
              </w:rPr>
            </w:pPr>
            <w:r>
              <w:rPr>
                <w:b/>
                <w:sz w:val="18"/>
              </w:rPr>
              <w:t>Other Debits</w:t>
            </w:r>
          </w:p>
        </w:tc>
        <w:tc>
          <w:tcPr>
            <w:tcW w:w="1277" w:type="dxa"/>
            <w:shd w:val="clear" w:color="auto" w:fill="FBD4B4"/>
          </w:tcPr>
          <w:p w:rsidR="007C5447" w:rsidRDefault="00F6308C">
            <w:pPr>
              <w:pStyle w:val="TableParagraph"/>
              <w:spacing w:before="35"/>
              <w:ind w:left="134" w:right="121"/>
              <w:jc w:val="center"/>
              <w:rPr>
                <w:b/>
                <w:sz w:val="18"/>
              </w:rPr>
            </w:pPr>
            <w:r>
              <w:rPr>
                <w:b/>
                <w:sz w:val="18"/>
              </w:rPr>
              <w:t>Op. Charges and Extra Ordinary</w:t>
            </w:r>
          </w:p>
        </w:tc>
        <w:tc>
          <w:tcPr>
            <w:tcW w:w="1134" w:type="dxa"/>
            <w:shd w:val="clear" w:color="auto" w:fill="FBD4B4"/>
          </w:tcPr>
          <w:p w:rsidR="007C5447" w:rsidRDefault="00F6308C">
            <w:pPr>
              <w:pStyle w:val="TableParagraph"/>
              <w:spacing w:before="139"/>
              <w:ind w:left="282" w:right="177" w:firstLine="55"/>
              <w:jc w:val="left"/>
              <w:rPr>
                <w:b/>
                <w:sz w:val="18"/>
              </w:rPr>
            </w:pPr>
            <w:r>
              <w:rPr>
                <w:b/>
                <w:sz w:val="18"/>
              </w:rPr>
              <w:t>Other Income</w:t>
            </w:r>
          </w:p>
        </w:tc>
        <w:tc>
          <w:tcPr>
            <w:tcW w:w="1136" w:type="dxa"/>
            <w:shd w:val="clear" w:color="auto" w:fill="FBD4B4"/>
          </w:tcPr>
          <w:p w:rsidR="007C5447" w:rsidRDefault="00F6308C">
            <w:pPr>
              <w:pStyle w:val="TableParagraph"/>
              <w:spacing w:before="139"/>
              <w:ind w:left="281" w:right="120" w:hanging="135"/>
              <w:jc w:val="left"/>
              <w:rPr>
                <w:b/>
                <w:sz w:val="18"/>
              </w:rPr>
            </w:pPr>
            <w:r>
              <w:rPr>
                <w:b/>
                <w:sz w:val="18"/>
              </w:rPr>
              <w:t>Non-Tariff Income</w:t>
            </w:r>
          </w:p>
        </w:tc>
        <w:tc>
          <w:tcPr>
            <w:tcW w:w="1275" w:type="dxa"/>
            <w:shd w:val="clear" w:color="auto" w:fill="FBD4B4"/>
          </w:tcPr>
          <w:p w:rsidR="007C5447" w:rsidRDefault="00F6308C">
            <w:pPr>
              <w:pStyle w:val="TableParagraph"/>
              <w:spacing w:before="35"/>
              <w:ind w:left="141" w:right="133" w:firstLine="3"/>
              <w:jc w:val="center"/>
              <w:rPr>
                <w:b/>
                <w:sz w:val="18"/>
              </w:rPr>
            </w:pPr>
            <w:r>
              <w:rPr>
                <w:b/>
                <w:sz w:val="18"/>
              </w:rPr>
              <w:t>Other Interest &amp; Fin. Charges</w:t>
            </w:r>
          </w:p>
        </w:tc>
        <w:tc>
          <w:tcPr>
            <w:tcW w:w="1542" w:type="dxa"/>
            <w:shd w:val="clear" w:color="auto" w:fill="FBD4B4"/>
          </w:tcPr>
          <w:p w:rsidR="007C5447" w:rsidRDefault="007C5447">
            <w:pPr>
              <w:pStyle w:val="TableParagraph"/>
              <w:spacing w:before="3"/>
              <w:jc w:val="left"/>
              <w:rPr>
                <w:b/>
                <w:sz w:val="21"/>
              </w:rPr>
            </w:pPr>
          </w:p>
          <w:p w:rsidR="007C5447" w:rsidRDefault="00F6308C">
            <w:pPr>
              <w:pStyle w:val="TableParagraph"/>
              <w:ind w:right="122"/>
              <w:rPr>
                <w:b/>
                <w:sz w:val="18"/>
              </w:rPr>
            </w:pPr>
            <w:r>
              <w:rPr>
                <w:b/>
                <w:sz w:val="18"/>
              </w:rPr>
              <w:t>Total Fixed Cost</w:t>
            </w:r>
          </w:p>
        </w:tc>
      </w:tr>
      <w:tr w:rsidR="007C5447">
        <w:trPr>
          <w:trHeight w:val="299"/>
        </w:trPr>
        <w:tc>
          <w:tcPr>
            <w:tcW w:w="710" w:type="dxa"/>
          </w:tcPr>
          <w:p w:rsidR="007C5447" w:rsidRDefault="00F6308C">
            <w:pPr>
              <w:pStyle w:val="TableParagraph"/>
              <w:spacing w:before="45"/>
              <w:ind w:left="4"/>
              <w:jc w:val="center"/>
              <w:rPr>
                <w:sz w:val="18"/>
              </w:rPr>
            </w:pPr>
            <w:r>
              <w:rPr>
                <w:sz w:val="18"/>
              </w:rPr>
              <w:t>1</w:t>
            </w:r>
          </w:p>
        </w:tc>
        <w:tc>
          <w:tcPr>
            <w:tcW w:w="1985" w:type="dxa"/>
          </w:tcPr>
          <w:p w:rsidR="007C5447" w:rsidRDefault="00F6308C">
            <w:pPr>
              <w:pStyle w:val="TableParagraph"/>
              <w:spacing w:before="45"/>
              <w:ind w:left="108"/>
              <w:jc w:val="left"/>
              <w:rPr>
                <w:sz w:val="18"/>
              </w:rPr>
            </w:pPr>
            <w:r>
              <w:rPr>
                <w:sz w:val="18"/>
              </w:rPr>
              <w:t>Ennore TPS</w:t>
            </w:r>
          </w:p>
        </w:tc>
        <w:tc>
          <w:tcPr>
            <w:tcW w:w="1274" w:type="dxa"/>
          </w:tcPr>
          <w:p w:rsidR="007C5447" w:rsidRDefault="00F6308C">
            <w:pPr>
              <w:pStyle w:val="TableParagraph"/>
              <w:spacing w:before="45"/>
              <w:ind w:right="123"/>
              <w:rPr>
                <w:sz w:val="18"/>
              </w:rPr>
            </w:pPr>
            <w:r>
              <w:rPr>
                <w:sz w:val="18"/>
              </w:rPr>
              <w:t>166.55</w:t>
            </w:r>
          </w:p>
        </w:tc>
        <w:tc>
          <w:tcPr>
            <w:tcW w:w="1277" w:type="dxa"/>
          </w:tcPr>
          <w:p w:rsidR="007C5447" w:rsidRDefault="00F6308C">
            <w:pPr>
              <w:pStyle w:val="TableParagraph"/>
              <w:spacing w:before="45"/>
              <w:ind w:right="127"/>
              <w:rPr>
                <w:sz w:val="18"/>
              </w:rPr>
            </w:pPr>
            <w:r>
              <w:rPr>
                <w:sz w:val="18"/>
              </w:rPr>
              <w:t>396.74</w:t>
            </w:r>
          </w:p>
        </w:tc>
        <w:tc>
          <w:tcPr>
            <w:tcW w:w="991" w:type="dxa"/>
          </w:tcPr>
          <w:p w:rsidR="007C5447" w:rsidRDefault="00F6308C">
            <w:pPr>
              <w:pStyle w:val="TableParagraph"/>
              <w:spacing w:before="45"/>
              <w:ind w:right="122"/>
              <w:rPr>
                <w:sz w:val="18"/>
              </w:rPr>
            </w:pPr>
            <w:r>
              <w:rPr>
                <w:sz w:val="18"/>
              </w:rPr>
              <w:t>63.82</w:t>
            </w:r>
          </w:p>
        </w:tc>
        <w:tc>
          <w:tcPr>
            <w:tcW w:w="1135" w:type="dxa"/>
          </w:tcPr>
          <w:p w:rsidR="007C5447" w:rsidRDefault="00F6308C">
            <w:pPr>
              <w:pStyle w:val="TableParagraph"/>
              <w:spacing w:before="45"/>
              <w:ind w:right="124"/>
              <w:rPr>
                <w:sz w:val="18"/>
              </w:rPr>
            </w:pPr>
            <w:r>
              <w:rPr>
                <w:sz w:val="18"/>
              </w:rPr>
              <w:t>35.98</w:t>
            </w:r>
          </w:p>
        </w:tc>
        <w:tc>
          <w:tcPr>
            <w:tcW w:w="1277" w:type="dxa"/>
          </w:tcPr>
          <w:p w:rsidR="007C5447" w:rsidRDefault="00F6308C">
            <w:pPr>
              <w:pStyle w:val="TableParagraph"/>
              <w:spacing w:before="45"/>
              <w:ind w:right="125"/>
              <w:rPr>
                <w:sz w:val="18"/>
              </w:rPr>
            </w:pPr>
            <w:r>
              <w:rPr>
                <w:sz w:val="18"/>
              </w:rPr>
              <w:t>145.92</w:t>
            </w:r>
          </w:p>
        </w:tc>
        <w:tc>
          <w:tcPr>
            <w:tcW w:w="1133" w:type="dxa"/>
          </w:tcPr>
          <w:p w:rsidR="007C5447" w:rsidRDefault="00F6308C">
            <w:pPr>
              <w:pStyle w:val="TableParagraph"/>
              <w:spacing w:before="45"/>
              <w:ind w:right="123"/>
              <w:rPr>
                <w:sz w:val="18"/>
              </w:rPr>
            </w:pPr>
            <w:r>
              <w:rPr>
                <w:w w:val="99"/>
                <w:sz w:val="18"/>
              </w:rPr>
              <w:t>-</w:t>
            </w:r>
          </w:p>
        </w:tc>
        <w:tc>
          <w:tcPr>
            <w:tcW w:w="1277" w:type="dxa"/>
          </w:tcPr>
          <w:p w:rsidR="007C5447" w:rsidRDefault="00F6308C">
            <w:pPr>
              <w:pStyle w:val="TableParagraph"/>
              <w:spacing w:before="45"/>
              <w:ind w:right="122"/>
              <w:rPr>
                <w:sz w:val="18"/>
              </w:rPr>
            </w:pPr>
            <w:r>
              <w:rPr>
                <w:sz w:val="18"/>
              </w:rPr>
              <w:t>12.09</w:t>
            </w:r>
          </w:p>
        </w:tc>
        <w:tc>
          <w:tcPr>
            <w:tcW w:w="1134" w:type="dxa"/>
          </w:tcPr>
          <w:p w:rsidR="007C5447" w:rsidRDefault="00F6308C">
            <w:pPr>
              <w:pStyle w:val="TableParagraph"/>
              <w:spacing w:before="45"/>
              <w:ind w:right="123"/>
              <w:rPr>
                <w:sz w:val="18"/>
              </w:rPr>
            </w:pPr>
            <w:r>
              <w:rPr>
                <w:sz w:val="18"/>
              </w:rPr>
              <w:t>12.72</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127"/>
              <w:rPr>
                <w:sz w:val="18"/>
              </w:rPr>
            </w:pPr>
            <w:r>
              <w:rPr>
                <w:sz w:val="18"/>
              </w:rPr>
              <w:t>3.05</w:t>
            </w:r>
          </w:p>
        </w:tc>
        <w:tc>
          <w:tcPr>
            <w:tcW w:w="1542" w:type="dxa"/>
          </w:tcPr>
          <w:p w:rsidR="007C5447" w:rsidRDefault="00F6308C">
            <w:pPr>
              <w:pStyle w:val="TableParagraph"/>
              <w:spacing w:before="45"/>
              <w:ind w:right="128"/>
              <w:rPr>
                <w:sz w:val="18"/>
              </w:rPr>
            </w:pPr>
            <w:r>
              <w:rPr>
                <w:sz w:val="18"/>
              </w:rPr>
              <w:t>811.42</w:t>
            </w:r>
          </w:p>
        </w:tc>
      </w:tr>
      <w:tr w:rsidR="007C5447">
        <w:trPr>
          <w:trHeight w:val="300"/>
        </w:trPr>
        <w:tc>
          <w:tcPr>
            <w:tcW w:w="710" w:type="dxa"/>
          </w:tcPr>
          <w:p w:rsidR="007C5447" w:rsidRDefault="00F6308C">
            <w:pPr>
              <w:pStyle w:val="TableParagraph"/>
              <w:spacing w:before="46"/>
              <w:ind w:left="4"/>
              <w:jc w:val="center"/>
              <w:rPr>
                <w:sz w:val="18"/>
              </w:rPr>
            </w:pPr>
            <w:r>
              <w:rPr>
                <w:sz w:val="18"/>
              </w:rPr>
              <w:t>2</w:t>
            </w:r>
          </w:p>
        </w:tc>
        <w:tc>
          <w:tcPr>
            <w:tcW w:w="1985" w:type="dxa"/>
          </w:tcPr>
          <w:p w:rsidR="007C5447" w:rsidRDefault="00F6308C">
            <w:pPr>
              <w:pStyle w:val="TableParagraph"/>
              <w:spacing w:before="46"/>
              <w:ind w:left="108"/>
              <w:jc w:val="left"/>
              <w:rPr>
                <w:sz w:val="18"/>
              </w:rPr>
            </w:pPr>
            <w:r>
              <w:rPr>
                <w:sz w:val="18"/>
              </w:rPr>
              <w:t>Tuticorin TPS</w:t>
            </w:r>
          </w:p>
        </w:tc>
        <w:tc>
          <w:tcPr>
            <w:tcW w:w="1274" w:type="dxa"/>
          </w:tcPr>
          <w:p w:rsidR="007C5447" w:rsidRDefault="00F6308C">
            <w:pPr>
              <w:pStyle w:val="TableParagraph"/>
              <w:spacing w:before="46"/>
              <w:ind w:right="123"/>
              <w:rPr>
                <w:sz w:val="18"/>
              </w:rPr>
            </w:pPr>
            <w:r>
              <w:rPr>
                <w:sz w:val="18"/>
              </w:rPr>
              <w:t>130.91</w:t>
            </w:r>
          </w:p>
        </w:tc>
        <w:tc>
          <w:tcPr>
            <w:tcW w:w="1277" w:type="dxa"/>
          </w:tcPr>
          <w:p w:rsidR="007C5447" w:rsidRDefault="00F6308C">
            <w:pPr>
              <w:pStyle w:val="TableParagraph"/>
              <w:spacing w:before="46"/>
              <w:ind w:right="127"/>
              <w:rPr>
                <w:sz w:val="18"/>
              </w:rPr>
            </w:pPr>
            <w:r>
              <w:rPr>
                <w:sz w:val="18"/>
              </w:rPr>
              <w:t>689.16</w:t>
            </w:r>
          </w:p>
        </w:tc>
        <w:tc>
          <w:tcPr>
            <w:tcW w:w="991" w:type="dxa"/>
          </w:tcPr>
          <w:p w:rsidR="007C5447" w:rsidRDefault="00F6308C">
            <w:pPr>
              <w:pStyle w:val="TableParagraph"/>
              <w:spacing w:before="46"/>
              <w:ind w:right="125"/>
              <w:rPr>
                <w:sz w:val="18"/>
              </w:rPr>
            </w:pPr>
            <w:r>
              <w:rPr>
                <w:sz w:val="18"/>
              </w:rPr>
              <w:t>115.10</w:t>
            </w:r>
          </w:p>
        </w:tc>
        <w:tc>
          <w:tcPr>
            <w:tcW w:w="1135" w:type="dxa"/>
          </w:tcPr>
          <w:p w:rsidR="007C5447" w:rsidRDefault="00F6308C">
            <w:pPr>
              <w:pStyle w:val="TableParagraph"/>
              <w:spacing w:before="46"/>
              <w:ind w:right="127"/>
              <w:rPr>
                <w:sz w:val="18"/>
              </w:rPr>
            </w:pPr>
            <w:r>
              <w:rPr>
                <w:sz w:val="18"/>
              </w:rPr>
              <w:t>129.81</w:t>
            </w:r>
          </w:p>
        </w:tc>
        <w:tc>
          <w:tcPr>
            <w:tcW w:w="1277" w:type="dxa"/>
          </w:tcPr>
          <w:p w:rsidR="007C5447" w:rsidRDefault="00F6308C">
            <w:pPr>
              <w:pStyle w:val="TableParagraph"/>
              <w:spacing w:before="46"/>
              <w:ind w:right="125"/>
              <w:rPr>
                <w:sz w:val="18"/>
              </w:rPr>
            </w:pPr>
            <w:r>
              <w:rPr>
                <w:sz w:val="18"/>
              </w:rPr>
              <w:t>339.30</w:t>
            </w:r>
          </w:p>
        </w:tc>
        <w:tc>
          <w:tcPr>
            <w:tcW w:w="1133" w:type="dxa"/>
          </w:tcPr>
          <w:p w:rsidR="007C5447" w:rsidRDefault="00F6308C">
            <w:pPr>
              <w:pStyle w:val="TableParagraph"/>
              <w:spacing w:before="46"/>
              <w:ind w:right="124"/>
              <w:rPr>
                <w:sz w:val="18"/>
              </w:rPr>
            </w:pPr>
            <w:r>
              <w:rPr>
                <w:sz w:val="18"/>
              </w:rPr>
              <w:t>0.86</w:t>
            </w:r>
          </w:p>
        </w:tc>
        <w:tc>
          <w:tcPr>
            <w:tcW w:w="1277" w:type="dxa"/>
          </w:tcPr>
          <w:p w:rsidR="007C5447" w:rsidRDefault="00F6308C">
            <w:pPr>
              <w:pStyle w:val="TableParagraph"/>
              <w:spacing w:before="46"/>
              <w:ind w:right="125"/>
              <w:rPr>
                <w:sz w:val="18"/>
              </w:rPr>
            </w:pPr>
            <w:r>
              <w:rPr>
                <w:sz w:val="18"/>
              </w:rPr>
              <w:t>8.84</w:t>
            </w:r>
          </w:p>
        </w:tc>
        <w:tc>
          <w:tcPr>
            <w:tcW w:w="1134" w:type="dxa"/>
          </w:tcPr>
          <w:p w:rsidR="007C5447" w:rsidRDefault="00F6308C">
            <w:pPr>
              <w:pStyle w:val="TableParagraph"/>
              <w:spacing w:before="46"/>
              <w:ind w:right="123"/>
              <w:rPr>
                <w:sz w:val="18"/>
              </w:rPr>
            </w:pPr>
            <w:r>
              <w:rPr>
                <w:sz w:val="18"/>
              </w:rPr>
              <w:t>36.40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6"/>
              <w:ind w:right="124"/>
              <w:rPr>
                <w:sz w:val="18"/>
              </w:rPr>
            </w:pPr>
            <w:r>
              <w:rPr>
                <w:sz w:val="18"/>
              </w:rPr>
              <w:t>12.16</w:t>
            </w:r>
          </w:p>
        </w:tc>
        <w:tc>
          <w:tcPr>
            <w:tcW w:w="1542" w:type="dxa"/>
          </w:tcPr>
          <w:p w:rsidR="007C5447" w:rsidRDefault="00F6308C">
            <w:pPr>
              <w:pStyle w:val="TableParagraph"/>
              <w:spacing w:before="46"/>
              <w:ind w:right="128"/>
              <w:rPr>
                <w:sz w:val="18"/>
              </w:rPr>
            </w:pPr>
            <w:r>
              <w:rPr>
                <w:sz w:val="18"/>
              </w:rPr>
              <w:t>1,389.75</w:t>
            </w:r>
          </w:p>
        </w:tc>
      </w:tr>
      <w:tr w:rsidR="007C5447">
        <w:trPr>
          <w:trHeight w:val="299"/>
        </w:trPr>
        <w:tc>
          <w:tcPr>
            <w:tcW w:w="710" w:type="dxa"/>
          </w:tcPr>
          <w:p w:rsidR="007C5447" w:rsidRDefault="00F6308C">
            <w:pPr>
              <w:pStyle w:val="TableParagraph"/>
              <w:spacing w:before="45"/>
              <w:ind w:left="4"/>
              <w:jc w:val="center"/>
              <w:rPr>
                <w:sz w:val="18"/>
              </w:rPr>
            </w:pPr>
            <w:r>
              <w:rPr>
                <w:sz w:val="18"/>
              </w:rPr>
              <w:t>3</w:t>
            </w:r>
          </w:p>
        </w:tc>
        <w:tc>
          <w:tcPr>
            <w:tcW w:w="1985" w:type="dxa"/>
          </w:tcPr>
          <w:p w:rsidR="007C5447" w:rsidRDefault="00F6308C">
            <w:pPr>
              <w:pStyle w:val="TableParagraph"/>
              <w:spacing w:before="45"/>
              <w:ind w:left="108"/>
              <w:jc w:val="left"/>
              <w:rPr>
                <w:sz w:val="18"/>
              </w:rPr>
            </w:pPr>
            <w:r>
              <w:rPr>
                <w:sz w:val="18"/>
              </w:rPr>
              <w:t>Mettur TPS</w:t>
            </w:r>
          </w:p>
        </w:tc>
        <w:tc>
          <w:tcPr>
            <w:tcW w:w="1274" w:type="dxa"/>
          </w:tcPr>
          <w:p w:rsidR="007C5447" w:rsidRDefault="00F6308C">
            <w:pPr>
              <w:pStyle w:val="TableParagraph"/>
              <w:spacing w:before="45"/>
              <w:ind w:right="120"/>
              <w:rPr>
                <w:sz w:val="18"/>
              </w:rPr>
            </w:pPr>
            <w:r>
              <w:rPr>
                <w:sz w:val="18"/>
              </w:rPr>
              <w:t>83.98</w:t>
            </w:r>
          </w:p>
        </w:tc>
        <w:tc>
          <w:tcPr>
            <w:tcW w:w="1277" w:type="dxa"/>
          </w:tcPr>
          <w:p w:rsidR="007C5447" w:rsidRDefault="00F6308C">
            <w:pPr>
              <w:pStyle w:val="TableParagraph"/>
              <w:spacing w:before="45"/>
              <w:ind w:right="127"/>
              <w:rPr>
                <w:sz w:val="18"/>
              </w:rPr>
            </w:pPr>
            <w:r>
              <w:rPr>
                <w:sz w:val="18"/>
              </w:rPr>
              <w:t>409.54</w:t>
            </w:r>
          </w:p>
        </w:tc>
        <w:tc>
          <w:tcPr>
            <w:tcW w:w="991" w:type="dxa"/>
          </w:tcPr>
          <w:p w:rsidR="007C5447" w:rsidRDefault="00F6308C">
            <w:pPr>
              <w:pStyle w:val="TableParagraph"/>
              <w:spacing w:before="45"/>
              <w:ind w:right="122"/>
              <w:rPr>
                <w:sz w:val="18"/>
              </w:rPr>
            </w:pPr>
            <w:r>
              <w:rPr>
                <w:sz w:val="18"/>
              </w:rPr>
              <w:t>66.89</w:t>
            </w:r>
          </w:p>
        </w:tc>
        <w:tc>
          <w:tcPr>
            <w:tcW w:w="1135" w:type="dxa"/>
          </w:tcPr>
          <w:p w:rsidR="007C5447" w:rsidRDefault="00F6308C">
            <w:pPr>
              <w:pStyle w:val="TableParagraph"/>
              <w:spacing w:before="45"/>
              <w:ind w:right="127"/>
              <w:rPr>
                <w:sz w:val="18"/>
              </w:rPr>
            </w:pPr>
            <w:r>
              <w:rPr>
                <w:sz w:val="18"/>
              </w:rPr>
              <w:t>108.83</w:t>
            </w:r>
          </w:p>
        </w:tc>
        <w:tc>
          <w:tcPr>
            <w:tcW w:w="1277" w:type="dxa"/>
          </w:tcPr>
          <w:p w:rsidR="007C5447" w:rsidRDefault="00F6308C">
            <w:pPr>
              <w:pStyle w:val="TableParagraph"/>
              <w:spacing w:before="45"/>
              <w:ind w:right="125"/>
              <w:rPr>
                <w:sz w:val="18"/>
              </w:rPr>
            </w:pPr>
            <w:r>
              <w:rPr>
                <w:sz w:val="18"/>
              </w:rPr>
              <w:t>267.00</w:t>
            </w:r>
          </w:p>
        </w:tc>
        <w:tc>
          <w:tcPr>
            <w:tcW w:w="1133" w:type="dxa"/>
          </w:tcPr>
          <w:p w:rsidR="007C5447" w:rsidRDefault="00F6308C">
            <w:pPr>
              <w:pStyle w:val="TableParagraph"/>
              <w:spacing w:before="45"/>
              <w:ind w:right="124"/>
              <w:rPr>
                <w:sz w:val="18"/>
              </w:rPr>
            </w:pPr>
            <w:r>
              <w:rPr>
                <w:sz w:val="18"/>
              </w:rPr>
              <w:t>1.13</w:t>
            </w:r>
          </w:p>
        </w:tc>
        <w:tc>
          <w:tcPr>
            <w:tcW w:w="1277" w:type="dxa"/>
          </w:tcPr>
          <w:p w:rsidR="007C5447" w:rsidRDefault="00F6308C">
            <w:pPr>
              <w:pStyle w:val="TableParagraph"/>
              <w:spacing w:before="45"/>
              <w:ind w:right="125"/>
              <w:rPr>
                <w:sz w:val="18"/>
              </w:rPr>
            </w:pPr>
            <w:r>
              <w:rPr>
                <w:sz w:val="18"/>
              </w:rPr>
              <w:t>3.65</w:t>
            </w:r>
          </w:p>
        </w:tc>
        <w:tc>
          <w:tcPr>
            <w:tcW w:w="1134" w:type="dxa"/>
          </w:tcPr>
          <w:p w:rsidR="007C5447" w:rsidRDefault="00F6308C">
            <w:pPr>
              <w:pStyle w:val="TableParagraph"/>
              <w:spacing w:before="45"/>
              <w:ind w:right="123"/>
              <w:rPr>
                <w:sz w:val="18"/>
              </w:rPr>
            </w:pPr>
            <w:r>
              <w:rPr>
                <w:sz w:val="18"/>
              </w:rPr>
              <w:t>32.36</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124"/>
              <w:rPr>
                <w:sz w:val="18"/>
              </w:rPr>
            </w:pPr>
            <w:r>
              <w:rPr>
                <w:sz w:val="18"/>
              </w:rPr>
              <w:t>10.34</w:t>
            </w:r>
          </w:p>
        </w:tc>
        <w:tc>
          <w:tcPr>
            <w:tcW w:w="1542" w:type="dxa"/>
          </w:tcPr>
          <w:p w:rsidR="007C5447" w:rsidRDefault="00F6308C">
            <w:pPr>
              <w:pStyle w:val="TableParagraph"/>
              <w:spacing w:before="45"/>
              <w:ind w:right="128"/>
              <w:rPr>
                <w:sz w:val="18"/>
              </w:rPr>
            </w:pPr>
            <w:r>
              <w:rPr>
                <w:sz w:val="18"/>
              </w:rPr>
              <w:t>918.99</w:t>
            </w:r>
          </w:p>
        </w:tc>
      </w:tr>
      <w:tr w:rsidR="007C5447">
        <w:trPr>
          <w:trHeight w:val="299"/>
        </w:trPr>
        <w:tc>
          <w:tcPr>
            <w:tcW w:w="710" w:type="dxa"/>
          </w:tcPr>
          <w:p w:rsidR="007C5447" w:rsidRDefault="00F6308C">
            <w:pPr>
              <w:pStyle w:val="TableParagraph"/>
              <w:spacing w:before="47"/>
              <w:ind w:left="4"/>
              <w:jc w:val="center"/>
              <w:rPr>
                <w:sz w:val="18"/>
              </w:rPr>
            </w:pPr>
            <w:r>
              <w:rPr>
                <w:sz w:val="18"/>
              </w:rPr>
              <w:t>4</w:t>
            </w:r>
          </w:p>
        </w:tc>
        <w:tc>
          <w:tcPr>
            <w:tcW w:w="1985" w:type="dxa"/>
          </w:tcPr>
          <w:p w:rsidR="007C5447" w:rsidRDefault="00F6308C">
            <w:pPr>
              <w:pStyle w:val="TableParagraph"/>
              <w:spacing w:before="47"/>
              <w:ind w:left="108"/>
              <w:jc w:val="left"/>
              <w:rPr>
                <w:sz w:val="18"/>
              </w:rPr>
            </w:pPr>
            <w:r>
              <w:rPr>
                <w:sz w:val="18"/>
              </w:rPr>
              <w:t>North Chennai TPS</w:t>
            </w:r>
          </w:p>
        </w:tc>
        <w:tc>
          <w:tcPr>
            <w:tcW w:w="1274" w:type="dxa"/>
          </w:tcPr>
          <w:p w:rsidR="007C5447" w:rsidRDefault="00F6308C">
            <w:pPr>
              <w:pStyle w:val="TableParagraph"/>
              <w:spacing w:before="47"/>
              <w:ind w:right="123"/>
              <w:rPr>
                <w:sz w:val="18"/>
              </w:rPr>
            </w:pPr>
            <w:r>
              <w:rPr>
                <w:sz w:val="18"/>
              </w:rPr>
              <w:t>156.55</w:t>
            </w:r>
          </w:p>
        </w:tc>
        <w:tc>
          <w:tcPr>
            <w:tcW w:w="1277" w:type="dxa"/>
          </w:tcPr>
          <w:p w:rsidR="007C5447" w:rsidRDefault="00F6308C">
            <w:pPr>
              <w:pStyle w:val="TableParagraph"/>
              <w:spacing w:before="47"/>
              <w:ind w:right="127"/>
              <w:rPr>
                <w:sz w:val="18"/>
              </w:rPr>
            </w:pPr>
            <w:r>
              <w:rPr>
                <w:sz w:val="18"/>
              </w:rPr>
              <w:t>720.75</w:t>
            </w:r>
          </w:p>
        </w:tc>
        <w:tc>
          <w:tcPr>
            <w:tcW w:w="991" w:type="dxa"/>
          </w:tcPr>
          <w:p w:rsidR="007C5447" w:rsidRDefault="00F6308C">
            <w:pPr>
              <w:pStyle w:val="TableParagraph"/>
              <w:spacing w:before="47"/>
              <w:ind w:right="125"/>
              <w:rPr>
                <w:sz w:val="18"/>
              </w:rPr>
            </w:pPr>
            <w:r>
              <w:rPr>
                <w:sz w:val="18"/>
              </w:rPr>
              <w:t>135.19</w:t>
            </w:r>
          </w:p>
        </w:tc>
        <w:tc>
          <w:tcPr>
            <w:tcW w:w="1135" w:type="dxa"/>
          </w:tcPr>
          <w:p w:rsidR="007C5447" w:rsidRDefault="00F6308C">
            <w:pPr>
              <w:pStyle w:val="TableParagraph"/>
              <w:spacing w:before="47"/>
              <w:ind w:right="124"/>
              <w:rPr>
                <w:sz w:val="18"/>
              </w:rPr>
            </w:pPr>
            <w:r>
              <w:rPr>
                <w:sz w:val="18"/>
              </w:rPr>
              <w:t>74.74</w:t>
            </w:r>
          </w:p>
        </w:tc>
        <w:tc>
          <w:tcPr>
            <w:tcW w:w="1277" w:type="dxa"/>
          </w:tcPr>
          <w:p w:rsidR="007C5447" w:rsidRDefault="00F6308C">
            <w:pPr>
              <w:pStyle w:val="TableParagraph"/>
              <w:spacing w:before="47"/>
              <w:ind w:right="125"/>
              <w:rPr>
                <w:sz w:val="18"/>
              </w:rPr>
            </w:pPr>
            <w:r>
              <w:rPr>
                <w:sz w:val="18"/>
              </w:rPr>
              <w:t>241.70</w:t>
            </w:r>
          </w:p>
        </w:tc>
        <w:tc>
          <w:tcPr>
            <w:tcW w:w="1133" w:type="dxa"/>
          </w:tcPr>
          <w:p w:rsidR="007C5447" w:rsidRDefault="00F6308C">
            <w:pPr>
              <w:pStyle w:val="TableParagraph"/>
              <w:spacing w:before="47"/>
              <w:ind w:right="124"/>
              <w:rPr>
                <w:sz w:val="18"/>
              </w:rPr>
            </w:pPr>
            <w:r>
              <w:rPr>
                <w:sz w:val="18"/>
              </w:rPr>
              <w:t>0.25</w:t>
            </w:r>
          </w:p>
        </w:tc>
        <w:tc>
          <w:tcPr>
            <w:tcW w:w="1277" w:type="dxa"/>
          </w:tcPr>
          <w:p w:rsidR="007C5447" w:rsidRDefault="00F6308C">
            <w:pPr>
              <w:pStyle w:val="TableParagraph"/>
              <w:spacing w:before="47"/>
              <w:ind w:right="122"/>
              <w:rPr>
                <w:sz w:val="18"/>
              </w:rPr>
            </w:pPr>
            <w:r>
              <w:rPr>
                <w:sz w:val="18"/>
              </w:rPr>
              <w:t>50.86</w:t>
            </w:r>
          </w:p>
        </w:tc>
        <w:tc>
          <w:tcPr>
            <w:tcW w:w="1134" w:type="dxa"/>
          </w:tcPr>
          <w:p w:rsidR="007C5447" w:rsidRDefault="00F6308C">
            <w:pPr>
              <w:pStyle w:val="TableParagraph"/>
              <w:spacing w:before="47"/>
              <w:ind w:right="123"/>
              <w:rPr>
                <w:sz w:val="18"/>
              </w:rPr>
            </w:pPr>
            <w:r>
              <w:rPr>
                <w:sz w:val="18"/>
              </w:rPr>
              <w:t>29.11</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7"/>
              <w:rPr>
                <w:sz w:val="18"/>
              </w:rPr>
            </w:pPr>
            <w:r>
              <w:rPr>
                <w:sz w:val="18"/>
              </w:rPr>
              <w:t>6.43</w:t>
            </w:r>
          </w:p>
        </w:tc>
        <w:tc>
          <w:tcPr>
            <w:tcW w:w="1542" w:type="dxa"/>
          </w:tcPr>
          <w:p w:rsidR="007C5447" w:rsidRDefault="00F6308C">
            <w:pPr>
              <w:pStyle w:val="TableParagraph"/>
              <w:spacing w:before="47"/>
              <w:ind w:right="128"/>
              <w:rPr>
                <w:sz w:val="18"/>
              </w:rPr>
            </w:pPr>
            <w:r>
              <w:rPr>
                <w:sz w:val="18"/>
              </w:rPr>
              <w:t>1,357.37</w:t>
            </w:r>
          </w:p>
        </w:tc>
      </w:tr>
      <w:tr w:rsidR="007C5447">
        <w:trPr>
          <w:trHeight w:val="299"/>
        </w:trPr>
        <w:tc>
          <w:tcPr>
            <w:tcW w:w="710" w:type="dxa"/>
          </w:tcPr>
          <w:p w:rsidR="007C5447" w:rsidRDefault="00F6308C">
            <w:pPr>
              <w:pStyle w:val="TableParagraph"/>
              <w:spacing w:before="47"/>
              <w:ind w:left="4"/>
              <w:jc w:val="center"/>
              <w:rPr>
                <w:sz w:val="18"/>
              </w:rPr>
            </w:pPr>
            <w:r>
              <w:rPr>
                <w:sz w:val="18"/>
              </w:rPr>
              <w:t>5</w:t>
            </w:r>
          </w:p>
        </w:tc>
        <w:tc>
          <w:tcPr>
            <w:tcW w:w="1985" w:type="dxa"/>
          </w:tcPr>
          <w:p w:rsidR="007C5447" w:rsidRDefault="00F6308C">
            <w:pPr>
              <w:pStyle w:val="TableParagraph"/>
              <w:spacing w:before="47"/>
              <w:ind w:left="108"/>
              <w:jc w:val="left"/>
              <w:rPr>
                <w:sz w:val="18"/>
              </w:rPr>
            </w:pPr>
            <w:r>
              <w:rPr>
                <w:sz w:val="18"/>
              </w:rPr>
              <w:t>Mettur TPS Stage III</w:t>
            </w:r>
          </w:p>
        </w:tc>
        <w:tc>
          <w:tcPr>
            <w:tcW w:w="1274" w:type="dxa"/>
          </w:tcPr>
          <w:p w:rsidR="007C5447" w:rsidRDefault="00F6308C">
            <w:pPr>
              <w:pStyle w:val="TableParagraph"/>
              <w:spacing w:before="47"/>
              <w:ind w:right="123"/>
              <w:rPr>
                <w:sz w:val="18"/>
              </w:rPr>
            </w:pPr>
            <w:r>
              <w:rPr>
                <w:sz w:val="18"/>
              </w:rPr>
              <w:t>192.93</w:t>
            </w:r>
          </w:p>
        </w:tc>
        <w:tc>
          <w:tcPr>
            <w:tcW w:w="1277" w:type="dxa"/>
          </w:tcPr>
          <w:p w:rsidR="007C5447" w:rsidRDefault="00F6308C">
            <w:pPr>
              <w:pStyle w:val="TableParagraph"/>
              <w:spacing w:before="47"/>
              <w:ind w:right="124"/>
              <w:rPr>
                <w:sz w:val="18"/>
              </w:rPr>
            </w:pPr>
            <w:r>
              <w:rPr>
                <w:sz w:val="18"/>
              </w:rPr>
              <w:t>194.43</w:t>
            </w:r>
          </w:p>
        </w:tc>
        <w:tc>
          <w:tcPr>
            <w:tcW w:w="991" w:type="dxa"/>
          </w:tcPr>
          <w:p w:rsidR="007C5447" w:rsidRDefault="00F6308C">
            <w:pPr>
              <w:pStyle w:val="TableParagraph"/>
              <w:spacing w:before="47"/>
              <w:ind w:right="125"/>
              <w:rPr>
                <w:sz w:val="18"/>
              </w:rPr>
            </w:pPr>
            <w:r>
              <w:rPr>
                <w:sz w:val="18"/>
              </w:rPr>
              <w:t>163.83</w:t>
            </w:r>
          </w:p>
        </w:tc>
        <w:tc>
          <w:tcPr>
            <w:tcW w:w="1135" w:type="dxa"/>
          </w:tcPr>
          <w:p w:rsidR="007C5447" w:rsidRDefault="00F6308C">
            <w:pPr>
              <w:pStyle w:val="TableParagraph"/>
              <w:spacing w:before="47"/>
              <w:ind w:right="124"/>
              <w:rPr>
                <w:sz w:val="18"/>
              </w:rPr>
            </w:pPr>
            <w:r>
              <w:rPr>
                <w:sz w:val="18"/>
              </w:rPr>
              <w:t>77.25</w:t>
            </w:r>
          </w:p>
        </w:tc>
        <w:tc>
          <w:tcPr>
            <w:tcW w:w="1277" w:type="dxa"/>
          </w:tcPr>
          <w:p w:rsidR="007C5447" w:rsidRDefault="00F6308C">
            <w:pPr>
              <w:pStyle w:val="TableParagraph"/>
              <w:spacing w:before="47"/>
              <w:ind w:right="125"/>
              <w:rPr>
                <w:sz w:val="18"/>
              </w:rPr>
            </w:pPr>
            <w:r>
              <w:rPr>
                <w:sz w:val="18"/>
              </w:rPr>
              <w:t>103.80</w:t>
            </w:r>
          </w:p>
        </w:tc>
        <w:tc>
          <w:tcPr>
            <w:tcW w:w="1133" w:type="dxa"/>
          </w:tcPr>
          <w:p w:rsidR="007C5447" w:rsidRDefault="00F6308C">
            <w:pPr>
              <w:pStyle w:val="TableParagraph"/>
              <w:spacing w:before="47"/>
              <w:ind w:right="124"/>
              <w:rPr>
                <w:sz w:val="18"/>
              </w:rPr>
            </w:pPr>
            <w:r>
              <w:rPr>
                <w:sz w:val="18"/>
              </w:rPr>
              <w:t>0.99</w:t>
            </w:r>
          </w:p>
        </w:tc>
        <w:tc>
          <w:tcPr>
            <w:tcW w:w="1277" w:type="dxa"/>
          </w:tcPr>
          <w:p w:rsidR="007C5447" w:rsidRDefault="00F6308C">
            <w:pPr>
              <w:pStyle w:val="TableParagraph"/>
              <w:spacing w:before="47"/>
              <w:ind w:right="125"/>
              <w:rPr>
                <w:sz w:val="18"/>
              </w:rPr>
            </w:pPr>
            <w:r>
              <w:rPr>
                <w:sz w:val="18"/>
              </w:rPr>
              <w:t>1.45</w:t>
            </w:r>
          </w:p>
        </w:tc>
        <w:tc>
          <w:tcPr>
            <w:tcW w:w="1134" w:type="dxa"/>
          </w:tcPr>
          <w:p w:rsidR="007C5447" w:rsidRDefault="00F6308C">
            <w:pPr>
              <w:pStyle w:val="TableParagraph"/>
              <w:spacing w:before="47"/>
              <w:ind w:right="123"/>
              <w:rPr>
                <w:sz w:val="18"/>
              </w:rPr>
            </w:pPr>
            <w:r>
              <w:rPr>
                <w:sz w:val="18"/>
              </w:rPr>
              <w:t>34.50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7"/>
              <w:rPr>
                <w:sz w:val="18"/>
              </w:rPr>
            </w:pPr>
            <w:r>
              <w:rPr>
                <w:sz w:val="18"/>
              </w:rPr>
              <w:t>2.86</w:t>
            </w:r>
          </w:p>
        </w:tc>
        <w:tc>
          <w:tcPr>
            <w:tcW w:w="1542" w:type="dxa"/>
          </w:tcPr>
          <w:p w:rsidR="007C5447" w:rsidRDefault="00F6308C">
            <w:pPr>
              <w:pStyle w:val="TableParagraph"/>
              <w:spacing w:before="47"/>
              <w:ind w:right="128"/>
              <w:rPr>
                <w:sz w:val="18"/>
              </w:rPr>
            </w:pPr>
            <w:r>
              <w:rPr>
                <w:sz w:val="18"/>
              </w:rPr>
              <w:t>703.03</w:t>
            </w:r>
          </w:p>
        </w:tc>
      </w:tr>
      <w:tr w:rsidR="007C5447">
        <w:trPr>
          <w:trHeight w:val="301"/>
        </w:trPr>
        <w:tc>
          <w:tcPr>
            <w:tcW w:w="710" w:type="dxa"/>
          </w:tcPr>
          <w:p w:rsidR="007C5447" w:rsidRDefault="00F6308C">
            <w:pPr>
              <w:pStyle w:val="TableParagraph"/>
              <w:spacing w:before="47"/>
              <w:ind w:left="4"/>
              <w:jc w:val="center"/>
              <w:rPr>
                <w:sz w:val="18"/>
              </w:rPr>
            </w:pPr>
            <w:r>
              <w:rPr>
                <w:sz w:val="18"/>
              </w:rPr>
              <w:t>6</w:t>
            </w:r>
          </w:p>
        </w:tc>
        <w:tc>
          <w:tcPr>
            <w:tcW w:w="1985" w:type="dxa"/>
          </w:tcPr>
          <w:p w:rsidR="007C5447" w:rsidRDefault="00F6308C">
            <w:pPr>
              <w:pStyle w:val="TableParagraph"/>
              <w:spacing w:before="47"/>
              <w:ind w:left="108"/>
              <w:jc w:val="left"/>
              <w:rPr>
                <w:sz w:val="18"/>
              </w:rPr>
            </w:pPr>
            <w:r>
              <w:rPr>
                <w:sz w:val="18"/>
              </w:rPr>
              <w:t>North Chennai TPS II</w:t>
            </w:r>
          </w:p>
        </w:tc>
        <w:tc>
          <w:tcPr>
            <w:tcW w:w="1274" w:type="dxa"/>
          </w:tcPr>
          <w:p w:rsidR="007C5447" w:rsidRDefault="00F6308C">
            <w:pPr>
              <w:pStyle w:val="TableParagraph"/>
              <w:spacing w:before="47"/>
              <w:ind w:right="123"/>
              <w:rPr>
                <w:sz w:val="18"/>
              </w:rPr>
            </w:pPr>
            <w:r>
              <w:rPr>
                <w:sz w:val="18"/>
              </w:rPr>
              <w:t>403.51</w:t>
            </w:r>
          </w:p>
        </w:tc>
        <w:tc>
          <w:tcPr>
            <w:tcW w:w="1277" w:type="dxa"/>
          </w:tcPr>
          <w:p w:rsidR="007C5447" w:rsidRDefault="00F6308C">
            <w:pPr>
              <w:pStyle w:val="TableParagraph"/>
              <w:spacing w:before="47"/>
              <w:ind w:right="127"/>
              <w:rPr>
                <w:sz w:val="18"/>
              </w:rPr>
            </w:pPr>
            <w:r>
              <w:rPr>
                <w:sz w:val="18"/>
              </w:rPr>
              <w:t>234.73</w:t>
            </w:r>
          </w:p>
        </w:tc>
        <w:tc>
          <w:tcPr>
            <w:tcW w:w="991" w:type="dxa"/>
          </w:tcPr>
          <w:p w:rsidR="007C5447" w:rsidRDefault="00F6308C">
            <w:pPr>
              <w:pStyle w:val="TableParagraph"/>
              <w:spacing w:before="47"/>
              <w:ind w:right="123"/>
              <w:rPr>
                <w:sz w:val="18"/>
              </w:rPr>
            </w:pPr>
            <w:r>
              <w:rPr>
                <w:w w:val="99"/>
                <w:sz w:val="18"/>
              </w:rPr>
              <w:t>-</w:t>
            </w:r>
          </w:p>
        </w:tc>
        <w:tc>
          <w:tcPr>
            <w:tcW w:w="1135" w:type="dxa"/>
          </w:tcPr>
          <w:p w:rsidR="007C5447" w:rsidRDefault="00F6308C">
            <w:pPr>
              <w:pStyle w:val="TableParagraph"/>
              <w:spacing w:before="47"/>
              <w:ind w:right="124"/>
              <w:rPr>
                <w:sz w:val="18"/>
              </w:rPr>
            </w:pPr>
            <w:r>
              <w:rPr>
                <w:sz w:val="18"/>
              </w:rPr>
              <w:t>92.81</w:t>
            </w:r>
          </w:p>
        </w:tc>
        <w:tc>
          <w:tcPr>
            <w:tcW w:w="1277" w:type="dxa"/>
          </w:tcPr>
          <w:p w:rsidR="007C5447" w:rsidRDefault="00F6308C">
            <w:pPr>
              <w:pStyle w:val="TableParagraph"/>
              <w:spacing w:before="47"/>
              <w:ind w:right="125"/>
              <w:rPr>
                <w:sz w:val="18"/>
              </w:rPr>
            </w:pPr>
            <w:r>
              <w:rPr>
                <w:sz w:val="18"/>
              </w:rPr>
              <w:t>177.66</w:t>
            </w:r>
          </w:p>
        </w:tc>
        <w:tc>
          <w:tcPr>
            <w:tcW w:w="1133" w:type="dxa"/>
          </w:tcPr>
          <w:p w:rsidR="007C5447" w:rsidRDefault="00F6308C">
            <w:pPr>
              <w:pStyle w:val="TableParagraph"/>
              <w:spacing w:before="47"/>
              <w:ind w:right="123"/>
              <w:rPr>
                <w:sz w:val="18"/>
              </w:rPr>
            </w:pPr>
            <w:r>
              <w:rPr>
                <w:w w:val="99"/>
                <w:sz w:val="18"/>
              </w:rPr>
              <w:t>-</w:t>
            </w:r>
          </w:p>
        </w:tc>
        <w:tc>
          <w:tcPr>
            <w:tcW w:w="1277" w:type="dxa"/>
          </w:tcPr>
          <w:p w:rsidR="007C5447" w:rsidRDefault="00F6308C">
            <w:pPr>
              <w:pStyle w:val="TableParagraph"/>
              <w:spacing w:before="47"/>
              <w:ind w:right="122"/>
              <w:rPr>
                <w:sz w:val="18"/>
              </w:rPr>
            </w:pPr>
            <w:r>
              <w:rPr>
                <w:sz w:val="18"/>
              </w:rPr>
              <w:t>14.65</w:t>
            </w:r>
          </w:p>
        </w:tc>
        <w:tc>
          <w:tcPr>
            <w:tcW w:w="1134" w:type="dxa"/>
          </w:tcPr>
          <w:p w:rsidR="007C5447" w:rsidRDefault="00F6308C">
            <w:pPr>
              <w:pStyle w:val="TableParagraph"/>
              <w:spacing w:before="47"/>
              <w:ind w:right="126"/>
              <w:rPr>
                <w:sz w:val="18"/>
              </w:rPr>
            </w:pPr>
            <w:r>
              <w:rPr>
                <w:sz w:val="18"/>
              </w:rPr>
              <w:t>9.78</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7"/>
              <w:rPr>
                <w:sz w:val="18"/>
              </w:rPr>
            </w:pPr>
            <w:r>
              <w:rPr>
                <w:sz w:val="18"/>
              </w:rPr>
              <w:t>2.40</w:t>
            </w:r>
          </w:p>
        </w:tc>
        <w:tc>
          <w:tcPr>
            <w:tcW w:w="1542" w:type="dxa"/>
          </w:tcPr>
          <w:p w:rsidR="007C5447" w:rsidRDefault="00F6308C">
            <w:pPr>
              <w:pStyle w:val="TableParagraph"/>
              <w:spacing w:before="47"/>
              <w:ind w:right="128"/>
              <w:rPr>
                <w:sz w:val="18"/>
              </w:rPr>
            </w:pPr>
            <w:r>
              <w:rPr>
                <w:sz w:val="18"/>
              </w:rPr>
              <w:t>915.99</w:t>
            </w:r>
          </w:p>
        </w:tc>
      </w:tr>
      <w:tr w:rsidR="007C5447">
        <w:trPr>
          <w:trHeight w:val="299"/>
        </w:trPr>
        <w:tc>
          <w:tcPr>
            <w:tcW w:w="710" w:type="dxa"/>
          </w:tcPr>
          <w:p w:rsidR="007C5447" w:rsidRDefault="00F6308C">
            <w:pPr>
              <w:pStyle w:val="TableParagraph"/>
              <w:spacing w:before="45"/>
              <w:ind w:left="4"/>
              <w:jc w:val="center"/>
              <w:rPr>
                <w:sz w:val="18"/>
              </w:rPr>
            </w:pPr>
            <w:r>
              <w:rPr>
                <w:sz w:val="18"/>
              </w:rPr>
              <w:t>7</w:t>
            </w:r>
          </w:p>
        </w:tc>
        <w:tc>
          <w:tcPr>
            <w:tcW w:w="1985" w:type="dxa"/>
          </w:tcPr>
          <w:p w:rsidR="007C5447" w:rsidRDefault="00F6308C">
            <w:pPr>
              <w:pStyle w:val="TableParagraph"/>
              <w:spacing w:before="45"/>
              <w:ind w:left="108"/>
              <w:jc w:val="left"/>
              <w:rPr>
                <w:sz w:val="18"/>
              </w:rPr>
            </w:pPr>
            <w:r>
              <w:rPr>
                <w:sz w:val="18"/>
              </w:rPr>
              <w:t>Tirumakottai GTPS</w:t>
            </w:r>
          </w:p>
        </w:tc>
        <w:tc>
          <w:tcPr>
            <w:tcW w:w="1274" w:type="dxa"/>
          </w:tcPr>
          <w:p w:rsidR="007C5447" w:rsidRDefault="00F6308C">
            <w:pPr>
              <w:pStyle w:val="TableParagraph"/>
              <w:spacing w:before="45"/>
              <w:ind w:right="120"/>
              <w:rPr>
                <w:sz w:val="18"/>
              </w:rPr>
            </w:pPr>
            <w:r>
              <w:rPr>
                <w:sz w:val="18"/>
              </w:rPr>
              <w:t>35.46</w:t>
            </w:r>
          </w:p>
        </w:tc>
        <w:tc>
          <w:tcPr>
            <w:tcW w:w="1277" w:type="dxa"/>
          </w:tcPr>
          <w:p w:rsidR="007C5447" w:rsidRDefault="00F6308C">
            <w:pPr>
              <w:pStyle w:val="TableParagraph"/>
              <w:spacing w:before="45"/>
              <w:ind w:right="127"/>
              <w:rPr>
                <w:sz w:val="18"/>
              </w:rPr>
            </w:pPr>
            <w:r>
              <w:rPr>
                <w:sz w:val="18"/>
              </w:rPr>
              <w:t>167.74</w:t>
            </w:r>
          </w:p>
        </w:tc>
        <w:tc>
          <w:tcPr>
            <w:tcW w:w="991" w:type="dxa"/>
          </w:tcPr>
          <w:p w:rsidR="007C5447" w:rsidRDefault="00F6308C">
            <w:pPr>
              <w:pStyle w:val="TableParagraph"/>
              <w:spacing w:before="45"/>
              <w:ind w:right="122"/>
              <w:rPr>
                <w:sz w:val="18"/>
              </w:rPr>
            </w:pPr>
            <w:r>
              <w:rPr>
                <w:sz w:val="18"/>
              </w:rPr>
              <w:t>26.84</w:t>
            </w:r>
          </w:p>
        </w:tc>
        <w:tc>
          <w:tcPr>
            <w:tcW w:w="1135" w:type="dxa"/>
          </w:tcPr>
          <w:p w:rsidR="007C5447" w:rsidRDefault="00F6308C">
            <w:pPr>
              <w:pStyle w:val="TableParagraph"/>
              <w:spacing w:before="45"/>
              <w:ind w:right="124"/>
              <w:rPr>
                <w:sz w:val="18"/>
              </w:rPr>
            </w:pPr>
            <w:r>
              <w:rPr>
                <w:sz w:val="18"/>
              </w:rPr>
              <w:t>13.27</w:t>
            </w:r>
          </w:p>
        </w:tc>
        <w:tc>
          <w:tcPr>
            <w:tcW w:w="1277" w:type="dxa"/>
          </w:tcPr>
          <w:p w:rsidR="007C5447" w:rsidRDefault="00F6308C">
            <w:pPr>
              <w:pStyle w:val="TableParagraph"/>
              <w:spacing w:before="45"/>
              <w:ind w:right="122"/>
              <w:rPr>
                <w:sz w:val="18"/>
              </w:rPr>
            </w:pPr>
            <w:r>
              <w:rPr>
                <w:sz w:val="18"/>
              </w:rPr>
              <w:t>13.64</w:t>
            </w:r>
          </w:p>
        </w:tc>
        <w:tc>
          <w:tcPr>
            <w:tcW w:w="1133" w:type="dxa"/>
          </w:tcPr>
          <w:p w:rsidR="007C5447" w:rsidRDefault="00F6308C">
            <w:pPr>
              <w:pStyle w:val="TableParagraph"/>
              <w:spacing w:before="45"/>
              <w:ind w:right="123"/>
              <w:rPr>
                <w:sz w:val="18"/>
              </w:rPr>
            </w:pPr>
            <w:r>
              <w:rPr>
                <w:w w:val="99"/>
                <w:sz w:val="18"/>
              </w:rPr>
              <w:t>-</w:t>
            </w:r>
          </w:p>
        </w:tc>
        <w:tc>
          <w:tcPr>
            <w:tcW w:w="1277" w:type="dxa"/>
          </w:tcPr>
          <w:p w:rsidR="007C5447" w:rsidRDefault="00F6308C">
            <w:pPr>
              <w:pStyle w:val="TableParagraph"/>
              <w:spacing w:before="45"/>
              <w:ind w:right="125"/>
              <w:rPr>
                <w:sz w:val="18"/>
              </w:rPr>
            </w:pPr>
            <w:r>
              <w:rPr>
                <w:sz w:val="18"/>
              </w:rPr>
              <w:t>0.55</w:t>
            </w:r>
          </w:p>
        </w:tc>
        <w:tc>
          <w:tcPr>
            <w:tcW w:w="1134" w:type="dxa"/>
          </w:tcPr>
          <w:p w:rsidR="007C5447" w:rsidRDefault="00F6308C">
            <w:pPr>
              <w:pStyle w:val="TableParagraph"/>
              <w:spacing w:before="45"/>
              <w:ind w:right="126"/>
              <w:rPr>
                <w:sz w:val="18"/>
              </w:rPr>
            </w:pPr>
            <w:r>
              <w:rPr>
                <w:sz w:val="18"/>
              </w:rPr>
              <w:t>0.15</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127"/>
              <w:rPr>
                <w:sz w:val="18"/>
              </w:rPr>
            </w:pPr>
            <w:r>
              <w:rPr>
                <w:sz w:val="18"/>
              </w:rPr>
              <w:t>0.53</w:t>
            </w:r>
          </w:p>
        </w:tc>
        <w:tc>
          <w:tcPr>
            <w:tcW w:w="1542" w:type="dxa"/>
          </w:tcPr>
          <w:p w:rsidR="007C5447" w:rsidRDefault="00F6308C">
            <w:pPr>
              <w:pStyle w:val="TableParagraph"/>
              <w:spacing w:before="45"/>
              <w:ind w:right="128"/>
              <w:rPr>
                <w:sz w:val="18"/>
              </w:rPr>
            </w:pPr>
            <w:r>
              <w:rPr>
                <w:sz w:val="18"/>
              </w:rPr>
              <w:t>257.88</w:t>
            </w:r>
          </w:p>
        </w:tc>
      </w:tr>
      <w:tr w:rsidR="007C5447">
        <w:trPr>
          <w:trHeight w:val="299"/>
        </w:trPr>
        <w:tc>
          <w:tcPr>
            <w:tcW w:w="710" w:type="dxa"/>
          </w:tcPr>
          <w:p w:rsidR="007C5447" w:rsidRDefault="00F6308C">
            <w:pPr>
              <w:pStyle w:val="TableParagraph"/>
              <w:spacing w:before="45"/>
              <w:ind w:left="4"/>
              <w:jc w:val="center"/>
              <w:rPr>
                <w:sz w:val="18"/>
              </w:rPr>
            </w:pPr>
            <w:r>
              <w:rPr>
                <w:sz w:val="18"/>
              </w:rPr>
              <w:t>8</w:t>
            </w:r>
          </w:p>
        </w:tc>
        <w:tc>
          <w:tcPr>
            <w:tcW w:w="1985" w:type="dxa"/>
          </w:tcPr>
          <w:p w:rsidR="007C5447" w:rsidRDefault="00F6308C">
            <w:pPr>
              <w:pStyle w:val="TableParagraph"/>
              <w:spacing w:before="45"/>
              <w:ind w:left="108"/>
              <w:jc w:val="left"/>
              <w:rPr>
                <w:sz w:val="18"/>
              </w:rPr>
            </w:pPr>
            <w:r>
              <w:rPr>
                <w:sz w:val="18"/>
              </w:rPr>
              <w:t>Kuttalam GTPS</w:t>
            </w:r>
          </w:p>
        </w:tc>
        <w:tc>
          <w:tcPr>
            <w:tcW w:w="1274" w:type="dxa"/>
          </w:tcPr>
          <w:p w:rsidR="007C5447" w:rsidRDefault="00F6308C">
            <w:pPr>
              <w:pStyle w:val="TableParagraph"/>
              <w:spacing w:before="45"/>
              <w:ind w:right="120"/>
              <w:rPr>
                <w:sz w:val="18"/>
              </w:rPr>
            </w:pPr>
            <w:r>
              <w:rPr>
                <w:sz w:val="18"/>
              </w:rPr>
              <w:t>32.18</w:t>
            </w:r>
          </w:p>
        </w:tc>
        <w:tc>
          <w:tcPr>
            <w:tcW w:w="1277" w:type="dxa"/>
          </w:tcPr>
          <w:p w:rsidR="007C5447" w:rsidRDefault="00F6308C">
            <w:pPr>
              <w:pStyle w:val="TableParagraph"/>
              <w:spacing w:before="45"/>
              <w:ind w:right="127"/>
              <w:rPr>
                <w:sz w:val="18"/>
              </w:rPr>
            </w:pPr>
            <w:r>
              <w:rPr>
                <w:sz w:val="18"/>
              </w:rPr>
              <w:t>140.10</w:t>
            </w:r>
          </w:p>
        </w:tc>
        <w:tc>
          <w:tcPr>
            <w:tcW w:w="991" w:type="dxa"/>
          </w:tcPr>
          <w:p w:rsidR="007C5447" w:rsidRDefault="00F6308C">
            <w:pPr>
              <w:pStyle w:val="TableParagraph"/>
              <w:spacing w:before="45"/>
              <w:ind w:right="122"/>
              <w:rPr>
                <w:sz w:val="18"/>
              </w:rPr>
            </w:pPr>
            <w:r>
              <w:rPr>
                <w:sz w:val="18"/>
              </w:rPr>
              <w:t>27.80</w:t>
            </w:r>
          </w:p>
        </w:tc>
        <w:tc>
          <w:tcPr>
            <w:tcW w:w="1135" w:type="dxa"/>
          </w:tcPr>
          <w:p w:rsidR="007C5447" w:rsidRDefault="00F6308C">
            <w:pPr>
              <w:pStyle w:val="TableParagraph"/>
              <w:spacing w:before="45"/>
              <w:ind w:right="124"/>
              <w:rPr>
                <w:sz w:val="18"/>
              </w:rPr>
            </w:pPr>
            <w:r>
              <w:rPr>
                <w:sz w:val="18"/>
              </w:rPr>
              <w:t>12.02</w:t>
            </w:r>
          </w:p>
        </w:tc>
        <w:tc>
          <w:tcPr>
            <w:tcW w:w="1277" w:type="dxa"/>
          </w:tcPr>
          <w:p w:rsidR="007C5447" w:rsidRDefault="00F6308C">
            <w:pPr>
              <w:pStyle w:val="TableParagraph"/>
              <w:spacing w:before="45"/>
              <w:ind w:right="122"/>
              <w:rPr>
                <w:sz w:val="18"/>
              </w:rPr>
            </w:pPr>
            <w:r>
              <w:rPr>
                <w:sz w:val="18"/>
              </w:rPr>
              <w:t>10.38</w:t>
            </w:r>
          </w:p>
        </w:tc>
        <w:tc>
          <w:tcPr>
            <w:tcW w:w="1133" w:type="dxa"/>
          </w:tcPr>
          <w:p w:rsidR="007C5447" w:rsidRDefault="00F6308C">
            <w:pPr>
              <w:pStyle w:val="TableParagraph"/>
              <w:spacing w:before="45"/>
              <w:ind w:right="123"/>
              <w:rPr>
                <w:sz w:val="18"/>
              </w:rPr>
            </w:pPr>
            <w:r>
              <w:rPr>
                <w:w w:val="99"/>
                <w:sz w:val="18"/>
              </w:rPr>
              <w:t>-</w:t>
            </w:r>
          </w:p>
        </w:tc>
        <w:tc>
          <w:tcPr>
            <w:tcW w:w="1277" w:type="dxa"/>
          </w:tcPr>
          <w:p w:rsidR="007C5447" w:rsidRDefault="00F6308C">
            <w:pPr>
              <w:pStyle w:val="TableParagraph"/>
              <w:spacing w:before="45"/>
              <w:ind w:right="125"/>
              <w:rPr>
                <w:sz w:val="18"/>
              </w:rPr>
            </w:pPr>
            <w:r>
              <w:rPr>
                <w:sz w:val="18"/>
              </w:rPr>
              <w:t>0.15</w:t>
            </w:r>
          </w:p>
        </w:tc>
        <w:tc>
          <w:tcPr>
            <w:tcW w:w="1134" w:type="dxa"/>
          </w:tcPr>
          <w:p w:rsidR="007C5447" w:rsidRDefault="00F6308C">
            <w:pPr>
              <w:pStyle w:val="TableParagraph"/>
              <w:spacing w:before="45"/>
              <w:ind w:right="126"/>
              <w:rPr>
                <w:sz w:val="18"/>
              </w:rPr>
            </w:pPr>
            <w:r>
              <w:rPr>
                <w:sz w:val="18"/>
              </w:rPr>
              <w:t>0.12</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127"/>
              <w:rPr>
                <w:sz w:val="18"/>
              </w:rPr>
            </w:pPr>
            <w:r>
              <w:rPr>
                <w:sz w:val="18"/>
              </w:rPr>
              <w:t>0.50</w:t>
            </w:r>
          </w:p>
        </w:tc>
        <w:tc>
          <w:tcPr>
            <w:tcW w:w="1542" w:type="dxa"/>
          </w:tcPr>
          <w:p w:rsidR="007C5447" w:rsidRDefault="00F6308C">
            <w:pPr>
              <w:pStyle w:val="TableParagraph"/>
              <w:spacing w:before="45"/>
              <w:ind w:right="128"/>
              <w:rPr>
                <w:sz w:val="18"/>
              </w:rPr>
            </w:pPr>
            <w:r>
              <w:rPr>
                <w:sz w:val="18"/>
              </w:rPr>
              <w:t>223.02</w:t>
            </w:r>
          </w:p>
        </w:tc>
      </w:tr>
      <w:tr w:rsidR="007C5447">
        <w:trPr>
          <w:trHeight w:val="443"/>
        </w:trPr>
        <w:tc>
          <w:tcPr>
            <w:tcW w:w="710" w:type="dxa"/>
          </w:tcPr>
          <w:p w:rsidR="007C5447" w:rsidRDefault="00F6308C">
            <w:pPr>
              <w:pStyle w:val="TableParagraph"/>
              <w:spacing w:before="117"/>
              <w:ind w:left="4"/>
              <w:jc w:val="center"/>
              <w:rPr>
                <w:sz w:val="18"/>
              </w:rPr>
            </w:pPr>
            <w:r>
              <w:rPr>
                <w:sz w:val="18"/>
              </w:rPr>
              <w:t>9</w:t>
            </w:r>
          </w:p>
        </w:tc>
        <w:tc>
          <w:tcPr>
            <w:tcW w:w="1985" w:type="dxa"/>
          </w:tcPr>
          <w:p w:rsidR="007C5447" w:rsidRDefault="00F6308C">
            <w:pPr>
              <w:pStyle w:val="TableParagraph"/>
              <w:spacing w:before="11" w:line="210" w:lineRule="atLeast"/>
              <w:ind w:left="108" w:right="416"/>
              <w:jc w:val="left"/>
              <w:rPr>
                <w:sz w:val="18"/>
              </w:rPr>
            </w:pPr>
            <w:r>
              <w:rPr>
                <w:sz w:val="18"/>
              </w:rPr>
              <w:t>Basin Bridge GTPS (Naphtha)</w:t>
            </w:r>
          </w:p>
        </w:tc>
        <w:tc>
          <w:tcPr>
            <w:tcW w:w="1274" w:type="dxa"/>
          </w:tcPr>
          <w:p w:rsidR="007C5447" w:rsidRDefault="00F6308C">
            <w:pPr>
              <w:pStyle w:val="TableParagraph"/>
              <w:spacing w:before="117"/>
              <w:ind w:right="123"/>
              <w:rPr>
                <w:sz w:val="18"/>
              </w:rPr>
            </w:pPr>
            <w:r>
              <w:rPr>
                <w:sz w:val="18"/>
              </w:rPr>
              <w:t>117.11</w:t>
            </w:r>
          </w:p>
        </w:tc>
        <w:tc>
          <w:tcPr>
            <w:tcW w:w="1277" w:type="dxa"/>
          </w:tcPr>
          <w:p w:rsidR="007C5447" w:rsidRDefault="00F6308C">
            <w:pPr>
              <w:pStyle w:val="TableParagraph"/>
              <w:spacing w:before="117"/>
              <w:ind w:right="127"/>
              <w:rPr>
                <w:sz w:val="18"/>
              </w:rPr>
            </w:pPr>
            <w:r>
              <w:rPr>
                <w:sz w:val="18"/>
              </w:rPr>
              <w:t>208.99</w:t>
            </w:r>
          </w:p>
        </w:tc>
        <w:tc>
          <w:tcPr>
            <w:tcW w:w="991" w:type="dxa"/>
          </w:tcPr>
          <w:p w:rsidR="007C5447" w:rsidRDefault="00F6308C">
            <w:pPr>
              <w:pStyle w:val="TableParagraph"/>
              <w:spacing w:before="117"/>
              <w:ind w:right="122"/>
              <w:rPr>
                <w:sz w:val="18"/>
              </w:rPr>
            </w:pPr>
            <w:r>
              <w:rPr>
                <w:sz w:val="18"/>
              </w:rPr>
              <w:t>32.56</w:t>
            </w:r>
          </w:p>
        </w:tc>
        <w:tc>
          <w:tcPr>
            <w:tcW w:w="1135" w:type="dxa"/>
          </w:tcPr>
          <w:p w:rsidR="007C5447" w:rsidRDefault="00F6308C">
            <w:pPr>
              <w:pStyle w:val="TableParagraph"/>
              <w:spacing w:before="117"/>
              <w:ind w:right="124"/>
              <w:rPr>
                <w:sz w:val="18"/>
              </w:rPr>
            </w:pPr>
            <w:r>
              <w:rPr>
                <w:sz w:val="18"/>
              </w:rPr>
              <w:t>11.77</w:t>
            </w:r>
          </w:p>
        </w:tc>
        <w:tc>
          <w:tcPr>
            <w:tcW w:w="1277" w:type="dxa"/>
          </w:tcPr>
          <w:p w:rsidR="007C5447" w:rsidRDefault="00F6308C">
            <w:pPr>
              <w:pStyle w:val="TableParagraph"/>
              <w:spacing w:before="117"/>
              <w:ind w:right="125"/>
              <w:rPr>
                <w:sz w:val="18"/>
              </w:rPr>
            </w:pPr>
            <w:r>
              <w:rPr>
                <w:sz w:val="18"/>
              </w:rPr>
              <w:t>8.78</w:t>
            </w:r>
          </w:p>
        </w:tc>
        <w:tc>
          <w:tcPr>
            <w:tcW w:w="1133" w:type="dxa"/>
          </w:tcPr>
          <w:p w:rsidR="007C5447" w:rsidRDefault="00F6308C">
            <w:pPr>
              <w:pStyle w:val="TableParagraph"/>
              <w:spacing w:before="117"/>
              <w:ind w:right="123"/>
              <w:rPr>
                <w:sz w:val="18"/>
              </w:rPr>
            </w:pPr>
            <w:r>
              <w:rPr>
                <w:w w:val="99"/>
                <w:sz w:val="18"/>
              </w:rPr>
              <w:t>-</w:t>
            </w:r>
          </w:p>
        </w:tc>
        <w:tc>
          <w:tcPr>
            <w:tcW w:w="1277" w:type="dxa"/>
          </w:tcPr>
          <w:p w:rsidR="007C5447" w:rsidRDefault="00F6308C">
            <w:pPr>
              <w:pStyle w:val="TableParagraph"/>
              <w:spacing w:before="117"/>
              <w:ind w:right="123"/>
              <w:rPr>
                <w:sz w:val="18"/>
              </w:rPr>
            </w:pPr>
            <w:r>
              <w:rPr>
                <w:w w:val="99"/>
                <w:sz w:val="18"/>
              </w:rPr>
              <w:t>-</w:t>
            </w:r>
          </w:p>
        </w:tc>
        <w:tc>
          <w:tcPr>
            <w:tcW w:w="1134" w:type="dxa"/>
          </w:tcPr>
          <w:p w:rsidR="007C5447" w:rsidRDefault="00F6308C">
            <w:pPr>
              <w:pStyle w:val="TableParagraph"/>
              <w:spacing w:before="117"/>
              <w:ind w:right="126"/>
              <w:rPr>
                <w:sz w:val="18"/>
              </w:rPr>
            </w:pPr>
            <w:r>
              <w:rPr>
                <w:sz w:val="18"/>
              </w:rPr>
              <w:t>0.05</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117"/>
              <w:ind w:right="127"/>
              <w:rPr>
                <w:sz w:val="18"/>
              </w:rPr>
            </w:pPr>
            <w:r>
              <w:rPr>
                <w:sz w:val="18"/>
              </w:rPr>
              <w:t>0.49</w:t>
            </w:r>
          </w:p>
        </w:tc>
        <w:tc>
          <w:tcPr>
            <w:tcW w:w="1542" w:type="dxa"/>
          </w:tcPr>
          <w:p w:rsidR="007C5447" w:rsidRDefault="00F6308C">
            <w:pPr>
              <w:pStyle w:val="TableParagraph"/>
              <w:spacing w:before="117"/>
              <w:ind w:right="128"/>
              <w:rPr>
                <w:sz w:val="18"/>
              </w:rPr>
            </w:pPr>
            <w:r>
              <w:rPr>
                <w:sz w:val="18"/>
              </w:rPr>
              <w:t>379.65</w:t>
            </w:r>
          </w:p>
        </w:tc>
      </w:tr>
      <w:tr w:rsidR="007C5447">
        <w:trPr>
          <w:trHeight w:val="300"/>
        </w:trPr>
        <w:tc>
          <w:tcPr>
            <w:tcW w:w="710" w:type="dxa"/>
          </w:tcPr>
          <w:p w:rsidR="007C5447" w:rsidRDefault="00F6308C">
            <w:pPr>
              <w:pStyle w:val="TableParagraph"/>
              <w:spacing w:before="48"/>
              <w:ind w:left="236" w:right="226"/>
              <w:jc w:val="center"/>
              <w:rPr>
                <w:sz w:val="18"/>
              </w:rPr>
            </w:pPr>
            <w:r>
              <w:rPr>
                <w:sz w:val="18"/>
              </w:rPr>
              <w:t>10</w:t>
            </w:r>
          </w:p>
        </w:tc>
        <w:tc>
          <w:tcPr>
            <w:tcW w:w="1985" w:type="dxa"/>
          </w:tcPr>
          <w:p w:rsidR="007C5447" w:rsidRDefault="00F6308C">
            <w:pPr>
              <w:pStyle w:val="TableParagraph"/>
              <w:spacing w:before="48"/>
              <w:ind w:left="108"/>
              <w:jc w:val="left"/>
              <w:rPr>
                <w:sz w:val="18"/>
              </w:rPr>
            </w:pPr>
            <w:r>
              <w:rPr>
                <w:sz w:val="18"/>
              </w:rPr>
              <w:t>Valuthur Unit-I</w:t>
            </w:r>
          </w:p>
        </w:tc>
        <w:tc>
          <w:tcPr>
            <w:tcW w:w="1274" w:type="dxa"/>
          </w:tcPr>
          <w:p w:rsidR="007C5447" w:rsidRDefault="00F6308C">
            <w:pPr>
              <w:pStyle w:val="TableParagraph"/>
              <w:spacing w:before="48"/>
              <w:ind w:right="120"/>
              <w:rPr>
                <w:sz w:val="18"/>
              </w:rPr>
            </w:pPr>
            <w:r>
              <w:rPr>
                <w:sz w:val="18"/>
              </w:rPr>
              <w:t>61.59</w:t>
            </w:r>
          </w:p>
        </w:tc>
        <w:tc>
          <w:tcPr>
            <w:tcW w:w="1277" w:type="dxa"/>
          </w:tcPr>
          <w:p w:rsidR="007C5447" w:rsidRDefault="00F6308C">
            <w:pPr>
              <w:pStyle w:val="TableParagraph"/>
              <w:spacing w:before="48"/>
              <w:ind w:right="127"/>
              <w:rPr>
                <w:sz w:val="18"/>
              </w:rPr>
            </w:pPr>
            <w:r>
              <w:rPr>
                <w:sz w:val="18"/>
              </w:rPr>
              <w:t>206.93</w:t>
            </w:r>
          </w:p>
        </w:tc>
        <w:tc>
          <w:tcPr>
            <w:tcW w:w="991" w:type="dxa"/>
          </w:tcPr>
          <w:p w:rsidR="007C5447" w:rsidRDefault="00F6308C">
            <w:pPr>
              <w:pStyle w:val="TableParagraph"/>
              <w:spacing w:before="48"/>
              <w:ind w:right="122"/>
              <w:rPr>
                <w:sz w:val="18"/>
              </w:rPr>
            </w:pPr>
            <w:r>
              <w:rPr>
                <w:sz w:val="18"/>
              </w:rPr>
              <w:t>34.31</w:t>
            </w:r>
          </w:p>
        </w:tc>
        <w:tc>
          <w:tcPr>
            <w:tcW w:w="1135" w:type="dxa"/>
          </w:tcPr>
          <w:p w:rsidR="007C5447" w:rsidRDefault="00F6308C">
            <w:pPr>
              <w:pStyle w:val="TableParagraph"/>
              <w:spacing w:before="48"/>
              <w:ind w:right="124"/>
              <w:rPr>
                <w:sz w:val="18"/>
              </w:rPr>
            </w:pPr>
            <w:r>
              <w:rPr>
                <w:sz w:val="18"/>
              </w:rPr>
              <w:t>14.55</w:t>
            </w:r>
          </w:p>
        </w:tc>
        <w:tc>
          <w:tcPr>
            <w:tcW w:w="1277" w:type="dxa"/>
          </w:tcPr>
          <w:p w:rsidR="007C5447" w:rsidRDefault="00F6308C">
            <w:pPr>
              <w:pStyle w:val="TableParagraph"/>
              <w:spacing w:before="48"/>
              <w:ind w:right="122"/>
              <w:rPr>
                <w:sz w:val="18"/>
              </w:rPr>
            </w:pPr>
            <w:r>
              <w:rPr>
                <w:sz w:val="18"/>
              </w:rPr>
              <w:t>13.04</w:t>
            </w:r>
          </w:p>
        </w:tc>
        <w:tc>
          <w:tcPr>
            <w:tcW w:w="1133" w:type="dxa"/>
          </w:tcPr>
          <w:p w:rsidR="007C5447" w:rsidRDefault="00F6308C">
            <w:pPr>
              <w:pStyle w:val="TableParagraph"/>
              <w:spacing w:before="48"/>
              <w:ind w:right="123"/>
              <w:rPr>
                <w:sz w:val="18"/>
              </w:rPr>
            </w:pPr>
            <w:r>
              <w:rPr>
                <w:w w:val="99"/>
                <w:sz w:val="18"/>
              </w:rPr>
              <w:t>-</w:t>
            </w:r>
          </w:p>
        </w:tc>
        <w:tc>
          <w:tcPr>
            <w:tcW w:w="1277" w:type="dxa"/>
          </w:tcPr>
          <w:p w:rsidR="007C5447" w:rsidRDefault="00F6308C">
            <w:pPr>
              <w:pStyle w:val="TableParagraph"/>
              <w:spacing w:before="48"/>
              <w:ind w:right="123"/>
              <w:rPr>
                <w:sz w:val="18"/>
              </w:rPr>
            </w:pPr>
            <w:r>
              <w:rPr>
                <w:w w:val="99"/>
                <w:sz w:val="18"/>
              </w:rPr>
              <w:t>-</w:t>
            </w:r>
          </w:p>
        </w:tc>
        <w:tc>
          <w:tcPr>
            <w:tcW w:w="1134" w:type="dxa"/>
          </w:tcPr>
          <w:p w:rsidR="007C5447" w:rsidRDefault="00F6308C">
            <w:pPr>
              <w:pStyle w:val="TableParagraph"/>
              <w:spacing w:before="48"/>
              <w:ind w:right="126"/>
              <w:rPr>
                <w:sz w:val="18"/>
              </w:rPr>
            </w:pPr>
            <w:r>
              <w:rPr>
                <w:sz w:val="18"/>
              </w:rPr>
              <w:t>0.16</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8"/>
              <w:ind w:right="127"/>
              <w:rPr>
                <w:sz w:val="18"/>
              </w:rPr>
            </w:pPr>
            <w:r>
              <w:rPr>
                <w:sz w:val="18"/>
              </w:rPr>
              <w:t>0.89</w:t>
            </w:r>
          </w:p>
        </w:tc>
        <w:tc>
          <w:tcPr>
            <w:tcW w:w="1542" w:type="dxa"/>
          </w:tcPr>
          <w:p w:rsidR="007C5447" w:rsidRDefault="00F6308C">
            <w:pPr>
              <w:pStyle w:val="TableParagraph"/>
              <w:spacing w:before="48"/>
              <w:ind w:right="128"/>
              <w:rPr>
                <w:sz w:val="18"/>
              </w:rPr>
            </w:pPr>
            <w:r>
              <w:rPr>
                <w:sz w:val="18"/>
              </w:rPr>
              <w:t>331.15</w:t>
            </w:r>
          </w:p>
        </w:tc>
      </w:tr>
      <w:tr w:rsidR="007C5447">
        <w:trPr>
          <w:trHeight w:val="299"/>
        </w:trPr>
        <w:tc>
          <w:tcPr>
            <w:tcW w:w="710" w:type="dxa"/>
          </w:tcPr>
          <w:p w:rsidR="007C5447" w:rsidRDefault="00F6308C">
            <w:pPr>
              <w:pStyle w:val="TableParagraph"/>
              <w:spacing w:before="47"/>
              <w:ind w:left="236" w:right="226"/>
              <w:jc w:val="center"/>
              <w:rPr>
                <w:sz w:val="18"/>
              </w:rPr>
            </w:pPr>
            <w:r>
              <w:rPr>
                <w:sz w:val="18"/>
              </w:rPr>
              <w:t>12</w:t>
            </w:r>
          </w:p>
        </w:tc>
        <w:tc>
          <w:tcPr>
            <w:tcW w:w="1985" w:type="dxa"/>
          </w:tcPr>
          <w:p w:rsidR="007C5447" w:rsidRDefault="00F6308C">
            <w:pPr>
              <w:pStyle w:val="TableParagraph"/>
              <w:spacing w:before="47"/>
              <w:ind w:left="108"/>
              <w:jc w:val="left"/>
              <w:rPr>
                <w:sz w:val="18"/>
              </w:rPr>
            </w:pPr>
            <w:r>
              <w:rPr>
                <w:sz w:val="18"/>
              </w:rPr>
              <w:t>Erode HEP</w:t>
            </w:r>
          </w:p>
        </w:tc>
        <w:tc>
          <w:tcPr>
            <w:tcW w:w="1274" w:type="dxa"/>
          </w:tcPr>
          <w:p w:rsidR="007C5447" w:rsidRDefault="00F6308C">
            <w:pPr>
              <w:pStyle w:val="TableParagraph"/>
              <w:spacing w:before="47"/>
              <w:ind w:right="115"/>
              <w:rPr>
                <w:sz w:val="18"/>
              </w:rPr>
            </w:pPr>
            <w:r>
              <w:rPr>
                <w:sz w:val="18"/>
              </w:rPr>
              <w:t>79.82*</w:t>
            </w:r>
          </w:p>
        </w:tc>
        <w:tc>
          <w:tcPr>
            <w:tcW w:w="1277" w:type="dxa"/>
          </w:tcPr>
          <w:p w:rsidR="007C5447" w:rsidRDefault="00F6308C">
            <w:pPr>
              <w:pStyle w:val="TableParagraph"/>
              <w:spacing w:before="47"/>
              <w:ind w:right="127"/>
              <w:rPr>
                <w:sz w:val="18"/>
              </w:rPr>
            </w:pPr>
            <w:r>
              <w:rPr>
                <w:sz w:val="18"/>
              </w:rPr>
              <w:t>261.74</w:t>
            </w:r>
          </w:p>
        </w:tc>
        <w:tc>
          <w:tcPr>
            <w:tcW w:w="991" w:type="dxa"/>
          </w:tcPr>
          <w:p w:rsidR="007C5447" w:rsidRDefault="00F6308C">
            <w:pPr>
              <w:pStyle w:val="TableParagraph"/>
              <w:spacing w:before="47"/>
              <w:ind w:right="122"/>
              <w:rPr>
                <w:sz w:val="18"/>
              </w:rPr>
            </w:pPr>
            <w:r>
              <w:rPr>
                <w:sz w:val="18"/>
              </w:rPr>
              <w:t>70.00</w:t>
            </w:r>
          </w:p>
        </w:tc>
        <w:tc>
          <w:tcPr>
            <w:tcW w:w="1135" w:type="dxa"/>
          </w:tcPr>
          <w:p w:rsidR="007C5447" w:rsidRDefault="00F6308C">
            <w:pPr>
              <w:pStyle w:val="TableParagraph"/>
              <w:spacing w:before="47"/>
              <w:ind w:right="127"/>
              <w:rPr>
                <w:sz w:val="18"/>
              </w:rPr>
            </w:pPr>
            <w:r>
              <w:rPr>
                <w:sz w:val="18"/>
              </w:rPr>
              <w:t>6.20</w:t>
            </w:r>
          </w:p>
        </w:tc>
        <w:tc>
          <w:tcPr>
            <w:tcW w:w="1277" w:type="dxa"/>
          </w:tcPr>
          <w:p w:rsidR="007C5447" w:rsidRDefault="00F6308C">
            <w:pPr>
              <w:pStyle w:val="TableParagraph"/>
              <w:spacing w:before="47"/>
              <w:ind w:right="122"/>
              <w:rPr>
                <w:sz w:val="18"/>
              </w:rPr>
            </w:pPr>
            <w:r>
              <w:rPr>
                <w:sz w:val="18"/>
              </w:rPr>
              <w:t>52.96</w:t>
            </w:r>
          </w:p>
        </w:tc>
        <w:tc>
          <w:tcPr>
            <w:tcW w:w="1133" w:type="dxa"/>
          </w:tcPr>
          <w:p w:rsidR="007C5447" w:rsidRDefault="00F6308C">
            <w:pPr>
              <w:pStyle w:val="TableParagraph"/>
              <w:spacing w:before="47"/>
              <w:ind w:right="123"/>
              <w:rPr>
                <w:sz w:val="18"/>
              </w:rPr>
            </w:pPr>
            <w:r>
              <w:rPr>
                <w:w w:val="99"/>
                <w:sz w:val="18"/>
              </w:rPr>
              <w:t>-</w:t>
            </w:r>
          </w:p>
        </w:tc>
        <w:tc>
          <w:tcPr>
            <w:tcW w:w="1277" w:type="dxa"/>
          </w:tcPr>
          <w:p w:rsidR="007C5447" w:rsidRDefault="00F6308C">
            <w:pPr>
              <w:pStyle w:val="TableParagraph"/>
              <w:spacing w:before="47"/>
              <w:ind w:right="125"/>
              <w:rPr>
                <w:sz w:val="18"/>
              </w:rPr>
            </w:pPr>
            <w:r>
              <w:rPr>
                <w:sz w:val="18"/>
              </w:rPr>
              <w:t>0.08</w:t>
            </w:r>
          </w:p>
        </w:tc>
        <w:tc>
          <w:tcPr>
            <w:tcW w:w="1134" w:type="dxa"/>
          </w:tcPr>
          <w:p w:rsidR="007C5447" w:rsidRDefault="00F6308C">
            <w:pPr>
              <w:pStyle w:val="TableParagraph"/>
              <w:spacing w:before="47"/>
              <w:ind w:right="126"/>
              <w:rPr>
                <w:sz w:val="18"/>
              </w:rPr>
            </w:pPr>
            <w:r>
              <w:rPr>
                <w:sz w:val="18"/>
              </w:rPr>
              <w:t>0.10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7"/>
              <w:rPr>
                <w:sz w:val="18"/>
              </w:rPr>
            </w:pPr>
            <w:r>
              <w:rPr>
                <w:sz w:val="18"/>
              </w:rPr>
              <w:t>2.70</w:t>
            </w:r>
          </w:p>
        </w:tc>
        <w:tc>
          <w:tcPr>
            <w:tcW w:w="1542" w:type="dxa"/>
          </w:tcPr>
          <w:p w:rsidR="007C5447" w:rsidRDefault="00F6308C">
            <w:pPr>
              <w:pStyle w:val="TableParagraph"/>
              <w:spacing w:before="47"/>
              <w:ind w:right="128"/>
              <w:rPr>
                <w:sz w:val="18"/>
              </w:rPr>
            </w:pPr>
            <w:r>
              <w:rPr>
                <w:sz w:val="18"/>
              </w:rPr>
              <w:t>473.39</w:t>
            </w:r>
          </w:p>
        </w:tc>
      </w:tr>
      <w:tr w:rsidR="007C5447">
        <w:trPr>
          <w:trHeight w:val="301"/>
        </w:trPr>
        <w:tc>
          <w:tcPr>
            <w:tcW w:w="710" w:type="dxa"/>
          </w:tcPr>
          <w:p w:rsidR="007C5447" w:rsidRDefault="00F6308C">
            <w:pPr>
              <w:pStyle w:val="TableParagraph"/>
              <w:spacing w:before="47"/>
              <w:ind w:left="236" w:right="226"/>
              <w:jc w:val="center"/>
              <w:rPr>
                <w:sz w:val="18"/>
              </w:rPr>
            </w:pPr>
            <w:r>
              <w:rPr>
                <w:sz w:val="18"/>
              </w:rPr>
              <w:t>13</w:t>
            </w:r>
          </w:p>
        </w:tc>
        <w:tc>
          <w:tcPr>
            <w:tcW w:w="1985" w:type="dxa"/>
          </w:tcPr>
          <w:p w:rsidR="007C5447" w:rsidRDefault="00F6308C">
            <w:pPr>
              <w:pStyle w:val="TableParagraph"/>
              <w:spacing w:before="47"/>
              <w:ind w:left="108"/>
              <w:jc w:val="left"/>
              <w:rPr>
                <w:sz w:val="18"/>
              </w:rPr>
            </w:pPr>
            <w:r>
              <w:rPr>
                <w:sz w:val="18"/>
              </w:rPr>
              <w:t>Kadamparai HEP</w:t>
            </w:r>
          </w:p>
        </w:tc>
        <w:tc>
          <w:tcPr>
            <w:tcW w:w="1274" w:type="dxa"/>
          </w:tcPr>
          <w:p w:rsidR="007C5447" w:rsidRDefault="00F6308C">
            <w:pPr>
              <w:pStyle w:val="TableParagraph"/>
              <w:spacing w:before="47"/>
              <w:ind w:right="120"/>
              <w:rPr>
                <w:sz w:val="18"/>
              </w:rPr>
            </w:pPr>
            <w:r>
              <w:rPr>
                <w:sz w:val="18"/>
              </w:rPr>
              <w:t>26.88</w:t>
            </w:r>
          </w:p>
        </w:tc>
        <w:tc>
          <w:tcPr>
            <w:tcW w:w="1277" w:type="dxa"/>
          </w:tcPr>
          <w:p w:rsidR="007C5447" w:rsidRDefault="00F6308C">
            <w:pPr>
              <w:pStyle w:val="TableParagraph"/>
              <w:spacing w:before="47"/>
              <w:ind w:right="127"/>
              <w:rPr>
                <w:sz w:val="18"/>
              </w:rPr>
            </w:pPr>
            <w:r>
              <w:rPr>
                <w:sz w:val="18"/>
              </w:rPr>
              <w:t>153.47</w:t>
            </w:r>
          </w:p>
        </w:tc>
        <w:tc>
          <w:tcPr>
            <w:tcW w:w="991" w:type="dxa"/>
          </w:tcPr>
          <w:p w:rsidR="007C5447" w:rsidRDefault="00F6308C">
            <w:pPr>
              <w:pStyle w:val="TableParagraph"/>
              <w:spacing w:before="47"/>
              <w:ind w:right="122"/>
              <w:rPr>
                <w:sz w:val="18"/>
              </w:rPr>
            </w:pPr>
            <w:r>
              <w:rPr>
                <w:sz w:val="18"/>
              </w:rPr>
              <w:t>22.43</w:t>
            </w:r>
          </w:p>
        </w:tc>
        <w:tc>
          <w:tcPr>
            <w:tcW w:w="1135" w:type="dxa"/>
          </w:tcPr>
          <w:p w:rsidR="007C5447" w:rsidRDefault="00F6308C">
            <w:pPr>
              <w:pStyle w:val="TableParagraph"/>
              <w:spacing w:before="47"/>
              <w:ind w:right="127"/>
              <w:rPr>
                <w:sz w:val="18"/>
              </w:rPr>
            </w:pPr>
            <w:r>
              <w:rPr>
                <w:sz w:val="18"/>
              </w:rPr>
              <w:t>6.28</w:t>
            </w:r>
          </w:p>
        </w:tc>
        <w:tc>
          <w:tcPr>
            <w:tcW w:w="1277" w:type="dxa"/>
          </w:tcPr>
          <w:p w:rsidR="007C5447" w:rsidRDefault="00F6308C">
            <w:pPr>
              <w:pStyle w:val="TableParagraph"/>
              <w:spacing w:before="47"/>
              <w:ind w:right="122"/>
              <w:rPr>
                <w:sz w:val="18"/>
              </w:rPr>
            </w:pPr>
            <w:r>
              <w:rPr>
                <w:sz w:val="18"/>
              </w:rPr>
              <w:t>35.14</w:t>
            </w:r>
          </w:p>
        </w:tc>
        <w:tc>
          <w:tcPr>
            <w:tcW w:w="1133" w:type="dxa"/>
          </w:tcPr>
          <w:p w:rsidR="007C5447" w:rsidRDefault="00F6308C">
            <w:pPr>
              <w:pStyle w:val="TableParagraph"/>
              <w:spacing w:before="47"/>
              <w:ind w:right="124"/>
              <w:rPr>
                <w:sz w:val="18"/>
              </w:rPr>
            </w:pPr>
            <w:r>
              <w:rPr>
                <w:sz w:val="18"/>
              </w:rPr>
              <w:t>0.02</w:t>
            </w:r>
          </w:p>
        </w:tc>
        <w:tc>
          <w:tcPr>
            <w:tcW w:w="1277" w:type="dxa"/>
          </w:tcPr>
          <w:p w:rsidR="007C5447" w:rsidRDefault="00F6308C">
            <w:pPr>
              <w:pStyle w:val="TableParagraph"/>
              <w:spacing w:before="47"/>
              <w:ind w:right="125"/>
              <w:rPr>
                <w:sz w:val="18"/>
              </w:rPr>
            </w:pPr>
            <w:r>
              <w:rPr>
                <w:sz w:val="18"/>
              </w:rPr>
              <w:t>1.83</w:t>
            </w:r>
          </w:p>
        </w:tc>
        <w:tc>
          <w:tcPr>
            <w:tcW w:w="1134" w:type="dxa"/>
          </w:tcPr>
          <w:p w:rsidR="007C5447" w:rsidRDefault="00F6308C">
            <w:pPr>
              <w:pStyle w:val="TableParagraph"/>
              <w:spacing w:before="47"/>
              <w:ind w:right="126"/>
              <w:rPr>
                <w:sz w:val="18"/>
              </w:rPr>
            </w:pPr>
            <w:r>
              <w:rPr>
                <w:sz w:val="18"/>
              </w:rPr>
              <w:t>0.25</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7"/>
              <w:rPr>
                <w:sz w:val="18"/>
              </w:rPr>
            </w:pPr>
            <w:r>
              <w:rPr>
                <w:sz w:val="18"/>
              </w:rPr>
              <w:t>1.69</w:t>
            </w:r>
          </w:p>
        </w:tc>
        <w:tc>
          <w:tcPr>
            <w:tcW w:w="1542" w:type="dxa"/>
          </w:tcPr>
          <w:p w:rsidR="007C5447" w:rsidRDefault="00F6308C">
            <w:pPr>
              <w:pStyle w:val="TableParagraph"/>
              <w:spacing w:before="47"/>
              <w:ind w:right="128"/>
              <w:rPr>
                <w:sz w:val="18"/>
              </w:rPr>
            </w:pPr>
            <w:r>
              <w:rPr>
                <w:sz w:val="18"/>
              </w:rPr>
              <w:t>247.50</w:t>
            </w:r>
          </w:p>
        </w:tc>
      </w:tr>
      <w:tr w:rsidR="007C5447">
        <w:trPr>
          <w:trHeight w:val="314"/>
        </w:trPr>
        <w:tc>
          <w:tcPr>
            <w:tcW w:w="710" w:type="dxa"/>
          </w:tcPr>
          <w:p w:rsidR="007C5447" w:rsidRDefault="00F6308C">
            <w:pPr>
              <w:pStyle w:val="TableParagraph"/>
              <w:spacing w:before="52"/>
              <w:ind w:left="236" w:right="226"/>
              <w:jc w:val="center"/>
              <w:rPr>
                <w:sz w:val="18"/>
              </w:rPr>
            </w:pPr>
            <w:r>
              <w:rPr>
                <w:sz w:val="18"/>
              </w:rPr>
              <w:t>14</w:t>
            </w:r>
          </w:p>
        </w:tc>
        <w:tc>
          <w:tcPr>
            <w:tcW w:w="1985" w:type="dxa"/>
          </w:tcPr>
          <w:p w:rsidR="007C5447" w:rsidRDefault="00F6308C">
            <w:pPr>
              <w:pStyle w:val="TableParagraph"/>
              <w:spacing w:before="52"/>
              <w:ind w:left="108"/>
              <w:jc w:val="left"/>
              <w:rPr>
                <w:sz w:val="18"/>
              </w:rPr>
            </w:pPr>
            <w:r>
              <w:rPr>
                <w:sz w:val="18"/>
              </w:rPr>
              <w:t>Kundah HEP</w:t>
            </w:r>
          </w:p>
        </w:tc>
        <w:tc>
          <w:tcPr>
            <w:tcW w:w="1274" w:type="dxa"/>
          </w:tcPr>
          <w:p w:rsidR="007C5447" w:rsidRDefault="00F6308C">
            <w:pPr>
              <w:pStyle w:val="TableParagraph"/>
              <w:spacing w:before="52"/>
              <w:ind w:right="120"/>
              <w:rPr>
                <w:sz w:val="18"/>
              </w:rPr>
            </w:pPr>
            <w:r>
              <w:rPr>
                <w:sz w:val="18"/>
              </w:rPr>
              <w:t>86.92</w:t>
            </w:r>
          </w:p>
        </w:tc>
        <w:tc>
          <w:tcPr>
            <w:tcW w:w="1277" w:type="dxa"/>
          </w:tcPr>
          <w:p w:rsidR="007C5447" w:rsidRDefault="00F6308C">
            <w:pPr>
              <w:pStyle w:val="TableParagraph"/>
              <w:spacing w:before="52"/>
              <w:ind w:right="127"/>
              <w:rPr>
                <w:sz w:val="18"/>
              </w:rPr>
            </w:pPr>
            <w:r>
              <w:rPr>
                <w:sz w:val="18"/>
              </w:rPr>
              <w:t>335.63</w:t>
            </w:r>
          </w:p>
        </w:tc>
        <w:tc>
          <w:tcPr>
            <w:tcW w:w="991" w:type="dxa"/>
          </w:tcPr>
          <w:p w:rsidR="007C5447" w:rsidRDefault="00F6308C">
            <w:pPr>
              <w:pStyle w:val="TableParagraph"/>
              <w:spacing w:before="52"/>
              <w:ind w:right="122"/>
              <w:rPr>
                <w:sz w:val="18"/>
              </w:rPr>
            </w:pPr>
            <w:r>
              <w:rPr>
                <w:sz w:val="18"/>
              </w:rPr>
              <w:t>57.12</w:t>
            </w:r>
          </w:p>
        </w:tc>
        <w:tc>
          <w:tcPr>
            <w:tcW w:w="1135" w:type="dxa"/>
          </w:tcPr>
          <w:p w:rsidR="007C5447" w:rsidRDefault="00F6308C">
            <w:pPr>
              <w:pStyle w:val="TableParagraph"/>
              <w:spacing w:before="52"/>
              <w:ind w:right="124"/>
              <w:rPr>
                <w:sz w:val="18"/>
              </w:rPr>
            </w:pPr>
            <w:r>
              <w:rPr>
                <w:sz w:val="18"/>
              </w:rPr>
              <w:t>14.81</w:t>
            </w:r>
          </w:p>
        </w:tc>
        <w:tc>
          <w:tcPr>
            <w:tcW w:w="1277" w:type="dxa"/>
          </w:tcPr>
          <w:p w:rsidR="007C5447" w:rsidRDefault="00F6308C">
            <w:pPr>
              <w:pStyle w:val="TableParagraph"/>
              <w:spacing w:before="52"/>
              <w:ind w:right="122"/>
              <w:rPr>
                <w:sz w:val="18"/>
              </w:rPr>
            </w:pPr>
            <w:r>
              <w:rPr>
                <w:sz w:val="18"/>
              </w:rPr>
              <w:t>54.38</w:t>
            </w:r>
          </w:p>
        </w:tc>
        <w:tc>
          <w:tcPr>
            <w:tcW w:w="1133" w:type="dxa"/>
          </w:tcPr>
          <w:p w:rsidR="007C5447" w:rsidRDefault="00F6308C">
            <w:pPr>
              <w:pStyle w:val="TableParagraph"/>
              <w:spacing w:before="52"/>
              <w:ind w:right="124"/>
              <w:rPr>
                <w:sz w:val="18"/>
              </w:rPr>
            </w:pPr>
            <w:r>
              <w:rPr>
                <w:sz w:val="18"/>
              </w:rPr>
              <w:t>0.09</w:t>
            </w:r>
          </w:p>
        </w:tc>
        <w:tc>
          <w:tcPr>
            <w:tcW w:w="1277" w:type="dxa"/>
          </w:tcPr>
          <w:p w:rsidR="007C5447" w:rsidRDefault="00F6308C">
            <w:pPr>
              <w:pStyle w:val="TableParagraph"/>
              <w:spacing w:before="52"/>
              <w:ind w:right="125"/>
              <w:rPr>
                <w:sz w:val="18"/>
              </w:rPr>
            </w:pPr>
            <w:r>
              <w:rPr>
                <w:sz w:val="18"/>
              </w:rPr>
              <w:t>9.42</w:t>
            </w:r>
          </w:p>
        </w:tc>
        <w:tc>
          <w:tcPr>
            <w:tcW w:w="1134" w:type="dxa"/>
          </w:tcPr>
          <w:p w:rsidR="007C5447" w:rsidRDefault="00F6308C">
            <w:pPr>
              <w:pStyle w:val="TableParagraph"/>
              <w:spacing w:before="52"/>
              <w:ind w:right="126"/>
              <w:rPr>
                <w:sz w:val="18"/>
              </w:rPr>
            </w:pPr>
            <w:r>
              <w:rPr>
                <w:sz w:val="18"/>
              </w:rPr>
              <w:t>0.90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52"/>
              <w:ind w:right="127"/>
              <w:rPr>
                <w:sz w:val="18"/>
              </w:rPr>
            </w:pPr>
            <w:r>
              <w:rPr>
                <w:sz w:val="18"/>
              </w:rPr>
              <w:t>2.77</w:t>
            </w:r>
          </w:p>
        </w:tc>
        <w:tc>
          <w:tcPr>
            <w:tcW w:w="1542" w:type="dxa"/>
          </w:tcPr>
          <w:p w:rsidR="007C5447" w:rsidRDefault="00F6308C">
            <w:pPr>
              <w:pStyle w:val="TableParagraph"/>
              <w:spacing w:before="52"/>
              <w:ind w:right="128"/>
              <w:rPr>
                <w:sz w:val="18"/>
              </w:rPr>
            </w:pPr>
            <w:r>
              <w:rPr>
                <w:sz w:val="18"/>
              </w:rPr>
              <w:t>560.24</w:t>
            </w:r>
          </w:p>
        </w:tc>
      </w:tr>
      <w:tr w:rsidR="007C5447">
        <w:trPr>
          <w:trHeight w:val="330"/>
        </w:trPr>
        <w:tc>
          <w:tcPr>
            <w:tcW w:w="710" w:type="dxa"/>
          </w:tcPr>
          <w:p w:rsidR="007C5447" w:rsidRDefault="00F6308C">
            <w:pPr>
              <w:pStyle w:val="TableParagraph"/>
              <w:spacing w:before="62"/>
              <w:ind w:left="236" w:right="226"/>
              <w:jc w:val="center"/>
              <w:rPr>
                <w:sz w:val="18"/>
              </w:rPr>
            </w:pPr>
            <w:r>
              <w:rPr>
                <w:sz w:val="18"/>
              </w:rPr>
              <w:t>15</w:t>
            </w:r>
          </w:p>
        </w:tc>
        <w:tc>
          <w:tcPr>
            <w:tcW w:w="1985" w:type="dxa"/>
          </w:tcPr>
          <w:p w:rsidR="007C5447" w:rsidRDefault="00F6308C">
            <w:pPr>
              <w:pStyle w:val="TableParagraph"/>
              <w:spacing w:before="62"/>
              <w:ind w:left="108"/>
              <w:jc w:val="left"/>
              <w:rPr>
                <w:sz w:val="18"/>
              </w:rPr>
            </w:pPr>
            <w:r>
              <w:rPr>
                <w:sz w:val="18"/>
              </w:rPr>
              <w:t>Tirunelveli HEP</w:t>
            </w:r>
          </w:p>
        </w:tc>
        <w:tc>
          <w:tcPr>
            <w:tcW w:w="1274" w:type="dxa"/>
          </w:tcPr>
          <w:p w:rsidR="007C5447" w:rsidRDefault="00F6308C">
            <w:pPr>
              <w:pStyle w:val="TableParagraph"/>
              <w:spacing w:before="62"/>
              <w:ind w:right="120"/>
              <w:rPr>
                <w:sz w:val="18"/>
              </w:rPr>
            </w:pPr>
            <w:r>
              <w:rPr>
                <w:sz w:val="18"/>
              </w:rPr>
              <w:t>38.09</w:t>
            </w:r>
          </w:p>
        </w:tc>
        <w:tc>
          <w:tcPr>
            <w:tcW w:w="1277" w:type="dxa"/>
          </w:tcPr>
          <w:p w:rsidR="007C5447" w:rsidRDefault="00F6308C">
            <w:pPr>
              <w:pStyle w:val="TableParagraph"/>
              <w:spacing w:before="62"/>
              <w:ind w:right="127"/>
              <w:rPr>
                <w:sz w:val="18"/>
              </w:rPr>
            </w:pPr>
            <w:r>
              <w:rPr>
                <w:sz w:val="18"/>
              </w:rPr>
              <w:t>229.21</w:t>
            </w:r>
          </w:p>
        </w:tc>
        <w:tc>
          <w:tcPr>
            <w:tcW w:w="991" w:type="dxa"/>
          </w:tcPr>
          <w:p w:rsidR="007C5447" w:rsidRDefault="00F6308C">
            <w:pPr>
              <w:pStyle w:val="TableParagraph"/>
              <w:spacing w:before="62"/>
              <w:ind w:right="122"/>
              <w:rPr>
                <w:sz w:val="18"/>
              </w:rPr>
            </w:pPr>
            <w:r>
              <w:rPr>
                <w:sz w:val="18"/>
              </w:rPr>
              <w:t>26.84</w:t>
            </w:r>
          </w:p>
        </w:tc>
        <w:tc>
          <w:tcPr>
            <w:tcW w:w="1135" w:type="dxa"/>
          </w:tcPr>
          <w:p w:rsidR="007C5447" w:rsidRDefault="00F6308C">
            <w:pPr>
              <w:pStyle w:val="TableParagraph"/>
              <w:spacing w:before="62"/>
              <w:ind w:right="127"/>
              <w:rPr>
                <w:sz w:val="18"/>
              </w:rPr>
            </w:pPr>
            <w:r>
              <w:rPr>
                <w:sz w:val="18"/>
              </w:rPr>
              <w:t>9.19</w:t>
            </w:r>
          </w:p>
        </w:tc>
        <w:tc>
          <w:tcPr>
            <w:tcW w:w="1277" w:type="dxa"/>
          </w:tcPr>
          <w:p w:rsidR="007C5447" w:rsidRDefault="00F6308C">
            <w:pPr>
              <w:pStyle w:val="TableParagraph"/>
              <w:spacing w:before="62"/>
              <w:ind w:right="122"/>
              <w:rPr>
                <w:sz w:val="18"/>
              </w:rPr>
            </w:pPr>
            <w:r>
              <w:rPr>
                <w:sz w:val="18"/>
              </w:rPr>
              <w:t>47.17</w:t>
            </w:r>
          </w:p>
        </w:tc>
        <w:tc>
          <w:tcPr>
            <w:tcW w:w="1133" w:type="dxa"/>
          </w:tcPr>
          <w:p w:rsidR="007C5447" w:rsidRDefault="00F6308C">
            <w:pPr>
              <w:pStyle w:val="TableParagraph"/>
              <w:spacing w:before="62"/>
              <w:ind w:right="124"/>
              <w:rPr>
                <w:sz w:val="18"/>
              </w:rPr>
            </w:pPr>
            <w:r>
              <w:rPr>
                <w:sz w:val="18"/>
              </w:rPr>
              <w:t>0.08</w:t>
            </w:r>
          </w:p>
        </w:tc>
        <w:tc>
          <w:tcPr>
            <w:tcW w:w="1277" w:type="dxa"/>
          </w:tcPr>
          <w:p w:rsidR="007C5447" w:rsidRDefault="00F6308C">
            <w:pPr>
              <w:pStyle w:val="TableParagraph"/>
              <w:spacing w:before="62"/>
              <w:ind w:right="125"/>
              <w:rPr>
                <w:sz w:val="18"/>
              </w:rPr>
            </w:pPr>
            <w:r>
              <w:rPr>
                <w:sz w:val="18"/>
              </w:rPr>
              <w:t>2.80</w:t>
            </w:r>
          </w:p>
        </w:tc>
        <w:tc>
          <w:tcPr>
            <w:tcW w:w="1134" w:type="dxa"/>
          </w:tcPr>
          <w:p w:rsidR="007C5447" w:rsidRDefault="00F6308C">
            <w:pPr>
              <w:pStyle w:val="TableParagraph"/>
              <w:spacing w:before="62"/>
              <w:ind w:right="126"/>
              <w:rPr>
                <w:sz w:val="18"/>
              </w:rPr>
            </w:pPr>
            <w:r>
              <w:rPr>
                <w:sz w:val="18"/>
              </w:rPr>
              <w:t>0.47</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62"/>
              <w:ind w:right="127"/>
              <w:rPr>
                <w:sz w:val="18"/>
              </w:rPr>
            </w:pPr>
            <w:r>
              <w:rPr>
                <w:sz w:val="18"/>
              </w:rPr>
              <w:t>2.95</w:t>
            </w:r>
          </w:p>
        </w:tc>
        <w:tc>
          <w:tcPr>
            <w:tcW w:w="1542" w:type="dxa"/>
          </w:tcPr>
          <w:p w:rsidR="007C5447" w:rsidRDefault="00F6308C">
            <w:pPr>
              <w:pStyle w:val="TableParagraph"/>
              <w:spacing w:before="62"/>
              <w:ind w:right="128"/>
              <w:rPr>
                <w:sz w:val="18"/>
              </w:rPr>
            </w:pPr>
            <w:r>
              <w:rPr>
                <w:sz w:val="18"/>
              </w:rPr>
              <w:t>355.86</w:t>
            </w:r>
          </w:p>
        </w:tc>
      </w:tr>
      <w:tr w:rsidR="007C5447">
        <w:trPr>
          <w:trHeight w:val="328"/>
        </w:trPr>
        <w:tc>
          <w:tcPr>
            <w:tcW w:w="710" w:type="dxa"/>
          </w:tcPr>
          <w:p w:rsidR="007C5447" w:rsidRDefault="00F6308C">
            <w:pPr>
              <w:pStyle w:val="TableParagraph"/>
              <w:spacing w:before="59"/>
              <w:ind w:left="236" w:right="226"/>
              <w:jc w:val="center"/>
              <w:rPr>
                <w:b/>
                <w:sz w:val="18"/>
              </w:rPr>
            </w:pPr>
            <w:r>
              <w:rPr>
                <w:b/>
                <w:sz w:val="18"/>
              </w:rPr>
              <w:t>16</w:t>
            </w:r>
          </w:p>
        </w:tc>
        <w:tc>
          <w:tcPr>
            <w:tcW w:w="1985" w:type="dxa"/>
          </w:tcPr>
          <w:p w:rsidR="007C5447" w:rsidRDefault="00F6308C">
            <w:pPr>
              <w:pStyle w:val="TableParagraph"/>
              <w:spacing w:before="59"/>
              <w:ind w:left="108"/>
              <w:jc w:val="left"/>
              <w:rPr>
                <w:b/>
                <w:sz w:val="18"/>
              </w:rPr>
            </w:pPr>
            <w:r>
              <w:rPr>
                <w:b/>
                <w:sz w:val="18"/>
              </w:rPr>
              <w:t>Total Generation</w:t>
            </w:r>
          </w:p>
        </w:tc>
        <w:tc>
          <w:tcPr>
            <w:tcW w:w="1274" w:type="dxa"/>
          </w:tcPr>
          <w:p w:rsidR="007C5447" w:rsidRDefault="00F6308C">
            <w:pPr>
              <w:pStyle w:val="TableParagraph"/>
              <w:spacing w:before="59"/>
              <w:ind w:right="123"/>
              <w:rPr>
                <w:b/>
                <w:sz w:val="18"/>
              </w:rPr>
            </w:pPr>
            <w:r>
              <w:rPr>
                <w:b/>
                <w:sz w:val="18"/>
              </w:rPr>
              <w:t>1,612.48</w:t>
            </w:r>
          </w:p>
        </w:tc>
        <w:tc>
          <w:tcPr>
            <w:tcW w:w="1277" w:type="dxa"/>
          </w:tcPr>
          <w:p w:rsidR="007C5447" w:rsidRDefault="00F6308C">
            <w:pPr>
              <w:pStyle w:val="TableParagraph"/>
              <w:spacing w:before="59"/>
              <w:ind w:right="126"/>
              <w:rPr>
                <w:b/>
                <w:sz w:val="18"/>
              </w:rPr>
            </w:pPr>
            <w:r>
              <w:rPr>
                <w:b/>
                <w:sz w:val="18"/>
              </w:rPr>
              <w:t>4,349.17</w:t>
            </w:r>
          </w:p>
        </w:tc>
        <w:tc>
          <w:tcPr>
            <w:tcW w:w="991" w:type="dxa"/>
          </w:tcPr>
          <w:p w:rsidR="007C5447" w:rsidRDefault="00F6308C">
            <w:pPr>
              <w:pStyle w:val="TableParagraph"/>
              <w:spacing w:before="59"/>
              <w:ind w:right="125"/>
              <w:rPr>
                <w:b/>
                <w:sz w:val="18"/>
              </w:rPr>
            </w:pPr>
            <w:r>
              <w:rPr>
                <w:b/>
                <w:sz w:val="18"/>
              </w:rPr>
              <w:t>842.72</w:t>
            </w:r>
          </w:p>
        </w:tc>
        <w:tc>
          <w:tcPr>
            <w:tcW w:w="1135" w:type="dxa"/>
          </w:tcPr>
          <w:p w:rsidR="007C5447" w:rsidRDefault="00F6308C">
            <w:pPr>
              <w:pStyle w:val="TableParagraph"/>
              <w:spacing w:before="59"/>
              <w:ind w:right="127"/>
              <w:rPr>
                <w:b/>
                <w:sz w:val="18"/>
              </w:rPr>
            </w:pPr>
            <w:r>
              <w:rPr>
                <w:b/>
                <w:sz w:val="18"/>
              </w:rPr>
              <w:t>607.51</w:t>
            </w:r>
          </w:p>
        </w:tc>
        <w:tc>
          <w:tcPr>
            <w:tcW w:w="1277" w:type="dxa"/>
          </w:tcPr>
          <w:p w:rsidR="007C5447" w:rsidRDefault="00F6308C">
            <w:pPr>
              <w:pStyle w:val="TableParagraph"/>
              <w:spacing w:before="59"/>
              <w:ind w:right="125"/>
              <w:rPr>
                <w:b/>
                <w:sz w:val="18"/>
              </w:rPr>
            </w:pPr>
            <w:r>
              <w:rPr>
                <w:b/>
                <w:sz w:val="18"/>
              </w:rPr>
              <w:t>1,510.86</w:t>
            </w:r>
          </w:p>
        </w:tc>
        <w:tc>
          <w:tcPr>
            <w:tcW w:w="1133" w:type="dxa"/>
          </w:tcPr>
          <w:p w:rsidR="007C5447" w:rsidRDefault="00F6308C">
            <w:pPr>
              <w:pStyle w:val="TableParagraph"/>
              <w:spacing w:before="59"/>
              <w:ind w:right="124"/>
              <w:rPr>
                <w:b/>
                <w:sz w:val="18"/>
              </w:rPr>
            </w:pPr>
            <w:r>
              <w:rPr>
                <w:b/>
                <w:sz w:val="18"/>
              </w:rPr>
              <w:t>3.43</w:t>
            </w:r>
          </w:p>
        </w:tc>
        <w:tc>
          <w:tcPr>
            <w:tcW w:w="1277" w:type="dxa"/>
          </w:tcPr>
          <w:p w:rsidR="007C5447" w:rsidRDefault="00F6308C">
            <w:pPr>
              <w:pStyle w:val="TableParagraph"/>
              <w:spacing w:before="59"/>
              <w:ind w:right="125"/>
              <w:rPr>
                <w:b/>
                <w:sz w:val="18"/>
              </w:rPr>
            </w:pPr>
            <w:r>
              <w:rPr>
                <w:b/>
                <w:sz w:val="18"/>
              </w:rPr>
              <w:t>106.37</w:t>
            </w:r>
          </w:p>
        </w:tc>
        <w:tc>
          <w:tcPr>
            <w:tcW w:w="1134" w:type="dxa"/>
          </w:tcPr>
          <w:p w:rsidR="007C5447" w:rsidRDefault="00F6308C">
            <w:pPr>
              <w:pStyle w:val="TableParagraph"/>
              <w:spacing w:before="59"/>
              <w:ind w:right="126"/>
              <w:rPr>
                <w:b/>
                <w:sz w:val="18"/>
              </w:rPr>
            </w:pPr>
            <w:r>
              <w:rPr>
                <w:b/>
                <w:sz w:val="18"/>
              </w:rPr>
              <w:t>157.07</w:t>
            </w:r>
          </w:p>
        </w:tc>
        <w:tc>
          <w:tcPr>
            <w:tcW w:w="1136" w:type="dxa"/>
          </w:tcPr>
          <w:p w:rsidR="007C5447" w:rsidRDefault="00F6308C">
            <w:pPr>
              <w:pStyle w:val="TableParagraph"/>
              <w:spacing w:before="59"/>
              <w:ind w:right="127"/>
              <w:rPr>
                <w:b/>
                <w:sz w:val="18"/>
              </w:rPr>
            </w:pPr>
            <w:r>
              <w:rPr>
                <w:b/>
                <w:w w:val="99"/>
                <w:sz w:val="18"/>
              </w:rPr>
              <w:t>-</w:t>
            </w:r>
          </w:p>
        </w:tc>
        <w:tc>
          <w:tcPr>
            <w:tcW w:w="1275" w:type="dxa"/>
          </w:tcPr>
          <w:p w:rsidR="007C5447" w:rsidRDefault="00F6308C">
            <w:pPr>
              <w:pStyle w:val="TableParagraph"/>
              <w:spacing w:before="59"/>
              <w:ind w:right="124"/>
              <w:rPr>
                <w:b/>
                <w:sz w:val="18"/>
              </w:rPr>
            </w:pPr>
            <w:r>
              <w:rPr>
                <w:b/>
                <w:sz w:val="18"/>
              </w:rPr>
              <w:t>49.78</w:t>
            </w:r>
          </w:p>
        </w:tc>
        <w:tc>
          <w:tcPr>
            <w:tcW w:w="1542" w:type="dxa"/>
          </w:tcPr>
          <w:p w:rsidR="007C5447" w:rsidRDefault="00F6308C">
            <w:pPr>
              <w:pStyle w:val="TableParagraph"/>
              <w:spacing w:before="59"/>
              <w:ind w:right="128"/>
              <w:rPr>
                <w:b/>
                <w:sz w:val="18"/>
              </w:rPr>
            </w:pPr>
            <w:r>
              <w:rPr>
                <w:b/>
                <w:sz w:val="18"/>
              </w:rPr>
              <w:t>8,925.24</w:t>
            </w:r>
          </w:p>
        </w:tc>
      </w:tr>
      <w:tr w:rsidR="007C5447">
        <w:trPr>
          <w:trHeight w:val="330"/>
        </w:trPr>
        <w:tc>
          <w:tcPr>
            <w:tcW w:w="710" w:type="dxa"/>
          </w:tcPr>
          <w:p w:rsidR="007C5447" w:rsidRDefault="00F6308C">
            <w:pPr>
              <w:pStyle w:val="TableParagraph"/>
              <w:spacing w:before="62"/>
              <w:ind w:left="236" w:right="226"/>
              <w:jc w:val="center"/>
              <w:rPr>
                <w:b/>
                <w:sz w:val="18"/>
              </w:rPr>
            </w:pPr>
            <w:r>
              <w:rPr>
                <w:b/>
                <w:sz w:val="18"/>
              </w:rPr>
              <w:t>17</w:t>
            </w:r>
          </w:p>
        </w:tc>
        <w:tc>
          <w:tcPr>
            <w:tcW w:w="1985" w:type="dxa"/>
          </w:tcPr>
          <w:p w:rsidR="007C5447" w:rsidRDefault="00F6308C">
            <w:pPr>
              <w:pStyle w:val="TableParagraph"/>
              <w:spacing w:before="62"/>
              <w:ind w:left="108"/>
              <w:jc w:val="left"/>
              <w:rPr>
                <w:b/>
                <w:sz w:val="18"/>
              </w:rPr>
            </w:pPr>
            <w:r>
              <w:rPr>
                <w:b/>
                <w:sz w:val="18"/>
              </w:rPr>
              <w:t>Distribution</w:t>
            </w:r>
          </w:p>
        </w:tc>
        <w:tc>
          <w:tcPr>
            <w:tcW w:w="1274" w:type="dxa"/>
          </w:tcPr>
          <w:p w:rsidR="007C5447" w:rsidRDefault="00F6308C">
            <w:pPr>
              <w:pStyle w:val="TableParagraph"/>
              <w:spacing w:before="62"/>
              <w:ind w:right="123"/>
              <w:rPr>
                <w:b/>
                <w:sz w:val="18"/>
              </w:rPr>
            </w:pPr>
            <w:r>
              <w:rPr>
                <w:b/>
                <w:sz w:val="18"/>
              </w:rPr>
              <w:t>203.77</w:t>
            </w:r>
          </w:p>
        </w:tc>
        <w:tc>
          <w:tcPr>
            <w:tcW w:w="1277" w:type="dxa"/>
          </w:tcPr>
          <w:p w:rsidR="007C5447" w:rsidRDefault="00F6308C">
            <w:pPr>
              <w:pStyle w:val="TableParagraph"/>
              <w:spacing w:before="62"/>
              <w:ind w:right="126"/>
              <w:rPr>
                <w:b/>
                <w:sz w:val="18"/>
              </w:rPr>
            </w:pPr>
            <w:r>
              <w:rPr>
                <w:b/>
                <w:sz w:val="18"/>
              </w:rPr>
              <w:t>2,945.14</w:t>
            </w:r>
          </w:p>
        </w:tc>
        <w:tc>
          <w:tcPr>
            <w:tcW w:w="991" w:type="dxa"/>
          </w:tcPr>
          <w:p w:rsidR="007C5447" w:rsidRDefault="00F6308C">
            <w:pPr>
              <w:pStyle w:val="TableParagraph"/>
              <w:spacing w:before="62"/>
              <w:ind w:right="125"/>
              <w:rPr>
                <w:b/>
                <w:sz w:val="18"/>
              </w:rPr>
            </w:pPr>
            <w:r>
              <w:rPr>
                <w:b/>
                <w:sz w:val="18"/>
              </w:rPr>
              <w:t>582.32</w:t>
            </w:r>
          </w:p>
        </w:tc>
        <w:tc>
          <w:tcPr>
            <w:tcW w:w="1135" w:type="dxa"/>
          </w:tcPr>
          <w:p w:rsidR="007C5447" w:rsidRDefault="00F6308C">
            <w:pPr>
              <w:pStyle w:val="TableParagraph"/>
              <w:spacing w:before="62"/>
              <w:ind w:right="127"/>
              <w:rPr>
                <w:b/>
                <w:sz w:val="18"/>
              </w:rPr>
            </w:pPr>
            <w:r>
              <w:rPr>
                <w:b/>
                <w:sz w:val="18"/>
              </w:rPr>
              <w:t>238.13</w:t>
            </w:r>
          </w:p>
        </w:tc>
        <w:tc>
          <w:tcPr>
            <w:tcW w:w="1277" w:type="dxa"/>
          </w:tcPr>
          <w:p w:rsidR="007C5447" w:rsidRDefault="00F6308C">
            <w:pPr>
              <w:pStyle w:val="TableParagraph"/>
              <w:spacing w:before="62"/>
              <w:ind w:right="125"/>
              <w:rPr>
                <w:b/>
                <w:sz w:val="18"/>
              </w:rPr>
            </w:pPr>
            <w:r>
              <w:rPr>
                <w:b/>
                <w:sz w:val="18"/>
              </w:rPr>
              <w:t>5,234.90</w:t>
            </w:r>
          </w:p>
        </w:tc>
        <w:tc>
          <w:tcPr>
            <w:tcW w:w="1133" w:type="dxa"/>
          </w:tcPr>
          <w:p w:rsidR="007C5447" w:rsidRDefault="00F6308C">
            <w:pPr>
              <w:pStyle w:val="TableParagraph"/>
              <w:spacing w:before="62"/>
              <w:ind w:right="122"/>
              <w:rPr>
                <w:b/>
                <w:sz w:val="18"/>
              </w:rPr>
            </w:pPr>
            <w:r>
              <w:rPr>
                <w:b/>
                <w:sz w:val="18"/>
              </w:rPr>
              <w:t>13.19</w:t>
            </w:r>
          </w:p>
        </w:tc>
        <w:tc>
          <w:tcPr>
            <w:tcW w:w="1277" w:type="dxa"/>
          </w:tcPr>
          <w:p w:rsidR="007C5447" w:rsidRDefault="00F6308C">
            <w:pPr>
              <w:pStyle w:val="TableParagraph"/>
              <w:spacing w:before="62"/>
              <w:ind w:right="123"/>
              <w:rPr>
                <w:b/>
                <w:sz w:val="18"/>
              </w:rPr>
            </w:pPr>
            <w:r>
              <w:rPr>
                <w:b/>
                <w:w w:val="99"/>
                <w:sz w:val="18"/>
              </w:rPr>
              <w:t>-</w:t>
            </w:r>
          </w:p>
        </w:tc>
        <w:tc>
          <w:tcPr>
            <w:tcW w:w="1134" w:type="dxa"/>
          </w:tcPr>
          <w:p w:rsidR="007C5447" w:rsidRDefault="00F6308C">
            <w:pPr>
              <w:pStyle w:val="TableParagraph"/>
              <w:spacing w:before="62"/>
              <w:ind w:right="126"/>
              <w:rPr>
                <w:b/>
                <w:sz w:val="18"/>
              </w:rPr>
            </w:pPr>
            <w:r>
              <w:rPr>
                <w:b/>
                <w:sz w:val="18"/>
              </w:rPr>
              <w:t>434.73</w:t>
            </w:r>
          </w:p>
        </w:tc>
        <w:tc>
          <w:tcPr>
            <w:tcW w:w="1136" w:type="dxa"/>
          </w:tcPr>
          <w:p w:rsidR="007C5447" w:rsidRDefault="00F6308C">
            <w:pPr>
              <w:pStyle w:val="TableParagraph"/>
              <w:spacing w:before="62"/>
              <w:ind w:right="130"/>
              <w:rPr>
                <w:b/>
                <w:sz w:val="18"/>
              </w:rPr>
            </w:pPr>
            <w:r>
              <w:rPr>
                <w:b/>
                <w:sz w:val="18"/>
              </w:rPr>
              <w:t>780.86</w:t>
            </w:r>
          </w:p>
        </w:tc>
        <w:tc>
          <w:tcPr>
            <w:tcW w:w="1275" w:type="dxa"/>
          </w:tcPr>
          <w:p w:rsidR="007C5447" w:rsidRDefault="00F6308C">
            <w:pPr>
              <w:pStyle w:val="TableParagraph"/>
              <w:spacing w:before="62"/>
              <w:ind w:right="127"/>
              <w:rPr>
                <w:b/>
                <w:sz w:val="18"/>
              </w:rPr>
            </w:pPr>
            <w:r>
              <w:rPr>
                <w:b/>
                <w:sz w:val="18"/>
              </w:rPr>
              <w:t>862.05</w:t>
            </w:r>
          </w:p>
        </w:tc>
        <w:tc>
          <w:tcPr>
            <w:tcW w:w="1542" w:type="dxa"/>
          </w:tcPr>
          <w:p w:rsidR="007C5447" w:rsidRDefault="00F6308C">
            <w:pPr>
              <w:pStyle w:val="TableParagraph"/>
              <w:spacing w:before="62"/>
              <w:ind w:right="128"/>
              <w:rPr>
                <w:b/>
                <w:sz w:val="18"/>
              </w:rPr>
            </w:pPr>
            <w:r>
              <w:rPr>
                <w:b/>
                <w:sz w:val="18"/>
              </w:rPr>
              <w:t>8,863.91</w:t>
            </w:r>
          </w:p>
        </w:tc>
      </w:tr>
      <w:tr w:rsidR="007C5447">
        <w:trPr>
          <w:trHeight w:val="331"/>
        </w:trPr>
        <w:tc>
          <w:tcPr>
            <w:tcW w:w="710" w:type="dxa"/>
          </w:tcPr>
          <w:p w:rsidR="007C5447" w:rsidRDefault="00F6308C">
            <w:pPr>
              <w:pStyle w:val="TableParagraph"/>
              <w:spacing w:before="62"/>
              <w:ind w:left="236" w:right="226"/>
              <w:jc w:val="center"/>
              <w:rPr>
                <w:b/>
                <w:sz w:val="18"/>
              </w:rPr>
            </w:pPr>
            <w:r>
              <w:rPr>
                <w:b/>
                <w:sz w:val="18"/>
              </w:rPr>
              <w:t>18</w:t>
            </w:r>
          </w:p>
        </w:tc>
        <w:tc>
          <w:tcPr>
            <w:tcW w:w="1985" w:type="dxa"/>
          </w:tcPr>
          <w:p w:rsidR="007C5447" w:rsidRDefault="00F6308C">
            <w:pPr>
              <w:pStyle w:val="TableParagraph"/>
              <w:spacing w:before="62"/>
              <w:ind w:left="108"/>
              <w:jc w:val="left"/>
              <w:rPr>
                <w:b/>
                <w:sz w:val="18"/>
              </w:rPr>
            </w:pPr>
            <w:r>
              <w:rPr>
                <w:b/>
                <w:sz w:val="18"/>
              </w:rPr>
              <w:t>Total</w:t>
            </w:r>
          </w:p>
        </w:tc>
        <w:tc>
          <w:tcPr>
            <w:tcW w:w="1274" w:type="dxa"/>
          </w:tcPr>
          <w:p w:rsidR="007C5447" w:rsidRDefault="00F6308C">
            <w:pPr>
              <w:pStyle w:val="TableParagraph"/>
              <w:spacing w:before="62"/>
              <w:ind w:right="123"/>
              <w:rPr>
                <w:b/>
                <w:sz w:val="18"/>
              </w:rPr>
            </w:pPr>
            <w:r>
              <w:rPr>
                <w:b/>
                <w:sz w:val="18"/>
              </w:rPr>
              <w:t>1,816.25</w:t>
            </w:r>
          </w:p>
        </w:tc>
        <w:tc>
          <w:tcPr>
            <w:tcW w:w="1277" w:type="dxa"/>
          </w:tcPr>
          <w:p w:rsidR="007C5447" w:rsidRDefault="00F6308C">
            <w:pPr>
              <w:pStyle w:val="TableParagraph"/>
              <w:spacing w:before="62"/>
              <w:ind w:right="126"/>
              <w:rPr>
                <w:b/>
                <w:sz w:val="18"/>
              </w:rPr>
            </w:pPr>
            <w:r>
              <w:rPr>
                <w:b/>
                <w:sz w:val="18"/>
              </w:rPr>
              <w:t>7,294.31</w:t>
            </w:r>
          </w:p>
        </w:tc>
        <w:tc>
          <w:tcPr>
            <w:tcW w:w="991" w:type="dxa"/>
          </w:tcPr>
          <w:p w:rsidR="007C5447" w:rsidRDefault="00F6308C">
            <w:pPr>
              <w:pStyle w:val="TableParagraph"/>
              <w:spacing w:before="62"/>
              <w:ind w:right="125"/>
              <w:rPr>
                <w:b/>
                <w:sz w:val="18"/>
              </w:rPr>
            </w:pPr>
            <w:r>
              <w:rPr>
                <w:b/>
                <w:sz w:val="18"/>
              </w:rPr>
              <w:t>1,425.04</w:t>
            </w:r>
          </w:p>
        </w:tc>
        <w:tc>
          <w:tcPr>
            <w:tcW w:w="1135" w:type="dxa"/>
          </w:tcPr>
          <w:p w:rsidR="007C5447" w:rsidRDefault="00F6308C">
            <w:pPr>
              <w:pStyle w:val="TableParagraph"/>
              <w:spacing w:before="62"/>
              <w:ind w:right="127"/>
              <w:rPr>
                <w:b/>
                <w:sz w:val="18"/>
              </w:rPr>
            </w:pPr>
            <w:r>
              <w:rPr>
                <w:b/>
                <w:sz w:val="18"/>
              </w:rPr>
              <w:t>845.64</w:t>
            </w:r>
          </w:p>
        </w:tc>
        <w:tc>
          <w:tcPr>
            <w:tcW w:w="1277" w:type="dxa"/>
          </w:tcPr>
          <w:p w:rsidR="007C5447" w:rsidRDefault="00F6308C">
            <w:pPr>
              <w:pStyle w:val="TableParagraph"/>
              <w:spacing w:before="62"/>
              <w:ind w:right="125"/>
              <w:rPr>
                <w:b/>
                <w:sz w:val="18"/>
              </w:rPr>
            </w:pPr>
            <w:r>
              <w:rPr>
                <w:b/>
                <w:sz w:val="18"/>
              </w:rPr>
              <w:t>6,745.76</w:t>
            </w:r>
          </w:p>
        </w:tc>
        <w:tc>
          <w:tcPr>
            <w:tcW w:w="1133" w:type="dxa"/>
          </w:tcPr>
          <w:p w:rsidR="007C5447" w:rsidRDefault="00F6308C">
            <w:pPr>
              <w:pStyle w:val="TableParagraph"/>
              <w:spacing w:before="62"/>
              <w:ind w:right="122"/>
              <w:rPr>
                <w:b/>
                <w:sz w:val="18"/>
              </w:rPr>
            </w:pPr>
            <w:r>
              <w:rPr>
                <w:b/>
                <w:sz w:val="18"/>
              </w:rPr>
              <w:t>16.61</w:t>
            </w:r>
          </w:p>
        </w:tc>
        <w:tc>
          <w:tcPr>
            <w:tcW w:w="1277" w:type="dxa"/>
          </w:tcPr>
          <w:p w:rsidR="007C5447" w:rsidRDefault="00F6308C">
            <w:pPr>
              <w:pStyle w:val="TableParagraph"/>
              <w:spacing w:before="62"/>
              <w:ind w:right="125"/>
              <w:rPr>
                <w:b/>
                <w:sz w:val="18"/>
              </w:rPr>
            </w:pPr>
            <w:r>
              <w:rPr>
                <w:b/>
                <w:sz w:val="18"/>
              </w:rPr>
              <w:t>106.37</w:t>
            </w:r>
          </w:p>
        </w:tc>
        <w:tc>
          <w:tcPr>
            <w:tcW w:w="1134" w:type="dxa"/>
          </w:tcPr>
          <w:p w:rsidR="007C5447" w:rsidRDefault="00F6308C">
            <w:pPr>
              <w:pStyle w:val="TableParagraph"/>
              <w:spacing w:before="62"/>
              <w:ind w:right="126"/>
              <w:rPr>
                <w:b/>
                <w:sz w:val="18"/>
              </w:rPr>
            </w:pPr>
            <w:r>
              <w:rPr>
                <w:b/>
                <w:sz w:val="18"/>
              </w:rPr>
              <w:t>591.80</w:t>
            </w:r>
          </w:p>
        </w:tc>
        <w:tc>
          <w:tcPr>
            <w:tcW w:w="1136" w:type="dxa"/>
          </w:tcPr>
          <w:p w:rsidR="007C5447" w:rsidRDefault="00F6308C">
            <w:pPr>
              <w:pStyle w:val="TableParagraph"/>
              <w:spacing w:before="62"/>
              <w:ind w:right="128"/>
              <w:rPr>
                <w:b/>
                <w:sz w:val="18"/>
              </w:rPr>
            </w:pPr>
            <w:r>
              <w:rPr>
                <w:b/>
                <w:sz w:val="18"/>
              </w:rPr>
              <w:t>780.86</w:t>
            </w:r>
          </w:p>
        </w:tc>
        <w:tc>
          <w:tcPr>
            <w:tcW w:w="1275" w:type="dxa"/>
          </w:tcPr>
          <w:p w:rsidR="007C5447" w:rsidRDefault="00F6308C">
            <w:pPr>
              <w:pStyle w:val="TableParagraph"/>
              <w:spacing w:before="62"/>
              <w:ind w:right="127"/>
              <w:rPr>
                <w:b/>
                <w:sz w:val="18"/>
              </w:rPr>
            </w:pPr>
            <w:r>
              <w:rPr>
                <w:b/>
                <w:sz w:val="18"/>
              </w:rPr>
              <w:t>911.83</w:t>
            </w:r>
          </w:p>
        </w:tc>
        <w:tc>
          <w:tcPr>
            <w:tcW w:w="1542" w:type="dxa"/>
          </w:tcPr>
          <w:p w:rsidR="007C5447" w:rsidRDefault="00F6308C">
            <w:pPr>
              <w:pStyle w:val="TableParagraph"/>
              <w:spacing w:before="62"/>
              <w:ind w:right="128"/>
              <w:rPr>
                <w:b/>
                <w:sz w:val="18"/>
              </w:rPr>
            </w:pPr>
            <w:r>
              <w:rPr>
                <w:b/>
                <w:sz w:val="18"/>
              </w:rPr>
              <w:t>17,789.15</w:t>
            </w:r>
          </w:p>
        </w:tc>
      </w:tr>
    </w:tbl>
    <w:p w:rsidR="007C5447" w:rsidRDefault="007C5447">
      <w:pPr>
        <w:pStyle w:val="BodyText"/>
        <w:spacing w:before="10"/>
        <w:rPr>
          <w:b/>
          <w:sz w:val="20"/>
        </w:rPr>
      </w:pPr>
    </w:p>
    <w:p w:rsidR="007C5447" w:rsidRDefault="00F6308C">
      <w:pPr>
        <w:ind w:left="1100"/>
        <w:rPr>
          <w:b/>
          <w:sz w:val="20"/>
        </w:rPr>
      </w:pPr>
      <w:r>
        <w:rPr>
          <w:b/>
          <w:sz w:val="20"/>
        </w:rPr>
        <w:t>*In Table 4-13, Depreciation for Erode has been submitted as Rs. 77.08 Crore</w:t>
      </w:r>
    </w:p>
    <w:p w:rsidR="007C5447" w:rsidRDefault="007C5447">
      <w:pPr>
        <w:rPr>
          <w:sz w:val="20"/>
        </w:rPr>
        <w:sectPr w:rsidR="007C5447">
          <w:footerReference w:type="default" r:id="rId49"/>
          <w:pgSz w:w="16840" w:h="11910" w:orient="landscape"/>
          <w:pgMar w:top="1100" w:right="120" w:bottom="1240" w:left="340" w:header="0" w:footer="1057" w:gutter="0"/>
          <w:pgNumType w:start="219"/>
          <w:cols w:space="720"/>
        </w:sectPr>
      </w:pPr>
    </w:p>
    <w:p w:rsidR="007C5447" w:rsidRDefault="007C5447">
      <w:pPr>
        <w:pStyle w:val="BodyText"/>
        <w:spacing w:before="2"/>
        <w:rPr>
          <w:b/>
          <w:sz w:val="21"/>
        </w:rPr>
      </w:pPr>
    </w:p>
    <w:p w:rsidR="007C5447" w:rsidRDefault="00F6308C">
      <w:pPr>
        <w:spacing w:before="91"/>
        <w:ind w:left="3796" w:right="4012"/>
        <w:jc w:val="center"/>
        <w:rPr>
          <w:b/>
        </w:rPr>
      </w:pPr>
      <w:r>
        <w:rPr>
          <w:b/>
        </w:rPr>
        <w:t>Table 4-29: Fixed Cost summary for FY 2017-18 as submitted by TANGEDCO (Rs. Crore)</w:t>
      </w:r>
    </w:p>
    <w:p w:rsidR="007C5447" w:rsidRDefault="007C5447">
      <w:pPr>
        <w:pStyle w:val="BodyText"/>
        <w:spacing w:before="11"/>
        <w:rPr>
          <w:b/>
          <w:sz w:val="16"/>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1985"/>
        <w:gridCol w:w="1274"/>
        <w:gridCol w:w="1277"/>
        <w:gridCol w:w="991"/>
        <w:gridCol w:w="1135"/>
        <w:gridCol w:w="1277"/>
        <w:gridCol w:w="1133"/>
        <w:gridCol w:w="1277"/>
        <w:gridCol w:w="1134"/>
        <w:gridCol w:w="1136"/>
        <w:gridCol w:w="1275"/>
        <w:gridCol w:w="1542"/>
      </w:tblGrid>
      <w:tr w:rsidR="007C5447">
        <w:trPr>
          <w:trHeight w:val="410"/>
        </w:trPr>
        <w:tc>
          <w:tcPr>
            <w:tcW w:w="710" w:type="dxa"/>
            <w:vMerge w:val="restart"/>
            <w:shd w:val="clear" w:color="auto" w:fill="FBD4B4"/>
          </w:tcPr>
          <w:p w:rsidR="007C5447" w:rsidRDefault="007C5447">
            <w:pPr>
              <w:pStyle w:val="TableParagraph"/>
              <w:jc w:val="left"/>
              <w:rPr>
                <w:b/>
                <w:sz w:val="20"/>
              </w:rPr>
            </w:pPr>
          </w:p>
          <w:p w:rsidR="007C5447" w:rsidRDefault="007C5447">
            <w:pPr>
              <w:pStyle w:val="TableParagraph"/>
              <w:spacing w:before="4"/>
              <w:jc w:val="left"/>
              <w:rPr>
                <w:b/>
                <w:sz w:val="19"/>
              </w:rPr>
            </w:pPr>
          </w:p>
          <w:p w:rsidR="007C5447" w:rsidRDefault="00F6308C">
            <w:pPr>
              <w:pStyle w:val="TableParagraph"/>
              <w:spacing w:before="1"/>
              <w:ind w:left="236" w:right="228"/>
              <w:jc w:val="center"/>
              <w:rPr>
                <w:b/>
                <w:sz w:val="18"/>
              </w:rPr>
            </w:pPr>
            <w:r>
              <w:rPr>
                <w:b/>
                <w:sz w:val="18"/>
              </w:rPr>
              <w:t>Sl.</w:t>
            </w:r>
          </w:p>
        </w:tc>
        <w:tc>
          <w:tcPr>
            <w:tcW w:w="1985" w:type="dxa"/>
            <w:vMerge w:val="restart"/>
            <w:shd w:val="clear" w:color="auto" w:fill="FBD4B4"/>
          </w:tcPr>
          <w:p w:rsidR="007C5447" w:rsidRDefault="007C5447">
            <w:pPr>
              <w:pStyle w:val="TableParagraph"/>
              <w:jc w:val="left"/>
              <w:rPr>
                <w:b/>
                <w:sz w:val="20"/>
              </w:rPr>
            </w:pPr>
          </w:p>
          <w:p w:rsidR="007C5447" w:rsidRDefault="007C5447">
            <w:pPr>
              <w:pStyle w:val="TableParagraph"/>
              <w:spacing w:before="4"/>
              <w:jc w:val="left"/>
              <w:rPr>
                <w:b/>
                <w:sz w:val="19"/>
              </w:rPr>
            </w:pPr>
          </w:p>
          <w:p w:rsidR="007C5447" w:rsidRDefault="00F6308C">
            <w:pPr>
              <w:pStyle w:val="TableParagraph"/>
              <w:spacing w:before="1"/>
              <w:ind w:left="449"/>
              <w:jc w:val="left"/>
              <w:rPr>
                <w:b/>
                <w:sz w:val="18"/>
              </w:rPr>
            </w:pPr>
            <w:r>
              <w:rPr>
                <w:b/>
                <w:sz w:val="18"/>
              </w:rPr>
              <w:t>Power Station</w:t>
            </w:r>
          </w:p>
        </w:tc>
        <w:tc>
          <w:tcPr>
            <w:tcW w:w="13451" w:type="dxa"/>
            <w:gridSpan w:val="11"/>
            <w:shd w:val="clear" w:color="auto" w:fill="FBD4B4"/>
          </w:tcPr>
          <w:p w:rsidR="007C5447" w:rsidRDefault="00F6308C">
            <w:pPr>
              <w:pStyle w:val="TableParagraph"/>
              <w:spacing w:before="100"/>
              <w:ind w:left="6263" w:right="6252"/>
              <w:jc w:val="center"/>
              <w:rPr>
                <w:b/>
                <w:sz w:val="18"/>
              </w:rPr>
            </w:pPr>
            <w:r>
              <w:rPr>
                <w:b/>
                <w:sz w:val="18"/>
              </w:rPr>
              <w:t>FY 2017-18</w:t>
            </w:r>
          </w:p>
        </w:tc>
      </w:tr>
      <w:tr w:rsidR="007C5447">
        <w:trPr>
          <w:trHeight w:val="693"/>
        </w:trPr>
        <w:tc>
          <w:tcPr>
            <w:tcW w:w="710" w:type="dxa"/>
            <w:vMerge/>
            <w:tcBorders>
              <w:top w:val="nil"/>
            </w:tcBorders>
            <w:shd w:val="clear" w:color="auto" w:fill="FBD4B4"/>
          </w:tcPr>
          <w:p w:rsidR="007C5447" w:rsidRDefault="007C5447">
            <w:pPr>
              <w:rPr>
                <w:sz w:val="2"/>
                <w:szCs w:val="2"/>
              </w:rPr>
            </w:pPr>
          </w:p>
        </w:tc>
        <w:tc>
          <w:tcPr>
            <w:tcW w:w="1985" w:type="dxa"/>
            <w:vMerge/>
            <w:tcBorders>
              <w:top w:val="nil"/>
            </w:tcBorders>
            <w:shd w:val="clear" w:color="auto" w:fill="FBD4B4"/>
          </w:tcPr>
          <w:p w:rsidR="007C5447" w:rsidRDefault="007C5447">
            <w:pPr>
              <w:rPr>
                <w:sz w:val="2"/>
                <w:szCs w:val="2"/>
              </w:rPr>
            </w:pPr>
          </w:p>
        </w:tc>
        <w:tc>
          <w:tcPr>
            <w:tcW w:w="1274" w:type="dxa"/>
            <w:shd w:val="clear" w:color="auto" w:fill="FBD4B4"/>
          </w:tcPr>
          <w:p w:rsidR="007C5447" w:rsidRDefault="007C5447">
            <w:pPr>
              <w:pStyle w:val="TableParagraph"/>
              <w:jc w:val="left"/>
              <w:rPr>
                <w:b/>
                <w:sz w:val="21"/>
              </w:rPr>
            </w:pPr>
          </w:p>
          <w:p w:rsidR="007C5447" w:rsidRDefault="00F6308C">
            <w:pPr>
              <w:pStyle w:val="TableParagraph"/>
              <w:ind w:right="130"/>
              <w:rPr>
                <w:b/>
                <w:sz w:val="18"/>
              </w:rPr>
            </w:pPr>
            <w:r>
              <w:rPr>
                <w:b/>
                <w:sz w:val="18"/>
              </w:rPr>
              <w:t>Depreciation</w:t>
            </w:r>
          </w:p>
        </w:tc>
        <w:tc>
          <w:tcPr>
            <w:tcW w:w="1277" w:type="dxa"/>
            <w:shd w:val="clear" w:color="auto" w:fill="FBD4B4"/>
          </w:tcPr>
          <w:p w:rsidR="007C5447" w:rsidRDefault="007C5447">
            <w:pPr>
              <w:pStyle w:val="TableParagraph"/>
              <w:jc w:val="left"/>
              <w:rPr>
                <w:b/>
                <w:sz w:val="21"/>
              </w:rPr>
            </w:pPr>
          </w:p>
          <w:p w:rsidR="007C5447" w:rsidRDefault="00F6308C">
            <w:pPr>
              <w:pStyle w:val="TableParagraph"/>
              <w:ind w:left="408"/>
              <w:jc w:val="left"/>
              <w:rPr>
                <w:b/>
                <w:sz w:val="18"/>
              </w:rPr>
            </w:pPr>
            <w:r>
              <w:rPr>
                <w:b/>
                <w:sz w:val="18"/>
              </w:rPr>
              <w:t>I&amp;FC</w:t>
            </w:r>
          </w:p>
        </w:tc>
        <w:tc>
          <w:tcPr>
            <w:tcW w:w="991" w:type="dxa"/>
            <w:shd w:val="clear" w:color="auto" w:fill="FBD4B4"/>
          </w:tcPr>
          <w:p w:rsidR="007C5447" w:rsidRDefault="00F6308C">
            <w:pPr>
              <w:pStyle w:val="TableParagraph"/>
              <w:spacing w:before="139"/>
              <w:ind w:left="118" w:right="39" w:firstLine="103"/>
              <w:jc w:val="left"/>
              <w:rPr>
                <w:b/>
                <w:sz w:val="18"/>
              </w:rPr>
            </w:pPr>
            <w:r>
              <w:rPr>
                <w:b/>
                <w:sz w:val="18"/>
              </w:rPr>
              <w:t>Return on Equity</w:t>
            </w:r>
          </w:p>
        </w:tc>
        <w:tc>
          <w:tcPr>
            <w:tcW w:w="1135" w:type="dxa"/>
            <w:shd w:val="clear" w:color="auto" w:fill="FBD4B4"/>
          </w:tcPr>
          <w:p w:rsidR="007C5447" w:rsidRDefault="00F6308C">
            <w:pPr>
              <w:pStyle w:val="TableParagraph"/>
              <w:spacing w:before="35"/>
              <w:ind w:left="116" w:right="104"/>
              <w:jc w:val="center"/>
              <w:rPr>
                <w:b/>
                <w:sz w:val="18"/>
              </w:rPr>
            </w:pPr>
            <w:r>
              <w:rPr>
                <w:b/>
                <w:sz w:val="18"/>
              </w:rPr>
              <w:t>Interest on Working Capital</w:t>
            </w:r>
          </w:p>
        </w:tc>
        <w:tc>
          <w:tcPr>
            <w:tcW w:w="1277" w:type="dxa"/>
            <w:shd w:val="clear" w:color="auto" w:fill="FBD4B4"/>
          </w:tcPr>
          <w:p w:rsidR="007C5447" w:rsidRDefault="00F6308C">
            <w:pPr>
              <w:pStyle w:val="TableParagraph"/>
              <w:spacing w:before="139"/>
              <w:ind w:left="284" w:right="252" w:firstLine="79"/>
              <w:jc w:val="left"/>
              <w:rPr>
                <w:b/>
                <w:sz w:val="18"/>
              </w:rPr>
            </w:pPr>
            <w:r>
              <w:rPr>
                <w:b/>
                <w:sz w:val="18"/>
              </w:rPr>
              <w:t>O &amp; M Expenses</w:t>
            </w:r>
          </w:p>
        </w:tc>
        <w:tc>
          <w:tcPr>
            <w:tcW w:w="1133" w:type="dxa"/>
            <w:shd w:val="clear" w:color="auto" w:fill="FBD4B4"/>
          </w:tcPr>
          <w:p w:rsidR="007C5447" w:rsidRDefault="00F6308C">
            <w:pPr>
              <w:pStyle w:val="TableParagraph"/>
              <w:spacing w:before="139"/>
              <w:ind w:left="323" w:right="290" w:firstLine="14"/>
              <w:jc w:val="left"/>
              <w:rPr>
                <w:b/>
                <w:sz w:val="18"/>
              </w:rPr>
            </w:pPr>
            <w:r>
              <w:rPr>
                <w:b/>
                <w:sz w:val="18"/>
              </w:rPr>
              <w:t>Other Debits</w:t>
            </w:r>
          </w:p>
        </w:tc>
        <w:tc>
          <w:tcPr>
            <w:tcW w:w="1277" w:type="dxa"/>
            <w:shd w:val="clear" w:color="auto" w:fill="FBD4B4"/>
          </w:tcPr>
          <w:p w:rsidR="007C5447" w:rsidRDefault="00F6308C">
            <w:pPr>
              <w:pStyle w:val="TableParagraph"/>
              <w:spacing w:before="35"/>
              <w:ind w:left="134" w:right="121"/>
              <w:jc w:val="center"/>
              <w:rPr>
                <w:b/>
                <w:sz w:val="18"/>
              </w:rPr>
            </w:pPr>
            <w:r>
              <w:rPr>
                <w:b/>
                <w:sz w:val="18"/>
              </w:rPr>
              <w:t>Op. Charges and Extra Ordinary</w:t>
            </w:r>
          </w:p>
        </w:tc>
        <w:tc>
          <w:tcPr>
            <w:tcW w:w="1134" w:type="dxa"/>
            <w:shd w:val="clear" w:color="auto" w:fill="FBD4B4"/>
          </w:tcPr>
          <w:p w:rsidR="007C5447" w:rsidRDefault="00F6308C">
            <w:pPr>
              <w:pStyle w:val="TableParagraph"/>
              <w:spacing w:before="139"/>
              <w:ind w:left="282" w:right="177" w:firstLine="55"/>
              <w:jc w:val="left"/>
              <w:rPr>
                <w:b/>
                <w:sz w:val="18"/>
              </w:rPr>
            </w:pPr>
            <w:r>
              <w:rPr>
                <w:b/>
                <w:sz w:val="18"/>
              </w:rPr>
              <w:t>Other Income</w:t>
            </w:r>
          </w:p>
        </w:tc>
        <w:tc>
          <w:tcPr>
            <w:tcW w:w="1136" w:type="dxa"/>
            <w:shd w:val="clear" w:color="auto" w:fill="FBD4B4"/>
          </w:tcPr>
          <w:p w:rsidR="007C5447" w:rsidRDefault="00F6308C">
            <w:pPr>
              <w:pStyle w:val="TableParagraph"/>
              <w:spacing w:before="139"/>
              <w:ind w:left="281" w:right="120" w:hanging="135"/>
              <w:jc w:val="left"/>
              <w:rPr>
                <w:b/>
                <w:sz w:val="18"/>
              </w:rPr>
            </w:pPr>
            <w:r>
              <w:rPr>
                <w:b/>
                <w:sz w:val="18"/>
              </w:rPr>
              <w:t>Non-Tariff Income</w:t>
            </w:r>
          </w:p>
        </w:tc>
        <w:tc>
          <w:tcPr>
            <w:tcW w:w="1275" w:type="dxa"/>
            <w:shd w:val="clear" w:color="auto" w:fill="FBD4B4"/>
          </w:tcPr>
          <w:p w:rsidR="007C5447" w:rsidRDefault="00F6308C">
            <w:pPr>
              <w:pStyle w:val="TableParagraph"/>
              <w:spacing w:before="35"/>
              <w:ind w:left="141" w:right="133" w:firstLine="3"/>
              <w:jc w:val="center"/>
              <w:rPr>
                <w:b/>
                <w:sz w:val="18"/>
              </w:rPr>
            </w:pPr>
            <w:r>
              <w:rPr>
                <w:b/>
                <w:sz w:val="18"/>
              </w:rPr>
              <w:t>Other Interest &amp; Fin. Charges</w:t>
            </w:r>
          </w:p>
        </w:tc>
        <w:tc>
          <w:tcPr>
            <w:tcW w:w="1542" w:type="dxa"/>
            <w:shd w:val="clear" w:color="auto" w:fill="FBD4B4"/>
          </w:tcPr>
          <w:p w:rsidR="007C5447" w:rsidRDefault="007C5447">
            <w:pPr>
              <w:pStyle w:val="TableParagraph"/>
              <w:jc w:val="left"/>
              <w:rPr>
                <w:b/>
                <w:sz w:val="21"/>
              </w:rPr>
            </w:pPr>
          </w:p>
          <w:p w:rsidR="007C5447" w:rsidRDefault="00F6308C">
            <w:pPr>
              <w:pStyle w:val="TableParagraph"/>
              <w:ind w:right="122"/>
              <w:rPr>
                <w:b/>
                <w:sz w:val="18"/>
              </w:rPr>
            </w:pPr>
            <w:r>
              <w:rPr>
                <w:b/>
                <w:sz w:val="18"/>
              </w:rPr>
              <w:t>Total Fixed Cost</w:t>
            </w:r>
          </w:p>
        </w:tc>
      </w:tr>
      <w:tr w:rsidR="007C5447">
        <w:trPr>
          <w:trHeight w:val="302"/>
        </w:trPr>
        <w:tc>
          <w:tcPr>
            <w:tcW w:w="710" w:type="dxa"/>
          </w:tcPr>
          <w:p w:rsidR="007C5447" w:rsidRDefault="00F6308C">
            <w:pPr>
              <w:pStyle w:val="TableParagraph"/>
              <w:spacing w:before="47"/>
              <w:ind w:left="4"/>
              <w:jc w:val="center"/>
              <w:rPr>
                <w:sz w:val="18"/>
              </w:rPr>
            </w:pPr>
            <w:r>
              <w:rPr>
                <w:sz w:val="18"/>
              </w:rPr>
              <w:t>1</w:t>
            </w:r>
          </w:p>
        </w:tc>
        <w:tc>
          <w:tcPr>
            <w:tcW w:w="1985" w:type="dxa"/>
          </w:tcPr>
          <w:p w:rsidR="007C5447" w:rsidRDefault="00F6308C">
            <w:pPr>
              <w:pStyle w:val="TableParagraph"/>
              <w:spacing w:before="47"/>
              <w:ind w:left="108"/>
              <w:jc w:val="left"/>
              <w:rPr>
                <w:sz w:val="18"/>
              </w:rPr>
            </w:pPr>
            <w:r>
              <w:rPr>
                <w:sz w:val="18"/>
              </w:rPr>
              <w:t>Ennore TPS</w:t>
            </w:r>
          </w:p>
        </w:tc>
        <w:tc>
          <w:tcPr>
            <w:tcW w:w="1274" w:type="dxa"/>
          </w:tcPr>
          <w:p w:rsidR="007C5447" w:rsidRDefault="00F6308C">
            <w:pPr>
              <w:pStyle w:val="TableParagraph"/>
              <w:spacing w:before="47"/>
              <w:ind w:right="121"/>
              <w:rPr>
                <w:sz w:val="18"/>
              </w:rPr>
            </w:pPr>
            <w:r>
              <w:rPr>
                <w:w w:val="99"/>
                <w:sz w:val="18"/>
              </w:rPr>
              <w:t>-</w:t>
            </w:r>
          </w:p>
        </w:tc>
        <w:tc>
          <w:tcPr>
            <w:tcW w:w="1277" w:type="dxa"/>
          </w:tcPr>
          <w:p w:rsidR="007C5447" w:rsidRDefault="00F6308C">
            <w:pPr>
              <w:pStyle w:val="TableParagraph"/>
              <w:spacing w:before="47"/>
              <w:ind w:right="123"/>
              <w:rPr>
                <w:sz w:val="18"/>
              </w:rPr>
            </w:pPr>
            <w:r>
              <w:rPr>
                <w:w w:val="99"/>
                <w:sz w:val="18"/>
              </w:rPr>
              <w:t>-</w:t>
            </w:r>
          </w:p>
        </w:tc>
        <w:tc>
          <w:tcPr>
            <w:tcW w:w="991" w:type="dxa"/>
          </w:tcPr>
          <w:p w:rsidR="007C5447" w:rsidRDefault="00F6308C">
            <w:pPr>
              <w:pStyle w:val="TableParagraph"/>
              <w:spacing w:before="47"/>
              <w:ind w:right="123"/>
              <w:rPr>
                <w:sz w:val="18"/>
              </w:rPr>
            </w:pPr>
            <w:r>
              <w:rPr>
                <w:w w:val="99"/>
                <w:sz w:val="18"/>
              </w:rPr>
              <w:t>-</w:t>
            </w:r>
          </w:p>
        </w:tc>
        <w:tc>
          <w:tcPr>
            <w:tcW w:w="1135" w:type="dxa"/>
          </w:tcPr>
          <w:p w:rsidR="007C5447" w:rsidRDefault="00F6308C">
            <w:pPr>
              <w:pStyle w:val="TableParagraph"/>
              <w:spacing w:before="47"/>
              <w:ind w:right="127"/>
              <w:rPr>
                <w:sz w:val="18"/>
              </w:rPr>
            </w:pPr>
            <w:r>
              <w:rPr>
                <w:sz w:val="18"/>
              </w:rPr>
              <w:t>0.63</w:t>
            </w:r>
          </w:p>
        </w:tc>
        <w:tc>
          <w:tcPr>
            <w:tcW w:w="1277" w:type="dxa"/>
          </w:tcPr>
          <w:p w:rsidR="007C5447" w:rsidRDefault="00F6308C">
            <w:pPr>
              <w:pStyle w:val="TableParagraph"/>
              <w:spacing w:before="47"/>
              <w:ind w:right="122"/>
              <w:rPr>
                <w:sz w:val="18"/>
              </w:rPr>
            </w:pPr>
            <w:r>
              <w:rPr>
                <w:sz w:val="18"/>
              </w:rPr>
              <w:t>21.63</w:t>
            </w:r>
          </w:p>
        </w:tc>
        <w:tc>
          <w:tcPr>
            <w:tcW w:w="1133" w:type="dxa"/>
          </w:tcPr>
          <w:p w:rsidR="007C5447" w:rsidRDefault="00F6308C">
            <w:pPr>
              <w:pStyle w:val="TableParagraph"/>
              <w:spacing w:before="47"/>
              <w:ind w:right="123"/>
              <w:rPr>
                <w:sz w:val="18"/>
              </w:rPr>
            </w:pPr>
            <w:r>
              <w:rPr>
                <w:w w:val="99"/>
                <w:sz w:val="18"/>
              </w:rPr>
              <w:t>-</w:t>
            </w:r>
          </w:p>
        </w:tc>
        <w:tc>
          <w:tcPr>
            <w:tcW w:w="1277" w:type="dxa"/>
          </w:tcPr>
          <w:p w:rsidR="007C5447" w:rsidRDefault="00F6308C">
            <w:pPr>
              <w:pStyle w:val="TableParagraph"/>
              <w:spacing w:before="47"/>
              <w:ind w:right="123"/>
              <w:rPr>
                <w:sz w:val="18"/>
              </w:rPr>
            </w:pPr>
            <w:r>
              <w:rPr>
                <w:w w:val="99"/>
                <w:sz w:val="18"/>
              </w:rPr>
              <w:t>-</w:t>
            </w:r>
          </w:p>
        </w:tc>
        <w:tc>
          <w:tcPr>
            <w:tcW w:w="1134" w:type="dxa"/>
          </w:tcPr>
          <w:p w:rsidR="007C5447" w:rsidRDefault="00F6308C">
            <w:pPr>
              <w:pStyle w:val="TableParagraph"/>
              <w:spacing w:before="47"/>
              <w:ind w:right="124"/>
              <w:rPr>
                <w:sz w:val="18"/>
              </w:rPr>
            </w:pPr>
            <w:r>
              <w:rPr>
                <w:w w:val="99"/>
                <w:sz w:val="18"/>
              </w:rPr>
              <w:t>-</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5"/>
              <w:rPr>
                <w:sz w:val="18"/>
              </w:rPr>
            </w:pPr>
            <w:r>
              <w:rPr>
                <w:w w:val="99"/>
                <w:sz w:val="18"/>
              </w:rPr>
              <w:t>-</w:t>
            </w:r>
          </w:p>
        </w:tc>
        <w:tc>
          <w:tcPr>
            <w:tcW w:w="1542" w:type="dxa"/>
          </w:tcPr>
          <w:p w:rsidR="007C5447" w:rsidRDefault="00F6308C">
            <w:pPr>
              <w:pStyle w:val="TableParagraph"/>
              <w:spacing w:before="47"/>
              <w:ind w:right="125"/>
              <w:rPr>
                <w:sz w:val="18"/>
              </w:rPr>
            </w:pPr>
            <w:r>
              <w:rPr>
                <w:sz w:val="18"/>
              </w:rPr>
              <w:t>22.26</w:t>
            </w:r>
          </w:p>
        </w:tc>
      </w:tr>
      <w:tr w:rsidR="007C5447">
        <w:trPr>
          <w:trHeight w:val="330"/>
        </w:trPr>
        <w:tc>
          <w:tcPr>
            <w:tcW w:w="710" w:type="dxa"/>
          </w:tcPr>
          <w:p w:rsidR="007C5447" w:rsidRDefault="00F6308C">
            <w:pPr>
              <w:pStyle w:val="TableParagraph"/>
              <w:spacing w:before="62"/>
              <w:ind w:left="4"/>
              <w:jc w:val="center"/>
              <w:rPr>
                <w:sz w:val="18"/>
              </w:rPr>
            </w:pPr>
            <w:r>
              <w:rPr>
                <w:sz w:val="18"/>
              </w:rPr>
              <w:t>2</w:t>
            </w:r>
          </w:p>
        </w:tc>
        <w:tc>
          <w:tcPr>
            <w:tcW w:w="1985" w:type="dxa"/>
          </w:tcPr>
          <w:p w:rsidR="007C5447" w:rsidRDefault="00F6308C">
            <w:pPr>
              <w:pStyle w:val="TableParagraph"/>
              <w:spacing w:before="62"/>
              <w:ind w:left="108"/>
              <w:jc w:val="left"/>
              <w:rPr>
                <w:sz w:val="18"/>
              </w:rPr>
            </w:pPr>
            <w:r>
              <w:rPr>
                <w:sz w:val="18"/>
              </w:rPr>
              <w:t>Tuticorin TPS</w:t>
            </w:r>
          </w:p>
        </w:tc>
        <w:tc>
          <w:tcPr>
            <w:tcW w:w="1274" w:type="dxa"/>
          </w:tcPr>
          <w:p w:rsidR="007C5447" w:rsidRDefault="00F6308C">
            <w:pPr>
              <w:pStyle w:val="TableParagraph"/>
              <w:spacing w:before="62"/>
              <w:ind w:right="123"/>
              <w:rPr>
                <w:sz w:val="18"/>
              </w:rPr>
            </w:pPr>
            <w:r>
              <w:rPr>
                <w:sz w:val="18"/>
              </w:rPr>
              <w:t>151.67</w:t>
            </w:r>
          </w:p>
        </w:tc>
        <w:tc>
          <w:tcPr>
            <w:tcW w:w="1277" w:type="dxa"/>
          </w:tcPr>
          <w:p w:rsidR="007C5447" w:rsidRDefault="00F6308C">
            <w:pPr>
              <w:pStyle w:val="TableParagraph"/>
              <w:spacing w:before="62"/>
              <w:ind w:right="127"/>
              <w:rPr>
                <w:sz w:val="18"/>
              </w:rPr>
            </w:pPr>
            <w:r>
              <w:rPr>
                <w:sz w:val="18"/>
              </w:rPr>
              <w:t>272.40</w:t>
            </w:r>
          </w:p>
        </w:tc>
        <w:tc>
          <w:tcPr>
            <w:tcW w:w="991" w:type="dxa"/>
          </w:tcPr>
          <w:p w:rsidR="007C5447" w:rsidRDefault="00F6308C">
            <w:pPr>
              <w:pStyle w:val="TableParagraph"/>
              <w:spacing w:before="62"/>
              <w:ind w:right="125"/>
              <w:rPr>
                <w:sz w:val="18"/>
              </w:rPr>
            </w:pPr>
            <w:r>
              <w:rPr>
                <w:sz w:val="18"/>
              </w:rPr>
              <w:t>120.49</w:t>
            </w:r>
          </w:p>
        </w:tc>
        <w:tc>
          <w:tcPr>
            <w:tcW w:w="1135" w:type="dxa"/>
          </w:tcPr>
          <w:p w:rsidR="007C5447" w:rsidRDefault="00F6308C">
            <w:pPr>
              <w:pStyle w:val="TableParagraph"/>
              <w:spacing w:before="62"/>
              <w:ind w:right="127"/>
              <w:rPr>
                <w:sz w:val="18"/>
              </w:rPr>
            </w:pPr>
            <w:r>
              <w:rPr>
                <w:sz w:val="18"/>
              </w:rPr>
              <w:t>111.66</w:t>
            </w:r>
          </w:p>
        </w:tc>
        <w:tc>
          <w:tcPr>
            <w:tcW w:w="1277" w:type="dxa"/>
          </w:tcPr>
          <w:p w:rsidR="007C5447" w:rsidRDefault="00F6308C">
            <w:pPr>
              <w:pStyle w:val="TableParagraph"/>
              <w:spacing w:before="62"/>
              <w:ind w:right="125"/>
              <w:rPr>
                <w:sz w:val="18"/>
              </w:rPr>
            </w:pPr>
            <w:r>
              <w:rPr>
                <w:sz w:val="18"/>
              </w:rPr>
              <w:t>358.71</w:t>
            </w:r>
          </w:p>
        </w:tc>
        <w:tc>
          <w:tcPr>
            <w:tcW w:w="1133" w:type="dxa"/>
          </w:tcPr>
          <w:p w:rsidR="007C5447" w:rsidRDefault="00F6308C">
            <w:pPr>
              <w:pStyle w:val="TableParagraph"/>
              <w:spacing w:before="62"/>
              <w:ind w:right="124"/>
              <w:rPr>
                <w:sz w:val="18"/>
              </w:rPr>
            </w:pPr>
            <w:r>
              <w:rPr>
                <w:sz w:val="18"/>
              </w:rPr>
              <w:t>0.86</w:t>
            </w:r>
          </w:p>
        </w:tc>
        <w:tc>
          <w:tcPr>
            <w:tcW w:w="1277" w:type="dxa"/>
          </w:tcPr>
          <w:p w:rsidR="007C5447" w:rsidRDefault="00F6308C">
            <w:pPr>
              <w:pStyle w:val="TableParagraph"/>
              <w:spacing w:before="62"/>
              <w:ind w:right="125"/>
              <w:rPr>
                <w:sz w:val="18"/>
              </w:rPr>
            </w:pPr>
            <w:r>
              <w:rPr>
                <w:sz w:val="18"/>
              </w:rPr>
              <w:t>9.20</w:t>
            </w:r>
          </w:p>
        </w:tc>
        <w:tc>
          <w:tcPr>
            <w:tcW w:w="1134" w:type="dxa"/>
          </w:tcPr>
          <w:p w:rsidR="007C5447" w:rsidRDefault="00F6308C">
            <w:pPr>
              <w:pStyle w:val="TableParagraph"/>
              <w:spacing w:before="62"/>
              <w:ind w:right="123"/>
              <w:rPr>
                <w:sz w:val="18"/>
              </w:rPr>
            </w:pPr>
            <w:r>
              <w:rPr>
                <w:sz w:val="18"/>
              </w:rPr>
              <w:t>36.40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62"/>
              <w:ind w:right="124"/>
              <w:rPr>
                <w:sz w:val="18"/>
              </w:rPr>
            </w:pPr>
            <w:r>
              <w:rPr>
                <w:sz w:val="18"/>
              </w:rPr>
              <w:t>12.64</w:t>
            </w:r>
          </w:p>
        </w:tc>
        <w:tc>
          <w:tcPr>
            <w:tcW w:w="1542" w:type="dxa"/>
          </w:tcPr>
          <w:p w:rsidR="007C5447" w:rsidRDefault="00F6308C">
            <w:pPr>
              <w:pStyle w:val="TableParagraph"/>
              <w:spacing w:before="62"/>
              <w:ind w:right="128"/>
              <w:rPr>
                <w:sz w:val="18"/>
              </w:rPr>
            </w:pPr>
            <w:r>
              <w:rPr>
                <w:sz w:val="18"/>
              </w:rPr>
              <w:t>1,001.24</w:t>
            </w:r>
          </w:p>
        </w:tc>
      </w:tr>
      <w:tr w:rsidR="007C5447">
        <w:trPr>
          <w:trHeight w:val="300"/>
        </w:trPr>
        <w:tc>
          <w:tcPr>
            <w:tcW w:w="710" w:type="dxa"/>
          </w:tcPr>
          <w:p w:rsidR="007C5447" w:rsidRDefault="00F6308C">
            <w:pPr>
              <w:pStyle w:val="TableParagraph"/>
              <w:spacing w:before="48"/>
              <w:ind w:left="4"/>
              <w:jc w:val="center"/>
              <w:rPr>
                <w:sz w:val="18"/>
              </w:rPr>
            </w:pPr>
            <w:r>
              <w:rPr>
                <w:sz w:val="18"/>
              </w:rPr>
              <w:t>3</w:t>
            </w:r>
          </w:p>
        </w:tc>
        <w:tc>
          <w:tcPr>
            <w:tcW w:w="1985" w:type="dxa"/>
          </w:tcPr>
          <w:p w:rsidR="007C5447" w:rsidRDefault="00F6308C">
            <w:pPr>
              <w:pStyle w:val="TableParagraph"/>
              <w:spacing w:before="48"/>
              <w:ind w:left="108"/>
              <w:jc w:val="left"/>
              <w:rPr>
                <w:sz w:val="18"/>
              </w:rPr>
            </w:pPr>
            <w:r>
              <w:rPr>
                <w:sz w:val="18"/>
              </w:rPr>
              <w:t>Mettur TPS</w:t>
            </w:r>
          </w:p>
        </w:tc>
        <w:tc>
          <w:tcPr>
            <w:tcW w:w="1274" w:type="dxa"/>
          </w:tcPr>
          <w:p w:rsidR="007C5447" w:rsidRDefault="00F6308C">
            <w:pPr>
              <w:pStyle w:val="TableParagraph"/>
              <w:spacing w:before="48"/>
              <w:ind w:right="120"/>
              <w:rPr>
                <w:sz w:val="18"/>
              </w:rPr>
            </w:pPr>
            <w:r>
              <w:rPr>
                <w:sz w:val="18"/>
              </w:rPr>
              <w:t>95.46</w:t>
            </w:r>
          </w:p>
        </w:tc>
        <w:tc>
          <w:tcPr>
            <w:tcW w:w="1277" w:type="dxa"/>
          </w:tcPr>
          <w:p w:rsidR="007C5447" w:rsidRDefault="00F6308C">
            <w:pPr>
              <w:pStyle w:val="TableParagraph"/>
              <w:spacing w:before="48"/>
              <w:ind w:right="127"/>
              <w:rPr>
                <w:sz w:val="18"/>
              </w:rPr>
            </w:pPr>
            <w:r>
              <w:rPr>
                <w:sz w:val="18"/>
              </w:rPr>
              <w:t>169.38</w:t>
            </w:r>
          </w:p>
        </w:tc>
        <w:tc>
          <w:tcPr>
            <w:tcW w:w="991" w:type="dxa"/>
          </w:tcPr>
          <w:p w:rsidR="007C5447" w:rsidRDefault="00F6308C">
            <w:pPr>
              <w:pStyle w:val="TableParagraph"/>
              <w:spacing w:before="48"/>
              <w:ind w:right="122"/>
              <w:rPr>
                <w:sz w:val="18"/>
              </w:rPr>
            </w:pPr>
            <w:r>
              <w:rPr>
                <w:sz w:val="18"/>
              </w:rPr>
              <w:t>70.02</w:t>
            </w:r>
          </w:p>
        </w:tc>
        <w:tc>
          <w:tcPr>
            <w:tcW w:w="1135" w:type="dxa"/>
          </w:tcPr>
          <w:p w:rsidR="007C5447" w:rsidRDefault="00F6308C">
            <w:pPr>
              <w:pStyle w:val="TableParagraph"/>
              <w:spacing w:before="48"/>
              <w:ind w:right="124"/>
              <w:rPr>
                <w:sz w:val="18"/>
              </w:rPr>
            </w:pPr>
            <w:r>
              <w:rPr>
                <w:sz w:val="18"/>
              </w:rPr>
              <w:t>89.81</w:t>
            </w:r>
          </w:p>
        </w:tc>
        <w:tc>
          <w:tcPr>
            <w:tcW w:w="1277" w:type="dxa"/>
          </w:tcPr>
          <w:p w:rsidR="007C5447" w:rsidRDefault="00F6308C">
            <w:pPr>
              <w:pStyle w:val="TableParagraph"/>
              <w:spacing w:before="48"/>
              <w:ind w:right="125"/>
              <w:rPr>
                <w:sz w:val="18"/>
              </w:rPr>
            </w:pPr>
            <w:r>
              <w:rPr>
                <w:sz w:val="18"/>
              </w:rPr>
              <w:t>282.27</w:t>
            </w:r>
          </w:p>
        </w:tc>
        <w:tc>
          <w:tcPr>
            <w:tcW w:w="1133" w:type="dxa"/>
          </w:tcPr>
          <w:p w:rsidR="007C5447" w:rsidRDefault="00F6308C">
            <w:pPr>
              <w:pStyle w:val="TableParagraph"/>
              <w:spacing w:before="48"/>
              <w:ind w:right="124"/>
              <w:rPr>
                <w:sz w:val="18"/>
              </w:rPr>
            </w:pPr>
            <w:r>
              <w:rPr>
                <w:sz w:val="18"/>
              </w:rPr>
              <w:t>1.13</w:t>
            </w:r>
          </w:p>
        </w:tc>
        <w:tc>
          <w:tcPr>
            <w:tcW w:w="1277" w:type="dxa"/>
          </w:tcPr>
          <w:p w:rsidR="007C5447" w:rsidRDefault="00F6308C">
            <w:pPr>
              <w:pStyle w:val="TableParagraph"/>
              <w:spacing w:before="48"/>
              <w:ind w:right="125"/>
              <w:rPr>
                <w:sz w:val="18"/>
              </w:rPr>
            </w:pPr>
            <w:r>
              <w:rPr>
                <w:sz w:val="18"/>
              </w:rPr>
              <w:t>3.80</w:t>
            </w:r>
          </w:p>
        </w:tc>
        <w:tc>
          <w:tcPr>
            <w:tcW w:w="1134" w:type="dxa"/>
          </w:tcPr>
          <w:p w:rsidR="007C5447" w:rsidRDefault="00F6308C">
            <w:pPr>
              <w:pStyle w:val="TableParagraph"/>
              <w:spacing w:before="48"/>
              <w:ind w:right="123"/>
              <w:rPr>
                <w:sz w:val="18"/>
              </w:rPr>
            </w:pPr>
            <w:r>
              <w:rPr>
                <w:sz w:val="18"/>
              </w:rPr>
              <w:t>32.36</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8"/>
              <w:ind w:right="124"/>
              <w:rPr>
                <w:sz w:val="18"/>
              </w:rPr>
            </w:pPr>
            <w:r>
              <w:rPr>
                <w:sz w:val="18"/>
              </w:rPr>
              <w:t>10.75</w:t>
            </w:r>
          </w:p>
        </w:tc>
        <w:tc>
          <w:tcPr>
            <w:tcW w:w="1542" w:type="dxa"/>
          </w:tcPr>
          <w:p w:rsidR="007C5447" w:rsidRDefault="00F6308C">
            <w:pPr>
              <w:pStyle w:val="TableParagraph"/>
              <w:spacing w:before="48"/>
              <w:ind w:right="128"/>
              <w:rPr>
                <w:sz w:val="18"/>
              </w:rPr>
            </w:pPr>
            <w:r>
              <w:rPr>
                <w:sz w:val="18"/>
              </w:rPr>
              <w:t>690.26</w:t>
            </w:r>
          </w:p>
        </w:tc>
      </w:tr>
      <w:tr w:rsidR="007C5447">
        <w:trPr>
          <w:trHeight w:val="299"/>
        </w:trPr>
        <w:tc>
          <w:tcPr>
            <w:tcW w:w="710" w:type="dxa"/>
          </w:tcPr>
          <w:p w:rsidR="007C5447" w:rsidRDefault="00F6308C">
            <w:pPr>
              <w:pStyle w:val="TableParagraph"/>
              <w:spacing w:before="47"/>
              <w:ind w:left="4"/>
              <w:jc w:val="center"/>
              <w:rPr>
                <w:sz w:val="18"/>
              </w:rPr>
            </w:pPr>
            <w:r>
              <w:rPr>
                <w:sz w:val="18"/>
              </w:rPr>
              <w:t>4</w:t>
            </w:r>
          </w:p>
        </w:tc>
        <w:tc>
          <w:tcPr>
            <w:tcW w:w="1985" w:type="dxa"/>
          </w:tcPr>
          <w:p w:rsidR="007C5447" w:rsidRDefault="00F6308C">
            <w:pPr>
              <w:pStyle w:val="TableParagraph"/>
              <w:spacing w:before="47"/>
              <w:ind w:left="108"/>
              <w:jc w:val="left"/>
              <w:rPr>
                <w:sz w:val="18"/>
              </w:rPr>
            </w:pPr>
            <w:r>
              <w:rPr>
                <w:sz w:val="18"/>
              </w:rPr>
              <w:t>North Chennai TPS</w:t>
            </w:r>
          </w:p>
        </w:tc>
        <w:tc>
          <w:tcPr>
            <w:tcW w:w="1274" w:type="dxa"/>
          </w:tcPr>
          <w:p w:rsidR="007C5447" w:rsidRDefault="00F6308C">
            <w:pPr>
              <w:pStyle w:val="TableParagraph"/>
              <w:spacing w:before="47"/>
              <w:ind w:right="123"/>
              <w:rPr>
                <w:sz w:val="18"/>
              </w:rPr>
            </w:pPr>
            <w:r>
              <w:rPr>
                <w:sz w:val="18"/>
              </w:rPr>
              <w:t>182.07</w:t>
            </w:r>
          </w:p>
        </w:tc>
        <w:tc>
          <w:tcPr>
            <w:tcW w:w="1277" w:type="dxa"/>
          </w:tcPr>
          <w:p w:rsidR="007C5447" w:rsidRDefault="00F6308C">
            <w:pPr>
              <w:pStyle w:val="TableParagraph"/>
              <w:spacing w:before="47"/>
              <w:ind w:right="127"/>
              <w:rPr>
                <w:sz w:val="18"/>
              </w:rPr>
            </w:pPr>
            <w:r>
              <w:rPr>
                <w:sz w:val="18"/>
              </w:rPr>
              <w:t>323.33</w:t>
            </w:r>
          </w:p>
        </w:tc>
        <w:tc>
          <w:tcPr>
            <w:tcW w:w="991" w:type="dxa"/>
          </w:tcPr>
          <w:p w:rsidR="007C5447" w:rsidRDefault="00F6308C">
            <w:pPr>
              <w:pStyle w:val="TableParagraph"/>
              <w:spacing w:before="47"/>
              <w:ind w:right="125"/>
              <w:rPr>
                <w:sz w:val="18"/>
              </w:rPr>
            </w:pPr>
            <w:r>
              <w:rPr>
                <w:sz w:val="18"/>
              </w:rPr>
              <w:t>141.52</w:t>
            </w:r>
          </w:p>
        </w:tc>
        <w:tc>
          <w:tcPr>
            <w:tcW w:w="1135" w:type="dxa"/>
          </w:tcPr>
          <w:p w:rsidR="007C5447" w:rsidRDefault="00F6308C">
            <w:pPr>
              <w:pStyle w:val="TableParagraph"/>
              <w:spacing w:before="47"/>
              <w:ind w:right="124"/>
              <w:rPr>
                <w:sz w:val="18"/>
              </w:rPr>
            </w:pPr>
            <w:r>
              <w:rPr>
                <w:sz w:val="18"/>
              </w:rPr>
              <w:t>66.05</w:t>
            </w:r>
          </w:p>
        </w:tc>
        <w:tc>
          <w:tcPr>
            <w:tcW w:w="1277" w:type="dxa"/>
          </w:tcPr>
          <w:p w:rsidR="007C5447" w:rsidRDefault="00F6308C">
            <w:pPr>
              <w:pStyle w:val="TableParagraph"/>
              <w:spacing w:before="47"/>
              <w:ind w:right="125"/>
              <w:rPr>
                <w:sz w:val="18"/>
              </w:rPr>
            </w:pPr>
            <w:r>
              <w:rPr>
                <w:sz w:val="18"/>
              </w:rPr>
              <w:t>255.53</w:t>
            </w:r>
          </w:p>
        </w:tc>
        <w:tc>
          <w:tcPr>
            <w:tcW w:w="1133" w:type="dxa"/>
          </w:tcPr>
          <w:p w:rsidR="007C5447" w:rsidRDefault="00F6308C">
            <w:pPr>
              <w:pStyle w:val="TableParagraph"/>
              <w:spacing w:before="47"/>
              <w:ind w:right="124"/>
              <w:rPr>
                <w:sz w:val="18"/>
              </w:rPr>
            </w:pPr>
            <w:r>
              <w:rPr>
                <w:sz w:val="18"/>
              </w:rPr>
              <w:t>0.25</w:t>
            </w:r>
          </w:p>
        </w:tc>
        <w:tc>
          <w:tcPr>
            <w:tcW w:w="1277" w:type="dxa"/>
          </w:tcPr>
          <w:p w:rsidR="007C5447" w:rsidRDefault="00F6308C">
            <w:pPr>
              <w:pStyle w:val="TableParagraph"/>
              <w:spacing w:before="47"/>
              <w:ind w:right="122"/>
              <w:rPr>
                <w:sz w:val="18"/>
              </w:rPr>
            </w:pPr>
            <w:r>
              <w:rPr>
                <w:sz w:val="18"/>
              </w:rPr>
              <w:t>52.89</w:t>
            </w:r>
          </w:p>
        </w:tc>
        <w:tc>
          <w:tcPr>
            <w:tcW w:w="1134" w:type="dxa"/>
          </w:tcPr>
          <w:p w:rsidR="007C5447" w:rsidRDefault="00F6308C">
            <w:pPr>
              <w:pStyle w:val="TableParagraph"/>
              <w:spacing w:before="47"/>
              <w:ind w:right="123"/>
              <w:rPr>
                <w:sz w:val="18"/>
              </w:rPr>
            </w:pPr>
            <w:r>
              <w:rPr>
                <w:sz w:val="18"/>
              </w:rPr>
              <w:t>29.11</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7"/>
              <w:rPr>
                <w:sz w:val="18"/>
              </w:rPr>
            </w:pPr>
            <w:r>
              <w:rPr>
                <w:sz w:val="18"/>
              </w:rPr>
              <w:t>6.69</w:t>
            </w:r>
          </w:p>
        </w:tc>
        <w:tc>
          <w:tcPr>
            <w:tcW w:w="1542" w:type="dxa"/>
          </w:tcPr>
          <w:p w:rsidR="007C5447" w:rsidRDefault="00F6308C">
            <w:pPr>
              <w:pStyle w:val="TableParagraph"/>
              <w:spacing w:before="47"/>
              <w:ind w:right="128"/>
              <w:rPr>
                <w:sz w:val="18"/>
              </w:rPr>
            </w:pPr>
            <w:r>
              <w:rPr>
                <w:sz w:val="18"/>
              </w:rPr>
              <w:t>999.23</w:t>
            </w:r>
          </w:p>
        </w:tc>
      </w:tr>
      <w:tr w:rsidR="007C5447">
        <w:trPr>
          <w:trHeight w:val="301"/>
        </w:trPr>
        <w:tc>
          <w:tcPr>
            <w:tcW w:w="710" w:type="dxa"/>
          </w:tcPr>
          <w:p w:rsidR="007C5447" w:rsidRDefault="00F6308C">
            <w:pPr>
              <w:pStyle w:val="TableParagraph"/>
              <w:spacing w:before="47"/>
              <w:ind w:left="4"/>
              <w:jc w:val="center"/>
              <w:rPr>
                <w:sz w:val="18"/>
              </w:rPr>
            </w:pPr>
            <w:r>
              <w:rPr>
                <w:sz w:val="18"/>
              </w:rPr>
              <w:t>5</w:t>
            </w:r>
          </w:p>
        </w:tc>
        <w:tc>
          <w:tcPr>
            <w:tcW w:w="1985" w:type="dxa"/>
          </w:tcPr>
          <w:p w:rsidR="007C5447" w:rsidRDefault="00F6308C">
            <w:pPr>
              <w:pStyle w:val="TableParagraph"/>
              <w:spacing w:before="47"/>
              <w:ind w:left="108"/>
              <w:jc w:val="left"/>
              <w:rPr>
                <w:sz w:val="18"/>
              </w:rPr>
            </w:pPr>
            <w:r>
              <w:rPr>
                <w:sz w:val="18"/>
              </w:rPr>
              <w:t>Mettur TPS Stage III</w:t>
            </w:r>
          </w:p>
        </w:tc>
        <w:tc>
          <w:tcPr>
            <w:tcW w:w="1274" w:type="dxa"/>
          </w:tcPr>
          <w:p w:rsidR="007C5447" w:rsidRDefault="00F6308C">
            <w:pPr>
              <w:pStyle w:val="TableParagraph"/>
              <w:spacing w:before="47"/>
              <w:ind w:right="123"/>
              <w:rPr>
                <w:sz w:val="18"/>
              </w:rPr>
            </w:pPr>
            <w:r>
              <w:rPr>
                <w:sz w:val="18"/>
              </w:rPr>
              <w:t>193.90</w:t>
            </w:r>
          </w:p>
        </w:tc>
        <w:tc>
          <w:tcPr>
            <w:tcW w:w="1277" w:type="dxa"/>
          </w:tcPr>
          <w:p w:rsidR="007C5447" w:rsidRDefault="00F6308C">
            <w:pPr>
              <w:pStyle w:val="TableParagraph"/>
              <w:spacing w:before="47"/>
              <w:ind w:right="127"/>
              <w:rPr>
                <w:sz w:val="18"/>
              </w:rPr>
            </w:pPr>
            <w:r>
              <w:rPr>
                <w:sz w:val="18"/>
              </w:rPr>
              <w:t>254.90</w:t>
            </w:r>
          </w:p>
        </w:tc>
        <w:tc>
          <w:tcPr>
            <w:tcW w:w="991" w:type="dxa"/>
          </w:tcPr>
          <w:p w:rsidR="007C5447" w:rsidRDefault="00F6308C">
            <w:pPr>
              <w:pStyle w:val="TableParagraph"/>
              <w:spacing w:before="47"/>
              <w:ind w:right="125"/>
              <w:rPr>
                <w:sz w:val="18"/>
              </w:rPr>
            </w:pPr>
            <w:r>
              <w:rPr>
                <w:sz w:val="18"/>
              </w:rPr>
              <w:t>171.51</w:t>
            </w:r>
          </w:p>
        </w:tc>
        <w:tc>
          <w:tcPr>
            <w:tcW w:w="1135" w:type="dxa"/>
          </w:tcPr>
          <w:p w:rsidR="007C5447" w:rsidRDefault="00F6308C">
            <w:pPr>
              <w:pStyle w:val="TableParagraph"/>
              <w:spacing w:before="47"/>
              <w:ind w:right="124"/>
              <w:rPr>
                <w:sz w:val="18"/>
              </w:rPr>
            </w:pPr>
            <w:r>
              <w:rPr>
                <w:sz w:val="18"/>
              </w:rPr>
              <w:t>71.17</w:t>
            </w:r>
          </w:p>
        </w:tc>
        <w:tc>
          <w:tcPr>
            <w:tcW w:w="1277" w:type="dxa"/>
          </w:tcPr>
          <w:p w:rsidR="007C5447" w:rsidRDefault="00F6308C">
            <w:pPr>
              <w:pStyle w:val="TableParagraph"/>
              <w:spacing w:before="47"/>
              <w:ind w:right="125"/>
              <w:rPr>
                <w:sz w:val="18"/>
              </w:rPr>
            </w:pPr>
            <w:r>
              <w:rPr>
                <w:sz w:val="18"/>
              </w:rPr>
              <w:t>109.74</w:t>
            </w:r>
          </w:p>
        </w:tc>
        <w:tc>
          <w:tcPr>
            <w:tcW w:w="1133" w:type="dxa"/>
          </w:tcPr>
          <w:p w:rsidR="007C5447" w:rsidRDefault="00F6308C">
            <w:pPr>
              <w:pStyle w:val="TableParagraph"/>
              <w:spacing w:before="47"/>
              <w:ind w:right="124"/>
              <w:rPr>
                <w:sz w:val="18"/>
              </w:rPr>
            </w:pPr>
            <w:r>
              <w:rPr>
                <w:sz w:val="18"/>
              </w:rPr>
              <w:t>0.99</w:t>
            </w:r>
          </w:p>
        </w:tc>
        <w:tc>
          <w:tcPr>
            <w:tcW w:w="1277" w:type="dxa"/>
          </w:tcPr>
          <w:p w:rsidR="007C5447" w:rsidRDefault="00F6308C">
            <w:pPr>
              <w:pStyle w:val="TableParagraph"/>
              <w:spacing w:before="47"/>
              <w:ind w:right="125"/>
              <w:rPr>
                <w:sz w:val="18"/>
              </w:rPr>
            </w:pPr>
            <w:r>
              <w:rPr>
                <w:sz w:val="18"/>
              </w:rPr>
              <w:t>1.51</w:t>
            </w:r>
          </w:p>
        </w:tc>
        <w:tc>
          <w:tcPr>
            <w:tcW w:w="1134" w:type="dxa"/>
          </w:tcPr>
          <w:p w:rsidR="007C5447" w:rsidRDefault="00F6308C">
            <w:pPr>
              <w:pStyle w:val="TableParagraph"/>
              <w:spacing w:before="47"/>
              <w:ind w:right="123"/>
              <w:rPr>
                <w:sz w:val="18"/>
              </w:rPr>
            </w:pPr>
            <w:r>
              <w:rPr>
                <w:sz w:val="18"/>
              </w:rPr>
              <w:t>34.50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7"/>
              <w:rPr>
                <w:sz w:val="18"/>
              </w:rPr>
            </w:pPr>
            <w:r>
              <w:rPr>
                <w:sz w:val="18"/>
              </w:rPr>
              <w:t>2.97</w:t>
            </w:r>
          </w:p>
        </w:tc>
        <w:tc>
          <w:tcPr>
            <w:tcW w:w="1542" w:type="dxa"/>
          </w:tcPr>
          <w:p w:rsidR="007C5447" w:rsidRDefault="00F6308C">
            <w:pPr>
              <w:pStyle w:val="TableParagraph"/>
              <w:spacing w:before="47"/>
              <w:ind w:right="128"/>
              <w:rPr>
                <w:sz w:val="18"/>
              </w:rPr>
            </w:pPr>
            <w:r>
              <w:rPr>
                <w:sz w:val="18"/>
              </w:rPr>
              <w:t>772.19</w:t>
            </w:r>
          </w:p>
        </w:tc>
      </w:tr>
      <w:tr w:rsidR="007C5447">
        <w:trPr>
          <w:trHeight w:val="299"/>
        </w:trPr>
        <w:tc>
          <w:tcPr>
            <w:tcW w:w="710" w:type="dxa"/>
          </w:tcPr>
          <w:p w:rsidR="007C5447" w:rsidRDefault="00F6308C">
            <w:pPr>
              <w:pStyle w:val="TableParagraph"/>
              <w:spacing w:before="45"/>
              <w:ind w:left="4"/>
              <w:jc w:val="center"/>
              <w:rPr>
                <w:sz w:val="18"/>
              </w:rPr>
            </w:pPr>
            <w:r>
              <w:rPr>
                <w:sz w:val="18"/>
              </w:rPr>
              <w:t>6</w:t>
            </w:r>
          </w:p>
        </w:tc>
        <w:tc>
          <w:tcPr>
            <w:tcW w:w="1985" w:type="dxa"/>
          </w:tcPr>
          <w:p w:rsidR="007C5447" w:rsidRDefault="00F6308C">
            <w:pPr>
              <w:pStyle w:val="TableParagraph"/>
              <w:spacing w:before="45"/>
              <w:ind w:left="108"/>
              <w:jc w:val="left"/>
              <w:rPr>
                <w:sz w:val="18"/>
              </w:rPr>
            </w:pPr>
            <w:r>
              <w:rPr>
                <w:sz w:val="18"/>
              </w:rPr>
              <w:t>North Chennai TPS II</w:t>
            </w:r>
          </w:p>
        </w:tc>
        <w:tc>
          <w:tcPr>
            <w:tcW w:w="1274" w:type="dxa"/>
          </w:tcPr>
          <w:p w:rsidR="007C5447" w:rsidRDefault="00F6308C">
            <w:pPr>
              <w:pStyle w:val="TableParagraph"/>
              <w:spacing w:before="45"/>
              <w:ind w:right="123"/>
              <w:rPr>
                <w:sz w:val="18"/>
              </w:rPr>
            </w:pPr>
            <w:r>
              <w:rPr>
                <w:sz w:val="18"/>
              </w:rPr>
              <w:t>403.92</w:t>
            </w:r>
          </w:p>
        </w:tc>
        <w:tc>
          <w:tcPr>
            <w:tcW w:w="1277" w:type="dxa"/>
          </w:tcPr>
          <w:p w:rsidR="007C5447" w:rsidRDefault="00F6308C">
            <w:pPr>
              <w:pStyle w:val="TableParagraph"/>
              <w:spacing w:before="45"/>
              <w:ind w:right="127"/>
              <w:rPr>
                <w:sz w:val="18"/>
              </w:rPr>
            </w:pPr>
            <w:r>
              <w:rPr>
                <w:sz w:val="18"/>
              </w:rPr>
              <w:t>563.22</w:t>
            </w:r>
          </w:p>
        </w:tc>
        <w:tc>
          <w:tcPr>
            <w:tcW w:w="991" w:type="dxa"/>
          </w:tcPr>
          <w:p w:rsidR="007C5447" w:rsidRDefault="00F6308C">
            <w:pPr>
              <w:pStyle w:val="TableParagraph"/>
              <w:spacing w:before="45"/>
              <w:ind w:right="123"/>
              <w:rPr>
                <w:sz w:val="18"/>
              </w:rPr>
            </w:pPr>
            <w:r>
              <w:rPr>
                <w:w w:val="99"/>
                <w:sz w:val="18"/>
              </w:rPr>
              <w:t>-</w:t>
            </w:r>
          </w:p>
        </w:tc>
        <w:tc>
          <w:tcPr>
            <w:tcW w:w="1135" w:type="dxa"/>
          </w:tcPr>
          <w:p w:rsidR="007C5447" w:rsidRDefault="00F6308C">
            <w:pPr>
              <w:pStyle w:val="TableParagraph"/>
              <w:spacing w:before="45"/>
              <w:ind w:right="127"/>
              <w:rPr>
                <w:sz w:val="18"/>
              </w:rPr>
            </w:pPr>
            <w:r>
              <w:rPr>
                <w:sz w:val="18"/>
              </w:rPr>
              <w:t>113.32</w:t>
            </w:r>
          </w:p>
        </w:tc>
        <w:tc>
          <w:tcPr>
            <w:tcW w:w="1277" w:type="dxa"/>
          </w:tcPr>
          <w:p w:rsidR="007C5447" w:rsidRDefault="00F6308C">
            <w:pPr>
              <w:pStyle w:val="TableParagraph"/>
              <w:spacing w:before="45"/>
              <w:ind w:right="124"/>
              <w:rPr>
                <w:sz w:val="18"/>
              </w:rPr>
            </w:pPr>
            <w:r>
              <w:rPr>
                <w:sz w:val="18"/>
              </w:rPr>
              <w:t>188.27</w:t>
            </w:r>
          </w:p>
        </w:tc>
        <w:tc>
          <w:tcPr>
            <w:tcW w:w="1133" w:type="dxa"/>
          </w:tcPr>
          <w:p w:rsidR="007C5447" w:rsidRDefault="00F6308C">
            <w:pPr>
              <w:pStyle w:val="TableParagraph"/>
              <w:spacing w:before="45"/>
              <w:ind w:right="123"/>
              <w:rPr>
                <w:sz w:val="18"/>
              </w:rPr>
            </w:pPr>
            <w:r>
              <w:rPr>
                <w:w w:val="99"/>
                <w:sz w:val="18"/>
              </w:rPr>
              <w:t>-</w:t>
            </w:r>
          </w:p>
        </w:tc>
        <w:tc>
          <w:tcPr>
            <w:tcW w:w="1277" w:type="dxa"/>
          </w:tcPr>
          <w:p w:rsidR="007C5447" w:rsidRDefault="00F6308C">
            <w:pPr>
              <w:pStyle w:val="TableParagraph"/>
              <w:spacing w:before="45"/>
              <w:ind w:right="122"/>
              <w:rPr>
                <w:sz w:val="18"/>
              </w:rPr>
            </w:pPr>
            <w:r>
              <w:rPr>
                <w:sz w:val="18"/>
              </w:rPr>
              <w:t>15.24</w:t>
            </w:r>
          </w:p>
        </w:tc>
        <w:tc>
          <w:tcPr>
            <w:tcW w:w="1134" w:type="dxa"/>
          </w:tcPr>
          <w:p w:rsidR="007C5447" w:rsidRDefault="00F6308C">
            <w:pPr>
              <w:pStyle w:val="TableParagraph"/>
              <w:spacing w:before="45"/>
              <w:ind w:right="126"/>
              <w:rPr>
                <w:sz w:val="18"/>
              </w:rPr>
            </w:pPr>
            <w:r>
              <w:rPr>
                <w:sz w:val="18"/>
              </w:rPr>
              <w:t>9.78</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127"/>
              <w:rPr>
                <w:sz w:val="18"/>
              </w:rPr>
            </w:pPr>
            <w:r>
              <w:rPr>
                <w:sz w:val="18"/>
              </w:rPr>
              <w:t>2.50</w:t>
            </w:r>
          </w:p>
        </w:tc>
        <w:tc>
          <w:tcPr>
            <w:tcW w:w="1542" w:type="dxa"/>
          </w:tcPr>
          <w:p w:rsidR="007C5447" w:rsidRDefault="00F6308C">
            <w:pPr>
              <w:pStyle w:val="TableParagraph"/>
              <w:spacing w:before="45"/>
              <w:ind w:right="128"/>
              <w:rPr>
                <w:sz w:val="18"/>
              </w:rPr>
            </w:pPr>
            <w:r>
              <w:rPr>
                <w:sz w:val="18"/>
              </w:rPr>
              <w:t>1,276.68</w:t>
            </w:r>
          </w:p>
        </w:tc>
      </w:tr>
      <w:tr w:rsidR="007C5447">
        <w:trPr>
          <w:trHeight w:val="299"/>
        </w:trPr>
        <w:tc>
          <w:tcPr>
            <w:tcW w:w="710" w:type="dxa"/>
          </w:tcPr>
          <w:p w:rsidR="007C5447" w:rsidRDefault="007C5447">
            <w:pPr>
              <w:pStyle w:val="TableParagraph"/>
              <w:jc w:val="left"/>
              <w:rPr>
                <w:sz w:val="18"/>
              </w:rPr>
            </w:pPr>
          </w:p>
        </w:tc>
        <w:tc>
          <w:tcPr>
            <w:tcW w:w="1985" w:type="dxa"/>
          </w:tcPr>
          <w:p w:rsidR="007C5447" w:rsidRDefault="00F6308C">
            <w:pPr>
              <w:pStyle w:val="TableParagraph"/>
              <w:spacing w:before="45"/>
              <w:ind w:left="108"/>
              <w:jc w:val="left"/>
              <w:rPr>
                <w:sz w:val="18"/>
              </w:rPr>
            </w:pPr>
            <w:r>
              <w:rPr>
                <w:sz w:val="18"/>
              </w:rPr>
              <w:t>Ennore Expansion</w:t>
            </w:r>
          </w:p>
        </w:tc>
        <w:tc>
          <w:tcPr>
            <w:tcW w:w="1274" w:type="dxa"/>
          </w:tcPr>
          <w:p w:rsidR="007C5447" w:rsidRDefault="00F6308C">
            <w:pPr>
              <w:pStyle w:val="TableParagraph"/>
              <w:spacing w:before="45"/>
              <w:ind w:right="121"/>
              <w:rPr>
                <w:sz w:val="18"/>
              </w:rPr>
            </w:pPr>
            <w:r>
              <w:rPr>
                <w:w w:val="99"/>
                <w:sz w:val="18"/>
              </w:rPr>
              <w:t>-</w:t>
            </w:r>
          </w:p>
        </w:tc>
        <w:tc>
          <w:tcPr>
            <w:tcW w:w="1277" w:type="dxa"/>
          </w:tcPr>
          <w:p w:rsidR="007C5447" w:rsidRDefault="00F6308C">
            <w:pPr>
              <w:pStyle w:val="TableParagraph"/>
              <w:spacing w:before="45"/>
              <w:ind w:right="123"/>
              <w:rPr>
                <w:sz w:val="18"/>
              </w:rPr>
            </w:pPr>
            <w:r>
              <w:rPr>
                <w:w w:val="99"/>
                <w:sz w:val="18"/>
              </w:rPr>
              <w:t>-</w:t>
            </w:r>
          </w:p>
        </w:tc>
        <w:tc>
          <w:tcPr>
            <w:tcW w:w="991" w:type="dxa"/>
          </w:tcPr>
          <w:p w:rsidR="007C5447" w:rsidRDefault="00F6308C">
            <w:pPr>
              <w:pStyle w:val="TableParagraph"/>
              <w:spacing w:before="45"/>
              <w:ind w:right="123"/>
              <w:rPr>
                <w:sz w:val="18"/>
              </w:rPr>
            </w:pPr>
            <w:r>
              <w:rPr>
                <w:w w:val="99"/>
                <w:sz w:val="18"/>
              </w:rPr>
              <w:t>-</w:t>
            </w:r>
          </w:p>
        </w:tc>
        <w:tc>
          <w:tcPr>
            <w:tcW w:w="1135" w:type="dxa"/>
          </w:tcPr>
          <w:p w:rsidR="007C5447" w:rsidRDefault="00F6308C">
            <w:pPr>
              <w:pStyle w:val="TableParagraph"/>
              <w:spacing w:before="45"/>
              <w:ind w:right="125"/>
              <w:rPr>
                <w:sz w:val="18"/>
              </w:rPr>
            </w:pPr>
            <w:r>
              <w:rPr>
                <w:w w:val="99"/>
                <w:sz w:val="18"/>
              </w:rPr>
              <w:t>-</w:t>
            </w:r>
          </w:p>
        </w:tc>
        <w:tc>
          <w:tcPr>
            <w:tcW w:w="1277" w:type="dxa"/>
          </w:tcPr>
          <w:p w:rsidR="007C5447" w:rsidRDefault="00F6308C">
            <w:pPr>
              <w:pStyle w:val="TableParagraph"/>
              <w:spacing w:before="45"/>
              <w:ind w:right="123"/>
              <w:rPr>
                <w:sz w:val="18"/>
              </w:rPr>
            </w:pPr>
            <w:r>
              <w:rPr>
                <w:w w:val="99"/>
                <w:sz w:val="18"/>
              </w:rPr>
              <w:t>-</w:t>
            </w:r>
          </w:p>
        </w:tc>
        <w:tc>
          <w:tcPr>
            <w:tcW w:w="1133" w:type="dxa"/>
          </w:tcPr>
          <w:p w:rsidR="007C5447" w:rsidRDefault="007C5447">
            <w:pPr>
              <w:pStyle w:val="TableParagraph"/>
              <w:jc w:val="left"/>
              <w:rPr>
                <w:sz w:val="18"/>
              </w:rPr>
            </w:pPr>
          </w:p>
        </w:tc>
        <w:tc>
          <w:tcPr>
            <w:tcW w:w="1277" w:type="dxa"/>
          </w:tcPr>
          <w:p w:rsidR="007C5447" w:rsidRDefault="00F6308C">
            <w:pPr>
              <w:pStyle w:val="TableParagraph"/>
              <w:spacing w:before="45"/>
              <w:ind w:right="123"/>
              <w:rPr>
                <w:sz w:val="18"/>
              </w:rPr>
            </w:pPr>
            <w:r>
              <w:rPr>
                <w:w w:val="99"/>
                <w:sz w:val="18"/>
              </w:rPr>
              <w:t>-</w:t>
            </w:r>
          </w:p>
        </w:tc>
        <w:tc>
          <w:tcPr>
            <w:tcW w:w="1134" w:type="dxa"/>
          </w:tcPr>
          <w:p w:rsidR="007C5447" w:rsidRDefault="00F6308C">
            <w:pPr>
              <w:pStyle w:val="TableParagraph"/>
              <w:spacing w:before="45"/>
              <w:ind w:right="124"/>
              <w:rPr>
                <w:sz w:val="18"/>
              </w:rPr>
            </w:pPr>
            <w:r>
              <w:rPr>
                <w:w w:val="99"/>
                <w:sz w:val="18"/>
              </w:rPr>
              <w:t>-</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125"/>
              <w:rPr>
                <w:sz w:val="18"/>
              </w:rPr>
            </w:pPr>
            <w:r>
              <w:rPr>
                <w:w w:val="99"/>
                <w:sz w:val="18"/>
              </w:rPr>
              <w:t>-</w:t>
            </w:r>
          </w:p>
        </w:tc>
        <w:tc>
          <w:tcPr>
            <w:tcW w:w="1542" w:type="dxa"/>
          </w:tcPr>
          <w:p w:rsidR="007C5447" w:rsidRDefault="00F6308C">
            <w:pPr>
              <w:pStyle w:val="TableParagraph"/>
              <w:spacing w:before="45"/>
              <w:ind w:right="126"/>
              <w:rPr>
                <w:sz w:val="18"/>
              </w:rPr>
            </w:pPr>
            <w:r>
              <w:rPr>
                <w:w w:val="99"/>
                <w:sz w:val="18"/>
              </w:rPr>
              <w:t>-</w:t>
            </w:r>
          </w:p>
        </w:tc>
      </w:tr>
      <w:tr w:rsidR="007C5447">
        <w:trPr>
          <w:trHeight w:val="299"/>
        </w:trPr>
        <w:tc>
          <w:tcPr>
            <w:tcW w:w="710" w:type="dxa"/>
          </w:tcPr>
          <w:p w:rsidR="007C5447" w:rsidRDefault="00F6308C">
            <w:pPr>
              <w:pStyle w:val="TableParagraph"/>
              <w:spacing w:before="45"/>
              <w:ind w:left="4"/>
              <w:jc w:val="center"/>
              <w:rPr>
                <w:sz w:val="18"/>
              </w:rPr>
            </w:pPr>
            <w:r>
              <w:rPr>
                <w:sz w:val="18"/>
              </w:rPr>
              <w:t>7</w:t>
            </w:r>
          </w:p>
        </w:tc>
        <w:tc>
          <w:tcPr>
            <w:tcW w:w="1985" w:type="dxa"/>
          </w:tcPr>
          <w:p w:rsidR="007C5447" w:rsidRDefault="00F6308C">
            <w:pPr>
              <w:pStyle w:val="TableParagraph"/>
              <w:spacing w:before="45"/>
              <w:ind w:left="108"/>
              <w:jc w:val="left"/>
              <w:rPr>
                <w:sz w:val="18"/>
              </w:rPr>
            </w:pPr>
            <w:r>
              <w:rPr>
                <w:sz w:val="18"/>
              </w:rPr>
              <w:t>Tirumakottai GTPS</w:t>
            </w:r>
          </w:p>
        </w:tc>
        <w:tc>
          <w:tcPr>
            <w:tcW w:w="1274" w:type="dxa"/>
          </w:tcPr>
          <w:p w:rsidR="007C5447" w:rsidRDefault="00F6308C">
            <w:pPr>
              <w:pStyle w:val="TableParagraph"/>
              <w:spacing w:before="45"/>
              <w:ind w:right="120"/>
              <w:rPr>
                <w:sz w:val="18"/>
              </w:rPr>
            </w:pPr>
            <w:r>
              <w:rPr>
                <w:sz w:val="18"/>
              </w:rPr>
              <w:t>36.38</w:t>
            </w:r>
          </w:p>
        </w:tc>
        <w:tc>
          <w:tcPr>
            <w:tcW w:w="1277" w:type="dxa"/>
          </w:tcPr>
          <w:p w:rsidR="007C5447" w:rsidRDefault="00F6308C">
            <w:pPr>
              <w:pStyle w:val="TableParagraph"/>
              <w:spacing w:before="45"/>
              <w:ind w:right="123"/>
              <w:rPr>
                <w:sz w:val="18"/>
              </w:rPr>
            </w:pPr>
            <w:r>
              <w:rPr>
                <w:sz w:val="18"/>
              </w:rPr>
              <w:t>72.07</w:t>
            </w:r>
          </w:p>
        </w:tc>
        <w:tc>
          <w:tcPr>
            <w:tcW w:w="991" w:type="dxa"/>
          </w:tcPr>
          <w:p w:rsidR="007C5447" w:rsidRDefault="00F6308C">
            <w:pPr>
              <w:pStyle w:val="TableParagraph"/>
              <w:spacing w:before="45"/>
              <w:ind w:right="122"/>
              <w:rPr>
                <w:sz w:val="18"/>
              </w:rPr>
            </w:pPr>
            <w:r>
              <w:rPr>
                <w:sz w:val="18"/>
              </w:rPr>
              <w:t>28.10</w:t>
            </w:r>
          </w:p>
        </w:tc>
        <w:tc>
          <w:tcPr>
            <w:tcW w:w="1135" w:type="dxa"/>
          </w:tcPr>
          <w:p w:rsidR="007C5447" w:rsidRDefault="00F6308C">
            <w:pPr>
              <w:pStyle w:val="TableParagraph"/>
              <w:spacing w:before="45"/>
              <w:ind w:right="124"/>
              <w:rPr>
                <w:sz w:val="18"/>
              </w:rPr>
            </w:pPr>
            <w:r>
              <w:rPr>
                <w:sz w:val="18"/>
              </w:rPr>
              <w:t>11.39</w:t>
            </w:r>
          </w:p>
        </w:tc>
        <w:tc>
          <w:tcPr>
            <w:tcW w:w="1277" w:type="dxa"/>
          </w:tcPr>
          <w:p w:rsidR="007C5447" w:rsidRDefault="00F6308C">
            <w:pPr>
              <w:pStyle w:val="TableParagraph"/>
              <w:spacing w:before="45"/>
              <w:ind w:right="122"/>
              <w:rPr>
                <w:sz w:val="18"/>
              </w:rPr>
            </w:pPr>
            <w:r>
              <w:rPr>
                <w:sz w:val="18"/>
              </w:rPr>
              <w:t>14.44</w:t>
            </w:r>
          </w:p>
        </w:tc>
        <w:tc>
          <w:tcPr>
            <w:tcW w:w="1133" w:type="dxa"/>
          </w:tcPr>
          <w:p w:rsidR="007C5447" w:rsidRDefault="00F6308C">
            <w:pPr>
              <w:pStyle w:val="TableParagraph"/>
              <w:spacing w:before="45"/>
              <w:ind w:right="123"/>
              <w:rPr>
                <w:sz w:val="18"/>
              </w:rPr>
            </w:pPr>
            <w:r>
              <w:rPr>
                <w:w w:val="99"/>
                <w:sz w:val="18"/>
              </w:rPr>
              <w:t>-</w:t>
            </w:r>
          </w:p>
        </w:tc>
        <w:tc>
          <w:tcPr>
            <w:tcW w:w="1277" w:type="dxa"/>
          </w:tcPr>
          <w:p w:rsidR="007C5447" w:rsidRDefault="00F6308C">
            <w:pPr>
              <w:pStyle w:val="TableParagraph"/>
              <w:spacing w:before="45"/>
              <w:ind w:right="125"/>
              <w:rPr>
                <w:sz w:val="18"/>
              </w:rPr>
            </w:pPr>
            <w:r>
              <w:rPr>
                <w:sz w:val="18"/>
              </w:rPr>
              <w:t>0.57</w:t>
            </w:r>
          </w:p>
        </w:tc>
        <w:tc>
          <w:tcPr>
            <w:tcW w:w="1134" w:type="dxa"/>
          </w:tcPr>
          <w:p w:rsidR="007C5447" w:rsidRDefault="00F6308C">
            <w:pPr>
              <w:pStyle w:val="TableParagraph"/>
              <w:spacing w:before="45"/>
              <w:ind w:right="126"/>
              <w:rPr>
                <w:sz w:val="18"/>
              </w:rPr>
            </w:pPr>
            <w:r>
              <w:rPr>
                <w:sz w:val="18"/>
              </w:rPr>
              <w:t>0.15</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127"/>
              <w:rPr>
                <w:sz w:val="18"/>
              </w:rPr>
            </w:pPr>
            <w:r>
              <w:rPr>
                <w:sz w:val="18"/>
              </w:rPr>
              <w:t>0.56</w:t>
            </w:r>
          </w:p>
        </w:tc>
        <w:tc>
          <w:tcPr>
            <w:tcW w:w="1542" w:type="dxa"/>
          </w:tcPr>
          <w:p w:rsidR="007C5447" w:rsidRDefault="00F6308C">
            <w:pPr>
              <w:pStyle w:val="TableParagraph"/>
              <w:spacing w:before="45"/>
              <w:ind w:right="128"/>
              <w:rPr>
                <w:sz w:val="18"/>
              </w:rPr>
            </w:pPr>
            <w:r>
              <w:rPr>
                <w:sz w:val="18"/>
              </w:rPr>
              <w:t>163.36</w:t>
            </w:r>
          </w:p>
        </w:tc>
      </w:tr>
      <w:tr w:rsidR="007C5447">
        <w:trPr>
          <w:trHeight w:val="299"/>
        </w:trPr>
        <w:tc>
          <w:tcPr>
            <w:tcW w:w="710" w:type="dxa"/>
          </w:tcPr>
          <w:p w:rsidR="007C5447" w:rsidRDefault="00F6308C">
            <w:pPr>
              <w:pStyle w:val="TableParagraph"/>
              <w:spacing w:before="47"/>
              <w:ind w:left="4"/>
              <w:jc w:val="center"/>
              <w:rPr>
                <w:sz w:val="18"/>
              </w:rPr>
            </w:pPr>
            <w:r>
              <w:rPr>
                <w:sz w:val="18"/>
              </w:rPr>
              <w:t>8</w:t>
            </w:r>
          </w:p>
        </w:tc>
        <w:tc>
          <w:tcPr>
            <w:tcW w:w="1985" w:type="dxa"/>
          </w:tcPr>
          <w:p w:rsidR="007C5447" w:rsidRDefault="00F6308C">
            <w:pPr>
              <w:pStyle w:val="TableParagraph"/>
              <w:spacing w:before="47"/>
              <w:ind w:left="108"/>
              <w:jc w:val="left"/>
              <w:rPr>
                <w:sz w:val="18"/>
              </w:rPr>
            </w:pPr>
            <w:r>
              <w:rPr>
                <w:sz w:val="18"/>
              </w:rPr>
              <w:t>Kuttalam GTPS</w:t>
            </w:r>
          </w:p>
        </w:tc>
        <w:tc>
          <w:tcPr>
            <w:tcW w:w="1274" w:type="dxa"/>
          </w:tcPr>
          <w:p w:rsidR="007C5447" w:rsidRDefault="00F6308C">
            <w:pPr>
              <w:pStyle w:val="TableParagraph"/>
              <w:spacing w:before="47"/>
              <w:ind w:right="120"/>
              <w:rPr>
                <w:sz w:val="18"/>
              </w:rPr>
            </w:pPr>
            <w:r>
              <w:rPr>
                <w:sz w:val="18"/>
              </w:rPr>
              <w:t>33.25</w:t>
            </w:r>
          </w:p>
        </w:tc>
        <w:tc>
          <w:tcPr>
            <w:tcW w:w="1277" w:type="dxa"/>
          </w:tcPr>
          <w:p w:rsidR="007C5447" w:rsidRDefault="00F6308C">
            <w:pPr>
              <w:pStyle w:val="TableParagraph"/>
              <w:spacing w:before="47"/>
              <w:ind w:right="123"/>
              <w:rPr>
                <w:sz w:val="18"/>
              </w:rPr>
            </w:pPr>
            <w:r>
              <w:rPr>
                <w:sz w:val="18"/>
              </w:rPr>
              <w:t>56.86</w:t>
            </w:r>
          </w:p>
        </w:tc>
        <w:tc>
          <w:tcPr>
            <w:tcW w:w="991" w:type="dxa"/>
          </w:tcPr>
          <w:p w:rsidR="007C5447" w:rsidRDefault="00F6308C">
            <w:pPr>
              <w:pStyle w:val="TableParagraph"/>
              <w:spacing w:before="47"/>
              <w:ind w:right="122"/>
              <w:rPr>
                <w:sz w:val="18"/>
              </w:rPr>
            </w:pPr>
            <w:r>
              <w:rPr>
                <w:sz w:val="18"/>
              </w:rPr>
              <w:t>29.11</w:t>
            </w:r>
          </w:p>
        </w:tc>
        <w:tc>
          <w:tcPr>
            <w:tcW w:w="1135" w:type="dxa"/>
          </w:tcPr>
          <w:p w:rsidR="007C5447" w:rsidRDefault="00F6308C">
            <w:pPr>
              <w:pStyle w:val="TableParagraph"/>
              <w:spacing w:before="47"/>
              <w:ind w:right="124"/>
              <w:rPr>
                <w:sz w:val="18"/>
              </w:rPr>
            </w:pPr>
            <w:r>
              <w:rPr>
                <w:sz w:val="18"/>
              </w:rPr>
              <w:t>10.35</w:t>
            </w:r>
          </w:p>
        </w:tc>
        <w:tc>
          <w:tcPr>
            <w:tcW w:w="1277" w:type="dxa"/>
          </w:tcPr>
          <w:p w:rsidR="007C5447" w:rsidRDefault="00F6308C">
            <w:pPr>
              <w:pStyle w:val="TableParagraph"/>
              <w:spacing w:before="47"/>
              <w:ind w:right="122"/>
              <w:rPr>
                <w:sz w:val="18"/>
              </w:rPr>
            </w:pPr>
            <w:r>
              <w:rPr>
                <w:sz w:val="18"/>
              </w:rPr>
              <w:t>11.04</w:t>
            </w:r>
          </w:p>
        </w:tc>
        <w:tc>
          <w:tcPr>
            <w:tcW w:w="1133" w:type="dxa"/>
          </w:tcPr>
          <w:p w:rsidR="007C5447" w:rsidRDefault="00F6308C">
            <w:pPr>
              <w:pStyle w:val="TableParagraph"/>
              <w:spacing w:before="47"/>
              <w:ind w:right="123"/>
              <w:rPr>
                <w:sz w:val="18"/>
              </w:rPr>
            </w:pPr>
            <w:r>
              <w:rPr>
                <w:w w:val="99"/>
                <w:sz w:val="18"/>
              </w:rPr>
              <w:t>-</w:t>
            </w:r>
          </w:p>
        </w:tc>
        <w:tc>
          <w:tcPr>
            <w:tcW w:w="1277" w:type="dxa"/>
          </w:tcPr>
          <w:p w:rsidR="007C5447" w:rsidRDefault="00F6308C">
            <w:pPr>
              <w:pStyle w:val="TableParagraph"/>
              <w:spacing w:before="47"/>
              <w:ind w:right="125"/>
              <w:rPr>
                <w:sz w:val="18"/>
              </w:rPr>
            </w:pPr>
            <w:r>
              <w:rPr>
                <w:sz w:val="18"/>
              </w:rPr>
              <w:t>0.16</w:t>
            </w:r>
          </w:p>
        </w:tc>
        <w:tc>
          <w:tcPr>
            <w:tcW w:w="1134" w:type="dxa"/>
          </w:tcPr>
          <w:p w:rsidR="007C5447" w:rsidRDefault="00F6308C">
            <w:pPr>
              <w:pStyle w:val="TableParagraph"/>
              <w:spacing w:before="47"/>
              <w:ind w:right="126"/>
              <w:rPr>
                <w:sz w:val="18"/>
              </w:rPr>
            </w:pPr>
            <w:r>
              <w:rPr>
                <w:sz w:val="18"/>
              </w:rPr>
              <w:t>0.12</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7"/>
              <w:rPr>
                <w:sz w:val="18"/>
              </w:rPr>
            </w:pPr>
            <w:r>
              <w:rPr>
                <w:sz w:val="18"/>
              </w:rPr>
              <w:t>0.52</w:t>
            </w:r>
          </w:p>
        </w:tc>
        <w:tc>
          <w:tcPr>
            <w:tcW w:w="1542" w:type="dxa"/>
          </w:tcPr>
          <w:p w:rsidR="007C5447" w:rsidRDefault="00F6308C">
            <w:pPr>
              <w:pStyle w:val="TableParagraph"/>
              <w:spacing w:before="47"/>
              <w:ind w:right="128"/>
              <w:rPr>
                <w:sz w:val="18"/>
              </w:rPr>
            </w:pPr>
            <w:r>
              <w:rPr>
                <w:sz w:val="18"/>
              </w:rPr>
              <w:t>141.17</w:t>
            </w:r>
          </w:p>
        </w:tc>
      </w:tr>
      <w:tr w:rsidR="007C5447">
        <w:trPr>
          <w:trHeight w:val="441"/>
        </w:trPr>
        <w:tc>
          <w:tcPr>
            <w:tcW w:w="710" w:type="dxa"/>
            <w:tcBorders>
              <w:bottom w:val="single" w:sz="6" w:space="0" w:color="000000"/>
            </w:tcBorders>
          </w:tcPr>
          <w:p w:rsidR="007C5447" w:rsidRDefault="00F6308C">
            <w:pPr>
              <w:pStyle w:val="TableParagraph"/>
              <w:spacing w:before="119"/>
              <w:ind w:left="4"/>
              <w:jc w:val="center"/>
              <w:rPr>
                <w:sz w:val="18"/>
              </w:rPr>
            </w:pPr>
            <w:r>
              <w:rPr>
                <w:sz w:val="18"/>
              </w:rPr>
              <w:t>9</w:t>
            </w:r>
          </w:p>
        </w:tc>
        <w:tc>
          <w:tcPr>
            <w:tcW w:w="1985" w:type="dxa"/>
            <w:tcBorders>
              <w:bottom w:val="single" w:sz="6" w:space="0" w:color="000000"/>
            </w:tcBorders>
          </w:tcPr>
          <w:p w:rsidR="007C5447" w:rsidRDefault="00F6308C">
            <w:pPr>
              <w:pStyle w:val="TableParagraph"/>
              <w:spacing w:before="20" w:line="206" w:lineRule="exact"/>
              <w:ind w:left="108" w:right="416"/>
              <w:jc w:val="left"/>
              <w:rPr>
                <w:sz w:val="18"/>
              </w:rPr>
            </w:pPr>
            <w:r>
              <w:rPr>
                <w:sz w:val="18"/>
              </w:rPr>
              <w:t>Basin Bridge GTPS (Naphtha)</w:t>
            </w:r>
          </w:p>
        </w:tc>
        <w:tc>
          <w:tcPr>
            <w:tcW w:w="1274" w:type="dxa"/>
            <w:tcBorders>
              <w:bottom w:val="single" w:sz="6" w:space="0" w:color="000000"/>
            </w:tcBorders>
          </w:tcPr>
          <w:p w:rsidR="007C5447" w:rsidRDefault="00F6308C">
            <w:pPr>
              <w:pStyle w:val="TableParagraph"/>
              <w:spacing w:before="119"/>
              <w:ind w:right="123"/>
              <w:rPr>
                <w:sz w:val="18"/>
              </w:rPr>
            </w:pPr>
            <w:r>
              <w:rPr>
                <w:sz w:val="18"/>
              </w:rPr>
              <w:t>117.11</w:t>
            </w:r>
          </w:p>
        </w:tc>
        <w:tc>
          <w:tcPr>
            <w:tcW w:w="1277" w:type="dxa"/>
            <w:tcBorders>
              <w:bottom w:val="single" w:sz="6" w:space="0" w:color="000000"/>
            </w:tcBorders>
          </w:tcPr>
          <w:p w:rsidR="007C5447" w:rsidRDefault="00F6308C">
            <w:pPr>
              <w:pStyle w:val="TableParagraph"/>
              <w:spacing w:before="119"/>
              <w:ind w:right="127"/>
              <w:rPr>
                <w:sz w:val="18"/>
              </w:rPr>
            </w:pPr>
            <w:r>
              <w:rPr>
                <w:sz w:val="18"/>
              </w:rPr>
              <w:t>198.80</w:t>
            </w:r>
          </w:p>
        </w:tc>
        <w:tc>
          <w:tcPr>
            <w:tcW w:w="991" w:type="dxa"/>
            <w:tcBorders>
              <w:bottom w:val="single" w:sz="6" w:space="0" w:color="000000"/>
            </w:tcBorders>
          </w:tcPr>
          <w:p w:rsidR="007C5447" w:rsidRDefault="00F6308C">
            <w:pPr>
              <w:pStyle w:val="TableParagraph"/>
              <w:spacing w:before="119"/>
              <w:ind w:right="122"/>
              <w:rPr>
                <w:sz w:val="18"/>
              </w:rPr>
            </w:pPr>
            <w:r>
              <w:rPr>
                <w:sz w:val="18"/>
              </w:rPr>
              <w:t>34.09</w:t>
            </w:r>
          </w:p>
        </w:tc>
        <w:tc>
          <w:tcPr>
            <w:tcW w:w="1135" w:type="dxa"/>
            <w:tcBorders>
              <w:bottom w:val="single" w:sz="6" w:space="0" w:color="000000"/>
            </w:tcBorders>
          </w:tcPr>
          <w:p w:rsidR="007C5447" w:rsidRDefault="00F6308C">
            <w:pPr>
              <w:pStyle w:val="TableParagraph"/>
              <w:spacing w:before="119"/>
              <w:ind w:right="124"/>
              <w:rPr>
                <w:sz w:val="18"/>
              </w:rPr>
            </w:pPr>
            <w:r>
              <w:rPr>
                <w:sz w:val="18"/>
              </w:rPr>
              <w:t>10.90</w:t>
            </w:r>
          </w:p>
        </w:tc>
        <w:tc>
          <w:tcPr>
            <w:tcW w:w="1277" w:type="dxa"/>
            <w:tcBorders>
              <w:bottom w:val="single" w:sz="6" w:space="0" w:color="000000"/>
            </w:tcBorders>
          </w:tcPr>
          <w:p w:rsidR="007C5447" w:rsidRDefault="00F6308C">
            <w:pPr>
              <w:pStyle w:val="TableParagraph"/>
              <w:spacing w:before="119"/>
              <w:ind w:right="125"/>
              <w:rPr>
                <w:sz w:val="18"/>
              </w:rPr>
            </w:pPr>
            <w:r>
              <w:rPr>
                <w:sz w:val="18"/>
              </w:rPr>
              <w:t>9.28</w:t>
            </w:r>
          </w:p>
        </w:tc>
        <w:tc>
          <w:tcPr>
            <w:tcW w:w="1133" w:type="dxa"/>
            <w:tcBorders>
              <w:bottom w:val="single" w:sz="6" w:space="0" w:color="000000"/>
            </w:tcBorders>
          </w:tcPr>
          <w:p w:rsidR="007C5447" w:rsidRDefault="00F6308C">
            <w:pPr>
              <w:pStyle w:val="TableParagraph"/>
              <w:spacing w:before="119"/>
              <w:ind w:right="123"/>
              <w:rPr>
                <w:sz w:val="18"/>
              </w:rPr>
            </w:pPr>
            <w:r>
              <w:rPr>
                <w:w w:val="99"/>
                <w:sz w:val="18"/>
              </w:rPr>
              <w:t>-</w:t>
            </w:r>
          </w:p>
        </w:tc>
        <w:tc>
          <w:tcPr>
            <w:tcW w:w="1277" w:type="dxa"/>
            <w:tcBorders>
              <w:bottom w:val="single" w:sz="6" w:space="0" w:color="000000"/>
            </w:tcBorders>
          </w:tcPr>
          <w:p w:rsidR="007C5447" w:rsidRDefault="00F6308C">
            <w:pPr>
              <w:pStyle w:val="TableParagraph"/>
              <w:spacing w:before="119"/>
              <w:ind w:right="123"/>
              <w:rPr>
                <w:sz w:val="18"/>
              </w:rPr>
            </w:pPr>
            <w:r>
              <w:rPr>
                <w:w w:val="99"/>
                <w:sz w:val="18"/>
              </w:rPr>
              <w:t>-</w:t>
            </w:r>
          </w:p>
        </w:tc>
        <w:tc>
          <w:tcPr>
            <w:tcW w:w="1134" w:type="dxa"/>
            <w:tcBorders>
              <w:bottom w:val="single" w:sz="6" w:space="0" w:color="000000"/>
            </w:tcBorders>
          </w:tcPr>
          <w:p w:rsidR="007C5447" w:rsidRDefault="00F6308C">
            <w:pPr>
              <w:pStyle w:val="TableParagraph"/>
              <w:spacing w:before="119"/>
              <w:ind w:right="126"/>
              <w:rPr>
                <w:sz w:val="18"/>
              </w:rPr>
            </w:pPr>
            <w:r>
              <w:rPr>
                <w:sz w:val="18"/>
              </w:rPr>
              <w:t>0.05</w:t>
            </w:r>
          </w:p>
        </w:tc>
        <w:tc>
          <w:tcPr>
            <w:tcW w:w="1136" w:type="dxa"/>
            <w:tcBorders>
              <w:bottom w:val="single" w:sz="6" w:space="0" w:color="000000"/>
            </w:tcBorders>
          </w:tcPr>
          <w:p w:rsidR="007C5447" w:rsidRDefault="007C5447">
            <w:pPr>
              <w:pStyle w:val="TableParagraph"/>
              <w:jc w:val="left"/>
              <w:rPr>
                <w:sz w:val="18"/>
              </w:rPr>
            </w:pPr>
          </w:p>
        </w:tc>
        <w:tc>
          <w:tcPr>
            <w:tcW w:w="1275" w:type="dxa"/>
            <w:tcBorders>
              <w:bottom w:val="single" w:sz="6" w:space="0" w:color="000000"/>
            </w:tcBorders>
          </w:tcPr>
          <w:p w:rsidR="007C5447" w:rsidRDefault="00F6308C">
            <w:pPr>
              <w:pStyle w:val="TableParagraph"/>
              <w:spacing w:before="119"/>
              <w:ind w:right="127"/>
              <w:rPr>
                <w:sz w:val="18"/>
              </w:rPr>
            </w:pPr>
            <w:r>
              <w:rPr>
                <w:sz w:val="18"/>
              </w:rPr>
              <w:t>0.51</w:t>
            </w:r>
          </w:p>
        </w:tc>
        <w:tc>
          <w:tcPr>
            <w:tcW w:w="1542" w:type="dxa"/>
            <w:tcBorders>
              <w:bottom w:val="single" w:sz="6" w:space="0" w:color="000000"/>
            </w:tcBorders>
          </w:tcPr>
          <w:p w:rsidR="007C5447" w:rsidRDefault="00F6308C">
            <w:pPr>
              <w:pStyle w:val="TableParagraph"/>
              <w:spacing w:before="119"/>
              <w:ind w:right="128"/>
              <w:rPr>
                <w:sz w:val="18"/>
              </w:rPr>
            </w:pPr>
            <w:r>
              <w:rPr>
                <w:sz w:val="18"/>
              </w:rPr>
              <w:t>370.64</w:t>
            </w:r>
          </w:p>
        </w:tc>
      </w:tr>
      <w:tr w:rsidR="007C5447">
        <w:trPr>
          <w:trHeight w:val="299"/>
        </w:trPr>
        <w:tc>
          <w:tcPr>
            <w:tcW w:w="710" w:type="dxa"/>
            <w:tcBorders>
              <w:top w:val="single" w:sz="6" w:space="0" w:color="000000"/>
            </w:tcBorders>
          </w:tcPr>
          <w:p w:rsidR="007C5447" w:rsidRDefault="00F6308C">
            <w:pPr>
              <w:pStyle w:val="TableParagraph"/>
              <w:spacing w:before="45"/>
              <w:ind w:left="236" w:right="226"/>
              <w:jc w:val="center"/>
              <w:rPr>
                <w:sz w:val="18"/>
              </w:rPr>
            </w:pPr>
            <w:r>
              <w:rPr>
                <w:sz w:val="18"/>
              </w:rPr>
              <w:t>10</w:t>
            </w:r>
          </w:p>
        </w:tc>
        <w:tc>
          <w:tcPr>
            <w:tcW w:w="1985" w:type="dxa"/>
            <w:tcBorders>
              <w:top w:val="single" w:sz="6" w:space="0" w:color="000000"/>
            </w:tcBorders>
          </w:tcPr>
          <w:p w:rsidR="007C5447" w:rsidRDefault="00F6308C">
            <w:pPr>
              <w:pStyle w:val="TableParagraph"/>
              <w:spacing w:before="45"/>
              <w:ind w:left="108"/>
              <w:jc w:val="left"/>
              <w:rPr>
                <w:sz w:val="18"/>
              </w:rPr>
            </w:pPr>
            <w:r>
              <w:rPr>
                <w:sz w:val="18"/>
              </w:rPr>
              <w:t>Valuthur GTPS</w:t>
            </w:r>
          </w:p>
        </w:tc>
        <w:tc>
          <w:tcPr>
            <w:tcW w:w="1274" w:type="dxa"/>
            <w:tcBorders>
              <w:top w:val="single" w:sz="6" w:space="0" w:color="000000"/>
            </w:tcBorders>
          </w:tcPr>
          <w:p w:rsidR="007C5447" w:rsidRDefault="00F6308C">
            <w:pPr>
              <w:pStyle w:val="TableParagraph"/>
              <w:spacing w:before="45"/>
              <w:ind w:right="120"/>
              <w:rPr>
                <w:sz w:val="18"/>
              </w:rPr>
            </w:pPr>
            <w:r>
              <w:rPr>
                <w:sz w:val="18"/>
              </w:rPr>
              <w:t>62.81</w:t>
            </w:r>
          </w:p>
        </w:tc>
        <w:tc>
          <w:tcPr>
            <w:tcW w:w="1277" w:type="dxa"/>
            <w:tcBorders>
              <w:top w:val="single" w:sz="6" w:space="0" w:color="000000"/>
            </w:tcBorders>
          </w:tcPr>
          <w:p w:rsidR="007C5447" w:rsidRDefault="00F6308C">
            <w:pPr>
              <w:pStyle w:val="TableParagraph"/>
              <w:spacing w:before="45"/>
              <w:ind w:right="127"/>
              <w:rPr>
                <w:sz w:val="18"/>
              </w:rPr>
            </w:pPr>
            <w:r>
              <w:rPr>
                <w:sz w:val="18"/>
              </w:rPr>
              <w:t>128.65</w:t>
            </w:r>
          </w:p>
        </w:tc>
        <w:tc>
          <w:tcPr>
            <w:tcW w:w="991" w:type="dxa"/>
            <w:tcBorders>
              <w:top w:val="single" w:sz="6" w:space="0" w:color="000000"/>
            </w:tcBorders>
          </w:tcPr>
          <w:p w:rsidR="007C5447" w:rsidRDefault="00F6308C">
            <w:pPr>
              <w:pStyle w:val="TableParagraph"/>
              <w:spacing w:before="45"/>
              <w:ind w:right="122"/>
              <w:rPr>
                <w:sz w:val="18"/>
              </w:rPr>
            </w:pPr>
            <w:r>
              <w:rPr>
                <w:sz w:val="18"/>
              </w:rPr>
              <w:t>35.92</w:t>
            </w:r>
          </w:p>
        </w:tc>
        <w:tc>
          <w:tcPr>
            <w:tcW w:w="1135" w:type="dxa"/>
            <w:tcBorders>
              <w:top w:val="single" w:sz="6" w:space="0" w:color="000000"/>
            </w:tcBorders>
          </w:tcPr>
          <w:p w:rsidR="007C5447" w:rsidRDefault="00F6308C">
            <w:pPr>
              <w:pStyle w:val="TableParagraph"/>
              <w:spacing w:before="45"/>
              <w:ind w:right="124"/>
              <w:rPr>
                <w:sz w:val="18"/>
              </w:rPr>
            </w:pPr>
            <w:r>
              <w:rPr>
                <w:sz w:val="18"/>
              </w:rPr>
              <w:t>18.49</w:t>
            </w:r>
          </w:p>
        </w:tc>
        <w:tc>
          <w:tcPr>
            <w:tcW w:w="1277" w:type="dxa"/>
            <w:tcBorders>
              <w:top w:val="single" w:sz="6" w:space="0" w:color="000000"/>
            </w:tcBorders>
          </w:tcPr>
          <w:p w:rsidR="007C5447" w:rsidRDefault="00F6308C">
            <w:pPr>
              <w:pStyle w:val="TableParagraph"/>
              <w:spacing w:before="45"/>
              <w:ind w:right="122"/>
              <w:rPr>
                <w:sz w:val="18"/>
              </w:rPr>
            </w:pPr>
            <w:r>
              <w:rPr>
                <w:sz w:val="18"/>
              </w:rPr>
              <w:t>13.78</w:t>
            </w:r>
          </w:p>
        </w:tc>
        <w:tc>
          <w:tcPr>
            <w:tcW w:w="1133" w:type="dxa"/>
            <w:tcBorders>
              <w:top w:val="single" w:sz="6" w:space="0" w:color="000000"/>
            </w:tcBorders>
          </w:tcPr>
          <w:p w:rsidR="007C5447" w:rsidRDefault="00F6308C">
            <w:pPr>
              <w:pStyle w:val="TableParagraph"/>
              <w:spacing w:before="45"/>
              <w:ind w:right="123"/>
              <w:rPr>
                <w:sz w:val="18"/>
              </w:rPr>
            </w:pPr>
            <w:r>
              <w:rPr>
                <w:w w:val="99"/>
                <w:sz w:val="18"/>
              </w:rPr>
              <w:t>-</w:t>
            </w:r>
          </w:p>
        </w:tc>
        <w:tc>
          <w:tcPr>
            <w:tcW w:w="1277" w:type="dxa"/>
            <w:tcBorders>
              <w:top w:val="single" w:sz="6" w:space="0" w:color="000000"/>
            </w:tcBorders>
          </w:tcPr>
          <w:p w:rsidR="007C5447" w:rsidRDefault="00F6308C">
            <w:pPr>
              <w:pStyle w:val="TableParagraph"/>
              <w:spacing w:before="45"/>
              <w:ind w:right="123"/>
              <w:rPr>
                <w:sz w:val="18"/>
              </w:rPr>
            </w:pPr>
            <w:r>
              <w:rPr>
                <w:w w:val="99"/>
                <w:sz w:val="18"/>
              </w:rPr>
              <w:t>-</w:t>
            </w:r>
          </w:p>
        </w:tc>
        <w:tc>
          <w:tcPr>
            <w:tcW w:w="1134" w:type="dxa"/>
            <w:tcBorders>
              <w:top w:val="single" w:sz="6" w:space="0" w:color="000000"/>
            </w:tcBorders>
          </w:tcPr>
          <w:p w:rsidR="007C5447" w:rsidRDefault="00F6308C">
            <w:pPr>
              <w:pStyle w:val="TableParagraph"/>
              <w:spacing w:before="45"/>
              <w:ind w:right="126"/>
              <w:rPr>
                <w:sz w:val="18"/>
              </w:rPr>
            </w:pPr>
            <w:r>
              <w:rPr>
                <w:sz w:val="18"/>
              </w:rPr>
              <w:t>0.16</w:t>
            </w:r>
          </w:p>
        </w:tc>
        <w:tc>
          <w:tcPr>
            <w:tcW w:w="1136" w:type="dxa"/>
            <w:tcBorders>
              <w:top w:val="single" w:sz="6" w:space="0" w:color="000000"/>
            </w:tcBorders>
          </w:tcPr>
          <w:p w:rsidR="007C5447" w:rsidRDefault="007C5447">
            <w:pPr>
              <w:pStyle w:val="TableParagraph"/>
              <w:jc w:val="left"/>
              <w:rPr>
                <w:sz w:val="18"/>
              </w:rPr>
            </w:pPr>
          </w:p>
        </w:tc>
        <w:tc>
          <w:tcPr>
            <w:tcW w:w="1275" w:type="dxa"/>
            <w:tcBorders>
              <w:top w:val="single" w:sz="6" w:space="0" w:color="000000"/>
            </w:tcBorders>
          </w:tcPr>
          <w:p w:rsidR="007C5447" w:rsidRDefault="00F6308C">
            <w:pPr>
              <w:pStyle w:val="TableParagraph"/>
              <w:spacing w:before="45"/>
              <w:ind w:right="127"/>
              <w:rPr>
                <w:sz w:val="18"/>
              </w:rPr>
            </w:pPr>
            <w:r>
              <w:rPr>
                <w:sz w:val="18"/>
              </w:rPr>
              <w:t>0.93</w:t>
            </w:r>
          </w:p>
        </w:tc>
        <w:tc>
          <w:tcPr>
            <w:tcW w:w="1542" w:type="dxa"/>
            <w:tcBorders>
              <w:top w:val="single" w:sz="6" w:space="0" w:color="000000"/>
            </w:tcBorders>
          </w:tcPr>
          <w:p w:rsidR="007C5447" w:rsidRDefault="00F6308C">
            <w:pPr>
              <w:pStyle w:val="TableParagraph"/>
              <w:spacing w:before="45"/>
              <w:ind w:right="128"/>
              <w:rPr>
                <w:sz w:val="18"/>
              </w:rPr>
            </w:pPr>
            <w:r>
              <w:rPr>
                <w:sz w:val="18"/>
              </w:rPr>
              <w:t>260.43</w:t>
            </w:r>
          </w:p>
        </w:tc>
      </w:tr>
      <w:tr w:rsidR="007C5447">
        <w:trPr>
          <w:trHeight w:val="299"/>
        </w:trPr>
        <w:tc>
          <w:tcPr>
            <w:tcW w:w="710" w:type="dxa"/>
          </w:tcPr>
          <w:p w:rsidR="007C5447" w:rsidRDefault="00F6308C">
            <w:pPr>
              <w:pStyle w:val="TableParagraph"/>
              <w:spacing w:before="45"/>
              <w:ind w:left="236" w:right="226"/>
              <w:jc w:val="center"/>
              <w:rPr>
                <w:sz w:val="18"/>
              </w:rPr>
            </w:pPr>
            <w:r>
              <w:rPr>
                <w:sz w:val="18"/>
              </w:rPr>
              <w:t>12</w:t>
            </w:r>
          </w:p>
        </w:tc>
        <w:tc>
          <w:tcPr>
            <w:tcW w:w="1985" w:type="dxa"/>
          </w:tcPr>
          <w:p w:rsidR="007C5447" w:rsidRDefault="00F6308C">
            <w:pPr>
              <w:pStyle w:val="TableParagraph"/>
              <w:spacing w:before="45"/>
              <w:ind w:left="108"/>
              <w:jc w:val="left"/>
              <w:rPr>
                <w:sz w:val="18"/>
              </w:rPr>
            </w:pPr>
            <w:r>
              <w:rPr>
                <w:sz w:val="18"/>
              </w:rPr>
              <w:t>Erode HEP</w:t>
            </w:r>
          </w:p>
        </w:tc>
        <w:tc>
          <w:tcPr>
            <w:tcW w:w="1274" w:type="dxa"/>
          </w:tcPr>
          <w:p w:rsidR="007C5447" w:rsidRDefault="00F6308C">
            <w:pPr>
              <w:pStyle w:val="TableParagraph"/>
              <w:spacing w:before="45"/>
              <w:ind w:right="115"/>
              <w:rPr>
                <w:sz w:val="18"/>
              </w:rPr>
            </w:pPr>
            <w:r>
              <w:rPr>
                <w:sz w:val="18"/>
              </w:rPr>
              <w:t>79.82*</w:t>
            </w:r>
          </w:p>
        </w:tc>
        <w:tc>
          <w:tcPr>
            <w:tcW w:w="1277" w:type="dxa"/>
          </w:tcPr>
          <w:p w:rsidR="007C5447" w:rsidRDefault="00F6308C">
            <w:pPr>
              <w:pStyle w:val="TableParagraph"/>
              <w:spacing w:before="45"/>
              <w:ind w:right="127"/>
              <w:rPr>
                <w:sz w:val="18"/>
              </w:rPr>
            </w:pPr>
            <w:r>
              <w:rPr>
                <w:sz w:val="18"/>
              </w:rPr>
              <w:t>130.73</w:t>
            </w:r>
          </w:p>
        </w:tc>
        <w:tc>
          <w:tcPr>
            <w:tcW w:w="991" w:type="dxa"/>
          </w:tcPr>
          <w:p w:rsidR="007C5447" w:rsidRDefault="00F6308C">
            <w:pPr>
              <w:pStyle w:val="TableParagraph"/>
              <w:spacing w:before="45"/>
              <w:ind w:right="122"/>
              <w:rPr>
                <w:sz w:val="18"/>
              </w:rPr>
            </w:pPr>
            <w:r>
              <w:rPr>
                <w:sz w:val="18"/>
              </w:rPr>
              <w:t>73.28</w:t>
            </w:r>
          </w:p>
        </w:tc>
        <w:tc>
          <w:tcPr>
            <w:tcW w:w="1135" w:type="dxa"/>
          </w:tcPr>
          <w:p w:rsidR="007C5447" w:rsidRDefault="00F6308C">
            <w:pPr>
              <w:pStyle w:val="TableParagraph"/>
              <w:spacing w:before="45"/>
              <w:ind w:right="127"/>
              <w:rPr>
                <w:sz w:val="18"/>
              </w:rPr>
            </w:pPr>
            <w:r>
              <w:rPr>
                <w:sz w:val="18"/>
              </w:rPr>
              <w:t>3.82</w:t>
            </w:r>
          </w:p>
        </w:tc>
        <w:tc>
          <w:tcPr>
            <w:tcW w:w="1277" w:type="dxa"/>
          </w:tcPr>
          <w:p w:rsidR="007C5447" w:rsidRDefault="00F6308C">
            <w:pPr>
              <w:pStyle w:val="TableParagraph"/>
              <w:spacing w:before="45"/>
              <w:ind w:right="122"/>
              <w:rPr>
                <w:sz w:val="18"/>
              </w:rPr>
            </w:pPr>
            <w:r>
              <w:rPr>
                <w:sz w:val="18"/>
              </w:rPr>
              <w:t>55.99</w:t>
            </w:r>
          </w:p>
        </w:tc>
        <w:tc>
          <w:tcPr>
            <w:tcW w:w="1133" w:type="dxa"/>
          </w:tcPr>
          <w:p w:rsidR="007C5447" w:rsidRDefault="00F6308C">
            <w:pPr>
              <w:pStyle w:val="TableParagraph"/>
              <w:spacing w:before="45"/>
              <w:ind w:right="123"/>
              <w:rPr>
                <w:sz w:val="18"/>
              </w:rPr>
            </w:pPr>
            <w:r>
              <w:rPr>
                <w:w w:val="99"/>
                <w:sz w:val="18"/>
              </w:rPr>
              <w:t>-</w:t>
            </w:r>
          </w:p>
        </w:tc>
        <w:tc>
          <w:tcPr>
            <w:tcW w:w="1277" w:type="dxa"/>
          </w:tcPr>
          <w:p w:rsidR="007C5447" w:rsidRDefault="00F6308C">
            <w:pPr>
              <w:pStyle w:val="TableParagraph"/>
              <w:spacing w:before="45"/>
              <w:ind w:right="125"/>
              <w:rPr>
                <w:sz w:val="18"/>
              </w:rPr>
            </w:pPr>
            <w:r>
              <w:rPr>
                <w:sz w:val="18"/>
              </w:rPr>
              <w:t>0.08</w:t>
            </w:r>
          </w:p>
        </w:tc>
        <w:tc>
          <w:tcPr>
            <w:tcW w:w="1134" w:type="dxa"/>
          </w:tcPr>
          <w:p w:rsidR="007C5447" w:rsidRDefault="00F6308C">
            <w:pPr>
              <w:pStyle w:val="TableParagraph"/>
              <w:spacing w:before="45"/>
              <w:ind w:right="126"/>
              <w:rPr>
                <w:sz w:val="18"/>
              </w:rPr>
            </w:pPr>
            <w:r>
              <w:rPr>
                <w:sz w:val="18"/>
              </w:rPr>
              <w:t>0.10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127"/>
              <w:rPr>
                <w:sz w:val="18"/>
              </w:rPr>
            </w:pPr>
            <w:r>
              <w:rPr>
                <w:sz w:val="18"/>
              </w:rPr>
              <w:t>2.81</w:t>
            </w:r>
          </w:p>
        </w:tc>
        <w:tc>
          <w:tcPr>
            <w:tcW w:w="1542" w:type="dxa"/>
          </w:tcPr>
          <w:p w:rsidR="007C5447" w:rsidRDefault="00F6308C">
            <w:pPr>
              <w:pStyle w:val="TableParagraph"/>
              <w:spacing w:before="45"/>
              <w:ind w:right="128"/>
              <w:rPr>
                <w:sz w:val="18"/>
              </w:rPr>
            </w:pPr>
            <w:r>
              <w:rPr>
                <w:sz w:val="18"/>
              </w:rPr>
              <w:t>346.43</w:t>
            </w:r>
          </w:p>
        </w:tc>
      </w:tr>
      <w:tr w:rsidR="007C5447">
        <w:trPr>
          <w:trHeight w:val="299"/>
        </w:trPr>
        <w:tc>
          <w:tcPr>
            <w:tcW w:w="710" w:type="dxa"/>
          </w:tcPr>
          <w:p w:rsidR="007C5447" w:rsidRDefault="00F6308C">
            <w:pPr>
              <w:pStyle w:val="TableParagraph"/>
              <w:spacing w:before="45"/>
              <w:ind w:left="236" w:right="226"/>
              <w:jc w:val="center"/>
              <w:rPr>
                <w:sz w:val="18"/>
              </w:rPr>
            </w:pPr>
            <w:r>
              <w:rPr>
                <w:sz w:val="18"/>
              </w:rPr>
              <w:t>13</w:t>
            </w:r>
          </w:p>
        </w:tc>
        <w:tc>
          <w:tcPr>
            <w:tcW w:w="1985" w:type="dxa"/>
          </w:tcPr>
          <w:p w:rsidR="007C5447" w:rsidRDefault="00F6308C">
            <w:pPr>
              <w:pStyle w:val="TableParagraph"/>
              <w:spacing w:before="45"/>
              <w:ind w:left="108"/>
              <w:jc w:val="left"/>
              <w:rPr>
                <w:sz w:val="18"/>
              </w:rPr>
            </w:pPr>
            <w:r>
              <w:rPr>
                <w:sz w:val="18"/>
              </w:rPr>
              <w:t>Kadamparai HEP</w:t>
            </w:r>
          </w:p>
        </w:tc>
        <w:tc>
          <w:tcPr>
            <w:tcW w:w="1274" w:type="dxa"/>
          </w:tcPr>
          <w:p w:rsidR="007C5447" w:rsidRDefault="00F6308C">
            <w:pPr>
              <w:pStyle w:val="TableParagraph"/>
              <w:spacing w:before="45"/>
              <w:ind w:right="120"/>
              <w:rPr>
                <w:sz w:val="18"/>
              </w:rPr>
            </w:pPr>
            <w:r>
              <w:rPr>
                <w:sz w:val="18"/>
              </w:rPr>
              <w:t>27.07</w:t>
            </w:r>
          </w:p>
        </w:tc>
        <w:tc>
          <w:tcPr>
            <w:tcW w:w="1277" w:type="dxa"/>
          </w:tcPr>
          <w:p w:rsidR="007C5447" w:rsidRDefault="00F6308C">
            <w:pPr>
              <w:pStyle w:val="TableParagraph"/>
              <w:spacing w:before="45"/>
              <w:ind w:right="123"/>
              <w:rPr>
                <w:sz w:val="18"/>
              </w:rPr>
            </w:pPr>
            <w:r>
              <w:rPr>
                <w:sz w:val="18"/>
              </w:rPr>
              <w:t>47.06</w:t>
            </w:r>
          </w:p>
        </w:tc>
        <w:tc>
          <w:tcPr>
            <w:tcW w:w="991" w:type="dxa"/>
          </w:tcPr>
          <w:p w:rsidR="007C5447" w:rsidRDefault="00F6308C">
            <w:pPr>
              <w:pStyle w:val="TableParagraph"/>
              <w:spacing w:before="45"/>
              <w:ind w:right="122"/>
              <w:rPr>
                <w:sz w:val="18"/>
              </w:rPr>
            </w:pPr>
            <w:r>
              <w:rPr>
                <w:sz w:val="18"/>
              </w:rPr>
              <w:t>23.48</w:t>
            </w:r>
          </w:p>
        </w:tc>
        <w:tc>
          <w:tcPr>
            <w:tcW w:w="1135" w:type="dxa"/>
          </w:tcPr>
          <w:p w:rsidR="007C5447" w:rsidRDefault="00F6308C">
            <w:pPr>
              <w:pStyle w:val="TableParagraph"/>
              <w:spacing w:before="45"/>
              <w:ind w:right="127"/>
              <w:rPr>
                <w:sz w:val="18"/>
              </w:rPr>
            </w:pPr>
            <w:r>
              <w:rPr>
                <w:sz w:val="18"/>
              </w:rPr>
              <w:t>3.92</w:t>
            </w:r>
          </w:p>
        </w:tc>
        <w:tc>
          <w:tcPr>
            <w:tcW w:w="1277" w:type="dxa"/>
          </w:tcPr>
          <w:p w:rsidR="007C5447" w:rsidRDefault="00F6308C">
            <w:pPr>
              <w:pStyle w:val="TableParagraph"/>
              <w:spacing w:before="45"/>
              <w:ind w:right="122"/>
              <w:rPr>
                <w:sz w:val="18"/>
              </w:rPr>
            </w:pPr>
            <w:r>
              <w:rPr>
                <w:sz w:val="18"/>
              </w:rPr>
              <w:t>37.15</w:t>
            </w:r>
          </w:p>
        </w:tc>
        <w:tc>
          <w:tcPr>
            <w:tcW w:w="1133" w:type="dxa"/>
          </w:tcPr>
          <w:p w:rsidR="007C5447" w:rsidRDefault="00F6308C">
            <w:pPr>
              <w:pStyle w:val="TableParagraph"/>
              <w:spacing w:before="45"/>
              <w:ind w:right="124"/>
              <w:rPr>
                <w:sz w:val="18"/>
              </w:rPr>
            </w:pPr>
            <w:r>
              <w:rPr>
                <w:sz w:val="18"/>
              </w:rPr>
              <w:t>0.02</w:t>
            </w:r>
          </w:p>
        </w:tc>
        <w:tc>
          <w:tcPr>
            <w:tcW w:w="1277" w:type="dxa"/>
          </w:tcPr>
          <w:p w:rsidR="007C5447" w:rsidRDefault="00F6308C">
            <w:pPr>
              <w:pStyle w:val="TableParagraph"/>
              <w:spacing w:before="45"/>
              <w:ind w:right="125"/>
              <w:rPr>
                <w:sz w:val="18"/>
              </w:rPr>
            </w:pPr>
            <w:r>
              <w:rPr>
                <w:sz w:val="18"/>
              </w:rPr>
              <w:t>1.90</w:t>
            </w:r>
          </w:p>
        </w:tc>
        <w:tc>
          <w:tcPr>
            <w:tcW w:w="1134" w:type="dxa"/>
          </w:tcPr>
          <w:p w:rsidR="007C5447" w:rsidRDefault="00F6308C">
            <w:pPr>
              <w:pStyle w:val="TableParagraph"/>
              <w:spacing w:before="45"/>
              <w:ind w:right="126"/>
              <w:rPr>
                <w:sz w:val="18"/>
              </w:rPr>
            </w:pPr>
            <w:r>
              <w:rPr>
                <w:sz w:val="18"/>
              </w:rPr>
              <w:t>0.25</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127"/>
              <w:rPr>
                <w:sz w:val="18"/>
              </w:rPr>
            </w:pPr>
            <w:r>
              <w:rPr>
                <w:sz w:val="18"/>
              </w:rPr>
              <w:t>1.76</w:t>
            </w:r>
          </w:p>
        </w:tc>
        <w:tc>
          <w:tcPr>
            <w:tcW w:w="1542" w:type="dxa"/>
          </w:tcPr>
          <w:p w:rsidR="007C5447" w:rsidRDefault="00F6308C">
            <w:pPr>
              <w:pStyle w:val="TableParagraph"/>
              <w:spacing w:before="45"/>
              <w:ind w:right="128"/>
              <w:rPr>
                <w:sz w:val="18"/>
              </w:rPr>
            </w:pPr>
            <w:r>
              <w:rPr>
                <w:sz w:val="18"/>
              </w:rPr>
              <w:t>142.11</w:t>
            </w:r>
          </w:p>
        </w:tc>
      </w:tr>
      <w:tr w:rsidR="007C5447">
        <w:trPr>
          <w:trHeight w:val="313"/>
        </w:trPr>
        <w:tc>
          <w:tcPr>
            <w:tcW w:w="710" w:type="dxa"/>
          </w:tcPr>
          <w:p w:rsidR="007C5447" w:rsidRDefault="00F6308C">
            <w:pPr>
              <w:pStyle w:val="TableParagraph"/>
              <w:spacing w:before="55"/>
              <w:ind w:left="236" w:right="226"/>
              <w:jc w:val="center"/>
              <w:rPr>
                <w:sz w:val="18"/>
              </w:rPr>
            </w:pPr>
            <w:r>
              <w:rPr>
                <w:sz w:val="18"/>
              </w:rPr>
              <w:t>14</w:t>
            </w:r>
          </w:p>
        </w:tc>
        <w:tc>
          <w:tcPr>
            <w:tcW w:w="1985" w:type="dxa"/>
          </w:tcPr>
          <w:p w:rsidR="007C5447" w:rsidRDefault="00F6308C">
            <w:pPr>
              <w:pStyle w:val="TableParagraph"/>
              <w:spacing w:before="55"/>
              <w:ind w:left="108"/>
              <w:jc w:val="left"/>
              <w:rPr>
                <w:sz w:val="18"/>
              </w:rPr>
            </w:pPr>
            <w:r>
              <w:rPr>
                <w:sz w:val="18"/>
              </w:rPr>
              <w:t>Kundah HEP</w:t>
            </w:r>
          </w:p>
        </w:tc>
        <w:tc>
          <w:tcPr>
            <w:tcW w:w="1274" w:type="dxa"/>
          </w:tcPr>
          <w:p w:rsidR="007C5447" w:rsidRDefault="00F6308C">
            <w:pPr>
              <w:pStyle w:val="TableParagraph"/>
              <w:spacing w:before="55"/>
              <w:ind w:right="120"/>
              <w:rPr>
                <w:sz w:val="18"/>
              </w:rPr>
            </w:pPr>
            <w:r>
              <w:rPr>
                <w:sz w:val="18"/>
              </w:rPr>
              <w:t>87.51</w:t>
            </w:r>
          </w:p>
        </w:tc>
        <w:tc>
          <w:tcPr>
            <w:tcW w:w="1277" w:type="dxa"/>
          </w:tcPr>
          <w:p w:rsidR="007C5447" w:rsidRDefault="00F6308C">
            <w:pPr>
              <w:pStyle w:val="TableParagraph"/>
              <w:spacing w:before="55"/>
              <w:ind w:right="127"/>
              <w:rPr>
                <w:sz w:val="18"/>
              </w:rPr>
            </w:pPr>
            <w:r>
              <w:rPr>
                <w:sz w:val="18"/>
              </w:rPr>
              <w:t>148.10</w:t>
            </w:r>
          </w:p>
        </w:tc>
        <w:tc>
          <w:tcPr>
            <w:tcW w:w="991" w:type="dxa"/>
          </w:tcPr>
          <w:p w:rsidR="007C5447" w:rsidRDefault="00F6308C">
            <w:pPr>
              <w:pStyle w:val="TableParagraph"/>
              <w:spacing w:before="55"/>
              <w:ind w:right="122"/>
              <w:rPr>
                <w:sz w:val="18"/>
              </w:rPr>
            </w:pPr>
            <w:r>
              <w:rPr>
                <w:sz w:val="18"/>
              </w:rPr>
              <w:t>59.80</w:t>
            </w:r>
          </w:p>
        </w:tc>
        <w:tc>
          <w:tcPr>
            <w:tcW w:w="1135" w:type="dxa"/>
          </w:tcPr>
          <w:p w:rsidR="007C5447" w:rsidRDefault="00F6308C">
            <w:pPr>
              <w:pStyle w:val="TableParagraph"/>
              <w:spacing w:before="55"/>
              <w:ind w:right="124"/>
              <w:rPr>
                <w:sz w:val="18"/>
              </w:rPr>
            </w:pPr>
            <w:r>
              <w:rPr>
                <w:sz w:val="18"/>
              </w:rPr>
              <w:t>10.40</w:t>
            </w:r>
          </w:p>
        </w:tc>
        <w:tc>
          <w:tcPr>
            <w:tcW w:w="1277" w:type="dxa"/>
          </w:tcPr>
          <w:p w:rsidR="007C5447" w:rsidRDefault="00F6308C">
            <w:pPr>
              <w:pStyle w:val="TableParagraph"/>
              <w:spacing w:before="55"/>
              <w:ind w:right="122"/>
              <w:rPr>
                <w:sz w:val="18"/>
              </w:rPr>
            </w:pPr>
            <w:r>
              <w:rPr>
                <w:sz w:val="18"/>
              </w:rPr>
              <w:t>57.49</w:t>
            </w:r>
          </w:p>
        </w:tc>
        <w:tc>
          <w:tcPr>
            <w:tcW w:w="1133" w:type="dxa"/>
          </w:tcPr>
          <w:p w:rsidR="007C5447" w:rsidRDefault="00F6308C">
            <w:pPr>
              <w:pStyle w:val="TableParagraph"/>
              <w:spacing w:before="55"/>
              <w:ind w:right="124"/>
              <w:rPr>
                <w:sz w:val="18"/>
              </w:rPr>
            </w:pPr>
            <w:r>
              <w:rPr>
                <w:sz w:val="18"/>
              </w:rPr>
              <w:t>0.09</w:t>
            </w:r>
          </w:p>
        </w:tc>
        <w:tc>
          <w:tcPr>
            <w:tcW w:w="1277" w:type="dxa"/>
          </w:tcPr>
          <w:p w:rsidR="007C5447" w:rsidRDefault="00F6308C">
            <w:pPr>
              <w:pStyle w:val="TableParagraph"/>
              <w:spacing w:before="55"/>
              <w:ind w:right="124"/>
              <w:rPr>
                <w:sz w:val="18"/>
              </w:rPr>
            </w:pPr>
            <w:r>
              <w:rPr>
                <w:sz w:val="18"/>
              </w:rPr>
              <w:t>9.80</w:t>
            </w:r>
          </w:p>
        </w:tc>
        <w:tc>
          <w:tcPr>
            <w:tcW w:w="1134" w:type="dxa"/>
          </w:tcPr>
          <w:p w:rsidR="007C5447" w:rsidRDefault="00F6308C">
            <w:pPr>
              <w:pStyle w:val="TableParagraph"/>
              <w:spacing w:before="55"/>
              <w:ind w:right="126"/>
              <w:rPr>
                <w:sz w:val="18"/>
              </w:rPr>
            </w:pPr>
            <w:r>
              <w:rPr>
                <w:sz w:val="18"/>
              </w:rPr>
              <w:t>0.90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55"/>
              <w:ind w:right="127"/>
              <w:rPr>
                <w:sz w:val="18"/>
              </w:rPr>
            </w:pPr>
            <w:r>
              <w:rPr>
                <w:sz w:val="18"/>
              </w:rPr>
              <w:t>2.89</w:t>
            </w:r>
          </w:p>
        </w:tc>
        <w:tc>
          <w:tcPr>
            <w:tcW w:w="1542" w:type="dxa"/>
          </w:tcPr>
          <w:p w:rsidR="007C5447" w:rsidRDefault="00F6308C">
            <w:pPr>
              <w:pStyle w:val="TableParagraph"/>
              <w:spacing w:before="55"/>
              <w:ind w:right="128"/>
              <w:rPr>
                <w:sz w:val="18"/>
              </w:rPr>
            </w:pPr>
            <w:r>
              <w:rPr>
                <w:sz w:val="18"/>
              </w:rPr>
              <w:t>375.17</w:t>
            </w:r>
          </w:p>
        </w:tc>
      </w:tr>
      <w:tr w:rsidR="007C5447">
        <w:trPr>
          <w:trHeight w:val="330"/>
        </w:trPr>
        <w:tc>
          <w:tcPr>
            <w:tcW w:w="710" w:type="dxa"/>
          </w:tcPr>
          <w:p w:rsidR="007C5447" w:rsidRDefault="00F6308C">
            <w:pPr>
              <w:pStyle w:val="TableParagraph"/>
              <w:spacing w:before="62"/>
              <w:ind w:left="236" w:right="226"/>
              <w:jc w:val="center"/>
              <w:rPr>
                <w:sz w:val="18"/>
              </w:rPr>
            </w:pPr>
            <w:r>
              <w:rPr>
                <w:sz w:val="18"/>
              </w:rPr>
              <w:t>15</w:t>
            </w:r>
          </w:p>
        </w:tc>
        <w:tc>
          <w:tcPr>
            <w:tcW w:w="1985" w:type="dxa"/>
          </w:tcPr>
          <w:p w:rsidR="007C5447" w:rsidRDefault="00F6308C">
            <w:pPr>
              <w:pStyle w:val="TableParagraph"/>
              <w:spacing w:before="62"/>
              <w:ind w:left="108"/>
              <w:jc w:val="left"/>
              <w:rPr>
                <w:sz w:val="18"/>
              </w:rPr>
            </w:pPr>
            <w:r>
              <w:rPr>
                <w:sz w:val="18"/>
              </w:rPr>
              <w:t>Tirunelveli HEP</w:t>
            </w:r>
          </w:p>
        </w:tc>
        <w:tc>
          <w:tcPr>
            <w:tcW w:w="1274" w:type="dxa"/>
          </w:tcPr>
          <w:p w:rsidR="007C5447" w:rsidRDefault="00F6308C">
            <w:pPr>
              <w:pStyle w:val="TableParagraph"/>
              <w:spacing w:before="62"/>
              <w:ind w:right="120"/>
              <w:rPr>
                <w:sz w:val="18"/>
              </w:rPr>
            </w:pPr>
            <w:r>
              <w:rPr>
                <w:sz w:val="18"/>
              </w:rPr>
              <w:t>47.28</w:t>
            </w:r>
          </w:p>
        </w:tc>
        <w:tc>
          <w:tcPr>
            <w:tcW w:w="1277" w:type="dxa"/>
          </w:tcPr>
          <w:p w:rsidR="007C5447" w:rsidRDefault="00F6308C">
            <w:pPr>
              <w:pStyle w:val="TableParagraph"/>
              <w:spacing w:before="62"/>
              <w:ind w:right="123"/>
              <w:rPr>
                <w:sz w:val="18"/>
              </w:rPr>
            </w:pPr>
            <w:r>
              <w:rPr>
                <w:sz w:val="18"/>
              </w:rPr>
              <w:t>75.95</w:t>
            </w:r>
          </w:p>
        </w:tc>
        <w:tc>
          <w:tcPr>
            <w:tcW w:w="991" w:type="dxa"/>
          </w:tcPr>
          <w:p w:rsidR="007C5447" w:rsidRDefault="00F6308C">
            <w:pPr>
              <w:pStyle w:val="TableParagraph"/>
              <w:spacing w:before="62"/>
              <w:ind w:right="122"/>
              <w:rPr>
                <w:sz w:val="18"/>
              </w:rPr>
            </w:pPr>
            <w:r>
              <w:rPr>
                <w:sz w:val="18"/>
              </w:rPr>
              <w:t>28.10</w:t>
            </w:r>
          </w:p>
        </w:tc>
        <w:tc>
          <w:tcPr>
            <w:tcW w:w="1135" w:type="dxa"/>
          </w:tcPr>
          <w:p w:rsidR="007C5447" w:rsidRDefault="00F6308C">
            <w:pPr>
              <w:pStyle w:val="TableParagraph"/>
              <w:spacing w:before="62"/>
              <w:ind w:right="127"/>
              <w:rPr>
                <w:sz w:val="18"/>
              </w:rPr>
            </w:pPr>
            <w:r>
              <w:rPr>
                <w:sz w:val="18"/>
              </w:rPr>
              <w:t>5.92</w:t>
            </w:r>
          </w:p>
        </w:tc>
        <w:tc>
          <w:tcPr>
            <w:tcW w:w="1277" w:type="dxa"/>
          </w:tcPr>
          <w:p w:rsidR="007C5447" w:rsidRDefault="00F6308C">
            <w:pPr>
              <w:pStyle w:val="TableParagraph"/>
              <w:spacing w:before="62"/>
              <w:ind w:right="122"/>
              <w:rPr>
                <w:sz w:val="18"/>
              </w:rPr>
            </w:pPr>
            <w:r>
              <w:rPr>
                <w:sz w:val="18"/>
              </w:rPr>
              <w:t>49.87</w:t>
            </w:r>
          </w:p>
        </w:tc>
        <w:tc>
          <w:tcPr>
            <w:tcW w:w="1133" w:type="dxa"/>
          </w:tcPr>
          <w:p w:rsidR="007C5447" w:rsidRDefault="00F6308C">
            <w:pPr>
              <w:pStyle w:val="TableParagraph"/>
              <w:spacing w:before="62"/>
              <w:ind w:right="124"/>
              <w:rPr>
                <w:sz w:val="18"/>
              </w:rPr>
            </w:pPr>
            <w:r>
              <w:rPr>
                <w:sz w:val="18"/>
              </w:rPr>
              <w:t>0.08</w:t>
            </w:r>
          </w:p>
        </w:tc>
        <w:tc>
          <w:tcPr>
            <w:tcW w:w="1277" w:type="dxa"/>
          </w:tcPr>
          <w:p w:rsidR="007C5447" w:rsidRDefault="00F6308C">
            <w:pPr>
              <w:pStyle w:val="TableParagraph"/>
              <w:spacing w:before="62"/>
              <w:ind w:right="125"/>
              <w:rPr>
                <w:sz w:val="18"/>
              </w:rPr>
            </w:pPr>
            <w:r>
              <w:rPr>
                <w:sz w:val="18"/>
              </w:rPr>
              <w:t>2.91</w:t>
            </w:r>
          </w:p>
        </w:tc>
        <w:tc>
          <w:tcPr>
            <w:tcW w:w="1134" w:type="dxa"/>
          </w:tcPr>
          <w:p w:rsidR="007C5447" w:rsidRDefault="00F6308C">
            <w:pPr>
              <w:pStyle w:val="TableParagraph"/>
              <w:spacing w:before="62"/>
              <w:ind w:right="126"/>
              <w:rPr>
                <w:sz w:val="18"/>
              </w:rPr>
            </w:pPr>
            <w:r>
              <w:rPr>
                <w:sz w:val="18"/>
              </w:rPr>
              <w:t>0.47</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62"/>
              <w:ind w:right="127"/>
              <w:rPr>
                <w:sz w:val="18"/>
              </w:rPr>
            </w:pPr>
            <w:r>
              <w:rPr>
                <w:sz w:val="18"/>
              </w:rPr>
              <w:t>3.07</w:t>
            </w:r>
          </w:p>
        </w:tc>
        <w:tc>
          <w:tcPr>
            <w:tcW w:w="1542" w:type="dxa"/>
          </w:tcPr>
          <w:p w:rsidR="007C5447" w:rsidRDefault="00F6308C">
            <w:pPr>
              <w:pStyle w:val="TableParagraph"/>
              <w:spacing w:before="62"/>
              <w:ind w:right="128"/>
              <w:rPr>
                <w:sz w:val="18"/>
              </w:rPr>
            </w:pPr>
            <w:r>
              <w:rPr>
                <w:sz w:val="18"/>
              </w:rPr>
              <w:t>212.70</w:t>
            </w:r>
          </w:p>
        </w:tc>
      </w:tr>
      <w:tr w:rsidR="007C5447">
        <w:trPr>
          <w:trHeight w:val="330"/>
        </w:trPr>
        <w:tc>
          <w:tcPr>
            <w:tcW w:w="710" w:type="dxa"/>
          </w:tcPr>
          <w:p w:rsidR="007C5447" w:rsidRDefault="00F6308C">
            <w:pPr>
              <w:pStyle w:val="TableParagraph"/>
              <w:spacing w:before="62"/>
              <w:ind w:left="236" w:right="226"/>
              <w:jc w:val="center"/>
              <w:rPr>
                <w:b/>
                <w:sz w:val="18"/>
              </w:rPr>
            </w:pPr>
            <w:r>
              <w:rPr>
                <w:b/>
                <w:sz w:val="18"/>
              </w:rPr>
              <w:t>16</w:t>
            </w:r>
          </w:p>
        </w:tc>
        <w:tc>
          <w:tcPr>
            <w:tcW w:w="1985" w:type="dxa"/>
          </w:tcPr>
          <w:p w:rsidR="007C5447" w:rsidRDefault="00F6308C">
            <w:pPr>
              <w:pStyle w:val="TableParagraph"/>
              <w:spacing w:before="62"/>
              <w:ind w:left="108"/>
              <w:jc w:val="left"/>
              <w:rPr>
                <w:b/>
                <w:sz w:val="18"/>
              </w:rPr>
            </w:pPr>
            <w:r>
              <w:rPr>
                <w:b/>
                <w:sz w:val="18"/>
              </w:rPr>
              <w:t>Total Generation</w:t>
            </w:r>
          </w:p>
        </w:tc>
        <w:tc>
          <w:tcPr>
            <w:tcW w:w="1274" w:type="dxa"/>
          </w:tcPr>
          <w:p w:rsidR="007C5447" w:rsidRDefault="00F6308C">
            <w:pPr>
              <w:pStyle w:val="TableParagraph"/>
              <w:spacing w:before="62"/>
              <w:ind w:right="123"/>
              <w:rPr>
                <w:b/>
                <w:sz w:val="18"/>
              </w:rPr>
            </w:pPr>
            <w:r>
              <w:rPr>
                <w:b/>
                <w:sz w:val="18"/>
              </w:rPr>
              <w:t>1,518.27</w:t>
            </w:r>
          </w:p>
        </w:tc>
        <w:tc>
          <w:tcPr>
            <w:tcW w:w="1277" w:type="dxa"/>
          </w:tcPr>
          <w:p w:rsidR="007C5447" w:rsidRDefault="00F6308C">
            <w:pPr>
              <w:pStyle w:val="TableParagraph"/>
              <w:spacing w:before="62"/>
              <w:ind w:right="126"/>
              <w:rPr>
                <w:b/>
                <w:sz w:val="18"/>
              </w:rPr>
            </w:pPr>
            <w:r>
              <w:rPr>
                <w:b/>
                <w:sz w:val="18"/>
              </w:rPr>
              <w:t>2,441.45</w:t>
            </w:r>
          </w:p>
        </w:tc>
        <w:tc>
          <w:tcPr>
            <w:tcW w:w="991" w:type="dxa"/>
          </w:tcPr>
          <w:p w:rsidR="007C5447" w:rsidRDefault="00F6308C">
            <w:pPr>
              <w:pStyle w:val="TableParagraph"/>
              <w:spacing w:before="62"/>
              <w:ind w:right="125"/>
              <w:rPr>
                <w:b/>
                <w:sz w:val="18"/>
              </w:rPr>
            </w:pPr>
            <w:r>
              <w:rPr>
                <w:b/>
                <w:sz w:val="18"/>
              </w:rPr>
              <w:t>815.42</w:t>
            </w:r>
          </w:p>
        </w:tc>
        <w:tc>
          <w:tcPr>
            <w:tcW w:w="1135" w:type="dxa"/>
          </w:tcPr>
          <w:p w:rsidR="007C5447" w:rsidRDefault="00F6308C">
            <w:pPr>
              <w:pStyle w:val="TableParagraph"/>
              <w:spacing w:before="62"/>
              <w:ind w:right="127"/>
              <w:rPr>
                <w:b/>
                <w:sz w:val="18"/>
              </w:rPr>
            </w:pPr>
            <w:r>
              <w:rPr>
                <w:b/>
                <w:sz w:val="18"/>
              </w:rPr>
              <w:t>527.84</w:t>
            </w:r>
          </w:p>
        </w:tc>
        <w:tc>
          <w:tcPr>
            <w:tcW w:w="1277" w:type="dxa"/>
          </w:tcPr>
          <w:p w:rsidR="007C5447" w:rsidRDefault="00F6308C">
            <w:pPr>
              <w:pStyle w:val="TableParagraph"/>
              <w:spacing w:before="62"/>
              <w:ind w:right="125"/>
              <w:rPr>
                <w:b/>
                <w:sz w:val="18"/>
              </w:rPr>
            </w:pPr>
            <w:r>
              <w:rPr>
                <w:b/>
                <w:sz w:val="18"/>
              </w:rPr>
              <w:t>1,465.19</w:t>
            </w:r>
          </w:p>
        </w:tc>
        <w:tc>
          <w:tcPr>
            <w:tcW w:w="1133" w:type="dxa"/>
          </w:tcPr>
          <w:p w:rsidR="007C5447" w:rsidRDefault="00F6308C">
            <w:pPr>
              <w:pStyle w:val="TableParagraph"/>
              <w:spacing w:before="62"/>
              <w:ind w:right="124"/>
              <w:rPr>
                <w:b/>
                <w:sz w:val="18"/>
              </w:rPr>
            </w:pPr>
            <w:r>
              <w:rPr>
                <w:b/>
                <w:sz w:val="18"/>
              </w:rPr>
              <w:t>3.43</w:t>
            </w:r>
          </w:p>
        </w:tc>
        <w:tc>
          <w:tcPr>
            <w:tcW w:w="1277" w:type="dxa"/>
          </w:tcPr>
          <w:p w:rsidR="007C5447" w:rsidRDefault="00F6308C">
            <w:pPr>
              <w:pStyle w:val="TableParagraph"/>
              <w:spacing w:before="62"/>
              <w:ind w:right="122"/>
              <w:rPr>
                <w:b/>
                <w:sz w:val="18"/>
              </w:rPr>
            </w:pPr>
            <w:r>
              <w:rPr>
                <w:b/>
                <w:sz w:val="18"/>
              </w:rPr>
              <w:t>98.06</w:t>
            </w:r>
          </w:p>
        </w:tc>
        <w:tc>
          <w:tcPr>
            <w:tcW w:w="1134" w:type="dxa"/>
          </w:tcPr>
          <w:p w:rsidR="007C5447" w:rsidRDefault="00F6308C">
            <w:pPr>
              <w:pStyle w:val="TableParagraph"/>
              <w:spacing w:before="62"/>
              <w:ind w:right="126"/>
              <w:rPr>
                <w:b/>
                <w:sz w:val="18"/>
              </w:rPr>
            </w:pPr>
            <w:r>
              <w:rPr>
                <w:b/>
                <w:sz w:val="18"/>
              </w:rPr>
              <w:t>144.35</w:t>
            </w:r>
          </w:p>
        </w:tc>
        <w:tc>
          <w:tcPr>
            <w:tcW w:w="1136" w:type="dxa"/>
          </w:tcPr>
          <w:p w:rsidR="007C5447" w:rsidRDefault="00F6308C">
            <w:pPr>
              <w:pStyle w:val="TableParagraph"/>
              <w:spacing w:before="62"/>
              <w:ind w:right="127"/>
              <w:rPr>
                <w:b/>
                <w:sz w:val="18"/>
              </w:rPr>
            </w:pPr>
            <w:r>
              <w:rPr>
                <w:b/>
                <w:w w:val="99"/>
                <w:sz w:val="18"/>
              </w:rPr>
              <w:t>-</w:t>
            </w:r>
          </w:p>
        </w:tc>
        <w:tc>
          <w:tcPr>
            <w:tcW w:w="1275" w:type="dxa"/>
          </w:tcPr>
          <w:p w:rsidR="007C5447" w:rsidRDefault="00F6308C">
            <w:pPr>
              <w:pStyle w:val="TableParagraph"/>
              <w:spacing w:before="62"/>
              <w:ind w:right="124"/>
              <w:rPr>
                <w:b/>
                <w:sz w:val="18"/>
              </w:rPr>
            </w:pPr>
            <w:r>
              <w:rPr>
                <w:b/>
                <w:sz w:val="18"/>
              </w:rPr>
              <w:t>48.60</w:t>
            </w:r>
          </w:p>
        </w:tc>
        <w:tc>
          <w:tcPr>
            <w:tcW w:w="1542" w:type="dxa"/>
          </w:tcPr>
          <w:p w:rsidR="007C5447" w:rsidRDefault="00F6308C">
            <w:pPr>
              <w:pStyle w:val="TableParagraph"/>
              <w:spacing w:before="62"/>
              <w:ind w:right="128"/>
              <w:rPr>
                <w:b/>
                <w:sz w:val="18"/>
              </w:rPr>
            </w:pPr>
            <w:r>
              <w:rPr>
                <w:b/>
                <w:sz w:val="18"/>
              </w:rPr>
              <w:t>6,773.89</w:t>
            </w:r>
          </w:p>
        </w:tc>
      </w:tr>
      <w:tr w:rsidR="007C5447">
        <w:trPr>
          <w:trHeight w:val="328"/>
        </w:trPr>
        <w:tc>
          <w:tcPr>
            <w:tcW w:w="710" w:type="dxa"/>
          </w:tcPr>
          <w:p w:rsidR="007C5447" w:rsidRDefault="00F6308C">
            <w:pPr>
              <w:pStyle w:val="TableParagraph"/>
              <w:spacing w:before="59"/>
              <w:ind w:left="236" w:right="226"/>
              <w:jc w:val="center"/>
              <w:rPr>
                <w:b/>
                <w:sz w:val="18"/>
              </w:rPr>
            </w:pPr>
            <w:r>
              <w:rPr>
                <w:b/>
                <w:sz w:val="18"/>
              </w:rPr>
              <w:t>17</w:t>
            </w:r>
          </w:p>
        </w:tc>
        <w:tc>
          <w:tcPr>
            <w:tcW w:w="1985" w:type="dxa"/>
          </w:tcPr>
          <w:p w:rsidR="007C5447" w:rsidRDefault="00F6308C">
            <w:pPr>
              <w:pStyle w:val="TableParagraph"/>
              <w:spacing w:before="59"/>
              <w:ind w:left="108"/>
              <w:jc w:val="left"/>
              <w:rPr>
                <w:b/>
                <w:sz w:val="18"/>
              </w:rPr>
            </w:pPr>
            <w:r>
              <w:rPr>
                <w:b/>
                <w:sz w:val="18"/>
              </w:rPr>
              <w:t>Distribution</w:t>
            </w:r>
          </w:p>
        </w:tc>
        <w:tc>
          <w:tcPr>
            <w:tcW w:w="1274" w:type="dxa"/>
          </w:tcPr>
          <w:p w:rsidR="007C5447" w:rsidRDefault="00F6308C">
            <w:pPr>
              <w:pStyle w:val="TableParagraph"/>
              <w:spacing w:before="59"/>
              <w:ind w:right="123"/>
              <w:rPr>
                <w:b/>
                <w:sz w:val="18"/>
              </w:rPr>
            </w:pPr>
            <w:r>
              <w:rPr>
                <w:b/>
                <w:sz w:val="18"/>
              </w:rPr>
              <w:t>483.53</w:t>
            </w:r>
          </w:p>
        </w:tc>
        <w:tc>
          <w:tcPr>
            <w:tcW w:w="1277" w:type="dxa"/>
          </w:tcPr>
          <w:p w:rsidR="007C5447" w:rsidRDefault="00F6308C">
            <w:pPr>
              <w:pStyle w:val="TableParagraph"/>
              <w:spacing w:before="59"/>
              <w:ind w:right="126"/>
              <w:rPr>
                <w:b/>
                <w:sz w:val="18"/>
              </w:rPr>
            </w:pPr>
            <w:r>
              <w:rPr>
                <w:b/>
                <w:sz w:val="18"/>
              </w:rPr>
              <w:t>2,440.64</w:t>
            </w:r>
          </w:p>
        </w:tc>
        <w:tc>
          <w:tcPr>
            <w:tcW w:w="991" w:type="dxa"/>
          </w:tcPr>
          <w:p w:rsidR="007C5447" w:rsidRDefault="00F6308C">
            <w:pPr>
              <w:pStyle w:val="TableParagraph"/>
              <w:spacing w:before="59"/>
              <w:ind w:right="125"/>
              <w:rPr>
                <w:b/>
                <w:sz w:val="18"/>
              </w:rPr>
            </w:pPr>
            <w:r>
              <w:rPr>
                <w:b/>
                <w:sz w:val="18"/>
              </w:rPr>
              <w:t>609.62</w:t>
            </w:r>
          </w:p>
        </w:tc>
        <w:tc>
          <w:tcPr>
            <w:tcW w:w="1135" w:type="dxa"/>
          </w:tcPr>
          <w:p w:rsidR="007C5447" w:rsidRDefault="00F6308C">
            <w:pPr>
              <w:pStyle w:val="TableParagraph"/>
              <w:spacing w:before="59"/>
              <w:ind w:right="127"/>
              <w:rPr>
                <w:b/>
                <w:sz w:val="18"/>
              </w:rPr>
            </w:pPr>
            <w:r>
              <w:rPr>
                <w:b/>
                <w:sz w:val="18"/>
              </w:rPr>
              <w:t>235.23</w:t>
            </w:r>
          </w:p>
        </w:tc>
        <w:tc>
          <w:tcPr>
            <w:tcW w:w="1277" w:type="dxa"/>
          </w:tcPr>
          <w:p w:rsidR="007C5447" w:rsidRDefault="00F6308C">
            <w:pPr>
              <w:pStyle w:val="TableParagraph"/>
              <w:spacing w:before="59"/>
              <w:ind w:right="125"/>
              <w:rPr>
                <w:b/>
                <w:sz w:val="18"/>
              </w:rPr>
            </w:pPr>
            <w:r>
              <w:rPr>
                <w:b/>
                <w:sz w:val="18"/>
              </w:rPr>
              <w:t>5,534.33</w:t>
            </w:r>
          </w:p>
        </w:tc>
        <w:tc>
          <w:tcPr>
            <w:tcW w:w="1133" w:type="dxa"/>
          </w:tcPr>
          <w:p w:rsidR="007C5447" w:rsidRDefault="00F6308C">
            <w:pPr>
              <w:pStyle w:val="TableParagraph"/>
              <w:spacing w:before="59"/>
              <w:ind w:right="122"/>
              <w:rPr>
                <w:b/>
                <w:sz w:val="18"/>
              </w:rPr>
            </w:pPr>
            <w:r>
              <w:rPr>
                <w:b/>
                <w:sz w:val="18"/>
              </w:rPr>
              <w:t>13.19</w:t>
            </w:r>
          </w:p>
        </w:tc>
        <w:tc>
          <w:tcPr>
            <w:tcW w:w="1277" w:type="dxa"/>
          </w:tcPr>
          <w:p w:rsidR="007C5447" w:rsidRDefault="007C5447">
            <w:pPr>
              <w:pStyle w:val="TableParagraph"/>
              <w:jc w:val="left"/>
              <w:rPr>
                <w:sz w:val="18"/>
              </w:rPr>
            </w:pPr>
          </w:p>
        </w:tc>
        <w:tc>
          <w:tcPr>
            <w:tcW w:w="1134" w:type="dxa"/>
          </w:tcPr>
          <w:p w:rsidR="007C5447" w:rsidRDefault="00F6308C">
            <w:pPr>
              <w:pStyle w:val="TableParagraph"/>
              <w:spacing w:before="59"/>
              <w:ind w:right="126"/>
              <w:rPr>
                <w:b/>
                <w:sz w:val="18"/>
              </w:rPr>
            </w:pPr>
            <w:r>
              <w:rPr>
                <w:b/>
                <w:sz w:val="18"/>
              </w:rPr>
              <w:t>586.89</w:t>
            </w:r>
          </w:p>
        </w:tc>
        <w:tc>
          <w:tcPr>
            <w:tcW w:w="1136" w:type="dxa"/>
          </w:tcPr>
          <w:p w:rsidR="007C5447" w:rsidRDefault="00F6308C">
            <w:pPr>
              <w:pStyle w:val="TableParagraph"/>
              <w:spacing w:before="59"/>
              <w:ind w:right="130"/>
              <w:rPr>
                <w:b/>
                <w:sz w:val="18"/>
              </w:rPr>
            </w:pPr>
            <w:r>
              <w:rPr>
                <w:b/>
                <w:sz w:val="18"/>
              </w:rPr>
              <w:t>952.65</w:t>
            </w:r>
          </w:p>
        </w:tc>
        <w:tc>
          <w:tcPr>
            <w:tcW w:w="1275" w:type="dxa"/>
          </w:tcPr>
          <w:p w:rsidR="007C5447" w:rsidRDefault="00F6308C">
            <w:pPr>
              <w:pStyle w:val="TableParagraph"/>
              <w:spacing w:before="59"/>
              <w:ind w:right="127"/>
              <w:rPr>
                <w:b/>
                <w:sz w:val="18"/>
              </w:rPr>
            </w:pPr>
            <w:r>
              <w:rPr>
                <w:b/>
                <w:sz w:val="18"/>
              </w:rPr>
              <w:t>905.10</w:t>
            </w:r>
          </w:p>
        </w:tc>
        <w:tc>
          <w:tcPr>
            <w:tcW w:w="1542" w:type="dxa"/>
          </w:tcPr>
          <w:p w:rsidR="007C5447" w:rsidRDefault="00F6308C">
            <w:pPr>
              <w:pStyle w:val="TableParagraph"/>
              <w:spacing w:before="59"/>
              <w:ind w:right="128"/>
              <w:rPr>
                <w:b/>
                <w:sz w:val="18"/>
              </w:rPr>
            </w:pPr>
            <w:r>
              <w:rPr>
                <w:b/>
                <w:sz w:val="18"/>
              </w:rPr>
              <w:t>8,682.11</w:t>
            </w:r>
          </w:p>
        </w:tc>
      </w:tr>
      <w:tr w:rsidR="007C5447">
        <w:trPr>
          <w:trHeight w:val="331"/>
        </w:trPr>
        <w:tc>
          <w:tcPr>
            <w:tcW w:w="710" w:type="dxa"/>
          </w:tcPr>
          <w:p w:rsidR="007C5447" w:rsidRDefault="00F6308C">
            <w:pPr>
              <w:pStyle w:val="TableParagraph"/>
              <w:spacing w:before="62"/>
              <w:ind w:left="236" w:right="226"/>
              <w:jc w:val="center"/>
              <w:rPr>
                <w:b/>
                <w:sz w:val="18"/>
              </w:rPr>
            </w:pPr>
            <w:r>
              <w:rPr>
                <w:b/>
                <w:sz w:val="18"/>
              </w:rPr>
              <w:t>18</w:t>
            </w:r>
          </w:p>
        </w:tc>
        <w:tc>
          <w:tcPr>
            <w:tcW w:w="1985" w:type="dxa"/>
          </w:tcPr>
          <w:p w:rsidR="007C5447" w:rsidRDefault="00F6308C">
            <w:pPr>
              <w:pStyle w:val="TableParagraph"/>
              <w:spacing w:before="62"/>
              <w:ind w:left="108"/>
              <w:jc w:val="left"/>
              <w:rPr>
                <w:b/>
                <w:sz w:val="18"/>
              </w:rPr>
            </w:pPr>
            <w:r>
              <w:rPr>
                <w:b/>
                <w:sz w:val="18"/>
              </w:rPr>
              <w:t>Total</w:t>
            </w:r>
          </w:p>
        </w:tc>
        <w:tc>
          <w:tcPr>
            <w:tcW w:w="1274" w:type="dxa"/>
          </w:tcPr>
          <w:p w:rsidR="007C5447" w:rsidRDefault="00F6308C">
            <w:pPr>
              <w:pStyle w:val="TableParagraph"/>
              <w:spacing w:before="62"/>
              <w:ind w:right="123"/>
              <w:rPr>
                <w:b/>
                <w:sz w:val="18"/>
              </w:rPr>
            </w:pPr>
            <w:r>
              <w:rPr>
                <w:b/>
                <w:sz w:val="18"/>
              </w:rPr>
              <w:t>2,001.80</w:t>
            </w:r>
          </w:p>
        </w:tc>
        <w:tc>
          <w:tcPr>
            <w:tcW w:w="1277" w:type="dxa"/>
          </w:tcPr>
          <w:p w:rsidR="007C5447" w:rsidRDefault="00F6308C">
            <w:pPr>
              <w:pStyle w:val="TableParagraph"/>
              <w:spacing w:before="62"/>
              <w:ind w:right="126"/>
              <w:rPr>
                <w:b/>
                <w:sz w:val="18"/>
              </w:rPr>
            </w:pPr>
            <w:r>
              <w:rPr>
                <w:b/>
                <w:sz w:val="18"/>
              </w:rPr>
              <w:t>4,882.09</w:t>
            </w:r>
          </w:p>
        </w:tc>
        <w:tc>
          <w:tcPr>
            <w:tcW w:w="991" w:type="dxa"/>
          </w:tcPr>
          <w:p w:rsidR="007C5447" w:rsidRDefault="00F6308C">
            <w:pPr>
              <w:pStyle w:val="TableParagraph"/>
              <w:spacing w:before="62"/>
              <w:ind w:right="125"/>
              <w:rPr>
                <w:b/>
                <w:sz w:val="18"/>
              </w:rPr>
            </w:pPr>
            <w:r>
              <w:rPr>
                <w:b/>
                <w:sz w:val="18"/>
              </w:rPr>
              <w:t>1,425.04</w:t>
            </w:r>
          </w:p>
        </w:tc>
        <w:tc>
          <w:tcPr>
            <w:tcW w:w="1135" w:type="dxa"/>
          </w:tcPr>
          <w:p w:rsidR="007C5447" w:rsidRDefault="00F6308C">
            <w:pPr>
              <w:pStyle w:val="TableParagraph"/>
              <w:spacing w:before="62"/>
              <w:ind w:right="127"/>
              <w:rPr>
                <w:b/>
                <w:sz w:val="18"/>
              </w:rPr>
            </w:pPr>
            <w:r>
              <w:rPr>
                <w:b/>
                <w:sz w:val="18"/>
              </w:rPr>
              <w:t>763.07</w:t>
            </w:r>
          </w:p>
        </w:tc>
        <w:tc>
          <w:tcPr>
            <w:tcW w:w="1277" w:type="dxa"/>
          </w:tcPr>
          <w:p w:rsidR="007C5447" w:rsidRDefault="00F6308C">
            <w:pPr>
              <w:pStyle w:val="TableParagraph"/>
              <w:spacing w:before="62"/>
              <w:ind w:right="125"/>
              <w:rPr>
                <w:b/>
                <w:sz w:val="18"/>
              </w:rPr>
            </w:pPr>
            <w:r>
              <w:rPr>
                <w:b/>
                <w:sz w:val="18"/>
              </w:rPr>
              <w:t>6,999.52</w:t>
            </w:r>
          </w:p>
        </w:tc>
        <w:tc>
          <w:tcPr>
            <w:tcW w:w="1133" w:type="dxa"/>
          </w:tcPr>
          <w:p w:rsidR="007C5447" w:rsidRDefault="00F6308C">
            <w:pPr>
              <w:pStyle w:val="TableParagraph"/>
              <w:spacing w:before="62"/>
              <w:ind w:right="122"/>
              <w:rPr>
                <w:b/>
                <w:sz w:val="18"/>
              </w:rPr>
            </w:pPr>
            <w:r>
              <w:rPr>
                <w:b/>
                <w:sz w:val="18"/>
              </w:rPr>
              <w:t>16.61</w:t>
            </w:r>
          </w:p>
        </w:tc>
        <w:tc>
          <w:tcPr>
            <w:tcW w:w="1277" w:type="dxa"/>
          </w:tcPr>
          <w:p w:rsidR="007C5447" w:rsidRDefault="00F6308C">
            <w:pPr>
              <w:pStyle w:val="TableParagraph"/>
              <w:spacing w:before="62"/>
              <w:ind w:right="122"/>
              <w:rPr>
                <w:b/>
                <w:sz w:val="18"/>
              </w:rPr>
            </w:pPr>
            <w:r>
              <w:rPr>
                <w:b/>
                <w:sz w:val="18"/>
              </w:rPr>
              <w:t>98.06</w:t>
            </w:r>
          </w:p>
        </w:tc>
        <w:tc>
          <w:tcPr>
            <w:tcW w:w="1134" w:type="dxa"/>
          </w:tcPr>
          <w:p w:rsidR="007C5447" w:rsidRDefault="00F6308C">
            <w:pPr>
              <w:pStyle w:val="TableParagraph"/>
              <w:spacing w:before="62"/>
              <w:ind w:right="126"/>
              <w:rPr>
                <w:b/>
                <w:sz w:val="18"/>
              </w:rPr>
            </w:pPr>
            <w:r>
              <w:rPr>
                <w:b/>
                <w:sz w:val="18"/>
              </w:rPr>
              <w:t>731.24</w:t>
            </w:r>
          </w:p>
        </w:tc>
        <w:tc>
          <w:tcPr>
            <w:tcW w:w="1136" w:type="dxa"/>
          </w:tcPr>
          <w:p w:rsidR="007C5447" w:rsidRDefault="00F6308C">
            <w:pPr>
              <w:pStyle w:val="TableParagraph"/>
              <w:spacing w:before="62"/>
              <w:ind w:right="130"/>
              <w:rPr>
                <w:b/>
                <w:sz w:val="18"/>
              </w:rPr>
            </w:pPr>
            <w:r>
              <w:rPr>
                <w:b/>
                <w:sz w:val="18"/>
              </w:rPr>
              <w:t>952.65</w:t>
            </w:r>
          </w:p>
        </w:tc>
        <w:tc>
          <w:tcPr>
            <w:tcW w:w="1275" w:type="dxa"/>
          </w:tcPr>
          <w:p w:rsidR="007C5447" w:rsidRDefault="00F6308C">
            <w:pPr>
              <w:pStyle w:val="TableParagraph"/>
              <w:spacing w:before="62"/>
              <w:ind w:right="127"/>
              <w:rPr>
                <w:b/>
                <w:sz w:val="18"/>
              </w:rPr>
            </w:pPr>
            <w:r>
              <w:rPr>
                <w:b/>
                <w:sz w:val="18"/>
              </w:rPr>
              <w:t>953.70</w:t>
            </w:r>
          </w:p>
        </w:tc>
        <w:tc>
          <w:tcPr>
            <w:tcW w:w="1542" w:type="dxa"/>
          </w:tcPr>
          <w:p w:rsidR="007C5447" w:rsidRDefault="00F6308C">
            <w:pPr>
              <w:pStyle w:val="TableParagraph"/>
              <w:spacing w:before="62"/>
              <w:ind w:right="128"/>
              <w:rPr>
                <w:b/>
                <w:sz w:val="18"/>
              </w:rPr>
            </w:pPr>
            <w:r>
              <w:rPr>
                <w:b/>
                <w:sz w:val="18"/>
              </w:rPr>
              <w:t>15,456.00</w:t>
            </w:r>
          </w:p>
        </w:tc>
      </w:tr>
    </w:tbl>
    <w:p w:rsidR="007C5447" w:rsidRDefault="007C5447">
      <w:pPr>
        <w:pStyle w:val="BodyText"/>
        <w:spacing w:before="10"/>
        <w:rPr>
          <w:b/>
          <w:sz w:val="20"/>
        </w:rPr>
      </w:pPr>
    </w:p>
    <w:p w:rsidR="007C5447" w:rsidRDefault="00F6308C">
      <w:pPr>
        <w:ind w:left="1100"/>
        <w:rPr>
          <w:b/>
          <w:sz w:val="20"/>
        </w:rPr>
      </w:pPr>
      <w:r>
        <w:rPr>
          <w:b/>
          <w:sz w:val="20"/>
        </w:rPr>
        <w:t>*In Table 4-13, Depreciation for Erode has been submitted as Rs. 77.08 Crore</w:t>
      </w:r>
    </w:p>
    <w:p w:rsidR="007C5447" w:rsidRDefault="007C5447">
      <w:pPr>
        <w:rPr>
          <w:sz w:val="20"/>
        </w:rPr>
        <w:sectPr w:rsidR="007C5447">
          <w:footerReference w:type="default" r:id="rId50"/>
          <w:pgSz w:w="16840" w:h="11910" w:orient="landscape"/>
          <w:pgMar w:top="1100" w:right="120" w:bottom="1240" w:left="340" w:header="0" w:footer="1057" w:gutter="0"/>
          <w:pgNumType w:start="220"/>
          <w:cols w:space="720"/>
        </w:sectPr>
      </w:pPr>
    </w:p>
    <w:p w:rsidR="007C5447" w:rsidRDefault="007C5447">
      <w:pPr>
        <w:pStyle w:val="BodyText"/>
        <w:spacing w:before="2"/>
        <w:rPr>
          <w:b/>
          <w:sz w:val="21"/>
        </w:rPr>
      </w:pPr>
    </w:p>
    <w:p w:rsidR="007C5447" w:rsidRDefault="00F6308C">
      <w:pPr>
        <w:spacing w:before="91"/>
        <w:ind w:left="3796" w:right="4012"/>
        <w:jc w:val="center"/>
        <w:rPr>
          <w:b/>
        </w:rPr>
      </w:pPr>
      <w:r>
        <w:rPr>
          <w:b/>
        </w:rPr>
        <w:t>Table 4-30: Fixed Cost summary for FY 2018-19 as submitted by TANGEDCO (Rs. Crore)</w:t>
      </w:r>
    </w:p>
    <w:p w:rsidR="007C5447" w:rsidRDefault="007C5447">
      <w:pPr>
        <w:pStyle w:val="BodyText"/>
        <w:spacing w:before="11"/>
        <w:rPr>
          <w:b/>
          <w:sz w:val="16"/>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1985"/>
        <w:gridCol w:w="1274"/>
        <w:gridCol w:w="1277"/>
        <w:gridCol w:w="991"/>
        <w:gridCol w:w="1135"/>
        <w:gridCol w:w="1277"/>
        <w:gridCol w:w="1133"/>
        <w:gridCol w:w="1277"/>
        <w:gridCol w:w="1134"/>
        <w:gridCol w:w="1136"/>
        <w:gridCol w:w="1275"/>
        <w:gridCol w:w="1542"/>
      </w:tblGrid>
      <w:tr w:rsidR="007C5447">
        <w:trPr>
          <w:trHeight w:val="410"/>
        </w:trPr>
        <w:tc>
          <w:tcPr>
            <w:tcW w:w="710" w:type="dxa"/>
            <w:vMerge w:val="restart"/>
            <w:shd w:val="clear" w:color="auto" w:fill="FBD4B4"/>
          </w:tcPr>
          <w:p w:rsidR="007C5447" w:rsidRDefault="007C5447">
            <w:pPr>
              <w:pStyle w:val="TableParagraph"/>
              <w:jc w:val="left"/>
              <w:rPr>
                <w:b/>
                <w:sz w:val="20"/>
              </w:rPr>
            </w:pPr>
          </w:p>
          <w:p w:rsidR="007C5447" w:rsidRDefault="007C5447">
            <w:pPr>
              <w:pStyle w:val="TableParagraph"/>
              <w:spacing w:before="4"/>
              <w:jc w:val="left"/>
              <w:rPr>
                <w:b/>
                <w:sz w:val="19"/>
              </w:rPr>
            </w:pPr>
          </w:p>
          <w:p w:rsidR="007C5447" w:rsidRDefault="00F6308C">
            <w:pPr>
              <w:pStyle w:val="TableParagraph"/>
              <w:spacing w:before="1"/>
              <w:ind w:left="236" w:right="228"/>
              <w:jc w:val="center"/>
              <w:rPr>
                <w:b/>
                <w:sz w:val="18"/>
              </w:rPr>
            </w:pPr>
            <w:r>
              <w:rPr>
                <w:b/>
                <w:sz w:val="18"/>
              </w:rPr>
              <w:t>Sl.</w:t>
            </w:r>
          </w:p>
        </w:tc>
        <w:tc>
          <w:tcPr>
            <w:tcW w:w="1985" w:type="dxa"/>
            <w:vMerge w:val="restart"/>
            <w:shd w:val="clear" w:color="auto" w:fill="FBD4B4"/>
          </w:tcPr>
          <w:p w:rsidR="007C5447" w:rsidRDefault="007C5447">
            <w:pPr>
              <w:pStyle w:val="TableParagraph"/>
              <w:jc w:val="left"/>
              <w:rPr>
                <w:b/>
                <w:sz w:val="20"/>
              </w:rPr>
            </w:pPr>
          </w:p>
          <w:p w:rsidR="007C5447" w:rsidRDefault="007C5447">
            <w:pPr>
              <w:pStyle w:val="TableParagraph"/>
              <w:spacing w:before="4"/>
              <w:jc w:val="left"/>
              <w:rPr>
                <w:b/>
                <w:sz w:val="19"/>
              </w:rPr>
            </w:pPr>
          </w:p>
          <w:p w:rsidR="007C5447" w:rsidRDefault="00F6308C">
            <w:pPr>
              <w:pStyle w:val="TableParagraph"/>
              <w:spacing w:before="1"/>
              <w:ind w:left="449"/>
              <w:jc w:val="left"/>
              <w:rPr>
                <w:b/>
                <w:sz w:val="18"/>
              </w:rPr>
            </w:pPr>
            <w:r>
              <w:rPr>
                <w:b/>
                <w:sz w:val="18"/>
              </w:rPr>
              <w:t>Power Station</w:t>
            </w:r>
          </w:p>
        </w:tc>
        <w:tc>
          <w:tcPr>
            <w:tcW w:w="13451" w:type="dxa"/>
            <w:gridSpan w:val="11"/>
            <w:shd w:val="clear" w:color="auto" w:fill="FBD4B4"/>
          </w:tcPr>
          <w:p w:rsidR="007C5447" w:rsidRDefault="00F6308C">
            <w:pPr>
              <w:pStyle w:val="TableParagraph"/>
              <w:spacing w:before="100"/>
              <w:ind w:left="6263" w:right="6252"/>
              <w:jc w:val="center"/>
              <w:rPr>
                <w:b/>
                <w:sz w:val="18"/>
              </w:rPr>
            </w:pPr>
            <w:r>
              <w:rPr>
                <w:b/>
                <w:sz w:val="18"/>
              </w:rPr>
              <w:t>FY 2018-19</w:t>
            </w:r>
          </w:p>
        </w:tc>
      </w:tr>
      <w:tr w:rsidR="007C5447">
        <w:trPr>
          <w:trHeight w:val="693"/>
        </w:trPr>
        <w:tc>
          <w:tcPr>
            <w:tcW w:w="710" w:type="dxa"/>
            <w:vMerge/>
            <w:tcBorders>
              <w:top w:val="nil"/>
            </w:tcBorders>
            <w:shd w:val="clear" w:color="auto" w:fill="FBD4B4"/>
          </w:tcPr>
          <w:p w:rsidR="007C5447" w:rsidRDefault="007C5447">
            <w:pPr>
              <w:rPr>
                <w:sz w:val="2"/>
                <w:szCs w:val="2"/>
              </w:rPr>
            </w:pPr>
          </w:p>
        </w:tc>
        <w:tc>
          <w:tcPr>
            <w:tcW w:w="1985" w:type="dxa"/>
            <w:vMerge/>
            <w:tcBorders>
              <w:top w:val="nil"/>
            </w:tcBorders>
            <w:shd w:val="clear" w:color="auto" w:fill="FBD4B4"/>
          </w:tcPr>
          <w:p w:rsidR="007C5447" w:rsidRDefault="007C5447">
            <w:pPr>
              <w:rPr>
                <w:sz w:val="2"/>
                <w:szCs w:val="2"/>
              </w:rPr>
            </w:pPr>
          </w:p>
        </w:tc>
        <w:tc>
          <w:tcPr>
            <w:tcW w:w="1274" w:type="dxa"/>
            <w:shd w:val="clear" w:color="auto" w:fill="FBD4B4"/>
          </w:tcPr>
          <w:p w:rsidR="007C5447" w:rsidRDefault="007C5447">
            <w:pPr>
              <w:pStyle w:val="TableParagraph"/>
              <w:jc w:val="left"/>
              <w:rPr>
                <w:b/>
                <w:sz w:val="21"/>
              </w:rPr>
            </w:pPr>
          </w:p>
          <w:p w:rsidR="007C5447" w:rsidRDefault="00F6308C">
            <w:pPr>
              <w:pStyle w:val="TableParagraph"/>
              <w:ind w:right="130"/>
              <w:rPr>
                <w:b/>
                <w:sz w:val="18"/>
              </w:rPr>
            </w:pPr>
            <w:r>
              <w:rPr>
                <w:b/>
                <w:sz w:val="18"/>
              </w:rPr>
              <w:t>Depreciation</w:t>
            </w:r>
          </w:p>
        </w:tc>
        <w:tc>
          <w:tcPr>
            <w:tcW w:w="1277" w:type="dxa"/>
            <w:shd w:val="clear" w:color="auto" w:fill="FBD4B4"/>
          </w:tcPr>
          <w:p w:rsidR="007C5447" w:rsidRDefault="007C5447">
            <w:pPr>
              <w:pStyle w:val="TableParagraph"/>
              <w:jc w:val="left"/>
              <w:rPr>
                <w:b/>
                <w:sz w:val="21"/>
              </w:rPr>
            </w:pPr>
          </w:p>
          <w:p w:rsidR="007C5447" w:rsidRDefault="00F6308C">
            <w:pPr>
              <w:pStyle w:val="TableParagraph"/>
              <w:ind w:left="408"/>
              <w:jc w:val="left"/>
              <w:rPr>
                <w:b/>
                <w:sz w:val="18"/>
              </w:rPr>
            </w:pPr>
            <w:r>
              <w:rPr>
                <w:b/>
                <w:sz w:val="18"/>
              </w:rPr>
              <w:t>I&amp;FC</w:t>
            </w:r>
          </w:p>
        </w:tc>
        <w:tc>
          <w:tcPr>
            <w:tcW w:w="991" w:type="dxa"/>
            <w:shd w:val="clear" w:color="auto" w:fill="FBD4B4"/>
          </w:tcPr>
          <w:p w:rsidR="007C5447" w:rsidRDefault="00F6308C">
            <w:pPr>
              <w:pStyle w:val="TableParagraph"/>
              <w:spacing w:before="139"/>
              <w:ind w:left="118" w:right="39" w:firstLine="103"/>
              <w:jc w:val="left"/>
              <w:rPr>
                <w:b/>
                <w:sz w:val="18"/>
              </w:rPr>
            </w:pPr>
            <w:r>
              <w:rPr>
                <w:b/>
                <w:sz w:val="18"/>
              </w:rPr>
              <w:t>Return on Equity</w:t>
            </w:r>
          </w:p>
        </w:tc>
        <w:tc>
          <w:tcPr>
            <w:tcW w:w="1135" w:type="dxa"/>
            <w:shd w:val="clear" w:color="auto" w:fill="FBD4B4"/>
          </w:tcPr>
          <w:p w:rsidR="007C5447" w:rsidRDefault="00F6308C">
            <w:pPr>
              <w:pStyle w:val="TableParagraph"/>
              <w:spacing w:before="35"/>
              <w:ind w:left="116" w:right="104"/>
              <w:jc w:val="center"/>
              <w:rPr>
                <w:b/>
                <w:sz w:val="18"/>
              </w:rPr>
            </w:pPr>
            <w:r>
              <w:rPr>
                <w:b/>
                <w:sz w:val="18"/>
              </w:rPr>
              <w:t>Interest on Working Capital</w:t>
            </w:r>
          </w:p>
        </w:tc>
        <w:tc>
          <w:tcPr>
            <w:tcW w:w="1277" w:type="dxa"/>
            <w:shd w:val="clear" w:color="auto" w:fill="FBD4B4"/>
          </w:tcPr>
          <w:p w:rsidR="007C5447" w:rsidRDefault="00F6308C">
            <w:pPr>
              <w:pStyle w:val="TableParagraph"/>
              <w:spacing w:before="139"/>
              <w:ind w:left="284" w:right="252" w:firstLine="79"/>
              <w:jc w:val="left"/>
              <w:rPr>
                <w:b/>
                <w:sz w:val="18"/>
              </w:rPr>
            </w:pPr>
            <w:r>
              <w:rPr>
                <w:b/>
                <w:sz w:val="18"/>
              </w:rPr>
              <w:t>O &amp; M Expenses</w:t>
            </w:r>
          </w:p>
        </w:tc>
        <w:tc>
          <w:tcPr>
            <w:tcW w:w="1133" w:type="dxa"/>
            <w:shd w:val="clear" w:color="auto" w:fill="FBD4B4"/>
          </w:tcPr>
          <w:p w:rsidR="007C5447" w:rsidRDefault="00F6308C">
            <w:pPr>
              <w:pStyle w:val="TableParagraph"/>
              <w:spacing w:before="139"/>
              <w:ind w:left="323" w:right="290" w:firstLine="14"/>
              <w:jc w:val="left"/>
              <w:rPr>
                <w:b/>
                <w:sz w:val="18"/>
              </w:rPr>
            </w:pPr>
            <w:r>
              <w:rPr>
                <w:b/>
                <w:sz w:val="18"/>
              </w:rPr>
              <w:t>Other Debits</w:t>
            </w:r>
          </w:p>
        </w:tc>
        <w:tc>
          <w:tcPr>
            <w:tcW w:w="1277" w:type="dxa"/>
            <w:shd w:val="clear" w:color="auto" w:fill="FBD4B4"/>
          </w:tcPr>
          <w:p w:rsidR="007C5447" w:rsidRDefault="00F6308C">
            <w:pPr>
              <w:pStyle w:val="TableParagraph"/>
              <w:spacing w:before="35"/>
              <w:ind w:left="134" w:right="121"/>
              <w:jc w:val="center"/>
              <w:rPr>
                <w:b/>
                <w:sz w:val="18"/>
              </w:rPr>
            </w:pPr>
            <w:r>
              <w:rPr>
                <w:b/>
                <w:sz w:val="18"/>
              </w:rPr>
              <w:t>Op. Charges and Extra Ordinary</w:t>
            </w:r>
          </w:p>
        </w:tc>
        <w:tc>
          <w:tcPr>
            <w:tcW w:w="1134" w:type="dxa"/>
            <w:shd w:val="clear" w:color="auto" w:fill="FBD4B4"/>
          </w:tcPr>
          <w:p w:rsidR="007C5447" w:rsidRDefault="00F6308C">
            <w:pPr>
              <w:pStyle w:val="TableParagraph"/>
              <w:spacing w:before="139"/>
              <w:ind w:left="282" w:right="177" w:firstLine="55"/>
              <w:jc w:val="left"/>
              <w:rPr>
                <w:b/>
                <w:sz w:val="18"/>
              </w:rPr>
            </w:pPr>
            <w:r>
              <w:rPr>
                <w:b/>
                <w:sz w:val="18"/>
              </w:rPr>
              <w:t>Other Income</w:t>
            </w:r>
          </w:p>
        </w:tc>
        <w:tc>
          <w:tcPr>
            <w:tcW w:w="1136" w:type="dxa"/>
            <w:shd w:val="clear" w:color="auto" w:fill="FBD4B4"/>
          </w:tcPr>
          <w:p w:rsidR="007C5447" w:rsidRDefault="00F6308C">
            <w:pPr>
              <w:pStyle w:val="TableParagraph"/>
              <w:spacing w:before="139"/>
              <w:ind w:left="281" w:right="120" w:hanging="135"/>
              <w:jc w:val="left"/>
              <w:rPr>
                <w:b/>
                <w:sz w:val="18"/>
              </w:rPr>
            </w:pPr>
            <w:r>
              <w:rPr>
                <w:b/>
                <w:sz w:val="18"/>
              </w:rPr>
              <w:t>Non-Tariff Income</w:t>
            </w:r>
          </w:p>
        </w:tc>
        <w:tc>
          <w:tcPr>
            <w:tcW w:w="1275" w:type="dxa"/>
            <w:shd w:val="clear" w:color="auto" w:fill="FBD4B4"/>
          </w:tcPr>
          <w:p w:rsidR="007C5447" w:rsidRDefault="00F6308C">
            <w:pPr>
              <w:pStyle w:val="TableParagraph"/>
              <w:spacing w:before="35"/>
              <w:ind w:left="141" w:right="133" w:firstLine="3"/>
              <w:jc w:val="center"/>
              <w:rPr>
                <w:b/>
                <w:sz w:val="18"/>
              </w:rPr>
            </w:pPr>
            <w:r>
              <w:rPr>
                <w:b/>
                <w:sz w:val="18"/>
              </w:rPr>
              <w:t>Other Interest &amp; Fin. Charges</w:t>
            </w:r>
          </w:p>
        </w:tc>
        <w:tc>
          <w:tcPr>
            <w:tcW w:w="1542" w:type="dxa"/>
            <w:shd w:val="clear" w:color="auto" w:fill="FBD4B4"/>
          </w:tcPr>
          <w:p w:rsidR="007C5447" w:rsidRDefault="007C5447">
            <w:pPr>
              <w:pStyle w:val="TableParagraph"/>
              <w:jc w:val="left"/>
              <w:rPr>
                <w:b/>
                <w:sz w:val="21"/>
              </w:rPr>
            </w:pPr>
          </w:p>
          <w:p w:rsidR="007C5447" w:rsidRDefault="00F6308C">
            <w:pPr>
              <w:pStyle w:val="TableParagraph"/>
              <w:ind w:right="122"/>
              <w:rPr>
                <w:b/>
                <w:sz w:val="18"/>
              </w:rPr>
            </w:pPr>
            <w:r>
              <w:rPr>
                <w:b/>
                <w:sz w:val="18"/>
              </w:rPr>
              <w:t>Total Fixed Cost</w:t>
            </w:r>
          </w:p>
        </w:tc>
      </w:tr>
      <w:tr w:rsidR="007C5447">
        <w:trPr>
          <w:trHeight w:val="302"/>
        </w:trPr>
        <w:tc>
          <w:tcPr>
            <w:tcW w:w="710" w:type="dxa"/>
          </w:tcPr>
          <w:p w:rsidR="007C5447" w:rsidRDefault="00F6308C">
            <w:pPr>
              <w:pStyle w:val="TableParagraph"/>
              <w:spacing w:before="47"/>
              <w:ind w:left="4"/>
              <w:jc w:val="center"/>
              <w:rPr>
                <w:sz w:val="18"/>
              </w:rPr>
            </w:pPr>
            <w:r>
              <w:rPr>
                <w:sz w:val="18"/>
              </w:rPr>
              <w:t>1</w:t>
            </w:r>
          </w:p>
        </w:tc>
        <w:tc>
          <w:tcPr>
            <w:tcW w:w="1985" w:type="dxa"/>
          </w:tcPr>
          <w:p w:rsidR="007C5447" w:rsidRDefault="00F6308C">
            <w:pPr>
              <w:pStyle w:val="TableParagraph"/>
              <w:spacing w:before="47"/>
              <w:ind w:left="108"/>
              <w:jc w:val="left"/>
              <w:rPr>
                <w:sz w:val="18"/>
              </w:rPr>
            </w:pPr>
            <w:r>
              <w:rPr>
                <w:sz w:val="18"/>
              </w:rPr>
              <w:t>Ennore TPS</w:t>
            </w:r>
          </w:p>
        </w:tc>
        <w:tc>
          <w:tcPr>
            <w:tcW w:w="1274" w:type="dxa"/>
          </w:tcPr>
          <w:p w:rsidR="007C5447" w:rsidRDefault="00F6308C">
            <w:pPr>
              <w:pStyle w:val="TableParagraph"/>
              <w:spacing w:before="47"/>
              <w:ind w:right="121"/>
              <w:rPr>
                <w:sz w:val="18"/>
              </w:rPr>
            </w:pPr>
            <w:r>
              <w:rPr>
                <w:w w:val="99"/>
                <w:sz w:val="18"/>
              </w:rPr>
              <w:t>-</w:t>
            </w:r>
          </w:p>
        </w:tc>
        <w:tc>
          <w:tcPr>
            <w:tcW w:w="1277" w:type="dxa"/>
          </w:tcPr>
          <w:p w:rsidR="007C5447" w:rsidRDefault="00F6308C">
            <w:pPr>
              <w:pStyle w:val="TableParagraph"/>
              <w:spacing w:before="47"/>
              <w:ind w:right="123"/>
              <w:rPr>
                <w:sz w:val="18"/>
              </w:rPr>
            </w:pPr>
            <w:r>
              <w:rPr>
                <w:w w:val="99"/>
                <w:sz w:val="18"/>
              </w:rPr>
              <w:t>-</w:t>
            </w:r>
          </w:p>
        </w:tc>
        <w:tc>
          <w:tcPr>
            <w:tcW w:w="991" w:type="dxa"/>
          </w:tcPr>
          <w:p w:rsidR="007C5447" w:rsidRDefault="00F6308C">
            <w:pPr>
              <w:pStyle w:val="TableParagraph"/>
              <w:spacing w:before="47"/>
              <w:ind w:right="123"/>
              <w:rPr>
                <w:sz w:val="18"/>
              </w:rPr>
            </w:pPr>
            <w:r>
              <w:rPr>
                <w:w w:val="99"/>
                <w:sz w:val="18"/>
              </w:rPr>
              <w:t>-</w:t>
            </w:r>
          </w:p>
        </w:tc>
        <w:tc>
          <w:tcPr>
            <w:tcW w:w="1135" w:type="dxa"/>
          </w:tcPr>
          <w:p w:rsidR="007C5447" w:rsidRDefault="00F6308C">
            <w:pPr>
              <w:pStyle w:val="TableParagraph"/>
              <w:spacing w:before="47"/>
              <w:ind w:right="127"/>
              <w:rPr>
                <w:sz w:val="18"/>
              </w:rPr>
            </w:pPr>
            <w:r>
              <w:rPr>
                <w:sz w:val="18"/>
              </w:rPr>
              <w:t>0.63</w:t>
            </w:r>
          </w:p>
        </w:tc>
        <w:tc>
          <w:tcPr>
            <w:tcW w:w="1277" w:type="dxa"/>
          </w:tcPr>
          <w:p w:rsidR="007C5447" w:rsidRDefault="00F6308C">
            <w:pPr>
              <w:pStyle w:val="TableParagraph"/>
              <w:spacing w:before="47"/>
              <w:ind w:right="122"/>
              <w:rPr>
                <w:sz w:val="18"/>
              </w:rPr>
            </w:pPr>
            <w:r>
              <w:rPr>
                <w:sz w:val="18"/>
              </w:rPr>
              <w:t>21.63</w:t>
            </w:r>
          </w:p>
        </w:tc>
        <w:tc>
          <w:tcPr>
            <w:tcW w:w="1133" w:type="dxa"/>
          </w:tcPr>
          <w:p w:rsidR="007C5447" w:rsidRDefault="00F6308C">
            <w:pPr>
              <w:pStyle w:val="TableParagraph"/>
              <w:spacing w:before="47"/>
              <w:ind w:right="123"/>
              <w:rPr>
                <w:sz w:val="18"/>
              </w:rPr>
            </w:pPr>
            <w:r>
              <w:rPr>
                <w:w w:val="99"/>
                <w:sz w:val="18"/>
              </w:rPr>
              <w:t>-</w:t>
            </w:r>
          </w:p>
        </w:tc>
        <w:tc>
          <w:tcPr>
            <w:tcW w:w="1277" w:type="dxa"/>
          </w:tcPr>
          <w:p w:rsidR="007C5447" w:rsidRDefault="00F6308C">
            <w:pPr>
              <w:pStyle w:val="TableParagraph"/>
              <w:spacing w:before="47"/>
              <w:ind w:right="123"/>
              <w:rPr>
                <w:sz w:val="18"/>
              </w:rPr>
            </w:pPr>
            <w:r>
              <w:rPr>
                <w:w w:val="99"/>
                <w:sz w:val="18"/>
              </w:rPr>
              <w:t>-</w:t>
            </w:r>
          </w:p>
        </w:tc>
        <w:tc>
          <w:tcPr>
            <w:tcW w:w="1134" w:type="dxa"/>
          </w:tcPr>
          <w:p w:rsidR="007C5447" w:rsidRDefault="00F6308C">
            <w:pPr>
              <w:pStyle w:val="TableParagraph"/>
              <w:spacing w:before="47"/>
              <w:ind w:right="124"/>
              <w:rPr>
                <w:sz w:val="18"/>
              </w:rPr>
            </w:pPr>
            <w:r>
              <w:rPr>
                <w:w w:val="99"/>
                <w:sz w:val="18"/>
              </w:rPr>
              <w:t>-</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5"/>
              <w:rPr>
                <w:sz w:val="18"/>
              </w:rPr>
            </w:pPr>
            <w:r>
              <w:rPr>
                <w:w w:val="99"/>
                <w:sz w:val="18"/>
              </w:rPr>
              <w:t>-</w:t>
            </w:r>
          </w:p>
        </w:tc>
        <w:tc>
          <w:tcPr>
            <w:tcW w:w="1542" w:type="dxa"/>
          </w:tcPr>
          <w:p w:rsidR="007C5447" w:rsidRDefault="00F6308C">
            <w:pPr>
              <w:pStyle w:val="TableParagraph"/>
              <w:spacing w:before="47"/>
              <w:ind w:right="125"/>
              <w:rPr>
                <w:sz w:val="18"/>
              </w:rPr>
            </w:pPr>
            <w:r>
              <w:rPr>
                <w:sz w:val="18"/>
              </w:rPr>
              <w:t>22.26</w:t>
            </w:r>
          </w:p>
        </w:tc>
      </w:tr>
      <w:tr w:rsidR="007C5447">
        <w:trPr>
          <w:trHeight w:val="299"/>
        </w:trPr>
        <w:tc>
          <w:tcPr>
            <w:tcW w:w="710" w:type="dxa"/>
          </w:tcPr>
          <w:p w:rsidR="007C5447" w:rsidRDefault="00F6308C">
            <w:pPr>
              <w:pStyle w:val="TableParagraph"/>
              <w:spacing w:before="45"/>
              <w:ind w:left="4"/>
              <w:jc w:val="center"/>
              <w:rPr>
                <w:sz w:val="18"/>
              </w:rPr>
            </w:pPr>
            <w:r>
              <w:rPr>
                <w:sz w:val="18"/>
              </w:rPr>
              <w:t>2</w:t>
            </w:r>
          </w:p>
        </w:tc>
        <w:tc>
          <w:tcPr>
            <w:tcW w:w="1985" w:type="dxa"/>
          </w:tcPr>
          <w:p w:rsidR="007C5447" w:rsidRDefault="00F6308C">
            <w:pPr>
              <w:pStyle w:val="TableParagraph"/>
              <w:spacing w:before="45"/>
              <w:ind w:left="108"/>
              <w:jc w:val="left"/>
              <w:rPr>
                <w:sz w:val="18"/>
              </w:rPr>
            </w:pPr>
            <w:r>
              <w:rPr>
                <w:sz w:val="18"/>
              </w:rPr>
              <w:t>Tuticorin TPS</w:t>
            </w:r>
          </w:p>
        </w:tc>
        <w:tc>
          <w:tcPr>
            <w:tcW w:w="1274" w:type="dxa"/>
          </w:tcPr>
          <w:p w:rsidR="007C5447" w:rsidRDefault="00F6308C">
            <w:pPr>
              <w:pStyle w:val="TableParagraph"/>
              <w:spacing w:before="45"/>
              <w:ind w:right="123"/>
              <w:rPr>
                <w:sz w:val="18"/>
              </w:rPr>
            </w:pPr>
            <w:r>
              <w:rPr>
                <w:sz w:val="18"/>
              </w:rPr>
              <w:t>164.61</w:t>
            </w:r>
          </w:p>
        </w:tc>
        <w:tc>
          <w:tcPr>
            <w:tcW w:w="1277" w:type="dxa"/>
          </w:tcPr>
          <w:p w:rsidR="007C5447" w:rsidRDefault="00F6308C">
            <w:pPr>
              <w:pStyle w:val="TableParagraph"/>
              <w:spacing w:before="45"/>
              <w:ind w:right="127"/>
              <w:rPr>
                <w:sz w:val="18"/>
              </w:rPr>
            </w:pPr>
            <w:r>
              <w:rPr>
                <w:sz w:val="18"/>
              </w:rPr>
              <w:t>319.14</w:t>
            </w:r>
          </w:p>
        </w:tc>
        <w:tc>
          <w:tcPr>
            <w:tcW w:w="991" w:type="dxa"/>
          </w:tcPr>
          <w:p w:rsidR="007C5447" w:rsidRDefault="00F6308C">
            <w:pPr>
              <w:pStyle w:val="TableParagraph"/>
              <w:spacing w:before="45"/>
              <w:ind w:right="125"/>
              <w:rPr>
                <w:sz w:val="18"/>
              </w:rPr>
            </w:pPr>
            <w:r>
              <w:rPr>
                <w:sz w:val="18"/>
              </w:rPr>
              <w:t>120.49</w:t>
            </w:r>
          </w:p>
        </w:tc>
        <w:tc>
          <w:tcPr>
            <w:tcW w:w="1135" w:type="dxa"/>
          </w:tcPr>
          <w:p w:rsidR="007C5447" w:rsidRDefault="00F6308C">
            <w:pPr>
              <w:pStyle w:val="TableParagraph"/>
              <w:spacing w:before="45"/>
              <w:ind w:right="127"/>
              <w:rPr>
                <w:sz w:val="18"/>
              </w:rPr>
            </w:pPr>
            <w:r>
              <w:rPr>
                <w:sz w:val="18"/>
              </w:rPr>
              <w:t>118.13</w:t>
            </w:r>
          </w:p>
        </w:tc>
        <w:tc>
          <w:tcPr>
            <w:tcW w:w="1277" w:type="dxa"/>
          </w:tcPr>
          <w:p w:rsidR="007C5447" w:rsidRDefault="00F6308C">
            <w:pPr>
              <w:pStyle w:val="TableParagraph"/>
              <w:spacing w:before="45"/>
              <w:ind w:right="125"/>
              <w:rPr>
                <w:sz w:val="18"/>
              </w:rPr>
            </w:pPr>
            <w:r>
              <w:rPr>
                <w:sz w:val="18"/>
              </w:rPr>
              <w:t>379.23</w:t>
            </w:r>
          </w:p>
        </w:tc>
        <w:tc>
          <w:tcPr>
            <w:tcW w:w="1133" w:type="dxa"/>
          </w:tcPr>
          <w:p w:rsidR="007C5447" w:rsidRDefault="00F6308C">
            <w:pPr>
              <w:pStyle w:val="TableParagraph"/>
              <w:spacing w:before="45"/>
              <w:ind w:right="124"/>
              <w:rPr>
                <w:sz w:val="18"/>
              </w:rPr>
            </w:pPr>
            <w:r>
              <w:rPr>
                <w:sz w:val="18"/>
              </w:rPr>
              <w:t>0.86</w:t>
            </w:r>
          </w:p>
        </w:tc>
        <w:tc>
          <w:tcPr>
            <w:tcW w:w="1277" w:type="dxa"/>
          </w:tcPr>
          <w:p w:rsidR="007C5447" w:rsidRDefault="00F6308C">
            <w:pPr>
              <w:pStyle w:val="TableParagraph"/>
              <w:spacing w:before="45"/>
              <w:ind w:right="125"/>
              <w:rPr>
                <w:sz w:val="18"/>
              </w:rPr>
            </w:pPr>
            <w:r>
              <w:rPr>
                <w:sz w:val="18"/>
              </w:rPr>
              <w:t>9.57</w:t>
            </w:r>
          </w:p>
        </w:tc>
        <w:tc>
          <w:tcPr>
            <w:tcW w:w="1134" w:type="dxa"/>
          </w:tcPr>
          <w:p w:rsidR="007C5447" w:rsidRDefault="00F6308C">
            <w:pPr>
              <w:pStyle w:val="TableParagraph"/>
              <w:spacing w:before="45"/>
              <w:ind w:right="123"/>
              <w:rPr>
                <w:sz w:val="18"/>
              </w:rPr>
            </w:pPr>
            <w:r>
              <w:rPr>
                <w:sz w:val="18"/>
              </w:rPr>
              <w:t>36.40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124"/>
              <w:rPr>
                <w:sz w:val="18"/>
              </w:rPr>
            </w:pPr>
            <w:r>
              <w:rPr>
                <w:sz w:val="18"/>
              </w:rPr>
              <w:t>13.15</w:t>
            </w:r>
          </w:p>
        </w:tc>
        <w:tc>
          <w:tcPr>
            <w:tcW w:w="1542" w:type="dxa"/>
          </w:tcPr>
          <w:p w:rsidR="007C5447" w:rsidRDefault="00F6308C">
            <w:pPr>
              <w:pStyle w:val="TableParagraph"/>
              <w:spacing w:before="45"/>
              <w:ind w:right="128"/>
              <w:rPr>
                <w:sz w:val="18"/>
              </w:rPr>
            </w:pPr>
            <w:r>
              <w:rPr>
                <w:sz w:val="18"/>
              </w:rPr>
              <w:t>1,088.78</w:t>
            </w:r>
          </w:p>
        </w:tc>
      </w:tr>
      <w:tr w:rsidR="007C5447">
        <w:trPr>
          <w:trHeight w:val="300"/>
        </w:trPr>
        <w:tc>
          <w:tcPr>
            <w:tcW w:w="710" w:type="dxa"/>
          </w:tcPr>
          <w:p w:rsidR="007C5447" w:rsidRDefault="00F6308C">
            <w:pPr>
              <w:pStyle w:val="TableParagraph"/>
              <w:spacing w:before="46"/>
              <w:ind w:left="4"/>
              <w:jc w:val="center"/>
              <w:rPr>
                <w:sz w:val="18"/>
              </w:rPr>
            </w:pPr>
            <w:r>
              <w:rPr>
                <w:sz w:val="18"/>
              </w:rPr>
              <w:t>3</w:t>
            </w:r>
          </w:p>
        </w:tc>
        <w:tc>
          <w:tcPr>
            <w:tcW w:w="1985" w:type="dxa"/>
          </w:tcPr>
          <w:p w:rsidR="007C5447" w:rsidRDefault="00F6308C">
            <w:pPr>
              <w:pStyle w:val="TableParagraph"/>
              <w:spacing w:before="46"/>
              <w:ind w:left="108"/>
              <w:jc w:val="left"/>
              <w:rPr>
                <w:sz w:val="18"/>
              </w:rPr>
            </w:pPr>
            <w:r>
              <w:rPr>
                <w:sz w:val="18"/>
              </w:rPr>
              <w:t>Mettur TPS</w:t>
            </w:r>
          </w:p>
        </w:tc>
        <w:tc>
          <w:tcPr>
            <w:tcW w:w="1274" w:type="dxa"/>
          </w:tcPr>
          <w:p w:rsidR="007C5447" w:rsidRDefault="00F6308C">
            <w:pPr>
              <w:pStyle w:val="TableParagraph"/>
              <w:spacing w:before="46"/>
              <w:ind w:right="123"/>
              <w:rPr>
                <w:sz w:val="18"/>
              </w:rPr>
            </w:pPr>
            <w:r>
              <w:rPr>
                <w:sz w:val="18"/>
              </w:rPr>
              <w:t>102.21</w:t>
            </w:r>
          </w:p>
        </w:tc>
        <w:tc>
          <w:tcPr>
            <w:tcW w:w="1277" w:type="dxa"/>
          </w:tcPr>
          <w:p w:rsidR="007C5447" w:rsidRDefault="00F6308C">
            <w:pPr>
              <w:pStyle w:val="TableParagraph"/>
              <w:spacing w:before="46"/>
              <w:ind w:right="127"/>
              <w:rPr>
                <w:sz w:val="18"/>
              </w:rPr>
            </w:pPr>
            <w:r>
              <w:rPr>
                <w:sz w:val="18"/>
              </w:rPr>
              <w:t>188.41</w:t>
            </w:r>
          </w:p>
        </w:tc>
        <w:tc>
          <w:tcPr>
            <w:tcW w:w="991" w:type="dxa"/>
          </w:tcPr>
          <w:p w:rsidR="007C5447" w:rsidRDefault="00F6308C">
            <w:pPr>
              <w:pStyle w:val="TableParagraph"/>
              <w:spacing w:before="46"/>
              <w:ind w:right="122"/>
              <w:rPr>
                <w:sz w:val="18"/>
              </w:rPr>
            </w:pPr>
            <w:r>
              <w:rPr>
                <w:sz w:val="18"/>
              </w:rPr>
              <w:t>70.02</w:t>
            </w:r>
          </w:p>
        </w:tc>
        <w:tc>
          <w:tcPr>
            <w:tcW w:w="1135" w:type="dxa"/>
          </w:tcPr>
          <w:p w:rsidR="007C5447" w:rsidRDefault="00F6308C">
            <w:pPr>
              <w:pStyle w:val="TableParagraph"/>
              <w:spacing w:before="46"/>
              <w:ind w:right="124"/>
              <w:rPr>
                <w:sz w:val="18"/>
              </w:rPr>
            </w:pPr>
            <w:r>
              <w:rPr>
                <w:sz w:val="18"/>
              </w:rPr>
              <w:t>94.59</w:t>
            </w:r>
          </w:p>
        </w:tc>
        <w:tc>
          <w:tcPr>
            <w:tcW w:w="1277" w:type="dxa"/>
          </w:tcPr>
          <w:p w:rsidR="007C5447" w:rsidRDefault="00F6308C">
            <w:pPr>
              <w:pStyle w:val="TableParagraph"/>
              <w:spacing w:before="46"/>
              <w:ind w:right="125"/>
              <w:rPr>
                <w:sz w:val="18"/>
              </w:rPr>
            </w:pPr>
            <w:r>
              <w:rPr>
                <w:sz w:val="18"/>
              </w:rPr>
              <w:t>298.42</w:t>
            </w:r>
          </w:p>
        </w:tc>
        <w:tc>
          <w:tcPr>
            <w:tcW w:w="1133" w:type="dxa"/>
          </w:tcPr>
          <w:p w:rsidR="007C5447" w:rsidRDefault="00F6308C">
            <w:pPr>
              <w:pStyle w:val="TableParagraph"/>
              <w:spacing w:before="46"/>
              <w:ind w:right="124"/>
              <w:rPr>
                <w:sz w:val="18"/>
              </w:rPr>
            </w:pPr>
            <w:r>
              <w:rPr>
                <w:sz w:val="18"/>
              </w:rPr>
              <w:t>1.13</w:t>
            </w:r>
          </w:p>
        </w:tc>
        <w:tc>
          <w:tcPr>
            <w:tcW w:w="1277" w:type="dxa"/>
          </w:tcPr>
          <w:p w:rsidR="007C5447" w:rsidRDefault="00F6308C">
            <w:pPr>
              <w:pStyle w:val="TableParagraph"/>
              <w:spacing w:before="46"/>
              <w:ind w:right="125"/>
              <w:rPr>
                <w:sz w:val="18"/>
              </w:rPr>
            </w:pPr>
            <w:r>
              <w:rPr>
                <w:sz w:val="18"/>
              </w:rPr>
              <w:t>3.95</w:t>
            </w:r>
          </w:p>
        </w:tc>
        <w:tc>
          <w:tcPr>
            <w:tcW w:w="1134" w:type="dxa"/>
          </w:tcPr>
          <w:p w:rsidR="007C5447" w:rsidRDefault="00F6308C">
            <w:pPr>
              <w:pStyle w:val="TableParagraph"/>
              <w:spacing w:before="46"/>
              <w:ind w:right="123"/>
              <w:rPr>
                <w:sz w:val="18"/>
              </w:rPr>
            </w:pPr>
            <w:r>
              <w:rPr>
                <w:sz w:val="18"/>
              </w:rPr>
              <w:t>32.36</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6"/>
              <w:ind w:right="124"/>
              <w:rPr>
                <w:sz w:val="18"/>
              </w:rPr>
            </w:pPr>
            <w:r>
              <w:rPr>
                <w:sz w:val="18"/>
              </w:rPr>
              <w:t>11.18</w:t>
            </w:r>
          </w:p>
        </w:tc>
        <w:tc>
          <w:tcPr>
            <w:tcW w:w="1542" w:type="dxa"/>
          </w:tcPr>
          <w:p w:rsidR="007C5447" w:rsidRDefault="00F6308C">
            <w:pPr>
              <w:pStyle w:val="TableParagraph"/>
              <w:spacing w:before="46"/>
              <w:ind w:right="128"/>
              <w:rPr>
                <w:sz w:val="18"/>
              </w:rPr>
            </w:pPr>
            <w:r>
              <w:rPr>
                <w:sz w:val="18"/>
              </w:rPr>
              <w:t>737.55</w:t>
            </w:r>
          </w:p>
        </w:tc>
      </w:tr>
      <w:tr w:rsidR="007C5447">
        <w:trPr>
          <w:trHeight w:val="299"/>
        </w:trPr>
        <w:tc>
          <w:tcPr>
            <w:tcW w:w="710" w:type="dxa"/>
          </w:tcPr>
          <w:p w:rsidR="007C5447" w:rsidRDefault="00F6308C">
            <w:pPr>
              <w:pStyle w:val="TableParagraph"/>
              <w:spacing w:before="45"/>
              <w:ind w:left="4"/>
              <w:jc w:val="center"/>
              <w:rPr>
                <w:sz w:val="18"/>
              </w:rPr>
            </w:pPr>
            <w:r>
              <w:rPr>
                <w:sz w:val="18"/>
              </w:rPr>
              <w:t>4</w:t>
            </w:r>
          </w:p>
        </w:tc>
        <w:tc>
          <w:tcPr>
            <w:tcW w:w="1985" w:type="dxa"/>
          </w:tcPr>
          <w:p w:rsidR="007C5447" w:rsidRDefault="00F6308C">
            <w:pPr>
              <w:pStyle w:val="TableParagraph"/>
              <w:spacing w:before="45"/>
              <w:ind w:left="108"/>
              <w:jc w:val="left"/>
              <w:rPr>
                <w:sz w:val="18"/>
              </w:rPr>
            </w:pPr>
            <w:r>
              <w:rPr>
                <w:sz w:val="18"/>
              </w:rPr>
              <w:t>North Chennai TPS</w:t>
            </w:r>
          </w:p>
        </w:tc>
        <w:tc>
          <w:tcPr>
            <w:tcW w:w="1274" w:type="dxa"/>
          </w:tcPr>
          <w:p w:rsidR="007C5447" w:rsidRDefault="00F6308C">
            <w:pPr>
              <w:pStyle w:val="TableParagraph"/>
              <w:spacing w:before="45"/>
              <w:ind w:right="123"/>
              <w:rPr>
                <w:sz w:val="18"/>
              </w:rPr>
            </w:pPr>
            <w:r>
              <w:rPr>
                <w:sz w:val="18"/>
              </w:rPr>
              <w:t>195.84</w:t>
            </w:r>
          </w:p>
        </w:tc>
        <w:tc>
          <w:tcPr>
            <w:tcW w:w="1277" w:type="dxa"/>
          </w:tcPr>
          <w:p w:rsidR="007C5447" w:rsidRDefault="00F6308C">
            <w:pPr>
              <w:pStyle w:val="TableParagraph"/>
              <w:spacing w:before="45"/>
              <w:ind w:right="127"/>
              <w:rPr>
                <w:sz w:val="18"/>
              </w:rPr>
            </w:pPr>
            <w:r>
              <w:rPr>
                <w:sz w:val="18"/>
              </w:rPr>
              <w:t>455.07</w:t>
            </w:r>
          </w:p>
        </w:tc>
        <w:tc>
          <w:tcPr>
            <w:tcW w:w="991" w:type="dxa"/>
          </w:tcPr>
          <w:p w:rsidR="007C5447" w:rsidRDefault="00F6308C">
            <w:pPr>
              <w:pStyle w:val="TableParagraph"/>
              <w:spacing w:before="45"/>
              <w:ind w:right="125"/>
              <w:rPr>
                <w:sz w:val="18"/>
              </w:rPr>
            </w:pPr>
            <w:r>
              <w:rPr>
                <w:sz w:val="18"/>
              </w:rPr>
              <w:t>141.52</w:t>
            </w:r>
          </w:p>
        </w:tc>
        <w:tc>
          <w:tcPr>
            <w:tcW w:w="1135" w:type="dxa"/>
          </w:tcPr>
          <w:p w:rsidR="007C5447" w:rsidRDefault="00F6308C">
            <w:pPr>
              <w:pStyle w:val="TableParagraph"/>
              <w:spacing w:before="45"/>
              <w:ind w:right="124"/>
              <w:rPr>
                <w:sz w:val="18"/>
              </w:rPr>
            </w:pPr>
            <w:r>
              <w:rPr>
                <w:sz w:val="18"/>
              </w:rPr>
              <w:t>72.53</w:t>
            </w:r>
          </w:p>
        </w:tc>
        <w:tc>
          <w:tcPr>
            <w:tcW w:w="1277" w:type="dxa"/>
          </w:tcPr>
          <w:p w:rsidR="007C5447" w:rsidRDefault="00F6308C">
            <w:pPr>
              <w:pStyle w:val="TableParagraph"/>
              <w:spacing w:before="45"/>
              <w:ind w:right="125"/>
              <w:rPr>
                <w:sz w:val="18"/>
              </w:rPr>
            </w:pPr>
            <w:r>
              <w:rPr>
                <w:sz w:val="18"/>
              </w:rPr>
              <w:t>270.15</w:t>
            </w:r>
          </w:p>
        </w:tc>
        <w:tc>
          <w:tcPr>
            <w:tcW w:w="1133" w:type="dxa"/>
          </w:tcPr>
          <w:p w:rsidR="007C5447" w:rsidRDefault="00F6308C">
            <w:pPr>
              <w:pStyle w:val="TableParagraph"/>
              <w:spacing w:before="45"/>
              <w:ind w:right="124"/>
              <w:rPr>
                <w:sz w:val="18"/>
              </w:rPr>
            </w:pPr>
            <w:r>
              <w:rPr>
                <w:sz w:val="18"/>
              </w:rPr>
              <w:t>0.25</w:t>
            </w:r>
          </w:p>
        </w:tc>
        <w:tc>
          <w:tcPr>
            <w:tcW w:w="1277" w:type="dxa"/>
          </w:tcPr>
          <w:p w:rsidR="007C5447" w:rsidRDefault="00F6308C">
            <w:pPr>
              <w:pStyle w:val="TableParagraph"/>
              <w:spacing w:before="45"/>
              <w:ind w:right="122"/>
              <w:rPr>
                <w:sz w:val="18"/>
              </w:rPr>
            </w:pPr>
            <w:r>
              <w:rPr>
                <w:sz w:val="18"/>
              </w:rPr>
              <w:t>55.01</w:t>
            </w:r>
          </w:p>
        </w:tc>
        <w:tc>
          <w:tcPr>
            <w:tcW w:w="1134" w:type="dxa"/>
          </w:tcPr>
          <w:p w:rsidR="007C5447" w:rsidRDefault="00F6308C">
            <w:pPr>
              <w:pStyle w:val="TableParagraph"/>
              <w:spacing w:before="45"/>
              <w:ind w:right="123"/>
              <w:rPr>
                <w:sz w:val="18"/>
              </w:rPr>
            </w:pPr>
            <w:r>
              <w:rPr>
                <w:sz w:val="18"/>
              </w:rPr>
              <w:t>29.11</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127"/>
              <w:rPr>
                <w:sz w:val="18"/>
              </w:rPr>
            </w:pPr>
            <w:r>
              <w:rPr>
                <w:sz w:val="18"/>
              </w:rPr>
              <w:t>6.96</w:t>
            </w:r>
          </w:p>
        </w:tc>
        <w:tc>
          <w:tcPr>
            <w:tcW w:w="1542" w:type="dxa"/>
          </w:tcPr>
          <w:p w:rsidR="007C5447" w:rsidRDefault="00F6308C">
            <w:pPr>
              <w:pStyle w:val="TableParagraph"/>
              <w:spacing w:before="45"/>
              <w:ind w:right="128"/>
              <w:rPr>
                <w:sz w:val="18"/>
              </w:rPr>
            </w:pPr>
            <w:r>
              <w:rPr>
                <w:sz w:val="18"/>
              </w:rPr>
              <w:t>1,168.22</w:t>
            </w:r>
          </w:p>
        </w:tc>
      </w:tr>
      <w:tr w:rsidR="007C5447">
        <w:trPr>
          <w:trHeight w:val="299"/>
        </w:trPr>
        <w:tc>
          <w:tcPr>
            <w:tcW w:w="710" w:type="dxa"/>
          </w:tcPr>
          <w:p w:rsidR="007C5447" w:rsidRDefault="00F6308C">
            <w:pPr>
              <w:pStyle w:val="TableParagraph"/>
              <w:spacing w:before="47"/>
              <w:ind w:left="4"/>
              <w:jc w:val="center"/>
              <w:rPr>
                <w:sz w:val="18"/>
              </w:rPr>
            </w:pPr>
            <w:r>
              <w:rPr>
                <w:sz w:val="18"/>
              </w:rPr>
              <w:t>5</w:t>
            </w:r>
          </w:p>
        </w:tc>
        <w:tc>
          <w:tcPr>
            <w:tcW w:w="1985" w:type="dxa"/>
          </w:tcPr>
          <w:p w:rsidR="007C5447" w:rsidRDefault="00F6308C">
            <w:pPr>
              <w:pStyle w:val="TableParagraph"/>
              <w:spacing w:before="47"/>
              <w:ind w:left="108"/>
              <w:jc w:val="left"/>
              <w:rPr>
                <w:sz w:val="18"/>
              </w:rPr>
            </w:pPr>
            <w:r>
              <w:rPr>
                <w:sz w:val="18"/>
              </w:rPr>
              <w:t>Mettur TPS Stage III</w:t>
            </w:r>
          </w:p>
        </w:tc>
        <w:tc>
          <w:tcPr>
            <w:tcW w:w="1274" w:type="dxa"/>
          </w:tcPr>
          <w:p w:rsidR="007C5447" w:rsidRDefault="00F6308C">
            <w:pPr>
              <w:pStyle w:val="TableParagraph"/>
              <w:spacing w:before="47"/>
              <w:ind w:right="123"/>
              <w:rPr>
                <w:sz w:val="18"/>
              </w:rPr>
            </w:pPr>
            <w:r>
              <w:rPr>
                <w:sz w:val="18"/>
              </w:rPr>
              <w:t>197.85</w:t>
            </w:r>
          </w:p>
        </w:tc>
        <w:tc>
          <w:tcPr>
            <w:tcW w:w="1277" w:type="dxa"/>
          </w:tcPr>
          <w:p w:rsidR="007C5447" w:rsidRDefault="00F6308C">
            <w:pPr>
              <w:pStyle w:val="TableParagraph"/>
              <w:spacing w:before="47"/>
              <w:ind w:right="127"/>
              <w:rPr>
                <w:sz w:val="18"/>
              </w:rPr>
            </w:pPr>
            <w:r>
              <w:rPr>
                <w:sz w:val="18"/>
              </w:rPr>
              <w:t>252.60</w:t>
            </w:r>
          </w:p>
        </w:tc>
        <w:tc>
          <w:tcPr>
            <w:tcW w:w="991" w:type="dxa"/>
          </w:tcPr>
          <w:p w:rsidR="007C5447" w:rsidRDefault="00F6308C">
            <w:pPr>
              <w:pStyle w:val="TableParagraph"/>
              <w:spacing w:before="47"/>
              <w:ind w:right="125"/>
              <w:rPr>
                <w:sz w:val="18"/>
              </w:rPr>
            </w:pPr>
            <w:r>
              <w:rPr>
                <w:sz w:val="18"/>
              </w:rPr>
              <w:t>171.51</w:t>
            </w:r>
          </w:p>
        </w:tc>
        <w:tc>
          <w:tcPr>
            <w:tcW w:w="1135" w:type="dxa"/>
          </w:tcPr>
          <w:p w:rsidR="007C5447" w:rsidRDefault="00F6308C">
            <w:pPr>
              <w:pStyle w:val="TableParagraph"/>
              <w:spacing w:before="47"/>
              <w:ind w:right="124"/>
              <w:rPr>
                <w:sz w:val="18"/>
              </w:rPr>
            </w:pPr>
            <w:r>
              <w:rPr>
                <w:sz w:val="18"/>
              </w:rPr>
              <w:t>74.10</w:t>
            </w:r>
          </w:p>
        </w:tc>
        <w:tc>
          <w:tcPr>
            <w:tcW w:w="1277" w:type="dxa"/>
          </w:tcPr>
          <w:p w:rsidR="007C5447" w:rsidRDefault="00F6308C">
            <w:pPr>
              <w:pStyle w:val="TableParagraph"/>
              <w:spacing w:before="47"/>
              <w:ind w:right="125"/>
              <w:rPr>
                <w:sz w:val="18"/>
              </w:rPr>
            </w:pPr>
            <w:r>
              <w:rPr>
                <w:sz w:val="18"/>
              </w:rPr>
              <w:t>116.01</w:t>
            </w:r>
          </w:p>
        </w:tc>
        <w:tc>
          <w:tcPr>
            <w:tcW w:w="1133" w:type="dxa"/>
          </w:tcPr>
          <w:p w:rsidR="007C5447" w:rsidRDefault="00F6308C">
            <w:pPr>
              <w:pStyle w:val="TableParagraph"/>
              <w:spacing w:before="47"/>
              <w:ind w:right="124"/>
              <w:rPr>
                <w:sz w:val="18"/>
              </w:rPr>
            </w:pPr>
            <w:r>
              <w:rPr>
                <w:sz w:val="18"/>
              </w:rPr>
              <w:t>0.99</w:t>
            </w:r>
          </w:p>
        </w:tc>
        <w:tc>
          <w:tcPr>
            <w:tcW w:w="1277" w:type="dxa"/>
          </w:tcPr>
          <w:p w:rsidR="007C5447" w:rsidRDefault="00F6308C">
            <w:pPr>
              <w:pStyle w:val="TableParagraph"/>
              <w:spacing w:before="47"/>
              <w:ind w:right="125"/>
              <w:rPr>
                <w:sz w:val="18"/>
              </w:rPr>
            </w:pPr>
            <w:r>
              <w:rPr>
                <w:sz w:val="18"/>
              </w:rPr>
              <w:t>1.57</w:t>
            </w:r>
          </w:p>
        </w:tc>
        <w:tc>
          <w:tcPr>
            <w:tcW w:w="1134" w:type="dxa"/>
          </w:tcPr>
          <w:p w:rsidR="007C5447" w:rsidRDefault="00F6308C">
            <w:pPr>
              <w:pStyle w:val="TableParagraph"/>
              <w:spacing w:before="47"/>
              <w:ind w:right="123"/>
              <w:rPr>
                <w:sz w:val="18"/>
              </w:rPr>
            </w:pPr>
            <w:r>
              <w:rPr>
                <w:sz w:val="18"/>
              </w:rPr>
              <w:t>34.50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7"/>
              <w:rPr>
                <w:sz w:val="18"/>
              </w:rPr>
            </w:pPr>
            <w:r>
              <w:rPr>
                <w:sz w:val="18"/>
              </w:rPr>
              <w:t>3.09</w:t>
            </w:r>
          </w:p>
        </w:tc>
        <w:tc>
          <w:tcPr>
            <w:tcW w:w="1542" w:type="dxa"/>
          </w:tcPr>
          <w:p w:rsidR="007C5447" w:rsidRDefault="00F6308C">
            <w:pPr>
              <w:pStyle w:val="TableParagraph"/>
              <w:spacing w:before="47"/>
              <w:ind w:right="128"/>
              <w:rPr>
                <w:sz w:val="18"/>
              </w:rPr>
            </w:pPr>
            <w:r>
              <w:rPr>
                <w:sz w:val="18"/>
              </w:rPr>
              <w:t>783.22</w:t>
            </w:r>
          </w:p>
        </w:tc>
      </w:tr>
      <w:tr w:rsidR="007C5447">
        <w:trPr>
          <w:trHeight w:val="299"/>
        </w:trPr>
        <w:tc>
          <w:tcPr>
            <w:tcW w:w="710" w:type="dxa"/>
          </w:tcPr>
          <w:p w:rsidR="007C5447" w:rsidRDefault="00F6308C">
            <w:pPr>
              <w:pStyle w:val="TableParagraph"/>
              <w:spacing w:before="47"/>
              <w:ind w:left="4"/>
              <w:jc w:val="center"/>
              <w:rPr>
                <w:sz w:val="18"/>
              </w:rPr>
            </w:pPr>
            <w:r>
              <w:rPr>
                <w:sz w:val="18"/>
              </w:rPr>
              <w:t>6</w:t>
            </w:r>
          </w:p>
        </w:tc>
        <w:tc>
          <w:tcPr>
            <w:tcW w:w="1985" w:type="dxa"/>
          </w:tcPr>
          <w:p w:rsidR="007C5447" w:rsidRDefault="00F6308C">
            <w:pPr>
              <w:pStyle w:val="TableParagraph"/>
              <w:spacing w:before="47"/>
              <w:ind w:left="108"/>
              <w:jc w:val="left"/>
              <w:rPr>
                <w:sz w:val="18"/>
              </w:rPr>
            </w:pPr>
            <w:r>
              <w:rPr>
                <w:sz w:val="18"/>
              </w:rPr>
              <w:t>North Chennai TPS II</w:t>
            </w:r>
          </w:p>
        </w:tc>
        <w:tc>
          <w:tcPr>
            <w:tcW w:w="1274" w:type="dxa"/>
          </w:tcPr>
          <w:p w:rsidR="007C5447" w:rsidRDefault="00F6308C">
            <w:pPr>
              <w:pStyle w:val="TableParagraph"/>
              <w:spacing w:before="47"/>
              <w:ind w:right="123"/>
              <w:rPr>
                <w:sz w:val="18"/>
              </w:rPr>
            </w:pPr>
            <w:r>
              <w:rPr>
                <w:sz w:val="18"/>
              </w:rPr>
              <w:t>404.94</w:t>
            </w:r>
          </w:p>
        </w:tc>
        <w:tc>
          <w:tcPr>
            <w:tcW w:w="1277" w:type="dxa"/>
          </w:tcPr>
          <w:p w:rsidR="007C5447" w:rsidRDefault="00F6308C">
            <w:pPr>
              <w:pStyle w:val="TableParagraph"/>
              <w:spacing w:before="47"/>
              <w:ind w:right="127"/>
              <w:rPr>
                <w:sz w:val="18"/>
              </w:rPr>
            </w:pPr>
            <w:r>
              <w:rPr>
                <w:sz w:val="18"/>
              </w:rPr>
              <w:t>539.80</w:t>
            </w:r>
          </w:p>
        </w:tc>
        <w:tc>
          <w:tcPr>
            <w:tcW w:w="991" w:type="dxa"/>
          </w:tcPr>
          <w:p w:rsidR="007C5447" w:rsidRDefault="00F6308C">
            <w:pPr>
              <w:pStyle w:val="TableParagraph"/>
              <w:spacing w:before="47"/>
              <w:ind w:right="123"/>
              <w:rPr>
                <w:sz w:val="18"/>
              </w:rPr>
            </w:pPr>
            <w:r>
              <w:rPr>
                <w:w w:val="99"/>
                <w:sz w:val="18"/>
              </w:rPr>
              <w:t>-</w:t>
            </w:r>
          </w:p>
        </w:tc>
        <w:tc>
          <w:tcPr>
            <w:tcW w:w="1135" w:type="dxa"/>
          </w:tcPr>
          <w:p w:rsidR="007C5447" w:rsidRDefault="00F6308C">
            <w:pPr>
              <w:pStyle w:val="TableParagraph"/>
              <w:spacing w:before="47"/>
              <w:ind w:right="127"/>
              <w:rPr>
                <w:sz w:val="18"/>
              </w:rPr>
            </w:pPr>
            <w:r>
              <w:rPr>
                <w:sz w:val="18"/>
              </w:rPr>
              <w:t>117.56</w:t>
            </w:r>
          </w:p>
        </w:tc>
        <w:tc>
          <w:tcPr>
            <w:tcW w:w="1277" w:type="dxa"/>
          </w:tcPr>
          <w:p w:rsidR="007C5447" w:rsidRDefault="00F6308C">
            <w:pPr>
              <w:pStyle w:val="TableParagraph"/>
              <w:spacing w:before="47"/>
              <w:ind w:right="125"/>
              <w:rPr>
                <w:sz w:val="18"/>
              </w:rPr>
            </w:pPr>
            <w:r>
              <w:rPr>
                <w:sz w:val="18"/>
              </w:rPr>
              <w:t>199.52</w:t>
            </w:r>
          </w:p>
        </w:tc>
        <w:tc>
          <w:tcPr>
            <w:tcW w:w="1133" w:type="dxa"/>
          </w:tcPr>
          <w:p w:rsidR="007C5447" w:rsidRDefault="00F6308C">
            <w:pPr>
              <w:pStyle w:val="TableParagraph"/>
              <w:spacing w:before="47"/>
              <w:ind w:right="123"/>
              <w:rPr>
                <w:sz w:val="18"/>
              </w:rPr>
            </w:pPr>
            <w:r>
              <w:rPr>
                <w:w w:val="99"/>
                <w:sz w:val="18"/>
              </w:rPr>
              <w:t>-</w:t>
            </w:r>
          </w:p>
        </w:tc>
        <w:tc>
          <w:tcPr>
            <w:tcW w:w="1277" w:type="dxa"/>
          </w:tcPr>
          <w:p w:rsidR="007C5447" w:rsidRDefault="00F6308C">
            <w:pPr>
              <w:pStyle w:val="TableParagraph"/>
              <w:spacing w:before="47"/>
              <w:ind w:right="122"/>
              <w:rPr>
                <w:sz w:val="18"/>
              </w:rPr>
            </w:pPr>
            <w:r>
              <w:rPr>
                <w:sz w:val="18"/>
              </w:rPr>
              <w:t>15.85</w:t>
            </w:r>
          </w:p>
        </w:tc>
        <w:tc>
          <w:tcPr>
            <w:tcW w:w="1134" w:type="dxa"/>
          </w:tcPr>
          <w:p w:rsidR="007C5447" w:rsidRDefault="00F6308C">
            <w:pPr>
              <w:pStyle w:val="TableParagraph"/>
              <w:spacing w:before="47"/>
              <w:ind w:right="126"/>
              <w:rPr>
                <w:sz w:val="18"/>
              </w:rPr>
            </w:pPr>
            <w:r>
              <w:rPr>
                <w:sz w:val="18"/>
              </w:rPr>
              <w:t>9.78</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7"/>
              <w:rPr>
                <w:sz w:val="18"/>
              </w:rPr>
            </w:pPr>
            <w:r>
              <w:rPr>
                <w:sz w:val="18"/>
              </w:rPr>
              <w:t>2.60</w:t>
            </w:r>
          </w:p>
        </w:tc>
        <w:tc>
          <w:tcPr>
            <w:tcW w:w="1542" w:type="dxa"/>
          </w:tcPr>
          <w:p w:rsidR="007C5447" w:rsidRDefault="00F6308C">
            <w:pPr>
              <w:pStyle w:val="TableParagraph"/>
              <w:spacing w:before="47"/>
              <w:ind w:right="128"/>
              <w:rPr>
                <w:sz w:val="18"/>
              </w:rPr>
            </w:pPr>
            <w:r>
              <w:rPr>
                <w:sz w:val="18"/>
              </w:rPr>
              <w:t>1,270.48</w:t>
            </w:r>
          </w:p>
        </w:tc>
      </w:tr>
      <w:tr w:rsidR="007C5447">
        <w:trPr>
          <w:trHeight w:val="302"/>
        </w:trPr>
        <w:tc>
          <w:tcPr>
            <w:tcW w:w="710" w:type="dxa"/>
          </w:tcPr>
          <w:p w:rsidR="007C5447" w:rsidRDefault="007C5447">
            <w:pPr>
              <w:pStyle w:val="TableParagraph"/>
              <w:jc w:val="left"/>
              <w:rPr>
                <w:sz w:val="18"/>
              </w:rPr>
            </w:pPr>
          </w:p>
        </w:tc>
        <w:tc>
          <w:tcPr>
            <w:tcW w:w="1985" w:type="dxa"/>
          </w:tcPr>
          <w:p w:rsidR="007C5447" w:rsidRDefault="00F6308C">
            <w:pPr>
              <w:pStyle w:val="TableParagraph"/>
              <w:spacing w:before="47"/>
              <w:ind w:left="108"/>
              <w:jc w:val="left"/>
              <w:rPr>
                <w:sz w:val="18"/>
              </w:rPr>
            </w:pPr>
            <w:r>
              <w:rPr>
                <w:sz w:val="18"/>
              </w:rPr>
              <w:t>Ennore Expansion</w:t>
            </w:r>
          </w:p>
        </w:tc>
        <w:tc>
          <w:tcPr>
            <w:tcW w:w="1274" w:type="dxa"/>
          </w:tcPr>
          <w:p w:rsidR="007C5447" w:rsidRDefault="00F6308C">
            <w:pPr>
              <w:pStyle w:val="TableParagraph"/>
              <w:spacing w:before="47"/>
              <w:ind w:right="121"/>
              <w:rPr>
                <w:sz w:val="18"/>
              </w:rPr>
            </w:pPr>
            <w:r>
              <w:rPr>
                <w:w w:val="99"/>
                <w:sz w:val="18"/>
              </w:rPr>
              <w:t>-</w:t>
            </w:r>
          </w:p>
        </w:tc>
        <w:tc>
          <w:tcPr>
            <w:tcW w:w="1277" w:type="dxa"/>
          </w:tcPr>
          <w:p w:rsidR="007C5447" w:rsidRDefault="00F6308C">
            <w:pPr>
              <w:pStyle w:val="TableParagraph"/>
              <w:spacing w:before="47"/>
              <w:ind w:right="127"/>
              <w:rPr>
                <w:sz w:val="18"/>
              </w:rPr>
            </w:pPr>
            <w:r>
              <w:rPr>
                <w:sz w:val="18"/>
              </w:rPr>
              <w:t>163.36</w:t>
            </w:r>
          </w:p>
        </w:tc>
        <w:tc>
          <w:tcPr>
            <w:tcW w:w="991" w:type="dxa"/>
          </w:tcPr>
          <w:p w:rsidR="007C5447" w:rsidRDefault="00F6308C">
            <w:pPr>
              <w:pStyle w:val="TableParagraph"/>
              <w:spacing w:before="47"/>
              <w:ind w:right="125"/>
              <w:rPr>
                <w:sz w:val="18"/>
              </w:rPr>
            </w:pPr>
            <w:r>
              <w:rPr>
                <w:sz w:val="18"/>
              </w:rPr>
              <w:t>113.84</w:t>
            </w:r>
          </w:p>
        </w:tc>
        <w:tc>
          <w:tcPr>
            <w:tcW w:w="1135" w:type="dxa"/>
          </w:tcPr>
          <w:p w:rsidR="007C5447" w:rsidRDefault="00F6308C">
            <w:pPr>
              <w:pStyle w:val="TableParagraph"/>
              <w:spacing w:before="47"/>
              <w:ind w:right="124"/>
              <w:rPr>
                <w:sz w:val="18"/>
              </w:rPr>
            </w:pPr>
            <w:r>
              <w:rPr>
                <w:sz w:val="18"/>
              </w:rPr>
              <w:t>45.21</w:t>
            </w:r>
          </w:p>
        </w:tc>
        <w:tc>
          <w:tcPr>
            <w:tcW w:w="1277" w:type="dxa"/>
          </w:tcPr>
          <w:p w:rsidR="007C5447" w:rsidRDefault="00F6308C">
            <w:pPr>
              <w:pStyle w:val="TableParagraph"/>
              <w:spacing w:before="47"/>
              <w:ind w:right="125"/>
              <w:rPr>
                <w:sz w:val="18"/>
              </w:rPr>
            </w:pPr>
            <w:r>
              <w:rPr>
                <w:sz w:val="18"/>
              </w:rPr>
              <w:t>122.00</w:t>
            </w:r>
          </w:p>
        </w:tc>
        <w:tc>
          <w:tcPr>
            <w:tcW w:w="1133" w:type="dxa"/>
          </w:tcPr>
          <w:p w:rsidR="007C5447" w:rsidRDefault="007C5447">
            <w:pPr>
              <w:pStyle w:val="TableParagraph"/>
              <w:jc w:val="left"/>
              <w:rPr>
                <w:sz w:val="18"/>
              </w:rPr>
            </w:pPr>
          </w:p>
        </w:tc>
        <w:tc>
          <w:tcPr>
            <w:tcW w:w="1277" w:type="dxa"/>
          </w:tcPr>
          <w:p w:rsidR="007C5447" w:rsidRDefault="00F6308C">
            <w:pPr>
              <w:pStyle w:val="TableParagraph"/>
              <w:spacing w:before="47"/>
              <w:ind w:right="125"/>
              <w:rPr>
                <w:sz w:val="18"/>
              </w:rPr>
            </w:pPr>
            <w:r>
              <w:rPr>
                <w:sz w:val="18"/>
              </w:rPr>
              <w:t>1.57</w:t>
            </w:r>
          </w:p>
        </w:tc>
        <w:tc>
          <w:tcPr>
            <w:tcW w:w="1134" w:type="dxa"/>
          </w:tcPr>
          <w:p w:rsidR="007C5447" w:rsidRDefault="00F6308C">
            <w:pPr>
              <w:pStyle w:val="TableParagraph"/>
              <w:spacing w:before="47"/>
              <w:ind w:right="124"/>
              <w:rPr>
                <w:sz w:val="18"/>
              </w:rPr>
            </w:pPr>
            <w:r>
              <w:rPr>
                <w:w w:val="99"/>
                <w:sz w:val="18"/>
              </w:rPr>
              <w:t>-</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5"/>
              <w:rPr>
                <w:sz w:val="18"/>
              </w:rPr>
            </w:pPr>
            <w:r>
              <w:rPr>
                <w:w w:val="99"/>
                <w:sz w:val="18"/>
              </w:rPr>
              <w:t>-</w:t>
            </w:r>
          </w:p>
        </w:tc>
        <w:tc>
          <w:tcPr>
            <w:tcW w:w="1542" w:type="dxa"/>
          </w:tcPr>
          <w:p w:rsidR="007C5447" w:rsidRDefault="00F6308C">
            <w:pPr>
              <w:pStyle w:val="TableParagraph"/>
              <w:spacing w:before="47"/>
              <w:ind w:right="128"/>
              <w:rPr>
                <w:sz w:val="18"/>
              </w:rPr>
            </w:pPr>
            <w:r>
              <w:rPr>
                <w:sz w:val="18"/>
              </w:rPr>
              <w:t>445.98</w:t>
            </w:r>
          </w:p>
        </w:tc>
      </w:tr>
      <w:tr w:rsidR="007C5447">
        <w:trPr>
          <w:trHeight w:val="299"/>
        </w:trPr>
        <w:tc>
          <w:tcPr>
            <w:tcW w:w="710" w:type="dxa"/>
          </w:tcPr>
          <w:p w:rsidR="007C5447" w:rsidRDefault="00F6308C">
            <w:pPr>
              <w:pStyle w:val="TableParagraph"/>
              <w:spacing w:before="45"/>
              <w:ind w:left="4"/>
              <w:jc w:val="center"/>
              <w:rPr>
                <w:sz w:val="18"/>
              </w:rPr>
            </w:pPr>
            <w:r>
              <w:rPr>
                <w:sz w:val="18"/>
              </w:rPr>
              <w:t>7</w:t>
            </w:r>
          </w:p>
        </w:tc>
        <w:tc>
          <w:tcPr>
            <w:tcW w:w="1985" w:type="dxa"/>
          </w:tcPr>
          <w:p w:rsidR="007C5447" w:rsidRDefault="00F6308C">
            <w:pPr>
              <w:pStyle w:val="TableParagraph"/>
              <w:spacing w:before="45"/>
              <w:ind w:left="108"/>
              <w:jc w:val="left"/>
              <w:rPr>
                <w:sz w:val="18"/>
              </w:rPr>
            </w:pPr>
            <w:r>
              <w:rPr>
                <w:sz w:val="18"/>
              </w:rPr>
              <w:t>Tirumakottai GTPS</w:t>
            </w:r>
          </w:p>
        </w:tc>
        <w:tc>
          <w:tcPr>
            <w:tcW w:w="1274" w:type="dxa"/>
          </w:tcPr>
          <w:p w:rsidR="007C5447" w:rsidRDefault="00F6308C">
            <w:pPr>
              <w:pStyle w:val="TableParagraph"/>
              <w:spacing w:before="45"/>
              <w:ind w:right="120"/>
              <w:rPr>
                <w:sz w:val="18"/>
              </w:rPr>
            </w:pPr>
            <w:r>
              <w:rPr>
                <w:sz w:val="18"/>
              </w:rPr>
              <w:t>42.09</w:t>
            </w:r>
          </w:p>
        </w:tc>
        <w:tc>
          <w:tcPr>
            <w:tcW w:w="1277" w:type="dxa"/>
          </w:tcPr>
          <w:p w:rsidR="007C5447" w:rsidRDefault="00F6308C">
            <w:pPr>
              <w:pStyle w:val="TableParagraph"/>
              <w:spacing w:before="45"/>
              <w:ind w:right="123"/>
              <w:rPr>
                <w:sz w:val="18"/>
              </w:rPr>
            </w:pPr>
            <w:r>
              <w:rPr>
                <w:sz w:val="18"/>
              </w:rPr>
              <w:t>85.47</w:t>
            </w:r>
          </w:p>
        </w:tc>
        <w:tc>
          <w:tcPr>
            <w:tcW w:w="991" w:type="dxa"/>
          </w:tcPr>
          <w:p w:rsidR="007C5447" w:rsidRDefault="00F6308C">
            <w:pPr>
              <w:pStyle w:val="TableParagraph"/>
              <w:spacing w:before="45"/>
              <w:ind w:right="122"/>
              <w:rPr>
                <w:sz w:val="18"/>
              </w:rPr>
            </w:pPr>
            <w:r>
              <w:rPr>
                <w:sz w:val="18"/>
              </w:rPr>
              <w:t>28.10</w:t>
            </w:r>
          </w:p>
        </w:tc>
        <w:tc>
          <w:tcPr>
            <w:tcW w:w="1135" w:type="dxa"/>
          </w:tcPr>
          <w:p w:rsidR="007C5447" w:rsidRDefault="00F6308C">
            <w:pPr>
              <w:pStyle w:val="TableParagraph"/>
              <w:spacing w:before="45"/>
              <w:ind w:right="124"/>
              <w:rPr>
                <w:sz w:val="18"/>
              </w:rPr>
            </w:pPr>
            <w:r>
              <w:rPr>
                <w:sz w:val="18"/>
              </w:rPr>
              <w:t>12.21</w:t>
            </w:r>
          </w:p>
        </w:tc>
        <w:tc>
          <w:tcPr>
            <w:tcW w:w="1277" w:type="dxa"/>
          </w:tcPr>
          <w:p w:rsidR="007C5447" w:rsidRDefault="00F6308C">
            <w:pPr>
              <w:pStyle w:val="TableParagraph"/>
              <w:spacing w:before="45"/>
              <w:ind w:right="122"/>
              <w:rPr>
                <w:sz w:val="18"/>
              </w:rPr>
            </w:pPr>
            <w:r>
              <w:rPr>
                <w:sz w:val="18"/>
              </w:rPr>
              <w:t>15.29</w:t>
            </w:r>
          </w:p>
        </w:tc>
        <w:tc>
          <w:tcPr>
            <w:tcW w:w="1133" w:type="dxa"/>
          </w:tcPr>
          <w:p w:rsidR="007C5447" w:rsidRDefault="00F6308C">
            <w:pPr>
              <w:pStyle w:val="TableParagraph"/>
              <w:spacing w:before="45"/>
              <w:ind w:right="123"/>
              <w:rPr>
                <w:sz w:val="18"/>
              </w:rPr>
            </w:pPr>
            <w:r>
              <w:rPr>
                <w:w w:val="99"/>
                <w:sz w:val="18"/>
              </w:rPr>
              <w:t>-</w:t>
            </w:r>
          </w:p>
        </w:tc>
        <w:tc>
          <w:tcPr>
            <w:tcW w:w="1277" w:type="dxa"/>
          </w:tcPr>
          <w:p w:rsidR="007C5447" w:rsidRDefault="00F6308C">
            <w:pPr>
              <w:pStyle w:val="TableParagraph"/>
              <w:spacing w:before="45"/>
              <w:ind w:right="125"/>
              <w:rPr>
                <w:sz w:val="18"/>
              </w:rPr>
            </w:pPr>
            <w:r>
              <w:rPr>
                <w:sz w:val="18"/>
              </w:rPr>
              <w:t>0.59</w:t>
            </w:r>
          </w:p>
        </w:tc>
        <w:tc>
          <w:tcPr>
            <w:tcW w:w="1134" w:type="dxa"/>
          </w:tcPr>
          <w:p w:rsidR="007C5447" w:rsidRDefault="00F6308C">
            <w:pPr>
              <w:pStyle w:val="TableParagraph"/>
              <w:spacing w:before="45"/>
              <w:ind w:right="126"/>
              <w:rPr>
                <w:sz w:val="18"/>
              </w:rPr>
            </w:pPr>
            <w:r>
              <w:rPr>
                <w:sz w:val="18"/>
              </w:rPr>
              <w:t>0.15</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127"/>
              <w:rPr>
                <w:sz w:val="18"/>
              </w:rPr>
            </w:pPr>
            <w:r>
              <w:rPr>
                <w:sz w:val="18"/>
              </w:rPr>
              <w:t>0.58</w:t>
            </w:r>
          </w:p>
        </w:tc>
        <w:tc>
          <w:tcPr>
            <w:tcW w:w="1542" w:type="dxa"/>
          </w:tcPr>
          <w:p w:rsidR="007C5447" w:rsidRDefault="00F6308C">
            <w:pPr>
              <w:pStyle w:val="TableParagraph"/>
              <w:spacing w:before="45"/>
              <w:ind w:right="128"/>
              <w:rPr>
                <w:sz w:val="18"/>
              </w:rPr>
            </w:pPr>
            <w:r>
              <w:rPr>
                <w:sz w:val="18"/>
              </w:rPr>
              <w:t>184.18</w:t>
            </w:r>
          </w:p>
        </w:tc>
      </w:tr>
      <w:tr w:rsidR="007C5447">
        <w:trPr>
          <w:trHeight w:val="299"/>
        </w:trPr>
        <w:tc>
          <w:tcPr>
            <w:tcW w:w="710" w:type="dxa"/>
          </w:tcPr>
          <w:p w:rsidR="007C5447" w:rsidRDefault="00F6308C">
            <w:pPr>
              <w:pStyle w:val="TableParagraph"/>
              <w:spacing w:before="45"/>
              <w:ind w:left="4"/>
              <w:jc w:val="center"/>
              <w:rPr>
                <w:sz w:val="18"/>
              </w:rPr>
            </w:pPr>
            <w:r>
              <w:rPr>
                <w:sz w:val="18"/>
              </w:rPr>
              <w:t>8</w:t>
            </w:r>
          </w:p>
        </w:tc>
        <w:tc>
          <w:tcPr>
            <w:tcW w:w="1985" w:type="dxa"/>
          </w:tcPr>
          <w:p w:rsidR="007C5447" w:rsidRDefault="00F6308C">
            <w:pPr>
              <w:pStyle w:val="TableParagraph"/>
              <w:spacing w:before="45"/>
              <w:ind w:left="108"/>
              <w:jc w:val="left"/>
              <w:rPr>
                <w:sz w:val="18"/>
              </w:rPr>
            </w:pPr>
            <w:r>
              <w:rPr>
                <w:sz w:val="18"/>
              </w:rPr>
              <w:t>Kuttalam GTPS</w:t>
            </w:r>
          </w:p>
        </w:tc>
        <w:tc>
          <w:tcPr>
            <w:tcW w:w="1274" w:type="dxa"/>
          </w:tcPr>
          <w:p w:rsidR="007C5447" w:rsidRDefault="00F6308C">
            <w:pPr>
              <w:pStyle w:val="TableParagraph"/>
              <w:spacing w:before="45"/>
              <w:ind w:right="120"/>
              <w:rPr>
                <w:sz w:val="18"/>
              </w:rPr>
            </w:pPr>
            <w:r>
              <w:rPr>
                <w:sz w:val="18"/>
              </w:rPr>
              <w:t>33.88</w:t>
            </w:r>
          </w:p>
        </w:tc>
        <w:tc>
          <w:tcPr>
            <w:tcW w:w="1277" w:type="dxa"/>
          </w:tcPr>
          <w:p w:rsidR="007C5447" w:rsidRDefault="00F6308C">
            <w:pPr>
              <w:pStyle w:val="TableParagraph"/>
              <w:spacing w:before="45"/>
              <w:ind w:right="123"/>
              <w:rPr>
                <w:sz w:val="18"/>
              </w:rPr>
            </w:pPr>
            <w:r>
              <w:rPr>
                <w:sz w:val="18"/>
              </w:rPr>
              <w:t>60.49</w:t>
            </w:r>
          </w:p>
        </w:tc>
        <w:tc>
          <w:tcPr>
            <w:tcW w:w="991" w:type="dxa"/>
          </w:tcPr>
          <w:p w:rsidR="007C5447" w:rsidRDefault="00F6308C">
            <w:pPr>
              <w:pStyle w:val="TableParagraph"/>
              <w:spacing w:before="45"/>
              <w:ind w:right="122"/>
              <w:rPr>
                <w:sz w:val="18"/>
              </w:rPr>
            </w:pPr>
            <w:r>
              <w:rPr>
                <w:sz w:val="18"/>
              </w:rPr>
              <w:t>29.11</w:t>
            </w:r>
          </w:p>
        </w:tc>
        <w:tc>
          <w:tcPr>
            <w:tcW w:w="1135" w:type="dxa"/>
          </w:tcPr>
          <w:p w:rsidR="007C5447" w:rsidRDefault="00F6308C">
            <w:pPr>
              <w:pStyle w:val="TableParagraph"/>
              <w:spacing w:before="45"/>
              <w:ind w:right="124"/>
              <w:rPr>
                <w:sz w:val="18"/>
              </w:rPr>
            </w:pPr>
            <w:r>
              <w:rPr>
                <w:sz w:val="18"/>
              </w:rPr>
              <w:t>10.84</w:t>
            </w:r>
          </w:p>
        </w:tc>
        <w:tc>
          <w:tcPr>
            <w:tcW w:w="1277" w:type="dxa"/>
          </w:tcPr>
          <w:p w:rsidR="007C5447" w:rsidRDefault="00F6308C">
            <w:pPr>
              <w:pStyle w:val="TableParagraph"/>
              <w:spacing w:before="45"/>
              <w:ind w:right="122"/>
              <w:rPr>
                <w:sz w:val="18"/>
              </w:rPr>
            </w:pPr>
            <w:r>
              <w:rPr>
                <w:sz w:val="18"/>
              </w:rPr>
              <w:t>11.74</w:t>
            </w:r>
          </w:p>
        </w:tc>
        <w:tc>
          <w:tcPr>
            <w:tcW w:w="1133" w:type="dxa"/>
          </w:tcPr>
          <w:p w:rsidR="007C5447" w:rsidRDefault="00F6308C">
            <w:pPr>
              <w:pStyle w:val="TableParagraph"/>
              <w:spacing w:before="45"/>
              <w:ind w:right="123"/>
              <w:rPr>
                <w:sz w:val="18"/>
              </w:rPr>
            </w:pPr>
            <w:r>
              <w:rPr>
                <w:w w:val="99"/>
                <w:sz w:val="18"/>
              </w:rPr>
              <w:t>-</w:t>
            </w:r>
          </w:p>
        </w:tc>
        <w:tc>
          <w:tcPr>
            <w:tcW w:w="1277" w:type="dxa"/>
          </w:tcPr>
          <w:p w:rsidR="007C5447" w:rsidRDefault="00F6308C">
            <w:pPr>
              <w:pStyle w:val="TableParagraph"/>
              <w:spacing w:before="45"/>
              <w:ind w:right="125"/>
              <w:rPr>
                <w:sz w:val="18"/>
              </w:rPr>
            </w:pPr>
            <w:r>
              <w:rPr>
                <w:sz w:val="18"/>
              </w:rPr>
              <w:t>0.17</w:t>
            </w:r>
          </w:p>
        </w:tc>
        <w:tc>
          <w:tcPr>
            <w:tcW w:w="1134" w:type="dxa"/>
          </w:tcPr>
          <w:p w:rsidR="007C5447" w:rsidRDefault="00F6308C">
            <w:pPr>
              <w:pStyle w:val="TableParagraph"/>
              <w:spacing w:before="45"/>
              <w:ind w:right="126"/>
              <w:rPr>
                <w:sz w:val="18"/>
              </w:rPr>
            </w:pPr>
            <w:r>
              <w:rPr>
                <w:sz w:val="18"/>
              </w:rPr>
              <w:t>0.12</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127"/>
              <w:rPr>
                <w:sz w:val="18"/>
              </w:rPr>
            </w:pPr>
            <w:r>
              <w:rPr>
                <w:sz w:val="18"/>
              </w:rPr>
              <w:t>0.54</w:t>
            </w:r>
          </w:p>
        </w:tc>
        <w:tc>
          <w:tcPr>
            <w:tcW w:w="1542" w:type="dxa"/>
          </w:tcPr>
          <w:p w:rsidR="007C5447" w:rsidRDefault="00F6308C">
            <w:pPr>
              <w:pStyle w:val="TableParagraph"/>
              <w:spacing w:before="45"/>
              <w:ind w:right="128"/>
              <w:rPr>
                <w:sz w:val="18"/>
              </w:rPr>
            </w:pPr>
            <w:r>
              <w:rPr>
                <w:sz w:val="18"/>
              </w:rPr>
              <w:t>146.64</w:t>
            </w:r>
          </w:p>
        </w:tc>
      </w:tr>
      <w:tr w:rsidR="007C5447">
        <w:trPr>
          <w:trHeight w:val="443"/>
        </w:trPr>
        <w:tc>
          <w:tcPr>
            <w:tcW w:w="710" w:type="dxa"/>
          </w:tcPr>
          <w:p w:rsidR="007C5447" w:rsidRDefault="00F6308C">
            <w:pPr>
              <w:pStyle w:val="TableParagraph"/>
              <w:spacing w:before="117"/>
              <w:ind w:left="4"/>
              <w:jc w:val="center"/>
              <w:rPr>
                <w:sz w:val="18"/>
              </w:rPr>
            </w:pPr>
            <w:r>
              <w:rPr>
                <w:sz w:val="18"/>
              </w:rPr>
              <w:t>9</w:t>
            </w:r>
          </w:p>
        </w:tc>
        <w:tc>
          <w:tcPr>
            <w:tcW w:w="1985" w:type="dxa"/>
          </w:tcPr>
          <w:p w:rsidR="007C5447" w:rsidRDefault="00F6308C">
            <w:pPr>
              <w:pStyle w:val="TableParagraph"/>
              <w:spacing w:before="11" w:line="210" w:lineRule="atLeast"/>
              <w:ind w:left="108" w:right="416"/>
              <w:jc w:val="left"/>
              <w:rPr>
                <w:sz w:val="18"/>
              </w:rPr>
            </w:pPr>
            <w:r>
              <w:rPr>
                <w:sz w:val="18"/>
              </w:rPr>
              <w:t>Basin Bridge GTPS (Naphtha)</w:t>
            </w:r>
          </w:p>
        </w:tc>
        <w:tc>
          <w:tcPr>
            <w:tcW w:w="1274" w:type="dxa"/>
          </w:tcPr>
          <w:p w:rsidR="007C5447" w:rsidRDefault="00F6308C">
            <w:pPr>
              <w:pStyle w:val="TableParagraph"/>
              <w:spacing w:before="117"/>
              <w:ind w:right="123"/>
              <w:rPr>
                <w:sz w:val="18"/>
              </w:rPr>
            </w:pPr>
            <w:r>
              <w:rPr>
                <w:sz w:val="18"/>
              </w:rPr>
              <w:t>117.79</w:t>
            </w:r>
          </w:p>
        </w:tc>
        <w:tc>
          <w:tcPr>
            <w:tcW w:w="1277" w:type="dxa"/>
          </w:tcPr>
          <w:p w:rsidR="007C5447" w:rsidRDefault="00F6308C">
            <w:pPr>
              <w:pStyle w:val="TableParagraph"/>
              <w:spacing w:before="117"/>
              <w:ind w:right="127"/>
              <w:rPr>
                <w:sz w:val="18"/>
              </w:rPr>
            </w:pPr>
            <w:r>
              <w:rPr>
                <w:sz w:val="18"/>
              </w:rPr>
              <w:t>190.01</w:t>
            </w:r>
          </w:p>
        </w:tc>
        <w:tc>
          <w:tcPr>
            <w:tcW w:w="991" w:type="dxa"/>
          </w:tcPr>
          <w:p w:rsidR="007C5447" w:rsidRDefault="00F6308C">
            <w:pPr>
              <w:pStyle w:val="TableParagraph"/>
              <w:spacing w:before="117"/>
              <w:ind w:right="122"/>
              <w:rPr>
                <w:sz w:val="18"/>
              </w:rPr>
            </w:pPr>
            <w:r>
              <w:rPr>
                <w:sz w:val="18"/>
              </w:rPr>
              <w:t>34.09</w:t>
            </w:r>
          </w:p>
        </w:tc>
        <w:tc>
          <w:tcPr>
            <w:tcW w:w="1135" w:type="dxa"/>
          </w:tcPr>
          <w:p w:rsidR="007C5447" w:rsidRDefault="00F6308C">
            <w:pPr>
              <w:pStyle w:val="TableParagraph"/>
              <w:spacing w:before="117"/>
              <w:ind w:right="124"/>
              <w:rPr>
                <w:sz w:val="18"/>
              </w:rPr>
            </w:pPr>
            <w:r>
              <w:rPr>
                <w:sz w:val="18"/>
              </w:rPr>
              <w:t>10.76</w:t>
            </w:r>
          </w:p>
        </w:tc>
        <w:tc>
          <w:tcPr>
            <w:tcW w:w="1277" w:type="dxa"/>
          </w:tcPr>
          <w:p w:rsidR="007C5447" w:rsidRDefault="00F6308C">
            <w:pPr>
              <w:pStyle w:val="TableParagraph"/>
              <w:spacing w:before="117"/>
              <w:ind w:right="125"/>
              <w:rPr>
                <w:sz w:val="18"/>
              </w:rPr>
            </w:pPr>
            <w:r>
              <w:rPr>
                <w:sz w:val="18"/>
              </w:rPr>
              <w:t>9.81</w:t>
            </w:r>
          </w:p>
        </w:tc>
        <w:tc>
          <w:tcPr>
            <w:tcW w:w="1133" w:type="dxa"/>
          </w:tcPr>
          <w:p w:rsidR="007C5447" w:rsidRDefault="00F6308C">
            <w:pPr>
              <w:pStyle w:val="TableParagraph"/>
              <w:spacing w:before="117"/>
              <w:ind w:right="123"/>
              <w:rPr>
                <w:sz w:val="18"/>
              </w:rPr>
            </w:pPr>
            <w:r>
              <w:rPr>
                <w:w w:val="99"/>
                <w:sz w:val="18"/>
              </w:rPr>
              <w:t>-</w:t>
            </w:r>
          </w:p>
        </w:tc>
        <w:tc>
          <w:tcPr>
            <w:tcW w:w="1277" w:type="dxa"/>
          </w:tcPr>
          <w:p w:rsidR="007C5447" w:rsidRDefault="00F6308C">
            <w:pPr>
              <w:pStyle w:val="TableParagraph"/>
              <w:spacing w:before="117"/>
              <w:ind w:right="123"/>
              <w:rPr>
                <w:sz w:val="18"/>
              </w:rPr>
            </w:pPr>
            <w:r>
              <w:rPr>
                <w:w w:val="99"/>
                <w:sz w:val="18"/>
              </w:rPr>
              <w:t>-</w:t>
            </w:r>
          </w:p>
        </w:tc>
        <w:tc>
          <w:tcPr>
            <w:tcW w:w="1134" w:type="dxa"/>
          </w:tcPr>
          <w:p w:rsidR="007C5447" w:rsidRDefault="00F6308C">
            <w:pPr>
              <w:pStyle w:val="TableParagraph"/>
              <w:spacing w:before="117"/>
              <w:ind w:right="126"/>
              <w:rPr>
                <w:sz w:val="18"/>
              </w:rPr>
            </w:pPr>
            <w:r>
              <w:rPr>
                <w:sz w:val="18"/>
              </w:rPr>
              <w:t>0.05</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117"/>
              <w:ind w:right="127"/>
              <w:rPr>
                <w:sz w:val="18"/>
              </w:rPr>
            </w:pPr>
            <w:r>
              <w:rPr>
                <w:sz w:val="18"/>
              </w:rPr>
              <w:t>0.53</w:t>
            </w:r>
          </w:p>
        </w:tc>
        <w:tc>
          <w:tcPr>
            <w:tcW w:w="1542" w:type="dxa"/>
          </w:tcPr>
          <w:p w:rsidR="007C5447" w:rsidRDefault="00F6308C">
            <w:pPr>
              <w:pStyle w:val="TableParagraph"/>
              <w:spacing w:before="117"/>
              <w:ind w:right="128"/>
              <w:rPr>
                <w:sz w:val="18"/>
              </w:rPr>
            </w:pPr>
            <w:r>
              <w:rPr>
                <w:sz w:val="18"/>
              </w:rPr>
              <w:t>362.93</w:t>
            </w:r>
          </w:p>
        </w:tc>
      </w:tr>
      <w:tr w:rsidR="007C5447">
        <w:trPr>
          <w:trHeight w:val="300"/>
        </w:trPr>
        <w:tc>
          <w:tcPr>
            <w:tcW w:w="710" w:type="dxa"/>
          </w:tcPr>
          <w:p w:rsidR="007C5447" w:rsidRDefault="00F6308C">
            <w:pPr>
              <w:pStyle w:val="TableParagraph"/>
              <w:spacing w:before="48"/>
              <w:ind w:left="236" w:right="226"/>
              <w:jc w:val="center"/>
              <w:rPr>
                <w:sz w:val="18"/>
              </w:rPr>
            </w:pPr>
            <w:r>
              <w:rPr>
                <w:sz w:val="18"/>
              </w:rPr>
              <w:t>10</w:t>
            </w:r>
          </w:p>
        </w:tc>
        <w:tc>
          <w:tcPr>
            <w:tcW w:w="1985" w:type="dxa"/>
          </w:tcPr>
          <w:p w:rsidR="007C5447" w:rsidRDefault="00F6308C">
            <w:pPr>
              <w:pStyle w:val="TableParagraph"/>
              <w:spacing w:before="48"/>
              <w:ind w:left="108"/>
              <w:jc w:val="left"/>
              <w:rPr>
                <w:sz w:val="18"/>
              </w:rPr>
            </w:pPr>
            <w:r>
              <w:rPr>
                <w:sz w:val="18"/>
              </w:rPr>
              <w:t>Valuthur GTPS</w:t>
            </w:r>
          </w:p>
        </w:tc>
        <w:tc>
          <w:tcPr>
            <w:tcW w:w="1274" w:type="dxa"/>
          </w:tcPr>
          <w:p w:rsidR="007C5447" w:rsidRDefault="00F6308C">
            <w:pPr>
              <w:pStyle w:val="TableParagraph"/>
              <w:spacing w:before="48"/>
              <w:ind w:right="120"/>
              <w:rPr>
                <w:sz w:val="18"/>
              </w:rPr>
            </w:pPr>
            <w:r>
              <w:rPr>
                <w:sz w:val="18"/>
              </w:rPr>
              <w:t>74.75</w:t>
            </w:r>
          </w:p>
        </w:tc>
        <w:tc>
          <w:tcPr>
            <w:tcW w:w="1277" w:type="dxa"/>
          </w:tcPr>
          <w:p w:rsidR="007C5447" w:rsidRDefault="00F6308C">
            <w:pPr>
              <w:pStyle w:val="TableParagraph"/>
              <w:spacing w:before="48"/>
              <w:ind w:right="127"/>
              <w:rPr>
                <w:sz w:val="18"/>
              </w:rPr>
            </w:pPr>
            <w:r>
              <w:rPr>
                <w:sz w:val="18"/>
              </w:rPr>
              <w:t>147.95</w:t>
            </w:r>
          </w:p>
        </w:tc>
        <w:tc>
          <w:tcPr>
            <w:tcW w:w="991" w:type="dxa"/>
          </w:tcPr>
          <w:p w:rsidR="007C5447" w:rsidRDefault="00F6308C">
            <w:pPr>
              <w:pStyle w:val="TableParagraph"/>
              <w:spacing w:before="48"/>
              <w:ind w:right="122"/>
              <w:rPr>
                <w:sz w:val="18"/>
              </w:rPr>
            </w:pPr>
            <w:r>
              <w:rPr>
                <w:sz w:val="18"/>
              </w:rPr>
              <w:t>35.92</w:t>
            </w:r>
          </w:p>
        </w:tc>
        <w:tc>
          <w:tcPr>
            <w:tcW w:w="1135" w:type="dxa"/>
          </w:tcPr>
          <w:p w:rsidR="007C5447" w:rsidRDefault="00F6308C">
            <w:pPr>
              <w:pStyle w:val="TableParagraph"/>
              <w:spacing w:before="48"/>
              <w:ind w:right="124"/>
              <w:rPr>
                <w:sz w:val="18"/>
              </w:rPr>
            </w:pPr>
            <w:r>
              <w:rPr>
                <w:sz w:val="18"/>
              </w:rPr>
              <w:t>19.75</w:t>
            </w:r>
          </w:p>
        </w:tc>
        <w:tc>
          <w:tcPr>
            <w:tcW w:w="1277" w:type="dxa"/>
          </w:tcPr>
          <w:p w:rsidR="007C5447" w:rsidRDefault="00F6308C">
            <w:pPr>
              <w:pStyle w:val="TableParagraph"/>
              <w:spacing w:before="48"/>
              <w:ind w:right="122"/>
              <w:rPr>
                <w:sz w:val="18"/>
              </w:rPr>
            </w:pPr>
            <w:r>
              <w:rPr>
                <w:sz w:val="18"/>
              </w:rPr>
              <w:t>14.57</w:t>
            </w:r>
          </w:p>
        </w:tc>
        <w:tc>
          <w:tcPr>
            <w:tcW w:w="1133" w:type="dxa"/>
          </w:tcPr>
          <w:p w:rsidR="007C5447" w:rsidRDefault="00F6308C">
            <w:pPr>
              <w:pStyle w:val="TableParagraph"/>
              <w:spacing w:before="48"/>
              <w:ind w:right="123"/>
              <w:rPr>
                <w:sz w:val="18"/>
              </w:rPr>
            </w:pPr>
            <w:r>
              <w:rPr>
                <w:w w:val="99"/>
                <w:sz w:val="18"/>
              </w:rPr>
              <w:t>-</w:t>
            </w:r>
          </w:p>
        </w:tc>
        <w:tc>
          <w:tcPr>
            <w:tcW w:w="1277" w:type="dxa"/>
          </w:tcPr>
          <w:p w:rsidR="007C5447" w:rsidRDefault="00F6308C">
            <w:pPr>
              <w:pStyle w:val="TableParagraph"/>
              <w:spacing w:before="48"/>
              <w:ind w:right="123"/>
              <w:rPr>
                <w:sz w:val="18"/>
              </w:rPr>
            </w:pPr>
            <w:r>
              <w:rPr>
                <w:w w:val="99"/>
                <w:sz w:val="18"/>
              </w:rPr>
              <w:t>-</w:t>
            </w:r>
          </w:p>
        </w:tc>
        <w:tc>
          <w:tcPr>
            <w:tcW w:w="1134" w:type="dxa"/>
          </w:tcPr>
          <w:p w:rsidR="007C5447" w:rsidRDefault="00F6308C">
            <w:pPr>
              <w:pStyle w:val="TableParagraph"/>
              <w:spacing w:before="48"/>
              <w:ind w:right="126"/>
              <w:rPr>
                <w:sz w:val="18"/>
              </w:rPr>
            </w:pPr>
            <w:r>
              <w:rPr>
                <w:sz w:val="18"/>
              </w:rPr>
              <w:t>0.16</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8"/>
              <w:ind w:right="127"/>
              <w:rPr>
                <w:sz w:val="18"/>
              </w:rPr>
            </w:pPr>
            <w:r>
              <w:rPr>
                <w:sz w:val="18"/>
              </w:rPr>
              <w:t>0.97</w:t>
            </w:r>
          </w:p>
        </w:tc>
        <w:tc>
          <w:tcPr>
            <w:tcW w:w="1542" w:type="dxa"/>
          </w:tcPr>
          <w:p w:rsidR="007C5447" w:rsidRDefault="00F6308C">
            <w:pPr>
              <w:pStyle w:val="TableParagraph"/>
              <w:spacing w:before="48"/>
              <w:ind w:right="128"/>
              <w:rPr>
                <w:sz w:val="18"/>
              </w:rPr>
            </w:pPr>
            <w:r>
              <w:rPr>
                <w:sz w:val="18"/>
              </w:rPr>
              <w:t>293.74</w:t>
            </w:r>
          </w:p>
        </w:tc>
      </w:tr>
      <w:tr w:rsidR="007C5447">
        <w:trPr>
          <w:trHeight w:val="299"/>
        </w:trPr>
        <w:tc>
          <w:tcPr>
            <w:tcW w:w="710" w:type="dxa"/>
          </w:tcPr>
          <w:p w:rsidR="007C5447" w:rsidRDefault="00F6308C">
            <w:pPr>
              <w:pStyle w:val="TableParagraph"/>
              <w:spacing w:before="47"/>
              <w:ind w:left="236" w:right="226"/>
              <w:jc w:val="center"/>
              <w:rPr>
                <w:sz w:val="18"/>
              </w:rPr>
            </w:pPr>
            <w:r>
              <w:rPr>
                <w:sz w:val="18"/>
              </w:rPr>
              <w:t>12</w:t>
            </w:r>
          </w:p>
        </w:tc>
        <w:tc>
          <w:tcPr>
            <w:tcW w:w="1985" w:type="dxa"/>
          </w:tcPr>
          <w:p w:rsidR="007C5447" w:rsidRDefault="00F6308C">
            <w:pPr>
              <w:pStyle w:val="TableParagraph"/>
              <w:spacing w:before="47"/>
              <w:ind w:left="108"/>
              <w:jc w:val="left"/>
              <w:rPr>
                <w:sz w:val="18"/>
              </w:rPr>
            </w:pPr>
            <w:r>
              <w:rPr>
                <w:sz w:val="18"/>
              </w:rPr>
              <w:t>Erode HEP</w:t>
            </w:r>
          </w:p>
        </w:tc>
        <w:tc>
          <w:tcPr>
            <w:tcW w:w="1274" w:type="dxa"/>
          </w:tcPr>
          <w:p w:rsidR="007C5447" w:rsidRDefault="00F6308C">
            <w:pPr>
              <w:pStyle w:val="TableParagraph"/>
              <w:spacing w:before="47"/>
              <w:ind w:right="120"/>
              <w:rPr>
                <w:sz w:val="18"/>
              </w:rPr>
            </w:pPr>
            <w:r>
              <w:rPr>
                <w:sz w:val="18"/>
              </w:rPr>
              <w:t>80.21</w:t>
            </w:r>
          </w:p>
        </w:tc>
        <w:tc>
          <w:tcPr>
            <w:tcW w:w="1277" w:type="dxa"/>
          </w:tcPr>
          <w:p w:rsidR="007C5447" w:rsidRDefault="00F6308C">
            <w:pPr>
              <w:pStyle w:val="TableParagraph"/>
              <w:spacing w:before="47"/>
              <w:ind w:right="127"/>
              <w:rPr>
                <w:sz w:val="18"/>
              </w:rPr>
            </w:pPr>
            <w:r>
              <w:rPr>
                <w:sz w:val="18"/>
              </w:rPr>
              <w:t>126.69</w:t>
            </w:r>
          </w:p>
        </w:tc>
        <w:tc>
          <w:tcPr>
            <w:tcW w:w="991" w:type="dxa"/>
          </w:tcPr>
          <w:p w:rsidR="007C5447" w:rsidRDefault="00F6308C">
            <w:pPr>
              <w:pStyle w:val="TableParagraph"/>
              <w:spacing w:before="47"/>
              <w:ind w:right="122"/>
              <w:rPr>
                <w:sz w:val="18"/>
              </w:rPr>
            </w:pPr>
            <w:r>
              <w:rPr>
                <w:sz w:val="18"/>
              </w:rPr>
              <w:t>73.28</w:t>
            </w:r>
          </w:p>
        </w:tc>
        <w:tc>
          <w:tcPr>
            <w:tcW w:w="1135" w:type="dxa"/>
          </w:tcPr>
          <w:p w:rsidR="007C5447" w:rsidRDefault="00F6308C">
            <w:pPr>
              <w:pStyle w:val="TableParagraph"/>
              <w:spacing w:before="47"/>
              <w:ind w:right="127"/>
              <w:rPr>
                <w:sz w:val="18"/>
              </w:rPr>
            </w:pPr>
            <w:r>
              <w:rPr>
                <w:sz w:val="18"/>
              </w:rPr>
              <w:t>4.21</w:t>
            </w:r>
          </w:p>
        </w:tc>
        <w:tc>
          <w:tcPr>
            <w:tcW w:w="1277" w:type="dxa"/>
          </w:tcPr>
          <w:p w:rsidR="007C5447" w:rsidRDefault="00F6308C">
            <w:pPr>
              <w:pStyle w:val="TableParagraph"/>
              <w:spacing w:before="47"/>
              <w:ind w:right="122"/>
              <w:rPr>
                <w:sz w:val="18"/>
              </w:rPr>
            </w:pPr>
            <w:r>
              <w:rPr>
                <w:sz w:val="18"/>
              </w:rPr>
              <w:t>59.19</w:t>
            </w:r>
          </w:p>
        </w:tc>
        <w:tc>
          <w:tcPr>
            <w:tcW w:w="1133" w:type="dxa"/>
          </w:tcPr>
          <w:p w:rsidR="007C5447" w:rsidRDefault="00F6308C">
            <w:pPr>
              <w:pStyle w:val="TableParagraph"/>
              <w:spacing w:before="47"/>
              <w:ind w:right="123"/>
              <w:rPr>
                <w:sz w:val="18"/>
              </w:rPr>
            </w:pPr>
            <w:r>
              <w:rPr>
                <w:w w:val="99"/>
                <w:sz w:val="18"/>
              </w:rPr>
              <w:t>-</w:t>
            </w:r>
          </w:p>
        </w:tc>
        <w:tc>
          <w:tcPr>
            <w:tcW w:w="1277" w:type="dxa"/>
          </w:tcPr>
          <w:p w:rsidR="007C5447" w:rsidRDefault="00F6308C">
            <w:pPr>
              <w:pStyle w:val="TableParagraph"/>
              <w:spacing w:before="47"/>
              <w:ind w:right="125"/>
              <w:rPr>
                <w:sz w:val="18"/>
              </w:rPr>
            </w:pPr>
            <w:r>
              <w:rPr>
                <w:sz w:val="18"/>
              </w:rPr>
              <w:t>0.09</w:t>
            </w:r>
          </w:p>
        </w:tc>
        <w:tc>
          <w:tcPr>
            <w:tcW w:w="1134" w:type="dxa"/>
          </w:tcPr>
          <w:p w:rsidR="007C5447" w:rsidRDefault="00F6308C">
            <w:pPr>
              <w:pStyle w:val="TableParagraph"/>
              <w:spacing w:before="47"/>
              <w:ind w:right="126"/>
              <w:rPr>
                <w:sz w:val="18"/>
              </w:rPr>
            </w:pPr>
            <w:r>
              <w:rPr>
                <w:sz w:val="18"/>
              </w:rPr>
              <w:t>0.10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7"/>
              <w:rPr>
                <w:sz w:val="18"/>
              </w:rPr>
            </w:pPr>
            <w:r>
              <w:rPr>
                <w:sz w:val="18"/>
              </w:rPr>
              <w:t>2.92</w:t>
            </w:r>
          </w:p>
        </w:tc>
        <w:tc>
          <w:tcPr>
            <w:tcW w:w="1542" w:type="dxa"/>
          </w:tcPr>
          <w:p w:rsidR="007C5447" w:rsidRDefault="00F6308C">
            <w:pPr>
              <w:pStyle w:val="TableParagraph"/>
              <w:spacing w:before="47"/>
              <w:ind w:right="128"/>
              <w:rPr>
                <w:sz w:val="18"/>
              </w:rPr>
            </w:pPr>
            <w:r>
              <w:rPr>
                <w:sz w:val="18"/>
              </w:rPr>
              <w:t>346.49</w:t>
            </w:r>
          </w:p>
        </w:tc>
      </w:tr>
      <w:tr w:rsidR="007C5447">
        <w:trPr>
          <w:trHeight w:val="301"/>
        </w:trPr>
        <w:tc>
          <w:tcPr>
            <w:tcW w:w="710" w:type="dxa"/>
          </w:tcPr>
          <w:p w:rsidR="007C5447" w:rsidRDefault="00F6308C">
            <w:pPr>
              <w:pStyle w:val="TableParagraph"/>
              <w:spacing w:before="47"/>
              <w:ind w:left="236" w:right="226"/>
              <w:jc w:val="center"/>
              <w:rPr>
                <w:sz w:val="18"/>
              </w:rPr>
            </w:pPr>
            <w:r>
              <w:rPr>
                <w:sz w:val="18"/>
              </w:rPr>
              <w:t>13</w:t>
            </w:r>
          </w:p>
        </w:tc>
        <w:tc>
          <w:tcPr>
            <w:tcW w:w="1985" w:type="dxa"/>
          </w:tcPr>
          <w:p w:rsidR="007C5447" w:rsidRDefault="00F6308C">
            <w:pPr>
              <w:pStyle w:val="TableParagraph"/>
              <w:spacing w:before="47"/>
              <w:ind w:left="108"/>
              <w:jc w:val="left"/>
              <w:rPr>
                <w:sz w:val="18"/>
              </w:rPr>
            </w:pPr>
            <w:r>
              <w:rPr>
                <w:sz w:val="18"/>
              </w:rPr>
              <w:t>Kadamparai HEP</w:t>
            </w:r>
          </w:p>
        </w:tc>
        <w:tc>
          <w:tcPr>
            <w:tcW w:w="1274" w:type="dxa"/>
          </w:tcPr>
          <w:p w:rsidR="007C5447" w:rsidRDefault="00F6308C">
            <w:pPr>
              <w:pStyle w:val="TableParagraph"/>
              <w:spacing w:before="47"/>
              <w:ind w:right="120"/>
              <w:rPr>
                <w:sz w:val="18"/>
              </w:rPr>
            </w:pPr>
            <w:r>
              <w:rPr>
                <w:sz w:val="18"/>
              </w:rPr>
              <w:t>27.84</w:t>
            </w:r>
          </w:p>
        </w:tc>
        <w:tc>
          <w:tcPr>
            <w:tcW w:w="1277" w:type="dxa"/>
          </w:tcPr>
          <w:p w:rsidR="007C5447" w:rsidRDefault="00F6308C">
            <w:pPr>
              <w:pStyle w:val="TableParagraph"/>
              <w:spacing w:before="47"/>
              <w:ind w:right="123"/>
              <w:rPr>
                <w:sz w:val="18"/>
              </w:rPr>
            </w:pPr>
            <w:r>
              <w:rPr>
                <w:sz w:val="18"/>
              </w:rPr>
              <w:t>64.98</w:t>
            </w:r>
          </w:p>
        </w:tc>
        <w:tc>
          <w:tcPr>
            <w:tcW w:w="991" w:type="dxa"/>
          </w:tcPr>
          <w:p w:rsidR="007C5447" w:rsidRDefault="00F6308C">
            <w:pPr>
              <w:pStyle w:val="TableParagraph"/>
              <w:spacing w:before="47"/>
              <w:ind w:right="122"/>
              <w:rPr>
                <w:sz w:val="18"/>
              </w:rPr>
            </w:pPr>
            <w:r>
              <w:rPr>
                <w:sz w:val="18"/>
              </w:rPr>
              <w:t>23.48</w:t>
            </w:r>
          </w:p>
        </w:tc>
        <w:tc>
          <w:tcPr>
            <w:tcW w:w="1135" w:type="dxa"/>
          </w:tcPr>
          <w:p w:rsidR="007C5447" w:rsidRDefault="00F6308C">
            <w:pPr>
              <w:pStyle w:val="TableParagraph"/>
              <w:spacing w:before="47"/>
              <w:ind w:right="127"/>
              <w:rPr>
                <w:sz w:val="18"/>
              </w:rPr>
            </w:pPr>
            <w:r>
              <w:rPr>
                <w:sz w:val="18"/>
              </w:rPr>
              <w:t>4.51</w:t>
            </w:r>
          </w:p>
        </w:tc>
        <w:tc>
          <w:tcPr>
            <w:tcW w:w="1277" w:type="dxa"/>
          </w:tcPr>
          <w:p w:rsidR="007C5447" w:rsidRDefault="00F6308C">
            <w:pPr>
              <w:pStyle w:val="TableParagraph"/>
              <w:spacing w:before="47"/>
              <w:ind w:right="122"/>
              <w:rPr>
                <w:sz w:val="18"/>
              </w:rPr>
            </w:pPr>
            <w:r>
              <w:rPr>
                <w:sz w:val="18"/>
              </w:rPr>
              <w:t>39.27</w:t>
            </w:r>
          </w:p>
        </w:tc>
        <w:tc>
          <w:tcPr>
            <w:tcW w:w="1133" w:type="dxa"/>
          </w:tcPr>
          <w:p w:rsidR="007C5447" w:rsidRDefault="00F6308C">
            <w:pPr>
              <w:pStyle w:val="TableParagraph"/>
              <w:spacing w:before="47"/>
              <w:ind w:right="124"/>
              <w:rPr>
                <w:sz w:val="18"/>
              </w:rPr>
            </w:pPr>
            <w:r>
              <w:rPr>
                <w:sz w:val="18"/>
              </w:rPr>
              <w:t>0.02</w:t>
            </w:r>
          </w:p>
        </w:tc>
        <w:tc>
          <w:tcPr>
            <w:tcW w:w="1277" w:type="dxa"/>
          </w:tcPr>
          <w:p w:rsidR="007C5447" w:rsidRDefault="00F6308C">
            <w:pPr>
              <w:pStyle w:val="TableParagraph"/>
              <w:spacing w:before="47"/>
              <w:ind w:right="125"/>
              <w:rPr>
                <w:sz w:val="18"/>
              </w:rPr>
            </w:pPr>
            <w:r>
              <w:rPr>
                <w:sz w:val="18"/>
              </w:rPr>
              <w:t>1.98</w:t>
            </w:r>
          </w:p>
        </w:tc>
        <w:tc>
          <w:tcPr>
            <w:tcW w:w="1134" w:type="dxa"/>
          </w:tcPr>
          <w:p w:rsidR="007C5447" w:rsidRDefault="00F6308C">
            <w:pPr>
              <w:pStyle w:val="TableParagraph"/>
              <w:spacing w:before="47"/>
              <w:ind w:right="126"/>
              <w:rPr>
                <w:sz w:val="18"/>
              </w:rPr>
            </w:pPr>
            <w:r>
              <w:rPr>
                <w:sz w:val="18"/>
              </w:rPr>
              <w:t>0.25</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127"/>
              <w:rPr>
                <w:sz w:val="18"/>
              </w:rPr>
            </w:pPr>
            <w:r>
              <w:rPr>
                <w:sz w:val="18"/>
              </w:rPr>
              <w:t>1.83</w:t>
            </w:r>
          </w:p>
        </w:tc>
        <w:tc>
          <w:tcPr>
            <w:tcW w:w="1542" w:type="dxa"/>
          </w:tcPr>
          <w:p w:rsidR="007C5447" w:rsidRDefault="00F6308C">
            <w:pPr>
              <w:pStyle w:val="TableParagraph"/>
              <w:spacing w:before="47"/>
              <w:ind w:right="128"/>
              <w:rPr>
                <w:sz w:val="18"/>
              </w:rPr>
            </w:pPr>
            <w:r>
              <w:rPr>
                <w:sz w:val="18"/>
              </w:rPr>
              <w:t>163.67</w:t>
            </w:r>
          </w:p>
        </w:tc>
      </w:tr>
      <w:tr w:rsidR="007C5447">
        <w:trPr>
          <w:trHeight w:val="313"/>
        </w:trPr>
        <w:tc>
          <w:tcPr>
            <w:tcW w:w="710" w:type="dxa"/>
          </w:tcPr>
          <w:p w:rsidR="007C5447" w:rsidRDefault="00F6308C">
            <w:pPr>
              <w:pStyle w:val="TableParagraph"/>
              <w:spacing w:before="52"/>
              <w:ind w:left="236" w:right="226"/>
              <w:jc w:val="center"/>
              <w:rPr>
                <w:sz w:val="18"/>
              </w:rPr>
            </w:pPr>
            <w:r>
              <w:rPr>
                <w:sz w:val="18"/>
              </w:rPr>
              <w:t>14</w:t>
            </w:r>
          </w:p>
        </w:tc>
        <w:tc>
          <w:tcPr>
            <w:tcW w:w="1985" w:type="dxa"/>
          </w:tcPr>
          <w:p w:rsidR="007C5447" w:rsidRDefault="00F6308C">
            <w:pPr>
              <w:pStyle w:val="TableParagraph"/>
              <w:spacing w:before="52"/>
              <w:ind w:left="108"/>
              <w:jc w:val="left"/>
              <w:rPr>
                <w:sz w:val="18"/>
              </w:rPr>
            </w:pPr>
            <w:r>
              <w:rPr>
                <w:sz w:val="18"/>
              </w:rPr>
              <w:t>Kundah HEP</w:t>
            </w:r>
          </w:p>
        </w:tc>
        <w:tc>
          <w:tcPr>
            <w:tcW w:w="1274" w:type="dxa"/>
          </w:tcPr>
          <w:p w:rsidR="007C5447" w:rsidRDefault="00F6308C">
            <w:pPr>
              <w:pStyle w:val="TableParagraph"/>
              <w:spacing w:before="52"/>
              <w:ind w:right="120"/>
              <w:rPr>
                <w:sz w:val="18"/>
              </w:rPr>
            </w:pPr>
            <w:r>
              <w:rPr>
                <w:sz w:val="18"/>
              </w:rPr>
              <w:t>87.91</w:t>
            </w:r>
          </w:p>
        </w:tc>
        <w:tc>
          <w:tcPr>
            <w:tcW w:w="1277" w:type="dxa"/>
          </w:tcPr>
          <w:p w:rsidR="007C5447" w:rsidRDefault="00F6308C">
            <w:pPr>
              <w:pStyle w:val="TableParagraph"/>
              <w:spacing w:before="52"/>
              <w:ind w:right="127"/>
              <w:rPr>
                <w:sz w:val="18"/>
              </w:rPr>
            </w:pPr>
            <w:r>
              <w:rPr>
                <w:sz w:val="18"/>
              </w:rPr>
              <w:t>150.22</w:t>
            </w:r>
          </w:p>
        </w:tc>
        <w:tc>
          <w:tcPr>
            <w:tcW w:w="991" w:type="dxa"/>
          </w:tcPr>
          <w:p w:rsidR="007C5447" w:rsidRDefault="00F6308C">
            <w:pPr>
              <w:pStyle w:val="TableParagraph"/>
              <w:spacing w:before="52"/>
              <w:ind w:right="122"/>
              <w:rPr>
                <w:sz w:val="18"/>
              </w:rPr>
            </w:pPr>
            <w:r>
              <w:rPr>
                <w:sz w:val="18"/>
              </w:rPr>
              <w:t>59.80</w:t>
            </w:r>
          </w:p>
        </w:tc>
        <w:tc>
          <w:tcPr>
            <w:tcW w:w="1135" w:type="dxa"/>
          </w:tcPr>
          <w:p w:rsidR="007C5447" w:rsidRDefault="00F6308C">
            <w:pPr>
              <w:pStyle w:val="TableParagraph"/>
              <w:spacing w:before="52"/>
              <w:ind w:right="124"/>
              <w:rPr>
                <w:sz w:val="18"/>
              </w:rPr>
            </w:pPr>
            <w:r>
              <w:rPr>
                <w:sz w:val="18"/>
              </w:rPr>
              <w:t>10.63</w:t>
            </w:r>
          </w:p>
        </w:tc>
        <w:tc>
          <w:tcPr>
            <w:tcW w:w="1277" w:type="dxa"/>
          </w:tcPr>
          <w:p w:rsidR="007C5447" w:rsidRDefault="00F6308C">
            <w:pPr>
              <w:pStyle w:val="TableParagraph"/>
              <w:spacing w:before="52"/>
              <w:ind w:right="122"/>
              <w:rPr>
                <w:sz w:val="18"/>
              </w:rPr>
            </w:pPr>
            <w:r>
              <w:rPr>
                <w:sz w:val="18"/>
              </w:rPr>
              <w:t>60.78</w:t>
            </w:r>
          </w:p>
        </w:tc>
        <w:tc>
          <w:tcPr>
            <w:tcW w:w="1133" w:type="dxa"/>
          </w:tcPr>
          <w:p w:rsidR="007C5447" w:rsidRDefault="00F6308C">
            <w:pPr>
              <w:pStyle w:val="TableParagraph"/>
              <w:spacing w:before="52"/>
              <w:ind w:right="124"/>
              <w:rPr>
                <w:sz w:val="18"/>
              </w:rPr>
            </w:pPr>
            <w:r>
              <w:rPr>
                <w:sz w:val="18"/>
              </w:rPr>
              <w:t>0.09</w:t>
            </w:r>
          </w:p>
        </w:tc>
        <w:tc>
          <w:tcPr>
            <w:tcW w:w="1277" w:type="dxa"/>
          </w:tcPr>
          <w:p w:rsidR="007C5447" w:rsidRDefault="00F6308C">
            <w:pPr>
              <w:pStyle w:val="TableParagraph"/>
              <w:spacing w:before="52"/>
              <w:ind w:right="122"/>
              <w:rPr>
                <w:sz w:val="18"/>
              </w:rPr>
            </w:pPr>
            <w:r>
              <w:rPr>
                <w:sz w:val="18"/>
              </w:rPr>
              <w:t>10.19</w:t>
            </w:r>
          </w:p>
        </w:tc>
        <w:tc>
          <w:tcPr>
            <w:tcW w:w="1134" w:type="dxa"/>
          </w:tcPr>
          <w:p w:rsidR="007C5447" w:rsidRDefault="00F6308C">
            <w:pPr>
              <w:pStyle w:val="TableParagraph"/>
              <w:spacing w:before="52"/>
              <w:ind w:right="126"/>
              <w:rPr>
                <w:sz w:val="18"/>
              </w:rPr>
            </w:pPr>
            <w:r>
              <w:rPr>
                <w:sz w:val="18"/>
              </w:rPr>
              <w:t>0.90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52"/>
              <w:ind w:right="127"/>
              <w:rPr>
                <w:sz w:val="18"/>
              </w:rPr>
            </w:pPr>
            <w:r>
              <w:rPr>
                <w:sz w:val="18"/>
              </w:rPr>
              <w:t>3.00</w:t>
            </w:r>
          </w:p>
        </w:tc>
        <w:tc>
          <w:tcPr>
            <w:tcW w:w="1542" w:type="dxa"/>
          </w:tcPr>
          <w:p w:rsidR="007C5447" w:rsidRDefault="00F6308C">
            <w:pPr>
              <w:pStyle w:val="TableParagraph"/>
              <w:spacing w:before="52"/>
              <w:ind w:right="128"/>
              <w:rPr>
                <w:sz w:val="18"/>
              </w:rPr>
            </w:pPr>
            <w:r>
              <w:rPr>
                <w:sz w:val="18"/>
              </w:rPr>
              <w:t>381.71</w:t>
            </w:r>
          </w:p>
        </w:tc>
      </w:tr>
      <w:tr w:rsidR="007C5447">
        <w:trPr>
          <w:trHeight w:val="330"/>
        </w:trPr>
        <w:tc>
          <w:tcPr>
            <w:tcW w:w="710" w:type="dxa"/>
          </w:tcPr>
          <w:p w:rsidR="007C5447" w:rsidRDefault="00F6308C">
            <w:pPr>
              <w:pStyle w:val="TableParagraph"/>
              <w:spacing w:before="62"/>
              <w:ind w:left="236" w:right="226"/>
              <w:jc w:val="center"/>
              <w:rPr>
                <w:sz w:val="18"/>
              </w:rPr>
            </w:pPr>
            <w:r>
              <w:rPr>
                <w:sz w:val="18"/>
              </w:rPr>
              <w:t>15</w:t>
            </w:r>
          </w:p>
        </w:tc>
        <w:tc>
          <w:tcPr>
            <w:tcW w:w="1985" w:type="dxa"/>
          </w:tcPr>
          <w:p w:rsidR="007C5447" w:rsidRDefault="00F6308C">
            <w:pPr>
              <w:pStyle w:val="TableParagraph"/>
              <w:spacing w:before="62"/>
              <w:ind w:left="108"/>
              <w:jc w:val="left"/>
              <w:rPr>
                <w:sz w:val="18"/>
              </w:rPr>
            </w:pPr>
            <w:r>
              <w:rPr>
                <w:sz w:val="18"/>
              </w:rPr>
              <w:t>Tirunelveli HEP</w:t>
            </w:r>
          </w:p>
        </w:tc>
        <w:tc>
          <w:tcPr>
            <w:tcW w:w="1274" w:type="dxa"/>
          </w:tcPr>
          <w:p w:rsidR="007C5447" w:rsidRDefault="00F6308C">
            <w:pPr>
              <w:pStyle w:val="TableParagraph"/>
              <w:spacing w:before="62"/>
              <w:ind w:right="120"/>
              <w:rPr>
                <w:sz w:val="18"/>
              </w:rPr>
            </w:pPr>
            <w:r>
              <w:rPr>
                <w:sz w:val="18"/>
              </w:rPr>
              <w:t>47.28</w:t>
            </w:r>
          </w:p>
        </w:tc>
        <w:tc>
          <w:tcPr>
            <w:tcW w:w="1277" w:type="dxa"/>
          </w:tcPr>
          <w:p w:rsidR="007C5447" w:rsidRDefault="00F6308C">
            <w:pPr>
              <w:pStyle w:val="TableParagraph"/>
              <w:spacing w:before="62"/>
              <w:ind w:right="123"/>
              <w:rPr>
                <w:sz w:val="18"/>
              </w:rPr>
            </w:pPr>
            <w:r>
              <w:rPr>
                <w:sz w:val="18"/>
              </w:rPr>
              <w:t>71.87</w:t>
            </w:r>
          </w:p>
        </w:tc>
        <w:tc>
          <w:tcPr>
            <w:tcW w:w="991" w:type="dxa"/>
          </w:tcPr>
          <w:p w:rsidR="007C5447" w:rsidRDefault="00F6308C">
            <w:pPr>
              <w:pStyle w:val="TableParagraph"/>
              <w:spacing w:before="62"/>
              <w:ind w:right="122"/>
              <w:rPr>
                <w:sz w:val="18"/>
              </w:rPr>
            </w:pPr>
            <w:r>
              <w:rPr>
                <w:sz w:val="18"/>
              </w:rPr>
              <w:t>28.10</w:t>
            </w:r>
          </w:p>
        </w:tc>
        <w:tc>
          <w:tcPr>
            <w:tcW w:w="1135" w:type="dxa"/>
          </w:tcPr>
          <w:p w:rsidR="007C5447" w:rsidRDefault="00F6308C">
            <w:pPr>
              <w:pStyle w:val="TableParagraph"/>
              <w:spacing w:before="62"/>
              <w:ind w:right="127"/>
              <w:rPr>
                <w:sz w:val="18"/>
              </w:rPr>
            </w:pPr>
            <w:r>
              <w:rPr>
                <w:sz w:val="18"/>
              </w:rPr>
              <w:t>5.93</w:t>
            </w:r>
          </w:p>
        </w:tc>
        <w:tc>
          <w:tcPr>
            <w:tcW w:w="1277" w:type="dxa"/>
          </w:tcPr>
          <w:p w:rsidR="007C5447" w:rsidRDefault="00F6308C">
            <w:pPr>
              <w:pStyle w:val="TableParagraph"/>
              <w:spacing w:before="62"/>
              <w:ind w:right="122"/>
              <w:rPr>
                <w:sz w:val="18"/>
              </w:rPr>
            </w:pPr>
            <w:r>
              <w:rPr>
                <w:sz w:val="18"/>
              </w:rPr>
              <w:t>52.72</w:t>
            </w:r>
          </w:p>
        </w:tc>
        <w:tc>
          <w:tcPr>
            <w:tcW w:w="1133" w:type="dxa"/>
          </w:tcPr>
          <w:p w:rsidR="007C5447" w:rsidRDefault="00F6308C">
            <w:pPr>
              <w:pStyle w:val="TableParagraph"/>
              <w:spacing w:before="62"/>
              <w:ind w:right="124"/>
              <w:rPr>
                <w:sz w:val="18"/>
              </w:rPr>
            </w:pPr>
            <w:r>
              <w:rPr>
                <w:sz w:val="18"/>
              </w:rPr>
              <w:t>0.08</w:t>
            </w:r>
          </w:p>
        </w:tc>
        <w:tc>
          <w:tcPr>
            <w:tcW w:w="1277" w:type="dxa"/>
          </w:tcPr>
          <w:p w:rsidR="007C5447" w:rsidRDefault="00F6308C">
            <w:pPr>
              <w:pStyle w:val="TableParagraph"/>
              <w:spacing w:before="62"/>
              <w:ind w:right="125"/>
              <w:rPr>
                <w:sz w:val="18"/>
              </w:rPr>
            </w:pPr>
            <w:r>
              <w:rPr>
                <w:sz w:val="18"/>
              </w:rPr>
              <w:t>3.03</w:t>
            </w:r>
          </w:p>
        </w:tc>
        <w:tc>
          <w:tcPr>
            <w:tcW w:w="1134" w:type="dxa"/>
          </w:tcPr>
          <w:p w:rsidR="007C5447" w:rsidRDefault="00F6308C">
            <w:pPr>
              <w:pStyle w:val="TableParagraph"/>
              <w:spacing w:before="62"/>
              <w:ind w:right="126"/>
              <w:rPr>
                <w:sz w:val="18"/>
              </w:rPr>
            </w:pPr>
            <w:r>
              <w:rPr>
                <w:sz w:val="18"/>
              </w:rPr>
              <w:t>0.47</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62"/>
              <w:ind w:right="127"/>
              <w:rPr>
                <w:sz w:val="18"/>
              </w:rPr>
            </w:pPr>
            <w:r>
              <w:rPr>
                <w:sz w:val="18"/>
              </w:rPr>
              <w:t>3.19</w:t>
            </w:r>
          </w:p>
        </w:tc>
        <w:tc>
          <w:tcPr>
            <w:tcW w:w="1542" w:type="dxa"/>
          </w:tcPr>
          <w:p w:rsidR="007C5447" w:rsidRDefault="00F6308C">
            <w:pPr>
              <w:pStyle w:val="TableParagraph"/>
              <w:spacing w:before="62"/>
              <w:ind w:right="128"/>
              <w:rPr>
                <w:sz w:val="18"/>
              </w:rPr>
            </w:pPr>
            <w:r>
              <w:rPr>
                <w:sz w:val="18"/>
              </w:rPr>
              <w:t>211.73</w:t>
            </w:r>
          </w:p>
        </w:tc>
      </w:tr>
      <w:tr w:rsidR="007C5447">
        <w:trPr>
          <w:trHeight w:val="328"/>
        </w:trPr>
        <w:tc>
          <w:tcPr>
            <w:tcW w:w="710" w:type="dxa"/>
          </w:tcPr>
          <w:p w:rsidR="007C5447" w:rsidRDefault="00F6308C">
            <w:pPr>
              <w:pStyle w:val="TableParagraph"/>
              <w:spacing w:before="59"/>
              <w:ind w:left="236" w:right="226"/>
              <w:jc w:val="center"/>
              <w:rPr>
                <w:b/>
                <w:sz w:val="18"/>
              </w:rPr>
            </w:pPr>
            <w:r>
              <w:rPr>
                <w:b/>
                <w:sz w:val="18"/>
              </w:rPr>
              <w:t>16</w:t>
            </w:r>
          </w:p>
        </w:tc>
        <w:tc>
          <w:tcPr>
            <w:tcW w:w="1985" w:type="dxa"/>
          </w:tcPr>
          <w:p w:rsidR="007C5447" w:rsidRDefault="00F6308C">
            <w:pPr>
              <w:pStyle w:val="TableParagraph"/>
              <w:spacing w:before="59"/>
              <w:ind w:left="108"/>
              <w:jc w:val="left"/>
              <w:rPr>
                <w:b/>
                <w:sz w:val="18"/>
              </w:rPr>
            </w:pPr>
            <w:r>
              <w:rPr>
                <w:b/>
                <w:sz w:val="18"/>
              </w:rPr>
              <w:t>Total Generation</w:t>
            </w:r>
          </w:p>
        </w:tc>
        <w:tc>
          <w:tcPr>
            <w:tcW w:w="1274" w:type="dxa"/>
          </w:tcPr>
          <w:p w:rsidR="007C5447" w:rsidRDefault="00F6308C">
            <w:pPr>
              <w:pStyle w:val="TableParagraph"/>
              <w:spacing w:before="59"/>
              <w:ind w:right="123"/>
              <w:rPr>
                <w:b/>
                <w:sz w:val="18"/>
              </w:rPr>
            </w:pPr>
            <w:r>
              <w:rPr>
                <w:b/>
                <w:sz w:val="18"/>
              </w:rPr>
              <w:t>1,577.18</w:t>
            </w:r>
          </w:p>
        </w:tc>
        <w:tc>
          <w:tcPr>
            <w:tcW w:w="1277" w:type="dxa"/>
          </w:tcPr>
          <w:p w:rsidR="007C5447" w:rsidRDefault="00F6308C">
            <w:pPr>
              <w:pStyle w:val="TableParagraph"/>
              <w:spacing w:before="59"/>
              <w:ind w:right="126"/>
              <w:rPr>
                <w:b/>
                <w:sz w:val="18"/>
              </w:rPr>
            </w:pPr>
            <w:r>
              <w:rPr>
                <w:b/>
                <w:sz w:val="18"/>
              </w:rPr>
              <w:t>2,816.06</w:t>
            </w:r>
          </w:p>
        </w:tc>
        <w:tc>
          <w:tcPr>
            <w:tcW w:w="991" w:type="dxa"/>
          </w:tcPr>
          <w:p w:rsidR="007C5447" w:rsidRDefault="00F6308C">
            <w:pPr>
              <w:pStyle w:val="TableParagraph"/>
              <w:spacing w:before="59"/>
              <w:ind w:right="125"/>
              <w:rPr>
                <w:b/>
                <w:sz w:val="18"/>
              </w:rPr>
            </w:pPr>
            <w:r>
              <w:rPr>
                <w:b/>
                <w:sz w:val="18"/>
              </w:rPr>
              <w:t>929.26</w:t>
            </w:r>
          </w:p>
        </w:tc>
        <w:tc>
          <w:tcPr>
            <w:tcW w:w="1135" w:type="dxa"/>
          </w:tcPr>
          <w:p w:rsidR="007C5447" w:rsidRDefault="00F6308C">
            <w:pPr>
              <w:pStyle w:val="TableParagraph"/>
              <w:spacing w:before="59"/>
              <w:ind w:right="127"/>
              <w:rPr>
                <w:b/>
                <w:sz w:val="18"/>
              </w:rPr>
            </w:pPr>
            <w:r>
              <w:rPr>
                <w:b/>
                <w:sz w:val="18"/>
              </w:rPr>
              <w:t>601.59</w:t>
            </w:r>
          </w:p>
        </w:tc>
        <w:tc>
          <w:tcPr>
            <w:tcW w:w="1277" w:type="dxa"/>
          </w:tcPr>
          <w:p w:rsidR="007C5447" w:rsidRDefault="00F6308C">
            <w:pPr>
              <w:pStyle w:val="TableParagraph"/>
              <w:spacing w:before="59"/>
              <w:ind w:right="125"/>
              <w:rPr>
                <w:b/>
                <w:sz w:val="18"/>
              </w:rPr>
            </w:pPr>
            <w:r>
              <w:rPr>
                <w:b/>
                <w:sz w:val="18"/>
              </w:rPr>
              <w:t>1,670.33</w:t>
            </w:r>
          </w:p>
        </w:tc>
        <w:tc>
          <w:tcPr>
            <w:tcW w:w="1133" w:type="dxa"/>
          </w:tcPr>
          <w:p w:rsidR="007C5447" w:rsidRDefault="00F6308C">
            <w:pPr>
              <w:pStyle w:val="TableParagraph"/>
              <w:spacing w:before="59"/>
              <w:ind w:right="124"/>
              <w:rPr>
                <w:b/>
                <w:sz w:val="18"/>
              </w:rPr>
            </w:pPr>
            <w:r>
              <w:rPr>
                <w:b/>
                <w:sz w:val="18"/>
              </w:rPr>
              <w:t>3.43</w:t>
            </w:r>
          </w:p>
        </w:tc>
        <w:tc>
          <w:tcPr>
            <w:tcW w:w="1277" w:type="dxa"/>
          </w:tcPr>
          <w:p w:rsidR="007C5447" w:rsidRDefault="00F6308C">
            <w:pPr>
              <w:pStyle w:val="TableParagraph"/>
              <w:spacing w:before="59"/>
              <w:ind w:right="125"/>
              <w:rPr>
                <w:b/>
                <w:sz w:val="18"/>
              </w:rPr>
            </w:pPr>
            <w:r>
              <w:rPr>
                <w:b/>
                <w:sz w:val="18"/>
              </w:rPr>
              <w:t>103.55</w:t>
            </w:r>
          </w:p>
        </w:tc>
        <w:tc>
          <w:tcPr>
            <w:tcW w:w="1134" w:type="dxa"/>
          </w:tcPr>
          <w:p w:rsidR="007C5447" w:rsidRDefault="00F6308C">
            <w:pPr>
              <w:pStyle w:val="TableParagraph"/>
              <w:spacing w:before="59"/>
              <w:ind w:right="126"/>
              <w:rPr>
                <w:b/>
                <w:sz w:val="18"/>
              </w:rPr>
            </w:pPr>
            <w:r>
              <w:rPr>
                <w:b/>
                <w:sz w:val="18"/>
              </w:rPr>
              <w:t>144.35</w:t>
            </w:r>
          </w:p>
        </w:tc>
        <w:tc>
          <w:tcPr>
            <w:tcW w:w="1136" w:type="dxa"/>
          </w:tcPr>
          <w:p w:rsidR="007C5447" w:rsidRDefault="00F6308C">
            <w:pPr>
              <w:pStyle w:val="TableParagraph"/>
              <w:spacing w:before="59"/>
              <w:ind w:right="127"/>
              <w:rPr>
                <w:b/>
                <w:sz w:val="18"/>
              </w:rPr>
            </w:pPr>
            <w:r>
              <w:rPr>
                <w:b/>
                <w:w w:val="99"/>
                <w:sz w:val="18"/>
              </w:rPr>
              <w:t>-</w:t>
            </w:r>
          </w:p>
        </w:tc>
        <w:tc>
          <w:tcPr>
            <w:tcW w:w="1275" w:type="dxa"/>
          </w:tcPr>
          <w:p w:rsidR="007C5447" w:rsidRDefault="00F6308C">
            <w:pPr>
              <w:pStyle w:val="TableParagraph"/>
              <w:spacing w:before="59"/>
              <w:ind w:right="124"/>
              <w:rPr>
                <w:b/>
                <w:sz w:val="18"/>
              </w:rPr>
            </w:pPr>
            <w:r>
              <w:rPr>
                <w:b/>
                <w:sz w:val="18"/>
              </w:rPr>
              <w:t>50.55</w:t>
            </w:r>
          </w:p>
        </w:tc>
        <w:tc>
          <w:tcPr>
            <w:tcW w:w="1542" w:type="dxa"/>
          </w:tcPr>
          <w:p w:rsidR="007C5447" w:rsidRDefault="00F6308C">
            <w:pPr>
              <w:pStyle w:val="TableParagraph"/>
              <w:spacing w:before="59"/>
              <w:ind w:right="128"/>
              <w:rPr>
                <w:b/>
                <w:sz w:val="18"/>
              </w:rPr>
            </w:pPr>
            <w:r>
              <w:rPr>
                <w:b/>
                <w:sz w:val="18"/>
              </w:rPr>
              <w:t>7,607.59</w:t>
            </w:r>
          </w:p>
        </w:tc>
      </w:tr>
      <w:tr w:rsidR="007C5447">
        <w:trPr>
          <w:trHeight w:val="330"/>
        </w:trPr>
        <w:tc>
          <w:tcPr>
            <w:tcW w:w="710" w:type="dxa"/>
          </w:tcPr>
          <w:p w:rsidR="007C5447" w:rsidRDefault="00F6308C">
            <w:pPr>
              <w:pStyle w:val="TableParagraph"/>
              <w:spacing w:before="62"/>
              <w:ind w:left="236" w:right="226"/>
              <w:jc w:val="center"/>
              <w:rPr>
                <w:b/>
                <w:sz w:val="18"/>
              </w:rPr>
            </w:pPr>
            <w:r>
              <w:rPr>
                <w:b/>
                <w:sz w:val="18"/>
              </w:rPr>
              <w:t>17</w:t>
            </w:r>
          </w:p>
        </w:tc>
        <w:tc>
          <w:tcPr>
            <w:tcW w:w="1985" w:type="dxa"/>
          </w:tcPr>
          <w:p w:rsidR="007C5447" w:rsidRDefault="00F6308C">
            <w:pPr>
              <w:pStyle w:val="TableParagraph"/>
              <w:spacing w:before="62"/>
              <w:ind w:left="108"/>
              <w:jc w:val="left"/>
              <w:rPr>
                <w:b/>
                <w:sz w:val="18"/>
              </w:rPr>
            </w:pPr>
            <w:r>
              <w:rPr>
                <w:b/>
                <w:sz w:val="18"/>
              </w:rPr>
              <w:t>Distribution</w:t>
            </w:r>
          </w:p>
        </w:tc>
        <w:tc>
          <w:tcPr>
            <w:tcW w:w="1274" w:type="dxa"/>
          </w:tcPr>
          <w:p w:rsidR="007C5447" w:rsidRDefault="00F6308C">
            <w:pPr>
              <w:pStyle w:val="TableParagraph"/>
              <w:spacing w:before="62"/>
              <w:ind w:right="123"/>
              <w:rPr>
                <w:b/>
                <w:sz w:val="18"/>
              </w:rPr>
            </w:pPr>
            <w:r>
              <w:rPr>
                <w:b/>
                <w:sz w:val="18"/>
              </w:rPr>
              <w:t>645.79</w:t>
            </w:r>
          </w:p>
        </w:tc>
        <w:tc>
          <w:tcPr>
            <w:tcW w:w="1277" w:type="dxa"/>
          </w:tcPr>
          <w:p w:rsidR="007C5447" w:rsidRDefault="00F6308C">
            <w:pPr>
              <w:pStyle w:val="TableParagraph"/>
              <w:spacing w:before="62"/>
              <w:ind w:right="126"/>
              <w:rPr>
                <w:b/>
                <w:sz w:val="18"/>
              </w:rPr>
            </w:pPr>
            <w:r>
              <w:rPr>
                <w:b/>
                <w:sz w:val="18"/>
              </w:rPr>
              <w:t>2,994.85</w:t>
            </w:r>
          </w:p>
        </w:tc>
        <w:tc>
          <w:tcPr>
            <w:tcW w:w="991" w:type="dxa"/>
          </w:tcPr>
          <w:p w:rsidR="007C5447" w:rsidRDefault="00F6308C">
            <w:pPr>
              <w:pStyle w:val="TableParagraph"/>
              <w:spacing w:before="62"/>
              <w:ind w:right="125"/>
              <w:rPr>
                <w:b/>
                <w:sz w:val="18"/>
              </w:rPr>
            </w:pPr>
            <w:r>
              <w:rPr>
                <w:b/>
                <w:sz w:val="18"/>
              </w:rPr>
              <w:t>609.62</w:t>
            </w:r>
          </w:p>
        </w:tc>
        <w:tc>
          <w:tcPr>
            <w:tcW w:w="1135" w:type="dxa"/>
          </w:tcPr>
          <w:p w:rsidR="007C5447" w:rsidRDefault="00F6308C">
            <w:pPr>
              <w:pStyle w:val="TableParagraph"/>
              <w:spacing w:before="62"/>
              <w:ind w:right="127"/>
              <w:rPr>
                <w:b/>
                <w:sz w:val="18"/>
              </w:rPr>
            </w:pPr>
            <w:r>
              <w:rPr>
                <w:b/>
                <w:sz w:val="18"/>
              </w:rPr>
              <w:t>351.19</w:t>
            </w:r>
          </w:p>
        </w:tc>
        <w:tc>
          <w:tcPr>
            <w:tcW w:w="1277" w:type="dxa"/>
          </w:tcPr>
          <w:p w:rsidR="007C5447" w:rsidRDefault="00F6308C">
            <w:pPr>
              <w:pStyle w:val="TableParagraph"/>
              <w:spacing w:before="62"/>
              <w:ind w:right="125"/>
              <w:rPr>
                <w:b/>
                <w:sz w:val="18"/>
              </w:rPr>
            </w:pPr>
            <w:r>
              <w:rPr>
                <w:b/>
                <w:sz w:val="18"/>
              </w:rPr>
              <w:t>5,850.89</w:t>
            </w:r>
          </w:p>
        </w:tc>
        <w:tc>
          <w:tcPr>
            <w:tcW w:w="1133" w:type="dxa"/>
          </w:tcPr>
          <w:p w:rsidR="007C5447" w:rsidRDefault="00F6308C">
            <w:pPr>
              <w:pStyle w:val="TableParagraph"/>
              <w:spacing w:before="62"/>
              <w:ind w:right="122"/>
              <w:rPr>
                <w:b/>
                <w:sz w:val="18"/>
              </w:rPr>
            </w:pPr>
            <w:r>
              <w:rPr>
                <w:b/>
                <w:sz w:val="18"/>
              </w:rPr>
              <w:t>13.19</w:t>
            </w:r>
          </w:p>
        </w:tc>
        <w:tc>
          <w:tcPr>
            <w:tcW w:w="1277" w:type="dxa"/>
          </w:tcPr>
          <w:p w:rsidR="007C5447" w:rsidRDefault="007C5447">
            <w:pPr>
              <w:pStyle w:val="TableParagraph"/>
              <w:jc w:val="left"/>
              <w:rPr>
                <w:sz w:val="18"/>
              </w:rPr>
            </w:pPr>
          </w:p>
        </w:tc>
        <w:tc>
          <w:tcPr>
            <w:tcW w:w="1134" w:type="dxa"/>
          </w:tcPr>
          <w:p w:rsidR="007C5447" w:rsidRDefault="00F6308C">
            <w:pPr>
              <w:pStyle w:val="TableParagraph"/>
              <w:spacing w:before="62"/>
              <w:ind w:right="126"/>
              <w:rPr>
                <w:b/>
                <w:sz w:val="18"/>
              </w:rPr>
            </w:pPr>
            <w:r>
              <w:rPr>
                <w:b/>
                <w:sz w:val="18"/>
              </w:rPr>
              <w:t>704.27</w:t>
            </w:r>
          </w:p>
        </w:tc>
        <w:tc>
          <w:tcPr>
            <w:tcW w:w="1136" w:type="dxa"/>
          </w:tcPr>
          <w:p w:rsidR="007C5447" w:rsidRDefault="00F6308C">
            <w:pPr>
              <w:pStyle w:val="TableParagraph"/>
              <w:spacing w:before="62"/>
              <w:ind w:right="130"/>
              <w:rPr>
                <w:b/>
                <w:sz w:val="18"/>
              </w:rPr>
            </w:pPr>
            <w:r>
              <w:rPr>
                <w:b/>
                <w:sz w:val="18"/>
              </w:rPr>
              <w:t>971.70</w:t>
            </w:r>
          </w:p>
        </w:tc>
        <w:tc>
          <w:tcPr>
            <w:tcW w:w="1275" w:type="dxa"/>
          </w:tcPr>
          <w:p w:rsidR="007C5447" w:rsidRDefault="00F6308C">
            <w:pPr>
              <w:pStyle w:val="TableParagraph"/>
              <w:spacing w:before="62"/>
              <w:ind w:right="127"/>
              <w:rPr>
                <w:b/>
                <w:sz w:val="18"/>
              </w:rPr>
            </w:pPr>
            <w:r>
              <w:rPr>
                <w:b/>
                <w:sz w:val="18"/>
              </w:rPr>
              <w:t>950.30</w:t>
            </w:r>
          </w:p>
        </w:tc>
        <w:tc>
          <w:tcPr>
            <w:tcW w:w="1542" w:type="dxa"/>
          </w:tcPr>
          <w:p w:rsidR="007C5447" w:rsidRDefault="00F6308C">
            <w:pPr>
              <w:pStyle w:val="TableParagraph"/>
              <w:spacing w:before="62"/>
              <w:ind w:right="128"/>
              <w:rPr>
                <w:b/>
                <w:sz w:val="18"/>
              </w:rPr>
            </w:pPr>
            <w:r>
              <w:rPr>
                <w:b/>
                <w:sz w:val="18"/>
              </w:rPr>
              <w:t>9,739.87</w:t>
            </w:r>
          </w:p>
        </w:tc>
      </w:tr>
      <w:tr w:rsidR="007C5447">
        <w:trPr>
          <w:trHeight w:val="331"/>
        </w:trPr>
        <w:tc>
          <w:tcPr>
            <w:tcW w:w="710" w:type="dxa"/>
          </w:tcPr>
          <w:p w:rsidR="007C5447" w:rsidRDefault="00F6308C">
            <w:pPr>
              <w:pStyle w:val="TableParagraph"/>
              <w:spacing w:before="62"/>
              <w:ind w:left="236" w:right="226"/>
              <w:jc w:val="center"/>
              <w:rPr>
                <w:b/>
                <w:sz w:val="18"/>
              </w:rPr>
            </w:pPr>
            <w:r>
              <w:rPr>
                <w:b/>
                <w:sz w:val="18"/>
              </w:rPr>
              <w:t>18</w:t>
            </w:r>
          </w:p>
        </w:tc>
        <w:tc>
          <w:tcPr>
            <w:tcW w:w="1985" w:type="dxa"/>
          </w:tcPr>
          <w:p w:rsidR="007C5447" w:rsidRDefault="00F6308C">
            <w:pPr>
              <w:pStyle w:val="TableParagraph"/>
              <w:spacing w:before="62"/>
              <w:ind w:left="108"/>
              <w:jc w:val="left"/>
              <w:rPr>
                <w:b/>
                <w:sz w:val="18"/>
              </w:rPr>
            </w:pPr>
            <w:r>
              <w:rPr>
                <w:b/>
                <w:sz w:val="18"/>
              </w:rPr>
              <w:t>Total</w:t>
            </w:r>
          </w:p>
        </w:tc>
        <w:tc>
          <w:tcPr>
            <w:tcW w:w="1274" w:type="dxa"/>
          </w:tcPr>
          <w:p w:rsidR="007C5447" w:rsidRDefault="00F6308C">
            <w:pPr>
              <w:pStyle w:val="TableParagraph"/>
              <w:spacing w:before="62"/>
              <w:ind w:right="123"/>
              <w:rPr>
                <w:b/>
                <w:sz w:val="18"/>
              </w:rPr>
            </w:pPr>
            <w:r>
              <w:rPr>
                <w:b/>
                <w:sz w:val="18"/>
              </w:rPr>
              <w:t>2,222.97</w:t>
            </w:r>
          </w:p>
        </w:tc>
        <w:tc>
          <w:tcPr>
            <w:tcW w:w="1277" w:type="dxa"/>
          </w:tcPr>
          <w:p w:rsidR="007C5447" w:rsidRDefault="00F6308C">
            <w:pPr>
              <w:pStyle w:val="TableParagraph"/>
              <w:spacing w:before="62"/>
              <w:ind w:right="126"/>
              <w:rPr>
                <w:b/>
                <w:sz w:val="18"/>
              </w:rPr>
            </w:pPr>
            <w:r>
              <w:rPr>
                <w:b/>
                <w:sz w:val="18"/>
              </w:rPr>
              <w:t>5,810.91</w:t>
            </w:r>
          </w:p>
        </w:tc>
        <w:tc>
          <w:tcPr>
            <w:tcW w:w="991" w:type="dxa"/>
          </w:tcPr>
          <w:p w:rsidR="007C5447" w:rsidRDefault="00F6308C">
            <w:pPr>
              <w:pStyle w:val="TableParagraph"/>
              <w:spacing w:before="62"/>
              <w:ind w:right="125"/>
              <w:rPr>
                <w:b/>
                <w:sz w:val="18"/>
              </w:rPr>
            </w:pPr>
            <w:r>
              <w:rPr>
                <w:b/>
                <w:sz w:val="18"/>
              </w:rPr>
              <w:t>1,538.88</w:t>
            </w:r>
          </w:p>
        </w:tc>
        <w:tc>
          <w:tcPr>
            <w:tcW w:w="1135" w:type="dxa"/>
          </w:tcPr>
          <w:p w:rsidR="007C5447" w:rsidRDefault="00F6308C">
            <w:pPr>
              <w:pStyle w:val="TableParagraph"/>
              <w:spacing w:before="62"/>
              <w:ind w:right="127"/>
              <w:rPr>
                <w:b/>
                <w:sz w:val="18"/>
              </w:rPr>
            </w:pPr>
            <w:r>
              <w:rPr>
                <w:b/>
                <w:sz w:val="18"/>
              </w:rPr>
              <w:t>952.79</w:t>
            </w:r>
          </w:p>
        </w:tc>
        <w:tc>
          <w:tcPr>
            <w:tcW w:w="1277" w:type="dxa"/>
          </w:tcPr>
          <w:p w:rsidR="007C5447" w:rsidRDefault="00F6308C">
            <w:pPr>
              <w:pStyle w:val="TableParagraph"/>
              <w:spacing w:before="62"/>
              <w:ind w:right="125"/>
              <w:rPr>
                <w:b/>
                <w:sz w:val="18"/>
              </w:rPr>
            </w:pPr>
            <w:r>
              <w:rPr>
                <w:b/>
                <w:sz w:val="18"/>
              </w:rPr>
              <w:t>7,521.22</w:t>
            </w:r>
          </w:p>
        </w:tc>
        <w:tc>
          <w:tcPr>
            <w:tcW w:w="1133" w:type="dxa"/>
          </w:tcPr>
          <w:p w:rsidR="007C5447" w:rsidRDefault="00F6308C">
            <w:pPr>
              <w:pStyle w:val="TableParagraph"/>
              <w:spacing w:before="62"/>
              <w:ind w:right="122"/>
              <w:rPr>
                <w:b/>
                <w:sz w:val="18"/>
              </w:rPr>
            </w:pPr>
            <w:r>
              <w:rPr>
                <w:b/>
                <w:sz w:val="18"/>
              </w:rPr>
              <w:t>16.61</w:t>
            </w:r>
          </w:p>
        </w:tc>
        <w:tc>
          <w:tcPr>
            <w:tcW w:w="1277" w:type="dxa"/>
          </w:tcPr>
          <w:p w:rsidR="007C5447" w:rsidRDefault="00F6308C">
            <w:pPr>
              <w:pStyle w:val="TableParagraph"/>
              <w:spacing w:before="62"/>
              <w:ind w:right="125"/>
              <w:rPr>
                <w:b/>
                <w:sz w:val="18"/>
              </w:rPr>
            </w:pPr>
            <w:r>
              <w:rPr>
                <w:b/>
                <w:sz w:val="18"/>
              </w:rPr>
              <w:t>103.55</w:t>
            </w:r>
          </w:p>
        </w:tc>
        <w:tc>
          <w:tcPr>
            <w:tcW w:w="1134" w:type="dxa"/>
          </w:tcPr>
          <w:p w:rsidR="007C5447" w:rsidRDefault="00F6308C">
            <w:pPr>
              <w:pStyle w:val="TableParagraph"/>
              <w:spacing w:before="62"/>
              <w:ind w:right="126"/>
              <w:rPr>
                <w:b/>
                <w:sz w:val="18"/>
              </w:rPr>
            </w:pPr>
            <w:r>
              <w:rPr>
                <w:b/>
                <w:sz w:val="18"/>
              </w:rPr>
              <w:t>848.62</w:t>
            </w:r>
          </w:p>
        </w:tc>
        <w:tc>
          <w:tcPr>
            <w:tcW w:w="1136" w:type="dxa"/>
          </w:tcPr>
          <w:p w:rsidR="007C5447" w:rsidRDefault="00F6308C">
            <w:pPr>
              <w:pStyle w:val="TableParagraph"/>
              <w:spacing w:before="62"/>
              <w:ind w:right="130"/>
              <w:rPr>
                <w:b/>
                <w:sz w:val="18"/>
              </w:rPr>
            </w:pPr>
            <w:r>
              <w:rPr>
                <w:b/>
                <w:sz w:val="18"/>
              </w:rPr>
              <w:t>971.70</w:t>
            </w:r>
          </w:p>
        </w:tc>
        <w:tc>
          <w:tcPr>
            <w:tcW w:w="1275" w:type="dxa"/>
          </w:tcPr>
          <w:p w:rsidR="007C5447" w:rsidRDefault="00F6308C">
            <w:pPr>
              <w:pStyle w:val="TableParagraph"/>
              <w:spacing w:before="62"/>
              <w:ind w:right="127"/>
              <w:rPr>
                <w:b/>
                <w:sz w:val="18"/>
              </w:rPr>
            </w:pPr>
            <w:r>
              <w:rPr>
                <w:b/>
                <w:sz w:val="18"/>
              </w:rPr>
              <w:t>1,000.84</w:t>
            </w:r>
          </w:p>
        </w:tc>
        <w:tc>
          <w:tcPr>
            <w:tcW w:w="1542" w:type="dxa"/>
          </w:tcPr>
          <w:p w:rsidR="007C5447" w:rsidRDefault="00F6308C">
            <w:pPr>
              <w:pStyle w:val="TableParagraph"/>
              <w:spacing w:before="62"/>
              <w:ind w:right="128"/>
              <w:rPr>
                <w:b/>
                <w:sz w:val="18"/>
              </w:rPr>
            </w:pPr>
            <w:r>
              <w:rPr>
                <w:b/>
                <w:sz w:val="18"/>
              </w:rPr>
              <w:t>17,347.46</w:t>
            </w:r>
          </w:p>
        </w:tc>
      </w:tr>
    </w:tbl>
    <w:p w:rsidR="007C5447" w:rsidRDefault="007C5447">
      <w:pPr>
        <w:pStyle w:val="BodyText"/>
        <w:spacing w:before="10"/>
        <w:rPr>
          <w:b/>
          <w:sz w:val="20"/>
        </w:rPr>
      </w:pPr>
    </w:p>
    <w:p w:rsidR="007C5447" w:rsidRDefault="00F6308C">
      <w:pPr>
        <w:ind w:left="1100"/>
        <w:rPr>
          <w:b/>
          <w:sz w:val="20"/>
        </w:rPr>
      </w:pPr>
      <w:r>
        <w:rPr>
          <w:b/>
          <w:sz w:val="20"/>
        </w:rPr>
        <w:t>*In Table 4-13, Depreciation for Erode has been submitted as Rs. 77.47 Crore</w:t>
      </w:r>
    </w:p>
    <w:p w:rsidR="007C5447" w:rsidRDefault="007C5447">
      <w:pPr>
        <w:rPr>
          <w:sz w:val="20"/>
        </w:rPr>
        <w:sectPr w:rsidR="007C5447">
          <w:pgSz w:w="16840" w:h="11910" w:orient="landscape"/>
          <w:pgMar w:top="1100" w:right="120" w:bottom="1240" w:left="340" w:header="0" w:footer="1057" w:gutter="0"/>
          <w:cols w:space="720"/>
        </w:sectPr>
      </w:pPr>
    </w:p>
    <w:p w:rsidR="007C5447" w:rsidRDefault="00F6308C">
      <w:pPr>
        <w:pStyle w:val="Heading2"/>
        <w:spacing w:before="61"/>
      </w:pPr>
      <w:r>
        <w:lastRenderedPageBreak/>
        <w:t>Commission’s Views</w:t>
      </w:r>
    </w:p>
    <w:p w:rsidR="007C5447" w:rsidRDefault="007C5447">
      <w:pPr>
        <w:pStyle w:val="BodyText"/>
        <w:spacing w:before="11"/>
        <w:rPr>
          <w:b/>
          <w:sz w:val="27"/>
        </w:rPr>
      </w:pPr>
    </w:p>
    <w:p w:rsidR="007C5447" w:rsidRDefault="00F6308C">
      <w:pPr>
        <w:ind w:left="1072"/>
        <w:rPr>
          <w:b/>
          <w:sz w:val="24"/>
        </w:rPr>
      </w:pPr>
      <w:r>
        <w:rPr>
          <w:b/>
          <w:sz w:val="24"/>
        </w:rPr>
        <w:t>Distribution Function</w:t>
      </w:r>
    </w:p>
    <w:p w:rsidR="007C5447" w:rsidRDefault="00F6308C">
      <w:pPr>
        <w:pStyle w:val="ListParagraph"/>
        <w:numPr>
          <w:ilvl w:val="2"/>
          <w:numId w:val="114"/>
        </w:numPr>
        <w:tabs>
          <w:tab w:val="left" w:pos="1073"/>
        </w:tabs>
        <w:spacing w:before="204" w:line="312" w:lineRule="auto"/>
        <w:ind w:right="230" w:hanging="852"/>
        <w:jc w:val="both"/>
        <w:rPr>
          <w:sz w:val="24"/>
        </w:rPr>
      </w:pPr>
      <w:r>
        <w:rPr>
          <w:sz w:val="24"/>
        </w:rPr>
        <w:t>Based on the component-wise approval given as elaborated in the above Sections, the summary of TANGEDCO’s Fixed Cost for Distribution function for the Control Period from FY 2016-17 to FY 2018-19 is shown in the Table</w:t>
      </w:r>
      <w:r>
        <w:rPr>
          <w:spacing w:val="-2"/>
          <w:sz w:val="24"/>
        </w:rPr>
        <w:t xml:space="preserve"> </w:t>
      </w:r>
      <w:r>
        <w:rPr>
          <w:sz w:val="24"/>
        </w:rPr>
        <w:t>below:</w:t>
      </w:r>
    </w:p>
    <w:p w:rsidR="007C5447" w:rsidRDefault="007C5447">
      <w:pPr>
        <w:pStyle w:val="BodyText"/>
        <w:spacing w:before="11"/>
        <w:rPr>
          <w:sz w:val="20"/>
        </w:rPr>
      </w:pPr>
    </w:p>
    <w:p w:rsidR="007C5447" w:rsidRDefault="00F6308C">
      <w:pPr>
        <w:spacing w:line="312" w:lineRule="auto"/>
        <w:ind w:left="3005" w:right="280" w:hanging="2003"/>
        <w:rPr>
          <w:b/>
        </w:rPr>
      </w:pPr>
      <w:r>
        <w:rPr>
          <w:b/>
        </w:rPr>
        <w:t>Table 4-31: Fixed Cost summary</w:t>
      </w:r>
      <w:r>
        <w:rPr>
          <w:b/>
        </w:rPr>
        <w:t xml:space="preserve"> for Distribution function from FY 2016-17 to FY 2018-19 as approved by Commission (Rs. Crore)</w:t>
      </w:r>
    </w:p>
    <w:p w:rsidR="007C5447" w:rsidRDefault="007C5447">
      <w:pPr>
        <w:pStyle w:val="BodyText"/>
        <w:spacing w:before="3" w:after="1"/>
        <w:rPr>
          <w:b/>
          <w:sz w:val="1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6"/>
        <w:gridCol w:w="2684"/>
        <w:gridCol w:w="1095"/>
        <w:gridCol w:w="1098"/>
        <w:gridCol w:w="1098"/>
        <w:gridCol w:w="1040"/>
        <w:gridCol w:w="1043"/>
        <w:gridCol w:w="1042"/>
      </w:tblGrid>
      <w:tr w:rsidR="007C5447">
        <w:trPr>
          <w:trHeight w:val="361"/>
        </w:trPr>
        <w:tc>
          <w:tcPr>
            <w:tcW w:w="456" w:type="dxa"/>
            <w:vMerge w:val="restart"/>
            <w:shd w:val="clear" w:color="auto" w:fill="F7C9AC"/>
          </w:tcPr>
          <w:p w:rsidR="007C5447" w:rsidRDefault="007C5447">
            <w:pPr>
              <w:pStyle w:val="TableParagraph"/>
              <w:spacing w:before="5"/>
              <w:jc w:val="left"/>
              <w:rPr>
                <w:b/>
                <w:sz w:val="28"/>
              </w:rPr>
            </w:pPr>
          </w:p>
          <w:p w:rsidR="007C5447" w:rsidRDefault="00F6308C">
            <w:pPr>
              <w:pStyle w:val="TableParagraph"/>
              <w:ind w:left="107"/>
              <w:jc w:val="left"/>
              <w:rPr>
                <w:b/>
              </w:rPr>
            </w:pPr>
            <w:r>
              <w:rPr>
                <w:b/>
              </w:rPr>
              <w:t>Sl.</w:t>
            </w:r>
          </w:p>
        </w:tc>
        <w:tc>
          <w:tcPr>
            <w:tcW w:w="2684" w:type="dxa"/>
            <w:vMerge w:val="restart"/>
            <w:shd w:val="clear" w:color="auto" w:fill="F7C9AC"/>
          </w:tcPr>
          <w:p w:rsidR="007C5447" w:rsidRDefault="007C5447">
            <w:pPr>
              <w:pStyle w:val="TableParagraph"/>
              <w:spacing w:before="5"/>
              <w:jc w:val="left"/>
              <w:rPr>
                <w:b/>
                <w:sz w:val="28"/>
              </w:rPr>
            </w:pPr>
          </w:p>
          <w:p w:rsidR="007C5447" w:rsidRDefault="00F6308C">
            <w:pPr>
              <w:pStyle w:val="TableParagraph"/>
              <w:ind w:left="998" w:right="988"/>
              <w:jc w:val="center"/>
              <w:rPr>
                <w:b/>
              </w:rPr>
            </w:pPr>
            <w:r>
              <w:rPr>
                <w:b/>
              </w:rPr>
              <w:t>Details</w:t>
            </w:r>
          </w:p>
        </w:tc>
        <w:tc>
          <w:tcPr>
            <w:tcW w:w="3291" w:type="dxa"/>
            <w:gridSpan w:val="3"/>
            <w:shd w:val="clear" w:color="auto" w:fill="F7C9AC"/>
          </w:tcPr>
          <w:p w:rsidR="007C5447" w:rsidRDefault="00F6308C">
            <w:pPr>
              <w:pStyle w:val="TableParagraph"/>
              <w:spacing w:before="53"/>
              <w:ind w:left="1005"/>
              <w:jc w:val="left"/>
              <w:rPr>
                <w:b/>
              </w:rPr>
            </w:pPr>
            <w:r>
              <w:rPr>
                <w:b/>
              </w:rPr>
              <w:t>TANGEDCO</w:t>
            </w:r>
          </w:p>
        </w:tc>
        <w:tc>
          <w:tcPr>
            <w:tcW w:w="3125" w:type="dxa"/>
            <w:gridSpan w:val="3"/>
            <w:shd w:val="clear" w:color="auto" w:fill="F7C9AC"/>
          </w:tcPr>
          <w:p w:rsidR="007C5447" w:rsidRDefault="00F6308C">
            <w:pPr>
              <w:pStyle w:val="TableParagraph"/>
              <w:spacing w:before="53"/>
              <w:ind w:left="973"/>
              <w:jc w:val="left"/>
              <w:rPr>
                <w:b/>
              </w:rPr>
            </w:pPr>
            <w:r>
              <w:rPr>
                <w:b/>
              </w:rPr>
              <w:t>Commission</w:t>
            </w:r>
          </w:p>
        </w:tc>
      </w:tr>
      <w:tr w:rsidR="007C5447">
        <w:trPr>
          <w:trHeight w:val="535"/>
        </w:trPr>
        <w:tc>
          <w:tcPr>
            <w:tcW w:w="456" w:type="dxa"/>
            <w:vMerge/>
            <w:tcBorders>
              <w:top w:val="nil"/>
            </w:tcBorders>
            <w:shd w:val="clear" w:color="auto" w:fill="F7C9AC"/>
          </w:tcPr>
          <w:p w:rsidR="007C5447" w:rsidRDefault="007C5447">
            <w:pPr>
              <w:rPr>
                <w:sz w:val="2"/>
                <w:szCs w:val="2"/>
              </w:rPr>
            </w:pPr>
          </w:p>
        </w:tc>
        <w:tc>
          <w:tcPr>
            <w:tcW w:w="2684" w:type="dxa"/>
            <w:vMerge/>
            <w:tcBorders>
              <w:top w:val="nil"/>
            </w:tcBorders>
            <w:shd w:val="clear" w:color="auto" w:fill="F7C9AC"/>
          </w:tcPr>
          <w:p w:rsidR="007C5447" w:rsidRDefault="007C5447">
            <w:pPr>
              <w:rPr>
                <w:sz w:val="2"/>
                <w:szCs w:val="2"/>
              </w:rPr>
            </w:pPr>
          </w:p>
        </w:tc>
        <w:tc>
          <w:tcPr>
            <w:tcW w:w="1095" w:type="dxa"/>
            <w:shd w:val="clear" w:color="auto" w:fill="F7C9AC"/>
          </w:tcPr>
          <w:p w:rsidR="007C5447" w:rsidRDefault="00F6308C">
            <w:pPr>
              <w:pStyle w:val="TableParagraph"/>
              <w:spacing w:before="13" w:line="253" w:lineRule="exact"/>
              <w:ind w:left="95" w:right="88"/>
              <w:jc w:val="center"/>
              <w:rPr>
                <w:b/>
              </w:rPr>
            </w:pPr>
            <w:r>
              <w:rPr>
                <w:b/>
              </w:rPr>
              <w:t>FY 2016-</w:t>
            </w:r>
          </w:p>
          <w:p w:rsidR="007C5447" w:rsidRDefault="00F6308C">
            <w:pPr>
              <w:pStyle w:val="TableParagraph"/>
              <w:spacing w:line="250" w:lineRule="exact"/>
              <w:ind w:left="91" w:right="88"/>
              <w:jc w:val="center"/>
              <w:rPr>
                <w:b/>
              </w:rPr>
            </w:pPr>
            <w:r>
              <w:rPr>
                <w:b/>
              </w:rPr>
              <w:t>17</w:t>
            </w:r>
          </w:p>
        </w:tc>
        <w:tc>
          <w:tcPr>
            <w:tcW w:w="1098" w:type="dxa"/>
            <w:shd w:val="clear" w:color="auto" w:fill="F7C9AC"/>
          </w:tcPr>
          <w:p w:rsidR="007C5447" w:rsidRDefault="00F6308C">
            <w:pPr>
              <w:pStyle w:val="TableParagraph"/>
              <w:spacing w:before="13" w:line="253" w:lineRule="exact"/>
              <w:ind w:left="96" w:right="88"/>
              <w:jc w:val="center"/>
              <w:rPr>
                <w:b/>
              </w:rPr>
            </w:pPr>
            <w:r>
              <w:rPr>
                <w:b/>
              </w:rPr>
              <w:t>FY 2017-</w:t>
            </w:r>
          </w:p>
          <w:p w:rsidR="007C5447" w:rsidRDefault="00F6308C">
            <w:pPr>
              <w:pStyle w:val="TableParagraph"/>
              <w:spacing w:line="250" w:lineRule="exact"/>
              <w:ind w:left="93" w:right="89"/>
              <w:jc w:val="center"/>
              <w:rPr>
                <w:b/>
              </w:rPr>
            </w:pPr>
            <w:r>
              <w:rPr>
                <w:b/>
              </w:rPr>
              <w:t>18</w:t>
            </w:r>
          </w:p>
        </w:tc>
        <w:tc>
          <w:tcPr>
            <w:tcW w:w="1098" w:type="dxa"/>
            <w:shd w:val="clear" w:color="auto" w:fill="F7C9AC"/>
          </w:tcPr>
          <w:p w:rsidR="007C5447" w:rsidRDefault="00F6308C">
            <w:pPr>
              <w:pStyle w:val="TableParagraph"/>
              <w:spacing w:before="13" w:line="253" w:lineRule="exact"/>
              <w:ind w:left="95" w:right="89"/>
              <w:jc w:val="center"/>
              <w:rPr>
                <w:b/>
              </w:rPr>
            </w:pPr>
            <w:r>
              <w:rPr>
                <w:b/>
              </w:rPr>
              <w:t>FY 2018-</w:t>
            </w:r>
          </w:p>
          <w:p w:rsidR="007C5447" w:rsidRDefault="00F6308C">
            <w:pPr>
              <w:pStyle w:val="TableParagraph"/>
              <w:spacing w:line="250" w:lineRule="exact"/>
              <w:ind w:left="91" w:right="89"/>
              <w:jc w:val="center"/>
              <w:rPr>
                <w:b/>
              </w:rPr>
            </w:pPr>
            <w:r>
              <w:rPr>
                <w:b/>
              </w:rPr>
              <w:t>19</w:t>
            </w:r>
          </w:p>
        </w:tc>
        <w:tc>
          <w:tcPr>
            <w:tcW w:w="1040" w:type="dxa"/>
            <w:shd w:val="clear" w:color="auto" w:fill="F7C9AC"/>
          </w:tcPr>
          <w:p w:rsidR="007C5447" w:rsidRDefault="00F6308C">
            <w:pPr>
              <w:pStyle w:val="TableParagraph"/>
              <w:spacing w:before="16" w:line="252" w:lineRule="exact"/>
              <w:ind w:left="148" w:right="143" w:firstLine="218"/>
              <w:jc w:val="left"/>
              <w:rPr>
                <w:b/>
              </w:rPr>
            </w:pPr>
            <w:r>
              <w:rPr>
                <w:b/>
              </w:rPr>
              <w:t>FY 2016-17</w:t>
            </w:r>
          </w:p>
        </w:tc>
        <w:tc>
          <w:tcPr>
            <w:tcW w:w="1043" w:type="dxa"/>
            <w:shd w:val="clear" w:color="auto" w:fill="F7C9AC"/>
          </w:tcPr>
          <w:p w:rsidR="007C5447" w:rsidRDefault="00F6308C">
            <w:pPr>
              <w:pStyle w:val="TableParagraph"/>
              <w:spacing w:before="16" w:line="252" w:lineRule="exact"/>
              <w:ind w:left="150" w:right="143" w:firstLine="218"/>
              <w:jc w:val="left"/>
              <w:rPr>
                <w:b/>
              </w:rPr>
            </w:pPr>
            <w:r>
              <w:rPr>
                <w:b/>
              </w:rPr>
              <w:t>FY 2017-18</w:t>
            </w:r>
          </w:p>
        </w:tc>
        <w:tc>
          <w:tcPr>
            <w:tcW w:w="1042" w:type="dxa"/>
            <w:shd w:val="clear" w:color="auto" w:fill="F7C9AC"/>
          </w:tcPr>
          <w:p w:rsidR="007C5447" w:rsidRDefault="00F6308C">
            <w:pPr>
              <w:pStyle w:val="TableParagraph"/>
              <w:spacing w:before="16" w:line="252" w:lineRule="exact"/>
              <w:ind w:left="148" w:right="144" w:firstLine="218"/>
              <w:jc w:val="left"/>
              <w:rPr>
                <w:b/>
              </w:rPr>
            </w:pPr>
            <w:r>
              <w:rPr>
                <w:b/>
              </w:rPr>
              <w:t>FY 2018-19</w:t>
            </w:r>
          </w:p>
        </w:tc>
      </w:tr>
      <w:tr w:rsidR="007C5447">
        <w:trPr>
          <w:trHeight w:val="537"/>
        </w:trPr>
        <w:tc>
          <w:tcPr>
            <w:tcW w:w="456" w:type="dxa"/>
          </w:tcPr>
          <w:p w:rsidR="007C5447" w:rsidRDefault="00F6308C">
            <w:pPr>
              <w:pStyle w:val="TableParagraph"/>
              <w:spacing w:before="140"/>
              <w:ind w:left="172"/>
              <w:jc w:val="left"/>
            </w:pPr>
            <w:r>
              <w:t>1</w:t>
            </w:r>
          </w:p>
        </w:tc>
        <w:tc>
          <w:tcPr>
            <w:tcW w:w="2684" w:type="dxa"/>
          </w:tcPr>
          <w:p w:rsidR="007C5447" w:rsidRDefault="00F6308C">
            <w:pPr>
              <w:pStyle w:val="TableParagraph"/>
              <w:spacing w:before="19" w:line="252" w:lineRule="exact"/>
              <w:ind w:left="107" w:right="250"/>
              <w:jc w:val="left"/>
            </w:pPr>
            <w:r>
              <w:t>Operation &amp; Maintenance Expenses</w:t>
            </w:r>
          </w:p>
        </w:tc>
        <w:tc>
          <w:tcPr>
            <w:tcW w:w="1095" w:type="dxa"/>
          </w:tcPr>
          <w:p w:rsidR="007C5447" w:rsidRDefault="00F6308C">
            <w:pPr>
              <w:pStyle w:val="TableParagraph"/>
              <w:spacing w:before="140"/>
              <w:ind w:right="97"/>
            </w:pPr>
            <w:r>
              <w:t>5,234.90</w:t>
            </w:r>
          </w:p>
        </w:tc>
        <w:tc>
          <w:tcPr>
            <w:tcW w:w="1098" w:type="dxa"/>
          </w:tcPr>
          <w:p w:rsidR="007C5447" w:rsidRDefault="00F6308C">
            <w:pPr>
              <w:pStyle w:val="TableParagraph"/>
              <w:spacing w:before="140"/>
              <w:ind w:right="98"/>
            </w:pPr>
            <w:r>
              <w:t>5,534.33</w:t>
            </w:r>
          </w:p>
        </w:tc>
        <w:tc>
          <w:tcPr>
            <w:tcW w:w="1098" w:type="dxa"/>
          </w:tcPr>
          <w:p w:rsidR="007C5447" w:rsidRDefault="00F6308C">
            <w:pPr>
              <w:pStyle w:val="TableParagraph"/>
              <w:spacing w:before="140"/>
              <w:ind w:right="99"/>
            </w:pPr>
            <w:r>
              <w:t>5,850.89</w:t>
            </w:r>
          </w:p>
        </w:tc>
        <w:tc>
          <w:tcPr>
            <w:tcW w:w="1040" w:type="dxa"/>
          </w:tcPr>
          <w:p w:rsidR="007C5447" w:rsidRDefault="00F6308C">
            <w:pPr>
              <w:pStyle w:val="TableParagraph"/>
              <w:spacing w:before="140"/>
              <w:ind w:right="97"/>
            </w:pPr>
            <w:r>
              <w:t>4,989.42</w:t>
            </w:r>
          </w:p>
        </w:tc>
        <w:tc>
          <w:tcPr>
            <w:tcW w:w="1043" w:type="dxa"/>
          </w:tcPr>
          <w:p w:rsidR="007C5447" w:rsidRDefault="00F6308C">
            <w:pPr>
              <w:pStyle w:val="TableParagraph"/>
              <w:spacing w:before="140"/>
              <w:ind w:right="98"/>
            </w:pPr>
            <w:r>
              <w:t>5,393.95</w:t>
            </w:r>
          </w:p>
        </w:tc>
        <w:tc>
          <w:tcPr>
            <w:tcW w:w="1042" w:type="dxa"/>
          </w:tcPr>
          <w:p w:rsidR="007C5447" w:rsidRDefault="00F6308C">
            <w:pPr>
              <w:pStyle w:val="TableParagraph"/>
              <w:spacing w:before="140"/>
              <w:ind w:right="98"/>
            </w:pPr>
            <w:r>
              <w:t>5,817.64</w:t>
            </w:r>
          </w:p>
        </w:tc>
      </w:tr>
      <w:tr w:rsidR="007C5447">
        <w:trPr>
          <w:trHeight w:val="359"/>
        </w:trPr>
        <w:tc>
          <w:tcPr>
            <w:tcW w:w="456" w:type="dxa"/>
          </w:tcPr>
          <w:p w:rsidR="007C5447" w:rsidRDefault="00F6308C">
            <w:pPr>
              <w:pStyle w:val="TableParagraph"/>
              <w:spacing w:before="51"/>
              <w:ind w:left="172"/>
              <w:jc w:val="left"/>
            </w:pPr>
            <w:r>
              <w:t>2</w:t>
            </w:r>
          </w:p>
        </w:tc>
        <w:tc>
          <w:tcPr>
            <w:tcW w:w="2684" w:type="dxa"/>
          </w:tcPr>
          <w:p w:rsidR="007C5447" w:rsidRDefault="00F6308C">
            <w:pPr>
              <w:pStyle w:val="TableParagraph"/>
              <w:spacing w:before="51"/>
              <w:ind w:left="107"/>
              <w:jc w:val="left"/>
            </w:pPr>
            <w:r>
              <w:t>Depreciation</w:t>
            </w:r>
          </w:p>
        </w:tc>
        <w:tc>
          <w:tcPr>
            <w:tcW w:w="1095" w:type="dxa"/>
          </w:tcPr>
          <w:p w:rsidR="007C5447" w:rsidRDefault="00F6308C">
            <w:pPr>
              <w:pStyle w:val="TableParagraph"/>
              <w:spacing w:before="51"/>
              <w:ind w:right="97"/>
            </w:pPr>
            <w:r>
              <w:t>203.77</w:t>
            </w:r>
          </w:p>
        </w:tc>
        <w:tc>
          <w:tcPr>
            <w:tcW w:w="1098" w:type="dxa"/>
          </w:tcPr>
          <w:p w:rsidR="007C5447" w:rsidRDefault="00F6308C">
            <w:pPr>
              <w:pStyle w:val="TableParagraph"/>
              <w:spacing w:before="51"/>
              <w:ind w:right="98"/>
            </w:pPr>
            <w:r>
              <w:t>483.53</w:t>
            </w:r>
          </w:p>
        </w:tc>
        <w:tc>
          <w:tcPr>
            <w:tcW w:w="1098" w:type="dxa"/>
          </w:tcPr>
          <w:p w:rsidR="007C5447" w:rsidRDefault="00F6308C">
            <w:pPr>
              <w:pStyle w:val="TableParagraph"/>
              <w:spacing w:before="51"/>
              <w:ind w:right="99"/>
            </w:pPr>
            <w:r>
              <w:t>645.79</w:t>
            </w:r>
          </w:p>
        </w:tc>
        <w:tc>
          <w:tcPr>
            <w:tcW w:w="1040" w:type="dxa"/>
          </w:tcPr>
          <w:p w:rsidR="007C5447" w:rsidRDefault="00F6308C">
            <w:pPr>
              <w:pStyle w:val="TableParagraph"/>
              <w:spacing w:before="51"/>
              <w:ind w:right="99"/>
            </w:pPr>
            <w:r>
              <w:t>910.73</w:t>
            </w:r>
          </w:p>
        </w:tc>
        <w:tc>
          <w:tcPr>
            <w:tcW w:w="1043" w:type="dxa"/>
          </w:tcPr>
          <w:p w:rsidR="007C5447" w:rsidRDefault="00F6308C">
            <w:pPr>
              <w:pStyle w:val="TableParagraph"/>
              <w:spacing w:before="51"/>
              <w:ind w:right="98"/>
            </w:pPr>
            <w:r>
              <w:t>1,172.58</w:t>
            </w:r>
          </w:p>
        </w:tc>
        <w:tc>
          <w:tcPr>
            <w:tcW w:w="1042" w:type="dxa"/>
          </w:tcPr>
          <w:p w:rsidR="007C5447" w:rsidRDefault="00F6308C">
            <w:pPr>
              <w:pStyle w:val="TableParagraph"/>
              <w:spacing w:before="51"/>
              <w:ind w:right="98"/>
            </w:pPr>
            <w:r>
              <w:t>1,325.41</w:t>
            </w:r>
          </w:p>
        </w:tc>
      </w:tr>
      <w:tr w:rsidR="007C5447">
        <w:trPr>
          <w:trHeight w:val="534"/>
        </w:trPr>
        <w:tc>
          <w:tcPr>
            <w:tcW w:w="456" w:type="dxa"/>
          </w:tcPr>
          <w:p w:rsidR="007C5447" w:rsidRDefault="00F6308C">
            <w:pPr>
              <w:pStyle w:val="TableParagraph"/>
              <w:spacing w:before="140"/>
              <w:ind w:left="172"/>
              <w:jc w:val="left"/>
            </w:pPr>
            <w:r>
              <w:t>3</w:t>
            </w:r>
          </w:p>
        </w:tc>
        <w:tc>
          <w:tcPr>
            <w:tcW w:w="2684" w:type="dxa"/>
          </w:tcPr>
          <w:p w:rsidR="007C5447" w:rsidRDefault="00F6308C">
            <w:pPr>
              <w:pStyle w:val="TableParagraph"/>
              <w:spacing w:before="13" w:line="250" w:lineRule="atLeast"/>
              <w:ind w:left="107" w:right="763"/>
              <w:jc w:val="left"/>
            </w:pPr>
            <w:r>
              <w:t>Interest and Finance Charges</w:t>
            </w:r>
          </w:p>
        </w:tc>
        <w:tc>
          <w:tcPr>
            <w:tcW w:w="1095" w:type="dxa"/>
          </w:tcPr>
          <w:p w:rsidR="007C5447" w:rsidRDefault="00F6308C">
            <w:pPr>
              <w:pStyle w:val="TableParagraph"/>
              <w:spacing w:before="140"/>
              <w:ind w:right="97"/>
            </w:pPr>
            <w:r>
              <w:t>2,945.14</w:t>
            </w:r>
          </w:p>
        </w:tc>
        <w:tc>
          <w:tcPr>
            <w:tcW w:w="1098" w:type="dxa"/>
          </w:tcPr>
          <w:p w:rsidR="007C5447" w:rsidRDefault="00F6308C">
            <w:pPr>
              <w:pStyle w:val="TableParagraph"/>
              <w:spacing w:before="140"/>
              <w:ind w:right="98"/>
            </w:pPr>
            <w:r>
              <w:t>2,440.64</w:t>
            </w:r>
          </w:p>
        </w:tc>
        <w:tc>
          <w:tcPr>
            <w:tcW w:w="1098" w:type="dxa"/>
          </w:tcPr>
          <w:p w:rsidR="007C5447" w:rsidRDefault="00F6308C">
            <w:pPr>
              <w:pStyle w:val="TableParagraph"/>
              <w:spacing w:before="140"/>
              <w:ind w:right="99"/>
            </w:pPr>
            <w:r>
              <w:t>2,994.85</w:t>
            </w:r>
          </w:p>
        </w:tc>
        <w:tc>
          <w:tcPr>
            <w:tcW w:w="1040" w:type="dxa"/>
          </w:tcPr>
          <w:p w:rsidR="007C5447" w:rsidRDefault="00F6308C">
            <w:pPr>
              <w:pStyle w:val="TableParagraph"/>
              <w:spacing w:before="140"/>
              <w:ind w:right="97"/>
            </w:pPr>
            <w:r>
              <w:t>1,524.32</w:t>
            </w:r>
          </w:p>
        </w:tc>
        <w:tc>
          <w:tcPr>
            <w:tcW w:w="1043" w:type="dxa"/>
          </w:tcPr>
          <w:p w:rsidR="007C5447" w:rsidRDefault="00F6308C">
            <w:pPr>
              <w:pStyle w:val="TableParagraph"/>
              <w:spacing w:before="140"/>
              <w:ind w:right="98"/>
            </w:pPr>
            <w:r>
              <w:t>1,729.92</w:t>
            </w:r>
          </w:p>
        </w:tc>
        <w:tc>
          <w:tcPr>
            <w:tcW w:w="1042" w:type="dxa"/>
          </w:tcPr>
          <w:p w:rsidR="007C5447" w:rsidRDefault="00F6308C">
            <w:pPr>
              <w:pStyle w:val="TableParagraph"/>
              <w:spacing w:before="140"/>
              <w:ind w:right="98"/>
            </w:pPr>
            <w:r>
              <w:t>1,741.92</w:t>
            </w:r>
          </w:p>
        </w:tc>
      </w:tr>
      <w:tr w:rsidR="007C5447">
        <w:trPr>
          <w:trHeight w:val="359"/>
        </w:trPr>
        <w:tc>
          <w:tcPr>
            <w:tcW w:w="456" w:type="dxa"/>
          </w:tcPr>
          <w:p w:rsidR="007C5447" w:rsidRDefault="00F6308C">
            <w:pPr>
              <w:pStyle w:val="TableParagraph"/>
              <w:spacing w:before="53"/>
              <w:ind w:left="172"/>
              <w:jc w:val="left"/>
            </w:pPr>
            <w:r>
              <w:t>4</w:t>
            </w:r>
          </w:p>
        </w:tc>
        <w:tc>
          <w:tcPr>
            <w:tcW w:w="2684" w:type="dxa"/>
          </w:tcPr>
          <w:p w:rsidR="007C5447" w:rsidRDefault="00F6308C">
            <w:pPr>
              <w:pStyle w:val="TableParagraph"/>
              <w:spacing w:before="53"/>
              <w:ind w:left="107"/>
              <w:jc w:val="left"/>
            </w:pPr>
            <w:r>
              <w:t>Interest on Working Capital</w:t>
            </w:r>
          </w:p>
        </w:tc>
        <w:tc>
          <w:tcPr>
            <w:tcW w:w="1095" w:type="dxa"/>
          </w:tcPr>
          <w:p w:rsidR="007C5447" w:rsidRDefault="00F6308C">
            <w:pPr>
              <w:pStyle w:val="TableParagraph"/>
              <w:spacing w:before="53"/>
              <w:ind w:right="97"/>
            </w:pPr>
            <w:r>
              <w:t>238.13</w:t>
            </w:r>
          </w:p>
        </w:tc>
        <w:tc>
          <w:tcPr>
            <w:tcW w:w="1098" w:type="dxa"/>
          </w:tcPr>
          <w:p w:rsidR="007C5447" w:rsidRDefault="00F6308C">
            <w:pPr>
              <w:pStyle w:val="TableParagraph"/>
              <w:spacing w:before="53"/>
              <w:ind w:right="98"/>
            </w:pPr>
            <w:r>
              <w:t>235.23</w:t>
            </w:r>
          </w:p>
        </w:tc>
        <w:tc>
          <w:tcPr>
            <w:tcW w:w="1098" w:type="dxa"/>
          </w:tcPr>
          <w:p w:rsidR="007C5447" w:rsidRDefault="00F6308C">
            <w:pPr>
              <w:pStyle w:val="TableParagraph"/>
              <w:spacing w:before="53"/>
              <w:ind w:right="99"/>
            </w:pPr>
            <w:r>
              <w:t>351.19</w:t>
            </w:r>
          </w:p>
        </w:tc>
        <w:tc>
          <w:tcPr>
            <w:tcW w:w="1040" w:type="dxa"/>
          </w:tcPr>
          <w:p w:rsidR="007C5447" w:rsidRDefault="00F6308C">
            <w:pPr>
              <w:pStyle w:val="TableParagraph"/>
              <w:spacing w:before="53"/>
              <w:ind w:right="95"/>
            </w:pPr>
            <w:r>
              <w:t>-</w:t>
            </w:r>
          </w:p>
        </w:tc>
        <w:tc>
          <w:tcPr>
            <w:tcW w:w="1043" w:type="dxa"/>
          </w:tcPr>
          <w:p w:rsidR="007C5447" w:rsidRDefault="007C5447">
            <w:pPr>
              <w:pStyle w:val="TableParagraph"/>
              <w:jc w:val="left"/>
            </w:pPr>
          </w:p>
        </w:tc>
        <w:tc>
          <w:tcPr>
            <w:tcW w:w="1042" w:type="dxa"/>
          </w:tcPr>
          <w:p w:rsidR="007C5447" w:rsidRDefault="00F6308C">
            <w:pPr>
              <w:pStyle w:val="TableParagraph"/>
              <w:spacing w:before="53"/>
              <w:ind w:right="97"/>
            </w:pPr>
            <w:r>
              <w:t>-</w:t>
            </w:r>
          </w:p>
        </w:tc>
      </w:tr>
      <w:tr w:rsidR="007C5447">
        <w:trPr>
          <w:trHeight w:val="361"/>
        </w:trPr>
        <w:tc>
          <w:tcPr>
            <w:tcW w:w="456" w:type="dxa"/>
          </w:tcPr>
          <w:p w:rsidR="007C5447" w:rsidRDefault="00F6308C">
            <w:pPr>
              <w:pStyle w:val="TableParagraph"/>
              <w:spacing w:before="53"/>
              <w:ind w:left="172"/>
              <w:jc w:val="left"/>
            </w:pPr>
            <w:r>
              <w:t>5</w:t>
            </w:r>
          </w:p>
        </w:tc>
        <w:tc>
          <w:tcPr>
            <w:tcW w:w="2684" w:type="dxa"/>
          </w:tcPr>
          <w:p w:rsidR="007C5447" w:rsidRDefault="00F6308C">
            <w:pPr>
              <w:pStyle w:val="TableParagraph"/>
              <w:spacing w:before="53"/>
              <w:ind w:left="107"/>
              <w:jc w:val="left"/>
            </w:pPr>
            <w:r>
              <w:t>Return on Equity</w:t>
            </w:r>
          </w:p>
        </w:tc>
        <w:tc>
          <w:tcPr>
            <w:tcW w:w="1095" w:type="dxa"/>
          </w:tcPr>
          <w:p w:rsidR="007C5447" w:rsidRDefault="00F6308C">
            <w:pPr>
              <w:pStyle w:val="TableParagraph"/>
              <w:spacing w:before="53"/>
              <w:ind w:right="97"/>
            </w:pPr>
            <w:r>
              <w:t>582.32</w:t>
            </w:r>
          </w:p>
        </w:tc>
        <w:tc>
          <w:tcPr>
            <w:tcW w:w="1098" w:type="dxa"/>
          </w:tcPr>
          <w:p w:rsidR="007C5447" w:rsidRDefault="00F6308C">
            <w:pPr>
              <w:pStyle w:val="TableParagraph"/>
              <w:spacing w:before="53"/>
              <w:ind w:right="98"/>
            </w:pPr>
            <w:r>
              <w:t>609.62</w:t>
            </w:r>
          </w:p>
        </w:tc>
        <w:tc>
          <w:tcPr>
            <w:tcW w:w="1098" w:type="dxa"/>
          </w:tcPr>
          <w:p w:rsidR="007C5447" w:rsidRDefault="00F6308C">
            <w:pPr>
              <w:pStyle w:val="TableParagraph"/>
              <w:spacing w:before="53"/>
              <w:ind w:right="99"/>
            </w:pPr>
            <w:r>
              <w:t>609.62</w:t>
            </w:r>
          </w:p>
        </w:tc>
        <w:tc>
          <w:tcPr>
            <w:tcW w:w="1040" w:type="dxa"/>
          </w:tcPr>
          <w:p w:rsidR="007C5447" w:rsidRDefault="00F6308C">
            <w:pPr>
              <w:pStyle w:val="TableParagraph"/>
              <w:spacing w:before="53"/>
              <w:ind w:right="95"/>
            </w:pPr>
            <w:r>
              <w:t>-</w:t>
            </w:r>
          </w:p>
        </w:tc>
        <w:tc>
          <w:tcPr>
            <w:tcW w:w="1043" w:type="dxa"/>
          </w:tcPr>
          <w:p w:rsidR="007C5447" w:rsidRDefault="00F6308C">
            <w:pPr>
              <w:pStyle w:val="TableParagraph"/>
              <w:spacing w:before="53"/>
              <w:ind w:right="96"/>
            </w:pPr>
            <w:r>
              <w:t>-</w:t>
            </w:r>
          </w:p>
        </w:tc>
        <w:tc>
          <w:tcPr>
            <w:tcW w:w="1042" w:type="dxa"/>
          </w:tcPr>
          <w:p w:rsidR="007C5447" w:rsidRDefault="00F6308C">
            <w:pPr>
              <w:pStyle w:val="TableParagraph"/>
              <w:spacing w:before="53"/>
              <w:ind w:right="97"/>
            </w:pPr>
            <w:r>
              <w:t>-</w:t>
            </w:r>
          </w:p>
        </w:tc>
      </w:tr>
      <w:tr w:rsidR="007C5447">
        <w:trPr>
          <w:trHeight w:val="359"/>
        </w:trPr>
        <w:tc>
          <w:tcPr>
            <w:tcW w:w="456" w:type="dxa"/>
          </w:tcPr>
          <w:p w:rsidR="007C5447" w:rsidRDefault="00F6308C">
            <w:pPr>
              <w:pStyle w:val="TableParagraph"/>
              <w:spacing w:before="51"/>
              <w:ind w:left="172"/>
              <w:jc w:val="left"/>
            </w:pPr>
            <w:r>
              <w:t>6</w:t>
            </w:r>
          </w:p>
        </w:tc>
        <w:tc>
          <w:tcPr>
            <w:tcW w:w="2684" w:type="dxa"/>
          </w:tcPr>
          <w:p w:rsidR="007C5447" w:rsidRDefault="00F6308C">
            <w:pPr>
              <w:pStyle w:val="TableParagraph"/>
              <w:spacing w:before="51"/>
              <w:ind w:left="107"/>
              <w:jc w:val="left"/>
            </w:pPr>
            <w:r>
              <w:t>Other Debits</w:t>
            </w:r>
          </w:p>
        </w:tc>
        <w:tc>
          <w:tcPr>
            <w:tcW w:w="1095" w:type="dxa"/>
          </w:tcPr>
          <w:p w:rsidR="007C5447" w:rsidRDefault="00F6308C">
            <w:pPr>
              <w:pStyle w:val="TableParagraph"/>
              <w:spacing w:before="51"/>
              <w:ind w:right="97"/>
            </w:pPr>
            <w:r>
              <w:t>13.19</w:t>
            </w:r>
          </w:p>
        </w:tc>
        <w:tc>
          <w:tcPr>
            <w:tcW w:w="1098" w:type="dxa"/>
          </w:tcPr>
          <w:p w:rsidR="007C5447" w:rsidRDefault="00F6308C">
            <w:pPr>
              <w:pStyle w:val="TableParagraph"/>
              <w:spacing w:before="51"/>
              <w:ind w:right="98"/>
            </w:pPr>
            <w:r>
              <w:t>13.19</w:t>
            </w:r>
          </w:p>
        </w:tc>
        <w:tc>
          <w:tcPr>
            <w:tcW w:w="1098" w:type="dxa"/>
          </w:tcPr>
          <w:p w:rsidR="007C5447" w:rsidRDefault="00F6308C">
            <w:pPr>
              <w:pStyle w:val="TableParagraph"/>
              <w:spacing w:before="51"/>
              <w:ind w:right="99"/>
            </w:pPr>
            <w:r>
              <w:t>13.19</w:t>
            </w:r>
          </w:p>
        </w:tc>
        <w:tc>
          <w:tcPr>
            <w:tcW w:w="1040" w:type="dxa"/>
          </w:tcPr>
          <w:p w:rsidR="007C5447" w:rsidRDefault="00F6308C">
            <w:pPr>
              <w:pStyle w:val="TableParagraph"/>
              <w:spacing w:before="51"/>
              <w:ind w:right="95"/>
            </w:pPr>
            <w:r>
              <w:t>-</w:t>
            </w:r>
          </w:p>
        </w:tc>
        <w:tc>
          <w:tcPr>
            <w:tcW w:w="1043" w:type="dxa"/>
          </w:tcPr>
          <w:p w:rsidR="007C5447" w:rsidRDefault="00F6308C">
            <w:pPr>
              <w:pStyle w:val="TableParagraph"/>
              <w:spacing w:before="51"/>
              <w:ind w:right="96"/>
            </w:pPr>
            <w:r>
              <w:t>-</w:t>
            </w:r>
          </w:p>
        </w:tc>
        <w:tc>
          <w:tcPr>
            <w:tcW w:w="1042" w:type="dxa"/>
          </w:tcPr>
          <w:p w:rsidR="007C5447" w:rsidRDefault="00F6308C">
            <w:pPr>
              <w:pStyle w:val="TableParagraph"/>
              <w:spacing w:before="51"/>
              <w:ind w:right="97"/>
            </w:pPr>
            <w:r>
              <w:t>-</w:t>
            </w:r>
          </w:p>
        </w:tc>
      </w:tr>
      <w:tr w:rsidR="007C5447">
        <w:trPr>
          <w:trHeight w:val="534"/>
        </w:trPr>
        <w:tc>
          <w:tcPr>
            <w:tcW w:w="456" w:type="dxa"/>
          </w:tcPr>
          <w:p w:rsidR="007C5447" w:rsidRDefault="00F6308C">
            <w:pPr>
              <w:pStyle w:val="TableParagraph"/>
              <w:spacing w:before="140"/>
              <w:ind w:left="172"/>
              <w:jc w:val="left"/>
            </w:pPr>
            <w:r>
              <w:t>7</w:t>
            </w:r>
          </w:p>
        </w:tc>
        <w:tc>
          <w:tcPr>
            <w:tcW w:w="2684" w:type="dxa"/>
          </w:tcPr>
          <w:p w:rsidR="007C5447" w:rsidRDefault="00F6308C">
            <w:pPr>
              <w:pStyle w:val="TableParagraph"/>
              <w:spacing w:before="13" w:line="250" w:lineRule="atLeast"/>
              <w:ind w:left="107" w:right="207"/>
              <w:jc w:val="left"/>
            </w:pPr>
            <w:r>
              <w:t>Other Interest and Finance Charges</w:t>
            </w:r>
          </w:p>
        </w:tc>
        <w:tc>
          <w:tcPr>
            <w:tcW w:w="1095" w:type="dxa"/>
          </w:tcPr>
          <w:p w:rsidR="007C5447" w:rsidRDefault="00F6308C">
            <w:pPr>
              <w:pStyle w:val="TableParagraph"/>
              <w:spacing w:before="140"/>
              <w:ind w:right="97"/>
            </w:pPr>
            <w:r>
              <w:t>862.05</w:t>
            </w:r>
          </w:p>
        </w:tc>
        <w:tc>
          <w:tcPr>
            <w:tcW w:w="1098" w:type="dxa"/>
          </w:tcPr>
          <w:p w:rsidR="007C5447" w:rsidRDefault="00F6308C">
            <w:pPr>
              <w:pStyle w:val="TableParagraph"/>
              <w:spacing w:before="140"/>
              <w:ind w:right="98"/>
            </w:pPr>
            <w:r>
              <w:t>905.10</w:t>
            </w:r>
          </w:p>
        </w:tc>
        <w:tc>
          <w:tcPr>
            <w:tcW w:w="1098" w:type="dxa"/>
          </w:tcPr>
          <w:p w:rsidR="007C5447" w:rsidRDefault="00F6308C">
            <w:pPr>
              <w:pStyle w:val="TableParagraph"/>
              <w:spacing w:before="140"/>
              <w:ind w:right="99"/>
            </w:pPr>
            <w:r>
              <w:t>950.30</w:t>
            </w:r>
          </w:p>
        </w:tc>
        <w:tc>
          <w:tcPr>
            <w:tcW w:w="1040" w:type="dxa"/>
          </w:tcPr>
          <w:p w:rsidR="007C5447" w:rsidRDefault="00F6308C">
            <w:pPr>
              <w:pStyle w:val="TableParagraph"/>
              <w:spacing w:before="140"/>
              <w:ind w:right="99"/>
            </w:pPr>
            <w:r>
              <w:t>776.76</w:t>
            </w:r>
          </w:p>
        </w:tc>
        <w:tc>
          <w:tcPr>
            <w:tcW w:w="1043" w:type="dxa"/>
          </w:tcPr>
          <w:p w:rsidR="007C5447" w:rsidRDefault="00F6308C">
            <w:pPr>
              <w:pStyle w:val="TableParagraph"/>
              <w:spacing w:before="140"/>
              <w:ind w:right="100"/>
            </w:pPr>
            <w:r>
              <w:t>825.52</w:t>
            </w:r>
          </w:p>
        </w:tc>
        <w:tc>
          <w:tcPr>
            <w:tcW w:w="1042" w:type="dxa"/>
          </w:tcPr>
          <w:p w:rsidR="007C5447" w:rsidRDefault="00F6308C">
            <w:pPr>
              <w:pStyle w:val="TableParagraph"/>
              <w:spacing w:before="140"/>
              <w:ind w:right="101"/>
            </w:pPr>
            <w:r>
              <w:t>881.57</w:t>
            </w:r>
          </w:p>
        </w:tc>
      </w:tr>
      <w:tr w:rsidR="007C5447">
        <w:trPr>
          <w:trHeight w:val="537"/>
        </w:trPr>
        <w:tc>
          <w:tcPr>
            <w:tcW w:w="456" w:type="dxa"/>
          </w:tcPr>
          <w:p w:rsidR="007C5447" w:rsidRDefault="00F6308C">
            <w:pPr>
              <w:pStyle w:val="TableParagraph"/>
              <w:spacing w:before="140"/>
              <w:ind w:left="172"/>
              <w:jc w:val="left"/>
            </w:pPr>
            <w:r>
              <w:t>8</w:t>
            </w:r>
          </w:p>
        </w:tc>
        <w:tc>
          <w:tcPr>
            <w:tcW w:w="2684" w:type="dxa"/>
            <w:shd w:val="clear" w:color="auto" w:fill="BEBEBE"/>
          </w:tcPr>
          <w:p w:rsidR="007C5447" w:rsidRDefault="00F6308C">
            <w:pPr>
              <w:pStyle w:val="TableParagraph"/>
              <w:spacing w:before="19" w:line="252" w:lineRule="exact"/>
              <w:ind w:left="107" w:right="115"/>
              <w:jc w:val="left"/>
              <w:rPr>
                <w:b/>
              </w:rPr>
            </w:pPr>
            <w:r>
              <w:rPr>
                <w:b/>
              </w:rPr>
              <w:t>Gross Aggregate Revenue Requirement</w:t>
            </w:r>
          </w:p>
        </w:tc>
        <w:tc>
          <w:tcPr>
            <w:tcW w:w="1095" w:type="dxa"/>
            <w:shd w:val="clear" w:color="auto" w:fill="BEBEBE"/>
          </w:tcPr>
          <w:p w:rsidR="007C5447" w:rsidRDefault="007C5447">
            <w:pPr>
              <w:pStyle w:val="TableParagraph"/>
              <w:spacing w:before="3"/>
              <w:jc w:val="left"/>
              <w:rPr>
                <w:b/>
                <w:sz w:val="23"/>
              </w:rPr>
            </w:pPr>
          </w:p>
          <w:p w:rsidR="007C5447" w:rsidRDefault="00F6308C">
            <w:pPr>
              <w:pStyle w:val="TableParagraph"/>
              <w:spacing w:line="250" w:lineRule="exact"/>
              <w:ind w:right="94"/>
              <w:rPr>
                <w:b/>
              </w:rPr>
            </w:pPr>
            <w:r>
              <w:rPr>
                <w:b/>
              </w:rPr>
              <w:t>10,079.50</w:t>
            </w:r>
          </w:p>
        </w:tc>
        <w:tc>
          <w:tcPr>
            <w:tcW w:w="1098" w:type="dxa"/>
            <w:shd w:val="clear" w:color="auto" w:fill="BEBEBE"/>
          </w:tcPr>
          <w:p w:rsidR="007C5447" w:rsidRDefault="007C5447">
            <w:pPr>
              <w:pStyle w:val="TableParagraph"/>
              <w:spacing w:before="3"/>
              <w:jc w:val="left"/>
              <w:rPr>
                <w:b/>
                <w:sz w:val="23"/>
              </w:rPr>
            </w:pPr>
          </w:p>
          <w:p w:rsidR="007C5447" w:rsidRDefault="00F6308C">
            <w:pPr>
              <w:pStyle w:val="TableParagraph"/>
              <w:spacing w:line="250" w:lineRule="exact"/>
              <w:ind w:right="95"/>
              <w:rPr>
                <w:b/>
              </w:rPr>
            </w:pPr>
            <w:r>
              <w:rPr>
                <w:b/>
              </w:rPr>
              <w:t>10,221.65</w:t>
            </w:r>
          </w:p>
        </w:tc>
        <w:tc>
          <w:tcPr>
            <w:tcW w:w="1098" w:type="dxa"/>
            <w:shd w:val="clear" w:color="auto" w:fill="BEBEBE"/>
          </w:tcPr>
          <w:p w:rsidR="007C5447" w:rsidRDefault="007C5447">
            <w:pPr>
              <w:pStyle w:val="TableParagraph"/>
              <w:spacing w:before="3"/>
              <w:jc w:val="left"/>
              <w:rPr>
                <w:b/>
                <w:sz w:val="23"/>
              </w:rPr>
            </w:pPr>
          </w:p>
          <w:p w:rsidR="007C5447" w:rsidRDefault="00F6308C">
            <w:pPr>
              <w:pStyle w:val="TableParagraph"/>
              <w:spacing w:line="250" w:lineRule="exact"/>
              <w:ind w:right="96"/>
              <w:rPr>
                <w:b/>
              </w:rPr>
            </w:pPr>
            <w:r>
              <w:rPr>
                <w:b/>
              </w:rPr>
              <w:t>11,415.84</w:t>
            </w:r>
          </w:p>
        </w:tc>
        <w:tc>
          <w:tcPr>
            <w:tcW w:w="1040" w:type="dxa"/>
            <w:shd w:val="clear" w:color="auto" w:fill="BEBEBE"/>
          </w:tcPr>
          <w:p w:rsidR="007C5447" w:rsidRDefault="00F6308C">
            <w:pPr>
              <w:pStyle w:val="TableParagraph"/>
              <w:spacing w:before="140"/>
              <w:ind w:right="97"/>
              <w:rPr>
                <w:b/>
              </w:rPr>
            </w:pPr>
            <w:r>
              <w:rPr>
                <w:b/>
              </w:rPr>
              <w:t>8,201.23</w:t>
            </w:r>
          </w:p>
        </w:tc>
        <w:tc>
          <w:tcPr>
            <w:tcW w:w="1043" w:type="dxa"/>
            <w:shd w:val="clear" w:color="auto" w:fill="BEBEBE"/>
          </w:tcPr>
          <w:p w:rsidR="007C5447" w:rsidRDefault="00F6308C">
            <w:pPr>
              <w:pStyle w:val="TableParagraph"/>
              <w:spacing w:before="140"/>
              <w:ind w:right="98"/>
              <w:rPr>
                <w:b/>
              </w:rPr>
            </w:pPr>
            <w:r>
              <w:rPr>
                <w:b/>
              </w:rPr>
              <w:t>9,121.97</w:t>
            </w:r>
          </w:p>
        </w:tc>
        <w:tc>
          <w:tcPr>
            <w:tcW w:w="1042" w:type="dxa"/>
            <w:shd w:val="clear" w:color="auto" w:fill="BEBEBE"/>
          </w:tcPr>
          <w:p w:rsidR="007C5447" w:rsidRDefault="00F6308C">
            <w:pPr>
              <w:pStyle w:val="TableParagraph"/>
              <w:spacing w:before="140"/>
              <w:ind w:right="98"/>
              <w:rPr>
                <w:b/>
              </w:rPr>
            </w:pPr>
            <w:r>
              <w:rPr>
                <w:b/>
              </w:rPr>
              <w:t>9,766.53</w:t>
            </w:r>
          </w:p>
        </w:tc>
      </w:tr>
      <w:tr w:rsidR="007C5447">
        <w:trPr>
          <w:trHeight w:val="359"/>
        </w:trPr>
        <w:tc>
          <w:tcPr>
            <w:tcW w:w="456" w:type="dxa"/>
          </w:tcPr>
          <w:p w:rsidR="007C5447" w:rsidRDefault="00F6308C">
            <w:pPr>
              <w:pStyle w:val="TableParagraph"/>
              <w:spacing w:before="51"/>
              <w:ind w:left="172"/>
              <w:jc w:val="left"/>
            </w:pPr>
            <w:r>
              <w:t>9</w:t>
            </w:r>
          </w:p>
        </w:tc>
        <w:tc>
          <w:tcPr>
            <w:tcW w:w="2684" w:type="dxa"/>
          </w:tcPr>
          <w:p w:rsidR="007C5447" w:rsidRDefault="00F6308C">
            <w:pPr>
              <w:pStyle w:val="TableParagraph"/>
              <w:spacing w:before="51"/>
              <w:ind w:left="107"/>
              <w:jc w:val="left"/>
            </w:pPr>
            <w:r>
              <w:t>Less: Other Income</w:t>
            </w:r>
          </w:p>
        </w:tc>
        <w:tc>
          <w:tcPr>
            <w:tcW w:w="1095" w:type="dxa"/>
          </w:tcPr>
          <w:p w:rsidR="007C5447" w:rsidRDefault="00F6308C">
            <w:pPr>
              <w:pStyle w:val="TableParagraph"/>
              <w:spacing w:before="51"/>
              <w:ind w:right="97"/>
            </w:pPr>
            <w:r>
              <w:t>434.73</w:t>
            </w:r>
          </w:p>
        </w:tc>
        <w:tc>
          <w:tcPr>
            <w:tcW w:w="1098" w:type="dxa"/>
          </w:tcPr>
          <w:p w:rsidR="007C5447" w:rsidRDefault="00F6308C">
            <w:pPr>
              <w:pStyle w:val="TableParagraph"/>
              <w:spacing w:before="51"/>
              <w:ind w:right="98"/>
            </w:pPr>
            <w:r>
              <w:t>586.89</w:t>
            </w:r>
          </w:p>
        </w:tc>
        <w:tc>
          <w:tcPr>
            <w:tcW w:w="1098" w:type="dxa"/>
          </w:tcPr>
          <w:p w:rsidR="007C5447" w:rsidRDefault="00F6308C">
            <w:pPr>
              <w:pStyle w:val="TableParagraph"/>
              <w:spacing w:before="51"/>
              <w:ind w:right="99"/>
            </w:pPr>
            <w:r>
              <w:t>704.27</w:t>
            </w:r>
          </w:p>
        </w:tc>
        <w:tc>
          <w:tcPr>
            <w:tcW w:w="1040" w:type="dxa"/>
          </w:tcPr>
          <w:p w:rsidR="007C5447" w:rsidRDefault="00F6308C">
            <w:pPr>
              <w:pStyle w:val="TableParagraph"/>
              <w:spacing w:before="51"/>
              <w:ind w:right="99"/>
            </w:pPr>
            <w:r>
              <w:t>422.09</w:t>
            </w:r>
          </w:p>
        </w:tc>
        <w:tc>
          <w:tcPr>
            <w:tcW w:w="1043" w:type="dxa"/>
          </w:tcPr>
          <w:p w:rsidR="007C5447" w:rsidRDefault="00F6308C">
            <w:pPr>
              <w:pStyle w:val="TableParagraph"/>
              <w:spacing w:before="51"/>
              <w:ind w:right="98"/>
            </w:pPr>
            <w:r>
              <w:t>535.80</w:t>
            </w:r>
          </w:p>
        </w:tc>
        <w:tc>
          <w:tcPr>
            <w:tcW w:w="1042" w:type="dxa"/>
          </w:tcPr>
          <w:p w:rsidR="007C5447" w:rsidRDefault="00F6308C">
            <w:pPr>
              <w:pStyle w:val="TableParagraph"/>
              <w:spacing w:before="51"/>
              <w:ind w:right="98"/>
            </w:pPr>
            <w:r>
              <w:t>643.71</w:t>
            </w:r>
          </w:p>
        </w:tc>
      </w:tr>
      <w:tr w:rsidR="007C5447">
        <w:trPr>
          <w:trHeight w:val="359"/>
        </w:trPr>
        <w:tc>
          <w:tcPr>
            <w:tcW w:w="456" w:type="dxa"/>
          </w:tcPr>
          <w:p w:rsidR="007C5447" w:rsidRDefault="00F6308C">
            <w:pPr>
              <w:pStyle w:val="TableParagraph"/>
              <w:spacing w:before="51"/>
              <w:ind w:left="117"/>
              <w:jc w:val="left"/>
            </w:pPr>
            <w:r>
              <w:t>10</w:t>
            </w:r>
          </w:p>
        </w:tc>
        <w:tc>
          <w:tcPr>
            <w:tcW w:w="2684" w:type="dxa"/>
          </w:tcPr>
          <w:p w:rsidR="007C5447" w:rsidRDefault="00F6308C">
            <w:pPr>
              <w:pStyle w:val="TableParagraph"/>
              <w:spacing w:before="51"/>
              <w:ind w:left="107"/>
              <w:jc w:val="left"/>
            </w:pPr>
            <w:r>
              <w:t>Less: Non-Tariff Income</w:t>
            </w:r>
          </w:p>
        </w:tc>
        <w:tc>
          <w:tcPr>
            <w:tcW w:w="1095" w:type="dxa"/>
          </w:tcPr>
          <w:p w:rsidR="007C5447" w:rsidRDefault="00F6308C">
            <w:pPr>
              <w:pStyle w:val="TableParagraph"/>
              <w:spacing w:before="51"/>
              <w:ind w:right="97"/>
            </w:pPr>
            <w:r>
              <w:t>780.86</w:t>
            </w:r>
          </w:p>
        </w:tc>
        <w:tc>
          <w:tcPr>
            <w:tcW w:w="1098" w:type="dxa"/>
          </w:tcPr>
          <w:p w:rsidR="007C5447" w:rsidRDefault="00F6308C">
            <w:pPr>
              <w:pStyle w:val="TableParagraph"/>
              <w:spacing w:before="51"/>
              <w:ind w:right="98"/>
            </w:pPr>
            <w:r>
              <w:t>952.65</w:t>
            </w:r>
          </w:p>
        </w:tc>
        <w:tc>
          <w:tcPr>
            <w:tcW w:w="1098" w:type="dxa"/>
          </w:tcPr>
          <w:p w:rsidR="007C5447" w:rsidRDefault="00F6308C">
            <w:pPr>
              <w:pStyle w:val="TableParagraph"/>
              <w:spacing w:before="51"/>
              <w:ind w:right="99"/>
            </w:pPr>
            <w:r>
              <w:t>971.70</w:t>
            </w:r>
          </w:p>
        </w:tc>
        <w:tc>
          <w:tcPr>
            <w:tcW w:w="1040" w:type="dxa"/>
          </w:tcPr>
          <w:p w:rsidR="007C5447" w:rsidRDefault="00F6308C">
            <w:pPr>
              <w:pStyle w:val="TableParagraph"/>
              <w:spacing w:before="51"/>
              <w:ind w:right="99"/>
            </w:pPr>
            <w:r>
              <w:t>851.20</w:t>
            </w:r>
          </w:p>
        </w:tc>
        <w:tc>
          <w:tcPr>
            <w:tcW w:w="1043" w:type="dxa"/>
          </w:tcPr>
          <w:p w:rsidR="007C5447" w:rsidRDefault="00F6308C">
            <w:pPr>
              <w:pStyle w:val="TableParagraph"/>
              <w:spacing w:before="51"/>
              <w:ind w:right="98"/>
            </w:pPr>
            <w:r>
              <w:t>927.88</w:t>
            </w:r>
          </w:p>
        </w:tc>
        <w:tc>
          <w:tcPr>
            <w:tcW w:w="1042" w:type="dxa"/>
          </w:tcPr>
          <w:p w:rsidR="007C5447" w:rsidRDefault="00F6308C">
            <w:pPr>
              <w:pStyle w:val="TableParagraph"/>
              <w:spacing w:before="51"/>
              <w:ind w:right="98"/>
            </w:pPr>
            <w:r>
              <w:t>1,011.47</w:t>
            </w:r>
          </w:p>
        </w:tc>
      </w:tr>
      <w:tr w:rsidR="007C5447">
        <w:trPr>
          <w:trHeight w:val="537"/>
        </w:trPr>
        <w:tc>
          <w:tcPr>
            <w:tcW w:w="456" w:type="dxa"/>
          </w:tcPr>
          <w:p w:rsidR="007C5447" w:rsidRDefault="00F6308C">
            <w:pPr>
              <w:pStyle w:val="TableParagraph"/>
              <w:spacing w:before="140"/>
              <w:ind w:left="117"/>
              <w:jc w:val="left"/>
              <w:rPr>
                <w:b/>
              </w:rPr>
            </w:pPr>
            <w:r>
              <w:rPr>
                <w:b/>
              </w:rPr>
              <w:t>11</w:t>
            </w:r>
          </w:p>
        </w:tc>
        <w:tc>
          <w:tcPr>
            <w:tcW w:w="2684" w:type="dxa"/>
            <w:shd w:val="clear" w:color="auto" w:fill="BEBEBE"/>
          </w:tcPr>
          <w:p w:rsidR="007C5447" w:rsidRDefault="00F6308C">
            <w:pPr>
              <w:pStyle w:val="TableParagraph"/>
              <w:spacing w:before="13" w:line="250" w:lineRule="atLeast"/>
              <w:ind w:left="107" w:right="335"/>
              <w:jc w:val="left"/>
              <w:rPr>
                <w:b/>
              </w:rPr>
            </w:pPr>
            <w:r>
              <w:rPr>
                <w:b/>
              </w:rPr>
              <w:t>Net Aggregate Revenue Requirement</w:t>
            </w:r>
          </w:p>
        </w:tc>
        <w:tc>
          <w:tcPr>
            <w:tcW w:w="1095" w:type="dxa"/>
            <w:shd w:val="clear" w:color="auto" w:fill="BEBEBE"/>
          </w:tcPr>
          <w:p w:rsidR="007C5447" w:rsidRDefault="00F6308C">
            <w:pPr>
              <w:pStyle w:val="TableParagraph"/>
              <w:spacing w:before="140"/>
              <w:ind w:right="97"/>
              <w:rPr>
                <w:b/>
              </w:rPr>
            </w:pPr>
            <w:r>
              <w:rPr>
                <w:b/>
              </w:rPr>
              <w:t>8,863.91</w:t>
            </w:r>
          </w:p>
        </w:tc>
        <w:tc>
          <w:tcPr>
            <w:tcW w:w="1098" w:type="dxa"/>
            <w:shd w:val="clear" w:color="auto" w:fill="BEBEBE"/>
          </w:tcPr>
          <w:p w:rsidR="007C5447" w:rsidRDefault="00F6308C">
            <w:pPr>
              <w:pStyle w:val="TableParagraph"/>
              <w:spacing w:before="140"/>
              <w:ind w:right="98"/>
              <w:rPr>
                <w:b/>
              </w:rPr>
            </w:pPr>
            <w:r>
              <w:rPr>
                <w:b/>
              </w:rPr>
              <w:t>8,682.11</w:t>
            </w:r>
          </w:p>
        </w:tc>
        <w:tc>
          <w:tcPr>
            <w:tcW w:w="1098" w:type="dxa"/>
            <w:shd w:val="clear" w:color="auto" w:fill="BEBEBE"/>
          </w:tcPr>
          <w:p w:rsidR="007C5447" w:rsidRDefault="00F6308C">
            <w:pPr>
              <w:pStyle w:val="TableParagraph"/>
              <w:spacing w:before="140"/>
              <w:ind w:right="99"/>
              <w:rPr>
                <w:b/>
              </w:rPr>
            </w:pPr>
            <w:r>
              <w:rPr>
                <w:b/>
              </w:rPr>
              <w:t>9,739.87</w:t>
            </w:r>
          </w:p>
        </w:tc>
        <w:tc>
          <w:tcPr>
            <w:tcW w:w="1040" w:type="dxa"/>
            <w:shd w:val="clear" w:color="auto" w:fill="BEBEBE"/>
          </w:tcPr>
          <w:p w:rsidR="007C5447" w:rsidRDefault="00F6308C">
            <w:pPr>
              <w:pStyle w:val="TableParagraph"/>
              <w:spacing w:before="140"/>
              <w:ind w:right="97"/>
              <w:rPr>
                <w:b/>
              </w:rPr>
            </w:pPr>
            <w:r>
              <w:rPr>
                <w:b/>
              </w:rPr>
              <w:t>6,927.94</w:t>
            </w:r>
          </w:p>
        </w:tc>
        <w:tc>
          <w:tcPr>
            <w:tcW w:w="1043" w:type="dxa"/>
            <w:shd w:val="clear" w:color="auto" w:fill="BEBEBE"/>
          </w:tcPr>
          <w:p w:rsidR="007C5447" w:rsidRDefault="00F6308C">
            <w:pPr>
              <w:pStyle w:val="TableParagraph"/>
              <w:spacing w:before="140"/>
              <w:ind w:right="98"/>
              <w:rPr>
                <w:b/>
              </w:rPr>
            </w:pPr>
            <w:r>
              <w:rPr>
                <w:b/>
              </w:rPr>
              <w:t>7,658.28</w:t>
            </w:r>
          </w:p>
        </w:tc>
        <w:tc>
          <w:tcPr>
            <w:tcW w:w="1042" w:type="dxa"/>
            <w:shd w:val="clear" w:color="auto" w:fill="BEBEBE"/>
          </w:tcPr>
          <w:p w:rsidR="007C5447" w:rsidRDefault="00F6308C">
            <w:pPr>
              <w:pStyle w:val="TableParagraph"/>
              <w:spacing w:before="140"/>
              <w:ind w:right="98"/>
              <w:rPr>
                <w:b/>
              </w:rPr>
            </w:pPr>
            <w:r>
              <w:rPr>
                <w:b/>
              </w:rPr>
              <w:t>8,111.35</w:t>
            </w:r>
          </w:p>
        </w:tc>
      </w:tr>
    </w:tbl>
    <w:p w:rsidR="007C5447" w:rsidRDefault="007C5447">
      <w:pPr>
        <w:pStyle w:val="BodyText"/>
        <w:spacing w:before="9"/>
        <w:rPr>
          <w:b/>
          <w:sz w:val="20"/>
        </w:rPr>
      </w:pPr>
    </w:p>
    <w:p w:rsidR="007C5447" w:rsidRDefault="00F6308C">
      <w:pPr>
        <w:pStyle w:val="Heading2"/>
      </w:pPr>
      <w:r>
        <w:t>Generation Function (Capacity Charges)</w:t>
      </w:r>
    </w:p>
    <w:p w:rsidR="007C5447" w:rsidRDefault="00F6308C">
      <w:pPr>
        <w:pStyle w:val="ListParagraph"/>
        <w:numPr>
          <w:ilvl w:val="2"/>
          <w:numId w:val="114"/>
        </w:numPr>
        <w:tabs>
          <w:tab w:val="left" w:pos="1073"/>
        </w:tabs>
        <w:spacing w:before="201" w:line="312" w:lineRule="auto"/>
        <w:ind w:right="233" w:hanging="852"/>
        <w:jc w:val="both"/>
        <w:rPr>
          <w:sz w:val="24"/>
        </w:rPr>
      </w:pPr>
      <w:r>
        <w:rPr>
          <w:sz w:val="24"/>
        </w:rPr>
        <w:t>As per Regulation 36 of the Tariff Regulations, fixed cost components for Generation function consist</w:t>
      </w:r>
      <w:r>
        <w:rPr>
          <w:spacing w:val="-1"/>
          <w:sz w:val="24"/>
        </w:rPr>
        <w:t xml:space="preserve"> </w:t>
      </w:r>
      <w:r>
        <w:rPr>
          <w:sz w:val="24"/>
        </w:rPr>
        <w:t>of:</w:t>
      </w:r>
    </w:p>
    <w:p w:rsidR="007C5447" w:rsidRDefault="007C5447">
      <w:pPr>
        <w:pStyle w:val="BodyText"/>
        <w:spacing w:before="11"/>
        <w:rPr>
          <w:sz w:val="20"/>
        </w:rPr>
      </w:pPr>
    </w:p>
    <w:p w:rsidR="007C5447" w:rsidRDefault="00F6308C">
      <w:pPr>
        <w:pStyle w:val="Heading3"/>
      </w:pPr>
      <w:r>
        <w:t>“36. Components of Tariff</w:t>
      </w:r>
    </w:p>
    <w:p w:rsidR="007C5447" w:rsidRDefault="007C5447">
      <w:pPr>
        <w:pStyle w:val="BodyText"/>
        <w:spacing w:before="10"/>
        <w:rPr>
          <w:b/>
          <w:i/>
          <w:sz w:val="20"/>
        </w:rPr>
      </w:pPr>
    </w:p>
    <w:p w:rsidR="007C5447" w:rsidRDefault="00F6308C">
      <w:pPr>
        <w:pStyle w:val="ListParagraph"/>
        <w:numPr>
          <w:ilvl w:val="0"/>
          <w:numId w:val="60"/>
        </w:numPr>
        <w:tabs>
          <w:tab w:val="left" w:pos="1944"/>
        </w:tabs>
        <w:ind w:right="955" w:firstLine="0"/>
        <w:jc w:val="both"/>
        <w:rPr>
          <w:i/>
          <w:sz w:val="24"/>
        </w:rPr>
      </w:pPr>
      <w:r>
        <w:rPr>
          <w:i/>
          <w:sz w:val="24"/>
        </w:rPr>
        <w:t>The tariff for sale of power by the Generating Companies shall be of two part namely the Fixed Charges (recovery of annual capacity charges) and variable (energy)</w:t>
      </w:r>
      <w:r>
        <w:rPr>
          <w:i/>
          <w:spacing w:val="-3"/>
          <w:sz w:val="24"/>
        </w:rPr>
        <w:t xml:space="preserve"> </w:t>
      </w:r>
      <w:r>
        <w:rPr>
          <w:i/>
          <w:sz w:val="24"/>
        </w:rPr>
        <w:t>charges.</w:t>
      </w:r>
    </w:p>
    <w:p w:rsidR="007C5447" w:rsidRDefault="007C5447">
      <w:pPr>
        <w:pStyle w:val="BodyText"/>
        <w:spacing w:before="10"/>
        <w:rPr>
          <w:i/>
          <w:sz w:val="20"/>
        </w:rPr>
      </w:pPr>
    </w:p>
    <w:p w:rsidR="007C5447" w:rsidRDefault="00F6308C">
      <w:pPr>
        <w:pStyle w:val="ListParagraph"/>
        <w:numPr>
          <w:ilvl w:val="0"/>
          <w:numId w:val="60"/>
        </w:numPr>
        <w:tabs>
          <w:tab w:val="left" w:pos="1973"/>
        </w:tabs>
        <w:ind w:right="953" w:firstLine="0"/>
        <w:jc w:val="both"/>
        <w:rPr>
          <w:i/>
          <w:sz w:val="24"/>
        </w:rPr>
      </w:pPr>
      <w:r>
        <w:rPr>
          <w:i/>
          <w:sz w:val="24"/>
        </w:rPr>
        <w:t>The Fixed (annual capacity) charges shall consist of the following elements:</w:t>
      </w:r>
    </w:p>
    <w:p w:rsidR="007C5447" w:rsidRDefault="00F6308C">
      <w:pPr>
        <w:pStyle w:val="ListParagraph"/>
        <w:numPr>
          <w:ilvl w:val="1"/>
          <w:numId w:val="60"/>
        </w:numPr>
        <w:tabs>
          <w:tab w:val="left" w:pos="2381"/>
        </w:tabs>
        <w:ind w:hanging="318"/>
        <w:rPr>
          <w:i/>
          <w:sz w:val="24"/>
        </w:rPr>
      </w:pPr>
      <w:r>
        <w:rPr>
          <w:i/>
          <w:sz w:val="24"/>
        </w:rPr>
        <w:t>Intere</w:t>
      </w:r>
      <w:r>
        <w:rPr>
          <w:i/>
          <w:sz w:val="24"/>
        </w:rPr>
        <w:t>st on Loan</w:t>
      </w:r>
      <w:r>
        <w:rPr>
          <w:i/>
          <w:spacing w:val="-1"/>
          <w:sz w:val="24"/>
        </w:rPr>
        <w:t xml:space="preserve"> </w:t>
      </w:r>
      <w:r>
        <w:rPr>
          <w:i/>
          <w:sz w:val="24"/>
        </w:rPr>
        <w:t>Capital</w:t>
      </w:r>
    </w:p>
    <w:p w:rsidR="007C5447" w:rsidRDefault="007C5447">
      <w:pPr>
        <w:rPr>
          <w:sz w:val="24"/>
        </w:rPr>
        <w:sectPr w:rsidR="007C5447">
          <w:footerReference w:type="default" r:id="rId51"/>
          <w:pgSz w:w="11910" w:h="16840"/>
          <w:pgMar w:top="1480" w:right="900" w:bottom="1240" w:left="1220" w:header="0" w:footer="1057" w:gutter="0"/>
          <w:pgNumType w:start="222"/>
          <w:cols w:space="720"/>
        </w:sectPr>
      </w:pPr>
    </w:p>
    <w:p w:rsidR="007C5447" w:rsidRDefault="00F6308C">
      <w:pPr>
        <w:pStyle w:val="ListParagraph"/>
        <w:numPr>
          <w:ilvl w:val="1"/>
          <w:numId w:val="60"/>
        </w:numPr>
        <w:tabs>
          <w:tab w:val="left" w:pos="2381"/>
        </w:tabs>
        <w:spacing w:before="60"/>
        <w:ind w:hanging="318"/>
        <w:rPr>
          <w:i/>
          <w:sz w:val="24"/>
        </w:rPr>
      </w:pPr>
      <w:r>
        <w:rPr>
          <w:i/>
          <w:sz w:val="24"/>
        </w:rPr>
        <w:lastRenderedPageBreak/>
        <w:t>Depreciation</w:t>
      </w:r>
    </w:p>
    <w:p w:rsidR="007C5447" w:rsidRDefault="00F6308C">
      <w:pPr>
        <w:pStyle w:val="ListParagraph"/>
        <w:numPr>
          <w:ilvl w:val="1"/>
          <w:numId w:val="60"/>
        </w:numPr>
        <w:tabs>
          <w:tab w:val="left" w:pos="2381"/>
        </w:tabs>
        <w:spacing w:before="82"/>
        <w:ind w:hanging="318"/>
        <w:rPr>
          <w:i/>
          <w:sz w:val="24"/>
        </w:rPr>
      </w:pPr>
      <w:r>
        <w:rPr>
          <w:i/>
          <w:sz w:val="24"/>
        </w:rPr>
        <w:t>Return on</w:t>
      </w:r>
      <w:r>
        <w:rPr>
          <w:i/>
          <w:spacing w:val="-1"/>
          <w:sz w:val="24"/>
        </w:rPr>
        <w:t xml:space="preserve"> </w:t>
      </w:r>
      <w:r>
        <w:rPr>
          <w:i/>
          <w:sz w:val="24"/>
        </w:rPr>
        <w:t>Equity;</w:t>
      </w:r>
    </w:p>
    <w:p w:rsidR="007C5447" w:rsidRDefault="00F6308C">
      <w:pPr>
        <w:pStyle w:val="ListParagraph"/>
        <w:numPr>
          <w:ilvl w:val="1"/>
          <w:numId w:val="60"/>
        </w:numPr>
        <w:tabs>
          <w:tab w:val="left" w:pos="2381"/>
        </w:tabs>
        <w:spacing w:before="84"/>
        <w:ind w:hanging="318"/>
        <w:rPr>
          <w:i/>
          <w:sz w:val="24"/>
        </w:rPr>
      </w:pPr>
      <w:r>
        <w:rPr>
          <w:i/>
          <w:sz w:val="24"/>
        </w:rPr>
        <w:t>Operation and Maintenance expenses;</w:t>
      </w:r>
      <w:r>
        <w:rPr>
          <w:i/>
          <w:spacing w:val="-2"/>
          <w:sz w:val="24"/>
        </w:rPr>
        <w:t xml:space="preserve"> </w:t>
      </w:r>
      <w:r>
        <w:rPr>
          <w:i/>
          <w:sz w:val="24"/>
        </w:rPr>
        <w:t>and</w:t>
      </w:r>
    </w:p>
    <w:p w:rsidR="007C5447" w:rsidRDefault="00F6308C">
      <w:pPr>
        <w:pStyle w:val="ListParagraph"/>
        <w:numPr>
          <w:ilvl w:val="1"/>
          <w:numId w:val="60"/>
        </w:numPr>
        <w:tabs>
          <w:tab w:val="left" w:pos="2381"/>
        </w:tabs>
        <w:spacing w:before="82"/>
        <w:ind w:hanging="318"/>
        <w:rPr>
          <w:i/>
          <w:sz w:val="24"/>
        </w:rPr>
      </w:pPr>
      <w:r>
        <w:rPr>
          <w:i/>
          <w:sz w:val="24"/>
        </w:rPr>
        <w:t>Interest on Working</w:t>
      </w:r>
      <w:r>
        <w:rPr>
          <w:i/>
          <w:spacing w:val="1"/>
          <w:sz w:val="24"/>
        </w:rPr>
        <w:t xml:space="preserve"> </w:t>
      </w:r>
      <w:r>
        <w:rPr>
          <w:i/>
          <w:sz w:val="24"/>
        </w:rPr>
        <w:t>Capital:</w:t>
      </w:r>
    </w:p>
    <w:p w:rsidR="007C5447" w:rsidRDefault="007C5447">
      <w:pPr>
        <w:pStyle w:val="BodyText"/>
        <w:spacing w:before="2"/>
        <w:rPr>
          <w:i/>
          <w:sz w:val="28"/>
        </w:rPr>
      </w:pPr>
    </w:p>
    <w:p w:rsidR="007C5447" w:rsidRDefault="00F6308C">
      <w:pPr>
        <w:pStyle w:val="ListParagraph"/>
        <w:numPr>
          <w:ilvl w:val="0"/>
          <w:numId w:val="60"/>
        </w:numPr>
        <w:tabs>
          <w:tab w:val="left" w:pos="1918"/>
        </w:tabs>
        <w:ind w:left="1917" w:hanging="258"/>
        <w:rPr>
          <w:i/>
          <w:sz w:val="24"/>
        </w:rPr>
      </w:pPr>
      <w:r>
        <w:rPr>
          <w:i/>
          <w:sz w:val="24"/>
        </w:rPr>
        <w:t>The energy (variable) charges shall cover fuel</w:t>
      </w:r>
      <w:r>
        <w:rPr>
          <w:i/>
          <w:spacing w:val="2"/>
          <w:sz w:val="24"/>
        </w:rPr>
        <w:t xml:space="preserve"> </w:t>
      </w:r>
      <w:r>
        <w:rPr>
          <w:i/>
          <w:sz w:val="24"/>
        </w:rPr>
        <w:t>cost.”</w:t>
      </w:r>
    </w:p>
    <w:p w:rsidR="007C5447" w:rsidRDefault="00F6308C">
      <w:pPr>
        <w:pStyle w:val="ListParagraph"/>
        <w:numPr>
          <w:ilvl w:val="2"/>
          <w:numId w:val="114"/>
        </w:numPr>
        <w:tabs>
          <w:tab w:val="left" w:pos="1073"/>
        </w:tabs>
        <w:spacing w:before="202" w:line="312" w:lineRule="auto"/>
        <w:ind w:right="232" w:hanging="852"/>
        <w:jc w:val="both"/>
        <w:rPr>
          <w:sz w:val="24"/>
        </w:rPr>
      </w:pPr>
      <w:r>
        <w:rPr>
          <w:sz w:val="24"/>
        </w:rPr>
        <w:t>Therefore, based on the component-wise approval given in the above Sections, the approved fixed cost/capacity charges for generating stations for the Control Period from FY 2016-17 to FY 2018-19 are sho</w:t>
      </w:r>
      <w:r>
        <w:rPr>
          <w:sz w:val="24"/>
        </w:rPr>
        <w:t>wn</w:t>
      </w:r>
      <w:r>
        <w:rPr>
          <w:spacing w:val="-1"/>
          <w:sz w:val="24"/>
        </w:rPr>
        <w:t xml:space="preserve"> </w:t>
      </w:r>
      <w:r>
        <w:rPr>
          <w:sz w:val="24"/>
        </w:rPr>
        <w:t>below:</w:t>
      </w:r>
    </w:p>
    <w:p w:rsidR="007C5447" w:rsidRDefault="007C5447">
      <w:pPr>
        <w:spacing w:line="312" w:lineRule="auto"/>
        <w:jc w:val="both"/>
        <w:rPr>
          <w:sz w:val="24"/>
        </w:rPr>
        <w:sectPr w:rsidR="007C5447">
          <w:pgSz w:w="11910" w:h="16840"/>
          <w:pgMar w:top="1360" w:right="900" w:bottom="1240" w:left="1220" w:header="0" w:footer="1057" w:gutter="0"/>
          <w:cols w:space="720"/>
        </w:sectPr>
      </w:pPr>
    </w:p>
    <w:p w:rsidR="007C5447" w:rsidRDefault="007C5447">
      <w:pPr>
        <w:pStyle w:val="BodyText"/>
        <w:rPr>
          <w:sz w:val="20"/>
        </w:rPr>
      </w:pPr>
    </w:p>
    <w:p w:rsidR="007C5447" w:rsidRDefault="007C5447">
      <w:pPr>
        <w:pStyle w:val="BodyText"/>
        <w:spacing w:before="6"/>
        <w:rPr>
          <w:sz w:val="19"/>
        </w:rPr>
      </w:pPr>
    </w:p>
    <w:p w:rsidR="007C5447" w:rsidRDefault="00F6308C">
      <w:pPr>
        <w:ind w:left="3877" w:right="3397"/>
        <w:jc w:val="center"/>
        <w:rPr>
          <w:b/>
        </w:rPr>
      </w:pPr>
      <w:r>
        <w:rPr>
          <w:b/>
        </w:rPr>
        <w:t>Table 4-32: Approved Fixed Charges for Generation function for FY 2016-17 (Rs. Crore)</w:t>
      </w:r>
    </w:p>
    <w:p w:rsidR="007C5447" w:rsidRDefault="007C5447">
      <w:pPr>
        <w:pStyle w:val="BodyText"/>
        <w:spacing w:before="11"/>
        <w:rPr>
          <w:b/>
          <w:sz w:val="16"/>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1985"/>
        <w:gridCol w:w="1274"/>
        <w:gridCol w:w="994"/>
        <w:gridCol w:w="991"/>
        <w:gridCol w:w="1135"/>
        <w:gridCol w:w="1135"/>
        <w:gridCol w:w="1133"/>
        <w:gridCol w:w="1277"/>
        <w:gridCol w:w="1133"/>
        <w:gridCol w:w="1136"/>
        <w:gridCol w:w="1275"/>
        <w:gridCol w:w="1138"/>
      </w:tblGrid>
      <w:tr w:rsidR="007C5447">
        <w:trPr>
          <w:trHeight w:val="297"/>
        </w:trPr>
        <w:tc>
          <w:tcPr>
            <w:tcW w:w="710" w:type="dxa"/>
            <w:vMerge w:val="restart"/>
            <w:shd w:val="clear" w:color="auto" w:fill="FBD4B4"/>
          </w:tcPr>
          <w:p w:rsidR="007C5447" w:rsidRDefault="007C5447">
            <w:pPr>
              <w:pStyle w:val="TableParagraph"/>
              <w:jc w:val="left"/>
              <w:rPr>
                <w:b/>
                <w:sz w:val="20"/>
              </w:rPr>
            </w:pPr>
          </w:p>
          <w:p w:rsidR="007C5447" w:rsidRDefault="00F6308C">
            <w:pPr>
              <w:pStyle w:val="TableParagraph"/>
              <w:spacing w:before="168"/>
              <w:ind w:left="236" w:right="228"/>
              <w:jc w:val="center"/>
              <w:rPr>
                <w:b/>
                <w:sz w:val="18"/>
              </w:rPr>
            </w:pPr>
            <w:r>
              <w:rPr>
                <w:b/>
                <w:sz w:val="18"/>
              </w:rPr>
              <w:t>Sl.</w:t>
            </w:r>
          </w:p>
        </w:tc>
        <w:tc>
          <w:tcPr>
            <w:tcW w:w="1985" w:type="dxa"/>
            <w:vMerge w:val="restart"/>
            <w:shd w:val="clear" w:color="auto" w:fill="FBD4B4"/>
          </w:tcPr>
          <w:p w:rsidR="007C5447" w:rsidRDefault="007C5447">
            <w:pPr>
              <w:pStyle w:val="TableParagraph"/>
              <w:jc w:val="left"/>
              <w:rPr>
                <w:b/>
                <w:sz w:val="20"/>
              </w:rPr>
            </w:pPr>
          </w:p>
          <w:p w:rsidR="007C5447" w:rsidRDefault="00F6308C">
            <w:pPr>
              <w:pStyle w:val="TableParagraph"/>
              <w:spacing w:before="168"/>
              <w:ind w:left="449"/>
              <w:jc w:val="left"/>
              <w:rPr>
                <w:b/>
                <w:sz w:val="18"/>
              </w:rPr>
            </w:pPr>
            <w:r>
              <w:rPr>
                <w:b/>
                <w:sz w:val="18"/>
              </w:rPr>
              <w:t>Power Station</w:t>
            </w:r>
          </w:p>
        </w:tc>
        <w:tc>
          <w:tcPr>
            <w:tcW w:w="12621" w:type="dxa"/>
            <w:gridSpan w:val="11"/>
            <w:shd w:val="clear" w:color="auto" w:fill="FBD4B4"/>
          </w:tcPr>
          <w:p w:rsidR="007C5447" w:rsidRDefault="00F6308C">
            <w:pPr>
              <w:pStyle w:val="TableParagraph"/>
              <w:spacing w:before="45"/>
              <w:ind w:left="5848" w:right="5837"/>
              <w:jc w:val="center"/>
              <w:rPr>
                <w:b/>
                <w:sz w:val="18"/>
              </w:rPr>
            </w:pPr>
            <w:r>
              <w:rPr>
                <w:b/>
                <w:sz w:val="18"/>
              </w:rPr>
              <w:t>FY 2016-17</w:t>
            </w:r>
          </w:p>
        </w:tc>
      </w:tr>
      <w:tr w:rsidR="007C5447">
        <w:trPr>
          <w:trHeight w:val="695"/>
        </w:trPr>
        <w:tc>
          <w:tcPr>
            <w:tcW w:w="710" w:type="dxa"/>
            <w:vMerge/>
            <w:tcBorders>
              <w:top w:val="nil"/>
            </w:tcBorders>
            <w:shd w:val="clear" w:color="auto" w:fill="FBD4B4"/>
          </w:tcPr>
          <w:p w:rsidR="007C5447" w:rsidRDefault="007C5447">
            <w:pPr>
              <w:rPr>
                <w:sz w:val="2"/>
                <w:szCs w:val="2"/>
              </w:rPr>
            </w:pPr>
          </w:p>
        </w:tc>
        <w:tc>
          <w:tcPr>
            <w:tcW w:w="1985" w:type="dxa"/>
            <w:vMerge/>
            <w:tcBorders>
              <w:top w:val="nil"/>
            </w:tcBorders>
            <w:shd w:val="clear" w:color="auto" w:fill="FBD4B4"/>
          </w:tcPr>
          <w:p w:rsidR="007C5447" w:rsidRDefault="007C5447">
            <w:pPr>
              <w:rPr>
                <w:sz w:val="2"/>
                <w:szCs w:val="2"/>
              </w:rPr>
            </w:pPr>
          </w:p>
        </w:tc>
        <w:tc>
          <w:tcPr>
            <w:tcW w:w="1274" w:type="dxa"/>
            <w:shd w:val="clear" w:color="auto" w:fill="FBD4B4"/>
          </w:tcPr>
          <w:p w:rsidR="007C5447" w:rsidRDefault="007C5447">
            <w:pPr>
              <w:pStyle w:val="TableParagraph"/>
              <w:spacing w:before="3"/>
              <w:jc w:val="left"/>
              <w:rPr>
                <w:b/>
                <w:sz w:val="21"/>
              </w:rPr>
            </w:pPr>
          </w:p>
          <w:p w:rsidR="007C5447" w:rsidRDefault="00F6308C">
            <w:pPr>
              <w:pStyle w:val="TableParagraph"/>
              <w:ind w:right="130"/>
              <w:rPr>
                <w:b/>
                <w:sz w:val="18"/>
              </w:rPr>
            </w:pPr>
            <w:r>
              <w:rPr>
                <w:b/>
                <w:sz w:val="18"/>
              </w:rPr>
              <w:t>Depreciation</w:t>
            </w:r>
          </w:p>
        </w:tc>
        <w:tc>
          <w:tcPr>
            <w:tcW w:w="994" w:type="dxa"/>
            <w:shd w:val="clear" w:color="auto" w:fill="FBD4B4"/>
          </w:tcPr>
          <w:p w:rsidR="007C5447" w:rsidRDefault="007C5447">
            <w:pPr>
              <w:pStyle w:val="TableParagraph"/>
              <w:spacing w:before="3"/>
              <w:jc w:val="left"/>
              <w:rPr>
                <w:b/>
                <w:sz w:val="21"/>
              </w:rPr>
            </w:pPr>
          </w:p>
          <w:p w:rsidR="007C5447" w:rsidRDefault="00F6308C">
            <w:pPr>
              <w:pStyle w:val="TableParagraph"/>
              <w:ind w:left="264"/>
              <w:jc w:val="left"/>
              <w:rPr>
                <w:b/>
                <w:sz w:val="18"/>
              </w:rPr>
            </w:pPr>
            <w:r>
              <w:rPr>
                <w:b/>
                <w:sz w:val="18"/>
              </w:rPr>
              <w:t>I&amp;FC</w:t>
            </w:r>
          </w:p>
        </w:tc>
        <w:tc>
          <w:tcPr>
            <w:tcW w:w="991" w:type="dxa"/>
            <w:shd w:val="clear" w:color="auto" w:fill="FBD4B4"/>
          </w:tcPr>
          <w:p w:rsidR="007C5447" w:rsidRDefault="00F6308C">
            <w:pPr>
              <w:pStyle w:val="TableParagraph"/>
              <w:spacing w:before="141"/>
              <w:ind w:left="118" w:right="39" w:firstLine="103"/>
              <w:jc w:val="left"/>
              <w:rPr>
                <w:b/>
                <w:sz w:val="18"/>
              </w:rPr>
            </w:pPr>
            <w:r>
              <w:rPr>
                <w:b/>
                <w:sz w:val="18"/>
              </w:rPr>
              <w:t>Return on Equity</w:t>
            </w:r>
          </w:p>
        </w:tc>
        <w:tc>
          <w:tcPr>
            <w:tcW w:w="1135" w:type="dxa"/>
            <w:shd w:val="clear" w:color="auto" w:fill="FBD4B4"/>
          </w:tcPr>
          <w:p w:rsidR="007C5447" w:rsidRDefault="00F6308C">
            <w:pPr>
              <w:pStyle w:val="TableParagraph"/>
              <w:spacing w:before="38"/>
              <w:ind w:left="116" w:right="106"/>
              <w:jc w:val="center"/>
              <w:rPr>
                <w:b/>
                <w:sz w:val="18"/>
              </w:rPr>
            </w:pPr>
            <w:r>
              <w:rPr>
                <w:b/>
                <w:sz w:val="18"/>
              </w:rPr>
              <w:t>Interest on Working Capital</w:t>
            </w:r>
          </w:p>
        </w:tc>
        <w:tc>
          <w:tcPr>
            <w:tcW w:w="1135" w:type="dxa"/>
            <w:shd w:val="clear" w:color="auto" w:fill="FBD4B4"/>
          </w:tcPr>
          <w:p w:rsidR="007C5447" w:rsidRDefault="00F6308C">
            <w:pPr>
              <w:pStyle w:val="TableParagraph"/>
              <w:spacing w:before="141"/>
              <w:ind w:left="212" w:right="182" w:firstLine="79"/>
              <w:jc w:val="left"/>
              <w:rPr>
                <w:b/>
                <w:sz w:val="18"/>
              </w:rPr>
            </w:pPr>
            <w:r>
              <w:rPr>
                <w:b/>
                <w:sz w:val="18"/>
              </w:rPr>
              <w:t>O &amp; M Expenses</w:t>
            </w:r>
          </w:p>
        </w:tc>
        <w:tc>
          <w:tcPr>
            <w:tcW w:w="1133" w:type="dxa"/>
            <w:shd w:val="clear" w:color="auto" w:fill="FBD4B4"/>
          </w:tcPr>
          <w:p w:rsidR="007C5447" w:rsidRDefault="00F6308C">
            <w:pPr>
              <w:pStyle w:val="TableParagraph"/>
              <w:spacing w:before="141"/>
              <w:ind w:left="321" w:right="292" w:firstLine="14"/>
              <w:jc w:val="left"/>
              <w:rPr>
                <w:b/>
                <w:sz w:val="18"/>
              </w:rPr>
            </w:pPr>
            <w:r>
              <w:rPr>
                <w:b/>
                <w:sz w:val="18"/>
              </w:rPr>
              <w:t>Other Debits</w:t>
            </w:r>
          </w:p>
        </w:tc>
        <w:tc>
          <w:tcPr>
            <w:tcW w:w="1277" w:type="dxa"/>
            <w:shd w:val="clear" w:color="auto" w:fill="FBD4B4"/>
          </w:tcPr>
          <w:p w:rsidR="007C5447" w:rsidRDefault="00F6308C">
            <w:pPr>
              <w:pStyle w:val="TableParagraph"/>
              <w:spacing w:before="38"/>
              <w:ind w:left="134" w:right="121"/>
              <w:jc w:val="center"/>
              <w:rPr>
                <w:b/>
                <w:sz w:val="18"/>
              </w:rPr>
            </w:pPr>
            <w:r>
              <w:rPr>
                <w:b/>
                <w:sz w:val="18"/>
              </w:rPr>
              <w:t>Op. Charges and Extra Ordinary</w:t>
            </w:r>
          </w:p>
        </w:tc>
        <w:tc>
          <w:tcPr>
            <w:tcW w:w="1133" w:type="dxa"/>
            <w:shd w:val="clear" w:color="auto" w:fill="FBD4B4"/>
          </w:tcPr>
          <w:p w:rsidR="007C5447" w:rsidRDefault="00F6308C">
            <w:pPr>
              <w:pStyle w:val="TableParagraph"/>
              <w:spacing w:before="141"/>
              <w:ind w:left="282" w:right="141" w:firstLine="55"/>
              <w:jc w:val="left"/>
              <w:rPr>
                <w:b/>
                <w:sz w:val="18"/>
              </w:rPr>
            </w:pPr>
            <w:r>
              <w:rPr>
                <w:b/>
                <w:sz w:val="18"/>
              </w:rPr>
              <w:t>Other Income</w:t>
            </w:r>
          </w:p>
        </w:tc>
        <w:tc>
          <w:tcPr>
            <w:tcW w:w="1136" w:type="dxa"/>
            <w:shd w:val="clear" w:color="auto" w:fill="FBD4B4"/>
          </w:tcPr>
          <w:p w:rsidR="007C5447" w:rsidRDefault="00F6308C">
            <w:pPr>
              <w:pStyle w:val="TableParagraph"/>
              <w:spacing w:before="141"/>
              <w:ind w:left="282" w:right="119" w:hanging="135"/>
              <w:jc w:val="left"/>
              <w:rPr>
                <w:b/>
                <w:sz w:val="18"/>
              </w:rPr>
            </w:pPr>
            <w:r>
              <w:rPr>
                <w:b/>
                <w:sz w:val="18"/>
              </w:rPr>
              <w:t>Non-Tariff Income</w:t>
            </w:r>
          </w:p>
        </w:tc>
        <w:tc>
          <w:tcPr>
            <w:tcW w:w="1275" w:type="dxa"/>
            <w:shd w:val="clear" w:color="auto" w:fill="FBD4B4"/>
          </w:tcPr>
          <w:p w:rsidR="007C5447" w:rsidRDefault="00F6308C">
            <w:pPr>
              <w:pStyle w:val="TableParagraph"/>
              <w:spacing w:before="38"/>
              <w:ind w:left="142" w:right="131" w:firstLine="3"/>
              <w:jc w:val="center"/>
              <w:rPr>
                <w:b/>
                <w:sz w:val="18"/>
              </w:rPr>
            </w:pPr>
            <w:r>
              <w:rPr>
                <w:b/>
                <w:sz w:val="18"/>
              </w:rPr>
              <w:t>Other Interest &amp; Fin. Charges</w:t>
            </w:r>
          </w:p>
        </w:tc>
        <w:tc>
          <w:tcPr>
            <w:tcW w:w="1138" w:type="dxa"/>
            <w:shd w:val="clear" w:color="auto" w:fill="FBD4B4"/>
          </w:tcPr>
          <w:p w:rsidR="007C5447" w:rsidRDefault="00F6308C">
            <w:pPr>
              <w:pStyle w:val="TableParagraph"/>
              <w:spacing w:before="141"/>
              <w:ind w:left="394" w:right="98" w:hanging="269"/>
              <w:jc w:val="left"/>
              <w:rPr>
                <w:b/>
                <w:sz w:val="18"/>
              </w:rPr>
            </w:pPr>
            <w:r>
              <w:rPr>
                <w:b/>
                <w:sz w:val="18"/>
              </w:rPr>
              <w:t>Total Fixed Cost</w:t>
            </w:r>
          </w:p>
        </w:tc>
      </w:tr>
      <w:tr w:rsidR="007C5447">
        <w:trPr>
          <w:trHeight w:val="299"/>
        </w:trPr>
        <w:tc>
          <w:tcPr>
            <w:tcW w:w="710" w:type="dxa"/>
          </w:tcPr>
          <w:p w:rsidR="007C5447" w:rsidRDefault="00F6308C">
            <w:pPr>
              <w:pStyle w:val="TableParagraph"/>
              <w:spacing w:before="45"/>
              <w:ind w:left="4"/>
              <w:jc w:val="center"/>
              <w:rPr>
                <w:sz w:val="18"/>
              </w:rPr>
            </w:pPr>
            <w:r>
              <w:rPr>
                <w:sz w:val="18"/>
              </w:rPr>
              <w:t>1</w:t>
            </w:r>
          </w:p>
        </w:tc>
        <w:tc>
          <w:tcPr>
            <w:tcW w:w="1985" w:type="dxa"/>
          </w:tcPr>
          <w:p w:rsidR="007C5447" w:rsidRDefault="00F6308C">
            <w:pPr>
              <w:pStyle w:val="TableParagraph"/>
              <w:spacing w:before="45"/>
              <w:ind w:left="108"/>
              <w:jc w:val="left"/>
              <w:rPr>
                <w:sz w:val="18"/>
              </w:rPr>
            </w:pPr>
            <w:r>
              <w:rPr>
                <w:sz w:val="18"/>
              </w:rPr>
              <w:t>Ennore TPS</w:t>
            </w:r>
          </w:p>
        </w:tc>
        <w:tc>
          <w:tcPr>
            <w:tcW w:w="1274" w:type="dxa"/>
          </w:tcPr>
          <w:p w:rsidR="007C5447" w:rsidRDefault="00F6308C">
            <w:pPr>
              <w:pStyle w:val="TableParagraph"/>
              <w:spacing w:before="45"/>
              <w:ind w:right="91"/>
              <w:rPr>
                <w:sz w:val="18"/>
              </w:rPr>
            </w:pPr>
            <w:r>
              <w:rPr>
                <w:sz w:val="18"/>
              </w:rPr>
              <w:t>98.27</w:t>
            </w:r>
          </w:p>
        </w:tc>
        <w:tc>
          <w:tcPr>
            <w:tcW w:w="994" w:type="dxa"/>
          </w:tcPr>
          <w:p w:rsidR="007C5447" w:rsidRDefault="00F6308C">
            <w:pPr>
              <w:pStyle w:val="TableParagraph"/>
              <w:spacing w:before="45"/>
              <w:ind w:right="99"/>
              <w:rPr>
                <w:sz w:val="18"/>
              </w:rPr>
            </w:pPr>
            <w:r>
              <w:rPr>
                <w:sz w:val="18"/>
              </w:rPr>
              <w:t>189.99</w:t>
            </w:r>
          </w:p>
        </w:tc>
        <w:tc>
          <w:tcPr>
            <w:tcW w:w="991" w:type="dxa"/>
          </w:tcPr>
          <w:p w:rsidR="007C5447" w:rsidRDefault="00F6308C">
            <w:pPr>
              <w:pStyle w:val="TableParagraph"/>
              <w:spacing w:before="45"/>
              <w:ind w:right="94"/>
              <w:rPr>
                <w:sz w:val="18"/>
              </w:rPr>
            </w:pPr>
            <w:r>
              <w:rPr>
                <w:w w:val="99"/>
                <w:sz w:val="18"/>
              </w:rPr>
              <w:t>-</w:t>
            </w:r>
          </w:p>
        </w:tc>
        <w:tc>
          <w:tcPr>
            <w:tcW w:w="1135" w:type="dxa"/>
          </w:tcPr>
          <w:p w:rsidR="007C5447" w:rsidRDefault="00F6308C">
            <w:pPr>
              <w:pStyle w:val="TableParagraph"/>
              <w:spacing w:before="45"/>
              <w:ind w:right="96"/>
              <w:rPr>
                <w:sz w:val="18"/>
              </w:rPr>
            </w:pPr>
            <w:r>
              <w:rPr>
                <w:sz w:val="18"/>
              </w:rPr>
              <w:t>41.72</w:t>
            </w:r>
          </w:p>
        </w:tc>
        <w:tc>
          <w:tcPr>
            <w:tcW w:w="1135" w:type="dxa"/>
          </w:tcPr>
          <w:p w:rsidR="007C5447" w:rsidRDefault="00F6308C">
            <w:pPr>
              <w:pStyle w:val="TableParagraph"/>
              <w:spacing w:before="45"/>
              <w:ind w:right="96"/>
              <w:rPr>
                <w:sz w:val="18"/>
              </w:rPr>
            </w:pPr>
            <w:r>
              <w:rPr>
                <w:sz w:val="18"/>
              </w:rPr>
              <w:t>142.33</w:t>
            </w:r>
          </w:p>
        </w:tc>
        <w:tc>
          <w:tcPr>
            <w:tcW w:w="1133" w:type="dxa"/>
          </w:tcPr>
          <w:p w:rsidR="007C5447" w:rsidRDefault="00F6308C">
            <w:pPr>
              <w:pStyle w:val="TableParagraph"/>
              <w:spacing w:before="45"/>
              <w:ind w:right="96"/>
              <w:rPr>
                <w:sz w:val="18"/>
              </w:rPr>
            </w:pPr>
            <w:r>
              <w:rPr>
                <w:w w:val="99"/>
                <w:sz w:val="18"/>
              </w:rPr>
              <w:t>-</w:t>
            </w:r>
          </w:p>
        </w:tc>
        <w:tc>
          <w:tcPr>
            <w:tcW w:w="1277" w:type="dxa"/>
          </w:tcPr>
          <w:p w:rsidR="007C5447" w:rsidRDefault="00F6308C">
            <w:pPr>
              <w:pStyle w:val="TableParagraph"/>
              <w:spacing w:before="45"/>
              <w:ind w:right="94"/>
              <w:rPr>
                <w:sz w:val="18"/>
              </w:rPr>
            </w:pPr>
            <w:r>
              <w:rPr>
                <w:w w:val="99"/>
                <w:sz w:val="18"/>
              </w:rPr>
              <w:t>-</w:t>
            </w:r>
          </w:p>
        </w:tc>
        <w:tc>
          <w:tcPr>
            <w:tcW w:w="1133" w:type="dxa"/>
          </w:tcPr>
          <w:p w:rsidR="007C5447" w:rsidRDefault="00F6308C">
            <w:pPr>
              <w:pStyle w:val="TableParagraph"/>
              <w:spacing w:before="45"/>
              <w:ind w:right="93"/>
              <w:rPr>
                <w:sz w:val="18"/>
              </w:rPr>
            </w:pPr>
            <w:r>
              <w:rPr>
                <w:sz w:val="18"/>
              </w:rPr>
              <w:t>12.35</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97"/>
              <w:rPr>
                <w:sz w:val="18"/>
              </w:rPr>
            </w:pPr>
            <w:r>
              <w:rPr>
                <w:sz w:val="18"/>
              </w:rPr>
              <w:t>3.05</w:t>
            </w:r>
          </w:p>
        </w:tc>
        <w:tc>
          <w:tcPr>
            <w:tcW w:w="1138" w:type="dxa"/>
          </w:tcPr>
          <w:p w:rsidR="007C5447" w:rsidRDefault="00F6308C">
            <w:pPr>
              <w:pStyle w:val="TableParagraph"/>
              <w:spacing w:before="45"/>
              <w:ind w:right="95"/>
              <w:rPr>
                <w:sz w:val="18"/>
              </w:rPr>
            </w:pPr>
            <w:r>
              <w:rPr>
                <w:sz w:val="18"/>
              </w:rPr>
              <w:t>463.01</w:t>
            </w:r>
          </w:p>
        </w:tc>
      </w:tr>
      <w:tr w:rsidR="007C5447">
        <w:trPr>
          <w:trHeight w:val="299"/>
        </w:trPr>
        <w:tc>
          <w:tcPr>
            <w:tcW w:w="710" w:type="dxa"/>
          </w:tcPr>
          <w:p w:rsidR="007C5447" w:rsidRDefault="00F6308C">
            <w:pPr>
              <w:pStyle w:val="TableParagraph"/>
              <w:spacing w:before="45"/>
              <w:ind w:left="4"/>
              <w:jc w:val="center"/>
              <w:rPr>
                <w:sz w:val="18"/>
              </w:rPr>
            </w:pPr>
            <w:r>
              <w:rPr>
                <w:sz w:val="18"/>
              </w:rPr>
              <w:t>2</w:t>
            </w:r>
          </w:p>
        </w:tc>
        <w:tc>
          <w:tcPr>
            <w:tcW w:w="1985" w:type="dxa"/>
          </w:tcPr>
          <w:p w:rsidR="007C5447" w:rsidRDefault="00F6308C">
            <w:pPr>
              <w:pStyle w:val="TableParagraph"/>
              <w:spacing w:before="45"/>
              <w:ind w:left="108"/>
              <w:jc w:val="left"/>
              <w:rPr>
                <w:sz w:val="18"/>
              </w:rPr>
            </w:pPr>
            <w:r>
              <w:rPr>
                <w:sz w:val="18"/>
              </w:rPr>
              <w:t>Tuticorin TPS</w:t>
            </w:r>
          </w:p>
        </w:tc>
        <w:tc>
          <w:tcPr>
            <w:tcW w:w="1274" w:type="dxa"/>
          </w:tcPr>
          <w:p w:rsidR="007C5447" w:rsidRDefault="00F6308C">
            <w:pPr>
              <w:pStyle w:val="TableParagraph"/>
              <w:spacing w:before="45"/>
              <w:ind w:right="94"/>
              <w:rPr>
                <w:sz w:val="18"/>
              </w:rPr>
            </w:pPr>
            <w:r>
              <w:rPr>
                <w:sz w:val="18"/>
              </w:rPr>
              <w:t>110.32</w:t>
            </w:r>
          </w:p>
        </w:tc>
        <w:tc>
          <w:tcPr>
            <w:tcW w:w="994" w:type="dxa"/>
          </w:tcPr>
          <w:p w:rsidR="007C5447" w:rsidRDefault="00F6308C">
            <w:pPr>
              <w:pStyle w:val="TableParagraph"/>
              <w:spacing w:before="45"/>
              <w:ind w:right="99"/>
              <w:rPr>
                <w:sz w:val="18"/>
              </w:rPr>
            </w:pPr>
            <w:r>
              <w:rPr>
                <w:sz w:val="18"/>
              </w:rPr>
              <w:t>330.03</w:t>
            </w:r>
          </w:p>
        </w:tc>
        <w:tc>
          <w:tcPr>
            <w:tcW w:w="991" w:type="dxa"/>
          </w:tcPr>
          <w:p w:rsidR="007C5447" w:rsidRDefault="00F6308C">
            <w:pPr>
              <w:pStyle w:val="TableParagraph"/>
              <w:spacing w:before="45"/>
              <w:ind w:right="94"/>
              <w:rPr>
                <w:sz w:val="18"/>
              </w:rPr>
            </w:pPr>
            <w:r>
              <w:rPr>
                <w:w w:val="99"/>
                <w:sz w:val="18"/>
              </w:rPr>
              <w:t>-</w:t>
            </w:r>
          </w:p>
        </w:tc>
        <w:tc>
          <w:tcPr>
            <w:tcW w:w="1135" w:type="dxa"/>
          </w:tcPr>
          <w:p w:rsidR="007C5447" w:rsidRDefault="00F6308C">
            <w:pPr>
              <w:pStyle w:val="TableParagraph"/>
              <w:spacing w:before="45"/>
              <w:ind w:right="98"/>
              <w:rPr>
                <w:sz w:val="18"/>
              </w:rPr>
            </w:pPr>
            <w:r>
              <w:rPr>
                <w:sz w:val="18"/>
              </w:rPr>
              <w:t>150.56</w:t>
            </w:r>
          </w:p>
        </w:tc>
        <w:tc>
          <w:tcPr>
            <w:tcW w:w="1135" w:type="dxa"/>
          </w:tcPr>
          <w:p w:rsidR="007C5447" w:rsidRDefault="00F6308C">
            <w:pPr>
              <w:pStyle w:val="TableParagraph"/>
              <w:spacing w:before="45"/>
              <w:ind w:right="96"/>
              <w:rPr>
                <w:sz w:val="18"/>
              </w:rPr>
            </w:pPr>
            <w:r>
              <w:rPr>
                <w:sz w:val="18"/>
              </w:rPr>
              <w:t>332.32</w:t>
            </w:r>
          </w:p>
        </w:tc>
        <w:tc>
          <w:tcPr>
            <w:tcW w:w="1133" w:type="dxa"/>
          </w:tcPr>
          <w:p w:rsidR="007C5447" w:rsidRDefault="00F6308C">
            <w:pPr>
              <w:pStyle w:val="TableParagraph"/>
              <w:spacing w:before="45"/>
              <w:ind w:right="96"/>
              <w:rPr>
                <w:sz w:val="18"/>
              </w:rPr>
            </w:pPr>
            <w:r>
              <w:rPr>
                <w:w w:val="99"/>
                <w:sz w:val="18"/>
              </w:rPr>
              <w:t>-</w:t>
            </w:r>
          </w:p>
        </w:tc>
        <w:tc>
          <w:tcPr>
            <w:tcW w:w="1277" w:type="dxa"/>
          </w:tcPr>
          <w:p w:rsidR="007C5447" w:rsidRDefault="00F6308C">
            <w:pPr>
              <w:pStyle w:val="TableParagraph"/>
              <w:spacing w:before="45"/>
              <w:ind w:right="94"/>
              <w:rPr>
                <w:sz w:val="18"/>
              </w:rPr>
            </w:pPr>
            <w:r>
              <w:rPr>
                <w:w w:val="99"/>
                <w:sz w:val="18"/>
              </w:rPr>
              <w:t>-</w:t>
            </w:r>
          </w:p>
        </w:tc>
        <w:tc>
          <w:tcPr>
            <w:tcW w:w="1133" w:type="dxa"/>
          </w:tcPr>
          <w:p w:rsidR="007C5447" w:rsidRDefault="00F6308C">
            <w:pPr>
              <w:pStyle w:val="TableParagraph"/>
              <w:spacing w:before="45"/>
              <w:ind w:right="93"/>
              <w:rPr>
                <w:sz w:val="18"/>
              </w:rPr>
            </w:pPr>
            <w:r>
              <w:rPr>
                <w:sz w:val="18"/>
              </w:rPr>
              <w:t>35.34</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94"/>
              <w:rPr>
                <w:sz w:val="18"/>
              </w:rPr>
            </w:pPr>
            <w:r>
              <w:rPr>
                <w:sz w:val="18"/>
              </w:rPr>
              <w:t>12.16</w:t>
            </w:r>
          </w:p>
        </w:tc>
        <w:tc>
          <w:tcPr>
            <w:tcW w:w="1138" w:type="dxa"/>
          </w:tcPr>
          <w:p w:rsidR="007C5447" w:rsidRDefault="00F6308C">
            <w:pPr>
              <w:pStyle w:val="TableParagraph"/>
              <w:spacing w:before="45"/>
              <w:ind w:right="98"/>
              <w:rPr>
                <w:sz w:val="18"/>
              </w:rPr>
            </w:pPr>
            <w:r>
              <w:rPr>
                <w:sz w:val="18"/>
              </w:rPr>
              <w:t>900.04</w:t>
            </w:r>
          </w:p>
        </w:tc>
      </w:tr>
      <w:tr w:rsidR="007C5447">
        <w:trPr>
          <w:trHeight w:val="300"/>
        </w:trPr>
        <w:tc>
          <w:tcPr>
            <w:tcW w:w="710" w:type="dxa"/>
          </w:tcPr>
          <w:p w:rsidR="007C5447" w:rsidRDefault="00F6308C">
            <w:pPr>
              <w:pStyle w:val="TableParagraph"/>
              <w:spacing w:before="48"/>
              <w:ind w:left="4"/>
              <w:jc w:val="center"/>
              <w:rPr>
                <w:sz w:val="18"/>
              </w:rPr>
            </w:pPr>
            <w:r>
              <w:rPr>
                <w:sz w:val="18"/>
              </w:rPr>
              <w:t>3</w:t>
            </w:r>
          </w:p>
        </w:tc>
        <w:tc>
          <w:tcPr>
            <w:tcW w:w="1985" w:type="dxa"/>
          </w:tcPr>
          <w:p w:rsidR="007C5447" w:rsidRDefault="00F6308C">
            <w:pPr>
              <w:pStyle w:val="TableParagraph"/>
              <w:spacing w:before="48"/>
              <w:ind w:left="108"/>
              <w:jc w:val="left"/>
              <w:rPr>
                <w:sz w:val="18"/>
              </w:rPr>
            </w:pPr>
            <w:r>
              <w:rPr>
                <w:sz w:val="18"/>
              </w:rPr>
              <w:t>Mettur TPS</w:t>
            </w:r>
          </w:p>
        </w:tc>
        <w:tc>
          <w:tcPr>
            <w:tcW w:w="1274" w:type="dxa"/>
          </w:tcPr>
          <w:p w:rsidR="007C5447" w:rsidRDefault="00F6308C">
            <w:pPr>
              <w:pStyle w:val="TableParagraph"/>
              <w:spacing w:before="48"/>
              <w:ind w:right="91"/>
              <w:rPr>
                <w:sz w:val="18"/>
              </w:rPr>
            </w:pPr>
            <w:r>
              <w:rPr>
                <w:sz w:val="18"/>
              </w:rPr>
              <w:t>72.14</w:t>
            </w:r>
          </w:p>
        </w:tc>
        <w:tc>
          <w:tcPr>
            <w:tcW w:w="994" w:type="dxa"/>
          </w:tcPr>
          <w:p w:rsidR="007C5447" w:rsidRDefault="00F6308C">
            <w:pPr>
              <w:pStyle w:val="TableParagraph"/>
              <w:spacing w:before="48"/>
              <w:ind w:right="99"/>
              <w:rPr>
                <w:sz w:val="18"/>
              </w:rPr>
            </w:pPr>
            <w:r>
              <w:rPr>
                <w:sz w:val="18"/>
              </w:rPr>
              <w:t>196.12</w:t>
            </w:r>
          </w:p>
        </w:tc>
        <w:tc>
          <w:tcPr>
            <w:tcW w:w="991" w:type="dxa"/>
          </w:tcPr>
          <w:p w:rsidR="007C5447" w:rsidRDefault="00F6308C">
            <w:pPr>
              <w:pStyle w:val="TableParagraph"/>
              <w:spacing w:before="48"/>
              <w:ind w:right="94"/>
              <w:rPr>
                <w:sz w:val="18"/>
              </w:rPr>
            </w:pPr>
            <w:r>
              <w:rPr>
                <w:w w:val="99"/>
                <w:sz w:val="18"/>
              </w:rPr>
              <w:t>-</w:t>
            </w:r>
          </w:p>
        </w:tc>
        <w:tc>
          <w:tcPr>
            <w:tcW w:w="1135" w:type="dxa"/>
          </w:tcPr>
          <w:p w:rsidR="007C5447" w:rsidRDefault="00F6308C">
            <w:pPr>
              <w:pStyle w:val="TableParagraph"/>
              <w:spacing w:before="48"/>
              <w:ind w:right="98"/>
              <w:rPr>
                <w:sz w:val="18"/>
              </w:rPr>
            </w:pPr>
            <w:r>
              <w:rPr>
                <w:sz w:val="18"/>
              </w:rPr>
              <w:t>126.22</w:t>
            </w:r>
          </w:p>
        </w:tc>
        <w:tc>
          <w:tcPr>
            <w:tcW w:w="1135" w:type="dxa"/>
          </w:tcPr>
          <w:p w:rsidR="007C5447" w:rsidRDefault="00F6308C">
            <w:pPr>
              <w:pStyle w:val="TableParagraph"/>
              <w:spacing w:before="48"/>
              <w:ind w:right="96"/>
              <w:rPr>
                <w:sz w:val="18"/>
              </w:rPr>
            </w:pPr>
            <w:r>
              <w:rPr>
                <w:sz w:val="18"/>
              </w:rPr>
              <w:t>254.05</w:t>
            </w:r>
          </w:p>
        </w:tc>
        <w:tc>
          <w:tcPr>
            <w:tcW w:w="1133" w:type="dxa"/>
          </w:tcPr>
          <w:p w:rsidR="007C5447" w:rsidRDefault="00F6308C">
            <w:pPr>
              <w:pStyle w:val="TableParagraph"/>
              <w:spacing w:before="48"/>
              <w:ind w:right="96"/>
              <w:rPr>
                <w:sz w:val="18"/>
              </w:rPr>
            </w:pPr>
            <w:r>
              <w:rPr>
                <w:w w:val="99"/>
                <w:sz w:val="18"/>
              </w:rPr>
              <w:t>-</w:t>
            </w:r>
          </w:p>
        </w:tc>
        <w:tc>
          <w:tcPr>
            <w:tcW w:w="1277" w:type="dxa"/>
          </w:tcPr>
          <w:p w:rsidR="007C5447" w:rsidRDefault="00F6308C">
            <w:pPr>
              <w:pStyle w:val="TableParagraph"/>
              <w:spacing w:before="48"/>
              <w:ind w:right="94"/>
              <w:rPr>
                <w:sz w:val="18"/>
              </w:rPr>
            </w:pPr>
            <w:r>
              <w:rPr>
                <w:w w:val="99"/>
                <w:sz w:val="18"/>
              </w:rPr>
              <w:t>-</w:t>
            </w:r>
          </w:p>
        </w:tc>
        <w:tc>
          <w:tcPr>
            <w:tcW w:w="1133" w:type="dxa"/>
          </w:tcPr>
          <w:p w:rsidR="007C5447" w:rsidRDefault="00F6308C">
            <w:pPr>
              <w:pStyle w:val="TableParagraph"/>
              <w:spacing w:before="48"/>
              <w:ind w:right="93"/>
              <w:rPr>
                <w:sz w:val="18"/>
              </w:rPr>
            </w:pPr>
            <w:r>
              <w:rPr>
                <w:sz w:val="18"/>
              </w:rPr>
              <w:t>31.42</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8"/>
              <w:ind w:right="94"/>
              <w:rPr>
                <w:sz w:val="18"/>
              </w:rPr>
            </w:pPr>
            <w:r>
              <w:rPr>
                <w:sz w:val="18"/>
              </w:rPr>
              <w:t>10.34</w:t>
            </w:r>
          </w:p>
        </w:tc>
        <w:tc>
          <w:tcPr>
            <w:tcW w:w="1138" w:type="dxa"/>
          </w:tcPr>
          <w:p w:rsidR="007C5447" w:rsidRDefault="00F6308C">
            <w:pPr>
              <w:pStyle w:val="TableParagraph"/>
              <w:spacing w:before="48"/>
              <w:ind w:right="98"/>
              <w:rPr>
                <w:sz w:val="18"/>
              </w:rPr>
            </w:pPr>
            <w:r>
              <w:rPr>
                <w:sz w:val="18"/>
              </w:rPr>
              <w:t>627.45</w:t>
            </w:r>
          </w:p>
        </w:tc>
      </w:tr>
      <w:tr w:rsidR="007C5447">
        <w:trPr>
          <w:trHeight w:val="299"/>
        </w:trPr>
        <w:tc>
          <w:tcPr>
            <w:tcW w:w="710" w:type="dxa"/>
          </w:tcPr>
          <w:p w:rsidR="007C5447" w:rsidRDefault="00F6308C">
            <w:pPr>
              <w:pStyle w:val="TableParagraph"/>
              <w:spacing w:before="47"/>
              <w:ind w:left="4"/>
              <w:jc w:val="center"/>
              <w:rPr>
                <w:sz w:val="18"/>
              </w:rPr>
            </w:pPr>
            <w:r>
              <w:rPr>
                <w:sz w:val="18"/>
              </w:rPr>
              <w:t>4</w:t>
            </w:r>
          </w:p>
        </w:tc>
        <w:tc>
          <w:tcPr>
            <w:tcW w:w="1985" w:type="dxa"/>
          </w:tcPr>
          <w:p w:rsidR="007C5447" w:rsidRDefault="00F6308C">
            <w:pPr>
              <w:pStyle w:val="TableParagraph"/>
              <w:spacing w:before="47"/>
              <w:ind w:left="108"/>
              <w:jc w:val="left"/>
              <w:rPr>
                <w:sz w:val="18"/>
              </w:rPr>
            </w:pPr>
            <w:r>
              <w:rPr>
                <w:sz w:val="18"/>
              </w:rPr>
              <w:t>North Chennai TPS</w:t>
            </w:r>
          </w:p>
        </w:tc>
        <w:tc>
          <w:tcPr>
            <w:tcW w:w="1274" w:type="dxa"/>
          </w:tcPr>
          <w:p w:rsidR="007C5447" w:rsidRDefault="00F6308C">
            <w:pPr>
              <w:pStyle w:val="TableParagraph"/>
              <w:spacing w:before="47"/>
              <w:ind w:right="94"/>
              <w:rPr>
                <w:sz w:val="18"/>
              </w:rPr>
            </w:pPr>
            <w:r>
              <w:rPr>
                <w:sz w:val="18"/>
              </w:rPr>
              <w:t>112.71</w:t>
            </w:r>
          </w:p>
        </w:tc>
        <w:tc>
          <w:tcPr>
            <w:tcW w:w="994" w:type="dxa"/>
          </w:tcPr>
          <w:p w:rsidR="007C5447" w:rsidRDefault="00F6308C">
            <w:pPr>
              <w:pStyle w:val="TableParagraph"/>
              <w:spacing w:before="47"/>
              <w:ind w:right="99"/>
              <w:rPr>
                <w:sz w:val="18"/>
              </w:rPr>
            </w:pPr>
            <w:r>
              <w:rPr>
                <w:sz w:val="18"/>
              </w:rPr>
              <w:t>345.15</w:t>
            </w:r>
          </w:p>
        </w:tc>
        <w:tc>
          <w:tcPr>
            <w:tcW w:w="991" w:type="dxa"/>
          </w:tcPr>
          <w:p w:rsidR="007C5447" w:rsidRDefault="00F6308C">
            <w:pPr>
              <w:pStyle w:val="TableParagraph"/>
              <w:spacing w:before="47"/>
              <w:ind w:right="94"/>
              <w:rPr>
                <w:sz w:val="18"/>
              </w:rPr>
            </w:pPr>
            <w:r>
              <w:rPr>
                <w:w w:val="99"/>
                <w:sz w:val="18"/>
              </w:rPr>
              <w:t>-</w:t>
            </w:r>
          </w:p>
        </w:tc>
        <w:tc>
          <w:tcPr>
            <w:tcW w:w="1135" w:type="dxa"/>
          </w:tcPr>
          <w:p w:rsidR="007C5447" w:rsidRDefault="00F6308C">
            <w:pPr>
              <w:pStyle w:val="TableParagraph"/>
              <w:spacing w:before="47"/>
              <w:ind w:right="96"/>
              <w:rPr>
                <w:sz w:val="18"/>
              </w:rPr>
            </w:pPr>
            <w:r>
              <w:rPr>
                <w:sz w:val="18"/>
              </w:rPr>
              <w:t>86.68</w:t>
            </w:r>
          </w:p>
        </w:tc>
        <w:tc>
          <w:tcPr>
            <w:tcW w:w="1135" w:type="dxa"/>
          </w:tcPr>
          <w:p w:rsidR="007C5447" w:rsidRDefault="00F6308C">
            <w:pPr>
              <w:pStyle w:val="TableParagraph"/>
              <w:spacing w:before="47"/>
              <w:ind w:right="96"/>
              <w:rPr>
                <w:sz w:val="18"/>
              </w:rPr>
            </w:pPr>
            <w:r>
              <w:rPr>
                <w:sz w:val="18"/>
              </w:rPr>
              <w:t>237.01</w:t>
            </w:r>
          </w:p>
        </w:tc>
        <w:tc>
          <w:tcPr>
            <w:tcW w:w="1133" w:type="dxa"/>
          </w:tcPr>
          <w:p w:rsidR="007C5447" w:rsidRDefault="00F6308C">
            <w:pPr>
              <w:pStyle w:val="TableParagraph"/>
              <w:spacing w:before="47"/>
              <w:ind w:right="96"/>
              <w:rPr>
                <w:sz w:val="18"/>
              </w:rPr>
            </w:pPr>
            <w:r>
              <w:rPr>
                <w:w w:val="99"/>
                <w:sz w:val="18"/>
              </w:rPr>
              <w:t>-</w:t>
            </w:r>
          </w:p>
        </w:tc>
        <w:tc>
          <w:tcPr>
            <w:tcW w:w="1277" w:type="dxa"/>
          </w:tcPr>
          <w:p w:rsidR="007C5447" w:rsidRDefault="00F6308C">
            <w:pPr>
              <w:pStyle w:val="TableParagraph"/>
              <w:spacing w:before="47"/>
              <w:ind w:right="94"/>
              <w:rPr>
                <w:sz w:val="18"/>
              </w:rPr>
            </w:pPr>
            <w:r>
              <w:rPr>
                <w:w w:val="99"/>
                <w:sz w:val="18"/>
              </w:rPr>
              <w:t>-</w:t>
            </w:r>
          </w:p>
        </w:tc>
        <w:tc>
          <w:tcPr>
            <w:tcW w:w="1133" w:type="dxa"/>
          </w:tcPr>
          <w:p w:rsidR="007C5447" w:rsidRDefault="00F6308C">
            <w:pPr>
              <w:pStyle w:val="TableParagraph"/>
              <w:spacing w:before="47"/>
              <w:ind w:right="93"/>
              <w:rPr>
                <w:sz w:val="18"/>
              </w:rPr>
            </w:pPr>
            <w:r>
              <w:rPr>
                <w:sz w:val="18"/>
              </w:rPr>
              <w:t>28.27</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97"/>
              <w:rPr>
                <w:sz w:val="18"/>
              </w:rPr>
            </w:pPr>
            <w:r>
              <w:rPr>
                <w:sz w:val="18"/>
              </w:rPr>
              <w:t>6.43</w:t>
            </w:r>
          </w:p>
        </w:tc>
        <w:tc>
          <w:tcPr>
            <w:tcW w:w="1138" w:type="dxa"/>
          </w:tcPr>
          <w:p w:rsidR="007C5447" w:rsidRDefault="00F6308C">
            <w:pPr>
              <w:pStyle w:val="TableParagraph"/>
              <w:spacing w:before="47"/>
              <w:ind w:right="97"/>
              <w:rPr>
                <w:sz w:val="18"/>
              </w:rPr>
            </w:pPr>
            <w:r>
              <w:rPr>
                <w:sz w:val="18"/>
              </w:rPr>
              <w:t>759.72</w:t>
            </w:r>
          </w:p>
        </w:tc>
      </w:tr>
      <w:tr w:rsidR="007C5447">
        <w:trPr>
          <w:trHeight w:val="301"/>
        </w:trPr>
        <w:tc>
          <w:tcPr>
            <w:tcW w:w="710" w:type="dxa"/>
          </w:tcPr>
          <w:p w:rsidR="007C5447" w:rsidRDefault="00F6308C">
            <w:pPr>
              <w:pStyle w:val="TableParagraph"/>
              <w:spacing w:before="47"/>
              <w:ind w:left="4"/>
              <w:jc w:val="center"/>
              <w:rPr>
                <w:sz w:val="18"/>
              </w:rPr>
            </w:pPr>
            <w:r>
              <w:rPr>
                <w:sz w:val="18"/>
              </w:rPr>
              <w:t>5</w:t>
            </w:r>
          </w:p>
        </w:tc>
        <w:tc>
          <w:tcPr>
            <w:tcW w:w="1985" w:type="dxa"/>
          </w:tcPr>
          <w:p w:rsidR="007C5447" w:rsidRDefault="00F6308C">
            <w:pPr>
              <w:pStyle w:val="TableParagraph"/>
              <w:spacing w:before="47"/>
              <w:ind w:left="108"/>
              <w:jc w:val="left"/>
              <w:rPr>
                <w:sz w:val="18"/>
              </w:rPr>
            </w:pPr>
            <w:r>
              <w:rPr>
                <w:sz w:val="18"/>
              </w:rPr>
              <w:t>Mettur TPS Stage III</w:t>
            </w:r>
          </w:p>
        </w:tc>
        <w:tc>
          <w:tcPr>
            <w:tcW w:w="1274" w:type="dxa"/>
          </w:tcPr>
          <w:p w:rsidR="007C5447" w:rsidRDefault="00F6308C">
            <w:pPr>
              <w:pStyle w:val="TableParagraph"/>
              <w:spacing w:before="47"/>
              <w:ind w:right="94"/>
              <w:rPr>
                <w:sz w:val="18"/>
              </w:rPr>
            </w:pPr>
            <w:r>
              <w:rPr>
                <w:sz w:val="18"/>
              </w:rPr>
              <w:t>160.62</w:t>
            </w:r>
          </w:p>
        </w:tc>
        <w:tc>
          <w:tcPr>
            <w:tcW w:w="994" w:type="dxa"/>
          </w:tcPr>
          <w:p w:rsidR="007C5447" w:rsidRDefault="00F6308C">
            <w:pPr>
              <w:pStyle w:val="TableParagraph"/>
              <w:spacing w:before="47"/>
              <w:ind w:right="97"/>
              <w:rPr>
                <w:sz w:val="18"/>
              </w:rPr>
            </w:pPr>
            <w:r>
              <w:rPr>
                <w:sz w:val="18"/>
              </w:rPr>
              <w:t>93.11</w:t>
            </w:r>
          </w:p>
        </w:tc>
        <w:tc>
          <w:tcPr>
            <w:tcW w:w="991" w:type="dxa"/>
          </w:tcPr>
          <w:p w:rsidR="007C5447" w:rsidRDefault="00F6308C">
            <w:pPr>
              <w:pStyle w:val="TableParagraph"/>
              <w:spacing w:before="47"/>
              <w:ind w:right="94"/>
              <w:rPr>
                <w:sz w:val="18"/>
              </w:rPr>
            </w:pPr>
            <w:r>
              <w:rPr>
                <w:w w:val="99"/>
                <w:sz w:val="18"/>
              </w:rPr>
              <w:t>-</w:t>
            </w:r>
          </w:p>
        </w:tc>
        <w:tc>
          <w:tcPr>
            <w:tcW w:w="1135" w:type="dxa"/>
          </w:tcPr>
          <w:p w:rsidR="007C5447" w:rsidRDefault="00F6308C">
            <w:pPr>
              <w:pStyle w:val="TableParagraph"/>
              <w:spacing w:before="47"/>
              <w:ind w:right="96"/>
              <w:rPr>
                <w:sz w:val="18"/>
              </w:rPr>
            </w:pPr>
            <w:r>
              <w:rPr>
                <w:sz w:val="18"/>
              </w:rPr>
              <w:t>89.59</w:t>
            </w:r>
          </w:p>
        </w:tc>
        <w:tc>
          <w:tcPr>
            <w:tcW w:w="1135" w:type="dxa"/>
          </w:tcPr>
          <w:p w:rsidR="007C5447" w:rsidRDefault="00F6308C">
            <w:pPr>
              <w:pStyle w:val="TableParagraph"/>
              <w:spacing w:before="47"/>
              <w:ind w:right="93"/>
              <w:rPr>
                <w:sz w:val="18"/>
              </w:rPr>
            </w:pPr>
            <w:r>
              <w:rPr>
                <w:sz w:val="18"/>
              </w:rPr>
              <w:t>45.10</w:t>
            </w:r>
          </w:p>
        </w:tc>
        <w:tc>
          <w:tcPr>
            <w:tcW w:w="1133" w:type="dxa"/>
          </w:tcPr>
          <w:p w:rsidR="007C5447" w:rsidRDefault="00F6308C">
            <w:pPr>
              <w:pStyle w:val="TableParagraph"/>
              <w:spacing w:before="47"/>
              <w:ind w:right="96"/>
              <w:rPr>
                <w:sz w:val="18"/>
              </w:rPr>
            </w:pPr>
            <w:r>
              <w:rPr>
                <w:w w:val="99"/>
                <w:sz w:val="18"/>
              </w:rPr>
              <w:t>-</w:t>
            </w:r>
          </w:p>
        </w:tc>
        <w:tc>
          <w:tcPr>
            <w:tcW w:w="1277" w:type="dxa"/>
          </w:tcPr>
          <w:p w:rsidR="007C5447" w:rsidRDefault="00F6308C">
            <w:pPr>
              <w:pStyle w:val="TableParagraph"/>
              <w:spacing w:before="47"/>
              <w:ind w:right="94"/>
              <w:rPr>
                <w:sz w:val="18"/>
              </w:rPr>
            </w:pPr>
            <w:r>
              <w:rPr>
                <w:w w:val="99"/>
                <w:sz w:val="18"/>
              </w:rPr>
              <w:t>-</w:t>
            </w:r>
          </w:p>
        </w:tc>
        <w:tc>
          <w:tcPr>
            <w:tcW w:w="1133" w:type="dxa"/>
          </w:tcPr>
          <w:p w:rsidR="007C5447" w:rsidRDefault="00F6308C">
            <w:pPr>
              <w:pStyle w:val="TableParagraph"/>
              <w:spacing w:before="47"/>
              <w:ind w:right="93"/>
              <w:rPr>
                <w:sz w:val="18"/>
              </w:rPr>
            </w:pPr>
            <w:r>
              <w:rPr>
                <w:sz w:val="18"/>
              </w:rPr>
              <w:t>33.49</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97"/>
              <w:rPr>
                <w:sz w:val="18"/>
              </w:rPr>
            </w:pPr>
            <w:r>
              <w:rPr>
                <w:sz w:val="18"/>
              </w:rPr>
              <w:t>2.86</w:t>
            </w:r>
          </w:p>
        </w:tc>
        <w:tc>
          <w:tcPr>
            <w:tcW w:w="1138" w:type="dxa"/>
          </w:tcPr>
          <w:p w:rsidR="007C5447" w:rsidRDefault="00F6308C">
            <w:pPr>
              <w:pStyle w:val="TableParagraph"/>
              <w:spacing w:before="47"/>
              <w:ind w:right="97"/>
              <w:rPr>
                <w:sz w:val="18"/>
              </w:rPr>
            </w:pPr>
            <w:r>
              <w:rPr>
                <w:sz w:val="18"/>
              </w:rPr>
              <w:t>357.78</w:t>
            </w:r>
          </w:p>
        </w:tc>
      </w:tr>
      <w:tr w:rsidR="007C5447">
        <w:trPr>
          <w:trHeight w:val="299"/>
        </w:trPr>
        <w:tc>
          <w:tcPr>
            <w:tcW w:w="710" w:type="dxa"/>
          </w:tcPr>
          <w:p w:rsidR="007C5447" w:rsidRDefault="00F6308C">
            <w:pPr>
              <w:pStyle w:val="TableParagraph"/>
              <w:spacing w:before="45"/>
              <w:ind w:left="4"/>
              <w:jc w:val="center"/>
              <w:rPr>
                <w:sz w:val="18"/>
              </w:rPr>
            </w:pPr>
            <w:r>
              <w:rPr>
                <w:sz w:val="18"/>
              </w:rPr>
              <w:t>6</w:t>
            </w:r>
          </w:p>
        </w:tc>
        <w:tc>
          <w:tcPr>
            <w:tcW w:w="1985" w:type="dxa"/>
          </w:tcPr>
          <w:p w:rsidR="007C5447" w:rsidRDefault="00F6308C">
            <w:pPr>
              <w:pStyle w:val="TableParagraph"/>
              <w:spacing w:before="45"/>
              <w:ind w:left="108"/>
              <w:jc w:val="left"/>
              <w:rPr>
                <w:sz w:val="18"/>
              </w:rPr>
            </w:pPr>
            <w:r>
              <w:rPr>
                <w:sz w:val="18"/>
              </w:rPr>
              <w:t>North Chennai TPS II</w:t>
            </w:r>
          </w:p>
        </w:tc>
        <w:tc>
          <w:tcPr>
            <w:tcW w:w="1274" w:type="dxa"/>
          </w:tcPr>
          <w:p w:rsidR="007C5447" w:rsidRDefault="00F6308C">
            <w:pPr>
              <w:pStyle w:val="TableParagraph"/>
              <w:spacing w:before="45"/>
              <w:ind w:right="94"/>
              <w:rPr>
                <w:sz w:val="18"/>
              </w:rPr>
            </w:pPr>
            <w:r>
              <w:rPr>
                <w:sz w:val="18"/>
              </w:rPr>
              <w:t>289.46</w:t>
            </w:r>
          </w:p>
        </w:tc>
        <w:tc>
          <w:tcPr>
            <w:tcW w:w="994" w:type="dxa"/>
          </w:tcPr>
          <w:p w:rsidR="007C5447" w:rsidRDefault="00F6308C">
            <w:pPr>
              <w:pStyle w:val="TableParagraph"/>
              <w:spacing w:before="45"/>
              <w:ind w:right="99"/>
              <w:rPr>
                <w:sz w:val="18"/>
              </w:rPr>
            </w:pPr>
            <w:r>
              <w:rPr>
                <w:sz w:val="18"/>
              </w:rPr>
              <w:t>112.41</w:t>
            </w:r>
          </w:p>
        </w:tc>
        <w:tc>
          <w:tcPr>
            <w:tcW w:w="991" w:type="dxa"/>
          </w:tcPr>
          <w:p w:rsidR="007C5447" w:rsidRDefault="00F6308C">
            <w:pPr>
              <w:pStyle w:val="TableParagraph"/>
              <w:spacing w:before="45"/>
              <w:ind w:right="94"/>
              <w:rPr>
                <w:sz w:val="18"/>
              </w:rPr>
            </w:pPr>
            <w:r>
              <w:rPr>
                <w:w w:val="99"/>
                <w:sz w:val="18"/>
              </w:rPr>
              <w:t>-</w:t>
            </w:r>
          </w:p>
        </w:tc>
        <w:tc>
          <w:tcPr>
            <w:tcW w:w="1135" w:type="dxa"/>
          </w:tcPr>
          <w:p w:rsidR="007C5447" w:rsidRDefault="00F6308C">
            <w:pPr>
              <w:pStyle w:val="TableParagraph"/>
              <w:spacing w:before="45"/>
              <w:ind w:right="98"/>
              <w:rPr>
                <w:sz w:val="18"/>
              </w:rPr>
            </w:pPr>
            <w:r>
              <w:rPr>
                <w:sz w:val="18"/>
              </w:rPr>
              <w:t>107.64</w:t>
            </w:r>
          </w:p>
        </w:tc>
        <w:tc>
          <w:tcPr>
            <w:tcW w:w="1135" w:type="dxa"/>
          </w:tcPr>
          <w:p w:rsidR="007C5447" w:rsidRDefault="00F6308C">
            <w:pPr>
              <w:pStyle w:val="TableParagraph"/>
              <w:spacing w:before="45"/>
              <w:ind w:right="93"/>
              <w:rPr>
                <w:sz w:val="18"/>
              </w:rPr>
            </w:pPr>
            <w:r>
              <w:rPr>
                <w:sz w:val="18"/>
              </w:rPr>
              <w:t>75.79</w:t>
            </w:r>
          </w:p>
        </w:tc>
        <w:tc>
          <w:tcPr>
            <w:tcW w:w="1133" w:type="dxa"/>
          </w:tcPr>
          <w:p w:rsidR="007C5447" w:rsidRDefault="00F6308C">
            <w:pPr>
              <w:pStyle w:val="TableParagraph"/>
              <w:spacing w:before="45"/>
              <w:ind w:right="96"/>
              <w:rPr>
                <w:sz w:val="18"/>
              </w:rPr>
            </w:pPr>
            <w:r>
              <w:rPr>
                <w:w w:val="99"/>
                <w:sz w:val="18"/>
              </w:rPr>
              <w:t>-</w:t>
            </w:r>
          </w:p>
        </w:tc>
        <w:tc>
          <w:tcPr>
            <w:tcW w:w="1277" w:type="dxa"/>
          </w:tcPr>
          <w:p w:rsidR="007C5447" w:rsidRDefault="00F6308C">
            <w:pPr>
              <w:pStyle w:val="TableParagraph"/>
              <w:spacing w:before="45"/>
              <w:ind w:right="94"/>
              <w:rPr>
                <w:sz w:val="18"/>
              </w:rPr>
            </w:pPr>
            <w:r>
              <w:rPr>
                <w:w w:val="99"/>
                <w:sz w:val="18"/>
              </w:rPr>
              <w:t>-</w:t>
            </w:r>
          </w:p>
        </w:tc>
        <w:tc>
          <w:tcPr>
            <w:tcW w:w="1133" w:type="dxa"/>
          </w:tcPr>
          <w:p w:rsidR="007C5447" w:rsidRDefault="00F6308C">
            <w:pPr>
              <w:pStyle w:val="TableParagraph"/>
              <w:spacing w:before="45"/>
              <w:ind w:right="96"/>
              <w:rPr>
                <w:sz w:val="18"/>
              </w:rPr>
            </w:pPr>
            <w:r>
              <w:rPr>
                <w:sz w:val="18"/>
              </w:rPr>
              <w:t>9.50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97"/>
              <w:rPr>
                <w:sz w:val="18"/>
              </w:rPr>
            </w:pPr>
            <w:r>
              <w:rPr>
                <w:sz w:val="18"/>
              </w:rPr>
              <w:t>2.40</w:t>
            </w:r>
          </w:p>
        </w:tc>
        <w:tc>
          <w:tcPr>
            <w:tcW w:w="1138" w:type="dxa"/>
          </w:tcPr>
          <w:p w:rsidR="007C5447" w:rsidRDefault="00F6308C">
            <w:pPr>
              <w:pStyle w:val="TableParagraph"/>
              <w:spacing w:before="45"/>
              <w:ind w:right="98"/>
              <w:rPr>
                <w:sz w:val="18"/>
              </w:rPr>
            </w:pPr>
            <w:r>
              <w:rPr>
                <w:sz w:val="18"/>
              </w:rPr>
              <w:t>578.20</w:t>
            </w:r>
          </w:p>
        </w:tc>
      </w:tr>
      <w:tr w:rsidR="007C5447">
        <w:trPr>
          <w:trHeight w:val="299"/>
        </w:trPr>
        <w:tc>
          <w:tcPr>
            <w:tcW w:w="710" w:type="dxa"/>
          </w:tcPr>
          <w:p w:rsidR="007C5447" w:rsidRDefault="00F6308C">
            <w:pPr>
              <w:pStyle w:val="TableParagraph"/>
              <w:spacing w:before="45"/>
              <w:ind w:left="4"/>
              <w:jc w:val="center"/>
              <w:rPr>
                <w:sz w:val="18"/>
              </w:rPr>
            </w:pPr>
            <w:r>
              <w:rPr>
                <w:sz w:val="18"/>
              </w:rPr>
              <w:t>7</w:t>
            </w:r>
          </w:p>
        </w:tc>
        <w:tc>
          <w:tcPr>
            <w:tcW w:w="1985" w:type="dxa"/>
          </w:tcPr>
          <w:p w:rsidR="007C5447" w:rsidRDefault="00F6308C">
            <w:pPr>
              <w:pStyle w:val="TableParagraph"/>
              <w:spacing w:before="45"/>
              <w:ind w:left="108"/>
              <w:jc w:val="left"/>
              <w:rPr>
                <w:sz w:val="18"/>
              </w:rPr>
            </w:pPr>
            <w:r>
              <w:rPr>
                <w:sz w:val="18"/>
              </w:rPr>
              <w:t>Tirumakottai GTPS</w:t>
            </w:r>
          </w:p>
        </w:tc>
        <w:tc>
          <w:tcPr>
            <w:tcW w:w="1274" w:type="dxa"/>
          </w:tcPr>
          <w:p w:rsidR="007C5447" w:rsidRDefault="00F6308C">
            <w:pPr>
              <w:pStyle w:val="TableParagraph"/>
              <w:spacing w:before="45"/>
              <w:ind w:right="91"/>
              <w:rPr>
                <w:sz w:val="18"/>
              </w:rPr>
            </w:pPr>
            <w:r>
              <w:rPr>
                <w:sz w:val="18"/>
              </w:rPr>
              <w:t>40.80</w:t>
            </w:r>
          </w:p>
        </w:tc>
        <w:tc>
          <w:tcPr>
            <w:tcW w:w="994" w:type="dxa"/>
          </w:tcPr>
          <w:p w:rsidR="007C5447" w:rsidRDefault="00F6308C">
            <w:pPr>
              <w:pStyle w:val="TableParagraph"/>
              <w:spacing w:before="45"/>
              <w:ind w:right="97"/>
              <w:rPr>
                <w:sz w:val="18"/>
              </w:rPr>
            </w:pPr>
            <w:r>
              <w:rPr>
                <w:sz w:val="18"/>
              </w:rPr>
              <w:t>80.33</w:t>
            </w:r>
          </w:p>
        </w:tc>
        <w:tc>
          <w:tcPr>
            <w:tcW w:w="991" w:type="dxa"/>
          </w:tcPr>
          <w:p w:rsidR="007C5447" w:rsidRDefault="00F6308C">
            <w:pPr>
              <w:pStyle w:val="TableParagraph"/>
              <w:spacing w:before="45"/>
              <w:ind w:right="94"/>
              <w:rPr>
                <w:sz w:val="18"/>
              </w:rPr>
            </w:pPr>
            <w:r>
              <w:rPr>
                <w:w w:val="99"/>
                <w:sz w:val="18"/>
              </w:rPr>
              <w:t>-</w:t>
            </w:r>
          </w:p>
        </w:tc>
        <w:tc>
          <w:tcPr>
            <w:tcW w:w="1135" w:type="dxa"/>
          </w:tcPr>
          <w:p w:rsidR="007C5447" w:rsidRDefault="00F6308C">
            <w:pPr>
              <w:pStyle w:val="TableParagraph"/>
              <w:spacing w:before="45"/>
              <w:ind w:right="96"/>
              <w:rPr>
                <w:sz w:val="18"/>
              </w:rPr>
            </w:pPr>
            <w:r>
              <w:rPr>
                <w:sz w:val="18"/>
              </w:rPr>
              <w:t>15.39</w:t>
            </w:r>
          </w:p>
        </w:tc>
        <w:tc>
          <w:tcPr>
            <w:tcW w:w="1135" w:type="dxa"/>
          </w:tcPr>
          <w:p w:rsidR="007C5447" w:rsidRDefault="00F6308C">
            <w:pPr>
              <w:pStyle w:val="TableParagraph"/>
              <w:spacing w:before="45"/>
              <w:ind w:right="93"/>
              <w:rPr>
                <w:sz w:val="18"/>
              </w:rPr>
            </w:pPr>
            <w:r>
              <w:rPr>
                <w:sz w:val="18"/>
              </w:rPr>
              <w:t>13.32</w:t>
            </w:r>
          </w:p>
        </w:tc>
        <w:tc>
          <w:tcPr>
            <w:tcW w:w="1133" w:type="dxa"/>
          </w:tcPr>
          <w:p w:rsidR="007C5447" w:rsidRDefault="00F6308C">
            <w:pPr>
              <w:pStyle w:val="TableParagraph"/>
              <w:spacing w:before="45"/>
              <w:ind w:right="96"/>
              <w:rPr>
                <w:sz w:val="18"/>
              </w:rPr>
            </w:pPr>
            <w:r>
              <w:rPr>
                <w:w w:val="99"/>
                <w:sz w:val="18"/>
              </w:rPr>
              <w:t>-</w:t>
            </w:r>
          </w:p>
        </w:tc>
        <w:tc>
          <w:tcPr>
            <w:tcW w:w="1277" w:type="dxa"/>
          </w:tcPr>
          <w:p w:rsidR="007C5447" w:rsidRDefault="00F6308C">
            <w:pPr>
              <w:pStyle w:val="TableParagraph"/>
              <w:spacing w:before="45"/>
              <w:ind w:right="94"/>
              <w:rPr>
                <w:sz w:val="18"/>
              </w:rPr>
            </w:pPr>
            <w:r>
              <w:rPr>
                <w:w w:val="99"/>
                <w:sz w:val="18"/>
              </w:rPr>
              <w:t>-</w:t>
            </w:r>
          </w:p>
        </w:tc>
        <w:tc>
          <w:tcPr>
            <w:tcW w:w="1133" w:type="dxa"/>
          </w:tcPr>
          <w:p w:rsidR="007C5447" w:rsidRDefault="00F6308C">
            <w:pPr>
              <w:pStyle w:val="TableParagraph"/>
              <w:spacing w:before="45"/>
              <w:ind w:right="96"/>
              <w:rPr>
                <w:sz w:val="18"/>
              </w:rPr>
            </w:pPr>
            <w:r>
              <w:rPr>
                <w:sz w:val="18"/>
              </w:rPr>
              <w:t>0.14</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97"/>
              <w:rPr>
                <w:sz w:val="18"/>
              </w:rPr>
            </w:pPr>
            <w:r>
              <w:rPr>
                <w:sz w:val="18"/>
              </w:rPr>
              <w:t>0.53</w:t>
            </w:r>
          </w:p>
        </w:tc>
        <w:tc>
          <w:tcPr>
            <w:tcW w:w="1138" w:type="dxa"/>
          </w:tcPr>
          <w:p w:rsidR="007C5447" w:rsidRDefault="00F6308C">
            <w:pPr>
              <w:pStyle w:val="TableParagraph"/>
              <w:spacing w:before="45"/>
              <w:ind w:right="98"/>
              <w:rPr>
                <w:sz w:val="18"/>
              </w:rPr>
            </w:pPr>
            <w:r>
              <w:rPr>
                <w:sz w:val="18"/>
              </w:rPr>
              <w:t>150.23</w:t>
            </w:r>
          </w:p>
        </w:tc>
      </w:tr>
      <w:tr w:rsidR="007C5447">
        <w:trPr>
          <w:trHeight w:val="299"/>
        </w:trPr>
        <w:tc>
          <w:tcPr>
            <w:tcW w:w="710" w:type="dxa"/>
          </w:tcPr>
          <w:p w:rsidR="007C5447" w:rsidRDefault="00F6308C">
            <w:pPr>
              <w:pStyle w:val="TableParagraph"/>
              <w:spacing w:before="45"/>
              <w:ind w:left="4"/>
              <w:jc w:val="center"/>
              <w:rPr>
                <w:sz w:val="18"/>
              </w:rPr>
            </w:pPr>
            <w:r>
              <w:rPr>
                <w:sz w:val="18"/>
              </w:rPr>
              <w:t>8</w:t>
            </w:r>
          </w:p>
        </w:tc>
        <w:tc>
          <w:tcPr>
            <w:tcW w:w="1985" w:type="dxa"/>
          </w:tcPr>
          <w:p w:rsidR="007C5447" w:rsidRDefault="00F6308C">
            <w:pPr>
              <w:pStyle w:val="TableParagraph"/>
              <w:spacing w:before="45"/>
              <w:ind w:left="108"/>
              <w:jc w:val="left"/>
              <w:rPr>
                <w:sz w:val="18"/>
              </w:rPr>
            </w:pPr>
            <w:r>
              <w:rPr>
                <w:sz w:val="18"/>
              </w:rPr>
              <w:t>Kuttalam GTPS</w:t>
            </w:r>
          </w:p>
        </w:tc>
        <w:tc>
          <w:tcPr>
            <w:tcW w:w="1274" w:type="dxa"/>
          </w:tcPr>
          <w:p w:rsidR="007C5447" w:rsidRDefault="00F6308C">
            <w:pPr>
              <w:pStyle w:val="TableParagraph"/>
              <w:spacing w:before="45"/>
              <w:ind w:right="91"/>
              <w:rPr>
                <w:sz w:val="18"/>
              </w:rPr>
            </w:pPr>
            <w:r>
              <w:rPr>
                <w:sz w:val="18"/>
              </w:rPr>
              <w:t>34.38</w:t>
            </w:r>
          </w:p>
        </w:tc>
        <w:tc>
          <w:tcPr>
            <w:tcW w:w="994" w:type="dxa"/>
          </w:tcPr>
          <w:p w:rsidR="007C5447" w:rsidRDefault="00F6308C">
            <w:pPr>
              <w:pStyle w:val="TableParagraph"/>
              <w:spacing w:before="45"/>
              <w:ind w:right="97"/>
              <w:rPr>
                <w:sz w:val="18"/>
              </w:rPr>
            </w:pPr>
            <w:r>
              <w:rPr>
                <w:sz w:val="18"/>
              </w:rPr>
              <w:t>67.09</w:t>
            </w:r>
          </w:p>
        </w:tc>
        <w:tc>
          <w:tcPr>
            <w:tcW w:w="991" w:type="dxa"/>
          </w:tcPr>
          <w:p w:rsidR="007C5447" w:rsidRDefault="00F6308C">
            <w:pPr>
              <w:pStyle w:val="TableParagraph"/>
              <w:spacing w:before="45"/>
              <w:ind w:right="94"/>
              <w:rPr>
                <w:sz w:val="18"/>
              </w:rPr>
            </w:pPr>
            <w:r>
              <w:rPr>
                <w:w w:val="99"/>
                <w:sz w:val="18"/>
              </w:rPr>
              <w:t>-</w:t>
            </w:r>
          </w:p>
        </w:tc>
        <w:tc>
          <w:tcPr>
            <w:tcW w:w="1135" w:type="dxa"/>
          </w:tcPr>
          <w:p w:rsidR="007C5447" w:rsidRDefault="00F6308C">
            <w:pPr>
              <w:pStyle w:val="TableParagraph"/>
              <w:spacing w:before="45"/>
              <w:ind w:right="96"/>
              <w:rPr>
                <w:sz w:val="18"/>
              </w:rPr>
            </w:pPr>
            <w:r>
              <w:rPr>
                <w:sz w:val="18"/>
              </w:rPr>
              <w:t>13.94</w:t>
            </w:r>
          </w:p>
        </w:tc>
        <w:tc>
          <w:tcPr>
            <w:tcW w:w="1135" w:type="dxa"/>
          </w:tcPr>
          <w:p w:rsidR="007C5447" w:rsidRDefault="00F6308C">
            <w:pPr>
              <w:pStyle w:val="TableParagraph"/>
              <w:spacing w:before="45"/>
              <w:ind w:right="93"/>
              <w:rPr>
                <w:sz w:val="18"/>
              </w:rPr>
            </w:pPr>
            <w:r>
              <w:rPr>
                <w:sz w:val="18"/>
              </w:rPr>
              <w:t>10.06</w:t>
            </w:r>
          </w:p>
        </w:tc>
        <w:tc>
          <w:tcPr>
            <w:tcW w:w="1133" w:type="dxa"/>
          </w:tcPr>
          <w:p w:rsidR="007C5447" w:rsidRDefault="00F6308C">
            <w:pPr>
              <w:pStyle w:val="TableParagraph"/>
              <w:spacing w:before="45"/>
              <w:ind w:right="96"/>
              <w:rPr>
                <w:sz w:val="18"/>
              </w:rPr>
            </w:pPr>
            <w:r>
              <w:rPr>
                <w:w w:val="99"/>
                <w:sz w:val="18"/>
              </w:rPr>
              <w:t>-</w:t>
            </w:r>
          </w:p>
        </w:tc>
        <w:tc>
          <w:tcPr>
            <w:tcW w:w="1277" w:type="dxa"/>
          </w:tcPr>
          <w:p w:rsidR="007C5447" w:rsidRDefault="00F6308C">
            <w:pPr>
              <w:pStyle w:val="TableParagraph"/>
              <w:spacing w:before="45"/>
              <w:ind w:right="94"/>
              <w:rPr>
                <w:sz w:val="18"/>
              </w:rPr>
            </w:pPr>
            <w:r>
              <w:rPr>
                <w:w w:val="99"/>
                <w:sz w:val="18"/>
              </w:rPr>
              <w:t>-</w:t>
            </w:r>
          </w:p>
        </w:tc>
        <w:tc>
          <w:tcPr>
            <w:tcW w:w="1133" w:type="dxa"/>
          </w:tcPr>
          <w:p w:rsidR="007C5447" w:rsidRDefault="00F6308C">
            <w:pPr>
              <w:pStyle w:val="TableParagraph"/>
              <w:spacing w:before="45"/>
              <w:ind w:right="96"/>
              <w:rPr>
                <w:sz w:val="18"/>
              </w:rPr>
            </w:pPr>
            <w:r>
              <w:rPr>
                <w:sz w:val="18"/>
              </w:rPr>
              <w:t>0.12</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97"/>
              <w:rPr>
                <w:sz w:val="18"/>
              </w:rPr>
            </w:pPr>
            <w:r>
              <w:rPr>
                <w:sz w:val="18"/>
              </w:rPr>
              <w:t>0.50</w:t>
            </w:r>
          </w:p>
        </w:tc>
        <w:tc>
          <w:tcPr>
            <w:tcW w:w="1138" w:type="dxa"/>
          </w:tcPr>
          <w:p w:rsidR="007C5447" w:rsidRDefault="00F6308C">
            <w:pPr>
              <w:pStyle w:val="TableParagraph"/>
              <w:spacing w:before="45"/>
              <w:ind w:right="98"/>
              <w:rPr>
                <w:sz w:val="18"/>
              </w:rPr>
            </w:pPr>
            <w:r>
              <w:rPr>
                <w:sz w:val="18"/>
              </w:rPr>
              <w:t>125.86</w:t>
            </w:r>
          </w:p>
        </w:tc>
      </w:tr>
      <w:tr w:rsidR="007C5447">
        <w:trPr>
          <w:trHeight w:val="443"/>
        </w:trPr>
        <w:tc>
          <w:tcPr>
            <w:tcW w:w="710" w:type="dxa"/>
          </w:tcPr>
          <w:p w:rsidR="007C5447" w:rsidRDefault="00F6308C">
            <w:pPr>
              <w:pStyle w:val="TableParagraph"/>
              <w:spacing w:before="119"/>
              <w:ind w:left="4"/>
              <w:jc w:val="center"/>
              <w:rPr>
                <w:sz w:val="18"/>
              </w:rPr>
            </w:pPr>
            <w:r>
              <w:rPr>
                <w:sz w:val="18"/>
              </w:rPr>
              <w:t>9</w:t>
            </w:r>
          </w:p>
        </w:tc>
        <w:tc>
          <w:tcPr>
            <w:tcW w:w="1985" w:type="dxa"/>
          </w:tcPr>
          <w:p w:rsidR="007C5447" w:rsidRDefault="00F6308C">
            <w:pPr>
              <w:pStyle w:val="TableParagraph"/>
              <w:spacing w:before="11" w:line="210" w:lineRule="atLeast"/>
              <w:ind w:left="108" w:right="416"/>
              <w:jc w:val="left"/>
              <w:rPr>
                <w:sz w:val="18"/>
              </w:rPr>
            </w:pPr>
            <w:r>
              <w:rPr>
                <w:sz w:val="18"/>
              </w:rPr>
              <w:t>Basin Bridge GTPS (Naphtha)</w:t>
            </w:r>
          </w:p>
        </w:tc>
        <w:tc>
          <w:tcPr>
            <w:tcW w:w="1274" w:type="dxa"/>
          </w:tcPr>
          <w:p w:rsidR="007C5447" w:rsidRDefault="00F6308C">
            <w:pPr>
              <w:pStyle w:val="TableParagraph"/>
              <w:spacing w:before="119"/>
              <w:ind w:right="91"/>
              <w:rPr>
                <w:sz w:val="18"/>
              </w:rPr>
            </w:pPr>
            <w:r>
              <w:rPr>
                <w:sz w:val="18"/>
              </w:rPr>
              <w:t>31.42</w:t>
            </w:r>
          </w:p>
        </w:tc>
        <w:tc>
          <w:tcPr>
            <w:tcW w:w="994" w:type="dxa"/>
          </w:tcPr>
          <w:p w:rsidR="007C5447" w:rsidRDefault="00F6308C">
            <w:pPr>
              <w:pStyle w:val="TableParagraph"/>
              <w:spacing w:before="119"/>
              <w:ind w:right="99"/>
              <w:rPr>
                <w:sz w:val="18"/>
              </w:rPr>
            </w:pPr>
            <w:r>
              <w:rPr>
                <w:sz w:val="18"/>
              </w:rPr>
              <w:t>100.08</w:t>
            </w:r>
          </w:p>
        </w:tc>
        <w:tc>
          <w:tcPr>
            <w:tcW w:w="991" w:type="dxa"/>
          </w:tcPr>
          <w:p w:rsidR="007C5447" w:rsidRDefault="00F6308C">
            <w:pPr>
              <w:pStyle w:val="TableParagraph"/>
              <w:spacing w:before="119"/>
              <w:ind w:right="94"/>
              <w:rPr>
                <w:sz w:val="18"/>
              </w:rPr>
            </w:pPr>
            <w:r>
              <w:rPr>
                <w:w w:val="99"/>
                <w:sz w:val="18"/>
              </w:rPr>
              <w:t>-</w:t>
            </w:r>
          </w:p>
        </w:tc>
        <w:tc>
          <w:tcPr>
            <w:tcW w:w="1135" w:type="dxa"/>
          </w:tcPr>
          <w:p w:rsidR="007C5447" w:rsidRDefault="00F6308C">
            <w:pPr>
              <w:pStyle w:val="TableParagraph"/>
              <w:spacing w:before="119"/>
              <w:ind w:right="96"/>
              <w:rPr>
                <w:sz w:val="18"/>
              </w:rPr>
            </w:pPr>
            <w:r>
              <w:rPr>
                <w:sz w:val="18"/>
              </w:rPr>
              <w:t>13.65</w:t>
            </w:r>
          </w:p>
        </w:tc>
        <w:tc>
          <w:tcPr>
            <w:tcW w:w="1135" w:type="dxa"/>
          </w:tcPr>
          <w:p w:rsidR="007C5447" w:rsidRDefault="00F6308C">
            <w:pPr>
              <w:pStyle w:val="TableParagraph"/>
              <w:spacing w:before="119"/>
              <w:ind w:right="96"/>
              <w:rPr>
                <w:sz w:val="18"/>
              </w:rPr>
            </w:pPr>
            <w:r>
              <w:rPr>
                <w:sz w:val="18"/>
              </w:rPr>
              <w:t>8.53</w:t>
            </w:r>
          </w:p>
        </w:tc>
        <w:tc>
          <w:tcPr>
            <w:tcW w:w="1133" w:type="dxa"/>
          </w:tcPr>
          <w:p w:rsidR="007C5447" w:rsidRDefault="00F6308C">
            <w:pPr>
              <w:pStyle w:val="TableParagraph"/>
              <w:spacing w:before="119"/>
              <w:ind w:right="96"/>
              <w:rPr>
                <w:sz w:val="18"/>
              </w:rPr>
            </w:pPr>
            <w:r>
              <w:rPr>
                <w:w w:val="99"/>
                <w:sz w:val="18"/>
              </w:rPr>
              <w:t>-</w:t>
            </w:r>
          </w:p>
        </w:tc>
        <w:tc>
          <w:tcPr>
            <w:tcW w:w="1277" w:type="dxa"/>
          </w:tcPr>
          <w:p w:rsidR="007C5447" w:rsidRDefault="00F6308C">
            <w:pPr>
              <w:pStyle w:val="TableParagraph"/>
              <w:spacing w:before="119"/>
              <w:ind w:right="94"/>
              <w:rPr>
                <w:sz w:val="18"/>
              </w:rPr>
            </w:pPr>
            <w:r>
              <w:rPr>
                <w:w w:val="99"/>
                <w:sz w:val="18"/>
              </w:rPr>
              <w:t>-</w:t>
            </w:r>
          </w:p>
        </w:tc>
        <w:tc>
          <w:tcPr>
            <w:tcW w:w="1133" w:type="dxa"/>
          </w:tcPr>
          <w:p w:rsidR="007C5447" w:rsidRDefault="00F6308C">
            <w:pPr>
              <w:pStyle w:val="TableParagraph"/>
              <w:spacing w:before="119"/>
              <w:ind w:right="96"/>
              <w:rPr>
                <w:sz w:val="18"/>
              </w:rPr>
            </w:pPr>
            <w:r>
              <w:rPr>
                <w:sz w:val="18"/>
              </w:rPr>
              <w:t>0.05</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119"/>
              <w:ind w:right="97"/>
              <w:rPr>
                <w:sz w:val="18"/>
              </w:rPr>
            </w:pPr>
            <w:r>
              <w:rPr>
                <w:sz w:val="18"/>
              </w:rPr>
              <w:t>0.49</w:t>
            </w:r>
          </w:p>
        </w:tc>
        <w:tc>
          <w:tcPr>
            <w:tcW w:w="1138" w:type="dxa"/>
          </w:tcPr>
          <w:p w:rsidR="007C5447" w:rsidRDefault="00F6308C">
            <w:pPr>
              <w:pStyle w:val="TableParagraph"/>
              <w:spacing w:before="119"/>
              <w:ind w:right="98"/>
              <w:rPr>
                <w:sz w:val="18"/>
              </w:rPr>
            </w:pPr>
            <w:r>
              <w:rPr>
                <w:sz w:val="18"/>
              </w:rPr>
              <w:t>154.12</w:t>
            </w:r>
          </w:p>
        </w:tc>
      </w:tr>
      <w:tr w:rsidR="007C5447">
        <w:trPr>
          <w:trHeight w:val="299"/>
        </w:trPr>
        <w:tc>
          <w:tcPr>
            <w:tcW w:w="710" w:type="dxa"/>
          </w:tcPr>
          <w:p w:rsidR="007C5447" w:rsidRDefault="00F6308C">
            <w:pPr>
              <w:pStyle w:val="TableParagraph"/>
              <w:spacing w:before="47"/>
              <w:ind w:left="236" w:right="226"/>
              <w:jc w:val="center"/>
              <w:rPr>
                <w:sz w:val="18"/>
              </w:rPr>
            </w:pPr>
            <w:r>
              <w:rPr>
                <w:sz w:val="18"/>
              </w:rPr>
              <w:t>10</w:t>
            </w:r>
          </w:p>
        </w:tc>
        <w:tc>
          <w:tcPr>
            <w:tcW w:w="1985" w:type="dxa"/>
          </w:tcPr>
          <w:p w:rsidR="007C5447" w:rsidRDefault="00F6308C">
            <w:pPr>
              <w:pStyle w:val="TableParagraph"/>
              <w:spacing w:before="47"/>
              <w:ind w:left="108"/>
              <w:jc w:val="left"/>
              <w:rPr>
                <w:sz w:val="18"/>
              </w:rPr>
            </w:pPr>
            <w:r>
              <w:rPr>
                <w:sz w:val="18"/>
              </w:rPr>
              <w:t>Valuthur GTPS</w:t>
            </w:r>
          </w:p>
        </w:tc>
        <w:tc>
          <w:tcPr>
            <w:tcW w:w="1274" w:type="dxa"/>
          </w:tcPr>
          <w:p w:rsidR="007C5447" w:rsidRDefault="00F6308C">
            <w:pPr>
              <w:pStyle w:val="TableParagraph"/>
              <w:spacing w:before="47"/>
              <w:ind w:right="91"/>
              <w:rPr>
                <w:sz w:val="18"/>
              </w:rPr>
            </w:pPr>
            <w:r>
              <w:rPr>
                <w:sz w:val="18"/>
              </w:rPr>
              <w:t>71.66</w:t>
            </w:r>
          </w:p>
        </w:tc>
        <w:tc>
          <w:tcPr>
            <w:tcW w:w="994" w:type="dxa"/>
          </w:tcPr>
          <w:p w:rsidR="007C5447" w:rsidRDefault="00F6308C">
            <w:pPr>
              <w:pStyle w:val="TableParagraph"/>
              <w:spacing w:before="47"/>
              <w:ind w:right="97"/>
              <w:rPr>
                <w:sz w:val="18"/>
              </w:rPr>
            </w:pPr>
            <w:r>
              <w:rPr>
                <w:sz w:val="18"/>
              </w:rPr>
              <w:t>99.10</w:t>
            </w:r>
          </w:p>
        </w:tc>
        <w:tc>
          <w:tcPr>
            <w:tcW w:w="991" w:type="dxa"/>
          </w:tcPr>
          <w:p w:rsidR="007C5447" w:rsidRDefault="00F6308C">
            <w:pPr>
              <w:pStyle w:val="TableParagraph"/>
              <w:spacing w:before="47"/>
              <w:ind w:right="94"/>
              <w:rPr>
                <w:sz w:val="18"/>
              </w:rPr>
            </w:pPr>
            <w:r>
              <w:rPr>
                <w:w w:val="99"/>
                <w:sz w:val="18"/>
              </w:rPr>
              <w:t>-</w:t>
            </w:r>
          </w:p>
        </w:tc>
        <w:tc>
          <w:tcPr>
            <w:tcW w:w="1135" w:type="dxa"/>
          </w:tcPr>
          <w:p w:rsidR="007C5447" w:rsidRDefault="00F6308C">
            <w:pPr>
              <w:pStyle w:val="TableParagraph"/>
              <w:spacing w:before="47"/>
              <w:ind w:right="96"/>
              <w:rPr>
                <w:sz w:val="18"/>
              </w:rPr>
            </w:pPr>
            <w:r>
              <w:rPr>
                <w:sz w:val="18"/>
              </w:rPr>
              <w:t>16.88</w:t>
            </w:r>
          </w:p>
        </w:tc>
        <w:tc>
          <w:tcPr>
            <w:tcW w:w="1135" w:type="dxa"/>
          </w:tcPr>
          <w:p w:rsidR="007C5447" w:rsidRDefault="00F6308C">
            <w:pPr>
              <w:pStyle w:val="TableParagraph"/>
              <w:spacing w:before="47"/>
              <w:ind w:right="93"/>
              <w:rPr>
                <w:sz w:val="18"/>
              </w:rPr>
            </w:pPr>
            <w:r>
              <w:rPr>
                <w:sz w:val="18"/>
              </w:rPr>
              <w:t>12.63</w:t>
            </w:r>
          </w:p>
        </w:tc>
        <w:tc>
          <w:tcPr>
            <w:tcW w:w="1133" w:type="dxa"/>
          </w:tcPr>
          <w:p w:rsidR="007C5447" w:rsidRDefault="00F6308C">
            <w:pPr>
              <w:pStyle w:val="TableParagraph"/>
              <w:spacing w:before="47"/>
              <w:ind w:right="96"/>
              <w:rPr>
                <w:sz w:val="18"/>
              </w:rPr>
            </w:pPr>
            <w:r>
              <w:rPr>
                <w:w w:val="99"/>
                <w:sz w:val="18"/>
              </w:rPr>
              <w:t>-</w:t>
            </w:r>
          </w:p>
        </w:tc>
        <w:tc>
          <w:tcPr>
            <w:tcW w:w="1277" w:type="dxa"/>
          </w:tcPr>
          <w:p w:rsidR="007C5447" w:rsidRDefault="00F6308C">
            <w:pPr>
              <w:pStyle w:val="TableParagraph"/>
              <w:spacing w:before="47"/>
              <w:ind w:right="94"/>
              <w:rPr>
                <w:sz w:val="18"/>
              </w:rPr>
            </w:pPr>
            <w:r>
              <w:rPr>
                <w:w w:val="99"/>
                <w:sz w:val="18"/>
              </w:rPr>
              <w:t>-</w:t>
            </w:r>
          </w:p>
        </w:tc>
        <w:tc>
          <w:tcPr>
            <w:tcW w:w="1133" w:type="dxa"/>
          </w:tcPr>
          <w:p w:rsidR="007C5447" w:rsidRDefault="00F6308C">
            <w:pPr>
              <w:pStyle w:val="TableParagraph"/>
              <w:spacing w:before="47"/>
              <w:ind w:right="96"/>
              <w:rPr>
                <w:sz w:val="18"/>
              </w:rPr>
            </w:pPr>
            <w:r>
              <w:rPr>
                <w:sz w:val="18"/>
              </w:rPr>
              <w:t>0.16</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7"/>
              <w:ind w:right="97"/>
              <w:rPr>
                <w:sz w:val="18"/>
              </w:rPr>
            </w:pPr>
            <w:r>
              <w:rPr>
                <w:sz w:val="18"/>
              </w:rPr>
              <w:t>0.89</w:t>
            </w:r>
          </w:p>
        </w:tc>
        <w:tc>
          <w:tcPr>
            <w:tcW w:w="1138" w:type="dxa"/>
          </w:tcPr>
          <w:p w:rsidR="007C5447" w:rsidRDefault="00F6308C">
            <w:pPr>
              <w:pStyle w:val="TableParagraph"/>
              <w:spacing w:before="47"/>
              <w:ind w:right="98"/>
              <w:rPr>
                <w:sz w:val="18"/>
              </w:rPr>
            </w:pPr>
            <w:r>
              <w:rPr>
                <w:sz w:val="18"/>
              </w:rPr>
              <w:t>201.00</w:t>
            </w:r>
          </w:p>
        </w:tc>
      </w:tr>
      <w:tr w:rsidR="007C5447">
        <w:trPr>
          <w:trHeight w:val="302"/>
        </w:trPr>
        <w:tc>
          <w:tcPr>
            <w:tcW w:w="710" w:type="dxa"/>
          </w:tcPr>
          <w:p w:rsidR="007C5447" w:rsidRDefault="00F6308C">
            <w:pPr>
              <w:pStyle w:val="TableParagraph"/>
              <w:spacing w:before="48"/>
              <w:ind w:left="236" w:right="226"/>
              <w:jc w:val="center"/>
              <w:rPr>
                <w:sz w:val="18"/>
              </w:rPr>
            </w:pPr>
            <w:r>
              <w:rPr>
                <w:sz w:val="18"/>
              </w:rPr>
              <w:t>12</w:t>
            </w:r>
          </w:p>
        </w:tc>
        <w:tc>
          <w:tcPr>
            <w:tcW w:w="1985" w:type="dxa"/>
          </w:tcPr>
          <w:p w:rsidR="007C5447" w:rsidRDefault="00F6308C">
            <w:pPr>
              <w:pStyle w:val="TableParagraph"/>
              <w:spacing w:before="48"/>
              <w:ind w:left="108"/>
              <w:jc w:val="left"/>
              <w:rPr>
                <w:sz w:val="18"/>
              </w:rPr>
            </w:pPr>
            <w:r>
              <w:rPr>
                <w:sz w:val="18"/>
              </w:rPr>
              <w:t>Erode HEP</w:t>
            </w:r>
          </w:p>
        </w:tc>
        <w:tc>
          <w:tcPr>
            <w:tcW w:w="1274" w:type="dxa"/>
          </w:tcPr>
          <w:p w:rsidR="007C5447" w:rsidRDefault="00F6308C">
            <w:pPr>
              <w:pStyle w:val="TableParagraph"/>
              <w:spacing w:before="48"/>
              <w:ind w:right="91"/>
              <w:rPr>
                <w:sz w:val="18"/>
              </w:rPr>
            </w:pPr>
            <w:r>
              <w:rPr>
                <w:sz w:val="18"/>
              </w:rPr>
              <w:t>64.03</w:t>
            </w:r>
          </w:p>
        </w:tc>
        <w:tc>
          <w:tcPr>
            <w:tcW w:w="994" w:type="dxa"/>
          </w:tcPr>
          <w:p w:rsidR="007C5447" w:rsidRDefault="00F6308C">
            <w:pPr>
              <w:pStyle w:val="TableParagraph"/>
              <w:spacing w:before="48"/>
              <w:ind w:right="99"/>
              <w:rPr>
                <w:sz w:val="18"/>
              </w:rPr>
            </w:pPr>
            <w:r>
              <w:rPr>
                <w:sz w:val="18"/>
              </w:rPr>
              <w:t>125.34</w:t>
            </w:r>
          </w:p>
        </w:tc>
        <w:tc>
          <w:tcPr>
            <w:tcW w:w="991" w:type="dxa"/>
          </w:tcPr>
          <w:p w:rsidR="007C5447" w:rsidRDefault="00F6308C">
            <w:pPr>
              <w:pStyle w:val="TableParagraph"/>
              <w:spacing w:before="48"/>
              <w:ind w:right="94"/>
              <w:rPr>
                <w:sz w:val="18"/>
              </w:rPr>
            </w:pPr>
            <w:r>
              <w:rPr>
                <w:w w:val="99"/>
                <w:sz w:val="18"/>
              </w:rPr>
              <w:t>-</w:t>
            </w:r>
          </w:p>
        </w:tc>
        <w:tc>
          <w:tcPr>
            <w:tcW w:w="1135" w:type="dxa"/>
          </w:tcPr>
          <w:p w:rsidR="007C5447" w:rsidRDefault="00F6308C">
            <w:pPr>
              <w:pStyle w:val="TableParagraph"/>
              <w:spacing w:before="48"/>
              <w:ind w:right="98"/>
              <w:rPr>
                <w:sz w:val="18"/>
              </w:rPr>
            </w:pPr>
            <w:r>
              <w:rPr>
                <w:sz w:val="18"/>
              </w:rPr>
              <w:t>7.19</w:t>
            </w:r>
          </w:p>
        </w:tc>
        <w:tc>
          <w:tcPr>
            <w:tcW w:w="1135" w:type="dxa"/>
          </w:tcPr>
          <w:p w:rsidR="007C5447" w:rsidRDefault="00F6308C">
            <w:pPr>
              <w:pStyle w:val="TableParagraph"/>
              <w:spacing w:before="48"/>
              <w:ind w:right="93"/>
              <w:rPr>
                <w:sz w:val="18"/>
              </w:rPr>
            </w:pPr>
            <w:r>
              <w:rPr>
                <w:sz w:val="18"/>
              </w:rPr>
              <w:t>51.45</w:t>
            </w:r>
          </w:p>
        </w:tc>
        <w:tc>
          <w:tcPr>
            <w:tcW w:w="1133" w:type="dxa"/>
          </w:tcPr>
          <w:p w:rsidR="007C5447" w:rsidRDefault="00F6308C">
            <w:pPr>
              <w:pStyle w:val="TableParagraph"/>
              <w:spacing w:before="48"/>
              <w:ind w:right="96"/>
              <w:rPr>
                <w:sz w:val="18"/>
              </w:rPr>
            </w:pPr>
            <w:r>
              <w:rPr>
                <w:w w:val="99"/>
                <w:sz w:val="18"/>
              </w:rPr>
              <w:t>-</w:t>
            </w:r>
          </w:p>
        </w:tc>
        <w:tc>
          <w:tcPr>
            <w:tcW w:w="1277" w:type="dxa"/>
          </w:tcPr>
          <w:p w:rsidR="007C5447" w:rsidRDefault="00F6308C">
            <w:pPr>
              <w:pStyle w:val="TableParagraph"/>
              <w:spacing w:before="48"/>
              <w:ind w:right="94"/>
              <w:rPr>
                <w:sz w:val="18"/>
              </w:rPr>
            </w:pPr>
            <w:r>
              <w:rPr>
                <w:w w:val="99"/>
                <w:sz w:val="18"/>
              </w:rPr>
              <w:t>-</w:t>
            </w:r>
          </w:p>
        </w:tc>
        <w:tc>
          <w:tcPr>
            <w:tcW w:w="1133" w:type="dxa"/>
          </w:tcPr>
          <w:p w:rsidR="007C5447" w:rsidRDefault="00F6308C">
            <w:pPr>
              <w:pStyle w:val="TableParagraph"/>
              <w:spacing w:before="48"/>
              <w:ind w:right="96"/>
              <w:rPr>
                <w:sz w:val="18"/>
              </w:rPr>
            </w:pPr>
            <w:r>
              <w:rPr>
                <w:sz w:val="18"/>
              </w:rPr>
              <w:t>0.10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8"/>
              <w:ind w:right="97"/>
              <w:rPr>
                <w:sz w:val="18"/>
              </w:rPr>
            </w:pPr>
            <w:r>
              <w:rPr>
                <w:sz w:val="18"/>
              </w:rPr>
              <w:t>2.70</w:t>
            </w:r>
          </w:p>
        </w:tc>
        <w:tc>
          <w:tcPr>
            <w:tcW w:w="1138" w:type="dxa"/>
          </w:tcPr>
          <w:p w:rsidR="007C5447" w:rsidRDefault="00F6308C">
            <w:pPr>
              <w:pStyle w:val="TableParagraph"/>
              <w:spacing w:before="48"/>
              <w:ind w:right="98"/>
              <w:rPr>
                <w:sz w:val="18"/>
              </w:rPr>
            </w:pPr>
            <w:r>
              <w:rPr>
                <w:sz w:val="18"/>
              </w:rPr>
              <w:t>250.61</w:t>
            </w:r>
          </w:p>
        </w:tc>
      </w:tr>
      <w:tr w:rsidR="007C5447">
        <w:trPr>
          <w:trHeight w:val="299"/>
        </w:trPr>
        <w:tc>
          <w:tcPr>
            <w:tcW w:w="710" w:type="dxa"/>
          </w:tcPr>
          <w:p w:rsidR="007C5447" w:rsidRDefault="00F6308C">
            <w:pPr>
              <w:pStyle w:val="TableParagraph"/>
              <w:spacing w:before="45"/>
              <w:ind w:left="236" w:right="226"/>
              <w:jc w:val="center"/>
              <w:rPr>
                <w:sz w:val="18"/>
              </w:rPr>
            </w:pPr>
            <w:r>
              <w:rPr>
                <w:sz w:val="18"/>
              </w:rPr>
              <w:t>13</w:t>
            </w:r>
          </w:p>
        </w:tc>
        <w:tc>
          <w:tcPr>
            <w:tcW w:w="1985" w:type="dxa"/>
          </w:tcPr>
          <w:p w:rsidR="007C5447" w:rsidRDefault="00F6308C">
            <w:pPr>
              <w:pStyle w:val="TableParagraph"/>
              <w:spacing w:before="45"/>
              <w:ind w:left="108"/>
              <w:jc w:val="left"/>
              <w:rPr>
                <w:sz w:val="18"/>
              </w:rPr>
            </w:pPr>
            <w:r>
              <w:rPr>
                <w:sz w:val="18"/>
              </w:rPr>
              <w:t>Kadamparai HEP</w:t>
            </w:r>
          </w:p>
        </w:tc>
        <w:tc>
          <w:tcPr>
            <w:tcW w:w="1274" w:type="dxa"/>
          </w:tcPr>
          <w:p w:rsidR="007C5447" w:rsidRDefault="00F6308C">
            <w:pPr>
              <w:pStyle w:val="TableParagraph"/>
              <w:spacing w:before="45"/>
              <w:ind w:right="91"/>
              <w:rPr>
                <w:sz w:val="18"/>
              </w:rPr>
            </w:pPr>
            <w:r>
              <w:rPr>
                <w:sz w:val="18"/>
              </w:rPr>
              <w:t>30.22</w:t>
            </w:r>
          </w:p>
        </w:tc>
        <w:tc>
          <w:tcPr>
            <w:tcW w:w="994" w:type="dxa"/>
          </w:tcPr>
          <w:p w:rsidR="007C5447" w:rsidRDefault="00F6308C">
            <w:pPr>
              <w:pStyle w:val="TableParagraph"/>
              <w:spacing w:before="45"/>
              <w:ind w:right="97"/>
              <w:rPr>
                <w:sz w:val="18"/>
              </w:rPr>
            </w:pPr>
            <w:r>
              <w:rPr>
                <w:sz w:val="18"/>
              </w:rPr>
              <w:t>73.50</w:t>
            </w:r>
          </w:p>
        </w:tc>
        <w:tc>
          <w:tcPr>
            <w:tcW w:w="991" w:type="dxa"/>
          </w:tcPr>
          <w:p w:rsidR="007C5447" w:rsidRDefault="00F6308C">
            <w:pPr>
              <w:pStyle w:val="TableParagraph"/>
              <w:spacing w:before="45"/>
              <w:ind w:right="94"/>
              <w:rPr>
                <w:sz w:val="18"/>
              </w:rPr>
            </w:pPr>
            <w:r>
              <w:rPr>
                <w:w w:val="99"/>
                <w:sz w:val="18"/>
              </w:rPr>
              <w:t>-</w:t>
            </w:r>
          </w:p>
        </w:tc>
        <w:tc>
          <w:tcPr>
            <w:tcW w:w="1135" w:type="dxa"/>
          </w:tcPr>
          <w:p w:rsidR="007C5447" w:rsidRDefault="00F6308C">
            <w:pPr>
              <w:pStyle w:val="TableParagraph"/>
              <w:spacing w:before="45"/>
              <w:ind w:right="98"/>
              <w:rPr>
                <w:sz w:val="18"/>
              </w:rPr>
            </w:pPr>
            <w:r>
              <w:rPr>
                <w:sz w:val="18"/>
              </w:rPr>
              <w:t>7.29</w:t>
            </w:r>
          </w:p>
        </w:tc>
        <w:tc>
          <w:tcPr>
            <w:tcW w:w="1135" w:type="dxa"/>
          </w:tcPr>
          <w:p w:rsidR="007C5447" w:rsidRDefault="00F6308C">
            <w:pPr>
              <w:pStyle w:val="TableParagraph"/>
              <w:spacing w:before="45"/>
              <w:ind w:right="93"/>
              <w:rPr>
                <w:sz w:val="18"/>
              </w:rPr>
            </w:pPr>
            <w:r>
              <w:rPr>
                <w:sz w:val="18"/>
              </w:rPr>
              <w:t>34.05</w:t>
            </w:r>
          </w:p>
        </w:tc>
        <w:tc>
          <w:tcPr>
            <w:tcW w:w="1133" w:type="dxa"/>
          </w:tcPr>
          <w:p w:rsidR="007C5447" w:rsidRDefault="00F6308C">
            <w:pPr>
              <w:pStyle w:val="TableParagraph"/>
              <w:spacing w:before="45"/>
              <w:ind w:right="96"/>
              <w:rPr>
                <w:sz w:val="18"/>
              </w:rPr>
            </w:pPr>
            <w:r>
              <w:rPr>
                <w:w w:val="99"/>
                <w:sz w:val="18"/>
              </w:rPr>
              <w:t>-</w:t>
            </w:r>
          </w:p>
        </w:tc>
        <w:tc>
          <w:tcPr>
            <w:tcW w:w="1277" w:type="dxa"/>
          </w:tcPr>
          <w:p w:rsidR="007C5447" w:rsidRDefault="00F6308C">
            <w:pPr>
              <w:pStyle w:val="TableParagraph"/>
              <w:spacing w:before="45"/>
              <w:ind w:right="94"/>
              <w:rPr>
                <w:sz w:val="18"/>
              </w:rPr>
            </w:pPr>
            <w:r>
              <w:rPr>
                <w:w w:val="99"/>
                <w:sz w:val="18"/>
              </w:rPr>
              <w:t>-</w:t>
            </w:r>
          </w:p>
        </w:tc>
        <w:tc>
          <w:tcPr>
            <w:tcW w:w="1133" w:type="dxa"/>
          </w:tcPr>
          <w:p w:rsidR="007C5447" w:rsidRDefault="00F6308C">
            <w:pPr>
              <w:pStyle w:val="TableParagraph"/>
              <w:spacing w:before="45"/>
              <w:ind w:right="96"/>
              <w:rPr>
                <w:sz w:val="18"/>
              </w:rPr>
            </w:pPr>
            <w:r>
              <w:rPr>
                <w:sz w:val="18"/>
              </w:rPr>
              <w:t>0.24</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45"/>
              <w:ind w:right="97"/>
              <w:rPr>
                <w:sz w:val="18"/>
              </w:rPr>
            </w:pPr>
            <w:r>
              <w:rPr>
                <w:sz w:val="18"/>
              </w:rPr>
              <w:t>1.69</w:t>
            </w:r>
          </w:p>
        </w:tc>
        <w:tc>
          <w:tcPr>
            <w:tcW w:w="1138" w:type="dxa"/>
          </w:tcPr>
          <w:p w:rsidR="007C5447" w:rsidRDefault="00F6308C">
            <w:pPr>
              <w:pStyle w:val="TableParagraph"/>
              <w:spacing w:before="45"/>
              <w:ind w:right="98"/>
              <w:rPr>
                <w:sz w:val="18"/>
              </w:rPr>
            </w:pPr>
            <w:r>
              <w:rPr>
                <w:sz w:val="18"/>
              </w:rPr>
              <w:t>146.50</w:t>
            </w:r>
          </w:p>
        </w:tc>
      </w:tr>
      <w:tr w:rsidR="007C5447">
        <w:trPr>
          <w:trHeight w:val="314"/>
        </w:trPr>
        <w:tc>
          <w:tcPr>
            <w:tcW w:w="710" w:type="dxa"/>
          </w:tcPr>
          <w:p w:rsidR="007C5447" w:rsidRDefault="00F6308C">
            <w:pPr>
              <w:pStyle w:val="TableParagraph"/>
              <w:spacing w:before="52"/>
              <w:ind w:left="236" w:right="226"/>
              <w:jc w:val="center"/>
              <w:rPr>
                <w:sz w:val="18"/>
              </w:rPr>
            </w:pPr>
            <w:r>
              <w:rPr>
                <w:sz w:val="18"/>
              </w:rPr>
              <w:t>14</w:t>
            </w:r>
          </w:p>
        </w:tc>
        <w:tc>
          <w:tcPr>
            <w:tcW w:w="1985" w:type="dxa"/>
          </w:tcPr>
          <w:p w:rsidR="007C5447" w:rsidRDefault="00F6308C">
            <w:pPr>
              <w:pStyle w:val="TableParagraph"/>
              <w:spacing w:before="52"/>
              <w:ind w:left="108"/>
              <w:jc w:val="left"/>
              <w:rPr>
                <w:sz w:val="18"/>
              </w:rPr>
            </w:pPr>
            <w:r>
              <w:rPr>
                <w:sz w:val="18"/>
              </w:rPr>
              <w:t>Kundah HEP</w:t>
            </w:r>
          </w:p>
        </w:tc>
        <w:tc>
          <w:tcPr>
            <w:tcW w:w="1274" w:type="dxa"/>
          </w:tcPr>
          <w:p w:rsidR="007C5447" w:rsidRDefault="00F6308C">
            <w:pPr>
              <w:pStyle w:val="TableParagraph"/>
              <w:spacing w:before="52"/>
              <w:ind w:right="94"/>
              <w:rPr>
                <w:sz w:val="18"/>
              </w:rPr>
            </w:pPr>
            <w:r>
              <w:rPr>
                <w:sz w:val="18"/>
              </w:rPr>
              <w:t>103.77</w:t>
            </w:r>
          </w:p>
        </w:tc>
        <w:tc>
          <w:tcPr>
            <w:tcW w:w="994" w:type="dxa"/>
          </w:tcPr>
          <w:p w:rsidR="007C5447" w:rsidRDefault="00F6308C">
            <w:pPr>
              <w:pStyle w:val="TableParagraph"/>
              <w:spacing w:before="52"/>
              <w:ind w:right="99"/>
              <w:rPr>
                <w:sz w:val="18"/>
              </w:rPr>
            </w:pPr>
            <w:r>
              <w:rPr>
                <w:sz w:val="18"/>
              </w:rPr>
              <w:t>160.72</w:t>
            </w:r>
          </w:p>
        </w:tc>
        <w:tc>
          <w:tcPr>
            <w:tcW w:w="991" w:type="dxa"/>
          </w:tcPr>
          <w:p w:rsidR="007C5447" w:rsidRDefault="00F6308C">
            <w:pPr>
              <w:pStyle w:val="TableParagraph"/>
              <w:spacing w:before="52"/>
              <w:ind w:right="94"/>
              <w:rPr>
                <w:sz w:val="18"/>
              </w:rPr>
            </w:pPr>
            <w:r>
              <w:rPr>
                <w:w w:val="99"/>
                <w:sz w:val="18"/>
              </w:rPr>
              <w:t>-</w:t>
            </w:r>
          </w:p>
        </w:tc>
        <w:tc>
          <w:tcPr>
            <w:tcW w:w="1135" w:type="dxa"/>
          </w:tcPr>
          <w:p w:rsidR="007C5447" w:rsidRDefault="00F6308C">
            <w:pPr>
              <w:pStyle w:val="TableParagraph"/>
              <w:spacing w:before="52"/>
              <w:ind w:right="96"/>
              <w:rPr>
                <w:sz w:val="18"/>
              </w:rPr>
            </w:pPr>
            <w:r>
              <w:rPr>
                <w:sz w:val="18"/>
              </w:rPr>
              <w:t>17.18</w:t>
            </w:r>
          </w:p>
        </w:tc>
        <w:tc>
          <w:tcPr>
            <w:tcW w:w="1135" w:type="dxa"/>
          </w:tcPr>
          <w:p w:rsidR="007C5447" w:rsidRDefault="00F6308C">
            <w:pPr>
              <w:pStyle w:val="TableParagraph"/>
              <w:spacing w:before="52"/>
              <w:ind w:right="93"/>
              <w:rPr>
                <w:sz w:val="18"/>
              </w:rPr>
            </w:pPr>
            <w:r>
              <w:rPr>
                <w:sz w:val="18"/>
              </w:rPr>
              <w:t>52.89</w:t>
            </w:r>
          </w:p>
        </w:tc>
        <w:tc>
          <w:tcPr>
            <w:tcW w:w="1133" w:type="dxa"/>
          </w:tcPr>
          <w:p w:rsidR="007C5447" w:rsidRDefault="00F6308C">
            <w:pPr>
              <w:pStyle w:val="TableParagraph"/>
              <w:spacing w:before="52"/>
              <w:ind w:right="96"/>
              <w:rPr>
                <w:sz w:val="18"/>
              </w:rPr>
            </w:pPr>
            <w:r>
              <w:rPr>
                <w:w w:val="99"/>
                <w:sz w:val="18"/>
              </w:rPr>
              <w:t>-</w:t>
            </w:r>
          </w:p>
        </w:tc>
        <w:tc>
          <w:tcPr>
            <w:tcW w:w="1277" w:type="dxa"/>
          </w:tcPr>
          <w:p w:rsidR="007C5447" w:rsidRDefault="00F6308C">
            <w:pPr>
              <w:pStyle w:val="TableParagraph"/>
              <w:spacing w:before="52"/>
              <w:ind w:right="94"/>
              <w:rPr>
                <w:sz w:val="18"/>
              </w:rPr>
            </w:pPr>
            <w:r>
              <w:rPr>
                <w:w w:val="99"/>
                <w:sz w:val="18"/>
              </w:rPr>
              <w:t>-</w:t>
            </w:r>
          </w:p>
        </w:tc>
        <w:tc>
          <w:tcPr>
            <w:tcW w:w="1133" w:type="dxa"/>
          </w:tcPr>
          <w:p w:rsidR="007C5447" w:rsidRDefault="00F6308C">
            <w:pPr>
              <w:pStyle w:val="TableParagraph"/>
              <w:spacing w:before="52"/>
              <w:ind w:right="96"/>
              <w:rPr>
                <w:sz w:val="18"/>
              </w:rPr>
            </w:pPr>
            <w:r>
              <w:rPr>
                <w:sz w:val="18"/>
              </w:rPr>
              <w:t>0.88</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52"/>
              <w:ind w:right="97"/>
              <w:rPr>
                <w:sz w:val="18"/>
              </w:rPr>
            </w:pPr>
            <w:r>
              <w:rPr>
                <w:sz w:val="18"/>
              </w:rPr>
              <w:t>2.77</w:t>
            </w:r>
          </w:p>
        </w:tc>
        <w:tc>
          <w:tcPr>
            <w:tcW w:w="1138" w:type="dxa"/>
          </w:tcPr>
          <w:p w:rsidR="007C5447" w:rsidRDefault="00F6308C">
            <w:pPr>
              <w:pStyle w:val="TableParagraph"/>
              <w:spacing w:before="52"/>
              <w:ind w:right="98"/>
              <w:rPr>
                <w:sz w:val="18"/>
              </w:rPr>
            </w:pPr>
            <w:r>
              <w:rPr>
                <w:sz w:val="18"/>
              </w:rPr>
              <w:t>336.46</w:t>
            </w:r>
          </w:p>
        </w:tc>
      </w:tr>
      <w:tr w:rsidR="007C5447">
        <w:trPr>
          <w:trHeight w:val="330"/>
        </w:trPr>
        <w:tc>
          <w:tcPr>
            <w:tcW w:w="710" w:type="dxa"/>
          </w:tcPr>
          <w:p w:rsidR="007C5447" w:rsidRDefault="00F6308C">
            <w:pPr>
              <w:pStyle w:val="TableParagraph"/>
              <w:spacing w:before="62"/>
              <w:ind w:left="236" w:right="226"/>
              <w:jc w:val="center"/>
              <w:rPr>
                <w:sz w:val="18"/>
              </w:rPr>
            </w:pPr>
            <w:r>
              <w:rPr>
                <w:sz w:val="18"/>
              </w:rPr>
              <w:t>15</w:t>
            </w:r>
          </w:p>
        </w:tc>
        <w:tc>
          <w:tcPr>
            <w:tcW w:w="1985" w:type="dxa"/>
          </w:tcPr>
          <w:p w:rsidR="007C5447" w:rsidRDefault="00F6308C">
            <w:pPr>
              <w:pStyle w:val="TableParagraph"/>
              <w:spacing w:before="62"/>
              <w:ind w:left="108"/>
              <w:jc w:val="left"/>
              <w:rPr>
                <w:sz w:val="18"/>
              </w:rPr>
            </w:pPr>
            <w:r>
              <w:rPr>
                <w:sz w:val="18"/>
              </w:rPr>
              <w:t>Tirunelveli HEP</w:t>
            </w:r>
          </w:p>
        </w:tc>
        <w:tc>
          <w:tcPr>
            <w:tcW w:w="1274" w:type="dxa"/>
          </w:tcPr>
          <w:p w:rsidR="007C5447" w:rsidRDefault="00F6308C">
            <w:pPr>
              <w:pStyle w:val="TableParagraph"/>
              <w:spacing w:before="62"/>
              <w:ind w:right="91"/>
              <w:rPr>
                <w:sz w:val="18"/>
              </w:rPr>
            </w:pPr>
            <w:r>
              <w:rPr>
                <w:sz w:val="18"/>
              </w:rPr>
              <w:t>38.97</w:t>
            </w:r>
          </w:p>
        </w:tc>
        <w:tc>
          <w:tcPr>
            <w:tcW w:w="994" w:type="dxa"/>
          </w:tcPr>
          <w:p w:rsidR="007C5447" w:rsidRDefault="00F6308C">
            <w:pPr>
              <w:pStyle w:val="TableParagraph"/>
              <w:spacing w:before="62"/>
              <w:ind w:right="99"/>
              <w:rPr>
                <w:sz w:val="18"/>
              </w:rPr>
            </w:pPr>
            <w:r>
              <w:rPr>
                <w:sz w:val="18"/>
              </w:rPr>
              <w:t>109.77</w:t>
            </w:r>
          </w:p>
        </w:tc>
        <w:tc>
          <w:tcPr>
            <w:tcW w:w="991" w:type="dxa"/>
          </w:tcPr>
          <w:p w:rsidR="007C5447" w:rsidRDefault="00F6308C">
            <w:pPr>
              <w:pStyle w:val="TableParagraph"/>
              <w:spacing w:before="62"/>
              <w:ind w:right="94"/>
              <w:rPr>
                <w:sz w:val="18"/>
              </w:rPr>
            </w:pPr>
            <w:r>
              <w:rPr>
                <w:w w:val="99"/>
                <w:sz w:val="18"/>
              </w:rPr>
              <w:t>-</w:t>
            </w:r>
          </w:p>
        </w:tc>
        <w:tc>
          <w:tcPr>
            <w:tcW w:w="1135" w:type="dxa"/>
          </w:tcPr>
          <w:p w:rsidR="007C5447" w:rsidRDefault="00F6308C">
            <w:pPr>
              <w:pStyle w:val="TableParagraph"/>
              <w:spacing w:before="62"/>
              <w:ind w:right="96"/>
              <w:rPr>
                <w:sz w:val="18"/>
              </w:rPr>
            </w:pPr>
            <w:r>
              <w:rPr>
                <w:sz w:val="18"/>
              </w:rPr>
              <w:t>10.66</w:t>
            </w:r>
          </w:p>
        </w:tc>
        <w:tc>
          <w:tcPr>
            <w:tcW w:w="1135" w:type="dxa"/>
          </w:tcPr>
          <w:p w:rsidR="007C5447" w:rsidRDefault="00F6308C">
            <w:pPr>
              <w:pStyle w:val="TableParagraph"/>
              <w:spacing w:before="62"/>
              <w:ind w:right="93"/>
              <w:rPr>
                <w:sz w:val="18"/>
              </w:rPr>
            </w:pPr>
            <w:r>
              <w:rPr>
                <w:sz w:val="18"/>
              </w:rPr>
              <w:t>45.79</w:t>
            </w:r>
          </w:p>
        </w:tc>
        <w:tc>
          <w:tcPr>
            <w:tcW w:w="1133" w:type="dxa"/>
          </w:tcPr>
          <w:p w:rsidR="007C5447" w:rsidRDefault="00F6308C">
            <w:pPr>
              <w:pStyle w:val="TableParagraph"/>
              <w:spacing w:before="62"/>
              <w:ind w:right="96"/>
              <w:rPr>
                <w:sz w:val="18"/>
              </w:rPr>
            </w:pPr>
            <w:r>
              <w:rPr>
                <w:w w:val="99"/>
                <w:sz w:val="18"/>
              </w:rPr>
              <w:t>-</w:t>
            </w:r>
          </w:p>
        </w:tc>
        <w:tc>
          <w:tcPr>
            <w:tcW w:w="1277" w:type="dxa"/>
          </w:tcPr>
          <w:p w:rsidR="007C5447" w:rsidRDefault="00F6308C">
            <w:pPr>
              <w:pStyle w:val="TableParagraph"/>
              <w:spacing w:before="62"/>
              <w:ind w:right="94"/>
              <w:rPr>
                <w:sz w:val="18"/>
              </w:rPr>
            </w:pPr>
            <w:r>
              <w:rPr>
                <w:w w:val="99"/>
                <w:sz w:val="18"/>
              </w:rPr>
              <w:t>-</w:t>
            </w:r>
          </w:p>
        </w:tc>
        <w:tc>
          <w:tcPr>
            <w:tcW w:w="1133" w:type="dxa"/>
          </w:tcPr>
          <w:p w:rsidR="007C5447" w:rsidRDefault="00F6308C">
            <w:pPr>
              <w:pStyle w:val="TableParagraph"/>
              <w:spacing w:before="62"/>
              <w:ind w:right="96"/>
              <w:rPr>
                <w:sz w:val="18"/>
              </w:rPr>
            </w:pPr>
            <w:r>
              <w:rPr>
                <w:sz w:val="18"/>
              </w:rPr>
              <w:t>0.45</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62"/>
              <w:ind w:right="97"/>
              <w:rPr>
                <w:sz w:val="18"/>
              </w:rPr>
            </w:pPr>
            <w:r>
              <w:rPr>
                <w:sz w:val="18"/>
              </w:rPr>
              <w:t>2.95</w:t>
            </w:r>
          </w:p>
        </w:tc>
        <w:tc>
          <w:tcPr>
            <w:tcW w:w="1138" w:type="dxa"/>
          </w:tcPr>
          <w:p w:rsidR="007C5447" w:rsidRDefault="00F6308C">
            <w:pPr>
              <w:pStyle w:val="TableParagraph"/>
              <w:spacing w:before="62"/>
              <w:ind w:right="98"/>
              <w:rPr>
                <w:sz w:val="18"/>
              </w:rPr>
            </w:pPr>
            <w:r>
              <w:rPr>
                <w:sz w:val="18"/>
              </w:rPr>
              <w:t>207.68</w:t>
            </w:r>
          </w:p>
        </w:tc>
      </w:tr>
      <w:tr w:rsidR="007C5447">
        <w:trPr>
          <w:trHeight w:val="330"/>
        </w:trPr>
        <w:tc>
          <w:tcPr>
            <w:tcW w:w="710" w:type="dxa"/>
          </w:tcPr>
          <w:p w:rsidR="007C5447" w:rsidRDefault="00F6308C">
            <w:pPr>
              <w:pStyle w:val="TableParagraph"/>
              <w:spacing w:before="62"/>
              <w:ind w:left="236" w:right="226"/>
              <w:jc w:val="center"/>
              <w:rPr>
                <w:b/>
                <w:sz w:val="18"/>
              </w:rPr>
            </w:pPr>
            <w:r>
              <w:rPr>
                <w:b/>
                <w:sz w:val="18"/>
              </w:rPr>
              <w:t>16</w:t>
            </w:r>
          </w:p>
        </w:tc>
        <w:tc>
          <w:tcPr>
            <w:tcW w:w="1985" w:type="dxa"/>
          </w:tcPr>
          <w:p w:rsidR="007C5447" w:rsidRDefault="00F6308C">
            <w:pPr>
              <w:pStyle w:val="TableParagraph"/>
              <w:spacing w:before="62"/>
              <w:ind w:left="108"/>
              <w:jc w:val="left"/>
              <w:rPr>
                <w:b/>
                <w:sz w:val="18"/>
              </w:rPr>
            </w:pPr>
            <w:r>
              <w:rPr>
                <w:b/>
                <w:sz w:val="18"/>
              </w:rPr>
              <w:t>Total Generation</w:t>
            </w:r>
          </w:p>
        </w:tc>
        <w:tc>
          <w:tcPr>
            <w:tcW w:w="1274" w:type="dxa"/>
          </w:tcPr>
          <w:p w:rsidR="007C5447" w:rsidRDefault="00F6308C">
            <w:pPr>
              <w:pStyle w:val="TableParagraph"/>
              <w:spacing w:before="62"/>
              <w:ind w:right="94"/>
              <w:rPr>
                <w:b/>
                <w:sz w:val="18"/>
              </w:rPr>
            </w:pPr>
            <w:r>
              <w:rPr>
                <w:b/>
                <w:sz w:val="18"/>
              </w:rPr>
              <w:t>1,258.76</w:t>
            </w:r>
          </w:p>
        </w:tc>
        <w:tc>
          <w:tcPr>
            <w:tcW w:w="994" w:type="dxa"/>
          </w:tcPr>
          <w:p w:rsidR="007C5447" w:rsidRDefault="00F6308C">
            <w:pPr>
              <w:pStyle w:val="TableParagraph"/>
              <w:spacing w:before="62"/>
              <w:ind w:right="100"/>
              <w:rPr>
                <w:b/>
                <w:sz w:val="18"/>
              </w:rPr>
            </w:pPr>
            <w:r>
              <w:rPr>
                <w:b/>
                <w:sz w:val="18"/>
              </w:rPr>
              <w:t>2,082.73</w:t>
            </w:r>
          </w:p>
        </w:tc>
        <w:tc>
          <w:tcPr>
            <w:tcW w:w="991" w:type="dxa"/>
          </w:tcPr>
          <w:p w:rsidR="007C5447" w:rsidRDefault="00F6308C">
            <w:pPr>
              <w:pStyle w:val="TableParagraph"/>
              <w:spacing w:before="62"/>
              <w:ind w:right="94"/>
              <w:rPr>
                <w:b/>
                <w:sz w:val="18"/>
              </w:rPr>
            </w:pPr>
            <w:r>
              <w:rPr>
                <w:b/>
                <w:w w:val="99"/>
                <w:sz w:val="18"/>
              </w:rPr>
              <w:t>-</w:t>
            </w:r>
          </w:p>
        </w:tc>
        <w:tc>
          <w:tcPr>
            <w:tcW w:w="1135" w:type="dxa"/>
          </w:tcPr>
          <w:p w:rsidR="007C5447" w:rsidRDefault="00F6308C">
            <w:pPr>
              <w:pStyle w:val="TableParagraph"/>
              <w:spacing w:before="62"/>
              <w:ind w:right="96"/>
              <w:rPr>
                <w:b/>
                <w:sz w:val="18"/>
              </w:rPr>
            </w:pPr>
            <w:r>
              <w:rPr>
                <w:b/>
                <w:sz w:val="18"/>
              </w:rPr>
              <w:t>704.59</w:t>
            </w:r>
          </w:p>
        </w:tc>
        <w:tc>
          <w:tcPr>
            <w:tcW w:w="1135" w:type="dxa"/>
          </w:tcPr>
          <w:p w:rsidR="007C5447" w:rsidRDefault="00F6308C">
            <w:pPr>
              <w:pStyle w:val="TableParagraph"/>
              <w:spacing w:before="62"/>
              <w:ind w:right="96"/>
              <w:rPr>
                <w:b/>
                <w:sz w:val="18"/>
              </w:rPr>
            </w:pPr>
            <w:r>
              <w:rPr>
                <w:b/>
                <w:sz w:val="18"/>
              </w:rPr>
              <w:t>1,315.29</w:t>
            </w:r>
          </w:p>
        </w:tc>
        <w:tc>
          <w:tcPr>
            <w:tcW w:w="1133" w:type="dxa"/>
          </w:tcPr>
          <w:p w:rsidR="007C5447" w:rsidRDefault="00F6308C">
            <w:pPr>
              <w:pStyle w:val="TableParagraph"/>
              <w:spacing w:before="62"/>
              <w:ind w:right="96"/>
              <w:rPr>
                <w:b/>
                <w:sz w:val="18"/>
              </w:rPr>
            </w:pPr>
            <w:r>
              <w:rPr>
                <w:b/>
                <w:w w:val="99"/>
                <w:sz w:val="18"/>
              </w:rPr>
              <w:t>-</w:t>
            </w:r>
          </w:p>
        </w:tc>
        <w:tc>
          <w:tcPr>
            <w:tcW w:w="1277" w:type="dxa"/>
          </w:tcPr>
          <w:p w:rsidR="007C5447" w:rsidRDefault="007C5447">
            <w:pPr>
              <w:pStyle w:val="TableParagraph"/>
              <w:jc w:val="left"/>
              <w:rPr>
                <w:sz w:val="18"/>
              </w:rPr>
            </w:pPr>
          </w:p>
        </w:tc>
        <w:tc>
          <w:tcPr>
            <w:tcW w:w="1133" w:type="dxa"/>
          </w:tcPr>
          <w:p w:rsidR="007C5447" w:rsidRDefault="00F6308C">
            <w:pPr>
              <w:pStyle w:val="TableParagraph"/>
              <w:spacing w:before="62"/>
              <w:ind w:right="96"/>
              <w:rPr>
                <w:b/>
                <w:sz w:val="18"/>
              </w:rPr>
            </w:pPr>
            <w:r>
              <w:rPr>
                <w:b/>
                <w:sz w:val="18"/>
              </w:rPr>
              <w:t>152.50</w:t>
            </w:r>
          </w:p>
        </w:tc>
        <w:tc>
          <w:tcPr>
            <w:tcW w:w="1136" w:type="dxa"/>
          </w:tcPr>
          <w:p w:rsidR="007C5447" w:rsidRDefault="007C5447">
            <w:pPr>
              <w:pStyle w:val="TableParagraph"/>
              <w:jc w:val="left"/>
              <w:rPr>
                <w:sz w:val="18"/>
              </w:rPr>
            </w:pPr>
          </w:p>
        </w:tc>
        <w:tc>
          <w:tcPr>
            <w:tcW w:w="1275" w:type="dxa"/>
          </w:tcPr>
          <w:p w:rsidR="007C5447" w:rsidRDefault="00F6308C">
            <w:pPr>
              <w:pStyle w:val="TableParagraph"/>
              <w:spacing w:before="62"/>
              <w:ind w:right="94"/>
              <w:rPr>
                <w:b/>
                <w:sz w:val="18"/>
              </w:rPr>
            </w:pPr>
            <w:r>
              <w:rPr>
                <w:b/>
                <w:sz w:val="18"/>
              </w:rPr>
              <w:t>49.78</w:t>
            </w:r>
          </w:p>
        </w:tc>
        <w:tc>
          <w:tcPr>
            <w:tcW w:w="1138" w:type="dxa"/>
          </w:tcPr>
          <w:p w:rsidR="007C5447" w:rsidRDefault="00F6308C">
            <w:pPr>
              <w:pStyle w:val="TableParagraph"/>
              <w:spacing w:before="62"/>
              <w:ind w:right="97"/>
              <w:rPr>
                <w:b/>
                <w:sz w:val="18"/>
              </w:rPr>
            </w:pPr>
            <w:r>
              <w:rPr>
                <w:b/>
                <w:sz w:val="18"/>
              </w:rPr>
              <w:t>5,258.64</w:t>
            </w:r>
          </w:p>
        </w:tc>
      </w:tr>
    </w:tbl>
    <w:p w:rsidR="007C5447" w:rsidRDefault="007C5447">
      <w:pPr>
        <w:rPr>
          <w:sz w:val="18"/>
        </w:rPr>
        <w:sectPr w:rsidR="007C5447">
          <w:footerReference w:type="default" r:id="rId52"/>
          <w:pgSz w:w="16840" w:h="11910" w:orient="landscape"/>
          <w:pgMar w:top="1100" w:right="820" w:bottom="1240" w:left="340" w:header="0" w:footer="1057" w:gutter="0"/>
          <w:pgNumType w:start="224"/>
          <w:cols w:space="720"/>
        </w:sectPr>
      </w:pPr>
    </w:p>
    <w:p w:rsidR="007C5447" w:rsidRDefault="007C5447">
      <w:pPr>
        <w:pStyle w:val="BodyText"/>
        <w:spacing w:before="2"/>
        <w:rPr>
          <w:b/>
          <w:sz w:val="21"/>
        </w:rPr>
      </w:pPr>
    </w:p>
    <w:p w:rsidR="007C5447" w:rsidRDefault="00F6308C">
      <w:pPr>
        <w:spacing w:before="91"/>
        <w:ind w:left="3877" w:right="3397"/>
        <w:jc w:val="center"/>
        <w:rPr>
          <w:b/>
        </w:rPr>
      </w:pPr>
      <w:r>
        <w:rPr>
          <w:b/>
        </w:rPr>
        <w:t>Table 4-33: Approved Fixed Charges for Generation function for FY 2017-18 (Rs. Crore)</w:t>
      </w:r>
    </w:p>
    <w:p w:rsidR="007C5447" w:rsidRDefault="007C5447">
      <w:pPr>
        <w:pStyle w:val="BodyText"/>
        <w:spacing w:before="11"/>
        <w:rPr>
          <w:b/>
          <w:sz w:val="16"/>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1985"/>
        <w:gridCol w:w="1274"/>
        <w:gridCol w:w="994"/>
        <w:gridCol w:w="991"/>
        <w:gridCol w:w="1135"/>
        <w:gridCol w:w="1133"/>
        <w:gridCol w:w="1136"/>
        <w:gridCol w:w="1275"/>
        <w:gridCol w:w="1136"/>
        <w:gridCol w:w="1134"/>
        <w:gridCol w:w="1277"/>
        <w:gridCol w:w="1133"/>
      </w:tblGrid>
      <w:tr w:rsidR="007C5447">
        <w:trPr>
          <w:trHeight w:val="410"/>
        </w:trPr>
        <w:tc>
          <w:tcPr>
            <w:tcW w:w="710" w:type="dxa"/>
            <w:vMerge w:val="restart"/>
            <w:shd w:val="clear" w:color="auto" w:fill="FBD4B4"/>
          </w:tcPr>
          <w:p w:rsidR="007C5447" w:rsidRDefault="007C5447">
            <w:pPr>
              <w:pStyle w:val="TableParagraph"/>
              <w:jc w:val="left"/>
              <w:rPr>
                <w:b/>
                <w:sz w:val="20"/>
              </w:rPr>
            </w:pPr>
          </w:p>
          <w:p w:rsidR="007C5447" w:rsidRDefault="007C5447">
            <w:pPr>
              <w:pStyle w:val="TableParagraph"/>
              <w:spacing w:before="4"/>
              <w:jc w:val="left"/>
              <w:rPr>
                <w:b/>
                <w:sz w:val="19"/>
              </w:rPr>
            </w:pPr>
          </w:p>
          <w:p w:rsidR="007C5447" w:rsidRDefault="00F6308C">
            <w:pPr>
              <w:pStyle w:val="TableParagraph"/>
              <w:spacing w:before="1"/>
              <w:ind w:left="236" w:right="228"/>
              <w:jc w:val="center"/>
              <w:rPr>
                <w:b/>
                <w:sz w:val="18"/>
              </w:rPr>
            </w:pPr>
            <w:r>
              <w:rPr>
                <w:b/>
                <w:sz w:val="18"/>
              </w:rPr>
              <w:t>Sl.</w:t>
            </w:r>
          </w:p>
        </w:tc>
        <w:tc>
          <w:tcPr>
            <w:tcW w:w="1985" w:type="dxa"/>
            <w:vMerge w:val="restart"/>
            <w:shd w:val="clear" w:color="auto" w:fill="FBD4B4"/>
          </w:tcPr>
          <w:p w:rsidR="007C5447" w:rsidRDefault="007C5447">
            <w:pPr>
              <w:pStyle w:val="TableParagraph"/>
              <w:jc w:val="left"/>
              <w:rPr>
                <w:b/>
                <w:sz w:val="20"/>
              </w:rPr>
            </w:pPr>
          </w:p>
          <w:p w:rsidR="007C5447" w:rsidRDefault="007C5447">
            <w:pPr>
              <w:pStyle w:val="TableParagraph"/>
              <w:spacing w:before="4"/>
              <w:jc w:val="left"/>
              <w:rPr>
                <w:b/>
                <w:sz w:val="19"/>
              </w:rPr>
            </w:pPr>
          </w:p>
          <w:p w:rsidR="007C5447" w:rsidRDefault="00F6308C">
            <w:pPr>
              <w:pStyle w:val="TableParagraph"/>
              <w:spacing w:before="1"/>
              <w:ind w:left="449"/>
              <w:jc w:val="left"/>
              <w:rPr>
                <w:b/>
                <w:sz w:val="18"/>
              </w:rPr>
            </w:pPr>
            <w:r>
              <w:rPr>
                <w:b/>
                <w:sz w:val="18"/>
              </w:rPr>
              <w:t>Power Station</w:t>
            </w:r>
          </w:p>
        </w:tc>
        <w:tc>
          <w:tcPr>
            <w:tcW w:w="12618" w:type="dxa"/>
            <w:gridSpan w:val="11"/>
            <w:shd w:val="clear" w:color="auto" w:fill="FBD4B4"/>
          </w:tcPr>
          <w:p w:rsidR="007C5447" w:rsidRDefault="00F6308C">
            <w:pPr>
              <w:pStyle w:val="TableParagraph"/>
              <w:spacing w:before="100"/>
              <w:ind w:left="5846" w:right="5837"/>
              <w:jc w:val="center"/>
              <w:rPr>
                <w:b/>
                <w:sz w:val="18"/>
              </w:rPr>
            </w:pPr>
            <w:r>
              <w:rPr>
                <w:b/>
                <w:sz w:val="18"/>
              </w:rPr>
              <w:t>FY 2017-18</w:t>
            </w:r>
          </w:p>
        </w:tc>
      </w:tr>
      <w:tr w:rsidR="007C5447">
        <w:trPr>
          <w:trHeight w:val="693"/>
        </w:trPr>
        <w:tc>
          <w:tcPr>
            <w:tcW w:w="710" w:type="dxa"/>
            <w:vMerge/>
            <w:tcBorders>
              <w:top w:val="nil"/>
            </w:tcBorders>
            <w:shd w:val="clear" w:color="auto" w:fill="FBD4B4"/>
          </w:tcPr>
          <w:p w:rsidR="007C5447" w:rsidRDefault="007C5447">
            <w:pPr>
              <w:rPr>
                <w:sz w:val="2"/>
                <w:szCs w:val="2"/>
              </w:rPr>
            </w:pPr>
          </w:p>
        </w:tc>
        <w:tc>
          <w:tcPr>
            <w:tcW w:w="1985" w:type="dxa"/>
            <w:vMerge/>
            <w:tcBorders>
              <w:top w:val="nil"/>
            </w:tcBorders>
            <w:shd w:val="clear" w:color="auto" w:fill="FBD4B4"/>
          </w:tcPr>
          <w:p w:rsidR="007C5447" w:rsidRDefault="007C5447">
            <w:pPr>
              <w:rPr>
                <w:sz w:val="2"/>
                <w:szCs w:val="2"/>
              </w:rPr>
            </w:pPr>
          </w:p>
        </w:tc>
        <w:tc>
          <w:tcPr>
            <w:tcW w:w="1274" w:type="dxa"/>
            <w:shd w:val="clear" w:color="auto" w:fill="FBD4B4"/>
          </w:tcPr>
          <w:p w:rsidR="007C5447" w:rsidRDefault="007C5447">
            <w:pPr>
              <w:pStyle w:val="TableParagraph"/>
              <w:jc w:val="left"/>
              <w:rPr>
                <w:b/>
                <w:sz w:val="21"/>
              </w:rPr>
            </w:pPr>
          </w:p>
          <w:p w:rsidR="007C5447" w:rsidRDefault="00F6308C">
            <w:pPr>
              <w:pStyle w:val="TableParagraph"/>
              <w:ind w:right="130"/>
              <w:rPr>
                <w:b/>
                <w:sz w:val="18"/>
              </w:rPr>
            </w:pPr>
            <w:r>
              <w:rPr>
                <w:b/>
                <w:sz w:val="18"/>
              </w:rPr>
              <w:t>Depreciation</w:t>
            </w:r>
          </w:p>
        </w:tc>
        <w:tc>
          <w:tcPr>
            <w:tcW w:w="994" w:type="dxa"/>
            <w:shd w:val="clear" w:color="auto" w:fill="FBD4B4"/>
          </w:tcPr>
          <w:p w:rsidR="007C5447" w:rsidRDefault="007C5447">
            <w:pPr>
              <w:pStyle w:val="TableParagraph"/>
              <w:jc w:val="left"/>
              <w:rPr>
                <w:b/>
                <w:sz w:val="21"/>
              </w:rPr>
            </w:pPr>
          </w:p>
          <w:p w:rsidR="007C5447" w:rsidRDefault="00F6308C">
            <w:pPr>
              <w:pStyle w:val="TableParagraph"/>
              <w:ind w:left="264"/>
              <w:jc w:val="left"/>
              <w:rPr>
                <w:b/>
                <w:sz w:val="18"/>
              </w:rPr>
            </w:pPr>
            <w:r>
              <w:rPr>
                <w:b/>
                <w:sz w:val="18"/>
              </w:rPr>
              <w:t>I&amp;FC</w:t>
            </w:r>
          </w:p>
        </w:tc>
        <w:tc>
          <w:tcPr>
            <w:tcW w:w="991" w:type="dxa"/>
            <w:shd w:val="clear" w:color="auto" w:fill="FBD4B4"/>
          </w:tcPr>
          <w:p w:rsidR="007C5447" w:rsidRDefault="00F6308C">
            <w:pPr>
              <w:pStyle w:val="TableParagraph"/>
              <w:spacing w:before="139"/>
              <w:ind w:left="118" w:right="39" w:firstLine="103"/>
              <w:jc w:val="left"/>
              <w:rPr>
                <w:b/>
                <w:sz w:val="18"/>
              </w:rPr>
            </w:pPr>
            <w:r>
              <w:rPr>
                <w:b/>
                <w:sz w:val="18"/>
              </w:rPr>
              <w:t>Return on Equity</w:t>
            </w:r>
          </w:p>
        </w:tc>
        <w:tc>
          <w:tcPr>
            <w:tcW w:w="1135" w:type="dxa"/>
            <w:shd w:val="clear" w:color="auto" w:fill="FBD4B4"/>
          </w:tcPr>
          <w:p w:rsidR="007C5447" w:rsidRDefault="00F6308C">
            <w:pPr>
              <w:pStyle w:val="TableParagraph"/>
              <w:spacing w:before="35"/>
              <w:ind w:left="116" w:right="106"/>
              <w:jc w:val="center"/>
              <w:rPr>
                <w:b/>
                <w:sz w:val="18"/>
              </w:rPr>
            </w:pPr>
            <w:r>
              <w:rPr>
                <w:b/>
                <w:sz w:val="18"/>
              </w:rPr>
              <w:t>Interest on Working Capital</w:t>
            </w:r>
          </w:p>
        </w:tc>
        <w:tc>
          <w:tcPr>
            <w:tcW w:w="1133" w:type="dxa"/>
            <w:shd w:val="clear" w:color="auto" w:fill="FBD4B4"/>
          </w:tcPr>
          <w:p w:rsidR="007C5447" w:rsidRDefault="00F6308C">
            <w:pPr>
              <w:pStyle w:val="TableParagraph"/>
              <w:spacing w:before="139"/>
              <w:ind w:left="212" w:right="180" w:firstLine="79"/>
              <w:jc w:val="left"/>
              <w:rPr>
                <w:b/>
                <w:sz w:val="18"/>
              </w:rPr>
            </w:pPr>
            <w:r>
              <w:rPr>
                <w:b/>
                <w:sz w:val="18"/>
              </w:rPr>
              <w:t>O &amp; M Expenses</w:t>
            </w:r>
          </w:p>
        </w:tc>
        <w:tc>
          <w:tcPr>
            <w:tcW w:w="1136" w:type="dxa"/>
            <w:shd w:val="clear" w:color="auto" w:fill="FBD4B4"/>
          </w:tcPr>
          <w:p w:rsidR="007C5447" w:rsidRDefault="00F6308C">
            <w:pPr>
              <w:pStyle w:val="TableParagraph"/>
              <w:spacing w:before="139"/>
              <w:ind w:left="323" w:right="293" w:firstLine="14"/>
              <w:jc w:val="left"/>
              <w:rPr>
                <w:b/>
                <w:sz w:val="18"/>
              </w:rPr>
            </w:pPr>
            <w:r>
              <w:rPr>
                <w:b/>
                <w:sz w:val="18"/>
              </w:rPr>
              <w:t>Other Debits</w:t>
            </w:r>
          </w:p>
        </w:tc>
        <w:tc>
          <w:tcPr>
            <w:tcW w:w="1275" w:type="dxa"/>
            <w:shd w:val="clear" w:color="auto" w:fill="FBD4B4"/>
          </w:tcPr>
          <w:p w:rsidR="007C5447" w:rsidRDefault="00F6308C">
            <w:pPr>
              <w:pStyle w:val="TableParagraph"/>
              <w:spacing w:before="35"/>
              <w:ind w:left="120" w:right="107"/>
              <w:jc w:val="center"/>
              <w:rPr>
                <w:b/>
                <w:sz w:val="18"/>
              </w:rPr>
            </w:pPr>
            <w:r>
              <w:rPr>
                <w:b/>
                <w:sz w:val="18"/>
              </w:rPr>
              <w:t>Op. Charges and Extra Ordinary</w:t>
            </w:r>
          </w:p>
        </w:tc>
        <w:tc>
          <w:tcPr>
            <w:tcW w:w="1136" w:type="dxa"/>
            <w:shd w:val="clear" w:color="auto" w:fill="FBD4B4"/>
          </w:tcPr>
          <w:p w:rsidR="007C5447" w:rsidRDefault="00F6308C">
            <w:pPr>
              <w:pStyle w:val="TableParagraph"/>
              <w:spacing w:before="139"/>
              <w:ind w:left="280" w:right="256" w:firstLine="55"/>
              <w:jc w:val="left"/>
              <w:rPr>
                <w:b/>
                <w:sz w:val="18"/>
              </w:rPr>
            </w:pPr>
            <w:r>
              <w:rPr>
                <w:b/>
                <w:sz w:val="18"/>
              </w:rPr>
              <w:t>Other Income</w:t>
            </w:r>
          </w:p>
        </w:tc>
        <w:tc>
          <w:tcPr>
            <w:tcW w:w="1134" w:type="dxa"/>
            <w:shd w:val="clear" w:color="auto" w:fill="FBD4B4"/>
          </w:tcPr>
          <w:p w:rsidR="007C5447" w:rsidRDefault="00F6308C">
            <w:pPr>
              <w:pStyle w:val="TableParagraph"/>
              <w:spacing w:before="139"/>
              <w:ind w:left="280" w:right="119" w:hanging="135"/>
              <w:jc w:val="left"/>
              <w:rPr>
                <w:b/>
                <w:sz w:val="18"/>
              </w:rPr>
            </w:pPr>
            <w:r>
              <w:rPr>
                <w:b/>
                <w:sz w:val="18"/>
              </w:rPr>
              <w:t>Non-Tariff Income</w:t>
            </w:r>
          </w:p>
        </w:tc>
        <w:tc>
          <w:tcPr>
            <w:tcW w:w="1277" w:type="dxa"/>
            <w:shd w:val="clear" w:color="auto" w:fill="FBD4B4"/>
          </w:tcPr>
          <w:p w:rsidR="007C5447" w:rsidRDefault="00F6308C">
            <w:pPr>
              <w:pStyle w:val="TableParagraph"/>
              <w:spacing w:before="35"/>
              <w:ind w:left="140" w:right="136" w:firstLine="3"/>
              <w:jc w:val="center"/>
              <w:rPr>
                <w:b/>
                <w:sz w:val="18"/>
              </w:rPr>
            </w:pPr>
            <w:r>
              <w:rPr>
                <w:b/>
                <w:sz w:val="18"/>
              </w:rPr>
              <w:t>Other Interest &amp; Fin. Charges</w:t>
            </w:r>
          </w:p>
        </w:tc>
        <w:tc>
          <w:tcPr>
            <w:tcW w:w="1133" w:type="dxa"/>
            <w:shd w:val="clear" w:color="auto" w:fill="FBD4B4"/>
          </w:tcPr>
          <w:p w:rsidR="007C5447" w:rsidRDefault="00F6308C">
            <w:pPr>
              <w:pStyle w:val="TableParagraph"/>
              <w:spacing w:before="139"/>
              <w:ind w:left="389" w:right="98" w:hanging="269"/>
              <w:jc w:val="left"/>
              <w:rPr>
                <w:b/>
                <w:sz w:val="18"/>
              </w:rPr>
            </w:pPr>
            <w:r>
              <w:rPr>
                <w:b/>
                <w:sz w:val="18"/>
              </w:rPr>
              <w:t>Total Fixed Cost</w:t>
            </w:r>
          </w:p>
        </w:tc>
      </w:tr>
      <w:tr w:rsidR="007C5447">
        <w:trPr>
          <w:trHeight w:val="302"/>
        </w:trPr>
        <w:tc>
          <w:tcPr>
            <w:tcW w:w="710" w:type="dxa"/>
          </w:tcPr>
          <w:p w:rsidR="007C5447" w:rsidRDefault="00F6308C">
            <w:pPr>
              <w:pStyle w:val="TableParagraph"/>
              <w:spacing w:before="47"/>
              <w:ind w:left="4"/>
              <w:jc w:val="center"/>
              <w:rPr>
                <w:sz w:val="18"/>
              </w:rPr>
            </w:pPr>
            <w:r>
              <w:rPr>
                <w:sz w:val="18"/>
              </w:rPr>
              <w:t>1</w:t>
            </w:r>
          </w:p>
        </w:tc>
        <w:tc>
          <w:tcPr>
            <w:tcW w:w="1985" w:type="dxa"/>
          </w:tcPr>
          <w:p w:rsidR="007C5447" w:rsidRDefault="00F6308C">
            <w:pPr>
              <w:pStyle w:val="TableParagraph"/>
              <w:spacing w:before="47"/>
              <w:ind w:left="108"/>
              <w:jc w:val="left"/>
              <w:rPr>
                <w:sz w:val="18"/>
              </w:rPr>
            </w:pPr>
            <w:r>
              <w:rPr>
                <w:sz w:val="18"/>
              </w:rPr>
              <w:t>Ennore TPS</w:t>
            </w:r>
          </w:p>
        </w:tc>
        <w:tc>
          <w:tcPr>
            <w:tcW w:w="1274" w:type="dxa"/>
          </w:tcPr>
          <w:p w:rsidR="007C5447" w:rsidRDefault="00F6308C">
            <w:pPr>
              <w:pStyle w:val="TableParagraph"/>
              <w:spacing w:before="47"/>
              <w:ind w:right="92"/>
              <w:rPr>
                <w:sz w:val="18"/>
              </w:rPr>
            </w:pPr>
            <w:r>
              <w:rPr>
                <w:w w:val="99"/>
                <w:sz w:val="18"/>
              </w:rPr>
              <w:t>-</w:t>
            </w:r>
          </w:p>
        </w:tc>
        <w:tc>
          <w:tcPr>
            <w:tcW w:w="994" w:type="dxa"/>
          </w:tcPr>
          <w:p w:rsidR="007C5447" w:rsidRDefault="007C5447">
            <w:pPr>
              <w:pStyle w:val="TableParagraph"/>
              <w:jc w:val="left"/>
              <w:rPr>
                <w:sz w:val="18"/>
              </w:rPr>
            </w:pPr>
          </w:p>
        </w:tc>
        <w:tc>
          <w:tcPr>
            <w:tcW w:w="991" w:type="dxa"/>
          </w:tcPr>
          <w:p w:rsidR="007C5447" w:rsidRDefault="00F6308C">
            <w:pPr>
              <w:pStyle w:val="TableParagraph"/>
              <w:spacing w:before="47"/>
              <w:ind w:right="94"/>
              <w:rPr>
                <w:sz w:val="18"/>
              </w:rPr>
            </w:pPr>
            <w:r>
              <w:rPr>
                <w:w w:val="99"/>
                <w:sz w:val="18"/>
              </w:rPr>
              <w:t>-</w:t>
            </w:r>
          </w:p>
        </w:tc>
        <w:tc>
          <w:tcPr>
            <w:tcW w:w="1135" w:type="dxa"/>
          </w:tcPr>
          <w:p w:rsidR="007C5447" w:rsidRDefault="00F6308C">
            <w:pPr>
              <w:pStyle w:val="TableParagraph"/>
              <w:spacing w:before="47"/>
              <w:ind w:right="97"/>
              <w:rPr>
                <w:sz w:val="18"/>
              </w:rPr>
            </w:pPr>
            <w:r>
              <w:rPr>
                <w:w w:val="99"/>
                <w:sz w:val="18"/>
              </w:rPr>
              <w:t>-</w:t>
            </w:r>
          </w:p>
        </w:tc>
        <w:tc>
          <w:tcPr>
            <w:tcW w:w="1133" w:type="dxa"/>
          </w:tcPr>
          <w:p w:rsidR="007C5447" w:rsidRDefault="00F6308C">
            <w:pPr>
              <w:pStyle w:val="TableParagraph"/>
              <w:spacing w:before="47"/>
              <w:ind w:right="94"/>
              <w:rPr>
                <w:sz w:val="18"/>
              </w:rPr>
            </w:pPr>
            <w:r>
              <w:rPr>
                <w:w w:val="99"/>
                <w:sz w:val="18"/>
              </w:rPr>
              <w:t>-</w:t>
            </w:r>
          </w:p>
        </w:tc>
        <w:tc>
          <w:tcPr>
            <w:tcW w:w="1136" w:type="dxa"/>
          </w:tcPr>
          <w:p w:rsidR="007C5447" w:rsidRDefault="00F6308C">
            <w:pPr>
              <w:pStyle w:val="TableParagraph"/>
              <w:spacing w:before="47"/>
              <w:ind w:right="97"/>
              <w:rPr>
                <w:sz w:val="18"/>
              </w:rPr>
            </w:pPr>
            <w:r>
              <w:rPr>
                <w:w w:val="99"/>
                <w:sz w:val="18"/>
              </w:rPr>
              <w:t>-</w:t>
            </w:r>
          </w:p>
        </w:tc>
        <w:tc>
          <w:tcPr>
            <w:tcW w:w="1275" w:type="dxa"/>
          </w:tcPr>
          <w:p w:rsidR="007C5447" w:rsidRDefault="00F6308C">
            <w:pPr>
              <w:pStyle w:val="TableParagraph"/>
              <w:spacing w:before="47"/>
              <w:ind w:right="93"/>
              <w:rPr>
                <w:sz w:val="18"/>
              </w:rPr>
            </w:pPr>
            <w:r>
              <w:rPr>
                <w:w w:val="99"/>
                <w:sz w:val="18"/>
              </w:rPr>
              <w:t>-</w:t>
            </w:r>
          </w:p>
        </w:tc>
        <w:tc>
          <w:tcPr>
            <w:tcW w:w="1136" w:type="dxa"/>
          </w:tcPr>
          <w:p w:rsidR="007C5447" w:rsidRDefault="007C5447">
            <w:pPr>
              <w:pStyle w:val="TableParagraph"/>
              <w:jc w:val="left"/>
              <w:rPr>
                <w:sz w:val="18"/>
              </w:rPr>
            </w:pP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47"/>
              <w:ind w:right="99"/>
              <w:rPr>
                <w:sz w:val="18"/>
              </w:rPr>
            </w:pPr>
            <w:r>
              <w:rPr>
                <w:w w:val="99"/>
                <w:sz w:val="18"/>
              </w:rPr>
              <w:t>-</w:t>
            </w:r>
          </w:p>
        </w:tc>
        <w:tc>
          <w:tcPr>
            <w:tcW w:w="1133" w:type="dxa"/>
          </w:tcPr>
          <w:p w:rsidR="007C5447" w:rsidRDefault="007C5447">
            <w:pPr>
              <w:pStyle w:val="TableParagraph"/>
              <w:jc w:val="left"/>
              <w:rPr>
                <w:sz w:val="18"/>
              </w:rPr>
            </w:pPr>
          </w:p>
        </w:tc>
      </w:tr>
      <w:tr w:rsidR="007C5447">
        <w:trPr>
          <w:trHeight w:val="299"/>
        </w:trPr>
        <w:tc>
          <w:tcPr>
            <w:tcW w:w="710" w:type="dxa"/>
          </w:tcPr>
          <w:p w:rsidR="007C5447" w:rsidRDefault="00F6308C">
            <w:pPr>
              <w:pStyle w:val="TableParagraph"/>
              <w:spacing w:before="45"/>
              <w:ind w:left="4"/>
              <w:jc w:val="center"/>
              <w:rPr>
                <w:sz w:val="18"/>
              </w:rPr>
            </w:pPr>
            <w:r>
              <w:rPr>
                <w:sz w:val="18"/>
              </w:rPr>
              <w:t>2</w:t>
            </w:r>
          </w:p>
        </w:tc>
        <w:tc>
          <w:tcPr>
            <w:tcW w:w="1985" w:type="dxa"/>
          </w:tcPr>
          <w:p w:rsidR="007C5447" w:rsidRDefault="00F6308C">
            <w:pPr>
              <w:pStyle w:val="TableParagraph"/>
              <w:spacing w:before="45"/>
              <w:ind w:left="108"/>
              <w:jc w:val="left"/>
              <w:rPr>
                <w:sz w:val="18"/>
              </w:rPr>
            </w:pPr>
            <w:r>
              <w:rPr>
                <w:sz w:val="18"/>
              </w:rPr>
              <w:t>Tuticorin TPS</w:t>
            </w:r>
          </w:p>
        </w:tc>
        <w:tc>
          <w:tcPr>
            <w:tcW w:w="1274" w:type="dxa"/>
          </w:tcPr>
          <w:p w:rsidR="007C5447" w:rsidRDefault="00F6308C">
            <w:pPr>
              <w:pStyle w:val="TableParagraph"/>
              <w:spacing w:before="45"/>
              <w:ind w:right="94"/>
              <w:rPr>
                <w:sz w:val="18"/>
              </w:rPr>
            </w:pPr>
            <w:r>
              <w:rPr>
                <w:sz w:val="18"/>
              </w:rPr>
              <w:t>110.61</w:t>
            </w:r>
          </w:p>
        </w:tc>
        <w:tc>
          <w:tcPr>
            <w:tcW w:w="994" w:type="dxa"/>
          </w:tcPr>
          <w:p w:rsidR="007C5447" w:rsidRDefault="00F6308C">
            <w:pPr>
              <w:pStyle w:val="TableParagraph"/>
              <w:spacing w:before="45"/>
              <w:ind w:right="99"/>
              <w:rPr>
                <w:sz w:val="18"/>
              </w:rPr>
            </w:pPr>
            <w:r>
              <w:rPr>
                <w:sz w:val="18"/>
              </w:rPr>
              <w:t>225.35</w:t>
            </w:r>
          </w:p>
        </w:tc>
        <w:tc>
          <w:tcPr>
            <w:tcW w:w="991" w:type="dxa"/>
          </w:tcPr>
          <w:p w:rsidR="007C5447" w:rsidRDefault="00F6308C">
            <w:pPr>
              <w:pStyle w:val="TableParagraph"/>
              <w:spacing w:before="45"/>
              <w:ind w:right="94"/>
              <w:rPr>
                <w:sz w:val="18"/>
              </w:rPr>
            </w:pPr>
            <w:r>
              <w:rPr>
                <w:w w:val="99"/>
                <w:sz w:val="18"/>
              </w:rPr>
              <w:t>-</w:t>
            </w:r>
          </w:p>
        </w:tc>
        <w:tc>
          <w:tcPr>
            <w:tcW w:w="1135" w:type="dxa"/>
          </w:tcPr>
          <w:p w:rsidR="007C5447" w:rsidRDefault="00F6308C">
            <w:pPr>
              <w:pStyle w:val="TableParagraph"/>
              <w:spacing w:before="45"/>
              <w:ind w:right="96"/>
              <w:rPr>
                <w:sz w:val="18"/>
              </w:rPr>
            </w:pPr>
            <w:r>
              <w:rPr>
                <w:sz w:val="18"/>
              </w:rPr>
              <w:t>139.53</w:t>
            </w:r>
          </w:p>
        </w:tc>
        <w:tc>
          <w:tcPr>
            <w:tcW w:w="1133" w:type="dxa"/>
          </w:tcPr>
          <w:p w:rsidR="007C5447" w:rsidRDefault="00F6308C">
            <w:pPr>
              <w:pStyle w:val="TableParagraph"/>
              <w:spacing w:before="45"/>
              <w:ind w:right="96"/>
              <w:rPr>
                <w:sz w:val="18"/>
              </w:rPr>
            </w:pPr>
            <w:r>
              <w:rPr>
                <w:sz w:val="18"/>
              </w:rPr>
              <w:t>360.06</w:t>
            </w:r>
          </w:p>
        </w:tc>
        <w:tc>
          <w:tcPr>
            <w:tcW w:w="1136" w:type="dxa"/>
          </w:tcPr>
          <w:p w:rsidR="007C5447" w:rsidRDefault="00F6308C">
            <w:pPr>
              <w:pStyle w:val="TableParagraph"/>
              <w:spacing w:before="45"/>
              <w:ind w:right="97"/>
              <w:rPr>
                <w:sz w:val="18"/>
              </w:rPr>
            </w:pPr>
            <w:r>
              <w:rPr>
                <w:w w:val="99"/>
                <w:sz w:val="18"/>
              </w:rPr>
              <w:t>-</w:t>
            </w:r>
          </w:p>
        </w:tc>
        <w:tc>
          <w:tcPr>
            <w:tcW w:w="1275" w:type="dxa"/>
          </w:tcPr>
          <w:p w:rsidR="007C5447" w:rsidRDefault="00F6308C">
            <w:pPr>
              <w:pStyle w:val="TableParagraph"/>
              <w:spacing w:before="45"/>
              <w:ind w:right="93"/>
              <w:rPr>
                <w:sz w:val="18"/>
              </w:rPr>
            </w:pPr>
            <w:r>
              <w:rPr>
                <w:w w:val="99"/>
                <w:sz w:val="18"/>
              </w:rPr>
              <w:t>-</w:t>
            </w:r>
          </w:p>
        </w:tc>
        <w:tc>
          <w:tcPr>
            <w:tcW w:w="1136" w:type="dxa"/>
          </w:tcPr>
          <w:p w:rsidR="007C5447" w:rsidRDefault="00F6308C">
            <w:pPr>
              <w:pStyle w:val="TableParagraph"/>
              <w:spacing w:before="45"/>
              <w:ind w:right="98"/>
              <w:rPr>
                <w:sz w:val="18"/>
              </w:rPr>
            </w:pPr>
            <w:r>
              <w:rPr>
                <w:sz w:val="18"/>
              </w:rPr>
              <w:t>33.23</w:t>
            </w: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45"/>
              <w:ind w:right="101"/>
              <w:rPr>
                <w:sz w:val="18"/>
              </w:rPr>
            </w:pPr>
            <w:r>
              <w:rPr>
                <w:sz w:val="18"/>
              </w:rPr>
              <w:t>8.54</w:t>
            </w:r>
          </w:p>
        </w:tc>
        <w:tc>
          <w:tcPr>
            <w:tcW w:w="1133" w:type="dxa"/>
          </w:tcPr>
          <w:p w:rsidR="007C5447" w:rsidRDefault="00F6308C">
            <w:pPr>
              <w:pStyle w:val="TableParagraph"/>
              <w:spacing w:before="45"/>
              <w:ind w:right="99"/>
              <w:rPr>
                <w:sz w:val="18"/>
              </w:rPr>
            </w:pPr>
            <w:r>
              <w:rPr>
                <w:sz w:val="18"/>
              </w:rPr>
              <w:t>810.86</w:t>
            </w:r>
          </w:p>
        </w:tc>
      </w:tr>
      <w:tr w:rsidR="007C5447">
        <w:trPr>
          <w:trHeight w:val="300"/>
        </w:trPr>
        <w:tc>
          <w:tcPr>
            <w:tcW w:w="710" w:type="dxa"/>
          </w:tcPr>
          <w:p w:rsidR="007C5447" w:rsidRDefault="00F6308C">
            <w:pPr>
              <w:pStyle w:val="TableParagraph"/>
              <w:spacing w:before="46"/>
              <w:ind w:left="4"/>
              <w:jc w:val="center"/>
              <w:rPr>
                <w:sz w:val="18"/>
              </w:rPr>
            </w:pPr>
            <w:r>
              <w:rPr>
                <w:sz w:val="18"/>
              </w:rPr>
              <w:t>3</w:t>
            </w:r>
          </w:p>
        </w:tc>
        <w:tc>
          <w:tcPr>
            <w:tcW w:w="1985" w:type="dxa"/>
          </w:tcPr>
          <w:p w:rsidR="007C5447" w:rsidRDefault="00F6308C">
            <w:pPr>
              <w:pStyle w:val="TableParagraph"/>
              <w:spacing w:before="46"/>
              <w:ind w:left="108"/>
              <w:jc w:val="left"/>
              <w:rPr>
                <w:sz w:val="18"/>
              </w:rPr>
            </w:pPr>
            <w:r>
              <w:rPr>
                <w:sz w:val="18"/>
              </w:rPr>
              <w:t>Mettur TPS</w:t>
            </w:r>
          </w:p>
        </w:tc>
        <w:tc>
          <w:tcPr>
            <w:tcW w:w="1274" w:type="dxa"/>
          </w:tcPr>
          <w:p w:rsidR="007C5447" w:rsidRDefault="00F6308C">
            <w:pPr>
              <w:pStyle w:val="TableParagraph"/>
              <w:spacing w:before="46"/>
              <w:ind w:right="91"/>
              <w:rPr>
                <w:sz w:val="18"/>
              </w:rPr>
            </w:pPr>
            <w:r>
              <w:rPr>
                <w:sz w:val="18"/>
              </w:rPr>
              <w:t>72.27</w:t>
            </w:r>
          </w:p>
        </w:tc>
        <w:tc>
          <w:tcPr>
            <w:tcW w:w="994" w:type="dxa"/>
          </w:tcPr>
          <w:p w:rsidR="007C5447" w:rsidRDefault="00F6308C">
            <w:pPr>
              <w:pStyle w:val="TableParagraph"/>
              <w:spacing w:before="46"/>
              <w:ind w:right="99"/>
              <w:rPr>
                <w:sz w:val="18"/>
              </w:rPr>
            </w:pPr>
            <w:r>
              <w:rPr>
                <w:sz w:val="18"/>
              </w:rPr>
              <w:t>140.12</w:t>
            </w:r>
          </w:p>
        </w:tc>
        <w:tc>
          <w:tcPr>
            <w:tcW w:w="991" w:type="dxa"/>
          </w:tcPr>
          <w:p w:rsidR="007C5447" w:rsidRDefault="00F6308C">
            <w:pPr>
              <w:pStyle w:val="TableParagraph"/>
              <w:spacing w:before="46"/>
              <w:ind w:right="94"/>
              <w:rPr>
                <w:sz w:val="18"/>
              </w:rPr>
            </w:pPr>
            <w:r>
              <w:rPr>
                <w:w w:val="99"/>
                <w:sz w:val="18"/>
              </w:rPr>
              <w:t>-</w:t>
            </w:r>
          </w:p>
        </w:tc>
        <w:tc>
          <w:tcPr>
            <w:tcW w:w="1135" w:type="dxa"/>
          </w:tcPr>
          <w:p w:rsidR="007C5447" w:rsidRDefault="00F6308C">
            <w:pPr>
              <w:pStyle w:val="TableParagraph"/>
              <w:spacing w:before="46"/>
              <w:ind w:right="98"/>
              <w:rPr>
                <w:sz w:val="18"/>
              </w:rPr>
            </w:pPr>
            <w:r>
              <w:rPr>
                <w:sz w:val="18"/>
              </w:rPr>
              <w:t>116.98</w:t>
            </w:r>
          </w:p>
        </w:tc>
        <w:tc>
          <w:tcPr>
            <w:tcW w:w="1133" w:type="dxa"/>
          </w:tcPr>
          <w:p w:rsidR="007C5447" w:rsidRDefault="00F6308C">
            <w:pPr>
              <w:pStyle w:val="TableParagraph"/>
              <w:spacing w:before="46"/>
              <w:ind w:right="96"/>
              <w:rPr>
                <w:sz w:val="18"/>
              </w:rPr>
            </w:pPr>
            <w:r>
              <w:rPr>
                <w:sz w:val="18"/>
              </w:rPr>
              <w:t>275.26</w:t>
            </w:r>
          </w:p>
        </w:tc>
        <w:tc>
          <w:tcPr>
            <w:tcW w:w="1136" w:type="dxa"/>
          </w:tcPr>
          <w:p w:rsidR="007C5447" w:rsidRDefault="00F6308C">
            <w:pPr>
              <w:pStyle w:val="TableParagraph"/>
              <w:spacing w:before="46"/>
              <w:ind w:right="97"/>
              <w:rPr>
                <w:sz w:val="18"/>
              </w:rPr>
            </w:pPr>
            <w:r>
              <w:rPr>
                <w:w w:val="99"/>
                <w:sz w:val="18"/>
              </w:rPr>
              <w:t>-</w:t>
            </w:r>
          </w:p>
        </w:tc>
        <w:tc>
          <w:tcPr>
            <w:tcW w:w="1275" w:type="dxa"/>
          </w:tcPr>
          <w:p w:rsidR="007C5447" w:rsidRDefault="00F6308C">
            <w:pPr>
              <w:pStyle w:val="TableParagraph"/>
              <w:spacing w:before="46"/>
              <w:ind w:right="93"/>
              <w:rPr>
                <w:sz w:val="18"/>
              </w:rPr>
            </w:pPr>
            <w:r>
              <w:rPr>
                <w:w w:val="99"/>
                <w:sz w:val="18"/>
              </w:rPr>
              <w:t>-</w:t>
            </w:r>
          </w:p>
        </w:tc>
        <w:tc>
          <w:tcPr>
            <w:tcW w:w="1136" w:type="dxa"/>
          </w:tcPr>
          <w:p w:rsidR="007C5447" w:rsidRDefault="00F6308C">
            <w:pPr>
              <w:pStyle w:val="TableParagraph"/>
              <w:spacing w:before="46"/>
              <w:ind w:right="98"/>
              <w:rPr>
                <w:sz w:val="18"/>
              </w:rPr>
            </w:pPr>
            <w:r>
              <w:rPr>
                <w:sz w:val="18"/>
              </w:rPr>
              <w:t>29.55</w:t>
            </w: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46"/>
              <w:ind w:right="101"/>
              <w:rPr>
                <w:sz w:val="18"/>
              </w:rPr>
            </w:pPr>
            <w:r>
              <w:rPr>
                <w:sz w:val="18"/>
              </w:rPr>
              <w:t>7.26</w:t>
            </w:r>
          </w:p>
        </w:tc>
        <w:tc>
          <w:tcPr>
            <w:tcW w:w="1133" w:type="dxa"/>
          </w:tcPr>
          <w:p w:rsidR="007C5447" w:rsidRDefault="00F6308C">
            <w:pPr>
              <w:pStyle w:val="TableParagraph"/>
              <w:spacing w:before="46"/>
              <w:ind w:right="99"/>
              <w:rPr>
                <w:sz w:val="18"/>
              </w:rPr>
            </w:pPr>
            <w:r>
              <w:rPr>
                <w:sz w:val="18"/>
              </w:rPr>
              <w:t>582.34</w:t>
            </w:r>
          </w:p>
        </w:tc>
      </w:tr>
      <w:tr w:rsidR="007C5447">
        <w:trPr>
          <w:trHeight w:val="299"/>
        </w:trPr>
        <w:tc>
          <w:tcPr>
            <w:tcW w:w="710" w:type="dxa"/>
          </w:tcPr>
          <w:p w:rsidR="007C5447" w:rsidRDefault="00F6308C">
            <w:pPr>
              <w:pStyle w:val="TableParagraph"/>
              <w:spacing w:before="45"/>
              <w:ind w:left="4"/>
              <w:jc w:val="center"/>
              <w:rPr>
                <w:sz w:val="18"/>
              </w:rPr>
            </w:pPr>
            <w:r>
              <w:rPr>
                <w:sz w:val="18"/>
              </w:rPr>
              <w:t>4</w:t>
            </w:r>
          </w:p>
        </w:tc>
        <w:tc>
          <w:tcPr>
            <w:tcW w:w="1985" w:type="dxa"/>
          </w:tcPr>
          <w:p w:rsidR="007C5447" w:rsidRDefault="00F6308C">
            <w:pPr>
              <w:pStyle w:val="TableParagraph"/>
              <w:spacing w:before="45"/>
              <w:ind w:left="108"/>
              <w:jc w:val="left"/>
              <w:rPr>
                <w:sz w:val="18"/>
              </w:rPr>
            </w:pPr>
            <w:r>
              <w:rPr>
                <w:sz w:val="18"/>
              </w:rPr>
              <w:t>North Chennai TPS</w:t>
            </w:r>
          </w:p>
        </w:tc>
        <w:tc>
          <w:tcPr>
            <w:tcW w:w="1274" w:type="dxa"/>
          </w:tcPr>
          <w:p w:rsidR="007C5447" w:rsidRDefault="00F6308C">
            <w:pPr>
              <w:pStyle w:val="TableParagraph"/>
              <w:spacing w:before="45"/>
              <w:ind w:right="94"/>
              <w:rPr>
                <w:sz w:val="18"/>
              </w:rPr>
            </w:pPr>
            <w:r>
              <w:rPr>
                <w:sz w:val="18"/>
              </w:rPr>
              <w:t>118.41</w:t>
            </w:r>
          </w:p>
        </w:tc>
        <w:tc>
          <w:tcPr>
            <w:tcW w:w="994" w:type="dxa"/>
          </w:tcPr>
          <w:p w:rsidR="007C5447" w:rsidRDefault="00F6308C">
            <w:pPr>
              <w:pStyle w:val="TableParagraph"/>
              <w:spacing w:before="45"/>
              <w:ind w:right="99"/>
              <w:rPr>
                <w:sz w:val="18"/>
              </w:rPr>
            </w:pPr>
            <w:r>
              <w:rPr>
                <w:sz w:val="18"/>
              </w:rPr>
              <w:t>267.49</w:t>
            </w:r>
          </w:p>
        </w:tc>
        <w:tc>
          <w:tcPr>
            <w:tcW w:w="991" w:type="dxa"/>
          </w:tcPr>
          <w:p w:rsidR="007C5447" w:rsidRDefault="00F6308C">
            <w:pPr>
              <w:pStyle w:val="TableParagraph"/>
              <w:spacing w:before="45"/>
              <w:ind w:right="94"/>
              <w:rPr>
                <w:sz w:val="18"/>
              </w:rPr>
            </w:pPr>
            <w:r>
              <w:rPr>
                <w:w w:val="99"/>
                <w:sz w:val="18"/>
              </w:rPr>
              <w:t>-</w:t>
            </w:r>
          </w:p>
        </w:tc>
        <w:tc>
          <w:tcPr>
            <w:tcW w:w="1135" w:type="dxa"/>
          </w:tcPr>
          <w:p w:rsidR="007C5447" w:rsidRDefault="00F6308C">
            <w:pPr>
              <w:pStyle w:val="TableParagraph"/>
              <w:spacing w:before="45"/>
              <w:ind w:right="96"/>
              <w:rPr>
                <w:sz w:val="18"/>
              </w:rPr>
            </w:pPr>
            <w:r>
              <w:rPr>
                <w:sz w:val="18"/>
              </w:rPr>
              <w:t>80.34</w:t>
            </w:r>
          </w:p>
        </w:tc>
        <w:tc>
          <w:tcPr>
            <w:tcW w:w="1133" w:type="dxa"/>
          </w:tcPr>
          <w:p w:rsidR="007C5447" w:rsidRDefault="00F6308C">
            <w:pPr>
              <w:pStyle w:val="TableParagraph"/>
              <w:spacing w:before="45"/>
              <w:ind w:right="96"/>
              <w:rPr>
                <w:sz w:val="18"/>
              </w:rPr>
            </w:pPr>
            <w:r>
              <w:rPr>
                <w:sz w:val="18"/>
              </w:rPr>
              <w:t>256.80</w:t>
            </w:r>
          </w:p>
        </w:tc>
        <w:tc>
          <w:tcPr>
            <w:tcW w:w="1136" w:type="dxa"/>
          </w:tcPr>
          <w:p w:rsidR="007C5447" w:rsidRDefault="00F6308C">
            <w:pPr>
              <w:pStyle w:val="TableParagraph"/>
              <w:spacing w:before="45"/>
              <w:ind w:right="97"/>
              <w:rPr>
                <w:sz w:val="18"/>
              </w:rPr>
            </w:pPr>
            <w:r>
              <w:rPr>
                <w:w w:val="99"/>
                <w:sz w:val="18"/>
              </w:rPr>
              <w:t>-</w:t>
            </w:r>
          </w:p>
        </w:tc>
        <w:tc>
          <w:tcPr>
            <w:tcW w:w="1275" w:type="dxa"/>
          </w:tcPr>
          <w:p w:rsidR="007C5447" w:rsidRDefault="00F6308C">
            <w:pPr>
              <w:pStyle w:val="TableParagraph"/>
              <w:spacing w:before="45"/>
              <w:ind w:right="93"/>
              <w:rPr>
                <w:sz w:val="18"/>
              </w:rPr>
            </w:pPr>
            <w:r>
              <w:rPr>
                <w:w w:val="99"/>
                <w:sz w:val="18"/>
              </w:rPr>
              <w:t>-</w:t>
            </w:r>
          </w:p>
        </w:tc>
        <w:tc>
          <w:tcPr>
            <w:tcW w:w="1136" w:type="dxa"/>
          </w:tcPr>
          <w:p w:rsidR="007C5447" w:rsidRDefault="00F6308C">
            <w:pPr>
              <w:pStyle w:val="TableParagraph"/>
              <w:spacing w:before="45"/>
              <w:ind w:right="98"/>
              <w:rPr>
                <w:sz w:val="18"/>
              </w:rPr>
            </w:pPr>
            <w:r>
              <w:rPr>
                <w:sz w:val="18"/>
              </w:rPr>
              <w:t>26.58</w:t>
            </w: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45"/>
              <w:ind w:right="101"/>
              <w:rPr>
                <w:sz w:val="18"/>
              </w:rPr>
            </w:pPr>
            <w:r>
              <w:rPr>
                <w:sz w:val="18"/>
              </w:rPr>
              <w:t>4.52</w:t>
            </w:r>
          </w:p>
        </w:tc>
        <w:tc>
          <w:tcPr>
            <w:tcW w:w="1133" w:type="dxa"/>
          </w:tcPr>
          <w:p w:rsidR="007C5447" w:rsidRDefault="00F6308C">
            <w:pPr>
              <w:pStyle w:val="TableParagraph"/>
              <w:spacing w:before="45"/>
              <w:ind w:right="99"/>
              <w:rPr>
                <w:sz w:val="18"/>
              </w:rPr>
            </w:pPr>
            <w:r>
              <w:rPr>
                <w:sz w:val="18"/>
              </w:rPr>
              <w:t>700.97</w:t>
            </w:r>
          </w:p>
        </w:tc>
      </w:tr>
      <w:tr w:rsidR="007C5447">
        <w:trPr>
          <w:trHeight w:val="299"/>
        </w:trPr>
        <w:tc>
          <w:tcPr>
            <w:tcW w:w="710" w:type="dxa"/>
          </w:tcPr>
          <w:p w:rsidR="007C5447" w:rsidRDefault="00F6308C">
            <w:pPr>
              <w:pStyle w:val="TableParagraph"/>
              <w:spacing w:before="47"/>
              <w:ind w:left="4"/>
              <w:jc w:val="center"/>
              <w:rPr>
                <w:sz w:val="18"/>
              </w:rPr>
            </w:pPr>
            <w:r>
              <w:rPr>
                <w:sz w:val="18"/>
              </w:rPr>
              <w:t>5</w:t>
            </w:r>
          </w:p>
        </w:tc>
        <w:tc>
          <w:tcPr>
            <w:tcW w:w="1985" w:type="dxa"/>
          </w:tcPr>
          <w:p w:rsidR="007C5447" w:rsidRDefault="00F6308C">
            <w:pPr>
              <w:pStyle w:val="TableParagraph"/>
              <w:spacing w:before="47"/>
              <w:ind w:left="108"/>
              <w:jc w:val="left"/>
              <w:rPr>
                <w:sz w:val="18"/>
              </w:rPr>
            </w:pPr>
            <w:r>
              <w:rPr>
                <w:sz w:val="18"/>
              </w:rPr>
              <w:t>Mettur TPS Stage III</w:t>
            </w:r>
          </w:p>
        </w:tc>
        <w:tc>
          <w:tcPr>
            <w:tcW w:w="1274" w:type="dxa"/>
          </w:tcPr>
          <w:p w:rsidR="007C5447" w:rsidRDefault="00F6308C">
            <w:pPr>
              <w:pStyle w:val="TableParagraph"/>
              <w:spacing w:before="47"/>
              <w:ind w:right="94"/>
              <w:rPr>
                <w:sz w:val="18"/>
              </w:rPr>
            </w:pPr>
            <w:r>
              <w:rPr>
                <w:sz w:val="18"/>
              </w:rPr>
              <w:t>160.97</w:t>
            </w:r>
          </w:p>
        </w:tc>
        <w:tc>
          <w:tcPr>
            <w:tcW w:w="994" w:type="dxa"/>
          </w:tcPr>
          <w:p w:rsidR="007C5447" w:rsidRDefault="00F6308C">
            <w:pPr>
              <w:pStyle w:val="TableParagraph"/>
              <w:spacing w:before="47"/>
              <w:ind w:right="99"/>
              <w:rPr>
                <w:sz w:val="18"/>
              </w:rPr>
            </w:pPr>
            <w:r>
              <w:rPr>
                <w:sz w:val="18"/>
              </w:rPr>
              <w:t>210.87</w:t>
            </w:r>
          </w:p>
        </w:tc>
        <w:tc>
          <w:tcPr>
            <w:tcW w:w="991" w:type="dxa"/>
          </w:tcPr>
          <w:p w:rsidR="007C5447" w:rsidRDefault="00F6308C">
            <w:pPr>
              <w:pStyle w:val="TableParagraph"/>
              <w:spacing w:before="47"/>
              <w:ind w:right="94"/>
              <w:rPr>
                <w:sz w:val="18"/>
              </w:rPr>
            </w:pPr>
            <w:r>
              <w:rPr>
                <w:w w:val="99"/>
                <w:sz w:val="18"/>
              </w:rPr>
              <w:t>-</w:t>
            </w:r>
          </w:p>
        </w:tc>
        <w:tc>
          <w:tcPr>
            <w:tcW w:w="1135" w:type="dxa"/>
          </w:tcPr>
          <w:p w:rsidR="007C5447" w:rsidRDefault="00F6308C">
            <w:pPr>
              <w:pStyle w:val="TableParagraph"/>
              <w:spacing w:before="47"/>
              <w:ind w:right="96"/>
              <w:rPr>
                <w:sz w:val="18"/>
              </w:rPr>
            </w:pPr>
            <w:r>
              <w:rPr>
                <w:sz w:val="18"/>
              </w:rPr>
              <w:t>83.03</w:t>
            </w:r>
          </w:p>
        </w:tc>
        <w:tc>
          <w:tcPr>
            <w:tcW w:w="1133" w:type="dxa"/>
          </w:tcPr>
          <w:p w:rsidR="007C5447" w:rsidRDefault="00F6308C">
            <w:pPr>
              <w:pStyle w:val="TableParagraph"/>
              <w:spacing w:before="47"/>
              <w:ind w:right="93"/>
              <w:rPr>
                <w:sz w:val="18"/>
              </w:rPr>
            </w:pPr>
            <w:r>
              <w:rPr>
                <w:sz w:val="18"/>
              </w:rPr>
              <w:t>47.67</w:t>
            </w:r>
          </w:p>
        </w:tc>
        <w:tc>
          <w:tcPr>
            <w:tcW w:w="1136" w:type="dxa"/>
          </w:tcPr>
          <w:p w:rsidR="007C5447" w:rsidRDefault="00F6308C">
            <w:pPr>
              <w:pStyle w:val="TableParagraph"/>
              <w:spacing w:before="47"/>
              <w:ind w:right="97"/>
              <w:rPr>
                <w:sz w:val="18"/>
              </w:rPr>
            </w:pPr>
            <w:r>
              <w:rPr>
                <w:w w:val="99"/>
                <w:sz w:val="18"/>
              </w:rPr>
              <w:t>-</w:t>
            </w:r>
          </w:p>
        </w:tc>
        <w:tc>
          <w:tcPr>
            <w:tcW w:w="1275" w:type="dxa"/>
          </w:tcPr>
          <w:p w:rsidR="007C5447" w:rsidRDefault="00F6308C">
            <w:pPr>
              <w:pStyle w:val="TableParagraph"/>
              <w:spacing w:before="47"/>
              <w:ind w:right="93"/>
              <w:rPr>
                <w:sz w:val="18"/>
              </w:rPr>
            </w:pPr>
            <w:r>
              <w:rPr>
                <w:w w:val="99"/>
                <w:sz w:val="18"/>
              </w:rPr>
              <w:t>-</w:t>
            </w:r>
          </w:p>
        </w:tc>
        <w:tc>
          <w:tcPr>
            <w:tcW w:w="1136" w:type="dxa"/>
          </w:tcPr>
          <w:p w:rsidR="007C5447" w:rsidRDefault="00F6308C">
            <w:pPr>
              <w:pStyle w:val="TableParagraph"/>
              <w:spacing w:before="47"/>
              <w:ind w:right="98"/>
              <w:rPr>
                <w:sz w:val="18"/>
              </w:rPr>
            </w:pPr>
            <w:r>
              <w:rPr>
                <w:sz w:val="18"/>
              </w:rPr>
              <w:t>31.49</w:t>
            </w: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47"/>
              <w:ind w:right="101"/>
              <w:rPr>
                <w:sz w:val="18"/>
              </w:rPr>
            </w:pPr>
            <w:r>
              <w:rPr>
                <w:sz w:val="18"/>
              </w:rPr>
              <w:t>2.01</w:t>
            </w:r>
          </w:p>
        </w:tc>
        <w:tc>
          <w:tcPr>
            <w:tcW w:w="1133" w:type="dxa"/>
          </w:tcPr>
          <w:p w:rsidR="007C5447" w:rsidRDefault="00F6308C">
            <w:pPr>
              <w:pStyle w:val="TableParagraph"/>
              <w:spacing w:before="47"/>
              <w:ind w:right="99"/>
              <w:rPr>
                <w:sz w:val="18"/>
              </w:rPr>
            </w:pPr>
            <w:r>
              <w:rPr>
                <w:sz w:val="18"/>
              </w:rPr>
              <w:t>473.05</w:t>
            </w:r>
          </w:p>
        </w:tc>
      </w:tr>
      <w:tr w:rsidR="007C5447">
        <w:trPr>
          <w:trHeight w:val="299"/>
        </w:trPr>
        <w:tc>
          <w:tcPr>
            <w:tcW w:w="710" w:type="dxa"/>
          </w:tcPr>
          <w:p w:rsidR="007C5447" w:rsidRDefault="00F6308C">
            <w:pPr>
              <w:pStyle w:val="TableParagraph"/>
              <w:spacing w:before="47"/>
              <w:ind w:left="4"/>
              <w:jc w:val="center"/>
              <w:rPr>
                <w:sz w:val="18"/>
              </w:rPr>
            </w:pPr>
            <w:r>
              <w:rPr>
                <w:sz w:val="18"/>
              </w:rPr>
              <w:t>6</w:t>
            </w:r>
          </w:p>
        </w:tc>
        <w:tc>
          <w:tcPr>
            <w:tcW w:w="1985" w:type="dxa"/>
          </w:tcPr>
          <w:p w:rsidR="007C5447" w:rsidRDefault="00F6308C">
            <w:pPr>
              <w:pStyle w:val="TableParagraph"/>
              <w:spacing w:before="47"/>
              <w:ind w:left="108"/>
              <w:jc w:val="left"/>
              <w:rPr>
                <w:sz w:val="18"/>
              </w:rPr>
            </w:pPr>
            <w:r>
              <w:rPr>
                <w:sz w:val="18"/>
              </w:rPr>
              <w:t>North Chennai TPS II</w:t>
            </w:r>
          </w:p>
        </w:tc>
        <w:tc>
          <w:tcPr>
            <w:tcW w:w="1274" w:type="dxa"/>
          </w:tcPr>
          <w:p w:rsidR="007C5447" w:rsidRDefault="00F6308C">
            <w:pPr>
              <w:pStyle w:val="TableParagraph"/>
              <w:spacing w:before="47"/>
              <w:ind w:right="94"/>
              <w:rPr>
                <w:sz w:val="18"/>
              </w:rPr>
            </w:pPr>
            <w:r>
              <w:rPr>
                <w:sz w:val="18"/>
              </w:rPr>
              <w:t>289.71</w:t>
            </w:r>
          </w:p>
        </w:tc>
        <w:tc>
          <w:tcPr>
            <w:tcW w:w="994" w:type="dxa"/>
          </w:tcPr>
          <w:p w:rsidR="007C5447" w:rsidRDefault="00F6308C">
            <w:pPr>
              <w:pStyle w:val="TableParagraph"/>
              <w:spacing w:before="47"/>
              <w:ind w:right="99"/>
              <w:rPr>
                <w:sz w:val="18"/>
              </w:rPr>
            </w:pPr>
            <w:r>
              <w:rPr>
                <w:sz w:val="18"/>
              </w:rPr>
              <w:t>465.94</w:t>
            </w:r>
          </w:p>
        </w:tc>
        <w:tc>
          <w:tcPr>
            <w:tcW w:w="991" w:type="dxa"/>
          </w:tcPr>
          <w:p w:rsidR="007C5447" w:rsidRDefault="00F6308C">
            <w:pPr>
              <w:pStyle w:val="TableParagraph"/>
              <w:spacing w:before="47"/>
              <w:ind w:right="94"/>
              <w:rPr>
                <w:sz w:val="18"/>
              </w:rPr>
            </w:pPr>
            <w:r>
              <w:rPr>
                <w:w w:val="99"/>
                <w:sz w:val="18"/>
              </w:rPr>
              <w:t>-</w:t>
            </w:r>
          </w:p>
        </w:tc>
        <w:tc>
          <w:tcPr>
            <w:tcW w:w="1135" w:type="dxa"/>
          </w:tcPr>
          <w:p w:rsidR="007C5447" w:rsidRDefault="00F6308C">
            <w:pPr>
              <w:pStyle w:val="TableParagraph"/>
              <w:spacing w:before="47"/>
              <w:ind w:right="96"/>
              <w:rPr>
                <w:sz w:val="18"/>
              </w:rPr>
            </w:pPr>
            <w:r>
              <w:rPr>
                <w:sz w:val="18"/>
              </w:rPr>
              <w:t>99.76</w:t>
            </w:r>
          </w:p>
        </w:tc>
        <w:tc>
          <w:tcPr>
            <w:tcW w:w="1133" w:type="dxa"/>
          </w:tcPr>
          <w:p w:rsidR="007C5447" w:rsidRDefault="00F6308C">
            <w:pPr>
              <w:pStyle w:val="TableParagraph"/>
              <w:spacing w:before="47"/>
              <w:ind w:right="93"/>
              <w:rPr>
                <w:sz w:val="18"/>
              </w:rPr>
            </w:pPr>
            <w:r>
              <w:rPr>
                <w:sz w:val="18"/>
              </w:rPr>
              <w:t>80.12</w:t>
            </w:r>
          </w:p>
        </w:tc>
        <w:tc>
          <w:tcPr>
            <w:tcW w:w="1136" w:type="dxa"/>
          </w:tcPr>
          <w:p w:rsidR="007C5447" w:rsidRDefault="00F6308C">
            <w:pPr>
              <w:pStyle w:val="TableParagraph"/>
              <w:spacing w:before="47"/>
              <w:ind w:right="97"/>
              <w:rPr>
                <w:sz w:val="18"/>
              </w:rPr>
            </w:pPr>
            <w:r>
              <w:rPr>
                <w:w w:val="99"/>
                <w:sz w:val="18"/>
              </w:rPr>
              <w:t>-</w:t>
            </w:r>
          </w:p>
        </w:tc>
        <w:tc>
          <w:tcPr>
            <w:tcW w:w="1275" w:type="dxa"/>
          </w:tcPr>
          <w:p w:rsidR="007C5447" w:rsidRDefault="00F6308C">
            <w:pPr>
              <w:pStyle w:val="TableParagraph"/>
              <w:spacing w:before="47"/>
              <w:ind w:right="93"/>
              <w:rPr>
                <w:sz w:val="18"/>
              </w:rPr>
            </w:pPr>
            <w:r>
              <w:rPr>
                <w:w w:val="99"/>
                <w:sz w:val="18"/>
              </w:rPr>
              <w:t>-</w:t>
            </w:r>
          </w:p>
        </w:tc>
        <w:tc>
          <w:tcPr>
            <w:tcW w:w="1136" w:type="dxa"/>
          </w:tcPr>
          <w:p w:rsidR="007C5447" w:rsidRDefault="00F6308C">
            <w:pPr>
              <w:pStyle w:val="TableParagraph"/>
              <w:spacing w:before="47"/>
              <w:ind w:right="100"/>
              <w:rPr>
                <w:sz w:val="18"/>
              </w:rPr>
            </w:pPr>
            <w:r>
              <w:rPr>
                <w:sz w:val="18"/>
              </w:rPr>
              <w:t>8.93</w:t>
            </w: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47"/>
              <w:ind w:right="101"/>
              <w:rPr>
                <w:sz w:val="18"/>
              </w:rPr>
            </w:pPr>
            <w:r>
              <w:rPr>
                <w:sz w:val="18"/>
              </w:rPr>
              <w:t>1.69</w:t>
            </w:r>
          </w:p>
        </w:tc>
        <w:tc>
          <w:tcPr>
            <w:tcW w:w="1133" w:type="dxa"/>
          </w:tcPr>
          <w:p w:rsidR="007C5447" w:rsidRDefault="00F6308C">
            <w:pPr>
              <w:pStyle w:val="TableParagraph"/>
              <w:spacing w:before="47"/>
              <w:ind w:right="99"/>
              <w:rPr>
                <w:sz w:val="18"/>
              </w:rPr>
            </w:pPr>
            <w:r>
              <w:rPr>
                <w:sz w:val="18"/>
              </w:rPr>
              <w:t>928.29</w:t>
            </w:r>
          </w:p>
        </w:tc>
      </w:tr>
      <w:tr w:rsidR="007C5447">
        <w:trPr>
          <w:trHeight w:val="302"/>
        </w:trPr>
        <w:tc>
          <w:tcPr>
            <w:tcW w:w="710" w:type="dxa"/>
          </w:tcPr>
          <w:p w:rsidR="007C5447" w:rsidRDefault="00F6308C">
            <w:pPr>
              <w:pStyle w:val="TableParagraph"/>
              <w:spacing w:before="47"/>
              <w:ind w:left="4"/>
              <w:jc w:val="center"/>
              <w:rPr>
                <w:sz w:val="18"/>
              </w:rPr>
            </w:pPr>
            <w:r>
              <w:rPr>
                <w:sz w:val="18"/>
              </w:rPr>
              <w:t>7</w:t>
            </w:r>
          </w:p>
        </w:tc>
        <w:tc>
          <w:tcPr>
            <w:tcW w:w="1985" w:type="dxa"/>
          </w:tcPr>
          <w:p w:rsidR="007C5447" w:rsidRDefault="00F6308C">
            <w:pPr>
              <w:pStyle w:val="TableParagraph"/>
              <w:spacing w:before="47"/>
              <w:ind w:left="108"/>
              <w:jc w:val="left"/>
              <w:rPr>
                <w:sz w:val="18"/>
              </w:rPr>
            </w:pPr>
            <w:r>
              <w:rPr>
                <w:sz w:val="18"/>
              </w:rPr>
              <w:t>Tirumakottai GTPS</w:t>
            </w:r>
          </w:p>
        </w:tc>
        <w:tc>
          <w:tcPr>
            <w:tcW w:w="1274" w:type="dxa"/>
          </w:tcPr>
          <w:p w:rsidR="007C5447" w:rsidRDefault="00F6308C">
            <w:pPr>
              <w:pStyle w:val="TableParagraph"/>
              <w:spacing w:before="47"/>
              <w:ind w:right="91"/>
              <w:rPr>
                <w:sz w:val="18"/>
              </w:rPr>
            </w:pPr>
            <w:r>
              <w:rPr>
                <w:sz w:val="18"/>
              </w:rPr>
              <w:t>40.80</w:t>
            </w:r>
          </w:p>
        </w:tc>
        <w:tc>
          <w:tcPr>
            <w:tcW w:w="994" w:type="dxa"/>
          </w:tcPr>
          <w:p w:rsidR="007C5447" w:rsidRDefault="00F6308C">
            <w:pPr>
              <w:pStyle w:val="TableParagraph"/>
              <w:spacing w:before="47"/>
              <w:ind w:right="97"/>
              <w:rPr>
                <w:sz w:val="18"/>
              </w:rPr>
            </w:pPr>
            <w:r>
              <w:rPr>
                <w:sz w:val="18"/>
              </w:rPr>
              <w:t>59.62</w:t>
            </w:r>
          </w:p>
        </w:tc>
        <w:tc>
          <w:tcPr>
            <w:tcW w:w="991" w:type="dxa"/>
          </w:tcPr>
          <w:p w:rsidR="007C5447" w:rsidRDefault="00F6308C">
            <w:pPr>
              <w:pStyle w:val="TableParagraph"/>
              <w:spacing w:before="47"/>
              <w:ind w:right="94"/>
              <w:rPr>
                <w:sz w:val="18"/>
              </w:rPr>
            </w:pPr>
            <w:r>
              <w:rPr>
                <w:w w:val="99"/>
                <w:sz w:val="18"/>
              </w:rPr>
              <w:t>-</w:t>
            </w:r>
          </w:p>
        </w:tc>
        <w:tc>
          <w:tcPr>
            <w:tcW w:w="1135" w:type="dxa"/>
          </w:tcPr>
          <w:p w:rsidR="007C5447" w:rsidRDefault="00F6308C">
            <w:pPr>
              <w:pStyle w:val="TableParagraph"/>
              <w:spacing w:before="47"/>
              <w:ind w:right="96"/>
              <w:rPr>
                <w:sz w:val="18"/>
              </w:rPr>
            </w:pPr>
            <w:r>
              <w:rPr>
                <w:sz w:val="18"/>
              </w:rPr>
              <w:t>14.27</w:t>
            </w:r>
          </w:p>
        </w:tc>
        <w:tc>
          <w:tcPr>
            <w:tcW w:w="1133" w:type="dxa"/>
          </w:tcPr>
          <w:p w:rsidR="007C5447" w:rsidRDefault="00F6308C">
            <w:pPr>
              <w:pStyle w:val="TableParagraph"/>
              <w:spacing w:before="47"/>
              <w:ind w:right="93"/>
              <w:rPr>
                <w:sz w:val="18"/>
              </w:rPr>
            </w:pPr>
            <w:r>
              <w:rPr>
                <w:sz w:val="18"/>
              </w:rPr>
              <w:t>14.43</w:t>
            </w:r>
          </w:p>
        </w:tc>
        <w:tc>
          <w:tcPr>
            <w:tcW w:w="1136" w:type="dxa"/>
          </w:tcPr>
          <w:p w:rsidR="007C5447" w:rsidRDefault="00F6308C">
            <w:pPr>
              <w:pStyle w:val="TableParagraph"/>
              <w:spacing w:before="47"/>
              <w:ind w:right="97"/>
              <w:rPr>
                <w:sz w:val="18"/>
              </w:rPr>
            </w:pPr>
            <w:r>
              <w:rPr>
                <w:w w:val="99"/>
                <w:sz w:val="18"/>
              </w:rPr>
              <w:t>-</w:t>
            </w:r>
          </w:p>
        </w:tc>
        <w:tc>
          <w:tcPr>
            <w:tcW w:w="1275" w:type="dxa"/>
          </w:tcPr>
          <w:p w:rsidR="007C5447" w:rsidRDefault="00F6308C">
            <w:pPr>
              <w:pStyle w:val="TableParagraph"/>
              <w:spacing w:before="47"/>
              <w:ind w:right="93"/>
              <w:rPr>
                <w:sz w:val="18"/>
              </w:rPr>
            </w:pPr>
            <w:r>
              <w:rPr>
                <w:w w:val="99"/>
                <w:sz w:val="18"/>
              </w:rPr>
              <w:t>-</w:t>
            </w:r>
          </w:p>
        </w:tc>
        <w:tc>
          <w:tcPr>
            <w:tcW w:w="1136" w:type="dxa"/>
          </w:tcPr>
          <w:p w:rsidR="007C5447" w:rsidRDefault="00F6308C">
            <w:pPr>
              <w:pStyle w:val="TableParagraph"/>
              <w:spacing w:before="47"/>
              <w:ind w:right="100"/>
              <w:rPr>
                <w:sz w:val="18"/>
              </w:rPr>
            </w:pPr>
            <w:r>
              <w:rPr>
                <w:sz w:val="18"/>
              </w:rPr>
              <w:t>0.13</w:t>
            </w: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47"/>
              <w:ind w:right="101"/>
              <w:rPr>
                <w:sz w:val="18"/>
              </w:rPr>
            </w:pPr>
            <w:r>
              <w:rPr>
                <w:sz w:val="18"/>
              </w:rPr>
              <w:t>0.37</w:t>
            </w:r>
          </w:p>
        </w:tc>
        <w:tc>
          <w:tcPr>
            <w:tcW w:w="1133" w:type="dxa"/>
          </w:tcPr>
          <w:p w:rsidR="007C5447" w:rsidRDefault="00F6308C">
            <w:pPr>
              <w:pStyle w:val="TableParagraph"/>
              <w:spacing w:before="47"/>
              <w:ind w:right="99"/>
              <w:rPr>
                <w:sz w:val="18"/>
              </w:rPr>
            </w:pPr>
            <w:r>
              <w:rPr>
                <w:sz w:val="18"/>
              </w:rPr>
              <w:t>129.36</w:t>
            </w:r>
          </w:p>
        </w:tc>
      </w:tr>
      <w:tr w:rsidR="007C5447">
        <w:trPr>
          <w:trHeight w:val="299"/>
        </w:trPr>
        <w:tc>
          <w:tcPr>
            <w:tcW w:w="710" w:type="dxa"/>
          </w:tcPr>
          <w:p w:rsidR="007C5447" w:rsidRDefault="00F6308C">
            <w:pPr>
              <w:pStyle w:val="TableParagraph"/>
              <w:spacing w:before="45"/>
              <w:ind w:left="4"/>
              <w:jc w:val="center"/>
              <w:rPr>
                <w:sz w:val="18"/>
              </w:rPr>
            </w:pPr>
            <w:r>
              <w:rPr>
                <w:sz w:val="18"/>
              </w:rPr>
              <w:t>8</w:t>
            </w:r>
          </w:p>
        </w:tc>
        <w:tc>
          <w:tcPr>
            <w:tcW w:w="1985" w:type="dxa"/>
          </w:tcPr>
          <w:p w:rsidR="007C5447" w:rsidRDefault="00F6308C">
            <w:pPr>
              <w:pStyle w:val="TableParagraph"/>
              <w:spacing w:before="45"/>
              <w:ind w:left="108"/>
              <w:jc w:val="left"/>
              <w:rPr>
                <w:sz w:val="18"/>
              </w:rPr>
            </w:pPr>
            <w:r>
              <w:rPr>
                <w:sz w:val="18"/>
              </w:rPr>
              <w:t>Kuttalam GTPS</w:t>
            </w:r>
          </w:p>
        </w:tc>
        <w:tc>
          <w:tcPr>
            <w:tcW w:w="1274" w:type="dxa"/>
          </w:tcPr>
          <w:p w:rsidR="007C5447" w:rsidRDefault="00F6308C">
            <w:pPr>
              <w:pStyle w:val="TableParagraph"/>
              <w:spacing w:before="45"/>
              <w:ind w:right="91"/>
              <w:rPr>
                <w:sz w:val="18"/>
              </w:rPr>
            </w:pPr>
            <w:r>
              <w:rPr>
                <w:sz w:val="18"/>
              </w:rPr>
              <w:t>34.38</w:t>
            </w:r>
          </w:p>
        </w:tc>
        <w:tc>
          <w:tcPr>
            <w:tcW w:w="994" w:type="dxa"/>
          </w:tcPr>
          <w:p w:rsidR="007C5447" w:rsidRDefault="00F6308C">
            <w:pPr>
              <w:pStyle w:val="TableParagraph"/>
              <w:spacing w:before="45"/>
              <w:ind w:right="96"/>
              <w:rPr>
                <w:sz w:val="18"/>
              </w:rPr>
            </w:pPr>
            <w:r>
              <w:rPr>
                <w:sz w:val="18"/>
              </w:rPr>
              <w:t>47.04</w:t>
            </w:r>
          </w:p>
        </w:tc>
        <w:tc>
          <w:tcPr>
            <w:tcW w:w="991" w:type="dxa"/>
          </w:tcPr>
          <w:p w:rsidR="007C5447" w:rsidRDefault="00F6308C">
            <w:pPr>
              <w:pStyle w:val="TableParagraph"/>
              <w:spacing w:before="45"/>
              <w:ind w:right="94"/>
              <w:rPr>
                <w:sz w:val="18"/>
              </w:rPr>
            </w:pPr>
            <w:r>
              <w:rPr>
                <w:w w:val="99"/>
                <w:sz w:val="18"/>
              </w:rPr>
              <w:t>-</w:t>
            </w:r>
          </w:p>
        </w:tc>
        <w:tc>
          <w:tcPr>
            <w:tcW w:w="1135" w:type="dxa"/>
          </w:tcPr>
          <w:p w:rsidR="007C5447" w:rsidRDefault="00F6308C">
            <w:pPr>
              <w:pStyle w:val="TableParagraph"/>
              <w:spacing w:before="45"/>
              <w:ind w:right="96"/>
              <w:rPr>
                <w:sz w:val="18"/>
              </w:rPr>
            </w:pPr>
            <w:r>
              <w:rPr>
                <w:sz w:val="18"/>
              </w:rPr>
              <w:t>12.92</w:t>
            </w:r>
          </w:p>
        </w:tc>
        <w:tc>
          <w:tcPr>
            <w:tcW w:w="1133" w:type="dxa"/>
          </w:tcPr>
          <w:p w:rsidR="007C5447" w:rsidRDefault="00F6308C">
            <w:pPr>
              <w:pStyle w:val="TableParagraph"/>
              <w:spacing w:before="45"/>
              <w:ind w:right="93"/>
              <w:rPr>
                <w:sz w:val="18"/>
              </w:rPr>
            </w:pPr>
            <w:r>
              <w:rPr>
                <w:sz w:val="18"/>
              </w:rPr>
              <w:t>10.90</w:t>
            </w:r>
          </w:p>
        </w:tc>
        <w:tc>
          <w:tcPr>
            <w:tcW w:w="1136" w:type="dxa"/>
          </w:tcPr>
          <w:p w:rsidR="007C5447" w:rsidRDefault="00F6308C">
            <w:pPr>
              <w:pStyle w:val="TableParagraph"/>
              <w:spacing w:before="45"/>
              <w:ind w:right="97"/>
              <w:rPr>
                <w:sz w:val="18"/>
              </w:rPr>
            </w:pPr>
            <w:r>
              <w:rPr>
                <w:w w:val="99"/>
                <w:sz w:val="18"/>
              </w:rPr>
              <w:t>-</w:t>
            </w:r>
          </w:p>
        </w:tc>
        <w:tc>
          <w:tcPr>
            <w:tcW w:w="1275" w:type="dxa"/>
          </w:tcPr>
          <w:p w:rsidR="007C5447" w:rsidRDefault="00F6308C">
            <w:pPr>
              <w:pStyle w:val="TableParagraph"/>
              <w:spacing w:before="45"/>
              <w:ind w:right="93"/>
              <w:rPr>
                <w:sz w:val="18"/>
              </w:rPr>
            </w:pPr>
            <w:r>
              <w:rPr>
                <w:w w:val="99"/>
                <w:sz w:val="18"/>
              </w:rPr>
              <w:t>-</w:t>
            </w:r>
          </w:p>
        </w:tc>
        <w:tc>
          <w:tcPr>
            <w:tcW w:w="1136" w:type="dxa"/>
          </w:tcPr>
          <w:p w:rsidR="007C5447" w:rsidRDefault="00F6308C">
            <w:pPr>
              <w:pStyle w:val="TableParagraph"/>
              <w:spacing w:before="45"/>
              <w:ind w:right="100"/>
              <w:rPr>
                <w:sz w:val="18"/>
              </w:rPr>
            </w:pPr>
            <w:r>
              <w:rPr>
                <w:sz w:val="18"/>
              </w:rPr>
              <w:t>0.11</w:t>
            </w: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45"/>
              <w:ind w:right="101"/>
              <w:rPr>
                <w:sz w:val="18"/>
              </w:rPr>
            </w:pPr>
            <w:r>
              <w:rPr>
                <w:sz w:val="18"/>
              </w:rPr>
              <w:t>0.35</w:t>
            </w:r>
          </w:p>
        </w:tc>
        <w:tc>
          <w:tcPr>
            <w:tcW w:w="1133" w:type="dxa"/>
          </w:tcPr>
          <w:p w:rsidR="007C5447" w:rsidRDefault="00F6308C">
            <w:pPr>
              <w:pStyle w:val="TableParagraph"/>
              <w:spacing w:before="45"/>
              <w:ind w:right="99"/>
              <w:rPr>
                <w:sz w:val="18"/>
              </w:rPr>
            </w:pPr>
            <w:r>
              <w:rPr>
                <w:sz w:val="18"/>
              </w:rPr>
              <w:t>105.48</w:t>
            </w:r>
          </w:p>
        </w:tc>
      </w:tr>
      <w:tr w:rsidR="007C5447">
        <w:trPr>
          <w:trHeight w:val="443"/>
        </w:trPr>
        <w:tc>
          <w:tcPr>
            <w:tcW w:w="710" w:type="dxa"/>
          </w:tcPr>
          <w:p w:rsidR="007C5447" w:rsidRDefault="00F6308C">
            <w:pPr>
              <w:pStyle w:val="TableParagraph"/>
              <w:spacing w:before="117"/>
              <w:ind w:left="4"/>
              <w:jc w:val="center"/>
              <w:rPr>
                <w:sz w:val="18"/>
              </w:rPr>
            </w:pPr>
            <w:r>
              <w:rPr>
                <w:sz w:val="18"/>
              </w:rPr>
              <w:t>9</w:t>
            </w:r>
          </w:p>
        </w:tc>
        <w:tc>
          <w:tcPr>
            <w:tcW w:w="1985" w:type="dxa"/>
          </w:tcPr>
          <w:p w:rsidR="007C5447" w:rsidRDefault="00F6308C">
            <w:pPr>
              <w:pStyle w:val="TableParagraph"/>
              <w:spacing w:before="17" w:line="206" w:lineRule="exact"/>
              <w:ind w:left="108" w:right="416"/>
              <w:jc w:val="left"/>
              <w:rPr>
                <w:sz w:val="18"/>
              </w:rPr>
            </w:pPr>
            <w:r>
              <w:rPr>
                <w:sz w:val="18"/>
              </w:rPr>
              <w:t>Basin Bridge GTPS (Naphtha)</w:t>
            </w:r>
          </w:p>
        </w:tc>
        <w:tc>
          <w:tcPr>
            <w:tcW w:w="1274" w:type="dxa"/>
          </w:tcPr>
          <w:p w:rsidR="007C5447" w:rsidRDefault="00F6308C">
            <w:pPr>
              <w:pStyle w:val="TableParagraph"/>
              <w:spacing w:before="117"/>
              <w:ind w:right="91"/>
              <w:rPr>
                <w:sz w:val="18"/>
              </w:rPr>
            </w:pPr>
            <w:r>
              <w:rPr>
                <w:sz w:val="18"/>
              </w:rPr>
              <w:t>31.42</w:t>
            </w:r>
          </w:p>
        </w:tc>
        <w:tc>
          <w:tcPr>
            <w:tcW w:w="994" w:type="dxa"/>
          </w:tcPr>
          <w:p w:rsidR="007C5447" w:rsidRDefault="00F6308C">
            <w:pPr>
              <w:pStyle w:val="TableParagraph"/>
              <w:spacing w:before="117"/>
              <w:ind w:right="99"/>
              <w:rPr>
                <w:sz w:val="18"/>
              </w:rPr>
            </w:pPr>
            <w:r>
              <w:rPr>
                <w:sz w:val="18"/>
              </w:rPr>
              <w:t>164.47</w:t>
            </w:r>
          </w:p>
        </w:tc>
        <w:tc>
          <w:tcPr>
            <w:tcW w:w="991" w:type="dxa"/>
          </w:tcPr>
          <w:p w:rsidR="007C5447" w:rsidRDefault="00F6308C">
            <w:pPr>
              <w:pStyle w:val="TableParagraph"/>
              <w:spacing w:before="117"/>
              <w:ind w:right="94"/>
              <w:rPr>
                <w:sz w:val="18"/>
              </w:rPr>
            </w:pPr>
            <w:r>
              <w:rPr>
                <w:w w:val="99"/>
                <w:sz w:val="18"/>
              </w:rPr>
              <w:t>-</w:t>
            </w:r>
          </w:p>
        </w:tc>
        <w:tc>
          <w:tcPr>
            <w:tcW w:w="1135" w:type="dxa"/>
          </w:tcPr>
          <w:p w:rsidR="007C5447" w:rsidRDefault="00F6308C">
            <w:pPr>
              <w:pStyle w:val="TableParagraph"/>
              <w:spacing w:before="117"/>
              <w:ind w:right="96"/>
              <w:rPr>
                <w:sz w:val="18"/>
              </w:rPr>
            </w:pPr>
            <w:r>
              <w:rPr>
                <w:sz w:val="18"/>
              </w:rPr>
              <w:t>12.65</w:t>
            </w:r>
          </w:p>
        </w:tc>
        <w:tc>
          <w:tcPr>
            <w:tcW w:w="1133" w:type="dxa"/>
          </w:tcPr>
          <w:p w:rsidR="007C5447" w:rsidRDefault="00F6308C">
            <w:pPr>
              <w:pStyle w:val="TableParagraph"/>
              <w:spacing w:before="117"/>
              <w:ind w:right="96"/>
              <w:rPr>
                <w:sz w:val="18"/>
              </w:rPr>
            </w:pPr>
            <w:r>
              <w:rPr>
                <w:sz w:val="18"/>
              </w:rPr>
              <w:t>9.24</w:t>
            </w:r>
          </w:p>
        </w:tc>
        <w:tc>
          <w:tcPr>
            <w:tcW w:w="1136" w:type="dxa"/>
          </w:tcPr>
          <w:p w:rsidR="007C5447" w:rsidRDefault="00F6308C">
            <w:pPr>
              <w:pStyle w:val="TableParagraph"/>
              <w:spacing w:before="117"/>
              <w:ind w:right="97"/>
              <w:rPr>
                <w:sz w:val="18"/>
              </w:rPr>
            </w:pPr>
            <w:r>
              <w:rPr>
                <w:w w:val="99"/>
                <w:sz w:val="18"/>
              </w:rPr>
              <w:t>-</w:t>
            </w:r>
          </w:p>
        </w:tc>
        <w:tc>
          <w:tcPr>
            <w:tcW w:w="1275" w:type="dxa"/>
          </w:tcPr>
          <w:p w:rsidR="007C5447" w:rsidRDefault="00F6308C">
            <w:pPr>
              <w:pStyle w:val="TableParagraph"/>
              <w:spacing w:before="117"/>
              <w:ind w:right="93"/>
              <w:rPr>
                <w:sz w:val="18"/>
              </w:rPr>
            </w:pPr>
            <w:r>
              <w:rPr>
                <w:w w:val="99"/>
                <w:sz w:val="18"/>
              </w:rPr>
              <w:t>-</w:t>
            </w:r>
          </w:p>
        </w:tc>
        <w:tc>
          <w:tcPr>
            <w:tcW w:w="1136" w:type="dxa"/>
          </w:tcPr>
          <w:p w:rsidR="007C5447" w:rsidRDefault="00F6308C">
            <w:pPr>
              <w:pStyle w:val="TableParagraph"/>
              <w:spacing w:before="117"/>
              <w:ind w:right="100"/>
              <w:rPr>
                <w:sz w:val="18"/>
              </w:rPr>
            </w:pPr>
            <w:r>
              <w:rPr>
                <w:sz w:val="18"/>
              </w:rPr>
              <w:t>0.05</w:t>
            </w: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117"/>
              <w:ind w:right="101"/>
              <w:rPr>
                <w:sz w:val="18"/>
              </w:rPr>
            </w:pPr>
            <w:r>
              <w:rPr>
                <w:sz w:val="18"/>
              </w:rPr>
              <w:t>0.35</w:t>
            </w:r>
          </w:p>
        </w:tc>
        <w:tc>
          <w:tcPr>
            <w:tcW w:w="1133" w:type="dxa"/>
          </w:tcPr>
          <w:p w:rsidR="007C5447" w:rsidRDefault="00F6308C">
            <w:pPr>
              <w:pStyle w:val="TableParagraph"/>
              <w:spacing w:before="117"/>
              <w:ind w:right="99"/>
              <w:rPr>
                <w:sz w:val="18"/>
              </w:rPr>
            </w:pPr>
            <w:r>
              <w:rPr>
                <w:sz w:val="18"/>
              </w:rPr>
              <w:t>218.08</w:t>
            </w:r>
          </w:p>
        </w:tc>
      </w:tr>
      <w:tr w:rsidR="007C5447">
        <w:trPr>
          <w:trHeight w:val="299"/>
        </w:trPr>
        <w:tc>
          <w:tcPr>
            <w:tcW w:w="710" w:type="dxa"/>
          </w:tcPr>
          <w:p w:rsidR="007C5447" w:rsidRDefault="00F6308C">
            <w:pPr>
              <w:pStyle w:val="TableParagraph"/>
              <w:spacing w:before="45"/>
              <w:ind w:left="236" w:right="226"/>
              <w:jc w:val="center"/>
              <w:rPr>
                <w:sz w:val="18"/>
              </w:rPr>
            </w:pPr>
            <w:r>
              <w:rPr>
                <w:sz w:val="18"/>
              </w:rPr>
              <w:t>10</w:t>
            </w:r>
          </w:p>
        </w:tc>
        <w:tc>
          <w:tcPr>
            <w:tcW w:w="1985" w:type="dxa"/>
          </w:tcPr>
          <w:p w:rsidR="007C5447" w:rsidRDefault="00F6308C">
            <w:pPr>
              <w:pStyle w:val="TableParagraph"/>
              <w:spacing w:before="45"/>
              <w:ind w:left="108"/>
              <w:jc w:val="left"/>
              <w:rPr>
                <w:sz w:val="18"/>
              </w:rPr>
            </w:pPr>
            <w:r>
              <w:rPr>
                <w:sz w:val="18"/>
              </w:rPr>
              <w:t>Valuthur GTPS</w:t>
            </w:r>
          </w:p>
        </w:tc>
        <w:tc>
          <w:tcPr>
            <w:tcW w:w="1274" w:type="dxa"/>
          </w:tcPr>
          <w:p w:rsidR="007C5447" w:rsidRDefault="00F6308C">
            <w:pPr>
              <w:pStyle w:val="TableParagraph"/>
              <w:spacing w:before="45"/>
              <w:ind w:right="91"/>
              <w:rPr>
                <w:sz w:val="18"/>
              </w:rPr>
            </w:pPr>
            <w:r>
              <w:rPr>
                <w:sz w:val="18"/>
              </w:rPr>
              <w:t>71.86</w:t>
            </w:r>
          </w:p>
        </w:tc>
        <w:tc>
          <w:tcPr>
            <w:tcW w:w="994" w:type="dxa"/>
          </w:tcPr>
          <w:p w:rsidR="007C5447" w:rsidRDefault="00F6308C">
            <w:pPr>
              <w:pStyle w:val="TableParagraph"/>
              <w:spacing w:before="45"/>
              <w:ind w:right="99"/>
              <w:rPr>
                <w:sz w:val="18"/>
              </w:rPr>
            </w:pPr>
            <w:r>
              <w:rPr>
                <w:sz w:val="18"/>
              </w:rPr>
              <w:t>106.43</w:t>
            </w:r>
          </w:p>
        </w:tc>
        <w:tc>
          <w:tcPr>
            <w:tcW w:w="991" w:type="dxa"/>
          </w:tcPr>
          <w:p w:rsidR="007C5447" w:rsidRDefault="00F6308C">
            <w:pPr>
              <w:pStyle w:val="TableParagraph"/>
              <w:spacing w:before="45"/>
              <w:ind w:right="94"/>
              <w:rPr>
                <w:sz w:val="18"/>
              </w:rPr>
            </w:pPr>
            <w:r>
              <w:rPr>
                <w:w w:val="99"/>
                <w:sz w:val="18"/>
              </w:rPr>
              <w:t>-</w:t>
            </w:r>
          </w:p>
        </w:tc>
        <w:tc>
          <w:tcPr>
            <w:tcW w:w="1135" w:type="dxa"/>
          </w:tcPr>
          <w:p w:rsidR="007C5447" w:rsidRDefault="00F6308C">
            <w:pPr>
              <w:pStyle w:val="TableParagraph"/>
              <w:spacing w:before="45"/>
              <w:ind w:right="96"/>
              <w:rPr>
                <w:sz w:val="18"/>
              </w:rPr>
            </w:pPr>
            <w:r>
              <w:rPr>
                <w:sz w:val="18"/>
              </w:rPr>
              <w:t>15.64</w:t>
            </w:r>
          </w:p>
        </w:tc>
        <w:tc>
          <w:tcPr>
            <w:tcW w:w="1133" w:type="dxa"/>
          </w:tcPr>
          <w:p w:rsidR="007C5447" w:rsidRDefault="00F6308C">
            <w:pPr>
              <w:pStyle w:val="TableParagraph"/>
              <w:spacing w:before="45"/>
              <w:ind w:right="93"/>
              <w:rPr>
                <w:sz w:val="18"/>
              </w:rPr>
            </w:pPr>
            <w:r>
              <w:rPr>
                <w:sz w:val="18"/>
              </w:rPr>
              <w:t>69.42</w:t>
            </w:r>
          </w:p>
        </w:tc>
        <w:tc>
          <w:tcPr>
            <w:tcW w:w="1136" w:type="dxa"/>
          </w:tcPr>
          <w:p w:rsidR="007C5447" w:rsidRDefault="00F6308C">
            <w:pPr>
              <w:pStyle w:val="TableParagraph"/>
              <w:spacing w:before="45"/>
              <w:ind w:right="97"/>
              <w:rPr>
                <w:sz w:val="18"/>
              </w:rPr>
            </w:pPr>
            <w:r>
              <w:rPr>
                <w:w w:val="99"/>
                <w:sz w:val="18"/>
              </w:rPr>
              <w:t>-</w:t>
            </w:r>
          </w:p>
        </w:tc>
        <w:tc>
          <w:tcPr>
            <w:tcW w:w="1275" w:type="dxa"/>
          </w:tcPr>
          <w:p w:rsidR="007C5447" w:rsidRDefault="00F6308C">
            <w:pPr>
              <w:pStyle w:val="TableParagraph"/>
              <w:spacing w:before="45"/>
              <w:ind w:right="93"/>
              <w:rPr>
                <w:sz w:val="18"/>
              </w:rPr>
            </w:pPr>
            <w:r>
              <w:rPr>
                <w:w w:val="99"/>
                <w:sz w:val="18"/>
              </w:rPr>
              <w:t>-</w:t>
            </w:r>
          </w:p>
        </w:tc>
        <w:tc>
          <w:tcPr>
            <w:tcW w:w="1136" w:type="dxa"/>
          </w:tcPr>
          <w:p w:rsidR="007C5447" w:rsidRDefault="00F6308C">
            <w:pPr>
              <w:pStyle w:val="TableParagraph"/>
              <w:spacing w:before="45"/>
              <w:ind w:right="100"/>
              <w:rPr>
                <w:sz w:val="18"/>
              </w:rPr>
            </w:pPr>
            <w:r>
              <w:rPr>
                <w:sz w:val="18"/>
              </w:rPr>
              <w:t>0.15</w:t>
            </w: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45"/>
              <w:ind w:right="101"/>
              <w:rPr>
                <w:sz w:val="18"/>
              </w:rPr>
            </w:pPr>
            <w:r>
              <w:rPr>
                <w:sz w:val="18"/>
              </w:rPr>
              <w:t>0.63</w:t>
            </w:r>
          </w:p>
        </w:tc>
        <w:tc>
          <w:tcPr>
            <w:tcW w:w="1133" w:type="dxa"/>
          </w:tcPr>
          <w:p w:rsidR="007C5447" w:rsidRDefault="00F6308C">
            <w:pPr>
              <w:pStyle w:val="TableParagraph"/>
              <w:spacing w:before="45"/>
              <w:ind w:right="98"/>
              <w:rPr>
                <w:sz w:val="18"/>
              </w:rPr>
            </w:pPr>
            <w:r>
              <w:rPr>
                <w:sz w:val="18"/>
              </w:rPr>
              <w:t>208.10</w:t>
            </w:r>
          </w:p>
        </w:tc>
      </w:tr>
      <w:tr w:rsidR="007C5447">
        <w:trPr>
          <w:trHeight w:val="300"/>
        </w:trPr>
        <w:tc>
          <w:tcPr>
            <w:tcW w:w="710" w:type="dxa"/>
          </w:tcPr>
          <w:p w:rsidR="007C5447" w:rsidRDefault="00F6308C">
            <w:pPr>
              <w:pStyle w:val="TableParagraph"/>
              <w:spacing w:before="48"/>
              <w:ind w:left="236" w:right="226"/>
              <w:jc w:val="center"/>
              <w:rPr>
                <w:sz w:val="18"/>
              </w:rPr>
            </w:pPr>
            <w:r>
              <w:rPr>
                <w:sz w:val="18"/>
              </w:rPr>
              <w:t>12</w:t>
            </w:r>
          </w:p>
        </w:tc>
        <w:tc>
          <w:tcPr>
            <w:tcW w:w="1985" w:type="dxa"/>
          </w:tcPr>
          <w:p w:rsidR="007C5447" w:rsidRDefault="00F6308C">
            <w:pPr>
              <w:pStyle w:val="TableParagraph"/>
              <w:spacing w:before="48"/>
              <w:ind w:left="108"/>
              <w:jc w:val="left"/>
              <w:rPr>
                <w:sz w:val="18"/>
              </w:rPr>
            </w:pPr>
            <w:r>
              <w:rPr>
                <w:sz w:val="18"/>
              </w:rPr>
              <w:t>Erode HEP</w:t>
            </w:r>
          </w:p>
        </w:tc>
        <w:tc>
          <w:tcPr>
            <w:tcW w:w="1274" w:type="dxa"/>
          </w:tcPr>
          <w:p w:rsidR="007C5447" w:rsidRDefault="00F6308C">
            <w:pPr>
              <w:pStyle w:val="TableParagraph"/>
              <w:spacing w:before="48"/>
              <w:ind w:right="91"/>
              <w:rPr>
                <w:sz w:val="18"/>
              </w:rPr>
            </w:pPr>
            <w:r>
              <w:rPr>
                <w:sz w:val="18"/>
              </w:rPr>
              <w:t>64.43</w:t>
            </w:r>
          </w:p>
        </w:tc>
        <w:tc>
          <w:tcPr>
            <w:tcW w:w="994" w:type="dxa"/>
          </w:tcPr>
          <w:p w:rsidR="007C5447" w:rsidRDefault="00F6308C">
            <w:pPr>
              <w:pStyle w:val="TableParagraph"/>
              <w:spacing w:before="48"/>
              <w:ind w:right="99"/>
              <w:rPr>
                <w:sz w:val="18"/>
              </w:rPr>
            </w:pPr>
            <w:r>
              <w:rPr>
                <w:sz w:val="18"/>
              </w:rPr>
              <w:t>108.15</w:t>
            </w:r>
          </w:p>
        </w:tc>
        <w:tc>
          <w:tcPr>
            <w:tcW w:w="991" w:type="dxa"/>
          </w:tcPr>
          <w:p w:rsidR="007C5447" w:rsidRDefault="00F6308C">
            <w:pPr>
              <w:pStyle w:val="TableParagraph"/>
              <w:spacing w:before="48"/>
              <w:ind w:right="94"/>
              <w:rPr>
                <w:sz w:val="18"/>
              </w:rPr>
            </w:pPr>
            <w:r>
              <w:rPr>
                <w:w w:val="99"/>
                <w:sz w:val="18"/>
              </w:rPr>
              <w:t>-</w:t>
            </w:r>
          </w:p>
        </w:tc>
        <w:tc>
          <w:tcPr>
            <w:tcW w:w="1135" w:type="dxa"/>
          </w:tcPr>
          <w:p w:rsidR="007C5447" w:rsidRDefault="00F6308C">
            <w:pPr>
              <w:pStyle w:val="TableParagraph"/>
              <w:spacing w:before="48"/>
              <w:ind w:right="98"/>
              <w:rPr>
                <w:sz w:val="18"/>
              </w:rPr>
            </w:pPr>
            <w:r>
              <w:rPr>
                <w:sz w:val="18"/>
              </w:rPr>
              <w:t>6.66</w:t>
            </w:r>
          </w:p>
        </w:tc>
        <w:tc>
          <w:tcPr>
            <w:tcW w:w="1133" w:type="dxa"/>
          </w:tcPr>
          <w:p w:rsidR="007C5447" w:rsidRDefault="00F6308C">
            <w:pPr>
              <w:pStyle w:val="TableParagraph"/>
              <w:spacing w:before="48"/>
              <w:ind w:right="93"/>
              <w:rPr>
                <w:sz w:val="18"/>
              </w:rPr>
            </w:pPr>
            <w:r>
              <w:rPr>
                <w:sz w:val="18"/>
              </w:rPr>
              <w:t>55.74</w:t>
            </w:r>
          </w:p>
        </w:tc>
        <w:tc>
          <w:tcPr>
            <w:tcW w:w="1136" w:type="dxa"/>
          </w:tcPr>
          <w:p w:rsidR="007C5447" w:rsidRDefault="00F6308C">
            <w:pPr>
              <w:pStyle w:val="TableParagraph"/>
              <w:spacing w:before="48"/>
              <w:ind w:right="97"/>
              <w:rPr>
                <w:sz w:val="18"/>
              </w:rPr>
            </w:pPr>
            <w:r>
              <w:rPr>
                <w:w w:val="99"/>
                <w:sz w:val="18"/>
              </w:rPr>
              <w:t>-</w:t>
            </w:r>
          </w:p>
        </w:tc>
        <w:tc>
          <w:tcPr>
            <w:tcW w:w="1275" w:type="dxa"/>
          </w:tcPr>
          <w:p w:rsidR="007C5447" w:rsidRDefault="00F6308C">
            <w:pPr>
              <w:pStyle w:val="TableParagraph"/>
              <w:spacing w:before="48"/>
              <w:ind w:right="93"/>
              <w:rPr>
                <w:sz w:val="18"/>
              </w:rPr>
            </w:pPr>
            <w:r>
              <w:rPr>
                <w:w w:val="99"/>
                <w:sz w:val="18"/>
              </w:rPr>
              <w:t>-</w:t>
            </w:r>
          </w:p>
        </w:tc>
        <w:tc>
          <w:tcPr>
            <w:tcW w:w="1136" w:type="dxa"/>
          </w:tcPr>
          <w:p w:rsidR="007C5447" w:rsidRDefault="00F6308C">
            <w:pPr>
              <w:pStyle w:val="TableParagraph"/>
              <w:spacing w:before="48"/>
              <w:ind w:right="100"/>
              <w:rPr>
                <w:sz w:val="18"/>
              </w:rPr>
            </w:pPr>
            <w:r>
              <w:rPr>
                <w:sz w:val="18"/>
              </w:rPr>
              <w:t>0.09</w:t>
            </w: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48"/>
              <w:ind w:right="101"/>
              <w:rPr>
                <w:sz w:val="18"/>
              </w:rPr>
            </w:pPr>
            <w:r>
              <w:rPr>
                <w:sz w:val="18"/>
              </w:rPr>
              <w:t>1.89</w:t>
            </w:r>
          </w:p>
        </w:tc>
        <w:tc>
          <w:tcPr>
            <w:tcW w:w="1133" w:type="dxa"/>
          </w:tcPr>
          <w:p w:rsidR="007C5447" w:rsidRDefault="00F6308C">
            <w:pPr>
              <w:pStyle w:val="TableParagraph"/>
              <w:spacing w:before="48"/>
              <w:ind w:right="99"/>
              <w:rPr>
                <w:sz w:val="18"/>
              </w:rPr>
            </w:pPr>
            <w:r>
              <w:rPr>
                <w:sz w:val="18"/>
              </w:rPr>
              <w:t>236.79</w:t>
            </w:r>
          </w:p>
        </w:tc>
      </w:tr>
      <w:tr w:rsidR="007C5447">
        <w:trPr>
          <w:trHeight w:val="299"/>
        </w:trPr>
        <w:tc>
          <w:tcPr>
            <w:tcW w:w="710" w:type="dxa"/>
          </w:tcPr>
          <w:p w:rsidR="007C5447" w:rsidRDefault="00F6308C">
            <w:pPr>
              <w:pStyle w:val="TableParagraph"/>
              <w:spacing w:before="47"/>
              <w:ind w:left="236" w:right="226"/>
              <w:jc w:val="center"/>
              <w:rPr>
                <w:sz w:val="18"/>
              </w:rPr>
            </w:pPr>
            <w:r>
              <w:rPr>
                <w:sz w:val="18"/>
              </w:rPr>
              <w:t>13</w:t>
            </w:r>
          </w:p>
        </w:tc>
        <w:tc>
          <w:tcPr>
            <w:tcW w:w="1985" w:type="dxa"/>
          </w:tcPr>
          <w:p w:rsidR="007C5447" w:rsidRDefault="00F6308C">
            <w:pPr>
              <w:pStyle w:val="TableParagraph"/>
              <w:spacing w:before="47"/>
              <w:ind w:left="108"/>
              <w:jc w:val="left"/>
              <w:rPr>
                <w:sz w:val="18"/>
              </w:rPr>
            </w:pPr>
            <w:r>
              <w:rPr>
                <w:sz w:val="18"/>
              </w:rPr>
              <w:t>Kadamparai HEP</w:t>
            </w:r>
          </w:p>
        </w:tc>
        <w:tc>
          <w:tcPr>
            <w:tcW w:w="1274" w:type="dxa"/>
          </w:tcPr>
          <w:p w:rsidR="007C5447" w:rsidRDefault="00F6308C">
            <w:pPr>
              <w:pStyle w:val="TableParagraph"/>
              <w:spacing w:before="47"/>
              <w:ind w:right="91"/>
              <w:rPr>
                <w:sz w:val="18"/>
              </w:rPr>
            </w:pPr>
            <w:r>
              <w:rPr>
                <w:sz w:val="18"/>
              </w:rPr>
              <w:t>30.22</w:t>
            </w:r>
          </w:p>
        </w:tc>
        <w:tc>
          <w:tcPr>
            <w:tcW w:w="994" w:type="dxa"/>
          </w:tcPr>
          <w:p w:rsidR="007C5447" w:rsidRDefault="00F6308C">
            <w:pPr>
              <w:pStyle w:val="TableParagraph"/>
              <w:spacing w:before="47"/>
              <w:ind w:right="97"/>
              <w:rPr>
                <w:sz w:val="18"/>
              </w:rPr>
            </w:pPr>
            <w:r>
              <w:rPr>
                <w:sz w:val="18"/>
              </w:rPr>
              <w:t>38.93</w:t>
            </w:r>
          </w:p>
        </w:tc>
        <w:tc>
          <w:tcPr>
            <w:tcW w:w="991" w:type="dxa"/>
          </w:tcPr>
          <w:p w:rsidR="007C5447" w:rsidRDefault="00F6308C">
            <w:pPr>
              <w:pStyle w:val="TableParagraph"/>
              <w:spacing w:before="47"/>
              <w:ind w:right="94"/>
              <w:rPr>
                <w:sz w:val="18"/>
              </w:rPr>
            </w:pPr>
            <w:r>
              <w:rPr>
                <w:w w:val="99"/>
                <w:sz w:val="18"/>
              </w:rPr>
              <w:t>-</w:t>
            </w:r>
          </w:p>
        </w:tc>
        <w:tc>
          <w:tcPr>
            <w:tcW w:w="1135" w:type="dxa"/>
          </w:tcPr>
          <w:p w:rsidR="007C5447" w:rsidRDefault="00F6308C">
            <w:pPr>
              <w:pStyle w:val="TableParagraph"/>
              <w:spacing w:before="47"/>
              <w:ind w:right="98"/>
              <w:rPr>
                <w:sz w:val="18"/>
              </w:rPr>
            </w:pPr>
            <w:r>
              <w:rPr>
                <w:sz w:val="18"/>
              </w:rPr>
              <w:t>6.75</w:t>
            </w:r>
          </w:p>
        </w:tc>
        <w:tc>
          <w:tcPr>
            <w:tcW w:w="1133" w:type="dxa"/>
          </w:tcPr>
          <w:p w:rsidR="007C5447" w:rsidRDefault="00F6308C">
            <w:pPr>
              <w:pStyle w:val="TableParagraph"/>
              <w:spacing w:before="47"/>
              <w:ind w:right="93"/>
              <w:rPr>
                <w:sz w:val="18"/>
              </w:rPr>
            </w:pPr>
            <w:r>
              <w:rPr>
                <w:sz w:val="18"/>
              </w:rPr>
              <w:t>36.89</w:t>
            </w:r>
          </w:p>
        </w:tc>
        <w:tc>
          <w:tcPr>
            <w:tcW w:w="1136" w:type="dxa"/>
          </w:tcPr>
          <w:p w:rsidR="007C5447" w:rsidRDefault="00F6308C">
            <w:pPr>
              <w:pStyle w:val="TableParagraph"/>
              <w:spacing w:before="47"/>
              <w:ind w:right="97"/>
              <w:rPr>
                <w:sz w:val="18"/>
              </w:rPr>
            </w:pPr>
            <w:r>
              <w:rPr>
                <w:w w:val="99"/>
                <w:sz w:val="18"/>
              </w:rPr>
              <w:t>-</w:t>
            </w:r>
          </w:p>
        </w:tc>
        <w:tc>
          <w:tcPr>
            <w:tcW w:w="1275" w:type="dxa"/>
          </w:tcPr>
          <w:p w:rsidR="007C5447" w:rsidRDefault="00F6308C">
            <w:pPr>
              <w:pStyle w:val="TableParagraph"/>
              <w:spacing w:before="47"/>
              <w:ind w:right="93"/>
              <w:rPr>
                <w:sz w:val="18"/>
              </w:rPr>
            </w:pPr>
            <w:r>
              <w:rPr>
                <w:w w:val="99"/>
                <w:sz w:val="18"/>
              </w:rPr>
              <w:t>-</w:t>
            </w:r>
          </w:p>
        </w:tc>
        <w:tc>
          <w:tcPr>
            <w:tcW w:w="1136" w:type="dxa"/>
          </w:tcPr>
          <w:p w:rsidR="007C5447" w:rsidRDefault="00F6308C">
            <w:pPr>
              <w:pStyle w:val="TableParagraph"/>
              <w:spacing w:before="47"/>
              <w:ind w:right="100"/>
              <w:rPr>
                <w:sz w:val="18"/>
              </w:rPr>
            </w:pPr>
            <w:r>
              <w:rPr>
                <w:sz w:val="18"/>
              </w:rPr>
              <w:t>0.23</w:t>
            </w: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47"/>
              <w:ind w:right="101"/>
              <w:rPr>
                <w:sz w:val="18"/>
              </w:rPr>
            </w:pPr>
            <w:r>
              <w:rPr>
                <w:sz w:val="18"/>
              </w:rPr>
              <w:t>1.19</w:t>
            </w:r>
          </w:p>
        </w:tc>
        <w:tc>
          <w:tcPr>
            <w:tcW w:w="1133" w:type="dxa"/>
          </w:tcPr>
          <w:p w:rsidR="007C5447" w:rsidRDefault="00F6308C">
            <w:pPr>
              <w:pStyle w:val="TableParagraph"/>
              <w:spacing w:before="47"/>
              <w:ind w:right="99"/>
              <w:rPr>
                <w:sz w:val="18"/>
              </w:rPr>
            </w:pPr>
            <w:r>
              <w:rPr>
                <w:sz w:val="18"/>
              </w:rPr>
              <w:t>113.76</w:t>
            </w:r>
          </w:p>
        </w:tc>
      </w:tr>
      <w:tr w:rsidR="007C5447">
        <w:trPr>
          <w:trHeight w:val="316"/>
        </w:trPr>
        <w:tc>
          <w:tcPr>
            <w:tcW w:w="710" w:type="dxa"/>
          </w:tcPr>
          <w:p w:rsidR="007C5447" w:rsidRDefault="00F6308C">
            <w:pPr>
              <w:pStyle w:val="TableParagraph"/>
              <w:spacing w:before="55"/>
              <w:ind w:left="236" w:right="226"/>
              <w:jc w:val="center"/>
              <w:rPr>
                <w:sz w:val="18"/>
              </w:rPr>
            </w:pPr>
            <w:r>
              <w:rPr>
                <w:sz w:val="18"/>
              </w:rPr>
              <w:t>14</w:t>
            </w:r>
          </w:p>
        </w:tc>
        <w:tc>
          <w:tcPr>
            <w:tcW w:w="1985" w:type="dxa"/>
          </w:tcPr>
          <w:p w:rsidR="007C5447" w:rsidRDefault="00F6308C">
            <w:pPr>
              <w:pStyle w:val="TableParagraph"/>
              <w:spacing w:before="55"/>
              <w:ind w:left="108"/>
              <w:jc w:val="left"/>
              <w:rPr>
                <w:sz w:val="18"/>
              </w:rPr>
            </w:pPr>
            <w:r>
              <w:rPr>
                <w:sz w:val="18"/>
              </w:rPr>
              <w:t>Kundah HEP</w:t>
            </w:r>
          </w:p>
        </w:tc>
        <w:tc>
          <w:tcPr>
            <w:tcW w:w="1274" w:type="dxa"/>
          </w:tcPr>
          <w:p w:rsidR="007C5447" w:rsidRDefault="00F6308C">
            <w:pPr>
              <w:pStyle w:val="TableParagraph"/>
              <w:spacing w:before="55"/>
              <w:ind w:right="94"/>
              <w:rPr>
                <w:sz w:val="18"/>
              </w:rPr>
            </w:pPr>
            <w:r>
              <w:rPr>
                <w:sz w:val="18"/>
              </w:rPr>
              <w:t>104.32</w:t>
            </w:r>
          </w:p>
        </w:tc>
        <w:tc>
          <w:tcPr>
            <w:tcW w:w="994" w:type="dxa"/>
          </w:tcPr>
          <w:p w:rsidR="007C5447" w:rsidRDefault="00F6308C">
            <w:pPr>
              <w:pStyle w:val="TableParagraph"/>
              <w:spacing w:before="55"/>
              <w:ind w:right="99"/>
              <w:rPr>
                <w:sz w:val="18"/>
              </w:rPr>
            </w:pPr>
            <w:r>
              <w:rPr>
                <w:sz w:val="18"/>
              </w:rPr>
              <w:t>122.52</w:t>
            </w:r>
          </w:p>
        </w:tc>
        <w:tc>
          <w:tcPr>
            <w:tcW w:w="991" w:type="dxa"/>
          </w:tcPr>
          <w:p w:rsidR="007C5447" w:rsidRDefault="00F6308C">
            <w:pPr>
              <w:pStyle w:val="TableParagraph"/>
              <w:spacing w:before="55"/>
              <w:ind w:right="94"/>
              <w:rPr>
                <w:sz w:val="18"/>
              </w:rPr>
            </w:pPr>
            <w:r>
              <w:rPr>
                <w:w w:val="99"/>
                <w:sz w:val="18"/>
              </w:rPr>
              <w:t>-</w:t>
            </w:r>
          </w:p>
        </w:tc>
        <w:tc>
          <w:tcPr>
            <w:tcW w:w="1135" w:type="dxa"/>
          </w:tcPr>
          <w:p w:rsidR="007C5447" w:rsidRDefault="00F6308C">
            <w:pPr>
              <w:pStyle w:val="TableParagraph"/>
              <w:spacing w:before="55"/>
              <w:ind w:right="96"/>
              <w:rPr>
                <w:sz w:val="18"/>
              </w:rPr>
            </w:pPr>
            <w:r>
              <w:rPr>
                <w:sz w:val="18"/>
              </w:rPr>
              <w:t>15.92</w:t>
            </w:r>
          </w:p>
        </w:tc>
        <w:tc>
          <w:tcPr>
            <w:tcW w:w="1133" w:type="dxa"/>
          </w:tcPr>
          <w:p w:rsidR="007C5447" w:rsidRDefault="00F6308C">
            <w:pPr>
              <w:pStyle w:val="TableParagraph"/>
              <w:spacing w:before="55"/>
              <w:ind w:right="93"/>
              <w:rPr>
                <w:sz w:val="18"/>
              </w:rPr>
            </w:pPr>
            <w:r>
              <w:rPr>
                <w:sz w:val="18"/>
              </w:rPr>
              <w:t>57.31</w:t>
            </w:r>
          </w:p>
        </w:tc>
        <w:tc>
          <w:tcPr>
            <w:tcW w:w="1136" w:type="dxa"/>
          </w:tcPr>
          <w:p w:rsidR="007C5447" w:rsidRDefault="00F6308C">
            <w:pPr>
              <w:pStyle w:val="TableParagraph"/>
              <w:spacing w:before="55"/>
              <w:ind w:right="97"/>
              <w:rPr>
                <w:sz w:val="18"/>
              </w:rPr>
            </w:pPr>
            <w:r>
              <w:rPr>
                <w:w w:val="99"/>
                <w:sz w:val="18"/>
              </w:rPr>
              <w:t>-</w:t>
            </w:r>
          </w:p>
        </w:tc>
        <w:tc>
          <w:tcPr>
            <w:tcW w:w="1275" w:type="dxa"/>
          </w:tcPr>
          <w:p w:rsidR="007C5447" w:rsidRDefault="00F6308C">
            <w:pPr>
              <w:pStyle w:val="TableParagraph"/>
              <w:spacing w:before="55"/>
              <w:ind w:right="93"/>
              <w:rPr>
                <w:sz w:val="18"/>
              </w:rPr>
            </w:pPr>
            <w:r>
              <w:rPr>
                <w:w w:val="99"/>
                <w:sz w:val="18"/>
              </w:rPr>
              <w:t>-</w:t>
            </w:r>
          </w:p>
        </w:tc>
        <w:tc>
          <w:tcPr>
            <w:tcW w:w="1136" w:type="dxa"/>
          </w:tcPr>
          <w:p w:rsidR="007C5447" w:rsidRDefault="00F6308C">
            <w:pPr>
              <w:pStyle w:val="TableParagraph"/>
              <w:spacing w:before="55"/>
              <w:ind w:right="100"/>
              <w:rPr>
                <w:sz w:val="18"/>
              </w:rPr>
            </w:pPr>
            <w:r>
              <w:rPr>
                <w:sz w:val="18"/>
              </w:rPr>
              <w:t>0.83</w:t>
            </w: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55"/>
              <w:ind w:right="101"/>
              <w:rPr>
                <w:sz w:val="18"/>
              </w:rPr>
            </w:pPr>
            <w:r>
              <w:rPr>
                <w:sz w:val="18"/>
              </w:rPr>
              <w:t>1.95</w:t>
            </w:r>
          </w:p>
        </w:tc>
        <w:tc>
          <w:tcPr>
            <w:tcW w:w="1133" w:type="dxa"/>
          </w:tcPr>
          <w:p w:rsidR="007C5447" w:rsidRDefault="00F6308C">
            <w:pPr>
              <w:pStyle w:val="TableParagraph"/>
              <w:spacing w:before="55"/>
              <w:ind w:right="99"/>
              <w:rPr>
                <w:sz w:val="18"/>
              </w:rPr>
            </w:pPr>
            <w:r>
              <w:rPr>
                <w:sz w:val="18"/>
              </w:rPr>
              <w:t>301.20</w:t>
            </w:r>
          </w:p>
        </w:tc>
      </w:tr>
      <w:tr w:rsidR="007C5447">
        <w:trPr>
          <w:trHeight w:val="328"/>
        </w:trPr>
        <w:tc>
          <w:tcPr>
            <w:tcW w:w="710" w:type="dxa"/>
          </w:tcPr>
          <w:p w:rsidR="007C5447" w:rsidRDefault="00F6308C">
            <w:pPr>
              <w:pStyle w:val="TableParagraph"/>
              <w:spacing w:before="62"/>
              <w:ind w:left="236" w:right="226"/>
              <w:jc w:val="center"/>
              <w:rPr>
                <w:sz w:val="18"/>
              </w:rPr>
            </w:pPr>
            <w:r>
              <w:rPr>
                <w:sz w:val="18"/>
              </w:rPr>
              <w:t>15</w:t>
            </w:r>
          </w:p>
        </w:tc>
        <w:tc>
          <w:tcPr>
            <w:tcW w:w="1985" w:type="dxa"/>
          </w:tcPr>
          <w:p w:rsidR="007C5447" w:rsidRDefault="00F6308C">
            <w:pPr>
              <w:pStyle w:val="TableParagraph"/>
              <w:spacing w:before="62"/>
              <w:ind w:left="108"/>
              <w:jc w:val="left"/>
              <w:rPr>
                <w:sz w:val="18"/>
              </w:rPr>
            </w:pPr>
            <w:r>
              <w:rPr>
                <w:sz w:val="18"/>
              </w:rPr>
              <w:t>Tirunelveli HEP</w:t>
            </w:r>
          </w:p>
        </w:tc>
        <w:tc>
          <w:tcPr>
            <w:tcW w:w="1274" w:type="dxa"/>
          </w:tcPr>
          <w:p w:rsidR="007C5447" w:rsidRDefault="00F6308C">
            <w:pPr>
              <w:pStyle w:val="TableParagraph"/>
              <w:spacing w:before="62"/>
              <w:ind w:right="91"/>
              <w:rPr>
                <w:sz w:val="18"/>
              </w:rPr>
            </w:pPr>
            <w:r>
              <w:rPr>
                <w:sz w:val="18"/>
              </w:rPr>
              <w:t>40.28</w:t>
            </w:r>
          </w:p>
        </w:tc>
        <w:tc>
          <w:tcPr>
            <w:tcW w:w="994" w:type="dxa"/>
          </w:tcPr>
          <w:p w:rsidR="007C5447" w:rsidRDefault="00F6308C">
            <w:pPr>
              <w:pStyle w:val="TableParagraph"/>
              <w:spacing w:before="62"/>
              <w:ind w:right="97"/>
              <w:rPr>
                <w:sz w:val="18"/>
              </w:rPr>
            </w:pPr>
            <w:r>
              <w:rPr>
                <w:sz w:val="18"/>
              </w:rPr>
              <w:t>62.83</w:t>
            </w:r>
          </w:p>
        </w:tc>
        <w:tc>
          <w:tcPr>
            <w:tcW w:w="991" w:type="dxa"/>
          </w:tcPr>
          <w:p w:rsidR="007C5447" w:rsidRDefault="00F6308C">
            <w:pPr>
              <w:pStyle w:val="TableParagraph"/>
              <w:spacing w:before="62"/>
              <w:ind w:right="94"/>
              <w:rPr>
                <w:sz w:val="18"/>
              </w:rPr>
            </w:pPr>
            <w:r>
              <w:rPr>
                <w:w w:val="99"/>
                <w:sz w:val="18"/>
              </w:rPr>
              <w:t>-</w:t>
            </w:r>
          </w:p>
        </w:tc>
        <w:tc>
          <w:tcPr>
            <w:tcW w:w="1135" w:type="dxa"/>
          </w:tcPr>
          <w:p w:rsidR="007C5447" w:rsidRDefault="00F6308C">
            <w:pPr>
              <w:pStyle w:val="TableParagraph"/>
              <w:spacing w:before="62"/>
              <w:ind w:right="98"/>
              <w:rPr>
                <w:sz w:val="18"/>
              </w:rPr>
            </w:pPr>
            <w:r>
              <w:rPr>
                <w:sz w:val="18"/>
              </w:rPr>
              <w:t>9.88</w:t>
            </w:r>
          </w:p>
        </w:tc>
        <w:tc>
          <w:tcPr>
            <w:tcW w:w="1133" w:type="dxa"/>
          </w:tcPr>
          <w:p w:rsidR="007C5447" w:rsidRDefault="00F6308C">
            <w:pPr>
              <w:pStyle w:val="TableParagraph"/>
              <w:spacing w:before="62"/>
              <w:ind w:right="93"/>
              <w:rPr>
                <w:sz w:val="18"/>
              </w:rPr>
            </w:pPr>
            <w:r>
              <w:rPr>
                <w:sz w:val="18"/>
              </w:rPr>
              <w:t>49.61</w:t>
            </w:r>
          </w:p>
        </w:tc>
        <w:tc>
          <w:tcPr>
            <w:tcW w:w="1136" w:type="dxa"/>
          </w:tcPr>
          <w:p w:rsidR="007C5447" w:rsidRDefault="00F6308C">
            <w:pPr>
              <w:pStyle w:val="TableParagraph"/>
              <w:spacing w:before="62"/>
              <w:ind w:right="97"/>
              <w:rPr>
                <w:sz w:val="18"/>
              </w:rPr>
            </w:pPr>
            <w:r>
              <w:rPr>
                <w:w w:val="99"/>
                <w:sz w:val="18"/>
              </w:rPr>
              <w:t>-</w:t>
            </w:r>
          </w:p>
        </w:tc>
        <w:tc>
          <w:tcPr>
            <w:tcW w:w="1275" w:type="dxa"/>
          </w:tcPr>
          <w:p w:rsidR="007C5447" w:rsidRDefault="00F6308C">
            <w:pPr>
              <w:pStyle w:val="TableParagraph"/>
              <w:spacing w:before="62"/>
              <w:ind w:right="93"/>
              <w:rPr>
                <w:sz w:val="18"/>
              </w:rPr>
            </w:pPr>
            <w:r>
              <w:rPr>
                <w:w w:val="99"/>
                <w:sz w:val="18"/>
              </w:rPr>
              <w:t>-</w:t>
            </w:r>
          </w:p>
        </w:tc>
        <w:tc>
          <w:tcPr>
            <w:tcW w:w="1136" w:type="dxa"/>
          </w:tcPr>
          <w:p w:rsidR="007C5447" w:rsidRDefault="00F6308C">
            <w:pPr>
              <w:pStyle w:val="TableParagraph"/>
              <w:spacing w:before="62"/>
              <w:ind w:right="100"/>
              <w:rPr>
                <w:sz w:val="18"/>
              </w:rPr>
            </w:pPr>
            <w:r>
              <w:rPr>
                <w:sz w:val="18"/>
              </w:rPr>
              <w:t>0.43</w:t>
            </w: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62"/>
              <w:ind w:right="101"/>
              <w:rPr>
                <w:sz w:val="18"/>
              </w:rPr>
            </w:pPr>
            <w:r>
              <w:rPr>
                <w:sz w:val="18"/>
              </w:rPr>
              <w:t>2.07</w:t>
            </w:r>
          </w:p>
        </w:tc>
        <w:tc>
          <w:tcPr>
            <w:tcW w:w="1133" w:type="dxa"/>
          </w:tcPr>
          <w:p w:rsidR="007C5447" w:rsidRDefault="00F6308C">
            <w:pPr>
              <w:pStyle w:val="TableParagraph"/>
              <w:spacing w:before="62"/>
              <w:ind w:right="99"/>
              <w:rPr>
                <w:sz w:val="18"/>
              </w:rPr>
            </w:pPr>
            <w:r>
              <w:rPr>
                <w:sz w:val="18"/>
              </w:rPr>
              <w:t>164.24</w:t>
            </w:r>
          </w:p>
        </w:tc>
      </w:tr>
      <w:tr w:rsidR="007C5447">
        <w:trPr>
          <w:trHeight w:val="330"/>
        </w:trPr>
        <w:tc>
          <w:tcPr>
            <w:tcW w:w="710" w:type="dxa"/>
          </w:tcPr>
          <w:p w:rsidR="007C5447" w:rsidRDefault="00F6308C">
            <w:pPr>
              <w:pStyle w:val="TableParagraph"/>
              <w:spacing w:before="62"/>
              <w:ind w:left="236" w:right="226"/>
              <w:jc w:val="center"/>
              <w:rPr>
                <w:b/>
                <w:sz w:val="18"/>
              </w:rPr>
            </w:pPr>
            <w:r>
              <w:rPr>
                <w:b/>
                <w:sz w:val="18"/>
              </w:rPr>
              <w:t>16</w:t>
            </w:r>
          </w:p>
        </w:tc>
        <w:tc>
          <w:tcPr>
            <w:tcW w:w="1985" w:type="dxa"/>
          </w:tcPr>
          <w:p w:rsidR="007C5447" w:rsidRDefault="00F6308C">
            <w:pPr>
              <w:pStyle w:val="TableParagraph"/>
              <w:spacing w:before="62"/>
              <w:ind w:left="108"/>
              <w:jc w:val="left"/>
              <w:rPr>
                <w:b/>
                <w:sz w:val="18"/>
              </w:rPr>
            </w:pPr>
            <w:r>
              <w:rPr>
                <w:b/>
                <w:sz w:val="18"/>
              </w:rPr>
              <w:t>Total Generation</w:t>
            </w:r>
          </w:p>
        </w:tc>
        <w:tc>
          <w:tcPr>
            <w:tcW w:w="1274" w:type="dxa"/>
          </w:tcPr>
          <w:p w:rsidR="007C5447" w:rsidRDefault="00F6308C">
            <w:pPr>
              <w:pStyle w:val="TableParagraph"/>
              <w:spacing w:before="62"/>
              <w:ind w:right="94"/>
              <w:rPr>
                <w:b/>
                <w:sz w:val="18"/>
              </w:rPr>
            </w:pPr>
            <w:r>
              <w:rPr>
                <w:b/>
                <w:sz w:val="18"/>
              </w:rPr>
              <w:t>1,169.65</w:t>
            </w:r>
          </w:p>
        </w:tc>
        <w:tc>
          <w:tcPr>
            <w:tcW w:w="994" w:type="dxa"/>
          </w:tcPr>
          <w:p w:rsidR="007C5447" w:rsidRDefault="00F6308C">
            <w:pPr>
              <w:pStyle w:val="TableParagraph"/>
              <w:spacing w:before="62"/>
              <w:ind w:right="100"/>
              <w:rPr>
                <w:b/>
                <w:sz w:val="18"/>
              </w:rPr>
            </w:pPr>
            <w:r>
              <w:rPr>
                <w:b/>
                <w:sz w:val="18"/>
              </w:rPr>
              <w:t>2,019.78</w:t>
            </w:r>
          </w:p>
        </w:tc>
        <w:tc>
          <w:tcPr>
            <w:tcW w:w="991" w:type="dxa"/>
          </w:tcPr>
          <w:p w:rsidR="007C5447" w:rsidRDefault="00F6308C">
            <w:pPr>
              <w:pStyle w:val="TableParagraph"/>
              <w:spacing w:before="62"/>
              <w:ind w:right="94"/>
              <w:rPr>
                <w:b/>
                <w:sz w:val="18"/>
              </w:rPr>
            </w:pPr>
            <w:r>
              <w:rPr>
                <w:b/>
                <w:w w:val="99"/>
                <w:sz w:val="18"/>
              </w:rPr>
              <w:t>-</w:t>
            </w:r>
          </w:p>
        </w:tc>
        <w:tc>
          <w:tcPr>
            <w:tcW w:w="1135" w:type="dxa"/>
          </w:tcPr>
          <w:p w:rsidR="007C5447" w:rsidRDefault="00F6308C">
            <w:pPr>
              <w:pStyle w:val="TableParagraph"/>
              <w:spacing w:before="62"/>
              <w:ind w:right="96"/>
              <w:rPr>
                <w:b/>
                <w:sz w:val="18"/>
              </w:rPr>
            </w:pPr>
            <w:r>
              <w:rPr>
                <w:b/>
                <w:sz w:val="18"/>
              </w:rPr>
              <w:t>614.32</w:t>
            </w:r>
          </w:p>
        </w:tc>
        <w:tc>
          <w:tcPr>
            <w:tcW w:w="1133" w:type="dxa"/>
          </w:tcPr>
          <w:p w:rsidR="007C5447" w:rsidRDefault="00F6308C">
            <w:pPr>
              <w:pStyle w:val="TableParagraph"/>
              <w:spacing w:before="62"/>
              <w:ind w:right="96"/>
              <w:rPr>
                <w:b/>
                <w:sz w:val="18"/>
              </w:rPr>
            </w:pPr>
            <w:r>
              <w:rPr>
                <w:b/>
                <w:sz w:val="18"/>
              </w:rPr>
              <w:t>1,323.46</w:t>
            </w:r>
          </w:p>
        </w:tc>
        <w:tc>
          <w:tcPr>
            <w:tcW w:w="1136" w:type="dxa"/>
          </w:tcPr>
          <w:p w:rsidR="007C5447" w:rsidRDefault="00F6308C">
            <w:pPr>
              <w:pStyle w:val="TableParagraph"/>
              <w:spacing w:before="62"/>
              <w:ind w:right="97"/>
              <w:rPr>
                <w:b/>
                <w:sz w:val="18"/>
              </w:rPr>
            </w:pPr>
            <w:r>
              <w:rPr>
                <w:b/>
                <w:w w:val="99"/>
                <w:sz w:val="18"/>
              </w:rPr>
              <w:t>-</w:t>
            </w:r>
          </w:p>
        </w:tc>
        <w:tc>
          <w:tcPr>
            <w:tcW w:w="1275" w:type="dxa"/>
          </w:tcPr>
          <w:p w:rsidR="007C5447" w:rsidRDefault="007C5447">
            <w:pPr>
              <w:pStyle w:val="TableParagraph"/>
              <w:jc w:val="left"/>
              <w:rPr>
                <w:sz w:val="18"/>
              </w:rPr>
            </w:pPr>
          </w:p>
        </w:tc>
        <w:tc>
          <w:tcPr>
            <w:tcW w:w="1136" w:type="dxa"/>
          </w:tcPr>
          <w:p w:rsidR="007C5447" w:rsidRDefault="00F6308C">
            <w:pPr>
              <w:pStyle w:val="TableParagraph"/>
              <w:spacing w:before="62"/>
              <w:ind w:right="100"/>
              <w:rPr>
                <w:b/>
                <w:sz w:val="18"/>
              </w:rPr>
            </w:pPr>
            <w:r>
              <w:rPr>
                <w:b/>
                <w:sz w:val="18"/>
              </w:rPr>
              <w:t>131.79</w:t>
            </w:r>
          </w:p>
        </w:tc>
        <w:tc>
          <w:tcPr>
            <w:tcW w:w="1134" w:type="dxa"/>
          </w:tcPr>
          <w:p w:rsidR="007C5447" w:rsidRDefault="007C5447">
            <w:pPr>
              <w:pStyle w:val="TableParagraph"/>
              <w:jc w:val="left"/>
              <w:rPr>
                <w:sz w:val="18"/>
              </w:rPr>
            </w:pPr>
          </w:p>
        </w:tc>
        <w:tc>
          <w:tcPr>
            <w:tcW w:w="1277" w:type="dxa"/>
          </w:tcPr>
          <w:p w:rsidR="007C5447" w:rsidRDefault="00F6308C">
            <w:pPr>
              <w:pStyle w:val="TableParagraph"/>
              <w:spacing w:before="62"/>
              <w:ind w:right="98"/>
              <w:rPr>
                <w:b/>
                <w:sz w:val="18"/>
              </w:rPr>
            </w:pPr>
            <w:r>
              <w:rPr>
                <w:b/>
                <w:sz w:val="18"/>
              </w:rPr>
              <w:t>32.81</w:t>
            </w:r>
          </w:p>
        </w:tc>
        <w:tc>
          <w:tcPr>
            <w:tcW w:w="1133" w:type="dxa"/>
          </w:tcPr>
          <w:p w:rsidR="007C5447" w:rsidRDefault="00F6308C">
            <w:pPr>
              <w:pStyle w:val="TableParagraph"/>
              <w:spacing w:before="62"/>
              <w:ind w:right="99"/>
              <w:rPr>
                <w:b/>
                <w:sz w:val="18"/>
              </w:rPr>
            </w:pPr>
            <w:r>
              <w:rPr>
                <w:b/>
                <w:sz w:val="18"/>
              </w:rPr>
              <w:t>5,028.25</w:t>
            </w:r>
          </w:p>
        </w:tc>
      </w:tr>
    </w:tbl>
    <w:p w:rsidR="007C5447" w:rsidRDefault="007C5447">
      <w:pPr>
        <w:rPr>
          <w:sz w:val="18"/>
        </w:rPr>
        <w:sectPr w:rsidR="007C5447">
          <w:pgSz w:w="16840" w:h="11910" w:orient="landscape"/>
          <w:pgMar w:top="1100" w:right="820" w:bottom="1240" w:left="340" w:header="0" w:footer="1057" w:gutter="0"/>
          <w:cols w:space="720"/>
        </w:sectPr>
      </w:pPr>
    </w:p>
    <w:p w:rsidR="007C5447" w:rsidRDefault="007C5447">
      <w:pPr>
        <w:pStyle w:val="BodyText"/>
        <w:spacing w:before="2"/>
        <w:rPr>
          <w:b/>
          <w:sz w:val="21"/>
        </w:rPr>
      </w:pPr>
    </w:p>
    <w:p w:rsidR="007C5447" w:rsidRDefault="00F6308C">
      <w:pPr>
        <w:spacing w:before="91"/>
        <w:ind w:left="3877" w:right="3397"/>
        <w:jc w:val="center"/>
        <w:rPr>
          <w:b/>
        </w:rPr>
      </w:pPr>
      <w:r>
        <w:rPr>
          <w:b/>
        </w:rPr>
        <w:t>Table 4-34: Approved Fixed Charges for Generation function for FY 2018-19 (Rs. Crore)</w:t>
      </w:r>
    </w:p>
    <w:p w:rsidR="007C5447" w:rsidRDefault="007C5447">
      <w:pPr>
        <w:pStyle w:val="BodyText"/>
        <w:spacing w:before="11"/>
        <w:rPr>
          <w:b/>
          <w:sz w:val="16"/>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1985"/>
        <w:gridCol w:w="1274"/>
        <w:gridCol w:w="1135"/>
        <w:gridCol w:w="990"/>
        <w:gridCol w:w="1134"/>
        <w:gridCol w:w="1132"/>
        <w:gridCol w:w="1135"/>
        <w:gridCol w:w="1274"/>
        <w:gridCol w:w="1135"/>
        <w:gridCol w:w="1133"/>
        <w:gridCol w:w="1276"/>
        <w:gridCol w:w="1132"/>
      </w:tblGrid>
      <w:tr w:rsidR="007C5447">
        <w:trPr>
          <w:trHeight w:val="410"/>
        </w:trPr>
        <w:tc>
          <w:tcPr>
            <w:tcW w:w="710" w:type="dxa"/>
            <w:vMerge w:val="restart"/>
            <w:shd w:val="clear" w:color="auto" w:fill="FBD4B4"/>
          </w:tcPr>
          <w:p w:rsidR="007C5447" w:rsidRDefault="007C5447">
            <w:pPr>
              <w:pStyle w:val="TableParagraph"/>
              <w:jc w:val="left"/>
              <w:rPr>
                <w:b/>
                <w:sz w:val="20"/>
              </w:rPr>
            </w:pPr>
          </w:p>
          <w:p w:rsidR="007C5447" w:rsidRDefault="007C5447">
            <w:pPr>
              <w:pStyle w:val="TableParagraph"/>
              <w:spacing w:before="4"/>
              <w:jc w:val="left"/>
              <w:rPr>
                <w:b/>
                <w:sz w:val="19"/>
              </w:rPr>
            </w:pPr>
          </w:p>
          <w:p w:rsidR="007C5447" w:rsidRDefault="00F6308C">
            <w:pPr>
              <w:pStyle w:val="TableParagraph"/>
              <w:spacing w:before="1"/>
              <w:ind w:left="236" w:right="228"/>
              <w:jc w:val="center"/>
              <w:rPr>
                <w:b/>
                <w:sz w:val="18"/>
              </w:rPr>
            </w:pPr>
            <w:r>
              <w:rPr>
                <w:b/>
                <w:sz w:val="18"/>
              </w:rPr>
              <w:t>Sl.</w:t>
            </w:r>
          </w:p>
        </w:tc>
        <w:tc>
          <w:tcPr>
            <w:tcW w:w="1985" w:type="dxa"/>
            <w:vMerge w:val="restart"/>
            <w:shd w:val="clear" w:color="auto" w:fill="FBD4B4"/>
          </w:tcPr>
          <w:p w:rsidR="007C5447" w:rsidRDefault="007C5447">
            <w:pPr>
              <w:pStyle w:val="TableParagraph"/>
              <w:jc w:val="left"/>
              <w:rPr>
                <w:b/>
                <w:sz w:val="20"/>
              </w:rPr>
            </w:pPr>
          </w:p>
          <w:p w:rsidR="007C5447" w:rsidRDefault="007C5447">
            <w:pPr>
              <w:pStyle w:val="TableParagraph"/>
              <w:spacing w:before="4"/>
              <w:jc w:val="left"/>
              <w:rPr>
                <w:b/>
                <w:sz w:val="19"/>
              </w:rPr>
            </w:pPr>
          </w:p>
          <w:p w:rsidR="007C5447" w:rsidRDefault="00F6308C">
            <w:pPr>
              <w:pStyle w:val="TableParagraph"/>
              <w:spacing w:before="1"/>
              <w:ind w:left="449"/>
              <w:jc w:val="left"/>
              <w:rPr>
                <w:b/>
                <w:sz w:val="18"/>
              </w:rPr>
            </w:pPr>
            <w:r>
              <w:rPr>
                <w:b/>
                <w:sz w:val="18"/>
              </w:rPr>
              <w:t>Power Station</w:t>
            </w:r>
          </w:p>
        </w:tc>
        <w:tc>
          <w:tcPr>
            <w:tcW w:w="12750" w:type="dxa"/>
            <w:gridSpan w:val="11"/>
            <w:shd w:val="clear" w:color="auto" w:fill="FBD4B4"/>
          </w:tcPr>
          <w:p w:rsidR="007C5447" w:rsidRDefault="00F6308C">
            <w:pPr>
              <w:pStyle w:val="TableParagraph"/>
              <w:spacing w:before="100"/>
              <w:ind w:left="5918" w:right="5897"/>
              <w:jc w:val="center"/>
              <w:rPr>
                <w:b/>
                <w:sz w:val="18"/>
              </w:rPr>
            </w:pPr>
            <w:r>
              <w:rPr>
                <w:b/>
                <w:sz w:val="18"/>
              </w:rPr>
              <w:t>FY 2018-19</w:t>
            </w:r>
          </w:p>
        </w:tc>
      </w:tr>
      <w:tr w:rsidR="007C5447">
        <w:trPr>
          <w:trHeight w:val="693"/>
        </w:trPr>
        <w:tc>
          <w:tcPr>
            <w:tcW w:w="710" w:type="dxa"/>
            <w:vMerge/>
            <w:tcBorders>
              <w:top w:val="nil"/>
            </w:tcBorders>
            <w:shd w:val="clear" w:color="auto" w:fill="FBD4B4"/>
          </w:tcPr>
          <w:p w:rsidR="007C5447" w:rsidRDefault="007C5447">
            <w:pPr>
              <w:rPr>
                <w:sz w:val="2"/>
                <w:szCs w:val="2"/>
              </w:rPr>
            </w:pPr>
          </w:p>
        </w:tc>
        <w:tc>
          <w:tcPr>
            <w:tcW w:w="1985" w:type="dxa"/>
            <w:vMerge/>
            <w:tcBorders>
              <w:top w:val="nil"/>
            </w:tcBorders>
            <w:shd w:val="clear" w:color="auto" w:fill="FBD4B4"/>
          </w:tcPr>
          <w:p w:rsidR="007C5447" w:rsidRDefault="007C5447">
            <w:pPr>
              <w:rPr>
                <w:sz w:val="2"/>
                <w:szCs w:val="2"/>
              </w:rPr>
            </w:pPr>
          </w:p>
        </w:tc>
        <w:tc>
          <w:tcPr>
            <w:tcW w:w="1274" w:type="dxa"/>
            <w:shd w:val="clear" w:color="auto" w:fill="FBD4B4"/>
          </w:tcPr>
          <w:p w:rsidR="007C5447" w:rsidRDefault="007C5447">
            <w:pPr>
              <w:pStyle w:val="TableParagraph"/>
              <w:jc w:val="left"/>
              <w:rPr>
                <w:b/>
                <w:sz w:val="21"/>
              </w:rPr>
            </w:pPr>
          </w:p>
          <w:p w:rsidR="007C5447" w:rsidRDefault="00F6308C">
            <w:pPr>
              <w:pStyle w:val="TableParagraph"/>
              <w:ind w:right="130"/>
              <w:rPr>
                <w:b/>
                <w:sz w:val="18"/>
              </w:rPr>
            </w:pPr>
            <w:r>
              <w:rPr>
                <w:b/>
                <w:sz w:val="18"/>
              </w:rPr>
              <w:t>Depreciation</w:t>
            </w:r>
          </w:p>
        </w:tc>
        <w:tc>
          <w:tcPr>
            <w:tcW w:w="1135" w:type="dxa"/>
            <w:shd w:val="clear" w:color="auto" w:fill="FBD4B4"/>
          </w:tcPr>
          <w:p w:rsidR="007C5447" w:rsidRDefault="007C5447">
            <w:pPr>
              <w:pStyle w:val="TableParagraph"/>
              <w:jc w:val="left"/>
              <w:rPr>
                <w:b/>
                <w:sz w:val="21"/>
              </w:rPr>
            </w:pPr>
          </w:p>
          <w:p w:rsidR="007C5447" w:rsidRDefault="00F6308C">
            <w:pPr>
              <w:pStyle w:val="TableParagraph"/>
              <w:ind w:left="336"/>
              <w:jc w:val="left"/>
              <w:rPr>
                <w:b/>
                <w:sz w:val="18"/>
              </w:rPr>
            </w:pPr>
            <w:r>
              <w:rPr>
                <w:b/>
                <w:sz w:val="18"/>
              </w:rPr>
              <w:t>I&amp;FC</w:t>
            </w:r>
          </w:p>
        </w:tc>
        <w:tc>
          <w:tcPr>
            <w:tcW w:w="990" w:type="dxa"/>
            <w:shd w:val="clear" w:color="auto" w:fill="FBD4B4"/>
          </w:tcPr>
          <w:p w:rsidR="007C5447" w:rsidRDefault="00F6308C">
            <w:pPr>
              <w:pStyle w:val="TableParagraph"/>
              <w:spacing w:before="139"/>
              <w:ind w:left="119" w:right="37" w:firstLine="103"/>
              <w:jc w:val="left"/>
              <w:rPr>
                <w:b/>
                <w:sz w:val="18"/>
              </w:rPr>
            </w:pPr>
            <w:r>
              <w:rPr>
                <w:b/>
                <w:sz w:val="18"/>
              </w:rPr>
              <w:t>Return on Equity</w:t>
            </w:r>
          </w:p>
        </w:tc>
        <w:tc>
          <w:tcPr>
            <w:tcW w:w="1134" w:type="dxa"/>
            <w:shd w:val="clear" w:color="auto" w:fill="FBD4B4"/>
          </w:tcPr>
          <w:p w:rsidR="007C5447" w:rsidRDefault="00F6308C">
            <w:pPr>
              <w:pStyle w:val="TableParagraph"/>
              <w:spacing w:before="35"/>
              <w:ind w:left="149" w:right="134"/>
              <w:jc w:val="center"/>
              <w:rPr>
                <w:b/>
                <w:sz w:val="18"/>
              </w:rPr>
            </w:pPr>
            <w:r>
              <w:rPr>
                <w:b/>
                <w:sz w:val="18"/>
              </w:rPr>
              <w:t>Interest on Working Capital</w:t>
            </w:r>
          </w:p>
        </w:tc>
        <w:tc>
          <w:tcPr>
            <w:tcW w:w="1132" w:type="dxa"/>
            <w:shd w:val="clear" w:color="auto" w:fill="FBD4B4"/>
          </w:tcPr>
          <w:p w:rsidR="007C5447" w:rsidRDefault="00F6308C">
            <w:pPr>
              <w:pStyle w:val="TableParagraph"/>
              <w:spacing w:before="139"/>
              <w:ind w:left="215" w:right="176" w:firstLine="79"/>
              <w:jc w:val="left"/>
              <w:rPr>
                <w:b/>
                <w:sz w:val="18"/>
              </w:rPr>
            </w:pPr>
            <w:r>
              <w:rPr>
                <w:b/>
                <w:sz w:val="18"/>
              </w:rPr>
              <w:t>O &amp; M Expenses</w:t>
            </w:r>
          </w:p>
        </w:tc>
        <w:tc>
          <w:tcPr>
            <w:tcW w:w="1135" w:type="dxa"/>
            <w:shd w:val="clear" w:color="auto" w:fill="FBD4B4"/>
          </w:tcPr>
          <w:p w:rsidR="007C5447" w:rsidRDefault="00F6308C">
            <w:pPr>
              <w:pStyle w:val="TableParagraph"/>
              <w:spacing w:before="139"/>
              <w:ind w:left="326" w:right="289" w:firstLine="14"/>
              <w:jc w:val="left"/>
              <w:rPr>
                <w:b/>
                <w:sz w:val="18"/>
              </w:rPr>
            </w:pPr>
            <w:r>
              <w:rPr>
                <w:b/>
                <w:sz w:val="18"/>
              </w:rPr>
              <w:t>Other Debits</w:t>
            </w:r>
          </w:p>
        </w:tc>
        <w:tc>
          <w:tcPr>
            <w:tcW w:w="1274" w:type="dxa"/>
            <w:shd w:val="clear" w:color="auto" w:fill="FBD4B4"/>
          </w:tcPr>
          <w:p w:rsidR="007C5447" w:rsidRDefault="00F6308C">
            <w:pPr>
              <w:pStyle w:val="TableParagraph"/>
              <w:spacing w:before="35"/>
              <w:ind w:left="138" w:right="115"/>
              <w:jc w:val="center"/>
              <w:rPr>
                <w:b/>
                <w:sz w:val="18"/>
              </w:rPr>
            </w:pPr>
            <w:r>
              <w:rPr>
                <w:b/>
                <w:sz w:val="18"/>
              </w:rPr>
              <w:t>Op. Charges and Extra Ordinary</w:t>
            </w:r>
          </w:p>
        </w:tc>
        <w:tc>
          <w:tcPr>
            <w:tcW w:w="1135" w:type="dxa"/>
            <w:shd w:val="clear" w:color="auto" w:fill="FBD4B4"/>
          </w:tcPr>
          <w:p w:rsidR="007C5447" w:rsidRDefault="00F6308C">
            <w:pPr>
              <w:pStyle w:val="TableParagraph"/>
              <w:spacing w:before="139"/>
              <w:ind w:left="286" w:right="249" w:firstLine="55"/>
              <w:jc w:val="left"/>
              <w:rPr>
                <w:b/>
                <w:sz w:val="18"/>
              </w:rPr>
            </w:pPr>
            <w:r>
              <w:rPr>
                <w:b/>
                <w:sz w:val="18"/>
              </w:rPr>
              <w:t>Other Income</w:t>
            </w:r>
          </w:p>
        </w:tc>
        <w:tc>
          <w:tcPr>
            <w:tcW w:w="1133" w:type="dxa"/>
            <w:shd w:val="clear" w:color="auto" w:fill="FBD4B4"/>
          </w:tcPr>
          <w:p w:rsidR="007C5447" w:rsidRDefault="00F6308C">
            <w:pPr>
              <w:pStyle w:val="TableParagraph"/>
              <w:spacing w:before="139"/>
              <w:ind w:left="287" w:right="111" w:hanging="135"/>
              <w:jc w:val="left"/>
              <w:rPr>
                <w:b/>
                <w:sz w:val="18"/>
              </w:rPr>
            </w:pPr>
            <w:r>
              <w:rPr>
                <w:b/>
                <w:sz w:val="18"/>
              </w:rPr>
              <w:t>Non-Tariff Income</w:t>
            </w:r>
          </w:p>
        </w:tc>
        <w:tc>
          <w:tcPr>
            <w:tcW w:w="1276" w:type="dxa"/>
            <w:shd w:val="clear" w:color="auto" w:fill="FBD4B4"/>
          </w:tcPr>
          <w:p w:rsidR="007C5447" w:rsidRDefault="00F6308C">
            <w:pPr>
              <w:pStyle w:val="TableParagraph"/>
              <w:spacing w:before="35"/>
              <w:ind w:left="148" w:right="127" w:firstLine="3"/>
              <w:jc w:val="center"/>
              <w:rPr>
                <w:b/>
                <w:sz w:val="18"/>
              </w:rPr>
            </w:pPr>
            <w:r>
              <w:rPr>
                <w:b/>
                <w:sz w:val="18"/>
              </w:rPr>
              <w:t>Other Interest &amp; Fin. Charges</w:t>
            </w:r>
          </w:p>
        </w:tc>
        <w:tc>
          <w:tcPr>
            <w:tcW w:w="1132" w:type="dxa"/>
            <w:shd w:val="clear" w:color="auto" w:fill="FBD4B4"/>
          </w:tcPr>
          <w:p w:rsidR="007C5447" w:rsidRDefault="00F6308C">
            <w:pPr>
              <w:pStyle w:val="TableParagraph"/>
              <w:spacing w:before="139"/>
              <w:ind w:left="398" w:right="88" w:hanging="269"/>
              <w:jc w:val="left"/>
              <w:rPr>
                <w:b/>
                <w:sz w:val="18"/>
              </w:rPr>
            </w:pPr>
            <w:r>
              <w:rPr>
                <w:b/>
                <w:sz w:val="18"/>
              </w:rPr>
              <w:t>Total Fixed Cost</w:t>
            </w:r>
          </w:p>
        </w:tc>
      </w:tr>
      <w:tr w:rsidR="007C5447">
        <w:trPr>
          <w:trHeight w:val="302"/>
        </w:trPr>
        <w:tc>
          <w:tcPr>
            <w:tcW w:w="710" w:type="dxa"/>
          </w:tcPr>
          <w:p w:rsidR="007C5447" w:rsidRDefault="00F6308C">
            <w:pPr>
              <w:pStyle w:val="TableParagraph"/>
              <w:spacing w:before="47"/>
              <w:ind w:left="4"/>
              <w:jc w:val="center"/>
              <w:rPr>
                <w:sz w:val="18"/>
              </w:rPr>
            </w:pPr>
            <w:r>
              <w:rPr>
                <w:sz w:val="18"/>
              </w:rPr>
              <w:t>1</w:t>
            </w:r>
          </w:p>
        </w:tc>
        <w:tc>
          <w:tcPr>
            <w:tcW w:w="1985" w:type="dxa"/>
          </w:tcPr>
          <w:p w:rsidR="007C5447" w:rsidRDefault="00F6308C">
            <w:pPr>
              <w:pStyle w:val="TableParagraph"/>
              <w:spacing w:before="47"/>
              <w:ind w:left="108"/>
              <w:jc w:val="left"/>
              <w:rPr>
                <w:sz w:val="18"/>
              </w:rPr>
            </w:pPr>
            <w:r>
              <w:rPr>
                <w:sz w:val="18"/>
              </w:rPr>
              <w:t>Ennore TPS</w:t>
            </w:r>
          </w:p>
        </w:tc>
        <w:tc>
          <w:tcPr>
            <w:tcW w:w="1274" w:type="dxa"/>
          </w:tcPr>
          <w:p w:rsidR="007C5447" w:rsidRDefault="00F6308C">
            <w:pPr>
              <w:pStyle w:val="TableParagraph"/>
              <w:spacing w:before="47"/>
              <w:ind w:right="92"/>
              <w:rPr>
                <w:sz w:val="18"/>
              </w:rPr>
            </w:pPr>
            <w:r>
              <w:rPr>
                <w:w w:val="99"/>
                <w:sz w:val="18"/>
              </w:rPr>
              <w:t>-</w:t>
            </w:r>
          </w:p>
        </w:tc>
        <w:tc>
          <w:tcPr>
            <w:tcW w:w="1135" w:type="dxa"/>
          </w:tcPr>
          <w:p w:rsidR="007C5447" w:rsidRDefault="00F6308C">
            <w:pPr>
              <w:pStyle w:val="TableParagraph"/>
              <w:spacing w:before="47"/>
              <w:ind w:right="96"/>
              <w:rPr>
                <w:sz w:val="18"/>
              </w:rPr>
            </w:pPr>
            <w:r>
              <w:rPr>
                <w:w w:val="99"/>
                <w:sz w:val="18"/>
              </w:rPr>
              <w:t>-</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47"/>
              <w:ind w:right="94"/>
              <w:rPr>
                <w:sz w:val="18"/>
              </w:rPr>
            </w:pPr>
            <w:r>
              <w:rPr>
                <w:w w:val="99"/>
                <w:sz w:val="18"/>
              </w:rPr>
              <w:t>-</w:t>
            </w:r>
          </w:p>
        </w:tc>
        <w:tc>
          <w:tcPr>
            <w:tcW w:w="1132" w:type="dxa"/>
          </w:tcPr>
          <w:p w:rsidR="007C5447" w:rsidRDefault="00F6308C">
            <w:pPr>
              <w:pStyle w:val="TableParagraph"/>
              <w:spacing w:before="47"/>
              <w:ind w:right="91"/>
              <w:rPr>
                <w:sz w:val="18"/>
              </w:rPr>
            </w:pPr>
            <w:r>
              <w:rPr>
                <w:w w:val="99"/>
                <w:sz w:val="18"/>
              </w:rPr>
              <w:t>-</w:t>
            </w:r>
          </w:p>
        </w:tc>
        <w:tc>
          <w:tcPr>
            <w:tcW w:w="1135" w:type="dxa"/>
          </w:tcPr>
          <w:p w:rsidR="007C5447" w:rsidRDefault="00F6308C">
            <w:pPr>
              <w:pStyle w:val="TableParagraph"/>
              <w:spacing w:before="47"/>
              <w:ind w:right="93"/>
              <w:rPr>
                <w:sz w:val="18"/>
              </w:rPr>
            </w:pPr>
            <w:r>
              <w:rPr>
                <w:w w:val="99"/>
                <w:sz w:val="18"/>
              </w:rPr>
              <w:t>-</w:t>
            </w:r>
          </w:p>
        </w:tc>
        <w:tc>
          <w:tcPr>
            <w:tcW w:w="1274" w:type="dxa"/>
          </w:tcPr>
          <w:p w:rsidR="007C5447" w:rsidRDefault="00F6308C">
            <w:pPr>
              <w:pStyle w:val="TableParagraph"/>
              <w:spacing w:before="47"/>
              <w:ind w:right="87"/>
              <w:rPr>
                <w:sz w:val="18"/>
              </w:rPr>
            </w:pPr>
            <w:r>
              <w:rPr>
                <w:w w:val="99"/>
                <w:sz w:val="18"/>
              </w:rPr>
              <w:t>-</w:t>
            </w:r>
          </w:p>
        </w:tc>
        <w:tc>
          <w:tcPr>
            <w:tcW w:w="1135" w:type="dxa"/>
          </w:tcPr>
          <w:p w:rsidR="007C5447" w:rsidRDefault="00F6308C">
            <w:pPr>
              <w:pStyle w:val="TableParagraph"/>
              <w:spacing w:before="47"/>
              <w:ind w:right="92"/>
              <w:rPr>
                <w:sz w:val="18"/>
              </w:rPr>
            </w:pPr>
            <w:r>
              <w:rPr>
                <w:w w:val="99"/>
                <w:sz w:val="18"/>
              </w:rPr>
              <w:t>-</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47"/>
              <w:ind w:right="91"/>
              <w:rPr>
                <w:sz w:val="18"/>
              </w:rPr>
            </w:pPr>
            <w:r>
              <w:rPr>
                <w:w w:val="99"/>
                <w:sz w:val="18"/>
              </w:rPr>
              <w:t>-</w:t>
            </w:r>
          </w:p>
        </w:tc>
        <w:tc>
          <w:tcPr>
            <w:tcW w:w="1132" w:type="dxa"/>
          </w:tcPr>
          <w:p w:rsidR="007C5447" w:rsidRDefault="00F6308C">
            <w:pPr>
              <w:pStyle w:val="TableParagraph"/>
              <w:spacing w:before="47"/>
              <w:ind w:right="88"/>
              <w:rPr>
                <w:sz w:val="18"/>
              </w:rPr>
            </w:pPr>
            <w:r>
              <w:rPr>
                <w:w w:val="99"/>
                <w:sz w:val="18"/>
              </w:rPr>
              <w:t>-</w:t>
            </w:r>
          </w:p>
        </w:tc>
      </w:tr>
      <w:tr w:rsidR="007C5447">
        <w:trPr>
          <w:trHeight w:val="299"/>
        </w:trPr>
        <w:tc>
          <w:tcPr>
            <w:tcW w:w="710" w:type="dxa"/>
          </w:tcPr>
          <w:p w:rsidR="007C5447" w:rsidRDefault="00F6308C">
            <w:pPr>
              <w:pStyle w:val="TableParagraph"/>
              <w:spacing w:before="45"/>
              <w:ind w:left="4"/>
              <w:jc w:val="center"/>
              <w:rPr>
                <w:sz w:val="18"/>
              </w:rPr>
            </w:pPr>
            <w:r>
              <w:rPr>
                <w:sz w:val="18"/>
              </w:rPr>
              <w:t>2</w:t>
            </w:r>
          </w:p>
        </w:tc>
        <w:tc>
          <w:tcPr>
            <w:tcW w:w="1985" w:type="dxa"/>
          </w:tcPr>
          <w:p w:rsidR="007C5447" w:rsidRDefault="00F6308C">
            <w:pPr>
              <w:pStyle w:val="TableParagraph"/>
              <w:spacing w:before="45"/>
              <w:ind w:left="108"/>
              <w:jc w:val="left"/>
              <w:rPr>
                <w:sz w:val="18"/>
              </w:rPr>
            </w:pPr>
            <w:r>
              <w:rPr>
                <w:sz w:val="18"/>
              </w:rPr>
              <w:t>Tuticorin TPS</w:t>
            </w:r>
          </w:p>
        </w:tc>
        <w:tc>
          <w:tcPr>
            <w:tcW w:w="1274" w:type="dxa"/>
          </w:tcPr>
          <w:p w:rsidR="007C5447" w:rsidRDefault="00F6308C">
            <w:pPr>
              <w:pStyle w:val="TableParagraph"/>
              <w:spacing w:before="45"/>
              <w:ind w:right="94"/>
              <w:rPr>
                <w:sz w:val="18"/>
              </w:rPr>
            </w:pPr>
            <w:r>
              <w:rPr>
                <w:sz w:val="18"/>
              </w:rPr>
              <w:t>121.94</w:t>
            </w:r>
          </w:p>
        </w:tc>
        <w:tc>
          <w:tcPr>
            <w:tcW w:w="1135" w:type="dxa"/>
          </w:tcPr>
          <w:p w:rsidR="007C5447" w:rsidRDefault="00F6308C">
            <w:pPr>
              <w:pStyle w:val="TableParagraph"/>
              <w:spacing w:before="45"/>
              <w:ind w:right="99"/>
              <w:rPr>
                <w:sz w:val="18"/>
              </w:rPr>
            </w:pPr>
            <w:r>
              <w:rPr>
                <w:sz w:val="18"/>
              </w:rPr>
              <w:t>228.72</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45"/>
              <w:ind w:right="96"/>
              <w:rPr>
                <w:sz w:val="18"/>
              </w:rPr>
            </w:pPr>
            <w:r>
              <w:rPr>
                <w:sz w:val="18"/>
              </w:rPr>
              <w:t>139.92</w:t>
            </w:r>
          </w:p>
        </w:tc>
        <w:tc>
          <w:tcPr>
            <w:tcW w:w="1132" w:type="dxa"/>
          </w:tcPr>
          <w:p w:rsidR="007C5447" w:rsidRDefault="00F6308C">
            <w:pPr>
              <w:pStyle w:val="TableParagraph"/>
              <w:spacing w:before="45"/>
              <w:ind w:right="94"/>
              <w:rPr>
                <w:sz w:val="18"/>
              </w:rPr>
            </w:pPr>
            <w:r>
              <w:rPr>
                <w:sz w:val="18"/>
              </w:rPr>
              <w:t>389.11</w:t>
            </w:r>
          </w:p>
        </w:tc>
        <w:tc>
          <w:tcPr>
            <w:tcW w:w="1135" w:type="dxa"/>
          </w:tcPr>
          <w:p w:rsidR="007C5447" w:rsidRDefault="00F6308C">
            <w:pPr>
              <w:pStyle w:val="TableParagraph"/>
              <w:spacing w:before="45"/>
              <w:ind w:right="93"/>
              <w:rPr>
                <w:sz w:val="18"/>
              </w:rPr>
            </w:pPr>
            <w:r>
              <w:rPr>
                <w:w w:val="99"/>
                <w:sz w:val="18"/>
              </w:rPr>
              <w:t>-</w:t>
            </w:r>
          </w:p>
        </w:tc>
        <w:tc>
          <w:tcPr>
            <w:tcW w:w="1274" w:type="dxa"/>
          </w:tcPr>
          <w:p w:rsidR="007C5447" w:rsidRDefault="00F6308C">
            <w:pPr>
              <w:pStyle w:val="TableParagraph"/>
              <w:spacing w:before="45"/>
              <w:ind w:right="87"/>
              <w:rPr>
                <w:sz w:val="18"/>
              </w:rPr>
            </w:pPr>
            <w:r>
              <w:rPr>
                <w:w w:val="99"/>
                <w:sz w:val="18"/>
              </w:rPr>
              <w:t>-</w:t>
            </w:r>
          </w:p>
        </w:tc>
        <w:tc>
          <w:tcPr>
            <w:tcW w:w="1135" w:type="dxa"/>
          </w:tcPr>
          <w:p w:rsidR="007C5447" w:rsidRDefault="00F6308C">
            <w:pPr>
              <w:pStyle w:val="TableParagraph"/>
              <w:spacing w:before="45"/>
              <w:ind w:right="91"/>
              <w:rPr>
                <w:sz w:val="18"/>
              </w:rPr>
            </w:pPr>
            <w:r>
              <w:rPr>
                <w:sz w:val="18"/>
              </w:rPr>
              <w:t>33.27</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45"/>
              <w:ind w:right="92"/>
              <w:rPr>
                <w:sz w:val="18"/>
              </w:rPr>
            </w:pPr>
            <w:r>
              <w:rPr>
                <w:sz w:val="18"/>
              </w:rPr>
              <w:t>8.46</w:t>
            </w:r>
          </w:p>
        </w:tc>
        <w:tc>
          <w:tcPr>
            <w:tcW w:w="1132" w:type="dxa"/>
          </w:tcPr>
          <w:p w:rsidR="007C5447" w:rsidRDefault="00F6308C">
            <w:pPr>
              <w:pStyle w:val="TableParagraph"/>
              <w:spacing w:before="45"/>
              <w:ind w:right="89"/>
              <w:rPr>
                <w:sz w:val="18"/>
              </w:rPr>
            </w:pPr>
            <w:r>
              <w:rPr>
                <w:sz w:val="18"/>
              </w:rPr>
              <w:t>854.57</w:t>
            </w:r>
          </w:p>
        </w:tc>
      </w:tr>
      <w:tr w:rsidR="007C5447">
        <w:trPr>
          <w:trHeight w:val="300"/>
        </w:trPr>
        <w:tc>
          <w:tcPr>
            <w:tcW w:w="710" w:type="dxa"/>
          </w:tcPr>
          <w:p w:rsidR="007C5447" w:rsidRDefault="00F6308C">
            <w:pPr>
              <w:pStyle w:val="TableParagraph"/>
              <w:spacing w:before="46"/>
              <w:ind w:left="4"/>
              <w:jc w:val="center"/>
              <w:rPr>
                <w:sz w:val="18"/>
              </w:rPr>
            </w:pPr>
            <w:r>
              <w:rPr>
                <w:sz w:val="18"/>
              </w:rPr>
              <w:t>3</w:t>
            </w:r>
          </w:p>
        </w:tc>
        <w:tc>
          <w:tcPr>
            <w:tcW w:w="1985" w:type="dxa"/>
          </w:tcPr>
          <w:p w:rsidR="007C5447" w:rsidRDefault="00F6308C">
            <w:pPr>
              <w:pStyle w:val="TableParagraph"/>
              <w:spacing w:before="46"/>
              <w:ind w:left="108"/>
              <w:jc w:val="left"/>
              <w:rPr>
                <w:sz w:val="18"/>
              </w:rPr>
            </w:pPr>
            <w:r>
              <w:rPr>
                <w:sz w:val="18"/>
              </w:rPr>
              <w:t>Mettur TPS</w:t>
            </w:r>
          </w:p>
        </w:tc>
        <w:tc>
          <w:tcPr>
            <w:tcW w:w="1274" w:type="dxa"/>
          </w:tcPr>
          <w:p w:rsidR="007C5447" w:rsidRDefault="00F6308C">
            <w:pPr>
              <w:pStyle w:val="TableParagraph"/>
              <w:spacing w:before="46"/>
              <w:ind w:right="91"/>
              <w:rPr>
                <w:sz w:val="18"/>
              </w:rPr>
            </w:pPr>
            <w:r>
              <w:rPr>
                <w:sz w:val="18"/>
              </w:rPr>
              <w:t>76.93</w:t>
            </w:r>
          </w:p>
        </w:tc>
        <w:tc>
          <w:tcPr>
            <w:tcW w:w="1135" w:type="dxa"/>
          </w:tcPr>
          <w:p w:rsidR="007C5447" w:rsidRDefault="00F6308C">
            <w:pPr>
              <w:pStyle w:val="TableParagraph"/>
              <w:spacing w:before="46"/>
              <w:ind w:right="99"/>
              <w:rPr>
                <w:sz w:val="18"/>
              </w:rPr>
            </w:pPr>
            <w:r>
              <w:rPr>
                <w:sz w:val="18"/>
              </w:rPr>
              <w:t>135.02</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46"/>
              <w:ind w:right="96"/>
              <w:rPr>
                <w:sz w:val="18"/>
              </w:rPr>
            </w:pPr>
            <w:r>
              <w:rPr>
                <w:sz w:val="18"/>
              </w:rPr>
              <w:t>117.30</w:t>
            </w:r>
          </w:p>
        </w:tc>
        <w:tc>
          <w:tcPr>
            <w:tcW w:w="1132" w:type="dxa"/>
          </w:tcPr>
          <w:p w:rsidR="007C5447" w:rsidRDefault="00F6308C">
            <w:pPr>
              <w:pStyle w:val="TableParagraph"/>
              <w:spacing w:before="46"/>
              <w:ind w:right="94"/>
              <w:rPr>
                <w:sz w:val="18"/>
              </w:rPr>
            </w:pPr>
            <w:r>
              <w:rPr>
                <w:sz w:val="18"/>
              </w:rPr>
              <w:t>297.46</w:t>
            </w:r>
          </w:p>
        </w:tc>
        <w:tc>
          <w:tcPr>
            <w:tcW w:w="1135" w:type="dxa"/>
          </w:tcPr>
          <w:p w:rsidR="007C5447" w:rsidRDefault="00F6308C">
            <w:pPr>
              <w:pStyle w:val="TableParagraph"/>
              <w:spacing w:before="46"/>
              <w:ind w:right="93"/>
              <w:rPr>
                <w:sz w:val="18"/>
              </w:rPr>
            </w:pPr>
            <w:r>
              <w:rPr>
                <w:w w:val="99"/>
                <w:sz w:val="18"/>
              </w:rPr>
              <w:t>-</w:t>
            </w:r>
          </w:p>
        </w:tc>
        <w:tc>
          <w:tcPr>
            <w:tcW w:w="1274" w:type="dxa"/>
          </w:tcPr>
          <w:p w:rsidR="007C5447" w:rsidRDefault="00F6308C">
            <w:pPr>
              <w:pStyle w:val="TableParagraph"/>
              <w:spacing w:before="46"/>
              <w:ind w:right="87"/>
              <w:rPr>
                <w:sz w:val="18"/>
              </w:rPr>
            </w:pPr>
            <w:r>
              <w:rPr>
                <w:w w:val="99"/>
                <w:sz w:val="18"/>
              </w:rPr>
              <w:t>-</w:t>
            </w:r>
          </w:p>
        </w:tc>
        <w:tc>
          <w:tcPr>
            <w:tcW w:w="1135" w:type="dxa"/>
          </w:tcPr>
          <w:p w:rsidR="007C5447" w:rsidRDefault="00F6308C">
            <w:pPr>
              <w:pStyle w:val="TableParagraph"/>
              <w:spacing w:before="46"/>
              <w:ind w:right="91"/>
              <w:rPr>
                <w:sz w:val="18"/>
              </w:rPr>
            </w:pPr>
            <w:r>
              <w:rPr>
                <w:sz w:val="18"/>
              </w:rPr>
              <w:t>29.58</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46"/>
              <w:ind w:right="92"/>
              <w:rPr>
                <w:sz w:val="18"/>
              </w:rPr>
            </w:pPr>
            <w:r>
              <w:rPr>
                <w:sz w:val="18"/>
              </w:rPr>
              <w:t>7.19</w:t>
            </w:r>
          </w:p>
        </w:tc>
        <w:tc>
          <w:tcPr>
            <w:tcW w:w="1132" w:type="dxa"/>
          </w:tcPr>
          <w:p w:rsidR="007C5447" w:rsidRDefault="00F6308C">
            <w:pPr>
              <w:pStyle w:val="TableParagraph"/>
              <w:spacing w:before="46"/>
              <w:ind w:right="89"/>
              <w:rPr>
                <w:sz w:val="18"/>
              </w:rPr>
            </w:pPr>
            <w:r>
              <w:rPr>
                <w:sz w:val="18"/>
              </w:rPr>
              <w:t>604.33</w:t>
            </w:r>
          </w:p>
        </w:tc>
      </w:tr>
      <w:tr w:rsidR="007C5447">
        <w:trPr>
          <w:trHeight w:val="299"/>
        </w:trPr>
        <w:tc>
          <w:tcPr>
            <w:tcW w:w="710" w:type="dxa"/>
          </w:tcPr>
          <w:p w:rsidR="007C5447" w:rsidRDefault="00F6308C">
            <w:pPr>
              <w:pStyle w:val="TableParagraph"/>
              <w:spacing w:before="45"/>
              <w:ind w:left="4"/>
              <w:jc w:val="center"/>
              <w:rPr>
                <w:sz w:val="18"/>
              </w:rPr>
            </w:pPr>
            <w:r>
              <w:rPr>
                <w:sz w:val="18"/>
              </w:rPr>
              <w:t>4</w:t>
            </w:r>
          </w:p>
        </w:tc>
        <w:tc>
          <w:tcPr>
            <w:tcW w:w="1985" w:type="dxa"/>
          </w:tcPr>
          <w:p w:rsidR="007C5447" w:rsidRDefault="00F6308C">
            <w:pPr>
              <w:pStyle w:val="TableParagraph"/>
              <w:spacing w:before="45"/>
              <w:ind w:left="108"/>
              <w:jc w:val="left"/>
              <w:rPr>
                <w:sz w:val="18"/>
              </w:rPr>
            </w:pPr>
            <w:r>
              <w:rPr>
                <w:sz w:val="18"/>
              </w:rPr>
              <w:t>North Chennai TPS</w:t>
            </w:r>
          </w:p>
        </w:tc>
        <w:tc>
          <w:tcPr>
            <w:tcW w:w="1274" w:type="dxa"/>
          </w:tcPr>
          <w:p w:rsidR="007C5447" w:rsidRDefault="00F6308C">
            <w:pPr>
              <w:pStyle w:val="TableParagraph"/>
              <w:spacing w:before="45"/>
              <w:ind w:right="94"/>
              <w:rPr>
                <w:sz w:val="18"/>
              </w:rPr>
            </w:pPr>
            <w:r>
              <w:rPr>
                <w:sz w:val="18"/>
              </w:rPr>
              <w:t>126.91</w:t>
            </w:r>
          </w:p>
        </w:tc>
        <w:tc>
          <w:tcPr>
            <w:tcW w:w="1135" w:type="dxa"/>
          </w:tcPr>
          <w:p w:rsidR="007C5447" w:rsidRDefault="00F6308C">
            <w:pPr>
              <w:pStyle w:val="TableParagraph"/>
              <w:spacing w:before="45"/>
              <w:ind w:right="99"/>
              <w:rPr>
                <w:sz w:val="18"/>
              </w:rPr>
            </w:pPr>
            <w:r>
              <w:rPr>
                <w:sz w:val="18"/>
              </w:rPr>
              <w:t>326.13</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45"/>
              <w:ind w:right="93"/>
              <w:rPr>
                <w:sz w:val="18"/>
              </w:rPr>
            </w:pPr>
            <w:r>
              <w:rPr>
                <w:sz w:val="18"/>
              </w:rPr>
              <w:t>80.56</w:t>
            </w:r>
          </w:p>
        </w:tc>
        <w:tc>
          <w:tcPr>
            <w:tcW w:w="1132" w:type="dxa"/>
          </w:tcPr>
          <w:p w:rsidR="007C5447" w:rsidRDefault="00F6308C">
            <w:pPr>
              <w:pStyle w:val="TableParagraph"/>
              <w:spacing w:before="45"/>
              <w:ind w:right="94"/>
              <w:rPr>
                <w:sz w:val="18"/>
              </w:rPr>
            </w:pPr>
            <w:r>
              <w:rPr>
                <w:sz w:val="18"/>
              </w:rPr>
              <w:t>277.51</w:t>
            </w:r>
          </w:p>
        </w:tc>
        <w:tc>
          <w:tcPr>
            <w:tcW w:w="1135" w:type="dxa"/>
          </w:tcPr>
          <w:p w:rsidR="007C5447" w:rsidRDefault="00F6308C">
            <w:pPr>
              <w:pStyle w:val="TableParagraph"/>
              <w:spacing w:before="45"/>
              <w:ind w:right="93"/>
              <w:rPr>
                <w:sz w:val="18"/>
              </w:rPr>
            </w:pPr>
            <w:r>
              <w:rPr>
                <w:w w:val="99"/>
                <w:sz w:val="18"/>
              </w:rPr>
              <w:t>-</w:t>
            </w:r>
          </w:p>
        </w:tc>
        <w:tc>
          <w:tcPr>
            <w:tcW w:w="1274" w:type="dxa"/>
          </w:tcPr>
          <w:p w:rsidR="007C5447" w:rsidRDefault="00F6308C">
            <w:pPr>
              <w:pStyle w:val="TableParagraph"/>
              <w:spacing w:before="45"/>
              <w:ind w:right="87"/>
              <w:rPr>
                <w:sz w:val="18"/>
              </w:rPr>
            </w:pPr>
            <w:r>
              <w:rPr>
                <w:w w:val="99"/>
                <w:sz w:val="18"/>
              </w:rPr>
              <w:t>-</w:t>
            </w:r>
          </w:p>
        </w:tc>
        <w:tc>
          <w:tcPr>
            <w:tcW w:w="1135" w:type="dxa"/>
          </w:tcPr>
          <w:p w:rsidR="007C5447" w:rsidRDefault="00F6308C">
            <w:pPr>
              <w:pStyle w:val="TableParagraph"/>
              <w:spacing w:before="45"/>
              <w:ind w:right="91"/>
              <w:rPr>
                <w:sz w:val="18"/>
              </w:rPr>
            </w:pPr>
            <w:r>
              <w:rPr>
                <w:sz w:val="18"/>
              </w:rPr>
              <w:t>26.61</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45"/>
              <w:ind w:right="92"/>
              <w:rPr>
                <w:sz w:val="18"/>
              </w:rPr>
            </w:pPr>
            <w:r>
              <w:rPr>
                <w:sz w:val="18"/>
              </w:rPr>
              <w:t>4.48</w:t>
            </w:r>
          </w:p>
        </w:tc>
        <w:tc>
          <w:tcPr>
            <w:tcW w:w="1132" w:type="dxa"/>
          </w:tcPr>
          <w:p w:rsidR="007C5447" w:rsidRDefault="00F6308C">
            <w:pPr>
              <w:pStyle w:val="TableParagraph"/>
              <w:spacing w:before="45"/>
              <w:ind w:right="89"/>
              <w:rPr>
                <w:sz w:val="18"/>
              </w:rPr>
            </w:pPr>
            <w:r>
              <w:rPr>
                <w:sz w:val="18"/>
              </w:rPr>
              <w:t>788.98</w:t>
            </w:r>
          </w:p>
        </w:tc>
      </w:tr>
      <w:tr w:rsidR="007C5447">
        <w:trPr>
          <w:trHeight w:val="299"/>
        </w:trPr>
        <w:tc>
          <w:tcPr>
            <w:tcW w:w="710" w:type="dxa"/>
          </w:tcPr>
          <w:p w:rsidR="007C5447" w:rsidRDefault="00F6308C">
            <w:pPr>
              <w:pStyle w:val="TableParagraph"/>
              <w:spacing w:before="47"/>
              <w:ind w:left="4"/>
              <w:jc w:val="center"/>
              <w:rPr>
                <w:sz w:val="18"/>
              </w:rPr>
            </w:pPr>
            <w:r>
              <w:rPr>
                <w:sz w:val="18"/>
              </w:rPr>
              <w:t>5</w:t>
            </w:r>
          </w:p>
        </w:tc>
        <w:tc>
          <w:tcPr>
            <w:tcW w:w="1985" w:type="dxa"/>
          </w:tcPr>
          <w:p w:rsidR="007C5447" w:rsidRDefault="00F6308C">
            <w:pPr>
              <w:pStyle w:val="TableParagraph"/>
              <w:spacing w:before="47"/>
              <w:ind w:left="108"/>
              <w:jc w:val="left"/>
              <w:rPr>
                <w:sz w:val="18"/>
              </w:rPr>
            </w:pPr>
            <w:r>
              <w:rPr>
                <w:sz w:val="18"/>
              </w:rPr>
              <w:t>Mettur TPS Stage III</w:t>
            </w:r>
          </w:p>
        </w:tc>
        <w:tc>
          <w:tcPr>
            <w:tcW w:w="1274" w:type="dxa"/>
          </w:tcPr>
          <w:p w:rsidR="007C5447" w:rsidRDefault="00F6308C">
            <w:pPr>
              <w:pStyle w:val="TableParagraph"/>
              <w:spacing w:before="47"/>
              <w:ind w:right="94"/>
              <w:rPr>
                <w:sz w:val="18"/>
              </w:rPr>
            </w:pPr>
            <w:r>
              <w:rPr>
                <w:sz w:val="18"/>
              </w:rPr>
              <w:t>162.32</w:t>
            </w:r>
          </w:p>
        </w:tc>
        <w:tc>
          <w:tcPr>
            <w:tcW w:w="1135" w:type="dxa"/>
          </w:tcPr>
          <w:p w:rsidR="007C5447" w:rsidRDefault="00F6308C">
            <w:pPr>
              <w:pStyle w:val="TableParagraph"/>
              <w:spacing w:before="47"/>
              <w:ind w:right="99"/>
              <w:rPr>
                <w:sz w:val="18"/>
              </w:rPr>
            </w:pPr>
            <w:r>
              <w:rPr>
                <w:sz w:val="18"/>
              </w:rPr>
              <w:t>181.03</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47"/>
              <w:ind w:right="93"/>
              <w:rPr>
                <w:sz w:val="18"/>
              </w:rPr>
            </w:pPr>
            <w:r>
              <w:rPr>
                <w:sz w:val="18"/>
              </w:rPr>
              <w:t>83.26</w:t>
            </w:r>
          </w:p>
        </w:tc>
        <w:tc>
          <w:tcPr>
            <w:tcW w:w="1132" w:type="dxa"/>
          </w:tcPr>
          <w:p w:rsidR="007C5447" w:rsidRDefault="00F6308C">
            <w:pPr>
              <w:pStyle w:val="TableParagraph"/>
              <w:spacing w:before="47"/>
              <w:ind w:right="90"/>
              <w:rPr>
                <w:sz w:val="18"/>
              </w:rPr>
            </w:pPr>
            <w:r>
              <w:rPr>
                <w:sz w:val="18"/>
              </w:rPr>
              <w:t>50.40</w:t>
            </w:r>
          </w:p>
        </w:tc>
        <w:tc>
          <w:tcPr>
            <w:tcW w:w="1135" w:type="dxa"/>
          </w:tcPr>
          <w:p w:rsidR="007C5447" w:rsidRDefault="00F6308C">
            <w:pPr>
              <w:pStyle w:val="TableParagraph"/>
              <w:spacing w:before="47"/>
              <w:ind w:right="93"/>
              <w:rPr>
                <w:sz w:val="18"/>
              </w:rPr>
            </w:pPr>
            <w:r>
              <w:rPr>
                <w:w w:val="99"/>
                <w:sz w:val="18"/>
              </w:rPr>
              <w:t>-</w:t>
            </w:r>
          </w:p>
        </w:tc>
        <w:tc>
          <w:tcPr>
            <w:tcW w:w="1274" w:type="dxa"/>
          </w:tcPr>
          <w:p w:rsidR="007C5447" w:rsidRDefault="00F6308C">
            <w:pPr>
              <w:pStyle w:val="TableParagraph"/>
              <w:spacing w:before="47"/>
              <w:ind w:right="87"/>
              <w:rPr>
                <w:sz w:val="18"/>
              </w:rPr>
            </w:pPr>
            <w:r>
              <w:rPr>
                <w:w w:val="99"/>
                <w:sz w:val="18"/>
              </w:rPr>
              <w:t>-</w:t>
            </w:r>
          </w:p>
        </w:tc>
        <w:tc>
          <w:tcPr>
            <w:tcW w:w="1135" w:type="dxa"/>
          </w:tcPr>
          <w:p w:rsidR="007C5447" w:rsidRDefault="00F6308C">
            <w:pPr>
              <w:pStyle w:val="TableParagraph"/>
              <w:spacing w:before="47"/>
              <w:ind w:right="91"/>
              <w:rPr>
                <w:sz w:val="18"/>
              </w:rPr>
            </w:pPr>
            <w:r>
              <w:rPr>
                <w:sz w:val="18"/>
              </w:rPr>
              <w:t>31.53</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47"/>
              <w:ind w:right="92"/>
              <w:rPr>
                <w:sz w:val="18"/>
              </w:rPr>
            </w:pPr>
            <w:r>
              <w:rPr>
                <w:sz w:val="18"/>
              </w:rPr>
              <w:t>1.99</w:t>
            </w:r>
          </w:p>
        </w:tc>
        <w:tc>
          <w:tcPr>
            <w:tcW w:w="1132" w:type="dxa"/>
          </w:tcPr>
          <w:p w:rsidR="007C5447" w:rsidRDefault="00F6308C">
            <w:pPr>
              <w:pStyle w:val="TableParagraph"/>
              <w:spacing w:before="47"/>
              <w:ind w:right="89"/>
              <w:rPr>
                <w:sz w:val="18"/>
              </w:rPr>
            </w:pPr>
            <w:r>
              <w:rPr>
                <w:sz w:val="18"/>
              </w:rPr>
              <w:t>447.46</w:t>
            </w:r>
          </w:p>
        </w:tc>
      </w:tr>
      <w:tr w:rsidR="007C5447">
        <w:trPr>
          <w:trHeight w:val="299"/>
        </w:trPr>
        <w:tc>
          <w:tcPr>
            <w:tcW w:w="710" w:type="dxa"/>
          </w:tcPr>
          <w:p w:rsidR="007C5447" w:rsidRDefault="00F6308C">
            <w:pPr>
              <w:pStyle w:val="TableParagraph"/>
              <w:spacing w:before="47"/>
              <w:ind w:left="4"/>
              <w:jc w:val="center"/>
              <w:rPr>
                <w:sz w:val="18"/>
              </w:rPr>
            </w:pPr>
            <w:r>
              <w:rPr>
                <w:sz w:val="18"/>
              </w:rPr>
              <w:t>6</w:t>
            </w:r>
          </w:p>
        </w:tc>
        <w:tc>
          <w:tcPr>
            <w:tcW w:w="1985" w:type="dxa"/>
          </w:tcPr>
          <w:p w:rsidR="007C5447" w:rsidRDefault="00F6308C">
            <w:pPr>
              <w:pStyle w:val="TableParagraph"/>
              <w:spacing w:before="47"/>
              <w:ind w:left="108"/>
              <w:jc w:val="left"/>
              <w:rPr>
                <w:sz w:val="18"/>
              </w:rPr>
            </w:pPr>
            <w:r>
              <w:rPr>
                <w:sz w:val="18"/>
              </w:rPr>
              <w:t>North Chennai TPS II</w:t>
            </w:r>
          </w:p>
        </w:tc>
        <w:tc>
          <w:tcPr>
            <w:tcW w:w="1274" w:type="dxa"/>
          </w:tcPr>
          <w:p w:rsidR="007C5447" w:rsidRDefault="00F6308C">
            <w:pPr>
              <w:pStyle w:val="TableParagraph"/>
              <w:spacing w:before="47"/>
              <w:ind w:right="94"/>
              <w:rPr>
                <w:sz w:val="18"/>
              </w:rPr>
            </w:pPr>
            <w:r>
              <w:rPr>
                <w:sz w:val="18"/>
              </w:rPr>
              <w:t>289.75</w:t>
            </w:r>
          </w:p>
        </w:tc>
        <w:tc>
          <w:tcPr>
            <w:tcW w:w="1135" w:type="dxa"/>
          </w:tcPr>
          <w:p w:rsidR="007C5447" w:rsidRDefault="00F6308C">
            <w:pPr>
              <w:pStyle w:val="TableParagraph"/>
              <w:spacing w:before="47"/>
              <w:ind w:right="99"/>
              <w:rPr>
                <w:sz w:val="18"/>
              </w:rPr>
            </w:pPr>
            <w:r>
              <w:rPr>
                <w:sz w:val="18"/>
              </w:rPr>
              <w:t>386.85</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47"/>
              <w:ind w:right="96"/>
              <w:rPr>
                <w:sz w:val="18"/>
              </w:rPr>
            </w:pPr>
            <w:r>
              <w:rPr>
                <w:sz w:val="18"/>
              </w:rPr>
              <w:t>100.04</w:t>
            </w:r>
          </w:p>
        </w:tc>
        <w:tc>
          <w:tcPr>
            <w:tcW w:w="1132" w:type="dxa"/>
          </w:tcPr>
          <w:p w:rsidR="007C5447" w:rsidRDefault="00F6308C">
            <w:pPr>
              <w:pStyle w:val="TableParagraph"/>
              <w:spacing w:before="47"/>
              <w:ind w:right="90"/>
              <w:rPr>
                <w:sz w:val="18"/>
              </w:rPr>
            </w:pPr>
            <w:r>
              <w:rPr>
                <w:sz w:val="18"/>
              </w:rPr>
              <w:t>84.71</w:t>
            </w:r>
          </w:p>
        </w:tc>
        <w:tc>
          <w:tcPr>
            <w:tcW w:w="1135" w:type="dxa"/>
          </w:tcPr>
          <w:p w:rsidR="007C5447" w:rsidRDefault="00F6308C">
            <w:pPr>
              <w:pStyle w:val="TableParagraph"/>
              <w:spacing w:before="47"/>
              <w:ind w:right="93"/>
              <w:rPr>
                <w:sz w:val="18"/>
              </w:rPr>
            </w:pPr>
            <w:r>
              <w:rPr>
                <w:w w:val="99"/>
                <w:sz w:val="18"/>
              </w:rPr>
              <w:t>-</w:t>
            </w:r>
          </w:p>
        </w:tc>
        <w:tc>
          <w:tcPr>
            <w:tcW w:w="1274" w:type="dxa"/>
          </w:tcPr>
          <w:p w:rsidR="007C5447" w:rsidRDefault="00F6308C">
            <w:pPr>
              <w:pStyle w:val="TableParagraph"/>
              <w:spacing w:before="47"/>
              <w:ind w:right="87"/>
              <w:rPr>
                <w:sz w:val="18"/>
              </w:rPr>
            </w:pPr>
            <w:r>
              <w:rPr>
                <w:w w:val="99"/>
                <w:sz w:val="18"/>
              </w:rPr>
              <w:t>-</w:t>
            </w:r>
          </w:p>
        </w:tc>
        <w:tc>
          <w:tcPr>
            <w:tcW w:w="1135" w:type="dxa"/>
          </w:tcPr>
          <w:p w:rsidR="007C5447" w:rsidRDefault="00F6308C">
            <w:pPr>
              <w:pStyle w:val="TableParagraph"/>
              <w:spacing w:before="47"/>
              <w:ind w:right="94"/>
              <w:rPr>
                <w:sz w:val="18"/>
              </w:rPr>
            </w:pPr>
            <w:r>
              <w:rPr>
                <w:sz w:val="18"/>
              </w:rPr>
              <w:t>8.94</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47"/>
              <w:ind w:right="92"/>
              <w:rPr>
                <w:sz w:val="18"/>
              </w:rPr>
            </w:pPr>
            <w:r>
              <w:rPr>
                <w:sz w:val="18"/>
              </w:rPr>
              <w:t>1.67</w:t>
            </w:r>
          </w:p>
        </w:tc>
        <w:tc>
          <w:tcPr>
            <w:tcW w:w="1132" w:type="dxa"/>
          </w:tcPr>
          <w:p w:rsidR="007C5447" w:rsidRDefault="00F6308C">
            <w:pPr>
              <w:pStyle w:val="TableParagraph"/>
              <w:spacing w:before="47"/>
              <w:ind w:right="89"/>
              <w:rPr>
                <w:sz w:val="18"/>
              </w:rPr>
            </w:pPr>
            <w:r>
              <w:rPr>
                <w:sz w:val="18"/>
              </w:rPr>
              <w:t>854.07</w:t>
            </w:r>
          </w:p>
        </w:tc>
      </w:tr>
      <w:tr w:rsidR="007C5447">
        <w:trPr>
          <w:trHeight w:val="302"/>
        </w:trPr>
        <w:tc>
          <w:tcPr>
            <w:tcW w:w="710" w:type="dxa"/>
          </w:tcPr>
          <w:p w:rsidR="007C5447" w:rsidRDefault="00F6308C">
            <w:pPr>
              <w:pStyle w:val="TableParagraph"/>
              <w:spacing w:before="47"/>
              <w:ind w:left="4"/>
              <w:jc w:val="center"/>
              <w:rPr>
                <w:sz w:val="18"/>
              </w:rPr>
            </w:pPr>
            <w:r>
              <w:rPr>
                <w:sz w:val="18"/>
              </w:rPr>
              <w:t>7</w:t>
            </w:r>
          </w:p>
        </w:tc>
        <w:tc>
          <w:tcPr>
            <w:tcW w:w="1985" w:type="dxa"/>
          </w:tcPr>
          <w:p w:rsidR="007C5447" w:rsidRDefault="00F6308C">
            <w:pPr>
              <w:pStyle w:val="TableParagraph"/>
              <w:spacing w:before="47"/>
              <w:ind w:left="108"/>
              <w:jc w:val="left"/>
              <w:rPr>
                <w:sz w:val="18"/>
              </w:rPr>
            </w:pPr>
            <w:r>
              <w:rPr>
                <w:sz w:val="18"/>
              </w:rPr>
              <w:t>Ennore Expansion</w:t>
            </w:r>
          </w:p>
        </w:tc>
        <w:tc>
          <w:tcPr>
            <w:tcW w:w="1274" w:type="dxa"/>
          </w:tcPr>
          <w:p w:rsidR="007C5447" w:rsidRDefault="00F6308C">
            <w:pPr>
              <w:pStyle w:val="TableParagraph"/>
              <w:spacing w:before="47"/>
              <w:ind w:right="92"/>
              <w:rPr>
                <w:sz w:val="18"/>
              </w:rPr>
            </w:pPr>
            <w:r>
              <w:rPr>
                <w:w w:val="99"/>
                <w:sz w:val="18"/>
              </w:rPr>
              <w:t>-</w:t>
            </w:r>
          </w:p>
        </w:tc>
        <w:tc>
          <w:tcPr>
            <w:tcW w:w="1135" w:type="dxa"/>
          </w:tcPr>
          <w:p w:rsidR="007C5447" w:rsidRDefault="00F6308C">
            <w:pPr>
              <w:pStyle w:val="TableParagraph"/>
              <w:spacing w:before="47"/>
              <w:ind w:right="99"/>
              <w:rPr>
                <w:sz w:val="18"/>
              </w:rPr>
            </w:pPr>
            <w:r>
              <w:rPr>
                <w:sz w:val="18"/>
              </w:rPr>
              <w:t>117.07</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47"/>
              <w:ind w:right="93"/>
              <w:rPr>
                <w:sz w:val="18"/>
              </w:rPr>
            </w:pPr>
            <w:r>
              <w:rPr>
                <w:sz w:val="18"/>
              </w:rPr>
              <w:t>45.21</w:t>
            </w:r>
          </w:p>
        </w:tc>
        <w:tc>
          <w:tcPr>
            <w:tcW w:w="1132" w:type="dxa"/>
          </w:tcPr>
          <w:p w:rsidR="007C5447" w:rsidRDefault="00F6308C">
            <w:pPr>
              <w:pStyle w:val="TableParagraph"/>
              <w:spacing w:before="47"/>
              <w:ind w:right="94"/>
              <w:rPr>
                <w:sz w:val="18"/>
              </w:rPr>
            </w:pPr>
            <w:r>
              <w:rPr>
                <w:sz w:val="18"/>
              </w:rPr>
              <w:t>122.00</w:t>
            </w:r>
          </w:p>
        </w:tc>
        <w:tc>
          <w:tcPr>
            <w:tcW w:w="1135" w:type="dxa"/>
          </w:tcPr>
          <w:p w:rsidR="007C5447" w:rsidRDefault="00F6308C">
            <w:pPr>
              <w:pStyle w:val="TableParagraph"/>
              <w:spacing w:before="47"/>
              <w:ind w:right="93"/>
              <w:rPr>
                <w:sz w:val="18"/>
              </w:rPr>
            </w:pPr>
            <w:r>
              <w:rPr>
                <w:w w:val="99"/>
                <w:sz w:val="18"/>
              </w:rPr>
              <w:t>-</w:t>
            </w:r>
          </w:p>
        </w:tc>
        <w:tc>
          <w:tcPr>
            <w:tcW w:w="1274" w:type="dxa"/>
          </w:tcPr>
          <w:p w:rsidR="007C5447" w:rsidRDefault="00F6308C">
            <w:pPr>
              <w:pStyle w:val="TableParagraph"/>
              <w:spacing w:before="47"/>
              <w:ind w:right="87"/>
              <w:rPr>
                <w:sz w:val="18"/>
              </w:rPr>
            </w:pPr>
            <w:r>
              <w:rPr>
                <w:w w:val="99"/>
                <w:sz w:val="18"/>
              </w:rPr>
              <w:t>-</w:t>
            </w:r>
          </w:p>
        </w:tc>
        <w:tc>
          <w:tcPr>
            <w:tcW w:w="1135" w:type="dxa"/>
          </w:tcPr>
          <w:p w:rsidR="007C5447" w:rsidRDefault="00F6308C">
            <w:pPr>
              <w:pStyle w:val="TableParagraph"/>
              <w:spacing w:before="47"/>
              <w:ind w:right="92"/>
              <w:rPr>
                <w:sz w:val="18"/>
              </w:rPr>
            </w:pPr>
            <w:r>
              <w:rPr>
                <w:w w:val="99"/>
                <w:sz w:val="18"/>
              </w:rPr>
              <w:t>-</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47"/>
              <w:ind w:right="91"/>
              <w:rPr>
                <w:sz w:val="18"/>
              </w:rPr>
            </w:pPr>
            <w:r>
              <w:rPr>
                <w:w w:val="99"/>
                <w:sz w:val="18"/>
              </w:rPr>
              <w:t>-</w:t>
            </w:r>
          </w:p>
        </w:tc>
        <w:tc>
          <w:tcPr>
            <w:tcW w:w="1132" w:type="dxa"/>
          </w:tcPr>
          <w:p w:rsidR="007C5447" w:rsidRDefault="00F6308C">
            <w:pPr>
              <w:pStyle w:val="TableParagraph"/>
              <w:spacing w:before="47"/>
              <w:ind w:right="89"/>
              <w:rPr>
                <w:sz w:val="18"/>
              </w:rPr>
            </w:pPr>
            <w:r>
              <w:rPr>
                <w:sz w:val="18"/>
              </w:rPr>
              <w:t>284.28</w:t>
            </w:r>
          </w:p>
        </w:tc>
      </w:tr>
      <w:tr w:rsidR="007C5447">
        <w:trPr>
          <w:trHeight w:val="299"/>
        </w:trPr>
        <w:tc>
          <w:tcPr>
            <w:tcW w:w="710" w:type="dxa"/>
          </w:tcPr>
          <w:p w:rsidR="007C5447" w:rsidRDefault="00F6308C">
            <w:pPr>
              <w:pStyle w:val="TableParagraph"/>
              <w:spacing w:before="45"/>
              <w:ind w:left="4"/>
              <w:jc w:val="center"/>
              <w:rPr>
                <w:sz w:val="18"/>
              </w:rPr>
            </w:pPr>
            <w:r>
              <w:rPr>
                <w:sz w:val="18"/>
              </w:rPr>
              <w:t>8</w:t>
            </w:r>
          </w:p>
        </w:tc>
        <w:tc>
          <w:tcPr>
            <w:tcW w:w="1985" w:type="dxa"/>
          </w:tcPr>
          <w:p w:rsidR="007C5447" w:rsidRDefault="00F6308C">
            <w:pPr>
              <w:pStyle w:val="TableParagraph"/>
              <w:spacing w:before="45"/>
              <w:ind w:left="108"/>
              <w:jc w:val="left"/>
              <w:rPr>
                <w:sz w:val="18"/>
              </w:rPr>
            </w:pPr>
            <w:r>
              <w:rPr>
                <w:sz w:val="18"/>
              </w:rPr>
              <w:t>Tirumakottai GTPS</w:t>
            </w:r>
          </w:p>
        </w:tc>
        <w:tc>
          <w:tcPr>
            <w:tcW w:w="1274" w:type="dxa"/>
          </w:tcPr>
          <w:p w:rsidR="007C5447" w:rsidRDefault="00F6308C">
            <w:pPr>
              <w:pStyle w:val="TableParagraph"/>
              <w:spacing w:before="45"/>
              <w:ind w:right="91"/>
              <w:rPr>
                <w:sz w:val="18"/>
              </w:rPr>
            </w:pPr>
            <w:r>
              <w:rPr>
                <w:sz w:val="18"/>
              </w:rPr>
              <w:t>46.05</w:t>
            </w:r>
          </w:p>
        </w:tc>
        <w:tc>
          <w:tcPr>
            <w:tcW w:w="1135" w:type="dxa"/>
          </w:tcPr>
          <w:p w:rsidR="007C5447" w:rsidRDefault="00F6308C">
            <w:pPr>
              <w:pStyle w:val="TableParagraph"/>
              <w:spacing w:before="45"/>
              <w:ind w:right="96"/>
              <w:rPr>
                <w:sz w:val="18"/>
              </w:rPr>
            </w:pPr>
            <w:r>
              <w:rPr>
                <w:sz w:val="18"/>
              </w:rPr>
              <w:t>61.25</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45"/>
              <w:ind w:right="93"/>
              <w:rPr>
                <w:sz w:val="18"/>
              </w:rPr>
            </w:pPr>
            <w:r>
              <w:rPr>
                <w:sz w:val="18"/>
              </w:rPr>
              <w:t>14.31</w:t>
            </w:r>
          </w:p>
        </w:tc>
        <w:tc>
          <w:tcPr>
            <w:tcW w:w="1132" w:type="dxa"/>
          </w:tcPr>
          <w:p w:rsidR="007C5447" w:rsidRDefault="00F6308C">
            <w:pPr>
              <w:pStyle w:val="TableParagraph"/>
              <w:spacing w:before="45"/>
              <w:ind w:right="90"/>
              <w:rPr>
                <w:sz w:val="18"/>
              </w:rPr>
            </w:pPr>
            <w:r>
              <w:rPr>
                <w:sz w:val="18"/>
              </w:rPr>
              <w:t>15.59</w:t>
            </w:r>
          </w:p>
        </w:tc>
        <w:tc>
          <w:tcPr>
            <w:tcW w:w="1135" w:type="dxa"/>
          </w:tcPr>
          <w:p w:rsidR="007C5447" w:rsidRDefault="00F6308C">
            <w:pPr>
              <w:pStyle w:val="TableParagraph"/>
              <w:spacing w:before="45"/>
              <w:ind w:right="93"/>
              <w:rPr>
                <w:sz w:val="18"/>
              </w:rPr>
            </w:pPr>
            <w:r>
              <w:rPr>
                <w:w w:val="99"/>
                <w:sz w:val="18"/>
              </w:rPr>
              <w:t>-</w:t>
            </w:r>
          </w:p>
        </w:tc>
        <w:tc>
          <w:tcPr>
            <w:tcW w:w="1274" w:type="dxa"/>
          </w:tcPr>
          <w:p w:rsidR="007C5447" w:rsidRDefault="00F6308C">
            <w:pPr>
              <w:pStyle w:val="TableParagraph"/>
              <w:spacing w:before="45"/>
              <w:ind w:right="87"/>
              <w:rPr>
                <w:sz w:val="18"/>
              </w:rPr>
            </w:pPr>
            <w:r>
              <w:rPr>
                <w:w w:val="99"/>
                <w:sz w:val="18"/>
              </w:rPr>
              <w:t>-</w:t>
            </w:r>
          </w:p>
        </w:tc>
        <w:tc>
          <w:tcPr>
            <w:tcW w:w="1135" w:type="dxa"/>
          </w:tcPr>
          <w:p w:rsidR="007C5447" w:rsidRDefault="00F6308C">
            <w:pPr>
              <w:pStyle w:val="TableParagraph"/>
              <w:spacing w:before="45"/>
              <w:ind w:right="94"/>
              <w:rPr>
                <w:sz w:val="18"/>
              </w:rPr>
            </w:pPr>
            <w:r>
              <w:rPr>
                <w:sz w:val="18"/>
              </w:rPr>
              <w:t>0.13</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45"/>
              <w:ind w:right="92"/>
              <w:rPr>
                <w:sz w:val="18"/>
              </w:rPr>
            </w:pPr>
            <w:r>
              <w:rPr>
                <w:sz w:val="18"/>
              </w:rPr>
              <w:t>0.37</w:t>
            </w:r>
          </w:p>
        </w:tc>
        <w:tc>
          <w:tcPr>
            <w:tcW w:w="1132" w:type="dxa"/>
          </w:tcPr>
          <w:p w:rsidR="007C5447" w:rsidRDefault="00F6308C">
            <w:pPr>
              <w:pStyle w:val="TableParagraph"/>
              <w:spacing w:before="45"/>
              <w:ind w:right="89"/>
              <w:rPr>
                <w:sz w:val="18"/>
              </w:rPr>
            </w:pPr>
            <w:r>
              <w:rPr>
                <w:sz w:val="18"/>
              </w:rPr>
              <w:t>137.44</w:t>
            </w:r>
          </w:p>
        </w:tc>
      </w:tr>
      <w:tr w:rsidR="007C5447">
        <w:trPr>
          <w:trHeight w:val="299"/>
        </w:trPr>
        <w:tc>
          <w:tcPr>
            <w:tcW w:w="710" w:type="dxa"/>
          </w:tcPr>
          <w:p w:rsidR="007C5447" w:rsidRDefault="00F6308C">
            <w:pPr>
              <w:pStyle w:val="TableParagraph"/>
              <w:spacing w:before="45"/>
              <w:ind w:left="4"/>
              <w:jc w:val="center"/>
              <w:rPr>
                <w:sz w:val="18"/>
              </w:rPr>
            </w:pPr>
            <w:r>
              <w:rPr>
                <w:sz w:val="18"/>
              </w:rPr>
              <w:t>9</w:t>
            </w:r>
          </w:p>
        </w:tc>
        <w:tc>
          <w:tcPr>
            <w:tcW w:w="1985" w:type="dxa"/>
          </w:tcPr>
          <w:p w:rsidR="007C5447" w:rsidRDefault="00F6308C">
            <w:pPr>
              <w:pStyle w:val="TableParagraph"/>
              <w:spacing w:before="45"/>
              <w:ind w:left="108"/>
              <w:jc w:val="left"/>
              <w:rPr>
                <w:sz w:val="18"/>
              </w:rPr>
            </w:pPr>
            <w:r>
              <w:rPr>
                <w:sz w:val="18"/>
              </w:rPr>
              <w:t>Kuttalam GTPS</w:t>
            </w:r>
          </w:p>
        </w:tc>
        <w:tc>
          <w:tcPr>
            <w:tcW w:w="1274" w:type="dxa"/>
          </w:tcPr>
          <w:p w:rsidR="007C5447" w:rsidRDefault="00F6308C">
            <w:pPr>
              <w:pStyle w:val="TableParagraph"/>
              <w:spacing w:before="45"/>
              <w:ind w:right="91"/>
              <w:rPr>
                <w:sz w:val="18"/>
              </w:rPr>
            </w:pPr>
            <w:r>
              <w:rPr>
                <w:sz w:val="18"/>
              </w:rPr>
              <w:t>34.38</w:t>
            </w:r>
          </w:p>
        </w:tc>
        <w:tc>
          <w:tcPr>
            <w:tcW w:w="1135" w:type="dxa"/>
          </w:tcPr>
          <w:p w:rsidR="007C5447" w:rsidRDefault="00F6308C">
            <w:pPr>
              <w:pStyle w:val="TableParagraph"/>
              <w:spacing w:before="45"/>
              <w:ind w:right="96"/>
              <w:rPr>
                <w:sz w:val="18"/>
              </w:rPr>
            </w:pPr>
            <w:r>
              <w:rPr>
                <w:sz w:val="18"/>
              </w:rPr>
              <w:t>43.35</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45"/>
              <w:ind w:right="93"/>
              <w:rPr>
                <w:sz w:val="18"/>
              </w:rPr>
            </w:pPr>
            <w:r>
              <w:rPr>
                <w:sz w:val="18"/>
              </w:rPr>
              <w:t>12.95</w:t>
            </w:r>
          </w:p>
        </w:tc>
        <w:tc>
          <w:tcPr>
            <w:tcW w:w="1132" w:type="dxa"/>
          </w:tcPr>
          <w:p w:rsidR="007C5447" w:rsidRDefault="00F6308C">
            <w:pPr>
              <w:pStyle w:val="TableParagraph"/>
              <w:spacing w:before="45"/>
              <w:ind w:right="90"/>
              <w:rPr>
                <w:sz w:val="18"/>
              </w:rPr>
            </w:pPr>
            <w:r>
              <w:rPr>
                <w:sz w:val="18"/>
              </w:rPr>
              <w:t>11.78</w:t>
            </w:r>
          </w:p>
        </w:tc>
        <w:tc>
          <w:tcPr>
            <w:tcW w:w="1135" w:type="dxa"/>
          </w:tcPr>
          <w:p w:rsidR="007C5447" w:rsidRDefault="00F6308C">
            <w:pPr>
              <w:pStyle w:val="TableParagraph"/>
              <w:spacing w:before="45"/>
              <w:ind w:right="93"/>
              <w:rPr>
                <w:sz w:val="18"/>
              </w:rPr>
            </w:pPr>
            <w:r>
              <w:rPr>
                <w:w w:val="99"/>
                <w:sz w:val="18"/>
              </w:rPr>
              <w:t>-</w:t>
            </w:r>
          </w:p>
        </w:tc>
        <w:tc>
          <w:tcPr>
            <w:tcW w:w="1274" w:type="dxa"/>
          </w:tcPr>
          <w:p w:rsidR="007C5447" w:rsidRDefault="00F6308C">
            <w:pPr>
              <w:pStyle w:val="TableParagraph"/>
              <w:spacing w:before="45"/>
              <w:ind w:right="87"/>
              <w:rPr>
                <w:sz w:val="18"/>
              </w:rPr>
            </w:pPr>
            <w:r>
              <w:rPr>
                <w:w w:val="99"/>
                <w:sz w:val="18"/>
              </w:rPr>
              <w:t>-</w:t>
            </w:r>
          </w:p>
        </w:tc>
        <w:tc>
          <w:tcPr>
            <w:tcW w:w="1135" w:type="dxa"/>
          </w:tcPr>
          <w:p w:rsidR="007C5447" w:rsidRDefault="00F6308C">
            <w:pPr>
              <w:pStyle w:val="TableParagraph"/>
              <w:spacing w:before="45"/>
              <w:ind w:right="94"/>
              <w:rPr>
                <w:sz w:val="18"/>
              </w:rPr>
            </w:pPr>
            <w:r>
              <w:rPr>
                <w:sz w:val="18"/>
              </w:rPr>
              <w:t>0.11</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45"/>
              <w:ind w:right="92"/>
              <w:rPr>
                <w:sz w:val="18"/>
              </w:rPr>
            </w:pPr>
            <w:r>
              <w:rPr>
                <w:sz w:val="18"/>
              </w:rPr>
              <w:t>0.35</w:t>
            </w:r>
          </w:p>
        </w:tc>
        <w:tc>
          <w:tcPr>
            <w:tcW w:w="1132" w:type="dxa"/>
          </w:tcPr>
          <w:p w:rsidR="007C5447" w:rsidRDefault="00F6308C">
            <w:pPr>
              <w:pStyle w:val="TableParagraph"/>
              <w:spacing w:before="45"/>
              <w:ind w:right="89"/>
              <w:rPr>
                <w:sz w:val="18"/>
              </w:rPr>
            </w:pPr>
            <w:r>
              <w:rPr>
                <w:sz w:val="18"/>
              </w:rPr>
              <w:t>102.70</w:t>
            </w:r>
          </w:p>
        </w:tc>
      </w:tr>
      <w:tr w:rsidR="007C5447">
        <w:trPr>
          <w:trHeight w:val="443"/>
        </w:trPr>
        <w:tc>
          <w:tcPr>
            <w:tcW w:w="710" w:type="dxa"/>
          </w:tcPr>
          <w:p w:rsidR="007C5447" w:rsidRDefault="00F6308C">
            <w:pPr>
              <w:pStyle w:val="TableParagraph"/>
              <w:spacing w:before="117"/>
              <w:ind w:left="236" w:right="226"/>
              <w:jc w:val="center"/>
              <w:rPr>
                <w:sz w:val="18"/>
              </w:rPr>
            </w:pPr>
            <w:r>
              <w:rPr>
                <w:sz w:val="18"/>
              </w:rPr>
              <w:t>10</w:t>
            </w:r>
          </w:p>
        </w:tc>
        <w:tc>
          <w:tcPr>
            <w:tcW w:w="1985" w:type="dxa"/>
          </w:tcPr>
          <w:p w:rsidR="007C5447" w:rsidRDefault="00F6308C">
            <w:pPr>
              <w:pStyle w:val="TableParagraph"/>
              <w:spacing w:before="11" w:line="210" w:lineRule="atLeast"/>
              <w:ind w:left="108" w:right="416"/>
              <w:jc w:val="left"/>
              <w:rPr>
                <w:sz w:val="18"/>
              </w:rPr>
            </w:pPr>
            <w:r>
              <w:rPr>
                <w:sz w:val="18"/>
              </w:rPr>
              <w:t>Basin Bridge GTPS (Naphtha)</w:t>
            </w:r>
          </w:p>
        </w:tc>
        <w:tc>
          <w:tcPr>
            <w:tcW w:w="1274" w:type="dxa"/>
          </w:tcPr>
          <w:p w:rsidR="007C5447" w:rsidRDefault="00F6308C">
            <w:pPr>
              <w:pStyle w:val="TableParagraph"/>
              <w:spacing w:before="117"/>
              <w:ind w:right="91"/>
              <w:rPr>
                <w:sz w:val="18"/>
              </w:rPr>
            </w:pPr>
            <w:r>
              <w:rPr>
                <w:sz w:val="18"/>
              </w:rPr>
              <w:t>31.97</w:t>
            </w:r>
          </w:p>
        </w:tc>
        <w:tc>
          <w:tcPr>
            <w:tcW w:w="1135" w:type="dxa"/>
          </w:tcPr>
          <w:p w:rsidR="007C5447" w:rsidRDefault="00F6308C">
            <w:pPr>
              <w:pStyle w:val="TableParagraph"/>
              <w:spacing w:before="117"/>
              <w:ind w:right="99"/>
              <w:rPr>
                <w:sz w:val="18"/>
              </w:rPr>
            </w:pPr>
            <w:r>
              <w:rPr>
                <w:sz w:val="18"/>
              </w:rPr>
              <w:t>136.17</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117"/>
              <w:ind w:right="93"/>
              <w:rPr>
                <w:sz w:val="18"/>
              </w:rPr>
            </w:pPr>
            <w:r>
              <w:rPr>
                <w:sz w:val="18"/>
              </w:rPr>
              <w:t>12.69</w:t>
            </w:r>
          </w:p>
        </w:tc>
        <w:tc>
          <w:tcPr>
            <w:tcW w:w="1132" w:type="dxa"/>
          </w:tcPr>
          <w:p w:rsidR="007C5447" w:rsidRDefault="00F6308C">
            <w:pPr>
              <w:pStyle w:val="TableParagraph"/>
              <w:spacing w:before="117"/>
              <w:ind w:right="92"/>
              <w:rPr>
                <w:sz w:val="18"/>
              </w:rPr>
            </w:pPr>
            <w:r>
              <w:rPr>
                <w:sz w:val="18"/>
              </w:rPr>
              <w:t>9.98</w:t>
            </w:r>
          </w:p>
        </w:tc>
        <w:tc>
          <w:tcPr>
            <w:tcW w:w="1135" w:type="dxa"/>
          </w:tcPr>
          <w:p w:rsidR="007C5447" w:rsidRDefault="00F6308C">
            <w:pPr>
              <w:pStyle w:val="TableParagraph"/>
              <w:spacing w:before="117"/>
              <w:ind w:right="93"/>
              <w:rPr>
                <w:sz w:val="18"/>
              </w:rPr>
            </w:pPr>
            <w:r>
              <w:rPr>
                <w:w w:val="99"/>
                <w:sz w:val="18"/>
              </w:rPr>
              <w:t>-</w:t>
            </w:r>
          </w:p>
        </w:tc>
        <w:tc>
          <w:tcPr>
            <w:tcW w:w="1274" w:type="dxa"/>
          </w:tcPr>
          <w:p w:rsidR="007C5447" w:rsidRDefault="00F6308C">
            <w:pPr>
              <w:pStyle w:val="TableParagraph"/>
              <w:spacing w:before="117"/>
              <w:ind w:right="87"/>
              <w:rPr>
                <w:sz w:val="18"/>
              </w:rPr>
            </w:pPr>
            <w:r>
              <w:rPr>
                <w:w w:val="99"/>
                <w:sz w:val="18"/>
              </w:rPr>
              <w:t>-</w:t>
            </w:r>
          </w:p>
        </w:tc>
        <w:tc>
          <w:tcPr>
            <w:tcW w:w="1135" w:type="dxa"/>
          </w:tcPr>
          <w:p w:rsidR="007C5447" w:rsidRDefault="00F6308C">
            <w:pPr>
              <w:pStyle w:val="TableParagraph"/>
              <w:spacing w:before="117"/>
              <w:ind w:right="94"/>
              <w:rPr>
                <w:sz w:val="18"/>
              </w:rPr>
            </w:pPr>
            <w:r>
              <w:rPr>
                <w:sz w:val="18"/>
              </w:rPr>
              <w:t>0.05</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117"/>
              <w:ind w:right="92"/>
              <w:rPr>
                <w:sz w:val="18"/>
              </w:rPr>
            </w:pPr>
            <w:r>
              <w:rPr>
                <w:sz w:val="18"/>
              </w:rPr>
              <w:t>0.34</w:t>
            </w:r>
          </w:p>
        </w:tc>
        <w:tc>
          <w:tcPr>
            <w:tcW w:w="1132" w:type="dxa"/>
          </w:tcPr>
          <w:p w:rsidR="007C5447" w:rsidRDefault="00F6308C">
            <w:pPr>
              <w:pStyle w:val="TableParagraph"/>
              <w:spacing w:before="117"/>
              <w:ind w:right="89"/>
              <w:rPr>
                <w:sz w:val="18"/>
              </w:rPr>
            </w:pPr>
            <w:r>
              <w:rPr>
                <w:sz w:val="18"/>
              </w:rPr>
              <w:t>191.11</w:t>
            </w:r>
          </w:p>
        </w:tc>
      </w:tr>
      <w:tr w:rsidR="007C5447">
        <w:trPr>
          <w:trHeight w:val="300"/>
        </w:trPr>
        <w:tc>
          <w:tcPr>
            <w:tcW w:w="710" w:type="dxa"/>
          </w:tcPr>
          <w:p w:rsidR="007C5447" w:rsidRDefault="00F6308C">
            <w:pPr>
              <w:pStyle w:val="TableParagraph"/>
              <w:spacing w:before="48"/>
              <w:ind w:left="236" w:right="226"/>
              <w:jc w:val="center"/>
              <w:rPr>
                <w:sz w:val="18"/>
              </w:rPr>
            </w:pPr>
            <w:r>
              <w:rPr>
                <w:sz w:val="18"/>
              </w:rPr>
              <w:t>12</w:t>
            </w:r>
          </w:p>
        </w:tc>
        <w:tc>
          <w:tcPr>
            <w:tcW w:w="1985" w:type="dxa"/>
          </w:tcPr>
          <w:p w:rsidR="007C5447" w:rsidRDefault="00F6308C">
            <w:pPr>
              <w:pStyle w:val="TableParagraph"/>
              <w:spacing w:before="48"/>
              <w:ind w:left="108"/>
              <w:jc w:val="left"/>
              <w:rPr>
                <w:sz w:val="18"/>
              </w:rPr>
            </w:pPr>
            <w:r>
              <w:rPr>
                <w:sz w:val="18"/>
              </w:rPr>
              <w:t>Valuthur GTPS</w:t>
            </w:r>
          </w:p>
        </w:tc>
        <w:tc>
          <w:tcPr>
            <w:tcW w:w="1274" w:type="dxa"/>
          </w:tcPr>
          <w:p w:rsidR="007C5447" w:rsidRDefault="00F6308C">
            <w:pPr>
              <w:pStyle w:val="TableParagraph"/>
              <w:spacing w:before="48"/>
              <w:ind w:right="91"/>
              <w:rPr>
                <w:sz w:val="18"/>
              </w:rPr>
            </w:pPr>
            <w:r>
              <w:rPr>
                <w:sz w:val="18"/>
              </w:rPr>
              <w:t>72.59</w:t>
            </w:r>
          </w:p>
        </w:tc>
        <w:tc>
          <w:tcPr>
            <w:tcW w:w="1135" w:type="dxa"/>
          </w:tcPr>
          <w:p w:rsidR="007C5447" w:rsidRDefault="00F6308C">
            <w:pPr>
              <w:pStyle w:val="TableParagraph"/>
              <w:spacing w:before="48"/>
              <w:ind w:right="99"/>
              <w:rPr>
                <w:sz w:val="18"/>
              </w:rPr>
            </w:pPr>
            <w:r>
              <w:rPr>
                <w:sz w:val="18"/>
              </w:rPr>
              <w:t>106.03</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48"/>
              <w:ind w:right="93"/>
              <w:rPr>
                <w:sz w:val="18"/>
              </w:rPr>
            </w:pPr>
            <w:r>
              <w:rPr>
                <w:sz w:val="18"/>
              </w:rPr>
              <w:t>15.69</w:t>
            </w:r>
          </w:p>
        </w:tc>
        <w:tc>
          <w:tcPr>
            <w:tcW w:w="1132" w:type="dxa"/>
          </w:tcPr>
          <w:p w:rsidR="007C5447" w:rsidRDefault="00F6308C">
            <w:pPr>
              <w:pStyle w:val="TableParagraph"/>
              <w:spacing w:before="48"/>
              <w:ind w:right="90"/>
              <w:rPr>
                <w:sz w:val="18"/>
              </w:rPr>
            </w:pPr>
            <w:r>
              <w:rPr>
                <w:sz w:val="18"/>
              </w:rPr>
              <w:t>14.79</w:t>
            </w:r>
          </w:p>
        </w:tc>
        <w:tc>
          <w:tcPr>
            <w:tcW w:w="1135" w:type="dxa"/>
          </w:tcPr>
          <w:p w:rsidR="007C5447" w:rsidRDefault="00F6308C">
            <w:pPr>
              <w:pStyle w:val="TableParagraph"/>
              <w:spacing w:before="48"/>
              <w:ind w:right="93"/>
              <w:rPr>
                <w:sz w:val="18"/>
              </w:rPr>
            </w:pPr>
            <w:r>
              <w:rPr>
                <w:w w:val="99"/>
                <w:sz w:val="18"/>
              </w:rPr>
              <w:t>-</w:t>
            </w:r>
          </w:p>
        </w:tc>
        <w:tc>
          <w:tcPr>
            <w:tcW w:w="1274" w:type="dxa"/>
          </w:tcPr>
          <w:p w:rsidR="007C5447" w:rsidRDefault="00F6308C">
            <w:pPr>
              <w:pStyle w:val="TableParagraph"/>
              <w:spacing w:before="48"/>
              <w:ind w:right="87"/>
              <w:rPr>
                <w:sz w:val="18"/>
              </w:rPr>
            </w:pPr>
            <w:r>
              <w:rPr>
                <w:w w:val="99"/>
                <w:sz w:val="18"/>
              </w:rPr>
              <w:t>-</w:t>
            </w:r>
          </w:p>
        </w:tc>
        <w:tc>
          <w:tcPr>
            <w:tcW w:w="1135" w:type="dxa"/>
          </w:tcPr>
          <w:p w:rsidR="007C5447" w:rsidRDefault="00F6308C">
            <w:pPr>
              <w:pStyle w:val="TableParagraph"/>
              <w:spacing w:before="48"/>
              <w:ind w:right="94"/>
              <w:rPr>
                <w:sz w:val="18"/>
              </w:rPr>
            </w:pPr>
            <w:r>
              <w:rPr>
                <w:sz w:val="18"/>
              </w:rPr>
              <w:t>0.15</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48"/>
              <w:ind w:right="92"/>
              <w:rPr>
                <w:sz w:val="18"/>
              </w:rPr>
            </w:pPr>
            <w:r>
              <w:rPr>
                <w:sz w:val="18"/>
              </w:rPr>
              <w:t>0.62</w:t>
            </w:r>
          </w:p>
        </w:tc>
        <w:tc>
          <w:tcPr>
            <w:tcW w:w="1132" w:type="dxa"/>
          </w:tcPr>
          <w:p w:rsidR="007C5447" w:rsidRDefault="00F6308C">
            <w:pPr>
              <w:pStyle w:val="TableParagraph"/>
              <w:spacing w:before="48"/>
              <w:ind w:right="89"/>
              <w:rPr>
                <w:sz w:val="18"/>
              </w:rPr>
            </w:pPr>
            <w:r>
              <w:rPr>
                <w:sz w:val="18"/>
              </w:rPr>
              <w:t>209.57</w:t>
            </w:r>
          </w:p>
        </w:tc>
      </w:tr>
      <w:tr w:rsidR="007C5447">
        <w:trPr>
          <w:trHeight w:val="299"/>
        </w:trPr>
        <w:tc>
          <w:tcPr>
            <w:tcW w:w="710" w:type="dxa"/>
          </w:tcPr>
          <w:p w:rsidR="007C5447" w:rsidRDefault="00F6308C">
            <w:pPr>
              <w:pStyle w:val="TableParagraph"/>
              <w:spacing w:before="47"/>
              <w:ind w:left="236" w:right="226"/>
              <w:jc w:val="center"/>
              <w:rPr>
                <w:sz w:val="18"/>
              </w:rPr>
            </w:pPr>
            <w:r>
              <w:rPr>
                <w:sz w:val="18"/>
              </w:rPr>
              <w:t>13</w:t>
            </w:r>
          </w:p>
        </w:tc>
        <w:tc>
          <w:tcPr>
            <w:tcW w:w="1985" w:type="dxa"/>
          </w:tcPr>
          <w:p w:rsidR="007C5447" w:rsidRDefault="00F6308C">
            <w:pPr>
              <w:pStyle w:val="TableParagraph"/>
              <w:spacing w:before="47"/>
              <w:ind w:left="108"/>
              <w:jc w:val="left"/>
              <w:rPr>
                <w:sz w:val="18"/>
              </w:rPr>
            </w:pPr>
            <w:r>
              <w:rPr>
                <w:sz w:val="18"/>
              </w:rPr>
              <w:t>Erode HEP</w:t>
            </w:r>
          </w:p>
        </w:tc>
        <w:tc>
          <w:tcPr>
            <w:tcW w:w="1274" w:type="dxa"/>
          </w:tcPr>
          <w:p w:rsidR="007C5447" w:rsidRDefault="00F6308C">
            <w:pPr>
              <w:pStyle w:val="TableParagraph"/>
              <w:spacing w:before="47"/>
              <w:ind w:right="91"/>
              <w:rPr>
                <w:sz w:val="18"/>
              </w:rPr>
            </w:pPr>
            <w:r>
              <w:rPr>
                <w:sz w:val="18"/>
              </w:rPr>
              <w:t>67.94</w:t>
            </w:r>
          </w:p>
        </w:tc>
        <w:tc>
          <w:tcPr>
            <w:tcW w:w="1135" w:type="dxa"/>
          </w:tcPr>
          <w:p w:rsidR="007C5447" w:rsidRDefault="00F6308C">
            <w:pPr>
              <w:pStyle w:val="TableParagraph"/>
              <w:spacing w:before="47"/>
              <w:ind w:right="96"/>
              <w:rPr>
                <w:sz w:val="18"/>
              </w:rPr>
            </w:pPr>
            <w:r>
              <w:rPr>
                <w:sz w:val="18"/>
              </w:rPr>
              <w:t>90.80</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47"/>
              <w:ind w:right="96"/>
              <w:rPr>
                <w:sz w:val="18"/>
              </w:rPr>
            </w:pPr>
            <w:r>
              <w:rPr>
                <w:sz w:val="18"/>
              </w:rPr>
              <w:t>6.68</w:t>
            </w:r>
          </w:p>
        </w:tc>
        <w:tc>
          <w:tcPr>
            <w:tcW w:w="1132" w:type="dxa"/>
          </w:tcPr>
          <w:p w:rsidR="007C5447" w:rsidRDefault="00F6308C">
            <w:pPr>
              <w:pStyle w:val="TableParagraph"/>
              <w:spacing w:before="47"/>
              <w:ind w:right="90"/>
              <w:rPr>
                <w:sz w:val="18"/>
              </w:rPr>
            </w:pPr>
            <w:r>
              <w:rPr>
                <w:sz w:val="18"/>
              </w:rPr>
              <w:t>60.24</w:t>
            </w:r>
          </w:p>
        </w:tc>
        <w:tc>
          <w:tcPr>
            <w:tcW w:w="1135" w:type="dxa"/>
          </w:tcPr>
          <w:p w:rsidR="007C5447" w:rsidRDefault="00F6308C">
            <w:pPr>
              <w:pStyle w:val="TableParagraph"/>
              <w:spacing w:before="47"/>
              <w:ind w:right="93"/>
              <w:rPr>
                <w:sz w:val="18"/>
              </w:rPr>
            </w:pPr>
            <w:r>
              <w:rPr>
                <w:w w:val="99"/>
                <w:sz w:val="18"/>
              </w:rPr>
              <w:t>-</w:t>
            </w:r>
          </w:p>
        </w:tc>
        <w:tc>
          <w:tcPr>
            <w:tcW w:w="1274" w:type="dxa"/>
          </w:tcPr>
          <w:p w:rsidR="007C5447" w:rsidRDefault="00F6308C">
            <w:pPr>
              <w:pStyle w:val="TableParagraph"/>
              <w:spacing w:before="47"/>
              <w:ind w:right="87"/>
              <w:rPr>
                <w:sz w:val="18"/>
              </w:rPr>
            </w:pPr>
            <w:r>
              <w:rPr>
                <w:w w:val="99"/>
                <w:sz w:val="18"/>
              </w:rPr>
              <w:t>-</w:t>
            </w:r>
          </w:p>
        </w:tc>
        <w:tc>
          <w:tcPr>
            <w:tcW w:w="1135" w:type="dxa"/>
          </w:tcPr>
          <w:p w:rsidR="007C5447" w:rsidRDefault="00F6308C">
            <w:pPr>
              <w:pStyle w:val="TableParagraph"/>
              <w:spacing w:before="47"/>
              <w:ind w:right="94"/>
              <w:rPr>
                <w:sz w:val="18"/>
              </w:rPr>
            </w:pPr>
            <w:r>
              <w:rPr>
                <w:sz w:val="18"/>
              </w:rPr>
              <w:t>0.09</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47"/>
              <w:ind w:right="92"/>
              <w:rPr>
                <w:sz w:val="18"/>
              </w:rPr>
            </w:pPr>
            <w:r>
              <w:rPr>
                <w:sz w:val="18"/>
              </w:rPr>
              <w:t>1.88</w:t>
            </w:r>
          </w:p>
        </w:tc>
        <w:tc>
          <w:tcPr>
            <w:tcW w:w="1132" w:type="dxa"/>
          </w:tcPr>
          <w:p w:rsidR="007C5447" w:rsidRDefault="00F6308C">
            <w:pPr>
              <w:pStyle w:val="TableParagraph"/>
              <w:spacing w:before="47"/>
              <w:ind w:right="89"/>
              <w:rPr>
                <w:sz w:val="18"/>
              </w:rPr>
            </w:pPr>
            <w:r>
              <w:rPr>
                <w:sz w:val="18"/>
              </w:rPr>
              <w:t>227.44</w:t>
            </w:r>
          </w:p>
        </w:tc>
      </w:tr>
      <w:tr w:rsidR="007C5447">
        <w:trPr>
          <w:trHeight w:val="301"/>
        </w:trPr>
        <w:tc>
          <w:tcPr>
            <w:tcW w:w="710" w:type="dxa"/>
          </w:tcPr>
          <w:p w:rsidR="007C5447" w:rsidRDefault="00F6308C">
            <w:pPr>
              <w:pStyle w:val="TableParagraph"/>
              <w:spacing w:before="47"/>
              <w:ind w:left="236" w:right="226"/>
              <w:jc w:val="center"/>
              <w:rPr>
                <w:sz w:val="18"/>
              </w:rPr>
            </w:pPr>
            <w:r>
              <w:rPr>
                <w:sz w:val="18"/>
              </w:rPr>
              <w:t>14</w:t>
            </w:r>
          </w:p>
        </w:tc>
        <w:tc>
          <w:tcPr>
            <w:tcW w:w="1985" w:type="dxa"/>
          </w:tcPr>
          <w:p w:rsidR="007C5447" w:rsidRDefault="00F6308C">
            <w:pPr>
              <w:pStyle w:val="TableParagraph"/>
              <w:spacing w:before="47"/>
              <w:ind w:left="108"/>
              <w:jc w:val="left"/>
              <w:rPr>
                <w:sz w:val="18"/>
              </w:rPr>
            </w:pPr>
            <w:r>
              <w:rPr>
                <w:sz w:val="18"/>
              </w:rPr>
              <w:t>Kadamparai HEP</w:t>
            </w:r>
          </w:p>
        </w:tc>
        <w:tc>
          <w:tcPr>
            <w:tcW w:w="1274" w:type="dxa"/>
          </w:tcPr>
          <w:p w:rsidR="007C5447" w:rsidRDefault="00F6308C">
            <w:pPr>
              <w:pStyle w:val="TableParagraph"/>
              <w:spacing w:before="47"/>
              <w:ind w:right="91"/>
              <w:rPr>
                <w:sz w:val="18"/>
              </w:rPr>
            </w:pPr>
            <w:r>
              <w:rPr>
                <w:sz w:val="18"/>
              </w:rPr>
              <w:t>33.74</w:t>
            </w:r>
          </w:p>
        </w:tc>
        <w:tc>
          <w:tcPr>
            <w:tcW w:w="1135" w:type="dxa"/>
          </w:tcPr>
          <w:p w:rsidR="007C5447" w:rsidRDefault="00F6308C">
            <w:pPr>
              <w:pStyle w:val="TableParagraph"/>
              <w:spacing w:before="47"/>
              <w:ind w:right="96"/>
              <w:rPr>
                <w:sz w:val="18"/>
              </w:rPr>
            </w:pPr>
            <w:r>
              <w:rPr>
                <w:sz w:val="18"/>
              </w:rPr>
              <w:t>46.57</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47"/>
              <w:ind w:right="96"/>
              <w:rPr>
                <w:sz w:val="18"/>
              </w:rPr>
            </w:pPr>
            <w:r>
              <w:rPr>
                <w:sz w:val="18"/>
              </w:rPr>
              <w:t>6.77</w:t>
            </w:r>
          </w:p>
        </w:tc>
        <w:tc>
          <w:tcPr>
            <w:tcW w:w="1132" w:type="dxa"/>
          </w:tcPr>
          <w:p w:rsidR="007C5447" w:rsidRDefault="00F6308C">
            <w:pPr>
              <w:pStyle w:val="TableParagraph"/>
              <w:spacing w:before="47"/>
              <w:ind w:right="90"/>
              <w:rPr>
                <w:sz w:val="18"/>
              </w:rPr>
            </w:pPr>
            <w:r>
              <w:rPr>
                <w:sz w:val="18"/>
              </w:rPr>
              <w:t>39.87</w:t>
            </w:r>
          </w:p>
        </w:tc>
        <w:tc>
          <w:tcPr>
            <w:tcW w:w="1135" w:type="dxa"/>
          </w:tcPr>
          <w:p w:rsidR="007C5447" w:rsidRDefault="00F6308C">
            <w:pPr>
              <w:pStyle w:val="TableParagraph"/>
              <w:spacing w:before="47"/>
              <w:ind w:right="93"/>
              <w:rPr>
                <w:sz w:val="18"/>
              </w:rPr>
            </w:pPr>
            <w:r>
              <w:rPr>
                <w:w w:val="99"/>
                <w:sz w:val="18"/>
              </w:rPr>
              <w:t>-</w:t>
            </w:r>
          </w:p>
        </w:tc>
        <w:tc>
          <w:tcPr>
            <w:tcW w:w="1274" w:type="dxa"/>
          </w:tcPr>
          <w:p w:rsidR="007C5447" w:rsidRDefault="00F6308C">
            <w:pPr>
              <w:pStyle w:val="TableParagraph"/>
              <w:spacing w:before="47"/>
              <w:ind w:right="87"/>
              <w:rPr>
                <w:sz w:val="18"/>
              </w:rPr>
            </w:pPr>
            <w:r>
              <w:rPr>
                <w:w w:val="99"/>
                <w:sz w:val="18"/>
              </w:rPr>
              <w:t>-</w:t>
            </w:r>
          </w:p>
        </w:tc>
        <w:tc>
          <w:tcPr>
            <w:tcW w:w="1135" w:type="dxa"/>
          </w:tcPr>
          <w:p w:rsidR="007C5447" w:rsidRDefault="00F6308C">
            <w:pPr>
              <w:pStyle w:val="TableParagraph"/>
              <w:spacing w:before="47"/>
              <w:ind w:right="94"/>
              <w:rPr>
                <w:sz w:val="18"/>
              </w:rPr>
            </w:pPr>
            <w:r>
              <w:rPr>
                <w:sz w:val="18"/>
              </w:rPr>
              <w:t>0.23</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47"/>
              <w:ind w:right="92"/>
              <w:rPr>
                <w:sz w:val="18"/>
              </w:rPr>
            </w:pPr>
            <w:r>
              <w:rPr>
                <w:sz w:val="18"/>
              </w:rPr>
              <w:t>1.18</w:t>
            </w:r>
          </w:p>
        </w:tc>
        <w:tc>
          <w:tcPr>
            <w:tcW w:w="1132" w:type="dxa"/>
          </w:tcPr>
          <w:p w:rsidR="007C5447" w:rsidRDefault="00F6308C">
            <w:pPr>
              <w:pStyle w:val="TableParagraph"/>
              <w:spacing w:before="47"/>
              <w:ind w:right="89"/>
              <w:rPr>
                <w:sz w:val="18"/>
              </w:rPr>
            </w:pPr>
            <w:r>
              <w:rPr>
                <w:sz w:val="18"/>
              </w:rPr>
              <w:t>127.90</w:t>
            </w:r>
          </w:p>
        </w:tc>
      </w:tr>
      <w:tr w:rsidR="007C5447">
        <w:trPr>
          <w:trHeight w:val="313"/>
        </w:trPr>
        <w:tc>
          <w:tcPr>
            <w:tcW w:w="710" w:type="dxa"/>
          </w:tcPr>
          <w:p w:rsidR="007C5447" w:rsidRDefault="00F6308C">
            <w:pPr>
              <w:pStyle w:val="TableParagraph"/>
              <w:spacing w:before="52"/>
              <w:ind w:left="236" w:right="226"/>
              <w:jc w:val="center"/>
              <w:rPr>
                <w:sz w:val="18"/>
              </w:rPr>
            </w:pPr>
            <w:r>
              <w:rPr>
                <w:sz w:val="18"/>
              </w:rPr>
              <w:t>15</w:t>
            </w:r>
          </w:p>
        </w:tc>
        <w:tc>
          <w:tcPr>
            <w:tcW w:w="1985" w:type="dxa"/>
          </w:tcPr>
          <w:p w:rsidR="007C5447" w:rsidRDefault="00F6308C">
            <w:pPr>
              <w:pStyle w:val="TableParagraph"/>
              <w:spacing w:before="52"/>
              <w:ind w:left="108"/>
              <w:jc w:val="left"/>
              <w:rPr>
                <w:sz w:val="18"/>
              </w:rPr>
            </w:pPr>
            <w:r>
              <w:rPr>
                <w:sz w:val="18"/>
              </w:rPr>
              <w:t>Kundah HEP</w:t>
            </w:r>
          </w:p>
        </w:tc>
        <w:tc>
          <w:tcPr>
            <w:tcW w:w="1274" w:type="dxa"/>
          </w:tcPr>
          <w:p w:rsidR="007C5447" w:rsidRDefault="00F6308C">
            <w:pPr>
              <w:pStyle w:val="TableParagraph"/>
              <w:spacing w:before="52"/>
              <w:ind w:right="94"/>
              <w:rPr>
                <w:sz w:val="18"/>
              </w:rPr>
            </w:pPr>
            <w:r>
              <w:rPr>
                <w:sz w:val="18"/>
              </w:rPr>
              <w:t>109.64</w:t>
            </w:r>
          </w:p>
        </w:tc>
        <w:tc>
          <w:tcPr>
            <w:tcW w:w="1135" w:type="dxa"/>
          </w:tcPr>
          <w:p w:rsidR="007C5447" w:rsidRDefault="00F6308C">
            <w:pPr>
              <w:pStyle w:val="TableParagraph"/>
              <w:spacing w:before="52"/>
              <w:ind w:right="99"/>
              <w:rPr>
                <w:sz w:val="18"/>
              </w:rPr>
            </w:pPr>
            <w:r>
              <w:rPr>
                <w:sz w:val="18"/>
              </w:rPr>
              <w:t>107.65</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52"/>
              <w:ind w:right="93"/>
              <w:rPr>
                <w:sz w:val="18"/>
              </w:rPr>
            </w:pPr>
            <w:r>
              <w:rPr>
                <w:sz w:val="18"/>
              </w:rPr>
              <w:t>15.97</w:t>
            </w:r>
          </w:p>
        </w:tc>
        <w:tc>
          <w:tcPr>
            <w:tcW w:w="1132" w:type="dxa"/>
          </w:tcPr>
          <w:p w:rsidR="007C5447" w:rsidRDefault="00F6308C">
            <w:pPr>
              <w:pStyle w:val="TableParagraph"/>
              <w:spacing w:before="52"/>
              <w:ind w:right="90"/>
              <w:rPr>
                <w:sz w:val="18"/>
              </w:rPr>
            </w:pPr>
            <w:r>
              <w:rPr>
                <w:sz w:val="18"/>
              </w:rPr>
              <w:t>61.93</w:t>
            </w:r>
          </w:p>
        </w:tc>
        <w:tc>
          <w:tcPr>
            <w:tcW w:w="1135" w:type="dxa"/>
          </w:tcPr>
          <w:p w:rsidR="007C5447" w:rsidRDefault="00F6308C">
            <w:pPr>
              <w:pStyle w:val="TableParagraph"/>
              <w:spacing w:before="52"/>
              <w:ind w:right="93"/>
              <w:rPr>
                <w:sz w:val="18"/>
              </w:rPr>
            </w:pPr>
            <w:r>
              <w:rPr>
                <w:w w:val="99"/>
                <w:sz w:val="18"/>
              </w:rPr>
              <w:t>-</w:t>
            </w:r>
          </w:p>
        </w:tc>
        <w:tc>
          <w:tcPr>
            <w:tcW w:w="1274" w:type="dxa"/>
          </w:tcPr>
          <w:p w:rsidR="007C5447" w:rsidRDefault="00F6308C">
            <w:pPr>
              <w:pStyle w:val="TableParagraph"/>
              <w:spacing w:before="52"/>
              <w:ind w:right="87"/>
              <w:rPr>
                <w:sz w:val="18"/>
              </w:rPr>
            </w:pPr>
            <w:r>
              <w:rPr>
                <w:w w:val="99"/>
                <w:sz w:val="18"/>
              </w:rPr>
              <w:t>-</w:t>
            </w:r>
          </w:p>
        </w:tc>
        <w:tc>
          <w:tcPr>
            <w:tcW w:w="1135" w:type="dxa"/>
          </w:tcPr>
          <w:p w:rsidR="007C5447" w:rsidRDefault="00F6308C">
            <w:pPr>
              <w:pStyle w:val="TableParagraph"/>
              <w:spacing w:before="52"/>
              <w:ind w:right="94"/>
              <w:rPr>
                <w:sz w:val="18"/>
              </w:rPr>
            </w:pPr>
            <w:r>
              <w:rPr>
                <w:sz w:val="18"/>
              </w:rPr>
              <w:t>0.83</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52"/>
              <w:ind w:right="92"/>
              <w:rPr>
                <w:sz w:val="18"/>
              </w:rPr>
            </w:pPr>
            <w:r>
              <w:rPr>
                <w:sz w:val="18"/>
              </w:rPr>
              <w:t>1.93</w:t>
            </w:r>
          </w:p>
        </w:tc>
        <w:tc>
          <w:tcPr>
            <w:tcW w:w="1132" w:type="dxa"/>
          </w:tcPr>
          <w:p w:rsidR="007C5447" w:rsidRDefault="00F6308C">
            <w:pPr>
              <w:pStyle w:val="TableParagraph"/>
              <w:spacing w:before="52"/>
              <w:ind w:right="89"/>
              <w:rPr>
                <w:sz w:val="18"/>
              </w:rPr>
            </w:pPr>
            <w:r>
              <w:rPr>
                <w:sz w:val="18"/>
              </w:rPr>
              <w:t>296.29</w:t>
            </w:r>
          </w:p>
        </w:tc>
      </w:tr>
      <w:tr w:rsidR="007C5447">
        <w:trPr>
          <w:trHeight w:val="330"/>
        </w:trPr>
        <w:tc>
          <w:tcPr>
            <w:tcW w:w="710" w:type="dxa"/>
          </w:tcPr>
          <w:p w:rsidR="007C5447" w:rsidRDefault="00F6308C">
            <w:pPr>
              <w:pStyle w:val="TableParagraph"/>
              <w:spacing w:before="62"/>
              <w:ind w:left="236" w:right="226"/>
              <w:jc w:val="center"/>
              <w:rPr>
                <w:sz w:val="18"/>
              </w:rPr>
            </w:pPr>
            <w:r>
              <w:rPr>
                <w:sz w:val="18"/>
              </w:rPr>
              <w:t>16</w:t>
            </w:r>
          </w:p>
        </w:tc>
        <w:tc>
          <w:tcPr>
            <w:tcW w:w="1985" w:type="dxa"/>
          </w:tcPr>
          <w:p w:rsidR="007C5447" w:rsidRDefault="00F6308C">
            <w:pPr>
              <w:pStyle w:val="TableParagraph"/>
              <w:spacing w:before="62"/>
              <w:ind w:left="108"/>
              <w:jc w:val="left"/>
              <w:rPr>
                <w:sz w:val="18"/>
              </w:rPr>
            </w:pPr>
            <w:r>
              <w:rPr>
                <w:sz w:val="18"/>
              </w:rPr>
              <w:t>Tirunelveli HEP</w:t>
            </w:r>
          </w:p>
        </w:tc>
        <w:tc>
          <w:tcPr>
            <w:tcW w:w="1274" w:type="dxa"/>
          </w:tcPr>
          <w:p w:rsidR="007C5447" w:rsidRDefault="00F6308C">
            <w:pPr>
              <w:pStyle w:val="TableParagraph"/>
              <w:spacing w:before="62"/>
              <w:ind w:right="91"/>
              <w:rPr>
                <w:sz w:val="18"/>
              </w:rPr>
            </w:pPr>
            <w:r>
              <w:rPr>
                <w:sz w:val="18"/>
              </w:rPr>
              <w:t>42.18</w:t>
            </w:r>
          </w:p>
        </w:tc>
        <w:tc>
          <w:tcPr>
            <w:tcW w:w="1135" w:type="dxa"/>
          </w:tcPr>
          <w:p w:rsidR="007C5447" w:rsidRDefault="00F6308C">
            <w:pPr>
              <w:pStyle w:val="TableParagraph"/>
              <w:spacing w:before="62"/>
              <w:ind w:right="96"/>
              <w:rPr>
                <w:sz w:val="18"/>
              </w:rPr>
            </w:pPr>
            <w:r>
              <w:rPr>
                <w:sz w:val="18"/>
              </w:rPr>
              <w:t>51.51</w:t>
            </w:r>
          </w:p>
        </w:tc>
        <w:tc>
          <w:tcPr>
            <w:tcW w:w="990" w:type="dxa"/>
          </w:tcPr>
          <w:p w:rsidR="007C5447" w:rsidRDefault="007C5447">
            <w:pPr>
              <w:pStyle w:val="TableParagraph"/>
              <w:jc w:val="left"/>
              <w:rPr>
                <w:sz w:val="18"/>
              </w:rPr>
            </w:pPr>
          </w:p>
        </w:tc>
        <w:tc>
          <w:tcPr>
            <w:tcW w:w="1134" w:type="dxa"/>
          </w:tcPr>
          <w:p w:rsidR="007C5447" w:rsidRDefault="00F6308C">
            <w:pPr>
              <w:pStyle w:val="TableParagraph"/>
              <w:spacing w:before="62"/>
              <w:ind w:right="96"/>
              <w:rPr>
                <w:sz w:val="18"/>
              </w:rPr>
            </w:pPr>
            <w:r>
              <w:rPr>
                <w:sz w:val="18"/>
              </w:rPr>
              <w:t>9.90</w:t>
            </w:r>
          </w:p>
        </w:tc>
        <w:tc>
          <w:tcPr>
            <w:tcW w:w="1132" w:type="dxa"/>
          </w:tcPr>
          <w:p w:rsidR="007C5447" w:rsidRDefault="00F6308C">
            <w:pPr>
              <w:pStyle w:val="TableParagraph"/>
              <w:spacing w:before="62"/>
              <w:ind w:right="90"/>
              <w:rPr>
                <w:sz w:val="18"/>
              </w:rPr>
            </w:pPr>
            <w:r>
              <w:rPr>
                <w:sz w:val="18"/>
              </w:rPr>
              <w:t>53.61</w:t>
            </w:r>
          </w:p>
        </w:tc>
        <w:tc>
          <w:tcPr>
            <w:tcW w:w="1135" w:type="dxa"/>
          </w:tcPr>
          <w:p w:rsidR="007C5447" w:rsidRDefault="00F6308C">
            <w:pPr>
              <w:pStyle w:val="TableParagraph"/>
              <w:spacing w:before="62"/>
              <w:ind w:right="93"/>
              <w:rPr>
                <w:sz w:val="18"/>
              </w:rPr>
            </w:pPr>
            <w:r>
              <w:rPr>
                <w:w w:val="99"/>
                <w:sz w:val="18"/>
              </w:rPr>
              <w:t>-</w:t>
            </w:r>
          </w:p>
        </w:tc>
        <w:tc>
          <w:tcPr>
            <w:tcW w:w="1274" w:type="dxa"/>
          </w:tcPr>
          <w:p w:rsidR="007C5447" w:rsidRDefault="00F6308C">
            <w:pPr>
              <w:pStyle w:val="TableParagraph"/>
              <w:spacing w:before="62"/>
              <w:ind w:right="87"/>
              <w:rPr>
                <w:sz w:val="18"/>
              </w:rPr>
            </w:pPr>
            <w:r>
              <w:rPr>
                <w:w w:val="99"/>
                <w:sz w:val="18"/>
              </w:rPr>
              <w:t>-</w:t>
            </w:r>
          </w:p>
        </w:tc>
        <w:tc>
          <w:tcPr>
            <w:tcW w:w="1135" w:type="dxa"/>
          </w:tcPr>
          <w:p w:rsidR="007C5447" w:rsidRDefault="00F6308C">
            <w:pPr>
              <w:pStyle w:val="TableParagraph"/>
              <w:spacing w:before="62"/>
              <w:ind w:right="94"/>
              <w:rPr>
                <w:sz w:val="18"/>
              </w:rPr>
            </w:pPr>
            <w:r>
              <w:rPr>
                <w:sz w:val="18"/>
              </w:rPr>
              <w:t>0.43</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62"/>
              <w:ind w:right="92"/>
              <w:rPr>
                <w:sz w:val="18"/>
              </w:rPr>
            </w:pPr>
            <w:r>
              <w:rPr>
                <w:sz w:val="18"/>
              </w:rPr>
              <w:t>2.05</w:t>
            </w:r>
          </w:p>
        </w:tc>
        <w:tc>
          <w:tcPr>
            <w:tcW w:w="1132" w:type="dxa"/>
          </w:tcPr>
          <w:p w:rsidR="007C5447" w:rsidRDefault="00F6308C">
            <w:pPr>
              <w:pStyle w:val="TableParagraph"/>
              <w:spacing w:before="62"/>
              <w:ind w:right="89"/>
              <w:rPr>
                <w:sz w:val="18"/>
              </w:rPr>
            </w:pPr>
            <w:r>
              <w:rPr>
                <w:sz w:val="18"/>
              </w:rPr>
              <w:t>158.83</w:t>
            </w:r>
          </w:p>
        </w:tc>
      </w:tr>
      <w:tr w:rsidR="007C5447">
        <w:trPr>
          <w:trHeight w:val="328"/>
        </w:trPr>
        <w:tc>
          <w:tcPr>
            <w:tcW w:w="710" w:type="dxa"/>
          </w:tcPr>
          <w:p w:rsidR="007C5447" w:rsidRDefault="00F6308C">
            <w:pPr>
              <w:pStyle w:val="TableParagraph"/>
              <w:spacing w:before="59"/>
              <w:ind w:left="236" w:right="226"/>
              <w:jc w:val="center"/>
              <w:rPr>
                <w:b/>
                <w:sz w:val="18"/>
              </w:rPr>
            </w:pPr>
            <w:r>
              <w:rPr>
                <w:b/>
                <w:sz w:val="18"/>
              </w:rPr>
              <w:t>17</w:t>
            </w:r>
          </w:p>
        </w:tc>
        <w:tc>
          <w:tcPr>
            <w:tcW w:w="1985" w:type="dxa"/>
          </w:tcPr>
          <w:p w:rsidR="007C5447" w:rsidRDefault="00F6308C">
            <w:pPr>
              <w:pStyle w:val="TableParagraph"/>
              <w:spacing w:before="59"/>
              <w:ind w:left="108"/>
              <w:jc w:val="left"/>
              <w:rPr>
                <w:b/>
                <w:sz w:val="18"/>
              </w:rPr>
            </w:pPr>
            <w:r>
              <w:rPr>
                <w:b/>
                <w:sz w:val="18"/>
              </w:rPr>
              <w:t>Total Generation</w:t>
            </w:r>
          </w:p>
        </w:tc>
        <w:tc>
          <w:tcPr>
            <w:tcW w:w="1274" w:type="dxa"/>
          </w:tcPr>
          <w:p w:rsidR="007C5447" w:rsidRDefault="00F6308C">
            <w:pPr>
              <w:pStyle w:val="TableParagraph"/>
              <w:spacing w:before="59"/>
              <w:ind w:right="94"/>
              <w:rPr>
                <w:b/>
                <w:sz w:val="18"/>
              </w:rPr>
            </w:pPr>
            <w:r>
              <w:rPr>
                <w:b/>
                <w:sz w:val="18"/>
              </w:rPr>
              <w:t>1,216.35</w:t>
            </w:r>
          </w:p>
        </w:tc>
        <w:tc>
          <w:tcPr>
            <w:tcW w:w="1135" w:type="dxa"/>
          </w:tcPr>
          <w:p w:rsidR="007C5447" w:rsidRDefault="00F6308C">
            <w:pPr>
              <w:pStyle w:val="TableParagraph"/>
              <w:spacing w:before="59"/>
              <w:ind w:right="99"/>
              <w:rPr>
                <w:b/>
                <w:sz w:val="18"/>
              </w:rPr>
            </w:pPr>
            <w:r>
              <w:rPr>
                <w:b/>
                <w:sz w:val="18"/>
              </w:rPr>
              <w:t>2,018.13</w:t>
            </w:r>
          </w:p>
        </w:tc>
        <w:tc>
          <w:tcPr>
            <w:tcW w:w="990" w:type="dxa"/>
          </w:tcPr>
          <w:p w:rsidR="007C5447" w:rsidRDefault="00F6308C">
            <w:pPr>
              <w:pStyle w:val="TableParagraph"/>
              <w:spacing w:before="59"/>
              <w:ind w:right="93"/>
              <w:rPr>
                <w:b/>
                <w:sz w:val="18"/>
              </w:rPr>
            </w:pPr>
            <w:r>
              <w:rPr>
                <w:b/>
                <w:w w:val="99"/>
                <w:sz w:val="18"/>
              </w:rPr>
              <w:t>-</w:t>
            </w:r>
          </w:p>
        </w:tc>
        <w:tc>
          <w:tcPr>
            <w:tcW w:w="1134" w:type="dxa"/>
          </w:tcPr>
          <w:p w:rsidR="007C5447" w:rsidRDefault="00F6308C">
            <w:pPr>
              <w:pStyle w:val="TableParagraph"/>
              <w:spacing w:before="59"/>
              <w:ind w:right="93"/>
              <w:rPr>
                <w:b/>
                <w:sz w:val="18"/>
              </w:rPr>
            </w:pPr>
            <w:r>
              <w:rPr>
                <w:b/>
                <w:sz w:val="18"/>
              </w:rPr>
              <w:t>661.24</w:t>
            </w:r>
          </w:p>
        </w:tc>
        <w:tc>
          <w:tcPr>
            <w:tcW w:w="1132" w:type="dxa"/>
          </w:tcPr>
          <w:p w:rsidR="007C5447" w:rsidRDefault="00F6308C">
            <w:pPr>
              <w:pStyle w:val="TableParagraph"/>
              <w:spacing w:before="59"/>
              <w:ind w:right="93"/>
              <w:rPr>
                <w:b/>
                <w:sz w:val="18"/>
              </w:rPr>
            </w:pPr>
            <w:r>
              <w:rPr>
                <w:b/>
                <w:sz w:val="18"/>
              </w:rPr>
              <w:t>1,488.97</w:t>
            </w:r>
          </w:p>
        </w:tc>
        <w:tc>
          <w:tcPr>
            <w:tcW w:w="1135" w:type="dxa"/>
          </w:tcPr>
          <w:p w:rsidR="007C5447" w:rsidRDefault="00F6308C">
            <w:pPr>
              <w:pStyle w:val="TableParagraph"/>
              <w:spacing w:before="59"/>
              <w:ind w:right="93"/>
              <w:rPr>
                <w:b/>
                <w:sz w:val="18"/>
              </w:rPr>
            </w:pPr>
            <w:r>
              <w:rPr>
                <w:b/>
                <w:w w:val="99"/>
                <w:sz w:val="18"/>
              </w:rPr>
              <w:t>-</w:t>
            </w:r>
          </w:p>
        </w:tc>
        <w:tc>
          <w:tcPr>
            <w:tcW w:w="1274" w:type="dxa"/>
          </w:tcPr>
          <w:p w:rsidR="007C5447" w:rsidRDefault="007C5447">
            <w:pPr>
              <w:pStyle w:val="TableParagraph"/>
              <w:jc w:val="left"/>
              <w:rPr>
                <w:sz w:val="18"/>
              </w:rPr>
            </w:pPr>
          </w:p>
        </w:tc>
        <w:tc>
          <w:tcPr>
            <w:tcW w:w="1135" w:type="dxa"/>
          </w:tcPr>
          <w:p w:rsidR="007C5447" w:rsidRDefault="00F6308C">
            <w:pPr>
              <w:pStyle w:val="TableParagraph"/>
              <w:spacing w:before="59"/>
              <w:ind w:right="94"/>
              <w:rPr>
                <w:b/>
                <w:sz w:val="18"/>
              </w:rPr>
            </w:pPr>
            <w:r>
              <w:rPr>
                <w:b/>
                <w:sz w:val="18"/>
              </w:rPr>
              <w:t>131.94</w:t>
            </w:r>
          </w:p>
        </w:tc>
        <w:tc>
          <w:tcPr>
            <w:tcW w:w="1133" w:type="dxa"/>
          </w:tcPr>
          <w:p w:rsidR="007C5447" w:rsidRDefault="007C5447">
            <w:pPr>
              <w:pStyle w:val="TableParagraph"/>
              <w:jc w:val="left"/>
              <w:rPr>
                <w:sz w:val="18"/>
              </w:rPr>
            </w:pPr>
          </w:p>
        </w:tc>
        <w:tc>
          <w:tcPr>
            <w:tcW w:w="1276" w:type="dxa"/>
          </w:tcPr>
          <w:p w:rsidR="007C5447" w:rsidRDefault="00F6308C">
            <w:pPr>
              <w:pStyle w:val="TableParagraph"/>
              <w:spacing w:before="59"/>
              <w:ind w:right="90"/>
              <w:rPr>
                <w:b/>
                <w:sz w:val="18"/>
              </w:rPr>
            </w:pPr>
            <w:r>
              <w:rPr>
                <w:b/>
                <w:sz w:val="18"/>
              </w:rPr>
              <w:t>32.51</w:t>
            </w:r>
          </w:p>
        </w:tc>
        <w:tc>
          <w:tcPr>
            <w:tcW w:w="1132" w:type="dxa"/>
          </w:tcPr>
          <w:p w:rsidR="007C5447" w:rsidRDefault="00F6308C">
            <w:pPr>
              <w:pStyle w:val="TableParagraph"/>
              <w:spacing w:before="59"/>
              <w:ind w:right="90"/>
              <w:rPr>
                <w:b/>
                <w:sz w:val="18"/>
              </w:rPr>
            </w:pPr>
            <w:r>
              <w:rPr>
                <w:b/>
                <w:sz w:val="18"/>
              </w:rPr>
              <w:t>5,285.26</w:t>
            </w:r>
          </w:p>
        </w:tc>
      </w:tr>
    </w:tbl>
    <w:p w:rsidR="007C5447" w:rsidRDefault="007C5447">
      <w:pPr>
        <w:rPr>
          <w:sz w:val="18"/>
        </w:rPr>
        <w:sectPr w:rsidR="007C5447">
          <w:pgSz w:w="16840" w:h="11910" w:orient="landscape"/>
          <w:pgMar w:top="1100" w:right="820" w:bottom="1240" w:left="340" w:header="0" w:footer="1057" w:gutter="0"/>
          <w:cols w:space="720"/>
        </w:sectPr>
      </w:pPr>
    </w:p>
    <w:p w:rsidR="007C5447" w:rsidRDefault="00F6308C">
      <w:pPr>
        <w:pStyle w:val="ListParagraph"/>
        <w:numPr>
          <w:ilvl w:val="2"/>
          <w:numId w:val="114"/>
        </w:numPr>
        <w:tabs>
          <w:tab w:val="left" w:pos="1953"/>
        </w:tabs>
        <w:spacing w:before="60" w:line="312" w:lineRule="auto"/>
        <w:ind w:left="1952" w:right="1182" w:hanging="852"/>
        <w:jc w:val="both"/>
        <w:rPr>
          <w:sz w:val="24"/>
        </w:rPr>
      </w:pPr>
      <w:r>
        <w:rPr>
          <w:sz w:val="24"/>
        </w:rPr>
        <w:lastRenderedPageBreak/>
        <w:t>The recovery of capacity charge is governed by Regulation 42 of the Tariff Regulations, which specifies as</w:t>
      </w:r>
      <w:r>
        <w:rPr>
          <w:spacing w:val="-1"/>
          <w:sz w:val="24"/>
        </w:rPr>
        <w:t xml:space="preserve"> </w:t>
      </w:r>
      <w:r>
        <w:rPr>
          <w:sz w:val="24"/>
        </w:rPr>
        <w:t>under:</w:t>
      </w:r>
    </w:p>
    <w:p w:rsidR="007C5447" w:rsidRDefault="007C5447">
      <w:pPr>
        <w:pStyle w:val="BodyText"/>
        <w:spacing w:before="11"/>
        <w:rPr>
          <w:sz w:val="20"/>
        </w:rPr>
      </w:pPr>
    </w:p>
    <w:p w:rsidR="007C5447" w:rsidRDefault="00F6308C">
      <w:pPr>
        <w:ind w:left="2540"/>
        <w:rPr>
          <w:i/>
          <w:sz w:val="24"/>
        </w:rPr>
      </w:pPr>
      <w:r>
        <w:rPr>
          <w:i/>
          <w:sz w:val="24"/>
        </w:rPr>
        <w:t>“42. Recovery of Capacity Charges</w:t>
      </w:r>
    </w:p>
    <w:p w:rsidR="007C5447" w:rsidRDefault="007C5447">
      <w:pPr>
        <w:pStyle w:val="BodyText"/>
        <w:spacing w:before="10"/>
        <w:rPr>
          <w:i/>
          <w:sz w:val="20"/>
        </w:rPr>
      </w:pPr>
    </w:p>
    <w:p w:rsidR="007C5447" w:rsidRDefault="00F6308C">
      <w:pPr>
        <w:pStyle w:val="ListParagraph"/>
        <w:numPr>
          <w:ilvl w:val="3"/>
          <w:numId w:val="114"/>
        </w:numPr>
        <w:tabs>
          <w:tab w:val="left" w:pos="2901"/>
        </w:tabs>
        <w:ind w:right="1902" w:hanging="360"/>
        <w:jc w:val="both"/>
        <w:rPr>
          <w:i/>
          <w:sz w:val="24"/>
        </w:rPr>
      </w:pPr>
      <w:r>
        <w:rPr>
          <w:i/>
          <w:sz w:val="24"/>
        </w:rPr>
        <w:t>Full capacity charges (Fixed Charges) shall be recoverable at target availability specified in clause (1) of Regulation</w:t>
      </w:r>
      <w:r>
        <w:rPr>
          <w:i/>
          <w:spacing w:val="-7"/>
          <w:sz w:val="24"/>
        </w:rPr>
        <w:t xml:space="preserve"> </w:t>
      </w:r>
      <w:r>
        <w:rPr>
          <w:i/>
          <w:sz w:val="24"/>
        </w:rPr>
        <w:t>37.</w:t>
      </w:r>
    </w:p>
    <w:p w:rsidR="007C5447" w:rsidRDefault="007C5447">
      <w:pPr>
        <w:pStyle w:val="BodyText"/>
        <w:spacing w:before="10"/>
        <w:rPr>
          <w:i/>
          <w:sz w:val="20"/>
        </w:rPr>
      </w:pPr>
    </w:p>
    <w:p w:rsidR="007C5447" w:rsidRDefault="00F6308C">
      <w:pPr>
        <w:pStyle w:val="ListParagraph"/>
        <w:numPr>
          <w:ilvl w:val="3"/>
          <w:numId w:val="114"/>
        </w:numPr>
        <w:tabs>
          <w:tab w:val="left" w:pos="2901"/>
        </w:tabs>
        <w:ind w:right="1896" w:hanging="360"/>
        <w:jc w:val="both"/>
        <w:rPr>
          <w:i/>
          <w:sz w:val="24"/>
        </w:rPr>
      </w:pPr>
      <w:r>
        <w:rPr>
          <w:i/>
          <w:sz w:val="24"/>
        </w:rPr>
        <w:t>Recovery of capacity charges below the level of target availability will be on pro rata basis. At zero availability, no capacity ch</w:t>
      </w:r>
      <w:r>
        <w:rPr>
          <w:i/>
          <w:sz w:val="24"/>
        </w:rPr>
        <w:t>arges shall be</w:t>
      </w:r>
      <w:r>
        <w:rPr>
          <w:i/>
          <w:spacing w:val="-1"/>
          <w:sz w:val="24"/>
        </w:rPr>
        <w:t xml:space="preserve"> </w:t>
      </w:r>
      <w:r>
        <w:rPr>
          <w:i/>
          <w:sz w:val="24"/>
        </w:rPr>
        <w:t>payable.…”</w:t>
      </w:r>
    </w:p>
    <w:p w:rsidR="007C5447" w:rsidRDefault="00F6308C">
      <w:pPr>
        <w:pStyle w:val="ListParagraph"/>
        <w:numPr>
          <w:ilvl w:val="2"/>
          <w:numId w:val="114"/>
        </w:numPr>
        <w:tabs>
          <w:tab w:val="left" w:pos="1953"/>
        </w:tabs>
        <w:spacing w:before="120" w:line="312" w:lineRule="auto"/>
        <w:ind w:left="1952" w:right="1180" w:hanging="852"/>
        <w:jc w:val="both"/>
        <w:rPr>
          <w:sz w:val="24"/>
        </w:rPr>
      </w:pPr>
      <w:r>
        <w:rPr>
          <w:sz w:val="24"/>
        </w:rPr>
        <w:t>The above Capacity Charges as determined by the Commission shall be recoverable when TANGEDCO is able to meet the Availability norms specified in the Tariff Regulations, else, there will be pro-rate reduction in the Capacity Charg</w:t>
      </w:r>
      <w:r>
        <w:rPr>
          <w:sz w:val="24"/>
        </w:rPr>
        <w:t>es recoverable.</w:t>
      </w:r>
    </w:p>
    <w:p w:rsidR="007C5447" w:rsidRDefault="007C5447">
      <w:pPr>
        <w:pStyle w:val="BodyText"/>
        <w:spacing w:before="11"/>
        <w:rPr>
          <w:sz w:val="20"/>
        </w:rPr>
      </w:pPr>
    </w:p>
    <w:p w:rsidR="007C5447" w:rsidRDefault="00F6308C">
      <w:pPr>
        <w:pStyle w:val="Heading2"/>
        <w:numPr>
          <w:ilvl w:val="1"/>
          <w:numId w:val="114"/>
        </w:numPr>
        <w:tabs>
          <w:tab w:val="left" w:pos="1667"/>
        </w:tabs>
        <w:ind w:left="1666"/>
      </w:pPr>
      <w:bookmarkStart w:id="70" w:name="_bookmark70"/>
      <w:bookmarkEnd w:id="70"/>
      <w:r>
        <w:t>Variable Costs for Own Generating</w:t>
      </w:r>
      <w:r>
        <w:rPr>
          <w:spacing w:val="-4"/>
        </w:rPr>
        <w:t xml:space="preserve"> </w:t>
      </w:r>
      <w:r>
        <w:t>Stations</w:t>
      </w:r>
    </w:p>
    <w:p w:rsidR="007C5447" w:rsidRDefault="007C5447">
      <w:pPr>
        <w:pStyle w:val="BodyText"/>
        <w:spacing w:before="11"/>
        <w:rPr>
          <w:b/>
          <w:sz w:val="27"/>
        </w:rPr>
      </w:pPr>
    </w:p>
    <w:p w:rsidR="007C5447" w:rsidRDefault="00F6308C">
      <w:pPr>
        <w:pStyle w:val="ListParagraph"/>
        <w:numPr>
          <w:ilvl w:val="2"/>
          <w:numId w:val="114"/>
        </w:numPr>
        <w:tabs>
          <w:tab w:val="left" w:pos="1952"/>
          <w:tab w:val="left" w:pos="1953"/>
        </w:tabs>
        <w:ind w:left="1952" w:hanging="853"/>
        <w:rPr>
          <w:b/>
          <w:sz w:val="24"/>
        </w:rPr>
      </w:pPr>
      <w:r>
        <w:rPr>
          <w:b/>
          <w:sz w:val="24"/>
        </w:rPr>
        <w:t>Operational</w:t>
      </w:r>
      <w:r>
        <w:rPr>
          <w:b/>
          <w:spacing w:val="-1"/>
          <w:sz w:val="24"/>
        </w:rPr>
        <w:t xml:space="preserve"> </w:t>
      </w:r>
      <w:r>
        <w:rPr>
          <w:b/>
          <w:sz w:val="24"/>
        </w:rPr>
        <w:t>Performance</w:t>
      </w:r>
    </w:p>
    <w:p w:rsidR="007C5447" w:rsidRDefault="007C5447">
      <w:pPr>
        <w:pStyle w:val="BodyText"/>
        <w:spacing w:before="2"/>
        <w:rPr>
          <w:b/>
          <w:sz w:val="28"/>
        </w:rPr>
      </w:pPr>
    </w:p>
    <w:p w:rsidR="007C5447" w:rsidRDefault="00F6308C">
      <w:pPr>
        <w:pStyle w:val="ListParagraph"/>
        <w:numPr>
          <w:ilvl w:val="3"/>
          <w:numId w:val="59"/>
        </w:numPr>
        <w:tabs>
          <w:tab w:val="left" w:pos="2066"/>
        </w:tabs>
        <w:spacing w:line="312" w:lineRule="auto"/>
        <w:ind w:right="1179" w:hanging="864"/>
        <w:jc w:val="both"/>
        <w:rPr>
          <w:sz w:val="24"/>
        </w:rPr>
      </w:pPr>
      <w:r>
        <w:tab/>
      </w:r>
      <w:r>
        <w:rPr>
          <w:sz w:val="24"/>
        </w:rPr>
        <w:t>TANGEDCO submitted that the actual operating parameters achieved during the year are dependent on the condition of the machine, which is a function of following factors:</w:t>
      </w:r>
    </w:p>
    <w:p w:rsidR="007C5447" w:rsidRDefault="00F6308C">
      <w:pPr>
        <w:pStyle w:val="ListParagraph"/>
        <w:numPr>
          <w:ilvl w:val="4"/>
          <w:numId w:val="59"/>
        </w:numPr>
        <w:tabs>
          <w:tab w:val="left" w:pos="2541"/>
        </w:tabs>
        <w:spacing w:before="119"/>
        <w:jc w:val="both"/>
        <w:rPr>
          <w:sz w:val="24"/>
        </w:rPr>
      </w:pPr>
      <w:r>
        <w:rPr>
          <w:sz w:val="24"/>
        </w:rPr>
        <w:t>O&amp;M carried out in the plant since</w:t>
      </w:r>
      <w:r>
        <w:rPr>
          <w:spacing w:val="-1"/>
          <w:sz w:val="24"/>
        </w:rPr>
        <w:t xml:space="preserve"> </w:t>
      </w:r>
      <w:r>
        <w:rPr>
          <w:sz w:val="24"/>
        </w:rPr>
        <w:t>commissioning</w:t>
      </w:r>
    </w:p>
    <w:p w:rsidR="007C5447" w:rsidRDefault="00F6308C">
      <w:pPr>
        <w:pStyle w:val="ListParagraph"/>
        <w:numPr>
          <w:ilvl w:val="4"/>
          <w:numId w:val="59"/>
        </w:numPr>
        <w:tabs>
          <w:tab w:val="left" w:pos="2541"/>
        </w:tabs>
        <w:spacing w:before="84"/>
        <w:ind w:hanging="359"/>
        <w:jc w:val="both"/>
        <w:rPr>
          <w:sz w:val="24"/>
        </w:rPr>
      </w:pPr>
      <w:r>
        <w:rPr>
          <w:sz w:val="24"/>
        </w:rPr>
        <w:t>Degradation due to</w:t>
      </w:r>
      <w:r>
        <w:rPr>
          <w:spacing w:val="-2"/>
          <w:sz w:val="24"/>
        </w:rPr>
        <w:t xml:space="preserve"> </w:t>
      </w:r>
      <w:r>
        <w:rPr>
          <w:sz w:val="24"/>
        </w:rPr>
        <w:t>ageing</w:t>
      </w:r>
    </w:p>
    <w:p w:rsidR="007C5447" w:rsidRDefault="00F6308C">
      <w:pPr>
        <w:pStyle w:val="ListParagraph"/>
        <w:numPr>
          <w:ilvl w:val="4"/>
          <w:numId w:val="59"/>
        </w:numPr>
        <w:tabs>
          <w:tab w:val="left" w:pos="2541"/>
        </w:tabs>
        <w:spacing w:before="82"/>
        <w:ind w:hanging="426"/>
        <w:jc w:val="left"/>
        <w:rPr>
          <w:sz w:val="24"/>
        </w:rPr>
      </w:pPr>
      <w:r>
        <w:rPr>
          <w:sz w:val="24"/>
        </w:rPr>
        <w:t>Water</w:t>
      </w:r>
      <w:r>
        <w:rPr>
          <w:spacing w:val="-2"/>
          <w:sz w:val="24"/>
        </w:rPr>
        <w:t xml:space="preserve"> </w:t>
      </w:r>
      <w:r>
        <w:rPr>
          <w:sz w:val="24"/>
        </w:rPr>
        <w:t>Chemistry</w:t>
      </w:r>
    </w:p>
    <w:p w:rsidR="007C5447" w:rsidRDefault="00F6308C">
      <w:pPr>
        <w:pStyle w:val="ListParagraph"/>
        <w:numPr>
          <w:ilvl w:val="4"/>
          <w:numId w:val="59"/>
        </w:numPr>
        <w:tabs>
          <w:tab w:val="left" w:pos="2541"/>
        </w:tabs>
        <w:spacing w:before="84"/>
        <w:ind w:hanging="411"/>
        <w:jc w:val="left"/>
        <w:rPr>
          <w:sz w:val="24"/>
        </w:rPr>
      </w:pPr>
      <w:r>
        <w:rPr>
          <w:sz w:val="24"/>
        </w:rPr>
        <w:t>Conditions of the</w:t>
      </w:r>
      <w:r>
        <w:rPr>
          <w:spacing w:val="-3"/>
          <w:sz w:val="24"/>
        </w:rPr>
        <w:t xml:space="preserve"> </w:t>
      </w:r>
      <w:r>
        <w:rPr>
          <w:sz w:val="24"/>
        </w:rPr>
        <w:t>Auxiliaries</w:t>
      </w:r>
    </w:p>
    <w:p w:rsidR="007C5447" w:rsidRDefault="00F6308C">
      <w:pPr>
        <w:pStyle w:val="ListParagraph"/>
        <w:numPr>
          <w:ilvl w:val="4"/>
          <w:numId w:val="59"/>
        </w:numPr>
        <w:tabs>
          <w:tab w:val="left" w:pos="2541"/>
        </w:tabs>
        <w:spacing w:before="82"/>
        <w:ind w:hanging="344"/>
        <w:jc w:val="left"/>
        <w:rPr>
          <w:sz w:val="24"/>
        </w:rPr>
      </w:pPr>
      <w:r>
        <w:rPr>
          <w:sz w:val="24"/>
        </w:rPr>
        <w:t>Overloading and Partial Loading of</w:t>
      </w:r>
      <w:r>
        <w:rPr>
          <w:spacing w:val="-6"/>
          <w:sz w:val="24"/>
        </w:rPr>
        <w:t xml:space="preserve"> </w:t>
      </w:r>
      <w:r>
        <w:rPr>
          <w:sz w:val="24"/>
        </w:rPr>
        <w:t>machines</w:t>
      </w:r>
    </w:p>
    <w:p w:rsidR="007C5447" w:rsidRDefault="00F6308C">
      <w:pPr>
        <w:pStyle w:val="ListParagraph"/>
        <w:numPr>
          <w:ilvl w:val="4"/>
          <w:numId w:val="59"/>
        </w:numPr>
        <w:tabs>
          <w:tab w:val="left" w:pos="2541"/>
        </w:tabs>
        <w:spacing w:before="84"/>
        <w:ind w:hanging="411"/>
        <w:jc w:val="left"/>
        <w:rPr>
          <w:sz w:val="24"/>
        </w:rPr>
      </w:pPr>
      <w:r>
        <w:rPr>
          <w:sz w:val="24"/>
        </w:rPr>
        <w:t>Number of</w:t>
      </w:r>
      <w:r>
        <w:rPr>
          <w:spacing w:val="-3"/>
          <w:sz w:val="24"/>
        </w:rPr>
        <w:t xml:space="preserve"> </w:t>
      </w:r>
      <w:r>
        <w:rPr>
          <w:sz w:val="24"/>
        </w:rPr>
        <w:t>Starts/Stops</w:t>
      </w:r>
    </w:p>
    <w:p w:rsidR="007C5447" w:rsidRDefault="00F6308C">
      <w:pPr>
        <w:pStyle w:val="ListParagraph"/>
        <w:numPr>
          <w:ilvl w:val="4"/>
          <w:numId w:val="59"/>
        </w:numPr>
        <w:tabs>
          <w:tab w:val="left" w:pos="2541"/>
        </w:tabs>
        <w:spacing w:before="81"/>
        <w:ind w:hanging="479"/>
        <w:jc w:val="left"/>
        <w:rPr>
          <w:sz w:val="24"/>
        </w:rPr>
      </w:pPr>
      <w:r>
        <w:rPr>
          <w:sz w:val="24"/>
        </w:rPr>
        <w:t>Temperature and Pressure stress the Machines have been subjected</w:t>
      </w:r>
      <w:r>
        <w:rPr>
          <w:spacing w:val="-6"/>
          <w:sz w:val="24"/>
        </w:rPr>
        <w:t xml:space="preserve"> </w:t>
      </w:r>
      <w:r>
        <w:rPr>
          <w:sz w:val="24"/>
        </w:rPr>
        <w:t>to</w:t>
      </w:r>
    </w:p>
    <w:p w:rsidR="007C5447" w:rsidRDefault="00F6308C">
      <w:pPr>
        <w:pStyle w:val="ListParagraph"/>
        <w:numPr>
          <w:ilvl w:val="4"/>
          <w:numId w:val="59"/>
        </w:numPr>
        <w:tabs>
          <w:tab w:val="left" w:pos="2541"/>
        </w:tabs>
        <w:spacing w:before="84"/>
        <w:ind w:hanging="546"/>
        <w:jc w:val="left"/>
        <w:rPr>
          <w:sz w:val="24"/>
        </w:rPr>
      </w:pPr>
      <w:r>
        <w:rPr>
          <w:sz w:val="24"/>
        </w:rPr>
        <w:t>Automation of C&amp;I</w:t>
      </w:r>
    </w:p>
    <w:p w:rsidR="007C5447" w:rsidRDefault="00F6308C">
      <w:pPr>
        <w:pStyle w:val="ListParagraph"/>
        <w:numPr>
          <w:ilvl w:val="4"/>
          <w:numId w:val="59"/>
        </w:numPr>
        <w:tabs>
          <w:tab w:val="left" w:pos="2541"/>
        </w:tabs>
        <w:spacing w:before="82"/>
        <w:ind w:hanging="411"/>
        <w:jc w:val="left"/>
        <w:rPr>
          <w:sz w:val="24"/>
        </w:rPr>
      </w:pPr>
      <w:r>
        <w:rPr>
          <w:sz w:val="24"/>
        </w:rPr>
        <w:t>Condenser</w:t>
      </w:r>
      <w:r>
        <w:rPr>
          <w:spacing w:val="-1"/>
          <w:sz w:val="24"/>
        </w:rPr>
        <w:t xml:space="preserve"> </w:t>
      </w:r>
      <w:r>
        <w:rPr>
          <w:sz w:val="24"/>
        </w:rPr>
        <w:t>Vacuum</w:t>
      </w:r>
    </w:p>
    <w:p w:rsidR="007C5447" w:rsidRDefault="00F6308C">
      <w:pPr>
        <w:pStyle w:val="Heading2"/>
        <w:numPr>
          <w:ilvl w:val="2"/>
          <w:numId w:val="114"/>
        </w:numPr>
        <w:tabs>
          <w:tab w:val="left" w:pos="1952"/>
          <w:tab w:val="left" w:pos="1953"/>
        </w:tabs>
        <w:spacing w:before="204"/>
        <w:ind w:left="1952" w:hanging="853"/>
      </w:pPr>
      <w:r>
        <w:t>Plant Load</w:t>
      </w:r>
      <w:r>
        <w:rPr>
          <w:spacing w:val="-1"/>
        </w:rPr>
        <w:t xml:space="preserve"> </w:t>
      </w:r>
      <w:r>
        <w:t>Factor</w:t>
      </w:r>
    </w:p>
    <w:p w:rsidR="007C5447" w:rsidRDefault="007C5447">
      <w:pPr>
        <w:pStyle w:val="BodyText"/>
        <w:rPr>
          <w:b/>
          <w:sz w:val="28"/>
        </w:rPr>
      </w:pPr>
    </w:p>
    <w:p w:rsidR="007C5447" w:rsidRDefault="00F6308C">
      <w:pPr>
        <w:pStyle w:val="ListParagraph"/>
        <w:numPr>
          <w:ilvl w:val="3"/>
          <w:numId w:val="58"/>
        </w:numPr>
        <w:tabs>
          <w:tab w:val="left" w:pos="2066"/>
        </w:tabs>
        <w:spacing w:line="312" w:lineRule="auto"/>
        <w:ind w:right="1176"/>
        <w:jc w:val="both"/>
        <w:rPr>
          <w:sz w:val="24"/>
        </w:rPr>
      </w:pPr>
      <w:r>
        <w:rPr>
          <w:sz w:val="24"/>
        </w:rPr>
        <w:t>Tariff Regulations specifies the Target Plant Load factor of 80%. The Commission has approved PLF for TANGEDCO’s generating stations in accordance with the Tariff Regulations. For ETPS, PLF has been approved for FY 2016-17 based on average of actual PLF fo</w:t>
      </w:r>
      <w:r>
        <w:rPr>
          <w:sz w:val="24"/>
        </w:rPr>
        <w:t>r past 5 years. For Basin Bridge GTPS, TANGEDCO has projected PLF at the same level as in FY 2015-16, which has been</w:t>
      </w:r>
      <w:r>
        <w:rPr>
          <w:spacing w:val="-5"/>
          <w:sz w:val="24"/>
        </w:rPr>
        <w:t xml:space="preserve"> </w:t>
      </w:r>
      <w:r>
        <w:rPr>
          <w:sz w:val="24"/>
        </w:rPr>
        <w:t>accepted.</w:t>
      </w:r>
    </w:p>
    <w:p w:rsidR="007C5447" w:rsidRDefault="007C5447">
      <w:pPr>
        <w:spacing w:line="312" w:lineRule="auto"/>
        <w:jc w:val="both"/>
        <w:rPr>
          <w:sz w:val="24"/>
        </w:rPr>
        <w:sectPr w:rsidR="007C5447">
          <w:footerReference w:type="default" r:id="rId53"/>
          <w:pgSz w:w="11910" w:h="16840"/>
          <w:pgMar w:top="1360" w:right="260" w:bottom="1240" w:left="340" w:header="0" w:footer="1057" w:gutter="0"/>
          <w:pgNumType w:start="227"/>
          <w:cols w:space="720"/>
        </w:sectPr>
      </w:pPr>
    </w:p>
    <w:p w:rsidR="007C5447" w:rsidRDefault="00F6308C">
      <w:pPr>
        <w:pStyle w:val="ListParagraph"/>
        <w:numPr>
          <w:ilvl w:val="3"/>
          <w:numId w:val="58"/>
        </w:numPr>
        <w:tabs>
          <w:tab w:val="left" w:pos="2066"/>
        </w:tabs>
        <w:spacing w:before="60" w:line="312" w:lineRule="auto"/>
        <w:ind w:right="1176"/>
        <w:jc w:val="both"/>
        <w:rPr>
          <w:sz w:val="24"/>
        </w:rPr>
      </w:pPr>
      <w:r>
        <w:rPr>
          <w:sz w:val="24"/>
        </w:rPr>
        <w:lastRenderedPageBreak/>
        <w:t>The PLF for the Control Period f</w:t>
      </w:r>
      <w:r>
        <w:rPr>
          <w:sz w:val="24"/>
        </w:rPr>
        <w:t>rom FY 2016-17 to FY 2018-19 as submitted by TANGEDCO (based on actual loading) and as approved by the Commission is shown in the Table</w:t>
      </w:r>
      <w:r>
        <w:rPr>
          <w:spacing w:val="-2"/>
          <w:sz w:val="24"/>
        </w:rPr>
        <w:t xml:space="preserve"> </w:t>
      </w:r>
      <w:r>
        <w:rPr>
          <w:sz w:val="24"/>
        </w:rPr>
        <w:t>below:</w:t>
      </w:r>
    </w:p>
    <w:p w:rsidR="007C5447" w:rsidRDefault="007C5447">
      <w:pPr>
        <w:pStyle w:val="BodyText"/>
        <w:rPr>
          <w:sz w:val="21"/>
        </w:rPr>
      </w:pPr>
    </w:p>
    <w:p w:rsidR="007C5447" w:rsidRDefault="00F6308C">
      <w:pPr>
        <w:ind w:left="1354" w:right="1429"/>
        <w:jc w:val="center"/>
        <w:rPr>
          <w:b/>
        </w:rPr>
      </w:pPr>
      <w:r>
        <w:rPr>
          <w:b/>
        </w:rPr>
        <w:t>Table 4-35: Approved PLF for Own Generating Stations for FY 2016-17 to FY 2018-19</w:t>
      </w:r>
    </w:p>
    <w:p w:rsidR="007C5447" w:rsidRDefault="007C5447">
      <w:pPr>
        <w:pStyle w:val="BodyText"/>
        <w:spacing w:before="11"/>
        <w:rPr>
          <w:b/>
          <w:sz w:val="16"/>
        </w:r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
        <w:gridCol w:w="2473"/>
        <w:gridCol w:w="1200"/>
        <w:gridCol w:w="1200"/>
        <w:gridCol w:w="1200"/>
        <w:gridCol w:w="835"/>
        <w:gridCol w:w="977"/>
        <w:gridCol w:w="926"/>
      </w:tblGrid>
      <w:tr w:rsidR="007C5447">
        <w:trPr>
          <w:trHeight w:val="328"/>
        </w:trPr>
        <w:tc>
          <w:tcPr>
            <w:tcW w:w="432" w:type="dxa"/>
            <w:vMerge w:val="restart"/>
            <w:shd w:val="clear" w:color="auto" w:fill="F7C9AC"/>
          </w:tcPr>
          <w:p w:rsidR="007C5447" w:rsidRDefault="007C5447">
            <w:pPr>
              <w:pStyle w:val="TableParagraph"/>
              <w:jc w:val="left"/>
              <w:rPr>
                <w:b/>
              </w:rPr>
            </w:pPr>
          </w:p>
          <w:p w:rsidR="007C5447" w:rsidRDefault="00F6308C">
            <w:pPr>
              <w:pStyle w:val="TableParagraph"/>
              <w:spacing w:before="162"/>
              <w:ind w:left="107"/>
              <w:jc w:val="left"/>
              <w:rPr>
                <w:b/>
                <w:sz w:val="20"/>
              </w:rPr>
            </w:pPr>
            <w:r>
              <w:rPr>
                <w:b/>
                <w:sz w:val="20"/>
              </w:rPr>
              <w:t>Sl.</w:t>
            </w:r>
          </w:p>
        </w:tc>
        <w:tc>
          <w:tcPr>
            <w:tcW w:w="2473" w:type="dxa"/>
            <w:vMerge w:val="restart"/>
            <w:shd w:val="clear" w:color="auto" w:fill="F7C9AC"/>
          </w:tcPr>
          <w:p w:rsidR="007C5447" w:rsidRDefault="007C5447">
            <w:pPr>
              <w:pStyle w:val="TableParagraph"/>
              <w:jc w:val="left"/>
              <w:rPr>
                <w:b/>
              </w:rPr>
            </w:pPr>
          </w:p>
          <w:p w:rsidR="007C5447" w:rsidRDefault="00F6308C">
            <w:pPr>
              <w:pStyle w:val="TableParagraph"/>
              <w:spacing w:before="162"/>
              <w:ind w:left="107"/>
              <w:jc w:val="left"/>
              <w:rPr>
                <w:b/>
                <w:sz w:val="20"/>
              </w:rPr>
            </w:pPr>
            <w:r>
              <w:rPr>
                <w:b/>
                <w:sz w:val="20"/>
              </w:rPr>
              <w:t>Station</w:t>
            </w:r>
          </w:p>
        </w:tc>
        <w:tc>
          <w:tcPr>
            <w:tcW w:w="3600" w:type="dxa"/>
            <w:gridSpan w:val="3"/>
            <w:shd w:val="clear" w:color="auto" w:fill="F7C9AC"/>
          </w:tcPr>
          <w:p w:rsidR="007C5447" w:rsidRDefault="00F6308C">
            <w:pPr>
              <w:pStyle w:val="TableParagraph"/>
              <w:spacing w:before="50"/>
              <w:ind w:left="1199" w:right="1195"/>
              <w:jc w:val="center"/>
              <w:rPr>
                <w:b/>
                <w:sz w:val="20"/>
              </w:rPr>
            </w:pPr>
            <w:r>
              <w:rPr>
                <w:b/>
                <w:sz w:val="20"/>
              </w:rPr>
              <w:t>TANGEDCO</w:t>
            </w:r>
          </w:p>
        </w:tc>
        <w:tc>
          <w:tcPr>
            <w:tcW w:w="2738" w:type="dxa"/>
            <w:gridSpan w:val="3"/>
            <w:shd w:val="clear" w:color="auto" w:fill="F7C9AC"/>
          </w:tcPr>
          <w:p w:rsidR="007C5447" w:rsidRDefault="00F6308C">
            <w:pPr>
              <w:pStyle w:val="TableParagraph"/>
              <w:spacing w:before="50"/>
              <w:ind w:left="839"/>
              <w:jc w:val="left"/>
              <w:rPr>
                <w:b/>
                <w:sz w:val="20"/>
              </w:rPr>
            </w:pPr>
            <w:r>
              <w:rPr>
                <w:b/>
                <w:sz w:val="20"/>
              </w:rPr>
              <w:t>Commission</w:t>
            </w:r>
          </w:p>
        </w:tc>
      </w:tr>
      <w:tr w:rsidR="007C5447">
        <w:trPr>
          <w:trHeight w:val="719"/>
        </w:trPr>
        <w:tc>
          <w:tcPr>
            <w:tcW w:w="432" w:type="dxa"/>
            <w:vMerge/>
            <w:tcBorders>
              <w:top w:val="nil"/>
            </w:tcBorders>
            <w:shd w:val="clear" w:color="auto" w:fill="F7C9AC"/>
          </w:tcPr>
          <w:p w:rsidR="007C5447" w:rsidRDefault="007C5447">
            <w:pPr>
              <w:rPr>
                <w:sz w:val="2"/>
                <w:szCs w:val="2"/>
              </w:rPr>
            </w:pPr>
          </w:p>
        </w:tc>
        <w:tc>
          <w:tcPr>
            <w:tcW w:w="2473" w:type="dxa"/>
            <w:vMerge/>
            <w:tcBorders>
              <w:top w:val="nil"/>
            </w:tcBorders>
            <w:shd w:val="clear" w:color="auto" w:fill="F7C9AC"/>
          </w:tcPr>
          <w:p w:rsidR="007C5447" w:rsidRDefault="007C5447">
            <w:pPr>
              <w:rPr>
                <w:sz w:val="2"/>
                <w:szCs w:val="2"/>
              </w:rPr>
            </w:pPr>
          </w:p>
        </w:tc>
        <w:tc>
          <w:tcPr>
            <w:tcW w:w="1200" w:type="dxa"/>
            <w:shd w:val="clear" w:color="auto" w:fill="F7C9AC"/>
          </w:tcPr>
          <w:p w:rsidR="007C5447" w:rsidRDefault="007C5447">
            <w:pPr>
              <w:pStyle w:val="TableParagraph"/>
              <w:spacing w:before="3"/>
              <w:jc w:val="left"/>
              <w:rPr>
                <w:b/>
                <w:sz w:val="21"/>
              </w:rPr>
            </w:pPr>
          </w:p>
          <w:p w:rsidR="007C5447" w:rsidRDefault="00F6308C">
            <w:pPr>
              <w:pStyle w:val="TableParagraph"/>
              <w:ind w:right="94"/>
              <w:rPr>
                <w:b/>
                <w:sz w:val="20"/>
              </w:rPr>
            </w:pPr>
            <w:r>
              <w:rPr>
                <w:b/>
                <w:sz w:val="20"/>
              </w:rPr>
              <w:t>FY 2016-17</w:t>
            </w:r>
          </w:p>
        </w:tc>
        <w:tc>
          <w:tcPr>
            <w:tcW w:w="1200" w:type="dxa"/>
            <w:shd w:val="clear" w:color="auto" w:fill="F7C9AC"/>
          </w:tcPr>
          <w:p w:rsidR="007C5447" w:rsidRDefault="007C5447">
            <w:pPr>
              <w:pStyle w:val="TableParagraph"/>
              <w:spacing w:before="3"/>
              <w:jc w:val="left"/>
              <w:rPr>
                <w:b/>
                <w:sz w:val="21"/>
              </w:rPr>
            </w:pPr>
          </w:p>
          <w:p w:rsidR="007C5447" w:rsidRDefault="00F6308C">
            <w:pPr>
              <w:pStyle w:val="TableParagraph"/>
              <w:ind w:right="93"/>
              <w:rPr>
                <w:b/>
                <w:sz w:val="20"/>
              </w:rPr>
            </w:pPr>
            <w:r>
              <w:rPr>
                <w:b/>
                <w:sz w:val="20"/>
              </w:rPr>
              <w:t>FY 2017-18</w:t>
            </w:r>
          </w:p>
        </w:tc>
        <w:tc>
          <w:tcPr>
            <w:tcW w:w="1200" w:type="dxa"/>
            <w:shd w:val="clear" w:color="auto" w:fill="F7C9AC"/>
          </w:tcPr>
          <w:p w:rsidR="007C5447" w:rsidRDefault="007C5447">
            <w:pPr>
              <w:pStyle w:val="TableParagraph"/>
              <w:spacing w:before="3"/>
              <w:jc w:val="left"/>
              <w:rPr>
                <w:b/>
                <w:sz w:val="21"/>
              </w:rPr>
            </w:pPr>
          </w:p>
          <w:p w:rsidR="007C5447" w:rsidRDefault="00F6308C">
            <w:pPr>
              <w:pStyle w:val="TableParagraph"/>
              <w:ind w:right="93"/>
              <w:rPr>
                <w:b/>
                <w:sz w:val="20"/>
              </w:rPr>
            </w:pPr>
            <w:r>
              <w:rPr>
                <w:b/>
                <w:sz w:val="20"/>
              </w:rPr>
              <w:t>FY 2018-19</w:t>
            </w:r>
          </w:p>
        </w:tc>
        <w:tc>
          <w:tcPr>
            <w:tcW w:w="835" w:type="dxa"/>
            <w:shd w:val="clear" w:color="auto" w:fill="F7C9AC"/>
          </w:tcPr>
          <w:p w:rsidR="007C5447" w:rsidRDefault="00F6308C">
            <w:pPr>
              <w:pStyle w:val="TableParagraph"/>
              <w:spacing w:before="17"/>
              <w:ind w:left="182" w:right="173"/>
              <w:jc w:val="center"/>
              <w:rPr>
                <w:b/>
                <w:sz w:val="20"/>
              </w:rPr>
            </w:pPr>
            <w:r>
              <w:rPr>
                <w:b/>
                <w:sz w:val="20"/>
              </w:rPr>
              <w:t>FY 2016-</w:t>
            </w:r>
          </w:p>
          <w:p w:rsidR="007C5447" w:rsidRDefault="00F6308C">
            <w:pPr>
              <w:pStyle w:val="TableParagraph"/>
              <w:spacing w:line="223" w:lineRule="exact"/>
              <w:ind w:left="182" w:right="173"/>
              <w:jc w:val="center"/>
              <w:rPr>
                <w:b/>
                <w:sz w:val="20"/>
              </w:rPr>
            </w:pPr>
            <w:r>
              <w:rPr>
                <w:b/>
                <w:sz w:val="20"/>
              </w:rPr>
              <w:t>17</w:t>
            </w:r>
          </w:p>
        </w:tc>
        <w:tc>
          <w:tcPr>
            <w:tcW w:w="977" w:type="dxa"/>
            <w:shd w:val="clear" w:color="auto" w:fill="F7C9AC"/>
          </w:tcPr>
          <w:p w:rsidR="007C5447" w:rsidRDefault="00F6308C">
            <w:pPr>
              <w:pStyle w:val="TableParagraph"/>
              <w:spacing w:before="130"/>
              <w:ind w:left="154" w:right="141" w:firstLine="199"/>
              <w:jc w:val="left"/>
              <w:rPr>
                <w:b/>
                <w:sz w:val="20"/>
              </w:rPr>
            </w:pPr>
            <w:r>
              <w:rPr>
                <w:b/>
                <w:sz w:val="20"/>
              </w:rPr>
              <w:t>FY 2017-18</w:t>
            </w:r>
          </w:p>
        </w:tc>
        <w:tc>
          <w:tcPr>
            <w:tcW w:w="926" w:type="dxa"/>
            <w:shd w:val="clear" w:color="auto" w:fill="F7C9AC"/>
          </w:tcPr>
          <w:p w:rsidR="007C5447" w:rsidRDefault="00F6308C">
            <w:pPr>
              <w:pStyle w:val="TableParagraph"/>
              <w:spacing w:before="130"/>
              <w:ind w:left="129" w:right="114" w:firstLine="199"/>
              <w:jc w:val="left"/>
              <w:rPr>
                <w:b/>
                <w:sz w:val="20"/>
              </w:rPr>
            </w:pPr>
            <w:r>
              <w:rPr>
                <w:b/>
                <w:sz w:val="20"/>
              </w:rPr>
              <w:t>FY 2018-19</w:t>
            </w:r>
          </w:p>
        </w:tc>
      </w:tr>
      <w:tr w:rsidR="007C5447">
        <w:trPr>
          <w:trHeight w:val="328"/>
        </w:trPr>
        <w:tc>
          <w:tcPr>
            <w:tcW w:w="432" w:type="dxa"/>
            <w:shd w:val="clear" w:color="auto" w:fill="BEBEBE"/>
          </w:tcPr>
          <w:p w:rsidR="007C5447" w:rsidRDefault="007C5447">
            <w:pPr>
              <w:pStyle w:val="TableParagraph"/>
              <w:jc w:val="left"/>
            </w:pPr>
          </w:p>
        </w:tc>
        <w:tc>
          <w:tcPr>
            <w:tcW w:w="2473" w:type="dxa"/>
            <w:shd w:val="clear" w:color="auto" w:fill="BEBEBE"/>
          </w:tcPr>
          <w:p w:rsidR="007C5447" w:rsidRDefault="00F6308C">
            <w:pPr>
              <w:pStyle w:val="TableParagraph"/>
              <w:spacing w:before="50"/>
              <w:ind w:left="107"/>
              <w:jc w:val="left"/>
              <w:rPr>
                <w:b/>
                <w:sz w:val="20"/>
              </w:rPr>
            </w:pPr>
            <w:r>
              <w:rPr>
                <w:b/>
                <w:sz w:val="20"/>
              </w:rPr>
              <w:t>Coal Thermal</w:t>
            </w:r>
          </w:p>
        </w:tc>
        <w:tc>
          <w:tcPr>
            <w:tcW w:w="1200" w:type="dxa"/>
            <w:shd w:val="clear" w:color="auto" w:fill="BEBEBE"/>
          </w:tcPr>
          <w:p w:rsidR="007C5447" w:rsidRDefault="007C5447">
            <w:pPr>
              <w:pStyle w:val="TableParagraph"/>
              <w:jc w:val="left"/>
            </w:pPr>
          </w:p>
        </w:tc>
        <w:tc>
          <w:tcPr>
            <w:tcW w:w="1200" w:type="dxa"/>
            <w:shd w:val="clear" w:color="auto" w:fill="BEBEBE"/>
          </w:tcPr>
          <w:p w:rsidR="007C5447" w:rsidRDefault="007C5447">
            <w:pPr>
              <w:pStyle w:val="TableParagraph"/>
              <w:jc w:val="left"/>
            </w:pPr>
          </w:p>
        </w:tc>
        <w:tc>
          <w:tcPr>
            <w:tcW w:w="1200" w:type="dxa"/>
            <w:shd w:val="clear" w:color="auto" w:fill="BEBEBE"/>
          </w:tcPr>
          <w:p w:rsidR="007C5447" w:rsidRDefault="007C5447">
            <w:pPr>
              <w:pStyle w:val="TableParagraph"/>
              <w:jc w:val="left"/>
            </w:pPr>
          </w:p>
        </w:tc>
        <w:tc>
          <w:tcPr>
            <w:tcW w:w="835" w:type="dxa"/>
            <w:shd w:val="clear" w:color="auto" w:fill="BEBEBE"/>
          </w:tcPr>
          <w:p w:rsidR="007C5447" w:rsidRDefault="007C5447">
            <w:pPr>
              <w:pStyle w:val="TableParagraph"/>
              <w:jc w:val="left"/>
            </w:pPr>
          </w:p>
        </w:tc>
        <w:tc>
          <w:tcPr>
            <w:tcW w:w="977" w:type="dxa"/>
            <w:shd w:val="clear" w:color="auto" w:fill="BEBEBE"/>
          </w:tcPr>
          <w:p w:rsidR="007C5447" w:rsidRDefault="007C5447">
            <w:pPr>
              <w:pStyle w:val="TableParagraph"/>
              <w:jc w:val="left"/>
            </w:pPr>
          </w:p>
        </w:tc>
        <w:tc>
          <w:tcPr>
            <w:tcW w:w="926" w:type="dxa"/>
            <w:shd w:val="clear" w:color="auto" w:fill="BEBEBE"/>
          </w:tcPr>
          <w:p w:rsidR="007C5447" w:rsidRDefault="007C5447">
            <w:pPr>
              <w:pStyle w:val="TableParagraph"/>
              <w:jc w:val="left"/>
            </w:pPr>
          </w:p>
        </w:tc>
      </w:tr>
      <w:tr w:rsidR="007C5447">
        <w:trPr>
          <w:trHeight w:val="328"/>
        </w:trPr>
        <w:tc>
          <w:tcPr>
            <w:tcW w:w="432" w:type="dxa"/>
          </w:tcPr>
          <w:p w:rsidR="007C5447" w:rsidRDefault="00F6308C">
            <w:pPr>
              <w:pStyle w:val="TableParagraph"/>
              <w:spacing w:before="50"/>
              <w:ind w:left="107"/>
              <w:jc w:val="left"/>
              <w:rPr>
                <w:sz w:val="20"/>
              </w:rPr>
            </w:pPr>
            <w:r>
              <w:rPr>
                <w:w w:val="99"/>
                <w:sz w:val="20"/>
              </w:rPr>
              <w:t>1</w:t>
            </w:r>
          </w:p>
        </w:tc>
        <w:tc>
          <w:tcPr>
            <w:tcW w:w="2473" w:type="dxa"/>
          </w:tcPr>
          <w:p w:rsidR="007C5447" w:rsidRDefault="00F6308C">
            <w:pPr>
              <w:pStyle w:val="TableParagraph"/>
              <w:spacing w:before="50"/>
              <w:ind w:left="107"/>
              <w:jc w:val="left"/>
              <w:rPr>
                <w:sz w:val="20"/>
              </w:rPr>
            </w:pPr>
            <w:r>
              <w:rPr>
                <w:sz w:val="20"/>
              </w:rPr>
              <w:t>Ennore TPS</w:t>
            </w:r>
          </w:p>
        </w:tc>
        <w:tc>
          <w:tcPr>
            <w:tcW w:w="1200" w:type="dxa"/>
          </w:tcPr>
          <w:p w:rsidR="007C5447" w:rsidRDefault="00F6308C">
            <w:pPr>
              <w:pStyle w:val="TableParagraph"/>
              <w:spacing w:before="50"/>
              <w:ind w:right="94"/>
              <w:rPr>
                <w:sz w:val="20"/>
              </w:rPr>
            </w:pPr>
            <w:r>
              <w:rPr>
                <w:sz w:val="20"/>
              </w:rPr>
              <w:t>31.08%</w:t>
            </w:r>
          </w:p>
        </w:tc>
        <w:tc>
          <w:tcPr>
            <w:tcW w:w="1200" w:type="dxa"/>
          </w:tcPr>
          <w:p w:rsidR="007C5447" w:rsidRDefault="00F6308C">
            <w:pPr>
              <w:pStyle w:val="TableParagraph"/>
              <w:spacing w:before="50"/>
              <w:ind w:right="94"/>
              <w:rPr>
                <w:sz w:val="20"/>
              </w:rPr>
            </w:pPr>
            <w:r>
              <w:rPr>
                <w:w w:val="99"/>
                <w:sz w:val="20"/>
              </w:rPr>
              <w:t>-</w:t>
            </w:r>
          </w:p>
        </w:tc>
        <w:tc>
          <w:tcPr>
            <w:tcW w:w="1200" w:type="dxa"/>
          </w:tcPr>
          <w:p w:rsidR="007C5447" w:rsidRDefault="00F6308C">
            <w:pPr>
              <w:pStyle w:val="TableParagraph"/>
              <w:spacing w:before="50"/>
              <w:ind w:right="94"/>
              <w:rPr>
                <w:sz w:val="20"/>
              </w:rPr>
            </w:pPr>
            <w:r>
              <w:rPr>
                <w:w w:val="99"/>
                <w:sz w:val="20"/>
              </w:rPr>
              <w:t>-</w:t>
            </w:r>
          </w:p>
        </w:tc>
        <w:tc>
          <w:tcPr>
            <w:tcW w:w="835" w:type="dxa"/>
          </w:tcPr>
          <w:p w:rsidR="007C5447" w:rsidRDefault="00F6308C">
            <w:pPr>
              <w:pStyle w:val="TableParagraph"/>
              <w:spacing w:before="50"/>
              <w:ind w:right="94"/>
              <w:rPr>
                <w:sz w:val="20"/>
              </w:rPr>
            </w:pPr>
            <w:r>
              <w:rPr>
                <w:sz w:val="20"/>
              </w:rPr>
              <w:t>24.65%</w:t>
            </w:r>
          </w:p>
        </w:tc>
        <w:tc>
          <w:tcPr>
            <w:tcW w:w="977" w:type="dxa"/>
          </w:tcPr>
          <w:p w:rsidR="007C5447" w:rsidRDefault="007C5447">
            <w:pPr>
              <w:pStyle w:val="TableParagraph"/>
              <w:jc w:val="left"/>
            </w:pPr>
          </w:p>
        </w:tc>
        <w:tc>
          <w:tcPr>
            <w:tcW w:w="926" w:type="dxa"/>
          </w:tcPr>
          <w:p w:rsidR="007C5447" w:rsidRDefault="007C5447">
            <w:pPr>
              <w:pStyle w:val="TableParagraph"/>
              <w:jc w:val="left"/>
            </w:pPr>
          </w:p>
        </w:tc>
      </w:tr>
      <w:tr w:rsidR="007C5447">
        <w:trPr>
          <w:trHeight w:val="328"/>
        </w:trPr>
        <w:tc>
          <w:tcPr>
            <w:tcW w:w="432" w:type="dxa"/>
          </w:tcPr>
          <w:p w:rsidR="007C5447" w:rsidRDefault="00F6308C">
            <w:pPr>
              <w:pStyle w:val="TableParagraph"/>
              <w:spacing w:before="50"/>
              <w:ind w:left="107"/>
              <w:jc w:val="left"/>
              <w:rPr>
                <w:sz w:val="20"/>
              </w:rPr>
            </w:pPr>
            <w:r>
              <w:rPr>
                <w:w w:val="99"/>
                <w:sz w:val="20"/>
              </w:rPr>
              <w:t>2</w:t>
            </w:r>
          </w:p>
        </w:tc>
        <w:tc>
          <w:tcPr>
            <w:tcW w:w="2473" w:type="dxa"/>
          </w:tcPr>
          <w:p w:rsidR="007C5447" w:rsidRDefault="00F6308C">
            <w:pPr>
              <w:pStyle w:val="TableParagraph"/>
              <w:spacing w:before="50"/>
              <w:ind w:left="107"/>
              <w:jc w:val="left"/>
              <w:rPr>
                <w:sz w:val="20"/>
              </w:rPr>
            </w:pPr>
            <w:r>
              <w:rPr>
                <w:sz w:val="20"/>
              </w:rPr>
              <w:t>Ennore Expansion II</w:t>
            </w:r>
          </w:p>
        </w:tc>
        <w:tc>
          <w:tcPr>
            <w:tcW w:w="1200" w:type="dxa"/>
          </w:tcPr>
          <w:p w:rsidR="007C5447" w:rsidRDefault="007C5447">
            <w:pPr>
              <w:pStyle w:val="TableParagraph"/>
              <w:jc w:val="left"/>
            </w:pPr>
          </w:p>
        </w:tc>
        <w:tc>
          <w:tcPr>
            <w:tcW w:w="1200" w:type="dxa"/>
          </w:tcPr>
          <w:p w:rsidR="007C5447" w:rsidRDefault="007C5447">
            <w:pPr>
              <w:pStyle w:val="TableParagraph"/>
              <w:jc w:val="left"/>
            </w:pPr>
          </w:p>
        </w:tc>
        <w:tc>
          <w:tcPr>
            <w:tcW w:w="1200" w:type="dxa"/>
          </w:tcPr>
          <w:p w:rsidR="007C5447" w:rsidRDefault="00F6308C">
            <w:pPr>
              <w:pStyle w:val="TableParagraph"/>
              <w:spacing w:before="50"/>
              <w:ind w:right="94"/>
              <w:rPr>
                <w:sz w:val="20"/>
              </w:rPr>
            </w:pPr>
            <w:r>
              <w:rPr>
                <w:sz w:val="20"/>
              </w:rPr>
              <w:t>32.80%</w:t>
            </w:r>
          </w:p>
        </w:tc>
        <w:tc>
          <w:tcPr>
            <w:tcW w:w="835" w:type="dxa"/>
          </w:tcPr>
          <w:p w:rsidR="007C5447" w:rsidRDefault="007C5447">
            <w:pPr>
              <w:pStyle w:val="TableParagraph"/>
              <w:jc w:val="left"/>
            </w:pPr>
          </w:p>
        </w:tc>
        <w:tc>
          <w:tcPr>
            <w:tcW w:w="977" w:type="dxa"/>
          </w:tcPr>
          <w:p w:rsidR="007C5447" w:rsidRDefault="007C5447">
            <w:pPr>
              <w:pStyle w:val="TableParagraph"/>
              <w:jc w:val="left"/>
            </w:pPr>
          </w:p>
        </w:tc>
        <w:tc>
          <w:tcPr>
            <w:tcW w:w="926" w:type="dxa"/>
          </w:tcPr>
          <w:p w:rsidR="007C5447" w:rsidRDefault="00F6308C">
            <w:pPr>
              <w:pStyle w:val="TableParagraph"/>
              <w:spacing w:before="50"/>
              <w:ind w:right="93"/>
              <w:rPr>
                <w:sz w:val="20"/>
              </w:rPr>
            </w:pPr>
            <w:r>
              <w:rPr>
                <w:sz w:val="20"/>
              </w:rPr>
              <w:t>32.80%</w:t>
            </w:r>
          </w:p>
        </w:tc>
      </w:tr>
      <w:tr w:rsidR="007C5447">
        <w:trPr>
          <w:trHeight w:val="328"/>
        </w:trPr>
        <w:tc>
          <w:tcPr>
            <w:tcW w:w="432" w:type="dxa"/>
          </w:tcPr>
          <w:p w:rsidR="007C5447" w:rsidRDefault="00F6308C">
            <w:pPr>
              <w:pStyle w:val="TableParagraph"/>
              <w:spacing w:before="49"/>
              <w:ind w:left="107"/>
              <w:jc w:val="left"/>
              <w:rPr>
                <w:sz w:val="20"/>
              </w:rPr>
            </w:pPr>
            <w:r>
              <w:rPr>
                <w:w w:val="99"/>
                <w:sz w:val="20"/>
              </w:rPr>
              <w:t>3</w:t>
            </w:r>
          </w:p>
        </w:tc>
        <w:tc>
          <w:tcPr>
            <w:tcW w:w="2473" w:type="dxa"/>
          </w:tcPr>
          <w:p w:rsidR="007C5447" w:rsidRDefault="00F6308C">
            <w:pPr>
              <w:pStyle w:val="TableParagraph"/>
              <w:spacing w:before="49"/>
              <w:ind w:left="107"/>
              <w:jc w:val="left"/>
              <w:rPr>
                <w:sz w:val="20"/>
              </w:rPr>
            </w:pPr>
            <w:r>
              <w:rPr>
                <w:sz w:val="20"/>
              </w:rPr>
              <w:t>Tuticorin TPS</w:t>
            </w:r>
          </w:p>
        </w:tc>
        <w:tc>
          <w:tcPr>
            <w:tcW w:w="1200" w:type="dxa"/>
          </w:tcPr>
          <w:p w:rsidR="007C5447" w:rsidRDefault="00F6308C">
            <w:pPr>
              <w:pStyle w:val="TableParagraph"/>
              <w:spacing w:before="49"/>
              <w:ind w:right="94"/>
              <w:rPr>
                <w:sz w:val="20"/>
              </w:rPr>
            </w:pPr>
            <w:r>
              <w:rPr>
                <w:sz w:val="20"/>
              </w:rPr>
              <w:t>80.00%</w:t>
            </w:r>
          </w:p>
        </w:tc>
        <w:tc>
          <w:tcPr>
            <w:tcW w:w="1200" w:type="dxa"/>
          </w:tcPr>
          <w:p w:rsidR="007C5447" w:rsidRDefault="00F6308C">
            <w:pPr>
              <w:pStyle w:val="TableParagraph"/>
              <w:spacing w:before="49"/>
              <w:ind w:right="94"/>
              <w:rPr>
                <w:sz w:val="20"/>
              </w:rPr>
            </w:pPr>
            <w:r>
              <w:rPr>
                <w:sz w:val="20"/>
              </w:rPr>
              <w:t>80.00%</w:t>
            </w:r>
          </w:p>
        </w:tc>
        <w:tc>
          <w:tcPr>
            <w:tcW w:w="1200" w:type="dxa"/>
          </w:tcPr>
          <w:p w:rsidR="007C5447" w:rsidRDefault="00F6308C">
            <w:pPr>
              <w:pStyle w:val="TableParagraph"/>
              <w:spacing w:before="49"/>
              <w:ind w:right="94"/>
              <w:rPr>
                <w:sz w:val="20"/>
              </w:rPr>
            </w:pPr>
            <w:r>
              <w:rPr>
                <w:sz w:val="20"/>
              </w:rPr>
              <w:t>81.60%</w:t>
            </w:r>
          </w:p>
        </w:tc>
        <w:tc>
          <w:tcPr>
            <w:tcW w:w="835" w:type="dxa"/>
          </w:tcPr>
          <w:p w:rsidR="007C5447" w:rsidRDefault="00F6308C">
            <w:pPr>
              <w:pStyle w:val="TableParagraph"/>
              <w:spacing w:before="49"/>
              <w:ind w:right="96"/>
              <w:rPr>
                <w:sz w:val="20"/>
              </w:rPr>
            </w:pPr>
            <w:r>
              <w:rPr>
                <w:sz w:val="20"/>
              </w:rPr>
              <w:t>80.00%</w:t>
            </w:r>
          </w:p>
        </w:tc>
        <w:tc>
          <w:tcPr>
            <w:tcW w:w="977" w:type="dxa"/>
          </w:tcPr>
          <w:p w:rsidR="007C5447" w:rsidRDefault="00F6308C">
            <w:pPr>
              <w:pStyle w:val="TableParagraph"/>
              <w:spacing w:before="49"/>
              <w:ind w:right="93"/>
              <w:rPr>
                <w:sz w:val="20"/>
              </w:rPr>
            </w:pPr>
            <w:r>
              <w:rPr>
                <w:sz w:val="20"/>
              </w:rPr>
              <w:t>80.00%</w:t>
            </w:r>
          </w:p>
        </w:tc>
        <w:tc>
          <w:tcPr>
            <w:tcW w:w="926" w:type="dxa"/>
          </w:tcPr>
          <w:p w:rsidR="007C5447" w:rsidRDefault="00F6308C">
            <w:pPr>
              <w:pStyle w:val="TableParagraph"/>
              <w:spacing w:before="49"/>
              <w:ind w:right="93"/>
              <w:rPr>
                <w:sz w:val="20"/>
              </w:rPr>
            </w:pPr>
            <w:r>
              <w:rPr>
                <w:sz w:val="20"/>
              </w:rPr>
              <w:t>80.00%</w:t>
            </w:r>
          </w:p>
        </w:tc>
      </w:tr>
      <w:tr w:rsidR="007C5447">
        <w:trPr>
          <w:trHeight w:val="328"/>
        </w:trPr>
        <w:tc>
          <w:tcPr>
            <w:tcW w:w="432" w:type="dxa"/>
          </w:tcPr>
          <w:p w:rsidR="007C5447" w:rsidRDefault="00F6308C">
            <w:pPr>
              <w:pStyle w:val="TableParagraph"/>
              <w:spacing w:before="48"/>
              <w:ind w:left="107"/>
              <w:jc w:val="left"/>
              <w:rPr>
                <w:sz w:val="20"/>
              </w:rPr>
            </w:pPr>
            <w:r>
              <w:rPr>
                <w:w w:val="99"/>
                <w:sz w:val="20"/>
              </w:rPr>
              <w:t>4</w:t>
            </w:r>
          </w:p>
        </w:tc>
        <w:tc>
          <w:tcPr>
            <w:tcW w:w="2473" w:type="dxa"/>
          </w:tcPr>
          <w:p w:rsidR="007C5447" w:rsidRDefault="00F6308C">
            <w:pPr>
              <w:pStyle w:val="TableParagraph"/>
              <w:spacing w:before="48"/>
              <w:ind w:left="107"/>
              <w:jc w:val="left"/>
              <w:rPr>
                <w:sz w:val="20"/>
              </w:rPr>
            </w:pPr>
            <w:r>
              <w:rPr>
                <w:sz w:val="20"/>
              </w:rPr>
              <w:t>Mettur TPS</w:t>
            </w:r>
          </w:p>
        </w:tc>
        <w:tc>
          <w:tcPr>
            <w:tcW w:w="1200" w:type="dxa"/>
          </w:tcPr>
          <w:p w:rsidR="007C5447" w:rsidRDefault="00F6308C">
            <w:pPr>
              <w:pStyle w:val="TableParagraph"/>
              <w:spacing w:before="48"/>
              <w:ind w:right="94"/>
              <w:rPr>
                <w:sz w:val="20"/>
              </w:rPr>
            </w:pPr>
            <w:r>
              <w:rPr>
                <w:sz w:val="20"/>
              </w:rPr>
              <w:t>80.00%</w:t>
            </w:r>
          </w:p>
        </w:tc>
        <w:tc>
          <w:tcPr>
            <w:tcW w:w="1200" w:type="dxa"/>
          </w:tcPr>
          <w:p w:rsidR="007C5447" w:rsidRDefault="00F6308C">
            <w:pPr>
              <w:pStyle w:val="TableParagraph"/>
              <w:spacing w:before="48"/>
              <w:ind w:right="94"/>
              <w:rPr>
                <w:sz w:val="20"/>
              </w:rPr>
            </w:pPr>
            <w:r>
              <w:rPr>
                <w:sz w:val="20"/>
              </w:rPr>
              <w:t>80.00%</w:t>
            </w:r>
          </w:p>
        </w:tc>
        <w:tc>
          <w:tcPr>
            <w:tcW w:w="1200" w:type="dxa"/>
          </w:tcPr>
          <w:p w:rsidR="007C5447" w:rsidRDefault="00F6308C">
            <w:pPr>
              <w:pStyle w:val="TableParagraph"/>
              <w:spacing w:before="48"/>
              <w:ind w:right="94"/>
              <w:rPr>
                <w:sz w:val="20"/>
              </w:rPr>
            </w:pPr>
            <w:r>
              <w:rPr>
                <w:sz w:val="20"/>
              </w:rPr>
              <w:t>81.60%</w:t>
            </w:r>
          </w:p>
        </w:tc>
        <w:tc>
          <w:tcPr>
            <w:tcW w:w="835" w:type="dxa"/>
          </w:tcPr>
          <w:p w:rsidR="007C5447" w:rsidRDefault="00F6308C">
            <w:pPr>
              <w:pStyle w:val="TableParagraph"/>
              <w:spacing w:before="48"/>
              <w:ind w:right="96"/>
              <w:rPr>
                <w:sz w:val="20"/>
              </w:rPr>
            </w:pPr>
            <w:r>
              <w:rPr>
                <w:sz w:val="20"/>
              </w:rPr>
              <w:t>80.00%</w:t>
            </w:r>
          </w:p>
        </w:tc>
        <w:tc>
          <w:tcPr>
            <w:tcW w:w="977" w:type="dxa"/>
          </w:tcPr>
          <w:p w:rsidR="007C5447" w:rsidRDefault="00F6308C">
            <w:pPr>
              <w:pStyle w:val="TableParagraph"/>
              <w:spacing w:before="48"/>
              <w:ind w:right="93"/>
              <w:rPr>
                <w:sz w:val="20"/>
              </w:rPr>
            </w:pPr>
            <w:r>
              <w:rPr>
                <w:sz w:val="20"/>
              </w:rPr>
              <w:t>80.00%</w:t>
            </w:r>
          </w:p>
        </w:tc>
        <w:tc>
          <w:tcPr>
            <w:tcW w:w="926" w:type="dxa"/>
          </w:tcPr>
          <w:p w:rsidR="007C5447" w:rsidRDefault="00F6308C">
            <w:pPr>
              <w:pStyle w:val="TableParagraph"/>
              <w:spacing w:before="48"/>
              <w:ind w:right="93"/>
              <w:rPr>
                <w:sz w:val="20"/>
              </w:rPr>
            </w:pPr>
            <w:r>
              <w:rPr>
                <w:sz w:val="20"/>
              </w:rPr>
              <w:t>80.00%</w:t>
            </w:r>
          </w:p>
        </w:tc>
      </w:tr>
      <w:tr w:rsidR="007C5447">
        <w:trPr>
          <w:trHeight w:val="325"/>
        </w:trPr>
        <w:tc>
          <w:tcPr>
            <w:tcW w:w="432" w:type="dxa"/>
          </w:tcPr>
          <w:p w:rsidR="007C5447" w:rsidRDefault="00F6308C">
            <w:pPr>
              <w:pStyle w:val="TableParagraph"/>
              <w:spacing w:before="48"/>
              <w:ind w:left="107"/>
              <w:jc w:val="left"/>
              <w:rPr>
                <w:sz w:val="20"/>
              </w:rPr>
            </w:pPr>
            <w:r>
              <w:rPr>
                <w:w w:val="99"/>
                <w:sz w:val="20"/>
              </w:rPr>
              <w:t>5</w:t>
            </w:r>
          </w:p>
        </w:tc>
        <w:tc>
          <w:tcPr>
            <w:tcW w:w="2473" w:type="dxa"/>
          </w:tcPr>
          <w:p w:rsidR="007C5447" w:rsidRDefault="00F6308C">
            <w:pPr>
              <w:pStyle w:val="TableParagraph"/>
              <w:spacing w:before="48"/>
              <w:ind w:left="107"/>
              <w:jc w:val="left"/>
              <w:rPr>
                <w:sz w:val="20"/>
              </w:rPr>
            </w:pPr>
            <w:r>
              <w:rPr>
                <w:sz w:val="20"/>
              </w:rPr>
              <w:t>Mettur Stage III TPS</w:t>
            </w:r>
          </w:p>
        </w:tc>
        <w:tc>
          <w:tcPr>
            <w:tcW w:w="1200" w:type="dxa"/>
          </w:tcPr>
          <w:p w:rsidR="007C5447" w:rsidRDefault="00F6308C">
            <w:pPr>
              <w:pStyle w:val="TableParagraph"/>
              <w:spacing w:before="48"/>
              <w:ind w:right="94"/>
              <w:rPr>
                <w:sz w:val="20"/>
              </w:rPr>
            </w:pPr>
            <w:r>
              <w:rPr>
                <w:sz w:val="20"/>
              </w:rPr>
              <w:t>80.00%</w:t>
            </w:r>
          </w:p>
        </w:tc>
        <w:tc>
          <w:tcPr>
            <w:tcW w:w="1200" w:type="dxa"/>
          </w:tcPr>
          <w:p w:rsidR="007C5447" w:rsidRDefault="00F6308C">
            <w:pPr>
              <w:pStyle w:val="TableParagraph"/>
              <w:spacing w:before="48"/>
              <w:ind w:right="94"/>
              <w:rPr>
                <w:sz w:val="20"/>
              </w:rPr>
            </w:pPr>
            <w:r>
              <w:rPr>
                <w:sz w:val="20"/>
              </w:rPr>
              <w:t>80.00%</w:t>
            </w:r>
          </w:p>
        </w:tc>
        <w:tc>
          <w:tcPr>
            <w:tcW w:w="1200" w:type="dxa"/>
          </w:tcPr>
          <w:p w:rsidR="007C5447" w:rsidRDefault="00F6308C">
            <w:pPr>
              <w:pStyle w:val="TableParagraph"/>
              <w:spacing w:before="48"/>
              <w:ind w:right="94"/>
              <w:rPr>
                <w:sz w:val="20"/>
              </w:rPr>
            </w:pPr>
            <w:r>
              <w:rPr>
                <w:sz w:val="20"/>
              </w:rPr>
              <w:t>81.60%</w:t>
            </w:r>
          </w:p>
        </w:tc>
        <w:tc>
          <w:tcPr>
            <w:tcW w:w="835" w:type="dxa"/>
          </w:tcPr>
          <w:p w:rsidR="007C5447" w:rsidRDefault="00F6308C">
            <w:pPr>
              <w:pStyle w:val="TableParagraph"/>
              <w:spacing w:before="48"/>
              <w:ind w:right="96"/>
              <w:rPr>
                <w:sz w:val="20"/>
              </w:rPr>
            </w:pPr>
            <w:r>
              <w:rPr>
                <w:sz w:val="20"/>
              </w:rPr>
              <w:t>80.00%</w:t>
            </w:r>
          </w:p>
        </w:tc>
        <w:tc>
          <w:tcPr>
            <w:tcW w:w="977" w:type="dxa"/>
          </w:tcPr>
          <w:p w:rsidR="007C5447" w:rsidRDefault="00F6308C">
            <w:pPr>
              <w:pStyle w:val="TableParagraph"/>
              <w:spacing w:before="48"/>
              <w:ind w:right="93"/>
              <w:rPr>
                <w:sz w:val="20"/>
              </w:rPr>
            </w:pPr>
            <w:r>
              <w:rPr>
                <w:sz w:val="20"/>
              </w:rPr>
              <w:t>80.00%</w:t>
            </w:r>
          </w:p>
        </w:tc>
        <w:tc>
          <w:tcPr>
            <w:tcW w:w="926" w:type="dxa"/>
          </w:tcPr>
          <w:p w:rsidR="007C5447" w:rsidRDefault="00F6308C">
            <w:pPr>
              <w:pStyle w:val="TableParagraph"/>
              <w:spacing w:before="48"/>
              <w:ind w:right="93"/>
              <w:rPr>
                <w:sz w:val="20"/>
              </w:rPr>
            </w:pPr>
            <w:r>
              <w:rPr>
                <w:sz w:val="20"/>
              </w:rPr>
              <w:t>80.00%</w:t>
            </w:r>
          </w:p>
        </w:tc>
      </w:tr>
      <w:tr w:rsidR="007C5447">
        <w:trPr>
          <w:trHeight w:val="328"/>
        </w:trPr>
        <w:tc>
          <w:tcPr>
            <w:tcW w:w="432" w:type="dxa"/>
          </w:tcPr>
          <w:p w:rsidR="007C5447" w:rsidRDefault="00F6308C">
            <w:pPr>
              <w:pStyle w:val="TableParagraph"/>
              <w:spacing w:before="50"/>
              <w:ind w:left="107"/>
              <w:jc w:val="left"/>
              <w:rPr>
                <w:sz w:val="20"/>
              </w:rPr>
            </w:pPr>
            <w:r>
              <w:rPr>
                <w:w w:val="99"/>
                <w:sz w:val="20"/>
              </w:rPr>
              <w:t>6</w:t>
            </w:r>
          </w:p>
        </w:tc>
        <w:tc>
          <w:tcPr>
            <w:tcW w:w="2473" w:type="dxa"/>
          </w:tcPr>
          <w:p w:rsidR="007C5447" w:rsidRDefault="00F6308C">
            <w:pPr>
              <w:pStyle w:val="TableParagraph"/>
              <w:spacing w:before="50"/>
              <w:ind w:left="107"/>
              <w:jc w:val="left"/>
              <w:rPr>
                <w:sz w:val="20"/>
              </w:rPr>
            </w:pPr>
            <w:r>
              <w:rPr>
                <w:sz w:val="20"/>
              </w:rPr>
              <w:t>North Chennai TPS</w:t>
            </w:r>
          </w:p>
        </w:tc>
        <w:tc>
          <w:tcPr>
            <w:tcW w:w="1200" w:type="dxa"/>
          </w:tcPr>
          <w:p w:rsidR="007C5447" w:rsidRDefault="00F6308C">
            <w:pPr>
              <w:pStyle w:val="TableParagraph"/>
              <w:spacing w:before="50"/>
              <w:ind w:right="94"/>
              <w:rPr>
                <w:sz w:val="20"/>
              </w:rPr>
            </w:pPr>
            <w:r>
              <w:rPr>
                <w:sz w:val="20"/>
              </w:rPr>
              <w:t>80.00%</w:t>
            </w:r>
          </w:p>
        </w:tc>
        <w:tc>
          <w:tcPr>
            <w:tcW w:w="1200" w:type="dxa"/>
          </w:tcPr>
          <w:p w:rsidR="007C5447" w:rsidRDefault="00F6308C">
            <w:pPr>
              <w:pStyle w:val="TableParagraph"/>
              <w:spacing w:before="50"/>
              <w:ind w:right="94"/>
              <w:rPr>
                <w:sz w:val="20"/>
              </w:rPr>
            </w:pPr>
            <w:r>
              <w:rPr>
                <w:sz w:val="20"/>
              </w:rPr>
              <w:t>87.44%</w:t>
            </w:r>
          </w:p>
        </w:tc>
        <w:tc>
          <w:tcPr>
            <w:tcW w:w="1200" w:type="dxa"/>
          </w:tcPr>
          <w:p w:rsidR="007C5447" w:rsidRDefault="00F6308C">
            <w:pPr>
              <w:pStyle w:val="TableParagraph"/>
              <w:spacing w:before="50"/>
              <w:ind w:right="94"/>
              <w:rPr>
                <w:sz w:val="20"/>
              </w:rPr>
            </w:pPr>
            <w:r>
              <w:rPr>
                <w:sz w:val="20"/>
              </w:rPr>
              <w:t>89.17%</w:t>
            </w:r>
          </w:p>
        </w:tc>
        <w:tc>
          <w:tcPr>
            <w:tcW w:w="835" w:type="dxa"/>
          </w:tcPr>
          <w:p w:rsidR="007C5447" w:rsidRDefault="00F6308C">
            <w:pPr>
              <w:pStyle w:val="TableParagraph"/>
              <w:spacing w:before="50"/>
              <w:ind w:right="96"/>
              <w:rPr>
                <w:sz w:val="20"/>
              </w:rPr>
            </w:pPr>
            <w:r>
              <w:rPr>
                <w:sz w:val="20"/>
              </w:rPr>
              <w:t>80.00%</w:t>
            </w:r>
          </w:p>
        </w:tc>
        <w:tc>
          <w:tcPr>
            <w:tcW w:w="977" w:type="dxa"/>
          </w:tcPr>
          <w:p w:rsidR="007C5447" w:rsidRDefault="00F6308C">
            <w:pPr>
              <w:pStyle w:val="TableParagraph"/>
              <w:spacing w:before="50"/>
              <w:ind w:right="93"/>
              <w:rPr>
                <w:sz w:val="20"/>
              </w:rPr>
            </w:pPr>
            <w:r>
              <w:rPr>
                <w:sz w:val="20"/>
              </w:rPr>
              <w:t>80.00%</w:t>
            </w:r>
          </w:p>
        </w:tc>
        <w:tc>
          <w:tcPr>
            <w:tcW w:w="926" w:type="dxa"/>
          </w:tcPr>
          <w:p w:rsidR="007C5447" w:rsidRDefault="00F6308C">
            <w:pPr>
              <w:pStyle w:val="TableParagraph"/>
              <w:spacing w:before="50"/>
              <w:ind w:right="93"/>
              <w:rPr>
                <w:sz w:val="20"/>
              </w:rPr>
            </w:pPr>
            <w:r>
              <w:rPr>
                <w:sz w:val="20"/>
              </w:rPr>
              <w:t>80.00%</w:t>
            </w:r>
          </w:p>
        </w:tc>
      </w:tr>
      <w:tr w:rsidR="007C5447">
        <w:trPr>
          <w:trHeight w:val="328"/>
        </w:trPr>
        <w:tc>
          <w:tcPr>
            <w:tcW w:w="432" w:type="dxa"/>
          </w:tcPr>
          <w:p w:rsidR="007C5447" w:rsidRDefault="00F6308C">
            <w:pPr>
              <w:pStyle w:val="TableParagraph"/>
              <w:spacing w:before="50"/>
              <w:ind w:left="107"/>
              <w:jc w:val="left"/>
              <w:rPr>
                <w:sz w:val="20"/>
              </w:rPr>
            </w:pPr>
            <w:r>
              <w:rPr>
                <w:w w:val="99"/>
                <w:sz w:val="20"/>
              </w:rPr>
              <w:t>7</w:t>
            </w:r>
          </w:p>
        </w:tc>
        <w:tc>
          <w:tcPr>
            <w:tcW w:w="2473" w:type="dxa"/>
          </w:tcPr>
          <w:p w:rsidR="007C5447" w:rsidRDefault="00F6308C">
            <w:pPr>
              <w:pStyle w:val="TableParagraph"/>
              <w:spacing w:before="50"/>
              <w:ind w:left="107"/>
              <w:jc w:val="left"/>
              <w:rPr>
                <w:sz w:val="20"/>
              </w:rPr>
            </w:pPr>
            <w:r>
              <w:rPr>
                <w:sz w:val="20"/>
              </w:rPr>
              <w:t>North Chennai Stage II TPS</w:t>
            </w:r>
          </w:p>
        </w:tc>
        <w:tc>
          <w:tcPr>
            <w:tcW w:w="1200" w:type="dxa"/>
          </w:tcPr>
          <w:p w:rsidR="007C5447" w:rsidRDefault="00F6308C">
            <w:pPr>
              <w:pStyle w:val="TableParagraph"/>
              <w:spacing w:before="50"/>
              <w:ind w:right="94"/>
              <w:rPr>
                <w:sz w:val="20"/>
              </w:rPr>
            </w:pPr>
            <w:r>
              <w:rPr>
                <w:sz w:val="20"/>
              </w:rPr>
              <w:t>80.00%</w:t>
            </w:r>
          </w:p>
        </w:tc>
        <w:tc>
          <w:tcPr>
            <w:tcW w:w="1200" w:type="dxa"/>
          </w:tcPr>
          <w:p w:rsidR="007C5447" w:rsidRDefault="00F6308C">
            <w:pPr>
              <w:pStyle w:val="TableParagraph"/>
              <w:spacing w:before="50"/>
              <w:ind w:right="94"/>
              <w:rPr>
                <w:sz w:val="20"/>
              </w:rPr>
            </w:pPr>
            <w:r>
              <w:rPr>
                <w:sz w:val="20"/>
              </w:rPr>
              <w:t>80.00%</w:t>
            </w:r>
          </w:p>
        </w:tc>
        <w:tc>
          <w:tcPr>
            <w:tcW w:w="1200" w:type="dxa"/>
          </w:tcPr>
          <w:p w:rsidR="007C5447" w:rsidRDefault="00F6308C">
            <w:pPr>
              <w:pStyle w:val="TableParagraph"/>
              <w:spacing w:before="50"/>
              <w:ind w:right="94"/>
              <w:rPr>
                <w:sz w:val="20"/>
              </w:rPr>
            </w:pPr>
            <w:r>
              <w:rPr>
                <w:sz w:val="20"/>
              </w:rPr>
              <w:t>81.60%</w:t>
            </w:r>
          </w:p>
        </w:tc>
        <w:tc>
          <w:tcPr>
            <w:tcW w:w="835" w:type="dxa"/>
          </w:tcPr>
          <w:p w:rsidR="007C5447" w:rsidRDefault="00F6308C">
            <w:pPr>
              <w:pStyle w:val="TableParagraph"/>
              <w:spacing w:before="50"/>
              <w:ind w:right="96"/>
              <w:rPr>
                <w:sz w:val="20"/>
              </w:rPr>
            </w:pPr>
            <w:r>
              <w:rPr>
                <w:sz w:val="20"/>
              </w:rPr>
              <w:t>80.00%</w:t>
            </w:r>
          </w:p>
        </w:tc>
        <w:tc>
          <w:tcPr>
            <w:tcW w:w="977" w:type="dxa"/>
          </w:tcPr>
          <w:p w:rsidR="007C5447" w:rsidRDefault="00F6308C">
            <w:pPr>
              <w:pStyle w:val="TableParagraph"/>
              <w:spacing w:before="50"/>
              <w:ind w:right="93"/>
              <w:rPr>
                <w:sz w:val="20"/>
              </w:rPr>
            </w:pPr>
            <w:r>
              <w:rPr>
                <w:sz w:val="20"/>
              </w:rPr>
              <w:t>80.00%</w:t>
            </w:r>
          </w:p>
        </w:tc>
        <w:tc>
          <w:tcPr>
            <w:tcW w:w="926" w:type="dxa"/>
          </w:tcPr>
          <w:p w:rsidR="007C5447" w:rsidRDefault="00F6308C">
            <w:pPr>
              <w:pStyle w:val="TableParagraph"/>
              <w:spacing w:before="50"/>
              <w:ind w:right="93"/>
              <w:rPr>
                <w:sz w:val="20"/>
              </w:rPr>
            </w:pPr>
            <w:r>
              <w:rPr>
                <w:sz w:val="20"/>
              </w:rPr>
              <w:t>80.00%</w:t>
            </w:r>
          </w:p>
        </w:tc>
      </w:tr>
      <w:tr w:rsidR="007C5447">
        <w:trPr>
          <w:trHeight w:val="328"/>
        </w:trPr>
        <w:tc>
          <w:tcPr>
            <w:tcW w:w="432" w:type="dxa"/>
            <w:shd w:val="clear" w:color="auto" w:fill="D0CECE"/>
          </w:tcPr>
          <w:p w:rsidR="007C5447" w:rsidRDefault="007C5447">
            <w:pPr>
              <w:pStyle w:val="TableParagraph"/>
              <w:jc w:val="left"/>
            </w:pPr>
          </w:p>
        </w:tc>
        <w:tc>
          <w:tcPr>
            <w:tcW w:w="2473" w:type="dxa"/>
            <w:shd w:val="clear" w:color="auto" w:fill="D0CECE"/>
          </w:tcPr>
          <w:p w:rsidR="007C5447" w:rsidRDefault="00F6308C">
            <w:pPr>
              <w:pStyle w:val="TableParagraph"/>
              <w:spacing w:before="50"/>
              <w:ind w:left="107"/>
              <w:jc w:val="left"/>
              <w:rPr>
                <w:b/>
                <w:sz w:val="20"/>
              </w:rPr>
            </w:pPr>
            <w:r>
              <w:rPr>
                <w:b/>
                <w:sz w:val="20"/>
              </w:rPr>
              <w:t>Gas Thermal</w:t>
            </w:r>
          </w:p>
        </w:tc>
        <w:tc>
          <w:tcPr>
            <w:tcW w:w="1200" w:type="dxa"/>
            <w:shd w:val="clear" w:color="auto" w:fill="D0CECE"/>
          </w:tcPr>
          <w:p w:rsidR="007C5447" w:rsidRDefault="007C5447">
            <w:pPr>
              <w:pStyle w:val="TableParagraph"/>
              <w:jc w:val="left"/>
            </w:pPr>
          </w:p>
        </w:tc>
        <w:tc>
          <w:tcPr>
            <w:tcW w:w="1200" w:type="dxa"/>
            <w:shd w:val="clear" w:color="auto" w:fill="D0CECE"/>
          </w:tcPr>
          <w:p w:rsidR="007C5447" w:rsidRDefault="007C5447">
            <w:pPr>
              <w:pStyle w:val="TableParagraph"/>
              <w:jc w:val="left"/>
            </w:pPr>
          </w:p>
        </w:tc>
        <w:tc>
          <w:tcPr>
            <w:tcW w:w="1200" w:type="dxa"/>
            <w:shd w:val="clear" w:color="auto" w:fill="D0CECE"/>
          </w:tcPr>
          <w:p w:rsidR="007C5447" w:rsidRDefault="007C5447">
            <w:pPr>
              <w:pStyle w:val="TableParagraph"/>
              <w:jc w:val="left"/>
            </w:pPr>
          </w:p>
        </w:tc>
        <w:tc>
          <w:tcPr>
            <w:tcW w:w="835" w:type="dxa"/>
            <w:shd w:val="clear" w:color="auto" w:fill="D0CECE"/>
          </w:tcPr>
          <w:p w:rsidR="007C5447" w:rsidRDefault="007C5447">
            <w:pPr>
              <w:pStyle w:val="TableParagraph"/>
              <w:jc w:val="left"/>
            </w:pPr>
          </w:p>
        </w:tc>
        <w:tc>
          <w:tcPr>
            <w:tcW w:w="977" w:type="dxa"/>
            <w:shd w:val="clear" w:color="auto" w:fill="D0CECE"/>
          </w:tcPr>
          <w:p w:rsidR="007C5447" w:rsidRDefault="007C5447">
            <w:pPr>
              <w:pStyle w:val="TableParagraph"/>
              <w:jc w:val="left"/>
            </w:pPr>
          </w:p>
        </w:tc>
        <w:tc>
          <w:tcPr>
            <w:tcW w:w="926" w:type="dxa"/>
            <w:shd w:val="clear" w:color="auto" w:fill="D0CECE"/>
          </w:tcPr>
          <w:p w:rsidR="007C5447" w:rsidRDefault="007C5447">
            <w:pPr>
              <w:pStyle w:val="TableParagraph"/>
              <w:jc w:val="left"/>
            </w:pPr>
          </w:p>
        </w:tc>
      </w:tr>
      <w:tr w:rsidR="007C5447">
        <w:trPr>
          <w:trHeight w:val="328"/>
        </w:trPr>
        <w:tc>
          <w:tcPr>
            <w:tcW w:w="432" w:type="dxa"/>
          </w:tcPr>
          <w:p w:rsidR="007C5447" w:rsidRDefault="00F6308C">
            <w:pPr>
              <w:pStyle w:val="TableParagraph"/>
              <w:spacing w:before="48"/>
              <w:ind w:left="107"/>
              <w:jc w:val="left"/>
              <w:rPr>
                <w:sz w:val="20"/>
              </w:rPr>
            </w:pPr>
            <w:r>
              <w:rPr>
                <w:w w:val="99"/>
                <w:sz w:val="20"/>
              </w:rPr>
              <w:t>1</w:t>
            </w:r>
          </w:p>
        </w:tc>
        <w:tc>
          <w:tcPr>
            <w:tcW w:w="2473" w:type="dxa"/>
          </w:tcPr>
          <w:p w:rsidR="007C5447" w:rsidRDefault="00F6308C">
            <w:pPr>
              <w:pStyle w:val="TableParagraph"/>
              <w:spacing w:before="48"/>
              <w:ind w:left="107"/>
              <w:jc w:val="left"/>
              <w:rPr>
                <w:sz w:val="20"/>
              </w:rPr>
            </w:pPr>
            <w:r>
              <w:rPr>
                <w:sz w:val="20"/>
              </w:rPr>
              <w:t>Tirumakottai GTPS</w:t>
            </w:r>
          </w:p>
        </w:tc>
        <w:tc>
          <w:tcPr>
            <w:tcW w:w="1200" w:type="dxa"/>
          </w:tcPr>
          <w:p w:rsidR="007C5447" w:rsidRDefault="00F6308C">
            <w:pPr>
              <w:pStyle w:val="TableParagraph"/>
              <w:spacing w:before="48"/>
              <w:ind w:right="94"/>
              <w:rPr>
                <w:sz w:val="20"/>
              </w:rPr>
            </w:pPr>
            <w:r>
              <w:rPr>
                <w:sz w:val="20"/>
              </w:rPr>
              <w:t>80.00%</w:t>
            </w:r>
          </w:p>
        </w:tc>
        <w:tc>
          <w:tcPr>
            <w:tcW w:w="1200" w:type="dxa"/>
          </w:tcPr>
          <w:p w:rsidR="007C5447" w:rsidRDefault="00F6308C">
            <w:pPr>
              <w:pStyle w:val="TableParagraph"/>
              <w:spacing w:before="48"/>
              <w:ind w:right="94"/>
              <w:rPr>
                <w:sz w:val="20"/>
              </w:rPr>
            </w:pPr>
            <w:r>
              <w:rPr>
                <w:sz w:val="20"/>
              </w:rPr>
              <w:t>85.20%</w:t>
            </w:r>
          </w:p>
        </w:tc>
        <w:tc>
          <w:tcPr>
            <w:tcW w:w="1200" w:type="dxa"/>
          </w:tcPr>
          <w:p w:rsidR="007C5447" w:rsidRDefault="00F6308C">
            <w:pPr>
              <w:pStyle w:val="TableParagraph"/>
              <w:spacing w:before="48"/>
              <w:ind w:right="94"/>
              <w:rPr>
                <w:sz w:val="20"/>
              </w:rPr>
            </w:pPr>
            <w:r>
              <w:rPr>
                <w:sz w:val="20"/>
              </w:rPr>
              <w:t>87.00%</w:t>
            </w:r>
          </w:p>
        </w:tc>
        <w:tc>
          <w:tcPr>
            <w:tcW w:w="835" w:type="dxa"/>
          </w:tcPr>
          <w:p w:rsidR="007C5447" w:rsidRDefault="00F6308C">
            <w:pPr>
              <w:pStyle w:val="TableParagraph"/>
              <w:spacing w:before="48"/>
              <w:ind w:right="96"/>
              <w:rPr>
                <w:sz w:val="20"/>
              </w:rPr>
            </w:pPr>
            <w:r>
              <w:rPr>
                <w:sz w:val="20"/>
              </w:rPr>
              <w:t>80.00%</w:t>
            </w:r>
          </w:p>
        </w:tc>
        <w:tc>
          <w:tcPr>
            <w:tcW w:w="977" w:type="dxa"/>
          </w:tcPr>
          <w:p w:rsidR="007C5447" w:rsidRDefault="00F6308C">
            <w:pPr>
              <w:pStyle w:val="TableParagraph"/>
              <w:spacing w:before="48"/>
              <w:ind w:right="93"/>
              <w:rPr>
                <w:sz w:val="20"/>
              </w:rPr>
            </w:pPr>
            <w:r>
              <w:rPr>
                <w:sz w:val="20"/>
              </w:rPr>
              <w:t>80.00%</w:t>
            </w:r>
          </w:p>
        </w:tc>
        <w:tc>
          <w:tcPr>
            <w:tcW w:w="926" w:type="dxa"/>
          </w:tcPr>
          <w:p w:rsidR="007C5447" w:rsidRDefault="00F6308C">
            <w:pPr>
              <w:pStyle w:val="TableParagraph"/>
              <w:spacing w:before="48"/>
              <w:ind w:right="93"/>
              <w:rPr>
                <w:sz w:val="20"/>
              </w:rPr>
            </w:pPr>
            <w:r>
              <w:rPr>
                <w:sz w:val="20"/>
              </w:rPr>
              <w:t>80.00%</w:t>
            </w:r>
          </w:p>
        </w:tc>
      </w:tr>
      <w:tr w:rsidR="007C5447">
        <w:trPr>
          <w:trHeight w:val="328"/>
        </w:trPr>
        <w:tc>
          <w:tcPr>
            <w:tcW w:w="432" w:type="dxa"/>
          </w:tcPr>
          <w:p w:rsidR="007C5447" w:rsidRDefault="00F6308C">
            <w:pPr>
              <w:pStyle w:val="TableParagraph"/>
              <w:spacing w:before="48"/>
              <w:ind w:left="107"/>
              <w:jc w:val="left"/>
              <w:rPr>
                <w:sz w:val="20"/>
              </w:rPr>
            </w:pPr>
            <w:r>
              <w:rPr>
                <w:w w:val="99"/>
                <w:sz w:val="20"/>
              </w:rPr>
              <w:t>2</w:t>
            </w:r>
          </w:p>
        </w:tc>
        <w:tc>
          <w:tcPr>
            <w:tcW w:w="2473" w:type="dxa"/>
          </w:tcPr>
          <w:p w:rsidR="007C5447" w:rsidRDefault="00F6308C">
            <w:pPr>
              <w:pStyle w:val="TableParagraph"/>
              <w:spacing w:before="48"/>
              <w:ind w:left="107"/>
              <w:jc w:val="left"/>
              <w:rPr>
                <w:sz w:val="20"/>
              </w:rPr>
            </w:pPr>
            <w:r>
              <w:rPr>
                <w:sz w:val="20"/>
              </w:rPr>
              <w:t>Kuttalam GTPS</w:t>
            </w:r>
          </w:p>
        </w:tc>
        <w:tc>
          <w:tcPr>
            <w:tcW w:w="1200" w:type="dxa"/>
          </w:tcPr>
          <w:p w:rsidR="007C5447" w:rsidRDefault="00F6308C">
            <w:pPr>
              <w:pStyle w:val="TableParagraph"/>
              <w:spacing w:before="48"/>
              <w:ind w:right="94"/>
              <w:rPr>
                <w:sz w:val="20"/>
              </w:rPr>
            </w:pPr>
            <w:r>
              <w:rPr>
                <w:sz w:val="20"/>
              </w:rPr>
              <w:t>80.00%</w:t>
            </w:r>
          </w:p>
        </w:tc>
        <w:tc>
          <w:tcPr>
            <w:tcW w:w="1200" w:type="dxa"/>
          </w:tcPr>
          <w:p w:rsidR="007C5447" w:rsidRDefault="00F6308C">
            <w:pPr>
              <w:pStyle w:val="TableParagraph"/>
              <w:spacing w:before="48"/>
              <w:ind w:right="94"/>
              <w:rPr>
                <w:sz w:val="20"/>
              </w:rPr>
            </w:pPr>
            <w:r>
              <w:rPr>
                <w:sz w:val="20"/>
              </w:rPr>
              <w:t>85.80%</w:t>
            </w:r>
          </w:p>
        </w:tc>
        <w:tc>
          <w:tcPr>
            <w:tcW w:w="1200" w:type="dxa"/>
          </w:tcPr>
          <w:p w:rsidR="007C5447" w:rsidRDefault="00F6308C">
            <w:pPr>
              <w:pStyle w:val="TableParagraph"/>
              <w:spacing w:before="48"/>
              <w:ind w:right="94"/>
              <w:rPr>
                <w:sz w:val="20"/>
              </w:rPr>
            </w:pPr>
            <w:r>
              <w:rPr>
                <w:sz w:val="20"/>
              </w:rPr>
              <w:t>87.50%</w:t>
            </w:r>
          </w:p>
        </w:tc>
        <w:tc>
          <w:tcPr>
            <w:tcW w:w="835" w:type="dxa"/>
          </w:tcPr>
          <w:p w:rsidR="007C5447" w:rsidRDefault="00F6308C">
            <w:pPr>
              <w:pStyle w:val="TableParagraph"/>
              <w:spacing w:before="48"/>
              <w:ind w:right="96"/>
              <w:rPr>
                <w:sz w:val="20"/>
              </w:rPr>
            </w:pPr>
            <w:r>
              <w:rPr>
                <w:sz w:val="20"/>
              </w:rPr>
              <w:t>80.00%</w:t>
            </w:r>
          </w:p>
        </w:tc>
        <w:tc>
          <w:tcPr>
            <w:tcW w:w="977" w:type="dxa"/>
          </w:tcPr>
          <w:p w:rsidR="007C5447" w:rsidRDefault="00F6308C">
            <w:pPr>
              <w:pStyle w:val="TableParagraph"/>
              <w:spacing w:before="48"/>
              <w:ind w:right="93"/>
              <w:rPr>
                <w:sz w:val="20"/>
              </w:rPr>
            </w:pPr>
            <w:r>
              <w:rPr>
                <w:sz w:val="20"/>
              </w:rPr>
              <w:t>80.00%</w:t>
            </w:r>
          </w:p>
        </w:tc>
        <w:tc>
          <w:tcPr>
            <w:tcW w:w="926" w:type="dxa"/>
          </w:tcPr>
          <w:p w:rsidR="007C5447" w:rsidRDefault="00F6308C">
            <w:pPr>
              <w:pStyle w:val="TableParagraph"/>
              <w:spacing w:before="48"/>
              <w:ind w:right="93"/>
              <w:rPr>
                <w:sz w:val="20"/>
              </w:rPr>
            </w:pPr>
            <w:r>
              <w:rPr>
                <w:sz w:val="20"/>
              </w:rPr>
              <w:t>80.00%</w:t>
            </w:r>
          </w:p>
        </w:tc>
      </w:tr>
      <w:tr w:rsidR="007C5447">
        <w:trPr>
          <w:trHeight w:val="489"/>
        </w:trPr>
        <w:tc>
          <w:tcPr>
            <w:tcW w:w="432" w:type="dxa"/>
          </w:tcPr>
          <w:p w:rsidR="007C5447" w:rsidRDefault="00F6308C">
            <w:pPr>
              <w:pStyle w:val="TableParagraph"/>
              <w:spacing w:before="130"/>
              <w:ind w:left="107"/>
              <w:jc w:val="left"/>
              <w:rPr>
                <w:sz w:val="20"/>
              </w:rPr>
            </w:pPr>
            <w:r>
              <w:rPr>
                <w:w w:val="99"/>
                <w:sz w:val="20"/>
              </w:rPr>
              <w:t>3</w:t>
            </w:r>
          </w:p>
        </w:tc>
        <w:tc>
          <w:tcPr>
            <w:tcW w:w="2473" w:type="dxa"/>
          </w:tcPr>
          <w:p w:rsidR="007C5447" w:rsidRDefault="00F6308C">
            <w:pPr>
              <w:pStyle w:val="TableParagraph"/>
              <w:spacing w:before="130"/>
              <w:ind w:left="107"/>
              <w:jc w:val="left"/>
              <w:rPr>
                <w:sz w:val="20"/>
              </w:rPr>
            </w:pPr>
            <w:r>
              <w:rPr>
                <w:sz w:val="20"/>
              </w:rPr>
              <w:t>Basin Bridge GTPS</w:t>
            </w:r>
          </w:p>
        </w:tc>
        <w:tc>
          <w:tcPr>
            <w:tcW w:w="1200" w:type="dxa"/>
          </w:tcPr>
          <w:p w:rsidR="007C5447" w:rsidRDefault="00F6308C">
            <w:pPr>
              <w:pStyle w:val="TableParagraph"/>
              <w:spacing w:before="14"/>
              <w:ind w:right="94"/>
              <w:rPr>
                <w:sz w:val="20"/>
              </w:rPr>
            </w:pPr>
            <w:r>
              <w:rPr>
                <w:sz w:val="20"/>
              </w:rPr>
              <w:t>0.01</w:t>
            </w:r>
          </w:p>
          <w:p w:rsidR="007C5447" w:rsidRDefault="00F6308C">
            <w:pPr>
              <w:pStyle w:val="TableParagraph"/>
              <w:spacing w:before="1" w:line="224" w:lineRule="exact"/>
              <w:ind w:right="96"/>
              <w:rPr>
                <w:sz w:val="20"/>
              </w:rPr>
            </w:pPr>
            <w:r>
              <w:rPr>
                <w:w w:val="99"/>
                <w:sz w:val="20"/>
              </w:rPr>
              <w:t>%</w:t>
            </w:r>
          </w:p>
        </w:tc>
        <w:tc>
          <w:tcPr>
            <w:tcW w:w="1200" w:type="dxa"/>
          </w:tcPr>
          <w:p w:rsidR="007C5447" w:rsidRDefault="00F6308C">
            <w:pPr>
              <w:pStyle w:val="TableParagraph"/>
              <w:spacing w:before="14"/>
              <w:ind w:right="93"/>
              <w:rPr>
                <w:sz w:val="20"/>
              </w:rPr>
            </w:pPr>
            <w:r>
              <w:rPr>
                <w:sz w:val="20"/>
              </w:rPr>
              <w:t>0.01</w:t>
            </w:r>
          </w:p>
          <w:p w:rsidR="007C5447" w:rsidRDefault="00F6308C">
            <w:pPr>
              <w:pStyle w:val="TableParagraph"/>
              <w:spacing w:before="1" w:line="224" w:lineRule="exact"/>
              <w:ind w:right="95"/>
              <w:rPr>
                <w:sz w:val="20"/>
              </w:rPr>
            </w:pPr>
            <w:r>
              <w:rPr>
                <w:w w:val="99"/>
                <w:sz w:val="20"/>
              </w:rPr>
              <w:t>%</w:t>
            </w:r>
          </w:p>
        </w:tc>
        <w:tc>
          <w:tcPr>
            <w:tcW w:w="1200" w:type="dxa"/>
          </w:tcPr>
          <w:p w:rsidR="007C5447" w:rsidRDefault="00F6308C">
            <w:pPr>
              <w:pStyle w:val="TableParagraph"/>
              <w:spacing w:before="14"/>
              <w:ind w:right="93"/>
              <w:rPr>
                <w:sz w:val="20"/>
              </w:rPr>
            </w:pPr>
            <w:r>
              <w:rPr>
                <w:sz w:val="20"/>
              </w:rPr>
              <w:t>0.01</w:t>
            </w:r>
          </w:p>
          <w:p w:rsidR="007C5447" w:rsidRDefault="00F6308C">
            <w:pPr>
              <w:pStyle w:val="TableParagraph"/>
              <w:spacing w:before="1" w:line="224" w:lineRule="exact"/>
              <w:ind w:right="95"/>
              <w:rPr>
                <w:sz w:val="20"/>
              </w:rPr>
            </w:pPr>
            <w:r>
              <w:rPr>
                <w:w w:val="99"/>
                <w:sz w:val="20"/>
              </w:rPr>
              <w:t>%</w:t>
            </w:r>
          </w:p>
        </w:tc>
        <w:tc>
          <w:tcPr>
            <w:tcW w:w="835" w:type="dxa"/>
          </w:tcPr>
          <w:p w:rsidR="007C5447" w:rsidRDefault="00F6308C">
            <w:pPr>
              <w:pStyle w:val="TableParagraph"/>
              <w:spacing w:before="130"/>
              <w:ind w:right="98"/>
              <w:rPr>
                <w:sz w:val="20"/>
              </w:rPr>
            </w:pPr>
            <w:r>
              <w:rPr>
                <w:sz w:val="20"/>
              </w:rPr>
              <w:t>0.6%</w:t>
            </w:r>
          </w:p>
        </w:tc>
        <w:tc>
          <w:tcPr>
            <w:tcW w:w="977" w:type="dxa"/>
          </w:tcPr>
          <w:p w:rsidR="007C5447" w:rsidRDefault="00F6308C">
            <w:pPr>
              <w:pStyle w:val="TableParagraph"/>
              <w:spacing w:before="130"/>
              <w:ind w:right="95"/>
              <w:rPr>
                <w:sz w:val="20"/>
              </w:rPr>
            </w:pPr>
            <w:r>
              <w:rPr>
                <w:sz w:val="20"/>
              </w:rPr>
              <w:t>0.6%</w:t>
            </w:r>
          </w:p>
        </w:tc>
        <w:tc>
          <w:tcPr>
            <w:tcW w:w="926" w:type="dxa"/>
          </w:tcPr>
          <w:p w:rsidR="007C5447" w:rsidRDefault="00F6308C">
            <w:pPr>
              <w:pStyle w:val="TableParagraph"/>
              <w:spacing w:before="130"/>
              <w:ind w:right="95"/>
              <w:rPr>
                <w:sz w:val="20"/>
              </w:rPr>
            </w:pPr>
            <w:r>
              <w:rPr>
                <w:sz w:val="20"/>
              </w:rPr>
              <w:t>0.6%</w:t>
            </w:r>
          </w:p>
        </w:tc>
      </w:tr>
      <w:tr w:rsidR="007C5447">
        <w:trPr>
          <w:trHeight w:val="328"/>
        </w:trPr>
        <w:tc>
          <w:tcPr>
            <w:tcW w:w="432" w:type="dxa"/>
          </w:tcPr>
          <w:p w:rsidR="007C5447" w:rsidRDefault="00F6308C">
            <w:pPr>
              <w:pStyle w:val="TableParagraph"/>
              <w:spacing w:before="48"/>
              <w:ind w:left="107"/>
              <w:jc w:val="left"/>
              <w:rPr>
                <w:sz w:val="20"/>
              </w:rPr>
            </w:pPr>
            <w:r>
              <w:rPr>
                <w:w w:val="99"/>
                <w:sz w:val="20"/>
              </w:rPr>
              <w:t>4</w:t>
            </w:r>
          </w:p>
        </w:tc>
        <w:tc>
          <w:tcPr>
            <w:tcW w:w="2473" w:type="dxa"/>
          </w:tcPr>
          <w:p w:rsidR="007C5447" w:rsidRDefault="00F6308C">
            <w:pPr>
              <w:pStyle w:val="TableParagraph"/>
              <w:spacing w:before="48"/>
              <w:ind w:left="107"/>
              <w:jc w:val="left"/>
              <w:rPr>
                <w:sz w:val="20"/>
              </w:rPr>
            </w:pPr>
            <w:r>
              <w:rPr>
                <w:sz w:val="20"/>
              </w:rPr>
              <w:t>Valathur GTPS Unit</w:t>
            </w:r>
          </w:p>
        </w:tc>
        <w:tc>
          <w:tcPr>
            <w:tcW w:w="1200" w:type="dxa"/>
          </w:tcPr>
          <w:p w:rsidR="007C5447" w:rsidRDefault="00F6308C">
            <w:pPr>
              <w:pStyle w:val="TableParagraph"/>
              <w:spacing w:before="48"/>
              <w:ind w:right="94"/>
              <w:rPr>
                <w:sz w:val="20"/>
              </w:rPr>
            </w:pPr>
            <w:r>
              <w:rPr>
                <w:sz w:val="20"/>
              </w:rPr>
              <w:t>80.00%</w:t>
            </w:r>
          </w:p>
        </w:tc>
        <w:tc>
          <w:tcPr>
            <w:tcW w:w="1200" w:type="dxa"/>
          </w:tcPr>
          <w:p w:rsidR="007C5447" w:rsidRDefault="00F6308C">
            <w:pPr>
              <w:pStyle w:val="TableParagraph"/>
              <w:spacing w:before="48"/>
              <w:ind w:right="94"/>
              <w:rPr>
                <w:sz w:val="20"/>
              </w:rPr>
            </w:pPr>
            <w:r>
              <w:rPr>
                <w:sz w:val="20"/>
              </w:rPr>
              <w:t>83.56%</w:t>
            </w:r>
          </w:p>
        </w:tc>
        <w:tc>
          <w:tcPr>
            <w:tcW w:w="1200" w:type="dxa"/>
          </w:tcPr>
          <w:p w:rsidR="007C5447" w:rsidRDefault="00F6308C">
            <w:pPr>
              <w:pStyle w:val="TableParagraph"/>
              <w:spacing w:before="48"/>
              <w:ind w:right="94"/>
              <w:rPr>
                <w:sz w:val="20"/>
              </w:rPr>
            </w:pPr>
            <w:r>
              <w:rPr>
                <w:sz w:val="20"/>
              </w:rPr>
              <w:t>85.30%</w:t>
            </w:r>
          </w:p>
        </w:tc>
        <w:tc>
          <w:tcPr>
            <w:tcW w:w="835" w:type="dxa"/>
          </w:tcPr>
          <w:p w:rsidR="007C5447" w:rsidRDefault="00F6308C">
            <w:pPr>
              <w:pStyle w:val="TableParagraph"/>
              <w:spacing w:before="48"/>
              <w:ind w:right="96"/>
              <w:rPr>
                <w:sz w:val="20"/>
              </w:rPr>
            </w:pPr>
            <w:r>
              <w:rPr>
                <w:sz w:val="20"/>
              </w:rPr>
              <w:t>80.00%</w:t>
            </w:r>
          </w:p>
        </w:tc>
        <w:tc>
          <w:tcPr>
            <w:tcW w:w="977" w:type="dxa"/>
          </w:tcPr>
          <w:p w:rsidR="007C5447" w:rsidRDefault="00F6308C">
            <w:pPr>
              <w:pStyle w:val="TableParagraph"/>
              <w:spacing w:before="48"/>
              <w:ind w:right="93"/>
              <w:rPr>
                <w:sz w:val="20"/>
              </w:rPr>
            </w:pPr>
            <w:r>
              <w:rPr>
                <w:sz w:val="20"/>
              </w:rPr>
              <w:t>80.00%</w:t>
            </w:r>
          </w:p>
        </w:tc>
        <w:tc>
          <w:tcPr>
            <w:tcW w:w="926" w:type="dxa"/>
          </w:tcPr>
          <w:p w:rsidR="007C5447" w:rsidRDefault="00F6308C">
            <w:pPr>
              <w:pStyle w:val="TableParagraph"/>
              <w:spacing w:before="48"/>
              <w:ind w:right="93"/>
              <w:rPr>
                <w:sz w:val="20"/>
              </w:rPr>
            </w:pPr>
            <w:r>
              <w:rPr>
                <w:sz w:val="20"/>
              </w:rPr>
              <w:t>80.00%</w:t>
            </w:r>
          </w:p>
        </w:tc>
      </w:tr>
    </w:tbl>
    <w:p w:rsidR="007C5447" w:rsidRDefault="007C5447">
      <w:pPr>
        <w:pStyle w:val="BodyText"/>
        <w:rPr>
          <w:b/>
        </w:rPr>
      </w:pPr>
    </w:p>
    <w:p w:rsidR="007C5447" w:rsidRDefault="007C5447">
      <w:pPr>
        <w:pStyle w:val="BodyText"/>
        <w:rPr>
          <w:b/>
        </w:rPr>
      </w:pPr>
    </w:p>
    <w:p w:rsidR="007C5447" w:rsidRDefault="00F6308C">
      <w:pPr>
        <w:pStyle w:val="Heading2"/>
        <w:numPr>
          <w:ilvl w:val="2"/>
          <w:numId w:val="114"/>
        </w:numPr>
        <w:tabs>
          <w:tab w:val="left" w:pos="1952"/>
          <w:tab w:val="left" w:pos="1953"/>
        </w:tabs>
        <w:spacing w:before="165"/>
        <w:ind w:left="1952" w:hanging="853"/>
      </w:pPr>
      <w:r>
        <w:t>Auxiliary</w:t>
      </w:r>
      <w:r>
        <w:rPr>
          <w:spacing w:val="-1"/>
        </w:rPr>
        <w:t xml:space="preserve"> </w:t>
      </w:r>
      <w:r>
        <w:t>Consumption</w:t>
      </w:r>
    </w:p>
    <w:p w:rsidR="007C5447" w:rsidRDefault="007C5447">
      <w:pPr>
        <w:pStyle w:val="BodyText"/>
        <w:spacing w:before="2"/>
        <w:rPr>
          <w:b/>
          <w:sz w:val="28"/>
        </w:rPr>
      </w:pPr>
    </w:p>
    <w:p w:rsidR="007C5447" w:rsidRDefault="00F6308C">
      <w:pPr>
        <w:pStyle w:val="BodyText"/>
        <w:spacing w:line="312" w:lineRule="auto"/>
        <w:ind w:left="2065" w:right="1175" w:hanging="965"/>
        <w:jc w:val="both"/>
      </w:pPr>
      <w:r>
        <w:t>4.14.3.1 The Commission has approved Auxiliary Consumption for TANGEDCO’s generating stations in accordance with the Tariff Regulations. For Mettur Stage III TPS, the Commission in SMT Order has approved the Auxiliary Consumption of 8.83% for FY 2014-15. H</w:t>
      </w:r>
      <w:r>
        <w:t>owever, it is observed that the actual auxiliary consumption for FY 2014-15 and FY 2015-16 is 7.28% and 6.45% respectively, which is much lower than the normative Auxiliary consumption of 8.50%. Hence, it would not be appropriate to consider any relaxation</w:t>
      </w:r>
      <w:r>
        <w:t xml:space="preserve"> in Auxiliary consumption. Accordingly, the Commission has approved the Auxiliary Consumption of 8.50% for Control Period from FY 2016-17 to FY 2018-19 for Mettur Stage III TPS. For Ennore TPS, the Auxiliary Consumption for FY 2016-17 has been considered a</w:t>
      </w:r>
      <w:r>
        <w:t>t the same level as approved in the true-up for FY 2015-16. For Basin Bridge GTPS, TANGEDCO has projected Auxiliary Consumption at the same level as in FY 2015-16, which has been accepted. Auxiliary Consumption for the</w:t>
      </w:r>
      <w:r>
        <w:rPr>
          <w:spacing w:val="55"/>
        </w:rPr>
        <w:t xml:space="preserve"> </w:t>
      </w:r>
      <w:r>
        <w:t>Control Period</w:t>
      </w:r>
    </w:p>
    <w:p w:rsidR="007C5447" w:rsidRDefault="007C5447">
      <w:pPr>
        <w:spacing w:line="312" w:lineRule="auto"/>
        <w:jc w:val="both"/>
        <w:sectPr w:rsidR="007C5447">
          <w:pgSz w:w="11910" w:h="16840"/>
          <w:pgMar w:top="1360" w:right="260" w:bottom="1240" w:left="340" w:header="0" w:footer="1057" w:gutter="0"/>
          <w:cols w:space="720"/>
        </w:sectPr>
      </w:pPr>
    </w:p>
    <w:p w:rsidR="007C5447" w:rsidRDefault="00F6308C">
      <w:pPr>
        <w:pStyle w:val="BodyText"/>
        <w:spacing w:before="60" w:line="312" w:lineRule="auto"/>
        <w:ind w:left="2065" w:right="1176"/>
      </w:pPr>
      <w:r>
        <w:lastRenderedPageBreak/>
        <w:t>from</w:t>
      </w:r>
      <w:r>
        <w:t xml:space="preserve"> FY 2016-17 to FY 2018-19 as submitted by TANGEDCO (based on actual data) and as approved by the Commission is shown in the Table below:</w:t>
      </w:r>
    </w:p>
    <w:p w:rsidR="007C5447" w:rsidRDefault="007C5447">
      <w:pPr>
        <w:pStyle w:val="BodyText"/>
        <w:spacing w:before="1"/>
        <w:rPr>
          <w:sz w:val="21"/>
        </w:rPr>
      </w:pPr>
    </w:p>
    <w:p w:rsidR="007C5447" w:rsidRDefault="00F6308C">
      <w:pPr>
        <w:spacing w:line="312" w:lineRule="auto"/>
        <w:ind w:left="4952" w:right="1176" w:hanging="3846"/>
        <w:rPr>
          <w:b/>
        </w:rPr>
      </w:pPr>
      <w:r>
        <w:rPr>
          <w:b/>
        </w:rPr>
        <w:t>Table 4-36: Approved Auxiliary Consumption (%) for Own Generating Stations for FY 2016-17 to FY 2018-19</w:t>
      </w:r>
    </w:p>
    <w:p w:rsidR="007C5447" w:rsidRDefault="007C5447">
      <w:pPr>
        <w:pStyle w:val="BodyText"/>
        <w:spacing w:before="4"/>
        <w:rPr>
          <w:b/>
          <w:sz w:val="10"/>
        </w:r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4"/>
        <w:gridCol w:w="1824"/>
        <w:gridCol w:w="1025"/>
        <w:gridCol w:w="1027"/>
        <w:gridCol w:w="1025"/>
        <w:gridCol w:w="1128"/>
        <w:gridCol w:w="2012"/>
        <w:gridCol w:w="936"/>
      </w:tblGrid>
      <w:tr w:rsidR="007C5447">
        <w:trPr>
          <w:trHeight w:val="328"/>
        </w:trPr>
        <w:tc>
          <w:tcPr>
            <w:tcW w:w="574" w:type="dxa"/>
            <w:vMerge w:val="restart"/>
            <w:shd w:val="clear" w:color="auto" w:fill="F7C9AC"/>
          </w:tcPr>
          <w:p w:rsidR="007C5447" w:rsidRDefault="007C5447">
            <w:pPr>
              <w:pStyle w:val="TableParagraph"/>
              <w:spacing w:before="1"/>
              <w:jc w:val="left"/>
              <w:rPr>
                <w:b/>
                <w:sz w:val="26"/>
              </w:rPr>
            </w:pPr>
          </w:p>
          <w:p w:rsidR="007C5447" w:rsidRDefault="00F6308C">
            <w:pPr>
              <w:pStyle w:val="TableParagraph"/>
              <w:ind w:left="107"/>
              <w:jc w:val="left"/>
              <w:rPr>
                <w:b/>
                <w:sz w:val="20"/>
              </w:rPr>
            </w:pPr>
            <w:r>
              <w:rPr>
                <w:b/>
                <w:sz w:val="20"/>
              </w:rPr>
              <w:t>Sl.</w:t>
            </w:r>
          </w:p>
        </w:tc>
        <w:tc>
          <w:tcPr>
            <w:tcW w:w="1824" w:type="dxa"/>
            <w:vMerge w:val="restart"/>
            <w:shd w:val="clear" w:color="auto" w:fill="F7C9AC"/>
          </w:tcPr>
          <w:p w:rsidR="007C5447" w:rsidRDefault="007C5447">
            <w:pPr>
              <w:pStyle w:val="TableParagraph"/>
              <w:spacing w:before="1"/>
              <w:jc w:val="left"/>
              <w:rPr>
                <w:b/>
                <w:sz w:val="26"/>
              </w:rPr>
            </w:pPr>
          </w:p>
          <w:p w:rsidR="007C5447" w:rsidRDefault="00F6308C">
            <w:pPr>
              <w:pStyle w:val="TableParagraph"/>
              <w:ind w:left="107"/>
              <w:jc w:val="left"/>
              <w:rPr>
                <w:b/>
                <w:sz w:val="20"/>
              </w:rPr>
            </w:pPr>
            <w:r>
              <w:rPr>
                <w:b/>
                <w:sz w:val="20"/>
              </w:rPr>
              <w:t>Station</w:t>
            </w:r>
          </w:p>
        </w:tc>
        <w:tc>
          <w:tcPr>
            <w:tcW w:w="3077" w:type="dxa"/>
            <w:gridSpan w:val="3"/>
            <w:shd w:val="clear" w:color="auto" w:fill="F7C9AC"/>
          </w:tcPr>
          <w:p w:rsidR="007C5447" w:rsidRDefault="00F6308C">
            <w:pPr>
              <w:pStyle w:val="TableParagraph"/>
              <w:spacing w:before="48"/>
              <w:ind w:left="959"/>
              <w:jc w:val="left"/>
              <w:rPr>
                <w:b/>
                <w:sz w:val="20"/>
              </w:rPr>
            </w:pPr>
            <w:r>
              <w:rPr>
                <w:b/>
                <w:sz w:val="20"/>
              </w:rPr>
              <w:t>TANGEDCO</w:t>
            </w:r>
          </w:p>
        </w:tc>
        <w:tc>
          <w:tcPr>
            <w:tcW w:w="4076" w:type="dxa"/>
            <w:gridSpan w:val="3"/>
            <w:shd w:val="clear" w:color="auto" w:fill="F7C9AC"/>
          </w:tcPr>
          <w:p w:rsidR="007C5447" w:rsidRDefault="00F6308C">
            <w:pPr>
              <w:pStyle w:val="TableParagraph"/>
              <w:spacing w:before="48"/>
              <w:ind w:left="1486" w:right="1484"/>
              <w:jc w:val="center"/>
              <w:rPr>
                <w:b/>
                <w:sz w:val="20"/>
              </w:rPr>
            </w:pPr>
            <w:r>
              <w:rPr>
                <w:b/>
                <w:sz w:val="20"/>
              </w:rPr>
              <w:t>Commission</w:t>
            </w:r>
          </w:p>
        </w:tc>
      </w:tr>
      <w:tr w:rsidR="007C5447">
        <w:trPr>
          <w:trHeight w:val="489"/>
        </w:trPr>
        <w:tc>
          <w:tcPr>
            <w:tcW w:w="574" w:type="dxa"/>
            <w:vMerge/>
            <w:tcBorders>
              <w:top w:val="nil"/>
            </w:tcBorders>
            <w:shd w:val="clear" w:color="auto" w:fill="F7C9AC"/>
          </w:tcPr>
          <w:p w:rsidR="007C5447" w:rsidRDefault="007C5447">
            <w:pPr>
              <w:rPr>
                <w:sz w:val="2"/>
                <w:szCs w:val="2"/>
              </w:rPr>
            </w:pPr>
          </w:p>
        </w:tc>
        <w:tc>
          <w:tcPr>
            <w:tcW w:w="1824" w:type="dxa"/>
            <w:vMerge/>
            <w:tcBorders>
              <w:top w:val="nil"/>
            </w:tcBorders>
            <w:shd w:val="clear" w:color="auto" w:fill="F7C9AC"/>
          </w:tcPr>
          <w:p w:rsidR="007C5447" w:rsidRDefault="007C5447">
            <w:pPr>
              <w:rPr>
                <w:sz w:val="2"/>
                <w:szCs w:val="2"/>
              </w:rPr>
            </w:pPr>
          </w:p>
        </w:tc>
        <w:tc>
          <w:tcPr>
            <w:tcW w:w="1025" w:type="dxa"/>
            <w:shd w:val="clear" w:color="auto" w:fill="F7C9AC"/>
          </w:tcPr>
          <w:p w:rsidR="007C5447" w:rsidRDefault="00F6308C">
            <w:pPr>
              <w:pStyle w:val="TableParagraph"/>
              <w:spacing w:before="14"/>
              <w:ind w:left="102" w:right="89"/>
              <w:jc w:val="center"/>
              <w:rPr>
                <w:b/>
                <w:sz w:val="20"/>
              </w:rPr>
            </w:pPr>
            <w:r>
              <w:rPr>
                <w:b/>
                <w:sz w:val="20"/>
              </w:rPr>
              <w:t>FY 2016-</w:t>
            </w:r>
          </w:p>
          <w:p w:rsidR="007C5447" w:rsidRDefault="00F6308C">
            <w:pPr>
              <w:pStyle w:val="TableParagraph"/>
              <w:spacing w:before="1" w:line="224" w:lineRule="exact"/>
              <w:ind w:left="101" w:right="89"/>
              <w:jc w:val="center"/>
              <w:rPr>
                <w:b/>
                <w:sz w:val="20"/>
              </w:rPr>
            </w:pPr>
            <w:r>
              <w:rPr>
                <w:b/>
                <w:sz w:val="20"/>
              </w:rPr>
              <w:t>17</w:t>
            </w:r>
          </w:p>
        </w:tc>
        <w:tc>
          <w:tcPr>
            <w:tcW w:w="1027" w:type="dxa"/>
            <w:shd w:val="clear" w:color="auto" w:fill="F7C9AC"/>
          </w:tcPr>
          <w:p w:rsidR="007C5447" w:rsidRDefault="00F6308C">
            <w:pPr>
              <w:pStyle w:val="TableParagraph"/>
              <w:spacing w:before="14"/>
              <w:ind w:left="102" w:right="91"/>
              <w:jc w:val="center"/>
              <w:rPr>
                <w:b/>
                <w:sz w:val="20"/>
              </w:rPr>
            </w:pPr>
            <w:r>
              <w:rPr>
                <w:b/>
                <w:sz w:val="20"/>
              </w:rPr>
              <w:t>FY 2017-</w:t>
            </w:r>
          </w:p>
          <w:p w:rsidR="007C5447" w:rsidRDefault="00F6308C">
            <w:pPr>
              <w:pStyle w:val="TableParagraph"/>
              <w:spacing w:before="1" w:line="224" w:lineRule="exact"/>
              <w:ind w:left="100" w:right="91"/>
              <w:jc w:val="center"/>
              <w:rPr>
                <w:b/>
                <w:sz w:val="20"/>
              </w:rPr>
            </w:pPr>
            <w:r>
              <w:rPr>
                <w:b/>
                <w:sz w:val="20"/>
              </w:rPr>
              <w:t>18</w:t>
            </w:r>
          </w:p>
        </w:tc>
        <w:tc>
          <w:tcPr>
            <w:tcW w:w="1025" w:type="dxa"/>
            <w:shd w:val="clear" w:color="auto" w:fill="F7C9AC"/>
          </w:tcPr>
          <w:p w:rsidR="007C5447" w:rsidRDefault="00F6308C">
            <w:pPr>
              <w:pStyle w:val="TableParagraph"/>
              <w:spacing w:before="14"/>
              <w:ind w:left="102" w:right="89"/>
              <w:jc w:val="center"/>
              <w:rPr>
                <w:b/>
                <w:sz w:val="20"/>
              </w:rPr>
            </w:pPr>
            <w:r>
              <w:rPr>
                <w:b/>
                <w:sz w:val="20"/>
              </w:rPr>
              <w:t>FY 2018-</w:t>
            </w:r>
          </w:p>
          <w:p w:rsidR="007C5447" w:rsidRDefault="00F6308C">
            <w:pPr>
              <w:pStyle w:val="TableParagraph"/>
              <w:spacing w:before="1" w:line="224" w:lineRule="exact"/>
              <w:ind w:left="101" w:right="89"/>
              <w:jc w:val="center"/>
              <w:rPr>
                <w:b/>
                <w:sz w:val="20"/>
              </w:rPr>
            </w:pPr>
            <w:r>
              <w:rPr>
                <w:b/>
                <w:sz w:val="20"/>
              </w:rPr>
              <w:t>19</w:t>
            </w:r>
          </w:p>
        </w:tc>
        <w:tc>
          <w:tcPr>
            <w:tcW w:w="1128" w:type="dxa"/>
            <w:shd w:val="clear" w:color="auto" w:fill="F7C9AC"/>
          </w:tcPr>
          <w:p w:rsidR="007C5447" w:rsidRDefault="00F6308C">
            <w:pPr>
              <w:pStyle w:val="TableParagraph"/>
              <w:spacing w:before="14"/>
              <w:ind w:left="101" w:right="90"/>
              <w:jc w:val="center"/>
              <w:rPr>
                <w:b/>
                <w:sz w:val="20"/>
              </w:rPr>
            </w:pPr>
            <w:r>
              <w:rPr>
                <w:b/>
                <w:sz w:val="20"/>
              </w:rPr>
              <w:t>FY 2016-</w:t>
            </w:r>
          </w:p>
          <w:p w:rsidR="007C5447" w:rsidRDefault="00F6308C">
            <w:pPr>
              <w:pStyle w:val="TableParagraph"/>
              <w:spacing w:before="1" w:line="224" w:lineRule="exact"/>
              <w:ind w:left="101" w:right="91"/>
              <w:jc w:val="center"/>
              <w:rPr>
                <w:b/>
                <w:sz w:val="20"/>
              </w:rPr>
            </w:pPr>
            <w:r>
              <w:rPr>
                <w:b/>
                <w:sz w:val="20"/>
              </w:rPr>
              <w:t>17</w:t>
            </w:r>
          </w:p>
        </w:tc>
        <w:tc>
          <w:tcPr>
            <w:tcW w:w="2012" w:type="dxa"/>
            <w:shd w:val="clear" w:color="auto" w:fill="F7C9AC"/>
          </w:tcPr>
          <w:p w:rsidR="007C5447" w:rsidRDefault="00F6308C">
            <w:pPr>
              <w:pStyle w:val="TableParagraph"/>
              <w:spacing w:before="130"/>
              <w:ind w:left="511"/>
              <w:jc w:val="left"/>
              <w:rPr>
                <w:b/>
                <w:sz w:val="20"/>
              </w:rPr>
            </w:pPr>
            <w:r>
              <w:rPr>
                <w:b/>
                <w:sz w:val="20"/>
              </w:rPr>
              <w:t>FY 2017-18</w:t>
            </w:r>
          </w:p>
        </w:tc>
        <w:tc>
          <w:tcPr>
            <w:tcW w:w="936" w:type="dxa"/>
            <w:shd w:val="clear" w:color="auto" w:fill="F7C9AC"/>
          </w:tcPr>
          <w:p w:rsidR="007C5447" w:rsidRDefault="00F6308C">
            <w:pPr>
              <w:pStyle w:val="TableParagraph"/>
              <w:spacing w:before="14" w:line="230" w:lineRule="atLeast"/>
              <w:ind w:left="134" w:right="120" w:firstLine="199"/>
              <w:jc w:val="left"/>
              <w:rPr>
                <w:b/>
                <w:sz w:val="20"/>
              </w:rPr>
            </w:pPr>
            <w:r>
              <w:rPr>
                <w:b/>
                <w:sz w:val="20"/>
              </w:rPr>
              <w:t>FY 2018-19</w:t>
            </w:r>
          </w:p>
        </w:tc>
      </w:tr>
      <w:tr w:rsidR="007C5447">
        <w:trPr>
          <w:trHeight w:val="328"/>
        </w:trPr>
        <w:tc>
          <w:tcPr>
            <w:tcW w:w="574" w:type="dxa"/>
            <w:shd w:val="clear" w:color="auto" w:fill="BEBEBE"/>
          </w:tcPr>
          <w:p w:rsidR="007C5447" w:rsidRDefault="007C5447">
            <w:pPr>
              <w:pStyle w:val="TableParagraph"/>
              <w:jc w:val="left"/>
            </w:pPr>
          </w:p>
        </w:tc>
        <w:tc>
          <w:tcPr>
            <w:tcW w:w="1824" w:type="dxa"/>
            <w:shd w:val="clear" w:color="auto" w:fill="BEBEBE"/>
          </w:tcPr>
          <w:p w:rsidR="007C5447" w:rsidRDefault="00F6308C">
            <w:pPr>
              <w:pStyle w:val="TableParagraph"/>
              <w:spacing w:before="50"/>
              <w:ind w:left="107"/>
              <w:jc w:val="left"/>
              <w:rPr>
                <w:b/>
                <w:sz w:val="20"/>
              </w:rPr>
            </w:pPr>
            <w:r>
              <w:rPr>
                <w:b/>
                <w:sz w:val="20"/>
              </w:rPr>
              <w:t>Coal Thermal</w:t>
            </w:r>
          </w:p>
        </w:tc>
        <w:tc>
          <w:tcPr>
            <w:tcW w:w="1025" w:type="dxa"/>
            <w:shd w:val="clear" w:color="auto" w:fill="BEBEBE"/>
          </w:tcPr>
          <w:p w:rsidR="007C5447" w:rsidRDefault="007C5447">
            <w:pPr>
              <w:pStyle w:val="TableParagraph"/>
              <w:jc w:val="left"/>
            </w:pPr>
          </w:p>
        </w:tc>
        <w:tc>
          <w:tcPr>
            <w:tcW w:w="1027" w:type="dxa"/>
            <w:shd w:val="clear" w:color="auto" w:fill="BEBEBE"/>
          </w:tcPr>
          <w:p w:rsidR="007C5447" w:rsidRDefault="007C5447">
            <w:pPr>
              <w:pStyle w:val="TableParagraph"/>
              <w:jc w:val="left"/>
            </w:pPr>
          </w:p>
        </w:tc>
        <w:tc>
          <w:tcPr>
            <w:tcW w:w="1025" w:type="dxa"/>
            <w:shd w:val="clear" w:color="auto" w:fill="BEBEBE"/>
          </w:tcPr>
          <w:p w:rsidR="007C5447" w:rsidRDefault="007C5447">
            <w:pPr>
              <w:pStyle w:val="TableParagraph"/>
              <w:jc w:val="left"/>
            </w:pPr>
          </w:p>
        </w:tc>
        <w:tc>
          <w:tcPr>
            <w:tcW w:w="1128" w:type="dxa"/>
            <w:shd w:val="clear" w:color="auto" w:fill="BEBEBE"/>
          </w:tcPr>
          <w:p w:rsidR="007C5447" w:rsidRDefault="007C5447">
            <w:pPr>
              <w:pStyle w:val="TableParagraph"/>
              <w:jc w:val="left"/>
            </w:pPr>
          </w:p>
        </w:tc>
        <w:tc>
          <w:tcPr>
            <w:tcW w:w="2012" w:type="dxa"/>
            <w:shd w:val="clear" w:color="auto" w:fill="BEBEBE"/>
          </w:tcPr>
          <w:p w:rsidR="007C5447" w:rsidRDefault="007C5447">
            <w:pPr>
              <w:pStyle w:val="TableParagraph"/>
              <w:jc w:val="left"/>
            </w:pPr>
          </w:p>
        </w:tc>
        <w:tc>
          <w:tcPr>
            <w:tcW w:w="936" w:type="dxa"/>
            <w:shd w:val="clear" w:color="auto" w:fill="BEBEBE"/>
          </w:tcPr>
          <w:p w:rsidR="007C5447" w:rsidRDefault="007C5447">
            <w:pPr>
              <w:pStyle w:val="TableParagraph"/>
              <w:jc w:val="left"/>
            </w:pPr>
          </w:p>
        </w:tc>
      </w:tr>
      <w:tr w:rsidR="007C5447">
        <w:trPr>
          <w:trHeight w:val="328"/>
        </w:trPr>
        <w:tc>
          <w:tcPr>
            <w:tcW w:w="574" w:type="dxa"/>
          </w:tcPr>
          <w:p w:rsidR="007C5447" w:rsidRDefault="00F6308C">
            <w:pPr>
              <w:pStyle w:val="TableParagraph"/>
              <w:spacing w:before="48"/>
              <w:ind w:left="107"/>
              <w:jc w:val="left"/>
              <w:rPr>
                <w:sz w:val="20"/>
              </w:rPr>
            </w:pPr>
            <w:r>
              <w:rPr>
                <w:w w:val="99"/>
                <w:sz w:val="20"/>
              </w:rPr>
              <w:t>1</w:t>
            </w:r>
          </w:p>
        </w:tc>
        <w:tc>
          <w:tcPr>
            <w:tcW w:w="1824" w:type="dxa"/>
          </w:tcPr>
          <w:p w:rsidR="007C5447" w:rsidRDefault="00F6308C">
            <w:pPr>
              <w:pStyle w:val="TableParagraph"/>
              <w:spacing w:before="48"/>
              <w:ind w:left="107"/>
              <w:jc w:val="left"/>
              <w:rPr>
                <w:sz w:val="20"/>
              </w:rPr>
            </w:pPr>
            <w:r>
              <w:rPr>
                <w:sz w:val="20"/>
              </w:rPr>
              <w:t>Ennore TPS</w:t>
            </w:r>
          </w:p>
        </w:tc>
        <w:tc>
          <w:tcPr>
            <w:tcW w:w="1025" w:type="dxa"/>
          </w:tcPr>
          <w:p w:rsidR="007C5447" w:rsidRDefault="00F6308C">
            <w:pPr>
              <w:pStyle w:val="TableParagraph"/>
              <w:spacing w:before="48"/>
              <w:ind w:right="92"/>
              <w:rPr>
                <w:sz w:val="20"/>
              </w:rPr>
            </w:pPr>
            <w:r>
              <w:rPr>
                <w:sz w:val="20"/>
              </w:rPr>
              <w:t>15.00%</w:t>
            </w:r>
          </w:p>
        </w:tc>
        <w:tc>
          <w:tcPr>
            <w:tcW w:w="1027" w:type="dxa"/>
          </w:tcPr>
          <w:p w:rsidR="007C5447" w:rsidRDefault="007C5447">
            <w:pPr>
              <w:pStyle w:val="TableParagraph"/>
              <w:jc w:val="left"/>
            </w:pPr>
          </w:p>
        </w:tc>
        <w:tc>
          <w:tcPr>
            <w:tcW w:w="1025" w:type="dxa"/>
          </w:tcPr>
          <w:p w:rsidR="007C5447" w:rsidRDefault="007C5447">
            <w:pPr>
              <w:pStyle w:val="TableParagraph"/>
              <w:jc w:val="left"/>
            </w:pPr>
          </w:p>
        </w:tc>
        <w:tc>
          <w:tcPr>
            <w:tcW w:w="1128" w:type="dxa"/>
          </w:tcPr>
          <w:p w:rsidR="007C5447" w:rsidRDefault="00F6308C">
            <w:pPr>
              <w:pStyle w:val="TableParagraph"/>
              <w:spacing w:before="48"/>
              <w:ind w:right="94"/>
              <w:rPr>
                <w:sz w:val="20"/>
              </w:rPr>
            </w:pPr>
            <w:r>
              <w:rPr>
                <w:sz w:val="20"/>
              </w:rPr>
              <w:t>15.00%</w:t>
            </w:r>
          </w:p>
        </w:tc>
        <w:tc>
          <w:tcPr>
            <w:tcW w:w="2012" w:type="dxa"/>
          </w:tcPr>
          <w:p w:rsidR="007C5447" w:rsidRDefault="007C5447">
            <w:pPr>
              <w:pStyle w:val="TableParagraph"/>
              <w:jc w:val="left"/>
            </w:pPr>
          </w:p>
        </w:tc>
        <w:tc>
          <w:tcPr>
            <w:tcW w:w="936" w:type="dxa"/>
          </w:tcPr>
          <w:p w:rsidR="007C5447" w:rsidRDefault="007C5447">
            <w:pPr>
              <w:pStyle w:val="TableParagraph"/>
              <w:jc w:val="left"/>
            </w:pPr>
          </w:p>
        </w:tc>
      </w:tr>
      <w:tr w:rsidR="007C5447">
        <w:trPr>
          <w:trHeight w:val="489"/>
        </w:trPr>
        <w:tc>
          <w:tcPr>
            <w:tcW w:w="574" w:type="dxa"/>
          </w:tcPr>
          <w:p w:rsidR="007C5447" w:rsidRDefault="00F6308C">
            <w:pPr>
              <w:pStyle w:val="TableParagraph"/>
              <w:spacing w:before="130"/>
              <w:ind w:left="107"/>
              <w:jc w:val="left"/>
              <w:rPr>
                <w:sz w:val="20"/>
              </w:rPr>
            </w:pPr>
            <w:r>
              <w:rPr>
                <w:w w:val="99"/>
                <w:sz w:val="20"/>
              </w:rPr>
              <w:t>2</w:t>
            </w:r>
          </w:p>
        </w:tc>
        <w:tc>
          <w:tcPr>
            <w:tcW w:w="1824" w:type="dxa"/>
          </w:tcPr>
          <w:p w:rsidR="007C5447" w:rsidRDefault="00F6308C">
            <w:pPr>
              <w:pStyle w:val="TableParagraph"/>
              <w:spacing w:before="14" w:line="230" w:lineRule="atLeast"/>
              <w:ind w:left="107" w:right="121"/>
              <w:jc w:val="left"/>
              <w:rPr>
                <w:sz w:val="20"/>
              </w:rPr>
            </w:pPr>
            <w:r>
              <w:rPr>
                <w:sz w:val="20"/>
              </w:rPr>
              <w:t>Ennore Expansion II</w:t>
            </w:r>
          </w:p>
        </w:tc>
        <w:tc>
          <w:tcPr>
            <w:tcW w:w="1025" w:type="dxa"/>
          </w:tcPr>
          <w:p w:rsidR="007C5447" w:rsidRDefault="007C5447">
            <w:pPr>
              <w:pStyle w:val="TableParagraph"/>
              <w:jc w:val="left"/>
            </w:pPr>
          </w:p>
        </w:tc>
        <w:tc>
          <w:tcPr>
            <w:tcW w:w="1027" w:type="dxa"/>
          </w:tcPr>
          <w:p w:rsidR="007C5447" w:rsidRDefault="007C5447">
            <w:pPr>
              <w:pStyle w:val="TableParagraph"/>
              <w:jc w:val="left"/>
            </w:pPr>
          </w:p>
        </w:tc>
        <w:tc>
          <w:tcPr>
            <w:tcW w:w="1025" w:type="dxa"/>
          </w:tcPr>
          <w:p w:rsidR="007C5447" w:rsidRDefault="00F6308C">
            <w:pPr>
              <w:pStyle w:val="TableParagraph"/>
              <w:spacing w:before="130"/>
              <w:ind w:right="91"/>
              <w:rPr>
                <w:sz w:val="20"/>
              </w:rPr>
            </w:pPr>
            <w:r>
              <w:rPr>
                <w:sz w:val="20"/>
              </w:rPr>
              <w:t>8.50%</w:t>
            </w:r>
          </w:p>
        </w:tc>
        <w:tc>
          <w:tcPr>
            <w:tcW w:w="1128" w:type="dxa"/>
          </w:tcPr>
          <w:p w:rsidR="007C5447" w:rsidRDefault="007C5447">
            <w:pPr>
              <w:pStyle w:val="TableParagraph"/>
              <w:jc w:val="left"/>
            </w:pPr>
          </w:p>
        </w:tc>
        <w:tc>
          <w:tcPr>
            <w:tcW w:w="2012" w:type="dxa"/>
          </w:tcPr>
          <w:p w:rsidR="007C5447" w:rsidRDefault="007C5447">
            <w:pPr>
              <w:pStyle w:val="TableParagraph"/>
              <w:jc w:val="left"/>
            </w:pPr>
          </w:p>
        </w:tc>
        <w:tc>
          <w:tcPr>
            <w:tcW w:w="936" w:type="dxa"/>
          </w:tcPr>
          <w:p w:rsidR="007C5447" w:rsidRDefault="00F6308C">
            <w:pPr>
              <w:pStyle w:val="TableParagraph"/>
              <w:spacing w:before="130"/>
              <w:ind w:right="94"/>
              <w:rPr>
                <w:sz w:val="20"/>
              </w:rPr>
            </w:pPr>
            <w:r>
              <w:rPr>
                <w:sz w:val="20"/>
              </w:rPr>
              <w:t>8.50%</w:t>
            </w:r>
          </w:p>
        </w:tc>
      </w:tr>
      <w:tr w:rsidR="007C5447">
        <w:trPr>
          <w:trHeight w:val="329"/>
        </w:trPr>
        <w:tc>
          <w:tcPr>
            <w:tcW w:w="574" w:type="dxa"/>
          </w:tcPr>
          <w:p w:rsidR="007C5447" w:rsidRDefault="00F6308C">
            <w:pPr>
              <w:pStyle w:val="TableParagraph"/>
              <w:spacing w:before="51"/>
              <w:ind w:left="107"/>
              <w:jc w:val="left"/>
              <w:rPr>
                <w:sz w:val="20"/>
              </w:rPr>
            </w:pPr>
            <w:r>
              <w:rPr>
                <w:w w:val="99"/>
                <w:sz w:val="20"/>
              </w:rPr>
              <w:t>3</w:t>
            </w:r>
          </w:p>
        </w:tc>
        <w:tc>
          <w:tcPr>
            <w:tcW w:w="1824" w:type="dxa"/>
          </w:tcPr>
          <w:p w:rsidR="007C5447" w:rsidRDefault="00F6308C">
            <w:pPr>
              <w:pStyle w:val="TableParagraph"/>
              <w:spacing w:before="51"/>
              <w:ind w:left="107"/>
              <w:jc w:val="left"/>
              <w:rPr>
                <w:sz w:val="20"/>
              </w:rPr>
            </w:pPr>
            <w:r>
              <w:rPr>
                <w:sz w:val="20"/>
              </w:rPr>
              <w:t>Tuticorin TPS</w:t>
            </w:r>
          </w:p>
        </w:tc>
        <w:tc>
          <w:tcPr>
            <w:tcW w:w="1025" w:type="dxa"/>
          </w:tcPr>
          <w:p w:rsidR="007C5447" w:rsidRDefault="00F6308C">
            <w:pPr>
              <w:pStyle w:val="TableParagraph"/>
              <w:spacing w:before="51"/>
              <w:ind w:right="91"/>
              <w:rPr>
                <w:sz w:val="20"/>
              </w:rPr>
            </w:pPr>
            <w:r>
              <w:rPr>
                <w:sz w:val="20"/>
              </w:rPr>
              <w:t>8.50%</w:t>
            </w:r>
          </w:p>
        </w:tc>
        <w:tc>
          <w:tcPr>
            <w:tcW w:w="1027" w:type="dxa"/>
          </w:tcPr>
          <w:p w:rsidR="007C5447" w:rsidRDefault="00F6308C">
            <w:pPr>
              <w:pStyle w:val="TableParagraph"/>
              <w:spacing w:before="51"/>
              <w:ind w:right="94"/>
              <w:rPr>
                <w:sz w:val="20"/>
              </w:rPr>
            </w:pPr>
            <w:r>
              <w:rPr>
                <w:sz w:val="20"/>
              </w:rPr>
              <w:t>8.50%</w:t>
            </w:r>
          </w:p>
        </w:tc>
        <w:tc>
          <w:tcPr>
            <w:tcW w:w="1025" w:type="dxa"/>
          </w:tcPr>
          <w:p w:rsidR="007C5447" w:rsidRDefault="00F6308C">
            <w:pPr>
              <w:pStyle w:val="TableParagraph"/>
              <w:spacing w:before="51"/>
              <w:ind w:right="91"/>
              <w:rPr>
                <w:sz w:val="20"/>
              </w:rPr>
            </w:pPr>
            <w:r>
              <w:rPr>
                <w:sz w:val="20"/>
              </w:rPr>
              <w:t>8.50%</w:t>
            </w:r>
          </w:p>
        </w:tc>
        <w:tc>
          <w:tcPr>
            <w:tcW w:w="1128" w:type="dxa"/>
          </w:tcPr>
          <w:p w:rsidR="007C5447" w:rsidRDefault="00F6308C">
            <w:pPr>
              <w:pStyle w:val="TableParagraph"/>
              <w:spacing w:before="51"/>
              <w:ind w:right="93"/>
              <w:rPr>
                <w:sz w:val="20"/>
              </w:rPr>
            </w:pPr>
            <w:r>
              <w:rPr>
                <w:sz w:val="20"/>
              </w:rPr>
              <w:t>8.50%</w:t>
            </w:r>
          </w:p>
        </w:tc>
        <w:tc>
          <w:tcPr>
            <w:tcW w:w="2012" w:type="dxa"/>
          </w:tcPr>
          <w:p w:rsidR="007C5447" w:rsidRDefault="00F6308C">
            <w:pPr>
              <w:pStyle w:val="TableParagraph"/>
              <w:spacing w:before="51"/>
              <w:ind w:right="96"/>
              <w:rPr>
                <w:sz w:val="20"/>
              </w:rPr>
            </w:pPr>
            <w:r>
              <w:rPr>
                <w:sz w:val="20"/>
              </w:rPr>
              <w:t>8.50%</w:t>
            </w:r>
          </w:p>
        </w:tc>
        <w:tc>
          <w:tcPr>
            <w:tcW w:w="936" w:type="dxa"/>
          </w:tcPr>
          <w:p w:rsidR="007C5447" w:rsidRDefault="00F6308C">
            <w:pPr>
              <w:pStyle w:val="TableParagraph"/>
              <w:spacing w:before="51"/>
              <w:ind w:right="94"/>
              <w:rPr>
                <w:sz w:val="20"/>
              </w:rPr>
            </w:pPr>
            <w:r>
              <w:rPr>
                <w:sz w:val="20"/>
              </w:rPr>
              <w:t>8.50%</w:t>
            </w:r>
          </w:p>
        </w:tc>
      </w:tr>
      <w:tr w:rsidR="007C5447">
        <w:trPr>
          <w:trHeight w:val="328"/>
        </w:trPr>
        <w:tc>
          <w:tcPr>
            <w:tcW w:w="574" w:type="dxa"/>
          </w:tcPr>
          <w:p w:rsidR="007C5447" w:rsidRDefault="00F6308C">
            <w:pPr>
              <w:pStyle w:val="TableParagraph"/>
              <w:spacing w:before="48"/>
              <w:ind w:left="107"/>
              <w:jc w:val="left"/>
              <w:rPr>
                <w:sz w:val="20"/>
              </w:rPr>
            </w:pPr>
            <w:r>
              <w:rPr>
                <w:w w:val="99"/>
                <w:sz w:val="20"/>
              </w:rPr>
              <w:t>4</w:t>
            </w:r>
          </w:p>
        </w:tc>
        <w:tc>
          <w:tcPr>
            <w:tcW w:w="1824" w:type="dxa"/>
          </w:tcPr>
          <w:p w:rsidR="007C5447" w:rsidRDefault="00F6308C">
            <w:pPr>
              <w:pStyle w:val="TableParagraph"/>
              <w:spacing w:before="48"/>
              <w:ind w:left="107"/>
              <w:jc w:val="left"/>
              <w:rPr>
                <w:sz w:val="20"/>
              </w:rPr>
            </w:pPr>
            <w:r>
              <w:rPr>
                <w:sz w:val="20"/>
              </w:rPr>
              <w:t>Mettur TPS</w:t>
            </w:r>
          </w:p>
        </w:tc>
        <w:tc>
          <w:tcPr>
            <w:tcW w:w="1025" w:type="dxa"/>
          </w:tcPr>
          <w:p w:rsidR="007C5447" w:rsidRDefault="00F6308C">
            <w:pPr>
              <w:pStyle w:val="TableParagraph"/>
              <w:spacing w:before="48"/>
              <w:ind w:right="91"/>
              <w:rPr>
                <w:sz w:val="20"/>
              </w:rPr>
            </w:pPr>
            <w:r>
              <w:rPr>
                <w:sz w:val="20"/>
              </w:rPr>
              <w:t>8.50%</w:t>
            </w:r>
          </w:p>
        </w:tc>
        <w:tc>
          <w:tcPr>
            <w:tcW w:w="1027" w:type="dxa"/>
          </w:tcPr>
          <w:p w:rsidR="007C5447" w:rsidRDefault="00F6308C">
            <w:pPr>
              <w:pStyle w:val="TableParagraph"/>
              <w:spacing w:before="48"/>
              <w:ind w:right="94"/>
              <w:rPr>
                <w:sz w:val="20"/>
              </w:rPr>
            </w:pPr>
            <w:r>
              <w:rPr>
                <w:sz w:val="20"/>
              </w:rPr>
              <w:t>8.50%</w:t>
            </w:r>
          </w:p>
        </w:tc>
        <w:tc>
          <w:tcPr>
            <w:tcW w:w="1025" w:type="dxa"/>
          </w:tcPr>
          <w:p w:rsidR="007C5447" w:rsidRDefault="00F6308C">
            <w:pPr>
              <w:pStyle w:val="TableParagraph"/>
              <w:spacing w:before="48"/>
              <w:ind w:right="91"/>
              <w:rPr>
                <w:sz w:val="20"/>
              </w:rPr>
            </w:pPr>
            <w:r>
              <w:rPr>
                <w:sz w:val="20"/>
              </w:rPr>
              <w:t>8.50%</w:t>
            </w:r>
          </w:p>
        </w:tc>
        <w:tc>
          <w:tcPr>
            <w:tcW w:w="1128" w:type="dxa"/>
          </w:tcPr>
          <w:p w:rsidR="007C5447" w:rsidRDefault="00F6308C">
            <w:pPr>
              <w:pStyle w:val="TableParagraph"/>
              <w:spacing w:before="48"/>
              <w:ind w:right="93"/>
              <w:rPr>
                <w:sz w:val="20"/>
              </w:rPr>
            </w:pPr>
            <w:r>
              <w:rPr>
                <w:sz w:val="20"/>
              </w:rPr>
              <w:t>8.50%</w:t>
            </w:r>
          </w:p>
        </w:tc>
        <w:tc>
          <w:tcPr>
            <w:tcW w:w="2012" w:type="dxa"/>
          </w:tcPr>
          <w:p w:rsidR="007C5447" w:rsidRDefault="00F6308C">
            <w:pPr>
              <w:pStyle w:val="TableParagraph"/>
              <w:spacing w:before="48"/>
              <w:ind w:right="96"/>
              <w:rPr>
                <w:sz w:val="20"/>
              </w:rPr>
            </w:pPr>
            <w:r>
              <w:rPr>
                <w:sz w:val="20"/>
              </w:rPr>
              <w:t>8.50%</w:t>
            </w:r>
          </w:p>
        </w:tc>
        <w:tc>
          <w:tcPr>
            <w:tcW w:w="936" w:type="dxa"/>
          </w:tcPr>
          <w:p w:rsidR="007C5447" w:rsidRDefault="00F6308C">
            <w:pPr>
              <w:pStyle w:val="TableParagraph"/>
              <w:spacing w:before="48"/>
              <w:ind w:right="94"/>
              <w:rPr>
                <w:sz w:val="20"/>
              </w:rPr>
            </w:pPr>
            <w:r>
              <w:rPr>
                <w:sz w:val="20"/>
              </w:rPr>
              <w:t>8.50%</w:t>
            </w:r>
          </w:p>
        </w:tc>
      </w:tr>
      <w:tr w:rsidR="007C5447">
        <w:trPr>
          <w:trHeight w:val="489"/>
        </w:trPr>
        <w:tc>
          <w:tcPr>
            <w:tcW w:w="574" w:type="dxa"/>
          </w:tcPr>
          <w:p w:rsidR="007C5447" w:rsidRDefault="00F6308C">
            <w:pPr>
              <w:pStyle w:val="TableParagraph"/>
              <w:spacing w:before="130"/>
              <w:ind w:left="107"/>
              <w:jc w:val="left"/>
              <w:rPr>
                <w:sz w:val="20"/>
              </w:rPr>
            </w:pPr>
            <w:r>
              <w:rPr>
                <w:w w:val="99"/>
                <w:sz w:val="20"/>
              </w:rPr>
              <w:t>5</w:t>
            </w:r>
          </w:p>
        </w:tc>
        <w:tc>
          <w:tcPr>
            <w:tcW w:w="1824" w:type="dxa"/>
          </w:tcPr>
          <w:p w:rsidR="007C5447" w:rsidRDefault="00F6308C">
            <w:pPr>
              <w:pStyle w:val="TableParagraph"/>
              <w:spacing w:before="14" w:line="230" w:lineRule="atLeast"/>
              <w:ind w:left="107" w:right="398"/>
              <w:jc w:val="left"/>
              <w:rPr>
                <w:sz w:val="20"/>
              </w:rPr>
            </w:pPr>
            <w:r>
              <w:rPr>
                <w:sz w:val="20"/>
              </w:rPr>
              <w:t>Mettur Stage III TPS</w:t>
            </w:r>
          </w:p>
        </w:tc>
        <w:tc>
          <w:tcPr>
            <w:tcW w:w="1025" w:type="dxa"/>
          </w:tcPr>
          <w:p w:rsidR="007C5447" w:rsidRDefault="00F6308C">
            <w:pPr>
              <w:pStyle w:val="TableParagraph"/>
              <w:spacing w:before="130"/>
              <w:ind w:right="91"/>
              <w:rPr>
                <w:sz w:val="20"/>
              </w:rPr>
            </w:pPr>
            <w:r>
              <w:rPr>
                <w:sz w:val="20"/>
              </w:rPr>
              <w:t>8.83%</w:t>
            </w:r>
          </w:p>
        </w:tc>
        <w:tc>
          <w:tcPr>
            <w:tcW w:w="1027" w:type="dxa"/>
          </w:tcPr>
          <w:p w:rsidR="007C5447" w:rsidRDefault="00F6308C">
            <w:pPr>
              <w:pStyle w:val="TableParagraph"/>
              <w:spacing w:before="130"/>
              <w:ind w:right="94"/>
              <w:rPr>
                <w:sz w:val="20"/>
              </w:rPr>
            </w:pPr>
            <w:r>
              <w:rPr>
                <w:sz w:val="20"/>
              </w:rPr>
              <w:t>8.83%</w:t>
            </w:r>
          </w:p>
        </w:tc>
        <w:tc>
          <w:tcPr>
            <w:tcW w:w="1025" w:type="dxa"/>
          </w:tcPr>
          <w:p w:rsidR="007C5447" w:rsidRDefault="00F6308C">
            <w:pPr>
              <w:pStyle w:val="TableParagraph"/>
              <w:spacing w:before="130"/>
              <w:ind w:right="91"/>
              <w:rPr>
                <w:sz w:val="20"/>
              </w:rPr>
            </w:pPr>
            <w:r>
              <w:rPr>
                <w:sz w:val="20"/>
              </w:rPr>
              <w:t>8.83%</w:t>
            </w:r>
          </w:p>
        </w:tc>
        <w:tc>
          <w:tcPr>
            <w:tcW w:w="1128" w:type="dxa"/>
          </w:tcPr>
          <w:p w:rsidR="007C5447" w:rsidRDefault="00F6308C">
            <w:pPr>
              <w:pStyle w:val="TableParagraph"/>
              <w:spacing w:before="130"/>
              <w:ind w:right="93"/>
              <w:rPr>
                <w:sz w:val="20"/>
              </w:rPr>
            </w:pPr>
            <w:r>
              <w:rPr>
                <w:sz w:val="20"/>
              </w:rPr>
              <w:t>8.50%</w:t>
            </w:r>
          </w:p>
        </w:tc>
        <w:tc>
          <w:tcPr>
            <w:tcW w:w="2012" w:type="dxa"/>
          </w:tcPr>
          <w:p w:rsidR="007C5447" w:rsidRDefault="00F6308C">
            <w:pPr>
              <w:pStyle w:val="TableParagraph"/>
              <w:spacing w:before="130"/>
              <w:ind w:right="96"/>
              <w:rPr>
                <w:sz w:val="20"/>
              </w:rPr>
            </w:pPr>
            <w:r>
              <w:rPr>
                <w:sz w:val="20"/>
              </w:rPr>
              <w:t>8.50%</w:t>
            </w:r>
          </w:p>
        </w:tc>
        <w:tc>
          <w:tcPr>
            <w:tcW w:w="936" w:type="dxa"/>
          </w:tcPr>
          <w:p w:rsidR="007C5447" w:rsidRDefault="00F6308C">
            <w:pPr>
              <w:pStyle w:val="TableParagraph"/>
              <w:spacing w:before="130"/>
              <w:ind w:right="94"/>
              <w:rPr>
                <w:sz w:val="20"/>
              </w:rPr>
            </w:pPr>
            <w:r>
              <w:rPr>
                <w:sz w:val="20"/>
              </w:rPr>
              <w:t>8.50%</w:t>
            </w:r>
          </w:p>
        </w:tc>
      </w:tr>
      <w:tr w:rsidR="007C5447">
        <w:trPr>
          <w:trHeight w:val="328"/>
        </w:trPr>
        <w:tc>
          <w:tcPr>
            <w:tcW w:w="574" w:type="dxa"/>
          </w:tcPr>
          <w:p w:rsidR="007C5447" w:rsidRDefault="00F6308C">
            <w:pPr>
              <w:pStyle w:val="TableParagraph"/>
              <w:spacing w:before="50"/>
              <w:ind w:left="107"/>
              <w:jc w:val="left"/>
              <w:rPr>
                <w:sz w:val="20"/>
              </w:rPr>
            </w:pPr>
            <w:r>
              <w:rPr>
                <w:w w:val="99"/>
                <w:sz w:val="20"/>
              </w:rPr>
              <w:t>6</w:t>
            </w:r>
          </w:p>
        </w:tc>
        <w:tc>
          <w:tcPr>
            <w:tcW w:w="1824" w:type="dxa"/>
          </w:tcPr>
          <w:p w:rsidR="007C5447" w:rsidRDefault="00F6308C">
            <w:pPr>
              <w:pStyle w:val="TableParagraph"/>
              <w:spacing w:before="50"/>
              <w:ind w:left="107"/>
              <w:jc w:val="left"/>
              <w:rPr>
                <w:sz w:val="20"/>
              </w:rPr>
            </w:pPr>
            <w:r>
              <w:rPr>
                <w:sz w:val="20"/>
              </w:rPr>
              <w:t>North Chennai TPS</w:t>
            </w:r>
          </w:p>
        </w:tc>
        <w:tc>
          <w:tcPr>
            <w:tcW w:w="1025" w:type="dxa"/>
          </w:tcPr>
          <w:p w:rsidR="007C5447" w:rsidRDefault="00F6308C">
            <w:pPr>
              <w:pStyle w:val="TableParagraph"/>
              <w:spacing w:before="50"/>
              <w:ind w:right="91"/>
              <w:rPr>
                <w:sz w:val="20"/>
              </w:rPr>
            </w:pPr>
            <w:r>
              <w:rPr>
                <w:sz w:val="20"/>
              </w:rPr>
              <w:t>8.50%</w:t>
            </w:r>
          </w:p>
        </w:tc>
        <w:tc>
          <w:tcPr>
            <w:tcW w:w="1027" w:type="dxa"/>
          </w:tcPr>
          <w:p w:rsidR="007C5447" w:rsidRDefault="00F6308C">
            <w:pPr>
              <w:pStyle w:val="TableParagraph"/>
              <w:spacing w:before="50"/>
              <w:ind w:right="94"/>
              <w:rPr>
                <w:sz w:val="20"/>
              </w:rPr>
            </w:pPr>
            <w:r>
              <w:rPr>
                <w:sz w:val="20"/>
              </w:rPr>
              <w:t>8.50%</w:t>
            </w:r>
          </w:p>
        </w:tc>
        <w:tc>
          <w:tcPr>
            <w:tcW w:w="1025" w:type="dxa"/>
          </w:tcPr>
          <w:p w:rsidR="007C5447" w:rsidRDefault="00F6308C">
            <w:pPr>
              <w:pStyle w:val="TableParagraph"/>
              <w:spacing w:before="50"/>
              <w:ind w:right="91"/>
              <w:rPr>
                <w:sz w:val="20"/>
              </w:rPr>
            </w:pPr>
            <w:r>
              <w:rPr>
                <w:sz w:val="20"/>
              </w:rPr>
              <w:t>8.50%</w:t>
            </w:r>
          </w:p>
        </w:tc>
        <w:tc>
          <w:tcPr>
            <w:tcW w:w="1128" w:type="dxa"/>
          </w:tcPr>
          <w:p w:rsidR="007C5447" w:rsidRDefault="00F6308C">
            <w:pPr>
              <w:pStyle w:val="TableParagraph"/>
              <w:spacing w:before="50"/>
              <w:ind w:right="93"/>
              <w:rPr>
                <w:sz w:val="20"/>
              </w:rPr>
            </w:pPr>
            <w:r>
              <w:rPr>
                <w:sz w:val="20"/>
              </w:rPr>
              <w:t>8.50%</w:t>
            </w:r>
          </w:p>
        </w:tc>
        <w:tc>
          <w:tcPr>
            <w:tcW w:w="2012" w:type="dxa"/>
          </w:tcPr>
          <w:p w:rsidR="007C5447" w:rsidRDefault="00F6308C">
            <w:pPr>
              <w:pStyle w:val="TableParagraph"/>
              <w:spacing w:before="50"/>
              <w:ind w:right="96"/>
              <w:rPr>
                <w:sz w:val="20"/>
              </w:rPr>
            </w:pPr>
            <w:r>
              <w:rPr>
                <w:sz w:val="20"/>
              </w:rPr>
              <w:t>8.50%</w:t>
            </w:r>
          </w:p>
        </w:tc>
        <w:tc>
          <w:tcPr>
            <w:tcW w:w="936" w:type="dxa"/>
          </w:tcPr>
          <w:p w:rsidR="007C5447" w:rsidRDefault="00F6308C">
            <w:pPr>
              <w:pStyle w:val="TableParagraph"/>
              <w:spacing w:before="50"/>
              <w:ind w:right="94"/>
              <w:rPr>
                <w:sz w:val="20"/>
              </w:rPr>
            </w:pPr>
            <w:r>
              <w:rPr>
                <w:sz w:val="20"/>
              </w:rPr>
              <w:t>8.50%</w:t>
            </w:r>
          </w:p>
        </w:tc>
      </w:tr>
      <w:tr w:rsidR="007C5447">
        <w:trPr>
          <w:trHeight w:val="489"/>
        </w:trPr>
        <w:tc>
          <w:tcPr>
            <w:tcW w:w="574" w:type="dxa"/>
          </w:tcPr>
          <w:p w:rsidR="007C5447" w:rsidRDefault="00F6308C">
            <w:pPr>
              <w:pStyle w:val="TableParagraph"/>
              <w:spacing w:before="130"/>
              <w:ind w:left="107"/>
              <w:jc w:val="left"/>
              <w:rPr>
                <w:sz w:val="20"/>
              </w:rPr>
            </w:pPr>
            <w:r>
              <w:rPr>
                <w:w w:val="99"/>
                <w:sz w:val="20"/>
              </w:rPr>
              <w:t>7</w:t>
            </w:r>
          </w:p>
        </w:tc>
        <w:tc>
          <w:tcPr>
            <w:tcW w:w="1824" w:type="dxa"/>
          </w:tcPr>
          <w:p w:rsidR="007C5447" w:rsidRDefault="00F6308C">
            <w:pPr>
              <w:pStyle w:val="TableParagraph"/>
              <w:spacing w:before="14" w:line="230" w:lineRule="atLeast"/>
              <w:ind w:left="107" w:right="121"/>
              <w:jc w:val="left"/>
              <w:rPr>
                <w:sz w:val="20"/>
              </w:rPr>
            </w:pPr>
            <w:r>
              <w:rPr>
                <w:sz w:val="20"/>
              </w:rPr>
              <w:t>North Chennai Stage II TPS</w:t>
            </w:r>
          </w:p>
        </w:tc>
        <w:tc>
          <w:tcPr>
            <w:tcW w:w="1025" w:type="dxa"/>
          </w:tcPr>
          <w:p w:rsidR="007C5447" w:rsidRDefault="00F6308C">
            <w:pPr>
              <w:pStyle w:val="TableParagraph"/>
              <w:spacing w:before="130"/>
              <w:ind w:right="91"/>
              <w:rPr>
                <w:sz w:val="20"/>
              </w:rPr>
            </w:pPr>
            <w:r>
              <w:rPr>
                <w:sz w:val="20"/>
              </w:rPr>
              <w:t>8.50%</w:t>
            </w:r>
          </w:p>
        </w:tc>
        <w:tc>
          <w:tcPr>
            <w:tcW w:w="1027" w:type="dxa"/>
          </w:tcPr>
          <w:p w:rsidR="007C5447" w:rsidRDefault="00F6308C">
            <w:pPr>
              <w:pStyle w:val="TableParagraph"/>
              <w:spacing w:before="130"/>
              <w:ind w:right="94"/>
              <w:rPr>
                <w:sz w:val="20"/>
              </w:rPr>
            </w:pPr>
            <w:r>
              <w:rPr>
                <w:sz w:val="20"/>
              </w:rPr>
              <w:t>8.83%</w:t>
            </w:r>
          </w:p>
        </w:tc>
        <w:tc>
          <w:tcPr>
            <w:tcW w:w="1025" w:type="dxa"/>
          </w:tcPr>
          <w:p w:rsidR="007C5447" w:rsidRDefault="00F6308C">
            <w:pPr>
              <w:pStyle w:val="TableParagraph"/>
              <w:spacing w:before="130"/>
              <w:ind w:right="91"/>
              <w:rPr>
                <w:sz w:val="20"/>
              </w:rPr>
            </w:pPr>
            <w:r>
              <w:rPr>
                <w:sz w:val="20"/>
              </w:rPr>
              <w:t>8.83%</w:t>
            </w:r>
          </w:p>
        </w:tc>
        <w:tc>
          <w:tcPr>
            <w:tcW w:w="1128" w:type="dxa"/>
          </w:tcPr>
          <w:p w:rsidR="007C5447" w:rsidRDefault="00F6308C">
            <w:pPr>
              <w:pStyle w:val="TableParagraph"/>
              <w:spacing w:before="130"/>
              <w:ind w:right="93"/>
              <w:rPr>
                <w:sz w:val="20"/>
              </w:rPr>
            </w:pPr>
            <w:r>
              <w:rPr>
                <w:sz w:val="20"/>
              </w:rPr>
              <w:t>8.50%</w:t>
            </w:r>
          </w:p>
        </w:tc>
        <w:tc>
          <w:tcPr>
            <w:tcW w:w="2012" w:type="dxa"/>
          </w:tcPr>
          <w:p w:rsidR="007C5447" w:rsidRDefault="00F6308C">
            <w:pPr>
              <w:pStyle w:val="TableParagraph"/>
              <w:spacing w:before="130"/>
              <w:ind w:right="96"/>
              <w:rPr>
                <w:sz w:val="20"/>
              </w:rPr>
            </w:pPr>
            <w:r>
              <w:rPr>
                <w:sz w:val="20"/>
              </w:rPr>
              <w:t>8.50%</w:t>
            </w:r>
          </w:p>
        </w:tc>
        <w:tc>
          <w:tcPr>
            <w:tcW w:w="936" w:type="dxa"/>
          </w:tcPr>
          <w:p w:rsidR="007C5447" w:rsidRDefault="00F6308C">
            <w:pPr>
              <w:pStyle w:val="TableParagraph"/>
              <w:spacing w:before="130"/>
              <w:ind w:right="94"/>
              <w:rPr>
                <w:sz w:val="20"/>
              </w:rPr>
            </w:pPr>
            <w:r>
              <w:rPr>
                <w:sz w:val="20"/>
              </w:rPr>
              <w:t>8.50%</w:t>
            </w:r>
          </w:p>
        </w:tc>
      </w:tr>
      <w:tr w:rsidR="007C5447">
        <w:trPr>
          <w:trHeight w:val="328"/>
        </w:trPr>
        <w:tc>
          <w:tcPr>
            <w:tcW w:w="574" w:type="dxa"/>
            <w:shd w:val="clear" w:color="auto" w:fill="D0CECE"/>
          </w:tcPr>
          <w:p w:rsidR="007C5447" w:rsidRDefault="007C5447">
            <w:pPr>
              <w:pStyle w:val="TableParagraph"/>
              <w:jc w:val="left"/>
            </w:pPr>
          </w:p>
        </w:tc>
        <w:tc>
          <w:tcPr>
            <w:tcW w:w="1824" w:type="dxa"/>
            <w:shd w:val="clear" w:color="auto" w:fill="D0CECE"/>
          </w:tcPr>
          <w:p w:rsidR="007C5447" w:rsidRDefault="00F6308C">
            <w:pPr>
              <w:pStyle w:val="TableParagraph"/>
              <w:spacing w:before="50"/>
              <w:ind w:left="107"/>
              <w:jc w:val="left"/>
              <w:rPr>
                <w:b/>
                <w:sz w:val="20"/>
              </w:rPr>
            </w:pPr>
            <w:r>
              <w:rPr>
                <w:b/>
                <w:sz w:val="20"/>
              </w:rPr>
              <w:t>Gas Thermal</w:t>
            </w:r>
          </w:p>
        </w:tc>
        <w:tc>
          <w:tcPr>
            <w:tcW w:w="1025" w:type="dxa"/>
            <w:shd w:val="clear" w:color="auto" w:fill="D0CECE"/>
          </w:tcPr>
          <w:p w:rsidR="007C5447" w:rsidRDefault="007C5447">
            <w:pPr>
              <w:pStyle w:val="TableParagraph"/>
              <w:jc w:val="left"/>
            </w:pPr>
          </w:p>
        </w:tc>
        <w:tc>
          <w:tcPr>
            <w:tcW w:w="1027" w:type="dxa"/>
            <w:shd w:val="clear" w:color="auto" w:fill="D0CECE"/>
          </w:tcPr>
          <w:p w:rsidR="007C5447" w:rsidRDefault="007C5447">
            <w:pPr>
              <w:pStyle w:val="TableParagraph"/>
              <w:jc w:val="left"/>
            </w:pPr>
          </w:p>
        </w:tc>
        <w:tc>
          <w:tcPr>
            <w:tcW w:w="1025" w:type="dxa"/>
            <w:shd w:val="clear" w:color="auto" w:fill="D0CECE"/>
          </w:tcPr>
          <w:p w:rsidR="007C5447" w:rsidRDefault="007C5447">
            <w:pPr>
              <w:pStyle w:val="TableParagraph"/>
              <w:jc w:val="left"/>
            </w:pPr>
          </w:p>
        </w:tc>
        <w:tc>
          <w:tcPr>
            <w:tcW w:w="1128" w:type="dxa"/>
            <w:shd w:val="clear" w:color="auto" w:fill="D0CECE"/>
          </w:tcPr>
          <w:p w:rsidR="007C5447" w:rsidRDefault="007C5447">
            <w:pPr>
              <w:pStyle w:val="TableParagraph"/>
              <w:jc w:val="left"/>
            </w:pPr>
          </w:p>
        </w:tc>
        <w:tc>
          <w:tcPr>
            <w:tcW w:w="2012" w:type="dxa"/>
            <w:shd w:val="clear" w:color="auto" w:fill="D0CECE"/>
          </w:tcPr>
          <w:p w:rsidR="007C5447" w:rsidRDefault="007C5447">
            <w:pPr>
              <w:pStyle w:val="TableParagraph"/>
              <w:jc w:val="left"/>
            </w:pPr>
          </w:p>
        </w:tc>
        <w:tc>
          <w:tcPr>
            <w:tcW w:w="936" w:type="dxa"/>
            <w:shd w:val="clear" w:color="auto" w:fill="D0CECE"/>
          </w:tcPr>
          <w:p w:rsidR="007C5447" w:rsidRDefault="007C5447">
            <w:pPr>
              <w:pStyle w:val="TableParagraph"/>
              <w:jc w:val="left"/>
            </w:pPr>
          </w:p>
        </w:tc>
      </w:tr>
      <w:tr w:rsidR="007C5447">
        <w:trPr>
          <w:trHeight w:val="328"/>
        </w:trPr>
        <w:tc>
          <w:tcPr>
            <w:tcW w:w="574" w:type="dxa"/>
          </w:tcPr>
          <w:p w:rsidR="007C5447" w:rsidRDefault="00F6308C">
            <w:pPr>
              <w:pStyle w:val="TableParagraph"/>
              <w:spacing w:before="50"/>
              <w:ind w:left="107"/>
              <w:jc w:val="left"/>
              <w:rPr>
                <w:sz w:val="20"/>
              </w:rPr>
            </w:pPr>
            <w:r>
              <w:rPr>
                <w:w w:val="99"/>
                <w:sz w:val="20"/>
              </w:rPr>
              <w:t>1</w:t>
            </w:r>
          </w:p>
        </w:tc>
        <w:tc>
          <w:tcPr>
            <w:tcW w:w="1824" w:type="dxa"/>
          </w:tcPr>
          <w:p w:rsidR="007C5447" w:rsidRDefault="00F6308C">
            <w:pPr>
              <w:pStyle w:val="TableParagraph"/>
              <w:spacing w:before="50"/>
              <w:ind w:left="107"/>
              <w:jc w:val="left"/>
              <w:rPr>
                <w:sz w:val="20"/>
              </w:rPr>
            </w:pPr>
            <w:r>
              <w:rPr>
                <w:sz w:val="20"/>
              </w:rPr>
              <w:t>Tirumakottai GTPS</w:t>
            </w:r>
          </w:p>
        </w:tc>
        <w:tc>
          <w:tcPr>
            <w:tcW w:w="1025" w:type="dxa"/>
          </w:tcPr>
          <w:p w:rsidR="007C5447" w:rsidRDefault="00F6308C">
            <w:pPr>
              <w:pStyle w:val="TableParagraph"/>
              <w:spacing w:before="50"/>
              <w:ind w:right="91"/>
              <w:rPr>
                <w:sz w:val="20"/>
              </w:rPr>
            </w:pPr>
            <w:r>
              <w:rPr>
                <w:sz w:val="20"/>
              </w:rPr>
              <w:t>6.00%</w:t>
            </w:r>
          </w:p>
        </w:tc>
        <w:tc>
          <w:tcPr>
            <w:tcW w:w="1027" w:type="dxa"/>
          </w:tcPr>
          <w:p w:rsidR="007C5447" w:rsidRDefault="00F6308C">
            <w:pPr>
              <w:pStyle w:val="TableParagraph"/>
              <w:spacing w:before="50"/>
              <w:ind w:right="94"/>
              <w:rPr>
                <w:sz w:val="20"/>
              </w:rPr>
            </w:pPr>
            <w:r>
              <w:rPr>
                <w:sz w:val="20"/>
              </w:rPr>
              <w:t>6.00%</w:t>
            </w:r>
          </w:p>
        </w:tc>
        <w:tc>
          <w:tcPr>
            <w:tcW w:w="1025" w:type="dxa"/>
          </w:tcPr>
          <w:p w:rsidR="007C5447" w:rsidRDefault="00F6308C">
            <w:pPr>
              <w:pStyle w:val="TableParagraph"/>
              <w:spacing w:before="50"/>
              <w:ind w:right="91"/>
              <w:rPr>
                <w:sz w:val="20"/>
              </w:rPr>
            </w:pPr>
            <w:r>
              <w:rPr>
                <w:sz w:val="20"/>
              </w:rPr>
              <w:t>6.00%</w:t>
            </w:r>
          </w:p>
        </w:tc>
        <w:tc>
          <w:tcPr>
            <w:tcW w:w="1128" w:type="dxa"/>
          </w:tcPr>
          <w:p w:rsidR="007C5447" w:rsidRDefault="00F6308C">
            <w:pPr>
              <w:pStyle w:val="TableParagraph"/>
              <w:spacing w:before="50"/>
              <w:ind w:right="93"/>
              <w:rPr>
                <w:sz w:val="20"/>
              </w:rPr>
            </w:pPr>
            <w:r>
              <w:rPr>
                <w:sz w:val="20"/>
              </w:rPr>
              <w:t>6.00%</w:t>
            </w:r>
          </w:p>
        </w:tc>
        <w:tc>
          <w:tcPr>
            <w:tcW w:w="2012" w:type="dxa"/>
          </w:tcPr>
          <w:p w:rsidR="007C5447" w:rsidRDefault="00F6308C">
            <w:pPr>
              <w:pStyle w:val="TableParagraph"/>
              <w:spacing w:before="50"/>
              <w:ind w:right="96"/>
              <w:rPr>
                <w:sz w:val="20"/>
              </w:rPr>
            </w:pPr>
            <w:r>
              <w:rPr>
                <w:sz w:val="20"/>
              </w:rPr>
              <w:t>6.00%</w:t>
            </w:r>
          </w:p>
        </w:tc>
        <w:tc>
          <w:tcPr>
            <w:tcW w:w="936" w:type="dxa"/>
          </w:tcPr>
          <w:p w:rsidR="007C5447" w:rsidRDefault="00F6308C">
            <w:pPr>
              <w:pStyle w:val="TableParagraph"/>
              <w:spacing w:before="50"/>
              <w:ind w:right="94"/>
              <w:rPr>
                <w:sz w:val="20"/>
              </w:rPr>
            </w:pPr>
            <w:r>
              <w:rPr>
                <w:sz w:val="20"/>
              </w:rPr>
              <w:t>6.00%</w:t>
            </w:r>
          </w:p>
        </w:tc>
      </w:tr>
      <w:tr w:rsidR="007C5447">
        <w:trPr>
          <w:trHeight w:val="328"/>
        </w:trPr>
        <w:tc>
          <w:tcPr>
            <w:tcW w:w="574" w:type="dxa"/>
          </w:tcPr>
          <w:p w:rsidR="007C5447" w:rsidRDefault="00F6308C">
            <w:pPr>
              <w:pStyle w:val="TableParagraph"/>
              <w:spacing w:before="48"/>
              <w:ind w:left="107"/>
              <w:jc w:val="left"/>
              <w:rPr>
                <w:sz w:val="20"/>
              </w:rPr>
            </w:pPr>
            <w:r>
              <w:rPr>
                <w:w w:val="99"/>
                <w:sz w:val="20"/>
              </w:rPr>
              <w:t>2</w:t>
            </w:r>
          </w:p>
        </w:tc>
        <w:tc>
          <w:tcPr>
            <w:tcW w:w="1824" w:type="dxa"/>
          </w:tcPr>
          <w:p w:rsidR="007C5447" w:rsidRDefault="00F6308C">
            <w:pPr>
              <w:pStyle w:val="TableParagraph"/>
              <w:spacing w:before="48"/>
              <w:ind w:left="107"/>
              <w:jc w:val="left"/>
              <w:rPr>
                <w:sz w:val="20"/>
              </w:rPr>
            </w:pPr>
            <w:r>
              <w:rPr>
                <w:sz w:val="20"/>
              </w:rPr>
              <w:t>Kuttalam GTPS</w:t>
            </w:r>
          </w:p>
        </w:tc>
        <w:tc>
          <w:tcPr>
            <w:tcW w:w="1025" w:type="dxa"/>
          </w:tcPr>
          <w:p w:rsidR="007C5447" w:rsidRDefault="00F6308C">
            <w:pPr>
              <w:pStyle w:val="TableParagraph"/>
              <w:spacing w:before="48"/>
              <w:ind w:right="91"/>
              <w:rPr>
                <w:sz w:val="20"/>
              </w:rPr>
            </w:pPr>
            <w:r>
              <w:rPr>
                <w:sz w:val="20"/>
              </w:rPr>
              <w:t>6.00%</w:t>
            </w:r>
          </w:p>
        </w:tc>
        <w:tc>
          <w:tcPr>
            <w:tcW w:w="1027" w:type="dxa"/>
          </w:tcPr>
          <w:p w:rsidR="007C5447" w:rsidRDefault="00F6308C">
            <w:pPr>
              <w:pStyle w:val="TableParagraph"/>
              <w:spacing w:before="48"/>
              <w:ind w:right="94"/>
              <w:rPr>
                <w:sz w:val="20"/>
              </w:rPr>
            </w:pPr>
            <w:r>
              <w:rPr>
                <w:sz w:val="20"/>
              </w:rPr>
              <w:t>6.00%</w:t>
            </w:r>
          </w:p>
        </w:tc>
        <w:tc>
          <w:tcPr>
            <w:tcW w:w="1025" w:type="dxa"/>
          </w:tcPr>
          <w:p w:rsidR="007C5447" w:rsidRDefault="00F6308C">
            <w:pPr>
              <w:pStyle w:val="TableParagraph"/>
              <w:spacing w:before="48"/>
              <w:ind w:right="91"/>
              <w:rPr>
                <w:sz w:val="20"/>
              </w:rPr>
            </w:pPr>
            <w:r>
              <w:rPr>
                <w:sz w:val="20"/>
              </w:rPr>
              <w:t>6.00%</w:t>
            </w:r>
          </w:p>
        </w:tc>
        <w:tc>
          <w:tcPr>
            <w:tcW w:w="1128" w:type="dxa"/>
          </w:tcPr>
          <w:p w:rsidR="007C5447" w:rsidRDefault="00F6308C">
            <w:pPr>
              <w:pStyle w:val="TableParagraph"/>
              <w:spacing w:before="48"/>
              <w:ind w:right="93"/>
              <w:rPr>
                <w:sz w:val="20"/>
              </w:rPr>
            </w:pPr>
            <w:r>
              <w:rPr>
                <w:sz w:val="20"/>
              </w:rPr>
              <w:t>6.00%</w:t>
            </w:r>
          </w:p>
        </w:tc>
        <w:tc>
          <w:tcPr>
            <w:tcW w:w="2012" w:type="dxa"/>
          </w:tcPr>
          <w:p w:rsidR="007C5447" w:rsidRDefault="00F6308C">
            <w:pPr>
              <w:pStyle w:val="TableParagraph"/>
              <w:spacing w:before="48"/>
              <w:ind w:right="96"/>
              <w:rPr>
                <w:sz w:val="20"/>
              </w:rPr>
            </w:pPr>
            <w:r>
              <w:rPr>
                <w:sz w:val="20"/>
              </w:rPr>
              <w:t>6.00%</w:t>
            </w:r>
          </w:p>
        </w:tc>
        <w:tc>
          <w:tcPr>
            <w:tcW w:w="936" w:type="dxa"/>
          </w:tcPr>
          <w:p w:rsidR="007C5447" w:rsidRDefault="00F6308C">
            <w:pPr>
              <w:pStyle w:val="TableParagraph"/>
              <w:spacing w:before="48"/>
              <w:ind w:right="94"/>
              <w:rPr>
                <w:sz w:val="20"/>
              </w:rPr>
            </w:pPr>
            <w:r>
              <w:rPr>
                <w:sz w:val="20"/>
              </w:rPr>
              <w:t>6.00%</w:t>
            </w:r>
          </w:p>
        </w:tc>
      </w:tr>
      <w:tr w:rsidR="007C5447">
        <w:trPr>
          <w:trHeight w:val="328"/>
        </w:trPr>
        <w:tc>
          <w:tcPr>
            <w:tcW w:w="574" w:type="dxa"/>
          </w:tcPr>
          <w:p w:rsidR="007C5447" w:rsidRDefault="00F6308C">
            <w:pPr>
              <w:pStyle w:val="TableParagraph"/>
              <w:spacing w:before="48"/>
              <w:ind w:left="107"/>
              <w:jc w:val="left"/>
              <w:rPr>
                <w:sz w:val="20"/>
              </w:rPr>
            </w:pPr>
            <w:r>
              <w:rPr>
                <w:w w:val="99"/>
                <w:sz w:val="20"/>
              </w:rPr>
              <w:t>3</w:t>
            </w:r>
          </w:p>
        </w:tc>
        <w:tc>
          <w:tcPr>
            <w:tcW w:w="1824" w:type="dxa"/>
          </w:tcPr>
          <w:p w:rsidR="007C5447" w:rsidRDefault="00F6308C">
            <w:pPr>
              <w:pStyle w:val="TableParagraph"/>
              <w:spacing w:before="48"/>
              <w:ind w:left="107"/>
              <w:jc w:val="left"/>
              <w:rPr>
                <w:sz w:val="20"/>
              </w:rPr>
            </w:pPr>
            <w:r>
              <w:rPr>
                <w:sz w:val="20"/>
              </w:rPr>
              <w:t>Basin Bridge GTPS</w:t>
            </w:r>
          </w:p>
        </w:tc>
        <w:tc>
          <w:tcPr>
            <w:tcW w:w="1025" w:type="dxa"/>
          </w:tcPr>
          <w:p w:rsidR="007C5447" w:rsidRDefault="00F6308C">
            <w:pPr>
              <w:pStyle w:val="TableParagraph"/>
              <w:spacing w:before="48"/>
              <w:ind w:right="91"/>
              <w:rPr>
                <w:sz w:val="20"/>
              </w:rPr>
            </w:pPr>
            <w:r>
              <w:rPr>
                <w:sz w:val="20"/>
              </w:rPr>
              <w:t>0.99%</w:t>
            </w:r>
          </w:p>
        </w:tc>
        <w:tc>
          <w:tcPr>
            <w:tcW w:w="1027" w:type="dxa"/>
          </w:tcPr>
          <w:p w:rsidR="007C5447" w:rsidRDefault="00F6308C">
            <w:pPr>
              <w:pStyle w:val="TableParagraph"/>
              <w:spacing w:before="48"/>
              <w:ind w:right="94"/>
              <w:rPr>
                <w:sz w:val="20"/>
              </w:rPr>
            </w:pPr>
            <w:r>
              <w:rPr>
                <w:sz w:val="20"/>
              </w:rPr>
              <w:t>0.99%</w:t>
            </w:r>
          </w:p>
        </w:tc>
        <w:tc>
          <w:tcPr>
            <w:tcW w:w="1025" w:type="dxa"/>
          </w:tcPr>
          <w:p w:rsidR="007C5447" w:rsidRDefault="00F6308C">
            <w:pPr>
              <w:pStyle w:val="TableParagraph"/>
              <w:spacing w:before="48"/>
              <w:ind w:right="91"/>
              <w:rPr>
                <w:sz w:val="20"/>
              </w:rPr>
            </w:pPr>
            <w:r>
              <w:rPr>
                <w:sz w:val="20"/>
              </w:rPr>
              <w:t>0.99%</w:t>
            </w:r>
          </w:p>
        </w:tc>
        <w:tc>
          <w:tcPr>
            <w:tcW w:w="1128" w:type="dxa"/>
          </w:tcPr>
          <w:p w:rsidR="007C5447" w:rsidRDefault="00F6308C">
            <w:pPr>
              <w:pStyle w:val="TableParagraph"/>
              <w:spacing w:before="48"/>
              <w:ind w:right="93"/>
              <w:rPr>
                <w:sz w:val="20"/>
              </w:rPr>
            </w:pPr>
            <w:r>
              <w:rPr>
                <w:sz w:val="20"/>
              </w:rPr>
              <w:t>0.99%</w:t>
            </w:r>
          </w:p>
        </w:tc>
        <w:tc>
          <w:tcPr>
            <w:tcW w:w="2012" w:type="dxa"/>
          </w:tcPr>
          <w:p w:rsidR="007C5447" w:rsidRDefault="00F6308C">
            <w:pPr>
              <w:pStyle w:val="TableParagraph"/>
              <w:spacing w:before="48"/>
              <w:ind w:right="96"/>
              <w:rPr>
                <w:sz w:val="20"/>
              </w:rPr>
            </w:pPr>
            <w:r>
              <w:rPr>
                <w:sz w:val="20"/>
              </w:rPr>
              <w:t>0.99%</w:t>
            </w:r>
          </w:p>
        </w:tc>
        <w:tc>
          <w:tcPr>
            <w:tcW w:w="936" w:type="dxa"/>
          </w:tcPr>
          <w:p w:rsidR="007C5447" w:rsidRDefault="00F6308C">
            <w:pPr>
              <w:pStyle w:val="TableParagraph"/>
              <w:spacing w:before="48"/>
              <w:ind w:right="94"/>
              <w:rPr>
                <w:sz w:val="20"/>
              </w:rPr>
            </w:pPr>
            <w:r>
              <w:rPr>
                <w:sz w:val="20"/>
              </w:rPr>
              <w:t>0.99%</w:t>
            </w:r>
          </w:p>
        </w:tc>
      </w:tr>
      <w:tr w:rsidR="007C5447">
        <w:trPr>
          <w:trHeight w:val="489"/>
        </w:trPr>
        <w:tc>
          <w:tcPr>
            <w:tcW w:w="574" w:type="dxa"/>
          </w:tcPr>
          <w:p w:rsidR="007C5447" w:rsidRDefault="00F6308C">
            <w:pPr>
              <w:pStyle w:val="TableParagraph"/>
              <w:spacing w:before="130"/>
              <w:ind w:left="107"/>
              <w:jc w:val="left"/>
              <w:rPr>
                <w:sz w:val="20"/>
              </w:rPr>
            </w:pPr>
            <w:r>
              <w:rPr>
                <w:w w:val="99"/>
                <w:sz w:val="20"/>
              </w:rPr>
              <w:t>4</w:t>
            </w:r>
          </w:p>
        </w:tc>
        <w:tc>
          <w:tcPr>
            <w:tcW w:w="1824" w:type="dxa"/>
          </w:tcPr>
          <w:p w:rsidR="007C5447" w:rsidRDefault="00F6308C">
            <w:pPr>
              <w:pStyle w:val="TableParagraph"/>
              <w:spacing w:before="14" w:line="230" w:lineRule="atLeast"/>
              <w:ind w:left="107" w:right="448"/>
              <w:jc w:val="left"/>
              <w:rPr>
                <w:sz w:val="20"/>
              </w:rPr>
            </w:pPr>
            <w:r>
              <w:rPr>
                <w:sz w:val="20"/>
              </w:rPr>
              <w:t>Valathur GTPS Unit</w:t>
            </w:r>
          </w:p>
        </w:tc>
        <w:tc>
          <w:tcPr>
            <w:tcW w:w="1025" w:type="dxa"/>
          </w:tcPr>
          <w:p w:rsidR="007C5447" w:rsidRDefault="00F6308C">
            <w:pPr>
              <w:pStyle w:val="TableParagraph"/>
              <w:spacing w:before="130"/>
              <w:ind w:right="91"/>
              <w:rPr>
                <w:sz w:val="20"/>
              </w:rPr>
            </w:pPr>
            <w:r>
              <w:rPr>
                <w:sz w:val="20"/>
              </w:rPr>
              <w:t>6.00%</w:t>
            </w:r>
          </w:p>
        </w:tc>
        <w:tc>
          <w:tcPr>
            <w:tcW w:w="1027" w:type="dxa"/>
          </w:tcPr>
          <w:p w:rsidR="007C5447" w:rsidRDefault="00F6308C">
            <w:pPr>
              <w:pStyle w:val="TableParagraph"/>
              <w:spacing w:before="130"/>
              <w:ind w:right="94"/>
              <w:rPr>
                <w:sz w:val="20"/>
              </w:rPr>
            </w:pPr>
            <w:r>
              <w:rPr>
                <w:sz w:val="20"/>
              </w:rPr>
              <w:t>6.00%</w:t>
            </w:r>
          </w:p>
        </w:tc>
        <w:tc>
          <w:tcPr>
            <w:tcW w:w="1025" w:type="dxa"/>
          </w:tcPr>
          <w:p w:rsidR="007C5447" w:rsidRDefault="00F6308C">
            <w:pPr>
              <w:pStyle w:val="TableParagraph"/>
              <w:spacing w:before="130"/>
              <w:ind w:right="91"/>
              <w:rPr>
                <w:sz w:val="20"/>
              </w:rPr>
            </w:pPr>
            <w:r>
              <w:rPr>
                <w:sz w:val="20"/>
              </w:rPr>
              <w:t>6.00%</w:t>
            </w:r>
          </w:p>
        </w:tc>
        <w:tc>
          <w:tcPr>
            <w:tcW w:w="1128" w:type="dxa"/>
          </w:tcPr>
          <w:p w:rsidR="007C5447" w:rsidRDefault="00F6308C">
            <w:pPr>
              <w:pStyle w:val="TableParagraph"/>
              <w:spacing w:before="130"/>
              <w:ind w:right="93"/>
              <w:rPr>
                <w:sz w:val="20"/>
              </w:rPr>
            </w:pPr>
            <w:r>
              <w:rPr>
                <w:sz w:val="20"/>
              </w:rPr>
              <w:t>6.00%</w:t>
            </w:r>
          </w:p>
        </w:tc>
        <w:tc>
          <w:tcPr>
            <w:tcW w:w="2012" w:type="dxa"/>
          </w:tcPr>
          <w:p w:rsidR="007C5447" w:rsidRDefault="00F6308C">
            <w:pPr>
              <w:pStyle w:val="TableParagraph"/>
              <w:spacing w:before="130"/>
              <w:ind w:right="96"/>
              <w:rPr>
                <w:sz w:val="20"/>
              </w:rPr>
            </w:pPr>
            <w:r>
              <w:rPr>
                <w:sz w:val="20"/>
              </w:rPr>
              <w:t>6.00%</w:t>
            </w:r>
          </w:p>
        </w:tc>
        <w:tc>
          <w:tcPr>
            <w:tcW w:w="936" w:type="dxa"/>
          </w:tcPr>
          <w:p w:rsidR="007C5447" w:rsidRDefault="00F6308C">
            <w:pPr>
              <w:pStyle w:val="TableParagraph"/>
              <w:spacing w:before="130"/>
              <w:ind w:right="94"/>
              <w:rPr>
                <w:sz w:val="20"/>
              </w:rPr>
            </w:pPr>
            <w:r>
              <w:rPr>
                <w:sz w:val="20"/>
              </w:rPr>
              <w:t>6.00%</w:t>
            </w:r>
          </w:p>
        </w:tc>
      </w:tr>
    </w:tbl>
    <w:p w:rsidR="007C5447" w:rsidRDefault="007C5447">
      <w:pPr>
        <w:pStyle w:val="BodyText"/>
        <w:rPr>
          <w:b/>
        </w:rPr>
      </w:pPr>
    </w:p>
    <w:p w:rsidR="007C5447" w:rsidRDefault="007C5447">
      <w:pPr>
        <w:pStyle w:val="BodyText"/>
        <w:rPr>
          <w:b/>
        </w:rPr>
      </w:pPr>
    </w:p>
    <w:p w:rsidR="007C5447" w:rsidRDefault="00F6308C">
      <w:pPr>
        <w:pStyle w:val="Heading2"/>
        <w:numPr>
          <w:ilvl w:val="2"/>
          <w:numId w:val="114"/>
        </w:numPr>
        <w:tabs>
          <w:tab w:val="left" w:pos="1952"/>
          <w:tab w:val="left" w:pos="1953"/>
        </w:tabs>
        <w:spacing w:before="167"/>
        <w:ind w:left="1952" w:hanging="853"/>
      </w:pPr>
      <w:r>
        <w:t>Station Heat Rate</w:t>
      </w:r>
      <w:r>
        <w:rPr>
          <w:spacing w:val="-3"/>
        </w:rPr>
        <w:t xml:space="preserve"> </w:t>
      </w:r>
      <w:r>
        <w:t>(SHR)</w:t>
      </w:r>
    </w:p>
    <w:p w:rsidR="007C5447" w:rsidRDefault="007C5447">
      <w:pPr>
        <w:pStyle w:val="BodyText"/>
        <w:spacing w:before="11"/>
        <w:rPr>
          <w:b/>
          <w:sz w:val="27"/>
        </w:rPr>
      </w:pPr>
    </w:p>
    <w:p w:rsidR="007C5447" w:rsidRDefault="00F6308C">
      <w:pPr>
        <w:pStyle w:val="ListParagraph"/>
        <w:numPr>
          <w:ilvl w:val="3"/>
          <w:numId w:val="57"/>
        </w:numPr>
        <w:tabs>
          <w:tab w:val="left" w:pos="2066"/>
        </w:tabs>
        <w:spacing w:line="312" w:lineRule="auto"/>
        <w:ind w:right="1179"/>
        <w:jc w:val="both"/>
        <w:rPr>
          <w:sz w:val="24"/>
        </w:rPr>
      </w:pPr>
      <w:r>
        <w:rPr>
          <w:sz w:val="24"/>
        </w:rPr>
        <w:t>TANGEDCO submitted that at ETPS, due to prolonged service of the Units of lower capacity and partial load operations, the performance has deteriorated, resulting in increased</w:t>
      </w:r>
      <w:r>
        <w:rPr>
          <w:spacing w:val="-3"/>
          <w:sz w:val="24"/>
        </w:rPr>
        <w:t xml:space="preserve"> </w:t>
      </w:r>
      <w:r>
        <w:rPr>
          <w:sz w:val="24"/>
        </w:rPr>
        <w:t>SHR.</w:t>
      </w:r>
    </w:p>
    <w:p w:rsidR="007C5447" w:rsidRDefault="007C5447">
      <w:pPr>
        <w:pStyle w:val="BodyText"/>
        <w:rPr>
          <w:sz w:val="21"/>
        </w:rPr>
      </w:pPr>
    </w:p>
    <w:p w:rsidR="007C5447" w:rsidRDefault="00F6308C">
      <w:pPr>
        <w:pStyle w:val="ListParagraph"/>
        <w:numPr>
          <w:ilvl w:val="3"/>
          <w:numId w:val="57"/>
        </w:numPr>
        <w:tabs>
          <w:tab w:val="left" w:pos="2066"/>
        </w:tabs>
        <w:spacing w:line="312" w:lineRule="auto"/>
        <w:ind w:right="1175"/>
        <w:jc w:val="both"/>
        <w:rPr>
          <w:sz w:val="24"/>
        </w:rPr>
      </w:pPr>
      <w:r>
        <w:rPr>
          <w:sz w:val="24"/>
        </w:rPr>
        <w:t xml:space="preserve">As discussed in Chapter 3 of this Order, TANGEDCO </w:t>
      </w:r>
      <w:r>
        <w:rPr>
          <w:sz w:val="24"/>
        </w:rPr>
        <w:t>has submitted SHR for North Chennai Stage II TPS as 1984 kcal/kWh which is incorrect as coal thermal power stations cannot have such low SHR based on present technology. Regulation 37(iii) of the Tariff Regulations specifies the norms for SHR. For Ennore T</w:t>
      </w:r>
      <w:r>
        <w:rPr>
          <w:sz w:val="24"/>
        </w:rPr>
        <w:t>PS and Basin Bridge GTPS, the SHR for FY 2016-17 has been considered at the same level as approved in the true-up for FY 2015-16. For other Stations, the Commission has approved SHR for TANGEDCO’s generating stations in accordance with the Tariff Regulatio</w:t>
      </w:r>
      <w:r>
        <w:rPr>
          <w:sz w:val="24"/>
        </w:rPr>
        <w:t>ns, as shown in the Table</w:t>
      </w:r>
      <w:r>
        <w:rPr>
          <w:spacing w:val="-7"/>
          <w:sz w:val="24"/>
        </w:rPr>
        <w:t xml:space="preserve"> </w:t>
      </w:r>
      <w:r>
        <w:rPr>
          <w:sz w:val="24"/>
        </w:rPr>
        <w:t>below:</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F6308C">
      <w:pPr>
        <w:spacing w:before="62" w:line="312" w:lineRule="auto"/>
        <w:ind w:left="5245" w:right="1426" w:hanging="3899"/>
        <w:rPr>
          <w:b/>
        </w:rPr>
      </w:pPr>
      <w:r>
        <w:rPr>
          <w:b/>
        </w:rPr>
        <w:lastRenderedPageBreak/>
        <w:t>Table 4-37: Approved SHR (kcal/kWh) for Own Generating Stations for FY 2016-17 to FY 2018-19</w:t>
      </w:r>
    </w:p>
    <w:p w:rsidR="007C5447" w:rsidRDefault="007C5447">
      <w:pPr>
        <w:pStyle w:val="BodyText"/>
        <w:spacing w:before="4" w:after="1"/>
        <w:rPr>
          <w:b/>
          <w:sz w:val="10"/>
        </w:r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
        <w:gridCol w:w="1897"/>
        <w:gridCol w:w="1136"/>
        <w:gridCol w:w="1134"/>
        <w:gridCol w:w="1137"/>
        <w:gridCol w:w="1134"/>
        <w:gridCol w:w="1137"/>
        <w:gridCol w:w="1134"/>
      </w:tblGrid>
      <w:tr w:rsidR="007C5447">
        <w:trPr>
          <w:trHeight w:val="328"/>
        </w:trPr>
        <w:tc>
          <w:tcPr>
            <w:tcW w:w="622" w:type="dxa"/>
            <w:vMerge w:val="restart"/>
            <w:shd w:val="clear" w:color="auto" w:fill="F7C9AC"/>
          </w:tcPr>
          <w:p w:rsidR="007C5447" w:rsidRDefault="007C5447">
            <w:pPr>
              <w:pStyle w:val="TableParagraph"/>
              <w:spacing w:before="1"/>
              <w:jc w:val="left"/>
              <w:rPr>
                <w:b/>
                <w:sz w:val="26"/>
              </w:rPr>
            </w:pPr>
          </w:p>
          <w:p w:rsidR="007C5447" w:rsidRDefault="00F6308C">
            <w:pPr>
              <w:pStyle w:val="TableParagraph"/>
              <w:ind w:left="107"/>
              <w:jc w:val="left"/>
              <w:rPr>
                <w:b/>
                <w:sz w:val="20"/>
              </w:rPr>
            </w:pPr>
            <w:r>
              <w:rPr>
                <w:b/>
                <w:sz w:val="20"/>
              </w:rPr>
              <w:t>Sl.</w:t>
            </w:r>
          </w:p>
        </w:tc>
        <w:tc>
          <w:tcPr>
            <w:tcW w:w="1897" w:type="dxa"/>
            <w:vMerge w:val="restart"/>
            <w:shd w:val="clear" w:color="auto" w:fill="F7C9AC"/>
          </w:tcPr>
          <w:p w:rsidR="007C5447" w:rsidRDefault="007C5447">
            <w:pPr>
              <w:pStyle w:val="TableParagraph"/>
              <w:spacing w:before="1"/>
              <w:jc w:val="left"/>
              <w:rPr>
                <w:b/>
                <w:sz w:val="26"/>
              </w:rPr>
            </w:pPr>
          </w:p>
          <w:p w:rsidR="007C5447" w:rsidRDefault="00F6308C">
            <w:pPr>
              <w:pStyle w:val="TableParagraph"/>
              <w:ind w:left="107"/>
              <w:jc w:val="left"/>
              <w:rPr>
                <w:b/>
                <w:sz w:val="20"/>
              </w:rPr>
            </w:pPr>
            <w:r>
              <w:rPr>
                <w:b/>
                <w:sz w:val="20"/>
              </w:rPr>
              <w:t>Station</w:t>
            </w:r>
          </w:p>
        </w:tc>
        <w:tc>
          <w:tcPr>
            <w:tcW w:w="3407" w:type="dxa"/>
            <w:gridSpan w:val="3"/>
            <w:shd w:val="clear" w:color="auto" w:fill="F7C9AC"/>
          </w:tcPr>
          <w:p w:rsidR="007C5447" w:rsidRDefault="00F6308C">
            <w:pPr>
              <w:pStyle w:val="TableParagraph"/>
              <w:spacing w:before="48"/>
              <w:ind w:left="1122"/>
              <w:jc w:val="left"/>
              <w:rPr>
                <w:b/>
                <w:sz w:val="20"/>
              </w:rPr>
            </w:pPr>
            <w:r>
              <w:rPr>
                <w:b/>
                <w:sz w:val="20"/>
              </w:rPr>
              <w:t>TANGEDCO</w:t>
            </w:r>
          </w:p>
        </w:tc>
        <w:tc>
          <w:tcPr>
            <w:tcW w:w="3405" w:type="dxa"/>
            <w:gridSpan w:val="3"/>
            <w:shd w:val="clear" w:color="auto" w:fill="F7C9AC"/>
          </w:tcPr>
          <w:p w:rsidR="007C5447" w:rsidRDefault="00F6308C">
            <w:pPr>
              <w:pStyle w:val="TableParagraph"/>
              <w:spacing w:before="48"/>
              <w:ind w:left="1149" w:right="1150"/>
              <w:jc w:val="center"/>
              <w:rPr>
                <w:b/>
                <w:sz w:val="20"/>
              </w:rPr>
            </w:pPr>
            <w:r>
              <w:rPr>
                <w:b/>
                <w:sz w:val="20"/>
              </w:rPr>
              <w:t>Commission</w:t>
            </w:r>
          </w:p>
        </w:tc>
      </w:tr>
      <w:tr w:rsidR="007C5447">
        <w:trPr>
          <w:trHeight w:val="489"/>
        </w:trPr>
        <w:tc>
          <w:tcPr>
            <w:tcW w:w="622" w:type="dxa"/>
            <w:vMerge/>
            <w:tcBorders>
              <w:top w:val="nil"/>
            </w:tcBorders>
            <w:shd w:val="clear" w:color="auto" w:fill="F7C9AC"/>
          </w:tcPr>
          <w:p w:rsidR="007C5447" w:rsidRDefault="007C5447">
            <w:pPr>
              <w:rPr>
                <w:sz w:val="2"/>
                <w:szCs w:val="2"/>
              </w:rPr>
            </w:pPr>
          </w:p>
        </w:tc>
        <w:tc>
          <w:tcPr>
            <w:tcW w:w="1897" w:type="dxa"/>
            <w:vMerge/>
            <w:tcBorders>
              <w:top w:val="nil"/>
            </w:tcBorders>
            <w:shd w:val="clear" w:color="auto" w:fill="F7C9AC"/>
          </w:tcPr>
          <w:p w:rsidR="007C5447" w:rsidRDefault="007C5447">
            <w:pPr>
              <w:rPr>
                <w:sz w:val="2"/>
                <w:szCs w:val="2"/>
              </w:rPr>
            </w:pPr>
          </w:p>
        </w:tc>
        <w:tc>
          <w:tcPr>
            <w:tcW w:w="1136" w:type="dxa"/>
            <w:shd w:val="clear" w:color="auto" w:fill="F7C9AC"/>
          </w:tcPr>
          <w:p w:rsidR="007C5447" w:rsidRDefault="00F6308C">
            <w:pPr>
              <w:pStyle w:val="TableParagraph"/>
              <w:spacing w:before="14"/>
              <w:ind w:left="152" w:right="146"/>
              <w:jc w:val="center"/>
              <w:rPr>
                <w:b/>
                <w:sz w:val="20"/>
              </w:rPr>
            </w:pPr>
            <w:r>
              <w:rPr>
                <w:b/>
                <w:sz w:val="20"/>
              </w:rPr>
              <w:t>FY 2016-</w:t>
            </w:r>
          </w:p>
          <w:p w:rsidR="007C5447" w:rsidRDefault="00F6308C">
            <w:pPr>
              <w:pStyle w:val="TableParagraph"/>
              <w:spacing w:before="1" w:line="224" w:lineRule="exact"/>
              <w:ind w:left="150" w:right="146"/>
              <w:jc w:val="center"/>
              <w:rPr>
                <w:b/>
                <w:sz w:val="20"/>
              </w:rPr>
            </w:pPr>
            <w:r>
              <w:rPr>
                <w:b/>
                <w:sz w:val="20"/>
              </w:rPr>
              <w:t>17</w:t>
            </w:r>
          </w:p>
        </w:tc>
        <w:tc>
          <w:tcPr>
            <w:tcW w:w="1134" w:type="dxa"/>
            <w:shd w:val="clear" w:color="auto" w:fill="F7C9AC"/>
          </w:tcPr>
          <w:p w:rsidR="007C5447" w:rsidRDefault="00F6308C">
            <w:pPr>
              <w:pStyle w:val="TableParagraph"/>
              <w:spacing w:before="14"/>
              <w:ind w:left="142" w:right="136"/>
              <w:jc w:val="center"/>
              <w:rPr>
                <w:b/>
                <w:sz w:val="20"/>
              </w:rPr>
            </w:pPr>
            <w:r>
              <w:rPr>
                <w:b/>
                <w:sz w:val="20"/>
              </w:rPr>
              <w:t>FY 2017-</w:t>
            </w:r>
          </w:p>
          <w:p w:rsidR="007C5447" w:rsidRDefault="00F6308C">
            <w:pPr>
              <w:pStyle w:val="TableParagraph"/>
              <w:spacing w:before="1" w:line="224" w:lineRule="exact"/>
              <w:ind w:left="141" w:right="136"/>
              <w:jc w:val="center"/>
              <w:rPr>
                <w:b/>
                <w:sz w:val="20"/>
              </w:rPr>
            </w:pPr>
            <w:r>
              <w:rPr>
                <w:b/>
                <w:sz w:val="20"/>
              </w:rPr>
              <w:t>18</w:t>
            </w:r>
          </w:p>
        </w:tc>
        <w:tc>
          <w:tcPr>
            <w:tcW w:w="1137" w:type="dxa"/>
            <w:shd w:val="clear" w:color="auto" w:fill="F7C9AC"/>
          </w:tcPr>
          <w:p w:rsidR="007C5447" w:rsidRDefault="00F6308C">
            <w:pPr>
              <w:pStyle w:val="TableParagraph"/>
              <w:spacing w:before="14"/>
              <w:ind w:left="151" w:right="150"/>
              <w:jc w:val="center"/>
              <w:rPr>
                <w:b/>
                <w:sz w:val="20"/>
              </w:rPr>
            </w:pPr>
            <w:r>
              <w:rPr>
                <w:b/>
                <w:sz w:val="20"/>
              </w:rPr>
              <w:t>FY 2018-</w:t>
            </w:r>
          </w:p>
          <w:p w:rsidR="007C5447" w:rsidRDefault="00F6308C">
            <w:pPr>
              <w:pStyle w:val="TableParagraph"/>
              <w:spacing w:before="1" w:line="224" w:lineRule="exact"/>
              <w:ind w:left="151" w:right="151"/>
              <w:jc w:val="center"/>
              <w:rPr>
                <w:b/>
                <w:sz w:val="20"/>
              </w:rPr>
            </w:pPr>
            <w:r>
              <w:rPr>
                <w:b/>
                <w:sz w:val="20"/>
              </w:rPr>
              <w:t>19</w:t>
            </w:r>
          </w:p>
        </w:tc>
        <w:tc>
          <w:tcPr>
            <w:tcW w:w="1134" w:type="dxa"/>
            <w:shd w:val="clear" w:color="auto" w:fill="F7C9AC"/>
          </w:tcPr>
          <w:p w:rsidR="007C5447" w:rsidRDefault="00F6308C">
            <w:pPr>
              <w:pStyle w:val="TableParagraph"/>
              <w:spacing w:before="14"/>
              <w:ind w:left="137" w:right="136"/>
              <w:jc w:val="center"/>
              <w:rPr>
                <w:b/>
                <w:sz w:val="20"/>
              </w:rPr>
            </w:pPr>
            <w:r>
              <w:rPr>
                <w:b/>
                <w:sz w:val="20"/>
              </w:rPr>
              <w:t>FY 2016-</w:t>
            </w:r>
          </w:p>
          <w:p w:rsidR="007C5447" w:rsidRDefault="00F6308C">
            <w:pPr>
              <w:pStyle w:val="TableParagraph"/>
              <w:spacing w:before="1" w:line="224" w:lineRule="exact"/>
              <w:ind w:left="136" w:right="136"/>
              <w:jc w:val="center"/>
              <w:rPr>
                <w:b/>
                <w:sz w:val="20"/>
              </w:rPr>
            </w:pPr>
            <w:r>
              <w:rPr>
                <w:b/>
                <w:sz w:val="20"/>
              </w:rPr>
              <w:t>17</w:t>
            </w:r>
          </w:p>
        </w:tc>
        <w:tc>
          <w:tcPr>
            <w:tcW w:w="1137" w:type="dxa"/>
            <w:shd w:val="clear" w:color="auto" w:fill="F7C9AC"/>
          </w:tcPr>
          <w:p w:rsidR="007C5447" w:rsidRDefault="00F6308C">
            <w:pPr>
              <w:pStyle w:val="TableParagraph"/>
              <w:spacing w:before="14"/>
              <w:ind w:left="150" w:right="151"/>
              <w:jc w:val="center"/>
              <w:rPr>
                <w:b/>
                <w:sz w:val="20"/>
              </w:rPr>
            </w:pPr>
            <w:r>
              <w:rPr>
                <w:b/>
                <w:sz w:val="20"/>
              </w:rPr>
              <w:t>FY 2017-</w:t>
            </w:r>
          </w:p>
          <w:p w:rsidR="007C5447" w:rsidRDefault="00F6308C">
            <w:pPr>
              <w:pStyle w:val="TableParagraph"/>
              <w:spacing w:before="1" w:line="224" w:lineRule="exact"/>
              <w:ind w:left="149" w:right="151"/>
              <w:jc w:val="center"/>
              <w:rPr>
                <w:b/>
                <w:sz w:val="20"/>
              </w:rPr>
            </w:pPr>
            <w:r>
              <w:rPr>
                <w:b/>
                <w:sz w:val="20"/>
              </w:rPr>
              <w:t>18</w:t>
            </w:r>
          </w:p>
        </w:tc>
        <w:tc>
          <w:tcPr>
            <w:tcW w:w="1134" w:type="dxa"/>
            <w:shd w:val="clear" w:color="auto" w:fill="F7C9AC"/>
          </w:tcPr>
          <w:p w:rsidR="007C5447" w:rsidRDefault="00F6308C">
            <w:pPr>
              <w:pStyle w:val="TableParagraph"/>
              <w:spacing w:before="14"/>
              <w:ind w:left="135" w:right="136"/>
              <w:jc w:val="center"/>
              <w:rPr>
                <w:b/>
                <w:sz w:val="20"/>
              </w:rPr>
            </w:pPr>
            <w:r>
              <w:rPr>
                <w:b/>
                <w:sz w:val="20"/>
              </w:rPr>
              <w:t>FY 2018-</w:t>
            </w:r>
          </w:p>
          <w:p w:rsidR="007C5447" w:rsidRDefault="00F6308C">
            <w:pPr>
              <w:pStyle w:val="TableParagraph"/>
              <w:spacing w:before="1" w:line="224" w:lineRule="exact"/>
              <w:ind w:left="134" w:right="136"/>
              <w:jc w:val="center"/>
              <w:rPr>
                <w:b/>
                <w:sz w:val="20"/>
              </w:rPr>
            </w:pPr>
            <w:r>
              <w:rPr>
                <w:b/>
                <w:sz w:val="20"/>
              </w:rPr>
              <w:t>19</w:t>
            </w:r>
          </w:p>
        </w:tc>
      </w:tr>
      <w:tr w:rsidR="007C5447">
        <w:trPr>
          <w:trHeight w:val="328"/>
        </w:trPr>
        <w:tc>
          <w:tcPr>
            <w:tcW w:w="622" w:type="dxa"/>
            <w:shd w:val="clear" w:color="auto" w:fill="BEBEBE"/>
          </w:tcPr>
          <w:p w:rsidR="007C5447" w:rsidRDefault="007C5447">
            <w:pPr>
              <w:pStyle w:val="TableParagraph"/>
              <w:jc w:val="left"/>
            </w:pPr>
          </w:p>
        </w:tc>
        <w:tc>
          <w:tcPr>
            <w:tcW w:w="1897" w:type="dxa"/>
            <w:shd w:val="clear" w:color="auto" w:fill="BEBEBE"/>
          </w:tcPr>
          <w:p w:rsidR="007C5447" w:rsidRDefault="00F6308C">
            <w:pPr>
              <w:pStyle w:val="TableParagraph"/>
              <w:spacing w:before="50"/>
              <w:ind w:left="107"/>
              <w:jc w:val="left"/>
              <w:rPr>
                <w:b/>
                <w:sz w:val="20"/>
              </w:rPr>
            </w:pPr>
            <w:r>
              <w:rPr>
                <w:b/>
                <w:sz w:val="20"/>
              </w:rPr>
              <w:t>Coal Thermal</w:t>
            </w:r>
          </w:p>
        </w:tc>
        <w:tc>
          <w:tcPr>
            <w:tcW w:w="1136" w:type="dxa"/>
            <w:shd w:val="clear" w:color="auto" w:fill="BEBEBE"/>
          </w:tcPr>
          <w:p w:rsidR="007C5447" w:rsidRDefault="007C5447">
            <w:pPr>
              <w:pStyle w:val="TableParagraph"/>
              <w:jc w:val="left"/>
            </w:pPr>
          </w:p>
        </w:tc>
        <w:tc>
          <w:tcPr>
            <w:tcW w:w="1134" w:type="dxa"/>
            <w:shd w:val="clear" w:color="auto" w:fill="BEBEBE"/>
          </w:tcPr>
          <w:p w:rsidR="007C5447" w:rsidRDefault="007C5447">
            <w:pPr>
              <w:pStyle w:val="TableParagraph"/>
              <w:jc w:val="left"/>
            </w:pPr>
          </w:p>
        </w:tc>
        <w:tc>
          <w:tcPr>
            <w:tcW w:w="1137" w:type="dxa"/>
            <w:shd w:val="clear" w:color="auto" w:fill="BEBEBE"/>
          </w:tcPr>
          <w:p w:rsidR="007C5447" w:rsidRDefault="007C5447">
            <w:pPr>
              <w:pStyle w:val="TableParagraph"/>
              <w:jc w:val="left"/>
            </w:pPr>
          </w:p>
        </w:tc>
        <w:tc>
          <w:tcPr>
            <w:tcW w:w="1134" w:type="dxa"/>
            <w:shd w:val="clear" w:color="auto" w:fill="BEBEBE"/>
          </w:tcPr>
          <w:p w:rsidR="007C5447" w:rsidRDefault="007C5447">
            <w:pPr>
              <w:pStyle w:val="TableParagraph"/>
              <w:jc w:val="left"/>
            </w:pPr>
          </w:p>
        </w:tc>
        <w:tc>
          <w:tcPr>
            <w:tcW w:w="1137" w:type="dxa"/>
            <w:shd w:val="clear" w:color="auto" w:fill="BEBEBE"/>
          </w:tcPr>
          <w:p w:rsidR="007C5447" w:rsidRDefault="007C5447">
            <w:pPr>
              <w:pStyle w:val="TableParagraph"/>
              <w:jc w:val="left"/>
            </w:pPr>
          </w:p>
        </w:tc>
        <w:tc>
          <w:tcPr>
            <w:tcW w:w="1134" w:type="dxa"/>
            <w:shd w:val="clear" w:color="auto" w:fill="BEBEBE"/>
          </w:tcPr>
          <w:p w:rsidR="007C5447" w:rsidRDefault="007C5447">
            <w:pPr>
              <w:pStyle w:val="TableParagraph"/>
              <w:jc w:val="left"/>
            </w:pPr>
          </w:p>
        </w:tc>
      </w:tr>
      <w:tr w:rsidR="007C5447">
        <w:trPr>
          <w:trHeight w:val="328"/>
        </w:trPr>
        <w:tc>
          <w:tcPr>
            <w:tcW w:w="622" w:type="dxa"/>
          </w:tcPr>
          <w:p w:rsidR="007C5447" w:rsidRDefault="00F6308C">
            <w:pPr>
              <w:pStyle w:val="TableParagraph"/>
              <w:spacing w:before="48"/>
              <w:ind w:left="107"/>
              <w:jc w:val="left"/>
              <w:rPr>
                <w:sz w:val="20"/>
              </w:rPr>
            </w:pPr>
            <w:r>
              <w:rPr>
                <w:w w:val="99"/>
                <w:sz w:val="20"/>
              </w:rPr>
              <w:t>1</w:t>
            </w:r>
          </w:p>
        </w:tc>
        <w:tc>
          <w:tcPr>
            <w:tcW w:w="1897" w:type="dxa"/>
          </w:tcPr>
          <w:p w:rsidR="007C5447" w:rsidRDefault="00F6308C">
            <w:pPr>
              <w:pStyle w:val="TableParagraph"/>
              <w:spacing w:before="48"/>
              <w:ind w:left="107"/>
              <w:jc w:val="left"/>
              <w:rPr>
                <w:sz w:val="20"/>
              </w:rPr>
            </w:pPr>
            <w:r>
              <w:rPr>
                <w:sz w:val="20"/>
              </w:rPr>
              <w:t>Ennore TPS</w:t>
            </w:r>
          </w:p>
        </w:tc>
        <w:tc>
          <w:tcPr>
            <w:tcW w:w="1136" w:type="dxa"/>
          </w:tcPr>
          <w:p w:rsidR="007C5447" w:rsidRDefault="00F6308C">
            <w:pPr>
              <w:pStyle w:val="TableParagraph"/>
              <w:spacing w:before="48"/>
              <w:ind w:right="102"/>
              <w:rPr>
                <w:sz w:val="20"/>
              </w:rPr>
            </w:pPr>
            <w:r>
              <w:rPr>
                <w:w w:val="95"/>
                <w:sz w:val="20"/>
              </w:rPr>
              <w:t>3,200</w:t>
            </w:r>
          </w:p>
        </w:tc>
        <w:tc>
          <w:tcPr>
            <w:tcW w:w="1134" w:type="dxa"/>
          </w:tcPr>
          <w:p w:rsidR="007C5447" w:rsidRDefault="00F6308C">
            <w:pPr>
              <w:pStyle w:val="TableParagraph"/>
              <w:spacing w:before="48"/>
              <w:ind w:right="97"/>
              <w:rPr>
                <w:sz w:val="20"/>
              </w:rPr>
            </w:pPr>
            <w:r>
              <w:rPr>
                <w:w w:val="99"/>
                <w:sz w:val="20"/>
              </w:rPr>
              <w:t>-</w:t>
            </w:r>
          </w:p>
        </w:tc>
        <w:tc>
          <w:tcPr>
            <w:tcW w:w="1137" w:type="dxa"/>
          </w:tcPr>
          <w:p w:rsidR="007C5447" w:rsidRDefault="00F6308C">
            <w:pPr>
              <w:pStyle w:val="TableParagraph"/>
              <w:spacing w:before="48"/>
              <w:ind w:right="101"/>
              <w:rPr>
                <w:sz w:val="20"/>
              </w:rPr>
            </w:pPr>
            <w:r>
              <w:rPr>
                <w:w w:val="99"/>
                <w:sz w:val="20"/>
              </w:rPr>
              <w:t>-</w:t>
            </w:r>
          </w:p>
        </w:tc>
        <w:tc>
          <w:tcPr>
            <w:tcW w:w="1134" w:type="dxa"/>
          </w:tcPr>
          <w:p w:rsidR="007C5447" w:rsidRDefault="00F6308C">
            <w:pPr>
              <w:pStyle w:val="TableParagraph"/>
              <w:spacing w:before="48"/>
              <w:ind w:right="103"/>
              <w:rPr>
                <w:sz w:val="20"/>
              </w:rPr>
            </w:pPr>
            <w:r>
              <w:rPr>
                <w:w w:val="95"/>
                <w:sz w:val="20"/>
              </w:rPr>
              <w:t>3,200</w:t>
            </w:r>
          </w:p>
        </w:tc>
        <w:tc>
          <w:tcPr>
            <w:tcW w:w="1137" w:type="dxa"/>
          </w:tcPr>
          <w:p w:rsidR="007C5447" w:rsidRDefault="00F6308C">
            <w:pPr>
              <w:pStyle w:val="TableParagraph"/>
              <w:spacing w:before="48"/>
              <w:ind w:right="103"/>
              <w:rPr>
                <w:sz w:val="20"/>
              </w:rPr>
            </w:pPr>
            <w:r>
              <w:rPr>
                <w:w w:val="99"/>
                <w:sz w:val="20"/>
              </w:rPr>
              <w:t>-</w:t>
            </w:r>
          </w:p>
        </w:tc>
        <w:tc>
          <w:tcPr>
            <w:tcW w:w="1134" w:type="dxa"/>
          </w:tcPr>
          <w:p w:rsidR="007C5447" w:rsidRDefault="00F6308C">
            <w:pPr>
              <w:pStyle w:val="TableParagraph"/>
              <w:spacing w:before="48"/>
              <w:ind w:right="102"/>
              <w:rPr>
                <w:sz w:val="20"/>
              </w:rPr>
            </w:pPr>
            <w:r>
              <w:rPr>
                <w:w w:val="99"/>
                <w:sz w:val="20"/>
              </w:rPr>
              <w:t>-</w:t>
            </w:r>
          </w:p>
        </w:tc>
      </w:tr>
      <w:tr w:rsidR="007C5447">
        <w:trPr>
          <w:trHeight w:val="328"/>
        </w:trPr>
        <w:tc>
          <w:tcPr>
            <w:tcW w:w="622" w:type="dxa"/>
          </w:tcPr>
          <w:p w:rsidR="007C5447" w:rsidRDefault="00F6308C">
            <w:pPr>
              <w:pStyle w:val="TableParagraph"/>
              <w:spacing w:before="48"/>
              <w:ind w:left="107"/>
              <w:jc w:val="left"/>
              <w:rPr>
                <w:sz w:val="20"/>
              </w:rPr>
            </w:pPr>
            <w:r>
              <w:rPr>
                <w:w w:val="99"/>
                <w:sz w:val="20"/>
              </w:rPr>
              <w:t>2</w:t>
            </w:r>
          </w:p>
        </w:tc>
        <w:tc>
          <w:tcPr>
            <w:tcW w:w="1897" w:type="dxa"/>
          </w:tcPr>
          <w:p w:rsidR="007C5447" w:rsidRDefault="00F6308C">
            <w:pPr>
              <w:pStyle w:val="TableParagraph"/>
              <w:spacing w:before="48"/>
              <w:ind w:left="107"/>
              <w:jc w:val="left"/>
              <w:rPr>
                <w:sz w:val="20"/>
              </w:rPr>
            </w:pPr>
            <w:r>
              <w:rPr>
                <w:sz w:val="20"/>
              </w:rPr>
              <w:t>Ennore Expansion II</w:t>
            </w:r>
          </w:p>
        </w:tc>
        <w:tc>
          <w:tcPr>
            <w:tcW w:w="1136" w:type="dxa"/>
          </w:tcPr>
          <w:p w:rsidR="007C5447" w:rsidRDefault="007C5447">
            <w:pPr>
              <w:pStyle w:val="TableParagraph"/>
              <w:jc w:val="left"/>
            </w:pPr>
          </w:p>
        </w:tc>
        <w:tc>
          <w:tcPr>
            <w:tcW w:w="1134" w:type="dxa"/>
          </w:tcPr>
          <w:p w:rsidR="007C5447" w:rsidRDefault="007C5447">
            <w:pPr>
              <w:pStyle w:val="TableParagraph"/>
              <w:jc w:val="left"/>
            </w:pPr>
          </w:p>
        </w:tc>
        <w:tc>
          <w:tcPr>
            <w:tcW w:w="1137" w:type="dxa"/>
          </w:tcPr>
          <w:p w:rsidR="007C5447" w:rsidRDefault="00F6308C">
            <w:pPr>
              <w:pStyle w:val="TableParagraph"/>
              <w:spacing w:before="48"/>
              <w:ind w:right="104"/>
              <w:rPr>
                <w:sz w:val="20"/>
              </w:rPr>
            </w:pPr>
            <w:r>
              <w:rPr>
                <w:w w:val="95"/>
                <w:sz w:val="20"/>
              </w:rPr>
              <w:t>2,450</w:t>
            </w:r>
          </w:p>
        </w:tc>
        <w:tc>
          <w:tcPr>
            <w:tcW w:w="1134" w:type="dxa"/>
          </w:tcPr>
          <w:p w:rsidR="007C5447" w:rsidRDefault="00F6308C">
            <w:pPr>
              <w:pStyle w:val="TableParagraph"/>
              <w:spacing w:before="48"/>
              <w:ind w:right="100"/>
              <w:rPr>
                <w:sz w:val="20"/>
              </w:rPr>
            </w:pPr>
            <w:r>
              <w:rPr>
                <w:w w:val="99"/>
                <w:sz w:val="20"/>
              </w:rPr>
              <w:t>-</w:t>
            </w:r>
          </w:p>
        </w:tc>
        <w:tc>
          <w:tcPr>
            <w:tcW w:w="1137" w:type="dxa"/>
          </w:tcPr>
          <w:p w:rsidR="007C5447" w:rsidRDefault="00F6308C">
            <w:pPr>
              <w:pStyle w:val="TableParagraph"/>
              <w:spacing w:before="48"/>
              <w:ind w:right="103"/>
              <w:rPr>
                <w:sz w:val="20"/>
              </w:rPr>
            </w:pPr>
            <w:r>
              <w:rPr>
                <w:w w:val="99"/>
                <w:sz w:val="20"/>
              </w:rPr>
              <w:t>-</w:t>
            </w:r>
          </w:p>
        </w:tc>
        <w:tc>
          <w:tcPr>
            <w:tcW w:w="1134" w:type="dxa"/>
          </w:tcPr>
          <w:p w:rsidR="007C5447" w:rsidRDefault="00F6308C">
            <w:pPr>
              <w:pStyle w:val="TableParagraph"/>
              <w:spacing w:before="48"/>
              <w:ind w:right="105"/>
              <w:rPr>
                <w:sz w:val="20"/>
              </w:rPr>
            </w:pPr>
            <w:r>
              <w:rPr>
                <w:w w:val="95"/>
                <w:sz w:val="20"/>
              </w:rPr>
              <w:t>2,450</w:t>
            </w:r>
          </w:p>
        </w:tc>
      </w:tr>
      <w:tr w:rsidR="007C5447">
        <w:trPr>
          <w:trHeight w:val="328"/>
        </w:trPr>
        <w:tc>
          <w:tcPr>
            <w:tcW w:w="622" w:type="dxa"/>
          </w:tcPr>
          <w:p w:rsidR="007C5447" w:rsidRDefault="00F6308C">
            <w:pPr>
              <w:pStyle w:val="TableParagraph"/>
              <w:spacing w:before="48"/>
              <w:ind w:left="107"/>
              <w:jc w:val="left"/>
              <w:rPr>
                <w:sz w:val="20"/>
              </w:rPr>
            </w:pPr>
            <w:r>
              <w:rPr>
                <w:w w:val="99"/>
                <w:sz w:val="20"/>
              </w:rPr>
              <w:t>3</w:t>
            </w:r>
          </w:p>
        </w:tc>
        <w:tc>
          <w:tcPr>
            <w:tcW w:w="1897" w:type="dxa"/>
          </w:tcPr>
          <w:p w:rsidR="007C5447" w:rsidRDefault="00F6308C">
            <w:pPr>
              <w:pStyle w:val="TableParagraph"/>
              <w:spacing w:before="48"/>
              <w:ind w:left="107"/>
              <w:jc w:val="left"/>
              <w:rPr>
                <w:sz w:val="20"/>
              </w:rPr>
            </w:pPr>
            <w:r>
              <w:rPr>
                <w:sz w:val="20"/>
              </w:rPr>
              <w:t>Tuticorin TPS</w:t>
            </w:r>
          </w:p>
        </w:tc>
        <w:tc>
          <w:tcPr>
            <w:tcW w:w="1136" w:type="dxa"/>
          </w:tcPr>
          <w:p w:rsidR="007C5447" w:rsidRDefault="00F6308C">
            <w:pPr>
              <w:pStyle w:val="TableParagraph"/>
              <w:spacing w:before="48"/>
              <w:ind w:right="102"/>
              <w:rPr>
                <w:sz w:val="20"/>
              </w:rPr>
            </w:pPr>
            <w:r>
              <w:rPr>
                <w:w w:val="95"/>
                <w:sz w:val="20"/>
              </w:rPr>
              <w:t>2,450</w:t>
            </w:r>
          </w:p>
        </w:tc>
        <w:tc>
          <w:tcPr>
            <w:tcW w:w="1134" w:type="dxa"/>
          </w:tcPr>
          <w:p w:rsidR="007C5447" w:rsidRDefault="00F6308C">
            <w:pPr>
              <w:pStyle w:val="TableParagraph"/>
              <w:spacing w:before="48"/>
              <w:ind w:right="100"/>
              <w:rPr>
                <w:sz w:val="20"/>
              </w:rPr>
            </w:pPr>
            <w:r>
              <w:rPr>
                <w:w w:val="95"/>
                <w:sz w:val="20"/>
              </w:rPr>
              <w:t>2,453</w:t>
            </w:r>
          </w:p>
        </w:tc>
        <w:tc>
          <w:tcPr>
            <w:tcW w:w="1137" w:type="dxa"/>
          </w:tcPr>
          <w:p w:rsidR="007C5447" w:rsidRDefault="00F6308C">
            <w:pPr>
              <w:pStyle w:val="TableParagraph"/>
              <w:spacing w:before="48"/>
              <w:ind w:right="104"/>
              <w:rPr>
                <w:sz w:val="20"/>
              </w:rPr>
            </w:pPr>
            <w:r>
              <w:rPr>
                <w:w w:val="95"/>
                <w:sz w:val="20"/>
              </w:rPr>
              <w:t>2,453</w:t>
            </w:r>
          </w:p>
        </w:tc>
        <w:tc>
          <w:tcPr>
            <w:tcW w:w="1134" w:type="dxa"/>
          </w:tcPr>
          <w:p w:rsidR="007C5447" w:rsidRDefault="00F6308C">
            <w:pPr>
              <w:pStyle w:val="TableParagraph"/>
              <w:spacing w:before="48"/>
              <w:ind w:right="103"/>
              <w:rPr>
                <w:sz w:val="20"/>
              </w:rPr>
            </w:pPr>
            <w:r>
              <w:rPr>
                <w:w w:val="95"/>
                <w:sz w:val="20"/>
              </w:rPr>
              <w:t>2,453</w:t>
            </w:r>
          </w:p>
        </w:tc>
        <w:tc>
          <w:tcPr>
            <w:tcW w:w="1137" w:type="dxa"/>
          </w:tcPr>
          <w:p w:rsidR="007C5447" w:rsidRDefault="00F6308C">
            <w:pPr>
              <w:pStyle w:val="TableParagraph"/>
              <w:spacing w:before="48"/>
              <w:ind w:right="107"/>
              <w:rPr>
                <w:sz w:val="20"/>
              </w:rPr>
            </w:pPr>
            <w:r>
              <w:rPr>
                <w:w w:val="95"/>
                <w:sz w:val="20"/>
              </w:rPr>
              <w:t>2,453</w:t>
            </w:r>
          </w:p>
        </w:tc>
        <w:tc>
          <w:tcPr>
            <w:tcW w:w="1134" w:type="dxa"/>
          </w:tcPr>
          <w:p w:rsidR="007C5447" w:rsidRDefault="00F6308C">
            <w:pPr>
              <w:pStyle w:val="TableParagraph"/>
              <w:spacing w:before="48"/>
              <w:ind w:right="105"/>
              <w:rPr>
                <w:sz w:val="20"/>
              </w:rPr>
            </w:pPr>
            <w:r>
              <w:rPr>
                <w:w w:val="95"/>
                <w:sz w:val="20"/>
              </w:rPr>
              <w:t>2,453</w:t>
            </w:r>
          </w:p>
        </w:tc>
      </w:tr>
      <w:tr w:rsidR="007C5447">
        <w:trPr>
          <w:trHeight w:val="326"/>
        </w:trPr>
        <w:tc>
          <w:tcPr>
            <w:tcW w:w="622" w:type="dxa"/>
          </w:tcPr>
          <w:p w:rsidR="007C5447" w:rsidRDefault="00F6308C">
            <w:pPr>
              <w:pStyle w:val="TableParagraph"/>
              <w:spacing w:before="48"/>
              <w:ind w:left="107"/>
              <w:jc w:val="left"/>
              <w:rPr>
                <w:sz w:val="20"/>
              </w:rPr>
            </w:pPr>
            <w:r>
              <w:rPr>
                <w:w w:val="99"/>
                <w:sz w:val="20"/>
              </w:rPr>
              <w:t>4</w:t>
            </w:r>
          </w:p>
        </w:tc>
        <w:tc>
          <w:tcPr>
            <w:tcW w:w="1897" w:type="dxa"/>
          </w:tcPr>
          <w:p w:rsidR="007C5447" w:rsidRDefault="00F6308C">
            <w:pPr>
              <w:pStyle w:val="TableParagraph"/>
              <w:spacing w:before="48"/>
              <w:ind w:left="107"/>
              <w:jc w:val="left"/>
              <w:rPr>
                <w:sz w:val="20"/>
              </w:rPr>
            </w:pPr>
            <w:r>
              <w:rPr>
                <w:sz w:val="20"/>
              </w:rPr>
              <w:t>Mettur TPS</w:t>
            </w:r>
          </w:p>
        </w:tc>
        <w:tc>
          <w:tcPr>
            <w:tcW w:w="1136" w:type="dxa"/>
          </w:tcPr>
          <w:p w:rsidR="007C5447" w:rsidRDefault="00F6308C">
            <w:pPr>
              <w:pStyle w:val="TableParagraph"/>
              <w:spacing w:before="48"/>
              <w:ind w:right="102"/>
              <w:rPr>
                <w:sz w:val="20"/>
              </w:rPr>
            </w:pPr>
            <w:r>
              <w:rPr>
                <w:w w:val="95"/>
                <w:sz w:val="20"/>
              </w:rPr>
              <w:t>2,450</w:t>
            </w:r>
          </w:p>
        </w:tc>
        <w:tc>
          <w:tcPr>
            <w:tcW w:w="1134" w:type="dxa"/>
          </w:tcPr>
          <w:p w:rsidR="007C5447" w:rsidRDefault="00F6308C">
            <w:pPr>
              <w:pStyle w:val="TableParagraph"/>
              <w:spacing w:before="48"/>
              <w:ind w:right="100"/>
              <w:rPr>
                <w:sz w:val="20"/>
              </w:rPr>
            </w:pPr>
            <w:r>
              <w:rPr>
                <w:w w:val="95"/>
                <w:sz w:val="20"/>
              </w:rPr>
              <w:t>2,500</w:t>
            </w:r>
          </w:p>
        </w:tc>
        <w:tc>
          <w:tcPr>
            <w:tcW w:w="1137" w:type="dxa"/>
          </w:tcPr>
          <w:p w:rsidR="007C5447" w:rsidRDefault="00F6308C">
            <w:pPr>
              <w:pStyle w:val="TableParagraph"/>
              <w:spacing w:before="48"/>
              <w:ind w:right="104"/>
              <w:rPr>
                <w:sz w:val="20"/>
              </w:rPr>
            </w:pPr>
            <w:r>
              <w:rPr>
                <w:w w:val="95"/>
                <w:sz w:val="20"/>
              </w:rPr>
              <w:t>2,500</w:t>
            </w:r>
          </w:p>
        </w:tc>
        <w:tc>
          <w:tcPr>
            <w:tcW w:w="1134" w:type="dxa"/>
          </w:tcPr>
          <w:p w:rsidR="007C5447" w:rsidRDefault="00F6308C">
            <w:pPr>
              <w:pStyle w:val="TableParagraph"/>
              <w:spacing w:before="48"/>
              <w:ind w:right="103"/>
              <w:rPr>
                <w:sz w:val="20"/>
              </w:rPr>
            </w:pPr>
            <w:r>
              <w:rPr>
                <w:w w:val="95"/>
                <w:sz w:val="20"/>
              </w:rPr>
              <w:t>2,500</w:t>
            </w:r>
          </w:p>
        </w:tc>
        <w:tc>
          <w:tcPr>
            <w:tcW w:w="1137" w:type="dxa"/>
          </w:tcPr>
          <w:p w:rsidR="007C5447" w:rsidRDefault="00F6308C">
            <w:pPr>
              <w:pStyle w:val="TableParagraph"/>
              <w:spacing w:before="48"/>
              <w:ind w:right="107"/>
              <w:rPr>
                <w:sz w:val="20"/>
              </w:rPr>
            </w:pPr>
            <w:r>
              <w:rPr>
                <w:w w:val="95"/>
                <w:sz w:val="20"/>
              </w:rPr>
              <w:t>2,500</w:t>
            </w:r>
          </w:p>
        </w:tc>
        <w:tc>
          <w:tcPr>
            <w:tcW w:w="1134" w:type="dxa"/>
          </w:tcPr>
          <w:p w:rsidR="007C5447" w:rsidRDefault="00F6308C">
            <w:pPr>
              <w:pStyle w:val="TableParagraph"/>
              <w:spacing w:before="48"/>
              <w:ind w:right="105"/>
              <w:rPr>
                <w:sz w:val="20"/>
              </w:rPr>
            </w:pPr>
            <w:r>
              <w:rPr>
                <w:w w:val="95"/>
                <w:sz w:val="20"/>
              </w:rPr>
              <w:t>2,500</w:t>
            </w:r>
          </w:p>
        </w:tc>
      </w:tr>
      <w:tr w:rsidR="007C5447">
        <w:trPr>
          <w:trHeight w:val="491"/>
        </w:trPr>
        <w:tc>
          <w:tcPr>
            <w:tcW w:w="622" w:type="dxa"/>
          </w:tcPr>
          <w:p w:rsidR="007C5447" w:rsidRDefault="00F6308C">
            <w:pPr>
              <w:pStyle w:val="TableParagraph"/>
              <w:spacing w:before="132"/>
              <w:ind w:left="107"/>
              <w:jc w:val="left"/>
              <w:rPr>
                <w:sz w:val="20"/>
              </w:rPr>
            </w:pPr>
            <w:r>
              <w:rPr>
                <w:w w:val="99"/>
                <w:sz w:val="20"/>
              </w:rPr>
              <w:t>5</w:t>
            </w:r>
          </w:p>
        </w:tc>
        <w:tc>
          <w:tcPr>
            <w:tcW w:w="1897" w:type="dxa"/>
          </w:tcPr>
          <w:p w:rsidR="007C5447" w:rsidRDefault="00F6308C">
            <w:pPr>
              <w:pStyle w:val="TableParagraph"/>
              <w:spacing w:before="21" w:line="228" w:lineRule="exact"/>
              <w:ind w:left="107" w:right="471"/>
              <w:jc w:val="left"/>
              <w:rPr>
                <w:sz w:val="20"/>
              </w:rPr>
            </w:pPr>
            <w:r>
              <w:rPr>
                <w:sz w:val="20"/>
              </w:rPr>
              <w:t>Mettur Stage III TPS</w:t>
            </w:r>
          </w:p>
        </w:tc>
        <w:tc>
          <w:tcPr>
            <w:tcW w:w="1136" w:type="dxa"/>
          </w:tcPr>
          <w:p w:rsidR="007C5447" w:rsidRDefault="00F6308C">
            <w:pPr>
              <w:pStyle w:val="TableParagraph"/>
              <w:spacing w:before="132"/>
              <w:ind w:right="102"/>
              <w:rPr>
                <w:sz w:val="20"/>
              </w:rPr>
            </w:pPr>
            <w:r>
              <w:rPr>
                <w:w w:val="95"/>
                <w:sz w:val="20"/>
              </w:rPr>
              <w:t>2,450</w:t>
            </w:r>
          </w:p>
        </w:tc>
        <w:tc>
          <w:tcPr>
            <w:tcW w:w="1134" w:type="dxa"/>
          </w:tcPr>
          <w:p w:rsidR="007C5447" w:rsidRDefault="00F6308C">
            <w:pPr>
              <w:pStyle w:val="TableParagraph"/>
              <w:spacing w:before="132"/>
              <w:ind w:right="100"/>
              <w:rPr>
                <w:sz w:val="20"/>
              </w:rPr>
            </w:pPr>
            <w:r>
              <w:rPr>
                <w:w w:val="95"/>
                <w:sz w:val="20"/>
              </w:rPr>
              <w:t>2,450</w:t>
            </w:r>
          </w:p>
        </w:tc>
        <w:tc>
          <w:tcPr>
            <w:tcW w:w="1137" w:type="dxa"/>
          </w:tcPr>
          <w:p w:rsidR="007C5447" w:rsidRDefault="00F6308C">
            <w:pPr>
              <w:pStyle w:val="TableParagraph"/>
              <w:spacing w:before="132"/>
              <w:ind w:right="104"/>
              <w:rPr>
                <w:sz w:val="20"/>
              </w:rPr>
            </w:pPr>
            <w:r>
              <w:rPr>
                <w:w w:val="95"/>
                <w:sz w:val="20"/>
              </w:rPr>
              <w:t>2,450</w:t>
            </w:r>
          </w:p>
        </w:tc>
        <w:tc>
          <w:tcPr>
            <w:tcW w:w="1134" w:type="dxa"/>
          </w:tcPr>
          <w:p w:rsidR="007C5447" w:rsidRDefault="00F6308C">
            <w:pPr>
              <w:pStyle w:val="TableParagraph"/>
              <w:spacing w:before="132"/>
              <w:ind w:right="103"/>
              <w:rPr>
                <w:sz w:val="20"/>
              </w:rPr>
            </w:pPr>
            <w:r>
              <w:rPr>
                <w:w w:val="95"/>
                <w:sz w:val="20"/>
              </w:rPr>
              <w:t>2,450</w:t>
            </w:r>
          </w:p>
        </w:tc>
        <w:tc>
          <w:tcPr>
            <w:tcW w:w="1137" w:type="dxa"/>
          </w:tcPr>
          <w:p w:rsidR="007C5447" w:rsidRDefault="00F6308C">
            <w:pPr>
              <w:pStyle w:val="TableParagraph"/>
              <w:spacing w:before="132"/>
              <w:ind w:right="107"/>
              <w:rPr>
                <w:sz w:val="20"/>
              </w:rPr>
            </w:pPr>
            <w:r>
              <w:rPr>
                <w:w w:val="95"/>
                <w:sz w:val="20"/>
              </w:rPr>
              <w:t>2,450</w:t>
            </w:r>
          </w:p>
        </w:tc>
        <w:tc>
          <w:tcPr>
            <w:tcW w:w="1134" w:type="dxa"/>
          </w:tcPr>
          <w:p w:rsidR="007C5447" w:rsidRDefault="00F6308C">
            <w:pPr>
              <w:pStyle w:val="TableParagraph"/>
              <w:spacing w:before="132"/>
              <w:ind w:right="105"/>
              <w:rPr>
                <w:sz w:val="20"/>
              </w:rPr>
            </w:pPr>
            <w:r>
              <w:rPr>
                <w:w w:val="95"/>
                <w:sz w:val="20"/>
              </w:rPr>
              <w:t>2,450</w:t>
            </w:r>
          </w:p>
        </w:tc>
      </w:tr>
      <w:tr w:rsidR="007C5447">
        <w:trPr>
          <w:trHeight w:val="329"/>
        </w:trPr>
        <w:tc>
          <w:tcPr>
            <w:tcW w:w="622" w:type="dxa"/>
          </w:tcPr>
          <w:p w:rsidR="007C5447" w:rsidRDefault="00F6308C">
            <w:pPr>
              <w:pStyle w:val="TableParagraph"/>
              <w:spacing w:before="49"/>
              <w:ind w:left="107"/>
              <w:jc w:val="left"/>
              <w:rPr>
                <w:sz w:val="20"/>
              </w:rPr>
            </w:pPr>
            <w:r>
              <w:rPr>
                <w:w w:val="99"/>
                <w:sz w:val="20"/>
              </w:rPr>
              <w:t>6</w:t>
            </w:r>
          </w:p>
        </w:tc>
        <w:tc>
          <w:tcPr>
            <w:tcW w:w="1897" w:type="dxa"/>
          </w:tcPr>
          <w:p w:rsidR="007C5447" w:rsidRDefault="00F6308C">
            <w:pPr>
              <w:pStyle w:val="TableParagraph"/>
              <w:spacing w:before="49"/>
              <w:ind w:left="107"/>
              <w:jc w:val="left"/>
              <w:rPr>
                <w:sz w:val="20"/>
              </w:rPr>
            </w:pPr>
            <w:r>
              <w:rPr>
                <w:sz w:val="20"/>
              </w:rPr>
              <w:t>North Chennai TPS</w:t>
            </w:r>
          </w:p>
        </w:tc>
        <w:tc>
          <w:tcPr>
            <w:tcW w:w="1136" w:type="dxa"/>
          </w:tcPr>
          <w:p w:rsidR="007C5447" w:rsidRDefault="00F6308C">
            <w:pPr>
              <w:pStyle w:val="TableParagraph"/>
              <w:spacing w:before="49"/>
              <w:ind w:right="102"/>
              <w:rPr>
                <w:sz w:val="20"/>
              </w:rPr>
            </w:pPr>
            <w:r>
              <w:rPr>
                <w:w w:val="95"/>
                <w:sz w:val="20"/>
              </w:rPr>
              <w:t>2,393</w:t>
            </w:r>
          </w:p>
        </w:tc>
        <w:tc>
          <w:tcPr>
            <w:tcW w:w="1134" w:type="dxa"/>
          </w:tcPr>
          <w:p w:rsidR="007C5447" w:rsidRDefault="00F6308C">
            <w:pPr>
              <w:pStyle w:val="TableParagraph"/>
              <w:spacing w:before="49"/>
              <w:ind w:right="100"/>
              <w:rPr>
                <w:sz w:val="20"/>
              </w:rPr>
            </w:pPr>
            <w:r>
              <w:rPr>
                <w:w w:val="95"/>
                <w:sz w:val="20"/>
              </w:rPr>
              <w:t>2,393</w:t>
            </w:r>
          </w:p>
        </w:tc>
        <w:tc>
          <w:tcPr>
            <w:tcW w:w="1137" w:type="dxa"/>
          </w:tcPr>
          <w:p w:rsidR="007C5447" w:rsidRDefault="00F6308C">
            <w:pPr>
              <w:pStyle w:val="TableParagraph"/>
              <w:spacing w:before="49"/>
              <w:ind w:right="104"/>
              <w:rPr>
                <w:sz w:val="20"/>
              </w:rPr>
            </w:pPr>
            <w:r>
              <w:rPr>
                <w:w w:val="95"/>
                <w:sz w:val="20"/>
              </w:rPr>
              <w:t>2,393</w:t>
            </w:r>
          </w:p>
        </w:tc>
        <w:tc>
          <w:tcPr>
            <w:tcW w:w="1134" w:type="dxa"/>
          </w:tcPr>
          <w:p w:rsidR="007C5447" w:rsidRDefault="00F6308C">
            <w:pPr>
              <w:pStyle w:val="TableParagraph"/>
              <w:spacing w:before="49"/>
              <w:ind w:right="103"/>
              <w:rPr>
                <w:sz w:val="20"/>
              </w:rPr>
            </w:pPr>
            <w:r>
              <w:rPr>
                <w:w w:val="95"/>
                <w:sz w:val="20"/>
              </w:rPr>
              <w:t>2,393</w:t>
            </w:r>
          </w:p>
        </w:tc>
        <w:tc>
          <w:tcPr>
            <w:tcW w:w="1137" w:type="dxa"/>
          </w:tcPr>
          <w:p w:rsidR="007C5447" w:rsidRDefault="00F6308C">
            <w:pPr>
              <w:pStyle w:val="TableParagraph"/>
              <w:spacing w:before="49"/>
              <w:ind w:right="107"/>
              <w:rPr>
                <w:sz w:val="20"/>
              </w:rPr>
            </w:pPr>
            <w:r>
              <w:rPr>
                <w:w w:val="95"/>
                <w:sz w:val="20"/>
              </w:rPr>
              <w:t>2,393</w:t>
            </w:r>
          </w:p>
        </w:tc>
        <w:tc>
          <w:tcPr>
            <w:tcW w:w="1134" w:type="dxa"/>
          </w:tcPr>
          <w:p w:rsidR="007C5447" w:rsidRDefault="00F6308C">
            <w:pPr>
              <w:pStyle w:val="TableParagraph"/>
              <w:spacing w:before="49"/>
              <w:ind w:right="105"/>
              <w:rPr>
                <w:sz w:val="20"/>
              </w:rPr>
            </w:pPr>
            <w:r>
              <w:rPr>
                <w:w w:val="95"/>
                <w:sz w:val="20"/>
              </w:rPr>
              <w:t>2,393</w:t>
            </w:r>
          </w:p>
        </w:tc>
      </w:tr>
      <w:tr w:rsidR="007C5447">
        <w:trPr>
          <w:trHeight w:val="489"/>
        </w:trPr>
        <w:tc>
          <w:tcPr>
            <w:tcW w:w="622" w:type="dxa"/>
          </w:tcPr>
          <w:p w:rsidR="007C5447" w:rsidRDefault="00F6308C">
            <w:pPr>
              <w:pStyle w:val="TableParagraph"/>
              <w:spacing w:before="130"/>
              <w:ind w:left="107"/>
              <w:jc w:val="left"/>
              <w:rPr>
                <w:sz w:val="20"/>
              </w:rPr>
            </w:pPr>
            <w:r>
              <w:rPr>
                <w:w w:val="99"/>
                <w:sz w:val="20"/>
              </w:rPr>
              <w:t>7</w:t>
            </w:r>
          </w:p>
        </w:tc>
        <w:tc>
          <w:tcPr>
            <w:tcW w:w="1897" w:type="dxa"/>
          </w:tcPr>
          <w:p w:rsidR="007C5447" w:rsidRDefault="00F6308C">
            <w:pPr>
              <w:pStyle w:val="TableParagraph"/>
              <w:spacing w:before="14" w:line="230" w:lineRule="atLeast"/>
              <w:ind w:left="107"/>
              <w:jc w:val="left"/>
              <w:rPr>
                <w:sz w:val="20"/>
              </w:rPr>
            </w:pPr>
            <w:r>
              <w:rPr>
                <w:sz w:val="20"/>
              </w:rPr>
              <w:t>North Chennai Stage II TPS</w:t>
            </w:r>
          </w:p>
        </w:tc>
        <w:tc>
          <w:tcPr>
            <w:tcW w:w="1136" w:type="dxa"/>
          </w:tcPr>
          <w:p w:rsidR="007C5447" w:rsidRDefault="00F6308C">
            <w:pPr>
              <w:pStyle w:val="TableParagraph"/>
              <w:spacing w:before="130"/>
              <w:ind w:right="102"/>
              <w:rPr>
                <w:sz w:val="20"/>
              </w:rPr>
            </w:pPr>
            <w:r>
              <w:rPr>
                <w:w w:val="95"/>
                <w:sz w:val="20"/>
              </w:rPr>
              <w:t>1,984</w:t>
            </w:r>
          </w:p>
        </w:tc>
        <w:tc>
          <w:tcPr>
            <w:tcW w:w="1134" w:type="dxa"/>
          </w:tcPr>
          <w:p w:rsidR="007C5447" w:rsidRDefault="00F6308C">
            <w:pPr>
              <w:pStyle w:val="TableParagraph"/>
              <w:spacing w:before="130"/>
              <w:ind w:right="100"/>
              <w:rPr>
                <w:sz w:val="20"/>
              </w:rPr>
            </w:pPr>
            <w:r>
              <w:rPr>
                <w:w w:val="95"/>
                <w:sz w:val="20"/>
              </w:rPr>
              <w:t>2,450</w:t>
            </w:r>
          </w:p>
        </w:tc>
        <w:tc>
          <w:tcPr>
            <w:tcW w:w="1137" w:type="dxa"/>
          </w:tcPr>
          <w:p w:rsidR="007C5447" w:rsidRDefault="00F6308C">
            <w:pPr>
              <w:pStyle w:val="TableParagraph"/>
              <w:spacing w:before="130"/>
              <w:ind w:right="104"/>
              <w:rPr>
                <w:sz w:val="20"/>
              </w:rPr>
            </w:pPr>
            <w:r>
              <w:rPr>
                <w:w w:val="95"/>
                <w:sz w:val="20"/>
              </w:rPr>
              <w:t>2,450</w:t>
            </w:r>
          </w:p>
        </w:tc>
        <w:tc>
          <w:tcPr>
            <w:tcW w:w="1134" w:type="dxa"/>
          </w:tcPr>
          <w:p w:rsidR="007C5447" w:rsidRDefault="00F6308C">
            <w:pPr>
              <w:pStyle w:val="TableParagraph"/>
              <w:spacing w:before="130"/>
              <w:ind w:right="103"/>
              <w:rPr>
                <w:sz w:val="20"/>
              </w:rPr>
            </w:pPr>
            <w:r>
              <w:rPr>
                <w:w w:val="95"/>
                <w:sz w:val="20"/>
              </w:rPr>
              <w:t>2,450</w:t>
            </w:r>
          </w:p>
        </w:tc>
        <w:tc>
          <w:tcPr>
            <w:tcW w:w="1137" w:type="dxa"/>
          </w:tcPr>
          <w:p w:rsidR="007C5447" w:rsidRDefault="00F6308C">
            <w:pPr>
              <w:pStyle w:val="TableParagraph"/>
              <w:spacing w:before="130"/>
              <w:ind w:right="107"/>
              <w:rPr>
                <w:sz w:val="20"/>
              </w:rPr>
            </w:pPr>
            <w:r>
              <w:rPr>
                <w:w w:val="95"/>
                <w:sz w:val="20"/>
              </w:rPr>
              <w:t>2,450</w:t>
            </w:r>
          </w:p>
        </w:tc>
        <w:tc>
          <w:tcPr>
            <w:tcW w:w="1134" w:type="dxa"/>
          </w:tcPr>
          <w:p w:rsidR="007C5447" w:rsidRDefault="00F6308C">
            <w:pPr>
              <w:pStyle w:val="TableParagraph"/>
              <w:spacing w:before="130"/>
              <w:ind w:right="105"/>
              <w:rPr>
                <w:sz w:val="20"/>
              </w:rPr>
            </w:pPr>
            <w:r>
              <w:rPr>
                <w:w w:val="95"/>
                <w:sz w:val="20"/>
              </w:rPr>
              <w:t>2,450</w:t>
            </w:r>
          </w:p>
        </w:tc>
      </w:tr>
      <w:tr w:rsidR="007C5447">
        <w:trPr>
          <w:trHeight w:val="328"/>
        </w:trPr>
        <w:tc>
          <w:tcPr>
            <w:tcW w:w="622" w:type="dxa"/>
            <w:shd w:val="clear" w:color="auto" w:fill="D0CECE"/>
          </w:tcPr>
          <w:p w:rsidR="007C5447" w:rsidRDefault="007C5447">
            <w:pPr>
              <w:pStyle w:val="TableParagraph"/>
              <w:jc w:val="left"/>
            </w:pPr>
          </w:p>
        </w:tc>
        <w:tc>
          <w:tcPr>
            <w:tcW w:w="1897" w:type="dxa"/>
            <w:shd w:val="clear" w:color="auto" w:fill="D0CECE"/>
          </w:tcPr>
          <w:p w:rsidR="007C5447" w:rsidRDefault="00F6308C">
            <w:pPr>
              <w:pStyle w:val="TableParagraph"/>
              <w:spacing w:before="48"/>
              <w:ind w:left="107"/>
              <w:jc w:val="left"/>
              <w:rPr>
                <w:b/>
                <w:sz w:val="20"/>
              </w:rPr>
            </w:pPr>
            <w:r>
              <w:rPr>
                <w:b/>
                <w:sz w:val="20"/>
              </w:rPr>
              <w:t>Gas Thermal</w:t>
            </w:r>
          </w:p>
        </w:tc>
        <w:tc>
          <w:tcPr>
            <w:tcW w:w="1136" w:type="dxa"/>
            <w:shd w:val="clear" w:color="auto" w:fill="D9D9D9"/>
          </w:tcPr>
          <w:p w:rsidR="007C5447" w:rsidRDefault="007C5447">
            <w:pPr>
              <w:pStyle w:val="TableParagraph"/>
              <w:jc w:val="left"/>
            </w:pPr>
          </w:p>
        </w:tc>
        <w:tc>
          <w:tcPr>
            <w:tcW w:w="1134" w:type="dxa"/>
            <w:shd w:val="clear" w:color="auto" w:fill="D9D9D9"/>
          </w:tcPr>
          <w:p w:rsidR="007C5447" w:rsidRDefault="007C5447">
            <w:pPr>
              <w:pStyle w:val="TableParagraph"/>
              <w:jc w:val="left"/>
            </w:pPr>
          </w:p>
        </w:tc>
        <w:tc>
          <w:tcPr>
            <w:tcW w:w="1137" w:type="dxa"/>
            <w:shd w:val="clear" w:color="auto" w:fill="D9D9D9"/>
          </w:tcPr>
          <w:p w:rsidR="007C5447" w:rsidRDefault="007C5447">
            <w:pPr>
              <w:pStyle w:val="TableParagraph"/>
              <w:jc w:val="left"/>
            </w:pPr>
          </w:p>
        </w:tc>
        <w:tc>
          <w:tcPr>
            <w:tcW w:w="1134" w:type="dxa"/>
            <w:shd w:val="clear" w:color="auto" w:fill="D0CECE"/>
          </w:tcPr>
          <w:p w:rsidR="007C5447" w:rsidRDefault="007C5447">
            <w:pPr>
              <w:pStyle w:val="TableParagraph"/>
              <w:jc w:val="left"/>
            </w:pPr>
          </w:p>
        </w:tc>
        <w:tc>
          <w:tcPr>
            <w:tcW w:w="1137" w:type="dxa"/>
            <w:shd w:val="clear" w:color="auto" w:fill="D0CECE"/>
          </w:tcPr>
          <w:p w:rsidR="007C5447" w:rsidRDefault="007C5447">
            <w:pPr>
              <w:pStyle w:val="TableParagraph"/>
              <w:jc w:val="left"/>
            </w:pPr>
          </w:p>
        </w:tc>
        <w:tc>
          <w:tcPr>
            <w:tcW w:w="1134" w:type="dxa"/>
            <w:shd w:val="clear" w:color="auto" w:fill="D0CECE"/>
          </w:tcPr>
          <w:p w:rsidR="007C5447" w:rsidRDefault="007C5447">
            <w:pPr>
              <w:pStyle w:val="TableParagraph"/>
              <w:jc w:val="left"/>
            </w:pPr>
          </w:p>
        </w:tc>
      </w:tr>
      <w:tr w:rsidR="007C5447">
        <w:trPr>
          <w:trHeight w:val="328"/>
        </w:trPr>
        <w:tc>
          <w:tcPr>
            <w:tcW w:w="622" w:type="dxa"/>
          </w:tcPr>
          <w:p w:rsidR="007C5447" w:rsidRDefault="00F6308C">
            <w:pPr>
              <w:pStyle w:val="TableParagraph"/>
              <w:spacing w:before="48"/>
              <w:ind w:left="107"/>
              <w:jc w:val="left"/>
              <w:rPr>
                <w:sz w:val="20"/>
              </w:rPr>
            </w:pPr>
            <w:r>
              <w:rPr>
                <w:w w:val="99"/>
                <w:sz w:val="20"/>
              </w:rPr>
              <w:t>1</w:t>
            </w:r>
          </w:p>
        </w:tc>
        <w:tc>
          <w:tcPr>
            <w:tcW w:w="1897" w:type="dxa"/>
          </w:tcPr>
          <w:p w:rsidR="007C5447" w:rsidRDefault="00F6308C">
            <w:pPr>
              <w:pStyle w:val="TableParagraph"/>
              <w:spacing w:before="48"/>
              <w:ind w:left="107"/>
              <w:jc w:val="left"/>
              <w:rPr>
                <w:sz w:val="20"/>
              </w:rPr>
            </w:pPr>
            <w:r>
              <w:rPr>
                <w:sz w:val="20"/>
              </w:rPr>
              <w:t>Tirumakottai GTPS</w:t>
            </w:r>
          </w:p>
        </w:tc>
        <w:tc>
          <w:tcPr>
            <w:tcW w:w="1136" w:type="dxa"/>
          </w:tcPr>
          <w:p w:rsidR="007C5447" w:rsidRDefault="00F6308C">
            <w:pPr>
              <w:pStyle w:val="TableParagraph"/>
              <w:spacing w:before="48"/>
              <w:ind w:right="102"/>
              <w:rPr>
                <w:sz w:val="20"/>
              </w:rPr>
            </w:pPr>
            <w:r>
              <w:rPr>
                <w:w w:val="95"/>
                <w:sz w:val="20"/>
              </w:rPr>
              <w:t>1,850</w:t>
            </w:r>
          </w:p>
        </w:tc>
        <w:tc>
          <w:tcPr>
            <w:tcW w:w="1134" w:type="dxa"/>
          </w:tcPr>
          <w:p w:rsidR="007C5447" w:rsidRDefault="00F6308C">
            <w:pPr>
              <w:pStyle w:val="TableParagraph"/>
              <w:spacing w:before="48"/>
              <w:ind w:right="100"/>
              <w:rPr>
                <w:sz w:val="20"/>
              </w:rPr>
            </w:pPr>
            <w:r>
              <w:rPr>
                <w:w w:val="95"/>
                <w:sz w:val="20"/>
              </w:rPr>
              <w:t>1,850</w:t>
            </w:r>
          </w:p>
        </w:tc>
        <w:tc>
          <w:tcPr>
            <w:tcW w:w="1137" w:type="dxa"/>
          </w:tcPr>
          <w:p w:rsidR="007C5447" w:rsidRDefault="00F6308C">
            <w:pPr>
              <w:pStyle w:val="TableParagraph"/>
              <w:spacing w:before="48"/>
              <w:ind w:right="104"/>
              <w:rPr>
                <w:sz w:val="20"/>
              </w:rPr>
            </w:pPr>
            <w:r>
              <w:rPr>
                <w:w w:val="95"/>
                <w:sz w:val="20"/>
              </w:rPr>
              <w:t>1,850</w:t>
            </w:r>
          </w:p>
        </w:tc>
        <w:tc>
          <w:tcPr>
            <w:tcW w:w="1134" w:type="dxa"/>
          </w:tcPr>
          <w:p w:rsidR="007C5447" w:rsidRDefault="00F6308C">
            <w:pPr>
              <w:pStyle w:val="TableParagraph"/>
              <w:spacing w:before="48"/>
              <w:ind w:right="103"/>
              <w:rPr>
                <w:sz w:val="20"/>
              </w:rPr>
            </w:pPr>
            <w:r>
              <w:rPr>
                <w:w w:val="95"/>
                <w:sz w:val="20"/>
              </w:rPr>
              <w:t>1,850</w:t>
            </w:r>
          </w:p>
        </w:tc>
        <w:tc>
          <w:tcPr>
            <w:tcW w:w="1137" w:type="dxa"/>
          </w:tcPr>
          <w:p w:rsidR="007C5447" w:rsidRDefault="00F6308C">
            <w:pPr>
              <w:pStyle w:val="TableParagraph"/>
              <w:spacing w:before="48"/>
              <w:ind w:right="107"/>
              <w:rPr>
                <w:sz w:val="20"/>
              </w:rPr>
            </w:pPr>
            <w:r>
              <w:rPr>
                <w:w w:val="95"/>
                <w:sz w:val="20"/>
              </w:rPr>
              <w:t>1,850</w:t>
            </w:r>
          </w:p>
        </w:tc>
        <w:tc>
          <w:tcPr>
            <w:tcW w:w="1134" w:type="dxa"/>
          </w:tcPr>
          <w:p w:rsidR="007C5447" w:rsidRDefault="00F6308C">
            <w:pPr>
              <w:pStyle w:val="TableParagraph"/>
              <w:spacing w:before="48"/>
              <w:ind w:right="105"/>
              <w:rPr>
                <w:sz w:val="20"/>
              </w:rPr>
            </w:pPr>
            <w:r>
              <w:rPr>
                <w:w w:val="95"/>
                <w:sz w:val="20"/>
              </w:rPr>
              <w:t>1,850</w:t>
            </w:r>
          </w:p>
        </w:tc>
      </w:tr>
      <w:tr w:rsidR="007C5447">
        <w:trPr>
          <w:trHeight w:val="325"/>
        </w:trPr>
        <w:tc>
          <w:tcPr>
            <w:tcW w:w="622" w:type="dxa"/>
          </w:tcPr>
          <w:p w:rsidR="007C5447" w:rsidRDefault="00F6308C">
            <w:pPr>
              <w:pStyle w:val="TableParagraph"/>
              <w:spacing w:before="48"/>
              <w:ind w:left="107"/>
              <w:jc w:val="left"/>
              <w:rPr>
                <w:sz w:val="20"/>
              </w:rPr>
            </w:pPr>
            <w:r>
              <w:rPr>
                <w:w w:val="99"/>
                <w:sz w:val="20"/>
              </w:rPr>
              <w:t>2</w:t>
            </w:r>
          </w:p>
        </w:tc>
        <w:tc>
          <w:tcPr>
            <w:tcW w:w="1897" w:type="dxa"/>
          </w:tcPr>
          <w:p w:rsidR="007C5447" w:rsidRDefault="00F6308C">
            <w:pPr>
              <w:pStyle w:val="TableParagraph"/>
              <w:spacing w:before="48"/>
              <w:ind w:left="107"/>
              <w:jc w:val="left"/>
              <w:rPr>
                <w:sz w:val="20"/>
              </w:rPr>
            </w:pPr>
            <w:r>
              <w:rPr>
                <w:sz w:val="20"/>
              </w:rPr>
              <w:t>Kuttalam GTPS</w:t>
            </w:r>
          </w:p>
        </w:tc>
        <w:tc>
          <w:tcPr>
            <w:tcW w:w="1136" w:type="dxa"/>
          </w:tcPr>
          <w:p w:rsidR="007C5447" w:rsidRDefault="00F6308C">
            <w:pPr>
              <w:pStyle w:val="TableParagraph"/>
              <w:spacing w:before="48"/>
              <w:ind w:right="102"/>
              <w:rPr>
                <w:sz w:val="20"/>
              </w:rPr>
            </w:pPr>
            <w:r>
              <w:rPr>
                <w:w w:val="95"/>
                <w:sz w:val="20"/>
              </w:rPr>
              <w:t>1,850</w:t>
            </w:r>
          </w:p>
        </w:tc>
        <w:tc>
          <w:tcPr>
            <w:tcW w:w="1134" w:type="dxa"/>
          </w:tcPr>
          <w:p w:rsidR="007C5447" w:rsidRDefault="00F6308C">
            <w:pPr>
              <w:pStyle w:val="TableParagraph"/>
              <w:spacing w:before="48"/>
              <w:ind w:right="100"/>
              <w:rPr>
                <w:sz w:val="20"/>
              </w:rPr>
            </w:pPr>
            <w:r>
              <w:rPr>
                <w:w w:val="95"/>
                <w:sz w:val="20"/>
              </w:rPr>
              <w:t>1,850</w:t>
            </w:r>
          </w:p>
        </w:tc>
        <w:tc>
          <w:tcPr>
            <w:tcW w:w="1137" w:type="dxa"/>
          </w:tcPr>
          <w:p w:rsidR="007C5447" w:rsidRDefault="00F6308C">
            <w:pPr>
              <w:pStyle w:val="TableParagraph"/>
              <w:spacing w:before="48"/>
              <w:ind w:right="104"/>
              <w:rPr>
                <w:sz w:val="20"/>
              </w:rPr>
            </w:pPr>
            <w:r>
              <w:rPr>
                <w:w w:val="95"/>
                <w:sz w:val="20"/>
              </w:rPr>
              <w:t>1,850</w:t>
            </w:r>
          </w:p>
        </w:tc>
        <w:tc>
          <w:tcPr>
            <w:tcW w:w="1134" w:type="dxa"/>
          </w:tcPr>
          <w:p w:rsidR="007C5447" w:rsidRDefault="00F6308C">
            <w:pPr>
              <w:pStyle w:val="TableParagraph"/>
              <w:spacing w:before="48"/>
              <w:ind w:right="103"/>
              <w:rPr>
                <w:sz w:val="20"/>
              </w:rPr>
            </w:pPr>
            <w:r>
              <w:rPr>
                <w:w w:val="95"/>
                <w:sz w:val="20"/>
              </w:rPr>
              <w:t>1,850</w:t>
            </w:r>
          </w:p>
        </w:tc>
        <w:tc>
          <w:tcPr>
            <w:tcW w:w="1137" w:type="dxa"/>
          </w:tcPr>
          <w:p w:rsidR="007C5447" w:rsidRDefault="00F6308C">
            <w:pPr>
              <w:pStyle w:val="TableParagraph"/>
              <w:spacing w:before="48"/>
              <w:ind w:right="107"/>
              <w:rPr>
                <w:sz w:val="20"/>
              </w:rPr>
            </w:pPr>
            <w:r>
              <w:rPr>
                <w:w w:val="95"/>
                <w:sz w:val="20"/>
              </w:rPr>
              <w:t>1,850</w:t>
            </w:r>
          </w:p>
        </w:tc>
        <w:tc>
          <w:tcPr>
            <w:tcW w:w="1134" w:type="dxa"/>
          </w:tcPr>
          <w:p w:rsidR="007C5447" w:rsidRDefault="00F6308C">
            <w:pPr>
              <w:pStyle w:val="TableParagraph"/>
              <w:spacing w:before="48"/>
              <w:ind w:right="105"/>
              <w:rPr>
                <w:sz w:val="20"/>
              </w:rPr>
            </w:pPr>
            <w:r>
              <w:rPr>
                <w:w w:val="95"/>
                <w:sz w:val="20"/>
              </w:rPr>
              <w:t>1,850</w:t>
            </w:r>
          </w:p>
        </w:tc>
      </w:tr>
      <w:tr w:rsidR="007C5447">
        <w:trPr>
          <w:trHeight w:val="328"/>
        </w:trPr>
        <w:tc>
          <w:tcPr>
            <w:tcW w:w="622" w:type="dxa"/>
          </w:tcPr>
          <w:p w:rsidR="007C5447" w:rsidRDefault="00F6308C">
            <w:pPr>
              <w:pStyle w:val="TableParagraph"/>
              <w:spacing w:before="50"/>
              <w:ind w:left="107"/>
              <w:jc w:val="left"/>
              <w:rPr>
                <w:sz w:val="20"/>
              </w:rPr>
            </w:pPr>
            <w:r>
              <w:rPr>
                <w:w w:val="99"/>
                <w:sz w:val="20"/>
              </w:rPr>
              <w:t>3</w:t>
            </w:r>
          </w:p>
        </w:tc>
        <w:tc>
          <w:tcPr>
            <w:tcW w:w="1897" w:type="dxa"/>
          </w:tcPr>
          <w:p w:rsidR="007C5447" w:rsidRDefault="00F6308C">
            <w:pPr>
              <w:pStyle w:val="TableParagraph"/>
              <w:spacing w:before="50"/>
              <w:ind w:left="107"/>
              <w:jc w:val="left"/>
              <w:rPr>
                <w:sz w:val="20"/>
              </w:rPr>
            </w:pPr>
            <w:r>
              <w:rPr>
                <w:sz w:val="20"/>
              </w:rPr>
              <w:t>Basin Bridge GTPS</w:t>
            </w:r>
          </w:p>
        </w:tc>
        <w:tc>
          <w:tcPr>
            <w:tcW w:w="1136" w:type="dxa"/>
          </w:tcPr>
          <w:p w:rsidR="007C5447" w:rsidRDefault="00F6308C">
            <w:pPr>
              <w:pStyle w:val="TableParagraph"/>
              <w:spacing w:before="50"/>
              <w:ind w:right="102"/>
              <w:rPr>
                <w:sz w:val="20"/>
              </w:rPr>
            </w:pPr>
            <w:r>
              <w:rPr>
                <w:w w:val="95"/>
                <w:sz w:val="20"/>
              </w:rPr>
              <w:t>3,219</w:t>
            </w:r>
          </w:p>
        </w:tc>
        <w:tc>
          <w:tcPr>
            <w:tcW w:w="1134" w:type="dxa"/>
          </w:tcPr>
          <w:p w:rsidR="007C5447" w:rsidRDefault="00F6308C">
            <w:pPr>
              <w:pStyle w:val="TableParagraph"/>
              <w:spacing w:before="50"/>
              <w:ind w:right="100"/>
              <w:rPr>
                <w:sz w:val="20"/>
              </w:rPr>
            </w:pPr>
            <w:r>
              <w:rPr>
                <w:w w:val="95"/>
                <w:sz w:val="20"/>
              </w:rPr>
              <w:t>3,219</w:t>
            </w:r>
          </w:p>
        </w:tc>
        <w:tc>
          <w:tcPr>
            <w:tcW w:w="1137" w:type="dxa"/>
          </w:tcPr>
          <w:p w:rsidR="007C5447" w:rsidRDefault="00F6308C">
            <w:pPr>
              <w:pStyle w:val="TableParagraph"/>
              <w:spacing w:before="50"/>
              <w:ind w:right="104"/>
              <w:rPr>
                <w:sz w:val="20"/>
              </w:rPr>
            </w:pPr>
            <w:r>
              <w:rPr>
                <w:w w:val="95"/>
                <w:sz w:val="20"/>
              </w:rPr>
              <w:t>3,219</w:t>
            </w:r>
          </w:p>
        </w:tc>
        <w:tc>
          <w:tcPr>
            <w:tcW w:w="1134" w:type="dxa"/>
          </w:tcPr>
          <w:p w:rsidR="007C5447" w:rsidRDefault="00F6308C">
            <w:pPr>
              <w:pStyle w:val="TableParagraph"/>
              <w:spacing w:before="50"/>
              <w:ind w:right="103"/>
              <w:rPr>
                <w:sz w:val="20"/>
              </w:rPr>
            </w:pPr>
            <w:r>
              <w:rPr>
                <w:w w:val="95"/>
                <w:sz w:val="20"/>
              </w:rPr>
              <w:t>3,219</w:t>
            </w:r>
          </w:p>
        </w:tc>
        <w:tc>
          <w:tcPr>
            <w:tcW w:w="1137" w:type="dxa"/>
          </w:tcPr>
          <w:p w:rsidR="007C5447" w:rsidRDefault="00F6308C">
            <w:pPr>
              <w:pStyle w:val="TableParagraph"/>
              <w:spacing w:before="50"/>
              <w:ind w:right="107"/>
              <w:rPr>
                <w:sz w:val="20"/>
              </w:rPr>
            </w:pPr>
            <w:r>
              <w:rPr>
                <w:w w:val="95"/>
                <w:sz w:val="20"/>
              </w:rPr>
              <w:t>3,219</w:t>
            </w:r>
          </w:p>
        </w:tc>
        <w:tc>
          <w:tcPr>
            <w:tcW w:w="1134" w:type="dxa"/>
          </w:tcPr>
          <w:p w:rsidR="007C5447" w:rsidRDefault="00F6308C">
            <w:pPr>
              <w:pStyle w:val="TableParagraph"/>
              <w:spacing w:before="50"/>
              <w:ind w:right="105"/>
              <w:rPr>
                <w:sz w:val="20"/>
              </w:rPr>
            </w:pPr>
            <w:r>
              <w:rPr>
                <w:w w:val="95"/>
                <w:sz w:val="20"/>
              </w:rPr>
              <w:t>3,219</w:t>
            </w:r>
          </w:p>
        </w:tc>
      </w:tr>
      <w:tr w:rsidR="007C5447">
        <w:trPr>
          <w:trHeight w:val="328"/>
        </w:trPr>
        <w:tc>
          <w:tcPr>
            <w:tcW w:w="622" w:type="dxa"/>
          </w:tcPr>
          <w:p w:rsidR="007C5447" w:rsidRDefault="00F6308C">
            <w:pPr>
              <w:pStyle w:val="TableParagraph"/>
              <w:spacing w:before="50"/>
              <w:ind w:left="107"/>
              <w:jc w:val="left"/>
              <w:rPr>
                <w:sz w:val="20"/>
              </w:rPr>
            </w:pPr>
            <w:r>
              <w:rPr>
                <w:w w:val="99"/>
                <w:sz w:val="20"/>
              </w:rPr>
              <w:t>4</w:t>
            </w:r>
          </w:p>
        </w:tc>
        <w:tc>
          <w:tcPr>
            <w:tcW w:w="1897" w:type="dxa"/>
          </w:tcPr>
          <w:p w:rsidR="007C5447" w:rsidRDefault="00F6308C">
            <w:pPr>
              <w:pStyle w:val="TableParagraph"/>
              <w:spacing w:before="50"/>
              <w:ind w:left="107"/>
              <w:jc w:val="left"/>
              <w:rPr>
                <w:sz w:val="20"/>
              </w:rPr>
            </w:pPr>
            <w:r>
              <w:rPr>
                <w:sz w:val="20"/>
              </w:rPr>
              <w:t>Valathur GTPS Unit</w:t>
            </w:r>
          </w:p>
        </w:tc>
        <w:tc>
          <w:tcPr>
            <w:tcW w:w="1136" w:type="dxa"/>
          </w:tcPr>
          <w:p w:rsidR="007C5447" w:rsidRDefault="00F6308C">
            <w:pPr>
              <w:pStyle w:val="TableParagraph"/>
              <w:spacing w:before="50"/>
              <w:ind w:right="102"/>
              <w:rPr>
                <w:sz w:val="20"/>
              </w:rPr>
            </w:pPr>
            <w:r>
              <w:rPr>
                <w:w w:val="95"/>
                <w:sz w:val="20"/>
              </w:rPr>
              <w:t>1,850</w:t>
            </w:r>
          </w:p>
        </w:tc>
        <w:tc>
          <w:tcPr>
            <w:tcW w:w="1134" w:type="dxa"/>
          </w:tcPr>
          <w:p w:rsidR="007C5447" w:rsidRDefault="00F6308C">
            <w:pPr>
              <w:pStyle w:val="TableParagraph"/>
              <w:spacing w:before="50"/>
              <w:ind w:right="100"/>
              <w:rPr>
                <w:sz w:val="20"/>
              </w:rPr>
            </w:pPr>
            <w:r>
              <w:rPr>
                <w:w w:val="95"/>
                <w:sz w:val="20"/>
              </w:rPr>
              <w:t>1,850</w:t>
            </w:r>
          </w:p>
        </w:tc>
        <w:tc>
          <w:tcPr>
            <w:tcW w:w="1137" w:type="dxa"/>
          </w:tcPr>
          <w:p w:rsidR="007C5447" w:rsidRDefault="00F6308C">
            <w:pPr>
              <w:pStyle w:val="TableParagraph"/>
              <w:spacing w:before="50"/>
              <w:ind w:right="104"/>
              <w:rPr>
                <w:sz w:val="20"/>
              </w:rPr>
            </w:pPr>
            <w:r>
              <w:rPr>
                <w:w w:val="95"/>
                <w:sz w:val="20"/>
              </w:rPr>
              <w:t>1,850</w:t>
            </w:r>
          </w:p>
        </w:tc>
        <w:tc>
          <w:tcPr>
            <w:tcW w:w="1134" w:type="dxa"/>
          </w:tcPr>
          <w:p w:rsidR="007C5447" w:rsidRDefault="00F6308C">
            <w:pPr>
              <w:pStyle w:val="TableParagraph"/>
              <w:spacing w:before="50"/>
              <w:ind w:right="103"/>
              <w:rPr>
                <w:sz w:val="20"/>
              </w:rPr>
            </w:pPr>
            <w:r>
              <w:rPr>
                <w:w w:val="95"/>
                <w:sz w:val="20"/>
              </w:rPr>
              <w:t>1,850</w:t>
            </w:r>
          </w:p>
        </w:tc>
        <w:tc>
          <w:tcPr>
            <w:tcW w:w="1137" w:type="dxa"/>
          </w:tcPr>
          <w:p w:rsidR="007C5447" w:rsidRDefault="00F6308C">
            <w:pPr>
              <w:pStyle w:val="TableParagraph"/>
              <w:spacing w:before="50"/>
              <w:ind w:right="107"/>
              <w:rPr>
                <w:sz w:val="20"/>
              </w:rPr>
            </w:pPr>
            <w:r>
              <w:rPr>
                <w:w w:val="95"/>
                <w:sz w:val="20"/>
              </w:rPr>
              <w:t>1,850</w:t>
            </w:r>
          </w:p>
        </w:tc>
        <w:tc>
          <w:tcPr>
            <w:tcW w:w="1134" w:type="dxa"/>
          </w:tcPr>
          <w:p w:rsidR="007C5447" w:rsidRDefault="00F6308C">
            <w:pPr>
              <w:pStyle w:val="TableParagraph"/>
              <w:spacing w:before="50"/>
              <w:ind w:right="105"/>
              <w:rPr>
                <w:sz w:val="20"/>
              </w:rPr>
            </w:pPr>
            <w:r>
              <w:rPr>
                <w:w w:val="95"/>
                <w:sz w:val="20"/>
              </w:rPr>
              <w:t>1,850</w:t>
            </w:r>
          </w:p>
        </w:tc>
      </w:tr>
    </w:tbl>
    <w:p w:rsidR="007C5447" w:rsidRDefault="007C5447">
      <w:pPr>
        <w:pStyle w:val="BodyText"/>
        <w:rPr>
          <w:b/>
        </w:rPr>
      </w:pPr>
    </w:p>
    <w:p w:rsidR="007C5447" w:rsidRDefault="007C5447">
      <w:pPr>
        <w:pStyle w:val="BodyText"/>
        <w:rPr>
          <w:b/>
        </w:rPr>
      </w:pPr>
    </w:p>
    <w:p w:rsidR="007C5447" w:rsidRDefault="00F6308C">
      <w:pPr>
        <w:pStyle w:val="Heading2"/>
        <w:numPr>
          <w:ilvl w:val="2"/>
          <w:numId w:val="114"/>
        </w:numPr>
        <w:tabs>
          <w:tab w:val="left" w:pos="1952"/>
          <w:tab w:val="left" w:pos="1953"/>
        </w:tabs>
        <w:spacing w:before="167"/>
        <w:ind w:left="1952" w:hanging="853"/>
      </w:pPr>
      <w:r>
        <w:t>Specific Fuel Oil Consumption</w:t>
      </w:r>
      <w:r>
        <w:rPr>
          <w:spacing w:val="-1"/>
        </w:rPr>
        <w:t xml:space="preserve"> </w:t>
      </w:r>
      <w:r>
        <w:t>(SFOC)</w:t>
      </w:r>
    </w:p>
    <w:p w:rsidR="007C5447" w:rsidRDefault="007C5447">
      <w:pPr>
        <w:pStyle w:val="BodyText"/>
        <w:rPr>
          <w:b/>
          <w:sz w:val="28"/>
        </w:rPr>
      </w:pPr>
    </w:p>
    <w:p w:rsidR="007C5447" w:rsidRDefault="00F6308C">
      <w:pPr>
        <w:pStyle w:val="ListParagraph"/>
        <w:numPr>
          <w:ilvl w:val="3"/>
          <w:numId w:val="56"/>
        </w:numPr>
        <w:tabs>
          <w:tab w:val="left" w:pos="2066"/>
        </w:tabs>
        <w:spacing w:line="312" w:lineRule="auto"/>
        <w:ind w:right="1180"/>
        <w:jc w:val="both"/>
        <w:rPr>
          <w:sz w:val="24"/>
        </w:rPr>
      </w:pPr>
      <w:r>
        <w:rPr>
          <w:sz w:val="24"/>
        </w:rPr>
        <w:t>TANGEDCO submitted that the SFOC is calculated in terms of percentage of total calorific requirement of the power generating Unit and has relation with the size of the generating Unit. For the lower size Units, the SFOC remains higher as compared to that f</w:t>
      </w:r>
      <w:r>
        <w:rPr>
          <w:sz w:val="24"/>
        </w:rPr>
        <w:t>or larger size power generating Units as certain amount of SFOC remains fixed irrespective of the size of the generating</w:t>
      </w:r>
      <w:r>
        <w:rPr>
          <w:spacing w:val="-8"/>
          <w:sz w:val="24"/>
        </w:rPr>
        <w:t xml:space="preserve"> </w:t>
      </w:r>
      <w:r>
        <w:rPr>
          <w:sz w:val="24"/>
        </w:rPr>
        <w:t>unit.</w:t>
      </w:r>
    </w:p>
    <w:p w:rsidR="007C5447" w:rsidRDefault="007C5447">
      <w:pPr>
        <w:pStyle w:val="BodyText"/>
        <w:rPr>
          <w:sz w:val="21"/>
        </w:rPr>
      </w:pPr>
    </w:p>
    <w:p w:rsidR="007C5447" w:rsidRDefault="00F6308C">
      <w:pPr>
        <w:pStyle w:val="ListParagraph"/>
        <w:numPr>
          <w:ilvl w:val="3"/>
          <w:numId w:val="56"/>
        </w:numPr>
        <w:tabs>
          <w:tab w:val="left" w:pos="2066"/>
        </w:tabs>
        <w:spacing w:line="312" w:lineRule="auto"/>
        <w:ind w:right="1179"/>
        <w:jc w:val="both"/>
        <w:rPr>
          <w:sz w:val="24"/>
        </w:rPr>
      </w:pPr>
      <w:r>
        <w:rPr>
          <w:sz w:val="24"/>
        </w:rPr>
        <w:t>Regulation 37(iv) of the Tariff Regulations specifies the normative SFOC for TANGEDCO’s generating plants. The Commission in SMT</w:t>
      </w:r>
      <w:r>
        <w:rPr>
          <w:sz w:val="24"/>
        </w:rPr>
        <w:t xml:space="preserve"> Order has approved lower norms for SFOC based on actual performance of Thermal Generating Stations. </w:t>
      </w:r>
      <w:r>
        <w:rPr>
          <w:spacing w:val="-3"/>
          <w:sz w:val="24"/>
        </w:rPr>
        <w:t xml:space="preserve">In </w:t>
      </w:r>
      <w:r>
        <w:rPr>
          <w:sz w:val="24"/>
        </w:rPr>
        <w:t>this Order, the Commission has considered the SFOC norms at same level as approved in SMT Order, as shown in the Table</w:t>
      </w:r>
      <w:r>
        <w:rPr>
          <w:spacing w:val="-1"/>
          <w:sz w:val="24"/>
        </w:rPr>
        <w:t xml:space="preserve"> </w:t>
      </w:r>
      <w:r>
        <w:rPr>
          <w:sz w:val="24"/>
        </w:rPr>
        <w:t>below:</w:t>
      </w:r>
    </w:p>
    <w:p w:rsidR="007C5447" w:rsidRDefault="007C5447">
      <w:pPr>
        <w:spacing w:line="312" w:lineRule="auto"/>
        <w:jc w:val="both"/>
        <w:rPr>
          <w:sz w:val="24"/>
        </w:rPr>
        <w:sectPr w:rsidR="007C5447">
          <w:footerReference w:type="default" r:id="rId54"/>
          <w:pgSz w:w="11910" w:h="16840"/>
          <w:pgMar w:top="1360" w:right="260" w:bottom="1240" w:left="340" w:header="0" w:footer="1057" w:gutter="0"/>
          <w:cols w:space="720"/>
        </w:sectPr>
      </w:pPr>
    </w:p>
    <w:p w:rsidR="007C5447" w:rsidRDefault="00F6308C">
      <w:pPr>
        <w:spacing w:before="62" w:line="312" w:lineRule="auto"/>
        <w:ind w:left="1354" w:right="1433"/>
        <w:jc w:val="center"/>
        <w:rPr>
          <w:b/>
        </w:rPr>
      </w:pPr>
      <w:r>
        <w:rPr>
          <w:b/>
        </w:rPr>
        <w:lastRenderedPageBreak/>
        <w:t>Table 4-38: Approved SFOC (ml/kWh) for Own Generating Stations for FY 2016-17 to FY 2018-19</w:t>
      </w:r>
    </w:p>
    <w:p w:rsidR="007C5447" w:rsidRDefault="007C5447">
      <w:pPr>
        <w:pStyle w:val="BodyText"/>
        <w:spacing w:before="4" w:after="1"/>
        <w:rPr>
          <w:b/>
          <w:sz w:val="10"/>
        </w:r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
        <w:gridCol w:w="1897"/>
        <w:gridCol w:w="1136"/>
        <w:gridCol w:w="1134"/>
        <w:gridCol w:w="1137"/>
        <w:gridCol w:w="966"/>
        <w:gridCol w:w="969"/>
        <w:gridCol w:w="1470"/>
      </w:tblGrid>
      <w:tr w:rsidR="007C5447">
        <w:trPr>
          <w:trHeight w:val="328"/>
        </w:trPr>
        <w:tc>
          <w:tcPr>
            <w:tcW w:w="622" w:type="dxa"/>
            <w:vMerge w:val="restart"/>
            <w:shd w:val="clear" w:color="auto" w:fill="F7C9AC"/>
          </w:tcPr>
          <w:p w:rsidR="007C5447" w:rsidRDefault="00F6308C">
            <w:pPr>
              <w:pStyle w:val="TableParagraph"/>
              <w:spacing w:before="185"/>
              <w:ind w:left="107"/>
              <w:jc w:val="left"/>
              <w:rPr>
                <w:b/>
                <w:sz w:val="20"/>
              </w:rPr>
            </w:pPr>
            <w:r>
              <w:rPr>
                <w:b/>
                <w:sz w:val="20"/>
              </w:rPr>
              <w:t>Sl.</w:t>
            </w:r>
          </w:p>
          <w:p w:rsidR="007C5447" w:rsidRDefault="00F6308C">
            <w:pPr>
              <w:pStyle w:val="TableParagraph"/>
              <w:ind w:left="107"/>
              <w:jc w:val="left"/>
              <w:rPr>
                <w:b/>
                <w:sz w:val="20"/>
              </w:rPr>
            </w:pPr>
            <w:r>
              <w:rPr>
                <w:b/>
                <w:sz w:val="20"/>
              </w:rPr>
              <w:t>No.</w:t>
            </w:r>
          </w:p>
        </w:tc>
        <w:tc>
          <w:tcPr>
            <w:tcW w:w="1897" w:type="dxa"/>
            <w:vMerge w:val="restart"/>
            <w:shd w:val="clear" w:color="auto" w:fill="F7C9AC"/>
          </w:tcPr>
          <w:p w:rsidR="007C5447" w:rsidRDefault="007C5447">
            <w:pPr>
              <w:pStyle w:val="TableParagraph"/>
              <w:spacing w:before="1"/>
              <w:jc w:val="left"/>
              <w:rPr>
                <w:b/>
                <w:sz w:val="26"/>
              </w:rPr>
            </w:pPr>
          </w:p>
          <w:p w:rsidR="007C5447" w:rsidRDefault="00F6308C">
            <w:pPr>
              <w:pStyle w:val="TableParagraph"/>
              <w:ind w:left="107"/>
              <w:jc w:val="left"/>
              <w:rPr>
                <w:b/>
                <w:sz w:val="20"/>
              </w:rPr>
            </w:pPr>
            <w:r>
              <w:rPr>
                <w:b/>
                <w:sz w:val="20"/>
              </w:rPr>
              <w:t>Station</w:t>
            </w:r>
          </w:p>
        </w:tc>
        <w:tc>
          <w:tcPr>
            <w:tcW w:w="3407" w:type="dxa"/>
            <w:gridSpan w:val="3"/>
            <w:shd w:val="clear" w:color="auto" w:fill="F7C9AC"/>
          </w:tcPr>
          <w:p w:rsidR="007C5447" w:rsidRDefault="00F6308C">
            <w:pPr>
              <w:pStyle w:val="TableParagraph"/>
              <w:spacing w:before="48"/>
              <w:ind w:left="1122"/>
              <w:jc w:val="left"/>
              <w:rPr>
                <w:b/>
                <w:sz w:val="20"/>
              </w:rPr>
            </w:pPr>
            <w:r>
              <w:rPr>
                <w:b/>
                <w:sz w:val="20"/>
              </w:rPr>
              <w:t>TANGEDCO</w:t>
            </w:r>
          </w:p>
        </w:tc>
        <w:tc>
          <w:tcPr>
            <w:tcW w:w="3405" w:type="dxa"/>
            <w:gridSpan w:val="3"/>
            <w:shd w:val="clear" w:color="auto" w:fill="F7C9AC"/>
          </w:tcPr>
          <w:p w:rsidR="007C5447" w:rsidRDefault="00F6308C">
            <w:pPr>
              <w:pStyle w:val="TableParagraph"/>
              <w:spacing w:before="48"/>
              <w:ind w:left="1149" w:right="1150"/>
              <w:jc w:val="center"/>
              <w:rPr>
                <w:b/>
                <w:sz w:val="20"/>
              </w:rPr>
            </w:pPr>
            <w:r>
              <w:rPr>
                <w:b/>
                <w:sz w:val="20"/>
              </w:rPr>
              <w:t>Commission</w:t>
            </w:r>
          </w:p>
        </w:tc>
      </w:tr>
      <w:tr w:rsidR="007C5447">
        <w:trPr>
          <w:trHeight w:val="489"/>
        </w:trPr>
        <w:tc>
          <w:tcPr>
            <w:tcW w:w="622" w:type="dxa"/>
            <w:vMerge/>
            <w:tcBorders>
              <w:top w:val="nil"/>
            </w:tcBorders>
            <w:shd w:val="clear" w:color="auto" w:fill="F7C9AC"/>
          </w:tcPr>
          <w:p w:rsidR="007C5447" w:rsidRDefault="007C5447">
            <w:pPr>
              <w:rPr>
                <w:sz w:val="2"/>
                <w:szCs w:val="2"/>
              </w:rPr>
            </w:pPr>
          </w:p>
        </w:tc>
        <w:tc>
          <w:tcPr>
            <w:tcW w:w="1897" w:type="dxa"/>
            <w:vMerge/>
            <w:tcBorders>
              <w:top w:val="nil"/>
            </w:tcBorders>
            <w:shd w:val="clear" w:color="auto" w:fill="F7C9AC"/>
          </w:tcPr>
          <w:p w:rsidR="007C5447" w:rsidRDefault="007C5447">
            <w:pPr>
              <w:rPr>
                <w:sz w:val="2"/>
                <w:szCs w:val="2"/>
              </w:rPr>
            </w:pPr>
          </w:p>
        </w:tc>
        <w:tc>
          <w:tcPr>
            <w:tcW w:w="1136" w:type="dxa"/>
            <w:shd w:val="clear" w:color="auto" w:fill="F7C9AC"/>
          </w:tcPr>
          <w:p w:rsidR="007C5447" w:rsidRDefault="00F6308C">
            <w:pPr>
              <w:pStyle w:val="TableParagraph"/>
              <w:spacing w:before="14"/>
              <w:ind w:left="152" w:right="146"/>
              <w:jc w:val="center"/>
              <w:rPr>
                <w:b/>
                <w:sz w:val="20"/>
              </w:rPr>
            </w:pPr>
            <w:r>
              <w:rPr>
                <w:b/>
                <w:sz w:val="20"/>
              </w:rPr>
              <w:t>FY 2016-</w:t>
            </w:r>
          </w:p>
          <w:p w:rsidR="007C5447" w:rsidRDefault="00F6308C">
            <w:pPr>
              <w:pStyle w:val="TableParagraph"/>
              <w:spacing w:before="1" w:line="224" w:lineRule="exact"/>
              <w:ind w:left="150" w:right="146"/>
              <w:jc w:val="center"/>
              <w:rPr>
                <w:b/>
                <w:sz w:val="20"/>
              </w:rPr>
            </w:pPr>
            <w:r>
              <w:rPr>
                <w:b/>
                <w:sz w:val="20"/>
              </w:rPr>
              <w:t>17</w:t>
            </w:r>
          </w:p>
        </w:tc>
        <w:tc>
          <w:tcPr>
            <w:tcW w:w="1134" w:type="dxa"/>
            <w:shd w:val="clear" w:color="auto" w:fill="F7C9AC"/>
          </w:tcPr>
          <w:p w:rsidR="007C5447" w:rsidRDefault="00F6308C">
            <w:pPr>
              <w:pStyle w:val="TableParagraph"/>
              <w:spacing w:before="14"/>
              <w:ind w:left="142" w:right="136"/>
              <w:jc w:val="center"/>
              <w:rPr>
                <w:b/>
                <w:sz w:val="20"/>
              </w:rPr>
            </w:pPr>
            <w:r>
              <w:rPr>
                <w:b/>
                <w:sz w:val="20"/>
              </w:rPr>
              <w:t>FY 2017-</w:t>
            </w:r>
          </w:p>
          <w:p w:rsidR="007C5447" w:rsidRDefault="00F6308C">
            <w:pPr>
              <w:pStyle w:val="TableParagraph"/>
              <w:spacing w:before="1" w:line="224" w:lineRule="exact"/>
              <w:ind w:left="141" w:right="136"/>
              <w:jc w:val="center"/>
              <w:rPr>
                <w:b/>
                <w:sz w:val="20"/>
              </w:rPr>
            </w:pPr>
            <w:r>
              <w:rPr>
                <w:b/>
                <w:sz w:val="20"/>
              </w:rPr>
              <w:t>18</w:t>
            </w:r>
          </w:p>
        </w:tc>
        <w:tc>
          <w:tcPr>
            <w:tcW w:w="1137" w:type="dxa"/>
            <w:shd w:val="clear" w:color="auto" w:fill="F7C9AC"/>
          </w:tcPr>
          <w:p w:rsidR="007C5447" w:rsidRDefault="00F6308C">
            <w:pPr>
              <w:pStyle w:val="TableParagraph"/>
              <w:spacing w:before="14"/>
              <w:ind w:left="151" w:right="150"/>
              <w:jc w:val="center"/>
              <w:rPr>
                <w:b/>
                <w:sz w:val="20"/>
              </w:rPr>
            </w:pPr>
            <w:r>
              <w:rPr>
                <w:b/>
                <w:sz w:val="20"/>
              </w:rPr>
              <w:t>FY 2018-</w:t>
            </w:r>
          </w:p>
          <w:p w:rsidR="007C5447" w:rsidRDefault="00F6308C">
            <w:pPr>
              <w:pStyle w:val="TableParagraph"/>
              <w:spacing w:before="1" w:line="224" w:lineRule="exact"/>
              <w:ind w:left="151" w:right="151"/>
              <w:jc w:val="center"/>
              <w:rPr>
                <w:b/>
                <w:sz w:val="20"/>
              </w:rPr>
            </w:pPr>
            <w:r>
              <w:rPr>
                <w:b/>
                <w:sz w:val="20"/>
              </w:rPr>
              <w:t>19</w:t>
            </w:r>
          </w:p>
        </w:tc>
        <w:tc>
          <w:tcPr>
            <w:tcW w:w="966" w:type="dxa"/>
            <w:shd w:val="clear" w:color="auto" w:fill="F7C9AC"/>
          </w:tcPr>
          <w:p w:rsidR="007C5447" w:rsidRDefault="00F6308C">
            <w:pPr>
              <w:pStyle w:val="TableParagraph"/>
              <w:spacing w:before="14" w:line="230" w:lineRule="atLeast"/>
              <w:ind w:left="144" w:right="140" w:firstLine="201"/>
              <w:jc w:val="left"/>
              <w:rPr>
                <w:b/>
                <w:sz w:val="20"/>
              </w:rPr>
            </w:pPr>
            <w:r>
              <w:rPr>
                <w:b/>
                <w:sz w:val="20"/>
              </w:rPr>
              <w:t>FY 2016-17</w:t>
            </w:r>
          </w:p>
        </w:tc>
        <w:tc>
          <w:tcPr>
            <w:tcW w:w="969" w:type="dxa"/>
            <w:shd w:val="clear" w:color="auto" w:fill="F7C9AC"/>
          </w:tcPr>
          <w:p w:rsidR="007C5447" w:rsidRDefault="00F6308C">
            <w:pPr>
              <w:pStyle w:val="TableParagraph"/>
              <w:spacing w:before="14" w:line="230" w:lineRule="atLeast"/>
              <w:ind w:left="143" w:right="143" w:firstLine="201"/>
              <w:jc w:val="left"/>
              <w:rPr>
                <w:b/>
                <w:sz w:val="20"/>
              </w:rPr>
            </w:pPr>
            <w:r>
              <w:rPr>
                <w:b/>
                <w:sz w:val="20"/>
              </w:rPr>
              <w:t>FY 2017-18</w:t>
            </w:r>
          </w:p>
        </w:tc>
        <w:tc>
          <w:tcPr>
            <w:tcW w:w="1470" w:type="dxa"/>
            <w:shd w:val="clear" w:color="auto" w:fill="F7C9AC"/>
          </w:tcPr>
          <w:p w:rsidR="007C5447" w:rsidRDefault="00F6308C">
            <w:pPr>
              <w:pStyle w:val="TableParagraph"/>
              <w:spacing w:before="130"/>
              <w:ind w:left="235"/>
              <w:jc w:val="left"/>
              <w:rPr>
                <w:b/>
                <w:sz w:val="20"/>
              </w:rPr>
            </w:pPr>
            <w:r>
              <w:rPr>
                <w:b/>
                <w:sz w:val="20"/>
              </w:rPr>
              <w:t>FY 2018-19</w:t>
            </w:r>
          </w:p>
        </w:tc>
      </w:tr>
      <w:tr w:rsidR="007C5447">
        <w:trPr>
          <w:trHeight w:val="328"/>
        </w:trPr>
        <w:tc>
          <w:tcPr>
            <w:tcW w:w="622" w:type="dxa"/>
          </w:tcPr>
          <w:p w:rsidR="007C5447" w:rsidRDefault="00F6308C">
            <w:pPr>
              <w:pStyle w:val="TableParagraph"/>
              <w:spacing w:before="50"/>
              <w:ind w:left="107"/>
              <w:jc w:val="left"/>
              <w:rPr>
                <w:sz w:val="20"/>
              </w:rPr>
            </w:pPr>
            <w:r>
              <w:rPr>
                <w:w w:val="99"/>
                <w:sz w:val="20"/>
              </w:rPr>
              <w:t>1</w:t>
            </w:r>
          </w:p>
        </w:tc>
        <w:tc>
          <w:tcPr>
            <w:tcW w:w="1897" w:type="dxa"/>
          </w:tcPr>
          <w:p w:rsidR="007C5447" w:rsidRDefault="00F6308C">
            <w:pPr>
              <w:pStyle w:val="TableParagraph"/>
              <w:spacing w:before="50"/>
              <w:ind w:left="107"/>
              <w:jc w:val="left"/>
              <w:rPr>
                <w:sz w:val="20"/>
              </w:rPr>
            </w:pPr>
            <w:r>
              <w:rPr>
                <w:sz w:val="20"/>
              </w:rPr>
              <w:t>Ennore TPS</w:t>
            </w:r>
          </w:p>
        </w:tc>
        <w:tc>
          <w:tcPr>
            <w:tcW w:w="1136" w:type="dxa"/>
          </w:tcPr>
          <w:p w:rsidR="007C5447" w:rsidRDefault="00F6308C">
            <w:pPr>
              <w:pStyle w:val="TableParagraph"/>
              <w:spacing w:before="50"/>
              <w:ind w:right="102"/>
              <w:rPr>
                <w:sz w:val="20"/>
              </w:rPr>
            </w:pPr>
            <w:r>
              <w:rPr>
                <w:w w:val="95"/>
                <w:sz w:val="20"/>
              </w:rPr>
              <w:t>10.10</w:t>
            </w:r>
          </w:p>
        </w:tc>
        <w:tc>
          <w:tcPr>
            <w:tcW w:w="1134" w:type="dxa"/>
          </w:tcPr>
          <w:p w:rsidR="007C5447" w:rsidRDefault="00F6308C">
            <w:pPr>
              <w:pStyle w:val="TableParagraph"/>
              <w:spacing w:before="50"/>
              <w:ind w:right="99"/>
              <w:rPr>
                <w:sz w:val="20"/>
              </w:rPr>
            </w:pPr>
            <w:r>
              <w:rPr>
                <w:w w:val="99"/>
                <w:sz w:val="20"/>
              </w:rPr>
              <w:t>-</w:t>
            </w:r>
          </w:p>
        </w:tc>
        <w:tc>
          <w:tcPr>
            <w:tcW w:w="1137" w:type="dxa"/>
          </w:tcPr>
          <w:p w:rsidR="007C5447" w:rsidRDefault="00F6308C">
            <w:pPr>
              <w:pStyle w:val="TableParagraph"/>
              <w:spacing w:before="50"/>
              <w:ind w:right="103"/>
              <w:rPr>
                <w:sz w:val="20"/>
              </w:rPr>
            </w:pPr>
            <w:r>
              <w:rPr>
                <w:w w:val="99"/>
                <w:sz w:val="20"/>
              </w:rPr>
              <w:t>-</w:t>
            </w:r>
          </w:p>
        </w:tc>
        <w:tc>
          <w:tcPr>
            <w:tcW w:w="966" w:type="dxa"/>
          </w:tcPr>
          <w:p w:rsidR="007C5447" w:rsidRDefault="00F6308C">
            <w:pPr>
              <w:pStyle w:val="TableParagraph"/>
              <w:spacing w:before="50"/>
              <w:ind w:right="98"/>
              <w:rPr>
                <w:sz w:val="20"/>
              </w:rPr>
            </w:pPr>
            <w:r>
              <w:rPr>
                <w:sz w:val="20"/>
              </w:rPr>
              <w:t>10.10</w:t>
            </w:r>
          </w:p>
        </w:tc>
        <w:tc>
          <w:tcPr>
            <w:tcW w:w="969" w:type="dxa"/>
          </w:tcPr>
          <w:p w:rsidR="007C5447" w:rsidRDefault="00F6308C">
            <w:pPr>
              <w:pStyle w:val="TableParagraph"/>
              <w:spacing w:before="50"/>
              <w:ind w:right="103"/>
              <w:rPr>
                <w:sz w:val="20"/>
              </w:rPr>
            </w:pPr>
            <w:r>
              <w:rPr>
                <w:w w:val="99"/>
                <w:sz w:val="20"/>
              </w:rPr>
              <w:t>-</w:t>
            </w:r>
          </w:p>
        </w:tc>
        <w:tc>
          <w:tcPr>
            <w:tcW w:w="1470" w:type="dxa"/>
          </w:tcPr>
          <w:p w:rsidR="007C5447" w:rsidRDefault="00F6308C">
            <w:pPr>
              <w:pStyle w:val="TableParagraph"/>
              <w:spacing w:before="50"/>
              <w:ind w:right="104"/>
              <w:rPr>
                <w:sz w:val="20"/>
              </w:rPr>
            </w:pPr>
            <w:r>
              <w:rPr>
                <w:w w:val="99"/>
                <w:sz w:val="20"/>
              </w:rPr>
              <w:t>-</w:t>
            </w:r>
          </w:p>
        </w:tc>
      </w:tr>
      <w:tr w:rsidR="007C5447">
        <w:trPr>
          <w:trHeight w:val="328"/>
        </w:trPr>
        <w:tc>
          <w:tcPr>
            <w:tcW w:w="622" w:type="dxa"/>
          </w:tcPr>
          <w:p w:rsidR="007C5447" w:rsidRDefault="00F6308C">
            <w:pPr>
              <w:pStyle w:val="TableParagraph"/>
              <w:spacing w:before="48"/>
              <w:ind w:left="107"/>
              <w:jc w:val="left"/>
              <w:rPr>
                <w:sz w:val="20"/>
              </w:rPr>
            </w:pPr>
            <w:r>
              <w:rPr>
                <w:w w:val="99"/>
                <w:sz w:val="20"/>
              </w:rPr>
              <w:t>2</w:t>
            </w:r>
          </w:p>
        </w:tc>
        <w:tc>
          <w:tcPr>
            <w:tcW w:w="1897" w:type="dxa"/>
          </w:tcPr>
          <w:p w:rsidR="007C5447" w:rsidRDefault="00F6308C">
            <w:pPr>
              <w:pStyle w:val="TableParagraph"/>
              <w:spacing w:before="48"/>
              <w:ind w:left="107"/>
              <w:jc w:val="left"/>
              <w:rPr>
                <w:sz w:val="20"/>
              </w:rPr>
            </w:pPr>
            <w:r>
              <w:rPr>
                <w:sz w:val="20"/>
              </w:rPr>
              <w:t>Ennore Expansion II</w:t>
            </w:r>
          </w:p>
        </w:tc>
        <w:tc>
          <w:tcPr>
            <w:tcW w:w="1136" w:type="dxa"/>
          </w:tcPr>
          <w:p w:rsidR="007C5447" w:rsidRDefault="007C5447">
            <w:pPr>
              <w:pStyle w:val="TableParagraph"/>
              <w:jc w:val="left"/>
              <w:rPr>
                <w:sz w:val="20"/>
              </w:rPr>
            </w:pPr>
          </w:p>
        </w:tc>
        <w:tc>
          <w:tcPr>
            <w:tcW w:w="1134" w:type="dxa"/>
          </w:tcPr>
          <w:p w:rsidR="007C5447" w:rsidRDefault="007C5447">
            <w:pPr>
              <w:pStyle w:val="TableParagraph"/>
              <w:jc w:val="left"/>
              <w:rPr>
                <w:sz w:val="20"/>
              </w:rPr>
            </w:pPr>
          </w:p>
        </w:tc>
        <w:tc>
          <w:tcPr>
            <w:tcW w:w="1137" w:type="dxa"/>
          </w:tcPr>
          <w:p w:rsidR="007C5447" w:rsidRDefault="00F6308C">
            <w:pPr>
              <w:pStyle w:val="TableParagraph"/>
              <w:spacing w:before="48"/>
              <w:ind w:right="104"/>
              <w:rPr>
                <w:sz w:val="20"/>
              </w:rPr>
            </w:pPr>
            <w:r>
              <w:rPr>
                <w:sz w:val="20"/>
              </w:rPr>
              <w:t>1.00</w:t>
            </w:r>
          </w:p>
        </w:tc>
        <w:tc>
          <w:tcPr>
            <w:tcW w:w="966" w:type="dxa"/>
          </w:tcPr>
          <w:p w:rsidR="007C5447" w:rsidRDefault="007C5447">
            <w:pPr>
              <w:pStyle w:val="TableParagraph"/>
              <w:jc w:val="left"/>
              <w:rPr>
                <w:sz w:val="20"/>
              </w:rPr>
            </w:pPr>
          </w:p>
        </w:tc>
        <w:tc>
          <w:tcPr>
            <w:tcW w:w="969" w:type="dxa"/>
          </w:tcPr>
          <w:p w:rsidR="007C5447" w:rsidRDefault="007C5447">
            <w:pPr>
              <w:pStyle w:val="TableParagraph"/>
              <w:jc w:val="left"/>
              <w:rPr>
                <w:sz w:val="20"/>
              </w:rPr>
            </w:pPr>
          </w:p>
        </w:tc>
        <w:tc>
          <w:tcPr>
            <w:tcW w:w="1470" w:type="dxa"/>
          </w:tcPr>
          <w:p w:rsidR="007C5447" w:rsidRDefault="00F6308C">
            <w:pPr>
              <w:pStyle w:val="TableParagraph"/>
              <w:spacing w:before="48"/>
              <w:ind w:right="105"/>
              <w:rPr>
                <w:sz w:val="20"/>
              </w:rPr>
            </w:pPr>
            <w:r>
              <w:rPr>
                <w:sz w:val="20"/>
              </w:rPr>
              <w:t>1.00</w:t>
            </w:r>
          </w:p>
        </w:tc>
      </w:tr>
      <w:tr w:rsidR="007C5447">
        <w:trPr>
          <w:trHeight w:val="328"/>
        </w:trPr>
        <w:tc>
          <w:tcPr>
            <w:tcW w:w="622" w:type="dxa"/>
          </w:tcPr>
          <w:p w:rsidR="007C5447" w:rsidRDefault="00F6308C">
            <w:pPr>
              <w:pStyle w:val="TableParagraph"/>
              <w:spacing w:before="48"/>
              <w:ind w:left="107"/>
              <w:jc w:val="left"/>
              <w:rPr>
                <w:sz w:val="20"/>
              </w:rPr>
            </w:pPr>
            <w:r>
              <w:rPr>
                <w:w w:val="99"/>
                <w:sz w:val="20"/>
              </w:rPr>
              <w:t>3</w:t>
            </w:r>
          </w:p>
        </w:tc>
        <w:tc>
          <w:tcPr>
            <w:tcW w:w="1897" w:type="dxa"/>
          </w:tcPr>
          <w:p w:rsidR="007C5447" w:rsidRDefault="00F6308C">
            <w:pPr>
              <w:pStyle w:val="TableParagraph"/>
              <w:spacing w:before="48"/>
              <w:ind w:left="107"/>
              <w:jc w:val="left"/>
              <w:rPr>
                <w:sz w:val="20"/>
              </w:rPr>
            </w:pPr>
            <w:r>
              <w:rPr>
                <w:sz w:val="20"/>
              </w:rPr>
              <w:t>Tuticorin TPS</w:t>
            </w:r>
          </w:p>
        </w:tc>
        <w:tc>
          <w:tcPr>
            <w:tcW w:w="1136" w:type="dxa"/>
          </w:tcPr>
          <w:p w:rsidR="007C5447" w:rsidRDefault="00F6308C">
            <w:pPr>
              <w:pStyle w:val="TableParagraph"/>
              <w:spacing w:before="48"/>
              <w:ind w:right="102"/>
              <w:rPr>
                <w:sz w:val="20"/>
              </w:rPr>
            </w:pPr>
            <w:r>
              <w:rPr>
                <w:sz w:val="20"/>
              </w:rPr>
              <w:t>2.39</w:t>
            </w:r>
          </w:p>
        </w:tc>
        <w:tc>
          <w:tcPr>
            <w:tcW w:w="1134" w:type="dxa"/>
          </w:tcPr>
          <w:p w:rsidR="007C5447" w:rsidRDefault="00F6308C">
            <w:pPr>
              <w:pStyle w:val="TableParagraph"/>
              <w:spacing w:before="48"/>
              <w:ind w:right="100"/>
              <w:rPr>
                <w:sz w:val="20"/>
              </w:rPr>
            </w:pPr>
            <w:r>
              <w:rPr>
                <w:sz w:val="20"/>
              </w:rPr>
              <w:t>2.39</w:t>
            </w:r>
          </w:p>
        </w:tc>
        <w:tc>
          <w:tcPr>
            <w:tcW w:w="1137" w:type="dxa"/>
          </w:tcPr>
          <w:p w:rsidR="007C5447" w:rsidRDefault="00F6308C">
            <w:pPr>
              <w:pStyle w:val="TableParagraph"/>
              <w:spacing w:before="48"/>
              <w:ind w:right="104"/>
              <w:rPr>
                <w:sz w:val="20"/>
              </w:rPr>
            </w:pPr>
            <w:r>
              <w:rPr>
                <w:sz w:val="20"/>
              </w:rPr>
              <w:t>2.39</w:t>
            </w:r>
          </w:p>
        </w:tc>
        <w:tc>
          <w:tcPr>
            <w:tcW w:w="966" w:type="dxa"/>
          </w:tcPr>
          <w:p w:rsidR="007C5447" w:rsidRDefault="00F6308C">
            <w:pPr>
              <w:pStyle w:val="TableParagraph"/>
              <w:spacing w:before="48"/>
              <w:ind w:right="101"/>
              <w:rPr>
                <w:sz w:val="20"/>
              </w:rPr>
            </w:pPr>
            <w:r>
              <w:rPr>
                <w:sz w:val="20"/>
              </w:rPr>
              <w:t>2.39</w:t>
            </w:r>
          </w:p>
        </w:tc>
        <w:tc>
          <w:tcPr>
            <w:tcW w:w="969" w:type="dxa"/>
          </w:tcPr>
          <w:p w:rsidR="007C5447" w:rsidRDefault="00F6308C">
            <w:pPr>
              <w:pStyle w:val="TableParagraph"/>
              <w:spacing w:before="48"/>
              <w:ind w:right="105"/>
              <w:rPr>
                <w:sz w:val="20"/>
              </w:rPr>
            </w:pPr>
            <w:r>
              <w:rPr>
                <w:sz w:val="20"/>
              </w:rPr>
              <w:t>2.39</w:t>
            </w:r>
          </w:p>
        </w:tc>
        <w:tc>
          <w:tcPr>
            <w:tcW w:w="1470" w:type="dxa"/>
          </w:tcPr>
          <w:p w:rsidR="007C5447" w:rsidRDefault="00F6308C">
            <w:pPr>
              <w:pStyle w:val="TableParagraph"/>
              <w:spacing w:before="48"/>
              <w:ind w:right="105"/>
              <w:rPr>
                <w:sz w:val="20"/>
              </w:rPr>
            </w:pPr>
            <w:r>
              <w:rPr>
                <w:sz w:val="20"/>
              </w:rPr>
              <w:t>2.39</w:t>
            </w:r>
          </w:p>
        </w:tc>
      </w:tr>
      <w:tr w:rsidR="007C5447">
        <w:trPr>
          <w:trHeight w:val="328"/>
        </w:trPr>
        <w:tc>
          <w:tcPr>
            <w:tcW w:w="622" w:type="dxa"/>
          </w:tcPr>
          <w:p w:rsidR="007C5447" w:rsidRDefault="00F6308C">
            <w:pPr>
              <w:pStyle w:val="TableParagraph"/>
              <w:spacing w:before="48"/>
              <w:ind w:left="107"/>
              <w:jc w:val="left"/>
              <w:rPr>
                <w:sz w:val="20"/>
              </w:rPr>
            </w:pPr>
            <w:r>
              <w:rPr>
                <w:w w:val="99"/>
                <w:sz w:val="20"/>
              </w:rPr>
              <w:t>4</w:t>
            </w:r>
          </w:p>
        </w:tc>
        <w:tc>
          <w:tcPr>
            <w:tcW w:w="1897" w:type="dxa"/>
          </w:tcPr>
          <w:p w:rsidR="007C5447" w:rsidRDefault="00F6308C">
            <w:pPr>
              <w:pStyle w:val="TableParagraph"/>
              <w:spacing w:before="48"/>
              <w:ind w:left="107"/>
              <w:jc w:val="left"/>
              <w:rPr>
                <w:sz w:val="20"/>
              </w:rPr>
            </w:pPr>
            <w:r>
              <w:rPr>
                <w:sz w:val="20"/>
              </w:rPr>
              <w:t>Mettur TPS</w:t>
            </w:r>
          </w:p>
        </w:tc>
        <w:tc>
          <w:tcPr>
            <w:tcW w:w="1136" w:type="dxa"/>
          </w:tcPr>
          <w:p w:rsidR="007C5447" w:rsidRDefault="00F6308C">
            <w:pPr>
              <w:pStyle w:val="TableParagraph"/>
              <w:spacing w:before="48"/>
              <w:ind w:right="102"/>
              <w:rPr>
                <w:sz w:val="20"/>
              </w:rPr>
            </w:pPr>
            <w:r>
              <w:rPr>
                <w:sz w:val="20"/>
              </w:rPr>
              <w:t>1.40</w:t>
            </w:r>
          </w:p>
        </w:tc>
        <w:tc>
          <w:tcPr>
            <w:tcW w:w="1134" w:type="dxa"/>
          </w:tcPr>
          <w:p w:rsidR="007C5447" w:rsidRDefault="00F6308C">
            <w:pPr>
              <w:pStyle w:val="TableParagraph"/>
              <w:spacing w:before="48"/>
              <w:ind w:right="100"/>
              <w:rPr>
                <w:sz w:val="20"/>
              </w:rPr>
            </w:pPr>
            <w:r>
              <w:rPr>
                <w:sz w:val="20"/>
              </w:rPr>
              <w:t>1.40</w:t>
            </w:r>
          </w:p>
        </w:tc>
        <w:tc>
          <w:tcPr>
            <w:tcW w:w="1137" w:type="dxa"/>
          </w:tcPr>
          <w:p w:rsidR="007C5447" w:rsidRDefault="00F6308C">
            <w:pPr>
              <w:pStyle w:val="TableParagraph"/>
              <w:spacing w:before="48"/>
              <w:ind w:right="104"/>
              <w:rPr>
                <w:sz w:val="20"/>
              </w:rPr>
            </w:pPr>
            <w:r>
              <w:rPr>
                <w:sz w:val="20"/>
              </w:rPr>
              <w:t>1.40</w:t>
            </w:r>
          </w:p>
        </w:tc>
        <w:tc>
          <w:tcPr>
            <w:tcW w:w="966" w:type="dxa"/>
          </w:tcPr>
          <w:p w:rsidR="007C5447" w:rsidRDefault="00F6308C">
            <w:pPr>
              <w:pStyle w:val="TableParagraph"/>
              <w:spacing w:before="48"/>
              <w:ind w:right="101"/>
              <w:rPr>
                <w:sz w:val="20"/>
              </w:rPr>
            </w:pPr>
            <w:r>
              <w:rPr>
                <w:sz w:val="20"/>
              </w:rPr>
              <w:t>1.40</w:t>
            </w:r>
          </w:p>
        </w:tc>
        <w:tc>
          <w:tcPr>
            <w:tcW w:w="969" w:type="dxa"/>
          </w:tcPr>
          <w:p w:rsidR="007C5447" w:rsidRDefault="00F6308C">
            <w:pPr>
              <w:pStyle w:val="TableParagraph"/>
              <w:spacing w:before="48"/>
              <w:ind w:right="105"/>
              <w:rPr>
                <w:sz w:val="20"/>
              </w:rPr>
            </w:pPr>
            <w:r>
              <w:rPr>
                <w:sz w:val="20"/>
              </w:rPr>
              <w:t>1.40</w:t>
            </w:r>
          </w:p>
        </w:tc>
        <w:tc>
          <w:tcPr>
            <w:tcW w:w="1470" w:type="dxa"/>
          </w:tcPr>
          <w:p w:rsidR="007C5447" w:rsidRDefault="00F6308C">
            <w:pPr>
              <w:pStyle w:val="TableParagraph"/>
              <w:spacing w:before="48"/>
              <w:ind w:right="105"/>
              <w:rPr>
                <w:sz w:val="20"/>
              </w:rPr>
            </w:pPr>
            <w:r>
              <w:rPr>
                <w:sz w:val="20"/>
              </w:rPr>
              <w:t>1.40</w:t>
            </w:r>
          </w:p>
        </w:tc>
      </w:tr>
      <w:tr w:rsidR="007C5447">
        <w:trPr>
          <w:trHeight w:val="489"/>
        </w:trPr>
        <w:tc>
          <w:tcPr>
            <w:tcW w:w="622" w:type="dxa"/>
          </w:tcPr>
          <w:p w:rsidR="007C5447" w:rsidRDefault="00F6308C">
            <w:pPr>
              <w:pStyle w:val="TableParagraph"/>
              <w:spacing w:before="130"/>
              <w:ind w:left="107"/>
              <w:jc w:val="left"/>
              <w:rPr>
                <w:sz w:val="20"/>
              </w:rPr>
            </w:pPr>
            <w:r>
              <w:rPr>
                <w:w w:val="99"/>
                <w:sz w:val="20"/>
              </w:rPr>
              <w:t>5</w:t>
            </w:r>
          </w:p>
        </w:tc>
        <w:tc>
          <w:tcPr>
            <w:tcW w:w="1897" w:type="dxa"/>
          </w:tcPr>
          <w:p w:rsidR="007C5447" w:rsidRDefault="00F6308C">
            <w:pPr>
              <w:pStyle w:val="TableParagraph"/>
              <w:spacing w:before="14" w:line="230" w:lineRule="atLeast"/>
              <w:ind w:left="107" w:right="471"/>
              <w:jc w:val="left"/>
              <w:rPr>
                <w:sz w:val="20"/>
              </w:rPr>
            </w:pPr>
            <w:r>
              <w:rPr>
                <w:sz w:val="20"/>
              </w:rPr>
              <w:t>Mettur Stage III TPS</w:t>
            </w:r>
          </w:p>
        </w:tc>
        <w:tc>
          <w:tcPr>
            <w:tcW w:w="1136" w:type="dxa"/>
          </w:tcPr>
          <w:p w:rsidR="007C5447" w:rsidRDefault="00F6308C">
            <w:pPr>
              <w:pStyle w:val="TableParagraph"/>
              <w:spacing w:before="130"/>
              <w:ind w:right="102"/>
              <w:rPr>
                <w:sz w:val="20"/>
              </w:rPr>
            </w:pPr>
            <w:r>
              <w:rPr>
                <w:sz w:val="20"/>
              </w:rPr>
              <w:t>1.40</w:t>
            </w:r>
          </w:p>
        </w:tc>
        <w:tc>
          <w:tcPr>
            <w:tcW w:w="1134" w:type="dxa"/>
          </w:tcPr>
          <w:p w:rsidR="007C5447" w:rsidRDefault="00F6308C">
            <w:pPr>
              <w:pStyle w:val="TableParagraph"/>
              <w:spacing w:before="130"/>
              <w:ind w:right="100"/>
              <w:rPr>
                <w:sz w:val="20"/>
              </w:rPr>
            </w:pPr>
            <w:r>
              <w:rPr>
                <w:sz w:val="20"/>
              </w:rPr>
              <w:t>1.47</w:t>
            </w:r>
          </w:p>
        </w:tc>
        <w:tc>
          <w:tcPr>
            <w:tcW w:w="1137" w:type="dxa"/>
          </w:tcPr>
          <w:p w:rsidR="007C5447" w:rsidRDefault="00F6308C">
            <w:pPr>
              <w:pStyle w:val="TableParagraph"/>
              <w:spacing w:before="130"/>
              <w:ind w:right="104"/>
              <w:rPr>
                <w:sz w:val="20"/>
              </w:rPr>
            </w:pPr>
            <w:r>
              <w:rPr>
                <w:sz w:val="20"/>
              </w:rPr>
              <w:t>1.47</w:t>
            </w:r>
          </w:p>
        </w:tc>
        <w:tc>
          <w:tcPr>
            <w:tcW w:w="966" w:type="dxa"/>
          </w:tcPr>
          <w:p w:rsidR="007C5447" w:rsidRDefault="00F6308C">
            <w:pPr>
              <w:pStyle w:val="TableParagraph"/>
              <w:spacing w:before="130"/>
              <w:ind w:right="101"/>
              <w:rPr>
                <w:sz w:val="20"/>
              </w:rPr>
            </w:pPr>
            <w:r>
              <w:rPr>
                <w:sz w:val="20"/>
              </w:rPr>
              <w:t>1.47</w:t>
            </w:r>
          </w:p>
        </w:tc>
        <w:tc>
          <w:tcPr>
            <w:tcW w:w="969" w:type="dxa"/>
          </w:tcPr>
          <w:p w:rsidR="007C5447" w:rsidRDefault="00F6308C">
            <w:pPr>
              <w:pStyle w:val="TableParagraph"/>
              <w:spacing w:before="130"/>
              <w:ind w:right="105"/>
              <w:rPr>
                <w:sz w:val="20"/>
              </w:rPr>
            </w:pPr>
            <w:r>
              <w:rPr>
                <w:sz w:val="20"/>
              </w:rPr>
              <w:t>1.47</w:t>
            </w:r>
          </w:p>
        </w:tc>
        <w:tc>
          <w:tcPr>
            <w:tcW w:w="1470" w:type="dxa"/>
          </w:tcPr>
          <w:p w:rsidR="007C5447" w:rsidRDefault="00F6308C">
            <w:pPr>
              <w:pStyle w:val="TableParagraph"/>
              <w:spacing w:before="130"/>
              <w:ind w:right="105"/>
              <w:rPr>
                <w:sz w:val="20"/>
              </w:rPr>
            </w:pPr>
            <w:r>
              <w:rPr>
                <w:sz w:val="20"/>
              </w:rPr>
              <w:t>1.47</w:t>
            </w:r>
          </w:p>
        </w:tc>
      </w:tr>
      <w:tr w:rsidR="007C5447">
        <w:trPr>
          <w:trHeight w:val="329"/>
        </w:trPr>
        <w:tc>
          <w:tcPr>
            <w:tcW w:w="622" w:type="dxa"/>
          </w:tcPr>
          <w:p w:rsidR="007C5447" w:rsidRDefault="00F6308C">
            <w:pPr>
              <w:pStyle w:val="TableParagraph"/>
              <w:spacing w:before="48"/>
              <w:ind w:left="107"/>
              <w:jc w:val="left"/>
              <w:rPr>
                <w:sz w:val="20"/>
              </w:rPr>
            </w:pPr>
            <w:r>
              <w:rPr>
                <w:w w:val="99"/>
                <w:sz w:val="20"/>
              </w:rPr>
              <w:t>6</w:t>
            </w:r>
          </w:p>
        </w:tc>
        <w:tc>
          <w:tcPr>
            <w:tcW w:w="1897" w:type="dxa"/>
          </w:tcPr>
          <w:p w:rsidR="007C5447" w:rsidRDefault="00F6308C">
            <w:pPr>
              <w:pStyle w:val="TableParagraph"/>
              <w:spacing w:before="48"/>
              <w:ind w:left="107"/>
              <w:jc w:val="left"/>
              <w:rPr>
                <w:sz w:val="20"/>
              </w:rPr>
            </w:pPr>
            <w:r>
              <w:rPr>
                <w:sz w:val="20"/>
              </w:rPr>
              <w:t>North Chennai TPS</w:t>
            </w:r>
          </w:p>
        </w:tc>
        <w:tc>
          <w:tcPr>
            <w:tcW w:w="1136" w:type="dxa"/>
          </w:tcPr>
          <w:p w:rsidR="007C5447" w:rsidRDefault="00F6308C">
            <w:pPr>
              <w:pStyle w:val="TableParagraph"/>
              <w:spacing w:before="48"/>
              <w:ind w:right="102"/>
              <w:rPr>
                <w:sz w:val="20"/>
              </w:rPr>
            </w:pPr>
            <w:r>
              <w:rPr>
                <w:sz w:val="20"/>
              </w:rPr>
              <w:t>1.76</w:t>
            </w:r>
          </w:p>
        </w:tc>
        <w:tc>
          <w:tcPr>
            <w:tcW w:w="1134" w:type="dxa"/>
          </w:tcPr>
          <w:p w:rsidR="007C5447" w:rsidRDefault="00F6308C">
            <w:pPr>
              <w:pStyle w:val="TableParagraph"/>
              <w:spacing w:before="48"/>
              <w:ind w:right="100"/>
              <w:rPr>
                <w:sz w:val="20"/>
              </w:rPr>
            </w:pPr>
            <w:r>
              <w:rPr>
                <w:sz w:val="20"/>
              </w:rPr>
              <w:t>1.76</w:t>
            </w:r>
          </w:p>
        </w:tc>
        <w:tc>
          <w:tcPr>
            <w:tcW w:w="1137" w:type="dxa"/>
          </w:tcPr>
          <w:p w:rsidR="007C5447" w:rsidRDefault="00F6308C">
            <w:pPr>
              <w:pStyle w:val="TableParagraph"/>
              <w:spacing w:before="48"/>
              <w:ind w:right="104"/>
              <w:rPr>
                <w:sz w:val="20"/>
              </w:rPr>
            </w:pPr>
            <w:r>
              <w:rPr>
                <w:sz w:val="20"/>
              </w:rPr>
              <w:t>1.76</w:t>
            </w:r>
          </w:p>
        </w:tc>
        <w:tc>
          <w:tcPr>
            <w:tcW w:w="966" w:type="dxa"/>
          </w:tcPr>
          <w:p w:rsidR="007C5447" w:rsidRDefault="00F6308C">
            <w:pPr>
              <w:pStyle w:val="TableParagraph"/>
              <w:spacing w:before="48"/>
              <w:ind w:right="101"/>
              <w:rPr>
                <w:sz w:val="20"/>
              </w:rPr>
            </w:pPr>
            <w:r>
              <w:rPr>
                <w:sz w:val="20"/>
              </w:rPr>
              <w:t>1.76</w:t>
            </w:r>
          </w:p>
        </w:tc>
        <w:tc>
          <w:tcPr>
            <w:tcW w:w="969" w:type="dxa"/>
          </w:tcPr>
          <w:p w:rsidR="007C5447" w:rsidRDefault="00F6308C">
            <w:pPr>
              <w:pStyle w:val="TableParagraph"/>
              <w:spacing w:before="48"/>
              <w:ind w:right="105"/>
              <w:rPr>
                <w:sz w:val="20"/>
              </w:rPr>
            </w:pPr>
            <w:r>
              <w:rPr>
                <w:sz w:val="20"/>
              </w:rPr>
              <w:t>1.76</w:t>
            </w:r>
          </w:p>
        </w:tc>
        <w:tc>
          <w:tcPr>
            <w:tcW w:w="1470" w:type="dxa"/>
          </w:tcPr>
          <w:p w:rsidR="007C5447" w:rsidRDefault="00F6308C">
            <w:pPr>
              <w:pStyle w:val="TableParagraph"/>
              <w:spacing w:before="48"/>
              <w:ind w:right="105"/>
              <w:rPr>
                <w:sz w:val="20"/>
              </w:rPr>
            </w:pPr>
            <w:r>
              <w:rPr>
                <w:sz w:val="20"/>
              </w:rPr>
              <w:t>1.76</w:t>
            </w:r>
          </w:p>
        </w:tc>
      </w:tr>
      <w:tr w:rsidR="007C5447">
        <w:trPr>
          <w:trHeight w:val="489"/>
        </w:trPr>
        <w:tc>
          <w:tcPr>
            <w:tcW w:w="622" w:type="dxa"/>
          </w:tcPr>
          <w:p w:rsidR="007C5447" w:rsidRDefault="00F6308C">
            <w:pPr>
              <w:pStyle w:val="TableParagraph"/>
              <w:spacing w:before="130"/>
              <w:ind w:left="107"/>
              <w:jc w:val="left"/>
              <w:rPr>
                <w:sz w:val="20"/>
              </w:rPr>
            </w:pPr>
            <w:r>
              <w:rPr>
                <w:w w:val="99"/>
                <w:sz w:val="20"/>
              </w:rPr>
              <w:t>7</w:t>
            </w:r>
          </w:p>
        </w:tc>
        <w:tc>
          <w:tcPr>
            <w:tcW w:w="1897" w:type="dxa"/>
          </w:tcPr>
          <w:p w:rsidR="007C5447" w:rsidRDefault="00F6308C">
            <w:pPr>
              <w:pStyle w:val="TableParagraph"/>
              <w:spacing w:before="14" w:line="230" w:lineRule="atLeast"/>
              <w:ind w:left="107"/>
              <w:jc w:val="left"/>
              <w:rPr>
                <w:sz w:val="20"/>
              </w:rPr>
            </w:pPr>
            <w:r>
              <w:rPr>
                <w:sz w:val="20"/>
              </w:rPr>
              <w:t>North Chennai Stage II TPS</w:t>
            </w:r>
          </w:p>
        </w:tc>
        <w:tc>
          <w:tcPr>
            <w:tcW w:w="1136" w:type="dxa"/>
          </w:tcPr>
          <w:p w:rsidR="007C5447" w:rsidRDefault="00F6308C">
            <w:pPr>
              <w:pStyle w:val="TableParagraph"/>
              <w:spacing w:before="130"/>
              <w:ind w:right="102"/>
              <w:rPr>
                <w:sz w:val="20"/>
              </w:rPr>
            </w:pPr>
            <w:r>
              <w:rPr>
                <w:sz w:val="20"/>
              </w:rPr>
              <w:t>1.41</w:t>
            </w:r>
          </w:p>
        </w:tc>
        <w:tc>
          <w:tcPr>
            <w:tcW w:w="1134" w:type="dxa"/>
          </w:tcPr>
          <w:p w:rsidR="007C5447" w:rsidRDefault="00F6308C">
            <w:pPr>
              <w:pStyle w:val="TableParagraph"/>
              <w:spacing w:before="130"/>
              <w:ind w:right="100"/>
              <w:rPr>
                <w:sz w:val="20"/>
              </w:rPr>
            </w:pPr>
            <w:r>
              <w:rPr>
                <w:sz w:val="20"/>
              </w:rPr>
              <w:t>1.47</w:t>
            </w:r>
          </w:p>
        </w:tc>
        <w:tc>
          <w:tcPr>
            <w:tcW w:w="1137" w:type="dxa"/>
          </w:tcPr>
          <w:p w:rsidR="007C5447" w:rsidRDefault="00F6308C">
            <w:pPr>
              <w:pStyle w:val="TableParagraph"/>
              <w:spacing w:before="130"/>
              <w:ind w:right="104"/>
              <w:rPr>
                <w:sz w:val="20"/>
              </w:rPr>
            </w:pPr>
            <w:r>
              <w:rPr>
                <w:sz w:val="20"/>
              </w:rPr>
              <w:t>1.47</w:t>
            </w:r>
          </w:p>
        </w:tc>
        <w:tc>
          <w:tcPr>
            <w:tcW w:w="966" w:type="dxa"/>
          </w:tcPr>
          <w:p w:rsidR="007C5447" w:rsidRDefault="00F6308C">
            <w:pPr>
              <w:pStyle w:val="TableParagraph"/>
              <w:spacing w:before="130"/>
              <w:ind w:right="101"/>
              <w:rPr>
                <w:sz w:val="20"/>
              </w:rPr>
            </w:pPr>
            <w:r>
              <w:rPr>
                <w:sz w:val="20"/>
              </w:rPr>
              <w:t>1.84</w:t>
            </w:r>
          </w:p>
        </w:tc>
        <w:tc>
          <w:tcPr>
            <w:tcW w:w="969" w:type="dxa"/>
          </w:tcPr>
          <w:p w:rsidR="007C5447" w:rsidRDefault="00F6308C">
            <w:pPr>
              <w:pStyle w:val="TableParagraph"/>
              <w:spacing w:before="130"/>
              <w:ind w:right="105"/>
              <w:rPr>
                <w:sz w:val="20"/>
              </w:rPr>
            </w:pPr>
            <w:r>
              <w:rPr>
                <w:sz w:val="20"/>
              </w:rPr>
              <w:t>1.84</w:t>
            </w:r>
          </w:p>
        </w:tc>
        <w:tc>
          <w:tcPr>
            <w:tcW w:w="1470" w:type="dxa"/>
          </w:tcPr>
          <w:p w:rsidR="007C5447" w:rsidRDefault="00F6308C">
            <w:pPr>
              <w:pStyle w:val="TableParagraph"/>
              <w:spacing w:before="130"/>
              <w:ind w:right="105"/>
              <w:rPr>
                <w:sz w:val="20"/>
              </w:rPr>
            </w:pPr>
            <w:r>
              <w:rPr>
                <w:sz w:val="20"/>
              </w:rPr>
              <w:t>1.84</w:t>
            </w:r>
          </w:p>
        </w:tc>
      </w:tr>
    </w:tbl>
    <w:p w:rsidR="007C5447" w:rsidRDefault="007C5447">
      <w:pPr>
        <w:pStyle w:val="BodyText"/>
        <w:rPr>
          <w:b/>
        </w:rPr>
      </w:pPr>
    </w:p>
    <w:p w:rsidR="007C5447" w:rsidRDefault="007C5447">
      <w:pPr>
        <w:pStyle w:val="BodyText"/>
        <w:rPr>
          <w:b/>
        </w:rPr>
      </w:pPr>
    </w:p>
    <w:p w:rsidR="007C5447" w:rsidRDefault="00F6308C">
      <w:pPr>
        <w:pStyle w:val="Heading2"/>
        <w:numPr>
          <w:ilvl w:val="2"/>
          <w:numId w:val="114"/>
        </w:numPr>
        <w:tabs>
          <w:tab w:val="left" w:pos="1952"/>
          <w:tab w:val="left" w:pos="1953"/>
        </w:tabs>
        <w:spacing w:before="167" w:line="520" w:lineRule="auto"/>
        <w:ind w:left="1952" w:right="6807" w:hanging="852"/>
      </w:pPr>
      <w:r>
        <w:t xml:space="preserve">Fuel Related </w:t>
      </w:r>
      <w:r>
        <w:rPr>
          <w:spacing w:val="-3"/>
        </w:rPr>
        <w:t xml:space="preserve">Parameters </w:t>
      </w:r>
      <w:r>
        <w:t>GCV of</w:t>
      </w:r>
      <w:r>
        <w:rPr>
          <w:spacing w:val="-1"/>
        </w:rPr>
        <w:t xml:space="preserve"> </w:t>
      </w:r>
      <w:r>
        <w:t>Coal/Gas</w:t>
      </w:r>
    </w:p>
    <w:p w:rsidR="007C5447" w:rsidRDefault="00F6308C">
      <w:pPr>
        <w:pStyle w:val="ListParagraph"/>
        <w:numPr>
          <w:ilvl w:val="3"/>
          <w:numId w:val="55"/>
        </w:numPr>
        <w:tabs>
          <w:tab w:val="left" w:pos="2066"/>
        </w:tabs>
        <w:spacing w:line="312" w:lineRule="auto"/>
        <w:ind w:right="1174"/>
        <w:jc w:val="both"/>
        <w:rPr>
          <w:sz w:val="24"/>
        </w:rPr>
      </w:pPr>
      <w:r>
        <w:rPr>
          <w:sz w:val="24"/>
        </w:rPr>
        <w:t>TANGEDCO submitted that it has projected GCV for FY 2016-17 to FY 2018-19 based on the actual GCV of primary fuel during FY 2015-16. The Commission has verified the details of actual GCV submitted by TANGEDCO vis-a-vis actual GCV recorded in the audited ac</w:t>
      </w:r>
      <w:r>
        <w:rPr>
          <w:sz w:val="24"/>
        </w:rPr>
        <w:t>counts. The Commission has observed the difference in actual GCV submitted by TANGEDCO and recorded in audited accounts. The Commission has reconciled the actual GCV details and considered accordingly. Therefore, the Commission has approved GCV for FY 2016</w:t>
      </w:r>
      <w:r>
        <w:rPr>
          <w:sz w:val="24"/>
        </w:rPr>
        <w:t>-17 to FY 2018-19 as shown in the following</w:t>
      </w:r>
      <w:r>
        <w:rPr>
          <w:spacing w:val="-4"/>
          <w:sz w:val="24"/>
        </w:rPr>
        <w:t xml:space="preserve"> </w:t>
      </w:r>
      <w:r>
        <w:rPr>
          <w:sz w:val="24"/>
        </w:rPr>
        <w:t>Table:</w:t>
      </w:r>
    </w:p>
    <w:p w:rsidR="007C5447" w:rsidRDefault="007C5447">
      <w:pPr>
        <w:pStyle w:val="BodyText"/>
        <w:spacing w:before="1"/>
        <w:rPr>
          <w:sz w:val="21"/>
        </w:rPr>
      </w:pPr>
    </w:p>
    <w:p w:rsidR="007C5447" w:rsidRDefault="00F6308C">
      <w:pPr>
        <w:ind w:left="1354" w:right="1432"/>
        <w:jc w:val="center"/>
        <w:rPr>
          <w:b/>
        </w:rPr>
      </w:pPr>
      <w:r>
        <w:rPr>
          <w:b/>
        </w:rPr>
        <w:t>Table 4-39: GCV of coal/gas (kcal/kg) (kcal/SCM) as considered by the Commission</w:t>
      </w:r>
    </w:p>
    <w:p w:rsidR="007C5447" w:rsidRDefault="007C5447">
      <w:pPr>
        <w:pStyle w:val="BodyText"/>
        <w:spacing w:before="10" w:after="1"/>
        <w:rPr>
          <w:b/>
          <w:sz w:val="16"/>
        </w:r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4"/>
        <w:gridCol w:w="2472"/>
        <w:gridCol w:w="1199"/>
        <w:gridCol w:w="1199"/>
        <w:gridCol w:w="1199"/>
        <w:gridCol w:w="911"/>
        <w:gridCol w:w="912"/>
        <w:gridCol w:w="911"/>
      </w:tblGrid>
      <w:tr w:rsidR="007C5447">
        <w:trPr>
          <w:trHeight w:val="325"/>
        </w:trPr>
        <w:tc>
          <w:tcPr>
            <w:tcW w:w="434" w:type="dxa"/>
            <w:vMerge w:val="restart"/>
            <w:shd w:val="clear" w:color="auto" w:fill="F7C9AC"/>
          </w:tcPr>
          <w:p w:rsidR="007C5447" w:rsidRDefault="007C5447">
            <w:pPr>
              <w:pStyle w:val="TableParagraph"/>
              <w:spacing w:before="10"/>
              <w:jc w:val="left"/>
              <w:rPr>
                <w:b/>
                <w:sz w:val="25"/>
              </w:rPr>
            </w:pPr>
          </w:p>
          <w:p w:rsidR="007C5447" w:rsidRDefault="00F6308C">
            <w:pPr>
              <w:pStyle w:val="TableParagraph"/>
              <w:ind w:left="107"/>
              <w:jc w:val="left"/>
              <w:rPr>
                <w:b/>
                <w:sz w:val="20"/>
              </w:rPr>
            </w:pPr>
            <w:r>
              <w:rPr>
                <w:b/>
                <w:sz w:val="20"/>
              </w:rPr>
              <w:t>Sl.</w:t>
            </w:r>
          </w:p>
        </w:tc>
        <w:tc>
          <w:tcPr>
            <w:tcW w:w="2472" w:type="dxa"/>
            <w:vMerge w:val="restart"/>
            <w:shd w:val="clear" w:color="auto" w:fill="F7C9AC"/>
          </w:tcPr>
          <w:p w:rsidR="007C5447" w:rsidRDefault="007C5447">
            <w:pPr>
              <w:pStyle w:val="TableParagraph"/>
              <w:spacing w:before="10"/>
              <w:jc w:val="left"/>
              <w:rPr>
                <w:b/>
                <w:sz w:val="25"/>
              </w:rPr>
            </w:pPr>
          </w:p>
          <w:p w:rsidR="007C5447" w:rsidRDefault="00F6308C">
            <w:pPr>
              <w:pStyle w:val="TableParagraph"/>
              <w:ind w:left="108"/>
              <w:jc w:val="left"/>
              <w:rPr>
                <w:b/>
                <w:sz w:val="20"/>
              </w:rPr>
            </w:pPr>
            <w:r>
              <w:rPr>
                <w:b/>
                <w:sz w:val="20"/>
              </w:rPr>
              <w:t>Station</w:t>
            </w:r>
          </w:p>
        </w:tc>
        <w:tc>
          <w:tcPr>
            <w:tcW w:w="3597" w:type="dxa"/>
            <w:gridSpan w:val="3"/>
            <w:shd w:val="clear" w:color="auto" w:fill="F7C9AC"/>
          </w:tcPr>
          <w:p w:rsidR="007C5447" w:rsidRDefault="00F6308C">
            <w:pPr>
              <w:pStyle w:val="TableParagraph"/>
              <w:spacing w:before="48"/>
              <w:ind w:left="1200" w:right="1190"/>
              <w:jc w:val="center"/>
              <w:rPr>
                <w:b/>
                <w:sz w:val="20"/>
              </w:rPr>
            </w:pPr>
            <w:r>
              <w:rPr>
                <w:b/>
                <w:sz w:val="20"/>
              </w:rPr>
              <w:t>TANGEDCO</w:t>
            </w:r>
          </w:p>
        </w:tc>
        <w:tc>
          <w:tcPr>
            <w:tcW w:w="2734" w:type="dxa"/>
            <w:gridSpan w:val="3"/>
            <w:shd w:val="clear" w:color="auto" w:fill="F7C9AC"/>
          </w:tcPr>
          <w:p w:rsidR="007C5447" w:rsidRDefault="00F6308C">
            <w:pPr>
              <w:pStyle w:val="TableParagraph"/>
              <w:spacing w:before="48"/>
              <w:ind w:left="844"/>
              <w:jc w:val="left"/>
              <w:rPr>
                <w:b/>
                <w:sz w:val="20"/>
              </w:rPr>
            </w:pPr>
            <w:r>
              <w:rPr>
                <w:b/>
                <w:sz w:val="20"/>
              </w:rPr>
              <w:t>Commission</w:t>
            </w:r>
          </w:p>
        </w:tc>
      </w:tr>
      <w:tr w:rsidR="007C5447">
        <w:trPr>
          <w:trHeight w:val="491"/>
        </w:trPr>
        <w:tc>
          <w:tcPr>
            <w:tcW w:w="434" w:type="dxa"/>
            <w:vMerge/>
            <w:tcBorders>
              <w:top w:val="nil"/>
            </w:tcBorders>
            <w:shd w:val="clear" w:color="auto" w:fill="F7C9AC"/>
          </w:tcPr>
          <w:p w:rsidR="007C5447" w:rsidRDefault="007C5447">
            <w:pPr>
              <w:rPr>
                <w:sz w:val="2"/>
                <w:szCs w:val="2"/>
              </w:rPr>
            </w:pPr>
          </w:p>
        </w:tc>
        <w:tc>
          <w:tcPr>
            <w:tcW w:w="2472" w:type="dxa"/>
            <w:vMerge/>
            <w:tcBorders>
              <w:top w:val="nil"/>
            </w:tcBorders>
            <w:shd w:val="clear" w:color="auto" w:fill="F7C9AC"/>
          </w:tcPr>
          <w:p w:rsidR="007C5447" w:rsidRDefault="007C5447">
            <w:pPr>
              <w:rPr>
                <w:sz w:val="2"/>
                <w:szCs w:val="2"/>
              </w:rPr>
            </w:pPr>
          </w:p>
        </w:tc>
        <w:tc>
          <w:tcPr>
            <w:tcW w:w="1199" w:type="dxa"/>
            <w:shd w:val="clear" w:color="auto" w:fill="F7C9AC"/>
          </w:tcPr>
          <w:p w:rsidR="007C5447" w:rsidRDefault="00F6308C">
            <w:pPr>
              <w:pStyle w:val="TableParagraph"/>
              <w:spacing w:before="132"/>
              <w:ind w:right="91"/>
              <w:rPr>
                <w:b/>
                <w:sz w:val="20"/>
              </w:rPr>
            </w:pPr>
            <w:r>
              <w:rPr>
                <w:b/>
                <w:sz w:val="20"/>
              </w:rPr>
              <w:t>FY 2016-17</w:t>
            </w:r>
          </w:p>
        </w:tc>
        <w:tc>
          <w:tcPr>
            <w:tcW w:w="1199" w:type="dxa"/>
            <w:shd w:val="clear" w:color="auto" w:fill="F7C9AC"/>
          </w:tcPr>
          <w:p w:rsidR="007C5447" w:rsidRDefault="00F6308C">
            <w:pPr>
              <w:pStyle w:val="TableParagraph"/>
              <w:spacing w:before="132"/>
              <w:ind w:right="90"/>
              <w:rPr>
                <w:b/>
                <w:sz w:val="20"/>
              </w:rPr>
            </w:pPr>
            <w:r>
              <w:rPr>
                <w:b/>
                <w:sz w:val="20"/>
              </w:rPr>
              <w:t>FY 2017-18</w:t>
            </w:r>
          </w:p>
        </w:tc>
        <w:tc>
          <w:tcPr>
            <w:tcW w:w="1199" w:type="dxa"/>
            <w:shd w:val="clear" w:color="auto" w:fill="F7C9AC"/>
          </w:tcPr>
          <w:p w:rsidR="007C5447" w:rsidRDefault="00F6308C">
            <w:pPr>
              <w:pStyle w:val="TableParagraph"/>
              <w:spacing w:before="132"/>
              <w:ind w:right="89"/>
              <w:rPr>
                <w:b/>
                <w:sz w:val="20"/>
              </w:rPr>
            </w:pPr>
            <w:r>
              <w:rPr>
                <w:b/>
                <w:sz w:val="20"/>
              </w:rPr>
              <w:t>FY 2018-19</w:t>
            </w:r>
          </w:p>
        </w:tc>
        <w:tc>
          <w:tcPr>
            <w:tcW w:w="911" w:type="dxa"/>
            <w:shd w:val="clear" w:color="auto" w:fill="F7C9AC"/>
          </w:tcPr>
          <w:p w:rsidR="007C5447" w:rsidRDefault="00F6308C">
            <w:pPr>
              <w:pStyle w:val="TableParagraph"/>
              <w:spacing w:before="21" w:line="228" w:lineRule="exact"/>
              <w:ind w:left="126" w:right="102" w:firstLine="199"/>
              <w:jc w:val="left"/>
              <w:rPr>
                <w:b/>
                <w:sz w:val="20"/>
              </w:rPr>
            </w:pPr>
            <w:r>
              <w:rPr>
                <w:b/>
                <w:sz w:val="20"/>
              </w:rPr>
              <w:t>FY 2016-17</w:t>
            </w:r>
          </w:p>
        </w:tc>
        <w:tc>
          <w:tcPr>
            <w:tcW w:w="912" w:type="dxa"/>
            <w:shd w:val="clear" w:color="auto" w:fill="F7C9AC"/>
          </w:tcPr>
          <w:p w:rsidR="007C5447" w:rsidRDefault="00F6308C">
            <w:pPr>
              <w:pStyle w:val="TableParagraph"/>
              <w:spacing w:before="21" w:line="228" w:lineRule="exact"/>
              <w:ind w:left="128" w:right="102" w:firstLine="199"/>
              <w:jc w:val="left"/>
              <w:rPr>
                <w:b/>
                <w:sz w:val="20"/>
              </w:rPr>
            </w:pPr>
            <w:r>
              <w:rPr>
                <w:b/>
                <w:sz w:val="20"/>
              </w:rPr>
              <w:t>FY 2017-18</w:t>
            </w:r>
          </w:p>
        </w:tc>
        <w:tc>
          <w:tcPr>
            <w:tcW w:w="911" w:type="dxa"/>
            <w:shd w:val="clear" w:color="auto" w:fill="F7C9AC"/>
          </w:tcPr>
          <w:p w:rsidR="007C5447" w:rsidRDefault="00F6308C">
            <w:pPr>
              <w:pStyle w:val="TableParagraph"/>
              <w:spacing w:before="21" w:line="228" w:lineRule="exact"/>
              <w:ind w:left="128" w:right="101" w:firstLine="199"/>
              <w:jc w:val="left"/>
              <w:rPr>
                <w:b/>
                <w:sz w:val="20"/>
              </w:rPr>
            </w:pPr>
            <w:r>
              <w:rPr>
                <w:b/>
                <w:sz w:val="20"/>
              </w:rPr>
              <w:t>FY 2018-19</w:t>
            </w:r>
          </w:p>
        </w:tc>
      </w:tr>
      <w:tr w:rsidR="007C5447">
        <w:trPr>
          <w:trHeight w:val="328"/>
        </w:trPr>
        <w:tc>
          <w:tcPr>
            <w:tcW w:w="434" w:type="dxa"/>
            <w:shd w:val="clear" w:color="auto" w:fill="BEBEBE"/>
          </w:tcPr>
          <w:p w:rsidR="007C5447" w:rsidRDefault="007C5447">
            <w:pPr>
              <w:pStyle w:val="TableParagraph"/>
              <w:jc w:val="left"/>
              <w:rPr>
                <w:sz w:val="20"/>
              </w:rPr>
            </w:pPr>
          </w:p>
        </w:tc>
        <w:tc>
          <w:tcPr>
            <w:tcW w:w="2472" w:type="dxa"/>
            <w:shd w:val="clear" w:color="auto" w:fill="BEBEBE"/>
          </w:tcPr>
          <w:p w:rsidR="007C5447" w:rsidRDefault="00F6308C">
            <w:pPr>
              <w:pStyle w:val="TableParagraph"/>
              <w:spacing w:before="48"/>
              <w:ind w:left="108"/>
              <w:jc w:val="left"/>
              <w:rPr>
                <w:b/>
                <w:sz w:val="20"/>
              </w:rPr>
            </w:pPr>
            <w:r>
              <w:rPr>
                <w:b/>
                <w:sz w:val="20"/>
              </w:rPr>
              <w:t>Coal Thermal</w:t>
            </w:r>
          </w:p>
        </w:tc>
        <w:tc>
          <w:tcPr>
            <w:tcW w:w="1199" w:type="dxa"/>
            <w:shd w:val="clear" w:color="auto" w:fill="BEBEBE"/>
          </w:tcPr>
          <w:p w:rsidR="007C5447" w:rsidRDefault="007C5447">
            <w:pPr>
              <w:pStyle w:val="TableParagraph"/>
              <w:jc w:val="left"/>
              <w:rPr>
                <w:sz w:val="20"/>
              </w:rPr>
            </w:pPr>
          </w:p>
        </w:tc>
        <w:tc>
          <w:tcPr>
            <w:tcW w:w="1199" w:type="dxa"/>
            <w:shd w:val="clear" w:color="auto" w:fill="BEBEBE"/>
          </w:tcPr>
          <w:p w:rsidR="007C5447" w:rsidRDefault="007C5447">
            <w:pPr>
              <w:pStyle w:val="TableParagraph"/>
              <w:jc w:val="left"/>
              <w:rPr>
                <w:sz w:val="20"/>
              </w:rPr>
            </w:pPr>
          </w:p>
        </w:tc>
        <w:tc>
          <w:tcPr>
            <w:tcW w:w="1199" w:type="dxa"/>
            <w:shd w:val="clear" w:color="auto" w:fill="BEBEBE"/>
          </w:tcPr>
          <w:p w:rsidR="007C5447" w:rsidRDefault="007C5447">
            <w:pPr>
              <w:pStyle w:val="TableParagraph"/>
              <w:jc w:val="left"/>
              <w:rPr>
                <w:sz w:val="20"/>
              </w:rPr>
            </w:pPr>
          </w:p>
        </w:tc>
        <w:tc>
          <w:tcPr>
            <w:tcW w:w="911" w:type="dxa"/>
            <w:shd w:val="clear" w:color="auto" w:fill="BEBEBE"/>
          </w:tcPr>
          <w:p w:rsidR="007C5447" w:rsidRDefault="007C5447">
            <w:pPr>
              <w:pStyle w:val="TableParagraph"/>
              <w:jc w:val="left"/>
              <w:rPr>
                <w:sz w:val="20"/>
              </w:rPr>
            </w:pPr>
          </w:p>
        </w:tc>
        <w:tc>
          <w:tcPr>
            <w:tcW w:w="912" w:type="dxa"/>
            <w:shd w:val="clear" w:color="auto" w:fill="BEBEBE"/>
          </w:tcPr>
          <w:p w:rsidR="007C5447" w:rsidRDefault="007C5447">
            <w:pPr>
              <w:pStyle w:val="TableParagraph"/>
              <w:jc w:val="left"/>
              <w:rPr>
                <w:sz w:val="20"/>
              </w:rPr>
            </w:pPr>
          </w:p>
        </w:tc>
        <w:tc>
          <w:tcPr>
            <w:tcW w:w="911" w:type="dxa"/>
            <w:shd w:val="clear" w:color="auto" w:fill="BEBEBE"/>
          </w:tcPr>
          <w:p w:rsidR="007C5447" w:rsidRDefault="007C5447">
            <w:pPr>
              <w:pStyle w:val="TableParagraph"/>
              <w:jc w:val="left"/>
              <w:rPr>
                <w:sz w:val="20"/>
              </w:rPr>
            </w:pPr>
          </w:p>
        </w:tc>
      </w:tr>
      <w:tr w:rsidR="007C5447">
        <w:trPr>
          <w:trHeight w:val="326"/>
        </w:trPr>
        <w:tc>
          <w:tcPr>
            <w:tcW w:w="434" w:type="dxa"/>
          </w:tcPr>
          <w:p w:rsidR="007C5447" w:rsidRDefault="00F6308C">
            <w:pPr>
              <w:pStyle w:val="TableParagraph"/>
              <w:spacing w:before="48"/>
              <w:ind w:left="107"/>
              <w:jc w:val="left"/>
              <w:rPr>
                <w:sz w:val="20"/>
              </w:rPr>
            </w:pPr>
            <w:r>
              <w:rPr>
                <w:w w:val="99"/>
                <w:sz w:val="20"/>
              </w:rPr>
              <w:t>1</w:t>
            </w:r>
          </w:p>
        </w:tc>
        <w:tc>
          <w:tcPr>
            <w:tcW w:w="2472" w:type="dxa"/>
          </w:tcPr>
          <w:p w:rsidR="007C5447" w:rsidRDefault="00F6308C">
            <w:pPr>
              <w:pStyle w:val="TableParagraph"/>
              <w:spacing w:before="48"/>
              <w:ind w:left="108"/>
              <w:jc w:val="left"/>
              <w:rPr>
                <w:sz w:val="20"/>
              </w:rPr>
            </w:pPr>
            <w:r>
              <w:rPr>
                <w:sz w:val="20"/>
              </w:rPr>
              <w:t>Ennore TPS</w:t>
            </w:r>
          </w:p>
        </w:tc>
        <w:tc>
          <w:tcPr>
            <w:tcW w:w="1199" w:type="dxa"/>
          </w:tcPr>
          <w:p w:rsidR="007C5447" w:rsidRDefault="00F6308C">
            <w:pPr>
              <w:pStyle w:val="TableParagraph"/>
              <w:spacing w:before="48"/>
              <w:ind w:right="96"/>
              <w:rPr>
                <w:sz w:val="20"/>
              </w:rPr>
            </w:pPr>
            <w:r>
              <w:rPr>
                <w:w w:val="95"/>
                <w:sz w:val="20"/>
              </w:rPr>
              <w:t>3,260</w:t>
            </w:r>
          </w:p>
        </w:tc>
        <w:tc>
          <w:tcPr>
            <w:tcW w:w="1199" w:type="dxa"/>
          </w:tcPr>
          <w:p w:rsidR="007C5447" w:rsidRDefault="007C5447">
            <w:pPr>
              <w:pStyle w:val="TableParagraph"/>
              <w:jc w:val="left"/>
              <w:rPr>
                <w:sz w:val="20"/>
              </w:rPr>
            </w:pPr>
          </w:p>
        </w:tc>
        <w:tc>
          <w:tcPr>
            <w:tcW w:w="1199" w:type="dxa"/>
          </w:tcPr>
          <w:p w:rsidR="007C5447" w:rsidRDefault="007C5447">
            <w:pPr>
              <w:pStyle w:val="TableParagraph"/>
              <w:jc w:val="left"/>
              <w:rPr>
                <w:sz w:val="20"/>
              </w:rPr>
            </w:pPr>
          </w:p>
        </w:tc>
        <w:tc>
          <w:tcPr>
            <w:tcW w:w="911" w:type="dxa"/>
          </w:tcPr>
          <w:p w:rsidR="007C5447" w:rsidRDefault="00F6308C">
            <w:pPr>
              <w:pStyle w:val="TableParagraph"/>
              <w:spacing w:before="48"/>
              <w:ind w:right="92"/>
              <w:rPr>
                <w:sz w:val="20"/>
              </w:rPr>
            </w:pPr>
            <w:r>
              <w:rPr>
                <w:w w:val="95"/>
                <w:sz w:val="20"/>
              </w:rPr>
              <w:t>3,260</w:t>
            </w:r>
          </w:p>
        </w:tc>
        <w:tc>
          <w:tcPr>
            <w:tcW w:w="912" w:type="dxa"/>
          </w:tcPr>
          <w:p w:rsidR="007C5447" w:rsidRDefault="007C5447">
            <w:pPr>
              <w:pStyle w:val="TableParagraph"/>
              <w:jc w:val="left"/>
              <w:rPr>
                <w:sz w:val="20"/>
              </w:rPr>
            </w:pPr>
          </w:p>
        </w:tc>
        <w:tc>
          <w:tcPr>
            <w:tcW w:w="911" w:type="dxa"/>
          </w:tcPr>
          <w:p w:rsidR="007C5447" w:rsidRDefault="007C5447">
            <w:pPr>
              <w:pStyle w:val="TableParagraph"/>
              <w:jc w:val="left"/>
              <w:rPr>
                <w:sz w:val="20"/>
              </w:rPr>
            </w:pPr>
          </w:p>
        </w:tc>
      </w:tr>
      <w:tr w:rsidR="007C5447">
        <w:trPr>
          <w:trHeight w:val="328"/>
        </w:trPr>
        <w:tc>
          <w:tcPr>
            <w:tcW w:w="434" w:type="dxa"/>
          </w:tcPr>
          <w:p w:rsidR="007C5447" w:rsidRDefault="00F6308C">
            <w:pPr>
              <w:pStyle w:val="TableParagraph"/>
              <w:spacing w:before="50"/>
              <w:ind w:left="107"/>
              <w:jc w:val="left"/>
              <w:rPr>
                <w:sz w:val="20"/>
              </w:rPr>
            </w:pPr>
            <w:r>
              <w:rPr>
                <w:w w:val="99"/>
                <w:sz w:val="20"/>
              </w:rPr>
              <w:t>2</w:t>
            </w:r>
          </w:p>
        </w:tc>
        <w:tc>
          <w:tcPr>
            <w:tcW w:w="2472" w:type="dxa"/>
          </w:tcPr>
          <w:p w:rsidR="007C5447" w:rsidRDefault="00F6308C">
            <w:pPr>
              <w:pStyle w:val="TableParagraph"/>
              <w:spacing w:before="50"/>
              <w:ind w:left="108"/>
              <w:jc w:val="left"/>
              <w:rPr>
                <w:sz w:val="20"/>
              </w:rPr>
            </w:pPr>
            <w:r>
              <w:rPr>
                <w:sz w:val="20"/>
              </w:rPr>
              <w:t>Ennore Expansion II</w:t>
            </w:r>
          </w:p>
        </w:tc>
        <w:tc>
          <w:tcPr>
            <w:tcW w:w="1199" w:type="dxa"/>
          </w:tcPr>
          <w:p w:rsidR="007C5447" w:rsidRDefault="007C5447">
            <w:pPr>
              <w:pStyle w:val="TableParagraph"/>
              <w:jc w:val="left"/>
              <w:rPr>
                <w:sz w:val="20"/>
              </w:rPr>
            </w:pPr>
          </w:p>
        </w:tc>
        <w:tc>
          <w:tcPr>
            <w:tcW w:w="1199" w:type="dxa"/>
          </w:tcPr>
          <w:p w:rsidR="007C5447" w:rsidRDefault="007C5447">
            <w:pPr>
              <w:pStyle w:val="TableParagraph"/>
              <w:jc w:val="left"/>
              <w:rPr>
                <w:sz w:val="20"/>
              </w:rPr>
            </w:pPr>
          </w:p>
        </w:tc>
        <w:tc>
          <w:tcPr>
            <w:tcW w:w="1199" w:type="dxa"/>
          </w:tcPr>
          <w:p w:rsidR="007C5447" w:rsidRDefault="00F6308C">
            <w:pPr>
              <w:pStyle w:val="TableParagraph"/>
              <w:spacing w:before="50"/>
              <w:ind w:right="93"/>
              <w:rPr>
                <w:sz w:val="20"/>
              </w:rPr>
            </w:pPr>
            <w:r>
              <w:rPr>
                <w:sz w:val="20"/>
              </w:rPr>
              <w:t>3,551</w:t>
            </w:r>
          </w:p>
        </w:tc>
        <w:tc>
          <w:tcPr>
            <w:tcW w:w="911" w:type="dxa"/>
          </w:tcPr>
          <w:p w:rsidR="007C5447" w:rsidRDefault="007C5447">
            <w:pPr>
              <w:pStyle w:val="TableParagraph"/>
              <w:jc w:val="left"/>
              <w:rPr>
                <w:sz w:val="20"/>
              </w:rPr>
            </w:pPr>
          </w:p>
        </w:tc>
        <w:tc>
          <w:tcPr>
            <w:tcW w:w="912" w:type="dxa"/>
          </w:tcPr>
          <w:p w:rsidR="007C5447" w:rsidRDefault="007C5447">
            <w:pPr>
              <w:pStyle w:val="TableParagraph"/>
              <w:jc w:val="left"/>
              <w:rPr>
                <w:sz w:val="20"/>
              </w:rPr>
            </w:pPr>
          </w:p>
        </w:tc>
        <w:tc>
          <w:tcPr>
            <w:tcW w:w="911" w:type="dxa"/>
          </w:tcPr>
          <w:p w:rsidR="007C5447" w:rsidRDefault="00F6308C">
            <w:pPr>
              <w:pStyle w:val="TableParagraph"/>
              <w:spacing w:before="50"/>
              <w:ind w:right="91"/>
              <w:rPr>
                <w:sz w:val="20"/>
              </w:rPr>
            </w:pPr>
            <w:r>
              <w:rPr>
                <w:w w:val="95"/>
                <w:sz w:val="20"/>
              </w:rPr>
              <w:t>3,551</w:t>
            </w:r>
          </w:p>
        </w:tc>
      </w:tr>
      <w:tr w:rsidR="007C5447">
        <w:trPr>
          <w:trHeight w:val="328"/>
        </w:trPr>
        <w:tc>
          <w:tcPr>
            <w:tcW w:w="434" w:type="dxa"/>
          </w:tcPr>
          <w:p w:rsidR="007C5447" w:rsidRDefault="00F6308C">
            <w:pPr>
              <w:pStyle w:val="TableParagraph"/>
              <w:spacing w:before="50"/>
              <w:ind w:left="107"/>
              <w:jc w:val="left"/>
              <w:rPr>
                <w:sz w:val="20"/>
              </w:rPr>
            </w:pPr>
            <w:r>
              <w:rPr>
                <w:w w:val="99"/>
                <w:sz w:val="20"/>
              </w:rPr>
              <w:t>3</w:t>
            </w:r>
          </w:p>
        </w:tc>
        <w:tc>
          <w:tcPr>
            <w:tcW w:w="2472" w:type="dxa"/>
          </w:tcPr>
          <w:p w:rsidR="007C5447" w:rsidRDefault="00F6308C">
            <w:pPr>
              <w:pStyle w:val="TableParagraph"/>
              <w:spacing w:before="50"/>
              <w:ind w:left="108"/>
              <w:jc w:val="left"/>
              <w:rPr>
                <w:sz w:val="20"/>
              </w:rPr>
            </w:pPr>
            <w:r>
              <w:rPr>
                <w:sz w:val="20"/>
              </w:rPr>
              <w:t>Tuticorin TPS</w:t>
            </w:r>
          </w:p>
        </w:tc>
        <w:tc>
          <w:tcPr>
            <w:tcW w:w="1199" w:type="dxa"/>
          </w:tcPr>
          <w:p w:rsidR="007C5447" w:rsidRDefault="00F6308C">
            <w:pPr>
              <w:pStyle w:val="TableParagraph"/>
              <w:spacing w:before="50"/>
              <w:ind w:right="96"/>
              <w:rPr>
                <w:sz w:val="20"/>
              </w:rPr>
            </w:pPr>
            <w:r>
              <w:rPr>
                <w:w w:val="95"/>
                <w:sz w:val="20"/>
              </w:rPr>
              <w:t>3,440</w:t>
            </w:r>
          </w:p>
        </w:tc>
        <w:tc>
          <w:tcPr>
            <w:tcW w:w="1199" w:type="dxa"/>
          </w:tcPr>
          <w:p w:rsidR="007C5447" w:rsidRDefault="00F6308C">
            <w:pPr>
              <w:pStyle w:val="TableParagraph"/>
              <w:spacing w:before="50"/>
              <w:ind w:right="95"/>
              <w:rPr>
                <w:sz w:val="20"/>
              </w:rPr>
            </w:pPr>
            <w:r>
              <w:rPr>
                <w:w w:val="95"/>
                <w:sz w:val="20"/>
              </w:rPr>
              <w:t>3,170</w:t>
            </w:r>
          </w:p>
        </w:tc>
        <w:tc>
          <w:tcPr>
            <w:tcW w:w="1199" w:type="dxa"/>
          </w:tcPr>
          <w:p w:rsidR="007C5447" w:rsidRDefault="00F6308C">
            <w:pPr>
              <w:pStyle w:val="TableParagraph"/>
              <w:spacing w:before="50"/>
              <w:ind w:right="93"/>
              <w:rPr>
                <w:sz w:val="20"/>
              </w:rPr>
            </w:pPr>
            <w:r>
              <w:rPr>
                <w:sz w:val="20"/>
              </w:rPr>
              <w:t>3,170</w:t>
            </w:r>
          </w:p>
        </w:tc>
        <w:tc>
          <w:tcPr>
            <w:tcW w:w="911" w:type="dxa"/>
          </w:tcPr>
          <w:p w:rsidR="007C5447" w:rsidRDefault="00F6308C">
            <w:pPr>
              <w:pStyle w:val="TableParagraph"/>
              <w:spacing w:before="50"/>
              <w:ind w:right="92"/>
              <w:rPr>
                <w:sz w:val="20"/>
              </w:rPr>
            </w:pPr>
            <w:r>
              <w:rPr>
                <w:w w:val="95"/>
                <w:sz w:val="20"/>
              </w:rPr>
              <w:t>3,440</w:t>
            </w:r>
          </w:p>
        </w:tc>
        <w:tc>
          <w:tcPr>
            <w:tcW w:w="912" w:type="dxa"/>
          </w:tcPr>
          <w:p w:rsidR="007C5447" w:rsidRDefault="00F6308C">
            <w:pPr>
              <w:pStyle w:val="TableParagraph"/>
              <w:spacing w:before="50"/>
              <w:ind w:right="92"/>
              <w:rPr>
                <w:sz w:val="20"/>
              </w:rPr>
            </w:pPr>
            <w:r>
              <w:rPr>
                <w:w w:val="95"/>
                <w:sz w:val="20"/>
              </w:rPr>
              <w:t>3,440</w:t>
            </w:r>
          </w:p>
        </w:tc>
        <w:tc>
          <w:tcPr>
            <w:tcW w:w="911" w:type="dxa"/>
          </w:tcPr>
          <w:p w:rsidR="007C5447" w:rsidRDefault="00F6308C">
            <w:pPr>
              <w:pStyle w:val="TableParagraph"/>
              <w:spacing w:before="50"/>
              <w:ind w:right="91"/>
              <w:rPr>
                <w:sz w:val="20"/>
              </w:rPr>
            </w:pPr>
            <w:r>
              <w:rPr>
                <w:w w:val="95"/>
                <w:sz w:val="20"/>
              </w:rPr>
              <w:t>3,440</w:t>
            </w:r>
          </w:p>
        </w:tc>
      </w:tr>
      <w:tr w:rsidR="007C5447">
        <w:trPr>
          <w:trHeight w:val="328"/>
        </w:trPr>
        <w:tc>
          <w:tcPr>
            <w:tcW w:w="434" w:type="dxa"/>
          </w:tcPr>
          <w:p w:rsidR="007C5447" w:rsidRDefault="00F6308C">
            <w:pPr>
              <w:pStyle w:val="TableParagraph"/>
              <w:spacing w:before="48"/>
              <w:ind w:left="107"/>
              <w:jc w:val="left"/>
              <w:rPr>
                <w:sz w:val="20"/>
              </w:rPr>
            </w:pPr>
            <w:r>
              <w:rPr>
                <w:w w:val="99"/>
                <w:sz w:val="20"/>
              </w:rPr>
              <w:t>4</w:t>
            </w:r>
          </w:p>
        </w:tc>
        <w:tc>
          <w:tcPr>
            <w:tcW w:w="2472" w:type="dxa"/>
          </w:tcPr>
          <w:p w:rsidR="007C5447" w:rsidRDefault="00F6308C">
            <w:pPr>
              <w:pStyle w:val="TableParagraph"/>
              <w:spacing w:before="48"/>
              <w:ind w:left="108"/>
              <w:jc w:val="left"/>
              <w:rPr>
                <w:sz w:val="20"/>
              </w:rPr>
            </w:pPr>
            <w:r>
              <w:rPr>
                <w:sz w:val="20"/>
              </w:rPr>
              <w:t>Mettur TPS</w:t>
            </w:r>
          </w:p>
        </w:tc>
        <w:tc>
          <w:tcPr>
            <w:tcW w:w="1199" w:type="dxa"/>
          </w:tcPr>
          <w:p w:rsidR="007C5447" w:rsidRDefault="00F6308C">
            <w:pPr>
              <w:pStyle w:val="TableParagraph"/>
              <w:spacing w:before="48"/>
              <w:ind w:right="96"/>
              <w:rPr>
                <w:sz w:val="20"/>
              </w:rPr>
            </w:pPr>
            <w:r>
              <w:rPr>
                <w:w w:val="95"/>
                <w:sz w:val="20"/>
              </w:rPr>
              <w:t>3,253</w:t>
            </w:r>
          </w:p>
        </w:tc>
        <w:tc>
          <w:tcPr>
            <w:tcW w:w="1199" w:type="dxa"/>
          </w:tcPr>
          <w:p w:rsidR="007C5447" w:rsidRDefault="00F6308C">
            <w:pPr>
              <w:pStyle w:val="TableParagraph"/>
              <w:spacing w:before="48"/>
              <w:ind w:right="94"/>
              <w:rPr>
                <w:sz w:val="20"/>
              </w:rPr>
            </w:pPr>
            <w:r>
              <w:rPr>
                <w:w w:val="95"/>
                <w:sz w:val="20"/>
              </w:rPr>
              <w:t>3,028</w:t>
            </w:r>
          </w:p>
        </w:tc>
        <w:tc>
          <w:tcPr>
            <w:tcW w:w="1199" w:type="dxa"/>
          </w:tcPr>
          <w:p w:rsidR="007C5447" w:rsidRDefault="00F6308C">
            <w:pPr>
              <w:pStyle w:val="TableParagraph"/>
              <w:spacing w:before="48"/>
              <w:ind w:right="93"/>
              <w:rPr>
                <w:sz w:val="20"/>
              </w:rPr>
            </w:pPr>
            <w:r>
              <w:rPr>
                <w:sz w:val="20"/>
              </w:rPr>
              <w:t>3,028</w:t>
            </w:r>
          </w:p>
        </w:tc>
        <w:tc>
          <w:tcPr>
            <w:tcW w:w="911" w:type="dxa"/>
          </w:tcPr>
          <w:p w:rsidR="007C5447" w:rsidRDefault="00F6308C">
            <w:pPr>
              <w:pStyle w:val="TableParagraph"/>
              <w:spacing w:before="48"/>
              <w:ind w:right="92"/>
              <w:rPr>
                <w:sz w:val="20"/>
              </w:rPr>
            </w:pPr>
            <w:r>
              <w:rPr>
                <w:w w:val="95"/>
                <w:sz w:val="20"/>
              </w:rPr>
              <w:t>3,623</w:t>
            </w:r>
          </w:p>
        </w:tc>
        <w:tc>
          <w:tcPr>
            <w:tcW w:w="912" w:type="dxa"/>
          </w:tcPr>
          <w:p w:rsidR="007C5447" w:rsidRDefault="00F6308C">
            <w:pPr>
              <w:pStyle w:val="TableParagraph"/>
              <w:spacing w:before="48"/>
              <w:ind w:right="92"/>
              <w:rPr>
                <w:sz w:val="20"/>
              </w:rPr>
            </w:pPr>
            <w:r>
              <w:rPr>
                <w:w w:val="95"/>
                <w:sz w:val="20"/>
              </w:rPr>
              <w:t>3,623</w:t>
            </w:r>
          </w:p>
        </w:tc>
        <w:tc>
          <w:tcPr>
            <w:tcW w:w="911" w:type="dxa"/>
          </w:tcPr>
          <w:p w:rsidR="007C5447" w:rsidRDefault="00F6308C">
            <w:pPr>
              <w:pStyle w:val="TableParagraph"/>
              <w:spacing w:before="48"/>
              <w:ind w:right="91"/>
              <w:rPr>
                <w:sz w:val="20"/>
              </w:rPr>
            </w:pPr>
            <w:r>
              <w:rPr>
                <w:w w:val="95"/>
                <w:sz w:val="20"/>
              </w:rPr>
              <w:t>3,623</w:t>
            </w:r>
          </w:p>
        </w:tc>
      </w:tr>
      <w:tr w:rsidR="007C5447">
        <w:trPr>
          <w:trHeight w:val="328"/>
        </w:trPr>
        <w:tc>
          <w:tcPr>
            <w:tcW w:w="434" w:type="dxa"/>
          </w:tcPr>
          <w:p w:rsidR="007C5447" w:rsidRDefault="00F6308C">
            <w:pPr>
              <w:pStyle w:val="TableParagraph"/>
              <w:spacing w:before="48"/>
              <w:ind w:left="107"/>
              <w:jc w:val="left"/>
              <w:rPr>
                <w:sz w:val="20"/>
              </w:rPr>
            </w:pPr>
            <w:r>
              <w:rPr>
                <w:w w:val="99"/>
                <w:sz w:val="20"/>
              </w:rPr>
              <w:t>5</w:t>
            </w:r>
          </w:p>
        </w:tc>
        <w:tc>
          <w:tcPr>
            <w:tcW w:w="2472" w:type="dxa"/>
          </w:tcPr>
          <w:p w:rsidR="007C5447" w:rsidRDefault="00F6308C">
            <w:pPr>
              <w:pStyle w:val="TableParagraph"/>
              <w:spacing w:before="48"/>
              <w:ind w:left="108"/>
              <w:jc w:val="left"/>
              <w:rPr>
                <w:sz w:val="20"/>
              </w:rPr>
            </w:pPr>
            <w:r>
              <w:rPr>
                <w:sz w:val="20"/>
              </w:rPr>
              <w:t>Mettur Stage III TPS</w:t>
            </w:r>
          </w:p>
        </w:tc>
        <w:tc>
          <w:tcPr>
            <w:tcW w:w="1199" w:type="dxa"/>
          </w:tcPr>
          <w:p w:rsidR="007C5447" w:rsidRDefault="00F6308C">
            <w:pPr>
              <w:pStyle w:val="TableParagraph"/>
              <w:spacing w:before="48"/>
              <w:ind w:right="96"/>
              <w:rPr>
                <w:sz w:val="20"/>
              </w:rPr>
            </w:pPr>
            <w:r>
              <w:rPr>
                <w:w w:val="95"/>
                <w:sz w:val="20"/>
              </w:rPr>
              <w:t>3,438</w:t>
            </w:r>
          </w:p>
        </w:tc>
        <w:tc>
          <w:tcPr>
            <w:tcW w:w="1199" w:type="dxa"/>
          </w:tcPr>
          <w:p w:rsidR="007C5447" w:rsidRDefault="00F6308C">
            <w:pPr>
              <w:pStyle w:val="TableParagraph"/>
              <w:spacing w:before="48"/>
              <w:ind w:right="95"/>
              <w:rPr>
                <w:sz w:val="20"/>
              </w:rPr>
            </w:pPr>
            <w:r>
              <w:rPr>
                <w:w w:val="95"/>
                <w:sz w:val="20"/>
              </w:rPr>
              <w:t>2,962</w:t>
            </w:r>
          </w:p>
        </w:tc>
        <w:tc>
          <w:tcPr>
            <w:tcW w:w="1199" w:type="dxa"/>
          </w:tcPr>
          <w:p w:rsidR="007C5447" w:rsidRDefault="00F6308C">
            <w:pPr>
              <w:pStyle w:val="TableParagraph"/>
              <w:spacing w:before="48"/>
              <w:ind w:right="93"/>
              <w:rPr>
                <w:sz w:val="20"/>
              </w:rPr>
            </w:pPr>
            <w:r>
              <w:rPr>
                <w:sz w:val="20"/>
              </w:rPr>
              <w:t>2,962</w:t>
            </w:r>
          </w:p>
        </w:tc>
        <w:tc>
          <w:tcPr>
            <w:tcW w:w="911" w:type="dxa"/>
          </w:tcPr>
          <w:p w:rsidR="007C5447" w:rsidRDefault="00F6308C">
            <w:pPr>
              <w:pStyle w:val="TableParagraph"/>
              <w:spacing w:before="48"/>
              <w:ind w:right="92"/>
              <w:rPr>
                <w:sz w:val="20"/>
              </w:rPr>
            </w:pPr>
            <w:r>
              <w:rPr>
                <w:w w:val="95"/>
                <w:sz w:val="20"/>
              </w:rPr>
              <w:t>3,438</w:t>
            </w:r>
          </w:p>
        </w:tc>
        <w:tc>
          <w:tcPr>
            <w:tcW w:w="912" w:type="dxa"/>
          </w:tcPr>
          <w:p w:rsidR="007C5447" w:rsidRDefault="00F6308C">
            <w:pPr>
              <w:pStyle w:val="TableParagraph"/>
              <w:spacing w:before="48"/>
              <w:ind w:right="92"/>
              <w:rPr>
                <w:sz w:val="20"/>
              </w:rPr>
            </w:pPr>
            <w:r>
              <w:rPr>
                <w:w w:val="95"/>
                <w:sz w:val="20"/>
              </w:rPr>
              <w:t>3,438</w:t>
            </w:r>
          </w:p>
        </w:tc>
        <w:tc>
          <w:tcPr>
            <w:tcW w:w="911" w:type="dxa"/>
          </w:tcPr>
          <w:p w:rsidR="007C5447" w:rsidRDefault="00F6308C">
            <w:pPr>
              <w:pStyle w:val="TableParagraph"/>
              <w:spacing w:before="48"/>
              <w:ind w:right="91"/>
              <w:rPr>
                <w:sz w:val="20"/>
              </w:rPr>
            </w:pPr>
            <w:r>
              <w:rPr>
                <w:w w:val="95"/>
                <w:sz w:val="20"/>
              </w:rPr>
              <w:t>3,438</w:t>
            </w:r>
          </w:p>
        </w:tc>
      </w:tr>
      <w:tr w:rsidR="007C5447">
        <w:trPr>
          <w:trHeight w:val="328"/>
        </w:trPr>
        <w:tc>
          <w:tcPr>
            <w:tcW w:w="434" w:type="dxa"/>
          </w:tcPr>
          <w:p w:rsidR="007C5447" w:rsidRDefault="00F6308C">
            <w:pPr>
              <w:pStyle w:val="TableParagraph"/>
              <w:spacing w:before="48"/>
              <w:ind w:left="107"/>
              <w:jc w:val="left"/>
              <w:rPr>
                <w:sz w:val="20"/>
              </w:rPr>
            </w:pPr>
            <w:r>
              <w:rPr>
                <w:w w:val="99"/>
                <w:sz w:val="20"/>
              </w:rPr>
              <w:t>6</w:t>
            </w:r>
          </w:p>
        </w:tc>
        <w:tc>
          <w:tcPr>
            <w:tcW w:w="2472" w:type="dxa"/>
          </w:tcPr>
          <w:p w:rsidR="007C5447" w:rsidRDefault="00F6308C">
            <w:pPr>
              <w:pStyle w:val="TableParagraph"/>
              <w:spacing w:before="48"/>
              <w:ind w:left="108"/>
              <w:jc w:val="left"/>
              <w:rPr>
                <w:sz w:val="20"/>
              </w:rPr>
            </w:pPr>
            <w:r>
              <w:rPr>
                <w:sz w:val="20"/>
              </w:rPr>
              <w:t>North Chennai TPS</w:t>
            </w:r>
          </w:p>
        </w:tc>
        <w:tc>
          <w:tcPr>
            <w:tcW w:w="1199" w:type="dxa"/>
          </w:tcPr>
          <w:p w:rsidR="007C5447" w:rsidRDefault="00F6308C">
            <w:pPr>
              <w:pStyle w:val="TableParagraph"/>
              <w:spacing w:before="48"/>
              <w:ind w:right="96"/>
              <w:rPr>
                <w:sz w:val="20"/>
              </w:rPr>
            </w:pPr>
            <w:r>
              <w:rPr>
                <w:w w:val="95"/>
                <w:sz w:val="20"/>
              </w:rPr>
              <w:t>3,837</w:t>
            </w:r>
          </w:p>
        </w:tc>
        <w:tc>
          <w:tcPr>
            <w:tcW w:w="1199" w:type="dxa"/>
          </w:tcPr>
          <w:p w:rsidR="007C5447" w:rsidRDefault="00F6308C">
            <w:pPr>
              <w:pStyle w:val="TableParagraph"/>
              <w:spacing w:before="48"/>
              <w:ind w:right="95"/>
              <w:rPr>
                <w:sz w:val="20"/>
              </w:rPr>
            </w:pPr>
            <w:r>
              <w:rPr>
                <w:w w:val="95"/>
                <w:sz w:val="20"/>
              </w:rPr>
              <w:t>3,542</w:t>
            </w:r>
          </w:p>
        </w:tc>
        <w:tc>
          <w:tcPr>
            <w:tcW w:w="1199" w:type="dxa"/>
          </w:tcPr>
          <w:p w:rsidR="007C5447" w:rsidRDefault="00F6308C">
            <w:pPr>
              <w:pStyle w:val="TableParagraph"/>
              <w:spacing w:before="48"/>
              <w:ind w:right="93"/>
              <w:rPr>
                <w:sz w:val="20"/>
              </w:rPr>
            </w:pPr>
            <w:r>
              <w:rPr>
                <w:sz w:val="20"/>
              </w:rPr>
              <w:t>3,542</w:t>
            </w:r>
          </w:p>
        </w:tc>
        <w:tc>
          <w:tcPr>
            <w:tcW w:w="911" w:type="dxa"/>
          </w:tcPr>
          <w:p w:rsidR="007C5447" w:rsidRDefault="00F6308C">
            <w:pPr>
              <w:pStyle w:val="TableParagraph"/>
              <w:spacing w:before="48"/>
              <w:ind w:right="92"/>
              <w:rPr>
                <w:sz w:val="20"/>
              </w:rPr>
            </w:pPr>
            <w:r>
              <w:rPr>
                <w:w w:val="95"/>
                <w:sz w:val="20"/>
              </w:rPr>
              <w:t>4,113</w:t>
            </w:r>
          </w:p>
        </w:tc>
        <w:tc>
          <w:tcPr>
            <w:tcW w:w="912" w:type="dxa"/>
          </w:tcPr>
          <w:p w:rsidR="007C5447" w:rsidRDefault="00F6308C">
            <w:pPr>
              <w:pStyle w:val="TableParagraph"/>
              <w:spacing w:before="48"/>
              <w:ind w:right="92"/>
              <w:rPr>
                <w:sz w:val="20"/>
              </w:rPr>
            </w:pPr>
            <w:r>
              <w:rPr>
                <w:w w:val="95"/>
                <w:sz w:val="20"/>
              </w:rPr>
              <w:t>4,113</w:t>
            </w:r>
          </w:p>
        </w:tc>
        <w:tc>
          <w:tcPr>
            <w:tcW w:w="911" w:type="dxa"/>
          </w:tcPr>
          <w:p w:rsidR="007C5447" w:rsidRDefault="00F6308C">
            <w:pPr>
              <w:pStyle w:val="TableParagraph"/>
              <w:spacing w:before="48"/>
              <w:ind w:right="91"/>
              <w:rPr>
                <w:sz w:val="20"/>
              </w:rPr>
            </w:pPr>
            <w:r>
              <w:rPr>
                <w:w w:val="95"/>
                <w:sz w:val="20"/>
              </w:rPr>
              <w:t>4,113</w:t>
            </w:r>
          </w:p>
        </w:tc>
      </w:tr>
    </w:tbl>
    <w:p w:rsidR="007C5447" w:rsidRDefault="007C5447">
      <w:pPr>
        <w:rPr>
          <w:sz w:val="20"/>
        </w:rPr>
        <w:sectPr w:rsidR="007C5447">
          <w:footerReference w:type="default" r:id="rId55"/>
          <w:pgSz w:w="11910" w:h="16840"/>
          <w:pgMar w:top="1480" w:right="260" w:bottom="1240" w:left="340" w:header="0" w:footer="1057" w:gutter="0"/>
          <w:pgNumType w:start="231"/>
          <w:cols w:space="720"/>
        </w:sect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4"/>
        <w:gridCol w:w="2472"/>
        <w:gridCol w:w="1199"/>
        <w:gridCol w:w="1199"/>
        <w:gridCol w:w="1199"/>
        <w:gridCol w:w="911"/>
        <w:gridCol w:w="912"/>
        <w:gridCol w:w="911"/>
      </w:tblGrid>
      <w:tr w:rsidR="007C5447">
        <w:trPr>
          <w:trHeight w:val="326"/>
        </w:trPr>
        <w:tc>
          <w:tcPr>
            <w:tcW w:w="434" w:type="dxa"/>
            <w:vMerge w:val="restart"/>
            <w:shd w:val="clear" w:color="auto" w:fill="F7C9AC"/>
          </w:tcPr>
          <w:p w:rsidR="007C5447" w:rsidRDefault="007C5447">
            <w:pPr>
              <w:pStyle w:val="TableParagraph"/>
              <w:spacing w:before="1"/>
              <w:jc w:val="left"/>
              <w:rPr>
                <w:b/>
                <w:sz w:val="26"/>
              </w:rPr>
            </w:pPr>
          </w:p>
          <w:p w:rsidR="007C5447" w:rsidRDefault="00F6308C">
            <w:pPr>
              <w:pStyle w:val="TableParagraph"/>
              <w:ind w:left="107"/>
              <w:jc w:val="left"/>
              <w:rPr>
                <w:b/>
                <w:sz w:val="20"/>
              </w:rPr>
            </w:pPr>
            <w:r>
              <w:rPr>
                <w:b/>
                <w:sz w:val="20"/>
              </w:rPr>
              <w:t>Sl.</w:t>
            </w:r>
          </w:p>
        </w:tc>
        <w:tc>
          <w:tcPr>
            <w:tcW w:w="2472" w:type="dxa"/>
            <w:vMerge w:val="restart"/>
            <w:shd w:val="clear" w:color="auto" w:fill="F7C9AC"/>
          </w:tcPr>
          <w:p w:rsidR="007C5447" w:rsidRDefault="007C5447">
            <w:pPr>
              <w:pStyle w:val="TableParagraph"/>
              <w:spacing w:before="1"/>
              <w:jc w:val="left"/>
              <w:rPr>
                <w:b/>
                <w:sz w:val="26"/>
              </w:rPr>
            </w:pPr>
          </w:p>
          <w:p w:rsidR="007C5447" w:rsidRDefault="00F6308C">
            <w:pPr>
              <w:pStyle w:val="TableParagraph"/>
              <w:ind w:left="108"/>
              <w:jc w:val="left"/>
              <w:rPr>
                <w:b/>
                <w:sz w:val="20"/>
              </w:rPr>
            </w:pPr>
            <w:r>
              <w:rPr>
                <w:b/>
                <w:sz w:val="20"/>
              </w:rPr>
              <w:t>Station</w:t>
            </w:r>
          </w:p>
        </w:tc>
        <w:tc>
          <w:tcPr>
            <w:tcW w:w="3597" w:type="dxa"/>
            <w:gridSpan w:val="3"/>
            <w:tcBorders>
              <w:bottom w:val="single" w:sz="6" w:space="0" w:color="000000"/>
            </w:tcBorders>
            <w:shd w:val="clear" w:color="auto" w:fill="F7C9AC"/>
          </w:tcPr>
          <w:p w:rsidR="007C5447" w:rsidRDefault="00F6308C">
            <w:pPr>
              <w:pStyle w:val="TableParagraph"/>
              <w:spacing w:before="48"/>
              <w:ind w:left="1200" w:right="1190"/>
              <w:jc w:val="center"/>
              <w:rPr>
                <w:b/>
                <w:sz w:val="20"/>
              </w:rPr>
            </w:pPr>
            <w:r>
              <w:rPr>
                <w:b/>
                <w:sz w:val="20"/>
              </w:rPr>
              <w:t>TANGEDCO</w:t>
            </w:r>
          </w:p>
        </w:tc>
        <w:tc>
          <w:tcPr>
            <w:tcW w:w="2734" w:type="dxa"/>
            <w:gridSpan w:val="3"/>
            <w:tcBorders>
              <w:bottom w:val="single" w:sz="6" w:space="0" w:color="000000"/>
            </w:tcBorders>
            <w:shd w:val="clear" w:color="auto" w:fill="F7C9AC"/>
          </w:tcPr>
          <w:p w:rsidR="007C5447" w:rsidRDefault="00F6308C">
            <w:pPr>
              <w:pStyle w:val="TableParagraph"/>
              <w:spacing w:before="48"/>
              <w:ind w:left="844"/>
              <w:jc w:val="left"/>
              <w:rPr>
                <w:b/>
                <w:sz w:val="20"/>
              </w:rPr>
            </w:pPr>
            <w:r>
              <w:rPr>
                <w:b/>
                <w:sz w:val="20"/>
              </w:rPr>
              <w:t>Commission</w:t>
            </w:r>
          </w:p>
        </w:tc>
      </w:tr>
      <w:tr w:rsidR="007C5447">
        <w:trPr>
          <w:trHeight w:val="486"/>
        </w:trPr>
        <w:tc>
          <w:tcPr>
            <w:tcW w:w="434" w:type="dxa"/>
            <w:vMerge/>
            <w:tcBorders>
              <w:top w:val="nil"/>
            </w:tcBorders>
            <w:shd w:val="clear" w:color="auto" w:fill="F7C9AC"/>
          </w:tcPr>
          <w:p w:rsidR="007C5447" w:rsidRDefault="007C5447">
            <w:pPr>
              <w:rPr>
                <w:sz w:val="2"/>
                <w:szCs w:val="2"/>
              </w:rPr>
            </w:pPr>
          </w:p>
        </w:tc>
        <w:tc>
          <w:tcPr>
            <w:tcW w:w="2472" w:type="dxa"/>
            <w:vMerge/>
            <w:tcBorders>
              <w:top w:val="nil"/>
            </w:tcBorders>
            <w:shd w:val="clear" w:color="auto" w:fill="F7C9AC"/>
          </w:tcPr>
          <w:p w:rsidR="007C5447" w:rsidRDefault="007C5447">
            <w:pPr>
              <w:rPr>
                <w:sz w:val="2"/>
                <w:szCs w:val="2"/>
              </w:rPr>
            </w:pPr>
          </w:p>
        </w:tc>
        <w:tc>
          <w:tcPr>
            <w:tcW w:w="1199" w:type="dxa"/>
            <w:tcBorders>
              <w:top w:val="single" w:sz="6" w:space="0" w:color="000000"/>
            </w:tcBorders>
            <w:shd w:val="clear" w:color="auto" w:fill="F7C9AC"/>
          </w:tcPr>
          <w:p w:rsidR="007C5447" w:rsidRDefault="00F6308C">
            <w:pPr>
              <w:pStyle w:val="TableParagraph"/>
              <w:spacing w:before="127"/>
              <w:ind w:right="91"/>
              <w:rPr>
                <w:b/>
                <w:sz w:val="20"/>
              </w:rPr>
            </w:pPr>
            <w:r>
              <w:rPr>
                <w:b/>
                <w:sz w:val="20"/>
              </w:rPr>
              <w:t>FY 2016-17</w:t>
            </w:r>
          </w:p>
        </w:tc>
        <w:tc>
          <w:tcPr>
            <w:tcW w:w="1199" w:type="dxa"/>
            <w:tcBorders>
              <w:top w:val="single" w:sz="6" w:space="0" w:color="000000"/>
            </w:tcBorders>
            <w:shd w:val="clear" w:color="auto" w:fill="F7C9AC"/>
          </w:tcPr>
          <w:p w:rsidR="007C5447" w:rsidRDefault="00F6308C">
            <w:pPr>
              <w:pStyle w:val="TableParagraph"/>
              <w:spacing w:before="127"/>
              <w:ind w:right="90"/>
              <w:rPr>
                <w:b/>
                <w:sz w:val="20"/>
              </w:rPr>
            </w:pPr>
            <w:r>
              <w:rPr>
                <w:b/>
                <w:sz w:val="20"/>
              </w:rPr>
              <w:t>FY 2017-18</w:t>
            </w:r>
          </w:p>
        </w:tc>
        <w:tc>
          <w:tcPr>
            <w:tcW w:w="1199" w:type="dxa"/>
            <w:tcBorders>
              <w:top w:val="single" w:sz="6" w:space="0" w:color="000000"/>
            </w:tcBorders>
            <w:shd w:val="clear" w:color="auto" w:fill="F7C9AC"/>
          </w:tcPr>
          <w:p w:rsidR="007C5447" w:rsidRDefault="00F6308C">
            <w:pPr>
              <w:pStyle w:val="TableParagraph"/>
              <w:spacing w:before="127"/>
              <w:ind w:right="89"/>
              <w:rPr>
                <w:b/>
                <w:sz w:val="20"/>
              </w:rPr>
            </w:pPr>
            <w:r>
              <w:rPr>
                <w:b/>
                <w:sz w:val="20"/>
              </w:rPr>
              <w:t>FY 2018-19</w:t>
            </w:r>
          </w:p>
        </w:tc>
        <w:tc>
          <w:tcPr>
            <w:tcW w:w="911" w:type="dxa"/>
            <w:tcBorders>
              <w:top w:val="single" w:sz="6" w:space="0" w:color="000000"/>
            </w:tcBorders>
            <w:shd w:val="clear" w:color="auto" w:fill="F7C9AC"/>
          </w:tcPr>
          <w:p w:rsidR="007C5447" w:rsidRDefault="00F6308C">
            <w:pPr>
              <w:pStyle w:val="TableParagraph"/>
              <w:spacing w:before="12" w:line="230" w:lineRule="atLeast"/>
              <w:ind w:left="126" w:right="102" w:firstLine="199"/>
              <w:jc w:val="left"/>
              <w:rPr>
                <w:b/>
                <w:sz w:val="20"/>
              </w:rPr>
            </w:pPr>
            <w:r>
              <w:rPr>
                <w:b/>
                <w:sz w:val="20"/>
              </w:rPr>
              <w:t>FY 2016-17</w:t>
            </w:r>
          </w:p>
        </w:tc>
        <w:tc>
          <w:tcPr>
            <w:tcW w:w="912" w:type="dxa"/>
            <w:tcBorders>
              <w:top w:val="single" w:sz="6" w:space="0" w:color="000000"/>
            </w:tcBorders>
            <w:shd w:val="clear" w:color="auto" w:fill="F7C9AC"/>
          </w:tcPr>
          <w:p w:rsidR="007C5447" w:rsidRDefault="00F6308C">
            <w:pPr>
              <w:pStyle w:val="TableParagraph"/>
              <w:spacing w:before="12" w:line="230" w:lineRule="atLeast"/>
              <w:ind w:left="128" w:right="102" w:firstLine="199"/>
              <w:jc w:val="left"/>
              <w:rPr>
                <w:b/>
                <w:sz w:val="20"/>
              </w:rPr>
            </w:pPr>
            <w:r>
              <w:rPr>
                <w:b/>
                <w:sz w:val="20"/>
              </w:rPr>
              <w:t>FY 2017-18</w:t>
            </w:r>
          </w:p>
        </w:tc>
        <w:tc>
          <w:tcPr>
            <w:tcW w:w="911" w:type="dxa"/>
            <w:tcBorders>
              <w:top w:val="single" w:sz="6" w:space="0" w:color="000000"/>
            </w:tcBorders>
            <w:shd w:val="clear" w:color="auto" w:fill="F7C9AC"/>
          </w:tcPr>
          <w:p w:rsidR="007C5447" w:rsidRDefault="00F6308C">
            <w:pPr>
              <w:pStyle w:val="TableParagraph"/>
              <w:spacing w:before="12" w:line="230" w:lineRule="atLeast"/>
              <w:ind w:left="128" w:right="101" w:firstLine="199"/>
              <w:jc w:val="left"/>
              <w:rPr>
                <w:b/>
                <w:sz w:val="20"/>
              </w:rPr>
            </w:pPr>
            <w:r>
              <w:rPr>
                <w:b/>
                <w:sz w:val="20"/>
              </w:rPr>
              <w:t>FY 2018-19</w:t>
            </w:r>
          </w:p>
        </w:tc>
      </w:tr>
      <w:tr w:rsidR="007C5447">
        <w:trPr>
          <w:trHeight w:val="328"/>
        </w:trPr>
        <w:tc>
          <w:tcPr>
            <w:tcW w:w="434" w:type="dxa"/>
          </w:tcPr>
          <w:p w:rsidR="007C5447" w:rsidRDefault="00F6308C">
            <w:pPr>
              <w:pStyle w:val="TableParagraph"/>
              <w:spacing w:before="50"/>
              <w:ind w:left="107"/>
              <w:jc w:val="left"/>
              <w:rPr>
                <w:sz w:val="20"/>
              </w:rPr>
            </w:pPr>
            <w:r>
              <w:rPr>
                <w:w w:val="99"/>
                <w:sz w:val="20"/>
              </w:rPr>
              <w:t>7</w:t>
            </w:r>
          </w:p>
        </w:tc>
        <w:tc>
          <w:tcPr>
            <w:tcW w:w="2472" w:type="dxa"/>
          </w:tcPr>
          <w:p w:rsidR="007C5447" w:rsidRDefault="00F6308C">
            <w:pPr>
              <w:pStyle w:val="TableParagraph"/>
              <w:spacing w:before="50"/>
              <w:ind w:left="108"/>
              <w:jc w:val="left"/>
              <w:rPr>
                <w:sz w:val="20"/>
              </w:rPr>
            </w:pPr>
            <w:r>
              <w:rPr>
                <w:sz w:val="20"/>
              </w:rPr>
              <w:t>North Chennai Stage II TPS</w:t>
            </w:r>
          </w:p>
        </w:tc>
        <w:tc>
          <w:tcPr>
            <w:tcW w:w="1199" w:type="dxa"/>
          </w:tcPr>
          <w:p w:rsidR="007C5447" w:rsidRDefault="00F6308C">
            <w:pPr>
              <w:pStyle w:val="TableParagraph"/>
              <w:spacing w:before="50"/>
              <w:ind w:right="96"/>
              <w:rPr>
                <w:sz w:val="20"/>
              </w:rPr>
            </w:pPr>
            <w:r>
              <w:rPr>
                <w:w w:val="95"/>
                <w:sz w:val="20"/>
              </w:rPr>
              <w:t>3,804</w:t>
            </w:r>
          </w:p>
        </w:tc>
        <w:tc>
          <w:tcPr>
            <w:tcW w:w="1199" w:type="dxa"/>
          </w:tcPr>
          <w:p w:rsidR="007C5447" w:rsidRDefault="00F6308C">
            <w:pPr>
              <w:pStyle w:val="TableParagraph"/>
              <w:spacing w:before="50"/>
              <w:ind w:right="95"/>
              <w:rPr>
                <w:sz w:val="20"/>
              </w:rPr>
            </w:pPr>
            <w:r>
              <w:rPr>
                <w:w w:val="95"/>
                <w:sz w:val="20"/>
              </w:rPr>
              <w:t>3,141</w:t>
            </w:r>
          </w:p>
        </w:tc>
        <w:tc>
          <w:tcPr>
            <w:tcW w:w="1199" w:type="dxa"/>
          </w:tcPr>
          <w:p w:rsidR="007C5447" w:rsidRDefault="00F6308C">
            <w:pPr>
              <w:pStyle w:val="TableParagraph"/>
              <w:spacing w:before="50"/>
              <w:ind w:right="93"/>
              <w:rPr>
                <w:sz w:val="20"/>
              </w:rPr>
            </w:pPr>
            <w:r>
              <w:rPr>
                <w:sz w:val="20"/>
              </w:rPr>
              <w:t>3,141</w:t>
            </w:r>
          </w:p>
        </w:tc>
        <w:tc>
          <w:tcPr>
            <w:tcW w:w="911" w:type="dxa"/>
          </w:tcPr>
          <w:p w:rsidR="007C5447" w:rsidRDefault="00F6308C">
            <w:pPr>
              <w:pStyle w:val="TableParagraph"/>
              <w:spacing w:before="50"/>
              <w:ind w:right="92"/>
              <w:rPr>
                <w:sz w:val="20"/>
              </w:rPr>
            </w:pPr>
            <w:r>
              <w:rPr>
                <w:w w:val="95"/>
                <w:sz w:val="20"/>
              </w:rPr>
              <w:t>3,954</w:t>
            </w:r>
          </w:p>
        </w:tc>
        <w:tc>
          <w:tcPr>
            <w:tcW w:w="912" w:type="dxa"/>
          </w:tcPr>
          <w:p w:rsidR="007C5447" w:rsidRDefault="00F6308C">
            <w:pPr>
              <w:pStyle w:val="TableParagraph"/>
              <w:spacing w:before="50"/>
              <w:ind w:right="92"/>
              <w:rPr>
                <w:sz w:val="20"/>
              </w:rPr>
            </w:pPr>
            <w:r>
              <w:rPr>
                <w:w w:val="95"/>
                <w:sz w:val="20"/>
              </w:rPr>
              <w:t>3,954</w:t>
            </w:r>
          </w:p>
        </w:tc>
        <w:tc>
          <w:tcPr>
            <w:tcW w:w="911" w:type="dxa"/>
          </w:tcPr>
          <w:p w:rsidR="007C5447" w:rsidRDefault="00F6308C">
            <w:pPr>
              <w:pStyle w:val="TableParagraph"/>
              <w:spacing w:before="50"/>
              <w:ind w:right="91"/>
              <w:rPr>
                <w:sz w:val="20"/>
              </w:rPr>
            </w:pPr>
            <w:r>
              <w:rPr>
                <w:w w:val="95"/>
                <w:sz w:val="20"/>
              </w:rPr>
              <w:t>3,954</w:t>
            </w:r>
          </w:p>
        </w:tc>
      </w:tr>
      <w:tr w:rsidR="007C5447">
        <w:trPr>
          <w:trHeight w:val="328"/>
        </w:trPr>
        <w:tc>
          <w:tcPr>
            <w:tcW w:w="434" w:type="dxa"/>
            <w:shd w:val="clear" w:color="auto" w:fill="D0CECE"/>
          </w:tcPr>
          <w:p w:rsidR="007C5447" w:rsidRDefault="007C5447">
            <w:pPr>
              <w:pStyle w:val="TableParagraph"/>
              <w:jc w:val="left"/>
              <w:rPr>
                <w:sz w:val="20"/>
              </w:rPr>
            </w:pPr>
          </w:p>
        </w:tc>
        <w:tc>
          <w:tcPr>
            <w:tcW w:w="2472" w:type="dxa"/>
            <w:shd w:val="clear" w:color="auto" w:fill="D0CECE"/>
          </w:tcPr>
          <w:p w:rsidR="007C5447" w:rsidRDefault="00F6308C">
            <w:pPr>
              <w:pStyle w:val="TableParagraph"/>
              <w:spacing w:before="48"/>
              <w:ind w:left="108"/>
              <w:jc w:val="left"/>
              <w:rPr>
                <w:b/>
                <w:sz w:val="20"/>
              </w:rPr>
            </w:pPr>
            <w:r>
              <w:rPr>
                <w:b/>
                <w:sz w:val="20"/>
              </w:rPr>
              <w:t>Gas Thermal</w:t>
            </w:r>
          </w:p>
        </w:tc>
        <w:tc>
          <w:tcPr>
            <w:tcW w:w="1199" w:type="dxa"/>
            <w:shd w:val="clear" w:color="auto" w:fill="D9D9D9"/>
          </w:tcPr>
          <w:p w:rsidR="007C5447" w:rsidRDefault="007C5447">
            <w:pPr>
              <w:pStyle w:val="TableParagraph"/>
              <w:jc w:val="left"/>
              <w:rPr>
                <w:sz w:val="20"/>
              </w:rPr>
            </w:pPr>
          </w:p>
        </w:tc>
        <w:tc>
          <w:tcPr>
            <w:tcW w:w="1199" w:type="dxa"/>
            <w:shd w:val="clear" w:color="auto" w:fill="D9D9D9"/>
          </w:tcPr>
          <w:p w:rsidR="007C5447" w:rsidRDefault="007C5447">
            <w:pPr>
              <w:pStyle w:val="TableParagraph"/>
              <w:jc w:val="left"/>
              <w:rPr>
                <w:sz w:val="20"/>
              </w:rPr>
            </w:pPr>
          </w:p>
        </w:tc>
        <w:tc>
          <w:tcPr>
            <w:tcW w:w="1199" w:type="dxa"/>
            <w:shd w:val="clear" w:color="auto" w:fill="D9D9D9"/>
          </w:tcPr>
          <w:p w:rsidR="007C5447" w:rsidRDefault="007C5447">
            <w:pPr>
              <w:pStyle w:val="TableParagraph"/>
              <w:jc w:val="left"/>
              <w:rPr>
                <w:sz w:val="20"/>
              </w:rPr>
            </w:pPr>
          </w:p>
        </w:tc>
        <w:tc>
          <w:tcPr>
            <w:tcW w:w="911" w:type="dxa"/>
            <w:shd w:val="clear" w:color="auto" w:fill="D0CECE"/>
          </w:tcPr>
          <w:p w:rsidR="007C5447" w:rsidRDefault="007C5447">
            <w:pPr>
              <w:pStyle w:val="TableParagraph"/>
              <w:jc w:val="left"/>
              <w:rPr>
                <w:sz w:val="20"/>
              </w:rPr>
            </w:pPr>
          </w:p>
        </w:tc>
        <w:tc>
          <w:tcPr>
            <w:tcW w:w="912" w:type="dxa"/>
            <w:shd w:val="clear" w:color="auto" w:fill="D0CECE"/>
          </w:tcPr>
          <w:p w:rsidR="007C5447" w:rsidRDefault="007C5447">
            <w:pPr>
              <w:pStyle w:val="TableParagraph"/>
              <w:jc w:val="left"/>
              <w:rPr>
                <w:sz w:val="20"/>
              </w:rPr>
            </w:pPr>
          </w:p>
        </w:tc>
        <w:tc>
          <w:tcPr>
            <w:tcW w:w="911" w:type="dxa"/>
            <w:shd w:val="clear" w:color="auto" w:fill="D0CECE"/>
          </w:tcPr>
          <w:p w:rsidR="007C5447" w:rsidRDefault="007C5447">
            <w:pPr>
              <w:pStyle w:val="TableParagraph"/>
              <w:jc w:val="left"/>
              <w:rPr>
                <w:sz w:val="20"/>
              </w:rPr>
            </w:pPr>
          </w:p>
        </w:tc>
      </w:tr>
      <w:tr w:rsidR="007C5447">
        <w:trPr>
          <w:trHeight w:val="328"/>
        </w:trPr>
        <w:tc>
          <w:tcPr>
            <w:tcW w:w="434" w:type="dxa"/>
          </w:tcPr>
          <w:p w:rsidR="007C5447" w:rsidRDefault="00F6308C">
            <w:pPr>
              <w:pStyle w:val="TableParagraph"/>
              <w:spacing w:before="48"/>
              <w:ind w:left="107"/>
              <w:jc w:val="left"/>
              <w:rPr>
                <w:sz w:val="20"/>
              </w:rPr>
            </w:pPr>
            <w:r>
              <w:rPr>
                <w:w w:val="99"/>
                <w:sz w:val="20"/>
              </w:rPr>
              <w:t>1</w:t>
            </w:r>
          </w:p>
        </w:tc>
        <w:tc>
          <w:tcPr>
            <w:tcW w:w="2472" w:type="dxa"/>
          </w:tcPr>
          <w:p w:rsidR="007C5447" w:rsidRDefault="00F6308C">
            <w:pPr>
              <w:pStyle w:val="TableParagraph"/>
              <w:spacing w:before="48"/>
              <w:ind w:left="108"/>
              <w:jc w:val="left"/>
              <w:rPr>
                <w:sz w:val="20"/>
              </w:rPr>
            </w:pPr>
            <w:r>
              <w:rPr>
                <w:sz w:val="20"/>
              </w:rPr>
              <w:t>Tirumakottai GTPS</w:t>
            </w:r>
          </w:p>
        </w:tc>
        <w:tc>
          <w:tcPr>
            <w:tcW w:w="1199" w:type="dxa"/>
          </w:tcPr>
          <w:p w:rsidR="007C5447" w:rsidRDefault="00F6308C">
            <w:pPr>
              <w:pStyle w:val="TableParagraph"/>
              <w:spacing w:before="48"/>
              <w:ind w:right="96"/>
              <w:rPr>
                <w:sz w:val="20"/>
              </w:rPr>
            </w:pPr>
            <w:r>
              <w:rPr>
                <w:w w:val="95"/>
                <w:sz w:val="20"/>
              </w:rPr>
              <w:t>10,000</w:t>
            </w:r>
          </w:p>
        </w:tc>
        <w:tc>
          <w:tcPr>
            <w:tcW w:w="1199" w:type="dxa"/>
          </w:tcPr>
          <w:p w:rsidR="007C5447" w:rsidRDefault="00F6308C">
            <w:pPr>
              <w:pStyle w:val="TableParagraph"/>
              <w:spacing w:before="48"/>
              <w:ind w:right="95"/>
              <w:rPr>
                <w:sz w:val="20"/>
              </w:rPr>
            </w:pPr>
            <w:r>
              <w:rPr>
                <w:w w:val="95"/>
                <w:sz w:val="20"/>
              </w:rPr>
              <w:t>10,000</w:t>
            </w:r>
          </w:p>
        </w:tc>
        <w:tc>
          <w:tcPr>
            <w:tcW w:w="1199" w:type="dxa"/>
          </w:tcPr>
          <w:p w:rsidR="007C5447" w:rsidRDefault="00F6308C">
            <w:pPr>
              <w:pStyle w:val="TableParagraph"/>
              <w:spacing w:before="48"/>
              <w:ind w:right="93"/>
              <w:rPr>
                <w:sz w:val="20"/>
              </w:rPr>
            </w:pPr>
            <w:r>
              <w:rPr>
                <w:w w:val="95"/>
                <w:sz w:val="20"/>
              </w:rPr>
              <w:t>10,000</w:t>
            </w:r>
          </w:p>
        </w:tc>
        <w:tc>
          <w:tcPr>
            <w:tcW w:w="911" w:type="dxa"/>
          </w:tcPr>
          <w:p w:rsidR="007C5447" w:rsidRDefault="00F6308C">
            <w:pPr>
              <w:pStyle w:val="TableParagraph"/>
              <w:spacing w:before="48"/>
              <w:ind w:right="92"/>
              <w:rPr>
                <w:sz w:val="20"/>
              </w:rPr>
            </w:pPr>
            <w:r>
              <w:rPr>
                <w:w w:val="95"/>
                <w:sz w:val="20"/>
              </w:rPr>
              <w:t>10,000</w:t>
            </w:r>
          </w:p>
        </w:tc>
        <w:tc>
          <w:tcPr>
            <w:tcW w:w="912" w:type="dxa"/>
          </w:tcPr>
          <w:p w:rsidR="007C5447" w:rsidRDefault="00F6308C">
            <w:pPr>
              <w:pStyle w:val="TableParagraph"/>
              <w:spacing w:before="48"/>
              <w:ind w:right="92"/>
              <w:rPr>
                <w:sz w:val="20"/>
              </w:rPr>
            </w:pPr>
            <w:r>
              <w:rPr>
                <w:w w:val="95"/>
                <w:sz w:val="20"/>
              </w:rPr>
              <w:t>10,000</w:t>
            </w:r>
          </w:p>
        </w:tc>
        <w:tc>
          <w:tcPr>
            <w:tcW w:w="911" w:type="dxa"/>
          </w:tcPr>
          <w:p w:rsidR="007C5447" w:rsidRDefault="00F6308C">
            <w:pPr>
              <w:pStyle w:val="TableParagraph"/>
              <w:spacing w:before="48"/>
              <w:ind w:right="91"/>
              <w:rPr>
                <w:sz w:val="20"/>
              </w:rPr>
            </w:pPr>
            <w:r>
              <w:rPr>
                <w:w w:val="95"/>
                <w:sz w:val="20"/>
              </w:rPr>
              <w:t>10,000</w:t>
            </w:r>
          </w:p>
        </w:tc>
      </w:tr>
      <w:tr w:rsidR="007C5447">
        <w:trPr>
          <w:trHeight w:val="325"/>
        </w:trPr>
        <w:tc>
          <w:tcPr>
            <w:tcW w:w="434" w:type="dxa"/>
          </w:tcPr>
          <w:p w:rsidR="007C5447" w:rsidRDefault="00F6308C">
            <w:pPr>
              <w:pStyle w:val="TableParagraph"/>
              <w:spacing w:before="48"/>
              <w:ind w:left="107"/>
              <w:jc w:val="left"/>
              <w:rPr>
                <w:sz w:val="20"/>
              </w:rPr>
            </w:pPr>
            <w:r>
              <w:rPr>
                <w:w w:val="99"/>
                <w:sz w:val="20"/>
              </w:rPr>
              <w:t>2</w:t>
            </w:r>
          </w:p>
        </w:tc>
        <w:tc>
          <w:tcPr>
            <w:tcW w:w="2472" w:type="dxa"/>
          </w:tcPr>
          <w:p w:rsidR="007C5447" w:rsidRDefault="00F6308C">
            <w:pPr>
              <w:pStyle w:val="TableParagraph"/>
              <w:spacing w:before="48"/>
              <w:ind w:left="108"/>
              <w:jc w:val="left"/>
              <w:rPr>
                <w:sz w:val="20"/>
              </w:rPr>
            </w:pPr>
            <w:r>
              <w:rPr>
                <w:sz w:val="20"/>
              </w:rPr>
              <w:t>Kuttalam GTPS</w:t>
            </w:r>
          </w:p>
        </w:tc>
        <w:tc>
          <w:tcPr>
            <w:tcW w:w="1199" w:type="dxa"/>
          </w:tcPr>
          <w:p w:rsidR="007C5447" w:rsidRDefault="00F6308C">
            <w:pPr>
              <w:pStyle w:val="TableParagraph"/>
              <w:spacing w:before="48"/>
              <w:ind w:right="96"/>
              <w:rPr>
                <w:sz w:val="20"/>
              </w:rPr>
            </w:pPr>
            <w:r>
              <w:rPr>
                <w:w w:val="95"/>
                <w:sz w:val="20"/>
              </w:rPr>
              <w:t>10,000</w:t>
            </w:r>
          </w:p>
        </w:tc>
        <w:tc>
          <w:tcPr>
            <w:tcW w:w="1199" w:type="dxa"/>
          </w:tcPr>
          <w:p w:rsidR="007C5447" w:rsidRDefault="00F6308C">
            <w:pPr>
              <w:pStyle w:val="TableParagraph"/>
              <w:spacing w:before="48"/>
              <w:ind w:right="95"/>
              <w:rPr>
                <w:sz w:val="20"/>
              </w:rPr>
            </w:pPr>
            <w:r>
              <w:rPr>
                <w:w w:val="95"/>
                <w:sz w:val="20"/>
              </w:rPr>
              <w:t>10,000</w:t>
            </w:r>
          </w:p>
        </w:tc>
        <w:tc>
          <w:tcPr>
            <w:tcW w:w="1199" w:type="dxa"/>
          </w:tcPr>
          <w:p w:rsidR="007C5447" w:rsidRDefault="00F6308C">
            <w:pPr>
              <w:pStyle w:val="TableParagraph"/>
              <w:spacing w:before="48"/>
              <w:ind w:right="93"/>
              <w:rPr>
                <w:sz w:val="20"/>
              </w:rPr>
            </w:pPr>
            <w:r>
              <w:rPr>
                <w:w w:val="95"/>
                <w:sz w:val="20"/>
              </w:rPr>
              <w:t>10,000</w:t>
            </w:r>
          </w:p>
        </w:tc>
        <w:tc>
          <w:tcPr>
            <w:tcW w:w="911" w:type="dxa"/>
          </w:tcPr>
          <w:p w:rsidR="007C5447" w:rsidRDefault="00F6308C">
            <w:pPr>
              <w:pStyle w:val="TableParagraph"/>
              <w:spacing w:before="48"/>
              <w:ind w:right="92"/>
              <w:rPr>
                <w:sz w:val="20"/>
              </w:rPr>
            </w:pPr>
            <w:r>
              <w:rPr>
                <w:w w:val="95"/>
                <w:sz w:val="20"/>
              </w:rPr>
              <w:t>10,000</w:t>
            </w:r>
          </w:p>
        </w:tc>
        <w:tc>
          <w:tcPr>
            <w:tcW w:w="912" w:type="dxa"/>
          </w:tcPr>
          <w:p w:rsidR="007C5447" w:rsidRDefault="00F6308C">
            <w:pPr>
              <w:pStyle w:val="TableParagraph"/>
              <w:spacing w:before="48"/>
              <w:ind w:right="92"/>
              <w:rPr>
                <w:sz w:val="20"/>
              </w:rPr>
            </w:pPr>
            <w:r>
              <w:rPr>
                <w:w w:val="95"/>
                <w:sz w:val="20"/>
              </w:rPr>
              <w:t>10,000</w:t>
            </w:r>
          </w:p>
        </w:tc>
        <w:tc>
          <w:tcPr>
            <w:tcW w:w="911" w:type="dxa"/>
          </w:tcPr>
          <w:p w:rsidR="007C5447" w:rsidRDefault="00F6308C">
            <w:pPr>
              <w:pStyle w:val="TableParagraph"/>
              <w:spacing w:before="48"/>
              <w:ind w:right="91"/>
              <w:rPr>
                <w:sz w:val="20"/>
              </w:rPr>
            </w:pPr>
            <w:r>
              <w:rPr>
                <w:w w:val="95"/>
                <w:sz w:val="20"/>
              </w:rPr>
              <w:t>10,000</w:t>
            </w:r>
          </w:p>
        </w:tc>
      </w:tr>
      <w:tr w:rsidR="007C5447">
        <w:trPr>
          <w:trHeight w:val="328"/>
        </w:trPr>
        <w:tc>
          <w:tcPr>
            <w:tcW w:w="434" w:type="dxa"/>
          </w:tcPr>
          <w:p w:rsidR="007C5447" w:rsidRDefault="00F6308C">
            <w:pPr>
              <w:pStyle w:val="TableParagraph"/>
              <w:spacing w:before="50"/>
              <w:ind w:left="107"/>
              <w:jc w:val="left"/>
              <w:rPr>
                <w:sz w:val="20"/>
              </w:rPr>
            </w:pPr>
            <w:r>
              <w:rPr>
                <w:w w:val="99"/>
                <w:sz w:val="20"/>
              </w:rPr>
              <w:t>3</w:t>
            </w:r>
          </w:p>
        </w:tc>
        <w:tc>
          <w:tcPr>
            <w:tcW w:w="2472" w:type="dxa"/>
          </w:tcPr>
          <w:p w:rsidR="007C5447" w:rsidRDefault="00F6308C">
            <w:pPr>
              <w:pStyle w:val="TableParagraph"/>
              <w:spacing w:before="50"/>
              <w:ind w:left="108"/>
              <w:jc w:val="left"/>
              <w:rPr>
                <w:sz w:val="20"/>
              </w:rPr>
            </w:pPr>
            <w:r>
              <w:rPr>
                <w:sz w:val="20"/>
              </w:rPr>
              <w:t>Basin Bridge GTPS</w:t>
            </w:r>
          </w:p>
        </w:tc>
        <w:tc>
          <w:tcPr>
            <w:tcW w:w="1199" w:type="dxa"/>
          </w:tcPr>
          <w:p w:rsidR="007C5447" w:rsidRDefault="00F6308C">
            <w:pPr>
              <w:pStyle w:val="TableParagraph"/>
              <w:spacing w:before="50"/>
              <w:ind w:right="96"/>
              <w:rPr>
                <w:sz w:val="20"/>
              </w:rPr>
            </w:pPr>
            <w:r>
              <w:rPr>
                <w:w w:val="95"/>
                <w:sz w:val="20"/>
              </w:rPr>
              <w:t>10,572</w:t>
            </w:r>
          </w:p>
        </w:tc>
        <w:tc>
          <w:tcPr>
            <w:tcW w:w="1199" w:type="dxa"/>
          </w:tcPr>
          <w:p w:rsidR="007C5447" w:rsidRDefault="00F6308C">
            <w:pPr>
              <w:pStyle w:val="TableParagraph"/>
              <w:spacing w:before="50"/>
              <w:ind w:right="95"/>
              <w:rPr>
                <w:sz w:val="20"/>
              </w:rPr>
            </w:pPr>
            <w:r>
              <w:rPr>
                <w:w w:val="95"/>
                <w:sz w:val="20"/>
              </w:rPr>
              <w:t>10,572</w:t>
            </w:r>
          </w:p>
        </w:tc>
        <w:tc>
          <w:tcPr>
            <w:tcW w:w="1199" w:type="dxa"/>
          </w:tcPr>
          <w:p w:rsidR="007C5447" w:rsidRDefault="00F6308C">
            <w:pPr>
              <w:pStyle w:val="TableParagraph"/>
              <w:spacing w:before="50"/>
              <w:ind w:right="93"/>
              <w:rPr>
                <w:sz w:val="20"/>
              </w:rPr>
            </w:pPr>
            <w:r>
              <w:rPr>
                <w:w w:val="95"/>
                <w:sz w:val="20"/>
              </w:rPr>
              <w:t>10,572</w:t>
            </w:r>
          </w:p>
        </w:tc>
        <w:tc>
          <w:tcPr>
            <w:tcW w:w="911" w:type="dxa"/>
          </w:tcPr>
          <w:p w:rsidR="007C5447" w:rsidRDefault="00F6308C">
            <w:pPr>
              <w:pStyle w:val="TableParagraph"/>
              <w:spacing w:before="50"/>
              <w:ind w:right="92"/>
              <w:rPr>
                <w:sz w:val="20"/>
              </w:rPr>
            </w:pPr>
            <w:r>
              <w:rPr>
                <w:w w:val="95"/>
                <w:sz w:val="20"/>
              </w:rPr>
              <w:t>10,572</w:t>
            </w:r>
          </w:p>
        </w:tc>
        <w:tc>
          <w:tcPr>
            <w:tcW w:w="912" w:type="dxa"/>
          </w:tcPr>
          <w:p w:rsidR="007C5447" w:rsidRDefault="00F6308C">
            <w:pPr>
              <w:pStyle w:val="TableParagraph"/>
              <w:spacing w:before="50"/>
              <w:ind w:right="92"/>
              <w:rPr>
                <w:sz w:val="20"/>
              </w:rPr>
            </w:pPr>
            <w:r>
              <w:rPr>
                <w:w w:val="95"/>
                <w:sz w:val="20"/>
              </w:rPr>
              <w:t>10,572</w:t>
            </w:r>
          </w:p>
        </w:tc>
        <w:tc>
          <w:tcPr>
            <w:tcW w:w="911" w:type="dxa"/>
          </w:tcPr>
          <w:p w:rsidR="007C5447" w:rsidRDefault="00F6308C">
            <w:pPr>
              <w:pStyle w:val="TableParagraph"/>
              <w:spacing w:before="50"/>
              <w:ind w:right="91"/>
              <w:rPr>
                <w:sz w:val="20"/>
              </w:rPr>
            </w:pPr>
            <w:r>
              <w:rPr>
                <w:w w:val="95"/>
                <w:sz w:val="20"/>
              </w:rPr>
              <w:t>10,572</w:t>
            </w:r>
          </w:p>
        </w:tc>
      </w:tr>
      <w:tr w:rsidR="007C5447">
        <w:trPr>
          <w:trHeight w:val="328"/>
        </w:trPr>
        <w:tc>
          <w:tcPr>
            <w:tcW w:w="434" w:type="dxa"/>
          </w:tcPr>
          <w:p w:rsidR="007C5447" w:rsidRDefault="00F6308C">
            <w:pPr>
              <w:pStyle w:val="TableParagraph"/>
              <w:spacing w:before="50"/>
              <w:ind w:left="107"/>
              <w:jc w:val="left"/>
              <w:rPr>
                <w:sz w:val="20"/>
              </w:rPr>
            </w:pPr>
            <w:r>
              <w:rPr>
                <w:w w:val="99"/>
                <w:sz w:val="20"/>
              </w:rPr>
              <w:t>4</w:t>
            </w:r>
          </w:p>
        </w:tc>
        <w:tc>
          <w:tcPr>
            <w:tcW w:w="2472" w:type="dxa"/>
          </w:tcPr>
          <w:p w:rsidR="007C5447" w:rsidRDefault="00F6308C">
            <w:pPr>
              <w:pStyle w:val="TableParagraph"/>
              <w:spacing w:before="50"/>
              <w:ind w:left="108"/>
              <w:jc w:val="left"/>
              <w:rPr>
                <w:sz w:val="20"/>
              </w:rPr>
            </w:pPr>
            <w:r>
              <w:rPr>
                <w:sz w:val="20"/>
              </w:rPr>
              <w:t>Valathur GTPS Unit</w:t>
            </w:r>
          </w:p>
        </w:tc>
        <w:tc>
          <w:tcPr>
            <w:tcW w:w="1199" w:type="dxa"/>
          </w:tcPr>
          <w:p w:rsidR="007C5447" w:rsidRDefault="00F6308C">
            <w:pPr>
              <w:pStyle w:val="TableParagraph"/>
              <w:spacing w:before="50"/>
              <w:ind w:right="96"/>
              <w:rPr>
                <w:sz w:val="20"/>
              </w:rPr>
            </w:pPr>
            <w:r>
              <w:rPr>
                <w:w w:val="95"/>
                <w:sz w:val="20"/>
              </w:rPr>
              <w:t>10,000</w:t>
            </w:r>
          </w:p>
        </w:tc>
        <w:tc>
          <w:tcPr>
            <w:tcW w:w="1199" w:type="dxa"/>
          </w:tcPr>
          <w:p w:rsidR="007C5447" w:rsidRDefault="00F6308C">
            <w:pPr>
              <w:pStyle w:val="TableParagraph"/>
              <w:spacing w:before="50"/>
              <w:ind w:right="95"/>
              <w:rPr>
                <w:sz w:val="20"/>
              </w:rPr>
            </w:pPr>
            <w:r>
              <w:rPr>
                <w:w w:val="95"/>
                <w:sz w:val="20"/>
              </w:rPr>
              <w:t>10,000</w:t>
            </w:r>
          </w:p>
        </w:tc>
        <w:tc>
          <w:tcPr>
            <w:tcW w:w="1199" w:type="dxa"/>
          </w:tcPr>
          <w:p w:rsidR="007C5447" w:rsidRDefault="00F6308C">
            <w:pPr>
              <w:pStyle w:val="TableParagraph"/>
              <w:spacing w:before="50"/>
              <w:ind w:right="93"/>
              <w:rPr>
                <w:sz w:val="20"/>
              </w:rPr>
            </w:pPr>
            <w:r>
              <w:rPr>
                <w:w w:val="95"/>
                <w:sz w:val="20"/>
              </w:rPr>
              <w:t>10,000</w:t>
            </w:r>
          </w:p>
        </w:tc>
        <w:tc>
          <w:tcPr>
            <w:tcW w:w="911" w:type="dxa"/>
          </w:tcPr>
          <w:p w:rsidR="007C5447" w:rsidRDefault="00F6308C">
            <w:pPr>
              <w:pStyle w:val="TableParagraph"/>
              <w:spacing w:before="50"/>
              <w:ind w:right="92"/>
              <w:rPr>
                <w:sz w:val="20"/>
              </w:rPr>
            </w:pPr>
            <w:r>
              <w:rPr>
                <w:w w:val="95"/>
                <w:sz w:val="20"/>
              </w:rPr>
              <w:t>10,000</w:t>
            </w:r>
          </w:p>
        </w:tc>
        <w:tc>
          <w:tcPr>
            <w:tcW w:w="912" w:type="dxa"/>
          </w:tcPr>
          <w:p w:rsidR="007C5447" w:rsidRDefault="00F6308C">
            <w:pPr>
              <w:pStyle w:val="TableParagraph"/>
              <w:spacing w:before="50"/>
              <w:ind w:right="92"/>
              <w:rPr>
                <w:sz w:val="20"/>
              </w:rPr>
            </w:pPr>
            <w:r>
              <w:rPr>
                <w:w w:val="95"/>
                <w:sz w:val="20"/>
              </w:rPr>
              <w:t>10,000</w:t>
            </w:r>
          </w:p>
        </w:tc>
        <w:tc>
          <w:tcPr>
            <w:tcW w:w="911" w:type="dxa"/>
          </w:tcPr>
          <w:p w:rsidR="007C5447" w:rsidRDefault="00F6308C">
            <w:pPr>
              <w:pStyle w:val="TableParagraph"/>
              <w:spacing w:before="50"/>
              <w:ind w:right="91"/>
              <w:rPr>
                <w:sz w:val="20"/>
              </w:rPr>
            </w:pPr>
            <w:r>
              <w:rPr>
                <w:w w:val="95"/>
                <w:sz w:val="20"/>
              </w:rPr>
              <w:t>10,000</w:t>
            </w:r>
          </w:p>
        </w:tc>
      </w:tr>
    </w:tbl>
    <w:p w:rsidR="007C5447" w:rsidRDefault="007C5447">
      <w:pPr>
        <w:pStyle w:val="BodyText"/>
        <w:spacing w:before="11"/>
        <w:rPr>
          <w:b/>
          <w:sz w:val="12"/>
        </w:rPr>
      </w:pPr>
    </w:p>
    <w:p w:rsidR="007C5447" w:rsidRDefault="00F6308C">
      <w:pPr>
        <w:pStyle w:val="Heading2"/>
        <w:spacing w:before="90"/>
        <w:ind w:left="1952"/>
      </w:pPr>
      <w:r>
        <w:t>Price of coal/gas</w:t>
      </w:r>
    </w:p>
    <w:p w:rsidR="007C5447" w:rsidRDefault="007C5447">
      <w:pPr>
        <w:pStyle w:val="BodyText"/>
        <w:spacing w:before="2"/>
        <w:rPr>
          <w:b/>
          <w:sz w:val="28"/>
        </w:rPr>
      </w:pPr>
    </w:p>
    <w:p w:rsidR="007C5447" w:rsidRDefault="00F6308C">
      <w:pPr>
        <w:pStyle w:val="ListParagraph"/>
        <w:numPr>
          <w:ilvl w:val="3"/>
          <w:numId w:val="55"/>
        </w:numPr>
        <w:tabs>
          <w:tab w:val="left" w:pos="2066"/>
        </w:tabs>
        <w:spacing w:line="312" w:lineRule="auto"/>
        <w:ind w:right="1183"/>
        <w:jc w:val="both"/>
        <w:rPr>
          <w:sz w:val="24"/>
        </w:rPr>
      </w:pPr>
      <w:r>
        <w:rPr>
          <w:sz w:val="24"/>
        </w:rPr>
        <w:t xml:space="preserve">For projection of fuel cost and energy charges, the Commission has considered the actual price of fuel (coal/gas) as submitted by TANGEDCO, duly verified with actual bills. The price of coal/gas as submitted by TANGEDCO and as considered by the Commission </w:t>
      </w:r>
      <w:r>
        <w:rPr>
          <w:sz w:val="24"/>
        </w:rPr>
        <w:t>is shown in the Table</w:t>
      </w:r>
      <w:r>
        <w:rPr>
          <w:spacing w:val="-7"/>
          <w:sz w:val="24"/>
        </w:rPr>
        <w:t xml:space="preserve"> </w:t>
      </w:r>
      <w:r>
        <w:rPr>
          <w:sz w:val="24"/>
        </w:rPr>
        <w:t>below:</w:t>
      </w:r>
    </w:p>
    <w:p w:rsidR="007C5447" w:rsidRDefault="007C5447">
      <w:pPr>
        <w:pStyle w:val="BodyText"/>
        <w:spacing w:before="1"/>
        <w:rPr>
          <w:sz w:val="21"/>
        </w:rPr>
      </w:pPr>
    </w:p>
    <w:p w:rsidR="007C5447" w:rsidRDefault="00F6308C">
      <w:pPr>
        <w:ind w:left="1352" w:right="1433"/>
        <w:jc w:val="center"/>
        <w:rPr>
          <w:b/>
        </w:rPr>
      </w:pPr>
      <w:r>
        <w:rPr>
          <w:b/>
        </w:rPr>
        <w:t>Table 4-40: Price of coal/gas as considered by the Commission (Rs./MT) /(Rs./SCM)</w:t>
      </w:r>
    </w:p>
    <w:p w:rsidR="007C5447" w:rsidRDefault="007C5447">
      <w:pPr>
        <w:pStyle w:val="BodyText"/>
        <w:spacing w:before="11"/>
        <w:rPr>
          <w:b/>
          <w:sz w:val="16"/>
        </w:rPr>
      </w:pPr>
    </w:p>
    <w:tbl>
      <w:tblPr>
        <w:tblW w:w="0" w:type="auto"/>
        <w:tblInd w:w="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9"/>
        <w:gridCol w:w="2127"/>
        <w:gridCol w:w="1272"/>
        <w:gridCol w:w="1272"/>
        <w:gridCol w:w="1272"/>
        <w:gridCol w:w="1273"/>
        <w:gridCol w:w="1272"/>
        <w:gridCol w:w="1272"/>
      </w:tblGrid>
      <w:tr w:rsidR="007C5447">
        <w:trPr>
          <w:trHeight w:val="328"/>
        </w:trPr>
        <w:tc>
          <w:tcPr>
            <w:tcW w:w="699" w:type="dxa"/>
            <w:vMerge w:val="restart"/>
            <w:shd w:val="clear" w:color="auto" w:fill="F7C9AC"/>
          </w:tcPr>
          <w:p w:rsidR="007C5447" w:rsidRDefault="007C5447">
            <w:pPr>
              <w:pStyle w:val="TableParagraph"/>
              <w:jc w:val="left"/>
              <w:rPr>
                <w:b/>
                <w:sz w:val="19"/>
              </w:rPr>
            </w:pPr>
          </w:p>
          <w:p w:rsidR="007C5447" w:rsidRDefault="00F6308C">
            <w:pPr>
              <w:pStyle w:val="TableParagraph"/>
              <w:ind w:left="107"/>
              <w:jc w:val="left"/>
              <w:rPr>
                <w:b/>
                <w:sz w:val="20"/>
              </w:rPr>
            </w:pPr>
            <w:r>
              <w:rPr>
                <w:b/>
                <w:sz w:val="20"/>
              </w:rPr>
              <w:t>Sl.</w:t>
            </w:r>
          </w:p>
        </w:tc>
        <w:tc>
          <w:tcPr>
            <w:tcW w:w="2127" w:type="dxa"/>
            <w:vMerge w:val="restart"/>
            <w:shd w:val="clear" w:color="auto" w:fill="F7C9AC"/>
          </w:tcPr>
          <w:p w:rsidR="007C5447" w:rsidRDefault="007C5447">
            <w:pPr>
              <w:pStyle w:val="TableParagraph"/>
              <w:jc w:val="left"/>
              <w:rPr>
                <w:b/>
                <w:sz w:val="19"/>
              </w:rPr>
            </w:pPr>
          </w:p>
          <w:p w:rsidR="007C5447" w:rsidRDefault="00F6308C">
            <w:pPr>
              <w:pStyle w:val="TableParagraph"/>
              <w:ind w:left="107"/>
              <w:jc w:val="left"/>
              <w:rPr>
                <w:b/>
                <w:sz w:val="20"/>
              </w:rPr>
            </w:pPr>
            <w:r>
              <w:rPr>
                <w:b/>
                <w:sz w:val="20"/>
              </w:rPr>
              <w:t>Station</w:t>
            </w:r>
          </w:p>
        </w:tc>
        <w:tc>
          <w:tcPr>
            <w:tcW w:w="3816" w:type="dxa"/>
            <w:gridSpan w:val="3"/>
            <w:shd w:val="clear" w:color="auto" w:fill="F7C9AC"/>
          </w:tcPr>
          <w:p w:rsidR="007C5447" w:rsidRDefault="00F6308C">
            <w:pPr>
              <w:pStyle w:val="TableParagraph"/>
              <w:spacing w:before="48"/>
              <w:ind w:left="1307" w:right="1302"/>
              <w:jc w:val="center"/>
              <w:rPr>
                <w:b/>
                <w:sz w:val="20"/>
              </w:rPr>
            </w:pPr>
            <w:r>
              <w:rPr>
                <w:b/>
                <w:sz w:val="20"/>
              </w:rPr>
              <w:t>TANGEDCO</w:t>
            </w:r>
          </w:p>
        </w:tc>
        <w:tc>
          <w:tcPr>
            <w:tcW w:w="3817" w:type="dxa"/>
            <w:gridSpan w:val="3"/>
            <w:shd w:val="clear" w:color="auto" w:fill="F7C9AC"/>
          </w:tcPr>
          <w:p w:rsidR="007C5447" w:rsidRDefault="00F6308C">
            <w:pPr>
              <w:pStyle w:val="TableParagraph"/>
              <w:spacing w:before="48"/>
              <w:ind w:left="1359" w:right="1352"/>
              <w:jc w:val="center"/>
              <w:rPr>
                <w:b/>
                <w:sz w:val="20"/>
              </w:rPr>
            </w:pPr>
            <w:r>
              <w:rPr>
                <w:b/>
                <w:sz w:val="20"/>
              </w:rPr>
              <w:t>Commission</w:t>
            </w:r>
          </w:p>
        </w:tc>
      </w:tr>
      <w:tr w:rsidR="007C5447">
        <w:trPr>
          <w:trHeight w:val="325"/>
        </w:trPr>
        <w:tc>
          <w:tcPr>
            <w:tcW w:w="699" w:type="dxa"/>
            <w:vMerge/>
            <w:tcBorders>
              <w:top w:val="nil"/>
            </w:tcBorders>
            <w:shd w:val="clear" w:color="auto" w:fill="F7C9AC"/>
          </w:tcPr>
          <w:p w:rsidR="007C5447" w:rsidRDefault="007C5447">
            <w:pPr>
              <w:rPr>
                <w:sz w:val="2"/>
                <w:szCs w:val="2"/>
              </w:rPr>
            </w:pPr>
          </w:p>
        </w:tc>
        <w:tc>
          <w:tcPr>
            <w:tcW w:w="2127" w:type="dxa"/>
            <w:vMerge/>
            <w:tcBorders>
              <w:top w:val="nil"/>
            </w:tcBorders>
            <w:shd w:val="clear" w:color="auto" w:fill="F7C9AC"/>
          </w:tcPr>
          <w:p w:rsidR="007C5447" w:rsidRDefault="007C5447">
            <w:pPr>
              <w:rPr>
                <w:sz w:val="2"/>
                <w:szCs w:val="2"/>
              </w:rPr>
            </w:pPr>
          </w:p>
        </w:tc>
        <w:tc>
          <w:tcPr>
            <w:tcW w:w="1272" w:type="dxa"/>
            <w:shd w:val="clear" w:color="auto" w:fill="F7C9AC"/>
          </w:tcPr>
          <w:p w:rsidR="007C5447" w:rsidRDefault="00F6308C">
            <w:pPr>
              <w:pStyle w:val="TableParagraph"/>
              <w:spacing w:before="48"/>
              <w:ind w:right="131"/>
              <w:rPr>
                <w:b/>
                <w:sz w:val="20"/>
              </w:rPr>
            </w:pPr>
            <w:r>
              <w:rPr>
                <w:b/>
                <w:sz w:val="20"/>
              </w:rPr>
              <w:t>FY 2016-17</w:t>
            </w:r>
          </w:p>
        </w:tc>
        <w:tc>
          <w:tcPr>
            <w:tcW w:w="1272" w:type="dxa"/>
            <w:shd w:val="clear" w:color="auto" w:fill="F7C9AC"/>
          </w:tcPr>
          <w:p w:rsidR="007C5447" w:rsidRDefault="00F6308C">
            <w:pPr>
              <w:pStyle w:val="TableParagraph"/>
              <w:spacing w:before="48"/>
              <w:ind w:right="131"/>
              <w:rPr>
                <w:b/>
                <w:sz w:val="20"/>
              </w:rPr>
            </w:pPr>
            <w:r>
              <w:rPr>
                <w:b/>
                <w:sz w:val="20"/>
              </w:rPr>
              <w:t>FY 2017-18</w:t>
            </w:r>
          </w:p>
        </w:tc>
        <w:tc>
          <w:tcPr>
            <w:tcW w:w="1272" w:type="dxa"/>
            <w:shd w:val="clear" w:color="auto" w:fill="F7C9AC"/>
          </w:tcPr>
          <w:p w:rsidR="007C5447" w:rsidRDefault="00F6308C">
            <w:pPr>
              <w:pStyle w:val="TableParagraph"/>
              <w:spacing w:before="48"/>
              <w:ind w:right="129"/>
              <w:rPr>
                <w:b/>
                <w:sz w:val="20"/>
              </w:rPr>
            </w:pPr>
            <w:r>
              <w:rPr>
                <w:b/>
                <w:sz w:val="20"/>
              </w:rPr>
              <w:t>FY 2018-19</w:t>
            </w:r>
          </w:p>
        </w:tc>
        <w:tc>
          <w:tcPr>
            <w:tcW w:w="1273" w:type="dxa"/>
            <w:shd w:val="clear" w:color="auto" w:fill="F7C9AC"/>
          </w:tcPr>
          <w:p w:rsidR="007C5447" w:rsidRDefault="00F6308C">
            <w:pPr>
              <w:pStyle w:val="TableParagraph"/>
              <w:spacing w:before="48"/>
              <w:ind w:right="130"/>
              <w:rPr>
                <w:b/>
                <w:sz w:val="20"/>
              </w:rPr>
            </w:pPr>
            <w:r>
              <w:rPr>
                <w:b/>
                <w:sz w:val="20"/>
              </w:rPr>
              <w:t>FY 2016-17</w:t>
            </w:r>
          </w:p>
        </w:tc>
        <w:tc>
          <w:tcPr>
            <w:tcW w:w="1272" w:type="dxa"/>
            <w:shd w:val="clear" w:color="auto" w:fill="F7C9AC"/>
          </w:tcPr>
          <w:p w:rsidR="007C5447" w:rsidRDefault="00F6308C">
            <w:pPr>
              <w:pStyle w:val="TableParagraph"/>
              <w:spacing w:before="48"/>
              <w:ind w:right="131"/>
              <w:rPr>
                <w:b/>
                <w:sz w:val="20"/>
              </w:rPr>
            </w:pPr>
            <w:r>
              <w:rPr>
                <w:b/>
                <w:sz w:val="20"/>
              </w:rPr>
              <w:t>FY 2017-18</w:t>
            </w:r>
          </w:p>
        </w:tc>
        <w:tc>
          <w:tcPr>
            <w:tcW w:w="1272" w:type="dxa"/>
            <w:shd w:val="clear" w:color="auto" w:fill="F7C9AC"/>
          </w:tcPr>
          <w:p w:rsidR="007C5447" w:rsidRDefault="00F6308C">
            <w:pPr>
              <w:pStyle w:val="TableParagraph"/>
              <w:spacing w:before="48"/>
              <w:ind w:right="131"/>
              <w:rPr>
                <w:b/>
                <w:sz w:val="20"/>
              </w:rPr>
            </w:pPr>
            <w:r>
              <w:rPr>
                <w:b/>
                <w:sz w:val="20"/>
              </w:rPr>
              <w:t>FY 2018-19</w:t>
            </w:r>
          </w:p>
        </w:tc>
      </w:tr>
      <w:tr w:rsidR="007C5447">
        <w:trPr>
          <w:trHeight w:val="328"/>
        </w:trPr>
        <w:tc>
          <w:tcPr>
            <w:tcW w:w="699" w:type="dxa"/>
            <w:shd w:val="clear" w:color="auto" w:fill="BEBEBE"/>
          </w:tcPr>
          <w:p w:rsidR="007C5447" w:rsidRDefault="007C5447">
            <w:pPr>
              <w:pStyle w:val="TableParagraph"/>
              <w:jc w:val="left"/>
              <w:rPr>
                <w:sz w:val="20"/>
              </w:rPr>
            </w:pPr>
          </w:p>
        </w:tc>
        <w:tc>
          <w:tcPr>
            <w:tcW w:w="2127" w:type="dxa"/>
            <w:shd w:val="clear" w:color="auto" w:fill="BEBEBE"/>
          </w:tcPr>
          <w:p w:rsidR="007C5447" w:rsidRDefault="00F6308C">
            <w:pPr>
              <w:pStyle w:val="TableParagraph"/>
              <w:spacing w:before="50"/>
              <w:ind w:left="107"/>
              <w:jc w:val="left"/>
              <w:rPr>
                <w:b/>
                <w:sz w:val="20"/>
              </w:rPr>
            </w:pPr>
            <w:r>
              <w:rPr>
                <w:b/>
                <w:sz w:val="20"/>
              </w:rPr>
              <w:t>Coal Thermal</w:t>
            </w:r>
          </w:p>
        </w:tc>
        <w:tc>
          <w:tcPr>
            <w:tcW w:w="1272" w:type="dxa"/>
            <w:shd w:val="clear" w:color="auto" w:fill="BEBEBE"/>
          </w:tcPr>
          <w:p w:rsidR="007C5447" w:rsidRDefault="007C5447">
            <w:pPr>
              <w:pStyle w:val="TableParagraph"/>
              <w:jc w:val="left"/>
              <w:rPr>
                <w:sz w:val="20"/>
              </w:rPr>
            </w:pPr>
          </w:p>
        </w:tc>
        <w:tc>
          <w:tcPr>
            <w:tcW w:w="1272" w:type="dxa"/>
            <w:shd w:val="clear" w:color="auto" w:fill="BEBEBE"/>
          </w:tcPr>
          <w:p w:rsidR="007C5447" w:rsidRDefault="007C5447">
            <w:pPr>
              <w:pStyle w:val="TableParagraph"/>
              <w:jc w:val="left"/>
              <w:rPr>
                <w:sz w:val="20"/>
              </w:rPr>
            </w:pPr>
          </w:p>
        </w:tc>
        <w:tc>
          <w:tcPr>
            <w:tcW w:w="1272" w:type="dxa"/>
            <w:shd w:val="clear" w:color="auto" w:fill="BEBEBE"/>
          </w:tcPr>
          <w:p w:rsidR="007C5447" w:rsidRDefault="007C5447">
            <w:pPr>
              <w:pStyle w:val="TableParagraph"/>
              <w:jc w:val="left"/>
              <w:rPr>
                <w:sz w:val="20"/>
              </w:rPr>
            </w:pPr>
          </w:p>
        </w:tc>
        <w:tc>
          <w:tcPr>
            <w:tcW w:w="1273" w:type="dxa"/>
            <w:shd w:val="clear" w:color="auto" w:fill="BEBEBE"/>
          </w:tcPr>
          <w:p w:rsidR="007C5447" w:rsidRDefault="007C5447">
            <w:pPr>
              <w:pStyle w:val="TableParagraph"/>
              <w:jc w:val="left"/>
              <w:rPr>
                <w:sz w:val="20"/>
              </w:rPr>
            </w:pPr>
          </w:p>
        </w:tc>
        <w:tc>
          <w:tcPr>
            <w:tcW w:w="1272" w:type="dxa"/>
            <w:shd w:val="clear" w:color="auto" w:fill="BEBEBE"/>
          </w:tcPr>
          <w:p w:rsidR="007C5447" w:rsidRDefault="007C5447">
            <w:pPr>
              <w:pStyle w:val="TableParagraph"/>
              <w:jc w:val="left"/>
              <w:rPr>
                <w:sz w:val="20"/>
              </w:rPr>
            </w:pPr>
          </w:p>
        </w:tc>
        <w:tc>
          <w:tcPr>
            <w:tcW w:w="1272" w:type="dxa"/>
            <w:shd w:val="clear" w:color="auto" w:fill="BEBEBE"/>
          </w:tcPr>
          <w:p w:rsidR="007C5447" w:rsidRDefault="007C5447">
            <w:pPr>
              <w:pStyle w:val="TableParagraph"/>
              <w:jc w:val="left"/>
              <w:rPr>
                <w:sz w:val="20"/>
              </w:rPr>
            </w:pPr>
          </w:p>
        </w:tc>
      </w:tr>
      <w:tr w:rsidR="007C5447">
        <w:trPr>
          <w:trHeight w:val="328"/>
        </w:trPr>
        <w:tc>
          <w:tcPr>
            <w:tcW w:w="699" w:type="dxa"/>
          </w:tcPr>
          <w:p w:rsidR="007C5447" w:rsidRDefault="00F6308C">
            <w:pPr>
              <w:pStyle w:val="TableParagraph"/>
              <w:spacing w:before="50"/>
              <w:ind w:left="107"/>
              <w:jc w:val="left"/>
              <w:rPr>
                <w:sz w:val="20"/>
              </w:rPr>
            </w:pPr>
            <w:r>
              <w:rPr>
                <w:w w:val="99"/>
                <w:sz w:val="20"/>
              </w:rPr>
              <w:t>1</w:t>
            </w:r>
          </w:p>
        </w:tc>
        <w:tc>
          <w:tcPr>
            <w:tcW w:w="2127" w:type="dxa"/>
          </w:tcPr>
          <w:p w:rsidR="007C5447" w:rsidRDefault="00F6308C">
            <w:pPr>
              <w:pStyle w:val="TableParagraph"/>
              <w:spacing w:before="50"/>
              <w:ind w:left="107"/>
              <w:jc w:val="left"/>
              <w:rPr>
                <w:sz w:val="20"/>
              </w:rPr>
            </w:pPr>
            <w:r>
              <w:rPr>
                <w:sz w:val="20"/>
              </w:rPr>
              <w:t>Ennore TPS</w:t>
            </w:r>
          </w:p>
        </w:tc>
        <w:tc>
          <w:tcPr>
            <w:tcW w:w="1272" w:type="dxa"/>
          </w:tcPr>
          <w:p w:rsidR="007C5447" w:rsidRDefault="00F6308C">
            <w:pPr>
              <w:pStyle w:val="TableParagraph"/>
              <w:spacing w:before="50"/>
              <w:ind w:right="98"/>
              <w:rPr>
                <w:sz w:val="20"/>
              </w:rPr>
            </w:pPr>
            <w:r>
              <w:rPr>
                <w:w w:val="95"/>
                <w:sz w:val="20"/>
              </w:rPr>
              <w:t>3,205</w:t>
            </w:r>
          </w:p>
        </w:tc>
        <w:tc>
          <w:tcPr>
            <w:tcW w:w="1272" w:type="dxa"/>
          </w:tcPr>
          <w:p w:rsidR="007C5447" w:rsidRDefault="00F6308C">
            <w:pPr>
              <w:pStyle w:val="TableParagraph"/>
              <w:spacing w:before="50"/>
              <w:ind w:right="94"/>
              <w:rPr>
                <w:sz w:val="20"/>
              </w:rPr>
            </w:pPr>
            <w:r>
              <w:rPr>
                <w:w w:val="99"/>
                <w:sz w:val="20"/>
              </w:rPr>
              <w:t>-</w:t>
            </w:r>
          </w:p>
        </w:tc>
        <w:tc>
          <w:tcPr>
            <w:tcW w:w="1272" w:type="dxa"/>
          </w:tcPr>
          <w:p w:rsidR="007C5447" w:rsidRDefault="00F6308C">
            <w:pPr>
              <w:pStyle w:val="TableParagraph"/>
              <w:spacing w:before="50"/>
              <w:ind w:right="94"/>
              <w:rPr>
                <w:sz w:val="20"/>
              </w:rPr>
            </w:pPr>
            <w:r>
              <w:rPr>
                <w:w w:val="99"/>
                <w:sz w:val="20"/>
              </w:rPr>
              <w:t>-</w:t>
            </w:r>
          </w:p>
        </w:tc>
        <w:tc>
          <w:tcPr>
            <w:tcW w:w="1273" w:type="dxa"/>
          </w:tcPr>
          <w:p w:rsidR="007C5447" w:rsidRDefault="00F6308C">
            <w:pPr>
              <w:pStyle w:val="TableParagraph"/>
              <w:spacing w:before="50"/>
              <w:ind w:right="98"/>
              <w:rPr>
                <w:sz w:val="20"/>
              </w:rPr>
            </w:pPr>
            <w:r>
              <w:rPr>
                <w:w w:val="95"/>
                <w:sz w:val="20"/>
              </w:rPr>
              <w:t>3,205</w:t>
            </w:r>
          </w:p>
        </w:tc>
        <w:tc>
          <w:tcPr>
            <w:tcW w:w="1272" w:type="dxa"/>
          </w:tcPr>
          <w:p w:rsidR="007C5447" w:rsidRDefault="00F6308C">
            <w:pPr>
              <w:pStyle w:val="TableParagraph"/>
              <w:spacing w:before="50"/>
              <w:ind w:right="94"/>
              <w:rPr>
                <w:sz w:val="20"/>
              </w:rPr>
            </w:pPr>
            <w:r>
              <w:rPr>
                <w:w w:val="99"/>
                <w:sz w:val="20"/>
              </w:rPr>
              <w:t>-</w:t>
            </w:r>
          </w:p>
        </w:tc>
        <w:tc>
          <w:tcPr>
            <w:tcW w:w="1272" w:type="dxa"/>
          </w:tcPr>
          <w:p w:rsidR="007C5447" w:rsidRDefault="00F6308C">
            <w:pPr>
              <w:pStyle w:val="TableParagraph"/>
              <w:spacing w:before="50"/>
              <w:ind w:right="94"/>
              <w:rPr>
                <w:sz w:val="20"/>
              </w:rPr>
            </w:pPr>
            <w:r>
              <w:rPr>
                <w:w w:val="99"/>
                <w:sz w:val="20"/>
              </w:rPr>
              <w:t>-</w:t>
            </w:r>
          </w:p>
        </w:tc>
      </w:tr>
      <w:tr w:rsidR="007C5447">
        <w:trPr>
          <w:trHeight w:val="328"/>
        </w:trPr>
        <w:tc>
          <w:tcPr>
            <w:tcW w:w="699" w:type="dxa"/>
          </w:tcPr>
          <w:p w:rsidR="007C5447" w:rsidRDefault="00F6308C">
            <w:pPr>
              <w:pStyle w:val="TableParagraph"/>
              <w:spacing w:before="50"/>
              <w:ind w:left="107"/>
              <w:jc w:val="left"/>
              <w:rPr>
                <w:sz w:val="20"/>
              </w:rPr>
            </w:pPr>
            <w:r>
              <w:rPr>
                <w:w w:val="99"/>
                <w:sz w:val="20"/>
              </w:rPr>
              <w:t>2</w:t>
            </w:r>
          </w:p>
        </w:tc>
        <w:tc>
          <w:tcPr>
            <w:tcW w:w="2127" w:type="dxa"/>
          </w:tcPr>
          <w:p w:rsidR="007C5447" w:rsidRDefault="00F6308C">
            <w:pPr>
              <w:pStyle w:val="TableParagraph"/>
              <w:spacing w:before="50"/>
              <w:ind w:left="107"/>
              <w:jc w:val="left"/>
              <w:rPr>
                <w:sz w:val="20"/>
              </w:rPr>
            </w:pPr>
            <w:r>
              <w:rPr>
                <w:sz w:val="20"/>
              </w:rPr>
              <w:t>Ennore Expansion II</w:t>
            </w:r>
          </w:p>
        </w:tc>
        <w:tc>
          <w:tcPr>
            <w:tcW w:w="1272" w:type="dxa"/>
          </w:tcPr>
          <w:p w:rsidR="007C5447" w:rsidRDefault="00F6308C">
            <w:pPr>
              <w:pStyle w:val="TableParagraph"/>
              <w:spacing w:before="50"/>
              <w:ind w:right="94"/>
              <w:rPr>
                <w:sz w:val="20"/>
              </w:rPr>
            </w:pPr>
            <w:r>
              <w:rPr>
                <w:w w:val="99"/>
                <w:sz w:val="20"/>
              </w:rPr>
              <w:t>-</w:t>
            </w:r>
          </w:p>
        </w:tc>
        <w:tc>
          <w:tcPr>
            <w:tcW w:w="1272" w:type="dxa"/>
          </w:tcPr>
          <w:p w:rsidR="007C5447" w:rsidRDefault="00F6308C">
            <w:pPr>
              <w:pStyle w:val="TableParagraph"/>
              <w:spacing w:before="50"/>
              <w:ind w:right="94"/>
              <w:rPr>
                <w:sz w:val="20"/>
              </w:rPr>
            </w:pPr>
            <w:r>
              <w:rPr>
                <w:w w:val="99"/>
                <w:sz w:val="20"/>
              </w:rPr>
              <w:t>-</w:t>
            </w:r>
          </w:p>
        </w:tc>
        <w:tc>
          <w:tcPr>
            <w:tcW w:w="1272" w:type="dxa"/>
          </w:tcPr>
          <w:p w:rsidR="007C5447" w:rsidRDefault="00F6308C">
            <w:pPr>
              <w:pStyle w:val="TableParagraph"/>
              <w:spacing w:before="50"/>
              <w:ind w:right="97"/>
              <w:rPr>
                <w:sz w:val="20"/>
              </w:rPr>
            </w:pPr>
            <w:r>
              <w:rPr>
                <w:w w:val="95"/>
                <w:sz w:val="20"/>
              </w:rPr>
              <w:t>3,470</w:t>
            </w:r>
          </w:p>
        </w:tc>
        <w:tc>
          <w:tcPr>
            <w:tcW w:w="1273" w:type="dxa"/>
          </w:tcPr>
          <w:p w:rsidR="007C5447" w:rsidRDefault="00F6308C">
            <w:pPr>
              <w:pStyle w:val="TableParagraph"/>
              <w:spacing w:before="50"/>
              <w:ind w:right="95"/>
              <w:rPr>
                <w:sz w:val="20"/>
              </w:rPr>
            </w:pPr>
            <w:r>
              <w:rPr>
                <w:w w:val="99"/>
                <w:sz w:val="20"/>
              </w:rPr>
              <w:t>-</w:t>
            </w:r>
          </w:p>
        </w:tc>
        <w:tc>
          <w:tcPr>
            <w:tcW w:w="1272" w:type="dxa"/>
          </w:tcPr>
          <w:p w:rsidR="007C5447" w:rsidRDefault="00F6308C">
            <w:pPr>
              <w:pStyle w:val="TableParagraph"/>
              <w:spacing w:before="50"/>
              <w:ind w:right="94"/>
              <w:rPr>
                <w:sz w:val="20"/>
              </w:rPr>
            </w:pPr>
            <w:r>
              <w:rPr>
                <w:w w:val="99"/>
                <w:sz w:val="20"/>
              </w:rPr>
              <w:t>-</w:t>
            </w:r>
          </w:p>
        </w:tc>
        <w:tc>
          <w:tcPr>
            <w:tcW w:w="1272" w:type="dxa"/>
          </w:tcPr>
          <w:p w:rsidR="007C5447" w:rsidRDefault="00F6308C">
            <w:pPr>
              <w:pStyle w:val="TableParagraph"/>
              <w:spacing w:before="50"/>
              <w:ind w:right="98"/>
              <w:rPr>
                <w:sz w:val="20"/>
              </w:rPr>
            </w:pPr>
            <w:r>
              <w:rPr>
                <w:w w:val="95"/>
                <w:sz w:val="20"/>
              </w:rPr>
              <w:t>3,470</w:t>
            </w:r>
          </w:p>
        </w:tc>
      </w:tr>
      <w:tr w:rsidR="007C5447">
        <w:trPr>
          <w:trHeight w:val="328"/>
        </w:trPr>
        <w:tc>
          <w:tcPr>
            <w:tcW w:w="699" w:type="dxa"/>
          </w:tcPr>
          <w:p w:rsidR="007C5447" w:rsidRDefault="00F6308C">
            <w:pPr>
              <w:pStyle w:val="TableParagraph"/>
              <w:spacing w:before="48"/>
              <w:ind w:left="107"/>
              <w:jc w:val="left"/>
              <w:rPr>
                <w:sz w:val="20"/>
              </w:rPr>
            </w:pPr>
            <w:r>
              <w:rPr>
                <w:w w:val="99"/>
                <w:sz w:val="20"/>
              </w:rPr>
              <w:t>3</w:t>
            </w:r>
          </w:p>
        </w:tc>
        <w:tc>
          <w:tcPr>
            <w:tcW w:w="2127" w:type="dxa"/>
          </w:tcPr>
          <w:p w:rsidR="007C5447" w:rsidRDefault="00F6308C">
            <w:pPr>
              <w:pStyle w:val="TableParagraph"/>
              <w:spacing w:before="48"/>
              <w:ind w:left="107"/>
              <w:jc w:val="left"/>
              <w:rPr>
                <w:sz w:val="20"/>
              </w:rPr>
            </w:pPr>
            <w:r>
              <w:rPr>
                <w:sz w:val="20"/>
              </w:rPr>
              <w:t>Tuticorin TPS</w:t>
            </w:r>
          </w:p>
        </w:tc>
        <w:tc>
          <w:tcPr>
            <w:tcW w:w="1272" w:type="dxa"/>
          </w:tcPr>
          <w:p w:rsidR="007C5447" w:rsidRDefault="00F6308C">
            <w:pPr>
              <w:pStyle w:val="TableParagraph"/>
              <w:spacing w:before="48"/>
              <w:ind w:right="98"/>
              <w:rPr>
                <w:sz w:val="20"/>
              </w:rPr>
            </w:pPr>
            <w:r>
              <w:rPr>
                <w:w w:val="95"/>
                <w:sz w:val="20"/>
              </w:rPr>
              <w:t>4,265</w:t>
            </w:r>
          </w:p>
        </w:tc>
        <w:tc>
          <w:tcPr>
            <w:tcW w:w="1272" w:type="dxa"/>
          </w:tcPr>
          <w:p w:rsidR="007C5447" w:rsidRDefault="00F6308C">
            <w:pPr>
              <w:pStyle w:val="TableParagraph"/>
              <w:spacing w:before="48"/>
              <w:ind w:right="98"/>
              <w:rPr>
                <w:sz w:val="20"/>
              </w:rPr>
            </w:pPr>
            <w:r>
              <w:rPr>
                <w:w w:val="95"/>
                <w:sz w:val="20"/>
              </w:rPr>
              <w:t>3,771</w:t>
            </w:r>
          </w:p>
        </w:tc>
        <w:tc>
          <w:tcPr>
            <w:tcW w:w="1272" w:type="dxa"/>
          </w:tcPr>
          <w:p w:rsidR="007C5447" w:rsidRDefault="00F6308C">
            <w:pPr>
              <w:pStyle w:val="TableParagraph"/>
              <w:spacing w:before="48"/>
              <w:ind w:right="97"/>
              <w:rPr>
                <w:sz w:val="20"/>
              </w:rPr>
            </w:pPr>
            <w:r>
              <w:rPr>
                <w:w w:val="95"/>
                <w:sz w:val="20"/>
              </w:rPr>
              <w:t>3,884</w:t>
            </w:r>
          </w:p>
        </w:tc>
        <w:tc>
          <w:tcPr>
            <w:tcW w:w="1273" w:type="dxa"/>
          </w:tcPr>
          <w:p w:rsidR="007C5447" w:rsidRDefault="00F6308C">
            <w:pPr>
              <w:pStyle w:val="TableParagraph"/>
              <w:spacing w:before="48"/>
              <w:ind w:right="98"/>
              <w:rPr>
                <w:sz w:val="20"/>
              </w:rPr>
            </w:pPr>
            <w:r>
              <w:rPr>
                <w:w w:val="95"/>
                <w:sz w:val="20"/>
              </w:rPr>
              <w:t>4,265</w:t>
            </w:r>
          </w:p>
        </w:tc>
        <w:tc>
          <w:tcPr>
            <w:tcW w:w="1272" w:type="dxa"/>
          </w:tcPr>
          <w:p w:rsidR="007C5447" w:rsidRDefault="00F6308C">
            <w:pPr>
              <w:pStyle w:val="TableParagraph"/>
              <w:spacing w:before="48"/>
              <w:ind w:right="98"/>
              <w:rPr>
                <w:sz w:val="20"/>
              </w:rPr>
            </w:pPr>
            <w:r>
              <w:rPr>
                <w:w w:val="95"/>
                <w:sz w:val="20"/>
              </w:rPr>
              <w:t>3,771</w:t>
            </w:r>
          </w:p>
        </w:tc>
        <w:tc>
          <w:tcPr>
            <w:tcW w:w="1272" w:type="dxa"/>
          </w:tcPr>
          <w:p w:rsidR="007C5447" w:rsidRDefault="00F6308C">
            <w:pPr>
              <w:pStyle w:val="TableParagraph"/>
              <w:spacing w:before="48"/>
              <w:ind w:right="98"/>
              <w:rPr>
                <w:sz w:val="20"/>
              </w:rPr>
            </w:pPr>
            <w:r>
              <w:rPr>
                <w:w w:val="95"/>
                <w:sz w:val="20"/>
              </w:rPr>
              <w:t>3,884</w:t>
            </w:r>
          </w:p>
        </w:tc>
      </w:tr>
      <w:tr w:rsidR="007C5447">
        <w:trPr>
          <w:trHeight w:val="328"/>
        </w:trPr>
        <w:tc>
          <w:tcPr>
            <w:tcW w:w="699" w:type="dxa"/>
          </w:tcPr>
          <w:p w:rsidR="007C5447" w:rsidRDefault="00F6308C">
            <w:pPr>
              <w:pStyle w:val="TableParagraph"/>
              <w:spacing w:before="48"/>
              <w:ind w:left="107"/>
              <w:jc w:val="left"/>
              <w:rPr>
                <w:sz w:val="20"/>
              </w:rPr>
            </w:pPr>
            <w:r>
              <w:rPr>
                <w:w w:val="99"/>
                <w:sz w:val="20"/>
              </w:rPr>
              <w:t>4</w:t>
            </w:r>
          </w:p>
        </w:tc>
        <w:tc>
          <w:tcPr>
            <w:tcW w:w="2127" w:type="dxa"/>
          </w:tcPr>
          <w:p w:rsidR="007C5447" w:rsidRDefault="00F6308C">
            <w:pPr>
              <w:pStyle w:val="TableParagraph"/>
              <w:spacing w:before="48"/>
              <w:ind w:left="107"/>
              <w:jc w:val="left"/>
              <w:rPr>
                <w:sz w:val="20"/>
              </w:rPr>
            </w:pPr>
            <w:r>
              <w:rPr>
                <w:sz w:val="20"/>
              </w:rPr>
              <w:t>Mettur TPS</w:t>
            </w:r>
          </w:p>
        </w:tc>
        <w:tc>
          <w:tcPr>
            <w:tcW w:w="1272" w:type="dxa"/>
          </w:tcPr>
          <w:p w:rsidR="007C5447" w:rsidRDefault="00F6308C">
            <w:pPr>
              <w:pStyle w:val="TableParagraph"/>
              <w:spacing w:before="48"/>
              <w:ind w:right="98"/>
              <w:rPr>
                <w:sz w:val="20"/>
              </w:rPr>
            </w:pPr>
            <w:r>
              <w:rPr>
                <w:w w:val="95"/>
                <w:sz w:val="20"/>
              </w:rPr>
              <w:t>4,610</w:t>
            </w:r>
          </w:p>
        </w:tc>
        <w:tc>
          <w:tcPr>
            <w:tcW w:w="1272" w:type="dxa"/>
          </w:tcPr>
          <w:p w:rsidR="007C5447" w:rsidRDefault="00F6308C">
            <w:pPr>
              <w:pStyle w:val="TableParagraph"/>
              <w:spacing w:before="48"/>
              <w:ind w:right="98"/>
              <w:rPr>
                <w:sz w:val="20"/>
              </w:rPr>
            </w:pPr>
            <w:r>
              <w:rPr>
                <w:w w:val="95"/>
                <w:sz w:val="20"/>
              </w:rPr>
              <w:t>3,756</w:t>
            </w:r>
          </w:p>
        </w:tc>
        <w:tc>
          <w:tcPr>
            <w:tcW w:w="1272" w:type="dxa"/>
          </w:tcPr>
          <w:p w:rsidR="007C5447" w:rsidRDefault="00F6308C">
            <w:pPr>
              <w:pStyle w:val="TableParagraph"/>
              <w:spacing w:before="48"/>
              <w:ind w:right="97"/>
              <w:rPr>
                <w:sz w:val="20"/>
              </w:rPr>
            </w:pPr>
            <w:r>
              <w:rPr>
                <w:w w:val="95"/>
                <w:sz w:val="20"/>
              </w:rPr>
              <w:t>3,869</w:t>
            </w:r>
          </w:p>
        </w:tc>
        <w:tc>
          <w:tcPr>
            <w:tcW w:w="1273" w:type="dxa"/>
          </w:tcPr>
          <w:p w:rsidR="007C5447" w:rsidRDefault="00F6308C">
            <w:pPr>
              <w:pStyle w:val="TableParagraph"/>
              <w:spacing w:before="48"/>
              <w:ind w:right="98"/>
              <w:rPr>
                <w:sz w:val="20"/>
              </w:rPr>
            </w:pPr>
            <w:r>
              <w:rPr>
                <w:w w:val="95"/>
                <w:sz w:val="20"/>
              </w:rPr>
              <w:t>4,610</w:t>
            </w:r>
          </w:p>
        </w:tc>
        <w:tc>
          <w:tcPr>
            <w:tcW w:w="1272" w:type="dxa"/>
          </w:tcPr>
          <w:p w:rsidR="007C5447" w:rsidRDefault="00F6308C">
            <w:pPr>
              <w:pStyle w:val="TableParagraph"/>
              <w:spacing w:before="48"/>
              <w:ind w:right="98"/>
              <w:rPr>
                <w:sz w:val="20"/>
              </w:rPr>
            </w:pPr>
            <w:r>
              <w:rPr>
                <w:w w:val="95"/>
                <w:sz w:val="20"/>
              </w:rPr>
              <w:t>3,756</w:t>
            </w:r>
          </w:p>
        </w:tc>
        <w:tc>
          <w:tcPr>
            <w:tcW w:w="1272" w:type="dxa"/>
          </w:tcPr>
          <w:p w:rsidR="007C5447" w:rsidRDefault="00F6308C">
            <w:pPr>
              <w:pStyle w:val="TableParagraph"/>
              <w:spacing w:before="48"/>
              <w:ind w:right="98"/>
              <w:rPr>
                <w:sz w:val="20"/>
              </w:rPr>
            </w:pPr>
            <w:r>
              <w:rPr>
                <w:w w:val="95"/>
                <w:sz w:val="20"/>
              </w:rPr>
              <w:t>3,869</w:t>
            </w:r>
          </w:p>
        </w:tc>
      </w:tr>
      <w:tr w:rsidR="007C5447">
        <w:trPr>
          <w:trHeight w:val="325"/>
        </w:trPr>
        <w:tc>
          <w:tcPr>
            <w:tcW w:w="699" w:type="dxa"/>
          </w:tcPr>
          <w:p w:rsidR="007C5447" w:rsidRDefault="00F6308C">
            <w:pPr>
              <w:pStyle w:val="TableParagraph"/>
              <w:spacing w:before="48"/>
              <w:ind w:left="107"/>
              <w:jc w:val="left"/>
              <w:rPr>
                <w:sz w:val="20"/>
              </w:rPr>
            </w:pPr>
            <w:r>
              <w:rPr>
                <w:w w:val="99"/>
                <w:sz w:val="20"/>
              </w:rPr>
              <w:t>5</w:t>
            </w:r>
          </w:p>
        </w:tc>
        <w:tc>
          <w:tcPr>
            <w:tcW w:w="2127" w:type="dxa"/>
          </w:tcPr>
          <w:p w:rsidR="007C5447" w:rsidRDefault="00F6308C">
            <w:pPr>
              <w:pStyle w:val="TableParagraph"/>
              <w:spacing w:before="48"/>
              <w:ind w:left="107"/>
              <w:jc w:val="left"/>
              <w:rPr>
                <w:sz w:val="20"/>
              </w:rPr>
            </w:pPr>
            <w:r>
              <w:rPr>
                <w:sz w:val="20"/>
              </w:rPr>
              <w:t>Mettur Stage III TPS</w:t>
            </w:r>
          </w:p>
        </w:tc>
        <w:tc>
          <w:tcPr>
            <w:tcW w:w="1272" w:type="dxa"/>
          </w:tcPr>
          <w:p w:rsidR="007C5447" w:rsidRDefault="00F6308C">
            <w:pPr>
              <w:pStyle w:val="TableParagraph"/>
              <w:spacing w:before="48"/>
              <w:ind w:right="98"/>
              <w:rPr>
                <w:sz w:val="20"/>
              </w:rPr>
            </w:pPr>
            <w:r>
              <w:rPr>
                <w:w w:val="95"/>
                <w:sz w:val="20"/>
              </w:rPr>
              <w:t>4,610</w:t>
            </w:r>
          </w:p>
        </w:tc>
        <w:tc>
          <w:tcPr>
            <w:tcW w:w="1272" w:type="dxa"/>
          </w:tcPr>
          <w:p w:rsidR="007C5447" w:rsidRDefault="00F6308C">
            <w:pPr>
              <w:pStyle w:val="TableParagraph"/>
              <w:spacing w:before="48"/>
              <w:ind w:right="98"/>
              <w:rPr>
                <w:sz w:val="20"/>
              </w:rPr>
            </w:pPr>
            <w:r>
              <w:rPr>
                <w:w w:val="95"/>
                <w:sz w:val="20"/>
              </w:rPr>
              <w:t>3,756</w:t>
            </w:r>
          </w:p>
        </w:tc>
        <w:tc>
          <w:tcPr>
            <w:tcW w:w="1272" w:type="dxa"/>
          </w:tcPr>
          <w:p w:rsidR="007C5447" w:rsidRDefault="00F6308C">
            <w:pPr>
              <w:pStyle w:val="TableParagraph"/>
              <w:spacing w:before="48"/>
              <w:ind w:right="97"/>
              <w:rPr>
                <w:sz w:val="20"/>
              </w:rPr>
            </w:pPr>
            <w:r>
              <w:rPr>
                <w:w w:val="95"/>
                <w:sz w:val="20"/>
              </w:rPr>
              <w:t>3,869</w:t>
            </w:r>
          </w:p>
        </w:tc>
        <w:tc>
          <w:tcPr>
            <w:tcW w:w="1273" w:type="dxa"/>
          </w:tcPr>
          <w:p w:rsidR="007C5447" w:rsidRDefault="00F6308C">
            <w:pPr>
              <w:pStyle w:val="TableParagraph"/>
              <w:spacing w:before="48"/>
              <w:ind w:right="98"/>
              <w:rPr>
                <w:sz w:val="20"/>
              </w:rPr>
            </w:pPr>
            <w:r>
              <w:rPr>
                <w:w w:val="95"/>
                <w:sz w:val="20"/>
              </w:rPr>
              <w:t>4,610</w:t>
            </w:r>
          </w:p>
        </w:tc>
        <w:tc>
          <w:tcPr>
            <w:tcW w:w="1272" w:type="dxa"/>
          </w:tcPr>
          <w:p w:rsidR="007C5447" w:rsidRDefault="00F6308C">
            <w:pPr>
              <w:pStyle w:val="TableParagraph"/>
              <w:spacing w:before="48"/>
              <w:ind w:right="98"/>
              <w:rPr>
                <w:sz w:val="20"/>
              </w:rPr>
            </w:pPr>
            <w:r>
              <w:rPr>
                <w:w w:val="95"/>
                <w:sz w:val="20"/>
              </w:rPr>
              <w:t>3,756</w:t>
            </w:r>
          </w:p>
        </w:tc>
        <w:tc>
          <w:tcPr>
            <w:tcW w:w="1272" w:type="dxa"/>
          </w:tcPr>
          <w:p w:rsidR="007C5447" w:rsidRDefault="00F6308C">
            <w:pPr>
              <w:pStyle w:val="TableParagraph"/>
              <w:spacing w:before="48"/>
              <w:ind w:right="98"/>
              <w:rPr>
                <w:sz w:val="20"/>
              </w:rPr>
            </w:pPr>
            <w:r>
              <w:rPr>
                <w:w w:val="95"/>
                <w:sz w:val="20"/>
              </w:rPr>
              <w:t>3,869</w:t>
            </w:r>
          </w:p>
        </w:tc>
      </w:tr>
      <w:tr w:rsidR="007C5447">
        <w:trPr>
          <w:trHeight w:val="328"/>
        </w:trPr>
        <w:tc>
          <w:tcPr>
            <w:tcW w:w="699" w:type="dxa"/>
          </w:tcPr>
          <w:p w:rsidR="007C5447" w:rsidRDefault="00F6308C">
            <w:pPr>
              <w:pStyle w:val="TableParagraph"/>
              <w:spacing w:before="50"/>
              <w:ind w:left="107"/>
              <w:jc w:val="left"/>
              <w:rPr>
                <w:sz w:val="20"/>
              </w:rPr>
            </w:pPr>
            <w:r>
              <w:rPr>
                <w:w w:val="99"/>
                <w:sz w:val="20"/>
              </w:rPr>
              <w:t>6</w:t>
            </w:r>
          </w:p>
        </w:tc>
        <w:tc>
          <w:tcPr>
            <w:tcW w:w="2127" w:type="dxa"/>
          </w:tcPr>
          <w:p w:rsidR="007C5447" w:rsidRDefault="00F6308C">
            <w:pPr>
              <w:pStyle w:val="TableParagraph"/>
              <w:spacing w:before="50"/>
              <w:ind w:left="107"/>
              <w:jc w:val="left"/>
              <w:rPr>
                <w:sz w:val="20"/>
              </w:rPr>
            </w:pPr>
            <w:r>
              <w:rPr>
                <w:sz w:val="20"/>
              </w:rPr>
              <w:t>North Chennai TPS</w:t>
            </w:r>
          </w:p>
        </w:tc>
        <w:tc>
          <w:tcPr>
            <w:tcW w:w="1272" w:type="dxa"/>
          </w:tcPr>
          <w:p w:rsidR="007C5447" w:rsidRDefault="00F6308C">
            <w:pPr>
              <w:pStyle w:val="TableParagraph"/>
              <w:spacing w:before="50"/>
              <w:ind w:right="98"/>
              <w:rPr>
                <w:sz w:val="20"/>
              </w:rPr>
            </w:pPr>
            <w:r>
              <w:rPr>
                <w:w w:val="95"/>
                <w:sz w:val="20"/>
              </w:rPr>
              <w:t>3,837</w:t>
            </w:r>
          </w:p>
        </w:tc>
        <w:tc>
          <w:tcPr>
            <w:tcW w:w="1272" w:type="dxa"/>
          </w:tcPr>
          <w:p w:rsidR="007C5447" w:rsidRDefault="00F6308C">
            <w:pPr>
              <w:pStyle w:val="TableParagraph"/>
              <w:spacing w:before="50"/>
              <w:ind w:right="98"/>
              <w:rPr>
                <w:sz w:val="20"/>
              </w:rPr>
            </w:pPr>
            <w:r>
              <w:rPr>
                <w:w w:val="95"/>
                <w:sz w:val="20"/>
              </w:rPr>
              <w:t>3,542</w:t>
            </w:r>
          </w:p>
        </w:tc>
        <w:tc>
          <w:tcPr>
            <w:tcW w:w="1272" w:type="dxa"/>
          </w:tcPr>
          <w:p w:rsidR="007C5447" w:rsidRDefault="00F6308C">
            <w:pPr>
              <w:pStyle w:val="TableParagraph"/>
              <w:spacing w:before="50"/>
              <w:ind w:right="97"/>
              <w:rPr>
                <w:sz w:val="20"/>
              </w:rPr>
            </w:pPr>
            <w:r>
              <w:rPr>
                <w:w w:val="95"/>
                <w:sz w:val="20"/>
              </w:rPr>
              <w:t>3,542</w:t>
            </w:r>
          </w:p>
        </w:tc>
        <w:tc>
          <w:tcPr>
            <w:tcW w:w="1273" w:type="dxa"/>
          </w:tcPr>
          <w:p w:rsidR="007C5447" w:rsidRDefault="00F6308C">
            <w:pPr>
              <w:pStyle w:val="TableParagraph"/>
              <w:spacing w:before="50"/>
              <w:ind w:right="98"/>
              <w:rPr>
                <w:sz w:val="20"/>
              </w:rPr>
            </w:pPr>
            <w:r>
              <w:rPr>
                <w:w w:val="95"/>
                <w:sz w:val="20"/>
              </w:rPr>
              <w:t>3,837</w:t>
            </w:r>
          </w:p>
        </w:tc>
        <w:tc>
          <w:tcPr>
            <w:tcW w:w="1272" w:type="dxa"/>
          </w:tcPr>
          <w:p w:rsidR="007C5447" w:rsidRDefault="00F6308C">
            <w:pPr>
              <w:pStyle w:val="TableParagraph"/>
              <w:spacing w:before="50"/>
              <w:ind w:right="98"/>
              <w:rPr>
                <w:sz w:val="20"/>
              </w:rPr>
            </w:pPr>
            <w:r>
              <w:rPr>
                <w:w w:val="95"/>
                <w:sz w:val="20"/>
              </w:rPr>
              <w:t>3,542</w:t>
            </w:r>
          </w:p>
        </w:tc>
        <w:tc>
          <w:tcPr>
            <w:tcW w:w="1272" w:type="dxa"/>
          </w:tcPr>
          <w:p w:rsidR="007C5447" w:rsidRDefault="00F6308C">
            <w:pPr>
              <w:pStyle w:val="TableParagraph"/>
              <w:spacing w:before="50"/>
              <w:ind w:right="98"/>
              <w:rPr>
                <w:sz w:val="20"/>
              </w:rPr>
            </w:pPr>
            <w:r>
              <w:rPr>
                <w:w w:val="95"/>
                <w:sz w:val="20"/>
              </w:rPr>
              <w:t>3,542</w:t>
            </w:r>
          </w:p>
        </w:tc>
      </w:tr>
      <w:tr w:rsidR="007C5447">
        <w:trPr>
          <w:trHeight w:val="491"/>
        </w:trPr>
        <w:tc>
          <w:tcPr>
            <w:tcW w:w="699" w:type="dxa"/>
          </w:tcPr>
          <w:p w:rsidR="007C5447" w:rsidRDefault="00F6308C">
            <w:pPr>
              <w:pStyle w:val="TableParagraph"/>
              <w:spacing w:before="130"/>
              <w:ind w:left="107"/>
              <w:jc w:val="left"/>
              <w:rPr>
                <w:sz w:val="20"/>
              </w:rPr>
            </w:pPr>
            <w:r>
              <w:rPr>
                <w:w w:val="99"/>
                <w:sz w:val="20"/>
              </w:rPr>
              <w:t>7</w:t>
            </w:r>
          </w:p>
        </w:tc>
        <w:tc>
          <w:tcPr>
            <w:tcW w:w="2127" w:type="dxa"/>
          </w:tcPr>
          <w:p w:rsidR="007C5447" w:rsidRDefault="00F6308C">
            <w:pPr>
              <w:pStyle w:val="TableParagraph"/>
              <w:spacing w:before="21" w:line="228" w:lineRule="exact"/>
              <w:ind w:left="107" w:right="129"/>
              <w:jc w:val="left"/>
              <w:rPr>
                <w:sz w:val="20"/>
              </w:rPr>
            </w:pPr>
            <w:r>
              <w:rPr>
                <w:sz w:val="20"/>
              </w:rPr>
              <w:t>North Chennai Stage II TPS</w:t>
            </w:r>
          </w:p>
        </w:tc>
        <w:tc>
          <w:tcPr>
            <w:tcW w:w="1272" w:type="dxa"/>
          </w:tcPr>
          <w:p w:rsidR="007C5447" w:rsidRDefault="00F6308C">
            <w:pPr>
              <w:pStyle w:val="TableParagraph"/>
              <w:spacing w:before="130"/>
              <w:ind w:right="98"/>
              <w:rPr>
                <w:sz w:val="20"/>
              </w:rPr>
            </w:pPr>
            <w:r>
              <w:rPr>
                <w:w w:val="95"/>
                <w:sz w:val="20"/>
              </w:rPr>
              <w:t>3,420</w:t>
            </w:r>
          </w:p>
        </w:tc>
        <w:tc>
          <w:tcPr>
            <w:tcW w:w="1272" w:type="dxa"/>
          </w:tcPr>
          <w:p w:rsidR="007C5447" w:rsidRDefault="00F6308C">
            <w:pPr>
              <w:pStyle w:val="TableParagraph"/>
              <w:spacing w:before="130"/>
              <w:ind w:right="98"/>
              <w:rPr>
                <w:sz w:val="20"/>
              </w:rPr>
            </w:pPr>
            <w:r>
              <w:rPr>
                <w:w w:val="95"/>
                <w:sz w:val="20"/>
              </w:rPr>
              <w:t>3,046</w:t>
            </w:r>
          </w:p>
        </w:tc>
        <w:tc>
          <w:tcPr>
            <w:tcW w:w="1272" w:type="dxa"/>
          </w:tcPr>
          <w:p w:rsidR="007C5447" w:rsidRDefault="00F6308C">
            <w:pPr>
              <w:pStyle w:val="TableParagraph"/>
              <w:spacing w:before="130"/>
              <w:ind w:right="97"/>
              <w:rPr>
                <w:sz w:val="20"/>
              </w:rPr>
            </w:pPr>
            <w:r>
              <w:rPr>
                <w:w w:val="95"/>
                <w:sz w:val="20"/>
              </w:rPr>
              <w:t>3,147</w:t>
            </w:r>
          </w:p>
        </w:tc>
        <w:tc>
          <w:tcPr>
            <w:tcW w:w="1273" w:type="dxa"/>
          </w:tcPr>
          <w:p w:rsidR="007C5447" w:rsidRDefault="00F6308C">
            <w:pPr>
              <w:pStyle w:val="TableParagraph"/>
              <w:spacing w:before="130"/>
              <w:ind w:right="98"/>
              <w:rPr>
                <w:sz w:val="20"/>
              </w:rPr>
            </w:pPr>
            <w:r>
              <w:rPr>
                <w:w w:val="95"/>
                <w:sz w:val="20"/>
              </w:rPr>
              <w:t>3,420</w:t>
            </w:r>
          </w:p>
        </w:tc>
        <w:tc>
          <w:tcPr>
            <w:tcW w:w="1272" w:type="dxa"/>
          </w:tcPr>
          <w:p w:rsidR="007C5447" w:rsidRDefault="00F6308C">
            <w:pPr>
              <w:pStyle w:val="TableParagraph"/>
              <w:spacing w:before="130"/>
              <w:ind w:right="98"/>
              <w:rPr>
                <w:sz w:val="20"/>
              </w:rPr>
            </w:pPr>
            <w:r>
              <w:rPr>
                <w:w w:val="95"/>
                <w:sz w:val="20"/>
              </w:rPr>
              <w:t>3,046</w:t>
            </w:r>
          </w:p>
        </w:tc>
        <w:tc>
          <w:tcPr>
            <w:tcW w:w="1272" w:type="dxa"/>
          </w:tcPr>
          <w:p w:rsidR="007C5447" w:rsidRDefault="00F6308C">
            <w:pPr>
              <w:pStyle w:val="TableParagraph"/>
              <w:spacing w:before="130"/>
              <w:ind w:right="98"/>
              <w:rPr>
                <w:sz w:val="20"/>
              </w:rPr>
            </w:pPr>
            <w:r>
              <w:rPr>
                <w:w w:val="95"/>
                <w:sz w:val="20"/>
              </w:rPr>
              <w:t>3,147</w:t>
            </w:r>
          </w:p>
        </w:tc>
      </w:tr>
      <w:tr w:rsidR="007C5447">
        <w:trPr>
          <w:trHeight w:val="326"/>
        </w:trPr>
        <w:tc>
          <w:tcPr>
            <w:tcW w:w="699" w:type="dxa"/>
            <w:shd w:val="clear" w:color="auto" w:fill="BEBEBE"/>
          </w:tcPr>
          <w:p w:rsidR="007C5447" w:rsidRDefault="007C5447">
            <w:pPr>
              <w:pStyle w:val="TableParagraph"/>
              <w:jc w:val="left"/>
              <w:rPr>
                <w:sz w:val="20"/>
              </w:rPr>
            </w:pPr>
          </w:p>
        </w:tc>
        <w:tc>
          <w:tcPr>
            <w:tcW w:w="2127" w:type="dxa"/>
            <w:shd w:val="clear" w:color="auto" w:fill="BEBEBE"/>
          </w:tcPr>
          <w:p w:rsidR="007C5447" w:rsidRDefault="00F6308C">
            <w:pPr>
              <w:pStyle w:val="TableParagraph"/>
              <w:spacing w:before="48"/>
              <w:ind w:left="107"/>
              <w:jc w:val="left"/>
              <w:rPr>
                <w:b/>
                <w:sz w:val="20"/>
              </w:rPr>
            </w:pPr>
            <w:r>
              <w:rPr>
                <w:b/>
                <w:sz w:val="20"/>
              </w:rPr>
              <w:t>Gas Thermal</w:t>
            </w:r>
          </w:p>
        </w:tc>
        <w:tc>
          <w:tcPr>
            <w:tcW w:w="1272" w:type="dxa"/>
            <w:shd w:val="clear" w:color="auto" w:fill="BEBEBE"/>
          </w:tcPr>
          <w:p w:rsidR="007C5447" w:rsidRDefault="007C5447">
            <w:pPr>
              <w:pStyle w:val="TableParagraph"/>
              <w:jc w:val="left"/>
              <w:rPr>
                <w:sz w:val="20"/>
              </w:rPr>
            </w:pPr>
          </w:p>
        </w:tc>
        <w:tc>
          <w:tcPr>
            <w:tcW w:w="1272" w:type="dxa"/>
            <w:shd w:val="clear" w:color="auto" w:fill="BEBEBE"/>
          </w:tcPr>
          <w:p w:rsidR="007C5447" w:rsidRDefault="007C5447">
            <w:pPr>
              <w:pStyle w:val="TableParagraph"/>
              <w:jc w:val="left"/>
              <w:rPr>
                <w:sz w:val="20"/>
              </w:rPr>
            </w:pPr>
          </w:p>
        </w:tc>
        <w:tc>
          <w:tcPr>
            <w:tcW w:w="1272" w:type="dxa"/>
            <w:shd w:val="clear" w:color="auto" w:fill="BEBEBE"/>
          </w:tcPr>
          <w:p w:rsidR="007C5447" w:rsidRDefault="007C5447">
            <w:pPr>
              <w:pStyle w:val="TableParagraph"/>
              <w:jc w:val="left"/>
              <w:rPr>
                <w:sz w:val="20"/>
              </w:rPr>
            </w:pPr>
          </w:p>
        </w:tc>
        <w:tc>
          <w:tcPr>
            <w:tcW w:w="1273" w:type="dxa"/>
            <w:shd w:val="clear" w:color="auto" w:fill="BEBEBE"/>
          </w:tcPr>
          <w:p w:rsidR="007C5447" w:rsidRDefault="007C5447">
            <w:pPr>
              <w:pStyle w:val="TableParagraph"/>
              <w:jc w:val="left"/>
              <w:rPr>
                <w:sz w:val="20"/>
              </w:rPr>
            </w:pPr>
          </w:p>
        </w:tc>
        <w:tc>
          <w:tcPr>
            <w:tcW w:w="1272" w:type="dxa"/>
            <w:shd w:val="clear" w:color="auto" w:fill="BEBEBE"/>
          </w:tcPr>
          <w:p w:rsidR="007C5447" w:rsidRDefault="007C5447">
            <w:pPr>
              <w:pStyle w:val="TableParagraph"/>
              <w:jc w:val="left"/>
              <w:rPr>
                <w:sz w:val="20"/>
              </w:rPr>
            </w:pPr>
          </w:p>
        </w:tc>
        <w:tc>
          <w:tcPr>
            <w:tcW w:w="1272" w:type="dxa"/>
            <w:shd w:val="clear" w:color="auto" w:fill="BEBEBE"/>
          </w:tcPr>
          <w:p w:rsidR="007C5447" w:rsidRDefault="007C5447">
            <w:pPr>
              <w:pStyle w:val="TableParagraph"/>
              <w:jc w:val="left"/>
              <w:rPr>
                <w:sz w:val="20"/>
              </w:rPr>
            </w:pPr>
          </w:p>
        </w:tc>
      </w:tr>
      <w:tr w:rsidR="007C5447">
        <w:trPr>
          <w:trHeight w:val="328"/>
        </w:trPr>
        <w:tc>
          <w:tcPr>
            <w:tcW w:w="699" w:type="dxa"/>
          </w:tcPr>
          <w:p w:rsidR="007C5447" w:rsidRDefault="00F6308C">
            <w:pPr>
              <w:pStyle w:val="TableParagraph"/>
              <w:spacing w:before="50"/>
              <w:ind w:left="107"/>
              <w:jc w:val="left"/>
              <w:rPr>
                <w:sz w:val="20"/>
              </w:rPr>
            </w:pPr>
            <w:r>
              <w:rPr>
                <w:w w:val="99"/>
                <w:sz w:val="20"/>
              </w:rPr>
              <w:t>1</w:t>
            </w:r>
          </w:p>
        </w:tc>
        <w:tc>
          <w:tcPr>
            <w:tcW w:w="2127" w:type="dxa"/>
          </w:tcPr>
          <w:p w:rsidR="007C5447" w:rsidRDefault="00F6308C">
            <w:pPr>
              <w:pStyle w:val="TableParagraph"/>
              <w:spacing w:before="50"/>
              <w:ind w:left="107"/>
              <w:jc w:val="left"/>
              <w:rPr>
                <w:sz w:val="20"/>
              </w:rPr>
            </w:pPr>
            <w:r>
              <w:rPr>
                <w:sz w:val="20"/>
              </w:rPr>
              <w:t>Tirumakottai GTPS</w:t>
            </w:r>
          </w:p>
        </w:tc>
        <w:tc>
          <w:tcPr>
            <w:tcW w:w="1272" w:type="dxa"/>
          </w:tcPr>
          <w:p w:rsidR="007C5447" w:rsidRDefault="00F6308C">
            <w:pPr>
              <w:pStyle w:val="TableParagraph"/>
              <w:spacing w:before="50"/>
              <w:ind w:right="98"/>
              <w:rPr>
                <w:sz w:val="20"/>
              </w:rPr>
            </w:pPr>
            <w:r>
              <w:rPr>
                <w:w w:val="95"/>
                <w:sz w:val="20"/>
              </w:rPr>
              <w:t>11.72</w:t>
            </w:r>
          </w:p>
        </w:tc>
        <w:tc>
          <w:tcPr>
            <w:tcW w:w="1272" w:type="dxa"/>
          </w:tcPr>
          <w:p w:rsidR="007C5447" w:rsidRDefault="00F6308C">
            <w:pPr>
              <w:pStyle w:val="TableParagraph"/>
              <w:spacing w:before="50"/>
              <w:ind w:right="98"/>
              <w:rPr>
                <w:sz w:val="20"/>
              </w:rPr>
            </w:pPr>
            <w:r>
              <w:rPr>
                <w:w w:val="95"/>
                <w:sz w:val="20"/>
              </w:rPr>
              <w:t>12.07</w:t>
            </w:r>
          </w:p>
        </w:tc>
        <w:tc>
          <w:tcPr>
            <w:tcW w:w="1272" w:type="dxa"/>
          </w:tcPr>
          <w:p w:rsidR="007C5447" w:rsidRDefault="00F6308C">
            <w:pPr>
              <w:pStyle w:val="TableParagraph"/>
              <w:spacing w:before="50"/>
              <w:ind w:right="97"/>
              <w:rPr>
                <w:sz w:val="20"/>
              </w:rPr>
            </w:pPr>
            <w:r>
              <w:rPr>
                <w:w w:val="95"/>
                <w:sz w:val="20"/>
              </w:rPr>
              <w:t>12.43</w:t>
            </w:r>
          </w:p>
        </w:tc>
        <w:tc>
          <w:tcPr>
            <w:tcW w:w="1273" w:type="dxa"/>
          </w:tcPr>
          <w:p w:rsidR="007C5447" w:rsidRDefault="00F6308C">
            <w:pPr>
              <w:pStyle w:val="TableParagraph"/>
              <w:spacing w:before="50"/>
              <w:ind w:right="98"/>
              <w:rPr>
                <w:sz w:val="20"/>
              </w:rPr>
            </w:pPr>
            <w:r>
              <w:rPr>
                <w:w w:val="95"/>
                <w:sz w:val="20"/>
              </w:rPr>
              <w:t>11.72</w:t>
            </w:r>
          </w:p>
        </w:tc>
        <w:tc>
          <w:tcPr>
            <w:tcW w:w="1272" w:type="dxa"/>
          </w:tcPr>
          <w:p w:rsidR="007C5447" w:rsidRDefault="00F6308C">
            <w:pPr>
              <w:pStyle w:val="TableParagraph"/>
              <w:spacing w:before="50"/>
              <w:ind w:right="98"/>
              <w:rPr>
                <w:sz w:val="20"/>
              </w:rPr>
            </w:pPr>
            <w:r>
              <w:rPr>
                <w:w w:val="95"/>
                <w:sz w:val="20"/>
              </w:rPr>
              <w:t>12.07</w:t>
            </w:r>
          </w:p>
        </w:tc>
        <w:tc>
          <w:tcPr>
            <w:tcW w:w="1272" w:type="dxa"/>
          </w:tcPr>
          <w:p w:rsidR="007C5447" w:rsidRDefault="00F6308C">
            <w:pPr>
              <w:pStyle w:val="TableParagraph"/>
              <w:spacing w:before="50"/>
              <w:ind w:right="98"/>
              <w:rPr>
                <w:sz w:val="20"/>
              </w:rPr>
            </w:pPr>
            <w:r>
              <w:rPr>
                <w:w w:val="95"/>
                <w:sz w:val="20"/>
              </w:rPr>
              <w:t>12.43</w:t>
            </w:r>
          </w:p>
        </w:tc>
      </w:tr>
      <w:tr w:rsidR="007C5447">
        <w:trPr>
          <w:trHeight w:val="328"/>
        </w:trPr>
        <w:tc>
          <w:tcPr>
            <w:tcW w:w="699" w:type="dxa"/>
          </w:tcPr>
          <w:p w:rsidR="007C5447" w:rsidRDefault="00F6308C">
            <w:pPr>
              <w:pStyle w:val="TableParagraph"/>
              <w:spacing w:before="50"/>
              <w:ind w:left="107"/>
              <w:jc w:val="left"/>
              <w:rPr>
                <w:sz w:val="20"/>
              </w:rPr>
            </w:pPr>
            <w:r>
              <w:rPr>
                <w:w w:val="99"/>
                <w:sz w:val="20"/>
              </w:rPr>
              <w:t>2</w:t>
            </w:r>
          </w:p>
        </w:tc>
        <w:tc>
          <w:tcPr>
            <w:tcW w:w="2127" w:type="dxa"/>
          </w:tcPr>
          <w:p w:rsidR="007C5447" w:rsidRDefault="00F6308C">
            <w:pPr>
              <w:pStyle w:val="TableParagraph"/>
              <w:spacing w:before="50"/>
              <w:ind w:left="107"/>
              <w:jc w:val="left"/>
              <w:rPr>
                <w:sz w:val="20"/>
              </w:rPr>
            </w:pPr>
            <w:r>
              <w:rPr>
                <w:sz w:val="20"/>
              </w:rPr>
              <w:t>Kuttalam GTPS</w:t>
            </w:r>
          </w:p>
        </w:tc>
        <w:tc>
          <w:tcPr>
            <w:tcW w:w="1272" w:type="dxa"/>
          </w:tcPr>
          <w:p w:rsidR="007C5447" w:rsidRDefault="00F6308C">
            <w:pPr>
              <w:pStyle w:val="TableParagraph"/>
              <w:spacing w:before="50"/>
              <w:ind w:right="98"/>
              <w:rPr>
                <w:sz w:val="20"/>
              </w:rPr>
            </w:pPr>
            <w:r>
              <w:rPr>
                <w:w w:val="95"/>
                <w:sz w:val="20"/>
              </w:rPr>
              <w:t>11.89</w:t>
            </w:r>
          </w:p>
        </w:tc>
        <w:tc>
          <w:tcPr>
            <w:tcW w:w="1272" w:type="dxa"/>
          </w:tcPr>
          <w:p w:rsidR="007C5447" w:rsidRDefault="00F6308C">
            <w:pPr>
              <w:pStyle w:val="TableParagraph"/>
              <w:spacing w:before="50"/>
              <w:ind w:right="98"/>
              <w:rPr>
                <w:sz w:val="20"/>
              </w:rPr>
            </w:pPr>
            <w:r>
              <w:rPr>
                <w:w w:val="95"/>
                <w:sz w:val="20"/>
              </w:rPr>
              <w:t>12.25</w:t>
            </w:r>
          </w:p>
        </w:tc>
        <w:tc>
          <w:tcPr>
            <w:tcW w:w="1272" w:type="dxa"/>
          </w:tcPr>
          <w:p w:rsidR="007C5447" w:rsidRDefault="00F6308C">
            <w:pPr>
              <w:pStyle w:val="TableParagraph"/>
              <w:spacing w:before="50"/>
              <w:ind w:right="97"/>
              <w:rPr>
                <w:sz w:val="20"/>
              </w:rPr>
            </w:pPr>
            <w:r>
              <w:rPr>
                <w:w w:val="95"/>
                <w:sz w:val="20"/>
              </w:rPr>
              <w:t>12.61</w:t>
            </w:r>
          </w:p>
        </w:tc>
        <w:tc>
          <w:tcPr>
            <w:tcW w:w="1273" w:type="dxa"/>
          </w:tcPr>
          <w:p w:rsidR="007C5447" w:rsidRDefault="00F6308C">
            <w:pPr>
              <w:pStyle w:val="TableParagraph"/>
              <w:spacing w:before="50"/>
              <w:ind w:right="98"/>
              <w:rPr>
                <w:sz w:val="20"/>
              </w:rPr>
            </w:pPr>
            <w:r>
              <w:rPr>
                <w:w w:val="95"/>
                <w:sz w:val="20"/>
              </w:rPr>
              <w:t>11.89</w:t>
            </w:r>
          </w:p>
        </w:tc>
        <w:tc>
          <w:tcPr>
            <w:tcW w:w="1272" w:type="dxa"/>
          </w:tcPr>
          <w:p w:rsidR="007C5447" w:rsidRDefault="00F6308C">
            <w:pPr>
              <w:pStyle w:val="TableParagraph"/>
              <w:spacing w:before="50"/>
              <w:ind w:right="98"/>
              <w:rPr>
                <w:sz w:val="20"/>
              </w:rPr>
            </w:pPr>
            <w:r>
              <w:rPr>
                <w:w w:val="95"/>
                <w:sz w:val="20"/>
              </w:rPr>
              <w:t>12.25</w:t>
            </w:r>
          </w:p>
        </w:tc>
        <w:tc>
          <w:tcPr>
            <w:tcW w:w="1272" w:type="dxa"/>
          </w:tcPr>
          <w:p w:rsidR="007C5447" w:rsidRDefault="00F6308C">
            <w:pPr>
              <w:pStyle w:val="TableParagraph"/>
              <w:spacing w:before="50"/>
              <w:ind w:right="98"/>
              <w:rPr>
                <w:sz w:val="20"/>
              </w:rPr>
            </w:pPr>
            <w:r>
              <w:rPr>
                <w:w w:val="95"/>
                <w:sz w:val="20"/>
              </w:rPr>
              <w:t>12.61</w:t>
            </w:r>
          </w:p>
        </w:tc>
      </w:tr>
      <w:tr w:rsidR="007C5447">
        <w:trPr>
          <w:trHeight w:val="328"/>
        </w:trPr>
        <w:tc>
          <w:tcPr>
            <w:tcW w:w="699" w:type="dxa"/>
          </w:tcPr>
          <w:p w:rsidR="007C5447" w:rsidRDefault="00F6308C">
            <w:pPr>
              <w:pStyle w:val="TableParagraph"/>
              <w:spacing w:before="48"/>
              <w:ind w:left="107"/>
              <w:jc w:val="left"/>
              <w:rPr>
                <w:sz w:val="20"/>
              </w:rPr>
            </w:pPr>
            <w:r>
              <w:rPr>
                <w:w w:val="99"/>
                <w:sz w:val="20"/>
              </w:rPr>
              <w:t>3</w:t>
            </w:r>
          </w:p>
        </w:tc>
        <w:tc>
          <w:tcPr>
            <w:tcW w:w="2127" w:type="dxa"/>
          </w:tcPr>
          <w:p w:rsidR="007C5447" w:rsidRDefault="00F6308C">
            <w:pPr>
              <w:pStyle w:val="TableParagraph"/>
              <w:spacing w:before="48"/>
              <w:ind w:left="107"/>
              <w:jc w:val="left"/>
              <w:rPr>
                <w:sz w:val="20"/>
              </w:rPr>
            </w:pPr>
            <w:r>
              <w:rPr>
                <w:sz w:val="20"/>
              </w:rPr>
              <w:t>Basin Bridge GTPS</w:t>
            </w:r>
          </w:p>
        </w:tc>
        <w:tc>
          <w:tcPr>
            <w:tcW w:w="1272" w:type="dxa"/>
          </w:tcPr>
          <w:p w:rsidR="007C5447" w:rsidRDefault="00F6308C">
            <w:pPr>
              <w:pStyle w:val="TableParagraph"/>
              <w:spacing w:before="48"/>
              <w:ind w:right="98"/>
              <w:rPr>
                <w:sz w:val="20"/>
              </w:rPr>
            </w:pPr>
            <w:r>
              <w:rPr>
                <w:sz w:val="20"/>
              </w:rPr>
              <w:t>7.11</w:t>
            </w:r>
          </w:p>
        </w:tc>
        <w:tc>
          <w:tcPr>
            <w:tcW w:w="1272" w:type="dxa"/>
          </w:tcPr>
          <w:p w:rsidR="007C5447" w:rsidRDefault="00F6308C">
            <w:pPr>
              <w:pStyle w:val="TableParagraph"/>
              <w:spacing w:before="48"/>
              <w:ind w:right="98"/>
              <w:rPr>
                <w:sz w:val="20"/>
              </w:rPr>
            </w:pPr>
            <w:r>
              <w:rPr>
                <w:sz w:val="20"/>
              </w:rPr>
              <w:t>7.32</w:t>
            </w:r>
          </w:p>
        </w:tc>
        <w:tc>
          <w:tcPr>
            <w:tcW w:w="1272" w:type="dxa"/>
          </w:tcPr>
          <w:p w:rsidR="007C5447" w:rsidRDefault="00F6308C">
            <w:pPr>
              <w:pStyle w:val="TableParagraph"/>
              <w:spacing w:before="48"/>
              <w:ind w:right="97"/>
              <w:rPr>
                <w:sz w:val="20"/>
              </w:rPr>
            </w:pPr>
            <w:r>
              <w:rPr>
                <w:sz w:val="20"/>
              </w:rPr>
              <w:t>7.54</w:t>
            </w:r>
          </w:p>
        </w:tc>
        <w:tc>
          <w:tcPr>
            <w:tcW w:w="1273" w:type="dxa"/>
          </w:tcPr>
          <w:p w:rsidR="007C5447" w:rsidRDefault="00F6308C">
            <w:pPr>
              <w:pStyle w:val="TableParagraph"/>
              <w:spacing w:before="48"/>
              <w:ind w:right="98"/>
              <w:rPr>
                <w:sz w:val="20"/>
              </w:rPr>
            </w:pPr>
            <w:r>
              <w:rPr>
                <w:w w:val="95"/>
                <w:sz w:val="20"/>
              </w:rPr>
              <w:t>35.00</w:t>
            </w:r>
          </w:p>
        </w:tc>
        <w:tc>
          <w:tcPr>
            <w:tcW w:w="1272" w:type="dxa"/>
          </w:tcPr>
          <w:p w:rsidR="007C5447" w:rsidRDefault="00F6308C">
            <w:pPr>
              <w:pStyle w:val="TableParagraph"/>
              <w:spacing w:before="48"/>
              <w:ind w:right="98"/>
              <w:rPr>
                <w:sz w:val="20"/>
              </w:rPr>
            </w:pPr>
            <w:r>
              <w:rPr>
                <w:w w:val="95"/>
                <w:sz w:val="20"/>
              </w:rPr>
              <w:t>35.00</w:t>
            </w:r>
          </w:p>
        </w:tc>
        <w:tc>
          <w:tcPr>
            <w:tcW w:w="1272" w:type="dxa"/>
          </w:tcPr>
          <w:p w:rsidR="007C5447" w:rsidRDefault="00F6308C">
            <w:pPr>
              <w:pStyle w:val="TableParagraph"/>
              <w:spacing w:before="48"/>
              <w:ind w:right="98"/>
              <w:rPr>
                <w:sz w:val="20"/>
              </w:rPr>
            </w:pPr>
            <w:r>
              <w:rPr>
                <w:w w:val="95"/>
                <w:sz w:val="20"/>
              </w:rPr>
              <w:t>35.00</w:t>
            </w:r>
          </w:p>
        </w:tc>
      </w:tr>
      <w:tr w:rsidR="007C5447">
        <w:trPr>
          <w:trHeight w:val="329"/>
        </w:trPr>
        <w:tc>
          <w:tcPr>
            <w:tcW w:w="699" w:type="dxa"/>
          </w:tcPr>
          <w:p w:rsidR="007C5447" w:rsidRDefault="00F6308C">
            <w:pPr>
              <w:pStyle w:val="TableParagraph"/>
              <w:spacing w:before="48"/>
              <w:ind w:left="107"/>
              <w:jc w:val="left"/>
              <w:rPr>
                <w:sz w:val="20"/>
              </w:rPr>
            </w:pPr>
            <w:r>
              <w:rPr>
                <w:w w:val="99"/>
                <w:sz w:val="20"/>
              </w:rPr>
              <w:t>4</w:t>
            </w:r>
          </w:p>
        </w:tc>
        <w:tc>
          <w:tcPr>
            <w:tcW w:w="2127" w:type="dxa"/>
          </w:tcPr>
          <w:p w:rsidR="007C5447" w:rsidRDefault="00F6308C">
            <w:pPr>
              <w:pStyle w:val="TableParagraph"/>
              <w:spacing w:before="48"/>
              <w:ind w:left="107"/>
              <w:jc w:val="left"/>
              <w:rPr>
                <w:sz w:val="20"/>
              </w:rPr>
            </w:pPr>
            <w:r>
              <w:rPr>
                <w:sz w:val="20"/>
              </w:rPr>
              <w:t>Valathur GTPS Unit</w:t>
            </w:r>
          </w:p>
        </w:tc>
        <w:tc>
          <w:tcPr>
            <w:tcW w:w="1272" w:type="dxa"/>
          </w:tcPr>
          <w:p w:rsidR="007C5447" w:rsidRDefault="00F6308C">
            <w:pPr>
              <w:pStyle w:val="TableParagraph"/>
              <w:spacing w:before="48"/>
              <w:ind w:right="98"/>
              <w:rPr>
                <w:sz w:val="20"/>
              </w:rPr>
            </w:pPr>
            <w:r>
              <w:rPr>
                <w:w w:val="95"/>
                <w:sz w:val="20"/>
              </w:rPr>
              <w:t>11.21</w:t>
            </w:r>
          </w:p>
        </w:tc>
        <w:tc>
          <w:tcPr>
            <w:tcW w:w="1272" w:type="dxa"/>
          </w:tcPr>
          <w:p w:rsidR="007C5447" w:rsidRDefault="00F6308C">
            <w:pPr>
              <w:pStyle w:val="TableParagraph"/>
              <w:spacing w:before="48"/>
              <w:ind w:right="98"/>
              <w:rPr>
                <w:sz w:val="20"/>
              </w:rPr>
            </w:pPr>
            <w:r>
              <w:rPr>
                <w:w w:val="95"/>
                <w:sz w:val="20"/>
              </w:rPr>
              <w:t>11.55</w:t>
            </w:r>
          </w:p>
        </w:tc>
        <w:tc>
          <w:tcPr>
            <w:tcW w:w="1272" w:type="dxa"/>
          </w:tcPr>
          <w:p w:rsidR="007C5447" w:rsidRDefault="00F6308C">
            <w:pPr>
              <w:pStyle w:val="TableParagraph"/>
              <w:spacing w:before="48"/>
              <w:ind w:right="97"/>
              <w:rPr>
                <w:sz w:val="20"/>
              </w:rPr>
            </w:pPr>
            <w:r>
              <w:rPr>
                <w:w w:val="95"/>
                <w:sz w:val="20"/>
              </w:rPr>
              <w:t>11.89</w:t>
            </w:r>
          </w:p>
        </w:tc>
        <w:tc>
          <w:tcPr>
            <w:tcW w:w="1273" w:type="dxa"/>
          </w:tcPr>
          <w:p w:rsidR="007C5447" w:rsidRDefault="00F6308C">
            <w:pPr>
              <w:pStyle w:val="TableParagraph"/>
              <w:spacing w:before="48"/>
              <w:ind w:right="98"/>
              <w:rPr>
                <w:sz w:val="20"/>
              </w:rPr>
            </w:pPr>
            <w:r>
              <w:rPr>
                <w:w w:val="95"/>
                <w:sz w:val="20"/>
              </w:rPr>
              <w:t>11.21</w:t>
            </w:r>
          </w:p>
        </w:tc>
        <w:tc>
          <w:tcPr>
            <w:tcW w:w="1272" w:type="dxa"/>
          </w:tcPr>
          <w:p w:rsidR="007C5447" w:rsidRDefault="00F6308C">
            <w:pPr>
              <w:pStyle w:val="TableParagraph"/>
              <w:spacing w:before="48"/>
              <w:ind w:right="98"/>
              <w:rPr>
                <w:sz w:val="20"/>
              </w:rPr>
            </w:pPr>
            <w:r>
              <w:rPr>
                <w:w w:val="95"/>
                <w:sz w:val="20"/>
              </w:rPr>
              <w:t>11.55</w:t>
            </w:r>
          </w:p>
        </w:tc>
        <w:tc>
          <w:tcPr>
            <w:tcW w:w="1272" w:type="dxa"/>
          </w:tcPr>
          <w:p w:rsidR="007C5447" w:rsidRDefault="00F6308C">
            <w:pPr>
              <w:pStyle w:val="TableParagraph"/>
              <w:spacing w:before="48"/>
              <w:ind w:right="98"/>
              <w:rPr>
                <w:sz w:val="20"/>
              </w:rPr>
            </w:pPr>
            <w:r>
              <w:rPr>
                <w:w w:val="95"/>
                <w:sz w:val="20"/>
              </w:rPr>
              <w:t>11.89</w:t>
            </w:r>
          </w:p>
        </w:tc>
      </w:tr>
    </w:tbl>
    <w:p w:rsidR="007C5447" w:rsidRDefault="007C5447">
      <w:pPr>
        <w:pStyle w:val="BodyText"/>
        <w:rPr>
          <w:b/>
        </w:rPr>
      </w:pPr>
    </w:p>
    <w:p w:rsidR="007C5447" w:rsidRDefault="007C5447">
      <w:pPr>
        <w:pStyle w:val="BodyText"/>
        <w:rPr>
          <w:b/>
        </w:rPr>
      </w:pPr>
    </w:p>
    <w:p w:rsidR="007C5447" w:rsidRDefault="00F6308C">
      <w:pPr>
        <w:pStyle w:val="Heading2"/>
        <w:numPr>
          <w:ilvl w:val="2"/>
          <w:numId w:val="114"/>
        </w:numPr>
        <w:tabs>
          <w:tab w:val="left" w:pos="1952"/>
          <w:tab w:val="left" w:pos="1953"/>
        </w:tabs>
        <w:spacing w:before="164"/>
        <w:ind w:left="1952" w:hanging="853"/>
      </w:pPr>
      <w:r>
        <w:t>Gross Generation from own Generation Power Plants</w:t>
      </w:r>
    </w:p>
    <w:p w:rsidR="007C5447" w:rsidRDefault="007C5447">
      <w:pPr>
        <w:pStyle w:val="BodyText"/>
        <w:spacing w:before="2"/>
        <w:rPr>
          <w:b/>
          <w:sz w:val="28"/>
        </w:rPr>
      </w:pPr>
    </w:p>
    <w:p w:rsidR="007C5447" w:rsidRDefault="00F6308C">
      <w:pPr>
        <w:pStyle w:val="BodyText"/>
        <w:spacing w:before="1" w:line="312" w:lineRule="auto"/>
        <w:ind w:left="2065" w:right="1180" w:hanging="965"/>
        <w:jc w:val="both"/>
      </w:pPr>
      <w:r>
        <w:t>4.14.7.1 The Commission has approved the station-wise Gross Generation from TANGEDCO’s own generating plants based on the generation capacity and approved PLF, as discussed in earlier Sections. The Gross Generation from</w:t>
      </w:r>
    </w:p>
    <w:p w:rsidR="007C5447" w:rsidRDefault="007C5447">
      <w:pPr>
        <w:spacing w:line="312" w:lineRule="auto"/>
        <w:jc w:val="both"/>
        <w:sectPr w:rsidR="007C5447">
          <w:pgSz w:w="11910" w:h="16840"/>
          <w:pgMar w:top="1420" w:right="260" w:bottom="1240" w:left="340" w:header="0" w:footer="1057" w:gutter="0"/>
          <w:cols w:space="720"/>
        </w:sectPr>
      </w:pPr>
    </w:p>
    <w:p w:rsidR="007C5447" w:rsidRDefault="00F6308C">
      <w:pPr>
        <w:pStyle w:val="BodyText"/>
        <w:spacing w:before="60" w:line="312" w:lineRule="auto"/>
        <w:ind w:left="2065" w:right="1176"/>
      </w:pPr>
      <w:r>
        <w:lastRenderedPageBreak/>
        <w:t>TANGEDCO’s own gen</w:t>
      </w:r>
      <w:r>
        <w:t>erating stations as submitted by TANGEDCO and as approved by the Commission is shown in the Table below:</w:t>
      </w:r>
    </w:p>
    <w:p w:rsidR="007C5447" w:rsidRDefault="007C5447">
      <w:pPr>
        <w:pStyle w:val="BodyText"/>
        <w:spacing w:before="1"/>
        <w:rPr>
          <w:sz w:val="21"/>
        </w:rPr>
      </w:pPr>
    </w:p>
    <w:p w:rsidR="007C5447" w:rsidRDefault="00F6308C">
      <w:pPr>
        <w:ind w:left="2048"/>
        <w:rPr>
          <w:b/>
        </w:rPr>
      </w:pPr>
      <w:r>
        <w:rPr>
          <w:b/>
        </w:rPr>
        <w:t>Table 4-41: Approved Gross Generation for Own Generating Stations (MU)</w:t>
      </w:r>
    </w:p>
    <w:p w:rsidR="007C5447" w:rsidRDefault="007C5447">
      <w:pPr>
        <w:pStyle w:val="BodyText"/>
        <w:spacing w:before="11"/>
        <w:rPr>
          <w:b/>
          <w:sz w:val="16"/>
        </w:r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4"/>
        <w:gridCol w:w="1147"/>
        <w:gridCol w:w="1149"/>
        <w:gridCol w:w="1147"/>
        <w:gridCol w:w="1147"/>
        <w:gridCol w:w="1150"/>
        <w:gridCol w:w="1147"/>
      </w:tblGrid>
      <w:tr w:rsidR="007C5447">
        <w:trPr>
          <w:trHeight w:val="330"/>
        </w:trPr>
        <w:tc>
          <w:tcPr>
            <w:tcW w:w="2354" w:type="dxa"/>
            <w:vMerge w:val="restart"/>
            <w:shd w:val="clear" w:color="auto" w:fill="F7C9AC"/>
          </w:tcPr>
          <w:p w:rsidR="007C5447" w:rsidRDefault="007C5447">
            <w:pPr>
              <w:pStyle w:val="TableParagraph"/>
              <w:spacing w:before="1"/>
              <w:jc w:val="left"/>
              <w:rPr>
                <w:b/>
                <w:sz w:val="26"/>
              </w:rPr>
            </w:pPr>
          </w:p>
          <w:p w:rsidR="007C5447" w:rsidRDefault="00F6308C">
            <w:pPr>
              <w:pStyle w:val="TableParagraph"/>
              <w:ind w:left="107"/>
              <w:jc w:val="left"/>
              <w:rPr>
                <w:b/>
                <w:sz w:val="20"/>
              </w:rPr>
            </w:pPr>
            <w:r>
              <w:rPr>
                <w:b/>
                <w:sz w:val="20"/>
              </w:rPr>
              <w:t>Particulars</w:t>
            </w:r>
          </w:p>
        </w:tc>
        <w:tc>
          <w:tcPr>
            <w:tcW w:w="3443" w:type="dxa"/>
            <w:gridSpan w:val="3"/>
            <w:shd w:val="clear" w:color="auto" w:fill="F7C9AC"/>
          </w:tcPr>
          <w:p w:rsidR="007C5447" w:rsidRDefault="00F6308C">
            <w:pPr>
              <w:pStyle w:val="TableParagraph"/>
              <w:spacing w:before="50"/>
              <w:ind w:left="574"/>
              <w:jc w:val="left"/>
              <w:rPr>
                <w:b/>
                <w:sz w:val="20"/>
              </w:rPr>
            </w:pPr>
            <w:r>
              <w:rPr>
                <w:b/>
                <w:sz w:val="20"/>
              </w:rPr>
              <w:t>TANGEDCO’s submission</w:t>
            </w:r>
          </w:p>
        </w:tc>
        <w:tc>
          <w:tcPr>
            <w:tcW w:w="3444" w:type="dxa"/>
            <w:gridSpan w:val="3"/>
            <w:shd w:val="clear" w:color="auto" w:fill="F7C9AC"/>
          </w:tcPr>
          <w:p w:rsidR="007C5447" w:rsidRDefault="00F6308C">
            <w:pPr>
              <w:pStyle w:val="TableParagraph"/>
              <w:spacing w:before="50"/>
              <w:ind w:left="1173" w:right="1164"/>
              <w:jc w:val="center"/>
              <w:rPr>
                <w:b/>
                <w:sz w:val="20"/>
              </w:rPr>
            </w:pPr>
            <w:r>
              <w:rPr>
                <w:b/>
                <w:sz w:val="20"/>
              </w:rPr>
              <w:t>Commission</w:t>
            </w:r>
          </w:p>
        </w:tc>
      </w:tr>
      <w:tr w:rsidR="007C5447">
        <w:trPr>
          <w:trHeight w:val="489"/>
        </w:trPr>
        <w:tc>
          <w:tcPr>
            <w:tcW w:w="2354" w:type="dxa"/>
            <w:vMerge/>
            <w:tcBorders>
              <w:top w:val="nil"/>
            </w:tcBorders>
            <w:shd w:val="clear" w:color="auto" w:fill="F7C9AC"/>
          </w:tcPr>
          <w:p w:rsidR="007C5447" w:rsidRDefault="007C5447">
            <w:pPr>
              <w:rPr>
                <w:sz w:val="2"/>
                <w:szCs w:val="2"/>
              </w:rPr>
            </w:pPr>
          </w:p>
        </w:tc>
        <w:tc>
          <w:tcPr>
            <w:tcW w:w="1147" w:type="dxa"/>
            <w:shd w:val="clear" w:color="auto" w:fill="F7C9AC"/>
          </w:tcPr>
          <w:p w:rsidR="007C5447" w:rsidRDefault="00F6308C">
            <w:pPr>
              <w:pStyle w:val="TableParagraph"/>
              <w:spacing w:before="14"/>
              <w:ind w:left="162" w:right="149"/>
              <w:jc w:val="center"/>
              <w:rPr>
                <w:b/>
                <w:sz w:val="20"/>
              </w:rPr>
            </w:pPr>
            <w:r>
              <w:rPr>
                <w:b/>
                <w:sz w:val="20"/>
              </w:rPr>
              <w:t>FY 2016-</w:t>
            </w:r>
          </w:p>
          <w:p w:rsidR="007C5447" w:rsidRDefault="00F6308C">
            <w:pPr>
              <w:pStyle w:val="TableParagraph"/>
              <w:spacing w:before="1" w:line="224" w:lineRule="exact"/>
              <w:ind w:left="160" w:right="149"/>
              <w:jc w:val="center"/>
              <w:rPr>
                <w:b/>
                <w:sz w:val="20"/>
              </w:rPr>
            </w:pPr>
            <w:r>
              <w:rPr>
                <w:b/>
                <w:sz w:val="20"/>
              </w:rPr>
              <w:t>17</w:t>
            </w:r>
          </w:p>
        </w:tc>
        <w:tc>
          <w:tcPr>
            <w:tcW w:w="1149" w:type="dxa"/>
            <w:shd w:val="clear" w:color="auto" w:fill="F7C9AC"/>
          </w:tcPr>
          <w:p w:rsidR="007C5447" w:rsidRDefault="00F6308C">
            <w:pPr>
              <w:pStyle w:val="TableParagraph"/>
              <w:spacing w:before="14"/>
              <w:ind w:left="163" w:right="152"/>
              <w:jc w:val="center"/>
              <w:rPr>
                <w:b/>
                <w:sz w:val="20"/>
              </w:rPr>
            </w:pPr>
            <w:r>
              <w:rPr>
                <w:b/>
                <w:sz w:val="20"/>
              </w:rPr>
              <w:t>FY 2017-</w:t>
            </w:r>
          </w:p>
          <w:p w:rsidR="007C5447" w:rsidRDefault="00F6308C">
            <w:pPr>
              <w:pStyle w:val="TableParagraph"/>
              <w:spacing w:before="1" w:line="224" w:lineRule="exact"/>
              <w:ind w:left="162" w:right="152"/>
              <w:jc w:val="center"/>
              <w:rPr>
                <w:b/>
                <w:sz w:val="20"/>
              </w:rPr>
            </w:pPr>
            <w:r>
              <w:rPr>
                <w:b/>
                <w:sz w:val="20"/>
              </w:rPr>
              <w:t>18</w:t>
            </w:r>
          </w:p>
        </w:tc>
        <w:tc>
          <w:tcPr>
            <w:tcW w:w="1147" w:type="dxa"/>
            <w:shd w:val="clear" w:color="auto" w:fill="F7C9AC"/>
          </w:tcPr>
          <w:p w:rsidR="007C5447" w:rsidRDefault="00F6308C">
            <w:pPr>
              <w:pStyle w:val="TableParagraph"/>
              <w:spacing w:before="14"/>
              <w:ind w:left="162" w:right="147"/>
              <w:jc w:val="center"/>
              <w:rPr>
                <w:b/>
                <w:sz w:val="20"/>
              </w:rPr>
            </w:pPr>
            <w:r>
              <w:rPr>
                <w:b/>
                <w:sz w:val="20"/>
              </w:rPr>
              <w:t>FY 2018-</w:t>
            </w:r>
          </w:p>
          <w:p w:rsidR="007C5447" w:rsidRDefault="00F6308C">
            <w:pPr>
              <w:pStyle w:val="TableParagraph"/>
              <w:spacing w:before="1" w:line="224" w:lineRule="exact"/>
              <w:ind w:left="162" w:right="148"/>
              <w:jc w:val="center"/>
              <w:rPr>
                <w:b/>
                <w:sz w:val="20"/>
              </w:rPr>
            </w:pPr>
            <w:r>
              <w:rPr>
                <w:b/>
                <w:sz w:val="20"/>
              </w:rPr>
              <w:t>19</w:t>
            </w:r>
          </w:p>
        </w:tc>
        <w:tc>
          <w:tcPr>
            <w:tcW w:w="1147" w:type="dxa"/>
            <w:shd w:val="clear" w:color="auto" w:fill="F7C9AC"/>
          </w:tcPr>
          <w:p w:rsidR="007C5447" w:rsidRDefault="00F6308C">
            <w:pPr>
              <w:pStyle w:val="TableParagraph"/>
              <w:spacing w:before="14"/>
              <w:ind w:left="162" w:right="147"/>
              <w:jc w:val="center"/>
              <w:rPr>
                <w:b/>
                <w:sz w:val="20"/>
              </w:rPr>
            </w:pPr>
            <w:r>
              <w:rPr>
                <w:b/>
                <w:sz w:val="20"/>
              </w:rPr>
              <w:t>FY 2016-</w:t>
            </w:r>
          </w:p>
          <w:p w:rsidR="007C5447" w:rsidRDefault="00F6308C">
            <w:pPr>
              <w:pStyle w:val="TableParagraph"/>
              <w:spacing w:before="1" w:line="224" w:lineRule="exact"/>
              <w:ind w:left="162" w:right="148"/>
              <w:jc w:val="center"/>
              <w:rPr>
                <w:b/>
                <w:sz w:val="20"/>
              </w:rPr>
            </w:pPr>
            <w:r>
              <w:rPr>
                <w:b/>
                <w:sz w:val="20"/>
              </w:rPr>
              <w:t>17</w:t>
            </w:r>
          </w:p>
        </w:tc>
        <w:tc>
          <w:tcPr>
            <w:tcW w:w="1150" w:type="dxa"/>
            <w:shd w:val="clear" w:color="auto" w:fill="F7C9AC"/>
          </w:tcPr>
          <w:p w:rsidR="007C5447" w:rsidRDefault="00F6308C">
            <w:pPr>
              <w:pStyle w:val="TableParagraph"/>
              <w:spacing w:before="14"/>
              <w:ind w:left="164" w:right="151"/>
              <w:jc w:val="center"/>
              <w:rPr>
                <w:b/>
                <w:sz w:val="20"/>
              </w:rPr>
            </w:pPr>
            <w:r>
              <w:rPr>
                <w:b/>
                <w:sz w:val="20"/>
              </w:rPr>
              <w:t>FY 2017-</w:t>
            </w:r>
          </w:p>
          <w:p w:rsidR="007C5447" w:rsidRDefault="00F6308C">
            <w:pPr>
              <w:pStyle w:val="TableParagraph"/>
              <w:spacing w:before="1" w:line="224" w:lineRule="exact"/>
              <w:ind w:left="162" w:right="151"/>
              <w:jc w:val="center"/>
              <w:rPr>
                <w:b/>
                <w:sz w:val="20"/>
              </w:rPr>
            </w:pPr>
            <w:r>
              <w:rPr>
                <w:b/>
                <w:sz w:val="20"/>
              </w:rPr>
              <w:t>18</w:t>
            </w:r>
          </w:p>
        </w:tc>
        <w:tc>
          <w:tcPr>
            <w:tcW w:w="1147" w:type="dxa"/>
            <w:shd w:val="clear" w:color="auto" w:fill="F7C9AC"/>
          </w:tcPr>
          <w:p w:rsidR="007C5447" w:rsidRDefault="00F6308C">
            <w:pPr>
              <w:pStyle w:val="TableParagraph"/>
              <w:spacing w:before="14"/>
              <w:ind w:left="160" w:right="149"/>
              <w:jc w:val="center"/>
              <w:rPr>
                <w:b/>
                <w:sz w:val="20"/>
              </w:rPr>
            </w:pPr>
            <w:r>
              <w:rPr>
                <w:b/>
                <w:sz w:val="20"/>
              </w:rPr>
              <w:t>FY 2018-</w:t>
            </w:r>
          </w:p>
          <w:p w:rsidR="007C5447" w:rsidRDefault="00F6308C">
            <w:pPr>
              <w:pStyle w:val="TableParagraph"/>
              <w:spacing w:before="1" w:line="224" w:lineRule="exact"/>
              <w:ind w:left="159" w:right="149"/>
              <w:jc w:val="center"/>
              <w:rPr>
                <w:b/>
                <w:sz w:val="20"/>
              </w:rPr>
            </w:pPr>
            <w:r>
              <w:rPr>
                <w:b/>
                <w:sz w:val="20"/>
              </w:rPr>
              <w:t>19</w:t>
            </w:r>
          </w:p>
        </w:tc>
      </w:tr>
      <w:tr w:rsidR="007C5447">
        <w:trPr>
          <w:trHeight w:val="299"/>
        </w:trPr>
        <w:tc>
          <w:tcPr>
            <w:tcW w:w="2354" w:type="dxa"/>
          </w:tcPr>
          <w:p w:rsidR="007C5447" w:rsidRDefault="00F6308C">
            <w:pPr>
              <w:pStyle w:val="TableParagraph"/>
              <w:spacing w:before="36"/>
              <w:ind w:left="107"/>
              <w:jc w:val="left"/>
              <w:rPr>
                <w:sz w:val="20"/>
              </w:rPr>
            </w:pPr>
            <w:r>
              <w:rPr>
                <w:sz w:val="20"/>
              </w:rPr>
              <w:t>Ennore TPS</w:t>
            </w:r>
          </w:p>
        </w:tc>
        <w:tc>
          <w:tcPr>
            <w:tcW w:w="1147" w:type="dxa"/>
          </w:tcPr>
          <w:p w:rsidR="007C5447" w:rsidRDefault="00F6308C">
            <w:pPr>
              <w:pStyle w:val="TableParagraph"/>
              <w:spacing w:before="36"/>
              <w:ind w:right="97"/>
              <w:rPr>
                <w:sz w:val="20"/>
              </w:rPr>
            </w:pPr>
            <w:r>
              <w:rPr>
                <w:w w:val="95"/>
                <w:sz w:val="20"/>
              </w:rPr>
              <w:t>925.69</w:t>
            </w:r>
          </w:p>
        </w:tc>
        <w:tc>
          <w:tcPr>
            <w:tcW w:w="1149" w:type="dxa"/>
          </w:tcPr>
          <w:p w:rsidR="007C5447" w:rsidRDefault="00F6308C">
            <w:pPr>
              <w:pStyle w:val="TableParagraph"/>
              <w:spacing w:before="36"/>
              <w:ind w:right="95"/>
              <w:rPr>
                <w:sz w:val="20"/>
              </w:rPr>
            </w:pPr>
            <w:r>
              <w:rPr>
                <w:w w:val="99"/>
                <w:sz w:val="20"/>
              </w:rPr>
              <w:t>-</w:t>
            </w:r>
          </w:p>
        </w:tc>
        <w:tc>
          <w:tcPr>
            <w:tcW w:w="1147" w:type="dxa"/>
          </w:tcPr>
          <w:p w:rsidR="007C5447" w:rsidRDefault="00F6308C">
            <w:pPr>
              <w:pStyle w:val="TableParagraph"/>
              <w:spacing w:before="36"/>
              <w:ind w:right="92"/>
              <w:rPr>
                <w:sz w:val="20"/>
              </w:rPr>
            </w:pPr>
            <w:r>
              <w:rPr>
                <w:w w:val="99"/>
                <w:sz w:val="20"/>
              </w:rPr>
              <w:t>-</w:t>
            </w:r>
          </w:p>
        </w:tc>
        <w:tc>
          <w:tcPr>
            <w:tcW w:w="1147" w:type="dxa"/>
          </w:tcPr>
          <w:p w:rsidR="007C5447" w:rsidRDefault="00F6308C">
            <w:pPr>
              <w:pStyle w:val="TableParagraph"/>
              <w:spacing w:before="36"/>
              <w:ind w:right="93"/>
              <w:rPr>
                <w:sz w:val="20"/>
              </w:rPr>
            </w:pPr>
            <w:r>
              <w:rPr>
                <w:w w:val="95"/>
                <w:sz w:val="20"/>
              </w:rPr>
              <w:t>971.90</w:t>
            </w:r>
          </w:p>
        </w:tc>
        <w:tc>
          <w:tcPr>
            <w:tcW w:w="1150" w:type="dxa"/>
          </w:tcPr>
          <w:p w:rsidR="007C5447" w:rsidRDefault="00F6308C">
            <w:pPr>
              <w:pStyle w:val="TableParagraph"/>
              <w:spacing w:before="36"/>
              <w:ind w:right="96"/>
              <w:rPr>
                <w:sz w:val="20"/>
              </w:rPr>
            </w:pPr>
            <w:r>
              <w:rPr>
                <w:w w:val="99"/>
                <w:sz w:val="20"/>
              </w:rPr>
              <w:t>-</w:t>
            </w:r>
          </w:p>
        </w:tc>
        <w:tc>
          <w:tcPr>
            <w:tcW w:w="1147" w:type="dxa"/>
          </w:tcPr>
          <w:p w:rsidR="007C5447" w:rsidRDefault="00F6308C">
            <w:pPr>
              <w:pStyle w:val="TableParagraph"/>
              <w:spacing w:before="36"/>
              <w:ind w:right="96"/>
              <w:rPr>
                <w:sz w:val="20"/>
              </w:rPr>
            </w:pPr>
            <w:r>
              <w:rPr>
                <w:w w:val="99"/>
                <w:sz w:val="20"/>
              </w:rPr>
              <w:t>-</w:t>
            </w:r>
          </w:p>
        </w:tc>
      </w:tr>
      <w:tr w:rsidR="007C5447">
        <w:trPr>
          <w:trHeight w:val="299"/>
        </w:trPr>
        <w:tc>
          <w:tcPr>
            <w:tcW w:w="2354" w:type="dxa"/>
          </w:tcPr>
          <w:p w:rsidR="007C5447" w:rsidRDefault="00F6308C">
            <w:pPr>
              <w:pStyle w:val="TableParagraph"/>
              <w:spacing w:before="36"/>
              <w:ind w:left="107"/>
              <w:jc w:val="left"/>
              <w:rPr>
                <w:sz w:val="20"/>
              </w:rPr>
            </w:pPr>
            <w:r>
              <w:rPr>
                <w:sz w:val="20"/>
              </w:rPr>
              <w:t>Ennore Expansion II</w:t>
            </w:r>
          </w:p>
        </w:tc>
        <w:tc>
          <w:tcPr>
            <w:tcW w:w="1147" w:type="dxa"/>
          </w:tcPr>
          <w:p w:rsidR="007C5447" w:rsidRDefault="00F6308C">
            <w:pPr>
              <w:pStyle w:val="TableParagraph"/>
              <w:spacing w:before="36"/>
              <w:ind w:right="93"/>
              <w:rPr>
                <w:sz w:val="20"/>
              </w:rPr>
            </w:pPr>
            <w:r>
              <w:rPr>
                <w:w w:val="99"/>
                <w:sz w:val="20"/>
              </w:rPr>
              <w:t>-</w:t>
            </w:r>
          </w:p>
        </w:tc>
        <w:tc>
          <w:tcPr>
            <w:tcW w:w="1149" w:type="dxa"/>
          </w:tcPr>
          <w:p w:rsidR="007C5447" w:rsidRDefault="00F6308C">
            <w:pPr>
              <w:pStyle w:val="TableParagraph"/>
              <w:spacing w:before="36"/>
              <w:ind w:right="95"/>
              <w:rPr>
                <w:sz w:val="20"/>
              </w:rPr>
            </w:pPr>
            <w:r>
              <w:rPr>
                <w:w w:val="99"/>
                <w:sz w:val="20"/>
              </w:rPr>
              <w:t>-</w:t>
            </w:r>
          </w:p>
        </w:tc>
        <w:tc>
          <w:tcPr>
            <w:tcW w:w="1147" w:type="dxa"/>
          </w:tcPr>
          <w:p w:rsidR="007C5447" w:rsidRDefault="00F6308C">
            <w:pPr>
              <w:pStyle w:val="TableParagraph"/>
              <w:spacing w:before="36"/>
              <w:ind w:right="93"/>
              <w:rPr>
                <w:sz w:val="20"/>
              </w:rPr>
            </w:pPr>
            <w:r>
              <w:rPr>
                <w:w w:val="95"/>
                <w:sz w:val="20"/>
              </w:rPr>
              <w:t>1,896.00</w:t>
            </w:r>
          </w:p>
        </w:tc>
        <w:tc>
          <w:tcPr>
            <w:tcW w:w="1147" w:type="dxa"/>
          </w:tcPr>
          <w:p w:rsidR="007C5447" w:rsidRDefault="00F6308C">
            <w:pPr>
              <w:pStyle w:val="TableParagraph"/>
              <w:spacing w:before="36"/>
              <w:ind w:right="94"/>
              <w:rPr>
                <w:sz w:val="20"/>
              </w:rPr>
            </w:pPr>
            <w:r>
              <w:rPr>
                <w:w w:val="99"/>
                <w:sz w:val="20"/>
              </w:rPr>
              <w:t>-</w:t>
            </w:r>
          </w:p>
        </w:tc>
        <w:tc>
          <w:tcPr>
            <w:tcW w:w="1150" w:type="dxa"/>
          </w:tcPr>
          <w:p w:rsidR="007C5447" w:rsidRDefault="00F6308C">
            <w:pPr>
              <w:pStyle w:val="TableParagraph"/>
              <w:spacing w:before="36"/>
              <w:ind w:right="96"/>
              <w:rPr>
                <w:sz w:val="20"/>
              </w:rPr>
            </w:pPr>
            <w:r>
              <w:rPr>
                <w:w w:val="99"/>
                <w:sz w:val="20"/>
              </w:rPr>
              <w:t>-</w:t>
            </w:r>
          </w:p>
        </w:tc>
        <w:tc>
          <w:tcPr>
            <w:tcW w:w="1147" w:type="dxa"/>
          </w:tcPr>
          <w:p w:rsidR="007C5447" w:rsidRDefault="00F6308C">
            <w:pPr>
              <w:pStyle w:val="TableParagraph"/>
              <w:spacing w:before="36"/>
              <w:ind w:right="95"/>
              <w:rPr>
                <w:sz w:val="20"/>
              </w:rPr>
            </w:pPr>
            <w:r>
              <w:rPr>
                <w:w w:val="95"/>
                <w:sz w:val="20"/>
              </w:rPr>
              <w:t>1,896.36</w:t>
            </w:r>
          </w:p>
        </w:tc>
      </w:tr>
      <w:tr w:rsidR="007C5447">
        <w:trPr>
          <w:trHeight w:val="299"/>
        </w:trPr>
        <w:tc>
          <w:tcPr>
            <w:tcW w:w="2354" w:type="dxa"/>
          </w:tcPr>
          <w:p w:rsidR="007C5447" w:rsidRDefault="00F6308C">
            <w:pPr>
              <w:pStyle w:val="TableParagraph"/>
              <w:spacing w:before="36"/>
              <w:ind w:left="107"/>
              <w:jc w:val="left"/>
              <w:rPr>
                <w:sz w:val="20"/>
              </w:rPr>
            </w:pPr>
            <w:r>
              <w:rPr>
                <w:sz w:val="20"/>
              </w:rPr>
              <w:t>Tuticorin TPS</w:t>
            </w:r>
          </w:p>
        </w:tc>
        <w:tc>
          <w:tcPr>
            <w:tcW w:w="1147" w:type="dxa"/>
          </w:tcPr>
          <w:p w:rsidR="007C5447" w:rsidRDefault="00F6308C">
            <w:pPr>
              <w:pStyle w:val="TableParagraph"/>
              <w:spacing w:before="36"/>
              <w:ind w:right="95"/>
              <w:rPr>
                <w:sz w:val="20"/>
              </w:rPr>
            </w:pPr>
            <w:r>
              <w:rPr>
                <w:w w:val="95"/>
                <w:sz w:val="20"/>
              </w:rPr>
              <w:t>7,358.40</w:t>
            </w:r>
          </w:p>
        </w:tc>
        <w:tc>
          <w:tcPr>
            <w:tcW w:w="1149" w:type="dxa"/>
          </w:tcPr>
          <w:p w:rsidR="007C5447" w:rsidRDefault="00F6308C">
            <w:pPr>
              <w:pStyle w:val="TableParagraph"/>
              <w:spacing w:before="36"/>
              <w:ind w:right="96"/>
              <w:rPr>
                <w:sz w:val="20"/>
              </w:rPr>
            </w:pPr>
            <w:r>
              <w:rPr>
                <w:w w:val="95"/>
                <w:sz w:val="20"/>
              </w:rPr>
              <w:t>7,358.40</w:t>
            </w:r>
          </w:p>
        </w:tc>
        <w:tc>
          <w:tcPr>
            <w:tcW w:w="1147" w:type="dxa"/>
          </w:tcPr>
          <w:p w:rsidR="007C5447" w:rsidRDefault="00F6308C">
            <w:pPr>
              <w:pStyle w:val="TableParagraph"/>
              <w:spacing w:before="36"/>
              <w:ind w:right="93"/>
              <w:rPr>
                <w:sz w:val="20"/>
              </w:rPr>
            </w:pPr>
            <w:r>
              <w:rPr>
                <w:w w:val="95"/>
                <w:sz w:val="20"/>
              </w:rPr>
              <w:t>7,505.57</w:t>
            </w:r>
          </w:p>
        </w:tc>
        <w:tc>
          <w:tcPr>
            <w:tcW w:w="1147" w:type="dxa"/>
          </w:tcPr>
          <w:p w:rsidR="007C5447" w:rsidRDefault="00F6308C">
            <w:pPr>
              <w:pStyle w:val="TableParagraph"/>
              <w:spacing w:before="36"/>
              <w:ind w:right="96"/>
              <w:rPr>
                <w:sz w:val="20"/>
              </w:rPr>
            </w:pPr>
            <w:r>
              <w:rPr>
                <w:w w:val="95"/>
                <w:sz w:val="20"/>
              </w:rPr>
              <w:t>7,358.40</w:t>
            </w:r>
          </w:p>
        </w:tc>
        <w:tc>
          <w:tcPr>
            <w:tcW w:w="1150" w:type="dxa"/>
          </w:tcPr>
          <w:p w:rsidR="007C5447" w:rsidRDefault="00F6308C">
            <w:pPr>
              <w:pStyle w:val="TableParagraph"/>
              <w:spacing w:before="36"/>
              <w:ind w:right="98"/>
              <w:rPr>
                <w:sz w:val="20"/>
              </w:rPr>
            </w:pPr>
            <w:r>
              <w:rPr>
                <w:w w:val="95"/>
                <w:sz w:val="20"/>
              </w:rPr>
              <w:t>7,358.40</w:t>
            </w:r>
          </w:p>
        </w:tc>
        <w:tc>
          <w:tcPr>
            <w:tcW w:w="1147" w:type="dxa"/>
          </w:tcPr>
          <w:p w:rsidR="007C5447" w:rsidRDefault="00F6308C">
            <w:pPr>
              <w:pStyle w:val="TableParagraph"/>
              <w:spacing w:before="36"/>
              <w:ind w:right="98"/>
              <w:rPr>
                <w:sz w:val="20"/>
              </w:rPr>
            </w:pPr>
            <w:r>
              <w:rPr>
                <w:w w:val="95"/>
                <w:sz w:val="20"/>
              </w:rPr>
              <w:t>7,358.40</w:t>
            </w:r>
          </w:p>
        </w:tc>
      </w:tr>
      <w:tr w:rsidR="007C5447">
        <w:trPr>
          <w:trHeight w:val="302"/>
        </w:trPr>
        <w:tc>
          <w:tcPr>
            <w:tcW w:w="2354" w:type="dxa"/>
          </w:tcPr>
          <w:p w:rsidR="007C5447" w:rsidRDefault="00F6308C">
            <w:pPr>
              <w:pStyle w:val="TableParagraph"/>
              <w:spacing w:before="36"/>
              <w:ind w:left="107"/>
              <w:jc w:val="left"/>
              <w:rPr>
                <w:sz w:val="20"/>
              </w:rPr>
            </w:pPr>
            <w:r>
              <w:rPr>
                <w:sz w:val="20"/>
              </w:rPr>
              <w:t>Mettur TPS</w:t>
            </w:r>
          </w:p>
        </w:tc>
        <w:tc>
          <w:tcPr>
            <w:tcW w:w="1147" w:type="dxa"/>
          </w:tcPr>
          <w:p w:rsidR="007C5447" w:rsidRDefault="00F6308C">
            <w:pPr>
              <w:pStyle w:val="TableParagraph"/>
              <w:spacing w:before="36"/>
              <w:ind w:right="95"/>
              <w:rPr>
                <w:sz w:val="20"/>
              </w:rPr>
            </w:pPr>
            <w:r>
              <w:rPr>
                <w:w w:val="95"/>
                <w:sz w:val="20"/>
              </w:rPr>
              <w:t>5,886.72</w:t>
            </w:r>
          </w:p>
        </w:tc>
        <w:tc>
          <w:tcPr>
            <w:tcW w:w="1149" w:type="dxa"/>
          </w:tcPr>
          <w:p w:rsidR="007C5447" w:rsidRDefault="00F6308C">
            <w:pPr>
              <w:pStyle w:val="TableParagraph"/>
              <w:spacing w:before="36"/>
              <w:ind w:right="96"/>
              <w:rPr>
                <w:sz w:val="20"/>
              </w:rPr>
            </w:pPr>
            <w:r>
              <w:rPr>
                <w:w w:val="95"/>
                <w:sz w:val="20"/>
              </w:rPr>
              <w:t>5,886.72</w:t>
            </w:r>
          </w:p>
        </w:tc>
        <w:tc>
          <w:tcPr>
            <w:tcW w:w="1147" w:type="dxa"/>
          </w:tcPr>
          <w:p w:rsidR="007C5447" w:rsidRDefault="00F6308C">
            <w:pPr>
              <w:pStyle w:val="TableParagraph"/>
              <w:spacing w:before="36"/>
              <w:ind w:right="93"/>
              <w:rPr>
                <w:sz w:val="20"/>
              </w:rPr>
            </w:pPr>
            <w:r>
              <w:rPr>
                <w:w w:val="95"/>
                <w:sz w:val="20"/>
              </w:rPr>
              <w:t>6,004.45</w:t>
            </w:r>
          </w:p>
        </w:tc>
        <w:tc>
          <w:tcPr>
            <w:tcW w:w="1147" w:type="dxa"/>
          </w:tcPr>
          <w:p w:rsidR="007C5447" w:rsidRDefault="00F6308C">
            <w:pPr>
              <w:pStyle w:val="TableParagraph"/>
              <w:spacing w:before="36"/>
              <w:ind w:right="96"/>
              <w:rPr>
                <w:sz w:val="20"/>
              </w:rPr>
            </w:pPr>
            <w:r>
              <w:rPr>
                <w:w w:val="95"/>
                <w:sz w:val="20"/>
              </w:rPr>
              <w:t>5,886.72</w:t>
            </w:r>
          </w:p>
        </w:tc>
        <w:tc>
          <w:tcPr>
            <w:tcW w:w="1150" w:type="dxa"/>
          </w:tcPr>
          <w:p w:rsidR="007C5447" w:rsidRDefault="00F6308C">
            <w:pPr>
              <w:pStyle w:val="TableParagraph"/>
              <w:spacing w:before="36"/>
              <w:ind w:right="98"/>
              <w:rPr>
                <w:sz w:val="20"/>
              </w:rPr>
            </w:pPr>
            <w:r>
              <w:rPr>
                <w:w w:val="95"/>
                <w:sz w:val="20"/>
              </w:rPr>
              <w:t>5,886.72</w:t>
            </w:r>
          </w:p>
        </w:tc>
        <w:tc>
          <w:tcPr>
            <w:tcW w:w="1147" w:type="dxa"/>
          </w:tcPr>
          <w:p w:rsidR="007C5447" w:rsidRDefault="00F6308C">
            <w:pPr>
              <w:pStyle w:val="TableParagraph"/>
              <w:spacing w:before="36"/>
              <w:ind w:right="98"/>
              <w:rPr>
                <w:sz w:val="20"/>
              </w:rPr>
            </w:pPr>
            <w:r>
              <w:rPr>
                <w:w w:val="95"/>
                <w:sz w:val="20"/>
              </w:rPr>
              <w:t>5,886.72</w:t>
            </w:r>
          </w:p>
        </w:tc>
      </w:tr>
      <w:tr w:rsidR="007C5447">
        <w:trPr>
          <w:trHeight w:val="299"/>
        </w:trPr>
        <w:tc>
          <w:tcPr>
            <w:tcW w:w="2354" w:type="dxa"/>
          </w:tcPr>
          <w:p w:rsidR="007C5447" w:rsidRDefault="00F6308C">
            <w:pPr>
              <w:pStyle w:val="TableParagraph"/>
              <w:spacing w:before="34"/>
              <w:ind w:left="107"/>
              <w:jc w:val="left"/>
              <w:rPr>
                <w:sz w:val="20"/>
              </w:rPr>
            </w:pPr>
            <w:r>
              <w:rPr>
                <w:sz w:val="20"/>
              </w:rPr>
              <w:t>Mettur Stage III TPS</w:t>
            </w:r>
          </w:p>
        </w:tc>
        <w:tc>
          <w:tcPr>
            <w:tcW w:w="1147" w:type="dxa"/>
          </w:tcPr>
          <w:p w:rsidR="007C5447" w:rsidRDefault="00F6308C">
            <w:pPr>
              <w:pStyle w:val="TableParagraph"/>
              <w:spacing w:before="34"/>
              <w:ind w:right="95"/>
              <w:rPr>
                <w:sz w:val="20"/>
              </w:rPr>
            </w:pPr>
            <w:r>
              <w:rPr>
                <w:w w:val="95"/>
                <w:sz w:val="20"/>
              </w:rPr>
              <w:t>4,205.00</w:t>
            </w:r>
          </w:p>
        </w:tc>
        <w:tc>
          <w:tcPr>
            <w:tcW w:w="1149" w:type="dxa"/>
          </w:tcPr>
          <w:p w:rsidR="007C5447" w:rsidRDefault="00F6308C">
            <w:pPr>
              <w:pStyle w:val="TableParagraph"/>
              <w:spacing w:before="34"/>
              <w:ind w:right="96"/>
              <w:rPr>
                <w:sz w:val="20"/>
              </w:rPr>
            </w:pPr>
            <w:r>
              <w:rPr>
                <w:w w:val="95"/>
                <w:sz w:val="20"/>
              </w:rPr>
              <w:t>4,204.80</w:t>
            </w:r>
          </w:p>
        </w:tc>
        <w:tc>
          <w:tcPr>
            <w:tcW w:w="1147" w:type="dxa"/>
          </w:tcPr>
          <w:p w:rsidR="007C5447" w:rsidRDefault="00F6308C">
            <w:pPr>
              <w:pStyle w:val="TableParagraph"/>
              <w:spacing w:before="34"/>
              <w:ind w:right="93"/>
              <w:rPr>
                <w:sz w:val="20"/>
              </w:rPr>
            </w:pPr>
            <w:r>
              <w:rPr>
                <w:w w:val="95"/>
                <w:sz w:val="20"/>
              </w:rPr>
              <w:t>4,288.90</w:t>
            </w:r>
          </w:p>
        </w:tc>
        <w:tc>
          <w:tcPr>
            <w:tcW w:w="1147" w:type="dxa"/>
          </w:tcPr>
          <w:p w:rsidR="007C5447" w:rsidRDefault="00F6308C">
            <w:pPr>
              <w:pStyle w:val="TableParagraph"/>
              <w:spacing w:before="34"/>
              <w:ind w:right="96"/>
              <w:rPr>
                <w:sz w:val="20"/>
              </w:rPr>
            </w:pPr>
            <w:r>
              <w:rPr>
                <w:w w:val="95"/>
                <w:sz w:val="20"/>
              </w:rPr>
              <w:t>4,204.80</w:t>
            </w:r>
          </w:p>
        </w:tc>
        <w:tc>
          <w:tcPr>
            <w:tcW w:w="1150" w:type="dxa"/>
          </w:tcPr>
          <w:p w:rsidR="007C5447" w:rsidRDefault="00F6308C">
            <w:pPr>
              <w:pStyle w:val="TableParagraph"/>
              <w:spacing w:before="34"/>
              <w:ind w:right="98"/>
              <w:rPr>
                <w:sz w:val="20"/>
              </w:rPr>
            </w:pPr>
            <w:r>
              <w:rPr>
                <w:w w:val="95"/>
                <w:sz w:val="20"/>
              </w:rPr>
              <w:t>4,204.80</w:t>
            </w:r>
          </w:p>
        </w:tc>
        <w:tc>
          <w:tcPr>
            <w:tcW w:w="1147" w:type="dxa"/>
          </w:tcPr>
          <w:p w:rsidR="007C5447" w:rsidRDefault="00F6308C">
            <w:pPr>
              <w:pStyle w:val="TableParagraph"/>
              <w:spacing w:before="34"/>
              <w:ind w:right="98"/>
              <w:rPr>
                <w:sz w:val="20"/>
              </w:rPr>
            </w:pPr>
            <w:r>
              <w:rPr>
                <w:w w:val="95"/>
                <w:sz w:val="20"/>
              </w:rPr>
              <w:t>4,204.80</w:t>
            </w:r>
          </w:p>
        </w:tc>
      </w:tr>
      <w:tr w:rsidR="007C5447">
        <w:trPr>
          <w:trHeight w:val="300"/>
        </w:trPr>
        <w:tc>
          <w:tcPr>
            <w:tcW w:w="2354" w:type="dxa"/>
          </w:tcPr>
          <w:p w:rsidR="007C5447" w:rsidRDefault="00F6308C">
            <w:pPr>
              <w:pStyle w:val="TableParagraph"/>
              <w:spacing w:before="34"/>
              <w:ind w:left="107"/>
              <w:jc w:val="left"/>
              <w:rPr>
                <w:sz w:val="20"/>
              </w:rPr>
            </w:pPr>
            <w:r>
              <w:rPr>
                <w:sz w:val="20"/>
              </w:rPr>
              <w:t>North Chennai TPS</w:t>
            </w:r>
          </w:p>
        </w:tc>
        <w:tc>
          <w:tcPr>
            <w:tcW w:w="1147" w:type="dxa"/>
          </w:tcPr>
          <w:p w:rsidR="007C5447" w:rsidRDefault="00F6308C">
            <w:pPr>
              <w:pStyle w:val="TableParagraph"/>
              <w:spacing w:before="34"/>
              <w:ind w:right="95"/>
              <w:rPr>
                <w:sz w:val="20"/>
              </w:rPr>
            </w:pPr>
            <w:r>
              <w:rPr>
                <w:w w:val="95"/>
                <w:sz w:val="20"/>
              </w:rPr>
              <w:t>4,415.04</w:t>
            </w:r>
          </w:p>
        </w:tc>
        <w:tc>
          <w:tcPr>
            <w:tcW w:w="1149" w:type="dxa"/>
          </w:tcPr>
          <w:p w:rsidR="007C5447" w:rsidRDefault="00F6308C">
            <w:pPr>
              <w:pStyle w:val="TableParagraph"/>
              <w:spacing w:before="34"/>
              <w:ind w:right="96"/>
              <w:rPr>
                <w:sz w:val="20"/>
              </w:rPr>
            </w:pPr>
            <w:r>
              <w:rPr>
                <w:w w:val="95"/>
                <w:sz w:val="20"/>
              </w:rPr>
              <w:t>4,825.64</w:t>
            </w:r>
          </w:p>
        </w:tc>
        <w:tc>
          <w:tcPr>
            <w:tcW w:w="1147" w:type="dxa"/>
          </w:tcPr>
          <w:p w:rsidR="007C5447" w:rsidRDefault="00F6308C">
            <w:pPr>
              <w:pStyle w:val="TableParagraph"/>
              <w:spacing w:before="34"/>
              <w:ind w:right="93"/>
              <w:rPr>
                <w:sz w:val="20"/>
              </w:rPr>
            </w:pPr>
            <w:r>
              <w:rPr>
                <w:w w:val="95"/>
                <w:sz w:val="20"/>
              </w:rPr>
              <w:t>4,921.11</w:t>
            </w:r>
          </w:p>
        </w:tc>
        <w:tc>
          <w:tcPr>
            <w:tcW w:w="1147" w:type="dxa"/>
          </w:tcPr>
          <w:p w:rsidR="007C5447" w:rsidRDefault="00F6308C">
            <w:pPr>
              <w:pStyle w:val="TableParagraph"/>
              <w:spacing w:before="34"/>
              <w:ind w:right="93"/>
              <w:rPr>
                <w:sz w:val="20"/>
              </w:rPr>
            </w:pPr>
            <w:r>
              <w:rPr>
                <w:w w:val="95"/>
                <w:sz w:val="20"/>
              </w:rPr>
              <w:t>4,415.04</w:t>
            </w:r>
          </w:p>
        </w:tc>
        <w:tc>
          <w:tcPr>
            <w:tcW w:w="1150" w:type="dxa"/>
          </w:tcPr>
          <w:p w:rsidR="007C5447" w:rsidRDefault="00F6308C">
            <w:pPr>
              <w:pStyle w:val="TableParagraph"/>
              <w:spacing w:before="34"/>
              <w:ind w:right="96"/>
              <w:rPr>
                <w:sz w:val="20"/>
              </w:rPr>
            </w:pPr>
            <w:r>
              <w:rPr>
                <w:w w:val="95"/>
                <w:sz w:val="20"/>
              </w:rPr>
              <w:t>4,415.04</w:t>
            </w:r>
          </w:p>
        </w:tc>
        <w:tc>
          <w:tcPr>
            <w:tcW w:w="1147" w:type="dxa"/>
          </w:tcPr>
          <w:p w:rsidR="007C5447" w:rsidRDefault="00F6308C">
            <w:pPr>
              <w:pStyle w:val="TableParagraph"/>
              <w:spacing w:before="34"/>
              <w:ind w:right="95"/>
              <w:rPr>
                <w:sz w:val="20"/>
              </w:rPr>
            </w:pPr>
            <w:r>
              <w:rPr>
                <w:w w:val="95"/>
                <w:sz w:val="20"/>
              </w:rPr>
              <w:t>4,415.04</w:t>
            </w:r>
          </w:p>
        </w:tc>
      </w:tr>
      <w:tr w:rsidR="007C5447">
        <w:trPr>
          <w:trHeight w:val="489"/>
        </w:trPr>
        <w:tc>
          <w:tcPr>
            <w:tcW w:w="2354" w:type="dxa"/>
          </w:tcPr>
          <w:p w:rsidR="007C5447" w:rsidRDefault="00F6308C">
            <w:pPr>
              <w:pStyle w:val="TableParagraph"/>
              <w:spacing w:before="14" w:line="230" w:lineRule="atLeast"/>
              <w:ind w:left="107" w:right="356"/>
              <w:jc w:val="left"/>
              <w:rPr>
                <w:sz w:val="20"/>
              </w:rPr>
            </w:pPr>
            <w:r>
              <w:rPr>
                <w:sz w:val="20"/>
              </w:rPr>
              <w:t>North Chennai Stage II TPS</w:t>
            </w:r>
          </w:p>
        </w:tc>
        <w:tc>
          <w:tcPr>
            <w:tcW w:w="1147" w:type="dxa"/>
          </w:tcPr>
          <w:p w:rsidR="007C5447" w:rsidRDefault="00F6308C">
            <w:pPr>
              <w:pStyle w:val="TableParagraph"/>
              <w:spacing w:before="130"/>
              <w:ind w:right="95"/>
              <w:rPr>
                <w:sz w:val="20"/>
              </w:rPr>
            </w:pPr>
            <w:r>
              <w:rPr>
                <w:w w:val="95"/>
                <w:sz w:val="20"/>
              </w:rPr>
              <w:t>8,409.60</w:t>
            </w:r>
          </w:p>
        </w:tc>
        <w:tc>
          <w:tcPr>
            <w:tcW w:w="1149" w:type="dxa"/>
          </w:tcPr>
          <w:p w:rsidR="007C5447" w:rsidRDefault="00F6308C">
            <w:pPr>
              <w:pStyle w:val="TableParagraph"/>
              <w:spacing w:before="130"/>
              <w:ind w:right="96"/>
              <w:rPr>
                <w:sz w:val="20"/>
              </w:rPr>
            </w:pPr>
            <w:r>
              <w:rPr>
                <w:w w:val="95"/>
                <w:sz w:val="20"/>
              </w:rPr>
              <w:t>8,409.60</w:t>
            </w:r>
          </w:p>
        </w:tc>
        <w:tc>
          <w:tcPr>
            <w:tcW w:w="1147" w:type="dxa"/>
          </w:tcPr>
          <w:p w:rsidR="007C5447" w:rsidRDefault="00F6308C">
            <w:pPr>
              <w:pStyle w:val="TableParagraph"/>
              <w:spacing w:before="130"/>
              <w:ind w:right="93"/>
              <w:rPr>
                <w:sz w:val="20"/>
              </w:rPr>
            </w:pPr>
            <w:r>
              <w:rPr>
                <w:w w:val="95"/>
                <w:sz w:val="20"/>
              </w:rPr>
              <w:t>8,577.79</w:t>
            </w:r>
          </w:p>
        </w:tc>
        <w:tc>
          <w:tcPr>
            <w:tcW w:w="1147" w:type="dxa"/>
          </w:tcPr>
          <w:p w:rsidR="007C5447" w:rsidRDefault="00F6308C">
            <w:pPr>
              <w:pStyle w:val="TableParagraph"/>
              <w:spacing w:before="130"/>
              <w:ind w:right="96"/>
              <w:rPr>
                <w:sz w:val="20"/>
              </w:rPr>
            </w:pPr>
            <w:r>
              <w:rPr>
                <w:w w:val="95"/>
                <w:sz w:val="20"/>
              </w:rPr>
              <w:t>8,409.60</w:t>
            </w:r>
          </w:p>
        </w:tc>
        <w:tc>
          <w:tcPr>
            <w:tcW w:w="1150" w:type="dxa"/>
          </w:tcPr>
          <w:p w:rsidR="007C5447" w:rsidRDefault="00F6308C">
            <w:pPr>
              <w:pStyle w:val="TableParagraph"/>
              <w:spacing w:before="130"/>
              <w:ind w:right="98"/>
              <w:rPr>
                <w:sz w:val="20"/>
              </w:rPr>
            </w:pPr>
            <w:r>
              <w:rPr>
                <w:w w:val="95"/>
                <w:sz w:val="20"/>
              </w:rPr>
              <w:t>8,409.60</w:t>
            </w:r>
          </w:p>
        </w:tc>
        <w:tc>
          <w:tcPr>
            <w:tcW w:w="1147" w:type="dxa"/>
          </w:tcPr>
          <w:p w:rsidR="007C5447" w:rsidRDefault="00F6308C">
            <w:pPr>
              <w:pStyle w:val="TableParagraph"/>
              <w:spacing w:before="130"/>
              <w:ind w:right="98"/>
              <w:rPr>
                <w:sz w:val="20"/>
              </w:rPr>
            </w:pPr>
            <w:r>
              <w:rPr>
                <w:w w:val="95"/>
                <w:sz w:val="20"/>
              </w:rPr>
              <w:t>8,409.60</w:t>
            </w:r>
          </w:p>
        </w:tc>
      </w:tr>
      <w:tr w:rsidR="007C5447">
        <w:trPr>
          <w:trHeight w:val="330"/>
        </w:trPr>
        <w:tc>
          <w:tcPr>
            <w:tcW w:w="2354" w:type="dxa"/>
            <w:shd w:val="clear" w:color="auto" w:fill="D9D9D9"/>
          </w:tcPr>
          <w:p w:rsidR="007C5447" w:rsidRDefault="00F6308C">
            <w:pPr>
              <w:pStyle w:val="TableParagraph"/>
              <w:spacing w:before="50"/>
              <w:ind w:left="107"/>
              <w:jc w:val="left"/>
              <w:rPr>
                <w:b/>
                <w:sz w:val="20"/>
              </w:rPr>
            </w:pPr>
            <w:r>
              <w:rPr>
                <w:b/>
                <w:sz w:val="20"/>
              </w:rPr>
              <w:t>Coal Thermal</w:t>
            </w:r>
          </w:p>
        </w:tc>
        <w:tc>
          <w:tcPr>
            <w:tcW w:w="1147" w:type="dxa"/>
            <w:shd w:val="clear" w:color="auto" w:fill="D9D9D9"/>
          </w:tcPr>
          <w:p w:rsidR="007C5447" w:rsidRDefault="00F6308C">
            <w:pPr>
              <w:pStyle w:val="TableParagraph"/>
              <w:spacing w:before="50"/>
              <w:ind w:right="97"/>
              <w:rPr>
                <w:b/>
                <w:sz w:val="20"/>
              </w:rPr>
            </w:pPr>
            <w:r>
              <w:rPr>
                <w:b/>
                <w:w w:val="95"/>
                <w:sz w:val="20"/>
              </w:rPr>
              <w:t>31,200.45</w:t>
            </w:r>
          </w:p>
        </w:tc>
        <w:tc>
          <w:tcPr>
            <w:tcW w:w="1149" w:type="dxa"/>
            <w:shd w:val="clear" w:color="auto" w:fill="D9D9D9"/>
          </w:tcPr>
          <w:p w:rsidR="007C5447" w:rsidRDefault="00F6308C">
            <w:pPr>
              <w:pStyle w:val="TableParagraph"/>
              <w:spacing w:before="50"/>
              <w:ind w:right="99"/>
              <w:rPr>
                <w:b/>
                <w:sz w:val="20"/>
              </w:rPr>
            </w:pPr>
            <w:r>
              <w:rPr>
                <w:b/>
                <w:w w:val="95"/>
                <w:sz w:val="20"/>
              </w:rPr>
              <w:t>30,685.16</w:t>
            </w:r>
          </w:p>
        </w:tc>
        <w:tc>
          <w:tcPr>
            <w:tcW w:w="1147" w:type="dxa"/>
            <w:shd w:val="clear" w:color="auto" w:fill="D9D9D9"/>
          </w:tcPr>
          <w:p w:rsidR="007C5447" w:rsidRDefault="00F6308C">
            <w:pPr>
              <w:pStyle w:val="TableParagraph"/>
              <w:spacing w:before="50"/>
              <w:ind w:right="96"/>
              <w:rPr>
                <w:b/>
                <w:sz w:val="20"/>
              </w:rPr>
            </w:pPr>
            <w:r>
              <w:rPr>
                <w:b/>
                <w:w w:val="95"/>
                <w:sz w:val="20"/>
              </w:rPr>
              <w:t>33,193.82</w:t>
            </w:r>
          </w:p>
        </w:tc>
        <w:tc>
          <w:tcPr>
            <w:tcW w:w="1147" w:type="dxa"/>
            <w:shd w:val="clear" w:color="auto" w:fill="D9D9D9"/>
          </w:tcPr>
          <w:p w:rsidR="007C5447" w:rsidRDefault="00F6308C">
            <w:pPr>
              <w:pStyle w:val="TableParagraph"/>
              <w:spacing w:before="50"/>
              <w:ind w:right="96"/>
              <w:rPr>
                <w:b/>
                <w:sz w:val="20"/>
              </w:rPr>
            </w:pPr>
            <w:r>
              <w:rPr>
                <w:b/>
                <w:w w:val="95"/>
                <w:sz w:val="20"/>
              </w:rPr>
              <w:t>31,246.46</w:t>
            </w:r>
          </w:p>
        </w:tc>
        <w:tc>
          <w:tcPr>
            <w:tcW w:w="1150" w:type="dxa"/>
            <w:shd w:val="clear" w:color="auto" w:fill="D9D9D9"/>
          </w:tcPr>
          <w:p w:rsidR="007C5447" w:rsidRDefault="00F6308C">
            <w:pPr>
              <w:pStyle w:val="TableParagraph"/>
              <w:spacing w:before="50"/>
              <w:ind w:right="98"/>
              <w:rPr>
                <w:b/>
                <w:sz w:val="20"/>
              </w:rPr>
            </w:pPr>
            <w:r>
              <w:rPr>
                <w:b/>
                <w:w w:val="95"/>
                <w:sz w:val="20"/>
              </w:rPr>
              <w:t>30,274.56</w:t>
            </w:r>
          </w:p>
        </w:tc>
        <w:tc>
          <w:tcPr>
            <w:tcW w:w="1147" w:type="dxa"/>
            <w:shd w:val="clear" w:color="auto" w:fill="D9D9D9"/>
          </w:tcPr>
          <w:p w:rsidR="007C5447" w:rsidRDefault="00F6308C">
            <w:pPr>
              <w:pStyle w:val="TableParagraph"/>
              <w:spacing w:before="50"/>
              <w:ind w:right="98"/>
              <w:rPr>
                <w:b/>
                <w:sz w:val="20"/>
              </w:rPr>
            </w:pPr>
            <w:r>
              <w:rPr>
                <w:b/>
                <w:w w:val="95"/>
                <w:sz w:val="20"/>
              </w:rPr>
              <w:t>32,170.92</w:t>
            </w:r>
          </w:p>
        </w:tc>
      </w:tr>
      <w:tr w:rsidR="007C5447">
        <w:trPr>
          <w:trHeight w:val="299"/>
        </w:trPr>
        <w:tc>
          <w:tcPr>
            <w:tcW w:w="2354" w:type="dxa"/>
          </w:tcPr>
          <w:p w:rsidR="007C5447" w:rsidRDefault="00F6308C">
            <w:pPr>
              <w:pStyle w:val="TableParagraph"/>
              <w:spacing w:before="36"/>
              <w:ind w:left="107"/>
              <w:jc w:val="left"/>
              <w:rPr>
                <w:sz w:val="20"/>
              </w:rPr>
            </w:pPr>
            <w:r>
              <w:rPr>
                <w:sz w:val="20"/>
              </w:rPr>
              <w:t>Tirumakottai GTPS</w:t>
            </w:r>
          </w:p>
        </w:tc>
        <w:tc>
          <w:tcPr>
            <w:tcW w:w="1147" w:type="dxa"/>
          </w:tcPr>
          <w:p w:rsidR="007C5447" w:rsidRDefault="00F6308C">
            <w:pPr>
              <w:pStyle w:val="TableParagraph"/>
              <w:spacing w:before="36"/>
              <w:ind w:right="97"/>
              <w:rPr>
                <w:sz w:val="20"/>
              </w:rPr>
            </w:pPr>
            <w:r>
              <w:rPr>
                <w:w w:val="95"/>
                <w:sz w:val="20"/>
              </w:rPr>
              <w:t>756.02</w:t>
            </w:r>
          </w:p>
        </w:tc>
        <w:tc>
          <w:tcPr>
            <w:tcW w:w="1149" w:type="dxa"/>
          </w:tcPr>
          <w:p w:rsidR="007C5447" w:rsidRDefault="00F6308C">
            <w:pPr>
              <w:pStyle w:val="TableParagraph"/>
              <w:spacing w:before="36"/>
              <w:ind w:right="98"/>
              <w:rPr>
                <w:sz w:val="20"/>
              </w:rPr>
            </w:pPr>
            <w:r>
              <w:rPr>
                <w:w w:val="95"/>
                <w:sz w:val="20"/>
              </w:rPr>
              <w:t>805.16</w:t>
            </w:r>
          </w:p>
        </w:tc>
        <w:tc>
          <w:tcPr>
            <w:tcW w:w="1147" w:type="dxa"/>
          </w:tcPr>
          <w:p w:rsidR="007C5447" w:rsidRDefault="00F6308C">
            <w:pPr>
              <w:pStyle w:val="TableParagraph"/>
              <w:spacing w:before="36"/>
              <w:ind w:right="95"/>
              <w:rPr>
                <w:sz w:val="20"/>
              </w:rPr>
            </w:pPr>
            <w:r>
              <w:rPr>
                <w:w w:val="95"/>
                <w:sz w:val="20"/>
              </w:rPr>
              <w:t>822.18</w:t>
            </w:r>
          </w:p>
        </w:tc>
        <w:tc>
          <w:tcPr>
            <w:tcW w:w="1147" w:type="dxa"/>
          </w:tcPr>
          <w:p w:rsidR="007C5447" w:rsidRDefault="00F6308C">
            <w:pPr>
              <w:pStyle w:val="TableParagraph"/>
              <w:spacing w:before="36"/>
              <w:ind w:right="95"/>
              <w:rPr>
                <w:sz w:val="20"/>
              </w:rPr>
            </w:pPr>
            <w:r>
              <w:rPr>
                <w:w w:val="95"/>
                <w:sz w:val="20"/>
              </w:rPr>
              <w:t>756.02</w:t>
            </w:r>
          </w:p>
        </w:tc>
        <w:tc>
          <w:tcPr>
            <w:tcW w:w="1150" w:type="dxa"/>
          </w:tcPr>
          <w:p w:rsidR="007C5447" w:rsidRDefault="00F6308C">
            <w:pPr>
              <w:pStyle w:val="TableParagraph"/>
              <w:spacing w:before="36"/>
              <w:ind w:right="98"/>
              <w:rPr>
                <w:sz w:val="20"/>
              </w:rPr>
            </w:pPr>
            <w:r>
              <w:rPr>
                <w:w w:val="95"/>
                <w:sz w:val="20"/>
              </w:rPr>
              <w:t>756.02</w:t>
            </w:r>
          </w:p>
        </w:tc>
        <w:tc>
          <w:tcPr>
            <w:tcW w:w="1147" w:type="dxa"/>
          </w:tcPr>
          <w:p w:rsidR="007C5447" w:rsidRDefault="00F6308C">
            <w:pPr>
              <w:pStyle w:val="TableParagraph"/>
              <w:spacing w:before="36"/>
              <w:ind w:right="97"/>
              <w:rPr>
                <w:sz w:val="20"/>
              </w:rPr>
            </w:pPr>
            <w:r>
              <w:rPr>
                <w:w w:val="95"/>
                <w:sz w:val="20"/>
              </w:rPr>
              <w:t>756.02</w:t>
            </w:r>
          </w:p>
        </w:tc>
      </w:tr>
      <w:tr w:rsidR="007C5447">
        <w:trPr>
          <w:trHeight w:val="299"/>
        </w:trPr>
        <w:tc>
          <w:tcPr>
            <w:tcW w:w="2354" w:type="dxa"/>
          </w:tcPr>
          <w:p w:rsidR="007C5447" w:rsidRDefault="00F6308C">
            <w:pPr>
              <w:pStyle w:val="TableParagraph"/>
              <w:spacing w:before="36"/>
              <w:ind w:left="107"/>
              <w:jc w:val="left"/>
              <w:rPr>
                <w:sz w:val="20"/>
              </w:rPr>
            </w:pPr>
            <w:r>
              <w:rPr>
                <w:sz w:val="20"/>
              </w:rPr>
              <w:t>Kuttalam GTPS</w:t>
            </w:r>
          </w:p>
        </w:tc>
        <w:tc>
          <w:tcPr>
            <w:tcW w:w="1147" w:type="dxa"/>
          </w:tcPr>
          <w:p w:rsidR="007C5447" w:rsidRDefault="00F6308C">
            <w:pPr>
              <w:pStyle w:val="TableParagraph"/>
              <w:spacing w:before="36"/>
              <w:ind w:right="97"/>
              <w:rPr>
                <w:sz w:val="20"/>
              </w:rPr>
            </w:pPr>
            <w:r>
              <w:rPr>
                <w:w w:val="95"/>
                <w:sz w:val="20"/>
              </w:rPr>
              <w:t>700.80</w:t>
            </w:r>
          </w:p>
        </w:tc>
        <w:tc>
          <w:tcPr>
            <w:tcW w:w="1149" w:type="dxa"/>
          </w:tcPr>
          <w:p w:rsidR="007C5447" w:rsidRDefault="00F6308C">
            <w:pPr>
              <w:pStyle w:val="TableParagraph"/>
              <w:spacing w:before="36"/>
              <w:ind w:right="98"/>
              <w:rPr>
                <w:sz w:val="20"/>
              </w:rPr>
            </w:pPr>
            <w:r>
              <w:rPr>
                <w:w w:val="95"/>
                <w:sz w:val="20"/>
              </w:rPr>
              <w:t>751.61</w:t>
            </w:r>
          </w:p>
        </w:tc>
        <w:tc>
          <w:tcPr>
            <w:tcW w:w="1147" w:type="dxa"/>
          </w:tcPr>
          <w:p w:rsidR="007C5447" w:rsidRDefault="00F6308C">
            <w:pPr>
              <w:pStyle w:val="TableParagraph"/>
              <w:spacing w:before="36"/>
              <w:ind w:right="95"/>
              <w:rPr>
                <w:sz w:val="20"/>
              </w:rPr>
            </w:pPr>
            <w:r>
              <w:rPr>
                <w:w w:val="95"/>
                <w:sz w:val="20"/>
              </w:rPr>
              <w:t>766.50</w:t>
            </w:r>
          </w:p>
        </w:tc>
        <w:tc>
          <w:tcPr>
            <w:tcW w:w="1147" w:type="dxa"/>
          </w:tcPr>
          <w:p w:rsidR="007C5447" w:rsidRDefault="00F6308C">
            <w:pPr>
              <w:pStyle w:val="TableParagraph"/>
              <w:spacing w:before="36"/>
              <w:ind w:right="95"/>
              <w:rPr>
                <w:sz w:val="20"/>
              </w:rPr>
            </w:pPr>
            <w:r>
              <w:rPr>
                <w:w w:val="95"/>
                <w:sz w:val="20"/>
              </w:rPr>
              <w:t>707.81</w:t>
            </w:r>
          </w:p>
        </w:tc>
        <w:tc>
          <w:tcPr>
            <w:tcW w:w="1150" w:type="dxa"/>
          </w:tcPr>
          <w:p w:rsidR="007C5447" w:rsidRDefault="00F6308C">
            <w:pPr>
              <w:pStyle w:val="TableParagraph"/>
              <w:spacing w:before="36"/>
              <w:ind w:right="98"/>
              <w:rPr>
                <w:sz w:val="20"/>
              </w:rPr>
            </w:pPr>
            <w:r>
              <w:rPr>
                <w:w w:val="95"/>
                <w:sz w:val="20"/>
              </w:rPr>
              <w:t>707.81</w:t>
            </w:r>
          </w:p>
        </w:tc>
        <w:tc>
          <w:tcPr>
            <w:tcW w:w="1147" w:type="dxa"/>
          </w:tcPr>
          <w:p w:rsidR="007C5447" w:rsidRDefault="00F6308C">
            <w:pPr>
              <w:pStyle w:val="TableParagraph"/>
              <w:spacing w:before="36"/>
              <w:ind w:right="97"/>
              <w:rPr>
                <w:sz w:val="20"/>
              </w:rPr>
            </w:pPr>
            <w:r>
              <w:rPr>
                <w:w w:val="95"/>
                <w:sz w:val="20"/>
              </w:rPr>
              <w:t>707.81</w:t>
            </w:r>
          </w:p>
        </w:tc>
      </w:tr>
      <w:tr w:rsidR="007C5447">
        <w:trPr>
          <w:trHeight w:val="299"/>
        </w:trPr>
        <w:tc>
          <w:tcPr>
            <w:tcW w:w="2354" w:type="dxa"/>
          </w:tcPr>
          <w:p w:rsidR="007C5447" w:rsidRDefault="00F6308C">
            <w:pPr>
              <w:pStyle w:val="TableParagraph"/>
              <w:spacing w:before="36"/>
              <w:ind w:left="107"/>
              <w:jc w:val="left"/>
              <w:rPr>
                <w:sz w:val="20"/>
              </w:rPr>
            </w:pPr>
            <w:r>
              <w:rPr>
                <w:sz w:val="20"/>
              </w:rPr>
              <w:t>Basin Bridge GTPS</w:t>
            </w:r>
          </w:p>
        </w:tc>
        <w:tc>
          <w:tcPr>
            <w:tcW w:w="1147" w:type="dxa"/>
          </w:tcPr>
          <w:p w:rsidR="007C5447" w:rsidRDefault="00F6308C">
            <w:pPr>
              <w:pStyle w:val="TableParagraph"/>
              <w:spacing w:before="36"/>
              <w:ind w:right="96"/>
              <w:rPr>
                <w:sz w:val="20"/>
              </w:rPr>
            </w:pPr>
            <w:r>
              <w:rPr>
                <w:sz w:val="20"/>
              </w:rPr>
              <w:t>6.31</w:t>
            </w:r>
          </w:p>
        </w:tc>
        <w:tc>
          <w:tcPr>
            <w:tcW w:w="1149" w:type="dxa"/>
          </w:tcPr>
          <w:p w:rsidR="007C5447" w:rsidRDefault="00F6308C">
            <w:pPr>
              <w:pStyle w:val="TableParagraph"/>
              <w:spacing w:before="36"/>
              <w:ind w:right="98"/>
              <w:rPr>
                <w:sz w:val="20"/>
              </w:rPr>
            </w:pPr>
            <w:r>
              <w:rPr>
                <w:sz w:val="20"/>
              </w:rPr>
              <w:t>6.31</w:t>
            </w:r>
          </w:p>
        </w:tc>
        <w:tc>
          <w:tcPr>
            <w:tcW w:w="1147" w:type="dxa"/>
          </w:tcPr>
          <w:p w:rsidR="007C5447" w:rsidRDefault="00F6308C">
            <w:pPr>
              <w:pStyle w:val="TableParagraph"/>
              <w:spacing w:before="36"/>
              <w:ind w:right="95"/>
              <w:rPr>
                <w:sz w:val="20"/>
              </w:rPr>
            </w:pPr>
            <w:r>
              <w:rPr>
                <w:sz w:val="20"/>
              </w:rPr>
              <w:t>6.31</w:t>
            </w:r>
          </w:p>
        </w:tc>
        <w:tc>
          <w:tcPr>
            <w:tcW w:w="1147" w:type="dxa"/>
          </w:tcPr>
          <w:p w:rsidR="007C5447" w:rsidRDefault="00F6308C">
            <w:pPr>
              <w:pStyle w:val="TableParagraph"/>
              <w:spacing w:before="36"/>
              <w:ind w:right="93"/>
              <w:rPr>
                <w:sz w:val="20"/>
              </w:rPr>
            </w:pPr>
            <w:r>
              <w:rPr>
                <w:sz w:val="20"/>
              </w:rPr>
              <w:t>6.31</w:t>
            </w:r>
          </w:p>
        </w:tc>
        <w:tc>
          <w:tcPr>
            <w:tcW w:w="1150" w:type="dxa"/>
          </w:tcPr>
          <w:p w:rsidR="007C5447" w:rsidRDefault="00F6308C">
            <w:pPr>
              <w:pStyle w:val="TableParagraph"/>
              <w:spacing w:before="36"/>
              <w:ind w:right="95"/>
              <w:rPr>
                <w:sz w:val="20"/>
              </w:rPr>
            </w:pPr>
            <w:r>
              <w:rPr>
                <w:sz w:val="20"/>
              </w:rPr>
              <w:t>6.31</w:t>
            </w:r>
          </w:p>
        </w:tc>
        <w:tc>
          <w:tcPr>
            <w:tcW w:w="1147" w:type="dxa"/>
          </w:tcPr>
          <w:p w:rsidR="007C5447" w:rsidRDefault="00F6308C">
            <w:pPr>
              <w:pStyle w:val="TableParagraph"/>
              <w:spacing w:before="36"/>
              <w:ind w:right="95"/>
              <w:rPr>
                <w:sz w:val="20"/>
              </w:rPr>
            </w:pPr>
            <w:r>
              <w:rPr>
                <w:sz w:val="20"/>
              </w:rPr>
              <w:t>6.31</w:t>
            </w:r>
          </w:p>
        </w:tc>
      </w:tr>
      <w:tr w:rsidR="007C5447">
        <w:trPr>
          <w:trHeight w:val="301"/>
        </w:trPr>
        <w:tc>
          <w:tcPr>
            <w:tcW w:w="2354" w:type="dxa"/>
          </w:tcPr>
          <w:p w:rsidR="007C5447" w:rsidRDefault="00F6308C">
            <w:pPr>
              <w:pStyle w:val="TableParagraph"/>
              <w:spacing w:before="36"/>
              <w:ind w:left="107"/>
              <w:jc w:val="left"/>
              <w:rPr>
                <w:sz w:val="20"/>
              </w:rPr>
            </w:pPr>
            <w:r>
              <w:rPr>
                <w:sz w:val="20"/>
              </w:rPr>
              <w:t>Valuthur GTPS</w:t>
            </w:r>
          </w:p>
        </w:tc>
        <w:tc>
          <w:tcPr>
            <w:tcW w:w="1147" w:type="dxa"/>
          </w:tcPr>
          <w:p w:rsidR="007C5447" w:rsidRDefault="00F6308C">
            <w:pPr>
              <w:pStyle w:val="TableParagraph"/>
              <w:spacing w:before="36"/>
              <w:ind w:right="97"/>
              <w:rPr>
                <w:sz w:val="20"/>
              </w:rPr>
            </w:pPr>
            <w:r>
              <w:rPr>
                <w:w w:val="95"/>
                <w:sz w:val="20"/>
              </w:rPr>
              <w:t>665.76</w:t>
            </w:r>
          </w:p>
        </w:tc>
        <w:tc>
          <w:tcPr>
            <w:tcW w:w="1149" w:type="dxa"/>
          </w:tcPr>
          <w:p w:rsidR="007C5447" w:rsidRDefault="00F6308C">
            <w:pPr>
              <w:pStyle w:val="TableParagraph"/>
              <w:spacing w:before="36"/>
              <w:ind w:right="96"/>
              <w:rPr>
                <w:sz w:val="20"/>
              </w:rPr>
            </w:pPr>
            <w:r>
              <w:rPr>
                <w:w w:val="95"/>
                <w:sz w:val="20"/>
              </w:rPr>
              <w:t>1,368.81</w:t>
            </w:r>
          </w:p>
        </w:tc>
        <w:tc>
          <w:tcPr>
            <w:tcW w:w="1147" w:type="dxa"/>
          </w:tcPr>
          <w:p w:rsidR="007C5447" w:rsidRDefault="00F6308C">
            <w:pPr>
              <w:pStyle w:val="TableParagraph"/>
              <w:spacing w:before="36"/>
              <w:ind w:right="93"/>
              <w:rPr>
                <w:sz w:val="20"/>
              </w:rPr>
            </w:pPr>
            <w:r>
              <w:rPr>
                <w:w w:val="95"/>
                <w:sz w:val="20"/>
              </w:rPr>
              <w:t>1,397.32</w:t>
            </w:r>
          </w:p>
        </w:tc>
        <w:tc>
          <w:tcPr>
            <w:tcW w:w="1147" w:type="dxa"/>
          </w:tcPr>
          <w:p w:rsidR="007C5447" w:rsidRDefault="00F6308C">
            <w:pPr>
              <w:pStyle w:val="TableParagraph"/>
              <w:spacing w:before="36"/>
              <w:ind w:right="96"/>
              <w:rPr>
                <w:sz w:val="20"/>
              </w:rPr>
            </w:pPr>
            <w:r>
              <w:rPr>
                <w:w w:val="95"/>
                <w:sz w:val="20"/>
              </w:rPr>
              <w:t>1,310.50</w:t>
            </w:r>
          </w:p>
        </w:tc>
        <w:tc>
          <w:tcPr>
            <w:tcW w:w="1150" w:type="dxa"/>
          </w:tcPr>
          <w:p w:rsidR="007C5447" w:rsidRDefault="00F6308C">
            <w:pPr>
              <w:pStyle w:val="TableParagraph"/>
              <w:spacing w:before="36"/>
              <w:ind w:right="98"/>
              <w:rPr>
                <w:sz w:val="20"/>
              </w:rPr>
            </w:pPr>
            <w:r>
              <w:rPr>
                <w:w w:val="95"/>
                <w:sz w:val="20"/>
              </w:rPr>
              <w:t>1,310.50</w:t>
            </w:r>
          </w:p>
        </w:tc>
        <w:tc>
          <w:tcPr>
            <w:tcW w:w="1147" w:type="dxa"/>
          </w:tcPr>
          <w:p w:rsidR="007C5447" w:rsidRDefault="00F6308C">
            <w:pPr>
              <w:pStyle w:val="TableParagraph"/>
              <w:spacing w:before="36"/>
              <w:ind w:right="98"/>
              <w:rPr>
                <w:sz w:val="20"/>
              </w:rPr>
            </w:pPr>
            <w:r>
              <w:rPr>
                <w:w w:val="95"/>
                <w:sz w:val="20"/>
              </w:rPr>
              <w:t>1,310.50</w:t>
            </w:r>
          </w:p>
        </w:tc>
      </w:tr>
      <w:tr w:rsidR="007C5447">
        <w:trPr>
          <w:trHeight w:val="328"/>
        </w:trPr>
        <w:tc>
          <w:tcPr>
            <w:tcW w:w="2354" w:type="dxa"/>
            <w:shd w:val="clear" w:color="auto" w:fill="D9D9D9"/>
          </w:tcPr>
          <w:p w:rsidR="007C5447" w:rsidRDefault="00F6308C">
            <w:pPr>
              <w:pStyle w:val="TableParagraph"/>
              <w:spacing w:before="48"/>
              <w:ind w:left="107"/>
              <w:jc w:val="left"/>
              <w:rPr>
                <w:b/>
                <w:sz w:val="20"/>
              </w:rPr>
            </w:pPr>
            <w:r>
              <w:rPr>
                <w:b/>
                <w:sz w:val="20"/>
              </w:rPr>
              <w:t>Gas Thermal</w:t>
            </w:r>
          </w:p>
        </w:tc>
        <w:tc>
          <w:tcPr>
            <w:tcW w:w="1147" w:type="dxa"/>
            <w:shd w:val="clear" w:color="auto" w:fill="D9D9D9"/>
          </w:tcPr>
          <w:p w:rsidR="007C5447" w:rsidRDefault="00F6308C">
            <w:pPr>
              <w:pStyle w:val="TableParagraph"/>
              <w:spacing w:before="48"/>
              <w:ind w:right="95"/>
              <w:rPr>
                <w:b/>
                <w:sz w:val="20"/>
              </w:rPr>
            </w:pPr>
            <w:r>
              <w:rPr>
                <w:b/>
                <w:w w:val="95"/>
                <w:sz w:val="20"/>
              </w:rPr>
              <w:t>2,128.89</w:t>
            </w:r>
          </w:p>
        </w:tc>
        <w:tc>
          <w:tcPr>
            <w:tcW w:w="1149" w:type="dxa"/>
            <w:shd w:val="clear" w:color="auto" w:fill="D9D9D9"/>
          </w:tcPr>
          <w:p w:rsidR="007C5447" w:rsidRDefault="00F6308C">
            <w:pPr>
              <w:pStyle w:val="TableParagraph"/>
              <w:spacing w:before="48"/>
              <w:ind w:right="96"/>
              <w:rPr>
                <w:b/>
                <w:sz w:val="20"/>
              </w:rPr>
            </w:pPr>
            <w:r>
              <w:rPr>
                <w:b/>
                <w:w w:val="95"/>
                <w:sz w:val="20"/>
              </w:rPr>
              <w:t>2,931.89</w:t>
            </w:r>
          </w:p>
        </w:tc>
        <w:tc>
          <w:tcPr>
            <w:tcW w:w="1147" w:type="dxa"/>
            <w:shd w:val="clear" w:color="auto" w:fill="D9D9D9"/>
          </w:tcPr>
          <w:p w:rsidR="007C5447" w:rsidRDefault="00F6308C">
            <w:pPr>
              <w:pStyle w:val="TableParagraph"/>
              <w:spacing w:before="48"/>
              <w:ind w:right="93"/>
              <w:rPr>
                <w:b/>
                <w:sz w:val="20"/>
              </w:rPr>
            </w:pPr>
            <w:r>
              <w:rPr>
                <w:b/>
                <w:w w:val="95"/>
                <w:sz w:val="20"/>
              </w:rPr>
              <w:t>2,992.30</w:t>
            </w:r>
          </w:p>
        </w:tc>
        <w:tc>
          <w:tcPr>
            <w:tcW w:w="1147" w:type="dxa"/>
            <w:shd w:val="clear" w:color="auto" w:fill="D9D9D9"/>
          </w:tcPr>
          <w:p w:rsidR="007C5447" w:rsidRDefault="00F6308C">
            <w:pPr>
              <w:pStyle w:val="TableParagraph"/>
              <w:spacing w:before="48"/>
              <w:ind w:right="96"/>
              <w:rPr>
                <w:b/>
                <w:sz w:val="20"/>
              </w:rPr>
            </w:pPr>
            <w:r>
              <w:rPr>
                <w:b/>
                <w:w w:val="95"/>
                <w:sz w:val="20"/>
              </w:rPr>
              <w:t>2,780.63</w:t>
            </w:r>
          </w:p>
        </w:tc>
        <w:tc>
          <w:tcPr>
            <w:tcW w:w="1150" w:type="dxa"/>
            <w:shd w:val="clear" w:color="auto" w:fill="D9D9D9"/>
          </w:tcPr>
          <w:p w:rsidR="007C5447" w:rsidRDefault="00F6308C">
            <w:pPr>
              <w:pStyle w:val="TableParagraph"/>
              <w:spacing w:before="48"/>
              <w:ind w:right="96"/>
              <w:rPr>
                <w:b/>
                <w:sz w:val="20"/>
              </w:rPr>
            </w:pPr>
            <w:r>
              <w:rPr>
                <w:b/>
                <w:w w:val="95"/>
                <w:sz w:val="20"/>
              </w:rPr>
              <w:t>2,780.63</w:t>
            </w:r>
          </w:p>
        </w:tc>
        <w:tc>
          <w:tcPr>
            <w:tcW w:w="1147" w:type="dxa"/>
            <w:shd w:val="clear" w:color="auto" w:fill="D9D9D9"/>
          </w:tcPr>
          <w:p w:rsidR="007C5447" w:rsidRDefault="00F6308C">
            <w:pPr>
              <w:pStyle w:val="TableParagraph"/>
              <w:spacing w:before="48"/>
              <w:ind w:right="95"/>
              <w:rPr>
                <w:b/>
                <w:sz w:val="20"/>
              </w:rPr>
            </w:pPr>
            <w:r>
              <w:rPr>
                <w:b/>
                <w:w w:val="95"/>
                <w:sz w:val="20"/>
              </w:rPr>
              <w:t>2,780.63</w:t>
            </w:r>
          </w:p>
        </w:tc>
      </w:tr>
      <w:tr w:rsidR="007C5447">
        <w:trPr>
          <w:trHeight w:val="330"/>
        </w:trPr>
        <w:tc>
          <w:tcPr>
            <w:tcW w:w="2354" w:type="dxa"/>
          </w:tcPr>
          <w:p w:rsidR="007C5447" w:rsidRDefault="00F6308C">
            <w:pPr>
              <w:pStyle w:val="TableParagraph"/>
              <w:spacing w:before="50"/>
              <w:ind w:left="107"/>
              <w:jc w:val="left"/>
              <w:rPr>
                <w:b/>
                <w:sz w:val="20"/>
              </w:rPr>
            </w:pPr>
            <w:r>
              <w:rPr>
                <w:b/>
                <w:sz w:val="20"/>
              </w:rPr>
              <w:t>Total Hydro</w:t>
            </w:r>
          </w:p>
        </w:tc>
        <w:tc>
          <w:tcPr>
            <w:tcW w:w="1147" w:type="dxa"/>
          </w:tcPr>
          <w:p w:rsidR="007C5447" w:rsidRDefault="00F6308C">
            <w:pPr>
              <w:pStyle w:val="TableParagraph"/>
              <w:spacing w:before="50"/>
              <w:ind w:right="95"/>
              <w:rPr>
                <w:b/>
                <w:sz w:val="20"/>
              </w:rPr>
            </w:pPr>
            <w:r>
              <w:rPr>
                <w:b/>
                <w:w w:val="95"/>
                <w:sz w:val="20"/>
              </w:rPr>
              <w:t>4,460.06</w:t>
            </w:r>
          </w:p>
        </w:tc>
        <w:tc>
          <w:tcPr>
            <w:tcW w:w="1149" w:type="dxa"/>
          </w:tcPr>
          <w:p w:rsidR="007C5447" w:rsidRDefault="00F6308C">
            <w:pPr>
              <w:pStyle w:val="TableParagraph"/>
              <w:spacing w:before="50"/>
              <w:ind w:right="96"/>
              <w:rPr>
                <w:b/>
                <w:sz w:val="20"/>
              </w:rPr>
            </w:pPr>
            <w:r>
              <w:rPr>
                <w:b/>
                <w:w w:val="95"/>
                <w:sz w:val="20"/>
              </w:rPr>
              <w:t>6,150.00</w:t>
            </w:r>
          </w:p>
        </w:tc>
        <w:tc>
          <w:tcPr>
            <w:tcW w:w="1147" w:type="dxa"/>
          </w:tcPr>
          <w:p w:rsidR="007C5447" w:rsidRDefault="00F6308C">
            <w:pPr>
              <w:pStyle w:val="TableParagraph"/>
              <w:spacing w:before="50"/>
              <w:ind w:right="93"/>
              <w:rPr>
                <w:b/>
                <w:sz w:val="20"/>
              </w:rPr>
            </w:pPr>
            <w:r>
              <w:rPr>
                <w:b/>
                <w:w w:val="95"/>
                <w:sz w:val="20"/>
              </w:rPr>
              <w:t>6,221.00</w:t>
            </w:r>
          </w:p>
        </w:tc>
        <w:tc>
          <w:tcPr>
            <w:tcW w:w="1147" w:type="dxa"/>
          </w:tcPr>
          <w:p w:rsidR="007C5447" w:rsidRDefault="00F6308C">
            <w:pPr>
              <w:pStyle w:val="TableParagraph"/>
              <w:spacing w:before="50"/>
              <w:ind w:right="93"/>
              <w:rPr>
                <w:b/>
                <w:sz w:val="20"/>
              </w:rPr>
            </w:pPr>
            <w:r>
              <w:rPr>
                <w:b/>
                <w:w w:val="95"/>
                <w:sz w:val="20"/>
              </w:rPr>
              <w:t>4,460.27</w:t>
            </w:r>
          </w:p>
        </w:tc>
        <w:tc>
          <w:tcPr>
            <w:tcW w:w="1150" w:type="dxa"/>
          </w:tcPr>
          <w:p w:rsidR="007C5447" w:rsidRDefault="00F6308C">
            <w:pPr>
              <w:pStyle w:val="TableParagraph"/>
              <w:spacing w:before="50"/>
              <w:ind w:right="96"/>
              <w:rPr>
                <w:b/>
                <w:sz w:val="20"/>
              </w:rPr>
            </w:pPr>
            <w:r>
              <w:rPr>
                <w:b/>
                <w:w w:val="95"/>
                <w:sz w:val="20"/>
              </w:rPr>
              <w:t>6,149.60</w:t>
            </w:r>
          </w:p>
        </w:tc>
        <w:tc>
          <w:tcPr>
            <w:tcW w:w="1147" w:type="dxa"/>
          </w:tcPr>
          <w:p w:rsidR="007C5447" w:rsidRDefault="00F6308C">
            <w:pPr>
              <w:pStyle w:val="TableParagraph"/>
              <w:spacing w:before="50"/>
              <w:ind w:right="95"/>
              <w:rPr>
                <w:b/>
                <w:sz w:val="20"/>
              </w:rPr>
            </w:pPr>
            <w:r>
              <w:rPr>
                <w:b/>
                <w:w w:val="95"/>
                <w:sz w:val="20"/>
              </w:rPr>
              <w:t>6,220.71</w:t>
            </w:r>
          </w:p>
        </w:tc>
      </w:tr>
      <w:tr w:rsidR="007C5447">
        <w:trPr>
          <w:trHeight w:val="299"/>
        </w:trPr>
        <w:tc>
          <w:tcPr>
            <w:tcW w:w="2354" w:type="dxa"/>
          </w:tcPr>
          <w:p w:rsidR="007C5447" w:rsidRDefault="00F6308C">
            <w:pPr>
              <w:pStyle w:val="TableParagraph"/>
              <w:spacing w:before="36"/>
              <w:ind w:left="107"/>
              <w:jc w:val="left"/>
              <w:rPr>
                <w:sz w:val="20"/>
              </w:rPr>
            </w:pPr>
            <w:r>
              <w:rPr>
                <w:sz w:val="20"/>
              </w:rPr>
              <w:t>Wind</w:t>
            </w:r>
          </w:p>
        </w:tc>
        <w:tc>
          <w:tcPr>
            <w:tcW w:w="1147" w:type="dxa"/>
          </w:tcPr>
          <w:p w:rsidR="007C5447" w:rsidRDefault="00F6308C">
            <w:pPr>
              <w:pStyle w:val="TableParagraph"/>
              <w:spacing w:before="36"/>
              <w:ind w:right="96"/>
              <w:rPr>
                <w:sz w:val="20"/>
              </w:rPr>
            </w:pPr>
            <w:r>
              <w:rPr>
                <w:w w:val="95"/>
                <w:sz w:val="20"/>
              </w:rPr>
              <w:t>12.00</w:t>
            </w:r>
          </w:p>
        </w:tc>
        <w:tc>
          <w:tcPr>
            <w:tcW w:w="1149" w:type="dxa"/>
          </w:tcPr>
          <w:p w:rsidR="007C5447" w:rsidRDefault="00F6308C">
            <w:pPr>
              <w:pStyle w:val="TableParagraph"/>
              <w:spacing w:before="36"/>
              <w:ind w:right="98"/>
              <w:rPr>
                <w:sz w:val="20"/>
              </w:rPr>
            </w:pPr>
            <w:r>
              <w:rPr>
                <w:w w:val="95"/>
                <w:sz w:val="20"/>
              </w:rPr>
              <w:t>12.00</w:t>
            </w:r>
          </w:p>
        </w:tc>
        <w:tc>
          <w:tcPr>
            <w:tcW w:w="1147" w:type="dxa"/>
          </w:tcPr>
          <w:p w:rsidR="007C5447" w:rsidRDefault="00F6308C">
            <w:pPr>
              <w:pStyle w:val="TableParagraph"/>
              <w:spacing w:before="36"/>
              <w:ind w:right="95"/>
              <w:rPr>
                <w:sz w:val="20"/>
              </w:rPr>
            </w:pPr>
            <w:r>
              <w:rPr>
                <w:w w:val="95"/>
                <w:sz w:val="20"/>
              </w:rPr>
              <w:t>12.00</w:t>
            </w:r>
          </w:p>
        </w:tc>
        <w:tc>
          <w:tcPr>
            <w:tcW w:w="1147" w:type="dxa"/>
          </w:tcPr>
          <w:p w:rsidR="007C5447" w:rsidRDefault="00F6308C">
            <w:pPr>
              <w:pStyle w:val="TableParagraph"/>
              <w:spacing w:before="36"/>
              <w:ind w:right="93"/>
              <w:rPr>
                <w:sz w:val="20"/>
              </w:rPr>
            </w:pPr>
            <w:r>
              <w:rPr>
                <w:sz w:val="20"/>
              </w:rPr>
              <w:t>12.00</w:t>
            </w:r>
          </w:p>
        </w:tc>
        <w:tc>
          <w:tcPr>
            <w:tcW w:w="1150" w:type="dxa"/>
          </w:tcPr>
          <w:p w:rsidR="007C5447" w:rsidRDefault="00F6308C">
            <w:pPr>
              <w:pStyle w:val="TableParagraph"/>
              <w:spacing w:before="36"/>
              <w:ind w:right="95"/>
              <w:rPr>
                <w:sz w:val="20"/>
              </w:rPr>
            </w:pPr>
            <w:r>
              <w:rPr>
                <w:sz w:val="20"/>
              </w:rPr>
              <w:t>12.00</w:t>
            </w:r>
          </w:p>
        </w:tc>
        <w:tc>
          <w:tcPr>
            <w:tcW w:w="1147" w:type="dxa"/>
          </w:tcPr>
          <w:p w:rsidR="007C5447" w:rsidRDefault="00F6308C">
            <w:pPr>
              <w:pStyle w:val="TableParagraph"/>
              <w:spacing w:before="36"/>
              <w:ind w:right="95"/>
              <w:rPr>
                <w:sz w:val="20"/>
              </w:rPr>
            </w:pPr>
            <w:r>
              <w:rPr>
                <w:sz w:val="20"/>
              </w:rPr>
              <w:t>12.00</w:t>
            </w:r>
          </w:p>
        </w:tc>
      </w:tr>
      <w:tr w:rsidR="007C5447">
        <w:trPr>
          <w:trHeight w:val="331"/>
        </w:trPr>
        <w:tc>
          <w:tcPr>
            <w:tcW w:w="2354" w:type="dxa"/>
            <w:shd w:val="clear" w:color="auto" w:fill="D9D9D9"/>
          </w:tcPr>
          <w:p w:rsidR="007C5447" w:rsidRDefault="00F6308C">
            <w:pPr>
              <w:pStyle w:val="TableParagraph"/>
              <w:spacing w:before="50"/>
              <w:ind w:left="107"/>
              <w:jc w:val="left"/>
              <w:rPr>
                <w:b/>
                <w:sz w:val="20"/>
              </w:rPr>
            </w:pPr>
            <w:r>
              <w:rPr>
                <w:b/>
                <w:sz w:val="20"/>
              </w:rPr>
              <w:t>Grand Total</w:t>
            </w:r>
          </w:p>
        </w:tc>
        <w:tc>
          <w:tcPr>
            <w:tcW w:w="1147" w:type="dxa"/>
            <w:shd w:val="clear" w:color="auto" w:fill="D9D9D9"/>
          </w:tcPr>
          <w:p w:rsidR="007C5447" w:rsidRDefault="00F6308C">
            <w:pPr>
              <w:pStyle w:val="TableParagraph"/>
              <w:spacing w:before="50"/>
              <w:ind w:right="97"/>
              <w:rPr>
                <w:b/>
                <w:sz w:val="20"/>
              </w:rPr>
            </w:pPr>
            <w:r>
              <w:rPr>
                <w:b/>
                <w:w w:val="95"/>
                <w:sz w:val="20"/>
              </w:rPr>
              <w:t>37,801.40</w:t>
            </w:r>
          </w:p>
        </w:tc>
        <w:tc>
          <w:tcPr>
            <w:tcW w:w="1149" w:type="dxa"/>
            <w:shd w:val="clear" w:color="auto" w:fill="D9D9D9"/>
          </w:tcPr>
          <w:p w:rsidR="007C5447" w:rsidRDefault="00F6308C">
            <w:pPr>
              <w:pStyle w:val="TableParagraph"/>
              <w:spacing w:before="50"/>
              <w:ind w:right="98"/>
              <w:rPr>
                <w:b/>
                <w:sz w:val="20"/>
              </w:rPr>
            </w:pPr>
            <w:r>
              <w:rPr>
                <w:b/>
                <w:w w:val="95"/>
                <w:sz w:val="20"/>
              </w:rPr>
              <w:t>39,779.05</w:t>
            </w:r>
          </w:p>
        </w:tc>
        <w:tc>
          <w:tcPr>
            <w:tcW w:w="1147" w:type="dxa"/>
            <w:shd w:val="clear" w:color="auto" w:fill="D9D9D9"/>
          </w:tcPr>
          <w:p w:rsidR="007C5447" w:rsidRDefault="00F6308C">
            <w:pPr>
              <w:pStyle w:val="TableParagraph"/>
              <w:spacing w:before="50"/>
              <w:ind w:right="96"/>
              <w:rPr>
                <w:b/>
                <w:sz w:val="20"/>
              </w:rPr>
            </w:pPr>
            <w:r>
              <w:rPr>
                <w:b/>
                <w:w w:val="95"/>
                <w:sz w:val="20"/>
              </w:rPr>
              <w:t>42,419.12</w:t>
            </w:r>
          </w:p>
        </w:tc>
        <w:tc>
          <w:tcPr>
            <w:tcW w:w="1147" w:type="dxa"/>
            <w:shd w:val="clear" w:color="auto" w:fill="D9D9D9"/>
          </w:tcPr>
          <w:p w:rsidR="007C5447" w:rsidRDefault="00F6308C">
            <w:pPr>
              <w:pStyle w:val="TableParagraph"/>
              <w:spacing w:before="50"/>
              <w:ind w:right="94"/>
              <w:rPr>
                <w:b/>
                <w:sz w:val="20"/>
              </w:rPr>
            </w:pPr>
            <w:r>
              <w:rPr>
                <w:b/>
                <w:w w:val="95"/>
                <w:sz w:val="20"/>
              </w:rPr>
              <w:t>38,499.37</w:t>
            </w:r>
          </w:p>
        </w:tc>
        <w:tc>
          <w:tcPr>
            <w:tcW w:w="1150" w:type="dxa"/>
            <w:shd w:val="clear" w:color="auto" w:fill="D9D9D9"/>
          </w:tcPr>
          <w:p w:rsidR="007C5447" w:rsidRDefault="00F6308C">
            <w:pPr>
              <w:pStyle w:val="TableParagraph"/>
              <w:spacing w:before="50"/>
              <w:ind w:right="97"/>
              <w:rPr>
                <w:b/>
                <w:sz w:val="20"/>
              </w:rPr>
            </w:pPr>
            <w:r>
              <w:rPr>
                <w:b/>
                <w:w w:val="95"/>
                <w:sz w:val="20"/>
              </w:rPr>
              <w:t>39,216.79</w:t>
            </w:r>
          </w:p>
        </w:tc>
        <w:tc>
          <w:tcPr>
            <w:tcW w:w="1147" w:type="dxa"/>
            <w:shd w:val="clear" w:color="auto" w:fill="D9D9D9"/>
          </w:tcPr>
          <w:p w:rsidR="007C5447" w:rsidRDefault="00F6308C">
            <w:pPr>
              <w:pStyle w:val="TableParagraph"/>
              <w:spacing w:before="50"/>
              <w:ind w:right="98"/>
              <w:rPr>
                <w:b/>
                <w:sz w:val="20"/>
              </w:rPr>
            </w:pPr>
            <w:r>
              <w:rPr>
                <w:b/>
                <w:w w:val="95"/>
                <w:sz w:val="20"/>
              </w:rPr>
              <w:t>41,184.27</w:t>
            </w:r>
          </w:p>
        </w:tc>
      </w:tr>
    </w:tbl>
    <w:p w:rsidR="007C5447" w:rsidRDefault="007C5447">
      <w:pPr>
        <w:pStyle w:val="BodyText"/>
        <w:rPr>
          <w:b/>
        </w:rPr>
      </w:pPr>
    </w:p>
    <w:p w:rsidR="007C5447" w:rsidRDefault="007C5447">
      <w:pPr>
        <w:pStyle w:val="BodyText"/>
        <w:rPr>
          <w:b/>
        </w:rPr>
      </w:pPr>
    </w:p>
    <w:p w:rsidR="007C5447" w:rsidRDefault="00F6308C">
      <w:pPr>
        <w:pStyle w:val="Heading2"/>
        <w:numPr>
          <w:ilvl w:val="2"/>
          <w:numId w:val="114"/>
        </w:numPr>
        <w:tabs>
          <w:tab w:val="left" w:pos="1952"/>
          <w:tab w:val="left" w:pos="1953"/>
        </w:tabs>
        <w:spacing w:before="164"/>
        <w:ind w:left="1952" w:hanging="853"/>
      </w:pPr>
      <w:r>
        <w:t>Net Generation from State Owned Power</w:t>
      </w:r>
      <w:r>
        <w:rPr>
          <w:spacing w:val="-5"/>
        </w:rPr>
        <w:t xml:space="preserve"> </w:t>
      </w:r>
      <w:r>
        <w:t>Plant</w:t>
      </w:r>
    </w:p>
    <w:p w:rsidR="007C5447" w:rsidRDefault="007C5447">
      <w:pPr>
        <w:pStyle w:val="BodyText"/>
        <w:spacing w:before="2"/>
        <w:rPr>
          <w:b/>
          <w:sz w:val="28"/>
        </w:rPr>
      </w:pPr>
    </w:p>
    <w:p w:rsidR="007C5447" w:rsidRDefault="00F6308C">
      <w:pPr>
        <w:pStyle w:val="BodyText"/>
        <w:spacing w:before="1" w:line="312" w:lineRule="auto"/>
        <w:ind w:left="2065" w:right="1176" w:hanging="965"/>
        <w:jc w:val="both"/>
      </w:pPr>
      <w:r>
        <w:t>4.14.8.1 The Commission has approved the station-wise Net Generation  from TANGEDCO’s own generating plants based on the Gross Generation considered above and approved Auxiliary Consumption norms, as discussed in earlier Sections. Net Generation from TANGE</w:t>
      </w:r>
      <w:r>
        <w:t>DCO’s own generating stations as submitted by TANGEDCO and as approved by the Commission is shown in the Table</w:t>
      </w:r>
      <w:r>
        <w:rPr>
          <w:spacing w:val="-1"/>
        </w:rPr>
        <w:t xml:space="preserve"> </w:t>
      </w:r>
      <w:r>
        <w:t>below</w:t>
      </w:r>
    </w:p>
    <w:p w:rsidR="007C5447" w:rsidRDefault="007C5447">
      <w:pPr>
        <w:pStyle w:val="BodyText"/>
        <w:spacing w:before="1"/>
        <w:rPr>
          <w:sz w:val="21"/>
        </w:rPr>
      </w:pPr>
    </w:p>
    <w:p w:rsidR="007C5447" w:rsidRDefault="00F6308C">
      <w:pPr>
        <w:ind w:left="2156"/>
        <w:rPr>
          <w:b/>
        </w:rPr>
      </w:pPr>
      <w:r>
        <w:rPr>
          <w:b/>
        </w:rPr>
        <w:t>Table 4-42: Approved Net Generation for Own Generating Stations (MU)</w:t>
      </w:r>
    </w:p>
    <w:p w:rsidR="007C5447" w:rsidRDefault="007C5447">
      <w:pPr>
        <w:pStyle w:val="BodyText"/>
        <w:spacing w:before="10" w:after="1"/>
        <w:rPr>
          <w:b/>
          <w:sz w:val="16"/>
        </w:r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4"/>
        <w:gridCol w:w="1147"/>
        <w:gridCol w:w="1149"/>
        <w:gridCol w:w="1147"/>
        <w:gridCol w:w="1147"/>
        <w:gridCol w:w="1150"/>
        <w:gridCol w:w="1147"/>
      </w:tblGrid>
      <w:tr w:rsidR="007C5447">
        <w:trPr>
          <w:trHeight w:val="330"/>
        </w:trPr>
        <w:tc>
          <w:tcPr>
            <w:tcW w:w="2354" w:type="dxa"/>
            <w:vMerge w:val="restart"/>
            <w:shd w:val="clear" w:color="auto" w:fill="F7C9AC"/>
          </w:tcPr>
          <w:p w:rsidR="007C5447" w:rsidRDefault="007C5447">
            <w:pPr>
              <w:pStyle w:val="TableParagraph"/>
              <w:spacing w:before="1"/>
              <w:jc w:val="left"/>
              <w:rPr>
                <w:b/>
                <w:sz w:val="26"/>
              </w:rPr>
            </w:pPr>
          </w:p>
          <w:p w:rsidR="007C5447" w:rsidRDefault="00F6308C">
            <w:pPr>
              <w:pStyle w:val="TableParagraph"/>
              <w:ind w:left="107"/>
              <w:jc w:val="left"/>
              <w:rPr>
                <w:b/>
                <w:sz w:val="20"/>
              </w:rPr>
            </w:pPr>
            <w:r>
              <w:rPr>
                <w:b/>
                <w:sz w:val="20"/>
              </w:rPr>
              <w:t>Particulars</w:t>
            </w:r>
          </w:p>
        </w:tc>
        <w:tc>
          <w:tcPr>
            <w:tcW w:w="3443" w:type="dxa"/>
            <w:gridSpan w:val="3"/>
            <w:shd w:val="clear" w:color="auto" w:fill="F7C9AC"/>
          </w:tcPr>
          <w:p w:rsidR="007C5447" w:rsidRDefault="00F6308C">
            <w:pPr>
              <w:pStyle w:val="TableParagraph"/>
              <w:spacing w:before="50"/>
              <w:ind w:left="574"/>
              <w:jc w:val="left"/>
              <w:rPr>
                <w:b/>
                <w:sz w:val="20"/>
              </w:rPr>
            </w:pPr>
            <w:r>
              <w:rPr>
                <w:b/>
                <w:sz w:val="20"/>
              </w:rPr>
              <w:t>TANGEDCO’s submission</w:t>
            </w:r>
          </w:p>
        </w:tc>
        <w:tc>
          <w:tcPr>
            <w:tcW w:w="3444" w:type="dxa"/>
            <w:gridSpan w:val="3"/>
            <w:shd w:val="clear" w:color="auto" w:fill="F7C9AC"/>
          </w:tcPr>
          <w:p w:rsidR="007C5447" w:rsidRDefault="00F6308C">
            <w:pPr>
              <w:pStyle w:val="TableParagraph"/>
              <w:spacing w:before="50"/>
              <w:ind w:left="1173" w:right="1164"/>
              <w:jc w:val="center"/>
              <w:rPr>
                <w:b/>
                <w:sz w:val="20"/>
              </w:rPr>
            </w:pPr>
            <w:r>
              <w:rPr>
                <w:b/>
                <w:sz w:val="20"/>
              </w:rPr>
              <w:t>Commission</w:t>
            </w:r>
          </w:p>
        </w:tc>
      </w:tr>
      <w:tr w:rsidR="007C5447">
        <w:trPr>
          <w:trHeight w:val="489"/>
        </w:trPr>
        <w:tc>
          <w:tcPr>
            <w:tcW w:w="2354" w:type="dxa"/>
            <w:vMerge/>
            <w:tcBorders>
              <w:top w:val="nil"/>
            </w:tcBorders>
            <w:shd w:val="clear" w:color="auto" w:fill="F7C9AC"/>
          </w:tcPr>
          <w:p w:rsidR="007C5447" w:rsidRDefault="007C5447">
            <w:pPr>
              <w:rPr>
                <w:sz w:val="2"/>
                <w:szCs w:val="2"/>
              </w:rPr>
            </w:pPr>
          </w:p>
        </w:tc>
        <w:tc>
          <w:tcPr>
            <w:tcW w:w="1147" w:type="dxa"/>
            <w:shd w:val="clear" w:color="auto" w:fill="F7C9AC"/>
          </w:tcPr>
          <w:p w:rsidR="007C5447" w:rsidRDefault="00F6308C">
            <w:pPr>
              <w:pStyle w:val="TableParagraph"/>
              <w:spacing w:before="14"/>
              <w:ind w:left="162" w:right="149"/>
              <w:jc w:val="center"/>
              <w:rPr>
                <w:b/>
                <w:sz w:val="20"/>
              </w:rPr>
            </w:pPr>
            <w:r>
              <w:rPr>
                <w:b/>
                <w:sz w:val="20"/>
              </w:rPr>
              <w:t>FY 2016-</w:t>
            </w:r>
          </w:p>
          <w:p w:rsidR="007C5447" w:rsidRDefault="00F6308C">
            <w:pPr>
              <w:pStyle w:val="TableParagraph"/>
              <w:spacing w:before="1" w:line="224" w:lineRule="exact"/>
              <w:ind w:left="160" w:right="149"/>
              <w:jc w:val="center"/>
              <w:rPr>
                <w:b/>
                <w:sz w:val="20"/>
              </w:rPr>
            </w:pPr>
            <w:r>
              <w:rPr>
                <w:b/>
                <w:sz w:val="20"/>
              </w:rPr>
              <w:t>17</w:t>
            </w:r>
          </w:p>
        </w:tc>
        <w:tc>
          <w:tcPr>
            <w:tcW w:w="1149" w:type="dxa"/>
            <w:shd w:val="clear" w:color="auto" w:fill="F7C9AC"/>
          </w:tcPr>
          <w:p w:rsidR="007C5447" w:rsidRDefault="00F6308C">
            <w:pPr>
              <w:pStyle w:val="TableParagraph"/>
              <w:spacing w:before="14"/>
              <w:ind w:left="163" w:right="152"/>
              <w:jc w:val="center"/>
              <w:rPr>
                <w:b/>
                <w:sz w:val="20"/>
              </w:rPr>
            </w:pPr>
            <w:r>
              <w:rPr>
                <w:b/>
                <w:sz w:val="20"/>
              </w:rPr>
              <w:t>FY 2017-</w:t>
            </w:r>
          </w:p>
          <w:p w:rsidR="007C5447" w:rsidRDefault="00F6308C">
            <w:pPr>
              <w:pStyle w:val="TableParagraph"/>
              <w:spacing w:before="1" w:line="224" w:lineRule="exact"/>
              <w:ind w:left="162" w:right="152"/>
              <w:jc w:val="center"/>
              <w:rPr>
                <w:b/>
                <w:sz w:val="20"/>
              </w:rPr>
            </w:pPr>
            <w:r>
              <w:rPr>
                <w:b/>
                <w:sz w:val="20"/>
              </w:rPr>
              <w:t>18</w:t>
            </w:r>
          </w:p>
        </w:tc>
        <w:tc>
          <w:tcPr>
            <w:tcW w:w="1147" w:type="dxa"/>
            <w:shd w:val="clear" w:color="auto" w:fill="F7C9AC"/>
          </w:tcPr>
          <w:p w:rsidR="007C5447" w:rsidRDefault="00F6308C">
            <w:pPr>
              <w:pStyle w:val="TableParagraph"/>
              <w:spacing w:before="14"/>
              <w:ind w:left="162" w:right="147"/>
              <w:jc w:val="center"/>
              <w:rPr>
                <w:b/>
                <w:sz w:val="20"/>
              </w:rPr>
            </w:pPr>
            <w:r>
              <w:rPr>
                <w:b/>
                <w:sz w:val="20"/>
              </w:rPr>
              <w:t>FY 2018-</w:t>
            </w:r>
          </w:p>
          <w:p w:rsidR="007C5447" w:rsidRDefault="00F6308C">
            <w:pPr>
              <w:pStyle w:val="TableParagraph"/>
              <w:spacing w:before="1" w:line="224" w:lineRule="exact"/>
              <w:ind w:left="162" w:right="148"/>
              <w:jc w:val="center"/>
              <w:rPr>
                <w:b/>
                <w:sz w:val="20"/>
              </w:rPr>
            </w:pPr>
            <w:r>
              <w:rPr>
                <w:b/>
                <w:sz w:val="20"/>
              </w:rPr>
              <w:t>19</w:t>
            </w:r>
          </w:p>
        </w:tc>
        <w:tc>
          <w:tcPr>
            <w:tcW w:w="1147" w:type="dxa"/>
            <w:shd w:val="clear" w:color="auto" w:fill="F7C9AC"/>
          </w:tcPr>
          <w:p w:rsidR="007C5447" w:rsidRDefault="00F6308C">
            <w:pPr>
              <w:pStyle w:val="TableParagraph"/>
              <w:spacing w:before="14"/>
              <w:ind w:left="162" w:right="147"/>
              <w:jc w:val="center"/>
              <w:rPr>
                <w:b/>
                <w:sz w:val="20"/>
              </w:rPr>
            </w:pPr>
            <w:r>
              <w:rPr>
                <w:b/>
                <w:sz w:val="20"/>
              </w:rPr>
              <w:t>FY 2016-</w:t>
            </w:r>
          </w:p>
          <w:p w:rsidR="007C5447" w:rsidRDefault="00F6308C">
            <w:pPr>
              <w:pStyle w:val="TableParagraph"/>
              <w:spacing w:before="1" w:line="224" w:lineRule="exact"/>
              <w:ind w:left="162" w:right="148"/>
              <w:jc w:val="center"/>
              <w:rPr>
                <w:b/>
                <w:sz w:val="20"/>
              </w:rPr>
            </w:pPr>
            <w:r>
              <w:rPr>
                <w:b/>
                <w:sz w:val="20"/>
              </w:rPr>
              <w:t>17</w:t>
            </w:r>
          </w:p>
        </w:tc>
        <w:tc>
          <w:tcPr>
            <w:tcW w:w="1150" w:type="dxa"/>
            <w:shd w:val="clear" w:color="auto" w:fill="F7C9AC"/>
          </w:tcPr>
          <w:p w:rsidR="007C5447" w:rsidRDefault="00F6308C">
            <w:pPr>
              <w:pStyle w:val="TableParagraph"/>
              <w:spacing w:before="14"/>
              <w:ind w:left="164" w:right="151"/>
              <w:jc w:val="center"/>
              <w:rPr>
                <w:b/>
                <w:sz w:val="20"/>
              </w:rPr>
            </w:pPr>
            <w:r>
              <w:rPr>
                <w:b/>
                <w:sz w:val="20"/>
              </w:rPr>
              <w:t>FY 2017-</w:t>
            </w:r>
          </w:p>
          <w:p w:rsidR="007C5447" w:rsidRDefault="00F6308C">
            <w:pPr>
              <w:pStyle w:val="TableParagraph"/>
              <w:spacing w:before="1" w:line="224" w:lineRule="exact"/>
              <w:ind w:left="162" w:right="151"/>
              <w:jc w:val="center"/>
              <w:rPr>
                <w:b/>
                <w:sz w:val="20"/>
              </w:rPr>
            </w:pPr>
            <w:r>
              <w:rPr>
                <w:b/>
                <w:sz w:val="20"/>
              </w:rPr>
              <w:t>18</w:t>
            </w:r>
          </w:p>
        </w:tc>
        <w:tc>
          <w:tcPr>
            <w:tcW w:w="1147" w:type="dxa"/>
            <w:shd w:val="clear" w:color="auto" w:fill="F7C9AC"/>
          </w:tcPr>
          <w:p w:rsidR="007C5447" w:rsidRDefault="00F6308C">
            <w:pPr>
              <w:pStyle w:val="TableParagraph"/>
              <w:spacing w:before="14"/>
              <w:ind w:left="160" w:right="149"/>
              <w:jc w:val="center"/>
              <w:rPr>
                <w:b/>
                <w:sz w:val="20"/>
              </w:rPr>
            </w:pPr>
            <w:r>
              <w:rPr>
                <w:b/>
                <w:sz w:val="20"/>
              </w:rPr>
              <w:t>FY 2018-</w:t>
            </w:r>
          </w:p>
          <w:p w:rsidR="007C5447" w:rsidRDefault="00F6308C">
            <w:pPr>
              <w:pStyle w:val="TableParagraph"/>
              <w:spacing w:before="1" w:line="224" w:lineRule="exact"/>
              <w:ind w:left="159" w:right="149"/>
              <w:jc w:val="center"/>
              <w:rPr>
                <w:b/>
                <w:sz w:val="20"/>
              </w:rPr>
            </w:pPr>
            <w:r>
              <w:rPr>
                <w:b/>
                <w:sz w:val="20"/>
              </w:rPr>
              <w:t>19</w:t>
            </w:r>
          </w:p>
        </w:tc>
      </w:tr>
      <w:tr w:rsidR="007C5447">
        <w:trPr>
          <w:trHeight w:val="299"/>
        </w:trPr>
        <w:tc>
          <w:tcPr>
            <w:tcW w:w="2354" w:type="dxa"/>
          </w:tcPr>
          <w:p w:rsidR="007C5447" w:rsidRDefault="00F6308C">
            <w:pPr>
              <w:pStyle w:val="TableParagraph"/>
              <w:spacing w:before="34"/>
              <w:ind w:left="107"/>
              <w:jc w:val="left"/>
              <w:rPr>
                <w:sz w:val="20"/>
              </w:rPr>
            </w:pPr>
            <w:r>
              <w:rPr>
                <w:sz w:val="20"/>
              </w:rPr>
              <w:t>Ennore TPS</w:t>
            </w:r>
          </w:p>
        </w:tc>
        <w:tc>
          <w:tcPr>
            <w:tcW w:w="1147" w:type="dxa"/>
          </w:tcPr>
          <w:p w:rsidR="007C5447" w:rsidRDefault="00F6308C">
            <w:pPr>
              <w:pStyle w:val="TableParagraph"/>
              <w:spacing w:before="34"/>
              <w:ind w:right="97"/>
              <w:rPr>
                <w:sz w:val="20"/>
              </w:rPr>
            </w:pPr>
            <w:r>
              <w:rPr>
                <w:w w:val="95"/>
                <w:sz w:val="20"/>
              </w:rPr>
              <w:t>786.83</w:t>
            </w:r>
          </w:p>
        </w:tc>
        <w:tc>
          <w:tcPr>
            <w:tcW w:w="1149" w:type="dxa"/>
          </w:tcPr>
          <w:p w:rsidR="007C5447" w:rsidRDefault="00F6308C">
            <w:pPr>
              <w:pStyle w:val="TableParagraph"/>
              <w:spacing w:before="34"/>
              <w:ind w:right="95"/>
              <w:rPr>
                <w:sz w:val="20"/>
              </w:rPr>
            </w:pPr>
            <w:r>
              <w:rPr>
                <w:w w:val="99"/>
                <w:sz w:val="20"/>
              </w:rPr>
              <w:t>-</w:t>
            </w:r>
          </w:p>
        </w:tc>
        <w:tc>
          <w:tcPr>
            <w:tcW w:w="1147" w:type="dxa"/>
          </w:tcPr>
          <w:p w:rsidR="007C5447" w:rsidRDefault="00F6308C">
            <w:pPr>
              <w:pStyle w:val="TableParagraph"/>
              <w:spacing w:before="34"/>
              <w:ind w:right="92"/>
              <w:rPr>
                <w:sz w:val="20"/>
              </w:rPr>
            </w:pPr>
            <w:r>
              <w:rPr>
                <w:w w:val="99"/>
                <w:sz w:val="20"/>
              </w:rPr>
              <w:t>-</w:t>
            </w:r>
          </w:p>
        </w:tc>
        <w:tc>
          <w:tcPr>
            <w:tcW w:w="1147" w:type="dxa"/>
          </w:tcPr>
          <w:p w:rsidR="007C5447" w:rsidRDefault="00F6308C">
            <w:pPr>
              <w:pStyle w:val="TableParagraph"/>
              <w:spacing w:before="34"/>
              <w:ind w:right="95"/>
              <w:rPr>
                <w:sz w:val="20"/>
              </w:rPr>
            </w:pPr>
            <w:r>
              <w:rPr>
                <w:w w:val="95"/>
                <w:sz w:val="20"/>
              </w:rPr>
              <w:t>826.11</w:t>
            </w:r>
          </w:p>
        </w:tc>
        <w:tc>
          <w:tcPr>
            <w:tcW w:w="1150" w:type="dxa"/>
          </w:tcPr>
          <w:p w:rsidR="007C5447" w:rsidRDefault="00F6308C">
            <w:pPr>
              <w:pStyle w:val="TableParagraph"/>
              <w:spacing w:before="34"/>
              <w:ind w:right="94"/>
              <w:rPr>
                <w:sz w:val="20"/>
              </w:rPr>
            </w:pPr>
            <w:r>
              <w:rPr>
                <w:w w:val="99"/>
                <w:sz w:val="20"/>
              </w:rPr>
              <w:t>-</w:t>
            </w:r>
          </w:p>
        </w:tc>
        <w:tc>
          <w:tcPr>
            <w:tcW w:w="1147" w:type="dxa"/>
          </w:tcPr>
          <w:p w:rsidR="007C5447" w:rsidRDefault="00F6308C">
            <w:pPr>
              <w:pStyle w:val="TableParagraph"/>
              <w:spacing w:before="34"/>
              <w:ind w:right="94"/>
              <w:rPr>
                <w:sz w:val="20"/>
              </w:rPr>
            </w:pPr>
            <w:r>
              <w:rPr>
                <w:w w:val="99"/>
                <w:sz w:val="20"/>
              </w:rPr>
              <w:t>-</w:t>
            </w:r>
          </w:p>
        </w:tc>
      </w:tr>
      <w:tr w:rsidR="007C5447">
        <w:trPr>
          <w:trHeight w:val="299"/>
        </w:trPr>
        <w:tc>
          <w:tcPr>
            <w:tcW w:w="2354" w:type="dxa"/>
          </w:tcPr>
          <w:p w:rsidR="007C5447" w:rsidRDefault="00F6308C">
            <w:pPr>
              <w:pStyle w:val="TableParagraph"/>
              <w:spacing w:before="36"/>
              <w:ind w:left="107"/>
              <w:jc w:val="left"/>
              <w:rPr>
                <w:sz w:val="20"/>
              </w:rPr>
            </w:pPr>
            <w:r>
              <w:rPr>
                <w:sz w:val="20"/>
              </w:rPr>
              <w:t>Ennore Expansion II</w:t>
            </w:r>
          </w:p>
        </w:tc>
        <w:tc>
          <w:tcPr>
            <w:tcW w:w="1147" w:type="dxa"/>
          </w:tcPr>
          <w:p w:rsidR="007C5447" w:rsidRDefault="00F6308C">
            <w:pPr>
              <w:pStyle w:val="TableParagraph"/>
              <w:spacing w:before="36"/>
              <w:ind w:right="93"/>
              <w:rPr>
                <w:sz w:val="20"/>
              </w:rPr>
            </w:pPr>
            <w:r>
              <w:rPr>
                <w:w w:val="99"/>
                <w:sz w:val="20"/>
              </w:rPr>
              <w:t>-</w:t>
            </w:r>
          </w:p>
        </w:tc>
        <w:tc>
          <w:tcPr>
            <w:tcW w:w="1149" w:type="dxa"/>
          </w:tcPr>
          <w:p w:rsidR="007C5447" w:rsidRDefault="00F6308C">
            <w:pPr>
              <w:pStyle w:val="TableParagraph"/>
              <w:spacing w:before="36"/>
              <w:ind w:right="95"/>
              <w:rPr>
                <w:sz w:val="20"/>
              </w:rPr>
            </w:pPr>
            <w:r>
              <w:rPr>
                <w:w w:val="99"/>
                <w:sz w:val="20"/>
              </w:rPr>
              <w:t>-</w:t>
            </w:r>
          </w:p>
        </w:tc>
        <w:tc>
          <w:tcPr>
            <w:tcW w:w="1147" w:type="dxa"/>
          </w:tcPr>
          <w:p w:rsidR="007C5447" w:rsidRDefault="00F6308C">
            <w:pPr>
              <w:pStyle w:val="TableParagraph"/>
              <w:spacing w:before="36"/>
              <w:ind w:right="93"/>
              <w:rPr>
                <w:sz w:val="20"/>
              </w:rPr>
            </w:pPr>
            <w:r>
              <w:rPr>
                <w:w w:val="95"/>
                <w:sz w:val="20"/>
              </w:rPr>
              <w:t>1,735.17</w:t>
            </w:r>
          </w:p>
        </w:tc>
        <w:tc>
          <w:tcPr>
            <w:tcW w:w="1147" w:type="dxa"/>
          </w:tcPr>
          <w:p w:rsidR="007C5447" w:rsidRDefault="00F6308C">
            <w:pPr>
              <w:pStyle w:val="TableParagraph"/>
              <w:spacing w:before="36"/>
              <w:ind w:right="92"/>
              <w:rPr>
                <w:sz w:val="20"/>
              </w:rPr>
            </w:pPr>
            <w:r>
              <w:rPr>
                <w:w w:val="99"/>
                <w:sz w:val="20"/>
              </w:rPr>
              <w:t>-</w:t>
            </w:r>
          </w:p>
        </w:tc>
        <w:tc>
          <w:tcPr>
            <w:tcW w:w="1150" w:type="dxa"/>
          </w:tcPr>
          <w:p w:rsidR="007C5447" w:rsidRDefault="00F6308C">
            <w:pPr>
              <w:pStyle w:val="TableParagraph"/>
              <w:spacing w:before="36"/>
              <w:ind w:right="94"/>
              <w:rPr>
                <w:sz w:val="20"/>
              </w:rPr>
            </w:pPr>
            <w:r>
              <w:rPr>
                <w:w w:val="99"/>
                <w:sz w:val="20"/>
              </w:rPr>
              <w:t>-</w:t>
            </w:r>
          </w:p>
        </w:tc>
        <w:tc>
          <w:tcPr>
            <w:tcW w:w="1147" w:type="dxa"/>
          </w:tcPr>
          <w:p w:rsidR="007C5447" w:rsidRDefault="00F6308C">
            <w:pPr>
              <w:pStyle w:val="TableParagraph"/>
              <w:spacing w:before="36"/>
              <w:ind w:right="95"/>
              <w:rPr>
                <w:sz w:val="20"/>
              </w:rPr>
            </w:pPr>
            <w:r>
              <w:rPr>
                <w:w w:val="95"/>
                <w:sz w:val="20"/>
              </w:rPr>
              <w:t>1,735.17</w:t>
            </w:r>
          </w:p>
        </w:tc>
      </w:tr>
    </w:tbl>
    <w:p w:rsidR="007C5447" w:rsidRDefault="007C5447">
      <w:pPr>
        <w:rPr>
          <w:sz w:val="20"/>
        </w:rPr>
        <w:sectPr w:rsidR="007C5447">
          <w:pgSz w:w="11910" w:h="16840"/>
          <w:pgMar w:top="1360" w:right="260" w:bottom="1240" w:left="340" w:header="0" w:footer="1057" w:gutter="0"/>
          <w:cols w:space="720"/>
        </w:sect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4"/>
        <w:gridCol w:w="1147"/>
        <w:gridCol w:w="1149"/>
        <w:gridCol w:w="1147"/>
        <w:gridCol w:w="1147"/>
        <w:gridCol w:w="1150"/>
        <w:gridCol w:w="1147"/>
      </w:tblGrid>
      <w:tr w:rsidR="007C5447">
        <w:trPr>
          <w:trHeight w:val="328"/>
        </w:trPr>
        <w:tc>
          <w:tcPr>
            <w:tcW w:w="2354" w:type="dxa"/>
            <w:vMerge w:val="restart"/>
            <w:shd w:val="clear" w:color="auto" w:fill="F7C9AC"/>
          </w:tcPr>
          <w:p w:rsidR="007C5447" w:rsidRDefault="007C5447">
            <w:pPr>
              <w:pStyle w:val="TableParagraph"/>
              <w:spacing w:before="1"/>
              <w:jc w:val="left"/>
              <w:rPr>
                <w:b/>
                <w:sz w:val="26"/>
              </w:rPr>
            </w:pPr>
          </w:p>
          <w:p w:rsidR="007C5447" w:rsidRDefault="00F6308C">
            <w:pPr>
              <w:pStyle w:val="TableParagraph"/>
              <w:ind w:left="107"/>
              <w:jc w:val="left"/>
              <w:rPr>
                <w:b/>
                <w:sz w:val="20"/>
              </w:rPr>
            </w:pPr>
            <w:r>
              <w:rPr>
                <w:b/>
                <w:sz w:val="20"/>
              </w:rPr>
              <w:t>Particulars</w:t>
            </w:r>
          </w:p>
        </w:tc>
        <w:tc>
          <w:tcPr>
            <w:tcW w:w="3443" w:type="dxa"/>
            <w:gridSpan w:val="3"/>
            <w:tcBorders>
              <w:bottom w:val="single" w:sz="6" w:space="0" w:color="000000"/>
            </w:tcBorders>
            <w:shd w:val="clear" w:color="auto" w:fill="F7C9AC"/>
          </w:tcPr>
          <w:p w:rsidR="007C5447" w:rsidRDefault="00F6308C">
            <w:pPr>
              <w:pStyle w:val="TableParagraph"/>
              <w:spacing w:before="50"/>
              <w:ind w:left="574"/>
              <w:jc w:val="left"/>
              <w:rPr>
                <w:b/>
                <w:sz w:val="20"/>
              </w:rPr>
            </w:pPr>
            <w:r>
              <w:rPr>
                <w:b/>
                <w:sz w:val="20"/>
              </w:rPr>
              <w:t>TANGEDCO’s submission</w:t>
            </w:r>
          </w:p>
        </w:tc>
        <w:tc>
          <w:tcPr>
            <w:tcW w:w="3444" w:type="dxa"/>
            <w:gridSpan w:val="3"/>
            <w:tcBorders>
              <w:bottom w:val="single" w:sz="6" w:space="0" w:color="000000"/>
            </w:tcBorders>
            <w:shd w:val="clear" w:color="auto" w:fill="F7C9AC"/>
          </w:tcPr>
          <w:p w:rsidR="007C5447" w:rsidRDefault="00F6308C">
            <w:pPr>
              <w:pStyle w:val="TableParagraph"/>
              <w:spacing w:before="50"/>
              <w:ind w:left="1173" w:right="1164"/>
              <w:jc w:val="center"/>
              <w:rPr>
                <w:b/>
                <w:sz w:val="20"/>
              </w:rPr>
            </w:pPr>
            <w:r>
              <w:rPr>
                <w:b/>
                <w:sz w:val="20"/>
              </w:rPr>
              <w:t>Commission</w:t>
            </w:r>
          </w:p>
        </w:tc>
      </w:tr>
      <w:tr w:rsidR="007C5447">
        <w:trPr>
          <w:trHeight w:val="486"/>
        </w:trPr>
        <w:tc>
          <w:tcPr>
            <w:tcW w:w="2354" w:type="dxa"/>
            <w:vMerge/>
            <w:tcBorders>
              <w:top w:val="nil"/>
            </w:tcBorders>
            <w:shd w:val="clear" w:color="auto" w:fill="F7C9AC"/>
          </w:tcPr>
          <w:p w:rsidR="007C5447" w:rsidRDefault="007C5447">
            <w:pPr>
              <w:rPr>
                <w:sz w:val="2"/>
                <w:szCs w:val="2"/>
              </w:rPr>
            </w:pPr>
          </w:p>
        </w:tc>
        <w:tc>
          <w:tcPr>
            <w:tcW w:w="1147" w:type="dxa"/>
            <w:tcBorders>
              <w:top w:val="single" w:sz="6" w:space="0" w:color="000000"/>
            </w:tcBorders>
            <w:shd w:val="clear" w:color="auto" w:fill="F7C9AC"/>
          </w:tcPr>
          <w:p w:rsidR="007C5447" w:rsidRDefault="00F6308C">
            <w:pPr>
              <w:pStyle w:val="TableParagraph"/>
              <w:spacing w:before="12"/>
              <w:ind w:left="162" w:right="149"/>
              <w:jc w:val="center"/>
              <w:rPr>
                <w:b/>
                <w:sz w:val="20"/>
              </w:rPr>
            </w:pPr>
            <w:r>
              <w:rPr>
                <w:b/>
                <w:sz w:val="20"/>
              </w:rPr>
              <w:t>FY 2016-</w:t>
            </w:r>
          </w:p>
          <w:p w:rsidR="007C5447" w:rsidRDefault="00F6308C">
            <w:pPr>
              <w:pStyle w:val="TableParagraph"/>
              <w:spacing w:before="1" w:line="224" w:lineRule="exact"/>
              <w:ind w:left="160" w:right="149"/>
              <w:jc w:val="center"/>
              <w:rPr>
                <w:b/>
                <w:sz w:val="20"/>
              </w:rPr>
            </w:pPr>
            <w:r>
              <w:rPr>
                <w:b/>
                <w:sz w:val="20"/>
              </w:rPr>
              <w:t>17</w:t>
            </w:r>
          </w:p>
        </w:tc>
        <w:tc>
          <w:tcPr>
            <w:tcW w:w="1149" w:type="dxa"/>
            <w:tcBorders>
              <w:top w:val="single" w:sz="6" w:space="0" w:color="000000"/>
            </w:tcBorders>
            <w:shd w:val="clear" w:color="auto" w:fill="F7C9AC"/>
          </w:tcPr>
          <w:p w:rsidR="007C5447" w:rsidRDefault="00F6308C">
            <w:pPr>
              <w:pStyle w:val="TableParagraph"/>
              <w:spacing w:before="12"/>
              <w:ind w:left="163" w:right="152"/>
              <w:jc w:val="center"/>
              <w:rPr>
                <w:b/>
                <w:sz w:val="20"/>
              </w:rPr>
            </w:pPr>
            <w:r>
              <w:rPr>
                <w:b/>
                <w:sz w:val="20"/>
              </w:rPr>
              <w:t>FY 2017-</w:t>
            </w:r>
          </w:p>
          <w:p w:rsidR="007C5447" w:rsidRDefault="00F6308C">
            <w:pPr>
              <w:pStyle w:val="TableParagraph"/>
              <w:spacing w:before="1" w:line="224" w:lineRule="exact"/>
              <w:ind w:left="162" w:right="152"/>
              <w:jc w:val="center"/>
              <w:rPr>
                <w:b/>
                <w:sz w:val="20"/>
              </w:rPr>
            </w:pPr>
            <w:r>
              <w:rPr>
                <w:b/>
                <w:sz w:val="20"/>
              </w:rPr>
              <w:t>18</w:t>
            </w:r>
          </w:p>
        </w:tc>
        <w:tc>
          <w:tcPr>
            <w:tcW w:w="1147" w:type="dxa"/>
            <w:tcBorders>
              <w:top w:val="single" w:sz="6" w:space="0" w:color="000000"/>
            </w:tcBorders>
            <w:shd w:val="clear" w:color="auto" w:fill="F7C9AC"/>
          </w:tcPr>
          <w:p w:rsidR="007C5447" w:rsidRDefault="00F6308C">
            <w:pPr>
              <w:pStyle w:val="TableParagraph"/>
              <w:spacing w:before="12"/>
              <w:ind w:left="162" w:right="147"/>
              <w:jc w:val="center"/>
              <w:rPr>
                <w:b/>
                <w:sz w:val="20"/>
              </w:rPr>
            </w:pPr>
            <w:r>
              <w:rPr>
                <w:b/>
                <w:sz w:val="20"/>
              </w:rPr>
              <w:t>FY 2018-</w:t>
            </w:r>
          </w:p>
          <w:p w:rsidR="007C5447" w:rsidRDefault="00F6308C">
            <w:pPr>
              <w:pStyle w:val="TableParagraph"/>
              <w:spacing w:before="1" w:line="224" w:lineRule="exact"/>
              <w:ind w:left="162" w:right="148"/>
              <w:jc w:val="center"/>
              <w:rPr>
                <w:b/>
                <w:sz w:val="20"/>
              </w:rPr>
            </w:pPr>
            <w:r>
              <w:rPr>
                <w:b/>
                <w:sz w:val="20"/>
              </w:rPr>
              <w:t>19</w:t>
            </w:r>
          </w:p>
        </w:tc>
        <w:tc>
          <w:tcPr>
            <w:tcW w:w="1147" w:type="dxa"/>
            <w:tcBorders>
              <w:top w:val="single" w:sz="6" w:space="0" w:color="000000"/>
            </w:tcBorders>
            <w:shd w:val="clear" w:color="auto" w:fill="F7C9AC"/>
          </w:tcPr>
          <w:p w:rsidR="007C5447" w:rsidRDefault="00F6308C">
            <w:pPr>
              <w:pStyle w:val="TableParagraph"/>
              <w:spacing w:before="12"/>
              <w:ind w:left="162" w:right="147"/>
              <w:jc w:val="center"/>
              <w:rPr>
                <w:b/>
                <w:sz w:val="20"/>
              </w:rPr>
            </w:pPr>
            <w:r>
              <w:rPr>
                <w:b/>
                <w:sz w:val="20"/>
              </w:rPr>
              <w:t>FY 2016-</w:t>
            </w:r>
          </w:p>
          <w:p w:rsidR="007C5447" w:rsidRDefault="00F6308C">
            <w:pPr>
              <w:pStyle w:val="TableParagraph"/>
              <w:spacing w:before="1" w:line="224" w:lineRule="exact"/>
              <w:ind w:left="162" w:right="148"/>
              <w:jc w:val="center"/>
              <w:rPr>
                <w:b/>
                <w:sz w:val="20"/>
              </w:rPr>
            </w:pPr>
            <w:r>
              <w:rPr>
                <w:b/>
                <w:sz w:val="20"/>
              </w:rPr>
              <w:t>17</w:t>
            </w:r>
          </w:p>
        </w:tc>
        <w:tc>
          <w:tcPr>
            <w:tcW w:w="1150" w:type="dxa"/>
            <w:tcBorders>
              <w:top w:val="single" w:sz="6" w:space="0" w:color="000000"/>
            </w:tcBorders>
            <w:shd w:val="clear" w:color="auto" w:fill="F7C9AC"/>
          </w:tcPr>
          <w:p w:rsidR="007C5447" w:rsidRDefault="00F6308C">
            <w:pPr>
              <w:pStyle w:val="TableParagraph"/>
              <w:spacing w:before="12"/>
              <w:ind w:left="164" w:right="151"/>
              <w:jc w:val="center"/>
              <w:rPr>
                <w:b/>
                <w:sz w:val="20"/>
              </w:rPr>
            </w:pPr>
            <w:r>
              <w:rPr>
                <w:b/>
                <w:sz w:val="20"/>
              </w:rPr>
              <w:t>FY 2017-</w:t>
            </w:r>
          </w:p>
          <w:p w:rsidR="007C5447" w:rsidRDefault="00F6308C">
            <w:pPr>
              <w:pStyle w:val="TableParagraph"/>
              <w:spacing w:before="1" w:line="224" w:lineRule="exact"/>
              <w:ind w:left="162" w:right="151"/>
              <w:jc w:val="center"/>
              <w:rPr>
                <w:b/>
                <w:sz w:val="20"/>
              </w:rPr>
            </w:pPr>
            <w:r>
              <w:rPr>
                <w:b/>
                <w:sz w:val="20"/>
              </w:rPr>
              <w:t>18</w:t>
            </w:r>
          </w:p>
        </w:tc>
        <w:tc>
          <w:tcPr>
            <w:tcW w:w="1147" w:type="dxa"/>
            <w:tcBorders>
              <w:top w:val="single" w:sz="6" w:space="0" w:color="000000"/>
            </w:tcBorders>
            <w:shd w:val="clear" w:color="auto" w:fill="F7C9AC"/>
          </w:tcPr>
          <w:p w:rsidR="007C5447" w:rsidRDefault="00F6308C">
            <w:pPr>
              <w:pStyle w:val="TableParagraph"/>
              <w:spacing w:before="12"/>
              <w:ind w:left="160" w:right="149"/>
              <w:jc w:val="center"/>
              <w:rPr>
                <w:b/>
                <w:sz w:val="20"/>
              </w:rPr>
            </w:pPr>
            <w:r>
              <w:rPr>
                <w:b/>
                <w:sz w:val="20"/>
              </w:rPr>
              <w:t>FY 2018-</w:t>
            </w:r>
          </w:p>
          <w:p w:rsidR="007C5447" w:rsidRDefault="00F6308C">
            <w:pPr>
              <w:pStyle w:val="TableParagraph"/>
              <w:spacing w:before="1" w:line="224" w:lineRule="exact"/>
              <w:ind w:left="159" w:right="149"/>
              <w:jc w:val="center"/>
              <w:rPr>
                <w:b/>
                <w:sz w:val="20"/>
              </w:rPr>
            </w:pPr>
            <w:r>
              <w:rPr>
                <w:b/>
                <w:sz w:val="20"/>
              </w:rPr>
              <w:t>19</w:t>
            </w:r>
          </w:p>
        </w:tc>
      </w:tr>
      <w:tr w:rsidR="007C5447">
        <w:trPr>
          <w:trHeight w:val="299"/>
        </w:trPr>
        <w:tc>
          <w:tcPr>
            <w:tcW w:w="2354" w:type="dxa"/>
          </w:tcPr>
          <w:p w:rsidR="007C5447" w:rsidRDefault="00F6308C">
            <w:pPr>
              <w:pStyle w:val="TableParagraph"/>
              <w:spacing w:before="36"/>
              <w:ind w:left="107"/>
              <w:jc w:val="left"/>
              <w:rPr>
                <w:sz w:val="20"/>
              </w:rPr>
            </w:pPr>
            <w:r>
              <w:rPr>
                <w:sz w:val="20"/>
              </w:rPr>
              <w:t>Tuticorin TPS</w:t>
            </w:r>
          </w:p>
        </w:tc>
        <w:tc>
          <w:tcPr>
            <w:tcW w:w="1147" w:type="dxa"/>
          </w:tcPr>
          <w:p w:rsidR="007C5447" w:rsidRDefault="00F6308C">
            <w:pPr>
              <w:pStyle w:val="TableParagraph"/>
              <w:spacing w:before="36"/>
              <w:ind w:right="95"/>
              <w:rPr>
                <w:sz w:val="20"/>
              </w:rPr>
            </w:pPr>
            <w:r>
              <w:rPr>
                <w:w w:val="95"/>
                <w:sz w:val="20"/>
              </w:rPr>
              <w:t>6,732.94</w:t>
            </w:r>
          </w:p>
        </w:tc>
        <w:tc>
          <w:tcPr>
            <w:tcW w:w="1149" w:type="dxa"/>
          </w:tcPr>
          <w:p w:rsidR="007C5447" w:rsidRDefault="00F6308C">
            <w:pPr>
              <w:pStyle w:val="TableParagraph"/>
              <w:spacing w:before="36"/>
              <w:ind w:right="96"/>
              <w:rPr>
                <w:sz w:val="20"/>
              </w:rPr>
            </w:pPr>
            <w:r>
              <w:rPr>
                <w:w w:val="95"/>
                <w:sz w:val="20"/>
              </w:rPr>
              <w:t>6,732.94</w:t>
            </w:r>
          </w:p>
        </w:tc>
        <w:tc>
          <w:tcPr>
            <w:tcW w:w="1147" w:type="dxa"/>
          </w:tcPr>
          <w:p w:rsidR="007C5447" w:rsidRDefault="00F6308C">
            <w:pPr>
              <w:pStyle w:val="TableParagraph"/>
              <w:spacing w:before="36"/>
              <w:ind w:right="93"/>
              <w:rPr>
                <w:sz w:val="20"/>
              </w:rPr>
            </w:pPr>
            <w:r>
              <w:rPr>
                <w:w w:val="95"/>
                <w:sz w:val="20"/>
              </w:rPr>
              <w:t>6,867.59</w:t>
            </w:r>
          </w:p>
        </w:tc>
        <w:tc>
          <w:tcPr>
            <w:tcW w:w="1147" w:type="dxa"/>
          </w:tcPr>
          <w:p w:rsidR="007C5447" w:rsidRDefault="00F6308C">
            <w:pPr>
              <w:pStyle w:val="TableParagraph"/>
              <w:spacing w:before="36"/>
              <w:ind w:right="93"/>
              <w:rPr>
                <w:sz w:val="20"/>
              </w:rPr>
            </w:pPr>
            <w:r>
              <w:rPr>
                <w:w w:val="95"/>
                <w:sz w:val="20"/>
              </w:rPr>
              <w:t>6,732.94</w:t>
            </w:r>
          </w:p>
        </w:tc>
        <w:tc>
          <w:tcPr>
            <w:tcW w:w="1150" w:type="dxa"/>
          </w:tcPr>
          <w:p w:rsidR="007C5447" w:rsidRDefault="00F6308C">
            <w:pPr>
              <w:pStyle w:val="TableParagraph"/>
              <w:spacing w:before="36"/>
              <w:ind w:right="96"/>
              <w:rPr>
                <w:sz w:val="20"/>
              </w:rPr>
            </w:pPr>
            <w:r>
              <w:rPr>
                <w:w w:val="95"/>
                <w:sz w:val="20"/>
              </w:rPr>
              <w:t>6,732.94</w:t>
            </w:r>
          </w:p>
        </w:tc>
        <w:tc>
          <w:tcPr>
            <w:tcW w:w="1147" w:type="dxa"/>
          </w:tcPr>
          <w:p w:rsidR="007C5447" w:rsidRDefault="00F6308C">
            <w:pPr>
              <w:pStyle w:val="TableParagraph"/>
              <w:spacing w:before="36"/>
              <w:ind w:right="95"/>
              <w:rPr>
                <w:sz w:val="20"/>
              </w:rPr>
            </w:pPr>
            <w:r>
              <w:rPr>
                <w:w w:val="95"/>
                <w:sz w:val="20"/>
              </w:rPr>
              <w:t>6,732.94</w:t>
            </w:r>
          </w:p>
        </w:tc>
      </w:tr>
      <w:tr w:rsidR="007C5447">
        <w:trPr>
          <w:trHeight w:val="299"/>
        </w:trPr>
        <w:tc>
          <w:tcPr>
            <w:tcW w:w="2354" w:type="dxa"/>
          </w:tcPr>
          <w:p w:rsidR="007C5447" w:rsidRDefault="00F6308C">
            <w:pPr>
              <w:pStyle w:val="TableParagraph"/>
              <w:spacing w:before="36"/>
              <w:ind w:left="107"/>
              <w:jc w:val="left"/>
              <w:rPr>
                <w:sz w:val="20"/>
              </w:rPr>
            </w:pPr>
            <w:r>
              <w:rPr>
                <w:sz w:val="20"/>
              </w:rPr>
              <w:t>Mettur TPS</w:t>
            </w:r>
          </w:p>
        </w:tc>
        <w:tc>
          <w:tcPr>
            <w:tcW w:w="1147" w:type="dxa"/>
          </w:tcPr>
          <w:p w:rsidR="007C5447" w:rsidRDefault="00F6308C">
            <w:pPr>
              <w:pStyle w:val="TableParagraph"/>
              <w:spacing w:before="36"/>
              <w:ind w:right="95"/>
              <w:rPr>
                <w:sz w:val="20"/>
              </w:rPr>
            </w:pPr>
            <w:r>
              <w:rPr>
                <w:w w:val="95"/>
                <w:sz w:val="20"/>
              </w:rPr>
              <w:t>5,386.35</w:t>
            </w:r>
          </w:p>
        </w:tc>
        <w:tc>
          <w:tcPr>
            <w:tcW w:w="1149" w:type="dxa"/>
          </w:tcPr>
          <w:p w:rsidR="007C5447" w:rsidRDefault="00F6308C">
            <w:pPr>
              <w:pStyle w:val="TableParagraph"/>
              <w:spacing w:before="36"/>
              <w:ind w:right="96"/>
              <w:rPr>
                <w:sz w:val="20"/>
              </w:rPr>
            </w:pPr>
            <w:r>
              <w:rPr>
                <w:w w:val="95"/>
                <w:sz w:val="20"/>
              </w:rPr>
              <w:t>5,386.35</w:t>
            </w:r>
          </w:p>
        </w:tc>
        <w:tc>
          <w:tcPr>
            <w:tcW w:w="1147" w:type="dxa"/>
          </w:tcPr>
          <w:p w:rsidR="007C5447" w:rsidRDefault="00F6308C">
            <w:pPr>
              <w:pStyle w:val="TableParagraph"/>
              <w:spacing w:before="36"/>
              <w:ind w:right="93"/>
              <w:rPr>
                <w:sz w:val="20"/>
              </w:rPr>
            </w:pPr>
            <w:r>
              <w:rPr>
                <w:w w:val="95"/>
                <w:sz w:val="20"/>
              </w:rPr>
              <w:t>5,494.08</w:t>
            </w:r>
          </w:p>
        </w:tc>
        <w:tc>
          <w:tcPr>
            <w:tcW w:w="1147" w:type="dxa"/>
          </w:tcPr>
          <w:p w:rsidR="007C5447" w:rsidRDefault="00F6308C">
            <w:pPr>
              <w:pStyle w:val="TableParagraph"/>
              <w:spacing w:before="36"/>
              <w:ind w:right="93"/>
              <w:rPr>
                <w:sz w:val="20"/>
              </w:rPr>
            </w:pPr>
            <w:r>
              <w:rPr>
                <w:w w:val="95"/>
                <w:sz w:val="20"/>
              </w:rPr>
              <w:t>5,386.35</w:t>
            </w:r>
          </w:p>
        </w:tc>
        <w:tc>
          <w:tcPr>
            <w:tcW w:w="1150" w:type="dxa"/>
          </w:tcPr>
          <w:p w:rsidR="007C5447" w:rsidRDefault="00F6308C">
            <w:pPr>
              <w:pStyle w:val="TableParagraph"/>
              <w:spacing w:before="36"/>
              <w:ind w:right="96"/>
              <w:rPr>
                <w:sz w:val="20"/>
              </w:rPr>
            </w:pPr>
            <w:r>
              <w:rPr>
                <w:w w:val="95"/>
                <w:sz w:val="20"/>
              </w:rPr>
              <w:t>5,386.35</w:t>
            </w:r>
          </w:p>
        </w:tc>
        <w:tc>
          <w:tcPr>
            <w:tcW w:w="1147" w:type="dxa"/>
          </w:tcPr>
          <w:p w:rsidR="007C5447" w:rsidRDefault="00F6308C">
            <w:pPr>
              <w:pStyle w:val="TableParagraph"/>
              <w:spacing w:before="36"/>
              <w:ind w:right="95"/>
              <w:rPr>
                <w:sz w:val="20"/>
              </w:rPr>
            </w:pPr>
            <w:r>
              <w:rPr>
                <w:w w:val="95"/>
                <w:sz w:val="20"/>
              </w:rPr>
              <w:t>5,386.35</w:t>
            </w:r>
          </w:p>
        </w:tc>
      </w:tr>
      <w:tr w:rsidR="007C5447">
        <w:trPr>
          <w:trHeight w:val="299"/>
        </w:trPr>
        <w:tc>
          <w:tcPr>
            <w:tcW w:w="2354" w:type="dxa"/>
          </w:tcPr>
          <w:p w:rsidR="007C5447" w:rsidRDefault="00F6308C">
            <w:pPr>
              <w:pStyle w:val="TableParagraph"/>
              <w:spacing w:before="36"/>
              <w:ind w:left="107"/>
              <w:jc w:val="left"/>
              <w:rPr>
                <w:sz w:val="20"/>
              </w:rPr>
            </w:pPr>
            <w:r>
              <w:rPr>
                <w:sz w:val="20"/>
              </w:rPr>
              <w:t>Mettur Stage III TPS</w:t>
            </w:r>
          </w:p>
        </w:tc>
        <w:tc>
          <w:tcPr>
            <w:tcW w:w="1147" w:type="dxa"/>
          </w:tcPr>
          <w:p w:rsidR="007C5447" w:rsidRDefault="00F6308C">
            <w:pPr>
              <w:pStyle w:val="TableParagraph"/>
              <w:spacing w:before="36"/>
              <w:ind w:right="95"/>
              <w:rPr>
                <w:sz w:val="20"/>
              </w:rPr>
            </w:pPr>
            <w:r>
              <w:rPr>
                <w:w w:val="95"/>
                <w:sz w:val="20"/>
              </w:rPr>
              <w:t>3,833.52</w:t>
            </w:r>
          </w:p>
        </w:tc>
        <w:tc>
          <w:tcPr>
            <w:tcW w:w="1149" w:type="dxa"/>
          </w:tcPr>
          <w:p w:rsidR="007C5447" w:rsidRDefault="00F6308C">
            <w:pPr>
              <w:pStyle w:val="TableParagraph"/>
              <w:spacing w:before="36"/>
              <w:ind w:right="96"/>
              <w:rPr>
                <w:sz w:val="20"/>
              </w:rPr>
            </w:pPr>
            <w:r>
              <w:rPr>
                <w:w w:val="95"/>
                <w:sz w:val="20"/>
              </w:rPr>
              <w:t>3,833.52</w:t>
            </w:r>
          </w:p>
        </w:tc>
        <w:tc>
          <w:tcPr>
            <w:tcW w:w="1147" w:type="dxa"/>
          </w:tcPr>
          <w:p w:rsidR="007C5447" w:rsidRDefault="00F6308C">
            <w:pPr>
              <w:pStyle w:val="TableParagraph"/>
              <w:spacing w:before="36"/>
              <w:ind w:right="93"/>
              <w:rPr>
                <w:sz w:val="20"/>
              </w:rPr>
            </w:pPr>
            <w:r>
              <w:rPr>
                <w:w w:val="95"/>
                <w:sz w:val="20"/>
              </w:rPr>
              <w:t>3,910.19</w:t>
            </w:r>
          </w:p>
        </w:tc>
        <w:tc>
          <w:tcPr>
            <w:tcW w:w="1147" w:type="dxa"/>
          </w:tcPr>
          <w:p w:rsidR="007C5447" w:rsidRDefault="00F6308C">
            <w:pPr>
              <w:pStyle w:val="TableParagraph"/>
              <w:spacing w:before="36"/>
              <w:ind w:right="93"/>
              <w:rPr>
                <w:sz w:val="20"/>
              </w:rPr>
            </w:pPr>
            <w:r>
              <w:rPr>
                <w:w w:val="95"/>
                <w:sz w:val="20"/>
              </w:rPr>
              <w:t>3,847.39</w:t>
            </w:r>
          </w:p>
        </w:tc>
        <w:tc>
          <w:tcPr>
            <w:tcW w:w="1150" w:type="dxa"/>
          </w:tcPr>
          <w:p w:rsidR="007C5447" w:rsidRDefault="00F6308C">
            <w:pPr>
              <w:pStyle w:val="TableParagraph"/>
              <w:spacing w:before="36"/>
              <w:ind w:right="96"/>
              <w:rPr>
                <w:sz w:val="20"/>
              </w:rPr>
            </w:pPr>
            <w:r>
              <w:rPr>
                <w:w w:val="95"/>
                <w:sz w:val="20"/>
              </w:rPr>
              <w:t>3,847.39</w:t>
            </w:r>
          </w:p>
        </w:tc>
        <w:tc>
          <w:tcPr>
            <w:tcW w:w="1147" w:type="dxa"/>
          </w:tcPr>
          <w:p w:rsidR="007C5447" w:rsidRDefault="00F6308C">
            <w:pPr>
              <w:pStyle w:val="TableParagraph"/>
              <w:spacing w:before="36"/>
              <w:ind w:right="95"/>
              <w:rPr>
                <w:sz w:val="20"/>
              </w:rPr>
            </w:pPr>
            <w:r>
              <w:rPr>
                <w:w w:val="95"/>
                <w:sz w:val="20"/>
              </w:rPr>
              <w:t>3,847.39</w:t>
            </w:r>
          </w:p>
        </w:tc>
      </w:tr>
      <w:tr w:rsidR="007C5447">
        <w:trPr>
          <w:trHeight w:val="301"/>
        </w:trPr>
        <w:tc>
          <w:tcPr>
            <w:tcW w:w="2354" w:type="dxa"/>
          </w:tcPr>
          <w:p w:rsidR="007C5447" w:rsidRDefault="00F6308C">
            <w:pPr>
              <w:pStyle w:val="TableParagraph"/>
              <w:spacing w:before="36"/>
              <w:ind w:left="107"/>
              <w:jc w:val="left"/>
              <w:rPr>
                <w:sz w:val="20"/>
              </w:rPr>
            </w:pPr>
            <w:r>
              <w:rPr>
                <w:sz w:val="20"/>
              </w:rPr>
              <w:t>North Chennai TPS</w:t>
            </w:r>
          </w:p>
        </w:tc>
        <w:tc>
          <w:tcPr>
            <w:tcW w:w="1147" w:type="dxa"/>
          </w:tcPr>
          <w:p w:rsidR="007C5447" w:rsidRDefault="00F6308C">
            <w:pPr>
              <w:pStyle w:val="TableParagraph"/>
              <w:spacing w:before="36"/>
              <w:ind w:right="95"/>
              <w:rPr>
                <w:sz w:val="20"/>
              </w:rPr>
            </w:pPr>
            <w:r>
              <w:rPr>
                <w:w w:val="95"/>
                <w:sz w:val="20"/>
              </w:rPr>
              <w:t>4,039.76</w:t>
            </w:r>
          </w:p>
        </w:tc>
        <w:tc>
          <w:tcPr>
            <w:tcW w:w="1149" w:type="dxa"/>
          </w:tcPr>
          <w:p w:rsidR="007C5447" w:rsidRDefault="00F6308C">
            <w:pPr>
              <w:pStyle w:val="TableParagraph"/>
              <w:spacing w:before="36"/>
              <w:ind w:right="96"/>
              <w:rPr>
                <w:sz w:val="20"/>
              </w:rPr>
            </w:pPr>
            <w:r>
              <w:rPr>
                <w:w w:val="95"/>
                <w:sz w:val="20"/>
              </w:rPr>
              <w:t>4,415.46</w:t>
            </w:r>
          </w:p>
        </w:tc>
        <w:tc>
          <w:tcPr>
            <w:tcW w:w="1147" w:type="dxa"/>
          </w:tcPr>
          <w:p w:rsidR="007C5447" w:rsidRDefault="00F6308C">
            <w:pPr>
              <w:pStyle w:val="TableParagraph"/>
              <w:spacing w:before="36"/>
              <w:ind w:right="93"/>
              <w:rPr>
                <w:sz w:val="20"/>
              </w:rPr>
            </w:pPr>
            <w:r>
              <w:rPr>
                <w:w w:val="95"/>
                <w:sz w:val="20"/>
              </w:rPr>
              <w:t>4,502.82</w:t>
            </w:r>
          </w:p>
        </w:tc>
        <w:tc>
          <w:tcPr>
            <w:tcW w:w="1147" w:type="dxa"/>
          </w:tcPr>
          <w:p w:rsidR="007C5447" w:rsidRDefault="00F6308C">
            <w:pPr>
              <w:pStyle w:val="TableParagraph"/>
              <w:spacing w:before="36"/>
              <w:ind w:right="93"/>
              <w:rPr>
                <w:sz w:val="20"/>
              </w:rPr>
            </w:pPr>
            <w:r>
              <w:rPr>
                <w:w w:val="95"/>
                <w:sz w:val="20"/>
              </w:rPr>
              <w:t>4,039.76</w:t>
            </w:r>
          </w:p>
        </w:tc>
        <w:tc>
          <w:tcPr>
            <w:tcW w:w="1150" w:type="dxa"/>
          </w:tcPr>
          <w:p w:rsidR="007C5447" w:rsidRDefault="00F6308C">
            <w:pPr>
              <w:pStyle w:val="TableParagraph"/>
              <w:spacing w:before="36"/>
              <w:ind w:right="96"/>
              <w:rPr>
                <w:sz w:val="20"/>
              </w:rPr>
            </w:pPr>
            <w:r>
              <w:rPr>
                <w:w w:val="95"/>
                <w:sz w:val="20"/>
              </w:rPr>
              <w:t>4,039.76</w:t>
            </w:r>
          </w:p>
        </w:tc>
        <w:tc>
          <w:tcPr>
            <w:tcW w:w="1147" w:type="dxa"/>
          </w:tcPr>
          <w:p w:rsidR="007C5447" w:rsidRDefault="00F6308C">
            <w:pPr>
              <w:pStyle w:val="TableParagraph"/>
              <w:spacing w:before="36"/>
              <w:ind w:right="95"/>
              <w:rPr>
                <w:sz w:val="20"/>
              </w:rPr>
            </w:pPr>
            <w:r>
              <w:rPr>
                <w:w w:val="95"/>
                <w:sz w:val="20"/>
              </w:rPr>
              <w:t>4,039.76</w:t>
            </w:r>
          </w:p>
        </w:tc>
      </w:tr>
      <w:tr w:rsidR="007C5447">
        <w:trPr>
          <w:trHeight w:val="489"/>
        </w:trPr>
        <w:tc>
          <w:tcPr>
            <w:tcW w:w="2354" w:type="dxa"/>
          </w:tcPr>
          <w:p w:rsidR="007C5447" w:rsidRDefault="00F6308C">
            <w:pPr>
              <w:pStyle w:val="TableParagraph"/>
              <w:spacing w:before="14" w:line="230" w:lineRule="atLeast"/>
              <w:ind w:left="107" w:right="356"/>
              <w:jc w:val="left"/>
              <w:rPr>
                <w:sz w:val="20"/>
              </w:rPr>
            </w:pPr>
            <w:r>
              <w:rPr>
                <w:sz w:val="20"/>
              </w:rPr>
              <w:t>North Chennai Stage II TPS</w:t>
            </w:r>
          </w:p>
        </w:tc>
        <w:tc>
          <w:tcPr>
            <w:tcW w:w="1147" w:type="dxa"/>
          </w:tcPr>
          <w:p w:rsidR="007C5447" w:rsidRDefault="00F6308C">
            <w:pPr>
              <w:pStyle w:val="TableParagraph"/>
              <w:spacing w:before="130"/>
              <w:ind w:right="95"/>
              <w:rPr>
                <w:sz w:val="20"/>
              </w:rPr>
            </w:pPr>
            <w:r>
              <w:rPr>
                <w:w w:val="95"/>
                <w:sz w:val="20"/>
              </w:rPr>
              <w:t>7,694.78</w:t>
            </w:r>
          </w:p>
        </w:tc>
        <w:tc>
          <w:tcPr>
            <w:tcW w:w="1149" w:type="dxa"/>
          </w:tcPr>
          <w:p w:rsidR="007C5447" w:rsidRDefault="00F6308C">
            <w:pPr>
              <w:pStyle w:val="TableParagraph"/>
              <w:spacing w:before="130"/>
              <w:ind w:right="96"/>
              <w:rPr>
                <w:sz w:val="20"/>
              </w:rPr>
            </w:pPr>
            <w:r>
              <w:rPr>
                <w:w w:val="95"/>
                <w:sz w:val="20"/>
              </w:rPr>
              <w:t>7,667.03</w:t>
            </w:r>
          </w:p>
        </w:tc>
        <w:tc>
          <w:tcPr>
            <w:tcW w:w="1147" w:type="dxa"/>
          </w:tcPr>
          <w:p w:rsidR="007C5447" w:rsidRDefault="00F6308C">
            <w:pPr>
              <w:pStyle w:val="TableParagraph"/>
              <w:spacing w:before="130"/>
              <w:ind w:right="93"/>
              <w:rPr>
                <w:sz w:val="20"/>
              </w:rPr>
            </w:pPr>
            <w:r>
              <w:rPr>
                <w:w w:val="95"/>
                <w:sz w:val="20"/>
              </w:rPr>
              <w:t>7,820.37</w:t>
            </w:r>
          </w:p>
        </w:tc>
        <w:tc>
          <w:tcPr>
            <w:tcW w:w="1147" w:type="dxa"/>
          </w:tcPr>
          <w:p w:rsidR="007C5447" w:rsidRDefault="00F6308C">
            <w:pPr>
              <w:pStyle w:val="TableParagraph"/>
              <w:spacing w:before="130"/>
              <w:ind w:right="93"/>
              <w:rPr>
                <w:sz w:val="20"/>
              </w:rPr>
            </w:pPr>
            <w:r>
              <w:rPr>
                <w:w w:val="95"/>
                <w:sz w:val="20"/>
              </w:rPr>
              <w:t>7,694.78</w:t>
            </w:r>
          </w:p>
        </w:tc>
        <w:tc>
          <w:tcPr>
            <w:tcW w:w="1150" w:type="dxa"/>
          </w:tcPr>
          <w:p w:rsidR="007C5447" w:rsidRDefault="00F6308C">
            <w:pPr>
              <w:pStyle w:val="TableParagraph"/>
              <w:spacing w:before="130"/>
              <w:ind w:right="96"/>
              <w:rPr>
                <w:sz w:val="20"/>
              </w:rPr>
            </w:pPr>
            <w:r>
              <w:rPr>
                <w:w w:val="95"/>
                <w:sz w:val="20"/>
              </w:rPr>
              <w:t>7,694.78</w:t>
            </w:r>
          </w:p>
        </w:tc>
        <w:tc>
          <w:tcPr>
            <w:tcW w:w="1147" w:type="dxa"/>
          </w:tcPr>
          <w:p w:rsidR="007C5447" w:rsidRDefault="00F6308C">
            <w:pPr>
              <w:pStyle w:val="TableParagraph"/>
              <w:spacing w:before="130"/>
              <w:ind w:right="95"/>
              <w:rPr>
                <w:sz w:val="20"/>
              </w:rPr>
            </w:pPr>
            <w:r>
              <w:rPr>
                <w:w w:val="95"/>
                <w:sz w:val="20"/>
              </w:rPr>
              <w:t>7,694.78</w:t>
            </w:r>
          </w:p>
        </w:tc>
      </w:tr>
      <w:tr w:rsidR="007C5447">
        <w:trPr>
          <w:trHeight w:val="330"/>
        </w:trPr>
        <w:tc>
          <w:tcPr>
            <w:tcW w:w="2354" w:type="dxa"/>
            <w:shd w:val="clear" w:color="auto" w:fill="D9D9D9"/>
          </w:tcPr>
          <w:p w:rsidR="007C5447" w:rsidRDefault="00F6308C">
            <w:pPr>
              <w:pStyle w:val="TableParagraph"/>
              <w:spacing w:before="50"/>
              <w:ind w:left="107"/>
              <w:jc w:val="left"/>
              <w:rPr>
                <w:b/>
                <w:sz w:val="20"/>
              </w:rPr>
            </w:pPr>
            <w:r>
              <w:rPr>
                <w:b/>
                <w:sz w:val="20"/>
              </w:rPr>
              <w:t>Coal Thermal</w:t>
            </w:r>
          </w:p>
        </w:tc>
        <w:tc>
          <w:tcPr>
            <w:tcW w:w="1147" w:type="dxa"/>
            <w:shd w:val="clear" w:color="auto" w:fill="D9D9D9"/>
          </w:tcPr>
          <w:p w:rsidR="007C5447" w:rsidRDefault="00F6308C">
            <w:pPr>
              <w:pStyle w:val="TableParagraph"/>
              <w:spacing w:before="50"/>
              <w:ind w:right="97"/>
              <w:rPr>
                <w:b/>
                <w:sz w:val="20"/>
              </w:rPr>
            </w:pPr>
            <w:r>
              <w:rPr>
                <w:b/>
                <w:w w:val="95"/>
                <w:sz w:val="20"/>
              </w:rPr>
              <w:t>28,474.18</w:t>
            </w:r>
          </w:p>
        </w:tc>
        <w:tc>
          <w:tcPr>
            <w:tcW w:w="1149" w:type="dxa"/>
            <w:shd w:val="clear" w:color="auto" w:fill="D9D9D9"/>
          </w:tcPr>
          <w:p w:rsidR="007C5447" w:rsidRDefault="00F6308C">
            <w:pPr>
              <w:pStyle w:val="TableParagraph"/>
              <w:spacing w:before="50"/>
              <w:ind w:right="99"/>
              <w:rPr>
                <w:b/>
                <w:sz w:val="20"/>
              </w:rPr>
            </w:pPr>
            <w:r>
              <w:rPr>
                <w:b/>
                <w:w w:val="95"/>
                <w:sz w:val="20"/>
              </w:rPr>
              <w:t>28,035.29</w:t>
            </w:r>
          </w:p>
        </w:tc>
        <w:tc>
          <w:tcPr>
            <w:tcW w:w="1147" w:type="dxa"/>
            <w:shd w:val="clear" w:color="auto" w:fill="D9D9D9"/>
          </w:tcPr>
          <w:p w:rsidR="007C5447" w:rsidRDefault="00F6308C">
            <w:pPr>
              <w:pStyle w:val="TableParagraph"/>
              <w:spacing w:before="50"/>
              <w:ind w:right="95"/>
              <w:rPr>
                <w:b/>
                <w:sz w:val="20"/>
              </w:rPr>
            </w:pPr>
            <w:r>
              <w:rPr>
                <w:b/>
                <w:w w:val="95"/>
                <w:sz w:val="20"/>
              </w:rPr>
              <w:t>30,330.22</w:t>
            </w:r>
          </w:p>
        </w:tc>
        <w:tc>
          <w:tcPr>
            <w:tcW w:w="1147" w:type="dxa"/>
            <w:shd w:val="clear" w:color="auto" w:fill="D9D9D9"/>
          </w:tcPr>
          <w:p w:rsidR="007C5447" w:rsidRDefault="00F6308C">
            <w:pPr>
              <w:pStyle w:val="TableParagraph"/>
              <w:spacing w:before="50"/>
              <w:ind w:right="96"/>
              <w:rPr>
                <w:b/>
                <w:sz w:val="20"/>
              </w:rPr>
            </w:pPr>
            <w:r>
              <w:rPr>
                <w:b/>
                <w:w w:val="95"/>
                <w:sz w:val="20"/>
              </w:rPr>
              <w:t>28,527.34</w:t>
            </w:r>
          </w:p>
        </w:tc>
        <w:tc>
          <w:tcPr>
            <w:tcW w:w="1150" w:type="dxa"/>
            <w:shd w:val="clear" w:color="auto" w:fill="D9D9D9"/>
          </w:tcPr>
          <w:p w:rsidR="007C5447" w:rsidRDefault="00F6308C">
            <w:pPr>
              <w:pStyle w:val="TableParagraph"/>
              <w:spacing w:before="50"/>
              <w:ind w:right="98"/>
              <w:rPr>
                <w:b/>
                <w:sz w:val="20"/>
              </w:rPr>
            </w:pPr>
            <w:r>
              <w:rPr>
                <w:b/>
                <w:w w:val="95"/>
                <w:sz w:val="20"/>
              </w:rPr>
              <w:t>27,701.22</w:t>
            </w:r>
          </w:p>
        </w:tc>
        <w:tc>
          <w:tcPr>
            <w:tcW w:w="1147" w:type="dxa"/>
            <w:shd w:val="clear" w:color="auto" w:fill="D9D9D9"/>
          </w:tcPr>
          <w:p w:rsidR="007C5447" w:rsidRDefault="00F6308C">
            <w:pPr>
              <w:pStyle w:val="TableParagraph"/>
              <w:spacing w:before="50"/>
              <w:ind w:right="98"/>
              <w:rPr>
                <w:b/>
                <w:sz w:val="20"/>
              </w:rPr>
            </w:pPr>
            <w:r>
              <w:rPr>
                <w:b/>
                <w:w w:val="95"/>
                <w:sz w:val="20"/>
              </w:rPr>
              <w:t>29,436.40</w:t>
            </w:r>
          </w:p>
        </w:tc>
      </w:tr>
      <w:tr w:rsidR="007C5447">
        <w:trPr>
          <w:trHeight w:val="299"/>
        </w:trPr>
        <w:tc>
          <w:tcPr>
            <w:tcW w:w="2354" w:type="dxa"/>
          </w:tcPr>
          <w:p w:rsidR="007C5447" w:rsidRDefault="00F6308C">
            <w:pPr>
              <w:pStyle w:val="TableParagraph"/>
              <w:spacing w:before="34"/>
              <w:ind w:left="107"/>
              <w:jc w:val="left"/>
              <w:rPr>
                <w:sz w:val="20"/>
              </w:rPr>
            </w:pPr>
            <w:r>
              <w:rPr>
                <w:sz w:val="20"/>
              </w:rPr>
              <w:t>Tirumakottai GTPS</w:t>
            </w:r>
          </w:p>
        </w:tc>
        <w:tc>
          <w:tcPr>
            <w:tcW w:w="1147" w:type="dxa"/>
          </w:tcPr>
          <w:p w:rsidR="007C5447" w:rsidRDefault="00F6308C">
            <w:pPr>
              <w:pStyle w:val="TableParagraph"/>
              <w:spacing w:before="34"/>
              <w:ind w:right="97"/>
              <w:rPr>
                <w:sz w:val="20"/>
              </w:rPr>
            </w:pPr>
            <w:r>
              <w:rPr>
                <w:w w:val="95"/>
                <w:sz w:val="20"/>
              </w:rPr>
              <w:t>710.66</w:t>
            </w:r>
          </w:p>
        </w:tc>
        <w:tc>
          <w:tcPr>
            <w:tcW w:w="1149" w:type="dxa"/>
          </w:tcPr>
          <w:p w:rsidR="007C5447" w:rsidRDefault="00F6308C">
            <w:pPr>
              <w:pStyle w:val="TableParagraph"/>
              <w:spacing w:before="34"/>
              <w:ind w:right="98"/>
              <w:rPr>
                <w:sz w:val="20"/>
              </w:rPr>
            </w:pPr>
            <w:r>
              <w:rPr>
                <w:w w:val="95"/>
                <w:sz w:val="20"/>
              </w:rPr>
              <w:t>756.85</w:t>
            </w:r>
          </w:p>
        </w:tc>
        <w:tc>
          <w:tcPr>
            <w:tcW w:w="1147" w:type="dxa"/>
          </w:tcPr>
          <w:p w:rsidR="007C5447" w:rsidRDefault="00F6308C">
            <w:pPr>
              <w:pStyle w:val="TableParagraph"/>
              <w:spacing w:before="34"/>
              <w:ind w:right="95"/>
              <w:rPr>
                <w:sz w:val="20"/>
              </w:rPr>
            </w:pPr>
            <w:r>
              <w:rPr>
                <w:w w:val="95"/>
                <w:sz w:val="20"/>
              </w:rPr>
              <w:t>772.84</w:t>
            </w:r>
          </w:p>
        </w:tc>
        <w:tc>
          <w:tcPr>
            <w:tcW w:w="1147" w:type="dxa"/>
          </w:tcPr>
          <w:p w:rsidR="007C5447" w:rsidRDefault="00F6308C">
            <w:pPr>
              <w:pStyle w:val="TableParagraph"/>
              <w:spacing w:before="34"/>
              <w:ind w:right="95"/>
              <w:rPr>
                <w:sz w:val="20"/>
              </w:rPr>
            </w:pPr>
            <w:r>
              <w:rPr>
                <w:w w:val="95"/>
                <w:sz w:val="20"/>
              </w:rPr>
              <w:t>710.66</w:t>
            </w:r>
          </w:p>
        </w:tc>
        <w:tc>
          <w:tcPr>
            <w:tcW w:w="1150" w:type="dxa"/>
          </w:tcPr>
          <w:p w:rsidR="007C5447" w:rsidRDefault="00F6308C">
            <w:pPr>
              <w:pStyle w:val="TableParagraph"/>
              <w:spacing w:before="34"/>
              <w:ind w:right="98"/>
              <w:rPr>
                <w:sz w:val="20"/>
              </w:rPr>
            </w:pPr>
            <w:r>
              <w:rPr>
                <w:w w:val="95"/>
                <w:sz w:val="20"/>
              </w:rPr>
              <w:t>710.66</w:t>
            </w:r>
          </w:p>
        </w:tc>
        <w:tc>
          <w:tcPr>
            <w:tcW w:w="1147" w:type="dxa"/>
          </w:tcPr>
          <w:p w:rsidR="007C5447" w:rsidRDefault="00F6308C">
            <w:pPr>
              <w:pStyle w:val="TableParagraph"/>
              <w:spacing w:before="34"/>
              <w:ind w:right="97"/>
              <w:rPr>
                <w:sz w:val="20"/>
              </w:rPr>
            </w:pPr>
            <w:r>
              <w:rPr>
                <w:w w:val="95"/>
                <w:sz w:val="20"/>
              </w:rPr>
              <w:t>710.66</w:t>
            </w:r>
          </w:p>
        </w:tc>
      </w:tr>
      <w:tr w:rsidR="007C5447">
        <w:trPr>
          <w:trHeight w:val="299"/>
        </w:trPr>
        <w:tc>
          <w:tcPr>
            <w:tcW w:w="2354" w:type="dxa"/>
          </w:tcPr>
          <w:p w:rsidR="007C5447" w:rsidRDefault="00F6308C">
            <w:pPr>
              <w:pStyle w:val="TableParagraph"/>
              <w:spacing w:before="34"/>
              <w:ind w:left="107"/>
              <w:jc w:val="left"/>
              <w:rPr>
                <w:sz w:val="20"/>
              </w:rPr>
            </w:pPr>
            <w:r>
              <w:rPr>
                <w:sz w:val="20"/>
              </w:rPr>
              <w:t>Kuttalam GTPS</w:t>
            </w:r>
          </w:p>
        </w:tc>
        <w:tc>
          <w:tcPr>
            <w:tcW w:w="1147" w:type="dxa"/>
          </w:tcPr>
          <w:p w:rsidR="007C5447" w:rsidRDefault="00F6308C">
            <w:pPr>
              <w:pStyle w:val="TableParagraph"/>
              <w:spacing w:before="34"/>
              <w:ind w:right="97"/>
              <w:rPr>
                <w:sz w:val="20"/>
              </w:rPr>
            </w:pPr>
            <w:r>
              <w:rPr>
                <w:w w:val="95"/>
                <w:sz w:val="20"/>
              </w:rPr>
              <w:t>658.75</w:t>
            </w:r>
          </w:p>
        </w:tc>
        <w:tc>
          <w:tcPr>
            <w:tcW w:w="1149" w:type="dxa"/>
          </w:tcPr>
          <w:p w:rsidR="007C5447" w:rsidRDefault="00F6308C">
            <w:pPr>
              <w:pStyle w:val="TableParagraph"/>
              <w:spacing w:before="34"/>
              <w:ind w:right="98"/>
              <w:rPr>
                <w:sz w:val="20"/>
              </w:rPr>
            </w:pPr>
            <w:r>
              <w:rPr>
                <w:w w:val="95"/>
                <w:sz w:val="20"/>
              </w:rPr>
              <w:t>706.51</w:t>
            </w:r>
          </w:p>
        </w:tc>
        <w:tc>
          <w:tcPr>
            <w:tcW w:w="1147" w:type="dxa"/>
          </w:tcPr>
          <w:p w:rsidR="007C5447" w:rsidRDefault="00F6308C">
            <w:pPr>
              <w:pStyle w:val="TableParagraph"/>
              <w:spacing w:before="34"/>
              <w:ind w:right="95"/>
              <w:rPr>
                <w:sz w:val="20"/>
              </w:rPr>
            </w:pPr>
            <w:r>
              <w:rPr>
                <w:w w:val="95"/>
                <w:sz w:val="20"/>
              </w:rPr>
              <w:t>720.51</w:t>
            </w:r>
          </w:p>
        </w:tc>
        <w:tc>
          <w:tcPr>
            <w:tcW w:w="1147" w:type="dxa"/>
          </w:tcPr>
          <w:p w:rsidR="007C5447" w:rsidRDefault="00F6308C">
            <w:pPr>
              <w:pStyle w:val="TableParagraph"/>
              <w:spacing w:before="34"/>
              <w:ind w:right="95"/>
              <w:rPr>
                <w:sz w:val="20"/>
              </w:rPr>
            </w:pPr>
            <w:r>
              <w:rPr>
                <w:w w:val="95"/>
                <w:sz w:val="20"/>
              </w:rPr>
              <w:t>665.34</w:t>
            </w:r>
          </w:p>
        </w:tc>
        <w:tc>
          <w:tcPr>
            <w:tcW w:w="1150" w:type="dxa"/>
          </w:tcPr>
          <w:p w:rsidR="007C5447" w:rsidRDefault="00F6308C">
            <w:pPr>
              <w:pStyle w:val="TableParagraph"/>
              <w:spacing w:before="34"/>
              <w:ind w:right="98"/>
              <w:rPr>
                <w:sz w:val="20"/>
              </w:rPr>
            </w:pPr>
            <w:r>
              <w:rPr>
                <w:w w:val="95"/>
                <w:sz w:val="20"/>
              </w:rPr>
              <w:t>665.34</w:t>
            </w:r>
          </w:p>
        </w:tc>
        <w:tc>
          <w:tcPr>
            <w:tcW w:w="1147" w:type="dxa"/>
          </w:tcPr>
          <w:p w:rsidR="007C5447" w:rsidRDefault="00F6308C">
            <w:pPr>
              <w:pStyle w:val="TableParagraph"/>
              <w:spacing w:before="34"/>
              <w:ind w:right="97"/>
              <w:rPr>
                <w:sz w:val="20"/>
              </w:rPr>
            </w:pPr>
            <w:r>
              <w:rPr>
                <w:w w:val="95"/>
                <w:sz w:val="20"/>
              </w:rPr>
              <w:t>665.34</w:t>
            </w:r>
          </w:p>
        </w:tc>
      </w:tr>
      <w:tr w:rsidR="007C5447">
        <w:trPr>
          <w:trHeight w:val="299"/>
        </w:trPr>
        <w:tc>
          <w:tcPr>
            <w:tcW w:w="2354" w:type="dxa"/>
          </w:tcPr>
          <w:p w:rsidR="007C5447" w:rsidRDefault="00F6308C">
            <w:pPr>
              <w:pStyle w:val="TableParagraph"/>
              <w:spacing w:before="36"/>
              <w:ind w:left="107"/>
              <w:jc w:val="left"/>
              <w:rPr>
                <w:sz w:val="20"/>
              </w:rPr>
            </w:pPr>
            <w:r>
              <w:rPr>
                <w:sz w:val="20"/>
              </w:rPr>
              <w:t>Basin Bridge GTPS</w:t>
            </w:r>
          </w:p>
        </w:tc>
        <w:tc>
          <w:tcPr>
            <w:tcW w:w="1147" w:type="dxa"/>
          </w:tcPr>
          <w:p w:rsidR="007C5447" w:rsidRDefault="00F6308C">
            <w:pPr>
              <w:pStyle w:val="TableParagraph"/>
              <w:spacing w:before="36"/>
              <w:ind w:right="96"/>
              <w:rPr>
                <w:sz w:val="20"/>
              </w:rPr>
            </w:pPr>
            <w:r>
              <w:rPr>
                <w:sz w:val="20"/>
              </w:rPr>
              <w:t>6.24</w:t>
            </w:r>
          </w:p>
        </w:tc>
        <w:tc>
          <w:tcPr>
            <w:tcW w:w="1149" w:type="dxa"/>
          </w:tcPr>
          <w:p w:rsidR="007C5447" w:rsidRDefault="00F6308C">
            <w:pPr>
              <w:pStyle w:val="TableParagraph"/>
              <w:spacing w:before="36"/>
              <w:ind w:right="98"/>
              <w:rPr>
                <w:sz w:val="20"/>
              </w:rPr>
            </w:pPr>
            <w:r>
              <w:rPr>
                <w:sz w:val="20"/>
              </w:rPr>
              <w:t>6.24</w:t>
            </w:r>
          </w:p>
        </w:tc>
        <w:tc>
          <w:tcPr>
            <w:tcW w:w="1147" w:type="dxa"/>
          </w:tcPr>
          <w:p w:rsidR="007C5447" w:rsidRDefault="00F6308C">
            <w:pPr>
              <w:pStyle w:val="TableParagraph"/>
              <w:spacing w:before="36"/>
              <w:ind w:right="95"/>
              <w:rPr>
                <w:sz w:val="20"/>
              </w:rPr>
            </w:pPr>
            <w:r>
              <w:rPr>
                <w:sz w:val="20"/>
              </w:rPr>
              <w:t>6.24</w:t>
            </w:r>
          </w:p>
        </w:tc>
        <w:tc>
          <w:tcPr>
            <w:tcW w:w="1147" w:type="dxa"/>
          </w:tcPr>
          <w:p w:rsidR="007C5447" w:rsidRDefault="00F6308C">
            <w:pPr>
              <w:pStyle w:val="TableParagraph"/>
              <w:spacing w:before="36"/>
              <w:ind w:right="95"/>
              <w:rPr>
                <w:sz w:val="20"/>
              </w:rPr>
            </w:pPr>
            <w:r>
              <w:rPr>
                <w:sz w:val="20"/>
              </w:rPr>
              <w:t>6.24</w:t>
            </w:r>
          </w:p>
        </w:tc>
        <w:tc>
          <w:tcPr>
            <w:tcW w:w="1150" w:type="dxa"/>
          </w:tcPr>
          <w:p w:rsidR="007C5447" w:rsidRDefault="00F6308C">
            <w:pPr>
              <w:pStyle w:val="TableParagraph"/>
              <w:spacing w:before="36"/>
              <w:ind w:right="97"/>
              <w:rPr>
                <w:sz w:val="20"/>
              </w:rPr>
            </w:pPr>
            <w:r>
              <w:rPr>
                <w:sz w:val="20"/>
              </w:rPr>
              <w:t>6.24</w:t>
            </w:r>
          </w:p>
        </w:tc>
        <w:tc>
          <w:tcPr>
            <w:tcW w:w="1147" w:type="dxa"/>
          </w:tcPr>
          <w:p w:rsidR="007C5447" w:rsidRDefault="00F6308C">
            <w:pPr>
              <w:pStyle w:val="TableParagraph"/>
              <w:spacing w:before="36"/>
              <w:ind w:right="97"/>
              <w:rPr>
                <w:sz w:val="20"/>
              </w:rPr>
            </w:pPr>
            <w:r>
              <w:rPr>
                <w:sz w:val="20"/>
              </w:rPr>
              <w:t>6.24</w:t>
            </w:r>
          </w:p>
        </w:tc>
      </w:tr>
      <w:tr w:rsidR="007C5447">
        <w:trPr>
          <w:trHeight w:val="300"/>
        </w:trPr>
        <w:tc>
          <w:tcPr>
            <w:tcW w:w="2354" w:type="dxa"/>
          </w:tcPr>
          <w:p w:rsidR="007C5447" w:rsidRDefault="00F6308C">
            <w:pPr>
              <w:pStyle w:val="TableParagraph"/>
              <w:spacing w:before="37"/>
              <w:ind w:left="107"/>
              <w:jc w:val="left"/>
              <w:rPr>
                <w:sz w:val="20"/>
              </w:rPr>
            </w:pPr>
            <w:r>
              <w:rPr>
                <w:sz w:val="20"/>
              </w:rPr>
              <w:t>Valuthur GTPS</w:t>
            </w:r>
          </w:p>
        </w:tc>
        <w:tc>
          <w:tcPr>
            <w:tcW w:w="1147" w:type="dxa"/>
          </w:tcPr>
          <w:p w:rsidR="007C5447" w:rsidRDefault="00F6308C">
            <w:pPr>
              <w:pStyle w:val="TableParagraph"/>
              <w:spacing w:before="37"/>
              <w:ind w:right="97"/>
              <w:rPr>
                <w:sz w:val="20"/>
              </w:rPr>
            </w:pPr>
            <w:r>
              <w:rPr>
                <w:w w:val="95"/>
                <w:sz w:val="20"/>
              </w:rPr>
              <w:t>625.81</w:t>
            </w:r>
          </w:p>
        </w:tc>
        <w:tc>
          <w:tcPr>
            <w:tcW w:w="1149" w:type="dxa"/>
          </w:tcPr>
          <w:p w:rsidR="007C5447" w:rsidRDefault="00F6308C">
            <w:pPr>
              <w:pStyle w:val="TableParagraph"/>
              <w:spacing w:before="37"/>
              <w:ind w:right="96"/>
              <w:rPr>
                <w:sz w:val="20"/>
              </w:rPr>
            </w:pPr>
            <w:r>
              <w:rPr>
                <w:w w:val="95"/>
                <w:sz w:val="20"/>
              </w:rPr>
              <w:t>1,286.68</w:t>
            </w:r>
          </w:p>
        </w:tc>
        <w:tc>
          <w:tcPr>
            <w:tcW w:w="1147" w:type="dxa"/>
          </w:tcPr>
          <w:p w:rsidR="007C5447" w:rsidRDefault="00F6308C">
            <w:pPr>
              <w:pStyle w:val="TableParagraph"/>
              <w:spacing w:before="37"/>
              <w:ind w:right="93"/>
              <w:rPr>
                <w:sz w:val="20"/>
              </w:rPr>
            </w:pPr>
            <w:r>
              <w:rPr>
                <w:w w:val="95"/>
                <w:sz w:val="20"/>
              </w:rPr>
              <w:t>1,313.00</w:t>
            </w:r>
          </w:p>
        </w:tc>
        <w:tc>
          <w:tcPr>
            <w:tcW w:w="1147" w:type="dxa"/>
          </w:tcPr>
          <w:p w:rsidR="007C5447" w:rsidRDefault="00F6308C">
            <w:pPr>
              <w:pStyle w:val="TableParagraph"/>
              <w:spacing w:before="37"/>
              <w:ind w:right="93"/>
              <w:rPr>
                <w:sz w:val="20"/>
              </w:rPr>
            </w:pPr>
            <w:r>
              <w:rPr>
                <w:w w:val="95"/>
                <w:sz w:val="20"/>
              </w:rPr>
              <w:t>1,231.87</w:t>
            </w:r>
          </w:p>
        </w:tc>
        <w:tc>
          <w:tcPr>
            <w:tcW w:w="1150" w:type="dxa"/>
          </w:tcPr>
          <w:p w:rsidR="007C5447" w:rsidRDefault="00F6308C">
            <w:pPr>
              <w:pStyle w:val="TableParagraph"/>
              <w:spacing w:before="37"/>
              <w:ind w:right="96"/>
              <w:rPr>
                <w:sz w:val="20"/>
              </w:rPr>
            </w:pPr>
            <w:r>
              <w:rPr>
                <w:w w:val="95"/>
                <w:sz w:val="20"/>
              </w:rPr>
              <w:t>1,231.87</w:t>
            </w:r>
          </w:p>
        </w:tc>
        <w:tc>
          <w:tcPr>
            <w:tcW w:w="1147" w:type="dxa"/>
          </w:tcPr>
          <w:p w:rsidR="007C5447" w:rsidRDefault="00F6308C">
            <w:pPr>
              <w:pStyle w:val="TableParagraph"/>
              <w:spacing w:before="37"/>
              <w:ind w:right="95"/>
              <w:rPr>
                <w:sz w:val="20"/>
              </w:rPr>
            </w:pPr>
            <w:r>
              <w:rPr>
                <w:w w:val="95"/>
                <w:sz w:val="20"/>
              </w:rPr>
              <w:t>1,231.87</w:t>
            </w:r>
          </w:p>
        </w:tc>
      </w:tr>
      <w:tr w:rsidR="007C5447">
        <w:trPr>
          <w:trHeight w:val="330"/>
        </w:trPr>
        <w:tc>
          <w:tcPr>
            <w:tcW w:w="2354" w:type="dxa"/>
            <w:shd w:val="clear" w:color="auto" w:fill="D9D9D9"/>
          </w:tcPr>
          <w:p w:rsidR="007C5447" w:rsidRDefault="00F6308C">
            <w:pPr>
              <w:pStyle w:val="TableParagraph"/>
              <w:spacing w:before="50"/>
              <w:ind w:left="107"/>
              <w:jc w:val="left"/>
              <w:rPr>
                <w:b/>
                <w:sz w:val="20"/>
              </w:rPr>
            </w:pPr>
            <w:r>
              <w:rPr>
                <w:b/>
                <w:sz w:val="20"/>
              </w:rPr>
              <w:t>Coal Thermal</w:t>
            </w:r>
          </w:p>
        </w:tc>
        <w:tc>
          <w:tcPr>
            <w:tcW w:w="1147" w:type="dxa"/>
            <w:shd w:val="clear" w:color="auto" w:fill="D9D9D9"/>
          </w:tcPr>
          <w:p w:rsidR="007C5447" w:rsidRDefault="00F6308C">
            <w:pPr>
              <w:pStyle w:val="TableParagraph"/>
              <w:spacing w:before="50"/>
              <w:ind w:right="95"/>
              <w:rPr>
                <w:b/>
                <w:sz w:val="20"/>
              </w:rPr>
            </w:pPr>
            <w:r>
              <w:rPr>
                <w:b/>
                <w:w w:val="95"/>
                <w:sz w:val="20"/>
              </w:rPr>
              <w:t>2,001.47</w:t>
            </w:r>
          </w:p>
        </w:tc>
        <w:tc>
          <w:tcPr>
            <w:tcW w:w="1149" w:type="dxa"/>
            <w:shd w:val="clear" w:color="auto" w:fill="D9D9D9"/>
          </w:tcPr>
          <w:p w:rsidR="007C5447" w:rsidRDefault="00F6308C">
            <w:pPr>
              <w:pStyle w:val="TableParagraph"/>
              <w:spacing w:before="50"/>
              <w:ind w:right="96"/>
              <w:rPr>
                <w:b/>
                <w:sz w:val="20"/>
              </w:rPr>
            </w:pPr>
            <w:r>
              <w:rPr>
                <w:b/>
                <w:w w:val="95"/>
                <w:sz w:val="20"/>
              </w:rPr>
              <w:t>2,756.30</w:t>
            </w:r>
          </w:p>
        </w:tc>
        <w:tc>
          <w:tcPr>
            <w:tcW w:w="1147" w:type="dxa"/>
            <w:shd w:val="clear" w:color="auto" w:fill="D9D9D9"/>
          </w:tcPr>
          <w:p w:rsidR="007C5447" w:rsidRDefault="00F6308C">
            <w:pPr>
              <w:pStyle w:val="TableParagraph"/>
              <w:spacing w:before="50"/>
              <w:ind w:right="93"/>
              <w:rPr>
                <w:b/>
                <w:sz w:val="20"/>
              </w:rPr>
            </w:pPr>
            <w:r>
              <w:rPr>
                <w:b/>
                <w:w w:val="95"/>
                <w:sz w:val="20"/>
              </w:rPr>
              <w:t>2,812.60</w:t>
            </w:r>
          </w:p>
        </w:tc>
        <w:tc>
          <w:tcPr>
            <w:tcW w:w="1147" w:type="dxa"/>
            <w:shd w:val="clear" w:color="auto" w:fill="D9D9D9"/>
          </w:tcPr>
          <w:p w:rsidR="007C5447" w:rsidRDefault="00F6308C">
            <w:pPr>
              <w:pStyle w:val="TableParagraph"/>
              <w:spacing w:before="50"/>
              <w:ind w:right="93"/>
              <w:rPr>
                <w:b/>
                <w:sz w:val="20"/>
              </w:rPr>
            </w:pPr>
            <w:r>
              <w:rPr>
                <w:b/>
                <w:w w:val="95"/>
                <w:sz w:val="20"/>
              </w:rPr>
              <w:t>2,614.11</w:t>
            </w:r>
          </w:p>
        </w:tc>
        <w:tc>
          <w:tcPr>
            <w:tcW w:w="1150" w:type="dxa"/>
            <w:shd w:val="clear" w:color="auto" w:fill="D9D9D9"/>
          </w:tcPr>
          <w:p w:rsidR="007C5447" w:rsidRDefault="00F6308C">
            <w:pPr>
              <w:pStyle w:val="TableParagraph"/>
              <w:spacing w:before="50"/>
              <w:ind w:right="96"/>
              <w:rPr>
                <w:b/>
                <w:sz w:val="20"/>
              </w:rPr>
            </w:pPr>
            <w:r>
              <w:rPr>
                <w:b/>
                <w:w w:val="95"/>
                <w:sz w:val="20"/>
              </w:rPr>
              <w:t>2,614.11</w:t>
            </w:r>
          </w:p>
        </w:tc>
        <w:tc>
          <w:tcPr>
            <w:tcW w:w="1147" w:type="dxa"/>
            <w:shd w:val="clear" w:color="auto" w:fill="D9D9D9"/>
          </w:tcPr>
          <w:p w:rsidR="007C5447" w:rsidRDefault="00F6308C">
            <w:pPr>
              <w:pStyle w:val="TableParagraph"/>
              <w:spacing w:before="50"/>
              <w:ind w:right="95"/>
              <w:rPr>
                <w:b/>
                <w:sz w:val="20"/>
              </w:rPr>
            </w:pPr>
            <w:r>
              <w:rPr>
                <w:b/>
                <w:w w:val="95"/>
                <w:sz w:val="20"/>
              </w:rPr>
              <w:t>2,614.11</w:t>
            </w:r>
          </w:p>
        </w:tc>
      </w:tr>
      <w:tr w:rsidR="007C5447">
        <w:trPr>
          <w:trHeight w:val="330"/>
        </w:trPr>
        <w:tc>
          <w:tcPr>
            <w:tcW w:w="2354" w:type="dxa"/>
          </w:tcPr>
          <w:p w:rsidR="007C5447" w:rsidRDefault="00F6308C">
            <w:pPr>
              <w:pStyle w:val="TableParagraph"/>
              <w:spacing w:before="50"/>
              <w:ind w:left="107"/>
              <w:jc w:val="left"/>
              <w:rPr>
                <w:b/>
                <w:sz w:val="20"/>
              </w:rPr>
            </w:pPr>
            <w:r>
              <w:rPr>
                <w:b/>
                <w:sz w:val="20"/>
              </w:rPr>
              <w:t>Total Hydro</w:t>
            </w:r>
          </w:p>
        </w:tc>
        <w:tc>
          <w:tcPr>
            <w:tcW w:w="1147" w:type="dxa"/>
          </w:tcPr>
          <w:p w:rsidR="007C5447" w:rsidRDefault="00F6308C">
            <w:pPr>
              <w:pStyle w:val="TableParagraph"/>
              <w:spacing w:before="50"/>
              <w:ind w:right="95"/>
              <w:rPr>
                <w:b/>
                <w:sz w:val="20"/>
              </w:rPr>
            </w:pPr>
            <w:r>
              <w:rPr>
                <w:b/>
                <w:w w:val="95"/>
                <w:sz w:val="20"/>
              </w:rPr>
              <w:t>4,438.00</w:t>
            </w:r>
          </w:p>
        </w:tc>
        <w:tc>
          <w:tcPr>
            <w:tcW w:w="1149" w:type="dxa"/>
          </w:tcPr>
          <w:p w:rsidR="007C5447" w:rsidRDefault="00F6308C">
            <w:pPr>
              <w:pStyle w:val="TableParagraph"/>
              <w:spacing w:before="50"/>
              <w:ind w:right="96"/>
              <w:rPr>
                <w:b/>
                <w:sz w:val="20"/>
              </w:rPr>
            </w:pPr>
            <w:r>
              <w:rPr>
                <w:b/>
                <w:w w:val="95"/>
                <w:sz w:val="20"/>
              </w:rPr>
              <w:t>6,118.91</w:t>
            </w:r>
          </w:p>
        </w:tc>
        <w:tc>
          <w:tcPr>
            <w:tcW w:w="1147" w:type="dxa"/>
          </w:tcPr>
          <w:p w:rsidR="007C5447" w:rsidRDefault="00F6308C">
            <w:pPr>
              <w:pStyle w:val="TableParagraph"/>
              <w:spacing w:before="50"/>
              <w:ind w:right="93"/>
              <w:rPr>
                <w:b/>
                <w:sz w:val="20"/>
              </w:rPr>
            </w:pPr>
            <w:r>
              <w:rPr>
                <w:b/>
                <w:w w:val="95"/>
                <w:sz w:val="20"/>
              </w:rPr>
              <w:t>6,189.61</w:t>
            </w:r>
          </w:p>
        </w:tc>
        <w:tc>
          <w:tcPr>
            <w:tcW w:w="1147" w:type="dxa"/>
          </w:tcPr>
          <w:p w:rsidR="007C5447" w:rsidRDefault="00F6308C">
            <w:pPr>
              <w:pStyle w:val="TableParagraph"/>
              <w:spacing w:before="50"/>
              <w:ind w:right="93"/>
              <w:rPr>
                <w:b/>
                <w:sz w:val="20"/>
              </w:rPr>
            </w:pPr>
            <w:r>
              <w:rPr>
                <w:b/>
                <w:w w:val="95"/>
                <w:sz w:val="20"/>
              </w:rPr>
              <w:t>4,438.26</w:t>
            </w:r>
          </w:p>
        </w:tc>
        <w:tc>
          <w:tcPr>
            <w:tcW w:w="1150" w:type="dxa"/>
          </w:tcPr>
          <w:p w:rsidR="007C5447" w:rsidRDefault="00F6308C">
            <w:pPr>
              <w:pStyle w:val="TableParagraph"/>
              <w:spacing w:before="50"/>
              <w:ind w:right="96"/>
              <w:rPr>
                <w:b/>
                <w:sz w:val="20"/>
              </w:rPr>
            </w:pPr>
            <w:r>
              <w:rPr>
                <w:b/>
                <w:w w:val="95"/>
                <w:sz w:val="20"/>
              </w:rPr>
              <w:t>6,118.97</w:t>
            </w:r>
          </w:p>
        </w:tc>
        <w:tc>
          <w:tcPr>
            <w:tcW w:w="1147" w:type="dxa"/>
          </w:tcPr>
          <w:p w:rsidR="007C5447" w:rsidRDefault="00F6308C">
            <w:pPr>
              <w:pStyle w:val="TableParagraph"/>
              <w:spacing w:before="50"/>
              <w:ind w:right="95"/>
              <w:rPr>
                <w:b/>
                <w:sz w:val="20"/>
              </w:rPr>
            </w:pPr>
            <w:r>
              <w:rPr>
                <w:b/>
                <w:w w:val="95"/>
                <w:sz w:val="20"/>
              </w:rPr>
              <w:t>6,189.43</w:t>
            </w:r>
          </w:p>
        </w:tc>
      </w:tr>
      <w:tr w:rsidR="007C5447">
        <w:trPr>
          <w:trHeight w:val="299"/>
        </w:trPr>
        <w:tc>
          <w:tcPr>
            <w:tcW w:w="2354" w:type="dxa"/>
          </w:tcPr>
          <w:p w:rsidR="007C5447" w:rsidRDefault="00F6308C">
            <w:pPr>
              <w:pStyle w:val="TableParagraph"/>
              <w:spacing w:before="34"/>
              <w:ind w:left="107"/>
              <w:jc w:val="left"/>
              <w:rPr>
                <w:sz w:val="20"/>
              </w:rPr>
            </w:pPr>
            <w:r>
              <w:rPr>
                <w:sz w:val="20"/>
              </w:rPr>
              <w:t>Wind</w:t>
            </w:r>
          </w:p>
        </w:tc>
        <w:tc>
          <w:tcPr>
            <w:tcW w:w="1147" w:type="dxa"/>
          </w:tcPr>
          <w:p w:rsidR="007C5447" w:rsidRDefault="00F6308C">
            <w:pPr>
              <w:pStyle w:val="TableParagraph"/>
              <w:spacing w:before="34"/>
              <w:ind w:right="96"/>
              <w:rPr>
                <w:sz w:val="20"/>
              </w:rPr>
            </w:pPr>
            <w:r>
              <w:rPr>
                <w:w w:val="95"/>
                <w:sz w:val="20"/>
              </w:rPr>
              <w:t>12.00</w:t>
            </w:r>
          </w:p>
        </w:tc>
        <w:tc>
          <w:tcPr>
            <w:tcW w:w="1149" w:type="dxa"/>
          </w:tcPr>
          <w:p w:rsidR="007C5447" w:rsidRDefault="00F6308C">
            <w:pPr>
              <w:pStyle w:val="TableParagraph"/>
              <w:spacing w:before="34"/>
              <w:ind w:right="98"/>
              <w:rPr>
                <w:sz w:val="20"/>
              </w:rPr>
            </w:pPr>
            <w:r>
              <w:rPr>
                <w:w w:val="95"/>
                <w:sz w:val="20"/>
              </w:rPr>
              <w:t>12.00</w:t>
            </w:r>
          </w:p>
        </w:tc>
        <w:tc>
          <w:tcPr>
            <w:tcW w:w="1147" w:type="dxa"/>
          </w:tcPr>
          <w:p w:rsidR="007C5447" w:rsidRDefault="00F6308C">
            <w:pPr>
              <w:pStyle w:val="TableParagraph"/>
              <w:spacing w:before="34"/>
              <w:ind w:right="95"/>
              <w:rPr>
                <w:sz w:val="20"/>
              </w:rPr>
            </w:pPr>
            <w:r>
              <w:rPr>
                <w:w w:val="95"/>
                <w:sz w:val="20"/>
              </w:rPr>
              <w:t>12.00</w:t>
            </w:r>
          </w:p>
        </w:tc>
        <w:tc>
          <w:tcPr>
            <w:tcW w:w="1147" w:type="dxa"/>
          </w:tcPr>
          <w:p w:rsidR="007C5447" w:rsidRDefault="00F6308C">
            <w:pPr>
              <w:pStyle w:val="TableParagraph"/>
              <w:spacing w:before="34"/>
              <w:ind w:right="95"/>
              <w:rPr>
                <w:sz w:val="20"/>
              </w:rPr>
            </w:pPr>
            <w:r>
              <w:rPr>
                <w:w w:val="95"/>
                <w:sz w:val="20"/>
              </w:rPr>
              <w:t>12.00</w:t>
            </w:r>
          </w:p>
        </w:tc>
        <w:tc>
          <w:tcPr>
            <w:tcW w:w="1150" w:type="dxa"/>
          </w:tcPr>
          <w:p w:rsidR="007C5447" w:rsidRDefault="00F6308C">
            <w:pPr>
              <w:pStyle w:val="TableParagraph"/>
              <w:spacing w:before="34"/>
              <w:ind w:right="97"/>
              <w:rPr>
                <w:sz w:val="20"/>
              </w:rPr>
            </w:pPr>
            <w:r>
              <w:rPr>
                <w:w w:val="95"/>
                <w:sz w:val="20"/>
              </w:rPr>
              <w:t>12.00</w:t>
            </w:r>
          </w:p>
        </w:tc>
        <w:tc>
          <w:tcPr>
            <w:tcW w:w="1147" w:type="dxa"/>
          </w:tcPr>
          <w:p w:rsidR="007C5447" w:rsidRDefault="00F6308C">
            <w:pPr>
              <w:pStyle w:val="TableParagraph"/>
              <w:spacing w:before="34"/>
              <w:ind w:right="97"/>
              <w:rPr>
                <w:sz w:val="20"/>
              </w:rPr>
            </w:pPr>
            <w:r>
              <w:rPr>
                <w:w w:val="95"/>
                <w:sz w:val="20"/>
              </w:rPr>
              <w:t>12.00</w:t>
            </w:r>
          </w:p>
        </w:tc>
      </w:tr>
      <w:tr w:rsidR="007C5447">
        <w:trPr>
          <w:trHeight w:val="330"/>
        </w:trPr>
        <w:tc>
          <w:tcPr>
            <w:tcW w:w="2354" w:type="dxa"/>
            <w:shd w:val="clear" w:color="auto" w:fill="D9D9D9"/>
          </w:tcPr>
          <w:p w:rsidR="007C5447" w:rsidRDefault="00F6308C">
            <w:pPr>
              <w:pStyle w:val="TableParagraph"/>
              <w:spacing w:before="50"/>
              <w:ind w:left="107"/>
              <w:jc w:val="left"/>
              <w:rPr>
                <w:b/>
                <w:sz w:val="20"/>
              </w:rPr>
            </w:pPr>
            <w:r>
              <w:rPr>
                <w:b/>
                <w:sz w:val="20"/>
              </w:rPr>
              <w:t>Grand Total</w:t>
            </w:r>
          </w:p>
        </w:tc>
        <w:tc>
          <w:tcPr>
            <w:tcW w:w="1147" w:type="dxa"/>
            <w:shd w:val="clear" w:color="auto" w:fill="D9D9D9"/>
          </w:tcPr>
          <w:p w:rsidR="007C5447" w:rsidRDefault="00F6308C">
            <w:pPr>
              <w:pStyle w:val="TableParagraph"/>
              <w:spacing w:before="50"/>
              <w:ind w:right="97"/>
              <w:rPr>
                <w:b/>
                <w:sz w:val="20"/>
              </w:rPr>
            </w:pPr>
            <w:r>
              <w:rPr>
                <w:b/>
                <w:w w:val="95"/>
                <w:sz w:val="20"/>
              </w:rPr>
              <w:t>34,925.65</w:t>
            </w:r>
          </w:p>
        </w:tc>
        <w:tc>
          <w:tcPr>
            <w:tcW w:w="1149" w:type="dxa"/>
            <w:shd w:val="clear" w:color="auto" w:fill="D9D9D9"/>
          </w:tcPr>
          <w:p w:rsidR="007C5447" w:rsidRDefault="00F6308C">
            <w:pPr>
              <w:pStyle w:val="TableParagraph"/>
              <w:spacing w:before="50"/>
              <w:ind w:right="99"/>
              <w:rPr>
                <w:b/>
                <w:sz w:val="20"/>
              </w:rPr>
            </w:pPr>
            <w:r>
              <w:rPr>
                <w:b/>
                <w:w w:val="95"/>
                <w:sz w:val="20"/>
              </w:rPr>
              <w:t>36,922.50</w:t>
            </w:r>
          </w:p>
        </w:tc>
        <w:tc>
          <w:tcPr>
            <w:tcW w:w="1147" w:type="dxa"/>
            <w:shd w:val="clear" w:color="auto" w:fill="D9D9D9"/>
          </w:tcPr>
          <w:p w:rsidR="007C5447" w:rsidRDefault="00F6308C">
            <w:pPr>
              <w:pStyle w:val="TableParagraph"/>
              <w:spacing w:before="50"/>
              <w:ind w:right="96"/>
              <w:rPr>
                <w:b/>
                <w:sz w:val="20"/>
              </w:rPr>
            </w:pPr>
            <w:r>
              <w:rPr>
                <w:b/>
                <w:w w:val="95"/>
                <w:sz w:val="20"/>
              </w:rPr>
              <w:t>39,343.92</w:t>
            </w:r>
          </w:p>
        </w:tc>
        <w:tc>
          <w:tcPr>
            <w:tcW w:w="1147" w:type="dxa"/>
            <w:shd w:val="clear" w:color="auto" w:fill="D9D9D9"/>
          </w:tcPr>
          <w:p w:rsidR="007C5447" w:rsidRDefault="00F6308C">
            <w:pPr>
              <w:pStyle w:val="TableParagraph"/>
              <w:spacing w:before="50"/>
              <w:ind w:right="96"/>
              <w:rPr>
                <w:b/>
                <w:sz w:val="20"/>
              </w:rPr>
            </w:pPr>
            <w:r>
              <w:rPr>
                <w:b/>
                <w:w w:val="95"/>
                <w:sz w:val="20"/>
              </w:rPr>
              <w:t>35,591.71</w:t>
            </w:r>
          </w:p>
        </w:tc>
        <w:tc>
          <w:tcPr>
            <w:tcW w:w="1150" w:type="dxa"/>
            <w:shd w:val="clear" w:color="auto" w:fill="D9D9D9"/>
          </w:tcPr>
          <w:p w:rsidR="007C5447" w:rsidRDefault="00F6308C">
            <w:pPr>
              <w:pStyle w:val="TableParagraph"/>
              <w:spacing w:before="50"/>
              <w:ind w:right="98"/>
              <w:rPr>
                <w:b/>
                <w:sz w:val="20"/>
              </w:rPr>
            </w:pPr>
            <w:r>
              <w:rPr>
                <w:b/>
                <w:w w:val="95"/>
                <w:sz w:val="20"/>
              </w:rPr>
              <w:t>36,446.30</w:t>
            </w:r>
          </w:p>
        </w:tc>
        <w:tc>
          <w:tcPr>
            <w:tcW w:w="1147" w:type="dxa"/>
            <w:shd w:val="clear" w:color="auto" w:fill="D9D9D9"/>
          </w:tcPr>
          <w:p w:rsidR="007C5447" w:rsidRDefault="00F6308C">
            <w:pPr>
              <w:pStyle w:val="TableParagraph"/>
              <w:spacing w:before="50"/>
              <w:ind w:right="98"/>
              <w:rPr>
                <w:b/>
                <w:sz w:val="20"/>
              </w:rPr>
            </w:pPr>
            <w:r>
              <w:rPr>
                <w:b/>
                <w:w w:val="95"/>
                <w:sz w:val="20"/>
              </w:rPr>
              <w:t>38,251.94</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3"/>
        <w:rPr>
          <w:b/>
          <w:sz w:val="22"/>
        </w:rPr>
      </w:pPr>
    </w:p>
    <w:p w:rsidR="007C5447" w:rsidRDefault="00F6308C">
      <w:pPr>
        <w:pStyle w:val="Heading2"/>
        <w:numPr>
          <w:ilvl w:val="2"/>
          <w:numId w:val="114"/>
        </w:numPr>
        <w:tabs>
          <w:tab w:val="left" w:pos="1952"/>
          <w:tab w:val="left" w:pos="1953"/>
        </w:tabs>
        <w:ind w:left="1952" w:hanging="853"/>
      </w:pPr>
      <w:r>
        <w:t>Energy</w:t>
      </w:r>
      <w:r>
        <w:rPr>
          <w:spacing w:val="-1"/>
        </w:rPr>
        <w:t xml:space="preserve"> </w:t>
      </w:r>
      <w:r>
        <w:t>Charge</w:t>
      </w:r>
    </w:p>
    <w:p w:rsidR="007C5447" w:rsidRDefault="007C5447">
      <w:pPr>
        <w:pStyle w:val="BodyText"/>
        <w:spacing w:before="2"/>
        <w:rPr>
          <w:b/>
          <w:sz w:val="28"/>
        </w:rPr>
      </w:pPr>
    </w:p>
    <w:p w:rsidR="007C5447" w:rsidRDefault="00F6308C">
      <w:pPr>
        <w:pStyle w:val="ListParagraph"/>
        <w:numPr>
          <w:ilvl w:val="3"/>
          <w:numId w:val="54"/>
        </w:numPr>
        <w:tabs>
          <w:tab w:val="left" w:pos="2066"/>
        </w:tabs>
        <w:spacing w:before="1" w:line="312" w:lineRule="auto"/>
        <w:ind w:right="1177"/>
        <w:jc w:val="both"/>
        <w:rPr>
          <w:sz w:val="24"/>
        </w:rPr>
      </w:pPr>
      <w:r>
        <w:rPr>
          <w:sz w:val="24"/>
        </w:rPr>
        <w:t>Based on the approved performance parameters, viz., SHR, SFOC, and GCV and price of fuel considered, the Station-wise Energy Charges approved for the Control Period from FY 2016-17 to FY 2018-19 are shown in the Table</w:t>
      </w:r>
      <w:r>
        <w:rPr>
          <w:spacing w:val="-4"/>
          <w:sz w:val="24"/>
        </w:rPr>
        <w:t xml:space="preserve"> </w:t>
      </w:r>
      <w:r>
        <w:rPr>
          <w:sz w:val="24"/>
        </w:rPr>
        <w:t>below:</w:t>
      </w:r>
    </w:p>
    <w:p w:rsidR="007C5447" w:rsidRDefault="007C5447">
      <w:pPr>
        <w:pStyle w:val="BodyText"/>
        <w:spacing w:before="11"/>
        <w:rPr>
          <w:sz w:val="20"/>
        </w:rPr>
      </w:pPr>
    </w:p>
    <w:p w:rsidR="007C5447" w:rsidRDefault="00F6308C">
      <w:pPr>
        <w:ind w:left="1354" w:right="1433"/>
        <w:jc w:val="center"/>
        <w:rPr>
          <w:b/>
        </w:rPr>
      </w:pPr>
      <w:r>
        <w:rPr>
          <w:b/>
        </w:rPr>
        <w:t>Table 4-43: Approved Energy Charges (Rs./kWh)</w:t>
      </w:r>
    </w:p>
    <w:p w:rsidR="007C5447" w:rsidRDefault="007C5447">
      <w:pPr>
        <w:pStyle w:val="BodyText"/>
        <w:spacing w:before="10" w:after="1"/>
        <w:rPr>
          <w:b/>
          <w:sz w:val="16"/>
        </w:rPr>
      </w:pPr>
    </w:p>
    <w:tbl>
      <w:tblPr>
        <w:tblW w:w="0" w:type="auto"/>
        <w:tblInd w:w="8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2"/>
        <w:gridCol w:w="1278"/>
        <w:gridCol w:w="1275"/>
        <w:gridCol w:w="1278"/>
        <w:gridCol w:w="1280"/>
        <w:gridCol w:w="1439"/>
        <w:gridCol w:w="1273"/>
      </w:tblGrid>
      <w:tr w:rsidR="007C5447">
        <w:trPr>
          <w:trHeight w:val="330"/>
        </w:trPr>
        <w:tc>
          <w:tcPr>
            <w:tcW w:w="2552" w:type="dxa"/>
            <w:vMerge w:val="restart"/>
            <w:shd w:val="clear" w:color="auto" w:fill="F7C9AC"/>
          </w:tcPr>
          <w:p w:rsidR="007C5447" w:rsidRDefault="007C5447">
            <w:pPr>
              <w:pStyle w:val="TableParagraph"/>
              <w:spacing w:before="2"/>
              <w:jc w:val="left"/>
              <w:rPr>
                <w:b/>
                <w:sz w:val="19"/>
              </w:rPr>
            </w:pPr>
          </w:p>
          <w:p w:rsidR="007C5447" w:rsidRDefault="00F6308C">
            <w:pPr>
              <w:pStyle w:val="TableParagraph"/>
              <w:ind w:left="108"/>
              <w:jc w:val="left"/>
              <w:rPr>
                <w:b/>
                <w:sz w:val="20"/>
              </w:rPr>
            </w:pPr>
            <w:r>
              <w:rPr>
                <w:b/>
                <w:sz w:val="20"/>
              </w:rPr>
              <w:t>Particulars</w:t>
            </w:r>
          </w:p>
        </w:tc>
        <w:tc>
          <w:tcPr>
            <w:tcW w:w="3831" w:type="dxa"/>
            <w:gridSpan w:val="3"/>
            <w:shd w:val="clear" w:color="auto" w:fill="F7C9AC"/>
          </w:tcPr>
          <w:p w:rsidR="007C5447" w:rsidRDefault="00F6308C">
            <w:pPr>
              <w:pStyle w:val="TableParagraph"/>
              <w:spacing w:before="50"/>
              <w:ind w:left="765"/>
              <w:jc w:val="left"/>
              <w:rPr>
                <w:b/>
                <w:sz w:val="20"/>
              </w:rPr>
            </w:pPr>
            <w:r>
              <w:rPr>
                <w:b/>
                <w:sz w:val="20"/>
              </w:rPr>
              <w:t>TANGEDCO’s submission</w:t>
            </w:r>
          </w:p>
        </w:tc>
        <w:tc>
          <w:tcPr>
            <w:tcW w:w="3992" w:type="dxa"/>
            <w:gridSpan w:val="3"/>
            <w:shd w:val="clear" w:color="auto" w:fill="F7C9AC"/>
          </w:tcPr>
          <w:p w:rsidR="007C5447" w:rsidRDefault="00F6308C">
            <w:pPr>
              <w:pStyle w:val="TableParagraph"/>
              <w:spacing w:before="50"/>
              <w:ind w:left="1443" w:right="1443"/>
              <w:jc w:val="center"/>
              <w:rPr>
                <w:b/>
                <w:sz w:val="20"/>
              </w:rPr>
            </w:pPr>
            <w:r>
              <w:rPr>
                <w:b/>
                <w:sz w:val="20"/>
              </w:rPr>
              <w:t>Commission</w:t>
            </w:r>
          </w:p>
        </w:tc>
      </w:tr>
      <w:tr w:rsidR="007C5447">
        <w:trPr>
          <w:trHeight w:val="328"/>
        </w:trPr>
        <w:tc>
          <w:tcPr>
            <w:tcW w:w="2552" w:type="dxa"/>
            <w:vMerge/>
            <w:tcBorders>
              <w:top w:val="nil"/>
            </w:tcBorders>
            <w:shd w:val="clear" w:color="auto" w:fill="F7C9AC"/>
          </w:tcPr>
          <w:p w:rsidR="007C5447" w:rsidRDefault="007C5447">
            <w:pPr>
              <w:rPr>
                <w:sz w:val="2"/>
                <w:szCs w:val="2"/>
              </w:rPr>
            </w:pPr>
          </w:p>
        </w:tc>
        <w:tc>
          <w:tcPr>
            <w:tcW w:w="1278" w:type="dxa"/>
            <w:shd w:val="clear" w:color="auto" w:fill="F7C9AC"/>
          </w:tcPr>
          <w:p w:rsidR="007C5447" w:rsidRDefault="00F6308C">
            <w:pPr>
              <w:pStyle w:val="TableParagraph"/>
              <w:spacing w:before="50"/>
              <w:ind w:right="133"/>
              <w:rPr>
                <w:b/>
                <w:sz w:val="20"/>
              </w:rPr>
            </w:pPr>
            <w:r>
              <w:rPr>
                <w:b/>
                <w:sz w:val="20"/>
              </w:rPr>
              <w:t>FY 2016-17</w:t>
            </w:r>
          </w:p>
        </w:tc>
        <w:tc>
          <w:tcPr>
            <w:tcW w:w="1275" w:type="dxa"/>
            <w:shd w:val="clear" w:color="auto" w:fill="F7C9AC"/>
          </w:tcPr>
          <w:p w:rsidR="007C5447" w:rsidRDefault="00F6308C">
            <w:pPr>
              <w:pStyle w:val="TableParagraph"/>
              <w:spacing w:before="50"/>
              <w:ind w:right="131"/>
              <w:rPr>
                <w:b/>
                <w:sz w:val="20"/>
              </w:rPr>
            </w:pPr>
            <w:r>
              <w:rPr>
                <w:b/>
                <w:sz w:val="20"/>
              </w:rPr>
              <w:t>FY 2017-18</w:t>
            </w:r>
          </w:p>
        </w:tc>
        <w:tc>
          <w:tcPr>
            <w:tcW w:w="1278" w:type="dxa"/>
            <w:shd w:val="clear" w:color="auto" w:fill="F7C9AC"/>
          </w:tcPr>
          <w:p w:rsidR="007C5447" w:rsidRDefault="00F6308C">
            <w:pPr>
              <w:pStyle w:val="TableParagraph"/>
              <w:spacing w:before="50"/>
              <w:ind w:right="134"/>
              <w:rPr>
                <w:b/>
                <w:sz w:val="20"/>
              </w:rPr>
            </w:pPr>
            <w:r>
              <w:rPr>
                <w:b/>
                <w:sz w:val="20"/>
              </w:rPr>
              <w:t>FY 2018-19</w:t>
            </w:r>
          </w:p>
        </w:tc>
        <w:tc>
          <w:tcPr>
            <w:tcW w:w="1280" w:type="dxa"/>
            <w:tcBorders>
              <w:right w:val="single" w:sz="6" w:space="0" w:color="000000"/>
            </w:tcBorders>
            <w:shd w:val="clear" w:color="auto" w:fill="F7C9AC"/>
          </w:tcPr>
          <w:p w:rsidR="007C5447" w:rsidRDefault="00F6308C">
            <w:pPr>
              <w:pStyle w:val="TableParagraph"/>
              <w:spacing w:before="50"/>
              <w:ind w:right="135"/>
              <w:rPr>
                <w:b/>
                <w:sz w:val="20"/>
              </w:rPr>
            </w:pPr>
            <w:r>
              <w:rPr>
                <w:b/>
                <w:sz w:val="20"/>
              </w:rPr>
              <w:t>FY 2016-17</w:t>
            </w:r>
          </w:p>
        </w:tc>
        <w:tc>
          <w:tcPr>
            <w:tcW w:w="1439" w:type="dxa"/>
            <w:tcBorders>
              <w:left w:val="single" w:sz="6" w:space="0" w:color="000000"/>
            </w:tcBorders>
            <w:shd w:val="clear" w:color="auto" w:fill="F7C9AC"/>
          </w:tcPr>
          <w:p w:rsidR="007C5447" w:rsidRDefault="00F6308C">
            <w:pPr>
              <w:pStyle w:val="TableParagraph"/>
              <w:spacing w:before="50"/>
              <w:ind w:left="220"/>
              <w:jc w:val="left"/>
              <w:rPr>
                <w:b/>
                <w:sz w:val="20"/>
              </w:rPr>
            </w:pPr>
            <w:r>
              <w:rPr>
                <w:b/>
                <w:sz w:val="20"/>
              </w:rPr>
              <w:t>FY 2017-18</w:t>
            </w:r>
          </w:p>
        </w:tc>
        <w:tc>
          <w:tcPr>
            <w:tcW w:w="1273" w:type="dxa"/>
            <w:shd w:val="clear" w:color="auto" w:fill="F7C9AC"/>
          </w:tcPr>
          <w:p w:rsidR="007C5447" w:rsidRDefault="00F6308C">
            <w:pPr>
              <w:pStyle w:val="TableParagraph"/>
              <w:spacing w:before="50"/>
              <w:ind w:right="134"/>
              <w:rPr>
                <w:b/>
                <w:sz w:val="20"/>
              </w:rPr>
            </w:pPr>
            <w:r>
              <w:rPr>
                <w:b/>
                <w:sz w:val="20"/>
              </w:rPr>
              <w:t>FY 2018-19</w:t>
            </w:r>
          </w:p>
        </w:tc>
      </w:tr>
      <w:tr w:rsidR="007C5447">
        <w:trPr>
          <w:trHeight w:val="302"/>
        </w:trPr>
        <w:tc>
          <w:tcPr>
            <w:tcW w:w="2552" w:type="dxa"/>
            <w:shd w:val="clear" w:color="auto" w:fill="BEBEBE"/>
          </w:tcPr>
          <w:p w:rsidR="007C5447" w:rsidRDefault="00F6308C">
            <w:pPr>
              <w:pStyle w:val="TableParagraph"/>
              <w:spacing w:before="55" w:line="227" w:lineRule="exact"/>
              <w:ind w:left="108"/>
              <w:jc w:val="left"/>
              <w:rPr>
                <w:b/>
                <w:sz w:val="20"/>
              </w:rPr>
            </w:pPr>
            <w:r>
              <w:rPr>
                <w:b/>
                <w:sz w:val="20"/>
              </w:rPr>
              <w:t>Coal Thermal</w:t>
            </w:r>
          </w:p>
        </w:tc>
        <w:tc>
          <w:tcPr>
            <w:tcW w:w="1278" w:type="dxa"/>
            <w:shd w:val="clear" w:color="auto" w:fill="BEBEBE"/>
          </w:tcPr>
          <w:p w:rsidR="007C5447" w:rsidRDefault="007C5447">
            <w:pPr>
              <w:pStyle w:val="TableParagraph"/>
              <w:jc w:val="left"/>
              <w:rPr>
                <w:sz w:val="20"/>
              </w:rPr>
            </w:pPr>
          </w:p>
        </w:tc>
        <w:tc>
          <w:tcPr>
            <w:tcW w:w="1275" w:type="dxa"/>
            <w:shd w:val="clear" w:color="auto" w:fill="BEBEBE"/>
          </w:tcPr>
          <w:p w:rsidR="007C5447" w:rsidRDefault="007C5447">
            <w:pPr>
              <w:pStyle w:val="TableParagraph"/>
              <w:jc w:val="left"/>
              <w:rPr>
                <w:sz w:val="20"/>
              </w:rPr>
            </w:pPr>
          </w:p>
        </w:tc>
        <w:tc>
          <w:tcPr>
            <w:tcW w:w="1278" w:type="dxa"/>
            <w:shd w:val="clear" w:color="auto" w:fill="BEBEBE"/>
          </w:tcPr>
          <w:p w:rsidR="007C5447" w:rsidRDefault="007C5447">
            <w:pPr>
              <w:pStyle w:val="TableParagraph"/>
              <w:jc w:val="left"/>
              <w:rPr>
                <w:sz w:val="20"/>
              </w:rPr>
            </w:pPr>
          </w:p>
        </w:tc>
        <w:tc>
          <w:tcPr>
            <w:tcW w:w="1280" w:type="dxa"/>
            <w:tcBorders>
              <w:right w:val="single" w:sz="6" w:space="0" w:color="000000"/>
            </w:tcBorders>
            <w:shd w:val="clear" w:color="auto" w:fill="BEBEBE"/>
          </w:tcPr>
          <w:p w:rsidR="007C5447" w:rsidRDefault="007C5447">
            <w:pPr>
              <w:pStyle w:val="TableParagraph"/>
              <w:jc w:val="left"/>
              <w:rPr>
                <w:sz w:val="20"/>
              </w:rPr>
            </w:pPr>
          </w:p>
        </w:tc>
        <w:tc>
          <w:tcPr>
            <w:tcW w:w="1439" w:type="dxa"/>
            <w:tcBorders>
              <w:left w:val="single" w:sz="6" w:space="0" w:color="000000"/>
            </w:tcBorders>
            <w:shd w:val="clear" w:color="auto" w:fill="BEBEBE"/>
          </w:tcPr>
          <w:p w:rsidR="007C5447" w:rsidRDefault="007C5447">
            <w:pPr>
              <w:pStyle w:val="TableParagraph"/>
              <w:jc w:val="left"/>
              <w:rPr>
                <w:sz w:val="20"/>
              </w:rPr>
            </w:pPr>
          </w:p>
        </w:tc>
        <w:tc>
          <w:tcPr>
            <w:tcW w:w="1273" w:type="dxa"/>
            <w:shd w:val="clear" w:color="auto" w:fill="BEBEBE"/>
          </w:tcPr>
          <w:p w:rsidR="007C5447" w:rsidRDefault="007C5447">
            <w:pPr>
              <w:pStyle w:val="TableParagraph"/>
              <w:jc w:val="left"/>
              <w:rPr>
                <w:sz w:val="20"/>
              </w:rPr>
            </w:pPr>
          </w:p>
        </w:tc>
      </w:tr>
      <w:tr w:rsidR="007C5447">
        <w:trPr>
          <w:trHeight w:val="299"/>
        </w:trPr>
        <w:tc>
          <w:tcPr>
            <w:tcW w:w="2552" w:type="dxa"/>
          </w:tcPr>
          <w:p w:rsidR="007C5447" w:rsidRDefault="00F6308C">
            <w:pPr>
              <w:pStyle w:val="TableParagraph"/>
              <w:spacing w:before="55" w:line="224" w:lineRule="exact"/>
              <w:ind w:left="108"/>
              <w:jc w:val="left"/>
              <w:rPr>
                <w:sz w:val="20"/>
              </w:rPr>
            </w:pPr>
            <w:r>
              <w:rPr>
                <w:sz w:val="20"/>
              </w:rPr>
              <w:t>Ennore TPS</w:t>
            </w:r>
          </w:p>
        </w:tc>
        <w:tc>
          <w:tcPr>
            <w:tcW w:w="1278" w:type="dxa"/>
          </w:tcPr>
          <w:p w:rsidR="007C5447" w:rsidRDefault="00F6308C">
            <w:pPr>
              <w:pStyle w:val="TableParagraph"/>
              <w:spacing w:before="34"/>
              <w:ind w:right="99"/>
              <w:rPr>
                <w:sz w:val="20"/>
              </w:rPr>
            </w:pPr>
            <w:r>
              <w:rPr>
                <w:sz w:val="20"/>
              </w:rPr>
              <w:t>3.90</w:t>
            </w:r>
          </w:p>
        </w:tc>
        <w:tc>
          <w:tcPr>
            <w:tcW w:w="1275" w:type="dxa"/>
          </w:tcPr>
          <w:p w:rsidR="007C5447" w:rsidRDefault="00F6308C">
            <w:pPr>
              <w:pStyle w:val="TableParagraph"/>
              <w:spacing w:before="34"/>
              <w:ind w:right="96"/>
              <w:rPr>
                <w:sz w:val="20"/>
              </w:rPr>
            </w:pPr>
            <w:r>
              <w:rPr>
                <w:w w:val="99"/>
                <w:sz w:val="20"/>
              </w:rPr>
              <w:t>-</w:t>
            </w:r>
          </w:p>
        </w:tc>
        <w:tc>
          <w:tcPr>
            <w:tcW w:w="1278" w:type="dxa"/>
          </w:tcPr>
          <w:p w:rsidR="007C5447" w:rsidRDefault="00F6308C">
            <w:pPr>
              <w:pStyle w:val="TableParagraph"/>
              <w:spacing w:before="34"/>
              <w:ind w:right="99"/>
              <w:rPr>
                <w:sz w:val="20"/>
              </w:rPr>
            </w:pPr>
            <w:r>
              <w:rPr>
                <w:w w:val="99"/>
                <w:sz w:val="20"/>
              </w:rPr>
              <w:t>-</w:t>
            </w:r>
          </w:p>
        </w:tc>
        <w:tc>
          <w:tcPr>
            <w:tcW w:w="1280" w:type="dxa"/>
            <w:tcBorders>
              <w:right w:val="single" w:sz="6" w:space="0" w:color="000000"/>
            </w:tcBorders>
          </w:tcPr>
          <w:p w:rsidR="007C5447" w:rsidRDefault="00F6308C">
            <w:pPr>
              <w:pStyle w:val="TableParagraph"/>
              <w:spacing w:before="34"/>
              <w:ind w:right="96"/>
              <w:rPr>
                <w:sz w:val="20"/>
              </w:rPr>
            </w:pPr>
            <w:r>
              <w:rPr>
                <w:sz w:val="20"/>
              </w:rPr>
              <w:t>3.90</w:t>
            </w:r>
          </w:p>
        </w:tc>
        <w:tc>
          <w:tcPr>
            <w:tcW w:w="1439" w:type="dxa"/>
            <w:tcBorders>
              <w:left w:val="single" w:sz="6" w:space="0" w:color="000000"/>
            </w:tcBorders>
          </w:tcPr>
          <w:p w:rsidR="007C5447" w:rsidRDefault="00F6308C">
            <w:pPr>
              <w:pStyle w:val="TableParagraph"/>
              <w:spacing w:before="34"/>
              <w:ind w:right="101"/>
              <w:rPr>
                <w:sz w:val="20"/>
              </w:rPr>
            </w:pPr>
            <w:r>
              <w:rPr>
                <w:w w:val="99"/>
                <w:sz w:val="20"/>
              </w:rPr>
              <w:t>-</w:t>
            </w:r>
          </w:p>
        </w:tc>
        <w:tc>
          <w:tcPr>
            <w:tcW w:w="1273" w:type="dxa"/>
          </w:tcPr>
          <w:p w:rsidR="007C5447" w:rsidRDefault="00F6308C">
            <w:pPr>
              <w:pStyle w:val="TableParagraph"/>
              <w:spacing w:before="34"/>
              <w:ind w:right="101"/>
              <w:rPr>
                <w:sz w:val="20"/>
              </w:rPr>
            </w:pPr>
            <w:r>
              <w:rPr>
                <w:w w:val="99"/>
                <w:sz w:val="20"/>
              </w:rPr>
              <w:t>-</w:t>
            </w:r>
          </w:p>
        </w:tc>
      </w:tr>
      <w:tr w:rsidR="007C5447">
        <w:trPr>
          <w:trHeight w:val="299"/>
        </w:trPr>
        <w:tc>
          <w:tcPr>
            <w:tcW w:w="2552" w:type="dxa"/>
          </w:tcPr>
          <w:p w:rsidR="007C5447" w:rsidRDefault="00F6308C">
            <w:pPr>
              <w:pStyle w:val="TableParagraph"/>
              <w:spacing w:before="55" w:line="224" w:lineRule="exact"/>
              <w:ind w:left="108"/>
              <w:jc w:val="left"/>
              <w:rPr>
                <w:sz w:val="20"/>
              </w:rPr>
            </w:pPr>
            <w:r>
              <w:rPr>
                <w:sz w:val="20"/>
              </w:rPr>
              <w:t>Ennore Expansion II</w:t>
            </w:r>
          </w:p>
        </w:tc>
        <w:tc>
          <w:tcPr>
            <w:tcW w:w="1278" w:type="dxa"/>
          </w:tcPr>
          <w:p w:rsidR="007C5447" w:rsidRDefault="00F6308C">
            <w:pPr>
              <w:pStyle w:val="TableParagraph"/>
              <w:spacing w:before="34"/>
              <w:ind w:right="98"/>
              <w:rPr>
                <w:sz w:val="20"/>
              </w:rPr>
            </w:pPr>
            <w:r>
              <w:rPr>
                <w:w w:val="99"/>
                <w:sz w:val="20"/>
              </w:rPr>
              <w:t>-</w:t>
            </w:r>
          </w:p>
        </w:tc>
        <w:tc>
          <w:tcPr>
            <w:tcW w:w="1275" w:type="dxa"/>
          </w:tcPr>
          <w:p w:rsidR="007C5447" w:rsidRDefault="00F6308C">
            <w:pPr>
              <w:pStyle w:val="TableParagraph"/>
              <w:spacing w:before="34"/>
              <w:ind w:right="96"/>
              <w:rPr>
                <w:sz w:val="20"/>
              </w:rPr>
            </w:pPr>
            <w:r>
              <w:rPr>
                <w:w w:val="99"/>
                <w:sz w:val="20"/>
              </w:rPr>
              <w:t>-</w:t>
            </w:r>
          </w:p>
        </w:tc>
        <w:tc>
          <w:tcPr>
            <w:tcW w:w="1278" w:type="dxa"/>
          </w:tcPr>
          <w:p w:rsidR="007C5447" w:rsidRDefault="00F6308C">
            <w:pPr>
              <w:pStyle w:val="TableParagraph"/>
              <w:spacing w:before="34"/>
              <w:ind w:right="98"/>
              <w:rPr>
                <w:sz w:val="20"/>
              </w:rPr>
            </w:pPr>
            <w:r>
              <w:rPr>
                <w:sz w:val="20"/>
              </w:rPr>
              <w:t>2.64</w:t>
            </w:r>
          </w:p>
        </w:tc>
        <w:tc>
          <w:tcPr>
            <w:tcW w:w="1280" w:type="dxa"/>
            <w:tcBorders>
              <w:right w:val="single" w:sz="6" w:space="0" w:color="000000"/>
            </w:tcBorders>
          </w:tcPr>
          <w:p w:rsidR="007C5447" w:rsidRDefault="00F6308C">
            <w:pPr>
              <w:pStyle w:val="TableParagraph"/>
              <w:spacing w:before="34"/>
              <w:ind w:right="97"/>
              <w:rPr>
                <w:sz w:val="20"/>
              </w:rPr>
            </w:pPr>
            <w:r>
              <w:rPr>
                <w:w w:val="99"/>
                <w:sz w:val="20"/>
              </w:rPr>
              <w:t>-</w:t>
            </w:r>
          </w:p>
        </w:tc>
        <w:tc>
          <w:tcPr>
            <w:tcW w:w="1439" w:type="dxa"/>
            <w:tcBorders>
              <w:left w:val="single" w:sz="6" w:space="0" w:color="000000"/>
            </w:tcBorders>
          </w:tcPr>
          <w:p w:rsidR="007C5447" w:rsidRDefault="00F6308C">
            <w:pPr>
              <w:pStyle w:val="TableParagraph"/>
              <w:spacing w:before="34"/>
              <w:ind w:right="101"/>
              <w:rPr>
                <w:sz w:val="20"/>
              </w:rPr>
            </w:pPr>
            <w:r>
              <w:rPr>
                <w:w w:val="99"/>
                <w:sz w:val="20"/>
              </w:rPr>
              <w:t>-</w:t>
            </w:r>
          </w:p>
        </w:tc>
        <w:tc>
          <w:tcPr>
            <w:tcW w:w="1273" w:type="dxa"/>
          </w:tcPr>
          <w:p w:rsidR="007C5447" w:rsidRDefault="00F6308C">
            <w:pPr>
              <w:pStyle w:val="TableParagraph"/>
              <w:spacing w:before="34"/>
              <w:ind w:right="103"/>
              <w:rPr>
                <w:sz w:val="20"/>
              </w:rPr>
            </w:pPr>
            <w:r>
              <w:rPr>
                <w:sz w:val="20"/>
              </w:rPr>
              <w:t>2.64</w:t>
            </w:r>
          </w:p>
        </w:tc>
      </w:tr>
      <w:tr w:rsidR="007C5447">
        <w:trPr>
          <w:trHeight w:val="299"/>
        </w:trPr>
        <w:tc>
          <w:tcPr>
            <w:tcW w:w="2552" w:type="dxa"/>
          </w:tcPr>
          <w:p w:rsidR="007C5447" w:rsidRDefault="00F6308C">
            <w:pPr>
              <w:pStyle w:val="TableParagraph"/>
              <w:spacing w:before="55" w:line="224" w:lineRule="exact"/>
              <w:ind w:left="108"/>
              <w:jc w:val="left"/>
              <w:rPr>
                <w:sz w:val="20"/>
              </w:rPr>
            </w:pPr>
            <w:r>
              <w:rPr>
                <w:sz w:val="20"/>
              </w:rPr>
              <w:t>Tuticorin TPS</w:t>
            </w:r>
          </w:p>
        </w:tc>
        <w:tc>
          <w:tcPr>
            <w:tcW w:w="1278" w:type="dxa"/>
          </w:tcPr>
          <w:p w:rsidR="007C5447" w:rsidRDefault="00F6308C">
            <w:pPr>
              <w:pStyle w:val="TableParagraph"/>
              <w:spacing w:before="36"/>
              <w:ind w:right="99"/>
              <w:rPr>
                <w:sz w:val="20"/>
              </w:rPr>
            </w:pPr>
            <w:r>
              <w:rPr>
                <w:sz w:val="20"/>
              </w:rPr>
              <w:t>3.39</w:t>
            </w:r>
          </w:p>
        </w:tc>
        <w:tc>
          <w:tcPr>
            <w:tcW w:w="1275" w:type="dxa"/>
          </w:tcPr>
          <w:p w:rsidR="007C5447" w:rsidRDefault="00F6308C">
            <w:pPr>
              <w:pStyle w:val="TableParagraph"/>
              <w:spacing w:before="36"/>
              <w:ind w:right="97"/>
              <w:rPr>
                <w:sz w:val="20"/>
              </w:rPr>
            </w:pPr>
            <w:r>
              <w:rPr>
                <w:sz w:val="20"/>
              </w:rPr>
              <w:t>3.27</w:t>
            </w:r>
          </w:p>
        </w:tc>
        <w:tc>
          <w:tcPr>
            <w:tcW w:w="1278" w:type="dxa"/>
          </w:tcPr>
          <w:p w:rsidR="007C5447" w:rsidRDefault="00F6308C">
            <w:pPr>
              <w:pStyle w:val="TableParagraph"/>
              <w:spacing w:before="36"/>
              <w:ind w:right="100"/>
              <w:rPr>
                <w:sz w:val="20"/>
              </w:rPr>
            </w:pPr>
            <w:r>
              <w:rPr>
                <w:sz w:val="20"/>
              </w:rPr>
              <w:t>3.36</w:t>
            </w:r>
          </w:p>
        </w:tc>
        <w:tc>
          <w:tcPr>
            <w:tcW w:w="1280" w:type="dxa"/>
            <w:tcBorders>
              <w:right w:val="single" w:sz="6" w:space="0" w:color="000000"/>
            </w:tcBorders>
          </w:tcPr>
          <w:p w:rsidR="007C5447" w:rsidRDefault="00F6308C">
            <w:pPr>
              <w:pStyle w:val="TableParagraph"/>
              <w:spacing w:before="36"/>
              <w:ind w:right="98"/>
              <w:rPr>
                <w:sz w:val="20"/>
              </w:rPr>
            </w:pPr>
            <w:r>
              <w:rPr>
                <w:sz w:val="20"/>
              </w:rPr>
              <w:t>3.40</w:t>
            </w:r>
          </w:p>
        </w:tc>
        <w:tc>
          <w:tcPr>
            <w:tcW w:w="1439" w:type="dxa"/>
            <w:tcBorders>
              <w:left w:val="single" w:sz="6" w:space="0" w:color="000000"/>
            </w:tcBorders>
          </w:tcPr>
          <w:p w:rsidR="007C5447" w:rsidRDefault="00F6308C">
            <w:pPr>
              <w:pStyle w:val="TableParagraph"/>
              <w:spacing w:before="36"/>
              <w:ind w:right="102"/>
              <w:rPr>
                <w:sz w:val="20"/>
              </w:rPr>
            </w:pPr>
            <w:r>
              <w:rPr>
                <w:sz w:val="20"/>
              </w:rPr>
              <w:t>3.02</w:t>
            </w:r>
          </w:p>
        </w:tc>
        <w:tc>
          <w:tcPr>
            <w:tcW w:w="1273" w:type="dxa"/>
          </w:tcPr>
          <w:p w:rsidR="007C5447" w:rsidRDefault="00F6308C">
            <w:pPr>
              <w:pStyle w:val="TableParagraph"/>
              <w:spacing w:before="36"/>
              <w:ind w:right="103"/>
              <w:rPr>
                <w:sz w:val="20"/>
              </w:rPr>
            </w:pPr>
            <w:r>
              <w:rPr>
                <w:sz w:val="20"/>
              </w:rPr>
              <w:t>3.11</w:t>
            </w:r>
          </w:p>
        </w:tc>
      </w:tr>
      <w:tr w:rsidR="007C5447">
        <w:trPr>
          <w:trHeight w:val="299"/>
        </w:trPr>
        <w:tc>
          <w:tcPr>
            <w:tcW w:w="2552" w:type="dxa"/>
          </w:tcPr>
          <w:p w:rsidR="007C5447" w:rsidRDefault="00F6308C">
            <w:pPr>
              <w:pStyle w:val="TableParagraph"/>
              <w:spacing w:before="55" w:line="224" w:lineRule="exact"/>
              <w:ind w:left="108"/>
              <w:jc w:val="left"/>
              <w:rPr>
                <w:sz w:val="20"/>
              </w:rPr>
            </w:pPr>
            <w:r>
              <w:rPr>
                <w:sz w:val="20"/>
              </w:rPr>
              <w:t>Mettur TPS</w:t>
            </w:r>
          </w:p>
        </w:tc>
        <w:tc>
          <w:tcPr>
            <w:tcW w:w="1278" w:type="dxa"/>
          </w:tcPr>
          <w:p w:rsidR="007C5447" w:rsidRDefault="00F6308C">
            <w:pPr>
              <w:pStyle w:val="TableParagraph"/>
              <w:spacing w:before="36"/>
              <w:ind w:right="96"/>
              <w:rPr>
                <w:sz w:val="20"/>
              </w:rPr>
            </w:pPr>
            <w:r>
              <w:rPr>
                <w:sz w:val="20"/>
              </w:rPr>
              <w:t>3.84</w:t>
            </w:r>
          </w:p>
        </w:tc>
        <w:tc>
          <w:tcPr>
            <w:tcW w:w="1275" w:type="dxa"/>
          </w:tcPr>
          <w:p w:rsidR="007C5447" w:rsidRDefault="00F6308C">
            <w:pPr>
              <w:pStyle w:val="TableParagraph"/>
              <w:spacing w:before="36"/>
              <w:ind w:right="97"/>
              <w:rPr>
                <w:sz w:val="20"/>
              </w:rPr>
            </w:pPr>
            <w:r>
              <w:rPr>
                <w:sz w:val="20"/>
              </w:rPr>
              <w:t>3.43</w:t>
            </w:r>
          </w:p>
        </w:tc>
        <w:tc>
          <w:tcPr>
            <w:tcW w:w="1278" w:type="dxa"/>
          </w:tcPr>
          <w:p w:rsidR="007C5447" w:rsidRDefault="00F6308C">
            <w:pPr>
              <w:pStyle w:val="TableParagraph"/>
              <w:spacing w:before="36"/>
              <w:ind w:right="100"/>
              <w:rPr>
                <w:sz w:val="20"/>
              </w:rPr>
            </w:pPr>
            <w:r>
              <w:rPr>
                <w:sz w:val="20"/>
              </w:rPr>
              <w:t>3.54</w:t>
            </w:r>
          </w:p>
        </w:tc>
        <w:tc>
          <w:tcPr>
            <w:tcW w:w="1280" w:type="dxa"/>
            <w:tcBorders>
              <w:right w:val="single" w:sz="6" w:space="0" w:color="000000"/>
            </w:tcBorders>
          </w:tcPr>
          <w:p w:rsidR="007C5447" w:rsidRDefault="00F6308C">
            <w:pPr>
              <w:pStyle w:val="TableParagraph"/>
              <w:spacing w:before="36"/>
              <w:ind w:right="98"/>
              <w:rPr>
                <w:sz w:val="20"/>
              </w:rPr>
            </w:pPr>
            <w:r>
              <w:rPr>
                <w:sz w:val="20"/>
              </w:rPr>
              <w:t>3.52</w:t>
            </w:r>
          </w:p>
        </w:tc>
        <w:tc>
          <w:tcPr>
            <w:tcW w:w="1439" w:type="dxa"/>
            <w:tcBorders>
              <w:left w:val="single" w:sz="6" w:space="0" w:color="000000"/>
            </w:tcBorders>
          </w:tcPr>
          <w:p w:rsidR="007C5447" w:rsidRDefault="00F6308C">
            <w:pPr>
              <w:pStyle w:val="TableParagraph"/>
              <w:spacing w:before="36"/>
              <w:ind w:right="102"/>
              <w:rPr>
                <w:sz w:val="20"/>
              </w:rPr>
            </w:pPr>
            <w:r>
              <w:rPr>
                <w:sz w:val="20"/>
              </w:rPr>
              <w:t>2.88</w:t>
            </w:r>
          </w:p>
        </w:tc>
        <w:tc>
          <w:tcPr>
            <w:tcW w:w="1273" w:type="dxa"/>
          </w:tcPr>
          <w:p w:rsidR="007C5447" w:rsidRDefault="00F6308C">
            <w:pPr>
              <w:pStyle w:val="TableParagraph"/>
              <w:spacing w:before="36"/>
              <w:ind w:right="103"/>
              <w:rPr>
                <w:sz w:val="20"/>
              </w:rPr>
            </w:pPr>
            <w:r>
              <w:rPr>
                <w:sz w:val="20"/>
              </w:rPr>
              <w:t>2.97</w:t>
            </w:r>
          </w:p>
        </w:tc>
      </w:tr>
      <w:tr w:rsidR="007C5447">
        <w:trPr>
          <w:trHeight w:val="300"/>
        </w:trPr>
        <w:tc>
          <w:tcPr>
            <w:tcW w:w="2552" w:type="dxa"/>
          </w:tcPr>
          <w:p w:rsidR="007C5447" w:rsidRDefault="00F6308C">
            <w:pPr>
              <w:pStyle w:val="TableParagraph"/>
              <w:spacing w:before="56" w:line="224" w:lineRule="exact"/>
              <w:ind w:left="108"/>
              <w:jc w:val="left"/>
              <w:rPr>
                <w:sz w:val="20"/>
              </w:rPr>
            </w:pPr>
            <w:r>
              <w:rPr>
                <w:sz w:val="20"/>
              </w:rPr>
              <w:t>Mettur Stage III TPS</w:t>
            </w:r>
          </w:p>
        </w:tc>
        <w:tc>
          <w:tcPr>
            <w:tcW w:w="1278" w:type="dxa"/>
          </w:tcPr>
          <w:p w:rsidR="007C5447" w:rsidRDefault="00F6308C">
            <w:pPr>
              <w:pStyle w:val="TableParagraph"/>
              <w:spacing w:before="37"/>
              <w:ind w:right="96"/>
              <w:rPr>
                <w:sz w:val="20"/>
              </w:rPr>
            </w:pPr>
            <w:r>
              <w:rPr>
                <w:sz w:val="20"/>
              </w:rPr>
              <w:t>3.65</w:t>
            </w:r>
          </w:p>
        </w:tc>
        <w:tc>
          <w:tcPr>
            <w:tcW w:w="1275" w:type="dxa"/>
          </w:tcPr>
          <w:p w:rsidR="007C5447" w:rsidRDefault="00F6308C">
            <w:pPr>
              <w:pStyle w:val="TableParagraph"/>
              <w:spacing w:before="37"/>
              <w:ind w:right="97"/>
              <w:rPr>
                <w:sz w:val="20"/>
              </w:rPr>
            </w:pPr>
            <w:r>
              <w:rPr>
                <w:sz w:val="20"/>
              </w:rPr>
              <w:t>3.45</w:t>
            </w:r>
          </w:p>
        </w:tc>
        <w:tc>
          <w:tcPr>
            <w:tcW w:w="1278" w:type="dxa"/>
          </w:tcPr>
          <w:p w:rsidR="007C5447" w:rsidRDefault="00F6308C">
            <w:pPr>
              <w:pStyle w:val="TableParagraph"/>
              <w:spacing w:before="37"/>
              <w:ind w:right="100"/>
              <w:rPr>
                <w:sz w:val="20"/>
              </w:rPr>
            </w:pPr>
            <w:r>
              <w:rPr>
                <w:sz w:val="20"/>
              </w:rPr>
              <w:t>3.56</w:t>
            </w:r>
          </w:p>
        </w:tc>
        <w:tc>
          <w:tcPr>
            <w:tcW w:w="1280" w:type="dxa"/>
            <w:tcBorders>
              <w:right w:val="single" w:sz="6" w:space="0" w:color="000000"/>
            </w:tcBorders>
          </w:tcPr>
          <w:p w:rsidR="007C5447" w:rsidRDefault="00F6308C">
            <w:pPr>
              <w:pStyle w:val="TableParagraph"/>
              <w:spacing w:before="37"/>
              <w:ind w:right="98"/>
              <w:rPr>
                <w:sz w:val="20"/>
              </w:rPr>
            </w:pPr>
            <w:r>
              <w:rPr>
                <w:sz w:val="20"/>
              </w:rPr>
              <w:t>3.63</w:t>
            </w:r>
          </w:p>
        </w:tc>
        <w:tc>
          <w:tcPr>
            <w:tcW w:w="1439" w:type="dxa"/>
            <w:tcBorders>
              <w:left w:val="single" w:sz="6" w:space="0" w:color="000000"/>
            </w:tcBorders>
          </w:tcPr>
          <w:p w:rsidR="007C5447" w:rsidRDefault="00F6308C">
            <w:pPr>
              <w:pStyle w:val="TableParagraph"/>
              <w:spacing w:before="37"/>
              <w:ind w:right="99"/>
              <w:rPr>
                <w:sz w:val="20"/>
              </w:rPr>
            </w:pPr>
            <w:r>
              <w:rPr>
                <w:sz w:val="20"/>
              </w:rPr>
              <w:t>2.97</w:t>
            </w:r>
          </w:p>
        </w:tc>
        <w:tc>
          <w:tcPr>
            <w:tcW w:w="1273" w:type="dxa"/>
          </w:tcPr>
          <w:p w:rsidR="007C5447" w:rsidRDefault="00F6308C">
            <w:pPr>
              <w:pStyle w:val="TableParagraph"/>
              <w:spacing w:before="37"/>
              <w:ind w:right="100"/>
              <w:rPr>
                <w:sz w:val="20"/>
              </w:rPr>
            </w:pPr>
            <w:r>
              <w:rPr>
                <w:sz w:val="20"/>
              </w:rPr>
              <w:t>3.06</w:t>
            </w:r>
          </w:p>
        </w:tc>
      </w:tr>
      <w:tr w:rsidR="007C5447">
        <w:trPr>
          <w:trHeight w:val="301"/>
        </w:trPr>
        <w:tc>
          <w:tcPr>
            <w:tcW w:w="2552" w:type="dxa"/>
          </w:tcPr>
          <w:p w:rsidR="007C5447" w:rsidRDefault="00F6308C">
            <w:pPr>
              <w:pStyle w:val="TableParagraph"/>
              <w:spacing w:before="55" w:line="227" w:lineRule="exact"/>
              <w:ind w:left="108"/>
              <w:jc w:val="left"/>
              <w:rPr>
                <w:sz w:val="20"/>
              </w:rPr>
            </w:pPr>
            <w:r>
              <w:rPr>
                <w:sz w:val="20"/>
              </w:rPr>
              <w:t>North Chennai TPS</w:t>
            </w:r>
          </w:p>
        </w:tc>
        <w:tc>
          <w:tcPr>
            <w:tcW w:w="1278" w:type="dxa"/>
          </w:tcPr>
          <w:p w:rsidR="007C5447" w:rsidRDefault="00F6308C">
            <w:pPr>
              <w:pStyle w:val="TableParagraph"/>
              <w:spacing w:before="36"/>
              <w:ind w:right="96"/>
              <w:rPr>
                <w:sz w:val="20"/>
              </w:rPr>
            </w:pPr>
            <w:r>
              <w:rPr>
                <w:sz w:val="20"/>
              </w:rPr>
              <w:t>2.36</w:t>
            </w:r>
          </w:p>
        </w:tc>
        <w:tc>
          <w:tcPr>
            <w:tcW w:w="1275" w:type="dxa"/>
          </w:tcPr>
          <w:p w:rsidR="007C5447" w:rsidRDefault="00F6308C">
            <w:pPr>
              <w:pStyle w:val="TableParagraph"/>
              <w:spacing w:before="36"/>
              <w:ind w:right="97"/>
              <w:rPr>
                <w:sz w:val="20"/>
              </w:rPr>
            </w:pPr>
            <w:r>
              <w:rPr>
                <w:sz w:val="20"/>
              </w:rPr>
              <w:t>2.29</w:t>
            </w:r>
          </w:p>
        </w:tc>
        <w:tc>
          <w:tcPr>
            <w:tcW w:w="1278" w:type="dxa"/>
          </w:tcPr>
          <w:p w:rsidR="007C5447" w:rsidRDefault="00F6308C">
            <w:pPr>
              <w:pStyle w:val="TableParagraph"/>
              <w:spacing w:before="36"/>
              <w:ind w:right="100"/>
              <w:rPr>
                <w:sz w:val="20"/>
              </w:rPr>
            </w:pPr>
            <w:r>
              <w:rPr>
                <w:sz w:val="20"/>
              </w:rPr>
              <w:t>2.37</w:t>
            </w:r>
          </w:p>
        </w:tc>
        <w:tc>
          <w:tcPr>
            <w:tcW w:w="1280" w:type="dxa"/>
            <w:tcBorders>
              <w:right w:val="single" w:sz="6" w:space="0" w:color="000000"/>
            </w:tcBorders>
          </w:tcPr>
          <w:p w:rsidR="007C5447" w:rsidRDefault="00F6308C">
            <w:pPr>
              <w:pStyle w:val="TableParagraph"/>
              <w:spacing w:before="36"/>
              <w:ind w:right="98"/>
              <w:rPr>
                <w:sz w:val="20"/>
              </w:rPr>
            </w:pPr>
            <w:r>
              <w:rPr>
                <w:sz w:val="20"/>
              </w:rPr>
              <w:t>2.48</w:t>
            </w:r>
          </w:p>
        </w:tc>
        <w:tc>
          <w:tcPr>
            <w:tcW w:w="1439" w:type="dxa"/>
            <w:tcBorders>
              <w:left w:val="single" w:sz="6" w:space="0" w:color="000000"/>
            </w:tcBorders>
          </w:tcPr>
          <w:p w:rsidR="007C5447" w:rsidRDefault="00F6308C">
            <w:pPr>
              <w:pStyle w:val="TableParagraph"/>
              <w:spacing w:before="36"/>
              <w:ind w:right="102"/>
              <w:rPr>
                <w:sz w:val="20"/>
              </w:rPr>
            </w:pPr>
            <w:r>
              <w:rPr>
                <w:sz w:val="20"/>
              </w:rPr>
              <w:t>2.29</w:t>
            </w:r>
          </w:p>
        </w:tc>
        <w:tc>
          <w:tcPr>
            <w:tcW w:w="1273" w:type="dxa"/>
          </w:tcPr>
          <w:p w:rsidR="007C5447" w:rsidRDefault="00F6308C">
            <w:pPr>
              <w:pStyle w:val="TableParagraph"/>
              <w:spacing w:before="36"/>
              <w:ind w:right="103"/>
              <w:rPr>
                <w:sz w:val="20"/>
              </w:rPr>
            </w:pPr>
            <w:r>
              <w:rPr>
                <w:sz w:val="20"/>
              </w:rPr>
              <w:t>2.30</w:t>
            </w:r>
          </w:p>
        </w:tc>
      </w:tr>
      <w:tr w:rsidR="007C5447">
        <w:trPr>
          <w:trHeight w:val="299"/>
        </w:trPr>
        <w:tc>
          <w:tcPr>
            <w:tcW w:w="2552" w:type="dxa"/>
          </w:tcPr>
          <w:p w:rsidR="007C5447" w:rsidRDefault="00F6308C">
            <w:pPr>
              <w:pStyle w:val="TableParagraph"/>
              <w:spacing w:before="55" w:line="224" w:lineRule="exact"/>
              <w:ind w:left="108"/>
              <w:jc w:val="left"/>
              <w:rPr>
                <w:sz w:val="20"/>
              </w:rPr>
            </w:pPr>
            <w:r>
              <w:rPr>
                <w:sz w:val="20"/>
              </w:rPr>
              <w:t>North Chennai Stage II TPS</w:t>
            </w:r>
          </w:p>
        </w:tc>
        <w:tc>
          <w:tcPr>
            <w:tcW w:w="1278" w:type="dxa"/>
          </w:tcPr>
          <w:p w:rsidR="007C5447" w:rsidRDefault="00F6308C">
            <w:pPr>
              <w:pStyle w:val="TableParagraph"/>
              <w:spacing w:before="34"/>
              <w:ind w:right="96"/>
              <w:rPr>
                <w:sz w:val="20"/>
              </w:rPr>
            </w:pPr>
            <w:r>
              <w:rPr>
                <w:sz w:val="20"/>
              </w:rPr>
              <w:t>1.98</w:t>
            </w:r>
          </w:p>
        </w:tc>
        <w:tc>
          <w:tcPr>
            <w:tcW w:w="1275" w:type="dxa"/>
          </w:tcPr>
          <w:p w:rsidR="007C5447" w:rsidRDefault="00F6308C">
            <w:pPr>
              <w:pStyle w:val="TableParagraph"/>
              <w:spacing w:before="34"/>
              <w:ind w:right="97"/>
              <w:rPr>
                <w:sz w:val="20"/>
              </w:rPr>
            </w:pPr>
            <w:r>
              <w:rPr>
                <w:sz w:val="20"/>
              </w:rPr>
              <w:t>2.64</w:t>
            </w:r>
          </w:p>
        </w:tc>
        <w:tc>
          <w:tcPr>
            <w:tcW w:w="1278" w:type="dxa"/>
          </w:tcPr>
          <w:p w:rsidR="007C5447" w:rsidRDefault="00F6308C">
            <w:pPr>
              <w:pStyle w:val="TableParagraph"/>
              <w:spacing w:before="34"/>
              <w:ind w:right="100"/>
              <w:rPr>
                <w:sz w:val="20"/>
              </w:rPr>
            </w:pPr>
            <w:r>
              <w:rPr>
                <w:sz w:val="20"/>
              </w:rPr>
              <w:t>2.73</w:t>
            </w:r>
          </w:p>
        </w:tc>
        <w:tc>
          <w:tcPr>
            <w:tcW w:w="1280" w:type="dxa"/>
            <w:tcBorders>
              <w:right w:val="single" w:sz="6" w:space="0" w:color="000000"/>
            </w:tcBorders>
          </w:tcPr>
          <w:p w:rsidR="007C5447" w:rsidRDefault="00F6308C">
            <w:pPr>
              <w:pStyle w:val="TableParagraph"/>
              <w:spacing w:before="34"/>
              <w:ind w:right="96"/>
              <w:rPr>
                <w:sz w:val="20"/>
              </w:rPr>
            </w:pPr>
            <w:r>
              <w:rPr>
                <w:sz w:val="20"/>
              </w:rPr>
              <w:t>2.36</w:t>
            </w:r>
          </w:p>
        </w:tc>
        <w:tc>
          <w:tcPr>
            <w:tcW w:w="1439" w:type="dxa"/>
            <w:tcBorders>
              <w:left w:val="single" w:sz="6" w:space="0" w:color="000000"/>
            </w:tcBorders>
          </w:tcPr>
          <w:p w:rsidR="007C5447" w:rsidRDefault="00F6308C">
            <w:pPr>
              <w:pStyle w:val="TableParagraph"/>
              <w:spacing w:before="34"/>
              <w:ind w:right="99"/>
              <w:rPr>
                <w:sz w:val="20"/>
              </w:rPr>
            </w:pPr>
            <w:r>
              <w:rPr>
                <w:sz w:val="20"/>
              </w:rPr>
              <w:t>2.11</w:t>
            </w:r>
          </w:p>
        </w:tc>
        <w:tc>
          <w:tcPr>
            <w:tcW w:w="1273" w:type="dxa"/>
          </w:tcPr>
          <w:p w:rsidR="007C5447" w:rsidRDefault="00F6308C">
            <w:pPr>
              <w:pStyle w:val="TableParagraph"/>
              <w:spacing w:before="34"/>
              <w:ind w:right="100"/>
              <w:rPr>
                <w:sz w:val="20"/>
              </w:rPr>
            </w:pPr>
            <w:r>
              <w:rPr>
                <w:sz w:val="20"/>
              </w:rPr>
              <w:t>2.18</w:t>
            </w:r>
          </w:p>
        </w:tc>
      </w:tr>
      <w:tr w:rsidR="007C5447">
        <w:trPr>
          <w:trHeight w:val="328"/>
        </w:trPr>
        <w:tc>
          <w:tcPr>
            <w:tcW w:w="2552" w:type="dxa"/>
            <w:shd w:val="clear" w:color="auto" w:fill="D9D9D9"/>
          </w:tcPr>
          <w:p w:rsidR="007C5447" w:rsidRDefault="00F6308C">
            <w:pPr>
              <w:pStyle w:val="TableParagraph"/>
              <w:spacing w:before="84" w:line="224" w:lineRule="exact"/>
              <w:ind w:left="108"/>
              <w:jc w:val="left"/>
              <w:rPr>
                <w:b/>
                <w:sz w:val="20"/>
              </w:rPr>
            </w:pPr>
            <w:r>
              <w:rPr>
                <w:b/>
                <w:sz w:val="20"/>
              </w:rPr>
              <w:t>Gas Thermal</w:t>
            </w:r>
          </w:p>
        </w:tc>
        <w:tc>
          <w:tcPr>
            <w:tcW w:w="1278" w:type="dxa"/>
            <w:shd w:val="clear" w:color="auto" w:fill="D9D9D9"/>
          </w:tcPr>
          <w:p w:rsidR="007C5447" w:rsidRDefault="007C5447">
            <w:pPr>
              <w:pStyle w:val="TableParagraph"/>
              <w:jc w:val="left"/>
              <w:rPr>
                <w:sz w:val="20"/>
              </w:rPr>
            </w:pPr>
          </w:p>
        </w:tc>
        <w:tc>
          <w:tcPr>
            <w:tcW w:w="1275" w:type="dxa"/>
            <w:shd w:val="clear" w:color="auto" w:fill="D9D9D9"/>
          </w:tcPr>
          <w:p w:rsidR="007C5447" w:rsidRDefault="007C5447">
            <w:pPr>
              <w:pStyle w:val="TableParagraph"/>
              <w:jc w:val="left"/>
              <w:rPr>
                <w:sz w:val="20"/>
              </w:rPr>
            </w:pPr>
          </w:p>
        </w:tc>
        <w:tc>
          <w:tcPr>
            <w:tcW w:w="1278" w:type="dxa"/>
            <w:shd w:val="clear" w:color="auto" w:fill="D9D9D9"/>
          </w:tcPr>
          <w:p w:rsidR="007C5447" w:rsidRDefault="007C5447">
            <w:pPr>
              <w:pStyle w:val="TableParagraph"/>
              <w:jc w:val="left"/>
              <w:rPr>
                <w:sz w:val="20"/>
              </w:rPr>
            </w:pPr>
          </w:p>
        </w:tc>
        <w:tc>
          <w:tcPr>
            <w:tcW w:w="1280" w:type="dxa"/>
            <w:tcBorders>
              <w:right w:val="single" w:sz="6" w:space="0" w:color="000000"/>
            </w:tcBorders>
            <w:shd w:val="clear" w:color="auto" w:fill="D9D9D9"/>
          </w:tcPr>
          <w:p w:rsidR="007C5447" w:rsidRDefault="007C5447">
            <w:pPr>
              <w:pStyle w:val="TableParagraph"/>
              <w:jc w:val="left"/>
              <w:rPr>
                <w:sz w:val="20"/>
              </w:rPr>
            </w:pPr>
          </w:p>
        </w:tc>
        <w:tc>
          <w:tcPr>
            <w:tcW w:w="1439" w:type="dxa"/>
            <w:tcBorders>
              <w:left w:val="single" w:sz="6" w:space="0" w:color="000000"/>
            </w:tcBorders>
            <w:shd w:val="clear" w:color="auto" w:fill="D9D9D9"/>
          </w:tcPr>
          <w:p w:rsidR="007C5447" w:rsidRDefault="007C5447">
            <w:pPr>
              <w:pStyle w:val="TableParagraph"/>
              <w:jc w:val="left"/>
              <w:rPr>
                <w:sz w:val="20"/>
              </w:rPr>
            </w:pPr>
          </w:p>
        </w:tc>
        <w:tc>
          <w:tcPr>
            <w:tcW w:w="1273" w:type="dxa"/>
            <w:shd w:val="clear" w:color="auto" w:fill="D9D9D9"/>
          </w:tcPr>
          <w:p w:rsidR="007C5447" w:rsidRDefault="007C5447">
            <w:pPr>
              <w:pStyle w:val="TableParagraph"/>
              <w:jc w:val="left"/>
              <w:rPr>
                <w:sz w:val="20"/>
              </w:rPr>
            </w:pPr>
          </w:p>
        </w:tc>
      </w:tr>
      <w:tr w:rsidR="007C5447">
        <w:trPr>
          <w:trHeight w:val="301"/>
        </w:trPr>
        <w:tc>
          <w:tcPr>
            <w:tcW w:w="2552" w:type="dxa"/>
          </w:tcPr>
          <w:p w:rsidR="007C5447" w:rsidRDefault="00F6308C">
            <w:pPr>
              <w:pStyle w:val="TableParagraph"/>
              <w:spacing w:before="55" w:line="227" w:lineRule="exact"/>
              <w:ind w:left="108"/>
              <w:jc w:val="left"/>
              <w:rPr>
                <w:sz w:val="20"/>
              </w:rPr>
            </w:pPr>
            <w:r>
              <w:rPr>
                <w:sz w:val="20"/>
              </w:rPr>
              <w:t>Tirumakottai GTPS</w:t>
            </w:r>
          </w:p>
        </w:tc>
        <w:tc>
          <w:tcPr>
            <w:tcW w:w="1278" w:type="dxa"/>
          </w:tcPr>
          <w:p w:rsidR="007C5447" w:rsidRDefault="00F6308C">
            <w:pPr>
              <w:pStyle w:val="TableParagraph"/>
              <w:spacing w:before="36"/>
              <w:ind w:right="96"/>
              <w:rPr>
                <w:sz w:val="20"/>
              </w:rPr>
            </w:pPr>
            <w:r>
              <w:rPr>
                <w:sz w:val="20"/>
              </w:rPr>
              <w:t>2.31</w:t>
            </w:r>
          </w:p>
        </w:tc>
        <w:tc>
          <w:tcPr>
            <w:tcW w:w="1275" w:type="dxa"/>
          </w:tcPr>
          <w:p w:rsidR="007C5447" w:rsidRDefault="00F6308C">
            <w:pPr>
              <w:pStyle w:val="TableParagraph"/>
              <w:spacing w:before="36"/>
              <w:ind w:right="97"/>
              <w:rPr>
                <w:sz w:val="20"/>
              </w:rPr>
            </w:pPr>
            <w:r>
              <w:rPr>
                <w:sz w:val="20"/>
              </w:rPr>
              <w:t>2.38</w:t>
            </w:r>
          </w:p>
        </w:tc>
        <w:tc>
          <w:tcPr>
            <w:tcW w:w="1278" w:type="dxa"/>
          </w:tcPr>
          <w:p w:rsidR="007C5447" w:rsidRDefault="00F6308C">
            <w:pPr>
              <w:pStyle w:val="TableParagraph"/>
              <w:spacing w:before="36"/>
              <w:ind w:right="100"/>
              <w:rPr>
                <w:sz w:val="20"/>
              </w:rPr>
            </w:pPr>
            <w:r>
              <w:rPr>
                <w:sz w:val="20"/>
              </w:rPr>
              <w:t>2.45</w:t>
            </w:r>
          </w:p>
        </w:tc>
        <w:tc>
          <w:tcPr>
            <w:tcW w:w="1280" w:type="dxa"/>
            <w:tcBorders>
              <w:right w:val="single" w:sz="6" w:space="0" w:color="000000"/>
            </w:tcBorders>
          </w:tcPr>
          <w:p w:rsidR="007C5447" w:rsidRDefault="00F6308C">
            <w:pPr>
              <w:pStyle w:val="TableParagraph"/>
              <w:spacing w:before="36"/>
              <w:ind w:right="98"/>
              <w:rPr>
                <w:sz w:val="20"/>
              </w:rPr>
            </w:pPr>
            <w:r>
              <w:rPr>
                <w:sz w:val="20"/>
              </w:rPr>
              <w:t>2.31</w:t>
            </w:r>
          </w:p>
        </w:tc>
        <w:tc>
          <w:tcPr>
            <w:tcW w:w="1439" w:type="dxa"/>
            <w:tcBorders>
              <w:left w:val="single" w:sz="6" w:space="0" w:color="000000"/>
            </w:tcBorders>
          </w:tcPr>
          <w:p w:rsidR="007C5447" w:rsidRDefault="00F6308C">
            <w:pPr>
              <w:pStyle w:val="TableParagraph"/>
              <w:spacing w:before="36"/>
              <w:ind w:right="102"/>
              <w:rPr>
                <w:sz w:val="20"/>
              </w:rPr>
            </w:pPr>
            <w:r>
              <w:rPr>
                <w:sz w:val="20"/>
              </w:rPr>
              <w:t>2.38</w:t>
            </w:r>
          </w:p>
        </w:tc>
        <w:tc>
          <w:tcPr>
            <w:tcW w:w="1273" w:type="dxa"/>
          </w:tcPr>
          <w:p w:rsidR="007C5447" w:rsidRDefault="00F6308C">
            <w:pPr>
              <w:pStyle w:val="TableParagraph"/>
              <w:spacing w:before="36"/>
              <w:ind w:right="103"/>
              <w:rPr>
                <w:sz w:val="20"/>
              </w:rPr>
            </w:pPr>
            <w:r>
              <w:rPr>
                <w:sz w:val="20"/>
              </w:rPr>
              <w:t>2.45</w:t>
            </w:r>
          </w:p>
        </w:tc>
      </w:tr>
      <w:tr w:rsidR="007C5447">
        <w:trPr>
          <w:trHeight w:val="299"/>
        </w:trPr>
        <w:tc>
          <w:tcPr>
            <w:tcW w:w="2552" w:type="dxa"/>
          </w:tcPr>
          <w:p w:rsidR="007C5447" w:rsidRDefault="00F6308C">
            <w:pPr>
              <w:pStyle w:val="TableParagraph"/>
              <w:spacing w:before="55" w:line="224" w:lineRule="exact"/>
              <w:ind w:left="108"/>
              <w:jc w:val="left"/>
              <w:rPr>
                <w:sz w:val="20"/>
              </w:rPr>
            </w:pPr>
            <w:r>
              <w:rPr>
                <w:sz w:val="20"/>
              </w:rPr>
              <w:t>Kuttalam GTPS</w:t>
            </w:r>
          </w:p>
        </w:tc>
        <w:tc>
          <w:tcPr>
            <w:tcW w:w="1278" w:type="dxa"/>
          </w:tcPr>
          <w:p w:rsidR="007C5447" w:rsidRDefault="00F6308C">
            <w:pPr>
              <w:pStyle w:val="TableParagraph"/>
              <w:spacing w:before="34"/>
              <w:ind w:right="96"/>
              <w:rPr>
                <w:sz w:val="20"/>
              </w:rPr>
            </w:pPr>
            <w:r>
              <w:rPr>
                <w:sz w:val="20"/>
              </w:rPr>
              <w:t>2.34</w:t>
            </w:r>
          </w:p>
        </w:tc>
        <w:tc>
          <w:tcPr>
            <w:tcW w:w="1275" w:type="dxa"/>
          </w:tcPr>
          <w:p w:rsidR="007C5447" w:rsidRDefault="00F6308C">
            <w:pPr>
              <w:pStyle w:val="TableParagraph"/>
              <w:spacing w:before="34"/>
              <w:ind w:right="97"/>
              <w:rPr>
                <w:sz w:val="20"/>
              </w:rPr>
            </w:pPr>
            <w:r>
              <w:rPr>
                <w:sz w:val="20"/>
              </w:rPr>
              <w:t>2.41</w:t>
            </w:r>
          </w:p>
        </w:tc>
        <w:tc>
          <w:tcPr>
            <w:tcW w:w="1278" w:type="dxa"/>
          </w:tcPr>
          <w:p w:rsidR="007C5447" w:rsidRDefault="00F6308C">
            <w:pPr>
              <w:pStyle w:val="TableParagraph"/>
              <w:spacing w:before="34"/>
              <w:ind w:right="100"/>
              <w:rPr>
                <w:sz w:val="20"/>
              </w:rPr>
            </w:pPr>
            <w:r>
              <w:rPr>
                <w:sz w:val="20"/>
              </w:rPr>
              <w:t>2.48</w:t>
            </w:r>
          </w:p>
        </w:tc>
        <w:tc>
          <w:tcPr>
            <w:tcW w:w="1280" w:type="dxa"/>
            <w:tcBorders>
              <w:right w:val="single" w:sz="6" w:space="0" w:color="000000"/>
            </w:tcBorders>
          </w:tcPr>
          <w:p w:rsidR="007C5447" w:rsidRDefault="00F6308C">
            <w:pPr>
              <w:pStyle w:val="TableParagraph"/>
              <w:spacing w:before="34"/>
              <w:ind w:right="98"/>
              <w:rPr>
                <w:sz w:val="20"/>
              </w:rPr>
            </w:pPr>
            <w:r>
              <w:rPr>
                <w:sz w:val="20"/>
              </w:rPr>
              <w:t>2.34</w:t>
            </w:r>
          </w:p>
        </w:tc>
        <w:tc>
          <w:tcPr>
            <w:tcW w:w="1439" w:type="dxa"/>
            <w:tcBorders>
              <w:left w:val="single" w:sz="6" w:space="0" w:color="000000"/>
            </w:tcBorders>
          </w:tcPr>
          <w:p w:rsidR="007C5447" w:rsidRDefault="00F6308C">
            <w:pPr>
              <w:pStyle w:val="TableParagraph"/>
              <w:spacing w:before="34"/>
              <w:ind w:right="102"/>
              <w:rPr>
                <w:sz w:val="20"/>
              </w:rPr>
            </w:pPr>
            <w:r>
              <w:rPr>
                <w:sz w:val="20"/>
              </w:rPr>
              <w:t>2.41</w:t>
            </w:r>
          </w:p>
        </w:tc>
        <w:tc>
          <w:tcPr>
            <w:tcW w:w="1273" w:type="dxa"/>
          </w:tcPr>
          <w:p w:rsidR="007C5447" w:rsidRDefault="00F6308C">
            <w:pPr>
              <w:pStyle w:val="TableParagraph"/>
              <w:spacing w:before="34"/>
              <w:ind w:right="103"/>
              <w:rPr>
                <w:sz w:val="20"/>
              </w:rPr>
            </w:pPr>
            <w:r>
              <w:rPr>
                <w:sz w:val="20"/>
              </w:rPr>
              <w:t>2.48</w:t>
            </w:r>
          </w:p>
        </w:tc>
      </w:tr>
      <w:tr w:rsidR="007C5447">
        <w:trPr>
          <w:trHeight w:val="299"/>
        </w:trPr>
        <w:tc>
          <w:tcPr>
            <w:tcW w:w="2552" w:type="dxa"/>
          </w:tcPr>
          <w:p w:rsidR="007C5447" w:rsidRDefault="00F6308C">
            <w:pPr>
              <w:pStyle w:val="TableParagraph"/>
              <w:spacing w:before="55" w:line="224" w:lineRule="exact"/>
              <w:ind w:left="108"/>
              <w:jc w:val="left"/>
              <w:rPr>
                <w:sz w:val="20"/>
              </w:rPr>
            </w:pPr>
            <w:r>
              <w:rPr>
                <w:sz w:val="20"/>
              </w:rPr>
              <w:t>Basin Bridge GTPS</w:t>
            </w:r>
          </w:p>
        </w:tc>
        <w:tc>
          <w:tcPr>
            <w:tcW w:w="1278" w:type="dxa"/>
          </w:tcPr>
          <w:p w:rsidR="007C5447" w:rsidRDefault="00F6308C">
            <w:pPr>
              <w:pStyle w:val="TableParagraph"/>
              <w:spacing w:before="34"/>
              <w:ind w:right="96"/>
              <w:rPr>
                <w:sz w:val="20"/>
              </w:rPr>
            </w:pPr>
            <w:r>
              <w:rPr>
                <w:sz w:val="20"/>
              </w:rPr>
              <w:t>2.19</w:t>
            </w:r>
          </w:p>
        </w:tc>
        <w:tc>
          <w:tcPr>
            <w:tcW w:w="1275" w:type="dxa"/>
          </w:tcPr>
          <w:p w:rsidR="007C5447" w:rsidRDefault="00F6308C">
            <w:pPr>
              <w:pStyle w:val="TableParagraph"/>
              <w:spacing w:before="34"/>
              <w:ind w:right="97"/>
              <w:rPr>
                <w:sz w:val="20"/>
              </w:rPr>
            </w:pPr>
            <w:r>
              <w:rPr>
                <w:sz w:val="20"/>
              </w:rPr>
              <w:t>2.25</w:t>
            </w:r>
          </w:p>
        </w:tc>
        <w:tc>
          <w:tcPr>
            <w:tcW w:w="1278" w:type="dxa"/>
          </w:tcPr>
          <w:p w:rsidR="007C5447" w:rsidRDefault="00F6308C">
            <w:pPr>
              <w:pStyle w:val="TableParagraph"/>
              <w:spacing w:before="34"/>
              <w:ind w:right="100"/>
              <w:rPr>
                <w:sz w:val="20"/>
              </w:rPr>
            </w:pPr>
            <w:r>
              <w:rPr>
                <w:sz w:val="20"/>
              </w:rPr>
              <w:t>2.32</w:t>
            </w:r>
          </w:p>
        </w:tc>
        <w:tc>
          <w:tcPr>
            <w:tcW w:w="1280" w:type="dxa"/>
            <w:tcBorders>
              <w:right w:val="single" w:sz="6" w:space="0" w:color="000000"/>
            </w:tcBorders>
          </w:tcPr>
          <w:p w:rsidR="007C5447" w:rsidRDefault="00F6308C">
            <w:pPr>
              <w:pStyle w:val="TableParagraph"/>
              <w:spacing w:before="34"/>
              <w:ind w:right="98"/>
              <w:rPr>
                <w:sz w:val="20"/>
              </w:rPr>
            </w:pPr>
            <w:r>
              <w:rPr>
                <w:sz w:val="20"/>
              </w:rPr>
              <w:t>10.76</w:t>
            </w:r>
          </w:p>
        </w:tc>
        <w:tc>
          <w:tcPr>
            <w:tcW w:w="1439" w:type="dxa"/>
            <w:tcBorders>
              <w:left w:val="single" w:sz="6" w:space="0" w:color="000000"/>
            </w:tcBorders>
          </w:tcPr>
          <w:p w:rsidR="007C5447" w:rsidRDefault="00F6308C">
            <w:pPr>
              <w:pStyle w:val="TableParagraph"/>
              <w:spacing w:before="34"/>
              <w:ind w:right="99"/>
              <w:rPr>
                <w:sz w:val="20"/>
              </w:rPr>
            </w:pPr>
            <w:r>
              <w:rPr>
                <w:sz w:val="20"/>
              </w:rPr>
              <w:t>10.76</w:t>
            </w:r>
          </w:p>
        </w:tc>
        <w:tc>
          <w:tcPr>
            <w:tcW w:w="1273" w:type="dxa"/>
          </w:tcPr>
          <w:p w:rsidR="007C5447" w:rsidRDefault="00F6308C">
            <w:pPr>
              <w:pStyle w:val="TableParagraph"/>
              <w:spacing w:before="34"/>
              <w:ind w:right="100"/>
              <w:rPr>
                <w:sz w:val="20"/>
              </w:rPr>
            </w:pPr>
            <w:r>
              <w:rPr>
                <w:sz w:val="20"/>
              </w:rPr>
              <w:t>10.76</w:t>
            </w:r>
          </w:p>
        </w:tc>
      </w:tr>
      <w:tr w:rsidR="007C5447">
        <w:trPr>
          <w:trHeight w:val="299"/>
        </w:trPr>
        <w:tc>
          <w:tcPr>
            <w:tcW w:w="2552" w:type="dxa"/>
          </w:tcPr>
          <w:p w:rsidR="007C5447" w:rsidRDefault="00F6308C">
            <w:pPr>
              <w:pStyle w:val="TableParagraph"/>
              <w:spacing w:before="55" w:line="224" w:lineRule="exact"/>
              <w:ind w:left="108"/>
              <w:jc w:val="left"/>
              <w:rPr>
                <w:sz w:val="20"/>
              </w:rPr>
            </w:pPr>
            <w:r>
              <w:rPr>
                <w:sz w:val="20"/>
              </w:rPr>
              <w:t>Valuthur GTPS</w:t>
            </w:r>
          </w:p>
        </w:tc>
        <w:tc>
          <w:tcPr>
            <w:tcW w:w="1278" w:type="dxa"/>
          </w:tcPr>
          <w:p w:rsidR="007C5447" w:rsidRDefault="00F6308C">
            <w:pPr>
              <w:pStyle w:val="TableParagraph"/>
              <w:spacing w:before="36"/>
              <w:ind w:right="96"/>
              <w:rPr>
                <w:sz w:val="20"/>
              </w:rPr>
            </w:pPr>
            <w:r>
              <w:rPr>
                <w:sz w:val="20"/>
              </w:rPr>
              <w:t>2.21</w:t>
            </w:r>
          </w:p>
        </w:tc>
        <w:tc>
          <w:tcPr>
            <w:tcW w:w="1275" w:type="dxa"/>
          </w:tcPr>
          <w:p w:rsidR="007C5447" w:rsidRDefault="00F6308C">
            <w:pPr>
              <w:pStyle w:val="TableParagraph"/>
              <w:spacing w:before="36"/>
              <w:ind w:right="97"/>
              <w:rPr>
                <w:sz w:val="20"/>
              </w:rPr>
            </w:pPr>
            <w:r>
              <w:rPr>
                <w:sz w:val="20"/>
              </w:rPr>
              <w:t>2.27</w:t>
            </w:r>
          </w:p>
        </w:tc>
        <w:tc>
          <w:tcPr>
            <w:tcW w:w="1278" w:type="dxa"/>
          </w:tcPr>
          <w:p w:rsidR="007C5447" w:rsidRDefault="00F6308C">
            <w:pPr>
              <w:pStyle w:val="TableParagraph"/>
              <w:spacing w:before="36"/>
              <w:ind w:right="100"/>
              <w:rPr>
                <w:sz w:val="20"/>
              </w:rPr>
            </w:pPr>
            <w:r>
              <w:rPr>
                <w:sz w:val="20"/>
              </w:rPr>
              <w:t>2.34</w:t>
            </w:r>
          </w:p>
        </w:tc>
        <w:tc>
          <w:tcPr>
            <w:tcW w:w="1280" w:type="dxa"/>
            <w:tcBorders>
              <w:right w:val="single" w:sz="6" w:space="0" w:color="000000"/>
            </w:tcBorders>
          </w:tcPr>
          <w:p w:rsidR="007C5447" w:rsidRDefault="00F6308C">
            <w:pPr>
              <w:pStyle w:val="TableParagraph"/>
              <w:spacing w:before="36"/>
              <w:ind w:right="98"/>
              <w:rPr>
                <w:sz w:val="20"/>
              </w:rPr>
            </w:pPr>
            <w:r>
              <w:rPr>
                <w:sz w:val="20"/>
              </w:rPr>
              <w:t>2.21</w:t>
            </w:r>
          </w:p>
        </w:tc>
        <w:tc>
          <w:tcPr>
            <w:tcW w:w="1439" w:type="dxa"/>
            <w:tcBorders>
              <w:left w:val="single" w:sz="6" w:space="0" w:color="000000"/>
            </w:tcBorders>
          </w:tcPr>
          <w:p w:rsidR="007C5447" w:rsidRDefault="00F6308C">
            <w:pPr>
              <w:pStyle w:val="TableParagraph"/>
              <w:spacing w:before="36"/>
              <w:ind w:right="102"/>
              <w:rPr>
                <w:sz w:val="20"/>
              </w:rPr>
            </w:pPr>
            <w:r>
              <w:rPr>
                <w:sz w:val="20"/>
              </w:rPr>
              <w:t>2.27</w:t>
            </w:r>
          </w:p>
        </w:tc>
        <w:tc>
          <w:tcPr>
            <w:tcW w:w="1273" w:type="dxa"/>
          </w:tcPr>
          <w:p w:rsidR="007C5447" w:rsidRDefault="00F6308C">
            <w:pPr>
              <w:pStyle w:val="TableParagraph"/>
              <w:spacing w:before="36"/>
              <w:ind w:right="103"/>
              <w:rPr>
                <w:sz w:val="20"/>
              </w:rPr>
            </w:pPr>
            <w:r>
              <w:rPr>
                <w:sz w:val="20"/>
              </w:rPr>
              <w:t>2.34</w:t>
            </w:r>
          </w:p>
        </w:tc>
      </w:tr>
    </w:tbl>
    <w:p w:rsidR="007C5447" w:rsidRDefault="007C5447">
      <w:pPr>
        <w:rPr>
          <w:sz w:val="20"/>
        </w:rPr>
        <w:sectPr w:rsidR="007C5447">
          <w:pgSz w:w="11910" w:h="16840"/>
          <w:pgMar w:top="1420" w:right="260" w:bottom="1240" w:left="340" w:header="0" w:footer="1057" w:gutter="0"/>
          <w:cols w:space="720"/>
        </w:sectPr>
      </w:pPr>
    </w:p>
    <w:p w:rsidR="007C5447" w:rsidRDefault="00F6308C">
      <w:pPr>
        <w:pStyle w:val="ListParagraph"/>
        <w:numPr>
          <w:ilvl w:val="3"/>
          <w:numId w:val="54"/>
        </w:numPr>
        <w:tabs>
          <w:tab w:val="left" w:pos="2066"/>
        </w:tabs>
        <w:spacing w:before="60" w:line="312" w:lineRule="auto"/>
        <w:ind w:right="1177"/>
        <w:jc w:val="both"/>
        <w:rPr>
          <w:sz w:val="24"/>
        </w:rPr>
      </w:pPr>
      <w:r>
        <w:rPr>
          <w:sz w:val="24"/>
        </w:rPr>
        <w:lastRenderedPageBreak/>
        <w:t>Based on the approved Net Generation and Energy Charges, the approved variable cost for the Control Period from FY 2016-17 to FY 2018-19 is shown in the Table below:</w:t>
      </w:r>
    </w:p>
    <w:p w:rsidR="007C5447" w:rsidRDefault="007C5447">
      <w:pPr>
        <w:pStyle w:val="BodyText"/>
        <w:rPr>
          <w:sz w:val="21"/>
        </w:rPr>
      </w:pPr>
    </w:p>
    <w:p w:rsidR="007C5447" w:rsidRDefault="00F6308C">
      <w:pPr>
        <w:ind w:left="1354" w:right="1433"/>
        <w:jc w:val="center"/>
        <w:rPr>
          <w:b/>
        </w:rPr>
      </w:pPr>
      <w:r>
        <w:rPr>
          <w:b/>
        </w:rPr>
        <w:t>Table 4-44: Approved Variable Cost (Rs. Crore)</w:t>
      </w:r>
    </w:p>
    <w:p w:rsidR="007C5447" w:rsidRDefault="007C5447">
      <w:pPr>
        <w:pStyle w:val="BodyText"/>
        <w:spacing w:before="11"/>
        <w:rPr>
          <w:b/>
          <w:sz w:val="16"/>
        </w:rPr>
      </w:pPr>
    </w:p>
    <w:tbl>
      <w:tblPr>
        <w:tblW w:w="0" w:type="auto"/>
        <w:tblInd w:w="1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6"/>
        <w:gridCol w:w="1277"/>
        <w:gridCol w:w="1274"/>
        <w:gridCol w:w="1330"/>
        <w:gridCol w:w="1363"/>
        <w:gridCol w:w="1277"/>
        <w:gridCol w:w="1277"/>
      </w:tblGrid>
      <w:tr w:rsidR="007C5447">
        <w:trPr>
          <w:trHeight w:val="330"/>
        </w:trPr>
        <w:tc>
          <w:tcPr>
            <w:tcW w:w="2126" w:type="dxa"/>
            <w:vMerge w:val="restart"/>
            <w:shd w:val="clear" w:color="auto" w:fill="F7C9AC"/>
          </w:tcPr>
          <w:p w:rsidR="007C5447" w:rsidRDefault="007C5447">
            <w:pPr>
              <w:pStyle w:val="TableParagraph"/>
              <w:spacing w:before="2"/>
              <w:jc w:val="left"/>
              <w:rPr>
                <w:b/>
                <w:sz w:val="19"/>
              </w:rPr>
            </w:pPr>
          </w:p>
          <w:p w:rsidR="007C5447" w:rsidRDefault="00F6308C">
            <w:pPr>
              <w:pStyle w:val="TableParagraph"/>
              <w:ind w:left="107"/>
              <w:jc w:val="left"/>
              <w:rPr>
                <w:b/>
                <w:sz w:val="20"/>
              </w:rPr>
            </w:pPr>
            <w:r>
              <w:rPr>
                <w:b/>
                <w:sz w:val="20"/>
              </w:rPr>
              <w:t>Particulars</w:t>
            </w:r>
          </w:p>
        </w:tc>
        <w:tc>
          <w:tcPr>
            <w:tcW w:w="3881" w:type="dxa"/>
            <w:gridSpan w:val="3"/>
            <w:shd w:val="clear" w:color="auto" w:fill="F7C9AC"/>
          </w:tcPr>
          <w:p w:rsidR="007C5447" w:rsidRDefault="00F6308C">
            <w:pPr>
              <w:pStyle w:val="TableParagraph"/>
              <w:spacing w:before="50"/>
              <w:ind w:left="792"/>
              <w:jc w:val="left"/>
              <w:rPr>
                <w:b/>
                <w:sz w:val="20"/>
              </w:rPr>
            </w:pPr>
            <w:r>
              <w:rPr>
                <w:b/>
                <w:sz w:val="20"/>
              </w:rPr>
              <w:t>TANGEDCO’s submission</w:t>
            </w:r>
          </w:p>
        </w:tc>
        <w:tc>
          <w:tcPr>
            <w:tcW w:w="3917" w:type="dxa"/>
            <w:gridSpan w:val="3"/>
            <w:shd w:val="clear" w:color="auto" w:fill="F7C9AC"/>
          </w:tcPr>
          <w:p w:rsidR="007C5447" w:rsidRDefault="00F6308C">
            <w:pPr>
              <w:pStyle w:val="TableParagraph"/>
              <w:spacing w:before="50"/>
              <w:ind w:left="1408" w:right="1403"/>
              <w:jc w:val="center"/>
              <w:rPr>
                <w:b/>
                <w:sz w:val="20"/>
              </w:rPr>
            </w:pPr>
            <w:r>
              <w:rPr>
                <w:b/>
                <w:sz w:val="20"/>
              </w:rPr>
              <w:t>Commission</w:t>
            </w:r>
          </w:p>
        </w:tc>
      </w:tr>
      <w:tr w:rsidR="007C5447">
        <w:trPr>
          <w:trHeight w:val="330"/>
        </w:trPr>
        <w:tc>
          <w:tcPr>
            <w:tcW w:w="2126" w:type="dxa"/>
            <w:vMerge/>
            <w:tcBorders>
              <w:top w:val="nil"/>
            </w:tcBorders>
            <w:shd w:val="clear" w:color="auto" w:fill="F7C9AC"/>
          </w:tcPr>
          <w:p w:rsidR="007C5447" w:rsidRDefault="007C5447">
            <w:pPr>
              <w:rPr>
                <w:sz w:val="2"/>
                <w:szCs w:val="2"/>
              </w:rPr>
            </w:pPr>
          </w:p>
        </w:tc>
        <w:tc>
          <w:tcPr>
            <w:tcW w:w="1277" w:type="dxa"/>
            <w:shd w:val="clear" w:color="auto" w:fill="F7C9AC"/>
          </w:tcPr>
          <w:p w:rsidR="007C5447" w:rsidRDefault="00F6308C">
            <w:pPr>
              <w:pStyle w:val="TableParagraph"/>
              <w:spacing w:before="50"/>
              <w:ind w:right="133"/>
              <w:rPr>
                <w:b/>
                <w:sz w:val="20"/>
              </w:rPr>
            </w:pPr>
            <w:r>
              <w:rPr>
                <w:b/>
                <w:sz w:val="20"/>
              </w:rPr>
              <w:t>FY 2016-17</w:t>
            </w:r>
          </w:p>
        </w:tc>
        <w:tc>
          <w:tcPr>
            <w:tcW w:w="1274" w:type="dxa"/>
            <w:shd w:val="clear" w:color="auto" w:fill="F7C9AC"/>
          </w:tcPr>
          <w:p w:rsidR="007C5447" w:rsidRDefault="00F6308C">
            <w:pPr>
              <w:pStyle w:val="TableParagraph"/>
              <w:spacing w:before="50"/>
              <w:ind w:right="128"/>
              <w:rPr>
                <w:b/>
                <w:sz w:val="20"/>
              </w:rPr>
            </w:pPr>
            <w:r>
              <w:rPr>
                <w:b/>
                <w:sz w:val="20"/>
              </w:rPr>
              <w:t>FY 2017-18</w:t>
            </w:r>
          </w:p>
        </w:tc>
        <w:tc>
          <w:tcPr>
            <w:tcW w:w="1330" w:type="dxa"/>
            <w:shd w:val="clear" w:color="auto" w:fill="F7C9AC"/>
          </w:tcPr>
          <w:p w:rsidR="007C5447" w:rsidRDefault="00F6308C">
            <w:pPr>
              <w:pStyle w:val="TableParagraph"/>
              <w:spacing w:before="50"/>
              <w:ind w:left="173"/>
              <w:jc w:val="left"/>
              <w:rPr>
                <w:b/>
                <w:sz w:val="20"/>
              </w:rPr>
            </w:pPr>
            <w:r>
              <w:rPr>
                <w:b/>
                <w:sz w:val="20"/>
              </w:rPr>
              <w:t>FY 2018-19</w:t>
            </w:r>
          </w:p>
        </w:tc>
        <w:tc>
          <w:tcPr>
            <w:tcW w:w="1363" w:type="dxa"/>
            <w:tcBorders>
              <w:right w:val="single" w:sz="6" w:space="0" w:color="000000"/>
            </w:tcBorders>
            <w:shd w:val="clear" w:color="auto" w:fill="F7C9AC"/>
          </w:tcPr>
          <w:p w:rsidR="007C5447" w:rsidRDefault="00F6308C">
            <w:pPr>
              <w:pStyle w:val="TableParagraph"/>
              <w:spacing w:before="50"/>
              <w:ind w:left="190"/>
              <w:jc w:val="left"/>
              <w:rPr>
                <w:b/>
                <w:sz w:val="20"/>
              </w:rPr>
            </w:pPr>
            <w:r>
              <w:rPr>
                <w:b/>
                <w:sz w:val="20"/>
              </w:rPr>
              <w:t>FY 2016-17</w:t>
            </w:r>
          </w:p>
        </w:tc>
        <w:tc>
          <w:tcPr>
            <w:tcW w:w="1277" w:type="dxa"/>
            <w:tcBorders>
              <w:left w:val="single" w:sz="6" w:space="0" w:color="000000"/>
            </w:tcBorders>
            <w:shd w:val="clear" w:color="auto" w:fill="F7C9AC"/>
          </w:tcPr>
          <w:p w:rsidR="007C5447" w:rsidRDefault="00F6308C">
            <w:pPr>
              <w:pStyle w:val="TableParagraph"/>
              <w:spacing w:before="50"/>
              <w:ind w:right="130"/>
              <w:rPr>
                <w:b/>
                <w:sz w:val="20"/>
              </w:rPr>
            </w:pPr>
            <w:r>
              <w:rPr>
                <w:b/>
                <w:sz w:val="20"/>
              </w:rPr>
              <w:t>FY 2017-18</w:t>
            </w:r>
          </w:p>
        </w:tc>
        <w:tc>
          <w:tcPr>
            <w:tcW w:w="1277" w:type="dxa"/>
            <w:shd w:val="clear" w:color="auto" w:fill="F7C9AC"/>
          </w:tcPr>
          <w:p w:rsidR="007C5447" w:rsidRDefault="00F6308C">
            <w:pPr>
              <w:pStyle w:val="TableParagraph"/>
              <w:spacing w:before="50"/>
              <w:ind w:right="130"/>
              <w:rPr>
                <w:b/>
                <w:sz w:val="20"/>
              </w:rPr>
            </w:pPr>
            <w:r>
              <w:rPr>
                <w:b/>
                <w:sz w:val="20"/>
              </w:rPr>
              <w:t>FY 2018-19</w:t>
            </w:r>
          </w:p>
        </w:tc>
      </w:tr>
      <w:tr w:rsidR="007C5447">
        <w:trPr>
          <w:trHeight w:val="299"/>
        </w:trPr>
        <w:tc>
          <w:tcPr>
            <w:tcW w:w="2126" w:type="dxa"/>
          </w:tcPr>
          <w:p w:rsidR="007C5447" w:rsidRDefault="00F6308C">
            <w:pPr>
              <w:pStyle w:val="TableParagraph"/>
              <w:spacing w:before="55" w:line="224" w:lineRule="exact"/>
              <w:ind w:left="107"/>
              <w:jc w:val="left"/>
              <w:rPr>
                <w:sz w:val="20"/>
              </w:rPr>
            </w:pPr>
            <w:r>
              <w:rPr>
                <w:sz w:val="20"/>
              </w:rPr>
              <w:t>Ennore TPS</w:t>
            </w:r>
          </w:p>
        </w:tc>
        <w:tc>
          <w:tcPr>
            <w:tcW w:w="1277" w:type="dxa"/>
          </w:tcPr>
          <w:p w:rsidR="007C5447" w:rsidRDefault="00F6308C">
            <w:pPr>
              <w:pStyle w:val="TableParagraph"/>
              <w:spacing w:before="34"/>
              <w:ind w:right="97"/>
              <w:rPr>
                <w:sz w:val="20"/>
              </w:rPr>
            </w:pPr>
            <w:r>
              <w:rPr>
                <w:w w:val="95"/>
                <w:sz w:val="20"/>
              </w:rPr>
              <w:t>307.24</w:t>
            </w:r>
          </w:p>
        </w:tc>
        <w:tc>
          <w:tcPr>
            <w:tcW w:w="1274" w:type="dxa"/>
          </w:tcPr>
          <w:p w:rsidR="007C5447" w:rsidRDefault="00F6308C">
            <w:pPr>
              <w:pStyle w:val="TableParagraph"/>
              <w:spacing w:before="34"/>
              <w:ind w:right="93"/>
              <w:rPr>
                <w:sz w:val="20"/>
              </w:rPr>
            </w:pPr>
            <w:r>
              <w:rPr>
                <w:w w:val="99"/>
                <w:sz w:val="20"/>
              </w:rPr>
              <w:t>-</w:t>
            </w:r>
          </w:p>
        </w:tc>
        <w:tc>
          <w:tcPr>
            <w:tcW w:w="1330" w:type="dxa"/>
          </w:tcPr>
          <w:p w:rsidR="007C5447" w:rsidRDefault="00F6308C">
            <w:pPr>
              <w:pStyle w:val="TableParagraph"/>
              <w:spacing w:before="34"/>
              <w:ind w:right="95"/>
              <w:rPr>
                <w:sz w:val="20"/>
              </w:rPr>
            </w:pPr>
            <w:r>
              <w:rPr>
                <w:w w:val="99"/>
                <w:sz w:val="20"/>
              </w:rPr>
              <w:t>-</w:t>
            </w:r>
          </w:p>
        </w:tc>
        <w:tc>
          <w:tcPr>
            <w:tcW w:w="1363" w:type="dxa"/>
            <w:tcBorders>
              <w:right w:val="single" w:sz="6" w:space="0" w:color="000000"/>
            </w:tcBorders>
          </w:tcPr>
          <w:p w:rsidR="007C5447" w:rsidRDefault="00F6308C">
            <w:pPr>
              <w:pStyle w:val="TableParagraph"/>
              <w:spacing w:before="34"/>
              <w:ind w:right="91"/>
              <w:rPr>
                <w:sz w:val="20"/>
              </w:rPr>
            </w:pPr>
            <w:r>
              <w:rPr>
                <w:w w:val="95"/>
                <w:sz w:val="20"/>
              </w:rPr>
              <w:t>322.57</w:t>
            </w:r>
          </w:p>
        </w:tc>
        <w:tc>
          <w:tcPr>
            <w:tcW w:w="1277" w:type="dxa"/>
            <w:tcBorders>
              <w:left w:val="single" w:sz="6" w:space="0" w:color="000000"/>
            </w:tcBorders>
          </w:tcPr>
          <w:p w:rsidR="007C5447" w:rsidRDefault="00F6308C">
            <w:pPr>
              <w:pStyle w:val="TableParagraph"/>
              <w:spacing w:before="34"/>
              <w:ind w:right="95"/>
              <w:rPr>
                <w:sz w:val="20"/>
              </w:rPr>
            </w:pPr>
            <w:r>
              <w:rPr>
                <w:w w:val="99"/>
                <w:sz w:val="20"/>
              </w:rPr>
              <w:t>-</w:t>
            </w:r>
          </w:p>
        </w:tc>
        <w:tc>
          <w:tcPr>
            <w:tcW w:w="1277" w:type="dxa"/>
          </w:tcPr>
          <w:p w:rsidR="007C5447" w:rsidRDefault="00F6308C">
            <w:pPr>
              <w:pStyle w:val="TableParagraph"/>
              <w:spacing w:before="34"/>
              <w:ind w:right="95"/>
              <w:rPr>
                <w:sz w:val="20"/>
              </w:rPr>
            </w:pPr>
            <w:r>
              <w:rPr>
                <w:w w:val="99"/>
                <w:sz w:val="20"/>
              </w:rPr>
              <w:t>-</w:t>
            </w:r>
          </w:p>
        </w:tc>
      </w:tr>
      <w:tr w:rsidR="007C5447">
        <w:trPr>
          <w:trHeight w:val="299"/>
        </w:trPr>
        <w:tc>
          <w:tcPr>
            <w:tcW w:w="2126" w:type="dxa"/>
          </w:tcPr>
          <w:p w:rsidR="007C5447" w:rsidRDefault="00F6308C">
            <w:pPr>
              <w:pStyle w:val="TableParagraph"/>
              <w:spacing w:before="55" w:line="224" w:lineRule="exact"/>
              <w:ind w:left="107"/>
              <w:jc w:val="left"/>
              <w:rPr>
                <w:sz w:val="20"/>
              </w:rPr>
            </w:pPr>
            <w:r>
              <w:rPr>
                <w:sz w:val="20"/>
              </w:rPr>
              <w:t>Ennore Expansion II</w:t>
            </w:r>
          </w:p>
        </w:tc>
        <w:tc>
          <w:tcPr>
            <w:tcW w:w="1277" w:type="dxa"/>
          </w:tcPr>
          <w:p w:rsidR="007C5447" w:rsidRDefault="00F6308C">
            <w:pPr>
              <w:pStyle w:val="TableParagraph"/>
              <w:spacing w:before="36"/>
              <w:ind w:right="98"/>
              <w:rPr>
                <w:sz w:val="20"/>
              </w:rPr>
            </w:pPr>
            <w:r>
              <w:rPr>
                <w:w w:val="99"/>
                <w:sz w:val="20"/>
              </w:rPr>
              <w:t>-</w:t>
            </w:r>
          </w:p>
        </w:tc>
        <w:tc>
          <w:tcPr>
            <w:tcW w:w="1274" w:type="dxa"/>
          </w:tcPr>
          <w:p w:rsidR="007C5447" w:rsidRDefault="00F6308C">
            <w:pPr>
              <w:pStyle w:val="TableParagraph"/>
              <w:spacing w:before="36"/>
              <w:ind w:right="93"/>
              <w:rPr>
                <w:sz w:val="20"/>
              </w:rPr>
            </w:pPr>
            <w:r>
              <w:rPr>
                <w:w w:val="99"/>
                <w:sz w:val="20"/>
              </w:rPr>
              <w:t>-</w:t>
            </w:r>
          </w:p>
        </w:tc>
        <w:tc>
          <w:tcPr>
            <w:tcW w:w="1330" w:type="dxa"/>
          </w:tcPr>
          <w:p w:rsidR="007C5447" w:rsidRDefault="00F6308C">
            <w:pPr>
              <w:pStyle w:val="TableParagraph"/>
              <w:spacing w:before="36"/>
              <w:ind w:right="94"/>
              <w:rPr>
                <w:sz w:val="20"/>
              </w:rPr>
            </w:pPr>
            <w:r>
              <w:rPr>
                <w:w w:val="95"/>
                <w:sz w:val="20"/>
              </w:rPr>
              <w:t>458.62</w:t>
            </w:r>
          </w:p>
        </w:tc>
        <w:tc>
          <w:tcPr>
            <w:tcW w:w="1363" w:type="dxa"/>
            <w:tcBorders>
              <w:right w:val="single" w:sz="6" w:space="0" w:color="000000"/>
            </w:tcBorders>
          </w:tcPr>
          <w:p w:rsidR="007C5447" w:rsidRDefault="00F6308C">
            <w:pPr>
              <w:pStyle w:val="TableParagraph"/>
              <w:spacing w:before="36"/>
              <w:ind w:right="93"/>
              <w:rPr>
                <w:sz w:val="20"/>
              </w:rPr>
            </w:pPr>
            <w:r>
              <w:rPr>
                <w:w w:val="99"/>
                <w:sz w:val="20"/>
              </w:rPr>
              <w:t>-</w:t>
            </w:r>
          </w:p>
        </w:tc>
        <w:tc>
          <w:tcPr>
            <w:tcW w:w="1277" w:type="dxa"/>
            <w:tcBorders>
              <w:left w:val="single" w:sz="6" w:space="0" w:color="000000"/>
            </w:tcBorders>
          </w:tcPr>
          <w:p w:rsidR="007C5447" w:rsidRDefault="00F6308C">
            <w:pPr>
              <w:pStyle w:val="TableParagraph"/>
              <w:spacing w:before="36"/>
              <w:ind w:right="95"/>
              <w:rPr>
                <w:sz w:val="20"/>
              </w:rPr>
            </w:pPr>
            <w:r>
              <w:rPr>
                <w:w w:val="99"/>
                <w:sz w:val="20"/>
              </w:rPr>
              <w:t>-</w:t>
            </w:r>
          </w:p>
        </w:tc>
        <w:tc>
          <w:tcPr>
            <w:tcW w:w="1277" w:type="dxa"/>
          </w:tcPr>
          <w:p w:rsidR="007C5447" w:rsidRDefault="00F6308C">
            <w:pPr>
              <w:pStyle w:val="TableParagraph"/>
              <w:spacing w:before="36"/>
              <w:ind w:right="94"/>
              <w:rPr>
                <w:sz w:val="20"/>
              </w:rPr>
            </w:pPr>
            <w:r>
              <w:rPr>
                <w:w w:val="95"/>
                <w:sz w:val="20"/>
              </w:rPr>
              <w:t>458.62</w:t>
            </w:r>
          </w:p>
        </w:tc>
      </w:tr>
      <w:tr w:rsidR="007C5447">
        <w:trPr>
          <w:trHeight w:val="299"/>
        </w:trPr>
        <w:tc>
          <w:tcPr>
            <w:tcW w:w="2126" w:type="dxa"/>
          </w:tcPr>
          <w:p w:rsidR="007C5447" w:rsidRDefault="00F6308C">
            <w:pPr>
              <w:pStyle w:val="TableParagraph"/>
              <w:spacing w:before="55" w:line="224" w:lineRule="exact"/>
              <w:ind w:left="107"/>
              <w:jc w:val="left"/>
              <w:rPr>
                <w:sz w:val="20"/>
              </w:rPr>
            </w:pPr>
            <w:r>
              <w:rPr>
                <w:sz w:val="20"/>
              </w:rPr>
              <w:t>Tuticorin TPS</w:t>
            </w:r>
          </w:p>
        </w:tc>
        <w:tc>
          <w:tcPr>
            <w:tcW w:w="1277" w:type="dxa"/>
          </w:tcPr>
          <w:p w:rsidR="007C5447" w:rsidRDefault="00F6308C">
            <w:pPr>
              <w:pStyle w:val="TableParagraph"/>
              <w:spacing w:before="36"/>
              <w:ind w:right="97"/>
              <w:rPr>
                <w:sz w:val="20"/>
              </w:rPr>
            </w:pPr>
            <w:r>
              <w:rPr>
                <w:w w:val="95"/>
                <w:sz w:val="20"/>
              </w:rPr>
              <w:t>2,284.18</w:t>
            </w:r>
          </w:p>
        </w:tc>
        <w:tc>
          <w:tcPr>
            <w:tcW w:w="1274" w:type="dxa"/>
          </w:tcPr>
          <w:p w:rsidR="007C5447" w:rsidRDefault="00F6308C">
            <w:pPr>
              <w:pStyle w:val="TableParagraph"/>
              <w:spacing w:before="36"/>
              <w:ind w:right="92"/>
              <w:rPr>
                <w:sz w:val="20"/>
              </w:rPr>
            </w:pPr>
            <w:r>
              <w:rPr>
                <w:w w:val="95"/>
                <w:sz w:val="20"/>
              </w:rPr>
              <w:t>2,199.38</w:t>
            </w:r>
          </w:p>
        </w:tc>
        <w:tc>
          <w:tcPr>
            <w:tcW w:w="1330" w:type="dxa"/>
          </w:tcPr>
          <w:p w:rsidR="007C5447" w:rsidRDefault="00F6308C">
            <w:pPr>
              <w:pStyle w:val="TableParagraph"/>
              <w:spacing w:before="36"/>
              <w:ind w:right="95"/>
              <w:rPr>
                <w:sz w:val="20"/>
              </w:rPr>
            </w:pPr>
            <w:r>
              <w:rPr>
                <w:w w:val="95"/>
                <w:sz w:val="20"/>
              </w:rPr>
              <w:t>2,310.66</w:t>
            </w:r>
          </w:p>
        </w:tc>
        <w:tc>
          <w:tcPr>
            <w:tcW w:w="1363" w:type="dxa"/>
            <w:tcBorders>
              <w:right w:val="single" w:sz="6" w:space="0" w:color="000000"/>
            </w:tcBorders>
          </w:tcPr>
          <w:p w:rsidR="007C5447" w:rsidRDefault="00F6308C">
            <w:pPr>
              <w:pStyle w:val="TableParagraph"/>
              <w:spacing w:before="36"/>
              <w:ind w:right="92"/>
              <w:rPr>
                <w:sz w:val="20"/>
              </w:rPr>
            </w:pPr>
            <w:r>
              <w:rPr>
                <w:w w:val="95"/>
                <w:sz w:val="20"/>
              </w:rPr>
              <w:t>2,287.18</w:t>
            </w:r>
          </w:p>
        </w:tc>
        <w:tc>
          <w:tcPr>
            <w:tcW w:w="1277" w:type="dxa"/>
            <w:tcBorders>
              <w:left w:val="single" w:sz="6" w:space="0" w:color="000000"/>
            </w:tcBorders>
          </w:tcPr>
          <w:p w:rsidR="007C5447" w:rsidRDefault="00F6308C">
            <w:pPr>
              <w:pStyle w:val="TableParagraph"/>
              <w:spacing w:before="36"/>
              <w:ind w:right="94"/>
              <w:rPr>
                <w:sz w:val="20"/>
              </w:rPr>
            </w:pPr>
            <w:r>
              <w:rPr>
                <w:w w:val="95"/>
                <w:sz w:val="20"/>
              </w:rPr>
              <w:t>2,032.58</w:t>
            </w:r>
          </w:p>
        </w:tc>
        <w:tc>
          <w:tcPr>
            <w:tcW w:w="1277" w:type="dxa"/>
          </w:tcPr>
          <w:p w:rsidR="007C5447" w:rsidRDefault="00F6308C">
            <w:pPr>
              <w:pStyle w:val="TableParagraph"/>
              <w:spacing w:before="36"/>
              <w:ind w:right="94"/>
              <w:rPr>
                <w:sz w:val="20"/>
              </w:rPr>
            </w:pPr>
            <w:r>
              <w:rPr>
                <w:w w:val="95"/>
                <w:sz w:val="20"/>
              </w:rPr>
              <w:t>2,093.56</w:t>
            </w:r>
          </w:p>
        </w:tc>
      </w:tr>
      <w:tr w:rsidR="007C5447">
        <w:trPr>
          <w:trHeight w:val="299"/>
        </w:trPr>
        <w:tc>
          <w:tcPr>
            <w:tcW w:w="2126" w:type="dxa"/>
          </w:tcPr>
          <w:p w:rsidR="007C5447" w:rsidRDefault="00F6308C">
            <w:pPr>
              <w:pStyle w:val="TableParagraph"/>
              <w:spacing w:before="55" w:line="224" w:lineRule="exact"/>
              <w:ind w:left="107"/>
              <w:jc w:val="left"/>
              <w:rPr>
                <w:sz w:val="20"/>
              </w:rPr>
            </w:pPr>
            <w:r>
              <w:rPr>
                <w:sz w:val="20"/>
              </w:rPr>
              <w:t>Mettur TPS</w:t>
            </w:r>
          </w:p>
        </w:tc>
        <w:tc>
          <w:tcPr>
            <w:tcW w:w="1277" w:type="dxa"/>
          </w:tcPr>
          <w:p w:rsidR="007C5447" w:rsidRDefault="00F6308C">
            <w:pPr>
              <w:pStyle w:val="TableParagraph"/>
              <w:spacing w:before="36"/>
              <w:ind w:right="97"/>
              <w:rPr>
                <w:sz w:val="20"/>
              </w:rPr>
            </w:pPr>
            <w:r>
              <w:rPr>
                <w:w w:val="95"/>
                <w:sz w:val="20"/>
              </w:rPr>
              <w:t>2,066.05</w:t>
            </w:r>
          </w:p>
        </w:tc>
        <w:tc>
          <w:tcPr>
            <w:tcW w:w="1274" w:type="dxa"/>
          </w:tcPr>
          <w:p w:rsidR="007C5447" w:rsidRDefault="00F6308C">
            <w:pPr>
              <w:pStyle w:val="TableParagraph"/>
              <w:spacing w:before="36"/>
              <w:ind w:right="92"/>
              <w:rPr>
                <w:sz w:val="20"/>
              </w:rPr>
            </w:pPr>
            <w:r>
              <w:rPr>
                <w:w w:val="95"/>
                <w:sz w:val="20"/>
              </w:rPr>
              <w:t>1,850.01</w:t>
            </w:r>
          </w:p>
        </w:tc>
        <w:tc>
          <w:tcPr>
            <w:tcW w:w="1330" w:type="dxa"/>
          </w:tcPr>
          <w:p w:rsidR="007C5447" w:rsidRDefault="00F6308C">
            <w:pPr>
              <w:pStyle w:val="TableParagraph"/>
              <w:spacing w:before="36"/>
              <w:ind w:right="95"/>
              <w:rPr>
                <w:sz w:val="20"/>
              </w:rPr>
            </w:pPr>
            <w:r>
              <w:rPr>
                <w:w w:val="95"/>
                <w:sz w:val="20"/>
              </w:rPr>
              <w:t>1,943.62</w:t>
            </w:r>
          </w:p>
        </w:tc>
        <w:tc>
          <w:tcPr>
            <w:tcW w:w="1363" w:type="dxa"/>
            <w:tcBorders>
              <w:right w:val="single" w:sz="6" w:space="0" w:color="000000"/>
            </w:tcBorders>
          </w:tcPr>
          <w:p w:rsidR="007C5447" w:rsidRDefault="00F6308C">
            <w:pPr>
              <w:pStyle w:val="TableParagraph"/>
              <w:spacing w:before="36"/>
              <w:ind w:right="92"/>
              <w:rPr>
                <w:sz w:val="20"/>
              </w:rPr>
            </w:pPr>
            <w:r>
              <w:rPr>
                <w:w w:val="95"/>
                <w:sz w:val="20"/>
              </w:rPr>
              <w:t>1,895.47</w:t>
            </w:r>
          </w:p>
        </w:tc>
        <w:tc>
          <w:tcPr>
            <w:tcW w:w="1277" w:type="dxa"/>
            <w:tcBorders>
              <w:left w:val="single" w:sz="6" w:space="0" w:color="000000"/>
            </w:tcBorders>
          </w:tcPr>
          <w:p w:rsidR="007C5447" w:rsidRDefault="00F6308C">
            <w:pPr>
              <w:pStyle w:val="TableParagraph"/>
              <w:spacing w:before="36"/>
              <w:ind w:right="94"/>
              <w:rPr>
                <w:sz w:val="20"/>
              </w:rPr>
            </w:pPr>
            <w:r>
              <w:rPr>
                <w:w w:val="95"/>
                <w:sz w:val="20"/>
              </w:rPr>
              <w:t>1,551.41</w:t>
            </w:r>
          </w:p>
        </w:tc>
        <w:tc>
          <w:tcPr>
            <w:tcW w:w="1277" w:type="dxa"/>
          </w:tcPr>
          <w:p w:rsidR="007C5447" w:rsidRDefault="00F6308C">
            <w:pPr>
              <w:pStyle w:val="TableParagraph"/>
              <w:spacing w:before="36"/>
              <w:ind w:right="94"/>
              <w:rPr>
                <w:sz w:val="20"/>
              </w:rPr>
            </w:pPr>
            <w:r>
              <w:rPr>
                <w:w w:val="95"/>
                <w:sz w:val="20"/>
              </w:rPr>
              <w:t>1,597.95</w:t>
            </w:r>
          </w:p>
        </w:tc>
      </w:tr>
      <w:tr w:rsidR="007C5447">
        <w:trPr>
          <w:trHeight w:val="302"/>
        </w:trPr>
        <w:tc>
          <w:tcPr>
            <w:tcW w:w="2126" w:type="dxa"/>
          </w:tcPr>
          <w:p w:rsidR="007C5447" w:rsidRDefault="00F6308C">
            <w:pPr>
              <w:pStyle w:val="TableParagraph"/>
              <w:spacing w:before="56" w:line="227" w:lineRule="exact"/>
              <w:ind w:left="107"/>
              <w:jc w:val="left"/>
              <w:rPr>
                <w:sz w:val="20"/>
              </w:rPr>
            </w:pPr>
            <w:r>
              <w:rPr>
                <w:sz w:val="20"/>
              </w:rPr>
              <w:t>Mettur Stage III TPS</w:t>
            </w:r>
          </w:p>
        </w:tc>
        <w:tc>
          <w:tcPr>
            <w:tcW w:w="1277" w:type="dxa"/>
          </w:tcPr>
          <w:p w:rsidR="007C5447" w:rsidRDefault="00F6308C">
            <w:pPr>
              <w:pStyle w:val="TableParagraph"/>
              <w:spacing w:before="37"/>
              <w:ind w:right="97"/>
              <w:rPr>
                <w:sz w:val="20"/>
              </w:rPr>
            </w:pPr>
            <w:r>
              <w:rPr>
                <w:w w:val="95"/>
                <w:sz w:val="20"/>
              </w:rPr>
              <w:t>1,397.51</w:t>
            </w:r>
          </w:p>
        </w:tc>
        <w:tc>
          <w:tcPr>
            <w:tcW w:w="1274" w:type="dxa"/>
          </w:tcPr>
          <w:p w:rsidR="007C5447" w:rsidRDefault="00F6308C">
            <w:pPr>
              <w:pStyle w:val="TableParagraph"/>
              <w:spacing w:before="37"/>
              <w:ind w:right="92"/>
              <w:rPr>
                <w:sz w:val="20"/>
              </w:rPr>
            </w:pPr>
            <w:r>
              <w:rPr>
                <w:w w:val="95"/>
                <w:sz w:val="20"/>
              </w:rPr>
              <w:t>1,324.11</w:t>
            </w:r>
          </w:p>
        </w:tc>
        <w:tc>
          <w:tcPr>
            <w:tcW w:w="1330" w:type="dxa"/>
          </w:tcPr>
          <w:p w:rsidR="007C5447" w:rsidRDefault="00F6308C">
            <w:pPr>
              <w:pStyle w:val="TableParagraph"/>
              <w:spacing w:before="37"/>
              <w:ind w:right="95"/>
              <w:rPr>
                <w:sz w:val="20"/>
              </w:rPr>
            </w:pPr>
            <w:r>
              <w:rPr>
                <w:w w:val="95"/>
                <w:sz w:val="20"/>
              </w:rPr>
              <w:t>1,391.64</w:t>
            </w:r>
          </w:p>
        </w:tc>
        <w:tc>
          <w:tcPr>
            <w:tcW w:w="1363" w:type="dxa"/>
            <w:tcBorders>
              <w:right w:val="single" w:sz="6" w:space="0" w:color="000000"/>
            </w:tcBorders>
          </w:tcPr>
          <w:p w:rsidR="007C5447" w:rsidRDefault="00F6308C">
            <w:pPr>
              <w:pStyle w:val="TableParagraph"/>
              <w:spacing w:before="37"/>
              <w:ind w:right="91"/>
              <w:rPr>
                <w:sz w:val="20"/>
              </w:rPr>
            </w:pPr>
            <w:r>
              <w:rPr>
                <w:w w:val="95"/>
                <w:sz w:val="20"/>
              </w:rPr>
              <w:t>968.12</w:t>
            </w:r>
          </w:p>
        </w:tc>
        <w:tc>
          <w:tcPr>
            <w:tcW w:w="1277" w:type="dxa"/>
            <w:tcBorders>
              <w:left w:val="single" w:sz="6" w:space="0" w:color="000000"/>
            </w:tcBorders>
          </w:tcPr>
          <w:p w:rsidR="007C5447" w:rsidRDefault="00F6308C">
            <w:pPr>
              <w:pStyle w:val="TableParagraph"/>
              <w:spacing w:before="37"/>
              <w:ind w:right="94"/>
              <w:rPr>
                <w:sz w:val="20"/>
              </w:rPr>
            </w:pPr>
            <w:r>
              <w:rPr>
                <w:w w:val="95"/>
                <w:sz w:val="20"/>
              </w:rPr>
              <w:t>1,140.17</w:t>
            </w:r>
          </w:p>
        </w:tc>
        <w:tc>
          <w:tcPr>
            <w:tcW w:w="1277" w:type="dxa"/>
          </w:tcPr>
          <w:p w:rsidR="007C5447" w:rsidRDefault="00F6308C">
            <w:pPr>
              <w:pStyle w:val="TableParagraph"/>
              <w:spacing w:before="37"/>
              <w:ind w:right="94"/>
              <w:rPr>
                <w:sz w:val="20"/>
              </w:rPr>
            </w:pPr>
            <w:r>
              <w:rPr>
                <w:w w:val="95"/>
                <w:sz w:val="20"/>
              </w:rPr>
              <w:t>1,197.86</w:t>
            </w:r>
          </w:p>
        </w:tc>
      </w:tr>
      <w:tr w:rsidR="007C5447">
        <w:trPr>
          <w:trHeight w:val="299"/>
        </w:trPr>
        <w:tc>
          <w:tcPr>
            <w:tcW w:w="2126" w:type="dxa"/>
          </w:tcPr>
          <w:p w:rsidR="007C5447" w:rsidRDefault="00F6308C">
            <w:pPr>
              <w:pStyle w:val="TableParagraph"/>
              <w:spacing w:before="55" w:line="224" w:lineRule="exact"/>
              <w:ind w:left="107"/>
              <w:jc w:val="left"/>
              <w:rPr>
                <w:sz w:val="20"/>
              </w:rPr>
            </w:pPr>
            <w:r>
              <w:rPr>
                <w:sz w:val="20"/>
              </w:rPr>
              <w:t>North Chennai TPS</w:t>
            </w:r>
          </w:p>
        </w:tc>
        <w:tc>
          <w:tcPr>
            <w:tcW w:w="1277" w:type="dxa"/>
          </w:tcPr>
          <w:p w:rsidR="007C5447" w:rsidRDefault="00F6308C">
            <w:pPr>
              <w:pStyle w:val="TableParagraph"/>
              <w:spacing w:before="34"/>
              <w:ind w:right="97"/>
              <w:rPr>
                <w:sz w:val="20"/>
              </w:rPr>
            </w:pPr>
            <w:r>
              <w:rPr>
                <w:w w:val="95"/>
                <w:sz w:val="20"/>
              </w:rPr>
              <w:t>953.07</w:t>
            </w:r>
          </w:p>
        </w:tc>
        <w:tc>
          <w:tcPr>
            <w:tcW w:w="1274" w:type="dxa"/>
          </w:tcPr>
          <w:p w:rsidR="007C5447" w:rsidRDefault="00F6308C">
            <w:pPr>
              <w:pStyle w:val="TableParagraph"/>
              <w:spacing w:before="34"/>
              <w:ind w:right="92"/>
              <w:rPr>
                <w:sz w:val="20"/>
              </w:rPr>
            </w:pPr>
            <w:r>
              <w:rPr>
                <w:w w:val="95"/>
                <w:sz w:val="20"/>
              </w:rPr>
              <w:t>1,012.72</w:t>
            </w:r>
          </w:p>
        </w:tc>
        <w:tc>
          <w:tcPr>
            <w:tcW w:w="1330" w:type="dxa"/>
          </w:tcPr>
          <w:p w:rsidR="007C5447" w:rsidRDefault="00F6308C">
            <w:pPr>
              <w:pStyle w:val="TableParagraph"/>
              <w:spacing w:before="34"/>
              <w:ind w:right="95"/>
              <w:rPr>
                <w:sz w:val="20"/>
              </w:rPr>
            </w:pPr>
            <w:r>
              <w:rPr>
                <w:w w:val="95"/>
                <w:sz w:val="20"/>
              </w:rPr>
              <w:t>1,065.59</w:t>
            </w:r>
          </w:p>
        </w:tc>
        <w:tc>
          <w:tcPr>
            <w:tcW w:w="1363" w:type="dxa"/>
            <w:tcBorders>
              <w:right w:val="single" w:sz="6" w:space="0" w:color="000000"/>
            </w:tcBorders>
          </w:tcPr>
          <w:p w:rsidR="007C5447" w:rsidRDefault="00F6308C">
            <w:pPr>
              <w:pStyle w:val="TableParagraph"/>
              <w:spacing w:before="34"/>
              <w:ind w:right="92"/>
              <w:rPr>
                <w:sz w:val="20"/>
              </w:rPr>
            </w:pPr>
            <w:r>
              <w:rPr>
                <w:w w:val="95"/>
                <w:sz w:val="20"/>
              </w:rPr>
              <w:t>1,001.23</w:t>
            </w:r>
          </w:p>
        </w:tc>
        <w:tc>
          <w:tcPr>
            <w:tcW w:w="1277" w:type="dxa"/>
            <w:tcBorders>
              <w:left w:val="single" w:sz="6" w:space="0" w:color="000000"/>
            </w:tcBorders>
          </w:tcPr>
          <w:p w:rsidR="007C5447" w:rsidRDefault="00F6308C">
            <w:pPr>
              <w:pStyle w:val="TableParagraph"/>
              <w:spacing w:before="34"/>
              <w:ind w:right="94"/>
              <w:rPr>
                <w:sz w:val="20"/>
              </w:rPr>
            </w:pPr>
            <w:r>
              <w:rPr>
                <w:w w:val="95"/>
                <w:sz w:val="20"/>
              </w:rPr>
              <w:t>926.73</w:t>
            </w:r>
          </w:p>
        </w:tc>
        <w:tc>
          <w:tcPr>
            <w:tcW w:w="1277" w:type="dxa"/>
          </w:tcPr>
          <w:p w:rsidR="007C5447" w:rsidRDefault="00F6308C">
            <w:pPr>
              <w:pStyle w:val="TableParagraph"/>
              <w:spacing w:before="34"/>
              <w:ind w:right="94"/>
              <w:rPr>
                <w:sz w:val="20"/>
              </w:rPr>
            </w:pPr>
            <w:r>
              <w:rPr>
                <w:w w:val="95"/>
                <w:sz w:val="20"/>
              </w:rPr>
              <w:t>927.45</w:t>
            </w:r>
          </w:p>
        </w:tc>
      </w:tr>
      <w:tr w:rsidR="007C5447">
        <w:trPr>
          <w:trHeight w:val="489"/>
        </w:trPr>
        <w:tc>
          <w:tcPr>
            <w:tcW w:w="2126" w:type="dxa"/>
          </w:tcPr>
          <w:p w:rsidR="007C5447" w:rsidRDefault="00F6308C">
            <w:pPr>
              <w:pStyle w:val="TableParagraph"/>
              <w:spacing w:before="14" w:line="230" w:lineRule="atLeast"/>
              <w:ind w:left="107" w:right="128"/>
              <w:jc w:val="left"/>
              <w:rPr>
                <w:sz w:val="20"/>
              </w:rPr>
            </w:pPr>
            <w:r>
              <w:rPr>
                <w:sz w:val="20"/>
              </w:rPr>
              <w:t>North Chennai Stage II TPS</w:t>
            </w:r>
          </w:p>
        </w:tc>
        <w:tc>
          <w:tcPr>
            <w:tcW w:w="1277" w:type="dxa"/>
          </w:tcPr>
          <w:p w:rsidR="007C5447" w:rsidRDefault="00F6308C">
            <w:pPr>
              <w:pStyle w:val="TableParagraph"/>
              <w:spacing w:before="130"/>
              <w:ind w:right="97"/>
              <w:rPr>
                <w:sz w:val="20"/>
              </w:rPr>
            </w:pPr>
            <w:r>
              <w:rPr>
                <w:w w:val="95"/>
                <w:sz w:val="20"/>
              </w:rPr>
              <w:t>1,527.29</w:t>
            </w:r>
          </w:p>
        </w:tc>
        <w:tc>
          <w:tcPr>
            <w:tcW w:w="1274" w:type="dxa"/>
          </w:tcPr>
          <w:p w:rsidR="007C5447" w:rsidRDefault="00F6308C">
            <w:pPr>
              <w:pStyle w:val="TableParagraph"/>
              <w:spacing w:before="130"/>
              <w:ind w:right="92"/>
              <w:rPr>
                <w:sz w:val="20"/>
              </w:rPr>
            </w:pPr>
            <w:r>
              <w:rPr>
                <w:w w:val="95"/>
                <w:sz w:val="20"/>
              </w:rPr>
              <w:t>2,026.98</w:t>
            </w:r>
          </w:p>
        </w:tc>
        <w:tc>
          <w:tcPr>
            <w:tcW w:w="1330" w:type="dxa"/>
          </w:tcPr>
          <w:p w:rsidR="007C5447" w:rsidRDefault="00F6308C">
            <w:pPr>
              <w:pStyle w:val="TableParagraph"/>
              <w:spacing w:before="130"/>
              <w:ind w:right="95"/>
              <w:rPr>
                <w:sz w:val="20"/>
              </w:rPr>
            </w:pPr>
            <w:r>
              <w:rPr>
                <w:w w:val="95"/>
                <w:sz w:val="20"/>
              </w:rPr>
              <w:t>2,135.76</w:t>
            </w:r>
          </w:p>
        </w:tc>
        <w:tc>
          <w:tcPr>
            <w:tcW w:w="1363" w:type="dxa"/>
            <w:tcBorders>
              <w:right w:val="single" w:sz="6" w:space="0" w:color="000000"/>
            </w:tcBorders>
          </w:tcPr>
          <w:p w:rsidR="007C5447" w:rsidRDefault="00F6308C">
            <w:pPr>
              <w:pStyle w:val="TableParagraph"/>
              <w:spacing w:before="130"/>
              <w:ind w:right="92"/>
              <w:rPr>
                <w:sz w:val="20"/>
              </w:rPr>
            </w:pPr>
            <w:r>
              <w:rPr>
                <w:w w:val="95"/>
                <w:sz w:val="20"/>
              </w:rPr>
              <w:t>1,818.43</w:t>
            </w:r>
          </w:p>
        </w:tc>
        <w:tc>
          <w:tcPr>
            <w:tcW w:w="1277" w:type="dxa"/>
            <w:tcBorders>
              <w:left w:val="single" w:sz="6" w:space="0" w:color="000000"/>
            </w:tcBorders>
          </w:tcPr>
          <w:p w:rsidR="007C5447" w:rsidRDefault="00F6308C">
            <w:pPr>
              <w:pStyle w:val="TableParagraph"/>
              <w:spacing w:before="130"/>
              <w:ind w:right="94"/>
              <w:rPr>
                <w:sz w:val="20"/>
              </w:rPr>
            </w:pPr>
            <w:r>
              <w:rPr>
                <w:w w:val="95"/>
                <w:sz w:val="20"/>
              </w:rPr>
              <w:t>1,626.71</w:t>
            </w:r>
          </w:p>
        </w:tc>
        <w:tc>
          <w:tcPr>
            <w:tcW w:w="1277" w:type="dxa"/>
          </w:tcPr>
          <w:p w:rsidR="007C5447" w:rsidRDefault="00F6308C">
            <w:pPr>
              <w:pStyle w:val="TableParagraph"/>
              <w:spacing w:before="130"/>
              <w:ind w:right="94"/>
              <w:rPr>
                <w:sz w:val="20"/>
              </w:rPr>
            </w:pPr>
            <w:r>
              <w:rPr>
                <w:w w:val="95"/>
                <w:sz w:val="20"/>
              </w:rPr>
              <w:t>1,680.35</w:t>
            </w:r>
          </w:p>
        </w:tc>
      </w:tr>
      <w:tr w:rsidR="007C5447">
        <w:trPr>
          <w:trHeight w:val="330"/>
        </w:trPr>
        <w:tc>
          <w:tcPr>
            <w:tcW w:w="2126" w:type="dxa"/>
            <w:shd w:val="clear" w:color="auto" w:fill="D9D9D9"/>
          </w:tcPr>
          <w:p w:rsidR="007C5447" w:rsidRDefault="007C5447">
            <w:pPr>
              <w:pStyle w:val="TableParagraph"/>
              <w:jc w:val="left"/>
              <w:rPr>
                <w:sz w:val="20"/>
              </w:rPr>
            </w:pPr>
          </w:p>
        </w:tc>
        <w:tc>
          <w:tcPr>
            <w:tcW w:w="1277" w:type="dxa"/>
            <w:shd w:val="clear" w:color="auto" w:fill="D9D9D9"/>
          </w:tcPr>
          <w:p w:rsidR="007C5447" w:rsidRDefault="00F6308C">
            <w:pPr>
              <w:pStyle w:val="TableParagraph"/>
              <w:spacing w:before="50"/>
              <w:ind w:right="97"/>
              <w:rPr>
                <w:b/>
                <w:sz w:val="20"/>
              </w:rPr>
            </w:pPr>
            <w:r>
              <w:rPr>
                <w:b/>
                <w:w w:val="95"/>
                <w:sz w:val="20"/>
              </w:rPr>
              <w:t>8,535.34</w:t>
            </w:r>
          </w:p>
        </w:tc>
        <w:tc>
          <w:tcPr>
            <w:tcW w:w="1274" w:type="dxa"/>
            <w:shd w:val="clear" w:color="auto" w:fill="D9D9D9"/>
          </w:tcPr>
          <w:p w:rsidR="007C5447" w:rsidRDefault="00F6308C">
            <w:pPr>
              <w:pStyle w:val="TableParagraph"/>
              <w:spacing w:before="50"/>
              <w:ind w:right="92"/>
              <w:rPr>
                <w:b/>
                <w:sz w:val="20"/>
              </w:rPr>
            </w:pPr>
            <w:r>
              <w:rPr>
                <w:b/>
                <w:w w:val="95"/>
                <w:sz w:val="20"/>
              </w:rPr>
              <w:t>8,413.20</w:t>
            </w:r>
          </w:p>
        </w:tc>
        <w:tc>
          <w:tcPr>
            <w:tcW w:w="1330" w:type="dxa"/>
            <w:shd w:val="clear" w:color="auto" w:fill="D9D9D9"/>
          </w:tcPr>
          <w:p w:rsidR="007C5447" w:rsidRDefault="00F6308C">
            <w:pPr>
              <w:pStyle w:val="TableParagraph"/>
              <w:spacing w:before="50"/>
              <w:ind w:right="95"/>
              <w:rPr>
                <w:b/>
                <w:sz w:val="20"/>
              </w:rPr>
            </w:pPr>
            <w:r>
              <w:rPr>
                <w:b/>
                <w:w w:val="95"/>
                <w:sz w:val="20"/>
              </w:rPr>
              <w:t>9,305.89</w:t>
            </w:r>
          </w:p>
        </w:tc>
        <w:tc>
          <w:tcPr>
            <w:tcW w:w="1363" w:type="dxa"/>
            <w:tcBorders>
              <w:right w:val="single" w:sz="6" w:space="0" w:color="000000"/>
            </w:tcBorders>
            <w:shd w:val="clear" w:color="auto" w:fill="D9D9D9"/>
          </w:tcPr>
          <w:p w:rsidR="007C5447" w:rsidRDefault="00F6308C">
            <w:pPr>
              <w:pStyle w:val="TableParagraph"/>
              <w:spacing w:before="50"/>
              <w:ind w:right="92"/>
              <w:rPr>
                <w:b/>
                <w:sz w:val="20"/>
              </w:rPr>
            </w:pPr>
            <w:r>
              <w:rPr>
                <w:b/>
                <w:w w:val="95"/>
                <w:sz w:val="20"/>
              </w:rPr>
              <w:t>8,292.99</w:t>
            </w:r>
          </w:p>
        </w:tc>
        <w:tc>
          <w:tcPr>
            <w:tcW w:w="1277" w:type="dxa"/>
            <w:tcBorders>
              <w:left w:val="single" w:sz="6" w:space="0" w:color="000000"/>
            </w:tcBorders>
            <w:shd w:val="clear" w:color="auto" w:fill="D9D9D9"/>
          </w:tcPr>
          <w:p w:rsidR="007C5447" w:rsidRDefault="00F6308C">
            <w:pPr>
              <w:pStyle w:val="TableParagraph"/>
              <w:spacing w:before="50"/>
              <w:ind w:right="94"/>
              <w:rPr>
                <w:b/>
                <w:sz w:val="20"/>
              </w:rPr>
            </w:pPr>
            <w:r>
              <w:rPr>
                <w:b/>
                <w:w w:val="95"/>
                <w:sz w:val="20"/>
              </w:rPr>
              <w:t>7,277.59</w:t>
            </w:r>
          </w:p>
        </w:tc>
        <w:tc>
          <w:tcPr>
            <w:tcW w:w="1277" w:type="dxa"/>
            <w:shd w:val="clear" w:color="auto" w:fill="D9D9D9"/>
          </w:tcPr>
          <w:p w:rsidR="007C5447" w:rsidRDefault="00F6308C">
            <w:pPr>
              <w:pStyle w:val="TableParagraph"/>
              <w:spacing w:before="50"/>
              <w:ind w:right="94"/>
              <w:rPr>
                <w:b/>
                <w:sz w:val="20"/>
              </w:rPr>
            </w:pPr>
            <w:r>
              <w:rPr>
                <w:b/>
                <w:w w:val="95"/>
                <w:sz w:val="20"/>
              </w:rPr>
              <w:t>7,955.77</w:t>
            </w:r>
          </w:p>
        </w:tc>
      </w:tr>
      <w:tr w:rsidR="007C5447">
        <w:trPr>
          <w:trHeight w:val="299"/>
        </w:trPr>
        <w:tc>
          <w:tcPr>
            <w:tcW w:w="2126" w:type="dxa"/>
          </w:tcPr>
          <w:p w:rsidR="007C5447" w:rsidRDefault="00F6308C">
            <w:pPr>
              <w:pStyle w:val="TableParagraph"/>
              <w:spacing w:before="55" w:line="224" w:lineRule="exact"/>
              <w:ind w:left="107"/>
              <w:jc w:val="left"/>
              <w:rPr>
                <w:sz w:val="20"/>
              </w:rPr>
            </w:pPr>
            <w:r>
              <w:rPr>
                <w:sz w:val="20"/>
              </w:rPr>
              <w:t>Tirumakottai GTPS</w:t>
            </w:r>
          </w:p>
        </w:tc>
        <w:tc>
          <w:tcPr>
            <w:tcW w:w="1277" w:type="dxa"/>
          </w:tcPr>
          <w:p w:rsidR="007C5447" w:rsidRDefault="00F6308C">
            <w:pPr>
              <w:pStyle w:val="TableParagraph"/>
              <w:spacing w:before="34"/>
              <w:ind w:right="97"/>
              <w:rPr>
                <w:sz w:val="20"/>
              </w:rPr>
            </w:pPr>
            <w:r>
              <w:rPr>
                <w:w w:val="95"/>
                <w:sz w:val="20"/>
              </w:rPr>
              <w:t>164.14</w:t>
            </w:r>
          </w:p>
        </w:tc>
        <w:tc>
          <w:tcPr>
            <w:tcW w:w="1274" w:type="dxa"/>
          </w:tcPr>
          <w:p w:rsidR="007C5447" w:rsidRDefault="00F6308C">
            <w:pPr>
              <w:pStyle w:val="TableParagraph"/>
              <w:spacing w:before="34"/>
              <w:ind w:right="92"/>
              <w:rPr>
                <w:sz w:val="20"/>
              </w:rPr>
            </w:pPr>
            <w:r>
              <w:rPr>
                <w:w w:val="95"/>
                <w:sz w:val="20"/>
              </w:rPr>
              <w:t>180.03</w:t>
            </w:r>
          </w:p>
        </w:tc>
        <w:tc>
          <w:tcPr>
            <w:tcW w:w="1330" w:type="dxa"/>
          </w:tcPr>
          <w:p w:rsidR="007C5447" w:rsidRDefault="00F6308C">
            <w:pPr>
              <w:pStyle w:val="TableParagraph"/>
              <w:spacing w:before="34"/>
              <w:ind w:right="94"/>
              <w:rPr>
                <w:sz w:val="20"/>
              </w:rPr>
            </w:pPr>
            <w:r>
              <w:rPr>
                <w:w w:val="95"/>
                <w:sz w:val="20"/>
              </w:rPr>
              <w:t>189.34</w:t>
            </w:r>
          </w:p>
        </w:tc>
        <w:tc>
          <w:tcPr>
            <w:tcW w:w="1363" w:type="dxa"/>
            <w:tcBorders>
              <w:right w:val="single" w:sz="6" w:space="0" w:color="000000"/>
            </w:tcBorders>
          </w:tcPr>
          <w:p w:rsidR="007C5447" w:rsidRDefault="00F6308C">
            <w:pPr>
              <w:pStyle w:val="TableParagraph"/>
              <w:spacing w:before="34"/>
              <w:ind w:right="91"/>
              <w:rPr>
                <w:sz w:val="20"/>
              </w:rPr>
            </w:pPr>
            <w:r>
              <w:rPr>
                <w:w w:val="95"/>
                <w:sz w:val="20"/>
              </w:rPr>
              <w:t>163.92</w:t>
            </w:r>
          </w:p>
        </w:tc>
        <w:tc>
          <w:tcPr>
            <w:tcW w:w="1277" w:type="dxa"/>
            <w:tcBorders>
              <w:left w:val="single" w:sz="6" w:space="0" w:color="000000"/>
            </w:tcBorders>
          </w:tcPr>
          <w:p w:rsidR="007C5447" w:rsidRDefault="00F6308C">
            <w:pPr>
              <w:pStyle w:val="TableParagraph"/>
              <w:spacing w:before="34"/>
              <w:ind w:right="94"/>
              <w:rPr>
                <w:sz w:val="20"/>
              </w:rPr>
            </w:pPr>
            <w:r>
              <w:rPr>
                <w:w w:val="95"/>
                <w:sz w:val="20"/>
              </w:rPr>
              <w:t>168.84</w:t>
            </w:r>
          </w:p>
        </w:tc>
        <w:tc>
          <w:tcPr>
            <w:tcW w:w="1277" w:type="dxa"/>
          </w:tcPr>
          <w:p w:rsidR="007C5447" w:rsidRDefault="00F6308C">
            <w:pPr>
              <w:pStyle w:val="TableParagraph"/>
              <w:spacing w:before="34"/>
              <w:ind w:right="94"/>
              <w:rPr>
                <w:sz w:val="20"/>
              </w:rPr>
            </w:pPr>
            <w:r>
              <w:rPr>
                <w:w w:val="95"/>
                <w:sz w:val="20"/>
              </w:rPr>
              <w:t>173.90</w:t>
            </w:r>
          </w:p>
        </w:tc>
      </w:tr>
      <w:tr w:rsidR="007C5447">
        <w:trPr>
          <w:trHeight w:val="299"/>
        </w:trPr>
        <w:tc>
          <w:tcPr>
            <w:tcW w:w="2126" w:type="dxa"/>
          </w:tcPr>
          <w:p w:rsidR="007C5447" w:rsidRDefault="00F6308C">
            <w:pPr>
              <w:pStyle w:val="TableParagraph"/>
              <w:spacing w:before="55" w:line="224" w:lineRule="exact"/>
              <w:ind w:left="107"/>
              <w:jc w:val="left"/>
              <w:rPr>
                <w:sz w:val="20"/>
              </w:rPr>
            </w:pPr>
            <w:r>
              <w:rPr>
                <w:sz w:val="20"/>
              </w:rPr>
              <w:t>Kuttalam GTPS</w:t>
            </w:r>
          </w:p>
        </w:tc>
        <w:tc>
          <w:tcPr>
            <w:tcW w:w="1277" w:type="dxa"/>
          </w:tcPr>
          <w:p w:rsidR="007C5447" w:rsidRDefault="00F6308C">
            <w:pPr>
              <w:pStyle w:val="TableParagraph"/>
              <w:spacing w:before="36"/>
              <w:ind w:right="97"/>
              <w:rPr>
                <w:sz w:val="20"/>
              </w:rPr>
            </w:pPr>
            <w:r>
              <w:rPr>
                <w:w w:val="95"/>
                <w:sz w:val="20"/>
              </w:rPr>
              <w:t>154.15</w:t>
            </w:r>
          </w:p>
        </w:tc>
        <w:tc>
          <w:tcPr>
            <w:tcW w:w="1274" w:type="dxa"/>
          </w:tcPr>
          <w:p w:rsidR="007C5447" w:rsidRDefault="00F6308C">
            <w:pPr>
              <w:pStyle w:val="TableParagraph"/>
              <w:spacing w:before="36"/>
              <w:ind w:right="92"/>
              <w:rPr>
                <w:sz w:val="20"/>
              </w:rPr>
            </w:pPr>
            <w:r>
              <w:rPr>
                <w:w w:val="95"/>
                <w:sz w:val="20"/>
              </w:rPr>
              <w:t>170.29</w:t>
            </w:r>
          </w:p>
        </w:tc>
        <w:tc>
          <w:tcPr>
            <w:tcW w:w="1330" w:type="dxa"/>
          </w:tcPr>
          <w:p w:rsidR="007C5447" w:rsidRDefault="00F6308C">
            <w:pPr>
              <w:pStyle w:val="TableParagraph"/>
              <w:spacing w:before="36"/>
              <w:ind w:right="94"/>
              <w:rPr>
                <w:sz w:val="20"/>
              </w:rPr>
            </w:pPr>
            <w:r>
              <w:rPr>
                <w:w w:val="95"/>
                <w:sz w:val="20"/>
              </w:rPr>
              <w:t>178.87</w:t>
            </w:r>
          </w:p>
        </w:tc>
        <w:tc>
          <w:tcPr>
            <w:tcW w:w="1363" w:type="dxa"/>
            <w:tcBorders>
              <w:right w:val="single" w:sz="6" w:space="0" w:color="000000"/>
            </w:tcBorders>
          </w:tcPr>
          <w:p w:rsidR="007C5447" w:rsidRDefault="00F6308C">
            <w:pPr>
              <w:pStyle w:val="TableParagraph"/>
              <w:spacing w:before="36"/>
              <w:ind w:right="91"/>
              <w:rPr>
                <w:sz w:val="20"/>
              </w:rPr>
            </w:pPr>
            <w:r>
              <w:rPr>
                <w:w w:val="95"/>
                <w:sz w:val="20"/>
              </w:rPr>
              <w:t>155.69</w:t>
            </w:r>
          </w:p>
        </w:tc>
        <w:tc>
          <w:tcPr>
            <w:tcW w:w="1277" w:type="dxa"/>
            <w:tcBorders>
              <w:left w:val="single" w:sz="6" w:space="0" w:color="000000"/>
            </w:tcBorders>
          </w:tcPr>
          <w:p w:rsidR="007C5447" w:rsidRDefault="00F6308C">
            <w:pPr>
              <w:pStyle w:val="TableParagraph"/>
              <w:spacing w:before="36"/>
              <w:ind w:right="94"/>
              <w:rPr>
                <w:sz w:val="20"/>
              </w:rPr>
            </w:pPr>
            <w:r>
              <w:rPr>
                <w:w w:val="95"/>
                <w:sz w:val="20"/>
              </w:rPr>
              <w:t>160.36</w:t>
            </w:r>
          </w:p>
        </w:tc>
        <w:tc>
          <w:tcPr>
            <w:tcW w:w="1277" w:type="dxa"/>
          </w:tcPr>
          <w:p w:rsidR="007C5447" w:rsidRDefault="00F6308C">
            <w:pPr>
              <w:pStyle w:val="TableParagraph"/>
              <w:spacing w:before="36"/>
              <w:ind w:right="94"/>
              <w:rPr>
                <w:sz w:val="20"/>
              </w:rPr>
            </w:pPr>
            <w:r>
              <w:rPr>
                <w:w w:val="95"/>
                <w:sz w:val="20"/>
              </w:rPr>
              <w:t>165.17</w:t>
            </w:r>
          </w:p>
        </w:tc>
      </w:tr>
      <w:tr w:rsidR="007C5447">
        <w:trPr>
          <w:trHeight w:val="299"/>
        </w:trPr>
        <w:tc>
          <w:tcPr>
            <w:tcW w:w="2126" w:type="dxa"/>
          </w:tcPr>
          <w:p w:rsidR="007C5447" w:rsidRDefault="00F6308C">
            <w:pPr>
              <w:pStyle w:val="TableParagraph"/>
              <w:spacing w:before="55" w:line="224" w:lineRule="exact"/>
              <w:ind w:left="107"/>
              <w:jc w:val="left"/>
              <w:rPr>
                <w:sz w:val="20"/>
              </w:rPr>
            </w:pPr>
            <w:r>
              <w:rPr>
                <w:sz w:val="20"/>
              </w:rPr>
              <w:t>Basin Bridge GTPS</w:t>
            </w:r>
          </w:p>
        </w:tc>
        <w:tc>
          <w:tcPr>
            <w:tcW w:w="1277" w:type="dxa"/>
          </w:tcPr>
          <w:p w:rsidR="007C5447" w:rsidRDefault="00F6308C">
            <w:pPr>
              <w:pStyle w:val="TableParagraph"/>
              <w:spacing w:before="36"/>
              <w:ind w:right="97"/>
              <w:rPr>
                <w:sz w:val="20"/>
              </w:rPr>
            </w:pPr>
            <w:r>
              <w:rPr>
                <w:sz w:val="20"/>
              </w:rPr>
              <w:t>1.37</w:t>
            </w:r>
          </w:p>
        </w:tc>
        <w:tc>
          <w:tcPr>
            <w:tcW w:w="1274" w:type="dxa"/>
          </w:tcPr>
          <w:p w:rsidR="007C5447" w:rsidRDefault="00F6308C">
            <w:pPr>
              <w:pStyle w:val="TableParagraph"/>
              <w:spacing w:before="36"/>
              <w:ind w:right="92"/>
              <w:rPr>
                <w:sz w:val="20"/>
              </w:rPr>
            </w:pPr>
            <w:r>
              <w:rPr>
                <w:sz w:val="20"/>
              </w:rPr>
              <w:t>1.41</w:t>
            </w:r>
          </w:p>
        </w:tc>
        <w:tc>
          <w:tcPr>
            <w:tcW w:w="1330" w:type="dxa"/>
          </w:tcPr>
          <w:p w:rsidR="007C5447" w:rsidRDefault="00F6308C">
            <w:pPr>
              <w:pStyle w:val="TableParagraph"/>
              <w:spacing w:before="36"/>
              <w:ind w:right="94"/>
              <w:rPr>
                <w:sz w:val="20"/>
              </w:rPr>
            </w:pPr>
            <w:r>
              <w:rPr>
                <w:sz w:val="20"/>
              </w:rPr>
              <w:t>1.45</w:t>
            </w:r>
          </w:p>
        </w:tc>
        <w:tc>
          <w:tcPr>
            <w:tcW w:w="1363" w:type="dxa"/>
            <w:tcBorders>
              <w:right w:val="single" w:sz="6" w:space="0" w:color="000000"/>
            </w:tcBorders>
          </w:tcPr>
          <w:p w:rsidR="007C5447" w:rsidRDefault="00F6308C">
            <w:pPr>
              <w:pStyle w:val="TableParagraph"/>
              <w:spacing w:before="36"/>
              <w:ind w:right="91"/>
              <w:rPr>
                <w:sz w:val="20"/>
              </w:rPr>
            </w:pPr>
            <w:r>
              <w:rPr>
                <w:sz w:val="20"/>
              </w:rPr>
              <w:t>6.72</w:t>
            </w:r>
          </w:p>
        </w:tc>
        <w:tc>
          <w:tcPr>
            <w:tcW w:w="1277" w:type="dxa"/>
            <w:tcBorders>
              <w:left w:val="single" w:sz="6" w:space="0" w:color="000000"/>
            </w:tcBorders>
          </w:tcPr>
          <w:p w:rsidR="007C5447" w:rsidRDefault="00F6308C">
            <w:pPr>
              <w:pStyle w:val="TableParagraph"/>
              <w:spacing w:before="36"/>
              <w:ind w:right="93"/>
              <w:rPr>
                <w:sz w:val="20"/>
              </w:rPr>
            </w:pPr>
            <w:r>
              <w:rPr>
                <w:sz w:val="20"/>
              </w:rPr>
              <w:t>6.72</w:t>
            </w:r>
          </w:p>
        </w:tc>
        <w:tc>
          <w:tcPr>
            <w:tcW w:w="1277" w:type="dxa"/>
          </w:tcPr>
          <w:p w:rsidR="007C5447" w:rsidRDefault="00F6308C">
            <w:pPr>
              <w:pStyle w:val="TableParagraph"/>
              <w:spacing w:before="36"/>
              <w:ind w:right="94"/>
              <w:rPr>
                <w:sz w:val="20"/>
              </w:rPr>
            </w:pPr>
            <w:r>
              <w:rPr>
                <w:sz w:val="20"/>
              </w:rPr>
              <w:t>6.72</w:t>
            </w:r>
          </w:p>
        </w:tc>
      </w:tr>
      <w:tr w:rsidR="007C5447">
        <w:trPr>
          <w:trHeight w:val="299"/>
        </w:trPr>
        <w:tc>
          <w:tcPr>
            <w:tcW w:w="2126" w:type="dxa"/>
          </w:tcPr>
          <w:p w:rsidR="007C5447" w:rsidRDefault="00F6308C">
            <w:pPr>
              <w:pStyle w:val="TableParagraph"/>
              <w:spacing w:before="55" w:line="224" w:lineRule="exact"/>
              <w:ind w:left="107"/>
              <w:jc w:val="left"/>
              <w:rPr>
                <w:sz w:val="20"/>
              </w:rPr>
            </w:pPr>
            <w:r>
              <w:rPr>
                <w:sz w:val="20"/>
              </w:rPr>
              <w:t>Valuthur GTPS</w:t>
            </w:r>
          </w:p>
        </w:tc>
        <w:tc>
          <w:tcPr>
            <w:tcW w:w="1277" w:type="dxa"/>
          </w:tcPr>
          <w:p w:rsidR="007C5447" w:rsidRDefault="00F6308C">
            <w:pPr>
              <w:pStyle w:val="TableParagraph"/>
              <w:spacing w:before="36"/>
              <w:ind w:right="97"/>
              <w:rPr>
                <w:sz w:val="20"/>
              </w:rPr>
            </w:pPr>
            <w:r>
              <w:rPr>
                <w:w w:val="95"/>
                <w:sz w:val="20"/>
              </w:rPr>
              <w:t>138.22</w:t>
            </w:r>
          </w:p>
        </w:tc>
        <w:tc>
          <w:tcPr>
            <w:tcW w:w="1274" w:type="dxa"/>
          </w:tcPr>
          <w:p w:rsidR="007C5447" w:rsidRDefault="00F6308C">
            <w:pPr>
              <w:pStyle w:val="TableParagraph"/>
              <w:spacing w:before="36"/>
              <w:ind w:right="92"/>
              <w:rPr>
                <w:sz w:val="20"/>
              </w:rPr>
            </w:pPr>
            <w:r>
              <w:rPr>
                <w:w w:val="95"/>
                <w:sz w:val="20"/>
              </w:rPr>
              <w:t>292.54</w:t>
            </w:r>
          </w:p>
        </w:tc>
        <w:tc>
          <w:tcPr>
            <w:tcW w:w="1330" w:type="dxa"/>
          </w:tcPr>
          <w:p w:rsidR="007C5447" w:rsidRDefault="00F6308C">
            <w:pPr>
              <w:pStyle w:val="TableParagraph"/>
              <w:spacing w:before="36"/>
              <w:ind w:right="94"/>
              <w:rPr>
                <w:sz w:val="20"/>
              </w:rPr>
            </w:pPr>
            <w:r>
              <w:rPr>
                <w:w w:val="95"/>
                <w:sz w:val="20"/>
              </w:rPr>
              <w:t>307.58</w:t>
            </w:r>
          </w:p>
        </w:tc>
        <w:tc>
          <w:tcPr>
            <w:tcW w:w="1363" w:type="dxa"/>
            <w:tcBorders>
              <w:right w:val="single" w:sz="6" w:space="0" w:color="000000"/>
            </w:tcBorders>
          </w:tcPr>
          <w:p w:rsidR="007C5447" w:rsidRDefault="00F6308C">
            <w:pPr>
              <w:pStyle w:val="TableParagraph"/>
              <w:spacing w:before="36"/>
              <w:ind w:right="91"/>
              <w:rPr>
                <w:sz w:val="20"/>
              </w:rPr>
            </w:pPr>
            <w:r>
              <w:rPr>
                <w:w w:val="95"/>
                <w:sz w:val="20"/>
              </w:rPr>
              <w:t>271.78</w:t>
            </w:r>
          </w:p>
        </w:tc>
        <w:tc>
          <w:tcPr>
            <w:tcW w:w="1277" w:type="dxa"/>
            <w:tcBorders>
              <w:left w:val="single" w:sz="6" w:space="0" w:color="000000"/>
            </w:tcBorders>
          </w:tcPr>
          <w:p w:rsidR="007C5447" w:rsidRDefault="00F6308C">
            <w:pPr>
              <w:pStyle w:val="TableParagraph"/>
              <w:spacing w:before="36"/>
              <w:ind w:right="94"/>
              <w:rPr>
                <w:sz w:val="20"/>
              </w:rPr>
            </w:pPr>
            <w:r>
              <w:rPr>
                <w:w w:val="95"/>
                <w:sz w:val="20"/>
              </w:rPr>
              <w:t>279.93</w:t>
            </w:r>
          </w:p>
        </w:tc>
        <w:tc>
          <w:tcPr>
            <w:tcW w:w="1277" w:type="dxa"/>
          </w:tcPr>
          <w:p w:rsidR="007C5447" w:rsidRDefault="00F6308C">
            <w:pPr>
              <w:pStyle w:val="TableParagraph"/>
              <w:spacing w:before="36"/>
              <w:ind w:right="94"/>
              <w:rPr>
                <w:sz w:val="20"/>
              </w:rPr>
            </w:pPr>
            <w:r>
              <w:rPr>
                <w:w w:val="95"/>
                <w:sz w:val="20"/>
              </w:rPr>
              <w:t>288.33</w:t>
            </w:r>
          </w:p>
        </w:tc>
      </w:tr>
      <w:tr w:rsidR="007C5447">
        <w:trPr>
          <w:trHeight w:val="330"/>
        </w:trPr>
        <w:tc>
          <w:tcPr>
            <w:tcW w:w="2126" w:type="dxa"/>
            <w:shd w:val="clear" w:color="auto" w:fill="D9D9D9"/>
          </w:tcPr>
          <w:p w:rsidR="007C5447" w:rsidRDefault="007C5447">
            <w:pPr>
              <w:pStyle w:val="TableParagraph"/>
              <w:jc w:val="left"/>
              <w:rPr>
                <w:sz w:val="20"/>
              </w:rPr>
            </w:pPr>
          </w:p>
        </w:tc>
        <w:tc>
          <w:tcPr>
            <w:tcW w:w="1277" w:type="dxa"/>
            <w:shd w:val="clear" w:color="auto" w:fill="D9D9D9"/>
          </w:tcPr>
          <w:p w:rsidR="007C5447" w:rsidRDefault="00F6308C">
            <w:pPr>
              <w:pStyle w:val="TableParagraph"/>
              <w:spacing w:before="50"/>
              <w:ind w:right="97"/>
              <w:rPr>
                <w:b/>
                <w:sz w:val="20"/>
              </w:rPr>
            </w:pPr>
            <w:r>
              <w:rPr>
                <w:b/>
                <w:w w:val="95"/>
                <w:sz w:val="20"/>
              </w:rPr>
              <w:t>457.88</w:t>
            </w:r>
          </w:p>
        </w:tc>
        <w:tc>
          <w:tcPr>
            <w:tcW w:w="1274" w:type="dxa"/>
            <w:shd w:val="clear" w:color="auto" w:fill="D9D9D9"/>
          </w:tcPr>
          <w:p w:rsidR="007C5447" w:rsidRDefault="00F6308C">
            <w:pPr>
              <w:pStyle w:val="TableParagraph"/>
              <w:spacing w:before="50"/>
              <w:ind w:right="92"/>
              <w:rPr>
                <w:b/>
                <w:sz w:val="20"/>
              </w:rPr>
            </w:pPr>
            <w:r>
              <w:rPr>
                <w:b/>
                <w:w w:val="95"/>
                <w:sz w:val="20"/>
              </w:rPr>
              <w:t>644.27</w:t>
            </w:r>
          </w:p>
        </w:tc>
        <w:tc>
          <w:tcPr>
            <w:tcW w:w="1330" w:type="dxa"/>
            <w:shd w:val="clear" w:color="auto" w:fill="D9D9D9"/>
          </w:tcPr>
          <w:p w:rsidR="007C5447" w:rsidRDefault="00F6308C">
            <w:pPr>
              <w:pStyle w:val="TableParagraph"/>
              <w:spacing w:before="50"/>
              <w:ind w:right="94"/>
              <w:rPr>
                <w:b/>
                <w:sz w:val="20"/>
              </w:rPr>
            </w:pPr>
            <w:r>
              <w:rPr>
                <w:b/>
                <w:w w:val="95"/>
                <w:sz w:val="20"/>
              </w:rPr>
              <w:t>677.24</w:t>
            </w:r>
          </w:p>
        </w:tc>
        <w:tc>
          <w:tcPr>
            <w:tcW w:w="1363" w:type="dxa"/>
            <w:tcBorders>
              <w:right w:val="single" w:sz="6" w:space="0" w:color="000000"/>
            </w:tcBorders>
            <w:shd w:val="clear" w:color="auto" w:fill="D9D9D9"/>
          </w:tcPr>
          <w:p w:rsidR="007C5447" w:rsidRDefault="00F6308C">
            <w:pPr>
              <w:pStyle w:val="TableParagraph"/>
              <w:spacing w:before="50"/>
              <w:ind w:right="91"/>
              <w:rPr>
                <w:b/>
                <w:sz w:val="20"/>
              </w:rPr>
            </w:pPr>
            <w:r>
              <w:rPr>
                <w:b/>
                <w:w w:val="95"/>
                <w:sz w:val="20"/>
              </w:rPr>
              <w:t>598.11</w:t>
            </w:r>
          </w:p>
        </w:tc>
        <w:tc>
          <w:tcPr>
            <w:tcW w:w="1277" w:type="dxa"/>
            <w:tcBorders>
              <w:left w:val="single" w:sz="6" w:space="0" w:color="000000"/>
            </w:tcBorders>
            <w:shd w:val="clear" w:color="auto" w:fill="D9D9D9"/>
          </w:tcPr>
          <w:p w:rsidR="007C5447" w:rsidRDefault="00F6308C">
            <w:pPr>
              <w:pStyle w:val="TableParagraph"/>
              <w:spacing w:before="50"/>
              <w:ind w:right="93"/>
              <w:rPr>
                <w:b/>
                <w:sz w:val="20"/>
              </w:rPr>
            </w:pPr>
            <w:r>
              <w:rPr>
                <w:b/>
                <w:w w:val="95"/>
                <w:sz w:val="20"/>
              </w:rPr>
              <w:t>615.85</w:t>
            </w:r>
          </w:p>
        </w:tc>
        <w:tc>
          <w:tcPr>
            <w:tcW w:w="1277" w:type="dxa"/>
            <w:shd w:val="clear" w:color="auto" w:fill="D9D9D9"/>
          </w:tcPr>
          <w:p w:rsidR="007C5447" w:rsidRDefault="00F6308C">
            <w:pPr>
              <w:pStyle w:val="TableParagraph"/>
              <w:spacing w:before="50"/>
              <w:ind w:right="94"/>
              <w:rPr>
                <w:b/>
                <w:sz w:val="20"/>
              </w:rPr>
            </w:pPr>
            <w:r>
              <w:rPr>
                <w:b/>
                <w:w w:val="95"/>
                <w:sz w:val="20"/>
              </w:rPr>
              <w:t>634.13</w:t>
            </w:r>
          </w:p>
        </w:tc>
      </w:tr>
      <w:tr w:rsidR="007C5447">
        <w:trPr>
          <w:trHeight w:val="299"/>
        </w:trPr>
        <w:tc>
          <w:tcPr>
            <w:tcW w:w="2126" w:type="dxa"/>
          </w:tcPr>
          <w:p w:rsidR="007C5447" w:rsidRDefault="00F6308C">
            <w:pPr>
              <w:pStyle w:val="TableParagraph"/>
              <w:spacing w:before="36"/>
              <w:ind w:left="107"/>
              <w:jc w:val="left"/>
              <w:rPr>
                <w:sz w:val="20"/>
              </w:rPr>
            </w:pPr>
            <w:r>
              <w:rPr>
                <w:sz w:val="20"/>
              </w:rPr>
              <w:t>Wind</w:t>
            </w:r>
          </w:p>
        </w:tc>
        <w:tc>
          <w:tcPr>
            <w:tcW w:w="1277" w:type="dxa"/>
          </w:tcPr>
          <w:p w:rsidR="007C5447" w:rsidRDefault="00F6308C">
            <w:pPr>
              <w:pStyle w:val="TableParagraph"/>
              <w:spacing w:before="36"/>
              <w:ind w:right="97"/>
              <w:rPr>
                <w:sz w:val="20"/>
              </w:rPr>
            </w:pPr>
            <w:r>
              <w:rPr>
                <w:sz w:val="20"/>
              </w:rPr>
              <w:t>3.30</w:t>
            </w:r>
          </w:p>
        </w:tc>
        <w:tc>
          <w:tcPr>
            <w:tcW w:w="1274" w:type="dxa"/>
          </w:tcPr>
          <w:p w:rsidR="007C5447" w:rsidRDefault="00F6308C">
            <w:pPr>
              <w:pStyle w:val="TableParagraph"/>
              <w:spacing w:before="36"/>
              <w:ind w:right="92"/>
              <w:rPr>
                <w:sz w:val="20"/>
              </w:rPr>
            </w:pPr>
            <w:r>
              <w:rPr>
                <w:sz w:val="20"/>
              </w:rPr>
              <w:t>3.30</w:t>
            </w:r>
          </w:p>
        </w:tc>
        <w:tc>
          <w:tcPr>
            <w:tcW w:w="1330" w:type="dxa"/>
          </w:tcPr>
          <w:p w:rsidR="007C5447" w:rsidRDefault="00F6308C">
            <w:pPr>
              <w:pStyle w:val="TableParagraph"/>
              <w:spacing w:before="36"/>
              <w:ind w:right="94"/>
              <w:rPr>
                <w:sz w:val="20"/>
              </w:rPr>
            </w:pPr>
            <w:r>
              <w:rPr>
                <w:sz w:val="20"/>
              </w:rPr>
              <w:t>3.30</w:t>
            </w:r>
          </w:p>
        </w:tc>
        <w:tc>
          <w:tcPr>
            <w:tcW w:w="1363" w:type="dxa"/>
            <w:tcBorders>
              <w:right w:val="single" w:sz="6" w:space="0" w:color="000000"/>
            </w:tcBorders>
          </w:tcPr>
          <w:p w:rsidR="007C5447" w:rsidRDefault="00F6308C">
            <w:pPr>
              <w:pStyle w:val="TableParagraph"/>
              <w:spacing w:before="36"/>
              <w:ind w:right="91"/>
              <w:rPr>
                <w:sz w:val="20"/>
              </w:rPr>
            </w:pPr>
            <w:r>
              <w:rPr>
                <w:sz w:val="20"/>
              </w:rPr>
              <w:t>3.30</w:t>
            </w:r>
          </w:p>
        </w:tc>
        <w:tc>
          <w:tcPr>
            <w:tcW w:w="1277" w:type="dxa"/>
            <w:tcBorders>
              <w:left w:val="single" w:sz="6" w:space="0" w:color="000000"/>
            </w:tcBorders>
          </w:tcPr>
          <w:p w:rsidR="007C5447" w:rsidRDefault="00F6308C">
            <w:pPr>
              <w:pStyle w:val="TableParagraph"/>
              <w:spacing w:before="36"/>
              <w:ind w:right="93"/>
              <w:rPr>
                <w:sz w:val="20"/>
              </w:rPr>
            </w:pPr>
            <w:r>
              <w:rPr>
                <w:sz w:val="20"/>
              </w:rPr>
              <w:t>3.30</w:t>
            </w:r>
          </w:p>
        </w:tc>
        <w:tc>
          <w:tcPr>
            <w:tcW w:w="1277" w:type="dxa"/>
          </w:tcPr>
          <w:p w:rsidR="007C5447" w:rsidRDefault="00F6308C">
            <w:pPr>
              <w:pStyle w:val="TableParagraph"/>
              <w:spacing w:before="36"/>
              <w:ind w:right="94"/>
              <w:rPr>
                <w:sz w:val="20"/>
              </w:rPr>
            </w:pPr>
            <w:r>
              <w:rPr>
                <w:sz w:val="20"/>
              </w:rPr>
              <w:t>3.30</w:t>
            </w:r>
          </w:p>
        </w:tc>
      </w:tr>
      <w:tr w:rsidR="007C5447">
        <w:trPr>
          <w:trHeight w:val="333"/>
        </w:trPr>
        <w:tc>
          <w:tcPr>
            <w:tcW w:w="2126" w:type="dxa"/>
            <w:shd w:val="clear" w:color="auto" w:fill="D9D9D9"/>
          </w:tcPr>
          <w:p w:rsidR="007C5447" w:rsidRDefault="00F6308C">
            <w:pPr>
              <w:pStyle w:val="TableParagraph"/>
              <w:spacing w:before="50"/>
              <w:ind w:left="107"/>
              <w:jc w:val="left"/>
              <w:rPr>
                <w:b/>
                <w:sz w:val="20"/>
              </w:rPr>
            </w:pPr>
            <w:r>
              <w:rPr>
                <w:b/>
                <w:sz w:val="20"/>
              </w:rPr>
              <w:t>Grand Total</w:t>
            </w:r>
          </w:p>
        </w:tc>
        <w:tc>
          <w:tcPr>
            <w:tcW w:w="1277" w:type="dxa"/>
            <w:shd w:val="clear" w:color="auto" w:fill="D9D9D9"/>
          </w:tcPr>
          <w:p w:rsidR="007C5447" w:rsidRDefault="00F6308C">
            <w:pPr>
              <w:pStyle w:val="TableParagraph"/>
              <w:spacing w:before="50"/>
              <w:ind w:right="97"/>
              <w:rPr>
                <w:b/>
                <w:sz w:val="20"/>
              </w:rPr>
            </w:pPr>
            <w:r>
              <w:rPr>
                <w:b/>
                <w:w w:val="95"/>
                <w:sz w:val="20"/>
              </w:rPr>
              <w:t>8,996.52</w:t>
            </w:r>
          </w:p>
        </w:tc>
        <w:tc>
          <w:tcPr>
            <w:tcW w:w="1274" w:type="dxa"/>
            <w:shd w:val="clear" w:color="auto" w:fill="D9D9D9"/>
          </w:tcPr>
          <w:p w:rsidR="007C5447" w:rsidRDefault="00F6308C">
            <w:pPr>
              <w:pStyle w:val="TableParagraph"/>
              <w:spacing w:before="50"/>
              <w:ind w:right="92"/>
              <w:rPr>
                <w:b/>
                <w:sz w:val="20"/>
              </w:rPr>
            </w:pPr>
            <w:r>
              <w:rPr>
                <w:b/>
                <w:w w:val="95"/>
                <w:sz w:val="20"/>
              </w:rPr>
              <w:t>9,060.77</w:t>
            </w:r>
          </w:p>
        </w:tc>
        <w:tc>
          <w:tcPr>
            <w:tcW w:w="1330" w:type="dxa"/>
            <w:shd w:val="clear" w:color="auto" w:fill="D9D9D9"/>
          </w:tcPr>
          <w:p w:rsidR="007C5447" w:rsidRDefault="00F6308C">
            <w:pPr>
              <w:pStyle w:val="TableParagraph"/>
              <w:spacing w:before="50"/>
              <w:ind w:right="95"/>
              <w:rPr>
                <w:b/>
                <w:sz w:val="20"/>
              </w:rPr>
            </w:pPr>
            <w:r>
              <w:rPr>
                <w:b/>
                <w:w w:val="95"/>
                <w:sz w:val="20"/>
              </w:rPr>
              <w:t>9,986.43</w:t>
            </w:r>
          </w:p>
        </w:tc>
        <w:tc>
          <w:tcPr>
            <w:tcW w:w="1363" w:type="dxa"/>
            <w:tcBorders>
              <w:right w:val="single" w:sz="6" w:space="0" w:color="000000"/>
            </w:tcBorders>
            <w:shd w:val="clear" w:color="auto" w:fill="D9D9D9"/>
          </w:tcPr>
          <w:p w:rsidR="007C5447" w:rsidRDefault="00F6308C">
            <w:pPr>
              <w:pStyle w:val="TableParagraph"/>
              <w:spacing w:before="50"/>
              <w:ind w:right="91"/>
              <w:rPr>
                <w:b/>
                <w:sz w:val="20"/>
              </w:rPr>
            </w:pPr>
            <w:r>
              <w:rPr>
                <w:b/>
                <w:w w:val="95"/>
                <w:sz w:val="20"/>
              </w:rPr>
              <w:t>8,894.41</w:t>
            </w:r>
          </w:p>
        </w:tc>
        <w:tc>
          <w:tcPr>
            <w:tcW w:w="1277" w:type="dxa"/>
            <w:tcBorders>
              <w:left w:val="single" w:sz="6" w:space="0" w:color="000000"/>
            </w:tcBorders>
            <w:shd w:val="clear" w:color="auto" w:fill="D9D9D9"/>
          </w:tcPr>
          <w:p w:rsidR="007C5447" w:rsidRDefault="00F6308C">
            <w:pPr>
              <w:pStyle w:val="TableParagraph"/>
              <w:spacing w:before="50"/>
              <w:ind w:right="93"/>
              <w:rPr>
                <w:b/>
                <w:sz w:val="20"/>
              </w:rPr>
            </w:pPr>
            <w:r>
              <w:rPr>
                <w:b/>
                <w:w w:val="95"/>
                <w:sz w:val="20"/>
              </w:rPr>
              <w:t>7,896.75</w:t>
            </w:r>
          </w:p>
        </w:tc>
        <w:tc>
          <w:tcPr>
            <w:tcW w:w="1277" w:type="dxa"/>
            <w:shd w:val="clear" w:color="auto" w:fill="D9D9D9"/>
          </w:tcPr>
          <w:p w:rsidR="007C5447" w:rsidRDefault="00F6308C">
            <w:pPr>
              <w:pStyle w:val="TableParagraph"/>
              <w:spacing w:before="50"/>
              <w:ind w:right="93"/>
              <w:rPr>
                <w:b/>
                <w:sz w:val="20"/>
              </w:rPr>
            </w:pPr>
            <w:r>
              <w:rPr>
                <w:b/>
                <w:w w:val="95"/>
                <w:sz w:val="20"/>
              </w:rPr>
              <w:t>8,593.20</w:t>
            </w:r>
          </w:p>
        </w:tc>
      </w:tr>
    </w:tbl>
    <w:p w:rsidR="007C5447" w:rsidRDefault="007C5447">
      <w:pPr>
        <w:pStyle w:val="BodyText"/>
        <w:rPr>
          <w:b/>
        </w:rPr>
      </w:pPr>
    </w:p>
    <w:p w:rsidR="007C5447" w:rsidRDefault="007C5447">
      <w:pPr>
        <w:pStyle w:val="BodyText"/>
        <w:rPr>
          <w:b/>
        </w:rPr>
      </w:pPr>
    </w:p>
    <w:p w:rsidR="007C5447" w:rsidRDefault="007C5447">
      <w:pPr>
        <w:pStyle w:val="BodyText"/>
        <w:spacing w:before="3"/>
        <w:rPr>
          <w:b/>
          <w:sz w:val="22"/>
        </w:rPr>
      </w:pPr>
    </w:p>
    <w:p w:rsidR="007C5447" w:rsidRDefault="00F6308C">
      <w:pPr>
        <w:pStyle w:val="Heading2"/>
        <w:numPr>
          <w:ilvl w:val="1"/>
          <w:numId w:val="114"/>
        </w:numPr>
        <w:tabs>
          <w:tab w:val="left" w:pos="1667"/>
        </w:tabs>
        <w:ind w:left="1666"/>
      </w:pPr>
      <w:bookmarkStart w:id="71" w:name="_bookmark71"/>
      <w:bookmarkEnd w:id="71"/>
      <w:r>
        <w:t>Power Purchase from Other</w:t>
      </w:r>
      <w:r>
        <w:rPr>
          <w:spacing w:val="-3"/>
        </w:rPr>
        <w:t xml:space="preserve"> </w:t>
      </w:r>
      <w:r>
        <w:t>Sources</w:t>
      </w:r>
    </w:p>
    <w:p w:rsidR="007C5447" w:rsidRDefault="007C5447">
      <w:pPr>
        <w:pStyle w:val="BodyText"/>
        <w:rPr>
          <w:b/>
          <w:sz w:val="28"/>
        </w:rPr>
      </w:pPr>
    </w:p>
    <w:p w:rsidR="007C5447" w:rsidRDefault="00F6308C">
      <w:pPr>
        <w:pStyle w:val="ListParagraph"/>
        <w:numPr>
          <w:ilvl w:val="2"/>
          <w:numId w:val="114"/>
        </w:numPr>
        <w:tabs>
          <w:tab w:val="left" w:pos="1953"/>
        </w:tabs>
        <w:spacing w:line="312" w:lineRule="auto"/>
        <w:ind w:left="1952" w:right="1180" w:hanging="852"/>
        <w:jc w:val="both"/>
        <w:rPr>
          <w:sz w:val="24"/>
        </w:rPr>
      </w:pPr>
      <w:r>
        <w:rPr>
          <w:sz w:val="24"/>
        </w:rPr>
        <w:t>TANGEDCO submitted that it has applied Merit Order Despatch (MOD) for FY 2016-17 to FY 2018-19 and ranked all the outside sources based on the increasing order of their variable cost per unit and had not applied MOD on its own generation and had therefore,</w:t>
      </w:r>
      <w:r>
        <w:rPr>
          <w:sz w:val="24"/>
        </w:rPr>
        <w:t xml:space="preserve"> considered the entire power available from its own generation in the power purchase</w:t>
      </w:r>
      <w:r>
        <w:rPr>
          <w:spacing w:val="-2"/>
          <w:sz w:val="24"/>
        </w:rPr>
        <w:t xml:space="preserve"> </w:t>
      </w:r>
      <w:r>
        <w:rPr>
          <w:sz w:val="24"/>
        </w:rPr>
        <w:t>cost.</w:t>
      </w:r>
    </w:p>
    <w:p w:rsidR="007C5447" w:rsidRDefault="007C5447">
      <w:pPr>
        <w:pStyle w:val="BodyText"/>
        <w:spacing w:before="9"/>
        <w:rPr>
          <w:sz w:val="20"/>
        </w:rPr>
      </w:pPr>
    </w:p>
    <w:p w:rsidR="007C5447" w:rsidRDefault="00F6308C">
      <w:pPr>
        <w:pStyle w:val="ListParagraph"/>
        <w:numPr>
          <w:ilvl w:val="2"/>
          <w:numId w:val="114"/>
        </w:numPr>
        <w:tabs>
          <w:tab w:val="left" w:pos="1953"/>
        </w:tabs>
        <w:spacing w:line="312" w:lineRule="auto"/>
        <w:ind w:left="1952" w:right="1178" w:hanging="852"/>
        <w:jc w:val="both"/>
        <w:rPr>
          <w:sz w:val="24"/>
        </w:rPr>
      </w:pPr>
      <w:r>
        <w:rPr>
          <w:sz w:val="24"/>
        </w:rPr>
        <w:t>TANGEDCO submitted that it has considered Transmission Charges in the ARR for Distribution function for FY 2016-17 to FY 2018-19 based on 5% escalation over the actual Transmission Charges of FY 2015-16.</w:t>
      </w:r>
    </w:p>
    <w:p w:rsidR="007C5447" w:rsidRDefault="007C5447">
      <w:pPr>
        <w:pStyle w:val="BodyText"/>
        <w:rPr>
          <w:sz w:val="21"/>
        </w:rPr>
      </w:pPr>
    </w:p>
    <w:p w:rsidR="007C5447" w:rsidRDefault="00F6308C">
      <w:pPr>
        <w:pStyle w:val="ListParagraph"/>
        <w:numPr>
          <w:ilvl w:val="2"/>
          <w:numId w:val="114"/>
        </w:numPr>
        <w:tabs>
          <w:tab w:val="left" w:pos="1953"/>
        </w:tabs>
        <w:spacing w:line="312" w:lineRule="auto"/>
        <w:ind w:left="1952" w:right="1173" w:hanging="852"/>
        <w:jc w:val="both"/>
        <w:rPr>
          <w:sz w:val="24"/>
        </w:rPr>
      </w:pPr>
      <w:r>
        <w:rPr>
          <w:sz w:val="24"/>
        </w:rPr>
        <w:t>Based on MOD, the power purchase expenses estimated</w:t>
      </w:r>
      <w:r>
        <w:rPr>
          <w:sz w:val="24"/>
        </w:rPr>
        <w:t xml:space="preserve"> to be incurred </w:t>
      </w:r>
      <w:r>
        <w:rPr>
          <w:spacing w:val="5"/>
          <w:sz w:val="24"/>
        </w:rPr>
        <w:t xml:space="preserve">by </w:t>
      </w:r>
      <w:r>
        <w:rPr>
          <w:sz w:val="24"/>
        </w:rPr>
        <w:t>TANGEDCO for FY 2016-17 to FY 2018-19 is shown in the Table</w:t>
      </w:r>
      <w:r>
        <w:rPr>
          <w:spacing w:val="-5"/>
          <w:sz w:val="24"/>
        </w:rPr>
        <w:t xml:space="preserve"> </w:t>
      </w:r>
      <w:r>
        <w:rPr>
          <w:sz w:val="24"/>
        </w:rPr>
        <w:t>below:</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F6308C">
      <w:pPr>
        <w:spacing w:before="62" w:line="312" w:lineRule="auto"/>
        <w:ind w:left="4977" w:right="1702" w:hanging="3339"/>
        <w:rPr>
          <w:b/>
        </w:rPr>
      </w:pPr>
      <w:r>
        <w:rPr>
          <w:b/>
        </w:rPr>
        <w:lastRenderedPageBreak/>
        <w:t>Table 4-45: Power Purchase Expenses for FY 2016-17 to FY 2018-19 as submitted by TANGEDCO</w:t>
      </w:r>
    </w:p>
    <w:p w:rsidR="007C5447" w:rsidRDefault="007C5447">
      <w:pPr>
        <w:pStyle w:val="BodyText"/>
        <w:spacing w:before="4" w:after="1"/>
        <w:rPr>
          <w:b/>
          <w:sz w:val="10"/>
        </w:rPr>
      </w:pPr>
    </w:p>
    <w:tbl>
      <w:tblPr>
        <w:tblW w:w="0" w:type="auto"/>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3010"/>
        <w:gridCol w:w="1113"/>
        <w:gridCol w:w="1111"/>
        <w:gridCol w:w="1113"/>
        <w:gridCol w:w="1114"/>
        <w:gridCol w:w="1113"/>
        <w:gridCol w:w="1111"/>
      </w:tblGrid>
      <w:tr w:rsidR="007C5447">
        <w:trPr>
          <w:trHeight w:val="330"/>
        </w:trPr>
        <w:tc>
          <w:tcPr>
            <w:tcW w:w="708" w:type="dxa"/>
            <w:vMerge w:val="restart"/>
            <w:shd w:val="clear" w:color="auto" w:fill="F7C9AC"/>
          </w:tcPr>
          <w:p w:rsidR="007C5447" w:rsidRDefault="007C5447">
            <w:pPr>
              <w:pStyle w:val="TableParagraph"/>
              <w:spacing w:before="1"/>
              <w:jc w:val="left"/>
              <w:rPr>
                <w:b/>
                <w:sz w:val="32"/>
              </w:rPr>
            </w:pPr>
          </w:p>
          <w:p w:rsidR="007C5447" w:rsidRDefault="00F6308C">
            <w:pPr>
              <w:pStyle w:val="TableParagraph"/>
              <w:spacing w:before="1"/>
              <w:ind w:left="97" w:right="91"/>
              <w:jc w:val="center"/>
              <w:rPr>
                <w:b/>
                <w:sz w:val="20"/>
              </w:rPr>
            </w:pPr>
            <w:r>
              <w:rPr>
                <w:b/>
                <w:sz w:val="20"/>
              </w:rPr>
              <w:t>Sl.</w:t>
            </w:r>
          </w:p>
        </w:tc>
        <w:tc>
          <w:tcPr>
            <w:tcW w:w="3010" w:type="dxa"/>
            <w:vMerge w:val="restart"/>
            <w:shd w:val="clear" w:color="auto" w:fill="F7C9AC"/>
          </w:tcPr>
          <w:p w:rsidR="007C5447" w:rsidRDefault="007C5447">
            <w:pPr>
              <w:pStyle w:val="TableParagraph"/>
              <w:spacing w:before="1"/>
              <w:jc w:val="left"/>
              <w:rPr>
                <w:b/>
                <w:sz w:val="32"/>
              </w:rPr>
            </w:pPr>
          </w:p>
          <w:p w:rsidR="007C5447" w:rsidRDefault="00F6308C">
            <w:pPr>
              <w:pStyle w:val="TableParagraph"/>
              <w:spacing w:before="1"/>
              <w:ind w:left="816"/>
              <w:jc w:val="left"/>
              <w:rPr>
                <w:b/>
                <w:sz w:val="20"/>
              </w:rPr>
            </w:pPr>
            <w:r>
              <w:rPr>
                <w:b/>
                <w:sz w:val="20"/>
              </w:rPr>
              <w:t>Name of Station</w:t>
            </w:r>
          </w:p>
        </w:tc>
        <w:tc>
          <w:tcPr>
            <w:tcW w:w="2224" w:type="dxa"/>
            <w:gridSpan w:val="2"/>
            <w:shd w:val="clear" w:color="auto" w:fill="F7C9AC"/>
          </w:tcPr>
          <w:p w:rsidR="007C5447" w:rsidRDefault="00F6308C">
            <w:pPr>
              <w:pStyle w:val="TableParagraph"/>
              <w:spacing w:before="50"/>
              <w:ind w:left="622"/>
              <w:jc w:val="left"/>
              <w:rPr>
                <w:b/>
                <w:sz w:val="20"/>
              </w:rPr>
            </w:pPr>
            <w:r>
              <w:rPr>
                <w:b/>
                <w:sz w:val="20"/>
              </w:rPr>
              <w:t>FY 2016-17</w:t>
            </w:r>
          </w:p>
        </w:tc>
        <w:tc>
          <w:tcPr>
            <w:tcW w:w="2227" w:type="dxa"/>
            <w:gridSpan w:val="2"/>
            <w:shd w:val="clear" w:color="auto" w:fill="F7C9AC"/>
          </w:tcPr>
          <w:p w:rsidR="007C5447" w:rsidRDefault="00F6308C">
            <w:pPr>
              <w:pStyle w:val="TableParagraph"/>
              <w:spacing w:before="50"/>
              <w:ind w:left="623"/>
              <w:jc w:val="left"/>
              <w:rPr>
                <w:b/>
                <w:sz w:val="20"/>
              </w:rPr>
            </w:pPr>
            <w:r>
              <w:rPr>
                <w:b/>
                <w:sz w:val="20"/>
              </w:rPr>
              <w:t>FY 2017-18</w:t>
            </w:r>
          </w:p>
        </w:tc>
        <w:tc>
          <w:tcPr>
            <w:tcW w:w="2224" w:type="dxa"/>
            <w:gridSpan w:val="2"/>
            <w:shd w:val="clear" w:color="auto" w:fill="F7C9AC"/>
          </w:tcPr>
          <w:p w:rsidR="007C5447" w:rsidRDefault="00F6308C">
            <w:pPr>
              <w:pStyle w:val="TableParagraph"/>
              <w:spacing w:before="50"/>
              <w:ind w:left="624"/>
              <w:jc w:val="left"/>
              <w:rPr>
                <w:b/>
                <w:sz w:val="20"/>
              </w:rPr>
            </w:pPr>
            <w:r>
              <w:rPr>
                <w:b/>
                <w:sz w:val="20"/>
              </w:rPr>
              <w:t>FY 2018-19</w:t>
            </w:r>
          </w:p>
        </w:tc>
      </w:tr>
      <w:tr w:rsidR="007C5447">
        <w:trPr>
          <w:trHeight w:val="628"/>
        </w:trPr>
        <w:tc>
          <w:tcPr>
            <w:tcW w:w="708" w:type="dxa"/>
            <w:vMerge/>
            <w:tcBorders>
              <w:top w:val="nil"/>
            </w:tcBorders>
            <w:shd w:val="clear" w:color="auto" w:fill="F7C9AC"/>
          </w:tcPr>
          <w:p w:rsidR="007C5447" w:rsidRDefault="007C5447">
            <w:pPr>
              <w:rPr>
                <w:sz w:val="2"/>
                <w:szCs w:val="2"/>
              </w:rPr>
            </w:pPr>
          </w:p>
        </w:tc>
        <w:tc>
          <w:tcPr>
            <w:tcW w:w="3010" w:type="dxa"/>
            <w:vMerge/>
            <w:tcBorders>
              <w:top w:val="nil"/>
            </w:tcBorders>
            <w:shd w:val="clear" w:color="auto" w:fill="F7C9AC"/>
          </w:tcPr>
          <w:p w:rsidR="007C5447" w:rsidRDefault="007C5447">
            <w:pPr>
              <w:rPr>
                <w:sz w:val="2"/>
                <w:szCs w:val="2"/>
              </w:rPr>
            </w:pPr>
          </w:p>
        </w:tc>
        <w:tc>
          <w:tcPr>
            <w:tcW w:w="1113" w:type="dxa"/>
            <w:shd w:val="clear" w:color="auto" w:fill="F7C9AC"/>
          </w:tcPr>
          <w:p w:rsidR="007C5447" w:rsidRDefault="00F6308C">
            <w:pPr>
              <w:pStyle w:val="TableParagraph"/>
              <w:spacing w:before="84"/>
              <w:ind w:left="324" w:right="292" w:firstLine="72"/>
              <w:jc w:val="left"/>
              <w:rPr>
                <w:b/>
                <w:sz w:val="20"/>
              </w:rPr>
            </w:pPr>
            <w:r>
              <w:rPr>
                <w:b/>
                <w:sz w:val="20"/>
              </w:rPr>
              <w:t>Qty (MU)</w:t>
            </w:r>
          </w:p>
        </w:tc>
        <w:tc>
          <w:tcPr>
            <w:tcW w:w="1111" w:type="dxa"/>
            <w:shd w:val="clear" w:color="auto" w:fill="F7C9AC"/>
          </w:tcPr>
          <w:p w:rsidR="007C5447" w:rsidRDefault="00F6308C">
            <w:pPr>
              <w:pStyle w:val="TableParagraph"/>
              <w:spacing w:before="84"/>
              <w:ind w:left="188" w:right="78" w:hanging="80"/>
              <w:jc w:val="left"/>
              <w:rPr>
                <w:b/>
                <w:sz w:val="20"/>
              </w:rPr>
            </w:pPr>
            <w:r>
              <w:rPr>
                <w:b/>
                <w:sz w:val="20"/>
              </w:rPr>
              <w:t>Total Cost (Rs. Cr.)</w:t>
            </w:r>
          </w:p>
        </w:tc>
        <w:tc>
          <w:tcPr>
            <w:tcW w:w="1113" w:type="dxa"/>
            <w:shd w:val="clear" w:color="auto" w:fill="F7C9AC"/>
          </w:tcPr>
          <w:p w:rsidR="007C5447" w:rsidRDefault="00F6308C">
            <w:pPr>
              <w:pStyle w:val="TableParagraph"/>
              <w:spacing w:before="84"/>
              <w:ind w:left="325" w:right="291" w:firstLine="72"/>
              <w:jc w:val="left"/>
              <w:rPr>
                <w:b/>
                <w:sz w:val="20"/>
              </w:rPr>
            </w:pPr>
            <w:r>
              <w:rPr>
                <w:b/>
                <w:sz w:val="20"/>
              </w:rPr>
              <w:t>Qty (MU)</w:t>
            </w:r>
          </w:p>
        </w:tc>
        <w:tc>
          <w:tcPr>
            <w:tcW w:w="1114" w:type="dxa"/>
            <w:shd w:val="clear" w:color="auto" w:fill="F7C9AC"/>
          </w:tcPr>
          <w:p w:rsidR="007C5447" w:rsidRDefault="00F6308C">
            <w:pPr>
              <w:pStyle w:val="TableParagraph"/>
              <w:spacing w:before="84"/>
              <w:ind w:left="189" w:right="80" w:hanging="80"/>
              <w:jc w:val="left"/>
              <w:rPr>
                <w:b/>
                <w:sz w:val="20"/>
              </w:rPr>
            </w:pPr>
            <w:r>
              <w:rPr>
                <w:b/>
                <w:sz w:val="20"/>
              </w:rPr>
              <w:t>Total Cost (Rs. Cr.)</w:t>
            </w:r>
          </w:p>
        </w:tc>
        <w:tc>
          <w:tcPr>
            <w:tcW w:w="1113" w:type="dxa"/>
            <w:shd w:val="clear" w:color="auto" w:fill="F7C9AC"/>
          </w:tcPr>
          <w:p w:rsidR="007C5447" w:rsidRDefault="00F6308C">
            <w:pPr>
              <w:pStyle w:val="TableParagraph"/>
              <w:spacing w:before="84"/>
              <w:ind w:left="350" w:right="266" w:firstLine="48"/>
              <w:jc w:val="left"/>
              <w:rPr>
                <w:b/>
                <w:sz w:val="20"/>
              </w:rPr>
            </w:pPr>
            <w:r>
              <w:rPr>
                <w:b/>
                <w:sz w:val="20"/>
              </w:rPr>
              <w:t>Qty (MU)</w:t>
            </w:r>
          </w:p>
        </w:tc>
        <w:tc>
          <w:tcPr>
            <w:tcW w:w="1111" w:type="dxa"/>
            <w:shd w:val="clear" w:color="auto" w:fill="F7C9AC"/>
          </w:tcPr>
          <w:p w:rsidR="007C5447" w:rsidRDefault="00F6308C">
            <w:pPr>
              <w:pStyle w:val="TableParagraph"/>
              <w:spacing w:before="84"/>
              <w:ind w:left="187" w:right="79" w:hanging="80"/>
              <w:jc w:val="left"/>
              <w:rPr>
                <w:b/>
                <w:sz w:val="20"/>
              </w:rPr>
            </w:pPr>
            <w:r>
              <w:rPr>
                <w:b/>
                <w:sz w:val="20"/>
              </w:rPr>
              <w:t>Total Cost (Rs. Cr.)</w:t>
            </w:r>
          </w:p>
        </w:tc>
      </w:tr>
      <w:tr w:rsidR="007C5447">
        <w:trPr>
          <w:trHeight w:val="330"/>
        </w:trPr>
        <w:tc>
          <w:tcPr>
            <w:tcW w:w="708" w:type="dxa"/>
          </w:tcPr>
          <w:p w:rsidR="007C5447" w:rsidRDefault="007C5447">
            <w:pPr>
              <w:pStyle w:val="TableParagraph"/>
              <w:jc w:val="left"/>
              <w:rPr>
                <w:sz w:val="20"/>
              </w:rPr>
            </w:pPr>
          </w:p>
        </w:tc>
        <w:tc>
          <w:tcPr>
            <w:tcW w:w="3010" w:type="dxa"/>
          </w:tcPr>
          <w:p w:rsidR="007C5447" w:rsidRDefault="00F6308C">
            <w:pPr>
              <w:pStyle w:val="TableParagraph"/>
              <w:spacing w:before="50"/>
              <w:ind w:left="108"/>
              <w:jc w:val="left"/>
              <w:rPr>
                <w:b/>
                <w:sz w:val="20"/>
              </w:rPr>
            </w:pPr>
            <w:r>
              <w:rPr>
                <w:b/>
                <w:sz w:val="20"/>
              </w:rPr>
              <w:t>NLC Stations</w:t>
            </w:r>
          </w:p>
        </w:tc>
        <w:tc>
          <w:tcPr>
            <w:tcW w:w="1113" w:type="dxa"/>
          </w:tcPr>
          <w:p w:rsidR="007C5447" w:rsidRDefault="007C5447">
            <w:pPr>
              <w:pStyle w:val="TableParagraph"/>
              <w:jc w:val="left"/>
              <w:rPr>
                <w:sz w:val="20"/>
              </w:rPr>
            </w:pPr>
          </w:p>
        </w:tc>
        <w:tc>
          <w:tcPr>
            <w:tcW w:w="1111" w:type="dxa"/>
          </w:tcPr>
          <w:p w:rsidR="007C5447" w:rsidRDefault="007C5447">
            <w:pPr>
              <w:pStyle w:val="TableParagraph"/>
              <w:jc w:val="left"/>
              <w:rPr>
                <w:sz w:val="20"/>
              </w:rPr>
            </w:pPr>
          </w:p>
        </w:tc>
        <w:tc>
          <w:tcPr>
            <w:tcW w:w="1113" w:type="dxa"/>
          </w:tcPr>
          <w:p w:rsidR="007C5447" w:rsidRDefault="007C5447">
            <w:pPr>
              <w:pStyle w:val="TableParagraph"/>
              <w:jc w:val="left"/>
              <w:rPr>
                <w:sz w:val="20"/>
              </w:rPr>
            </w:pPr>
          </w:p>
        </w:tc>
        <w:tc>
          <w:tcPr>
            <w:tcW w:w="1114" w:type="dxa"/>
          </w:tcPr>
          <w:p w:rsidR="007C5447" w:rsidRDefault="007C5447">
            <w:pPr>
              <w:pStyle w:val="TableParagraph"/>
              <w:jc w:val="left"/>
              <w:rPr>
                <w:sz w:val="20"/>
              </w:rPr>
            </w:pPr>
          </w:p>
        </w:tc>
        <w:tc>
          <w:tcPr>
            <w:tcW w:w="1113" w:type="dxa"/>
          </w:tcPr>
          <w:p w:rsidR="007C5447" w:rsidRDefault="007C5447">
            <w:pPr>
              <w:pStyle w:val="TableParagraph"/>
              <w:jc w:val="left"/>
              <w:rPr>
                <w:sz w:val="20"/>
              </w:rPr>
            </w:pPr>
          </w:p>
        </w:tc>
        <w:tc>
          <w:tcPr>
            <w:tcW w:w="1111" w:type="dxa"/>
          </w:tcPr>
          <w:p w:rsidR="007C5447" w:rsidRDefault="007C5447">
            <w:pPr>
              <w:pStyle w:val="TableParagraph"/>
              <w:jc w:val="left"/>
              <w:rPr>
                <w:sz w:val="20"/>
              </w:rPr>
            </w:pPr>
          </w:p>
        </w:tc>
      </w:tr>
      <w:tr w:rsidR="007C5447">
        <w:trPr>
          <w:trHeight w:val="330"/>
        </w:trPr>
        <w:tc>
          <w:tcPr>
            <w:tcW w:w="708" w:type="dxa"/>
          </w:tcPr>
          <w:p w:rsidR="007C5447" w:rsidRDefault="00F6308C">
            <w:pPr>
              <w:pStyle w:val="TableParagraph"/>
              <w:spacing w:before="50"/>
              <w:ind w:left="302"/>
              <w:jc w:val="left"/>
              <w:rPr>
                <w:sz w:val="20"/>
              </w:rPr>
            </w:pPr>
            <w:r>
              <w:rPr>
                <w:w w:val="99"/>
                <w:sz w:val="20"/>
              </w:rPr>
              <w:t>1</w:t>
            </w:r>
          </w:p>
        </w:tc>
        <w:tc>
          <w:tcPr>
            <w:tcW w:w="3010" w:type="dxa"/>
          </w:tcPr>
          <w:p w:rsidR="007C5447" w:rsidRDefault="00F6308C">
            <w:pPr>
              <w:pStyle w:val="TableParagraph"/>
              <w:spacing w:before="50"/>
              <w:ind w:left="108"/>
              <w:jc w:val="left"/>
              <w:rPr>
                <w:sz w:val="20"/>
              </w:rPr>
            </w:pPr>
            <w:r>
              <w:rPr>
                <w:sz w:val="20"/>
              </w:rPr>
              <w:t>Neyveli TS-I</w:t>
            </w:r>
          </w:p>
        </w:tc>
        <w:tc>
          <w:tcPr>
            <w:tcW w:w="1113" w:type="dxa"/>
          </w:tcPr>
          <w:p w:rsidR="007C5447" w:rsidRDefault="00F6308C">
            <w:pPr>
              <w:pStyle w:val="TableParagraph"/>
              <w:spacing w:before="50"/>
              <w:ind w:right="95"/>
              <w:rPr>
                <w:sz w:val="20"/>
              </w:rPr>
            </w:pPr>
            <w:r>
              <w:rPr>
                <w:w w:val="95"/>
                <w:sz w:val="20"/>
              </w:rPr>
              <w:t>2,675.00</w:t>
            </w:r>
          </w:p>
        </w:tc>
        <w:tc>
          <w:tcPr>
            <w:tcW w:w="1111" w:type="dxa"/>
          </w:tcPr>
          <w:p w:rsidR="007C5447" w:rsidRDefault="00F6308C">
            <w:pPr>
              <w:pStyle w:val="TableParagraph"/>
              <w:spacing w:before="50"/>
              <w:ind w:right="92"/>
              <w:rPr>
                <w:sz w:val="20"/>
              </w:rPr>
            </w:pPr>
            <w:r>
              <w:rPr>
                <w:w w:val="95"/>
                <w:sz w:val="20"/>
              </w:rPr>
              <w:t>1,024.35</w:t>
            </w:r>
          </w:p>
        </w:tc>
        <w:tc>
          <w:tcPr>
            <w:tcW w:w="1113" w:type="dxa"/>
          </w:tcPr>
          <w:p w:rsidR="007C5447" w:rsidRDefault="00F6308C">
            <w:pPr>
              <w:pStyle w:val="TableParagraph"/>
              <w:spacing w:before="50"/>
              <w:ind w:right="93"/>
              <w:rPr>
                <w:sz w:val="20"/>
              </w:rPr>
            </w:pPr>
            <w:r>
              <w:rPr>
                <w:w w:val="95"/>
                <w:sz w:val="20"/>
              </w:rPr>
              <w:t>3,942.00</w:t>
            </w:r>
          </w:p>
        </w:tc>
        <w:tc>
          <w:tcPr>
            <w:tcW w:w="1114" w:type="dxa"/>
          </w:tcPr>
          <w:p w:rsidR="007C5447" w:rsidRDefault="00F6308C">
            <w:pPr>
              <w:pStyle w:val="TableParagraph"/>
              <w:spacing w:before="50"/>
              <w:ind w:right="94"/>
              <w:rPr>
                <w:sz w:val="20"/>
              </w:rPr>
            </w:pPr>
            <w:r>
              <w:rPr>
                <w:w w:val="95"/>
                <w:sz w:val="20"/>
              </w:rPr>
              <w:t>1,539.72</w:t>
            </w:r>
          </w:p>
        </w:tc>
        <w:tc>
          <w:tcPr>
            <w:tcW w:w="1113" w:type="dxa"/>
          </w:tcPr>
          <w:p w:rsidR="007C5447" w:rsidRDefault="00F6308C">
            <w:pPr>
              <w:pStyle w:val="TableParagraph"/>
              <w:spacing w:before="50"/>
              <w:ind w:right="93"/>
              <w:rPr>
                <w:sz w:val="20"/>
              </w:rPr>
            </w:pPr>
            <w:r>
              <w:rPr>
                <w:w w:val="95"/>
                <w:sz w:val="20"/>
              </w:rPr>
              <w:t>3,942.00</w:t>
            </w:r>
          </w:p>
        </w:tc>
        <w:tc>
          <w:tcPr>
            <w:tcW w:w="1111" w:type="dxa"/>
          </w:tcPr>
          <w:p w:rsidR="007C5447" w:rsidRDefault="00F6308C">
            <w:pPr>
              <w:pStyle w:val="TableParagraph"/>
              <w:spacing w:before="50"/>
              <w:ind w:right="92"/>
              <w:rPr>
                <w:sz w:val="20"/>
              </w:rPr>
            </w:pPr>
            <w:r>
              <w:rPr>
                <w:w w:val="95"/>
                <w:sz w:val="20"/>
              </w:rPr>
              <w:t>1,570.52</w:t>
            </w:r>
          </w:p>
        </w:tc>
      </w:tr>
      <w:tr w:rsidR="007C5447">
        <w:trPr>
          <w:trHeight w:val="328"/>
        </w:trPr>
        <w:tc>
          <w:tcPr>
            <w:tcW w:w="708" w:type="dxa"/>
          </w:tcPr>
          <w:p w:rsidR="007C5447" w:rsidRDefault="00F6308C">
            <w:pPr>
              <w:pStyle w:val="TableParagraph"/>
              <w:spacing w:before="50"/>
              <w:ind w:left="302"/>
              <w:jc w:val="left"/>
              <w:rPr>
                <w:sz w:val="20"/>
              </w:rPr>
            </w:pPr>
            <w:r>
              <w:rPr>
                <w:w w:val="99"/>
                <w:sz w:val="20"/>
              </w:rPr>
              <w:t>2</w:t>
            </w:r>
          </w:p>
        </w:tc>
        <w:tc>
          <w:tcPr>
            <w:tcW w:w="3010" w:type="dxa"/>
          </w:tcPr>
          <w:p w:rsidR="007C5447" w:rsidRDefault="00F6308C">
            <w:pPr>
              <w:pStyle w:val="TableParagraph"/>
              <w:spacing w:before="50"/>
              <w:ind w:left="108"/>
              <w:jc w:val="left"/>
              <w:rPr>
                <w:sz w:val="20"/>
              </w:rPr>
            </w:pPr>
            <w:r>
              <w:rPr>
                <w:sz w:val="20"/>
              </w:rPr>
              <w:t>Neyveli TS-II Stage I</w:t>
            </w:r>
          </w:p>
        </w:tc>
        <w:tc>
          <w:tcPr>
            <w:tcW w:w="1113" w:type="dxa"/>
          </w:tcPr>
          <w:p w:rsidR="007C5447" w:rsidRDefault="00F6308C">
            <w:pPr>
              <w:pStyle w:val="TableParagraph"/>
              <w:spacing w:before="50"/>
              <w:ind w:right="95"/>
              <w:rPr>
                <w:sz w:val="20"/>
              </w:rPr>
            </w:pPr>
            <w:r>
              <w:rPr>
                <w:w w:val="95"/>
                <w:sz w:val="20"/>
              </w:rPr>
              <w:t>3,260.00</w:t>
            </w:r>
          </w:p>
        </w:tc>
        <w:tc>
          <w:tcPr>
            <w:tcW w:w="1111" w:type="dxa"/>
          </w:tcPr>
          <w:p w:rsidR="007C5447" w:rsidRDefault="00F6308C">
            <w:pPr>
              <w:pStyle w:val="TableParagraph"/>
              <w:spacing w:before="50"/>
              <w:ind w:right="92"/>
              <w:rPr>
                <w:sz w:val="20"/>
              </w:rPr>
            </w:pPr>
            <w:r>
              <w:rPr>
                <w:w w:val="95"/>
                <w:sz w:val="20"/>
              </w:rPr>
              <w:t>999.67</w:t>
            </w:r>
          </w:p>
        </w:tc>
        <w:tc>
          <w:tcPr>
            <w:tcW w:w="1113" w:type="dxa"/>
          </w:tcPr>
          <w:p w:rsidR="007C5447" w:rsidRDefault="00F6308C">
            <w:pPr>
              <w:pStyle w:val="TableParagraph"/>
              <w:spacing w:before="50"/>
              <w:ind w:right="93"/>
              <w:rPr>
                <w:sz w:val="20"/>
              </w:rPr>
            </w:pPr>
            <w:r>
              <w:rPr>
                <w:w w:val="95"/>
                <w:sz w:val="20"/>
              </w:rPr>
              <w:t>3,596.42</w:t>
            </w:r>
          </w:p>
        </w:tc>
        <w:tc>
          <w:tcPr>
            <w:tcW w:w="1114" w:type="dxa"/>
          </w:tcPr>
          <w:p w:rsidR="007C5447" w:rsidRDefault="00F6308C">
            <w:pPr>
              <w:pStyle w:val="TableParagraph"/>
              <w:spacing w:before="50"/>
              <w:ind w:right="94"/>
              <w:rPr>
                <w:sz w:val="20"/>
              </w:rPr>
            </w:pPr>
            <w:r>
              <w:rPr>
                <w:w w:val="95"/>
                <w:sz w:val="20"/>
              </w:rPr>
              <w:t>1,124.89</w:t>
            </w:r>
          </w:p>
        </w:tc>
        <w:tc>
          <w:tcPr>
            <w:tcW w:w="1113" w:type="dxa"/>
          </w:tcPr>
          <w:p w:rsidR="007C5447" w:rsidRDefault="00F6308C">
            <w:pPr>
              <w:pStyle w:val="TableParagraph"/>
              <w:spacing w:before="50"/>
              <w:ind w:right="90"/>
              <w:rPr>
                <w:sz w:val="20"/>
              </w:rPr>
            </w:pPr>
            <w:r>
              <w:rPr>
                <w:sz w:val="20"/>
              </w:rPr>
              <w:t>3,596.42</w:t>
            </w:r>
          </w:p>
        </w:tc>
        <w:tc>
          <w:tcPr>
            <w:tcW w:w="1111" w:type="dxa"/>
          </w:tcPr>
          <w:p w:rsidR="007C5447" w:rsidRDefault="00F6308C">
            <w:pPr>
              <w:pStyle w:val="TableParagraph"/>
              <w:spacing w:before="50"/>
              <w:ind w:right="92"/>
              <w:rPr>
                <w:sz w:val="20"/>
              </w:rPr>
            </w:pPr>
            <w:r>
              <w:rPr>
                <w:w w:val="95"/>
                <w:sz w:val="20"/>
              </w:rPr>
              <w:t>1,147.39</w:t>
            </w:r>
          </w:p>
        </w:tc>
      </w:tr>
      <w:tr w:rsidR="007C5447">
        <w:trPr>
          <w:trHeight w:val="330"/>
        </w:trPr>
        <w:tc>
          <w:tcPr>
            <w:tcW w:w="708" w:type="dxa"/>
          </w:tcPr>
          <w:p w:rsidR="007C5447" w:rsidRDefault="00F6308C">
            <w:pPr>
              <w:pStyle w:val="TableParagraph"/>
              <w:spacing w:before="50"/>
              <w:ind w:left="302"/>
              <w:jc w:val="left"/>
              <w:rPr>
                <w:sz w:val="20"/>
              </w:rPr>
            </w:pPr>
            <w:r>
              <w:rPr>
                <w:w w:val="99"/>
                <w:sz w:val="20"/>
              </w:rPr>
              <w:t>3</w:t>
            </w:r>
          </w:p>
        </w:tc>
        <w:tc>
          <w:tcPr>
            <w:tcW w:w="3010" w:type="dxa"/>
          </w:tcPr>
          <w:p w:rsidR="007C5447" w:rsidRDefault="00F6308C">
            <w:pPr>
              <w:pStyle w:val="TableParagraph"/>
              <w:spacing w:before="50"/>
              <w:ind w:left="108"/>
              <w:jc w:val="left"/>
              <w:rPr>
                <w:sz w:val="20"/>
              </w:rPr>
            </w:pPr>
            <w:r>
              <w:rPr>
                <w:sz w:val="20"/>
              </w:rPr>
              <w:t>Neyveli TS-I Expansion</w:t>
            </w:r>
          </w:p>
        </w:tc>
        <w:tc>
          <w:tcPr>
            <w:tcW w:w="1113" w:type="dxa"/>
          </w:tcPr>
          <w:p w:rsidR="007C5447" w:rsidRDefault="00F6308C">
            <w:pPr>
              <w:pStyle w:val="TableParagraph"/>
              <w:spacing w:before="50"/>
              <w:ind w:right="95"/>
              <w:rPr>
                <w:sz w:val="20"/>
              </w:rPr>
            </w:pPr>
            <w:r>
              <w:rPr>
                <w:w w:val="95"/>
                <w:sz w:val="20"/>
              </w:rPr>
              <w:t>1,675.00</w:t>
            </w:r>
          </w:p>
        </w:tc>
        <w:tc>
          <w:tcPr>
            <w:tcW w:w="1111" w:type="dxa"/>
          </w:tcPr>
          <w:p w:rsidR="007C5447" w:rsidRDefault="00F6308C">
            <w:pPr>
              <w:pStyle w:val="TableParagraph"/>
              <w:spacing w:before="50"/>
              <w:ind w:right="92"/>
              <w:rPr>
                <w:sz w:val="20"/>
              </w:rPr>
            </w:pPr>
            <w:r>
              <w:rPr>
                <w:sz w:val="20"/>
              </w:rPr>
              <w:t>610.9</w:t>
            </w:r>
          </w:p>
        </w:tc>
        <w:tc>
          <w:tcPr>
            <w:tcW w:w="1113" w:type="dxa"/>
          </w:tcPr>
          <w:p w:rsidR="007C5447" w:rsidRDefault="00F6308C">
            <w:pPr>
              <w:pStyle w:val="TableParagraph"/>
              <w:spacing w:before="50"/>
              <w:ind w:right="93"/>
              <w:rPr>
                <w:sz w:val="20"/>
              </w:rPr>
            </w:pPr>
            <w:r>
              <w:rPr>
                <w:w w:val="95"/>
                <w:sz w:val="20"/>
              </w:rPr>
              <w:t>1,675.00</w:t>
            </w:r>
          </w:p>
        </w:tc>
        <w:tc>
          <w:tcPr>
            <w:tcW w:w="1114" w:type="dxa"/>
          </w:tcPr>
          <w:p w:rsidR="007C5447" w:rsidRDefault="00F6308C">
            <w:pPr>
              <w:pStyle w:val="TableParagraph"/>
              <w:spacing w:before="50"/>
              <w:ind w:right="93"/>
              <w:rPr>
                <w:sz w:val="20"/>
              </w:rPr>
            </w:pPr>
            <w:r>
              <w:rPr>
                <w:w w:val="95"/>
                <w:sz w:val="20"/>
              </w:rPr>
              <w:t>623.12</w:t>
            </w:r>
          </w:p>
        </w:tc>
        <w:tc>
          <w:tcPr>
            <w:tcW w:w="1113" w:type="dxa"/>
          </w:tcPr>
          <w:p w:rsidR="007C5447" w:rsidRDefault="00F6308C">
            <w:pPr>
              <w:pStyle w:val="TableParagraph"/>
              <w:spacing w:before="50"/>
              <w:ind w:right="93"/>
              <w:rPr>
                <w:sz w:val="20"/>
              </w:rPr>
            </w:pPr>
            <w:r>
              <w:rPr>
                <w:w w:val="95"/>
                <w:sz w:val="20"/>
              </w:rPr>
              <w:t>1,675.00</w:t>
            </w:r>
          </w:p>
        </w:tc>
        <w:tc>
          <w:tcPr>
            <w:tcW w:w="1111" w:type="dxa"/>
          </w:tcPr>
          <w:p w:rsidR="007C5447" w:rsidRDefault="00F6308C">
            <w:pPr>
              <w:pStyle w:val="TableParagraph"/>
              <w:spacing w:before="50"/>
              <w:ind w:right="92"/>
              <w:rPr>
                <w:sz w:val="20"/>
              </w:rPr>
            </w:pPr>
            <w:r>
              <w:rPr>
                <w:w w:val="95"/>
                <w:sz w:val="20"/>
              </w:rPr>
              <w:t>635.58</w:t>
            </w:r>
          </w:p>
        </w:tc>
      </w:tr>
      <w:tr w:rsidR="007C5447">
        <w:trPr>
          <w:trHeight w:val="330"/>
        </w:trPr>
        <w:tc>
          <w:tcPr>
            <w:tcW w:w="708" w:type="dxa"/>
          </w:tcPr>
          <w:p w:rsidR="007C5447" w:rsidRDefault="00F6308C">
            <w:pPr>
              <w:pStyle w:val="TableParagraph"/>
              <w:spacing w:before="50"/>
              <w:ind w:left="302"/>
              <w:jc w:val="left"/>
              <w:rPr>
                <w:sz w:val="20"/>
              </w:rPr>
            </w:pPr>
            <w:r>
              <w:rPr>
                <w:w w:val="99"/>
                <w:sz w:val="20"/>
              </w:rPr>
              <w:t>4</w:t>
            </w:r>
          </w:p>
        </w:tc>
        <w:tc>
          <w:tcPr>
            <w:tcW w:w="3010" w:type="dxa"/>
          </w:tcPr>
          <w:p w:rsidR="007C5447" w:rsidRDefault="00F6308C">
            <w:pPr>
              <w:pStyle w:val="TableParagraph"/>
              <w:spacing w:before="50"/>
              <w:ind w:left="108"/>
              <w:jc w:val="left"/>
              <w:rPr>
                <w:sz w:val="20"/>
              </w:rPr>
            </w:pPr>
            <w:r>
              <w:rPr>
                <w:sz w:val="20"/>
              </w:rPr>
              <w:t>Neyveli Expansion Unit II</w:t>
            </w:r>
          </w:p>
        </w:tc>
        <w:tc>
          <w:tcPr>
            <w:tcW w:w="1113" w:type="dxa"/>
          </w:tcPr>
          <w:p w:rsidR="007C5447" w:rsidRDefault="00F6308C">
            <w:pPr>
              <w:pStyle w:val="TableParagraph"/>
              <w:spacing w:before="50"/>
              <w:ind w:right="95"/>
              <w:rPr>
                <w:sz w:val="20"/>
              </w:rPr>
            </w:pPr>
            <w:r>
              <w:rPr>
                <w:w w:val="95"/>
                <w:sz w:val="20"/>
              </w:rPr>
              <w:t>1,302.00</w:t>
            </w:r>
          </w:p>
        </w:tc>
        <w:tc>
          <w:tcPr>
            <w:tcW w:w="1111" w:type="dxa"/>
          </w:tcPr>
          <w:p w:rsidR="007C5447" w:rsidRDefault="00F6308C">
            <w:pPr>
              <w:pStyle w:val="TableParagraph"/>
              <w:spacing w:before="50"/>
              <w:ind w:right="92"/>
              <w:rPr>
                <w:sz w:val="20"/>
              </w:rPr>
            </w:pPr>
            <w:r>
              <w:rPr>
                <w:w w:val="95"/>
                <w:sz w:val="20"/>
              </w:rPr>
              <w:t>599.98</w:t>
            </w:r>
          </w:p>
        </w:tc>
        <w:tc>
          <w:tcPr>
            <w:tcW w:w="1113" w:type="dxa"/>
          </w:tcPr>
          <w:p w:rsidR="007C5447" w:rsidRDefault="00F6308C">
            <w:pPr>
              <w:pStyle w:val="TableParagraph"/>
              <w:spacing w:before="50"/>
              <w:ind w:right="93"/>
              <w:rPr>
                <w:sz w:val="20"/>
              </w:rPr>
            </w:pPr>
            <w:r>
              <w:rPr>
                <w:w w:val="95"/>
                <w:sz w:val="20"/>
              </w:rPr>
              <w:t>1,302.00</w:t>
            </w:r>
          </w:p>
        </w:tc>
        <w:tc>
          <w:tcPr>
            <w:tcW w:w="1114" w:type="dxa"/>
          </w:tcPr>
          <w:p w:rsidR="007C5447" w:rsidRDefault="00F6308C">
            <w:pPr>
              <w:pStyle w:val="TableParagraph"/>
              <w:spacing w:before="50"/>
              <w:ind w:right="93"/>
              <w:rPr>
                <w:sz w:val="20"/>
              </w:rPr>
            </w:pPr>
            <w:r>
              <w:rPr>
                <w:w w:val="95"/>
                <w:sz w:val="20"/>
              </w:rPr>
              <w:t>611.98</w:t>
            </w:r>
          </w:p>
        </w:tc>
        <w:tc>
          <w:tcPr>
            <w:tcW w:w="1113" w:type="dxa"/>
          </w:tcPr>
          <w:p w:rsidR="007C5447" w:rsidRDefault="00F6308C">
            <w:pPr>
              <w:pStyle w:val="TableParagraph"/>
              <w:spacing w:before="50"/>
              <w:ind w:right="93"/>
              <w:rPr>
                <w:sz w:val="20"/>
              </w:rPr>
            </w:pPr>
            <w:r>
              <w:rPr>
                <w:w w:val="95"/>
                <w:sz w:val="20"/>
              </w:rPr>
              <w:t>1,302.00</w:t>
            </w:r>
          </w:p>
        </w:tc>
        <w:tc>
          <w:tcPr>
            <w:tcW w:w="1111" w:type="dxa"/>
          </w:tcPr>
          <w:p w:rsidR="007C5447" w:rsidRDefault="00F6308C">
            <w:pPr>
              <w:pStyle w:val="TableParagraph"/>
              <w:spacing w:before="50"/>
              <w:ind w:right="92"/>
              <w:rPr>
                <w:sz w:val="20"/>
              </w:rPr>
            </w:pPr>
            <w:r>
              <w:rPr>
                <w:w w:val="95"/>
                <w:sz w:val="20"/>
              </w:rPr>
              <w:t>624.22</w:t>
            </w:r>
          </w:p>
        </w:tc>
      </w:tr>
      <w:tr w:rsidR="007C5447">
        <w:trPr>
          <w:trHeight w:val="328"/>
        </w:trPr>
        <w:tc>
          <w:tcPr>
            <w:tcW w:w="708" w:type="dxa"/>
          </w:tcPr>
          <w:p w:rsidR="007C5447" w:rsidRDefault="00F6308C">
            <w:pPr>
              <w:pStyle w:val="TableParagraph"/>
              <w:spacing w:before="50"/>
              <w:ind w:left="302"/>
              <w:jc w:val="left"/>
              <w:rPr>
                <w:sz w:val="20"/>
              </w:rPr>
            </w:pPr>
            <w:r>
              <w:rPr>
                <w:w w:val="99"/>
                <w:sz w:val="20"/>
              </w:rPr>
              <w:t>5</w:t>
            </w:r>
          </w:p>
        </w:tc>
        <w:tc>
          <w:tcPr>
            <w:tcW w:w="3010" w:type="dxa"/>
          </w:tcPr>
          <w:p w:rsidR="007C5447" w:rsidRDefault="00F6308C">
            <w:pPr>
              <w:pStyle w:val="TableParagraph"/>
              <w:spacing w:before="50"/>
              <w:ind w:left="108"/>
              <w:jc w:val="left"/>
              <w:rPr>
                <w:sz w:val="20"/>
              </w:rPr>
            </w:pPr>
            <w:r>
              <w:rPr>
                <w:sz w:val="20"/>
              </w:rPr>
              <w:t>NTPL JV with NLC</w:t>
            </w:r>
          </w:p>
        </w:tc>
        <w:tc>
          <w:tcPr>
            <w:tcW w:w="1113" w:type="dxa"/>
          </w:tcPr>
          <w:p w:rsidR="007C5447" w:rsidRDefault="00F6308C">
            <w:pPr>
              <w:pStyle w:val="TableParagraph"/>
              <w:spacing w:before="50"/>
              <w:ind w:right="95"/>
              <w:rPr>
                <w:sz w:val="20"/>
              </w:rPr>
            </w:pPr>
            <w:r>
              <w:rPr>
                <w:w w:val="95"/>
                <w:sz w:val="20"/>
              </w:rPr>
              <w:t>2,375.00</w:t>
            </w:r>
          </w:p>
        </w:tc>
        <w:tc>
          <w:tcPr>
            <w:tcW w:w="1111" w:type="dxa"/>
          </w:tcPr>
          <w:p w:rsidR="007C5447" w:rsidRDefault="00F6308C">
            <w:pPr>
              <w:pStyle w:val="TableParagraph"/>
              <w:spacing w:before="50"/>
              <w:ind w:right="92"/>
              <w:rPr>
                <w:sz w:val="20"/>
              </w:rPr>
            </w:pPr>
            <w:r>
              <w:rPr>
                <w:w w:val="95"/>
                <w:sz w:val="20"/>
              </w:rPr>
              <w:t>960.18</w:t>
            </w:r>
          </w:p>
        </w:tc>
        <w:tc>
          <w:tcPr>
            <w:tcW w:w="1113" w:type="dxa"/>
          </w:tcPr>
          <w:p w:rsidR="007C5447" w:rsidRDefault="00F6308C">
            <w:pPr>
              <w:pStyle w:val="TableParagraph"/>
              <w:spacing w:before="50"/>
              <w:ind w:right="93"/>
              <w:rPr>
                <w:sz w:val="20"/>
              </w:rPr>
            </w:pPr>
            <w:r>
              <w:rPr>
                <w:w w:val="95"/>
                <w:sz w:val="20"/>
              </w:rPr>
              <w:t>2,375.00</w:t>
            </w:r>
          </w:p>
        </w:tc>
        <w:tc>
          <w:tcPr>
            <w:tcW w:w="1114" w:type="dxa"/>
          </w:tcPr>
          <w:p w:rsidR="007C5447" w:rsidRDefault="00F6308C">
            <w:pPr>
              <w:pStyle w:val="TableParagraph"/>
              <w:spacing w:before="50"/>
              <w:ind w:right="93"/>
              <w:rPr>
                <w:sz w:val="20"/>
              </w:rPr>
            </w:pPr>
            <w:r>
              <w:rPr>
                <w:w w:val="95"/>
                <w:sz w:val="20"/>
              </w:rPr>
              <w:t>979.38</w:t>
            </w:r>
          </w:p>
        </w:tc>
        <w:tc>
          <w:tcPr>
            <w:tcW w:w="1113" w:type="dxa"/>
          </w:tcPr>
          <w:p w:rsidR="007C5447" w:rsidRDefault="00F6308C">
            <w:pPr>
              <w:pStyle w:val="TableParagraph"/>
              <w:spacing w:before="50"/>
              <w:ind w:right="93"/>
              <w:rPr>
                <w:sz w:val="20"/>
              </w:rPr>
            </w:pPr>
            <w:r>
              <w:rPr>
                <w:w w:val="95"/>
                <w:sz w:val="20"/>
              </w:rPr>
              <w:t>2,375.00</w:t>
            </w:r>
          </w:p>
        </w:tc>
        <w:tc>
          <w:tcPr>
            <w:tcW w:w="1111" w:type="dxa"/>
          </w:tcPr>
          <w:p w:rsidR="007C5447" w:rsidRDefault="00F6308C">
            <w:pPr>
              <w:pStyle w:val="TableParagraph"/>
              <w:spacing w:before="50"/>
              <w:ind w:right="92"/>
              <w:rPr>
                <w:sz w:val="20"/>
              </w:rPr>
            </w:pPr>
            <w:r>
              <w:rPr>
                <w:w w:val="95"/>
                <w:sz w:val="20"/>
              </w:rPr>
              <w:t>998.97</w:t>
            </w:r>
          </w:p>
        </w:tc>
      </w:tr>
      <w:tr w:rsidR="007C5447">
        <w:trPr>
          <w:trHeight w:val="331"/>
        </w:trPr>
        <w:tc>
          <w:tcPr>
            <w:tcW w:w="708" w:type="dxa"/>
          </w:tcPr>
          <w:p w:rsidR="007C5447" w:rsidRDefault="007C5447">
            <w:pPr>
              <w:pStyle w:val="TableParagraph"/>
              <w:jc w:val="left"/>
              <w:rPr>
                <w:sz w:val="20"/>
              </w:rPr>
            </w:pPr>
          </w:p>
        </w:tc>
        <w:tc>
          <w:tcPr>
            <w:tcW w:w="3010" w:type="dxa"/>
          </w:tcPr>
          <w:p w:rsidR="007C5447" w:rsidRDefault="00F6308C">
            <w:pPr>
              <w:pStyle w:val="TableParagraph"/>
              <w:spacing w:before="51"/>
              <w:ind w:left="108"/>
              <w:jc w:val="left"/>
              <w:rPr>
                <w:b/>
                <w:sz w:val="20"/>
              </w:rPr>
            </w:pPr>
            <w:r>
              <w:rPr>
                <w:b/>
                <w:sz w:val="20"/>
              </w:rPr>
              <w:t>Total NLC</w:t>
            </w:r>
          </w:p>
        </w:tc>
        <w:tc>
          <w:tcPr>
            <w:tcW w:w="1113" w:type="dxa"/>
          </w:tcPr>
          <w:p w:rsidR="007C5447" w:rsidRDefault="00F6308C">
            <w:pPr>
              <w:pStyle w:val="TableParagraph"/>
              <w:spacing w:before="51"/>
              <w:ind w:right="95"/>
              <w:rPr>
                <w:b/>
                <w:sz w:val="20"/>
              </w:rPr>
            </w:pPr>
            <w:r>
              <w:rPr>
                <w:b/>
                <w:w w:val="95"/>
                <w:sz w:val="20"/>
              </w:rPr>
              <w:t>11,287.00</w:t>
            </w:r>
          </w:p>
        </w:tc>
        <w:tc>
          <w:tcPr>
            <w:tcW w:w="1111" w:type="dxa"/>
          </w:tcPr>
          <w:p w:rsidR="007C5447" w:rsidRDefault="00F6308C">
            <w:pPr>
              <w:pStyle w:val="TableParagraph"/>
              <w:spacing w:before="51"/>
              <w:ind w:right="91"/>
              <w:rPr>
                <w:b/>
                <w:sz w:val="20"/>
              </w:rPr>
            </w:pPr>
            <w:r>
              <w:rPr>
                <w:b/>
                <w:w w:val="95"/>
                <w:sz w:val="20"/>
              </w:rPr>
              <w:t>4,195.08</w:t>
            </w:r>
          </w:p>
        </w:tc>
        <w:tc>
          <w:tcPr>
            <w:tcW w:w="1113" w:type="dxa"/>
          </w:tcPr>
          <w:p w:rsidR="007C5447" w:rsidRDefault="00F6308C">
            <w:pPr>
              <w:pStyle w:val="TableParagraph"/>
              <w:spacing w:before="51"/>
              <w:ind w:right="93"/>
              <w:rPr>
                <w:b/>
                <w:sz w:val="20"/>
              </w:rPr>
            </w:pPr>
            <w:r>
              <w:rPr>
                <w:b/>
                <w:w w:val="95"/>
                <w:sz w:val="20"/>
              </w:rPr>
              <w:t>12,890.42</w:t>
            </w:r>
          </w:p>
        </w:tc>
        <w:tc>
          <w:tcPr>
            <w:tcW w:w="1114" w:type="dxa"/>
          </w:tcPr>
          <w:p w:rsidR="007C5447" w:rsidRDefault="00F6308C">
            <w:pPr>
              <w:pStyle w:val="TableParagraph"/>
              <w:spacing w:before="51"/>
              <w:ind w:right="94"/>
              <w:rPr>
                <w:b/>
                <w:sz w:val="20"/>
              </w:rPr>
            </w:pPr>
            <w:r>
              <w:rPr>
                <w:b/>
                <w:w w:val="95"/>
                <w:sz w:val="20"/>
              </w:rPr>
              <w:t>4,879.09</w:t>
            </w:r>
          </w:p>
        </w:tc>
        <w:tc>
          <w:tcPr>
            <w:tcW w:w="1113" w:type="dxa"/>
          </w:tcPr>
          <w:p w:rsidR="007C5447" w:rsidRDefault="00F6308C">
            <w:pPr>
              <w:pStyle w:val="TableParagraph"/>
              <w:spacing w:before="51"/>
              <w:ind w:right="93"/>
              <w:rPr>
                <w:b/>
                <w:sz w:val="20"/>
              </w:rPr>
            </w:pPr>
            <w:r>
              <w:rPr>
                <w:b/>
                <w:w w:val="95"/>
                <w:sz w:val="20"/>
              </w:rPr>
              <w:t>12,890.42</w:t>
            </w:r>
          </w:p>
        </w:tc>
        <w:tc>
          <w:tcPr>
            <w:tcW w:w="1111" w:type="dxa"/>
          </w:tcPr>
          <w:p w:rsidR="007C5447" w:rsidRDefault="00F6308C">
            <w:pPr>
              <w:pStyle w:val="TableParagraph"/>
              <w:spacing w:before="51"/>
              <w:ind w:right="92"/>
              <w:rPr>
                <w:b/>
                <w:sz w:val="20"/>
              </w:rPr>
            </w:pPr>
            <w:r>
              <w:rPr>
                <w:b/>
                <w:w w:val="95"/>
                <w:sz w:val="20"/>
              </w:rPr>
              <w:t>4,976.67</w:t>
            </w:r>
          </w:p>
        </w:tc>
      </w:tr>
      <w:tr w:rsidR="007C5447">
        <w:trPr>
          <w:trHeight w:val="330"/>
        </w:trPr>
        <w:tc>
          <w:tcPr>
            <w:tcW w:w="708" w:type="dxa"/>
          </w:tcPr>
          <w:p w:rsidR="007C5447" w:rsidRDefault="007C5447">
            <w:pPr>
              <w:pStyle w:val="TableParagraph"/>
              <w:jc w:val="left"/>
              <w:rPr>
                <w:sz w:val="20"/>
              </w:rPr>
            </w:pPr>
          </w:p>
        </w:tc>
        <w:tc>
          <w:tcPr>
            <w:tcW w:w="3010" w:type="dxa"/>
          </w:tcPr>
          <w:p w:rsidR="007C5447" w:rsidRDefault="00F6308C">
            <w:pPr>
              <w:pStyle w:val="TableParagraph"/>
              <w:spacing w:before="50"/>
              <w:ind w:left="108"/>
              <w:jc w:val="left"/>
              <w:rPr>
                <w:b/>
                <w:sz w:val="20"/>
              </w:rPr>
            </w:pPr>
            <w:r>
              <w:rPr>
                <w:b/>
                <w:sz w:val="20"/>
              </w:rPr>
              <w:t>NTPC Stations</w:t>
            </w:r>
          </w:p>
        </w:tc>
        <w:tc>
          <w:tcPr>
            <w:tcW w:w="1113" w:type="dxa"/>
          </w:tcPr>
          <w:p w:rsidR="007C5447" w:rsidRDefault="007C5447">
            <w:pPr>
              <w:pStyle w:val="TableParagraph"/>
              <w:jc w:val="left"/>
              <w:rPr>
                <w:sz w:val="20"/>
              </w:rPr>
            </w:pPr>
          </w:p>
        </w:tc>
        <w:tc>
          <w:tcPr>
            <w:tcW w:w="1111" w:type="dxa"/>
          </w:tcPr>
          <w:p w:rsidR="007C5447" w:rsidRDefault="007C5447">
            <w:pPr>
              <w:pStyle w:val="TableParagraph"/>
              <w:jc w:val="left"/>
              <w:rPr>
                <w:sz w:val="20"/>
              </w:rPr>
            </w:pPr>
          </w:p>
        </w:tc>
        <w:tc>
          <w:tcPr>
            <w:tcW w:w="1113" w:type="dxa"/>
          </w:tcPr>
          <w:p w:rsidR="007C5447" w:rsidRDefault="007C5447">
            <w:pPr>
              <w:pStyle w:val="TableParagraph"/>
              <w:jc w:val="left"/>
              <w:rPr>
                <w:sz w:val="20"/>
              </w:rPr>
            </w:pPr>
          </w:p>
        </w:tc>
        <w:tc>
          <w:tcPr>
            <w:tcW w:w="1114" w:type="dxa"/>
          </w:tcPr>
          <w:p w:rsidR="007C5447" w:rsidRDefault="007C5447">
            <w:pPr>
              <w:pStyle w:val="TableParagraph"/>
              <w:jc w:val="left"/>
              <w:rPr>
                <w:sz w:val="20"/>
              </w:rPr>
            </w:pPr>
          </w:p>
        </w:tc>
        <w:tc>
          <w:tcPr>
            <w:tcW w:w="1113" w:type="dxa"/>
          </w:tcPr>
          <w:p w:rsidR="007C5447" w:rsidRDefault="007C5447">
            <w:pPr>
              <w:pStyle w:val="TableParagraph"/>
              <w:jc w:val="left"/>
              <w:rPr>
                <w:sz w:val="20"/>
              </w:rPr>
            </w:pPr>
          </w:p>
        </w:tc>
        <w:tc>
          <w:tcPr>
            <w:tcW w:w="1111" w:type="dxa"/>
          </w:tcPr>
          <w:p w:rsidR="007C5447" w:rsidRDefault="007C5447">
            <w:pPr>
              <w:pStyle w:val="TableParagraph"/>
              <w:jc w:val="left"/>
              <w:rPr>
                <w:sz w:val="20"/>
              </w:rPr>
            </w:pPr>
          </w:p>
        </w:tc>
      </w:tr>
      <w:tr w:rsidR="007C5447">
        <w:trPr>
          <w:trHeight w:val="328"/>
        </w:trPr>
        <w:tc>
          <w:tcPr>
            <w:tcW w:w="708" w:type="dxa"/>
          </w:tcPr>
          <w:p w:rsidR="007C5447" w:rsidRDefault="00F6308C">
            <w:pPr>
              <w:pStyle w:val="TableParagraph"/>
              <w:spacing w:before="50"/>
              <w:ind w:left="302"/>
              <w:jc w:val="left"/>
              <w:rPr>
                <w:sz w:val="20"/>
              </w:rPr>
            </w:pPr>
            <w:r>
              <w:rPr>
                <w:w w:val="99"/>
                <w:sz w:val="20"/>
              </w:rPr>
              <w:t>6</w:t>
            </w:r>
          </w:p>
        </w:tc>
        <w:tc>
          <w:tcPr>
            <w:tcW w:w="3010" w:type="dxa"/>
          </w:tcPr>
          <w:p w:rsidR="007C5447" w:rsidRDefault="00F6308C">
            <w:pPr>
              <w:pStyle w:val="TableParagraph"/>
              <w:spacing w:before="50"/>
              <w:ind w:left="108"/>
              <w:jc w:val="left"/>
              <w:rPr>
                <w:sz w:val="20"/>
              </w:rPr>
            </w:pPr>
            <w:r>
              <w:rPr>
                <w:sz w:val="20"/>
              </w:rPr>
              <w:t>Ramagundam I&amp;II</w:t>
            </w:r>
          </w:p>
        </w:tc>
        <w:tc>
          <w:tcPr>
            <w:tcW w:w="1113" w:type="dxa"/>
          </w:tcPr>
          <w:p w:rsidR="007C5447" w:rsidRDefault="00F6308C">
            <w:pPr>
              <w:pStyle w:val="TableParagraph"/>
              <w:spacing w:before="50"/>
              <w:ind w:right="95"/>
              <w:rPr>
                <w:sz w:val="20"/>
              </w:rPr>
            </w:pPr>
            <w:r>
              <w:rPr>
                <w:w w:val="95"/>
                <w:sz w:val="20"/>
              </w:rPr>
              <w:t>4,050.00</w:t>
            </w:r>
          </w:p>
        </w:tc>
        <w:tc>
          <w:tcPr>
            <w:tcW w:w="1111" w:type="dxa"/>
          </w:tcPr>
          <w:p w:rsidR="007C5447" w:rsidRDefault="00F6308C">
            <w:pPr>
              <w:pStyle w:val="TableParagraph"/>
              <w:spacing w:before="50"/>
              <w:ind w:right="92"/>
              <w:rPr>
                <w:sz w:val="20"/>
              </w:rPr>
            </w:pPr>
            <w:r>
              <w:rPr>
                <w:w w:val="95"/>
                <w:sz w:val="20"/>
              </w:rPr>
              <w:t>1,187.87</w:t>
            </w:r>
          </w:p>
        </w:tc>
        <w:tc>
          <w:tcPr>
            <w:tcW w:w="1113" w:type="dxa"/>
          </w:tcPr>
          <w:p w:rsidR="007C5447" w:rsidRDefault="00F6308C">
            <w:pPr>
              <w:pStyle w:val="TableParagraph"/>
              <w:spacing w:before="50"/>
              <w:ind w:right="93"/>
              <w:rPr>
                <w:sz w:val="20"/>
              </w:rPr>
            </w:pPr>
            <w:r>
              <w:rPr>
                <w:w w:val="95"/>
                <w:sz w:val="20"/>
              </w:rPr>
              <w:t>4,050.00</w:t>
            </w:r>
          </w:p>
        </w:tc>
        <w:tc>
          <w:tcPr>
            <w:tcW w:w="1114" w:type="dxa"/>
          </w:tcPr>
          <w:p w:rsidR="007C5447" w:rsidRDefault="00F6308C">
            <w:pPr>
              <w:pStyle w:val="TableParagraph"/>
              <w:spacing w:before="50"/>
              <w:ind w:right="94"/>
              <w:rPr>
                <w:sz w:val="20"/>
              </w:rPr>
            </w:pPr>
            <w:r>
              <w:rPr>
                <w:w w:val="95"/>
                <w:sz w:val="20"/>
              </w:rPr>
              <w:t>1,211.63</w:t>
            </w:r>
          </w:p>
        </w:tc>
        <w:tc>
          <w:tcPr>
            <w:tcW w:w="1113" w:type="dxa"/>
          </w:tcPr>
          <w:p w:rsidR="007C5447" w:rsidRDefault="00F6308C">
            <w:pPr>
              <w:pStyle w:val="TableParagraph"/>
              <w:spacing w:before="50"/>
              <w:ind w:right="93"/>
              <w:rPr>
                <w:sz w:val="20"/>
              </w:rPr>
            </w:pPr>
            <w:r>
              <w:rPr>
                <w:w w:val="95"/>
                <w:sz w:val="20"/>
              </w:rPr>
              <w:t>4,050.00</w:t>
            </w:r>
          </w:p>
        </w:tc>
        <w:tc>
          <w:tcPr>
            <w:tcW w:w="1111" w:type="dxa"/>
          </w:tcPr>
          <w:p w:rsidR="007C5447" w:rsidRDefault="00F6308C">
            <w:pPr>
              <w:pStyle w:val="TableParagraph"/>
              <w:spacing w:before="50"/>
              <w:ind w:right="92"/>
              <w:rPr>
                <w:sz w:val="20"/>
              </w:rPr>
            </w:pPr>
            <w:r>
              <w:rPr>
                <w:w w:val="95"/>
                <w:sz w:val="20"/>
              </w:rPr>
              <w:t>1,235.86</w:t>
            </w:r>
          </w:p>
        </w:tc>
      </w:tr>
      <w:tr w:rsidR="007C5447">
        <w:trPr>
          <w:trHeight w:val="330"/>
        </w:trPr>
        <w:tc>
          <w:tcPr>
            <w:tcW w:w="708" w:type="dxa"/>
          </w:tcPr>
          <w:p w:rsidR="007C5447" w:rsidRDefault="00F6308C">
            <w:pPr>
              <w:pStyle w:val="TableParagraph"/>
              <w:spacing w:before="50"/>
              <w:ind w:left="302"/>
              <w:jc w:val="left"/>
              <w:rPr>
                <w:sz w:val="20"/>
              </w:rPr>
            </w:pPr>
            <w:r>
              <w:rPr>
                <w:w w:val="99"/>
                <w:sz w:val="20"/>
              </w:rPr>
              <w:t>7</w:t>
            </w:r>
          </w:p>
        </w:tc>
        <w:tc>
          <w:tcPr>
            <w:tcW w:w="3010" w:type="dxa"/>
          </w:tcPr>
          <w:p w:rsidR="007C5447" w:rsidRDefault="00F6308C">
            <w:pPr>
              <w:pStyle w:val="TableParagraph"/>
              <w:spacing w:before="50"/>
              <w:ind w:left="108"/>
              <w:jc w:val="left"/>
              <w:rPr>
                <w:sz w:val="20"/>
              </w:rPr>
            </w:pPr>
            <w:r>
              <w:rPr>
                <w:sz w:val="20"/>
              </w:rPr>
              <w:t>Ramagundam III</w:t>
            </w:r>
          </w:p>
        </w:tc>
        <w:tc>
          <w:tcPr>
            <w:tcW w:w="1113" w:type="dxa"/>
          </w:tcPr>
          <w:p w:rsidR="007C5447" w:rsidRDefault="00F6308C">
            <w:pPr>
              <w:pStyle w:val="TableParagraph"/>
              <w:spacing w:before="50"/>
              <w:ind w:right="95"/>
              <w:rPr>
                <w:sz w:val="20"/>
              </w:rPr>
            </w:pPr>
            <w:r>
              <w:rPr>
                <w:w w:val="95"/>
                <w:sz w:val="20"/>
              </w:rPr>
              <w:t>1,095.00</w:t>
            </w:r>
          </w:p>
        </w:tc>
        <w:tc>
          <w:tcPr>
            <w:tcW w:w="1111" w:type="dxa"/>
          </w:tcPr>
          <w:p w:rsidR="007C5447" w:rsidRDefault="00F6308C">
            <w:pPr>
              <w:pStyle w:val="TableParagraph"/>
              <w:spacing w:before="50"/>
              <w:ind w:right="92"/>
              <w:rPr>
                <w:sz w:val="20"/>
              </w:rPr>
            </w:pPr>
            <w:r>
              <w:rPr>
                <w:w w:val="95"/>
                <w:sz w:val="20"/>
              </w:rPr>
              <w:t>357.09</w:t>
            </w:r>
          </w:p>
        </w:tc>
        <w:tc>
          <w:tcPr>
            <w:tcW w:w="1113" w:type="dxa"/>
          </w:tcPr>
          <w:p w:rsidR="007C5447" w:rsidRDefault="00F6308C">
            <w:pPr>
              <w:pStyle w:val="TableParagraph"/>
              <w:spacing w:before="50"/>
              <w:ind w:right="93"/>
              <w:rPr>
                <w:sz w:val="20"/>
              </w:rPr>
            </w:pPr>
            <w:r>
              <w:rPr>
                <w:sz w:val="20"/>
              </w:rPr>
              <w:t>967.1</w:t>
            </w:r>
          </w:p>
        </w:tc>
        <w:tc>
          <w:tcPr>
            <w:tcW w:w="1114" w:type="dxa"/>
          </w:tcPr>
          <w:p w:rsidR="007C5447" w:rsidRDefault="00F6308C">
            <w:pPr>
              <w:pStyle w:val="TableParagraph"/>
              <w:spacing w:before="50"/>
              <w:ind w:right="93"/>
              <w:rPr>
                <w:sz w:val="20"/>
              </w:rPr>
            </w:pPr>
            <w:r>
              <w:rPr>
                <w:w w:val="95"/>
                <w:sz w:val="20"/>
              </w:rPr>
              <w:t>321.69</w:t>
            </w:r>
          </w:p>
        </w:tc>
        <w:tc>
          <w:tcPr>
            <w:tcW w:w="1113" w:type="dxa"/>
          </w:tcPr>
          <w:p w:rsidR="007C5447" w:rsidRDefault="00F6308C">
            <w:pPr>
              <w:pStyle w:val="TableParagraph"/>
              <w:spacing w:before="50"/>
              <w:ind w:right="92"/>
              <w:rPr>
                <w:sz w:val="20"/>
              </w:rPr>
            </w:pPr>
            <w:r>
              <w:rPr>
                <w:sz w:val="20"/>
              </w:rPr>
              <w:t>967.1</w:t>
            </w:r>
          </w:p>
        </w:tc>
        <w:tc>
          <w:tcPr>
            <w:tcW w:w="1111" w:type="dxa"/>
          </w:tcPr>
          <w:p w:rsidR="007C5447" w:rsidRDefault="00F6308C">
            <w:pPr>
              <w:pStyle w:val="TableParagraph"/>
              <w:spacing w:before="50"/>
              <w:ind w:right="92"/>
              <w:rPr>
                <w:sz w:val="20"/>
              </w:rPr>
            </w:pPr>
            <w:r>
              <w:rPr>
                <w:w w:val="95"/>
                <w:sz w:val="20"/>
              </w:rPr>
              <w:t>328.12</w:t>
            </w:r>
          </w:p>
        </w:tc>
      </w:tr>
      <w:tr w:rsidR="007C5447">
        <w:trPr>
          <w:trHeight w:val="330"/>
        </w:trPr>
        <w:tc>
          <w:tcPr>
            <w:tcW w:w="708" w:type="dxa"/>
          </w:tcPr>
          <w:p w:rsidR="007C5447" w:rsidRDefault="00F6308C">
            <w:pPr>
              <w:pStyle w:val="TableParagraph"/>
              <w:spacing w:before="50"/>
              <w:ind w:left="302"/>
              <w:jc w:val="left"/>
              <w:rPr>
                <w:sz w:val="20"/>
              </w:rPr>
            </w:pPr>
            <w:r>
              <w:rPr>
                <w:w w:val="99"/>
                <w:sz w:val="20"/>
              </w:rPr>
              <w:t>8</w:t>
            </w:r>
          </w:p>
        </w:tc>
        <w:tc>
          <w:tcPr>
            <w:tcW w:w="3010" w:type="dxa"/>
          </w:tcPr>
          <w:p w:rsidR="007C5447" w:rsidRDefault="00F6308C">
            <w:pPr>
              <w:pStyle w:val="TableParagraph"/>
              <w:spacing w:before="50"/>
              <w:ind w:left="108"/>
              <w:jc w:val="left"/>
              <w:rPr>
                <w:sz w:val="20"/>
              </w:rPr>
            </w:pPr>
            <w:r>
              <w:rPr>
                <w:sz w:val="20"/>
              </w:rPr>
              <w:t>Simhadri Stage II -Unit III</w:t>
            </w:r>
          </w:p>
        </w:tc>
        <w:tc>
          <w:tcPr>
            <w:tcW w:w="1113" w:type="dxa"/>
          </w:tcPr>
          <w:p w:rsidR="007C5447" w:rsidRDefault="00F6308C">
            <w:pPr>
              <w:pStyle w:val="TableParagraph"/>
              <w:spacing w:before="50"/>
              <w:ind w:right="95"/>
              <w:rPr>
                <w:sz w:val="20"/>
              </w:rPr>
            </w:pPr>
            <w:r>
              <w:rPr>
                <w:w w:val="95"/>
                <w:sz w:val="20"/>
              </w:rPr>
              <w:t>1,525.00</w:t>
            </w:r>
          </w:p>
        </w:tc>
        <w:tc>
          <w:tcPr>
            <w:tcW w:w="1111" w:type="dxa"/>
          </w:tcPr>
          <w:p w:rsidR="007C5447" w:rsidRDefault="00F6308C">
            <w:pPr>
              <w:pStyle w:val="TableParagraph"/>
              <w:spacing w:before="50"/>
              <w:ind w:right="92"/>
              <w:rPr>
                <w:sz w:val="20"/>
              </w:rPr>
            </w:pPr>
            <w:r>
              <w:rPr>
                <w:w w:val="95"/>
                <w:sz w:val="20"/>
              </w:rPr>
              <w:t>626.37</w:t>
            </w:r>
          </w:p>
        </w:tc>
        <w:tc>
          <w:tcPr>
            <w:tcW w:w="1113" w:type="dxa"/>
          </w:tcPr>
          <w:p w:rsidR="007C5447" w:rsidRDefault="00F6308C">
            <w:pPr>
              <w:pStyle w:val="TableParagraph"/>
              <w:spacing w:before="50"/>
              <w:ind w:right="93"/>
              <w:rPr>
                <w:sz w:val="20"/>
              </w:rPr>
            </w:pPr>
            <w:r>
              <w:rPr>
                <w:w w:val="95"/>
                <w:sz w:val="20"/>
              </w:rPr>
              <w:t>1,673.86</w:t>
            </w:r>
          </w:p>
        </w:tc>
        <w:tc>
          <w:tcPr>
            <w:tcW w:w="1114" w:type="dxa"/>
          </w:tcPr>
          <w:p w:rsidR="007C5447" w:rsidRDefault="00F6308C">
            <w:pPr>
              <w:pStyle w:val="TableParagraph"/>
              <w:spacing w:before="50"/>
              <w:ind w:right="93"/>
              <w:rPr>
                <w:sz w:val="20"/>
              </w:rPr>
            </w:pPr>
            <w:r>
              <w:rPr>
                <w:w w:val="95"/>
                <w:sz w:val="20"/>
              </w:rPr>
              <w:t>701.26</w:t>
            </w:r>
          </w:p>
        </w:tc>
        <w:tc>
          <w:tcPr>
            <w:tcW w:w="1113" w:type="dxa"/>
          </w:tcPr>
          <w:p w:rsidR="007C5447" w:rsidRDefault="00F6308C">
            <w:pPr>
              <w:pStyle w:val="TableParagraph"/>
              <w:spacing w:before="50"/>
              <w:ind w:right="93"/>
              <w:rPr>
                <w:sz w:val="20"/>
              </w:rPr>
            </w:pPr>
            <w:r>
              <w:rPr>
                <w:w w:val="95"/>
                <w:sz w:val="20"/>
              </w:rPr>
              <w:t>1,673.86</w:t>
            </w:r>
          </w:p>
        </w:tc>
        <w:tc>
          <w:tcPr>
            <w:tcW w:w="1111" w:type="dxa"/>
          </w:tcPr>
          <w:p w:rsidR="007C5447" w:rsidRDefault="00F6308C">
            <w:pPr>
              <w:pStyle w:val="TableParagraph"/>
              <w:spacing w:before="50"/>
              <w:ind w:right="92"/>
              <w:rPr>
                <w:sz w:val="20"/>
              </w:rPr>
            </w:pPr>
            <w:r>
              <w:rPr>
                <w:w w:val="95"/>
                <w:sz w:val="20"/>
              </w:rPr>
              <w:t>715.29</w:t>
            </w:r>
          </w:p>
        </w:tc>
      </w:tr>
      <w:tr w:rsidR="007C5447">
        <w:trPr>
          <w:trHeight w:val="328"/>
        </w:trPr>
        <w:tc>
          <w:tcPr>
            <w:tcW w:w="708" w:type="dxa"/>
          </w:tcPr>
          <w:p w:rsidR="007C5447" w:rsidRDefault="00F6308C">
            <w:pPr>
              <w:pStyle w:val="TableParagraph"/>
              <w:spacing w:before="50"/>
              <w:ind w:left="302"/>
              <w:jc w:val="left"/>
              <w:rPr>
                <w:sz w:val="20"/>
              </w:rPr>
            </w:pPr>
            <w:r>
              <w:rPr>
                <w:w w:val="99"/>
                <w:sz w:val="20"/>
              </w:rPr>
              <w:t>9</w:t>
            </w:r>
          </w:p>
        </w:tc>
        <w:tc>
          <w:tcPr>
            <w:tcW w:w="3010" w:type="dxa"/>
          </w:tcPr>
          <w:p w:rsidR="007C5447" w:rsidRDefault="00F6308C">
            <w:pPr>
              <w:pStyle w:val="TableParagraph"/>
              <w:spacing w:before="50"/>
              <w:ind w:left="108"/>
              <w:jc w:val="left"/>
              <w:rPr>
                <w:sz w:val="20"/>
              </w:rPr>
            </w:pPr>
            <w:r>
              <w:rPr>
                <w:sz w:val="20"/>
              </w:rPr>
              <w:t>NTPC TNEB JV Val lur</w:t>
            </w:r>
          </w:p>
        </w:tc>
        <w:tc>
          <w:tcPr>
            <w:tcW w:w="1113" w:type="dxa"/>
          </w:tcPr>
          <w:p w:rsidR="007C5447" w:rsidRDefault="00F6308C">
            <w:pPr>
              <w:pStyle w:val="TableParagraph"/>
              <w:spacing w:before="50"/>
              <w:ind w:right="95"/>
              <w:rPr>
                <w:sz w:val="20"/>
              </w:rPr>
            </w:pPr>
            <w:r>
              <w:rPr>
                <w:w w:val="95"/>
                <w:sz w:val="20"/>
              </w:rPr>
              <w:t>7,192.84</w:t>
            </w:r>
          </w:p>
        </w:tc>
        <w:tc>
          <w:tcPr>
            <w:tcW w:w="1111" w:type="dxa"/>
          </w:tcPr>
          <w:p w:rsidR="007C5447" w:rsidRDefault="00F6308C">
            <w:pPr>
              <w:pStyle w:val="TableParagraph"/>
              <w:spacing w:before="50"/>
              <w:ind w:right="92"/>
              <w:rPr>
                <w:sz w:val="20"/>
              </w:rPr>
            </w:pPr>
            <w:r>
              <w:rPr>
                <w:w w:val="95"/>
                <w:sz w:val="20"/>
              </w:rPr>
              <w:t>2,715.35</w:t>
            </w:r>
          </w:p>
        </w:tc>
        <w:tc>
          <w:tcPr>
            <w:tcW w:w="1113" w:type="dxa"/>
          </w:tcPr>
          <w:p w:rsidR="007C5447" w:rsidRDefault="00F6308C">
            <w:pPr>
              <w:pStyle w:val="TableParagraph"/>
              <w:spacing w:before="50"/>
              <w:ind w:right="93"/>
              <w:rPr>
                <w:sz w:val="20"/>
              </w:rPr>
            </w:pPr>
            <w:r>
              <w:rPr>
                <w:w w:val="95"/>
                <w:sz w:val="20"/>
              </w:rPr>
              <w:t>7,866.70</w:t>
            </w:r>
          </w:p>
        </w:tc>
        <w:tc>
          <w:tcPr>
            <w:tcW w:w="1114" w:type="dxa"/>
          </w:tcPr>
          <w:p w:rsidR="007C5447" w:rsidRDefault="00F6308C">
            <w:pPr>
              <w:pStyle w:val="TableParagraph"/>
              <w:spacing w:before="50"/>
              <w:ind w:right="94"/>
              <w:rPr>
                <w:sz w:val="20"/>
              </w:rPr>
            </w:pPr>
            <w:r>
              <w:rPr>
                <w:w w:val="95"/>
                <w:sz w:val="20"/>
              </w:rPr>
              <w:t>3,029.14</w:t>
            </w:r>
          </w:p>
        </w:tc>
        <w:tc>
          <w:tcPr>
            <w:tcW w:w="1113" w:type="dxa"/>
          </w:tcPr>
          <w:p w:rsidR="007C5447" w:rsidRDefault="00F6308C">
            <w:pPr>
              <w:pStyle w:val="TableParagraph"/>
              <w:spacing w:before="50"/>
              <w:ind w:right="93"/>
              <w:rPr>
                <w:sz w:val="20"/>
              </w:rPr>
            </w:pPr>
            <w:r>
              <w:rPr>
                <w:w w:val="95"/>
                <w:sz w:val="20"/>
              </w:rPr>
              <w:t>7,866.70</w:t>
            </w:r>
          </w:p>
        </w:tc>
        <w:tc>
          <w:tcPr>
            <w:tcW w:w="1111" w:type="dxa"/>
          </w:tcPr>
          <w:p w:rsidR="007C5447" w:rsidRDefault="00F6308C">
            <w:pPr>
              <w:pStyle w:val="TableParagraph"/>
              <w:spacing w:before="50"/>
              <w:ind w:right="92"/>
              <w:rPr>
                <w:sz w:val="20"/>
              </w:rPr>
            </w:pPr>
            <w:r>
              <w:rPr>
                <w:w w:val="95"/>
                <w:sz w:val="20"/>
              </w:rPr>
              <w:t>3,089.72</w:t>
            </w:r>
          </w:p>
        </w:tc>
      </w:tr>
      <w:tr w:rsidR="007C5447">
        <w:trPr>
          <w:trHeight w:val="330"/>
        </w:trPr>
        <w:tc>
          <w:tcPr>
            <w:tcW w:w="708" w:type="dxa"/>
          </w:tcPr>
          <w:p w:rsidR="007C5447" w:rsidRDefault="00F6308C">
            <w:pPr>
              <w:pStyle w:val="TableParagraph"/>
              <w:spacing w:before="50"/>
              <w:ind w:left="254"/>
              <w:jc w:val="left"/>
              <w:rPr>
                <w:sz w:val="20"/>
              </w:rPr>
            </w:pPr>
            <w:r>
              <w:rPr>
                <w:sz w:val="20"/>
              </w:rPr>
              <w:t>10</w:t>
            </w:r>
          </w:p>
        </w:tc>
        <w:tc>
          <w:tcPr>
            <w:tcW w:w="3010" w:type="dxa"/>
          </w:tcPr>
          <w:p w:rsidR="007C5447" w:rsidRDefault="00F6308C">
            <w:pPr>
              <w:pStyle w:val="TableParagraph"/>
              <w:spacing w:before="50"/>
              <w:ind w:left="108"/>
              <w:jc w:val="left"/>
              <w:rPr>
                <w:sz w:val="20"/>
              </w:rPr>
            </w:pPr>
            <w:r>
              <w:rPr>
                <w:sz w:val="20"/>
              </w:rPr>
              <w:t>Talcher</w:t>
            </w:r>
          </w:p>
        </w:tc>
        <w:tc>
          <w:tcPr>
            <w:tcW w:w="1113" w:type="dxa"/>
          </w:tcPr>
          <w:p w:rsidR="007C5447" w:rsidRDefault="00F6308C">
            <w:pPr>
              <w:pStyle w:val="TableParagraph"/>
              <w:spacing w:before="50"/>
              <w:ind w:right="95"/>
              <w:rPr>
                <w:sz w:val="20"/>
              </w:rPr>
            </w:pPr>
            <w:r>
              <w:rPr>
                <w:w w:val="95"/>
                <w:sz w:val="20"/>
              </w:rPr>
              <w:t>3,810.00</w:t>
            </w:r>
          </w:p>
        </w:tc>
        <w:tc>
          <w:tcPr>
            <w:tcW w:w="1111" w:type="dxa"/>
          </w:tcPr>
          <w:p w:rsidR="007C5447" w:rsidRDefault="00F6308C">
            <w:pPr>
              <w:pStyle w:val="TableParagraph"/>
              <w:spacing w:before="50"/>
              <w:ind w:right="92"/>
              <w:rPr>
                <w:sz w:val="20"/>
              </w:rPr>
            </w:pPr>
            <w:r>
              <w:rPr>
                <w:w w:val="95"/>
                <w:sz w:val="20"/>
              </w:rPr>
              <w:t>819.43</w:t>
            </w:r>
          </w:p>
        </w:tc>
        <w:tc>
          <w:tcPr>
            <w:tcW w:w="1113" w:type="dxa"/>
          </w:tcPr>
          <w:p w:rsidR="007C5447" w:rsidRDefault="00F6308C">
            <w:pPr>
              <w:pStyle w:val="TableParagraph"/>
              <w:spacing w:before="50"/>
              <w:ind w:right="93"/>
              <w:rPr>
                <w:sz w:val="20"/>
              </w:rPr>
            </w:pPr>
            <w:r>
              <w:rPr>
                <w:w w:val="95"/>
                <w:sz w:val="20"/>
              </w:rPr>
              <w:t>3,925.37</w:t>
            </w:r>
          </w:p>
        </w:tc>
        <w:tc>
          <w:tcPr>
            <w:tcW w:w="1114" w:type="dxa"/>
          </w:tcPr>
          <w:p w:rsidR="007C5447" w:rsidRDefault="00F6308C">
            <w:pPr>
              <w:pStyle w:val="TableParagraph"/>
              <w:spacing w:before="50"/>
              <w:ind w:right="93"/>
              <w:rPr>
                <w:sz w:val="20"/>
              </w:rPr>
            </w:pPr>
            <w:r>
              <w:rPr>
                <w:w w:val="95"/>
                <w:sz w:val="20"/>
              </w:rPr>
              <w:t>851.72</w:t>
            </w:r>
          </w:p>
        </w:tc>
        <w:tc>
          <w:tcPr>
            <w:tcW w:w="1113" w:type="dxa"/>
          </w:tcPr>
          <w:p w:rsidR="007C5447" w:rsidRDefault="00F6308C">
            <w:pPr>
              <w:pStyle w:val="TableParagraph"/>
              <w:spacing w:before="50"/>
              <w:ind w:right="93"/>
              <w:rPr>
                <w:sz w:val="20"/>
              </w:rPr>
            </w:pPr>
            <w:r>
              <w:rPr>
                <w:w w:val="95"/>
                <w:sz w:val="20"/>
              </w:rPr>
              <w:t>3,925.37</w:t>
            </w:r>
          </w:p>
        </w:tc>
        <w:tc>
          <w:tcPr>
            <w:tcW w:w="1111" w:type="dxa"/>
          </w:tcPr>
          <w:p w:rsidR="007C5447" w:rsidRDefault="00F6308C">
            <w:pPr>
              <w:pStyle w:val="TableParagraph"/>
              <w:spacing w:before="50"/>
              <w:ind w:right="92"/>
              <w:rPr>
                <w:sz w:val="20"/>
              </w:rPr>
            </w:pPr>
            <w:r>
              <w:rPr>
                <w:w w:val="95"/>
                <w:sz w:val="20"/>
              </w:rPr>
              <w:t>869.15</w:t>
            </w:r>
          </w:p>
        </w:tc>
      </w:tr>
      <w:tr w:rsidR="007C5447">
        <w:trPr>
          <w:trHeight w:val="330"/>
        </w:trPr>
        <w:tc>
          <w:tcPr>
            <w:tcW w:w="708" w:type="dxa"/>
          </w:tcPr>
          <w:p w:rsidR="007C5447" w:rsidRDefault="00F6308C">
            <w:pPr>
              <w:pStyle w:val="TableParagraph"/>
              <w:spacing w:before="50"/>
              <w:ind w:left="254"/>
              <w:jc w:val="left"/>
              <w:rPr>
                <w:sz w:val="20"/>
              </w:rPr>
            </w:pPr>
            <w:r>
              <w:rPr>
                <w:sz w:val="20"/>
              </w:rPr>
              <w:t>11</w:t>
            </w:r>
          </w:p>
        </w:tc>
        <w:tc>
          <w:tcPr>
            <w:tcW w:w="3010" w:type="dxa"/>
          </w:tcPr>
          <w:p w:rsidR="007C5447" w:rsidRDefault="00F6308C">
            <w:pPr>
              <w:pStyle w:val="TableParagraph"/>
              <w:spacing w:before="50"/>
              <w:ind w:left="108"/>
              <w:jc w:val="left"/>
              <w:rPr>
                <w:sz w:val="20"/>
              </w:rPr>
            </w:pPr>
            <w:r>
              <w:rPr>
                <w:sz w:val="20"/>
              </w:rPr>
              <w:t>NTPC ER</w:t>
            </w:r>
          </w:p>
        </w:tc>
        <w:tc>
          <w:tcPr>
            <w:tcW w:w="1113" w:type="dxa"/>
          </w:tcPr>
          <w:p w:rsidR="007C5447" w:rsidRDefault="00F6308C">
            <w:pPr>
              <w:pStyle w:val="TableParagraph"/>
              <w:spacing w:before="50"/>
              <w:ind w:right="92"/>
              <w:rPr>
                <w:sz w:val="20"/>
              </w:rPr>
            </w:pPr>
            <w:r>
              <w:rPr>
                <w:sz w:val="20"/>
              </w:rPr>
              <w:t>325</w:t>
            </w:r>
          </w:p>
        </w:tc>
        <w:tc>
          <w:tcPr>
            <w:tcW w:w="1111" w:type="dxa"/>
          </w:tcPr>
          <w:p w:rsidR="007C5447" w:rsidRDefault="00F6308C">
            <w:pPr>
              <w:pStyle w:val="TableParagraph"/>
              <w:spacing w:before="50"/>
              <w:ind w:right="92"/>
              <w:rPr>
                <w:sz w:val="20"/>
              </w:rPr>
            </w:pPr>
            <w:r>
              <w:rPr>
                <w:w w:val="95"/>
                <w:sz w:val="20"/>
              </w:rPr>
              <w:t>103.68</w:t>
            </w:r>
          </w:p>
        </w:tc>
        <w:tc>
          <w:tcPr>
            <w:tcW w:w="1113" w:type="dxa"/>
          </w:tcPr>
          <w:p w:rsidR="007C5447" w:rsidRDefault="00F6308C">
            <w:pPr>
              <w:pStyle w:val="TableParagraph"/>
              <w:spacing w:before="50"/>
              <w:ind w:right="91"/>
              <w:rPr>
                <w:sz w:val="20"/>
              </w:rPr>
            </w:pPr>
            <w:r>
              <w:rPr>
                <w:sz w:val="20"/>
              </w:rPr>
              <w:t>325</w:t>
            </w:r>
          </w:p>
        </w:tc>
        <w:tc>
          <w:tcPr>
            <w:tcW w:w="1114" w:type="dxa"/>
          </w:tcPr>
          <w:p w:rsidR="007C5447" w:rsidRDefault="00F6308C">
            <w:pPr>
              <w:pStyle w:val="TableParagraph"/>
              <w:spacing w:before="50"/>
              <w:ind w:right="93"/>
              <w:rPr>
                <w:sz w:val="20"/>
              </w:rPr>
            </w:pPr>
            <w:r>
              <w:rPr>
                <w:w w:val="95"/>
                <w:sz w:val="20"/>
              </w:rPr>
              <w:t>105.75</w:t>
            </w:r>
          </w:p>
        </w:tc>
        <w:tc>
          <w:tcPr>
            <w:tcW w:w="1113" w:type="dxa"/>
          </w:tcPr>
          <w:p w:rsidR="007C5447" w:rsidRDefault="00F6308C">
            <w:pPr>
              <w:pStyle w:val="TableParagraph"/>
              <w:spacing w:before="50"/>
              <w:ind w:right="90"/>
              <w:rPr>
                <w:sz w:val="20"/>
              </w:rPr>
            </w:pPr>
            <w:r>
              <w:rPr>
                <w:sz w:val="20"/>
              </w:rPr>
              <w:t>325</w:t>
            </w:r>
          </w:p>
        </w:tc>
        <w:tc>
          <w:tcPr>
            <w:tcW w:w="1111" w:type="dxa"/>
          </w:tcPr>
          <w:p w:rsidR="007C5447" w:rsidRDefault="00F6308C">
            <w:pPr>
              <w:pStyle w:val="TableParagraph"/>
              <w:spacing w:before="50"/>
              <w:ind w:right="92"/>
              <w:rPr>
                <w:sz w:val="20"/>
              </w:rPr>
            </w:pPr>
            <w:r>
              <w:rPr>
                <w:w w:val="95"/>
                <w:sz w:val="20"/>
              </w:rPr>
              <w:t>107.87</w:t>
            </w:r>
          </w:p>
        </w:tc>
      </w:tr>
      <w:tr w:rsidR="007C5447">
        <w:trPr>
          <w:trHeight w:val="328"/>
        </w:trPr>
        <w:tc>
          <w:tcPr>
            <w:tcW w:w="708" w:type="dxa"/>
          </w:tcPr>
          <w:p w:rsidR="007C5447" w:rsidRDefault="007C5447">
            <w:pPr>
              <w:pStyle w:val="TableParagraph"/>
              <w:jc w:val="left"/>
              <w:rPr>
                <w:sz w:val="20"/>
              </w:rPr>
            </w:pPr>
          </w:p>
        </w:tc>
        <w:tc>
          <w:tcPr>
            <w:tcW w:w="3010" w:type="dxa"/>
          </w:tcPr>
          <w:p w:rsidR="007C5447" w:rsidRDefault="00F6308C">
            <w:pPr>
              <w:pStyle w:val="TableParagraph"/>
              <w:spacing w:before="50"/>
              <w:ind w:left="108"/>
              <w:jc w:val="left"/>
              <w:rPr>
                <w:b/>
                <w:sz w:val="20"/>
              </w:rPr>
            </w:pPr>
            <w:r>
              <w:rPr>
                <w:b/>
                <w:sz w:val="20"/>
              </w:rPr>
              <w:t>Total NTPC</w:t>
            </w:r>
          </w:p>
        </w:tc>
        <w:tc>
          <w:tcPr>
            <w:tcW w:w="1113" w:type="dxa"/>
          </w:tcPr>
          <w:p w:rsidR="007C5447" w:rsidRDefault="00F6308C">
            <w:pPr>
              <w:pStyle w:val="TableParagraph"/>
              <w:spacing w:before="50"/>
              <w:ind w:right="95"/>
              <w:rPr>
                <w:b/>
                <w:sz w:val="20"/>
              </w:rPr>
            </w:pPr>
            <w:r>
              <w:rPr>
                <w:b/>
                <w:w w:val="95"/>
                <w:sz w:val="20"/>
              </w:rPr>
              <w:t>17,997.84</w:t>
            </w:r>
          </w:p>
        </w:tc>
        <w:tc>
          <w:tcPr>
            <w:tcW w:w="1111" w:type="dxa"/>
          </w:tcPr>
          <w:p w:rsidR="007C5447" w:rsidRDefault="00F6308C">
            <w:pPr>
              <w:pStyle w:val="TableParagraph"/>
              <w:spacing w:before="50"/>
              <w:ind w:right="92"/>
              <w:rPr>
                <w:b/>
                <w:sz w:val="20"/>
              </w:rPr>
            </w:pPr>
            <w:r>
              <w:rPr>
                <w:b/>
                <w:w w:val="95"/>
                <w:sz w:val="20"/>
              </w:rPr>
              <w:t>5,809.79</w:t>
            </w:r>
          </w:p>
        </w:tc>
        <w:tc>
          <w:tcPr>
            <w:tcW w:w="1113" w:type="dxa"/>
          </w:tcPr>
          <w:p w:rsidR="007C5447" w:rsidRDefault="00F6308C">
            <w:pPr>
              <w:pStyle w:val="TableParagraph"/>
              <w:spacing w:before="50"/>
              <w:ind w:right="93"/>
              <w:rPr>
                <w:b/>
                <w:sz w:val="20"/>
              </w:rPr>
            </w:pPr>
            <w:r>
              <w:rPr>
                <w:b/>
                <w:w w:val="95"/>
                <w:sz w:val="20"/>
              </w:rPr>
              <w:t>18,808.04</w:t>
            </w:r>
          </w:p>
        </w:tc>
        <w:tc>
          <w:tcPr>
            <w:tcW w:w="1114" w:type="dxa"/>
          </w:tcPr>
          <w:p w:rsidR="007C5447" w:rsidRDefault="00F6308C">
            <w:pPr>
              <w:pStyle w:val="TableParagraph"/>
              <w:spacing w:before="50"/>
              <w:ind w:right="94"/>
              <w:rPr>
                <w:b/>
                <w:sz w:val="20"/>
              </w:rPr>
            </w:pPr>
            <w:r>
              <w:rPr>
                <w:b/>
                <w:w w:val="95"/>
                <w:sz w:val="20"/>
              </w:rPr>
              <w:t>6,221.19</w:t>
            </w:r>
          </w:p>
        </w:tc>
        <w:tc>
          <w:tcPr>
            <w:tcW w:w="1113" w:type="dxa"/>
          </w:tcPr>
          <w:p w:rsidR="007C5447" w:rsidRDefault="00F6308C">
            <w:pPr>
              <w:pStyle w:val="TableParagraph"/>
              <w:spacing w:before="50"/>
              <w:ind w:right="92"/>
              <w:rPr>
                <w:b/>
                <w:sz w:val="20"/>
              </w:rPr>
            </w:pPr>
            <w:r>
              <w:rPr>
                <w:b/>
                <w:w w:val="95"/>
                <w:sz w:val="20"/>
              </w:rPr>
              <w:t>18,808.04</w:t>
            </w:r>
          </w:p>
        </w:tc>
        <w:tc>
          <w:tcPr>
            <w:tcW w:w="1111" w:type="dxa"/>
          </w:tcPr>
          <w:p w:rsidR="007C5447" w:rsidRDefault="00F6308C">
            <w:pPr>
              <w:pStyle w:val="TableParagraph"/>
              <w:spacing w:before="50"/>
              <w:ind w:right="92"/>
              <w:rPr>
                <w:b/>
                <w:sz w:val="20"/>
              </w:rPr>
            </w:pPr>
            <w:r>
              <w:rPr>
                <w:b/>
                <w:w w:val="95"/>
                <w:sz w:val="20"/>
              </w:rPr>
              <w:t>6,346.01</w:t>
            </w:r>
          </w:p>
        </w:tc>
      </w:tr>
      <w:tr w:rsidR="007C5447">
        <w:trPr>
          <w:trHeight w:val="330"/>
        </w:trPr>
        <w:tc>
          <w:tcPr>
            <w:tcW w:w="708" w:type="dxa"/>
          </w:tcPr>
          <w:p w:rsidR="007C5447" w:rsidRDefault="007C5447">
            <w:pPr>
              <w:pStyle w:val="TableParagraph"/>
              <w:jc w:val="left"/>
              <w:rPr>
                <w:sz w:val="20"/>
              </w:rPr>
            </w:pPr>
          </w:p>
        </w:tc>
        <w:tc>
          <w:tcPr>
            <w:tcW w:w="3010" w:type="dxa"/>
          </w:tcPr>
          <w:p w:rsidR="007C5447" w:rsidRDefault="00F6308C">
            <w:pPr>
              <w:pStyle w:val="TableParagraph"/>
              <w:spacing w:before="50"/>
              <w:ind w:left="108"/>
              <w:jc w:val="left"/>
              <w:rPr>
                <w:b/>
                <w:sz w:val="20"/>
              </w:rPr>
            </w:pPr>
            <w:r>
              <w:rPr>
                <w:b/>
                <w:sz w:val="20"/>
              </w:rPr>
              <w:t>Nuclear Stations</w:t>
            </w:r>
          </w:p>
        </w:tc>
        <w:tc>
          <w:tcPr>
            <w:tcW w:w="1113" w:type="dxa"/>
          </w:tcPr>
          <w:p w:rsidR="007C5447" w:rsidRDefault="007C5447">
            <w:pPr>
              <w:pStyle w:val="TableParagraph"/>
              <w:jc w:val="left"/>
              <w:rPr>
                <w:sz w:val="20"/>
              </w:rPr>
            </w:pPr>
          </w:p>
        </w:tc>
        <w:tc>
          <w:tcPr>
            <w:tcW w:w="1111" w:type="dxa"/>
          </w:tcPr>
          <w:p w:rsidR="007C5447" w:rsidRDefault="007C5447">
            <w:pPr>
              <w:pStyle w:val="TableParagraph"/>
              <w:jc w:val="left"/>
              <w:rPr>
                <w:sz w:val="20"/>
              </w:rPr>
            </w:pPr>
          </w:p>
        </w:tc>
        <w:tc>
          <w:tcPr>
            <w:tcW w:w="1113" w:type="dxa"/>
          </w:tcPr>
          <w:p w:rsidR="007C5447" w:rsidRDefault="007C5447">
            <w:pPr>
              <w:pStyle w:val="TableParagraph"/>
              <w:jc w:val="left"/>
              <w:rPr>
                <w:sz w:val="20"/>
              </w:rPr>
            </w:pPr>
          </w:p>
        </w:tc>
        <w:tc>
          <w:tcPr>
            <w:tcW w:w="1114" w:type="dxa"/>
          </w:tcPr>
          <w:p w:rsidR="007C5447" w:rsidRDefault="007C5447">
            <w:pPr>
              <w:pStyle w:val="TableParagraph"/>
              <w:jc w:val="left"/>
              <w:rPr>
                <w:sz w:val="20"/>
              </w:rPr>
            </w:pPr>
          </w:p>
        </w:tc>
        <w:tc>
          <w:tcPr>
            <w:tcW w:w="1113" w:type="dxa"/>
          </w:tcPr>
          <w:p w:rsidR="007C5447" w:rsidRDefault="007C5447">
            <w:pPr>
              <w:pStyle w:val="TableParagraph"/>
              <w:jc w:val="left"/>
              <w:rPr>
                <w:sz w:val="20"/>
              </w:rPr>
            </w:pPr>
          </w:p>
        </w:tc>
        <w:tc>
          <w:tcPr>
            <w:tcW w:w="1111" w:type="dxa"/>
          </w:tcPr>
          <w:p w:rsidR="007C5447" w:rsidRDefault="007C5447">
            <w:pPr>
              <w:pStyle w:val="TableParagraph"/>
              <w:jc w:val="left"/>
              <w:rPr>
                <w:sz w:val="20"/>
              </w:rPr>
            </w:pPr>
          </w:p>
        </w:tc>
      </w:tr>
      <w:tr w:rsidR="007C5447">
        <w:trPr>
          <w:trHeight w:val="331"/>
        </w:trPr>
        <w:tc>
          <w:tcPr>
            <w:tcW w:w="708" w:type="dxa"/>
          </w:tcPr>
          <w:p w:rsidR="007C5447" w:rsidRDefault="00F6308C">
            <w:pPr>
              <w:pStyle w:val="TableParagraph"/>
              <w:spacing w:before="50"/>
              <w:ind w:left="254"/>
              <w:jc w:val="left"/>
              <w:rPr>
                <w:sz w:val="20"/>
              </w:rPr>
            </w:pPr>
            <w:r>
              <w:rPr>
                <w:sz w:val="20"/>
              </w:rPr>
              <w:t>12</w:t>
            </w:r>
          </w:p>
        </w:tc>
        <w:tc>
          <w:tcPr>
            <w:tcW w:w="3010" w:type="dxa"/>
          </w:tcPr>
          <w:p w:rsidR="007C5447" w:rsidRDefault="00F6308C">
            <w:pPr>
              <w:pStyle w:val="TableParagraph"/>
              <w:spacing w:before="50"/>
              <w:ind w:left="108"/>
              <w:jc w:val="left"/>
              <w:rPr>
                <w:sz w:val="20"/>
              </w:rPr>
            </w:pPr>
            <w:r>
              <w:rPr>
                <w:sz w:val="20"/>
              </w:rPr>
              <w:t>Madras APS</w:t>
            </w:r>
          </w:p>
        </w:tc>
        <w:tc>
          <w:tcPr>
            <w:tcW w:w="1113" w:type="dxa"/>
          </w:tcPr>
          <w:p w:rsidR="007C5447" w:rsidRDefault="00F6308C">
            <w:pPr>
              <w:pStyle w:val="TableParagraph"/>
              <w:spacing w:before="50"/>
              <w:ind w:right="95"/>
              <w:rPr>
                <w:sz w:val="20"/>
              </w:rPr>
            </w:pPr>
            <w:r>
              <w:rPr>
                <w:w w:val="95"/>
                <w:sz w:val="20"/>
              </w:rPr>
              <w:t>2,371.00</w:t>
            </w:r>
          </w:p>
        </w:tc>
        <w:tc>
          <w:tcPr>
            <w:tcW w:w="1111" w:type="dxa"/>
          </w:tcPr>
          <w:p w:rsidR="007C5447" w:rsidRDefault="00F6308C">
            <w:pPr>
              <w:pStyle w:val="TableParagraph"/>
              <w:spacing w:before="50"/>
              <w:ind w:right="92"/>
              <w:rPr>
                <w:sz w:val="20"/>
              </w:rPr>
            </w:pPr>
            <w:r>
              <w:rPr>
                <w:sz w:val="20"/>
              </w:rPr>
              <w:t>503.6</w:t>
            </w:r>
          </w:p>
        </w:tc>
        <w:tc>
          <w:tcPr>
            <w:tcW w:w="1113" w:type="dxa"/>
          </w:tcPr>
          <w:p w:rsidR="007C5447" w:rsidRDefault="00F6308C">
            <w:pPr>
              <w:pStyle w:val="TableParagraph"/>
              <w:spacing w:before="50"/>
              <w:ind w:right="93"/>
              <w:rPr>
                <w:sz w:val="20"/>
              </w:rPr>
            </w:pPr>
            <w:r>
              <w:rPr>
                <w:w w:val="95"/>
                <w:sz w:val="20"/>
              </w:rPr>
              <w:t>2,471.64</w:t>
            </w:r>
          </w:p>
        </w:tc>
        <w:tc>
          <w:tcPr>
            <w:tcW w:w="1114" w:type="dxa"/>
          </w:tcPr>
          <w:p w:rsidR="007C5447" w:rsidRDefault="00F6308C">
            <w:pPr>
              <w:pStyle w:val="TableParagraph"/>
              <w:spacing w:before="50"/>
              <w:ind w:right="93"/>
              <w:rPr>
                <w:sz w:val="20"/>
              </w:rPr>
            </w:pPr>
            <w:r>
              <w:rPr>
                <w:w w:val="95"/>
                <w:sz w:val="20"/>
              </w:rPr>
              <w:t>535.47</w:t>
            </w:r>
          </w:p>
        </w:tc>
        <w:tc>
          <w:tcPr>
            <w:tcW w:w="1113" w:type="dxa"/>
          </w:tcPr>
          <w:p w:rsidR="007C5447" w:rsidRDefault="00F6308C">
            <w:pPr>
              <w:pStyle w:val="TableParagraph"/>
              <w:spacing w:before="50"/>
              <w:ind w:right="93"/>
              <w:rPr>
                <w:sz w:val="20"/>
              </w:rPr>
            </w:pPr>
            <w:r>
              <w:rPr>
                <w:w w:val="95"/>
                <w:sz w:val="20"/>
              </w:rPr>
              <w:t>2,479.52</w:t>
            </w:r>
          </w:p>
        </w:tc>
        <w:tc>
          <w:tcPr>
            <w:tcW w:w="1111" w:type="dxa"/>
          </w:tcPr>
          <w:p w:rsidR="007C5447" w:rsidRDefault="00F6308C">
            <w:pPr>
              <w:pStyle w:val="TableParagraph"/>
              <w:spacing w:before="50"/>
              <w:ind w:right="92"/>
              <w:rPr>
                <w:sz w:val="20"/>
              </w:rPr>
            </w:pPr>
            <w:r>
              <w:rPr>
                <w:w w:val="95"/>
                <w:sz w:val="20"/>
              </w:rPr>
              <w:t>537.67</w:t>
            </w:r>
          </w:p>
        </w:tc>
      </w:tr>
      <w:tr w:rsidR="007C5447">
        <w:trPr>
          <w:trHeight w:val="328"/>
        </w:trPr>
        <w:tc>
          <w:tcPr>
            <w:tcW w:w="708" w:type="dxa"/>
          </w:tcPr>
          <w:p w:rsidR="007C5447" w:rsidRDefault="00F6308C">
            <w:pPr>
              <w:pStyle w:val="TableParagraph"/>
              <w:spacing w:before="50"/>
              <w:ind w:left="254"/>
              <w:jc w:val="left"/>
              <w:rPr>
                <w:sz w:val="20"/>
              </w:rPr>
            </w:pPr>
            <w:r>
              <w:rPr>
                <w:sz w:val="20"/>
              </w:rPr>
              <w:t>13</w:t>
            </w:r>
          </w:p>
        </w:tc>
        <w:tc>
          <w:tcPr>
            <w:tcW w:w="3010" w:type="dxa"/>
          </w:tcPr>
          <w:p w:rsidR="007C5447" w:rsidRDefault="00F6308C">
            <w:pPr>
              <w:pStyle w:val="TableParagraph"/>
              <w:spacing w:before="50"/>
              <w:ind w:left="108"/>
              <w:jc w:val="left"/>
              <w:rPr>
                <w:sz w:val="20"/>
              </w:rPr>
            </w:pPr>
            <w:r>
              <w:rPr>
                <w:sz w:val="20"/>
              </w:rPr>
              <w:t>Kaiga APS</w:t>
            </w:r>
          </w:p>
        </w:tc>
        <w:tc>
          <w:tcPr>
            <w:tcW w:w="1113" w:type="dxa"/>
          </w:tcPr>
          <w:p w:rsidR="007C5447" w:rsidRDefault="00F6308C">
            <w:pPr>
              <w:pStyle w:val="TableParagraph"/>
              <w:spacing w:before="50"/>
              <w:ind w:right="95"/>
              <w:rPr>
                <w:sz w:val="20"/>
              </w:rPr>
            </w:pPr>
            <w:r>
              <w:rPr>
                <w:w w:val="95"/>
                <w:sz w:val="20"/>
              </w:rPr>
              <w:t>1,825.00</w:t>
            </w:r>
          </w:p>
        </w:tc>
        <w:tc>
          <w:tcPr>
            <w:tcW w:w="1111" w:type="dxa"/>
          </w:tcPr>
          <w:p w:rsidR="007C5447" w:rsidRDefault="00F6308C">
            <w:pPr>
              <w:pStyle w:val="TableParagraph"/>
              <w:spacing w:before="50"/>
              <w:ind w:right="92"/>
              <w:rPr>
                <w:sz w:val="20"/>
              </w:rPr>
            </w:pPr>
            <w:r>
              <w:rPr>
                <w:w w:val="95"/>
                <w:sz w:val="20"/>
              </w:rPr>
              <w:t>567.03</w:t>
            </w:r>
          </w:p>
        </w:tc>
        <w:tc>
          <w:tcPr>
            <w:tcW w:w="1113" w:type="dxa"/>
          </w:tcPr>
          <w:p w:rsidR="007C5447" w:rsidRDefault="00F6308C">
            <w:pPr>
              <w:pStyle w:val="TableParagraph"/>
              <w:spacing w:before="50"/>
              <w:ind w:right="93"/>
              <w:rPr>
                <w:sz w:val="20"/>
              </w:rPr>
            </w:pPr>
            <w:r>
              <w:rPr>
                <w:w w:val="95"/>
                <w:sz w:val="20"/>
              </w:rPr>
              <w:t>1,653.89</w:t>
            </w:r>
          </w:p>
        </w:tc>
        <w:tc>
          <w:tcPr>
            <w:tcW w:w="1114" w:type="dxa"/>
          </w:tcPr>
          <w:p w:rsidR="007C5447" w:rsidRDefault="00F6308C">
            <w:pPr>
              <w:pStyle w:val="TableParagraph"/>
              <w:spacing w:before="50"/>
              <w:ind w:right="93"/>
              <w:rPr>
                <w:sz w:val="20"/>
              </w:rPr>
            </w:pPr>
            <w:r>
              <w:rPr>
                <w:w w:val="95"/>
                <w:sz w:val="20"/>
              </w:rPr>
              <w:t>524.14</w:t>
            </w:r>
          </w:p>
        </w:tc>
        <w:tc>
          <w:tcPr>
            <w:tcW w:w="1113" w:type="dxa"/>
          </w:tcPr>
          <w:p w:rsidR="007C5447" w:rsidRDefault="00F6308C">
            <w:pPr>
              <w:pStyle w:val="TableParagraph"/>
              <w:spacing w:before="50"/>
              <w:ind w:right="93"/>
              <w:rPr>
                <w:sz w:val="20"/>
              </w:rPr>
            </w:pPr>
            <w:r>
              <w:rPr>
                <w:w w:val="95"/>
                <w:sz w:val="20"/>
              </w:rPr>
              <w:t>1,653.89</w:t>
            </w:r>
          </w:p>
        </w:tc>
        <w:tc>
          <w:tcPr>
            <w:tcW w:w="1111" w:type="dxa"/>
          </w:tcPr>
          <w:p w:rsidR="007C5447" w:rsidRDefault="00F6308C">
            <w:pPr>
              <w:pStyle w:val="TableParagraph"/>
              <w:spacing w:before="50"/>
              <w:ind w:right="92"/>
              <w:rPr>
                <w:sz w:val="20"/>
              </w:rPr>
            </w:pPr>
            <w:r>
              <w:rPr>
                <w:w w:val="95"/>
                <w:sz w:val="20"/>
              </w:rPr>
              <w:t>524.47</w:t>
            </w:r>
          </w:p>
        </w:tc>
      </w:tr>
      <w:tr w:rsidR="007C5447">
        <w:trPr>
          <w:trHeight w:val="330"/>
        </w:trPr>
        <w:tc>
          <w:tcPr>
            <w:tcW w:w="708" w:type="dxa"/>
          </w:tcPr>
          <w:p w:rsidR="007C5447" w:rsidRDefault="00F6308C">
            <w:pPr>
              <w:pStyle w:val="TableParagraph"/>
              <w:spacing w:before="50"/>
              <w:ind w:left="254"/>
              <w:jc w:val="left"/>
              <w:rPr>
                <w:sz w:val="20"/>
              </w:rPr>
            </w:pPr>
            <w:r>
              <w:rPr>
                <w:sz w:val="20"/>
              </w:rPr>
              <w:t>14</w:t>
            </w:r>
          </w:p>
        </w:tc>
        <w:tc>
          <w:tcPr>
            <w:tcW w:w="3010" w:type="dxa"/>
          </w:tcPr>
          <w:p w:rsidR="007C5447" w:rsidRDefault="00F6308C">
            <w:pPr>
              <w:pStyle w:val="TableParagraph"/>
              <w:spacing w:before="50"/>
              <w:ind w:left="108"/>
              <w:jc w:val="left"/>
              <w:rPr>
                <w:sz w:val="20"/>
              </w:rPr>
            </w:pPr>
            <w:r>
              <w:rPr>
                <w:sz w:val="20"/>
              </w:rPr>
              <w:t>Kudankulam Unit I</w:t>
            </w:r>
          </w:p>
        </w:tc>
        <w:tc>
          <w:tcPr>
            <w:tcW w:w="1113" w:type="dxa"/>
          </w:tcPr>
          <w:p w:rsidR="007C5447" w:rsidRDefault="00F6308C">
            <w:pPr>
              <w:pStyle w:val="TableParagraph"/>
              <w:spacing w:before="50"/>
              <w:ind w:right="95"/>
              <w:rPr>
                <w:sz w:val="20"/>
              </w:rPr>
            </w:pPr>
            <w:r>
              <w:rPr>
                <w:w w:val="95"/>
                <w:sz w:val="20"/>
              </w:rPr>
              <w:t>3,776.54</w:t>
            </w:r>
          </w:p>
        </w:tc>
        <w:tc>
          <w:tcPr>
            <w:tcW w:w="1111" w:type="dxa"/>
          </w:tcPr>
          <w:p w:rsidR="007C5447" w:rsidRDefault="00F6308C">
            <w:pPr>
              <w:pStyle w:val="TableParagraph"/>
              <w:spacing w:before="50"/>
              <w:ind w:right="92"/>
              <w:rPr>
                <w:sz w:val="20"/>
              </w:rPr>
            </w:pPr>
            <w:r>
              <w:rPr>
                <w:w w:val="95"/>
                <w:sz w:val="20"/>
              </w:rPr>
              <w:t>1,491.72</w:t>
            </w:r>
          </w:p>
        </w:tc>
        <w:tc>
          <w:tcPr>
            <w:tcW w:w="1113" w:type="dxa"/>
          </w:tcPr>
          <w:p w:rsidR="007C5447" w:rsidRDefault="00F6308C">
            <w:pPr>
              <w:pStyle w:val="TableParagraph"/>
              <w:spacing w:before="50"/>
              <w:ind w:right="93"/>
              <w:rPr>
                <w:sz w:val="20"/>
              </w:rPr>
            </w:pPr>
            <w:r>
              <w:rPr>
                <w:w w:val="95"/>
                <w:sz w:val="20"/>
              </w:rPr>
              <w:t>3,776.54</w:t>
            </w:r>
          </w:p>
        </w:tc>
        <w:tc>
          <w:tcPr>
            <w:tcW w:w="1114" w:type="dxa"/>
          </w:tcPr>
          <w:p w:rsidR="007C5447" w:rsidRDefault="00F6308C">
            <w:pPr>
              <w:pStyle w:val="TableParagraph"/>
              <w:spacing w:before="50"/>
              <w:ind w:right="94"/>
              <w:rPr>
                <w:sz w:val="20"/>
              </w:rPr>
            </w:pPr>
            <w:r>
              <w:rPr>
                <w:w w:val="95"/>
                <w:sz w:val="20"/>
              </w:rPr>
              <w:t>1,491.72</w:t>
            </w:r>
          </w:p>
        </w:tc>
        <w:tc>
          <w:tcPr>
            <w:tcW w:w="1113" w:type="dxa"/>
          </w:tcPr>
          <w:p w:rsidR="007C5447" w:rsidRDefault="00F6308C">
            <w:pPr>
              <w:pStyle w:val="TableParagraph"/>
              <w:spacing w:before="50"/>
              <w:ind w:right="93"/>
              <w:rPr>
                <w:sz w:val="20"/>
              </w:rPr>
            </w:pPr>
            <w:r>
              <w:rPr>
                <w:w w:val="95"/>
                <w:sz w:val="20"/>
              </w:rPr>
              <w:t>3,776.54</w:t>
            </w:r>
          </w:p>
        </w:tc>
        <w:tc>
          <w:tcPr>
            <w:tcW w:w="1111" w:type="dxa"/>
          </w:tcPr>
          <w:p w:rsidR="007C5447" w:rsidRDefault="00F6308C">
            <w:pPr>
              <w:pStyle w:val="TableParagraph"/>
              <w:spacing w:before="50"/>
              <w:ind w:right="92"/>
              <w:rPr>
                <w:sz w:val="20"/>
              </w:rPr>
            </w:pPr>
            <w:r>
              <w:rPr>
                <w:w w:val="95"/>
                <w:sz w:val="20"/>
              </w:rPr>
              <w:t>1,492.10</w:t>
            </w:r>
          </w:p>
        </w:tc>
      </w:tr>
      <w:tr w:rsidR="007C5447">
        <w:trPr>
          <w:trHeight w:val="330"/>
        </w:trPr>
        <w:tc>
          <w:tcPr>
            <w:tcW w:w="708" w:type="dxa"/>
          </w:tcPr>
          <w:p w:rsidR="007C5447" w:rsidRDefault="00F6308C">
            <w:pPr>
              <w:pStyle w:val="TableParagraph"/>
              <w:spacing w:before="50"/>
              <w:ind w:left="254"/>
              <w:jc w:val="left"/>
              <w:rPr>
                <w:sz w:val="20"/>
              </w:rPr>
            </w:pPr>
            <w:r>
              <w:rPr>
                <w:sz w:val="20"/>
              </w:rPr>
              <w:t>15</w:t>
            </w:r>
          </w:p>
        </w:tc>
        <w:tc>
          <w:tcPr>
            <w:tcW w:w="3010" w:type="dxa"/>
          </w:tcPr>
          <w:p w:rsidR="007C5447" w:rsidRDefault="00F6308C">
            <w:pPr>
              <w:pStyle w:val="TableParagraph"/>
              <w:spacing w:before="50"/>
              <w:ind w:left="108"/>
              <w:jc w:val="left"/>
              <w:rPr>
                <w:sz w:val="20"/>
              </w:rPr>
            </w:pPr>
            <w:r>
              <w:rPr>
                <w:sz w:val="20"/>
              </w:rPr>
              <w:t>Kudankulam Unit II</w:t>
            </w:r>
          </w:p>
        </w:tc>
        <w:tc>
          <w:tcPr>
            <w:tcW w:w="1113" w:type="dxa"/>
          </w:tcPr>
          <w:p w:rsidR="007C5447" w:rsidRDefault="00F6308C">
            <w:pPr>
              <w:pStyle w:val="TableParagraph"/>
              <w:spacing w:before="50"/>
              <w:ind w:right="94"/>
              <w:rPr>
                <w:sz w:val="20"/>
              </w:rPr>
            </w:pPr>
            <w:r>
              <w:rPr>
                <w:w w:val="95"/>
                <w:sz w:val="20"/>
              </w:rPr>
              <w:t>944.14</w:t>
            </w:r>
          </w:p>
        </w:tc>
        <w:tc>
          <w:tcPr>
            <w:tcW w:w="1111" w:type="dxa"/>
          </w:tcPr>
          <w:p w:rsidR="007C5447" w:rsidRDefault="00F6308C">
            <w:pPr>
              <w:pStyle w:val="TableParagraph"/>
              <w:spacing w:before="50"/>
              <w:ind w:right="92"/>
              <w:rPr>
                <w:sz w:val="20"/>
              </w:rPr>
            </w:pPr>
            <w:r>
              <w:rPr>
                <w:w w:val="95"/>
                <w:sz w:val="20"/>
              </w:rPr>
              <w:t>372.93</w:t>
            </w:r>
          </w:p>
        </w:tc>
        <w:tc>
          <w:tcPr>
            <w:tcW w:w="1113" w:type="dxa"/>
          </w:tcPr>
          <w:p w:rsidR="007C5447" w:rsidRDefault="00F6308C">
            <w:pPr>
              <w:pStyle w:val="TableParagraph"/>
              <w:spacing w:before="50"/>
              <w:ind w:right="93"/>
              <w:rPr>
                <w:sz w:val="20"/>
              </w:rPr>
            </w:pPr>
            <w:r>
              <w:rPr>
                <w:w w:val="95"/>
                <w:sz w:val="20"/>
              </w:rPr>
              <w:t>3,776.54</w:t>
            </w:r>
          </w:p>
        </w:tc>
        <w:tc>
          <w:tcPr>
            <w:tcW w:w="1114" w:type="dxa"/>
          </w:tcPr>
          <w:p w:rsidR="007C5447" w:rsidRDefault="00F6308C">
            <w:pPr>
              <w:pStyle w:val="TableParagraph"/>
              <w:spacing w:before="50"/>
              <w:ind w:right="94"/>
              <w:rPr>
                <w:sz w:val="20"/>
              </w:rPr>
            </w:pPr>
            <w:r>
              <w:rPr>
                <w:w w:val="95"/>
                <w:sz w:val="20"/>
              </w:rPr>
              <w:t>1,491.72</w:t>
            </w:r>
          </w:p>
        </w:tc>
        <w:tc>
          <w:tcPr>
            <w:tcW w:w="1113" w:type="dxa"/>
          </w:tcPr>
          <w:p w:rsidR="007C5447" w:rsidRDefault="00F6308C">
            <w:pPr>
              <w:pStyle w:val="TableParagraph"/>
              <w:spacing w:before="50"/>
              <w:ind w:right="93"/>
              <w:rPr>
                <w:sz w:val="20"/>
              </w:rPr>
            </w:pPr>
            <w:r>
              <w:rPr>
                <w:w w:val="95"/>
                <w:sz w:val="20"/>
              </w:rPr>
              <w:t>3,776.54</w:t>
            </w:r>
          </w:p>
        </w:tc>
        <w:tc>
          <w:tcPr>
            <w:tcW w:w="1111" w:type="dxa"/>
          </w:tcPr>
          <w:p w:rsidR="007C5447" w:rsidRDefault="00F6308C">
            <w:pPr>
              <w:pStyle w:val="TableParagraph"/>
              <w:spacing w:before="50"/>
              <w:ind w:right="92"/>
              <w:rPr>
                <w:sz w:val="20"/>
              </w:rPr>
            </w:pPr>
            <w:r>
              <w:rPr>
                <w:w w:val="95"/>
                <w:sz w:val="20"/>
              </w:rPr>
              <w:t>1,492.10</w:t>
            </w:r>
          </w:p>
        </w:tc>
      </w:tr>
      <w:tr w:rsidR="007C5447">
        <w:trPr>
          <w:trHeight w:val="328"/>
        </w:trPr>
        <w:tc>
          <w:tcPr>
            <w:tcW w:w="708" w:type="dxa"/>
          </w:tcPr>
          <w:p w:rsidR="007C5447" w:rsidRDefault="00F6308C">
            <w:pPr>
              <w:pStyle w:val="TableParagraph"/>
              <w:spacing w:before="50"/>
              <w:ind w:left="254"/>
              <w:jc w:val="left"/>
              <w:rPr>
                <w:sz w:val="20"/>
              </w:rPr>
            </w:pPr>
            <w:r>
              <w:rPr>
                <w:sz w:val="20"/>
              </w:rPr>
              <w:t>16</w:t>
            </w:r>
          </w:p>
        </w:tc>
        <w:tc>
          <w:tcPr>
            <w:tcW w:w="3010" w:type="dxa"/>
          </w:tcPr>
          <w:p w:rsidR="007C5447" w:rsidRDefault="00F6308C">
            <w:pPr>
              <w:pStyle w:val="TableParagraph"/>
              <w:spacing w:before="50"/>
              <w:ind w:left="108"/>
              <w:jc w:val="left"/>
              <w:rPr>
                <w:sz w:val="20"/>
              </w:rPr>
            </w:pPr>
            <w:r>
              <w:rPr>
                <w:sz w:val="20"/>
              </w:rPr>
              <w:t>PFBR Kalpakkam</w:t>
            </w:r>
          </w:p>
        </w:tc>
        <w:tc>
          <w:tcPr>
            <w:tcW w:w="1113" w:type="dxa"/>
          </w:tcPr>
          <w:p w:rsidR="007C5447" w:rsidRDefault="007C5447">
            <w:pPr>
              <w:pStyle w:val="TableParagraph"/>
              <w:jc w:val="left"/>
              <w:rPr>
                <w:sz w:val="20"/>
              </w:rPr>
            </w:pPr>
          </w:p>
        </w:tc>
        <w:tc>
          <w:tcPr>
            <w:tcW w:w="1111" w:type="dxa"/>
          </w:tcPr>
          <w:p w:rsidR="007C5447" w:rsidRDefault="007C5447">
            <w:pPr>
              <w:pStyle w:val="TableParagraph"/>
              <w:jc w:val="left"/>
              <w:rPr>
                <w:sz w:val="20"/>
              </w:rPr>
            </w:pPr>
          </w:p>
        </w:tc>
        <w:tc>
          <w:tcPr>
            <w:tcW w:w="1113" w:type="dxa"/>
          </w:tcPr>
          <w:p w:rsidR="007C5447" w:rsidRDefault="00F6308C">
            <w:pPr>
              <w:pStyle w:val="TableParagraph"/>
              <w:spacing w:before="50"/>
              <w:ind w:right="91"/>
              <w:rPr>
                <w:sz w:val="20"/>
              </w:rPr>
            </w:pPr>
            <w:r>
              <w:rPr>
                <w:sz w:val="20"/>
              </w:rPr>
              <w:t>458</w:t>
            </w:r>
          </w:p>
        </w:tc>
        <w:tc>
          <w:tcPr>
            <w:tcW w:w="1114" w:type="dxa"/>
          </w:tcPr>
          <w:p w:rsidR="007C5447" w:rsidRDefault="00F6308C">
            <w:pPr>
              <w:pStyle w:val="TableParagraph"/>
              <w:spacing w:before="50"/>
              <w:ind w:right="93"/>
              <w:rPr>
                <w:sz w:val="20"/>
              </w:rPr>
            </w:pPr>
            <w:r>
              <w:rPr>
                <w:w w:val="95"/>
                <w:sz w:val="20"/>
              </w:rPr>
              <w:t>178.62</w:t>
            </w:r>
          </w:p>
        </w:tc>
        <w:tc>
          <w:tcPr>
            <w:tcW w:w="1113" w:type="dxa"/>
          </w:tcPr>
          <w:p w:rsidR="007C5447" w:rsidRDefault="00F6308C">
            <w:pPr>
              <w:pStyle w:val="TableParagraph"/>
              <w:spacing w:before="50"/>
              <w:ind w:right="93"/>
              <w:rPr>
                <w:sz w:val="20"/>
              </w:rPr>
            </w:pPr>
            <w:r>
              <w:rPr>
                <w:w w:val="95"/>
                <w:sz w:val="20"/>
              </w:rPr>
              <w:t>1,170.34</w:t>
            </w:r>
          </w:p>
        </w:tc>
        <w:tc>
          <w:tcPr>
            <w:tcW w:w="1111" w:type="dxa"/>
          </w:tcPr>
          <w:p w:rsidR="007C5447" w:rsidRDefault="00F6308C">
            <w:pPr>
              <w:pStyle w:val="TableParagraph"/>
              <w:spacing w:before="50"/>
              <w:ind w:right="92"/>
              <w:rPr>
                <w:sz w:val="20"/>
              </w:rPr>
            </w:pPr>
            <w:r>
              <w:rPr>
                <w:w w:val="95"/>
                <w:sz w:val="20"/>
              </w:rPr>
              <w:t>456.43</w:t>
            </w:r>
          </w:p>
        </w:tc>
      </w:tr>
      <w:tr w:rsidR="007C5447">
        <w:trPr>
          <w:trHeight w:val="330"/>
        </w:trPr>
        <w:tc>
          <w:tcPr>
            <w:tcW w:w="708" w:type="dxa"/>
          </w:tcPr>
          <w:p w:rsidR="007C5447" w:rsidRDefault="007C5447">
            <w:pPr>
              <w:pStyle w:val="TableParagraph"/>
              <w:jc w:val="left"/>
              <w:rPr>
                <w:sz w:val="20"/>
              </w:rPr>
            </w:pPr>
          </w:p>
        </w:tc>
        <w:tc>
          <w:tcPr>
            <w:tcW w:w="3010" w:type="dxa"/>
          </w:tcPr>
          <w:p w:rsidR="007C5447" w:rsidRDefault="00F6308C">
            <w:pPr>
              <w:pStyle w:val="TableParagraph"/>
              <w:spacing w:before="50"/>
              <w:ind w:left="108"/>
              <w:jc w:val="left"/>
              <w:rPr>
                <w:b/>
                <w:sz w:val="20"/>
              </w:rPr>
            </w:pPr>
            <w:r>
              <w:rPr>
                <w:b/>
                <w:sz w:val="20"/>
              </w:rPr>
              <w:t>Total Nuclear Stations</w:t>
            </w:r>
          </w:p>
        </w:tc>
        <w:tc>
          <w:tcPr>
            <w:tcW w:w="1113" w:type="dxa"/>
          </w:tcPr>
          <w:p w:rsidR="007C5447" w:rsidRDefault="00F6308C">
            <w:pPr>
              <w:pStyle w:val="TableParagraph"/>
              <w:spacing w:before="50"/>
              <w:ind w:right="95"/>
              <w:rPr>
                <w:b/>
                <w:sz w:val="20"/>
              </w:rPr>
            </w:pPr>
            <w:r>
              <w:rPr>
                <w:b/>
                <w:w w:val="95"/>
                <w:sz w:val="20"/>
              </w:rPr>
              <w:t>8,916.68</w:t>
            </w:r>
          </w:p>
        </w:tc>
        <w:tc>
          <w:tcPr>
            <w:tcW w:w="1111" w:type="dxa"/>
          </w:tcPr>
          <w:p w:rsidR="007C5447" w:rsidRDefault="00F6308C">
            <w:pPr>
              <w:pStyle w:val="TableParagraph"/>
              <w:spacing w:before="50"/>
              <w:ind w:right="92"/>
              <w:rPr>
                <w:b/>
                <w:sz w:val="20"/>
              </w:rPr>
            </w:pPr>
            <w:r>
              <w:rPr>
                <w:b/>
                <w:w w:val="95"/>
                <w:sz w:val="20"/>
              </w:rPr>
              <w:t>2,935.27</w:t>
            </w:r>
          </w:p>
        </w:tc>
        <w:tc>
          <w:tcPr>
            <w:tcW w:w="1113" w:type="dxa"/>
          </w:tcPr>
          <w:p w:rsidR="007C5447" w:rsidRDefault="00F6308C">
            <w:pPr>
              <w:pStyle w:val="TableParagraph"/>
              <w:spacing w:before="50"/>
              <w:ind w:right="93"/>
              <w:rPr>
                <w:b/>
                <w:sz w:val="20"/>
              </w:rPr>
            </w:pPr>
            <w:r>
              <w:rPr>
                <w:b/>
                <w:w w:val="95"/>
                <w:sz w:val="20"/>
              </w:rPr>
              <w:t>12,136.62</w:t>
            </w:r>
          </w:p>
        </w:tc>
        <w:tc>
          <w:tcPr>
            <w:tcW w:w="1114" w:type="dxa"/>
          </w:tcPr>
          <w:p w:rsidR="007C5447" w:rsidRDefault="00F6308C">
            <w:pPr>
              <w:pStyle w:val="TableParagraph"/>
              <w:spacing w:before="50"/>
              <w:ind w:right="94"/>
              <w:rPr>
                <w:b/>
                <w:sz w:val="20"/>
              </w:rPr>
            </w:pPr>
            <w:r>
              <w:rPr>
                <w:b/>
                <w:w w:val="95"/>
                <w:sz w:val="20"/>
              </w:rPr>
              <w:t>4,221.67</w:t>
            </w:r>
          </w:p>
        </w:tc>
        <w:tc>
          <w:tcPr>
            <w:tcW w:w="1113" w:type="dxa"/>
          </w:tcPr>
          <w:p w:rsidR="007C5447" w:rsidRDefault="00F6308C">
            <w:pPr>
              <w:pStyle w:val="TableParagraph"/>
              <w:spacing w:before="50"/>
              <w:ind w:right="93"/>
              <w:rPr>
                <w:b/>
                <w:sz w:val="20"/>
              </w:rPr>
            </w:pPr>
            <w:r>
              <w:rPr>
                <w:b/>
                <w:w w:val="95"/>
                <w:sz w:val="20"/>
              </w:rPr>
              <w:t>12,856.83</w:t>
            </w:r>
          </w:p>
        </w:tc>
        <w:tc>
          <w:tcPr>
            <w:tcW w:w="1111" w:type="dxa"/>
          </w:tcPr>
          <w:p w:rsidR="007C5447" w:rsidRDefault="00F6308C">
            <w:pPr>
              <w:pStyle w:val="TableParagraph"/>
              <w:spacing w:before="50"/>
              <w:ind w:right="92"/>
              <w:rPr>
                <w:b/>
                <w:sz w:val="20"/>
              </w:rPr>
            </w:pPr>
            <w:r>
              <w:rPr>
                <w:b/>
                <w:w w:val="95"/>
                <w:sz w:val="20"/>
              </w:rPr>
              <w:t>4,502.77</w:t>
            </w:r>
          </w:p>
        </w:tc>
      </w:tr>
      <w:tr w:rsidR="007C5447">
        <w:trPr>
          <w:trHeight w:val="330"/>
        </w:trPr>
        <w:tc>
          <w:tcPr>
            <w:tcW w:w="708" w:type="dxa"/>
          </w:tcPr>
          <w:p w:rsidR="007C5447" w:rsidRDefault="007C5447">
            <w:pPr>
              <w:pStyle w:val="TableParagraph"/>
              <w:jc w:val="left"/>
              <w:rPr>
                <w:sz w:val="20"/>
              </w:rPr>
            </w:pPr>
          </w:p>
        </w:tc>
        <w:tc>
          <w:tcPr>
            <w:tcW w:w="3010" w:type="dxa"/>
          </w:tcPr>
          <w:p w:rsidR="007C5447" w:rsidRDefault="00F6308C">
            <w:pPr>
              <w:pStyle w:val="TableParagraph"/>
              <w:spacing w:before="50"/>
              <w:ind w:left="108"/>
              <w:jc w:val="left"/>
              <w:rPr>
                <w:b/>
                <w:sz w:val="20"/>
              </w:rPr>
            </w:pPr>
            <w:r>
              <w:rPr>
                <w:b/>
                <w:sz w:val="20"/>
              </w:rPr>
              <w:t>IPPs</w:t>
            </w:r>
          </w:p>
        </w:tc>
        <w:tc>
          <w:tcPr>
            <w:tcW w:w="1113" w:type="dxa"/>
          </w:tcPr>
          <w:p w:rsidR="007C5447" w:rsidRDefault="007C5447">
            <w:pPr>
              <w:pStyle w:val="TableParagraph"/>
              <w:jc w:val="left"/>
              <w:rPr>
                <w:sz w:val="20"/>
              </w:rPr>
            </w:pPr>
          </w:p>
        </w:tc>
        <w:tc>
          <w:tcPr>
            <w:tcW w:w="1111" w:type="dxa"/>
          </w:tcPr>
          <w:p w:rsidR="007C5447" w:rsidRDefault="007C5447">
            <w:pPr>
              <w:pStyle w:val="TableParagraph"/>
              <w:jc w:val="left"/>
              <w:rPr>
                <w:sz w:val="20"/>
              </w:rPr>
            </w:pPr>
          </w:p>
        </w:tc>
        <w:tc>
          <w:tcPr>
            <w:tcW w:w="1113" w:type="dxa"/>
          </w:tcPr>
          <w:p w:rsidR="007C5447" w:rsidRDefault="007C5447">
            <w:pPr>
              <w:pStyle w:val="TableParagraph"/>
              <w:jc w:val="left"/>
              <w:rPr>
                <w:sz w:val="20"/>
              </w:rPr>
            </w:pPr>
          </w:p>
        </w:tc>
        <w:tc>
          <w:tcPr>
            <w:tcW w:w="1114" w:type="dxa"/>
          </w:tcPr>
          <w:p w:rsidR="007C5447" w:rsidRDefault="007C5447">
            <w:pPr>
              <w:pStyle w:val="TableParagraph"/>
              <w:jc w:val="left"/>
              <w:rPr>
                <w:sz w:val="20"/>
              </w:rPr>
            </w:pPr>
          </w:p>
        </w:tc>
        <w:tc>
          <w:tcPr>
            <w:tcW w:w="1113" w:type="dxa"/>
          </w:tcPr>
          <w:p w:rsidR="007C5447" w:rsidRDefault="007C5447">
            <w:pPr>
              <w:pStyle w:val="TableParagraph"/>
              <w:jc w:val="left"/>
              <w:rPr>
                <w:sz w:val="20"/>
              </w:rPr>
            </w:pPr>
          </w:p>
        </w:tc>
        <w:tc>
          <w:tcPr>
            <w:tcW w:w="1111" w:type="dxa"/>
          </w:tcPr>
          <w:p w:rsidR="007C5447" w:rsidRDefault="007C5447">
            <w:pPr>
              <w:pStyle w:val="TableParagraph"/>
              <w:jc w:val="left"/>
              <w:rPr>
                <w:sz w:val="20"/>
              </w:rPr>
            </w:pPr>
          </w:p>
        </w:tc>
      </w:tr>
      <w:tr w:rsidR="007C5447">
        <w:trPr>
          <w:trHeight w:val="328"/>
        </w:trPr>
        <w:tc>
          <w:tcPr>
            <w:tcW w:w="708" w:type="dxa"/>
          </w:tcPr>
          <w:p w:rsidR="007C5447" w:rsidRDefault="00F6308C">
            <w:pPr>
              <w:pStyle w:val="TableParagraph"/>
              <w:spacing w:before="50"/>
              <w:ind w:left="254"/>
              <w:jc w:val="left"/>
              <w:rPr>
                <w:sz w:val="20"/>
              </w:rPr>
            </w:pPr>
            <w:r>
              <w:rPr>
                <w:sz w:val="20"/>
              </w:rPr>
              <w:t>17</w:t>
            </w:r>
          </w:p>
        </w:tc>
        <w:tc>
          <w:tcPr>
            <w:tcW w:w="3010" w:type="dxa"/>
          </w:tcPr>
          <w:p w:rsidR="007C5447" w:rsidRDefault="00F6308C">
            <w:pPr>
              <w:pStyle w:val="TableParagraph"/>
              <w:spacing w:before="50"/>
              <w:ind w:left="108"/>
              <w:jc w:val="left"/>
              <w:rPr>
                <w:sz w:val="20"/>
              </w:rPr>
            </w:pPr>
            <w:r>
              <w:rPr>
                <w:sz w:val="20"/>
              </w:rPr>
              <w:t>Pillaiperumalnallur</w:t>
            </w:r>
          </w:p>
        </w:tc>
        <w:tc>
          <w:tcPr>
            <w:tcW w:w="1113" w:type="dxa"/>
          </w:tcPr>
          <w:p w:rsidR="007C5447" w:rsidRDefault="00F6308C">
            <w:pPr>
              <w:pStyle w:val="TableParagraph"/>
              <w:spacing w:before="50"/>
              <w:ind w:right="94"/>
              <w:rPr>
                <w:sz w:val="20"/>
              </w:rPr>
            </w:pPr>
            <w:r>
              <w:rPr>
                <w:w w:val="95"/>
                <w:sz w:val="20"/>
              </w:rPr>
              <w:t>159.18</w:t>
            </w:r>
          </w:p>
        </w:tc>
        <w:tc>
          <w:tcPr>
            <w:tcW w:w="1111" w:type="dxa"/>
          </w:tcPr>
          <w:p w:rsidR="007C5447" w:rsidRDefault="00F6308C">
            <w:pPr>
              <w:pStyle w:val="TableParagraph"/>
              <w:spacing w:before="50"/>
              <w:ind w:right="92"/>
              <w:rPr>
                <w:sz w:val="20"/>
              </w:rPr>
            </w:pPr>
            <w:r>
              <w:rPr>
                <w:w w:val="95"/>
                <w:sz w:val="20"/>
              </w:rPr>
              <w:t>346.98</w:t>
            </w:r>
          </w:p>
        </w:tc>
        <w:tc>
          <w:tcPr>
            <w:tcW w:w="1113" w:type="dxa"/>
          </w:tcPr>
          <w:p w:rsidR="007C5447" w:rsidRDefault="00F6308C">
            <w:pPr>
              <w:pStyle w:val="TableParagraph"/>
              <w:spacing w:before="50"/>
              <w:ind w:right="93"/>
              <w:rPr>
                <w:sz w:val="20"/>
              </w:rPr>
            </w:pPr>
            <w:r>
              <w:rPr>
                <w:w w:val="95"/>
                <w:sz w:val="20"/>
              </w:rPr>
              <w:t>159.18</w:t>
            </w:r>
          </w:p>
        </w:tc>
        <w:tc>
          <w:tcPr>
            <w:tcW w:w="1114" w:type="dxa"/>
          </w:tcPr>
          <w:p w:rsidR="007C5447" w:rsidRDefault="00F6308C">
            <w:pPr>
              <w:pStyle w:val="TableParagraph"/>
              <w:spacing w:before="50"/>
              <w:ind w:right="93"/>
              <w:rPr>
                <w:sz w:val="20"/>
              </w:rPr>
            </w:pPr>
            <w:r>
              <w:rPr>
                <w:w w:val="95"/>
                <w:sz w:val="20"/>
              </w:rPr>
              <w:t>353.92</w:t>
            </w:r>
          </w:p>
        </w:tc>
        <w:tc>
          <w:tcPr>
            <w:tcW w:w="1113" w:type="dxa"/>
          </w:tcPr>
          <w:p w:rsidR="007C5447" w:rsidRDefault="00F6308C">
            <w:pPr>
              <w:pStyle w:val="TableParagraph"/>
              <w:spacing w:before="50"/>
              <w:ind w:right="92"/>
              <w:rPr>
                <w:sz w:val="20"/>
              </w:rPr>
            </w:pPr>
            <w:r>
              <w:rPr>
                <w:w w:val="95"/>
                <w:sz w:val="20"/>
              </w:rPr>
              <w:t>159.18</w:t>
            </w:r>
          </w:p>
        </w:tc>
        <w:tc>
          <w:tcPr>
            <w:tcW w:w="1111" w:type="dxa"/>
          </w:tcPr>
          <w:p w:rsidR="007C5447" w:rsidRDefault="00F6308C">
            <w:pPr>
              <w:pStyle w:val="TableParagraph"/>
              <w:spacing w:before="50"/>
              <w:ind w:right="90"/>
              <w:rPr>
                <w:sz w:val="20"/>
              </w:rPr>
            </w:pPr>
            <w:r>
              <w:rPr>
                <w:sz w:val="20"/>
              </w:rPr>
              <w:t>361</w:t>
            </w:r>
          </w:p>
        </w:tc>
      </w:tr>
      <w:tr w:rsidR="007C5447">
        <w:trPr>
          <w:trHeight w:val="330"/>
        </w:trPr>
        <w:tc>
          <w:tcPr>
            <w:tcW w:w="708" w:type="dxa"/>
          </w:tcPr>
          <w:p w:rsidR="007C5447" w:rsidRDefault="00F6308C">
            <w:pPr>
              <w:pStyle w:val="TableParagraph"/>
              <w:spacing w:before="50"/>
              <w:ind w:left="254"/>
              <w:jc w:val="left"/>
              <w:rPr>
                <w:sz w:val="20"/>
              </w:rPr>
            </w:pPr>
            <w:r>
              <w:rPr>
                <w:sz w:val="20"/>
              </w:rPr>
              <w:t>18</w:t>
            </w:r>
          </w:p>
        </w:tc>
        <w:tc>
          <w:tcPr>
            <w:tcW w:w="3010" w:type="dxa"/>
          </w:tcPr>
          <w:p w:rsidR="007C5447" w:rsidRDefault="00F6308C">
            <w:pPr>
              <w:pStyle w:val="TableParagraph"/>
              <w:spacing w:before="50"/>
              <w:ind w:left="108"/>
              <w:jc w:val="left"/>
              <w:rPr>
                <w:sz w:val="20"/>
              </w:rPr>
            </w:pPr>
            <w:r>
              <w:rPr>
                <w:sz w:val="20"/>
              </w:rPr>
              <w:t>TAQA (STCMS)</w:t>
            </w:r>
          </w:p>
        </w:tc>
        <w:tc>
          <w:tcPr>
            <w:tcW w:w="1113" w:type="dxa"/>
          </w:tcPr>
          <w:p w:rsidR="007C5447" w:rsidRDefault="00F6308C">
            <w:pPr>
              <w:pStyle w:val="TableParagraph"/>
              <w:spacing w:before="50"/>
              <w:ind w:right="95"/>
              <w:rPr>
                <w:sz w:val="20"/>
              </w:rPr>
            </w:pPr>
            <w:r>
              <w:rPr>
                <w:w w:val="95"/>
                <w:sz w:val="20"/>
              </w:rPr>
              <w:t>1,104.94</w:t>
            </w:r>
          </w:p>
        </w:tc>
        <w:tc>
          <w:tcPr>
            <w:tcW w:w="1111" w:type="dxa"/>
          </w:tcPr>
          <w:p w:rsidR="007C5447" w:rsidRDefault="00F6308C">
            <w:pPr>
              <w:pStyle w:val="TableParagraph"/>
              <w:spacing w:before="50"/>
              <w:ind w:right="92"/>
              <w:rPr>
                <w:sz w:val="20"/>
              </w:rPr>
            </w:pPr>
            <w:r>
              <w:rPr>
                <w:w w:val="95"/>
                <w:sz w:val="20"/>
              </w:rPr>
              <w:t>515.45</w:t>
            </w:r>
          </w:p>
        </w:tc>
        <w:tc>
          <w:tcPr>
            <w:tcW w:w="1113" w:type="dxa"/>
          </w:tcPr>
          <w:p w:rsidR="007C5447" w:rsidRDefault="00F6308C">
            <w:pPr>
              <w:pStyle w:val="TableParagraph"/>
              <w:spacing w:before="50"/>
              <w:ind w:right="93"/>
              <w:rPr>
                <w:sz w:val="20"/>
              </w:rPr>
            </w:pPr>
            <w:r>
              <w:rPr>
                <w:w w:val="95"/>
                <w:sz w:val="20"/>
              </w:rPr>
              <w:t>1,104.94</w:t>
            </w:r>
          </w:p>
        </w:tc>
        <w:tc>
          <w:tcPr>
            <w:tcW w:w="1114" w:type="dxa"/>
          </w:tcPr>
          <w:p w:rsidR="007C5447" w:rsidRDefault="00F6308C">
            <w:pPr>
              <w:pStyle w:val="TableParagraph"/>
              <w:spacing w:before="50"/>
              <w:ind w:right="93"/>
              <w:rPr>
                <w:sz w:val="20"/>
              </w:rPr>
            </w:pPr>
            <w:r>
              <w:rPr>
                <w:w w:val="95"/>
                <w:sz w:val="20"/>
              </w:rPr>
              <w:t>525.76</w:t>
            </w:r>
          </w:p>
        </w:tc>
        <w:tc>
          <w:tcPr>
            <w:tcW w:w="1113" w:type="dxa"/>
          </w:tcPr>
          <w:p w:rsidR="007C5447" w:rsidRDefault="00F6308C">
            <w:pPr>
              <w:pStyle w:val="TableParagraph"/>
              <w:spacing w:before="50"/>
              <w:ind w:right="93"/>
              <w:rPr>
                <w:sz w:val="20"/>
              </w:rPr>
            </w:pPr>
            <w:r>
              <w:rPr>
                <w:w w:val="95"/>
                <w:sz w:val="20"/>
              </w:rPr>
              <w:t>1,104.94</w:t>
            </w:r>
          </w:p>
        </w:tc>
        <w:tc>
          <w:tcPr>
            <w:tcW w:w="1111" w:type="dxa"/>
          </w:tcPr>
          <w:p w:rsidR="007C5447" w:rsidRDefault="00F6308C">
            <w:pPr>
              <w:pStyle w:val="TableParagraph"/>
              <w:spacing w:before="50"/>
              <w:ind w:right="92"/>
              <w:rPr>
                <w:sz w:val="20"/>
              </w:rPr>
            </w:pPr>
            <w:r>
              <w:rPr>
                <w:w w:val="95"/>
                <w:sz w:val="20"/>
              </w:rPr>
              <w:t>536.27</w:t>
            </w:r>
          </w:p>
        </w:tc>
      </w:tr>
      <w:tr w:rsidR="007C5447">
        <w:trPr>
          <w:trHeight w:val="330"/>
        </w:trPr>
        <w:tc>
          <w:tcPr>
            <w:tcW w:w="708" w:type="dxa"/>
          </w:tcPr>
          <w:p w:rsidR="007C5447" w:rsidRDefault="00F6308C">
            <w:pPr>
              <w:pStyle w:val="TableParagraph"/>
              <w:spacing w:before="50"/>
              <w:ind w:left="254"/>
              <w:jc w:val="left"/>
              <w:rPr>
                <w:sz w:val="20"/>
              </w:rPr>
            </w:pPr>
            <w:r>
              <w:rPr>
                <w:sz w:val="20"/>
              </w:rPr>
              <w:t>19</w:t>
            </w:r>
          </w:p>
        </w:tc>
        <w:tc>
          <w:tcPr>
            <w:tcW w:w="3010" w:type="dxa"/>
          </w:tcPr>
          <w:p w:rsidR="007C5447" w:rsidRDefault="00F6308C">
            <w:pPr>
              <w:pStyle w:val="TableParagraph"/>
              <w:spacing w:before="50"/>
              <w:ind w:left="108"/>
              <w:jc w:val="left"/>
              <w:rPr>
                <w:sz w:val="20"/>
              </w:rPr>
            </w:pPr>
            <w:r>
              <w:rPr>
                <w:sz w:val="20"/>
              </w:rPr>
              <w:t>LANCO Power (Aban co)</w:t>
            </w:r>
          </w:p>
        </w:tc>
        <w:tc>
          <w:tcPr>
            <w:tcW w:w="1113" w:type="dxa"/>
          </w:tcPr>
          <w:p w:rsidR="007C5447" w:rsidRDefault="00F6308C">
            <w:pPr>
              <w:pStyle w:val="TableParagraph"/>
              <w:spacing w:before="50"/>
              <w:ind w:right="94"/>
              <w:rPr>
                <w:sz w:val="20"/>
              </w:rPr>
            </w:pPr>
            <w:r>
              <w:rPr>
                <w:w w:val="95"/>
                <w:sz w:val="20"/>
              </w:rPr>
              <w:t>793.31</w:t>
            </w:r>
          </w:p>
        </w:tc>
        <w:tc>
          <w:tcPr>
            <w:tcW w:w="1111" w:type="dxa"/>
          </w:tcPr>
          <w:p w:rsidR="007C5447" w:rsidRDefault="00F6308C">
            <w:pPr>
              <w:pStyle w:val="TableParagraph"/>
              <w:spacing w:before="50"/>
              <w:ind w:right="92"/>
              <w:rPr>
                <w:sz w:val="20"/>
              </w:rPr>
            </w:pPr>
            <w:r>
              <w:rPr>
                <w:w w:val="95"/>
                <w:sz w:val="20"/>
              </w:rPr>
              <w:t>292.98</w:t>
            </w:r>
          </w:p>
        </w:tc>
        <w:tc>
          <w:tcPr>
            <w:tcW w:w="1113" w:type="dxa"/>
          </w:tcPr>
          <w:p w:rsidR="007C5447" w:rsidRDefault="00F6308C">
            <w:pPr>
              <w:pStyle w:val="TableParagraph"/>
              <w:spacing w:before="50"/>
              <w:ind w:right="93"/>
              <w:rPr>
                <w:sz w:val="20"/>
              </w:rPr>
            </w:pPr>
            <w:r>
              <w:rPr>
                <w:sz w:val="20"/>
              </w:rPr>
              <w:t>793.4</w:t>
            </w:r>
          </w:p>
        </w:tc>
        <w:tc>
          <w:tcPr>
            <w:tcW w:w="1114" w:type="dxa"/>
          </w:tcPr>
          <w:p w:rsidR="007C5447" w:rsidRDefault="00F6308C">
            <w:pPr>
              <w:pStyle w:val="TableParagraph"/>
              <w:spacing w:before="50"/>
              <w:ind w:right="93"/>
              <w:rPr>
                <w:sz w:val="20"/>
              </w:rPr>
            </w:pPr>
            <w:r>
              <w:rPr>
                <w:w w:val="95"/>
                <w:sz w:val="20"/>
              </w:rPr>
              <w:t>298.88</w:t>
            </w:r>
          </w:p>
        </w:tc>
        <w:tc>
          <w:tcPr>
            <w:tcW w:w="1113" w:type="dxa"/>
          </w:tcPr>
          <w:p w:rsidR="007C5447" w:rsidRDefault="00F6308C">
            <w:pPr>
              <w:pStyle w:val="TableParagraph"/>
              <w:spacing w:before="50"/>
              <w:ind w:right="92"/>
              <w:rPr>
                <w:sz w:val="20"/>
              </w:rPr>
            </w:pPr>
            <w:r>
              <w:rPr>
                <w:w w:val="95"/>
                <w:sz w:val="20"/>
              </w:rPr>
              <w:t>793.31</w:t>
            </w:r>
          </w:p>
        </w:tc>
        <w:tc>
          <w:tcPr>
            <w:tcW w:w="1111" w:type="dxa"/>
          </w:tcPr>
          <w:p w:rsidR="007C5447" w:rsidRDefault="00F6308C">
            <w:pPr>
              <w:pStyle w:val="TableParagraph"/>
              <w:spacing w:before="50"/>
              <w:ind w:right="92"/>
              <w:rPr>
                <w:sz w:val="20"/>
              </w:rPr>
            </w:pPr>
            <w:r>
              <w:rPr>
                <w:w w:val="95"/>
                <w:sz w:val="20"/>
              </w:rPr>
              <w:t>304.82</w:t>
            </w:r>
          </w:p>
        </w:tc>
      </w:tr>
      <w:tr w:rsidR="007C5447">
        <w:trPr>
          <w:trHeight w:val="328"/>
        </w:trPr>
        <w:tc>
          <w:tcPr>
            <w:tcW w:w="708" w:type="dxa"/>
          </w:tcPr>
          <w:p w:rsidR="007C5447" w:rsidRDefault="00F6308C">
            <w:pPr>
              <w:pStyle w:val="TableParagraph"/>
              <w:spacing w:before="50"/>
              <w:ind w:left="254"/>
              <w:jc w:val="left"/>
              <w:rPr>
                <w:sz w:val="20"/>
              </w:rPr>
            </w:pPr>
            <w:r>
              <w:rPr>
                <w:sz w:val="20"/>
              </w:rPr>
              <w:t>20</w:t>
            </w:r>
          </w:p>
        </w:tc>
        <w:tc>
          <w:tcPr>
            <w:tcW w:w="3010" w:type="dxa"/>
          </w:tcPr>
          <w:p w:rsidR="007C5447" w:rsidRDefault="00F6308C">
            <w:pPr>
              <w:pStyle w:val="TableParagraph"/>
              <w:spacing w:before="50"/>
              <w:ind w:left="108"/>
              <w:jc w:val="left"/>
              <w:rPr>
                <w:sz w:val="20"/>
              </w:rPr>
            </w:pPr>
            <w:r>
              <w:rPr>
                <w:sz w:val="20"/>
              </w:rPr>
              <w:t>PIONEER Power co. (Penna)</w:t>
            </w:r>
          </w:p>
        </w:tc>
        <w:tc>
          <w:tcPr>
            <w:tcW w:w="1113" w:type="dxa"/>
          </w:tcPr>
          <w:p w:rsidR="007C5447" w:rsidRDefault="00F6308C">
            <w:pPr>
              <w:pStyle w:val="TableParagraph"/>
              <w:spacing w:before="50"/>
              <w:ind w:right="94"/>
              <w:rPr>
                <w:sz w:val="20"/>
              </w:rPr>
            </w:pPr>
            <w:r>
              <w:rPr>
                <w:w w:val="95"/>
                <w:sz w:val="20"/>
              </w:rPr>
              <w:t>370.02</w:t>
            </w:r>
          </w:p>
        </w:tc>
        <w:tc>
          <w:tcPr>
            <w:tcW w:w="1111" w:type="dxa"/>
          </w:tcPr>
          <w:p w:rsidR="007C5447" w:rsidRDefault="00F6308C">
            <w:pPr>
              <w:pStyle w:val="TableParagraph"/>
              <w:spacing w:before="50"/>
              <w:ind w:right="92"/>
              <w:rPr>
                <w:sz w:val="20"/>
              </w:rPr>
            </w:pPr>
            <w:r>
              <w:rPr>
                <w:w w:val="95"/>
                <w:sz w:val="20"/>
              </w:rPr>
              <w:t>134.45</w:t>
            </w:r>
          </w:p>
        </w:tc>
        <w:tc>
          <w:tcPr>
            <w:tcW w:w="1113" w:type="dxa"/>
          </w:tcPr>
          <w:p w:rsidR="007C5447" w:rsidRDefault="00F6308C">
            <w:pPr>
              <w:pStyle w:val="TableParagraph"/>
              <w:spacing w:before="50"/>
              <w:ind w:right="93"/>
              <w:rPr>
                <w:sz w:val="20"/>
              </w:rPr>
            </w:pPr>
            <w:r>
              <w:rPr>
                <w:w w:val="95"/>
                <w:sz w:val="20"/>
              </w:rPr>
              <w:t>370.35</w:t>
            </w:r>
          </w:p>
        </w:tc>
        <w:tc>
          <w:tcPr>
            <w:tcW w:w="1114" w:type="dxa"/>
          </w:tcPr>
          <w:p w:rsidR="007C5447" w:rsidRDefault="00F6308C">
            <w:pPr>
              <w:pStyle w:val="TableParagraph"/>
              <w:spacing w:before="50"/>
              <w:ind w:right="93"/>
              <w:rPr>
                <w:sz w:val="20"/>
              </w:rPr>
            </w:pPr>
            <w:r>
              <w:rPr>
                <w:w w:val="95"/>
                <w:sz w:val="20"/>
              </w:rPr>
              <w:t>137.26</w:t>
            </w:r>
          </w:p>
        </w:tc>
        <w:tc>
          <w:tcPr>
            <w:tcW w:w="1113" w:type="dxa"/>
          </w:tcPr>
          <w:p w:rsidR="007C5447" w:rsidRDefault="00F6308C">
            <w:pPr>
              <w:pStyle w:val="TableParagraph"/>
              <w:spacing w:before="50"/>
              <w:ind w:right="92"/>
              <w:rPr>
                <w:sz w:val="20"/>
              </w:rPr>
            </w:pPr>
            <w:r>
              <w:rPr>
                <w:w w:val="95"/>
                <w:sz w:val="20"/>
              </w:rPr>
              <w:t>370.02</w:t>
            </w:r>
          </w:p>
        </w:tc>
        <w:tc>
          <w:tcPr>
            <w:tcW w:w="1111" w:type="dxa"/>
          </w:tcPr>
          <w:p w:rsidR="007C5447" w:rsidRDefault="00F6308C">
            <w:pPr>
              <w:pStyle w:val="TableParagraph"/>
              <w:spacing w:before="50"/>
              <w:ind w:right="92"/>
              <w:rPr>
                <w:sz w:val="20"/>
              </w:rPr>
            </w:pPr>
            <w:r>
              <w:rPr>
                <w:w w:val="95"/>
                <w:sz w:val="20"/>
              </w:rPr>
              <w:t>139.88</w:t>
            </w:r>
          </w:p>
        </w:tc>
      </w:tr>
      <w:tr w:rsidR="007C5447">
        <w:trPr>
          <w:trHeight w:val="331"/>
        </w:trPr>
        <w:tc>
          <w:tcPr>
            <w:tcW w:w="708" w:type="dxa"/>
          </w:tcPr>
          <w:p w:rsidR="007C5447" w:rsidRDefault="007C5447">
            <w:pPr>
              <w:pStyle w:val="TableParagraph"/>
              <w:jc w:val="left"/>
              <w:rPr>
                <w:sz w:val="20"/>
              </w:rPr>
            </w:pPr>
          </w:p>
        </w:tc>
        <w:tc>
          <w:tcPr>
            <w:tcW w:w="3010" w:type="dxa"/>
          </w:tcPr>
          <w:p w:rsidR="007C5447" w:rsidRDefault="00F6308C">
            <w:pPr>
              <w:pStyle w:val="TableParagraph"/>
              <w:spacing w:before="51"/>
              <w:ind w:left="108"/>
              <w:jc w:val="left"/>
              <w:rPr>
                <w:b/>
                <w:sz w:val="20"/>
              </w:rPr>
            </w:pPr>
            <w:r>
              <w:rPr>
                <w:b/>
                <w:sz w:val="20"/>
              </w:rPr>
              <w:t>Total IPP</w:t>
            </w:r>
          </w:p>
        </w:tc>
        <w:tc>
          <w:tcPr>
            <w:tcW w:w="1113" w:type="dxa"/>
          </w:tcPr>
          <w:p w:rsidR="007C5447" w:rsidRDefault="00F6308C">
            <w:pPr>
              <w:pStyle w:val="TableParagraph"/>
              <w:spacing w:before="51"/>
              <w:ind w:right="95"/>
              <w:rPr>
                <w:b/>
                <w:sz w:val="20"/>
              </w:rPr>
            </w:pPr>
            <w:r>
              <w:rPr>
                <w:b/>
                <w:w w:val="95"/>
                <w:sz w:val="20"/>
              </w:rPr>
              <w:t>2,427.44</w:t>
            </w:r>
          </w:p>
        </w:tc>
        <w:tc>
          <w:tcPr>
            <w:tcW w:w="1111" w:type="dxa"/>
          </w:tcPr>
          <w:p w:rsidR="007C5447" w:rsidRDefault="00F6308C">
            <w:pPr>
              <w:pStyle w:val="TableParagraph"/>
              <w:spacing w:before="51"/>
              <w:ind w:right="92"/>
              <w:rPr>
                <w:b/>
                <w:sz w:val="20"/>
              </w:rPr>
            </w:pPr>
            <w:r>
              <w:rPr>
                <w:b/>
                <w:w w:val="95"/>
                <w:sz w:val="20"/>
              </w:rPr>
              <w:t>1,289.86</w:t>
            </w:r>
          </w:p>
        </w:tc>
        <w:tc>
          <w:tcPr>
            <w:tcW w:w="1113" w:type="dxa"/>
          </w:tcPr>
          <w:p w:rsidR="007C5447" w:rsidRDefault="00F6308C">
            <w:pPr>
              <w:pStyle w:val="TableParagraph"/>
              <w:spacing w:before="51"/>
              <w:ind w:right="93"/>
              <w:rPr>
                <w:b/>
                <w:sz w:val="20"/>
              </w:rPr>
            </w:pPr>
            <w:r>
              <w:rPr>
                <w:b/>
                <w:w w:val="95"/>
                <w:sz w:val="20"/>
              </w:rPr>
              <w:t>2,427.86</w:t>
            </w:r>
          </w:p>
        </w:tc>
        <w:tc>
          <w:tcPr>
            <w:tcW w:w="1114" w:type="dxa"/>
          </w:tcPr>
          <w:p w:rsidR="007C5447" w:rsidRDefault="00F6308C">
            <w:pPr>
              <w:pStyle w:val="TableParagraph"/>
              <w:spacing w:before="51"/>
              <w:ind w:right="93"/>
              <w:rPr>
                <w:b/>
                <w:sz w:val="20"/>
              </w:rPr>
            </w:pPr>
            <w:r>
              <w:rPr>
                <w:b/>
                <w:w w:val="95"/>
                <w:sz w:val="20"/>
              </w:rPr>
              <w:t>1,315.82</w:t>
            </w:r>
          </w:p>
        </w:tc>
        <w:tc>
          <w:tcPr>
            <w:tcW w:w="1113" w:type="dxa"/>
          </w:tcPr>
          <w:p w:rsidR="007C5447" w:rsidRDefault="00F6308C">
            <w:pPr>
              <w:pStyle w:val="TableParagraph"/>
              <w:spacing w:before="51"/>
              <w:ind w:right="93"/>
              <w:rPr>
                <w:b/>
                <w:sz w:val="20"/>
              </w:rPr>
            </w:pPr>
            <w:r>
              <w:rPr>
                <w:b/>
                <w:w w:val="95"/>
                <w:sz w:val="20"/>
              </w:rPr>
              <w:t>2,427.44</w:t>
            </w:r>
          </w:p>
        </w:tc>
        <w:tc>
          <w:tcPr>
            <w:tcW w:w="1111" w:type="dxa"/>
          </w:tcPr>
          <w:p w:rsidR="007C5447" w:rsidRDefault="00F6308C">
            <w:pPr>
              <w:pStyle w:val="TableParagraph"/>
              <w:spacing w:before="51"/>
              <w:ind w:right="92"/>
              <w:rPr>
                <w:b/>
                <w:sz w:val="20"/>
              </w:rPr>
            </w:pPr>
            <w:r>
              <w:rPr>
                <w:b/>
                <w:w w:val="95"/>
                <w:sz w:val="20"/>
              </w:rPr>
              <w:t>1,341.97</w:t>
            </w:r>
          </w:p>
        </w:tc>
      </w:tr>
      <w:tr w:rsidR="007C5447">
        <w:trPr>
          <w:trHeight w:val="330"/>
        </w:trPr>
        <w:tc>
          <w:tcPr>
            <w:tcW w:w="708" w:type="dxa"/>
          </w:tcPr>
          <w:p w:rsidR="007C5447" w:rsidRDefault="00F6308C">
            <w:pPr>
              <w:pStyle w:val="TableParagraph"/>
              <w:spacing w:before="50"/>
              <w:ind w:left="254"/>
              <w:jc w:val="left"/>
              <w:rPr>
                <w:sz w:val="20"/>
              </w:rPr>
            </w:pPr>
            <w:r>
              <w:rPr>
                <w:sz w:val="20"/>
              </w:rPr>
              <w:t>21</w:t>
            </w:r>
          </w:p>
        </w:tc>
        <w:tc>
          <w:tcPr>
            <w:tcW w:w="3010" w:type="dxa"/>
          </w:tcPr>
          <w:p w:rsidR="007C5447" w:rsidRDefault="00F6308C">
            <w:pPr>
              <w:pStyle w:val="TableParagraph"/>
              <w:spacing w:before="50"/>
              <w:ind w:left="108"/>
              <w:jc w:val="left"/>
              <w:rPr>
                <w:sz w:val="20"/>
              </w:rPr>
            </w:pPr>
            <w:r>
              <w:rPr>
                <w:sz w:val="20"/>
              </w:rPr>
              <w:t>Windmill</w:t>
            </w:r>
          </w:p>
        </w:tc>
        <w:tc>
          <w:tcPr>
            <w:tcW w:w="1113" w:type="dxa"/>
          </w:tcPr>
          <w:p w:rsidR="007C5447" w:rsidRDefault="00F6308C">
            <w:pPr>
              <w:pStyle w:val="TableParagraph"/>
              <w:spacing w:before="50"/>
              <w:ind w:right="95"/>
              <w:rPr>
                <w:sz w:val="20"/>
              </w:rPr>
            </w:pPr>
            <w:r>
              <w:rPr>
                <w:w w:val="95"/>
                <w:sz w:val="20"/>
              </w:rPr>
              <w:t>6,944.49</w:t>
            </w:r>
          </w:p>
        </w:tc>
        <w:tc>
          <w:tcPr>
            <w:tcW w:w="1111" w:type="dxa"/>
          </w:tcPr>
          <w:p w:rsidR="007C5447" w:rsidRDefault="00F6308C">
            <w:pPr>
              <w:pStyle w:val="TableParagraph"/>
              <w:spacing w:before="50"/>
              <w:ind w:right="92"/>
              <w:rPr>
                <w:sz w:val="20"/>
              </w:rPr>
            </w:pPr>
            <w:r>
              <w:rPr>
                <w:w w:val="95"/>
                <w:sz w:val="20"/>
              </w:rPr>
              <w:t>2,263.90</w:t>
            </w:r>
          </w:p>
        </w:tc>
        <w:tc>
          <w:tcPr>
            <w:tcW w:w="1113" w:type="dxa"/>
          </w:tcPr>
          <w:p w:rsidR="007C5447" w:rsidRDefault="00F6308C">
            <w:pPr>
              <w:pStyle w:val="TableParagraph"/>
              <w:spacing w:before="50"/>
              <w:ind w:right="93"/>
              <w:rPr>
                <w:sz w:val="20"/>
              </w:rPr>
            </w:pPr>
            <w:r>
              <w:rPr>
                <w:w w:val="95"/>
                <w:sz w:val="20"/>
              </w:rPr>
              <w:t>6,149.52</w:t>
            </w:r>
          </w:p>
        </w:tc>
        <w:tc>
          <w:tcPr>
            <w:tcW w:w="1114" w:type="dxa"/>
          </w:tcPr>
          <w:p w:rsidR="007C5447" w:rsidRDefault="00F6308C">
            <w:pPr>
              <w:pStyle w:val="TableParagraph"/>
              <w:spacing w:before="50"/>
              <w:ind w:right="94"/>
              <w:rPr>
                <w:sz w:val="20"/>
              </w:rPr>
            </w:pPr>
            <w:r>
              <w:rPr>
                <w:w w:val="95"/>
                <w:sz w:val="20"/>
              </w:rPr>
              <w:t>2,044.84</w:t>
            </w:r>
          </w:p>
        </w:tc>
        <w:tc>
          <w:tcPr>
            <w:tcW w:w="1113" w:type="dxa"/>
          </w:tcPr>
          <w:p w:rsidR="007C5447" w:rsidRDefault="00F6308C">
            <w:pPr>
              <w:pStyle w:val="TableParagraph"/>
              <w:spacing w:before="50"/>
              <w:ind w:right="93"/>
              <w:rPr>
                <w:sz w:val="20"/>
              </w:rPr>
            </w:pPr>
            <w:r>
              <w:rPr>
                <w:w w:val="95"/>
                <w:sz w:val="20"/>
              </w:rPr>
              <w:t>6,346.62</w:t>
            </w:r>
          </w:p>
        </w:tc>
        <w:tc>
          <w:tcPr>
            <w:tcW w:w="1111" w:type="dxa"/>
          </w:tcPr>
          <w:p w:rsidR="007C5447" w:rsidRDefault="00F6308C">
            <w:pPr>
              <w:pStyle w:val="TableParagraph"/>
              <w:spacing w:before="50"/>
              <w:ind w:right="92"/>
              <w:rPr>
                <w:sz w:val="20"/>
              </w:rPr>
            </w:pPr>
            <w:r>
              <w:rPr>
                <w:w w:val="95"/>
                <w:sz w:val="20"/>
              </w:rPr>
              <w:t>2,152.59</w:t>
            </w:r>
          </w:p>
        </w:tc>
      </w:tr>
      <w:tr w:rsidR="007C5447">
        <w:trPr>
          <w:trHeight w:val="328"/>
        </w:trPr>
        <w:tc>
          <w:tcPr>
            <w:tcW w:w="708" w:type="dxa"/>
          </w:tcPr>
          <w:p w:rsidR="007C5447" w:rsidRDefault="00F6308C">
            <w:pPr>
              <w:pStyle w:val="TableParagraph"/>
              <w:spacing w:before="50"/>
              <w:ind w:left="254"/>
              <w:jc w:val="left"/>
              <w:rPr>
                <w:sz w:val="20"/>
              </w:rPr>
            </w:pPr>
            <w:r>
              <w:rPr>
                <w:sz w:val="20"/>
              </w:rPr>
              <w:t>22</w:t>
            </w:r>
          </w:p>
        </w:tc>
        <w:tc>
          <w:tcPr>
            <w:tcW w:w="3010" w:type="dxa"/>
          </w:tcPr>
          <w:p w:rsidR="007C5447" w:rsidRDefault="00F6308C">
            <w:pPr>
              <w:pStyle w:val="TableParagraph"/>
              <w:spacing w:before="50"/>
              <w:ind w:left="108"/>
              <w:jc w:val="left"/>
              <w:rPr>
                <w:sz w:val="20"/>
              </w:rPr>
            </w:pPr>
            <w:r>
              <w:rPr>
                <w:sz w:val="20"/>
              </w:rPr>
              <w:t>Co-generation</w:t>
            </w:r>
          </w:p>
        </w:tc>
        <w:tc>
          <w:tcPr>
            <w:tcW w:w="1113" w:type="dxa"/>
          </w:tcPr>
          <w:p w:rsidR="007C5447" w:rsidRDefault="00F6308C">
            <w:pPr>
              <w:pStyle w:val="TableParagraph"/>
              <w:spacing w:before="50"/>
              <w:ind w:right="92"/>
              <w:rPr>
                <w:sz w:val="20"/>
              </w:rPr>
            </w:pPr>
            <w:r>
              <w:rPr>
                <w:sz w:val="20"/>
              </w:rPr>
              <w:t>970</w:t>
            </w:r>
          </w:p>
        </w:tc>
        <w:tc>
          <w:tcPr>
            <w:tcW w:w="1111" w:type="dxa"/>
          </w:tcPr>
          <w:p w:rsidR="007C5447" w:rsidRDefault="00F6308C">
            <w:pPr>
              <w:pStyle w:val="TableParagraph"/>
              <w:spacing w:before="50"/>
              <w:ind w:right="92"/>
              <w:rPr>
                <w:sz w:val="20"/>
              </w:rPr>
            </w:pPr>
            <w:r>
              <w:rPr>
                <w:w w:val="95"/>
                <w:sz w:val="20"/>
              </w:rPr>
              <w:t>399.64</w:t>
            </w:r>
          </w:p>
        </w:tc>
        <w:tc>
          <w:tcPr>
            <w:tcW w:w="1113" w:type="dxa"/>
          </w:tcPr>
          <w:p w:rsidR="007C5447" w:rsidRDefault="00F6308C">
            <w:pPr>
              <w:pStyle w:val="TableParagraph"/>
              <w:spacing w:before="50"/>
              <w:ind w:right="93"/>
              <w:rPr>
                <w:sz w:val="20"/>
              </w:rPr>
            </w:pPr>
            <w:r>
              <w:rPr>
                <w:w w:val="95"/>
                <w:sz w:val="20"/>
              </w:rPr>
              <w:t>970.44</w:t>
            </w:r>
          </w:p>
        </w:tc>
        <w:tc>
          <w:tcPr>
            <w:tcW w:w="1114" w:type="dxa"/>
          </w:tcPr>
          <w:p w:rsidR="007C5447" w:rsidRDefault="00F6308C">
            <w:pPr>
              <w:pStyle w:val="TableParagraph"/>
              <w:spacing w:before="50"/>
              <w:ind w:right="93"/>
              <w:rPr>
                <w:sz w:val="20"/>
              </w:rPr>
            </w:pPr>
            <w:r>
              <w:rPr>
                <w:w w:val="95"/>
                <w:sz w:val="20"/>
              </w:rPr>
              <w:t>407.82</w:t>
            </w:r>
          </w:p>
        </w:tc>
        <w:tc>
          <w:tcPr>
            <w:tcW w:w="1113" w:type="dxa"/>
          </w:tcPr>
          <w:p w:rsidR="007C5447" w:rsidRDefault="00F6308C">
            <w:pPr>
              <w:pStyle w:val="TableParagraph"/>
              <w:spacing w:before="50"/>
              <w:ind w:right="92"/>
              <w:rPr>
                <w:sz w:val="20"/>
              </w:rPr>
            </w:pPr>
            <w:r>
              <w:rPr>
                <w:w w:val="95"/>
                <w:sz w:val="20"/>
              </w:rPr>
              <w:t>970.44</w:t>
            </w:r>
          </w:p>
        </w:tc>
        <w:tc>
          <w:tcPr>
            <w:tcW w:w="1111" w:type="dxa"/>
          </w:tcPr>
          <w:p w:rsidR="007C5447" w:rsidRDefault="00F6308C">
            <w:pPr>
              <w:pStyle w:val="TableParagraph"/>
              <w:spacing w:before="50"/>
              <w:ind w:right="92"/>
              <w:rPr>
                <w:sz w:val="20"/>
              </w:rPr>
            </w:pPr>
            <w:r>
              <w:rPr>
                <w:w w:val="95"/>
                <w:sz w:val="20"/>
              </w:rPr>
              <w:t>415.97</w:t>
            </w:r>
          </w:p>
        </w:tc>
      </w:tr>
      <w:tr w:rsidR="007C5447">
        <w:trPr>
          <w:trHeight w:val="330"/>
        </w:trPr>
        <w:tc>
          <w:tcPr>
            <w:tcW w:w="708" w:type="dxa"/>
          </w:tcPr>
          <w:p w:rsidR="007C5447" w:rsidRDefault="00F6308C">
            <w:pPr>
              <w:pStyle w:val="TableParagraph"/>
              <w:spacing w:before="50"/>
              <w:ind w:left="254"/>
              <w:jc w:val="left"/>
              <w:rPr>
                <w:sz w:val="20"/>
              </w:rPr>
            </w:pPr>
            <w:r>
              <w:rPr>
                <w:sz w:val="20"/>
              </w:rPr>
              <w:t>23</w:t>
            </w:r>
          </w:p>
        </w:tc>
        <w:tc>
          <w:tcPr>
            <w:tcW w:w="3010" w:type="dxa"/>
          </w:tcPr>
          <w:p w:rsidR="007C5447" w:rsidRDefault="00F6308C">
            <w:pPr>
              <w:pStyle w:val="TableParagraph"/>
              <w:spacing w:before="50"/>
              <w:ind w:left="108"/>
              <w:jc w:val="left"/>
              <w:rPr>
                <w:sz w:val="20"/>
              </w:rPr>
            </w:pPr>
            <w:r>
              <w:rPr>
                <w:sz w:val="20"/>
              </w:rPr>
              <w:t>Biomass</w:t>
            </w:r>
          </w:p>
        </w:tc>
        <w:tc>
          <w:tcPr>
            <w:tcW w:w="1113" w:type="dxa"/>
          </w:tcPr>
          <w:p w:rsidR="007C5447" w:rsidRDefault="00F6308C">
            <w:pPr>
              <w:pStyle w:val="TableParagraph"/>
              <w:spacing w:before="50"/>
              <w:ind w:right="92"/>
              <w:rPr>
                <w:sz w:val="20"/>
              </w:rPr>
            </w:pPr>
            <w:r>
              <w:rPr>
                <w:sz w:val="20"/>
              </w:rPr>
              <w:t>20</w:t>
            </w:r>
          </w:p>
        </w:tc>
        <w:tc>
          <w:tcPr>
            <w:tcW w:w="1111" w:type="dxa"/>
          </w:tcPr>
          <w:p w:rsidR="007C5447" w:rsidRDefault="00F6308C">
            <w:pPr>
              <w:pStyle w:val="TableParagraph"/>
              <w:spacing w:before="50"/>
              <w:ind w:right="92"/>
              <w:rPr>
                <w:sz w:val="20"/>
              </w:rPr>
            </w:pPr>
            <w:r>
              <w:rPr>
                <w:w w:val="99"/>
                <w:sz w:val="20"/>
              </w:rPr>
              <w:t>-</w:t>
            </w:r>
          </w:p>
        </w:tc>
        <w:tc>
          <w:tcPr>
            <w:tcW w:w="1113" w:type="dxa"/>
          </w:tcPr>
          <w:p w:rsidR="007C5447" w:rsidRDefault="00F6308C">
            <w:pPr>
              <w:pStyle w:val="TableParagraph"/>
              <w:spacing w:before="50"/>
              <w:ind w:right="91"/>
              <w:rPr>
                <w:sz w:val="20"/>
              </w:rPr>
            </w:pPr>
            <w:r>
              <w:rPr>
                <w:sz w:val="20"/>
              </w:rPr>
              <w:t>20</w:t>
            </w:r>
          </w:p>
        </w:tc>
        <w:tc>
          <w:tcPr>
            <w:tcW w:w="1114" w:type="dxa"/>
          </w:tcPr>
          <w:p w:rsidR="007C5447" w:rsidRDefault="00F6308C">
            <w:pPr>
              <w:pStyle w:val="TableParagraph"/>
              <w:spacing w:before="50"/>
              <w:ind w:right="93"/>
              <w:rPr>
                <w:sz w:val="20"/>
              </w:rPr>
            </w:pPr>
            <w:r>
              <w:rPr>
                <w:sz w:val="20"/>
              </w:rPr>
              <w:t>6.3</w:t>
            </w:r>
          </w:p>
        </w:tc>
        <w:tc>
          <w:tcPr>
            <w:tcW w:w="1113" w:type="dxa"/>
          </w:tcPr>
          <w:p w:rsidR="007C5447" w:rsidRDefault="00F6308C">
            <w:pPr>
              <w:pStyle w:val="TableParagraph"/>
              <w:spacing w:before="50"/>
              <w:ind w:right="90"/>
              <w:rPr>
                <w:sz w:val="20"/>
              </w:rPr>
            </w:pPr>
            <w:r>
              <w:rPr>
                <w:sz w:val="20"/>
              </w:rPr>
              <w:t>20</w:t>
            </w:r>
          </w:p>
        </w:tc>
        <w:tc>
          <w:tcPr>
            <w:tcW w:w="1111" w:type="dxa"/>
          </w:tcPr>
          <w:p w:rsidR="007C5447" w:rsidRDefault="00F6308C">
            <w:pPr>
              <w:pStyle w:val="TableParagraph"/>
              <w:spacing w:before="50"/>
              <w:ind w:right="92"/>
              <w:rPr>
                <w:sz w:val="20"/>
              </w:rPr>
            </w:pPr>
            <w:r>
              <w:rPr>
                <w:sz w:val="20"/>
              </w:rPr>
              <w:t>6.43</w:t>
            </w:r>
          </w:p>
        </w:tc>
      </w:tr>
      <w:tr w:rsidR="007C5447">
        <w:trPr>
          <w:trHeight w:val="330"/>
        </w:trPr>
        <w:tc>
          <w:tcPr>
            <w:tcW w:w="708" w:type="dxa"/>
          </w:tcPr>
          <w:p w:rsidR="007C5447" w:rsidRDefault="00F6308C">
            <w:pPr>
              <w:pStyle w:val="TableParagraph"/>
              <w:spacing w:before="50"/>
              <w:ind w:left="254"/>
              <w:jc w:val="left"/>
              <w:rPr>
                <w:sz w:val="20"/>
              </w:rPr>
            </w:pPr>
            <w:r>
              <w:rPr>
                <w:sz w:val="20"/>
              </w:rPr>
              <w:t>24</w:t>
            </w:r>
          </w:p>
        </w:tc>
        <w:tc>
          <w:tcPr>
            <w:tcW w:w="3010" w:type="dxa"/>
          </w:tcPr>
          <w:p w:rsidR="007C5447" w:rsidRDefault="00F6308C">
            <w:pPr>
              <w:pStyle w:val="TableParagraph"/>
              <w:spacing w:before="50"/>
              <w:ind w:left="108"/>
              <w:jc w:val="left"/>
              <w:rPr>
                <w:sz w:val="20"/>
              </w:rPr>
            </w:pPr>
            <w:r>
              <w:rPr>
                <w:sz w:val="20"/>
              </w:rPr>
              <w:t>Captive generation</w:t>
            </w:r>
          </w:p>
        </w:tc>
        <w:tc>
          <w:tcPr>
            <w:tcW w:w="1113" w:type="dxa"/>
          </w:tcPr>
          <w:p w:rsidR="007C5447" w:rsidRDefault="00F6308C">
            <w:pPr>
              <w:pStyle w:val="TableParagraph"/>
              <w:spacing w:before="50"/>
              <w:ind w:right="94"/>
              <w:rPr>
                <w:sz w:val="20"/>
              </w:rPr>
            </w:pPr>
            <w:r>
              <w:rPr>
                <w:sz w:val="20"/>
              </w:rPr>
              <w:t>38.5</w:t>
            </w:r>
          </w:p>
        </w:tc>
        <w:tc>
          <w:tcPr>
            <w:tcW w:w="1111" w:type="dxa"/>
          </w:tcPr>
          <w:p w:rsidR="007C5447" w:rsidRDefault="00F6308C">
            <w:pPr>
              <w:pStyle w:val="TableParagraph"/>
              <w:spacing w:before="50"/>
              <w:ind w:right="91"/>
              <w:rPr>
                <w:sz w:val="20"/>
              </w:rPr>
            </w:pPr>
            <w:r>
              <w:rPr>
                <w:sz w:val="20"/>
              </w:rPr>
              <w:t>9.24</w:t>
            </w:r>
          </w:p>
        </w:tc>
        <w:tc>
          <w:tcPr>
            <w:tcW w:w="1113" w:type="dxa"/>
          </w:tcPr>
          <w:p w:rsidR="007C5447" w:rsidRDefault="00F6308C">
            <w:pPr>
              <w:pStyle w:val="TableParagraph"/>
              <w:spacing w:before="50"/>
              <w:ind w:right="93"/>
              <w:rPr>
                <w:sz w:val="20"/>
              </w:rPr>
            </w:pPr>
            <w:r>
              <w:rPr>
                <w:sz w:val="20"/>
              </w:rPr>
              <w:t>38.5</w:t>
            </w:r>
          </w:p>
        </w:tc>
        <w:tc>
          <w:tcPr>
            <w:tcW w:w="1114" w:type="dxa"/>
          </w:tcPr>
          <w:p w:rsidR="007C5447" w:rsidRDefault="00F6308C">
            <w:pPr>
              <w:pStyle w:val="TableParagraph"/>
              <w:spacing w:before="50"/>
              <w:ind w:right="93"/>
              <w:rPr>
                <w:sz w:val="20"/>
              </w:rPr>
            </w:pPr>
            <w:r>
              <w:rPr>
                <w:sz w:val="20"/>
              </w:rPr>
              <w:t>9.42</w:t>
            </w:r>
          </w:p>
        </w:tc>
        <w:tc>
          <w:tcPr>
            <w:tcW w:w="1113" w:type="dxa"/>
          </w:tcPr>
          <w:p w:rsidR="007C5447" w:rsidRDefault="00F6308C">
            <w:pPr>
              <w:pStyle w:val="TableParagraph"/>
              <w:spacing w:before="50"/>
              <w:ind w:right="90"/>
              <w:rPr>
                <w:sz w:val="20"/>
              </w:rPr>
            </w:pPr>
            <w:r>
              <w:rPr>
                <w:sz w:val="20"/>
              </w:rPr>
              <w:t>35</w:t>
            </w:r>
          </w:p>
        </w:tc>
        <w:tc>
          <w:tcPr>
            <w:tcW w:w="1111" w:type="dxa"/>
          </w:tcPr>
          <w:p w:rsidR="007C5447" w:rsidRDefault="00F6308C">
            <w:pPr>
              <w:pStyle w:val="TableParagraph"/>
              <w:spacing w:before="50"/>
              <w:ind w:right="92"/>
              <w:rPr>
                <w:sz w:val="20"/>
              </w:rPr>
            </w:pPr>
            <w:r>
              <w:rPr>
                <w:sz w:val="20"/>
              </w:rPr>
              <w:t>8.74</w:t>
            </w:r>
          </w:p>
        </w:tc>
      </w:tr>
      <w:tr w:rsidR="007C5447">
        <w:trPr>
          <w:trHeight w:val="328"/>
        </w:trPr>
        <w:tc>
          <w:tcPr>
            <w:tcW w:w="708" w:type="dxa"/>
          </w:tcPr>
          <w:p w:rsidR="007C5447" w:rsidRDefault="00F6308C">
            <w:pPr>
              <w:pStyle w:val="TableParagraph"/>
              <w:spacing w:before="50"/>
              <w:ind w:left="254"/>
              <w:jc w:val="left"/>
              <w:rPr>
                <w:sz w:val="20"/>
              </w:rPr>
            </w:pPr>
            <w:r>
              <w:rPr>
                <w:sz w:val="20"/>
              </w:rPr>
              <w:t>25</w:t>
            </w:r>
          </w:p>
        </w:tc>
        <w:tc>
          <w:tcPr>
            <w:tcW w:w="3010" w:type="dxa"/>
          </w:tcPr>
          <w:p w:rsidR="007C5447" w:rsidRDefault="00F6308C">
            <w:pPr>
              <w:pStyle w:val="TableParagraph"/>
              <w:spacing w:before="50"/>
              <w:ind w:left="108"/>
              <w:jc w:val="left"/>
              <w:rPr>
                <w:sz w:val="20"/>
              </w:rPr>
            </w:pPr>
            <w:r>
              <w:rPr>
                <w:sz w:val="20"/>
              </w:rPr>
              <w:t>Solar</w:t>
            </w:r>
          </w:p>
        </w:tc>
        <w:tc>
          <w:tcPr>
            <w:tcW w:w="1113" w:type="dxa"/>
          </w:tcPr>
          <w:p w:rsidR="007C5447" w:rsidRDefault="00F6308C">
            <w:pPr>
              <w:pStyle w:val="TableParagraph"/>
              <w:spacing w:before="50"/>
              <w:ind w:right="95"/>
              <w:rPr>
                <w:sz w:val="20"/>
              </w:rPr>
            </w:pPr>
            <w:r>
              <w:rPr>
                <w:w w:val="95"/>
                <w:sz w:val="20"/>
              </w:rPr>
              <w:t>1,505.50</w:t>
            </w:r>
          </w:p>
        </w:tc>
        <w:tc>
          <w:tcPr>
            <w:tcW w:w="1111" w:type="dxa"/>
          </w:tcPr>
          <w:p w:rsidR="007C5447" w:rsidRDefault="00F6308C">
            <w:pPr>
              <w:pStyle w:val="TableParagraph"/>
              <w:spacing w:before="50"/>
              <w:ind w:right="90"/>
              <w:rPr>
                <w:sz w:val="20"/>
              </w:rPr>
            </w:pPr>
            <w:r>
              <w:rPr>
                <w:sz w:val="20"/>
              </w:rPr>
              <w:t>1,031.60</w:t>
            </w:r>
          </w:p>
        </w:tc>
        <w:tc>
          <w:tcPr>
            <w:tcW w:w="1113" w:type="dxa"/>
          </w:tcPr>
          <w:p w:rsidR="007C5447" w:rsidRDefault="00F6308C">
            <w:pPr>
              <w:pStyle w:val="TableParagraph"/>
              <w:spacing w:before="50"/>
              <w:ind w:right="93"/>
              <w:rPr>
                <w:sz w:val="20"/>
              </w:rPr>
            </w:pPr>
            <w:r>
              <w:rPr>
                <w:w w:val="95"/>
                <w:sz w:val="20"/>
              </w:rPr>
              <w:t>2,293.90</w:t>
            </w:r>
          </w:p>
        </w:tc>
        <w:tc>
          <w:tcPr>
            <w:tcW w:w="1114" w:type="dxa"/>
          </w:tcPr>
          <w:p w:rsidR="007C5447" w:rsidRDefault="00F6308C">
            <w:pPr>
              <w:pStyle w:val="TableParagraph"/>
              <w:spacing w:before="50"/>
              <w:ind w:right="94"/>
              <w:rPr>
                <w:sz w:val="20"/>
              </w:rPr>
            </w:pPr>
            <w:r>
              <w:rPr>
                <w:w w:val="95"/>
                <w:sz w:val="20"/>
              </w:rPr>
              <w:t>1,406.09</w:t>
            </w:r>
          </w:p>
        </w:tc>
        <w:tc>
          <w:tcPr>
            <w:tcW w:w="1113" w:type="dxa"/>
          </w:tcPr>
          <w:p w:rsidR="007C5447" w:rsidRDefault="00F6308C">
            <w:pPr>
              <w:pStyle w:val="TableParagraph"/>
              <w:spacing w:before="50"/>
              <w:ind w:right="93"/>
              <w:rPr>
                <w:sz w:val="20"/>
              </w:rPr>
            </w:pPr>
            <w:r>
              <w:rPr>
                <w:w w:val="95"/>
                <w:sz w:val="20"/>
              </w:rPr>
              <w:t>2,525.13</w:t>
            </w:r>
          </w:p>
        </w:tc>
        <w:tc>
          <w:tcPr>
            <w:tcW w:w="1111" w:type="dxa"/>
          </w:tcPr>
          <w:p w:rsidR="007C5447" w:rsidRDefault="00F6308C">
            <w:pPr>
              <w:pStyle w:val="TableParagraph"/>
              <w:spacing w:before="50"/>
              <w:ind w:right="92"/>
              <w:rPr>
                <w:sz w:val="20"/>
              </w:rPr>
            </w:pPr>
            <w:r>
              <w:rPr>
                <w:w w:val="95"/>
                <w:sz w:val="20"/>
              </w:rPr>
              <w:t>1,451.95</w:t>
            </w:r>
          </w:p>
        </w:tc>
      </w:tr>
      <w:tr w:rsidR="007C5447">
        <w:trPr>
          <w:trHeight w:val="330"/>
        </w:trPr>
        <w:tc>
          <w:tcPr>
            <w:tcW w:w="708" w:type="dxa"/>
          </w:tcPr>
          <w:p w:rsidR="007C5447" w:rsidRDefault="00F6308C">
            <w:pPr>
              <w:pStyle w:val="TableParagraph"/>
              <w:spacing w:before="50"/>
              <w:ind w:left="254"/>
              <w:jc w:val="left"/>
              <w:rPr>
                <w:sz w:val="20"/>
              </w:rPr>
            </w:pPr>
            <w:r>
              <w:rPr>
                <w:sz w:val="20"/>
              </w:rPr>
              <w:t>26</w:t>
            </w:r>
          </w:p>
        </w:tc>
        <w:tc>
          <w:tcPr>
            <w:tcW w:w="3010" w:type="dxa"/>
          </w:tcPr>
          <w:p w:rsidR="007C5447" w:rsidRDefault="00F6308C">
            <w:pPr>
              <w:pStyle w:val="TableParagraph"/>
              <w:spacing w:before="50"/>
              <w:ind w:left="108"/>
              <w:jc w:val="left"/>
              <w:rPr>
                <w:sz w:val="20"/>
              </w:rPr>
            </w:pPr>
            <w:r>
              <w:rPr>
                <w:sz w:val="20"/>
              </w:rPr>
              <w:t>Traders-MTOA</w:t>
            </w:r>
          </w:p>
        </w:tc>
        <w:tc>
          <w:tcPr>
            <w:tcW w:w="1113" w:type="dxa"/>
          </w:tcPr>
          <w:p w:rsidR="007C5447" w:rsidRDefault="007C5447">
            <w:pPr>
              <w:pStyle w:val="TableParagraph"/>
              <w:jc w:val="left"/>
              <w:rPr>
                <w:sz w:val="20"/>
              </w:rPr>
            </w:pPr>
          </w:p>
        </w:tc>
        <w:tc>
          <w:tcPr>
            <w:tcW w:w="1111" w:type="dxa"/>
          </w:tcPr>
          <w:p w:rsidR="007C5447" w:rsidRDefault="007C5447">
            <w:pPr>
              <w:pStyle w:val="TableParagraph"/>
              <w:jc w:val="left"/>
              <w:rPr>
                <w:sz w:val="20"/>
              </w:rPr>
            </w:pPr>
          </w:p>
        </w:tc>
        <w:tc>
          <w:tcPr>
            <w:tcW w:w="1113" w:type="dxa"/>
          </w:tcPr>
          <w:p w:rsidR="007C5447" w:rsidRDefault="00F6308C">
            <w:pPr>
              <w:pStyle w:val="TableParagraph"/>
              <w:spacing w:before="50"/>
              <w:ind w:right="93"/>
              <w:rPr>
                <w:sz w:val="20"/>
              </w:rPr>
            </w:pPr>
            <w:r>
              <w:rPr>
                <w:w w:val="95"/>
                <w:sz w:val="20"/>
              </w:rPr>
              <w:t>1,840.40</w:t>
            </w:r>
          </w:p>
        </w:tc>
        <w:tc>
          <w:tcPr>
            <w:tcW w:w="1114" w:type="dxa"/>
          </w:tcPr>
          <w:p w:rsidR="007C5447" w:rsidRDefault="00F6308C">
            <w:pPr>
              <w:pStyle w:val="TableParagraph"/>
              <w:spacing w:before="50"/>
              <w:ind w:right="93"/>
              <w:rPr>
                <w:sz w:val="20"/>
              </w:rPr>
            </w:pPr>
            <w:r>
              <w:rPr>
                <w:w w:val="95"/>
                <w:sz w:val="20"/>
              </w:rPr>
              <w:t>554.33</w:t>
            </w:r>
          </w:p>
        </w:tc>
        <w:tc>
          <w:tcPr>
            <w:tcW w:w="1113" w:type="dxa"/>
          </w:tcPr>
          <w:p w:rsidR="007C5447" w:rsidRDefault="007C5447">
            <w:pPr>
              <w:pStyle w:val="TableParagraph"/>
              <w:jc w:val="left"/>
              <w:rPr>
                <w:sz w:val="20"/>
              </w:rPr>
            </w:pPr>
          </w:p>
        </w:tc>
        <w:tc>
          <w:tcPr>
            <w:tcW w:w="1111" w:type="dxa"/>
          </w:tcPr>
          <w:p w:rsidR="007C5447" w:rsidRDefault="007C5447">
            <w:pPr>
              <w:pStyle w:val="TableParagraph"/>
              <w:jc w:val="left"/>
              <w:rPr>
                <w:sz w:val="20"/>
              </w:rPr>
            </w:pPr>
          </w:p>
        </w:tc>
      </w:tr>
    </w:tbl>
    <w:p w:rsidR="007C5447" w:rsidRDefault="007C5447">
      <w:pPr>
        <w:rPr>
          <w:sz w:val="20"/>
        </w:rPr>
        <w:sectPr w:rsidR="007C5447">
          <w:pgSz w:w="11910" w:h="16840"/>
          <w:pgMar w:top="1360" w:right="260" w:bottom="1240" w:left="340" w:header="0" w:footer="1057" w:gutter="0"/>
          <w:cols w:space="720"/>
        </w:sectPr>
      </w:pPr>
    </w:p>
    <w:tbl>
      <w:tblPr>
        <w:tblW w:w="0" w:type="auto"/>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3010"/>
        <w:gridCol w:w="1113"/>
        <w:gridCol w:w="1111"/>
        <w:gridCol w:w="1113"/>
        <w:gridCol w:w="1114"/>
        <w:gridCol w:w="1113"/>
        <w:gridCol w:w="1111"/>
      </w:tblGrid>
      <w:tr w:rsidR="007C5447">
        <w:trPr>
          <w:trHeight w:val="328"/>
        </w:trPr>
        <w:tc>
          <w:tcPr>
            <w:tcW w:w="708" w:type="dxa"/>
            <w:vMerge w:val="restart"/>
            <w:shd w:val="clear" w:color="auto" w:fill="F7C9AC"/>
          </w:tcPr>
          <w:p w:rsidR="007C5447" w:rsidRDefault="007C5447">
            <w:pPr>
              <w:pStyle w:val="TableParagraph"/>
              <w:spacing w:before="2"/>
              <w:jc w:val="left"/>
              <w:rPr>
                <w:b/>
                <w:sz w:val="32"/>
              </w:rPr>
            </w:pPr>
          </w:p>
          <w:p w:rsidR="007C5447" w:rsidRDefault="00F6308C">
            <w:pPr>
              <w:pStyle w:val="TableParagraph"/>
              <w:ind w:left="97" w:right="91"/>
              <w:jc w:val="center"/>
              <w:rPr>
                <w:b/>
                <w:sz w:val="20"/>
              </w:rPr>
            </w:pPr>
            <w:r>
              <w:rPr>
                <w:b/>
                <w:sz w:val="20"/>
              </w:rPr>
              <w:t>Sl.</w:t>
            </w:r>
          </w:p>
        </w:tc>
        <w:tc>
          <w:tcPr>
            <w:tcW w:w="3010" w:type="dxa"/>
            <w:vMerge w:val="restart"/>
            <w:shd w:val="clear" w:color="auto" w:fill="F7C9AC"/>
          </w:tcPr>
          <w:p w:rsidR="007C5447" w:rsidRDefault="007C5447">
            <w:pPr>
              <w:pStyle w:val="TableParagraph"/>
              <w:spacing w:before="2"/>
              <w:jc w:val="left"/>
              <w:rPr>
                <w:b/>
                <w:sz w:val="32"/>
              </w:rPr>
            </w:pPr>
          </w:p>
          <w:p w:rsidR="007C5447" w:rsidRDefault="00F6308C">
            <w:pPr>
              <w:pStyle w:val="TableParagraph"/>
              <w:ind w:left="816"/>
              <w:jc w:val="left"/>
              <w:rPr>
                <w:b/>
                <w:sz w:val="20"/>
              </w:rPr>
            </w:pPr>
            <w:r>
              <w:rPr>
                <w:b/>
                <w:sz w:val="20"/>
              </w:rPr>
              <w:t>Name of Station</w:t>
            </w:r>
          </w:p>
        </w:tc>
        <w:tc>
          <w:tcPr>
            <w:tcW w:w="2224" w:type="dxa"/>
            <w:gridSpan w:val="2"/>
            <w:tcBorders>
              <w:bottom w:val="single" w:sz="6" w:space="0" w:color="000000"/>
            </w:tcBorders>
            <w:shd w:val="clear" w:color="auto" w:fill="F7C9AC"/>
          </w:tcPr>
          <w:p w:rsidR="007C5447" w:rsidRDefault="00F6308C">
            <w:pPr>
              <w:pStyle w:val="TableParagraph"/>
              <w:spacing w:before="50"/>
              <w:ind w:left="622"/>
              <w:jc w:val="left"/>
              <w:rPr>
                <w:b/>
                <w:sz w:val="20"/>
              </w:rPr>
            </w:pPr>
            <w:r>
              <w:rPr>
                <w:b/>
                <w:sz w:val="20"/>
              </w:rPr>
              <w:t>FY 2016-17</w:t>
            </w:r>
          </w:p>
        </w:tc>
        <w:tc>
          <w:tcPr>
            <w:tcW w:w="2227" w:type="dxa"/>
            <w:gridSpan w:val="2"/>
            <w:tcBorders>
              <w:bottom w:val="single" w:sz="6" w:space="0" w:color="000000"/>
            </w:tcBorders>
            <w:shd w:val="clear" w:color="auto" w:fill="F7C9AC"/>
          </w:tcPr>
          <w:p w:rsidR="007C5447" w:rsidRDefault="00F6308C">
            <w:pPr>
              <w:pStyle w:val="TableParagraph"/>
              <w:spacing w:before="50"/>
              <w:ind w:left="623"/>
              <w:jc w:val="left"/>
              <w:rPr>
                <w:b/>
                <w:sz w:val="20"/>
              </w:rPr>
            </w:pPr>
            <w:r>
              <w:rPr>
                <w:b/>
                <w:sz w:val="20"/>
              </w:rPr>
              <w:t>FY 2017-18</w:t>
            </w:r>
          </w:p>
        </w:tc>
        <w:tc>
          <w:tcPr>
            <w:tcW w:w="2224" w:type="dxa"/>
            <w:gridSpan w:val="2"/>
            <w:tcBorders>
              <w:bottom w:val="single" w:sz="6" w:space="0" w:color="000000"/>
            </w:tcBorders>
            <w:shd w:val="clear" w:color="auto" w:fill="F7C9AC"/>
          </w:tcPr>
          <w:p w:rsidR="007C5447" w:rsidRDefault="00F6308C">
            <w:pPr>
              <w:pStyle w:val="TableParagraph"/>
              <w:spacing w:before="50"/>
              <w:ind w:left="624"/>
              <w:jc w:val="left"/>
              <w:rPr>
                <w:b/>
                <w:sz w:val="20"/>
              </w:rPr>
            </w:pPr>
            <w:r>
              <w:rPr>
                <w:b/>
                <w:sz w:val="20"/>
              </w:rPr>
              <w:t>FY 2018-19</w:t>
            </w:r>
          </w:p>
        </w:tc>
      </w:tr>
      <w:tr w:rsidR="007C5447">
        <w:trPr>
          <w:trHeight w:val="626"/>
        </w:trPr>
        <w:tc>
          <w:tcPr>
            <w:tcW w:w="708" w:type="dxa"/>
            <w:vMerge/>
            <w:tcBorders>
              <w:top w:val="nil"/>
            </w:tcBorders>
            <w:shd w:val="clear" w:color="auto" w:fill="F7C9AC"/>
          </w:tcPr>
          <w:p w:rsidR="007C5447" w:rsidRDefault="007C5447">
            <w:pPr>
              <w:rPr>
                <w:sz w:val="2"/>
                <w:szCs w:val="2"/>
              </w:rPr>
            </w:pPr>
          </w:p>
        </w:tc>
        <w:tc>
          <w:tcPr>
            <w:tcW w:w="3010" w:type="dxa"/>
            <w:vMerge/>
            <w:tcBorders>
              <w:top w:val="nil"/>
            </w:tcBorders>
            <w:shd w:val="clear" w:color="auto" w:fill="F7C9AC"/>
          </w:tcPr>
          <w:p w:rsidR="007C5447" w:rsidRDefault="007C5447">
            <w:pPr>
              <w:rPr>
                <w:sz w:val="2"/>
                <w:szCs w:val="2"/>
              </w:rPr>
            </w:pPr>
          </w:p>
        </w:tc>
        <w:tc>
          <w:tcPr>
            <w:tcW w:w="1113" w:type="dxa"/>
            <w:tcBorders>
              <w:top w:val="single" w:sz="6" w:space="0" w:color="000000"/>
            </w:tcBorders>
            <w:shd w:val="clear" w:color="auto" w:fill="F7C9AC"/>
          </w:tcPr>
          <w:p w:rsidR="007C5447" w:rsidRDefault="00F6308C">
            <w:pPr>
              <w:pStyle w:val="TableParagraph"/>
              <w:spacing w:before="82"/>
              <w:ind w:left="324" w:right="292" w:firstLine="72"/>
              <w:jc w:val="left"/>
              <w:rPr>
                <w:b/>
                <w:sz w:val="20"/>
              </w:rPr>
            </w:pPr>
            <w:r>
              <w:rPr>
                <w:b/>
                <w:sz w:val="20"/>
              </w:rPr>
              <w:t>Qty (MU)</w:t>
            </w:r>
          </w:p>
        </w:tc>
        <w:tc>
          <w:tcPr>
            <w:tcW w:w="1111" w:type="dxa"/>
            <w:tcBorders>
              <w:top w:val="single" w:sz="6" w:space="0" w:color="000000"/>
            </w:tcBorders>
            <w:shd w:val="clear" w:color="auto" w:fill="F7C9AC"/>
          </w:tcPr>
          <w:p w:rsidR="007C5447" w:rsidRDefault="00F6308C">
            <w:pPr>
              <w:pStyle w:val="TableParagraph"/>
              <w:spacing w:before="82"/>
              <w:ind w:left="188" w:right="78" w:hanging="80"/>
              <w:jc w:val="left"/>
              <w:rPr>
                <w:b/>
                <w:sz w:val="20"/>
              </w:rPr>
            </w:pPr>
            <w:r>
              <w:rPr>
                <w:b/>
                <w:sz w:val="20"/>
              </w:rPr>
              <w:t>Total Cost (Rs. Cr.)</w:t>
            </w:r>
          </w:p>
        </w:tc>
        <w:tc>
          <w:tcPr>
            <w:tcW w:w="1113" w:type="dxa"/>
            <w:tcBorders>
              <w:top w:val="single" w:sz="6" w:space="0" w:color="000000"/>
            </w:tcBorders>
            <w:shd w:val="clear" w:color="auto" w:fill="F7C9AC"/>
          </w:tcPr>
          <w:p w:rsidR="007C5447" w:rsidRDefault="00F6308C">
            <w:pPr>
              <w:pStyle w:val="TableParagraph"/>
              <w:spacing w:before="82"/>
              <w:ind w:left="325" w:right="291" w:firstLine="72"/>
              <w:jc w:val="left"/>
              <w:rPr>
                <w:b/>
                <w:sz w:val="20"/>
              </w:rPr>
            </w:pPr>
            <w:r>
              <w:rPr>
                <w:b/>
                <w:sz w:val="20"/>
              </w:rPr>
              <w:t>Qty (MU)</w:t>
            </w:r>
          </w:p>
        </w:tc>
        <w:tc>
          <w:tcPr>
            <w:tcW w:w="1114" w:type="dxa"/>
            <w:tcBorders>
              <w:top w:val="single" w:sz="6" w:space="0" w:color="000000"/>
            </w:tcBorders>
            <w:shd w:val="clear" w:color="auto" w:fill="F7C9AC"/>
          </w:tcPr>
          <w:p w:rsidR="007C5447" w:rsidRDefault="00F6308C">
            <w:pPr>
              <w:pStyle w:val="TableParagraph"/>
              <w:spacing w:before="82"/>
              <w:ind w:left="189" w:right="80" w:hanging="80"/>
              <w:jc w:val="left"/>
              <w:rPr>
                <w:b/>
                <w:sz w:val="20"/>
              </w:rPr>
            </w:pPr>
            <w:r>
              <w:rPr>
                <w:b/>
                <w:sz w:val="20"/>
              </w:rPr>
              <w:t>Total Cost (Rs. Cr.)</w:t>
            </w:r>
          </w:p>
        </w:tc>
        <w:tc>
          <w:tcPr>
            <w:tcW w:w="1113" w:type="dxa"/>
            <w:tcBorders>
              <w:top w:val="single" w:sz="6" w:space="0" w:color="000000"/>
            </w:tcBorders>
            <w:shd w:val="clear" w:color="auto" w:fill="F7C9AC"/>
          </w:tcPr>
          <w:p w:rsidR="007C5447" w:rsidRDefault="00F6308C">
            <w:pPr>
              <w:pStyle w:val="TableParagraph"/>
              <w:spacing w:before="82"/>
              <w:ind w:left="350" w:right="266" w:firstLine="48"/>
              <w:jc w:val="left"/>
              <w:rPr>
                <w:b/>
                <w:sz w:val="20"/>
              </w:rPr>
            </w:pPr>
            <w:r>
              <w:rPr>
                <w:b/>
                <w:sz w:val="20"/>
              </w:rPr>
              <w:t>Qty (MU)</w:t>
            </w:r>
          </w:p>
        </w:tc>
        <w:tc>
          <w:tcPr>
            <w:tcW w:w="1111" w:type="dxa"/>
            <w:tcBorders>
              <w:top w:val="single" w:sz="6" w:space="0" w:color="000000"/>
            </w:tcBorders>
            <w:shd w:val="clear" w:color="auto" w:fill="F7C9AC"/>
          </w:tcPr>
          <w:p w:rsidR="007C5447" w:rsidRDefault="00F6308C">
            <w:pPr>
              <w:pStyle w:val="TableParagraph"/>
              <w:spacing w:before="82"/>
              <w:ind w:left="187" w:right="79" w:hanging="80"/>
              <w:jc w:val="left"/>
              <w:rPr>
                <w:b/>
                <w:sz w:val="20"/>
              </w:rPr>
            </w:pPr>
            <w:r>
              <w:rPr>
                <w:b/>
                <w:sz w:val="20"/>
              </w:rPr>
              <w:t>Total Cost (Rs. Cr.)</w:t>
            </w:r>
          </w:p>
        </w:tc>
      </w:tr>
      <w:tr w:rsidR="007C5447">
        <w:trPr>
          <w:trHeight w:val="330"/>
        </w:trPr>
        <w:tc>
          <w:tcPr>
            <w:tcW w:w="708" w:type="dxa"/>
          </w:tcPr>
          <w:p w:rsidR="007C5447" w:rsidRDefault="00F6308C">
            <w:pPr>
              <w:pStyle w:val="TableParagraph"/>
              <w:spacing w:before="50"/>
              <w:ind w:left="97" w:right="85"/>
              <w:jc w:val="center"/>
              <w:rPr>
                <w:sz w:val="20"/>
              </w:rPr>
            </w:pPr>
            <w:r>
              <w:rPr>
                <w:sz w:val="20"/>
              </w:rPr>
              <w:t>27</w:t>
            </w:r>
          </w:p>
        </w:tc>
        <w:tc>
          <w:tcPr>
            <w:tcW w:w="3010" w:type="dxa"/>
          </w:tcPr>
          <w:p w:rsidR="007C5447" w:rsidRDefault="00F6308C">
            <w:pPr>
              <w:pStyle w:val="TableParagraph"/>
              <w:spacing w:before="50"/>
              <w:ind w:left="108"/>
              <w:jc w:val="left"/>
              <w:rPr>
                <w:sz w:val="20"/>
              </w:rPr>
            </w:pPr>
            <w:r>
              <w:rPr>
                <w:sz w:val="20"/>
              </w:rPr>
              <w:t>Traders-LTOA</w:t>
            </w:r>
          </w:p>
        </w:tc>
        <w:tc>
          <w:tcPr>
            <w:tcW w:w="1113" w:type="dxa"/>
          </w:tcPr>
          <w:p w:rsidR="007C5447" w:rsidRDefault="00F6308C">
            <w:pPr>
              <w:pStyle w:val="TableParagraph"/>
              <w:spacing w:before="50"/>
              <w:ind w:right="95"/>
              <w:rPr>
                <w:sz w:val="20"/>
              </w:rPr>
            </w:pPr>
            <w:r>
              <w:rPr>
                <w:w w:val="95"/>
                <w:sz w:val="20"/>
              </w:rPr>
              <w:t>8,822.84</w:t>
            </w:r>
          </w:p>
        </w:tc>
        <w:tc>
          <w:tcPr>
            <w:tcW w:w="1111" w:type="dxa"/>
          </w:tcPr>
          <w:p w:rsidR="007C5447" w:rsidRDefault="00F6308C">
            <w:pPr>
              <w:pStyle w:val="TableParagraph"/>
              <w:spacing w:before="50"/>
              <w:ind w:right="92"/>
              <w:rPr>
                <w:sz w:val="20"/>
              </w:rPr>
            </w:pPr>
            <w:r>
              <w:rPr>
                <w:w w:val="95"/>
                <w:sz w:val="20"/>
              </w:rPr>
              <w:t>3,923.08</w:t>
            </w:r>
          </w:p>
        </w:tc>
        <w:tc>
          <w:tcPr>
            <w:tcW w:w="1113" w:type="dxa"/>
          </w:tcPr>
          <w:p w:rsidR="007C5447" w:rsidRDefault="00F6308C">
            <w:pPr>
              <w:pStyle w:val="TableParagraph"/>
              <w:spacing w:before="50"/>
              <w:ind w:right="93"/>
              <w:rPr>
                <w:sz w:val="20"/>
              </w:rPr>
            </w:pPr>
            <w:r>
              <w:rPr>
                <w:w w:val="95"/>
                <w:sz w:val="20"/>
              </w:rPr>
              <w:t>8,044.49</w:t>
            </w:r>
          </w:p>
        </w:tc>
        <w:tc>
          <w:tcPr>
            <w:tcW w:w="1114" w:type="dxa"/>
          </w:tcPr>
          <w:p w:rsidR="007C5447" w:rsidRDefault="00F6308C">
            <w:pPr>
              <w:pStyle w:val="TableParagraph"/>
              <w:spacing w:before="50"/>
              <w:ind w:right="94"/>
              <w:rPr>
                <w:sz w:val="20"/>
              </w:rPr>
            </w:pPr>
            <w:r>
              <w:rPr>
                <w:w w:val="95"/>
                <w:sz w:val="20"/>
              </w:rPr>
              <w:t>3,830.79</w:t>
            </w:r>
          </w:p>
        </w:tc>
        <w:tc>
          <w:tcPr>
            <w:tcW w:w="1113" w:type="dxa"/>
          </w:tcPr>
          <w:p w:rsidR="007C5447" w:rsidRDefault="00F6308C">
            <w:pPr>
              <w:pStyle w:val="TableParagraph"/>
              <w:spacing w:before="50"/>
              <w:ind w:right="93"/>
              <w:rPr>
                <w:sz w:val="20"/>
              </w:rPr>
            </w:pPr>
            <w:r>
              <w:rPr>
                <w:w w:val="95"/>
                <w:sz w:val="20"/>
              </w:rPr>
              <w:t>15,230.28</w:t>
            </w:r>
          </w:p>
        </w:tc>
        <w:tc>
          <w:tcPr>
            <w:tcW w:w="1111" w:type="dxa"/>
          </w:tcPr>
          <w:p w:rsidR="007C5447" w:rsidRDefault="00F6308C">
            <w:pPr>
              <w:pStyle w:val="TableParagraph"/>
              <w:spacing w:before="50"/>
              <w:ind w:right="92"/>
              <w:rPr>
                <w:sz w:val="20"/>
              </w:rPr>
            </w:pPr>
            <w:r>
              <w:rPr>
                <w:w w:val="95"/>
                <w:sz w:val="20"/>
              </w:rPr>
              <w:t>7,045.83</w:t>
            </w:r>
          </w:p>
        </w:tc>
      </w:tr>
      <w:tr w:rsidR="007C5447">
        <w:trPr>
          <w:trHeight w:val="330"/>
        </w:trPr>
        <w:tc>
          <w:tcPr>
            <w:tcW w:w="708" w:type="dxa"/>
          </w:tcPr>
          <w:p w:rsidR="007C5447" w:rsidRDefault="00F6308C">
            <w:pPr>
              <w:pStyle w:val="TableParagraph"/>
              <w:spacing w:before="50"/>
              <w:ind w:left="97" w:right="85"/>
              <w:jc w:val="center"/>
              <w:rPr>
                <w:sz w:val="20"/>
              </w:rPr>
            </w:pPr>
            <w:r>
              <w:rPr>
                <w:sz w:val="20"/>
              </w:rPr>
              <w:t>28</w:t>
            </w:r>
          </w:p>
        </w:tc>
        <w:tc>
          <w:tcPr>
            <w:tcW w:w="3010" w:type="dxa"/>
          </w:tcPr>
          <w:p w:rsidR="007C5447" w:rsidRDefault="00F6308C">
            <w:pPr>
              <w:pStyle w:val="TableParagraph"/>
              <w:spacing w:before="50"/>
              <w:ind w:left="108"/>
              <w:jc w:val="left"/>
              <w:rPr>
                <w:sz w:val="20"/>
              </w:rPr>
            </w:pPr>
            <w:r>
              <w:rPr>
                <w:sz w:val="20"/>
              </w:rPr>
              <w:t>Traders -STOA</w:t>
            </w:r>
          </w:p>
        </w:tc>
        <w:tc>
          <w:tcPr>
            <w:tcW w:w="1113" w:type="dxa"/>
          </w:tcPr>
          <w:p w:rsidR="007C5447" w:rsidRDefault="00F6308C">
            <w:pPr>
              <w:pStyle w:val="TableParagraph"/>
              <w:spacing w:before="50"/>
              <w:ind w:right="94"/>
              <w:rPr>
                <w:sz w:val="20"/>
              </w:rPr>
            </w:pPr>
            <w:r>
              <w:rPr>
                <w:w w:val="95"/>
                <w:sz w:val="20"/>
              </w:rPr>
              <w:t>250.62</w:t>
            </w:r>
          </w:p>
        </w:tc>
        <w:tc>
          <w:tcPr>
            <w:tcW w:w="1111" w:type="dxa"/>
          </w:tcPr>
          <w:p w:rsidR="007C5447" w:rsidRDefault="00F6308C">
            <w:pPr>
              <w:pStyle w:val="TableParagraph"/>
              <w:spacing w:before="50"/>
              <w:ind w:right="92"/>
              <w:rPr>
                <w:sz w:val="20"/>
              </w:rPr>
            </w:pPr>
            <w:r>
              <w:rPr>
                <w:sz w:val="20"/>
              </w:rPr>
              <w:t>96.49</w:t>
            </w:r>
          </w:p>
        </w:tc>
        <w:tc>
          <w:tcPr>
            <w:tcW w:w="1113" w:type="dxa"/>
          </w:tcPr>
          <w:p w:rsidR="007C5447" w:rsidRDefault="00F6308C">
            <w:pPr>
              <w:pStyle w:val="TableParagraph"/>
              <w:spacing w:before="50"/>
              <w:ind w:right="94"/>
              <w:rPr>
                <w:sz w:val="20"/>
              </w:rPr>
            </w:pPr>
            <w:r>
              <w:rPr>
                <w:w w:val="99"/>
                <w:sz w:val="20"/>
              </w:rPr>
              <w:t>-</w:t>
            </w:r>
          </w:p>
        </w:tc>
        <w:tc>
          <w:tcPr>
            <w:tcW w:w="1114" w:type="dxa"/>
          </w:tcPr>
          <w:p w:rsidR="007C5447" w:rsidRDefault="007C5447">
            <w:pPr>
              <w:pStyle w:val="TableParagraph"/>
              <w:jc w:val="left"/>
            </w:pPr>
          </w:p>
        </w:tc>
        <w:tc>
          <w:tcPr>
            <w:tcW w:w="1113" w:type="dxa"/>
          </w:tcPr>
          <w:p w:rsidR="007C5447" w:rsidRDefault="00F6308C">
            <w:pPr>
              <w:pStyle w:val="TableParagraph"/>
              <w:spacing w:before="50"/>
              <w:ind w:right="93"/>
              <w:rPr>
                <w:sz w:val="20"/>
              </w:rPr>
            </w:pPr>
            <w:r>
              <w:rPr>
                <w:w w:val="99"/>
                <w:sz w:val="20"/>
              </w:rPr>
              <w:t>-</w:t>
            </w:r>
          </w:p>
        </w:tc>
        <w:tc>
          <w:tcPr>
            <w:tcW w:w="1111" w:type="dxa"/>
          </w:tcPr>
          <w:p w:rsidR="007C5447" w:rsidRDefault="007C5447">
            <w:pPr>
              <w:pStyle w:val="TableParagraph"/>
              <w:jc w:val="left"/>
            </w:pPr>
          </w:p>
        </w:tc>
      </w:tr>
      <w:tr w:rsidR="007C5447">
        <w:trPr>
          <w:trHeight w:val="489"/>
        </w:trPr>
        <w:tc>
          <w:tcPr>
            <w:tcW w:w="708" w:type="dxa"/>
          </w:tcPr>
          <w:p w:rsidR="007C5447" w:rsidRDefault="00F6308C">
            <w:pPr>
              <w:pStyle w:val="TableParagraph"/>
              <w:spacing w:before="130"/>
              <w:ind w:left="97" w:right="85"/>
              <w:jc w:val="center"/>
              <w:rPr>
                <w:sz w:val="20"/>
              </w:rPr>
            </w:pPr>
            <w:r>
              <w:rPr>
                <w:sz w:val="20"/>
              </w:rPr>
              <w:t>29</w:t>
            </w:r>
          </w:p>
        </w:tc>
        <w:tc>
          <w:tcPr>
            <w:tcW w:w="3010" w:type="dxa"/>
          </w:tcPr>
          <w:p w:rsidR="007C5447" w:rsidRDefault="00F6308C">
            <w:pPr>
              <w:pStyle w:val="TableParagraph"/>
              <w:spacing w:before="14" w:line="230" w:lineRule="atLeast"/>
              <w:ind w:left="108"/>
              <w:jc w:val="left"/>
              <w:rPr>
                <w:sz w:val="20"/>
              </w:rPr>
            </w:pPr>
            <w:r>
              <w:rPr>
                <w:sz w:val="20"/>
              </w:rPr>
              <w:t>Transmission - PGCIL, POSOCO, STOA charges</w:t>
            </w:r>
          </w:p>
        </w:tc>
        <w:tc>
          <w:tcPr>
            <w:tcW w:w="1113" w:type="dxa"/>
          </w:tcPr>
          <w:p w:rsidR="007C5447" w:rsidRDefault="00F6308C">
            <w:pPr>
              <w:pStyle w:val="TableParagraph"/>
              <w:spacing w:before="130"/>
              <w:ind w:right="95"/>
              <w:rPr>
                <w:sz w:val="20"/>
              </w:rPr>
            </w:pPr>
            <w:r>
              <w:rPr>
                <w:w w:val="99"/>
                <w:sz w:val="20"/>
              </w:rPr>
              <w:t>-</w:t>
            </w:r>
          </w:p>
        </w:tc>
        <w:tc>
          <w:tcPr>
            <w:tcW w:w="1111" w:type="dxa"/>
          </w:tcPr>
          <w:p w:rsidR="007C5447" w:rsidRDefault="00F6308C">
            <w:pPr>
              <w:pStyle w:val="TableParagraph"/>
              <w:spacing w:before="130"/>
              <w:ind w:right="92"/>
              <w:rPr>
                <w:sz w:val="20"/>
              </w:rPr>
            </w:pPr>
            <w:r>
              <w:rPr>
                <w:w w:val="95"/>
                <w:sz w:val="20"/>
              </w:rPr>
              <w:t>945.52</w:t>
            </w:r>
          </w:p>
        </w:tc>
        <w:tc>
          <w:tcPr>
            <w:tcW w:w="1113" w:type="dxa"/>
          </w:tcPr>
          <w:p w:rsidR="007C5447" w:rsidRDefault="007C5447">
            <w:pPr>
              <w:pStyle w:val="TableParagraph"/>
              <w:jc w:val="left"/>
            </w:pPr>
          </w:p>
        </w:tc>
        <w:tc>
          <w:tcPr>
            <w:tcW w:w="1114" w:type="dxa"/>
          </w:tcPr>
          <w:p w:rsidR="007C5447" w:rsidRDefault="00F6308C">
            <w:pPr>
              <w:pStyle w:val="TableParagraph"/>
              <w:spacing w:before="130"/>
              <w:ind w:right="93"/>
              <w:rPr>
                <w:sz w:val="20"/>
              </w:rPr>
            </w:pPr>
            <w:r>
              <w:rPr>
                <w:sz w:val="20"/>
              </w:rPr>
              <w:t>992.8</w:t>
            </w:r>
          </w:p>
        </w:tc>
        <w:tc>
          <w:tcPr>
            <w:tcW w:w="1113" w:type="dxa"/>
          </w:tcPr>
          <w:p w:rsidR="007C5447" w:rsidRDefault="007C5447">
            <w:pPr>
              <w:pStyle w:val="TableParagraph"/>
              <w:jc w:val="left"/>
            </w:pPr>
          </w:p>
        </w:tc>
        <w:tc>
          <w:tcPr>
            <w:tcW w:w="1111" w:type="dxa"/>
          </w:tcPr>
          <w:p w:rsidR="007C5447" w:rsidRDefault="00F6308C">
            <w:pPr>
              <w:pStyle w:val="TableParagraph"/>
              <w:spacing w:before="130"/>
              <w:ind w:right="92"/>
              <w:rPr>
                <w:sz w:val="20"/>
              </w:rPr>
            </w:pPr>
            <w:r>
              <w:rPr>
                <w:w w:val="95"/>
                <w:sz w:val="20"/>
              </w:rPr>
              <w:t>1,042.44</w:t>
            </w:r>
          </w:p>
        </w:tc>
      </w:tr>
      <w:tr w:rsidR="007C5447">
        <w:trPr>
          <w:trHeight w:val="330"/>
        </w:trPr>
        <w:tc>
          <w:tcPr>
            <w:tcW w:w="708" w:type="dxa"/>
          </w:tcPr>
          <w:p w:rsidR="007C5447" w:rsidRDefault="00F6308C">
            <w:pPr>
              <w:pStyle w:val="TableParagraph"/>
              <w:spacing w:before="50"/>
              <w:ind w:left="97" w:right="85"/>
              <w:jc w:val="center"/>
              <w:rPr>
                <w:sz w:val="20"/>
              </w:rPr>
            </w:pPr>
            <w:r>
              <w:rPr>
                <w:sz w:val="20"/>
              </w:rPr>
              <w:t>30</w:t>
            </w:r>
          </w:p>
        </w:tc>
        <w:tc>
          <w:tcPr>
            <w:tcW w:w="3010" w:type="dxa"/>
          </w:tcPr>
          <w:p w:rsidR="007C5447" w:rsidRDefault="00F6308C">
            <w:pPr>
              <w:pStyle w:val="TableParagraph"/>
              <w:spacing w:before="50"/>
              <w:ind w:left="108"/>
              <w:jc w:val="left"/>
              <w:rPr>
                <w:sz w:val="20"/>
              </w:rPr>
            </w:pPr>
            <w:r>
              <w:rPr>
                <w:sz w:val="20"/>
              </w:rPr>
              <w:t>TANTRANSCO Charges</w:t>
            </w:r>
          </w:p>
        </w:tc>
        <w:tc>
          <w:tcPr>
            <w:tcW w:w="1113" w:type="dxa"/>
          </w:tcPr>
          <w:p w:rsidR="007C5447" w:rsidRDefault="007C5447">
            <w:pPr>
              <w:pStyle w:val="TableParagraph"/>
              <w:jc w:val="left"/>
            </w:pPr>
          </w:p>
        </w:tc>
        <w:tc>
          <w:tcPr>
            <w:tcW w:w="1111" w:type="dxa"/>
          </w:tcPr>
          <w:p w:rsidR="007C5447" w:rsidRDefault="00F6308C">
            <w:pPr>
              <w:pStyle w:val="TableParagraph"/>
              <w:spacing w:before="50"/>
              <w:ind w:right="92"/>
              <w:rPr>
                <w:sz w:val="20"/>
              </w:rPr>
            </w:pPr>
            <w:r>
              <w:rPr>
                <w:w w:val="95"/>
                <w:sz w:val="20"/>
              </w:rPr>
              <w:t>1,781.74</w:t>
            </w:r>
          </w:p>
        </w:tc>
        <w:tc>
          <w:tcPr>
            <w:tcW w:w="1113" w:type="dxa"/>
          </w:tcPr>
          <w:p w:rsidR="007C5447" w:rsidRDefault="007C5447">
            <w:pPr>
              <w:pStyle w:val="TableParagraph"/>
              <w:jc w:val="left"/>
            </w:pPr>
          </w:p>
        </w:tc>
        <w:tc>
          <w:tcPr>
            <w:tcW w:w="1114" w:type="dxa"/>
          </w:tcPr>
          <w:p w:rsidR="007C5447" w:rsidRDefault="00F6308C">
            <w:pPr>
              <w:pStyle w:val="TableParagraph"/>
              <w:spacing w:before="50"/>
              <w:ind w:right="94"/>
              <w:rPr>
                <w:sz w:val="20"/>
              </w:rPr>
            </w:pPr>
            <w:r>
              <w:rPr>
                <w:w w:val="95"/>
                <w:sz w:val="20"/>
              </w:rPr>
              <w:t>1,870.82</w:t>
            </w:r>
          </w:p>
        </w:tc>
        <w:tc>
          <w:tcPr>
            <w:tcW w:w="1113" w:type="dxa"/>
          </w:tcPr>
          <w:p w:rsidR="007C5447" w:rsidRDefault="007C5447">
            <w:pPr>
              <w:pStyle w:val="TableParagraph"/>
              <w:jc w:val="left"/>
            </w:pPr>
          </w:p>
        </w:tc>
        <w:tc>
          <w:tcPr>
            <w:tcW w:w="1111" w:type="dxa"/>
          </w:tcPr>
          <w:p w:rsidR="007C5447" w:rsidRDefault="00F6308C">
            <w:pPr>
              <w:pStyle w:val="TableParagraph"/>
              <w:spacing w:before="50"/>
              <w:ind w:right="92"/>
              <w:rPr>
                <w:sz w:val="20"/>
              </w:rPr>
            </w:pPr>
            <w:r>
              <w:rPr>
                <w:w w:val="95"/>
                <w:sz w:val="20"/>
              </w:rPr>
              <w:t>1,964.37</w:t>
            </w:r>
          </w:p>
        </w:tc>
      </w:tr>
      <w:tr w:rsidR="007C5447">
        <w:trPr>
          <w:trHeight w:val="328"/>
        </w:trPr>
        <w:tc>
          <w:tcPr>
            <w:tcW w:w="708" w:type="dxa"/>
          </w:tcPr>
          <w:p w:rsidR="007C5447" w:rsidRDefault="007C5447">
            <w:pPr>
              <w:pStyle w:val="TableParagraph"/>
              <w:jc w:val="left"/>
            </w:pPr>
          </w:p>
        </w:tc>
        <w:tc>
          <w:tcPr>
            <w:tcW w:w="3010" w:type="dxa"/>
          </w:tcPr>
          <w:p w:rsidR="007C5447" w:rsidRDefault="00F6308C">
            <w:pPr>
              <w:pStyle w:val="TableParagraph"/>
              <w:spacing w:before="48"/>
              <w:ind w:left="108"/>
              <w:jc w:val="left"/>
              <w:rPr>
                <w:b/>
                <w:sz w:val="20"/>
              </w:rPr>
            </w:pPr>
            <w:r>
              <w:rPr>
                <w:b/>
                <w:sz w:val="20"/>
              </w:rPr>
              <w:t>Grand Total</w:t>
            </w:r>
          </w:p>
        </w:tc>
        <w:tc>
          <w:tcPr>
            <w:tcW w:w="1113" w:type="dxa"/>
          </w:tcPr>
          <w:p w:rsidR="007C5447" w:rsidRDefault="00F6308C">
            <w:pPr>
              <w:pStyle w:val="TableParagraph"/>
              <w:spacing w:before="48"/>
              <w:ind w:right="95"/>
              <w:rPr>
                <w:b/>
                <w:sz w:val="20"/>
              </w:rPr>
            </w:pPr>
            <w:r>
              <w:rPr>
                <w:b/>
                <w:w w:val="95"/>
                <w:sz w:val="20"/>
              </w:rPr>
              <w:t>59,180.91</w:t>
            </w:r>
          </w:p>
        </w:tc>
        <w:tc>
          <w:tcPr>
            <w:tcW w:w="1111" w:type="dxa"/>
          </w:tcPr>
          <w:p w:rsidR="007C5447" w:rsidRDefault="00F6308C">
            <w:pPr>
              <w:pStyle w:val="TableParagraph"/>
              <w:spacing w:before="48"/>
              <w:ind w:right="92"/>
              <w:rPr>
                <w:b/>
                <w:sz w:val="20"/>
              </w:rPr>
            </w:pPr>
            <w:r>
              <w:rPr>
                <w:b/>
                <w:w w:val="95"/>
                <w:sz w:val="20"/>
              </w:rPr>
              <w:t>24,681.20</w:t>
            </w:r>
          </w:p>
        </w:tc>
        <w:tc>
          <w:tcPr>
            <w:tcW w:w="1113" w:type="dxa"/>
          </w:tcPr>
          <w:p w:rsidR="007C5447" w:rsidRDefault="00F6308C">
            <w:pPr>
              <w:pStyle w:val="TableParagraph"/>
              <w:spacing w:before="48"/>
              <w:ind w:right="93"/>
              <w:rPr>
                <w:b/>
                <w:sz w:val="20"/>
              </w:rPr>
            </w:pPr>
            <w:r>
              <w:rPr>
                <w:b/>
                <w:w w:val="95"/>
                <w:sz w:val="20"/>
              </w:rPr>
              <w:t>65,620.19</w:t>
            </w:r>
          </w:p>
        </w:tc>
        <w:tc>
          <w:tcPr>
            <w:tcW w:w="1114" w:type="dxa"/>
          </w:tcPr>
          <w:p w:rsidR="007C5447" w:rsidRDefault="00F6308C">
            <w:pPr>
              <w:pStyle w:val="TableParagraph"/>
              <w:spacing w:before="48"/>
              <w:ind w:right="94"/>
              <w:rPr>
                <w:b/>
                <w:sz w:val="20"/>
              </w:rPr>
            </w:pPr>
            <w:r>
              <w:rPr>
                <w:b/>
                <w:w w:val="95"/>
                <w:sz w:val="20"/>
              </w:rPr>
              <w:t>27,760.97</w:t>
            </w:r>
          </w:p>
        </w:tc>
        <w:tc>
          <w:tcPr>
            <w:tcW w:w="1113" w:type="dxa"/>
          </w:tcPr>
          <w:p w:rsidR="007C5447" w:rsidRDefault="00F6308C">
            <w:pPr>
              <w:pStyle w:val="TableParagraph"/>
              <w:spacing w:before="48"/>
              <w:ind w:right="93"/>
              <w:rPr>
                <w:b/>
                <w:sz w:val="20"/>
              </w:rPr>
            </w:pPr>
            <w:r>
              <w:rPr>
                <w:b/>
                <w:w w:val="95"/>
                <w:sz w:val="20"/>
              </w:rPr>
              <w:t>72,110.19</w:t>
            </w:r>
          </w:p>
        </w:tc>
        <w:tc>
          <w:tcPr>
            <w:tcW w:w="1111" w:type="dxa"/>
          </w:tcPr>
          <w:p w:rsidR="007C5447" w:rsidRDefault="00F6308C">
            <w:pPr>
              <w:pStyle w:val="TableParagraph"/>
              <w:spacing w:before="48"/>
              <w:ind w:right="92"/>
              <w:rPr>
                <w:b/>
                <w:sz w:val="20"/>
              </w:rPr>
            </w:pPr>
            <w:r>
              <w:rPr>
                <w:b/>
                <w:w w:val="95"/>
                <w:sz w:val="20"/>
              </w:rPr>
              <w:t>31,255.73</w:t>
            </w:r>
          </w:p>
        </w:tc>
      </w:tr>
    </w:tbl>
    <w:p w:rsidR="007C5447" w:rsidRDefault="007C5447">
      <w:pPr>
        <w:pStyle w:val="BodyText"/>
        <w:spacing w:before="11"/>
        <w:rPr>
          <w:b/>
          <w:sz w:val="12"/>
        </w:rPr>
      </w:pPr>
    </w:p>
    <w:p w:rsidR="007C5447" w:rsidRDefault="00F6308C">
      <w:pPr>
        <w:pStyle w:val="Heading2"/>
        <w:spacing w:before="90"/>
        <w:ind w:left="1952"/>
      </w:pPr>
      <w:r>
        <w:t>Commission’s Views</w:t>
      </w:r>
    </w:p>
    <w:p w:rsidR="007C5447" w:rsidRDefault="00F6308C">
      <w:pPr>
        <w:pStyle w:val="ListParagraph"/>
        <w:numPr>
          <w:ilvl w:val="2"/>
          <w:numId w:val="114"/>
        </w:numPr>
        <w:tabs>
          <w:tab w:val="left" w:pos="1953"/>
        </w:tabs>
        <w:spacing w:before="204" w:line="312" w:lineRule="auto"/>
        <w:ind w:left="1952" w:right="1183" w:hanging="852"/>
        <w:jc w:val="both"/>
        <w:rPr>
          <w:sz w:val="24"/>
        </w:rPr>
      </w:pPr>
      <w:r>
        <w:rPr>
          <w:sz w:val="24"/>
        </w:rPr>
        <w:t>The Commission has approved the power purchase cost for the Control Period from FY 2016-17 to FY 2018-19, based on the following:</w:t>
      </w:r>
    </w:p>
    <w:p w:rsidR="007C5447" w:rsidRDefault="007C5447">
      <w:pPr>
        <w:pStyle w:val="BodyText"/>
        <w:spacing w:before="10"/>
        <w:rPr>
          <w:sz w:val="20"/>
        </w:rPr>
      </w:pPr>
    </w:p>
    <w:p w:rsidR="007C5447" w:rsidRDefault="00F6308C">
      <w:pPr>
        <w:pStyle w:val="ListParagraph"/>
        <w:numPr>
          <w:ilvl w:val="0"/>
          <w:numId w:val="53"/>
        </w:numPr>
        <w:tabs>
          <w:tab w:val="left" w:pos="2313"/>
        </w:tabs>
        <w:spacing w:before="1" w:line="312" w:lineRule="auto"/>
        <w:ind w:right="1184"/>
        <w:jc w:val="both"/>
        <w:rPr>
          <w:sz w:val="24"/>
        </w:rPr>
      </w:pPr>
      <w:r>
        <w:rPr>
          <w:sz w:val="24"/>
        </w:rPr>
        <w:t>Energy Availability approved by the Commission, as elaborated in earlier Sections</w:t>
      </w:r>
    </w:p>
    <w:p w:rsidR="007C5447" w:rsidRDefault="00F6308C">
      <w:pPr>
        <w:pStyle w:val="ListParagraph"/>
        <w:numPr>
          <w:ilvl w:val="0"/>
          <w:numId w:val="53"/>
        </w:numPr>
        <w:tabs>
          <w:tab w:val="left" w:pos="2313"/>
        </w:tabs>
        <w:ind w:hanging="361"/>
        <w:jc w:val="both"/>
        <w:rPr>
          <w:sz w:val="24"/>
        </w:rPr>
      </w:pPr>
      <w:r>
        <w:rPr>
          <w:sz w:val="24"/>
        </w:rPr>
        <w:t xml:space="preserve">MOD in accordance with Regulation 75(1) of </w:t>
      </w:r>
      <w:r>
        <w:rPr>
          <w:sz w:val="24"/>
        </w:rPr>
        <w:t>the Tariff</w:t>
      </w:r>
      <w:r>
        <w:rPr>
          <w:spacing w:val="-3"/>
          <w:sz w:val="24"/>
        </w:rPr>
        <w:t xml:space="preserve"> </w:t>
      </w:r>
      <w:r>
        <w:rPr>
          <w:sz w:val="24"/>
        </w:rPr>
        <w:t>Regulations.</w:t>
      </w:r>
    </w:p>
    <w:p w:rsidR="007C5447" w:rsidRDefault="00F6308C">
      <w:pPr>
        <w:pStyle w:val="ListParagraph"/>
        <w:numPr>
          <w:ilvl w:val="0"/>
          <w:numId w:val="53"/>
        </w:numPr>
        <w:tabs>
          <w:tab w:val="left" w:pos="2313"/>
        </w:tabs>
        <w:spacing w:before="81" w:line="312" w:lineRule="auto"/>
        <w:ind w:right="1183"/>
        <w:jc w:val="both"/>
        <w:rPr>
          <w:sz w:val="24"/>
        </w:rPr>
      </w:pPr>
      <w:r>
        <w:rPr>
          <w:sz w:val="24"/>
        </w:rPr>
        <w:t>RPO quantum as specified in RPO Regulations, 2010 after amendment dated March 30,</w:t>
      </w:r>
      <w:r>
        <w:rPr>
          <w:spacing w:val="-1"/>
          <w:sz w:val="24"/>
        </w:rPr>
        <w:t xml:space="preserve"> </w:t>
      </w:r>
      <w:r>
        <w:rPr>
          <w:sz w:val="24"/>
        </w:rPr>
        <w:t>2016.</w:t>
      </w:r>
    </w:p>
    <w:p w:rsidR="007C5447" w:rsidRDefault="00F6308C">
      <w:pPr>
        <w:pStyle w:val="ListParagraph"/>
        <w:numPr>
          <w:ilvl w:val="2"/>
          <w:numId w:val="114"/>
        </w:numPr>
        <w:tabs>
          <w:tab w:val="left" w:pos="1953"/>
        </w:tabs>
        <w:spacing w:before="120" w:line="312" w:lineRule="auto"/>
        <w:ind w:left="1952" w:right="1178" w:hanging="852"/>
        <w:jc w:val="both"/>
        <w:rPr>
          <w:sz w:val="24"/>
        </w:rPr>
      </w:pPr>
      <w:r>
        <w:rPr>
          <w:sz w:val="24"/>
        </w:rPr>
        <w:t>As elaborated in Chapter 3, the Commission has subjected all sources of power purchase excluding the must run plants, to the merit order principle including TANGEDCO’s own generating stations based on approved Energy Charges. The sources have been arranged</w:t>
      </w:r>
      <w:r>
        <w:rPr>
          <w:sz w:val="24"/>
        </w:rPr>
        <w:t xml:space="preserve"> based on their ranking, with the source having lowest variable cost being ranked first and despatched fully, and with the next ranked sources being despatched to the fullest/partly, till such time the approved Energy Requirement is matched. Further, it is</w:t>
      </w:r>
      <w:r>
        <w:rPr>
          <w:sz w:val="24"/>
        </w:rPr>
        <w:t xml:space="preserve"> clarified that even in cases where the sources have been considered as partial/zero despatch due to MOD constraints, the Fixed Costs have been considered fully, assuming that they will meet the Availability norms as per the PPA/Regulations. The same will </w:t>
      </w:r>
      <w:r>
        <w:rPr>
          <w:sz w:val="24"/>
        </w:rPr>
        <w:t>be subject to true-up based on actuals. The Commission reiterates that the whole objective of applying MOD principle is to optimise the power purchase cost, and it should be immaterial to TANGEDCO, whether the power is being procured from its own generatio</w:t>
      </w:r>
      <w:r>
        <w:rPr>
          <w:sz w:val="24"/>
        </w:rPr>
        <w:t>n sources or other sources, as long as the rate of power purchase is lower, as the fixed costs of TANGEDCO’s generating stations are recovered based on their Availability rather than actual</w:t>
      </w:r>
      <w:r>
        <w:rPr>
          <w:spacing w:val="1"/>
          <w:sz w:val="24"/>
        </w:rPr>
        <w:t xml:space="preserve"> </w:t>
      </w:r>
      <w:r>
        <w:rPr>
          <w:sz w:val="24"/>
        </w:rPr>
        <w:t>generation.</w:t>
      </w:r>
    </w:p>
    <w:p w:rsidR="007C5447" w:rsidRDefault="007C5447">
      <w:pPr>
        <w:pStyle w:val="BodyText"/>
        <w:rPr>
          <w:sz w:val="21"/>
        </w:rPr>
      </w:pPr>
    </w:p>
    <w:p w:rsidR="007C5447" w:rsidRDefault="00F6308C">
      <w:pPr>
        <w:pStyle w:val="ListParagraph"/>
        <w:numPr>
          <w:ilvl w:val="2"/>
          <w:numId w:val="114"/>
        </w:numPr>
        <w:tabs>
          <w:tab w:val="left" w:pos="1953"/>
        </w:tabs>
        <w:spacing w:line="312" w:lineRule="auto"/>
        <w:ind w:left="1952" w:right="1179" w:hanging="852"/>
        <w:jc w:val="both"/>
        <w:rPr>
          <w:sz w:val="24"/>
        </w:rPr>
      </w:pPr>
      <w:r>
        <w:rPr>
          <w:sz w:val="24"/>
        </w:rPr>
        <w:t xml:space="preserve">For FY 2016-17, the Commission has considered Energy </w:t>
      </w:r>
      <w:r>
        <w:rPr>
          <w:sz w:val="24"/>
        </w:rPr>
        <w:t>Charge per unit and Fixed Charge based on actual data for 11 months. The same Energy Charge per unit have been considered for FY 2017-18 and FY 2018-19 without any annual</w:t>
      </w:r>
      <w:r>
        <w:rPr>
          <w:spacing w:val="-8"/>
          <w:sz w:val="24"/>
        </w:rPr>
        <w:t xml:space="preserve"> </w:t>
      </w:r>
      <w:r>
        <w:rPr>
          <w:sz w:val="24"/>
        </w:rPr>
        <w:t>escalation.</w:t>
      </w:r>
    </w:p>
    <w:p w:rsidR="007C5447" w:rsidRDefault="007C5447">
      <w:pPr>
        <w:spacing w:line="312" w:lineRule="auto"/>
        <w:jc w:val="both"/>
        <w:rPr>
          <w:sz w:val="24"/>
        </w:rPr>
        <w:sectPr w:rsidR="007C5447">
          <w:pgSz w:w="11910" w:h="16840"/>
          <w:pgMar w:top="1420" w:right="260" w:bottom="1240" w:left="340" w:header="0" w:footer="1057" w:gutter="0"/>
          <w:cols w:space="720"/>
        </w:sectPr>
      </w:pPr>
    </w:p>
    <w:p w:rsidR="007C5447" w:rsidRDefault="00F6308C">
      <w:pPr>
        <w:pStyle w:val="ListParagraph"/>
        <w:numPr>
          <w:ilvl w:val="2"/>
          <w:numId w:val="114"/>
        </w:numPr>
        <w:tabs>
          <w:tab w:val="left" w:pos="2013"/>
        </w:tabs>
        <w:spacing w:before="60" w:line="312" w:lineRule="auto"/>
        <w:ind w:left="1952" w:right="1175" w:hanging="852"/>
        <w:jc w:val="both"/>
        <w:rPr>
          <w:sz w:val="24"/>
        </w:rPr>
      </w:pPr>
      <w:r>
        <w:lastRenderedPageBreak/>
        <w:tab/>
      </w:r>
      <w:r>
        <w:rPr>
          <w:sz w:val="24"/>
        </w:rPr>
        <w:t>The Commission also observes that TANGEDCO does not ap</w:t>
      </w:r>
      <w:r>
        <w:rPr>
          <w:sz w:val="24"/>
        </w:rPr>
        <w:t xml:space="preserve">pear to be availing the low cost short-term power available in the Power Exchanges. While the majority of power purchase should preferably be from long/medium-term sources, TANGEDCO should assess the opportunities available to meet around 10% of its power </w:t>
      </w:r>
      <w:r>
        <w:rPr>
          <w:sz w:val="24"/>
        </w:rPr>
        <w:t>requirement from Power Exchanges in case the landed power purchase rates are lower than the variable cost of power available to TANGEDCO from other sources, with the view to minimise the power purchase cost. TANGEDCO should frequently review the prevailing</w:t>
      </w:r>
      <w:r>
        <w:rPr>
          <w:sz w:val="24"/>
        </w:rPr>
        <w:t xml:space="preserve"> rates in the Power Exchanges in order to optimise the power purchase cost.</w:t>
      </w:r>
    </w:p>
    <w:p w:rsidR="007C5447" w:rsidRDefault="007C5447">
      <w:pPr>
        <w:pStyle w:val="BodyText"/>
        <w:rPr>
          <w:sz w:val="21"/>
        </w:rPr>
      </w:pPr>
    </w:p>
    <w:p w:rsidR="007C5447" w:rsidRDefault="00F6308C">
      <w:pPr>
        <w:ind w:left="1354" w:right="1431"/>
        <w:jc w:val="center"/>
        <w:rPr>
          <w:b/>
        </w:rPr>
      </w:pPr>
      <w:r>
        <w:rPr>
          <w:b/>
        </w:rPr>
        <w:t>Table 4-46: Must run plants</w:t>
      </w:r>
    </w:p>
    <w:p w:rsidR="007C5447" w:rsidRDefault="007C5447">
      <w:pPr>
        <w:pStyle w:val="BodyText"/>
        <w:rPr>
          <w:b/>
          <w:sz w:val="17"/>
        </w:rPr>
      </w:pPr>
    </w:p>
    <w:tbl>
      <w:tblPr>
        <w:tblW w:w="0" w:type="auto"/>
        <w:tblInd w:w="35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3687"/>
      </w:tblGrid>
      <w:tr w:rsidR="007C5447">
        <w:trPr>
          <w:trHeight w:val="299"/>
        </w:trPr>
        <w:tc>
          <w:tcPr>
            <w:tcW w:w="708" w:type="dxa"/>
            <w:shd w:val="clear" w:color="auto" w:fill="F7C9AC"/>
          </w:tcPr>
          <w:p w:rsidR="007C5447" w:rsidRDefault="00F6308C">
            <w:pPr>
              <w:pStyle w:val="TableParagraph"/>
              <w:spacing w:before="2"/>
              <w:ind w:left="244"/>
              <w:jc w:val="left"/>
              <w:rPr>
                <w:b/>
                <w:sz w:val="20"/>
              </w:rPr>
            </w:pPr>
            <w:r>
              <w:rPr>
                <w:b/>
                <w:sz w:val="20"/>
              </w:rPr>
              <w:t>Sl.</w:t>
            </w:r>
          </w:p>
        </w:tc>
        <w:tc>
          <w:tcPr>
            <w:tcW w:w="3687" w:type="dxa"/>
            <w:shd w:val="clear" w:color="auto" w:fill="F7C9AC"/>
          </w:tcPr>
          <w:p w:rsidR="007C5447" w:rsidRDefault="00F6308C">
            <w:pPr>
              <w:pStyle w:val="TableParagraph"/>
              <w:spacing w:before="2"/>
              <w:ind w:left="1297" w:right="1290"/>
              <w:jc w:val="center"/>
              <w:rPr>
                <w:b/>
                <w:sz w:val="20"/>
              </w:rPr>
            </w:pPr>
            <w:r>
              <w:rPr>
                <w:b/>
                <w:sz w:val="20"/>
              </w:rPr>
              <w:t>Power Plant</w:t>
            </w:r>
          </w:p>
        </w:tc>
      </w:tr>
      <w:tr w:rsidR="007C5447">
        <w:trPr>
          <w:trHeight w:val="299"/>
        </w:trPr>
        <w:tc>
          <w:tcPr>
            <w:tcW w:w="708" w:type="dxa"/>
          </w:tcPr>
          <w:p w:rsidR="007C5447" w:rsidRDefault="00F6308C">
            <w:pPr>
              <w:pStyle w:val="TableParagraph"/>
              <w:ind w:left="302"/>
              <w:jc w:val="left"/>
              <w:rPr>
                <w:sz w:val="20"/>
              </w:rPr>
            </w:pPr>
            <w:r>
              <w:rPr>
                <w:w w:val="99"/>
                <w:sz w:val="20"/>
              </w:rPr>
              <w:t>1</w:t>
            </w:r>
          </w:p>
        </w:tc>
        <w:tc>
          <w:tcPr>
            <w:tcW w:w="3687" w:type="dxa"/>
          </w:tcPr>
          <w:p w:rsidR="007C5447" w:rsidRDefault="00F6308C">
            <w:pPr>
              <w:pStyle w:val="TableParagraph"/>
              <w:ind w:left="107"/>
              <w:jc w:val="left"/>
              <w:rPr>
                <w:sz w:val="20"/>
              </w:rPr>
            </w:pPr>
            <w:r>
              <w:rPr>
                <w:sz w:val="20"/>
              </w:rPr>
              <w:t>Nuclear Power Plants</w:t>
            </w:r>
          </w:p>
        </w:tc>
      </w:tr>
      <w:tr w:rsidR="007C5447">
        <w:trPr>
          <w:trHeight w:val="299"/>
        </w:trPr>
        <w:tc>
          <w:tcPr>
            <w:tcW w:w="708" w:type="dxa"/>
          </w:tcPr>
          <w:p w:rsidR="007C5447" w:rsidRDefault="00F6308C">
            <w:pPr>
              <w:pStyle w:val="TableParagraph"/>
              <w:ind w:left="302"/>
              <w:jc w:val="left"/>
              <w:rPr>
                <w:sz w:val="20"/>
              </w:rPr>
            </w:pPr>
            <w:r>
              <w:rPr>
                <w:w w:val="99"/>
                <w:sz w:val="20"/>
              </w:rPr>
              <w:t>2</w:t>
            </w:r>
          </w:p>
        </w:tc>
        <w:tc>
          <w:tcPr>
            <w:tcW w:w="3687" w:type="dxa"/>
          </w:tcPr>
          <w:p w:rsidR="007C5447" w:rsidRDefault="00F6308C">
            <w:pPr>
              <w:pStyle w:val="TableParagraph"/>
              <w:ind w:left="107"/>
              <w:jc w:val="left"/>
              <w:rPr>
                <w:sz w:val="20"/>
              </w:rPr>
            </w:pPr>
            <w:r>
              <w:rPr>
                <w:sz w:val="20"/>
              </w:rPr>
              <w:t>Wind Power Plants</w:t>
            </w:r>
          </w:p>
        </w:tc>
      </w:tr>
      <w:tr w:rsidR="007C5447">
        <w:trPr>
          <w:trHeight w:val="297"/>
        </w:trPr>
        <w:tc>
          <w:tcPr>
            <w:tcW w:w="708" w:type="dxa"/>
          </w:tcPr>
          <w:p w:rsidR="007C5447" w:rsidRDefault="00F6308C">
            <w:pPr>
              <w:pStyle w:val="TableParagraph"/>
              <w:ind w:left="302"/>
              <w:jc w:val="left"/>
              <w:rPr>
                <w:sz w:val="20"/>
              </w:rPr>
            </w:pPr>
            <w:r>
              <w:rPr>
                <w:w w:val="99"/>
                <w:sz w:val="20"/>
              </w:rPr>
              <w:t>3</w:t>
            </w:r>
          </w:p>
        </w:tc>
        <w:tc>
          <w:tcPr>
            <w:tcW w:w="3687" w:type="dxa"/>
          </w:tcPr>
          <w:p w:rsidR="007C5447" w:rsidRDefault="00F6308C">
            <w:pPr>
              <w:pStyle w:val="TableParagraph"/>
              <w:ind w:left="107"/>
              <w:jc w:val="left"/>
              <w:rPr>
                <w:sz w:val="20"/>
              </w:rPr>
            </w:pPr>
            <w:r>
              <w:rPr>
                <w:sz w:val="20"/>
              </w:rPr>
              <w:t>Solar Power Plants</w:t>
            </w:r>
          </w:p>
        </w:tc>
      </w:tr>
      <w:tr w:rsidR="007C5447">
        <w:trPr>
          <w:trHeight w:val="299"/>
        </w:trPr>
        <w:tc>
          <w:tcPr>
            <w:tcW w:w="708" w:type="dxa"/>
          </w:tcPr>
          <w:p w:rsidR="007C5447" w:rsidRDefault="00F6308C">
            <w:pPr>
              <w:pStyle w:val="TableParagraph"/>
              <w:spacing w:before="2"/>
              <w:ind w:left="302"/>
              <w:jc w:val="left"/>
              <w:rPr>
                <w:sz w:val="20"/>
              </w:rPr>
            </w:pPr>
            <w:r>
              <w:rPr>
                <w:w w:val="99"/>
                <w:sz w:val="20"/>
              </w:rPr>
              <w:t>4</w:t>
            </w:r>
          </w:p>
        </w:tc>
        <w:tc>
          <w:tcPr>
            <w:tcW w:w="3687" w:type="dxa"/>
          </w:tcPr>
          <w:p w:rsidR="007C5447" w:rsidRDefault="00F6308C">
            <w:pPr>
              <w:pStyle w:val="TableParagraph"/>
              <w:spacing w:before="2"/>
              <w:ind w:left="107"/>
              <w:jc w:val="left"/>
              <w:rPr>
                <w:sz w:val="20"/>
              </w:rPr>
            </w:pPr>
            <w:r>
              <w:rPr>
                <w:sz w:val="20"/>
              </w:rPr>
              <w:t>Cogeneration Power Plants</w:t>
            </w:r>
          </w:p>
        </w:tc>
      </w:tr>
    </w:tbl>
    <w:p w:rsidR="007C5447" w:rsidRDefault="007C5447">
      <w:pPr>
        <w:pStyle w:val="BodyText"/>
        <w:spacing w:before="11"/>
        <w:rPr>
          <w:b/>
          <w:sz w:val="20"/>
        </w:rPr>
      </w:pPr>
    </w:p>
    <w:p w:rsidR="007C5447" w:rsidRDefault="00F6308C">
      <w:pPr>
        <w:ind w:left="1354" w:right="1432"/>
        <w:jc w:val="center"/>
        <w:rPr>
          <w:b/>
        </w:rPr>
      </w:pPr>
      <w:r>
        <w:rPr>
          <w:b/>
        </w:rPr>
        <w:t>Table 4-47: MOD ranking for FY 2016-17</w:t>
      </w:r>
    </w:p>
    <w:p w:rsidR="007C5447" w:rsidRDefault="007C5447">
      <w:pPr>
        <w:pStyle w:val="BodyText"/>
        <w:spacing w:before="10" w:after="1"/>
        <w:rPr>
          <w:b/>
          <w:sz w:val="16"/>
        </w:rPr>
      </w:pPr>
    </w:p>
    <w:tbl>
      <w:tblPr>
        <w:tblW w:w="0" w:type="auto"/>
        <w:tblInd w:w="1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23"/>
        <w:gridCol w:w="1791"/>
      </w:tblGrid>
      <w:tr w:rsidR="007C5447">
        <w:trPr>
          <w:trHeight w:val="505"/>
        </w:trPr>
        <w:tc>
          <w:tcPr>
            <w:tcW w:w="5523" w:type="dxa"/>
            <w:shd w:val="clear" w:color="auto" w:fill="FBD4B4"/>
          </w:tcPr>
          <w:p w:rsidR="007C5447" w:rsidRDefault="00F6308C">
            <w:pPr>
              <w:pStyle w:val="TableParagraph"/>
              <w:spacing w:before="125"/>
              <w:ind w:left="107"/>
              <w:jc w:val="left"/>
              <w:rPr>
                <w:b/>
              </w:rPr>
            </w:pPr>
            <w:r>
              <w:rPr>
                <w:b/>
              </w:rPr>
              <w:t>Source</w:t>
            </w:r>
          </w:p>
        </w:tc>
        <w:tc>
          <w:tcPr>
            <w:tcW w:w="1791" w:type="dxa"/>
            <w:shd w:val="clear" w:color="auto" w:fill="FBD4B4"/>
          </w:tcPr>
          <w:p w:rsidR="007C5447" w:rsidRDefault="00F6308C">
            <w:pPr>
              <w:pStyle w:val="TableParagraph"/>
              <w:spacing w:line="254" w:lineRule="exact"/>
              <w:ind w:left="437" w:right="217" w:hanging="195"/>
              <w:jc w:val="left"/>
              <w:rPr>
                <w:b/>
              </w:rPr>
            </w:pPr>
            <w:r>
              <w:rPr>
                <w:b/>
              </w:rPr>
              <w:t>Variable Cost (Rs/kWh)</w:t>
            </w:r>
          </w:p>
        </w:tc>
      </w:tr>
      <w:tr w:rsidR="007C5447">
        <w:trPr>
          <w:trHeight w:val="297"/>
        </w:trPr>
        <w:tc>
          <w:tcPr>
            <w:tcW w:w="5523" w:type="dxa"/>
          </w:tcPr>
          <w:p w:rsidR="007C5447" w:rsidRDefault="00F6308C">
            <w:pPr>
              <w:pStyle w:val="TableParagraph"/>
              <w:spacing w:before="20"/>
              <w:ind w:left="107"/>
              <w:jc w:val="left"/>
            </w:pPr>
            <w:r>
              <w:t>M/s. Ind Bharath Energy (Utkal) Ltd.</w:t>
            </w:r>
          </w:p>
        </w:tc>
        <w:tc>
          <w:tcPr>
            <w:tcW w:w="1791" w:type="dxa"/>
          </w:tcPr>
          <w:p w:rsidR="007C5447" w:rsidRDefault="00F6308C">
            <w:pPr>
              <w:pStyle w:val="TableParagraph"/>
              <w:spacing w:before="44" w:line="233" w:lineRule="exact"/>
              <w:ind w:right="347"/>
            </w:pPr>
            <w:r>
              <w:t>0.80</w:t>
            </w:r>
          </w:p>
        </w:tc>
      </w:tr>
      <w:tr w:rsidR="007C5447">
        <w:trPr>
          <w:trHeight w:val="301"/>
        </w:trPr>
        <w:tc>
          <w:tcPr>
            <w:tcW w:w="5523" w:type="dxa"/>
          </w:tcPr>
          <w:p w:rsidR="007C5447" w:rsidRDefault="00F6308C">
            <w:pPr>
              <w:pStyle w:val="TableParagraph"/>
              <w:spacing w:before="22"/>
              <w:ind w:left="107"/>
              <w:jc w:val="left"/>
            </w:pPr>
            <w:r>
              <w:t>M/s. PTC India Ltd.</w:t>
            </w:r>
          </w:p>
        </w:tc>
        <w:tc>
          <w:tcPr>
            <w:tcW w:w="1791" w:type="dxa"/>
          </w:tcPr>
          <w:p w:rsidR="007C5447" w:rsidRDefault="00F6308C">
            <w:pPr>
              <w:pStyle w:val="TableParagraph"/>
              <w:spacing w:before="46" w:line="236" w:lineRule="exact"/>
              <w:ind w:right="347"/>
            </w:pPr>
            <w:r>
              <w:t>1.04</w:t>
            </w:r>
          </w:p>
        </w:tc>
      </w:tr>
      <w:tr w:rsidR="007C5447">
        <w:trPr>
          <w:trHeight w:val="300"/>
        </w:trPr>
        <w:tc>
          <w:tcPr>
            <w:tcW w:w="5523" w:type="dxa"/>
          </w:tcPr>
          <w:p w:rsidR="007C5447" w:rsidRDefault="00F6308C">
            <w:pPr>
              <w:pStyle w:val="TableParagraph"/>
              <w:spacing w:before="23"/>
              <w:ind w:left="107"/>
              <w:jc w:val="left"/>
            </w:pPr>
            <w:r>
              <w:t>M/s. D.B.Power Ltd.</w:t>
            </w:r>
          </w:p>
        </w:tc>
        <w:tc>
          <w:tcPr>
            <w:tcW w:w="1791" w:type="dxa"/>
          </w:tcPr>
          <w:p w:rsidR="007C5447" w:rsidRDefault="00F6308C">
            <w:pPr>
              <w:pStyle w:val="TableParagraph"/>
              <w:spacing w:before="44" w:line="236" w:lineRule="exact"/>
              <w:ind w:right="347"/>
            </w:pPr>
            <w:r>
              <w:t>1.34</w:t>
            </w:r>
          </w:p>
        </w:tc>
      </w:tr>
      <w:tr w:rsidR="007C5447">
        <w:trPr>
          <w:trHeight w:val="299"/>
        </w:trPr>
        <w:tc>
          <w:tcPr>
            <w:tcW w:w="5523" w:type="dxa"/>
          </w:tcPr>
          <w:p w:rsidR="007C5447" w:rsidRDefault="00F6308C">
            <w:pPr>
              <w:pStyle w:val="TableParagraph"/>
              <w:spacing w:before="22"/>
              <w:ind w:left="107"/>
              <w:jc w:val="left"/>
            </w:pPr>
            <w:r>
              <w:t>M/s. Jindal Power Ltd.</w:t>
            </w:r>
          </w:p>
        </w:tc>
        <w:tc>
          <w:tcPr>
            <w:tcW w:w="1791" w:type="dxa"/>
          </w:tcPr>
          <w:p w:rsidR="007C5447" w:rsidRDefault="00F6308C">
            <w:pPr>
              <w:pStyle w:val="TableParagraph"/>
              <w:spacing w:before="46" w:line="233" w:lineRule="exact"/>
              <w:ind w:right="347"/>
            </w:pPr>
            <w:r>
              <w:t>1.37</w:t>
            </w:r>
          </w:p>
        </w:tc>
      </w:tr>
      <w:tr w:rsidR="007C5447">
        <w:trPr>
          <w:trHeight w:val="299"/>
        </w:trPr>
        <w:tc>
          <w:tcPr>
            <w:tcW w:w="5523" w:type="dxa"/>
          </w:tcPr>
          <w:p w:rsidR="007C5447" w:rsidRDefault="00F6308C">
            <w:pPr>
              <w:pStyle w:val="TableParagraph"/>
              <w:spacing w:before="22"/>
              <w:ind w:left="107"/>
              <w:jc w:val="left"/>
            </w:pPr>
            <w:r>
              <w:t>M/s. G.M.R. Energy Trading Ltd.</w:t>
            </w:r>
          </w:p>
        </w:tc>
        <w:tc>
          <w:tcPr>
            <w:tcW w:w="1791" w:type="dxa"/>
          </w:tcPr>
          <w:p w:rsidR="007C5447" w:rsidRDefault="00F6308C">
            <w:pPr>
              <w:pStyle w:val="TableParagraph"/>
              <w:spacing w:before="46" w:line="233" w:lineRule="exact"/>
              <w:ind w:right="347"/>
            </w:pPr>
            <w:r>
              <w:t>1.52</w:t>
            </w:r>
          </w:p>
        </w:tc>
      </w:tr>
      <w:tr w:rsidR="007C5447">
        <w:trPr>
          <w:trHeight w:val="299"/>
        </w:trPr>
        <w:tc>
          <w:tcPr>
            <w:tcW w:w="5523" w:type="dxa"/>
          </w:tcPr>
          <w:p w:rsidR="007C5447" w:rsidRDefault="00F6308C">
            <w:pPr>
              <w:pStyle w:val="TableParagraph"/>
              <w:spacing w:before="22"/>
              <w:ind w:left="107"/>
              <w:jc w:val="left"/>
            </w:pPr>
            <w:r>
              <w:t>NTPC Talcher</w:t>
            </w:r>
          </w:p>
        </w:tc>
        <w:tc>
          <w:tcPr>
            <w:tcW w:w="1791" w:type="dxa"/>
          </w:tcPr>
          <w:p w:rsidR="007C5447" w:rsidRDefault="00F6308C">
            <w:pPr>
              <w:pStyle w:val="TableParagraph"/>
              <w:spacing w:before="46" w:line="233" w:lineRule="exact"/>
              <w:ind w:right="347"/>
            </w:pPr>
            <w:r>
              <w:t>1.65</w:t>
            </w:r>
          </w:p>
        </w:tc>
      </w:tr>
      <w:tr w:rsidR="007C5447">
        <w:trPr>
          <w:trHeight w:val="299"/>
        </w:trPr>
        <w:tc>
          <w:tcPr>
            <w:tcW w:w="5523" w:type="dxa"/>
          </w:tcPr>
          <w:p w:rsidR="007C5447" w:rsidRDefault="00F6308C">
            <w:pPr>
              <w:pStyle w:val="TableParagraph"/>
              <w:spacing w:before="22"/>
              <w:ind w:left="107"/>
              <w:jc w:val="left"/>
            </w:pPr>
            <w:r>
              <w:t>M/s. Bharat Aluminium Company Ltd.</w:t>
            </w:r>
          </w:p>
        </w:tc>
        <w:tc>
          <w:tcPr>
            <w:tcW w:w="1791" w:type="dxa"/>
          </w:tcPr>
          <w:p w:rsidR="007C5447" w:rsidRDefault="00F6308C">
            <w:pPr>
              <w:pStyle w:val="TableParagraph"/>
              <w:spacing w:before="46" w:line="233" w:lineRule="exact"/>
              <w:ind w:right="347"/>
            </w:pPr>
            <w:r>
              <w:t>1.83</w:t>
            </w:r>
          </w:p>
        </w:tc>
      </w:tr>
      <w:tr w:rsidR="007C5447">
        <w:trPr>
          <w:trHeight w:val="302"/>
        </w:trPr>
        <w:tc>
          <w:tcPr>
            <w:tcW w:w="5523" w:type="dxa"/>
          </w:tcPr>
          <w:p w:rsidR="007C5447" w:rsidRDefault="00F6308C">
            <w:pPr>
              <w:pStyle w:val="TableParagraph"/>
              <w:spacing w:before="22"/>
              <w:ind w:left="107"/>
              <w:jc w:val="left"/>
            </w:pPr>
            <w:r>
              <w:t>M/s. Dhariwal Infrastructure Ltd</w:t>
            </w:r>
          </w:p>
        </w:tc>
        <w:tc>
          <w:tcPr>
            <w:tcW w:w="1791" w:type="dxa"/>
          </w:tcPr>
          <w:p w:rsidR="007C5447" w:rsidRDefault="00F6308C">
            <w:pPr>
              <w:pStyle w:val="TableParagraph"/>
              <w:spacing w:before="46" w:line="236" w:lineRule="exact"/>
              <w:ind w:right="347"/>
            </w:pPr>
            <w:r>
              <w:t>1.88</w:t>
            </w:r>
          </w:p>
        </w:tc>
      </w:tr>
      <w:tr w:rsidR="007C5447">
        <w:trPr>
          <w:trHeight w:val="299"/>
        </w:trPr>
        <w:tc>
          <w:tcPr>
            <w:tcW w:w="5523" w:type="dxa"/>
          </w:tcPr>
          <w:p w:rsidR="007C5447" w:rsidRDefault="00F6308C">
            <w:pPr>
              <w:pStyle w:val="TableParagraph"/>
              <w:spacing w:before="22"/>
              <w:ind w:left="107"/>
              <w:jc w:val="left"/>
            </w:pPr>
            <w:r>
              <w:t>LANCO Power (Aban co)</w:t>
            </w:r>
          </w:p>
        </w:tc>
        <w:tc>
          <w:tcPr>
            <w:tcW w:w="1791" w:type="dxa"/>
          </w:tcPr>
          <w:p w:rsidR="007C5447" w:rsidRDefault="00F6308C">
            <w:pPr>
              <w:pStyle w:val="TableParagraph"/>
              <w:spacing w:before="44" w:line="236" w:lineRule="exact"/>
              <w:ind w:right="347"/>
            </w:pPr>
            <w:r>
              <w:t>1.96</w:t>
            </w:r>
          </w:p>
        </w:tc>
      </w:tr>
      <w:tr w:rsidR="007C5447">
        <w:trPr>
          <w:trHeight w:val="299"/>
        </w:trPr>
        <w:tc>
          <w:tcPr>
            <w:tcW w:w="5523" w:type="dxa"/>
          </w:tcPr>
          <w:p w:rsidR="007C5447" w:rsidRDefault="00F6308C">
            <w:pPr>
              <w:pStyle w:val="TableParagraph"/>
              <w:spacing w:before="22"/>
              <w:ind w:left="107"/>
              <w:jc w:val="left"/>
            </w:pPr>
            <w:r>
              <w:t>Penna</w:t>
            </w:r>
          </w:p>
        </w:tc>
        <w:tc>
          <w:tcPr>
            <w:tcW w:w="1791" w:type="dxa"/>
          </w:tcPr>
          <w:p w:rsidR="007C5447" w:rsidRDefault="00F6308C">
            <w:pPr>
              <w:pStyle w:val="TableParagraph"/>
              <w:spacing w:before="46" w:line="233" w:lineRule="exact"/>
              <w:ind w:right="347"/>
            </w:pPr>
            <w:r>
              <w:t>1.97</w:t>
            </w:r>
          </w:p>
        </w:tc>
      </w:tr>
      <w:tr w:rsidR="007C5447">
        <w:trPr>
          <w:trHeight w:val="299"/>
        </w:trPr>
        <w:tc>
          <w:tcPr>
            <w:tcW w:w="5523" w:type="dxa"/>
          </w:tcPr>
          <w:p w:rsidR="007C5447" w:rsidRDefault="00F6308C">
            <w:pPr>
              <w:pStyle w:val="TableParagraph"/>
              <w:spacing w:before="22"/>
              <w:ind w:left="107"/>
              <w:jc w:val="left"/>
            </w:pPr>
            <w:r>
              <w:t>MTOA</w:t>
            </w:r>
          </w:p>
        </w:tc>
        <w:tc>
          <w:tcPr>
            <w:tcW w:w="1791" w:type="dxa"/>
          </w:tcPr>
          <w:p w:rsidR="007C5447" w:rsidRDefault="00F6308C">
            <w:pPr>
              <w:pStyle w:val="TableParagraph"/>
              <w:spacing w:before="46" w:line="233" w:lineRule="exact"/>
              <w:ind w:right="347"/>
            </w:pPr>
            <w:r>
              <w:t>2.00</w:t>
            </w:r>
          </w:p>
        </w:tc>
      </w:tr>
      <w:tr w:rsidR="007C5447">
        <w:trPr>
          <w:trHeight w:val="299"/>
        </w:trPr>
        <w:tc>
          <w:tcPr>
            <w:tcW w:w="5523" w:type="dxa"/>
          </w:tcPr>
          <w:p w:rsidR="007C5447" w:rsidRDefault="00F6308C">
            <w:pPr>
              <w:pStyle w:val="TableParagraph"/>
              <w:spacing w:before="22"/>
              <w:ind w:left="107"/>
              <w:jc w:val="left"/>
            </w:pPr>
            <w:r>
              <w:t>M/s. KSK Mahanadi Power Company Ltd.</w:t>
            </w:r>
          </w:p>
        </w:tc>
        <w:tc>
          <w:tcPr>
            <w:tcW w:w="1791" w:type="dxa"/>
          </w:tcPr>
          <w:p w:rsidR="007C5447" w:rsidRDefault="00F6308C">
            <w:pPr>
              <w:pStyle w:val="TableParagraph"/>
              <w:spacing w:before="46" w:line="233" w:lineRule="exact"/>
              <w:ind w:right="347"/>
            </w:pPr>
            <w:r>
              <w:t>2.06</w:t>
            </w:r>
          </w:p>
        </w:tc>
      </w:tr>
      <w:tr w:rsidR="007C5447">
        <w:trPr>
          <w:trHeight w:val="299"/>
        </w:trPr>
        <w:tc>
          <w:tcPr>
            <w:tcW w:w="5523" w:type="dxa"/>
          </w:tcPr>
          <w:p w:rsidR="007C5447" w:rsidRDefault="00F6308C">
            <w:pPr>
              <w:pStyle w:val="TableParagraph"/>
              <w:spacing w:before="22"/>
              <w:ind w:left="107"/>
              <w:jc w:val="left"/>
            </w:pPr>
            <w:r>
              <w:t>NTPC SR (Ramagundam) III</w:t>
            </w:r>
          </w:p>
        </w:tc>
        <w:tc>
          <w:tcPr>
            <w:tcW w:w="1791" w:type="dxa"/>
          </w:tcPr>
          <w:p w:rsidR="007C5447" w:rsidRDefault="00F6308C">
            <w:pPr>
              <w:pStyle w:val="TableParagraph"/>
              <w:spacing w:before="46" w:line="233" w:lineRule="exact"/>
              <w:ind w:right="347"/>
            </w:pPr>
            <w:r>
              <w:t>2.16</w:t>
            </w:r>
          </w:p>
        </w:tc>
      </w:tr>
      <w:tr w:rsidR="007C5447">
        <w:trPr>
          <w:trHeight w:val="302"/>
        </w:trPr>
        <w:tc>
          <w:tcPr>
            <w:tcW w:w="5523" w:type="dxa"/>
          </w:tcPr>
          <w:p w:rsidR="007C5447" w:rsidRDefault="00F6308C">
            <w:pPr>
              <w:pStyle w:val="TableParagraph"/>
              <w:spacing w:before="22"/>
              <w:ind w:left="107"/>
              <w:jc w:val="left"/>
            </w:pPr>
            <w:r>
              <w:t>VGTPS (Unit 1 and 2)</w:t>
            </w:r>
          </w:p>
        </w:tc>
        <w:tc>
          <w:tcPr>
            <w:tcW w:w="1791" w:type="dxa"/>
          </w:tcPr>
          <w:p w:rsidR="007C5447" w:rsidRDefault="00F6308C">
            <w:pPr>
              <w:pStyle w:val="TableParagraph"/>
              <w:spacing w:before="46" w:line="236" w:lineRule="exact"/>
              <w:ind w:right="347"/>
            </w:pPr>
            <w:r>
              <w:t>2.21</w:t>
            </w:r>
          </w:p>
        </w:tc>
      </w:tr>
      <w:tr w:rsidR="007C5447">
        <w:trPr>
          <w:trHeight w:val="300"/>
        </w:trPr>
        <w:tc>
          <w:tcPr>
            <w:tcW w:w="5523" w:type="dxa"/>
          </w:tcPr>
          <w:p w:rsidR="007C5447" w:rsidRDefault="00F6308C">
            <w:pPr>
              <w:pStyle w:val="TableParagraph"/>
              <w:spacing w:before="23"/>
              <w:ind w:left="107"/>
              <w:jc w:val="left"/>
            </w:pPr>
            <w:r>
              <w:t>NTPC SR (Ramagundam) (I&amp;II)</w:t>
            </w:r>
          </w:p>
        </w:tc>
        <w:tc>
          <w:tcPr>
            <w:tcW w:w="1791" w:type="dxa"/>
          </w:tcPr>
          <w:p w:rsidR="007C5447" w:rsidRDefault="00F6308C">
            <w:pPr>
              <w:pStyle w:val="TableParagraph"/>
              <w:spacing w:before="44" w:line="236" w:lineRule="exact"/>
              <w:ind w:right="347"/>
            </w:pPr>
            <w:r>
              <w:t>2.26</w:t>
            </w:r>
          </w:p>
        </w:tc>
      </w:tr>
      <w:tr w:rsidR="007C5447">
        <w:trPr>
          <w:trHeight w:val="299"/>
        </w:trPr>
        <w:tc>
          <w:tcPr>
            <w:tcW w:w="5523" w:type="dxa"/>
          </w:tcPr>
          <w:p w:rsidR="007C5447" w:rsidRDefault="00F6308C">
            <w:pPr>
              <w:pStyle w:val="TableParagraph"/>
              <w:spacing w:before="22"/>
              <w:ind w:left="107"/>
              <w:jc w:val="left"/>
            </w:pPr>
            <w:r>
              <w:t>NTPC ER</w:t>
            </w:r>
          </w:p>
        </w:tc>
        <w:tc>
          <w:tcPr>
            <w:tcW w:w="1791" w:type="dxa"/>
          </w:tcPr>
          <w:p w:rsidR="007C5447" w:rsidRDefault="00F6308C">
            <w:pPr>
              <w:pStyle w:val="TableParagraph"/>
              <w:spacing w:before="46" w:line="233" w:lineRule="exact"/>
              <w:ind w:right="347"/>
            </w:pPr>
            <w:r>
              <w:t>2.30</w:t>
            </w:r>
          </w:p>
        </w:tc>
      </w:tr>
      <w:tr w:rsidR="007C5447">
        <w:trPr>
          <w:trHeight w:val="299"/>
        </w:trPr>
        <w:tc>
          <w:tcPr>
            <w:tcW w:w="5523" w:type="dxa"/>
          </w:tcPr>
          <w:p w:rsidR="007C5447" w:rsidRDefault="00F6308C">
            <w:pPr>
              <w:pStyle w:val="TableParagraph"/>
              <w:spacing w:before="22"/>
              <w:ind w:left="107"/>
              <w:jc w:val="left"/>
            </w:pPr>
            <w:r>
              <w:t>TGTPS</w:t>
            </w:r>
          </w:p>
        </w:tc>
        <w:tc>
          <w:tcPr>
            <w:tcW w:w="1791" w:type="dxa"/>
          </w:tcPr>
          <w:p w:rsidR="007C5447" w:rsidRDefault="00F6308C">
            <w:pPr>
              <w:pStyle w:val="TableParagraph"/>
              <w:spacing w:before="46" w:line="233" w:lineRule="exact"/>
              <w:ind w:right="347"/>
            </w:pPr>
            <w:r>
              <w:t>2.31</w:t>
            </w:r>
          </w:p>
        </w:tc>
      </w:tr>
      <w:tr w:rsidR="007C5447">
        <w:trPr>
          <w:trHeight w:val="299"/>
        </w:trPr>
        <w:tc>
          <w:tcPr>
            <w:tcW w:w="5523" w:type="dxa"/>
          </w:tcPr>
          <w:p w:rsidR="007C5447" w:rsidRDefault="00F6308C">
            <w:pPr>
              <w:pStyle w:val="TableParagraph"/>
              <w:spacing w:before="22"/>
              <w:ind w:left="107"/>
              <w:jc w:val="left"/>
            </w:pPr>
            <w:r>
              <w:t>KGTPS</w:t>
            </w:r>
          </w:p>
        </w:tc>
        <w:tc>
          <w:tcPr>
            <w:tcW w:w="1791" w:type="dxa"/>
          </w:tcPr>
          <w:p w:rsidR="007C5447" w:rsidRDefault="00F6308C">
            <w:pPr>
              <w:pStyle w:val="TableParagraph"/>
              <w:spacing w:before="46" w:line="233" w:lineRule="exact"/>
              <w:ind w:right="347"/>
            </w:pPr>
            <w:r>
              <w:t>2.34</w:t>
            </w:r>
          </w:p>
        </w:tc>
      </w:tr>
      <w:tr w:rsidR="007C5447">
        <w:trPr>
          <w:trHeight w:val="299"/>
        </w:trPr>
        <w:tc>
          <w:tcPr>
            <w:tcW w:w="5523" w:type="dxa"/>
          </w:tcPr>
          <w:p w:rsidR="007C5447" w:rsidRDefault="00F6308C">
            <w:pPr>
              <w:pStyle w:val="TableParagraph"/>
              <w:spacing w:before="22"/>
              <w:ind w:left="107"/>
              <w:jc w:val="left"/>
            </w:pPr>
            <w:r>
              <w:t>North Chennai TPS</w:t>
            </w:r>
          </w:p>
        </w:tc>
        <w:tc>
          <w:tcPr>
            <w:tcW w:w="1791" w:type="dxa"/>
          </w:tcPr>
          <w:p w:rsidR="007C5447" w:rsidRDefault="00F6308C">
            <w:pPr>
              <w:pStyle w:val="TableParagraph"/>
              <w:spacing w:before="46" w:line="233" w:lineRule="exact"/>
              <w:ind w:right="347"/>
            </w:pPr>
            <w:r>
              <w:t>2.36</w:t>
            </w:r>
          </w:p>
        </w:tc>
      </w:tr>
      <w:tr w:rsidR="007C5447">
        <w:trPr>
          <w:trHeight w:val="301"/>
        </w:trPr>
        <w:tc>
          <w:tcPr>
            <w:tcW w:w="5523" w:type="dxa"/>
          </w:tcPr>
          <w:p w:rsidR="007C5447" w:rsidRDefault="00F6308C">
            <w:pPr>
              <w:pStyle w:val="TableParagraph"/>
              <w:spacing w:before="22"/>
              <w:ind w:left="107"/>
              <w:jc w:val="left"/>
            </w:pPr>
            <w:r>
              <w:t>NTPC Vallur Unit 1 &amp; Unit 2 (NTECL)</w:t>
            </w:r>
          </w:p>
        </w:tc>
        <w:tc>
          <w:tcPr>
            <w:tcW w:w="1791" w:type="dxa"/>
          </w:tcPr>
          <w:p w:rsidR="007C5447" w:rsidRDefault="00F6308C">
            <w:pPr>
              <w:pStyle w:val="TableParagraph"/>
              <w:spacing w:before="46" w:line="236" w:lineRule="exact"/>
              <w:ind w:right="347"/>
            </w:pPr>
            <w:r>
              <w:t>2.40</w:t>
            </w:r>
          </w:p>
        </w:tc>
      </w:tr>
      <w:tr w:rsidR="007C5447">
        <w:trPr>
          <w:trHeight w:val="299"/>
        </w:trPr>
        <w:tc>
          <w:tcPr>
            <w:tcW w:w="5523" w:type="dxa"/>
          </w:tcPr>
          <w:p w:rsidR="007C5447" w:rsidRDefault="00F6308C">
            <w:pPr>
              <w:pStyle w:val="TableParagraph"/>
              <w:spacing w:before="22"/>
              <w:ind w:left="107"/>
              <w:jc w:val="left"/>
            </w:pPr>
            <w:r>
              <w:t>NLC TS Expansion II</w:t>
            </w:r>
          </w:p>
        </w:tc>
        <w:tc>
          <w:tcPr>
            <w:tcW w:w="1791" w:type="dxa"/>
          </w:tcPr>
          <w:p w:rsidR="007C5447" w:rsidRDefault="00F6308C">
            <w:pPr>
              <w:pStyle w:val="TableParagraph"/>
              <w:spacing w:before="44" w:line="236" w:lineRule="exact"/>
              <w:ind w:right="347"/>
            </w:pPr>
            <w:r>
              <w:t>2.42</w:t>
            </w:r>
          </w:p>
        </w:tc>
      </w:tr>
    </w:tbl>
    <w:p w:rsidR="007C5447" w:rsidRDefault="007C5447">
      <w:pPr>
        <w:spacing w:line="236" w:lineRule="exact"/>
        <w:sectPr w:rsidR="007C5447">
          <w:pgSz w:w="11910" w:h="16840"/>
          <w:pgMar w:top="1360" w:right="260" w:bottom="1240" w:left="340" w:header="0" w:footer="1057" w:gutter="0"/>
          <w:cols w:space="720"/>
        </w:sectPr>
      </w:pPr>
    </w:p>
    <w:tbl>
      <w:tblPr>
        <w:tblW w:w="0" w:type="auto"/>
        <w:tblInd w:w="1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23"/>
        <w:gridCol w:w="1791"/>
      </w:tblGrid>
      <w:tr w:rsidR="007C5447">
        <w:trPr>
          <w:trHeight w:val="506"/>
        </w:trPr>
        <w:tc>
          <w:tcPr>
            <w:tcW w:w="5523" w:type="dxa"/>
            <w:shd w:val="clear" w:color="auto" w:fill="FBD4B4"/>
          </w:tcPr>
          <w:p w:rsidR="007C5447" w:rsidRDefault="00F6308C">
            <w:pPr>
              <w:pStyle w:val="TableParagraph"/>
              <w:spacing w:before="125"/>
              <w:ind w:left="107"/>
              <w:jc w:val="left"/>
              <w:rPr>
                <w:b/>
              </w:rPr>
            </w:pPr>
            <w:r>
              <w:rPr>
                <w:b/>
              </w:rPr>
              <w:lastRenderedPageBreak/>
              <w:t>Source</w:t>
            </w:r>
          </w:p>
        </w:tc>
        <w:tc>
          <w:tcPr>
            <w:tcW w:w="1791" w:type="dxa"/>
            <w:shd w:val="clear" w:color="auto" w:fill="FBD4B4"/>
          </w:tcPr>
          <w:p w:rsidR="007C5447" w:rsidRDefault="00F6308C">
            <w:pPr>
              <w:pStyle w:val="TableParagraph"/>
              <w:spacing w:line="254" w:lineRule="exact"/>
              <w:ind w:left="437" w:right="217" w:hanging="195"/>
              <w:jc w:val="left"/>
              <w:rPr>
                <w:b/>
              </w:rPr>
            </w:pPr>
            <w:r>
              <w:rPr>
                <w:b/>
              </w:rPr>
              <w:t>Variable Cost (Rs/kWh)</w:t>
            </w:r>
          </w:p>
        </w:tc>
      </w:tr>
      <w:tr w:rsidR="007C5447">
        <w:trPr>
          <w:trHeight w:val="297"/>
        </w:trPr>
        <w:tc>
          <w:tcPr>
            <w:tcW w:w="5523" w:type="dxa"/>
          </w:tcPr>
          <w:p w:rsidR="007C5447" w:rsidRDefault="00F6308C">
            <w:pPr>
              <w:pStyle w:val="TableParagraph"/>
              <w:spacing w:before="21"/>
              <w:ind w:left="107"/>
              <w:jc w:val="left"/>
            </w:pPr>
            <w:r>
              <w:t>MTPS Stage III</w:t>
            </w:r>
          </w:p>
        </w:tc>
        <w:tc>
          <w:tcPr>
            <w:tcW w:w="1791" w:type="dxa"/>
          </w:tcPr>
          <w:p w:rsidR="007C5447" w:rsidRDefault="00F6308C">
            <w:pPr>
              <w:pStyle w:val="TableParagraph"/>
              <w:spacing w:before="45" w:line="233" w:lineRule="exact"/>
              <w:ind w:right="347"/>
            </w:pPr>
            <w:r>
              <w:t>2.48</w:t>
            </w:r>
          </w:p>
        </w:tc>
      </w:tr>
      <w:tr w:rsidR="007C5447">
        <w:trPr>
          <w:trHeight w:val="299"/>
        </w:trPr>
        <w:tc>
          <w:tcPr>
            <w:tcW w:w="5523" w:type="dxa"/>
          </w:tcPr>
          <w:p w:rsidR="007C5447" w:rsidRDefault="00F6308C">
            <w:pPr>
              <w:pStyle w:val="TableParagraph"/>
              <w:spacing w:before="22"/>
              <w:ind w:left="107"/>
              <w:jc w:val="left"/>
            </w:pPr>
            <w:r>
              <w:t>NLC TS Expansion I</w:t>
            </w:r>
          </w:p>
        </w:tc>
        <w:tc>
          <w:tcPr>
            <w:tcW w:w="1791" w:type="dxa"/>
          </w:tcPr>
          <w:p w:rsidR="007C5447" w:rsidRDefault="00F6308C">
            <w:pPr>
              <w:pStyle w:val="TableParagraph"/>
              <w:spacing w:before="46" w:line="233" w:lineRule="exact"/>
              <w:ind w:right="347"/>
            </w:pPr>
            <w:r>
              <w:t>2.49</w:t>
            </w:r>
          </w:p>
        </w:tc>
      </w:tr>
      <w:tr w:rsidR="007C5447">
        <w:trPr>
          <w:trHeight w:val="299"/>
        </w:trPr>
        <w:tc>
          <w:tcPr>
            <w:tcW w:w="5523" w:type="dxa"/>
          </w:tcPr>
          <w:p w:rsidR="007C5447" w:rsidRDefault="00F6308C">
            <w:pPr>
              <w:pStyle w:val="TableParagraph"/>
              <w:spacing w:before="22"/>
              <w:ind w:left="107"/>
              <w:jc w:val="left"/>
            </w:pPr>
            <w:r>
              <w:t>NTPL (JV with NLC)</w:t>
            </w:r>
          </w:p>
        </w:tc>
        <w:tc>
          <w:tcPr>
            <w:tcW w:w="1791" w:type="dxa"/>
          </w:tcPr>
          <w:p w:rsidR="007C5447" w:rsidRDefault="00F6308C">
            <w:pPr>
              <w:pStyle w:val="TableParagraph"/>
              <w:spacing w:before="46" w:line="233" w:lineRule="exact"/>
              <w:ind w:right="347"/>
            </w:pPr>
            <w:r>
              <w:t>2.56</w:t>
            </w:r>
          </w:p>
        </w:tc>
      </w:tr>
      <w:tr w:rsidR="007C5447">
        <w:trPr>
          <w:trHeight w:val="301"/>
        </w:trPr>
        <w:tc>
          <w:tcPr>
            <w:tcW w:w="5523" w:type="dxa"/>
          </w:tcPr>
          <w:p w:rsidR="007C5447" w:rsidRDefault="00F6308C">
            <w:pPr>
              <w:pStyle w:val="TableParagraph"/>
              <w:spacing w:before="22"/>
              <w:ind w:left="107"/>
              <w:jc w:val="left"/>
            </w:pPr>
            <w:r>
              <w:t>NLC TS - II - Stage 1</w:t>
            </w:r>
          </w:p>
        </w:tc>
        <w:tc>
          <w:tcPr>
            <w:tcW w:w="1791" w:type="dxa"/>
          </w:tcPr>
          <w:p w:rsidR="007C5447" w:rsidRDefault="00F6308C">
            <w:pPr>
              <w:pStyle w:val="TableParagraph"/>
              <w:spacing w:before="46" w:line="236" w:lineRule="exact"/>
              <w:ind w:right="347"/>
            </w:pPr>
            <w:r>
              <w:t>2.60</w:t>
            </w:r>
          </w:p>
        </w:tc>
      </w:tr>
      <w:tr w:rsidR="007C5447">
        <w:trPr>
          <w:trHeight w:val="299"/>
        </w:trPr>
        <w:tc>
          <w:tcPr>
            <w:tcW w:w="5523" w:type="dxa"/>
          </w:tcPr>
          <w:p w:rsidR="007C5447" w:rsidRDefault="00F6308C">
            <w:pPr>
              <w:pStyle w:val="TableParagraph"/>
              <w:spacing w:before="22"/>
              <w:ind w:left="107"/>
              <w:jc w:val="left"/>
            </w:pPr>
            <w:r>
              <w:t>NTPC Simhadri</w:t>
            </w:r>
          </w:p>
        </w:tc>
        <w:tc>
          <w:tcPr>
            <w:tcW w:w="1791" w:type="dxa"/>
          </w:tcPr>
          <w:p w:rsidR="007C5447" w:rsidRDefault="00F6308C">
            <w:pPr>
              <w:pStyle w:val="TableParagraph"/>
              <w:spacing w:before="44" w:line="236" w:lineRule="exact"/>
              <w:ind w:right="347"/>
            </w:pPr>
            <w:r>
              <w:t>2.68</w:t>
            </w:r>
          </w:p>
        </w:tc>
      </w:tr>
      <w:tr w:rsidR="007C5447">
        <w:trPr>
          <w:trHeight w:val="299"/>
        </w:trPr>
        <w:tc>
          <w:tcPr>
            <w:tcW w:w="5523" w:type="dxa"/>
          </w:tcPr>
          <w:p w:rsidR="007C5447" w:rsidRDefault="00F6308C">
            <w:pPr>
              <w:pStyle w:val="TableParagraph"/>
              <w:spacing w:before="22"/>
              <w:ind w:left="107"/>
              <w:jc w:val="left"/>
            </w:pPr>
            <w:r>
              <w:t>M/s. IL &amp; FS Tamil Nadu Power Company Ltd.</w:t>
            </w:r>
          </w:p>
        </w:tc>
        <w:tc>
          <w:tcPr>
            <w:tcW w:w="1791" w:type="dxa"/>
          </w:tcPr>
          <w:p w:rsidR="007C5447" w:rsidRDefault="00F6308C">
            <w:pPr>
              <w:pStyle w:val="TableParagraph"/>
              <w:spacing w:before="46" w:line="233" w:lineRule="exact"/>
              <w:ind w:right="347"/>
            </w:pPr>
            <w:r>
              <w:t>2.80</w:t>
            </w:r>
          </w:p>
        </w:tc>
      </w:tr>
      <w:tr w:rsidR="007C5447">
        <w:trPr>
          <w:trHeight w:val="299"/>
        </w:trPr>
        <w:tc>
          <w:tcPr>
            <w:tcW w:w="5523" w:type="dxa"/>
          </w:tcPr>
          <w:p w:rsidR="007C5447" w:rsidRDefault="00F6308C">
            <w:pPr>
              <w:pStyle w:val="TableParagraph"/>
              <w:spacing w:before="22"/>
              <w:ind w:left="107"/>
              <w:jc w:val="left"/>
            </w:pPr>
            <w:r>
              <w:t>M/s. Coastal Energen Power Ltd.</w:t>
            </w:r>
          </w:p>
        </w:tc>
        <w:tc>
          <w:tcPr>
            <w:tcW w:w="1791" w:type="dxa"/>
          </w:tcPr>
          <w:p w:rsidR="007C5447" w:rsidRDefault="00F6308C">
            <w:pPr>
              <w:pStyle w:val="TableParagraph"/>
              <w:spacing w:before="46" w:line="233" w:lineRule="exact"/>
              <w:ind w:right="347"/>
            </w:pPr>
            <w:r>
              <w:t>2.85</w:t>
            </w:r>
          </w:p>
        </w:tc>
      </w:tr>
      <w:tr w:rsidR="007C5447">
        <w:trPr>
          <w:trHeight w:val="299"/>
        </w:trPr>
        <w:tc>
          <w:tcPr>
            <w:tcW w:w="5523" w:type="dxa"/>
          </w:tcPr>
          <w:p w:rsidR="007C5447" w:rsidRDefault="00F6308C">
            <w:pPr>
              <w:pStyle w:val="TableParagraph"/>
              <w:spacing w:before="22"/>
              <w:ind w:left="107"/>
              <w:jc w:val="left"/>
            </w:pPr>
            <w:r>
              <w:t>M/s. OPG Power Gen Pvt. Ltd.</w:t>
            </w:r>
          </w:p>
        </w:tc>
        <w:tc>
          <w:tcPr>
            <w:tcW w:w="1791" w:type="dxa"/>
          </w:tcPr>
          <w:p w:rsidR="007C5447" w:rsidRDefault="00F6308C">
            <w:pPr>
              <w:pStyle w:val="TableParagraph"/>
              <w:spacing w:before="46" w:line="233" w:lineRule="exact"/>
              <w:ind w:right="347"/>
            </w:pPr>
            <w:r>
              <w:t>3.12</w:t>
            </w:r>
          </w:p>
        </w:tc>
      </w:tr>
      <w:tr w:rsidR="007C5447">
        <w:trPr>
          <w:trHeight w:val="299"/>
        </w:trPr>
        <w:tc>
          <w:tcPr>
            <w:tcW w:w="5523" w:type="dxa"/>
          </w:tcPr>
          <w:p w:rsidR="007C5447" w:rsidRDefault="00F6308C">
            <w:pPr>
              <w:pStyle w:val="TableParagraph"/>
              <w:spacing w:before="22"/>
              <w:ind w:left="107"/>
              <w:jc w:val="left"/>
            </w:pPr>
            <w:r>
              <w:t>NLC TS - I</w:t>
            </w:r>
          </w:p>
        </w:tc>
        <w:tc>
          <w:tcPr>
            <w:tcW w:w="1791" w:type="dxa"/>
          </w:tcPr>
          <w:p w:rsidR="007C5447" w:rsidRDefault="00F6308C">
            <w:pPr>
              <w:pStyle w:val="TableParagraph"/>
              <w:spacing w:before="46" w:line="233" w:lineRule="exact"/>
              <w:ind w:right="347"/>
            </w:pPr>
            <w:r>
              <w:t>3.36</w:t>
            </w:r>
          </w:p>
        </w:tc>
      </w:tr>
      <w:tr w:rsidR="007C5447">
        <w:trPr>
          <w:trHeight w:val="301"/>
        </w:trPr>
        <w:tc>
          <w:tcPr>
            <w:tcW w:w="5523" w:type="dxa"/>
          </w:tcPr>
          <w:p w:rsidR="007C5447" w:rsidRDefault="00F6308C">
            <w:pPr>
              <w:pStyle w:val="TableParagraph"/>
              <w:spacing w:before="22"/>
              <w:ind w:left="107"/>
              <w:jc w:val="left"/>
            </w:pPr>
            <w:r>
              <w:t>Tuticorin TPS</w:t>
            </w:r>
          </w:p>
        </w:tc>
        <w:tc>
          <w:tcPr>
            <w:tcW w:w="1791" w:type="dxa"/>
          </w:tcPr>
          <w:p w:rsidR="007C5447" w:rsidRDefault="00F6308C">
            <w:pPr>
              <w:pStyle w:val="TableParagraph"/>
              <w:spacing w:before="46" w:line="236" w:lineRule="exact"/>
              <w:ind w:right="347"/>
            </w:pPr>
            <w:r>
              <w:t>3.40</w:t>
            </w:r>
          </w:p>
        </w:tc>
      </w:tr>
      <w:tr w:rsidR="007C5447">
        <w:trPr>
          <w:trHeight w:val="300"/>
        </w:trPr>
        <w:tc>
          <w:tcPr>
            <w:tcW w:w="5523" w:type="dxa"/>
          </w:tcPr>
          <w:p w:rsidR="007C5447" w:rsidRDefault="00F6308C">
            <w:pPr>
              <w:pStyle w:val="TableParagraph"/>
              <w:spacing w:before="22"/>
              <w:ind w:left="107"/>
              <w:jc w:val="left"/>
            </w:pPr>
            <w:r>
              <w:t>STCMS - Neyveli</w:t>
            </w:r>
          </w:p>
        </w:tc>
        <w:tc>
          <w:tcPr>
            <w:tcW w:w="1791" w:type="dxa"/>
          </w:tcPr>
          <w:p w:rsidR="007C5447" w:rsidRDefault="00F6308C">
            <w:pPr>
              <w:pStyle w:val="TableParagraph"/>
              <w:spacing w:before="44" w:line="236" w:lineRule="exact"/>
              <w:ind w:right="347"/>
            </w:pPr>
            <w:r>
              <w:t>3.44</w:t>
            </w:r>
          </w:p>
        </w:tc>
      </w:tr>
      <w:tr w:rsidR="007C5447">
        <w:trPr>
          <w:trHeight w:val="299"/>
        </w:trPr>
        <w:tc>
          <w:tcPr>
            <w:tcW w:w="5523" w:type="dxa"/>
          </w:tcPr>
          <w:p w:rsidR="007C5447" w:rsidRDefault="00F6308C">
            <w:pPr>
              <w:pStyle w:val="TableParagraph"/>
              <w:spacing w:before="22"/>
              <w:ind w:left="107"/>
              <w:jc w:val="left"/>
            </w:pPr>
            <w:r>
              <w:t>Mettur TPS</w:t>
            </w:r>
          </w:p>
        </w:tc>
        <w:tc>
          <w:tcPr>
            <w:tcW w:w="1791" w:type="dxa"/>
          </w:tcPr>
          <w:p w:rsidR="007C5447" w:rsidRDefault="00F6308C">
            <w:pPr>
              <w:pStyle w:val="TableParagraph"/>
              <w:spacing w:before="46" w:line="233" w:lineRule="exact"/>
              <w:ind w:right="347"/>
            </w:pPr>
            <w:r>
              <w:t>3.52</w:t>
            </w:r>
          </w:p>
        </w:tc>
      </w:tr>
      <w:tr w:rsidR="007C5447">
        <w:trPr>
          <w:trHeight w:val="299"/>
        </w:trPr>
        <w:tc>
          <w:tcPr>
            <w:tcW w:w="5523" w:type="dxa"/>
          </w:tcPr>
          <w:p w:rsidR="007C5447" w:rsidRDefault="00F6308C">
            <w:pPr>
              <w:pStyle w:val="TableParagraph"/>
              <w:spacing w:before="22"/>
              <w:ind w:left="107"/>
              <w:jc w:val="left"/>
            </w:pPr>
            <w:r>
              <w:t>NCTPS Stage-II</w:t>
            </w:r>
          </w:p>
        </w:tc>
        <w:tc>
          <w:tcPr>
            <w:tcW w:w="1791" w:type="dxa"/>
          </w:tcPr>
          <w:p w:rsidR="007C5447" w:rsidRDefault="00F6308C">
            <w:pPr>
              <w:pStyle w:val="TableParagraph"/>
              <w:spacing w:before="46" w:line="233" w:lineRule="exact"/>
              <w:ind w:right="347"/>
            </w:pPr>
            <w:r>
              <w:t>3.63</w:t>
            </w:r>
          </w:p>
        </w:tc>
      </w:tr>
      <w:tr w:rsidR="007C5447">
        <w:trPr>
          <w:trHeight w:val="299"/>
        </w:trPr>
        <w:tc>
          <w:tcPr>
            <w:tcW w:w="5523" w:type="dxa"/>
          </w:tcPr>
          <w:p w:rsidR="007C5447" w:rsidRDefault="00F6308C">
            <w:pPr>
              <w:pStyle w:val="TableParagraph"/>
              <w:spacing w:before="22"/>
              <w:ind w:left="107"/>
              <w:jc w:val="left"/>
            </w:pPr>
            <w:r>
              <w:t>STOA</w:t>
            </w:r>
          </w:p>
        </w:tc>
        <w:tc>
          <w:tcPr>
            <w:tcW w:w="1791" w:type="dxa"/>
          </w:tcPr>
          <w:p w:rsidR="007C5447" w:rsidRDefault="00F6308C">
            <w:pPr>
              <w:pStyle w:val="TableParagraph"/>
              <w:spacing w:before="46" w:line="233" w:lineRule="exact"/>
              <w:ind w:right="347"/>
            </w:pPr>
            <w:r>
              <w:t>3.85</w:t>
            </w:r>
          </w:p>
        </w:tc>
      </w:tr>
      <w:tr w:rsidR="007C5447">
        <w:trPr>
          <w:trHeight w:val="299"/>
        </w:trPr>
        <w:tc>
          <w:tcPr>
            <w:tcW w:w="5523" w:type="dxa"/>
          </w:tcPr>
          <w:p w:rsidR="007C5447" w:rsidRDefault="00F6308C">
            <w:pPr>
              <w:pStyle w:val="TableParagraph"/>
              <w:spacing w:before="22"/>
              <w:ind w:left="107"/>
              <w:jc w:val="left"/>
            </w:pPr>
            <w:r>
              <w:t>Ennore TPS</w:t>
            </w:r>
          </w:p>
        </w:tc>
        <w:tc>
          <w:tcPr>
            <w:tcW w:w="1791" w:type="dxa"/>
          </w:tcPr>
          <w:p w:rsidR="007C5447" w:rsidRDefault="00F6308C">
            <w:pPr>
              <w:pStyle w:val="TableParagraph"/>
              <w:spacing w:before="46" w:line="233" w:lineRule="exact"/>
              <w:ind w:right="347"/>
            </w:pPr>
            <w:r>
              <w:t>3.90</w:t>
            </w:r>
          </w:p>
        </w:tc>
      </w:tr>
      <w:tr w:rsidR="007C5447">
        <w:trPr>
          <w:trHeight w:val="301"/>
        </w:trPr>
        <w:tc>
          <w:tcPr>
            <w:tcW w:w="5523" w:type="dxa"/>
          </w:tcPr>
          <w:p w:rsidR="007C5447" w:rsidRDefault="00F6308C">
            <w:pPr>
              <w:pStyle w:val="TableParagraph"/>
              <w:spacing w:before="22"/>
              <w:ind w:left="107"/>
              <w:jc w:val="left"/>
            </w:pPr>
            <w:r>
              <w:t>PPN</w:t>
            </w:r>
          </w:p>
        </w:tc>
        <w:tc>
          <w:tcPr>
            <w:tcW w:w="1791" w:type="dxa"/>
          </w:tcPr>
          <w:p w:rsidR="007C5447" w:rsidRDefault="00F6308C">
            <w:pPr>
              <w:pStyle w:val="TableParagraph"/>
              <w:spacing w:before="46" w:line="236" w:lineRule="exact"/>
              <w:ind w:right="347"/>
            </w:pPr>
            <w:r>
              <w:t>7.47</w:t>
            </w:r>
          </w:p>
        </w:tc>
      </w:tr>
      <w:tr w:rsidR="007C5447">
        <w:trPr>
          <w:trHeight w:val="299"/>
        </w:trPr>
        <w:tc>
          <w:tcPr>
            <w:tcW w:w="5523" w:type="dxa"/>
          </w:tcPr>
          <w:p w:rsidR="007C5447" w:rsidRDefault="00F6308C">
            <w:pPr>
              <w:pStyle w:val="TableParagraph"/>
              <w:spacing w:before="22"/>
              <w:ind w:left="107"/>
              <w:jc w:val="left"/>
            </w:pPr>
            <w:r>
              <w:t>BBGTPS</w:t>
            </w:r>
          </w:p>
        </w:tc>
        <w:tc>
          <w:tcPr>
            <w:tcW w:w="1791" w:type="dxa"/>
          </w:tcPr>
          <w:p w:rsidR="007C5447" w:rsidRDefault="00F6308C">
            <w:pPr>
              <w:pStyle w:val="TableParagraph"/>
              <w:spacing w:before="44" w:line="236" w:lineRule="exact"/>
              <w:ind w:right="348"/>
            </w:pPr>
            <w:r>
              <w:t>10.76</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5"/>
        <w:rPr>
          <w:b/>
          <w:sz w:val="22"/>
        </w:rPr>
      </w:pPr>
    </w:p>
    <w:p w:rsidR="007C5447" w:rsidRDefault="00F6308C">
      <w:pPr>
        <w:spacing w:before="92"/>
        <w:ind w:left="1354" w:right="1432"/>
        <w:jc w:val="center"/>
        <w:rPr>
          <w:b/>
        </w:rPr>
      </w:pPr>
      <w:r>
        <w:rPr>
          <w:b/>
        </w:rPr>
        <w:t>Table 4-48: MOD ranking for FY 2017-18</w:t>
      </w:r>
    </w:p>
    <w:p w:rsidR="007C5447" w:rsidRDefault="007C5447">
      <w:pPr>
        <w:pStyle w:val="BodyText"/>
        <w:spacing w:before="10"/>
        <w:rPr>
          <w:b/>
          <w:sz w:val="16"/>
        </w:rPr>
      </w:pPr>
    </w:p>
    <w:tbl>
      <w:tblPr>
        <w:tblW w:w="0" w:type="auto"/>
        <w:tblInd w:w="20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37"/>
        <w:gridCol w:w="1690"/>
      </w:tblGrid>
      <w:tr w:rsidR="007C5447">
        <w:trPr>
          <w:trHeight w:val="506"/>
        </w:trPr>
        <w:tc>
          <w:tcPr>
            <w:tcW w:w="5437" w:type="dxa"/>
            <w:shd w:val="clear" w:color="auto" w:fill="FBD4B4"/>
          </w:tcPr>
          <w:p w:rsidR="007C5447" w:rsidRDefault="00F6308C">
            <w:pPr>
              <w:pStyle w:val="TableParagraph"/>
              <w:spacing w:before="125"/>
              <w:ind w:left="107"/>
              <w:jc w:val="left"/>
              <w:rPr>
                <w:b/>
              </w:rPr>
            </w:pPr>
            <w:r>
              <w:rPr>
                <w:b/>
              </w:rPr>
              <w:t>Source</w:t>
            </w:r>
          </w:p>
        </w:tc>
        <w:tc>
          <w:tcPr>
            <w:tcW w:w="1690" w:type="dxa"/>
            <w:shd w:val="clear" w:color="auto" w:fill="FBD4B4"/>
          </w:tcPr>
          <w:p w:rsidR="007C5447" w:rsidRDefault="00F6308C">
            <w:pPr>
              <w:pStyle w:val="TableParagraph"/>
              <w:spacing w:line="254" w:lineRule="exact"/>
              <w:ind w:left="386" w:right="167" w:hanging="195"/>
              <w:jc w:val="left"/>
              <w:rPr>
                <w:b/>
              </w:rPr>
            </w:pPr>
            <w:r>
              <w:rPr>
                <w:b/>
              </w:rPr>
              <w:t>Variable Cost (Rs/kWh)</w:t>
            </w:r>
          </w:p>
        </w:tc>
      </w:tr>
      <w:tr w:rsidR="007C5447">
        <w:trPr>
          <w:trHeight w:val="297"/>
        </w:trPr>
        <w:tc>
          <w:tcPr>
            <w:tcW w:w="5437" w:type="dxa"/>
          </w:tcPr>
          <w:p w:rsidR="007C5447" w:rsidRDefault="00F6308C">
            <w:pPr>
              <w:pStyle w:val="TableParagraph"/>
              <w:spacing w:before="21"/>
              <w:ind w:left="107"/>
              <w:jc w:val="left"/>
            </w:pPr>
            <w:r>
              <w:t>M/s. Ind Bharath Energy (Utkal) Ltd.</w:t>
            </w:r>
          </w:p>
        </w:tc>
        <w:tc>
          <w:tcPr>
            <w:tcW w:w="1690" w:type="dxa"/>
          </w:tcPr>
          <w:p w:rsidR="007C5447" w:rsidRDefault="00F6308C">
            <w:pPr>
              <w:pStyle w:val="TableParagraph"/>
              <w:spacing w:before="45" w:line="233" w:lineRule="exact"/>
              <w:ind w:right="468"/>
            </w:pPr>
            <w:r>
              <w:t>0.80</w:t>
            </w:r>
          </w:p>
        </w:tc>
      </w:tr>
      <w:tr w:rsidR="007C5447">
        <w:trPr>
          <w:trHeight w:val="299"/>
        </w:trPr>
        <w:tc>
          <w:tcPr>
            <w:tcW w:w="5437" w:type="dxa"/>
          </w:tcPr>
          <w:p w:rsidR="007C5447" w:rsidRDefault="00F6308C">
            <w:pPr>
              <w:pStyle w:val="TableParagraph"/>
              <w:spacing w:before="22"/>
              <w:ind w:left="107"/>
              <w:jc w:val="left"/>
            </w:pPr>
            <w:r>
              <w:t>M/s. PTC India Ltd.</w:t>
            </w:r>
          </w:p>
        </w:tc>
        <w:tc>
          <w:tcPr>
            <w:tcW w:w="1690" w:type="dxa"/>
          </w:tcPr>
          <w:p w:rsidR="007C5447" w:rsidRDefault="00F6308C">
            <w:pPr>
              <w:pStyle w:val="TableParagraph"/>
              <w:spacing w:before="46" w:line="233" w:lineRule="exact"/>
              <w:ind w:right="468"/>
            </w:pPr>
            <w:r>
              <w:t>1.04</w:t>
            </w:r>
          </w:p>
        </w:tc>
      </w:tr>
      <w:tr w:rsidR="007C5447">
        <w:trPr>
          <w:trHeight w:val="302"/>
        </w:trPr>
        <w:tc>
          <w:tcPr>
            <w:tcW w:w="5437" w:type="dxa"/>
          </w:tcPr>
          <w:p w:rsidR="007C5447" w:rsidRDefault="00F6308C">
            <w:pPr>
              <w:pStyle w:val="TableParagraph"/>
              <w:spacing w:before="22"/>
              <w:ind w:left="107"/>
              <w:jc w:val="left"/>
            </w:pPr>
            <w:r>
              <w:t>M/s. D.B.Power Ltd.</w:t>
            </w:r>
          </w:p>
        </w:tc>
        <w:tc>
          <w:tcPr>
            <w:tcW w:w="1690" w:type="dxa"/>
          </w:tcPr>
          <w:p w:rsidR="007C5447" w:rsidRDefault="00F6308C">
            <w:pPr>
              <w:pStyle w:val="TableParagraph"/>
              <w:spacing w:before="46" w:line="236" w:lineRule="exact"/>
              <w:ind w:right="468"/>
            </w:pPr>
            <w:r>
              <w:t>1.34</w:t>
            </w:r>
          </w:p>
        </w:tc>
      </w:tr>
      <w:tr w:rsidR="007C5447">
        <w:trPr>
          <w:trHeight w:val="299"/>
        </w:trPr>
        <w:tc>
          <w:tcPr>
            <w:tcW w:w="5437" w:type="dxa"/>
          </w:tcPr>
          <w:p w:rsidR="007C5447" w:rsidRDefault="00F6308C">
            <w:pPr>
              <w:pStyle w:val="TableParagraph"/>
              <w:spacing w:before="20"/>
              <w:ind w:left="107"/>
              <w:jc w:val="left"/>
            </w:pPr>
            <w:r>
              <w:t>M/s. Jindal Power Ltd.</w:t>
            </w:r>
          </w:p>
        </w:tc>
        <w:tc>
          <w:tcPr>
            <w:tcW w:w="1690" w:type="dxa"/>
          </w:tcPr>
          <w:p w:rsidR="007C5447" w:rsidRDefault="00F6308C">
            <w:pPr>
              <w:pStyle w:val="TableParagraph"/>
              <w:spacing w:before="44" w:line="236" w:lineRule="exact"/>
              <w:ind w:right="468"/>
            </w:pPr>
            <w:r>
              <w:t>1.37</w:t>
            </w:r>
          </w:p>
        </w:tc>
      </w:tr>
      <w:tr w:rsidR="007C5447">
        <w:trPr>
          <w:trHeight w:val="299"/>
        </w:trPr>
        <w:tc>
          <w:tcPr>
            <w:tcW w:w="5437" w:type="dxa"/>
          </w:tcPr>
          <w:p w:rsidR="007C5447" w:rsidRDefault="00F6308C">
            <w:pPr>
              <w:pStyle w:val="TableParagraph"/>
              <w:spacing w:before="22"/>
              <w:ind w:left="107"/>
              <w:jc w:val="left"/>
            </w:pPr>
            <w:r>
              <w:t>M/s. G.M.R. Energy Trading Ltd.</w:t>
            </w:r>
          </w:p>
        </w:tc>
        <w:tc>
          <w:tcPr>
            <w:tcW w:w="1690" w:type="dxa"/>
          </w:tcPr>
          <w:p w:rsidR="007C5447" w:rsidRDefault="00F6308C">
            <w:pPr>
              <w:pStyle w:val="TableParagraph"/>
              <w:spacing w:before="44" w:line="236" w:lineRule="exact"/>
              <w:ind w:right="468"/>
            </w:pPr>
            <w:r>
              <w:t>1.52</w:t>
            </w:r>
          </w:p>
        </w:tc>
      </w:tr>
      <w:tr w:rsidR="007C5447">
        <w:trPr>
          <w:trHeight w:val="299"/>
        </w:trPr>
        <w:tc>
          <w:tcPr>
            <w:tcW w:w="5437" w:type="dxa"/>
          </w:tcPr>
          <w:p w:rsidR="007C5447" w:rsidRDefault="00F6308C">
            <w:pPr>
              <w:pStyle w:val="TableParagraph"/>
              <w:spacing w:before="22"/>
              <w:ind w:left="107"/>
              <w:jc w:val="left"/>
            </w:pPr>
            <w:r>
              <w:t>NTPC Talcher</w:t>
            </w:r>
          </w:p>
        </w:tc>
        <w:tc>
          <w:tcPr>
            <w:tcW w:w="1690" w:type="dxa"/>
          </w:tcPr>
          <w:p w:rsidR="007C5447" w:rsidRDefault="00F6308C">
            <w:pPr>
              <w:pStyle w:val="TableParagraph"/>
              <w:spacing w:before="46" w:line="233" w:lineRule="exact"/>
              <w:ind w:right="468"/>
            </w:pPr>
            <w:r>
              <w:t>1.65</w:t>
            </w:r>
          </w:p>
        </w:tc>
      </w:tr>
      <w:tr w:rsidR="007C5447">
        <w:trPr>
          <w:trHeight w:val="299"/>
        </w:trPr>
        <w:tc>
          <w:tcPr>
            <w:tcW w:w="5437" w:type="dxa"/>
          </w:tcPr>
          <w:p w:rsidR="007C5447" w:rsidRDefault="00F6308C">
            <w:pPr>
              <w:pStyle w:val="TableParagraph"/>
              <w:spacing w:before="22"/>
              <w:ind w:left="107"/>
              <w:jc w:val="left"/>
            </w:pPr>
            <w:r>
              <w:t>M/s. Bharat Aluminium Company Ltd.</w:t>
            </w:r>
          </w:p>
        </w:tc>
        <w:tc>
          <w:tcPr>
            <w:tcW w:w="1690" w:type="dxa"/>
          </w:tcPr>
          <w:p w:rsidR="007C5447" w:rsidRDefault="00F6308C">
            <w:pPr>
              <w:pStyle w:val="TableParagraph"/>
              <w:spacing w:before="46" w:line="233" w:lineRule="exact"/>
              <w:ind w:right="468"/>
            </w:pPr>
            <w:r>
              <w:t>1.83</w:t>
            </w:r>
          </w:p>
        </w:tc>
      </w:tr>
      <w:tr w:rsidR="007C5447">
        <w:trPr>
          <w:trHeight w:val="299"/>
        </w:trPr>
        <w:tc>
          <w:tcPr>
            <w:tcW w:w="5437" w:type="dxa"/>
          </w:tcPr>
          <w:p w:rsidR="007C5447" w:rsidRDefault="00F6308C">
            <w:pPr>
              <w:pStyle w:val="TableParagraph"/>
              <w:spacing w:before="22"/>
              <w:ind w:left="107"/>
              <w:jc w:val="left"/>
            </w:pPr>
            <w:r>
              <w:t>M/s. Dhariwal Infrastructure Ltd</w:t>
            </w:r>
          </w:p>
        </w:tc>
        <w:tc>
          <w:tcPr>
            <w:tcW w:w="1690" w:type="dxa"/>
          </w:tcPr>
          <w:p w:rsidR="007C5447" w:rsidRDefault="00F6308C">
            <w:pPr>
              <w:pStyle w:val="TableParagraph"/>
              <w:spacing w:before="46" w:line="233" w:lineRule="exact"/>
              <w:ind w:right="468"/>
            </w:pPr>
            <w:r>
              <w:t>1.88</w:t>
            </w:r>
          </w:p>
        </w:tc>
      </w:tr>
      <w:tr w:rsidR="007C5447">
        <w:trPr>
          <w:trHeight w:val="301"/>
        </w:trPr>
        <w:tc>
          <w:tcPr>
            <w:tcW w:w="5437" w:type="dxa"/>
          </w:tcPr>
          <w:p w:rsidR="007C5447" w:rsidRDefault="00F6308C">
            <w:pPr>
              <w:pStyle w:val="TableParagraph"/>
              <w:spacing w:before="22"/>
              <w:ind w:left="107"/>
              <w:jc w:val="left"/>
            </w:pPr>
            <w:r>
              <w:t>LANCO Power (Aban co)</w:t>
            </w:r>
          </w:p>
        </w:tc>
        <w:tc>
          <w:tcPr>
            <w:tcW w:w="1690" w:type="dxa"/>
          </w:tcPr>
          <w:p w:rsidR="007C5447" w:rsidRDefault="00F6308C">
            <w:pPr>
              <w:pStyle w:val="TableParagraph"/>
              <w:spacing w:before="46" w:line="236" w:lineRule="exact"/>
              <w:ind w:right="468"/>
            </w:pPr>
            <w:r>
              <w:t>1.96</w:t>
            </w:r>
          </w:p>
        </w:tc>
      </w:tr>
      <w:tr w:rsidR="007C5447">
        <w:trPr>
          <w:trHeight w:val="299"/>
        </w:trPr>
        <w:tc>
          <w:tcPr>
            <w:tcW w:w="5437" w:type="dxa"/>
          </w:tcPr>
          <w:p w:rsidR="007C5447" w:rsidRDefault="00F6308C">
            <w:pPr>
              <w:pStyle w:val="TableParagraph"/>
              <w:spacing w:before="20"/>
              <w:ind w:left="107"/>
              <w:jc w:val="left"/>
            </w:pPr>
            <w:r>
              <w:t>Penna</w:t>
            </w:r>
          </w:p>
        </w:tc>
        <w:tc>
          <w:tcPr>
            <w:tcW w:w="1690" w:type="dxa"/>
          </w:tcPr>
          <w:p w:rsidR="007C5447" w:rsidRDefault="00F6308C">
            <w:pPr>
              <w:pStyle w:val="TableParagraph"/>
              <w:spacing w:before="44" w:line="236" w:lineRule="exact"/>
              <w:ind w:right="468"/>
            </w:pPr>
            <w:r>
              <w:t>1.97</w:t>
            </w:r>
          </w:p>
        </w:tc>
      </w:tr>
      <w:tr w:rsidR="007C5447">
        <w:trPr>
          <w:trHeight w:val="299"/>
        </w:trPr>
        <w:tc>
          <w:tcPr>
            <w:tcW w:w="5437" w:type="dxa"/>
          </w:tcPr>
          <w:p w:rsidR="007C5447" w:rsidRDefault="00F6308C">
            <w:pPr>
              <w:pStyle w:val="TableParagraph"/>
              <w:spacing w:before="22"/>
              <w:ind w:left="107"/>
              <w:jc w:val="left"/>
            </w:pPr>
            <w:r>
              <w:t>MTOA</w:t>
            </w:r>
          </w:p>
        </w:tc>
        <w:tc>
          <w:tcPr>
            <w:tcW w:w="1690" w:type="dxa"/>
          </w:tcPr>
          <w:p w:rsidR="007C5447" w:rsidRDefault="00F6308C">
            <w:pPr>
              <w:pStyle w:val="TableParagraph"/>
              <w:spacing w:before="44" w:line="236" w:lineRule="exact"/>
              <w:ind w:right="468"/>
            </w:pPr>
            <w:r>
              <w:t>2.00</w:t>
            </w:r>
          </w:p>
        </w:tc>
      </w:tr>
      <w:tr w:rsidR="007C5447">
        <w:trPr>
          <w:trHeight w:val="300"/>
        </w:trPr>
        <w:tc>
          <w:tcPr>
            <w:tcW w:w="5437" w:type="dxa"/>
          </w:tcPr>
          <w:p w:rsidR="007C5447" w:rsidRDefault="00F6308C">
            <w:pPr>
              <w:pStyle w:val="TableParagraph"/>
              <w:spacing w:before="23"/>
              <w:ind w:left="107"/>
              <w:jc w:val="left"/>
            </w:pPr>
            <w:r>
              <w:t>M/s. KSK Mahanadi Power Company Ltd.</w:t>
            </w:r>
          </w:p>
        </w:tc>
        <w:tc>
          <w:tcPr>
            <w:tcW w:w="1690" w:type="dxa"/>
          </w:tcPr>
          <w:p w:rsidR="007C5447" w:rsidRDefault="00F6308C">
            <w:pPr>
              <w:pStyle w:val="TableParagraph"/>
              <w:spacing w:before="47" w:line="233" w:lineRule="exact"/>
              <w:ind w:right="468"/>
            </w:pPr>
            <w:r>
              <w:t>2.06</w:t>
            </w:r>
          </w:p>
        </w:tc>
      </w:tr>
      <w:tr w:rsidR="007C5447">
        <w:trPr>
          <w:trHeight w:val="299"/>
        </w:trPr>
        <w:tc>
          <w:tcPr>
            <w:tcW w:w="5437" w:type="dxa"/>
          </w:tcPr>
          <w:p w:rsidR="007C5447" w:rsidRDefault="00F6308C">
            <w:pPr>
              <w:pStyle w:val="TableParagraph"/>
              <w:spacing w:before="22"/>
              <w:ind w:left="107"/>
              <w:jc w:val="left"/>
            </w:pPr>
            <w:r>
              <w:t>North Chennai TPS</w:t>
            </w:r>
          </w:p>
        </w:tc>
        <w:tc>
          <w:tcPr>
            <w:tcW w:w="1690" w:type="dxa"/>
          </w:tcPr>
          <w:p w:rsidR="007C5447" w:rsidRDefault="00F6308C">
            <w:pPr>
              <w:pStyle w:val="TableParagraph"/>
              <w:spacing w:before="46" w:line="233" w:lineRule="exact"/>
              <w:ind w:right="468"/>
            </w:pPr>
            <w:r>
              <w:t>2.11</w:t>
            </w:r>
          </w:p>
        </w:tc>
      </w:tr>
      <w:tr w:rsidR="007C5447">
        <w:trPr>
          <w:trHeight w:val="299"/>
        </w:trPr>
        <w:tc>
          <w:tcPr>
            <w:tcW w:w="5437" w:type="dxa"/>
          </w:tcPr>
          <w:p w:rsidR="007C5447" w:rsidRDefault="00F6308C">
            <w:pPr>
              <w:pStyle w:val="TableParagraph"/>
              <w:spacing w:before="22"/>
              <w:ind w:left="107"/>
              <w:jc w:val="left"/>
            </w:pPr>
            <w:r>
              <w:t>NTPC SR (Ramagundam) III</w:t>
            </w:r>
          </w:p>
        </w:tc>
        <w:tc>
          <w:tcPr>
            <w:tcW w:w="1690" w:type="dxa"/>
          </w:tcPr>
          <w:p w:rsidR="007C5447" w:rsidRDefault="00F6308C">
            <w:pPr>
              <w:pStyle w:val="TableParagraph"/>
              <w:spacing w:before="46" w:line="233" w:lineRule="exact"/>
              <w:ind w:right="468"/>
            </w:pPr>
            <w:r>
              <w:t>2.16</w:t>
            </w:r>
          </w:p>
        </w:tc>
      </w:tr>
      <w:tr w:rsidR="007C5447">
        <w:trPr>
          <w:trHeight w:val="301"/>
        </w:trPr>
        <w:tc>
          <w:tcPr>
            <w:tcW w:w="5437" w:type="dxa"/>
          </w:tcPr>
          <w:p w:rsidR="007C5447" w:rsidRDefault="00F6308C">
            <w:pPr>
              <w:pStyle w:val="TableParagraph"/>
              <w:spacing w:before="22"/>
              <w:ind w:left="107"/>
              <w:jc w:val="left"/>
            </w:pPr>
            <w:r>
              <w:t>NTPC SR (Ramagundam) (I&amp;II)</w:t>
            </w:r>
          </w:p>
        </w:tc>
        <w:tc>
          <w:tcPr>
            <w:tcW w:w="1690" w:type="dxa"/>
          </w:tcPr>
          <w:p w:rsidR="007C5447" w:rsidRDefault="00F6308C">
            <w:pPr>
              <w:pStyle w:val="TableParagraph"/>
              <w:spacing w:before="46" w:line="236" w:lineRule="exact"/>
              <w:ind w:right="468"/>
            </w:pPr>
            <w:r>
              <w:t>2.26</w:t>
            </w:r>
          </w:p>
        </w:tc>
      </w:tr>
      <w:tr w:rsidR="007C5447">
        <w:trPr>
          <w:trHeight w:val="299"/>
        </w:trPr>
        <w:tc>
          <w:tcPr>
            <w:tcW w:w="5437" w:type="dxa"/>
          </w:tcPr>
          <w:p w:rsidR="007C5447" w:rsidRDefault="00F6308C">
            <w:pPr>
              <w:pStyle w:val="TableParagraph"/>
              <w:spacing w:before="20"/>
              <w:ind w:left="107"/>
              <w:jc w:val="left"/>
            </w:pPr>
            <w:r>
              <w:t>VGTPS (Unit 1 and 2)</w:t>
            </w:r>
          </w:p>
        </w:tc>
        <w:tc>
          <w:tcPr>
            <w:tcW w:w="1690" w:type="dxa"/>
          </w:tcPr>
          <w:p w:rsidR="007C5447" w:rsidRDefault="00F6308C">
            <w:pPr>
              <w:pStyle w:val="TableParagraph"/>
              <w:spacing w:before="44" w:line="236" w:lineRule="exact"/>
              <w:ind w:right="468"/>
            </w:pPr>
            <w:r>
              <w:t>2.27</w:t>
            </w:r>
          </w:p>
        </w:tc>
      </w:tr>
      <w:tr w:rsidR="007C5447">
        <w:trPr>
          <w:trHeight w:val="299"/>
        </w:trPr>
        <w:tc>
          <w:tcPr>
            <w:tcW w:w="5437" w:type="dxa"/>
          </w:tcPr>
          <w:p w:rsidR="007C5447" w:rsidRDefault="00F6308C">
            <w:pPr>
              <w:pStyle w:val="TableParagraph"/>
              <w:spacing w:before="22"/>
              <w:ind w:left="107"/>
              <w:jc w:val="left"/>
            </w:pPr>
            <w:r>
              <w:t>MTPS Stage III</w:t>
            </w:r>
          </w:p>
        </w:tc>
        <w:tc>
          <w:tcPr>
            <w:tcW w:w="1690" w:type="dxa"/>
          </w:tcPr>
          <w:p w:rsidR="007C5447" w:rsidRDefault="00F6308C">
            <w:pPr>
              <w:pStyle w:val="TableParagraph"/>
              <w:spacing w:before="44" w:line="236" w:lineRule="exact"/>
              <w:ind w:right="468"/>
            </w:pPr>
            <w:r>
              <w:t>2.29</w:t>
            </w:r>
          </w:p>
        </w:tc>
      </w:tr>
      <w:tr w:rsidR="007C5447">
        <w:trPr>
          <w:trHeight w:val="299"/>
        </w:trPr>
        <w:tc>
          <w:tcPr>
            <w:tcW w:w="5437" w:type="dxa"/>
          </w:tcPr>
          <w:p w:rsidR="007C5447" w:rsidRDefault="00F6308C">
            <w:pPr>
              <w:pStyle w:val="TableParagraph"/>
              <w:spacing w:before="22"/>
              <w:ind w:left="107"/>
              <w:jc w:val="left"/>
            </w:pPr>
            <w:r>
              <w:t>NTPC ER</w:t>
            </w:r>
          </w:p>
        </w:tc>
        <w:tc>
          <w:tcPr>
            <w:tcW w:w="1690" w:type="dxa"/>
          </w:tcPr>
          <w:p w:rsidR="007C5447" w:rsidRDefault="00F6308C">
            <w:pPr>
              <w:pStyle w:val="TableParagraph"/>
              <w:spacing w:before="46" w:line="233" w:lineRule="exact"/>
              <w:ind w:right="468"/>
            </w:pPr>
            <w:r>
              <w:t>2.30</w:t>
            </w:r>
          </w:p>
        </w:tc>
      </w:tr>
    </w:tbl>
    <w:p w:rsidR="007C5447" w:rsidRDefault="007C5447">
      <w:pPr>
        <w:spacing w:line="233" w:lineRule="exact"/>
        <w:sectPr w:rsidR="007C5447">
          <w:pgSz w:w="11910" w:h="16840"/>
          <w:pgMar w:top="1420" w:right="260" w:bottom="1240" w:left="340" w:header="0" w:footer="1057" w:gutter="0"/>
          <w:cols w:space="720"/>
        </w:sectPr>
      </w:pPr>
    </w:p>
    <w:tbl>
      <w:tblPr>
        <w:tblW w:w="0" w:type="auto"/>
        <w:tblInd w:w="20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37"/>
        <w:gridCol w:w="1690"/>
      </w:tblGrid>
      <w:tr w:rsidR="007C5447">
        <w:trPr>
          <w:trHeight w:val="506"/>
        </w:trPr>
        <w:tc>
          <w:tcPr>
            <w:tcW w:w="5437" w:type="dxa"/>
            <w:shd w:val="clear" w:color="auto" w:fill="FBD4B4"/>
          </w:tcPr>
          <w:p w:rsidR="007C5447" w:rsidRDefault="00F6308C">
            <w:pPr>
              <w:pStyle w:val="TableParagraph"/>
              <w:spacing w:before="125"/>
              <w:ind w:left="107"/>
              <w:jc w:val="left"/>
              <w:rPr>
                <w:b/>
              </w:rPr>
            </w:pPr>
            <w:r>
              <w:rPr>
                <w:b/>
              </w:rPr>
              <w:lastRenderedPageBreak/>
              <w:t>Source</w:t>
            </w:r>
          </w:p>
        </w:tc>
        <w:tc>
          <w:tcPr>
            <w:tcW w:w="1690" w:type="dxa"/>
            <w:shd w:val="clear" w:color="auto" w:fill="FBD4B4"/>
          </w:tcPr>
          <w:p w:rsidR="007C5447" w:rsidRDefault="00F6308C">
            <w:pPr>
              <w:pStyle w:val="TableParagraph"/>
              <w:spacing w:line="254" w:lineRule="exact"/>
              <w:ind w:left="386" w:right="167" w:hanging="195"/>
              <w:jc w:val="left"/>
              <w:rPr>
                <w:b/>
              </w:rPr>
            </w:pPr>
            <w:r>
              <w:rPr>
                <w:b/>
              </w:rPr>
              <w:t>Variable Cost (Rs/kWh)</w:t>
            </w:r>
          </w:p>
        </w:tc>
      </w:tr>
      <w:tr w:rsidR="007C5447">
        <w:trPr>
          <w:trHeight w:val="297"/>
        </w:trPr>
        <w:tc>
          <w:tcPr>
            <w:tcW w:w="5437" w:type="dxa"/>
          </w:tcPr>
          <w:p w:rsidR="007C5447" w:rsidRDefault="00F6308C">
            <w:pPr>
              <w:pStyle w:val="TableParagraph"/>
              <w:spacing w:before="21"/>
              <w:ind w:left="107"/>
              <w:jc w:val="left"/>
            </w:pPr>
            <w:r>
              <w:t>TGTPS</w:t>
            </w:r>
          </w:p>
        </w:tc>
        <w:tc>
          <w:tcPr>
            <w:tcW w:w="1690" w:type="dxa"/>
          </w:tcPr>
          <w:p w:rsidR="007C5447" w:rsidRDefault="00F6308C">
            <w:pPr>
              <w:pStyle w:val="TableParagraph"/>
              <w:spacing w:before="45" w:line="233" w:lineRule="exact"/>
              <w:ind w:right="468"/>
            </w:pPr>
            <w:r>
              <w:t>2.38</w:t>
            </w:r>
          </w:p>
        </w:tc>
      </w:tr>
      <w:tr w:rsidR="007C5447">
        <w:trPr>
          <w:trHeight w:val="299"/>
        </w:trPr>
        <w:tc>
          <w:tcPr>
            <w:tcW w:w="5437" w:type="dxa"/>
          </w:tcPr>
          <w:p w:rsidR="007C5447" w:rsidRDefault="00F6308C">
            <w:pPr>
              <w:pStyle w:val="TableParagraph"/>
              <w:spacing w:before="22"/>
              <w:ind w:left="107"/>
              <w:jc w:val="left"/>
            </w:pPr>
            <w:r>
              <w:t>NTPC Vallur Unit 1 &amp; Unit 2 (NTECL)</w:t>
            </w:r>
          </w:p>
        </w:tc>
        <w:tc>
          <w:tcPr>
            <w:tcW w:w="1690" w:type="dxa"/>
          </w:tcPr>
          <w:p w:rsidR="007C5447" w:rsidRDefault="00F6308C">
            <w:pPr>
              <w:pStyle w:val="TableParagraph"/>
              <w:spacing w:before="46" w:line="233" w:lineRule="exact"/>
              <w:ind w:right="468"/>
            </w:pPr>
            <w:r>
              <w:t>2.40</w:t>
            </w:r>
          </w:p>
        </w:tc>
      </w:tr>
      <w:tr w:rsidR="007C5447">
        <w:trPr>
          <w:trHeight w:val="299"/>
        </w:trPr>
        <w:tc>
          <w:tcPr>
            <w:tcW w:w="5437" w:type="dxa"/>
          </w:tcPr>
          <w:p w:rsidR="007C5447" w:rsidRDefault="00F6308C">
            <w:pPr>
              <w:pStyle w:val="TableParagraph"/>
              <w:spacing w:before="22"/>
              <w:ind w:left="107"/>
              <w:jc w:val="left"/>
            </w:pPr>
            <w:r>
              <w:t>KGTPS</w:t>
            </w:r>
          </w:p>
        </w:tc>
        <w:tc>
          <w:tcPr>
            <w:tcW w:w="1690" w:type="dxa"/>
          </w:tcPr>
          <w:p w:rsidR="007C5447" w:rsidRDefault="00F6308C">
            <w:pPr>
              <w:pStyle w:val="TableParagraph"/>
              <w:spacing w:before="46" w:line="233" w:lineRule="exact"/>
              <w:ind w:right="468"/>
            </w:pPr>
            <w:r>
              <w:t>2.41</w:t>
            </w:r>
          </w:p>
        </w:tc>
      </w:tr>
      <w:tr w:rsidR="007C5447">
        <w:trPr>
          <w:trHeight w:val="301"/>
        </w:trPr>
        <w:tc>
          <w:tcPr>
            <w:tcW w:w="5437" w:type="dxa"/>
          </w:tcPr>
          <w:p w:rsidR="007C5447" w:rsidRDefault="00F6308C">
            <w:pPr>
              <w:pStyle w:val="TableParagraph"/>
              <w:spacing w:before="22"/>
              <w:ind w:left="107"/>
              <w:jc w:val="left"/>
            </w:pPr>
            <w:r>
              <w:t>NLC TS Expansion II</w:t>
            </w:r>
          </w:p>
        </w:tc>
        <w:tc>
          <w:tcPr>
            <w:tcW w:w="1690" w:type="dxa"/>
          </w:tcPr>
          <w:p w:rsidR="007C5447" w:rsidRDefault="00F6308C">
            <w:pPr>
              <w:pStyle w:val="TableParagraph"/>
              <w:spacing w:before="46" w:line="236" w:lineRule="exact"/>
              <w:ind w:right="468"/>
            </w:pPr>
            <w:r>
              <w:t>2.42</w:t>
            </w:r>
          </w:p>
        </w:tc>
      </w:tr>
      <w:tr w:rsidR="007C5447">
        <w:trPr>
          <w:trHeight w:val="299"/>
        </w:trPr>
        <w:tc>
          <w:tcPr>
            <w:tcW w:w="5437" w:type="dxa"/>
          </w:tcPr>
          <w:p w:rsidR="007C5447" w:rsidRDefault="00F6308C">
            <w:pPr>
              <w:pStyle w:val="TableParagraph"/>
              <w:spacing w:before="22"/>
              <w:ind w:left="107"/>
              <w:jc w:val="left"/>
            </w:pPr>
            <w:r>
              <w:t>NLC TS Expansion I</w:t>
            </w:r>
          </w:p>
        </w:tc>
        <w:tc>
          <w:tcPr>
            <w:tcW w:w="1690" w:type="dxa"/>
          </w:tcPr>
          <w:p w:rsidR="007C5447" w:rsidRDefault="00F6308C">
            <w:pPr>
              <w:pStyle w:val="TableParagraph"/>
              <w:spacing w:before="44" w:line="236" w:lineRule="exact"/>
              <w:ind w:right="468"/>
            </w:pPr>
            <w:r>
              <w:t>2.49</w:t>
            </w:r>
          </w:p>
        </w:tc>
      </w:tr>
      <w:tr w:rsidR="007C5447">
        <w:trPr>
          <w:trHeight w:val="299"/>
        </w:trPr>
        <w:tc>
          <w:tcPr>
            <w:tcW w:w="5437" w:type="dxa"/>
          </w:tcPr>
          <w:p w:rsidR="007C5447" w:rsidRDefault="00F6308C">
            <w:pPr>
              <w:pStyle w:val="TableParagraph"/>
              <w:spacing w:before="22"/>
              <w:ind w:left="107"/>
              <w:jc w:val="left"/>
            </w:pPr>
            <w:r>
              <w:t>NTPL (JV with NLC)</w:t>
            </w:r>
          </w:p>
        </w:tc>
        <w:tc>
          <w:tcPr>
            <w:tcW w:w="1690" w:type="dxa"/>
          </w:tcPr>
          <w:p w:rsidR="007C5447" w:rsidRDefault="00F6308C">
            <w:pPr>
              <w:pStyle w:val="TableParagraph"/>
              <w:spacing w:before="46" w:line="233" w:lineRule="exact"/>
              <w:ind w:right="468"/>
            </w:pPr>
            <w:r>
              <w:t>2.56</w:t>
            </w:r>
          </w:p>
        </w:tc>
      </w:tr>
      <w:tr w:rsidR="007C5447">
        <w:trPr>
          <w:trHeight w:val="299"/>
        </w:trPr>
        <w:tc>
          <w:tcPr>
            <w:tcW w:w="5437" w:type="dxa"/>
          </w:tcPr>
          <w:p w:rsidR="007C5447" w:rsidRDefault="00F6308C">
            <w:pPr>
              <w:pStyle w:val="TableParagraph"/>
              <w:spacing w:before="22"/>
              <w:ind w:left="107"/>
              <w:jc w:val="left"/>
            </w:pPr>
            <w:r>
              <w:t>NLC TS - II - Stage 1</w:t>
            </w:r>
          </w:p>
        </w:tc>
        <w:tc>
          <w:tcPr>
            <w:tcW w:w="1690" w:type="dxa"/>
          </w:tcPr>
          <w:p w:rsidR="007C5447" w:rsidRDefault="00F6308C">
            <w:pPr>
              <w:pStyle w:val="TableParagraph"/>
              <w:spacing w:before="46" w:line="233" w:lineRule="exact"/>
              <w:ind w:right="468"/>
            </w:pPr>
            <w:r>
              <w:t>2.60</w:t>
            </w:r>
          </w:p>
        </w:tc>
      </w:tr>
      <w:tr w:rsidR="007C5447">
        <w:trPr>
          <w:trHeight w:val="299"/>
        </w:trPr>
        <w:tc>
          <w:tcPr>
            <w:tcW w:w="5437" w:type="dxa"/>
          </w:tcPr>
          <w:p w:rsidR="007C5447" w:rsidRDefault="00F6308C">
            <w:pPr>
              <w:pStyle w:val="TableParagraph"/>
              <w:spacing w:before="22"/>
              <w:ind w:left="107"/>
              <w:jc w:val="left"/>
            </w:pPr>
            <w:r>
              <w:t>NTPC Simhadri</w:t>
            </w:r>
          </w:p>
        </w:tc>
        <w:tc>
          <w:tcPr>
            <w:tcW w:w="1690" w:type="dxa"/>
          </w:tcPr>
          <w:p w:rsidR="007C5447" w:rsidRDefault="00F6308C">
            <w:pPr>
              <w:pStyle w:val="TableParagraph"/>
              <w:spacing w:before="46" w:line="233" w:lineRule="exact"/>
              <w:ind w:right="468"/>
            </w:pPr>
            <w:r>
              <w:t>2.68</w:t>
            </w:r>
          </w:p>
        </w:tc>
      </w:tr>
      <w:tr w:rsidR="007C5447">
        <w:trPr>
          <w:trHeight w:val="299"/>
        </w:trPr>
        <w:tc>
          <w:tcPr>
            <w:tcW w:w="5437" w:type="dxa"/>
          </w:tcPr>
          <w:p w:rsidR="007C5447" w:rsidRDefault="00F6308C">
            <w:pPr>
              <w:pStyle w:val="TableParagraph"/>
              <w:spacing w:before="22"/>
              <w:ind w:left="107"/>
              <w:jc w:val="left"/>
            </w:pPr>
            <w:r>
              <w:t>M/s. IL &amp; FS Tamil Nadu Power Company Ltd.</w:t>
            </w:r>
          </w:p>
        </w:tc>
        <w:tc>
          <w:tcPr>
            <w:tcW w:w="1690" w:type="dxa"/>
          </w:tcPr>
          <w:p w:rsidR="007C5447" w:rsidRDefault="00F6308C">
            <w:pPr>
              <w:pStyle w:val="TableParagraph"/>
              <w:spacing w:before="46" w:line="233" w:lineRule="exact"/>
              <w:ind w:right="468"/>
            </w:pPr>
            <w:r>
              <w:t>2.80</w:t>
            </w:r>
          </w:p>
        </w:tc>
      </w:tr>
      <w:tr w:rsidR="007C5447">
        <w:trPr>
          <w:trHeight w:val="301"/>
        </w:trPr>
        <w:tc>
          <w:tcPr>
            <w:tcW w:w="5437" w:type="dxa"/>
          </w:tcPr>
          <w:p w:rsidR="007C5447" w:rsidRDefault="00F6308C">
            <w:pPr>
              <w:pStyle w:val="TableParagraph"/>
              <w:spacing w:before="22"/>
              <w:ind w:left="107"/>
              <w:jc w:val="left"/>
            </w:pPr>
            <w:r>
              <w:t>M/s. Coastal Energen Power Ltd.</w:t>
            </w:r>
          </w:p>
        </w:tc>
        <w:tc>
          <w:tcPr>
            <w:tcW w:w="1690" w:type="dxa"/>
          </w:tcPr>
          <w:p w:rsidR="007C5447" w:rsidRDefault="00F6308C">
            <w:pPr>
              <w:pStyle w:val="TableParagraph"/>
              <w:spacing w:before="46" w:line="236" w:lineRule="exact"/>
              <w:ind w:right="468"/>
            </w:pPr>
            <w:r>
              <w:t>2.85</w:t>
            </w:r>
          </w:p>
        </w:tc>
      </w:tr>
      <w:tr w:rsidR="007C5447">
        <w:trPr>
          <w:trHeight w:val="300"/>
        </w:trPr>
        <w:tc>
          <w:tcPr>
            <w:tcW w:w="5437" w:type="dxa"/>
          </w:tcPr>
          <w:p w:rsidR="007C5447" w:rsidRDefault="00F6308C">
            <w:pPr>
              <w:pStyle w:val="TableParagraph"/>
              <w:spacing w:before="22"/>
              <w:ind w:left="107"/>
              <w:jc w:val="left"/>
            </w:pPr>
            <w:r>
              <w:t>Mettur TPS</w:t>
            </w:r>
          </w:p>
        </w:tc>
        <w:tc>
          <w:tcPr>
            <w:tcW w:w="1690" w:type="dxa"/>
          </w:tcPr>
          <w:p w:rsidR="007C5447" w:rsidRDefault="00F6308C">
            <w:pPr>
              <w:pStyle w:val="TableParagraph"/>
              <w:spacing w:before="44" w:line="236" w:lineRule="exact"/>
              <w:ind w:right="468"/>
            </w:pPr>
            <w:r>
              <w:t>2.88</w:t>
            </w:r>
          </w:p>
        </w:tc>
      </w:tr>
      <w:tr w:rsidR="007C5447">
        <w:trPr>
          <w:trHeight w:val="299"/>
        </w:trPr>
        <w:tc>
          <w:tcPr>
            <w:tcW w:w="5437" w:type="dxa"/>
          </w:tcPr>
          <w:p w:rsidR="007C5447" w:rsidRDefault="00F6308C">
            <w:pPr>
              <w:pStyle w:val="TableParagraph"/>
              <w:spacing w:before="22"/>
              <w:ind w:left="107"/>
              <w:jc w:val="left"/>
            </w:pPr>
            <w:r>
              <w:t>NCTPS Stage-II</w:t>
            </w:r>
          </w:p>
        </w:tc>
        <w:tc>
          <w:tcPr>
            <w:tcW w:w="1690" w:type="dxa"/>
          </w:tcPr>
          <w:p w:rsidR="007C5447" w:rsidRDefault="00F6308C">
            <w:pPr>
              <w:pStyle w:val="TableParagraph"/>
              <w:spacing w:before="46" w:line="233" w:lineRule="exact"/>
              <w:ind w:right="468"/>
            </w:pPr>
            <w:r>
              <w:t>2.97</w:t>
            </w:r>
          </w:p>
        </w:tc>
      </w:tr>
      <w:tr w:rsidR="007C5447">
        <w:trPr>
          <w:trHeight w:val="299"/>
        </w:trPr>
        <w:tc>
          <w:tcPr>
            <w:tcW w:w="5437" w:type="dxa"/>
          </w:tcPr>
          <w:p w:rsidR="007C5447" w:rsidRDefault="00F6308C">
            <w:pPr>
              <w:pStyle w:val="TableParagraph"/>
              <w:spacing w:before="22"/>
              <w:ind w:left="107"/>
              <w:jc w:val="left"/>
            </w:pPr>
            <w:r>
              <w:t>Tuticorin TPS</w:t>
            </w:r>
          </w:p>
        </w:tc>
        <w:tc>
          <w:tcPr>
            <w:tcW w:w="1690" w:type="dxa"/>
          </w:tcPr>
          <w:p w:rsidR="007C5447" w:rsidRDefault="00F6308C">
            <w:pPr>
              <w:pStyle w:val="TableParagraph"/>
              <w:spacing w:before="46" w:line="233" w:lineRule="exact"/>
              <w:ind w:right="468"/>
            </w:pPr>
            <w:r>
              <w:t>3.02</w:t>
            </w:r>
          </w:p>
        </w:tc>
      </w:tr>
      <w:tr w:rsidR="007C5447">
        <w:trPr>
          <w:trHeight w:val="299"/>
        </w:trPr>
        <w:tc>
          <w:tcPr>
            <w:tcW w:w="5437" w:type="dxa"/>
          </w:tcPr>
          <w:p w:rsidR="007C5447" w:rsidRDefault="00F6308C">
            <w:pPr>
              <w:pStyle w:val="TableParagraph"/>
              <w:spacing w:before="22"/>
              <w:ind w:left="107"/>
              <w:jc w:val="left"/>
            </w:pPr>
            <w:r>
              <w:t>M/s. OPG Power Gen Pvt. Ltd.</w:t>
            </w:r>
          </w:p>
        </w:tc>
        <w:tc>
          <w:tcPr>
            <w:tcW w:w="1690" w:type="dxa"/>
          </w:tcPr>
          <w:p w:rsidR="007C5447" w:rsidRDefault="00F6308C">
            <w:pPr>
              <w:pStyle w:val="TableParagraph"/>
              <w:spacing w:before="46" w:line="233" w:lineRule="exact"/>
              <w:ind w:right="468"/>
            </w:pPr>
            <w:r>
              <w:t>3.12</w:t>
            </w:r>
          </w:p>
        </w:tc>
      </w:tr>
      <w:tr w:rsidR="007C5447">
        <w:trPr>
          <w:trHeight w:val="299"/>
        </w:trPr>
        <w:tc>
          <w:tcPr>
            <w:tcW w:w="5437" w:type="dxa"/>
          </w:tcPr>
          <w:p w:rsidR="007C5447" w:rsidRDefault="00F6308C">
            <w:pPr>
              <w:pStyle w:val="TableParagraph"/>
              <w:spacing w:before="22"/>
              <w:ind w:left="107"/>
              <w:jc w:val="left"/>
            </w:pPr>
            <w:r>
              <w:t>NLC TS – I</w:t>
            </w:r>
          </w:p>
        </w:tc>
        <w:tc>
          <w:tcPr>
            <w:tcW w:w="1690" w:type="dxa"/>
          </w:tcPr>
          <w:p w:rsidR="007C5447" w:rsidRDefault="00F6308C">
            <w:pPr>
              <w:pStyle w:val="TableParagraph"/>
              <w:spacing w:before="46" w:line="233" w:lineRule="exact"/>
              <w:ind w:right="468"/>
            </w:pPr>
            <w:r>
              <w:t>3.36</w:t>
            </w:r>
          </w:p>
        </w:tc>
      </w:tr>
      <w:tr w:rsidR="007C5447">
        <w:trPr>
          <w:trHeight w:val="301"/>
        </w:trPr>
        <w:tc>
          <w:tcPr>
            <w:tcW w:w="5437" w:type="dxa"/>
          </w:tcPr>
          <w:p w:rsidR="007C5447" w:rsidRDefault="00F6308C">
            <w:pPr>
              <w:pStyle w:val="TableParagraph"/>
              <w:spacing w:before="22"/>
              <w:ind w:left="107"/>
              <w:jc w:val="left"/>
            </w:pPr>
            <w:r>
              <w:t>STCMS - Neyveli</w:t>
            </w:r>
          </w:p>
        </w:tc>
        <w:tc>
          <w:tcPr>
            <w:tcW w:w="1690" w:type="dxa"/>
          </w:tcPr>
          <w:p w:rsidR="007C5447" w:rsidRDefault="00F6308C">
            <w:pPr>
              <w:pStyle w:val="TableParagraph"/>
              <w:spacing w:before="46" w:line="236" w:lineRule="exact"/>
              <w:ind w:right="468"/>
            </w:pPr>
            <w:r>
              <w:t>3.44</w:t>
            </w:r>
          </w:p>
        </w:tc>
      </w:tr>
      <w:tr w:rsidR="007C5447">
        <w:trPr>
          <w:trHeight w:val="299"/>
        </w:trPr>
        <w:tc>
          <w:tcPr>
            <w:tcW w:w="5437" w:type="dxa"/>
          </w:tcPr>
          <w:p w:rsidR="007C5447" w:rsidRDefault="00F6308C">
            <w:pPr>
              <w:pStyle w:val="TableParagraph"/>
              <w:spacing w:before="22"/>
              <w:ind w:left="107"/>
              <w:jc w:val="left"/>
            </w:pPr>
            <w:r>
              <w:t>STOA</w:t>
            </w:r>
          </w:p>
        </w:tc>
        <w:tc>
          <w:tcPr>
            <w:tcW w:w="1690" w:type="dxa"/>
          </w:tcPr>
          <w:p w:rsidR="007C5447" w:rsidRDefault="00F6308C">
            <w:pPr>
              <w:pStyle w:val="TableParagraph"/>
              <w:spacing w:before="44" w:line="236" w:lineRule="exact"/>
              <w:ind w:right="468"/>
            </w:pPr>
            <w:r>
              <w:t>3.85</w:t>
            </w:r>
          </w:p>
        </w:tc>
      </w:tr>
      <w:tr w:rsidR="007C5447">
        <w:trPr>
          <w:trHeight w:val="299"/>
        </w:trPr>
        <w:tc>
          <w:tcPr>
            <w:tcW w:w="5437" w:type="dxa"/>
          </w:tcPr>
          <w:p w:rsidR="007C5447" w:rsidRDefault="00F6308C">
            <w:pPr>
              <w:pStyle w:val="TableParagraph"/>
              <w:spacing w:before="22"/>
              <w:ind w:left="107"/>
              <w:jc w:val="left"/>
            </w:pPr>
            <w:r>
              <w:t>PPN</w:t>
            </w:r>
          </w:p>
        </w:tc>
        <w:tc>
          <w:tcPr>
            <w:tcW w:w="1690" w:type="dxa"/>
          </w:tcPr>
          <w:p w:rsidR="007C5447" w:rsidRDefault="00F6308C">
            <w:pPr>
              <w:pStyle w:val="TableParagraph"/>
              <w:spacing w:before="46" w:line="233" w:lineRule="exact"/>
              <w:ind w:right="468"/>
            </w:pPr>
            <w:r>
              <w:t>7.47</w:t>
            </w:r>
          </w:p>
        </w:tc>
      </w:tr>
      <w:tr w:rsidR="007C5447">
        <w:trPr>
          <w:trHeight w:val="299"/>
        </w:trPr>
        <w:tc>
          <w:tcPr>
            <w:tcW w:w="5437" w:type="dxa"/>
          </w:tcPr>
          <w:p w:rsidR="007C5447" w:rsidRDefault="00F6308C">
            <w:pPr>
              <w:pStyle w:val="TableParagraph"/>
              <w:spacing w:before="22"/>
              <w:ind w:left="107"/>
              <w:jc w:val="left"/>
            </w:pPr>
            <w:r>
              <w:t>BBGTPS</w:t>
            </w:r>
          </w:p>
        </w:tc>
        <w:tc>
          <w:tcPr>
            <w:tcW w:w="1690" w:type="dxa"/>
          </w:tcPr>
          <w:p w:rsidR="007C5447" w:rsidRDefault="00F6308C">
            <w:pPr>
              <w:pStyle w:val="TableParagraph"/>
              <w:spacing w:before="46" w:line="233" w:lineRule="exact"/>
              <w:ind w:right="468"/>
            </w:pPr>
            <w:r>
              <w:t>10.76</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5"/>
        <w:rPr>
          <w:b/>
          <w:sz w:val="22"/>
        </w:rPr>
      </w:pPr>
    </w:p>
    <w:p w:rsidR="007C5447" w:rsidRDefault="00F6308C">
      <w:pPr>
        <w:spacing w:before="92"/>
        <w:ind w:left="1354" w:right="1432"/>
        <w:jc w:val="center"/>
        <w:rPr>
          <w:b/>
        </w:rPr>
      </w:pPr>
      <w:r>
        <w:rPr>
          <w:b/>
        </w:rPr>
        <w:t>Table 4-49: MOD ranking for FY 2018-19</w:t>
      </w:r>
    </w:p>
    <w:p w:rsidR="007C5447" w:rsidRDefault="007C5447">
      <w:pPr>
        <w:pStyle w:val="BodyText"/>
        <w:spacing w:before="11"/>
        <w:rPr>
          <w:b/>
          <w:sz w:val="16"/>
        </w:rPr>
      </w:pPr>
    </w:p>
    <w:tbl>
      <w:tblPr>
        <w:tblW w:w="0" w:type="auto"/>
        <w:tblInd w:w="20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57"/>
        <w:gridCol w:w="1801"/>
      </w:tblGrid>
      <w:tr w:rsidR="007C5447">
        <w:trPr>
          <w:trHeight w:val="506"/>
        </w:trPr>
        <w:tc>
          <w:tcPr>
            <w:tcW w:w="5257" w:type="dxa"/>
            <w:shd w:val="clear" w:color="auto" w:fill="FBD4B4"/>
          </w:tcPr>
          <w:p w:rsidR="007C5447" w:rsidRDefault="00F6308C">
            <w:pPr>
              <w:pStyle w:val="TableParagraph"/>
              <w:spacing w:before="125"/>
              <w:ind w:left="107"/>
              <w:jc w:val="left"/>
              <w:rPr>
                <w:b/>
              </w:rPr>
            </w:pPr>
            <w:r>
              <w:rPr>
                <w:b/>
              </w:rPr>
              <w:t>Source</w:t>
            </w:r>
          </w:p>
        </w:tc>
        <w:tc>
          <w:tcPr>
            <w:tcW w:w="1801" w:type="dxa"/>
            <w:shd w:val="clear" w:color="auto" w:fill="FBD4B4"/>
          </w:tcPr>
          <w:p w:rsidR="007C5447" w:rsidRDefault="00F6308C">
            <w:pPr>
              <w:pStyle w:val="TableParagraph"/>
              <w:spacing w:before="4" w:line="252" w:lineRule="exact"/>
              <w:ind w:left="441" w:right="220" w:hanging="192"/>
              <w:jc w:val="left"/>
              <w:rPr>
                <w:b/>
              </w:rPr>
            </w:pPr>
            <w:r>
              <w:rPr>
                <w:b/>
              </w:rPr>
              <w:t>Variable Cost (Rs/kWh)</w:t>
            </w:r>
          </w:p>
        </w:tc>
      </w:tr>
      <w:tr w:rsidR="007C5447">
        <w:trPr>
          <w:trHeight w:val="300"/>
        </w:trPr>
        <w:tc>
          <w:tcPr>
            <w:tcW w:w="5257" w:type="dxa"/>
          </w:tcPr>
          <w:p w:rsidR="007C5447" w:rsidRDefault="00F6308C">
            <w:pPr>
              <w:pStyle w:val="TableParagraph"/>
              <w:spacing w:before="20"/>
              <w:ind w:left="107"/>
              <w:jc w:val="left"/>
            </w:pPr>
            <w:r>
              <w:t>M/s. Ind Bharath Energy (Utkal) Ltd.</w:t>
            </w:r>
          </w:p>
        </w:tc>
        <w:tc>
          <w:tcPr>
            <w:tcW w:w="1801" w:type="dxa"/>
          </w:tcPr>
          <w:p w:rsidR="007C5447" w:rsidRDefault="00F6308C">
            <w:pPr>
              <w:pStyle w:val="TableParagraph"/>
              <w:spacing w:before="44" w:line="236" w:lineRule="exact"/>
              <w:ind w:right="469"/>
            </w:pPr>
            <w:r>
              <w:t>0.80</w:t>
            </w:r>
          </w:p>
        </w:tc>
      </w:tr>
      <w:tr w:rsidR="007C5447">
        <w:trPr>
          <w:trHeight w:val="299"/>
        </w:trPr>
        <w:tc>
          <w:tcPr>
            <w:tcW w:w="5257" w:type="dxa"/>
          </w:tcPr>
          <w:p w:rsidR="007C5447" w:rsidRDefault="00F6308C">
            <w:pPr>
              <w:pStyle w:val="TableParagraph"/>
              <w:spacing w:before="20"/>
              <w:ind w:left="107"/>
              <w:jc w:val="left"/>
            </w:pPr>
            <w:r>
              <w:t>M/s. PTC India Ltd.</w:t>
            </w:r>
          </w:p>
        </w:tc>
        <w:tc>
          <w:tcPr>
            <w:tcW w:w="1801" w:type="dxa"/>
          </w:tcPr>
          <w:p w:rsidR="007C5447" w:rsidRDefault="00F6308C">
            <w:pPr>
              <w:pStyle w:val="TableParagraph"/>
              <w:spacing w:before="44" w:line="236" w:lineRule="exact"/>
              <w:ind w:right="469"/>
            </w:pPr>
            <w:r>
              <w:t>1.04</w:t>
            </w:r>
          </w:p>
        </w:tc>
      </w:tr>
      <w:tr w:rsidR="007C5447">
        <w:trPr>
          <w:trHeight w:val="299"/>
        </w:trPr>
        <w:tc>
          <w:tcPr>
            <w:tcW w:w="5257" w:type="dxa"/>
          </w:tcPr>
          <w:p w:rsidR="007C5447" w:rsidRDefault="00F6308C">
            <w:pPr>
              <w:pStyle w:val="TableParagraph"/>
              <w:spacing w:before="22"/>
              <w:ind w:left="107"/>
              <w:jc w:val="left"/>
            </w:pPr>
            <w:r>
              <w:t>M/s. D.B.Power Ltd.</w:t>
            </w:r>
          </w:p>
        </w:tc>
        <w:tc>
          <w:tcPr>
            <w:tcW w:w="1801" w:type="dxa"/>
          </w:tcPr>
          <w:p w:rsidR="007C5447" w:rsidRDefault="00F6308C">
            <w:pPr>
              <w:pStyle w:val="TableParagraph"/>
              <w:spacing w:before="44" w:line="236" w:lineRule="exact"/>
              <w:ind w:right="469"/>
            </w:pPr>
            <w:r>
              <w:t>1.34</w:t>
            </w:r>
          </w:p>
        </w:tc>
      </w:tr>
      <w:tr w:rsidR="007C5447">
        <w:trPr>
          <w:trHeight w:val="299"/>
        </w:trPr>
        <w:tc>
          <w:tcPr>
            <w:tcW w:w="5257" w:type="dxa"/>
          </w:tcPr>
          <w:p w:rsidR="007C5447" w:rsidRDefault="00F6308C">
            <w:pPr>
              <w:pStyle w:val="TableParagraph"/>
              <w:spacing w:before="22"/>
              <w:ind w:left="107"/>
              <w:jc w:val="left"/>
            </w:pPr>
            <w:r>
              <w:t>M/s. Jindal Power Ltd.</w:t>
            </w:r>
          </w:p>
        </w:tc>
        <w:tc>
          <w:tcPr>
            <w:tcW w:w="1801" w:type="dxa"/>
          </w:tcPr>
          <w:p w:rsidR="007C5447" w:rsidRDefault="00F6308C">
            <w:pPr>
              <w:pStyle w:val="TableParagraph"/>
              <w:spacing w:before="46" w:line="233" w:lineRule="exact"/>
              <w:ind w:right="469"/>
            </w:pPr>
            <w:r>
              <w:t>1.37</w:t>
            </w:r>
          </w:p>
        </w:tc>
      </w:tr>
      <w:tr w:rsidR="007C5447">
        <w:trPr>
          <w:trHeight w:val="299"/>
        </w:trPr>
        <w:tc>
          <w:tcPr>
            <w:tcW w:w="5257" w:type="dxa"/>
          </w:tcPr>
          <w:p w:rsidR="007C5447" w:rsidRDefault="00F6308C">
            <w:pPr>
              <w:pStyle w:val="TableParagraph"/>
              <w:spacing w:before="22"/>
              <w:ind w:left="107"/>
              <w:jc w:val="left"/>
            </w:pPr>
            <w:r>
              <w:t>M/s. G.M.R. Energy Trading Ltd.</w:t>
            </w:r>
          </w:p>
        </w:tc>
        <w:tc>
          <w:tcPr>
            <w:tcW w:w="1801" w:type="dxa"/>
          </w:tcPr>
          <w:p w:rsidR="007C5447" w:rsidRDefault="00F6308C">
            <w:pPr>
              <w:pStyle w:val="TableParagraph"/>
              <w:spacing w:before="46" w:line="233" w:lineRule="exact"/>
              <w:ind w:right="469"/>
            </w:pPr>
            <w:r>
              <w:t>1.52</w:t>
            </w:r>
          </w:p>
        </w:tc>
      </w:tr>
      <w:tr w:rsidR="007C5447">
        <w:trPr>
          <w:trHeight w:val="299"/>
        </w:trPr>
        <w:tc>
          <w:tcPr>
            <w:tcW w:w="5257" w:type="dxa"/>
          </w:tcPr>
          <w:p w:rsidR="007C5447" w:rsidRDefault="00F6308C">
            <w:pPr>
              <w:pStyle w:val="TableParagraph"/>
              <w:spacing w:before="22"/>
              <w:ind w:left="107"/>
              <w:jc w:val="left"/>
            </w:pPr>
            <w:r>
              <w:t>NTPC Talcher</w:t>
            </w:r>
          </w:p>
        </w:tc>
        <w:tc>
          <w:tcPr>
            <w:tcW w:w="1801" w:type="dxa"/>
          </w:tcPr>
          <w:p w:rsidR="007C5447" w:rsidRDefault="00F6308C">
            <w:pPr>
              <w:pStyle w:val="TableParagraph"/>
              <w:spacing w:before="46" w:line="233" w:lineRule="exact"/>
              <w:ind w:right="469"/>
            </w:pPr>
            <w:r>
              <w:t>1.65</w:t>
            </w:r>
          </w:p>
        </w:tc>
      </w:tr>
      <w:tr w:rsidR="007C5447">
        <w:trPr>
          <w:trHeight w:val="301"/>
        </w:trPr>
        <w:tc>
          <w:tcPr>
            <w:tcW w:w="5257" w:type="dxa"/>
          </w:tcPr>
          <w:p w:rsidR="007C5447" w:rsidRDefault="00F6308C">
            <w:pPr>
              <w:pStyle w:val="TableParagraph"/>
              <w:spacing w:before="22"/>
              <w:ind w:left="107"/>
              <w:jc w:val="left"/>
            </w:pPr>
            <w:r>
              <w:t>M/s. Bharat Aluminium Company Ltd.</w:t>
            </w:r>
          </w:p>
        </w:tc>
        <w:tc>
          <w:tcPr>
            <w:tcW w:w="1801" w:type="dxa"/>
          </w:tcPr>
          <w:p w:rsidR="007C5447" w:rsidRDefault="00F6308C">
            <w:pPr>
              <w:pStyle w:val="TableParagraph"/>
              <w:spacing w:before="46" w:line="236" w:lineRule="exact"/>
              <w:ind w:right="469"/>
            </w:pPr>
            <w:r>
              <w:t>1.83</w:t>
            </w:r>
          </w:p>
        </w:tc>
      </w:tr>
      <w:tr w:rsidR="007C5447">
        <w:trPr>
          <w:trHeight w:val="299"/>
        </w:trPr>
        <w:tc>
          <w:tcPr>
            <w:tcW w:w="5257" w:type="dxa"/>
          </w:tcPr>
          <w:p w:rsidR="007C5447" w:rsidRDefault="00F6308C">
            <w:pPr>
              <w:pStyle w:val="TableParagraph"/>
              <w:spacing w:before="20"/>
              <w:ind w:left="107"/>
              <w:jc w:val="left"/>
            </w:pPr>
            <w:r>
              <w:t>M/s. Dhariwal Infrastructure Ltd</w:t>
            </w:r>
          </w:p>
        </w:tc>
        <w:tc>
          <w:tcPr>
            <w:tcW w:w="1801" w:type="dxa"/>
          </w:tcPr>
          <w:p w:rsidR="007C5447" w:rsidRDefault="00F6308C">
            <w:pPr>
              <w:pStyle w:val="TableParagraph"/>
              <w:spacing w:before="44" w:line="236" w:lineRule="exact"/>
              <w:ind w:right="469"/>
            </w:pPr>
            <w:r>
              <w:t>1.88</w:t>
            </w:r>
          </w:p>
        </w:tc>
      </w:tr>
      <w:tr w:rsidR="007C5447">
        <w:trPr>
          <w:trHeight w:val="299"/>
        </w:trPr>
        <w:tc>
          <w:tcPr>
            <w:tcW w:w="5257" w:type="dxa"/>
          </w:tcPr>
          <w:p w:rsidR="007C5447" w:rsidRDefault="00F6308C">
            <w:pPr>
              <w:pStyle w:val="TableParagraph"/>
              <w:spacing w:before="22"/>
              <w:ind w:left="107"/>
              <w:jc w:val="left"/>
            </w:pPr>
            <w:r>
              <w:t>LANCO Power (Aban co)</w:t>
            </w:r>
          </w:p>
        </w:tc>
        <w:tc>
          <w:tcPr>
            <w:tcW w:w="1801" w:type="dxa"/>
          </w:tcPr>
          <w:p w:rsidR="007C5447" w:rsidRDefault="00F6308C">
            <w:pPr>
              <w:pStyle w:val="TableParagraph"/>
              <w:spacing w:before="44" w:line="236" w:lineRule="exact"/>
              <w:ind w:right="469"/>
            </w:pPr>
            <w:r>
              <w:t>1.96</w:t>
            </w:r>
          </w:p>
        </w:tc>
      </w:tr>
      <w:tr w:rsidR="007C5447">
        <w:trPr>
          <w:trHeight w:val="300"/>
        </w:trPr>
        <w:tc>
          <w:tcPr>
            <w:tcW w:w="5257" w:type="dxa"/>
          </w:tcPr>
          <w:p w:rsidR="007C5447" w:rsidRDefault="00F6308C">
            <w:pPr>
              <w:pStyle w:val="TableParagraph"/>
              <w:spacing w:before="23"/>
              <w:ind w:left="107"/>
              <w:jc w:val="left"/>
            </w:pPr>
            <w:r>
              <w:t>Penna</w:t>
            </w:r>
          </w:p>
        </w:tc>
        <w:tc>
          <w:tcPr>
            <w:tcW w:w="1801" w:type="dxa"/>
          </w:tcPr>
          <w:p w:rsidR="007C5447" w:rsidRDefault="00F6308C">
            <w:pPr>
              <w:pStyle w:val="TableParagraph"/>
              <w:spacing w:before="47" w:line="233" w:lineRule="exact"/>
              <w:ind w:right="469"/>
            </w:pPr>
            <w:r>
              <w:t>1.97</w:t>
            </w:r>
          </w:p>
        </w:tc>
      </w:tr>
      <w:tr w:rsidR="007C5447">
        <w:trPr>
          <w:trHeight w:val="299"/>
        </w:trPr>
        <w:tc>
          <w:tcPr>
            <w:tcW w:w="5257" w:type="dxa"/>
          </w:tcPr>
          <w:p w:rsidR="007C5447" w:rsidRDefault="00F6308C">
            <w:pPr>
              <w:pStyle w:val="TableParagraph"/>
              <w:spacing w:before="22"/>
              <w:ind w:left="107"/>
              <w:jc w:val="left"/>
            </w:pPr>
            <w:r>
              <w:t>MTOA</w:t>
            </w:r>
          </w:p>
        </w:tc>
        <w:tc>
          <w:tcPr>
            <w:tcW w:w="1801" w:type="dxa"/>
          </w:tcPr>
          <w:p w:rsidR="007C5447" w:rsidRDefault="00F6308C">
            <w:pPr>
              <w:pStyle w:val="TableParagraph"/>
              <w:spacing w:before="46" w:line="233" w:lineRule="exact"/>
              <w:ind w:right="469"/>
            </w:pPr>
            <w:r>
              <w:t>2.00</w:t>
            </w:r>
          </w:p>
        </w:tc>
      </w:tr>
      <w:tr w:rsidR="007C5447">
        <w:trPr>
          <w:trHeight w:val="299"/>
        </w:trPr>
        <w:tc>
          <w:tcPr>
            <w:tcW w:w="5257" w:type="dxa"/>
          </w:tcPr>
          <w:p w:rsidR="007C5447" w:rsidRDefault="00F6308C">
            <w:pPr>
              <w:pStyle w:val="TableParagraph"/>
              <w:spacing w:before="22"/>
              <w:ind w:left="107"/>
              <w:jc w:val="left"/>
            </w:pPr>
            <w:r>
              <w:t>M/s. KSK Mahanadi Power Company Ltd.</w:t>
            </w:r>
          </w:p>
        </w:tc>
        <w:tc>
          <w:tcPr>
            <w:tcW w:w="1801" w:type="dxa"/>
          </w:tcPr>
          <w:p w:rsidR="007C5447" w:rsidRDefault="00F6308C">
            <w:pPr>
              <w:pStyle w:val="TableParagraph"/>
              <w:spacing w:before="46" w:line="233" w:lineRule="exact"/>
              <w:ind w:right="469"/>
            </w:pPr>
            <w:r>
              <w:t>2.06</w:t>
            </w:r>
          </w:p>
        </w:tc>
      </w:tr>
      <w:tr w:rsidR="007C5447">
        <w:trPr>
          <w:trHeight w:val="301"/>
        </w:trPr>
        <w:tc>
          <w:tcPr>
            <w:tcW w:w="5257" w:type="dxa"/>
          </w:tcPr>
          <w:p w:rsidR="007C5447" w:rsidRDefault="00F6308C">
            <w:pPr>
              <w:pStyle w:val="TableParagraph"/>
              <w:spacing w:before="22"/>
              <w:ind w:left="107"/>
              <w:jc w:val="left"/>
            </w:pPr>
            <w:r>
              <w:t>NTPC SR (Ramagundam) III</w:t>
            </w:r>
          </w:p>
        </w:tc>
        <w:tc>
          <w:tcPr>
            <w:tcW w:w="1801" w:type="dxa"/>
          </w:tcPr>
          <w:p w:rsidR="007C5447" w:rsidRDefault="00F6308C">
            <w:pPr>
              <w:pStyle w:val="TableParagraph"/>
              <w:spacing w:before="46" w:line="236" w:lineRule="exact"/>
              <w:ind w:right="469"/>
            </w:pPr>
            <w:r>
              <w:t>2.16</w:t>
            </w:r>
          </w:p>
        </w:tc>
      </w:tr>
      <w:tr w:rsidR="007C5447">
        <w:trPr>
          <w:trHeight w:val="299"/>
        </w:trPr>
        <w:tc>
          <w:tcPr>
            <w:tcW w:w="5257" w:type="dxa"/>
          </w:tcPr>
          <w:p w:rsidR="007C5447" w:rsidRDefault="00F6308C">
            <w:pPr>
              <w:pStyle w:val="TableParagraph"/>
              <w:spacing w:before="20"/>
              <w:ind w:left="107"/>
              <w:jc w:val="left"/>
            </w:pPr>
            <w:r>
              <w:t>North Chennai TPS</w:t>
            </w:r>
          </w:p>
        </w:tc>
        <w:tc>
          <w:tcPr>
            <w:tcW w:w="1801" w:type="dxa"/>
          </w:tcPr>
          <w:p w:rsidR="007C5447" w:rsidRDefault="00F6308C">
            <w:pPr>
              <w:pStyle w:val="TableParagraph"/>
              <w:spacing w:before="44" w:line="236" w:lineRule="exact"/>
              <w:ind w:right="469"/>
            </w:pPr>
            <w:r>
              <w:t>2.18</w:t>
            </w:r>
          </w:p>
        </w:tc>
      </w:tr>
      <w:tr w:rsidR="007C5447">
        <w:trPr>
          <w:trHeight w:val="299"/>
        </w:trPr>
        <w:tc>
          <w:tcPr>
            <w:tcW w:w="5257" w:type="dxa"/>
          </w:tcPr>
          <w:p w:rsidR="007C5447" w:rsidRDefault="00F6308C">
            <w:pPr>
              <w:pStyle w:val="TableParagraph"/>
              <w:spacing w:before="22"/>
              <w:ind w:left="107"/>
              <w:jc w:val="left"/>
            </w:pPr>
            <w:r>
              <w:t>NTPC SR (Ramagundam) (I&amp;II)</w:t>
            </w:r>
          </w:p>
        </w:tc>
        <w:tc>
          <w:tcPr>
            <w:tcW w:w="1801" w:type="dxa"/>
          </w:tcPr>
          <w:p w:rsidR="007C5447" w:rsidRDefault="00F6308C">
            <w:pPr>
              <w:pStyle w:val="TableParagraph"/>
              <w:spacing w:before="44" w:line="236" w:lineRule="exact"/>
              <w:ind w:right="469"/>
            </w:pPr>
            <w:r>
              <w:t>2.26</w:t>
            </w:r>
          </w:p>
        </w:tc>
      </w:tr>
      <w:tr w:rsidR="007C5447">
        <w:trPr>
          <w:trHeight w:val="299"/>
        </w:trPr>
        <w:tc>
          <w:tcPr>
            <w:tcW w:w="5257" w:type="dxa"/>
          </w:tcPr>
          <w:p w:rsidR="007C5447" w:rsidRDefault="00F6308C">
            <w:pPr>
              <w:pStyle w:val="TableParagraph"/>
              <w:spacing w:before="22"/>
              <w:ind w:left="107"/>
              <w:jc w:val="left"/>
            </w:pPr>
            <w:r>
              <w:t>MTPS Stage III</w:t>
            </w:r>
          </w:p>
        </w:tc>
        <w:tc>
          <w:tcPr>
            <w:tcW w:w="1801" w:type="dxa"/>
          </w:tcPr>
          <w:p w:rsidR="007C5447" w:rsidRDefault="00F6308C">
            <w:pPr>
              <w:pStyle w:val="TableParagraph"/>
              <w:spacing w:before="46" w:line="233" w:lineRule="exact"/>
              <w:ind w:right="469"/>
            </w:pPr>
            <w:r>
              <w:t>2.30</w:t>
            </w:r>
          </w:p>
        </w:tc>
      </w:tr>
    </w:tbl>
    <w:p w:rsidR="007C5447" w:rsidRDefault="007C5447">
      <w:pPr>
        <w:spacing w:line="233" w:lineRule="exact"/>
        <w:sectPr w:rsidR="007C5447">
          <w:footerReference w:type="default" r:id="rId56"/>
          <w:pgSz w:w="11910" w:h="16840"/>
          <w:pgMar w:top="1420" w:right="260" w:bottom="1240" w:left="340" w:header="0" w:footer="1057" w:gutter="0"/>
          <w:cols w:space="720"/>
        </w:sectPr>
      </w:pPr>
    </w:p>
    <w:tbl>
      <w:tblPr>
        <w:tblW w:w="0" w:type="auto"/>
        <w:tblInd w:w="20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57"/>
        <w:gridCol w:w="1801"/>
      </w:tblGrid>
      <w:tr w:rsidR="007C5447">
        <w:trPr>
          <w:trHeight w:val="506"/>
        </w:trPr>
        <w:tc>
          <w:tcPr>
            <w:tcW w:w="5257" w:type="dxa"/>
            <w:shd w:val="clear" w:color="auto" w:fill="FBD4B4"/>
          </w:tcPr>
          <w:p w:rsidR="007C5447" w:rsidRDefault="00F6308C">
            <w:pPr>
              <w:pStyle w:val="TableParagraph"/>
              <w:spacing w:before="125"/>
              <w:ind w:left="107"/>
              <w:jc w:val="left"/>
              <w:rPr>
                <w:b/>
              </w:rPr>
            </w:pPr>
            <w:r>
              <w:rPr>
                <w:b/>
              </w:rPr>
              <w:lastRenderedPageBreak/>
              <w:t>Source</w:t>
            </w:r>
          </w:p>
        </w:tc>
        <w:tc>
          <w:tcPr>
            <w:tcW w:w="1801" w:type="dxa"/>
            <w:shd w:val="clear" w:color="auto" w:fill="FBD4B4"/>
          </w:tcPr>
          <w:p w:rsidR="007C5447" w:rsidRDefault="00F6308C">
            <w:pPr>
              <w:pStyle w:val="TableParagraph"/>
              <w:spacing w:line="254" w:lineRule="exact"/>
              <w:ind w:left="441" w:right="220" w:hanging="192"/>
              <w:jc w:val="left"/>
              <w:rPr>
                <w:b/>
              </w:rPr>
            </w:pPr>
            <w:r>
              <w:rPr>
                <w:b/>
              </w:rPr>
              <w:t>Variable Cost (Rs/kWh)</w:t>
            </w:r>
          </w:p>
        </w:tc>
      </w:tr>
      <w:tr w:rsidR="007C5447">
        <w:trPr>
          <w:trHeight w:val="297"/>
        </w:trPr>
        <w:tc>
          <w:tcPr>
            <w:tcW w:w="5257" w:type="dxa"/>
          </w:tcPr>
          <w:p w:rsidR="007C5447" w:rsidRDefault="00F6308C">
            <w:pPr>
              <w:pStyle w:val="TableParagraph"/>
              <w:spacing w:before="21"/>
              <w:ind w:left="107"/>
              <w:jc w:val="left"/>
            </w:pPr>
            <w:r>
              <w:t>NTPC ER</w:t>
            </w:r>
          </w:p>
        </w:tc>
        <w:tc>
          <w:tcPr>
            <w:tcW w:w="1801" w:type="dxa"/>
          </w:tcPr>
          <w:p w:rsidR="007C5447" w:rsidRDefault="00F6308C">
            <w:pPr>
              <w:pStyle w:val="TableParagraph"/>
              <w:spacing w:before="45" w:line="233" w:lineRule="exact"/>
              <w:ind w:right="469"/>
            </w:pPr>
            <w:r>
              <w:t>2.30</w:t>
            </w:r>
          </w:p>
        </w:tc>
      </w:tr>
      <w:tr w:rsidR="007C5447">
        <w:trPr>
          <w:trHeight w:val="299"/>
        </w:trPr>
        <w:tc>
          <w:tcPr>
            <w:tcW w:w="5257" w:type="dxa"/>
          </w:tcPr>
          <w:p w:rsidR="007C5447" w:rsidRDefault="00F6308C">
            <w:pPr>
              <w:pStyle w:val="TableParagraph"/>
              <w:spacing w:before="22"/>
              <w:ind w:left="107"/>
              <w:jc w:val="left"/>
            </w:pPr>
            <w:r>
              <w:t>VGTPS (Unit 1 and 2)</w:t>
            </w:r>
          </w:p>
        </w:tc>
        <w:tc>
          <w:tcPr>
            <w:tcW w:w="1801" w:type="dxa"/>
          </w:tcPr>
          <w:p w:rsidR="007C5447" w:rsidRDefault="00F6308C">
            <w:pPr>
              <w:pStyle w:val="TableParagraph"/>
              <w:spacing w:before="46" w:line="233" w:lineRule="exact"/>
              <w:ind w:right="469"/>
            </w:pPr>
            <w:r>
              <w:t>2.34</w:t>
            </w:r>
          </w:p>
        </w:tc>
      </w:tr>
      <w:tr w:rsidR="007C5447">
        <w:trPr>
          <w:trHeight w:val="299"/>
        </w:trPr>
        <w:tc>
          <w:tcPr>
            <w:tcW w:w="5257" w:type="dxa"/>
          </w:tcPr>
          <w:p w:rsidR="007C5447" w:rsidRDefault="00F6308C">
            <w:pPr>
              <w:pStyle w:val="TableParagraph"/>
              <w:spacing w:before="22"/>
              <w:ind w:left="107"/>
              <w:jc w:val="left"/>
            </w:pPr>
            <w:r>
              <w:t>NTPC Vallur Unit 1 &amp; Unit 2 (NTECL)</w:t>
            </w:r>
          </w:p>
        </w:tc>
        <w:tc>
          <w:tcPr>
            <w:tcW w:w="1801" w:type="dxa"/>
          </w:tcPr>
          <w:p w:rsidR="007C5447" w:rsidRDefault="00F6308C">
            <w:pPr>
              <w:pStyle w:val="TableParagraph"/>
              <w:spacing w:before="46" w:line="233" w:lineRule="exact"/>
              <w:ind w:right="469"/>
            </w:pPr>
            <w:r>
              <w:t>2.40</w:t>
            </w:r>
          </w:p>
        </w:tc>
      </w:tr>
      <w:tr w:rsidR="007C5447">
        <w:trPr>
          <w:trHeight w:val="301"/>
        </w:trPr>
        <w:tc>
          <w:tcPr>
            <w:tcW w:w="5257" w:type="dxa"/>
          </w:tcPr>
          <w:p w:rsidR="007C5447" w:rsidRDefault="00F6308C">
            <w:pPr>
              <w:pStyle w:val="TableParagraph"/>
              <w:spacing w:before="22"/>
              <w:ind w:left="107"/>
              <w:jc w:val="left"/>
            </w:pPr>
            <w:r>
              <w:t>NLC TS Expansion II</w:t>
            </w:r>
          </w:p>
        </w:tc>
        <w:tc>
          <w:tcPr>
            <w:tcW w:w="1801" w:type="dxa"/>
          </w:tcPr>
          <w:p w:rsidR="007C5447" w:rsidRDefault="00F6308C">
            <w:pPr>
              <w:pStyle w:val="TableParagraph"/>
              <w:spacing w:before="46" w:line="236" w:lineRule="exact"/>
              <w:ind w:right="469"/>
            </w:pPr>
            <w:r>
              <w:t>2.42</w:t>
            </w:r>
          </w:p>
        </w:tc>
      </w:tr>
      <w:tr w:rsidR="007C5447">
        <w:trPr>
          <w:trHeight w:val="299"/>
        </w:trPr>
        <w:tc>
          <w:tcPr>
            <w:tcW w:w="5257" w:type="dxa"/>
          </w:tcPr>
          <w:p w:rsidR="007C5447" w:rsidRDefault="00F6308C">
            <w:pPr>
              <w:pStyle w:val="TableParagraph"/>
              <w:spacing w:before="22"/>
              <w:ind w:left="107"/>
              <w:jc w:val="left"/>
            </w:pPr>
            <w:r>
              <w:t>TGTPS</w:t>
            </w:r>
          </w:p>
        </w:tc>
        <w:tc>
          <w:tcPr>
            <w:tcW w:w="1801" w:type="dxa"/>
          </w:tcPr>
          <w:p w:rsidR="007C5447" w:rsidRDefault="00F6308C">
            <w:pPr>
              <w:pStyle w:val="TableParagraph"/>
              <w:spacing w:before="44" w:line="236" w:lineRule="exact"/>
              <w:ind w:right="469"/>
            </w:pPr>
            <w:r>
              <w:t>2.45</w:t>
            </w:r>
          </w:p>
        </w:tc>
      </w:tr>
      <w:tr w:rsidR="007C5447">
        <w:trPr>
          <w:trHeight w:val="299"/>
        </w:trPr>
        <w:tc>
          <w:tcPr>
            <w:tcW w:w="5257" w:type="dxa"/>
          </w:tcPr>
          <w:p w:rsidR="007C5447" w:rsidRDefault="00F6308C">
            <w:pPr>
              <w:pStyle w:val="TableParagraph"/>
              <w:spacing w:before="22"/>
              <w:ind w:left="107"/>
              <w:jc w:val="left"/>
            </w:pPr>
            <w:r>
              <w:t>KGTPS</w:t>
            </w:r>
          </w:p>
        </w:tc>
        <w:tc>
          <w:tcPr>
            <w:tcW w:w="1801" w:type="dxa"/>
          </w:tcPr>
          <w:p w:rsidR="007C5447" w:rsidRDefault="00F6308C">
            <w:pPr>
              <w:pStyle w:val="TableParagraph"/>
              <w:spacing w:before="46" w:line="233" w:lineRule="exact"/>
              <w:ind w:right="469"/>
            </w:pPr>
            <w:r>
              <w:t>2.48</w:t>
            </w:r>
          </w:p>
        </w:tc>
      </w:tr>
      <w:tr w:rsidR="007C5447">
        <w:trPr>
          <w:trHeight w:val="299"/>
        </w:trPr>
        <w:tc>
          <w:tcPr>
            <w:tcW w:w="5257" w:type="dxa"/>
          </w:tcPr>
          <w:p w:rsidR="007C5447" w:rsidRDefault="00F6308C">
            <w:pPr>
              <w:pStyle w:val="TableParagraph"/>
              <w:spacing w:before="22"/>
              <w:ind w:left="107"/>
              <w:jc w:val="left"/>
            </w:pPr>
            <w:r>
              <w:t>NLC TS Expansion I</w:t>
            </w:r>
          </w:p>
        </w:tc>
        <w:tc>
          <w:tcPr>
            <w:tcW w:w="1801" w:type="dxa"/>
          </w:tcPr>
          <w:p w:rsidR="007C5447" w:rsidRDefault="00F6308C">
            <w:pPr>
              <w:pStyle w:val="TableParagraph"/>
              <w:spacing w:before="46" w:line="233" w:lineRule="exact"/>
              <w:ind w:right="469"/>
            </w:pPr>
            <w:r>
              <w:t>2.49</w:t>
            </w:r>
          </w:p>
        </w:tc>
      </w:tr>
      <w:tr w:rsidR="007C5447">
        <w:trPr>
          <w:trHeight w:val="299"/>
        </w:trPr>
        <w:tc>
          <w:tcPr>
            <w:tcW w:w="5257" w:type="dxa"/>
          </w:tcPr>
          <w:p w:rsidR="007C5447" w:rsidRDefault="00F6308C">
            <w:pPr>
              <w:pStyle w:val="TableParagraph"/>
              <w:spacing w:before="22"/>
              <w:ind w:left="107"/>
              <w:jc w:val="left"/>
            </w:pPr>
            <w:r>
              <w:t>NTPL (JV with NLC)</w:t>
            </w:r>
          </w:p>
        </w:tc>
        <w:tc>
          <w:tcPr>
            <w:tcW w:w="1801" w:type="dxa"/>
          </w:tcPr>
          <w:p w:rsidR="007C5447" w:rsidRDefault="00F6308C">
            <w:pPr>
              <w:pStyle w:val="TableParagraph"/>
              <w:spacing w:before="46" w:line="233" w:lineRule="exact"/>
              <w:ind w:right="469"/>
            </w:pPr>
            <w:r>
              <w:t>2.56</w:t>
            </w:r>
          </w:p>
        </w:tc>
      </w:tr>
      <w:tr w:rsidR="007C5447">
        <w:trPr>
          <w:trHeight w:val="299"/>
        </w:trPr>
        <w:tc>
          <w:tcPr>
            <w:tcW w:w="5257" w:type="dxa"/>
          </w:tcPr>
          <w:p w:rsidR="007C5447" w:rsidRDefault="00F6308C">
            <w:pPr>
              <w:pStyle w:val="TableParagraph"/>
              <w:spacing w:before="22"/>
              <w:ind w:left="107"/>
              <w:jc w:val="left"/>
            </w:pPr>
            <w:r>
              <w:t>NLC TS - II - Stage 1</w:t>
            </w:r>
          </w:p>
        </w:tc>
        <w:tc>
          <w:tcPr>
            <w:tcW w:w="1801" w:type="dxa"/>
          </w:tcPr>
          <w:p w:rsidR="007C5447" w:rsidRDefault="00F6308C">
            <w:pPr>
              <w:pStyle w:val="TableParagraph"/>
              <w:spacing w:before="46" w:line="233" w:lineRule="exact"/>
              <w:ind w:right="469"/>
            </w:pPr>
            <w:r>
              <w:t>2.60</w:t>
            </w:r>
          </w:p>
        </w:tc>
      </w:tr>
      <w:tr w:rsidR="007C5447">
        <w:trPr>
          <w:trHeight w:val="301"/>
        </w:trPr>
        <w:tc>
          <w:tcPr>
            <w:tcW w:w="5257" w:type="dxa"/>
          </w:tcPr>
          <w:p w:rsidR="007C5447" w:rsidRDefault="00F6308C">
            <w:pPr>
              <w:pStyle w:val="TableParagraph"/>
              <w:spacing w:before="22"/>
              <w:ind w:left="107"/>
              <w:jc w:val="left"/>
            </w:pPr>
            <w:r>
              <w:t>Ennore Expansion</w:t>
            </w:r>
          </w:p>
        </w:tc>
        <w:tc>
          <w:tcPr>
            <w:tcW w:w="1801" w:type="dxa"/>
          </w:tcPr>
          <w:p w:rsidR="007C5447" w:rsidRDefault="00F6308C">
            <w:pPr>
              <w:pStyle w:val="TableParagraph"/>
              <w:spacing w:before="46" w:line="236" w:lineRule="exact"/>
              <w:ind w:right="469"/>
            </w:pPr>
            <w:r>
              <w:t>2.64</w:t>
            </w:r>
          </w:p>
        </w:tc>
      </w:tr>
      <w:tr w:rsidR="007C5447">
        <w:trPr>
          <w:trHeight w:val="300"/>
        </w:trPr>
        <w:tc>
          <w:tcPr>
            <w:tcW w:w="5257" w:type="dxa"/>
          </w:tcPr>
          <w:p w:rsidR="007C5447" w:rsidRDefault="00F6308C">
            <w:pPr>
              <w:pStyle w:val="TableParagraph"/>
              <w:spacing w:before="22"/>
              <w:ind w:left="107"/>
              <w:jc w:val="left"/>
            </w:pPr>
            <w:r>
              <w:t>NTPC Simhadri</w:t>
            </w:r>
          </w:p>
        </w:tc>
        <w:tc>
          <w:tcPr>
            <w:tcW w:w="1801" w:type="dxa"/>
          </w:tcPr>
          <w:p w:rsidR="007C5447" w:rsidRDefault="00F6308C">
            <w:pPr>
              <w:pStyle w:val="TableParagraph"/>
              <w:spacing w:before="44" w:line="236" w:lineRule="exact"/>
              <w:ind w:right="469"/>
            </w:pPr>
            <w:r>
              <w:t>2.68</w:t>
            </w:r>
          </w:p>
        </w:tc>
      </w:tr>
      <w:tr w:rsidR="007C5447">
        <w:trPr>
          <w:trHeight w:val="299"/>
        </w:trPr>
        <w:tc>
          <w:tcPr>
            <w:tcW w:w="5257" w:type="dxa"/>
          </w:tcPr>
          <w:p w:rsidR="007C5447" w:rsidRDefault="00F6308C">
            <w:pPr>
              <w:pStyle w:val="TableParagraph"/>
              <w:spacing w:before="22"/>
              <w:ind w:left="107"/>
              <w:jc w:val="left"/>
            </w:pPr>
            <w:r>
              <w:t>M/s. IL &amp; FS Tamil Nadu Power Company Ltd.</w:t>
            </w:r>
          </w:p>
        </w:tc>
        <w:tc>
          <w:tcPr>
            <w:tcW w:w="1801" w:type="dxa"/>
          </w:tcPr>
          <w:p w:rsidR="007C5447" w:rsidRDefault="00F6308C">
            <w:pPr>
              <w:pStyle w:val="TableParagraph"/>
              <w:spacing w:before="46" w:line="233" w:lineRule="exact"/>
              <w:ind w:right="469"/>
            </w:pPr>
            <w:r>
              <w:t>2.80</w:t>
            </w:r>
          </w:p>
        </w:tc>
      </w:tr>
      <w:tr w:rsidR="007C5447">
        <w:trPr>
          <w:trHeight w:val="299"/>
        </w:trPr>
        <w:tc>
          <w:tcPr>
            <w:tcW w:w="5257" w:type="dxa"/>
          </w:tcPr>
          <w:p w:rsidR="007C5447" w:rsidRDefault="00F6308C">
            <w:pPr>
              <w:pStyle w:val="TableParagraph"/>
              <w:spacing w:before="22"/>
              <w:ind w:left="107"/>
              <w:jc w:val="left"/>
            </w:pPr>
            <w:r>
              <w:t>M/s. Coastal Energen Power Ltd.</w:t>
            </w:r>
          </w:p>
        </w:tc>
        <w:tc>
          <w:tcPr>
            <w:tcW w:w="1801" w:type="dxa"/>
          </w:tcPr>
          <w:p w:rsidR="007C5447" w:rsidRDefault="00F6308C">
            <w:pPr>
              <w:pStyle w:val="TableParagraph"/>
              <w:spacing w:before="46" w:line="233" w:lineRule="exact"/>
              <w:ind w:right="469"/>
            </w:pPr>
            <w:r>
              <w:t>2.85</w:t>
            </w:r>
          </w:p>
        </w:tc>
      </w:tr>
      <w:tr w:rsidR="007C5447">
        <w:trPr>
          <w:trHeight w:val="299"/>
        </w:trPr>
        <w:tc>
          <w:tcPr>
            <w:tcW w:w="5257" w:type="dxa"/>
          </w:tcPr>
          <w:p w:rsidR="007C5447" w:rsidRDefault="00F6308C">
            <w:pPr>
              <w:pStyle w:val="TableParagraph"/>
              <w:spacing w:before="22"/>
              <w:ind w:left="107"/>
              <w:jc w:val="left"/>
            </w:pPr>
            <w:r>
              <w:t>Mettur TPS</w:t>
            </w:r>
          </w:p>
        </w:tc>
        <w:tc>
          <w:tcPr>
            <w:tcW w:w="1801" w:type="dxa"/>
          </w:tcPr>
          <w:p w:rsidR="007C5447" w:rsidRDefault="00F6308C">
            <w:pPr>
              <w:pStyle w:val="TableParagraph"/>
              <w:spacing w:before="46" w:line="233" w:lineRule="exact"/>
              <w:ind w:right="469"/>
            </w:pPr>
            <w:r>
              <w:t>2.97</w:t>
            </w:r>
          </w:p>
        </w:tc>
      </w:tr>
      <w:tr w:rsidR="007C5447">
        <w:trPr>
          <w:trHeight w:val="299"/>
        </w:trPr>
        <w:tc>
          <w:tcPr>
            <w:tcW w:w="5257" w:type="dxa"/>
          </w:tcPr>
          <w:p w:rsidR="007C5447" w:rsidRDefault="00F6308C">
            <w:pPr>
              <w:pStyle w:val="TableParagraph"/>
              <w:spacing w:before="22"/>
              <w:ind w:left="107"/>
              <w:jc w:val="left"/>
            </w:pPr>
            <w:r>
              <w:t>NCTPS Stage-II</w:t>
            </w:r>
          </w:p>
        </w:tc>
        <w:tc>
          <w:tcPr>
            <w:tcW w:w="1801" w:type="dxa"/>
          </w:tcPr>
          <w:p w:rsidR="007C5447" w:rsidRDefault="00F6308C">
            <w:pPr>
              <w:pStyle w:val="TableParagraph"/>
              <w:spacing w:before="46" w:line="233" w:lineRule="exact"/>
              <w:ind w:right="469"/>
            </w:pPr>
            <w:r>
              <w:t>3.06</w:t>
            </w:r>
          </w:p>
        </w:tc>
      </w:tr>
      <w:tr w:rsidR="007C5447">
        <w:trPr>
          <w:trHeight w:val="301"/>
        </w:trPr>
        <w:tc>
          <w:tcPr>
            <w:tcW w:w="5257" w:type="dxa"/>
          </w:tcPr>
          <w:p w:rsidR="007C5447" w:rsidRDefault="00F6308C">
            <w:pPr>
              <w:pStyle w:val="TableParagraph"/>
              <w:spacing w:before="22"/>
              <w:ind w:left="107"/>
              <w:jc w:val="left"/>
            </w:pPr>
            <w:r>
              <w:t>Tuticorin TPS</w:t>
            </w:r>
          </w:p>
        </w:tc>
        <w:tc>
          <w:tcPr>
            <w:tcW w:w="1801" w:type="dxa"/>
          </w:tcPr>
          <w:p w:rsidR="007C5447" w:rsidRDefault="00F6308C">
            <w:pPr>
              <w:pStyle w:val="TableParagraph"/>
              <w:spacing w:before="46" w:line="236" w:lineRule="exact"/>
              <w:ind w:right="469"/>
            </w:pPr>
            <w:r>
              <w:t>3.11</w:t>
            </w:r>
          </w:p>
        </w:tc>
      </w:tr>
      <w:tr w:rsidR="007C5447">
        <w:trPr>
          <w:trHeight w:val="299"/>
        </w:trPr>
        <w:tc>
          <w:tcPr>
            <w:tcW w:w="5257" w:type="dxa"/>
          </w:tcPr>
          <w:p w:rsidR="007C5447" w:rsidRDefault="00F6308C">
            <w:pPr>
              <w:pStyle w:val="TableParagraph"/>
              <w:spacing w:before="22"/>
              <w:ind w:left="107"/>
              <w:jc w:val="left"/>
            </w:pPr>
            <w:r>
              <w:t>M/s. OPG Power Gen Pvt. Ltd.</w:t>
            </w:r>
          </w:p>
        </w:tc>
        <w:tc>
          <w:tcPr>
            <w:tcW w:w="1801" w:type="dxa"/>
          </w:tcPr>
          <w:p w:rsidR="007C5447" w:rsidRDefault="00F6308C">
            <w:pPr>
              <w:pStyle w:val="TableParagraph"/>
              <w:spacing w:before="44" w:line="236" w:lineRule="exact"/>
              <w:ind w:right="469"/>
            </w:pPr>
            <w:r>
              <w:t>3.12</w:t>
            </w:r>
          </w:p>
        </w:tc>
      </w:tr>
      <w:tr w:rsidR="007C5447">
        <w:trPr>
          <w:trHeight w:val="299"/>
        </w:trPr>
        <w:tc>
          <w:tcPr>
            <w:tcW w:w="5257" w:type="dxa"/>
          </w:tcPr>
          <w:p w:rsidR="007C5447" w:rsidRDefault="00F6308C">
            <w:pPr>
              <w:pStyle w:val="TableParagraph"/>
              <w:spacing w:before="22"/>
              <w:ind w:left="107"/>
              <w:jc w:val="left"/>
            </w:pPr>
            <w:r>
              <w:t>NLC TS – I</w:t>
            </w:r>
          </w:p>
        </w:tc>
        <w:tc>
          <w:tcPr>
            <w:tcW w:w="1801" w:type="dxa"/>
          </w:tcPr>
          <w:p w:rsidR="007C5447" w:rsidRDefault="00F6308C">
            <w:pPr>
              <w:pStyle w:val="TableParagraph"/>
              <w:spacing w:before="46" w:line="233" w:lineRule="exact"/>
              <w:ind w:right="469"/>
            </w:pPr>
            <w:r>
              <w:t>3.36</w:t>
            </w:r>
          </w:p>
        </w:tc>
      </w:tr>
      <w:tr w:rsidR="007C5447">
        <w:trPr>
          <w:trHeight w:val="299"/>
        </w:trPr>
        <w:tc>
          <w:tcPr>
            <w:tcW w:w="5257" w:type="dxa"/>
          </w:tcPr>
          <w:p w:rsidR="007C5447" w:rsidRDefault="00F6308C">
            <w:pPr>
              <w:pStyle w:val="TableParagraph"/>
              <w:spacing w:before="22"/>
              <w:ind w:left="107"/>
              <w:jc w:val="left"/>
            </w:pPr>
            <w:r>
              <w:t>STCMS - Neyveli</w:t>
            </w:r>
          </w:p>
        </w:tc>
        <w:tc>
          <w:tcPr>
            <w:tcW w:w="1801" w:type="dxa"/>
          </w:tcPr>
          <w:p w:rsidR="007C5447" w:rsidRDefault="00F6308C">
            <w:pPr>
              <w:pStyle w:val="TableParagraph"/>
              <w:spacing w:before="46" w:line="233" w:lineRule="exact"/>
              <w:ind w:right="469"/>
            </w:pPr>
            <w:r>
              <w:t>3.44</w:t>
            </w:r>
          </w:p>
        </w:tc>
      </w:tr>
      <w:tr w:rsidR="007C5447">
        <w:trPr>
          <w:trHeight w:val="299"/>
        </w:trPr>
        <w:tc>
          <w:tcPr>
            <w:tcW w:w="5257" w:type="dxa"/>
          </w:tcPr>
          <w:p w:rsidR="007C5447" w:rsidRDefault="00F6308C">
            <w:pPr>
              <w:pStyle w:val="TableParagraph"/>
              <w:spacing w:before="22"/>
              <w:ind w:left="107"/>
              <w:jc w:val="left"/>
            </w:pPr>
            <w:r>
              <w:t>STOA</w:t>
            </w:r>
          </w:p>
        </w:tc>
        <w:tc>
          <w:tcPr>
            <w:tcW w:w="1801" w:type="dxa"/>
          </w:tcPr>
          <w:p w:rsidR="007C5447" w:rsidRDefault="00F6308C">
            <w:pPr>
              <w:pStyle w:val="TableParagraph"/>
              <w:spacing w:before="46" w:line="233" w:lineRule="exact"/>
              <w:ind w:right="469"/>
            </w:pPr>
            <w:r>
              <w:t>3.85</w:t>
            </w:r>
          </w:p>
        </w:tc>
      </w:tr>
      <w:tr w:rsidR="007C5447">
        <w:trPr>
          <w:trHeight w:val="301"/>
        </w:trPr>
        <w:tc>
          <w:tcPr>
            <w:tcW w:w="5257" w:type="dxa"/>
          </w:tcPr>
          <w:p w:rsidR="007C5447" w:rsidRDefault="00F6308C">
            <w:pPr>
              <w:pStyle w:val="TableParagraph"/>
              <w:spacing w:before="22"/>
              <w:ind w:left="107"/>
              <w:jc w:val="left"/>
            </w:pPr>
            <w:r>
              <w:t>PPN</w:t>
            </w:r>
          </w:p>
        </w:tc>
        <w:tc>
          <w:tcPr>
            <w:tcW w:w="1801" w:type="dxa"/>
          </w:tcPr>
          <w:p w:rsidR="007C5447" w:rsidRDefault="00F6308C">
            <w:pPr>
              <w:pStyle w:val="TableParagraph"/>
              <w:spacing w:before="46" w:line="236" w:lineRule="exact"/>
              <w:ind w:right="469"/>
            </w:pPr>
            <w:r>
              <w:t>7.47</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4"/>
        <w:rPr>
          <w:b/>
          <w:sz w:val="22"/>
        </w:rPr>
      </w:pPr>
    </w:p>
    <w:p w:rsidR="007C5447" w:rsidRDefault="00F6308C">
      <w:pPr>
        <w:pStyle w:val="ListParagraph"/>
        <w:numPr>
          <w:ilvl w:val="2"/>
          <w:numId w:val="114"/>
        </w:numPr>
        <w:tabs>
          <w:tab w:val="left" w:pos="1953"/>
        </w:tabs>
        <w:spacing w:line="312" w:lineRule="auto"/>
        <w:ind w:left="1952" w:right="1173" w:hanging="852"/>
        <w:jc w:val="both"/>
        <w:rPr>
          <w:sz w:val="24"/>
        </w:rPr>
      </w:pPr>
      <w:r>
        <w:rPr>
          <w:sz w:val="24"/>
        </w:rPr>
        <w:t>TANGEDCO should take prior approval from the Commission for purchasing energy from unapproved sources and for power purchase beyond MoD. The Commission appreciates that the MoD is a dynamic activity, as TANGEDCO has to meet the MW requirement as well as MU</w:t>
      </w:r>
      <w:r>
        <w:rPr>
          <w:sz w:val="24"/>
        </w:rPr>
        <w:t xml:space="preserve"> requirement on a day-to-day basis, and rates of power purchase from other sources are subject to revision. At the same time, TANGEDCO is duty-bound to ensure that the cheapest power (in terms of variable cost) available is procured, which is laid down by </w:t>
      </w:r>
      <w:r>
        <w:rPr>
          <w:sz w:val="24"/>
        </w:rPr>
        <w:t>the broad MoD stack detailed above. Hence, TANGEDCO is directed to submit the MoD stack of actual power purchased from various sources during the month, on a monthly basis. Further, in case of any variations from the MoD stack approved by the Commission, T</w:t>
      </w:r>
      <w:r>
        <w:rPr>
          <w:sz w:val="24"/>
        </w:rPr>
        <w:t>ANGEDCO should file quarterly Petitions for ratification of such power purchase with proper justification, in the same manner as being done presently for purchase from IPPs outside the MoD stack.</w:t>
      </w:r>
    </w:p>
    <w:p w:rsidR="007C5447" w:rsidRDefault="007C5447">
      <w:pPr>
        <w:pStyle w:val="BodyText"/>
        <w:spacing w:before="10"/>
        <w:rPr>
          <w:sz w:val="20"/>
        </w:rPr>
      </w:pPr>
    </w:p>
    <w:p w:rsidR="007C5447" w:rsidRDefault="00F6308C">
      <w:pPr>
        <w:pStyle w:val="ListParagraph"/>
        <w:numPr>
          <w:ilvl w:val="2"/>
          <w:numId w:val="114"/>
        </w:numPr>
        <w:tabs>
          <w:tab w:val="left" w:pos="1953"/>
        </w:tabs>
        <w:spacing w:line="312" w:lineRule="auto"/>
        <w:ind w:left="1952" w:right="1178" w:hanging="852"/>
        <w:jc w:val="both"/>
        <w:rPr>
          <w:sz w:val="24"/>
        </w:rPr>
      </w:pPr>
      <w:r>
        <w:rPr>
          <w:sz w:val="24"/>
        </w:rPr>
        <w:t>Further, even though the energy availability from RE and ca</w:t>
      </w:r>
      <w:r>
        <w:rPr>
          <w:sz w:val="24"/>
        </w:rPr>
        <w:t>ptive sources has been considered</w:t>
      </w:r>
      <w:r>
        <w:rPr>
          <w:spacing w:val="15"/>
          <w:sz w:val="24"/>
        </w:rPr>
        <w:t xml:space="preserve"> </w:t>
      </w:r>
      <w:r>
        <w:rPr>
          <w:sz w:val="24"/>
        </w:rPr>
        <w:t>as</w:t>
      </w:r>
      <w:r>
        <w:rPr>
          <w:spacing w:val="14"/>
          <w:sz w:val="24"/>
        </w:rPr>
        <w:t xml:space="preserve"> </w:t>
      </w:r>
      <w:r>
        <w:rPr>
          <w:sz w:val="24"/>
        </w:rPr>
        <w:t>projected</w:t>
      </w:r>
      <w:r>
        <w:rPr>
          <w:spacing w:val="16"/>
          <w:sz w:val="24"/>
        </w:rPr>
        <w:t xml:space="preserve"> </w:t>
      </w:r>
      <w:r>
        <w:rPr>
          <w:sz w:val="24"/>
        </w:rPr>
        <w:t>by</w:t>
      </w:r>
      <w:r>
        <w:rPr>
          <w:spacing w:val="9"/>
          <w:sz w:val="24"/>
        </w:rPr>
        <w:t xml:space="preserve"> </w:t>
      </w:r>
      <w:r>
        <w:rPr>
          <w:sz w:val="24"/>
        </w:rPr>
        <w:t>TANGEDCO,</w:t>
      </w:r>
      <w:r>
        <w:rPr>
          <w:spacing w:val="13"/>
          <w:sz w:val="24"/>
        </w:rPr>
        <w:t xml:space="preserve"> </w:t>
      </w:r>
      <w:r>
        <w:rPr>
          <w:sz w:val="24"/>
        </w:rPr>
        <w:t>the</w:t>
      </w:r>
      <w:r>
        <w:rPr>
          <w:spacing w:val="13"/>
          <w:sz w:val="24"/>
        </w:rPr>
        <w:t xml:space="preserve"> </w:t>
      </w:r>
      <w:r>
        <w:rPr>
          <w:sz w:val="24"/>
        </w:rPr>
        <w:t>purchase</w:t>
      </w:r>
      <w:r>
        <w:rPr>
          <w:spacing w:val="15"/>
          <w:sz w:val="24"/>
        </w:rPr>
        <w:t xml:space="preserve"> </w:t>
      </w:r>
      <w:r>
        <w:rPr>
          <w:sz w:val="24"/>
        </w:rPr>
        <w:t>from</w:t>
      </w:r>
      <w:r>
        <w:rPr>
          <w:spacing w:val="14"/>
          <w:sz w:val="24"/>
        </w:rPr>
        <w:t xml:space="preserve"> </w:t>
      </w:r>
      <w:r>
        <w:rPr>
          <w:sz w:val="24"/>
        </w:rPr>
        <w:t>these</w:t>
      </w:r>
      <w:r>
        <w:rPr>
          <w:spacing w:val="13"/>
          <w:sz w:val="24"/>
        </w:rPr>
        <w:t xml:space="preserve"> </w:t>
      </w:r>
      <w:r>
        <w:rPr>
          <w:sz w:val="24"/>
        </w:rPr>
        <w:t>sources</w:t>
      </w:r>
      <w:r>
        <w:rPr>
          <w:spacing w:val="14"/>
          <w:sz w:val="24"/>
        </w:rPr>
        <w:t xml:space="preserve"> </w:t>
      </w:r>
      <w:r>
        <w:rPr>
          <w:sz w:val="24"/>
        </w:rPr>
        <w:t>has</w:t>
      </w:r>
      <w:r>
        <w:rPr>
          <w:spacing w:val="14"/>
          <w:sz w:val="24"/>
        </w:rPr>
        <w:t xml:space="preserve"> </w:t>
      </w:r>
      <w:r>
        <w:rPr>
          <w:sz w:val="24"/>
        </w:rPr>
        <w:t>been</w:t>
      </w:r>
    </w:p>
    <w:p w:rsidR="007C5447" w:rsidRDefault="007C5447">
      <w:pPr>
        <w:spacing w:line="312" w:lineRule="auto"/>
        <w:jc w:val="both"/>
        <w:rPr>
          <w:sz w:val="24"/>
        </w:rPr>
        <w:sectPr w:rsidR="007C5447">
          <w:footerReference w:type="default" r:id="rId57"/>
          <w:pgSz w:w="11910" w:h="16840"/>
          <w:pgMar w:top="1420" w:right="260" w:bottom="960" w:left="340" w:header="0" w:footer="777" w:gutter="0"/>
          <w:pgNumType w:start="241"/>
          <w:cols w:space="720"/>
        </w:sectPr>
      </w:pPr>
    </w:p>
    <w:p w:rsidR="007C5447" w:rsidRDefault="00F6308C">
      <w:pPr>
        <w:pStyle w:val="BodyText"/>
        <w:spacing w:before="60" w:line="312" w:lineRule="auto"/>
        <w:ind w:left="1952" w:right="1176"/>
        <w:jc w:val="both"/>
      </w:pPr>
      <w:r>
        <w:lastRenderedPageBreak/>
        <w:t>restricted as per RPO requirements, i.e., 9% from Non-Solar sources in FY 2016-17 to FY 2018-19, 2.5% from Solar in FY 2016-17 and 5% from Solar in FY 2017-18 and FY 2018-19. Any shortfall in Solar or Non-Solar requirements has been considered to be met th</w:t>
      </w:r>
      <w:r>
        <w:t>rough purchase of REC at the prevalent floor price.</w:t>
      </w:r>
    </w:p>
    <w:p w:rsidR="007C5447" w:rsidRDefault="007C5447">
      <w:pPr>
        <w:pStyle w:val="BodyText"/>
        <w:spacing w:before="11"/>
        <w:rPr>
          <w:sz w:val="20"/>
        </w:rPr>
      </w:pPr>
    </w:p>
    <w:p w:rsidR="007C5447" w:rsidRDefault="00F6308C">
      <w:pPr>
        <w:pStyle w:val="ListParagraph"/>
        <w:numPr>
          <w:ilvl w:val="2"/>
          <w:numId w:val="114"/>
        </w:numPr>
        <w:tabs>
          <w:tab w:val="left" w:pos="1953"/>
        </w:tabs>
        <w:spacing w:line="312" w:lineRule="auto"/>
        <w:ind w:left="1952" w:right="1172" w:hanging="852"/>
        <w:jc w:val="both"/>
        <w:rPr>
          <w:sz w:val="24"/>
        </w:rPr>
      </w:pPr>
      <w:r>
        <w:rPr>
          <w:sz w:val="24"/>
        </w:rPr>
        <w:t>The Commission has observed that on account of the forecasting facility made available during FY 2016-17 by IWPA and NIWE, the purchase from Wind sources has increased. Therefore, in view of grid securit</w:t>
      </w:r>
      <w:r>
        <w:rPr>
          <w:sz w:val="24"/>
        </w:rPr>
        <w:t>y and stability, and the desired optimisation of cost and meeting of RPO requirements, the Commission directs TANGEDCO to ensure that forecasting facility for wind generation is available to TANGEDCO. In order to make the forecasting more accurate, suitabl</w:t>
      </w:r>
      <w:r>
        <w:rPr>
          <w:sz w:val="24"/>
        </w:rPr>
        <w:t>e in-house forecasting module may also be</w:t>
      </w:r>
      <w:r>
        <w:rPr>
          <w:spacing w:val="-8"/>
          <w:sz w:val="24"/>
        </w:rPr>
        <w:t xml:space="preserve"> </w:t>
      </w:r>
      <w:r>
        <w:rPr>
          <w:sz w:val="24"/>
        </w:rPr>
        <w:t>developed.</w:t>
      </w:r>
    </w:p>
    <w:p w:rsidR="007C5447" w:rsidRDefault="007C5447">
      <w:pPr>
        <w:pStyle w:val="BodyText"/>
        <w:spacing w:before="9"/>
        <w:rPr>
          <w:sz w:val="20"/>
        </w:rPr>
      </w:pPr>
    </w:p>
    <w:p w:rsidR="007C5447" w:rsidRDefault="00F6308C">
      <w:pPr>
        <w:pStyle w:val="ListParagraph"/>
        <w:numPr>
          <w:ilvl w:val="2"/>
          <w:numId w:val="114"/>
        </w:numPr>
        <w:tabs>
          <w:tab w:val="left" w:pos="1953"/>
        </w:tabs>
        <w:spacing w:before="1" w:line="312" w:lineRule="auto"/>
        <w:ind w:left="1952" w:right="1176" w:hanging="852"/>
        <w:jc w:val="both"/>
        <w:rPr>
          <w:sz w:val="24"/>
        </w:rPr>
      </w:pPr>
      <w:r>
        <w:rPr>
          <w:sz w:val="24"/>
        </w:rPr>
        <w:t>The Commission has considered the Transmission Charges for the Control Period from FY 2016-17 to FY 2018-19 in accordance with the Transmission Tariff approved for TANTRANSCO in the MYT Order in T.P. No. 2 of 2017 dated August 11, 2017 and based on allotte</w:t>
      </w:r>
      <w:r>
        <w:rPr>
          <w:sz w:val="24"/>
        </w:rPr>
        <w:t>d transmission capacity of TANGEDCO. SLDC charges for FY 2017-18 and FY 2018-19 have been considered in accordance with the SLDC charges approved for TANGEDCO in T.P. No. 3 of 2017 dated August 11, 2017. PGCIL Charges have been considered at the same level</w:t>
      </w:r>
      <w:r>
        <w:rPr>
          <w:sz w:val="24"/>
        </w:rPr>
        <w:t xml:space="preserve"> as approved for FY</w:t>
      </w:r>
      <w:r>
        <w:rPr>
          <w:spacing w:val="-1"/>
          <w:sz w:val="24"/>
        </w:rPr>
        <w:t xml:space="preserve"> </w:t>
      </w:r>
      <w:r>
        <w:rPr>
          <w:sz w:val="24"/>
        </w:rPr>
        <w:t>2015-16.</w:t>
      </w:r>
    </w:p>
    <w:p w:rsidR="007C5447" w:rsidRDefault="007C5447">
      <w:pPr>
        <w:pStyle w:val="BodyText"/>
        <w:spacing w:before="10"/>
        <w:rPr>
          <w:sz w:val="20"/>
        </w:rPr>
      </w:pPr>
    </w:p>
    <w:p w:rsidR="007C5447" w:rsidRDefault="00F6308C">
      <w:pPr>
        <w:pStyle w:val="ListParagraph"/>
        <w:numPr>
          <w:ilvl w:val="2"/>
          <w:numId w:val="114"/>
        </w:numPr>
        <w:tabs>
          <w:tab w:val="left" w:pos="1953"/>
        </w:tabs>
        <w:spacing w:line="312" w:lineRule="auto"/>
        <w:ind w:left="1952" w:right="1174" w:hanging="852"/>
        <w:jc w:val="both"/>
        <w:rPr>
          <w:sz w:val="24"/>
        </w:rPr>
      </w:pPr>
      <w:r>
        <w:rPr>
          <w:sz w:val="24"/>
        </w:rPr>
        <w:t>The summary of the source-wise Power Purchase Costs approved by the Commission for the Control Period from FY 2016-17 to FY 2018-19 is shown in the Tables</w:t>
      </w:r>
      <w:r>
        <w:rPr>
          <w:spacing w:val="-1"/>
          <w:sz w:val="24"/>
        </w:rPr>
        <w:t xml:space="preserve"> </w:t>
      </w:r>
      <w:r>
        <w:rPr>
          <w:sz w:val="24"/>
        </w:rPr>
        <w:t>below:</w:t>
      </w:r>
    </w:p>
    <w:p w:rsidR="007C5447" w:rsidRDefault="007C5447">
      <w:pPr>
        <w:pStyle w:val="BodyText"/>
        <w:spacing w:before="2"/>
        <w:rPr>
          <w:sz w:val="21"/>
        </w:rPr>
      </w:pPr>
    </w:p>
    <w:p w:rsidR="007C5447" w:rsidRDefault="00F6308C">
      <w:pPr>
        <w:ind w:left="1354" w:right="1432"/>
        <w:jc w:val="center"/>
        <w:rPr>
          <w:b/>
        </w:rPr>
      </w:pPr>
      <w:r>
        <w:rPr>
          <w:b/>
        </w:rPr>
        <w:t>Table 4-50: Approved Power Purchase Expenses for FY 2016-17</w:t>
      </w:r>
    </w:p>
    <w:p w:rsidR="007C5447" w:rsidRDefault="007C5447">
      <w:pPr>
        <w:pStyle w:val="BodyText"/>
        <w:spacing w:before="11"/>
        <w:rPr>
          <w:b/>
          <w:sz w:val="16"/>
        </w:r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1"/>
        <w:gridCol w:w="2693"/>
        <w:gridCol w:w="1135"/>
        <w:gridCol w:w="1133"/>
        <w:gridCol w:w="993"/>
        <w:gridCol w:w="1132"/>
        <w:gridCol w:w="1135"/>
        <w:gridCol w:w="1077"/>
      </w:tblGrid>
      <w:tr w:rsidR="007C5447">
        <w:trPr>
          <w:trHeight w:val="856"/>
        </w:trPr>
        <w:tc>
          <w:tcPr>
            <w:tcW w:w="391" w:type="dxa"/>
            <w:shd w:val="clear" w:color="auto" w:fill="F7C9AC"/>
          </w:tcPr>
          <w:p w:rsidR="007C5447" w:rsidRDefault="007C5447">
            <w:pPr>
              <w:pStyle w:val="TableParagraph"/>
              <w:spacing w:before="2"/>
              <w:jc w:val="left"/>
              <w:rPr>
                <w:b/>
                <w:sz w:val="19"/>
              </w:rPr>
            </w:pPr>
          </w:p>
          <w:p w:rsidR="007C5447" w:rsidRDefault="00F6308C">
            <w:pPr>
              <w:pStyle w:val="TableParagraph"/>
              <w:ind w:left="107"/>
              <w:jc w:val="left"/>
              <w:rPr>
                <w:b/>
                <w:sz w:val="18"/>
              </w:rPr>
            </w:pPr>
            <w:r>
              <w:rPr>
                <w:b/>
                <w:sz w:val="18"/>
              </w:rPr>
              <w:t>Sl</w:t>
            </w:r>
          </w:p>
          <w:p w:rsidR="007C5447" w:rsidRDefault="00F6308C">
            <w:pPr>
              <w:pStyle w:val="TableParagraph"/>
              <w:spacing w:before="2"/>
              <w:ind w:left="107"/>
              <w:jc w:val="left"/>
              <w:rPr>
                <w:b/>
                <w:sz w:val="18"/>
              </w:rPr>
            </w:pPr>
            <w:r>
              <w:rPr>
                <w:b/>
                <w:sz w:val="18"/>
              </w:rPr>
              <w:t>.</w:t>
            </w:r>
          </w:p>
        </w:tc>
        <w:tc>
          <w:tcPr>
            <w:tcW w:w="2693" w:type="dxa"/>
            <w:shd w:val="clear" w:color="auto" w:fill="F7C9AC"/>
          </w:tcPr>
          <w:p w:rsidR="007C5447" w:rsidRDefault="007C5447">
            <w:pPr>
              <w:pStyle w:val="TableParagraph"/>
              <w:spacing w:before="4"/>
              <w:jc w:val="left"/>
              <w:rPr>
                <w:b/>
                <w:sz w:val="28"/>
              </w:rPr>
            </w:pPr>
          </w:p>
          <w:p w:rsidR="007C5447" w:rsidRDefault="00F6308C">
            <w:pPr>
              <w:pStyle w:val="TableParagraph"/>
              <w:ind w:left="108"/>
              <w:jc w:val="left"/>
              <w:rPr>
                <w:b/>
                <w:sz w:val="18"/>
              </w:rPr>
            </w:pPr>
            <w:r>
              <w:rPr>
                <w:b/>
                <w:sz w:val="18"/>
              </w:rPr>
              <w:t>Particulars</w:t>
            </w:r>
          </w:p>
        </w:tc>
        <w:tc>
          <w:tcPr>
            <w:tcW w:w="1135" w:type="dxa"/>
            <w:shd w:val="clear" w:color="auto" w:fill="F7C9AC"/>
          </w:tcPr>
          <w:p w:rsidR="007C5447" w:rsidRDefault="007C5447">
            <w:pPr>
              <w:pStyle w:val="TableParagraph"/>
              <w:spacing w:before="2"/>
              <w:jc w:val="left"/>
              <w:rPr>
                <w:b/>
                <w:sz w:val="19"/>
              </w:rPr>
            </w:pPr>
          </w:p>
          <w:p w:rsidR="007C5447" w:rsidRDefault="00F6308C">
            <w:pPr>
              <w:pStyle w:val="TableParagraph"/>
              <w:ind w:left="355" w:right="168" w:hanging="159"/>
              <w:jc w:val="left"/>
              <w:rPr>
                <w:b/>
                <w:sz w:val="18"/>
              </w:rPr>
            </w:pPr>
            <w:r>
              <w:rPr>
                <w:b/>
                <w:sz w:val="18"/>
              </w:rPr>
              <w:t>Quantum (MU)</w:t>
            </w:r>
          </w:p>
        </w:tc>
        <w:tc>
          <w:tcPr>
            <w:tcW w:w="1133" w:type="dxa"/>
            <w:shd w:val="clear" w:color="auto" w:fill="F7C9AC"/>
          </w:tcPr>
          <w:p w:rsidR="007C5447" w:rsidRDefault="007C5447">
            <w:pPr>
              <w:pStyle w:val="TableParagraph"/>
              <w:spacing w:before="2"/>
              <w:jc w:val="left"/>
              <w:rPr>
                <w:b/>
                <w:sz w:val="19"/>
              </w:rPr>
            </w:pPr>
          </w:p>
          <w:p w:rsidR="007C5447" w:rsidRDefault="00F6308C">
            <w:pPr>
              <w:pStyle w:val="TableParagraph"/>
              <w:ind w:left="211" w:right="125" w:hanging="58"/>
              <w:jc w:val="left"/>
              <w:rPr>
                <w:b/>
                <w:sz w:val="18"/>
              </w:rPr>
            </w:pPr>
            <w:r>
              <w:rPr>
                <w:b/>
                <w:sz w:val="18"/>
              </w:rPr>
              <w:t>Fixed Cost (Rs. Cr.)</w:t>
            </w:r>
          </w:p>
        </w:tc>
        <w:tc>
          <w:tcPr>
            <w:tcW w:w="993" w:type="dxa"/>
            <w:shd w:val="clear" w:color="auto" w:fill="F7C9AC"/>
          </w:tcPr>
          <w:p w:rsidR="007C5447" w:rsidRDefault="00F6308C">
            <w:pPr>
              <w:pStyle w:val="TableParagraph"/>
              <w:spacing w:before="14"/>
              <w:ind w:left="127" w:right="119" w:firstLine="88"/>
              <w:jc w:val="both"/>
              <w:rPr>
                <w:b/>
                <w:sz w:val="18"/>
              </w:rPr>
            </w:pPr>
            <w:r>
              <w:rPr>
                <w:b/>
                <w:sz w:val="18"/>
              </w:rPr>
              <w:t>Energy Charge (Rs./kWh</w:t>
            </w:r>
          </w:p>
          <w:p w:rsidR="007C5447" w:rsidRDefault="00F6308C">
            <w:pPr>
              <w:pStyle w:val="TableParagraph"/>
              <w:spacing w:before="1" w:line="201" w:lineRule="exact"/>
              <w:ind w:left="9"/>
              <w:jc w:val="center"/>
              <w:rPr>
                <w:b/>
                <w:sz w:val="18"/>
              </w:rPr>
            </w:pPr>
            <w:r>
              <w:rPr>
                <w:b/>
                <w:w w:val="99"/>
                <w:sz w:val="18"/>
              </w:rPr>
              <w:t>)</w:t>
            </w:r>
          </w:p>
        </w:tc>
        <w:tc>
          <w:tcPr>
            <w:tcW w:w="1132" w:type="dxa"/>
            <w:tcBorders>
              <w:right w:val="single" w:sz="6" w:space="0" w:color="000000"/>
            </w:tcBorders>
            <w:shd w:val="clear" w:color="auto" w:fill="F7C9AC"/>
          </w:tcPr>
          <w:p w:rsidR="007C5447" w:rsidRDefault="00F6308C">
            <w:pPr>
              <w:pStyle w:val="TableParagraph"/>
              <w:spacing w:before="117"/>
              <w:ind w:left="234" w:right="219" w:firstLine="52"/>
              <w:jc w:val="both"/>
              <w:rPr>
                <w:b/>
                <w:sz w:val="18"/>
              </w:rPr>
            </w:pPr>
            <w:r>
              <w:rPr>
                <w:b/>
                <w:sz w:val="18"/>
              </w:rPr>
              <w:t>Energy Charge (Rs. Cr.)</w:t>
            </w:r>
          </w:p>
        </w:tc>
        <w:tc>
          <w:tcPr>
            <w:tcW w:w="1135" w:type="dxa"/>
            <w:tcBorders>
              <w:left w:val="single" w:sz="6" w:space="0" w:color="000000"/>
            </w:tcBorders>
            <w:shd w:val="clear" w:color="auto" w:fill="F7C9AC"/>
          </w:tcPr>
          <w:p w:rsidR="007C5447" w:rsidRDefault="007C5447">
            <w:pPr>
              <w:pStyle w:val="TableParagraph"/>
              <w:spacing w:before="2"/>
              <w:jc w:val="left"/>
              <w:rPr>
                <w:b/>
                <w:sz w:val="19"/>
              </w:rPr>
            </w:pPr>
          </w:p>
          <w:p w:rsidR="007C5447" w:rsidRDefault="00F6308C">
            <w:pPr>
              <w:pStyle w:val="TableParagraph"/>
              <w:ind w:left="168" w:right="132" w:hanging="3"/>
              <w:jc w:val="left"/>
              <w:rPr>
                <w:b/>
                <w:sz w:val="18"/>
              </w:rPr>
            </w:pPr>
            <w:r>
              <w:rPr>
                <w:b/>
                <w:sz w:val="18"/>
              </w:rPr>
              <w:t>Total Cost (Rs./kWh)</w:t>
            </w:r>
          </w:p>
        </w:tc>
        <w:tc>
          <w:tcPr>
            <w:tcW w:w="1077" w:type="dxa"/>
            <w:shd w:val="clear" w:color="auto" w:fill="F7C9AC"/>
          </w:tcPr>
          <w:p w:rsidR="007C5447" w:rsidRDefault="007C5447">
            <w:pPr>
              <w:pStyle w:val="TableParagraph"/>
              <w:spacing w:before="2"/>
              <w:jc w:val="left"/>
              <w:rPr>
                <w:b/>
                <w:sz w:val="19"/>
              </w:rPr>
            </w:pPr>
          </w:p>
          <w:p w:rsidR="007C5447" w:rsidRDefault="00F6308C">
            <w:pPr>
              <w:pStyle w:val="TableParagraph"/>
              <w:ind w:left="209" w:right="103" w:hanging="70"/>
              <w:jc w:val="left"/>
              <w:rPr>
                <w:b/>
                <w:sz w:val="18"/>
              </w:rPr>
            </w:pPr>
            <w:r>
              <w:rPr>
                <w:b/>
                <w:sz w:val="18"/>
              </w:rPr>
              <w:t>Total Cost (Rs. Cr.)</w:t>
            </w:r>
          </w:p>
        </w:tc>
      </w:tr>
      <w:tr w:rsidR="007C5447">
        <w:trPr>
          <w:trHeight w:val="330"/>
        </w:trPr>
        <w:tc>
          <w:tcPr>
            <w:tcW w:w="391" w:type="dxa"/>
          </w:tcPr>
          <w:p w:rsidR="007C5447" w:rsidRDefault="00F6308C">
            <w:pPr>
              <w:pStyle w:val="TableParagraph"/>
              <w:spacing w:before="62"/>
              <w:ind w:left="127"/>
              <w:jc w:val="left"/>
              <w:rPr>
                <w:sz w:val="18"/>
              </w:rPr>
            </w:pPr>
            <w:r>
              <w:rPr>
                <w:sz w:val="18"/>
              </w:rPr>
              <w:t>1.</w:t>
            </w:r>
          </w:p>
        </w:tc>
        <w:tc>
          <w:tcPr>
            <w:tcW w:w="2693" w:type="dxa"/>
          </w:tcPr>
          <w:p w:rsidR="007C5447" w:rsidRDefault="00F6308C">
            <w:pPr>
              <w:pStyle w:val="TableParagraph"/>
              <w:spacing w:before="62"/>
              <w:ind w:left="108"/>
              <w:jc w:val="left"/>
              <w:rPr>
                <w:b/>
                <w:sz w:val="18"/>
              </w:rPr>
            </w:pPr>
            <w:r>
              <w:rPr>
                <w:b/>
                <w:sz w:val="18"/>
              </w:rPr>
              <w:t>Own Generating Stations</w:t>
            </w:r>
          </w:p>
        </w:tc>
        <w:tc>
          <w:tcPr>
            <w:tcW w:w="1135" w:type="dxa"/>
          </w:tcPr>
          <w:p w:rsidR="007C5447" w:rsidRDefault="007C5447">
            <w:pPr>
              <w:pStyle w:val="TableParagraph"/>
              <w:jc w:val="left"/>
            </w:pPr>
          </w:p>
        </w:tc>
        <w:tc>
          <w:tcPr>
            <w:tcW w:w="1133" w:type="dxa"/>
          </w:tcPr>
          <w:p w:rsidR="007C5447" w:rsidRDefault="007C5447">
            <w:pPr>
              <w:pStyle w:val="TableParagraph"/>
              <w:jc w:val="left"/>
            </w:pPr>
          </w:p>
        </w:tc>
        <w:tc>
          <w:tcPr>
            <w:tcW w:w="993" w:type="dxa"/>
          </w:tcPr>
          <w:p w:rsidR="007C5447" w:rsidRDefault="007C5447">
            <w:pPr>
              <w:pStyle w:val="TableParagraph"/>
              <w:jc w:val="left"/>
            </w:pPr>
          </w:p>
        </w:tc>
        <w:tc>
          <w:tcPr>
            <w:tcW w:w="1132" w:type="dxa"/>
            <w:tcBorders>
              <w:right w:val="single" w:sz="6" w:space="0" w:color="000000"/>
            </w:tcBorders>
          </w:tcPr>
          <w:p w:rsidR="007C5447" w:rsidRDefault="007C5447">
            <w:pPr>
              <w:pStyle w:val="TableParagraph"/>
              <w:jc w:val="left"/>
            </w:pPr>
          </w:p>
        </w:tc>
        <w:tc>
          <w:tcPr>
            <w:tcW w:w="1135" w:type="dxa"/>
            <w:tcBorders>
              <w:left w:val="single" w:sz="6" w:space="0" w:color="000000"/>
            </w:tcBorders>
          </w:tcPr>
          <w:p w:rsidR="007C5447" w:rsidRDefault="007C5447">
            <w:pPr>
              <w:pStyle w:val="TableParagraph"/>
              <w:jc w:val="left"/>
            </w:pPr>
          </w:p>
        </w:tc>
        <w:tc>
          <w:tcPr>
            <w:tcW w:w="1077" w:type="dxa"/>
          </w:tcPr>
          <w:p w:rsidR="007C5447" w:rsidRDefault="007C5447">
            <w:pPr>
              <w:pStyle w:val="TableParagraph"/>
              <w:jc w:val="left"/>
            </w:pPr>
          </w:p>
        </w:tc>
      </w:tr>
      <w:tr w:rsidR="007C5447">
        <w:trPr>
          <w:trHeight w:val="299"/>
        </w:trPr>
        <w:tc>
          <w:tcPr>
            <w:tcW w:w="391" w:type="dxa"/>
          </w:tcPr>
          <w:p w:rsidR="007C5447" w:rsidRDefault="007C5447">
            <w:pPr>
              <w:pStyle w:val="TableParagraph"/>
              <w:jc w:val="left"/>
            </w:pPr>
          </w:p>
        </w:tc>
        <w:tc>
          <w:tcPr>
            <w:tcW w:w="2693" w:type="dxa"/>
          </w:tcPr>
          <w:p w:rsidR="007C5447" w:rsidRDefault="00F6308C">
            <w:pPr>
              <w:pStyle w:val="TableParagraph"/>
              <w:spacing w:before="47"/>
              <w:ind w:left="108"/>
              <w:jc w:val="left"/>
              <w:rPr>
                <w:sz w:val="18"/>
              </w:rPr>
            </w:pPr>
            <w:r>
              <w:rPr>
                <w:sz w:val="18"/>
              </w:rPr>
              <w:t>Ennore TPS</w:t>
            </w:r>
          </w:p>
        </w:tc>
        <w:tc>
          <w:tcPr>
            <w:tcW w:w="1135" w:type="dxa"/>
          </w:tcPr>
          <w:p w:rsidR="007C5447" w:rsidRDefault="00F6308C">
            <w:pPr>
              <w:pStyle w:val="TableParagraph"/>
              <w:spacing w:before="36"/>
              <w:ind w:right="96"/>
              <w:rPr>
                <w:sz w:val="20"/>
              </w:rPr>
            </w:pPr>
            <w:r>
              <w:rPr>
                <w:w w:val="99"/>
                <w:sz w:val="20"/>
              </w:rPr>
              <w:t>-</w:t>
            </w:r>
          </w:p>
        </w:tc>
        <w:tc>
          <w:tcPr>
            <w:tcW w:w="1133" w:type="dxa"/>
          </w:tcPr>
          <w:p w:rsidR="007C5447" w:rsidRDefault="00F6308C">
            <w:pPr>
              <w:pStyle w:val="TableParagraph"/>
              <w:spacing w:before="36"/>
              <w:ind w:right="96"/>
              <w:rPr>
                <w:sz w:val="20"/>
              </w:rPr>
            </w:pPr>
            <w:r>
              <w:rPr>
                <w:w w:val="95"/>
                <w:sz w:val="20"/>
              </w:rPr>
              <w:t>463.01</w:t>
            </w:r>
          </w:p>
        </w:tc>
        <w:tc>
          <w:tcPr>
            <w:tcW w:w="993" w:type="dxa"/>
          </w:tcPr>
          <w:p w:rsidR="007C5447" w:rsidRDefault="00F6308C">
            <w:pPr>
              <w:pStyle w:val="TableParagraph"/>
              <w:spacing w:before="36"/>
              <w:ind w:right="98"/>
              <w:rPr>
                <w:sz w:val="20"/>
              </w:rPr>
            </w:pPr>
            <w:r>
              <w:rPr>
                <w:sz w:val="20"/>
              </w:rPr>
              <w:t>3.90</w:t>
            </w:r>
          </w:p>
        </w:tc>
        <w:tc>
          <w:tcPr>
            <w:tcW w:w="1132" w:type="dxa"/>
            <w:tcBorders>
              <w:right w:val="single" w:sz="6" w:space="0" w:color="000000"/>
            </w:tcBorders>
          </w:tcPr>
          <w:p w:rsidR="007C5447" w:rsidRDefault="00F6308C">
            <w:pPr>
              <w:pStyle w:val="TableParagraph"/>
              <w:spacing w:before="36"/>
              <w:ind w:right="89"/>
              <w:rPr>
                <w:sz w:val="20"/>
              </w:rPr>
            </w:pPr>
            <w:r>
              <w:rPr>
                <w:w w:val="99"/>
                <w:sz w:val="20"/>
              </w:rPr>
              <w:t>-</w:t>
            </w:r>
          </w:p>
        </w:tc>
        <w:tc>
          <w:tcPr>
            <w:tcW w:w="1135" w:type="dxa"/>
            <w:tcBorders>
              <w:left w:val="single" w:sz="6" w:space="0" w:color="000000"/>
            </w:tcBorders>
          </w:tcPr>
          <w:p w:rsidR="007C5447" w:rsidRDefault="00F6308C">
            <w:pPr>
              <w:pStyle w:val="TableParagraph"/>
              <w:spacing w:before="36"/>
              <w:ind w:right="93"/>
              <w:rPr>
                <w:sz w:val="20"/>
              </w:rPr>
            </w:pPr>
            <w:r>
              <w:rPr>
                <w:w w:val="99"/>
                <w:sz w:val="20"/>
              </w:rPr>
              <w:t>-</w:t>
            </w:r>
          </w:p>
        </w:tc>
        <w:tc>
          <w:tcPr>
            <w:tcW w:w="1077" w:type="dxa"/>
          </w:tcPr>
          <w:p w:rsidR="007C5447" w:rsidRDefault="00F6308C">
            <w:pPr>
              <w:pStyle w:val="TableParagraph"/>
              <w:spacing w:before="36"/>
              <w:ind w:right="93"/>
              <w:rPr>
                <w:sz w:val="20"/>
              </w:rPr>
            </w:pPr>
            <w:r>
              <w:rPr>
                <w:w w:val="95"/>
                <w:sz w:val="20"/>
              </w:rPr>
              <w:t>463.01</w:t>
            </w:r>
          </w:p>
        </w:tc>
      </w:tr>
      <w:tr w:rsidR="007C5447">
        <w:trPr>
          <w:trHeight w:val="300"/>
        </w:trPr>
        <w:tc>
          <w:tcPr>
            <w:tcW w:w="391" w:type="dxa"/>
          </w:tcPr>
          <w:p w:rsidR="007C5447" w:rsidRDefault="007C5447">
            <w:pPr>
              <w:pStyle w:val="TableParagraph"/>
              <w:jc w:val="left"/>
            </w:pPr>
          </w:p>
        </w:tc>
        <w:tc>
          <w:tcPr>
            <w:tcW w:w="2693" w:type="dxa"/>
          </w:tcPr>
          <w:p w:rsidR="007C5447" w:rsidRDefault="00F6308C">
            <w:pPr>
              <w:pStyle w:val="TableParagraph"/>
              <w:spacing w:before="48"/>
              <w:ind w:left="108"/>
              <w:jc w:val="left"/>
              <w:rPr>
                <w:sz w:val="18"/>
              </w:rPr>
            </w:pPr>
            <w:r>
              <w:rPr>
                <w:sz w:val="18"/>
              </w:rPr>
              <w:t>Tuticorin TPS</w:t>
            </w:r>
          </w:p>
        </w:tc>
        <w:tc>
          <w:tcPr>
            <w:tcW w:w="1135" w:type="dxa"/>
          </w:tcPr>
          <w:p w:rsidR="007C5447" w:rsidRDefault="00F6308C">
            <w:pPr>
              <w:pStyle w:val="TableParagraph"/>
              <w:spacing w:before="37"/>
              <w:ind w:right="97"/>
              <w:rPr>
                <w:sz w:val="20"/>
              </w:rPr>
            </w:pPr>
            <w:r>
              <w:rPr>
                <w:w w:val="95"/>
                <w:sz w:val="20"/>
              </w:rPr>
              <w:t>1,212.15</w:t>
            </w:r>
          </w:p>
        </w:tc>
        <w:tc>
          <w:tcPr>
            <w:tcW w:w="1133" w:type="dxa"/>
          </w:tcPr>
          <w:p w:rsidR="007C5447" w:rsidRDefault="00F6308C">
            <w:pPr>
              <w:pStyle w:val="TableParagraph"/>
              <w:spacing w:before="37"/>
              <w:ind w:right="95"/>
              <w:rPr>
                <w:sz w:val="20"/>
              </w:rPr>
            </w:pPr>
            <w:r>
              <w:rPr>
                <w:sz w:val="20"/>
              </w:rPr>
              <w:t>900.04</w:t>
            </w:r>
          </w:p>
        </w:tc>
        <w:tc>
          <w:tcPr>
            <w:tcW w:w="993" w:type="dxa"/>
          </w:tcPr>
          <w:p w:rsidR="007C5447" w:rsidRDefault="00F6308C">
            <w:pPr>
              <w:pStyle w:val="TableParagraph"/>
              <w:spacing w:before="37"/>
              <w:ind w:right="98"/>
              <w:rPr>
                <w:sz w:val="20"/>
              </w:rPr>
            </w:pPr>
            <w:r>
              <w:rPr>
                <w:sz w:val="20"/>
              </w:rPr>
              <w:t>3.40</w:t>
            </w:r>
          </w:p>
        </w:tc>
        <w:tc>
          <w:tcPr>
            <w:tcW w:w="1132" w:type="dxa"/>
            <w:tcBorders>
              <w:right w:val="single" w:sz="6" w:space="0" w:color="000000"/>
            </w:tcBorders>
          </w:tcPr>
          <w:p w:rsidR="007C5447" w:rsidRDefault="00F6308C">
            <w:pPr>
              <w:pStyle w:val="TableParagraph"/>
              <w:spacing w:before="37"/>
              <w:ind w:right="90"/>
              <w:rPr>
                <w:sz w:val="20"/>
              </w:rPr>
            </w:pPr>
            <w:r>
              <w:rPr>
                <w:w w:val="95"/>
                <w:sz w:val="20"/>
              </w:rPr>
              <w:t>411.77</w:t>
            </w:r>
          </w:p>
        </w:tc>
        <w:tc>
          <w:tcPr>
            <w:tcW w:w="1135" w:type="dxa"/>
            <w:tcBorders>
              <w:left w:val="single" w:sz="6" w:space="0" w:color="000000"/>
            </w:tcBorders>
          </w:tcPr>
          <w:p w:rsidR="007C5447" w:rsidRDefault="00F6308C">
            <w:pPr>
              <w:pStyle w:val="TableParagraph"/>
              <w:spacing w:before="37"/>
              <w:ind w:right="95"/>
              <w:rPr>
                <w:sz w:val="20"/>
              </w:rPr>
            </w:pPr>
            <w:r>
              <w:rPr>
                <w:sz w:val="20"/>
              </w:rPr>
              <w:t>10.82</w:t>
            </w:r>
          </w:p>
        </w:tc>
        <w:tc>
          <w:tcPr>
            <w:tcW w:w="1077" w:type="dxa"/>
          </w:tcPr>
          <w:p w:rsidR="007C5447" w:rsidRDefault="00F6308C">
            <w:pPr>
              <w:pStyle w:val="TableParagraph"/>
              <w:spacing w:before="37"/>
              <w:ind w:right="92"/>
              <w:rPr>
                <w:sz w:val="20"/>
              </w:rPr>
            </w:pPr>
            <w:r>
              <w:rPr>
                <w:w w:val="95"/>
                <w:sz w:val="20"/>
              </w:rPr>
              <w:t>1,311.81</w:t>
            </w:r>
          </w:p>
        </w:tc>
      </w:tr>
      <w:tr w:rsidR="007C5447">
        <w:trPr>
          <w:trHeight w:val="301"/>
        </w:trPr>
        <w:tc>
          <w:tcPr>
            <w:tcW w:w="391" w:type="dxa"/>
          </w:tcPr>
          <w:p w:rsidR="007C5447" w:rsidRDefault="007C5447">
            <w:pPr>
              <w:pStyle w:val="TableParagraph"/>
              <w:jc w:val="left"/>
            </w:pPr>
          </w:p>
        </w:tc>
        <w:tc>
          <w:tcPr>
            <w:tcW w:w="2693" w:type="dxa"/>
          </w:tcPr>
          <w:p w:rsidR="007C5447" w:rsidRDefault="00F6308C">
            <w:pPr>
              <w:pStyle w:val="TableParagraph"/>
              <w:spacing w:before="47"/>
              <w:ind w:left="108"/>
              <w:jc w:val="left"/>
              <w:rPr>
                <w:sz w:val="18"/>
              </w:rPr>
            </w:pPr>
            <w:r>
              <w:rPr>
                <w:sz w:val="18"/>
              </w:rPr>
              <w:t>Mettur TPS</w:t>
            </w:r>
          </w:p>
        </w:tc>
        <w:tc>
          <w:tcPr>
            <w:tcW w:w="1135" w:type="dxa"/>
          </w:tcPr>
          <w:p w:rsidR="007C5447" w:rsidRDefault="00F6308C">
            <w:pPr>
              <w:pStyle w:val="TableParagraph"/>
              <w:spacing w:before="36"/>
              <w:ind w:right="96"/>
              <w:rPr>
                <w:sz w:val="20"/>
              </w:rPr>
            </w:pPr>
            <w:r>
              <w:rPr>
                <w:w w:val="99"/>
                <w:sz w:val="20"/>
              </w:rPr>
              <w:t>-</w:t>
            </w:r>
          </w:p>
        </w:tc>
        <w:tc>
          <w:tcPr>
            <w:tcW w:w="1133" w:type="dxa"/>
          </w:tcPr>
          <w:p w:rsidR="007C5447" w:rsidRDefault="00F6308C">
            <w:pPr>
              <w:pStyle w:val="TableParagraph"/>
              <w:spacing w:before="36"/>
              <w:ind w:right="95"/>
              <w:rPr>
                <w:sz w:val="20"/>
              </w:rPr>
            </w:pPr>
            <w:r>
              <w:rPr>
                <w:sz w:val="20"/>
              </w:rPr>
              <w:t>627.45</w:t>
            </w:r>
          </w:p>
        </w:tc>
        <w:tc>
          <w:tcPr>
            <w:tcW w:w="993" w:type="dxa"/>
          </w:tcPr>
          <w:p w:rsidR="007C5447" w:rsidRDefault="00F6308C">
            <w:pPr>
              <w:pStyle w:val="TableParagraph"/>
              <w:spacing w:before="36"/>
              <w:ind w:right="98"/>
              <w:rPr>
                <w:sz w:val="20"/>
              </w:rPr>
            </w:pPr>
            <w:r>
              <w:rPr>
                <w:sz w:val="20"/>
              </w:rPr>
              <w:t>3.52</w:t>
            </w:r>
          </w:p>
        </w:tc>
        <w:tc>
          <w:tcPr>
            <w:tcW w:w="1132" w:type="dxa"/>
            <w:tcBorders>
              <w:right w:val="single" w:sz="6" w:space="0" w:color="000000"/>
            </w:tcBorders>
          </w:tcPr>
          <w:p w:rsidR="007C5447" w:rsidRDefault="00F6308C">
            <w:pPr>
              <w:pStyle w:val="TableParagraph"/>
              <w:spacing w:before="36"/>
              <w:ind w:right="89"/>
              <w:rPr>
                <w:sz w:val="20"/>
              </w:rPr>
            </w:pPr>
            <w:r>
              <w:rPr>
                <w:w w:val="99"/>
                <w:sz w:val="20"/>
              </w:rPr>
              <w:t>-</w:t>
            </w:r>
          </w:p>
        </w:tc>
        <w:tc>
          <w:tcPr>
            <w:tcW w:w="1135" w:type="dxa"/>
            <w:tcBorders>
              <w:left w:val="single" w:sz="6" w:space="0" w:color="000000"/>
            </w:tcBorders>
          </w:tcPr>
          <w:p w:rsidR="007C5447" w:rsidRDefault="00F6308C">
            <w:pPr>
              <w:pStyle w:val="TableParagraph"/>
              <w:spacing w:before="36"/>
              <w:ind w:right="93"/>
              <w:rPr>
                <w:sz w:val="20"/>
              </w:rPr>
            </w:pPr>
            <w:r>
              <w:rPr>
                <w:w w:val="99"/>
                <w:sz w:val="20"/>
              </w:rPr>
              <w:t>-</w:t>
            </w:r>
          </w:p>
        </w:tc>
        <w:tc>
          <w:tcPr>
            <w:tcW w:w="1077" w:type="dxa"/>
          </w:tcPr>
          <w:p w:rsidR="007C5447" w:rsidRDefault="00F6308C">
            <w:pPr>
              <w:pStyle w:val="TableParagraph"/>
              <w:spacing w:before="36"/>
              <w:ind w:right="92"/>
              <w:rPr>
                <w:sz w:val="20"/>
              </w:rPr>
            </w:pPr>
            <w:r>
              <w:rPr>
                <w:sz w:val="20"/>
              </w:rPr>
              <w:t>627.45</w:t>
            </w:r>
          </w:p>
        </w:tc>
      </w:tr>
      <w:tr w:rsidR="007C5447">
        <w:trPr>
          <w:trHeight w:val="299"/>
        </w:trPr>
        <w:tc>
          <w:tcPr>
            <w:tcW w:w="391" w:type="dxa"/>
          </w:tcPr>
          <w:p w:rsidR="007C5447" w:rsidRDefault="007C5447">
            <w:pPr>
              <w:pStyle w:val="TableParagraph"/>
              <w:jc w:val="left"/>
            </w:pPr>
          </w:p>
        </w:tc>
        <w:tc>
          <w:tcPr>
            <w:tcW w:w="2693" w:type="dxa"/>
          </w:tcPr>
          <w:p w:rsidR="007C5447" w:rsidRDefault="00F6308C">
            <w:pPr>
              <w:pStyle w:val="TableParagraph"/>
              <w:spacing w:before="45"/>
              <w:ind w:left="108"/>
              <w:jc w:val="left"/>
              <w:rPr>
                <w:sz w:val="18"/>
              </w:rPr>
            </w:pPr>
            <w:r>
              <w:rPr>
                <w:sz w:val="18"/>
              </w:rPr>
              <w:t>MTPS Stage III</w:t>
            </w:r>
          </w:p>
        </w:tc>
        <w:tc>
          <w:tcPr>
            <w:tcW w:w="1135" w:type="dxa"/>
          </w:tcPr>
          <w:p w:rsidR="007C5447" w:rsidRDefault="00F6308C">
            <w:pPr>
              <w:pStyle w:val="TableParagraph"/>
              <w:spacing w:before="34"/>
              <w:ind w:right="97"/>
              <w:rPr>
                <w:sz w:val="20"/>
              </w:rPr>
            </w:pPr>
            <w:r>
              <w:rPr>
                <w:w w:val="95"/>
                <w:sz w:val="20"/>
              </w:rPr>
              <w:t>4,039.76</w:t>
            </w:r>
          </w:p>
        </w:tc>
        <w:tc>
          <w:tcPr>
            <w:tcW w:w="1133" w:type="dxa"/>
          </w:tcPr>
          <w:p w:rsidR="007C5447" w:rsidRDefault="00F6308C">
            <w:pPr>
              <w:pStyle w:val="TableParagraph"/>
              <w:spacing w:before="34"/>
              <w:ind w:right="97"/>
              <w:rPr>
                <w:sz w:val="20"/>
              </w:rPr>
            </w:pPr>
            <w:r>
              <w:rPr>
                <w:w w:val="95"/>
                <w:sz w:val="20"/>
              </w:rPr>
              <w:t>759.72</w:t>
            </w:r>
          </w:p>
        </w:tc>
        <w:tc>
          <w:tcPr>
            <w:tcW w:w="993" w:type="dxa"/>
          </w:tcPr>
          <w:p w:rsidR="007C5447" w:rsidRDefault="00F6308C">
            <w:pPr>
              <w:pStyle w:val="TableParagraph"/>
              <w:spacing w:before="34"/>
              <w:ind w:right="98"/>
              <w:rPr>
                <w:sz w:val="20"/>
              </w:rPr>
            </w:pPr>
            <w:r>
              <w:rPr>
                <w:sz w:val="20"/>
              </w:rPr>
              <w:t>2.48</w:t>
            </w:r>
          </w:p>
        </w:tc>
        <w:tc>
          <w:tcPr>
            <w:tcW w:w="1132" w:type="dxa"/>
            <w:tcBorders>
              <w:right w:val="single" w:sz="6" w:space="0" w:color="000000"/>
            </w:tcBorders>
          </w:tcPr>
          <w:p w:rsidR="007C5447" w:rsidRDefault="00F6308C">
            <w:pPr>
              <w:pStyle w:val="TableParagraph"/>
              <w:spacing w:before="34"/>
              <w:ind w:right="91"/>
              <w:rPr>
                <w:sz w:val="20"/>
              </w:rPr>
            </w:pPr>
            <w:r>
              <w:rPr>
                <w:w w:val="95"/>
                <w:sz w:val="20"/>
              </w:rPr>
              <w:t>1,001.23</w:t>
            </w:r>
          </w:p>
        </w:tc>
        <w:tc>
          <w:tcPr>
            <w:tcW w:w="1135" w:type="dxa"/>
            <w:tcBorders>
              <w:left w:val="single" w:sz="6" w:space="0" w:color="000000"/>
            </w:tcBorders>
          </w:tcPr>
          <w:p w:rsidR="007C5447" w:rsidRDefault="00F6308C">
            <w:pPr>
              <w:pStyle w:val="TableParagraph"/>
              <w:spacing w:before="34"/>
              <w:ind w:right="96"/>
              <w:rPr>
                <w:sz w:val="20"/>
              </w:rPr>
            </w:pPr>
            <w:r>
              <w:rPr>
                <w:sz w:val="20"/>
              </w:rPr>
              <w:t>4.36</w:t>
            </w:r>
          </w:p>
        </w:tc>
        <w:tc>
          <w:tcPr>
            <w:tcW w:w="1077" w:type="dxa"/>
          </w:tcPr>
          <w:p w:rsidR="007C5447" w:rsidRDefault="00F6308C">
            <w:pPr>
              <w:pStyle w:val="TableParagraph"/>
              <w:spacing w:before="34"/>
              <w:ind w:right="90"/>
              <w:rPr>
                <w:sz w:val="20"/>
              </w:rPr>
            </w:pPr>
            <w:r>
              <w:rPr>
                <w:sz w:val="20"/>
              </w:rPr>
              <w:t>1,760.95</w:t>
            </w:r>
          </w:p>
        </w:tc>
      </w:tr>
      <w:tr w:rsidR="007C5447">
        <w:trPr>
          <w:trHeight w:val="299"/>
        </w:trPr>
        <w:tc>
          <w:tcPr>
            <w:tcW w:w="391" w:type="dxa"/>
          </w:tcPr>
          <w:p w:rsidR="007C5447" w:rsidRDefault="007C5447">
            <w:pPr>
              <w:pStyle w:val="TableParagraph"/>
              <w:jc w:val="left"/>
            </w:pPr>
          </w:p>
        </w:tc>
        <w:tc>
          <w:tcPr>
            <w:tcW w:w="2693" w:type="dxa"/>
          </w:tcPr>
          <w:p w:rsidR="007C5447" w:rsidRDefault="00F6308C">
            <w:pPr>
              <w:pStyle w:val="TableParagraph"/>
              <w:spacing w:before="45"/>
              <w:ind w:left="108"/>
              <w:jc w:val="left"/>
              <w:rPr>
                <w:sz w:val="18"/>
              </w:rPr>
            </w:pPr>
            <w:r>
              <w:rPr>
                <w:sz w:val="18"/>
              </w:rPr>
              <w:t>North Chennai TPS</w:t>
            </w:r>
          </w:p>
        </w:tc>
        <w:tc>
          <w:tcPr>
            <w:tcW w:w="1135" w:type="dxa"/>
          </w:tcPr>
          <w:p w:rsidR="007C5447" w:rsidRDefault="00F6308C">
            <w:pPr>
              <w:pStyle w:val="TableParagraph"/>
              <w:spacing w:before="34"/>
              <w:ind w:right="97"/>
              <w:rPr>
                <w:sz w:val="20"/>
              </w:rPr>
            </w:pPr>
            <w:r>
              <w:rPr>
                <w:w w:val="95"/>
                <w:sz w:val="20"/>
              </w:rPr>
              <w:t>7,694.78</w:t>
            </w:r>
          </w:p>
        </w:tc>
        <w:tc>
          <w:tcPr>
            <w:tcW w:w="1133" w:type="dxa"/>
          </w:tcPr>
          <w:p w:rsidR="007C5447" w:rsidRDefault="00F6308C">
            <w:pPr>
              <w:pStyle w:val="TableParagraph"/>
              <w:spacing w:before="34"/>
              <w:ind w:right="97"/>
              <w:rPr>
                <w:sz w:val="20"/>
              </w:rPr>
            </w:pPr>
            <w:r>
              <w:rPr>
                <w:w w:val="95"/>
                <w:sz w:val="20"/>
              </w:rPr>
              <w:t>357.78</w:t>
            </w:r>
          </w:p>
        </w:tc>
        <w:tc>
          <w:tcPr>
            <w:tcW w:w="993" w:type="dxa"/>
          </w:tcPr>
          <w:p w:rsidR="007C5447" w:rsidRDefault="00F6308C">
            <w:pPr>
              <w:pStyle w:val="TableParagraph"/>
              <w:spacing w:before="34"/>
              <w:ind w:right="98"/>
              <w:rPr>
                <w:sz w:val="20"/>
              </w:rPr>
            </w:pPr>
            <w:r>
              <w:rPr>
                <w:sz w:val="20"/>
              </w:rPr>
              <w:t>2.36</w:t>
            </w:r>
          </w:p>
        </w:tc>
        <w:tc>
          <w:tcPr>
            <w:tcW w:w="1132" w:type="dxa"/>
            <w:tcBorders>
              <w:right w:val="single" w:sz="6" w:space="0" w:color="000000"/>
            </w:tcBorders>
          </w:tcPr>
          <w:p w:rsidR="007C5447" w:rsidRDefault="00F6308C">
            <w:pPr>
              <w:pStyle w:val="TableParagraph"/>
              <w:spacing w:before="34"/>
              <w:ind w:right="91"/>
              <w:rPr>
                <w:sz w:val="20"/>
              </w:rPr>
            </w:pPr>
            <w:r>
              <w:rPr>
                <w:w w:val="95"/>
                <w:sz w:val="20"/>
              </w:rPr>
              <w:t>1,818.43</w:t>
            </w:r>
          </w:p>
        </w:tc>
        <w:tc>
          <w:tcPr>
            <w:tcW w:w="1135" w:type="dxa"/>
            <w:tcBorders>
              <w:left w:val="single" w:sz="6" w:space="0" w:color="000000"/>
            </w:tcBorders>
          </w:tcPr>
          <w:p w:rsidR="007C5447" w:rsidRDefault="00F6308C">
            <w:pPr>
              <w:pStyle w:val="TableParagraph"/>
              <w:spacing w:before="34"/>
              <w:ind w:right="97"/>
              <w:rPr>
                <w:sz w:val="20"/>
              </w:rPr>
            </w:pPr>
            <w:r>
              <w:rPr>
                <w:sz w:val="20"/>
              </w:rPr>
              <w:t>2.83</w:t>
            </w:r>
          </w:p>
        </w:tc>
        <w:tc>
          <w:tcPr>
            <w:tcW w:w="1077" w:type="dxa"/>
          </w:tcPr>
          <w:p w:rsidR="007C5447" w:rsidRDefault="00F6308C">
            <w:pPr>
              <w:pStyle w:val="TableParagraph"/>
              <w:spacing w:before="34"/>
              <w:ind w:right="91"/>
              <w:rPr>
                <w:sz w:val="20"/>
              </w:rPr>
            </w:pPr>
            <w:r>
              <w:rPr>
                <w:sz w:val="20"/>
              </w:rPr>
              <w:t>2,176.21</w:t>
            </w:r>
          </w:p>
        </w:tc>
      </w:tr>
      <w:tr w:rsidR="007C5447">
        <w:trPr>
          <w:trHeight w:val="299"/>
        </w:trPr>
        <w:tc>
          <w:tcPr>
            <w:tcW w:w="391" w:type="dxa"/>
          </w:tcPr>
          <w:p w:rsidR="007C5447" w:rsidRDefault="007C5447">
            <w:pPr>
              <w:pStyle w:val="TableParagraph"/>
              <w:jc w:val="left"/>
            </w:pPr>
          </w:p>
        </w:tc>
        <w:tc>
          <w:tcPr>
            <w:tcW w:w="2693" w:type="dxa"/>
          </w:tcPr>
          <w:p w:rsidR="007C5447" w:rsidRDefault="00F6308C">
            <w:pPr>
              <w:pStyle w:val="TableParagraph"/>
              <w:spacing w:before="45"/>
              <w:ind w:left="108"/>
              <w:jc w:val="left"/>
              <w:rPr>
                <w:sz w:val="18"/>
              </w:rPr>
            </w:pPr>
            <w:r>
              <w:rPr>
                <w:sz w:val="18"/>
              </w:rPr>
              <w:t>NCTPS Stage-II</w:t>
            </w:r>
          </w:p>
        </w:tc>
        <w:tc>
          <w:tcPr>
            <w:tcW w:w="1135" w:type="dxa"/>
          </w:tcPr>
          <w:p w:rsidR="007C5447" w:rsidRDefault="00F6308C">
            <w:pPr>
              <w:pStyle w:val="TableParagraph"/>
              <w:spacing w:before="34"/>
              <w:ind w:right="96"/>
              <w:rPr>
                <w:sz w:val="20"/>
              </w:rPr>
            </w:pPr>
            <w:r>
              <w:rPr>
                <w:w w:val="99"/>
                <w:sz w:val="20"/>
              </w:rPr>
              <w:t>-</w:t>
            </w:r>
          </w:p>
        </w:tc>
        <w:tc>
          <w:tcPr>
            <w:tcW w:w="1133" w:type="dxa"/>
          </w:tcPr>
          <w:p w:rsidR="007C5447" w:rsidRDefault="00F6308C">
            <w:pPr>
              <w:pStyle w:val="TableParagraph"/>
              <w:spacing w:before="34"/>
              <w:ind w:right="95"/>
              <w:rPr>
                <w:sz w:val="20"/>
              </w:rPr>
            </w:pPr>
            <w:r>
              <w:rPr>
                <w:sz w:val="20"/>
              </w:rPr>
              <w:t>578.20</w:t>
            </w:r>
          </w:p>
        </w:tc>
        <w:tc>
          <w:tcPr>
            <w:tcW w:w="993" w:type="dxa"/>
          </w:tcPr>
          <w:p w:rsidR="007C5447" w:rsidRDefault="00F6308C">
            <w:pPr>
              <w:pStyle w:val="TableParagraph"/>
              <w:spacing w:before="34"/>
              <w:ind w:right="98"/>
              <w:rPr>
                <w:sz w:val="20"/>
              </w:rPr>
            </w:pPr>
            <w:r>
              <w:rPr>
                <w:sz w:val="20"/>
              </w:rPr>
              <w:t>3.63</w:t>
            </w:r>
          </w:p>
        </w:tc>
        <w:tc>
          <w:tcPr>
            <w:tcW w:w="1132" w:type="dxa"/>
            <w:tcBorders>
              <w:right w:val="single" w:sz="6" w:space="0" w:color="000000"/>
            </w:tcBorders>
          </w:tcPr>
          <w:p w:rsidR="007C5447" w:rsidRDefault="00F6308C">
            <w:pPr>
              <w:pStyle w:val="TableParagraph"/>
              <w:spacing w:before="34"/>
              <w:ind w:right="89"/>
              <w:rPr>
                <w:sz w:val="20"/>
              </w:rPr>
            </w:pPr>
            <w:r>
              <w:rPr>
                <w:w w:val="99"/>
                <w:sz w:val="20"/>
              </w:rPr>
              <w:t>-</w:t>
            </w:r>
          </w:p>
        </w:tc>
        <w:tc>
          <w:tcPr>
            <w:tcW w:w="1135" w:type="dxa"/>
            <w:tcBorders>
              <w:left w:val="single" w:sz="6" w:space="0" w:color="000000"/>
            </w:tcBorders>
          </w:tcPr>
          <w:p w:rsidR="007C5447" w:rsidRDefault="00F6308C">
            <w:pPr>
              <w:pStyle w:val="TableParagraph"/>
              <w:spacing w:before="34"/>
              <w:ind w:right="93"/>
              <w:rPr>
                <w:sz w:val="20"/>
              </w:rPr>
            </w:pPr>
            <w:r>
              <w:rPr>
                <w:w w:val="99"/>
                <w:sz w:val="20"/>
              </w:rPr>
              <w:t>-</w:t>
            </w:r>
          </w:p>
        </w:tc>
        <w:tc>
          <w:tcPr>
            <w:tcW w:w="1077" w:type="dxa"/>
          </w:tcPr>
          <w:p w:rsidR="007C5447" w:rsidRDefault="00F6308C">
            <w:pPr>
              <w:pStyle w:val="TableParagraph"/>
              <w:spacing w:before="34"/>
              <w:ind w:right="92"/>
              <w:rPr>
                <w:sz w:val="20"/>
              </w:rPr>
            </w:pPr>
            <w:r>
              <w:rPr>
                <w:sz w:val="20"/>
              </w:rPr>
              <w:t>578.20</w:t>
            </w:r>
          </w:p>
        </w:tc>
      </w:tr>
      <w:tr w:rsidR="007C5447">
        <w:trPr>
          <w:trHeight w:val="285"/>
        </w:trPr>
        <w:tc>
          <w:tcPr>
            <w:tcW w:w="391" w:type="dxa"/>
          </w:tcPr>
          <w:p w:rsidR="007C5447" w:rsidRDefault="007C5447">
            <w:pPr>
              <w:pStyle w:val="TableParagraph"/>
              <w:jc w:val="left"/>
              <w:rPr>
                <w:sz w:val="20"/>
              </w:rPr>
            </w:pPr>
          </w:p>
        </w:tc>
        <w:tc>
          <w:tcPr>
            <w:tcW w:w="2693" w:type="dxa"/>
          </w:tcPr>
          <w:p w:rsidR="007C5447" w:rsidRDefault="00F6308C">
            <w:pPr>
              <w:pStyle w:val="TableParagraph"/>
              <w:spacing w:before="38"/>
              <w:ind w:left="108"/>
              <w:jc w:val="left"/>
              <w:rPr>
                <w:sz w:val="18"/>
              </w:rPr>
            </w:pPr>
            <w:r>
              <w:rPr>
                <w:sz w:val="18"/>
              </w:rPr>
              <w:t>TGTPS</w:t>
            </w:r>
          </w:p>
        </w:tc>
        <w:tc>
          <w:tcPr>
            <w:tcW w:w="1135" w:type="dxa"/>
          </w:tcPr>
          <w:p w:rsidR="007C5447" w:rsidRDefault="00F6308C">
            <w:pPr>
              <w:pStyle w:val="TableParagraph"/>
              <w:spacing w:before="29"/>
              <w:ind w:right="99"/>
              <w:rPr>
                <w:sz w:val="20"/>
              </w:rPr>
            </w:pPr>
            <w:r>
              <w:rPr>
                <w:w w:val="95"/>
                <w:sz w:val="20"/>
              </w:rPr>
              <w:t>710.66</w:t>
            </w:r>
          </w:p>
        </w:tc>
        <w:tc>
          <w:tcPr>
            <w:tcW w:w="1133" w:type="dxa"/>
          </w:tcPr>
          <w:p w:rsidR="007C5447" w:rsidRDefault="00F6308C">
            <w:pPr>
              <w:pStyle w:val="TableParagraph"/>
              <w:spacing w:before="29"/>
              <w:ind w:right="96"/>
              <w:rPr>
                <w:sz w:val="20"/>
              </w:rPr>
            </w:pPr>
            <w:r>
              <w:rPr>
                <w:sz w:val="20"/>
              </w:rPr>
              <w:t>150.23</w:t>
            </w:r>
          </w:p>
        </w:tc>
        <w:tc>
          <w:tcPr>
            <w:tcW w:w="993" w:type="dxa"/>
          </w:tcPr>
          <w:p w:rsidR="007C5447" w:rsidRDefault="00F6308C">
            <w:pPr>
              <w:pStyle w:val="TableParagraph"/>
              <w:spacing w:before="29"/>
              <w:ind w:right="98"/>
              <w:rPr>
                <w:sz w:val="20"/>
              </w:rPr>
            </w:pPr>
            <w:r>
              <w:rPr>
                <w:sz w:val="20"/>
              </w:rPr>
              <w:t>2.31</w:t>
            </w:r>
          </w:p>
        </w:tc>
        <w:tc>
          <w:tcPr>
            <w:tcW w:w="1132" w:type="dxa"/>
            <w:tcBorders>
              <w:right w:val="single" w:sz="6" w:space="0" w:color="000000"/>
            </w:tcBorders>
          </w:tcPr>
          <w:p w:rsidR="007C5447" w:rsidRDefault="00F6308C">
            <w:pPr>
              <w:pStyle w:val="TableParagraph"/>
              <w:spacing w:before="29"/>
              <w:ind w:right="93"/>
              <w:rPr>
                <w:sz w:val="20"/>
              </w:rPr>
            </w:pPr>
            <w:r>
              <w:rPr>
                <w:w w:val="95"/>
                <w:sz w:val="20"/>
              </w:rPr>
              <w:t>163.92</w:t>
            </w:r>
          </w:p>
        </w:tc>
        <w:tc>
          <w:tcPr>
            <w:tcW w:w="1135" w:type="dxa"/>
            <w:tcBorders>
              <w:left w:val="single" w:sz="6" w:space="0" w:color="000000"/>
            </w:tcBorders>
          </w:tcPr>
          <w:p w:rsidR="007C5447" w:rsidRDefault="00F6308C">
            <w:pPr>
              <w:pStyle w:val="TableParagraph"/>
              <w:spacing w:before="29"/>
              <w:ind w:right="97"/>
              <w:rPr>
                <w:sz w:val="20"/>
              </w:rPr>
            </w:pPr>
            <w:r>
              <w:rPr>
                <w:sz w:val="20"/>
              </w:rPr>
              <w:t>4.42</w:t>
            </w:r>
          </w:p>
        </w:tc>
        <w:tc>
          <w:tcPr>
            <w:tcW w:w="1077" w:type="dxa"/>
          </w:tcPr>
          <w:p w:rsidR="007C5447" w:rsidRDefault="00F6308C">
            <w:pPr>
              <w:pStyle w:val="TableParagraph"/>
              <w:spacing w:before="29"/>
              <w:ind w:right="93"/>
              <w:rPr>
                <w:sz w:val="20"/>
              </w:rPr>
            </w:pPr>
            <w:r>
              <w:rPr>
                <w:w w:val="95"/>
                <w:sz w:val="20"/>
              </w:rPr>
              <w:t>314.15</w:t>
            </w:r>
          </w:p>
        </w:tc>
      </w:tr>
      <w:tr w:rsidR="007C5447">
        <w:trPr>
          <w:trHeight w:val="299"/>
        </w:trPr>
        <w:tc>
          <w:tcPr>
            <w:tcW w:w="391" w:type="dxa"/>
          </w:tcPr>
          <w:p w:rsidR="007C5447" w:rsidRDefault="007C5447">
            <w:pPr>
              <w:pStyle w:val="TableParagraph"/>
              <w:jc w:val="left"/>
            </w:pPr>
          </w:p>
        </w:tc>
        <w:tc>
          <w:tcPr>
            <w:tcW w:w="2693" w:type="dxa"/>
          </w:tcPr>
          <w:p w:rsidR="007C5447" w:rsidRDefault="00F6308C">
            <w:pPr>
              <w:pStyle w:val="TableParagraph"/>
              <w:spacing w:before="47"/>
              <w:ind w:left="108"/>
              <w:jc w:val="left"/>
              <w:rPr>
                <w:sz w:val="18"/>
              </w:rPr>
            </w:pPr>
            <w:r>
              <w:rPr>
                <w:sz w:val="18"/>
              </w:rPr>
              <w:t>KGTPS</w:t>
            </w:r>
          </w:p>
        </w:tc>
        <w:tc>
          <w:tcPr>
            <w:tcW w:w="1135" w:type="dxa"/>
          </w:tcPr>
          <w:p w:rsidR="007C5447" w:rsidRDefault="00F6308C">
            <w:pPr>
              <w:pStyle w:val="TableParagraph"/>
              <w:spacing w:before="36"/>
              <w:ind w:right="99"/>
              <w:rPr>
                <w:sz w:val="20"/>
              </w:rPr>
            </w:pPr>
            <w:r>
              <w:rPr>
                <w:w w:val="95"/>
                <w:sz w:val="20"/>
              </w:rPr>
              <w:t>665.34</w:t>
            </w:r>
          </w:p>
        </w:tc>
        <w:tc>
          <w:tcPr>
            <w:tcW w:w="1133" w:type="dxa"/>
          </w:tcPr>
          <w:p w:rsidR="007C5447" w:rsidRDefault="00F6308C">
            <w:pPr>
              <w:pStyle w:val="TableParagraph"/>
              <w:spacing w:before="36"/>
              <w:ind w:right="96"/>
              <w:rPr>
                <w:sz w:val="20"/>
              </w:rPr>
            </w:pPr>
            <w:r>
              <w:rPr>
                <w:sz w:val="20"/>
              </w:rPr>
              <w:t>125.86</w:t>
            </w:r>
          </w:p>
        </w:tc>
        <w:tc>
          <w:tcPr>
            <w:tcW w:w="993" w:type="dxa"/>
          </w:tcPr>
          <w:p w:rsidR="007C5447" w:rsidRDefault="00F6308C">
            <w:pPr>
              <w:pStyle w:val="TableParagraph"/>
              <w:spacing w:before="36"/>
              <w:ind w:right="98"/>
              <w:rPr>
                <w:sz w:val="20"/>
              </w:rPr>
            </w:pPr>
            <w:r>
              <w:rPr>
                <w:sz w:val="20"/>
              </w:rPr>
              <w:t>2.34</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155.69</w:t>
            </w:r>
          </w:p>
        </w:tc>
        <w:tc>
          <w:tcPr>
            <w:tcW w:w="1135" w:type="dxa"/>
            <w:tcBorders>
              <w:left w:val="single" w:sz="6" w:space="0" w:color="000000"/>
            </w:tcBorders>
          </w:tcPr>
          <w:p w:rsidR="007C5447" w:rsidRDefault="00F6308C">
            <w:pPr>
              <w:pStyle w:val="TableParagraph"/>
              <w:spacing w:before="36"/>
              <w:ind w:right="97"/>
              <w:rPr>
                <w:sz w:val="20"/>
              </w:rPr>
            </w:pPr>
            <w:r>
              <w:rPr>
                <w:sz w:val="20"/>
              </w:rPr>
              <w:t>4.23</w:t>
            </w:r>
          </w:p>
        </w:tc>
        <w:tc>
          <w:tcPr>
            <w:tcW w:w="1077" w:type="dxa"/>
          </w:tcPr>
          <w:p w:rsidR="007C5447" w:rsidRDefault="00F6308C">
            <w:pPr>
              <w:pStyle w:val="TableParagraph"/>
              <w:spacing w:before="36"/>
              <w:ind w:right="93"/>
              <w:rPr>
                <w:sz w:val="20"/>
              </w:rPr>
            </w:pPr>
            <w:r>
              <w:rPr>
                <w:w w:val="95"/>
                <w:sz w:val="20"/>
              </w:rPr>
              <w:t>281.55</w:t>
            </w:r>
          </w:p>
        </w:tc>
      </w:tr>
      <w:tr w:rsidR="007C5447">
        <w:trPr>
          <w:trHeight w:val="299"/>
        </w:trPr>
        <w:tc>
          <w:tcPr>
            <w:tcW w:w="391" w:type="dxa"/>
          </w:tcPr>
          <w:p w:rsidR="007C5447" w:rsidRDefault="007C5447">
            <w:pPr>
              <w:pStyle w:val="TableParagraph"/>
              <w:jc w:val="left"/>
            </w:pPr>
          </w:p>
        </w:tc>
        <w:tc>
          <w:tcPr>
            <w:tcW w:w="2693" w:type="dxa"/>
          </w:tcPr>
          <w:p w:rsidR="007C5447" w:rsidRDefault="00F6308C">
            <w:pPr>
              <w:pStyle w:val="TableParagraph"/>
              <w:spacing w:before="47"/>
              <w:ind w:left="108"/>
              <w:jc w:val="left"/>
              <w:rPr>
                <w:sz w:val="18"/>
              </w:rPr>
            </w:pPr>
            <w:r>
              <w:rPr>
                <w:sz w:val="18"/>
              </w:rPr>
              <w:t>BBGTPS</w:t>
            </w:r>
          </w:p>
        </w:tc>
        <w:tc>
          <w:tcPr>
            <w:tcW w:w="1135" w:type="dxa"/>
          </w:tcPr>
          <w:p w:rsidR="007C5447" w:rsidRDefault="00F6308C">
            <w:pPr>
              <w:pStyle w:val="TableParagraph"/>
              <w:spacing w:before="36"/>
              <w:ind w:right="96"/>
              <w:rPr>
                <w:sz w:val="20"/>
              </w:rPr>
            </w:pPr>
            <w:r>
              <w:rPr>
                <w:w w:val="99"/>
                <w:sz w:val="20"/>
              </w:rPr>
              <w:t>-</w:t>
            </w:r>
          </w:p>
        </w:tc>
        <w:tc>
          <w:tcPr>
            <w:tcW w:w="1133" w:type="dxa"/>
          </w:tcPr>
          <w:p w:rsidR="007C5447" w:rsidRDefault="00F6308C">
            <w:pPr>
              <w:pStyle w:val="TableParagraph"/>
              <w:spacing w:before="36"/>
              <w:ind w:right="96"/>
              <w:rPr>
                <w:sz w:val="20"/>
              </w:rPr>
            </w:pPr>
            <w:r>
              <w:rPr>
                <w:sz w:val="20"/>
              </w:rPr>
              <w:t>154.12</w:t>
            </w:r>
          </w:p>
        </w:tc>
        <w:tc>
          <w:tcPr>
            <w:tcW w:w="993" w:type="dxa"/>
          </w:tcPr>
          <w:p w:rsidR="007C5447" w:rsidRDefault="00F6308C">
            <w:pPr>
              <w:pStyle w:val="TableParagraph"/>
              <w:spacing w:before="36"/>
              <w:ind w:right="98"/>
              <w:rPr>
                <w:sz w:val="20"/>
              </w:rPr>
            </w:pPr>
            <w:r>
              <w:rPr>
                <w:w w:val="95"/>
                <w:sz w:val="20"/>
              </w:rPr>
              <w:t>10.76</w:t>
            </w:r>
          </w:p>
        </w:tc>
        <w:tc>
          <w:tcPr>
            <w:tcW w:w="1132" w:type="dxa"/>
            <w:tcBorders>
              <w:right w:val="single" w:sz="6" w:space="0" w:color="000000"/>
            </w:tcBorders>
          </w:tcPr>
          <w:p w:rsidR="007C5447" w:rsidRDefault="00F6308C">
            <w:pPr>
              <w:pStyle w:val="TableParagraph"/>
              <w:spacing w:before="36"/>
              <w:ind w:right="89"/>
              <w:rPr>
                <w:sz w:val="20"/>
              </w:rPr>
            </w:pPr>
            <w:r>
              <w:rPr>
                <w:w w:val="99"/>
                <w:sz w:val="20"/>
              </w:rPr>
              <w:t>-</w:t>
            </w:r>
          </w:p>
        </w:tc>
        <w:tc>
          <w:tcPr>
            <w:tcW w:w="1135" w:type="dxa"/>
            <w:tcBorders>
              <w:left w:val="single" w:sz="6" w:space="0" w:color="000000"/>
            </w:tcBorders>
          </w:tcPr>
          <w:p w:rsidR="007C5447" w:rsidRDefault="00F6308C">
            <w:pPr>
              <w:pStyle w:val="TableParagraph"/>
              <w:spacing w:before="36"/>
              <w:ind w:right="93"/>
              <w:rPr>
                <w:sz w:val="20"/>
              </w:rPr>
            </w:pPr>
            <w:r>
              <w:rPr>
                <w:w w:val="99"/>
                <w:sz w:val="20"/>
              </w:rPr>
              <w:t>-</w:t>
            </w:r>
          </w:p>
        </w:tc>
        <w:tc>
          <w:tcPr>
            <w:tcW w:w="1077" w:type="dxa"/>
          </w:tcPr>
          <w:p w:rsidR="007C5447" w:rsidRDefault="00F6308C">
            <w:pPr>
              <w:pStyle w:val="TableParagraph"/>
              <w:spacing w:before="36"/>
              <w:ind w:right="93"/>
              <w:rPr>
                <w:sz w:val="20"/>
              </w:rPr>
            </w:pPr>
            <w:r>
              <w:rPr>
                <w:w w:val="95"/>
                <w:sz w:val="20"/>
              </w:rPr>
              <w:t>154.12</w:t>
            </w:r>
          </w:p>
        </w:tc>
      </w:tr>
    </w:tbl>
    <w:p w:rsidR="007C5447" w:rsidRDefault="007C5447">
      <w:pPr>
        <w:rPr>
          <w:sz w:val="20"/>
        </w:rPr>
        <w:sectPr w:rsidR="007C5447">
          <w:pgSz w:w="11910" w:h="16840"/>
          <w:pgMar w:top="1360" w:right="260" w:bottom="1240" w:left="340" w:header="0" w:footer="777" w:gutter="0"/>
          <w:cols w:space="720"/>
        </w:sect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1"/>
        <w:gridCol w:w="2693"/>
        <w:gridCol w:w="1135"/>
        <w:gridCol w:w="1133"/>
        <w:gridCol w:w="993"/>
        <w:gridCol w:w="1132"/>
        <w:gridCol w:w="1135"/>
        <w:gridCol w:w="1077"/>
      </w:tblGrid>
      <w:tr w:rsidR="007C5447">
        <w:trPr>
          <w:trHeight w:val="859"/>
        </w:trPr>
        <w:tc>
          <w:tcPr>
            <w:tcW w:w="391"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line="207" w:lineRule="exact"/>
              <w:ind w:left="107"/>
              <w:jc w:val="left"/>
              <w:rPr>
                <w:b/>
                <w:sz w:val="18"/>
              </w:rPr>
            </w:pPr>
            <w:r>
              <w:rPr>
                <w:b/>
                <w:sz w:val="18"/>
              </w:rPr>
              <w:t>Sl</w:t>
            </w:r>
          </w:p>
          <w:p w:rsidR="007C5447" w:rsidRDefault="00F6308C">
            <w:pPr>
              <w:pStyle w:val="TableParagraph"/>
              <w:spacing w:line="207" w:lineRule="exact"/>
              <w:ind w:left="107"/>
              <w:jc w:val="left"/>
              <w:rPr>
                <w:b/>
                <w:sz w:val="18"/>
              </w:rPr>
            </w:pPr>
            <w:r>
              <w:rPr>
                <w:b/>
                <w:sz w:val="18"/>
              </w:rPr>
              <w:t>.</w:t>
            </w:r>
          </w:p>
        </w:tc>
        <w:tc>
          <w:tcPr>
            <w:tcW w:w="2693" w:type="dxa"/>
            <w:shd w:val="clear" w:color="auto" w:fill="F7C9AC"/>
          </w:tcPr>
          <w:p w:rsidR="007C5447" w:rsidRDefault="007C5447">
            <w:pPr>
              <w:pStyle w:val="TableParagraph"/>
              <w:spacing w:before="4"/>
              <w:jc w:val="left"/>
              <w:rPr>
                <w:b/>
                <w:sz w:val="28"/>
              </w:rPr>
            </w:pPr>
          </w:p>
          <w:p w:rsidR="007C5447" w:rsidRDefault="00F6308C">
            <w:pPr>
              <w:pStyle w:val="TableParagraph"/>
              <w:ind w:left="108"/>
              <w:jc w:val="left"/>
              <w:rPr>
                <w:b/>
                <w:sz w:val="18"/>
              </w:rPr>
            </w:pPr>
            <w:r>
              <w:rPr>
                <w:b/>
                <w:sz w:val="18"/>
              </w:rPr>
              <w:t>Particulars</w:t>
            </w:r>
          </w:p>
        </w:tc>
        <w:tc>
          <w:tcPr>
            <w:tcW w:w="1135"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355" w:right="168" w:hanging="159"/>
              <w:jc w:val="left"/>
              <w:rPr>
                <w:b/>
                <w:sz w:val="18"/>
              </w:rPr>
            </w:pPr>
            <w:r>
              <w:rPr>
                <w:b/>
                <w:sz w:val="18"/>
              </w:rPr>
              <w:t>Quantum (MU)</w:t>
            </w:r>
          </w:p>
        </w:tc>
        <w:tc>
          <w:tcPr>
            <w:tcW w:w="1133"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211" w:right="125" w:hanging="58"/>
              <w:jc w:val="left"/>
              <w:rPr>
                <w:b/>
                <w:sz w:val="18"/>
              </w:rPr>
            </w:pPr>
            <w:r>
              <w:rPr>
                <w:b/>
                <w:sz w:val="18"/>
              </w:rPr>
              <w:t>Fixed Cost (Rs. Cr.)</w:t>
            </w:r>
          </w:p>
        </w:tc>
        <w:tc>
          <w:tcPr>
            <w:tcW w:w="993" w:type="dxa"/>
            <w:shd w:val="clear" w:color="auto" w:fill="F7C9AC"/>
          </w:tcPr>
          <w:p w:rsidR="007C5447" w:rsidRDefault="00F6308C">
            <w:pPr>
              <w:pStyle w:val="TableParagraph"/>
              <w:spacing w:before="14"/>
              <w:ind w:left="127" w:right="119" w:firstLine="88"/>
              <w:jc w:val="both"/>
              <w:rPr>
                <w:b/>
                <w:sz w:val="18"/>
              </w:rPr>
            </w:pPr>
            <w:r>
              <w:rPr>
                <w:b/>
                <w:sz w:val="18"/>
              </w:rPr>
              <w:t>Energy Charge (Rs./kWh</w:t>
            </w:r>
          </w:p>
          <w:p w:rsidR="007C5447" w:rsidRDefault="00F6308C">
            <w:pPr>
              <w:pStyle w:val="TableParagraph"/>
              <w:spacing w:before="1" w:line="203" w:lineRule="exact"/>
              <w:ind w:left="9"/>
              <w:jc w:val="center"/>
              <w:rPr>
                <w:b/>
                <w:sz w:val="18"/>
              </w:rPr>
            </w:pPr>
            <w:r>
              <w:rPr>
                <w:b/>
                <w:w w:val="99"/>
                <w:sz w:val="18"/>
              </w:rPr>
              <w:t>)</w:t>
            </w:r>
          </w:p>
        </w:tc>
        <w:tc>
          <w:tcPr>
            <w:tcW w:w="1132" w:type="dxa"/>
            <w:tcBorders>
              <w:right w:val="single" w:sz="6" w:space="0" w:color="000000"/>
            </w:tcBorders>
            <w:shd w:val="clear" w:color="auto" w:fill="F7C9AC"/>
          </w:tcPr>
          <w:p w:rsidR="007C5447" w:rsidRDefault="00F6308C">
            <w:pPr>
              <w:pStyle w:val="TableParagraph"/>
              <w:spacing w:before="119"/>
              <w:ind w:left="234" w:right="219" w:firstLine="52"/>
              <w:jc w:val="both"/>
              <w:rPr>
                <w:b/>
                <w:sz w:val="18"/>
              </w:rPr>
            </w:pPr>
            <w:r>
              <w:rPr>
                <w:b/>
                <w:sz w:val="18"/>
              </w:rPr>
              <w:t>Energy Charge (Rs. Cr.)</w:t>
            </w:r>
          </w:p>
        </w:tc>
        <w:tc>
          <w:tcPr>
            <w:tcW w:w="1135" w:type="dxa"/>
            <w:tcBorders>
              <w:left w:val="single" w:sz="6" w:space="0" w:color="000000"/>
            </w:tcBorders>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168" w:right="132" w:hanging="3"/>
              <w:jc w:val="left"/>
              <w:rPr>
                <w:b/>
                <w:sz w:val="18"/>
              </w:rPr>
            </w:pPr>
            <w:r>
              <w:rPr>
                <w:b/>
                <w:sz w:val="18"/>
              </w:rPr>
              <w:t>Total Cost (Rs./kWh)</w:t>
            </w:r>
          </w:p>
        </w:tc>
        <w:tc>
          <w:tcPr>
            <w:tcW w:w="1077"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209" w:right="103" w:hanging="70"/>
              <w:jc w:val="left"/>
              <w:rPr>
                <w:b/>
                <w:sz w:val="18"/>
              </w:rPr>
            </w:pPr>
            <w:r>
              <w:rPr>
                <w:b/>
                <w:sz w:val="18"/>
              </w:rPr>
              <w:t>Total Cost (Rs. Cr.)</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5"/>
              <w:ind w:left="108"/>
              <w:jc w:val="left"/>
              <w:rPr>
                <w:sz w:val="18"/>
              </w:rPr>
            </w:pPr>
            <w:r>
              <w:rPr>
                <w:sz w:val="18"/>
              </w:rPr>
              <w:t>VGTPS (Unit 1 and 2)</w:t>
            </w:r>
          </w:p>
        </w:tc>
        <w:tc>
          <w:tcPr>
            <w:tcW w:w="1135" w:type="dxa"/>
          </w:tcPr>
          <w:p w:rsidR="007C5447" w:rsidRDefault="00F6308C">
            <w:pPr>
              <w:pStyle w:val="TableParagraph"/>
              <w:spacing w:before="34"/>
              <w:ind w:right="97"/>
              <w:rPr>
                <w:sz w:val="20"/>
              </w:rPr>
            </w:pPr>
            <w:r>
              <w:rPr>
                <w:w w:val="95"/>
                <w:sz w:val="20"/>
              </w:rPr>
              <w:t>1,231.87</w:t>
            </w:r>
          </w:p>
        </w:tc>
        <w:tc>
          <w:tcPr>
            <w:tcW w:w="1133" w:type="dxa"/>
          </w:tcPr>
          <w:p w:rsidR="007C5447" w:rsidRDefault="00F6308C">
            <w:pPr>
              <w:pStyle w:val="TableParagraph"/>
              <w:spacing w:before="34"/>
              <w:ind w:right="96"/>
              <w:rPr>
                <w:sz w:val="20"/>
              </w:rPr>
            </w:pPr>
            <w:r>
              <w:rPr>
                <w:sz w:val="20"/>
              </w:rPr>
              <w:t>201.00</w:t>
            </w:r>
          </w:p>
        </w:tc>
        <w:tc>
          <w:tcPr>
            <w:tcW w:w="993" w:type="dxa"/>
          </w:tcPr>
          <w:p w:rsidR="007C5447" w:rsidRDefault="00F6308C">
            <w:pPr>
              <w:pStyle w:val="TableParagraph"/>
              <w:spacing w:before="34"/>
              <w:ind w:right="98"/>
              <w:rPr>
                <w:sz w:val="20"/>
              </w:rPr>
            </w:pPr>
            <w:r>
              <w:rPr>
                <w:sz w:val="20"/>
              </w:rPr>
              <w:t>2.21</w:t>
            </w:r>
          </w:p>
        </w:tc>
        <w:tc>
          <w:tcPr>
            <w:tcW w:w="1132" w:type="dxa"/>
            <w:tcBorders>
              <w:right w:val="single" w:sz="6" w:space="0" w:color="000000"/>
            </w:tcBorders>
          </w:tcPr>
          <w:p w:rsidR="007C5447" w:rsidRDefault="00F6308C">
            <w:pPr>
              <w:pStyle w:val="TableParagraph"/>
              <w:spacing w:before="34"/>
              <w:ind w:right="93"/>
              <w:rPr>
                <w:sz w:val="20"/>
              </w:rPr>
            </w:pPr>
            <w:r>
              <w:rPr>
                <w:w w:val="95"/>
                <w:sz w:val="20"/>
              </w:rPr>
              <w:t>271.78</w:t>
            </w:r>
          </w:p>
        </w:tc>
        <w:tc>
          <w:tcPr>
            <w:tcW w:w="1135" w:type="dxa"/>
            <w:tcBorders>
              <w:left w:val="single" w:sz="6" w:space="0" w:color="000000"/>
            </w:tcBorders>
          </w:tcPr>
          <w:p w:rsidR="007C5447" w:rsidRDefault="00F6308C">
            <w:pPr>
              <w:pStyle w:val="TableParagraph"/>
              <w:spacing w:before="34"/>
              <w:ind w:right="97"/>
              <w:rPr>
                <w:sz w:val="20"/>
              </w:rPr>
            </w:pPr>
            <w:r>
              <w:rPr>
                <w:sz w:val="20"/>
              </w:rPr>
              <w:t>3.84</w:t>
            </w:r>
          </w:p>
        </w:tc>
        <w:tc>
          <w:tcPr>
            <w:tcW w:w="1077" w:type="dxa"/>
          </w:tcPr>
          <w:p w:rsidR="007C5447" w:rsidRDefault="00F6308C">
            <w:pPr>
              <w:pStyle w:val="TableParagraph"/>
              <w:spacing w:before="34"/>
              <w:ind w:right="93"/>
              <w:rPr>
                <w:sz w:val="20"/>
              </w:rPr>
            </w:pPr>
            <w:r>
              <w:rPr>
                <w:w w:val="95"/>
                <w:sz w:val="20"/>
              </w:rPr>
              <w:t>472.78</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5"/>
              <w:ind w:left="108"/>
              <w:jc w:val="left"/>
              <w:rPr>
                <w:sz w:val="18"/>
              </w:rPr>
            </w:pPr>
            <w:r>
              <w:rPr>
                <w:sz w:val="18"/>
              </w:rPr>
              <w:t>Erode HEP</w:t>
            </w:r>
          </w:p>
        </w:tc>
        <w:tc>
          <w:tcPr>
            <w:tcW w:w="1135" w:type="dxa"/>
          </w:tcPr>
          <w:p w:rsidR="007C5447" w:rsidRDefault="00F6308C">
            <w:pPr>
              <w:pStyle w:val="TableParagraph"/>
              <w:spacing w:before="34"/>
              <w:ind w:right="99"/>
              <w:rPr>
                <w:sz w:val="20"/>
              </w:rPr>
            </w:pPr>
            <w:r>
              <w:rPr>
                <w:w w:val="95"/>
                <w:sz w:val="20"/>
              </w:rPr>
              <w:t>756.26</w:t>
            </w:r>
          </w:p>
        </w:tc>
        <w:tc>
          <w:tcPr>
            <w:tcW w:w="1133" w:type="dxa"/>
          </w:tcPr>
          <w:p w:rsidR="007C5447" w:rsidRDefault="00F6308C">
            <w:pPr>
              <w:pStyle w:val="TableParagraph"/>
              <w:spacing w:before="34"/>
              <w:ind w:right="96"/>
              <w:rPr>
                <w:sz w:val="20"/>
              </w:rPr>
            </w:pPr>
            <w:r>
              <w:rPr>
                <w:sz w:val="20"/>
              </w:rPr>
              <w:t>250.61</w:t>
            </w:r>
          </w:p>
        </w:tc>
        <w:tc>
          <w:tcPr>
            <w:tcW w:w="993" w:type="dxa"/>
          </w:tcPr>
          <w:p w:rsidR="007C5447" w:rsidRDefault="007C5447">
            <w:pPr>
              <w:pStyle w:val="TableParagraph"/>
              <w:jc w:val="left"/>
              <w:rPr>
                <w:sz w:val="18"/>
              </w:rPr>
            </w:pPr>
          </w:p>
        </w:tc>
        <w:tc>
          <w:tcPr>
            <w:tcW w:w="1132" w:type="dxa"/>
            <w:tcBorders>
              <w:right w:val="single" w:sz="6" w:space="0" w:color="000000"/>
            </w:tcBorders>
          </w:tcPr>
          <w:p w:rsidR="007C5447" w:rsidRDefault="00F6308C">
            <w:pPr>
              <w:pStyle w:val="TableParagraph"/>
              <w:spacing w:before="34"/>
              <w:ind w:right="89"/>
              <w:rPr>
                <w:sz w:val="20"/>
              </w:rPr>
            </w:pPr>
            <w:r>
              <w:rPr>
                <w:w w:val="99"/>
                <w:sz w:val="20"/>
              </w:rPr>
              <w:t>-</w:t>
            </w:r>
          </w:p>
        </w:tc>
        <w:tc>
          <w:tcPr>
            <w:tcW w:w="1135" w:type="dxa"/>
            <w:tcBorders>
              <w:left w:val="single" w:sz="6" w:space="0" w:color="000000"/>
            </w:tcBorders>
          </w:tcPr>
          <w:p w:rsidR="007C5447" w:rsidRDefault="00F6308C">
            <w:pPr>
              <w:pStyle w:val="TableParagraph"/>
              <w:spacing w:before="34"/>
              <w:ind w:right="97"/>
              <w:rPr>
                <w:sz w:val="20"/>
              </w:rPr>
            </w:pPr>
            <w:r>
              <w:rPr>
                <w:sz w:val="20"/>
              </w:rPr>
              <w:t>3.31</w:t>
            </w:r>
          </w:p>
        </w:tc>
        <w:tc>
          <w:tcPr>
            <w:tcW w:w="1077" w:type="dxa"/>
          </w:tcPr>
          <w:p w:rsidR="007C5447" w:rsidRDefault="00F6308C">
            <w:pPr>
              <w:pStyle w:val="TableParagraph"/>
              <w:spacing w:before="34"/>
              <w:ind w:right="93"/>
              <w:rPr>
                <w:sz w:val="20"/>
              </w:rPr>
            </w:pPr>
            <w:r>
              <w:rPr>
                <w:w w:val="95"/>
                <w:sz w:val="20"/>
              </w:rPr>
              <w:t>250.61</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Kadamparai HEP</w:t>
            </w:r>
          </w:p>
        </w:tc>
        <w:tc>
          <w:tcPr>
            <w:tcW w:w="1135" w:type="dxa"/>
          </w:tcPr>
          <w:p w:rsidR="007C5447" w:rsidRDefault="00F6308C">
            <w:pPr>
              <w:pStyle w:val="TableParagraph"/>
              <w:spacing w:before="36"/>
              <w:ind w:right="99"/>
              <w:rPr>
                <w:sz w:val="20"/>
              </w:rPr>
            </w:pPr>
            <w:r>
              <w:rPr>
                <w:w w:val="95"/>
                <w:sz w:val="20"/>
              </w:rPr>
              <w:t>477.00</w:t>
            </w:r>
          </w:p>
        </w:tc>
        <w:tc>
          <w:tcPr>
            <w:tcW w:w="1133" w:type="dxa"/>
          </w:tcPr>
          <w:p w:rsidR="007C5447" w:rsidRDefault="00F6308C">
            <w:pPr>
              <w:pStyle w:val="TableParagraph"/>
              <w:spacing w:before="36"/>
              <w:ind w:right="96"/>
              <w:rPr>
                <w:sz w:val="20"/>
              </w:rPr>
            </w:pPr>
            <w:r>
              <w:rPr>
                <w:sz w:val="20"/>
              </w:rPr>
              <w:t>146.50</w:t>
            </w:r>
          </w:p>
        </w:tc>
        <w:tc>
          <w:tcPr>
            <w:tcW w:w="993" w:type="dxa"/>
          </w:tcPr>
          <w:p w:rsidR="007C5447" w:rsidRDefault="007C5447">
            <w:pPr>
              <w:pStyle w:val="TableParagraph"/>
              <w:jc w:val="left"/>
              <w:rPr>
                <w:sz w:val="18"/>
              </w:rPr>
            </w:pPr>
          </w:p>
        </w:tc>
        <w:tc>
          <w:tcPr>
            <w:tcW w:w="1132" w:type="dxa"/>
            <w:tcBorders>
              <w:right w:val="single" w:sz="6" w:space="0" w:color="000000"/>
            </w:tcBorders>
          </w:tcPr>
          <w:p w:rsidR="007C5447" w:rsidRDefault="00F6308C">
            <w:pPr>
              <w:pStyle w:val="TableParagraph"/>
              <w:spacing w:before="36"/>
              <w:ind w:right="89"/>
              <w:rPr>
                <w:sz w:val="20"/>
              </w:rPr>
            </w:pPr>
            <w:r>
              <w:rPr>
                <w:w w:val="99"/>
                <w:sz w:val="20"/>
              </w:rPr>
              <w:t>-</w:t>
            </w:r>
          </w:p>
        </w:tc>
        <w:tc>
          <w:tcPr>
            <w:tcW w:w="1135" w:type="dxa"/>
            <w:tcBorders>
              <w:left w:val="single" w:sz="6" w:space="0" w:color="000000"/>
            </w:tcBorders>
          </w:tcPr>
          <w:p w:rsidR="007C5447" w:rsidRDefault="00F6308C">
            <w:pPr>
              <w:pStyle w:val="TableParagraph"/>
              <w:spacing w:before="36"/>
              <w:ind w:right="97"/>
              <w:rPr>
                <w:sz w:val="20"/>
              </w:rPr>
            </w:pPr>
            <w:r>
              <w:rPr>
                <w:sz w:val="20"/>
              </w:rPr>
              <w:t>3.07</w:t>
            </w:r>
          </w:p>
        </w:tc>
        <w:tc>
          <w:tcPr>
            <w:tcW w:w="1077" w:type="dxa"/>
          </w:tcPr>
          <w:p w:rsidR="007C5447" w:rsidRDefault="00F6308C">
            <w:pPr>
              <w:pStyle w:val="TableParagraph"/>
              <w:spacing w:before="36"/>
              <w:ind w:right="93"/>
              <w:rPr>
                <w:sz w:val="20"/>
              </w:rPr>
            </w:pPr>
            <w:r>
              <w:rPr>
                <w:w w:val="95"/>
                <w:sz w:val="20"/>
              </w:rPr>
              <w:t>146.50</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Kundah HEP</w:t>
            </w:r>
          </w:p>
        </w:tc>
        <w:tc>
          <w:tcPr>
            <w:tcW w:w="1135" w:type="dxa"/>
          </w:tcPr>
          <w:p w:rsidR="007C5447" w:rsidRDefault="00F6308C">
            <w:pPr>
              <w:pStyle w:val="TableParagraph"/>
              <w:spacing w:before="36"/>
              <w:ind w:right="97"/>
              <w:rPr>
                <w:sz w:val="20"/>
              </w:rPr>
            </w:pPr>
            <w:r>
              <w:rPr>
                <w:w w:val="95"/>
                <w:sz w:val="20"/>
              </w:rPr>
              <w:t>1,695.00</w:t>
            </w:r>
          </w:p>
        </w:tc>
        <w:tc>
          <w:tcPr>
            <w:tcW w:w="1133" w:type="dxa"/>
          </w:tcPr>
          <w:p w:rsidR="007C5447" w:rsidRDefault="00F6308C">
            <w:pPr>
              <w:pStyle w:val="TableParagraph"/>
              <w:spacing w:before="36"/>
              <w:ind w:right="95"/>
              <w:rPr>
                <w:sz w:val="20"/>
              </w:rPr>
            </w:pPr>
            <w:r>
              <w:rPr>
                <w:sz w:val="20"/>
              </w:rPr>
              <w:t>336.46</w:t>
            </w:r>
          </w:p>
        </w:tc>
        <w:tc>
          <w:tcPr>
            <w:tcW w:w="993" w:type="dxa"/>
          </w:tcPr>
          <w:p w:rsidR="007C5447" w:rsidRDefault="007C5447">
            <w:pPr>
              <w:pStyle w:val="TableParagraph"/>
              <w:jc w:val="left"/>
              <w:rPr>
                <w:sz w:val="18"/>
              </w:rPr>
            </w:pPr>
          </w:p>
        </w:tc>
        <w:tc>
          <w:tcPr>
            <w:tcW w:w="1132" w:type="dxa"/>
            <w:tcBorders>
              <w:right w:val="single" w:sz="6" w:space="0" w:color="000000"/>
            </w:tcBorders>
          </w:tcPr>
          <w:p w:rsidR="007C5447" w:rsidRDefault="00F6308C">
            <w:pPr>
              <w:pStyle w:val="TableParagraph"/>
              <w:spacing w:before="36"/>
              <w:ind w:right="89"/>
              <w:rPr>
                <w:sz w:val="20"/>
              </w:rPr>
            </w:pPr>
            <w:r>
              <w:rPr>
                <w:w w:val="99"/>
                <w:sz w:val="20"/>
              </w:rPr>
              <w:t>-</w:t>
            </w:r>
          </w:p>
        </w:tc>
        <w:tc>
          <w:tcPr>
            <w:tcW w:w="1135" w:type="dxa"/>
            <w:tcBorders>
              <w:left w:val="single" w:sz="6" w:space="0" w:color="000000"/>
            </w:tcBorders>
          </w:tcPr>
          <w:p w:rsidR="007C5447" w:rsidRDefault="00F6308C">
            <w:pPr>
              <w:pStyle w:val="TableParagraph"/>
              <w:spacing w:before="36"/>
              <w:ind w:right="97"/>
              <w:rPr>
                <w:sz w:val="20"/>
              </w:rPr>
            </w:pPr>
            <w:r>
              <w:rPr>
                <w:sz w:val="20"/>
              </w:rPr>
              <w:t>1.99</w:t>
            </w:r>
          </w:p>
        </w:tc>
        <w:tc>
          <w:tcPr>
            <w:tcW w:w="1077" w:type="dxa"/>
          </w:tcPr>
          <w:p w:rsidR="007C5447" w:rsidRDefault="00F6308C">
            <w:pPr>
              <w:pStyle w:val="TableParagraph"/>
              <w:spacing w:before="36"/>
              <w:ind w:right="92"/>
              <w:rPr>
                <w:sz w:val="20"/>
              </w:rPr>
            </w:pPr>
            <w:r>
              <w:rPr>
                <w:sz w:val="20"/>
              </w:rPr>
              <w:t>336.46</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Tirunelveli HEP</w:t>
            </w:r>
          </w:p>
        </w:tc>
        <w:tc>
          <w:tcPr>
            <w:tcW w:w="1135" w:type="dxa"/>
          </w:tcPr>
          <w:p w:rsidR="007C5447" w:rsidRDefault="00F6308C">
            <w:pPr>
              <w:pStyle w:val="TableParagraph"/>
              <w:spacing w:before="36"/>
              <w:ind w:right="97"/>
              <w:rPr>
                <w:sz w:val="20"/>
              </w:rPr>
            </w:pPr>
            <w:r>
              <w:rPr>
                <w:w w:val="95"/>
                <w:sz w:val="20"/>
              </w:rPr>
              <w:t>1,096.00</w:t>
            </w:r>
          </w:p>
        </w:tc>
        <w:tc>
          <w:tcPr>
            <w:tcW w:w="1133" w:type="dxa"/>
          </w:tcPr>
          <w:p w:rsidR="007C5447" w:rsidRDefault="00F6308C">
            <w:pPr>
              <w:pStyle w:val="TableParagraph"/>
              <w:spacing w:before="36"/>
              <w:ind w:right="96"/>
              <w:rPr>
                <w:sz w:val="20"/>
              </w:rPr>
            </w:pPr>
            <w:r>
              <w:rPr>
                <w:w w:val="95"/>
                <w:sz w:val="20"/>
              </w:rPr>
              <w:t>207.68</w:t>
            </w:r>
          </w:p>
        </w:tc>
        <w:tc>
          <w:tcPr>
            <w:tcW w:w="993" w:type="dxa"/>
          </w:tcPr>
          <w:p w:rsidR="007C5447" w:rsidRDefault="007C5447">
            <w:pPr>
              <w:pStyle w:val="TableParagraph"/>
              <w:jc w:val="left"/>
              <w:rPr>
                <w:sz w:val="18"/>
              </w:rPr>
            </w:pPr>
          </w:p>
        </w:tc>
        <w:tc>
          <w:tcPr>
            <w:tcW w:w="1132" w:type="dxa"/>
            <w:tcBorders>
              <w:right w:val="single" w:sz="6" w:space="0" w:color="000000"/>
            </w:tcBorders>
          </w:tcPr>
          <w:p w:rsidR="007C5447" w:rsidRDefault="00F6308C">
            <w:pPr>
              <w:pStyle w:val="TableParagraph"/>
              <w:spacing w:before="36"/>
              <w:ind w:right="89"/>
              <w:rPr>
                <w:sz w:val="20"/>
              </w:rPr>
            </w:pPr>
            <w:r>
              <w:rPr>
                <w:w w:val="99"/>
                <w:sz w:val="20"/>
              </w:rPr>
              <w:t>-</w:t>
            </w:r>
          </w:p>
        </w:tc>
        <w:tc>
          <w:tcPr>
            <w:tcW w:w="1135" w:type="dxa"/>
            <w:tcBorders>
              <w:left w:val="single" w:sz="6" w:space="0" w:color="000000"/>
            </w:tcBorders>
          </w:tcPr>
          <w:p w:rsidR="007C5447" w:rsidRDefault="00F6308C">
            <w:pPr>
              <w:pStyle w:val="TableParagraph"/>
              <w:spacing w:before="36"/>
              <w:ind w:right="96"/>
              <w:rPr>
                <w:sz w:val="20"/>
              </w:rPr>
            </w:pPr>
            <w:r>
              <w:rPr>
                <w:sz w:val="20"/>
              </w:rPr>
              <w:t>1.89</w:t>
            </w:r>
          </w:p>
        </w:tc>
        <w:tc>
          <w:tcPr>
            <w:tcW w:w="1077" w:type="dxa"/>
          </w:tcPr>
          <w:p w:rsidR="007C5447" w:rsidRDefault="00F6308C">
            <w:pPr>
              <w:pStyle w:val="TableParagraph"/>
              <w:spacing w:before="36"/>
              <w:ind w:right="93"/>
              <w:rPr>
                <w:sz w:val="20"/>
              </w:rPr>
            </w:pPr>
            <w:r>
              <w:rPr>
                <w:w w:val="95"/>
                <w:sz w:val="20"/>
              </w:rPr>
              <w:t>207.68</w:t>
            </w:r>
          </w:p>
        </w:tc>
      </w:tr>
      <w:tr w:rsidR="007C5447">
        <w:trPr>
          <w:trHeight w:val="302"/>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Wind</w:t>
            </w:r>
          </w:p>
        </w:tc>
        <w:tc>
          <w:tcPr>
            <w:tcW w:w="1135" w:type="dxa"/>
          </w:tcPr>
          <w:p w:rsidR="007C5447" w:rsidRDefault="00F6308C">
            <w:pPr>
              <w:pStyle w:val="TableParagraph"/>
              <w:spacing w:before="36"/>
              <w:ind w:right="99"/>
              <w:rPr>
                <w:sz w:val="20"/>
              </w:rPr>
            </w:pPr>
            <w:r>
              <w:rPr>
                <w:w w:val="95"/>
                <w:sz w:val="20"/>
              </w:rPr>
              <w:t>12.00</w:t>
            </w:r>
          </w:p>
        </w:tc>
        <w:tc>
          <w:tcPr>
            <w:tcW w:w="1133" w:type="dxa"/>
          </w:tcPr>
          <w:p w:rsidR="007C5447" w:rsidRDefault="007C5447">
            <w:pPr>
              <w:pStyle w:val="TableParagraph"/>
              <w:jc w:val="left"/>
              <w:rPr>
                <w:sz w:val="18"/>
              </w:rPr>
            </w:pPr>
          </w:p>
        </w:tc>
        <w:tc>
          <w:tcPr>
            <w:tcW w:w="993" w:type="dxa"/>
          </w:tcPr>
          <w:p w:rsidR="007C5447" w:rsidRDefault="00F6308C">
            <w:pPr>
              <w:pStyle w:val="TableParagraph"/>
              <w:spacing w:before="36"/>
              <w:ind w:right="98"/>
              <w:rPr>
                <w:sz w:val="20"/>
              </w:rPr>
            </w:pPr>
            <w:r>
              <w:rPr>
                <w:sz w:val="20"/>
              </w:rPr>
              <w:t>2.75</w:t>
            </w:r>
          </w:p>
        </w:tc>
        <w:tc>
          <w:tcPr>
            <w:tcW w:w="1132" w:type="dxa"/>
            <w:tcBorders>
              <w:right w:val="single" w:sz="6" w:space="0" w:color="000000"/>
            </w:tcBorders>
          </w:tcPr>
          <w:p w:rsidR="007C5447" w:rsidRDefault="00F6308C">
            <w:pPr>
              <w:pStyle w:val="TableParagraph"/>
              <w:spacing w:before="36"/>
              <w:ind w:right="93"/>
              <w:rPr>
                <w:sz w:val="20"/>
              </w:rPr>
            </w:pPr>
            <w:r>
              <w:rPr>
                <w:sz w:val="20"/>
              </w:rPr>
              <w:t>3.30</w:t>
            </w:r>
          </w:p>
        </w:tc>
        <w:tc>
          <w:tcPr>
            <w:tcW w:w="1135" w:type="dxa"/>
            <w:tcBorders>
              <w:left w:val="single" w:sz="6" w:space="0" w:color="000000"/>
            </w:tcBorders>
          </w:tcPr>
          <w:p w:rsidR="007C5447" w:rsidRDefault="00F6308C">
            <w:pPr>
              <w:pStyle w:val="TableParagraph"/>
              <w:spacing w:before="36"/>
              <w:ind w:right="97"/>
              <w:rPr>
                <w:sz w:val="20"/>
              </w:rPr>
            </w:pPr>
            <w:r>
              <w:rPr>
                <w:sz w:val="20"/>
              </w:rPr>
              <w:t>2.75</w:t>
            </w:r>
          </w:p>
        </w:tc>
        <w:tc>
          <w:tcPr>
            <w:tcW w:w="1077" w:type="dxa"/>
          </w:tcPr>
          <w:p w:rsidR="007C5447" w:rsidRDefault="00F6308C">
            <w:pPr>
              <w:pStyle w:val="TableParagraph"/>
              <w:spacing w:before="36"/>
              <w:ind w:right="94"/>
              <w:rPr>
                <w:sz w:val="20"/>
              </w:rPr>
            </w:pPr>
            <w:r>
              <w:rPr>
                <w:sz w:val="20"/>
              </w:rPr>
              <w:t>3.30</w:t>
            </w:r>
          </w:p>
        </w:tc>
      </w:tr>
      <w:tr w:rsidR="007C5447">
        <w:trPr>
          <w:trHeight w:val="328"/>
        </w:trPr>
        <w:tc>
          <w:tcPr>
            <w:tcW w:w="391" w:type="dxa"/>
            <w:shd w:val="clear" w:color="auto" w:fill="D0CECE"/>
          </w:tcPr>
          <w:p w:rsidR="007C5447" w:rsidRDefault="007C5447">
            <w:pPr>
              <w:pStyle w:val="TableParagraph"/>
              <w:jc w:val="left"/>
              <w:rPr>
                <w:sz w:val="18"/>
              </w:rPr>
            </w:pPr>
          </w:p>
        </w:tc>
        <w:tc>
          <w:tcPr>
            <w:tcW w:w="2693" w:type="dxa"/>
            <w:shd w:val="clear" w:color="auto" w:fill="D0CECE"/>
          </w:tcPr>
          <w:p w:rsidR="007C5447" w:rsidRDefault="00F6308C">
            <w:pPr>
              <w:pStyle w:val="TableParagraph"/>
              <w:spacing w:before="59"/>
              <w:ind w:left="108"/>
              <w:jc w:val="left"/>
              <w:rPr>
                <w:b/>
                <w:sz w:val="18"/>
              </w:rPr>
            </w:pPr>
            <w:r>
              <w:rPr>
                <w:b/>
                <w:sz w:val="18"/>
              </w:rPr>
              <w:t>Total</w:t>
            </w:r>
          </w:p>
        </w:tc>
        <w:tc>
          <w:tcPr>
            <w:tcW w:w="1135" w:type="dxa"/>
            <w:shd w:val="clear" w:color="auto" w:fill="D9D9D9"/>
          </w:tcPr>
          <w:p w:rsidR="007C5447" w:rsidRDefault="00F6308C">
            <w:pPr>
              <w:pStyle w:val="TableParagraph"/>
              <w:spacing w:before="48"/>
              <w:ind w:right="97"/>
              <w:rPr>
                <w:b/>
                <w:sz w:val="20"/>
              </w:rPr>
            </w:pPr>
            <w:r>
              <w:rPr>
                <w:b/>
                <w:w w:val="95"/>
                <w:sz w:val="20"/>
              </w:rPr>
              <w:t>19,590.82</w:t>
            </w:r>
          </w:p>
        </w:tc>
        <w:tc>
          <w:tcPr>
            <w:tcW w:w="1133" w:type="dxa"/>
            <w:shd w:val="clear" w:color="auto" w:fill="D9D9D9"/>
          </w:tcPr>
          <w:p w:rsidR="007C5447" w:rsidRDefault="00F6308C">
            <w:pPr>
              <w:pStyle w:val="TableParagraph"/>
              <w:spacing w:before="48"/>
              <w:ind w:right="96"/>
              <w:rPr>
                <w:b/>
                <w:sz w:val="20"/>
              </w:rPr>
            </w:pPr>
            <w:r>
              <w:rPr>
                <w:b/>
                <w:sz w:val="20"/>
              </w:rPr>
              <w:t>5,258.64</w:t>
            </w:r>
          </w:p>
        </w:tc>
        <w:tc>
          <w:tcPr>
            <w:tcW w:w="993" w:type="dxa"/>
            <w:shd w:val="clear" w:color="auto" w:fill="D9D9D9"/>
          </w:tcPr>
          <w:p w:rsidR="007C5447" w:rsidRDefault="00F6308C">
            <w:pPr>
              <w:pStyle w:val="TableParagraph"/>
              <w:spacing w:before="48"/>
              <w:ind w:right="96"/>
              <w:rPr>
                <w:b/>
                <w:sz w:val="20"/>
              </w:rPr>
            </w:pPr>
            <w:r>
              <w:rPr>
                <w:b/>
                <w:sz w:val="20"/>
              </w:rPr>
              <w:t>1.95</w:t>
            </w:r>
          </w:p>
        </w:tc>
        <w:tc>
          <w:tcPr>
            <w:tcW w:w="1132" w:type="dxa"/>
            <w:tcBorders>
              <w:right w:val="single" w:sz="6" w:space="0" w:color="000000"/>
            </w:tcBorders>
            <w:shd w:val="clear" w:color="auto" w:fill="D9D9D9"/>
          </w:tcPr>
          <w:p w:rsidR="007C5447" w:rsidRDefault="00F6308C">
            <w:pPr>
              <w:pStyle w:val="TableParagraph"/>
              <w:spacing w:before="48"/>
              <w:ind w:right="91"/>
              <w:rPr>
                <w:b/>
                <w:sz w:val="20"/>
              </w:rPr>
            </w:pPr>
            <w:r>
              <w:rPr>
                <w:b/>
                <w:w w:val="95"/>
                <w:sz w:val="20"/>
              </w:rPr>
              <w:t>3,826.12</w:t>
            </w:r>
          </w:p>
        </w:tc>
        <w:tc>
          <w:tcPr>
            <w:tcW w:w="1135" w:type="dxa"/>
            <w:tcBorders>
              <w:left w:val="single" w:sz="6" w:space="0" w:color="000000"/>
            </w:tcBorders>
            <w:shd w:val="clear" w:color="auto" w:fill="D9D9D9"/>
          </w:tcPr>
          <w:p w:rsidR="007C5447" w:rsidRDefault="00F6308C">
            <w:pPr>
              <w:pStyle w:val="TableParagraph"/>
              <w:spacing w:before="48"/>
              <w:ind w:right="94"/>
              <w:rPr>
                <w:b/>
                <w:sz w:val="20"/>
              </w:rPr>
            </w:pPr>
            <w:r>
              <w:rPr>
                <w:b/>
                <w:sz w:val="20"/>
              </w:rPr>
              <w:t>4.64</w:t>
            </w:r>
          </w:p>
        </w:tc>
        <w:tc>
          <w:tcPr>
            <w:tcW w:w="1077" w:type="dxa"/>
            <w:shd w:val="clear" w:color="auto" w:fill="D9D9D9"/>
          </w:tcPr>
          <w:p w:rsidR="007C5447" w:rsidRDefault="00F6308C">
            <w:pPr>
              <w:pStyle w:val="TableParagraph"/>
              <w:spacing w:before="48"/>
              <w:ind w:right="92"/>
              <w:rPr>
                <w:b/>
                <w:sz w:val="20"/>
              </w:rPr>
            </w:pPr>
            <w:r>
              <w:rPr>
                <w:b/>
                <w:w w:val="95"/>
                <w:sz w:val="20"/>
              </w:rPr>
              <w:t>9,084.73</w:t>
            </w:r>
          </w:p>
        </w:tc>
      </w:tr>
      <w:tr w:rsidR="007C5447">
        <w:trPr>
          <w:trHeight w:val="330"/>
        </w:trPr>
        <w:tc>
          <w:tcPr>
            <w:tcW w:w="391" w:type="dxa"/>
          </w:tcPr>
          <w:p w:rsidR="007C5447" w:rsidRDefault="00F6308C">
            <w:pPr>
              <w:pStyle w:val="TableParagraph"/>
              <w:spacing w:before="62"/>
              <w:ind w:left="87"/>
              <w:jc w:val="center"/>
              <w:rPr>
                <w:sz w:val="18"/>
              </w:rPr>
            </w:pPr>
            <w:r>
              <w:rPr>
                <w:sz w:val="18"/>
              </w:rPr>
              <w:t>2</w:t>
            </w:r>
          </w:p>
        </w:tc>
        <w:tc>
          <w:tcPr>
            <w:tcW w:w="2693" w:type="dxa"/>
          </w:tcPr>
          <w:p w:rsidR="007C5447" w:rsidRDefault="00F6308C">
            <w:pPr>
              <w:pStyle w:val="TableParagraph"/>
              <w:spacing w:before="62"/>
              <w:ind w:left="108"/>
              <w:jc w:val="left"/>
              <w:rPr>
                <w:b/>
                <w:sz w:val="18"/>
              </w:rPr>
            </w:pPr>
            <w:r>
              <w:rPr>
                <w:b/>
                <w:sz w:val="18"/>
              </w:rPr>
              <w:t>CGS</w:t>
            </w:r>
          </w:p>
        </w:tc>
        <w:tc>
          <w:tcPr>
            <w:tcW w:w="1135"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993" w:type="dxa"/>
          </w:tcPr>
          <w:p w:rsidR="007C5447" w:rsidRDefault="007C5447">
            <w:pPr>
              <w:pStyle w:val="TableParagraph"/>
              <w:jc w:val="left"/>
              <w:rPr>
                <w:sz w:val="18"/>
              </w:rPr>
            </w:pPr>
          </w:p>
        </w:tc>
        <w:tc>
          <w:tcPr>
            <w:tcW w:w="1132" w:type="dxa"/>
            <w:tcBorders>
              <w:right w:val="single" w:sz="6" w:space="0" w:color="000000"/>
            </w:tcBorders>
          </w:tcPr>
          <w:p w:rsidR="007C5447" w:rsidRDefault="007C5447">
            <w:pPr>
              <w:pStyle w:val="TableParagraph"/>
              <w:jc w:val="left"/>
              <w:rPr>
                <w:sz w:val="18"/>
              </w:rPr>
            </w:pPr>
          </w:p>
        </w:tc>
        <w:tc>
          <w:tcPr>
            <w:tcW w:w="1135" w:type="dxa"/>
            <w:tcBorders>
              <w:left w:val="single" w:sz="6" w:space="0" w:color="000000"/>
            </w:tcBorders>
          </w:tcPr>
          <w:p w:rsidR="007C5447" w:rsidRDefault="007C5447">
            <w:pPr>
              <w:pStyle w:val="TableParagraph"/>
              <w:jc w:val="left"/>
              <w:rPr>
                <w:sz w:val="18"/>
              </w:rPr>
            </w:pPr>
          </w:p>
        </w:tc>
        <w:tc>
          <w:tcPr>
            <w:tcW w:w="1077" w:type="dxa"/>
          </w:tcPr>
          <w:p w:rsidR="007C5447" w:rsidRDefault="007C5447">
            <w:pPr>
              <w:pStyle w:val="TableParagraph"/>
              <w:jc w:val="left"/>
              <w:rPr>
                <w:sz w:val="18"/>
              </w:rPr>
            </w:pP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NTPC SR (Ramagundam) (I&amp;II)</w:t>
            </w:r>
          </w:p>
        </w:tc>
        <w:tc>
          <w:tcPr>
            <w:tcW w:w="1135" w:type="dxa"/>
          </w:tcPr>
          <w:p w:rsidR="007C5447" w:rsidRDefault="00F6308C">
            <w:pPr>
              <w:pStyle w:val="TableParagraph"/>
              <w:spacing w:before="36"/>
              <w:ind w:right="99"/>
              <w:rPr>
                <w:sz w:val="20"/>
              </w:rPr>
            </w:pPr>
            <w:r>
              <w:rPr>
                <w:w w:val="95"/>
                <w:sz w:val="20"/>
              </w:rPr>
              <w:t>3,639.70</w:t>
            </w:r>
          </w:p>
        </w:tc>
        <w:tc>
          <w:tcPr>
            <w:tcW w:w="1133" w:type="dxa"/>
          </w:tcPr>
          <w:p w:rsidR="007C5447" w:rsidRDefault="00F6308C">
            <w:pPr>
              <w:pStyle w:val="TableParagraph"/>
              <w:spacing w:before="36"/>
              <w:ind w:right="97"/>
              <w:rPr>
                <w:sz w:val="20"/>
              </w:rPr>
            </w:pPr>
            <w:r>
              <w:rPr>
                <w:w w:val="95"/>
                <w:sz w:val="20"/>
              </w:rPr>
              <w:t>195.23</w:t>
            </w:r>
          </w:p>
        </w:tc>
        <w:tc>
          <w:tcPr>
            <w:tcW w:w="993" w:type="dxa"/>
          </w:tcPr>
          <w:p w:rsidR="007C5447" w:rsidRDefault="00F6308C">
            <w:pPr>
              <w:pStyle w:val="TableParagraph"/>
              <w:spacing w:before="36"/>
              <w:ind w:right="98"/>
              <w:rPr>
                <w:sz w:val="20"/>
              </w:rPr>
            </w:pPr>
            <w:r>
              <w:rPr>
                <w:sz w:val="20"/>
              </w:rPr>
              <w:t>2.26</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822.57</w:t>
            </w:r>
          </w:p>
        </w:tc>
        <w:tc>
          <w:tcPr>
            <w:tcW w:w="1135" w:type="dxa"/>
            <w:tcBorders>
              <w:left w:val="single" w:sz="6" w:space="0" w:color="000000"/>
            </w:tcBorders>
          </w:tcPr>
          <w:p w:rsidR="007C5447" w:rsidRDefault="00F6308C">
            <w:pPr>
              <w:pStyle w:val="TableParagraph"/>
              <w:spacing w:before="36"/>
              <w:ind w:right="97"/>
              <w:rPr>
                <w:sz w:val="20"/>
              </w:rPr>
            </w:pPr>
            <w:r>
              <w:rPr>
                <w:sz w:val="20"/>
              </w:rPr>
              <w:t>2.80</w:t>
            </w:r>
          </w:p>
        </w:tc>
        <w:tc>
          <w:tcPr>
            <w:tcW w:w="1077" w:type="dxa"/>
          </w:tcPr>
          <w:p w:rsidR="007C5447" w:rsidRDefault="00F6308C">
            <w:pPr>
              <w:pStyle w:val="TableParagraph"/>
              <w:spacing w:before="36"/>
              <w:ind w:right="94"/>
              <w:rPr>
                <w:sz w:val="20"/>
              </w:rPr>
            </w:pPr>
            <w:r>
              <w:rPr>
                <w:w w:val="95"/>
                <w:sz w:val="20"/>
              </w:rPr>
              <w:t>1,017.80</w:t>
            </w:r>
          </w:p>
        </w:tc>
      </w:tr>
      <w:tr w:rsidR="007C5447">
        <w:trPr>
          <w:trHeight w:val="300"/>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8"/>
              <w:ind w:left="108"/>
              <w:jc w:val="left"/>
              <w:rPr>
                <w:sz w:val="18"/>
              </w:rPr>
            </w:pPr>
            <w:r>
              <w:rPr>
                <w:sz w:val="18"/>
              </w:rPr>
              <w:t>NTPC SR (Ramagundam) III</w:t>
            </w:r>
          </w:p>
        </w:tc>
        <w:tc>
          <w:tcPr>
            <w:tcW w:w="1135" w:type="dxa"/>
          </w:tcPr>
          <w:p w:rsidR="007C5447" w:rsidRDefault="00F6308C">
            <w:pPr>
              <w:pStyle w:val="TableParagraph"/>
              <w:spacing w:before="37"/>
              <w:ind w:right="99"/>
              <w:rPr>
                <w:sz w:val="20"/>
              </w:rPr>
            </w:pPr>
            <w:r>
              <w:rPr>
                <w:w w:val="95"/>
                <w:sz w:val="20"/>
              </w:rPr>
              <w:t>918.99</w:t>
            </w:r>
          </w:p>
        </w:tc>
        <w:tc>
          <w:tcPr>
            <w:tcW w:w="1133" w:type="dxa"/>
          </w:tcPr>
          <w:p w:rsidR="007C5447" w:rsidRDefault="00F6308C">
            <w:pPr>
              <w:pStyle w:val="TableParagraph"/>
              <w:spacing w:before="37"/>
              <w:ind w:right="95"/>
              <w:rPr>
                <w:sz w:val="20"/>
              </w:rPr>
            </w:pPr>
            <w:r>
              <w:rPr>
                <w:sz w:val="20"/>
              </w:rPr>
              <w:t>75.55</w:t>
            </w:r>
          </w:p>
        </w:tc>
        <w:tc>
          <w:tcPr>
            <w:tcW w:w="993" w:type="dxa"/>
          </w:tcPr>
          <w:p w:rsidR="007C5447" w:rsidRDefault="00F6308C">
            <w:pPr>
              <w:pStyle w:val="TableParagraph"/>
              <w:spacing w:before="37"/>
              <w:ind w:right="98"/>
              <w:rPr>
                <w:sz w:val="20"/>
              </w:rPr>
            </w:pPr>
            <w:r>
              <w:rPr>
                <w:sz w:val="20"/>
              </w:rPr>
              <w:t>2.16</w:t>
            </w:r>
          </w:p>
        </w:tc>
        <w:tc>
          <w:tcPr>
            <w:tcW w:w="1132" w:type="dxa"/>
            <w:tcBorders>
              <w:right w:val="single" w:sz="6" w:space="0" w:color="000000"/>
            </w:tcBorders>
          </w:tcPr>
          <w:p w:rsidR="007C5447" w:rsidRDefault="00F6308C">
            <w:pPr>
              <w:pStyle w:val="TableParagraph"/>
              <w:spacing w:before="37"/>
              <w:ind w:right="93"/>
              <w:rPr>
                <w:sz w:val="20"/>
              </w:rPr>
            </w:pPr>
            <w:r>
              <w:rPr>
                <w:w w:val="95"/>
                <w:sz w:val="20"/>
              </w:rPr>
              <w:t>198.50</w:t>
            </w:r>
          </w:p>
        </w:tc>
        <w:tc>
          <w:tcPr>
            <w:tcW w:w="1135" w:type="dxa"/>
            <w:tcBorders>
              <w:left w:val="single" w:sz="6" w:space="0" w:color="000000"/>
            </w:tcBorders>
          </w:tcPr>
          <w:p w:rsidR="007C5447" w:rsidRDefault="00F6308C">
            <w:pPr>
              <w:pStyle w:val="TableParagraph"/>
              <w:spacing w:before="37"/>
              <w:ind w:right="97"/>
              <w:rPr>
                <w:sz w:val="20"/>
              </w:rPr>
            </w:pPr>
            <w:r>
              <w:rPr>
                <w:sz w:val="20"/>
              </w:rPr>
              <w:t>2.98</w:t>
            </w:r>
          </w:p>
        </w:tc>
        <w:tc>
          <w:tcPr>
            <w:tcW w:w="1077" w:type="dxa"/>
          </w:tcPr>
          <w:p w:rsidR="007C5447" w:rsidRDefault="00F6308C">
            <w:pPr>
              <w:pStyle w:val="TableParagraph"/>
              <w:spacing w:before="37"/>
              <w:ind w:right="94"/>
              <w:rPr>
                <w:sz w:val="20"/>
              </w:rPr>
            </w:pPr>
            <w:r>
              <w:rPr>
                <w:w w:val="95"/>
                <w:sz w:val="20"/>
              </w:rPr>
              <w:t>274.05</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NLC TS – I</w:t>
            </w:r>
          </w:p>
        </w:tc>
        <w:tc>
          <w:tcPr>
            <w:tcW w:w="1135" w:type="dxa"/>
          </w:tcPr>
          <w:p w:rsidR="007C5447" w:rsidRDefault="00F6308C">
            <w:pPr>
              <w:pStyle w:val="TableParagraph"/>
              <w:spacing w:before="36"/>
              <w:ind w:right="100"/>
              <w:rPr>
                <w:sz w:val="20"/>
              </w:rPr>
            </w:pPr>
            <w:r>
              <w:rPr>
                <w:w w:val="95"/>
                <w:sz w:val="20"/>
              </w:rPr>
              <w:t>3,236.24</w:t>
            </w:r>
          </w:p>
        </w:tc>
        <w:tc>
          <w:tcPr>
            <w:tcW w:w="1133" w:type="dxa"/>
          </w:tcPr>
          <w:p w:rsidR="007C5447" w:rsidRDefault="00F6308C">
            <w:pPr>
              <w:pStyle w:val="TableParagraph"/>
              <w:spacing w:before="36"/>
              <w:ind w:right="97"/>
              <w:rPr>
                <w:sz w:val="20"/>
              </w:rPr>
            </w:pPr>
            <w:r>
              <w:rPr>
                <w:w w:val="95"/>
                <w:sz w:val="20"/>
              </w:rPr>
              <w:t>251.05</w:t>
            </w:r>
          </w:p>
        </w:tc>
        <w:tc>
          <w:tcPr>
            <w:tcW w:w="993" w:type="dxa"/>
          </w:tcPr>
          <w:p w:rsidR="007C5447" w:rsidRDefault="00F6308C">
            <w:pPr>
              <w:pStyle w:val="TableParagraph"/>
              <w:spacing w:before="36"/>
              <w:ind w:right="98"/>
              <w:rPr>
                <w:sz w:val="20"/>
              </w:rPr>
            </w:pPr>
            <w:r>
              <w:rPr>
                <w:sz w:val="20"/>
              </w:rPr>
              <w:t>3.36</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1,087.38</w:t>
            </w:r>
          </w:p>
        </w:tc>
        <w:tc>
          <w:tcPr>
            <w:tcW w:w="1135" w:type="dxa"/>
            <w:tcBorders>
              <w:left w:val="single" w:sz="6" w:space="0" w:color="000000"/>
            </w:tcBorders>
          </w:tcPr>
          <w:p w:rsidR="007C5447" w:rsidRDefault="00F6308C">
            <w:pPr>
              <w:pStyle w:val="TableParagraph"/>
              <w:spacing w:before="36"/>
              <w:ind w:right="97"/>
              <w:rPr>
                <w:sz w:val="20"/>
              </w:rPr>
            </w:pPr>
            <w:r>
              <w:rPr>
                <w:sz w:val="20"/>
              </w:rPr>
              <w:t>4.14</w:t>
            </w:r>
          </w:p>
        </w:tc>
        <w:tc>
          <w:tcPr>
            <w:tcW w:w="1077" w:type="dxa"/>
          </w:tcPr>
          <w:p w:rsidR="007C5447" w:rsidRDefault="00F6308C">
            <w:pPr>
              <w:pStyle w:val="TableParagraph"/>
              <w:spacing w:before="36"/>
              <w:ind w:right="94"/>
              <w:rPr>
                <w:sz w:val="20"/>
              </w:rPr>
            </w:pPr>
            <w:r>
              <w:rPr>
                <w:w w:val="95"/>
                <w:sz w:val="20"/>
              </w:rPr>
              <w:t>1,338.43</w:t>
            </w:r>
          </w:p>
        </w:tc>
      </w:tr>
      <w:tr w:rsidR="007C5447">
        <w:trPr>
          <w:trHeight w:val="301"/>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NLC TS - II - Stage 1</w:t>
            </w:r>
          </w:p>
        </w:tc>
        <w:tc>
          <w:tcPr>
            <w:tcW w:w="1135" w:type="dxa"/>
          </w:tcPr>
          <w:p w:rsidR="007C5447" w:rsidRDefault="00F6308C">
            <w:pPr>
              <w:pStyle w:val="TableParagraph"/>
              <w:spacing w:before="36"/>
              <w:ind w:right="100"/>
              <w:rPr>
                <w:sz w:val="20"/>
              </w:rPr>
            </w:pPr>
            <w:r>
              <w:rPr>
                <w:w w:val="95"/>
                <w:sz w:val="20"/>
              </w:rPr>
              <w:t>1,189.45</w:t>
            </w:r>
          </w:p>
        </w:tc>
        <w:tc>
          <w:tcPr>
            <w:tcW w:w="1133" w:type="dxa"/>
          </w:tcPr>
          <w:p w:rsidR="007C5447" w:rsidRDefault="00F6308C">
            <w:pPr>
              <w:pStyle w:val="TableParagraph"/>
              <w:spacing w:before="36"/>
              <w:ind w:right="97"/>
              <w:rPr>
                <w:sz w:val="20"/>
              </w:rPr>
            </w:pPr>
            <w:r>
              <w:rPr>
                <w:w w:val="95"/>
                <w:sz w:val="20"/>
              </w:rPr>
              <w:t>182.52</w:t>
            </w:r>
          </w:p>
        </w:tc>
        <w:tc>
          <w:tcPr>
            <w:tcW w:w="993" w:type="dxa"/>
          </w:tcPr>
          <w:p w:rsidR="007C5447" w:rsidRDefault="00F6308C">
            <w:pPr>
              <w:pStyle w:val="TableParagraph"/>
              <w:spacing w:before="36"/>
              <w:ind w:right="98"/>
              <w:rPr>
                <w:sz w:val="20"/>
              </w:rPr>
            </w:pPr>
            <w:r>
              <w:rPr>
                <w:sz w:val="20"/>
              </w:rPr>
              <w:t>2.60</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309.26</w:t>
            </w:r>
          </w:p>
        </w:tc>
        <w:tc>
          <w:tcPr>
            <w:tcW w:w="1135" w:type="dxa"/>
            <w:tcBorders>
              <w:left w:val="single" w:sz="6" w:space="0" w:color="000000"/>
            </w:tcBorders>
          </w:tcPr>
          <w:p w:rsidR="007C5447" w:rsidRDefault="00F6308C">
            <w:pPr>
              <w:pStyle w:val="TableParagraph"/>
              <w:spacing w:before="36"/>
              <w:ind w:right="97"/>
              <w:rPr>
                <w:sz w:val="20"/>
              </w:rPr>
            </w:pPr>
            <w:r>
              <w:rPr>
                <w:sz w:val="20"/>
              </w:rPr>
              <w:t>4.13</w:t>
            </w:r>
          </w:p>
        </w:tc>
        <w:tc>
          <w:tcPr>
            <w:tcW w:w="1077" w:type="dxa"/>
          </w:tcPr>
          <w:p w:rsidR="007C5447" w:rsidRDefault="00F6308C">
            <w:pPr>
              <w:pStyle w:val="TableParagraph"/>
              <w:spacing w:before="36"/>
              <w:ind w:right="94"/>
              <w:rPr>
                <w:sz w:val="20"/>
              </w:rPr>
            </w:pPr>
            <w:r>
              <w:rPr>
                <w:w w:val="95"/>
                <w:sz w:val="20"/>
              </w:rPr>
              <w:t>491.78</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5"/>
              <w:ind w:left="108"/>
              <w:jc w:val="left"/>
              <w:rPr>
                <w:sz w:val="18"/>
              </w:rPr>
            </w:pPr>
            <w:r>
              <w:rPr>
                <w:sz w:val="18"/>
              </w:rPr>
              <w:t>NLC TS Expansion I</w:t>
            </w:r>
          </w:p>
        </w:tc>
        <w:tc>
          <w:tcPr>
            <w:tcW w:w="1135" w:type="dxa"/>
          </w:tcPr>
          <w:p w:rsidR="007C5447" w:rsidRDefault="00F6308C">
            <w:pPr>
              <w:pStyle w:val="TableParagraph"/>
              <w:spacing w:before="34"/>
              <w:ind w:right="100"/>
              <w:rPr>
                <w:sz w:val="20"/>
              </w:rPr>
            </w:pPr>
            <w:r>
              <w:rPr>
                <w:w w:val="95"/>
                <w:sz w:val="20"/>
              </w:rPr>
              <w:t>1,408.57</w:t>
            </w:r>
          </w:p>
        </w:tc>
        <w:tc>
          <w:tcPr>
            <w:tcW w:w="1133" w:type="dxa"/>
          </w:tcPr>
          <w:p w:rsidR="007C5447" w:rsidRDefault="00F6308C">
            <w:pPr>
              <w:pStyle w:val="TableParagraph"/>
              <w:spacing w:before="34"/>
              <w:ind w:right="97"/>
              <w:rPr>
                <w:sz w:val="20"/>
              </w:rPr>
            </w:pPr>
            <w:r>
              <w:rPr>
                <w:w w:val="95"/>
                <w:sz w:val="20"/>
              </w:rPr>
              <w:t>166.33</w:t>
            </w:r>
          </w:p>
        </w:tc>
        <w:tc>
          <w:tcPr>
            <w:tcW w:w="993" w:type="dxa"/>
          </w:tcPr>
          <w:p w:rsidR="007C5447" w:rsidRDefault="00F6308C">
            <w:pPr>
              <w:pStyle w:val="TableParagraph"/>
              <w:spacing w:before="34"/>
              <w:ind w:right="98"/>
              <w:rPr>
                <w:sz w:val="20"/>
              </w:rPr>
            </w:pPr>
            <w:r>
              <w:rPr>
                <w:sz w:val="20"/>
              </w:rPr>
              <w:t>2.49</w:t>
            </w:r>
          </w:p>
        </w:tc>
        <w:tc>
          <w:tcPr>
            <w:tcW w:w="1132" w:type="dxa"/>
            <w:tcBorders>
              <w:right w:val="single" w:sz="6" w:space="0" w:color="000000"/>
            </w:tcBorders>
          </w:tcPr>
          <w:p w:rsidR="007C5447" w:rsidRDefault="00F6308C">
            <w:pPr>
              <w:pStyle w:val="TableParagraph"/>
              <w:spacing w:before="34"/>
              <w:ind w:right="93"/>
              <w:rPr>
                <w:sz w:val="20"/>
              </w:rPr>
            </w:pPr>
            <w:r>
              <w:rPr>
                <w:w w:val="95"/>
                <w:sz w:val="20"/>
              </w:rPr>
              <w:t>350.73</w:t>
            </w:r>
          </w:p>
        </w:tc>
        <w:tc>
          <w:tcPr>
            <w:tcW w:w="1135" w:type="dxa"/>
            <w:tcBorders>
              <w:left w:val="single" w:sz="6" w:space="0" w:color="000000"/>
            </w:tcBorders>
          </w:tcPr>
          <w:p w:rsidR="007C5447" w:rsidRDefault="00F6308C">
            <w:pPr>
              <w:pStyle w:val="TableParagraph"/>
              <w:spacing w:before="34"/>
              <w:ind w:right="97"/>
              <w:rPr>
                <w:sz w:val="20"/>
              </w:rPr>
            </w:pPr>
            <w:r>
              <w:rPr>
                <w:sz w:val="20"/>
              </w:rPr>
              <w:t>3.67</w:t>
            </w:r>
          </w:p>
        </w:tc>
        <w:tc>
          <w:tcPr>
            <w:tcW w:w="1077" w:type="dxa"/>
          </w:tcPr>
          <w:p w:rsidR="007C5447" w:rsidRDefault="00F6308C">
            <w:pPr>
              <w:pStyle w:val="TableParagraph"/>
              <w:spacing w:before="34"/>
              <w:ind w:right="94"/>
              <w:rPr>
                <w:sz w:val="20"/>
              </w:rPr>
            </w:pPr>
            <w:r>
              <w:rPr>
                <w:w w:val="95"/>
                <w:sz w:val="20"/>
              </w:rPr>
              <w:t>517.06</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5"/>
              <w:ind w:left="108"/>
              <w:jc w:val="left"/>
              <w:rPr>
                <w:sz w:val="18"/>
              </w:rPr>
            </w:pPr>
            <w:r>
              <w:rPr>
                <w:sz w:val="18"/>
              </w:rPr>
              <w:t>NLC TS Expansion II</w:t>
            </w:r>
          </w:p>
        </w:tc>
        <w:tc>
          <w:tcPr>
            <w:tcW w:w="1135" w:type="dxa"/>
          </w:tcPr>
          <w:p w:rsidR="007C5447" w:rsidRDefault="00F6308C">
            <w:pPr>
              <w:pStyle w:val="TableParagraph"/>
              <w:spacing w:before="34"/>
              <w:ind w:right="99"/>
              <w:rPr>
                <w:sz w:val="20"/>
              </w:rPr>
            </w:pPr>
            <w:r>
              <w:rPr>
                <w:w w:val="95"/>
                <w:sz w:val="20"/>
              </w:rPr>
              <w:t>930.88</w:t>
            </w:r>
          </w:p>
        </w:tc>
        <w:tc>
          <w:tcPr>
            <w:tcW w:w="1133" w:type="dxa"/>
          </w:tcPr>
          <w:p w:rsidR="007C5447" w:rsidRDefault="00F6308C">
            <w:pPr>
              <w:pStyle w:val="TableParagraph"/>
              <w:spacing w:before="34"/>
              <w:ind w:right="97"/>
              <w:rPr>
                <w:sz w:val="20"/>
              </w:rPr>
            </w:pPr>
            <w:r>
              <w:rPr>
                <w:w w:val="95"/>
                <w:sz w:val="20"/>
              </w:rPr>
              <w:t>128.68</w:t>
            </w:r>
          </w:p>
        </w:tc>
        <w:tc>
          <w:tcPr>
            <w:tcW w:w="993" w:type="dxa"/>
          </w:tcPr>
          <w:p w:rsidR="007C5447" w:rsidRDefault="00F6308C">
            <w:pPr>
              <w:pStyle w:val="TableParagraph"/>
              <w:spacing w:before="34"/>
              <w:ind w:right="98"/>
              <w:rPr>
                <w:sz w:val="20"/>
              </w:rPr>
            </w:pPr>
            <w:r>
              <w:rPr>
                <w:sz w:val="20"/>
              </w:rPr>
              <w:t>2.42</w:t>
            </w:r>
          </w:p>
        </w:tc>
        <w:tc>
          <w:tcPr>
            <w:tcW w:w="1132" w:type="dxa"/>
            <w:tcBorders>
              <w:right w:val="single" w:sz="6" w:space="0" w:color="000000"/>
            </w:tcBorders>
          </w:tcPr>
          <w:p w:rsidR="007C5447" w:rsidRDefault="00F6308C">
            <w:pPr>
              <w:pStyle w:val="TableParagraph"/>
              <w:spacing w:before="34"/>
              <w:ind w:right="93"/>
              <w:rPr>
                <w:sz w:val="20"/>
              </w:rPr>
            </w:pPr>
            <w:r>
              <w:rPr>
                <w:w w:val="95"/>
                <w:sz w:val="20"/>
              </w:rPr>
              <w:t>225.27</w:t>
            </w:r>
          </w:p>
        </w:tc>
        <w:tc>
          <w:tcPr>
            <w:tcW w:w="1135" w:type="dxa"/>
            <w:tcBorders>
              <w:left w:val="single" w:sz="6" w:space="0" w:color="000000"/>
            </w:tcBorders>
          </w:tcPr>
          <w:p w:rsidR="007C5447" w:rsidRDefault="00F6308C">
            <w:pPr>
              <w:pStyle w:val="TableParagraph"/>
              <w:spacing w:before="34"/>
              <w:ind w:right="97"/>
              <w:rPr>
                <w:sz w:val="20"/>
              </w:rPr>
            </w:pPr>
            <w:r>
              <w:rPr>
                <w:sz w:val="20"/>
              </w:rPr>
              <w:t>3.80</w:t>
            </w:r>
          </w:p>
        </w:tc>
        <w:tc>
          <w:tcPr>
            <w:tcW w:w="1077" w:type="dxa"/>
          </w:tcPr>
          <w:p w:rsidR="007C5447" w:rsidRDefault="00F6308C">
            <w:pPr>
              <w:pStyle w:val="TableParagraph"/>
              <w:spacing w:before="34"/>
              <w:ind w:right="94"/>
              <w:rPr>
                <w:sz w:val="20"/>
              </w:rPr>
            </w:pPr>
            <w:r>
              <w:rPr>
                <w:w w:val="95"/>
                <w:sz w:val="20"/>
              </w:rPr>
              <w:t>353.95</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NTPL (JV with NLC)</w:t>
            </w:r>
          </w:p>
        </w:tc>
        <w:tc>
          <w:tcPr>
            <w:tcW w:w="1135" w:type="dxa"/>
          </w:tcPr>
          <w:p w:rsidR="007C5447" w:rsidRDefault="00F6308C">
            <w:pPr>
              <w:pStyle w:val="TableParagraph"/>
              <w:spacing w:before="36"/>
              <w:ind w:right="100"/>
              <w:rPr>
                <w:sz w:val="20"/>
              </w:rPr>
            </w:pPr>
            <w:r>
              <w:rPr>
                <w:w w:val="95"/>
                <w:sz w:val="20"/>
              </w:rPr>
              <w:t>2,597.54</w:t>
            </w:r>
          </w:p>
        </w:tc>
        <w:tc>
          <w:tcPr>
            <w:tcW w:w="1133" w:type="dxa"/>
          </w:tcPr>
          <w:p w:rsidR="007C5447" w:rsidRDefault="00F6308C">
            <w:pPr>
              <w:pStyle w:val="TableParagraph"/>
              <w:spacing w:before="36"/>
              <w:ind w:right="97"/>
              <w:rPr>
                <w:sz w:val="20"/>
              </w:rPr>
            </w:pPr>
            <w:r>
              <w:rPr>
                <w:w w:val="95"/>
                <w:sz w:val="20"/>
              </w:rPr>
              <w:t>375.18</w:t>
            </w:r>
          </w:p>
        </w:tc>
        <w:tc>
          <w:tcPr>
            <w:tcW w:w="993" w:type="dxa"/>
          </w:tcPr>
          <w:p w:rsidR="007C5447" w:rsidRDefault="00F6308C">
            <w:pPr>
              <w:pStyle w:val="TableParagraph"/>
              <w:spacing w:before="36"/>
              <w:ind w:right="98"/>
              <w:rPr>
                <w:sz w:val="20"/>
              </w:rPr>
            </w:pPr>
            <w:r>
              <w:rPr>
                <w:sz w:val="20"/>
              </w:rPr>
              <w:t>2.56</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664.97</w:t>
            </w:r>
          </w:p>
        </w:tc>
        <w:tc>
          <w:tcPr>
            <w:tcW w:w="1135" w:type="dxa"/>
            <w:tcBorders>
              <w:left w:val="single" w:sz="6" w:space="0" w:color="000000"/>
            </w:tcBorders>
          </w:tcPr>
          <w:p w:rsidR="007C5447" w:rsidRDefault="00F6308C">
            <w:pPr>
              <w:pStyle w:val="TableParagraph"/>
              <w:spacing w:before="36"/>
              <w:ind w:right="97"/>
              <w:rPr>
                <w:sz w:val="20"/>
              </w:rPr>
            </w:pPr>
            <w:r>
              <w:rPr>
                <w:sz w:val="20"/>
              </w:rPr>
              <w:t>4.00</w:t>
            </w:r>
          </w:p>
        </w:tc>
        <w:tc>
          <w:tcPr>
            <w:tcW w:w="1077" w:type="dxa"/>
          </w:tcPr>
          <w:p w:rsidR="007C5447" w:rsidRDefault="00F6308C">
            <w:pPr>
              <w:pStyle w:val="TableParagraph"/>
              <w:spacing w:before="36"/>
              <w:ind w:right="94"/>
              <w:rPr>
                <w:sz w:val="20"/>
              </w:rPr>
            </w:pPr>
            <w:r>
              <w:rPr>
                <w:w w:val="95"/>
                <w:sz w:val="20"/>
              </w:rPr>
              <w:t>1,040.15</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NTPC Talcher</w:t>
            </w:r>
          </w:p>
        </w:tc>
        <w:tc>
          <w:tcPr>
            <w:tcW w:w="1135" w:type="dxa"/>
          </w:tcPr>
          <w:p w:rsidR="007C5447" w:rsidRDefault="00F6308C">
            <w:pPr>
              <w:pStyle w:val="TableParagraph"/>
              <w:spacing w:before="36"/>
              <w:ind w:right="100"/>
              <w:rPr>
                <w:sz w:val="20"/>
              </w:rPr>
            </w:pPr>
            <w:r>
              <w:rPr>
                <w:w w:val="95"/>
                <w:sz w:val="20"/>
              </w:rPr>
              <w:t>3,231.59</w:t>
            </w:r>
          </w:p>
        </w:tc>
        <w:tc>
          <w:tcPr>
            <w:tcW w:w="1133" w:type="dxa"/>
          </w:tcPr>
          <w:p w:rsidR="007C5447" w:rsidRDefault="00F6308C">
            <w:pPr>
              <w:pStyle w:val="TableParagraph"/>
              <w:spacing w:before="36"/>
              <w:ind w:right="97"/>
              <w:rPr>
                <w:sz w:val="20"/>
              </w:rPr>
            </w:pPr>
            <w:r>
              <w:rPr>
                <w:w w:val="95"/>
                <w:sz w:val="20"/>
              </w:rPr>
              <w:t>258.12</w:t>
            </w:r>
          </w:p>
        </w:tc>
        <w:tc>
          <w:tcPr>
            <w:tcW w:w="993" w:type="dxa"/>
          </w:tcPr>
          <w:p w:rsidR="007C5447" w:rsidRDefault="00F6308C">
            <w:pPr>
              <w:pStyle w:val="TableParagraph"/>
              <w:spacing w:before="36"/>
              <w:ind w:right="98"/>
              <w:rPr>
                <w:sz w:val="20"/>
              </w:rPr>
            </w:pPr>
            <w:r>
              <w:rPr>
                <w:sz w:val="20"/>
              </w:rPr>
              <w:t>1.65</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533.21</w:t>
            </w:r>
          </w:p>
        </w:tc>
        <w:tc>
          <w:tcPr>
            <w:tcW w:w="1135" w:type="dxa"/>
            <w:tcBorders>
              <w:left w:val="single" w:sz="6" w:space="0" w:color="000000"/>
            </w:tcBorders>
          </w:tcPr>
          <w:p w:rsidR="007C5447" w:rsidRDefault="00F6308C">
            <w:pPr>
              <w:pStyle w:val="TableParagraph"/>
              <w:spacing w:before="36"/>
              <w:ind w:right="97"/>
              <w:rPr>
                <w:sz w:val="20"/>
              </w:rPr>
            </w:pPr>
            <w:r>
              <w:rPr>
                <w:sz w:val="20"/>
              </w:rPr>
              <w:t>2.45</w:t>
            </w:r>
          </w:p>
        </w:tc>
        <w:tc>
          <w:tcPr>
            <w:tcW w:w="1077" w:type="dxa"/>
          </w:tcPr>
          <w:p w:rsidR="007C5447" w:rsidRDefault="00F6308C">
            <w:pPr>
              <w:pStyle w:val="TableParagraph"/>
              <w:spacing w:before="36"/>
              <w:ind w:right="94"/>
              <w:rPr>
                <w:sz w:val="20"/>
              </w:rPr>
            </w:pPr>
            <w:r>
              <w:rPr>
                <w:w w:val="95"/>
                <w:sz w:val="20"/>
              </w:rPr>
              <w:t>791.33</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NTPC Simhadri</w:t>
            </w:r>
          </w:p>
        </w:tc>
        <w:tc>
          <w:tcPr>
            <w:tcW w:w="1135" w:type="dxa"/>
          </w:tcPr>
          <w:p w:rsidR="007C5447" w:rsidRDefault="00F6308C">
            <w:pPr>
              <w:pStyle w:val="TableParagraph"/>
              <w:spacing w:before="36"/>
              <w:ind w:right="100"/>
              <w:rPr>
                <w:sz w:val="20"/>
              </w:rPr>
            </w:pPr>
            <w:r>
              <w:rPr>
                <w:w w:val="95"/>
                <w:sz w:val="20"/>
              </w:rPr>
              <w:t>1,504.97</w:t>
            </w:r>
          </w:p>
        </w:tc>
        <w:tc>
          <w:tcPr>
            <w:tcW w:w="1133" w:type="dxa"/>
          </w:tcPr>
          <w:p w:rsidR="007C5447" w:rsidRDefault="00F6308C">
            <w:pPr>
              <w:pStyle w:val="TableParagraph"/>
              <w:spacing w:before="36"/>
              <w:ind w:right="97"/>
              <w:rPr>
                <w:sz w:val="20"/>
              </w:rPr>
            </w:pPr>
            <w:r>
              <w:rPr>
                <w:w w:val="95"/>
                <w:sz w:val="20"/>
              </w:rPr>
              <w:t>199.00</w:t>
            </w:r>
          </w:p>
        </w:tc>
        <w:tc>
          <w:tcPr>
            <w:tcW w:w="993" w:type="dxa"/>
          </w:tcPr>
          <w:p w:rsidR="007C5447" w:rsidRDefault="00F6308C">
            <w:pPr>
              <w:pStyle w:val="TableParagraph"/>
              <w:spacing w:before="36"/>
              <w:ind w:right="98"/>
              <w:rPr>
                <w:sz w:val="20"/>
              </w:rPr>
            </w:pPr>
            <w:r>
              <w:rPr>
                <w:sz w:val="20"/>
              </w:rPr>
              <w:t>2.68</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403.33</w:t>
            </w:r>
          </w:p>
        </w:tc>
        <w:tc>
          <w:tcPr>
            <w:tcW w:w="1135" w:type="dxa"/>
            <w:tcBorders>
              <w:left w:val="single" w:sz="6" w:space="0" w:color="000000"/>
            </w:tcBorders>
          </w:tcPr>
          <w:p w:rsidR="007C5447" w:rsidRDefault="00F6308C">
            <w:pPr>
              <w:pStyle w:val="TableParagraph"/>
              <w:spacing w:before="36"/>
              <w:ind w:right="97"/>
              <w:rPr>
                <w:sz w:val="20"/>
              </w:rPr>
            </w:pPr>
            <w:r>
              <w:rPr>
                <w:sz w:val="20"/>
              </w:rPr>
              <w:t>4.00</w:t>
            </w:r>
          </w:p>
        </w:tc>
        <w:tc>
          <w:tcPr>
            <w:tcW w:w="1077" w:type="dxa"/>
          </w:tcPr>
          <w:p w:rsidR="007C5447" w:rsidRDefault="00F6308C">
            <w:pPr>
              <w:pStyle w:val="TableParagraph"/>
              <w:spacing w:before="36"/>
              <w:ind w:right="94"/>
              <w:rPr>
                <w:sz w:val="20"/>
              </w:rPr>
            </w:pPr>
            <w:r>
              <w:rPr>
                <w:w w:val="95"/>
                <w:sz w:val="20"/>
              </w:rPr>
              <w:t>602.33</w:t>
            </w:r>
          </w:p>
        </w:tc>
      </w:tr>
      <w:tr w:rsidR="007C5447">
        <w:trPr>
          <w:trHeight w:val="302"/>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MAPS</w:t>
            </w:r>
          </w:p>
        </w:tc>
        <w:tc>
          <w:tcPr>
            <w:tcW w:w="1135" w:type="dxa"/>
          </w:tcPr>
          <w:p w:rsidR="007C5447" w:rsidRDefault="00F6308C">
            <w:pPr>
              <w:pStyle w:val="TableParagraph"/>
              <w:spacing w:before="36"/>
              <w:ind w:right="100"/>
              <w:rPr>
                <w:sz w:val="20"/>
              </w:rPr>
            </w:pPr>
            <w:r>
              <w:rPr>
                <w:w w:val="95"/>
                <w:sz w:val="20"/>
              </w:rPr>
              <w:t>1,530.78</w:t>
            </w:r>
          </w:p>
        </w:tc>
        <w:tc>
          <w:tcPr>
            <w:tcW w:w="1133" w:type="dxa"/>
          </w:tcPr>
          <w:p w:rsidR="007C5447" w:rsidRDefault="00F6308C">
            <w:pPr>
              <w:pStyle w:val="TableParagraph"/>
              <w:spacing w:before="36"/>
              <w:ind w:right="93"/>
              <w:rPr>
                <w:sz w:val="20"/>
              </w:rPr>
            </w:pPr>
            <w:r>
              <w:rPr>
                <w:w w:val="99"/>
                <w:sz w:val="20"/>
              </w:rPr>
              <w:t>-</w:t>
            </w:r>
          </w:p>
        </w:tc>
        <w:tc>
          <w:tcPr>
            <w:tcW w:w="993" w:type="dxa"/>
          </w:tcPr>
          <w:p w:rsidR="007C5447" w:rsidRDefault="00F6308C">
            <w:pPr>
              <w:pStyle w:val="TableParagraph"/>
              <w:spacing w:before="36"/>
              <w:ind w:right="98"/>
              <w:rPr>
                <w:sz w:val="20"/>
              </w:rPr>
            </w:pPr>
            <w:r>
              <w:rPr>
                <w:sz w:val="20"/>
              </w:rPr>
              <w:t>2.12</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324.52</w:t>
            </w:r>
          </w:p>
        </w:tc>
        <w:tc>
          <w:tcPr>
            <w:tcW w:w="1135" w:type="dxa"/>
            <w:tcBorders>
              <w:left w:val="single" w:sz="6" w:space="0" w:color="000000"/>
            </w:tcBorders>
          </w:tcPr>
          <w:p w:rsidR="007C5447" w:rsidRDefault="00F6308C">
            <w:pPr>
              <w:pStyle w:val="TableParagraph"/>
              <w:spacing w:before="36"/>
              <w:ind w:right="97"/>
              <w:rPr>
                <w:sz w:val="20"/>
              </w:rPr>
            </w:pPr>
            <w:r>
              <w:rPr>
                <w:sz w:val="20"/>
              </w:rPr>
              <w:t>2.12</w:t>
            </w:r>
          </w:p>
        </w:tc>
        <w:tc>
          <w:tcPr>
            <w:tcW w:w="1077" w:type="dxa"/>
          </w:tcPr>
          <w:p w:rsidR="007C5447" w:rsidRDefault="00F6308C">
            <w:pPr>
              <w:pStyle w:val="TableParagraph"/>
              <w:spacing w:before="36"/>
              <w:ind w:right="94"/>
              <w:rPr>
                <w:sz w:val="20"/>
              </w:rPr>
            </w:pPr>
            <w:r>
              <w:rPr>
                <w:w w:val="95"/>
                <w:sz w:val="20"/>
              </w:rPr>
              <w:t>324.52</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5"/>
              <w:ind w:left="108"/>
              <w:jc w:val="left"/>
              <w:rPr>
                <w:sz w:val="18"/>
              </w:rPr>
            </w:pPr>
            <w:r>
              <w:rPr>
                <w:sz w:val="18"/>
              </w:rPr>
              <w:t>KAIGA</w:t>
            </w:r>
          </w:p>
        </w:tc>
        <w:tc>
          <w:tcPr>
            <w:tcW w:w="1135" w:type="dxa"/>
          </w:tcPr>
          <w:p w:rsidR="007C5447" w:rsidRDefault="00F6308C">
            <w:pPr>
              <w:pStyle w:val="TableParagraph"/>
              <w:spacing w:before="34"/>
              <w:ind w:right="100"/>
              <w:rPr>
                <w:sz w:val="20"/>
              </w:rPr>
            </w:pPr>
            <w:r>
              <w:rPr>
                <w:w w:val="95"/>
                <w:sz w:val="20"/>
              </w:rPr>
              <w:t>1,175.28</w:t>
            </w:r>
          </w:p>
        </w:tc>
        <w:tc>
          <w:tcPr>
            <w:tcW w:w="1133" w:type="dxa"/>
          </w:tcPr>
          <w:p w:rsidR="007C5447" w:rsidRDefault="00F6308C">
            <w:pPr>
              <w:pStyle w:val="TableParagraph"/>
              <w:spacing w:before="34"/>
              <w:ind w:right="93"/>
              <w:rPr>
                <w:sz w:val="20"/>
              </w:rPr>
            </w:pPr>
            <w:r>
              <w:rPr>
                <w:w w:val="99"/>
                <w:sz w:val="20"/>
              </w:rPr>
              <w:t>-</w:t>
            </w:r>
          </w:p>
        </w:tc>
        <w:tc>
          <w:tcPr>
            <w:tcW w:w="993" w:type="dxa"/>
          </w:tcPr>
          <w:p w:rsidR="007C5447" w:rsidRDefault="00F6308C">
            <w:pPr>
              <w:pStyle w:val="TableParagraph"/>
              <w:spacing w:before="34"/>
              <w:ind w:right="98"/>
              <w:rPr>
                <w:sz w:val="20"/>
              </w:rPr>
            </w:pPr>
            <w:r>
              <w:rPr>
                <w:sz w:val="20"/>
              </w:rPr>
              <w:t>3.13</w:t>
            </w:r>
          </w:p>
        </w:tc>
        <w:tc>
          <w:tcPr>
            <w:tcW w:w="1132" w:type="dxa"/>
            <w:tcBorders>
              <w:right w:val="single" w:sz="6" w:space="0" w:color="000000"/>
            </w:tcBorders>
          </w:tcPr>
          <w:p w:rsidR="007C5447" w:rsidRDefault="00F6308C">
            <w:pPr>
              <w:pStyle w:val="TableParagraph"/>
              <w:spacing w:before="34"/>
              <w:ind w:right="93"/>
              <w:rPr>
                <w:sz w:val="20"/>
              </w:rPr>
            </w:pPr>
            <w:r>
              <w:rPr>
                <w:w w:val="95"/>
                <w:sz w:val="20"/>
              </w:rPr>
              <w:t>367.86</w:t>
            </w:r>
          </w:p>
        </w:tc>
        <w:tc>
          <w:tcPr>
            <w:tcW w:w="1135" w:type="dxa"/>
            <w:tcBorders>
              <w:left w:val="single" w:sz="6" w:space="0" w:color="000000"/>
            </w:tcBorders>
          </w:tcPr>
          <w:p w:rsidR="007C5447" w:rsidRDefault="00F6308C">
            <w:pPr>
              <w:pStyle w:val="TableParagraph"/>
              <w:spacing w:before="34"/>
              <w:ind w:right="97"/>
              <w:rPr>
                <w:sz w:val="20"/>
              </w:rPr>
            </w:pPr>
            <w:r>
              <w:rPr>
                <w:sz w:val="20"/>
              </w:rPr>
              <w:t>3.13</w:t>
            </w:r>
          </w:p>
        </w:tc>
        <w:tc>
          <w:tcPr>
            <w:tcW w:w="1077" w:type="dxa"/>
          </w:tcPr>
          <w:p w:rsidR="007C5447" w:rsidRDefault="00F6308C">
            <w:pPr>
              <w:pStyle w:val="TableParagraph"/>
              <w:spacing w:before="34"/>
              <w:ind w:right="94"/>
              <w:rPr>
                <w:sz w:val="20"/>
              </w:rPr>
            </w:pPr>
            <w:r>
              <w:rPr>
                <w:w w:val="95"/>
                <w:sz w:val="20"/>
              </w:rPr>
              <w:t>367.86</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5"/>
              <w:ind w:left="108"/>
              <w:jc w:val="left"/>
              <w:rPr>
                <w:sz w:val="18"/>
              </w:rPr>
            </w:pPr>
            <w:r>
              <w:rPr>
                <w:sz w:val="18"/>
              </w:rPr>
              <w:t>NTPC ER</w:t>
            </w:r>
          </w:p>
        </w:tc>
        <w:tc>
          <w:tcPr>
            <w:tcW w:w="1135" w:type="dxa"/>
          </w:tcPr>
          <w:p w:rsidR="007C5447" w:rsidRDefault="00F6308C">
            <w:pPr>
              <w:pStyle w:val="TableParagraph"/>
              <w:spacing w:before="34"/>
              <w:ind w:right="99"/>
              <w:rPr>
                <w:sz w:val="20"/>
              </w:rPr>
            </w:pPr>
            <w:r>
              <w:rPr>
                <w:w w:val="95"/>
                <w:sz w:val="20"/>
              </w:rPr>
              <w:t>325.00</w:t>
            </w:r>
          </w:p>
        </w:tc>
        <w:tc>
          <w:tcPr>
            <w:tcW w:w="1133" w:type="dxa"/>
          </w:tcPr>
          <w:p w:rsidR="007C5447" w:rsidRDefault="00F6308C">
            <w:pPr>
              <w:pStyle w:val="TableParagraph"/>
              <w:spacing w:before="34"/>
              <w:ind w:right="95"/>
              <w:rPr>
                <w:sz w:val="20"/>
              </w:rPr>
            </w:pPr>
            <w:r>
              <w:rPr>
                <w:sz w:val="20"/>
              </w:rPr>
              <w:t>24.03</w:t>
            </w:r>
          </w:p>
        </w:tc>
        <w:tc>
          <w:tcPr>
            <w:tcW w:w="993" w:type="dxa"/>
          </w:tcPr>
          <w:p w:rsidR="007C5447" w:rsidRDefault="00F6308C">
            <w:pPr>
              <w:pStyle w:val="TableParagraph"/>
              <w:spacing w:before="34"/>
              <w:ind w:right="98"/>
              <w:rPr>
                <w:sz w:val="20"/>
              </w:rPr>
            </w:pPr>
            <w:r>
              <w:rPr>
                <w:sz w:val="20"/>
              </w:rPr>
              <w:t>2.30</w:t>
            </w:r>
          </w:p>
        </w:tc>
        <w:tc>
          <w:tcPr>
            <w:tcW w:w="1132" w:type="dxa"/>
            <w:tcBorders>
              <w:right w:val="single" w:sz="6" w:space="0" w:color="000000"/>
            </w:tcBorders>
          </w:tcPr>
          <w:p w:rsidR="007C5447" w:rsidRDefault="00F6308C">
            <w:pPr>
              <w:pStyle w:val="TableParagraph"/>
              <w:spacing w:before="34"/>
              <w:ind w:right="92"/>
              <w:rPr>
                <w:sz w:val="20"/>
              </w:rPr>
            </w:pPr>
            <w:r>
              <w:rPr>
                <w:sz w:val="20"/>
              </w:rPr>
              <w:t>74.75</w:t>
            </w:r>
          </w:p>
        </w:tc>
        <w:tc>
          <w:tcPr>
            <w:tcW w:w="1135" w:type="dxa"/>
            <w:tcBorders>
              <w:left w:val="single" w:sz="6" w:space="0" w:color="000000"/>
            </w:tcBorders>
          </w:tcPr>
          <w:p w:rsidR="007C5447" w:rsidRDefault="00F6308C">
            <w:pPr>
              <w:pStyle w:val="TableParagraph"/>
              <w:spacing w:before="34"/>
              <w:ind w:right="97"/>
              <w:rPr>
                <w:sz w:val="20"/>
              </w:rPr>
            </w:pPr>
            <w:r>
              <w:rPr>
                <w:sz w:val="20"/>
              </w:rPr>
              <w:t>3.04</w:t>
            </w:r>
          </w:p>
        </w:tc>
        <w:tc>
          <w:tcPr>
            <w:tcW w:w="1077" w:type="dxa"/>
          </w:tcPr>
          <w:p w:rsidR="007C5447" w:rsidRDefault="00F6308C">
            <w:pPr>
              <w:pStyle w:val="TableParagraph"/>
              <w:spacing w:before="34"/>
              <w:ind w:right="92"/>
              <w:rPr>
                <w:sz w:val="20"/>
              </w:rPr>
            </w:pPr>
            <w:r>
              <w:rPr>
                <w:sz w:val="20"/>
              </w:rPr>
              <w:t>98.78</w:t>
            </w:r>
          </w:p>
        </w:tc>
      </w:tr>
      <w:tr w:rsidR="007C5447">
        <w:trPr>
          <w:trHeight w:val="443"/>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11" w:line="210" w:lineRule="atLeast"/>
              <w:ind w:left="108" w:right="405"/>
              <w:jc w:val="left"/>
              <w:rPr>
                <w:sz w:val="18"/>
              </w:rPr>
            </w:pPr>
            <w:r>
              <w:rPr>
                <w:sz w:val="18"/>
              </w:rPr>
              <w:t>NTPC Vallur Unit 1 &amp; Unit 2 (NTECL)</w:t>
            </w:r>
          </w:p>
        </w:tc>
        <w:tc>
          <w:tcPr>
            <w:tcW w:w="1135" w:type="dxa"/>
          </w:tcPr>
          <w:p w:rsidR="007C5447" w:rsidRDefault="00F6308C">
            <w:pPr>
              <w:pStyle w:val="TableParagraph"/>
              <w:spacing w:before="108"/>
              <w:ind w:right="99"/>
              <w:rPr>
                <w:sz w:val="20"/>
              </w:rPr>
            </w:pPr>
            <w:r>
              <w:rPr>
                <w:w w:val="95"/>
                <w:sz w:val="20"/>
              </w:rPr>
              <w:t>7,075.96</w:t>
            </w:r>
          </w:p>
        </w:tc>
        <w:tc>
          <w:tcPr>
            <w:tcW w:w="1133" w:type="dxa"/>
          </w:tcPr>
          <w:p w:rsidR="007C5447" w:rsidRDefault="00F6308C">
            <w:pPr>
              <w:pStyle w:val="TableParagraph"/>
              <w:spacing w:before="108"/>
              <w:ind w:right="97"/>
              <w:rPr>
                <w:sz w:val="20"/>
              </w:rPr>
            </w:pPr>
            <w:r>
              <w:rPr>
                <w:w w:val="95"/>
                <w:sz w:val="20"/>
              </w:rPr>
              <w:t>953.97</w:t>
            </w:r>
          </w:p>
        </w:tc>
        <w:tc>
          <w:tcPr>
            <w:tcW w:w="993" w:type="dxa"/>
          </w:tcPr>
          <w:p w:rsidR="007C5447" w:rsidRDefault="00F6308C">
            <w:pPr>
              <w:pStyle w:val="TableParagraph"/>
              <w:spacing w:before="108"/>
              <w:ind w:right="98"/>
              <w:rPr>
                <w:sz w:val="20"/>
              </w:rPr>
            </w:pPr>
            <w:r>
              <w:rPr>
                <w:sz w:val="20"/>
              </w:rPr>
              <w:t>2.40</w:t>
            </w:r>
          </w:p>
        </w:tc>
        <w:tc>
          <w:tcPr>
            <w:tcW w:w="1132" w:type="dxa"/>
            <w:tcBorders>
              <w:right w:val="single" w:sz="6" w:space="0" w:color="000000"/>
            </w:tcBorders>
          </w:tcPr>
          <w:p w:rsidR="007C5447" w:rsidRDefault="00F6308C">
            <w:pPr>
              <w:pStyle w:val="TableParagraph"/>
              <w:spacing w:before="108"/>
              <w:ind w:right="93"/>
              <w:rPr>
                <w:sz w:val="20"/>
              </w:rPr>
            </w:pPr>
            <w:r>
              <w:rPr>
                <w:w w:val="95"/>
                <w:sz w:val="20"/>
              </w:rPr>
              <w:t>1,698.23</w:t>
            </w:r>
          </w:p>
        </w:tc>
        <w:tc>
          <w:tcPr>
            <w:tcW w:w="1135" w:type="dxa"/>
            <w:tcBorders>
              <w:left w:val="single" w:sz="6" w:space="0" w:color="000000"/>
            </w:tcBorders>
          </w:tcPr>
          <w:p w:rsidR="007C5447" w:rsidRDefault="00F6308C">
            <w:pPr>
              <w:pStyle w:val="TableParagraph"/>
              <w:spacing w:before="108"/>
              <w:ind w:right="97"/>
              <w:rPr>
                <w:sz w:val="20"/>
              </w:rPr>
            </w:pPr>
            <w:r>
              <w:rPr>
                <w:sz w:val="20"/>
              </w:rPr>
              <w:t>3.75</w:t>
            </w:r>
          </w:p>
        </w:tc>
        <w:tc>
          <w:tcPr>
            <w:tcW w:w="1077" w:type="dxa"/>
          </w:tcPr>
          <w:p w:rsidR="007C5447" w:rsidRDefault="00F6308C">
            <w:pPr>
              <w:pStyle w:val="TableParagraph"/>
              <w:spacing w:before="108"/>
              <w:ind w:right="94"/>
              <w:rPr>
                <w:sz w:val="20"/>
              </w:rPr>
            </w:pPr>
            <w:r>
              <w:rPr>
                <w:w w:val="95"/>
                <w:sz w:val="20"/>
              </w:rPr>
              <w:t>2,652.20</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Kudankulum</w:t>
            </w:r>
          </w:p>
        </w:tc>
        <w:tc>
          <w:tcPr>
            <w:tcW w:w="1135" w:type="dxa"/>
          </w:tcPr>
          <w:p w:rsidR="007C5447" w:rsidRDefault="00F6308C">
            <w:pPr>
              <w:pStyle w:val="TableParagraph"/>
              <w:spacing w:before="36"/>
              <w:ind w:right="100"/>
              <w:rPr>
                <w:sz w:val="20"/>
              </w:rPr>
            </w:pPr>
            <w:r>
              <w:rPr>
                <w:w w:val="95"/>
                <w:sz w:val="20"/>
              </w:rPr>
              <w:t>5,176.14</w:t>
            </w:r>
          </w:p>
        </w:tc>
        <w:tc>
          <w:tcPr>
            <w:tcW w:w="1133" w:type="dxa"/>
          </w:tcPr>
          <w:p w:rsidR="007C5447" w:rsidRDefault="00F6308C">
            <w:pPr>
              <w:pStyle w:val="TableParagraph"/>
              <w:spacing w:before="36"/>
              <w:ind w:right="93"/>
              <w:rPr>
                <w:sz w:val="20"/>
              </w:rPr>
            </w:pPr>
            <w:r>
              <w:rPr>
                <w:w w:val="99"/>
                <w:sz w:val="20"/>
              </w:rPr>
              <w:t>-</w:t>
            </w:r>
          </w:p>
        </w:tc>
        <w:tc>
          <w:tcPr>
            <w:tcW w:w="993" w:type="dxa"/>
          </w:tcPr>
          <w:p w:rsidR="007C5447" w:rsidRDefault="00F6308C">
            <w:pPr>
              <w:pStyle w:val="TableParagraph"/>
              <w:spacing w:before="36"/>
              <w:ind w:right="98"/>
              <w:rPr>
                <w:sz w:val="20"/>
              </w:rPr>
            </w:pPr>
            <w:r>
              <w:rPr>
                <w:sz w:val="20"/>
              </w:rPr>
              <w:t>3.50</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1,811.65</w:t>
            </w:r>
          </w:p>
        </w:tc>
        <w:tc>
          <w:tcPr>
            <w:tcW w:w="1135" w:type="dxa"/>
            <w:tcBorders>
              <w:left w:val="single" w:sz="6" w:space="0" w:color="000000"/>
            </w:tcBorders>
          </w:tcPr>
          <w:p w:rsidR="007C5447" w:rsidRDefault="00F6308C">
            <w:pPr>
              <w:pStyle w:val="TableParagraph"/>
              <w:spacing w:before="36"/>
              <w:ind w:right="97"/>
              <w:rPr>
                <w:sz w:val="20"/>
              </w:rPr>
            </w:pPr>
            <w:r>
              <w:rPr>
                <w:sz w:val="20"/>
              </w:rPr>
              <w:t>3.50</w:t>
            </w:r>
          </w:p>
        </w:tc>
        <w:tc>
          <w:tcPr>
            <w:tcW w:w="1077" w:type="dxa"/>
          </w:tcPr>
          <w:p w:rsidR="007C5447" w:rsidRDefault="00F6308C">
            <w:pPr>
              <w:pStyle w:val="TableParagraph"/>
              <w:spacing w:before="36"/>
              <w:ind w:right="94"/>
              <w:rPr>
                <w:sz w:val="20"/>
              </w:rPr>
            </w:pPr>
            <w:r>
              <w:rPr>
                <w:w w:val="95"/>
                <w:sz w:val="20"/>
              </w:rPr>
              <w:t>1,811.65</w:t>
            </w:r>
          </w:p>
        </w:tc>
      </w:tr>
      <w:tr w:rsidR="007C5447">
        <w:trPr>
          <w:trHeight w:val="330"/>
        </w:trPr>
        <w:tc>
          <w:tcPr>
            <w:tcW w:w="391" w:type="dxa"/>
            <w:shd w:val="clear" w:color="auto" w:fill="D0CECE"/>
          </w:tcPr>
          <w:p w:rsidR="007C5447" w:rsidRDefault="007C5447">
            <w:pPr>
              <w:pStyle w:val="TableParagraph"/>
              <w:jc w:val="left"/>
              <w:rPr>
                <w:sz w:val="18"/>
              </w:rPr>
            </w:pPr>
          </w:p>
        </w:tc>
        <w:tc>
          <w:tcPr>
            <w:tcW w:w="2693" w:type="dxa"/>
            <w:shd w:val="clear" w:color="auto" w:fill="D0CECE"/>
          </w:tcPr>
          <w:p w:rsidR="007C5447" w:rsidRDefault="00F6308C">
            <w:pPr>
              <w:pStyle w:val="TableParagraph"/>
              <w:spacing w:before="62"/>
              <w:ind w:left="108"/>
              <w:jc w:val="left"/>
              <w:rPr>
                <w:b/>
                <w:sz w:val="18"/>
              </w:rPr>
            </w:pPr>
            <w:r>
              <w:rPr>
                <w:b/>
                <w:sz w:val="18"/>
              </w:rPr>
              <w:t>Total</w:t>
            </w:r>
          </w:p>
        </w:tc>
        <w:tc>
          <w:tcPr>
            <w:tcW w:w="1135" w:type="dxa"/>
            <w:shd w:val="clear" w:color="auto" w:fill="D0CECE"/>
          </w:tcPr>
          <w:p w:rsidR="007C5447" w:rsidRDefault="00F6308C">
            <w:pPr>
              <w:pStyle w:val="TableParagraph"/>
              <w:spacing w:before="50"/>
              <w:ind w:right="100"/>
              <w:rPr>
                <w:b/>
                <w:sz w:val="20"/>
              </w:rPr>
            </w:pPr>
            <w:r>
              <w:rPr>
                <w:b/>
                <w:w w:val="95"/>
                <w:sz w:val="20"/>
              </w:rPr>
              <w:t>33,941.08</w:t>
            </w:r>
          </w:p>
        </w:tc>
        <w:tc>
          <w:tcPr>
            <w:tcW w:w="1133" w:type="dxa"/>
            <w:shd w:val="clear" w:color="auto" w:fill="D0CECE"/>
          </w:tcPr>
          <w:p w:rsidR="007C5447" w:rsidRDefault="00F6308C">
            <w:pPr>
              <w:pStyle w:val="TableParagraph"/>
              <w:spacing w:before="50"/>
              <w:ind w:right="98"/>
              <w:rPr>
                <w:b/>
                <w:sz w:val="20"/>
              </w:rPr>
            </w:pPr>
            <w:r>
              <w:rPr>
                <w:b/>
                <w:w w:val="95"/>
                <w:sz w:val="20"/>
              </w:rPr>
              <w:t>2,809.66</w:t>
            </w:r>
          </w:p>
        </w:tc>
        <w:tc>
          <w:tcPr>
            <w:tcW w:w="993" w:type="dxa"/>
            <w:shd w:val="clear" w:color="auto" w:fill="D0CECE"/>
          </w:tcPr>
          <w:p w:rsidR="007C5447" w:rsidRDefault="00F6308C">
            <w:pPr>
              <w:pStyle w:val="TableParagraph"/>
              <w:spacing w:before="50"/>
              <w:ind w:right="98"/>
              <w:rPr>
                <w:b/>
                <w:sz w:val="20"/>
              </w:rPr>
            </w:pPr>
            <w:r>
              <w:rPr>
                <w:b/>
                <w:sz w:val="20"/>
              </w:rPr>
              <w:t>2.61</w:t>
            </w:r>
          </w:p>
        </w:tc>
        <w:tc>
          <w:tcPr>
            <w:tcW w:w="1132" w:type="dxa"/>
            <w:tcBorders>
              <w:right w:val="single" w:sz="6" w:space="0" w:color="000000"/>
            </w:tcBorders>
            <w:shd w:val="clear" w:color="auto" w:fill="D0CECE"/>
          </w:tcPr>
          <w:p w:rsidR="007C5447" w:rsidRDefault="00F6308C">
            <w:pPr>
              <w:pStyle w:val="TableParagraph"/>
              <w:spacing w:before="50"/>
              <w:ind w:right="93"/>
              <w:rPr>
                <w:b/>
                <w:sz w:val="20"/>
              </w:rPr>
            </w:pPr>
            <w:r>
              <w:rPr>
                <w:b/>
                <w:w w:val="95"/>
                <w:sz w:val="20"/>
              </w:rPr>
              <w:t>8,872.24</w:t>
            </w:r>
          </w:p>
        </w:tc>
        <w:tc>
          <w:tcPr>
            <w:tcW w:w="1135" w:type="dxa"/>
            <w:tcBorders>
              <w:left w:val="single" w:sz="6" w:space="0" w:color="000000"/>
            </w:tcBorders>
            <w:shd w:val="clear" w:color="auto" w:fill="D0CECE"/>
          </w:tcPr>
          <w:p w:rsidR="007C5447" w:rsidRDefault="00F6308C">
            <w:pPr>
              <w:pStyle w:val="TableParagraph"/>
              <w:spacing w:before="50"/>
              <w:ind w:right="94"/>
              <w:rPr>
                <w:b/>
                <w:sz w:val="20"/>
              </w:rPr>
            </w:pPr>
            <w:r>
              <w:rPr>
                <w:b/>
                <w:sz w:val="20"/>
              </w:rPr>
              <w:t>3.44</w:t>
            </w:r>
          </w:p>
        </w:tc>
        <w:tc>
          <w:tcPr>
            <w:tcW w:w="1077" w:type="dxa"/>
            <w:shd w:val="clear" w:color="auto" w:fill="D0CECE"/>
          </w:tcPr>
          <w:p w:rsidR="007C5447" w:rsidRDefault="00F6308C">
            <w:pPr>
              <w:pStyle w:val="TableParagraph"/>
              <w:spacing w:before="50"/>
              <w:ind w:right="94"/>
              <w:rPr>
                <w:b/>
                <w:sz w:val="20"/>
              </w:rPr>
            </w:pPr>
            <w:r>
              <w:rPr>
                <w:b/>
                <w:w w:val="95"/>
                <w:sz w:val="20"/>
              </w:rPr>
              <w:t>11,681.90</w:t>
            </w:r>
          </w:p>
        </w:tc>
      </w:tr>
      <w:tr w:rsidR="007C5447">
        <w:trPr>
          <w:trHeight w:val="330"/>
        </w:trPr>
        <w:tc>
          <w:tcPr>
            <w:tcW w:w="391" w:type="dxa"/>
          </w:tcPr>
          <w:p w:rsidR="007C5447" w:rsidRDefault="00F6308C">
            <w:pPr>
              <w:pStyle w:val="TableParagraph"/>
              <w:spacing w:before="62"/>
              <w:ind w:left="87"/>
              <w:jc w:val="center"/>
              <w:rPr>
                <w:b/>
                <w:sz w:val="18"/>
              </w:rPr>
            </w:pPr>
            <w:r>
              <w:rPr>
                <w:b/>
                <w:sz w:val="18"/>
              </w:rPr>
              <w:t>3</w:t>
            </w:r>
          </w:p>
        </w:tc>
        <w:tc>
          <w:tcPr>
            <w:tcW w:w="2693" w:type="dxa"/>
          </w:tcPr>
          <w:p w:rsidR="007C5447" w:rsidRDefault="00F6308C">
            <w:pPr>
              <w:pStyle w:val="TableParagraph"/>
              <w:spacing w:before="62"/>
              <w:ind w:left="108"/>
              <w:jc w:val="left"/>
              <w:rPr>
                <w:b/>
                <w:sz w:val="18"/>
              </w:rPr>
            </w:pPr>
            <w:r>
              <w:rPr>
                <w:b/>
                <w:sz w:val="18"/>
              </w:rPr>
              <w:t>IPP</w:t>
            </w:r>
          </w:p>
        </w:tc>
        <w:tc>
          <w:tcPr>
            <w:tcW w:w="1135"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993" w:type="dxa"/>
          </w:tcPr>
          <w:p w:rsidR="007C5447" w:rsidRDefault="007C5447">
            <w:pPr>
              <w:pStyle w:val="TableParagraph"/>
              <w:jc w:val="left"/>
              <w:rPr>
                <w:sz w:val="18"/>
              </w:rPr>
            </w:pPr>
          </w:p>
        </w:tc>
        <w:tc>
          <w:tcPr>
            <w:tcW w:w="1132" w:type="dxa"/>
            <w:tcBorders>
              <w:right w:val="single" w:sz="6" w:space="0" w:color="000000"/>
            </w:tcBorders>
          </w:tcPr>
          <w:p w:rsidR="007C5447" w:rsidRDefault="007C5447">
            <w:pPr>
              <w:pStyle w:val="TableParagraph"/>
              <w:jc w:val="left"/>
              <w:rPr>
                <w:sz w:val="18"/>
              </w:rPr>
            </w:pPr>
          </w:p>
        </w:tc>
        <w:tc>
          <w:tcPr>
            <w:tcW w:w="1135" w:type="dxa"/>
            <w:tcBorders>
              <w:left w:val="single" w:sz="6" w:space="0" w:color="000000"/>
            </w:tcBorders>
          </w:tcPr>
          <w:p w:rsidR="007C5447" w:rsidRDefault="007C5447">
            <w:pPr>
              <w:pStyle w:val="TableParagraph"/>
              <w:jc w:val="left"/>
              <w:rPr>
                <w:sz w:val="18"/>
              </w:rPr>
            </w:pPr>
          </w:p>
        </w:tc>
        <w:tc>
          <w:tcPr>
            <w:tcW w:w="1077" w:type="dxa"/>
          </w:tcPr>
          <w:p w:rsidR="007C5447" w:rsidRDefault="007C5447">
            <w:pPr>
              <w:pStyle w:val="TableParagraph"/>
              <w:jc w:val="left"/>
              <w:rPr>
                <w:sz w:val="18"/>
              </w:rPr>
            </w:pP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5"/>
              <w:ind w:left="108"/>
              <w:jc w:val="left"/>
              <w:rPr>
                <w:sz w:val="18"/>
              </w:rPr>
            </w:pPr>
            <w:r>
              <w:rPr>
                <w:sz w:val="18"/>
              </w:rPr>
              <w:t>PPN</w:t>
            </w:r>
          </w:p>
        </w:tc>
        <w:tc>
          <w:tcPr>
            <w:tcW w:w="1135" w:type="dxa"/>
          </w:tcPr>
          <w:p w:rsidR="007C5447" w:rsidRDefault="00F6308C">
            <w:pPr>
              <w:pStyle w:val="TableParagraph"/>
              <w:spacing w:before="34"/>
              <w:ind w:right="96"/>
              <w:rPr>
                <w:sz w:val="20"/>
              </w:rPr>
            </w:pPr>
            <w:r>
              <w:rPr>
                <w:w w:val="99"/>
                <w:sz w:val="20"/>
              </w:rPr>
              <w:t>-</w:t>
            </w:r>
          </w:p>
        </w:tc>
        <w:tc>
          <w:tcPr>
            <w:tcW w:w="1133" w:type="dxa"/>
          </w:tcPr>
          <w:p w:rsidR="007C5447" w:rsidRDefault="00F6308C">
            <w:pPr>
              <w:pStyle w:val="TableParagraph"/>
              <w:spacing w:before="34"/>
              <w:ind w:right="97"/>
              <w:rPr>
                <w:sz w:val="20"/>
              </w:rPr>
            </w:pPr>
            <w:r>
              <w:rPr>
                <w:w w:val="95"/>
                <w:sz w:val="20"/>
              </w:rPr>
              <w:t>104.73</w:t>
            </w:r>
          </w:p>
        </w:tc>
        <w:tc>
          <w:tcPr>
            <w:tcW w:w="993" w:type="dxa"/>
          </w:tcPr>
          <w:p w:rsidR="007C5447" w:rsidRDefault="00F6308C">
            <w:pPr>
              <w:pStyle w:val="TableParagraph"/>
              <w:spacing w:before="34"/>
              <w:ind w:right="98"/>
              <w:rPr>
                <w:sz w:val="20"/>
              </w:rPr>
            </w:pPr>
            <w:r>
              <w:rPr>
                <w:sz w:val="20"/>
              </w:rPr>
              <w:t>7.47</w:t>
            </w:r>
          </w:p>
        </w:tc>
        <w:tc>
          <w:tcPr>
            <w:tcW w:w="1132" w:type="dxa"/>
            <w:tcBorders>
              <w:right w:val="single" w:sz="6" w:space="0" w:color="000000"/>
            </w:tcBorders>
          </w:tcPr>
          <w:p w:rsidR="007C5447" w:rsidRDefault="00F6308C">
            <w:pPr>
              <w:pStyle w:val="TableParagraph"/>
              <w:spacing w:before="34"/>
              <w:ind w:right="89"/>
              <w:rPr>
                <w:sz w:val="20"/>
              </w:rPr>
            </w:pPr>
            <w:r>
              <w:rPr>
                <w:w w:val="99"/>
                <w:sz w:val="20"/>
              </w:rPr>
              <w:t>-</w:t>
            </w:r>
          </w:p>
        </w:tc>
        <w:tc>
          <w:tcPr>
            <w:tcW w:w="1135" w:type="dxa"/>
            <w:tcBorders>
              <w:left w:val="single" w:sz="6" w:space="0" w:color="000000"/>
            </w:tcBorders>
          </w:tcPr>
          <w:p w:rsidR="007C5447" w:rsidRDefault="00F6308C">
            <w:pPr>
              <w:pStyle w:val="TableParagraph"/>
              <w:spacing w:before="34"/>
              <w:ind w:right="93"/>
              <w:rPr>
                <w:sz w:val="20"/>
              </w:rPr>
            </w:pPr>
            <w:r>
              <w:rPr>
                <w:w w:val="99"/>
                <w:sz w:val="20"/>
              </w:rPr>
              <w:t>-</w:t>
            </w:r>
          </w:p>
        </w:tc>
        <w:tc>
          <w:tcPr>
            <w:tcW w:w="1077" w:type="dxa"/>
          </w:tcPr>
          <w:p w:rsidR="007C5447" w:rsidRDefault="00F6308C">
            <w:pPr>
              <w:pStyle w:val="TableParagraph"/>
              <w:spacing w:before="34"/>
              <w:ind w:right="94"/>
              <w:rPr>
                <w:sz w:val="20"/>
              </w:rPr>
            </w:pPr>
            <w:r>
              <w:rPr>
                <w:w w:val="95"/>
                <w:sz w:val="20"/>
              </w:rPr>
              <w:t>104.73</w:t>
            </w:r>
          </w:p>
        </w:tc>
      </w:tr>
      <w:tr w:rsidR="007C5447">
        <w:trPr>
          <w:trHeight w:val="328"/>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62"/>
              <w:ind w:left="108"/>
              <w:jc w:val="left"/>
              <w:rPr>
                <w:sz w:val="18"/>
              </w:rPr>
            </w:pPr>
            <w:r>
              <w:rPr>
                <w:sz w:val="18"/>
              </w:rPr>
              <w:t>STCMS - Neyveli (TAQA)</w:t>
            </w:r>
          </w:p>
        </w:tc>
        <w:tc>
          <w:tcPr>
            <w:tcW w:w="1135" w:type="dxa"/>
          </w:tcPr>
          <w:p w:rsidR="007C5447" w:rsidRDefault="00F6308C">
            <w:pPr>
              <w:pStyle w:val="TableParagraph"/>
              <w:spacing w:before="50"/>
              <w:ind w:right="96"/>
              <w:rPr>
                <w:sz w:val="20"/>
              </w:rPr>
            </w:pPr>
            <w:r>
              <w:rPr>
                <w:w w:val="99"/>
                <w:sz w:val="20"/>
              </w:rPr>
              <w:t>-</w:t>
            </w:r>
          </w:p>
        </w:tc>
        <w:tc>
          <w:tcPr>
            <w:tcW w:w="1133" w:type="dxa"/>
          </w:tcPr>
          <w:p w:rsidR="007C5447" w:rsidRDefault="00F6308C">
            <w:pPr>
              <w:pStyle w:val="TableParagraph"/>
              <w:spacing w:before="50"/>
              <w:ind w:right="97"/>
              <w:rPr>
                <w:sz w:val="20"/>
              </w:rPr>
            </w:pPr>
            <w:r>
              <w:rPr>
                <w:w w:val="95"/>
                <w:sz w:val="20"/>
              </w:rPr>
              <w:t>218.93</w:t>
            </w:r>
          </w:p>
        </w:tc>
        <w:tc>
          <w:tcPr>
            <w:tcW w:w="993" w:type="dxa"/>
          </w:tcPr>
          <w:p w:rsidR="007C5447" w:rsidRDefault="00F6308C">
            <w:pPr>
              <w:pStyle w:val="TableParagraph"/>
              <w:spacing w:before="50"/>
              <w:ind w:right="98"/>
              <w:rPr>
                <w:sz w:val="20"/>
              </w:rPr>
            </w:pPr>
            <w:r>
              <w:rPr>
                <w:sz w:val="20"/>
              </w:rPr>
              <w:t>3.44</w:t>
            </w:r>
          </w:p>
        </w:tc>
        <w:tc>
          <w:tcPr>
            <w:tcW w:w="1132" w:type="dxa"/>
            <w:tcBorders>
              <w:right w:val="single" w:sz="6" w:space="0" w:color="000000"/>
            </w:tcBorders>
          </w:tcPr>
          <w:p w:rsidR="007C5447" w:rsidRDefault="00F6308C">
            <w:pPr>
              <w:pStyle w:val="TableParagraph"/>
              <w:spacing w:before="50"/>
              <w:ind w:right="89"/>
              <w:rPr>
                <w:sz w:val="20"/>
              </w:rPr>
            </w:pPr>
            <w:r>
              <w:rPr>
                <w:w w:val="99"/>
                <w:sz w:val="20"/>
              </w:rPr>
              <w:t>-</w:t>
            </w:r>
          </w:p>
        </w:tc>
        <w:tc>
          <w:tcPr>
            <w:tcW w:w="1135" w:type="dxa"/>
            <w:tcBorders>
              <w:left w:val="single" w:sz="6" w:space="0" w:color="000000"/>
            </w:tcBorders>
          </w:tcPr>
          <w:p w:rsidR="007C5447" w:rsidRDefault="00F6308C">
            <w:pPr>
              <w:pStyle w:val="TableParagraph"/>
              <w:spacing w:before="50"/>
              <w:ind w:right="93"/>
              <w:rPr>
                <w:sz w:val="20"/>
              </w:rPr>
            </w:pPr>
            <w:r>
              <w:rPr>
                <w:w w:val="99"/>
                <w:sz w:val="20"/>
              </w:rPr>
              <w:t>-</w:t>
            </w:r>
          </w:p>
        </w:tc>
        <w:tc>
          <w:tcPr>
            <w:tcW w:w="1077" w:type="dxa"/>
          </w:tcPr>
          <w:p w:rsidR="007C5447" w:rsidRDefault="00F6308C">
            <w:pPr>
              <w:pStyle w:val="TableParagraph"/>
              <w:spacing w:before="50"/>
              <w:ind w:right="94"/>
              <w:rPr>
                <w:sz w:val="20"/>
              </w:rPr>
            </w:pPr>
            <w:r>
              <w:rPr>
                <w:w w:val="95"/>
                <w:sz w:val="20"/>
              </w:rPr>
              <w:t>218.93</w:t>
            </w:r>
          </w:p>
        </w:tc>
      </w:tr>
      <w:tr w:rsidR="007C5447">
        <w:trPr>
          <w:trHeight w:val="301"/>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LANCO Power (Aban co)</w:t>
            </w:r>
          </w:p>
        </w:tc>
        <w:tc>
          <w:tcPr>
            <w:tcW w:w="1135" w:type="dxa"/>
          </w:tcPr>
          <w:p w:rsidR="007C5447" w:rsidRDefault="00F6308C">
            <w:pPr>
              <w:pStyle w:val="TableParagraph"/>
              <w:spacing w:before="36"/>
              <w:ind w:right="99"/>
              <w:rPr>
                <w:sz w:val="20"/>
              </w:rPr>
            </w:pPr>
            <w:r>
              <w:rPr>
                <w:w w:val="95"/>
                <w:sz w:val="20"/>
              </w:rPr>
              <w:t>466.69</w:t>
            </w:r>
          </w:p>
        </w:tc>
        <w:tc>
          <w:tcPr>
            <w:tcW w:w="1133" w:type="dxa"/>
          </w:tcPr>
          <w:p w:rsidR="007C5447" w:rsidRDefault="00F6308C">
            <w:pPr>
              <w:pStyle w:val="TableParagraph"/>
              <w:spacing w:before="36"/>
              <w:ind w:right="97"/>
              <w:rPr>
                <w:sz w:val="20"/>
              </w:rPr>
            </w:pPr>
            <w:r>
              <w:rPr>
                <w:w w:val="95"/>
                <w:sz w:val="20"/>
              </w:rPr>
              <w:t>44.42</w:t>
            </w:r>
          </w:p>
        </w:tc>
        <w:tc>
          <w:tcPr>
            <w:tcW w:w="993" w:type="dxa"/>
          </w:tcPr>
          <w:p w:rsidR="007C5447" w:rsidRDefault="00F6308C">
            <w:pPr>
              <w:pStyle w:val="TableParagraph"/>
              <w:spacing w:before="36"/>
              <w:ind w:right="98"/>
              <w:rPr>
                <w:sz w:val="20"/>
              </w:rPr>
            </w:pPr>
            <w:r>
              <w:rPr>
                <w:sz w:val="20"/>
              </w:rPr>
              <w:t>1.96</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91.47</w:t>
            </w:r>
          </w:p>
        </w:tc>
        <w:tc>
          <w:tcPr>
            <w:tcW w:w="1135" w:type="dxa"/>
            <w:tcBorders>
              <w:left w:val="single" w:sz="6" w:space="0" w:color="000000"/>
            </w:tcBorders>
          </w:tcPr>
          <w:p w:rsidR="007C5447" w:rsidRDefault="00F6308C">
            <w:pPr>
              <w:pStyle w:val="TableParagraph"/>
              <w:spacing w:before="36"/>
              <w:ind w:right="97"/>
              <w:rPr>
                <w:sz w:val="20"/>
              </w:rPr>
            </w:pPr>
            <w:r>
              <w:rPr>
                <w:sz w:val="20"/>
              </w:rPr>
              <w:t>2.91</w:t>
            </w:r>
          </w:p>
        </w:tc>
        <w:tc>
          <w:tcPr>
            <w:tcW w:w="1077" w:type="dxa"/>
          </w:tcPr>
          <w:p w:rsidR="007C5447" w:rsidRDefault="00F6308C">
            <w:pPr>
              <w:pStyle w:val="TableParagraph"/>
              <w:spacing w:before="36"/>
              <w:ind w:right="94"/>
              <w:rPr>
                <w:sz w:val="20"/>
              </w:rPr>
            </w:pPr>
            <w:r>
              <w:rPr>
                <w:w w:val="95"/>
                <w:sz w:val="20"/>
              </w:rPr>
              <w:t>135.89</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5"/>
              <w:ind w:left="108"/>
              <w:jc w:val="left"/>
              <w:rPr>
                <w:sz w:val="18"/>
              </w:rPr>
            </w:pPr>
            <w:r>
              <w:rPr>
                <w:sz w:val="18"/>
              </w:rPr>
              <w:t>Penna</w:t>
            </w:r>
          </w:p>
        </w:tc>
        <w:tc>
          <w:tcPr>
            <w:tcW w:w="1135" w:type="dxa"/>
          </w:tcPr>
          <w:p w:rsidR="007C5447" w:rsidRDefault="00F6308C">
            <w:pPr>
              <w:pStyle w:val="TableParagraph"/>
              <w:spacing w:before="34"/>
              <w:ind w:right="99"/>
              <w:rPr>
                <w:sz w:val="20"/>
              </w:rPr>
            </w:pPr>
            <w:r>
              <w:rPr>
                <w:w w:val="95"/>
                <w:sz w:val="20"/>
              </w:rPr>
              <w:t>358.63</w:t>
            </w:r>
          </w:p>
        </w:tc>
        <w:tc>
          <w:tcPr>
            <w:tcW w:w="1133" w:type="dxa"/>
          </w:tcPr>
          <w:p w:rsidR="007C5447" w:rsidRDefault="00F6308C">
            <w:pPr>
              <w:pStyle w:val="TableParagraph"/>
              <w:spacing w:before="34"/>
              <w:ind w:right="97"/>
              <w:rPr>
                <w:sz w:val="20"/>
              </w:rPr>
            </w:pPr>
            <w:r>
              <w:rPr>
                <w:w w:val="95"/>
                <w:sz w:val="20"/>
              </w:rPr>
              <w:t>33.89</w:t>
            </w:r>
          </w:p>
        </w:tc>
        <w:tc>
          <w:tcPr>
            <w:tcW w:w="993" w:type="dxa"/>
          </w:tcPr>
          <w:p w:rsidR="007C5447" w:rsidRDefault="00F6308C">
            <w:pPr>
              <w:pStyle w:val="TableParagraph"/>
              <w:spacing w:before="34"/>
              <w:ind w:right="98"/>
              <w:rPr>
                <w:sz w:val="20"/>
              </w:rPr>
            </w:pPr>
            <w:r>
              <w:rPr>
                <w:sz w:val="20"/>
              </w:rPr>
              <w:t>1.97</w:t>
            </w:r>
          </w:p>
        </w:tc>
        <w:tc>
          <w:tcPr>
            <w:tcW w:w="1132" w:type="dxa"/>
            <w:tcBorders>
              <w:right w:val="single" w:sz="6" w:space="0" w:color="000000"/>
            </w:tcBorders>
          </w:tcPr>
          <w:p w:rsidR="007C5447" w:rsidRDefault="00F6308C">
            <w:pPr>
              <w:pStyle w:val="TableParagraph"/>
              <w:spacing w:before="34"/>
              <w:ind w:right="93"/>
              <w:rPr>
                <w:sz w:val="20"/>
              </w:rPr>
            </w:pPr>
            <w:r>
              <w:rPr>
                <w:w w:val="95"/>
                <w:sz w:val="20"/>
              </w:rPr>
              <w:t>70.65</w:t>
            </w:r>
          </w:p>
        </w:tc>
        <w:tc>
          <w:tcPr>
            <w:tcW w:w="1135" w:type="dxa"/>
            <w:tcBorders>
              <w:left w:val="single" w:sz="6" w:space="0" w:color="000000"/>
            </w:tcBorders>
          </w:tcPr>
          <w:p w:rsidR="007C5447" w:rsidRDefault="00F6308C">
            <w:pPr>
              <w:pStyle w:val="TableParagraph"/>
              <w:spacing w:before="34"/>
              <w:ind w:right="97"/>
              <w:rPr>
                <w:sz w:val="20"/>
              </w:rPr>
            </w:pPr>
            <w:r>
              <w:rPr>
                <w:sz w:val="20"/>
              </w:rPr>
              <w:t>2.91</w:t>
            </w:r>
          </w:p>
        </w:tc>
        <w:tc>
          <w:tcPr>
            <w:tcW w:w="1077" w:type="dxa"/>
          </w:tcPr>
          <w:p w:rsidR="007C5447" w:rsidRDefault="00F6308C">
            <w:pPr>
              <w:pStyle w:val="TableParagraph"/>
              <w:spacing w:before="34"/>
              <w:ind w:right="94"/>
              <w:rPr>
                <w:sz w:val="20"/>
              </w:rPr>
            </w:pPr>
            <w:r>
              <w:rPr>
                <w:w w:val="95"/>
                <w:sz w:val="20"/>
              </w:rPr>
              <w:t>104.54</w:t>
            </w:r>
          </w:p>
        </w:tc>
      </w:tr>
      <w:tr w:rsidR="007C5447">
        <w:trPr>
          <w:trHeight w:val="328"/>
        </w:trPr>
        <w:tc>
          <w:tcPr>
            <w:tcW w:w="391" w:type="dxa"/>
            <w:shd w:val="clear" w:color="auto" w:fill="D0CECE"/>
          </w:tcPr>
          <w:p w:rsidR="007C5447" w:rsidRDefault="007C5447">
            <w:pPr>
              <w:pStyle w:val="TableParagraph"/>
              <w:jc w:val="left"/>
              <w:rPr>
                <w:sz w:val="18"/>
              </w:rPr>
            </w:pPr>
          </w:p>
        </w:tc>
        <w:tc>
          <w:tcPr>
            <w:tcW w:w="2693" w:type="dxa"/>
            <w:shd w:val="clear" w:color="auto" w:fill="D0CECE"/>
          </w:tcPr>
          <w:p w:rsidR="007C5447" w:rsidRDefault="00F6308C">
            <w:pPr>
              <w:pStyle w:val="TableParagraph"/>
              <w:spacing w:before="62"/>
              <w:ind w:left="108"/>
              <w:jc w:val="left"/>
              <w:rPr>
                <w:b/>
                <w:sz w:val="18"/>
              </w:rPr>
            </w:pPr>
            <w:r>
              <w:rPr>
                <w:b/>
                <w:sz w:val="18"/>
              </w:rPr>
              <w:t>Total</w:t>
            </w:r>
          </w:p>
        </w:tc>
        <w:tc>
          <w:tcPr>
            <w:tcW w:w="1135" w:type="dxa"/>
            <w:shd w:val="clear" w:color="auto" w:fill="D0CECE"/>
          </w:tcPr>
          <w:p w:rsidR="007C5447" w:rsidRDefault="00F6308C">
            <w:pPr>
              <w:pStyle w:val="TableParagraph"/>
              <w:spacing w:before="50"/>
              <w:ind w:right="99"/>
              <w:rPr>
                <w:b/>
                <w:sz w:val="20"/>
              </w:rPr>
            </w:pPr>
            <w:r>
              <w:rPr>
                <w:b/>
                <w:w w:val="95"/>
                <w:sz w:val="20"/>
              </w:rPr>
              <w:t>825.33</w:t>
            </w:r>
          </w:p>
        </w:tc>
        <w:tc>
          <w:tcPr>
            <w:tcW w:w="1133" w:type="dxa"/>
            <w:shd w:val="clear" w:color="auto" w:fill="D0CECE"/>
          </w:tcPr>
          <w:p w:rsidR="007C5447" w:rsidRDefault="00F6308C">
            <w:pPr>
              <w:pStyle w:val="TableParagraph"/>
              <w:spacing w:before="50"/>
              <w:ind w:right="95"/>
              <w:rPr>
                <w:b/>
                <w:sz w:val="20"/>
              </w:rPr>
            </w:pPr>
            <w:r>
              <w:rPr>
                <w:b/>
                <w:w w:val="95"/>
                <w:sz w:val="20"/>
              </w:rPr>
              <w:t>401.96</w:t>
            </w:r>
          </w:p>
        </w:tc>
        <w:tc>
          <w:tcPr>
            <w:tcW w:w="993" w:type="dxa"/>
            <w:shd w:val="clear" w:color="auto" w:fill="D0CECE"/>
          </w:tcPr>
          <w:p w:rsidR="007C5447" w:rsidRDefault="00F6308C">
            <w:pPr>
              <w:pStyle w:val="TableParagraph"/>
              <w:spacing w:before="50"/>
              <w:ind w:right="96"/>
              <w:rPr>
                <w:b/>
                <w:sz w:val="20"/>
              </w:rPr>
            </w:pPr>
            <w:r>
              <w:rPr>
                <w:b/>
                <w:sz w:val="20"/>
              </w:rPr>
              <w:t>1.96</w:t>
            </w:r>
          </w:p>
        </w:tc>
        <w:tc>
          <w:tcPr>
            <w:tcW w:w="1132" w:type="dxa"/>
            <w:tcBorders>
              <w:right w:val="single" w:sz="6" w:space="0" w:color="000000"/>
            </w:tcBorders>
            <w:shd w:val="clear" w:color="auto" w:fill="D0CECE"/>
          </w:tcPr>
          <w:p w:rsidR="007C5447" w:rsidRDefault="00F6308C">
            <w:pPr>
              <w:pStyle w:val="TableParagraph"/>
              <w:spacing w:before="50"/>
              <w:ind w:right="90"/>
              <w:rPr>
                <w:b/>
                <w:sz w:val="20"/>
              </w:rPr>
            </w:pPr>
            <w:r>
              <w:rPr>
                <w:b/>
                <w:w w:val="95"/>
                <w:sz w:val="20"/>
              </w:rPr>
              <w:t>162.12</w:t>
            </w:r>
          </w:p>
        </w:tc>
        <w:tc>
          <w:tcPr>
            <w:tcW w:w="1135" w:type="dxa"/>
            <w:tcBorders>
              <w:left w:val="single" w:sz="6" w:space="0" w:color="000000"/>
            </w:tcBorders>
            <w:shd w:val="clear" w:color="auto" w:fill="D0CECE"/>
          </w:tcPr>
          <w:p w:rsidR="007C5447" w:rsidRDefault="00F6308C">
            <w:pPr>
              <w:pStyle w:val="TableParagraph"/>
              <w:spacing w:before="50"/>
              <w:ind w:right="94"/>
              <w:rPr>
                <w:b/>
                <w:sz w:val="20"/>
              </w:rPr>
            </w:pPr>
            <w:r>
              <w:rPr>
                <w:b/>
                <w:sz w:val="20"/>
              </w:rPr>
              <w:t>6.83</w:t>
            </w:r>
          </w:p>
        </w:tc>
        <w:tc>
          <w:tcPr>
            <w:tcW w:w="1077" w:type="dxa"/>
            <w:shd w:val="clear" w:color="auto" w:fill="D0CECE"/>
          </w:tcPr>
          <w:p w:rsidR="007C5447" w:rsidRDefault="00F6308C">
            <w:pPr>
              <w:pStyle w:val="TableParagraph"/>
              <w:spacing w:before="50"/>
              <w:ind w:right="92"/>
              <w:rPr>
                <w:b/>
                <w:sz w:val="20"/>
              </w:rPr>
            </w:pPr>
            <w:r>
              <w:rPr>
                <w:b/>
                <w:w w:val="95"/>
                <w:sz w:val="20"/>
              </w:rPr>
              <w:t>564.08</w:t>
            </w:r>
          </w:p>
        </w:tc>
      </w:tr>
      <w:tr w:rsidR="007C5447">
        <w:trPr>
          <w:trHeight w:val="330"/>
        </w:trPr>
        <w:tc>
          <w:tcPr>
            <w:tcW w:w="391" w:type="dxa"/>
          </w:tcPr>
          <w:p w:rsidR="007C5447" w:rsidRDefault="00F6308C">
            <w:pPr>
              <w:pStyle w:val="TableParagraph"/>
              <w:spacing w:before="62"/>
              <w:ind w:left="87"/>
              <w:jc w:val="center"/>
              <w:rPr>
                <w:b/>
                <w:sz w:val="18"/>
              </w:rPr>
            </w:pPr>
            <w:r>
              <w:rPr>
                <w:b/>
                <w:sz w:val="18"/>
              </w:rPr>
              <w:t>4</w:t>
            </w:r>
          </w:p>
        </w:tc>
        <w:tc>
          <w:tcPr>
            <w:tcW w:w="2693" w:type="dxa"/>
          </w:tcPr>
          <w:p w:rsidR="007C5447" w:rsidRDefault="00F6308C">
            <w:pPr>
              <w:pStyle w:val="TableParagraph"/>
              <w:spacing w:before="62"/>
              <w:ind w:left="108"/>
              <w:jc w:val="left"/>
              <w:rPr>
                <w:b/>
                <w:sz w:val="18"/>
              </w:rPr>
            </w:pPr>
            <w:r>
              <w:rPr>
                <w:b/>
                <w:sz w:val="18"/>
              </w:rPr>
              <w:t>Renewables</w:t>
            </w:r>
          </w:p>
        </w:tc>
        <w:tc>
          <w:tcPr>
            <w:tcW w:w="1135"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993" w:type="dxa"/>
          </w:tcPr>
          <w:p w:rsidR="007C5447" w:rsidRDefault="007C5447">
            <w:pPr>
              <w:pStyle w:val="TableParagraph"/>
              <w:jc w:val="left"/>
              <w:rPr>
                <w:sz w:val="18"/>
              </w:rPr>
            </w:pPr>
          </w:p>
        </w:tc>
        <w:tc>
          <w:tcPr>
            <w:tcW w:w="1132" w:type="dxa"/>
            <w:tcBorders>
              <w:right w:val="single" w:sz="6" w:space="0" w:color="000000"/>
            </w:tcBorders>
          </w:tcPr>
          <w:p w:rsidR="007C5447" w:rsidRDefault="007C5447">
            <w:pPr>
              <w:pStyle w:val="TableParagraph"/>
              <w:jc w:val="left"/>
              <w:rPr>
                <w:sz w:val="18"/>
              </w:rPr>
            </w:pPr>
          </w:p>
        </w:tc>
        <w:tc>
          <w:tcPr>
            <w:tcW w:w="1135" w:type="dxa"/>
            <w:tcBorders>
              <w:left w:val="single" w:sz="6" w:space="0" w:color="000000"/>
            </w:tcBorders>
          </w:tcPr>
          <w:p w:rsidR="007C5447" w:rsidRDefault="007C5447">
            <w:pPr>
              <w:pStyle w:val="TableParagraph"/>
              <w:jc w:val="left"/>
              <w:rPr>
                <w:sz w:val="18"/>
              </w:rPr>
            </w:pPr>
          </w:p>
        </w:tc>
        <w:tc>
          <w:tcPr>
            <w:tcW w:w="1077" w:type="dxa"/>
          </w:tcPr>
          <w:p w:rsidR="007C5447" w:rsidRDefault="007C5447">
            <w:pPr>
              <w:pStyle w:val="TableParagraph"/>
              <w:jc w:val="left"/>
              <w:rPr>
                <w:sz w:val="18"/>
              </w:rPr>
            </w:pPr>
          </w:p>
        </w:tc>
      </w:tr>
      <w:tr w:rsidR="007C5447">
        <w:trPr>
          <w:trHeight w:val="330"/>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62"/>
              <w:ind w:left="108"/>
              <w:jc w:val="left"/>
              <w:rPr>
                <w:sz w:val="18"/>
              </w:rPr>
            </w:pPr>
            <w:r>
              <w:rPr>
                <w:sz w:val="18"/>
              </w:rPr>
              <w:t>Wind</w:t>
            </w:r>
          </w:p>
        </w:tc>
        <w:tc>
          <w:tcPr>
            <w:tcW w:w="1135" w:type="dxa"/>
          </w:tcPr>
          <w:p w:rsidR="007C5447" w:rsidRDefault="00F6308C">
            <w:pPr>
              <w:pStyle w:val="TableParagraph"/>
              <w:spacing w:before="50"/>
              <w:ind w:right="97"/>
              <w:rPr>
                <w:sz w:val="20"/>
              </w:rPr>
            </w:pPr>
            <w:r>
              <w:rPr>
                <w:w w:val="95"/>
                <w:sz w:val="20"/>
              </w:rPr>
              <w:t>5,602.27</w:t>
            </w:r>
          </w:p>
        </w:tc>
        <w:tc>
          <w:tcPr>
            <w:tcW w:w="1133" w:type="dxa"/>
          </w:tcPr>
          <w:p w:rsidR="007C5447" w:rsidRDefault="00F6308C">
            <w:pPr>
              <w:pStyle w:val="TableParagraph"/>
              <w:spacing w:before="50"/>
              <w:ind w:right="93"/>
              <w:rPr>
                <w:sz w:val="20"/>
              </w:rPr>
            </w:pPr>
            <w:r>
              <w:rPr>
                <w:w w:val="99"/>
                <w:sz w:val="20"/>
              </w:rPr>
              <w:t>-</w:t>
            </w:r>
          </w:p>
        </w:tc>
        <w:tc>
          <w:tcPr>
            <w:tcW w:w="993" w:type="dxa"/>
          </w:tcPr>
          <w:p w:rsidR="007C5447" w:rsidRDefault="00F6308C">
            <w:pPr>
              <w:pStyle w:val="TableParagraph"/>
              <w:spacing w:before="50"/>
              <w:ind w:right="98"/>
              <w:rPr>
                <w:sz w:val="20"/>
              </w:rPr>
            </w:pPr>
            <w:r>
              <w:rPr>
                <w:sz w:val="20"/>
              </w:rPr>
              <w:t>3.08</w:t>
            </w:r>
          </w:p>
        </w:tc>
        <w:tc>
          <w:tcPr>
            <w:tcW w:w="1132" w:type="dxa"/>
            <w:tcBorders>
              <w:right w:val="single" w:sz="6" w:space="0" w:color="000000"/>
            </w:tcBorders>
          </w:tcPr>
          <w:p w:rsidR="007C5447" w:rsidRDefault="00F6308C">
            <w:pPr>
              <w:pStyle w:val="TableParagraph"/>
              <w:spacing w:before="50"/>
              <w:ind w:right="91"/>
              <w:rPr>
                <w:sz w:val="20"/>
              </w:rPr>
            </w:pPr>
            <w:r>
              <w:rPr>
                <w:w w:val="95"/>
                <w:sz w:val="20"/>
              </w:rPr>
              <w:t>1,725.50</w:t>
            </w:r>
          </w:p>
        </w:tc>
        <w:tc>
          <w:tcPr>
            <w:tcW w:w="1135" w:type="dxa"/>
            <w:tcBorders>
              <w:left w:val="single" w:sz="6" w:space="0" w:color="000000"/>
            </w:tcBorders>
          </w:tcPr>
          <w:p w:rsidR="007C5447" w:rsidRDefault="00F6308C">
            <w:pPr>
              <w:pStyle w:val="TableParagraph"/>
              <w:spacing w:before="50"/>
              <w:ind w:right="97"/>
              <w:rPr>
                <w:sz w:val="20"/>
              </w:rPr>
            </w:pPr>
            <w:r>
              <w:rPr>
                <w:sz w:val="20"/>
              </w:rPr>
              <w:t>3.08</w:t>
            </w:r>
          </w:p>
        </w:tc>
        <w:tc>
          <w:tcPr>
            <w:tcW w:w="1077" w:type="dxa"/>
          </w:tcPr>
          <w:p w:rsidR="007C5447" w:rsidRDefault="00F6308C">
            <w:pPr>
              <w:pStyle w:val="TableParagraph"/>
              <w:spacing w:before="50"/>
              <w:ind w:right="92"/>
              <w:rPr>
                <w:sz w:val="20"/>
              </w:rPr>
            </w:pPr>
            <w:r>
              <w:rPr>
                <w:w w:val="95"/>
                <w:sz w:val="20"/>
              </w:rPr>
              <w:t>1,725.50</w:t>
            </w:r>
          </w:p>
        </w:tc>
      </w:tr>
      <w:tr w:rsidR="007C5447">
        <w:trPr>
          <w:trHeight w:val="300"/>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6"/>
              <w:ind w:left="108"/>
              <w:jc w:val="left"/>
              <w:rPr>
                <w:sz w:val="18"/>
              </w:rPr>
            </w:pPr>
            <w:r>
              <w:rPr>
                <w:sz w:val="18"/>
              </w:rPr>
              <w:t>Biomass</w:t>
            </w:r>
          </w:p>
        </w:tc>
        <w:tc>
          <w:tcPr>
            <w:tcW w:w="1135" w:type="dxa"/>
          </w:tcPr>
          <w:p w:rsidR="007C5447" w:rsidRDefault="00F6308C">
            <w:pPr>
              <w:pStyle w:val="TableParagraph"/>
              <w:spacing w:before="34"/>
              <w:ind w:right="99"/>
              <w:rPr>
                <w:sz w:val="20"/>
              </w:rPr>
            </w:pPr>
            <w:r>
              <w:rPr>
                <w:w w:val="95"/>
                <w:sz w:val="20"/>
              </w:rPr>
              <w:t>20.00</w:t>
            </w:r>
          </w:p>
        </w:tc>
        <w:tc>
          <w:tcPr>
            <w:tcW w:w="1133" w:type="dxa"/>
          </w:tcPr>
          <w:p w:rsidR="007C5447" w:rsidRDefault="00F6308C">
            <w:pPr>
              <w:pStyle w:val="TableParagraph"/>
              <w:spacing w:before="34"/>
              <w:ind w:right="93"/>
              <w:rPr>
                <w:sz w:val="20"/>
              </w:rPr>
            </w:pPr>
            <w:r>
              <w:rPr>
                <w:w w:val="99"/>
                <w:sz w:val="20"/>
              </w:rPr>
              <w:t>-</w:t>
            </w:r>
          </w:p>
        </w:tc>
        <w:tc>
          <w:tcPr>
            <w:tcW w:w="993" w:type="dxa"/>
          </w:tcPr>
          <w:p w:rsidR="007C5447" w:rsidRDefault="00F6308C">
            <w:pPr>
              <w:pStyle w:val="TableParagraph"/>
              <w:spacing w:before="34"/>
              <w:ind w:right="98"/>
              <w:rPr>
                <w:sz w:val="20"/>
              </w:rPr>
            </w:pPr>
            <w:r>
              <w:rPr>
                <w:sz w:val="20"/>
              </w:rPr>
              <w:t>3.08</w:t>
            </w:r>
          </w:p>
        </w:tc>
        <w:tc>
          <w:tcPr>
            <w:tcW w:w="1132" w:type="dxa"/>
            <w:tcBorders>
              <w:right w:val="single" w:sz="6" w:space="0" w:color="000000"/>
            </w:tcBorders>
          </w:tcPr>
          <w:p w:rsidR="007C5447" w:rsidRDefault="00F6308C">
            <w:pPr>
              <w:pStyle w:val="TableParagraph"/>
              <w:spacing w:before="34"/>
              <w:ind w:right="93"/>
              <w:rPr>
                <w:sz w:val="20"/>
              </w:rPr>
            </w:pPr>
            <w:r>
              <w:rPr>
                <w:sz w:val="20"/>
              </w:rPr>
              <w:t>6.16</w:t>
            </w:r>
          </w:p>
        </w:tc>
        <w:tc>
          <w:tcPr>
            <w:tcW w:w="1135" w:type="dxa"/>
            <w:tcBorders>
              <w:left w:val="single" w:sz="6" w:space="0" w:color="000000"/>
            </w:tcBorders>
          </w:tcPr>
          <w:p w:rsidR="007C5447" w:rsidRDefault="00F6308C">
            <w:pPr>
              <w:pStyle w:val="TableParagraph"/>
              <w:spacing w:before="34"/>
              <w:ind w:right="97"/>
              <w:rPr>
                <w:sz w:val="20"/>
              </w:rPr>
            </w:pPr>
            <w:r>
              <w:rPr>
                <w:sz w:val="20"/>
              </w:rPr>
              <w:t>3.08</w:t>
            </w:r>
          </w:p>
        </w:tc>
        <w:tc>
          <w:tcPr>
            <w:tcW w:w="1077" w:type="dxa"/>
          </w:tcPr>
          <w:p w:rsidR="007C5447" w:rsidRDefault="00F6308C">
            <w:pPr>
              <w:pStyle w:val="TableParagraph"/>
              <w:spacing w:before="34"/>
              <w:ind w:right="94"/>
              <w:rPr>
                <w:sz w:val="20"/>
              </w:rPr>
            </w:pPr>
            <w:r>
              <w:rPr>
                <w:sz w:val="20"/>
              </w:rPr>
              <w:t>6.16</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Cogeneration</w:t>
            </w:r>
          </w:p>
        </w:tc>
        <w:tc>
          <w:tcPr>
            <w:tcW w:w="1135" w:type="dxa"/>
          </w:tcPr>
          <w:p w:rsidR="007C5447" w:rsidRDefault="00F6308C">
            <w:pPr>
              <w:pStyle w:val="TableParagraph"/>
              <w:spacing w:before="36"/>
              <w:ind w:right="99"/>
              <w:rPr>
                <w:sz w:val="20"/>
              </w:rPr>
            </w:pPr>
            <w:r>
              <w:rPr>
                <w:w w:val="95"/>
                <w:sz w:val="20"/>
              </w:rPr>
              <w:t>970.00</w:t>
            </w:r>
          </w:p>
        </w:tc>
        <w:tc>
          <w:tcPr>
            <w:tcW w:w="1133" w:type="dxa"/>
          </w:tcPr>
          <w:p w:rsidR="007C5447" w:rsidRDefault="00F6308C">
            <w:pPr>
              <w:pStyle w:val="TableParagraph"/>
              <w:spacing w:before="36"/>
              <w:ind w:right="93"/>
              <w:rPr>
                <w:sz w:val="20"/>
              </w:rPr>
            </w:pPr>
            <w:r>
              <w:rPr>
                <w:w w:val="99"/>
                <w:sz w:val="20"/>
              </w:rPr>
              <w:t>-</w:t>
            </w:r>
          </w:p>
        </w:tc>
        <w:tc>
          <w:tcPr>
            <w:tcW w:w="993" w:type="dxa"/>
          </w:tcPr>
          <w:p w:rsidR="007C5447" w:rsidRDefault="00F6308C">
            <w:pPr>
              <w:pStyle w:val="TableParagraph"/>
              <w:spacing w:before="36"/>
              <w:ind w:right="98"/>
              <w:rPr>
                <w:sz w:val="20"/>
              </w:rPr>
            </w:pPr>
            <w:r>
              <w:rPr>
                <w:sz w:val="20"/>
              </w:rPr>
              <w:t>4.12</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399.64</w:t>
            </w:r>
          </w:p>
        </w:tc>
        <w:tc>
          <w:tcPr>
            <w:tcW w:w="1135" w:type="dxa"/>
            <w:tcBorders>
              <w:left w:val="single" w:sz="6" w:space="0" w:color="000000"/>
            </w:tcBorders>
          </w:tcPr>
          <w:p w:rsidR="007C5447" w:rsidRDefault="00F6308C">
            <w:pPr>
              <w:pStyle w:val="TableParagraph"/>
              <w:spacing w:before="36"/>
              <w:ind w:right="97"/>
              <w:rPr>
                <w:sz w:val="20"/>
              </w:rPr>
            </w:pPr>
            <w:r>
              <w:rPr>
                <w:sz w:val="20"/>
              </w:rPr>
              <w:t>4.12</w:t>
            </w:r>
          </w:p>
        </w:tc>
        <w:tc>
          <w:tcPr>
            <w:tcW w:w="1077" w:type="dxa"/>
          </w:tcPr>
          <w:p w:rsidR="007C5447" w:rsidRDefault="00F6308C">
            <w:pPr>
              <w:pStyle w:val="TableParagraph"/>
              <w:spacing w:before="36"/>
              <w:ind w:right="94"/>
              <w:rPr>
                <w:sz w:val="20"/>
              </w:rPr>
            </w:pPr>
            <w:r>
              <w:rPr>
                <w:w w:val="95"/>
                <w:sz w:val="20"/>
              </w:rPr>
              <w:t>399.64</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Captive</w:t>
            </w:r>
          </w:p>
        </w:tc>
        <w:tc>
          <w:tcPr>
            <w:tcW w:w="1135" w:type="dxa"/>
          </w:tcPr>
          <w:p w:rsidR="007C5447" w:rsidRDefault="00F6308C">
            <w:pPr>
              <w:pStyle w:val="TableParagraph"/>
              <w:spacing w:before="36"/>
              <w:ind w:right="99"/>
              <w:rPr>
                <w:sz w:val="20"/>
              </w:rPr>
            </w:pPr>
            <w:r>
              <w:rPr>
                <w:w w:val="95"/>
                <w:sz w:val="20"/>
              </w:rPr>
              <w:t>38.50</w:t>
            </w:r>
          </w:p>
        </w:tc>
        <w:tc>
          <w:tcPr>
            <w:tcW w:w="1133" w:type="dxa"/>
          </w:tcPr>
          <w:p w:rsidR="007C5447" w:rsidRDefault="00F6308C">
            <w:pPr>
              <w:pStyle w:val="TableParagraph"/>
              <w:spacing w:before="36"/>
              <w:ind w:right="93"/>
              <w:rPr>
                <w:sz w:val="20"/>
              </w:rPr>
            </w:pPr>
            <w:r>
              <w:rPr>
                <w:w w:val="99"/>
                <w:sz w:val="20"/>
              </w:rPr>
              <w:t>-</w:t>
            </w:r>
          </w:p>
        </w:tc>
        <w:tc>
          <w:tcPr>
            <w:tcW w:w="993" w:type="dxa"/>
          </w:tcPr>
          <w:p w:rsidR="007C5447" w:rsidRDefault="00F6308C">
            <w:pPr>
              <w:pStyle w:val="TableParagraph"/>
              <w:spacing w:before="36"/>
              <w:ind w:right="98"/>
              <w:rPr>
                <w:sz w:val="20"/>
              </w:rPr>
            </w:pPr>
            <w:r>
              <w:rPr>
                <w:sz w:val="20"/>
              </w:rPr>
              <w:t>1.78</w:t>
            </w:r>
          </w:p>
        </w:tc>
        <w:tc>
          <w:tcPr>
            <w:tcW w:w="1132" w:type="dxa"/>
            <w:tcBorders>
              <w:right w:val="single" w:sz="6" w:space="0" w:color="000000"/>
            </w:tcBorders>
          </w:tcPr>
          <w:p w:rsidR="007C5447" w:rsidRDefault="00F6308C">
            <w:pPr>
              <w:pStyle w:val="TableParagraph"/>
              <w:spacing w:before="36"/>
              <w:ind w:right="93"/>
              <w:rPr>
                <w:sz w:val="20"/>
              </w:rPr>
            </w:pPr>
            <w:r>
              <w:rPr>
                <w:sz w:val="20"/>
              </w:rPr>
              <w:t>6.85</w:t>
            </w:r>
          </w:p>
        </w:tc>
        <w:tc>
          <w:tcPr>
            <w:tcW w:w="1135" w:type="dxa"/>
            <w:tcBorders>
              <w:left w:val="single" w:sz="6" w:space="0" w:color="000000"/>
            </w:tcBorders>
          </w:tcPr>
          <w:p w:rsidR="007C5447" w:rsidRDefault="00F6308C">
            <w:pPr>
              <w:pStyle w:val="TableParagraph"/>
              <w:spacing w:before="36"/>
              <w:ind w:right="97"/>
              <w:rPr>
                <w:sz w:val="20"/>
              </w:rPr>
            </w:pPr>
            <w:r>
              <w:rPr>
                <w:sz w:val="20"/>
              </w:rPr>
              <w:t>1.78</w:t>
            </w:r>
          </w:p>
        </w:tc>
        <w:tc>
          <w:tcPr>
            <w:tcW w:w="1077" w:type="dxa"/>
          </w:tcPr>
          <w:p w:rsidR="007C5447" w:rsidRDefault="00F6308C">
            <w:pPr>
              <w:pStyle w:val="TableParagraph"/>
              <w:spacing w:before="36"/>
              <w:ind w:right="94"/>
              <w:rPr>
                <w:sz w:val="20"/>
              </w:rPr>
            </w:pPr>
            <w:r>
              <w:rPr>
                <w:sz w:val="20"/>
              </w:rPr>
              <w:t>6.85</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Solar</w:t>
            </w:r>
          </w:p>
        </w:tc>
        <w:tc>
          <w:tcPr>
            <w:tcW w:w="1135" w:type="dxa"/>
          </w:tcPr>
          <w:p w:rsidR="007C5447" w:rsidRDefault="00F6308C">
            <w:pPr>
              <w:pStyle w:val="TableParagraph"/>
              <w:spacing w:before="36"/>
              <w:ind w:right="97"/>
              <w:rPr>
                <w:sz w:val="20"/>
              </w:rPr>
            </w:pPr>
            <w:r>
              <w:rPr>
                <w:w w:val="95"/>
                <w:sz w:val="20"/>
              </w:rPr>
              <w:t>1,505.50</w:t>
            </w:r>
          </w:p>
        </w:tc>
        <w:tc>
          <w:tcPr>
            <w:tcW w:w="1133" w:type="dxa"/>
          </w:tcPr>
          <w:p w:rsidR="007C5447" w:rsidRDefault="00F6308C">
            <w:pPr>
              <w:pStyle w:val="TableParagraph"/>
              <w:spacing w:before="36"/>
              <w:ind w:right="93"/>
              <w:rPr>
                <w:sz w:val="20"/>
              </w:rPr>
            </w:pPr>
            <w:r>
              <w:rPr>
                <w:w w:val="99"/>
                <w:sz w:val="20"/>
              </w:rPr>
              <w:t>-</w:t>
            </w:r>
          </w:p>
        </w:tc>
        <w:tc>
          <w:tcPr>
            <w:tcW w:w="993" w:type="dxa"/>
          </w:tcPr>
          <w:p w:rsidR="007C5447" w:rsidRDefault="00F6308C">
            <w:pPr>
              <w:pStyle w:val="TableParagraph"/>
              <w:spacing w:before="36"/>
              <w:ind w:right="98"/>
              <w:rPr>
                <w:sz w:val="20"/>
              </w:rPr>
            </w:pPr>
            <w:r>
              <w:rPr>
                <w:sz w:val="20"/>
              </w:rPr>
              <w:t>6.85</w:t>
            </w:r>
          </w:p>
        </w:tc>
        <w:tc>
          <w:tcPr>
            <w:tcW w:w="1132" w:type="dxa"/>
            <w:tcBorders>
              <w:right w:val="single" w:sz="6" w:space="0" w:color="000000"/>
            </w:tcBorders>
          </w:tcPr>
          <w:p w:rsidR="007C5447" w:rsidRDefault="00F6308C">
            <w:pPr>
              <w:pStyle w:val="TableParagraph"/>
              <w:spacing w:before="36"/>
              <w:ind w:right="91"/>
              <w:rPr>
                <w:sz w:val="20"/>
              </w:rPr>
            </w:pPr>
            <w:r>
              <w:rPr>
                <w:w w:val="95"/>
                <w:sz w:val="20"/>
              </w:rPr>
              <w:t>1,031.60</w:t>
            </w:r>
          </w:p>
        </w:tc>
        <w:tc>
          <w:tcPr>
            <w:tcW w:w="1135" w:type="dxa"/>
            <w:tcBorders>
              <w:left w:val="single" w:sz="6" w:space="0" w:color="000000"/>
            </w:tcBorders>
          </w:tcPr>
          <w:p w:rsidR="007C5447" w:rsidRDefault="00F6308C">
            <w:pPr>
              <w:pStyle w:val="TableParagraph"/>
              <w:spacing w:before="36"/>
              <w:ind w:right="97"/>
              <w:rPr>
                <w:sz w:val="20"/>
              </w:rPr>
            </w:pPr>
            <w:r>
              <w:rPr>
                <w:sz w:val="20"/>
              </w:rPr>
              <w:t>6.85</w:t>
            </w:r>
          </w:p>
        </w:tc>
        <w:tc>
          <w:tcPr>
            <w:tcW w:w="1077" w:type="dxa"/>
          </w:tcPr>
          <w:p w:rsidR="007C5447" w:rsidRDefault="00F6308C">
            <w:pPr>
              <w:pStyle w:val="TableParagraph"/>
              <w:spacing w:before="36"/>
              <w:ind w:right="92"/>
              <w:rPr>
                <w:sz w:val="20"/>
              </w:rPr>
            </w:pPr>
            <w:r>
              <w:rPr>
                <w:w w:val="95"/>
                <w:sz w:val="20"/>
              </w:rPr>
              <w:t>1,031.60</w:t>
            </w:r>
          </w:p>
        </w:tc>
      </w:tr>
      <w:tr w:rsidR="007C5447">
        <w:trPr>
          <w:trHeight w:val="302"/>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REC (Non-Solar)</w:t>
            </w:r>
          </w:p>
        </w:tc>
        <w:tc>
          <w:tcPr>
            <w:tcW w:w="1135" w:type="dxa"/>
          </w:tcPr>
          <w:p w:rsidR="007C5447" w:rsidRDefault="00F6308C">
            <w:pPr>
              <w:pStyle w:val="TableParagraph"/>
              <w:spacing w:before="36"/>
              <w:ind w:right="96"/>
              <w:rPr>
                <w:sz w:val="20"/>
              </w:rPr>
            </w:pPr>
            <w:r>
              <w:rPr>
                <w:w w:val="99"/>
                <w:sz w:val="20"/>
              </w:rPr>
              <w:t>-</w:t>
            </w:r>
          </w:p>
        </w:tc>
        <w:tc>
          <w:tcPr>
            <w:tcW w:w="1133" w:type="dxa"/>
          </w:tcPr>
          <w:p w:rsidR="007C5447" w:rsidRDefault="007C5447">
            <w:pPr>
              <w:pStyle w:val="TableParagraph"/>
              <w:jc w:val="left"/>
              <w:rPr>
                <w:sz w:val="18"/>
              </w:rPr>
            </w:pPr>
          </w:p>
        </w:tc>
        <w:tc>
          <w:tcPr>
            <w:tcW w:w="993" w:type="dxa"/>
          </w:tcPr>
          <w:p w:rsidR="007C5447" w:rsidRDefault="007C5447">
            <w:pPr>
              <w:pStyle w:val="TableParagraph"/>
              <w:jc w:val="left"/>
              <w:rPr>
                <w:sz w:val="18"/>
              </w:rPr>
            </w:pPr>
          </w:p>
        </w:tc>
        <w:tc>
          <w:tcPr>
            <w:tcW w:w="1132" w:type="dxa"/>
            <w:tcBorders>
              <w:right w:val="single" w:sz="6" w:space="0" w:color="000000"/>
            </w:tcBorders>
          </w:tcPr>
          <w:p w:rsidR="007C5447" w:rsidRDefault="00F6308C">
            <w:pPr>
              <w:pStyle w:val="TableParagraph"/>
              <w:spacing w:before="36"/>
              <w:ind w:right="89"/>
              <w:rPr>
                <w:sz w:val="20"/>
              </w:rPr>
            </w:pPr>
            <w:r>
              <w:rPr>
                <w:w w:val="99"/>
                <w:sz w:val="20"/>
              </w:rPr>
              <w:t>-</w:t>
            </w:r>
          </w:p>
        </w:tc>
        <w:tc>
          <w:tcPr>
            <w:tcW w:w="1135" w:type="dxa"/>
            <w:tcBorders>
              <w:left w:val="single" w:sz="6" w:space="0" w:color="000000"/>
            </w:tcBorders>
          </w:tcPr>
          <w:p w:rsidR="007C5447" w:rsidRDefault="00F6308C">
            <w:pPr>
              <w:pStyle w:val="TableParagraph"/>
              <w:spacing w:before="36"/>
              <w:ind w:right="93"/>
              <w:rPr>
                <w:sz w:val="20"/>
              </w:rPr>
            </w:pPr>
            <w:r>
              <w:rPr>
                <w:w w:val="99"/>
                <w:sz w:val="20"/>
              </w:rPr>
              <w:t>-</w:t>
            </w:r>
          </w:p>
        </w:tc>
        <w:tc>
          <w:tcPr>
            <w:tcW w:w="1077" w:type="dxa"/>
          </w:tcPr>
          <w:p w:rsidR="007C5447" w:rsidRDefault="00F6308C">
            <w:pPr>
              <w:pStyle w:val="TableParagraph"/>
              <w:spacing w:before="36"/>
              <w:ind w:right="90"/>
              <w:rPr>
                <w:sz w:val="20"/>
              </w:rPr>
            </w:pPr>
            <w:r>
              <w:rPr>
                <w:w w:val="99"/>
                <w:sz w:val="20"/>
              </w:rPr>
              <w:t>-</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5"/>
              <w:ind w:left="108"/>
              <w:jc w:val="left"/>
              <w:rPr>
                <w:sz w:val="18"/>
              </w:rPr>
            </w:pPr>
            <w:r>
              <w:rPr>
                <w:sz w:val="18"/>
              </w:rPr>
              <w:t>REC (Solar)</w:t>
            </w:r>
          </w:p>
        </w:tc>
        <w:tc>
          <w:tcPr>
            <w:tcW w:w="1135" w:type="dxa"/>
          </w:tcPr>
          <w:p w:rsidR="007C5447" w:rsidRDefault="00F6308C">
            <w:pPr>
              <w:pStyle w:val="TableParagraph"/>
              <w:spacing w:before="34"/>
              <w:ind w:right="96"/>
              <w:rPr>
                <w:sz w:val="20"/>
              </w:rPr>
            </w:pPr>
            <w:r>
              <w:rPr>
                <w:w w:val="99"/>
                <w:sz w:val="20"/>
              </w:rPr>
              <w:t>-</w:t>
            </w:r>
          </w:p>
        </w:tc>
        <w:tc>
          <w:tcPr>
            <w:tcW w:w="1133" w:type="dxa"/>
          </w:tcPr>
          <w:p w:rsidR="007C5447" w:rsidRDefault="00F6308C">
            <w:pPr>
              <w:pStyle w:val="TableParagraph"/>
              <w:spacing w:before="34"/>
              <w:ind w:right="95"/>
              <w:rPr>
                <w:sz w:val="20"/>
              </w:rPr>
            </w:pPr>
            <w:r>
              <w:rPr>
                <w:sz w:val="20"/>
              </w:rPr>
              <w:t>33.97</w:t>
            </w:r>
          </w:p>
        </w:tc>
        <w:tc>
          <w:tcPr>
            <w:tcW w:w="993" w:type="dxa"/>
          </w:tcPr>
          <w:p w:rsidR="007C5447" w:rsidRDefault="007C5447">
            <w:pPr>
              <w:pStyle w:val="TableParagraph"/>
              <w:jc w:val="left"/>
              <w:rPr>
                <w:sz w:val="18"/>
              </w:rPr>
            </w:pPr>
          </w:p>
        </w:tc>
        <w:tc>
          <w:tcPr>
            <w:tcW w:w="1132" w:type="dxa"/>
            <w:tcBorders>
              <w:right w:val="single" w:sz="6" w:space="0" w:color="000000"/>
            </w:tcBorders>
          </w:tcPr>
          <w:p w:rsidR="007C5447" w:rsidRDefault="007C5447">
            <w:pPr>
              <w:pStyle w:val="TableParagraph"/>
              <w:jc w:val="left"/>
              <w:rPr>
                <w:sz w:val="18"/>
              </w:rPr>
            </w:pPr>
          </w:p>
        </w:tc>
        <w:tc>
          <w:tcPr>
            <w:tcW w:w="1135" w:type="dxa"/>
            <w:tcBorders>
              <w:left w:val="single" w:sz="6" w:space="0" w:color="000000"/>
            </w:tcBorders>
          </w:tcPr>
          <w:p w:rsidR="007C5447" w:rsidRDefault="00F6308C">
            <w:pPr>
              <w:pStyle w:val="TableParagraph"/>
              <w:spacing w:before="34"/>
              <w:ind w:right="93"/>
              <w:rPr>
                <w:sz w:val="20"/>
              </w:rPr>
            </w:pPr>
            <w:r>
              <w:rPr>
                <w:w w:val="99"/>
                <w:sz w:val="20"/>
              </w:rPr>
              <w:t>-</w:t>
            </w:r>
          </w:p>
        </w:tc>
        <w:tc>
          <w:tcPr>
            <w:tcW w:w="1077" w:type="dxa"/>
          </w:tcPr>
          <w:p w:rsidR="007C5447" w:rsidRDefault="00F6308C">
            <w:pPr>
              <w:pStyle w:val="TableParagraph"/>
              <w:spacing w:before="34"/>
              <w:ind w:right="94"/>
              <w:rPr>
                <w:sz w:val="20"/>
              </w:rPr>
            </w:pPr>
            <w:r>
              <w:rPr>
                <w:w w:val="95"/>
                <w:sz w:val="20"/>
              </w:rPr>
              <w:t>33.97</w:t>
            </w:r>
          </w:p>
        </w:tc>
      </w:tr>
      <w:tr w:rsidR="007C5447">
        <w:trPr>
          <w:trHeight w:val="328"/>
        </w:trPr>
        <w:tc>
          <w:tcPr>
            <w:tcW w:w="391" w:type="dxa"/>
            <w:shd w:val="clear" w:color="auto" w:fill="D0CECE"/>
          </w:tcPr>
          <w:p w:rsidR="007C5447" w:rsidRDefault="007C5447">
            <w:pPr>
              <w:pStyle w:val="TableParagraph"/>
              <w:jc w:val="left"/>
              <w:rPr>
                <w:sz w:val="18"/>
              </w:rPr>
            </w:pPr>
          </w:p>
        </w:tc>
        <w:tc>
          <w:tcPr>
            <w:tcW w:w="2693" w:type="dxa"/>
            <w:shd w:val="clear" w:color="auto" w:fill="D0CECE"/>
          </w:tcPr>
          <w:p w:rsidR="007C5447" w:rsidRDefault="00F6308C">
            <w:pPr>
              <w:pStyle w:val="TableParagraph"/>
              <w:spacing w:before="62"/>
              <w:ind w:left="108"/>
              <w:jc w:val="left"/>
              <w:rPr>
                <w:b/>
                <w:sz w:val="18"/>
              </w:rPr>
            </w:pPr>
            <w:r>
              <w:rPr>
                <w:b/>
                <w:sz w:val="18"/>
              </w:rPr>
              <w:t>Total</w:t>
            </w:r>
          </w:p>
        </w:tc>
        <w:tc>
          <w:tcPr>
            <w:tcW w:w="1135" w:type="dxa"/>
            <w:shd w:val="clear" w:color="auto" w:fill="D0CECE"/>
          </w:tcPr>
          <w:p w:rsidR="007C5447" w:rsidRDefault="00F6308C">
            <w:pPr>
              <w:pStyle w:val="TableParagraph"/>
              <w:spacing w:before="50"/>
              <w:ind w:right="97"/>
              <w:rPr>
                <w:b/>
                <w:sz w:val="20"/>
              </w:rPr>
            </w:pPr>
            <w:r>
              <w:rPr>
                <w:b/>
                <w:w w:val="95"/>
                <w:sz w:val="20"/>
              </w:rPr>
              <w:t>8,136.27</w:t>
            </w:r>
          </w:p>
        </w:tc>
        <w:tc>
          <w:tcPr>
            <w:tcW w:w="1133" w:type="dxa"/>
            <w:shd w:val="clear" w:color="auto" w:fill="D0CECE"/>
          </w:tcPr>
          <w:p w:rsidR="007C5447" w:rsidRDefault="00F6308C">
            <w:pPr>
              <w:pStyle w:val="TableParagraph"/>
              <w:spacing w:before="50"/>
              <w:ind w:right="95"/>
              <w:rPr>
                <w:b/>
                <w:sz w:val="20"/>
              </w:rPr>
            </w:pPr>
            <w:r>
              <w:rPr>
                <w:b/>
                <w:sz w:val="20"/>
              </w:rPr>
              <w:t>33.97</w:t>
            </w:r>
          </w:p>
        </w:tc>
        <w:tc>
          <w:tcPr>
            <w:tcW w:w="993" w:type="dxa"/>
            <w:shd w:val="clear" w:color="auto" w:fill="D0CECE"/>
          </w:tcPr>
          <w:p w:rsidR="007C5447" w:rsidRDefault="00F6308C">
            <w:pPr>
              <w:pStyle w:val="TableParagraph"/>
              <w:spacing w:before="50"/>
              <w:ind w:right="98"/>
              <w:rPr>
                <w:b/>
                <w:sz w:val="20"/>
              </w:rPr>
            </w:pPr>
            <w:r>
              <w:rPr>
                <w:b/>
                <w:sz w:val="20"/>
              </w:rPr>
              <w:t>3.90</w:t>
            </w:r>
          </w:p>
        </w:tc>
        <w:tc>
          <w:tcPr>
            <w:tcW w:w="1132" w:type="dxa"/>
            <w:tcBorders>
              <w:right w:val="single" w:sz="6" w:space="0" w:color="000000"/>
            </w:tcBorders>
            <w:shd w:val="clear" w:color="auto" w:fill="D0CECE"/>
          </w:tcPr>
          <w:p w:rsidR="007C5447" w:rsidRDefault="00F6308C">
            <w:pPr>
              <w:pStyle w:val="TableParagraph"/>
              <w:spacing w:before="50"/>
              <w:ind w:right="91"/>
              <w:rPr>
                <w:b/>
                <w:sz w:val="20"/>
              </w:rPr>
            </w:pPr>
            <w:r>
              <w:rPr>
                <w:b/>
                <w:w w:val="95"/>
                <w:sz w:val="20"/>
              </w:rPr>
              <w:t>3,169.75</w:t>
            </w:r>
          </w:p>
        </w:tc>
        <w:tc>
          <w:tcPr>
            <w:tcW w:w="1135" w:type="dxa"/>
            <w:tcBorders>
              <w:left w:val="single" w:sz="6" w:space="0" w:color="000000"/>
            </w:tcBorders>
            <w:shd w:val="clear" w:color="auto" w:fill="D0CECE"/>
          </w:tcPr>
          <w:p w:rsidR="007C5447" w:rsidRDefault="00F6308C">
            <w:pPr>
              <w:pStyle w:val="TableParagraph"/>
              <w:spacing w:before="50"/>
              <w:ind w:right="94"/>
              <w:rPr>
                <w:b/>
                <w:sz w:val="20"/>
              </w:rPr>
            </w:pPr>
            <w:r>
              <w:rPr>
                <w:b/>
                <w:sz w:val="20"/>
              </w:rPr>
              <w:t>3.94</w:t>
            </w:r>
          </w:p>
        </w:tc>
        <w:tc>
          <w:tcPr>
            <w:tcW w:w="1077" w:type="dxa"/>
            <w:shd w:val="clear" w:color="auto" w:fill="D0CECE"/>
          </w:tcPr>
          <w:p w:rsidR="007C5447" w:rsidRDefault="00F6308C">
            <w:pPr>
              <w:pStyle w:val="TableParagraph"/>
              <w:spacing w:before="50"/>
              <w:ind w:right="92"/>
              <w:rPr>
                <w:b/>
                <w:sz w:val="20"/>
              </w:rPr>
            </w:pPr>
            <w:r>
              <w:rPr>
                <w:b/>
                <w:w w:val="95"/>
                <w:sz w:val="20"/>
              </w:rPr>
              <w:t>3,203.72</w:t>
            </w:r>
          </w:p>
        </w:tc>
      </w:tr>
      <w:tr w:rsidR="007C5447">
        <w:trPr>
          <w:trHeight w:val="302"/>
        </w:trPr>
        <w:tc>
          <w:tcPr>
            <w:tcW w:w="391" w:type="dxa"/>
          </w:tcPr>
          <w:p w:rsidR="007C5447" w:rsidRDefault="00F6308C">
            <w:pPr>
              <w:pStyle w:val="TableParagraph"/>
              <w:spacing w:before="47"/>
              <w:ind w:left="87"/>
              <w:jc w:val="center"/>
              <w:rPr>
                <w:sz w:val="18"/>
              </w:rPr>
            </w:pPr>
            <w:r>
              <w:rPr>
                <w:sz w:val="18"/>
              </w:rPr>
              <w:t>5</w:t>
            </w:r>
          </w:p>
        </w:tc>
        <w:tc>
          <w:tcPr>
            <w:tcW w:w="2693" w:type="dxa"/>
          </w:tcPr>
          <w:p w:rsidR="007C5447" w:rsidRDefault="00F6308C">
            <w:pPr>
              <w:pStyle w:val="TableParagraph"/>
              <w:spacing w:before="47"/>
              <w:ind w:left="108"/>
              <w:jc w:val="left"/>
              <w:rPr>
                <w:sz w:val="18"/>
              </w:rPr>
            </w:pPr>
            <w:r>
              <w:rPr>
                <w:sz w:val="18"/>
              </w:rPr>
              <w:t>Traders</w:t>
            </w:r>
          </w:p>
        </w:tc>
        <w:tc>
          <w:tcPr>
            <w:tcW w:w="1135"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993" w:type="dxa"/>
          </w:tcPr>
          <w:p w:rsidR="007C5447" w:rsidRDefault="007C5447">
            <w:pPr>
              <w:pStyle w:val="TableParagraph"/>
              <w:jc w:val="left"/>
              <w:rPr>
                <w:sz w:val="18"/>
              </w:rPr>
            </w:pPr>
          </w:p>
        </w:tc>
        <w:tc>
          <w:tcPr>
            <w:tcW w:w="1132" w:type="dxa"/>
            <w:tcBorders>
              <w:right w:val="single" w:sz="6" w:space="0" w:color="000000"/>
            </w:tcBorders>
          </w:tcPr>
          <w:p w:rsidR="007C5447" w:rsidRDefault="007C5447">
            <w:pPr>
              <w:pStyle w:val="TableParagraph"/>
              <w:jc w:val="left"/>
              <w:rPr>
                <w:sz w:val="18"/>
              </w:rPr>
            </w:pPr>
          </w:p>
        </w:tc>
        <w:tc>
          <w:tcPr>
            <w:tcW w:w="1135" w:type="dxa"/>
            <w:tcBorders>
              <w:left w:val="single" w:sz="6" w:space="0" w:color="000000"/>
            </w:tcBorders>
          </w:tcPr>
          <w:p w:rsidR="007C5447" w:rsidRDefault="007C5447">
            <w:pPr>
              <w:pStyle w:val="TableParagraph"/>
              <w:jc w:val="left"/>
              <w:rPr>
                <w:sz w:val="18"/>
              </w:rPr>
            </w:pPr>
          </w:p>
        </w:tc>
        <w:tc>
          <w:tcPr>
            <w:tcW w:w="1077" w:type="dxa"/>
          </w:tcPr>
          <w:p w:rsidR="007C5447" w:rsidRDefault="007C5447">
            <w:pPr>
              <w:pStyle w:val="TableParagraph"/>
              <w:jc w:val="left"/>
              <w:rPr>
                <w:sz w:val="18"/>
              </w:rPr>
            </w:pPr>
          </w:p>
        </w:tc>
      </w:tr>
    </w:tbl>
    <w:p w:rsidR="007C5447" w:rsidRDefault="007C5447">
      <w:pPr>
        <w:rPr>
          <w:sz w:val="18"/>
        </w:rPr>
        <w:sectPr w:rsidR="007C5447">
          <w:pgSz w:w="11910" w:h="16840"/>
          <w:pgMar w:top="1420" w:right="260" w:bottom="960" w:left="340" w:header="0" w:footer="777" w:gutter="0"/>
          <w:cols w:space="720"/>
        </w:sect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1"/>
        <w:gridCol w:w="2693"/>
        <w:gridCol w:w="1135"/>
        <w:gridCol w:w="1133"/>
        <w:gridCol w:w="993"/>
        <w:gridCol w:w="1132"/>
        <w:gridCol w:w="1135"/>
        <w:gridCol w:w="1077"/>
      </w:tblGrid>
      <w:tr w:rsidR="007C5447">
        <w:trPr>
          <w:trHeight w:val="859"/>
        </w:trPr>
        <w:tc>
          <w:tcPr>
            <w:tcW w:w="391"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line="207" w:lineRule="exact"/>
              <w:ind w:left="107"/>
              <w:jc w:val="left"/>
              <w:rPr>
                <w:b/>
                <w:sz w:val="18"/>
              </w:rPr>
            </w:pPr>
            <w:r>
              <w:rPr>
                <w:b/>
                <w:sz w:val="18"/>
              </w:rPr>
              <w:t>Sl</w:t>
            </w:r>
          </w:p>
          <w:p w:rsidR="007C5447" w:rsidRDefault="00F6308C">
            <w:pPr>
              <w:pStyle w:val="TableParagraph"/>
              <w:spacing w:line="207" w:lineRule="exact"/>
              <w:ind w:left="107"/>
              <w:jc w:val="left"/>
              <w:rPr>
                <w:b/>
                <w:sz w:val="18"/>
              </w:rPr>
            </w:pPr>
            <w:r>
              <w:rPr>
                <w:b/>
                <w:sz w:val="18"/>
              </w:rPr>
              <w:t>.</w:t>
            </w:r>
          </w:p>
        </w:tc>
        <w:tc>
          <w:tcPr>
            <w:tcW w:w="2693" w:type="dxa"/>
            <w:shd w:val="clear" w:color="auto" w:fill="F7C9AC"/>
          </w:tcPr>
          <w:p w:rsidR="007C5447" w:rsidRDefault="007C5447">
            <w:pPr>
              <w:pStyle w:val="TableParagraph"/>
              <w:spacing w:before="4"/>
              <w:jc w:val="left"/>
              <w:rPr>
                <w:b/>
                <w:sz w:val="28"/>
              </w:rPr>
            </w:pPr>
          </w:p>
          <w:p w:rsidR="007C5447" w:rsidRDefault="00F6308C">
            <w:pPr>
              <w:pStyle w:val="TableParagraph"/>
              <w:ind w:left="108"/>
              <w:jc w:val="left"/>
              <w:rPr>
                <w:b/>
                <w:sz w:val="18"/>
              </w:rPr>
            </w:pPr>
            <w:r>
              <w:rPr>
                <w:b/>
                <w:sz w:val="18"/>
              </w:rPr>
              <w:t>Particulars</w:t>
            </w:r>
          </w:p>
        </w:tc>
        <w:tc>
          <w:tcPr>
            <w:tcW w:w="1135"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355" w:right="168" w:hanging="159"/>
              <w:jc w:val="left"/>
              <w:rPr>
                <w:b/>
                <w:sz w:val="18"/>
              </w:rPr>
            </w:pPr>
            <w:r>
              <w:rPr>
                <w:b/>
                <w:sz w:val="18"/>
              </w:rPr>
              <w:t>Quantum (MU)</w:t>
            </w:r>
          </w:p>
        </w:tc>
        <w:tc>
          <w:tcPr>
            <w:tcW w:w="1133"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211" w:right="125" w:hanging="58"/>
              <w:jc w:val="left"/>
              <w:rPr>
                <w:b/>
                <w:sz w:val="18"/>
              </w:rPr>
            </w:pPr>
            <w:r>
              <w:rPr>
                <w:b/>
                <w:sz w:val="18"/>
              </w:rPr>
              <w:t>Fixed Cost (Rs. Cr.)</w:t>
            </w:r>
          </w:p>
        </w:tc>
        <w:tc>
          <w:tcPr>
            <w:tcW w:w="993" w:type="dxa"/>
            <w:shd w:val="clear" w:color="auto" w:fill="F7C9AC"/>
          </w:tcPr>
          <w:p w:rsidR="007C5447" w:rsidRDefault="00F6308C">
            <w:pPr>
              <w:pStyle w:val="TableParagraph"/>
              <w:spacing w:before="14"/>
              <w:ind w:left="127" w:right="119" w:firstLine="88"/>
              <w:jc w:val="both"/>
              <w:rPr>
                <w:b/>
                <w:sz w:val="18"/>
              </w:rPr>
            </w:pPr>
            <w:r>
              <w:rPr>
                <w:b/>
                <w:sz w:val="18"/>
              </w:rPr>
              <w:t>Energy Charge (Rs./kWh</w:t>
            </w:r>
          </w:p>
          <w:p w:rsidR="007C5447" w:rsidRDefault="00F6308C">
            <w:pPr>
              <w:pStyle w:val="TableParagraph"/>
              <w:spacing w:before="1" w:line="203" w:lineRule="exact"/>
              <w:ind w:left="9"/>
              <w:jc w:val="center"/>
              <w:rPr>
                <w:b/>
                <w:sz w:val="18"/>
              </w:rPr>
            </w:pPr>
            <w:r>
              <w:rPr>
                <w:b/>
                <w:w w:val="99"/>
                <w:sz w:val="18"/>
              </w:rPr>
              <w:t>)</w:t>
            </w:r>
          </w:p>
        </w:tc>
        <w:tc>
          <w:tcPr>
            <w:tcW w:w="1132" w:type="dxa"/>
            <w:tcBorders>
              <w:right w:val="single" w:sz="6" w:space="0" w:color="000000"/>
            </w:tcBorders>
            <w:shd w:val="clear" w:color="auto" w:fill="F7C9AC"/>
          </w:tcPr>
          <w:p w:rsidR="007C5447" w:rsidRDefault="00F6308C">
            <w:pPr>
              <w:pStyle w:val="TableParagraph"/>
              <w:spacing w:before="119"/>
              <w:ind w:left="234" w:right="219" w:firstLine="52"/>
              <w:jc w:val="both"/>
              <w:rPr>
                <w:b/>
                <w:sz w:val="18"/>
              </w:rPr>
            </w:pPr>
            <w:r>
              <w:rPr>
                <w:b/>
                <w:sz w:val="18"/>
              </w:rPr>
              <w:t>Energy Charge (Rs. Cr.)</w:t>
            </w:r>
          </w:p>
        </w:tc>
        <w:tc>
          <w:tcPr>
            <w:tcW w:w="1135" w:type="dxa"/>
            <w:tcBorders>
              <w:left w:val="single" w:sz="6" w:space="0" w:color="000000"/>
            </w:tcBorders>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168" w:right="132" w:hanging="3"/>
              <w:jc w:val="left"/>
              <w:rPr>
                <w:b/>
                <w:sz w:val="18"/>
              </w:rPr>
            </w:pPr>
            <w:r>
              <w:rPr>
                <w:b/>
                <w:sz w:val="18"/>
              </w:rPr>
              <w:t>Total Cost (Rs./kWh)</w:t>
            </w:r>
          </w:p>
        </w:tc>
        <w:tc>
          <w:tcPr>
            <w:tcW w:w="1077"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209" w:right="103" w:hanging="70"/>
              <w:jc w:val="left"/>
              <w:rPr>
                <w:b/>
                <w:sz w:val="18"/>
              </w:rPr>
            </w:pPr>
            <w:r>
              <w:rPr>
                <w:b/>
                <w:sz w:val="18"/>
              </w:rPr>
              <w:t>Total Cost (Rs. Cr.)</w:t>
            </w:r>
          </w:p>
        </w:tc>
      </w:tr>
      <w:tr w:rsidR="007C5447">
        <w:trPr>
          <w:trHeight w:val="328"/>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59"/>
              <w:ind w:left="108"/>
              <w:jc w:val="left"/>
              <w:rPr>
                <w:b/>
                <w:sz w:val="18"/>
              </w:rPr>
            </w:pPr>
            <w:r>
              <w:rPr>
                <w:b/>
                <w:sz w:val="18"/>
              </w:rPr>
              <w:t>LTOA</w:t>
            </w:r>
          </w:p>
        </w:tc>
        <w:tc>
          <w:tcPr>
            <w:tcW w:w="1135"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993" w:type="dxa"/>
          </w:tcPr>
          <w:p w:rsidR="007C5447" w:rsidRDefault="007C5447">
            <w:pPr>
              <w:pStyle w:val="TableParagraph"/>
              <w:jc w:val="left"/>
              <w:rPr>
                <w:sz w:val="18"/>
              </w:rPr>
            </w:pPr>
          </w:p>
        </w:tc>
        <w:tc>
          <w:tcPr>
            <w:tcW w:w="1132" w:type="dxa"/>
            <w:tcBorders>
              <w:right w:val="single" w:sz="6" w:space="0" w:color="000000"/>
            </w:tcBorders>
          </w:tcPr>
          <w:p w:rsidR="007C5447" w:rsidRDefault="007C5447">
            <w:pPr>
              <w:pStyle w:val="TableParagraph"/>
              <w:jc w:val="left"/>
              <w:rPr>
                <w:sz w:val="18"/>
              </w:rPr>
            </w:pPr>
          </w:p>
        </w:tc>
        <w:tc>
          <w:tcPr>
            <w:tcW w:w="1135" w:type="dxa"/>
            <w:tcBorders>
              <w:left w:val="single" w:sz="6" w:space="0" w:color="000000"/>
            </w:tcBorders>
          </w:tcPr>
          <w:p w:rsidR="007C5447" w:rsidRDefault="007C5447">
            <w:pPr>
              <w:pStyle w:val="TableParagraph"/>
              <w:jc w:val="left"/>
              <w:rPr>
                <w:sz w:val="18"/>
              </w:rPr>
            </w:pPr>
          </w:p>
        </w:tc>
        <w:tc>
          <w:tcPr>
            <w:tcW w:w="1077" w:type="dxa"/>
          </w:tcPr>
          <w:p w:rsidR="007C5447" w:rsidRDefault="007C5447">
            <w:pPr>
              <w:pStyle w:val="TableParagraph"/>
              <w:jc w:val="left"/>
              <w:rPr>
                <w:sz w:val="18"/>
              </w:rPr>
            </w:pP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M/s. D.B.Power Ltd.</w:t>
            </w:r>
          </w:p>
        </w:tc>
        <w:tc>
          <w:tcPr>
            <w:tcW w:w="1135" w:type="dxa"/>
          </w:tcPr>
          <w:p w:rsidR="007C5447" w:rsidRDefault="00F6308C">
            <w:pPr>
              <w:pStyle w:val="TableParagraph"/>
              <w:spacing w:before="36"/>
              <w:ind w:right="97"/>
              <w:rPr>
                <w:sz w:val="20"/>
              </w:rPr>
            </w:pPr>
            <w:r>
              <w:rPr>
                <w:w w:val="95"/>
                <w:sz w:val="20"/>
              </w:rPr>
              <w:t>1,489.60</w:t>
            </w:r>
          </w:p>
        </w:tc>
        <w:tc>
          <w:tcPr>
            <w:tcW w:w="1133" w:type="dxa"/>
          </w:tcPr>
          <w:p w:rsidR="007C5447" w:rsidRDefault="00F6308C">
            <w:pPr>
              <w:pStyle w:val="TableParagraph"/>
              <w:spacing w:before="36"/>
              <w:ind w:right="97"/>
              <w:rPr>
                <w:sz w:val="20"/>
              </w:rPr>
            </w:pPr>
            <w:r>
              <w:rPr>
                <w:w w:val="95"/>
                <w:sz w:val="20"/>
              </w:rPr>
              <w:t>422.03</w:t>
            </w:r>
          </w:p>
        </w:tc>
        <w:tc>
          <w:tcPr>
            <w:tcW w:w="993" w:type="dxa"/>
          </w:tcPr>
          <w:p w:rsidR="007C5447" w:rsidRDefault="00F6308C">
            <w:pPr>
              <w:pStyle w:val="TableParagraph"/>
              <w:spacing w:before="36"/>
              <w:ind w:right="98"/>
              <w:rPr>
                <w:sz w:val="20"/>
              </w:rPr>
            </w:pPr>
            <w:r>
              <w:rPr>
                <w:sz w:val="20"/>
              </w:rPr>
              <w:t>1.34</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199.61</w:t>
            </w:r>
          </w:p>
        </w:tc>
        <w:tc>
          <w:tcPr>
            <w:tcW w:w="1135" w:type="dxa"/>
            <w:tcBorders>
              <w:left w:val="single" w:sz="6" w:space="0" w:color="000000"/>
            </w:tcBorders>
          </w:tcPr>
          <w:p w:rsidR="007C5447" w:rsidRDefault="00F6308C">
            <w:pPr>
              <w:pStyle w:val="TableParagraph"/>
              <w:spacing w:before="36"/>
              <w:ind w:right="97"/>
              <w:rPr>
                <w:sz w:val="20"/>
              </w:rPr>
            </w:pPr>
            <w:r>
              <w:rPr>
                <w:sz w:val="20"/>
              </w:rPr>
              <w:t>4.17</w:t>
            </w:r>
          </w:p>
        </w:tc>
        <w:tc>
          <w:tcPr>
            <w:tcW w:w="1077" w:type="dxa"/>
          </w:tcPr>
          <w:p w:rsidR="007C5447" w:rsidRDefault="00F6308C">
            <w:pPr>
              <w:pStyle w:val="TableParagraph"/>
              <w:spacing w:before="36"/>
              <w:ind w:right="93"/>
              <w:rPr>
                <w:sz w:val="20"/>
              </w:rPr>
            </w:pPr>
            <w:r>
              <w:rPr>
                <w:w w:val="95"/>
                <w:sz w:val="20"/>
              </w:rPr>
              <w:t>621.64</w:t>
            </w:r>
          </w:p>
        </w:tc>
      </w:tr>
      <w:tr w:rsidR="007C5447">
        <w:trPr>
          <w:trHeight w:val="302"/>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M/s. Jindal Power Ltd.</w:t>
            </w:r>
          </w:p>
        </w:tc>
        <w:tc>
          <w:tcPr>
            <w:tcW w:w="1135" w:type="dxa"/>
          </w:tcPr>
          <w:p w:rsidR="007C5447" w:rsidRDefault="00F6308C">
            <w:pPr>
              <w:pStyle w:val="TableParagraph"/>
              <w:spacing w:before="36"/>
              <w:ind w:right="97"/>
              <w:rPr>
                <w:sz w:val="20"/>
              </w:rPr>
            </w:pPr>
            <w:r>
              <w:rPr>
                <w:w w:val="95"/>
                <w:sz w:val="20"/>
              </w:rPr>
              <w:t>2,864.62</w:t>
            </w:r>
          </w:p>
        </w:tc>
        <w:tc>
          <w:tcPr>
            <w:tcW w:w="1133" w:type="dxa"/>
          </w:tcPr>
          <w:p w:rsidR="007C5447" w:rsidRDefault="00F6308C">
            <w:pPr>
              <w:pStyle w:val="TableParagraph"/>
              <w:spacing w:before="36"/>
              <w:ind w:right="97"/>
              <w:rPr>
                <w:sz w:val="20"/>
              </w:rPr>
            </w:pPr>
            <w:r>
              <w:rPr>
                <w:w w:val="95"/>
                <w:sz w:val="20"/>
              </w:rPr>
              <w:t>847.50</w:t>
            </w:r>
          </w:p>
        </w:tc>
        <w:tc>
          <w:tcPr>
            <w:tcW w:w="993" w:type="dxa"/>
          </w:tcPr>
          <w:p w:rsidR="007C5447" w:rsidRDefault="00F6308C">
            <w:pPr>
              <w:pStyle w:val="TableParagraph"/>
              <w:spacing w:before="36"/>
              <w:ind w:right="98"/>
              <w:rPr>
                <w:sz w:val="20"/>
              </w:rPr>
            </w:pPr>
            <w:r>
              <w:rPr>
                <w:sz w:val="20"/>
              </w:rPr>
              <w:t>1.37</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392.45</w:t>
            </w:r>
          </w:p>
        </w:tc>
        <w:tc>
          <w:tcPr>
            <w:tcW w:w="1135" w:type="dxa"/>
            <w:tcBorders>
              <w:left w:val="single" w:sz="6" w:space="0" w:color="000000"/>
            </w:tcBorders>
          </w:tcPr>
          <w:p w:rsidR="007C5447" w:rsidRDefault="00F6308C">
            <w:pPr>
              <w:pStyle w:val="TableParagraph"/>
              <w:spacing w:before="36"/>
              <w:ind w:right="97"/>
              <w:rPr>
                <w:sz w:val="20"/>
              </w:rPr>
            </w:pPr>
            <w:r>
              <w:rPr>
                <w:sz w:val="20"/>
              </w:rPr>
              <w:t>4.33</w:t>
            </w:r>
          </w:p>
        </w:tc>
        <w:tc>
          <w:tcPr>
            <w:tcW w:w="1077" w:type="dxa"/>
          </w:tcPr>
          <w:p w:rsidR="007C5447" w:rsidRDefault="00F6308C">
            <w:pPr>
              <w:pStyle w:val="TableParagraph"/>
              <w:spacing w:before="36"/>
              <w:ind w:right="92"/>
              <w:rPr>
                <w:sz w:val="20"/>
              </w:rPr>
            </w:pPr>
            <w:r>
              <w:rPr>
                <w:w w:val="95"/>
                <w:sz w:val="20"/>
              </w:rPr>
              <w:t>1,239.96</w:t>
            </w:r>
          </w:p>
        </w:tc>
      </w:tr>
      <w:tr w:rsidR="007C5447">
        <w:trPr>
          <w:trHeight w:val="443"/>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17" w:line="206" w:lineRule="exact"/>
              <w:ind w:left="108"/>
              <w:jc w:val="left"/>
              <w:rPr>
                <w:sz w:val="18"/>
              </w:rPr>
            </w:pPr>
            <w:r>
              <w:rPr>
                <w:sz w:val="18"/>
              </w:rPr>
              <w:t>M/s. Ind Bharath Energy (Utkal) Ltd.</w:t>
            </w:r>
          </w:p>
        </w:tc>
        <w:tc>
          <w:tcPr>
            <w:tcW w:w="1135" w:type="dxa"/>
          </w:tcPr>
          <w:p w:rsidR="007C5447" w:rsidRDefault="00F6308C">
            <w:pPr>
              <w:pStyle w:val="TableParagraph"/>
              <w:spacing w:before="106"/>
              <w:ind w:right="97"/>
              <w:rPr>
                <w:sz w:val="20"/>
              </w:rPr>
            </w:pPr>
            <w:r>
              <w:rPr>
                <w:w w:val="95"/>
                <w:sz w:val="20"/>
              </w:rPr>
              <w:t>3,580.78</w:t>
            </w:r>
          </w:p>
        </w:tc>
        <w:tc>
          <w:tcPr>
            <w:tcW w:w="1133" w:type="dxa"/>
          </w:tcPr>
          <w:p w:rsidR="007C5447" w:rsidRDefault="00F6308C">
            <w:pPr>
              <w:pStyle w:val="TableParagraph"/>
              <w:spacing w:before="106"/>
              <w:ind w:right="97"/>
              <w:rPr>
                <w:sz w:val="20"/>
              </w:rPr>
            </w:pPr>
            <w:r>
              <w:rPr>
                <w:w w:val="95"/>
                <w:sz w:val="20"/>
              </w:rPr>
              <w:t>387.27</w:t>
            </w:r>
          </w:p>
        </w:tc>
        <w:tc>
          <w:tcPr>
            <w:tcW w:w="993" w:type="dxa"/>
          </w:tcPr>
          <w:p w:rsidR="007C5447" w:rsidRDefault="00F6308C">
            <w:pPr>
              <w:pStyle w:val="TableParagraph"/>
              <w:spacing w:before="106"/>
              <w:ind w:right="98"/>
              <w:rPr>
                <w:sz w:val="20"/>
              </w:rPr>
            </w:pPr>
            <w:r>
              <w:rPr>
                <w:sz w:val="20"/>
              </w:rPr>
              <w:t>0.80</w:t>
            </w:r>
          </w:p>
        </w:tc>
        <w:tc>
          <w:tcPr>
            <w:tcW w:w="1132" w:type="dxa"/>
            <w:tcBorders>
              <w:right w:val="single" w:sz="6" w:space="0" w:color="000000"/>
            </w:tcBorders>
          </w:tcPr>
          <w:p w:rsidR="007C5447" w:rsidRDefault="00F6308C">
            <w:pPr>
              <w:pStyle w:val="TableParagraph"/>
              <w:spacing w:before="106"/>
              <w:ind w:right="93"/>
              <w:rPr>
                <w:sz w:val="20"/>
              </w:rPr>
            </w:pPr>
            <w:r>
              <w:rPr>
                <w:w w:val="95"/>
                <w:sz w:val="20"/>
              </w:rPr>
              <w:t>286.46</w:t>
            </w:r>
          </w:p>
        </w:tc>
        <w:tc>
          <w:tcPr>
            <w:tcW w:w="1135" w:type="dxa"/>
            <w:tcBorders>
              <w:left w:val="single" w:sz="6" w:space="0" w:color="000000"/>
            </w:tcBorders>
          </w:tcPr>
          <w:p w:rsidR="007C5447" w:rsidRDefault="00F6308C">
            <w:pPr>
              <w:pStyle w:val="TableParagraph"/>
              <w:spacing w:before="106"/>
              <w:ind w:right="97"/>
              <w:rPr>
                <w:sz w:val="20"/>
              </w:rPr>
            </w:pPr>
            <w:r>
              <w:rPr>
                <w:sz w:val="20"/>
              </w:rPr>
              <w:t>1.88</w:t>
            </w:r>
          </w:p>
        </w:tc>
        <w:tc>
          <w:tcPr>
            <w:tcW w:w="1077" w:type="dxa"/>
          </w:tcPr>
          <w:p w:rsidR="007C5447" w:rsidRDefault="00F6308C">
            <w:pPr>
              <w:pStyle w:val="TableParagraph"/>
              <w:spacing w:before="106"/>
              <w:ind w:right="94"/>
              <w:rPr>
                <w:sz w:val="20"/>
              </w:rPr>
            </w:pPr>
            <w:r>
              <w:rPr>
                <w:w w:val="95"/>
                <w:sz w:val="20"/>
              </w:rPr>
              <w:t>673.74</w:t>
            </w:r>
          </w:p>
        </w:tc>
      </w:tr>
      <w:tr w:rsidR="007C5447">
        <w:trPr>
          <w:trHeight w:val="443"/>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17" w:line="206" w:lineRule="exact"/>
              <w:ind w:left="108" w:right="85"/>
              <w:jc w:val="left"/>
              <w:rPr>
                <w:sz w:val="18"/>
              </w:rPr>
            </w:pPr>
            <w:r>
              <w:rPr>
                <w:sz w:val="18"/>
              </w:rPr>
              <w:t>M/s. Bharat Aluminium Company Ltd.</w:t>
            </w:r>
          </w:p>
        </w:tc>
        <w:tc>
          <w:tcPr>
            <w:tcW w:w="1135" w:type="dxa"/>
          </w:tcPr>
          <w:p w:rsidR="007C5447" w:rsidRDefault="00F6308C">
            <w:pPr>
              <w:pStyle w:val="TableParagraph"/>
              <w:spacing w:before="106"/>
              <w:ind w:right="97"/>
              <w:rPr>
                <w:sz w:val="20"/>
              </w:rPr>
            </w:pPr>
            <w:r>
              <w:rPr>
                <w:w w:val="95"/>
                <w:sz w:val="20"/>
              </w:rPr>
              <w:t>1,432.31</w:t>
            </w:r>
          </w:p>
        </w:tc>
        <w:tc>
          <w:tcPr>
            <w:tcW w:w="1133" w:type="dxa"/>
          </w:tcPr>
          <w:p w:rsidR="007C5447" w:rsidRDefault="00F6308C">
            <w:pPr>
              <w:pStyle w:val="TableParagraph"/>
              <w:spacing w:before="106"/>
              <w:ind w:right="97"/>
              <w:rPr>
                <w:sz w:val="20"/>
              </w:rPr>
            </w:pPr>
            <w:r>
              <w:rPr>
                <w:w w:val="95"/>
                <w:sz w:val="20"/>
              </w:rPr>
              <w:t>225.05</w:t>
            </w:r>
          </w:p>
        </w:tc>
        <w:tc>
          <w:tcPr>
            <w:tcW w:w="993" w:type="dxa"/>
          </w:tcPr>
          <w:p w:rsidR="007C5447" w:rsidRDefault="00F6308C">
            <w:pPr>
              <w:pStyle w:val="TableParagraph"/>
              <w:spacing w:before="106"/>
              <w:ind w:right="98"/>
              <w:rPr>
                <w:sz w:val="20"/>
              </w:rPr>
            </w:pPr>
            <w:r>
              <w:rPr>
                <w:sz w:val="20"/>
              </w:rPr>
              <w:t>1.83</w:t>
            </w:r>
          </w:p>
        </w:tc>
        <w:tc>
          <w:tcPr>
            <w:tcW w:w="1132" w:type="dxa"/>
            <w:tcBorders>
              <w:right w:val="single" w:sz="6" w:space="0" w:color="000000"/>
            </w:tcBorders>
          </w:tcPr>
          <w:p w:rsidR="007C5447" w:rsidRDefault="00F6308C">
            <w:pPr>
              <w:pStyle w:val="TableParagraph"/>
              <w:spacing w:before="106"/>
              <w:ind w:right="93"/>
              <w:rPr>
                <w:sz w:val="20"/>
              </w:rPr>
            </w:pPr>
            <w:r>
              <w:rPr>
                <w:w w:val="95"/>
                <w:sz w:val="20"/>
              </w:rPr>
              <w:t>262.11</w:t>
            </w:r>
          </w:p>
        </w:tc>
        <w:tc>
          <w:tcPr>
            <w:tcW w:w="1135" w:type="dxa"/>
            <w:tcBorders>
              <w:left w:val="single" w:sz="6" w:space="0" w:color="000000"/>
            </w:tcBorders>
          </w:tcPr>
          <w:p w:rsidR="007C5447" w:rsidRDefault="00F6308C">
            <w:pPr>
              <w:pStyle w:val="TableParagraph"/>
              <w:spacing w:before="106"/>
              <w:ind w:right="97"/>
              <w:rPr>
                <w:sz w:val="20"/>
              </w:rPr>
            </w:pPr>
            <w:r>
              <w:rPr>
                <w:sz w:val="20"/>
              </w:rPr>
              <w:t>3.40</w:t>
            </w:r>
          </w:p>
        </w:tc>
        <w:tc>
          <w:tcPr>
            <w:tcW w:w="1077" w:type="dxa"/>
          </w:tcPr>
          <w:p w:rsidR="007C5447" w:rsidRDefault="00F6308C">
            <w:pPr>
              <w:pStyle w:val="TableParagraph"/>
              <w:spacing w:before="106"/>
              <w:ind w:right="94"/>
              <w:rPr>
                <w:sz w:val="20"/>
              </w:rPr>
            </w:pPr>
            <w:r>
              <w:rPr>
                <w:w w:val="95"/>
                <w:sz w:val="20"/>
              </w:rPr>
              <w:t>487.16</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5"/>
              <w:ind w:left="108"/>
              <w:jc w:val="left"/>
              <w:rPr>
                <w:sz w:val="18"/>
              </w:rPr>
            </w:pPr>
            <w:r>
              <w:rPr>
                <w:sz w:val="18"/>
              </w:rPr>
              <w:t>M/s. Dhariwal Infrastructure Ltd</w:t>
            </w:r>
          </w:p>
        </w:tc>
        <w:tc>
          <w:tcPr>
            <w:tcW w:w="1135" w:type="dxa"/>
          </w:tcPr>
          <w:p w:rsidR="007C5447" w:rsidRDefault="00F6308C">
            <w:pPr>
              <w:pStyle w:val="TableParagraph"/>
              <w:spacing w:before="36"/>
              <w:ind w:right="99"/>
              <w:rPr>
                <w:sz w:val="20"/>
              </w:rPr>
            </w:pPr>
            <w:r>
              <w:rPr>
                <w:w w:val="95"/>
                <w:sz w:val="20"/>
              </w:rPr>
              <w:t>716.16</w:t>
            </w:r>
          </w:p>
        </w:tc>
        <w:tc>
          <w:tcPr>
            <w:tcW w:w="1133" w:type="dxa"/>
          </w:tcPr>
          <w:p w:rsidR="007C5447" w:rsidRDefault="00F6308C">
            <w:pPr>
              <w:pStyle w:val="TableParagraph"/>
              <w:spacing w:before="36"/>
              <w:ind w:right="97"/>
              <w:rPr>
                <w:sz w:val="20"/>
              </w:rPr>
            </w:pPr>
            <w:r>
              <w:rPr>
                <w:w w:val="95"/>
                <w:sz w:val="20"/>
              </w:rPr>
              <w:t>143.15</w:t>
            </w:r>
          </w:p>
        </w:tc>
        <w:tc>
          <w:tcPr>
            <w:tcW w:w="993" w:type="dxa"/>
          </w:tcPr>
          <w:p w:rsidR="007C5447" w:rsidRDefault="00F6308C">
            <w:pPr>
              <w:pStyle w:val="TableParagraph"/>
              <w:spacing w:before="36"/>
              <w:ind w:right="98"/>
              <w:rPr>
                <w:sz w:val="20"/>
              </w:rPr>
            </w:pPr>
            <w:r>
              <w:rPr>
                <w:sz w:val="20"/>
              </w:rPr>
              <w:t>1.88</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134.64</w:t>
            </w:r>
          </w:p>
        </w:tc>
        <w:tc>
          <w:tcPr>
            <w:tcW w:w="1135" w:type="dxa"/>
            <w:tcBorders>
              <w:left w:val="single" w:sz="6" w:space="0" w:color="000000"/>
            </w:tcBorders>
          </w:tcPr>
          <w:p w:rsidR="007C5447" w:rsidRDefault="00F6308C">
            <w:pPr>
              <w:pStyle w:val="TableParagraph"/>
              <w:spacing w:before="36"/>
              <w:ind w:right="97"/>
              <w:rPr>
                <w:sz w:val="20"/>
              </w:rPr>
            </w:pPr>
            <w:r>
              <w:rPr>
                <w:sz w:val="20"/>
              </w:rPr>
              <w:t>3.88</w:t>
            </w:r>
          </w:p>
        </w:tc>
        <w:tc>
          <w:tcPr>
            <w:tcW w:w="1077" w:type="dxa"/>
          </w:tcPr>
          <w:p w:rsidR="007C5447" w:rsidRDefault="00F6308C">
            <w:pPr>
              <w:pStyle w:val="TableParagraph"/>
              <w:spacing w:before="36"/>
              <w:ind w:right="94"/>
              <w:rPr>
                <w:sz w:val="20"/>
              </w:rPr>
            </w:pPr>
            <w:r>
              <w:rPr>
                <w:w w:val="95"/>
                <w:sz w:val="20"/>
              </w:rPr>
              <w:t>277.79</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M/s. PTC India Ltd.</w:t>
            </w:r>
          </w:p>
        </w:tc>
        <w:tc>
          <w:tcPr>
            <w:tcW w:w="1135" w:type="dxa"/>
          </w:tcPr>
          <w:p w:rsidR="007C5447" w:rsidRDefault="00F6308C">
            <w:pPr>
              <w:pStyle w:val="TableParagraph"/>
              <w:spacing w:before="36"/>
              <w:ind w:right="99"/>
              <w:rPr>
                <w:sz w:val="20"/>
              </w:rPr>
            </w:pPr>
            <w:r>
              <w:rPr>
                <w:w w:val="95"/>
                <w:sz w:val="20"/>
              </w:rPr>
              <w:t>716.16</w:t>
            </w:r>
          </w:p>
        </w:tc>
        <w:tc>
          <w:tcPr>
            <w:tcW w:w="1133" w:type="dxa"/>
          </w:tcPr>
          <w:p w:rsidR="007C5447" w:rsidRDefault="00F6308C">
            <w:pPr>
              <w:pStyle w:val="TableParagraph"/>
              <w:spacing w:before="36"/>
              <w:ind w:right="97"/>
              <w:rPr>
                <w:sz w:val="20"/>
              </w:rPr>
            </w:pPr>
            <w:r>
              <w:rPr>
                <w:w w:val="95"/>
                <w:sz w:val="20"/>
              </w:rPr>
              <w:t>230.20</w:t>
            </w:r>
          </w:p>
        </w:tc>
        <w:tc>
          <w:tcPr>
            <w:tcW w:w="993" w:type="dxa"/>
          </w:tcPr>
          <w:p w:rsidR="007C5447" w:rsidRDefault="00F6308C">
            <w:pPr>
              <w:pStyle w:val="TableParagraph"/>
              <w:spacing w:before="36"/>
              <w:ind w:right="98"/>
              <w:rPr>
                <w:sz w:val="20"/>
              </w:rPr>
            </w:pPr>
            <w:r>
              <w:rPr>
                <w:sz w:val="20"/>
              </w:rPr>
              <w:t>1.04</w:t>
            </w:r>
          </w:p>
        </w:tc>
        <w:tc>
          <w:tcPr>
            <w:tcW w:w="1132" w:type="dxa"/>
            <w:tcBorders>
              <w:right w:val="single" w:sz="6" w:space="0" w:color="000000"/>
            </w:tcBorders>
          </w:tcPr>
          <w:p w:rsidR="007C5447" w:rsidRDefault="00F6308C">
            <w:pPr>
              <w:pStyle w:val="TableParagraph"/>
              <w:spacing w:before="36"/>
              <w:ind w:right="93"/>
              <w:rPr>
                <w:sz w:val="20"/>
              </w:rPr>
            </w:pPr>
            <w:r>
              <w:rPr>
                <w:w w:val="95"/>
                <w:sz w:val="20"/>
              </w:rPr>
              <w:t>74.48</w:t>
            </w:r>
          </w:p>
        </w:tc>
        <w:tc>
          <w:tcPr>
            <w:tcW w:w="1135" w:type="dxa"/>
            <w:tcBorders>
              <w:left w:val="single" w:sz="6" w:space="0" w:color="000000"/>
            </w:tcBorders>
          </w:tcPr>
          <w:p w:rsidR="007C5447" w:rsidRDefault="00F6308C">
            <w:pPr>
              <w:pStyle w:val="TableParagraph"/>
              <w:spacing w:before="36"/>
              <w:ind w:right="97"/>
              <w:rPr>
                <w:sz w:val="20"/>
              </w:rPr>
            </w:pPr>
            <w:r>
              <w:rPr>
                <w:sz w:val="20"/>
              </w:rPr>
              <w:t>4.25</w:t>
            </w:r>
          </w:p>
        </w:tc>
        <w:tc>
          <w:tcPr>
            <w:tcW w:w="1077" w:type="dxa"/>
          </w:tcPr>
          <w:p w:rsidR="007C5447" w:rsidRDefault="00F6308C">
            <w:pPr>
              <w:pStyle w:val="TableParagraph"/>
              <w:spacing w:before="36"/>
              <w:ind w:right="94"/>
              <w:rPr>
                <w:sz w:val="20"/>
              </w:rPr>
            </w:pPr>
            <w:r>
              <w:rPr>
                <w:w w:val="95"/>
                <w:sz w:val="20"/>
              </w:rPr>
              <w:t>304.68</w:t>
            </w:r>
          </w:p>
        </w:tc>
      </w:tr>
      <w:tr w:rsidR="007C5447">
        <w:trPr>
          <w:trHeight w:val="443"/>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20" w:line="206" w:lineRule="exact"/>
              <w:ind w:left="108" w:right="555"/>
              <w:jc w:val="left"/>
              <w:rPr>
                <w:sz w:val="18"/>
              </w:rPr>
            </w:pPr>
            <w:r>
              <w:rPr>
                <w:sz w:val="18"/>
              </w:rPr>
              <w:t>M/s. KSK Mahanadi Power Company Ltd.</w:t>
            </w:r>
          </w:p>
        </w:tc>
        <w:tc>
          <w:tcPr>
            <w:tcW w:w="1135" w:type="dxa"/>
          </w:tcPr>
          <w:p w:rsidR="007C5447" w:rsidRDefault="00F6308C">
            <w:pPr>
              <w:pStyle w:val="TableParagraph"/>
              <w:spacing w:before="108"/>
              <w:ind w:right="97"/>
              <w:rPr>
                <w:sz w:val="20"/>
              </w:rPr>
            </w:pPr>
            <w:r>
              <w:rPr>
                <w:w w:val="95"/>
                <w:sz w:val="20"/>
              </w:rPr>
              <w:t>3,580.78</w:t>
            </w:r>
          </w:p>
        </w:tc>
        <w:tc>
          <w:tcPr>
            <w:tcW w:w="1133" w:type="dxa"/>
          </w:tcPr>
          <w:p w:rsidR="007C5447" w:rsidRDefault="00F6308C">
            <w:pPr>
              <w:pStyle w:val="TableParagraph"/>
              <w:spacing w:before="108"/>
              <w:ind w:right="97"/>
              <w:rPr>
                <w:sz w:val="20"/>
              </w:rPr>
            </w:pPr>
            <w:r>
              <w:rPr>
                <w:w w:val="95"/>
                <w:sz w:val="20"/>
              </w:rPr>
              <w:t>663.61</w:t>
            </w:r>
          </w:p>
        </w:tc>
        <w:tc>
          <w:tcPr>
            <w:tcW w:w="993" w:type="dxa"/>
          </w:tcPr>
          <w:p w:rsidR="007C5447" w:rsidRDefault="00F6308C">
            <w:pPr>
              <w:pStyle w:val="TableParagraph"/>
              <w:spacing w:before="108"/>
              <w:ind w:right="98"/>
              <w:rPr>
                <w:sz w:val="20"/>
              </w:rPr>
            </w:pPr>
            <w:r>
              <w:rPr>
                <w:sz w:val="20"/>
              </w:rPr>
              <w:t>2.06</w:t>
            </w:r>
          </w:p>
        </w:tc>
        <w:tc>
          <w:tcPr>
            <w:tcW w:w="1132" w:type="dxa"/>
            <w:tcBorders>
              <w:right w:val="single" w:sz="6" w:space="0" w:color="000000"/>
            </w:tcBorders>
          </w:tcPr>
          <w:p w:rsidR="007C5447" w:rsidRDefault="00F6308C">
            <w:pPr>
              <w:pStyle w:val="TableParagraph"/>
              <w:spacing w:before="108"/>
              <w:ind w:right="93"/>
              <w:rPr>
                <w:sz w:val="20"/>
              </w:rPr>
            </w:pPr>
            <w:r>
              <w:rPr>
                <w:w w:val="95"/>
                <w:sz w:val="20"/>
              </w:rPr>
              <w:t>737.64</w:t>
            </w:r>
          </w:p>
        </w:tc>
        <w:tc>
          <w:tcPr>
            <w:tcW w:w="1135" w:type="dxa"/>
            <w:tcBorders>
              <w:left w:val="single" w:sz="6" w:space="0" w:color="000000"/>
            </w:tcBorders>
          </w:tcPr>
          <w:p w:rsidR="007C5447" w:rsidRDefault="00F6308C">
            <w:pPr>
              <w:pStyle w:val="TableParagraph"/>
              <w:spacing w:before="108"/>
              <w:ind w:right="97"/>
              <w:rPr>
                <w:sz w:val="20"/>
              </w:rPr>
            </w:pPr>
            <w:r>
              <w:rPr>
                <w:sz w:val="20"/>
              </w:rPr>
              <w:t>3.91</w:t>
            </w:r>
          </w:p>
        </w:tc>
        <w:tc>
          <w:tcPr>
            <w:tcW w:w="1077" w:type="dxa"/>
          </w:tcPr>
          <w:p w:rsidR="007C5447" w:rsidRDefault="00F6308C">
            <w:pPr>
              <w:pStyle w:val="TableParagraph"/>
              <w:spacing w:before="108"/>
              <w:ind w:right="92"/>
              <w:rPr>
                <w:sz w:val="20"/>
              </w:rPr>
            </w:pPr>
            <w:r>
              <w:rPr>
                <w:w w:val="95"/>
                <w:sz w:val="20"/>
              </w:rPr>
              <w:t>1,401.25</w:t>
            </w:r>
          </w:p>
        </w:tc>
      </w:tr>
      <w:tr w:rsidR="007C5447">
        <w:trPr>
          <w:trHeight w:val="302"/>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8"/>
              <w:ind w:left="108"/>
              <w:jc w:val="left"/>
              <w:rPr>
                <w:sz w:val="18"/>
              </w:rPr>
            </w:pPr>
            <w:r>
              <w:rPr>
                <w:sz w:val="18"/>
              </w:rPr>
              <w:t>M/s. G.M.R. Energy Trading Ltd.</w:t>
            </w:r>
          </w:p>
        </w:tc>
        <w:tc>
          <w:tcPr>
            <w:tcW w:w="1135" w:type="dxa"/>
          </w:tcPr>
          <w:p w:rsidR="007C5447" w:rsidRDefault="00F6308C">
            <w:pPr>
              <w:pStyle w:val="TableParagraph"/>
              <w:spacing w:before="37"/>
              <w:ind w:right="97"/>
              <w:rPr>
                <w:sz w:val="20"/>
              </w:rPr>
            </w:pPr>
            <w:r>
              <w:rPr>
                <w:w w:val="95"/>
                <w:sz w:val="20"/>
              </w:rPr>
              <w:t>1,074.23</w:t>
            </w:r>
          </w:p>
        </w:tc>
        <w:tc>
          <w:tcPr>
            <w:tcW w:w="1133" w:type="dxa"/>
          </w:tcPr>
          <w:p w:rsidR="007C5447" w:rsidRDefault="00F6308C">
            <w:pPr>
              <w:pStyle w:val="TableParagraph"/>
              <w:spacing w:before="37"/>
              <w:ind w:right="97"/>
              <w:rPr>
                <w:sz w:val="20"/>
              </w:rPr>
            </w:pPr>
            <w:r>
              <w:rPr>
                <w:w w:val="95"/>
                <w:sz w:val="20"/>
              </w:rPr>
              <w:t>305.07</w:t>
            </w:r>
          </w:p>
        </w:tc>
        <w:tc>
          <w:tcPr>
            <w:tcW w:w="993" w:type="dxa"/>
          </w:tcPr>
          <w:p w:rsidR="007C5447" w:rsidRDefault="00F6308C">
            <w:pPr>
              <w:pStyle w:val="TableParagraph"/>
              <w:spacing w:before="37"/>
              <w:ind w:right="98"/>
              <w:rPr>
                <w:sz w:val="20"/>
              </w:rPr>
            </w:pPr>
            <w:r>
              <w:rPr>
                <w:sz w:val="20"/>
              </w:rPr>
              <w:t>1.52</w:t>
            </w:r>
          </w:p>
        </w:tc>
        <w:tc>
          <w:tcPr>
            <w:tcW w:w="1132" w:type="dxa"/>
            <w:tcBorders>
              <w:right w:val="single" w:sz="6" w:space="0" w:color="000000"/>
            </w:tcBorders>
          </w:tcPr>
          <w:p w:rsidR="007C5447" w:rsidRDefault="00F6308C">
            <w:pPr>
              <w:pStyle w:val="TableParagraph"/>
              <w:spacing w:before="37"/>
              <w:ind w:right="93"/>
              <w:rPr>
                <w:sz w:val="20"/>
              </w:rPr>
            </w:pPr>
            <w:r>
              <w:rPr>
                <w:w w:val="95"/>
                <w:sz w:val="20"/>
              </w:rPr>
              <w:t>163.28</w:t>
            </w:r>
          </w:p>
        </w:tc>
        <w:tc>
          <w:tcPr>
            <w:tcW w:w="1135" w:type="dxa"/>
            <w:tcBorders>
              <w:left w:val="single" w:sz="6" w:space="0" w:color="000000"/>
            </w:tcBorders>
          </w:tcPr>
          <w:p w:rsidR="007C5447" w:rsidRDefault="00F6308C">
            <w:pPr>
              <w:pStyle w:val="TableParagraph"/>
              <w:spacing w:before="37"/>
              <w:ind w:right="97"/>
              <w:rPr>
                <w:sz w:val="20"/>
              </w:rPr>
            </w:pPr>
            <w:r>
              <w:rPr>
                <w:sz w:val="20"/>
              </w:rPr>
              <w:t>4.36</w:t>
            </w:r>
          </w:p>
        </w:tc>
        <w:tc>
          <w:tcPr>
            <w:tcW w:w="1077" w:type="dxa"/>
          </w:tcPr>
          <w:p w:rsidR="007C5447" w:rsidRDefault="00F6308C">
            <w:pPr>
              <w:pStyle w:val="TableParagraph"/>
              <w:spacing w:before="37"/>
              <w:ind w:right="94"/>
              <w:rPr>
                <w:sz w:val="20"/>
              </w:rPr>
            </w:pPr>
            <w:r>
              <w:rPr>
                <w:w w:val="95"/>
                <w:sz w:val="20"/>
              </w:rPr>
              <w:t>468.35</w:t>
            </w:r>
          </w:p>
        </w:tc>
      </w:tr>
      <w:tr w:rsidR="007C5447">
        <w:trPr>
          <w:trHeight w:val="443"/>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17" w:line="206" w:lineRule="exact"/>
              <w:ind w:left="108"/>
              <w:jc w:val="left"/>
              <w:rPr>
                <w:sz w:val="18"/>
              </w:rPr>
            </w:pPr>
            <w:r>
              <w:rPr>
                <w:sz w:val="18"/>
              </w:rPr>
              <w:t>M/s. IL &amp; FS Tamil Nadu Power Company Ltd.</w:t>
            </w:r>
          </w:p>
        </w:tc>
        <w:tc>
          <w:tcPr>
            <w:tcW w:w="1135" w:type="dxa"/>
          </w:tcPr>
          <w:p w:rsidR="007C5447" w:rsidRDefault="00F6308C">
            <w:pPr>
              <w:pStyle w:val="TableParagraph"/>
              <w:spacing w:before="106"/>
              <w:ind w:right="97"/>
              <w:rPr>
                <w:sz w:val="20"/>
              </w:rPr>
            </w:pPr>
            <w:r>
              <w:rPr>
                <w:w w:val="95"/>
                <w:sz w:val="20"/>
              </w:rPr>
              <w:t>3,867.24</w:t>
            </w:r>
          </w:p>
        </w:tc>
        <w:tc>
          <w:tcPr>
            <w:tcW w:w="1133" w:type="dxa"/>
          </w:tcPr>
          <w:p w:rsidR="007C5447" w:rsidRDefault="00F6308C">
            <w:pPr>
              <w:pStyle w:val="TableParagraph"/>
              <w:spacing w:before="106"/>
              <w:ind w:right="95"/>
              <w:rPr>
                <w:sz w:val="20"/>
              </w:rPr>
            </w:pPr>
            <w:r>
              <w:rPr>
                <w:w w:val="95"/>
                <w:sz w:val="20"/>
              </w:rPr>
              <w:t>1,033.40</w:t>
            </w:r>
          </w:p>
        </w:tc>
        <w:tc>
          <w:tcPr>
            <w:tcW w:w="993" w:type="dxa"/>
          </w:tcPr>
          <w:p w:rsidR="007C5447" w:rsidRDefault="00F6308C">
            <w:pPr>
              <w:pStyle w:val="TableParagraph"/>
              <w:spacing w:before="106"/>
              <w:ind w:right="98"/>
              <w:rPr>
                <w:sz w:val="20"/>
              </w:rPr>
            </w:pPr>
            <w:r>
              <w:rPr>
                <w:sz w:val="20"/>
              </w:rPr>
              <w:t>2.80</w:t>
            </w:r>
          </w:p>
        </w:tc>
        <w:tc>
          <w:tcPr>
            <w:tcW w:w="1132" w:type="dxa"/>
            <w:tcBorders>
              <w:right w:val="single" w:sz="6" w:space="0" w:color="000000"/>
            </w:tcBorders>
          </w:tcPr>
          <w:p w:rsidR="007C5447" w:rsidRDefault="00F6308C">
            <w:pPr>
              <w:pStyle w:val="TableParagraph"/>
              <w:spacing w:before="106"/>
              <w:ind w:right="91"/>
              <w:rPr>
                <w:sz w:val="20"/>
              </w:rPr>
            </w:pPr>
            <w:r>
              <w:rPr>
                <w:w w:val="95"/>
                <w:sz w:val="20"/>
              </w:rPr>
              <w:t>1,082.83</w:t>
            </w:r>
          </w:p>
        </w:tc>
        <w:tc>
          <w:tcPr>
            <w:tcW w:w="1135" w:type="dxa"/>
            <w:tcBorders>
              <w:left w:val="single" w:sz="6" w:space="0" w:color="000000"/>
            </w:tcBorders>
          </w:tcPr>
          <w:p w:rsidR="007C5447" w:rsidRDefault="00F6308C">
            <w:pPr>
              <w:pStyle w:val="TableParagraph"/>
              <w:spacing w:before="106"/>
              <w:ind w:right="97"/>
              <w:rPr>
                <w:sz w:val="20"/>
              </w:rPr>
            </w:pPr>
            <w:r>
              <w:rPr>
                <w:sz w:val="20"/>
              </w:rPr>
              <w:t>5.47</w:t>
            </w:r>
          </w:p>
        </w:tc>
        <w:tc>
          <w:tcPr>
            <w:tcW w:w="1077" w:type="dxa"/>
          </w:tcPr>
          <w:p w:rsidR="007C5447" w:rsidRDefault="00F6308C">
            <w:pPr>
              <w:pStyle w:val="TableParagraph"/>
              <w:spacing w:before="106"/>
              <w:ind w:right="92"/>
              <w:rPr>
                <w:sz w:val="20"/>
              </w:rPr>
            </w:pPr>
            <w:r>
              <w:rPr>
                <w:w w:val="95"/>
                <w:sz w:val="20"/>
              </w:rPr>
              <w:t>2,116.22</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5"/>
              <w:ind w:left="108"/>
              <w:jc w:val="left"/>
              <w:rPr>
                <w:sz w:val="18"/>
              </w:rPr>
            </w:pPr>
            <w:r>
              <w:rPr>
                <w:sz w:val="18"/>
              </w:rPr>
              <w:t>M/s. Coastal Energen Power Ltd.</w:t>
            </w:r>
          </w:p>
        </w:tc>
        <w:tc>
          <w:tcPr>
            <w:tcW w:w="1135" w:type="dxa"/>
          </w:tcPr>
          <w:p w:rsidR="007C5447" w:rsidRDefault="00F6308C">
            <w:pPr>
              <w:pStyle w:val="TableParagraph"/>
              <w:spacing w:before="34"/>
              <w:ind w:right="97"/>
              <w:rPr>
                <w:sz w:val="20"/>
              </w:rPr>
            </w:pPr>
            <w:r>
              <w:rPr>
                <w:w w:val="95"/>
                <w:sz w:val="20"/>
              </w:rPr>
              <w:t>3,996.15</w:t>
            </w:r>
          </w:p>
        </w:tc>
        <w:tc>
          <w:tcPr>
            <w:tcW w:w="1133" w:type="dxa"/>
          </w:tcPr>
          <w:p w:rsidR="007C5447" w:rsidRDefault="00F6308C">
            <w:pPr>
              <w:pStyle w:val="TableParagraph"/>
              <w:spacing w:before="34"/>
              <w:ind w:right="97"/>
              <w:rPr>
                <w:sz w:val="20"/>
              </w:rPr>
            </w:pPr>
            <w:r>
              <w:rPr>
                <w:w w:val="95"/>
                <w:sz w:val="20"/>
              </w:rPr>
              <w:t>731.23</w:t>
            </w:r>
          </w:p>
        </w:tc>
        <w:tc>
          <w:tcPr>
            <w:tcW w:w="993" w:type="dxa"/>
          </w:tcPr>
          <w:p w:rsidR="007C5447" w:rsidRDefault="00F6308C">
            <w:pPr>
              <w:pStyle w:val="TableParagraph"/>
              <w:spacing w:before="34"/>
              <w:ind w:right="98"/>
              <w:rPr>
                <w:sz w:val="20"/>
              </w:rPr>
            </w:pPr>
            <w:r>
              <w:rPr>
                <w:sz w:val="20"/>
              </w:rPr>
              <w:t>2.85</w:t>
            </w:r>
          </w:p>
        </w:tc>
        <w:tc>
          <w:tcPr>
            <w:tcW w:w="1132" w:type="dxa"/>
            <w:tcBorders>
              <w:right w:val="single" w:sz="6" w:space="0" w:color="000000"/>
            </w:tcBorders>
          </w:tcPr>
          <w:p w:rsidR="007C5447" w:rsidRDefault="00F6308C">
            <w:pPr>
              <w:pStyle w:val="TableParagraph"/>
              <w:spacing w:before="34"/>
              <w:ind w:right="90"/>
              <w:rPr>
                <w:sz w:val="20"/>
              </w:rPr>
            </w:pPr>
            <w:r>
              <w:rPr>
                <w:sz w:val="20"/>
              </w:rPr>
              <w:t>1,138.90</w:t>
            </w:r>
          </w:p>
        </w:tc>
        <w:tc>
          <w:tcPr>
            <w:tcW w:w="1135" w:type="dxa"/>
            <w:tcBorders>
              <w:left w:val="single" w:sz="6" w:space="0" w:color="000000"/>
            </w:tcBorders>
          </w:tcPr>
          <w:p w:rsidR="007C5447" w:rsidRDefault="00F6308C">
            <w:pPr>
              <w:pStyle w:val="TableParagraph"/>
              <w:spacing w:before="34"/>
              <w:ind w:right="97"/>
              <w:rPr>
                <w:sz w:val="20"/>
              </w:rPr>
            </w:pPr>
            <w:r>
              <w:rPr>
                <w:sz w:val="20"/>
              </w:rPr>
              <w:t>4.68</w:t>
            </w:r>
          </w:p>
        </w:tc>
        <w:tc>
          <w:tcPr>
            <w:tcW w:w="1077" w:type="dxa"/>
          </w:tcPr>
          <w:p w:rsidR="007C5447" w:rsidRDefault="00F6308C">
            <w:pPr>
              <w:pStyle w:val="TableParagraph"/>
              <w:spacing w:before="34"/>
              <w:ind w:right="92"/>
              <w:rPr>
                <w:sz w:val="20"/>
              </w:rPr>
            </w:pPr>
            <w:r>
              <w:rPr>
                <w:w w:val="95"/>
                <w:sz w:val="20"/>
              </w:rPr>
              <w:t>1,870.13</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5"/>
              <w:ind w:left="108"/>
              <w:jc w:val="left"/>
              <w:rPr>
                <w:sz w:val="18"/>
              </w:rPr>
            </w:pPr>
            <w:r>
              <w:rPr>
                <w:sz w:val="18"/>
              </w:rPr>
              <w:t>M/s. OPG Power Gen Pvt. Ltd.</w:t>
            </w:r>
          </w:p>
        </w:tc>
        <w:tc>
          <w:tcPr>
            <w:tcW w:w="1135" w:type="dxa"/>
          </w:tcPr>
          <w:p w:rsidR="007C5447" w:rsidRDefault="00F6308C">
            <w:pPr>
              <w:pStyle w:val="TableParagraph"/>
              <w:spacing w:before="34"/>
              <w:ind w:right="99"/>
              <w:rPr>
                <w:sz w:val="20"/>
              </w:rPr>
            </w:pPr>
            <w:r>
              <w:rPr>
                <w:w w:val="95"/>
                <w:sz w:val="20"/>
              </w:rPr>
              <w:t>529.96</w:t>
            </w:r>
          </w:p>
        </w:tc>
        <w:tc>
          <w:tcPr>
            <w:tcW w:w="1133" w:type="dxa"/>
          </w:tcPr>
          <w:p w:rsidR="007C5447" w:rsidRDefault="00F6308C">
            <w:pPr>
              <w:pStyle w:val="TableParagraph"/>
              <w:spacing w:before="34"/>
              <w:ind w:right="97"/>
              <w:rPr>
                <w:sz w:val="20"/>
              </w:rPr>
            </w:pPr>
            <w:r>
              <w:rPr>
                <w:w w:val="95"/>
                <w:sz w:val="20"/>
              </w:rPr>
              <w:t>81.92</w:t>
            </w:r>
          </w:p>
        </w:tc>
        <w:tc>
          <w:tcPr>
            <w:tcW w:w="993" w:type="dxa"/>
          </w:tcPr>
          <w:p w:rsidR="007C5447" w:rsidRDefault="00F6308C">
            <w:pPr>
              <w:pStyle w:val="TableParagraph"/>
              <w:spacing w:before="34"/>
              <w:ind w:right="98"/>
              <w:rPr>
                <w:sz w:val="20"/>
              </w:rPr>
            </w:pPr>
            <w:r>
              <w:rPr>
                <w:sz w:val="20"/>
              </w:rPr>
              <w:t>3.12</w:t>
            </w:r>
          </w:p>
        </w:tc>
        <w:tc>
          <w:tcPr>
            <w:tcW w:w="1132" w:type="dxa"/>
            <w:tcBorders>
              <w:right w:val="single" w:sz="6" w:space="0" w:color="000000"/>
            </w:tcBorders>
          </w:tcPr>
          <w:p w:rsidR="007C5447" w:rsidRDefault="00F6308C">
            <w:pPr>
              <w:pStyle w:val="TableParagraph"/>
              <w:spacing w:before="34"/>
              <w:ind w:right="93"/>
              <w:rPr>
                <w:sz w:val="20"/>
              </w:rPr>
            </w:pPr>
            <w:r>
              <w:rPr>
                <w:w w:val="95"/>
                <w:sz w:val="20"/>
              </w:rPr>
              <w:t>165.35</w:t>
            </w:r>
          </w:p>
        </w:tc>
        <w:tc>
          <w:tcPr>
            <w:tcW w:w="1135" w:type="dxa"/>
            <w:tcBorders>
              <w:left w:val="single" w:sz="6" w:space="0" w:color="000000"/>
            </w:tcBorders>
          </w:tcPr>
          <w:p w:rsidR="007C5447" w:rsidRDefault="00F6308C">
            <w:pPr>
              <w:pStyle w:val="TableParagraph"/>
              <w:spacing w:before="34"/>
              <w:ind w:right="97"/>
              <w:rPr>
                <w:sz w:val="20"/>
              </w:rPr>
            </w:pPr>
            <w:r>
              <w:rPr>
                <w:sz w:val="20"/>
              </w:rPr>
              <w:t>4.67</w:t>
            </w:r>
          </w:p>
        </w:tc>
        <w:tc>
          <w:tcPr>
            <w:tcW w:w="1077" w:type="dxa"/>
          </w:tcPr>
          <w:p w:rsidR="007C5447" w:rsidRDefault="00F6308C">
            <w:pPr>
              <w:pStyle w:val="TableParagraph"/>
              <w:spacing w:before="34"/>
              <w:ind w:right="94"/>
              <w:rPr>
                <w:sz w:val="20"/>
              </w:rPr>
            </w:pPr>
            <w:r>
              <w:rPr>
                <w:w w:val="95"/>
                <w:sz w:val="20"/>
              </w:rPr>
              <w:t>247.27</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MTOA</w:t>
            </w:r>
          </w:p>
        </w:tc>
        <w:tc>
          <w:tcPr>
            <w:tcW w:w="1135" w:type="dxa"/>
          </w:tcPr>
          <w:p w:rsidR="007C5447" w:rsidRDefault="00F6308C">
            <w:pPr>
              <w:pStyle w:val="TableParagraph"/>
              <w:spacing w:before="36"/>
              <w:ind w:right="100"/>
              <w:rPr>
                <w:sz w:val="20"/>
              </w:rPr>
            </w:pPr>
            <w:r>
              <w:rPr>
                <w:w w:val="95"/>
                <w:sz w:val="20"/>
              </w:rPr>
              <w:t>2,507.53</w:t>
            </w:r>
          </w:p>
        </w:tc>
        <w:tc>
          <w:tcPr>
            <w:tcW w:w="1133" w:type="dxa"/>
          </w:tcPr>
          <w:p w:rsidR="007C5447" w:rsidRDefault="00F6308C">
            <w:pPr>
              <w:pStyle w:val="TableParagraph"/>
              <w:spacing w:before="36"/>
              <w:ind w:right="95"/>
              <w:rPr>
                <w:sz w:val="20"/>
              </w:rPr>
            </w:pPr>
            <w:r>
              <w:rPr>
                <w:w w:val="95"/>
                <w:sz w:val="20"/>
              </w:rPr>
              <w:t>376.13</w:t>
            </w:r>
          </w:p>
        </w:tc>
        <w:tc>
          <w:tcPr>
            <w:tcW w:w="993" w:type="dxa"/>
          </w:tcPr>
          <w:p w:rsidR="007C5447" w:rsidRDefault="00F6308C">
            <w:pPr>
              <w:pStyle w:val="TableParagraph"/>
              <w:spacing w:before="36"/>
              <w:ind w:right="96"/>
              <w:rPr>
                <w:sz w:val="20"/>
              </w:rPr>
            </w:pPr>
            <w:r>
              <w:rPr>
                <w:sz w:val="20"/>
              </w:rPr>
              <w:t>2.00</w:t>
            </w:r>
          </w:p>
        </w:tc>
        <w:tc>
          <w:tcPr>
            <w:tcW w:w="1132" w:type="dxa"/>
            <w:tcBorders>
              <w:right w:val="single" w:sz="6" w:space="0" w:color="000000"/>
            </w:tcBorders>
          </w:tcPr>
          <w:p w:rsidR="007C5447" w:rsidRDefault="00F6308C">
            <w:pPr>
              <w:pStyle w:val="TableParagraph"/>
              <w:spacing w:before="36"/>
              <w:ind w:right="90"/>
              <w:rPr>
                <w:sz w:val="20"/>
              </w:rPr>
            </w:pPr>
            <w:r>
              <w:rPr>
                <w:w w:val="95"/>
                <w:sz w:val="20"/>
              </w:rPr>
              <w:t>501.51</w:t>
            </w:r>
          </w:p>
        </w:tc>
        <w:tc>
          <w:tcPr>
            <w:tcW w:w="1135" w:type="dxa"/>
            <w:tcBorders>
              <w:left w:val="single" w:sz="6" w:space="0" w:color="000000"/>
            </w:tcBorders>
          </w:tcPr>
          <w:p w:rsidR="007C5447" w:rsidRDefault="00F6308C">
            <w:pPr>
              <w:pStyle w:val="TableParagraph"/>
              <w:spacing w:before="36"/>
              <w:ind w:right="94"/>
              <w:rPr>
                <w:sz w:val="20"/>
              </w:rPr>
            </w:pPr>
            <w:r>
              <w:rPr>
                <w:sz w:val="20"/>
              </w:rPr>
              <w:t>3.50</w:t>
            </w:r>
          </w:p>
        </w:tc>
        <w:tc>
          <w:tcPr>
            <w:tcW w:w="1077" w:type="dxa"/>
          </w:tcPr>
          <w:p w:rsidR="007C5447" w:rsidRDefault="00F6308C">
            <w:pPr>
              <w:pStyle w:val="TableParagraph"/>
              <w:spacing w:before="36"/>
              <w:ind w:right="92"/>
              <w:rPr>
                <w:sz w:val="20"/>
              </w:rPr>
            </w:pPr>
            <w:r>
              <w:rPr>
                <w:w w:val="95"/>
                <w:sz w:val="20"/>
              </w:rPr>
              <w:t>877.63</w:t>
            </w:r>
          </w:p>
        </w:tc>
      </w:tr>
      <w:tr w:rsidR="007C5447">
        <w:trPr>
          <w:trHeight w:val="299"/>
        </w:trPr>
        <w:tc>
          <w:tcPr>
            <w:tcW w:w="391" w:type="dxa"/>
          </w:tcPr>
          <w:p w:rsidR="007C5447" w:rsidRDefault="007C5447">
            <w:pPr>
              <w:pStyle w:val="TableParagraph"/>
              <w:jc w:val="left"/>
              <w:rPr>
                <w:sz w:val="18"/>
              </w:rPr>
            </w:pPr>
          </w:p>
        </w:tc>
        <w:tc>
          <w:tcPr>
            <w:tcW w:w="2693" w:type="dxa"/>
          </w:tcPr>
          <w:p w:rsidR="007C5447" w:rsidRDefault="00F6308C">
            <w:pPr>
              <w:pStyle w:val="TableParagraph"/>
              <w:spacing w:before="47"/>
              <w:ind w:left="108"/>
              <w:jc w:val="left"/>
              <w:rPr>
                <w:sz w:val="18"/>
              </w:rPr>
            </w:pPr>
            <w:r>
              <w:rPr>
                <w:sz w:val="18"/>
              </w:rPr>
              <w:t>STOA</w:t>
            </w:r>
          </w:p>
        </w:tc>
        <w:tc>
          <w:tcPr>
            <w:tcW w:w="1135" w:type="dxa"/>
          </w:tcPr>
          <w:p w:rsidR="007C5447" w:rsidRDefault="00F6308C">
            <w:pPr>
              <w:pStyle w:val="TableParagraph"/>
              <w:spacing w:before="36"/>
              <w:ind w:right="96"/>
              <w:rPr>
                <w:sz w:val="20"/>
              </w:rPr>
            </w:pPr>
            <w:r>
              <w:rPr>
                <w:w w:val="99"/>
                <w:sz w:val="20"/>
              </w:rPr>
              <w:t>-</w:t>
            </w:r>
          </w:p>
        </w:tc>
        <w:tc>
          <w:tcPr>
            <w:tcW w:w="1133" w:type="dxa"/>
          </w:tcPr>
          <w:p w:rsidR="007C5447" w:rsidRDefault="00F6308C">
            <w:pPr>
              <w:pStyle w:val="TableParagraph"/>
              <w:spacing w:before="36"/>
              <w:ind w:right="93"/>
              <w:rPr>
                <w:sz w:val="20"/>
              </w:rPr>
            </w:pPr>
            <w:r>
              <w:rPr>
                <w:w w:val="99"/>
                <w:sz w:val="20"/>
              </w:rPr>
              <w:t>-</w:t>
            </w:r>
          </w:p>
        </w:tc>
        <w:tc>
          <w:tcPr>
            <w:tcW w:w="993" w:type="dxa"/>
          </w:tcPr>
          <w:p w:rsidR="007C5447" w:rsidRDefault="00F6308C">
            <w:pPr>
              <w:pStyle w:val="TableParagraph"/>
              <w:spacing w:before="36"/>
              <w:ind w:right="97"/>
              <w:rPr>
                <w:sz w:val="20"/>
              </w:rPr>
            </w:pPr>
            <w:r>
              <w:rPr>
                <w:w w:val="99"/>
                <w:sz w:val="20"/>
              </w:rPr>
              <w:t>-</w:t>
            </w:r>
          </w:p>
        </w:tc>
        <w:tc>
          <w:tcPr>
            <w:tcW w:w="1132" w:type="dxa"/>
            <w:tcBorders>
              <w:right w:val="single" w:sz="6" w:space="0" w:color="000000"/>
            </w:tcBorders>
          </w:tcPr>
          <w:p w:rsidR="007C5447" w:rsidRDefault="00F6308C">
            <w:pPr>
              <w:pStyle w:val="TableParagraph"/>
              <w:spacing w:before="36"/>
              <w:ind w:right="89"/>
              <w:rPr>
                <w:sz w:val="20"/>
              </w:rPr>
            </w:pPr>
            <w:r>
              <w:rPr>
                <w:w w:val="99"/>
                <w:sz w:val="20"/>
              </w:rPr>
              <w:t>-</w:t>
            </w:r>
          </w:p>
        </w:tc>
        <w:tc>
          <w:tcPr>
            <w:tcW w:w="1135" w:type="dxa"/>
            <w:tcBorders>
              <w:left w:val="single" w:sz="6" w:space="0" w:color="000000"/>
            </w:tcBorders>
          </w:tcPr>
          <w:p w:rsidR="007C5447" w:rsidRDefault="00F6308C">
            <w:pPr>
              <w:pStyle w:val="TableParagraph"/>
              <w:spacing w:before="36"/>
              <w:ind w:right="93"/>
              <w:rPr>
                <w:sz w:val="20"/>
              </w:rPr>
            </w:pPr>
            <w:r>
              <w:rPr>
                <w:w w:val="99"/>
                <w:sz w:val="20"/>
              </w:rPr>
              <w:t>-</w:t>
            </w:r>
          </w:p>
        </w:tc>
        <w:tc>
          <w:tcPr>
            <w:tcW w:w="1077" w:type="dxa"/>
          </w:tcPr>
          <w:p w:rsidR="007C5447" w:rsidRDefault="00F6308C">
            <w:pPr>
              <w:pStyle w:val="TableParagraph"/>
              <w:spacing w:before="36"/>
              <w:ind w:right="90"/>
              <w:rPr>
                <w:sz w:val="20"/>
              </w:rPr>
            </w:pPr>
            <w:r>
              <w:rPr>
                <w:w w:val="99"/>
                <w:sz w:val="20"/>
              </w:rPr>
              <w:t>-</w:t>
            </w:r>
          </w:p>
        </w:tc>
      </w:tr>
      <w:tr w:rsidR="007C5447">
        <w:trPr>
          <w:trHeight w:val="330"/>
        </w:trPr>
        <w:tc>
          <w:tcPr>
            <w:tcW w:w="391" w:type="dxa"/>
            <w:shd w:val="clear" w:color="auto" w:fill="D0CECE"/>
          </w:tcPr>
          <w:p w:rsidR="007C5447" w:rsidRDefault="007C5447">
            <w:pPr>
              <w:pStyle w:val="TableParagraph"/>
              <w:jc w:val="left"/>
              <w:rPr>
                <w:sz w:val="18"/>
              </w:rPr>
            </w:pPr>
          </w:p>
        </w:tc>
        <w:tc>
          <w:tcPr>
            <w:tcW w:w="2693" w:type="dxa"/>
            <w:shd w:val="clear" w:color="auto" w:fill="D0CECE"/>
          </w:tcPr>
          <w:p w:rsidR="007C5447" w:rsidRDefault="00F6308C">
            <w:pPr>
              <w:pStyle w:val="TableParagraph"/>
              <w:spacing w:before="62"/>
              <w:ind w:left="108"/>
              <w:jc w:val="left"/>
              <w:rPr>
                <w:b/>
                <w:sz w:val="18"/>
              </w:rPr>
            </w:pPr>
            <w:r>
              <w:rPr>
                <w:b/>
                <w:sz w:val="18"/>
              </w:rPr>
              <w:t>Total</w:t>
            </w:r>
          </w:p>
        </w:tc>
        <w:tc>
          <w:tcPr>
            <w:tcW w:w="1135" w:type="dxa"/>
            <w:shd w:val="clear" w:color="auto" w:fill="BEBEBE"/>
          </w:tcPr>
          <w:p w:rsidR="007C5447" w:rsidRDefault="00F6308C">
            <w:pPr>
              <w:pStyle w:val="TableParagraph"/>
              <w:spacing w:before="50"/>
              <w:ind w:right="100"/>
              <w:rPr>
                <w:b/>
                <w:sz w:val="20"/>
              </w:rPr>
            </w:pPr>
            <w:r>
              <w:rPr>
                <w:b/>
                <w:w w:val="95"/>
                <w:sz w:val="20"/>
              </w:rPr>
              <w:t>26,355.52</w:t>
            </w:r>
          </w:p>
        </w:tc>
        <w:tc>
          <w:tcPr>
            <w:tcW w:w="1133" w:type="dxa"/>
            <w:shd w:val="clear" w:color="auto" w:fill="BEBEBE"/>
          </w:tcPr>
          <w:p w:rsidR="007C5447" w:rsidRDefault="00F6308C">
            <w:pPr>
              <w:pStyle w:val="TableParagraph"/>
              <w:spacing w:before="50"/>
              <w:ind w:right="95"/>
              <w:rPr>
                <w:b/>
                <w:sz w:val="20"/>
              </w:rPr>
            </w:pPr>
            <w:r>
              <w:rPr>
                <w:b/>
                <w:w w:val="95"/>
                <w:sz w:val="20"/>
              </w:rPr>
              <w:t>5,446.57</w:t>
            </w:r>
          </w:p>
        </w:tc>
        <w:tc>
          <w:tcPr>
            <w:tcW w:w="993" w:type="dxa"/>
            <w:shd w:val="clear" w:color="auto" w:fill="BEBEBE"/>
          </w:tcPr>
          <w:p w:rsidR="007C5447" w:rsidRDefault="00F6308C">
            <w:pPr>
              <w:pStyle w:val="TableParagraph"/>
              <w:spacing w:before="50"/>
              <w:ind w:right="98"/>
              <w:rPr>
                <w:b/>
                <w:sz w:val="20"/>
              </w:rPr>
            </w:pPr>
            <w:r>
              <w:rPr>
                <w:b/>
                <w:w w:val="95"/>
                <w:sz w:val="20"/>
              </w:rPr>
              <w:t>1.956</w:t>
            </w:r>
          </w:p>
        </w:tc>
        <w:tc>
          <w:tcPr>
            <w:tcW w:w="1132" w:type="dxa"/>
            <w:tcBorders>
              <w:right w:val="single" w:sz="6" w:space="0" w:color="000000"/>
            </w:tcBorders>
            <w:shd w:val="clear" w:color="auto" w:fill="BEBEBE"/>
          </w:tcPr>
          <w:p w:rsidR="007C5447" w:rsidRDefault="00F6308C">
            <w:pPr>
              <w:pStyle w:val="TableParagraph"/>
              <w:spacing w:before="50"/>
              <w:ind w:right="91"/>
              <w:rPr>
                <w:b/>
                <w:sz w:val="20"/>
              </w:rPr>
            </w:pPr>
            <w:r>
              <w:rPr>
                <w:b/>
                <w:w w:val="95"/>
                <w:sz w:val="20"/>
              </w:rPr>
              <w:t>5,139.26</w:t>
            </w:r>
          </w:p>
        </w:tc>
        <w:tc>
          <w:tcPr>
            <w:tcW w:w="1135" w:type="dxa"/>
            <w:tcBorders>
              <w:left w:val="single" w:sz="6" w:space="0" w:color="000000"/>
            </w:tcBorders>
            <w:shd w:val="clear" w:color="auto" w:fill="BEBEBE"/>
          </w:tcPr>
          <w:p w:rsidR="007C5447" w:rsidRDefault="00F6308C">
            <w:pPr>
              <w:pStyle w:val="TableParagraph"/>
              <w:spacing w:before="50"/>
              <w:ind w:right="94"/>
              <w:rPr>
                <w:b/>
                <w:sz w:val="20"/>
              </w:rPr>
            </w:pPr>
            <w:r>
              <w:rPr>
                <w:b/>
                <w:sz w:val="20"/>
              </w:rPr>
              <w:t>4.02</w:t>
            </w:r>
          </w:p>
        </w:tc>
        <w:tc>
          <w:tcPr>
            <w:tcW w:w="1077" w:type="dxa"/>
            <w:shd w:val="clear" w:color="auto" w:fill="BEBEBE"/>
          </w:tcPr>
          <w:p w:rsidR="007C5447" w:rsidRDefault="00F6308C">
            <w:pPr>
              <w:pStyle w:val="TableParagraph"/>
              <w:spacing w:before="50"/>
              <w:ind w:right="93"/>
              <w:rPr>
                <w:b/>
                <w:sz w:val="20"/>
              </w:rPr>
            </w:pPr>
            <w:r>
              <w:rPr>
                <w:b/>
                <w:w w:val="95"/>
                <w:sz w:val="20"/>
              </w:rPr>
              <w:t>10,585.83</w:t>
            </w:r>
          </w:p>
        </w:tc>
      </w:tr>
      <w:tr w:rsidR="007C5447">
        <w:trPr>
          <w:trHeight w:val="299"/>
        </w:trPr>
        <w:tc>
          <w:tcPr>
            <w:tcW w:w="391" w:type="dxa"/>
          </w:tcPr>
          <w:p w:rsidR="007C5447" w:rsidRDefault="00F6308C">
            <w:pPr>
              <w:pStyle w:val="TableParagraph"/>
              <w:spacing w:before="47"/>
              <w:ind w:left="87"/>
              <w:jc w:val="center"/>
              <w:rPr>
                <w:sz w:val="18"/>
              </w:rPr>
            </w:pPr>
            <w:r>
              <w:rPr>
                <w:sz w:val="18"/>
              </w:rPr>
              <w:t>4</w:t>
            </w:r>
          </w:p>
        </w:tc>
        <w:tc>
          <w:tcPr>
            <w:tcW w:w="2693" w:type="dxa"/>
          </w:tcPr>
          <w:p w:rsidR="007C5447" w:rsidRDefault="00F6308C">
            <w:pPr>
              <w:pStyle w:val="TableParagraph"/>
              <w:spacing w:before="47"/>
              <w:ind w:left="108"/>
              <w:jc w:val="left"/>
              <w:rPr>
                <w:sz w:val="18"/>
              </w:rPr>
            </w:pPr>
            <w:r>
              <w:rPr>
                <w:sz w:val="18"/>
              </w:rPr>
              <w:t>TANTRANSCO Charges</w:t>
            </w:r>
          </w:p>
        </w:tc>
        <w:tc>
          <w:tcPr>
            <w:tcW w:w="1135" w:type="dxa"/>
          </w:tcPr>
          <w:p w:rsidR="007C5447" w:rsidRDefault="00F6308C">
            <w:pPr>
              <w:pStyle w:val="TableParagraph"/>
              <w:spacing w:before="36"/>
              <w:ind w:right="98"/>
              <w:rPr>
                <w:sz w:val="20"/>
              </w:rPr>
            </w:pPr>
            <w:r>
              <w:rPr>
                <w:w w:val="99"/>
                <w:sz w:val="20"/>
              </w:rPr>
              <w:t>-</w:t>
            </w:r>
          </w:p>
        </w:tc>
        <w:tc>
          <w:tcPr>
            <w:tcW w:w="1133" w:type="dxa"/>
          </w:tcPr>
          <w:p w:rsidR="007C5447" w:rsidRDefault="00F6308C">
            <w:pPr>
              <w:pStyle w:val="TableParagraph"/>
              <w:spacing w:before="36"/>
              <w:ind w:right="96"/>
              <w:rPr>
                <w:sz w:val="20"/>
              </w:rPr>
            </w:pPr>
            <w:r>
              <w:rPr>
                <w:w w:val="99"/>
                <w:sz w:val="20"/>
              </w:rPr>
              <w:t>-</w:t>
            </w:r>
          </w:p>
        </w:tc>
        <w:tc>
          <w:tcPr>
            <w:tcW w:w="993" w:type="dxa"/>
          </w:tcPr>
          <w:p w:rsidR="007C5447" w:rsidRDefault="007C5447">
            <w:pPr>
              <w:pStyle w:val="TableParagraph"/>
              <w:jc w:val="left"/>
              <w:rPr>
                <w:sz w:val="18"/>
              </w:rPr>
            </w:pPr>
          </w:p>
        </w:tc>
        <w:tc>
          <w:tcPr>
            <w:tcW w:w="1132" w:type="dxa"/>
            <w:tcBorders>
              <w:right w:val="single" w:sz="6" w:space="0" w:color="000000"/>
            </w:tcBorders>
          </w:tcPr>
          <w:p w:rsidR="007C5447" w:rsidRDefault="007C5447">
            <w:pPr>
              <w:pStyle w:val="TableParagraph"/>
              <w:jc w:val="left"/>
              <w:rPr>
                <w:sz w:val="18"/>
              </w:rPr>
            </w:pPr>
          </w:p>
        </w:tc>
        <w:tc>
          <w:tcPr>
            <w:tcW w:w="1135" w:type="dxa"/>
            <w:tcBorders>
              <w:left w:val="single" w:sz="6" w:space="0" w:color="000000"/>
            </w:tcBorders>
          </w:tcPr>
          <w:p w:rsidR="007C5447" w:rsidRDefault="007C5447">
            <w:pPr>
              <w:pStyle w:val="TableParagraph"/>
              <w:jc w:val="left"/>
              <w:rPr>
                <w:sz w:val="18"/>
              </w:rPr>
            </w:pPr>
          </w:p>
        </w:tc>
        <w:tc>
          <w:tcPr>
            <w:tcW w:w="1077" w:type="dxa"/>
          </w:tcPr>
          <w:p w:rsidR="007C5447" w:rsidRDefault="00F6308C">
            <w:pPr>
              <w:pStyle w:val="TableParagraph"/>
              <w:spacing w:before="36"/>
              <w:ind w:right="92"/>
              <w:rPr>
                <w:sz w:val="20"/>
              </w:rPr>
            </w:pPr>
            <w:r>
              <w:rPr>
                <w:w w:val="95"/>
                <w:sz w:val="20"/>
              </w:rPr>
              <w:t>2,023.24</w:t>
            </w:r>
          </w:p>
        </w:tc>
      </w:tr>
      <w:tr w:rsidR="007C5447">
        <w:trPr>
          <w:trHeight w:val="299"/>
        </w:trPr>
        <w:tc>
          <w:tcPr>
            <w:tcW w:w="391" w:type="dxa"/>
          </w:tcPr>
          <w:p w:rsidR="007C5447" w:rsidRDefault="00F6308C">
            <w:pPr>
              <w:pStyle w:val="TableParagraph"/>
              <w:spacing w:before="47"/>
              <w:ind w:left="87"/>
              <w:jc w:val="center"/>
              <w:rPr>
                <w:sz w:val="18"/>
              </w:rPr>
            </w:pPr>
            <w:r>
              <w:rPr>
                <w:sz w:val="18"/>
              </w:rPr>
              <w:t>5</w:t>
            </w:r>
          </w:p>
        </w:tc>
        <w:tc>
          <w:tcPr>
            <w:tcW w:w="2693" w:type="dxa"/>
          </w:tcPr>
          <w:p w:rsidR="007C5447" w:rsidRDefault="00F6308C">
            <w:pPr>
              <w:pStyle w:val="TableParagraph"/>
              <w:spacing w:before="47"/>
              <w:ind w:left="108"/>
              <w:jc w:val="left"/>
              <w:rPr>
                <w:sz w:val="18"/>
              </w:rPr>
            </w:pPr>
            <w:r>
              <w:rPr>
                <w:sz w:val="18"/>
              </w:rPr>
              <w:t>PGCIL Charges</w:t>
            </w:r>
          </w:p>
        </w:tc>
        <w:tc>
          <w:tcPr>
            <w:tcW w:w="1135" w:type="dxa"/>
          </w:tcPr>
          <w:p w:rsidR="007C5447" w:rsidRDefault="00F6308C">
            <w:pPr>
              <w:pStyle w:val="TableParagraph"/>
              <w:spacing w:before="36"/>
              <w:ind w:right="98"/>
              <w:rPr>
                <w:sz w:val="20"/>
              </w:rPr>
            </w:pPr>
            <w:r>
              <w:rPr>
                <w:w w:val="99"/>
                <w:sz w:val="20"/>
              </w:rPr>
              <w:t>-</w:t>
            </w:r>
          </w:p>
        </w:tc>
        <w:tc>
          <w:tcPr>
            <w:tcW w:w="1133" w:type="dxa"/>
          </w:tcPr>
          <w:p w:rsidR="007C5447" w:rsidRDefault="00F6308C">
            <w:pPr>
              <w:pStyle w:val="TableParagraph"/>
              <w:spacing w:before="36"/>
              <w:ind w:right="96"/>
              <w:rPr>
                <w:sz w:val="20"/>
              </w:rPr>
            </w:pPr>
            <w:r>
              <w:rPr>
                <w:w w:val="99"/>
                <w:sz w:val="20"/>
              </w:rPr>
              <w:t>-</w:t>
            </w:r>
          </w:p>
        </w:tc>
        <w:tc>
          <w:tcPr>
            <w:tcW w:w="993" w:type="dxa"/>
          </w:tcPr>
          <w:p w:rsidR="007C5447" w:rsidRDefault="007C5447">
            <w:pPr>
              <w:pStyle w:val="TableParagraph"/>
              <w:jc w:val="left"/>
              <w:rPr>
                <w:sz w:val="18"/>
              </w:rPr>
            </w:pPr>
          </w:p>
        </w:tc>
        <w:tc>
          <w:tcPr>
            <w:tcW w:w="1132" w:type="dxa"/>
            <w:tcBorders>
              <w:right w:val="single" w:sz="6" w:space="0" w:color="000000"/>
            </w:tcBorders>
          </w:tcPr>
          <w:p w:rsidR="007C5447" w:rsidRDefault="007C5447">
            <w:pPr>
              <w:pStyle w:val="TableParagraph"/>
              <w:jc w:val="left"/>
              <w:rPr>
                <w:sz w:val="18"/>
              </w:rPr>
            </w:pPr>
          </w:p>
        </w:tc>
        <w:tc>
          <w:tcPr>
            <w:tcW w:w="1135" w:type="dxa"/>
            <w:tcBorders>
              <w:left w:val="single" w:sz="6" w:space="0" w:color="000000"/>
            </w:tcBorders>
          </w:tcPr>
          <w:p w:rsidR="007C5447" w:rsidRDefault="007C5447">
            <w:pPr>
              <w:pStyle w:val="TableParagraph"/>
              <w:jc w:val="left"/>
              <w:rPr>
                <w:sz w:val="18"/>
              </w:rPr>
            </w:pPr>
          </w:p>
        </w:tc>
        <w:tc>
          <w:tcPr>
            <w:tcW w:w="1077" w:type="dxa"/>
          </w:tcPr>
          <w:p w:rsidR="007C5447" w:rsidRDefault="00F6308C">
            <w:pPr>
              <w:pStyle w:val="TableParagraph"/>
              <w:spacing w:before="36"/>
              <w:ind w:right="92"/>
              <w:rPr>
                <w:sz w:val="20"/>
              </w:rPr>
            </w:pPr>
            <w:r>
              <w:rPr>
                <w:w w:val="95"/>
                <w:sz w:val="20"/>
              </w:rPr>
              <w:t>900.00</w:t>
            </w:r>
          </w:p>
        </w:tc>
      </w:tr>
      <w:tr w:rsidR="007C5447">
        <w:trPr>
          <w:trHeight w:val="330"/>
        </w:trPr>
        <w:tc>
          <w:tcPr>
            <w:tcW w:w="391" w:type="dxa"/>
            <w:shd w:val="clear" w:color="auto" w:fill="D9D9D9"/>
          </w:tcPr>
          <w:p w:rsidR="007C5447" w:rsidRDefault="00F6308C">
            <w:pPr>
              <w:pStyle w:val="TableParagraph"/>
              <w:spacing w:before="62"/>
              <w:ind w:left="87"/>
              <w:jc w:val="center"/>
              <w:rPr>
                <w:b/>
                <w:sz w:val="18"/>
              </w:rPr>
            </w:pPr>
            <w:r>
              <w:rPr>
                <w:b/>
                <w:sz w:val="18"/>
              </w:rPr>
              <w:t>6</w:t>
            </w:r>
          </w:p>
        </w:tc>
        <w:tc>
          <w:tcPr>
            <w:tcW w:w="2693" w:type="dxa"/>
            <w:shd w:val="clear" w:color="auto" w:fill="D9D9D9"/>
          </w:tcPr>
          <w:p w:rsidR="007C5447" w:rsidRDefault="00F6308C">
            <w:pPr>
              <w:pStyle w:val="TableParagraph"/>
              <w:spacing w:before="62"/>
              <w:ind w:left="108"/>
              <w:jc w:val="left"/>
              <w:rPr>
                <w:b/>
                <w:sz w:val="18"/>
              </w:rPr>
            </w:pPr>
            <w:r>
              <w:rPr>
                <w:b/>
                <w:sz w:val="18"/>
              </w:rPr>
              <w:t>Total Power Purchase Cost</w:t>
            </w:r>
          </w:p>
        </w:tc>
        <w:tc>
          <w:tcPr>
            <w:tcW w:w="1135" w:type="dxa"/>
            <w:shd w:val="clear" w:color="auto" w:fill="D9D9D9"/>
          </w:tcPr>
          <w:p w:rsidR="007C5447" w:rsidRDefault="00F6308C">
            <w:pPr>
              <w:pStyle w:val="TableParagraph"/>
              <w:spacing w:before="50"/>
              <w:ind w:right="100"/>
              <w:rPr>
                <w:b/>
                <w:sz w:val="20"/>
              </w:rPr>
            </w:pPr>
            <w:r>
              <w:rPr>
                <w:b/>
                <w:w w:val="95"/>
                <w:sz w:val="20"/>
              </w:rPr>
              <w:t>88,849.02</w:t>
            </w:r>
          </w:p>
        </w:tc>
        <w:tc>
          <w:tcPr>
            <w:tcW w:w="1133" w:type="dxa"/>
            <w:shd w:val="clear" w:color="auto" w:fill="D9D9D9"/>
          </w:tcPr>
          <w:p w:rsidR="007C5447" w:rsidRDefault="00F6308C">
            <w:pPr>
              <w:pStyle w:val="TableParagraph"/>
              <w:spacing w:before="50"/>
              <w:ind w:right="97"/>
              <w:rPr>
                <w:b/>
                <w:sz w:val="20"/>
              </w:rPr>
            </w:pPr>
            <w:r>
              <w:rPr>
                <w:b/>
                <w:sz w:val="20"/>
              </w:rPr>
              <w:t>13,950.80</w:t>
            </w:r>
          </w:p>
        </w:tc>
        <w:tc>
          <w:tcPr>
            <w:tcW w:w="993" w:type="dxa"/>
            <w:shd w:val="clear" w:color="auto" w:fill="D9D9D9"/>
          </w:tcPr>
          <w:p w:rsidR="007C5447" w:rsidRDefault="00F6308C">
            <w:pPr>
              <w:pStyle w:val="TableParagraph"/>
              <w:spacing w:before="50"/>
              <w:ind w:right="97"/>
              <w:rPr>
                <w:b/>
                <w:sz w:val="20"/>
              </w:rPr>
            </w:pPr>
            <w:r>
              <w:rPr>
                <w:b/>
                <w:sz w:val="20"/>
              </w:rPr>
              <w:t>2.38</w:t>
            </w:r>
          </w:p>
        </w:tc>
        <w:tc>
          <w:tcPr>
            <w:tcW w:w="1132" w:type="dxa"/>
            <w:tcBorders>
              <w:right w:val="single" w:sz="6" w:space="0" w:color="000000"/>
            </w:tcBorders>
            <w:shd w:val="clear" w:color="auto" w:fill="D9D9D9"/>
          </w:tcPr>
          <w:p w:rsidR="007C5447" w:rsidRDefault="00F6308C">
            <w:pPr>
              <w:pStyle w:val="TableParagraph"/>
              <w:spacing w:before="50"/>
              <w:ind w:right="93"/>
              <w:rPr>
                <w:b/>
                <w:sz w:val="20"/>
              </w:rPr>
            </w:pPr>
            <w:r>
              <w:rPr>
                <w:b/>
                <w:w w:val="95"/>
                <w:sz w:val="20"/>
              </w:rPr>
              <w:t>21,169.49</w:t>
            </w:r>
          </w:p>
        </w:tc>
        <w:tc>
          <w:tcPr>
            <w:tcW w:w="1135" w:type="dxa"/>
            <w:tcBorders>
              <w:left w:val="single" w:sz="6" w:space="0" w:color="000000"/>
            </w:tcBorders>
            <w:shd w:val="clear" w:color="auto" w:fill="D9D9D9"/>
          </w:tcPr>
          <w:p w:rsidR="007C5447" w:rsidRDefault="00F6308C">
            <w:pPr>
              <w:pStyle w:val="TableParagraph"/>
              <w:spacing w:before="50"/>
              <w:ind w:right="96"/>
              <w:rPr>
                <w:b/>
                <w:sz w:val="20"/>
              </w:rPr>
            </w:pPr>
            <w:r>
              <w:rPr>
                <w:b/>
                <w:sz w:val="20"/>
              </w:rPr>
              <w:t>4.28</w:t>
            </w:r>
          </w:p>
        </w:tc>
        <w:tc>
          <w:tcPr>
            <w:tcW w:w="1077" w:type="dxa"/>
            <w:shd w:val="clear" w:color="auto" w:fill="D9D9D9"/>
          </w:tcPr>
          <w:p w:rsidR="007C5447" w:rsidRDefault="00F6308C">
            <w:pPr>
              <w:pStyle w:val="TableParagraph"/>
              <w:spacing w:before="50"/>
              <w:ind w:right="94"/>
              <w:rPr>
                <w:b/>
                <w:sz w:val="20"/>
              </w:rPr>
            </w:pPr>
            <w:r>
              <w:rPr>
                <w:b/>
                <w:w w:val="95"/>
                <w:sz w:val="20"/>
              </w:rPr>
              <w:t>38,043.54</w:t>
            </w:r>
          </w:p>
        </w:tc>
      </w:tr>
    </w:tbl>
    <w:p w:rsidR="007C5447" w:rsidRDefault="007C5447">
      <w:pPr>
        <w:pStyle w:val="BodyText"/>
        <w:rPr>
          <w:b/>
          <w:sz w:val="13"/>
        </w:rPr>
      </w:pPr>
    </w:p>
    <w:p w:rsidR="007C5447" w:rsidRDefault="00F6308C">
      <w:pPr>
        <w:spacing w:before="92"/>
        <w:ind w:left="1354" w:right="1427"/>
        <w:jc w:val="center"/>
        <w:rPr>
          <w:b/>
        </w:rPr>
      </w:pPr>
      <w:r>
        <w:rPr>
          <w:b/>
        </w:rPr>
        <w:t>Table 4-51: Approved Power Purchase Expenses for FY 2017-18</w:t>
      </w:r>
    </w:p>
    <w:p w:rsidR="007C5447" w:rsidRDefault="007C5447">
      <w:pPr>
        <w:pStyle w:val="BodyText"/>
        <w:spacing w:before="10"/>
        <w:rPr>
          <w:b/>
          <w:sz w:val="16"/>
        </w:r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6"/>
        <w:gridCol w:w="2214"/>
        <w:gridCol w:w="1021"/>
        <w:gridCol w:w="1232"/>
        <w:gridCol w:w="990"/>
        <w:gridCol w:w="1131"/>
        <w:gridCol w:w="990"/>
        <w:gridCol w:w="1265"/>
      </w:tblGrid>
      <w:tr w:rsidR="007C5447">
        <w:trPr>
          <w:trHeight w:val="858"/>
        </w:trPr>
        <w:tc>
          <w:tcPr>
            <w:tcW w:w="406" w:type="dxa"/>
            <w:shd w:val="clear" w:color="auto" w:fill="F7C9AC"/>
          </w:tcPr>
          <w:p w:rsidR="007C5447" w:rsidRDefault="007C5447">
            <w:pPr>
              <w:pStyle w:val="TableParagraph"/>
              <w:spacing w:before="4"/>
              <w:jc w:val="left"/>
              <w:rPr>
                <w:b/>
                <w:sz w:val="19"/>
              </w:rPr>
            </w:pPr>
          </w:p>
          <w:p w:rsidR="007C5447" w:rsidRDefault="00F6308C">
            <w:pPr>
              <w:pStyle w:val="TableParagraph"/>
              <w:spacing w:line="207" w:lineRule="exact"/>
              <w:ind w:left="107"/>
              <w:jc w:val="left"/>
              <w:rPr>
                <w:b/>
                <w:sz w:val="18"/>
              </w:rPr>
            </w:pPr>
            <w:r>
              <w:rPr>
                <w:b/>
                <w:sz w:val="18"/>
              </w:rPr>
              <w:t>Sl</w:t>
            </w:r>
          </w:p>
          <w:p w:rsidR="007C5447" w:rsidRDefault="00F6308C">
            <w:pPr>
              <w:pStyle w:val="TableParagraph"/>
              <w:spacing w:line="207" w:lineRule="exact"/>
              <w:ind w:left="107"/>
              <w:jc w:val="left"/>
              <w:rPr>
                <w:b/>
                <w:sz w:val="18"/>
              </w:rPr>
            </w:pPr>
            <w:r>
              <w:rPr>
                <w:b/>
                <w:sz w:val="18"/>
              </w:rPr>
              <w:t>.</w:t>
            </w:r>
          </w:p>
        </w:tc>
        <w:tc>
          <w:tcPr>
            <w:tcW w:w="2214" w:type="dxa"/>
            <w:shd w:val="clear" w:color="auto" w:fill="F7C9AC"/>
          </w:tcPr>
          <w:p w:rsidR="007C5447" w:rsidRDefault="007C5447">
            <w:pPr>
              <w:pStyle w:val="TableParagraph"/>
              <w:spacing w:before="4"/>
              <w:jc w:val="left"/>
              <w:rPr>
                <w:b/>
                <w:sz w:val="28"/>
              </w:rPr>
            </w:pPr>
          </w:p>
          <w:p w:rsidR="007C5447" w:rsidRDefault="00F6308C">
            <w:pPr>
              <w:pStyle w:val="TableParagraph"/>
              <w:ind w:left="107"/>
              <w:jc w:val="left"/>
              <w:rPr>
                <w:b/>
                <w:sz w:val="18"/>
              </w:rPr>
            </w:pPr>
            <w:r>
              <w:rPr>
                <w:b/>
                <w:sz w:val="18"/>
              </w:rPr>
              <w:t>Particulars</w:t>
            </w:r>
          </w:p>
        </w:tc>
        <w:tc>
          <w:tcPr>
            <w:tcW w:w="1021" w:type="dxa"/>
            <w:shd w:val="clear" w:color="auto" w:fill="F7C9AC"/>
          </w:tcPr>
          <w:p w:rsidR="007C5447" w:rsidRDefault="007C5447">
            <w:pPr>
              <w:pStyle w:val="TableParagraph"/>
              <w:spacing w:before="4"/>
              <w:jc w:val="left"/>
              <w:rPr>
                <w:b/>
                <w:sz w:val="19"/>
              </w:rPr>
            </w:pPr>
          </w:p>
          <w:p w:rsidR="007C5447" w:rsidRDefault="00F6308C">
            <w:pPr>
              <w:pStyle w:val="TableParagraph"/>
              <w:ind w:left="298" w:right="111" w:hanging="159"/>
              <w:jc w:val="left"/>
              <w:rPr>
                <w:b/>
                <w:sz w:val="18"/>
              </w:rPr>
            </w:pPr>
            <w:r>
              <w:rPr>
                <w:b/>
                <w:sz w:val="18"/>
              </w:rPr>
              <w:t>Quantum (MU)</w:t>
            </w:r>
          </w:p>
        </w:tc>
        <w:tc>
          <w:tcPr>
            <w:tcW w:w="1232" w:type="dxa"/>
            <w:shd w:val="clear" w:color="auto" w:fill="F7C9AC"/>
          </w:tcPr>
          <w:p w:rsidR="007C5447" w:rsidRDefault="007C5447">
            <w:pPr>
              <w:pStyle w:val="TableParagraph"/>
              <w:spacing w:before="4"/>
              <w:jc w:val="left"/>
              <w:rPr>
                <w:b/>
                <w:sz w:val="19"/>
              </w:rPr>
            </w:pPr>
          </w:p>
          <w:p w:rsidR="007C5447" w:rsidRDefault="00F6308C">
            <w:pPr>
              <w:pStyle w:val="TableParagraph"/>
              <w:ind w:left="256" w:right="177" w:hanging="56"/>
              <w:jc w:val="left"/>
              <w:rPr>
                <w:b/>
                <w:sz w:val="18"/>
              </w:rPr>
            </w:pPr>
            <w:r>
              <w:rPr>
                <w:b/>
                <w:sz w:val="18"/>
              </w:rPr>
              <w:t>Fixed Cost (Rs. Cr.)</w:t>
            </w:r>
          </w:p>
        </w:tc>
        <w:tc>
          <w:tcPr>
            <w:tcW w:w="990" w:type="dxa"/>
            <w:shd w:val="clear" w:color="auto" w:fill="F7C9AC"/>
          </w:tcPr>
          <w:p w:rsidR="007C5447" w:rsidRDefault="00F6308C">
            <w:pPr>
              <w:pStyle w:val="TableParagraph"/>
              <w:spacing w:before="16"/>
              <w:ind w:left="124" w:right="120" w:firstLine="86"/>
              <w:jc w:val="both"/>
              <w:rPr>
                <w:b/>
                <w:sz w:val="18"/>
              </w:rPr>
            </w:pPr>
            <w:r>
              <w:rPr>
                <w:b/>
                <w:sz w:val="18"/>
              </w:rPr>
              <w:t>Energy Charge (Rs./kWh</w:t>
            </w:r>
          </w:p>
          <w:p w:rsidR="007C5447" w:rsidRDefault="00F6308C">
            <w:pPr>
              <w:pStyle w:val="TableParagraph"/>
              <w:spacing w:line="201" w:lineRule="exact"/>
              <w:jc w:val="center"/>
              <w:rPr>
                <w:b/>
                <w:sz w:val="18"/>
              </w:rPr>
            </w:pPr>
            <w:r>
              <w:rPr>
                <w:b/>
                <w:w w:val="99"/>
                <w:sz w:val="18"/>
              </w:rPr>
              <w:t>)</w:t>
            </w:r>
          </w:p>
        </w:tc>
        <w:tc>
          <w:tcPr>
            <w:tcW w:w="1131" w:type="dxa"/>
            <w:shd w:val="clear" w:color="auto" w:fill="F7C9AC"/>
          </w:tcPr>
          <w:p w:rsidR="007C5447" w:rsidRDefault="00F6308C">
            <w:pPr>
              <w:pStyle w:val="TableParagraph"/>
              <w:spacing w:before="119"/>
              <w:ind w:left="226" w:right="228" w:firstLine="52"/>
              <w:jc w:val="both"/>
              <w:rPr>
                <w:b/>
                <w:sz w:val="18"/>
              </w:rPr>
            </w:pPr>
            <w:r>
              <w:rPr>
                <w:b/>
                <w:sz w:val="18"/>
              </w:rPr>
              <w:t>Energy Charge (Rs. Cr.)</w:t>
            </w:r>
          </w:p>
        </w:tc>
        <w:tc>
          <w:tcPr>
            <w:tcW w:w="990" w:type="dxa"/>
            <w:shd w:val="clear" w:color="auto" w:fill="F7C9AC"/>
          </w:tcPr>
          <w:p w:rsidR="007C5447" w:rsidRDefault="00F6308C">
            <w:pPr>
              <w:pStyle w:val="TableParagraph"/>
              <w:spacing w:before="16"/>
              <w:ind w:left="122" w:right="121"/>
              <w:jc w:val="center"/>
              <w:rPr>
                <w:b/>
                <w:sz w:val="18"/>
              </w:rPr>
            </w:pPr>
            <w:r>
              <w:rPr>
                <w:b/>
                <w:sz w:val="18"/>
              </w:rPr>
              <w:t>Total Cost (Rs./kWh</w:t>
            </w:r>
          </w:p>
          <w:p w:rsidR="007C5447" w:rsidRDefault="00F6308C">
            <w:pPr>
              <w:pStyle w:val="TableParagraph"/>
              <w:spacing w:line="201" w:lineRule="exact"/>
              <w:jc w:val="center"/>
              <w:rPr>
                <w:b/>
                <w:sz w:val="18"/>
              </w:rPr>
            </w:pPr>
            <w:r>
              <w:rPr>
                <w:b/>
                <w:w w:val="99"/>
                <w:sz w:val="18"/>
              </w:rPr>
              <w:t>)</w:t>
            </w:r>
          </w:p>
        </w:tc>
        <w:tc>
          <w:tcPr>
            <w:tcW w:w="1265" w:type="dxa"/>
            <w:shd w:val="clear" w:color="auto" w:fill="F7C9AC"/>
          </w:tcPr>
          <w:p w:rsidR="007C5447" w:rsidRDefault="007C5447">
            <w:pPr>
              <w:pStyle w:val="TableParagraph"/>
              <w:spacing w:before="4"/>
              <w:jc w:val="left"/>
              <w:rPr>
                <w:b/>
                <w:sz w:val="19"/>
              </w:rPr>
            </w:pPr>
          </w:p>
          <w:p w:rsidR="007C5447" w:rsidRDefault="00F6308C">
            <w:pPr>
              <w:pStyle w:val="TableParagraph"/>
              <w:ind w:left="294" w:right="206" w:hanging="70"/>
              <w:jc w:val="left"/>
              <w:rPr>
                <w:b/>
                <w:sz w:val="18"/>
              </w:rPr>
            </w:pPr>
            <w:r>
              <w:rPr>
                <w:b/>
                <w:sz w:val="18"/>
              </w:rPr>
              <w:t>Total Cost (Rs. Cr.)</w:t>
            </w:r>
          </w:p>
        </w:tc>
      </w:tr>
      <w:tr w:rsidR="007C5447">
        <w:trPr>
          <w:trHeight w:val="330"/>
        </w:trPr>
        <w:tc>
          <w:tcPr>
            <w:tcW w:w="406" w:type="dxa"/>
          </w:tcPr>
          <w:p w:rsidR="007C5447" w:rsidRDefault="00F6308C">
            <w:pPr>
              <w:pStyle w:val="TableParagraph"/>
              <w:spacing w:before="62"/>
              <w:ind w:left="134"/>
              <w:jc w:val="left"/>
              <w:rPr>
                <w:sz w:val="18"/>
              </w:rPr>
            </w:pPr>
            <w:r>
              <w:rPr>
                <w:sz w:val="18"/>
              </w:rPr>
              <w:t>1.</w:t>
            </w:r>
          </w:p>
        </w:tc>
        <w:tc>
          <w:tcPr>
            <w:tcW w:w="2214" w:type="dxa"/>
          </w:tcPr>
          <w:p w:rsidR="007C5447" w:rsidRDefault="00F6308C">
            <w:pPr>
              <w:pStyle w:val="TableParagraph"/>
              <w:spacing w:before="62"/>
              <w:ind w:left="107"/>
              <w:jc w:val="left"/>
              <w:rPr>
                <w:b/>
                <w:sz w:val="18"/>
              </w:rPr>
            </w:pPr>
            <w:r>
              <w:rPr>
                <w:b/>
                <w:sz w:val="18"/>
              </w:rPr>
              <w:t>Own Generating Stations</w:t>
            </w:r>
          </w:p>
        </w:tc>
        <w:tc>
          <w:tcPr>
            <w:tcW w:w="1021" w:type="dxa"/>
          </w:tcPr>
          <w:p w:rsidR="007C5447" w:rsidRDefault="007C5447">
            <w:pPr>
              <w:pStyle w:val="TableParagraph"/>
              <w:jc w:val="left"/>
              <w:rPr>
                <w:sz w:val="18"/>
              </w:rPr>
            </w:pPr>
          </w:p>
        </w:tc>
        <w:tc>
          <w:tcPr>
            <w:tcW w:w="1232"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131"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265" w:type="dxa"/>
          </w:tcPr>
          <w:p w:rsidR="007C5447" w:rsidRDefault="007C5447">
            <w:pPr>
              <w:pStyle w:val="TableParagraph"/>
              <w:jc w:val="left"/>
              <w:rPr>
                <w:sz w:val="18"/>
              </w:rPr>
            </w:pP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Ennore TPS</w:t>
            </w:r>
          </w:p>
        </w:tc>
        <w:tc>
          <w:tcPr>
            <w:tcW w:w="1021" w:type="dxa"/>
          </w:tcPr>
          <w:p w:rsidR="007C5447" w:rsidRDefault="00F6308C">
            <w:pPr>
              <w:pStyle w:val="TableParagraph"/>
              <w:spacing w:before="34"/>
              <w:ind w:right="99"/>
              <w:rPr>
                <w:sz w:val="20"/>
              </w:rPr>
            </w:pPr>
            <w:r>
              <w:rPr>
                <w:w w:val="99"/>
                <w:sz w:val="20"/>
              </w:rPr>
              <w:t>-</w:t>
            </w:r>
          </w:p>
        </w:tc>
        <w:tc>
          <w:tcPr>
            <w:tcW w:w="1232" w:type="dxa"/>
          </w:tcPr>
          <w:p w:rsidR="007C5447" w:rsidRDefault="00F6308C">
            <w:pPr>
              <w:pStyle w:val="TableParagraph"/>
              <w:spacing w:before="34"/>
              <w:ind w:right="99"/>
              <w:rPr>
                <w:sz w:val="20"/>
              </w:rPr>
            </w:pPr>
            <w:r>
              <w:rPr>
                <w:w w:val="99"/>
                <w:sz w:val="20"/>
              </w:rPr>
              <w:t>-</w:t>
            </w:r>
          </w:p>
        </w:tc>
        <w:tc>
          <w:tcPr>
            <w:tcW w:w="990" w:type="dxa"/>
          </w:tcPr>
          <w:p w:rsidR="007C5447" w:rsidRDefault="00F6308C">
            <w:pPr>
              <w:pStyle w:val="TableParagraph"/>
              <w:spacing w:before="34"/>
              <w:ind w:right="100"/>
              <w:rPr>
                <w:sz w:val="20"/>
              </w:rPr>
            </w:pPr>
            <w:r>
              <w:rPr>
                <w:w w:val="99"/>
                <w:sz w:val="20"/>
              </w:rPr>
              <w:t>-</w:t>
            </w:r>
          </w:p>
        </w:tc>
        <w:tc>
          <w:tcPr>
            <w:tcW w:w="1131" w:type="dxa"/>
          </w:tcPr>
          <w:p w:rsidR="007C5447" w:rsidRDefault="00F6308C">
            <w:pPr>
              <w:pStyle w:val="TableParagraph"/>
              <w:spacing w:before="34"/>
              <w:ind w:right="103"/>
              <w:rPr>
                <w:sz w:val="20"/>
              </w:rPr>
            </w:pPr>
            <w:r>
              <w:rPr>
                <w:w w:val="99"/>
                <w:sz w:val="20"/>
              </w:rPr>
              <w:t>-</w:t>
            </w:r>
          </w:p>
        </w:tc>
        <w:tc>
          <w:tcPr>
            <w:tcW w:w="990" w:type="dxa"/>
          </w:tcPr>
          <w:p w:rsidR="007C5447" w:rsidRDefault="00F6308C">
            <w:pPr>
              <w:pStyle w:val="TableParagraph"/>
              <w:spacing w:before="34"/>
              <w:ind w:right="101"/>
              <w:rPr>
                <w:sz w:val="20"/>
              </w:rPr>
            </w:pPr>
            <w:r>
              <w:rPr>
                <w:w w:val="99"/>
                <w:sz w:val="20"/>
              </w:rPr>
              <w:t>-</w:t>
            </w:r>
          </w:p>
        </w:tc>
        <w:tc>
          <w:tcPr>
            <w:tcW w:w="1265" w:type="dxa"/>
          </w:tcPr>
          <w:p w:rsidR="007C5447" w:rsidRDefault="00F6308C">
            <w:pPr>
              <w:pStyle w:val="TableParagraph"/>
              <w:spacing w:before="34"/>
              <w:ind w:right="102"/>
              <w:rPr>
                <w:sz w:val="20"/>
              </w:rPr>
            </w:pPr>
            <w:r>
              <w:rPr>
                <w:w w:val="99"/>
                <w:sz w:val="20"/>
              </w:rPr>
              <w:t>-</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Tuticorin TPS</w:t>
            </w:r>
          </w:p>
        </w:tc>
        <w:tc>
          <w:tcPr>
            <w:tcW w:w="1021" w:type="dxa"/>
          </w:tcPr>
          <w:p w:rsidR="007C5447" w:rsidRDefault="00F6308C">
            <w:pPr>
              <w:pStyle w:val="TableParagraph"/>
              <w:spacing w:before="34"/>
              <w:ind w:right="97"/>
              <w:rPr>
                <w:sz w:val="20"/>
              </w:rPr>
            </w:pPr>
            <w:r>
              <w:rPr>
                <w:w w:val="95"/>
                <w:sz w:val="20"/>
              </w:rPr>
              <w:t>839.48</w:t>
            </w:r>
          </w:p>
        </w:tc>
        <w:tc>
          <w:tcPr>
            <w:tcW w:w="1232" w:type="dxa"/>
          </w:tcPr>
          <w:p w:rsidR="007C5447" w:rsidRDefault="00F6308C">
            <w:pPr>
              <w:pStyle w:val="TableParagraph"/>
              <w:spacing w:before="34"/>
              <w:ind w:right="98"/>
              <w:rPr>
                <w:sz w:val="20"/>
              </w:rPr>
            </w:pPr>
            <w:r>
              <w:rPr>
                <w:w w:val="95"/>
                <w:sz w:val="20"/>
              </w:rPr>
              <w:t>810.86</w:t>
            </w:r>
          </w:p>
        </w:tc>
        <w:tc>
          <w:tcPr>
            <w:tcW w:w="990" w:type="dxa"/>
          </w:tcPr>
          <w:p w:rsidR="007C5447" w:rsidRDefault="00F6308C">
            <w:pPr>
              <w:pStyle w:val="TableParagraph"/>
              <w:spacing w:before="34"/>
              <w:ind w:right="99"/>
              <w:rPr>
                <w:sz w:val="20"/>
              </w:rPr>
            </w:pPr>
            <w:r>
              <w:rPr>
                <w:sz w:val="20"/>
              </w:rPr>
              <w:t>3.02</w:t>
            </w:r>
          </w:p>
        </w:tc>
        <w:tc>
          <w:tcPr>
            <w:tcW w:w="1131" w:type="dxa"/>
          </w:tcPr>
          <w:p w:rsidR="007C5447" w:rsidRDefault="00F6308C">
            <w:pPr>
              <w:pStyle w:val="TableParagraph"/>
              <w:spacing w:before="34"/>
              <w:ind w:right="101"/>
              <w:rPr>
                <w:sz w:val="20"/>
              </w:rPr>
            </w:pPr>
            <w:r>
              <w:rPr>
                <w:w w:val="95"/>
                <w:sz w:val="20"/>
              </w:rPr>
              <w:t>253.43</w:t>
            </w:r>
          </w:p>
        </w:tc>
        <w:tc>
          <w:tcPr>
            <w:tcW w:w="990" w:type="dxa"/>
          </w:tcPr>
          <w:p w:rsidR="007C5447" w:rsidRDefault="00F6308C">
            <w:pPr>
              <w:pStyle w:val="TableParagraph"/>
              <w:spacing w:before="34"/>
              <w:ind w:right="101"/>
              <w:rPr>
                <w:sz w:val="20"/>
              </w:rPr>
            </w:pPr>
            <w:r>
              <w:rPr>
                <w:sz w:val="20"/>
              </w:rPr>
              <w:t>12.68</w:t>
            </w:r>
          </w:p>
        </w:tc>
        <w:tc>
          <w:tcPr>
            <w:tcW w:w="1265" w:type="dxa"/>
          </w:tcPr>
          <w:p w:rsidR="007C5447" w:rsidRDefault="00F6308C">
            <w:pPr>
              <w:pStyle w:val="TableParagraph"/>
              <w:spacing w:before="34"/>
              <w:ind w:right="101"/>
              <w:rPr>
                <w:sz w:val="20"/>
              </w:rPr>
            </w:pPr>
            <w:r>
              <w:rPr>
                <w:w w:val="95"/>
                <w:sz w:val="20"/>
              </w:rPr>
              <w:t>1,064.29</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Mettur TPS</w:t>
            </w:r>
          </w:p>
        </w:tc>
        <w:tc>
          <w:tcPr>
            <w:tcW w:w="1021" w:type="dxa"/>
          </w:tcPr>
          <w:p w:rsidR="007C5447" w:rsidRDefault="00F6308C">
            <w:pPr>
              <w:pStyle w:val="TableParagraph"/>
              <w:spacing w:before="34"/>
              <w:ind w:right="98"/>
              <w:rPr>
                <w:sz w:val="20"/>
              </w:rPr>
            </w:pPr>
            <w:r>
              <w:rPr>
                <w:w w:val="95"/>
                <w:sz w:val="20"/>
              </w:rPr>
              <w:t>5,386.35</w:t>
            </w:r>
          </w:p>
        </w:tc>
        <w:tc>
          <w:tcPr>
            <w:tcW w:w="1232" w:type="dxa"/>
          </w:tcPr>
          <w:p w:rsidR="007C5447" w:rsidRDefault="00F6308C">
            <w:pPr>
              <w:pStyle w:val="TableParagraph"/>
              <w:spacing w:before="34"/>
              <w:ind w:right="97"/>
              <w:rPr>
                <w:sz w:val="20"/>
              </w:rPr>
            </w:pPr>
            <w:r>
              <w:rPr>
                <w:w w:val="95"/>
                <w:sz w:val="20"/>
              </w:rPr>
              <w:t>582.34</w:t>
            </w:r>
          </w:p>
        </w:tc>
        <w:tc>
          <w:tcPr>
            <w:tcW w:w="990" w:type="dxa"/>
          </w:tcPr>
          <w:p w:rsidR="007C5447" w:rsidRDefault="00F6308C">
            <w:pPr>
              <w:pStyle w:val="TableParagraph"/>
              <w:spacing w:before="34"/>
              <w:ind w:right="99"/>
              <w:rPr>
                <w:sz w:val="20"/>
              </w:rPr>
            </w:pPr>
            <w:r>
              <w:rPr>
                <w:sz w:val="20"/>
              </w:rPr>
              <w:t>2.88</w:t>
            </w:r>
          </w:p>
        </w:tc>
        <w:tc>
          <w:tcPr>
            <w:tcW w:w="1131" w:type="dxa"/>
          </w:tcPr>
          <w:p w:rsidR="007C5447" w:rsidRDefault="00F6308C">
            <w:pPr>
              <w:pStyle w:val="TableParagraph"/>
              <w:spacing w:before="34"/>
              <w:ind w:right="102"/>
              <w:rPr>
                <w:sz w:val="20"/>
              </w:rPr>
            </w:pPr>
            <w:r>
              <w:rPr>
                <w:w w:val="95"/>
                <w:sz w:val="20"/>
              </w:rPr>
              <w:t>1,551.41</w:t>
            </w:r>
          </w:p>
        </w:tc>
        <w:tc>
          <w:tcPr>
            <w:tcW w:w="990" w:type="dxa"/>
          </w:tcPr>
          <w:p w:rsidR="007C5447" w:rsidRDefault="00F6308C">
            <w:pPr>
              <w:pStyle w:val="TableParagraph"/>
              <w:spacing w:before="34"/>
              <w:ind w:right="100"/>
              <w:rPr>
                <w:sz w:val="20"/>
              </w:rPr>
            </w:pPr>
            <w:r>
              <w:rPr>
                <w:sz w:val="20"/>
              </w:rPr>
              <w:t>3.96</w:t>
            </w:r>
          </w:p>
        </w:tc>
        <w:tc>
          <w:tcPr>
            <w:tcW w:w="1265" w:type="dxa"/>
          </w:tcPr>
          <w:p w:rsidR="007C5447" w:rsidRDefault="00F6308C">
            <w:pPr>
              <w:pStyle w:val="TableParagraph"/>
              <w:spacing w:before="34"/>
              <w:ind w:right="98"/>
              <w:rPr>
                <w:sz w:val="20"/>
              </w:rPr>
            </w:pPr>
            <w:r>
              <w:rPr>
                <w:sz w:val="20"/>
              </w:rPr>
              <w:t>2,133.75</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MTPS Stage III</w:t>
            </w:r>
          </w:p>
        </w:tc>
        <w:tc>
          <w:tcPr>
            <w:tcW w:w="1021" w:type="dxa"/>
          </w:tcPr>
          <w:p w:rsidR="007C5447" w:rsidRDefault="00F6308C">
            <w:pPr>
              <w:pStyle w:val="TableParagraph"/>
              <w:spacing w:before="36"/>
              <w:ind w:right="98"/>
              <w:rPr>
                <w:sz w:val="20"/>
              </w:rPr>
            </w:pPr>
            <w:r>
              <w:rPr>
                <w:w w:val="95"/>
                <w:sz w:val="20"/>
              </w:rPr>
              <w:t>4,039.76</w:t>
            </w:r>
          </w:p>
        </w:tc>
        <w:tc>
          <w:tcPr>
            <w:tcW w:w="1232" w:type="dxa"/>
          </w:tcPr>
          <w:p w:rsidR="007C5447" w:rsidRDefault="00F6308C">
            <w:pPr>
              <w:pStyle w:val="TableParagraph"/>
              <w:spacing w:before="36"/>
              <w:ind w:right="99"/>
              <w:rPr>
                <w:sz w:val="20"/>
              </w:rPr>
            </w:pPr>
            <w:r>
              <w:rPr>
                <w:sz w:val="20"/>
              </w:rPr>
              <w:t>700.97</w:t>
            </w:r>
          </w:p>
        </w:tc>
        <w:tc>
          <w:tcPr>
            <w:tcW w:w="990" w:type="dxa"/>
          </w:tcPr>
          <w:p w:rsidR="007C5447" w:rsidRDefault="00F6308C">
            <w:pPr>
              <w:pStyle w:val="TableParagraph"/>
              <w:spacing w:before="36"/>
              <w:ind w:right="99"/>
              <w:rPr>
                <w:sz w:val="20"/>
              </w:rPr>
            </w:pPr>
            <w:r>
              <w:rPr>
                <w:sz w:val="20"/>
              </w:rPr>
              <w:t>2.29</w:t>
            </w:r>
          </w:p>
        </w:tc>
        <w:tc>
          <w:tcPr>
            <w:tcW w:w="1131" w:type="dxa"/>
          </w:tcPr>
          <w:p w:rsidR="007C5447" w:rsidRDefault="00F6308C">
            <w:pPr>
              <w:pStyle w:val="TableParagraph"/>
              <w:spacing w:before="36"/>
              <w:ind w:right="102"/>
              <w:rPr>
                <w:sz w:val="20"/>
              </w:rPr>
            </w:pPr>
            <w:r>
              <w:rPr>
                <w:w w:val="95"/>
                <w:sz w:val="20"/>
              </w:rPr>
              <w:t>926.73</w:t>
            </w:r>
          </w:p>
        </w:tc>
        <w:tc>
          <w:tcPr>
            <w:tcW w:w="990" w:type="dxa"/>
          </w:tcPr>
          <w:p w:rsidR="007C5447" w:rsidRDefault="00F6308C">
            <w:pPr>
              <w:pStyle w:val="TableParagraph"/>
              <w:spacing w:before="36"/>
              <w:ind w:right="100"/>
              <w:rPr>
                <w:sz w:val="20"/>
              </w:rPr>
            </w:pPr>
            <w:r>
              <w:rPr>
                <w:sz w:val="20"/>
              </w:rPr>
              <w:t>4.03</w:t>
            </w:r>
          </w:p>
        </w:tc>
        <w:tc>
          <w:tcPr>
            <w:tcW w:w="1265" w:type="dxa"/>
          </w:tcPr>
          <w:p w:rsidR="007C5447" w:rsidRDefault="00F6308C">
            <w:pPr>
              <w:pStyle w:val="TableParagraph"/>
              <w:spacing w:before="36"/>
              <w:ind w:right="100"/>
              <w:rPr>
                <w:sz w:val="20"/>
              </w:rPr>
            </w:pPr>
            <w:r>
              <w:rPr>
                <w:w w:val="95"/>
                <w:sz w:val="20"/>
              </w:rPr>
              <w:t>1,627.70</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North Chennai TPS</w:t>
            </w:r>
          </w:p>
        </w:tc>
        <w:tc>
          <w:tcPr>
            <w:tcW w:w="1021" w:type="dxa"/>
          </w:tcPr>
          <w:p w:rsidR="007C5447" w:rsidRDefault="00F6308C">
            <w:pPr>
              <w:pStyle w:val="TableParagraph"/>
              <w:spacing w:before="36"/>
              <w:ind w:right="98"/>
              <w:rPr>
                <w:sz w:val="20"/>
              </w:rPr>
            </w:pPr>
            <w:r>
              <w:rPr>
                <w:w w:val="95"/>
                <w:sz w:val="20"/>
              </w:rPr>
              <w:t>7,694.78</w:t>
            </w:r>
          </w:p>
        </w:tc>
        <w:tc>
          <w:tcPr>
            <w:tcW w:w="1232" w:type="dxa"/>
          </w:tcPr>
          <w:p w:rsidR="007C5447" w:rsidRDefault="00F6308C">
            <w:pPr>
              <w:pStyle w:val="TableParagraph"/>
              <w:spacing w:before="36"/>
              <w:ind w:right="99"/>
              <w:rPr>
                <w:sz w:val="20"/>
              </w:rPr>
            </w:pPr>
            <w:r>
              <w:rPr>
                <w:sz w:val="20"/>
              </w:rPr>
              <w:t>473.05</w:t>
            </w:r>
          </w:p>
        </w:tc>
        <w:tc>
          <w:tcPr>
            <w:tcW w:w="990" w:type="dxa"/>
          </w:tcPr>
          <w:p w:rsidR="007C5447" w:rsidRDefault="00F6308C">
            <w:pPr>
              <w:pStyle w:val="TableParagraph"/>
              <w:spacing w:before="36"/>
              <w:ind w:right="99"/>
              <w:rPr>
                <w:sz w:val="20"/>
              </w:rPr>
            </w:pPr>
            <w:r>
              <w:rPr>
                <w:sz w:val="20"/>
              </w:rPr>
              <w:t>2.11</w:t>
            </w:r>
          </w:p>
        </w:tc>
        <w:tc>
          <w:tcPr>
            <w:tcW w:w="1131" w:type="dxa"/>
          </w:tcPr>
          <w:p w:rsidR="007C5447" w:rsidRDefault="00F6308C">
            <w:pPr>
              <w:pStyle w:val="TableParagraph"/>
              <w:spacing w:before="36"/>
              <w:ind w:right="102"/>
              <w:rPr>
                <w:sz w:val="20"/>
              </w:rPr>
            </w:pPr>
            <w:r>
              <w:rPr>
                <w:w w:val="95"/>
                <w:sz w:val="20"/>
              </w:rPr>
              <w:t>1,626.71</w:t>
            </w:r>
          </w:p>
        </w:tc>
        <w:tc>
          <w:tcPr>
            <w:tcW w:w="990" w:type="dxa"/>
          </w:tcPr>
          <w:p w:rsidR="007C5447" w:rsidRDefault="00F6308C">
            <w:pPr>
              <w:pStyle w:val="TableParagraph"/>
              <w:spacing w:before="36"/>
              <w:ind w:right="100"/>
              <w:rPr>
                <w:sz w:val="20"/>
              </w:rPr>
            </w:pPr>
            <w:r>
              <w:rPr>
                <w:sz w:val="20"/>
              </w:rPr>
              <w:t>2.73</w:t>
            </w:r>
          </w:p>
        </w:tc>
        <w:tc>
          <w:tcPr>
            <w:tcW w:w="1265" w:type="dxa"/>
          </w:tcPr>
          <w:p w:rsidR="007C5447" w:rsidRDefault="00F6308C">
            <w:pPr>
              <w:pStyle w:val="TableParagraph"/>
              <w:spacing w:before="36"/>
              <w:ind w:right="98"/>
              <w:rPr>
                <w:sz w:val="20"/>
              </w:rPr>
            </w:pPr>
            <w:r>
              <w:rPr>
                <w:sz w:val="20"/>
              </w:rPr>
              <w:t>2,099.76</w:t>
            </w:r>
          </w:p>
        </w:tc>
      </w:tr>
      <w:tr w:rsidR="007C5447">
        <w:trPr>
          <w:trHeight w:val="301"/>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NCTPS Stage-II</w:t>
            </w:r>
          </w:p>
        </w:tc>
        <w:tc>
          <w:tcPr>
            <w:tcW w:w="1021" w:type="dxa"/>
          </w:tcPr>
          <w:p w:rsidR="007C5447" w:rsidRDefault="00F6308C">
            <w:pPr>
              <w:pStyle w:val="TableParagraph"/>
              <w:spacing w:before="36"/>
              <w:ind w:right="98"/>
              <w:rPr>
                <w:sz w:val="20"/>
              </w:rPr>
            </w:pPr>
            <w:r>
              <w:rPr>
                <w:w w:val="95"/>
                <w:sz w:val="20"/>
              </w:rPr>
              <w:t>3,847.39</w:t>
            </w:r>
          </w:p>
        </w:tc>
        <w:tc>
          <w:tcPr>
            <w:tcW w:w="1232" w:type="dxa"/>
          </w:tcPr>
          <w:p w:rsidR="007C5447" w:rsidRDefault="00F6308C">
            <w:pPr>
              <w:pStyle w:val="TableParagraph"/>
              <w:spacing w:before="36"/>
              <w:ind w:right="99"/>
              <w:rPr>
                <w:sz w:val="20"/>
              </w:rPr>
            </w:pPr>
            <w:r>
              <w:rPr>
                <w:sz w:val="20"/>
              </w:rPr>
              <w:t>928.29</w:t>
            </w:r>
          </w:p>
        </w:tc>
        <w:tc>
          <w:tcPr>
            <w:tcW w:w="990" w:type="dxa"/>
          </w:tcPr>
          <w:p w:rsidR="007C5447" w:rsidRDefault="00F6308C">
            <w:pPr>
              <w:pStyle w:val="TableParagraph"/>
              <w:spacing w:before="36"/>
              <w:ind w:right="99"/>
              <w:rPr>
                <w:sz w:val="20"/>
              </w:rPr>
            </w:pPr>
            <w:r>
              <w:rPr>
                <w:sz w:val="20"/>
              </w:rPr>
              <w:t>2.97</w:t>
            </w:r>
          </w:p>
        </w:tc>
        <w:tc>
          <w:tcPr>
            <w:tcW w:w="1131" w:type="dxa"/>
          </w:tcPr>
          <w:p w:rsidR="007C5447" w:rsidRDefault="00F6308C">
            <w:pPr>
              <w:pStyle w:val="TableParagraph"/>
              <w:spacing w:before="36"/>
              <w:ind w:right="102"/>
              <w:rPr>
                <w:sz w:val="20"/>
              </w:rPr>
            </w:pPr>
            <w:r>
              <w:rPr>
                <w:w w:val="95"/>
                <w:sz w:val="20"/>
              </w:rPr>
              <w:t>1,144.29</w:t>
            </w:r>
          </w:p>
        </w:tc>
        <w:tc>
          <w:tcPr>
            <w:tcW w:w="990" w:type="dxa"/>
          </w:tcPr>
          <w:p w:rsidR="007C5447" w:rsidRDefault="00F6308C">
            <w:pPr>
              <w:pStyle w:val="TableParagraph"/>
              <w:spacing w:before="36"/>
              <w:ind w:right="100"/>
              <w:rPr>
                <w:sz w:val="20"/>
              </w:rPr>
            </w:pPr>
            <w:r>
              <w:rPr>
                <w:sz w:val="20"/>
              </w:rPr>
              <w:t>5.39</w:t>
            </w:r>
          </w:p>
        </w:tc>
        <w:tc>
          <w:tcPr>
            <w:tcW w:w="1265" w:type="dxa"/>
          </w:tcPr>
          <w:p w:rsidR="007C5447" w:rsidRDefault="00F6308C">
            <w:pPr>
              <w:pStyle w:val="TableParagraph"/>
              <w:spacing w:before="36"/>
              <w:ind w:right="100"/>
              <w:rPr>
                <w:sz w:val="20"/>
              </w:rPr>
            </w:pPr>
            <w:r>
              <w:rPr>
                <w:sz w:val="20"/>
              </w:rPr>
              <w:t>2,072.58</w:t>
            </w:r>
          </w:p>
        </w:tc>
      </w:tr>
      <w:tr w:rsidR="007C5447">
        <w:trPr>
          <w:trHeight w:val="283"/>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38"/>
              <w:ind w:left="107"/>
              <w:jc w:val="left"/>
              <w:rPr>
                <w:sz w:val="18"/>
              </w:rPr>
            </w:pPr>
            <w:r>
              <w:rPr>
                <w:sz w:val="18"/>
              </w:rPr>
              <w:t>TGTPS</w:t>
            </w:r>
          </w:p>
        </w:tc>
        <w:tc>
          <w:tcPr>
            <w:tcW w:w="1021" w:type="dxa"/>
          </w:tcPr>
          <w:p w:rsidR="007C5447" w:rsidRDefault="00F6308C">
            <w:pPr>
              <w:pStyle w:val="TableParagraph"/>
              <w:spacing w:before="27"/>
              <w:ind w:right="97"/>
              <w:rPr>
                <w:sz w:val="20"/>
              </w:rPr>
            </w:pPr>
            <w:r>
              <w:rPr>
                <w:w w:val="95"/>
                <w:sz w:val="20"/>
              </w:rPr>
              <w:t>710.66</w:t>
            </w:r>
          </w:p>
        </w:tc>
        <w:tc>
          <w:tcPr>
            <w:tcW w:w="1232" w:type="dxa"/>
          </w:tcPr>
          <w:p w:rsidR="007C5447" w:rsidRDefault="00F6308C">
            <w:pPr>
              <w:pStyle w:val="TableParagraph"/>
              <w:spacing w:before="27"/>
              <w:ind w:right="98"/>
              <w:rPr>
                <w:sz w:val="20"/>
              </w:rPr>
            </w:pPr>
            <w:r>
              <w:rPr>
                <w:w w:val="95"/>
                <w:sz w:val="20"/>
              </w:rPr>
              <w:t>129.36</w:t>
            </w:r>
          </w:p>
        </w:tc>
        <w:tc>
          <w:tcPr>
            <w:tcW w:w="990" w:type="dxa"/>
          </w:tcPr>
          <w:p w:rsidR="007C5447" w:rsidRDefault="00F6308C">
            <w:pPr>
              <w:pStyle w:val="TableParagraph"/>
              <w:spacing w:before="27"/>
              <w:ind w:right="99"/>
              <w:rPr>
                <w:sz w:val="20"/>
              </w:rPr>
            </w:pPr>
            <w:r>
              <w:rPr>
                <w:sz w:val="20"/>
              </w:rPr>
              <w:t>2.38</w:t>
            </w:r>
          </w:p>
        </w:tc>
        <w:tc>
          <w:tcPr>
            <w:tcW w:w="1131" w:type="dxa"/>
          </w:tcPr>
          <w:p w:rsidR="007C5447" w:rsidRDefault="00F6308C">
            <w:pPr>
              <w:pStyle w:val="TableParagraph"/>
              <w:spacing w:before="27"/>
              <w:ind w:right="102"/>
              <w:rPr>
                <w:sz w:val="20"/>
              </w:rPr>
            </w:pPr>
            <w:r>
              <w:rPr>
                <w:w w:val="95"/>
                <w:sz w:val="20"/>
              </w:rPr>
              <w:t>168.84</w:t>
            </w:r>
          </w:p>
        </w:tc>
        <w:tc>
          <w:tcPr>
            <w:tcW w:w="990" w:type="dxa"/>
          </w:tcPr>
          <w:p w:rsidR="007C5447" w:rsidRDefault="00F6308C">
            <w:pPr>
              <w:pStyle w:val="TableParagraph"/>
              <w:spacing w:before="27"/>
              <w:ind w:right="100"/>
              <w:rPr>
                <w:sz w:val="20"/>
              </w:rPr>
            </w:pPr>
            <w:r>
              <w:rPr>
                <w:sz w:val="20"/>
              </w:rPr>
              <w:t>4.20</w:t>
            </w:r>
          </w:p>
        </w:tc>
        <w:tc>
          <w:tcPr>
            <w:tcW w:w="1265" w:type="dxa"/>
          </w:tcPr>
          <w:p w:rsidR="007C5447" w:rsidRDefault="00F6308C">
            <w:pPr>
              <w:pStyle w:val="TableParagraph"/>
              <w:spacing w:before="27"/>
              <w:ind w:right="100"/>
              <w:rPr>
                <w:sz w:val="20"/>
              </w:rPr>
            </w:pPr>
            <w:r>
              <w:rPr>
                <w:w w:val="95"/>
                <w:sz w:val="20"/>
              </w:rPr>
              <w:t>298.20</w:t>
            </w:r>
          </w:p>
        </w:tc>
      </w:tr>
      <w:tr w:rsidR="007C5447">
        <w:trPr>
          <w:trHeight w:val="302"/>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KGTPS</w:t>
            </w:r>
          </w:p>
        </w:tc>
        <w:tc>
          <w:tcPr>
            <w:tcW w:w="1021" w:type="dxa"/>
          </w:tcPr>
          <w:p w:rsidR="007C5447" w:rsidRDefault="00F6308C">
            <w:pPr>
              <w:pStyle w:val="TableParagraph"/>
              <w:spacing w:before="36"/>
              <w:ind w:right="97"/>
              <w:rPr>
                <w:sz w:val="20"/>
              </w:rPr>
            </w:pPr>
            <w:r>
              <w:rPr>
                <w:w w:val="95"/>
                <w:sz w:val="20"/>
              </w:rPr>
              <w:t>665.34</w:t>
            </w:r>
          </w:p>
        </w:tc>
        <w:tc>
          <w:tcPr>
            <w:tcW w:w="1232" w:type="dxa"/>
          </w:tcPr>
          <w:p w:rsidR="007C5447" w:rsidRDefault="00F6308C">
            <w:pPr>
              <w:pStyle w:val="TableParagraph"/>
              <w:spacing w:before="36"/>
              <w:ind w:right="98"/>
              <w:rPr>
                <w:sz w:val="20"/>
              </w:rPr>
            </w:pPr>
            <w:r>
              <w:rPr>
                <w:w w:val="95"/>
                <w:sz w:val="20"/>
              </w:rPr>
              <w:t>105.48</w:t>
            </w:r>
          </w:p>
        </w:tc>
        <w:tc>
          <w:tcPr>
            <w:tcW w:w="990" w:type="dxa"/>
          </w:tcPr>
          <w:p w:rsidR="007C5447" w:rsidRDefault="00F6308C">
            <w:pPr>
              <w:pStyle w:val="TableParagraph"/>
              <w:spacing w:before="36"/>
              <w:ind w:right="99"/>
              <w:rPr>
                <w:sz w:val="20"/>
              </w:rPr>
            </w:pPr>
            <w:r>
              <w:rPr>
                <w:sz w:val="20"/>
              </w:rPr>
              <w:t>2.41</w:t>
            </w:r>
          </w:p>
        </w:tc>
        <w:tc>
          <w:tcPr>
            <w:tcW w:w="1131" w:type="dxa"/>
          </w:tcPr>
          <w:p w:rsidR="007C5447" w:rsidRDefault="00F6308C">
            <w:pPr>
              <w:pStyle w:val="TableParagraph"/>
              <w:spacing w:before="36"/>
              <w:ind w:right="102"/>
              <w:rPr>
                <w:sz w:val="20"/>
              </w:rPr>
            </w:pPr>
            <w:r>
              <w:rPr>
                <w:w w:val="95"/>
                <w:sz w:val="20"/>
              </w:rPr>
              <w:t>160.36</w:t>
            </w:r>
          </w:p>
        </w:tc>
        <w:tc>
          <w:tcPr>
            <w:tcW w:w="990" w:type="dxa"/>
          </w:tcPr>
          <w:p w:rsidR="007C5447" w:rsidRDefault="00F6308C">
            <w:pPr>
              <w:pStyle w:val="TableParagraph"/>
              <w:spacing w:before="36"/>
              <w:ind w:right="100"/>
              <w:rPr>
                <w:sz w:val="20"/>
              </w:rPr>
            </w:pPr>
            <w:r>
              <w:rPr>
                <w:sz w:val="20"/>
              </w:rPr>
              <w:t>4.00</w:t>
            </w:r>
          </w:p>
        </w:tc>
        <w:tc>
          <w:tcPr>
            <w:tcW w:w="1265" w:type="dxa"/>
          </w:tcPr>
          <w:p w:rsidR="007C5447" w:rsidRDefault="00F6308C">
            <w:pPr>
              <w:pStyle w:val="TableParagraph"/>
              <w:spacing w:before="36"/>
              <w:ind w:right="100"/>
              <w:rPr>
                <w:sz w:val="20"/>
              </w:rPr>
            </w:pPr>
            <w:r>
              <w:rPr>
                <w:w w:val="95"/>
                <w:sz w:val="20"/>
              </w:rPr>
              <w:t>265.84</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BBGTPS</w:t>
            </w:r>
          </w:p>
        </w:tc>
        <w:tc>
          <w:tcPr>
            <w:tcW w:w="1021" w:type="dxa"/>
          </w:tcPr>
          <w:p w:rsidR="007C5447" w:rsidRDefault="00F6308C">
            <w:pPr>
              <w:pStyle w:val="TableParagraph"/>
              <w:spacing w:before="34"/>
              <w:ind w:right="99"/>
              <w:rPr>
                <w:sz w:val="20"/>
              </w:rPr>
            </w:pPr>
            <w:r>
              <w:rPr>
                <w:w w:val="99"/>
                <w:sz w:val="20"/>
              </w:rPr>
              <w:t>-</w:t>
            </w:r>
          </w:p>
        </w:tc>
        <w:tc>
          <w:tcPr>
            <w:tcW w:w="1232" w:type="dxa"/>
          </w:tcPr>
          <w:p w:rsidR="007C5447" w:rsidRDefault="00F6308C">
            <w:pPr>
              <w:pStyle w:val="TableParagraph"/>
              <w:spacing w:before="34"/>
              <w:ind w:right="98"/>
              <w:rPr>
                <w:sz w:val="20"/>
              </w:rPr>
            </w:pPr>
            <w:r>
              <w:rPr>
                <w:w w:val="95"/>
                <w:sz w:val="20"/>
              </w:rPr>
              <w:t>218.08</w:t>
            </w:r>
          </w:p>
        </w:tc>
        <w:tc>
          <w:tcPr>
            <w:tcW w:w="990" w:type="dxa"/>
          </w:tcPr>
          <w:p w:rsidR="007C5447" w:rsidRDefault="00F6308C">
            <w:pPr>
              <w:pStyle w:val="TableParagraph"/>
              <w:spacing w:before="34"/>
              <w:ind w:right="99"/>
              <w:rPr>
                <w:sz w:val="20"/>
              </w:rPr>
            </w:pPr>
            <w:r>
              <w:rPr>
                <w:sz w:val="20"/>
              </w:rPr>
              <w:t>10.76</w:t>
            </w:r>
          </w:p>
        </w:tc>
        <w:tc>
          <w:tcPr>
            <w:tcW w:w="1131" w:type="dxa"/>
          </w:tcPr>
          <w:p w:rsidR="007C5447" w:rsidRDefault="00F6308C">
            <w:pPr>
              <w:pStyle w:val="TableParagraph"/>
              <w:spacing w:before="34"/>
              <w:ind w:right="103"/>
              <w:rPr>
                <w:sz w:val="20"/>
              </w:rPr>
            </w:pPr>
            <w:r>
              <w:rPr>
                <w:w w:val="99"/>
                <w:sz w:val="20"/>
              </w:rPr>
              <w:t>-</w:t>
            </w:r>
          </w:p>
        </w:tc>
        <w:tc>
          <w:tcPr>
            <w:tcW w:w="990" w:type="dxa"/>
          </w:tcPr>
          <w:p w:rsidR="007C5447" w:rsidRDefault="00F6308C">
            <w:pPr>
              <w:pStyle w:val="TableParagraph"/>
              <w:spacing w:before="34"/>
              <w:ind w:right="101"/>
              <w:rPr>
                <w:sz w:val="20"/>
              </w:rPr>
            </w:pPr>
            <w:r>
              <w:rPr>
                <w:w w:val="99"/>
                <w:sz w:val="20"/>
              </w:rPr>
              <w:t>-</w:t>
            </w:r>
          </w:p>
        </w:tc>
        <w:tc>
          <w:tcPr>
            <w:tcW w:w="1265" w:type="dxa"/>
          </w:tcPr>
          <w:p w:rsidR="007C5447" w:rsidRDefault="00F6308C">
            <w:pPr>
              <w:pStyle w:val="TableParagraph"/>
              <w:spacing w:before="34"/>
              <w:ind w:right="100"/>
              <w:rPr>
                <w:sz w:val="20"/>
              </w:rPr>
            </w:pPr>
            <w:r>
              <w:rPr>
                <w:w w:val="95"/>
                <w:sz w:val="20"/>
              </w:rPr>
              <w:t>218.08</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VGTPS (Unit 1 and 2)</w:t>
            </w:r>
          </w:p>
        </w:tc>
        <w:tc>
          <w:tcPr>
            <w:tcW w:w="1021" w:type="dxa"/>
          </w:tcPr>
          <w:p w:rsidR="007C5447" w:rsidRDefault="00F6308C">
            <w:pPr>
              <w:pStyle w:val="TableParagraph"/>
              <w:spacing w:before="34"/>
              <w:ind w:right="98"/>
              <w:rPr>
                <w:sz w:val="20"/>
              </w:rPr>
            </w:pPr>
            <w:r>
              <w:rPr>
                <w:w w:val="95"/>
                <w:sz w:val="20"/>
              </w:rPr>
              <w:t>1,231.87</w:t>
            </w:r>
          </w:p>
        </w:tc>
        <w:tc>
          <w:tcPr>
            <w:tcW w:w="1232" w:type="dxa"/>
          </w:tcPr>
          <w:p w:rsidR="007C5447" w:rsidRDefault="00F6308C">
            <w:pPr>
              <w:pStyle w:val="TableParagraph"/>
              <w:spacing w:before="34"/>
              <w:ind w:right="98"/>
              <w:rPr>
                <w:sz w:val="20"/>
              </w:rPr>
            </w:pPr>
            <w:r>
              <w:rPr>
                <w:w w:val="95"/>
                <w:sz w:val="20"/>
              </w:rPr>
              <w:t>208.10</w:t>
            </w:r>
          </w:p>
        </w:tc>
        <w:tc>
          <w:tcPr>
            <w:tcW w:w="990" w:type="dxa"/>
          </w:tcPr>
          <w:p w:rsidR="007C5447" w:rsidRDefault="00F6308C">
            <w:pPr>
              <w:pStyle w:val="TableParagraph"/>
              <w:spacing w:before="34"/>
              <w:ind w:right="99"/>
              <w:rPr>
                <w:sz w:val="20"/>
              </w:rPr>
            </w:pPr>
            <w:r>
              <w:rPr>
                <w:sz w:val="20"/>
              </w:rPr>
              <w:t>2.27</w:t>
            </w:r>
          </w:p>
        </w:tc>
        <w:tc>
          <w:tcPr>
            <w:tcW w:w="1131" w:type="dxa"/>
          </w:tcPr>
          <w:p w:rsidR="007C5447" w:rsidRDefault="00F6308C">
            <w:pPr>
              <w:pStyle w:val="TableParagraph"/>
              <w:spacing w:before="34"/>
              <w:ind w:right="102"/>
              <w:rPr>
                <w:sz w:val="20"/>
              </w:rPr>
            </w:pPr>
            <w:r>
              <w:rPr>
                <w:w w:val="95"/>
                <w:sz w:val="20"/>
              </w:rPr>
              <w:t>279.93</w:t>
            </w:r>
          </w:p>
        </w:tc>
        <w:tc>
          <w:tcPr>
            <w:tcW w:w="990" w:type="dxa"/>
          </w:tcPr>
          <w:p w:rsidR="007C5447" w:rsidRDefault="00F6308C">
            <w:pPr>
              <w:pStyle w:val="TableParagraph"/>
              <w:spacing w:before="34"/>
              <w:ind w:right="100"/>
              <w:rPr>
                <w:sz w:val="20"/>
              </w:rPr>
            </w:pPr>
            <w:r>
              <w:rPr>
                <w:sz w:val="20"/>
              </w:rPr>
              <w:t>3.96</w:t>
            </w:r>
          </w:p>
        </w:tc>
        <w:tc>
          <w:tcPr>
            <w:tcW w:w="1265" w:type="dxa"/>
          </w:tcPr>
          <w:p w:rsidR="007C5447" w:rsidRDefault="00F6308C">
            <w:pPr>
              <w:pStyle w:val="TableParagraph"/>
              <w:spacing w:before="34"/>
              <w:ind w:right="100"/>
              <w:rPr>
                <w:sz w:val="20"/>
              </w:rPr>
            </w:pPr>
            <w:r>
              <w:rPr>
                <w:w w:val="95"/>
                <w:sz w:val="20"/>
              </w:rPr>
              <w:t>488.03</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Erode HEP</w:t>
            </w:r>
          </w:p>
        </w:tc>
        <w:tc>
          <w:tcPr>
            <w:tcW w:w="1021" w:type="dxa"/>
          </w:tcPr>
          <w:p w:rsidR="007C5447" w:rsidRDefault="00F6308C">
            <w:pPr>
              <w:pStyle w:val="TableParagraph"/>
              <w:spacing w:before="36"/>
              <w:ind w:right="98"/>
              <w:rPr>
                <w:sz w:val="20"/>
              </w:rPr>
            </w:pPr>
            <w:r>
              <w:rPr>
                <w:w w:val="95"/>
                <w:sz w:val="20"/>
              </w:rPr>
              <w:t>1,311.97</w:t>
            </w:r>
          </w:p>
        </w:tc>
        <w:tc>
          <w:tcPr>
            <w:tcW w:w="1232" w:type="dxa"/>
          </w:tcPr>
          <w:p w:rsidR="007C5447" w:rsidRDefault="00F6308C">
            <w:pPr>
              <w:pStyle w:val="TableParagraph"/>
              <w:spacing w:before="36"/>
              <w:ind w:right="98"/>
              <w:rPr>
                <w:sz w:val="20"/>
              </w:rPr>
            </w:pPr>
            <w:r>
              <w:rPr>
                <w:w w:val="95"/>
                <w:sz w:val="20"/>
              </w:rPr>
              <w:t>236.79</w:t>
            </w:r>
          </w:p>
        </w:tc>
        <w:tc>
          <w:tcPr>
            <w:tcW w:w="990" w:type="dxa"/>
          </w:tcPr>
          <w:p w:rsidR="007C5447" w:rsidRDefault="007C5447">
            <w:pPr>
              <w:pStyle w:val="TableParagraph"/>
              <w:jc w:val="left"/>
              <w:rPr>
                <w:sz w:val="18"/>
              </w:rPr>
            </w:pPr>
          </w:p>
        </w:tc>
        <w:tc>
          <w:tcPr>
            <w:tcW w:w="1131" w:type="dxa"/>
          </w:tcPr>
          <w:p w:rsidR="007C5447" w:rsidRDefault="00F6308C">
            <w:pPr>
              <w:pStyle w:val="TableParagraph"/>
              <w:spacing w:before="36"/>
              <w:ind w:right="103"/>
              <w:rPr>
                <w:sz w:val="20"/>
              </w:rPr>
            </w:pPr>
            <w:r>
              <w:rPr>
                <w:w w:val="99"/>
                <w:sz w:val="20"/>
              </w:rPr>
              <w:t>-</w:t>
            </w:r>
          </w:p>
        </w:tc>
        <w:tc>
          <w:tcPr>
            <w:tcW w:w="990" w:type="dxa"/>
          </w:tcPr>
          <w:p w:rsidR="007C5447" w:rsidRDefault="00F6308C">
            <w:pPr>
              <w:pStyle w:val="TableParagraph"/>
              <w:spacing w:before="36"/>
              <w:ind w:right="100"/>
              <w:rPr>
                <w:sz w:val="20"/>
              </w:rPr>
            </w:pPr>
            <w:r>
              <w:rPr>
                <w:sz w:val="20"/>
              </w:rPr>
              <w:t>1.80</w:t>
            </w:r>
          </w:p>
        </w:tc>
        <w:tc>
          <w:tcPr>
            <w:tcW w:w="1265" w:type="dxa"/>
          </w:tcPr>
          <w:p w:rsidR="007C5447" w:rsidRDefault="00F6308C">
            <w:pPr>
              <w:pStyle w:val="TableParagraph"/>
              <w:spacing w:before="36"/>
              <w:ind w:right="100"/>
              <w:rPr>
                <w:sz w:val="20"/>
              </w:rPr>
            </w:pPr>
            <w:r>
              <w:rPr>
                <w:w w:val="95"/>
                <w:sz w:val="20"/>
              </w:rPr>
              <w:t>236.79</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Kadamparai HEP</w:t>
            </w:r>
          </w:p>
        </w:tc>
        <w:tc>
          <w:tcPr>
            <w:tcW w:w="1021" w:type="dxa"/>
          </w:tcPr>
          <w:p w:rsidR="007C5447" w:rsidRDefault="00F6308C">
            <w:pPr>
              <w:pStyle w:val="TableParagraph"/>
              <w:spacing w:before="36"/>
              <w:ind w:right="98"/>
              <w:rPr>
                <w:sz w:val="20"/>
              </w:rPr>
            </w:pPr>
            <w:r>
              <w:rPr>
                <w:sz w:val="20"/>
              </w:rPr>
              <w:t>956.00</w:t>
            </w:r>
          </w:p>
        </w:tc>
        <w:tc>
          <w:tcPr>
            <w:tcW w:w="1232" w:type="dxa"/>
          </w:tcPr>
          <w:p w:rsidR="007C5447" w:rsidRDefault="00F6308C">
            <w:pPr>
              <w:pStyle w:val="TableParagraph"/>
              <w:spacing w:before="36"/>
              <w:ind w:right="98"/>
              <w:rPr>
                <w:sz w:val="20"/>
              </w:rPr>
            </w:pPr>
            <w:r>
              <w:rPr>
                <w:w w:val="95"/>
                <w:sz w:val="20"/>
              </w:rPr>
              <w:t>113.76</w:t>
            </w:r>
          </w:p>
        </w:tc>
        <w:tc>
          <w:tcPr>
            <w:tcW w:w="990" w:type="dxa"/>
          </w:tcPr>
          <w:p w:rsidR="007C5447" w:rsidRDefault="007C5447">
            <w:pPr>
              <w:pStyle w:val="TableParagraph"/>
              <w:jc w:val="left"/>
              <w:rPr>
                <w:sz w:val="18"/>
              </w:rPr>
            </w:pPr>
          </w:p>
        </w:tc>
        <w:tc>
          <w:tcPr>
            <w:tcW w:w="1131" w:type="dxa"/>
          </w:tcPr>
          <w:p w:rsidR="007C5447" w:rsidRDefault="00F6308C">
            <w:pPr>
              <w:pStyle w:val="TableParagraph"/>
              <w:spacing w:before="36"/>
              <w:ind w:right="103"/>
              <w:rPr>
                <w:sz w:val="20"/>
              </w:rPr>
            </w:pPr>
            <w:r>
              <w:rPr>
                <w:w w:val="99"/>
                <w:sz w:val="20"/>
              </w:rPr>
              <w:t>-</w:t>
            </w:r>
          </w:p>
        </w:tc>
        <w:tc>
          <w:tcPr>
            <w:tcW w:w="990" w:type="dxa"/>
          </w:tcPr>
          <w:p w:rsidR="007C5447" w:rsidRDefault="00F6308C">
            <w:pPr>
              <w:pStyle w:val="TableParagraph"/>
              <w:spacing w:before="36"/>
              <w:ind w:right="100"/>
              <w:rPr>
                <w:sz w:val="20"/>
              </w:rPr>
            </w:pPr>
            <w:r>
              <w:rPr>
                <w:sz w:val="20"/>
              </w:rPr>
              <w:t>1.19</w:t>
            </w:r>
          </w:p>
        </w:tc>
        <w:tc>
          <w:tcPr>
            <w:tcW w:w="1265" w:type="dxa"/>
          </w:tcPr>
          <w:p w:rsidR="007C5447" w:rsidRDefault="00F6308C">
            <w:pPr>
              <w:pStyle w:val="TableParagraph"/>
              <w:spacing w:before="36"/>
              <w:ind w:right="100"/>
              <w:rPr>
                <w:sz w:val="20"/>
              </w:rPr>
            </w:pPr>
            <w:r>
              <w:rPr>
                <w:w w:val="95"/>
                <w:sz w:val="20"/>
              </w:rPr>
              <w:t>113.76</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Kundah HEP</w:t>
            </w:r>
          </w:p>
        </w:tc>
        <w:tc>
          <w:tcPr>
            <w:tcW w:w="1021" w:type="dxa"/>
          </w:tcPr>
          <w:p w:rsidR="007C5447" w:rsidRDefault="00F6308C">
            <w:pPr>
              <w:pStyle w:val="TableParagraph"/>
              <w:spacing w:before="36"/>
              <w:ind w:right="98"/>
              <w:rPr>
                <w:sz w:val="20"/>
              </w:rPr>
            </w:pPr>
            <w:r>
              <w:rPr>
                <w:w w:val="95"/>
                <w:sz w:val="20"/>
              </w:rPr>
              <w:t>2,411.00</w:t>
            </w:r>
          </w:p>
        </w:tc>
        <w:tc>
          <w:tcPr>
            <w:tcW w:w="1232" w:type="dxa"/>
          </w:tcPr>
          <w:p w:rsidR="007C5447" w:rsidRDefault="00F6308C">
            <w:pPr>
              <w:pStyle w:val="TableParagraph"/>
              <w:spacing w:before="36"/>
              <w:ind w:right="98"/>
              <w:rPr>
                <w:sz w:val="20"/>
              </w:rPr>
            </w:pPr>
            <w:r>
              <w:rPr>
                <w:w w:val="95"/>
                <w:sz w:val="20"/>
              </w:rPr>
              <w:t>301.21</w:t>
            </w:r>
          </w:p>
        </w:tc>
        <w:tc>
          <w:tcPr>
            <w:tcW w:w="990" w:type="dxa"/>
          </w:tcPr>
          <w:p w:rsidR="007C5447" w:rsidRDefault="007C5447">
            <w:pPr>
              <w:pStyle w:val="TableParagraph"/>
              <w:jc w:val="left"/>
              <w:rPr>
                <w:sz w:val="18"/>
              </w:rPr>
            </w:pPr>
          </w:p>
        </w:tc>
        <w:tc>
          <w:tcPr>
            <w:tcW w:w="1131" w:type="dxa"/>
          </w:tcPr>
          <w:p w:rsidR="007C5447" w:rsidRDefault="00F6308C">
            <w:pPr>
              <w:pStyle w:val="TableParagraph"/>
              <w:spacing w:before="36"/>
              <w:ind w:right="103"/>
              <w:rPr>
                <w:sz w:val="20"/>
              </w:rPr>
            </w:pPr>
            <w:r>
              <w:rPr>
                <w:w w:val="99"/>
                <w:sz w:val="20"/>
              </w:rPr>
              <w:t>-</w:t>
            </w:r>
          </w:p>
        </w:tc>
        <w:tc>
          <w:tcPr>
            <w:tcW w:w="990" w:type="dxa"/>
          </w:tcPr>
          <w:p w:rsidR="007C5447" w:rsidRDefault="00F6308C">
            <w:pPr>
              <w:pStyle w:val="TableParagraph"/>
              <w:spacing w:before="36"/>
              <w:ind w:right="100"/>
              <w:rPr>
                <w:sz w:val="20"/>
              </w:rPr>
            </w:pPr>
            <w:r>
              <w:rPr>
                <w:sz w:val="20"/>
              </w:rPr>
              <w:t>1.25</w:t>
            </w:r>
          </w:p>
        </w:tc>
        <w:tc>
          <w:tcPr>
            <w:tcW w:w="1265" w:type="dxa"/>
          </w:tcPr>
          <w:p w:rsidR="007C5447" w:rsidRDefault="00F6308C">
            <w:pPr>
              <w:pStyle w:val="TableParagraph"/>
              <w:spacing w:before="36"/>
              <w:ind w:right="100"/>
              <w:rPr>
                <w:sz w:val="20"/>
              </w:rPr>
            </w:pPr>
            <w:r>
              <w:rPr>
                <w:w w:val="95"/>
                <w:sz w:val="20"/>
              </w:rPr>
              <w:t>301.21</w:t>
            </w:r>
          </w:p>
        </w:tc>
      </w:tr>
      <w:tr w:rsidR="007C5447">
        <w:trPr>
          <w:trHeight w:val="302"/>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Tirunelveli HEP</w:t>
            </w:r>
          </w:p>
        </w:tc>
        <w:tc>
          <w:tcPr>
            <w:tcW w:w="1021" w:type="dxa"/>
          </w:tcPr>
          <w:p w:rsidR="007C5447" w:rsidRDefault="00F6308C">
            <w:pPr>
              <w:pStyle w:val="TableParagraph"/>
              <w:spacing w:before="36"/>
              <w:ind w:right="98"/>
              <w:rPr>
                <w:sz w:val="20"/>
              </w:rPr>
            </w:pPr>
            <w:r>
              <w:rPr>
                <w:w w:val="95"/>
                <w:sz w:val="20"/>
              </w:rPr>
              <w:t>1,026.00</w:t>
            </w:r>
          </w:p>
        </w:tc>
        <w:tc>
          <w:tcPr>
            <w:tcW w:w="1232" w:type="dxa"/>
          </w:tcPr>
          <w:p w:rsidR="007C5447" w:rsidRDefault="00F6308C">
            <w:pPr>
              <w:pStyle w:val="TableParagraph"/>
              <w:spacing w:before="36"/>
              <w:ind w:right="97"/>
              <w:rPr>
                <w:sz w:val="20"/>
              </w:rPr>
            </w:pPr>
            <w:r>
              <w:rPr>
                <w:w w:val="95"/>
                <w:sz w:val="20"/>
              </w:rPr>
              <w:t>164.24</w:t>
            </w:r>
          </w:p>
        </w:tc>
        <w:tc>
          <w:tcPr>
            <w:tcW w:w="990" w:type="dxa"/>
          </w:tcPr>
          <w:p w:rsidR="007C5447" w:rsidRDefault="007C5447">
            <w:pPr>
              <w:pStyle w:val="TableParagraph"/>
              <w:jc w:val="left"/>
              <w:rPr>
                <w:sz w:val="18"/>
              </w:rPr>
            </w:pPr>
          </w:p>
        </w:tc>
        <w:tc>
          <w:tcPr>
            <w:tcW w:w="1131" w:type="dxa"/>
          </w:tcPr>
          <w:p w:rsidR="007C5447" w:rsidRDefault="00F6308C">
            <w:pPr>
              <w:pStyle w:val="TableParagraph"/>
              <w:spacing w:before="36"/>
              <w:ind w:right="103"/>
              <w:rPr>
                <w:sz w:val="20"/>
              </w:rPr>
            </w:pPr>
            <w:r>
              <w:rPr>
                <w:w w:val="99"/>
                <w:sz w:val="20"/>
              </w:rPr>
              <w:t>-</w:t>
            </w:r>
          </w:p>
        </w:tc>
        <w:tc>
          <w:tcPr>
            <w:tcW w:w="990" w:type="dxa"/>
          </w:tcPr>
          <w:p w:rsidR="007C5447" w:rsidRDefault="00F6308C">
            <w:pPr>
              <w:pStyle w:val="TableParagraph"/>
              <w:spacing w:before="36"/>
              <w:ind w:right="100"/>
              <w:rPr>
                <w:sz w:val="20"/>
              </w:rPr>
            </w:pPr>
            <w:r>
              <w:rPr>
                <w:sz w:val="20"/>
              </w:rPr>
              <w:t>1.60</w:t>
            </w:r>
          </w:p>
        </w:tc>
        <w:tc>
          <w:tcPr>
            <w:tcW w:w="1265" w:type="dxa"/>
          </w:tcPr>
          <w:p w:rsidR="007C5447" w:rsidRDefault="00F6308C">
            <w:pPr>
              <w:pStyle w:val="TableParagraph"/>
              <w:spacing w:before="36"/>
              <w:ind w:right="100"/>
              <w:rPr>
                <w:sz w:val="20"/>
              </w:rPr>
            </w:pPr>
            <w:r>
              <w:rPr>
                <w:w w:val="95"/>
                <w:sz w:val="20"/>
              </w:rPr>
              <w:t>164.24</w:t>
            </w:r>
          </w:p>
        </w:tc>
      </w:tr>
    </w:tbl>
    <w:p w:rsidR="007C5447" w:rsidRDefault="007C5447">
      <w:pPr>
        <w:rPr>
          <w:sz w:val="20"/>
        </w:rPr>
        <w:sectPr w:rsidR="007C5447">
          <w:pgSz w:w="11910" w:h="16840"/>
          <w:pgMar w:top="1420" w:right="260" w:bottom="960" w:left="340" w:header="0" w:footer="777" w:gutter="0"/>
          <w:cols w:space="720"/>
        </w:sect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6"/>
        <w:gridCol w:w="2214"/>
        <w:gridCol w:w="1021"/>
        <w:gridCol w:w="1232"/>
        <w:gridCol w:w="990"/>
        <w:gridCol w:w="1131"/>
        <w:gridCol w:w="990"/>
        <w:gridCol w:w="1265"/>
      </w:tblGrid>
      <w:tr w:rsidR="007C5447">
        <w:trPr>
          <w:trHeight w:val="859"/>
        </w:trPr>
        <w:tc>
          <w:tcPr>
            <w:tcW w:w="406"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line="207" w:lineRule="exact"/>
              <w:ind w:left="107"/>
              <w:jc w:val="left"/>
              <w:rPr>
                <w:b/>
                <w:sz w:val="18"/>
              </w:rPr>
            </w:pPr>
            <w:r>
              <w:rPr>
                <w:b/>
                <w:sz w:val="18"/>
              </w:rPr>
              <w:t>Sl</w:t>
            </w:r>
          </w:p>
          <w:p w:rsidR="007C5447" w:rsidRDefault="00F6308C">
            <w:pPr>
              <w:pStyle w:val="TableParagraph"/>
              <w:spacing w:line="207" w:lineRule="exact"/>
              <w:ind w:left="107"/>
              <w:jc w:val="left"/>
              <w:rPr>
                <w:b/>
                <w:sz w:val="18"/>
              </w:rPr>
            </w:pPr>
            <w:r>
              <w:rPr>
                <w:b/>
                <w:sz w:val="18"/>
              </w:rPr>
              <w:t>.</w:t>
            </w:r>
          </w:p>
        </w:tc>
        <w:tc>
          <w:tcPr>
            <w:tcW w:w="2214" w:type="dxa"/>
            <w:shd w:val="clear" w:color="auto" w:fill="F7C9AC"/>
          </w:tcPr>
          <w:p w:rsidR="007C5447" w:rsidRDefault="007C5447">
            <w:pPr>
              <w:pStyle w:val="TableParagraph"/>
              <w:spacing w:before="4"/>
              <w:jc w:val="left"/>
              <w:rPr>
                <w:b/>
                <w:sz w:val="28"/>
              </w:rPr>
            </w:pPr>
          </w:p>
          <w:p w:rsidR="007C5447" w:rsidRDefault="00F6308C">
            <w:pPr>
              <w:pStyle w:val="TableParagraph"/>
              <w:ind w:left="107"/>
              <w:jc w:val="left"/>
              <w:rPr>
                <w:b/>
                <w:sz w:val="18"/>
              </w:rPr>
            </w:pPr>
            <w:r>
              <w:rPr>
                <w:b/>
                <w:sz w:val="18"/>
              </w:rPr>
              <w:t>Particulars</w:t>
            </w:r>
          </w:p>
        </w:tc>
        <w:tc>
          <w:tcPr>
            <w:tcW w:w="1021"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298" w:right="111" w:hanging="159"/>
              <w:jc w:val="left"/>
              <w:rPr>
                <w:b/>
                <w:sz w:val="18"/>
              </w:rPr>
            </w:pPr>
            <w:r>
              <w:rPr>
                <w:b/>
                <w:sz w:val="18"/>
              </w:rPr>
              <w:t>Quantum (MU)</w:t>
            </w:r>
          </w:p>
        </w:tc>
        <w:tc>
          <w:tcPr>
            <w:tcW w:w="1232"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256" w:right="177" w:hanging="56"/>
              <w:jc w:val="left"/>
              <w:rPr>
                <w:b/>
                <w:sz w:val="18"/>
              </w:rPr>
            </w:pPr>
            <w:r>
              <w:rPr>
                <w:b/>
                <w:sz w:val="18"/>
              </w:rPr>
              <w:t>Fixed Cost (Rs. Cr.)</w:t>
            </w:r>
          </w:p>
        </w:tc>
        <w:tc>
          <w:tcPr>
            <w:tcW w:w="990" w:type="dxa"/>
            <w:shd w:val="clear" w:color="auto" w:fill="F7C9AC"/>
          </w:tcPr>
          <w:p w:rsidR="007C5447" w:rsidRDefault="00F6308C">
            <w:pPr>
              <w:pStyle w:val="TableParagraph"/>
              <w:spacing w:before="14"/>
              <w:ind w:left="124" w:right="120" w:firstLine="86"/>
              <w:jc w:val="both"/>
              <w:rPr>
                <w:b/>
                <w:sz w:val="18"/>
              </w:rPr>
            </w:pPr>
            <w:r>
              <w:rPr>
                <w:b/>
                <w:sz w:val="18"/>
              </w:rPr>
              <w:t>Energy Charge (Rs./kWh</w:t>
            </w:r>
          </w:p>
          <w:p w:rsidR="007C5447" w:rsidRDefault="00F6308C">
            <w:pPr>
              <w:pStyle w:val="TableParagraph"/>
              <w:spacing w:before="1" w:line="203" w:lineRule="exact"/>
              <w:jc w:val="center"/>
              <w:rPr>
                <w:b/>
                <w:sz w:val="18"/>
              </w:rPr>
            </w:pPr>
            <w:r>
              <w:rPr>
                <w:b/>
                <w:w w:val="99"/>
                <w:sz w:val="18"/>
              </w:rPr>
              <w:t>)</w:t>
            </w:r>
          </w:p>
        </w:tc>
        <w:tc>
          <w:tcPr>
            <w:tcW w:w="1131" w:type="dxa"/>
            <w:shd w:val="clear" w:color="auto" w:fill="F7C9AC"/>
          </w:tcPr>
          <w:p w:rsidR="007C5447" w:rsidRDefault="00F6308C">
            <w:pPr>
              <w:pStyle w:val="TableParagraph"/>
              <w:spacing w:before="119"/>
              <w:ind w:left="226" w:right="228" w:firstLine="52"/>
              <w:jc w:val="both"/>
              <w:rPr>
                <w:b/>
                <w:sz w:val="18"/>
              </w:rPr>
            </w:pPr>
            <w:r>
              <w:rPr>
                <w:b/>
                <w:sz w:val="18"/>
              </w:rPr>
              <w:t>Energy Charge (Rs. Cr.)</w:t>
            </w:r>
          </w:p>
        </w:tc>
        <w:tc>
          <w:tcPr>
            <w:tcW w:w="990" w:type="dxa"/>
            <w:shd w:val="clear" w:color="auto" w:fill="F7C9AC"/>
          </w:tcPr>
          <w:p w:rsidR="007C5447" w:rsidRDefault="00F6308C">
            <w:pPr>
              <w:pStyle w:val="TableParagraph"/>
              <w:spacing w:before="14"/>
              <w:ind w:left="122" w:right="121"/>
              <w:jc w:val="center"/>
              <w:rPr>
                <w:b/>
                <w:sz w:val="18"/>
              </w:rPr>
            </w:pPr>
            <w:r>
              <w:rPr>
                <w:b/>
                <w:sz w:val="18"/>
              </w:rPr>
              <w:t>Total Cost (Rs./kWh</w:t>
            </w:r>
          </w:p>
          <w:p w:rsidR="007C5447" w:rsidRDefault="00F6308C">
            <w:pPr>
              <w:pStyle w:val="TableParagraph"/>
              <w:spacing w:before="1" w:line="203" w:lineRule="exact"/>
              <w:jc w:val="center"/>
              <w:rPr>
                <w:b/>
                <w:sz w:val="18"/>
              </w:rPr>
            </w:pPr>
            <w:r>
              <w:rPr>
                <w:b/>
                <w:w w:val="99"/>
                <w:sz w:val="18"/>
              </w:rPr>
              <w:t>)</w:t>
            </w:r>
          </w:p>
        </w:tc>
        <w:tc>
          <w:tcPr>
            <w:tcW w:w="1265"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294" w:right="206" w:hanging="70"/>
              <w:jc w:val="left"/>
              <w:rPr>
                <w:b/>
                <w:sz w:val="18"/>
              </w:rPr>
            </w:pPr>
            <w:r>
              <w:rPr>
                <w:b/>
                <w:sz w:val="18"/>
              </w:rPr>
              <w:t>Total Cost (Rs. Cr.)</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Wind</w:t>
            </w:r>
          </w:p>
        </w:tc>
        <w:tc>
          <w:tcPr>
            <w:tcW w:w="1021" w:type="dxa"/>
          </w:tcPr>
          <w:p w:rsidR="007C5447" w:rsidRDefault="00F6308C">
            <w:pPr>
              <w:pStyle w:val="TableParagraph"/>
              <w:spacing w:before="34"/>
              <w:ind w:right="97"/>
              <w:rPr>
                <w:sz w:val="20"/>
              </w:rPr>
            </w:pPr>
            <w:r>
              <w:rPr>
                <w:sz w:val="20"/>
              </w:rPr>
              <w:t>12.00</w:t>
            </w:r>
          </w:p>
        </w:tc>
        <w:tc>
          <w:tcPr>
            <w:tcW w:w="1232" w:type="dxa"/>
          </w:tcPr>
          <w:p w:rsidR="007C5447" w:rsidRDefault="007C5447">
            <w:pPr>
              <w:pStyle w:val="TableParagraph"/>
              <w:jc w:val="left"/>
              <w:rPr>
                <w:sz w:val="18"/>
              </w:rPr>
            </w:pPr>
          </w:p>
        </w:tc>
        <w:tc>
          <w:tcPr>
            <w:tcW w:w="990" w:type="dxa"/>
          </w:tcPr>
          <w:p w:rsidR="007C5447" w:rsidRDefault="00F6308C">
            <w:pPr>
              <w:pStyle w:val="TableParagraph"/>
              <w:spacing w:before="34"/>
              <w:ind w:right="99"/>
              <w:rPr>
                <w:sz w:val="20"/>
              </w:rPr>
            </w:pPr>
            <w:r>
              <w:rPr>
                <w:sz w:val="20"/>
              </w:rPr>
              <w:t>2.75</w:t>
            </w:r>
          </w:p>
        </w:tc>
        <w:tc>
          <w:tcPr>
            <w:tcW w:w="1131" w:type="dxa"/>
          </w:tcPr>
          <w:p w:rsidR="007C5447" w:rsidRDefault="00F6308C">
            <w:pPr>
              <w:pStyle w:val="TableParagraph"/>
              <w:spacing w:before="34"/>
              <w:ind w:right="102"/>
              <w:rPr>
                <w:sz w:val="20"/>
              </w:rPr>
            </w:pPr>
            <w:r>
              <w:rPr>
                <w:sz w:val="20"/>
              </w:rPr>
              <w:t>3.30</w:t>
            </w:r>
          </w:p>
        </w:tc>
        <w:tc>
          <w:tcPr>
            <w:tcW w:w="990" w:type="dxa"/>
          </w:tcPr>
          <w:p w:rsidR="007C5447" w:rsidRDefault="00F6308C">
            <w:pPr>
              <w:pStyle w:val="TableParagraph"/>
              <w:spacing w:before="34"/>
              <w:ind w:right="100"/>
              <w:rPr>
                <w:sz w:val="20"/>
              </w:rPr>
            </w:pPr>
            <w:r>
              <w:rPr>
                <w:sz w:val="20"/>
              </w:rPr>
              <w:t>2.75</w:t>
            </w:r>
          </w:p>
        </w:tc>
        <w:tc>
          <w:tcPr>
            <w:tcW w:w="1265" w:type="dxa"/>
          </w:tcPr>
          <w:p w:rsidR="007C5447" w:rsidRDefault="00F6308C">
            <w:pPr>
              <w:pStyle w:val="TableParagraph"/>
              <w:spacing w:before="34"/>
              <w:ind w:right="100"/>
              <w:rPr>
                <w:sz w:val="20"/>
              </w:rPr>
            </w:pPr>
            <w:r>
              <w:rPr>
                <w:sz w:val="20"/>
              </w:rPr>
              <w:t>3.30</w:t>
            </w:r>
          </w:p>
        </w:tc>
      </w:tr>
      <w:tr w:rsidR="007C5447">
        <w:trPr>
          <w:trHeight w:val="328"/>
        </w:trPr>
        <w:tc>
          <w:tcPr>
            <w:tcW w:w="406" w:type="dxa"/>
            <w:shd w:val="clear" w:color="auto" w:fill="D0CECE"/>
          </w:tcPr>
          <w:p w:rsidR="007C5447" w:rsidRDefault="007C5447">
            <w:pPr>
              <w:pStyle w:val="TableParagraph"/>
              <w:jc w:val="left"/>
              <w:rPr>
                <w:sz w:val="18"/>
              </w:rPr>
            </w:pPr>
          </w:p>
        </w:tc>
        <w:tc>
          <w:tcPr>
            <w:tcW w:w="2214" w:type="dxa"/>
            <w:shd w:val="clear" w:color="auto" w:fill="D0CECE"/>
          </w:tcPr>
          <w:p w:rsidR="007C5447" w:rsidRDefault="00F6308C">
            <w:pPr>
              <w:pStyle w:val="TableParagraph"/>
              <w:spacing w:before="62"/>
              <w:ind w:left="107"/>
              <w:jc w:val="left"/>
              <w:rPr>
                <w:b/>
                <w:sz w:val="18"/>
              </w:rPr>
            </w:pPr>
            <w:r>
              <w:rPr>
                <w:b/>
                <w:sz w:val="18"/>
              </w:rPr>
              <w:t>Total</w:t>
            </w:r>
          </w:p>
        </w:tc>
        <w:tc>
          <w:tcPr>
            <w:tcW w:w="1021" w:type="dxa"/>
            <w:shd w:val="clear" w:color="auto" w:fill="D9D9D9"/>
          </w:tcPr>
          <w:p w:rsidR="007C5447" w:rsidRDefault="00F6308C">
            <w:pPr>
              <w:pStyle w:val="TableParagraph"/>
              <w:spacing w:before="50"/>
              <w:ind w:right="98"/>
              <w:rPr>
                <w:b/>
                <w:sz w:val="20"/>
              </w:rPr>
            </w:pPr>
            <w:r>
              <w:rPr>
                <w:b/>
                <w:w w:val="95"/>
                <w:sz w:val="20"/>
              </w:rPr>
              <w:t>30,132.60</w:t>
            </w:r>
          </w:p>
        </w:tc>
        <w:tc>
          <w:tcPr>
            <w:tcW w:w="1232" w:type="dxa"/>
            <w:shd w:val="clear" w:color="auto" w:fill="D9D9D9"/>
          </w:tcPr>
          <w:p w:rsidR="007C5447" w:rsidRDefault="00F6308C">
            <w:pPr>
              <w:pStyle w:val="TableParagraph"/>
              <w:spacing w:before="50"/>
              <w:ind w:right="97"/>
              <w:rPr>
                <w:b/>
                <w:sz w:val="20"/>
              </w:rPr>
            </w:pPr>
            <w:r>
              <w:rPr>
                <w:b/>
                <w:w w:val="95"/>
                <w:sz w:val="20"/>
              </w:rPr>
              <w:t>4,972.50</w:t>
            </w:r>
          </w:p>
        </w:tc>
        <w:tc>
          <w:tcPr>
            <w:tcW w:w="990" w:type="dxa"/>
            <w:shd w:val="clear" w:color="auto" w:fill="D9D9D9"/>
          </w:tcPr>
          <w:p w:rsidR="007C5447" w:rsidRDefault="00F6308C">
            <w:pPr>
              <w:pStyle w:val="TableParagraph"/>
              <w:spacing w:before="50"/>
              <w:ind w:right="98"/>
              <w:rPr>
                <w:b/>
                <w:sz w:val="20"/>
              </w:rPr>
            </w:pPr>
            <w:r>
              <w:rPr>
                <w:b/>
                <w:sz w:val="20"/>
              </w:rPr>
              <w:t>2.03</w:t>
            </w:r>
          </w:p>
        </w:tc>
        <w:tc>
          <w:tcPr>
            <w:tcW w:w="1131" w:type="dxa"/>
            <w:shd w:val="clear" w:color="auto" w:fill="D9D9D9"/>
          </w:tcPr>
          <w:p w:rsidR="007C5447" w:rsidRDefault="00F6308C">
            <w:pPr>
              <w:pStyle w:val="TableParagraph"/>
              <w:spacing w:before="50"/>
              <w:ind w:right="102"/>
              <w:rPr>
                <w:b/>
                <w:sz w:val="20"/>
              </w:rPr>
            </w:pPr>
            <w:r>
              <w:rPr>
                <w:b/>
                <w:w w:val="95"/>
                <w:sz w:val="20"/>
              </w:rPr>
              <w:t>6,115.00</w:t>
            </w:r>
          </w:p>
        </w:tc>
        <w:tc>
          <w:tcPr>
            <w:tcW w:w="990" w:type="dxa"/>
            <w:shd w:val="clear" w:color="auto" w:fill="D9D9D9"/>
          </w:tcPr>
          <w:p w:rsidR="007C5447" w:rsidRDefault="00F6308C">
            <w:pPr>
              <w:pStyle w:val="TableParagraph"/>
              <w:spacing w:before="50"/>
              <w:ind w:right="99"/>
              <w:rPr>
                <w:b/>
                <w:sz w:val="20"/>
              </w:rPr>
            </w:pPr>
            <w:r>
              <w:rPr>
                <w:b/>
                <w:sz w:val="20"/>
              </w:rPr>
              <w:t>3.68</w:t>
            </w:r>
          </w:p>
        </w:tc>
        <w:tc>
          <w:tcPr>
            <w:tcW w:w="1265" w:type="dxa"/>
            <w:shd w:val="clear" w:color="auto" w:fill="D9D9D9"/>
          </w:tcPr>
          <w:p w:rsidR="007C5447" w:rsidRDefault="00F6308C">
            <w:pPr>
              <w:pStyle w:val="TableParagraph"/>
              <w:spacing w:before="50"/>
              <w:ind w:right="101"/>
              <w:rPr>
                <w:b/>
                <w:sz w:val="20"/>
              </w:rPr>
            </w:pPr>
            <w:r>
              <w:rPr>
                <w:b/>
                <w:w w:val="95"/>
                <w:sz w:val="20"/>
              </w:rPr>
              <w:t>11,087.50</w:t>
            </w:r>
          </w:p>
        </w:tc>
      </w:tr>
      <w:tr w:rsidR="007C5447">
        <w:trPr>
          <w:trHeight w:val="330"/>
        </w:trPr>
        <w:tc>
          <w:tcPr>
            <w:tcW w:w="406" w:type="dxa"/>
          </w:tcPr>
          <w:p w:rsidR="007C5447" w:rsidRDefault="00F6308C">
            <w:pPr>
              <w:pStyle w:val="TableParagraph"/>
              <w:spacing w:before="62"/>
              <w:ind w:left="106"/>
              <w:jc w:val="center"/>
              <w:rPr>
                <w:sz w:val="18"/>
              </w:rPr>
            </w:pPr>
            <w:r>
              <w:rPr>
                <w:sz w:val="18"/>
              </w:rPr>
              <w:t>2</w:t>
            </w:r>
          </w:p>
        </w:tc>
        <w:tc>
          <w:tcPr>
            <w:tcW w:w="2214" w:type="dxa"/>
          </w:tcPr>
          <w:p w:rsidR="007C5447" w:rsidRDefault="00F6308C">
            <w:pPr>
              <w:pStyle w:val="TableParagraph"/>
              <w:spacing w:before="62"/>
              <w:ind w:left="107"/>
              <w:jc w:val="left"/>
              <w:rPr>
                <w:b/>
                <w:sz w:val="18"/>
              </w:rPr>
            </w:pPr>
            <w:r>
              <w:rPr>
                <w:b/>
                <w:sz w:val="18"/>
              </w:rPr>
              <w:t>CGS</w:t>
            </w:r>
          </w:p>
        </w:tc>
        <w:tc>
          <w:tcPr>
            <w:tcW w:w="1021" w:type="dxa"/>
          </w:tcPr>
          <w:p w:rsidR="007C5447" w:rsidRDefault="007C5447">
            <w:pPr>
              <w:pStyle w:val="TableParagraph"/>
              <w:jc w:val="left"/>
              <w:rPr>
                <w:sz w:val="18"/>
              </w:rPr>
            </w:pPr>
          </w:p>
        </w:tc>
        <w:tc>
          <w:tcPr>
            <w:tcW w:w="1232"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131"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265" w:type="dxa"/>
          </w:tcPr>
          <w:p w:rsidR="007C5447" w:rsidRDefault="007C5447">
            <w:pPr>
              <w:pStyle w:val="TableParagraph"/>
              <w:jc w:val="left"/>
              <w:rPr>
                <w:sz w:val="18"/>
              </w:rPr>
            </w:pPr>
          </w:p>
        </w:tc>
      </w:tr>
      <w:tr w:rsidR="007C5447">
        <w:trPr>
          <w:trHeight w:val="443"/>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20" w:line="206" w:lineRule="exact"/>
              <w:ind w:left="107" w:right="187"/>
              <w:jc w:val="left"/>
              <w:rPr>
                <w:sz w:val="18"/>
              </w:rPr>
            </w:pPr>
            <w:r>
              <w:rPr>
                <w:sz w:val="18"/>
              </w:rPr>
              <w:t>NTPC SR (Ramagundam) (I&amp;II)</w:t>
            </w:r>
          </w:p>
        </w:tc>
        <w:tc>
          <w:tcPr>
            <w:tcW w:w="1021" w:type="dxa"/>
          </w:tcPr>
          <w:p w:rsidR="007C5447" w:rsidRDefault="00F6308C">
            <w:pPr>
              <w:pStyle w:val="TableParagraph"/>
              <w:spacing w:before="108"/>
              <w:ind w:right="97"/>
              <w:rPr>
                <w:sz w:val="20"/>
              </w:rPr>
            </w:pPr>
            <w:r>
              <w:rPr>
                <w:sz w:val="20"/>
              </w:rPr>
              <w:t>3,727.40</w:t>
            </w:r>
          </w:p>
        </w:tc>
        <w:tc>
          <w:tcPr>
            <w:tcW w:w="1232" w:type="dxa"/>
          </w:tcPr>
          <w:p w:rsidR="007C5447" w:rsidRDefault="00F6308C">
            <w:pPr>
              <w:pStyle w:val="TableParagraph"/>
              <w:spacing w:before="108"/>
              <w:ind w:right="98"/>
              <w:rPr>
                <w:sz w:val="20"/>
              </w:rPr>
            </w:pPr>
            <w:r>
              <w:rPr>
                <w:w w:val="95"/>
                <w:sz w:val="20"/>
              </w:rPr>
              <w:t>195.23</w:t>
            </w:r>
          </w:p>
        </w:tc>
        <w:tc>
          <w:tcPr>
            <w:tcW w:w="990" w:type="dxa"/>
          </w:tcPr>
          <w:p w:rsidR="007C5447" w:rsidRDefault="00F6308C">
            <w:pPr>
              <w:pStyle w:val="TableParagraph"/>
              <w:spacing w:before="108"/>
              <w:ind w:right="99"/>
              <w:rPr>
                <w:sz w:val="20"/>
              </w:rPr>
            </w:pPr>
            <w:r>
              <w:rPr>
                <w:sz w:val="20"/>
              </w:rPr>
              <w:t>2.26</w:t>
            </w:r>
          </w:p>
        </w:tc>
        <w:tc>
          <w:tcPr>
            <w:tcW w:w="1131" w:type="dxa"/>
          </w:tcPr>
          <w:p w:rsidR="007C5447" w:rsidRDefault="00F6308C">
            <w:pPr>
              <w:pStyle w:val="TableParagraph"/>
              <w:spacing w:before="108"/>
              <w:ind w:right="102"/>
              <w:rPr>
                <w:sz w:val="20"/>
              </w:rPr>
            </w:pPr>
            <w:r>
              <w:rPr>
                <w:w w:val="95"/>
                <w:sz w:val="20"/>
              </w:rPr>
              <w:t>842.39</w:t>
            </w:r>
          </w:p>
        </w:tc>
        <w:tc>
          <w:tcPr>
            <w:tcW w:w="990" w:type="dxa"/>
          </w:tcPr>
          <w:p w:rsidR="007C5447" w:rsidRDefault="00F6308C">
            <w:pPr>
              <w:pStyle w:val="TableParagraph"/>
              <w:spacing w:before="108"/>
              <w:ind w:right="100"/>
              <w:rPr>
                <w:sz w:val="20"/>
              </w:rPr>
            </w:pPr>
            <w:r>
              <w:rPr>
                <w:sz w:val="20"/>
              </w:rPr>
              <w:t>2.78</w:t>
            </w:r>
          </w:p>
        </w:tc>
        <w:tc>
          <w:tcPr>
            <w:tcW w:w="1265" w:type="dxa"/>
          </w:tcPr>
          <w:p w:rsidR="007C5447" w:rsidRDefault="00F6308C">
            <w:pPr>
              <w:pStyle w:val="TableParagraph"/>
              <w:spacing w:before="108"/>
              <w:ind w:right="101"/>
              <w:rPr>
                <w:sz w:val="20"/>
              </w:rPr>
            </w:pPr>
            <w:r>
              <w:rPr>
                <w:w w:val="95"/>
                <w:sz w:val="20"/>
              </w:rPr>
              <w:t>1,037.62</w:t>
            </w:r>
          </w:p>
        </w:tc>
      </w:tr>
      <w:tr w:rsidR="007C5447">
        <w:trPr>
          <w:trHeight w:val="443"/>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20" w:line="206" w:lineRule="exact"/>
              <w:ind w:left="107" w:right="187"/>
              <w:jc w:val="left"/>
              <w:rPr>
                <w:sz w:val="18"/>
              </w:rPr>
            </w:pPr>
            <w:r>
              <w:rPr>
                <w:sz w:val="18"/>
              </w:rPr>
              <w:t>NTPC SR (Ramagundam) III</w:t>
            </w:r>
          </w:p>
        </w:tc>
        <w:tc>
          <w:tcPr>
            <w:tcW w:w="1021" w:type="dxa"/>
          </w:tcPr>
          <w:p w:rsidR="007C5447" w:rsidRDefault="00F6308C">
            <w:pPr>
              <w:pStyle w:val="TableParagraph"/>
              <w:spacing w:before="108"/>
              <w:ind w:right="97"/>
              <w:rPr>
                <w:sz w:val="20"/>
              </w:rPr>
            </w:pPr>
            <w:r>
              <w:rPr>
                <w:w w:val="95"/>
                <w:sz w:val="20"/>
              </w:rPr>
              <w:t>941.14</w:t>
            </w:r>
          </w:p>
        </w:tc>
        <w:tc>
          <w:tcPr>
            <w:tcW w:w="1232" w:type="dxa"/>
          </w:tcPr>
          <w:p w:rsidR="007C5447" w:rsidRDefault="00F6308C">
            <w:pPr>
              <w:pStyle w:val="TableParagraph"/>
              <w:spacing w:before="108"/>
              <w:ind w:right="98"/>
              <w:rPr>
                <w:sz w:val="20"/>
              </w:rPr>
            </w:pPr>
            <w:r>
              <w:rPr>
                <w:sz w:val="20"/>
              </w:rPr>
              <w:t>75.55</w:t>
            </w:r>
          </w:p>
        </w:tc>
        <w:tc>
          <w:tcPr>
            <w:tcW w:w="990" w:type="dxa"/>
          </w:tcPr>
          <w:p w:rsidR="007C5447" w:rsidRDefault="00F6308C">
            <w:pPr>
              <w:pStyle w:val="TableParagraph"/>
              <w:spacing w:before="108"/>
              <w:ind w:right="99"/>
              <w:rPr>
                <w:sz w:val="20"/>
              </w:rPr>
            </w:pPr>
            <w:r>
              <w:rPr>
                <w:sz w:val="20"/>
              </w:rPr>
              <w:t>2.16</w:t>
            </w:r>
          </w:p>
        </w:tc>
        <w:tc>
          <w:tcPr>
            <w:tcW w:w="1131" w:type="dxa"/>
          </w:tcPr>
          <w:p w:rsidR="007C5447" w:rsidRDefault="00F6308C">
            <w:pPr>
              <w:pStyle w:val="TableParagraph"/>
              <w:spacing w:before="108"/>
              <w:ind w:right="102"/>
              <w:rPr>
                <w:sz w:val="20"/>
              </w:rPr>
            </w:pPr>
            <w:r>
              <w:rPr>
                <w:w w:val="95"/>
                <w:sz w:val="20"/>
              </w:rPr>
              <w:t>203.29</w:t>
            </w:r>
          </w:p>
        </w:tc>
        <w:tc>
          <w:tcPr>
            <w:tcW w:w="990" w:type="dxa"/>
          </w:tcPr>
          <w:p w:rsidR="007C5447" w:rsidRDefault="00F6308C">
            <w:pPr>
              <w:pStyle w:val="TableParagraph"/>
              <w:spacing w:before="108"/>
              <w:ind w:right="100"/>
              <w:rPr>
                <w:sz w:val="20"/>
              </w:rPr>
            </w:pPr>
            <w:r>
              <w:rPr>
                <w:sz w:val="20"/>
              </w:rPr>
              <w:t>2.96</w:t>
            </w:r>
          </w:p>
        </w:tc>
        <w:tc>
          <w:tcPr>
            <w:tcW w:w="1265" w:type="dxa"/>
          </w:tcPr>
          <w:p w:rsidR="007C5447" w:rsidRDefault="00F6308C">
            <w:pPr>
              <w:pStyle w:val="TableParagraph"/>
              <w:spacing w:before="108"/>
              <w:ind w:right="100"/>
              <w:rPr>
                <w:sz w:val="20"/>
              </w:rPr>
            </w:pPr>
            <w:r>
              <w:rPr>
                <w:w w:val="95"/>
                <w:sz w:val="20"/>
              </w:rPr>
              <w:t>278.84</w:t>
            </w:r>
          </w:p>
        </w:tc>
      </w:tr>
      <w:tr w:rsidR="007C5447">
        <w:trPr>
          <w:trHeight w:val="301"/>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NLC TS – I</w:t>
            </w:r>
          </w:p>
        </w:tc>
        <w:tc>
          <w:tcPr>
            <w:tcW w:w="1021" w:type="dxa"/>
          </w:tcPr>
          <w:p w:rsidR="007C5447" w:rsidRDefault="00F6308C">
            <w:pPr>
              <w:pStyle w:val="TableParagraph"/>
              <w:spacing w:before="36"/>
              <w:ind w:right="99"/>
              <w:rPr>
                <w:sz w:val="20"/>
              </w:rPr>
            </w:pPr>
            <w:r>
              <w:rPr>
                <w:w w:val="99"/>
                <w:sz w:val="20"/>
              </w:rPr>
              <w:t>-</w:t>
            </w:r>
          </w:p>
        </w:tc>
        <w:tc>
          <w:tcPr>
            <w:tcW w:w="1232" w:type="dxa"/>
          </w:tcPr>
          <w:p w:rsidR="007C5447" w:rsidRDefault="00F6308C">
            <w:pPr>
              <w:pStyle w:val="TableParagraph"/>
              <w:spacing w:before="36"/>
              <w:ind w:right="98"/>
              <w:rPr>
                <w:sz w:val="20"/>
              </w:rPr>
            </w:pPr>
            <w:r>
              <w:rPr>
                <w:w w:val="95"/>
                <w:sz w:val="20"/>
              </w:rPr>
              <w:t>251.05</w:t>
            </w:r>
          </w:p>
        </w:tc>
        <w:tc>
          <w:tcPr>
            <w:tcW w:w="990" w:type="dxa"/>
          </w:tcPr>
          <w:p w:rsidR="007C5447" w:rsidRDefault="00F6308C">
            <w:pPr>
              <w:pStyle w:val="TableParagraph"/>
              <w:spacing w:before="36"/>
              <w:ind w:right="99"/>
              <w:rPr>
                <w:sz w:val="20"/>
              </w:rPr>
            </w:pPr>
            <w:r>
              <w:rPr>
                <w:sz w:val="20"/>
              </w:rPr>
              <w:t>3.36</w:t>
            </w:r>
          </w:p>
        </w:tc>
        <w:tc>
          <w:tcPr>
            <w:tcW w:w="1131" w:type="dxa"/>
          </w:tcPr>
          <w:p w:rsidR="007C5447" w:rsidRDefault="00F6308C">
            <w:pPr>
              <w:pStyle w:val="TableParagraph"/>
              <w:spacing w:before="36"/>
              <w:ind w:right="103"/>
              <w:rPr>
                <w:sz w:val="20"/>
              </w:rPr>
            </w:pPr>
            <w:r>
              <w:rPr>
                <w:w w:val="99"/>
                <w:sz w:val="20"/>
              </w:rPr>
              <w:t>-</w:t>
            </w:r>
          </w:p>
        </w:tc>
        <w:tc>
          <w:tcPr>
            <w:tcW w:w="990" w:type="dxa"/>
          </w:tcPr>
          <w:p w:rsidR="007C5447" w:rsidRDefault="00F6308C">
            <w:pPr>
              <w:pStyle w:val="TableParagraph"/>
              <w:spacing w:before="36"/>
              <w:ind w:right="101"/>
              <w:rPr>
                <w:sz w:val="20"/>
              </w:rPr>
            </w:pPr>
            <w:r>
              <w:rPr>
                <w:w w:val="99"/>
                <w:sz w:val="20"/>
              </w:rPr>
              <w:t>-</w:t>
            </w:r>
          </w:p>
        </w:tc>
        <w:tc>
          <w:tcPr>
            <w:tcW w:w="1265" w:type="dxa"/>
          </w:tcPr>
          <w:p w:rsidR="007C5447" w:rsidRDefault="00F6308C">
            <w:pPr>
              <w:pStyle w:val="TableParagraph"/>
              <w:spacing w:before="36"/>
              <w:ind w:right="100"/>
              <w:rPr>
                <w:sz w:val="20"/>
              </w:rPr>
            </w:pPr>
            <w:r>
              <w:rPr>
                <w:w w:val="95"/>
                <w:sz w:val="20"/>
              </w:rPr>
              <w:t>251.05</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NLC TS - II - Stage 1</w:t>
            </w:r>
          </w:p>
        </w:tc>
        <w:tc>
          <w:tcPr>
            <w:tcW w:w="1021" w:type="dxa"/>
          </w:tcPr>
          <w:p w:rsidR="007C5447" w:rsidRDefault="00F6308C">
            <w:pPr>
              <w:pStyle w:val="TableParagraph"/>
              <w:spacing w:before="34"/>
              <w:ind w:right="98"/>
              <w:rPr>
                <w:sz w:val="20"/>
              </w:rPr>
            </w:pPr>
            <w:r>
              <w:rPr>
                <w:w w:val="95"/>
                <w:sz w:val="20"/>
              </w:rPr>
              <w:t>1,189.45</w:t>
            </w:r>
          </w:p>
        </w:tc>
        <w:tc>
          <w:tcPr>
            <w:tcW w:w="1232" w:type="dxa"/>
          </w:tcPr>
          <w:p w:rsidR="007C5447" w:rsidRDefault="00F6308C">
            <w:pPr>
              <w:pStyle w:val="TableParagraph"/>
              <w:spacing w:before="34"/>
              <w:ind w:right="98"/>
              <w:rPr>
                <w:sz w:val="20"/>
              </w:rPr>
            </w:pPr>
            <w:r>
              <w:rPr>
                <w:w w:val="95"/>
                <w:sz w:val="20"/>
              </w:rPr>
              <w:t>182.52</w:t>
            </w:r>
          </w:p>
        </w:tc>
        <w:tc>
          <w:tcPr>
            <w:tcW w:w="990" w:type="dxa"/>
          </w:tcPr>
          <w:p w:rsidR="007C5447" w:rsidRDefault="00F6308C">
            <w:pPr>
              <w:pStyle w:val="TableParagraph"/>
              <w:spacing w:before="34"/>
              <w:ind w:right="99"/>
              <w:rPr>
                <w:sz w:val="20"/>
              </w:rPr>
            </w:pPr>
            <w:r>
              <w:rPr>
                <w:sz w:val="20"/>
              </w:rPr>
              <w:t>2.60</w:t>
            </w:r>
          </w:p>
        </w:tc>
        <w:tc>
          <w:tcPr>
            <w:tcW w:w="1131" w:type="dxa"/>
          </w:tcPr>
          <w:p w:rsidR="007C5447" w:rsidRDefault="00F6308C">
            <w:pPr>
              <w:pStyle w:val="TableParagraph"/>
              <w:spacing w:before="34"/>
              <w:ind w:right="102"/>
              <w:rPr>
                <w:sz w:val="20"/>
              </w:rPr>
            </w:pPr>
            <w:r>
              <w:rPr>
                <w:w w:val="95"/>
                <w:sz w:val="20"/>
              </w:rPr>
              <w:t>309.26</w:t>
            </w:r>
          </w:p>
        </w:tc>
        <w:tc>
          <w:tcPr>
            <w:tcW w:w="990" w:type="dxa"/>
          </w:tcPr>
          <w:p w:rsidR="007C5447" w:rsidRDefault="00F6308C">
            <w:pPr>
              <w:pStyle w:val="TableParagraph"/>
              <w:spacing w:before="34"/>
              <w:ind w:right="100"/>
              <w:rPr>
                <w:sz w:val="20"/>
              </w:rPr>
            </w:pPr>
            <w:r>
              <w:rPr>
                <w:sz w:val="20"/>
              </w:rPr>
              <w:t>4.13</w:t>
            </w:r>
          </w:p>
        </w:tc>
        <w:tc>
          <w:tcPr>
            <w:tcW w:w="1265" w:type="dxa"/>
          </w:tcPr>
          <w:p w:rsidR="007C5447" w:rsidRDefault="00F6308C">
            <w:pPr>
              <w:pStyle w:val="TableParagraph"/>
              <w:spacing w:before="34"/>
              <w:ind w:right="100"/>
              <w:rPr>
                <w:sz w:val="20"/>
              </w:rPr>
            </w:pPr>
            <w:r>
              <w:rPr>
                <w:w w:val="95"/>
                <w:sz w:val="20"/>
              </w:rPr>
              <w:t>491.78</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NLC TS Expansion I</w:t>
            </w:r>
          </w:p>
        </w:tc>
        <w:tc>
          <w:tcPr>
            <w:tcW w:w="1021" w:type="dxa"/>
          </w:tcPr>
          <w:p w:rsidR="007C5447" w:rsidRDefault="00F6308C">
            <w:pPr>
              <w:pStyle w:val="TableParagraph"/>
              <w:spacing w:before="34"/>
              <w:ind w:right="98"/>
              <w:rPr>
                <w:sz w:val="20"/>
              </w:rPr>
            </w:pPr>
            <w:r>
              <w:rPr>
                <w:w w:val="95"/>
                <w:sz w:val="20"/>
              </w:rPr>
              <w:t>1,408.57</w:t>
            </w:r>
          </w:p>
        </w:tc>
        <w:tc>
          <w:tcPr>
            <w:tcW w:w="1232" w:type="dxa"/>
          </w:tcPr>
          <w:p w:rsidR="007C5447" w:rsidRDefault="00F6308C">
            <w:pPr>
              <w:pStyle w:val="TableParagraph"/>
              <w:spacing w:before="34"/>
              <w:ind w:right="98"/>
              <w:rPr>
                <w:sz w:val="20"/>
              </w:rPr>
            </w:pPr>
            <w:r>
              <w:rPr>
                <w:w w:val="95"/>
                <w:sz w:val="20"/>
              </w:rPr>
              <w:t>166.33</w:t>
            </w:r>
          </w:p>
        </w:tc>
        <w:tc>
          <w:tcPr>
            <w:tcW w:w="990" w:type="dxa"/>
          </w:tcPr>
          <w:p w:rsidR="007C5447" w:rsidRDefault="00F6308C">
            <w:pPr>
              <w:pStyle w:val="TableParagraph"/>
              <w:spacing w:before="34"/>
              <w:ind w:right="99"/>
              <w:rPr>
                <w:sz w:val="20"/>
              </w:rPr>
            </w:pPr>
            <w:r>
              <w:rPr>
                <w:sz w:val="20"/>
              </w:rPr>
              <w:t>2.49</w:t>
            </w:r>
          </w:p>
        </w:tc>
        <w:tc>
          <w:tcPr>
            <w:tcW w:w="1131" w:type="dxa"/>
          </w:tcPr>
          <w:p w:rsidR="007C5447" w:rsidRDefault="00F6308C">
            <w:pPr>
              <w:pStyle w:val="TableParagraph"/>
              <w:spacing w:before="34"/>
              <w:ind w:right="102"/>
              <w:rPr>
                <w:sz w:val="20"/>
              </w:rPr>
            </w:pPr>
            <w:r>
              <w:rPr>
                <w:w w:val="95"/>
                <w:sz w:val="20"/>
              </w:rPr>
              <w:t>350.73</w:t>
            </w:r>
          </w:p>
        </w:tc>
        <w:tc>
          <w:tcPr>
            <w:tcW w:w="990" w:type="dxa"/>
          </w:tcPr>
          <w:p w:rsidR="007C5447" w:rsidRDefault="00F6308C">
            <w:pPr>
              <w:pStyle w:val="TableParagraph"/>
              <w:spacing w:before="34"/>
              <w:ind w:right="100"/>
              <w:rPr>
                <w:sz w:val="20"/>
              </w:rPr>
            </w:pPr>
            <w:r>
              <w:rPr>
                <w:sz w:val="20"/>
              </w:rPr>
              <w:t>3.67</w:t>
            </w:r>
          </w:p>
        </w:tc>
        <w:tc>
          <w:tcPr>
            <w:tcW w:w="1265" w:type="dxa"/>
          </w:tcPr>
          <w:p w:rsidR="007C5447" w:rsidRDefault="00F6308C">
            <w:pPr>
              <w:pStyle w:val="TableParagraph"/>
              <w:spacing w:before="34"/>
              <w:ind w:right="100"/>
              <w:rPr>
                <w:sz w:val="20"/>
              </w:rPr>
            </w:pPr>
            <w:r>
              <w:rPr>
                <w:w w:val="95"/>
                <w:sz w:val="20"/>
              </w:rPr>
              <w:t>517.06</w:t>
            </w:r>
          </w:p>
        </w:tc>
      </w:tr>
      <w:tr w:rsidR="007C5447">
        <w:trPr>
          <w:trHeight w:val="300"/>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6"/>
              <w:ind w:left="107"/>
              <w:jc w:val="left"/>
              <w:rPr>
                <w:sz w:val="18"/>
              </w:rPr>
            </w:pPr>
            <w:r>
              <w:rPr>
                <w:sz w:val="18"/>
              </w:rPr>
              <w:t>NLC TS Expansion II</w:t>
            </w:r>
          </w:p>
        </w:tc>
        <w:tc>
          <w:tcPr>
            <w:tcW w:w="1021" w:type="dxa"/>
          </w:tcPr>
          <w:p w:rsidR="007C5447" w:rsidRDefault="00F6308C">
            <w:pPr>
              <w:pStyle w:val="TableParagraph"/>
              <w:spacing w:before="37"/>
              <w:ind w:right="97"/>
              <w:rPr>
                <w:sz w:val="20"/>
              </w:rPr>
            </w:pPr>
            <w:r>
              <w:rPr>
                <w:w w:val="95"/>
                <w:sz w:val="20"/>
              </w:rPr>
              <w:t>930.88</w:t>
            </w:r>
          </w:p>
        </w:tc>
        <w:tc>
          <w:tcPr>
            <w:tcW w:w="1232" w:type="dxa"/>
          </w:tcPr>
          <w:p w:rsidR="007C5447" w:rsidRDefault="00F6308C">
            <w:pPr>
              <w:pStyle w:val="TableParagraph"/>
              <w:spacing w:before="37"/>
              <w:ind w:right="98"/>
              <w:rPr>
                <w:sz w:val="20"/>
              </w:rPr>
            </w:pPr>
            <w:r>
              <w:rPr>
                <w:w w:val="95"/>
                <w:sz w:val="20"/>
              </w:rPr>
              <w:t>128.68</w:t>
            </w:r>
          </w:p>
        </w:tc>
        <w:tc>
          <w:tcPr>
            <w:tcW w:w="990" w:type="dxa"/>
          </w:tcPr>
          <w:p w:rsidR="007C5447" w:rsidRDefault="00F6308C">
            <w:pPr>
              <w:pStyle w:val="TableParagraph"/>
              <w:spacing w:before="37"/>
              <w:ind w:right="99"/>
              <w:rPr>
                <w:sz w:val="20"/>
              </w:rPr>
            </w:pPr>
            <w:r>
              <w:rPr>
                <w:sz w:val="20"/>
              </w:rPr>
              <w:t>2.42</w:t>
            </w:r>
          </w:p>
        </w:tc>
        <w:tc>
          <w:tcPr>
            <w:tcW w:w="1131" w:type="dxa"/>
          </w:tcPr>
          <w:p w:rsidR="007C5447" w:rsidRDefault="00F6308C">
            <w:pPr>
              <w:pStyle w:val="TableParagraph"/>
              <w:spacing w:before="37"/>
              <w:ind w:right="102"/>
              <w:rPr>
                <w:sz w:val="20"/>
              </w:rPr>
            </w:pPr>
            <w:r>
              <w:rPr>
                <w:w w:val="95"/>
                <w:sz w:val="20"/>
              </w:rPr>
              <w:t>225.27</w:t>
            </w:r>
          </w:p>
        </w:tc>
        <w:tc>
          <w:tcPr>
            <w:tcW w:w="990" w:type="dxa"/>
          </w:tcPr>
          <w:p w:rsidR="007C5447" w:rsidRDefault="00F6308C">
            <w:pPr>
              <w:pStyle w:val="TableParagraph"/>
              <w:spacing w:before="37"/>
              <w:ind w:right="100"/>
              <w:rPr>
                <w:sz w:val="20"/>
              </w:rPr>
            </w:pPr>
            <w:r>
              <w:rPr>
                <w:sz w:val="20"/>
              </w:rPr>
              <w:t>3.80</w:t>
            </w:r>
          </w:p>
        </w:tc>
        <w:tc>
          <w:tcPr>
            <w:tcW w:w="1265" w:type="dxa"/>
          </w:tcPr>
          <w:p w:rsidR="007C5447" w:rsidRDefault="00F6308C">
            <w:pPr>
              <w:pStyle w:val="TableParagraph"/>
              <w:spacing w:before="37"/>
              <w:ind w:right="100"/>
              <w:rPr>
                <w:sz w:val="20"/>
              </w:rPr>
            </w:pPr>
            <w:r>
              <w:rPr>
                <w:w w:val="95"/>
                <w:sz w:val="20"/>
              </w:rPr>
              <w:t>353.95</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NTPL (JV with NLC)</w:t>
            </w:r>
          </w:p>
        </w:tc>
        <w:tc>
          <w:tcPr>
            <w:tcW w:w="1021" w:type="dxa"/>
          </w:tcPr>
          <w:p w:rsidR="007C5447" w:rsidRDefault="00F6308C">
            <w:pPr>
              <w:pStyle w:val="TableParagraph"/>
              <w:spacing w:before="36"/>
              <w:ind w:right="98"/>
              <w:rPr>
                <w:sz w:val="20"/>
              </w:rPr>
            </w:pPr>
            <w:r>
              <w:rPr>
                <w:w w:val="95"/>
                <w:sz w:val="20"/>
              </w:rPr>
              <w:t>2,597.54</w:t>
            </w:r>
          </w:p>
        </w:tc>
        <w:tc>
          <w:tcPr>
            <w:tcW w:w="1232" w:type="dxa"/>
          </w:tcPr>
          <w:p w:rsidR="007C5447" w:rsidRDefault="00F6308C">
            <w:pPr>
              <w:pStyle w:val="TableParagraph"/>
              <w:spacing w:before="36"/>
              <w:ind w:right="98"/>
              <w:rPr>
                <w:sz w:val="20"/>
              </w:rPr>
            </w:pPr>
            <w:r>
              <w:rPr>
                <w:w w:val="95"/>
                <w:sz w:val="20"/>
              </w:rPr>
              <w:t>375.18</w:t>
            </w:r>
          </w:p>
        </w:tc>
        <w:tc>
          <w:tcPr>
            <w:tcW w:w="990" w:type="dxa"/>
          </w:tcPr>
          <w:p w:rsidR="007C5447" w:rsidRDefault="00F6308C">
            <w:pPr>
              <w:pStyle w:val="TableParagraph"/>
              <w:spacing w:before="36"/>
              <w:ind w:right="99"/>
              <w:rPr>
                <w:sz w:val="20"/>
              </w:rPr>
            </w:pPr>
            <w:r>
              <w:rPr>
                <w:sz w:val="20"/>
              </w:rPr>
              <w:t>2.56</w:t>
            </w:r>
          </w:p>
        </w:tc>
        <w:tc>
          <w:tcPr>
            <w:tcW w:w="1131" w:type="dxa"/>
          </w:tcPr>
          <w:p w:rsidR="007C5447" w:rsidRDefault="00F6308C">
            <w:pPr>
              <w:pStyle w:val="TableParagraph"/>
              <w:spacing w:before="36"/>
              <w:ind w:right="102"/>
              <w:rPr>
                <w:sz w:val="20"/>
              </w:rPr>
            </w:pPr>
            <w:r>
              <w:rPr>
                <w:w w:val="95"/>
                <w:sz w:val="20"/>
              </w:rPr>
              <w:t>664.97</w:t>
            </w:r>
          </w:p>
        </w:tc>
        <w:tc>
          <w:tcPr>
            <w:tcW w:w="990" w:type="dxa"/>
          </w:tcPr>
          <w:p w:rsidR="007C5447" w:rsidRDefault="00F6308C">
            <w:pPr>
              <w:pStyle w:val="TableParagraph"/>
              <w:spacing w:before="36"/>
              <w:ind w:right="100"/>
              <w:rPr>
                <w:sz w:val="20"/>
              </w:rPr>
            </w:pPr>
            <w:r>
              <w:rPr>
                <w:sz w:val="20"/>
              </w:rPr>
              <w:t>4.00</w:t>
            </w:r>
          </w:p>
        </w:tc>
        <w:tc>
          <w:tcPr>
            <w:tcW w:w="1265" w:type="dxa"/>
          </w:tcPr>
          <w:p w:rsidR="007C5447" w:rsidRDefault="00F6308C">
            <w:pPr>
              <w:pStyle w:val="TableParagraph"/>
              <w:spacing w:before="36"/>
              <w:ind w:right="101"/>
              <w:rPr>
                <w:sz w:val="20"/>
              </w:rPr>
            </w:pPr>
            <w:r>
              <w:rPr>
                <w:w w:val="95"/>
                <w:sz w:val="20"/>
              </w:rPr>
              <w:t>1,040.15</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NTPC Talcher</w:t>
            </w:r>
          </w:p>
        </w:tc>
        <w:tc>
          <w:tcPr>
            <w:tcW w:w="1021" w:type="dxa"/>
          </w:tcPr>
          <w:p w:rsidR="007C5447" w:rsidRDefault="00F6308C">
            <w:pPr>
              <w:pStyle w:val="TableParagraph"/>
              <w:spacing w:before="36"/>
              <w:ind w:right="98"/>
              <w:rPr>
                <w:sz w:val="20"/>
              </w:rPr>
            </w:pPr>
            <w:r>
              <w:rPr>
                <w:w w:val="95"/>
                <w:sz w:val="20"/>
              </w:rPr>
              <w:t>3,231.59</w:t>
            </w:r>
          </w:p>
        </w:tc>
        <w:tc>
          <w:tcPr>
            <w:tcW w:w="1232" w:type="dxa"/>
          </w:tcPr>
          <w:p w:rsidR="007C5447" w:rsidRDefault="00F6308C">
            <w:pPr>
              <w:pStyle w:val="TableParagraph"/>
              <w:spacing w:before="36"/>
              <w:ind w:right="98"/>
              <w:rPr>
                <w:sz w:val="20"/>
              </w:rPr>
            </w:pPr>
            <w:r>
              <w:rPr>
                <w:w w:val="95"/>
                <w:sz w:val="20"/>
              </w:rPr>
              <w:t>258.12</w:t>
            </w:r>
          </w:p>
        </w:tc>
        <w:tc>
          <w:tcPr>
            <w:tcW w:w="990" w:type="dxa"/>
          </w:tcPr>
          <w:p w:rsidR="007C5447" w:rsidRDefault="00F6308C">
            <w:pPr>
              <w:pStyle w:val="TableParagraph"/>
              <w:spacing w:before="36"/>
              <w:ind w:right="99"/>
              <w:rPr>
                <w:sz w:val="20"/>
              </w:rPr>
            </w:pPr>
            <w:r>
              <w:rPr>
                <w:sz w:val="20"/>
              </w:rPr>
              <w:t>1.65</w:t>
            </w:r>
          </w:p>
        </w:tc>
        <w:tc>
          <w:tcPr>
            <w:tcW w:w="1131" w:type="dxa"/>
          </w:tcPr>
          <w:p w:rsidR="007C5447" w:rsidRDefault="00F6308C">
            <w:pPr>
              <w:pStyle w:val="TableParagraph"/>
              <w:spacing w:before="36"/>
              <w:ind w:right="102"/>
              <w:rPr>
                <w:sz w:val="20"/>
              </w:rPr>
            </w:pPr>
            <w:r>
              <w:rPr>
                <w:w w:val="95"/>
                <w:sz w:val="20"/>
              </w:rPr>
              <w:t>533.21</w:t>
            </w:r>
          </w:p>
        </w:tc>
        <w:tc>
          <w:tcPr>
            <w:tcW w:w="990" w:type="dxa"/>
          </w:tcPr>
          <w:p w:rsidR="007C5447" w:rsidRDefault="00F6308C">
            <w:pPr>
              <w:pStyle w:val="TableParagraph"/>
              <w:spacing w:before="36"/>
              <w:ind w:right="100"/>
              <w:rPr>
                <w:sz w:val="20"/>
              </w:rPr>
            </w:pPr>
            <w:r>
              <w:rPr>
                <w:sz w:val="20"/>
              </w:rPr>
              <w:t>2.45</w:t>
            </w:r>
          </w:p>
        </w:tc>
        <w:tc>
          <w:tcPr>
            <w:tcW w:w="1265" w:type="dxa"/>
          </w:tcPr>
          <w:p w:rsidR="007C5447" w:rsidRDefault="00F6308C">
            <w:pPr>
              <w:pStyle w:val="TableParagraph"/>
              <w:spacing w:before="36"/>
              <w:ind w:right="100"/>
              <w:rPr>
                <w:sz w:val="20"/>
              </w:rPr>
            </w:pPr>
            <w:r>
              <w:rPr>
                <w:w w:val="95"/>
                <w:sz w:val="20"/>
              </w:rPr>
              <w:t>791.33</w:t>
            </w:r>
          </w:p>
        </w:tc>
      </w:tr>
      <w:tr w:rsidR="007C5447">
        <w:trPr>
          <w:trHeight w:val="302"/>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NTPC Simhadri</w:t>
            </w:r>
          </w:p>
        </w:tc>
        <w:tc>
          <w:tcPr>
            <w:tcW w:w="1021" w:type="dxa"/>
          </w:tcPr>
          <w:p w:rsidR="007C5447" w:rsidRDefault="00F6308C">
            <w:pPr>
              <w:pStyle w:val="TableParagraph"/>
              <w:spacing w:before="36"/>
              <w:ind w:right="98"/>
              <w:rPr>
                <w:sz w:val="20"/>
              </w:rPr>
            </w:pPr>
            <w:r>
              <w:rPr>
                <w:w w:val="95"/>
                <w:sz w:val="20"/>
              </w:rPr>
              <w:t>1,541.23</w:t>
            </w:r>
          </w:p>
        </w:tc>
        <w:tc>
          <w:tcPr>
            <w:tcW w:w="1232" w:type="dxa"/>
          </w:tcPr>
          <w:p w:rsidR="007C5447" w:rsidRDefault="00F6308C">
            <w:pPr>
              <w:pStyle w:val="TableParagraph"/>
              <w:spacing w:before="36"/>
              <w:ind w:right="98"/>
              <w:rPr>
                <w:sz w:val="20"/>
              </w:rPr>
            </w:pPr>
            <w:r>
              <w:rPr>
                <w:w w:val="95"/>
                <w:sz w:val="20"/>
              </w:rPr>
              <w:t>199.00</w:t>
            </w:r>
          </w:p>
        </w:tc>
        <w:tc>
          <w:tcPr>
            <w:tcW w:w="990" w:type="dxa"/>
          </w:tcPr>
          <w:p w:rsidR="007C5447" w:rsidRDefault="00F6308C">
            <w:pPr>
              <w:pStyle w:val="TableParagraph"/>
              <w:spacing w:before="36"/>
              <w:ind w:right="99"/>
              <w:rPr>
                <w:sz w:val="20"/>
              </w:rPr>
            </w:pPr>
            <w:r>
              <w:rPr>
                <w:sz w:val="20"/>
              </w:rPr>
              <w:t>2.68</w:t>
            </w:r>
          </w:p>
        </w:tc>
        <w:tc>
          <w:tcPr>
            <w:tcW w:w="1131" w:type="dxa"/>
          </w:tcPr>
          <w:p w:rsidR="007C5447" w:rsidRDefault="00F6308C">
            <w:pPr>
              <w:pStyle w:val="TableParagraph"/>
              <w:spacing w:before="36"/>
              <w:ind w:right="102"/>
              <w:rPr>
                <w:sz w:val="20"/>
              </w:rPr>
            </w:pPr>
            <w:r>
              <w:rPr>
                <w:w w:val="95"/>
                <w:sz w:val="20"/>
              </w:rPr>
              <w:t>413.05</w:t>
            </w:r>
          </w:p>
        </w:tc>
        <w:tc>
          <w:tcPr>
            <w:tcW w:w="990" w:type="dxa"/>
          </w:tcPr>
          <w:p w:rsidR="007C5447" w:rsidRDefault="00F6308C">
            <w:pPr>
              <w:pStyle w:val="TableParagraph"/>
              <w:spacing w:before="36"/>
              <w:ind w:right="100"/>
              <w:rPr>
                <w:sz w:val="20"/>
              </w:rPr>
            </w:pPr>
            <w:r>
              <w:rPr>
                <w:sz w:val="20"/>
              </w:rPr>
              <w:t>3.97</w:t>
            </w:r>
          </w:p>
        </w:tc>
        <w:tc>
          <w:tcPr>
            <w:tcW w:w="1265" w:type="dxa"/>
          </w:tcPr>
          <w:p w:rsidR="007C5447" w:rsidRDefault="00F6308C">
            <w:pPr>
              <w:pStyle w:val="TableParagraph"/>
              <w:spacing w:before="36"/>
              <w:ind w:right="100"/>
              <w:rPr>
                <w:sz w:val="20"/>
              </w:rPr>
            </w:pPr>
            <w:r>
              <w:rPr>
                <w:w w:val="95"/>
                <w:sz w:val="20"/>
              </w:rPr>
              <w:t>612.05</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MAPS</w:t>
            </w:r>
          </w:p>
        </w:tc>
        <w:tc>
          <w:tcPr>
            <w:tcW w:w="1021" w:type="dxa"/>
          </w:tcPr>
          <w:p w:rsidR="007C5447" w:rsidRDefault="00F6308C">
            <w:pPr>
              <w:pStyle w:val="TableParagraph"/>
              <w:spacing w:before="34"/>
              <w:ind w:right="97"/>
              <w:rPr>
                <w:sz w:val="20"/>
              </w:rPr>
            </w:pPr>
            <w:r>
              <w:rPr>
                <w:sz w:val="20"/>
              </w:rPr>
              <w:t>1,530.78</w:t>
            </w:r>
          </w:p>
        </w:tc>
        <w:tc>
          <w:tcPr>
            <w:tcW w:w="1232" w:type="dxa"/>
          </w:tcPr>
          <w:p w:rsidR="007C5447" w:rsidRDefault="00F6308C">
            <w:pPr>
              <w:pStyle w:val="TableParagraph"/>
              <w:spacing w:before="34"/>
              <w:ind w:right="99"/>
              <w:rPr>
                <w:sz w:val="20"/>
              </w:rPr>
            </w:pPr>
            <w:r>
              <w:rPr>
                <w:w w:val="99"/>
                <w:sz w:val="20"/>
              </w:rPr>
              <w:t>-</w:t>
            </w:r>
          </w:p>
        </w:tc>
        <w:tc>
          <w:tcPr>
            <w:tcW w:w="990" w:type="dxa"/>
          </w:tcPr>
          <w:p w:rsidR="007C5447" w:rsidRDefault="00F6308C">
            <w:pPr>
              <w:pStyle w:val="TableParagraph"/>
              <w:spacing w:before="34"/>
              <w:ind w:right="99"/>
              <w:rPr>
                <w:sz w:val="20"/>
              </w:rPr>
            </w:pPr>
            <w:r>
              <w:rPr>
                <w:sz w:val="20"/>
              </w:rPr>
              <w:t>2.12</w:t>
            </w:r>
          </w:p>
        </w:tc>
        <w:tc>
          <w:tcPr>
            <w:tcW w:w="1131" w:type="dxa"/>
          </w:tcPr>
          <w:p w:rsidR="007C5447" w:rsidRDefault="00F6308C">
            <w:pPr>
              <w:pStyle w:val="TableParagraph"/>
              <w:spacing w:before="34"/>
              <w:ind w:right="102"/>
              <w:rPr>
                <w:sz w:val="20"/>
              </w:rPr>
            </w:pPr>
            <w:r>
              <w:rPr>
                <w:w w:val="95"/>
                <w:sz w:val="20"/>
              </w:rPr>
              <w:t>324.52</w:t>
            </w:r>
          </w:p>
        </w:tc>
        <w:tc>
          <w:tcPr>
            <w:tcW w:w="990" w:type="dxa"/>
          </w:tcPr>
          <w:p w:rsidR="007C5447" w:rsidRDefault="00F6308C">
            <w:pPr>
              <w:pStyle w:val="TableParagraph"/>
              <w:spacing w:before="34"/>
              <w:ind w:right="100"/>
              <w:rPr>
                <w:sz w:val="20"/>
              </w:rPr>
            </w:pPr>
            <w:r>
              <w:rPr>
                <w:sz w:val="20"/>
              </w:rPr>
              <w:t>2.12</w:t>
            </w:r>
          </w:p>
        </w:tc>
        <w:tc>
          <w:tcPr>
            <w:tcW w:w="1265" w:type="dxa"/>
          </w:tcPr>
          <w:p w:rsidR="007C5447" w:rsidRDefault="00F6308C">
            <w:pPr>
              <w:pStyle w:val="TableParagraph"/>
              <w:spacing w:before="34"/>
              <w:ind w:right="100"/>
              <w:rPr>
                <w:sz w:val="20"/>
              </w:rPr>
            </w:pPr>
            <w:r>
              <w:rPr>
                <w:w w:val="95"/>
                <w:sz w:val="20"/>
              </w:rPr>
              <w:t>324.52</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KAIGA</w:t>
            </w:r>
          </w:p>
        </w:tc>
        <w:tc>
          <w:tcPr>
            <w:tcW w:w="1021" w:type="dxa"/>
          </w:tcPr>
          <w:p w:rsidR="007C5447" w:rsidRDefault="00F6308C">
            <w:pPr>
              <w:pStyle w:val="TableParagraph"/>
              <w:spacing w:before="34"/>
              <w:ind w:right="98"/>
              <w:rPr>
                <w:sz w:val="20"/>
              </w:rPr>
            </w:pPr>
            <w:r>
              <w:rPr>
                <w:w w:val="95"/>
                <w:sz w:val="20"/>
              </w:rPr>
              <w:t>1,175.28</w:t>
            </w:r>
          </w:p>
        </w:tc>
        <w:tc>
          <w:tcPr>
            <w:tcW w:w="1232" w:type="dxa"/>
          </w:tcPr>
          <w:p w:rsidR="007C5447" w:rsidRDefault="00F6308C">
            <w:pPr>
              <w:pStyle w:val="TableParagraph"/>
              <w:spacing w:before="34"/>
              <w:ind w:right="99"/>
              <w:rPr>
                <w:sz w:val="20"/>
              </w:rPr>
            </w:pPr>
            <w:r>
              <w:rPr>
                <w:w w:val="99"/>
                <w:sz w:val="20"/>
              </w:rPr>
              <w:t>-</w:t>
            </w:r>
          </w:p>
        </w:tc>
        <w:tc>
          <w:tcPr>
            <w:tcW w:w="990" w:type="dxa"/>
          </w:tcPr>
          <w:p w:rsidR="007C5447" w:rsidRDefault="00F6308C">
            <w:pPr>
              <w:pStyle w:val="TableParagraph"/>
              <w:spacing w:before="34"/>
              <w:ind w:right="99"/>
              <w:rPr>
                <w:sz w:val="20"/>
              </w:rPr>
            </w:pPr>
            <w:r>
              <w:rPr>
                <w:sz w:val="20"/>
              </w:rPr>
              <w:t>3.13</w:t>
            </w:r>
          </w:p>
        </w:tc>
        <w:tc>
          <w:tcPr>
            <w:tcW w:w="1131" w:type="dxa"/>
          </w:tcPr>
          <w:p w:rsidR="007C5447" w:rsidRDefault="00F6308C">
            <w:pPr>
              <w:pStyle w:val="TableParagraph"/>
              <w:spacing w:before="34"/>
              <w:ind w:right="102"/>
              <w:rPr>
                <w:sz w:val="20"/>
              </w:rPr>
            </w:pPr>
            <w:r>
              <w:rPr>
                <w:w w:val="95"/>
                <w:sz w:val="20"/>
              </w:rPr>
              <w:t>367.86</w:t>
            </w:r>
          </w:p>
        </w:tc>
        <w:tc>
          <w:tcPr>
            <w:tcW w:w="990" w:type="dxa"/>
          </w:tcPr>
          <w:p w:rsidR="007C5447" w:rsidRDefault="00F6308C">
            <w:pPr>
              <w:pStyle w:val="TableParagraph"/>
              <w:spacing w:before="34"/>
              <w:ind w:right="100"/>
              <w:rPr>
                <w:sz w:val="20"/>
              </w:rPr>
            </w:pPr>
            <w:r>
              <w:rPr>
                <w:sz w:val="20"/>
              </w:rPr>
              <w:t>3.13</w:t>
            </w:r>
          </w:p>
        </w:tc>
        <w:tc>
          <w:tcPr>
            <w:tcW w:w="1265" w:type="dxa"/>
          </w:tcPr>
          <w:p w:rsidR="007C5447" w:rsidRDefault="00F6308C">
            <w:pPr>
              <w:pStyle w:val="TableParagraph"/>
              <w:spacing w:before="34"/>
              <w:ind w:right="100"/>
              <w:rPr>
                <w:sz w:val="20"/>
              </w:rPr>
            </w:pPr>
            <w:r>
              <w:rPr>
                <w:w w:val="95"/>
                <w:sz w:val="20"/>
              </w:rPr>
              <w:t>367.86</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NTPC ER</w:t>
            </w:r>
          </w:p>
        </w:tc>
        <w:tc>
          <w:tcPr>
            <w:tcW w:w="1021" w:type="dxa"/>
          </w:tcPr>
          <w:p w:rsidR="007C5447" w:rsidRDefault="00F6308C">
            <w:pPr>
              <w:pStyle w:val="TableParagraph"/>
              <w:spacing w:before="36"/>
              <w:ind w:right="97"/>
              <w:rPr>
                <w:sz w:val="20"/>
              </w:rPr>
            </w:pPr>
            <w:r>
              <w:rPr>
                <w:w w:val="95"/>
                <w:sz w:val="20"/>
              </w:rPr>
              <w:t>325.00</w:t>
            </w:r>
          </w:p>
        </w:tc>
        <w:tc>
          <w:tcPr>
            <w:tcW w:w="1232" w:type="dxa"/>
          </w:tcPr>
          <w:p w:rsidR="007C5447" w:rsidRDefault="00F6308C">
            <w:pPr>
              <w:pStyle w:val="TableParagraph"/>
              <w:spacing w:before="36"/>
              <w:ind w:right="98"/>
              <w:rPr>
                <w:sz w:val="20"/>
              </w:rPr>
            </w:pPr>
            <w:r>
              <w:rPr>
                <w:sz w:val="20"/>
              </w:rPr>
              <w:t>24.03</w:t>
            </w:r>
          </w:p>
        </w:tc>
        <w:tc>
          <w:tcPr>
            <w:tcW w:w="990" w:type="dxa"/>
          </w:tcPr>
          <w:p w:rsidR="007C5447" w:rsidRDefault="00F6308C">
            <w:pPr>
              <w:pStyle w:val="TableParagraph"/>
              <w:spacing w:before="36"/>
              <w:ind w:right="99"/>
              <w:rPr>
                <w:sz w:val="20"/>
              </w:rPr>
            </w:pPr>
            <w:r>
              <w:rPr>
                <w:sz w:val="20"/>
              </w:rPr>
              <w:t>2.30</w:t>
            </w:r>
          </w:p>
        </w:tc>
        <w:tc>
          <w:tcPr>
            <w:tcW w:w="1131" w:type="dxa"/>
          </w:tcPr>
          <w:p w:rsidR="007C5447" w:rsidRDefault="00F6308C">
            <w:pPr>
              <w:pStyle w:val="TableParagraph"/>
              <w:spacing w:before="36"/>
              <w:ind w:right="102"/>
              <w:rPr>
                <w:sz w:val="20"/>
              </w:rPr>
            </w:pPr>
            <w:r>
              <w:rPr>
                <w:sz w:val="20"/>
              </w:rPr>
              <w:t>74.75</w:t>
            </w:r>
          </w:p>
        </w:tc>
        <w:tc>
          <w:tcPr>
            <w:tcW w:w="990" w:type="dxa"/>
          </w:tcPr>
          <w:p w:rsidR="007C5447" w:rsidRDefault="00F6308C">
            <w:pPr>
              <w:pStyle w:val="TableParagraph"/>
              <w:spacing w:before="36"/>
              <w:ind w:right="100"/>
              <w:rPr>
                <w:sz w:val="20"/>
              </w:rPr>
            </w:pPr>
            <w:r>
              <w:rPr>
                <w:sz w:val="20"/>
              </w:rPr>
              <w:t>3.04</w:t>
            </w:r>
          </w:p>
        </w:tc>
        <w:tc>
          <w:tcPr>
            <w:tcW w:w="1265" w:type="dxa"/>
          </w:tcPr>
          <w:p w:rsidR="007C5447" w:rsidRDefault="00F6308C">
            <w:pPr>
              <w:pStyle w:val="TableParagraph"/>
              <w:spacing w:before="36"/>
              <w:ind w:right="100"/>
              <w:rPr>
                <w:sz w:val="20"/>
              </w:rPr>
            </w:pPr>
            <w:r>
              <w:rPr>
                <w:sz w:val="20"/>
              </w:rPr>
              <w:t>98.78</w:t>
            </w:r>
          </w:p>
        </w:tc>
      </w:tr>
      <w:tr w:rsidR="007C5447">
        <w:trPr>
          <w:trHeight w:val="443"/>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20" w:line="206" w:lineRule="exact"/>
              <w:ind w:left="107" w:right="427"/>
              <w:jc w:val="left"/>
              <w:rPr>
                <w:sz w:val="18"/>
              </w:rPr>
            </w:pPr>
            <w:r>
              <w:rPr>
                <w:sz w:val="18"/>
              </w:rPr>
              <w:t>NTPC Vallur Unit 1 &amp; Unit 2 (NTECL)</w:t>
            </w:r>
          </w:p>
        </w:tc>
        <w:tc>
          <w:tcPr>
            <w:tcW w:w="1021" w:type="dxa"/>
          </w:tcPr>
          <w:p w:rsidR="007C5447" w:rsidRDefault="00F6308C">
            <w:pPr>
              <w:pStyle w:val="TableParagraph"/>
              <w:spacing w:before="108"/>
              <w:ind w:right="98"/>
              <w:rPr>
                <w:sz w:val="20"/>
              </w:rPr>
            </w:pPr>
            <w:r>
              <w:rPr>
                <w:w w:val="95"/>
                <w:sz w:val="20"/>
              </w:rPr>
              <w:t>7,075.96</w:t>
            </w:r>
          </w:p>
        </w:tc>
        <w:tc>
          <w:tcPr>
            <w:tcW w:w="1232" w:type="dxa"/>
          </w:tcPr>
          <w:p w:rsidR="007C5447" w:rsidRDefault="00F6308C">
            <w:pPr>
              <w:pStyle w:val="TableParagraph"/>
              <w:spacing w:before="108"/>
              <w:ind w:right="98"/>
              <w:rPr>
                <w:sz w:val="20"/>
              </w:rPr>
            </w:pPr>
            <w:r>
              <w:rPr>
                <w:w w:val="95"/>
                <w:sz w:val="20"/>
              </w:rPr>
              <w:t>953.97</w:t>
            </w:r>
          </w:p>
        </w:tc>
        <w:tc>
          <w:tcPr>
            <w:tcW w:w="990" w:type="dxa"/>
          </w:tcPr>
          <w:p w:rsidR="007C5447" w:rsidRDefault="00F6308C">
            <w:pPr>
              <w:pStyle w:val="TableParagraph"/>
              <w:spacing w:before="108"/>
              <w:ind w:right="99"/>
              <w:rPr>
                <w:sz w:val="20"/>
              </w:rPr>
            </w:pPr>
            <w:r>
              <w:rPr>
                <w:sz w:val="20"/>
              </w:rPr>
              <w:t>2.40</w:t>
            </w:r>
          </w:p>
        </w:tc>
        <w:tc>
          <w:tcPr>
            <w:tcW w:w="1131" w:type="dxa"/>
          </w:tcPr>
          <w:p w:rsidR="007C5447" w:rsidRDefault="00F6308C">
            <w:pPr>
              <w:pStyle w:val="TableParagraph"/>
              <w:spacing w:before="108"/>
              <w:ind w:right="102"/>
              <w:rPr>
                <w:sz w:val="20"/>
              </w:rPr>
            </w:pPr>
            <w:r>
              <w:rPr>
                <w:w w:val="95"/>
                <w:sz w:val="20"/>
              </w:rPr>
              <w:t>1,698.23</w:t>
            </w:r>
          </w:p>
        </w:tc>
        <w:tc>
          <w:tcPr>
            <w:tcW w:w="990" w:type="dxa"/>
          </w:tcPr>
          <w:p w:rsidR="007C5447" w:rsidRDefault="00F6308C">
            <w:pPr>
              <w:pStyle w:val="TableParagraph"/>
              <w:spacing w:before="108"/>
              <w:ind w:right="100"/>
              <w:rPr>
                <w:sz w:val="20"/>
              </w:rPr>
            </w:pPr>
            <w:r>
              <w:rPr>
                <w:sz w:val="20"/>
              </w:rPr>
              <w:t>3.75</w:t>
            </w:r>
          </w:p>
        </w:tc>
        <w:tc>
          <w:tcPr>
            <w:tcW w:w="1265" w:type="dxa"/>
          </w:tcPr>
          <w:p w:rsidR="007C5447" w:rsidRDefault="00F6308C">
            <w:pPr>
              <w:pStyle w:val="TableParagraph"/>
              <w:spacing w:before="108"/>
              <w:ind w:right="101"/>
              <w:rPr>
                <w:sz w:val="20"/>
              </w:rPr>
            </w:pPr>
            <w:r>
              <w:rPr>
                <w:w w:val="95"/>
                <w:sz w:val="20"/>
              </w:rPr>
              <w:t>2,652.20</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PFBR Kalpakkam</w:t>
            </w:r>
          </w:p>
        </w:tc>
        <w:tc>
          <w:tcPr>
            <w:tcW w:w="1021" w:type="dxa"/>
          </w:tcPr>
          <w:p w:rsidR="007C5447" w:rsidRDefault="00F6308C">
            <w:pPr>
              <w:pStyle w:val="TableParagraph"/>
              <w:spacing w:before="36"/>
              <w:ind w:right="97"/>
              <w:rPr>
                <w:sz w:val="20"/>
              </w:rPr>
            </w:pPr>
            <w:r>
              <w:rPr>
                <w:w w:val="95"/>
                <w:sz w:val="20"/>
              </w:rPr>
              <w:t>767.69</w:t>
            </w:r>
          </w:p>
        </w:tc>
        <w:tc>
          <w:tcPr>
            <w:tcW w:w="1232" w:type="dxa"/>
          </w:tcPr>
          <w:p w:rsidR="007C5447" w:rsidRDefault="00F6308C">
            <w:pPr>
              <w:pStyle w:val="TableParagraph"/>
              <w:spacing w:before="36"/>
              <w:ind w:right="99"/>
              <w:rPr>
                <w:sz w:val="20"/>
              </w:rPr>
            </w:pPr>
            <w:r>
              <w:rPr>
                <w:w w:val="99"/>
                <w:sz w:val="20"/>
              </w:rPr>
              <w:t>-</w:t>
            </w:r>
          </w:p>
        </w:tc>
        <w:tc>
          <w:tcPr>
            <w:tcW w:w="990" w:type="dxa"/>
          </w:tcPr>
          <w:p w:rsidR="007C5447" w:rsidRDefault="00F6308C">
            <w:pPr>
              <w:pStyle w:val="TableParagraph"/>
              <w:spacing w:before="36"/>
              <w:ind w:right="99"/>
              <w:rPr>
                <w:sz w:val="20"/>
              </w:rPr>
            </w:pPr>
            <w:r>
              <w:rPr>
                <w:sz w:val="20"/>
              </w:rPr>
              <w:t>3.90</w:t>
            </w:r>
          </w:p>
        </w:tc>
        <w:tc>
          <w:tcPr>
            <w:tcW w:w="1131" w:type="dxa"/>
          </w:tcPr>
          <w:p w:rsidR="007C5447" w:rsidRDefault="00F6308C">
            <w:pPr>
              <w:pStyle w:val="TableParagraph"/>
              <w:spacing w:before="36"/>
              <w:ind w:right="102"/>
              <w:rPr>
                <w:sz w:val="20"/>
              </w:rPr>
            </w:pPr>
            <w:r>
              <w:rPr>
                <w:w w:val="95"/>
                <w:sz w:val="20"/>
              </w:rPr>
              <w:t>299.40</w:t>
            </w:r>
          </w:p>
        </w:tc>
        <w:tc>
          <w:tcPr>
            <w:tcW w:w="990" w:type="dxa"/>
          </w:tcPr>
          <w:p w:rsidR="007C5447" w:rsidRDefault="00F6308C">
            <w:pPr>
              <w:pStyle w:val="TableParagraph"/>
              <w:spacing w:before="36"/>
              <w:ind w:right="100"/>
              <w:rPr>
                <w:sz w:val="20"/>
              </w:rPr>
            </w:pPr>
            <w:r>
              <w:rPr>
                <w:sz w:val="20"/>
              </w:rPr>
              <w:t>3.90</w:t>
            </w:r>
          </w:p>
        </w:tc>
        <w:tc>
          <w:tcPr>
            <w:tcW w:w="1265" w:type="dxa"/>
          </w:tcPr>
          <w:p w:rsidR="007C5447" w:rsidRDefault="00F6308C">
            <w:pPr>
              <w:pStyle w:val="TableParagraph"/>
              <w:spacing w:before="36"/>
              <w:ind w:right="100"/>
              <w:rPr>
                <w:sz w:val="20"/>
              </w:rPr>
            </w:pPr>
            <w:r>
              <w:rPr>
                <w:w w:val="95"/>
                <w:sz w:val="20"/>
              </w:rPr>
              <w:t>299.40</w:t>
            </w:r>
          </w:p>
        </w:tc>
      </w:tr>
      <w:tr w:rsidR="007C5447">
        <w:trPr>
          <w:trHeight w:val="302"/>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Kudankulum</w:t>
            </w:r>
          </w:p>
        </w:tc>
        <w:tc>
          <w:tcPr>
            <w:tcW w:w="1021" w:type="dxa"/>
          </w:tcPr>
          <w:p w:rsidR="007C5447" w:rsidRDefault="00F6308C">
            <w:pPr>
              <w:pStyle w:val="TableParagraph"/>
              <w:spacing w:before="36"/>
              <w:ind w:right="98"/>
              <w:rPr>
                <w:sz w:val="20"/>
              </w:rPr>
            </w:pPr>
            <w:r>
              <w:rPr>
                <w:w w:val="95"/>
                <w:sz w:val="20"/>
              </w:rPr>
              <w:t>5,176.14</w:t>
            </w:r>
          </w:p>
        </w:tc>
        <w:tc>
          <w:tcPr>
            <w:tcW w:w="1232" w:type="dxa"/>
          </w:tcPr>
          <w:p w:rsidR="007C5447" w:rsidRDefault="00F6308C">
            <w:pPr>
              <w:pStyle w:val="TableParagraph"/>
              <w:spacing w:before="36"/>
              <w:ind w:right="99"/>
              <w:rPr>
                <w:sz w:val="20"/>
              </w:rPr>
            </w:pPr>
            <w:r>
              <w:rPr>
                <w:w w:val="99"/>
                <w:sz w:val="20"/>
              </w:rPr>
              <w:t>-</w:t>
            </w:r>
          </w:p>
        </w:tc>
        <w:tc>
          <w:tcPr>
            <w:tcW w:w="990" w:type="dxa"/>
          </w:tcPr>
          <w:p w:rsidR="007C5447" w:rsidRDefault="00F6308C">
            <w:pPr>
              <w:pStyle w:val="TableParagraph"/>
              <w:spacing w:before="36"/>
              <w:ind w:right="99"/>
              <w:rPr>
                <w:sz w:val="20"/>
              </w:rPr>
            </w:pPr>
            <w:r>
              <w:rPr>
                <w:sz w:val="20"/>
              </w:rPr>
              <w:t>3.50</w:t>
            </w:r>
          </w:p>
        </w:tc>
        <w:tc>
          <w:tcPr>
            <w:tcW w:w="1131" w:type="dxa"/>
          </w:tcPr>
          <w:p w:rsidR="007C5447" w:rsidRDefault="00F6308C">
            <w:pPr>
              <w:pStyle w:val="TableParagraph"/>
              <w:spacing w:before="36"/>
              <w:ind w:right="102"/>
              <w:rPr>
                <w:sz w:val="20"/>
              </w:rPr>
            </w:pPr>
            <w:r>
              <w:rPr>
                <w:w w:val="95"/>
                <w:sz w:val="20"/>
              </w:rPr>
              <w:t>1,811.65</w:t>
            </w:r>
          </w:p>
        </w:tc>
        <w:tc>
          <w:tcPr>
            <w:tcW w:w="990" w:type="dxa"/>
          </w:tcPr>
          <w:p w:rsidR="007C5447" w:rsidRDefault="00F6308C">
            <w:pPr>
              <w:pStyle w:val="TableParagraph"/>
              <w:spacing w:before="36"/>
              <w:ind w:right="100"/>
              <w:rPr>
                <w:sz w:val="20"/>
              </w:rPr>
            </w:pPr>
            <w:r>
              <w:rPr>
                <w:sz w:val="20"/>
              </w:rPr>
              <w:t>3.50</w:t>
            </w:r>
          </w:p>
        </w:tc>
        <w:tc>
          <w:tcPr>
            <w:tcW w:w="1265" w:type="dxa"/>
          </w:tcPr>
          <w:p w:rsidR="007C5447" w:rsidRDefault="00F6308C">
            <w:pPr>
              <w:pStyle w:val="TableParagraph"/>
              <w:spacing w:before="36"/>
              <w:ind w:right="101"/>
              <w:rPr>
                <w:sz w:val="20"/>
              </w:rPr>
            </w:pPr>
            <w:r>
              <w:rPr>
                <w:w w:val="95"/>
                <w:sz w:val="20"/>
              </w:rPr>
              <w:t>1,811.65</w:t>
            </w:r>
          </w:p>
        </w:tc>
      </w:tr>
      <w:tr w:rsidR="007C5447">
        <w:trPr>
          <w:trHeight w:val="328"/>
        </w:trPr>
        <w:tc>
          <w:tcPr>
            <w:tcW w:w="406" w:type="dxa"/>
            <w:shd w:val="clear" w:color="auto" w:fill="D0CECE"/>
          </w:tcPr>
          <w:p w:rsidR="007C5447" w:rsidRDefault="007C5447">
            <w:pPr>
              <w:pStyle w:val="TableParagraph"/>
              <w:jc w:val="left"/>
              <w:rPr>
                <w:sz w:val="18"/>
              </w:rPr>
            </w:pPr>
          </w:p>
        </w:tc>
        <w:tc>
          <w:tcPr>
            <w:tcW w:w="2214" w:type="dxa"/>
            <w:shd w:val="clear" w:color="auto" w:fill="D0CECE"/>
          </w:tcPr>
          <w:p w:rsidR="007C5447" w:rsidRDefault="00F6308C">
            <w:pPr>
              <w:pStyle w:val="TableParagraph"/>
              <w:spacing w:before="59"/>
              <w:ind w:left="107"/>
              <w:jc w:val="left"/>
              <w:rPr>
                <w:b/>
                <w:sz w:val="18"/>
              </w:rPr>
            </w:pPr>
            <w:r>
              <w:rPr>
                <w:b/>
                <w:sz w:val="18"/>
              </w:rPr>
              <w:t>Total</w:t>
            </w:r>
          </w:p>
        </w:tc>
        <w:tc>
          <w:tcPr>
            <w:tcW w:w="1021" w:type="dxa"/>
            <w:shd w:val="clear" w:color="auto" w:fill="D0CECE"/>
          </w:tcPr>
          <w:p w:rsidR="007C5447" w:rsidRDefault="00F6308C">
            <w:pPr>
              <w:pStyle w:val="TableParagraph"/>
              <w:spacing w:before="48"/>
              <w:ind w:right="98"/>
              <w:rPr>
                <w:b/>
                <w:sz w:val="20"/>
              </w:rPr>
            </w:pPr>
            <w:r>
              <w:rPr>
                <w:b/>
                <w:w w:val="95"/>
                <w:sz w:val="20"/>
              </w:rPr>
              <w:t>31,618.65</w:t>
            </w:r>
          </w:p>
        </w:tc>
        <w:tc>
          <w:tcPr>
            <w:tcW w:w="1232" w:type="dxa"/>
            <w:shd w:val="clear" w:color="auto" w:fill="D0CECE"/>
          </w:tcPr>
          <w:p w:rsidR="007C5447" w:rsidRDefault="00F6308C">
            <w:pPr>
              <w:pStyle w:val="TableParagraph"/>
              <w:spacing w:before="48"/>
              <w:ind w:right="99"/>
              <w:rPr>
                <w:b/>
                <w:sz w:val="20"/>
              </w:rPr>
            </w:pPr>
            <w:r>
              <w:rPr>
                <w:b/>
                <w:w w:val="95"/>
                <w:sz w:val="20"/>
              </w:rPr>
              <w:t>2,809.66</w:t>
            </w:r>
          </w:p>
        </w:tc>
        <w:tc>
          <w:tcPr>
            <w:tcW w:w="990" w:type="dxa"/>
            <w:shd w:val="clear" w:color="auto" w:fill="D0CECE"/>
          </w:tcPr>
          <w:p w:rsidR="007C5447" w:rsidRDefault="00F6308C">
            <w:pPr>
              <w:pStyle w:val="TableParagraph"/>
              <w:spacing w:before="48"/>
              <w:ind w:right="99"/>
              <w:rPr>
                <w:b/>
                <w:sz w:val="20"/>
              </w:rPr>
            </w:pPr>
            <w:r>
              <w:rPr>
                <w:b/>
                <w:sz w:val="20"/>
              </w:rPr>
              <w:t>2.57</w:t>
            </w:r>
          </w:p>
        </w:tc>
        <w:tc>
          <w:tcPr>
            <w:tcW w:w="1131" w:type="dxa"/>
            <w:shd w:val="clear" w:color="auto" w:fill="D0CECE"/>
          </w:tcPr>
          <w:p w:rsidR="007C5447" w:rsidRDefault="00F6308C">
            <w:pPr>
              <w:pStyle w:val="TableParagraph"/>
              <w:spacing w:before="48"/>
              <w:ind w:right="102"/>
              <w:rPr>
                <w:b/>
                <w:sz w:val="20"/>
              </w:rPr>
            </w:pPr>
            <w:r>
              <w:rPr>
                <w:b/>
                <w:w w:val="95"/>
                <w:sz w:val="20"/>
              </w:rPr>
              <w:t>8,118.59</w:t>
            </w:r>
          </w:p>
        </w:tc>
        <w:tc>
          <w:tcPr>
            <w:tcW w:w="990" w:type="dxa"/>
            <w:shd w:val="clear" w:color="auto" w:fill="D0CECE"/>
          </w:tcPr>
          <w:p w:rsidR="007C5447" w:rsidRDefault="00F6308C">
            <w:pPr>
              <w:pStyle w:val="TableParagraph"/>
              <w:spacing w:before="48"/>
              <w:ind w:right="100"/>
              <w:rPr>
                <w:b/>
                <w:sz w:val="20"/>
              </w:rPr>
            </w:pPr>
            <w:r>
              <w:rPr>
                <w:b/>
                <w:sz w:val="20"/>
              </w:rPr>
              <w:t>3.46</w:t>
            </w:r>
          </w:p>
        </w:tc>
        <w:tc>
          <w:tcPr>
            <w:tcW w:w="1265" w:type="dxa"/>
            <w:shd w:val="clear" w:color="auto" w:fill="D0CECE"/>
          </w:tcPr>
          <w:p w:rsidR="007C5447" w:rsidRDefault="00F6308C">
            <w:pPr>
              <w:pStyle w:val="TableParagraph"/>
              <w:spacing w:before="48"/>
              <w:ind w:right="101"/>
              <w:rPr>
                <w:b/>
                <w:sz w:val="20"/>
              </w:rPr>
            </w:pPr>
            <w:r>
              <w:rPr>
                <w:b/>
                <w:w w:val="95"/>
                <w:sz w:val="20"/>
              </w:rPr>
              <w:t>10,928.25</w:t>
            </w:r>
          </w:p>
        </w:tc>
      </w:tr>
      <w:tr w:rsidR="007C5447">
        <w:trPr>
          <w:trHeight w:val="331"/>
        </w:trPr>
        <w:tc>
          <w:tcPr>
            <w:tcW w:w="406" w:type="dxa"/>
          </w:tcPr>
          <w:p w:rsidR="007C5447" w:rsidRDefault="00F6308C">
            <w:pPr>
              <w:pStyle w:val="TableParagraph"/>
              <w:spacing w:before="62"/>
              <w:ind w:left="106"/>
              <w:jc w:val="center"/>
              <w:rPr>
                <w:b/>
                <w:sz w:val="18"/>
              </w:rPr>
            </w:pPr>
            <w:r>
              <w:rPr>
                <w:b/>
                <w:sz w:val="18"/>
              </w:rPr>
              <w:t>3</w:t>
            </w:r>
          </w:p>
        </w:tc>
        <w:tc>
          <w:tcPr>
            <w:tcW w:w="2214" w:type="dxa"/>
          </w:tcPr>
          <w:p w:rsidR="007C5447" w:rsidRDefault="00F6308C">
            <w:pPr>
              <w:pStyle w:val="TableParagraph"/>
              <w:spacing w:before="62"/>
              <w:ind w:left="107"/>
              <w:jc w:val="left"/>
              <w:rPr>
                <w:b/>
                <w:sz w:val="18"/>
              </w:rPr>
            </w:pPr>
            <w:r>
              <w:rPr>
                <w:b/>
                <w:sz w:val="18"/>
              </w:rPr>
              <w:t>IPP</w:t>
            </w:r>
          </w:p>
        </w:tc>
        <w:tc>
          <w:tcPr>
            <w:tcW w:w="1021" w:type="dxa"/>
          </w:tcPr>
          <w:p w:rsidR="007C5447" w:rsidRDefault="007C5447">
            <w:pPr>
              <w:pStyle w:val="TableParagraph"/>
              <w:jc w:val="left"/>
              <w:rPr>
                <w:sz w:val="18"/>
              </w:rPr>
            </w:pPr>
          </w:p>
        </w:tc>
        <w:tc>
          <w:tcPr>
            <w:tcW w:w="1232"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131"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265" w:type="dxa"/>
          </w:tcPr>
          <w:p w:rsidR="007C5447" w:rsidRDefault="007C5447">
            <w:pPr>
              <w:pStyle w:val="TableParagraph"/>
              <w:jc w:val="left"/>
              <w:rPr>
                <w:sz w:val="18"/>
              </w:rPr>
            </w:pP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PPN</w:t>
            </w:r>
          </w:p>
        </w:tc>
        <w:tc>
          <w:tcPr>
            <w:tcW w:w="1021" w:type="dxa"/>
          </w:tcPr>
          <w:p w:rsidR="007C5447" w:rsidRDefault="00F6308C">
            <w:pPr>
              <w:pStyle w:val="TableParagraph"/>
              <w:spacing w:before="36"/>
              <w:ind w:right="99"/>
              <w:rPr>
                <w:sz w:val="20"/>
              </w:rPr>
            </w:pPr>
            <w:r>
              <w:rPr>
                <w:w w:val="99"/>
                <w:sz w:val="20"/>
              </w:rPr>
              <w:t>-</w:t>
            </w:r>
          </w:p>
        </w:tc>
        <w:tc>
          <w:tcPr>
            <w:tcW w:w="1232" w:type="dxa"/>
          </w:tcPr>
          <w:p w:rsidR="007C5447" w:rsidRDefault="00F6308C">
            <w:pPr>
              <w:pStyle w:val="TableParagraph"/>
              <w:spacing w:before="36"/>
              <w:ind w:right="98"/>
              <w:rPr>
                <w:sz w:val="20"/>
              </w:rPr>
            </w:pPr>
            <w:r>
              <w:rPr>
                <w:w w:val="95"/>
                <w:sz w:val="20"/>
              </w:rPr>
              <w:t>104.73</w:t>
            </w:r>
          </w:p>
        </w:tc>
        <w:tc>
          <w:tcPr>
            <w:tcW w:w="990" w:type="dxa"/>
          </w:tcPr>
          <w:p w:rsidR="007C5447" w:rsidRDefault="00F6308C">
            <w:pPr>
              <w:pStyle w:val="TableParagraph"/>
              <w:spacing w:before="36"/>
              <w:ind w:right="99"/>
              <w:rPr>
                <w:sz w:val="20"/>
              </w:rPr>
            </w:pPr>
            <w:r>
              <w:rPr>
                <w:sz w:val="20"/>
              </w:rPr>
              <w:t>7.47</w:t>
            </w:r>
          </w:p>
        </w:tc>
        <w:tc>
          <w:tcPr>
            <w:tcW w:w="1131" w:type="dxa"/>
          </w:tcPr>
          <w:p w:rsidR="007C5447" w:rsidRDefault="00F6308C">
            <w:pPr>
              <w:pStyle w:val="TableParagraph"/>
              <w:spacing w:before="36"/>
              <w:ind w:right="103"/>
              <w:rPr>
                <w:sz w:val="20"/>
              </w:rPr>
            </w:pPr>
            <w:r>
              <w:rPr>
                <w:w w:val="99"/>
                <w:sz w:val="20"/>
              </w:rPr>
              <w:t>-</w:t>
            </w:r>
          </w:p>
        </w:tc>
        <w:tc>
          <w:tcPr>
            <w:tcW w:w="990" w:type="dxa"/>
          </w:tcPr>
          <w:p w:rsidR="007C5447" w:rsidRDefault="00F6308C">
            <w:pPr>
              <w:pStyle w:val="TableParagraph"/>
              <w:spacing w:before="36"/>
              <w:ind w:right="101"/>
              <w:rPr>
                <w:sz w:val="20"/>
              </w:rPr>
            </w:pPr>
            <w:r>
              <w:rPr>
                <w:w w:val="99"/>
                <w:sz w:val="20"/>
              </w:rPr>
              <w:t>-</w:t>
            </w:r>
          </w:p>
        </w:tc>
        <w:tc>
          <w:tcPr>
            <w:tcW w:w="1265" w:type="dxa"/>
          </w:tcPr>
          <w:p w:rsidR="007C5447" w:rsidRDefault="00F6308C">
            <w:pPr>
              <w:pStyle w:val="TableParagraph"/>
              <w:spacing w:before="36"/>
              <w:ind w:right="100"/>
              <w:rPr>
                <w:sz w:val="20"/>
              </w:rPr>
            </w:pPr>
            <w:r>
              <w:rPr>
                <w:w w:val="95"/>
                <w:sz w:val="20"/>
              </w:rPr>
              <w:t>104.73</w:t>
            </w:r>
          </w:p>
        </w:tc>
      </w:tr>
      <w:tr w:rsidR="007C5447">
        <w:trPr>
          <w:trHeight w:val="330"/>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62"/>
              <w:ind w:left="107"/>
              <w:jc w:val="left"/>
              <w:rPr>
                <w:sz w:val="18"/>
              </w:rPr>
            </w:pPr>
            <w:r>
              <w:rPr>
                <w:sz w:val="18"/>
              </w:rPr>
              <w:t>STCMS - Neyveli (TAQA)</w:t>
            </w:r>
          </w:p>
        </w:tc>
        <w:tc>
          <w:tcPr>
            <w:tcW w:w="1021" w:type="dxa"/>
          </w:tcPr>
          <w:p w:rsidR="007C5447" w:rsidRDefault="00F6308C">
            <w:pPr>
              <w:pStyle w:val="TableParagraph"/>
              <w:spacing w:before="50"/>
              <w:ind w:right="99"/>
              <w:rPr>
                <w:sz w:val="20"/>
              </w:rPr>
            </w:pPr>
            <w:r>
              <w:rPr>
                <w:w w:val="99"/>
                <w:sz w:val="20"/>
              </w:rPr>
              <w:t>-</w:t>
            </w:r>
          </w:p>
        </w:tc>
        <w:tc>
          <w:tcPr>
            <w:tcW w:w="1232" w:type="dxa"/>
          </w:tcPr>
          <w:p w:rsidR="007C5447" w:rsidRDefault="00F6308C">
            <w:pPr>
              <w:pStyle w:val="TableParagraph"/>
              <w:spacing w:before="50"/>
              <w:ind w:right="98"/>
              <w:rPr>
                <w:sz w:val="20"/>
              </w:rPr>
            </w:pPr>
            <w:r>
              <w:rPr>
                <w:w w:val="95"/>
                <w:sz w:val="20"/>
              </w:rPr>
              <w:t>218.93</w:t>
            </w:r>
          </w:p>
        </w:tc>
        <w:tc>
          <w:tcPr>
            <w:tcW w:w="990" w:type="dxa"/>
          </w:tcPr>
          <w:p w:rsidR="007C5447" w:rsidRDefault="00F6308C">
            <w:pPr>
              <w:pStyle w:val="TableParagraph"/>
              <w:spacing w:before="50"/>
              <w:ind w:right="99"/>
              <w:rPr>
                <w:sz w:val="20"/>
              </w:rPr>
            </w:pPr>
            <w:r>
              <w:rPr>
                <w:sz w:val="20"/>
              </w:rPr>
              <w:t>3.44</w:t>
            </w:r>
          </w:p>
        </w:tc>
        <w:tc>
          <w:tcPr>
            <w:tcW w:w="1131" w:type="dxa"/>
          </w:tcPr>
          <w:p w:rsidR="007C5447" w:rsidRDefault="00F6308C">
            <w:pPr>
              <w:pStyle w:val="TableParagraph"/>
              <w:spacing w:before="50"/>
              <w:ind w:right="103"/>
              <w:rPr>
                <w:sz w:val="20"/>
              </w:rPr>
            </w:pPr>
            <w:r>
              <w:rPr>
                <w:w w:val="99"/>
                <w:sz w:val="20"/>
              </w:rPr>
              <w:t>-</w:t>
            </w:r>
          </w:p>
        </w:tc>
        <w:tc>
          <w:tcPr>
            <w:tcW w:w="990" w:type="dxa"/>
          </w:tcPr>
          <w:p w:rsidR="007C5447" w:rsidRDefault="00F6308C">
            <w:pPr>
              <w:pStyle w:val="TableParagraph"/>
              <w:spacing w:before="50"/>
              <w:ind w:right="101"/>
              <w:rPr>
                <w:sz w:val="20"/>
              </w:rPr>
            </w:pPr>
            <w:r>
              <w:rPr>
                <w:w w:val="99"/>
                <w:sz w:val="20"/>
              </w:rPr>
              <w:t>-</w:t>
            </w:r>
          </w:p>
        </w:tc>
        <w:tc>
          <w:tcPr>
            <w:tcW w:w="1265" w:type="dxa"/>
          </w:tcPr>
          <w:p w:rsidR="007C5447" w:rsidRDefault="00F6308C">
            <w:pPr>
              <w:pStyle w:val="TableParagraph"/>
              <w:spacing w:before="50"/>
              <w:ind w:right="100"/>
              <w:rPr>
                <w:sz w:val="20"/>
              </w:rPr>
            </w:pPr>
            <w:r>
              <w:rPr>
                <w:w w:val="95"/>
                <w:sz w:val="20"/>
              </w:rPr>
              <w:t>218.93</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LANCO Power (Aban co)</w:t>
            </w:r>
          </w:p>
        </w:tc>
        <w:tc>
          <w:tcPr>
            <w:tcW w:w="1021" w:type="dxa"/>
          </w:tcPr>
          <w:p w:rsidR="007C5447" w:rsidRDefault="00F6308C">
            <w:pPr>
              <w:pStyle w:val="TableParagraph"/>
              <w:spacing w:before="34"/>
              <w:ind w:right="97"/>
              <w:rPr>
                <w:sz w:val="20"/>
              </w:rPr>
            </w:pPr>
            <w:r>
              <w:rPr>
                <w:w w:val="95"/>
                <w:sz w:val="20"/>
              </w:rPr>
              <w:t>466.69</w:t>
            </w:r>
          </w:p>
        </w:tc>
        <w:tc>
          <w:tcPr>
            <w:tcW w:w="1232" w:type="dxa"/>
          </w:tcPr>
          <w:p w:rsidR="007C5447" w:rsidRDefault="00F6308C">
            <w:pPr>
              <w:pStyle w:val="TableParagraph"/>
              <w:spacing w:before="34"/>
              <w:ind w:right="98"/>
              <w:rPr>
                <w:sz w:val="20"/>
              </w:rPr>
            </w:pPr>
            <w:r>
              <w:rPr>
                <w:sz w:val="20"/>
              </w:rPr>
              <w:t>44.42</w:t>
            </w:r>
          </w:p>
        </w:tc>
        <w:tc>
          <w:tcPr>
            <w:tcW w:w="990" w:type="dxa"/>
          </w:tcPr>
          <w:p w:rsidR="007C5447" w:rsidRDefault="00F6308C">
            <w:pPr>
              <w:pStyle w:val="TableParagraph"/>
              <w:spacing w:before="34"/>
              <w:ind w:right="99"/>
              <w:rPr>
                <w:sz w:val="20"/>
              </w:rPr>
            </w:pPr>
            <w:r>
              <w:rPr>
                <w:sz w:val="20"/>
              </w:rPr>
              <w:t>1.96</w:t>
            </w:r>
          </w:p>
        </w:tc>
        <w:tc>
          <w:tcPr>
            <w:tcW w:w="1131" w:type="dxa"/>
          </w:tcPr>
          <w:p w:rsidR="007C5447" w:rsidRDefault="00F6308C">
            <w:pPr>
              <w:pStyle w:val="TableParagraph"/>
              <w:spacing w:before="34"/>
              <w:ind w:right="102"/>
              <w:rPr>
                <w:sz w:val="20"/>
              </w:rPr>
            </w:pPr>
            <w:r>
              <w:rPr>
                <w:sz w:val="20"/>
              </w:rPr>
              <w:t>91.47</w:t>
            </w:r>
          </w:p>
        </w:tc>
        <w:tc>
          <w:tcPr>
            <w:tcW w:w="990" w:type="dxa"/>
          </w:tcPr>
          <w:p w:rsidR="007C5447" w:rsidRDefault="00F6308C">
            <w:pPr>
              <w:pStyle w:val="TableParagraph"/>
              <w:spacing w:before="34"/>
              <w:ind w:right="100"/>
              <w:rPr>
                <w:sz w:val="20"/>
              </w:rPr>
            </w:pPr>
            <w:r>
              <w:rPr>
                <w:sz w:val="20"/>
              </w:rPr>
              <w:t>2.91</w:t>
            </w:r>
          </w:p>
        </w:tc>
        <w:tc>
          <w:tcPr>
            <w:tcW w:w="1265" w:type="dxa"/>
          </w:tcPr>
          <w:p w:rsidR="007C5447" w:rsidRDefault="00F6308C">
            <w:pPr>
              <w:pStyle w:val="TableParagraph"/>
              <w:spacing w:before="34"/>
              <w:ind w:right="100"/>
              <w:rPr>
                <w:sz w:val="20"/>
              </w:rPr>
            </w:pPr>
            <w:r>
              <w:rPr>
                <w:w w:val="95"/>
                <w:sz w:val="20"/>
              </w:rPr>
              <w:t>135.89</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Penna</w:t>
            </w:r>
          </w:p>
        </w:tc>
        <w:tc>
          <w:tcPr>
            <w:tcW w:w="1021" w:type="dxa"/>
          </w:tcPr>
          <w:p w:rsidR="007C5447" w:rsidRDefault="00F6308C">
            <w:pPr>
              <w:pStyle w:val="TableParagraph"/>
              <w:spacing w:before="36"/>
              <w:ind w:right="97"/>
              <w:rPr>
                <w:sz w:val="20"/>
              </w:rPr>
            </w:pPr>
            <w:r>
              <w:rPr>
                <w:w w:val="95"/>
                <w:sz w:val="20"/>
              </w:rPr>
              <w:t>358.63</w:t>
            </w:r>
          </w:p>
        </w:tc>
        <w:tc>
          <w:tcPr>
            <w:tcW w:w="1232" w:type="dxa"/>
          </w:tcPr>
          <w:p w:rsidR="007C5447" w:rsidRDefault="00F6308C">
            <w:pPr>
              <w:pStyle w:val="TableParagraph"/>
              <w:spacing w:before="36"/>
              <w:ind w:right="98"/>
              <w:rPr>
                <w:sz w:val="20"/>
              </w:rPr>
            </w:pPr>
            <w:r>
              <w:rPr>
                <w:sz w:val="20"/>
              </w:rPr>
              <w:t>33.89</w:t>
            </w:r>
          </w:p>
        </w:tc>
        <w:tc>
          <w:tcPr>
            <w:tcW w:w="990" w:type="dxa"/>
          </w:tcPr>
          <w:p w:rsidR="007C5447" w:rsidRDefault="00F6308C">
            <w:pPr>
              <w:pStyle w:val="TableParagraph"/>
              <w:spacing w:before="36"/>
              <w:ind w:right="99"/>
              <w:rPr>
                <w:sz w:val="20"/>
              </w:rPr>
            </w:pPr>
            <w:r>
              <w:rPr>
                <w:sz w:val="20"/>
              </w:rPr>
              <w:t>1.97</w:t>
            </w:r>
          </w:p>
        </w:tc>
        <w:tc>
          <w:tcPr>
            <w:tcW w:w="1131" w:type="dxa"/>
          </w:tcPr>
          <w:p w:rsidR="007C5447" w:rsidRDefault="00F6308C">
            <w:pPr>
              <w:pStyle w:val="TableParagraph"/>
              <w:spacing w:before="36"/>
              <w:ind w:right="102"/>
              <w:rPr>
                <w:sz w:val="20"/>
              </w:rPr>
            </w:pPr>
            <w:r>
              <w:rPr>
                <w:sz w:val="20"/>
              </w:rPr>
              <w:t>70.65</w:t>
            </w:r>
          </w:p>
        </w:tc>
        <w:tc>
          <w:tcPr>
            <w:tcW w:w="990" w:type="dxa"/>
          </w:tcPr>
          <w:p w:rsidR="007C5447" w:rsidRDefault="00F6308C">
            <w:pPr>
              <w:pStyle w:val="TableParagraph"/>
              <w:spacing w:before="36"/>
              <w:ind w:right="100"/>
              <w:rPr>
                <w:sz w:val="20"/>
              </w:rPr>
            </w:pPr>
            <w:r>
              <w:rPr>
                <w:sz w:val="20"/>
              </w:rPr>
              <w:t>2.91</w:t>
            </w:r>
          </w:p>
        </w:tc>
        <w:tc>
          <w:tcPr>
            <w:tcW w:w="1265" w:type="dxa"/>
          </w:tcPr>
          <w:p w:rsidR="007C5447" w:rsidRDefault="00F6308C">
            <w:pPr>
              <w:pStyle w:val="TableParagraph"/>
              <w:spacing w:before="36"/>
              <w:ind w:right="100"/>
              <w:rPr>
                <w:sz w:val="20"/>
              </w:rPr>
            </w:pPr>
            <w:r>
              <w:rPr>
                <w:w w:val="95"/>
                <w:sz w:val="20"/>
              </w:rPr>
              <w:t>104.54</w:t>
            </w:r>
          </w:p>
        </w:tc>
      </w:tr>
      <w:tr w:rsidR="007C5447">
        <w:trPr>
          <w:trHeight w:val="330"/>
        </w:trPr>
        <w:tc>
          <w:tcPr>
            <w:tcW w:w="406" w:type="dxa"/>
            <w:shd w:val="clear" w:color="auto" w:fill="D0CECE"/>
          </w:tcPr>
          <w:p w:rsidR="007C5447" w:rsidRDefault="007C5447">
            <w:pPr>
              <w:pStyle w:val="TableParagraph"/>
              <w:jc w:val="left"/>
              <w:rPr>
                <w:sz w:val="18"/>
              </w:rPr>
            </w:pPr>
          </w:p>
        </w:tc>
        <w:tc>
          <w:tcPr>
            <w:tcW w:w="2214" w:type="dxa"/>
            <w:shd w:val="clear" w:color="auto" w:fill="D0CECE"/>
          </w:tcPr>
          <w:p w:rsidR="007C5447" w:rsidRDefault="00F6308C">
            <w:pPr>
              <w:pStyle w:val="TableParagraph"/>
              <w:spacing w:before="62"/>
              <w:ind w:left="107"/>
              <w:jc w:val="left"/>
              <w:rPr>
                <w:b/>
                <w:sz w:val="18"/>
              </w:rPr>
            </w:pPr>
            <w:r>
              <w:rPr>
                <w:b/>
                <w:sz w:val="18"/>
              </w:rPr>
              <w:t>Total</w:t>
            </w:r>
          </w:p>
        </w:tc>
        <w:tc>
          <w:tcPr>
            <w:tcW w:w="1021" w:type="dxa"/>
            <w:shd w:val="clear" w:color="auto" w:fill="D0CECE"/>
          </w:tcPr>
          <w:p w:rsidR="007C5447" w:rsidRDefault="00F6308C">
            <w:pPr>
              <w:pStyle w:val="TableParagraph"/>
              <w:spacing w:before="50"/>
              <w:ind w:right="97"/>
              <w:rPr>
                <w:b/>
                <w:sz w:val="20"/>
              </w:rPr>
            </w:pPr>
            <w:r>
              <w:rPr>
                <w:b/>
                <w:w w:val="95"/>
                <w:sz w:val="20"/>
              </w:rPr>
              <w:t>825.33</w:t>
            </w:r>
          </w:p>
        </w:tc>
        <w:tc>
          <w:tcPr>
            <w:tcW w:w="1232" w:type="dxa"/>
            <w:shd w:val="clear" w:color="auto" w:fill="D0CECE"/>
          </w:tcPr>
          <w:p w:rsidR="007C5447" w:rsidRDefault="00F6308C">
            <w:pPr>
              <w:pStyle w:val="TableParagraph"/>
              <w:spacing w:before="50"/>
              <w:ind w:right="98"/>
              <w:rPr>
                <w:b/>
                <w:sz w:val="20"/>
              </w:rPr>
            </w:pPr>
            <w:r>
              <w:rPr>
                <w:b/>
                <w:w w:val="95"/>
                <w:sz w:val="20"/>
              </w:rPr>
              <w:t>401.96</w:t>
            </w:r>
          </w:p>
        </w:tc>
        <w:tc>
          <w:tcPr>
            <w:tcW w:w="990" w:type="dxa"/>
            <w:shd w:val="clear" w:color="auto" w:fill="D0CECE"/>
          </w:tcPr>
          <w:p w:rsidR="007C5447" w:rsidRDefault="00F6308C">
            <w:pPr>
              <w:pStyle w:val="TableParagraph"/>
              <w:spacing w:before="50"/>
              <w:ind w:right="99"/>
              <w:rPr>
                <w:b/>
                <w:sz w:val="20"/>
              </w:rPr>
            </w:pPr>
            <w:r>
              <w:rPr>
                <w:b/>
                <w:sz w:val="20"/>
              </w:rPr>
              <w:t>1.96</w:t>
            </w:r>
          </w:p>
        </w:tc>
        <w:tc>
          <w:tcPr>
            <w:tcW w:w="1131" w:type="dxa"/>
            <w:shd w:val="clear" w:color="auto" w:fill="D0CECE"/>
          </w:tcPr>
          <w:p w:rsidR="007C5447" w:rsidRDefault="00F6308C">
            <w:pPr>
              <w:pStyle w:val="TableParagraph"/>
              <w:spacing w:before="50"/>
              <w:ind w:right="102"/>
              <w:rPr>
                <w:b/>
                <w:sz w:val="20"/>
              </w:rPr>
            </w:pPr>
            <w:r>
              <w:rPr>
                <w:b/>
                <w:w w:val="95"/>
                <w:sz w:val="20"/>
              </w:rPr>
              <w:t>162.12</w:t>
            </w:r>
          </w:p>
        </w:tc>
        <w:tc>
          <w:tcPr>
            <w:tcW w:w="990" w:type="dxa"/>
            <w:shd w:val="clear" w:color="auto" w:fill="D0CECE"/>
          </w:tcPr>
          <w:p w:rsidR="007C5447" w:rsidRDefault="00F6308C">
            <w:pPr>
              <w:pStyle w:val="TableParagraph"/>
              <w:spacing w:before="50"/>
              <w:ind w:right="100"/>
              <w:rPr>
                <w:b/>
                <w:sz w:val="20"/>
              </w:rPr>
            </w:pPr>
            <w:r>
              <w:rPr>
                <w:b/>
                <w:sz w:val="20"/>
              </w:rPr>
              <w:t>6.83</w:t>
            </w:r>
          </w:p>
        </w:tc>
        <w:tc>
          <w:tcPr>
            <w:tcW w:w="1265" w:type="dxa"/>
            <w:shd w:val="clear" w:color="auto" w:fill="D0CECE"/>
          </w:tcPr>
          <w:p w:rsidR="007C5447" w:rsidRDefault="00F6308C">
            <w:pPr>
              <w:pStyle w:val="TableParagraph"/>
              <w:spacing w:before="50"/>
              <w:ind w:right="100"/>
              <w:rPr>
                <w:b/>
                <w:sz w:val="20"/>
              </w:rPr>
            </w:pPr>
            <w:r>
              <w:rPr>
                <w:b/>
                <w:w w:val="95"/>
                <w:sz w:val="20"/>
              </w:rPr>
              <w:t>564.08</w:t>
            </w:r>
          </w:p>
        </w:tc>
      </w:tr>
      <w:tr w:rsidR="007C5447">
        <w:trPr>
          <w:trHeight w:val="328"/>
        </w:trPr>
        <w:tc>
          <w:tcPr>
            <w:tcW w:w="406" w:type="dxa"/>
          </w:tcPr>
          <w:p w:rsidR="007C5447" w:rsidRDefault="00F6308C">
            <w:pPr>
              <w:pStyle w:val="TableParagraph"/>
              <w:spacing w:before="62"/>
              <w:ind w:left="106"/>
              <w:jc w:val="center"/>
              <w:rPr>
                <w:b/>
                <w:sz w:val="18"/>
              </w:rPr>
            </w:pPr>
            <w:r>
              <w:rPr>
                <w:b/>
                <w:sz w:val="18"/>
              </w:rPr>
              <w:t>4</w:t>
            </w:r>
          </w:p>
        </w:tc>
        <w:tc>
          <w:tcPr>
            <w:tcW w:w="2214" w:type="dxa"/>
          </w:tcPr>
          <w:p w:rsidR="007C5447" w:rsidRDefault="00F6308C">
            <w:pPr>
              <w:pStyle w:val="TableParagraph"/>
              <w:spacing w:before="62"/>
              <w:ind w:left="107"/>
              <w:jc w:val="left"/>
              <w:rPr>
                <w:b/>
                <w:sz w:val="18"/>
              </w:rPr>
            </w:pPr>
            <w:r>
              <w:rPr>
                <w:b/>
                <w:sz w:val="18"/>
              </w:rPr>
              <w:t>Renewables</w:t>
            </w:r>
          </w:p>
        </w:tc>
        <w:tc>
          <w:tcPr>
            <w:tcW w:w="1021" w:type="dxa"/>
          </w:tcPr>
          <w:p w:rsidR="007C5447" w:rsidRDefault="007C5447">
            <w:pPr>
              <w:pStyle w:val="TableParagraph"/>
              <w:jc w:val="left"/>
              <w:rPr>
                <w:sz w:val="18"/>
              </w:rPr>
            </w:pPr>
          </w:p>
        </w:tc>
        <w:tc>
          <w:tcPr>
            <w:tcW w:w="1232"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131"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265" w:type="dxa"/>
          </w:tcPr>
          <w:p w:rsidR="007C5447" w:rsidRDefault="007C5447">
            <w:pPr>
              <w:pStyle w:val="TableParagraph"/>
              <w:jc w:val="left"/>
              <w:rPr>
                <w:sz w:val="18"/>
              </w:rPr>
            </w:pPr>
          </w:p>
        </w:tc>
      </w:tr>
      <w:tr w:rsidR="007C5447">
        <w:trPr>
          <w:trHeight w:val="330"/>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62"/>
              <w:ind w:left="107"/>
              <w:jc w:val="left"/>
              <w:rPr>
                <w:sz w:val="18"/>
              </w:rPr>
            </w:pPr>
            <w:r>
              <w:rPr>
                <w:sz w:val="18"/>
              </w:rPr>
              <w:t>Wind</w:t>
            </w:r>
          </w:p>
        </w:tc>
        <w:tc>
          <w:tcPr>
            <w:tcW w:w="1021" w:type="dxa"/>
          </w:tcPr>
          <w:p w:rsidR="007C5447" w:rsidRDefault="00F6308C">
            <w:pPr>
              <w:pStyle w:val="TableParagraph"/>
              <w:spacing w:before="50"/>
              <w:ind w:right="98"/>
              <w:rPr>
                <w:sz w:val="20"/>
              </w:rPr>
            </w:pPr>
            <w:r>
              <w:rPr>
                <w:w w:val="95"/>
                <w:sz w:val="20"/>
              </w:rPr>
              <w:t>6,313.56</w:t>
            </w:r>
          </w:p>
        </w:tc>
        <w:tc>
          <w:tcPr>
            <w:tcW w:w="1232" w:type="dxa"/>
          </w:tcPr>
          <w:p w:rsidR="007C5447" w:rsidRDefault="00F6308C">
            <w:pPr>
              <w:pStyle w:val="TableParagraph"/>
              <w:spacing w:before="50"/>
              <w:ind w:right="99"/>
              <w:rPr>
                <w:sz w:val="20"/>
              </w:rPr>
            </w:pPr>
            <w:r>
              <w:rPr>
                <w:w w:val="99"/>
                <w:sz w:val="20"/>
              </w:rPr>
              <w:t>-</w:t>
            </w:r>
          </w:p>
        </w:tc>
        <w:tc>
          <w:tcPr>
            <w:tcW w:w="990" w:type="dxa"/>
          </w:tcPr>
          <w:p w:rsidR="007C5447" w:rsidRDefault="00F6308C">
            <w:pPr>
              <w:pStyle w:val="TableParagraph"/>
              <w:spacing w:before="50"/>
              <w:ind w:right="99"/>
              <w:rPr>
                <w:sz w:val="20"/>
              </w:rPr>
            </w:pPr>
            <w:r>
              <w:rPr>
                <w:sz w:val="20"/>
              </w:rPr>
              <w:t>3.08</w:t>
            </w:r>
          </w:p>
        </w:tc>
        <w:tc>
          <w:tcPr>
            <w:tcW w:w="1131" w:type="dxa"/>
          </w:tcPr>
          <w:p w:rsidR="007C5447" w:rsidRDefault="00F6308C">
            <w:pPr>
              <w:pStyle w:val="TableParagraph"/>
              <w:spacing w:before="50"/>
              <w:ind w:right="102"/>
              <w:rPr>
                <w:sz w:val="20"/>
              </w:rPr>
            </w:pPr>
            <w:r>
              <w:rPr>
                <w:w w:val="95"/>
                <w:sz w:val="20"/>
              </w:rPr>
              <w:t>1,944.58</w:t>
            </w:r>
          </w:p>
        </w:tc>
        <w:tc>
          <w:tcPr>
            <w:tcW w:w="990" w:type="dxa"/>
          </w:tcPr>
          <w:p w:rsidR="007C5447" w:rsidRDefault="00F6308C">
            <w:pPr>
              <w:pStyle w:val="TableParagraph"/>
              <w:spacing w:before="50"/>
              <w:ind w:right="100"/>
              <w:rPr>
                <w:sz w:val="20"/>
              </w:rPr>
            </w:pPr>
            <w:r>
              <w:rPr>
                <w:sz w:val="20"/>
              </w:rPr>
              <w:t>3.08</w:t>
            </w:r>
          </w:p>
        </w:tc>
        <w:tc>
          <w:tcPr>
            <w:tcW w:w="1265" w:type="dxa"/>
          </w:tcPr>
          <w:p w:rsidR="007C5447" w:rsidRDefault="00F6308C">
            <w:pPr>
              <w:pStyle w:val="TableParagraph"/>
              <w:spacing w:before="50"/>
              <w:ind w:right="101"/>
              <w:rPr>
                <w:sz w:val="20"/>
              </w:rPr>
            </w:pPr>
            <w:r>
              <w:rPr>
                <w:w w:val="95"/>
                <w:sz w:val="20"/>
              </w:rPr>
              <w:t>1,944.58</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Biomass</w:t>
            </w:r>
          </w:p>
        </w:tc>
        <w:tc>
          <w:tcPr>
            <w:tcW w:w="1021" w:type="dxa"/>
          </w:tcPr>
          <w:p w:rsidR="007C5447" w:rsidRDefault="00F6308C">
            <w:pPr>
              <w:pStyle w:val="TableParagraph"/>
              <w:spacing w:before="36"/>
              <w:ind w:right="97"/>
              <w:rPr>
                <w:sz w:val="20"/>
              </w:rPr>
            </w:pPr>
            <w:r>
              <w:rPr>
                <w:sz w:val="20"/>
              </w:rPr>
              <w:t>20.00</w:t>
            </w:r>
          </w:p>
        </w:tc>
        <w:tc>
          <w:tcPr>
            <w:tcW w:w="1232" w:type="dxa"/>
          </w:tcPr>
          <w:p w:rsidR="007C5447" w:rsidRDefault="00F6308C">
            <w:pPr>
              <w:pStyle w:val="TableParagraph"/>
              <w:spacing w:before="36"/>
              <w:ind w:right="99"/>
              <w:rPr>
                <w:sz w:val="20"/>
              </w:rPr>
            </w:pPr>
            <w:r>
              <w:rPr>
                <w:w w:val="99"/>
                <w:sz w:val="20"/>
              </w:rPr>
              <w:t>-</w:t>
            </w:r>
          </w:p>
        </w:tc>
        <w:tc>
          <w:tcPr>
            <w:tcW w:w="990" w:type="dxa"/>
          </w:tcPr>
          <w:p w:rsidR="007C5447" w:rsidRDefault="00F6308C">
            <w:pPr>
              <w:pStyle w:val="TableParagraph"/>
              <w:spacing w:before="36"/>
              <w:ind w:right="99"/>
              <w:rPr>
                <w:sz w:val="20"/>
              </w:rPr>
            </w:pPr>
            <w:r>
              <w:rPr>
                <w:sz w:val="20"/>
              </w:rPr>
              <w:t>3.08</w:t>
            </w:r>
          </w:p>
        </w:tc>
        <w:tc>
          <w:tcPr>
            <w:tcW w:w="1131" w:type="dxa"/>
          </w:tcPr>
          <w:p w:rsidR="007C5447" w:rsidRDefault="00F6308C">
            <w:pPr>
              <w:pStyle w:val="TableParagraph"/>
              <w:spacing w:before="36"/>
              <w:ind w:right="102"/>
              <w:rPr>
                <w:sz w:val="20"/>
              </w:rPr>
            </w:pPr>
            <w:r>
              <w:rPr>
                <w:sz w:val="20"/>
              </w:rPr>
              <w:t>6.16</w:t>
            </w:r>
          </w:p>
        </w:tc>
        <w:tc>
          <w:tcPr>
            <w:tcW w:w="990" w:type="dxa"/>
          </w:tcPr>
          <w:p w:rsidR="007C5447" w:rsidRDefault="00F6308C">
            <w:pPr>
              <w:pStyle w:val="TableParagraph"/>
              <w:spacing w:before="36"/>
              <w:ind w:right="100"/>
              <w:rPr>
                <w:sz w:val="20"/>
              </w:rPr>
            </w:pPr>
            <w:r>
              <w:rPr>
                <w:sz w:val="20"/>
              </w:rPr>
              <w:t>3.08</w:t>
            </w:r>
          </w:p>
        </w:tc>
        <w:tc>
          <w:tcPr>
            <w:tcW w:w="1265" w:type="dxa"/>
          </w:tcPr>
          <w:p w:rsidR="007C5447" w:rsidRDefault="00F6308C">
            <w:pPr>
              <w:pStyle w:val="TableParagraph"/>
              <w:spacing w:before="36"/>
              <w:ind w:right="100"/>
              <w:rPr>
                <w:sz w:val="20"/>
              </w:rPr>
            </w:pPr>
            <w:r>
              <w:rPr>
                <w:sz w:val="20"/>
              </w:rPr>
              <w:t>6.16</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Cogeneration</w:t>
            </w:r>
          </w:p>
        </w:tc>
        <w:tc>
          <w:tcPr>
            <w:tcW w:w="1021" w:type="dxa"/>
          </w:tcPr>
          <w:p w:rsidR="007C5447" w:rsidRDefault="00F6308C">
            <w:pPr>
              <w:pStyle w:val="TableParagraph"/>
              <w:spacing w:before="36"/>
              <w:ind w:right="97"/>
              <w:rPr>
                <w:sz w:val="20"/>
              </w:rPr>
            </w:pPr>
            <w:r>
              <w:rPr>
                <w:w w:val="95"/>
                <w:sz w:val="20"/>
              </w:rPr>
              <w:t>970.44</w:t>
            </w:r>
          </w:p>
        </w:tc>
        <w:tc>
          <w:tcPr>
            <w:tcW w:w="1232" w:type="dxa"/>
          </w:tcPr>
          <w:p w:rsidR="007C5447" w:rsidRDefault="00F6308C">
            <w:pPr>
              <w:pStyle w:val="TableParagraph"/>
              <w:spacing w:before="36"/>
              <w:ind w:right="99"/>
              <w:rPr>
                <w:sz w:val="20"/>
              </w:rPr>
            </w:pPr>
            <w:r>
              <w:rPr>
                <w:w w:val="99"/>
                <w:sz w:val="20"/>
              </w:rPr>
              <w:t>-</w:t>
            </w:r>
          </w:p>
        </w:tc>
        <w:tc>
          <w:tcPr>
            <w:tcW w:w="990" w:type="dxa"/>
          </w:tcPr>
          <w:p w:rsidR="007C5447" w:rsidRDefault="00F6308C">
            <w:pPr>
              <w:pStyle w:val="TableParagraph"/>
              <w:spacing w:before="36"/>
              <w:ind w:right="99"/>
              <w:rPr>
                <w:sz w:val="20"/>
              </w:rPr>
            </w:pPr>
            <w:r>
              <w:rPr>
                <w:sz w:val="20"/>
              </w:rPr>
              <w:t>4.12</w:t>
            </w:r>
          </w:p>
        </w:tc>
        <w:tc>
          <w:tcPr>
            <w:tcW w:w="1131" w:type="dxa"/>
          </w:tcPr>
          <w:p w:rsidR="007C5447" w:rsidRDefault="00F6308C">
            <w:pPr>
              <w:pStyle w:val="TableParagraph"/>
              <w:spacing w:before="36"/>
              <w:ind w:right="102"/>
              <w:rPr>
                <w:sz w:val="20"/>
              </w:rPr>
            </w:pPr>
            <w:r>
              <w:rPr>
                <w:w w:val="95"/>
                <w:sz w:val="20"/>
              </w:rPr>
              <w:t>399.82</w:t>
            </w:r>
          </w:p>
        </w:tc>
        <w:tc>
          <w:tcPr>
            <w:tcW w:w="990" w:type="dxa"/>
          </w:tcPr>
          <w:p w:rsidR="007C5447" w:rsidRDefault="00F6308C">
            <w:pPr>
              <w:pStyle w:val="TableParagraph"/>
              <w:spacing w:before="36"/>
              <w:ind w:right="100"/>
              <w:rPr>
                <w:sz w:val="20"/>
              </w:rPr>
            </w:pPr>
            <w:r>
              <w:rPr>
                <w:sz w:val="20"/>
              </w:rPr>
              <w:t>4.12</w:t>
            </w:r>
          </w:p>
        </w:tc>
        <w:tc>
          <w:tcPr>
            <w:tcW w:w="1265" w:type="dxa"/>
          </w:tcPr>
          <w:p w:rsidR="007C5447" w:rsidRDefault="00F6308C">
            <w:pPr>
              <w:pStyle w:val="TableParagraph"/>
              <w:spacing w:before="36"/>
              <w:ind w:right="100"/>
              <w:rPr>
                <w:sz w:val="20"/>
              </w:rPr>
            </w:pPr>
            <w:r>
              <w:rPr>
                <w:w w:val="95"/>
                <w:sz w:val="20"/>
              </w:rPr>
              <w:t>399.82</w:t>
            </w:r>
          </w:p>
        </w:tc>
      </w:tr>
      <w:tr w:rsidR="007C5447">
        <w:trPr>
          <w:trHeight w:val="301"/>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Captive</w:t>
            </w:r>
          </w:p>
        </w:tc>
        <w:tc>
          <w:tcPr>
            <w:tcW w:w="1021" w:type="dxa"/>
          </w:tcPr>
          <w:p w:rsidR="007C5447" w:rsidRDefault="00F6308C">
            <w:pPr>
              <w:pStyle w:val="TableParagraph"/>
              <w:spacing w:before="36"/>
              <w:ind w:right="97"/>
              <w:rPr>
                <w:sz w:val="20"/>
              </w:rPr>
            </w:pPr>
            <w:r>
              <w:rPr>
                <w:sz w:val="20"/>
              </w:rPr>
              <w:t>38.50</w:t>
            </w:r>
          </w:p>
        </w:tc>
        <w:tc>
          <w:tcPr>
            <w:tcW w:w="1232" w:type="dxa"/>
          </w:tcPr>
          <w:p w:rsidR="007C5447" w:rsidRDefault="00F6308C">
            <w:pPr>
              <w:pStyle w:val="TableParagraph"/>
              <w:spacing w:before="36"/>
              <w:ind w:right="99"/>
              <w:rPr>
                <w:sz w:val="20"/>
              </w:rPr>
            </w:pPr>
            <w:r>
              <w:rPr>
                <w:w w:val="99"/>
                <w:sz w:val="20"/>
              </w:rPr>
              <w:t>-</w:t>
            </w:r>
          </w:p>
        </w:tc>
        <w:tc>
          <w:tcPr>
            <w:tcW w:w="990" w:type="dxa"/>
          </w:tcPr>
          <w:p w:rsidR="007C5447" w:rsidRDefault="00F6308C">
            <w:pPr>
              <w:pStyle w:val="TableParagraph"/>
              <w:spacing w:before="36"/>
              <w:ind w:right="99"/>
              <w:rPr>
                <w:sz w:val="20"/>
              </w:rPr>
            </w:pPr>
            <w:r>
              <w:rPr>
                <w:sz w:val="20"/>
              </w:rPr>
              <w:t>1.78</w:t>
            </w:r>
          </w:p>
        </w:tc>
        <w:tc>
          <w:tcPr>
            <w:tcW w:w="1131" w:type="dxa"/>
          </w:tcPr>
          <w:p w:rsidR="007C5447" w:rsidRDefault="00F6308C">
            <w:pPr>
              <w:pStyle w:val="TableParagraph"/>
              <w:spacing w:before="36"/>
              <w:ind w:right="102"/>
              <w:rPr>
                <w:sz w:val="20"/>
              </w:rPr>
            </w:pPr>
            <w:r>
              <w:rPr>
                <w:sz w:val="20"/>
              </w:rPr>
              <w:t>6.85</w:t>
            </w:r>
          </w:p>
        </w:tc>
        <w:tc>
          <w:tcPr>
            <w:tcW w:w="990" w:type="dxa"/>
          </w:tcPr>
          <w:p w:rsidR="007C5447" w:rsidRDefault="00F6308C">
            <w:pPr>
              <w:pStyle w:val="TableParagraph"/>
              <w:spacing w:before="36"/>
              <w:ind w:right="100"/>
              <w:rPr>
                <w:sz w:val="20"/>
              </w:rPr>
            </w:pPr>
            <w:r>
              <w:rPr>
                <w:sz w:val="20"/>
              </w:rPr>
              <w:t>1.78</w:t>
            </w:r>
          </w:p>
        </w:tc>
        <w:tc>
          <w:tcPr>
            <w:tcW w:w="1265" w:type="dxa"/>
          </w:tcPr>
          <w:p w:rsidR="007C5447" w:rsidRDefault="00F6308C">
            <w:pPr>
              <w:pStyle w:val="TableParagraph"/>
              <w:spacing w:before="36"/>
              <w:ind w:right="100"/>
              <w:rPr>
                <w:sz w:val="20"/>
              </w:rPr>
            </w:pPr>
            <w:r>
              <w:rPr>
                <w:sz w:val="20"/>
              </w:rPr>
              <w:t>6.85</w:t>
            </w:r>
          </w:p>
        </w:tc>
      </w:tr>
      <w:tr w:rsidR="007C5447">
        <w:trPr>
          <w:trHeight w:val="300"/>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6"/>
              <w:ind w:left="107"/>
              <w:jc w:val="left"/>
              <w:rPr>
                <w:sz w:val="18"/>
              </w:rPr>
            </w:pPr>
            <w:r>
              <w:rPr>
                <w:sz w:val="18"/>
              </w:rPr>
              <w:t>Solar</w:t>
            </w:r>
          </w:p>
        </w:tc>
        <w:tc>
          <w:tcPr>
            <w:tcW w:w="1021" w:type="dxa"/>
          </w:tcPr>
          <w:p w:rsidR="007C5447" w:rsidRDefault="00F6308C">
            <w:pPr>
              <w:pStyle w:val="TableParagraph"/>
              <w:spacing w:before="34"/>
              <w:ind w:right="98"/>
              <w:rPr>
                <w:sz w:val="20"/>
              </w:rPr>
            </w:pPr>
            <w:r>
              <w:rPr>
                <w:w w:val="95"/>
                <w:sz w:val="20"/>
              </w:rPr>
              <w:t>2,293.90</w:t>
            </w:r>
          </w:p>
        </w:tc>
        <w:tc>
          <w:tcPr>
            <w:tcW w:w="1232" w:type="dxa"/>
          </w:tcPr>
          <w:p w:rsidR="007C5447" w:rsidRDefault="00F6308C">
            <w:pPr>
              <w:pStyle w:val="TableParagraph"/>
              <w:spacing w:before="34"/>
              <w:ind w:right="99"/>
              <w:rPr>
                <w:sz w:val="20"/>
              </w:rPr>
            </w:pPr>
            <w:r>
              <w:rPr>
                <w:w w:val="99"/>
                <w:sz w:val="20"/>
              </w:rPr>
              <w:t>-</w:t>
            </w:r>
          </w:p>
        </w:tc>
        <w:tc>
          <w:tcPr>
            <w:tcW w:w="990" w:type="dxa"/>
          </w:tcPr>
          <w:p w:rsidR="007C5447" w:rsidRDefault="00F6308C">
            <w:pPr>
              <w:pStyle w:val="TableParagraph"/>
              <w:spacing w:before="34"/>
              <w:ind w:right="99"/>
              <w:rPr>
                <w:sz w:val="20"/>
              </w:rPr>
            </w:pPr>
            <w:r>
              <w:rPr>
                <w:sz w:val="20"/>
              </w:rPr>
              <w:t>6.85</w:t>
            </w:r>
          </w:p>
        </w:tc>
        <w:tc>
          <w:tcPr>
            <w:tcW w:w="1131" w:type="dxa"/>
          </w:tcPr>
          <w:p w:rsidR="007C5447" w:rsidRDefault="00F6308C">
            <w:pPr>
              <w:pStyle w:val="TableParagraph"/>
              <w:spacing w:before="34"/>
              <w:ind w:right="102"/>
              <w:rPr>
                <w:sz w:val="20"/>
              </w:rPr>
            </w:pPr>
            <w:r>
              <w:rPr>
                <w:w w:val="95"/>
                <w:sz w:val="20"/>
              </w:rPr>
              <w:t>1,571.82</w:t>
            </w:r>
          </w:p>
        </w:tc>
        <w:tc>
          <w:tcPr>
            <w:tcW w:w="990" w:type="dxa"/>
          </w:tcPr>
          <w:p w:rsidR="007C5447" w:rsidRDefault="00F6308C">
            <w:pPr>
              <w:pStyle w:val="TableParagraph"/>
              <w:spacing w:before="34"/>
              <w:ind w:right="100"/>
              <w:rPr>
                <w:sz w:val="20"/>
              </w:rPr>
            </w:pPr>
            <w:r>
              <w:rPr>
                <w:sz w:val="20"/>
              </w:rPr>
              <w:t>6.85</w:t>
            </w:r>
          </w:p>
        </w:tc>
        <w:tc>
          <w:tcPr>
            <w:tcW w:w="1265" w:type="dxa"/>
          </w:tcPr>
          <w:p w:rsidR="007C5447" w:rsidRDefault="00F6308C">
            <w:pPr>
              <w:pStyle w:val="TableParagraph"/>
              <w:spacing w:before="34"/>
              <w:ind w:right="101"/>
              <w:rPr>
                <w:sz w:val="20"/>
              </w:rPr>
            </w:pPr>
            <w:r>
              <w:rPr>
                <w:w w:val="95"/>
                <w:sz w:val="20"/>
              </w:rPr>
              <w:t>1,571.82</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REC (Non-Solar)</w:t>
            </w:r>
          </w:p>
        </w:tc>
        <w:tc>
          <w:tcPr>
            <w:tcW w:w="1021" w:type="dxa"/>
          </w:tcPr>
          <w:p w:rsidR="007C5447" w:rsidRDefault="007C5447">
            <w:pPr>
              <w:pStyle w:val="TableParagraph"/>
              <w:jc w:val="left"/>
              <w:rPr>
                <w:sz w:val="18"/>
              </w:rPr>
            </w:pPr>
          </w:p>
        </w:tc>
        <w:tc>
          <w:tcPr>
            <w:tcW w:w="1232" w:type="dxa"/>
          </w:tcPr>
          <w:p w:rsidR="007C5447" w:rsidRDefault="00F6308C">
            <w:pPr>
              <w:pStyle w:val="TableParagraph"/>
              <w:spacing w:before="34"/>
              <w:ind w:right="99"/>
              <w:rPr>
                <w:sz w:val="20"/>
              </w:rPr>
            </w:pPr>
            <w:r>
              <w:rPr>
                <w:w w:val="99"/>
                <w:sz w:val="20"/>
              </w:rPr>
              <w:t>-</w:t>
            </w:r>
          </w:p>
        </w:tc>
        <w:tc>
          <w:tcPr>
            <w:tcW w:w="990" w:type="dxa"/>
          </w:tcPr>
          <w:p w:rsidR="007C5447" w:rsidRDefault="007C5447">
            <w:pPr>
              <w:pStyle w:val="TableParagraph"/>
              <w:jc w:val="left"/>
              <w:rPr>
                <w:sz w:val="18"/>
              </w:rPr>
            </w:pPr>
          </w:p>
        </w:tc>
        <w:tc>
          <w:tcPr>
            <w:tcW w:w="1131" w:type="dxa"/>
          </w:tcPr>
          <w:p w:rsidR="007C5447" w:rsidRDefault="00F6308C">
            <w:pPr>
              <w:pStyle w:val="TableParagraph"/>
              <w:spacing w:before="34"/>
              <w:ind w:right="103"/>
              <w:rPr>
                <w:sz w:val="20"/>
              </w:rPr>
            </w:pPr>
            <w:r>
              <w:rPr>
                <w:w w:val="99"/>
                <w:sz w:val="20"/>
              </w:rPr>
              <w:t>-</w:t>
            </w:r>
          </w:p>
        </w:tc>
        <w:tc>
          <w:tcPr>
            <w:tcW w:w="990" w:type="dxa"/>
          </w:tcPr>
          <w:p w:rsidR="007C5447" w:rsidRDefault="00F6308C">
            <w:pPr>
              <w:pStyle w:val="TableParagraph"/>
              <w:spacing w:before="34"/>
              <w:ind w:right="101"/>
              <w:rPr>
                <w:sz w:val="20"/>
              </w:rPr>
            </w:pPr>
            <w:r>
              <w:rPr>
                <w:w w:val="99"/>
                <w:sz w:val="20"/>
              </w:rPr>
              <w:t>-</w:t>
            </w:r>
          </w:p>
        </w:tc>
        <w:tc>
          <w:tcPr>
            <w:tcW w:w="1265" w:type="dxa"/>
          </w:tcPr>
          <w:p w:rsidR="007C5447" w:rsidRDefault="00F6308C">
            <w:pPr>
              <w:pStyle w:val="TableParagraph"/>
              <w:spacing w:before="34"/>
              <w:ind w:right="102"/>
              <w:rPr>
                <w:sz w:val="20"/>
              </w:rPr>
            </w:pPr>
            <w:r>
              <w:rPr>
                <w:w w:val="99"/>
                <w:sz w:val="20"/>
              </w:rPr>
              <w:t>-</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REC (Solar)</w:t>
            </w:r>
          </w:p>
        </w:tc>
        <w:tc>
          <w:tcPr>
            <w:tcW w:w="1021" w:type="dxa"/>
          </w:tcPr>
          <w:p w:rsidR="007C5447" w:rsidRDefault="00F6308C">
            <w:pPr>
              <w:pStyle w:val="TableParagraph"/>
              <w:spacing w:before="36"/>
              <w:ind w:right="99"/>
              <w:rPr>
                <w:sz w:val="20"/>
              </w:rPr>
            </w:pPr>
            <w:r>
              <w:rPr>
                <w:w w:val="99"/>
                <w:sz w:val="20"/>
              </w:rPr>
              <w:t>-</w:t>
            </w:r>
          </w:p>
        </w:tc>
        <w:tc>
          <w:tcPr>
            <w:tcW w:w="1232" w:type="dxa"/>
          </w:tcPr>
          <w:p w:rsidR="007C5447" w:rsidRDefault="00F6308C">
            <w:pPr>
              <w:pStyle w:val="TableParagraph"/>
              <w:spacing w:before="36"/>
              <w:ind w:right="98"/>
              <w:rPr>
                <w:sz w:val="20"/>
              </w:rPr>
            </w:pPr>
            <w:r>
              <w:rPr>
                <w:w w:val="95"/>
                <w:sz w:val="20"/>
              </w:rPr>
              <w:t>179.19</w:t>
            </w:r>
          </w:p>
        </w:tc>
        <w:tc>
          <w:tcPr>
            <w:tcW w:w="990" w:type="dxa"/>
          </w:tcPr>
          <w:p w:rsidR="007C5447" w:rsidRDefault="007C5447">
            <w:pPr>
              <w:pStyle w:val="TableParagraph"/>
              <w:jc w:val="left"/>
              <w:rPr>
                <w:sz w:val="18"/>
              </w:rPr>
            </w:pPr>
          </w:p>
        </w:tc>
        <w:tc>
          <w:tcPr>
            <w:tcW w:w="1131" w:type="dxa"/>
          </w:tcPr>
          <w:p w:rsidR="007C5447" w:rsidRDefault="007C5447">
            <w:pPr>
              <w:pStyle w:val="TableParagraph"/>
              <w:jc w:val="left"/>
              <w:rPr>
                <w:sz w:val="18"/>
              </w:rPr>
            </w:pPr>
          </w:p>
        </w:tc>
        <w:tc>
          <w:tcPr>
            <w:tcW w:w="990" w:type="dxa"/>
          </w:tcPr>
          <w:p w:rsidR="007C5447" w:rsidRDefault="00F6308C">
            <w:pPr>
              <w:pStyle w:val="TableParagraph"/>
              <w:spacing w:before="36"/>
              <w:ind w:right="101"/>
              <w:rPr>
                <w:sz w:val="20"/>
              </w:rPr>
            </w:pPr>
            <w:r>
              <w:rPr>
                <w:w w:val="99"/>
                <w:sz w:val="20"/>
              </w:rPr>
              <w:t>-</w:t>
            </w:r>
          </w:p>
        </w:tc>
        <w:tc>
          <w:tcPr>
            <w:tcW w:w="1265" w:type="dxa"/>
          </w:tcPr>
          <w:p w:rsidR="007C5447" w:rsidRDefault="00F6308C">
            <w:pPr>
              <w:pStyle w:val="TableParagraph"/>
              <w:spacing w:before="36"/>
              <w:ind w:right="100"/>
              <w:rPr>
                <w:sz w:val="20"/>
              </w:rPr>
            </w:pPr>
            <w:r>
              <w:rPr>
                <w:w w:val="95"/>
                <w:sz w:val="20"/>
              </w:rPr>
              <w:t>179.19</w:t>
            </w:r>
          </w:p>
        </w:tc>
      </w:tr>
      <w:tr w:rsidR="007C5447">
        <w:trPr>
          <w:trHeight w:val="330"/>
        </w:trPr>
        <w:tc>
          <w:tcPr>
            <w:tcW w:w="406" w:type="dxa"/>
            <w:shd w:val="clear" w:color="auto" w:fill="D0CECE"/>
          </w:tcPr>
          <w:p w:rsidR="007C5447" w:rsidRDefault="007C5447">
            <w:pPr>
              <w:pStyle w:val="TableParagraph"/>
              <w:jc w:val="left"/>
              <w:rPr>
                <w:sz w:val="18"/>
              </w:rPr>
            </w:pPr>
          </w:p>
        </w:tc>
        <w:tc>
          <w:tcPr>
            <w:tcW w:w="2214" w:type="dxa"/>
            <w:shd w:val="clear" w:color="auto" w:fill="D0CECE"/>
          </w:tcPr>
          <w:p w:rsidR="007C5447" w:rsidRDefault="00F6308C">
            <w:pPr>
              <w:pStyle w:val="TableParagraph"/>
              <w:spacing w:before="62"/>
              <w:ind w:left="107"/>
              <w:jc w:val="left"/>
              <w:rPr>
                <w:b/>
                <w:sz w:val="18"/>
              </w:rPr>
            </w:pPr>
            <w:r>
              <w:rPr>
                <w:b/>
                <w:sz w:val="18"/>
              </w:rPr>
              <w:t>Total</w:t>
            </w:r>
          </w:p>
        </w:tc>
        <w:tc>
          <w:tcPr>
            <w:tcW w:w="1021" w:type="dxa"/>
            <w:shd w:val="clear" w:color="auto" w:fill="D0CECE"/>
          </w:tcPr>
          <w:p w:rsidR="007C5447" w:rsidRDefault="00F6308C">
            <w:pPr>
              <w:pStyle w:val="TableParagraph"/>
              <w:spacing w:before="50"/>
              <w:ind w:right="98"/>
              <w:rPr>
                <w:b/>
                <w:sz w:val="20"/>
              </w:rPr>
            </w:pPr>
            <w:r>
              <w:rPr>
                <w:b/>
                <w:w w:val="95"/>
                <w:sz w:val="20"/>
              </w:rPr>
              <w:t>9,636.40</w:t>
            </w:r>
          </w:p>
        </w:tc>
        <w:tc>
          <w:tcPr>
            <w:tcW w:w="1232" w:type="dxa"/>
            <w:shd w:val="clear" w:color="auto" w:fill="D0CECE"/>
          </w:tcPr>
          <w:p w:rsidR="007C5447" w:rsidRDefault="00F6308C">
            <w:pPr>
              <w:pStyle w:val="TableParagraph"/>
              <w:spacing w:before="50"/>
              <w:ind w:right="98"/>
              <w:rPr>
                <w:b/>
                <w:sz w:val="20"/>
              </w:rPr>
            </w:pPr>
            <w:r>
              <w:rPr>
                <w:b/>
                <w:w w:val="95"/>
                <w:sz w:val="20"/>
              </w:rPr>
              <w:t>179.19</w:t>
            </w:r>
          </w:p>
        </w:tc>
        <w:tc>
          <w:tcPr>
            <w:tcW w:w="990" w:type="dxa"/>
            <w:shd w:val="clear" w:color="auto" w:fill="D0CECE"/>
          </w:tcPr>
          <w:p w:rsidR="007C5447" w:rsidRDefault="00F6308C">
            <w:pPr>
              <w:pStyle w:val="TableParagraph"/>
              <w:spacing w:before="50"/>
              <w:ind w:right="99"/>
              <w:rPr>
                <w:b/>
                <w:sz w:val="20"/>
              </w:rPr>
            </w:pPr>
            <w:r>
              <w:rPr>
                <w:b/>
                <w:sz w:val="20"/>
              </w:rPr>
              <w:t>4.08</w:t>
            </w:r>
          </w:p>
        </w:tc>
        <w:tc>
          <w:tcPr>
            <w:tcW w:w="1131" w:type="dxa"/>
            <w:shd w:val="clear" w:color="auto" w:fill="D0CECE"/>
          </w:tcPr>
          <w:p w:rsidR="007C5447" w:rsidRDefault="00F6308C">
            <w:pPr>
              <w:pStyle w:val="TableParagraph"/>
              <w:spacing w:before="50"/>
              <w:ind w:right="102"/>
              <w:rPr>
                <w:b/>
                <w:sz w:val="20"/>
              </w:rPr>
            </w:pPr>
            <w:r>
              <w:rPr>
                <w:b/>
                <w:w w:val="95"/>
                <w:sz w:val="20"/>
              </w:rPr>
              <w:t>3,929.23</w:t>
            </w:r>
          </w:p>
        </w:tc>
        <w:tc>
          <w:tcPr>
            <w:tcW w:w="990" w:type="dxa"/>
            <w:shd w:val="clear" w:color="auto" w:fill="D0CECE"/>
          </w:tcPr>
          <w:p w:rsidR="007C5447" w:rsidRDefault="00F6308C">
            <w:pPr>
              <w:pStyle w:val="TableParagraph"/>
              <w:spacing w:before="50"/>
              <w:ind w:right="100"/>
              <w:rPr>
                <w:b/>
                <w:sz w:val="20"/>
              </w:rPr>
            </w:pPr>
            <w:r>
              <w:rPr>
                <w:b/>
                <w:sz w:val="20"/>
              </w:rPr>
              <w:t>4.26</w:t>
            </w:r>
          </w:p>
        </w:tc>
        <w:tc>
          <w:tcPr>
            <w:tcW w:w="1265" w:type="dxa"/>
            <w:shd w:val="clear" w:color="auto" w:fill="D0CECE"/>
          </w:tcPr>
          <w:p w:rsidR="007C5447" w:rsidRDefault="00F6308C">
            <w:pPr>
              <w:pStyle w:val="TableParagraph"/>
              <w:spacing w:before="50"/>
              <w:ind w:right="101"/>
              <w:rPr>
                <w:b/>
                <w:sz w:val="20"/>
              </w:rPr>
            </w:pPr>
            <w:r>
              <w:rPr>
                <w:b/>
                <w:w w:val="95"/>
                <w:sz w:val="20"/>
              </w:rPr>
              <w:t>4,108.42</w:t>
            </w:r>
          </w:p>
        </w:tc>
      </w:tr>
      <w:tr w:rsidR="007C5447">
        <w:trPr>
          <w:trHeight w:val="299"/>
        </w:trPr>
        <w:tc>
          <w:tcPr>
            <w:tcW w:w="406" w:type="dxa"/>
          </w:tcPr>
          <w:p w:rsidR="007C5447" w:rsidRDefault="00F6308C">
            <w:pPr>
              <w:pStyle w:val="TableParagraph"/>
              <w:spacing w:before="45"/>
              <w:ind w:left="106"/>
              <w:jc w:val="center"/>
              <w:rPr>
                <w:sz w:val="18"/>
              </w:rPr>
            </w:pPr>
            <w:r>
              <w:rPr>
                <w:sz w:val="18"/>
              </w:rPr>
              <w:t>5</w:t>
            </w:r>
          </w:p>
        </w:tc>
        <w:tc>
          <w:tcPr>
            <w:tcW w:w="2214" w:type="dxa"/>
          </w:tcPr>
          <w:p w:rsidR="007C5447" w:rsidRDefault="00F6308C">
            <w:pPr>
              <w:pStyle w:val="TableParagraph"/>
              <w:spacing w:before="45"/>
              <w:ind w:left="107"/>
              <w:jc w:val="left"/>
              <w:rPr>
                <w:sz w:val="18"/>
              </w:rPr>
            </w:pPr>
            <w:r>
              <w:rPr>
                <w:sz w:val="18"/>
              </w:rPr>
              <w:t>Traders</w:t>
            </w:r>
          </w:p>
        </w:tc>
        <w:tc>
          <w:tcPr>
            <w:tcW w:w="1021" w:type="dxa"/>
          </w:tcPr>
          <w:p w:rsidR="007C5447" w:rsidRDefault="007C5447">
            <w:pPr>
              <w:pStyle w:val="TableParagraph"/>
              <w:jc w:val="left"/>
              <w:rPr>
                <w:sz w:val="18"/>
              </w:rPr>
            </w:pPr>
          </w:p>
        </w:tc>
        <w:tc>
          <w:tcPr>
            <w:tcW w:w="1232"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131"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265" w:type="dxa"/>
          </w:tcPr>
          <w:p w:rsidR="007C5447" w:rsidRDefault="007C5447">
            <w:pPr>
              <w:pStyle w:val="TableParagraph"/>
              <w:jc w:val="left"/>
              <w:rPr>
                <w:sz w:val="18"/>
              </w:rPr>
            </w:pPr>
          </w:p>
        </w:tc>
      </w:tr>
      <w:tr w:rsidR="007C5447">
        <w:trPr>
          <w:trHeight w:val="330"/>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62"/>
              <w:ind w:left="107"/>
              <w:jc w:val="left"/>
              <w:rPr>
                <w:b/>
                <w:sz w:val="18"/>
              </w:rPr>
            </w:pPr>
            <w:r>
              <w:rPr>
                <w:b/>
                <w:sz w:val="18"/>
              </w:rPr>
              <w:t>LTOA</w:t>
            </w:r>
          </w:p>
        </w:tc>
        <w:tc>
          <w:tcPr>
            <w:tcW w:w="1021" w:type="dxa"/>
          </w:tcPr>
          <w:p w:rsidR="007C5447" w:rsidRDefault="007C5447">
            <w:pPr>
              <w:pStyle w:val="TableParagraph"/>
              <w:jc w:val="left"/>
              <w:rPr>
                <w:sz w:val="18"/>
              </w:rPr>
            </w:pPr>
          </w:p>
        </w:tc>
        <w:tc>
          <w:tcPr>
            <w:tcW w:w="1232"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131"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265" w:type="dxa"/>
          </w:tcPr>
          <w:p w:rsidR="007C5447" w:rsidRDefault="007C5447">
            <w:pPr>
              <w:pStyle w:val="TableParagraph"/>
              <w:jc w:val="left"/>
              <w:rPr>
                <w:sz w:val="18"/>
              </w:rPr>
            </w:pP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M/s. D.B.Power Ltd.</w:t>
            </w:r>
          </w:p>
        </w:tc>
        <w:tc>
          <w:tcPr>
            <w:tcW w:w="1021" w:type="dxa"/>
          </w:tcPr>
          <w:p w:rsidR="007C5447" w:rsidRDefault="00F6308C">
            <w:pPr>
              <w:pStyle w:val="TableParagraph"/>
              <w:spacing w:before="34"/>
              <w:ind w:right="98"/>
              <w:rPr>
                <w:sz w:val="20"/>
              </w:rPr>
            </w:pPr>
            <w:r>
              <w:rPr>
                <w:w w:val="95"/>
                <w:sz w:val="20"/>
              </w:rPr>
              <w:t>1,489.60</w:t>
            </w:r>
          </w:p>
        </w:tc>
        <w:tc>
          <w:tcPr>
            <w:tcW w:w="1232" w:type="dxa"/>
          </w:tcPr>
          <w:p w:rsidR="007C5447" w:rsidRDefault="00F6308C">
            <w:pPr>
              <w:pStyle w:val="TableParagraph"/>
              <w:spacing w:before="34"/>
              <w:ind w:right="98"/>
              <w:rPr>
                <w:sz w:val="20"/>
              </w:rPr>
            </w:pPr>
            <w:r>
              <w:rPr>
                <w:w w:val="95"/>
                <w:sz w:val="20"/>
              </w:rPr>
              <w:t>422.03</w:t>
            </w:r>
          </w:p>
        </w:tc>
        <w:tc>
          <w:tcPr>
            <w:tcW w:w="990" w:type="dxa"/>
          </w:tcPr>
          <w:p w:rsidR="007C5447" w:rsidRDefault="00F6308C">
            <w:pPr>
              <w:pStyle w:val="TableParagraph"/>
              <w:spacing w:before="34"/>
              <w:ind w:right="99"/>
              <w:rPr>
                <w:sz w:val="20"/>
              </w:rPr>
            </w:pPr>
            <w:r>
              <w:rPr>
                <w:sz w:val="20"/>
              </w:rPr>
              <w:t>1.34</w:t>
            </w:r>
          </w:p>
        </w:tc>
        <w:tc>
          <w:tcPr>
            <w:tcW w:w="1131" w:type="dxa"/>
          </w:tcPr>
          <w:p w:rsidR="007C5447" w:rsidRDefault="00F6308C">
            <w:pPr>
              <w:pStyle w:val="TableParagraph"/>
              <w:spacing w:before="34"/>
              <w:ind w:right="102"/>
              <w:rPr>
                <w:sz w:val="20"/>
              </w:rPr>
            </w:pPr>
            <w:r>
              <w:rPr>
                <w:w w:val="95"/>
                <w:sz w:val="20"/>
              </w:rPr>
              <w:t>199.61</w:t>
            </w:r>
          </w:p>
        </w:tc>
        <w:tc>
          <w:tcPr>
            <w:tcW w:w="990" w:type="dxa"/>
          </w:tcPr>
          <w:p w:rsidR="007C5447" w:rsidRDefault="00F6308C">
            <w:pPr>
              <w:pStyle w:val="TableParagraph"/>
              <w:spacing w:before="34"/>
              <w:ind w:right="100"/>
              <w:rPr>
                <w:sz w:val="20"/>
              </w:rPr>
            </w:pPr>
            <w:r>
              <w:rPr>
                <w:sz w:val="20"/>
              </w:rPr>
              <w:t>4.17</w:t>
            </w:r>
          </w:p>
        </w:tc>
        <w:tc>
          <w:tcPr>
            <w:tcW w:w="1265" w:type="dxa"/>
          </w:tcPr>
          <w:p w:rsidR="007C5447" w:rsidRDefault="00F6308C">
            <w:pPr>
              <w:pStyle w:val="TableParagraph"/>
              <w:spacing w:before="34"/>
              <w:ind w:right="100"/>
              <w:rPr>
                <w:sz w:val="20"/>
              </w:rPr>
            </w:pPr>
            <w:r>
              <w:rPr>
                <w:w w:val="95"/>
                <w:sz w:val="20"/>
              </w:rPr>
              <w:t>621.64</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5"/>
              <w:ind w:left="107"/>
              <w:jc w:val="left"/>
              <w:rPr>
                <w:sz w:val="18"/>
              </w:rPr>
            </w:pPr>
            <w:r>
              <w:rPr>
                <w:sz w:val="18"/>
              </w:rPr>
              <w:t>M/s. Jindal Power Ltd.</w:t>
            </w:r>
          </w:p>
        </w:tc>
        <w:tc>
          <w:tcPr>
            <w:tcW w:w="1021" w:type="dxa"/>
          </w:tcPr>
          <w:p w:rsidR="007C5447" w:rsidRDefault="00F6308C">
            <w:pPr>
              <w:pStyle w:val="TableParagraph"/>
              <w:spacing w:before="34"/>
              <w:ind w:right="98"/>
              <w:rPr>
                <w:sz w:val="20"/>
              </w:rPr>
            </w:pPr>
            <w:r>
              <w:rPr>
                <w:w w:val="95"/>
                <w:sz w:val="20"/>
              </w:rPr>
              <w:t>2,864.62</w:t>
            </w:r>
          </w:p>
        </w:tc>
        <w:tc>
          <w:tcPr>
            <w:tcW w:w="1232" w:type="dxa"/>
          </w:tcPr>
          <w:p w:rsidR="007C5447" w:rsidRDefault="00F6308C">
            <w:pPr>
              <w:pStyle w:val="TableParagraph"/>
              <w:spacing w:before="34"/>
              <w:ind w:right="98"/>
              <w:rPr>
                <w:sz w:val="20"/>
              </w:rPr>
            </w:pPr>
            <w:r>
              <w:rPr>
                <w:w w:val="95"/>
                <w:sz w:val="20"/>
              </w:rPr>
              <w:t>847.50</w:t>
            </w:r>
          </w:p>
        </w:tc>
        <w:tc>
          <w:tcPr>
            <w:tcW w:w="990" w:type="dxa"/>
          </w:tcPr>
          <w:p w:rsidR="007C5447" w:rsidRDefault="00F6308C">
            <w:pPr>
              <w:pStyle w:val="TableParagraph"/>
              <w:spacing w:before="34"/>
              <w:ind w:right="99"/>
              <w:rPr>
                <w:sz w:val="20"/>
              </w:rPr>
            </w:pPr>
            <w:r>
              <w:rPr>
                <w:sz w:val="20"/>
              </w:rPr>
              <w:t>1.37</w:t>
            </w:r>
          </w:p>
        </w:tc>
        <w:tc>
          <w:tcPr>
            <w:tcW w:w="1131" w:type="dxa"/>
          </w:tcPr>
          <w:p w:rsidR="007C5447" w:rsidRDefault="00F6308C">
            <w:pPr>
              <w:pStyle w:val="TableParagraph"/>
              <w:spacing w:before="34"/>
              <w:ind w:right="102"/>
              <w:rPr>
                <w:sz w:val="20"/>
              </w:rPr>
            </w:pPr>
            <w:r>
              <w:rPr>
                <w:w w:val="95"/>
                <w:sz w:val="20"/>
              </w:rPr>
              <w:t>392.45</w:t>
            </w:r>
          </w:p>
        </w:tc>
        <w:tc>
          <w:tcPr>
            <w:tcW w:w="990" w:type="dxa"/>
          </w:tcPr>
          <w:p w:rsidR="007C5447" w:rsidRDefault="00F6308C">
            <w:pPr>
              <w:pStyle w:val="TableParagraph"/>
              <w:spacing w:before="34"/>
              <w:ind w:right="100"/>
              <w:rPr>
                <w:sz w:val="20"/>
              </w:rPr>
            </w:pPr>
            <w:r>
              <w:rPr>
                <w:sz w:val="20"/>
              </w:rPr>
              <w:t>4.33</w:t>
            </w:r>
          </w:p>
        </w:tc>
        <w:tc>
          <w:tcPr>
            <w:tcW w:w="1265" w:type="dxa"/>
          </w:tcPr>
          <w:p w:rsidR="007C5447" w:rsidRDefault="00F6308C">
            <w:pPr>
              <w:pStyle w:val="TableParagraph"/>
              <w:spacing w:before="34"/>
              <w:ind w:right="101"/>
              <w:rPr>
                <w:sz w:val="20"/>
              </w:rPr>
            </w:pPr>
            <w:r>
              <w:rPr>
                <w:w w:val="95"/>
                <w:sz w:val="20"/>
              </w:rPr>
              <w:t>1,239.96</w:t>
            </w:r>
          </w:p>
        </w:tc>
      </w:tr>
    </w:tbl>
    <w:p w:rsidR="007C5447" w:rsidRDefault="007C5447">
      <w:pPr>
        <w:rPr>
          <w:sz w:val="20"/>
        </w:rPr>
        <w:sectPr w:rsidR="007C5447">
          <w:pgSz w:w="11910" w:h="16840"/>
          <w:pgMar w:top="1420" w:right="260" w:bottom="960" w:left="340" w:header="0" w:footer="777" w:gutter="0"/>
          <w:cols w:space="720"/>
        </w:sect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6"/>
        <w:gridCol w:w="2214"/>
        <w:gridCol w:w="1021"/>
        <w:gridCol w:w="1232"/>
        <w:gridCol w:w="990"/>
        <w:gridCol w:w="1131"/>
        <w:gridCol w:w="990"/>
        <w:gridCol w:w="1265"/>
      </w:tblGrid>
      <w:tr w:rsidR="007C5447">
        <w:trPr>
          <w:trHeight w:val="859"/>
        </w:trPr>
        <w:tc>
          <w:tcPr>
            <w:tcW w:w="406"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line="207" w:lineRule="exact"/>
              <w:ind w:left="107"/>
              <w:jc w:val="left"/>
              <w:rPr>
                <w:b/>
                <w:sz w:val="18"/>
              </w:rPr>
            </w:pPr>
            <w:r>
              <w:rPr>
                <w:b/>
                <w:sz w:val="18"/>
              </w:rPr>
              <w:t>Sl</w:t>
            </w:r>
          </w:p>
          <w:p w:rsidR="007C5447" w:rsidRDefault="00F6308C">
            <w:pPr>
              <w:pStyle w:val="TableParagraph"/>
              <w:spacing w:line="207" w:lineRule="exact"/>
              <w:ind w:left="107"/>
              <w:jc w:val="left"/>
              <w:rPr>
                <w:b/>
                <w:sz w:val="18"/>
              </w:rPr>
            </w:pPr>
            <w:r>
              <w:rPr>
                <w:b/>
                <w:sz w:val="18"/>
              </w:rPr>
              <w:t>.</w:t>
            </w:r>
          </w:p>
        </w:tc>
        <w:tc>
          <w:tcPr>
            <w:tcW w:w="2214" w:type="dxa"/>
            <w:shd w:val="clear" w:color="auto" w:fill="F7C9AC"/>
          </w:tcPr>
          <w:p w:rsidR="007C5447" w:rsidRDefault="007C5447">
            <w:pPr>
              <w:pStyle w:val="TableParagraph"/>
              <w:spacing w:before="4"/>
              <w:jc w:val="left"/>
              <w:rPr>
                <w:b/>
                <w:sz w:val="28"/>
              </w:rPr>
            </w:pPr>
          </w:p>
          <w:p w:rsidR="007C5447" w:rsidRDefault="00F6308C">
            <w:pPr>
              <w:pStyle w:val="TableParagraph"/>
              <w:ind w:left="107"/>
              <w:jc w:val="left"/>
              <w:rPr>
                <w:b/>
                <w:sz w:val="18"/>
              </w:rPr>
            </w:pPr>
            <w:r>
              <w:rPr>
                <w:b/>
                <w:sz w:val="18"/>
              </w:rPr>
              <w:t>Particulars</w:t>
            </w:r>
          </w:p>
        </w:tc>
        <w:tc>
          <w:tcPr>
            <w:tcW w:w="1021"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298" w:right="111" w:hanging="159"/>
              <w:jc w:val="left"/>
              <w:rPr>
                <w:b/>
                <w:sz w:val="18"/>
              </w:rPr>
            </w:pPr>
            <w:r>
              <w:rPr>
                <w:b/>
                <w:sz w:val="18"/>
              </w:rPr>
              <w:t>Quantum (MU)</w:t>
            </w:r>
          </w:p>
        </w:tc>
        <w:tc>
          <w:tcPr>
            <w:tcW w:w="1232"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256" w:right="177" w:hanging="56"/>
              <w:jc w:val="left"/>
              <w:rPr>
                <w:b/>
                <w:sz w:val="18"/>
              </w:rPr>
            </w:pPr>
            <w:r>
              <w:rPr>
                <w:b/>
                <w:sz w:val="18"/>
              </w:rPr>
              <w:t>Fixed Cost (Rs. Cr.)</w:t>
            </w:r>
          </w:p>
        </w:tc>
        <w:tc>
          <w:tcPr>
            <w:tcW w:w="990" w:type="dxa"/>
            <w:shd w:val="clear" w:color="auto" w:fill="F7C9AC"/>
          </w:tcPr>
          <w:p w:rsidR="007C5447" w:rsidRDefault="00F6308C">
            <w:pPr>
              <w:pStyle w:val="TableParagraph"/>
              <w:spacing w:before="14"/>
              <w:ind w:left="124" w:right="120" w:firstLine="86"/>
              <w:jc w:val="both"/>
              <w:rPr>
                <w:b/>
                <w:sz w:val="18"/>
              </w:rPr>
            </w:pPr>
            <w:r>
              <w:rPr>
                <w:b/>
                <w:sz w:val="18"/>
              </w:rPr>
              <w:t>Energy Charge (Rs./kWh</w:t>
            </w:r>
          </w:p>
          <w:p w:rsidR="007C5447" w:rsidRDefault="00F6308C">
            <w:pPr>
              <w:pStyle w:val="TableParagraph"/>
              <w:spacing w:before="1" w:line="203" w:lineRule="exact"/>
              <w:jc w:val="center"/>
              <w:rPr>
                <w:b/>
                <w:sz w:val="18"/>
              </w:rPr>
            </w:pPr>
            <w:r>
              <w:rPr>
                <w:b/>
                <w:w w:val="99"/>
                <w:sz w:val="18"/>
              </w:rPr>
              <w:t>)</w:t>
            </w:r>
          </w:p>
        </w:tc>
        <w:tc>
          <w:tcPr>
            <w:tcW w:w="1131" w:type="dxa"/>
            <w:shd w:val="clear" w:color="auto" w:fill="F7C9AC"/>
          </w:tcPr>
          <w:p w:rsidR="007C5447" w:rsidRDefault="00F6308C">
            <w:pPr>
              <w:pStyle w:val="TableParagraph"/>
              <w:spacing w:before="119"/>
              <w:ind w:left="226" w:right="228" w:firstLine="52"/>
              <w:jc w:val="both"/>
              <w:rPr>
                <w:b/>
                <w:sz w:val="18"/>
              </w:rPr>
            </w:pPr>
            <w:r>
              <w:rPr>
                <w:b/>
                <w:sz w:val="18"/>
              </w:rPr>
              <w:t>Energy Charge (Rs. Cr.)</w:t>
            </w:r>
          </w:p>
        </w:tc>
        <w:tc>
          <w:tcPr>
            <w:tcW w:w="990" w:type="dxa"/>
            <w:shd w:val="clear" w:color="auto" w:fill="F7C9AC"/>
          </w:tcPr>
          <w:p w:rsidR="007C5447" w:rsidRDefault="00F6308C">
            <w:pPr>
              <w:pStyle w:val="TableParagraph"/>
              <w:spacing w:before="14"/>
              <w:ind w:left="122" w:right="121"/>
              <w:jc w:val="center"/>
              <w:rPr>
                <w:b/>
                <w:sz w:val="18"/>
              </w:rPr>
            </w:pPr>
            <w:r>
              <w:rPr>
                <w:b/>
                <w:sz w:val="18"/>
              </w:rPr>
              <w:t>Total Cost (Rs./kWh</w:t>
            </w:r>
          </w:p>
          <w:p w:rsidR="007C5447" w:rsidRDefault="00F6308C">
            <w:pPr>
              <w:pStyle w:val="TableParagraph"/>
              <w:spacing w:before="1" w:line="203" w:lineRule="exact"/>
              <w:jc w:val="center"/>
              <w:rPr>
                <w:b/>
                <w:sz w:val="18"/>
              </w:rPr>
            </w:pPr>
            <w:r>
              <w:rPr>
                <w:b/>
                <w:w w:val="99"/>
                <w:sz w:val="18"/>
              </w:rPr>
              <w:t>)</w:t>
            </w:r>
          </w:p>
        </w:tc>
        <w:tc>
          <w:tcPr>
            <w:tcW w:w="1265"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294" w:right="206" w:hanging="70"/>
              <w:jc w:val="left"/>
              <w:rPr>
                <w:b/>
                <w:sz w:val="18"/>
              </w:rPr>
            </w:pPr>
            <w:r>
              <w:rPr>
                <w:b/>
                <w:sz w:val="18"/>
              </w:rPr>
              <w:t>Total Cost (Rs. Cr.)</w:t>
            </w:r>
          </w:p>
        </w:tc>
      </w:tr>
      <w:tr w:rsidR="007C5447">
        <w:trPr>
          <w:trHeight w:val="443"/>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17" w:line="206" w:lineRule="exact"/>
              <w:ind w:left="107" w:right="287"/>
              <w:jc w:val="left"/>
              <w:rPr>
                <w:sz w:val="18"/>
              </w:rPr>
            </w:pPr>
            <w:r>
              <w:rPr>
                <w:sz w:val="18"/>
              </w:rPr>
              <w:t>M/s. Ind Bharath Energy (Utkal) Ltd.</w:t>
            </w:r>
          </w:p>
        </w:tc>
        <w:tc>
          <w:tcPr>
            <w:tcW w:w="1021" w:type="dxa"/>
          </w:tcPr>
          <w:p w:rsidR="007C5447" w:rsidRDefault="00F6308C">
            <w:pPr>
              <w:pStyle w:val="TableParagraph"/>
              <w:spacing w:before="106"/>
              <w:ind w:right="98"/>
              <w:rPr>
                <w:sz w:val="20"/>
              </w:rPr>
            </w:pPr>
            <w:r>
              <w:rPr>
                <w:w w:val="95"/>
                <w:sz w:val="20"/>
              </w:rPr>
              <w:t>3,580.78</w:t>
            </w:r>
          </w:p>
        </w:tc>
        <w:tc>
          <w:tcPr>
            <w:tcW w:w="1232" w:type="dxa"/>
          </w:tcPr>
          <w:p w:rsidR="007C5447" w:rsidRDefault="00F6308C">
            <w:pPr>
              <w:pStyle w:val="TableParagraph"/>
              <w:spacing w:before="106"/>
              <w:ind w:right="98"/>
              <w:rPr>
                <w:sz w:val="20"/>
              </w:rPr>
            </w:pPr>
            <w:r>
              <w:rPr>
                <w:w w:val="95"/>
                <w:sz w:val="20"/>
              </w:rPr>
              <w:t>387.27</w:t>
            </w:r>
          </w:p>
        </w:tc>
        <w:tc>
          <w:tcPr>
            <w:tcW w:w="990" w:type="dxa"/>
          </w:tcPr>
          <w:p w:rsidR="007C5447" w:rsidRDefault="00F6308C">
            <w:pPr>
              <w:pStyle w:val="TableParagraph"/>
              <w:spacing w:before="106"/>
              <w:ind w:right="99"/>
              <w:rPr>
                <w:sz w:val="20"/>
              </w:rPr>
            </w:pPr>
            <w:r>
              <w:rPr>
                <w:sz w:val="20"/>
              </w:rPr>
              <w:t>0.80</w:t>
            </w:r>
          </w:p>
        </w:tc>
        <w:tc>
          <w:tcPr>
            <w:tcW w:w="1131" w:type="dxa"/>
          </w:tcPr>
          <w:p w:rsidR="007C5447" w:rsidRDefault="00F6308C">
            <w:pPr>
              <w:pStyle w:val="TableParagraph"/>
              <w:spacing w:before="106"/>
              <w:ind w:right="102"/>
              <w:rPr>
                <w:sz w:val="20"/>
              </w:rPr>
            </w:pPr>
            <w:r>
              <w:rPr>
                <w:w w:val="95"/>
                <w:sz w:val="20"/>
              </w:rPr>
              <w:t>286.46</w:t>
            </w:r>
          </w:p>
        </w:tc>
        <w:tc>
          <w:tcPr>
            <w:tcW w:w="990" w:type="dxa"/>
          </w:tcPr>
          <w:p w:rsidR="007C5447" w:rsidRDefault="00F6308C">
            <w:pPr>
              <w:pStyle w:val="TableParagraph"/>
              <w:spacing w:before="106"/>
              <w:ind w:right="100"/>
              <w:rPr>
                <w:sz w:val="20"/>
              </w:rPr>
            </w:pPr>
            <w:r>
              <w:rPr>
                <w:sz w:val="20"/>
              </w:rPr>
              <w:t>1.88</w:t>
            </w:r>
          </w:p>
        </w:tc>
        <w:tc>
          <w:tcPr>
            <w:tcW w:w="1265" w:type="dxa"/>
          </w:tcPr>
          <w:p w:rsidR="007C5447" w:rsidRDefault="00F6308C">
            <w:pPr>
              <w:pStyle w:val="TableParagraph"/>
              <w:spacing w:before="106"/>
              <w:ind w:right="100"/>
              <w:rPr>
                <w:sz w:val="20"/>
              </w:rPr>
            </w:pPr>
            <w:r>
              <w:rPr>
                <w:w w:val="95"/>
                <w:sz w:val="20"/>
              </w:rPr>
              <w:t>673.74</w:t>
            </w:r>
          </w:p>
        </w:tc>
      </w:tr>
      <w:tr w:rsidR="007C5447">
        <w:trPr>
          <w:trHeight w:val="443"/>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17" w:line="206" w:lineRule="exact"/>
              <w:ind w:left="107" w:right="352"/>
              <w:jc w:val="left"/>
              <w:rPr>
                <w:sz w:val="18"/>
              </w:rPr>
            </w:pPr>
            <w:r>
              <w:rPr>
                <w:sz w:val="18"/>
              </w:rPr>
              <w:t>M/s. Bharat Aluminium Company Ltd.</w:t>
            </w:r>
          </w:p>
        </w:tc>
        <w:tc>
          <w:tcPr>
            <w:tcW w:w="1021" w:type="dxa"/>
          </w:tcPr>
          <w:p w:rsidR="007C5447" w:rsidRDefault="00F6308C">
            <w:pPr>
              <w:pStyle w:val="TableParagraph"/>
              <w:spacing w:before="106"/>
              <w:ind w:right="98"/>
              <w:rPr>
                <w:sz w:val="20"/>
              </w:rPr>
            </w:pPr>
            <w:r>
              <w:rPr>
                <w:w w:val="95"/>
                <w:sz w:val="20"/>
              </w:rPr>
              <w:t>1,432.31</w:t>
            </w:r>
          </w:p>
        </w:tc>
        <w:tc>
          <w:tcPr>
            <w:tcW w:w="1232" w:type="dxa"/>
          </w:tcPr>
          <w:p w:rsidR="007C5447" w:rsidRDefault="00F6308C">
            <w:pPr>
              <w:pStyle w:val="TableParagraph"/>
              <w:spacing w:before="106"/>
              <w:ind w:right="98"/>
              <w:rPr>
                <w:sz w:val="20"/>
              </w:rPr>
            </w:pPr>
            <w:r>
              <w:rPr>
                <w:w w:val="95"/>
                <w:sz w:val="20"/>
              </w:rPr>
              <w:t>225.05</w:t>
            </w:r>
          </w:p>
        </w:tc>
        <w:tc>
          <w:tcPr>
            <w:tcW w:w="990" w:type="dxa"/>
          </w:tcPr>
          <w:p w:rsidR="007C5447" w:rsidRDefault="00F6308C">
            <w:pPr>
              <w:pStyle w:val="TableParagraph"/>
              <w:spacing w:before="106"/>
              <w:ind w:right="99"/>
              <w:rPr>
                <w:sz w:val="20"/>
              </w:rPr>
            </w:pPr>
            <w:r>
              <w:rPr>
                <w:sz w:val="20"/>
              </w:rPr>
              <w:t>1.83</w:t>
            </w:r>
          </w:p>
        </w:tc>
        <w:tc>
          <w:tcPr>
            <w:tcW w:w="1131" w:type="dxa"/>
          </w:tcPr>
          <w:p w:rsidR="007C5447" w:rsidRDefault="00F6308C">
            <w:pPr>
              <w:pStyle w:val="TableParagraph"/>
              <w:spacing w:before="106"/>
              <w:ind w:right="102"/>
              <w:rPr>
                <w:sz w:val="20"/>
              </w:rPr>
            </w:pPr>
            <w:r>
              <w:rPr>
                <w:w w:val="95"/>
                <w:sz w:val="20"/>
              </w:rPr>
              <w:t>262.11</w:t>
            </w:r>
          </w:p>
        </w:tc>
        <w:tc>
          <w:tcPr>
            <w:tcW w:w="990" w:type="dxa"/>
          </w:tcPr>
          <w:p w:rsidR="007C5447" w:rsidRDefault="00F6308C">
            <w:pPr>
              <w:pStyle w:val="TableParagraph"/>
              <w:spacing w:before="106"/>
              <w:ind w:right="100"/>
              <w:rPr>
                <w:sz w:val="20"/>
              </w:rPr>
            </w:pPr>
            <w:r>
              <w:rPr>
                <w:sz w:val="20"/>
              </w:rPr>
              <w:t>3.40</w:t>
            </w:r>
          </w:p>
        </w:tc>
        <w:tc>
          <w:tcPr>
            <w:tcW w:w="1265" w:type="dxa"/>
          </w:tcPr>
          <w:p w:rsidR="007C5447" w:rsidRDefault="00F6308C">
            <w:pPr>
              <w:pStyle w:val="TableParagraph"/>
              <w:spacing w:before="106"/>
              <w:ind w:right="100"/>
              <w:rPr>
                <w:sz w:val="20"/>
              </w:rPr>
            </w:pPr>
            <w:r>
              <w:rPr>
                <w:w w:val="95"/>
                <w:sz w:val="20"/>
              </w:rPr>
              <w:t>487.16</w:t>
            </w:r>
          </w:p>
        </w:tc>
      </w:tr>
      <w:tr w:rsidR="007C5447">
        <w:trPr>
          <w:trHeight w:val="443"/>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11" w:line="210" w:lineRule="atLeast"/>
              <w:ind w:left="107" w:right="802"/>
              <w:jc w:val="left"/>
              <w:rPr>
                <w:sz w:val="18"/>
              </w:rPr>
            </w:pPr>
            <w:r>
              <w:rPr>
                <w:sz w:val="18"/>
              </w:rPr>
              <w:t>M/s. Dhariwal Infrastructure Ltd</w:t>
            </w:r>
          </w:p>
        </w:tc>
        <w:tc>
          <w:tcPr>
            <w:tcW w:w="1021" w:type="dxa"/>
          </w:tcPr>
          <w:p w:rsidR="007C5447" w:rsidRDefault="00F6308C">
            <w:pPr>
              <w:pStyle w:val="TableParagraph"/>
              <w:spacing w:before="108"/>
              <w:ind w:right="97"/>
              <w:rPr>
                <w:sz w:val="20"/>
              </w:rPr>
            </w:pPr>
            <w:r>
              <w:rPr>
                <w:w w:val="95"/>
                <w:sz w:val="20"/>
              </w:rPr>
              <w:t>716.16</w:t>
            </w:r>
          </w:p>
        </w:tc>
        <w:tc>
          <w:tcPr>
            <w:tcW w:w="1232" w:type="dxa"/>
          </w:tcPr>
          <w:p w:rsidR="007C5447" w:rsidRDefault="00F6308C">
            <w:pPr>
              <w:pStyle w:val="TableParagraph"/>
              <w:spacing w:before="108"/>
              <w:ind w:right="98"/>
              <w:rPr>
                <w:sz w:val="20"/>
              </w:rPr>
            </w:pPr>
            <w:r>
              <w:rPr>
                <w:w w:val="95"/>
                <w:sz w:val="20"/>
              </w:rPr>
              <w:t>143.15</w:t>
            </w:r>
          </w:p>
        </w:tc>
        <w:tc>
          <w:tcPr>
            <w:tcW w:w="990" w:type="dxa"/>
          </w:tcPr>
          <w:p w:rsidR="007C5447" w:rsidRDefault="00F6308C">
            <w:pPr>
              <w:pStyle w:val="TableParagraph"/>
              <w:spacing w:before="108"/>
              <w:ind w:right="99"/>
              <w:rPr>
                <w:sz w:val="20"/>
              </w:rPr>
            </w:pPr>
            <w:r>
              <w:rPr>
                <w:sz w:val="20"/>
              </w:rPr>
              <w:t>1.88</w:t>
            </w:r>
          </w:p>
        </w:tc>
        <w:tc>
          <w:tcPr>
            <w:tcW w:w="1131" w:type="dxa"/>
          </w:tcPr>
          <w:p w:rsidR="007C5447" w:rsidRDefault="00F6308C">
            <w:pPr>
              <w:pStyle w:val="TableParagraph"/>
              <w:spacing w:before="108"/>
              <w:ind w:right="102"/>
              <w:rPr>
                <w:sz w:val="20"/>
              </w:rPr>
            </w:pPr>
            <w:r>
              <w:rPr>
                <w:w w:val="95"/>
                <w:sz w:val="20"/>
              </w:rPr>
              <w:t>134.64</w:t>
            </w:r>
          </w:p>
        </w:tc>
        <w:tc>
          <w:tcPr>
            <w:tcW w:w="990" w:type="dxa"/>
          </w:tcPr>
          <w:p w:rsidR="007C5447" w:rsidRDefault="00F6308C">
            <w:pPr>
              <w:pStyle w:val="TableParagraph"/>
              <w:spacing w:before="108"/>
              <w:ind w:right="100"/>
              <w:rPr>
                <w:sz w:val="20"/>
              </w:rPr>
            </w:pPr>
            <w:r>
              <w:rPr>
                <w:sz w:val="20"/>
              </w:rPr>
              <w:t>3.88</w:t>
            </w:r>
          </w:p>
        </w:tc>
        <w:tc>
          <w:tcPr>
            <w:tcW w:w="1265" w:type="dxa"/>
          </w:tcPr>
          <w:p w:rsidR="007C5447" w:rsidRDefault="00F6308C">
            <w:pPr>
              <w:pStyle w:val="TableParagraph"/>
              <w:spacing w:before="108"/>
              <w:ind w:right="100"/>
              <w:rPr>
                <w:sz w:val="20"/>
              </w:rPr>
            </w:pPr>
            <w:r>
              <w:rPr>
                <w:w w:val="95"/>
                <w:sz w:val="20"/>
              </w:rPr>
              <w:t>277.79</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M/s. PTC India Ltd.</w:t>
            </w:r>
          </w:p>
        </w:tc>
        <w:tc>
          <w:tcPr>
            <w:tcW w:w="1021" w:type="dxa"/>
          </w:tcPr>
          <w:p w:rsidR="007C5447" w:rsidRDefault="00F6308C">
            <w:pPr>
              <w:pStyle w:val="TableParagraph"/>
              <w:spacing w:before="36"/>
              <w:ind w:right="97"/>
              <w:rPr>
                <w:sz w:val="20"/>
              </w:rPr>
            </w:pPr>
            <w:r>
              <w:rPr>
                <w:w w:val="95"/>
                <w:sz w:val="20"/>
              </w:rPr>
              <w:t>716.16</w:t>
            </w:r>
          </w:p>
        </w:tc>
        <w:tc>
          <w:tcPr>
            <w:tcW w:w="1232" w:type="dxa"/>
          </w:tcPr>
          <w:p w:rsidR="007C5447" w:rsidRDefault="00F6308C">
            <w:pPr>
              <w:pStyle w:val="TableParagraph"/>
              <w:spacing w:before="36"/>
              <w:ind w:right="98"/>
              <w:rPr>
                <w:sz w:val="20"/>
              </w:rPr>
            </w:pPr>
            <w:r>
              <w:rPr>
                <w:w w:val="95"/>
                <w:sz w:val="20"/>
              </w:rPr>
              <w:t>230.20</w:t>
            </w:r>
          </w:p>
        </w:tc>
        <w:tc>
          <w:tcPr>
            <w:tcW w:w="990" w:type="dxa"/>
          </w:tcPr>
          <w:p w:rsidR="007C5447" w:rsidRDefault="00F6308C">
            <w:pPr>
              <w:pStyle w:val="TableParagraph"/>
              <w:spacing w:before="36"/>
              <w:ind w:right="99"/>
              <w:rPr>
                <w:sz w:val="20"/>
              </w:rPr>
            </w:pPr>
            <w:r>
              <w:rPr>
                <w:sz w:val="20"/>
              </w:rPr>
              <w:t>1.04</w:t>
            </w:r>
          </w:p>
        </w:tc>
        <w:tc>
          <w:tcPr>
            <w:tcW w:w="1131" w:type="dxa"/>
          </w:tcPr>
          <w:p w:rsidR="007C5447" w:rsidRDefault="00F6308C">
            <w:pPr>
              <w:pStyle w:val="TableParagraph"/>
              <w:spacing w:before="36"/>
              <w:ind w:right="102"/>
              <w:rPr>
                <w:sz w:val="20"/>
              </w:rPr>
            </w:pPr>
            <w:r>
              <w:rPr>
                <w:sz w:val="20"/>
              </w:rPr>
              <w:t>74.48</w:t>
            </w:r>
          </w:p>
        </w:tc>
        <w:tc>
          <w:tcPr>
            <w:tcW w:w="990" w:type="dxa"/>
          </w:tcPr>
          <w:p w:rsidR="007C5447" w:rsidRDefault="00F6308C">
            <w:pPr>
              <w:pStyle w:val="TableParagraph"/>
              <w:spacing w:before="36"/>
              <w:ind w:right="100"/>
              <w:rPr>
                <w:sz w:val="20"/>
              </w:rPr>
            </w:pPr>
            <w:r>
              <w:rPr>
                <w:sz w:val="20"/>
              </w:rPr>
              <w:t>4.25</w:t>
            </w:r>
          </w:p>
        </w:tc>
        <w:tc>
          <w:tcPr>
            <w:tcW w:w="1265" w:type="dxa"/>
          </w:tcPr>
          <w:p w:rsidR="007C5447" w:rsidRDefault="00F6308C">
            <w:pPr>
              <w:pStyle w:val="TableParagraph"/>
              <w:spacing w:before="36"/>
              <w:ind w:right="100"/>
              <w:rPr>
                <w:sz w:val="20"/>
              </w:rPr>
            </w:pPr>
            <w:r>
              <w:rPr>
                <w:w w:val="95"/>
                <w:sz w:val="20"/>
              </w:rPr>
              <w:t>304.68</w:t>
            </w:r>
          </w:p>
        </w:tc>
      </w:tr>
      <w:tr w:rsidR="007C5447">
        <w:trPr>
          <w:trHeight w:val="443"/>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20" w:line="206" w:lineRule="exact"/>
              <w:ind w:left="107" w:right="532"/>
              <w:jc w:val="left"/>
              <w:rPr>
                <w:sz w:val="18"/>
              </w:rPr>
            </w:pPr>
            <w:r>
              <w:rPr>
                <w:sz w:val="18"/>
              </w:rPr>
              <w:t>M/s. KSK Mahanadi Power Company Ltd.</w:t>
            </w:r>
          </w:p>
        </w:tc>
        <w:tc>
          <w:tcPr>
            <w:tcW w:w="1021" w:type="dxa"/>
          </w:tcPr>
          <w:p w:rsidR="007C5447" w:rsidRDefault="00F6308C">
            <w:pPr>
              <w:pStyle w:val="TableParagraph"/>
              <w:spacing w:before="108"/>
              <w:ind w:right="98"/>
              <w:rPr>
                <w:sz w:val="20"/>
              </w:rPr>
            </w:pPr>
            <w:r>
              <w:rPr>
                <w:w w:val="95"/>
                <w:sz w:val="20"/>
              </w:rPr>
              <w:t>3,580.78</w:t>
            </w:r>
          </w:p>
        </w:tc>
        <w:tc>
          <w:tcPr>
            <w:tcW w:w="1232" w:type="dxa"/>
          </w:tcPr>
          <w:p w:rsidR="007C5447" w:rsidRDefault="00F6308C">
            <w:pPr>
              <w:pStyle w:val="TableParagraph"/>
              <w:spacing w:before="108"/>
              <w:ind w:right="98"/>
              <w:rPr>
                <w:sz w:val="20"/>
              </w:rPr>
            </w:pPr>
            <w:r>
              <w:rPr>
                <w:w w:val="95"/>
                <w:sz w:val="20"/>
              </w:rPr>
              <w:t>663.61</w:t>
            </w:r>
          </w:p>
        </w:tc>
        <w:tc>
          <w:tcPr>
            <w:tcW w:w="990" w:type="dxa"/>
          </w:tcPr>
          <w:p w:rsidR="007C5447" w:rsidRDefault="00F6308C">
            <w:pPr>
              <w:pStyle w:val="TableParagraph"/>
              <w:spacing w:before="108"/>
              <w:ind w:right="99"/>
              <w:rPr>
                <w:sz w:val="20"/>
              </w:rPr>
            </w:pPr>
            <w:r>
              <w:rPr>
                <w:sz w:val="20"/>
              </w:rPr>
              <w:t>2.06</w:t>
            </w:r>
          </w:p>
        </w:tc>
        <w:tc>
          <w:tcPr>
            <w:tcW w:w="1131" w:type="dxa"/>
          </w:tcPr>
          <w:p w:rsidR="007C5447" w:rsidRDefault="00F6308C">
            <w:pPr>
              <w:pStyle w:val="TableParagraph"/>
              <w:spacing w:before="108"/>
              <w:ind w:right="102"/>
              <w:rPr>
                <w:sz w:val="20"/>
              </w:rPr>
            </w:pPr>
            <w:r>
              <w:rPr>
                <w:w w:val="95"/>
                <w:sz w:val="20"/>
              </w:rPr>
              <w:t>737.64</w:t>
            </w:r>
          </w:p>
        </w:tc>
        <w:tc>
          <w:tcPr>
            <w:tcW w:w="990" w:type="dxa"/>
          </w:tcPr>
          <w:p w:rsidR="007C5447" w:rsidRDefault="00F6308C">
            <w:pPr>
              <w:pStyle w:val="TableParagraph"/>
              <w:spacing w:before="108"/>
              <w:ind w:right="100"/>
              <w:rPr>
                <w:sz w:val="20"/>
              </w:rPr>
            </w:pPr>
            <w:r>
              <w:rPr>
                <w:sz w:val="20"/>
              </w:rPr>
              <w:t>3.91</w:t>
            </w:r>
          </w:p>
        </w:tc>
        <w:tc>
          <w:tcPr>
            <w:tcW w:w="1265" w:type="dxa"/>
          </w:tcPr>
          <w:p w:rsidR="007C5447" w:rsidRDefault="00F6308C">
            <w:pPr>
              <w:pStyle w:val="TableParagraph"/>
              <w:spacing w:before="108"/>
              <w:ind w:right="101"/>
              <w:rPr>
                <w:sz w:val="20"/>
              </w:rPr>
            </w:pPr>
            <w:r>
              <w:rPr>
                <w:w w:val="95"/>
                <w:sz w:val="20"/>
              </w:rPr>
              <w:t>1,401.25</w:t>
            </w:r>
          </w:p>
        </w:tc>
      </w:tr>
      <w:tr w:rsidR="007C5447">
        <w:trPr>
          <w:trHeight w:val="445"/>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20" w:line="206" w:lineRule="exact"/>
              <w:ind w:left="107" w:right="597"/>
              <w:jc w:val="left"/>
              <w:rPr>
                <w:sz w:val="18"/>
              </w:rPr>
            </w:pPr>
            <w:r>
              <w:rPr>
                <w:sz w:val="18"/>
              </w:rPr>
              <w:t>M/s. G.M.R. Energy Trading Ltd.</w:t>
            </w:r>
          </w:p>
        </w:tc>
        <w:tc>
          <w:tcPr>
            <w:tcW w:w="1021" w:type="dxa"/>
          </w:tcPr>
          <w:p w:rsidR="007C5447" w:rsidRDefault="00F6308C">
            <w:pPr>
              <w:pStyle w:val="TableParagraph"/>
              <w:spacing w:before="108"/>
              <w:ind w:right="98"/>
              <w:rPr>
                <w:sz w:val="20"/>
              </w:rPr>
            </w:pPr>
            <w:r>
              <w:rPr>
                <w:w w:val="95"/>
                <w:sz w:val="20"/>
              </w:rPr>
              <w:t>1,074.23</w:t>
            </w:r>
          </w:p>
        </w:tc>
        <w:tc>
          <w:tcPr>
            <w:tcW w:w="1232" w:type="dxa"/>
          </w:tcPr>
          <w:p w:rsidR="007C5447" w:rsidRDefault="00F6308C">
            <w:pPr>
              <w:pStyle w:val="TableParagraph"/>
              <w:spacing w:before="108"/>
              <w:ind w:right="98"/>
              <w:rPr>
                <w:sz w:val="20"/>
              </w:rPr>
            </w:pPr>
            <w:r>
              <w:rPr>
                <w:w w:val="95"/>
                <w:sz w:val="20"/>
              </w:rPr>
              <w:t>305.07</w:t>
            </w:r>
          </w:p>
        </w:tc>
        <w:tc>
          <w:tcPr>
            <w:tcW w:w="990" w:type="dxa"/>
          </w:tcPr>
          <w:p w:rsidR="007C5447" w:rsidRDefault="00F6308C">
            <w:pPr>
              <w:pStyle w:val="TableParagraph"/>
              <w:spacing w:before="108"/>
              <w:ind w:right="99"/>
              <w:rPr>
                <w:sz w:val="20"/>
              </w:rPr>
            </w:pPr>
            <w:r>
              <w:rPr>
                <w:sz w:val="20"/>
              </w:rPr>
              <w:t>1.52</w:t>
            </w:r>
          </w:p>
        </w:tc>
        <w:tc>
          <w:tcPr>
            <w:tcW w:w="1131" w:type="dxa"/>
          </w:tcPr>
          <w:p w:rsidR="007C5447" w:rsidRDefault="00F6308C">
            <w:pPr>
              <w:pStyle w:val="TableParagraph"/>
              <w:spacing w:before="108"/>
              <w:ind w:right="102"/>
              <w:rPr>
                <w:sz w:val="20"/>
              </w:rPr>
            </w:pPr>
            <w:r>
              <w:rPr>
                <w:w w:val="95"/>
                <w:sz w:val="20"/>
              </w:rPr>
              <w:t>163.28</w:t>
            </w:r>
          </w:p>
        </w:tc>
        <w:tc>
          <w:tcPr>
            <w:tcW w:w="990" w:type="dxa"/>
          </w:tcPr>
          <w:p w:rsidR="007C5447" w:rsidRDefault="00F6308C">
            <w:pPr>
              <w:pStyle w:val="TableParagraph"/>
              <w:spacing w:before="108"/>
              <w:ind w:right="100"/>
              <w:rPr>
                <w:sz w:val="20"/>
              </w:rPr>
            </w:pPr>
            <w:r>
              <w:rPr>
                <w:sz w:val="20"/>
              </w:rPr>
              <w:t>4.36</w:t>
            </w:r>
          </w:p>
        </w:tc>
        <w:tc>
          <w:tcPr>
            <w:tcW w:w="1265" w:type="dxa"/>
          </w:tcPr>
          <w:p w:rsidR="007C5447" w:rsidRDefault="00F6308C">
            <w:pPr>
              <w:pStyle w:val="TableParagraph"/>
              <w:spacing w:before="108"/>
              <w:ind w:right="100"/>
              <w:rPr>
                <w:sz w:val="20"/>
              </w:rPr>
            </w:pPr>
            <w:r>
              <w:rPr>
                <w:w w:val="95"/>
                <w:sz w:val="20"/>
              </w:rPr>
              <w:t>468.35</w:t>
            </w:r>
          </w:p>
        </w:tc>
      </w:tr>
      <w:tr w:rsidR="007C5447">
        <w:trPr>
          <w:trHeight w:val="441"/>
        </w:trPr>
        <w:tc>
          <w:tcPr>
            <w:tcW w:w="406" w:type="dxa"/>
            <w:tcBorders>
              <w:bottom w:val="single" w:sz="6" w:space="0" w:color="000000"/>
            </w:tcBorders>
          </w:tcPr>
          <w:p w:rsidR="007C5447" w:rsidRDefault="007C5447">
            <w:pPr>
              <w:pStyle w:val="TableParagraph"/>
              <w:jc w:val="left"/>
              <w:rPr>
                <w:sz w:val="18"/>
              </w:rPr>
            </w:pPr>
          </w:p>
        </w:tc>
        <w:tc>
          <w:tcPr>
            <w:tcW w:w="2214" w:type="dxa"/>
            <w:tcBorders>
              <w:bottom w:val="single" w:sz="6" w:space="0" w:color="000000"/>
            </w:tcBorders>
          </w:tcPr>
          <w:p w:rsidR="007C5447" w:rsidRDefault="00F6308C">
            <w:pPr>
              <w:pStyle w:val="TableParagraph"/>
              <w:spacing w:before="17" w:line="206" w:lineRule="exact"/>
              <w:ind w:left="107"/>
              <w:jc w:val="left"/>
              <w:rPr>
                <w:sz w:val="18"/>
              </w:rPr>
            </w:pPr>
            <w:r>
              <w:rPr>
                <w:sz w:val="18"/>
              </w:rPr>
              <w:t>M/s. IL &amp; FS Tamil Nadu Power Company Ltd.</w:t>
            </w:r>
          </w:p>
        </w:tc>
        <w:tc>
          <w:tcPr>
            <w:tcW w:w="1021" w:type="dxa"/>
            <w:tcBorders>
              <w:bottom w:val="single" w:sz="6" w:space="0" w:color="000000"/>
            </w:tcBorders>
          </w:tcPr>
          <w:p w:rsidR="007C5447" w:rsidRDefault="00F6308C">
            <w:pPr>
              <w:pStyle w:val="TableParagraph"/>
              <w:spacing w:before="106"/>
              <w:ind w:right="98"/>
              <w:rPr>
                <w:sz w:val="20"/>
              </w:rPr>
            </w:pPr>
            <w:r>
              <w:rPr>
                <w:w w:val="95"/>
                <w:sz w:val="20"/>
              </w:rPr>
              <w:t>3,867.24</w:t>
            </w:r>
          </w:p>
        </w:tc>
        <w:tc>
          <w:tcPr>
            <w:tcW w:w="1232" w:type="dxa"/>
            <w:tcBorders>
              <w:bottom w:val="single" w:sz="6" w:space="0" w:color="000000"/>
            </w:tcBorders>
          </w:tcPr>
          <w:p w:rsidR="007C5447" w:rsidRDefault="00F6308C">
            <w:pPr>
              <w:pStyle w:val="TableParagraph"/>
              <w:spacing w:before="106"/>
              <w:ind w:right="99"/>
              <w:rPr>
                <w:sz w:val="20"/>
              </w:rPr>
            </w:pPr>
            <w:r>
              <w:rPr>
                <w:w w:val="95"/>
                <w:sz w:val="20"/>
              </w:rPr>
              <w:t>1,033.40</w:t>
            </w:r>
          </w:p>
        </w:tc>
        <w:tc>
          <w:tcPr>
            <w:tcW w:w="990" w:type="dxa"/>
            <w:tcBorders>
              <w:bottom w:val="single" w:sz="6" w:space="0" w:color="000000"/>
            </w:tcBorders>
          </w:tcPr>
          <w:p w:rsidR="007C5447" w:rsidRDefault="00F6308C">
            <w:pPr>
              <w:pStyle w:val="TableParagraph"/>
              <w:spacing w:before="106"/>
              <w:ind w:right="99"/>
              <w:rPr>
                <w:sz w:val="20"/>
              </w:rPr>
            </w:pPr>
            <w:r>
              <w:rPr>
                <w:sz w:val="20"/>
              </w:rPr>
              <w:t>2.80</w:t>
            </w:r>
          </w:p>
        </w:tc>
        <w:tc>
          <w:tcPr>
            <w:tcW w:w="1131" w:type="dxa"/>
            <w:tcBorders>
              <w:bottom w:val="single" w:sz="6" w:space="0" w:color="000000"/>
            </w:tcBorders>
          </w:tcPr>
          <w:p w:rsidR="007C5447" w:rsidRDefault="00F6308C">
            <w:pPr>
              <w:pStyle w:val="TableParagraph"/>
              <w:spacing w:before="106"/>
              <w:ind w:right="102"/>
              <w:rPr>
                <w:sz w:val="20"/>
              </w:rPr>
            </w:pPr>
            <w:r>
              <w:rPr>
                <w:w w:val="95"/>
                <w:sz w:val="20"/>
              </w:rPr>
              <w:t>1,082.83</w:t>
            </w:r>
          </w:p>
        </w:tc>
        <w:tc>
          <w:tcPr>
            <w:tcW w:w="990" w:type="dxa"/>
            <w:tcBorders>
              <w:bottom w:val="single" w:sz="6" w:space="0" w:color="000000"/>
            </w:tcBorders>
          </w:tcPr>
          <w:p w:rsidR="007C5447" w:rsidRDefault="00F6308C">
            <w:pPr>
              <w:pStyle w:val="TableParagraph"/>
              <w:spacing w:before="106"/>
              <w:ind w:right="100"/>
              <w:rPr>
                <w:sz w:val="20"/>
              </w:rPr>
            </w:pPr>
            <w:r>
              <w:rPr>
                <w:sz w:val="20"/>
              </w:rPr>
              <w:t>5.47</w:t>
            </w:r>
          </w:p>
        </w:tc>
        <w:tc>
          <w:tcPr>
            <w:tcW w:w="1265" w:type="dxa"/>
            <w:tcBorders>
              <w:bottom w:val="single" w:sz="6" w:space="0" w:color="000000"/>
            </w:tcBorders>
          </w:tcPr>
          <w:p w:rsidR="007C5447" w:rsidRDefault="00F6308C">
            <w:pPr>
              <w:pStyle w:val="TableParagraph"/>
              <w:spacing w:before="106"/>
              <w:ind w:right="101"/>
              <w:rPr>
                <w:sz w:val="20"/>
              </w:rPr>
            </w:pPr>
            <w:r>
              <w:rPr>
                <w:w w:val="95"/>
                <w:sz w:val="20"/>
              </w:rPr>
              <w:t>2,116.22</w:t>
            </w:r>
          </w:p>
        </w:tc>
      </w:tr>
      <w:tr w:rsidR="007C5447">
        <w:trPr>
          <w:trHeight w:val="441"/>
        </w:trPr>
        <w:tc>
          <w:tcPr>
            <w:tcW w:w="406" w:type="dxa"/>
            <w:tcBorders>
              <w:top w:val="single" w:sz="6" w:space="0" w:color="000000"/>
            </w:tcBorders>
          </w:tcPr>
          <w:p w:rsidR="007C5447" w:rsidRDefault="007C5447">
            <w:pPr>
              <w:pStyle w:val="TableParagraph"/>
              <w:jc w:val="left"/>
              <w:rPr>
                <w:sz w:val="18"/>
              </w:rPr>
            </w:pPr>
          </w:p>
        </w:tc>
        <w:tc>
          <w:tcPr>
            <w:tcW w:w="2214" w:type="dxa"/>
            <w:tcBorders>
              <w:top w:val="single" w:sz="6" w:space="0" w:color="000000"/>
            </w:tcBorders>
          </w:tcPr>
          <w:p w:rsidR="007C5447" w:rsidRDefault="00F6308C">
            <w:pPr>
              <w:pStyle w:val="TableParagraph"/>
              <w:spacing w:before="15" w:line="206" w:lineRule="exact"/>
              <w:ind w:left="107" w:right="522"/>
              <w:jc w:val="left"/>
              <w:rPr>
                <w:sz w:val="18"/>
              </w:rPr>
            </w:pPr>
            <w:r>
              <w:rPr>
                <w:sz w:val="18"/>
              </w:rPr>
              <w:t>M/s. Coastal Energen Power Ltd.</w:t>
            </w:r>
          </w:p>
        </w:tc>
        <w:tc>
          <w:tcPr>
            <w:tcW w:w="1021" w:type="dxa"/>
            <w:tcBorders>
              <w:top w:val="single" w:sz="6" w:space="0" w:color="000000"/>
            </w:tcBorders>
          </w:tcPr>
          <w:p w:rsidR="007C5447" w:rsidRDefault="00F6308C">
            <w:pPr>
              <w:pStyle w:val="TableParagraph"/>
              <w:spacing w:before="103"/>
              <w:ind w:right="98"/>
              <w:rPr>
                <w:sz w:val="20"/>
              </w:rPr>
            </w:pPr>
            <w:r>
              <w:rPr>
                <w:w w:val="95"/>
                <w:sz w:val="20"/>
              </w:rPr>
              <w:t>3,996.15</w:t>
            </w:r>
          </w:p>
        </w:tc>
        <w:tc>
          <w:tcPr>
            <w:tcW w:w="1232" w:type="dxa"/>
            <w:tcBorders>
              <w:top w:val="single" w:sz="6" w:space="0" w:color="000000"/>
            </w:tcBorders>
          </w:tcPr>
          <w:p w:rsidR="007C5447" w:rsidRDefault="00F6308C">
            <w:pPr>
              <w:pStyle w:val="TableParagraph"/>
              <w:spacing w:before="103"/>
              <w:ind w:right="98"/>
              <w:rPr>
                <w:sz w:val="20"/>
              </w:rPr>
            </w:pPr>
            <w:r>
              <w:rPr>
                <w:w w:val="95"/>
                <w:sz w:val="20"/>
              </w:rPr>
              <w:t>731.23</w:t>
            </w:r>
          </w:p>
        </w:tc>
        <w:tc>
          <w:tcPr>
            <w:tcW w:w="990" w:type="dxa"/>
            <w:tcBorders>
              <w:top w:val="single" w:sz="6" w:space="0" w:color="000000"/>
            </w:tcBorders>
          </w:tcPr>
          <w:p w:rsidR="007C5447" w:rsidRDefault="00F6308C">
            <w:pPr>
              <w:pStyle w:val="TableParagraph"/>
              <w:spacing w:before="103"/>
              <w:ind w:right="99"/>
              <w:rPr>
                <w:sz w:val="20"/>
              </w:rPr>
            </w:pPr>
            <w:r>
              <w:rPr>
                <w:sz w:val="20"/>
              </w:rPr>
              <w:t>2.85</w:t>
            </w:r>
          </w:p>
        </w:tc>
        <w:tc>
          <w:tcPr>
            <w:tcW w:w="1131" w:type="dxa"/>
            <w:tcBorders>
              <w:top w:val="single" w:sz="6" w:space="0" w:color="000000"/>
            </w:tcBorders>
          </w:tcPr>
          <w:p w:rsidR="007C5447" w:rsidRDefault="00F6308C">
            <w:pPr>
              <w:pStyle w:val="TableParagraph"/>
              <w:spacing w:before="103"/>
              <w:ind w:right="102"/>
              <w:rPr>
                <w:sz w:val="20"/>
              </w:rPr>
            </w:pPr>
            <w:r>
              <w:rPr>
                <w:w w:val="95"/>
                <w:sz w:val="20"/>
              </w:rPr>
              <w:t>1,138.90</w:t>
            </w:r>
          </w:p>
        </w:tc>
        <w:tc>
          <w:tcPr>
            <w:tcW w:w="990" w:type="dxa"/>
            <w:tcBorders>
              <w:top w:val="single" w:sz="6" w:space="0" w:color="000000"/>
            </w:tcBorders>
          </w:tcPr>
          <w:p w:rsidR="007C5447" w:rsidRDefault="00F6308C">
            <w:pPr>
              <w:pStyle w:val="TableParagraph"/>
              <w:spacing w:before="103"/>
              <w:ind w:right="100"/>
              <w:rPr>
                <w:sz w:val="20"/>
              </w:rPr>
            </w:pPr>
            <w:r>
              <w:rPr>
                <w:sz w:val="20"/>
              </w:rPr>
              <w:t>4.68</w:t>
            </w:r>
          </w:p>
        </w:tc>
        <w:tc>
          <w:tcPr>
            <w:tcW w:w="1265" w:type="dxa"/>
            <w:tcBorders>
              <w:top w:val="single" w:sz="6" w:space="0" w:color="000000"/>
            </w:tcBorders>
          </w:tcPr>
          <w:p w:rsidR="007C5447" w:rsidRDefault="00F6308C">
            <w:pPr>
              <w:pStyle w:val="TableParagraph"/>
              <w:spacing w:before="103"/>
              <w:ind w:right="101"/>
              <w:rPr>
                <w:sz w:val="20"/>
              </w:rPr>
            </w:pPr>
            <w:r>
              <w:rPr>
                <w:w w:val="95"/>
                <w:sz w:val="20"/>
              </w:rPr>
              <w:t>1,870.13</w:t>
            </w:r>
          </w:p>
        </w:tc>
      </w:tr>
      <w:tr w:rsidR="007C5447">
        <w:trPr>
          <w:trHeight w:val="443"/>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11" w:line="210" w:lineRule="atLeast"/>
              <w:ind w:left="107" w:right="166"/>
              <w:jc w:val="left"/>
              <w:rPr>
                <w:sz w:val="18"/>
              </w:rPr>
            </w:pPr>
            <w:r>
              <w:rPr>
                <w:sz w:val="18"/>
              </w:rPr>
              <w:t>M/s. OPG Power Gen Pvt. Ltd.</w:t>
            </w:r>
          </w:p>
        </w:tc>
        <w:tc>
          <w:tcPr>
            <w:tcW w:w="1021" w:type="dxa"/>
          </w:tcPr>
          <w:p w:rsidR="007C5447" w:rsidRDefault="00F6308C">
            <w:pPr>
              <w:pStyle w:val="TableParagraph"/>
              <w:spacing w:before="106"/>
              <w:ind w:right="99"/>
              <w:rPr>
                <w:sz w:val="20"/>
              </w:rPr>
            </w:pPr>
            <w:r>
              <w:rPr>
                <w:w w:val="99"/>
                <w:sz w:val="20"/>
              </w:rPr>
              <w:t>-</w:t>
            </w:r>
          </w:p>
        </w:tc>
        <w:tc>
          <w:tcPr>
            <w:tcW w:w="1232" w:type="dxa"/>
          </w:tcPr>
          <w:p w:rsidR="007C5447" w:rsidRDefault="00F6308C">
            <w:pPr>
              <w:pStyle w:val="TableParagraph"/>
              <w:spacing w:before="106"/>
              <w:ind w:right="98"/>
              <w:rPr>
                <w:sz w:val="20"/>
              </w:rPr>
            </w:pPr>
            <w:r>
              <w:rPr>
                <w:sz w:val="20"/>
              </w:rPr>
              <w:t>81.92</w:t>
            </w:r>
          </w:p>
        </w:tc>
        <w:tc>
          <w:tcPr>
            <w:tcW w:w="990" w:type="dxa"/>
          </w:tcPr>
          <w:p w:rsidR="007C5447" w:rsidRDefault="00F6308C">
            <w:pPr>
              <w:pStyle w:val="TableParagraph"/>
              <w:spacing w:before="106"/>
              <w:ind w:right="99"/>
              <w:rPr>
                <w:sz w:val="20"/>
              </w:rPr>
            </w:pPr>
            <w:r>
              <w:rPr>
                <w:sz w:val="20"/>
              </w:rPr>
              <w:t>3.12</w:t>
            </w:r>
          </w:p>
        </w:tc>
        <w:tc>
          <w:tcPr>
            <w:tcW w:w="1131" w:type="dxa"/>
          </w:tcPr>
          <w:p w:rsidR="007C5447" w:rsidRDefault="00F6308C">
            <w:pPr>
              <w:pStyle w:val="TableParagraph"/>
              <w:spacing w:before="106"/>
              <w:ind w:right="103"/>
              <w:rPr>
                <w:sz w:val="20"/>
              </w:rPr>
            </w:pPr>
            <w:r>
              <w:rPr>
                <w:w w:val="99"/>
                <w:sz w:val="20"/>
              </w:rPr>
              <w:t>-</w:t>
            </w:r>
          </w:p>
        </w:tc>
        <w:tc>
          <w:tcPr>
            <w:tcW w:w="990" w:type="dxa"/>
          </w:tcPr>
          <w:p w:rsidR="007C5447" w:rsidRDefault="00F6308C">
            <w:pPr>
              <w:pStyle w:val="TableParagraph"/>
              <w:spacing w:before="106"/>
              <w:ind w:right="101"/>
              <w:rPr>
                <w:sz w:val="20"/>
              </w:rPr>
            </w:pPr>
            <w:r>
              <w:rPr>
                <w:w w:val="99"/>
                <w:sz w:val="20"/>
              </w:rPr>
              <w:t>-</w:t>
            </w:r>
          </w:p>
        </w:tc>
        <w:tc>
          <w:tcPr>
            <w:tcW w:w="1265" w:type="dxa"/>
          </w:tcPr>
          <w:p w:rsidR="007C5447" w:rsidRDefault="00F6308C">
            <w:pPr>
              <w:pStyle w:val="TableParagraph"/>
              <w:spacing w:before="106"/>
              <w:ind w:right="100"/>
              <w:rPr>
                <w:sz w:val="20"/>
              </w:rPr>
            </w:pPr>
            <w:r>
              <w:rPr>
                <w:sz w:val="20"/>
              </w:rPr>
              <w:t>81.92</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MTOA</w:t>
            </w:r>
          </w:p>
        </w:tc>
        <w:tc>
          <w:tcPr>
            <w:tcW w:w="1021" w:type="dxa"/>
          </w:tcPr>
          <w:p w:rsidR="007C5447" w:rsidRDefault="00F6308C">
            <w:pPr>
              <w:pStyle w:val="TableParagraph"/>
              <w:spacing w:before="36"/>
              <w:ind w:right="98"/>
              <w:rPr>
                <w:sz w:val="20"/>
              </w:rPr>
            </w:pPr>
            <w:r>
              <w:rPr>
                <w:w w:val="95"/>
                <w:sz w:val="20"/>
              </w:rPr>
              <w:t>2,371.14</w:t>
            </w:r>
          </w:p>
        </w:tc>
        <w:tc>
          <w:tcPr>
            <w:tcW w:w="1232" w:type="dxa"/>
          </w:tcPr>
          <w:p w:rsidR="007C5447" w:rsidRDefault="00F6308C">
            <w:pPr>
              <w:pStyle w:val="TableParagraph"/>
              <w:spacing w:before="36"/>
              <w:ind w:right="98"/>
              <w:rPr>
                <w:sz w:val="20"/>
              </w:rPr>
            </w:pPr>
            <w:r>
              <w:rPr>
                <w:w w:val="95"/>
                <w:sz w:val="20"/>
              </w:rPr>
              <w:t>355.82</w:t>
            </w:r>
          </w:p>
        </w:tc>
        <w:tc>
          <w:tcPr>
            <w:tcW w:w="990" w:type="dxa"/>
          </w:tcPr>
          <w:p w:rsidR="007C5447" w:rsidRDefault="00F6308C">
            <w:pPr>
              <w:pStyle w:val="TableParagraph"/>
              <w:spacing w:before="36"/>
              <w:ind w:right="98"/>
              <w:rPr>
                <w:sz w:val="20"/>
              </w:rPr>
            </w:pPr>
            <w:r>
              <w:rPr>
                <w:sz w:val="20"/>
              </w:rPr>
              <w:t>2.00</w:t>
            </w:r>
          </w:p>
        </w:tc>
        <w:tc>
          <w:tcPr>
            <w:tcW w:w="1131" w:type="dxa"/>
          </w:tcPr>
          <w:p w:rsidR="007C5447" w:rsidRDefault="00F6308C">
            <w:pPr>
              <w:pStyle w:val="TableParagraph"/>
              <w:spacing w:before="36"/>
              <w:ind w:right="102"/>
              <w:rPr>
                <w:sz w:val="20"/>
              </w:rPr>
            </w:pPr>
            <w:r>
              <w:rPr>
                <w:w w:val="95"/>
                <w:sz w:val="20"/>
              </w:rPr>
              <w:t>474.43</w:t>
            </w:r>
          </w:p>
        </w:tc>
        <w:tc>
          <w:tcPr>
            <w:tcW w:w="990" w:type="dxa"/>
          </w:tcPr>
          <w:p w:rsidR="007C5447" w:rsidRDefault="00F6308C">
            <w:pPr>
              <w:pStyle w:val="TableParagraph"/>
              <w:spacing w:before="36"/>
              <w:ind w:right="100"/>
              <w:rPr>
                <w:sz w:val="20"/>
              </w:rPr>
            </w:pPr>
            <w:r>
              <w:rPr>
                <w:sz w:val="20"/>
              </w:rPr>
              <w:t>3.50</w:t>
            </w:r>
          </w:p>
        </w:tc>
        <w:tc>
          <w:tcPr>
            <w:tcW w:w="1265" w:type="dxa"/>
          </w:tcPr>
          <w:p w:rsidR="007C5447" w:rsidRDefault="00F6308C">
            <w:pPr>
              <w:pStyle w:val="TableParagraph"/>
              <w:spacing w:before="36"/>
              <w:ind w:right="100"/>
              <w:rPr>
                <w:sz w:val="20"/>
              </w:rPr>
            </w:pPr>
            <w:r>
              <w:rPr>
                <w:w w:val="95"/>
                <w:sz w:val="20"/>
              </w:rPr>
              <w:t>830.25</w:t>
            </w:r>
          </w:p>
        </w:tc>
      </w:tr>
      <w:tr w:rsidR="007C5447">
        <w:trPr>
          <w:trHeight w:val="299"/>
        </w:trPr>
        <w:tc>
          <w:tcPr>
            <w:tcW w:w="406" w:type="dxa"/>
          </w:tcPr>
          <w:p w:rsidR="007C5447" w:rsidRDefault="007C5447">
            <w:pPr>
              <w:pStyle w:val="TableParagraph"/>
              <w:jc w:val="left"/>
              <w:rPr>
                <w:sz w:val="18"/>
              </w:rPr>
            </w:pPr>
          </w:p>
        </w:tc>
        <w:tc>
          <w:tcPr>
            <w:tcW w:w="2214" w:type="dxa"/>
          </w:tcPr>
          <w:p w:rsidR="007C5447" w:rsidRDefault="00F6308C">
            <w:pPr>
              <w:pStyle w:val="TableParagraph"/>
              <w:spacing w:before="47"/>
              <w:ind w:left="107"/>
              <w:jc w:val="left"/>
              <w:rPr>
                <w:sz w:val="18"/>
              </w:rPr>
            </w:pPr>
            <w:r>
              <w:rPr>
                <w:sz w:val="18"/>
              </w:rPr>
              <w:t>STOA</w:t>
            </w:r>
          </w:p>
        </w:tc>
        <w:tc>
          <w:tcPr>
            <w:tcW w:w="1021" w:type="dxa"/>
          </w:tcPr>
          <w:p w:rsidR="007C5447" w:rsidRDefault="00F6308C">
            <w:pPr>
              <w:pStyle w:val="TableParagraph"/>
              <w:spacing w:before="36"/>
              <w:ind w:right="99"/>
              <w:rPr>
                <w:sz w:val="20"/>
              </w:rPr>
            </w:pPr>
            <w:r>
              <w:rPr>
                <w:w w:val="99"/>
                <w:sz w:val="20"/>
              </w:rPr>
              <w:t>-</w:t>
            </w:r>
          </w:p>
        </w:tc>
        <w:tc>
          <w:tcPr>
            <w:tcW w:w="1232" w:type="dxa"/>
          </w:tcPr>
          <w:p w:rsidR="007C5447" w:rsidRDefault="00F6308C">
            <w:pPr>
              <w:pStyle w:val="TableParagraph"/>
              <w:spacing w:before="36"/>
              <w:ind w:right="99"/>
              <w:rPr>
                <w:sz w:val="20"/>
              </w:rPr>
            </w:pPr>
            <w:r>
              <w:rPr>
                <w:w w:val="99"/>
                <w:sz w:val="20"/>
              </w:rPr>
              <w:t>-</w:t>
            </w:r>
          </w:p>
        </w:tc>
        <w:tc>
          <w:tcPr>
            <w:tcW w:w="990" w:type="dxa"/>
          </w:tcPr>
          <w:p w:rsidR="007C5447" w:rsidRDefault="00F6308C">
            <w:pPr>
              <w:pStyle w:val="TableParagraph"/>
              <w:spacing w:before="36"/>
              <w:ind w:right="99"/>
              <w:rPr>
                <w:sz w:val="20"/>
              </w:rPr>
            </w:pPr>
            <w:r>
              <w:rPr>
                <w:sz w:val="20"/>
              </w:rPr>
              <w:t>3.85</w:t>
            </w:r>
          </w:p>
        </w:tc>
        <w:tc>
          <w:tcPr>
            <w:tcW w:w="1131" w:type="dxa"/>
          </w:tcPr>
          <w:p w:rsidR="007C5447" w:rsidRDefault="00F6308C">
            <w:pPr>
              <w:pStyle w:val="TableParagraph"/>
              <w:spacing w:before="36"/>
              <w:ind w:right="103"/>
              <w:rPr>
                <w:sz w:val="20"/>
              </w:rPr>
            </w:pPr>
            <w:r>
              <w:rPr>
                <w:w w:val="99"/>
                <w:sz w:val="20"/>
              </w:rPr>
              <w:t>-</w:t>
            </w:r>
          </w:p>
        </w:tc>
        <w:tc>
          <w:tcPr>
            <w:tcW w:w="990" w:type="dxa"/>
          </w:tcPr>
          <w:p w:rsidR="007C5447" w:rsidRDefault="00F6308C">
            <w:pPr>
              <w:pStyle w:val="TableParagraph"/>
              <w:spacing w:before="36"/>
              <w:ind w:right="101"/>
              <w:rPr>
                <w:sz w:val="20"/>
              </w:rPr>
            </w:pPr>
            <w:r>
              <w:rPr>
                <w:w w:val="99"/>
                <w:sz w:val="20"/>
              </w:rPr>
              <w:t>-</w:t>
            </w:r>
          </w:p>
        </w:tc>
        <w:tc>
          <w:tcPr>
            <w:tcW w:w="1265" w:type="dxa"/>
          </w:tcPr>
          <w:p w:rsidR="007C5447" w:rsidRDefault="00F6308C">
            <w:pPr>
              <w:pStyle w:val="TableParagraph"/>
              <w:spacing w:before="36"/>
              <w:ind w:right="102"/>
              <w:rPr>
                <w:sz w:val="20"/>
              </w:rPr>
            </w:pPr>
            <w:r>
              <w:rPr>
                <w:w w:val="99"/>
                <w:sz w:val="20"/>
              </w:rPr>
              <w:t>-</w:t>
            </w:r>
          </w:p>
        </w:tc>
      </w:tr>
      <w:tr w:rsidR="007C5447">
        <w:trPr>
          <w:trHeight w:val="330"/>
        </w:trPr>
        <w:tc>
          <w:tcPr>
            <w:tcW w:w="406" w:type="dxa"/>
            <w:shd w:val="clear" w:color="auto" w:fill="D0CECE"/>
          </w:tcPr>
          <w:p w:rsidR="007C5447" w:rsidRDefault="007C5447">
            <w:pPr>
              <w:pStyle w:val="TableParagraph"/>
              <w:jc w:val="left"/>
              <w:rPr>
                <w:sz w:val="18"/>
              </w:rPr>
            </w:pPr>
          </w:p>
        </w:tc>
        <w:tc>
          <w:tcPr>
            <w:tcW w:w="2214" w:type="dxa"/>
            <w:shd w:val="clear" w:color="auto" w:fill="D0CECE"/>
          </w:tcPr>
          <w:p w:rsidR="007C5447" w:rsidRDefault="00F6308C">
            <w:pPr>
              <w:pStyle w:val="TableParagraph"/>
              <w:spacing w:before="62"/>
              <w:ind w:left="107"/>
              <w:jc w:val="left"/>
              <w:rPr>
                <w:b/>
                <w:sz w:val="18"/>
              </w:rPr>
            </w:pPr>
            <w:r>
              <w:rPr>
                <w:b/>
                <w:sz w:val="18"/>
              </w:rPr>
              <w:t>Total</w:t>
            </w:r>
          </w:p>
        </w:tc>
        <w:tc>
          <w:tcPr>
            <w:tcW w:w="1021" w:type="dxa"/>
            <w:shd w:val="clear" w:color="auto" w:fill="D0CECE"/>
          </w:tcPr>
          <w:p w:rsidR="007C5447" w:rsidRDefault="00F6308C">
            <w:pPr>
              <w:pStyle w:val="TableParagraph"/>
              <w:spacing w:before="50"/>
              <w:ind w:right="98"/>
              <w:rPr>
                <w:b/>
                <w:sz w:val="20"/>
              </w:rPr>
            </w:pPr>
            <w:r>
              <w:rPr>
                <w:b/>
                <w:w w:val="95"/>
                <w:sz w:val="20"/>
              </w:rPr>
              <w:t>25,690.18</w:t>
            </w:r>
          </w:p>
        </w:tc>
        <w:tc>
          <w:tcPr>
            <w:tcW w:w="1232" w:type="dxa"/>
            <w:shd w:val="clear" w:color="auto" w:fill="D0CECE"/>
          </w:tcPr>
          <w:p w:rsidR="007C5447" w:rsidRDefault="00F6308C">
            <w:pPr>
              <w:pStyle w:val="TableParagraph"/>
              <w:spacing w:before="50"/>
              <w:ind w:right="98"/>
              <w:rPr>
                <w:b/>
                <w:sz w:val="20"/>
              </w:rPr>
            </w:pPr>
            <w:r>
              <w:rPr>
                <w:b/>
                <w:w w:val="95"/>
                <w:sz w:val="20"/>
              </w:rPr>
              <w:t>5,426.26</w:t>
            </w:r>
          </w:p>
        </w:tc>
        <w:tc>
          <w:tcPr>
            <w:tcW w:w="990" w:type="dxa"/>
            <w:shd w:val="clear" w:color="auto" w:fill="D0CECE"/>
          </w:tcPr>
          <w:p w:rsidR="007C5447" w:rsidRDefault="00F6308C">
            <w:pPr>
              <w:pStyle w:val="TableParagraph"/>
              <w:spacing w:before="50"/>
              <w:ind w:right="98"/>
              <w:rPr>
                <w:b/>
                <w:sz w:val="20"/>
              </w:rPr>
            </w:pPr>
            <w:r>
              <w:rPr>
                <w:b/>
                <w:sz w:val="20"/>
              </w:rPr>
              <w:t>1.93</w:t>
            </w:r>
          </w:p>
        </w:tc>
        <w:tc>
          <w:tcPr>
            <w:tcW w:w="1131" w:type="dxa"/>
            <w:shd w:val="clear" w:color="auto" w:fill="D0CECE"/>
          </w:tcPr>
          <w:p w:rsidR="007C5447" w:rsidRDefault="00F6308C">
            <w:pPr>
              <w:pStyle w:val="TableParagraph"/>
              <w:spacing w:before="50"/>
              <w:ind w:right="102"/>
              <w:rPr>
                <w:b/>
                <w:sz w:val="20"/>
              </w:rPr>
            </w:pPr>
            <w:r>
              <w:rPr>
                <w:b/>
                <w:w w:val="95"/>
                <w:sz w:val="20"/>
              </w:rPr>
              <w:t>4,946.84</w:t>
            </w:r>
          </w:p>
        </w:tc>
        <w:tc>
          <w:tcPr>
            <w:tcW w:w="990" w:type="dxa"/>
            <w:shd w:val="clear" w:color="auto" w:fill="D0CECE"/>
          </w:tcPr>
          <w:p w:rsidR="007C5447" w:rsidRDefault="00F6308C">
            <w:pPr>
              <w:pStyle w:val="TableParagraph"/>
              <w:spacing w:before="50"/>
              <w:ind w:right="99"/>
              <w:rPr>
                <w:b/>
                <w:sz w:val="20"/>
              </w:rPr>
            </w:pPr>
            <w:r>
              <w:rPr>
                <w:b/>
                <w:sz w:val="20"/>
              </w:rPr>
              <w:t>4.04</w:t>
            </w:r>
          </w:p>
        </w:tc>
        <w:tc>
          <w:tcPr>
            <w:tcW w:w="1265" w:type="dxa"/>
            <w:shd w:val="clear" w:color="auto" w:fill="D0CECE"/>
          </w:tcPr>
          <w:p w:rsidR="007C5447" w:rsidRDefault="00F6308C">
            <w:pPr>
              <w:pStyle w:val="TableParagraph"/>
              <w:spacing w:before="50"/>
              <w:ind w:right="101"/>
              <w:rPr>
                <w:b/>
                <w:sz w:val="20"/>
              </w:rPr>
            </w:pPr>
            <w:r>
              <w:rPr>
                <w:b/>
                <w:w w:val="95"/>
                <w:sz w:val="20"/>
              </w:rPr>
              <w:t>10,373.10</w:t>
            </w:r>
          </w:p>
        </w:tc>
      </w:tr>
      <w:tr w:rsidR="007C5447">
        <w:trPr>
          <w:trHeight w:val="299"/>
        </w:trPr>
        <w:tc>
          <w:tcPr>
            <w:tcW w:w="406" w:type="dxa"/>
          </w:tcPr>
          <w:p w:rsidR="007C5447" w:rsidRDefault="00F6308C">
            <w:pPr>
              <w:pStyle w:val="TableParagraph"/>
              <w:spacing w:before="47"/>
              <w:ind w:left="106"/>
              <w:jc w:val="center"/>
              <w:rPr>
                <w:sz w:val="18"/>
              </w:rPr>
            </w:pPr>
            <w:r>
              <w:rPr>
                <w:sz w:val="18"/>
              </w:rPr>
              <w:t>4</w:t>
            </w:r>
          </w:p>
        </w:tc>
        <w:tc>
          <w:tcPr>
            <w:tcW w:w="2214" w:type="dxa"/>
          </w:tcPr>
          <w:p w:rsidR="007C5447" w:rsidRDefault="00F6308C">
            <w:pPr>
              <w:pStyle w:val="TableParagraph"/>
              <w:spacing w:before="47"/>
              <w:ind w:left="107"/>
              <w:jc w:val="left"/>
              <w:rPr>
                <w:sz w:val="18"/>
              </w:rPr>
            </w:pPr>
            <w:r>
              <w:rPr>
                <w:sz w:val="18"/>
              </w:rPr>
              <w:t>TANTRANSCO Charges</w:t>
            </w:r>
          </w:p>
        </w:tc>
        <w:tc>
          <w:tcPr>
            <w:tcW w:w="1021" w:type="dxa"/>
          </w:tcPr>
          <w:p w:rsidR="007C5447" w:rsidRDefault="007C5447">
            <w:pPr>
              <w:pStyle w:val="TableParagraph"/>
              <w:jc w:val="left"/>
              <w:rPr>
                <w:sz w:val="18"/>
              </w:rPr>
            </w:pPr>
          </w:p>
        </w:tc>
        <w:tc>
          <w:tcPr>
            <w:tcW w:w="1232"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131"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265" w:type="dxa"/>
          </w:tcPr>
          <w:p w:rsidR="007C5447" w:rsidRDefault="00F6308C">
            <w:pPr>
              <w:pStyle w:val="TableParagraph"/>
              <w:spacing w:before="36"/>
              <w:ind w:right="100"/>
              <w:rPr>
                <w:sz w:val="20"/>
              </w:rPr>
            </w:pPr>
            <w:r>
              <w:rPr>
                <w:w w:val="95"/>
                <w:sz w:val="20"/>
              </w:rPr>
              <w:t>2,193.88</w:t>
            </w:r>
          </w:p>
        </w:tc>
      </w:tr>
      <w:tr w:rsidR="007C5447">
        <w:trPr>
          <w:trHeight w:val="299"/>
        </w:trPr>
        <w:tc>
          <w:tcPr>
            <w:tcW w:w="406" w:type="dxa"/>
          </w:tcPr>
          <w:p w:rsidR="007C5447" w:rsidRDefault="00F6308C">
            <w:pPr>
              <w:pStyle w:val="TableParagraph"/>
              <w:spacing w:before="47"/>
              <w:ind w:left="106"/>
              <w:jc w:val="center"/>
              <w:rPr>
                <w:sz w:val="18"/>
              </w:rPr>
            </w:pPr>
            <w:r>
              <w:rPr>
                <w:sz w:val="18"/>
              </w:rPr>
              <w:t>5</w:t>
            </w:r>
          </w:p>
        </w:tc>
        <w:tc>
          <w:tcPr>
            <w:tcW w:w="2214" w:type="dxa"/>
          </w:tcPr>
          <w:p w:rsidR="007C5447" w:rsidRDefault="00F6308C">
            <w:pPr>
              <w:pStyle w:val="TableParagraph"/>
              <w:spacing w:before="47"/>
              <w:ind w:left="107"/>
              <w:jc w:val="left"/>
              <w:rPr>
                <w:sz w:val="18"/>
              </w:rPr>
            </w:pPr>
            <w:r>
              <w:rPr>
                <w:sz w:val="18"/>
              </w:rPr>
              <w:t>PGCIL Charges</w:t>
            </w:r>
          </w:p>
        </w:tc>
        <w:tc>
          <w:tcPr>
            <w:tcW w:w="1021" w:type="dxa"/>
          </w:tcPr>
          <w:p w:rsidR="007C5447" w:rsidRDefault="007C5447">
            <w:pPr>
              <w:pStyle w:val="TableParagraph"/>
              <w:jc w:val="left"/>
              <w:rPr>
                <w:sz w:val="18"/>
              </w:rPr>
            </w:pPr>
          </w:p>
        </w:tc>
        <w:tc>
          <w:tcPr>
            <w:tcW w:w="1232"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131"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265" w:type="dxa"/>
          </w:tcPr>
          <w:p w:rsidR="007C5447" w:rsidRDefault="00F6308C">
            <w:pPr>
              <w:pStyle w:val="TableParagraph"/>
              <w:spacing w:before="36"/>
              <w:ind w:right="100"/>
              <w:rPr>
                <w:sz w:val="20"/>
              </w:rPr>
            </w:pPr>
            <w:r>
              <w:rPr>
                <w:w w:val="95"/>
                <w:sz w:val="20"/>
              </w:rPr>
              <w:t>900.00</w:t>
            </w:r>
          </w:p>
        </w:tc>
      </w:tr>
      <w:tr w:rsidR="007C5447">
        <w:trPr>
          <w:trHeight w:val="302"/>
        </w:trPr>
        <w:tc>
          <w:tcPr>
            <w:tcW w:w="406" w:type="dxa"/>
          </w:tcPr>
          <w:p w:rsidR="007C5447" w:rsidRDefault="00F6308C">
            <w:pPr>
              <w:pStyle w:val="TableParagraph"/>
              <w:spacing w:before="47"/>
              <w:ind w:left="106"/>
              <w:jc w:val="center"/>
              <w:rPr>
                <w:sz w:val="18"/>
              </w:rPr>
            </w:pPr>
            <w:r>
              <w:rPr>
                <w:sz w:val="18"/>
              </w:rPr>
              <w:t>6</w:t>
            </w:r>
          </w:p>
        </w:tc>
        <w:tc>
          <w:tcPr>
            <w:tcW w:w="2214" w:type="dxa"/>
          </w:tcPr>
          <w:p w:rsidR="007C5447" w:rsidRDefault="00F6308C">
            <w:pPr>
              <w:pStyle w:val="TableParagraph"/>
              <w:spacing w:before="47"/>
              <w:ind w:left="107"/>
              <w:jc w:val="left"/>
              <w:rPr>
                <w:sz w:val="18"/>
              </w:rPr>
            </w:pPr>
            <w:r>
              <w:rPr>
                <w:sz w:val="18"/>
              </w:rPr>
              <w:t>SLDC Charges</w:t>
            </w:r>
          </w:p>
        </w:tc>
        <w:tc>
          <w:tcPr>
            <w:tcW w:w="1021" w:type="dxa"/>
          </w:tcPr>
          <w:p w:rsidR="007C5447" w:rsidRDefault="007C5447">
            <w:pPr>
              <w:pStyle w:val="TableParagraph"/>
              <w:jc w:val="left"/>
              <w:rPr>
                <w:sz w:val="18"/>
              </w:rPr>
            </w:pPr>
          </w:p>
        </w:tc>
        <w:tc>
          <w:tcPr>
            <w:tcW w:w="1232"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131" w:type="dxa"/>
          </w:tcPr>
          <w:p w:rsidR="007C5447" w:rsidRDefault="007C5447">
            <w:pPr>
              <w:pStyle w:val="TableParagraph"/>
              <w:jc w:val="left"/>
              <w:rPr>
                <w:sz w:val="18"/>
              </w:rPr>
            </w:pPr>
          </w:p>
        </w:tc>
        <w:tc>
          <w:tcPr>
            <w:tcW w:w="990" w:type="dxa"/>
          </w:tcPr>
          <w:p w:rsidR="007C5447" w:rsidRDefault="007C5447">
            <w:pPr>
              <w:pStyle w:val="TableParagraph"/>
              <w:jc w:val="left"/>
              <w:rPr>
                <w:sz w:val="18"/>
              </w:rPr>
            </w:pPr>
          </w:p>
        </w:tc>
        <w:tc>
          <w:tcPr>
            <w:tcW w:w="1265" w:type="dxa"/>
          </w:tcPr>
          <w:p w:rsidR="007C5447" w:rsidRDefault="00F6308C">
            <w:pPr>
              <w:pStyle w:val="TableParagraph"/>
              <w:spacing w:before="36"/>
              <w:ind w:right="100"/>
              <w:rPr>
                <w:sz w:val="20"/>
              </w:rPr>
            </w:pPr>
            <w:r>
              <w:rPr>
                <w:sz w:val="20"/>
              </w:rPr>
              <w:t>24.28</w:t>
            </w:r>
          </w:p>
        </w:tc>
      </w:tr>
      <w:tr w:rsidR="007C5447">
        <w:trPr>
          <w:trHeight w:val="443"/>
        </w:trPr>
        <w:tc>
          <w:tcPr>
            <w:tcW w:w="406" w:type="dxa"/>
            <w:shd w:val="clear" w:color="auto" w:fill="D9D9D9"/>
          </w:tcPr>
          <w:p w:rsidR="007C5447" w:rsidRDefault="00F6308C">
            <w:pPr>
              <w:pStyle w:val="TableParagraph"/>
              <w:spacing w:before="117"/>
              <w:ind w:left="106"/>
              <w:jc w:val="center"/>
              <w:rPr>
                <w:b/>
                <w:sz w:val="18"/>
              </w:rPr>
            </w:pPr>
            <w:r>
              <w:rPr>
                <w:b/>
                <w:sz w:val="18"/>
              </w:rPr>
              <w:t>7</w:t>
            </w:r>
          </w:p>
        </w:tc>
        <w:tc>
          <w:tcPr>
            <w:tcW w:w="2214" w:type="dxa"/>
            <w:shd w:val="clear" w:color="auto" w:fill="D9D9D9"/>
          </w:tcPr>
          <w:p w:rsidR="007C5447" w:rsidRDefault="00F6308C">
            <w:pPr>
              <w:pStyle w:val="TableParagraph"/>
              <w:spacing w:before="17" w:line="206" w:lineRule="exact"/>
              <w:ind w:left="107" w:right="377"/>
              <w:jc w:val="left"/>
              <w:rPr>
                <w:b/>
                <w:sz w:val="18"/>
              </w:rPr>
            </w:pPr>
            <w:r>
              <w:rPr>
                <w:b/>
                <w:sz w:val="18"/>
              </w:rPr>
              <w:t>Total Power Purchase Cost</w:t>
            </w:r>
          </w:p>
        </w:tc>
        <w:tc>
          <w:tcPr>
            <w:tcW w:w="1021" w:type="dxa"/>
            <w:shd w:val="clear" w:color="auto" w:fill="D9D9D9"/>
          </w:tcPr>
          <w:p w:rsidR="007C5447" w:rsidRDefault="00F6308C">
            <w:pPr>
              <w:pStyle w:val="TableParagraph"/>
              <w:spacing w:before="106"/>
              <w:ind w:right="98"/>
              <w:rPr>
                <w:b/>
                <w:sz w:val="20"/>
              </w:rPr>
            </w:pPr>
            <w:r>
              <w:rPr>
                <w:b/>
                <w:w w:val="95"/>
                <w:sz w:val="20"/>
              </w:rPr>
              <w:t>97,903.15</w:t>
            </w:r>
          </w:p>
        </w:tc>
        <w:tc>
          <w:tcPr>
            <w:tcW w:w="1232" w:type="dxa"/>
            <w:shd w:val="clear" w:color="auto" w:fill="D9D9D9"/>
          </w:tcPr>
          <w:p w:rsidR="007C5447" w:rsidRDefault="00F6308C">
            <w:pPr>
              <w:pStyle w:val="TableParagraph"/>
              <w:spacing w:before="106"/>
              <w:ind w:right="99"/>
              <w:rPr>
                <w:b/>
                <w:sz w:val="20"/>
              </w:rPr>
            </w:pPr>
            <w:r>
              <w:rPr>
                <w:b/>
                <w:w w:val="95"/>
                <w:sz w:val="20"/>
              </w:rPr>
              <w:t>13,789.58</w:t>
            </w:r>
          </w:p>
        </w:tc>
        <w:tc>
          <w:tcPr>
            <w:tcW w:w="990" w:type="dxa"/>
            <w:shd w:val="clear" w:color="auto" w:fill="D9D9D9"/>
          </w:tcPr>
          <w:p w:rsidR="007C5447" w:rsidRDefault="00F6308C">
            <w:pPr>
              <w:pStyle w:val="TableParagraph"/>
              <w:spacing w:before="106"/>
              <w:ind w:right="97"/>
              <w:rPr>
                <w:b/>
                <w:sz w:val="20"/>
              </w:rPr>
            </w:pPr>
            <w:r>
              <w:rPr>
                <w:b/>
                <w:sz w:val="20"/>
              </w:rPr>
              <w:t>2.38</w:t>
            </w:r>
          </w:p>
        </w:tc>
        <w:tc>
          <w:tcPr>
            <w:tcW w:w="1131" w:type="dxa"/>
            <w:shd w:val="clear" w:color="auto" w:fill="D9D9D9"/>
          </w:tcPr>
          <w:p w:rsidR="007C5447" w:rsidRDefault="00F6308C">
            <w:pPr>
              <w:pStyle w:val="TableParagraph"/>
              <w:spacing w:before="106"/>
              <w:ind w:right="102"/>
              <w:rPr>
                <w:b/>
                <w:sz w:val="20"/>
              </w:rPr>
            </w:pPr>
            <w:r>
              <w:rPr>
                <w:b/>
                <w:w w:val="95"/>
                <w:sz w:val="20"/>
              </w:rPr>
              <w:t>23,271.78</w:t>
            </w:r>
          </w:p>
        </w:tc>
        <w:tc>
          <w:tcPr>
            <w:tcW w:w="990" w:type="dxa"/>
            <w:shd w:val="clear" w:color="auto" w:fill="D9D9D9"/>
          </w:tcPr>
          <w:p w:rsidR="007C5447" w:rsidRDefault="00F6308C">
            <w:pPr>
              <w:pStyle w:val="TableParagraph"/>
              <w:spacing w:before="106"/>
              <w:ind w:right="99"/>
              <w:rPr>
                <w:b/>
                <w:sz w:val="20"/>
              </w:rPr>
            </w:pPr>
            <w:r>
              <w:rPr>
                <w:b/>
                <w:sz w:val="20"/>
              </w:rPr>
              <w:t>4.10</w:t>
            </w:r>
          </w:p>
        </w:tc>
        <w:tc>
          <w:tcPr>
            <w:tcW w:w="1265" w:type="dxa"/>
            <w:shd w:val="clear" w:color="auto" w:fill="D9D9D9"/>
          </w:tcPr>
          <w:p w:rsidR="007C5447" w:rsidRDefault="00F6308C">
            <w:pPr>
              <w:pStyle w:val="TableParagraph"/>
              <w:spacing w:before="106"/>
              <w:ind w:right="100"/>
              <w:rPr>
                <w:b/>
                <w:sz w:val="20"/>
              </w:rPr>
            </w:pPr>
            <w:r>
              <w:rPr>
                <w:b/>
                <w:w w:val="95"/>
                <w:sz w:val="20"/>
              </w:rPr>
              <w:t>40,179.52</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5"/>
        <w:rPr>
          <w:b/>
          <w:sz w:val="22"/>
        </w:rPr>
      </w:pPr>
    </w:p>
    <w:p w:rsidR="007C5447" w:rsidRDefault="00F6308C">
      <w:pPr>
        <w:spacing w:before="92"/>
        <w:ind w:left="1354" w:right="1432"/>
        <w:jc w:val="center"/>
        <w:rPr>
          <w:b/>
        </w:rPr>
      </w:pPr>
      <w:r>
        <w:rPr>
          <w:b/>
        </w:rPr>
        <w:t>Table 4-52: Approved Power Purchase Expenses for FY 2018-19</w:t>
      </w:r>
    </w:p>
    <w:p w:rsidR="007C5447" w:rsidRDefault="007C5447">
      <w:pPr>
        <w:pStyle w:val="BodyText"/>
        <w:spacing w:before="11"/>
        <w:rPr>
          <w:b/>
          <w:sz w:val="16"/>
        </w:rPr>
      </w:pPr>
    </w:p>
    <w:tbl>
      <w:tblPr>
        <w:tblW w:w="0" w:type="auto"/>
        <w:tblInd w:w="7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269"/>
        <w:gridCol w:w="1277"/>
        <w:gridCol w:w="1133"/>
        <w:gridCol w:w="1135"/>
        <w:gridCol w:w="1133"/>
        <w:gridCol w:w="1136"/>
        <w:gridCol w:w="1075"/>
      </w:tblGrid>
      <w:tr w:rsidR="007C5447">
        <w:trPr>
          <w:trHeight w:val="649"/>
        </w:trPr>
        <w:tc>
          <w:tcPr>
            <w:tcW w:w="567" w:type="dxa"/>
            <w:shd w:val="clear" w:color="auto" w:fill="F7C9AC"/>
          </w:tcPr>
          <w:p w:rsidR="007C5447" w:rsidRDefault="00F6308C">
            <w:pPr>
              <w:pStyle w:val="TableParagraph"/>
              <w:spacing w:before="117"/>
              <w:ind w:left="107"/>
              <w:jc w:val="left"/>
              <w:rPr>
                <w:b/>
                <w:sz w:val="18"/>
              </w:rPr>
            </w:pPr>
            <w:r>
              <w:rPr>
                <w:b/>
                <w:sz w:val="18"/>
              </w:rPr>
              <w:t>Sl.</w:t>
            </w:r>
          </w:p>
          <w:p w:rsidR="007C5447" w:rsidRDefault="00F6308C">
            <w:pPr>
              <w:pStyle w:val="TableParagraph"/>
              <w:spacing w:before="2"/>
              <w:ind w:left="107"/>
              <w:jc w:val="left"/>
              <w:rPr>
                <w:b/>
                <w:sz w:val="18"/>
              </w:rPr>
            </w:pPr>
            <w:r>
              <w:rPr>
                <w:b/>
                <w:sz w:val="18"/>
              </w:rPr>
              <w:t>No.</w:t>
            </w:r>
          </w:p>
        </w:tc>
        <w:tc>
          <w:tcPr>
            <w:tcW w:w="2269" w:type="dxa"/>
            <w:shd w:val="clear" w:color="auto" w:fill="F7C9AC"/>
          </w:tcPr>
          <w:p w:rsidR="007C5447" w:rsidRDefault="007C5447">
            <w:pPr>
              <w:pStyle w:val="TableParagraph"/>
              <w:spacing w:before="4"/>
              <w:jc w:val="left"/>
              <w:rPr>
                <w:b/>
                <w:sz w:val="19"/>
              </w:rPr>
            </w:pPr>
          </w:p>
          <w:p w:rsidR="007C5447" w:rsidRDefault="00F6308C">
            <w:pPr>
              <w:pStyle w:val="TableParagraph"/>
              <w:ind w:left="107"/>
              <w:jc w:val="left"/>
              <w:rPr>
                <w:b/>
                <w:sz w:val="18"/>
              </w:rPr>
            </w:pPr>
            <w:r>
              <w:rPr>
                <w:b/>
                <w:sz w:val="18"/>
              </w:rPr>
              <w:t>Particulars</w:t>
            </w:r>
          </w:p>
        </w:tc>
        <w:tc>
          <w:tcPr>
            <w:tcW w:w="1277" w:type="dxa"/>
            <w:shd w:val="clear" w:color="auto" w:fill="F7C9AC"/>
          </w:tcPr>
          <w:p w:rsidR="007C5447" w:rsidRDefault="00F6308C">
            <w:pPr>
              <w:pStyle w:val="TableParagraph"/>
              <w:spacing w:before="117"/>
              <w:ind w:left="426" w:right="239" w:hanging="159"/>
              <w:jc w:val="left"/>
              <w:rPr>
                <w:b/>
                <w:sz w:val="18"/>
              </w:rPr>
            </w:pPr>
            <w:r>
              <w:rPr>
                <w:b/>
                <w:sz w:val="18"/>
              </w:rPr>
              <w:t>Quantum (MU)</w:t>
            </w:r>
          </w:p>
        </w:tc>
        <w:tc>
          <w:tcPr>
            <w:tcW w:w="1133" w:type="dxa"/>
            <w:shd w:val="clear" w:color="auto" w:fill="F7C9AC"/>
          </w:tcPr>
          <w:p w:rsidR="007C5447" w:rsidRDefault="00F6308C">
            <w:pPr>
              <w:pStyle w:val="TableParagraph"/>
              <w:spacing w:before="117"/>
              <w:ind w:left="210" w:right="126" w:hanging="58"/>
              <w:jc w:val="left"/>
              <w:rPr>
                <w:b/>
                <w:sz w:val="18"/>
              </w:rPr>
            </w:pPr>
            <w:r>
              <w:rPr>
                <w:b/>
                <w:sz w:val="18"/>
              </w:rPr>
              <w:t>Fixed Cost (Rs. Cr.)</w:t>
            </w:r>
          </w:p>
        </w:tc>
        <w:tc>
          <w:tcPr>
            <w:tcW w:w="1135" w:type="dxa"/>
            <w:shd w:val="clear" w:color="auto" w:fill="F7C9AC"/>
          </w:tcPr>
          <w:p w:rsidR="007C5447" w:rsidRDefault="00F6308C">
            <w:pPr>
              <w:pStyle w:val="TableParagraph"/>
              <w:spacing w:before="14"/>
              <w:ind w:left="280" w:firstLine="4"/>
              <w:jc w:val="left"/>
              <w:rPr>
                <w:b/>
                <w:sz w:val="18"/>
              </w:rPr>
            </w:pPr>
            <w:r>
              <w:rPr>
                <w:b/>
                <w:sz w:val="18"/>
              </w:rPr>
              <w:t>Energy</w:t>
            </w:r>
          </w:p>
          <w:p w:rsidR="007C5447" w:rsidRDefault="00F6308C">
            <w:pPr>
              <w:pStyle w:val="TableParagraph"/>
              <w:spacing w:before="5" w:line="206" w:lineRule="exact"/>
              <w:ind w:left="167" w:firstLine="112"/>
              <w:jc w:val="left"/>
              <w:rPr>
                <w:b/>
                <w:sz w:val="18"/>
              </w:rPr>
            </w:pPr>
            <w:r>
              <w:rPr>
                <w:b/>
                <w:sz w:val="18"/>
              </w:rPr>
              <w:t>Charge (Rs./kWh)</w:t>
            </w:r>
          </w:p>
        </w:tc>
        <w:tc>
          <w:tcPr>
            <w:tcW w:w="1133" w:type="dxa"/>
            <w:shd w:val="clear" w:color="auto" w:fill="F7C9AC"/>
          </w:tcPr>
          <w:p w:rsidR="007C5447" w:rsidRDefault="00F6308C">
            <w:pPr>
              <w:pStyle w:val="TableParagraph"/>
              <w:spacing w:before="14"/>
              <w:ind w:left="277" w:firstLine="4"/>
              <w:jc w:val="left"/>
              <w:rPr>
                <w:b/>
                <w:sz w:val="18"/>
              </w:rPr>
            </w:pPr>
            <w:r>
              <w:rPr>
                <w:b/>
                <w:sz w:val="18"/>
              </w:rPr>
              <w:t>Energy</w:t>
            </w:r>
          </w:p>
          <w:p w:rsidR="007C5447" w:rsidRDefault="00F6308C">
            <w:pPr>
              <w:pStyle w:val="TableParagraph"/>
              <w:spacing w:before="5" w:line="206" w:lineRule="exact"/>
              <w:ind w:left="229" w:right="141" w:firstLine="48"/>
              <w:jc w:val="left"/>
              <w:rPr>
                <w:b/>
                <w:sz w:val="18"/>
              </w:rPr>
            </w:pPr>
            <w:r>
              <w:rPr>
                <w:b/>
                <w:sz w:val="18"/>
              </w:rPr>
              <w:t>Charge (Rs.</w:t>
            </w:r>
            <w:r>
              <w:rPr>
                <w:b/>
                <w:spacing w:val="2"/>
                <w:sz w:val="18"/>
              </w:rPr>
              <w:t xml:space="preserve"> </w:t>
            </w:r>
            <w:r>
              <w:rPr>
                <w:b/>
                <w:spacing w:val="-5"/>
                <w:sz w:val="18"/>
              </w:rPr>
              <w:t>Cr.)</w:t>
            </w:r>
          </w:p>
        </w:tc>
        <w:tc>
          <w:tcPr>
            <w:tcW w:w="1136" w:type="dxa"/>
            <w:shd w:val="clear" w:color="auto" w:fill="F7C9AC"/>
          </w:tcPr>
          <w:p w:rsidR="007C5447" w:rsidRDefault="00F6308C">
            <w:pPr>
              <w:pStyle w:val="TableParagraph"/>
              <w:spacing w:before="117"/>
              <w:ind w:left="167" w:right="137" w:hanging="3"/>
              <w:jc w:val="left"/>
              <w:rPr>
                <w:b/>
                <w:sz w:val="18"/>
              </w:rPr>
            </w:pPr>
            <w:r>
              <w:rPr>
                <w:b/>
                <w:sz w:val="18"/>
              </w:rPr>
              <w:t>Total Cost (Rs./kWh)</w:t>
            </w:r>
          </w:p>
        </w:tc>
        <w:tc>
          <w:tcPr>
            <w:tcW w:w="1075" w:type="dxa"/>
            <w:shd w:val="clear" w:color="auto" w:fill="F7C9AC"/>
          </w:tcPr>
          <w:p w:rsidR="007C5447" w:rsidRDefault="00F6308C">
            <w:pPr>
              <w:pStyle w:val="TableParagraph"/>
              <w:spacing w:before="117"/>
              <w:ind w:left="202" w:right="108" w:hanging="70"/>
              <w:jc w:val="left"/>
              <w:rPr>
                <w:b/>
                <w:sz w:val="18"/>
              </w:rPr>
            </w:pPr>
            <w:r>
              <w:rPr>
                <w:b/>
                <w:sz w:val="18"/>
              </w:rPr>
              <w:t>Total Cost (Rs. Cr.)</w:t>
            </w:r>
          </w:p>
        </w:tc>
      </w:tr>
      <w:tr w:rsidR="007C5447">
        <w:trPr>
          <w:trHeight w:val="330"/>
        </w:trPr>
        <w:tc>
          <w:tcPr>
            <w:tcW w:w="567" w:type="dxa"/>
          </w:tcPr>
          <w:p w:rsidR="007C5447" w:rsidRDefault="00F6308C">
            <w:pPr>
              <w:pStyle w:val="TableParagraph"/>
              <w:spacing w:before="62"/>
              <w:ind w:left="197" w:right="185"/>
              <w:jc w:val="center"/>
              <w:rPr>
                <w:sz w:val="18"/>
              </w:rPr>
            </w:pPr>
            <w:r>
              <w:rPr>
                <w:sz w:val="18"/>
              </w:rPr>
              <w:t>1.</w:t>
            </w:r>
          </w:p>
        </w:tc>
        <w:tc>
          <w:tcPr>
            <w:tcW w:w="2269" w:type="dxa"/>
          </w:tcPr>
          <w:p w:rsidR="007C5447" w:rsidRDefault="00F6308C">
            <w:pPr>
              <w:pStyle w:val="TableParagraph"/>
              <w:spacing w:before="62"/>
              <w:ind w:left="107"/>
              <w:jc w:val="left"/>
              <w:rPr>
                <w:b/>
                <w:sz w:val="18"/>
              </w:rPr>
            </w:pPr>
            <w:r>
              <w:rPr>
                <w:b/>
                <w:sz w:val="18"/>
              </w:rPr>
              <w:t>Own Generating Stations</w:t>
            </w:r>
          </w:p>
        </w:tc>
        <w:tc>
          <w:tcPr>
            <w:tcW w:w="1277"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1135"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1136" w:type="dxa"/>
          </w:tcPr>
          <w:p w:rsidR="007C5447" w:rsidRDefault="007C5447">
            <w:pPr>
              <w:pStyle w:val="TableParagraph"/>
              <w:jc w:val="left"/>
              <w:rPr>
                <w:sz w:val="18"/>
              </w:rPr>
            </w:pPr>
          </w:p>
        </w:tc>
        <w:tc>
          <w:tcPr>
            <w:tcW w:w="1075" w:type="dxa"/>
          </w:tcPr>
          <w:p w:rsidR="007C5447" w:rsidRDefault="007C5447">
            <w:pPr>
              <w:pStyle w:val="TableParagraph"/>
              <w:jc w:val="left"/>
              <w:rPr>
                <w:sz w:val="18"/>
              </w:rPr>
            </w:pP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Ennore TPS</w:t>
            </w:r>
          </w:p>
        </w:tc>
        <w:tc>
          <w:tcPr>
            <w:tcW w:w="1277" w:type="dxa"/>
          </w:tcPr>
          <w:p w:rsidR="007C5447" w:rsidRDefault="00F6308C">
            <w:pPr>
              <w:pStyle w:val="TableParagraph"/>
              <w:spacing w:before="36"/>
              <w:ind w:right="95"/>
              <w:rPr>
                <w:sz w:val="20"/>
              </w:rPr>
            </w:pPr>
            <w:r>
              <w:rPr>
                <w:w w:val="99"/>
                <w:sz w:val="20"/>
              </w:rPr>
              <w:t>-</w:t>
            </w:r>
          </w:p>
        </w:tc>
        <w:tc>
          <w:tcPr>
            <w:tcW w:w="1133" w:type="dxa"/>
          </w:tcPr>
          <w:p w:rsidR="007C5447" w:rsidRDefault="00F6308C">
            <w:pPr>
              <w:pStyle w:val="TableParagraph"/>
              <w:spacing w:before="36"/>
              <w:ind w:right="95"/>
              <w:rPr>
                <w:sz w:val="20"/>
              </w:rPr>
            </w:pPr>
            <w:r>
              <w:rPr>
                <w:w w:val="99"/>
                <w:sz w:val="20"/>
              </w:rPr>
              <w:t>-</w:t>
            </w:r>
          </w:p>
        </w:tc>
        <w:tc>
          <w:tcPr>
            <w:tcW w:w="1135" w:type="dxa"/>
          </w:tcPr>
          <w:p w:rsidR="007C5447" w:rsidRDefault="00F6308C">
            <w:pPr>
              <w:pStyle w:val="TableParagraph"/>
              <w:spacing w:before="36"/>
              <w:ind w:right="97"/>
              <w:rPr>
                <w:sz w:val="20"/>
              </w:rPr>
            </w:pPr>
            <w:r>
              <w:rPr>
                <w:w w:val="99"/>
                <w:sz w:val="20"/>
              </w:rPr>
              <w:t>-</w:t>
            </w:r>
          </w:p>
        </w:tc>
        <w:tc>
          <w:tcPr>
            <w:tcW w:w="1133" w:type="dxa"/>
          </w:tcPr>
          <w:p w:rsidR="007C5447" w:rsidRDefault="00F6308C">
            <w:pPr>
              <w:pStyle w:val="TableParagraph"/>
              <w:spacing w:before="36"/>
              <w:ind w:right="97"/>
              <w:rPr>
                <w:sz w:val="20"/>
              </w:rPr>
            </w:pPr>
            <w:r>
              <w:rPr>
                <w:w w:val="99"/>
                <w:sz w:val="20"/>
              </w:rPr>
              <w:t>-</w:t>
            </w:r>
          </w:p>
        </w:tc>
        <w:tc>
          <w:tcPr>
            <w:tcW w:w="1136" w:type="dxa"/>
          </w:tcPr>
          <w:p w:rsidR="007C5447" w:rsidRDefault="00F6308C">
            <w:pPr>
              <w:pStyle w:val="TableParagraph"/>
              <w:spacing w:before="36"/>
              <w:ind w:right="97"/>
              <w:rPr>
                <w:sz w:val="20"/>
              </w:rPr>
            </w:pPr>
            <w:r>
              <w:rPr>
                <w:w w:val="99"/>
                <w:sz w:val="20"/>
              </w:rPr>
              <w:t>-</w:t>
            </w:r>
          </w:p>
        </w:tc>
        <w:tc>
          <w:tcPr>
            <w:tcW w:w="1075" w:type="dxa"/>
          </w:tcPr>
          <w:p w:rsidR="007C5447" w:rsidRDefault="00F6308C">
            <w:pPr>
              <w:pStyle w:val="TableParagraph"/>
              <w:spacing w:before="36"/>
              <w:ind w:right="95"/>
              <w:rPr>
                <w:sz w:val="20"/>
              </w:rPr>
            </w:pPr>
            <w:r>
              <w:rPr>
                <w:w w:val="99"/>
                <w:sz w:val="20"/>
              </w:rPr>
              <w:t>-</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Tuticorin TPS</w:t>
            </w:r>
          </w:p>
        </w:tc>
        <w:tc>
          <w:tcPr>
            <w:tcW w:w="1277" w:type="dxa"/>
          </w:tcPr>
          <w:p w:rsidR="007C5447" w:rsidRDefault="00F6308C">
            <w:pPr>
              <w:pStyle w:val="TableParagraph"/>
              <w:spacing w:before="36"/>
              <w:ind w:right="99"/>
              <w:rPr>
                <w:sz w:val="20"/>
              </w:rPr>
            </w:pPr>
            <w:r>
              <w:rPr>
                <w:w w:val="95"/>
                <w:sz w:val="20"/>
              </w:rPr>
              <w:t>5,811.71</w:t>
            </w:r>
          </w:p>
        </w:tc>
        <w:tc>
          <w:tcPr>
            <w:tcW w:w="1133" w:type="dxa"/>
          </w:tcPr>
          <w:p w:rsidR="007C5447" w:rsidRDefault="00F6308C">
            <w:pPr>
              <w:pStyle w:val="TableParagraph"/>
              <w:spacing w:before="36"/>
              <w:ind w:right="97"/>
              <w:rPr>
                <w:sz w:val="20"/>
              </w:rPr>
            </w:pPr>
            <w:r>
              <w:rPr>
                <w:sz w:val="20"/>
              </w:rPr>
              <w:t>854.87</w:t>
            </w:r>
          </w:p>
        </w:tc>
        <w:tc>
          <w:tcPr>
            <w:tcW w:w="1135" w:type="dxa"/>
          </w:tcPr>
          <w:p w:rsidR="007C5447" w:rsidRDefault="00F6308C">
            <w:pPr>
              <w:pStyle w:val="TableParagraph"/>
              <w:spacing w:before="36"/>
              <w:ind w:right="100"/>
              <w:rPr>
                <w:sz w:val="20"/>
              </w:rPr>
            </w:pPr>
            <w:r>
              <w:rPr>
                <w:sz w:val="20"/>
              </w:rPr>
              <w:t>3.11</w:t>
            </w:r>
          </w:p>
        </w:tc>
        <w:tc>
          <w:tcPr>
            <w:tcW w:w="1133" w:type="dxa"/>
          </w:tcPr>
          <w:p w:rsidR="007C5447" w:rsidRDefault="00F6308C">
            <w:pPr>
              <w:pStyle w:val="TableParagraph"/>
              <w:spacing w:before="36"/>
              <w:ind w:right="99"/>
              <w:rPr>
                <w:sz w:val="20"/>
              </w:rPr>
            </w:pPr>
            <w:r>
              <w:rPr>
                <w:w w:val="95"/>
                <w:sz w:val="20"/>
              </w:rPr>
              <w:t>1,807.11</w:t>
            </w:r>
          </w:p>
        </w:tc>
        <w:tc>
          <w:tcPr>
            <w:tcW w:w="1136" w:type="dxa"/>
          </w:tcPr>
          <w:p w:rsidR="007C5447" w:rsidRDefault="00F6308C">
            <w:pPr>
              <w:pStyle w:val="TableParagraph"/>
              <w:spacing w:before="36"/>
              <w:ind w:right="100"/>
              <w:rPr>
                <w:sz w:val="20"/>
              </w:rPr>
            </w:pPr>
            <w:r>
              <w:rPr>
                <w:sz w:val="20"/>
              </w:rPr>
              <w:t>4.58</w:t>
            </w:r>
          </w:p>
        </w:tc>
        <w:tc>
          <w:tcPr>
            <w:tcW w:w="1075" w:type="dxa"/>
          </w:tcPr>
          <w:p w:rsidR="007C5447" w:rsidRDefault="00F6308C">
            <w:pPr>
              <w:pStyle w:val="TableParagraph"/>
              <w:spacing w:before="36"/>
              <w:ind w:right="96"/>
              <w:rPr>
                <w:sz w:val="20"/>
              </w:rPr>
            </w:pPr>
            <w:r>
              <w:rPr>
                <w:w w:val="95"/>
                <w:sz w:val="20"/>
              </w:rPr>
              <w:t>2,661.98</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Mettur TPS</w:t>
            </w:r>
          </w:p>
        </w:tc>
        <w:tc>
          <w:tcPr>
            <w:tcW w:w="1277" w:type="dxa"/>
          </w:tcPr>
          <w:p w:rsidR="007C5447" w:rsidRDefault="00F6308C">
            <w:pPr>
              <w:pStyle w:val="TableParagraph"/>
              <w:spacing w:before="36"/>
              <w:ind w:right="97"/>
              <w:rPr>
                <w:sz w:val="20"/>
              </w:rPr>
            </w:pPr>
            <w:r>
              <w:rPr>
                <w:w w:val="95"/>
                <w:sz w:val="20"/>
              </w:rPr>
              <w:t>5,386.35</w:t>
            </w:r>
          </w:p>
        </w:tc>
        <w:tc>
          <w:tcPr>
            <w:tcW w:w="1133" w:type="dxa"/>
          </w:tcPr>
          <w:p w:rsidR="007C5447" w:rsidRDefault="00F6308C">
            <w:pPr>
              <w:pStyle w:val="TableParagraph"/>
              <w:spacing w:before="36"/>
              <w:ind w:right="97"/>
              <w:rPr>
                <w:sz w:val="20"/>
              </w:rPr>
            </w:pPr>
            <w:r>
              <w:rPr>
                <w:sz w:val="20"/>
              </w:rPr>
              <w:t>604.33</w:t>
            </w:r>
          </w:p>
        </w:tc>
        <w:tc>
          <w:tcPr>
            <w:tcW w:w="1135" w:type="dxa"/>
          </w:tcPr>
          <w:p w:rsidR="007C5447" w:rsidRDefault="00F6308C">
            <w:pPr>
              <w:pStyle w:val="TableParagraph"/>
              <w:spacing w:before="36"/>
              <w:ind w:right="100"/>
              <w:rPr>
                <w:sz w:val="20"/>
              </w:rPr>
            </w:pPr>
            <w:r>
              <w:rPr>
                <w:sz w:val="20"/>
              </w:rPr>
              <w:t>2.97</w:t>
            </w:r>
          </w:p>
        </w:tc>
        <w:tc>
          <w:tcPr>
            <w:tcW w:w="1133" w:type="dxa"/>
          </w:tcPr>
          <w:p w:rsidR="007C5447" w:rsidRDefault="00F6308C">
            <w:pPr>
              <w:pStyle w:val="TableParagraph"/>
              <w:spacing w:before="36"/>
              <w:ind w:right="99"/>
              <w:rPr>
                <w:sz w:val="20"/>
              </w:rPr>
            </w:pPr>
            <w:r>
              <w:rPr>
                <w:w w:val="95"/>
                <w:sz w:val="20"/>
              </w:rPr>
              <w:t>1,597.95</w:t>
            </w:r>
          </w:p>
        </w:tc>
        <w:tc>
          <w:tcPr>
            <w:tcW w:w="1136" w:type="dxa"/>
          </w:tcPr>
          <w:p w:rsidR="007C5447" w:rsidRDefault="00F6308C">
            <w:pPr>
              <w:pStyle w:val="TableParagraph"/>
              <w:spacing w:before="36"/>
              <w:ind w:right="101"/>
              <w:rPr>
                <w:sz w:val="20"/>
              </w:rPr>
            </w:pPr>
            <w:r>
              <w:rPr>
                <w:sz w:val="20"/>
              </w:rPr>
              <w:t>4.09</w:t>
            </w:r>
          </w:p>
        </w:tc>
        <w:tc>
          <w:tcPr>
            <w:tcW w:w="1075" w:type="dxa"/>
          </w:tcPr>
          <w:p w:rsidR="007C5447" w:rsidRDefault="00F6308C">
            <w:pPr>
              <w:pStyle w:val="TableParagraph"/>
              <w:spacing w:before="36"/>
              <w:ind w:right="95"/>
              <w:rPr>
                <w:sz w:val="20"/>
              </w:rPr>
            </w:pPr>
            <w:r>
              <w:rPr>
                <w:sz w:val="20"/>
              </w:rPr>
              <w:t>2,202.28</w:t>
            </w:r>
          </w:p>
        </w:tc>
      </w:tr>
      <w:tr w:rsidR="007C5447">
        <w:trPr>
          <w:trHeight w:val="301"/>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MTPS Stage III</w:t>
            </w:r>
          </w:p>
        </w:tc>
        <w:tc>
          <w:tcPr>
            <w:tcW w:w="1277" w:type="dxa"/>
          </w:tcPr>
          <w:p w:rsidR="007C5447" w:rsidRDefault="00F6308C">
            <w:pPr>
              <w:pStyle w:val="TableParagraph"/>
              <w:spacing w:before="36"/>
              <w:ind w:right="97"/>
              <w:rPr>
                <w:sz w:val="20"/>
              </w:rPr>
            </w:pPr>
            <w:r>
              <w:rPr>
                <w:w w:val="95"/>
                <w:sz w:val="20"/>
              </w:rPr>
              <w:t>4,039.76</w:t>
            </w:r>
          </w:p>
        </w:tc>
        <w:tc>
          <w:tcPr>
            <w:tcW w:w="1133" w:type="dxa"/>
          </w:tcPr>
          <w:p w:rsidR="007C5447" w:rsidRDefault="00F6308C">
            <w:pPr>
              <w:pStyle w:val="TableParagraph"/>
              <w:spacing w:before="36"/>
              <w:ind w:right="97"/>
              <w:rPr>
                <w:sz w:val="20"/>
              </w:rPr>
            </w:pPr>
            <w:r>
              <w:rPr>
                <w:sz w:val="20"/>
              </w:rPr>
              <w:t>788.98</w:t>
            </w:r>
          </w:p>
        </w:tc>
        <w:tc>
          <w:tcPr>
            <w:tcW w:w="1135" w:type="dxa"/>
          </w:tcPr>
          <w:p w:rsidR="007C5447" w:rsidRDefault="00F6308C">
            <w:pPr>
              <w:pStyle w:val="TableParagraph"/>
              <w:spacing w:before="36"/>
              <w:ind w:right="100"/>
              <w:rPr>
                <w:sz w:val="20"/>
              </w:rPr>
            </w:pPr>
            <w:r>
              <w:rPr>
                <w:sz w:val="20"/>
              </w:rPr>
              <w:t>2.30</w:t>
            </w:r>
          </w:p>
        </w:tc>
        <w:tc>
          <w:tcPr>
            <w:tcW w:w="1133" w:type="dxa"/>
          </w:tcPr>
          <w:p w:rsidR="007C5447" w:rsidRDefault="00F6308C">
            <w:pPr>
              <w:pStyle w:val="TableParagraph"/>
              <w:spacing w:before="36"/>
              <w:ind w:right="101"/>
              <w:rPr>
                <w:sz w:val="20"/>
              </w:rPr>
            </w:pPr>
            <w:r>
              <w:rPr>
                <w:w w:val="95"/>
                <w:sz w:val="20"/>
              </w:rPr>
              <w:t>927.45</w:t>
            </w:r>
          </w:p>
        </w:tc>
        <w:tc>
          <w:tcPr>
            <w:tcW w:w="1136" w:type="dxa"/>
          </w:tcPr>
          <w:p w:rsidR="007C5447" w:rsidRDefault="00F6308C">
            <w:pPr>
              <w:pStyle w:val="TableParagraph"/>
              <w:spacing w:before="36"/>
              <w:ind w:right="101"/>
              <w:rPr>
                <w:sz w:val="20"/>
              </w:rPr>
            </w:pPr>
            <w:r>
              <w:rPr>
                <w:sz w:val="20"/>
              </w:rPr>
              <w:t>4.25</w:t>
            </w:r>
          </w:p>
        </w:tc>
        <w:tc>
          <w:tcPr>
            <w:tcW w:w="1075" w:type="dxa"/>
          </w:tcPr>
          <w:p w:rsidR="007C5447" w:rsidRDefault="00F6308C">
            <w:pPr>
              <w:pStyle w:val="TableParagraph"/>
              <w:spacing w:before="36"/>
              <w:ind w:right="94"/>
              <w:rPr>
                <w:sz w:val="20"/>
              </w:rPr>
            </w:pPr>
            <w:r>
              <w:rPr>
                <w:sz w:val="20"/>
              </w:rPr>
              <w:t>1,716.42</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5"/>
              <w:ind w:left="107"/>
              <w:jc w:val="left"/>
              <w:rPr>
                <w:sz w:val="18"/>
              </w:rPr>
            </w:pPr>
            <w:r>
              <w:rPr>
                <w:sz w:val="18"/>
              </w:rPr>
              <w:t>North Chennai TPS</w:t>
            </w:r>
          </w:p>
        </w:tc>
        <w:tc>
          <w:tcPr>
            <w:tcW w:w="1277" w:type="dxa"/>
          </w:tcPr>
          <w:p w:rsidR="007C5447" w:rsidRDefault="00F6308C">
            <w:pPr>
              <w:pStyle w:val="TableParagraph"/>
              <w:spacing w:before="34"/>
              <w:ind w:right="97"/>
              <w:rPr>
                <w:sz w:val="20"/>
              </w:rPr>
            </w:pPr>
            <w:r>
              <w:rPr>
                <w:w w:val="95"/>
                <w:sz w:val="20"/>
              </w:rPr>
              <w:t>7,694.78</w:t>
            </w:r>
          </w:p>
        </w:tc>
        <w:tc>
          <w:tcPr>
            <w:tcW w:w="1133" w:type="dxa"/>
          </w:tcPr>
          <w:p w:rsidR="007C5447" w:rsidRDefault="00F6308C">
            <w:pPr>
              <w:pStyle w:val="TableParagraph"/>
              <w:spacing w:before="34"/>
              <w:ind w:right="97"/>
              <w:rPr>
                <w:sz w:val="20"/>
              </w:rPr>
            </w:pPr>
            <w:r>
              <w:rPr>
                <w:sz w:val="20"/>
              </w:rPr>
              <w:t>447.46</w:t>
            </w:r>
          </w:p>
        </w:tc>
        <w:tc>
          <w:tcPr>
            <w:tcW w:w="1135" w:type="dxa"/>
          </w:tcPr>
          <w:p w:rsidR="007C5447" w:rsidRDefault="00F6308C">
            <w:pPr>
              <w:pStyle w:val="TableParagraph"/>
              <w:spacing w:before="34"/>
              <w:ind w:right="100"/>
              <w:rPr>
                <w:sz w:val="20"/>
              </w:rPr>
            </w:pPr>
            <w:r>
              <w:rPr>
                <w:sz w:val="20"/>
              </w:rPr>
              <w:t>2.18</w:t>
            </w:r>
          </w:p>
        </w:tc>
        <w:tc>
          <w:tcPr>
            <w:tcW w:w="1133" w:type="dxa"/>
          </w:tcPr>
          <w:p w:rsidR="007C5447" w:rsidRDefault="00F6308C">
            <w:pPr>
              <w:pStyle w:val="TableParagraph"/>
              <w:spacing w:before="34"/>
              <w:ind w:right="99"/>
              <w:rPr>
                <w:sz w:val="20"/>
              </w:rPr>
            </w:pPr>
            <w:r>
              <w:rPr>
                <w:w w:val="95"/>
                <w:sz w:val="20"/>
              </w:rPr>
              <w:t>1,680.35</w:t>
            </w:r>
          </w:p>
        </w:tc>
        <w:tc>
          <w:tcPr>
            <w:tcW w:w="1136" w:type="dxa"/>
          </w:tcPr>
          <w:p w:rsidR="007C5447" w:rsidRDefault="00F6308C">
            <w:pPr>
              <w:pStyle w:val="TableParagraph"/>
              <w:spacing w:before="34"/>
              <w:ind w:right="101"/>
              <w:rPr>
                <w:sz w:val="20"/>
              </w:rPr>
            </w:pPr>
            <w:r>
              <w:rPr>
                <w:sz w:val="20"/>
              </w:rPr>
              <w:t>2.77</w:t>
            </w:r>
          </w:p>
        </w:tc>
        <w:tc>
          <w:tcPr>
            <w:tcW w:w="1075" w:type="dxa"/>
          </w:tcPr>
          <w:p w:rsidR="007C5447" w:rsidRDefault="00F6308C">
            <w:pPr>
              <w:pStyle w:val="TableParagraph"/>
              <w:spacing w:before="34"/>
              <w:ind w:right="94"/>
              <w:rPr>
                <w:sz w:val="20"/>
              </w:rPr>
            </w:pPr>
            <w:r>
              <w:rPr>
                <w:sz w:val="20"/>
              </w:rPr>
              <w:t>2,127.81</w:t>
            </w:r>
          </w:p>
        </w:tc>
      </w:tr>
      <w:tr w:rsidR="007C5447">
        <w:trPr>
          <w:trHeight w:val="300"/>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6"/>
              <w:ind w:left="107"/>
              <w:jc w:val="left"/>
              <w:rPr>
                <w:sz w:val="18"/>
              </w:rPr>
            </w:pPr>
            <w:r>
              <w:rPr>
                <w:sz w:val="18"/>
              </w:rPr>
              <w:t>NCTPS Stage-II</w:t>
            </w:r>
          </w:p>
        </w:tc>
        <w:tc>
          <w:tcPr>
            <w:tcW w:w="1277" w:type="dxa"/>
          </w:tcPr>
          <w:p w:rsidR="007C5447" w:rsidRDefault="00F6308C">
            <w:pPr>
              <w:pStyle w:val="TableParagraph"/>
              <w:spacing w:before="34"/>
              <w:ind w:right="97"/>
              <w:rPr>
                <w:sz w:val="20"/>
              </w:rPr>
            </w:pPr>
            <w:r>
              <w:rPr>
                <w:w w:val="95"/>
                <w:sz w:val="20"/>
              </w:rPr>
              <w:t>3,847.39</w:t>
            </w:r>
          </w:p>
        </w:tc>
        <w:tc>
          <w:tcPr>
            <w:tcW w:w="1133" w:type="dxa"/>
          </w:tcPr>
          <w:p w:rsidR="007C5447" w:rsidRDefault="00F6308C">
            <w:pPr>
              <w:pStyle w:val="TableParagraph"/>
              <w:spacing w:before="34"/>
              <w:ind w:right="97"/>
              <w:rPr>
                <w:sz w:val="20"/>
              </w:rPr>
            </w:pPr>
            <w:r>
              <w:rPr>
                <w:sz w:val="20"/>
              </w:rPr>
              <w:t>854.07</w:t>
            </w:r>
          </w:p>
        </w:tc>
        <w:tc>
          <w:tcPr>
            <w:tcW w:w="1135" w:type="dxa"/>
          </w:tcPr>
          <w:p w:rsidR="007C5447" w:rsidRDefault="00F6308C">
            <w:pPr>
              <w:pStyle w:val="TableParagraph"/>
              <w:spacing w:before="34"/>
              <w:ind w:right="100"/>
              <w:rPr>
                <w:sz w:val="20"/>
              </w:rPr>
            </w:pPr>
            <w:r>
              <w:rPr>
                <w:sz w:val="20"/>
              </w:rPr>
              <w:t>3.06</w:t>
            </w:r>
          </w:p>
        </w:tc>
        <w:tc>
          <w:tcPr>
            <w:tcW w:w="1133" w:type="dxa"/>
          </w:tcPr>
          <w:p w:rsidR="007C5447" w:rsidRDefault="00F6308C">
            <w:pPr>
              <w:pStyle w:val="TableParagraph"/>
              <w:spacing w:before="34"/>
              <w:ind w:right="99"/>
              <w:rPr>
                <w:sz w:val="20"/>
              </w:rPr>
            </w:pPr>
            <w:r>
              <w:rPr>
                <w:w w:val="95"/>
                <w:sz w:val="20"/>
              </w:rPr>
              <w:t>1,178.62</w:t>
            </w:r>
          </w:p>
        </w:tc>
        <w:tc>
          <w:tcPr>
            <w:tcW w:w="1136" w:type="dxa"/>
          </w:tcPr>
          <w:p w:rsidR="007C5447" w:rsidRDefault="00F6308C">
            <w:pPr>
              <w:pStyle w:val="TableParagraph"/>
              <w:spacing w:before="34"/>
              <w:ind w:right="101"/>
              <w:rPr>
                <w:sz w:val="20"/>
              </w:rPr>
            </w:pPr>
            <w:r>
              <w:rPr>
                <w:sz w:val="20"/>
              </w:rPr>
              <w:t>5.28</w:t>
            </w:r>
          </w:p>
        </w:tc>
        <w:tc>
          <w:tcPr>
            <w:tcW w:w="1075" w:type="dxa"/>
          </w:tcPr>
          <w:p w:rsidR="007C5447" w:rsidRDefault="00F6308C">
            <w:pPr>
              <w:pStyle w:val="TableParagraph"/>
              <w:spacing w:before="34"/>
              <w:ind w:right="94"/>
              <w:rPr>
                <w:sz w:val="20"/>
              </w:rPr>
            </w:pPr>
            <w:r>
              <w:rPr>
                <w:sz w:val="20"/>
              </w:rPr>
              <w:t>2,032.69</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Ennore Expansion</w:t>
            </w:r>
          </w:p>
        </w:tc>
        <w:tc>
          <w:tcPr>
            <w:tcW w:w="1277" w:type="dxa"/>
          </w:tcPr>
          <w:p w:rsidR="007C5447" w:rsidRDefault="00F6308C">
            <w:pPr>
              <w:pStyle w:val="TableParagraph"/>
              <w:spacing w:before="36"/>
              <w:ind w:right="97"/>
              <w:rPr>
                <w:sz w:val="20"/>
              </w:rPr>
            </w:pPr>
            <w:r>
              <w:rPr>
                <w:w w:val="95"/>
                <w:sz w:val="20"/>
              </w:rPr>
              <w:t>1,735.17</w:t>
            </w:r>
          </w:p>
        </w:tc>
        <w:tc>
          <w:tcPr>
            <w:tcW w:w="1133" w:type="dxa"/>
          </w:tcPr>
          <w:p w:rsidR="007C5447" w:rsidRDefault="00F6308C">
            <w:pPr>
              <w:pStyle w:val="TableParagraph"/>
              <w:spacing w:before="36"/>
              <w:ind w:right="99"/>
              <w:rPr>
                <w:sz w:val="20"/>
              </w:rPr>
            </w:pPr>
            <w:r>
              <w:rPr>
                <w:w w:val="95"/>
                <w:sz w:val="20"/>
              </w:rPr>
              <w:t>284.28</w:t>
            </w:r>
          </w:p>
        </w:tc>
        <w:tc>
          <w:tcPr>
            <w:tcW w:w="1135" w:type="dxa"/>
          </w:tcPr>
          <w:p w:rsidR="007C5447" w:rsidRDefault="00F6308C">
            <w:pPr>
              <w:pStyle w:val="TableParagraph"/>
              <w:spacing w:before="36"/>
              <w:ind w:right="100"/>
              <w:rPr>
                <w:sz w:val="20"/>
              </w:rPr>
            </w:pPr>
            <w:r>
              <w:rPr>
                <w:sz w:val="20"/>
              </w:rPr>
              <w:t>2.64</w:t>
            </w:r>
          </w:p>
        </w:tc>
        <w:tc>
          <w:tcPr>
            <w:tcW w:w="1133" w:type="dxa"/>
          </w:tcPr>
          <w:p w:rsidR="007C5447" w:rsidRDefault="00F6308C">
            <w:pPr>
              <w:pStyle w:val="TableParagraph"/>
              <w:spacing w:before="36"/>
              <w:ind w:right="101"/>
              <w:rPr>
                <w:sz w:val="20"/>
              </w:rPr>
            </w:pPr>
            <w:r>
              <w:rPr>
                <w:w w:val="95"/>
                <w:sz w:val="20"/>
              </w:rPr>
              <w:t>458.62</w:t>
            </w:r>
          </w:p>
        </w:tc>
        <w:tc>
          <w:tcPr>
            <w:tcW w:w="1136" w:type="dxa"/>
          </w:tcPr>
          <w:p w:rsidR="007C5447" w:rsidRDefault="00F6308C">
            <w:pPr>
              <w:pStyle w:val="TableParagraph"/>
              <w:spacing w:before="36"/>
              <w:ind w:right="101"/>
              <w:rPr>
                <w:sz w:val="20"/>
              </w:rPr>
            </w:pPr>
            <w:r>
              <w:rPr>
                <w:sz w:val="20"/>
              </w:rPr>
              <w:t>4.28</w:t>
            </w:r>
          </w:p>
        </w:tc>
        <w:tc>
          <w:tcPr>
            <w:tcW w:w="1075" w:type="dxa"/>
          </w:tcPr>
          <w:p w:rsidR="007C5447" w:rsidRDefault="00F6308C">
            <w:pPr>
              <w:pStyle w:val="TableParagraph"/>
              <w:spacing w:before="36"/>
              <w:ind w:right="98"/>
              <w:rPr>
                <w:sz w:val="20"/>
              </w:rPr>
            </w:pPr>
            <w:r>
              <w:rPr>
                <w:w w:val="95"/>
                <w:sz w:val="20"/>
              </w:rPr>
              <w:t>742.89</w:t>
            </w:r>
          </w:p>
        </w:tc>
      </w:tr>
      <w:tr w:rsidR="007C5447">
        <w:trPr>
          <w:trHeight w:val="285"/>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0"/>
              <w:ind w:left="107"/>
              <w:jc w:val="left"/>
              <w:rPr>
                <w:sz w:val="18"/>
              </w:rPr>
            </w:pPr>
            <w:r>
              <w:rPr>
                <w:sz w:val="18"/>
              </w:rPr>
              <w:t>TGTPS</w:t>
            </w:r>
          </w:p>
        </w:tc>
        <w:tc>
          <w:tcPr>
            <w:tcW w:w="1277" w:type="dxa"/>
          </w:tcPr>
          <w:p w:rsidR="007C5447" w:rsidRDefault="00F6308C">
            <w:pPr>
              <w:pStyle w:val="TableParagraph"/>
              <w:spacing w:before="29"/>
              <w:ind w:right="99"/>
              <w:rPr>
                <w:sz w:val="20"/>
              </w:rPr>
            </w:pPr>
            <w:r>
              <w:rPr>
                <w:w w:val="95"/>
                <w:sz w:val="20"/>
              </w:rPr>
              <w:t>710.66</w:t>
            </w:r>
          </w:p>
        </w:tc>
        <w:tc>
          <w:tcPr>
            <w:tcW w:w="1133" w:type="dxa"/>
          </w:tcPr>
          <w:p w:rsidR="007C5447" w:rsidRDefault="00F6308C">
            <w:pPr>
              <w:pStyle w:val="TableParagraph"/>
              <w:spacing w:before="29"/>
              <w:ind w:right="99"/>
              <w:rPr>
                <w:sz w:val="20"/>
              </w:rPr>
            </w:pPr>
            <w:r>
              <w:rPr>
                <w:w w:val="95"/>
                <w:sz w:val="20"/>
              </w:rPr>
              <w:t>137.44</w:t>
            </w:r>
          </w:p>
        </w:tc>
        <w:tc>
          <w:tcPr>
            <w:tcW w:w="1135" w:type="dxa"/>
          </w:tcPr>
          <w:p w:rsidR="007C5447" w:rsidRDefault="00F6308C">
            <w:pPr>
              <w:pStyle w:val="TableParagraph"/>
              <w:spacing w:before="29"/>
              <w:ind w:right="100"/>
              <w:rPr>
                <w:sz w:val="20"/>
              </w:rPr>
            </w:pPr>
            <w:r>
              <w:rPr>
                <w:sz w:val="20"/>
              </w:rPr>
              <w:t>2.45</w:t>
            </w:r>
          </w:p>
        </w:tc>
        <w:tc>
          <w:tcPr>
            <w:tcW w:w="1133" w:type="dxa"/>
          </w:tcPr>
          <w:p w:rsidR="007C5447" w:rsidRDefault="00F6308C">
            <w:pPr>
              <w:pStyle w:val="TableParagraph"/>
              <w:spacing w:before="29"/>
              <w:ind w:right="101"/>
              <w:rPr>
                <w:sz w:val="20"/>
              </w:rPr>
            </w:pPr>
            <w:r>
              <w:rPr>
                <w:w w:val="95"/>
                <w:sz w:val="20"/>
              </w:rPr>
              <w:t>173.90</w:t>
            </w:r>
          </w:p>
        </w:tc>
        <w:tc>
          <w:tcPr>
            <w:tcW w:w="1136" w:type="dxa"/>
          </w:tcPr>
          <w:p w:rsidR="007C5447" w:rsidRDefault="00F6308C">
            <w:pPr>
              <w:pStyle w:val="TableParagraph"/>
              <w:spacing w:before="29"/>
              <w:ind w:right="101"/>
              <w:rPr>
                <w:sz w:val="20"/>
              </w:rPr>
            </w:pPr>
            <w:r>
              <w:rPr>
                <w:sz w:val="20"/>
              </w:rPr>
              <w:t>4.38</w:t>
            </w:r>
          </w:p>
        </w:tc>
        <w:tc>
          <w:tcPr>
            <w:tcW w:w="1075" w:type="dxa"/>
          </w:tcPr>
          <w:p w:rsidR="007C5447" w:rsidRDefault="00F6308C">
            <w:pPr>
              <w:pStyle w:val="TableParagraph"/>
              <w:spacing w:before="29"/>
              <w:ind w:right="99"/>
              <w:rPr>
                <w:sz w:val="20"/>
              </w:rPr>
            </w:pPr>
            <w:r>
              <w:rPr>
                <w:w w:val="95"/>
                <w:sz w:val="20"/>
              </w:rPr>
              <w:t>311.34</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KGTPS</w:t>
            </w:r>
          </w:p>
        </w:tc>
        <w:tc>
          <w:tcPr>
            <w:tcW w:w="1277" w:type="dxa"/>
          </w:tcPr>
          <w:p w:rsidR="007C5447" w:rsidRDefault="00F6308C">
            <w:pPr>
              <w:pStyle w:val="TableParagraph"/>
              <w:spacing w:before="36"/>
              <w:ind w:right="99"/>
              <w:rPr>
                <w:sz w:val="20"/>
              </w:rPr>
            </w:pPr>
            <w:r>
              <w:rPr>
                <w:w w:val="95"/>
                <w:sz w:val="20"/>
              </w:rPr>
              <w:t>665.34</w:t>
            </w:r>
          </w:p>
        </w:tc>
        <w:tc>
          <w:tcPr>
            <w:tcW w:w="1133" w:type="dxa"/>
          </w:tcPr>
          <w:p w:rsidR="007C5447" w:rsidRDefault="00F6308C">
            <w:pPr>
              <w:pStyle w:val="TableParagraph"/>
              <w:spacing w:before="36"/>
              <w:ind w:right="99"/>
              <w:rPr>
                <w:sz w:val="20"/>
              </w:rPr>
            </w:pPr>
            <w:r>
              <w:rPr>
                <w:w w:val="95"/>
                <w:sz w:val="20"/>
              </w:rPr>
              <w:t>102.70</w:t>
            </w:r>
          </w:p>
        </w:tc>
        <w:tc>
          <w:tcPr>
            <w:tcW w:w="1135" w:type="dxa"/>
          </w:tcPr>
          <w:p w:rsidR="007C5447" w:rsidRDefault="00F6308C">
            <w:pPr>
              <w:pStyle w:val="TableParagraph"/>
              <w:spacing w:before="36"/>
              <w:ind w:right="100"/>
              <w:rPr>
                <w:sz w:val="20"/>
              </w:rPr>
            </w:pPr>
            <w:r>
              <w:rPr>
                <w:sz w:val="20"/>
              </w:rPr>
              <w:t>2.48</w:t>
            </w:r>
          </w:p>
        </w:tc>
        <w:tc>
          <w:tcPr>
            <w:tcW w:w="1133" w:type="dxa"/>
          </w:tcPr>
          <w:p w:rsidR="007C5447" w:rsidRDefault="00F6308C">
            <w:pPr>
              <w:pStyle w:val="TableParagraph"/>
              <w:spacing w:before="36"/>
              <w:ind w:right="101"/>
              <w:rPr>
                <w:sz w:val="20"/>
              </w:rPr>
            </w:pPr>
            <w:r>
              <w:rPr>
                <w:w w:val="95"/>
                <w:sz w:val="20"/>
              </w:rPr>
              <w:t>165.17</w:t>
            </w:r>
          </w:p>
        </w:tc>
        <w:tc>
          <w:tcPr>
            <w:tcW w:w="1136" w:type="dxa"/>
          </w:tcPr>
          <w:p w:rsidR="007C5447" w:rsidRDefault="00F6308C">
            <w:pPr>
              <w:pStyle w:val="TableParagraph"/>
              <w:spacing w:before="36"/>
              <w:ind w:right="101"/>
              <w:rPr>
                <w:sz w:val="20"/>
              </w:rPr>
            </w:pPr>
            <w:r>
              <w:rPr>
                <w:sz w:val="20"/>
              </w:rPr>
              <w:t>4.03</w:t>
            </w:r>
          </w:p>
        </w:tc>
        <w:tc>
          <w:tcPr>
            <w:tcW w:w="1075" w:type="dxa"/>
          </w:tcPr>
          <w:p w:rsidR="007C5447" w:rsidRDefault="00F6308C">
            <w:pPr>
              <w:pStyle w:val="TableParagraph"/>
              <w:spacing w:before="36"/>
              <w:ind w:right="99"/>
              <w:rPr>
                <w:sz w:val="20"/>
              </w:rPr>
            </w:pPr>
            <w:r>
              <w:rPr>
                <w:w w:val="95"/>
                <w:sz w:val="20"/>
              </w:rPr>
              <w:t>267.87</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BBGTPS</w:t>
            </w:r>
          </w:p>
        </w:tc>
        <w:tc>
          <w:tcPr>
            <w:tcW w:w="1277" w:type="dxa"/>
          </w:tcPr>
          <w:p w:rsidR="007C5447" w:rsidRDefault="00F6308C">
            <w:pPr>
              <w:pStyle w:val="TableParagraph"/>
              <w:spacing w:before="36"/>
              <w:ind w:right="95"/>
              <w:rPr>
                <w:sz w:val="20"/>
              </w:rPr>
            </w:pPr>
            <w:r>
              <w:rPr>
                <w:w w:val="99"/>
                <w:sz w:val="20"/>
              </w:rPr>
              <w:t>-</w:t>
            </w:r>
          </w:p>
        </w:tc>
        <w:tc>
          <w:tcPr>
            <w:tcW w:w="1133" w:type="dxa"/>
          </w:tcPr>
          <w:p w:rsidR="007C5447" w:rsidRDefault="00F6308C">
            <w:pPr>
              <w:pStyle w:val="TableParagraph"/>
              <w:spacing w:before="36"/>
              <w:ind w:right="99"/>
              <w:rPr>
                <w:sz w:val="20"/>
              </w:rPr>
            </w:pPr>
            <w:r>
              <w:rPr>
                <w:w w:val="95"/>
                <w:sz w:val="20"/>
              </w:rPr>
              <w:t>191.11</w:t>
            </w:r>
          </w:p>
        </w:tc>
        <w:tc>
          <w:tcPr>
            <w:tcW w:w="1135" w:type="dxa"/>
          </w:tcPr>
          <w:p w:rsidR="007C5447" w:rsidRDefault="00F6308C">
            <w:pPr>
              <w:pStyle w:val="TableParagraph"/>
              <w:spacing w:before="36"/>
              <w:ind w:right="100"/>
              <w:rPr>
                <w:sz w:val="20"/>
              </w:rPr>
            </w:pPr>
            <w:r>
              <w:rPr>
                <w:w w:val="95"/>
                <w:sz w:val="20"/>
              </w:rPr>
              <w:t>10.76</w:t>
            </w:r>
          </w:p>
        </w:tc>
        <w:tc>
          <w:tcPr>
            <w:tcW w:w="1133" w:type="dxa"/>
          </w:tcPr>
          <w:p w:rsidR="007C5447" w:rsidRDefault="00F6308C">
            <w:pPr>
              <w:pStyle w:val="TableParagraph"/>
              <w:spacing w:before="36"/>
              <w:ind w:right="97"/>
              <w:rPr>
                <w:sz w:val="20"/>
              </w:rPr>
            </w:pPr>
            <w:r>
              <w:rPr>
                <w:w w:val="99"/>
                <w:sz w:val="20"/>
              </w:rPr>
              <w:t>-</w:t>
            </w:r>
          </w:p>
        </w:tc>
        <w:tc>
          <w:tcPr>
            <w:tcW w:w="1136" w:type="dxa"/>
          </w:tcPr>
          <w:p w:rsidR="007C5447" w:rsidRDefault="00F6308C">
            <w:pPr>
              <w:pStyle w:val="TableParagraph"/>
              <w:spacing w:before="36"/>
              <w:ind w:right="97"/>
              <w:rPr>
                <w:sz w:val="20"/>
              </w:rPr>
            </w:pPr>
            <w:r>
              <w:rPr>
                <w:w w:val="99"/>
                <w:sz w:val="20"/>
              </w:rPr>
              <w:t>-</w:t>
            </w:r>
          </w:p>
        </w:tc>
        <w:tc>
          <w:tcPr>
            <w:tcW w:w="1075" w:type="dxa"/>
          </w:tcPr>
          <w:p w:rsidR="007C5447" w:rsidRDefault="00F6308C">
            <w:pPr>
              <w:pStyle w:val="TableParagraph"/>
              <w:spacing w:before="36"/>
              <w:ind w:right="98"/>
              <w:rPr>
                <w:sz w:val="20"/>
              </w:rPr>
            </w:pPr>
            <w:r>
              <w:rPr>
                <w:w w:val="95"/>
                <w:sz w:val="20"/>
              </w:rPr>
              <w:t>191.11</w:t>
            </w:r>
          </w:p>
        </w:tc>
      </w:tr>
      <w:tr w:rsidR="007C5447">
        <w:trPr>
          <w:trHeight w:val="301"/>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VGTPS (Unit 1 and 2)</w:t>
            </w:r>
          </w:p>
        </w:tc>
        <w:tc>
          <w:tcPr>
            <w:tcW w:w="1277" w:type="dxa"/>
          </w:tcPr>
          <w:p w:rsidR="007C5447" w:rsidRDefault="00F6308C">
            <w:pPr>
              <w:pStyle w:val="TableParagraph"/>
              <w:spacing w:before="36"/>
              <w:ind w:right="97"/>
              <w:rPr>
                <w:sz w:val="20"/>
              </w:rPr>
            </w:pPr>
            <w:r>
              <w:rPr>
                <w:w w:val="95"/>
                <w:sz w:val="20"/>
              </w:rPr>
              <w:t>1,231.87</w:t>
            </w:r>
          </w:p>
        </w:tc>
        <w:tc>
          <w:tcPr>
            <w:tcW w:w="1133" w:type="dxa"/>
          </w:tcPr>
          <w:p w:rsidR="007C5447" w:rsidRDefault="00F6308C">
            <w:pPr>
              <w:pStyle w:val="TableParagraph"/>
              <w:spacing w:before="36"/>
              <w:ind w:right="99"/>
              <w:rPr>
                <w:sz w:val="20"/>
              </w:rPr>
            </w:pPr>
            <w:r>
              <w:rPr>
                <w:w w:val="95"/>
                <w:sz w:val="20"/>
              </w:rPr>
              <w:t>209.57</w:t>
            </w:r>
          </w:p>
        </w:tc>
        <w:tc>
          <w:tcPr>
            <w:tcW w:w="1135" w:type="dxa"/>
          </w:tcPr>
          <w:p w:rsidR="007C5447" w:rsidRDefault="00F6308C">
            <w:pPr>
              <w:pStyle w:val="TableParagraph"/>
              <w:spacing w:before="36"/>
              <w:ind w:right="100"/>
              <w:rPr>
                <w:sz w:val="20"/>
              </w:rPr>
            </w:pPr>
            <w:r>
              <w:rPr>
                <w:sz w:val="20"/>
              </w:rPr>
              <w:t>2.34</w:t>
            </w:r>
          </w:p>
        </w:tc>
        <w:tc>
          <w:tcPr>
            <w:tcW w:w="1133" w:type="dxa"/>
          </w:tcPr>
          <w:p w:rsidR="007C5447" w:rsidRDefault="00F6308C">
            <w:pPr>
              <w:pStyle w:val="TableParagraph"/>
              <w:spacing w:before="36"/>
              <w:ind w:right="101"/>
              <w:rPr>
                <w:sz w:val="20"/>
              </w:rPr>
            </w:pPr>
            <w:r>
              <w:rPr>
                <w:w w:val="95"/>
                <w:sz w:val="20"/>
              </w:rPr>
              <w:t>288.33</w:t>
            </w:r>
          </w:p>
        </w:tc>
        <w:tc>
          <w:tcPr>
            <w:tcW w:w="1136" w:type="dxa"/>
          </w:tcPr>
          <w:p w:rsidR="007C5447" w:rsidRDefault="00F6308C">
            <w:pPr>
              <w:pStyle w:val="TableParagraph"/>
              <w:spacing w:before="36"/>
              <w:ind w:right="99"/>
              <w:rPr>
                <w:sz w:val="20"/>
              </w:rPr>
            </w:pPr>
            <w:r>
              <w:rPr>
                <w:sz w:val="20"/>
              </w:rPr>
              <w:t>4.04</w:t>
            </w:r>
          </w:p>
        </w:tc>
        <w:tc>
          <w:tcPr>
            <w:tcW w:w="1075" w:type="dxa"/>
          </w:tcPr>
          <w:p w:rsidR="007C5447" w:rsidRDefault="00F6308C">
            <w:pPr>
              <w:pStyle w:val="TableParagraph"/>
              <w:spacing w:before="36"/>
              <w:ind w:right="98"/>
              <w:rPr>
                <w:sz w:val="20"/>
              </w:rPr>
            </w:pPr>
            <w:r>
              <w:rPr>
                <w:w w:val="95"/>
                <w:sz w:val="20"/>
              </w:rPr>
              <w:t>497.90</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5"/>
              <w:ind w:left="107"/>
              <w:jc w:val="left"/>
              <w:rPr>
                <w:sz w:val="18"/>
              </w:rPr>
            </w:pPr>
            <w:r>
              <w:rPr>
                <w:sz w:val="18"/>
              </w:rPr>
              <w:t>Erode HEP</w:t>
            </w:r>
          </w:p>
        </w:tc>
        <w:tc>
          <w:tcPr>
            <w:tcW w:w="1277" w:type="dxa"/>
          </w:tcPr>
          <w:p w:rsidR="007C5447" w:rsidRDefault="00F6308C">
            <w:pPr>
              <w:pStyle w:val="TableParagraph"/>
              <w:spacing w:before="34"/>
              <w:ind w:right="97"/>
              <w:rPr>
                <w:sz w:val="20"/>
              </w:rPr>
            </w:pPr>
            <w:r>
              <w:rPr>
                <w:w w:val="95"/>
                <w:sz w:val="20"/>
              </w:rPr>
              <w:t>1,324.43</w:t>
            </w:r>
          </w:p>
        </w:tc>
        <w:tc>
          <w:tcPr>
            <w:tcW w:w="1133" w:type="dxa"/>
          </w:tcPr>
          <w:p w:rsidR="007C5447" w:rsidRDefault="00F6308C">
            <w:pPr>
              <w:pStyle w:val="TableParagraph"/>
              <w:spacing w:before="34"/>
              <w:ind w:right="99"/>
              <w:rPr>
                <w:sz w:val="20"/>
              </w:rPr>
            </w:pPr>
            <w:r>
              <w:rPr>
                <w:w w:val="95"/>
                <w:sz w:val="20"/>
              </w:rPr>
              <w:t>227.44</w:t>
            </w:r>
          </w:p>
        </w:tc>
        <w:tc>
          <w:tcPr>
            <w:tcW w:w="1135" w:type="dxa"/>
          </w:tcPr>
          <w:p w:rsidR="007C5447" w:rsidRDefault="00F6308C">
            <w:pPr>
              <w:pStyle w:val="TableParagraph"/>
              <w:spacing w:before="34"/>
              <w:ind w:right="97"/>
              <w:rPr>
                <w:sz w:val="20"/>
              </w:rPr>
            </w:pPr>
            <w:r>
              <w:rPr>
                <w:w w:val="99"/>
                <w:sz w:val="20"/>
              </w:rPr>
              <w:t>-</w:t>
            </w:r>
          </w:p>
        </w:tc>
        <w:tc>
          <w:tcPr>
            <w:tcW w:w="1133" w:type="dxa"/>
          </w:tcPr>
          <w:p w:rsidR="007C5447" w:rsidRDefault="00F6308C">
            <w:pPr>
              <w:pStyle w:val="TableParagraph"/>
              <w:spacing w:before="34"/>
              <w:ind w:right="97"/>
              <w:rPr>
                <w:sz w:val="20"/>
              </w:rPr>
            </w:pPr>
            <w:r>
              <w:rPr>
                <w:w w:val="99"/>
                <w:sz w:val="20"/>
              </w:rPr>
              <w:t>-</w:t>
            </w:r>
          </w:p>
        </w:tc>
        <w:tc>
          <w:tcPr>
            <w:tcW w:w="1136" w:type="dxa"/>
          </w:tcPr>
          <w:p w:rsidR="007C5447" w:rsidRDefault="00F6308C">
            <w:pPr>
              <w:pStyle w:val="TableParagraph"/>
              <w:spacing w:before="34"/>
              <w:ind w:right="101"/>
              <w:rPr>
                <w:sz w:val="20"/>
              </w:rPr>
            </w:pPr>
            <w:r>
              <w:rPr>
                <w:sz w:val="20"/>
              </w:rPr>
              <w:t>1.72</w:t>
            </w:r>
          </w:p>
        </w:tc>
        <w:tc>
          <w:tcPr>
            <w:tcW w:w="1075" w:type="dxa"/>
          </w:tcPr>
          <w:p w:rsidR="007C5447" w:rsidRDefault="00F6308C">
            <w:pPr>
              <w:pStyle w:val="TableParagraph"/>
              <w:spacing w:before="34"/>
              <w:ind w:right="98"/>
              <w:rPr>
                <w:sz w:val="20"/>
              </w:rPr>
            </w:pPr>
            <w:r>
              <w:rPr>
                <w:w w:val="95"/>
                <w:sz w:val="20"/>
              </w:rPr>
              <w:t>227.44</w:t>
            </w:r>
          </w:p>
        </w:tc>
      </w:tr>
    </w:tbl>
    <w:p w:rsidR="007C5447" w:rsidRDefault="007C5447">
      <w:pPr>
        <w:rPr>
          <w:sz w:val="20"/>
        </w:rPr>
        <w:sectPr w:rsidR="007C5447">
          <w:pgSz w:w="11910" w:h="16840"/>
          <w:pgMar w:top="1420" w:right="260" w:bottom="960" w:left="340" w:header="0" w:footer="777" w:gutter="0"/>
          <w:cols w:space="720"/>
        </w:sectPr>
      </w:pPr>
    </w:p>
    <w:tbl>
      <w:tblPr>
        <w:tblW w:w="0" w:type="auto"/>
        <w:tblInd w:w="7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269"/>
        <w:gridCol w:w="1277"/>
        <w:gridCol w:w="1133"/>
        <w:gridCol w:w="1135"/>
        <w:gridCol w:w="1133"/>
        <w:gridCol w:w="1136"/>
        <w:gridCol w:w="1075"/>
      </w:tblGrid>
      <w:tr w:rsidR="007C5447">
        <w:trPr>
          <w:trHeight w:val="650"/>
        </w:trPr>
        <w:tc>
          <w:tcPr>
            <w:tcW w:w="567" w:type="dxa"/>
            <w:shd w:val="clear" w:color="auto" w:fill="F7C9AC"/>
          </w:tcPr>
          <w:p w:rsidR="007C5447" w:rsidRDefault="00F6308C">
            <w:pPr>
              <w:pStyle w:val="TableParagraph"/>
              <w:spacing w:before="119"/>
              <w:ind w:left="107"/>
              <w:jc w:val="left"/>
              <w:rPr>
                <w:b/>
                <w:sz w:val="18"/>
              </w:rPr>
            </w:pPr>
            <w:r>
              <w:rPr>
                <w:b/>
                <w:sz w:val="18"/>
              </w:rPr>
              <w:lastRenderedPageBreak/>
              <w:t>Sl.</w:t>
            </w:r>
          </w:p>
          <w:p w:rsidR="007C5447" w:rsidRDefault="00F6308C">
            <w:pPr>
              <w:pStyle w:val="TableParagraph"/>
              <w:ind w:left="107"/>
              <w:jc w:val="left"/>
              <w:rPr>
                <w:b/>
                <w:sz w:val="18"/>
              </w:rPr>
            </w:pPr>
            <w:r>
              <w:rPr>
                <w:b/>
                <w:sz w:val="18"/>
              </w:rPr>
              <w:t>No.</w:t>
            </w:r>
          </w:p>
        </w:tc>
        <w:tc>
          <w:tcPr>
            <w:tcW w:w="2269"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107"/>
              <w:jc w:val="left"/>
              <w:rPr>
                <w:b/>
                <w:sz w:val="18"/>
              </w:rPr>
            </w:pPr>
            <w:r>
              <w:rPr>
                <w:b/>
                <w:sz w:val="18"/>
              </w:rPr>
              <w:t>Particulars</w:t>
            </w:r>
          </w:p>
        </w:tc>
        <w:tc>
          <w:tcPr>
            <w:tcW w:w="1277" w:type="dxa"/>
            <w:shd w:val="clear" w:color="auto" w:fill="F7C9AC"/>
          </w:tcPr>
          <w:p w:rsidR="007C5447" w:rsidRDefault="00F6308C">
            <w:pPr>
              <w:pStyle w:val="TableParagraph"/>
              <w:spacing w:before="119"/>
              <w:ind w:left="426" w:right="239" w:hanging="159"/>
              <w:jc w:val="left"/>
              <w:rPr>
                <w:b/>
                <w:sz w:val="18"/>
              </w:rPr>
            </w:pPr>
            <w:r>
              <w:rPr>
                <w:b/>
                <w:sz w:val="18"/>
              </w:rPr>
              <w:t>Quantum (MU)</w:t>
            </w:r>
          </w:p>
        </w:tc>
        <w:tc>
          <w:tcPr>
            <w:tcW w:w="1133" w:type="dxa"/>
            <w:shd w:val="clear" w:color="auto" w:fill="F7C9AC"/>
          </w:tcPr>
          <w:p w:rsidR="007C5447" w:rsidRDefault="00F6308C">
            <w:pPr>
              <w:pStyle w:val="TableParagraph"/>
              <w:spacing w:before="119"/>
              <w:ind w:left="210" w:right="126" w:hanging="58"/>
              <w:jc w:val="left"/>
              <w:rPr>
                <w:b/>
                <w:sz w:val="18"/>
              </w:rPr>
            </w:pPr>
            <w:r>
              <w:rPr>
                <w:b/>
                <w:sz w:val="18"/>
              </w:rPr>
              <w:t>Fixed Cost (Rs. Cr.)</w:t>
            </w:r>
          </w:p>
        </w:tc>
        <w:tc>
          <w:tcPr>
            <w:tcW w:w="1135" w:type="dxa"/>
            <w:shd w:val="clear" w:color="auto" w:fill="F7C9AC"/>
          </w:tcPr>
          <w:p w:rsidR="007C5447" w:rsidRDefault="00F6308C">
            <w:pPr>
              <w:pStyle w:val="TableParagraph"/>
              <w:spacing w:before="14"/>
              <w:ind w:left="280" w:firstLine="4"/>
              <w:jc w:val="left"/>
              <w:rPr>
                <w:b/>
                <w:sz w:val="18"/>
              </w:rPr>
            </w:pPr>
            <w:r>
              <w:rPr>
                <w:b/>
                <w:sz w:val="18"/>
              </w:rPr>
              <w:t>Energy</w:t>
            </w:r>
          </w:p>
          <w:p w:rsidR="007C5447" w:rsidRDefault="00F6308C">
            <w:pPr>
              <w:pStyle w:val="TableParagraph"/>
              <w:spacing w:before="5" w:line="206" w:lineRule="exact"/>
              <w:ind w:left="167" w:firstLine="112"/>
              <w:jc w:val="left"/>
              <w:rPr>
                <w:b/>
                <w:sz w:val="18"/>
              </w:rPr>
            </w:pPr>
            <w:r>
              <w:rPr>
                <w:b/>
                <w:sz w:val="18"/>
              </w:rPr>
              <w:t>Charge (Rs./kWh)</w:t>
            </w:r>
          </w:p>
        </w:tc>
        <w:tc>
          <w:tcPr>
            <w:tcW w:w="1133" w:type="dxa"/>
            <w:shd w:val="clear" w:color="auto" w:fill="F7C9AC"/>
          </w:tcPr>
          <w:p w:rsidR="007C5447" w:rsidRDefault="00F6308C">
            <w:pPr>
              <w:pStyle w:val="TableParagraph"/>
              <w:spacing w:before="14"/>
              <w:ind w:left="277" w:firstLine="4"/>
              <w:jc w:val="left"/>
              <w:rPr>
                <w:b/>
                <w:sz w:val="18"/>
              </w:rPr>
            </w:pPr>
            <w:r>
              <w:rPr>
                <w:b/>
                <w:sz w:val="18"/>
              </w:rPr>
              <w:t>Energy</w:t>
            </w:r>
          </w:p>
          <w:p w:rsidR="007C5447" w:rsidRDefault="00F6308C">
            <w:pPr>
              <w:pStyle w:val="TableParagraph"/>
              <w:spacing w:before="5" w:line="206" w:lineRule="exact"/>
              <w:ind w:left="229" w:right="141" w:firstLine="48"/>
              <w:jc w:val="left"/>
              <w:rPr>
                <w:b/>
                <w:sz w:val="18"/>
              </w:rPr>
            </w:pPr>
            <w:r>
              <w:rPr>
                <w:b/>
                <w:sz w:val="18"/>
              </w:rPr>
              <w:t>Charge (Rs.</w:t>
            </w:r>
            <w:r>
              <w:rPr>
                <w:b/>
                <w:spacing w:val="2"/>
                <w:sz w:val="18"/>
              </w:rPr>
              <w:t xml:space="preserve"> </w:t>
            </w:r>
            <w:r>
              <w:rPr>
                <w:b/>
                <w:spacing w:val="-5"/>
                <w:sz w:val="18"/>
              </w:rPr>
              <w:t>Cr.)</w:t>
            </w:r>
          </w:p>
        </w:tc>
        <w:tc>
          <w:tcPr>
            <w:tcW w:w="1136" w:type="dxa"/>
            <w:shd w:val="clear" w:color="auto" w:fill="F7C9AC"/>
          </w:tcPr>
          <w:p w:rsidR="007C5447" w:rsidRDefault="00F6308C">
            <w:pPr>
              <w:pStyle w:val="TableParagraph"/>
              <w:spacing w:before="119"/>
              <w:ind w:left="167" w:right="137" w:hanging="3"/>
              <w:jc w:val="left"/>
              <w:rPr>
                <w:b/>
                <w:sz w:val="18"/>
              </w:rPr>
            </w:pPr>
            <w:r>
              <w:rPr>
                <w:b/>
                <w:sz w:val="18"/>
              </w:rPr>
              <w:t>Total Cost (Rs./kWh)</w:t>
            </w:r>
          </w:p>
        </w:tc>
        <w:tc>
          <w:tcPr>
            <w:tcW w:w="1075" w:type="dxa"/>
            <w:shd w:val="clear" w:color="auto" w:fill="F7C9AC"/>
          </w:tcPr>
          <w:p w:rsidR="007C5447" w:rsidRDefault="00F6308C">
            <w:pPr>
              <w:pStyle w:val="TableParagraph"/>
              <w:spacing w:before="119"/>
              <w:ind w:left="202" w:right="108" w:hanging="70"/>
              <w:jc w:val="left"/>
              <w:rPr>
                <w:b/>
                <w:sz w:val="18"/>
              </w:rPr>
            </w:pPr>
            <w:r>
              <w:rPr>
                <w:b/>
                <w:sz w:val="18"/>
              </w:rPr>
              <w:t>Total Cost (Rs. Cr.)</w:t>
            </w:r>
          </w:p>
        </w:tc>
      </w:tr>
      <w:tr w:rsidR="007C5447">
        <w:trPr>
          <w:trHeight w:val="301"/>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Kadamparai HEP</w:t>
            </w:r>
          </w:p>
        </w:tc>
        <w:tc>
          <w:tcPr>
            <w:tcW w:w="1277" w:type="dxa"/>
          </w:tcPr>
          <w:p w:rsidR="007C5447" w:rsidRDefault="00F6308C">
            <w:pPr>
              <w:pStyle w:val="TableParagraph"/>
              <w:spacing w:before="36"/>
              <w:ind w:right="99"/>
              <w:rPr>
                <w:sz w:val="20"/>
              </w:rPr>
            </w:pPr>
            <w:r>
              <w:rPr>
                <w:w w:val="95"/>
                <w:sz w:val="20"/>
              </w:rPr>
              <w:t>996.00</w:t>
            </w:r>
          </w:p>
        </w:tc>
        <w:tc>
          <w:tcPr>
            <w:tcW w:w="1133" w:type="dxa"/>
          </w:tcPr>
          <w:p w:rsidR="007C5447" w:rsidRDefault="00F6308C">
            <w:pPr>
              <w:pStyle w:val="TableParagraph"/>
              <w:spacing w:before="36"/>
              <w:ind w:right="98"/>
              <w:rPr>
                <w:sz w:val="20"/>
              </w:rPr>
            </w:pPr>
            <w:r>
              <w:rPr>
                <w:w w:val="95"/>
                <w:sz w:val="20"/>
              </w:rPr>
              <w:t>127.90</w:t>
            </w:r>
          </w:p>
        </w:tc>
        <w:tc>
          <w:tcPr>
            <w:tcW w:w="1135" w:type="dxa"/>
          </w:tcPr>
          <w:p w:rsidR="007C5447" w:rsidRDefault="00F6308C">
            <w:pPr>
              <w:pStyle w:val="TableParagraph"/>
              <w:spacing w:before="36"/>
              <w:ind w:right="97"/>
              <w:rPr>
                <w:sz w:val="20"/>
              </w:rPr>
            </w:pPr>
            <w:r>
              <w:rPr>
                <w:w w:val="99"/>
                <w:sz w:val="20"/>
              </w:rPr>
              <w:t>-</w:t>
            </w:r>
          </w:p>
        </w:tc>
        <w:tc>
          <w:tcPr>
            <w:tcW w:w="1133" w:type="dxa"/>
          </w:tcPr>
          <w:p w:rsidR="007C5447" w:rsidRDefault="00F6308C">
            <w:pPr>
              <w:pStyle w:val="TableParagraph"/>
              <w:spacing w:before="36"/>
              <w:ind w:right="97"/>
              <w:rPr>
                <w:sz w:val="20"/>
              </w:rPr>
            </w:pPr>
            <w:r>
              <w:rPr>
                <w:w w:val="99"/>
                <w:sz w:val="20"/>
              </w:rPr>
              <w:t>-</w:t>
            </w:r>
          </w:p>
        </w:tc>
        <w:tc>
          <w:tcPr>
            <w:tcW w:w="1136" w:type="dxa"/>
          </w:tcPr>
          <w:p w:rsidR="007C5447" w:rsidRDefault="00F6308C">
            <w:pPr>
              <w:pStyle w:val="TableParagraph"/>
              <w:spacing w:before="36"/>
              <w:ind w:right="101"/>
              <w:rPr>
                <w:sz w:val="20"/>
              </w:rPr>
            </w:pPr>
            <w:r>
              <w:rPr>
                <w:sz w:val="20"/>
              </w:rPr>
              <w:t>1.28</w:t>
            </w:r>
          </w:p>
        </w:tc>
        <w:tc>
          <w:tcPr>
            <w:tcW w:w="1075" w:type="dxa"/>
          </w:tcPr>
          <w:p w:rsidR="007C5447" w:rsidRDefault="00F6308C">
            <w:pPr>
              <w:pStyle w:val="TableParagraph"/>
              <w:spacing w:before="36"/>
              <w:ind w:right="99"/>
              <w:rPr>
                <w:sz w:val="20"/>
              </w:rPr>
            </w:pPr>
            <w:r>
              <w:rPr>
                <w:w w:val="95"/>
                <w:sz w:val="20"/>
              </w:rPr>
              <w:t>127.90</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5"/>
              <w:ind w:left="107"/>
              <w:jc w:val="left"/>
              <w:rPr>
                <w:sz w:val="18"/>
              </w:rPr>
            </w:pPr>
            <w:r>
              <w:rPr>
                <w:sz w:val="18"/>
              </w:rPr>
              <w:t>Kundah HEP</w:t>
            </w:r>
          </w:p>
        </w:tc>
        <w:tc>
          <w:tcPr>
            <w:tcW w:w="1277" w:type="dxa"/>
          </w:tcPr>
          <w:p w:rsidR="007C5447" w:rsidRDefault="00F6308C">
            <w:pPr>
              <w:pStyle w:val="TableParagraph"/>
              <w:spacing w:before="34"/>
              <w:ind w:right="97"/>
              <w:rPr>
                <w:sz w:val="20"/>
              </w:rPr>
            </w:pPr>
            <w:r>
              <w:rPr>
                <w:w w:val="95"/>
                <w:sz w:val="20"/>
              </w:rPr>
              <w:t>2,425.00</w:t>
            </w:r>
          </w:p>
        </w:tc>
        <w:tc>
          <w:tcPr>
            <w:tcW w:w="1133" w:type="dxa"/>
          </w:tcPr>
          <w:p w:rsidR="007C5447" w:rsidRDefault="00F6308C">
            <w:pPr>
              <w:pStyle w:val="TableParagraph"/>
              <w:spacing w:before="34"/>
              <w:ind w:right="97"/>
              <w:rPr>
                <w:sz w:val="20"/>
              </w:rPr>
            </w:pPr>
            <w:r>
              <w:rPr>
                <w:sz w:val="20"/>
              </w:rPr>
              <w:t>296.29</w:t>
            </w:r>
          </w:p>
        </w:tc>
        <w:tc>
          <w:tcPr>
            <w:tcW w:w="1135" w:type="dxa"/>
          </w:tcPr>
          <w:p w:rsidR="007C5447" w:rsidRDefault="00F6308C">
            <w:pPr>
              <w:pStyle w:val="TableParagraph"/>
              <w:spacing w:before="34"/>
              <w:ind w:right="97"/>
              <w:rPr>
                <w:sz w:val="20"/>
              </w:rPr>
            </w:pPr>
            <w:r>
              <w:rPr>
                <w:w w:val="99"/>
                <w:sz w:val="20"/>
              </w:rPr>
              <w:t>-</w:t>
            </w:r>
          </w:p>
        </w:tc>
        <w:tc>
          <w:tcPr>
            <w:tcW w:w="1133" w:type="dxa"/>
          </w:tcPr>
          <w:p w:rsidR="007C5447" w:rsidRDefault="00F6308C">
            <w:pPr>
              <w:pStyle w:val="TableParagraph"/>
              <w:spacing w:before="34"/>
              <w:ind w:right="97"/>
              <w:rPr>
                <w:sz w:val="20"/>
              </w:rPr>
            </w:pPr>
            <w:r>
              <w:rPr>
                <w:w w:val="99"/>
                <w:sz w:val="20"/>
              </w:rPr>
              <w:t>-</w:t>
            </w:r>
          </w:p>
        </w:tc>
        <w:tc>
          <w:tcPr>
            <w:tcW w:w="1136" w:type="dxa"/>
          </w:tcPr>
          <w:p w:rsidR="007C5447" w:rsidRDefault="00F6308C">
            <w:pPr>
              <w:pStyle w:val="TableParagraph"/>
              <w:spacing w:before="34"/>
              <w:ind w:right="101"/>
              <w:rPr>
                <w:sz w:val="20"/>
              </w:rPr>
            </w:pPr>
            <w:r>
              <w:rPr>
                <w:sz w:val="20"/>
              </w:rPr>
              <w:t>1.22</w:t>
            </w:r>
          </w:p>
        </w:tc>
        <w:tc>
          <w:tcPr>
            <w:tcW w:w="1075" w:type="dxa"/>
          </w:tcPr>
          <w:p w:rsidR="007C5447" w:rsidRDefault="00F6308C">
            <w:pPr>
              <w:pStyle w:val="TableParagraph"/>
              <w:spacing w:before="34"/>
              <w:ind w:right="96"/>
              <w:rPr>
                <w:sz w:val="20"/>
              </w:rPr>
            </w:pPr>
            <w:r>
              <w:rPr>
                <w:sz w:val="20"/>
              </w:rPr>
              <w:t>296.29</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5"/>
              <w:ind w:left="107"/>
              <w:jc w:val="left"/>
              <w:rPr>
                <w:sz w:val="18"/>
              </w:rPr>
            </w:pPr>
            <w:r>
              <w:rPr>
                <w:sz w:val="18"/>
              </w:rPr>
              <w:t>Tirunelveli HEP</w:t>
            </w:r>
          </w:p>
        </w:tc>
        <w:tc>
          <w:tcPr>
            <w:tcW w:w="1277" w:type="dxa"/>
          </w:tcPr>
          <w:p w:rsidR="007C5447" w:rsidRDefault="00F6308C">
            <w:pPr>
              <w:pStyle w:val="TableParagraph"/>
              <w:spacing w:before="34"/>
              <w:ind w:right="97"/>
              <w:rPr>
                <w:sz w:val="20"/>
              </w:rPr>
            </w:pPr>
            <w:r>
              <w:rPr>
                <w:w w:val="95"/>
                <w:sz w:val="20"/>
              </w:rPr>
              <w:t>1,030.00</w:t>
            </w:r>
          </w:p>
        </w:tc>
        <w:tc>
          <w:tcPr>
            <w:tcW w:w="1133" w:type="dxa"/>
          </w:tcPr>
          <w:p w:rsidR="007C5447" w:rsidRDefault="00F6308C">
            <w:pPr>
              <w:pStyle w:val="TableParagraph"/>
              <w:spacing w:before="34"/>
              <w:ind w:right="98"/>
              <w:rPr>
                <w:sz w:val="20"/>
              </w:rPr>
            </w:pPr>
            <w:r>
              <w:rPr>
                <w:w w:val="95"/>
                <w:sz w:val="20"/>
              </w:rPr>
              <w:t>158.83</w:t>
            </w:r>
          </w:p>
        </w:tc>
        <w:tc>
          <w:tcPr>
            <w:tcW w:w="1135" w:type="dxa"/>
          </w:tcPr>
          <w:p w:rsidR="007C5447" w:rsidRDefault="00F6308C">
            <w:pPr>
              <w:pStyle w:val="TableParagraph"/>
              <w:spacing w:before="34"/>
              <w:ind w:right="97"/>
              <w:rPr>
                <w:sz w:val="20"/>
              </w:rPr>
            </w:pPr>
            <w:r>
              <w:rPr>
                <w:w w:val="99"/>
                <w:sz w:val="20"/>
              </w:rPr>
              <w:t>-</w:t>
            </w:r>
          </w:p>
        </w:tc>
        <w:tc>
          <w:tcPr>
            <w:tcW w:w="1133" w:type="dxa"/>
          </w:tcPr>
          <w:p w:rsidR="007C5447" w:rsidRDefault="00F6308C">
            <w:pPr>
              <w:pStyle w:val="TableParagraph"/>
              <w:spacing w:before="34"/>
              <w:ind w:right="97"/>
              <w:rPr>
                <w:sz w:val="20"/>
              </w:rPr>
            </w:pPr>
            <w:r>
              <w:rPr>
                <w:w w:val="99"/>
                <w:sz w:val="20"/>
              </w:rPr>
              <w:t>-</w:t>
            </w:r>
          </w:p>
        </w:tc>
        <w:tc>
          <w:tcPr>
            <w:tcW w:w="1136" w:type="dxa"/>
          </w:tcPr>
          <w:p w:rsidR="007C5447" w:rsidRDefault="00F6308C">
            <w:pPr>
              <w:pStyle w:val="TableParagraph"/>
              <w:spacing w:before="34"/>
              <w:ind w:right="101"/>
              <w:rPr>
                <w:sz w:val="20"/>
              </w:rPr>
            </w:pPr>
            <w:r>
              <w:rPr>
                <w:sz w:val="20"/>
              </w:rPr>
              <w:t>1.54</w:t>
            </w:r>
          </w:p>
        </w:tc>
        <w:tc>
          <w:tcPr>
            <w:tcW w:w="1075" w:type="dxa"/>
          </w:tcPr>
          <w:p w:rsidR="007C5447" w:rsidRDefault="00F6308C">
            <w:pPr>
              <w:pStyle w:val="TableParagraph"/>
              <w:spacing w:before="34"/>
              <w:ind w:right="99"/>
              <w:rPr>
                <w:sz w:val="20"/>
              </w:rPr>
            </w:pPr>
            <w:r>
              <w:rPr>
                <w:w w:val="95"/>
                <w:sz w:val="20"/>
              </w:rPr>
              <w:t>158.83</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5"/>
              <w:ind w:left="107"/>
              <w:jc w:val="left"/>
              <w:rPr>
                <w:sz w:val="18"/>
              </w:rPr>
            </w:pPr>
            <w:r>
              <w:rPr>
                <w:sz w:val="18"/>
              </w:rPr>
              <w:t>Wind</w:t>
            </w:r>
          </w:p>
        </w:tc>
        <w:tc>
          <w:tcPr>
            <w:tcW w:w="1277" w:type="dxa"/>
          </w:tcPr>
          <w:p w:rsidR="007C5447" w:rsidRDefault="00F6308C">
            <w:pPr>
              <w:pStyle w:val="TableParagraph"/>
              <w:spacing w:before="34"/>
              <w:ind w:right="98"/>
              <w:rPr>
                <w:sz w:val="20"/>
              </w:rPr>
            </w:pPr>
            <w:r>
              <w:rPr>
                <w:w w:val="95"/>
                <w:sz w:val="20"/>
              </w:rPr>
              <w:t>12.00</w:t>
            </w:r>
          </w:p>
        </w:tc>
        <w:tc>
          <w:tcPr>
            <w:tcW w:w="1133" w:type="dxa"/>
          </w:tcPr>
          <w:p w:rsidR="007C5447" w:rsidRDefault="007C5447">
            <w:pPr>
              <w:pStyle w:val="TableParagraph"/>
              <w:jc w:val="left"/>
              <w:rPr>
                <w:sz w:val="18"/>
              </w:rPr>
            </w:pPr>
          </w:p>
        </w:tc>
        <w:tc>
          <w:tcPr>
            <w:tcW w:w="1135" w:type="dxa"/>
          </w:tcPr>
          <w:p w:rsidR="007C5447" w:rsidRDefault="00F6308C">
            <w:pPr>
              <w:pStyle w:val="TableParagraph"/>
              <w:spacing w:before="34"/>
              <w:ind w:right="100"/>
              <w:rPr>
                <w:sz w:val="20"/>
              </w:rPr>
            </w:pPr>
            <w:r>
              <w:rPr>
                <w:sz w:val="20"/>
              </w:rPr>
              <w:t>2.75</w:t>
            </w:r>
          </w:p>
        </w:tc>
        <w:tc>
          <w:tcPr>
            <w:tcW w:w="1133" w:type="dxa"/>
          </w:tcPr>
          <w:p w:rsidR="007C5447" w:rsidRDefault="00F6308C">
            <w:pPr>
              <w:pStyle w:val="TableParagraph"/>
              <w:spacing w:before="34"/>
              <w:ind w:right="101"/>
              <w:rPr>
                <w:sz w:val="20"/>
              </w:rPr>
            </w:pPr>
            <w:r>
              <w:rPr>
                <w:sz w:val="20"/>
              </w:rPr>
              <w:t>3.30</w:t>
            </w:r>
          </w:p>
        </w:tc>
        <w:tc>
          <w:tcPr>
            <w:tcW w:w="1136" w:type="dxa"/>
          </w:tcPr>
          <w:p w:rsidR="007C5447" w:rsidRDefault="00F6308C">
            <w:pPr>
              <w:pStyle w:val="TableParagraph"/>
              <w:spacing w:before="34"/>
              <w:ind w:right="101"/>
              <w:rPr>
                <w:sz w:val="20"/>
              </w:rPr>
            </w:pPr>
            <w:r>
              <w:rPr>
                <w:sz w:val="20"/>
              </w:rPr>
              <w:t>2.75</w:t>
            </w:r>
          </w:p>
        </w:tc>
        <w:tc>
          <w:tcPr>
            <w:tcW w:w="1075" w:type="dxa"/>
          </w:tcPr>
          <w:p w:rsidR="007C5447" w:rsidRDefault="00F6308C">
            <w:pPr>
              <w:pStyle w:val="TableParagraph"/>
              <w:spacing w:before="34"/>
              <w:ind w:right="98"/>
              <w:rPr>
                <w:sz w:val="20"/>
              </w:rPr>
            </w:pPr>
            <w:r>
              <w:rPr>
                <w:sz w:val="20"/>
              </w:rPr>
              <w:t>3.30</w:t>
            </w:r>
          </w:p>
        </w:tc>
      </w:tr>
      <w:tr w:rsidR="007C5447">
        <w:trPr>
          <w:trHeight w:val="330"/>
        </w:trPr>
        <w:tc>
          <w:tcPr>
            <w:tcW w:w="567" w:type="dxa"/>
            <w:shd w:val="clear" w:color="auto" w:fill="D0CECE"/>
          </w:tcPr>
          <w:p w:rsidR="007C5447" w:rsidRDefault="007C5447">
            <w:pPr>
              <w:pStyle w:val="TableParagraph"/>
              <w:jc w:val="left"/>
              <w:rPr>
                <w:sz w:val="18"/>
              </w:rPr>
            </w:pPr>
          </w:p>
        </w:tc>
        <w:tc>
          <w:tcPr>
            <w:tcW w:w="2269" w:type="dxa"/>
            <w:shd w:val="clear" w:color="auto" w:fill="D0CECE"/>
          </w:tcPr>
          <w:p w:rsidR="007C5447" w:rsidRDefault="00F6308C">
            <w:pPr>
              <w:pStyle w:val="TableParagraph"/>
              <w:spacing w:before="62"/>
              <w:ind w:left="107"/>
              <w:jc w:val="left"/>
              <w:rPr>
                <w:b/>
                <w:sz w:val="18"/>
              </w:rPr>
            </w:pPr>
            <w:r>
              <w:rPr>
                <w:b/>
                <w:sz w:val="18"/>
              </w:rPr>
              <w:t>Total</w:t>
            </w:r>
          </w:p>
        </w:tc>
        <w:tc>
          <w:tcPr>
            <w:tcW w:w="1277" w:type="dxa"/>
            <w:shd w:val="clear" w:color="auto" w:fill="D9D9D9"/>
          </w:tcPr>
          <w:p w:rsidR="007C5447" w:rsidRDefault="00F6308C">
            <w:pPr>
              <w:pStyle w:val="TableParagraph"/>
              <w:spacing w:before="50"/>
              <w:ind w:right="97"/>
              <w:rPr>
                <w:b/>
                <w:sz w:val="20"/>
              </w:rPr>
            </w:pPr>
            <w:r>
              <w:rPr>
                <w:b/>
                <w:w w:val="95"/>
                <w:sz w:val="20"/>
              </w:rPr>
              <w:t>36,910.47</w:t>
            </w:r>
          </w:p>
        </w:tc>
        <w:tc>
          <w:tcPr>
            <w:tcW w:w="1133" w:type="dxa"/>
            <w:shd w:val="clear" w:color="auto" w:fill="D9D9D9"/>
          </w:tcPr>
          <w:p w:rsidR="007C5447" w:rsidRDefault="00F6308C">
            <w:pPr>
              <w:pStyle w:val="TableParagraph"/>
              <w:spacing w:before="50"/>
              <w:ind w:right="96"/>
              <w:rPr>
                <w:b/>
                <w:sz w:val="20"/>
              </w:rPr>
            </w:pPr>
            <w:r>
              <w:rPr>
                <w:b/>
                <w:sz w:val="20"/>
              </w:rPr>
              <w:t>5,285.26</w:t>
            </w:r>
          </w:p>
        </w:tc>
        <w:tc>
          <w:tcPr>
            <w:tcW w:w="1135" w:type="dxa"/>
            <w:shd w:val="clear" w:color="auto" w:fill="D9D9D9"/>
          </w:tcPr>
          <w:p w:rsidR="007C5447" w:rsidRDefault="00F6308C">
            <w:pPr>
              <w:pStyle w:val="TableParagraph"/>
              <w:spacing w:before="50"/>
              <w:ind w:right="97"/>
              <w:rPr>
                <w:b/>
                <w:sz w:val="20"/>
              </w:rPr>
            </w:pPr>
            <w:r>
              <w:rPr>
                <w:b/>
                <w:sz w:val="20"/>
              </w:rPr>
              <w:t>2.24</w:t>
            </w:r>
          </w:p>
        </w:tc>
        <w:tc>
          <w:tcPr>
            <w:tcW w:w="1133" w:type="dxa"/>
            <w:shd w:val="clear" w:color="auto" w:fill="D9D9D9"/>
          </w:tcPr>
          <w:p w:rsidR="007C5447" w:rsidRDefault="00F6308C">
            <w:pPr>
              <w:pStyle w:val="TableParagraph"/>
              <w:spacing w:before="50"/>
              <w:ind w:right="99"/>
              <w:rPr>
                <w:b/>
                <w:sz w:val="20"/>
              </w:rPr>
            </w:pPr>
            <w:r>
              <w:rPr>
                <w:b/>
                <w:w w:val="95"/>
                <w:sz w:val="20"/>
              </w:rPr>
              <w:t>8,280.80</w:t>
            </w:r>
          </w:p>
        </w:tc>
        <w:tc>
          <w:tcPr>
            <w:tcW w:w="1136" w:type="dxa"/>
            <w:shd w:val="clear" w:color="auto" w:fill="D9D9D9"/>
          </w:tcPr>
          <w:p w:rsidR="007C5447" w:rsidRDefault="00F6308C">
            <w:pPr>
              <w:pStyle w:val="TableParagraph"/>
              <w:spacing w:before="50"/>
              <w:ind w:right="98"/>
              <w:rPr>
                <w:b/>
                <w:sz w:val="20"/>
              </w:rPr>
            </w:pPr>
            <w:r>
              <w:rPr>
                <w:b/>
                <w:sz w:val="20"/>
              </w:rPr>
              <w:t>3.68</w:t>
            </w:r>
          </w:p>
        </w:tc>
        <w:tc>
          <w:tcPr>
            <w:tcW w:w="1075" w:type="dxa"/>
            <w:shd w:val="clear" w:color="auto" w:fill="D9D9D9"/>
          </w:tcPr>
          <w:p w:rsidR="007C5447" w:rsidRDefault="00F6308C">
            <w:pPr>
              <w:pStyle w:val="TableParagraph"/>
              <w:spacing w:before="50"/>
              <w:ind w:right="96"/>
              <w:rPr>
                <w:b/>
                <w:sz w:val="20"/>
              </w:rPr>
            </w:pPr>
            <w:r>
              <w:rPr>
                <w:b/>
                <w:w w:val="95"/>
                <w:sz w:val="20"/>
              </w:rPr>
              <w:t>13,566.06</w:t>
            </w:r>
          </w:p>
        </w:tc>
      </w:tr>
      <w:tr w:rsidR="007C5447">
        <w:trPr>
          <w:trHeight w:val="328"/>
        </w:trPr>
        <w:tc>
          <w:tcPr>
            <w:tcW w:w="567" w:type="dxa"/>
          </w:tcPr>
          <w:p w:rsidR="007C5447" w:rsidRDefault="00F6308C">
            <w:pPr>
              <w:pStyle w:val="TableParagraph"/>
              <w:spacing w:before="62"/>
              <w:ind w:right="97"/>
              <w:rPr>
                <w:sz w:val="18"/>
              </w:rPr>
            </w:pPr>
            <w:r>
              <w:rPr>
                <w:sz w:val="18"/>
              </w:rPr>
              <w:t>2</w:t>
            </w:r>
          </w:p>
        </w:tc>
        <w:tc>
          <w:tcPr>
            <w:tcW w:w="2269" w:type="dxa"/>
          </w:tcPr>
          <w:p w:rsidR="007C5447" w:rsidRDefault="00F6308C">
            <w:pPr>
              <w:pStyle w:val="TableParagraph"/>
              <w:spacing w:before="62"/>
              <w:ind w:left="107"/>
              <w:jc w:val="left"/>
              <w:rPr>
                <w:b/>
                <w:sz w:val="18"/>
              </w:rPr>
            </w:pPr>
            <w:r>
              <w:rPr>
                <w:b/>
                <w:sz w:val="18"/>
              </w:rPr>
              <w:t>CGS</w:t>
            </w:r>
          </w:p>
        </w:tc>
        <w:tc>
          <w:tcPr>
            <w:tcW w:w="1277"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1135"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1136" w:type="dxa"/>
          </w:tcPr>
          <w:p w:rsidR="007C5447" w:rsidRDefault="007C5447">
            <w:pPr>
              <w:pStyle w:val="TableParagraph"/>
              <w:jc w:val="left"/>
              <w:rPr>
                <w:sz w:val="18"/>
              </w:rPr>
            </w:pPr>
          </w:p>
        </w:tc>
        <w:tc>
          <w:tcPr>
            <w:tcW w:w="1075" w:type="dxa"/>
          </w:tcPr>
          <w:p w:rsidR="007C5447" w:rsidRDefault="007C5447">
            <w:pPr>
              <w:pStyle w:val="TableParagraph"/>
              <w:jc w:val="left"/>
              <w:rPr>
                <w:sz w:val="18"/>
              </w:rPr>
            </w:pPr>
          </w:p>
        </w:tc>
      </w:tr>
      <w:tr w:rsidR="007C5447">
        <w:trPr>
          <w:trHeight w:val="445"/>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20" w:line="206" w:lineRule="exact"/>
              <w:ind w:left="107" w:right="242"/>
              <w:jc w:val="left"/>
              <w:rPr>
                <w:sz w:val="18"/>
              </w:rPr>
            </w:pPr>
            <w:r>
              <w:rPr>
                <w:sz w:val="18"/>
              </w:rPr>
              <w:t>NTPC SR (Ramagundam) (I&amp;II)</w:t>
            </w:r>
          </w:p>
        </w:tc>
        <w:tc>
          <w:tcPr>
            <w:tcW w:w="1277" w:type="dxa"/>
          </w:tcPr>
          <w:p w:rsidR="007C5447" w:rsidRDefault="00F6308C">
            <w:pPr>
              <w:pStyle w:val="TableParagraph"/>
              <w:spacing w:before="108"/>
              <w:ind w:right="97"/>
              <w:rPr>
                <w:sz w:val="20"/>
              </w:rPr>
            </w:pPr>
            <w:r>
              <w:rPr>
                <w:w w:val="95"/>
                <w:sz w:val="20"/>
              </w:rPr>
              <w:t>3,727.40</w:t>
            </w:r>
          </w:p>
        </w:tc>
        <w:tc>
          <w:tcPr>
            <w:tcW w:w="1133" w:type="dxa"/>
          </w:tcPr>
          <w:p w:rsidR="007C5447" w:rsidRDefault="00F6308C">
            <w:pPr>
              <w:pStyle w:val="TableParagraph"/>
              <w:spacing w:before="108"/>
              <w:ind w:right="96"/>
              <w:rPr>
                <w:sz w:val="20"/>
              </w:rPr>
            </w:pPr>
            <w:r>
              <w:rPr>
                <w:w w:val="95"/>
                <w:sz w:val="20"/>
              </w:rPr>
              <w:t>195.23</w:t>
            </w:r>
          </w:p>
        </w:tc>
        <w:tc>
          <w:tcPr>
            <w:tcW w:w="1135" w:type="dxa"/>
          </w:tcPr>
          <w:p w:rsidR="007C5447" w:rsidRDefault="00F6308C">
            <w:pPr>
              <w:pStyle w:val="TableParagraph"/>
              <w:spacing w:before="108"/>
              <w:ind w:right="98"/>
              <w:rPr>
                <w:sz w:val="20"/>
              </w:rPr>
            </w:pPr>
            <w:r>
              <w:rPr>
                <w:sz w:val="20"/>
              </w:rPr>
              <w:t>2.26</w:t>
            </w:r>
          </w:p>
        </w:tc>
        <w:tc>
          <w:tcPr>
            <w:tcW w:w="1133" w:type="dxa"/>
          </w:tcPr>
          <w:p w:rsidR="007C5447" w:rsidRDefault="00F6308C">
            <w:pPr>
              <w:pStyle w:val="TableParagraph"/>
              <w:spacing w:before="108"/>
              <w:ind w:right="98"/>
              <w:rPr>
                <w:sz w:val="20"/>
              </w:rPr>
            </w:pPr>
            <w:r>
              <w:rPr>
                <w:w w:val="95"/>
                <w:sz w:val="20"/>
              </w:rPr>
              <w:t>842.39</w:t>
            </w:r>
          </w:p>
        </w:tc>
        <w:tc>
          <w:tcPr>
            <w:tcW w:w="1136" w:type="dxa"/>
          </w:tcPr>
          <w:p w:rsidR="007C5447" w:rsidRDefault="00F6308C">
            <w:pPr>
              <w:pStyle w:val="TableParagraph"/>
              <w:spacing w:before="108"/>
              <w:ind w:right="98"/>
              <w:rPr>
                <w:sz w:val="20"/>
              </w:rPr>
            </w:pPr>
            <w:r>
              <w:rPr>
                <w:sz w:val="20"/>
              </w:rPr>
              <w:t>2.78</w:t>
            </w:r>
          </w:p>
        </w:tc>
        <w:tc>
          <w:tcPr>
            <w:tcW w:w="1075" w:type="dxa"/>
          </w:tcPr>
          <w:p w:rsidR="007C5447" w:rsidRDefault="00F6308C">
            <w:pPr>
              <w:pStyle w:val="TableParagraph"/>
              <w:spacing w:before="108"/>
              <w:ind w:right="96"/>
              <w:rPr>
                <w:sz w:val="20"/>
              </w:rPr>
            </w:pPr>
            <w:r>
              <w:rPr>
                <w:w w:val="95"/>
                <w:sz w:val="20"/>
              </w:rPr>
              <w:t>1,037.62</w:t>
            </w:r>
          </w:p>
        </w:tc>
      </w:tr>
      <w:tr w:rsidR="007C5447">
        <w:trPr>
          <w:trHeight w:val="443"/>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17" w:line="206" w:lineRule="exact"/>
              <w:ind w:left="107" w:right="242"/>
              <w:jc w:val="left"/>
              <w:rPr>
                <w:sz w:val="18"/>
              </w:rPr>
            </w:pPr>
            <w:r>
              <w:rPr>
                <w:sz w:val="18"/>
              </w:rPr>
              <w:t>NTPC SR (Ramagundam) III</w:t>
            </w:r>
          </w:p>
        </w:tc>
        <w:tc>
          <w:tcPr>
            <w:tcW w:w="1277" w:type="dxa"/>
          </w:tcPr>
          <w:p w:rsidR="007C5447" w:rsidRDefault="00F6308C">
            <w:pPr>
              <w:pStyle w:val="TableParagraph"/>
              <w:spacing w:before="106"/>
              <w:ind w:right="96"/>
              <w:rPr>
                <w:sz w:val="20"/>
              </w:rPr>
            </w:pPr>
            <w:r>
              <w:rPr>
                <w:w w:val="95"/>
                <w:sz w:val="20"/>
              </w:rPr>
              <w:t>941.14</w:t>
            </w:r>
          </w:p>
        </w:tc>
        <w:tc>
          <w:tcPr>
            <w:tcW w:w="1133" w:type="dxa"/>
          </w:tcPr>
          <w:p w:rsidR="007C5447" w:rsidRDefault="00F6308C">
            <w:pPr>
              <w:pStyle w:val="TableParagraph"/>
              <w:spacing w:before="106"/>
              <w:ind w:right="96"/>
              <w:rPr>
                <w:sz w:val="20"/>
              </w:rPr>
            </w:pPr>
            <w:r>
              <w:rPr>
                <w:sz w:val="20"/>
              </w:rPr>
              <w:t>75.55</w:t>
            </w:r>
          </w:p>
        </w:tc>
        <w:tc>
          <w:tcPr>
            <w:tcW w:w="1135" w:type="dxa"/>
          </w:tcPr>
          <w:p w:rsidR="007C5447" w:rsidRDefault="00F6308C">
            <w:pPr>
              <w:pStyle w:val="TableParagraph"/>
              <w:spacing w:before="106"/>
              <w:ind w:right="98"/>
              <w:rPr>
                <w:sz w:val="20"/>
              </w:rPr>
            </w:pPr>
            <w:r>
              <w:rPr>
                <w:sz w:val="20"/>
              </w:rPr>
              <w:t>2.16</w:t>
            </w:r>
          </w:p>
        </w:tc>
        <w:tc>
          <w:tcPr>
            <w:tcW w:w="1133" w:type="dxa"/>
          </w:tcPr>
          <w:p w:rsidR="007C5447" w:rsidRDefault="00F6308C">
            <w:pPr>
              <w:pStyle w:val="TableParagraph"/>
              <w:spacing w:before="106"/>
              <w:ind w:right="98"/>
              <w:rPr>
                <w:sz w:val="20"/>
              </w:rPr>
            </w:pPr>
            <w:r>
              <w:rPr>
                <w:w w:val="95"/>
                <w:sz w:val="20"/>
              </w:rPr>
              <w:t>203.29</w:t>
            </w:r>
          </w:p>
        </w:tc>
        <w:tc>
          <w:tcPr>
            <w:tcW w:w="1136" w:type="dxa"/>
          </w:tcPr>
          <w:p w:rsidR="007C5447" w:rsidRDefault="00F6308C">
            <w:pPr>
              <w:pStyle w:val="TableParagraph"/>
              <w:spacing w:before="106"/>
              <w:ind w:right="98"/>
              <w:rPr>
                <w:sz w:val="20"/>
              </w:rPr>
            </w:pPr>
            <w:r>
              <w:rPr>
                <w:sz w:val="20"/>
              </w:rPr>
              <w:t>2.96</w:t>
            </w:r>
          </w:p>
        </w:tc>
        <w:tc>
          <w:tcPr>
            <w:tcW w:w="1075" w:type="dxa"/>
          </w:tcPr>
          <w:p w:rsidR="007C5447" w:rsidRDefault="00F6308C">
            <w:pPr>
              <w:pStyle w:val="TableParagraph"/>
              <w:spacing w:before="106"/>
              <w:ind w:right="95"/>
              <w:rPr>
                <w:sz w:val="20"/>
              </w:rPr>
            </w:pPr>
            <w:r>
              <w:rPr>
                <w:w w:val="95"/>
                <w:sz w:val="20"/>
              </w:rPr>
              <w:t>278.84</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5"/>
              <w:ind w:left="107"/>
              <w:jc w:val="left"/>
              <w:rPr>
                <w:sz w:val="18"/>
              </w:rPr>
            </w:pPr>
            <w:r>
              <w:rPr>
                <w:sz w:val="18"/>
              </w:rPr>
              <w:t>NLC TS – I</w:t>
            </w:r>
          </w:p>
        </w:tc>
        <w:tc>
          <w:tcPr>
            <w:tcW w:w="1277" w:type="dxa"/>
          </w:tcPr>
          <w:p w:rsidR="007C5447" w:rsidRDefault="00F6308C">
            <w:pPr>
              <w:pStyle w:val="TableParagraph"/>
              <w:spacing w:before="34"/>
              <w:ind w:right="97"/>
              <w:rPr>
                <w:sz w:val="20"/>
              </w:rPr>
            </w:pPr>
            <w:r>
              <w:rPr>
                <w:w w:val="99"/>
                <w:sz w:val="20"/>
              </w:rPr>
              <w:t>-</w:t>
            </w:r>
          </w:p>
        </w:tc>
        <w:tc>
          <w:tcPr>
            <w:tcW w:w="1133" w:type="dxa"/>
          </w:tcPr>
          <w:p w:rsidR="007C5447" w:rsidRDefault="00F6308C">
            <w:pPr>
              <w:pStyle w:val="TableParagraph"/>
              <w:spacing w:before="34"/>
              <w:ind w:right="96"/>
              <w:rPr>
                <w:sz w:val="20"/>
              </w:rPr>
            </w:pPr>
            <w:r>
              <w:rPr>
                <w:w w:val="95"/>
                <w:sz w:val="20"/>
              </w:rPr>
              <w:t>251.05</w:t>
            </w:r>
          </w:p>
        </w:tc>
        <w:tc>
          <w:tcPr>
            <w:tcW w:w="1135" w:type="dxa"/>
          </w:tcPr>
          <w:p w:rsidR="007C5447" w:rsidRDefault="00F6308C">
            <w:pPr>
              <w:pStyle w:val="TableParagraph"/>
              <w:spacing w:before="34"/>
              <w:ind w:right="98"/>
              <w:rPr>
                <w:sz w:val="20"/>
              </w:rPr>
            </w:pPr>
            <w:r>
              <w:rPr>
                <w:sz w:val="20"/>
              </w:rPr>
              <w:t>3.36</w:t>
            </w:r>
          </w:p>
        </w:tc>
        <w:tc>
          <w:tcPr>
            <w:tcW w:w="1133" w:type="dxa"/>
          </w:tcPr>
          <w:p w:rsidR="007C5447" w:rsidRDefault="00F6308C">
            <w:pPr>
              <w:pStyle w:val="TableParagraph"/>
              <w:spacing w:before="34"/>
              <w:ind w:right="100"/>
              <w:rPr>
                <w:sz w:val="20"/>
              </w:rPr>
            </w:pPr>
            <w:r>
              <w:rPr>
                <w:w w:val="99"/>
                <w:sz w:val="20"/>
              </w:rPr>
              <w:t>-</w:t>
            </w:r>
          </w:p>
        </w:tc>
        <w:tc>
          <w:tcPr>
            <w:tcW w:w="1136" w:type="dxa"/>
          </w:tcPr>
          <w:p w:rsidR="007C5447" w:rsidRDefault="00F6308C">
            <w:pPr>
              <w:pStyle w:val="TableParagraph"/>
              <w:spacing w:before="34"/>
              <w:ind w:right="100"/>
              <w:rPr>
                <w:sz w:val="20"/>
              </w:rPr>
            </w:pPr>
            <w:r>
              <w:rPr>
                <w:w w:val="99"/>
                <w:sz w:val="20"/>
              </w:rPr>
              <w:t>-</w:t>
            </w:r>
          </w:p>
        </w:tc>
        <w:tc>
          <w:tcPr>
            <w:tcW w:w="1075" w:type="dxa"/>
          </w:tcPr>
          <w:p w:rsidR="007C5447" w:rsidRDefault="00F6308C">
            <w:pPr>
              <w:pStyle w:val="TableParagraph"/>
              <w:spacing w:before="34"/>
              <w:ind w:right="96"/>
              <w:rPr>
                <w:sz w:val="20"/>
              </w:rPr>
            </w:pPr>
            <w:r>
              <w:rPr>
                <w:w w:val="95"/>
                <w:sz w:val="20"/>
              </w:rPr>
              <w:t>251.05</w:t>
            </w:r>
          </w:p>
        </w:tc>
      </w:tr>
      <w:tr w:rsidR="007C5447">
        <w:trPr>
          <w:trHeight w:val="300"/>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6"/>
              <w:ind w:left="107"/>
              <w:jc w:val="left"/>
              <w:rPr>
                <w:sz w:val="18"/>
              </w:rPr>
            </w:pPr>
            <w:r>
              <w:rPr>
                <w:sz w:val="18"/>
              </w:rPr>
              <w:t>NLC TS - II - Stage 1</w:t>
            </w:r>
          </w:p>
        </w:tc>
        <w:tc>
          <w:tcPr>
            <w:tcW w:w="1277" w:type="dxa"/>
          </w:tcPr>
          <w:p w:rsidR="007C5447" w:rsidRDefault="00F6308C">
            <w:pPr>
              <w:pStyle w:val="TableParagraph"/>
              <w:spacing w:before="34"/>
              <w:ind w:right="97"/>
              <w:rPr>
                <w:sz w:val="20"/>
              </w:rPr>
            </w:pPr>
            <w:r>
              <w:rPr>
                <w:w w:val="95"/>
                <w:sz w:val="20"/>
              </w:rPr>
              <w:t>1,189.45</w:t>
            </w:r>
          </w:p>
        </w:tc>
        <w:tc>
          <w:tcPr>
            <w:tcW w:w="1133" w:type="dxa"/>
          </w:tcPr>
          <w:p w:rsidR="007C5447" w:rsidRDefault="00F6308C">
            <w:pPr>
              <w:pStyle w:val="TableParagraph"/>
              <w:spacing w:before="34"/>
              <w:ind w:right="96"/>
              <w:rPr>
                <w:sz w:val="20"/>
              </w:rPr>
            </w:pPr>
            <w:r>
              <w:rPr>
                <w:w w:val="95"/>
                <w:sz w:val="20"/>
              </w:rPr>
              <w:t>182.52</w:t>
            </w:r>
          </w:p>
        </w:tc>
        <w:tc>
          <w:tcPr>
            <w:tcW w:w="1135" w:type="dxa"/>
          </w:tcPr>
          <w:p w:rsidR="007C5447" w:rsidRDefault="00F6308C">
            <w:pPr>
              <w:pStyle w:val="TableParagraph"/>
              <w:spacing w:before="34"/>
              <w:ind w:right="98"/>
              <w:rPr>
                <w:sz w:val="20"/>
              </w:rPr>
            </w:pPr>
            <w:r>
              <w:rPr>
                <w:sz w:val="20"/>
              </w:rPr>
              <w:t>2.60</w:t>
            </w:r>
          </w:p>
        </w:tc>
        <w:tc>
          <w:tcPr>
            <w:tcW w:w="1133" w:type="dxa"/>
          </w:tcPr>
          <w:p w:rsidR="007C5447" w:rsidRDefault="00F6308C">
            <w:pPr>
              <w:pStyle w:val="TableParagraph"/>
              <w:spacing w:before="34"/>
              <w:ind w:right="98"/>
              <w:rPr>
                <w:sz w:val="20"/>
              </w:rPr>
            </w:pPr>
            <w:r>
              <w:rPr>
                <w:w w:val="95"/>
                <w:sz w:val="20"/>
              </w:rPr>
              <w:t>309.26</w:t>
            </w:r>
          </w:p>
        </w:tc>
        <w:tc>
          <w:tcPr>
            <w:tcW w:w="1136" w:type="dxa"/>
          </w:tcPr>
          <w:p w:rsidR="007C5447" w:rsidRDefault="00F6308C">
            <w:pPr>
              <w:pStyle w:val="TableParagraph"/>
              <w:spacing w:before="34"/>
              <w:ind w:right="98"/>
              <w:rPr>
                <w:sz w:val="20"/>
              </w:rPr>
            </w:pPr>
            <w:r>
              <w:rPr>
                <w:sz w:val="20"/>
              </w:rPr>
              <w:t>4.13</w:t>
            </w:r>
          </w:p>
        </w:tc>
        <w:tc>
          <w:tcPr>
            <w:tcW w:w="1075" w:type="dxa"/>
          </w:tcPr>
          <w:p w:rsidR="007C5447" w:rsidRDefault="00F6308C">
            <w:pPr>
              <w:pStyle w:val="TableParagraph"/>
              <w:spacing w:before="34"/>
              <w:ind w:right="96"/>
              <w:rPr>
                <w:sz w:val="20"/>
              </w:rPr>
            </w:pPr>
            <w:r>
              <w:rPr>
                <w:w w:val="95"/>
                <w:sz w:val="20"/>
              </w:rPr>
              <w:t>491.78</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NLC TS Expansion I</w:t>
            </w:r>
          </w:p>
        </w:tc>
        <w:tc>
          <w:tcPr>
            <w:tcW w:w="1277" w:type="dxa"/>
          </w:tcPr>
          <w:p w:rsidR="007C5447" w:rsidRDefault="00F6308C">
            <w:pPr>
              <w:pStyle w:val="TableParagraph"/>
              <w:spacing w:before="36"/>
              <w:ind w:right="97"/>
              <w:rPr>
                <w:sz w:val="20"/>
              </w:rPr>
            </w:pPr>
            <w:r>
              <w:rPr>
                <w:w w:val="95"/>
                <w:sz w:val="20"/>
              </w:rPr>
              <w:t>1,408.57</w:t>
            </w:r>
          </w:p>
        </w:tc>
        <w:tc>
          <w:tcPr>
            <w:tcW w:w="1133" w:type="dxa"/>
          </w:tcPr>
          <w:p w:rsidR="007C5447" w:rsidRDefault="00F6308C">
            <w:pPr>
              <w:pStyle w:val="TableParagraph"/>
              <w:spacing w:before="36"/>
              <w:ind w:right="96"/>
              <w:rPr>
                <w:sz w:val="20"/>
              </w:rPr>
            </w:pPr>
            <w:r>
              <w:rPr>
                <w:w w:val="95"/>
                <w:sz w:val="20"/>
              </w:rPr>
              <w:t>166.33</w:t>
            </w:r>
          </w:p>
        </w:tc>
        <w:tc>
          <w:tcPr>
            <w:tcW w:w="1135" w:type="dxa"/>
          </w:tcPr>
          <w:p w:rsidR="007C5447" w:rsidRDefault="00F6308C">
            <w:pPr>
              <w:pStyle w:val="TableParagraph"/>
              <w:spacing w:before="36"/>
              <w:ind w:right="98"/>
              <w:rPr>
                <w:sz w:val="20"/>
              </w:rPr>
            </w:pPr>
            <w:r>
              <w:rPr>
                <w:sz w:val="20"/>
              </w:rPr>
              <w:t>2.49</w:t>
            </w:r>
          </w:p>
        </w:tc>
        <w:tc>
          <w:tcPr>
            <w:tcW w:w="1133" w:type="dxa"/>
          </w:tcPr>
          <w:p w:rsidR="007C5447" w:rsidRDefault="00F6308C">
            <w:pPr>
              <w:pStyle w:val="TableParagraph"/>
              <w:spacing w:before="36"/>
              <w:ind w:right="98"/>
              <w:rPr>
                <w:sz w:val="20"/>
              </w:rPr>
            </w:pPr>
            <w:r>
              <w:rPr>
                <w:w w:val="95"/>
                <w:sz w:val="20"/>
              </w:rPr>
              <w:t>350.73</w:t>
            </w:r>
          </w:p>
        </w:tc>
        <w:tc>
          <w:tcPr>
            <w:tcW w:w="1136" w:type="dxa"/>
          </w:tcPr>
          <w:p w:rsidR="007C5447" w:rsidRDefault="00F6308C">
            <w:pPr>
              <w:pStyle w:val="TableParagraph"/>
              <w:spacing w:before="36"/>
              <w:ind w:right="98"/>
              <w:rPr>
                <w:sz w:val="20"/>
              </w:rPr>
            </w:pPr>
            <w:r>
              <w:rPr>
                <w:sz w:val="20"/>
              </w:rPr>
              <w:t>3.67</w:t>
            </w:r>
          </w:p>
        </w:tc>
        <w:tc>
          <w:tcPr>
            <w:tcW w:w="1075" w:type="dxa"/>
          </w:tcPr>
          <w:p w:rsidR="007C5447" w:rsidRDefault="00F6308C">
            <w:pPr>
              <w:pStyle w:val="TableParagraph"/>
              <w:spacing w:before="36"/>
              <w:ind w:right="96"/>
              <w:rPr>
                <w:sz w:val="20"/>
              </w:rPr>
            </w:pPr>
            <w:r>
              <w:rPr>
                <w:w w:val="95"/>
                <w:sz w:val="20"/>
              </w:rPr>
              <w:t>517.06</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NLC TS Expansion II</w:t>
            </w:r>
          </w:p>
        </w:tc>
        <w:tc>
          <w:tcPr>
            <w:tcW w:w="1277" w:type="dxa"/>
          </w:tcPr>
          <w:p w:rsidR="007C5447" w:rsidRDefault="00F6308C">
            <w:pPr>
              <w:pStyle w:val="TableParagraph"/>
              <w:spacing w:before="36"/>
              <w:ind w:right="96"/>
              <w:rPr>
                <w:sz w:val="20"/>
              </w:rPr>
            </w:pPr>
            <w:r>
              <w:rPr>
                <w:w w:val="95"/>
                <w:sz w:val="20"/>
              </w:rPr>
              <w:t>930.88</w:t>
            </w:r>
          </w:p>
        </w:tc>
        <w:tc>
          <w:tcPr>
            <w:tcW w:w="1133" w:type="dxa"/>
          </w:tcPr>
          <w:p w:rsidR="007C5447" w:rsidRDefault="00F6308C">
            <w:pPr>
              <w:pStyle w:val="TableParagraph"/>
              <w:spacing w:before="36"/>
              <w:ind w:right="96"/>
              <w:rPr>
                <w:sz w:val="20"/>
              </w:rPr>
            </w:pPr>
            <w:r>
              <w:rPr>
                <w:w w:val="95"/>
                <w:sz w:val="20"/>
              </w:rPr>
              <w:t>128.68</w:t>
            </w:r>
          </w:p>
        </w:tc>
        <w:tc>
          <w:tcPr>
            <w:tcW w:w="1135" w:type="dxa"/>
          </w:tcPr>
          <w:p w:rsidR="007C5447" w:rsidRDefault="00F6308C">
            <w:pPr>
              <w:pStyle w:val="TableParagraph"/>
              <w:spacing w:before="36"/>
              <w:ind w:right="98"/>
              <w:rPr>
                <w:sz w:val="20"/>
              </w:rPr>
            </w:pPr>
            <w:r>
              <w:rPr>
                <w:sz w:val="20"/>
              </w:rPr>
              <w:t>2.42</w:t>
            </w:r>
          </w:p>
        </w:tc>
        <w:tc>
          <w:tcPr>
            <w:tcW w:w="1133" w:type="dxa"/>
          </w:tcPr>
          <w:p w:rsidR="007C5447" w:rsidRDefault="00F6308C">
            <w:pPr>
              <w:pStyle w:val="TableParagraph"/>
              <w:spacing w:before="36"/>
              <w:ind w:right="98"/>
              <w:rPr>
                <w:sz w:val="20"/>
              </w:rPr>
            </w:pPr>
            <w:r>
              <w:rPr>
                <w:w w:val="95"/>
                <w:sz w:val="20"/>
              </w:rPr>
              <w:t>225.27</w:t>
            </w:r>
          </w:p>
        </w:tc>
        <w:tc>
          <w:tcPr>
            <w:tcW w:w="1136" w:type="dxa"/>
          </w:tcPr>
          <w:p w:rsidR="007C5447" w:rsidRDefault="00F6308C">
            <w:pPr>
              <w:pStyle w:val="TableParagraph"/>
              <w:spacing w:before="36"/>
              <w:ind w:right="98"/>
              <w:rPr>
                <w:sz w:val="20"/>
              </w:rPr>
            </w:pPr>
            <w:r>
              <w:rPr>
                <w:sz w:val="20"/>
              </w:rPr>
              <w:t>3.80</w:t>
            </w:r>
          </w:p>
        </w:tc>
        <w:tc>
          <w:tcPr>
            <w:tcW w:w="1075" w:type="dxa"/>
          </w:tcPr>
          <w:p w:rsidR="007C5447" w:rsidRDefault="00F6308C">
            <w:pPr>
              <w:pStyle w:val="TableParagraph"/>
              <w:spacing w:before="36"/>
              <w:ind w:right="96"/>
              <w:rPr>
                <w:sz w:val="20"/>
              </w:rPr>
            </w:pPr>
            <w:r>
              <w:rPr>
                <w:w w:val="95"/>
                <w:sz w:val="20"/>
              </w:rPr>
              <w:t>353.95</w:t>
            </w:r>
          </w:p>
        </w:tc>
      </w:tr>
      <w:tr w:rsidR="007C5447">
        <w:trPr>
          <w:trHeight w:val="302"/>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NTPL (JV with NLC)</w:t>
            </w:r>
          </w:p>
        </w:tc>
        <w:tc>
          <w:tcPr>
            <w:tcW w:w="1277" w:type="dxa"/>
          </w:tcPr>
          <w:p w:rsidR="007C5447" w:rsidRDefault="00F6308C">
            <w:pPr>
              <w:pStyle w:val="TableParagraph"/>
              <w:spacing w:before="36"/>
              <w:ind w:right="97"/>
              <w:rPr>
                <w:sz w:val="20"/>
              </w:rPr>
            </w:pPr>
            <w:r>
              <w:rPr>
                <w:w w:val="95"/>
                <w:sz w:val="20"/>
              </w:rPr>
              <w:t>2,597.54</w:t>
            </w:r>
          </w:p>
        </w:tc>
        <w:tc>
          <w:tcPr>
            <w:tcW w:w="1133" w:type="dxa"/>
          </w:tcPr>
          <w:p w:rsidR="007C5447" w:rsidRDefault="00F6308C">
            <w:pPr>
              <w:pStyle w:val="TableParagraph"/>
              <w:spacing w:before="36"/>
              <w:ind w:right="96"/>
              <w:rPr>
                <w:sz w:val="20"/>
              </w:rPr>
            </w:pPr>
            <w:r>
              <w:rPr>
                <w:w w:val="95"/>
                <w:sz w:val="20"/>
              </w:rPr>
              <w:t>375.18</w:t>
            </w:r>
          </w:p>
        </w:tc>
        <w:tc>
          <w:tcPr>
            <w:tcW w:w="1135" w:type="dxa"/>
          </w:tcPr>
          <w:p w:rsidR="007C5447" w:rsidRDefault="00F6308C">
            <w:pPr>
              <w:pStyle w:val="TableParagraph"/>
              <w:spacing w:before="36"/>
              <w:ind w:right="98"/>
              <w:rPr>
                <w:sz w:val="20"/>
              </w:rPr>
            </w:pPr>
            <w:r>
              <w:rPr>
                <w:sz w:val="20"/>
              </w:rPr>
              <w:t>2.56</w:t>
            </w:r>
          </w:p>
        </w:tc>
        <w:tc>
          <w:tcPr>
            <w:tcW w:w="1133" w:type="dxa"/>
          </w:tcPr>
          <w:p w:rsidR="007C5447" w:rsidRDefault="00F6308C">
            <w:pPr>
              <w:pStyle w:val="TableParagraph"/>
              <w:spacing w:before="36"/>
              <w:ind w:right="98"/>
              <w:rPr>
                <w:sz w:val="20"/>
              </w:rPr>
            </w:pPr>
            <w:r>
              <w:rPr>
                <w:w w:val="95"/>
                <w:sz w:val="20"/>
              </w:rPr>
              <w:t>664.97</w:t>
            </w:r>
          </w:p>
        </w:tc>
        <w:tc>
          <w:tcPr>
            <w:tcW w:w="1136" w:type="dxa"/>
          </w:tcPr>
          <w:p w:rsidR="007C5447" w:rsidRDefault="00F6308C">
            <w:pPr>
              <w:pStyle w:val="TableParagraph"/>
              <w:spacing w:before="36"/>
              <w:ind w:right="98"/>
              <w:rPr>
                <w:sz w:val="20"/>
              </w:rPr>
            </w:pPr>
            <w:r>
              <w:rPr>
                <w:sz w:val="20"/>
              </w:rPr>
              <w:t>4.00</w:t>
            </w:r>
          </w:p>
        </w:tc>
        <w:tc>
          <w:tcPr>
            <w:tcW w:w="1075" w:type="dxa"/>
          </w:tcPr>
          <w:p w:rsidR="007C5447" w:rsidRDefault="00F6308C">
            <w:pPr>
              <w:pStyle w:val="TableParagraph"/>
              <w:spacing w:before="36"/>
              <w:ind w:right="96"/>
              <w:rPr>
                <w:sz w:val="20"/>
              </w:rPr>
            </w:pPr>
            <w:r>
              <w:rPr>
                <w:w w:val="95"/>
                <w:sz w:val="20"/>
              </w:rPr>
              <w:t>1,040.15</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5"/>
              <w:ind w:left="107"/>
              <w:jc w:val="left"/>
              <w:rPr>
                <w:sz w:val="18"/>
              </w:rPr>
            </w:pPr>
            <w:r>
              <w:rPr>
                <w:sz w:val="18"/>
              </w:rPr>
              <w:t>NTPC Talcher</w:t>
            </w:r>
          </w:p>
        </w:tc>
        <w:tc>
          <w:tcPr>
            <w:tcW w:w="1277" w:type="dxa"/>
          </w:tcPr>
          <w:p w:rsidR="007C5447" w:rsidRDefault="00F6308C">
            <w:pPr>
              <w:pStyle w:val="TableParagraph"/>
              <w:spacing w:before="34"/>
              <w:ind w:right="97"/>
              <w:rPr>
                <w:sz w:val="20"/>
              </w:rPr>
            </w:pPr>
            <w:r>
              <w:rPr>
                <w:w w:val="95"/>
                <w:sz w:val="20"/>
              </w:rPr>
              <w:t>3,231.59</w:t>
            </w:r>
          </w:p>
        </w:tc>
        <w:tc>
          <w:tcPr>
            <w:tcW w:w="1133" w:type="dxa"/>
          </w:tcPr>
          <w:p w:rsidR="007C5447" w:rsidRDefault="00F6308C">
            <w:pPr>
              <w:pStyle w:val="TableParagraph"/>
              <w:spacing w:before="34"/>
              <w:ind w:right="96"/>
              <w:rPr>
                <w:sz w:val="20"/>
              </w:rPr>
            </w:pPr>
            <w:r>
              <w:rPr>
                <w:w w:val="95"/>
                <w:sz w:val="20"/>
              </w:rPr>
              <w:t>258.12</w:t>
            </w:r>
          </w:p>
        </w:tc>
        <w:tc>
          <w:tcPr>
            <w:tcW w:w="1135" w:type="dxa"/>
          </w:tcPr>
          <w:p w:rsidR="007C5447" w:rsidRDefault="00F6308C">
            <w:pPr>
              <w:pStyle w:val="TableParagraph"/>
              <w:spacing w:before="34"/>
              <w:ind w:right="98"/>
              <w:rPr>
                <w:sz w:val="20"/>
              </w:rPr>
            </w:pPr>
            <w:r>
              <w:rPr>
                <w:sz w:val="20"/>
              </w:rPr>
              <w:t>1.65</w:t>
            </w:r>
          </w:p>
        </w:tc>
        <w:tc>
          <w:tcPr>
            <w:tcW w:w="1133" w:type="dxa"/>
          </w:tcPr>
          <w:p w:rsidR="007C5447" w:rsidRDefault="00F6308C">
            <w:pPr>
              <w:pStyle w:val="TableParagraph"/>
              <w:spacing w:before="34"/>
              <w:ind w:right="98"/>
              <w:rPr>
                <w:sz w:val="20"/>
              </w:rPr>
            </w:pPr>
            <w:r>
              <w:rPr>
                <w:w w:val="95"/>
                <w:sz w:val="20"/>
              </w:rPr>
              <w:t>533.21</w:t>
            </w:r>
          </w:p>
        </w:tc>
        <w:tc>
          <w:tcPr>
            <w:tcW w:w="1136" w:type="dxa"/>
          </w:tcPr>
          <w:p w:rsidR="007C5447" w:rsidRDefault="00F6308C">
            <w:pPr>
              <w:pStyle w:val="TableParagraph"/>
              <w:spacing w:before="34"/>
              <w:ind w:right="98"/>
              <w:rPr>
                <w:sz w:val="20"/>
              </w:rPr>
            </w:pPr>
            <w:r>
              <w:rPr>
                <w:sz w:val="20"/>
              </w:rPr>
              <w:t>2.45</w:t>
            </w:r>
          </w:p>
        </w:tc>
        <w:tc>
          <w:tcPr>
            <w:tcW w:w="1075" w:type="dxa"/>
          </w:tcPr>
          <w:p w:rsidR="007C5447" w:rsidRDefault="00F6308C">
            <w:pPr>
              <w:pStyle w:val="TableParagraph"/>
              <w:spacing w:before="34"/>
              <w:ind w:right="96"/>
              <w:rPr>
                <w:sz w:val="20"/>
              </w:rPr>
            </w:pPr>
            <w:r>
              <w:rPr>
                <w:w w:val="95"/>
                <w:sz w:val="20"/>
              </w:rPr>
              <w:t>791.33</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5"/>
              <w:ind w:left="107"/>
              <w:jc w:val="left"/>
              <w:rPr>
                <w:sz w:val="18"/>
              </w:rPr>
            </w:pPr>
            <w:r>
              <w:rPr>
                <w:sz w:val="18"/>
              </w:rPr>
              <w:t>NTPC Simhadri</w:t>
            </w:r>
          </w:p>
        </w:tc>
        <w:tc>
          <w:tcPr>
            <w:tcW w:w="1277" w:type="dxa"/>
          </w:tcPr>
          <w:p w:rsidR="007C5447" w:rsidRDefault="00F6308C">
            <w:pPr>
              <w:pStyle w:val="TableParagraph"/>
              <w:spacing w:before="34"/>
              <w:ind w:right="97"/>
              <w:rPr>
                <w:sz w:val="20"/>
              </w:rPr>
            </w:pPr>
            <w:r>
              <w:rPr>
                <w:w w:val="95"/>
                <w:sz w:val="20"/>
              </w:rPr>
              <w:t>1,541.23</w:t>
            </w:r>
          </w:p>
        </w:tc>
        <w:tc>
          <w:tcPr>
            <w:tcW w:w="1133" w:type="dxa"/>
          </w:tcPr>
          <w:p w:rsidR="007C5447" w:rsidRDefault="00F6308C">
            <w:pPr>
              <w:pStyle w:val="TableParagraph"/>
              <w:spacing w:before="34"/>
              <w:ind w:right="96"/>
              <w:rPr>
                <w:sz w:val="20"/>
              </w:rPr>
            </w:pPr>
            <w:r>
              <w:rPr>
                <w:w w:val="95"/>
                <w:sz w:val="20"/>
              </w:rPr>
              <w:t>199.00</w:t>
            </w:r>
          </w:p>
        </w:tc>
        <w:tc>
          <w:tcPr>
            <w:tcW w:w="1135" w:type="dxa"/>
          </w:tcPr>
          <w:p w:rsidR="007C5447" w:rsidRDefault="00F6308C">
            <w:pPr>
              <w:pStyle w:val="TableParagraph"/>
              <w:spacing w:before="34"/>
              <w:ind w:right="98"/>
              <w:rPr>
                <w:sz w:val="20"/>
              </w:rPr>
            </w:pPr>
            <w:r>
              <w:rPr>
                <w:sz w:val="20"/>
              </w:rPr>
              <w:t>2.68</w:t>
            </w:r>
          </w:p>
        </w:tc>
        <w:tc>
          <w:tcPr>
            <w:tcW w:w="1133" w:type="dxa"/>
          </w:tcPr>
          <w:p w:rsidR="007C5447" w:rsidRDefault="00F6308C">
            <w:pPr>
              <w:pStyle w:val="TableParagraph"/>
              <w:spacing w:before="34"/>
              <w:ind w:right="98"/>
              <w:rPr>
                <w:sz w:val="20"/>
              </w:rPr>
            </w:pPr>
            <w:r>
              <w:rPr>
                <w:w w:val="95"/>
                <w:sz w:val="20"/>
              </w:rPr>
              <w:t>413.05</w:t>
            </w:r>
          </w:p>
        </w:tc>
        <w:tc>
          <w:tcPr>
            <w:tcW w:w="1136" w:type="dxa"/>
          </w:tcPr>
          <w:p w:rsidR="007C5447" w:rsidRDefault="00F6308C">
            <w:pPr>
              <w:pStyle w:val="TableParagraph"/>
              <w:spacing w:before="34"/>
              <w:ind w:right="98"/>
              <w:rPr>
                <w:sz w:val="20"/>
              </w:rPr>
            </w:pPr>
            <w:r>
              <w:rPr>
                <w:sz w:val="20"/>
              </w:rPr>
              <w:t>3.97</w:t>
            </w:r>
          </w:p>
        </w:tc>
        <w:tc>
          <w:tcPr>
            <w:tcW w:w="1075" w:type="dxa"/>
          </w:tcPr>
          <w:p w:rsidR="007C5447" w:rsidRDefault="00F6308C">
            <w:pPr>
              <w:pStyle w:val="TableParagraph"/>
              <w:spacing w:before="34"/>
              <w:ind w:right="96"/>
              <w:rPr>
                <w:sz w:val="20"/>
              </w:rPr>
            </w:pPr>
            <w:r>
              <w:rPr>
                <w:w w:val="95"/>
                <w:sz w:val="20"/>
              </w:rPr>
              <w:t>612.05</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5"/>
              <w:ind w:left="107"/>
              <w:jc w:val="left"/>
              <w:rPr>
                <w:sz w:val="18"/>
              </w:rPr>
            </w:pPr>
            <w:r>
              <w:rPr>
                <w:sz w:val="18"/>
              </w:rPr>
              <w:t>MAPS</w:t>
            </w:r>
          </w:p>
        </w:tc>
        <w:tc>
          <w:tcPr>
            <w:tcW w:w="1277" w:type="dxa"/>
          </w:tcPr>
          <w:p w:rsidR="007C5447" w:rsidRDefault="00F6308C">
            <w:pPr>
              <w:pStyle w:val="TableParagraph"/>
              <w:spacing w:before="34"/>
              <w:ind w:right="97"/>
              <w:rPr>
                <w:sz w:val="20"/>
              </w:rPr>
            </w:pPr>
            <w:r>
              <w:rPr>
                <w:w w:val="95"/>
                <w:sz w:val="20"/>
              </w:rPr>
              <w:t>1,530.78</w:t>
            </w:r>
          </w:p>
        </w:tc>
        <w:tc>
          <w:tcPr>
            <w:tcW w:w="1133" w:type="dxa"/>
          </w:tcPr>
          <w:p w:rsidR="007C5447" w:rsidRDefault="00F6308C">
            <w:pPr>
              <w:pStyle w:val="TableParagraph"/>
              <w:spacing w:before="34"/>
              <w:ind w:right="98"/>
              <w:rPr>
                <w:sz w:val="20"/>
              </w:rPr>
            </w:pPr>
            <w:r>
              <w:rPr>
                <w:w w:val="99"/>
                <w:sz w:val="20"/>
              </w:rPr>
              <w:t>-</w:t>
            </w:r>
          </w:p>
        </w:tc>
        <w:tc>
          <w:tcPr>
            <w:tcW w:w="1135" w:type="dxa"/>
          </w:tcPr>
          <w:p w:rsidR="007C5447" w:rsidRDefault="00F6308C">
            <w:pPr>
              <w:pStyle w:val="TableParagraph"/>
              <w:spacing w:before="34"/>
              <w:ind w:right="98"/>
              <w:rPr>
                <w:sz w:val="20"/>
              </w:rPr>
            </w:pPr>
            <w:r>
              <w:rPr>
                <w:sz w:val="20"/>
              </w:rPr>
              <w:t>2.12</w:t>
            </w:r>
          </w:p>
        </w:tc>
        <w:tc>
          <w:tcPr>
            <w:tcW w:w="1133" w:type="dxa"/>
          </w:tcPr>
          <w:p w:rsidR="007C5447" w:rsidRDefault="00F6308C">
            <w:pPr>
              <w:pStyle w:val="TableParagraph"/>
              <w:spacing w:before="34"/>
              <w:ind w:right="98"/>
              <w:rPr>
                <w:sz w:val="20"/>
              </w:rPr>
            </w:pPr>
            <w:r>
              <w:rPr>
                <w:w w:val="95"/>
                <w:sz w:val="20"/>
              </w:rPr>
              <w:t>324.52</w:t>
            </w:r>
          </w:p>
        </w:tc>
        <w:tc>
          <w:tcPr>
            <w:tcW w:w="1136" w:type="dxa"/>
          </w:tcPr>
          <w:p w:rsidR="007C5447" w:rsidRDefault="00F6308C">
            <w:pPr>
              <w:pStyle w:val="TableParagraph"/>
              <w:spacing w:before="34"/>
              <w:ind w:right="98"/>
              <w:rPr>
                <w:sz w:val="20"/>
              </w:rPr>
            </w:pPr>
            <w:r>
              <w:rPr>
                <w:sz w:val="20"/>
              </w:rPr>
              <w:t>2.12</w:t>
            </w:r>
          </w:p>
        </w:tc>
        <w:tc>
          <w:tcPr>
            <w:tcW w:w="1075" w:type="dxa"/>
          </w:tcPr>
          <w:p w:rsidR="007C5447" w:rsidRDefault="00F6308C">
            <w:pPr>
              <w:pStyle w:val="TableParagraph"/>
              <w:spacing w:before="34"/>
              <w:ind w:right="96"/>
              <w:rPr>
                <w:sz w:val="20"/>
              </w:rPr>
            </w:pPr>
            <w:r>
              <w:rPr>
                <w:w w:val="95"/>
                <w:sz w:val="20"/>
              </w:rPr>
              <w:t>324.52</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KAIGA</w:t>
            </w:r>
          </w:p>
        </w:tc>
        <w:tc>
          <w:tcPr>
            <w:tcW w:w="1277" w:type="dxa"/>
          </w:tcPr>
          <w:p w:rsidR="007C5447" w:rsidRDefault="00F6308C">
            <w:pPr>
              <w:pStyle w:val="TableParagraph"/>
              <w:spacing w:before="36"/>
              <w:ind w:right="97"/>
              <w:rPr>
                <w:sz w:val="20"/>
              </w:rPr>
            </w:pPr>
            <w:r>
              <w:rPr>
                <w:w w:val="95"/>
                <w:sz w:val="20"/>
              </w:rPr>
              <w:t>1,175.28</w:t>
            </w:r>
          </w:p>
        </w:tc>
        <w:tc>
          <w:tcPr>
            <w:tcW w:w="1133" w:type="dxa"/>
          </w:tcPr>
          <w:p w:rsidR="007C5447" w:rsidRDefault="00F6308C">
            <w:pPr>
              <w:pStyle w:val="TableParagraph"/>
              <w:spacing w:before="36"/>
              <w:ind w:right="98"/>
              <w:rPr>
                <w:sz w:val="20"/>
              </w:rPr>
            </w:pPr>
            <w:r>
              <w:rPr>
                <w:w w:val="99"/>
                <w:sz w:val="20"/>
              </w:rPr>
              <w:t>-</w:t>
            </w:r>
          </w:p>
        </w:tc>
        <w:tc>
          <w:tcPr>
            <w:tcW w:w="1135" w:type="dxa"/>
          </w:tcPr>
          <w:p w:rsidR="007C5447" w:rsidRDefault="00F6308C">
            <w:pPr>
              <w:pStyle w:val="TableParagraph"/>
              <w:spacing w:before="36"/>
              <w:ind w:right="98"/>
              <w:rPr>
                <w:sz w:val="20"/>
              </w:rPr>
            </w:pPr>
            <w:r>
              <w:rPr>
                <w:sz w:val="20"/>
              </w:rPr>
              <w:t>3.13</w:t>
            </w:r>
          </w:p>
        </w:tc>
        <w:tc>
          <w:tcPr>
            <w:tcW w:w="1133" w:type="dxa"/>
          </w:tcPr>
          <w:p w:rsidR="007C5447" w:rsidRDefault="00F6308C">
            <w:pPr>
              <w:pStyle w:val="TableParagraph"/>
              <w:spacing w:before="36"/>
              <w:ind w:right="98"/>
              <w:rPr>
                <w:sz w:val="20"/>
              </w:rPr>
            </w:pPr>
            <w:r>
              <w:rPr>
                <w:w w:val="95"/>
                <w:sz w:val="20"/>
              </w:rPr>
              <w:t>367.86</w:t>
            </w:r>
          </w:p>
        </w:tc>
        <w:tc>
          <w:tcPr>
            <w:tcW w:w="1136" w:type="dxa"/>
          </w:tcPr>
          <w:p w:rsidR="007C5447" w:rsidRDefault="00F6308C">
            <w:pPr>
              <w:pStyle w:val="TableParagraph"/>
              <w:spacing w:before="36"/>
              <w:ind w:right="98"/>
              <w:rPr>
                <w:sz w:val="20"/>
              </w:rPr>
            </w:pPr>
            <w:r>
              <w:rPr>
                <w:sz w:val="20"/>
              </w:rPr>
              <w:t>3.13</w:t>
            </w:r>
          </w:p>
        </w:tc>
        <w:tc>
          <w:tcPr>
            <w:tcW w:w="1075" w:type="dxa"/>
          </w:tcPr>
          <w:p w:rsidR="007C5447" w:rsidRDefault="00F6308C">
            <w:pPr>
              <w:pStyle w:val="TableParagraph"/>
              <w:spacing w:before="36"/>
              <w:ind w:right="96"/>
              <w:rPr>
                <w:sz w:val="20"/>
              </w:rPr>
            </w:pPr>
            <w:r>
              <w:rPr>
                <w:w w:val="95"/>
                <w:sz w:val="20"/>
              </w:rPr>
              <w:t>367.86</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NTPC ER</w:t>
            </w:r>
          </w:p>
        </w:tc>
        <w:tc>
          <w:tcPr>
            <w:tcW w:w="1277" w:type="dxa"/>
          </w:tcPr>
          <w:p w:rsidR="007C5447" w:rsidRDefault="00F6308C">
            <w:pPr>
              <w:pStyle w:val="TableParagraph"/>
              <w:spacing w:before="36"/>
              <w:ind w:right="96"/>
              <w:rPr>
                <w:sz w:val="20"/>
              </w:rPr>
            </w:pPr>
            <w:r>
              <w:rPr>
                <w:w w:val="95"/>
                <w:sz w:val="20"/>
              </w:rPr>
              <w:t>325.00</w:t>
            </w:r>
          </w:p>
        </w:tc>
        <w:tc>
          <w:tcPr>
            <w:tcW w:w="1133" w:type="dxa"/>
          </w:tcPr>
          <w:p w:rsidR="007C5447" w:rsidRDefault="00F6308C">
            <w:pPr>
              <w:pStyle w:val="TableParagraph"/>
              <w:spacing w:before="36"/>
              <w:ind w:right="96"/>
              <w:rPr>
                <w:sz w:val="20"/>
              </w:rPr>
            </w:pPr>
            <w:r>
              <w:rPr>
                <w:sz w:val="20"/>
              </w:rPr>
              <w:t>24.03</w:t>
            </w:r>
          </w:p>
        </w:tc>
        <w:tc>
          <w:tcPr>
            <w:tcW w:w="1135" w:type="dxa"/>
          </w:tcPr>
          <w:p w:rsidR="007C5447" w:rsidRDefault="00F6308C">
            <w:pPr>
              <w:pStyle w:val="TableParagraph"/>
              <w:spacing w:before="36"/>
              <w:ind w:right="98"/>
              <w:rPr>
                <w:sz w:val="20"/>
              </w:rPr>
            </w:pPr>
            <w:r>
              <w:rPr>
                <w:sz w:val="20"/>
              </w:rPr>
              <w:t>2.30</w:t>
            </w:r>
          </w:p>
        </w:tc>
        <w:tc>
          <w:tcPr>
            <w:tcW w:w="1133" w:type="dxa"/>
          </w:tcPr>
          <w:p w:rsidR="007C5447" w:rsidRDefault="00F6308C">
            <w:pPr>
              <w:pStyle w:val="TableParagraph"/>
              <w:spacing w:before="36"/>
              <w:ind w:right="98"/>
              <w:rPr>
                <w:sz w:val="20"/>
              </w:rPr>
            </w:pPr>
            <w:r>
              <w:rPr>
                <w:sz w:val="20"/>
              </w:rPr>
              <w:t>74.75</w:t>
            </w:r>
          </w:p>
        </w:tc>
        <w:tc>
          <w:tcPr>
            <w:tcW w:w="1136" w:type="dxa"/>
          </w:tcPr>
          <w:p w:rsidR="007C5447" w:rsidRDefault="00F6308C">
            <w:pPr>
              <w:pStyle w:val="TableParagraph"/>
              <w:spacing w:before="36"/>
              <w:ind w:right="98"/>
              <w:rPr>
                <w:sz w:val="20"/>
              </w:rPr>
            </w:pPr>
            <w:r>
              <w:rPr>
                <w:sz w:val="20"/>
              </w:rPr>
              <w:t>3.04</w:t>
            </w:r>
          </w:p>
        </w:tc>
        <w:tc>
          <w:tcPr>
            <w:tcW w:w="1075" w:type="dxa"/>
          </w:tcPr>
          <w:p w:rsidR="007C5447" w:rsidRDefault="00F6308C">
            <w:pPr>
              <w:pStyle w:val="TableParagraph"/>
              <w:spacing w:before="36"/>
              <w:ind w:right="96"/>
              <w:rPr>
                <w:sz w:val="20"/>
              </w:rPr>
            </w:pPr>
            <w:r>
              <w:rPr>
                <w:sz w:val="20"/>
              </w:rPr>
              <w:t>98.78</w:t>
            </w:r>
          </w:p>
        </w:tc>
      </w:tr>
      <w:tr w:rsidR="007C5447">
        <w:trPr>
          <w:trHeight w:val="446"/>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20" w:line="206" w:lineRule="exact"/>
              <w:ind w:left="107" w:right="117"/>
              <w:jc w:val="left"/>
              <w:rPr>
                <w:sz w:val="18"/>
              </w:rPr>
            </w:pPr>
            <w:r>
              <w:rPr>
                <w:sz w:val="18"/>
              </w:rPr>
              <w:t>NTPC Vallur Unit 1 &amp; Unit 2 (NTECL)</w:t>
            </w:r>
          </w:p>
        </w:tc>
        <w:tc>
          <w:tcPr>
            <w:tcW w:w="1277" w:type="dxa"/>
          </w:tcPr>
          <w:p w:rsidR="007C5447" w:rsidRDefault="00F6308C">
            <w:pPr>
              <w:pStyle w:val="TableParagraph"/>
              <w:spacing w:before="108"/>
              <w:ind w:right="97"/>
              <w:rPr>
                <w:sz w:val="20"/>
              </w:rPr>
            </w:pPr>
            <w:r>
              <w:rPr>
                <w:w w:val="95"/>
                <w:sz w:val="20"/>
              </w:rPr>
              <w:t>7,075.96</w:t>
            </w:r>
          </w:p>
        </w:tc>
        <w:tc>
          <w:tcPr>
            <w:tcW w:w="1133" w:type="dxa"/>
          </w:tcPr>
          <w:p w:rsidR="007C5447" w:rsidRDefault="00F6308C">
            <w:pPr>
              <w:pStyle w:val="TableParagraph"/>
              <w:spacing w:before="108"/>
              <w:ind w:right="96"/>
              <w:rPr>
                <w:sz w:val="20"/>
              </w:rPr>
            </w:pPr>
            <w:r>
              <w:rPr>
                <w:w w:val="95"/>
                <w:sz w:val="20"/>
              </w:rPr>
              <w:t>953.97</w:t>
            </w:r>
          </w:p>
        </w:tc>
        <w:tc>
          <w:tcPr>
            <w:tcW w:w="1135" w:type="dxa"/>
          </w:tcPr>
          <w:p w:rsidR="007C5447" w:rsidRDefault="00F6308C">
            <w:pPr>
              <w:pStyle w:val="TableParagraph"/>
              <w:spacing w:before="108"/>
              <w:ind w:right="98"/>
              <w:rPr>
                <w:sz w:val="20"/>
              </w:rPr>
            </w:pPr>
            <w:r>
              <w:rPr>
                <w:sz w:val="20"/>
              </w:rPr>
              <w:t>2.40</w:t>
            </w:r>
          </w:p>
        </w:tc>
        <w:tc>
          <w:tcPr>
            <w:tcW w:w="1133" w:type="dxa"/>
          </w:tcPr>
          <w:p w:rsidR="007C5447" w:rsidRDefault="00F6308C">
            <w:pPr>
              <w:pStyle w:val="TableParagraph"/>
              <w:spacing w:before="108"/>
              <w:ind w:right="99"/>
              <w:rPr>
                <w:sz w:val="20"/>
              </w:rPr>
            </w:pPr>
            <w:r>
              <w:rPr>
                <w:w w:val="95"/>
                <w:sz w:val="20"/>
              </w:rPr>
              <w:t>1,698.23</w:t>
            </w:r>
          </w:p>
        </w:tc>
        <w:tc>
          <w:tcPr>
            <w:tcW w:w="1136" w:type="dxa"/>
          </w:tcPr>
          <w:p w:rsidR="007C5447" w:rsidRDefault="00F6308C">
            <w:pPr>
              <w:pStyle w:val="TableParagraph"/>
              <w:spacing w:before="108"/>
              <w:ind w:right="98"/>
              <w:rPr>
                <w:sz w:val="20"/>
              </w:rPr>
            </w:pPr>
            <w:r>
              <w:rPr>
                <w:sz w:val="20"/>
              </w:rPr>
              <w:t>3.75</w:t>
            </w:r>
          </w:p>
        </w:tc>
        <w:tc>
          <w:tcPr>
            <w:tcW w:w="1075" w:type="dxa"/>
          </w:tcPr>
          <w:p w:rsidR="007C5447" w:rsidRDefault="00F6308C">
            <w:pPr>
              <w:pStyle w:val="TableParagraph"/>
              <w:spacing w:before="108"/>
              <w:ind w:right="96"/>
              <w:rPr>
                <w:sz w:val="20"/>
              </w:rPr>
            </w:pPr>
            <w:r>
              <w:rPr>
                <w:w w:val="95"/>
                <w:sz w:val="20"/>
              </w:rPr>
              <w:t>2,652.20</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5"/>
              <w:ind w:left="107"/>
              <w:jc w:val="left"/>
              <w:rPr>
                <w:sz w:val="18"/>
              </w:rPr>
            </w:pPr>
            <w:r>
              <w:rPr>
                <w:sz w:val="18"/>
              </w:rPr>
              <w:t>PFBR Kalpakkam</w:t>
            </w:r>
          </w:p>
        </w:tc>
        <w:tc>
          <w:tcPr>
            <w:tcW w:w="1277" w:type="dxa"/>
          </w:tcPr>
          <w:p w:rsidR="007C5447" w:rsidRDefault="00F6308C">
            <w:pPr>
              <w:pStyle w:val="TableParagraph"/>
              <w:spacing w:before="34"/>
              <w:ind w:right="96"/>
              <w:rPr>
                <w:sz w:val="20"/>
              </w:rPr>
            </w:pPr>
            <w:r>
              <w:rPr>
                <w:w w:val="95"/>
                <w:sz w:val="20"/>
              </w:rPr>
              <w:t>767.69</w:t>
            </w:r>
          </w:p>
        </w:tc>
        <w:tc>
          <w:tcPr>
            <w:tcW w:w="1133" w:type="dxa"/>
          </w:tcPr>
          <w:p w:rsidR="007C5447" w:rsidRDefault="00F6308C">
            <w:pPr>
              <w:pStyle w:val="TableParagraph"/>
              <w:spacing w:before="34"/>
              <w:ind w:right="98"/>
              <w:rPr>
                <w:sz w:val="20"/>
              </w:rPr>
            </w:pPr>
            <w:r>
              <w:rPr>
                <w:w w:val="99"/>
                <w:sz w:val="20"/>
              </w:rPr>
              <w:t>-</w:t>
            </w:r>
          </w:p>
        </w:tc>
        <w:tc>
          <w:tcPr>
            <w:tcW w:w="1135" w:type="dxa"/>
          </w:tcPr>
          <w:p w:rsidR="007C5447" w:rsidRDefault="00F6308C">
            <w:pPr>
              <w:pStyle w:val="TableParagraph"/>
              <w:spacing w:before="34"/>
              <w:ind w:right="98"/>
              <w:rPr>
                <w:sz w:val="20"/>
              </w:rPr>
            </w:pPr>
            <w:r>
              <w:rPr>
                <w:sz w:val="20"/>
              </w:rPr>
              <w:t>3.90</w:t>
            </w:r>
          </w:p>
        </w:tc>
        <w:tc>
          <w:tcPr>
            <w:tcW w:w="1133" w:type="dxa"/>
          </w:tcPr>
          <w:p w:rsidR="007C5447" w:rsidRDefault="00F6308C">
            <w:pPr>
              <w:pStyle w:val="TableParagraph"/>
              <w:spacing w:before="34"/>
              <w:ind w:right="98"/>
              <w:rPr>
                <w:sz w:val="20"/>
              </w:rPr>
            </w:pPr>
            <w:r>
              <w:rPr>
                <w:w w:val="95"/>
                <w:sz w:val="20"/>
              </w:rPr>
              <w:t>299.40</w:t>
            </w:r>
          </w:p>
        </w:tc>
        <w:tc>
          <w:tcPr>
            <w:tcW w:w="1136" w:type="dxa"/>
          </w:tcPr>
          <w:p w:rsidR="007C5447" w:rsidRDefault="00F6308C">
            <w:pPr>
              <w:pStyle w:val="TableParagraph"/>
              <w:spacing w:before="34"/>
              <w:ind w:right="98"/>
              <w:rPr>
                <w:sz w:val="20"/>
              </w:rPr>
            </w:pPr>
            <w:r>
              <w:rPr>
                <w:sz w:val="20"/>
              </w:rPr>
              <w:t>3.90</w:t>
            </w:r>
          </w:p>
        </w:tc>
        <w:tc>
          <w:tcPr>
            <w:tcW w:w="1075" w:type="dxa"/>
          </w:tcPr>
          <w:p w:rsidR="007C5447" w:rsidRDefault="00F6308C">
            <w:pPr>
              <w:pStyle w:val="TableParagraph"/>
              <w:spacing w:before="34"/>
              <w:ind w:right="96"/>
              <w:rPr>
                <w:sz w:val="20"/>
              </w:rPr>
            </w:pPr>
            <w:r>
              <w:rPr>
                <w:w w:val="95"/>
                <w:sz w:val="20"/>
              </w:rPr>
              <w:t>299.40</w:t>
            </w:r>
          </w:p>
        </w:tc>
      </w:tr>
      <w:tr w:rsidR="007C5447">
        <w:trPr>
          <w:trHeight w:val="300"/>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5"/>
              <w:ind w:left="107"/>
              <w:jc w:val="left"/>
              <w:rPr>
                <w:sz w:val="18"/>
              </w:rPr>
            </w:pPr>
            <w:r>
              <w:rPr>
                <w:sz w:val="18"/>
              </w:rPr>
              <w:t>Kudankulum</w:t>
            </w:r>
          </w:p>
        </w:tc>
        <w:tc>
          <w:tcPr>
            <w:tcW w:w="1277" w:type="dxa"/>
          </w:tcPr>
          <w:p w:rsidR="007C5447" w:rsidRDefault="00F6308C">
            <w:pPr>
              <w:pStyle w:val="TableParagraph"/>
              <w:spacing w:before="34"/>
              <w:ind w:right="97"/>
              <w:rPr>
                <w:sz w:val="20"/>
              </w:rPr>
            </w:pPr>
            <w:r>
              <w:rPr>
                <w:w w:val="95"/>
                <w:sz w:val="20"/>
              </w:rPr>
              <w:t>5,176.14</w:t>
            </w:r>
          </w:p>
        </w:tc>
        <w:tc>
          <w:tcPr>
            <w:tcW w:w="1133" w:type="dxa"/>
          </w:tcPr>
          <w:p w:rsidR="007C5447" w:rsidRDefault="00F6308C">
            <w:pPr>
              <w:pStyle w:val="TableParagraph"/>
              <w:spacing w:before="34"/>
              <w:ind w:right="98"/>
              <w:rPr>
                <w:sz w:val="20"/>
              </w:rPr>
            </w:pPr>
            <w:r>
              <w:rPr>
                <w:w w:val="99"/>
                <w:sz w:val="20"/>
              </w:rPr>
              <w:t>-</w:t>
            </w:r>
          </w:p>
        </w:tc>
        <w:tc>
          <w:tcPr>
            <w:tcW w:w="1135" w:type="dxa"/>
          </w:tcPr>
          <w:p w:rsidR="007C5447" w:rsidRDefault="00F6308C">
            <w:pPr>
              <w:pStyle w:val="TableParagraph"/>
              <w:spacing w:before="34"/>
              <w:ind w:right="98"/>
              <w:rPr>
                <w:sz w:val="20"/>
              </w:rPr>
            </w:pPr>
            <w:r>
              <w:rPr>
                <w:sz w:val="20"/>
              </w:rPr>
              <w:t>3.50</w:t>
            </w:r>
          </w:p>
        </w:tc>
        <w:tc>
          <w:tcPr>
            <w:tcW w:w="1133" w:type="dxa"/>
          </w:tcPr>
          <w:p w:rsidR="007C5447" w:rsidRDefault="00F6308C">
            <w:pPr>
              <w:pStyle w:val="TableParagraph"/>
              <w:spacing w:before="34"/>
              <w:ind w:right="99"/>
              <w:rPr>
                <w:sz w:val="20"/>
              </w:rPr>
            </w:pPr>
            <w:r>
              <w:rPr>
                <w:w w:val="95"/>
                <w:sz w:val="20"/>
              </w:rPr>
              <w:t>1,811.65</w:t>
            </w:r>
          </w:p>
        </w:tc>
        <w:tc>
          <w:tcPr>
            <w:tcW w:w="1136" w:type="dxa"/>
          </w:tcPr>
          <w:p w:rsidR="007C5447" w:rsidRDefault="00F6308C">
            <w:pPr>
              <w:pStyle w:val="TableParagraph"/>
              <w:spacing w:before="34"/>
              <w:ind w:right="98"/>
              <w:rPr>
                <w:sz w:val="20"/>
              </w:rPr>
            </w:pPr>
            <w:r>
              <w:rPr>
                <w:sz w:val="20"/>
              </w:rPr>
              <w:t>3.50</w:t>
            </w:r>
          </w:p>
        </w:tc>
        <w:tc>
          <w:tcPr>
            <w:tcW w:w="1075" w:type="dxa"/>
          </w:tcPr>
          <w:p w:rsidR="007C5447" w:rsidRDefault="00F6308C">
            <w:pPr>
              <w:pStyle w:val="TableParagraph"/>
              <w:spacing w:before="34"/>
              <w:ind w:right="96"/>
              <w:rPr>
                <w:sz w:val="20"/>
              </w:rPr>
            </w:pPr>
            <w:r>
              <w:rPr>
                <w:w w:val="95"/>
                <w:sz w:val="20"/>
              </w:rPr>
              <w:t>1,811.65</w:t>
            </w:r>
          </w:p>
        </w:tc>
      </w:tr>
      <w:tr w:rsidR="007C5447">
        <w:trPr>
          <w:trHeight w:val="330"/>
        </w:trPr>
        <w:tc>
          <w:tcPr>
            <w:tcW w:w="567" w:type="dxa"/>
            <w:shd w:val="clear" w:color="auto" w:fill="D0CECE"/>
          </w:tcPr>
          <w:p w:rsidR="007C5447" w:rsidRDefault="007C5447">
            <w:pPr>
              <w:pStyle w:val="TableParagraph"/>
              <w:jc w:val="left"/>
              <w:rPr>
                <w:sz w:val="18"/>
              </w:rPr>
            </w:pPr>
          </w:p>
        </w:tc>
        <w:tc>
          <w:tcPr>
            <w:tcW w:w="2269" w:type="dxa"/>
            <w:shd w:val="clear" w:color="auto" w:fill="D0CECE"/>
          </w:tcPr>
          <w:p w:rsidR="007C5447" w:rsidRDefault="00F6308C">
            <w:pPr>
              <w:pStyle w:val="TableParagraph"/>
              <w:spacing w:before="62"/>
              <w:ind w:left="107"/>
              <w:jc w:val="left"/>
              <w:rPr>
                <w:b/>
                <w:sz w:val="18"/>
              </w:rPr>
            </w:pPr>
            <w:r>
              <w:rPr>
                <w:b/>
                <w:sz w:val="18"/>
              </w:rPr>
              <w:t>Total</w:t>
            </w:r>
          </w:p>
        </w:tc>
        <w:tc>
          <w:tcPr>
            <w:tcW w:w="1277" w:type="dxa"/>
            <w:shd w:val="clear" w:color="auto" w:fill="BEBEBE"/>
          </w:tcPr>
          <w:p w:rsidR="007C5447" w:rsidRDefault="00F6308C">
            <w:pPr>
              <w:pStyle w:val="TableParagraph"/>
              <w:spacing w:before="50"/>
              <w:ind w:right="97"/>
              <w:rPr>
                <w:b/>
                <w:sz w:val="20"/>
              </w:rPr>
            </w:pPr>
            <w:r>
              <w:rPr>
                <w:b/>
                <w:w w:val="95"/>
                <w:sz w:val="20"/>
              </w:rPr>
              <w:t>31,618.65</w:t>
            </w:r>
          </w:p>
        </w:tc>
        <w:tc>
          <w:tcPr>
            <w:tcW w:w="1133" w:type="dxa"/>
            <w:shd w:val="clear" w:color="auto" w:fill="BEBEBE"/>
          </w:tcPr>
          <w:p w:rsidR="007C5447" w:rsidRDefault="00F6308C">
            <w:pPr>
              <w:pStyle w:val="TableParagraph"/>
              <w:spacing w:before="50"/>
              <w:ind w:right="97"/>
              <w:rPr>
                <w:b/>
                <w:sz w:val="20"/>
              </w:rPr>
            </w:pPr>
            <w:r>
              <w:rPr>
                <w:b/>
                <w:w w:val="95"/>
                <w:sz w:val="20"/>
              </w:rPr>
              <w:t>2,809.66</w:t>
            </w:r>
          </w:p>
        </w:tc>
        <w:tc>
          <w:tcPr>
            <w:tcW w:w="1135" w:type="dxa"/>
            <w:shd w:val="clear" w:color="auto" w:fill="BEBEBE"/>
          </w:tcPr>
          <w:p w:rsidR="007C5447" w:rsidRDefault="00F6308C">
            <w:pPr>
              <w:pStyle w:val="TableParagraph"/>
              <w:spacing w:before="50"/>
              <w:ind w:right="98"/>
              <w:rPr>
                <w:b/>
                <w:sz w:val="20"/>
              </w:rPr>
            </w:pPr>
            <w:r>
              <w:rPr>
                <w:b/>
                <w:sz w:val="20"/>
              </w:rPr>
              <w:t>2.57</w:t>
            </w:r>
          </w:p>
        </w:tc>
        <w:tc>
          <w:tcPr>
            <w:tcW w:w="1133" w:type="dxa"/>
            <w:shd w:val="clear" w:color="auto" w:fill="BEBEBE"/>
          </w:tcPr>
          <w:p w:rsidR="007C5447" w:rsidRDefault="00F6308C">
            <w:pPr>
              <w:pStyle w:val="TableParagraph"/>
              <w:spacing w:before="50"/>
              <w:ind w:right="98"/>
              <w:rPr>
                <w:b/>
                <w:sz w:val="20"/>
              </w:rPr>
            </w:pPr>
            <w:r>
              <w:rPr>
                <w:b/>
                <w:w w:val="95"/>
                <w:sz w:val="20"/>
              </w:rPr>
              <w:t>8,118.59</w:t>
            </w:r>
          </w:p>
        </w:tc>
        <w:tc>
          <w:tcPr>
            <w:tcW w:w="1136" w:type="dxa"/>
            <w:shd w:val="clear" w:color="auto" w:fill="BEBEBE"/>
          </w:tcPr>
          <w:p w:rsidR="007C5447" w:rsidRDefault="00F6308C">
            <w:pPr>
              <w:pStyle w:val="TableParagraph"/>
              <w:spacing w:before="50"/>
              <w:ind w:right="98"/>
              <w:rPr>
                <w:b/>
                <w:sz w:val="20"/>
              </w:rPr>
            </w:pPr>
            <w:r>
              <w:rPr>
                <w:b/>
                <w:sz w:val="20"/>
              </w:rPr>
              <w:t>3.46</w:t>
            </w:r>
          </w:p>
        </w:tc>
        <w:tc>
          <w:tcPr>
            <w:tcW w:w="1075" w:type="dxa"/>
            <w:shd w:val="clear" w:color="auto" w:fill="BEBEBE"/>
          </w:tcPr>
          <w:p w:rsidR="007C5447" w:rsidRDefault="00F6308C">
            <w:pPr>
              <w:pStyle w:val="TableParagraph"/>
              <w:spacing w:before="50"/>
              <w:ind w:right="96"/>
              <w:rPr>
                <w:b/>
                <w:sz w:val="20"/>
              </w:rPr>
            </w:pPr>
            <w:r>
              <w:rPr>
                <w:b/>
                <w:w w:val="95"/>
                <w:sz w:val="20"/>
              </w:rPr>
              <w:t>10,928.25</w:t>
            </w:r>
          </w:p>
        </w:tc>
      </w:tr>
      <w:tr w:rsidR="007C5447">
        <w:trPr>
          <w:trHeight w:val="328"/>
        </w:trPr>
        <w:tc>
          <w:tcPr>
            <w:tcW w:w="567" w:type="dxa"/>
          </w:tcPr>
          <w:p w:rsidR="007C5447" w:rsidRDefault="00F6308C">
            <w:pPr>
              <w:pStyle w:val="TableParagraph"/>
              <w:spacing w:before="59"/>
              <w:ind w:right="97"/>
              <w:rPr>
                <w:b/>
                <w:sz w:val="18"/>
              </w:rPr>
            </w:pPr>
            <w:r>
              <w:rPr>
                <w:b/>
                <w:sz w:val="18"/>
              </w:rPr>
              <w:t>3</w:t>
            </w:r>
          </w:p>
        </w:tc>
        <w:tc>
          <w:tcPr>
            <w:tcW w:w="2269" w:type="dxa"/>
          </w:tcPr>
          <w:p w:rsidR="007C5447" w:rsidRDefault="00F6308C">
            <w:pPr>
              <w:pStyle w:val="TableParagraph"/>
              <w:spacing w:before="59"/>
              <w:ind w:left="107"/>
              <w:jc w:val="left"/>
              <w:rPr>
                <w:b/>
                <w:sz w:val="18"/>
              </w:rPr>
            </w:pPr>
            <w:r>
              <w:rPr>
                <w:b/>
                <w:sz w:val="18"/>
              </w:rPr>
              <w:t>IPP</w:t>
            </w:r>
          </w:p>
        </w:tc>
        <w:tc>
          <w:tcPr>
            <w:tcW w:w="1277"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1135"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1136" w:type="dxa"/>
          </w:tcPr>
          <w:p w:rsidR="007C5447" w:rsidRDefault="007C5447">
            <w:pPr>
              <w:pStyle w:val="TableParagraph"/>
              <w:jc w:val="left"/>
              <w:rPr>
                <w:sz w:val="18"/>
              </w:rPr>
            </w:pPr>
          </w:p>
        </w:tc>
        <w:tc>
          <w:tcPr>
            <w:tcW w:w="1075" w:type="dxa"/>
          </w:tcPr>
          <w:p w:rsidR="007C5447" w:rsidRDefault="007C5447">
            <w:pPr>
              <w:pStyle w:val="TableParagraph"/>
              <w:jc w:val="left"/>
              <w:rPr>
                <w:sz w:val="18"/>
              </w:rPr>
            </w:pP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PPN</w:t>
            </w:r>
          </w:p>
        </w:tc>
        <w:tc>
          <w:tcPr>
            <w:tcW w:w="1277" w:type="dxa"/>
          </w:tcPr>
          <w:p w:rsidR="007C5447" w:rsidRDefault="00F6308C">
            <w:pPr>
              <w:pStyle w:val="TableParagraph"/>
              <w:spacing w:before="36"/>
              <w:ind w:right="95"/>
              <w:rPr>
                <w:sz w:val="20"/>
              </w:rPr>
            </w:pPr>
            <w:r>
              <w:rPr>
                <w:w w:val="99"/>
                <w:sz w:val="20"/>
              </w:rPr>
              <w:t>-</w:t>
            </w:r>
          </w:p>
        </w:tc>
        <w:tc>
          <w:tcPr>
            <w:tcW w:w="1133" w:type="dxa"/>
          </w:tcPr>
          <w:p w:rsidR="007C5447" w:rsidRDefault="00F6308C">
            <w:pPr>
              <w:pStyle w:val="TableParagraph"/>
              <w:spacing w:before="36"/>
              <w:ind w:right="99"/>
              <w:rPr>
                <w:sz w:val="20"/>
              </w:rPr>
            </w:pPr>
            <w:r>
              <w:rPr>
                <w:w w:val="95"/>
                <w:sz w:val="20"/>
              </w:rPr>
              <w:t>104.73</w:t>
            </w:r>
          </w:p>
        </w:tc>
        <w:tc>
          <w:tcPr>
            <w:tcW w:w="1135" w:type="dxa"/>
          </w:tcPr>
          <w:p w:rsidR="007C5447" w:rsidRDefault="00F6308C">
            <w:pPr>
              <w:pStyle w:val="TableParagraph"/>
              <w:spacing w:before="36"/>
              <w:ind w:right="100"/>
              <w:rPr>
                <w:sz w:val="20"/>
              </w:rPr>
            </w:pPr>
            <w:r>
              <w:rPr>
                <w:sz w:val="20"/>
              </w:rPr>
              <w:t>7.47</w:t>
            </w:r>
          </w:p>
        </w:tc>
        <w:tc>
          <w:tcPr>
            <w:tcW w:w="1133" w:type="dxa"/>
          </w:tcPr>
          <w:p w:rsidR="007C5447" w:rsidRDefault="00F6308C">
            <w:pPr>
              <w:pStyle w:val="TableParagraph"/>
              <w:spacing w:before="36"/>
              <w:ind w:right="97"/>
              <w:rPr>
                <w:sz w:val="20"/>
              </w:rPr>
            </w:pPr>
            <w:r>
              <w:rPr>
                <w:w w:val="99"/>
                <w:sz w:val="20"/>
              </w:rPr>
              <w:t>-</w:t>
            </w:r>
          </w:p>
        </w:tc>
        <w:tc>
          <w:tcPr>
            <w:tcW w:w="1136" w:type="dxa"/>
          </w:tcPr>
          <w:p w:rsidR="007C5447" w:rsidRDefault="00F6308C">
            <w:pPr>
              <w:pStyle w:val="TableParagraph"/>
              <w:spacing w:before="36"/>
              <w:ind w:right="97"/>
              <w:rPr>
                <w:sz w:val="20"/>
              </w:rPr>
            </w:pPr>
            <w:r>
              <w:rPr>
                <w:w w:val="99"/>
                <w:sz w:val="20"/>
              </w:rPr>
              <w:t>-</w:t>
            </w:r>
          </w:p>
        </w:tc>
        <w:tc>
          <w:tcPr>
            <w:tcW w:w="1075" w:type="dxa"/>
          </w:tcPr>
          <w:p w:rsidR="007C5447" w:rsidRDefault="00F6308C">
            <w:pPr>
              <w:pStyle w:val="TableParagraph"/>
              <w:spacing w:before="36"/>
              <w:ind w:right="98"/>
              <w:rPr>
                <w:sz w:val="20"/>
              </w:rPr>
            </w:pPr>
            <w:r>
              <w:rPr>
                <w:w w:val="95"/>
                <w:sz w:val="20"/>
              </w:rPr>
              <w:t>104.73</w:t>
            </w:r>
          </w:p>
        </w:tc>
      </w:tr>
      <w:tr w:rsidR="007C5447">
        <w:trPr>
          <w:trHeight w:val="330"/>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62"/>
              <w:ind w:left="107"/>
              <w:jc w:val="left"/>
              <w:rPr>
                <w:sz w:val="18"/>
              </w:rPr>
            </w:pPr>
            <w:r>
              <w:rPr>
                <w:sz w:val="18"/>
              </w:rPr>
              <w:t>STCMS - Neyveli (TAQA)</w:t>
            </w:r>
          </w:p>
        </w:tc>
        <w:tc>
          <w:tcPr>
            <w:tcW w:w="1277" w:type="dxa"/>
          </w:tcPr>
          <w:p w:rsidR="007C5447" w:rsidRDefault="00F6308C">
            <w:pPr>
              <w:pStyle w:val="TableParagraph"/>
              <w:spacing w:before="50"/>
              <w:ind w:right="95"/>
              <w:rPr>
                <w:sz w:val="20"/>
              </w:rPr>
            </w:pPr>
            <w:r>
              <w:rPr>
                <w:w w:val="99"/>
                <w:sz w:val="20"/>
              </w:rPr>
              <w:t>-</w:t>
            </w:r>
          </w:p>
        </w:tc>
        <w:tc>
          <w:tcPr>
            <w:tcW w:w="1133" w:type="dxa"/>
          </w:tcPr>
          <w:p w:rsidR="007C5447" w:rsidRDefault="00F6308C">
            <w:pPr>
              <w:pStyle w:val="TableParagraph"/>
              <w:spacing w:before="50"/>
              <w:ind w:right="99"/>
              <w:rPr>
                <w:sz w:val="20"/>
              </w:rPr>
            </w:pPr>
            <w:r>
              <w:rPr>
                <w:w w:val="95"/>
                <w:sz w:val="20"/>
              </w:rPr>
              <w:t>218.93</w:t>
            </w:r>
          </w:p>
        </w:tc>
        <w:tc>
          <w:tcPr>
            <w:tcW w:w="1135" w:type="dxa"/>
          </w:tcPr>
          <w:p w:rsidR="007C5447" w:rsidRDefault="00F6308C">
            <w:pPr>
              <w:pStyle w:val="TableParagraph"/>
              <w:spacing w:before="50"/>
              <w:ind w:right="100"/>
              <w:rPr>
                <w:sz w:val="20"/>
              </w:rPr>
            </w:pPr>
            <w:r>
              <w:rPr>
                <w:sz w:val="20"/>
              </w:rPr>
              <w:t>3.44</w:t>
            </w:r>
          </w:p>
        </w:tc>
        <w:tc>
          <w:tcPr>
            <w:tcW w:w="1133" w:type="dxa"/>
          </w:tcPr>
          <w:p w:rsidR="007C5447" w:rsidRDefault="00F6308C">
            <w:pPr>
              <w:pStyle w:val="TableParagraph"/>
              <w:spacing w:before="50"/>
              <w:ind w:right="97"/>
              <w:rPr>
                <w:sz w:val="20"/>
              </w:rPr>
            </w:pPr>
            <w:r>
              <w:rPr>
                <w:w w:val="99"/>
                <w:sz w:val="20"/>
              </w:rPr>
              <w:t>-</w:t>
            </w:r>
          </w:p>
        </w:tc>
        <w:tc>
          <w:tcPr>
            <w:tcW w:w="1136" w:type="dxa"/>
          </w:tcPr>
          <w:p w:rsidR="007C5447" w:rsidRDefault="00F6308C">
            <w:pPr>
              <w:pStyle w:val="TableParagraph"/>
              <w:spacing w:before="50"/>
              <w:ind w:right="97"/>
              <w:rPr>
                <w:sz w:val="20"/>
              </w:rPr>
            </w:pPr>
            <w:r>
              <w:rPr>
                <w:w w:val="99"/>
                <w:sz w:val="20"/>
              </w:rPr>
              <w:t>-</w:t>
            </w:r>
          </w:p>
        </w:tc>
        <w:tc>
          <w:tcPr>
            <w:tcW w:w="1075" w:type="dxa"/>
          </w:tcPr>
          <w:p w:rsidR="007C5447" w:rsidRDefault="00F6308C">
            <w:pPr>
              <w:pStyle w:val="TableParagraph"/>
              <w:spacing w:before="50"/>
              <w:ind w:right="98"/>
              <w:rPr>
                <w:sz w:val="20"/>
              </w:rPr>
            </w:pPr>
            <w:r>
              <w:rPr>
                <w:w w:val="95"/>
                <w:sz w:val="20"/>
              </w:rPr>
              <w:t>218.93</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LANCO Power (Aban co)</w:t>
            </w:r>
          </w:p>
        </w:tc>
        <w:tc>
          <w:tcPr>
            <w:tcW w:w="1277" w:type="dxa"/>
          </w:tcPr>
          <w:p w:rsidR="007C5447" w:rsidRDefault="00F6308C">
            <w:pPr>
              <w:pStyle w:val="TableParagraph"/>
              <w:spacing w:before="36"/>
              <w:ind w:right="99"/>
              <w:rPr>
                <w:sz w:val="20"/>
              </w:rPr>
            </w:pPr>
            <w:r>
              <w:rPr>
                <w:w w:val="95"/>
                <w:sz w:val="20"/>
              </w:rPr>
              <w:t>466.69</w:t>
            </w:r>
          </w:p>
        </w:tc>
        <w:tc>
          <w:tcPr>
            <w:tcW w:w="1133" w:type="dxa"/>
          </w:tcPr>
          <w:p w:rsidR="007C5447" w:rsidRDefault="00F6308C">
            <w:pPr>
              <w:pStyle w:val="TableParagraph"/>
              <w:spacing w:before="36"/>
              <w:ind w:right="96"/>
              <w:rPr>
                <w:sz w:val="20"/>
              </w:rPr>
            </w:pPr>
            <w:r>
              <w:rPr>
                <w:sz w:val="20"/>
              </w:rPr>
              <w:t>44.42</w:t>
            </w:r>
          </w:p>
        </w:tc>
        <w:tc>
          <w:tcPr>
            <w:tcW w:w="1135" w:type="dxa"/>
          </w:tcPr>
          <w:p w:rsidR="007C5447" w:rsidRDefault="00F6308C">
            <w:pPr>
              <w:pStyle w:val="TableParagraph"/>
              <w:spacing w:before="36"/>
              <w:ind w:right="100"/>
              <w:rPr>
                <w:sz w:val="20"/>
              </w:rPr>
            </w:pPr>
            <w:r>
              <w:rPr>
                <w:sz w:val="20"/>
              </w:rPr>
              <w:t>1.96</w:t>
            </w:r>
          </w:p>
        </w:tc>
        <w:tc>
          <w:tcPr>
            <w:tcW w:w="1133" w:type="dxa"/>
          </w:tcPr>
          <w:p w:rsidR="007C5447" w:rsidRDefault="00F6308C">
            <w:pPr>
              <w:pStyle w:val="TableParagraph"/>
              <w:spacing w:before="36"/>
              <w:ind w:right="98"/>
              <w:rPr>
                <w:sz w:val="20"/>
              </w:rPr>
            </w:pPr>
            <w:r>
              <w:rPr>
                <w:sz w:val="20"/>
              </w:rPr>
              <w:t>91.47</w:t>
            </w:r>
          </w:p>
        </w:tc>
        <w:tc>
          <w:tcPr>
            <w:tcW w:w="1136" w:type="dxa"/>
          </w:tcPr>
          <w:p w:rsidR="007C5447" w:rsidRDefault="00F6308C">
            <w:pPr>
              <w:pStyle w:val="TableParagraph"/>
              <w:spacing w:before="36"/>
              <w:ind w:right="101"/>
              <w:rPr>
                <w:sz w:val="20"/>
              </w:rPr>
            </w:pPr>
            <w:r>
              <w:rPr>
                <w:sz w:val="20"/>
              </w:rPr>
              <w:t>2.91</w:t>
            </w:r>
          </w:p>
        </w:tc>
        <w:tc>
          <w:tcPr>
            <w:tcW w:w="1075" w:type="dxa"/>
          </w:tcPr>
          <w:p w:rsidR="007C5447" w:rsidRDefault="00F6308C">
            <w:pPr>
              <w:pStyle w:val="TableParagraph"/>
              <w:spacing w:before="36"/>
              <w:ind w:right="98"/>
              <w:rPr>
                <w:sz w:val="20"/>
              </w:rPr>
            </w:pPr>
            <w:r>
              <w:rPr>
                <w:w w:val="95"/>
                <w:sz w:val="20"/>
              </w:rPr>
              <w:t>135.89</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Penna</w:t>
            </w:r>
          </w:p>
        </w:tc>
        <w:tc>
          <w:tcPr>
            <w:tcW w:w="1277" w:type="dxa"/>
          </w:tcPr>
          <w:p w:rsidR="007C5447" w:rsidRDefault="00F6308C">
            <w:pPr>
              <w:pStyle w:val="TableParagraph"/>
              <w:spacing w:before="36"/>
              <w:ind w:right="99"/>
              <w:rPr>
                <w:sz w:val="20"/>
              </w:rPr>
            </w:pPr>
            <w:r>
              <w:rPr>
                <w:w w:val="95"/>
                <w:sz w:val="20"/>
              </w:rPr>
              <w:t>358.63</w:t>
            </w:r>
          </w:p>
        </w:tc>
        <w:tc>
          <w:tcPr>
            <w:tcW w:w="1133" w:type="dxa"/>
          </w:tcPr>
          <w:p w:rsidR="007C5447" w:rsidRDefault="00F6308C">
            <w:pPr>
              <w:pStyle w:val="TableParagraph"/>
              <w:spacing w:before="36"/>
              <w:ind w:right="96"/>
              <w:rPr>
                <w:sz w:val="20"/>
              </w:rPr>
            </w:pPr>
            <w:r>
              <w:rPr>
                <w:sz w:val="20"/>
              </w:rPr>
              <w:t>33.89</w:t>
            </w:r>
          </w:p>
        </w:tc>
        <w:tc>
          <w:tcPr>
            <w:tcW w:w="1135" w:type="dxa"/>
          </w:tcPr>
          <w:p w:rsidR="007C5447" w:rsidRDefault="00F6308C">
            <w:pPr>
              <w:pStyle w:val="TableParagraph"/>
              <w:spacing w:before="36"/>
              <w:ind w:right="100"/>
              <w:rPr>
                <w:sz w:val="20"/>
              </w:rPr>
            </w:pPr>
            <w:r>
              <w:rPr>
                <w:sz w:val="20"/>
              </w:rPr>
              <w:t>1.97</w:t>
            </w:r>
          </w:p>
        </w:tc>
        <w:tc>
          <w:tcPr>
            <w:tcW w:w="1133" w:type="dxa"/>
          </w:tcPr>
          <w:p w:rsidR="007C5447" w:rsidRDefault="00F6308C">
            <w:pPr>
              <w:pStyle w:val="TableParagraph"/>
              <w:spacing w:before="36"/>
              <w:ind w:right="98"/>
              <w:rPr>
                <w:sz w:val="20"/>
              </w:rPr>
            </w:pPr>
            <w:r>
              <w:rPr>
                <w:sz w:val="20"/>
              </w:rPr>
              <w:t>70.65</w:t>
            </w:r>
          </w:p>
        </w:tc>
        <w:tc>
          <w:tcPr>
            <w:tcW w:w="1136" w:type="dxa"/>
          </w:tcPr>
          <w:p w:rsidR="007C5447" w:rsidRDefault="00F6308C">
            <w:pPr>
              <w:pStyle w:val="TableParagraph"/>
              <w:spacing w:before="36"/>
              <w:ind w:right="101"/>
              <w:rPr>
                <w:sz w:val="20"/>
              </w:rPr>
            </w:pPr>
            <w:r>
              <w:rPr>
                <w:sz w:val="20"/>
              </w:rPr>
              <w:t>2.91</w:t>
            </w:r>
          </w:p>
        </w:tc>
        <w:tc>
          <w:tcPr>
            <w:tcW w:w="1075" w:type="dxa"/>
          </w:tcPr>
          <w:p w:rsidR="007C5447" w:rsidRDefault="00F6308C">
            <w:pPr>
              <w:pStyle w:val="TableParagraph"/>
              <w:spacing w:before="36"/>
              <w:ind w:right="98"/>
              <w:rPr>
                <w:sz w:val="20"/>
              </w:rPr>
            </w:pPr>
            <w:r>
              <w:rPr>
                <w:w w:val="95"/>
                <w:sz w:val="20"/>
              </w:rPr>
              <w:t>104.54</w:t>
            </w:r>
          </w:p>
        </w:tc>
      </w:tr>
      <w:tr w:rsidR="007C5447">
        <w:trPr>
          <w:trHeight w:val="330"/>
        </w:trPr>
        <w:tc>
          <w:tcPr>
            <w:tcW w:w="567" w:type="dxa"/>
            <w:shd w:val="clear" w:color="auto" w:fill="D0CECE"/>
          </w:tcPr>
          <w:p w:rsidR="007C5447" w:rsidRDefault="007C5447">
            <w:pPr>
              <w:pStyle w:val="TableParagraph"/>
              <w:jc w:val="left"/>
              <w:rPr>
                <w:sz w:val="18"/>
              </w:rPr>
            </w:pPr>
          </w:p>
        </w:tc>
        <w:tc>
          <w:tcPr>
            <w:tcW w:w="2269" w:type="dxa"/>
            <w:shd w:val="clear" w:color="auto" w:fill="D0CECE"/>
          </w:tcPr>
          <w:p w:rsidR="007C5447" w:rsidRDefault="00F6308C">
            <w:pPr>
              <w:pStyle w:val="TableParagraph"/>
              <w:spacing w:before="62"/>
              <w:ind w:left="107"/>
              <w:jc w:val="left"/>
              <w:rPr>
                <w:b/>
                <w:sz w:val="18"/>
              </w:rPr>
            </w:pPr>
            <w:r>
              <w:rPr>
                <w:b/>
                <w:sz w:val="18"/>
              </w:rPr>
              <w:t>Total</w:t>
            </w:r>
          </w:p>
        </w:tc>
        <w:tc>
          <w:tcPr>
            <w:tcW w:w="1277" w:type="dxa"/>
            <w:shd w:val="clear" w:color="auto" w:fill="D0CECE"/>
          </w:tcPr>
          <w:p w:rsidR="007C5447" w:rsidRDefault="00F6308C">
            <w:pPr>
              <w:pStyle w:val="TableParagraph"/>
              <w:spacing w:before="50"/>
              <w:ind w:right="96"/>
              <w:rPr>
                <w:b/>
                <w:sz w:val="20"/>
              </w:rPr>
            </w:pPr>
            <w:r>
              <w:rPr>
                <w:b/>
                <w:w w:val="95"/>
                <w:sz w:val="20"/>
              </w:rPr>
              <w:t>825.33</w:t>
            </w:r>
          </w:p>
        </w:tc>
        <w:tc>
          <w:tcPr>
            <w:tcW w:w="1133" w:type="dxa"/>
            <w:shd w:val="clear" w:color="auto" w:fill="D0CECE"/>
          </w:tcPr>
          <w:p w:rsidR="007C5447" w:rsidRDefault="00F6308C">
            <w:pPr>
              <w:pStyle w:val="TableParagraph"/>
              <w:spacing w:before="50"/>
              <w:ind w:right="96"/>
              <w:rPr>
                <w:b/>
                <w:sz w:val="20"/>
              </w:rPr>
            </w:pPr>
            <w:r>
              <w:rPr>
                <w:b/>
                <w:w w:val="95"/>
                <w:sz w:val="20"/>
              </w:rPr>
              <w:t>401.96</w:t>
            </w:r>
          </w:p>
        </w:tc>
        <w:tc>
          <w:tcPr>
            <w:tcW w:w="1135" w:type="dxa"/>
            <w:shd w:val="clear" w:color="auto" w:fill="D0CECE"/>
          </w:tcPr>
          <w:p w:rsidR="007C5447" w:rsidRDefault="00F6308C">
            <w:pPr>
              <w:pStyle w:val="TableParagraph"/>
              <w:spacing w:before="50"/>
              <w:ind w:right="98"/>
              <w:rPr>
                <w:b/>
                <w:sz w:val="20"/>
              </w:rPr>
            </w:pPr>
            <w:r>
              <w:rPr>
                <w:b/>
                <w:sz w:val="20"/>
              </w:rPr>
              <w:t>1.96</w:t>
            </w:r>
          </w:p>
        </w:tc>
        <w:tc>
          <w:tcPr>
            <w:tcW w:w="1133" w:type="dxa"/>
            <w:shd w:val="clear" w:color="auto" w:fill="D0CECE"/>
          </w:tcPr>
          <w:p w:rsidR="007C5447" w:rsidRDefault="00F6308C">
            <w:pPr>
              <w:pStyle w:val="TableParagraph"/>
              <w:spacing w:before="50"/>
              <w:ind w:right="98"/>
              <w:rPr>
                <w:b/>
                <w:sz w:val="20"/>
              </w:rPr>
            </w:pPr>
            <w:r>
              <w:rPr>
                <w:b/>
                <w:w w:val="95"/>
                <w:sz w:val="20"/>
              </w:rPr>
              <w:t>162.12</w:t>
            </w:r>
          </w:p>
        </w:tc>
        <w:tc>
          <w:tcPr>
            <w:tcW w:w="1136" w:type="dxa"/>
            <w:shd w:val="clear" w:color="auto" w:fill="D0CECE"/>
          </w:tcPr>
          <w:p w:rsidR="007C5447" w:rsidRDefault="00F6308C">
            <w:pPr>
              <w:pStyle w:val="TableParagraph"/>
              <w:spacing w:before="50"/>
              <w:ind w:right="98"/>
              <w:rPr>
                <w:b/>
                <w:sz w:val="20"/>
              </w:rPr>
            </w:pPr>
            <w:r>
              <w:rPr>
                <w:b/>
                <w:sz w:val="20"/>
              </w:rPr>
              <w:t>6.83</w:t>
            </w:r>
          </w:p>
        </w:tc>
        <w:tc>
          <w:tcPr>
            <w:tcW w:w="1075" w:type="dxa"/>
            <w:shd w:val="clear" w:color="auto" w:fill="D0CECE"/>
          </w:tcPr>
          <w:p w:rsidR="007C5447" w:rsidRDefault="00F6308C">
            <w:pPr>
              <w:pStyle w:val="TableParagraph"/>
              <w:spacing w:before="50"/>
              <w:ind w:right="96"/>
              <w:rPr>
                <w:b/>
                <w:sz w:val="20"/>
              </w:rPr>
            </w:pPr>
            <w:r>
              <w:rPr>
                <w:b/>
                <w:w w:val="95"/>
                <w:sz w:val="20"/>
              </w:rPr>
              <w:t>564.08</w:t>
            </w:r>
          </w:p>
        </w:tc>
      </w:tr>
      <w:tr w:rsidR="007C5447">
        <w:trPr>
          <w:trHeight w:val="330"/>
        </w:trPr>
        <w:tc>
          <w:tcPr>
            <w:tcW w:w="567" w:type="dxa"/>
          </w:tcPr>
          <w:p w:rsidR="007C5447" w:rsidRDefault="00F6308C">
            <w:pPr>
              <w:pStyle w:val="TableParagraph"/>
              <w:spacing w:before="62"/>
              <w:ind w:right="97"/>
              <w:rPr>
                <w:b/>
                <w:sz w:val="18"/>
              </w:rPr>
            </w:pPr>
            <w:r>
              <w:rPr>
                <w:b/>
                <w:sz w:val="18"/>
              </w:rPr>
              <w:t>4</w:t>
            </w:r>
          </w:p>
        </w:tc>
        <w:tc>
          <w:tcPr>
            <w:tcW w:w="2269" w:type="dxa"/>
          </w:tcPr>
          <w:p w:rsidR="007C5447" w:rsidRDefault="00F6308C">
            <w:pPr>
              <w:pStyle w:val="TableParagraph"/>
              <w:spacing w:before="62"/>
              <w:ind w:left="107"/>
              <w:jc w:val="left"/>
              <w:rPr>
                <w:b/>
                <w:sz w:val="18"/>
              </w:rPr>
            </w:pPr>
            <w:r>
              <w:rPr>
                <w:b/>
                <w:sz w:val="18"/>
              </w:rPr>
              <w:t>Renewables</w:t>
            </w:r>
          </w:p>
        </w:tc>
        <w:tc>
          <w:tcPr>
            <w:tcW w:w="1277"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1135"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1136" w:type="dxa"/>
          </w:tcPr>
          <w:p w:rsidR="007C5447" w:rsidRDefault="007C5447">
            <w:pPr>
              <w:pStyle w:val="TableParagraph"/>
              <w:jc w:val="left"/>
              <w:rPr>
                <w:sz w:val="18"/>
              </w:rPr>
            </w:pPr>
          </w:p>
        </w:tc>
        <w:tc>
          <w:tcPr>
            <w:tcW w:w="1075" w:type="dxa"/>
          </w:tcPr>
          <w:p w:rsidR="007C5447" w:rsidRDefault="007C5447">
            <w:pPr>
              <w:pStyle w:val="TableParagraph"/>
              <w:jc w:val="left"/>
              <w:rPr>
                <w:sz w:val="18"/>
              </w:rPr>
            </w:pPr>
          </w:p>
        </w:tc>
      </w:tr>
      <w:tr w:rsidR="007C5447">
        <w:trPr>
          <w:trHeight w:val="328"/>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59"/>
              <w:ind w:left="107"/>
              <w:jc w:val="left"/>
              <w:rPr>
                <w:sz w:val="18"/>
              </w:rPr>
            </w:pPr>
            <w:r>
              <w:rPr>
                <w:sz w:val="18"/>
              </w:rPr>
              <w:t>Wind</w:t>
            </w:r>
          </w:p>
        </w:tc>
        <w:tc>
          <w:tcPr>
            <w:tcW w:w="1277" w:type="dxa"/>
          </w:tcPr>
          <w:p w:rsidR="007C5447" w:rsidRDefault="00F6308C">
            <w:pPr>
              <w:pStyle w:val="TableParagraph"/>
              <w:spacing w:before="50"/>
              <w:ind w:right="99"/>
              <w:rPr>
                <w:sz w:val="20"/>
              </w:rPr>
            </w:pPr>
            <w:r>
              <w:rPr>
                <w:w w:val="95"/>
                <w:sz w:val="20"/>
              </w:rPr>
              <w:t>6,952.72</w:t>
            </w:r>
          </w:p>
        </w:tc>
        <w:tc>
          <w:tcPr>
            <w:tcW w:w="1133" w:type="dxa"/>
          </w:tcPr>
          <w:p w:rsidR="007C5447" w:rsidRDefault="00F6308C">
            <w:pPr>
              <w:pStyle w:val="TableParagraph"/>
              <w:spacing w:before="50"/>
              <w:ind w:right="95"/>
              <w:rPr>
                <w:sz w:val="20"/>
              </w:rPr>
            </w:pPr>
            <w:r>
              <w:rPr>
                <w:w w:val="99"/>
                <w:sz w:val="20"/>
              </w:rPr>
              <w:t>-</w:t>
            </w:r>
          </w:p>
        </w:tc>
        <w:tc>
          <w:tcPr>
            <w:tcW w:w="1135" w:type="dxa"/>
          </w:tcPr>
          <w:p w:rsidR="007C5447" w:rsidRDefault="00F6308C">
            <w:pPr>
              <w:pStyle w:val="TableParagraph"/>
              <w:spacing w:before="50"/>
              <w:ind w:right="100"/>
              <w:rPr>
                <w:sz w:val="20"/>
              </w:rPr>
            </w:pPr>
            <w:r>
              <w:rPr>
                <w:sz w:val="20"/>
              </w:rPr>
              <w:t>3.08</w:t>
            </w:r>
          </w:p>
        </w:tc>
        <w:tc>
          <w:tcPr>
            <w:tcW w:w="1133" w:type="dxa"/>
          </w:tcPr>
          <w:p w:rsidR="007C5447" w:rsidRDefault="00F6308C">
            <w:pPr>
              <w:pStyle w:val="TableParagraph"/>
              <w:spacing w:before="50"/>
              <w:ind w:right="101"/>
              <w:rPr>
                <w:sz w:val="20"/>
              </w:rPr>
            </w:pPr>
            <w:r>
              <w:rPr>
                <w:w w:val="95"/>
                <w:sz w:val="20"/>
              </w:rPr>
              <w:t>2,141.44</w:t>
            </w:r>
          </w:p>
        </w:tc>
        <w:tc>
          <w:tcPr>
            <w:tcW w:w="1136" w:type="dxa"/>
          </w:tcPr>
          <w:p w:rsidR="007C5447" w:rsidRDefault="00F6308C">
            <w:pPr>
              <w:pStyle w:val="TableParagraph"/>
              <w:spacing w:before="50"/>
              <w:ind w:right="101"/>
              <w:rPr>
                <w:sz w:val="20"/>
              </w:rPr>
            </w:pPr>
            <w:r>
              <w:rPr>
                <w:sz w:val="20"/>
              </w:rPr>
              <w:t>3.08</w:t>
            </w:r>
          </w:p>
        </w:tc>
        <w:tc>
          <w:tcPr>
            <w:tcW w:w="1075" w:type="dxa"/>
          </w:tcPr>
          <w:p w:rsidR="007C5447" w:rsidRDefault="00F6308C">
            <w:pPr>
              <w:pStyle w:val="TableParagraph"/>
              <w:spacing w:before="50"/>
              <w:ind w:right="99"/>
              <w:rPr>
                <w:sz w:val="20"/>
              </w:rPr>
            </w:pPr>
            <w:r>
              <w:rPr>
                <w:w w:val="95"/>
                <w:sz w:val="20"/>
              </w:rPr>
              <w:t>2,141.44</w:t>
            </w:r>
          </w:p>
        </w:tc>
      </w:tr>
      <w:tr w:rsidR="007C5447">
        <w:trPr>
          <w:trHeight w:val="302"/>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Biomass</w:t>
            </w:r>
          </w:p>
        </w:tc>
        <w:tc>
          <w:tcPr>
            <w:tcW w:w="1277" w:type="dxa"/>
          </w:tcPr>
          <w:p w:rsidR="007C5447" w:rsidRDefault="00F6308C">
            <w:pPr>
              <w:pStyle w:val="TableParagraph"/>
              <w:spacing w:before="36"/>
              <w:ind w:right="96"/>
              <w:rPr>
                <w:sz w:val="20"/>
              </w:rPr>
            </w:pPr>
            <w:r>
              <w:rPr>
                <w:sz w:val="20"/>
              </w:rPr>
              <w:t>20.00</w:t>
            </w:r>
          </w:p>
        </w:tc>
        <w:tc>
          <w:tcPr>
            <w:tcW w:w="1133" w:type="dxa"/>
          </w:tcPr>
          <w:p w:rsidR="007C5447" w:rsidRDefault="00F6308C">
            <w:pPr>
              <w:pStyle w:val="TableParagraph"/>
              <w:spacing w:before="36"/>
              <w:ind w:right="95"/>
              <w:rPr>
                <w:sz w:val="20"/>
              </w:rPr>
            </w:pPr>
            <w:r>
              <w:rPr>
                <w:w w:val="99"/>
                <w:sz w:val="20"/>
              </w:rPr>
              <w:t>-</w:t>
            </w:r>
          </w:p>
        </w:tc>
        <w:tc>
          <w:tcPr>
            <w:tcW w:w="1135" w:type="dxa"/>
          </w:tcPr>
          <w:p w:rsidR="007C5447" w:rsidRDefault="00F6308C">
            <w:pPr>
              <w:pStyle w:val="TableParagraph"/>
              <w:spacing w:before="36"/>
              <w:ind w:right="100"/>
              <w:rPr>
                <w:sz w:val="20"/>
              </w:rPr>
            </w:pPr>
            <w:r>
              <w:rPr>
                <w:sz w:val="20"/>
              </w:rPr>
              <w:t>3.08</w:t>
            </w:r>
          </w:p>
        </w:tc>
        <w:tc>
          <w:tcPr>
            <w:tcW w:w="1133" w:type="dxa"/>
          </w:tcPr>
          <w:p w:rsidR="007C5447" w:rsidRDefault="00F6308C">
            <w:pPr>
              <w:pStyle w:val="TableParagraph"/>
              <w:spacing w:before="36"/>
              <w:ind w:right="101"/>
              <w:rPr>
                <w:sz w:val="20"/>
              </w:rPr>
            </w:pPr>
            <w:r>
              <w:rPr>
                <w:sz w:val="20"/>
              </w:rPr>
              <w:t>6.16</w:t>
            </w:r>
          </w:p>
        </w:tc>
        <w:tc>
          <w:tcPr>
            <w:tcW w:w="1136" w:type="dxa"/>
          </w:tcPr>
          <w:p w:rsidR="007C5447" w:rsidRDefault="00F6308C">
            <w:pPr>
              <w:pStyle w:val="TableParagraph"/>
              <w:spacing w:before="36"/>
              <w:ind w:right="101"/>
              <w:rPr>
                <w:sz w:val="20"/>
              </w:rPr>
            </w:pPr>
            <w:r>
              <w:rPr>
                <w:sz w:val="20"/>
              </w:rPr>
              <w:t>3.08</w:t>
            </w:r>
          </w:p>
        </w:tc>
        <w:tc>
          <w:tcPr>
            <w:tcW w:w="1075" w:type="dxa"/>
          </w:tcPr>
          <w:p w:rsidR="007C5447" w:rsidRDefault="00F6308C">
            <w:pPr>
              <w:pStyle w:val="TableParagraph"/>
              <w:spacing w:before="36"/>
              <w:ind w:right="98"/>
              <w:rPr>
                <w:sz w:val="20"/>
              </w:rPr>
            </w:pPr>
            <w:r>
              <w:rPr>
                <w:sz w:val="20"/>
              </w:rPr>
              <w:t>6.16</w:t>
            </w:r>
          </w:p>
        </w:tc>
      </w:tr>
      <w:tr w:rsidR="007C5447">
        <w:trPr>
          <w:trHeight w:val="300"/>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6"/>
              <w:ind w:left="107"/>
              <w:jc w:val="left"/>
              <w:rPr>
                <w:sz w:val="18"/>
              </w:rPr>
            </w:pPr>
            <w:r>
              <w:rPr>
                <w:sz w:val="18"/>
              </w:rPr>
              <w:t>Cogeneration</w:t>
            </w:r>
          </w:p>
        </w:tc>
        <w:tc>
          <w:tcPr>
            <w:tcW w:w="1277" w:type="dxa"/>
          </w:tcPr>
          <w:p w:rsidR="007C5447" w:rsidRDefault="00F6308C">
            <w:pPr>
              <w:pStyle w:val="TableParagraph"/>
              <w:spacing w:before="34"/>
              <w:ind w:right="99"/>
              <w:rPr>
                <w:sz w:val="20"/>
              </w:rPr>
            </w:pPr>
            <w:r>
              <w:rPr>
                <w:w w:val="95"/>
                <w:sz w:val="20"/>
              </w:rPr>
              <w:t>970.44</w:t>
            </w:r>
          </w:p>
        </w:tc>
        <w:tc>
          <w:tcPr>
            <w:tcW w:w="1133" w:type="dxa"/>
          </w:tcPr>
          <w:p w:rsidR="007C5447" w:rsidRDefault="00F6308C">
            <w:pPr>
              <w:pStyle w:val="TableParagraph"/>
              <w:spacing w:before="34"/>
              <w:ind w:right="95"/>
              <w:rPr>
                <w:sz w:val="20"/>
              </w:rPr>
            </w:pPr>
            <w:r>
              <w:rPr>
                <w:w w:val="99"/>
                <w:sz w:val="20"/>
              </w:rPr>
              <w:t>-</w:t>
            </w:r>
          </w:p>
        </w:tc>
        <w:tc>
          <w:tcPr>
            <w:tcW w:w="1135" w:type="dxa"/>
          </w:tcPr>
          <w:p w:rsidR="007C5447" w:rsidRDefault="00F6308C">
            <w:pPr>
              <w:pStyle w:val="TableParagraph"/>
              <w:spacing w:before="34"/>
              <w:ind w:right="100"/>
              <w:rPr>
                <w:sz w:val="20"/>
              </w:rPr>
            </w:pPr>
            <w:r>
              <w:rPr>
                <w:sz w:val="20"/>
              </w:rPr>
              <w:t>4.12</w:t>
            </w:r>
          </w:p>
        </w:tc>
        <w:tc>
          <w:tcPr>
            <w:tcW w:w="1133" w:type="dxa"/>
          </w:tcPr>
          <w:p w:rsidR="007C5447" w:rsidRDefault="00F6308C">
            <w:pPr>
              <w:pStyle w:val="TableParagraph"/>
              <w:spacing w:before="34"/>
              <w:ind w:right="101"/>
              <w:rPr>
                <w:sz w:val="20"/>
              </w:rPr>
            </w:pPr>
            <w:r>
              <w:rPr>
                <w:w w:val="95"/>
                <w:sz w:val="20"/>
              </w:rPr>
              <w:t>399.82</w:t>
            </w:r>
          </w:p>
        </w:tc>
        <w:tc>
          <w:tcPr>
            <w:tcW w:w="1136" w:type="dxa"/>
          </w:tcPr>
          <w:p w:rsidR="007C5447" w:rsidRDefault="00F6308C">
            <w:pPr>
              <w:pStyle w:val="TableParagraph"/>
              <w:spacing w:before="34"/>
              <w:ind w:right="101"/>
              <w:rPr>
                <w:sz w:val="20"/>
              </w:rPr>
            </w:pPr>
            <w:r>
              <w:rPr>
                <w:sz w:val="20"/>
              </w:rPr>
              <w:t>4.12</w:t>
            </w:r>
          </w:p>
        </w:tc>
        <w:tc>
          <w:tcPr>
            <w:tcW w:w="1075" w:type="dxa"/>
          </w:tcPr>
          <w:p w:rsidR="007C5447" w:rsidRDefault="00F6308C">
            <w:pPr>
              <w:pStyle w:val="TableParagraph"/>
              <w:spacing w:before="34"/>
              <w:ind w:right="98"/>
              <w:rPr>
                <w:sz w:val="20"/>
              </w:rPr>
            </w:pPr>
            <w:r>
              <w:rPr>
                <w:w w:val="95"/>
                <w:sz w:val="20"/>
              </w:rPr>
              <w:t>399.82</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5"/>
              <w:ind w:left="107"/>
              <w:jc w:val="left"/>
              <w:rPr>
                <w:sz w:val="18"/>
              </w:rPr>
            </w:pPr>
            <w:r>
              <w:rPr>
                <w:sz w:val="18"/>
              </w:rPr>
              <w:t>Captive</w:t>
            </w:r>
          </w:p>
        </w:tc>
        <w:tc>
          <w:tcPr>
            <w:tcW w:w="1277" w:type="dxa"/>
          </w:tcPr>
          <w:p w:rsidR="007C5447" w:rsidRDefault="00F6308C">
            <w:pPr>
              <w:pStyle w:val="TableParagraph"/>
              <w:spacing w:before="34"/>
              <w:ind w:right="96"/>
              <w:rPr>
                <w:sz w:val="20"/>
              </w:rPr>
            </w:pPr>
            <w:r>
              <w:rPr>
                <w:sz w:val="20"/>
              </w:rPr>
              <w:t>35.00</w:t>
            </w:r>
          </w:p>
        </w:tc>
        <w:tc>
          <w:tcPr>
            <w:tcW w:w="1133" w:type="dxa"/>
          </w:tcPr>
          <w:p w:rsidR="007C5447" w:rsidRDefault="00F6308C">
            <w:pPr>
              <w:pStyle w:val="TableParagraph"/>
              <w:spacing w:before="34"/>
              <w:ind w:right="95"/>
              <w:rPr>
                <w:sz w:val="20"/>
              </w:rPr>
            </w:pPr>
            <w:r>
              <w:rPr>
                <w:w w:val="99"/>
                <w:sz w:val="20"/>
              </w:rPr>
              <w:t>-</w:t>
            </w:r>
          </w:p>
        </w:tc>
        <w:tc>
          <w:tcPr>
            <w:tcW w:w="1135" w:type="dxa"/>
          </w:tcPr>
          <w:p w:rsidR="007C5447" w:rsidRDefault="00F6308C">
            <w:pPr>
              <w:pStyle w:val="TableParagraph"/>
              <w:spacing w:before="34"/>
              <w:ind w:right="100"/>
              <w:rPr>
                <w:sz w:val="20"/>
              </w:rPr>
            </w:pPr>
            <w:r>
              <w:rPr>
                <w:sz w:val="20"/>
              </w:rPr>
              <w:t>1.78</w:t>
            </w:r>
          </w:p>
        </w:tc>
        <w:tc>
          <w:tcPr>
            <w:tcW w:w="1133" w:type="dxa"/>
          </w:tcPr>
          <w:p w:rsidR="007C5447" w:rsidRDefault="00F6308C">
            <w:pPr>
              <w:pStyle w:val="TableParagraph"/>
              <w:spacing w:before="34"/>
              <w:ind w:right="101"/>
              <w:rPr>
                <w:sz w:val="20"/>
              </w:rPr>
            </w:pPr>
            <w:r>
              <w:rPr>
                <w:sz w:val="20"/>
              </w:rPr>
              <w:t>6.23</w:t>
            </w:r>
          </w:p>
        </w:tc>
        <w:tc>
          <w:tcPr>
            <w:tcW w:w="1136" w:type="dxa"/>
          </w:tcPr>
          <w:p w:rsidR="007C5447" w:rsidRDefault="00F6308C">
            <w:pPr>
              <w:pStyle w:val="TableParagraph"/>
              <w:spacing w:before="34"/>
              <w:ind w:right="101"/>
              <w:rPr>
                <w:sz w:val="20"/>
              </w:rPr>
            </w:pPr>
            <w:r>
              <w:rPr>
                <w:sz w:val="20"/>
              </w:rPr>
              <w:t>1.78</w:t>
            </w:r>
          </w:p>
        </w:tc>
        <w:tc>
          <w:tcPr>
            <w:tcW w:w="1075" w:type="dxa"/>
          </w:tcPr>
          <w:p w:rsidR="007C5447" w:rsidRDefault="00F6308C">
            <w:pPr>
              <w:pStyle w:val="TableParagraph"/>
              <w:spacing w:before="34"/>
              <w:ind w:right="98"/>
              <w:rPr>
                <w:sz w:val="20"/>
              </w:rPr>
            </w:pPr>
            <w:r>
              <w:rPr>
                <w:sz w:val="20"/>
              </w:rPr>
              <w:t>6.23</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5"/>
              <w:ind w:left="107"/>
              <w:jc w:val="left"/>
              <w:rPr>
                <w:sz w:val="18"/>
              </w:rPr>
            </w:pPr>
            <w:r>
              <w:rPr>
                <w:sz w:val="18"/>
              </w:rPr>
              <w:t>Solar</w:t>
            </w:r>
          </w:p>
        </w:tc>
        <w:tc>
          <w:tcPr>
            <w:tcW w:w="1277" w:type="dxa"/>
          </w:tcPr>
          <w:p w:rsidR="007C5447" w:rsidRDefault="00F6308C">
            <w:pPr>
              <w:pStyle w:val="TableParagraph"/>
              <w:spacing w:before="34"/>
              <w:ind w:right="99"/>
              <w:rPr>
                <w:sz w:val="20"/>
              </w:rPr>
            </w:pPr>
            <w:r>
              <w:rPr>
                <w:w w:val="95"/>
                <w:sz w:val="20"/>
              </w:rPr>
              <w:t>2,525.13</w:t>
            </w:r>
          </w:p>
        </w:tc>
        <w:tc>
          <w:tcPr>
            <w:tcW w:w="1133" w:type="dxa"/>
          </w:tcPr>
          <w:p w:rsidR="007C5447" w:rsidRDefault="00F6308C">
            <w:pPr>
              <w:pStyle w:val="TableParagraph"/>
              <w:spacing w:before="34"/>
              <w:ind w:right="95"/>
              <w:rPr>
                <w:sz w:val="20"/>
              </w:rPr>
            </w:pPr>
            <w:r>
              <w:rPr>
                <w:w w:val="99"/>
                <w:sz w:val="20"/>
              </w:rPr>
              <w:t>-</w:t>
            </w:r>
          </w:p>
        </w:tc>
        <w:tc>
          <w:tcPr>
            <w:tcW w:w="1135" w:type="dxa"/>
          </w:tcPr>
          <w:p w:rsidR="007C5447" w:rsidRDefault="00F6308C">
            <w:pPr>
              <w:pStyle w:val="TableParagraph"/>
              <w:spacing w:before="34"/>
              <w:ind w:right="100"/>
              <w:rPr>
                <w:sz w:val="20"/>
              </w:rPr>
            </w:pPr>
            <w:r>
              <w:rPr>
                <w:sz w:val="20"/>
              </w:rPr>
              <w:t>6.85</w:t>
            </w:r>
          </w:p>
        </w:tc>
        <w:tc>
          <w:tcPr>
            <w:tcW w:w="1133" w:type="dxa"/>
          </w:tcPr>
          <w:p w:rsidR="007C5447" w:rsidRDefault="00F6308C">
            <w:pPr>
              <w:pStyle w:val="TableParagraph"/>
              <w:spacing w:before="34"/>
              <w:ind w:right="101"/>
              <w:rPr>
                <w:sz w:val="20"/>
              </w:rPr>
            </w:pPr>
            <w:r>
              <w:rPr>
                <w:w w:val="95"/>
                <w:sz w:val="20"/>
              </w:rPr>
              <w:t>1,730.26</w:t>
            </w:r>
          </w:p>
        </w:tc>
        <w:tc>
          <w:tcPr>
            <w:tcW w:w="1136" w:type="dxa"/>
          </w:tcPr>
          <w:p w:rsidR="007C5447" w:rsidRDefault="00F6308C">
            <w:pPr>
              <w:pStyle w:val="TableParagraph"/>
              <w:spacing w:before="34"/>
              <w:ind w:right="101"/>
              <w:rPr>
                <w:sz w:val="20"/>
              </w:rPr>
            </w:pPr>
            <w:r>
              <w:rPr>
                <w:sz w:val="20"/>
              </w:rPr>
              <w:t>6.85</w:t>
            </w:r>
          </w:p>
        </w:tc>
        <w:tc>
          <w:tcPr>
            <w:tcW w:w="1075" w:type="dxa"/>
          </w:tcPr>
          <w:p w:rsidR="007C5447" w:rsidRDefault="00F6308C">
            <w:pPr>
              <w:pStyle w:val="TableParagraph"/>
              <w:spacing w:before="34"/>
              <w:ind w:right="99"/>
              <w:rPr>
                <w:sz w:val="20"/>
              </w:rPr>
            </w:pPr>
            <w:r>
              <w:rPr>
                <w:w w:val="95"/>
                <w:sz w:val="20"/>
              </w:rPr>
              <w:t>1,730.26</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REC (Non-Solar)</w:t>
            </w:r>
          </w:p>
        </w:tc>
        <w:tc>
          <w:tcPr>
            <w:tcW w:w="1277" w:type="dxa"/>
          </w:tcPr>
          <w:p w:rsidR="007C5447" w:rsidRDefault="00F6308C">
            <w:pPr>
              <w:pStyle w:val="TableParagraph"/>
              <w:spacing w:before="36"/>
              <w:ind w:right="95"/>
              <w:rPr>
                <w:sz w:val="20"/>
              </w:rPr>
            </w:pPr>
            <w:r>
              <w:rPr>
                <w:w w:val="99"/>
                <w:sz w:val="20"/>
              </w:rPr>
              <w:t>-</w:t>
            </w:r>
          </w:p>
        </w:tc>
        <w:tc>
          <w:tcPr>
            <w:tcW w:w="1133" w:type="dxa"/>
          </w:tcPr>
          <w:p w:rsidR="007C5447" w:rsidRDefault="00F6308C">
            <w:pPr>
              <w:pStyle w:val="TableParagraph"/>
              <w:spacing w:before="36"/>
              <w:ind w:right="95"/>
              <w:rPr>
                <w:sz w:val="20"/>
              </w:rPr>
            </w:pPr>
            <w:r>
              <w:rPr>
                <w:w w:val="99"/>
                <w:sz w:val="20"/>
              </w:rPr>
              <w:t>-</w:t>
            </w:r>
          </w:p>
        </w:tc>
        <w:tc>
          <w:tcPr>
            <w:tcW w:w="1135" w:type="dxa"/>
          </w:tcPr>
          <w:p w:rsidR="007C5447" w:rsidRDefault="00F6308C">
            <w:pPr>
              <w:pStyle w:val="TableParagraph"/>
              <w:spacing w:before="36"/>
              <w:ind w:right="97"/>
              <w:rPr>
                <w:sz w:val="20"/>
              </w:rPr>
            </w:pPr>
            <w:r>
              <w:rPr>
                <w:w w:val="99"/>
                <w:sz w:val="20"/>
              </w:rPr>
              <w:t>-</w:t>
            </w:r>
          </w:p>
        </w:tc>
        <w:tc>
          <w:tcPr>
            <w:tcW w:w="1133" w:type="dxa"/>
          </w:tcPr>
          <w:p w:rsidR="007C5447" w:rsidRDefault="00F6308C">
            <w:pPr>
              <w:pStyle w:val="TableParagraph"/>
              <w:spacing w:before="36"/>
              <w:ind w:right="97"/>
              <w:rPr>
                <w:sz w:val="20"/>
              </w:rPr>
            </w:pPr>
            <w:r>
              <w:rPr>
                <w:w w:val="99"/>
                <w:sz w:val="20"/>
              </w:rPr>
              <w:t>-</w:t>
            </w:r>
          </w:p>
        </w:tc>
        <w:tc>
          <w:tcPr>
            <w:tcW w:w="1136" w:type="dxa"/>
          </w:tcPr>
          <w:p w:rsidR="007C5447" w:rsidRDefault="00F6308C">
            <w:pPr>
              <w:pStyle w:val="TableParagraph"/>
              <w:spacing w:before="36"/>
              <w:ind w:right="100"/>
              <w:rPr>
                <w:sz w:val="20"/>
              </w:rPr>
            </w:pPr>
            <w:r>
              <w:rPr>
                <w:w w:val="99"/>
                <w:sz w:val="20"/>
              </w:rPr>
              <w:t>-</w:t>
            </w:r>
          </w:p>
        </w:tc>
        <w:tc>
          <w:tcPr>
            <w:tcW w:w="1075" w:type="dxa"/>
          </w:tcPr>
          <w:p w:rsidR="007C5447" w:rsidRDefault="00F6308C">
            <w:pPr>
              <w:pStyle w:val="TableParagraph"/>
              <w:spacing w:before="36"/>
              <w:ind w:right="95"/>
              <w:rPr>
                <w:sz w:val="20"/>
              </w:rPr>
            </w:pPr>
            <w:r>
              <w:rPr>
                <w:w w:val="99"/>
                <w:sz w:val="20"/>
              </w:rPr>
              <w:t>-</w:t>
            </w:r>
          </w:p>
        </w:tc>
      </w:tr>
      <w:tr w:rsidR="007C5447">
        <w:trPr>
          <w:trHeight w:val="299"/>
        </w:trPr>
        <w:tc>
          <w:tcPr>
            <w:tcW w:w="567" w:type="dxa"/>
          </w:tcPr>
          <w:p w:rsidR="007C5447" w:rsidRDefault="007C5447">
            <w:pPr>
              <w:pStyle w:val="TableParagraph"/>
              <w:jc w:val="left"/>
              <w:rPr>
                <w:sz w:val="18"/>
              </w:rPr>
            </w:pPr>
          </w:p>
        </w:tc>
        <w:tc>
          <w:tcPr>
            <w:tcW w:w="2269" w:type="dxa"/>
          </w:tcPr>
          <w:p w:rsidR="007C5447" w:rsidRDefault="00F6308C">
            <w:pPr>
              <w:pStyle w:val="TableParagraph"/>
              <w:spacing w:before="47"/>
              <w:ind w:left="107"/>
              <w:jc w:val="left"/>
              <w:rPr>
                <w:sz w:val="18"/>
              </w:rPr>
            </w:pPr>
            <w:r>
              <w:rPr>
                <w:sz w:val="18"/>
              </w:rPr>
              <w:t>REC (Solar)</w:t>
            </w:r>
          </w:p>
        </w:tc>
        <w:tc>
          <w:tcPr>
            <w:tcW w:w="1277" w:type="dxa"/>
          </w:tcPr>
          <w:p w:rsidR="007C5447" w:rsidRDefault="00F6308C">
            <w:pPr>
              <w:pStyle w:val="TableParagraph"/>
              <w:spacing w:before="36"/>
              <w:ind w:right="95"/>
              <w:rPr>
                <w:sz w:val="20"/>
              </w:rPr>
            </w:pPr>
            <w:r>
              <w:rPr>
                <w:w w:val="99"/>
                <w:sz w:val="20"/>
              </w:rPr>
              <w:t>-</w:t>
            </w:r>
          </w:p>
        </w:tc>
        <w:tc>
          <w:tcPr>
            <w:tcW w:w="1133" w:type="dxa"/>
          </w:tcPr>
          <w:p w:rsidR="007C5447" w:rsidRDefault="00F6308C">
            <w:pPr>
              <w:pStyle w:val="TableParagraph"/>
              <w:spacing w:before="36"/>
              <w:ind w:right="99"/>
              <w:rPr>
                <w:sz w:val="20"/>
              </w:rPr>
            </w:pPr>
            <w:r>
              <w:rPr>
                <w:w w:val="95"/>
                <w:sz w:val="20"/>
              </w:rPr>
              <w:t>191.38</w:t>
            </w:r>
          </w:p>
        </w:tc>
        <w:tc>
          <w:tcPr>
            <w:tcW w:w="1135" w:type="dxa"/>
          </w:tcPr>
          <w:p w:rsidR="007C5447" w:rsidRDefault="00F6308C">
            <w:pPr>
              <w:pStyle w:val="TableParagraph"/>
              <w:spacing w:before="36"/>
              <w:ind w:right="97"/>
              <w:rPr>
                <w:sz w:val="20"/>
              </w:rPr>
            </w:pPr>
            <w:r>
              <w:rPr>
                <w:w w:val="99"/>
                <w:sz w:val="20"/>
              </w:rPr>
              <w:t>-</w:t>
            </w:r>
          </w:p>
        </w:tc>
        <w:tc>
          <w:tcPr>
            <w:tcW w:w="1133" w:type="dxa"/>
          </w:tcPr>
          <w:p w:rsidR="007C5447" w:rsidRDefault="007C5447">
            <w:pPr>
              <w:pStyle w:val="TableParagraph"/>
              <w:jc w:val="left"/>
              <w:rPr>
                <w:sz w:val="18"/>
              </w:rPr>
            </w:pPr>
          </w:p>
        </w:tc>
        <w:tc>
          <w:tcPr>
            <w:tcW w:w="1136" w:type="dxa"/>
          </w:tcPr>
          <w:p w:rsidR="007C5447" w:rsidRDefault="00F6308C">
            <w:pPr>
              <w:pStyle w:val="TableParagraph"/>
              <w:spacing w:before="36"/>
              <w:ind w:right="100"/>
              <w:rPr>
                <w:sz w:val="20"/>
              </w:rPr>
            </w:pPr>
            <w:r>
              <w:rPr>
                <w:w w:val="99"/>
                <w:sz w:val="20"/>
              </w:rPr>
              <w:t>-</w:t>
            </w:r>
          </w:p>
        </w:tc>
        <w:tc>
          <w:tcPr>
            <w:tcW w:w="1075" w:type="dxa"/>
          </w:tcPr>
          <w:p w:rsidR="007C5447" w:rsidRDefault="00F6308C">
            <w:pPr>
              <w:pStyle w:val="TableParagraph"/>
              <w:spacing w:before="36"/>
              <w:ind w:right="98"/>
              <w:rPr>
                <w:sz w:val="20"/>
              </w:rPr>
            </w:pPr>
            <w:r>
              <w:rPr>
                <w:w w:val="95"/>
                <w:sz w:val="20"/>
              </w:rPr>
              <w:t>191.38</w:t>
            </w:r>
          </w:p>
        </w:tc>
      </w:tr>
      <w:tr w:rsidR="007C5447">
        <w:trPr>
          <w:trHeight w:val="330"/>
        </w:trPr>
        <w:tc>
          <w:tcPr>
            <w:tcW w:w="567" w:type="dxa"/>
            <w:shd w:val="clear" w:color="auto" w:fill="D0CECE"/>
          </w:tcPr>
          <w:p w:rsidR="007C5447" w:rsidRDefault="007C5447">
            <w:pPr>
              <w:pStyle w:val="TableParagraph"/>
              <w:jc w:val="left"/>
              <w:rPr>
                <w:sz w:val="18"/>
              </w:rPr>
            </w:pPr>
          </w:p>
        </w:tc>
        <w:tc>
          <w:tcPr>
            <w:tcW w:w="2269" w:type="dxa"/>
            <w:shd w:val="clear" w:color="auto" w:fill="D0CECE"/>
          </w:tcPr>
          <w:p w:rsidR="007C5447" w:rsidRDefault="00F6308C">
            <w:pPr>
              <w:pStyle w:val="TableParagraph"/>
              <w:spacing w:before="62"/>
              <w:ind w:left="107"/>
              <w:jc w:val="left"/>
              <w:rPr>
                <w:b/>
                <w:sz w:val="18"/>
              </w:rPr>
            </w:pPr>
            <w:r>
              <w:rPr>
                <w:b/>
                <w:sz w:val="18"/>
              </w:rPr>
              <w:t>Total</w:t>
            </w:r>
          </w:p>
        </w:tc>
        <w:tc>
          <w:tcPr>
            <w:tcW w:w="1277" w:type="dxa"/>
            <w:shd w:val="clear" w:color="auto" w:fill="D0CECE"/>
          </w:tcPr>
          <w:p w:rsidR="007C5447" w:rsidRDefault="00F6308C">
            <w:pPr>
              <w:pStyle w:val="TableParagraph"/>
              <w:spacing w:before="50"/>
              <w:ind w:right="99"/>
              <w:rPr>
                <w:b/>
                <w:sz w:val="20"/>
              </w:rPr>
            </w:pPr>
            <w:r>
              <w:rPr>
                <w:b/>
                <w:w w:val="95"/>
                <w:sz w:val="20"/>
              </w:rPr>
              <w:t>10,503.29</w:t>
            </w:r>
          </w:p>
        </w:tc>
        <w:tc>
          <w:tcPr>
            <w:tcW w:w="1133" w:type="dxa"/>
            <w:shd w:val="clear" w:color="auto" w:fill="D0CECE"/>
          </w:tcPr>
          <w:p w:rsidR="007C5447" w:rsidRDefault="00F6308C">
            <w:pPr>
              <w:pStyle w:val="TableParagraph"/>
              <w:spacing w:before="50"/>
              <w:ind w:right="99"/>
              <w:rPr>
                <w:b/>
                <w:sz w:val="20"/>
              </w:rPr>
            </w:pPr>
            <w:r>
              <w:rPr>
                <w:b/>
                <w:w w:val="95"/>
                <w:sz w:val="20"/>
              </w:rPr>
              <w:t>191.38</w:t>
            </w:r>
          </w:p>
        </w:tc>
        <w:tc>
          <w:tcPr>
            <w:tcW w:w="1135" w:type="dxa"/>
            <w:shd w:val="clear" w:color="auto" w:fill="D0CECE"/>
          </w:tcPr>
          <w:p w:rsidR="007C5447" w:rsidRDefault="00F6308C">
            <w:pPr>
              <w:pStyle w:val="TableParagraph"/>
              <w:spacing w:before="50"/>
              <w:ind w:right="98"/>
              <w:rPr>
                <w:b/>
                <w:sz w:val="20"/>
              </w:rPr>
            </w:pPr>
            <w:r>
              <w:rPr>
                <w:b/>
                <w:sz w:val="20"/>
              </w:rPr>
              <w:t>4.08</w:t>
            </w:r>
          </w:p>
        </w:tc>
        <w:tc>
          <w:tcPr>
            <w:tcW w:w="1133" w:type="dxa"/>
            <w:shd w:val="clear" w:color="auto" w:fill="D0CECE"/>
          </w:tcPr>
          <w:p w:rsidR="007C5447" w:rsidRDefault="00F6308C">
            <w:pPr>
              <w:pStyle w:val="TableParagraph"/>
              <w:spacing w:before="50"/>
              <w:ind w:right="101"/>
              <w:rPr>
                <w:b/>
                <w:sz w:val="20"/>
              </w:rPr>
            </w:pPr>
            <w:r>
              <w:rPr>
                <w:b/>
                <w:w w:val="95"/>
                <w:sz w:val="20"/>
              </w:rPr>
              <w:t>4,283.91</w:t>
            </w:r>
          </w:p>
        </w:tc>
        <w:tc>
          <w:tcPr>
            <w:tcW w:w="1136" w:type="dxa"/>
            <w:shd w:val="clear" w:color="auto" w:fill="D0CECE"/>
          </w:tcPr>
          <w:p w:rsidR="007C5447" w:rsidRDefault="00F6308C">
            <w:pPr>
              <w:pStyle w:val="TableParagraph"/>
              <w:spacing w:before="50"/>
              <w:ind w:right="98"/>
              <w:rPr>
                <w:b/>
                <w:sz w:val="20"/>
              </w:rPr>
            </w:pPr>
            <w:r>
              <w:rPr>
                <w:b/>
                <w:sz w:val="20"/>
              </w:rPr>
              <w:t>4.26</w:t>
            </w:r>
          </w:p>
        </w:tc>
        <w:tc>
          <w:tcPr>
            <w:tcW w:w="1075" w:type="dxa"/>
            <w:shd w:val="clear" w:color="auto" w:fill="D0CECE"/>
          </w:tcPr>
          <w:p w:rsidR="007C5447" w:rsidRDefault="00F6308C">
            <w:pPr>
              <w:pStyle w:val="TableParagraph"/>
              <w:spacing w:before="50"/>
              <w:ind w:right="99"/>
              <w:rPr>
                <w:b/>
                <w:sz w:val="20"/>
              </w:rPr>
            </w:pPr>
            <w:r>
              <w:rPr>
                <w:b/>
                <w:w w:val="95"/>
                <w:sz w:val="20"/>
              </w:rPr>
              <w:t>4,475.30</w:t>
            </w:r>
          </w:p>
        </w:tc>
      </w:tr>
      <w:tr w:rsidR="007C5447">
        <w:trPr>
          <w:trHeight w:val="299"/>
        </w:trPr>
        <w:tc>
          <w:tcPr>
            <w:tcW w:w="567" w:type="dxa"/>
          </w:tcPr>
          <w:p w:rsidR="007C5447" w:rsidRDefault="00F6308C">
            <w:pPr>
              <w:pStyle w:val="TableParagraph"/>
              <w:spacing w:before="47"/>
              <w:ind w:right="97"/>
              <w:rPr>
                <w:b/>
                <w:sz w:val="18"/>
              </w:rPr>
            </w:pPr>
            <w:r>
              <w:rPr>
                <w:b/>
                <w:sz w:val="18"/>
              </w:rPr>
              <w:t>5</w:t>
            </w:r>
          </w:p>
        </w:tc>
        <w:tc>
          <w:tcPr>
            <w:tcW w:w="2269" w:type="dxa"/>
          </w:tcPr>
          <w:p w:rsidR="007C5447" w:rsidRDefault="00F6308C">
            <w:pPr>
              <w:pStyle w:val="TableParagraph"/>
              <w:spacing w:before="47"/>
              <w:ind w:left="107"/>
              <w:jc w:val="left"/>
              <w:rPr>
                <w:b/>
                <w:sz w:val="18"/>
              </w:rPr>
            </w:pPr>
            <w:r>
              <w:rPr>
                <w:b/>
                <w:sz w:val="18"/>
              </w:rPr>
              <w:t>Traders</w:t>
            </w:r>
          </w:p>
        </w:tc>
        <w:tc>
          <w:tcPr>
            <w:tcW w:w="1277"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1135" w:type="dxa"/>
          </w:tcPr>
          <w:p w:rsidR="007C5447" w:rsidRDefault="007C5447">
            <w:pPr>
              <w:pStyle w:val="TableParagraph"/>
              <w:jc w:val="left"/>
              <w:rPr>
                <w:sz w:val="18"/>
              </w:rPr>
            </w:pPr>
          </w:p>
        </w:tc>
        <w:tc>
          <w:tcPr>
            <w:tcW w:w="1133" w:type="dxa"/>
          </w:tcPr>
          <w:p w:rsidR="007C5447" w:rsidRDefault="007C5447">
            <w:pPr>
              <w:pStyle w:val="TableParagraph"/>
              <w:jc w:val="left"/>
              <w:rPr>
                <w:sz w:val="18"/>
              </w:rPr>
            </w:pPr>
          </w:p>
        </w:tc>
        <w:tc>
          <w:tcPr>
            <w:tcW w:w="1136" w:type="dxa"/>
          </w:tcPr>
          <w:p w:rsidR="007C5447" w:rsidRDefault="007C5447">
            <w:pPr>
              <w:pStyle w:val="TableParagraph"/>
              <w:jc w:val="left"/>
              <w:rPr>
                <w:sz w:val="18"/>
              </w:rPr>
            </w:pPr>
          </w:p>
        </w:tc>
        <w:tc>
          <w:tcPr>
            <w:tcW w:w="1075" w:type="dxa"/>
          </w:tcPr>
          <w:p w:rsidR="007C5447" w:rsidRDefault="007C5447">
            <w:pPr>
              <w:pStyle w:val="TableParagraph"/>
              <w:jc w:val="left"/>
              <w:rPr>
                <w:sz w:val="18"/>
              </w:rPr>
            </w:pPr>
          </w:p>
        </w:tc>
      </w:tr>
    </w:tbl>
    <w:p w:rsidR="007C5447" w:rsidRDefault="007C5447">
      <w:pPr>
        <w:rPr>
          <w:sz w:val="18"/>
        </w:rPr>
        <w:sectPr w:rsidR="007C5447">
          <w:pgSz w:w="11910" w:h="16840"/>
          <w:pgMar w:top="1420" w:right="260" w:bottom="960" w:left="340" w:header="0" w:footer="777" w:gutter="0"/>
          <w:cols w:space="720"/>
        </w:sectPr>
      </w:pPr>
    </w:p>
    <w:tbl>
      <w:tblPr>
        <w:tblW w:w="0" w:type="auto"/>
        <w:tblInd w:w="7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269"/>
        <w:gridCol w:w="1277"/>
        <w:gridCol w:w="1133"/>
        <w:gridCol w:w="1135"/>
        <w:gridCol w:w="1133"/>
        <w:gridCol w:w="1136"/>
        <w:gridCol w:w="1075"/>
      </w:tblGrid>
      <w:tr w:rsidR="007C5447">
        <w:trPr>
          <w:trHeight w:val="650"/>
        </w:trPr>
        <w:tc>
          <w:tcPr>
            <w:tcW w:w="567" w:type="dxa"/>
            <w:shd w:val="clear" w:color="auto" w:fill="F7C9AC"/>
          </w:tcPr>
          <w:p w:rsidR="007C5447" w:rsidRDefault="00F6308C">
            <w:pPr>
              <w:pStyle w:val="TableParagraph"/>
              <w:spacing w:before="119"/>
              <w:ind w:left="107"/>
              <w:jc w:val="left"/>
              <w:rPr>
                <w:b/>
                <w:sz w:val="18"/>
              </w:rPr>
            </w:pPr>
            <w:r>
              <w:rPr>
                <w:b/>
                <w:sz w:val="18"/>
              </w:rPr>
              <w:lastRenderedPageBreak/>
              <w:t>Sl.</w:t>
            </w:r>
          </w:p>
          <w:p w:rsidR="007C5447" w:rsidRDefault="00F6308C">
            <w:pPr>
              <w:pStyle w:val="TableParagraph"/>
              <w:ind w:left="107"/>
              <w:jc w:val="left"/>
              <w:rPr>
                <w:b/>
                <w:sz w:val="18"/>
              </w:rPr>
            </w:pPr>
            <w:r>
              <w:rPr>
                <w:b/>
                <w:sz w:val="18"/>
              </w:rPr>
              <w:t>No.</w:t>
            </w:r>
          </w:p>
        </w:tc>
        <w:tc>
          <w:tcPr>
            <w:tcW w:w="2269" w:type="dxa"/>
            <w:shd w:val="clear" w:color="auto" w:fill="F7C9AC"/>
          </w:tcPr>
          <w:p w:rsidR="007C5447" w:rsidRDefault="007C5447">
            <w:pPr>
              <w:pStyle w:val="TableParagraph"/>
              <w:spacing w:before="4"/>
              <w:jc w:val="left"/>
              <w:rPr>
                <w:b/>
                <w:sz w:val="19"/>
              </w:rPr>
            </w:pPr>
          </w:p>
          <w:p w:rsidR="007C5447" w:rsidRDefault="00F6308C">
            <w:pPr>
              <w:pStyle w:val="TableParagraph"/>
              <w:spacing w:before="1"/>
              <w:ind w:left="107"/>
              <w:jc w:val="left"/>
              <w:rPr>
                <w:b/>
                <w:sz w:val="18"/>
              </w:rPr>
            </w:pPr>
            <w:r>
              <w:rPr>
                <w:b/>
                <w:sz w:val="18"/>
              </w:rPr>
              <w:t>Particulars</w:t>
            </w:r>
          </w:p>
        </w:tc>
        <w:tc>
          <w:tcPr>
            <w:tcW w:w="1277" w:type="dxa"/>
            <w:shd w:val="clear" w:color="auto" w:fill="F7C9AC"/>
          </w:tcPr>
          <w:p w:rsidR="007C5447" w:rsidRDefault="00F6308C">
            <w:pPr>
              <w:pStyle w:val="TableParagraph"/>
              <w:spacing w:before="119"/>
              <w:ind w:left="426" w:right="239" w:hanging="159"/>
              <w:jc w:val="left"/>
              <w:rPr>
                <w:b/>
                <w:sz w:val="18"/>
              </w:rPr>
            </w:pPr>
            <w:r>
              <w:rPr>
                <w:b/>
                <w:sz w:val="18"/>
              </w:rPr>
              <w:t>Quantum (MU)</w:t>
            </w:r>
          </w:p>
        </w:tc>
        <w:tc>
          <w:tcPr>
            <w:tcW w:w="1133" w:type="dxa"/>
            <w:shd w:val="clear" w:color="auto" w:fill="F7C9AC"/>
          </w:tcPr>
          <w:p w:rsidR="007C5447" w:rsidRDefault="00F6308C">
            <w:pPr>
              <w:pStyle w:val="TableParagraph"/>
              <w:spacing w:before="119"/>
              <w:ind w:left="210" w:right="126" w:hanging="58"/>
              <w:jc w:val="left"/>
              <w:rPr>
                <w:b/>
                <w:sz w:val="18"/>
              </w:rPr>
            </w:pPr>
            <w:r>
              <w:rPr>
                <w:b/>
                <w:sz w:val="18"/>
              </w:rPr>
              <w:t>Fixed Cost (Rs. Cr.)</w:t>
            </w:r>
          </w:p>
        </w:tc>
        <w:tc>
          <w:tcPr>
            <w:tcW w:w="1135" w:type="dxa"/>
            <w:shd w:val="clear" w:color="auto" w:fill="F7C9AC"/>
          </w:tcPr>
          <w:p w:rsidR="007C5447" w:rsidRDefault="00F6308C">
            <w:pPr>
              <w:pStyle w:val="TableParagraph"/>
              <w:spacing w:before="14"/>
              <w:ind w:left="280" w:firstLine="4"/>
              <w:jc w:val="left"/>
              <w:rPr>
                <w:b/>
                <w:sz w:val="18"/>
              </w:rPr>
            </w:pPr>
            <w:r>
              <w:rPr>
                <w:b/>
                <w:sz w:val="18"/>
              </w:rPr>
              <w:t>Energy</w:t>
            </w:r>
          </w:p>
          <w:p w:rsidR="007C5447" w:rsidRDefault="00F6308C">
            <w:pPr>
              <w:pStyle w:val="TableParagraph"/>
              <w:spacing w:before="5" w:line="206" w:lineRule="exact"/>
              <w:ind w:left="167" w:firstLine="112"/>
              <w:jc w:val="left"/>
              <w:rPr>
                <w:b/>
                <w:sz w:val="18"/>
              </w:rPr>
            </w:pPr>
            <w:r>
              <w:rPr>
                <w:b/>
                <w:sz w:val="18"/>
              </w:rPr>
              <w:t>Charge (Rs./kWh)</w:t>
            </w:r>
          </w:p>
        </w:tc>
        <w:tc>
          <w:tcPr>
            <w:tcW w:w="1133" w:type="dxa"/>
            <w:shd w:val="clear" w:color="auto" w:fill="F7C9AC"/>
          </w:tcPr>
          <w:p w:rsidR="007C5447" w:rsidRDefault="00F6308C">
            <w:pPr>
              <w:pStyle w:val="TableParagraph"/>
              <w:spacing w:before="14"/>
              <w:ind w:left="277" w:firstLine="4"/>
              <w:jc w:val="left"/>
              <w:rPr>
                <w:b/>
                <w:sz w:val="18"/>
              </w:rPr>
            </w:pPr>
            <w:r>
              <w:rPr>
                <w:b/>
                <w:sz w:val="18"/>
              </w:rPr>
              <w:t>Energy</w:t>
            </w:r>
          </w:p>
          <w:p w:rsidR="007C5447" w:rsidRDefault="00F6308C">
            <w:pPr>
              <w:pStyle w:val="TableParagraph"/>
              <w:spacing w:before="5" w:line="206" w:lineRule="exact"/>
              <w:ind w:left="229" w:right="141" w:firstLine="48"/>
              <w:jc w:val="left"/>
              <w:rPr>
                <w:b/>
                <w:sz w:val="18"/>
              </w:rPr>
            </w:pPr>
            <w:r>
              <w:rPr>
                <w:b/>
                <w:sz w:val="18"/>
              </w:rPr>
              <w:t>Charge (Rs.</w:t>
            </w:r>
            <w:r>
              <w:rPr>
                <w:b/>
                <w:spacing w:val="2"/>
                <w:sz w:val="18"/>
              </w:rPr>
              <w:t xml:space="preserve"> </w:t>
            </w:r>
            <w:r>
              <w:rPr>
                <w:b/>
                <w:spacing w:val="-5"/>
                <w:sz w:val="18"/>
              </w:rPr>
              <w:t>Cr.)</w:t>
            </w:r>
          </w:p>
        </w:tc>
        <w:tc>
          <w:tcPr>
            <w:tcW w:w="1136" w:type="dxa"/>
            <w:shd w:val="clear" w:color="auto" w:fill="F7C9AC"/>
          </w:tcPr>
          <w:p w:rsidR="007C5447" w:rsidRDefault="00F6308C">
            <w:pPr>
              <w:pStyle w:val="TableParagraph"/>
              <w:spacing w:before="119"/>
              <w:ind w:left="167" w:right="137" w:hanging="3"/>
              <w:jc w:val="left"/>
              <w:rPr>
                <w:b/>
                <w:sz w:val="18"/>
              </w:rPr>
            </w:pPr>
            <w:r>
              <w:rPr>
                <w:b/>
                <w:sz w:val="18"/>
              </w:rPr>
              <w:t>Total Cost (Rs./kWh)</w:t>
            </w:r>
          </w:p>
        </w:tc>
        <w:tc>
          <w:tcPr>
            <w:tcW w:w="1075" w:type="dxa"/>
            <w:shd w:val="clear" w:color="auto" w:fill="F7C9AC"/>
          </w:tcPr>
          <w:p w:rsidR="007C5447" w:rsidRDefault="00F6308C">
            <w:pPr>
              <w:pStyle w:val="TableParagraph"/>
              <w:spacing w:before="119"/>
              <w:ind w:left="202" w:right="108" w:hanging="70"/>
              <w:jc w:val="left"/>
              <w:rPr>
                <w:b/>
                <w:sz w:val="18"/>
              </w:rPr>
            </w:pPr>
            <w:r>
              <w:rPr>
                <w:b/>
                <w:sz w:val="18"/>
              </w:rPr>
              <w:t>Total Cost (Rs. Cr.)</w:t>
            </w:r>
          </w:p>
        </w:tc>
      </w:tr>
      <w:tr w:rsidR="007C5447">
        <w:trPr>
          <w:trHeight w:val="330"/>
        </w:trPr>
        <w:tc>
          <w:tcPr>
            <w:tcW w:w="567" w:type="dxa"/>
          </w:tcPr>
          <w:p w:rsidR="007C5447" w:rsidRDefault="007C5447">
            <w:pPr>
              <w:pStyle w:val="TableParagraph"/>
              <w:jc w:val="left"/>
              <w:rPr>
                <w:sz w:val="20"/>
              </w:rPr>
            </w:pPr>
          </w:p>
        </w:tc>
        <w:tc>
          <w:tcPr>
            <w:tcW w:w="2269" w:type="dxa"/>
          </w:tcPr>
          <w:p w:rsidR="007C5447" w:rsidRDefault="00F6308C">
            <w:pPr>
              <w:pStyle w:val="TableParagraph"/>
              <w:spacing w:before="62"/>
              <w:ind w:left="107"/>
              <w:jc w:val="left"/>
              <w:rPr>
                <w:b/>
                <w:sz w:val="18"/>
              </w:rPr>
            </w:pPr>
            <w:r>
              <w:rPr>
                <w:b/>
                <w:sz w:val="18"/>
              </w:rPr>
              <w:t>LTOA</w:t>
            </w:r>
          </w:p>
        </w:tc>
        <w:tc>
          <w:tcPr>
            <w:tcW w:w="1277" w:type="dxa"/>
          </w:tcPr>
          <w:p w:rsidR="007C5447" w:rsidRDefault="007C5447">
            <w:pPr>
              <w:pStyle w:val="TableParagraph"/>
              <w:jc w:val="left"/>
              <w:rPr>
                <w:sz w:val="20"/>
              </w:rPr>
            </w:pPr>
          </w:p>
        </w:tc>
        <w:tc>
          <w:tcPr>
            <w:tcW w:w="1133" w:type="dxa"/>
          </w:tcPr>
          <w:p w:rsidR="007C5447" w:rsidRDefault="007C5447">
            <w:pPr>
              <w:pStyle w:val="TableParagraph"/>
              <w:jc w:val="left"/>
              <w:rPr>
                <w:sz w:val="20"/>
              </w:rPr>
            </w:pPr>
          </w:p>
        </w:tc>
        <w:tc>
          <w:tcPr>
            <w:tcW w:w="1135" w:type="dxa"/>
          </w:tcPr>
          <w:p w:rsidR="007C5447" w:rsidRDefault="007C5447">
            <w:pPr>
              <w:pStyle w:val="TableParagraph"/>
              <w:jc w:val="left"/>
              <w:rPr>
                <w:sz w:val="20"/>
              </w:rPr>
            </w:pPr>
          </w:p>
        </w:tc>
        <w:tc>
          <w:tcPr>
            <w:tcW w:w="1133"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75" w:type="dxa"/>
          </w:tcPr>
          <w:p w:rsidR="007C5447" w:rsidRDefault="007C5447">
            <w:pPr>
              <w:pStyle w:val="TableParagraph"/>
              <w:jc w:val="left"/>
              <w:rPr>
                <w:sz w:val="20"/>
              </w:rPr>
            </w:pPr>
          </w:p>
        </w:tc>
      </w:tr>
      <w:tr w:rsidR="007C5447">
        <w:trPr>
          <w:trHeight w:val="299"/>
        </w:trPr>
        <w:tc>
          <w:tcPr>
            <w:tcW w:w="567" w:type="dxa"/>
          </w:tcPr>
          <w:p w:rsidR="007C5447" w:rsidRDefault="007C5447">
            <w:pPr>
              <w:pStyle w:val="TableParagraph"/>
              <w:jc w:val="left"/>
              <w:rPr>
                <w:sz w:val="20"/>
              </w:rPr>
            </w:pPr>
          </w:p>
        </w:tc>
        <w:tc>
          <w:tcPr>
            <w:tcW w:w="2269" w:type="dxa"/>
          </w:tcPr>
          <w:p w:rsidR="007C5447" w:rsidRDefault="00F6308C">
            <w:pPr>
              <w:pStyle w:val="TableParagraph"/>
              <w:spacing w:before="47"/>
              <w:ind w:left="107"/>
              <w:jc w:val="left"/>
              <w:rPr>
                <w:sz w:val="18"/>
              </w:rPr>
            </w:pPr>
            <w:r>
              <w:rPr>
                <w:sz w:val="18"/>
              </w:rPr>
              <w:t>M/s. D.B.Power Ltd.</w:t>
            </w:r>
          </w:p>
        </w:tc>
        <w:tc>
          <w:tcPr>
            <w:tcW w:w="1277" w:type="dxa"/>
          </w:tcPr>
          <w:p w:rsidR="007C5447" w:rsidRDefault="00F6308C">
            <w:pPr>
              <w:pStyle w:val="TableParagraph"/>
              <w:spacing w:before="36"/>
              <w:ind w:right="99"/>
              <w:rPr>
                <w:sz w:val="20"/>
              </w:rPr>
            </w:pPr>
            <w:r>
              <w:rPr>
                <w:w w:val="95"/>
                <w:sz w:val="20"/>
              </w:rPr>
              <w:t>1,489.60</w:t>
            </w:r>
          </w:p>
        </w:tc>
        <w:tc>
          <w:tcPr>
            <w:tcW w:w="1133" w:type="dxa"/>
          </w:tcPr>
          <w:p w:rsidR="007C5447" w:rsidRDefault="00F6308C">
            <w:pPr>
              <w:pStyle w:val="TableParagraph"/>
              <w:spacing w:before="36"/>
              <w:ind w:right="99"/>
              <w:rPr>
                <w:sz w:val="20"/>
              </w:rPr>
            </w:pPr>
            <w:r>
              <w:rPr>
                <w:w w:val="95"/>
                <w:sz w:val="20"/>
              </w:rPr>
              <w:t>422.03</w:t>
            </w:r>
          </w:p>
        </w:tc>
        <w:tc>
          <w:tcPr>
            <w:tcW w:w="1135" w:type="dxa"/>
          </w:tcPr>
          <w:p w:rsidR="007C5447" w:rsidRDefault="00F6308C">
            <w:pPr>
              <w:pStyle w:val="TableParagraph"/>
              <w:spacing w:before="36"/>
              <w:ind w:right="100"/>
              <w:rPr>
                <w:sz w:val="20"/>
              </w:rPr>
            </w:pPr>
            <w:r>
              <w:rPr>
                <w:sz w:val="20"/>
              </w:rPr>
              <w:t>1.34</w:t>
            </w:r>
          </w:p>
        </w:tc>
        <w:tc>
          <w:tcPr>
            <w:tcW w:w="1133" w:type="dxa"/>
          </w:tcPr>
          <w:p w:rsidR="007C5447" w:rsidRDefault="00F6308C">
            <w:pPr>
              <w:pStyle w:val="TableParagraph"/>
              <w:spacing w:before="36"/>
              <w:ind w:right="101"/>
              <w:rPr>
                <w:sz w:val="20"/>
              </w:rPr>
            </w:pPr>
            <w:r>
              <w:rPr>
                <w:w w:val="95"/>
                <w:sz w:val="20"/>
              </w:rPr>
              <w:t>199.61</w:t>
            </w:r>
          </w:p>
        </w:tc>
        <w:tc>
          <w:tcPr>
            <w:tcW w:w="1136" w:type="dxa"/>
          </w:tcPr>
          <w:p w:rsidR="007C5447" w:rsidRDefault="00F6308C">
            <w:pPr>
              <w:pStyle w:val="TableParagraph"/>
              <w:spacing w:before="36"/>
              <w:ind w:right="101"/>
              <w:rPr>
                <w:sz w:val="20"/>
              </w:rPr>
            </w:pPr>
            <w:r>
              <w:rPr>
                <w:sz w:val="20"/>
              </w:rPr>
              <w:t>4.17</w:t>
            </w:r>
          </w:p>
        </w:tc>
        <w:tc>
          <w:tcPr>
            <w:tcW w:w="1075" w:type="dxa"/>
          </w:tcPr>
          <w:p w:rsidR="007C5447" w:rsidRDefault="00F6308C">
            <w:pPr>
              <w:pStyle w:val="TableParagraph"/>
              <w:spacing w:before="36"/>
              <w:ind w:right="98"/>
              <w:rPr>
                <w:sz w:val="20"/>
              </w:rPr>
            </w:pPr>
            <w:r>
              <w:rPr>
                <w:w w:val="95"/>
                <w:sz w:val="20"/>
              </w:rPr>
              <w:t>621.64</w:t>
            </w:r>
          </w:p>
        </w:tc>
      </w:tr>
      <w:tr w:rsidR="007C5447">
        <w:trPr>
          <w:trHeight w:val="299"/>
        </w:trPr>
        <w:tc>
          <w:tcPr>
            <w:tcW w:w="567" w:type="dxa"/>
          </w:tcPr>
          <w:p w:rsidR="007C5447" w:rsidRDefault="007C5447">
            <w:pPr>
              <w:pStyle w:val="TableParagraph"/>
              <w:jc w:val="left"/>
              <w:rPr>
                <w:sz w:val="20"/>
              </w:rPr>
            </w:pPr>
          </w:p>
        </w:tc>
        <w:tc>
          <w:tcPr>
            <w:tcW w:w="2269" w:type="dxa"/>
          </w:tcPr>
          <w:p w:rsidR="007C5447" w:rsidRDefault="00F6308C">
            <w:pPr>
              <w:pStyle w:val="TableParagraph"/>
              <w:spacing w:before="47"/>
              <w:ind w:left="107"/>
              <w:jc w:val="left"/>
              <w:rPr>
                <w:sz w:val="18"/>
              </w:rPr>
            </w:pPr>
            <w:r>
              <w:rPr>
                <w:sz w:val="18"/>
              </w:rPr>
              <w:t>M/s. Jindal Power Ltd.</w:t>
            </w:r>
          </w:p>
        </w:tc>
        <w:tc>
          <w:tcPr>
            <w:tcW w:w="1277" w:type="dxa"/>
          </w:tcPr>
          <w:p w:rsidR="007C5447" w:rsidRDefault="00F6308C">
            <w:pPr>
              <w:pStyle w:val="TableParagraph"/>
              <w:spacing w:before="36"/>
              <w:ind w:right="99"/>
              <w:rPr>
                <w:sz w:val="20"/>
              </w:rPr>
            </w:pPr>
            <w:r>
              <w:rPr>
                <w:w w:val="95"/>
                <w:sz w:val="20"/>
              </w:rPr>
              <w:t>2,864.62</w:t>
            </w:r>
          </w:p>
        </w:tc>
        <w:tc>
          <w:tcPr>
            <w:tcW w:w="1133" w:type="dxa"/>
          </w:tcPr>
          <w:p w:rsidR="007C5447" w:rsidRDefault="00F6308C">
            <w:pPr>
              <w:pStyle w:val="TableParagraph"/>
              <w:spacing w:before="36"/>
              <w:ind w:right="99"/>
              <w:rPr>
                <w:sz w:val="20"/>
              </w:rPr>
            </w:pPr>
            <w:r>
              <w:rPr>
                <w:w w:val="95"/>
                <w:sz w:val="20"/>
              </w:rPr>
              <w:t>847.50</w:t>
            </w:r>
          </w:p>
        </w:tc>
        <w:tc>
          <w:tcPr>
            <w:tcW w:w="1135" w:type="dxa"/>
          </w:tcPr>
          <w:p w:rsidR="007C5447" w:rsidRDefault="00F6308C">
            <w:pPr>
              <w:pStyle w:val="TableParagraph"/>
              <w:spacing w:before="36"/>
              <w:ind w:right="100"/>
              <w:rPr>
                <w:sz w:val="20"/>
              </w:rPr>
            </w:pPr>
            <w:r>
              <w:rPr>
                <w:sz w:val="20"/>
              </w:rPr>
              <w:t>1.37</w:t>
            </w:r>
          </w:p>
        </w:tc>
        <w:tc>
          <w:tcPr>
            <w:tcW w:w="1133" w:type="dxa"/>
          </w:tcPr>
          <w:p w:rsidR="007C5447" w:rsidRDefault="00F6308C">
            <w:pPr>
              <w:pStyle w:val="TableParagraph"/>
              <w:spacing w:before="36"/>
              <w:ind w:right="101"/>
              <w:rPr>
                <w:sz w:val="20"/>
              </w:rPr>
            </w:pPr>
            <w:r>
              <w:rPr>
                <w:w w:val="95"/>
                <w:sz w:val="20"/>
              </w:rPr>
              <w:t>392.45</w:t>
            </w:r>
          </w:p>
        </w:tc>
        <w:tc>
          <w:tcPr>
            <w:tcW w:w="1136" w:type="dxa"/>
          </w:tcPr>
          <w:p w:rsidR="007C5447" w:rsidRDefault="00F6308C">
            <w:pPr>
              <w:pStyle w:val="TableParagraph"/>
              <w:spacing w:before="36"/>
              <w:ind w:right="101"/>
              <w:rPr>
                <w:sz w:val="20"/>
              </w:rPr>
            </w:pPr>
            <w:r>
              <w:rPr>
                <w:sz w:val="20"/>
              </w:rPr>
              <w:t>4.33</w:t>
            </w:r>
          </w:p>
        </w:tc>
        <w:tc>
          <w:tcPr>
            <w:tcW w:w="1075" w:type="dxa"/>
          </w:tcPr>
          <w:p w:rsidR="007C5447" w:rsidRDefault="00F6308C">
            <w:pPr>
              <w:pStyle w:val="TableParagraph"/>
              <w:spacing w:before="36"/>
              <w:ind w:right="99"/>
              <w:rPr>
                <w:sz w:val="20"/>
              </w:rPr>
            </w:pPr>
            <w:r>
              <w:rPr>
                <w:w w:val="95"/>
                <w:sz w:val="20"/>
              </w:rPr>
              <w:t>1,239.96</w:t>
            </w:r>
          </w:p>
        </w:tc>
      </w:tr>
      <w:tr w:rsidR="007C5447">
        <w:trPr>
          <w:trHeight w:val="445"/>
        </w:trPr>
        <w:tc>
          <w:tcPr>
            <w:tcW w:w="567" w:type="dxa"/>
          </w:tcPr>
          <w:p w:rsidR="007C5447" w:rsidRDefault="007C5447">
            <w:pPr>
              <w:pStyle w:val="TableParagraph"/>
              <w:jc w:val="left"/>
              <w:rPr>
                <w:sz w:val="20"/>
              </w:rPr>
            </w:pPr>
          </w:p>
        </w:tc>
        <w:tc>
          <w:tcPr>
            <w:tcW w:w="2269" w:type="dxa"/>
          </w:tcPr>
          <w:p w:rsidR="007C5447" w:rsidRDefault="00F6308C">
            <w:pPr>
              <w:pStyle w:val="TableParagraph"/>
              <w:spacing w:before="20" w:line="206" w:lineRule="exact"/>
              <w:ind w:left="107" w:right="342"/>
              <w:jc w:val="left"/>
              <w:rPr>
                <w:sz w:val="18"/>
              </w:rPr>
            </w:pPr>
            <w:r>
              <w:rPr>
                <w:sz w:val="18"/>
              </w:rPr>
              <w:t>M/s. Ind Bharath Energy (Utkal) Ltd.</w:t>
            </w:r>
          </w:p>
        </w:tc>
        <w:tc>
          <w:tcPr>
            <w:tcW w:w="1277" w:type="dxa"/>
          </w:tcPr>
          <w:p w:rsidR="007C5447" w:rsidRDefault="00F6308C">
            <w:pPr>
              <w:pStyle w:val="TableParagraph"/>
              <w:spacing w:before="108"/>
              <w:ind w:right="99"/>
              <w:rPr>
                <w:sz w:val="20"/>
              </w:rPr>
            </w:pPr>
            <w:r>
              <w:rPr>
                <w:w w:val="95"/>
                <w:sz w:val="20"/>
              </w:rPr>
              <w:t>3,580.78</w:t>
            </w:r>
          </w:p>
        </w:tc>
        <w:tc>
          <w:tcPr>
            <w:tcW w:w="1133" w:type="dxa"/>
          </w:tcPr>
          <w:p w:rsidR="007C5447" w:rsidRDefault="00F6308C">
            <w:pPr>
              <w:pStyle w:val="TableParagraph"/>
              <w:spacing w:before="108"/>
              <w:ind w:right="99"/>
              <w:rPr>
                <w:sz w:val="20"/>
              </w:rPr>
            </w:pPr>
            <w:r>
              <w:rPr>
                <w:w w:val="95"/>
                <w:sz w:val="20"/>
              </w:rPr>
              <w:t>387.27</w:t>
            </w:r>
          </w:p>
        </w:tc>
        <w:tc>
          <w:tcPr>
            <w:tcW w:w="1135" w:type="dxa"/>
          </w:tcPr>
          <w:p w:rsidR="007C5447" w:rsidRDefault="00F6308C">
            <w:pPr>
              <w:pStyle w:val="TableParagraph"/>
              <w:spacing w:before="108"/>
              <w:ind w:right="100"/>
              <w:rPr>
                <w:sz w:val="20"/>
              </w:rPr>
            </w:pPr>
            <w:r>
              <w:rPr>
                <w:sz w:val="20"/>
              </w:rPr>
              <w:t>0.80</w:t>
            </w:r>
          </w:p>
        </w:tc>
        <w:tc>
          <w:tcPr>
            <w:tcW w:w="1133" w:type="dxa"/>
          </w:tcPr>
          <w:p w:rsidR="007C5447" w:rsidRDefault="00F6308C">
            <w:pPr>
              <w:pStyle w:val="TableParagraph"/>
              <w:spacing w:before="108"/>
              <w:ind w:right="101"/>
              <w:rPr>
                <w:sz w:val="20"/>
              </w:rPr>
            </w:pPr>
            <w:r>
              <w:rPr>
                <w:w w:val="95"/>
                <w:sz w:val="20"/>
              </w:rPr>
              <w:t>286.46</w:t>
            </w:r>
          </w:p>
        </w:tc>
        <w:tc>
          <w:tcPr>
            <w:tcW w:w="1136" w:type="dxa"/>
          </w:tcPr>
          <w:p w:rsidR="007C5447" w:rsidRDefault="00F6308C">
            <w:pPr>
              <w:pStyle w:val="TableParagraph"/>
              <w:spacing w:before="108"/>
              <w:ind w:right="101"/>
              <w:rPr>
                <w:sz w:val="20"/>
              </w:rPr>
            </w:pPr>
            <w:r>
              <w:rPr>
                <w:sz w:val="20"/>
              </w:rPr>
              <w:t>1.88</w:t>
            </w:r>
          </w:p>
        </w:tc>
        <w:tc>
          <w:tcPr>
            <w:tcW w:w="1075" w:type="dxa"/>
          </w:tcPr>
          <w:p w:rsidR="007C5447" w:rsidRDefault="00F6308C">
            <w:pPr>
              <w:pStyle w:val="TableParagraph"/>
              <w:spacing w:before="108"/>
              <w:ind w:right="98"/>
              <w:rPr>
                <w:sz w:val="20"/>
              </w:rPr>
            </w:pPr>
            <w:r>
              <w:rPr>
                <w:w w:val="95"/>
                <w:sz w:val="20"/>
              </w:rPr>
              <w:t>673.74</w:t>
            </w:r>
          </w:p>
        </w:tc>
      </w:tr>
      <w:tr w:rsidR="007C5447">
        <w:trPr>
          <w:trHeight w:val="443"/>
        </w:trPr>
        <w:tc>
          <w:tcPr>
            <w:tcW w:w="567" w:type="dxa"/>
          </w:tcPr>
          <w:p w:rsidR="007C5447" w:rsidRDefault="007C5447">
            <w:pPr>
              <w:pStyle w:val="TableParagraph"/>
              <w:jc w:val="left"/>
              <w:rPr>
                <w:sz w:val="20"/>
              </w:rPr>
            </w:pPr>
          </w:p>
        </w:tc>
        <w:tc>
          <w:tcPr>
            <w:tcW w:w="2269" w:type="dxa"/>
          </w:tcPr>
          <w:p w:rsidR="007C5447" w:rsidRDefault="00F6308C">
            <w:pPr>
              <w:pStyle w:val="TableParagraph"/>
              <w:spacing w:before="17" w:line="206" w:lineRule="exact"/>
              <w:ind w:left="107" w:right="407"/>
              <w:jc w:val="left"/>
              <w:rPr>
                <w:sz w:val="18"/>
              </w:rPr>
            </w:pPr>
            <w:r>
              <w:rPr>
                <w:sz w:val="18"/>
              </w:rPr>
              <w:t>M/s. Bharat Aluminium Company Ltd.</w:t>
            </w:r>
          </w:p>
        </w:tc>
        <w:tc>
          <w:tcPr>
            <w:tcW w:w="1277" w:type="dxa"/>
          </w:tcPr>
          <w:p w:rsidR="007C5447" w:rsidRDefault="00F6308C">
            <w:pPr>
              <w:pStyle w:val="TableParagraph"/>
              <w:spacing w:before="106"/>
              <w:ind w:right="99"/>
              <w:rPr>
                <w:sz w:val="20"/>
              </w:rPr>
            </w:pPr>
            <w:r>
              <w:rPr>
                <w:w w:val="95"/>
                <w:sz w:val="20"/>
              </w:rPr>
              <w:t>1,432.31</w:t>
            </w:r>
          </w:p>
        </w:tc>
        <w:tc>
          <w:tcPr>
            <w:tcW w:w="1133" w:type="dxa"/>
          </w:tcPr>
          <w:p w:rsidR="007C5447" w:rsidRDefault="00F6308C">
            <w:pPr>
              <w:pStyle w:val="TableParagraph"/>
              <w:spacing w:before="106"/>
              <w:ind w:right="99"/>
              <w:rPr>
                <w:sz w:val="20"/>
              </w:rPr>
            </w:pPr>
            <w:r>
              <w:rPr>
                <w:w w:val="95"/>
                <w:sz w:val="20"/>
              </w:rPr>
              <w:t>225.05</w:t>
            </w:r>
          </w:p>
        </w:tc>
        <w:tc>
          <w:tcPr>
            <w:tcW w:w="1135" w:type="dxa"/>
          </w:tcPr>
          <w:p w:rsidR="007C5447" w:rsidRDefault="00F6308C">
            <w:pPr>
              <w:pStyle w:val="TableParagraph"/>
              <w:spacing w:before="106"/>
              <w:ind w:right="100"/>
              <w:rPr>
                <w:sz w:val="20"/>
              </w:rPr>
            </w:pPr>
            <w:r>
              <w:rPr>
                <w:sz w:val="20"/>
              </w:rPr>
              <w:t>1.83</w:t>
            </w:r>
          </w:p>
        </w:tc>
        <w:tc>
          <w:tcPr>
            <w:tcW w:w="1133" w:type="dxa"/>
          </w:tcPr>
          <w:p w:rsidR="007C5447" w:rsidRDefault="00F6308C">
            <w:pPr>
              <w:pStyle w:val="TableParagraph"/>
              <w:spacing w:before="106"/>
              <w:ind w:right="101"/>
              <w:rPr>
                <w:sz w:val="20"/>
              </w:rPr>
            </w:pPr>
            <w:r>
              <w:rPr>
                <w:w w:val="95"/>
                <w:sz w:val="20"/>
              </w:rPr>
              <w:t>262.11</w:t>
            </w:r>
          </w:p>
        </w:tc>
        <w:tc>
          <w:tcPr>
            <w:tcW w:w="1136" w:type="dxa"/>
          </w:tcPr>
          <w:p w:rsidR="007C5447" w:rsidRDefault="00F6308C">
            <w:pPr>
              <w:pStyle w:val="TableParagraph"/>
              <w:spacing w:before="106"/>
              <w:ind w:right="101"/>
              <w:rPr>
                <w:sz w:val="20"/>
              </w:rPr>
            </w:pPr>
            <w:r>
              <w:rPr>
                <w:sz w:val="20"/>
              </w:rPr>
              <w:t>3.40</w:t>
            </w:r>
          </w:p>
        </w:tc>
        <w:tc>
          <w:tcPr>
            <w:tcW w:w="1075" w:type="dxa"/>
          </w:tcPr>
          <w:p w:rsidR="007C5447" w:rsidRDefault="00F6308C">
            <w:pPr>
              <w:pStyle w:val="TableParagraph"/>
              <w:spacing w:before="106"/>
              <w:ind w:right="98"/>
              <w:rPr>
                <w:sz w:val="20"/>
              </w:rPr>
            </w:pPr>
            <w:r>
              <w:rPr>
                <w:w w:val="95"/>
                <w:sz w:val="20"/>
              </w:rPr>
              <w:t>487.16</w:t>
            </w:r>
          </w:p>
        </w:tc>
      </w:tr>
      <w:tr w:rsidR="007C5447">
        <w:trPr>
          <w:trHeight w:val="443"/>
        </w:trPr>
        <w:tc>
          <w:tcPr>
            <w:tcW w:w="567" w:type="dxa"/>
          </w:tcPr>
          <w:p w:rsidR="007C5447" w:rsidRDefault="007C5447">
            <w:pPr>
              <w:pStyle w:val="TableParagraph"/>
              <w:jc w:val="left"/>
              <w:rPr>
                <w:sz w:val="20"/>
              </w:rPr>
            </w:pPr>
          </w:p>
        </w:tc>
        <w:tc>
          <w:tcPr>
            <w:tcW w:w="2269" w:type="dxa"/>
          </w:tcPr>
          <w:p w:rsidR="007C5447" w:rsidRDefault="00F6308C">
            <w:pPr>
              <w:pStyle w:val="TableParagraph"/>
              <w:spacing w:before="17" w:line="206" w:lineRule="exact"/>
              <w:ind w:left="107" w:right="857"/>
              <w:jc w:val="left"/>
              <w:rPr>
                <w:sz w:val="18"/>
              </w:rPr>
            </w:pPr>
            <w:r>
              <w:rPr>
                <w:sz w:val="18"/>
              </w:rPr>
              <w:t>M/s. Dhariwal Infrastructure Ltd</w:t>
            </w:r>
          </w:p>
        </w:tc>
        <w:tc>
          <w:tcPr>
            <w:tcW w:w="1277" w:type="dxa"/>
          </w:tcPr>
          <w:p w:rsidR="007C5447" w:rsidRDefault="00F6308C">
            <w:pPr>
              <w:pStyle w:val="TableParagraph"/>
              <w:spacing w:before="106"/>
              <w:ind w:right="99"/>
              <w:rPr>
                <w:sz w:val="20"/>
              </w:rPr>
            </w:pPr>
            <w:r>
              <w:rPr>
                <w:w w:val="95"/>
                <w:sz w:val="20"/>
              </w:rPr>
              <w:t>716.16</w:t>
            </w:r>
          </w:p>
        </w:tc>
        <w:tc>
          <w:tcPr>
            <w:tcW w:w="1133" w:type="dxa"/>
          </w:tcPr>
          <w:p w:rsidR="007C5447" w:rsidRDefault="00F6308C">
            <w:pPr>
              <w:pStyle w:val="TableParagraph"/>
              <w:spacing w:before="106"/>
              <w:ind w:right="99"/>
              <w:rPr>
                <w:sz w:val="20"/>
              </w:rPr>
            </w:pPr>
            <w:r>
              <w:rPr>
                <w:w w:val="95"/>
                <w:sz w:val="20"/>
              </w:rPr>
              <w:t>143.15</w:t>
            </w:r>
          </w:p>
        </w:tc>
        <w:tc>
          <w:tcPr>
            <w:tcW w:w="1135" w:type="dxa"/>
          </w:tcPr>
          <w:p w:rsidR="007C5447" w:rsidRDefault="00F6308C">
            <w:pPr>
              <w:pStyle w:val="TableParagraph"/>
              <w:spacing w:before="106"/>
              <w:ind w:right="100"/>
              <w:rPr>
                <w:sz w:val="20"/>
              </w:rPr>
            </w:pPr>
            <w:r>
              <w:rPr>
                <w:sz w:val="20"/>
              </w:rPr>
              <w:t>1.88</w:t>
            </w:r>
          </w:p>
        </w:tc>
        <w:tc>
          <w:tcPr>
            <w:tcW w:w="1133" w:type="dxa"/>
          </w:tcPr>
          <w:p w:rsidR="007C5447" w:rsidRDefault="00F6308C">
            <w:pPr>
              <w:pStyle w:val="TableParagraph"/>
              <w:spacing w:before="106"/>
              <w:ind w:right="101"/>
              <w:rPr>
                <w:sz w:val="20"/>
              </w:rPr>
            </w:pPr>
            <w:r>
              <w:rPr>
                <w:w w:val="95"/>
                <w:sz w:val="20"/>
              </w:rPr>
              <w:t>134.64</w:t>
            </w:r>
          </w:p>
        </w:tc>
        <w:tc>
          <w:tcPr>
            <w:tcW w:w="1136" w:type="dxa"/>
          </w:tcPr>
          <w:p w:rsidR="007C5447" w:rsidRDefault="00F6308C">
            <w:pPr>
              <w:pStyle w:val="TableParagraph"/>
              <w:spacing w:before="106"/>
              <w:ind w:right="101"/>
              <w:rPr>
                <w:sz w:val="20"/>
              </w:rPr>
            </w:pPr>
            <w:r>
              <w:rPr>
                <w:sz w:val="20"/>
              </w:rPr>
              <w:t>3.88</w:t>
            </w:r>
          </w:p>
        </w:tc>
        <w:tc>
          <w:tcPr>
            <w:tcW w:w="1075" w:type="dxa"/>
          </w:tcPr>
          <w:p w:rsidR="007C5447" w:rsidRDefault="00F6308C">
            <w:pPr>
              <w:pStyle w:val="TableParagraph"/>
              <w:spacing w:before="106"/>
              <w:ind w:right="98"/>
              <w:rPr>
                <w:sz w:val="20"/>
              </w:rPr>
            </w:pPr>
            <w:r>
              <w:rPr>
                <w:w w:val="95"/>
                <w:sz w:val="20"/>
              </w:rPr>
              <w:t>277.79</w:t>
            </w:r>
          </w:p>
        </w:tc>
      </w:tr>
      <w:tr w:rsidR="007C5447">
        <w:trPr>
          <w:trHeight w:val="299"/>
        </w:trPr>
        <w:tc>
          <w:tcPr>
            <w:tcW w:w="567" w:type="dxa"/>
          </w:tcPr>
          <w:p w:rsidR="007C5447" w:rsidRDefault="007C5447">
            <w:pPr>
              <w:pStyle w:val="TableParagraph"/>
              <w:jc w:val="left"/>
              <w:rPr>
                <w:sz w:val="20"/>
              </w:rPr>
            </w:pPr>
          </w:p>
        </w:tc>
        <w:tc>
          <w:tcPr>
            <w:tcW w:w="2269" w:type="dxa"/>
          </w:tcPr>
          <w:p w:rsidR="007C5447" w:rsidRDefault="00F6308C">
            <w:pPr>
              <w:pStyle w:val="TableParagraph"/>
              <w:spacing w:before="45"/>
              <w:ind w:left="107"/>
              <w:jc w:val="left"/>
              <w:rPr>
                <w:sz w:val="18"/>
              </w:rPr>
            </w:pPr>
            <w:r>
              <w:rPr>
                <w:sz w:val="18"/>
              </w:rPr>
              <w:t>M/s. PTC India Ltd.</w:t>
            </w:r>
          </w:p>
        </w:tc>
        <w:tc>
          <w:tcPr>
            <w:tcW w:w="1277" w:type="dxa"/>
          </w:tcPr>
          <w:p w:rsidR="007C5447" w:rsidRDefault="00F6308C">
            <w:pPr>
              <w:pStyle w:val="TableParagraph"/>
              <w:spacing w:before="34"/>
              <w:ind w:right="99"/>
              <w:rPr>
                <w:sz w:val="20"/>
              </w:rPr>
            </w:pPr>
            <w:r>
              <w:rPr>
                <w:w w:val="95"/>
                <w:sz w:val="20"/>
              </w:rPr>
              <w:t>716.16</w:t>
            </w:r>
          </w:p>
        </w:tc>
        <w:tc>
          <w:tcPr>
            <w:tcW w:w="1133" w:type="dxa"/>
          </w:tcPr>
          <w:p w:rsidR="007C5447" w:rsidRDefault="00F6308C">
            <w:pPr>
              <w:pStyle w:val="TableParagraph"/>
              <w:spacing w:before="34"/>
              <w:ind w:right="99"/>
              <w:rPr>
                <w:sz w:val="20"/>
              </w:rPr>
            </w:pPr>
            <w:r>
              <w:rPr>
                <w:w w:val="95"/>
                <w:sz w:val="20"/>
              </w:rPr>
              <w:t>230.20</w:t>
            </w:r>
          </w:p>
        </w:tc>
        <w:tc>
          <w:tcPr>
            <w:tcW w:w="1135" w:type="dxa"/>
          </w:tcPr>
          <w:p w:rsidR="007C5447" w:rsidRDefault="00F6308C">
            <w:pPr>
              <w:pStyle w:val="TableParagraph"/>
              <w:spacing w:before="34"/>
              <w:ind w:right="100"/>
              <w:rPr>
                <w:sz w:val="20"/>
              </w:rPr>
            </w:pPr>
            <w:r>
              <w:rPr>
                <w:sz w:val="20"/>
              </w:rPr>
              <w:t>1.04</w:t>
            </w:r>
          </w:p>
        </w:tc>
        <w:tc>
          <w:tcPr>
            <w:tcW w:w="1133" w:type="dxa"/>
          </w:tcPr>
          <w:p w:rsidR="007C5447" w:rsidRDefault="00F6308C">
            <w:pPr>
              <w:pStyle w:val="TableParagraph"/>
              <w:spacing w:before="34"/>
              <w:ind w:right="98"/>
              <w:rPr>
                <w:sz w:val="20"/>
              </w:rPr>
            </w:pPr>
            <w:r>
              <w:rPr>
                <w:sz w:val="20"/>
              </w:rPr>
              <w:t>74.48</w:t>
            </w:r>
          </w:p>
        </w:tc>
        <w:tc>
          <w:tcPr>
            <w:tcW w:w="1136" w:type="dxa"/>
          </w:tcPr>
          <w:p w:rsidR="007C5447" w:rsidRDefault="00F6308C">
            <w:pPr>
              <w:pStyle w:val="TableParagraph"/>
              <w:spacing w:before="34"/>
              <w:ind w:right="101"/>
              <w:rPr>
                <w:sz w:val="20"/>
              </w:rPr>
            </w:pPr>
            <w:r>
              <w:rPr>
                <w:sz w:val="20"/>
              </w:rPr>
              <w:t>4.25</w:t>
            </w:r>
          </w:p>
        </w:tc>
        <w:tc>
          <w:tcPr>
            <w:tcW w:w="1075" w:type="dxa"/>
          </w:tcPr>
          <w:p w:rsidR="007C5447" w:rsidRDefault="00F6308C">
            <w:pPr>
              <w:pStyle w:val="TableParagraph"/>
              <w:spacing w:before="34"/>
              <w:ind w:right="98"/>
              <w:rPr>
                <w:sz w:val="20"/>
              </w:rPr>
            </w:pPr>
            <w:r>
              <w:rPr>
                <w:w w:val="95"/>
                <w:sz w:val="20"/>
              </w:rPr>
              <w:t>304.68</w:t>
            </w:r>
          </w:p>
        </w:tc>
      </w:tr>
      <w:tr w:rsidR="007C5447">
        <w:trPr>
          <w:trHeight w:val="443"/>
        </w:trPr>
        <w:tc>
          <w:tcPr>
            <w:tcW w:w="567" w:type="dxa"/>
          </w:tcPr>
          <w:p w:rsidR="007C5447" w:rsidRDefault="007C5447">
            <w:pPr>
              <w:pStyle w:val="TableParagraph"/>
              <w:jc w:val="left"/>
              <w:rPr>
                <w:sz w:val="20"/>
              </w:rPr>
            </w:pPr>
          </w:p>
        </w:tc>
        <w:tc>
          <w:tcPr>
            <w:tcW w:w="2269" w:type="dxa"/>
          </w:tcPr>
          <w:p w:rsidR="007C5447" w:rsidRDefault="00F6308C">
            <w:pPr>
              <w:pStyle w:val="TableParagraph"/>
              <w:spacing w:before="11" w:line="210" w:lineRule="atLeast"/>
              <w:ind w:left="107" w:right="132"/>
              <w:jc w:val="left"/>
              <w:rPr>
                <w:sz w:val="18"/>
              </w:rPr>
            </w:pPr>
            <w:r>
              <w:rPr>
                <w:sz w:val="18"/>
              </w:rPr>
              <w:t>M/s. KSK Mahanadi Power Company Ltd.</w:t>
            </w:r>
          </w:p>
        </w:tc>
        <w:tc>
          <w:tcPr>
            <w:tcW w:w="1277" w:type="dxa"/>
          </w:tcPr>
          <w:p w:rsidR="007C5447" w:rsidRDefault="00F6308C">
            <w:pPr>
              <w:pStyle w:val="TableParagraph"/>
              <w:spacing w:before="108"/>
              <w:ind w:right="99"/>
              <w:rPr>
                <w:sz w:val="20"/>
              </w:rPr>
            </w:pPr>
            <w:r>
              <w:rPr>
                <w:w w:val="95"/>
                <w:sz w:val="20"/>
              </w:rPr>
              <w:t>3,580.78</w:t>
            </w:r>
          </w:p>
        </w:tc>
        <w:tc>
          <w:tcPr>
            <w:tcW w:w="1133" w:type="dxa"/>
          </w:tcPr>
          <w:p w:rsidR="007C5447" w:rsidRDefault="00F6308C">
            <w:pPr>
              <w:pStyle w:val="TableParagraph"/>
              <w:spacing w:before="108"/>
              <w:ind w:right="99"/>
              <w:rPr>
                <w:sz w:val="20"/>
              </w:rPr>
            </w:pPr>
            <w:r>
              <w:rPr>
                <w:w w:val="95"/>
                <w:sz w:val="20"/>
              </w:rPr>
              <w:t>663.61</w:t>
            </w:r>
          </w:p>
        </w:tc>
        <w:tc>
          <w:tcPr>
            <w:tcW w:w="1135" w:type="dxa"/>
          </w:tcPr>
          <w:p w:rsidR="007C5447" w:rsidRDefault="00F6308C">
            <w:pPr>
              <w:pStyle w:val="TableParagraph"/>
              <w:spacing w:before="108"/>
              <w:ind w:right="100"/>
              <w:rPr>
                <w:sz w:val="20"/>
              </w:rPr>
            </w:pPr>
            <w:r>
              <w:rPr>
                <w:sz w:val="20"/>
              </w:rPr>
              <w:t>2.06</w:t>
            </w:r>
          </w:p>
        </w:tc>
        <w:tc>
          <w:tcPr>
            <w:tcW w:w="1133" w:type="dxa"/>
          </w:tcPr>
          <w:p w:rsidR="007C5447" w:rsidRDefault="00F6308C">
            <w:pPr>
              <w:pStyle w:val="TableParagraph"/>
              <w:spacing w:before="108"/>
              <w:ind w:right="101"/>
              <w:rPr>
                <w:sz w:val="20"/>
              </w:rPr>
            </w:pPr>
            <w:r>
              <w:rPr>
                <w:w w:val="95"/>
                <w:sz w:val="20"/>
              </w:rPr>
              <w:t>737.64</w:t>
            </w:r>
          </w:p>
        </w:tc>
        <w:tc>
          <w:tcPr>
            <w:tcW w:w="1136" w:type="dxa"/>
          </w:tcPr>
          <w:p w:rsidR="007C5447" w:rsidRDefault="00F6308C">
            <w:pPr>
              <w:pStyle w:val="TableParagraph"/>
              <w:spacing w:before="108"/>
              <w:ind w:right="101"/>
              <w:rPr>
                <w:sz w:val="20"/>
              </w:rPr>
            </w:pPr>
            <w:r>
              <w:rPr>
                <w:sz w:val="20"/>
              </w:rPr>
              <w:t>3.91</w:t>
            </w:r>
          </w:p>
        </w:tc>
        <w:tc>
          <w:tcPr>
            <w:tcW w:w="1075" w:type="dxa"/>
          </w:tcPr>
          <w:p w:rsidR="007C5447" w:rsidRDefault="00F6308C">
            <w:pPr>
              <w:pStyle w:val="TableParagraph"/>
              <w:spacing w:before="108"/>
              <w:ind w:right="99"/>
              <w:rPr>
                <w:sz w:val="20"/>
              </w:rPr>
            </w:pPr>
            <w:r>
              <w:rPr>
                <w:w w:val="95"/>
                <w:sz w:val="20"/>
              </w:rPr>
              <w:t>1,401.25</w:t>
            </w:r>
          </w:p>
        </w:tc>
      </w:tr>
      <w:tr w:rsidR="007C5447">
        <w:trPr>
          <w:trHeight w:val="444"/>
        </w:trPr>
        <w:tc>
          <w:tcPr>
            <w:tcW w:w="567" w:type="dxa"/>
          </w:tcPr>
          <w:p w:rsidR="007C5447" w:rsidRDefault="007C5447">
            <w:pPr>
              <w:pStyle w:val="TableParagraph"/>
              <w:jc w:val="left"/>
              <w:rPr>
                <w:sz w:val="20"/>
              </w:rPr>
            </w:pPr>
          </w:p>
        </w:tc>
        <w:tc>
          <w:tcPr>
            <w:tcW w:w="2269" w:type="dxa"/>
          </w:tcPr>
          <w:p w:rsidR="007C5447" w:rsidRDefault="00F6308C">
            <w:pPr>
              <w:pStyle w:val="TableParagraph"/>
              <w:spacing w:before="20" w:line="206" w:lineRule="exact"/>
              <w:ind w:left="107" w:right="652"/>
              <w:jc w:val="left"/>
              <w:rPr>
                <w:sz w:val="18"/>
              </w:rPr>
            </w:pPr>
            <w:r>
              <w:rPr>
                <w:sz w:val="18"/>
              </w:rPr>
              <w:t>M/s. G.M.R. Energy Trading Ltd.</w:t>
            </w:r>
          </w:p>
        </w:tc>
        <w:tc>
          <w:tcPr>
            <w:tcW w:w="1277" w:type="dxa"/>
          </w:tcPr>
          <w:p w:rsidR="007C5447" w:rsidRDefault="00F6308C">
            <w:pPr>
              <w:pStyle w:val="TableParagraph"/>
              <w:spacing w:before="109"/>
              <w:ind w:right="99"/>
              <w:rPr>
                <w:sz w:val="20"/>
              </w:rPr>
            </w:pPr>
            <w:r>
              <w:rPr>
                <w:w w:val="95"/>
                <w:sz w:val="20"/>
              </w:rPr>
              <w:t>1,074.23</w:t>
            </w:r>
          </w:p>
        </w:tc>
        <w:tc>
          <w:tcPr>
            <w:tcW w:w="1133" w:type="dxa"/>
          </w:tcPr>
          <w:p w:rsidR="007C5447" w:rsidRDefault="00F6308C">
            <w:pPr>
              <w:pStyle w:val="TableParagraph"/>
              <w:spacing w:before="109"/>
              <w:ind w:right="99"/>
              <w:rPr>
                <w:sz w:val="20"/>
              </w:rPr>
            </w:pPr>
            <w:r>
              <w:rPr>
                <w:w w:val="95"/>
                <w:sz w:val="20"/>
              </w:rPr>
              <w:t>305.07</w:t>
            </w:r>
          </w:p>
        </w:tc>
        <w:tc>
          <w:tcPr>
            <w:tcW w:w="1135" w:type="dxa"/>
          </w:tcPr>
          <w:p w:rsidR="007C5447" w:rsidRDefault="00F6308C">
            <w:pPr>
              <w:pStyle w:val="TableParagraph"/>
              <w:spacing w:before="109"/>
              <w:ind w:right="100"/>
              <w:rPr>
                <w:sz w:val="20"/>
              </w:rPr>
            </w:pPr>
            <w:r>
              <w:rPr>
                <w:sz w:val="20"/>
              </w:rPr>
              <w:t>1.52</w:t>
            </w:r>
          </w:p>
        </w:tc>
        <w:tc>
          <w:tcPr>
            <w:tcW w:w="1133" w:type="dxa"/>
          </w:tcPr>
          <w:p w:rsidR="007C5447" w:rsidRDefault="00F6308C">
            <w:pPr>
              <w:pStyle w:val="TableParagraph"/>
              <w:spacing w:before="109"/>
              <w:ind w:right="101"/>
              <w:rPr>
                <w:sz w:val="20"/>
              </w:rPr>
            </w:pPr>
            <w:r>
              <w:rPr>
                <w:w w:val="95"/>
                <w:sz w:val="20"/>
              </w:rPr>
              <w:t>163.28</w:t>
            </w:r>
          </w:p>
        </w:tc>
        <w:tc>
          <w:tcPr>
            <w:tcW w:w="1136" w:type="dxa"/>
          </w:tcPr>
          <w:p w:rsidR="007C5447" w:rsidRDefault="00F6308C">
            <w:pPr>
              <w:pStyle w:val="TableParagraph"/>
              <w:spacing w:before="109"/>
              <w:ind w:right="101"/>
              <w:rPr>
                <w:sz w:val="20"/>
              </w:rPr>
            </w:pPr>
            <w:r>
              <w:rPr>
                <w:sz w:val="20"/>
              </w:rPr>
              <w:t>4.36</w:t>
            </w:r>
          </w:p>
        </w:tc>
        <w:tc>
          <w:tcPr>
            <w:tcW w:w="1075" w:type="dxa"/>
          </w:tcPr>
          <w:p w:rsidR="007C5447" w:rsidRDefault="00F6308C">
            <w:pPr>
              <w:pStyle w:val="TableParagraph"/>
              <w:spacing w:before="109"/>
              <w:ind w:right="98"/>
              <w:rPr>
                <w:sz w:val="20"/>
              </w:rPr>
            </w:pPr>
            <w:r>
              <w:rPr>
                <w:w w:val="95"/>
                <w:sz w:val="20"/>
              </w:rPr>
              <w:t>468.35</w:t>
            </w:r>
          </w:p>
        </w:tc>
      </w:tr>
      <w:tr w:rsidR="007C5447">
        <w:trPr>
          <w:trHeight w:val="443"/>
        </w:trPr>
        <w:tc>
          <w:tcPr>
            <w:tcW w:w="567" w:type="dxa"/>
          </w:tcPr>
          <w:p w:rsidR="007C5447" w:rsidRDefault="007C5447">
            <w:pPr>
              <w:pStyle w:val="TableParagraph"/>
              <w:jc w:val="left"/>
              <w:rPr>
                <w:sz w:val="20"/>
              </w:rPr>
            </w:pPr>
          </w:p>
        </w:tc>
        <w:tc>
          <w:tcPr>
            <w:tcW w:w="2269" w:type="dxa"/>
          </w:tcPr>
          <w:p w:rsidR="007C5447" w:rsidRDefault="00F6308C">
            <w:pPr>
              <w:pStyle w:val="TableParagraph"/>
              <w:spacing w:before="19" w:line="206" w:lineRule="exact"/>
              <w:ind w:left="107"/>
              <w:jc w:val="left"/>
              <w:rPr>
                <w:sz w:val="18"/>
              </w:rPr>
            </w:pPr>
            <w:r>
              <w:rPr>
                <w:sz w:val="18"/>
              </w:rPr>
              <w:t>M/s. IL &amp; FS Tamil Nadu Power Company Ltd.</w:t>
            </w:r>
          </w:p>
        </w:tc>
        <w:tc>
          <w:tcPr>
            <w:tcW w:w="1277" w:type="dxa"/>
          </w:tcPr>
          <w:p w:rsidR="007C5447" w:rsidRDefault="00F6308C">
            <w:pPr>
              <w:pStyle w:val="TableParagraph"/>
              <w:spacing w:before="108"/>
              <w:ind w:right="99"/>
              <w:rPr>
                <w:sz w:val="20"/>
              </w:rPr>
            </w:pPr>
            <w:r>
              <w:rPr>
                <w:w w:val="95"/>
                <w:sz w:val="20"/>
              </w:rPr>
              <w:t>3,867.24</w:t>
            </w:r>
          </w:p>
        </w:tc>
        <w:tc>
          <w:tcPr>
            <w:tcW w:w="1133" w:type="dxa"/>
          </w:tcPr>
          <w:p w:rsidR="007C5447" w:rsidRDefault="00F6308C">
            <w:pPr>
              <w:pStyle w:val="TableParagraph"/>
              <w:spacing w:before="108"/>
              <w:ind w:right="99"/>
              <w:rPr>
                <w:sz w:val="20"/>
              </w:rPr>
            </w:pPr>
            <w:r>
              <w:rPr>
                <w:w w:val="95"/>
                <w:sz w:val="20"/>
              </w:rPr>
              <w:t>1,033.40</w:t>
            </w:r>
          </w:p>
        </w:tc>
        <w:tc>
          <w:tcPr>
            <w:tcW w:w="1135" w:type="dxa"/>
          </w:tcPr>
          <w:p w:rsidR="007C5447" w:rsidRDefault="00F6308C">
            <w:pPr>
              <w:pStyle w:val="TableParagraph"/>
              <w:spacing w:before="108"/>
              <w:ind w:right="100"/>
              <w:rPr>
                <w:sz w:val="20"/>
              </w:rPr>
            </w:pPr>
            <w:r>
              <w:rPr>
                <w:sz w:val="20"/>
              </w:rPr>
              <w:t>2.80</w:t>
            </w:r>
          </w:p>
        </w:tc>
        <w:tc>
          <w:tcPr>
            <w:tcW w:w="1133" w:type="dxa"/>
          </w:tcPr>
          <w:p w:rsidR="007C5447" w:rsidRDefault="00F6308C">
            <w:pPr>
              <w:pStyle w:val="TableParagraph"/>
              <w:spacing w:before="108"/>
              <w:ind w:right="101"/>
              <w:rPr>
                <w:sz w:val="20"/>
              </w:rPr>
            </w:pPr>
            <w:r>
              <w:rPr>
                <w:w w:val="95"/>
                <w:sz w:val="20"/>
              </w:rPr>
              <w:t>1,082.83</w:t>
            </w:r>
          </w:p>
        </w:tc>
        <w:tc>
          <w:tcPr>
            <w:tcW w:w="1136" w:type="dxa"/>
          </w:tcPr>
          <w:p w:rsidR="007C5447" w:rsidRDefault="00F6308C">
            <w:pPr>
              <w:pStyle w:val="TableParagraph"/>
              <w:spacing w:before="108"/>
              <w:ind w:right="101"/>
              <w:rPr>
                <w:sz w:val="20"/>
              </w:rPr>
            </w:pPr>
            <w:r>
              <w:rPr>
                <w:sz w:val="20"/>
              </w:rPr>
              <w:t>5.47</w:t>
            </w:r>
          </w:p>
        </w:tc>
        <w:tc>
          <w:tcPr>
            <w:tcW w:w="1075" w:type="dxa"/>
          </w:tcPr>
          <w:p w:rsidR="007C5447" w:rsidRDefault="00F6308C">
            <w:pPr>
              <w:pStyle w:val="TableParagraph"/>
              <w:spacing w:before="108"/>
              <w:ind w:right="99"/>
              <w:rPr>
                <w:sz w:val="20"/>
              </w:rPr>
            </w:pPr>
            <w:r>
              <w:rPr>
                <w:w w:val="95"/>
                <w:sz w:val="20"/>
              </w:rPr>
              <w:t>2,116.22</w:t>
            </w:r>
          </w:p>
        </w:tc>
      </w:tr>
      <w:tr w:rsidR="007C5447">
        <w:trPr>
          <w:trHeight w:val="446"/>
        </w:trPr>
        <w:tc>
          <w:tcPr>
            <w:tcW w:w="567" w:type="dxa"/>
          </w:tcPr>
          <w:p w:rsidR="007C5447" w:rsidRDefault="007C5447">
            <w:pPr>
              <w:pStyle w:val="TableParagraph"/>
              <w:jc w:val="left"/>
              <w:rPr>
                <w:sz w:val="20"/>
              </w:rPr>
            </w:pPr>
          </w:p>
        </w:tc>
        <w:tc>
          <w:tcPr>
            <w:tcW w:w="2269" w:type="dxa"/>
          </w:tcPr>
          <w:p w:rsidR="007C5447" w:rsidRDefault="00F6308C">
            <w:pPr>
              <w:pStyle w:val="TableParagraph"/>
              <w:spacing w:before="20" w:line="206" w:lineRule="exact"/>
              <w:ind w:left="107" w:right="577"/>
              <w:jc w:val="left"/>
              <w:rPr>
                <w:sz w:val="18"/>
              </w:rPr>
            </w:pPr>
            <w:r>
              <w:rPr>
                <w:sz w:val="18"/>
              </w:rPr>
              <w:t>M/s. Coastal Energen Power Ltd.</w:t>
            </w:r>
          </w:p>
        </w:tc>
        <w:tc>
          <w:tcPr>
            <w:tcW w:w="1277" w:type="dxa"/>
          </w:tcPr>
          <w:p w:rsidR="007C5447" w:rsidRDefault="00F6308C">
            <w:pPr>
              <w:pStyle w:val="TableParagraph"/>
              <w:spacing w:before="108"/>
              <w:ind w:right="99"/>
              <w:rPr>
                <w:sz w:val="20"/>
              </w:rPr>
            </w:pPr>
            <w:r>
              <w:rPr>
                <w:w w:val="95"/>
                <w:sz w:val="20"/>
              </w:rPr>
              <w:t>3,996.15</w:t>
            </w:r>
          </w:p>
        </w:tc>
        <w:tc>
          <w:tcPr>
            <w:tcW w:w="1133" w:type="dxa"/>
          </w:tcPr>
          <w:p w:rsidR="007C5447" w:rsidRDefault="00F6308C">
            <w:pPr>
              <w:pStyle w:val="TableParagraph"/>
              <w:spacing w:before="108"/>
              <w:ind w:right="99"/>
              <w:rPr>
                <w:sz w:val="20"/>
              </w:rPr>
            </w:pPr>
            <w:r>
              <w:rPr>
                <w:w w:val="95"/>
                <w:sz w:val="20"/>
              </w:rPr>
              <w:t>731.23</w:t>
            </w:r>
          </w:p>
        </w:tc>
        <w:tc>
          <w:tcPr>
            <w:tcW w:w="1135" w:type="dxa"/>
          </w:tcPr>
          <w:p w:rsidR="007C5447" w:rsidRDefault="00F6308C">
            <w:pPr>
              <w:pStyle w:val="TableParagraph"/>
              <w:spacing w:before="108"/>
              <w:ind w:right="100"/>
              <w:rPr>
                <w:sz w:val="20"/>
              </w:rPr>
            </w:pPr>
            <w:r>
              <w:rPr>
                <w:sz w:val="20"/>
              </w:rPr>
              <w:t>2.85</w:t>
            </w:r>
          </w:p>
        </w:tc>
        <w:tc>
          <w:tcPr>
            <w:tcW w:w="1133" w:type="dxa"/>
          </w:tcPr>
          <w:p w:rsidR="007C5447" w:rsidRDefault="00F6308C">
            <w:pPr>
              <w:pStyle w:val="TableParagraph"/>
              <w:spacing w:before="108"/>
              <w:ind w:right="101"/>
              <w:rPr>
                <w:sz w:val="20"/>
              </w:rPr>
            </w:pPr>
            <w:r>
              <w:rPr>
                <w:w w:val="95"/>
                <w:sz w:val="20"/>
              </w:rPr>
              <w:t>1,138.90</w:t>
            </w:r>
          </w:p>
        </w:tc>
        <w:tc>
          <w:tcPr>
            <w:tcW w:w="1136" w:type="dxa"/>
          </w:tcPr>
          <w:p w:rsidR="007C5447" w:rsidRDefault="00F6308C">
            <w:pPr>
              <w:pStyle w:val="TableParagraph"/>
              <w:spacing w:before="108"/>
              <w:ind w:right="101"/>
              <w:rPr>
                <w:sz w:val="20"/>
              </w:rPr>
            </w:pPr>
            <w:r>
              <w:rPr>
                <w:sz w:val="20"/>
              </w:rPr>
              <w:t>4.68</w:t>
            </w:r>
          </w:p>
        </w:tc>
        <w:tc>
          <w:tcPr>
            <w:tcW w:w="1075" w:type="dxa"/>
          </w:tcPr>
          <w:p w:rsidR="007C5447" w:rsidRDefault="00F6308C">
            <w:pPr>
              <w:pStyle w:val="TableParagraph"/>
              <w:spacing w:before="108"/>
              <w:ind w:right="99"/>
              <w:rPr>
                <w:sz w:val="20"/>
              </w:rPr>
            </w:pPr>
            <w:r>
              <w:rPr>
                <w:w w:val="95"/>
                <w:sz w:val="20"/>
              </w:rPr>
              <w:t>1,870.13</w:t>
            </w:r>
          </w:p>
        </w:tc>
      </w:tr>
      <w:tr w:rsidR="007C5447">
        <w:trPr>
          <w:trHeight w:val="443"/>
        </w:trPr>
        <w:tc>
          <w:tcPr>
            <w:tcW w:w="567" w:type="dxa"/>
          </w:tcPr>
          <w:p w:rsidR="007C5447" w:rsidRDefault="007C5447">
            <w:pPr>
              <w:pStyle w:val="TableParagraph"/>
              <w:jc w:val="left"/>
              <w:rPr>
                <w:sz w:val="20"/>
              </w:rPr>
            </w:pPr>
          </w:p>
        </w:tc>
        <w:tc>
          <w:tcPr>
            <w:tcW w:w="2269" w:type="dxa"/>
          </w:tcPr>
          <w:p w:rsidR="007C5447" w:rsidRDefault="00F6308C">
            <w:pPr>
              <w:pStyle w:val="TableParagraph"/>
              <w:spacing w:before="17" w:line="206" w:lineRule="exact"/>
              <w:ind w:left="107" w:right="221"/>
              <w:jc w:val="left"/>
              <w:rPr>
                <w:sz w:val="18"/>
              </w:rPr>
            </w:pPr>
            <w:r>
              <w:rPr>
                <w:sz w:val="18"/>
              </w:rPr>
              <w:t>M/s. OPG Power Gen Pvt. Ltd.</w:t>
            </w:r>
          </w:p>
        </w:tc>
        <w:tc>
          <w:tcPr>
            <w:tcW w:w="1277" w:type="dxa"/>
          </w:tcPr>
          <w:p w:rsidR="007C5447" w:rsidRDefault="00F6308C">
            <w:pPr>
              <w:pStyle w:val="TableParagraph"/>
              <w:spacing w:before="106"/>
              <w:ind w:right="99"/>
              <w:rPr>
                <w:sz w:val="20"/>
              </w:rPr>
            </w:pPr>
            <w:r>
              <w:rPr>
                <w:w w:val="95"/>
                <w:sz w:val="20"/>
              </w:rPr>
              <w:t>529.96</w:t>
            </w:r>
          </w:p>
        </w:tc>
        <w:tc>
          <w:tcPr>
            <w:tcW w:w="1133" w:type="dxa"/>
          </w:tcPr>
          <w:p w:rsidR="007C5447" w:rsidRDefault="00F6308C">
            <w:pPr>
              <w:pStyle w:val="TableParagraph"/>
              <w:spacing w:before="106"/>
              <w:ind w:right="96"/>
              <w:rPr>
                <w:sz w:val="20"/>
              </w:rPr>
            </w:pPr>
            <w:r>
              <w:rPr>
                <w:sz w:val="20"/>
              </w:rPr>
              <w:t>81.92</w:t>
            </w:r>
          </w:p>
        </w:tc>
        <w:tc>
          <w:tcPr>
            <w:tcW w:w="1135" w:type="dxa"/>
          </w:tcPr>
          <w:p w:rsidR="007C5447" w:rsidRDefault="00F6308C">
            <w:pPr>
              <w:pStyle w:val="TableParagraph"/>
              <w:spacing w:before="106"/>
              <w:ind w:right="100"/>
              <w:rPr>
                <w:sz w:val="20"/>
              </w:rPr>
            </w:pPr>
            <w:r>
              <w:rPr>
                <w:sz w:val="20"/>
              </w:rPr>
              <w:t>3.12</w:t>
            </w:r>
          </w:p>
        </w:tc>
        <w:tc>
          <w:tcPr>
            <w:tcW w:w="1133" w:type="dxa"/>
          </w:tcPr>
          <w:p w:rsidR="007C5447" w:rsidRDefault="00F6308C">
            <w:pPr>
              <w:pStyle w:val="TableParagraph"/>
              <w:spacing w:before="106"/>
              <w:ind w:right="101"/>
              <w:rPr>
                <w:sz w:val="20"/>
              </w:rPr>
            </w:pPr>
            <w:r>
              <w:rPr>
                <w:w w:val="95"/>
                <w:sz w:val="20"/>
              </w:rPr>
              <w:t>165.35</w:t>
            </w:r>
          </w:p>
        </w:tc>
        <w:tc>
          <w:tcPr>
            <w:tcW w:w="1136" w:type="dxa"/>
          </w:tcPr>
          <w:p w:rsidR="007C5447" w:rsidRDefault="00F6308C">
            <w:pPr>
              <w:pStyle w:val="TableParagraph"/>
              <w:spacing w:before="106"/>
              <w:ind w:right="101"/>
              <w:rPr>
                <w:sz w:val="20"/>
              </w:rPr>
            </w:pPr>
            <w:r>
              <w:rPr>
                <w:sz w:val="20"/>
              </w:rPr>
              <w:t>4.67</w:t>
            </w:r>
          </w:p>
        </w:tc>
        <w:tc>
          <w:tcPr>
            <w:tcW w:w="1075" w:type="dxa"/>
          </w:tcPr>
          <w:p w:rsidR="007C5447" w:rsidRDefault="00F6308C">
            <w:pPr>
              <w:pStyle w:val="TableParagraph"/>
              <w:spacing w:before="106"/>
              <w:ind w:right="98"/>
              <w:rPr>
                <w:sz w:val="20"/>
              </w:rPr>
            </w:pPr>
            <w:r>
              <w:rPr>
                <w:w w:val="95"/>
                <w:sz w:val="20"/>
              </w:rPr>
              <w:t>247.27</w:t>
            </w:r>
          </w:p>
        </w:tc>
      </w:tr>
      <w:tr w:rsidR="007C5447">
        <w:trPr>
          <w:trHeight w:val="299"/>
        </w:trPr>
        <w:tc>
          <w:tcPr>
            <w:tcW w:w="567" w:type="dxa"/>
          </w:tcPr>
          <w:p w:rsidR="007C5447" w:rsidRDefault="007C5447">
            <w:pPr>
              <w:pStyle w:val="TableParagraph"/>
              <w:jc w:val="left"/>
              <w:rPr>
                <w:sz w:val="20"/>
              </w:rPr>
            </w:pPr>
          </w:p>
        </w:tc>
        <w:tc>
          <w:tcPr>
            <w:tcW w:w="2269" w:type="dxa"/>
          </w:tcPr>
          <w:p w:rsidR="007C5447" w:rsidRDefault="00F6308C">
            <w:pPr>
              <w:pStyle w:val="TableParagraph"/>
              <w:spacing w:before="45"/>
              <w:ind w:left="107"/>
              <w:jc w:val="left"/>
              <w:rPr>
                <w:sz w:val="18"/>
              </w:rPr>
            </w:pPr>
            <w:r>
              <w:rPr>
                <w:sz w:val="18"/>
              </w:rPr>
              <w:t>MTOA</w:t>
            </w:r>
          </w:p>
        </w:tc>
        <w:tc>
          <w:tcPr>
            <w:tcW w:w="1277" w:type="dxa"/>
          </w:tcPr>
          <w:p w:rsidR="007C5447" w:rsidRDefault="00F6308C">
            <w:pPr>
              <w:pStyle w:val="TableParagraph"/>
              <w:spacing w:before="34"/>
              <w:ind w:right="99"/>
              <w:rPr>
                <w:sz w:val="20"/>
              </w:rPr>
            </w:pPr>
            <w:r>
              <w:rPr>
                <w:w w:val="95"/>
                <w:sz w:val="20"/>
              </w:rPr>
              <w:t>2,697.85</w:t>
            </w:r>
          </w:p>
        </w:tc>
        <w:tc>
          <w:tcPr>
            <w:tcW w:w="1133" w:type="dxa"/>
          </w:tcPr>
          <w:p w:rsidR="007C5447" w:rsidRDefault="00F6308C">
            <w:pPr>
              <w:pStyle w:val="TableParagraph"/>
              <w:spacing w:before="34"/>
              <w:ind w:right="96"/>
              <w:rPr>
                <w:sz w:val="20"/>
              </w:rPr>
            </w:pPr>
            <w:r>
              <w:rPr>
                <w:w w:val="95"/>
                <w:sz w:val="20"/>
              </w:rPr>
              <w:t>404.68</w:t>
            </w:r>
          </w:p>
        </w:tc>
        <w:tc>
          <w:tcPr>
            <w:tcW w:w="1135" w:type="dxa"/>
          </w:tcPr>
          <w:p w:rsidR="007C5447" w:rsidRDefault="00F6308C">
            <w:pPr>
              <w:pStyle w:val="TableParagraph"/>
              <w:spacing w:before="34"/>
              <w:ind w:right="100"/>
              <w:rPr>
                <w:sz w:val="20"/>
              </w:rPr>
            </w:pPr>
            <w:r>
              <w:rPr>
                <w:sz w:val="20"/>
              </w:rPr>
              <w:t>2.00</w:t>
            </w:r>
          </w:p>
        </w:tc>
        <w:tc>
          <w:tcPr>
            <w:tcW w:w="1133" w:type="dxa"/>
          </w:tcPr>
          <w:p w:rsidR="007C5447" w:rsidRDefault="00F6308C">
            <w:pPr>
              <w:pStyle w:val="TableParagraph"/>
              <w:spacing w:before="34"/>
              <w:ind w:right="98"/>
              <w:rPr>
                <w:sz w:val="20"/>
              </w:rPr>
            </w:pPr>
            <w:r>
              <w:rPr>
                <w:w w:val="95"/>
                <w:sz w:val="20"/>
              </w:rPr>
              <w:t>539.57</w:t>
            </w:r>
          </w:p>
        </w:tc>
        <w:tc>
          <w:tcPr>
            <w:tcW w:w="1136" w:type="dxa"/>
          </w:tcPr>
          <w:p w:rsidR="007C5447" w:rsidRDefault="00F6308C">
            <w:pPr>
              <w:pStyle w:val="TableParagraph"/>
              <w:spacing w:before="34"/>
              <w:ind w:right="98"/>
              <w:rPr>
                <w:sz w:val="20"/>
              </w:rPr>
            </w:pPr>
            <w:r>
              <w:rPr>
                <w:sz w:val="20"/>
              </w:rPr>
              <w:t>3.50</w:t>
            </w:r>
          </w:p>
        </w:tc>
        <w:tc>
          <w:tcPr>
            <w:tcW w:w="1075" w:type="dxa"/>
          </w:tcPr>
          <w:p w:rsidR="007C5447" w:rsidRDefault="00F6308C">
            <w:pPr>
              <w:pStyle w:val="TableParagraph"/>
              <w:spacing w:before="34"/>
              <w:ind w:right="96"/>
              <w:rPr>
                <w:sz w:val="20"/>
              </w:rPr>
            </w:pPr>
            <w:r>
              <w:rPr>
                <w:w w:val="95"/>
                <w:sz w:val="20"/>
              </w:rPr>
              <w:t>944.25</w:t>
            </w:r>
          </w:p>
        </w:tc>
      </w:tr>
      <w:tr w:rsidR="007C5447">
        <w:trPr>
          <w:trHeight w:val="299"/>
        </w:trPr>
        <w:tc>
          <w:tcPr>
            <w:tcW w:w="567" w:type="dxa"/>
          </w:tcPr>
          <w:p w:rsidR="007C5447" w:rsidRDefault="007C5447">
            <w:pPr>
              <w:pStyle w:val="TableParagraph"/>
              <w:jc w:val="left"/>
              <w:rPr>
                <w:sz w:val="20"/>
              </w:rPr>
            </w:pPr>
          </w:p>
        </w:tc>
        <w:tc>
          <w:tcPr>
            <w:tcW w:w="2269" w:type="dxa"/>
          </w:tcPr>
          <w:p w:rsidR="007C5447" w:rsidRDefault="00F6308C">
            <w:pPr>
              <w:pStyle w:val="TableParagraph"/>
              <w:spacing w:before="45"/>
              <w:ind w:left="107"/>
              <w:jc w:val="left"/>
              <w:rPr>
                <w:sz w:val="18"/>
              </w:rPr>
            </w:pPr>
            <w:r>
              <w:rPr>
                <w:sz w:val="18"/>
              </w:rPr>
              <w:t>STOA</w:t>
            </w:r>
          </w:p>
        </w:tc>
        <w:tc>
          <w:tcPr>
            <w:tcW w:w="1277" w:type="dxa"/>
          </w:tcPr>
          <w:p w:rsidR="007C5447" w:rsidRDefault="00F6308C">
            <w:pPr>
              <w:pStyle w:val="TableParagraph"/>
              <w:spacing w:before="36"/>
              <w:ind w:right="95"/>
              <w:rPr>
                <w:sz w:val="20"/>
              </w:rPr>
            </w:pPr>
            <w:r>
              <w:rPr>
                <w:w w:val="99"/>
                <w:sz w:val="20"/>
              </w:rPr>
              <w:t>-</w:t>
            </w:r>
          </w:p>
        </w:tc>
        <w:tc>
          <w:tcPr>
            <w:tcW w:w="1133" w:type="dxa"/>
          </w:tcPr>
          <w:p w:rsidR="007C5447" w:rsidRDefault="00F6308C">
            <w:pPr>
              <w:pStyle w:val="TableParagraph"/>
              <w:spacing w:before="36"/>
              <w:ind w:right="95"/>
              <w:rPr>
                <w:sz w:val="20"/>
              </w:rPr>
            </w:pPr>
            <w:r>
              <w:rPr>
                <w:w w:val="99"/>
                <w:sz w:val="20"/>
              </w:rPr>
              <w:t>-</w:t>
            </w:r>
          </w:p>
        </w:tc>
        <w:tc>
          <w:tcPr>
            <w:tcW w:w="1135" w:type="dxa"/>
          </w:tcPr>
          <w:p w:rsidR="007C5447" w:rsidRDefault="00F6308C">
            <w:pPr>
              <w:pStyle w:val="TableParagraph"/>
              <w:spacing w:before="36"/>
              <w:ind w:right="97"/>
              <w:rPr>
                <w:sz w:val="20"/>
              </w:rPr>
            </w:pPr>
            <w:r>
              <w:rPr>
                <w:w w:val="99"/>
                <w:sz w:val="20"/>
              </w:rPr>
              <w:t>-</w:t>
            </w:r>
          </w:p>
        </w:tc>
        <w:tc>
          <w:tcPr>
            <w:tcW w:w="1133" w:type="dxa"/>
          </w:tcPr>
          <w:p w:rsidR="007C5447" w:rsidRDefault="00F6308C">
            <w:pPr>
              <w:pStyle w:val="TableParagraph"/>
              <w:spacing w:before="36"/>
              <w:ind w:right="97"/>
              <w:rPr>
                <w:sz w:val="20"/>
              </w:rPr>
            </w:pPr>
            <w:r>
              <w:rPr>
                <w:w w:val="99"/>
                <w:sz w:val="20"/>
              </w:rPr>
              <w:t>-</w:t>
            </w:r>
          </w:p>
        </w:tc>
        <w:tc>
          <w:tcPr>
            <w:tcW w:w="1136" w:type="dxa"/>
          </w:tcPr>
          <w:p w:rsidR="007C5447" w:rsidRDefault="00F6308C">
            <w:pPr>
              <w:pStyle w:val="TableParagraph"/>
              <w:spacing w:before="36"/>
              <w:ind w:right="100"/>
              <w:rPr>
                <w:sz w:val="20"/>
              </w:rPr>
            </w:pPr>
            <w:r>
              <w:rPr>
                <w:w w:val="99"/>
                <w:sz w:val="20"/>
              </w:rPr>
              <w:t>-</w:t>
            </w:r>
          </w:p>
        </w:tc>
        <w:tc>
          <w:tcPr>
            <w:tcW w:w="1075" w:type="dxa"/>
          </w:tcPr>
          <w:p w:rsidR="007C5447" w:rsidRDefault="00F6308C">
            <w:pPr>
              <w:pStyle w:val="TableParagraph"/>
              <w:spacing w:before="36"/>
              <w:ind w:right="95"/>
              <w:rPr>
                <w:sz w:val="20"/>
              </w:rPr>
            </w:pPr>
            <w:r>
              <w:rPr>
                <w:w w:val="99"/>
                <w:sz w:val="20"/>
              </w:rPr>
              <w:t>-</w:t>
            </w:r>
          </w:p>
        </w:tc>
      </w:tr>
      <w:tr w:rsidR="007C5447">
        <w:trPr>
          <w:trHeight w:val="330"/>
        </w:trPr>
        <w:tc>
          <w:tcPr>
            <w:tcW w:w="567" w:type="dxa"/>
            <w:shd w:val="clear" w:color="auto" w:fill="D0CECE"/>
          </w:tcPr>
          <w:p w:rsidR="007C5447" w:rsidRDefault="007C5447">
            <w:pPr>
              <w:pStyle w:val="TableParagraph"/>
              <w:jc w:val="left"/>
              <w:rPr>
                <w:sz w:val="20"/>
              </w:rPr>
            </w:pPr>
          </w:p>
        </w:tc>
        <w:tc>
          <w:tcPr>
            <w:tcW w:w="2269" w:type="dxa"/>
            <w:shd w:val="clear" w:color="auto" w:fill="D0CECE"/>
          </w:tcPr>
          <w:p w:rsidR="007C5447" w:rsidRDefault="00F6308C">
            <w:pPr>
              <w:pStyle w:val="TableParagraph"/>
              <w:spacing w:before="62"/>
              <w:ind w:left="107"/>
              <w:jc w:val="left"/>
              <w:rPr>
                <w:b/>
                <w:sz w:val="18"/>
              </w:rPr>
            </w:pPr>
            <w:r>
              <w:rPr>
                <w:b/>
                <w:sz w:val="18"/>
              </w:rPr>
              <w:t>Total</w:t>
            </w:r>
          </w:p>
        </w:tc>
        <w:tc>
          <w:tcPr>
            <w:tcW w:w="1277" w:type="dxa"/>
            <w:shd w:val="clear" w:color="auto" w:fill="D0CECE"/>
          </w:tcPr>
          <w:p w:rsidR="007C5447" w:rsidRDefault="00F6308C">
            <w:pPr>
              <w:pStyle w:val="TableParagraph"/>
              <w:spacing w:before="50"/>
              <w:ind w:right="97"/>
              <w:rPr>
                <w:b/>
                <w:sz w:val="20"/>
              </w:rPr>
            </w:pPr>
            <w:r>
              <w:rPr>
                <w:b/>
                <w:w w:val="95"/>
                <w:sz w:val="20"/>
              </w:rPr>
              <w:t>26,015.88</w:t>
            </w:r>
          </w:p>
        </w:tc>
        <w:tc>
          <w:tcPr>
            <w:tcW w:w="1133" w:type="dxa"/>
            <w:shd w:val="clear" w:color="auto" w:fill="D0CECE"/>
          </w:tcPr>
          <w:p w:rsidR="007C5447" w:rsidRDefault="00F6308C">
            <w:pPr>
              <w:pStyle w:val="TableParagraph"/>
              <w:spacing w:before="50"/>
              <w:ind w:right="99"/>
              <w:rPr>
                <w:b/>
                <w:sz w:val="20"/>
              </w:rPr>
            </w:pPr>
            <w:r>
              <w:rPr>
                <w:b/>
                <w:w w:val="95"/>
                <w:sz w:val="20"/>
              </w:rPr>
              <w:t>5,475.12</w:t>
            </w:r>
          </w:p>
        </w:tc>
        <w:tc>
          <w:tcPr>
            <w:tcW w:w="1135" w:type="dxa"/>
            <w:shd w:val="clear" w:color="auto" w:fill="D0CECE"/>
          </w:tcPr>
          <w:p w:rsidR="007C5447" w:rsidRDefault="00F6308C">
            <w:pPr>
              <w:pStyle w:val="TableParagraph"/>
              <w:spacing w:before="50"/>
              <w:ind w:right="100"/>
              <w:rPr>
                <w:b/>
                <w:sz w:val="20"/>
              </w:rPr>
            </w:pPr>
            <w:r>
              <w:rPr>
                <w:b/>
                <w:sz w:val="20"/>
              </w:rPr>
              <w:t>1.93</w:t>
            </w:r>
          </w:p>
        </w:tc>
        <w:tc>
          <w:tcPr>
            <w:tcW w:w="1133" w:type="dxa"/>
            <w:shd w:val="clear" w:color="auto" w:fill="D0CECE"/>
          </w:tcPr>
          <w:p w:rsidR="007C5447" w:rsidRDefault="00F6308C">
            <w:pPr>
              <w:pStyle w:val="TableParagraph"/>
              <w:spacing w:before="50"/>
              <w:ind w:right="99"/>
              <w:rPr>
                <w:b/>
                <w:sz w:val="20"/>
              </w:rPr>
            </w:pPr>
            <w:r>
              <w:rPr>
                <w:b/>
                <w:w w:val="95"/>
                <w:sz w:val="20"/>
              </w:rPr>
              <w:t>5,011.98</w:t>
            </w:r>
          </w:p>
        </w:tc>
        <w:tc>
          <w:tcPr>
            <w:tcW w:w="1136" w:type="dxa"/>
            <w:shd w:val="clear" w:color="auto" w:fill="D0CECE"/>
          </w:tcPr>
          <w:p w:rsidR="007C5447" w:rsidRDefault="00F6308C">
            <w:pPr>
              <w:pStyle w:val="TableParagraph"/>
              <w:spacing w:before="50"/>
              <w:ind w:right="98"/>
              <w:rPr>
                <w:b/>
                <w:sz w:val="20"/>
              </w:rPr>
            </w:pPr>
            <w:r>
              <w:rPr>
                <w:b/>
                <w:sz w:val="20"/>
              </w:rPr>
              <w:t>4.03</w:t>
            </w:r>
          </w:p>
        </w:tc>
        <w:tc>
          <w:tcPr>
            <w:tcW w:w="1075" w:type="dxa"/>
            <w:shd w:val="clear" w:color="auto" w:fill="D0CECE"/>
          </w:tcPr>
          <w:p w:rsidR="007C5447" w:rsidRDefault="00F6308C">
            <w:pPr>
              <w:pStyle w:val="TableParagraph"/>
              <w:spacing w:before="50"/>
              <w:ind w:right="95"/>
              <w:rPr>
                <w:b/>
                <w:sz w:val="20"/>
              </w:rPr>
            </w:pPr>
            <w:r>
              <w:rPr>
                <w:b/>
                <w:w w:val="95"/>
                <w:sz w:val="20"/>
              </w:rPr>
              <w:t>10,487.09</w:t>
            </w:r>
          </w:p>
        </w:tc>
      </w:tr>
      <w:tr w:rsidR="007C5447">
        <w:trPr>
          <w:trHeight w:val="299"/>
        </w:trPr>
        <w:tc>
          <w:tcPr>
            <w:tcW w:w="567" w:type="dxa"/>
          </w:tcPr>
          <w:p w:rsidR="007C5447" w:rsidRDefault="00F6308C">
            <w:pPr>
              <w:pStyle w:val="TableParagraph"/>
              <w:spacing w:before="45"/>
              <w:ind w:right="97"/>
              <w:rPr>
                <w:sz w:val="18"/>
              </w:rPr>
            </w:pPr>
            <w:r>
              <w:rPr>
                <w:sz w:val="18"/>
              </w:rPr>
              <w:t>4</w:t>
            </w:r>
          </w:p>
        </w:tc>
        <w:tc>
          <w:tcPr>
            <w:tcW w:w="2269" w:type="dxa"/>
          </w:tcPr>
          <w:p w:rsidR="007C5447" w:rsidRDefault="00F6308C">
            <w:pPr>
              <w:pStyle w:val="TableParagraph"/>
              <w:spacing w:before="45"/>
              <w:ind w:left="107"/>
              <w:jc w:val="left"/>
              <w:rPr>
                <w:sz w:val="18"/>
              </w:rPr>
            </w:pPr>
            <w:r>
              <w:rPr>
                <w:sz w:val="18"/>
              </w:rPr>
              <w:t>TANTRANSCO Charges</w:t>
            </w:r>
          </w:p>
        </w:tc>
        <w:tc>
          <w:tcPr>
            <w:tcW w:w="1277" w:type="dxa"/>
          </w:tcPr>
          <w:p w:rsidR="007C5447" w:rsidRDefault="007C5447">
            <w:pPr>
              <w:pStyle w:val="TableParagraph"/>
              <w:jc w:val="left"/>
              <w:rPr>
                <w:sz w:val="20"/>
              </w:rPr>
            </w:pPr>
          </w:p>
        </w:tc>
        <w:tc>
          <w:tcPr>
            <w:tcW w:w="1133" w:type="dxa"/>
          </w:tcPr>
          <w:p w:rsidR="007C5447" w:rsidRDefault="007C5447">
            <w:pPr>
              <w:pStyle w:val="TableParagraph"/>
              <w:jc w:val="left"/>
              <w:rPr>
                <w:sz w:val="20"/>
              </w:rPr>
            </w:pPr>
          </w:p>
        </w:tc>
        <w:tc>
          <w:tcPr>
            <w:tcW w:w="1135" w:type="dxa"/>
          </w:tcPr>
          <w:p w:rsidR="007C5447" w:rsidRDefault="007C5447">
            <w:pPr>
              <w:pStyle w:val="TableParagraph"/>
              <w:jc w:val="left"/>
              <w:rPr>
                <w:sz w:val="20"/>
              </w:rPr>
            </w:pPr>
          </w:p>
        </w:tc>
        <w:tc>
          <w:tcPr>
            <w:tcW w:w="1133"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75" w:type="dxa"/>
          </w:tcPr>
          <w:p w:rsidR="007C5447" w:rsidRDefault="00F6308C">
            <w:pPr>
              <w:pStyle w:val="TableParagraph"/>
              <w:spacing w:before="34"/>
              <w:ind w:right="96"/>
              <w:rPr>
                <w:sz w:val="20"/>
              </w:rPr>
            </w:pPr>
            <w:r>
              <w:rPr>
                <w:w w:val="95"/>
                <w:sz w:val="20"/>
              </w:rPr>
              <w:t>2,756.19</w:t>
            </w:r>
          </w:p>
        </w:tc>
      </w:tr>
      <w:tr w:rsidR="007C5447">
        <w:trPr>
          <w:trHeight w:val="299"/>
        </w:trPr>
        <w:tc>
          <w:tcPr>
            <w:tcW w:w="567" w:type="dxa"/>
          </w:tcPr>
          <w:p w:rsidR="007C5447" w:rsidRDefault="00F6308C">
            <w:pPr>
              <w:pStyle w:val="TableParagraph"/>
              <w:spacing w:before="45"/>
              <w:ind w:right="97"/>
              <w:rPr>
                <w:sz w:val="18"/>
              </w:rPr>
            </w:pPr>
            <w:r>
              <w:rPr>
                <w:sz w:val="18"/>
              </w:rPr>
              <w:t>5</w:t>
            </w:r>
          </w:p>
        </w:tc>
        <w:tc>
          <w:tcPr>
            <w:tcW w:w="2269" w:type="dxa"/>
          </w:tcPr>
          <w:p w:rsidR="007C5447" w:rsidRDefault="00F6308C">
            <w:pPr>
              <w:pStyle w:val="TableParagraph"/>
              <w:spacing w:before="45"/>
              <w:ind w:left="107"/>
              <w:jc w:val="left"/>
              <w:rPr>
                <w:sz w:val="18"/>
              </w:rPr>
            </w:pPr>
            <w:r>
              <w:rPr>
                <w:sz w:val="18"/>
              </w:rPr>
              <w:t>PGCIL Charges</w:t>
            </w:r>
          </w:p>
        </w:tc>
        <w:tc>
          <w:tcPr>
            <w:tcW w:w="1277" w:type="dxa"/>
          </w:tcPr>
          <w:p w:rsidR="007C5447" w:rsidRDefault="007C5447">
            <w:pPr>
              <w:pStyle w:val="TableParagraph"/>
              <w:jc w:val="left"/>
              <w:rPr>
                <w:sz w:val="20"/>
              </w:rPr>
            </w:pPr>
          </w:p>
        </w:tc>
        <w:tc>
          <w:tcPr>
            <w:tcW w:w="1133" w:type="dxa"/>
          </w:tcPr>
          <w:p w:rsidR="007C5447" w:rsidRDefault="007C5447">
            <w:pPr>
              <w:pStyle w:val="TableParagraph"/>
              <w:jc w:val="left"/>
              <w:rPr>
                <w:sz w:val="20"/>
              </w:rPr>
            </w:pPr>
          </w:p>
        </w:tc>
        <w:tc>
          <w:tcPr>
            <w:tcW w:w="1135" w:type="dxa"/>
          </w:tcPr>
          <w:p w:rsidR="007C5447" w:rsidRDefault="007C5447">
            <w:pPr>
              <w:pStyle w:val="TableParagraph"/>
              <w:jc w:val="left"/>
              <w:rPr>
                <w:sz w:val="20"/>
              </w:rPr>
            </w:pPr>
          </w:p>
        </w:tc>
        <w:tc>
          <w:tcPr>
            <w:tcW w:w="1133"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75" w:type="dxa"/>
          </w:tcPr>
          <w:p w:rsidR="007C5447" w:rsidRDefault="00F6308C">
            <w:pPr>
              <w:pStyle w:val="TableParagraph"/>
              <w:spacing w:before="36"/>
              <w:ind w:right="96"/>
              <w:rPr>
                <w:sz w:val="20"/>
              </w:rPr>
            </w:pPr>
            <w:r>
              <w:rPr>
                <w:w w:val="95"/>
                <w:sz w:val="20"/>
              </w:rPr>
              <w:t>900.00</w:t>
            </w:r>
          </w:p>
        </w:tc>
      </w:tr>
      <w:tr w:rsidR="007C5447">
        <w:trPr>
          <w:trHeight w:val="299"/>
        </w:trPr>
        <w:tc>
          <w:tcPr>
            <w:tcW w:w="567" w:type="dxa"/>
          </w:tcPr>
          <w:p w:rsidR="007C5447" w:rsidRDefault="00F6308C">
            <w:pPr>
              <w:pStyle w:val="TableParagraph"/>
              <w:spacing w:before="47"/>
              <w:ind w:right="97"/>
              <w:rPr>
                <w:sz w:val="18"/>
              </w:rPr>
            </w:pPr>
            <w:r>
              <w:rPr>
                <w:sz w:val="18"/>
              </w:rPr>
              <w:t>6</w:t>
            </w:r>
          </w:p>
        </w:tc>
        <w:tc>
          <w:tcPr>
            <w:tcW w:w="2269" w:type="dxa"/>
          </w:tcPr>
          <w:p w:rsidR="007C5447" w:rsidRDefault="00F6308C">
            <w:pPr>
              <w:pStyle w:val="TableParagraph"/>
              <w:spacing w:before="47"/>
              <w:ind w:left="107"/>
              <w:jc w:val="left"/>
              <w:rPr>
                <w:sz w:val="18"/>
              </w:rPr>
            </w:pPr>
            <w:r>
              <w:rPr>
                <w:sz w:val="18"/>
              </w:rPr>
              <w:t>SLDC Charges</w:t>
            </w:r>
          </w:p>
        </w:tc>
        <w:tc>
          <w:tcPr>
            <w:tcW w:w="1277" w:type="dxa"/>
          </w:tcPr>
          <w:p w:rsidR="007C5447" w:rsidRDefault="007C5447">
            <w:pPr>
              <w:pStyle w:val="TableParagraph"/>
              <w:jc w:val="left"/>
              <w:rPr>
                <w:sz w:val="20"/>
              </w:rPr>
            </w:pPr>
          </w:p>
        </w:tc>
        <w:tc>
          <w:tcPr>
            <w:tcW w:w="1133" w:type="dxa"/>
          </w:tcPr>
          <w:p w:rsidR="007C5447" w:rsidRDefault="007C5447">
            <w:pPr>
              <w:pStyle w:val="TableParagraph"/>
              <w:jc w:val="left"/>
              <w:rPr>
                <w:sz w:val="20"/>
              </w:rPr>
            </w:pPr>
          </w:p>
        </w:tc>
        <w:tc>
          <w:tcPr>
            <w:tcW w:w="1135" w:type="dxa"/>
          </w:tcPr>
          <w:p w:rsidR="007C5447" w:rsidRDefault="007C5447">
            <w:pPr>
              <w:pStyle w:val="TableParagraph"/>
              <w:jc w:val="left"/>
              <w:rPr>
                <w:sz w:val="20"/>
              </w:rPr>
            </w:pPr>
          </w:p>
        </w:tc>
        <w:tc>
          <w:tcPr>
            <w:tcW w:w="1133" w:type="dxa"/>
          </w:tcPr>
          <w:p w:rsidR="007C5447" w:rsidRDefault="007C5447">
            <w:pPr>
              <w:pStyle w:val="TableParagraph"/>
              <w:jc w:val="left"/>
              <w:rPr>
                <w:sz w:val="20"/>
              </w:rPr>
            </w:pPr>
          </w:p>
        </w:tc>
        <w:tc>
          <w:tcPr>
            <w:tcW w:w="1136" w:type="dxa"/>
          </w:tcPr>
          <w:p w:rsidR="007C5447" w:rsidRDefault="007C5447">
            <w:pPr>
              <w:pStyle w:val="TableParagraph"/>
              <w:jc w:val="left"/>
              <w:rPr>
                <w:sz w:val="20"/>
              </w:rPr>
            </w:pPr>
          </w:p>
        </w:tc>
        <w:tc>
          <w:tcPr>
            <w:tcW w:w="1075" w:type="dxa"/>
          </w:tcPr>
          <w:p w:rsidR="007C5447" w:rsidRDefault="00F6308C">
            <w:pPr>
              <w:pStyle w:val="TableParagraph"/>
              <w:spacing w:before="36"/>
              <w:ind w:right="96"/>
              <w:rPr>
                <w:sz w:val="20"/>
              </w:rPr>
            </w:pPr>
            <w:r>
              <w:rPr>
                <w:sz w:val="20"/>
              </w:rPr>
              <w:t>26.75</w:t>
            </w:r>
          </w:p>
        </w:tc>
      </w:tr>
      <w:tr w:rsidR="007C5447">
        <w:trPr>
          <w:trHeight w:val="446"/>
        </w:trPr>
        <w:tc>
          <w:tcPr>
            <w:tcW w:w="567" w:type="dxa"/>
            <w:shd w:val="clear" w:color="auto" w:fill="D9D9D9"/>
          </w:tcPr>
          <w:p w:rsidR="007C5447" w:rsidRDefault="00F6308C">
            <w:pPr>
              <w:pStyle w:val="TableParagraph"/>
              <w:spacing w:before="120"/>
              <w:ind w:right="97"/>
              <w:rPr>
                <w:b/>
                <w:sz w:val="18"/>
              </w:rPr>
            </w:pPr>
            <w:r>
              <w:rPr>
                <w:b/>
                <w:sz w:val="18"/>
              </w:rPr>
              <w:t>7</w:t>
            </w:r>
          </w:p>
        </w:tc>
        <w:tc>
          <w:tcPr>
            <w:tcW w:w="2269" w:type="dxa"/>
            <w:shd w:val="clear" w:color="auto" w:fill="D9D9D9"/>
          </w:tcPr>
          <w:p w:rsidR="007C5447" w:rsidRDefault="00F6308C">
            <w:pPr>
              <w:pStyle w:val="TableParagraph"/>
              <w:spacing w:before="20" w:line="206" w:lineRule="exact"/>
              <w:ind w:left="107" w:right="432"/>
              <w:jc w:val="left"/>
              <w:rPr>
                <w:b/>
                <w:sz w:val="18"/>
              </w:rPr>
            </w:pPr>
            <w:r>
              <w:rPr>
                <w:b/>
                <w:sz w:val="18"/>
              </w:rPr>
              <w:t>Total Power Purchase Cost</w:t>
            </w:r>
          </w:p>
        </w:tc>
        <w:tc>
          <w:tcPr>
            <w:tcW w:w="1277" w:type="dxa"/>
            <w:shd w:val="clear" w:color="auto" w:fill="D9D9D9"/>
          </w:tcPr>
          <w:p w:rsidR="007C5447" w:rsidRDefault="00F6308C">
            <w:pPr>
              <w:pStyle w:val="TableParagraph"/>
              <w:spacing w:before="108"/>
              <w:ind w:right="99"/>
              <w:rPr>
                <w:b/>
                <w:sz w:val="20"/>
              </w:rPr>
            </w:pPr>
            <w:r>
              <w:rPr>
                <w:b/>
                <w:w w:val="95"/>
                <w:sz w:val="20"/>
              </w:rPr>
              <w:t>1,05,873.62</w:t>
            </w:r>
          </w:p>
        </w:tc>
        <w:tc>
          <w:tcPr>
            <w:tcW w:w="1133" w:type="dxa"/>
            <w:shd w:val="clear" w:color="auto" w:fill="D9D9D9"/>
          </w:tcPr>
          <w:p w:rsidR="007C5447" w:rsidRDefault="00F6308C">
            <w:pPr>
              <w:pStyle w:val="TableParagraph"/>
              <w:spacing w:before="108"/>
              <w:ind w:right="99"/>
              <w:rPr>
                <w:b/>
                <w:sz w:val="20"/>
              </w:rPr>
            </w:pPr>
            <w:r>
              <w:rPr>
                <w:b/>
                <w:w w:val="95"/>
                <w:sz w:val="20"/>
              </w:rPr>
              <w:t>14,163.38</w:t>
            </w:r>
          </w:p>
        </w:tc>
        <w:tc>
          <w:tcPr>
            <w:tcW w:w="1135" w:type="dxa"/>
            <w:shd w:val="clear" w:color="auto" w:fill="D9D9D9"/>
          </w:tcPr>
          <w:p w:rsidR="007C5447" w:rsidRDefault="00F6308C">
            <w:pPr>
              <w:pStyle w:val="TableParagraph"/>
              <w:spacing w:before="108"/>
              <w:ind w:right="100"/>
              <w:rPr>
                <w:b/>
                <w:sz w:val="20"/>
              </w:rPr>
            </w:pPr>
            <w:r>
              <w:rPr>
                <w:b/>
                <w:sz w:val="20"/>
              </w:rPr>
              <w:t>2.44</w:t>
            </w:r>
          </w:p>
        </w:tc>
        <w:tc>
          <w:tcPr>
            <w:tcW w:w="1133" w:type="dxa"/>
            <w:shd w:val="clear" w:color="auto" w:fill="D9D9D9"/>
          </w:tcPr>
          <w:p w:rsidR="007C5447" w:rsidRDefault="00F6308C">
            <w:pPr>
              <w:pStyle w:val="TableParagraph"/>
              <w:spacing w:before="108"/>
              <w:ind w:right="101"/>
              <w:rPr>
                <w:b/>
                <w:sz w:val="20"/>
              </w:rPr>
            </w:pPr>
            <w:r>
              <w:rPr>
                <w:b/>
                <w:w w:val="95"/>
                <w:sz w:val="20"/>
              </w:rPr>
              <w:t>25,857.40</w:t>
            </w:r>
          </w:p>
        </w:tc>
        <w:tc>
          <w:tcPr>
            <w:tcW w:w="1136" w:type="dxa"/>
            <w:shd w:val="clear" w:color="auto" w:fill="D9D9D9"/>
          </w:tcPr>
          <w:p w:rsidR="007C5447" w:rsidRDefault="00F6308C">
            <w:pPr>
              <w:pStyle w:val="TableParagraph"/>
              <w:spacing w:before="108"/>
              <w:ind w:right="100"/>
              <w:rPr>
                <w:b/>
                <w:sz w:val="20"/>
              </w:rPr>
            </w:pPr>
            <w:r>
              <w:rPr>
                <w:b/>
                <w:sz w:val="20"/>
              </w:rPr>
              <w:t>4.13</w:t>
            </w:r>
          </w:p>
        </w:tc>
        <w:tc>
          <w:tcPr>
            <w:tcW w:w="1075" w:type="dxa"/>
            <w:shd w:val="clear" w:color="auto" w:fill="D9D9D9"/>
          </w:tcPr>
          <w:p w:rsidR="007C5447" w:rsidRDefault="00F6308C">
            <w:pPr>
              <w:pStyle w:val="TableParagraph"/>
              <w:spacing w:before="108"/>
              <w:ind w:right="98"/>
              <w:rPr>
                <w:b/>
                <w:sz w:val="20"/>
              </w:rPr>
            </w:pPr>
            <w:r>
              <w:rPr>
                <w:b/>
                <w:w w:val="95"/>
                <w:sz w:val="20"/>
              </w:rPr>
              <w:t>43,703.72</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11"/>
        <w:rPr>
          <w:b/>
        </w:rPr>
      </w:pPr>
    </w:p>
    <w:p w:rsidR="007C5447" w:rsidRDefault="00F6308C">
      <w:pPr>
        <w:pStyle w:val="Heading2"/>
        <w:numPr>
          <w:ilvl w:val="1"/>
          <w:numId w:val="114"/>
        </w:numPr>
        <w:tabs>
          <w:tab w:val="left" w:pos="1667"/>
        </w:tabs>
        <w:spacing w:before="90"/>
        <w:ind w:left="1666"/>
      </w:pPr>
      <w:bookmarkStart w:id="72" w:name="_bookmark72"/>
      <w:bookmarkEnd w:id="72"/>
      <w:r>
        <w:t>Aggregate Revenue</w:t>
      </w:r>
      <w:r>
        <w:rPr>
          <w:spacing w:val="-3"/>
        </w:rPr>
        <w:t xml:space="preserve"> </w:t>
      </w:r>
      <w:r>
        <w:t>Requirement</w:t>
      </w:r>
    </w:p>
    <w:p w:rsidR="007C5447" w:rsidRDefault="007C5447">
      <w:pPr>
        <w:pStyle w:val="BodyText"/>
        <w:spacing w:before="10"/>
        <w:rPr>
          <w:b/>
          <w:sz w:val="27"/>
        </w:rPr>
      </w:pPr>
    </w:p>
    <w:p w:rsidR="007C5447" w:rsidRDefault="00F6308C">
      <w:pPr>
        <w:pStyle w:val="ListParagraph"/>
        <w:numPr>
          <w:ilvl w:val="2"/>
          <w:numId w:val="114"/>
        </w:numPr>
        <w:tabs>
          <w:tab w:val="left" w:pos="1953"/>
        </w:tabs>
        <w:spacing w:before="1" w:line="312" w:lineRule="auto"/>
        <w:ind w:left="1952" w:right="1180" w:hanging="852"/>
        <w:jc w:val="both"/>
        <w:rPr>
          <w:sz w:val="24"/>
        </w:rPr>
      </w:pPr>
      <w:r>
        <w:rPr>
          <w:sz w:val="24"/>
        </w:rPr>
        <w:t>Based on the above discussion on Variable and Fixed Cost components of Generation and Distribution functions of TANGEDCO, the summary of ARR as submitted by TANGEDCO is shown in the Table</w:t>
      </w:r>
      <w:r>
        <w:rPr>
          <w:spacing w:val="-7"/>
          <w:sz w:val="24"/>
        </w:rPr>
        <w:t xml:space="preserve"> </w:t>
      </w:r>
      <w:r>
        <w:rPr>
          <w:sz w:val="24"/>
        </w:rPr>
        <w:t>below:</w:t>
      </w:r>
    </w:p>
    <w:p w:rsidR="007C5447" w:rsidRDefault="007C5447">
      <w:pPr>
        <w:pStyle w:val="BodyText"/>
        <w:spacing w:before="1"/>
        <w:rPr>
          <w:sz w:val="21"/>
        </w:rPr>
      </w:pPr>
    </w:p>
    <w:p w:rsidR="007C5447" w:rsidRDefault="00F6308C">
      <w:pPr>
        <w:ind w:left="1354" w:right="1433"/>
        <w:jc w:val="center"/>
        <w:rPr>
          <w:b/>
        </w:rPr>
      </w:pPr>
      <w:r>
        <w:rPr>
          <w:b/>
        </w:rPr>
        <w:t>Table 4-53: ARR for FY 2016-17 to FY 2018-19 as submitted by</w:t>
      </w:r>
      <w:r>
        <w:rPr>
          <w:b/>
        </w:rPr>
        <w:t xml:space="preserve"> TANGEDCO (Rs. Crore)</w:t>
      </w:r>
    </w:p>
    <w:p w:rsidR="007C5447" w:rsidRDefault="007C5447">
      <w:pPr>
        <w:pStyle w:val="BodyText"/>
        <w:rPr>
          <w:b/>
          <w:sz w:val="17"/>
        </w:rPr>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4398"/>
        <w:gridCol w:w="1416"/>
        <w:gridCol w:w="1419"/>
        <w:gridCol w:w="1418"/>
      </w:tblGrid>
      <w:tr w:rsidR="007C5447">
        <w:trPr>
          <w:trHeight w:val="330"/>
        </w:trPr>
        <w:tc>
          <w:tcPr>
            <w:tcW w:w="562" w:type="dxa"/>
            <w:shd w:val="clear" w:color="auto" w:fill="F7C9AC"/>
          </w:tcPr>
          <w:p w:rsidR="007C5447" w:rsidRDefault="00F6308C">
            <w:pPr>
              <w:pStyle w:val="TableParagraph"/>
              <w:spacing w:before="61" w:line="250" w:lineRule="exact"/>
              <w:ind w:left="140" w:right="132"/>
              <w:jc w:val="center"/>
              <w:rPr>
                <w:b/>
              </w:rPr>
            </w:pPr>
            <w:r>
              <w:rPr>
                <w:b/>
              </w:rPr>
              <w:t>Sl.</w:t>
            </w:r>
          </w:p>
        </w:tc>
        <w:tc>
          <w:tcPr>
            <w:tcW w:w="4398" w:type="dxa"/>
            <w:shd w:val="clear" w:color="auto" w:fill="F7C9AC"/>
          </w:tcPr>
          <w:p w:rsidR="007C5447" w:rsidRDefault="00F6308C">
            <w:pPr>
              <w:pStyle w:val="TableParagraph"/>
              <w:spacing w:before="61" w:line="250" w:lineRule="exact"/>
              <w:ind w:left="1650" w:right="1646"/>
              <w:jc w:val="center"/>
              <w:rPr>
                <w:b/>
              </w:rPr>
            </w:pPr>
            <w:r>
              <w:rPr>
                <w:b/>
              </w:rPr>
              <w:t>Particulars</w:t>
            </w:r>
          </w:p>
        </w:tc>
        <w:tc>
          <w:tcPr>
            <w:tcW w:w="1416" w:type="dxa"/>
            <w:shd w:val="clear" w:color="auto" w:fill="F7C9AC"/>
          </w:tcPr>
          <w:p w:rsidR="007C5447" w:rsidRDefault="00F6308C">
            <w:pPr>
              <w:pStyle w:val="TableParagraph"/>
              <w:spacing w:before="61" w:line="250" w:lineRule="exact"/>
              <w:ind w:left="107"/>
              <w:jc w:val="left"/>
              <w:rPr>
                <w:b/>
              </w:rPr>
            </w:pPr>
            <w:r>
              <w:rPr>
                <w:b/>
              </w:rPr>
              <w:t>FY 2016-17</w:t>
            </w:r>
          </w:p>
        </w:tc>
        <w:tc>
          <w:tcPr>
            <w:tcW w:w="1419" w:type="dxa"/>
            <w:shd w:val="clear" w:color="auto" w:fill="F7C9AC"/>
          </w:tcPr>
          <w:p w:rsidR="007C5447" w:rsidRDefault="00F6308C">
            <w:pPr>
              <w:pStyle w:val="TableParagraph"/>
              <w:spacing w:before="61" w:line="250" w:lineRule="exact"/>
              <w:ind w:left="107"/>
              <w:jc w:val="left"/>
              <w:rPr>
                <w:b/>
              </w:rPr>
            </w:pPr>
            <w:r>
              <w:rPr>
                <w:b/>
              </w:rPr>
              <w:t>FY 2017-18</w:t>
            </w:r>
          </w:p>
        </w:tc>
        <w:tc>
          <w:tcPr>
            <w:tcW w:w="1418" w:type="dxa"/>
            <w:shd w:val="clear" w:color="auto" w:fill="F7C9AC"/>
          </w:tcPr>
          <w:p w:rsidR="007C5447" w:rsidRDefault="00F6308C">
            <w:pPr>
              <w:pStyle w:val="TableParagraph"/>
              <w:spacing w:before="61" w:line="250" w:lineRule="exact"/>
              <w:ind w:left="107"/>
              <w:jc w:val="left"/>
              <w:rPr>
                <w:b/>
              </w:rPr>
            </w:pPr>
            <w:r>
              <w:rPr>
                <w:b/>
              </w:rPr>
              <w:t>FY 2018-19</w:t>
            </w:r>
          </w:p>
        </w:tc>
      </w:tr>
      <w:tr w:rsidR="007C5447">
        <w:trPr>
          <w:trHeight w:val="534"/>
        </w:trPr>
        <w:tc>
          <w:tcPr>
            <w:tcW w:w="562" w:type="dxa"/>
          </w:tcPr>
          <w:p w:rsidR="007C5447" w:rsidRDefault="00F6308C">
            <w:pPr>
              <w:pStyle w:val="TableParagraph"/>
              <w:spacing w:before="140"/>
              <w:ind w:left="9"/>
              <w:jc w:val="center"/>
            </w:pPr>
            <w:r>
              <w:t>1</w:t>
            </w:r>
          </w:p>
        </w:tc>
        <w:tc>
          <w:tcPr>
            <w:tcW w:w="4398" w:type="dxa"/>
          </w:tcPr>
          <w:p w:rsidR="007C5447" w:rsidRDefault="00F6308C">
            <w:pPr>
              <w:pStyle w:val="TableParagraph"/>
              <w:spacing w:before="16" w:line="252" w:lineRule="exact"/>
              <w:ind w:left="107" w:right="162"/>
              <w:jc w:val="left"/>
            </w:pPr>
            <w:r>
              <w:t>Expenses with respect to Generation (Variable Cost)</w:t>
            </w:r>
          </w:p>
        </w:tc>
        <w:tc>
          <w:tcPr>
            <w:tcW w:w="1416" w:type="dxa"/>
          </w:tcPr>
          <w:p w:rsidR="007C5447" w:rsidRDefault="00F6308C">
            <w:pPr>
              <w:pStyle w:val="TableParagraph"/>
              <w:spacing w:before="140"/>
              <w:ind w:right="92"/>
            </w:pPr>
            <w:r>
              <w:t>8,996.51</w:t>
            </w:r>
          </w:p>
        </w:tc>
        <w:tc>
          <w:tcPr>
            <w:tcW w:w="1419" w:type="dxa"/>
          </w:tcPr>
          <w:p w:rsidR="007C5447" w:rsidRDefault="00F6308C">
            <w:pPr>
              <w:pStyle w:val="TableParagraph"/>
              <w:spacing w:before="140"/>
              <w:ind w:right="97"/>
            </w:pPr>
            <w:r>
              <w:t>9,060.77</w:t>
            </w:r>
          </w:p>
        </w:tc>
        <w:tc>
          <w:tcPr>
            <w:tcW w:w="1418" w:type="dxa"/>
          </w:tcPr>
          <w:p w:rsidR="007C5447" w:rsidRDefault="00F6308C">
            <w:pPr>
              <w:pStyle w:val="TableParagraph"/>
              <w:spacing w:before="140"/>
              <w:ind w:right="94"/>
            </w:pPr>
            <w:r>
              <w:t>9,986.45</w:t>
            </w:r>
          </w:p>
        </w:tc>
      </w:tr>
      <w:tr w:rsidR="007C5447">
        <w:trPr>
          <w:trHeight w:val="537"/>
        </w:trPr>
        <w:tc>
          <w:tcPr>
            <w:tcW w:w="562" w:type="dxa"/>
          </w:tcPr>
          <w:p w:rsidR="007C5447" w:rsidRDefault="00F6308C">
            <w:pPr>
              <w:pStyle w:val="TableParagraph"/>
              <w:spacing w:before="140"/>
              <w:ind w:left="9"/>
              <w:jc w:val="center"/>
            </w:pPr>
            <w:r>
              <w:t>2</w:t>
            </w:r>
          </w:p>
        </w:tc>
        <w:tc>
          <w:tcPr>
            <w:tcW w:w="4398" w:type="dxa"/>
          </w:tcPr>
          <w:p w:rsidR="007C5447" w:rsidRDefault="00F6308C">
            <w:pPr>
              <w:pStyle w:val="TableParagraph"/>
              <w:spacing w:before="19" w:line="252" w:lineRule="exact"/>
              <w:ind w:left="107" w:right="418"/>
              <w:jc w:val="left"/>
            </w:pPr>
            <w:r>
              <w:t>Expenses with respect to Generation (Fixed Cost)</w:t>
            </w:r>
          </w:p>
        </w:tc>
        <w:tc>
          <w:tcPr>
            <w:tcW w:w="1416" w:type="dxa"/>
          </w:tcPr>
          <w:p w:rsidR="007C5447" w:rsidRDefault="00F6308C">
            <w:pPr>
              <w:pStyle w:val="TableParagraph"/>
              <w:spacing w:before="140"/>
              <w:ind w:right="92"/>
            </w:pPr>
            <w:r>
              <w:t>8,925.24</w:t>
            </w:r>
          </w:p>
        </w:tc>
        <w:tc>
          <w:tcPr>
            <w:tcW w:w="1419" w:type="dxa"/>
          </w:tcPr>
          <w:p w:rsidR="007C5447" w:rsidRDefault="00F6308C">
            <w:pPr>
              <w:pStyle w:val="TableParagraph"/>
              <w:spacing w:before="140"/>
              <w:ind w:right="97"/>
            </w:pPr>
            <w:r>
              <w:t>6,773.89</w:t>
            </w:r>
          </w:p>
        </w:tc>
        <w:tc>
          <w:tcPr>
            <w:tcW w:w="1418" w:type="dxa"/>
          </w:tcPr>
          <w:p w:rsidR="007C5447" w:rsidRDefault="00F6308C">
            <w:pPr>
              <w:pStyle w:val="TableParagraph"/>
              <w:spacing w:before="140"/>
              <w:ind w:right="94"/>
            </w:pPr>
            <w:r>
              <w:t>7,607.59</w:t>
            </w:r>
          </w:p>
        </w:tc>
      </w:tr>
      <w:tr w:rsidR="007C5447">
        <w:trPr>
          <w:trHeight w:val="328"/>
        </w:trPr>
        <w:tc>
          <w:tcPr>
            <w:tcW w:w="562" w:type="dxa"/>
          </w:tcPr>
          <w:p w:rsidR="007C5447" w:rsidRDefault="00F6308C">
            <w:pPr>
              <w:pStyle w:val="TableParagraph"/>
              <w:spacing w:before="37"/>
              <w:ind w:left="9"/>
              <w:jc w:val="center"/>
            </w:pPr>
            <w:r>
              <w:t>3</w:t>
            </w:r>
          </w:p>
        </w:tc>
        <w:tc>
          <w:tcPr>
            <w:tcW w:w="4398" w:type="dxa"/>
          </w:tcPr>
          <w:p w:rsidR="007C5447" w:rsidRDefault="00F6308C">
            <w:pPr>
              <w:pStyle w:val="TableParagraph"/>
              <w:spacing w:before="37"/>
              <w:ind w:left="107"/>
              <w:jc w:val="left"/>
            </w:pPr>
            <w:r>
              <w:t>Power Purchase Cost from Other Sources</w:t>
            </w:r>
          </w:p>
        </w:tc>
        <w:tc>
          <w:tcPr>
            <w:tcW w:w="1416" w:type="dxa"/>
          </w:tcPr>
          <w:p w:rsidR="007C5447" w:rsidRDefault="00F6308C">
            <w:pPr>
              <w:pStyle w:val="TableParagraph"/>
              <w:spacing w:before="37"/>
              <w:ind w:right="92"/>
            </w:pPr>
            <w:r>
              <w:t>22,899.46</w:t>
            </w:r>
          </w:p>
        </w:tc>
        <w:tc>
          <w:tcPr>
            <w:tcW w:w="1419" w:type="dxa"/>
          </w:tcPr>
          <w:p w:rsidR="007C5447" w:rsidRDefault="00F6308C">
            <w:pPr>
              <w:pStyle w:val="TableParagraph"/>
              <w:spacing w:before="37"/>
              <w:ind w:right="97"/>
            </w:pPr>
            <w:r>
              <w:t>25,890.14</w:t>
            </w:r>
          </w:p>
        </w:tc>
        <w:tc>
          <w:tcPr>
            <w:tcW w:w="1418" w:type="dxa"/>
          </w:tcPr>
          <w:p w:rsidR="007C5447" w:rsidRDefault="00F6308C">
            <w:pPr>
              <w:pStyle w:val="TableParagraph"/>
              <w:spacing w:before="37"/>
              <w:ind w:right="94"/>
            </w:pPr>
            <w:r>
              <w:t>29,291.36</w:t>
            </w:r>
          </w:p>
        </w:tc>
      </w:tr>
      <w:tr w:rsidR="007C5447">
        <w:trPr>
          <w:trHeight w:val="330"/>
        </w:trPr>
        <w:tc>
          <w:tcPr>
            <w:tcW w:w="562" w:type="dxa"/>
          </w:tcPr>
          <w:p w:rsidR="007C5447" w:rsidRDefault="00F6308C">
            <w:pPr>
              <w:pStyle w:val="TableParagraph"/>
              <w:spacing w:before="37"/>
              <w:ind w:left="9"/>
              <w:jc w:val="center"/>
            </w:pPr>
            <w:r>
              <w:t>4</w:t>
            </w:r>
          </w:p>
        </w:tc>
        <w:tc>
          <w:tcPr>
            <w:tcW w:w="4398" w:type="dxa"/>
          </w:tcPr>
          <w:p w:rsidR="007C5447" w:rsidRDefault="00F6308C">
            <w:pPr>
              <w:pStyle w:val="TableParagraph"/>
              <w:spacing w:before="37"/>
              <w:ind w:left="107"/>
              <w:jc w:val="left"/>
            </w:pPr>
            <w:r>
              <w:t>Transmission Charges paid to TANTRANSCO</w:t>
            </w:r>
          </w:p>
        </w:tc>
        <w:tc>
          <w:tcPr>
            <w:tcW w:w="1416" w:type="dxa"/>
          </w:tcPr>
          <w:p w:rsidR="007C5447" w:rsidRDefault="00F6308C">
            <w:pPr>
              <w:pStyle w:val="TableParagraph"/>
              <w:spacing w:before="37"/>
              <w:ind w:right="92"/>
            </w:pPr>
            <w:r>
              <w:t>1,781.74</w:t>
            </w:r>
          </w:p>
        </w:tc>
        <w:tc>
          <w:tcPr>
            <w:tcW w:w="1419" w:type="dxa"/>
          </w:tcPr>
          <w:p w:rsidR="007C5447" w:rsidRDefault="00F6308C">
            <w:pPr>
              <w:pStyle w:val="TableParagraph"/>
              <w:spacing w:before="37"/>
              <w:ind w:right="97"/>
            </w:pPr>
            <w:r>
              <w:t>1,870.82</w:t>
            </w:r>
          </w:p>
        </w:tc>
        <w:tc>
          <w:tcPr>
            <w:tcW w:w="1418" w:type="dxa"/>
          </w:tcPr>
          <w:p w:rsidR="007C5447" w:rsidRDefault="00F6308C">
            <w:pPr>
              <w:pStyle w:val="TableParagraph"/>
              <w:spacing w:before="37"/>
              <w:ind w:right="94"/>
            </w:pPr>
            <w:r>
              <w:t>1,964.37</w:t>
            </w:r>
          </w:p>
        </w:tc>
      </w:tr>
    </w:tbl>
    <w:p w:rsidR="007C5447" w:rsidRDefault="007C5447">
      <w:pPr>
        <w:sectPr w:rsidR="007C5447">
          <w:pgSz w:w="11910" w:h="16840"/>
          <w:pgMar w:top="1420" w:right="260" w:bottom="960" w:left="340" w:header="0" w:footer="777" w:gutter="0"/>
          <w:cols w:space="720"/>
        </w:sectPr>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4398"/>
        <w:gridCol w:w="1416"/>
        <w:gridCol w:w="1419"/>
        <w:gridCol w:w="1418"/>
      </w:tblGrid>
      <w:tr w:rsidR="007C5447">
        <w:trPr>
          <w:trHeight w:val="328"/>
        </w:trPr>
        <w:tc>
          <w:tcPr>
            <w:tcW w:w="562" w:type="dxa"/>
            <w:tcBorders>
              <w:bottom w:val="single" w:sz="6" w:space="0" w:color="000000"/>
            </w:tcBorders>
            <w:shd w:val="clear" w:color="auto" w:fill="F7C9AC"/>
          </w:tcPr>
          <w:p w:rsidR="007C5447" w:rsidRDefault="00F6308C">
            <w:pPr>
              <w:pStyle w:val="TableParagraph"/>
              <w:spacing w:before="61" w:line="248" w:lineRule="exact"/>
              <w:ind w:left="140" w:right="132"/>
              <w:jc w:val="center"/>
              <w:rPr>
                <w:b/>
              </w:rPr>
            </w:pPr>
            <w:r>
              <w:rPr>
                <w:b/>
              </w:rPr>
              <w:lastRenderedPageBreak/>
              <w:t>Sl.</w:t>
            </w:r>
          </w:p>
        </w:tc>
        <w:tc>
          <w:tcPr>
            <w:tcW w:w="4398" w:type="dxa"/>
            <w:tcBorders>
              <w:bottom w:val="single" w:sz="6" w:space="0" w:color="000000"/>
            </w:tcBorders>
            <w:shd w:val="clear" w:color="auto" w:fill="F7C9AC"/>
          </w:tcPr>
          <w:p w:rsidR="007C5447" w:rsidRDefault="00F6308C">
            <w:pPr>
              <w:pStyle w:val="TableParagraph"/>
              <w:spacing w:before="61" w:line="248" w:lineRule="exact"/>
              <w:ind w:left="1650" w:right="1646"/>
              <w:jc w:val="center"/>
              <w:rPr>
                <w:b/>
              </w:rPr>
            </w:pPr>
            <w:r>
              <w:rPr>
                <w:b/>
              </w:rPr>
              <w:t>Particulars</w:t>
            </w:r>
          </w:p>
        </w:tc>
        <w:tc>
          <w:tcPr>
            <w:tcW w:w="1416" w:type="dxa"/>
            <w:tcBorders>
              <w:bottom w:val="single" w:sz="6" w:space="0" w:color="000000"/>
            </w:tcBorders>
            <w:shd w:val="clear" w:color="auto" w:fill="F7C9AC"/>
          </w:tcPr>
          <w:p w:rsidR="007C5447" w:rsidRDefault="00F6308C">
            <w:pPr>
              <w:pStyle w:val="TableParagraph"/>
              <w:spacing w:before="61" w:line="248" w:lineRule="exact"/>
              <w:ind w:left="107"/>
              <w:jc w:val="left"/>
              <w:rPr>
                <w:b/>
              </w:rPr>
            </w:pPr>
            <w:r>
              <w:rPr>
                <w:b/>
              </w:rPr>
              <w:t>FY 2016-17</w:t>
            </w:r>
          </w:p>
        </w:tc>
        <w:tc>
          <w:tcPr>
            <w:tcW w:w="1419" w:type="dxa"/>
            <w:tcBorders>
              <w:bottom w:val="single" w:sz="6" w:space="0" w:color="000000"/>
            </w:tcBorders>
            <w:shd w:val="clear" w:color="auto" w:fill="F7C9AC"/>
          </w:tcPr>
          <w:p w:rsidR="007C5447" w:rsidRDefault="00F6308C">
            <w:pPr>
              <w:pStyle w:val="TableParagraph"/>
              <w:spacing w:before="61" w:line="248" w:lineRule="exact"/>
              <w:ind w:left="107"/>
              <w:jc w:val="left"/>
              <w:rPr>
                <w:b/>
              </w:rPr>
            </w:pPr>
            <w:r>
              <w:rPr>
                <w:b/>
              </w:rPr>
              <w:t>FY 2017-18</w:t>
            </w:r>
          </w:p>
        </w:tc>
        <w:tc>
          <w:tcPr>
            <w:tcW w:w="1418" w:type="dxa"/>
            <w:tcBorders>
              <w:bottom w:val="single" w:sz="6" w:space="0" w:color="000000"/>
            </w:tcBorders>
            <w:shd w:val="clear" w:color="auto" w:fill="F7C9AC"/>
          </w:tcPr>
          <w:p w:rsidR="007C5447" w:rsidRDefault="00F6308C">
            <w:pPr>
              <w:pStyle w:val="TableParagraph"/>
              <w:spacing w:before="61" w:line="248" w:lineRule="exact"/>
              <w:ind w:left="107"/>
              <w:jc w:val="left"/>
              <w:rPr>
                <w:b/>
              </w:rPr>
            </w:pPr>
            <w:r>
              <w:rPr>
                <w:b/>
              </w:rPr>
              <w:t>FY 2018-19</w:t>
            </w:r>
          </w:p>
        </w:tc>
      </w:tr>
      <w:tr w:rsidR="007C5447">
        <w:trPr>
          <w:trHeight w:val="326"/>
        </w:trPr>
        <w:tc>
          <w:tcPr>
            <w:tcW w:w="562" w:type="dxa"/>
            <w:tcBorders>
              <w:top w:val="single" w:sz="6" w:space="0" w:color="000000"/>
            </w:tcBorders>
          </w:tcPr>
          <w:p w:rsidR="007C5447" w:rsidRDefault="00F6308C">
            <w:pPr>
              <w:pStyle w:val="TableParagraph"/>
              <w:spacing w:before="34"/>
              <w:ind w:left="9"/>
              <w:jc w:val="center"/>
            </w:pPr>
            <w:r>
              <w:t>5</w:t>
            </w:r>
          </w:p>
        </w:tc>
        <w:tc>
          <w:tcPr>
            <w:tcW w:w="4398" w:type="dxa"/>
            <w:tcBorders>
              <w:top w:val="single" w:sz="6" w:space="0" w:color="000000"/>
            </w:tcBorders>
          </w:tcPr>
          <w:p w:rsidR="007C5447" w:rsidRDefault="00F6308C">
            <w:pPr>
              <w:pStyle w:val="TableParagraph"/>
              <w:spacing w:before="34"/>
              <w:ind w:left="107"/>
              <w:jc w:val="left"/>
            </w:pPr>
            <w:r>
              <w:t>Net O&amp;M Expenses</w:t>
            </w:r>
          </w:p>
        </w:tc>
        <w:tc>
          <w:tcPr>
            <w:tcW w:w="1416" w:type="dxa"/>
            <w:tcBorders>
              <w:top w:val="single" w:sz="6" w:space="0" w:color="000000"/>
            </w:tcBorders>
          </w:tcPr>
          <w:p w:rsidR="007C5447" w:rsidRDefault="00F6308C">
            <w:pPr>
              <w:pStyle w:val="TableParagraph"/>
              <w:spacing w:before="34"/>
              <w:ind w:right="92"/>
            </w:pPr>
            <w:r>
              <w:t>5,234.90</w:t>
            </w:r>
          </w:p>
        </w:tc>
        <w:tc>
          <w:tcPr>
            <w:tcW w:w="1419" w:type="dxa"/>
            <w:tcBorders>
              <w:top w:val="single" w:sz="6" w:space="0" w:color="000000"/>
            </w:tcBorders>
          </w:tcPr>
          <w:p w:rsidR="007C5447" w:rsidRDefault="00F6308C">
            <w:pPr>
              <w:pStyle w:val="TableParagraph"/>
              <w:spacing w:before="34"/>
              <w:ind w:right="97"/>
            </w:pPr>
            <w:r>
              <w:t>5,534.33</w:t>
            </w:r>
          </w:p>
        </w:tc>
        <w:tc>
          <w:tcPr>
            <w:tcW w:w="1418" w:type="dxa"/>
            <w:tcBorders>
              <w:top w:val="single" w:sz="6" w:space="0" w:color="000000"/>
            </w:tcBorders>
          </w:tcPr>
          <w:p w:rsidR="007C5447" w:rsidRDefault="00F6308C">
            <w:pPr>
              <w:pStyle w:val="TableParagraph"/>
              <w:spacing w:before="34"/>
              <w:ind w:right="94"/>
            </w:pPr>
            <w:r>
              <w:t>5,850.89</w:t>
            </w:r>
          </w:p>
        </w:tc>
      </w:tr>
      <w:tr w:rsidR="007C5447">
        <w:trPr>
          <w:trHeight w:val="330"/>
        </w:trPr>
        <w:tc>
          <w:tcPr>
            <w:tcW w:w="562" w:type="dxa"/>
          </w:tcPr>
          <w:p w:rsidR="007C5447" w:rsidRDefault="00F6308C">
            <w:pPr>
              <w:pStyle w:val="TableParagraph"/>
              <w:spacing w:before="39"/>
              <w:ind w:left="9"/>
              <w:jc w:val="center"/>
            </w:pPr>
            <w:r>
              <w:t>6</w:t>
            </w:r>
          </w:p>
        </w:tc>
        <w:tc>
          <w:tcPr>
            <w:tcW w:w="4398" w:type="dxa"/>
          </w:tcPr>
          <w:p w:rsidR="007C5447" w:rsidRDefault="00F6308C">
            <w:pPr>
              <w:pStyle w:val="TableParagraph"/>
              <w:spacing w:before="39"/>
              <w:ind w:left="107"/>
              <w:jc w:val="left"/>
            </w:pPr>
            <w:r>
              <w:t>Depreciation</w:t>
            </w:r>
          </w:p>
        </w:tc>
        <w:tc>
          <w:tcPr>
            <w:tcW w:w="1416" w:type="dxa"/>
          </w:tcPr>
          <w:p w:rsidR="007C5447" w:rsidRDefault="00F6308C">
            <w:pPr>
              <w:pStyle w:val="TableParagraph"/>
              <w:spacing w:before="39"/>
              <w:ind w:right="92"/>
            </w:pPr>
            <w:r>
              <w:t>203.77</w:t>
            </w:r>
          </w:p>
        </w:tc>
        <w:tc>
          <w:tcPr>
            <w:tcW w:w="1419" w:type="dxa"/>
          </w:tcPr>
          <w:p w:rsidR="007C5447" w:rsidRDefault="00F6308C">
            <w:pPr>
              <w:pStyle w:val="TableParagraph"/>
              <w:spacing w:before="39"/>
              <w:ind w:right="97"/>
            </w:pPr>
            <w:r>
              <w:t>483.53</w:t>
            </w:r>
          </w:p>
        </w:tc>
        <w:tc>
          <w:tcPr>
            <w:tcW w:w="1418" w:type="dxa"/>
          </w:tcPr>
          <w:p w:rsidR="007C5447" w:rsidRDefault="00F6308C">
            <w:pPr>
              <w:pStyle w:val="TableParagraph"/>
              <w:spacing w:before="39"/>
              <w:ind w:right="94"/>
            </w:pPr>
            <w:r>
              <w:t>645.79</w:t>
            </w:r>
          </w:p>
        </w:tc>
      </w:tr>
      <w:tr w:rsidR="007C5447">
        <w:trPr>
          <w:trHeight w:val="330"/>
        </w:trPr>
        <w:tc>
          <w:tcPr>
            <w:tcW w:w="562" w:type="dxa"/>
          </w:tcPr>
          <w:p w:rsidR="007C5447" w:rsidRDefault="00F6308C">
            <w:pPr>
              <w:pStyle w:val="TableParagraph"/>
              <w:spacing w:before="37"/>
              <w:ind w:left="9"/>
              <w:jc w:val="center"/>
            </w:pPr>
            <w:r>
              <w:t>7</w:t>
            </w:r>
          </w:p>
        </w:tc>
        <w:tc>
          <w:tcPr>
            <w:tcW w:w="4398" w:type="dxa"/>
          </w:tcPr>
          <w:p w:rsidR="007C5447" w:rsidRDefault="00F6308C">
            <w:pPr>
              <w:pStyle w:val="TableParagraph"/>
              <w:spacing w:before="37"/>
              <w:ind w:left="107"/>
              <w:jc w:val="left"/>
            </w:pPr>
            <w:r>
              <w:t>Interest &amp; Finance Charges</w:t>
            </w:r>
          </w:p>
        </w:tc>
        <w:tc>
          <w:tcPr>
            <w:tcW w:w="1416" w:type="dxa"/>
          </w:tcPr>
          <w:p w:rsidR="007C5447" w:rsidRDefault="00F6308C">
            <w:pPr>
              <w:pStyle w:val="TableParagraph"/>
              <w:spacing w:before="37"/>
              <w:ind w:right="92"/>
            </w:pPr>
            <w:r>
              <w:t>3,807.19</w:t>
            </w:r>
          </w:p>
        </w:tc>
        <w:tc>
          <w:tcPr>
            <w:tcW w:w="1419" w:type="dxa"/>
          </w:tcPr>
          <w:p w:rsidR="007C5447" w:rsidRDefault="00F6308C">
            <w:pPr>
              <w:pStyle w:val="TableParagraph"/>
              <w:spacing w:before="37"/>
              <w:ind w:right="97"/>
            </w:pPr>
            <w:r>
              <w:t>3,345.74</w:t>
            </w:r>
          </w:p>
        </w:tc>
        <w:tc>
          <w:tcPr>
            <w:tcW w:w="1418" w:type="dxa"/>
          </w:tcPr>
          <w:p w:rsidR="007C5447" w:rsidRDefault="00F6308C">
            <w:pPr>
              <w:pStyle w:val="TableParagraph"/>
              <w:spacing w:before="37"/>
              <w:ind w:right="94"/>
            </w:pPr>
            <w:r>
              <w:t>3,945.15</w:t>
            </w:r>
          </w:p>
        </w:tc>
      </w:tr>
      <w:tr w:rsidR="007C5447">
        <w:trPr>
          <w:trHeight w:val="328"/>
        </w:trPr>
        <w:tc>
          <w:tcPr>
            <w:tcW w:w="562" w:type="dxa"/>
          </w:tcPr>
          <w:p w:rsidR="007C5447" w:rsidRDefault="00F6308C">
            <w:pPr>
              <w:pStyle w:val="TableParagraph"/>
              <w:spacing w:before="37"/>
              <w:ind w:left="9"/>
              <w:jc w:val="center"/>
            </w:pPr>
            <w:r>
              <w:t>8</w:t>
            </w:r>
          </w:p>
        </w:tc>
        <w:tc>
          <w:tcPr>
            <w:tcW w:w="4398" w:type="dxa"/>
          </w:tcPr>
          <w:p w:rsidR="007C5447" w:rsidRDefault="00F6308C">
            <w:pPr>
              <w:pStyle w:val="TableParagraph"/>
              <w:spacing w:before="37"/>
              <w:ind w:left="107"/>
              <w:jc w:val="left"/>
            </w:pPr>
            <w:r>
              <w:t>Interest on Working Capital</w:t>
            </w:r>
          </w:p>
        </w:tc>
        <w:tc>
          <w:tcPr>
            <w:tcW w:w="1416" w:type="dxa"/>
          </w:tcPr>
          <w:p w:rsidR="007C5447" w:rsidRDefault="00F6308C">
            <w:pPr>
              <w:pStyle w:val="TableParagraph"/>
              <w:spacing w:before="37"/>
              <w:ind w:right="92"/>
            </w:pPr>
            <w:r>
              <w:t>238.13</w:t>
            </w:r>
          </w:p>
        </w:tc>
        <w:tc>
          <w:tcPr>
            <w:tcW w:w="1419" w:type="dxa"/>
          </w:tcPr>
          <w:p w:rsidR="007C5447" w:rsidRDefault="00F6308C">
            <w:pPr>
              <w:pStyle w:val="TableParagraph"/>
              <w:spacing w:before="37"/>
              <w:ind w:right="97"/>
            </w:pPr>
            <w:r>
              <w:t>235.23</w:t>
            </w:r>
          </w:p>
        </w:tc>
        <w:tc>
          <w:tcPr>
            <w:tcW w:w="1418" w:type="dxa"/>
          </w:tcPr>
          <w:p w:rsidR="007C5447" w:rsidRDefault="00F6308C">
            <w:pPr>
              <w:pStyle w:val="TableParagraph"/>
              <w:spacing w:before="37"/>
              <w:ind w:right="94"/>
            </w:pPr>
            <w:r>
              <w:t>351.19</w:t>
            </w:r>
          </w:p>
        </w:tc>
      </w:tr>
      <w:tr w:rsidR="007C5447">
        <w:trPr>
          <w:trHeight w:val="330"/>
        </w:trPr>
        <w:tc>
          <w:tcPr>
            <w:tcW w:w="562" w:type="dxa"/>
          </w:tcPr>
          <w:p w:rsidR="007C5447" w:rsidRDefault="00F6308C">
            <w:pPr>
              <w:pStyle w:val="TableParagraph"/>
              <w:spacing w:before="39"/>
              <w:ind w:left="9"/>
              <w:jc w:val="center"/>
            </w:pPr>
            <w:r>
              <w:t>9</w:t>
            </w:r>
          </w:p>
        </w:tc>
        <w:tc>
          <w:tcPr>
            <w:tcW w:w="4398" w:type="dxa"/>
          </w:tcPr>
          <w:p w:rsidR="007C5447" w:rsidRDefault="00F6308C">
            <w:pPr>
              <w:pStyle w:val="TableParagraph"/>
              <w:spacing w:before="39"/>
              <w:ind w:left="107"/>
              <w:jc w:val="left"/>
            </w:pPr>
            <w:r>
              <w:t>Other Debits and Extra Ordinary Items</w:t>
            </w:r>
          </w:p>
        </w:tc>
        <w:tc>
          <w:tcPr>
            <w:tcW w:w="1416" w:type="dxa"/>
          </w:tcPr>
          <w:p w:rsidR="007C5447" w:rsidRDefault="00F6308C">
            <w:pPr>
              <w:pStyle w:val="TableParagraph"/>
              <w:spacing w:before="39"/>
              <w:ind w:right="92"/>
            </w:pPr>
            <w:r>
              <w:t>13.19</w:t>
            </w:r>
          </w:p>
        </w:tc>
        <w:tc>
          <w:tcPr>
            <w:tcW w:w="1419" w:type="dxa"/>
          </w:tcPr>
          <w:p w:rsidR="007C5447" w:rsidRDefault="00F6308C">
            <w:pPr>
              <w:pStyle w:val="TableParagraph"/>
              <w:spacing w:before="39"/>
              <w:ind w:right="97"/>
            </w:pPr>
            <w:r>
              <w:t>13.19</w:t>
            </w:r>
          </w:p>
        </w:tc>
        <w:tc>
          <w:tcPr>
            <w:tcW w:w="1418" w:type="dxa"/>
          </w:tcPr>
          <w:p w:rsidR="007C5447" w:rsidRDefault="00F6308C">
            <w:pPr>
              <w:pStyle w:val="TableParagraph"/>
              <w:spacing w:before="39"/>
              <w:ind w:right="94"/>
            </w:pPr>
            <w:r>
              <w:t>13.19</w:t>
            </w:r>
          </w:p>
        </w:tc>
      </w:tr>
      <w:tr w:rsidR="007C5447">
        <w:trPr>
          <w:trHeight w:val="330"/>
        </w:trPr>
        <w:tc>
          <w:tcPr>
            <w:tcW w:w="562" w:type="dxa"/>
          </w:tcPr>
          <w:p w:rsidR="007C5447" w:rsidRDefault="00F6308C">
            <w:pPr>
              <w:pStyle w:val="TableParagraph"/>
              <w:spacing w:before="37"/>
              <w:ind w:left="140" w:right="131"/>
              <w:jc w:val="center"/>
            </w:pPr>
            <w:r>
              <w:t>10</w:t>
            </w:r>
          </w:p>
        </w:tc>
        <w:tc>
          <w:tcPr>
            <w:tcW w:w="4398" w:type="dxa"/>
          </w:tcPr>
          <w:p w:rsidR="007C5447" w:rsidRDefault="00F6308C">
            <w:pPr>
              <w:pStyle w:val="TableParagraph"/>
              <w:spacing w:before="37"/>
              <w:ind w:left="107"/>
              <w:jc w:val="left"/>
              <w:rPr>
                <w:b/>
              </w:rPr>
            </w:pPr>
            <w:r>
              <w:rPr>
                <w:b/>
              </w:rPr>
              <w:t>Sub Total</w:t>
            </w:r>
          </w:p>
        </w:tc>
        <w:tc>
          <w:tcPr>
            <w:tcW w:w="1416" w:type="dxa"/>
          </w:tcPr>
          <w:p w:rsidR="007C5447" w:rsidRDefault="00F6308C">
            <w:pPr>
              <w:pStyle w:val="TableParagraph"/>
              <w:spacing w:before="37"/>
              <w:ind w:right="92"/>
              <w:rPr>
                <w:b/>
              </w:rPr>
            </w:pPr>
            <w:r>
              <w:rPr>
                <w:b/>
              </w:rPr>
              <w:t>52,100.13</w:t>
            </w:r>
          </w:p>
        </w:tc>
        <w:tc>
          <w:tcPr>
            <w:tcW w:w="1419" w:type="dxa"/>
          </w:tcPr>
          <w:p w:rsidR="007C5447" w:rsidRDefault="00F6308C">
            <w:pPr>
              <w:pStyle w:val="TableParagraph"/>
              <w:spacing w:before="37"/>
              <w:ind w:right="97"/>
              <w:rPr>
                <w:b/>
              </w:rPr>
            </w:pPr>
            <w:r>
              <w:rPr>
                <w:b/>
              </w:rPr>
              <w:t>53,207.65</w:t>
            </w:r>
          </w:p>
        </w:tc>
        <w:tc>
          <w:tcPr>
            <w:tcW w:w="1418" w:type="dxa"/>
          </w:tcPr>
          <w:p w:rsidR="007C5447" w:rsidRDefault="00F6308C">
            <w:pPr>
              <w:pStyle w:val="TableParagraph"/>
              <w:spacing w:before="37"/>
              <w:ind w:right="94"/>
              <w:rPr>
                <w:b/>
              </w:rPr>
            </w:pPr>
            <w:r>
              <w:rPr>
                <w:b/>
              </w:rPr>
              <w:t>59,655.98</w:t>
            </w:r>
          </w:p>
        </w:tc>
      </w:tr>
      <w:tr w:rsidR="007C5447">
        <w:trPr>
          <w:trHeight w:val="328"/>
        </w:trPr>
        <w:tc>
          <w:tcPr>
            <w:tcW w:w="562" w:type="dxa"/>
          </w:tcPr>
          <w:p w:rsidR="007C5447" w:rsidRDefault="00F6308C">
            <w:pPr>
              <w:pStyle w:val="TableParagraph"/>
              <w:spacing w:before="37"/>
              <w:ind w:left="140" w:right="131"/>
              <w:jc w:val="center"/>
            </w:pPr>
            <w:r>
              <w:t>11</w:t>
            </w:r>
          </w:p>
        </w:tc>
        <w:tc>
          <w:tcPr>
            <w:tcW w:w="4398" w:type="dxa"/>
          </w:tcPr>
          <w:p w:rsidR="007C5447" w:rsidRDefault="00F6308C">
            <w:pPr>
              <w:pStyle w:val="TableParagraph"/>
              <w:spacing w:before="37"/>
              <w:ind w:left="107"/>
              <w:jc w:val="left"/>
            </w:pPr>
            <w:r>
              <w:t>Return on Equity</w:t>
            </w:r>
          </w:p>
        </w:tc>
        <w:tc>
          <w:tcPr>
            <w:tcW w:w="1416" w:type="dxa"/>
          </w:tcPr>
          <w:p w:rsidR="007C5447" w:rsidRDefault="00F6308C">
            <w:pPr>
              <w:pStyle w:val="TableParagraph"/>
              <w:spacing w:before="37"/>
              <w:ind w:right="92"/>
            </w:pPr>
            <w:r>
              <w:t>582.32</w:t>
            </w:r>
          </w:p>
        </w:tc>
        <w:tc>
          <w:tcPr>
            <w:tcW w:w="1419" w:type="dxa"/>
          </w:tcPr>
          <w:p w:rsidR="007C5447" w:rsidRDefault="00F6308C">
            <w:pPr>
              <w:pStyle w:val="TableParagraph"/>
              <w:spacing w:before="37"/>
              <w:ind w:right="97"/>
            </w:pPr>
            <w:r>
              <w:t>609.62</w:t>
            </w:r>
          </w:p>
        </w:tc>
        <w:tc>
          <w:tcPr>
            <w:tcW w:w="1418" w:type="dxa"/>
          </w:tcPr>
          <w:p w:rsidR="007C5447" w:rsidRDefault="00F6308C">
            <w:pPr>
              <w:pStyle w:val="TableParagraph"/>
              <w:spacing w:before="37"/>
              <w:ind w:right="94"/>
            </w:pPr>
            <w:r>
              <w:t>609.62</w:t>
            </w:r>
          </w:p>
        </w:tc>
      </w:tr>
      <w:tr w:rsidR="007C5447">
        <w:trPr>
          <w:trHeight w:val="330"/>
        </w:trPr>
        <w:tc>
          <w:tcPr>
            <w:tcW w:w="562" w:type="dxa"/>
          </w:tcPr>
          <w:p w:rsidR="007C5447" w:rsidRDefault="00F6308C">
            <w:pPr>
              <w:pStyle w:val="TableParagraph"/>
              <w:spacing w:before="39"/>
              <w:ind w:left="140" w:right="131"/>
              <w:jc w:val="center"/>
            </w:pPr>
            <w:r>
              <w:t>12</w:t>
            </w:r>
          </w:p>
        </w:tc>
        <w:tc>
          <w:tcPr>
            <w:tcW w:w="4398" w:type="dxa"/>
          </w:tcPr>
          <w:p w:rsidR="007C5447" w:rsidRDefault="00F6308C">
            <w:pPr>
              <w:pStyle w:val="TableParagraph"/>
              <w:spacing w:before="39"/>
              <w:ind w:left="107"/>
              <w:jc w:val="left"/>
              <w:rPr>
                <w:b/>
              </w:rPr>
            </w:pPr>
            <w:r>
              <w:rPr>
                <w:b/>
              </w:rPr>
              <w:t>Total Expenditure</w:t>
            </w:r>
          </w:p>
        </w:tc>
        <w:tc>
          <w:tcPr>
            <w:tcW w:w="1416" w:type="dxa"/>
          </w:tcPr>
          <w:p w:rsidR="007C5447" w:rsidRDefault="00F6308C">
            <w:pPr>
              <w:pStyle w:val="TableParagraph"/>
              <w:spacing w:before="39"/>
              <w:ind w:right="92"/>
              <w:rPr>
                <w:b/>
              </w:rPr>
            </w:pPr>
            <w:r>
              <w:rPr>
                <w:b/>
              </w:rPr>
              <w:t>52,682.46</w:t>
            </w:r>
          </w:p>
        </w:tc>
        <w:tc>
          <w:tcPr>
            <w:tcW w:w="1419" w:type="dxa"/>
          </w:tcPr>
          <w:p w:rsidR="007C5447" w:rsidRDefault="00F6308C">
            <w:pPr>
              <w:pStyle w:val="TableParagraph"/>
              <w:spacing w:before="39"/>
              <w:ind w:right="97"/>
              <w:rPr>
                <w:b/>
              </w:rPr>
            </w:pPr>
            <w:r>
              <w:rPr>
                <w:b/>
              </w:rPr>
              <w:t>53,817.27</w:t>
            </w:r>
          </w:p>
        </w:tc>
        <w:tc>
          <w:tcPr>
            <w:tcW w:w="1418" w:type="dxa"/>
          </w:tcPr>
          <w:p w:rsidR="007C5447" w:rsidRDefault="00F6308C">
            <w:pPr>
              <w:pStyle w:val="TableParagraph"/>
              <w:spacing w:before="39"/>
              <w:ind w:right="94"/>
              <w:rPr>
                <w:b/>
              </w:rPr>
            </w:pPr>
            <w:r>
              <w:rPr>
                <w:b/>
              </w:rPr>
              <w:t>60,265.60</w:t>
            </w:r>
          </w:p>
        </w:tc>
      </w:tr>
      <w:tr w:rsidR="007C5447">
        <w:trPr>
          <w:trHeight w:val="330"/>
        </w:trPr>
        <w:tc>
          <w:tcPr>
            <w:tcW w:w="562" w:type="dxa"/>
          </w:tcPr>
          <w:p w:rsidR="007C5447" w:rsidRDefault="00F6308C">
            <w:pPr>
              <w:pStyle w:val="TableParagraph"/>
              <w:spacing w:before="37"/>
              <w:ind w:left="140" w:right="131"/>
              <w:jc w:val="center"/>
            </w:pPr>
            <w:r>
              <w:t>13</w:t>
            </w:r>
          </w:p>
        </w:tc>
        <w:tc>
          <w:tcPr>
            <w:tcW w:w="4398" w:type="dxa"/>
          </w:tcPr>
          <w:p w:rsidR="007C5447" w:rsidRDefault="00F6308C">
            <w:pPr>
              <w:pStyle w:val="TableParagraph"/>
              <w:spacing w:before="37"/>
              <w:ind w:left="107"/>
              <w:jc w:val="left"/>
            </w:pPr>
            <w:r>
              <w:t>Less: Non-Tariff Income</w:t>
            </w:r>
          </w:p>
        </w:tc>
        <w:tc>
          <w:tcPr>
            <w:tcW w:w="1416" w:type="dxa"/>
          </w:tcPr>
          <w:p w:rsidR="007C5447" w:rsidRDefault="00F6308C">
            <w:pPr>
              <w:pStyle w:val="TableParagraph"/>
              <w:spacing w:before="37"/>
              <w:ind w:right="92"/>
            </w:pPr>
            <w:r>
              <w:t>780.86</w:t>
            </w:r>
          </w:p>
        </w:tc>
        <w:tc>
          <w:tcPr>
            <w:tcW w:w="1419" w:type="dxa"/>
          </w:tcPr>
          <w:p w:rsidR="007C5447" w:rsidRDefault="00F6308C">
            <w:pPr>
              <w:pStyle w:val="TableParagraph"/>
              <w:spacing w:before="37"/>
              <w:ind w:right="97"/>
            </w:pPr>
            <w:r>
              <w:t>952.65</w:t>
            </w:r>
          </w:p>
        </w:tc>
        <w:tc>
          <w:tcPr>
            <w:tcW w:w="1418" w:type="dxa"/>
          </w:tcPr>
          <w:p w:rsidR="007C5447" w:rsidRDefault="00F6308C">
            <w:pPr>
              <w:pStyle w:val="TableParagraph"/>
              <w:spacing w:before="37"/>
              <w:ind w:right="94"/>
            </w:pPr>
            <w:r>
              <w:t>971.70</w:t>
            </w:r>
          </w:p>
        </w:tc>
      </w:tr>
      <w:tr w:rsidR="007C5447">
        <w:trPr>
          <w:trHeight w:val="328"/>
        </w:trPr>
        <w:tc>
          <w:tcPr>
            <w:tcW w:w="562" w:type="dxa"/>
          </w:tcPr>
          <w:p w:rsidR="007C5447" w:rsidRDefault="00F6308C">
            <w:pPr>
              <w:pStyle w:val="TableParagraph"/>
              <w:spacing w:before="37"/>
              <w:ind w:left="140" w:right="131"/>
              <w:jc w:val="center"/>
            </w:pPr>
            <w:r>
              <w:t>14</w:t>
            </w:r>
          </w:p>
        </w:tc>
        <w:tc>
          <w:tcPr>
            <w:tcW w:w="4398" w:type="dxa"/>
          </w:tcPr>
          <w:p w:rsidR="007C5447" w:rsidRDefault="00F6308C">
            <w:pPr>
              <w:pStyle w:val="TableParagraph"/>
              <w:spacing w:before="37"/>
              <w:ind w:left="107"/>
              <w:jc w:val="left"/>
            </w:pPr>
            <w:r>
              <w:t>Less: Other Income</w:t>
            </w:r>
          </w:p>
        </w:tc>
        <w:tc>
          <w:tcPr>
            <w:tcW w:w="1416" w:type="dxa"/>
          </w:tcPr>
          <w:p w:rsidR="007C5447" w:rsidRDefault="00F6308C">
            <w:pPr>
              <w:pStyle w:val="TableParagraph"/>
              <w:spacing w:before="37"/>
              <w:ind w:right="92"/>
            </w:pPr>
            <w:r>
              <w:t>434.73</w:t>
            </w:r>
          </w:p>
        </w:tc>
        <w:tc>
          <w:tcPr>
            <w:tcW w:w="1419" w:type="dxa"/>
          </w:tcPr>
          <w:p w:rsidR="007C5447" w:rsidRDefault="00F6308C">
            <w:pPr>
              <w:pStyle w:val="TableParagraph"/>
              <w:spacing w:before="37"/>
              <w:ind w:right="97"/>
            </w:pPr>
            <w:r>
              <w:t>586.89</w:t>
            </w:r>
          </w:p>
        </w:tc>
        <w:tc>
          <w:tcPr>
            <w:tcW w:w="1418" w:type="dxa"/>
          </w:tcPr>
          <w:p w:rsidR="007C5447" w:rsidRDefault="00F6308C">
            <w:pPr>
              <w:pStyle w:val="TableParagraph"/>
              <w:spacing w:before="37"/>
              <w:ind w:right="94"/>
            </w:pPr>
            <w:r>
              <w:t>704.27</w:t>
            </w:r>
          </w:p>
        </w:tc>
      </w:tr>
      <w:tr w:rsidR="007C5447">
        <w:trPr>
          <w:trHeight w:val="331"/>
        </w:trPr>
        <w:tc>
          <w:tcPr>
            <w:tcW w:w="562" w:type="dxa"/>
          </w:tcPr>
          <w:p w:rsidR="007C5447" w:rsidRDefault="00F6308C">
            <w:pPr>
              <w:pStyle w:val="TableParagraph"/>
              <w:spacing w:before="40"/>
              <w:ind w:left="140" w:right="131"/>
              <w:jc w:val="center"/>
            </w:pPr>
            <w:r>
              <w:t>15</w:t>
            </w:r>
          </w:p>
        </w:tc>
        <w:tc>
          <w:tcPr>
            <w:tcW w:w="4398" w:type="dxa"/>
          </w:tcPr>
          <w:p w:rsidR="007C5447" w:rsidRDefault="00F6308C">
            <w:pPr>
              <w:pStyle w:val="TableParagraph"/>
              <w:spacing w:before="40"/>
              <w:ind w:left="107"/>
              <w:jc w:val="left"/>
              <w:rPr>
                <w:b/>
              </w:rPr>
            </w:pPr>
            <w:r>
              <w:rPr>
                <w:b/>
              </w:rPr>
              <w:t>Aggregate Revenue Requirement</w:t>
            </w:r>
          </w:p>
        </w:tc>
        <w:tc>
          <w:tcPr>
            <w:tcW w:w="1416" w:type="dxa"/>
          </w:tcPr>
          <w:p w:rsidR="007C5447" w:rsidRDefault="00F6308C">
            <w:pPr>
              <w:pStyle w:val="TableParagraph"/>
              <w:spacing w:before="40"/>
              <w:ind w:right="92"/>
              <w:rPr>
                <w:b/>
              </w:rPr>
            </w:pPr>
            <w:r>
              <w:rPr>
                <w:b/>
              </w:rPr>
              <w:t>51,466.87</w:t>
            </w:r>
          </w:p>
        </w:tc>
        <w:tc>
          <w:tcPr>
            <w:tcW w:w="1419" w:type="dxa"/>
          </w:tcPr>
          <w:p w:rsidR="007C5447" w:rsidRDefault="00F6308C">
            <w:pPr>
              <w:pStyle w:val="TableParagraph"/>
              <w:spacing w:before="40"/>
              <w:ind w:right="97"/>
              <w:rPr>
                <w:b/>
              </w:rPr>
            </w:pPr>
            <w:r>
              <w:rPr>
                <w:b/>
              </w:rPr>
              <w:t>52,277.74</w:t>
            </w:r>
          </w:p>
        </w:tc>
        <w:tc>
          <w:tcPr>
            <w:tcW w:w="1418" w:type="dxa"/>
          </w:tcPr>
          <w:p w:rsidR="007C5447" w:rsidRDefault="00F6308C">
            <w:pPr>
              <w:pStyle w:val="TableParagraph"/>
              <w:spacing w:before="40"/>
              <w:ind w:right="94"/>
              <w:rPr>
                <w:b/>
              </w:rPr>
            </w:pPr>
            <w:r>
              <w:rPr>
                <w:b/>
              </w:rPr>
              <w:t>58,589.63</w:t>
            </w:r>
          </w:p>
        </w:tc>
      </w:tr>
    </w:tbl>
    <w:p w:rsidR="007C5447" w:rsidRDefault="007C5447">
      <w:pPr>
        <w:pStyle w:val="BodyText"/>
        <w:spacing w:before="11"/>
        <w:rPr>
          <w:b/>
          <w:sz w:val="12"/>
        </w:rPr>
      </w:pPr>
    </w:p>
    <w:p w:rsidR="007C5447" w:rsidRDefault="00F6308C">
      <w:pPr>
        <w:pStyle w:val="Heading2"/>
        <w:spacing w:before="90"/>
        <w:ind w:left="1952"/>
      </w:pPr>
      <w:r>
        <w:t>Commission’s Views</w:t>
      </w:r>
    </w:p>
    <w:p w:rsidR="007C5447" w:rsidRDefault="00F6308C">
      <w:pPr>
        <w:pStyle w:val="ListParagraph"/>
        <w:numPr>
          <w:ilvl w:val="2"/>
          <w:numId w:val="114"/>
        </w:numPr>
        <w:tabs>
          <w:tab w:val="left" w:pos="1953"/>
        </w:tabs>
        <w:spacing w:before="204" w:line="312" w:lineRule="auto"/>
        <w:ind w:left="1952" w:right="1179" w:hanging="852"/>
        <w:jc w:val="both"/>
        <w:rPr>
          <w:sz w:val="24"/>
        </w:rPr>
      </w:pPr>
      <w:r>
        <w:rPr>
          <w:sz w:val="24"/>
        </w:rPr>
        <w:t>Based on the expenses approved by the Commission for the Control Period from FY 2016-17 to FY 2018-19, the Aggregate Revenue Requirement approved by the Commission is shown in the Table</w:t>
      </w:r>
      <w:r>
        <w:rPr>
          <w:spacing w:val="-6"/>
          <w:sz w:val="24"/>
        </w:rPr>
        <w:t xml:space="preserve"> </w:t>
      </w:r>
      <w:r>
        <w:rPr>
          <w:sz w:val="24"/>
        </w:rPr>
        <w:t>below:</w:t>
      </w:r>
    </w:p>
    <w:p w:rsidR="007C5447" w:rsidRDefault="007C5447">
      <w:pPr>
        <w:pStyle w:val="BodyText"/>
        <w:spacing w:before="10"/>
        <w:rPr>
          <w:sz w:val="20"/>
        </w:rPr>
      </w:pPr>
    </w:p>
    <w:p w:rsidR="007C5447" w:rsidRDefault="00F6308C">
      <w:pPr>
        <w:spacing w:before="1"/>
        <w:ind w:left="1165"/>
        <w:rPr>
          <w:b/>
        </w:rPr>
      </w:pPr>
      <w:r>
        <w:rPr>
          <w:b/>
        </w:rPr>
        <w:t>Table 4-54: Approved ARR for the Control Period from FY 2016-1</w:t>
      </w:r>
      <w:r>
        <w:rPr>
          <w:b/>
        </w:rPr>
        <w:t>7 to FY 2018-19 (Rs. Crore)</w:t>
      </w:r>
    </w:p>
    <w:p w:rsidR="007C5447" w:rsidRDefault="007C5447">
      <w:pPr>
        <w:pStyle w:val="BodyText"/>
        <w:spacing w:before="10"/>
        <w:rPr>
          <w:b/>
          <w:sz w:val="16"/>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8"/>
        <w:gridCol w:w="3142"/>
        <w:gridCol w:w="1161"/>
        <w:gridCol w:w="1135"/>
        <w:gridCol w:w="1132"/>
        <w:gridCol w:w="1134"/>
        <w:gridCol w:w="1132"/>
        <w:gridCol w:w="1076"/>
      </w:tblGrid>
      <w:tr w:rsidR="007C5447">
        <w:trPr>
          <w:trHeight w:val="359"/>
        </w:trPr>
        <w:tc>
          <w:tcPr>
            <w:tcW w:w="518" w:type="dxa"/>
            <w:vMerge w:val="restart"/>
            <w:shd w:val="clear" w:color="auto" w:fill="F7C9AC"/>
          </w:tcPr>
          <w:p w:rsidR="007C5447" w:rsidRDefault="007C5447">
            <w:pPr>
              <w:pStyle w:val="TableParagraph"/>
              <w:spacing w:before="4"/>
              <w:jc w:val="left"/>
              <w:rPr>
                <w:b/>
                <w:sz w:val="27"/>
              </w:rPr>
            </w:pPr>
          </w:p>
          <w:p w:rsidR="007C5447" w:rsidRDefault="00F6308C">
            <w:pPr>
              <w:pStyle w:val="TableParagraph"/>
              <w:ind w:left="148"/>
              <w:jc w:val="left"/>
              <w:rPr>
                <w:b/>
                <w:sz w:val="20"/>
              </w:rPr>
            </w:pPr>
            <w:r>
              <w:rPr>
                <w:b/>
                <w:sz w:val="20"/>
              </w:rPr>
              <w:t>Sl.</w:t>
            </w:r>
          </w:p>
        </w:tc>
        <w:tc>
          <w:tcPr>
            <w:tcW w:w="3142" w:type="dxa"/>
            <w:vMerge w:val="restart"/>
            <w:shd w:val="clear" w:color="auto" w:fill="F7C9AC"/>
          </w:tcPr>
          <w:p w:rsidR="007C5447" w:rsidRDefault="007C5447">
            <w:pPr>
              <w:pStyle w:val="TableParagraph"/>
              <w:spacing w:before="4"/>
              <w:jc w:val="left"/>
              <w:rPr>
                <w:b/>
                <w:sz w:val="27"/>
              </w:rPr>
            </w:pPr>
          </w:p>
          <w:p w:rsidR="007C5447" w:rsidRDefault="00F6308C">
            <w:pPr>
              <w:pStyle w:val="TableParagraph"/>
              <w:ind w:left="1257" w:right="1246"/>
              <w:jc w:val="center"/>
              <w:rPr>
                <w:b/>
                <w:sz w:val="20"/>
              </w:rPr>
            </w:pPr>
            <w:r>
              <w:rPr>
                <w:b/>
                <w:sz w:val="20"/>
              </w:rPr>
              <w:t>Details</w:t>
            </w:r>
          </w:p>
        </w:tc>
        <w:tc>
          <w:tcPr>
            <w:tcW w:w="3428" w:type="dxa"/>
            <w:gridSpan w:val="3"/>
            <w:shd w:val="clear" w:color="auto" w:fill="F7C9AC"/>
          </w:tcPr>
          <w:p w:rsidR="007C5447" w:rsidRDefault="00F6308C">
            <w:pPr>
              <w:pStyle w:val="TableParagraph"/>
              <w:spacing w:before="65"/>
              <w:ind w:left="1136"/>
              <w:jc w:val="left"/>
              <w:rPr>
                <w:b/>
                <w:sz w:val="20"/>
              </w:rPr>
            </w:pPr>
            <w:r>
              <w:rPr>
                <w:b/>
                <w:sz w:val="20"/>
              </w:rPr>
              <w:t>TANGEDCO</w:t>
            </w:r>
          </w:p>
        </w:tc>
        <w:tc>
          <w:tcPr>
            <w:tcW w:w="3342" w:type="dxa"/>
            <w:gridSpan w:val="3"/>
            <w:shd w:val="clear" w:color="auto" w:fill="F7C9AC"/>
          </w:tcPr>
          <w:p w:rsidR="007C5447" w:rsidRDefault="00F6308C">
            <w:pPr>
              <w:pStyle w:val="TableParagraph"/>
              <w:spacing w:before="65"/>
              <w:ind w:left="1126" w:right="1110"/>
              <w:jc w:val="center"/>
              <w:rPr>
                <w:b/>
                <w:sz w:val="20"/>
              </w:rPr>
            </w:pPr>
            <w:r>
              <w:rPr>
                <w:b/>
                <w:sz w:val="20"/>
              </w:rPr>
              <w:t>Commission</w:t>
            </w:r>
          </w:p>
        </w:tc>
      </w:tr>
      <w:tr w:rsidR="007C5447">
        <w:trPr>
          <w:trHeight w:val="491"/>
        </w:trPr>
        <w:tc>
          <w:tcPr>
            <w:tcW w:w="518" w:type="dxa"/>
            <w:vMerge/>
            <w:tcBorders>
              <w:top w:val="nil"/>
            </w:tcBorders>
            <w:shd w:val="clear" w:color="auto" w:fill="F7C9AC"/>
          </w:tcPr>
          <w:p w:rsidR="007C5447" w:rsidRDefault="007C5447">
            <w:pPr>
              <w:rPr>
                <w:sz w:val="2"/>
                <w:szCs w:val="2"/>
              </w:rPr>
            </w:pPr>
          </w:p>
        </w:tc>
        <w:tc>
          <w:tcPr>
            <w:tcW w:w="3142" w:type="dxa"/>
            <w:vMerge/>
            <w:tcBorders>
              <w:top w:val="nil"/>
            </w:tcBorders>
            <w:shd w:val="clear" w:color="auto" w:fill="F7C9AC"/>
          </w:tcPr>
          <w:p w:rsidR="007C5447" w:rsidRDefault="007C5447">
            <w:pPr>
              <w:rPr>
                <w:sz w:val="2"/>
                <w:szCs w:val="2"/>
              </w:rPr>
            </w:pPr>
          </w:p>
        </w:tc>
        <w:tc>
          <w:tcPr>
            <w:tcW w:w="1161" w:type="dxa"/>
            <w:shd w:val="clear" w:color="auto" w:fill="F7C9AC"/>
          </w:tcPr>
          <w:p w:rsidR="007C5447" w:rsidRDefault="00F6308C">
            <w:pPr>
              <w:pStyle w:val="TableParagraph"/>
              <w:spacing w:before="17" w:line="229" w:lineRule="exact"/>
              <w:ind w:left="170" w:right="157"/>
              <w:jc w:val="center"/>
              <w:rPr>
                <w:b/>
                <w:sz w:val="20"/>
              </w:rPr>
            </w:pPr>
            <w:r>
              <w:rPr>
                <w:b/>
                <w:sz w:val="20"/>
              </w:rPr>
              <w:t>FY 2016-</w:t>
            </w:r>
          </w:p>
          <w:p w:rsidR="007C5447" w:rsidRDefault="00F6308C">
            <w:pPr>
              <w:pStyle w:val="TableParagraph"/>
              <w:spacing w:line="226" w:lineRule="exact"/>
              <w:ind w:left="169" w:right="157"/>
              <w:jc w:val="center"/>
              <w:rPr>
                <w:b/>
                <w:sz w:val="20"/>
              </w:rPr>
            </w:pPr>
            <w:r>
              <w:rPr>
                <w:b/>
                <w:sz w:val="20"/>
              </w:rPr>
              <w:t>17</w:t>
            </w:r>
          </w:p>
        </w:tc>
        <w:tc>
          <w:tcPr>
            <w:tcW w:w="1135" w:type="dxa"/>
            <w:shd w:val="clear" w:color="auto" w:fill="F7C9AC"/>
          </w:tcPr>
          <w:p w:rsidR="007C5447" w:rsidRDefault="00F6308C">
            <w:pPr>
              <w:pStyle w:val="TableParagraph"/>
              <w:spacing w:before="17" w:line="229" w:lineRule="exact"/>
              <w:ind w:left="116" w:right="104"/>
              <w:jc w:val="center"/>
              <w:rPr>
                <w:b/>
                <w:sz w:val="20"/>
              </w:rPr>
            </w:pPr>
            <w:r>
              <w:rPr>
                <w:b/>
                <w:sz w:val="20"/>
              </w:rPr>
              <w:t>FY 2017-</w:t>
            </w:r>
          </w:p>
          <w:p w:rsidR="007C5447" w:rsidRDefault="00F6308C">
            <w:pPr>
              <w:pStyle w:val="TableParagraph"/>
              <w:spacing w:line="226" w:lineRule="exact"/>
              <w:ind w:left="116" w:right="106"/>
              <w:jc w:val="center"/>
              <w:rPr>
                <w:b/>
                <w:sz w:val="20"/>
              </w:rPr>
            </w:pPr>
            <w:r>
              <w:rPr>
                <w:b/>
                <w:sz w:val="20"/>
              </w:rPr>
              <w:t>18</w:t>
            </w:r>
          </w:p>
        </w:tc>
        <w:tc>
          <w:tcPr>
            <w:tcW w:w="1132" w:type="dxa"/>
            <w:shd w:val="clear" w:color="auto" w:fill="F7C9AC"/>
          </w:tcPr>
          <w:p w:rsidR="007C5447" w:rsidRDefault="00F6308C">
            <w:pPr>
              <w:pStyle w:val="TableParagraph"/>
              <w:spacing w:before="17" w:line="229" w:lineRule="exact"/>
              <w:ind w:left="157" w:right="141"/>
              <w:jc w:val="center"/>
              <w:rPr>
                <w:b/>
                <w:sz w:val="20"/>
              </w:rPr>
            </w:pPr>
            <w:r>
              <w:rPr>
                <w:b/>
                <w:sz w:val="20"/>
              </w:rPr>
              <w:t>FY 2018-</w:t>
            </w:r>
          </w:p>
          <w:p w:rsidR="007C5447" w:rsidRDefault="00F6308C">
            <w:pPr>
              <w:pStyle w:val="TableParagraph"/>
              <w:spacing w:line="226" w:lineRule="exact"/>
              <w:ind w:left="155" w:right="141"/>
              <w:jc w:val="center"/>
              <w:rPr>
                <w:b/>
                <w:sz w:val="20"/>
              </w:rPr>
            </w:pPr>
            <w:r>
              <w:rPr>
                <w:b/>
                <w:sz w:val="20"/>
              </w:rPr>
              <w:t>19</w:t>
            </w:r>
          </w:p>
        </w:tc>
        <w:tc>
          <w:tcPr>
            <w:tcW w:w="1134" w:type="dxa"/>
            <w:shd w:val="clear" w:color="auto" w:fill="F7C9AC"/>
          </w:tcPr>
          <w:p w:rsidR="007C5447" w:rsidRDefault="00F6308C">
            <w:pPr>
              <w:pStyle w:val="TableParagraph"/>
              <w:spacing w:before="17" w:line="229" w:lineRule="exact"/>
              <w:ind w:left="149" w:right="134"/>
              <w:jc w:val="center"/>
              <w:rPr>
                <w:b/>
                <w:sz w:val="20"/>
              </w:rPr>
            </w:pPr>
            <w:r>
              <w:rPr>
                <w:b/>
                <w:sz w:val="20"/>
              </w:rPr>
              <w:t>FY 2016-</w:t>
            </w:r>
          </w:p>
          <w:p w:rsidR="007C5447" w:rsidRDefault="00F6308C">
            <w:pPr>
              <w:pStyle w:val="TableParagraph"/>
              <w:spacing w:line="226" w:lineRule="exact"/>
              <w:ind w:left="149" w:right="135"/>
              <w:jc w:val="center"/>
              <w:rPr>
                <w:b/>
                <w:sz w:val="20"/>
              </w:rPr>
            </w:pPr>
            <w:r>
              <w:rPr>
                <w:b/>
                <w:sz w:val="20"/>
              </w:rPr>
              <w:t>17</w:t>
            </w:r>
          </w:p>
        </w:tc>
        <w:tc>
          <w:tcPr>
            <w:tcW w:w="1132" w:type="dxa"/>
            <w:shd w:val="clear" w:color="auto" w:fill="F7C9AC"/>
          </w:tcPr>
          <w:p w:rsidR="007C5447" w:rsidRDefault="00F6308C">
            <w:pPr>
              <w:pStyle w:val="TableParagraph"/>
              <w:spacing w:before="17" w:line="229" w:lineRule="exact"/>
              <w:ind w:left="157" w:right="141"/>
              <w:jc w:val="center"/>
              <w:rPr>
                <w:b/>
                <w:sz w:val="20"/>
              </w:rPr>
            </w:pPr>
            <w:r>
              <w:rPr>
                <w:b/>
                <w:sz w:val="20"/>
              </w:rPr>
              <w:t>FY 2017-</w:t>
            </w:r>
          </w:p>
          <w:p w:rsidR="007C5447" w:rsidRDefault="00F6308C">
            <w:pPr>
              <w:pStyle w:val="TableParagraph"/>
              <w:spacing w:line="226" w:lineRule="exact"/>
              <w:ind w:left="156" w:right="141"/>
              <w:jc w:val="center"/>
              <w:rPr>
                <w:b/>
                <w:sz w:val="20"/>
              </w:rPr>
            </w:pPr>
            <w:r>
              <w:rPr>
                <w:b/>
                <w:sz w:val="20"/>
              </w:rPr>
              <w:t>18</w:t>
            </w:r>
          </w:p>
        </w:tc>
        <w:tc>
          <w:tcPr>
            <w:tcW w:w="1076" w:type="dxa"/>
            <w:shd w:val="clear" w:color="auto" w:fill="F7C9AC"/>
          </w:tcPr>
          <w:p w:rsidR="007C5447" w:rsidRDefault="00F6308C">
            <w:pPr>
              <w:pStyle w:val="TableParagraph"/>
              <w:spacing w:before="17" w:line="229" w:lineRule="exact"/>
              <w:ind w:left="131" w:right="110"/>
              <w:jc w:val="center"/>
              <w:rPr>
                <w:b/>
                <w:sz w:val="20"/>
              </w:rPr>
            </w:pPr>
            <w:r>
              <w:rPr>
                <w:b/>
                <w:sz w:val="20"/>
              </w:rPr>
              <w:t>FY 2018-</w:t>
            </w:r>
          </w:p>
          <w:p w:rsidR="007C5447" w:rsidRDefault="00F6308C">
            <w:pPr>
              <w:pStyle w:val="TableParagraph"/>
              <w:spacing w:line="226" w:lineRule="exact"/>
              <w:ind w:left="131" w:right="107"/>
              <w:jc w:val="center"/>
              <w:rPr>
                <w:b/>
                <w:sz w:val="20"/>
              </w:rPr>
            </w:pPr>
            <w:r>
              <w:rPr>
                <w:b/>
                <w:sz w:val="20"/>
              </w:rPr>
              <w:t>19</w:t>
            </w:r>
          </w:p>
        </w:tc>
      </w:tr>
      <w:tr w:rsidR="007C5447">
        <w:trPr>
          <w:trHeight w:val="489"/>
        </w:trPr>
        <w:tc>
          <w:tcPr>
            <w:tcW w:w="518" w:type="dxa"/>
          </w:tcPr>
          <w:p w:rsidR="007C5447" w:rsidRDefault="00F6308C">
            <w:pPr>
              <w:pStyle w:val="TableParagraph"/>
              <w:spacing w:before="130"/>
              <w:ind w:left="4"/>
              <w:jc w:val="center"/>
              <w:rPr>
                <w:sz w:val="20"/>
              </w:rPr>
            </w:pPr>
            <w:r>
              <w:rPr>
                <w:w w:val="99"/>
                <w:sz w:val="20"/>
              </w:rPr>
              <w:t>1</w:t>
            </w:r>
          </w:p>
        </w:tc>
        <w:tc>
          <w:tcPr>
            <w:tcW w:w="3142" w:type="dxa"/>
          </w:tcPr>
          <w:p w:rsidR="007C5447" w:rsidRDefault="00F6308C">
            <w:pPr>
              <w:pStyle w:val="TableParagraph"/>
              <w:spacing w:before="15" w:line="230" w:lineRule="atLeast"/>
              <w:ind w:left="108" w:right="449"/>
              <w:jc w:val="left"/>
              <w:rPr>
                <w:sz w:val="20"/>
              </w:rPr>
            </w:pPr>
            <w:r>
              <w:rPr>
                <w:sz w:val="20"/>
              </w:rPr>
              <w:t>Power Purchase Expenses (incl. Trans. Charges)</w:t>
            </w:r>
          </w:p>
        </w:tc>
        <w:tc>
          <w:tcPr>
            <w:tcW w:w="1161" w:type="dxa"/>
          </w:tcPr>
          <w:p w:rsidR="007C5447" w:rsidRDefault="00F6308C">
            <w:pPr>
              <w:pStyle w:val="TableParagraph"/>
              <w:spacing w:before="130"/>
              <w:ind w:right="97"/>
              <w:rPr>
                <w:sz w:val="20"/>
              </w:rPr>
            </w:pPr>
            <w:r>
              <w:rPr>
                <w:w w:val="95"/>
                <w:sz w:val="20"/>
              </w:rPr>
              <w:t>42,602.95</w:t>
            </w:r>
          </w:p>
        </w:tc>
        <w:tc>
          <w:tcPr>
            <w:tcW w:w="1135" w:type="dxa"/>
          </w:tcPr>
          <w:p w:rsidR="007C5447" w:rsidRDefault="00F6308C">
            <w:pPr>
              <w:pStyle w:val="TableParagraph"/>
              <w:spacing w:before="130"/>
              <w:ind w:right="99"/>
              <w:rPr>
                <w:sz w:val="20"/>
              </w:rPr>
            </w:pPr>
            <w:r>
              <w:rPr>
                <w:w w:val="95"/>
                <w:sz w:val="20"/>
              </w:rPr>
              <w:t>43,595.62</w:t>
            </w:r>
          </w:p>
        </w:tc>
        <w:tc>
          <w:tcPr>
            <w:tcW w:w="1132" w:type="dxa"/>
          </w:tcPr>
          <w:p w:rsidR="007C5447" w:rsidRDefault="00F6308C">
            <w:pPr>
              <w:pStyle w:val="TableParagraph"/>
              <w:spacing w:before="130"/>
              <w:ind w:right="95"/>
              <w:rPr>
                <w:sz w:val="20"/>
              </w:rPr>
            </w:pPr>
            <w:r>
              <w:rPr>
                <w:w w:val="95"/>
                <w:sz w:val="20"/>
              </w:rPr>
              <w:t>48,849.77</w:t>
            </w:r>
          </w:p>
        </w:tc>
        <w:tc>
          <w:tcPr>
            <w:tcW w:w="1134" w:type="dxa"/>
          </w:tcPr>
          <w:p w:rsidR="007C5447" w:rsidRDefault="007C5447">
            <w:pPr>
              <w:pStyle w:val="TableParagraph"/>
              <w:spacing w:before="4"/>
              <w:jc w:val="left"/>
              <w:rPr>
                <w:b/>
                <w:sz w:val="21"/>
              </w:rPr>
            </w:pPr>
          </w:p>
          <w:p w:rsidR="007C5447" w:rsidRDefault="00F6308C">
            <w:pPr>
              <w:pStyle w:val="TableParagraph"/>
              <w:spacing w:line="224" w:lineRule="exact"/>
              <w:ind w:right="96"/>
              <w:rPr>
                <w:sz w:val="20"/>
              </w:rPr>
            </w:pPr>
            <w:r>
              <w:rPr>
                <w:w w:val="95"/>
                <w:sz w:val="20"/>
              </w:rPr>
              <w:t>38,043.54</w:t>
            </w:r>
          </w:p>
        </w:tc>
        <w:tc>
          <w:tcPr>
            <w:tcW w:w="1132" w:type="dxa"/>
          </w:tcPr>
          <w:p w:rsidR="007C5447" w:rsidRDefault="007C5447">
            <w:pPr>
              <w:pStyle w:val="TableParagraph"/>
              <w:spacing w:before="4"/>
              <w:jc w:val="left"/>
              <w:rPr>
                <w:b/>
                <w:sz w:val="21"/>
              </w:rPr>
            </w:pPr>
          </w:p>
          <w:p w:rsidR="007C5447" w:rsidRDefault="00F6308C">
            <w:pPr>
              <w:pStyle w:val="TableParagraph"/>
              <w:spacing w:line="224" w:lineRule="exact"/>
              <w:ind w:right="95"/>
              <w:rPr>
                <w:sz w:val="20"/>
              </w:rPr>
            </w:pPr>
            <w:r>
              <w:rPr>
                <w:w w:val="95"/>
                <w:sz w:val="20"/>
              </w:rPr>
              <w:t>40,179.52</w:t>
            </w:r>
          </w:p>
        </w:tc>
        <w:tc>
          <w:tcPr>
            <w:tcW w:w="1076" w:type="dxa"/>
          </w:tcPr>
          <w:p w:rsidR="007C5447" w:rsidRDefault="007C5447">
            <w:pPr>
              <w:pStyle w:val="TableParagraph"/>
              <w:spacing w:before="4"/>
              <w:jc w:val="left"/>
              <w:rPr>
                <w:b/>
                <w:sz w:val="21"/>
              </w:rPr>
            </w:pPr>
          </w:p>
          <w:p w:rsidR="007C5447" w:rsidRDefault="00F6308C">
            <w:pPr>
              <w:pStyle w:val="TableParagraph"/>
              <w:spacing w:line="224" w:lineRule="exact"/>
              <w:ind w:right="91"/>
              <w:rPr>
                <w:sz w:val="20"/>
              </w:rPr>
            </w:pPr>
            <w:r>
              <w:rPr>
                <w:w w:val="95"/>
                <w:sz w:val="20"/>
              </w:rPr>
              <w:t>43,703.72</w:t>
            </w:r>
          </w:p>
        </w:tc>
      </w:tr>
      <w:tr w:rsidR="007C5447">
        <w:trPr>
          <w:trHeight w:val="489"/>
        </w:trPr>
        <w:tc>
          <w:tcPr>
            <w:tcW w:w="518" w:type="dxa"/>
          </w:tcPr>
          <w:p w:rsidR="007C5447" w:rsidRDefault="00F6308C">
            <w:pPr>
              <w:pStyle w:val="TableParagraph"/>
              <w:spacing w:before="130"/>
              <w:ind w:left="4"/>
              <w:jc w:val="center"/>
              <w:rPr>
                <w:sz w:val="20"/>
              </w:rPr>
            </w:pPr>
            <w:r>
              <w:rPr>
                <w:w w:val="99"/>
                <w:sz w:val="20"/>
              </w:rPr>
              <w:t>2</w:t>
            </w:r>
          </w:p>
        </w:tc>
        <w:tc>
          <w:tcPr>
            <w:tcW w:w="3142" w:type="dxa"/>
          </w:tcPr>
          <w:p w:rsidR="007C5447" w:rsidRDefault="00F6308C">
            <w:pPr>
              <w:pStyle w:val="TableParagraph"/>
              <w:spacing w:before="130"/>
              <w:ind w:left="108"/>
              <w:jc w:val="left"/>
              <w:rPr>
                <w:sz w:val="20"/>
              </w:rPr>
            </w:pPr>
            <w:r>
              <w:rPr>
                <w:sz w:val="20"/>
              </w:rPr>
              <w:t>Operation &amp; Maintenance Expenses</w:t>
            </w:r>
          </w:p>
        </w:tc>
        <w:tc>
          <w:tcPr>
            <w:tcW w:w="1161" w:type="dxa"/>
          </w:tcPr>
          <w:p w:rsidR="007C5447" w:rsidRDefault="00F6308C">
            <w:pPr>
              <w:pStyle w:val="TableParagraph"/>
              <w:spacing w:before="130"/>
              <w:ind w:right="94"/>
              <w:rPr>
                <w:sz w:val="20"/>
              </w:rPr>
            </w:pPr>
            <w:r>
              <w:rPr>
                <w:w w:val="95"/>
                <w:sz w:val="20"/>
              </w:rPr>
              <w:t>5,234.90</w:t>
            </w:r>
          </w:p>
        </w:tc>
        <w:tc>
          <w:tcPr>
            <w:tcW w:w="1135" w:type="dxa"/>
          </w:tcPr>
          <w:p w:rsidR="007C5447" w:rsidRDefault="00F6308C">
            <w:pPr>
              <w:pStyle w:val="TableParagraph"/>
              <w:spacing w:before="130"/>
              <w:ind w:right="96"/>
              <w:rPr>
                <w:sz w:val="20"/>
              </w:rPr>
            </w:pPr>
            <w:r>
              <w:rPr>
                <w:w w:val="95"/>
                <w:sz w:val="20"/>
              </w:rPr>
              <w:t>5,534.33</w:t>
            </w:r>
          </w:p>
        </w:tc>
        <w:tc>
          <w:tcPr>
            <w:tcW w:w="1132" w:type="dxa"/>
          </w:tcPr>
          <w:p w:rsidR="007C5447" w:rsidRDefault="00F6308C">
            <w:pPr>
              <w:pStyle w:val="TableParagraph"/>
              <w:spacing w:before="130"/>
              <w:ind w:right="93"/>
              <w:rPr>
                <w:sz w:val="20"/>
              </w:rPr>
            </w:pPr>
            <w:r>
              <w:rPr>
                <w:w w:val="95"/>
                <w:sz w:val="20"/>
              </w:rPr>
              <w:t>5,850.89</w:t>
            </w:r>
          </w:p>
        </w:tc>
        <w:tc>
          <w:tcPr>
            <w:tcW w:w="1134" w:type="dxa"/>
          </w:tcPr>
          <w:p w:rsidR="007C5447" w:rsidRDefault="007C5447">
            <w:pPr>
              <w:pStyle w:val="TableParagraph"/>
              <w:spacing w:before="3"/>
              <w:jc w:val="left"/>
              <w:rPr>
                <w:b/>
                <w:sz w:val="21"/>
              </w:rPr>
            </w:pPr>
          </w:p>
          <w:p w:rsidR="007C5447" w:rsidRDefault="00F6308C">
            <w:pPr>
              <w:pStyle w:val="TableParagraph"/>
              <w:spacing w:line="224" w:lineRule="exact"/>
              <w:ind w:right="96"/>
              <w:rPr>
                <w:sz w:val="20"/>
              </w:rPr>
            </w:pPr>
            <w:r>
              <w:rPr>
                <w:w w:val="95"/>
                <w:sz w:val="20"/>
              </w:rPr>
              <w:t>4,989.42</w:t>
            </w:r>
          </w:p>
        </w:tc>
        <w:tc>
          <w:tcPr>
            <w:tcW w:w="1132" w:type="dxa"/>
          </w:tcPr>
          <w:p w:rsidR="007C5447" w:rsidRDefault="007C5447">
            <w:pPr>
              <w:pStyle w:val="TableParagraph"/>
              <w:spacing w:before="3"/>
              <w:jc w:val="left"/>
              <w:rPr>
                <w:b/>
                <w:sz w:val="21"/>
              </w:rPr>
            </w:pPr>
          </w:p>
          <w:p w:rsidR="007C5447" w:rsidRDefault="00F6308C">
            <w:pPr>
              <w:pStyle w:val="TableParagraph"/>
              <w:spacing w:line="224" w:lineRule="exact"/>
              <w:ind w:right="95"/>
              <w:rPr>
                <w:sz w:val="20"/>
              </w:rPr>
            </w:pPr>
            <w:r>
              <w:rPr>
                <w:w w:val="95"/>
                <w:sz w:val="20"/>
              </w:rPr>
              <w:t>5,393.95</w:t>
            </w:r>
          </w:p>
        </w:tc>
        <w:tc>
          <w:tcPr>
            <w:tcW w:w="1076" w:type="dxa"/>
          </w:tcPr>
          <w:p w:rsidR="007C5447" w:rsidRDefault="007C5447">
            <w:pPr>
              <w:pStyle w:val="TableParagraph"/>
              <w:spacing w:before="3"/>
              <w:jc w:val="left"/>
              <w:rPr>
                <w:b/>
                <w:sz w:val="21"/>
              </w:rPr>
            </w:pPr>
          </w:p>
          <w:p w:rsidR="007C5447" w:rsidRDefault="00F6308C">
            <w:pPr>
              <w:pStyle w:val="TableParagraph"/>
              <w:spacing w:line="224" w:lineRule="exact"/>
              <w:ind w:right="91"/>
              <w:rPr>
                <w:sz w:val="20"/>
              </w:rPr>
            </w:pPr>
            <w:r>
              <w:rPr>
                <w:w w:val="95"/>
                <w:sz w:val="20"/>
              </w:rPr>
              <w:t>5,817.64</w:t>
            </w:r>
          </w:p>
        </w:tc>
      </w:tr>
      <w:tr w:rsidR="007C5447">
        <w:trPr>
          <w:trHeight w:val="491"/>
        </w:trPr>
        <w:tc>
          <w:tcPr>
            <w:tcW w:w="518" w:type="dxa"/>
          </w:tcPr>
          <w:p w:rsidR="007C5447" w:rsidRDefault="00F6308C">
            <w:pPr>
              <w:pStyle w:val="TableParagraph"/>
              <w:spacing w:before="130"/>
              <w:ind w:left="4"/>
              <w:jc w:val="center"/>
              <w:rPr>
                <w:sz w:val="20"/>
              </w:rPr>
            </w:pPr>
            <w:r>
              <w:rPr>
                <w:w w:val="99"/>
                <w:sz w:val="20"/>
              </w:rPr>
              <w:t>3</w:t>
            </w:r>
          </w:p>
        </w:tc>
        <w:tc>
          <w:tcPr>
            <w:tcW w:w="3142" w:type="dxa"/>
          </w:tcPr>
          <w:p w:rsidR="007C5447" w:rsidRDefault="00F6308C">
            <w:pPr>
              <w:pStyle w:val="TableParagraph"/>
              <w:spacing w:before="130"/>
              <w:ind w:left="108"/>
              <w:jc w:val="left"/>
              <w:rPr>
                <w:sz w:val="20"/>
              </w:rPr>
            </w:pPr>
            <w:r>
              <w:rPr>
                <w:sz w:val="20"/>
              </w:rPr>
              <w:t>Depreciation</w:t>
            </w:r>
          </w:p>
        </w:tc>
        <w:tc>
          <w:tcPr>
            <w:tcW w:w="1161" w:type="dxa"/>
          </w:tcPr>
          <w:p w:rsidR="007C5447" w:rsidRDefault="00F6308C">
            <w:pPr>
              <w:pStyle w:val="TableParagraph"/>
              <w:spacing w:before="130"/>
              <w:ind w:right="96"/>
              <w:rPr>
                <w:sz w:val="20"/>
              </w:rPr>
            </w:pPr>
            <w:r>
              <w:rPr>
                <w:w w:val="95"/>
                <w:sz w:val="20"/>
              </w:rPr>
              <w:t>203.77</w:t>
            </w:r>
          </w:p>
        </w:tc>
        <w:tc>
          <w:tcPr>
            <w:tcW w:w="1135" w:type="dxa"/>
          </w:tcPr>
          <w:p w:rsidR="007C5447" w:rsidRDefault="00F6308C">
            <w:pPr>
              <w:pStyle w:val="TableParagraph"/>
              <w:spacing w:before="130"/>
              <w:ind w:right="98"/>
              <w:rPr>
                <w:sz w:val="20"/>
              </w:rPr>
            </w:pPr>
            <w:r>
              <w:rPr>
                <w:w w:val="95"/>
                <w:sz w:val="20"/>
              </w:rPr>
              <w:t>483.53</w:t>
            </w:r>
          </w:p>
        </w:tc>
        <w:tc>
          <w:tcPr>
            <w:tcW w:w="1132" w:type="dxa"/>
          </w:tcPr>
          <w:p w:rsidR="007C5447" w:rsidRDefault="00F6308C">
            <w:pPr>
              <w:pStyle w:val="TableParagraph"/>
              <w:spacing w:before="130"/>
              <w:ind w:right="95"/>
              <w:rPr>
                <w:sz w:val="20"/>
              </w:rPr>
            </w:pPr>
            <w:r>
              <w:rPr>
                <w:w w:val="95"/>
                <w:sz w:val="20"/>
              </w:rPr>
              <w:t>645.79</w:t>
            </w:r>
          </w:p>
        </w:tc>
        <w:tc>
          <w:tcPr>
            <w:tcW w:w="1134" w:type="dxa"/>
          </w:tcPr>
          <w:p w:rsidR="007C5447" w:rsidRDefault="007C5447">
            <w:pPr>
              <w:pStyle w:val="TableParagraph"/>
              <w:spacing w:before="3"/>
              <w:jc w:val="left"/>
              <w:rPr>
                <w:b/>
                <w:sz w:val="21"/>
              </w:rPr>
            </w:pPr>
          </w:p>
          <w:p w:rsidR="007C5447" w:rsidRDefault="00F6308C">
            <w:pPr>
              <w:pStyle w:val="TableParagraph"/>
              <w:spacing w:line="227" w:lineRule="exact"/>
              <w:ind w:right="96"/>
              <w:rPr>
                <w:sz w:val="20"/>
              </w:rPr>
            </w:pPr>
            <w:r>
              <w:rPr>
                <w:w w:val="95"/>
                <w:sz w:val="20"/>
              </w:rPr>
              <w:t>910.73</w:t>
            </w:r>
          </w:p>
        </w:tc>
        <w:tc>
          <w:tcPr>
            <w:tcW w:w="1132" w:type="dxa"/>
          </w:tcPr>
          <w:p w:rsidR="007C5447" w:rsidRDefault="007C5447">
            <w:pPr>
              <w:pStyle w:val="TableParagraph"/>
              <w:spacing w:before="3"/>
              <w:jc w:val="left"/>
              <w:rPr>
                <w:b/>
                <w:sz w:val="21"/>
              </w:rPr>
            </w:pPr>
          </w:p>
          <w:p w:rsidR="007C5447" w:rsidRDefault="00F6308C">
            <w:pPr>
              <w:pStyle w:val="TableParagraph"/>
              <w:spacing w:line="227" w:lineRule="exact"/>
              <w:ind w:right="95"/>
              <w:rPr>
                <w:sz w:val="20"/>
              </w:rPr>
            </w:pPr>
            <w:r>
              <w:rPr>
                <w:w w:val="95"/>
                <w:sz w:val="20"/>
              </w:rPr>
              <w:t>1,172.58</w:t>
            </w:r>
          </w:p>
        </w:tc>
        <w:tc>
          <w:tcPr>
            <w:tcW w:w="1076" w:type="dxa"/>
          </w:tcPr>
          <w:p w:rsidR="007C5447" w:rsidRDefault="007C5447">
            <w:pPr>
              <w:pStyle w:val="TableParagraph"/>
              <w:spacing w:before="3"/>
              <w:jc w:val="left"/>
              <w:rPr>
                <w:b/>
                <w:sz w:val="21"/>
              </w:rPr>
            </w:pPr>
          </w:p>
          <w:p w:rsidR="007C5447" w:rsidRDefault="00F6308C">
            <w:pPr>
              <w:pStyle w:val="TableParagraph"/>
              <w:spacing w:line="227" w:lineRule="exact"/>
              <w:ind w:right="91"/>
              <w:rPr>
                <w:sz w:val="20"/>
              </w:rPr>
            </w:pPr>
            <w:r>
              <w:rPr>
                <w:w w:val="95"/>
                <w:sz w:val="20"/>
              </w:rPr>
              <w:t>1,325.41</w:t>
            </w:r>
          </w:p>
        </w:tc>
      </w:tr>
      <w:tr w:rsidR="007C5447">
        <w:trPr>
          <w:trHeight w:val="489"/>
        </w:trPr>
        <w:tc>
          <w:tcPr>
            <w:tcW w:w="518" w:type="dxa"/>
          </w:tcPr>
          <w:p w:rsidR="007C5447" w:rsidRDefault="00F6308C">
            <w:pPr>
              <w:pStyle w:val="TableParagraph"/>
              <w:spacing w:before="130"/>
              <w:ind w:left="4"/>
              <w:jc w:val="center"/>
              <w:rPr>
                <w:sz w:val="20"/>
              </w:rPr>
            </w:pPr>
            <w:r>
              <w:rPr>
                <w:w w:val="99"/>
                <w:sz w:val="20"/>
              </w:rPr>
              <w:t>4</w:t>
            </w:r>
          </w:p>
        </w:tc>
        <w:tc>
          <w:tcPr>
            <w:tcW w:w="3142" w:type="dxa"/>
          </w:tcPr>
          <w:p w:rsidR="007C5447" w:rsidRDefault="00F6308C">
            <w:pPr>
              <w:pStyle w:val="TableParagraph"/>
              <w:spacing w:before="130"/>
              <w:ind w:left="108"/>
              <w:jc w:val="left"/>
              <w:rPr>
                <w:sz w:val="20"/>
              </w:rPr>
            </w:pPr>
            <w:r>
              <w:rPr>
                <w:sz w:val="20"/>
              </w:rPr>
              <w:t>Interest and Finance Charges</w:t>
            </w:r>
          </w:p>
        </w:tc>
        <w:tc>
          <w:tcPr>
            <w:tcW w:w="1161" w:type="dxa"/>
          </w:tcPr>
          <w:p w:rsidR="007C5447" w:rsidRDefault="00F6308C">
            <w:pPr>
              <w:pStyle w:val="TableParagraph"/>
              <w:spacing w:before="130"/>
              <w:ind w:right="94"/>
              <w:rPr>
                <w:sz w:val="20"/>
              </w:rPr>
            </w:pPr>
            <w:r>
              <w:rPr>
                <w:w w:val="95"/>
                <w:sz w:val="20"/>
              </w:rPr>
              <w:t>2,945.14</w:t>
            </w:r>
          </w:p>
        </w:tc>
        <w:tc>
          <w:tcPr>
            <w:tcW w:w="1135" w:type="dxa"/>
          </w:tcPr>
          <w:p w:rsidR="007C5447" w:rsidRDefault="00F6308C">
            <w:pPr>
              <w:pStyle w:val="TableParagraph"/>
              <w:spacing w:before="130"/>
              <w:ind w:right="96"/>
              <w:rPr>
                <w:sz w:val="20"/>
              </w:rPr>
            </w:pPr>
            <w:r>
              <w:rPr>
                <w:w w:val="95"/>
                <w:sz w:val="20"/>
              </w:rPr>
              <w:t>2,440.64</w:t>
            </w:r>
          </w:p>
        </w:tc>
        <w:tc>
          <w:tcPr>
            <w:tcW w:w="1132" w:type="dxa"/>
          </w:tcPr>
          <w:p w:rsidR="007C5447" w:rsidRDefault="00F6308C">
            <w:pPr>
              <w:pStyle w:val="TableParagraph"/>
              <w:spacing w:before="130"/>
              <w:ind w:right="93"/>
              <w:rPr>
                <w:sz w:val="20"/>
              </w:rPr>
            </w:pPr>
            <w:r>
              <w:rPr>
                <w:w w:val="95"/>
                <w:sz w:val="20"/>
              </w:rPr>
              <w:t>2,994.85</w:t>
            </w:r>
          </w:p>
        </w:tc>
        <w:tc>
          <w:tcPr>
            <w:tcW w:w="1134" w:type="dxa"/>
          </w:tcPr>
          <w:p w:rsidR="007C5447" w:rsidRDefault="007C5447">
            <w:pPr>
              <w:pStyle w:val="TableParagraph"/>
              <w:spacing w:before="3"/>
              <w:jc w:val="left"/>
              <w:rPr>
                <w:b/>
                <w:sz w:val="21"/>
              </w:rPr>
            </w:pPr>
          </w:p>
          <w:p w:rsidR="007C5447" w:rsidRDefault="00F6308C">
            <w:pPr>
              <w:pStyle w:val="TableParagraph"/>
              <w:spacing w:line="224" w:lineRule="exact"/>
              <w:ind w:right="96"/>
              <w:rPr>
                <w:sz w:val="20"/>
              </w:rPr>
            </w:pPr>
            <w:r>
              <w:rPr>
                <w:w w:val="95"/>
                <w:sz w:val="20"/>
              </w:rPr>
              <w:t>1,524.32</w:t>
            </w:r>
          </w:p>
        </w:tc>
        <w:tc>
          <w:tcPr>
            <w:tcW w:w="1132" w:type="dxa"/>
          </w:tcPr>
          <w:p w:rsidR="007C5447" w:rsidRDefault="007C5447">
            <w:pPr>
              <w:pStyle w:val="TableParagraph"/>
              <w:spacing w:before="3"/>
              <w:jc w:val="left"/>
              <w:rPr>
                <w:b/>
                <w:sz w:val="21"/>
              </w:rPr>
            </w:pPr>
          </w:p>
          <w:p w:rsidR="007C5447" w:rsidRDefault="00F6308C">
            <w:pPr>
              <w:pStyle w:val="TableParagraph"/>
              <w:spacing w:line="224" w:lineRule="exact"/>
              <w:ind w:right="95"/>
              <w:rPr>
                <w:sz w:val="20"/>
              </w:rPr>
            </w:pPr>
            <w:r>
              <w:rPr>
                <w:w w:val="95"/>
                <w:sz w:val="20"/>
              </w:rPr>
              <w:t>1,729.92</w:t>
            </w:r>
          </w:p>
        </w:tc>
        <w:tc>
          <w:tcPr>
            <w:tcW w:w="1076" w:type="dxa"/>
          </w:tcPr>
          <w:p w:rsidR="007C5447" w:rsidRDefault="007C5447">
            <w:pPr>
              <w:pStyle w:val="TableParagraph"/>
              <w:spacing w:before="3"/>
              <w:jc w:val="left"/>
              <w:rPr>
                <w:b/>
                <w:sz w:val="21"/>
              </w:rPr>
            </w:pPr>
          </w:p>
          <w:p w:rsidR="007C5447" w:rsidRDefault="00F6308C">
            <w:pPr>
              <w:pStyle w:val="TableParagraph"/>
              <w:spacing w:line="224" w:lineRule="exact"/>
              <w:ind w:right="91"/>
              <w:rPr>
                <w:sz w:val="20"/>
              </w:rPr>
            </w:pPr>
            <w:r>
              <w:rPr>
                <w:w w:val="95"/>
                <w:sz w:val="20"/>
              </w:rPr>
              <w:t>1,741.92</w:t>
            </w:r>
          </w:p>
        </w:tc>
      </w:tr>
      <w:tr w:rsidR="007C5447">
        <w:trPr>
          <w:trHeight w:val="359"/>
        </w:trPr>
        <w:tc>
          <w:tcPr>
            <w:tcW w:w="518" w:type="dxa"/>
          </w:tcPr>
          <w:p w:rsidR="007C5447" w:rsidRDefault="00F6308C">
            <w:pPr>
              <w:pStyle w:val="TableParagraph"/>
              <w:spacing w:before="65"/>
              <w:ind w:left="4"/>
              <w:jc w:val="center"/>
              <w:rPr>
                <w:sz w:val="20"/>
              </w:rPr>
            </w:pPr>
            <w:r>
              <w:rPr>
                <w:w w:val="99"/>
                <w:sz w:val="20"/>
              </w:rPr>
              <w:t>5</w:t>
            </w:r>
          </w:p>
        </w:tc>
        <w:tc>
          <w:tcPr>
            <w:tcW w:w="3142" w:type="dxa"/>
          </w:tcPr>
          <w:p w:rsidR="007C5447" w:rsidRDefault="00F6308C">
            <w:pPr>
              <w:pStyle w:val="TableParagraph"/>
              <w:spacing w:before="65"/>
              <w:ind w:left="108"/>
              <w:jc w:val="left"/>
              <w:rPr>
                <w:sz w:val="20"/>
              </w:rPr>
            </w:pPr>
            <w:r>
              <w:rPr>
                <w:sz w:val="20"/>
              </w:rPr>
              <w:t>Interest on Working Capital</w:t>
            </w:r>
          </w:p>
        </w:tc>
        <w:tc>
          <w:tcPr>
            <w:tcW w:w="1161" w:type="dxa"/>
          </w:tcPr>
          <w:p w:rsidR="007C5447" w:rsidRDefault="00F6308C">
            <w:pPr>
              <w:pStyle w:val="TableParagraph"/>
              <w:spacing w:before="65"/>
              <w:ind w:right="96"/>
              <w:rPr>
                <w:sz w:val="20"/>
              </w:rPr>
            </w:pPr>
            <w:r>
              <w:rPr>
                <w:w w:val="95"/>
                <w:sz w:val="20"/>
              </w:rPr>
              <w:t>238.13</w:t>
            </w:r>
          </w:p>
        </w:tc>
        <w:tc>
          <w:tcPr>
            <w:tcW w:w="1135" w:type="dxa"/>
          </w:tcPr>
          <w:p w:rsidR="007C5447" w:rsidRDefault="00F6308C">
            <w:pPr>
              <w:pStyle w:val="TableParagraph"/>
              <w:spacing w:before="65"/>
              <w:ind w:right="98"/>
              <w:rPr>
                <w:sz w:val="20"/>
              </w:rPr>
            </w:pPr>
            <w:r>
              <w:rPr>
                <w:w w:val="95"/>
                <w:sz w:val="20"/>
              </w:rPr>
              <w:t>235.23</w:t>
            </w:r>
          </w:p>
        </w:tc>
        <w:tc>
          <w:tcPr>
            <w:tcW w:w="1132" w:type="dxa"/>
          </w:tcPr>
          <w:p w:rsidR="007C5447" w:rsidRDefault="00F6308C">
            <w:pPr>
              <w:pStyle w:val="TableParagraph"/>
              <w:spacing w:before="65"/>
              <w:ind w:right="95"/>
              <w:rPr>
                <w:sz w:val="20"/>
              </w:rPr>
            </w:pPr>
            <w:r>
              <w:rPr>
                <w:w w:val="95"/>
                <w:sz w:val="20"/>
              </w:rPr>
              <w:t>351.19</w:t>
            </w:r>
          </w:p>
        </w:tc>
        <w:tc>
          <w:tcPr>
            <w:tcW w:w="1134" w:type="dxa"/>
          </w:tcPr>
          <w:p w:rsidR="007C5447" w:rsidRDefault="00F6308C">
            <w:pPr>
              <w:pStyle w:val="TableParagraph"/>
              <w:spacing w:before="65"/>
              <w:ind w:right="92"/>
              <w:rPr>
                <w:sz w:val="20"/>
              </w:rPr>
            </w:pPr>
            <w:r>
              <w:rPr>
                <w:w w:val="99"/>
                <w:sz w:val="20"/>
              </w:rPr>
              <w:t>-</w:t>
            </w:r>
          </w:p>
        </w:tc>
        <w:tc>
          <w:tcPr>
            <w:tcW w:w="1132" w:type="dxa"/>
          </w:tcPr>
          <w:p w:rsidR="007C5447" w:rsidRDefault="007C5447">
            <w:pPr>
              <w:pStyle w:val="TableParagraph"/>
              <w:jc w:val="left"/>
              <w:rPr>
                <w:sz w:val="20"/>
              </w:rPr>
            </w:pPr>
          </w:p>
        </w:tc>
        <w:tc>
          <w:tcPr>
            <w:tcW w:w="1076" w:type="dxa"/>
          </w:tcPr>
          <w:p w:rsidR="007C5447" w:rsidRDefault="00F6308C">
            <w:pPr>
              <w:pStyle w:val="TableParagraph"/>
              <w:spacing w:before="65"/>
              <w:ind w:right="87"/>
              <w:rPr>
                <w:sz w:val="20"/>
              </w:rPr>
            </w:pPr>
            <w:r>
              <w:rPr>
                <w:w w:val="99"/>
                <w:sz w:val="20"/>
              </w:rPr>
              <w:t>-</w:t>
            </w:r>
          </w:p>
        </w:tc>
      </w:tr>
      <w:tr w:rsidR="007C5447">
        <w:trPr>
          <w:trHeight w:val="359"/>
        </w:trPr>
        <w:tc>
          <w:tcPr>
            <w:tcW w:w="518" w:type="dxa"/>
          </w:tcPr>
          <w:p w:rsidR="007C5447" w:rsidRDefault="00F6308C">
            <w:pPr>
              <w:pStyle w:val="TableParagraph"/>
              <w:spacing w:before="65"/>
              <w:ind w:left="4"/>
              <w:jc w:val="center"/>
              <w:rPr>
                <w:sz w:val="20"/>
              </w:rPr>
            </w:pPr>
            <w:r>
              <w:rPr>
                <w:w w:val="99"/>
                <w:sz w:val="20"/>
              </w:rPr>
              <w:t>6</w:t>
            </w:r>
          </w:p>
        </w:tc>
        <w:tc>
          <w:tcPr>
            <w:tcW w:w="3142" w:type="dxa"/>
          </w:tcPr>
          <w:p w:rsidR="007C5447" w:rsidRDefault="00F6308C">
            <w:pPr>
              <w:pStyle w:val="TableParagraph"/>
              <w:spacing w:before="65"/>
              <w:ind w:left="108"/>
              <w:jc w:val="left"/>
              <w:rPr>
                <w:sz w:val="20"/>
              </w:rPr>
            </w:pPr>
            <w:r>
              <w:rPr>
                <w:sz w:val="20"/>
              </w:rPr>
              <w:t>Return on Equity</w:t>
            </w:r>
          </w:p>
        </w:tc>
        <w:tc>
          <w:tcPr>
            <w:tcW w:w="1161" w:type="dxa"/>
          </w:tcPr>
          <w:p w:rsidR="007C5447" w:rsidRDefault="00F6308C">
            <w:pPr>
              <w:pStyle w:val="TableParagraph"/>
              <w:spacing w:before="65"/>
              <w:ind w:right="96"/>
              <w:rPr>
                <w:sz w:val="20"/>
              </w:rPr>
            </w:pPr>
            <w:r>
              <w:rPr>
                <w:w w:val="95"/>
                <w:sz w:val="20"/>
              </w:rPr>
              <w:t>582.32</w:t>
            </w:r>
          </w:p>
        </w:tc>
        <w:tc>
          <w:tcPr>
            <w:tcW w:w="1135" w:type="dxa"/>
          </w:tcPr>
          <w:p w:rsidR="007C5447" w:rsidRDefault="00F6308C">
            <w:pPr>
              <w:pStyle w:val="TableParagraph"/>
              <w:spacing w:before="65"/>
              <w:ind w:right="98"/>
              <w:rPr>
                <w:sz w:val="20"/>
              </w:rPr>
            </w:pPr>
            <w:r>
              <w:rPr>
                <w:w w:val="95"/>
                <w:sz w:val="20"/>
              </w:rPr>
              <w:t>609.62</w:t>
            </w:r>
          </w:p>
        </w:tc>
        <w:tc>
          <w:tcPr>
            <w:tcW w:w="1132" w:type="dxa"/>
          </w:tcPr>
          <w:p w:rsidR="007C5447" w:rsidRDefault="00F6308C">
            <w:pPr>
              <w:pStyle w:val="TableParagraph"/>
              <w:spacing w:before="65"/>
              <w:ind w:right="95"/>
              <w:rPr>
                <w:sz w:val="20"/>
              </w:rPr>
            </w:pPr>
            <w:r>
              <w:rPr>
                <w:w w:val="95"/>
                <w:sz w:val="20"/>
              </w:rPr>
              <w:t>609.62</w:t>
            </w:r>
          </w:p>
        </w:tc>
        <w:tc>
          <w:tcPr>
            <w:tcW w:w="1134" w:type="dxa"/>
          </w:tcPr>
          <w:p w:rsidR="007C5447" w:rsidRDefault="00F6308C">
            <w:pPr>
              <w:pStyle w:val="TableParagraph"/>
              <w:spacing w:before="65"/>
              <w:ind w:right="92"/>
              <w:rPr>
                <w:sz w:val="20"/>
              </w:rPr>
            </w:pPr>
            <w:r>
              <w:rPr>
                <w:w w:val="99"/>
                <w:sz w:val="20"/>
              </w:rPr>
              <w:t>-</w:t>
            </w:r>
          </w:p>
        </w:tc>
        <w:tc>
          <w:tcPr>
            <w:tcW w:w="1132" w:type="dxa"/>
          </w:tcPr>
          <w:p w:rsidR="007C5447" w:rsidRDefault="00F6308C">
            <w:pPr>
              <w:pStyle w:val="TableParagraph"/>
              <w:spacing w:before="65"/>
              <w:ind w:right="91"/>
              <w:rPr>
                <w:sz w:val="20"/>
              </w:rPr>
            </w:pPr>
            <w:r>
              <w:rPr>
                <w:w w:val="99"/>
                <w:sz w:val="20"/>
              </w:rPr>
              <w:t>-</w:t>
            </w:r>
          </w:p>
        </w:tc>
        <w:tc>
          <w:tcPr>
            <w:tcW w:w="1076" w:type="dxa"/>
          </w:tcPr>
          <w:p w:rsidR="007C5447" w:rsidRDefault="00F6308C">
            <w:pPr>
              <w:pStyle w:val="TableParagraph"/>
              <w:spacing w:before="65"/>
              <w:ind w:right="87"/>
              <w:rPr>
                <w:sz w:val="20"/>
              </w:rPr>
            </w:pPr>
            <w:r>
              <w:rPr>
                <w:w w:val="99"/>
                <w:sz w:val="20"/>
              </w:rPr>
              <w:t>-</w:t>
            </w:r>
          </w:p>
        </w:tc>
      </w:tr>
      <w:tr w:rsidR="007C5447">
        <w:trPr>
          <w:trHeight w:val="359"/>
        </w:trPr>
        <w:tc>
          <w:tcPr>
            <w:tcW w:w="518" w:type="dxa"/>
          </w:tcPr>
          <w:p w:rsidR="007C5447" w:rsidRDefault="00F6308C">
            <w:pPr>
              <w:pStyle w:val="TableParagraph"/>
              <w:spacing w:before="65"/>
              <w:ind w:left="4"/>
              <w:jc w:val="center"/>
              <w:rPr>
                <w:sz w:val="20"/>
              </w:rPr>
            </w:pPr>
            <w:r>
              <w:rPr>
                <w:w w:val="99"/>
                <w:sz w:val="20"/>
              </w:rPr>
              <w:t>7</w:t>
            </w:r>
          </w:p>
        </w:tc>
        <w:tc>
          <w:tcPr>
            <w:tcW w:w="3142" w:type="dxa"/>
          </w:tcPr>
          <w:p w:rsidR="007C5447" w:rsidRDefault="00F6308C">
            <w:pPr>
              <w:pStyle w:val="TableParagraph"/>
              <w:spacing w:before="65"/>
              <w:ind w:left="108"/>
              <w:jc w:val="left"/>
              <w:rPr>
                <w:sz w:val="20"/>
              </w:rPr>
            </w:pPr>
            <w:r>
              <w:rPr>
                <w:sz w:val="20"/>
              </w:rPr>
              <w:t>Other Debits</w:t>
            </w:r>
          </w:p>
        </w:tc>
        <w:tc>
          <w:tcPr>
            <w:tcW w:w="1161" w:type="dxa"/>
          </w:tcPr>
          <w:p w:rsidR="007C5447" w:rsidRDefault="00F6308C">
            <w:pPr>
              <w:pStyle w:val="TableParagraph"/>
              <w:spacing w:before="65"/>
              <w:ind w:right="96"/>
              <w:rPr>
                <w:sz w:val="20"/>
              </w:rPr>
            </w:pPr>
            <w:r>
              <w:rPr>
                <w:w w:val="95"/>
                <w:sz w:val="20"/>
              </w:rPr>
              <w:t>13.19</w:t>
            </w:r>
          </w:p>
        </w:tc>
        <w:tc>
          <w:tcPr>
            <w:tcW w:w="1135" w:type="dxa"/>
          </w:tcPr>
          <w:p w:rsidR="007C5447" w:rsidRDefault="00F6308C">
            <w:pPr>
              <w:pStyle w:val="TableParagraph"/>
              <w:spacing w:before="65"/>
              <w:ind w:right="98"/>
              <w:rPr>
                <w:sz w:val="20"/>
              </w:rPr>
            </w:pPr>
            <w:r>
              <w:rPr>
                <w:w w:val="95"/>
                <w:sz w:val="20"/>
              </w:rPr>
              <w:t>13.19</w:t>
            </w:r>
          </w:p>
        </w:tc>
        <w:tc>
          <w:tcPr>
            <w:tcW w:w="1132" w:type="dxa"/>
          </w:tcPr>
          <w:p w:rsidR="007C5447" w:rsidRDefault="00F6308C">
            <w:pPr>
              <w:pStyle w:val="TableParagraph"/>
              <w:spacing w:before="65"/>
              <w:ind w:right="95"/>
              <w:rPr>
                <w:sz w:val="20"/>
              </w:rPr>
            </w:pPr>
            <w:r>
              <w:rPr>
                <w:w w:val="95"/>
                <w:sz w:val="20"/>
              </w:rPr>
              <w:t>13.19</w:t>
            </w:r>
          </w:p>
        </w:tc>
        <w:tc>
          <w:tcPr>
            <w:tcW w:w="1134" w:type="dxa"/>
          </w:tcPr>
          <w:p w:rsidR="007C5447" w:rsidRDefault="00F6308C">
            <w:pPr>
              <w:pStyle w:val="TableParagraph"/>
              <w:spacing w:before="65"/>
              <w:ind w:right="92"/>
              <w:rPr>
                <w:sz w:val="20"/>
              </w:rPr>
            </w:pPr>
            <w:r>
              <w:rPr>
                <w:w w:val="99"/>
                <w:sz w:val="20"/>
              </w:rPr>
              <w:t>-</w:t>
            </w:r>
          </w:p>
        </w:tc>
        <w:tc>
          <w:tcPr>
            <w:tcW w:w="1132" w:type="dxa"/>
          </w:tcPr>
          <w:p w:rsidR="007C5447" w:rsidRDefault="00F6308C">
            <w:pPr>
              <w:pStyle w:val="TableParagraph"/>
              <w:spacing w:before="65"/>
              <w:ind w:right="91"/>
              <w:rPr>
                <w:sz w:val="20"/>
              </w:rPr>
            </w:pPr>
            <w:r>
              <w:rPr>
                <w:w w:val="99"/>
                <w:sz w:val="20"/>
              </w:rPr>
              <w:t>-</w:t>
            </w:r>
          </w:p>
        </w:tc>
        <w:tc>
          <w:tcPr>
            <w:tcW w:w="1076" w:type="dxa"/>
          </w:tcPr>
          <w:p w:rsidR="007C5447" w:rsidRDefault="00F6308C">
            <w:pPr>
              <w:pStyle w:val="TableParagraph"/>
              <w:spacing w:before="65"/>
              <w:ind w:right="87"/>
              <w:rPr>
                <w:sz w:val="20"/>
              </w:rPr>
            </w:pPr>
            <w:r>
              <w:rPr>
                <w:w w:val="99"/>
                <w:sz w:val="20"/>
              </w:rPr>
              <w:t>-</w:t>
            </w:r>
          </w:p>
        </w:tc>
      </w:tr>
      <w:tr w:rsidR="007C5447">
        <w:trPr>
          <w:trHeight w:val="362"/>
        </w:trPr>
        <w:tc>
          <w:tcPr>
            <w:tcW w:w="518" w:type="dxa"/>
          </w:tcPr>
          <w:p w:rsidR="007C5447" w:rsidRDefault="00F6308C">
            <w:pPr>
              <w:pStyle w:val="TableParagraph"/>
              <w:spacing w:before="65"/>
              <w:ind w:left="4"/>
              <w:jc w:val="center"/>
              <w:rPr>
                <w:sz w:val="20"/>
              </w:rPr>
            </w:pPr>
            <w:r>
              <w:rPr>
                <w:w w:val="99"/>
                <w:sz w:val="20"/>
              </w:rPr>
              <w:t>8</w:t>
            </w:r>
          </w:p>
        </w:tc>
        <w:tc>
          <w:tcPr>
            <w:tcW w:w="3142" w:type="dxa"/>
          </w:tcPr>
          <w:p w:rsidR="007C5447" w:rsidRDefault="00F6308C">
            <w:pPr>
              <w:pStyle w:val="TableParagraph"/>
              <w:spacing w:before="65"/>
              <w:ind w:left="108"/>
              <w:jc w:val="left"/>
              <w:rPr>
                <w:sz w:val="20"/>
              </w:rPr>
            </w:pPr>
            <w:r>
              <w:rPr>
                <w:sz w:val="20"/>
              </w:rPr>
              <w:t>Other Interest and Finance Charges</w:t>
            </w:r>
          </w:p>
        </w:tc>
        <w:tc>
          <w:tcPr>
            <w:tcW w:w="1161" w:type="dxa"/>
          </w:tcPr>
          <w:p w:rsidR="007C5447" w:rsidRDefault="00F6308C">
            <w:pPr>
              <w:pStyle w:val="TableParagraph"/>
              <w:spacing w:before="65"/>
              <w:ind w:right="96"/>
              <w:rPr>
                <w:sz w:val="20"/>
              </w:rPr>
            </w:pPr>
            <w:r>
              <w:rPr>
                <w:w w:val="95"/>
                <w:sz w:val="20"/>
              </w:rPr>
              <w:t>862.05</w:t>
            </w:r>
          </w:p>
        </w:tc>
        <w:tc>
          <w:tcPr>
            <w:tcW w:w="1135" w:type="dxa"/>
          </w:tcPr>
          <w:p w:rsidR="007C5447" w:rsidRDefault="00F6308C">
            <w:pPr>
              <w:pStyle w:val="TableParagraph"/>
              <w:spacing w:before="65"/>
              <w:ind w:right="98"/>
              <w:rPr>
                <w:sz w:val="20"/>
              </w:rPr>
            </w:pPr>
            <w:r>
              <w:rPr>
                <w:w w:val="95"/>
                <w:sz w:val="20"/>
              </w:rPr>
              <w:t>905.10</w:t>
            </w:r>
          </w:p>
        </w:tc>
        <w:tc>
          <w:tcPr>
            <w:tcW w:w="1132" w:type="dxa"/>
          </w:tcPr>
          <w:p w:rsidR="007C5447" w:rsidRDefault="00F6308C">
            <w:pPr>
              <w:pStyle w:val="TableParagraph"/>
              <w:spacing w:before="65"/>
              <w:ind w:right="95"/>
              <w:rPr>
                <w:sz w:val="20"/>
              </w:rPr>
            </w:pPr>
            <w:r>
              <w:rPr>
                <w:w w:val="95"/>
                <w:sz w:val="20"/>
              </w:rPr>
              <w:t>950.30</w:t>
            </w:r>
          </w:p>
        </w:tc>
        <w:tc>
          <w:tcPr>
            <w:tcW w:w="1134" w:type="dxa"/>
          </w:tcPr>
          <w:p w:rsidR="007C5447" w:rsidRDefault="00F6308C">
            <w:pPr>
              <w:pStyle w:val="TableParagraph"/>
              <w:spacing w:before="65"/>
              <w:ind w:right="96"/>
              <w:rPr>
                <w:sz w:val="20"/>
              </w:rPr>
            </w:pPr>
            <w:r>
              <w:rPr>
                <w:w w:val="95"/>
                <w:sz w:val="20"/>
              </w:rPr>
              <w:t>776.76</w:t>
            </w:r>
          </w:p>
        </w:tc>
        <w:tc>
          <w:tcPr>
            <w:tcW w:w="1132" w:type="dxa"/>
          </w:tcPr>
          <w:p w:rsidR="007C5447" w:rsidRDefault="00F6308C">
            <w:pPr>
              <w:pStyle w:val="TableParagraph"/>
              <w:spacing w:before="65"/>
              <w:ind w:right="95"/>
              <w:rPr>
                <w:sz w:val="20"/>
              </w:rPr>
            </w:pPr>
            <w:r>
              <w:rPr>
                <w:w w:val="95"/>
                <w:sz w:val="20"/>
              </w:rPr>
              <w:t>825.52</w:t>
            </w:r>
          </w:p>
        </w:tc>
        <w:tc>
          <w:tcPr>
            <w:tcW w:w="1076" w:type="dxa"/>
          </w:tcPr>
          <w:p w:rsidR="007C5447" w:rsidRDefault="00F6308C">
            <w:pPr>
              <w:pStyle w:val="TableParagraph"/>
              <w:spacing w:before="65"/>
              <w:ind w:right="91"/>
              <w:rPr>
                <w:sz w:val="20"/>
              </w:rPr>
            </w:pPr>
            <w:r>
              <w:rPr>
                <w:w w:val="95"/>
                <w:sz w:val="20"/>
              </w:rPr>
              <w:t>881.57</w:t>
            </w:r>
          </w:p>
        </w:tc>
      </w:tr>
      <w:tr w:rsidR="007C5447">
        <w:trPr>
          <w:trHeight w:val="489"/>
        </w:trPr>
        <w:tc>
          <w:tcPr>
            <w:tcW w:w="518" w:type="dxa"/>
            <w:shd w:val="clear" w:color="auto" w:fill="A6A6A6"/>
          </w:tcPr>
          <w:p w:rsidR="007C5447" w:rsidRDefault="00F6308C">
            <w:pPr>
              <w:pStyle w:val="TableParagraph"/>
              <w:spacing w:before="130"/>
              <w:ind w:left="4"/>
              <w:jc w:val="center"/>
              <w:rPr>
                <w:b/>
                <w:sz w:val="20"/>
              </w:rPr>
            </w:pPr>
            <w:r>
              <w:rPr>
                <w:b/>
                <w:w w:val="99"/>
                <w:sz w:val="20"/>
              </w:rPr>
              <w:t>9</w:t>
            </w:r>
          </w:p>
        </w:tc>
        <w:tc>
          <w:tcPr>
            <w:tcW w:w="3142" w:type="dxa"/>
            <w:shd w:val="clear" w:color="auto" w:fill="BEBEBE"/>
          </w:tcPr>
          <w:p w:rsidR="007C5447" w:rsidRDefault="00F6308C">
            <w:pPr>
              <w:pStyle w:val="TableParagraph"/>
              <w:spacing w:before="15" w:line="230" w:lineRule="atLeast"/>
              <w:ind w:left="108" w:right="793"/>
              <w:jc w:val="left"/>
              <w:rPr>
                <w:b/>
                <w:sz w:val="20"/>
              </w:rPr>
            </w:pPr>
            <w:r>
              <w:rPr>
                <w:b/>
                <w:sz w:val="20"/>
              </w:rPr>
              <w:t>Gross Aggregate Revenue Requirement</w:t>
            </w:r>
          </w:p>
        </w:tc>
        <w:tc>
          <w:tcPr>
            <w:tcW w:w="1161" w:type="dxa"/>
            <w:shd w:val="clear" w:color="auto" w:fill="BEBEBE"/>
          </w:tcPr>
          <w:p w:rsidR="007C5447" w:rsidRDefault="00F6308C">
            <w:pPr>
              <w:pStyle w:val="TableParagraph"/>
              <w:spacing w:before="130"/>
              <w:ind w:right="97"/>
              <w:rPr>
                <w:b/>
                <w:sz w:val="20"/>
              </w:rPr>
            </w:pPr>
            <w:r>
              <w:rPr>
                <w:b/>
                <w:w w:val="95"/>
                <w:sz w:val="20"/>
              </w:rPr>
              <w:t>52,682.45</w:t>
            </w:r>
          </w:p>
        </w:tc>
        <w:tc>
          <w:tcPr>
            <w:tcW w:w="1135" w:type="dxa"/>
            <w:shd w:val="clear" w:color="auto" w:fill="BEBEBE"/>
          </w:tcPr>
          <w:p w:rsidR="007C5447" w:rsidRDefault="00F6308C">
            <w:pPr>
              <w:pStyle w:val="TableParagraph"/>
              <w:spacing w:before="130"/>
              <w:ind w:right="99"/>
              <w:rPr>
                <w:b/>
                <w:sz w:val="20"/>
              </w:rPr>
            </w:pPr>
            <w:r>
              <w:rPr>
                <w:b/>
                <w:w w:val="95"/>
                <w:sz w:val="20"/>
              </w:rPr>
              <w:t>53,817.27</w:t>
            </w:r>
          </w:p>
        </w:tc>
        <w:tc>
          <w:tcPr>
            <w:tcW w:w="1132" w:type="dxa"/>
            <w:shd w:val="clear" w:color="auto" w:fill="BEBEBE"/>
          </w:tcPr>
          <w:p w:rsidR="007C5447" w:rsidRDefault="00F6308C">
            <w:pPr>
              <w:pStyle w:val="TableParagraph"/>
              <w:spacing w:before="130"/>
              <w:ind w:right="95"/>
              <w:rPr>
                <w:b/>
                <w:sz w:val="20"/>
              </w:rPr>
            </w:pPr>
            <w:r>
              <w:rPr>
                <w:b/>
                <w:w w:val="95"/>
                <w:sz w:val="20"/>
              </w:rPr>
              <w:t>60,265.60</w:t>
            </w:r>
          </w:p>
        </w:tc>
        <w:tc>
          <w:tcPr>
            <w:tcW w:w="1134" w:type="dxa"/>
            <w:shd w:val="clear" w:color="auto" w:fill="BEBEBE"/>
          </w:tcPr>
          <w:p w:rsidR="007C5447" w:rsidRDefault="007C5447">
            <w:pPr>
              <w:pStyle w:val="TableParagraph"/>
              <w:spacing w:before="4"/>
              <w:jc w:val="left"/>
              <w:rPr>
                <w:b/>
                <w:sz w:val="21"/>
              </w:rPr>
            </w:pPr>
          </w:p>
          <w:p w:rsidR="007C5447" w:rsidRDefault="00F6308C">
            <w:pPr>
              <w:pStyle w:val="TableParagraph"/>
              <w:spacing w:line="224" w:lineRule="exact"/>
              <w:ind w:right="96"/>
              <w:rPr>
                <w:b/>
                <w:sz w:val="20"/>
              </w:rPr>
            </w:pPr>
            <w:r>
              <w:rPr>
                <w:b/>
                <w:w w:val="95"/>
                <w:sz w:val="20"/>
              </w:rPr>
              <w:t>46,244.76</w:t>
            </w:r>
          </w:p>
        </w:tc>
        <w:tc>
          <w:tcPr>
            <w:tcW w:w="1132" w:type="dxa"/>
            <w:shd w:val="clear" w:color="auto" w:fill="BEBEBE"/>
          </w:tcPr>
          <w:p w:rsidR="007C5447" w:rsidRDefault="007C5447">
            <w:pPr>
              <w:pStyle w:val="TableParagraph"/>
              <w:spacing w:before="4"/>
              <w:jc w:val="left"/>
              <w:rPr>
                <w:b/>
                <w:sz w:val="21"/>
              </w:rPr>
            </w:pPr>
          </w:p>
          <w:p w:rsidR="007C5447" w:rsidRDefault="00F6308C">
            <w:pPr>
              <w:pStyle w:val="TableParagraph"/>
              <w:spacing w:line="224" w:lineRule="exact"/>
              <w:ind w:right="95"/>
              <w:rPr>
                <w:b/>
                <w:sz w:val="20"/>
              </w:rPr>
            </w:pPr>
            <w:r>
              <w:rPr>
                <w:b/>
                <w:w w:val="95"/>
                <w:sz w:val="20"/>
              </w:rPr>
              <w:t>49,301.49</w:t>
            </w:r>
          </w:p>
        </w:tc>
        <w:tc>
          <w:tcPr>
            <w:tcW w:w="1076" w:type="dxa"/>
            <w:shd w:val="clear" w:color="auto" w:fill="BEBEBE"/>
          </w:tcPr>
          <w:p w:rsidR="007C5447" w:rsidRDefault="007C5447">
            <w:pPr>
              <w:pStyle w:val="TableParagraph"/>
              <w:spacing w:before="4"/>
              <w:jc w:val="left"/>
              <w:rPr>
                <w:b/>
                <w:sz w:val="21"/>
              </w:rPr>
            </w:pPr>
          </w:p>
          <w:p w:rsidR="007C5447" w:rsidRDefault="00F6308C">
            <w:pPr>
              <w:pStyle w:val="TableParagraph"/>
              <w:spacing w:line="224" w:lineRule="exact"/>
              <w:ind w:right="91"/>
              <w:rPr>
                <w:b/>
                <w:sz w:val="20"/>
              </w:rPr>
            </w:pPr>
            <w:r>
              <w:rPr>
                <w:b/>
                <w:w w:val="95"/>
                <w:sz w:val="20"/>
              </w:rPr>
              <w:t>53,470.25</w:t>
            </w:r>
          </w:p>
        </w:tc>
      </w:tr>
      <w:tr w:rsidR="007C5447">
        <w:trPr>
          <w:trHeight w:val="489"/>
        </w:trPr>
        <w:tc>
          <w:tcPr>
            <w:tcW w:w="518" w:type="dxa"/>
          </w:tcPr>
          <w:p w:rsidR="007C5447" w:rsidRDefault="00F6308C">
            <w:pPr>
              <w:pStyle w:val="TableParagraph"/>
              <w:spacing w:before="130"/>
              <w:ind w:left="139" w:right="129"/>
              <w:jc w:val="center"/>
              <w:rPr>
                <w:sz w:val="20"/>
              </w:rPr>
            </w:pPr>
            <w:r>
              <w:rPr>
                <w:sz w:val="20"/>
              </w:rPr>
              <w:t>10</w:t>
            </w:r>
          </w:p>
        </w:tc>
        <w:tc>
          <w:tcPr>
            <w:tcW w:w="3142" w:type="dxa"/>
          </w:tcPr>
          <w:p w:rsidR="007C5447" w:rsidRDefault="00F6308C">
            <w:pPr>
              <w:pStyle w:val="TableParagraph"/>
              <w:spacing w:before="130"/>
              <w:ind w:left="108"/>
              <w:jc w:val="left"/>
              <w:rPr>
                <w:sz w:val="20"/>
              </w:rPr>
            </w:pPr>
            <w:r>
              <w:rPr>
                <w:sz w:val="20"/>
              </w:rPr>
              <w:t>Less: Other Income</w:t>
            </w:r>
          </w:p>
        </w:tc>
        <w:tc>
          <w:tcPr>
            <w:tcW w:w="1161" w:type="dxa"/>
          </w:tcPr>
          <w:p w:rsidR="007C5447" w:rsidRDefault="00F6308C">
            <w:pPr>
              <w:pStyle w:val="TableParagraph"/>
              <w:spacing w:before="130"/>
              <w:ind w:right="96"/>
              <w:rPr>
                <w:sz w:val="20"/>
              </w:rPr>
            </w:pPr>
            <w:r>
              <w:rPr>
                <w:w w:val="95"/>
                <w:sz w:val="20"/>
              </w:rPr>
              <w:t>434.73</w:t>
            </w:r>
          </w:p>
        </w:tc>
        <w:tc>
          <w:tcPr>
            <w:tcW w:w="1135" w:type="dxa"/>
          </w:tcPr>
          <w:p w:rsidR="007C5447" w:rsidRDefault="00F6308C">
            <w:pPr>
              <w:pStyle w:val="TableParagraph"/>
              <w:spacing w:before="130"/>
              <w:ind w:right="98"/>
              <w:rPr>
                <w:sz w:val="20"/>
              </w:rPr>
            </w:pPr>
            <w:r>
              <w:rPr>
                <w:w w:val="95"/>
                <w:sz w:val="20"/>
              </w:rPr>
              <w:t>586.89</w:t>
            </w:r>
          </w:p>
        </w:tc>
        <w:tc>
          <w:tcPr>
            <w:tcW w:w="1132" w:type="dxa"/>
          </w:tcPr>
          <w:p w:rsidR="007C5447" w:rsidRDefault="00F6308C">
            <w:pPr>
              <w:pStyle w:val="TableParagraph"/>
              <w:spacing w:before="130"/>
              <w:ind w:right="95"/>
              <w:rPr>
                <w:sz w:val="20"/>
              </w:rPr>
            </w:pPr>
            <w:r>
              <w:rPr>
                <w:w w:val="95"/>
                <w:sz w:val="20"/>
              </w:rPr>
              <w:t>704.27</w:t>
            </w:r>
          </w:p>
        </w:tc>
        <w:tc>
          <w:tcPr>
            <w:tcW w:w="1134" w:type="dxa"/>
          </w:tcPr>
          <w:p w:rsidR="007C5447" w:rsidRDefault="007C5447">
            <w:pPr>
              <w:pStyle w:val="TableParagraph"/>
              <w:spacing w:before="3"/>
              <w:jc w:val="left"/>
              <w:rPr>
                <w:b/>
                <w:sz w:val="21"/>
              </w:rPr>
            </w:pPr>
          </w:p>
          <w:p w:rsidR="007C5447" w:rsidRDefault="00F6308C">
            <w:pPr>
              <w:pStyle w:val="TableParagraph"/>
              <w:spacing w:line="224" w:lineRule="exact"/>
              <w:ind w:right="96"/>
              <w:rPr>
                <w:sz w:val="20"/>
              </w:rPr>
            </w:pPr>
            <w:r>
              <w:rPr>
                <w:w w:val="95"/>
                <w:sz w:val="20"/>
              </w:rPr>
              <w:t>422.09</w:t>
            </w:r>
          </w:p>
        </w:tc>
        <w:tc>
          <w:tcPr>
            <w:tcW w:w="1132" w:type="dxa"/>
          </w:tcPr>
          <w:p w:rsidR="007C5447" w:rsidRDefault="007C5447">
            <w:pPr>
              <w:pStyle w:val="TableParagraph"/>
              <w:spacing w:before="3"/>
              <w:jc w:val="left"/>
              <w:rPr>
                <w:b/>
                <w:sz w:val="21"/>
              </w:rPr>
            </w:pPr>
          </w:p>
          <w:p w:rsidR="007C5447" w:rsidRDefault="00F6308C">
            <w:pPr>
              <w:pStyle w:val="TableParagraph"/>
              <w:spacing w:line="224" w:lineRule="exact"/>
              <w:ind w:right="95"/>
              <w:rPr>
                <w:sz w:val="20"/>
              </w:rPr>
            </w:pPr>
            <w:r>
              <w:rPr>
                <w:w w:val="95"/>
                <w:sz w:val="20"/>
              </w:rPr>
              <w:t>535.80</w:t>
            </w:r>
          </w:p>
        </w:tc>
        <w:tc>
          <w:tcPr>
            <w:tcW w:w="1076" w:type="dxa"/>
          </w:tcPr>
          <w:p w:rsidR="007C5447" w:rsidRDefault="007C5447">
            <w:pPr>
              <w:pStyle w:val="TableParagraph"/>
              <w:spacing w:before="3"/>
              <w:jc w:val="left"/>
              <w:rPr>
                <w:b/>
                <w:sz w:val="21"/>
              </w:rPr>
            </w:pPr>
          </w:p>
          <w:p w:rsidR="007C5447" w:rsidRDefault="00F6308C">
            <w:pPr>
              <w:pStyle w:val="TableParagraph"/>
              <w:spacing w:line="224" w:lineRule="exact"/>
              <w:ind w:right="91"/>
              <w:rPr>
                <w:sz w:val="20"/>
              </w:rPr>
            </w:pPr>
            <w:r>
              <w:rPr>
                <w:w w:val="95"/>
                <w:sz w:val="20"/>
              </w:rPr>
              <w:t>643.71</w:t>
            </w:r>
          </w:p>
        </w:tc>
      </w:tr>
      <w:tr w:rsidR="007C5447">
        <w:trPr>
          <w:trHeight w:val="491"/>
        </w:trPr>
        <w:tc>
          <w:tcPr>
            <w:tcW w:w="518" w:type="dxa"/>
          </w:tcPr>
          <w:p w:rsidR="007C5447" w:rsidRDefault="00F6308C">
            <w:pPr>
              <w:pStyle w:val="TableParagraph"/>
              <w:spacing w:before="130"/>
              <w:ind w:left="139" w:right="129"/>
              <w:jc w:val="center"/>
              <w:rPr>
                <w:sz w:val="20"/>
              </w:rPr>
            </w:pPr>
            <w:r>
              <w:rPr>
                <w:sz w:val="20"/>
              </w:rPr>
              <w:t>11</w:t>
            </w:r>
          </w:p>
        </w:tc>
        <w:tc>
          <w:tcPr>
            <w:tcW w:w="3142" w:type="dxa"/>
          </w:tcPr>
          <w:p w:rsidR="007C5447" w:rsidRDefault="00F6308C">
            <w:pPr>
              <w:pStyle w:val="TableParagraph"/>
              <w:spacing w:before="130"/>
              <w:ind w:left="108"/>
              <w:jc w:val="left"/>
              <w:rPr>
                <w:sz w:val="20"/>
              </w:rPr>
            </w:pPr>
            <w:r>
              <w:rPr>
                <w:sz w:val="20"/>
              </w:rPr>
              <w:t>Less: Non-Tariff Income</w:t>
            </w:r>
          </w:p>
        </w:tc>
        <w:tc>
          <w:tcPr>
            <w:tcW w:w="1161" w:type="dxa"/>
          </w:tcPr>
          <w:p w:rsidR="007C5447" w:rsidRDefault="00F6308C">
            <w:pPr>
              <w:pStyle w:val="TableParagraph"/>
              <w:spacing w:before="130"/>
              <w:ind w:right="96"/>
              <w:rPr>
                <w:sz w:val="20"/>
              </w:rPr>
            </w:pPr>
            <w:r>
              <w:rPr>
                <w:w w:val="95"/>
                <w:sz w:val="20"/>
              </w:rPr>
              <w:t>780.86</w:t>
            </w:r>
          </w:p>
        </w:tc>
        <w:tc>
          <w:tcPr>
            <w:tcW w:w="1135" w:type="dxa"/>
          </w:tcPr>
          <w:p w:rsidR="007C5447" w:rsidRDefault="00F6308C">
            <w:pPr>
              <w:pStyle w:val="TableParagraph"/>
              <w:spacing w:before="130"/>
              <w:ind w:right="98"/>
              <w:rPr>
                <w:sz w:val="20"/>
              </w:rPr>
            </w:pPr>
            <w:r>
              <w:rPr>
                <w:w w:val="95"/>
                <w:sz w:val="20"/>
              </w:rPr>
              <w:t>952.65</w:t>
            </w:r>
          </w:p>
        </w:tc>
        <w:tc>
          <w:tcPr>
            <w:tcW w:w="1132" w:type="dxa"/>
          </w:tcPr>
          <w:p w:rsidR="007C5447" w:rsidRDefault="00F6308C">
            <w:pPr>
              <w:pStyle w:val="TableParagraph"/>
              <w:spacing w:before="130"/>
              <w:ind w:right="95"/>
              <w:rPr>
                <w:sz w:val="20"/>
              </w:rPr>
            </w:pPr>
            <w:r>
              <w:rPr>
                <w:w w:val="95"/>
                <w:sz w:val="20"/>
              </w:rPr>
              <w:t>971.70</w:t>
            </w:r>
          </w:p>
        </w:tc>
        <w:tc>
          <w:tcPr>
            <w:tcW w:w="1134" w:type="dxa"/>
          </w:tcPr>
          <w:p w:rsidR="007C5447" w:rsidRDefault="007C5447">
            <w:pPr>
              <w:pStyle w:val="TableParagraph"/>
              <w:spacing w:before="3"/>
              <w:jc w:val="left"/>
              <w:rPr>
                <w:b/>
                <w:sz w:val="21"/>
              </w:rPr>
            </w:pPr>
          </w:p>
          <w:p w:rsidR="007C5447" w:rsidRDefault="00F6308C">
            <w:pPr>
              <w:pStyle w:val="TableParagraph"/>
              <w:spacing w:line="227" w:lineRule="exact"/>
              <w:ind w:right="96"/>
              <w:rPr>
                <w:sz w:val="20"/>
              </w:rPr>
            </w:pPr>
            <w:r>
              <w:rPr>
                <w:w w:val="95"/>
                <w:sz w:val="20"/>
              </w:rPr>
              <w:t>851.20</w:t>
            </w:r>
          </w:p>
        </w:tc>
        <w:tc>
          <w:tcPr>
            <w:tcW w:w="1132" w:type="dxa"/>
          </w:tcPr>
          <w:p w:rsidR="007C5447" w:rsidRDefault="007C5447">
            <w:pPr>
              <w:pStyle w:val="TableParagraph"/>
              <w:spacing w:before="3"/>
              <w:jc w:val="left"/>
              <w:rPr>
                <w:b/>
                <w:sz w:val="21"/>
              </w:rPr>
            </w:pPr>
          </w:p>
          <w:p w:rsidR="007C5447" w:rsidRDefault="00F6308C">
            <w:pPr>
              <w:pStyle w:val="TableParagraph"/>
              <w:spacing w:line="227" w:lineRule="exact"/>
              <w:ind w:right="95"/>
              <w:rPr>
                <w:sz w:val="20"/>
              </w:rPr>
            </w:pPr>
            <w:r>
              <w:rPr>
                <w:w w:val="95"/>
                <w:sz w:val="20"/>
              </w:rPr>
              <w:t>927.88</w:t>
            </w:r>
          </w:p>
        </w:tc>
        <w:tc>
          <w:tcPr>
            <w:tcW w:w="1076" w:type="dxa"/>
          </w:tcPr>
          <w:p w:rsidR="007C5447" w:rsidRDefault="007C5447">
            <w:pPr>
              <w:pStyle w:val="TableParagraph"/>
              <w:spacing w:before="3"/>
              <w:jc w:val="left"/>
              <w:rPr>
                <w:b/>
                <w:sz w:val="21"/>
              </w:rPr>
            </w:pPr>
          </w:p>
          <w:p w:rsidR="007C5447" w:rsidRDefault="00F6308C">
            <w:pPr>
              <w:pStyle w:val="TableParagraph"/>
              <w:spacing w:line="227" w:lineRule="exact"/>
              <w:ind w:right="91"/>
              <w:rPr>
                <w:sz w:val="20"/>
              </w:rPr>
            </w:pPr>
            <w:r>
              <w:rPr>
                <w:w w:val="95"/>
                <w:sz w:val="20"/>
              </w:rPr>
              <w:t>1,011.47</w:t>
            </w:r>
          </w:p>
        </w:tc>
      </w:tr>
      <w:tr w:rsidR="007C5447">
        <w:trPr>
          <w:trHeight w:val="489"/>
        </w:trPr>
        <w:tc>
          <w:tcPr>
            <w:tcW w:w="518" w:type="dxa"/>
            <w:shd w:val="clear" w:color="auto" w:fill="BEBEBE"/>
          </w:tcPr>
          <w:p w:rsidR="007C5447" w:rsidRDefault="00F6308C">
            <w:pPr>
              <w:pStyle w:val="TableParagraph"/>
              <w:spacing w:before="130"/>
              <w:ind w:left="139" w:right="129"/>
              <w:jc w:val="center"/>
              <w:rPr>
                <w:b/>
                <w:sz w:val="20"/>
              </w:rPr>
            </w:pPr>
            <w:r>
              <w:rPr>
                <w:b/>
                <w:sz w:val="20"/>
              </w:rPr>
              <w:t>12</w:t>
            </w:r>
          </w:p>
        </w:tc>
        <w:tc>
          <w:tcPr>
            <w:tcW w:w="3142" w:type="dxa"/>
            <w:shd w:val="clear" w:color="auto" w:fill="BEBEBE"/>
          </w:tcPr>
          <w:p w:rsidR="007C5447" w:rsidRDefault="00F6308C">
            <w:pPr>
              <w:pStyle w:val="TableParagraph"/>
              <w:spacing w:before="14" w:line="230" w:lineRule="atLeast"/>
              <w:ind w:left="108" w:right="993"/>
              <w:jc w:val="left"/>
              <w:rPr>
                <w:b/>
                <w:sz w:val="20"/>
              </w:rPr>
            </w:pPr>
            <w:r>
              <w:rPr>
                <w:b/>
                <w:sz w:val="20"/>
              </w:rPr>
              <w:t>Net Aggregate Revenue Requirement</w:t>
            </w:r>
          </w:p>
        </w:tc>
        <w:tc>
          <w:tcPr>
            <w:tcW w:w="1161" w:type="dxa"/>
            <w:shd w:val="clear" w:color="auto" w:fill="BEBEBE"/>
          </w:tcPr>
          <w:p w:rsidR="007C5447" w:rsidRDefault="00F6308C">
            <w:pPr>
              <w:pStyle w:val="TableParagraph"/>
              <w:spacing w:before="130"/>
              <w:ind w:right="96"/>
              <w:rPr>
                <w:b/>
                <w:sz w:val="20"/>
              </w:rPr>
            </w:pPr>
            <w:r>
              <w:rPr>
                <w:b/>
                <w:w w:val="95"/>
                <w:sz w:val="20"/>
              </w:rPr>
              <w:t>51,466.86</w:t>
            </w:r>
          </w:p>
        </w:tc>
        <w:tc>
          <w:tcPr>
            <w:tcW w:w="1135" w:type="dxa"/>
            <w:shd w:val="clear" w:color="auto" w:fill="BEBEBE"/>
          </w:tcPr>
          <w:p w:rsidR="007C5447" w:rsidRDefault="00F6308C">
            <w:pPr>
              <w:pStyle w:val="TableParagraph"/>
              <w:spacing w:before="130"/>
              <w:ind w:right="99"/>
              <w:rPr>
                <w:b/>
                <w:sz w:val="20"/>
              </w:rPr>
            </w:pPr>
            <w:r>
              <w:rPr>
                <w:b/>
                <w:w w:val="95"/>
                <w:sz w:val="20"/>
              </w:rPr>
              <w:t>52,277.73</w:t>
            </w:r>
          </w:p>
        </w:tc>
        <w:tc>
          <w:tcPr>
            <w:tcW w:w="1132" w:type="dxa"/>
            <w:shd w:val="clear" w:color="auto" w:fill="BEBEBE"/>
          </w:tcPr>
          <w:p w:rsidR="007C5447" w:rsidRDefault="00F6308C">
            <w:pPr>
              <w:pStyle w:val="TableParagraph"/>
              <w:spacing w:before="130"/>
              <w:ind w:right="95"/>
              <w:rPr>
                <w:b/>
                <w:sz w:val="20"/>
              </w:rPr>
            </w:pPr>
            <w:r>
              <w:rPr>
                <w:b/>
                <w:w w:val="95"/>
                <w:sz w:val="20"/>
              </w:rPr>
              <w:t>58,589.63</w:t>
            </w:r>
          </w:p>
        </w:tc>
        <w:tc>
          <w:tcPr>
            <w:tcW w:w="1134" w:type="dxa"/>
            <w:shd w:val="clear" w:color="auto" w:fill="BEBEBE"/>
          </w:tcPr>
          <w:p w:rsidR="007C5447" w:rsidRDefault="00F6308C">
            <w:pPr>
              <w:pStyle w:val="TableParagraph"/>
              <w:spacing w:before="130"/>
              <w:ind w:right="96"/>
              <w:rPr>
                <w:b/>
                <w:sz w:val="20"/>
              </w:rPr>
            </w:pPr>
            <w:r>
              <w:rPr>
                <w:b/>
                <w:w w:val="95"/>
                <w:sz w:val="20"/>
              </w:rPr>
              <w:t>44,971.47</w:t>
            </w:r>
          </w:p>
        </w:tc>
        <w:tc>
          <w:tcPr>
            <w:tcW w:w="1132" w:type="dxa"/>
            <w:shd w:val="clear" w:color="auto" w:fill="BEBEBE"/>
          </w:tcPr>
          <w:p w:rsidR="007C5447" w:rsidRDefault="00F6308C">
            <w:pPr>
              <w:pStyle w:val="TableParagraph"/>
              <w:spacing w:before="130"/>
              <w:ind w:right="95"/>
              <w:rPr>
                <w:b/>
                <w:sz w:val="20"/>
              </w:rPr>
            </w:pPr>
            <w:r>
              <w:rPr>
                <w:b/>
                <w:w w:val="95"/>
                <w:sz w:val="20"/>
              </w:rPr>
              <w:t>47,837.80</w:t>
            </w:r>
          </w:p>
        </w:tc>
        <w:tc>
          <w:tcPr>
            <w:tcW w:w="1076" w:type="dxa"/>
            <w:shd w:val="clear" w:color="auto" w:fill="BEBEBE"/>
          </w:tcPr>
          <w:p w:rsidR="007C5447" w:rsidRDefault="00F6308C">
            <w:pPr>
              <w:pStyle w:val="TableParagraph"/>
              <w:spacing w:before="130"/>
              <w:ind w:right="91"/>
              <w:rPr>
                <w:b/>
                <w:sz w:val="20"/>
              </w:rPr>
            </w:pPr>
            <w:r>
              <w:rPr>
                <w:b/>
                <w:w w:val="95"/>
                <w:sz w:val="20"/>
              </w:rPr>
              <w:t>51,815.07</w:t>
            </w:r>
          </w:p>
        </w:tc>
      </w:tr>
    </w:tbl>
    <w:p w:rsidR="007C5447" w:rsidRDefault="007C5447">
      <w:pPr>
        <w:rPr>
          <w:sz w:val="20"/>
        </w:rPr>
        <w:sectPr w:rsidR="007C5447">
          <w:pgSz w:w="11910" w:h="16840"/>
          <w:pgMar w:top="1420" w:right="260" w:bottom="1240" w:left="340" w:header="0" w:footer="777" w:gutter="0"/>
          <w:cols w:space="720"/>
        </w:sectPr>
      </w:pPr>
    </w:p>
    <w:p w:rsidR="007C5447" w:rsidRDefault="00F6308C">
      <w:pPr>
        <w:pStyle w:val="Heading2"/>
        <w:numPr>
          <w:ilvl w:val="1"/>
          <w:numId w:val="114"/>
        </w:numPr>
        <w:tabs>
          <w:tab w:val="left" w:pos="1726"/>
          <w:tab w:val="left" w:pos="1727"/>
        </w:tabs>
        <w:spacing w:before="60"/>
        <w:ind w:left="1726" w:hanging="627"/>
      </w:pPr>
      <w:bookmarkStart w:id="73" w:name="_bookmark73"/>
      <w:bookmarkEnd w:id="73"/>
      <w:r>
        <w:lastRenderedPageBreak/>
        <w:t>Revenue at existing Tariff for FY</w:t>
      </w:r>
      <w:r>
        <w:rPr>
          <w:spacing w:val="-5"/>
        </w:rPr>
        <w:t xml:space="preserve"> </w:t>
      </w:r>
      <w:r>
        <w:t>2017-18</w:t>
      </w:r>
    </w:p>
    <w:p w:rsidR="007C5447" w:rsidRDefault="007C5447">
      <w:pPr>
        <w:pStyle w:val="BodyText"/>
        <w:rPr>
          <w:b/>
          <w:sz w:val="28"/>
        </w:rPr>
      </w:pPr>
    </w:p>
    <w:p w:rsidR="007C5447" w:rsidRDefault="00F6308C">
      <w:pPr>
        <w:pStyle w:val="ListParagraph"/>
        <w:numPr>
          <w:ilvl w:val="2"/>
          <w:numId w:val="114"/>
        </w:numPr>
        <w:tabs>
          <w:tab w:val="left" w:pos="1953"/>
        </w:tabs>
        <w:spacing w:line="312" w:lineRule="auto"/>
        <w:ind w:left="1952" w:right="1176" w:hanging="852"/>
        <w:jc w:val="both"/>
        <w:rPr>
          <w:sz w:val="24"/>
        </w:rPr>
      </w:pPr>
      <w:r>
        <w:rPr>
          <w:sz w:val="24"/>
        </w:rPr>
        <w:t>Based on sales projection for FY 2017-18 and existing category-wise tariff, the revenue as estimated by TANGEDCO and the Commission is shown in the Table below:</w:t>
      </w:r>
    </w:p>
    <w:p w:rsidR="007C5447" w:rsidRDefault="007C5447">
      <w:pPr>
        <w:pStyle w:val="BodyText"/>
        <w:spacing w:before="2"/>
        <w:rPr>
          <w:sz w:val="21"/>
        </w:rPr>
      </w:pPr>
    </w:p>
    <w:p w:rsidR="007C5447" w:rsidRDefault="00F6308C">
      <w:pPr>
        <w:ind w:left="1354" w:right="1428"/>
        <w:jc w:val="center"/>
        <w:rPr>
          <w:b/>
        </w:rPr>
      </w:pPr>
      <w:r>
        <w:rPr>
          <w:b/>
        </w:rPr>
        <w:t>Table 4-55: Revenue from Approved Sales at existing tariff for FY 2017-18 (Rs. Crore)</w:t>
      </w:r>
    </w:p>
    <w:p w:rsidR="007C5447" w:rsidRDefault="007C5447">
      <w:pPr>
        <w:pStyle w:val="BodyText"/>
        <w:spacing w:before="11"/>
        <w:rPr>
          <w:b/>
          <w:sz w:val="16"/>
        </w:rPr>
      </w:pPr>
    </w:p>
    <w:tbl>
      <w:tblPr>
        <w:tblW w:w="0" w:type="auto"/>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1"/>
        <w:gridCol w:w="4254"/>
        <w:gridCol w:w="1842"/>
        <w:gridCol w:w="1561"/>
      </w:tblGrid>
      <w:tr w:rsidR="007C5447">
        <w:trPr>
          <w:trHeight w:val="282"/>
        </w:trPr>
        <w:tc>
          <w:tcPr>
            <w:tcW w:w="5245" w:type="dxa"/>
            <w:gridSpan w:val="2"/>
            <w:vMerge w:val="restart"/>
            <w:shd w:val="clear" w:color="auto" w:fill="FBD4B4"/>
          </w:tcPr>
          <w:p w:rsidR="007C5447" w:rsidRDefault="007C5447">
            <w:pPr>
              <w:pStyle w:val="TableParagraph"/>
              <w:spacing w:before="5"/>
              <w:jc w:val="left"/>
              <w:rPr>
                <w:b/>
                <w:sz w:val="19"/>
              </w:rPr>
            </w:pPr>
          </w:p>
          <w:p w:rsidR="007C5447" w:rsidRDefault="00F6308C">
            <w:pPr>
              <w:pStyle w:val="TableParagraph"/>
              <w:ind w:left="1667"/>
              <w:jc w:val="left"/>
              <w:rPr>
                <w:b/>
              </w:rPr>
            </w:pPr>
            <w:r>
              <w:rPr>
                <w:b/>
              </w:rPr>
              <w:t>Consum</w:t>
            </w:r>
            <w:r>
              <w:rPr>
                <w:b/>
              </w:rPr>
              <w:t>er Category</w:t>
            </w:r>
          </w:p>
        </w:tc>
        <w:tc>
          <w:tcPr>
            <w:tcW w:w="3403" w:type="dxa"/>
            <w:gridSpan w:val="2"/>
            <w:shd w:val="clear" w:color="auto" w:fill="FBD4B4"/>
          </w:tcPr>
          <w:p w:rsidR="007C5447" w:rsidRDefault="00F6308C">
            <w:pPr>
              <w:pStyle w:val="TableParagraph"/>
              <w:spacing w:before="13" w:line="250" w:lineRule="exact"/>
              <w:ind w:left="1138" w:right="1133"/>
              <w:jc w:val="center"/>
              <w:rPr>
                <w:b/>
              </w:rPr>
            </w:pPr>
            <w:r>
              <w:rPr>
                <w:b/>
              </w:rPr>
              <w:t>FY 2017-18</w:t>
            </w:r>
          </w:p>
        </w:tc>
      </w:tr>
      <w:tr w:rsidR="007C5447">
        <w:trPr>
          <w:trHeight w:val="412"/>
        </w:trPr>
        <w:tc>
          <w:tcPr>
            <w:tcW w:w="5245" w:type="dxa"/>
            <w:gridSpan w:val="2"/>
            <w:vMerge/>
            <w:tcBorders>
              <w:top w:val="nil"/>
            </w:tcBorders>
            <w:shd w:val="clear" w:color="auto" w:fill="FBD4B4"/>
          </w:tcPr>
          <w:p w:rsidR="007C5447" w:rsidRDefault="007C5447">
            <w:pPr>
              <w:rPr>
                <w:sz w:val="2"/>
                <w:szCs w:val="2"/>
              </w:rPr>
            </w:pPr>
          </w:p>
        </w:tc>
        <w:tc>
          <w:tcPr>
            <w:tcW w:w="1842" w:type="dxa"/>
            <w:shd w:val="clear" w:color="auto" w:fill="FBD4B4"/>
          </w:tcPr>
          <w:p w:rsidR="007C5447" w:rsidRDefault="00F6308C">
            <w:pPr>
              <w:pStyle w:val="TableParagraph"/>
              <w:spacing w:before="77"/>
              <w:ind w:left="282"/>
              <w:jc w:val="left"/>
              <w:rPr>
                <w:b/>
              </w:rPr>
            </w:pPr>
            <w:r>
              <w:rPr>
                <w:b/>
              </w:rPr>
              <w:t>TANGEDCO</w:t>
            </w:r>
          </w:p>
        </w:tc>
        <w:tc>
          <w:tcPr>
            <w:tcW w:w="1561" w:type="dxa"/>
            <w:shd w:val="clear" w:color="auto" w:fill="FBD4B4"/>
          </w:tcPr>
          <w:p w:rsidR="007C5447" w:rsidRDefault="00F6308C">
            <w:pPr>
              <w:pStyle w:val="TableParagraph"/>
              <w:spacing w:before="77"/>
              <w:ind w:left="198"/>
              <w:jc w:val="left"/>
              <w:rPr>
                <w:b/>
              </w:rPr>
            </w:pPr>
            <w:r>
              <w:rPr>
                <w:b/>
              </w:rPr>
              <w:t>Commission</w:t>
            </w:r>
          </w:p>
        </w:tc>
      </w:tr>
      <w:tr w:rsidR="007C5447">
        <w:trPr>
          <w:trHeight w:val="316"/>
        </w:trPr>
        <w:tc>
          <w:tcPr>
            <w:tcW w:w="991" w:type="dxa"/>
          </w:tcPr>
          <w:p w:rsidR="007C5447" w:rsidRDefault="007C5447">
            <w:pPr>
              <w:pStyle w:val="TableParagraph"/>
              <w:jc w:val="left"/>
            </w:pPr>
          </w:p>
        </w:tc>
        <w:tc>
          <w:tcPr>
            <w:tcW w:w="4254" w:type="dxa"/>
          </w:tcPr>
          <w:p w:rsidR="007C5447" w:rsidRDefault="00F6308C">
            <w:pPr>
              <w:pStyle w:val="TableParagraph"/>
              <w:spacing w:before="29"/>
              <w:ind w:left="107"/>
              <w:jc w:val="left"/>
              <w:rPr>
                <w:b/>
              </w:rPr>
            </w:pPr>
            <w:r>
              <w:rPr>
                <w:b/>
              </w:rPr>
              <w:t>HT Category</w:t>
            </w:r>
          </w:p>
        </w:tc>
        <w:tc>
          <w:tcPr>
            <w:tcW w:w="1842" w:type="dxa"/>
          </w:tcPr>
          <w:p w:rsidR="007C5447" w:rsidRDefault="007C5447">
            <w:pPr>
              <w:pStyle w:val="TableParagraph"/>
              <w:jc w:val="left"/>
            </w:pPr>
          </w:p>
        </w:tc>
        <w:tc>
          <w:tcPr>
            <w:tcW w:w="1561" w:type="dxa"/>
          </w:tcPr>
          <w:p w:rsidR="007C5447" w:rsidRDefault="007C5447">
            <w:pPr>
              <w:pStyle w:val="TableParagraph"/>
              <w:jc w:val="left"/>
            </w:pPr>
          </w:p>
        </w:tc>
      </w:tr>
      <w:tr w:rsidR="007C5447">
        <w:trPr>
          <w:trHeight w:val="316"/>
        </w:trPr>
        <w:tc>
          <w:tcPr>
            <w:tcW w:w="991" w:type="dxa"/>
          </w:tcPr>
          <w:p w:rsidR="007C5447" w:rsidRDefault="00F6308C">
            <w:pPr>
              <w:pStyle w:val="TableParagraph"/>
              <w:spacing w:before="29"/>
              <w:ind w:left="105"/>
              <w:jc w:val="left"/>
            </w:pPr>
            <w:r>
              <w:t>I (A)</w:t>
            </w:r>
          </w:p>
        </w:tc>
        <w:tc>
          <w:tcPr>
            <w:tcW w:w="4254" w:type="dxa"/>
          </w:tcPr>
          <w:p w:rsidR="007C5447" w:rsidRDefault="00F6308C">
            <w:pPr>
              <w:pStyle w:val="TableParagraph"/>
              <w:spacing w:before="29"/>
              <w:ind w:left="107"/>
              <w:jc w:val="left"/>
            </w:pPr>
            <w:r>
              <w:t>HT Industries</w:t>
            </w:r>
          </w:p>
        </w:tc>
        <w:tc>
          <w:tcPr>
            <w:tcW w:w="1842" w:type="dxa"/>
          </w:tcPr>
          <w:p w:rsidR="007C5447" w:rsidRDefault="00F6308C">
            <w:pPr>
              <w:pStyle w:val="TableParagraph"/>
              <w:spacing w:before="29"/>
              <w:ind w:left="446"/>
              <w:jc w:val="left"/>
            </w:pPr>
            <w:r>
              <w:t>12,466</w:t>
            </w:r>
          </w:p>
        </w:tc>
        <w:tc>
          <w:tcPr>
            <w:tcW w:w="1561" w:type="dxa"/>
          </w:tcPr>
          <w:p w:rsidR="007C5447" w:rsidRDefault="00F6308C">
            <w:pPr>
              <w:pStyle w:val="TableParagraph"/>
              <w:spacing w:before="29"/>
              <w:ind w:left="162"/>
              <w:jc w:val="left"/>
            </w:pPr>
            <w:r>
              <w:t>12,750</w:t>
            </w:r>
          </w:p>
        </w:tc>
      </w:tr>
      <w:tr w:rsidR="007C5447">
        <w:trPr>
          <w:trHeight w:val="317"/>
        </w:trPr>
        <w:tc>
          <w:tcPr>
            <w:tcW w:w="991" w:type="dxa"/>
          </w:tcPr>
          <w:p w:rsidR="007C5447" w:rsidRDefault="00F6308C">
            <w:pPr>
              <w:pStyle w:val="TableParagraph"/>
              <w:spacing w:before="30"/>
              <w:ind w:left="105"/>
              <w:jc w:val="left"/>
            </w:pPr>
            <w:r>
              <w:t>I (B)</w:t>
            </w:r>
          </w:p>
        </w:tc>
        <w:tc>
          <w:tcPr>
            <w:tcW w:w="4254" w:type="dxa"/>
          </w:tcPr>
          <w:p w:rsidR="007C5447" w:rsidRDefault="00F6308C">
            <w:pPr>
              <w:pStyle w:val="TableParagraph"/>
              <w:spacing w:before="30"/>
              <w:ind w:left="107"/>
              <w:jc w:val="left"/>
            </w:pPr>
            <w:r>
              <w:t>Railway Traction</w:t>
            </w:r>
          </w:p>
        </w:tc>
        <w:tc>
          <w:tcPr>
            <w:tcW w:w="1842" w:type="dxa"/>
          </w:tcPr>
          <w:p w:rsidR="007C5447" w:rsidRDefault="00F6308C">
            <w:pPr>
              <w:pStyle w:val="TableParagraph"/>
              <w:spacing w:before="30"/>
              <w:ind w:left="262" w:right="321"/>
              <w:jc w:val="center"/>
            </w:pPr>
            <w:r>
              <w:t>713</w:t>
            </w:r>
          </w:p>
        </w:tc>
        <w:tc>
          <w:tcPr>
            <w:tcW w:w="1561" w:type="dxa"/>
          </w:tcPr>
          <w:p w:rsidR="007C5447" w:rsidRDefault="00F6308C">
            <w:pPr>
              <w:pStyle w:val="TableParagraph"/>
              <w:spacing w:before="30"/>
              <w:ind w:left="435"/>
              <w:jc w:val="left"/>
            </w:pPr>
            <w:r>
              <w:t>723</w:t>
            </w:r>
          </w:p>
        </w:tc>
      </w:tr>
      <w:tr w:rsidR="007C5447">
        <w:trPr>
          <w:trHeight w:val="601"/>
        </w:trPr>
        <w:tc>
          <w:tcPr>
            <w:tcW w:w="991" w:type="dxa"/>
          </w:tcPr>
          <w:p w:rsidR="007C5447" w:rsidRDefault="00F6308C">
            <w:pPr>
              <w:pStyle w:val="TableParagraph"/>
              <w:spacing w:before="173"/>
              <w:ind w:left="105"/>
              <w:jc w:val="left"/>
            </w:pPr>
            <w:r>
              <w:t>II (A)</w:t>
            </w:r>
          </w:p>
        </w:tc>
        <w:tc>
          <w:tcPr>
            <w:tcW w:w="4254" w:type="dxa"/>
          </w:tcPr>
          <w:p w:rsidR="007C5447" w:rsidRDefault="00F6308C">
            <w:pPr>
              <w:pStyle w:val="TableParagraph"/>
              <w:spacing w:before="46"/>
              <w:ind w:left="107" w:right="548"/>
              <w:jc w:val="left"/>
            </w:pPr>
            <w:r>
              <w:t>Government Educational Institution Etc. (HT)</w:t>
            </w:r>
          </w:p>
        </w:tc>
        <w:tc>
          <w:tcPr>
            <w:tcW w:w="1842" w:type="dxa"/>
          </w:tcPr>
          <w:p w:rsidR="007C5447" w:rsidRDefault="00F6308C">
            <w:pPr>
              <w:pStyle w:val="TableParagraph"/>
              <w:spacing w:before="173"/>
              <w:ind w:left="556"/>
              <w:jc w:val="left"/>
            </w:pPr>
            <w:r>
              <w:t>1,208</w:t>
            </w:r>
          </w:p>
        </w:tc>
        <w:tc>
          <w:tcPr>
            <w:tcW w:w="1561" w:type="dxa"/>
          </w:tcPr>
          <w:p w:rsidR="007C5447" w:rsidRDefault="00F6308C">
            <w:pPr>
              <w:pStyle w:val="TableParagraph"/>
              <w:spacing w:before="173"/>
              <w:ind w:left="272"/>
              <w:jc w:val="left"/>
            </w:pPr>
            <w:r>
              <w:t>1,214</w:t>
            </w:r>
          </w:p>
        </w:tc>
      </w:tr>
      <w:tr w:rsidR="007C5447">
        <w:trPr>
          <w:trHeight w:val="316"/>
        </w:trPr>
        <w:tc>
          <w:tcPr>
            <w:tcW w:w="991" w:type="dxa"/>
          </w:tcPr>
          <w:p w:rsidR="007C5447" w:rsidRDefault="00F6308C">
            <w:pPr>
              <w:pStyle w:val="TableParagraph"/>
              <w:spacing w:before="29"/>
              <w:ind w:left="105"/>
              <w:jc w:val="left"/>
            </w:pPr>
            <w:r>
              <w:t>II (B)</w:t>
            </w:r>
          </w:p>
        </w:tc>
        <w:tc>
          <w:tcPr>
            <w:tcW w:w="4254" w:type="dxa"/>
          </w:tcPr>
          <w:p w:rsidR="007C5447" w:rsidRDefault="00F6308C">
            <w:pPr>
              <w:pStyle w:val="TableParagraph"/>
              <w:spacing w:before="29"/>
              <w:ind w:left="107"/>
              <w:jc w:val="left"/>
            </w:pPr>
            <w:r>
              <w:t>Pvt. Educational Institutions etc.</w:t>
            </w:r>
          </w:p>
        </w:tc>
        <w:tc>
          <w:tcPr>
            <w:tcW w:w="1842" w:type="dxa"/>
          </w:tcPr>
          <w:p w:rsidR="007C5447" w:rsidRDefault="00F6308C">
            <w:pPr>
              <w:pStyle w:val="TableParagraph"/>
              <w:spacing w:before="29"/>
              <w:ind w:left="262" w:right="321"/>
              <w:jc w:val="center"/>
            </w:pPr>
            <w:r>
              <w:t>291</w:t>
            </w:r>
          </w:p>
        </w:tc>
        <w:tc>
          <w:tcPr>
            <w:tcW w:w="1561" w:type="dxa"/>
          </w:tcPr>
          <w:p w:rsidR="007C5447" w:rsidRDefault="00F6308C">
            <w:pPr>
              <w:pStyle w:val="TableParagraph"/>
              <w:spacing w:before="29"/>
              <w:ind w:left="435"/>
              <w:jc w:val="left"/>
            </w:pPr>
            <w:r>
              <w:t>294</w:t>
            </w:r>
          </w:p>
        </w:tc>
      </w:tr>
      <w:tr w:rsidR="007C5447">
        <w:trPr>
          <w:trHeight w:val="314"/>
        </w:trPr>
        <w:tc>
          <w:tcPr>
            <w:tcW w:w="991" w:type="dxa"/>
          </w:tcPr>
          <w:p w:rsidR="007C5447" w:rsidRDefault="00F6308C">
            <w:pPr>
              <w:pStyle w:val="TableParagraph"/>
              <w:spacing w:before="29"/>
              <w:ind w:left="105"/>
              <w:jc w:val="left"/>
            </w:pPr>
            <w:r>
              <w:t>II (C)</w:t>
            </w:r>
          </w:p>
        </w:tc>
        <w:tc>
          <w:tcPr>
            <w:tcW w:w="4254" w:type="dxa"/>
          </w:tcPr>
          <w:p w:rsidR="007C5447" w:rsidRDefault="00F6308C">
            <w:pPr>
              <w:pStyle w:val="TableParagraph"/>
              <w:spacing w:before="29"/>
              <w:ind w:left="107"/>
              <w:jc w:val="left"/>
            </w:pPr>
            <w:r>
              <w:t>Places of Public Worship</w:t>
            </w:r>
          </w:p>
        </w:tc>
        <w:tc>
          <w:tcPr>
            <w:tcW w:w="1842" w:type="dxa"/>
          </w:tcPr>
          <w:p w:rsidR="007C5447" w:rsidRDefault="00F6308C">
            <w:pPr>
              <w:pStyle w:val="TableParagraph"/>
              <w:spacing w:before="29"/>
              <w:ind w:left="194"/>
              <w:jc w:val="center"/>
            </w:pPr>
            <w:r>
              <w:t>-</w:t>
            </w:r>
          </w:p>
        </w:tc>
        <w:tc>
          <w:tcPr>
            <w:tcW w:w="1561" w:type="dxa"/>
          </w:tcPr>
          <w:p w:rsidR="007C5447" w:rsidRDefault="00F6308C">
            <w:pPr>
              <w:pStyle w:val="TableParagraph"/>
              <w:spacing w:before="29"/>
              <w:ind w:right="90"/>
              <w:jc w:val="center"/>
            </w:pPr>
            <w:r>
              <w:t>-</w:t>
            </w:r>
          </w:p>
        </w:tc>
      </w:tr>
      <w:tr w:rsidR="007C5447">
        <w:trPr>
          <w:trHeight w:val="316"/>
        </w:trPr>
        <w:tc>
          <w:tcPr>
            <w:tcW w:w="991" w:type="dxa"/>
          </w:tcPr>
          <w:p w:rsidR="007C5447" w:rsidRDefault="00F6308C">
            <w:pPr>
              <w:pStyle w:val="TableParagraph"/>
              <w:spacing w:before="32"/>
              <w:ind w:left="105"/>
              <w:jc w:val="left"/>
            </w:pPr>
            <w:r>
              <w:t>III</w:t>
            </w:r>
          </w:p>
        </w:tc>
        <w:tc>
          <w:tcPr>
            <w:tcW w:w="4254" w:type="dxa"/>
          </w:tcPr>
          <w:p w:rsidR="007C5447" w:rsidRDefault="00F6308C">
            <w:pPr>
              <w:pStyle w:val="TableParagraph"/>
              <w:spacing w:before="32"/>
              <w:ind w:left="107"/>
              <w:jc w:val="left"/>
            </w:pPr>
            <w:r>
              <w:t>Commercial and other HT</w:t>
            </w:r>
          </w:p>
        </w:tc>
        <w:tc>
          <w:tcPr>
            <w:tcW w:w="1842" w:type="dxa"/>
          </w:tcPr>
          <w:p w:rsidR="007C5447" w:rsidRDefault="00F6308C">
            <w:pPr>
              <w:pStyle w:val="TableParagraph"/>
              <w:spacing w:before="32"/>
              <w:ind w:left="556"/>
              <w:jc w:val="left"/>
            </w:pPr>
            <w:r>
              <w:t>2,638</w:t>
            </w:r>
          </w:p>
        </w:tc>
        <w:tc>
          <w:tcPr>
            <w:tcW w:w="1561" w:type="dxa"/>
          </w:tcPr>
          <w:p w:rsidR="007C5447" w:rsidRDefault="00F6308C">
            <w:pPr>
              <w:pStyle w:val="TableParagraph"/>
              <w:spacing w:before="32"/>
              <w:ind w:left="272"/>
              <w:jc w:val="left"/>
            </w:pPr>
            <w:r>
              <w:t>2,644</w:t>
            </w:r>
          </w:p>
        </w:tc>
      </w:tr>
      <w:tr w:rsidR="007C5447">
        <w:trPr>
          <w:trHeight w:val="316"/>
        </w:trPr>
        <w:tc>
          <w:tcPr>
            <w:tcW w:w="991" w:type="dxa"/>
          </w:tcPr>
          <w:p w:rsidR="007C5447" w:rsidRDefault="00F6308C">
            <w:pPr>
              <w:pStyle w:val="TableParagraph"/>
              <w:spacing w:before="29"/>
              <w:ind w:left="105"/>
              <w:jc w:val="left"/>
            </w:pPr>
            <w:r>
              <w:t>IV</w:t>
            </w:r>
          </w:p>
        </w:tc>
        <w:tc>
          <w:tcPr>
            <w:tcW w:w="4254" w:type="dxa"/>
          </w:tcPr>
          <w:p w:rsidR="007C5447" w:rsidRDefault="00F6308C">
            <w:pPr>
              <w:pStyle w:val="TableParagraph"/>
              <w:spacing w:before="29"/>
              <w:ind w:left="107"/>
              <w:jc w:val="left"/>
            </w:pPr>
            <w:r>
              <w:t>Lift Irrigation and co-ops (HT)</w:t>
            </w:r>
          </w:p>
        </w:tc>
        <w:tc>
          <w:tcPr>
            <w:tcW w:w="1842" w:type="dxa"/>
          </w:tcPr>
          <w:p w:rsidR="007C5447" w:rsidRDefault="007C5447">
            <w:pPr>
              <w:pStyle w:val="TableParagraph"/>
              <w:jc w:val="left"/>
            </w:pPr>
          </w:p>
        </w:tc>
        <w:tc>
          <w:tcPr>
            <w:tcW w:w="1561" w:type="dxa"/>
          </w:tcPr>
          <w:p w:rsidR="007C5447" w:rsidRDefault="00F6308C">
            <w:pPr>
              <w:pStyle w:val="TableParagraph"/>
              <w:spacing w:before="29"/>
              <w:ind w:right="90"/>
              <w:jc w:val="center"/>
            </w:pPr>
            <w:r>
              <w:t>-</w:t>
            </w:r>
          </w:p>
        </w:tc>
      </w:tr>
      <w:tr w:rsidR="007C5447">
        <w:trPr>
          <w:trHeight w:val="381"/>
        </w:trPr>
        <w:tc>
          <w:tcPr>
            <w:tcW w:w="991" w:type="dxa"/>
          </w:tcPr>
          <w:p w:rsidR="007C5447" w:rsidRDefault="007C5447">
            <w:pPr>
              <w:pStyle w:val="TableParagraph"/>
              <w:jc w:val="left"/>
            </w:pPr>
          </w:p>
        </w:tc>
        <w:tc>
          <w:tcPr>
            <w:tcW w:w="4254" w:type="dxa"/>
          </w:tcPr>
          <w:p w:rsidR="007C5447" w:rsidRDefault="00F6308C">
            <w:pPr>
              <w:pStyle w:val="TableParagraph"/>
              <w:spacing w:before="63"/>
              <w:ind w:left="107"/>
              <w:jc w:val="left"/>
            </w:pPr>
            <w:r>
              <w:t>Supply to Puducherry plus wheeling charges</w:t>
            </w:r>
          </w:p>
        </w:tc>
        <w:tc>
          <w:tcPr>
            <w:tcW w:w="1842" w:type="dxa"/>
          </w:tcPr>
          <w:p w:rsidR="007C5447" w:rsidRDefault="00F6308C">
            <w:pPr>
              <w:pStyle w:val="TableParagraph"/>
              <w:spacing w:before="63"/>
              <w:ind w:left="194"/>
              <w:jc w:val="center"/>
            </w:pPr>
            <w:r>
              <w:t>-</w:t>
            </w:r>
          </w:p>
        </w:tc>
        <w:tc>
          <w:tcPr>
            <w:tcW w:w="1561" w:type="dxa"/>
          </w:tcPr>
          <w:p w:rsidR="007C5447" w:rsidRDefault="00F6308C">
            <w:pPr>
              <w:pStyle w:val="TableParagraph"/>
              <w:spacing w:before="63"/>
              <w:ind w:right="90"/>
              <w:jc w:val="center"/>
            </w:pPr>
            <w:r>
              <w:t>-</w:t>
            </w:r>
          </w:p>
        </w:tc>
      </w:tr>
      <w:tr w:rsidR="007C5447">
        <w:trPr>
          <w:trHeight w:val="316"/>
        </w:trPr>
        <w:tc>
          <w:tcPr>
            <w:tcW w:w="991" w:type="dxa"/>
          </w:tcPr>
          <w:p w:rsidR="007C5447" w:rsidRDefault="00F6308C">
            <w:pPr>
              <w:pStyle w:val="TableParagraph"/>
              <w:spacing w:before="32"/>
              <w:ind w:left="105"/>
              <w:jc w:val="left"/>
            </w:pPr>
            <w:r>
              <w:t>VI</w:t>
            </w:r>
          </w:p>
        </w:tc>
        <w:tc>
          <w:tcPr>
            <w:tcW w:w="4254" w:type="dxa"/>
          </w:tcPr>
          <w:p w:rsidR="007C5447" w:rsidRDefault="00F6308C">
            <w:pPr>
              <w:pStyle w:val="TableParagraph"/>
              <w:spacing w:before="32"/>
              <w:ind w:left="107"/>
              <w:jc w:val="left"/>
            </w:pPr>
            <w:r>
              <w:t>Temporary</w:t>
            </w:r>
          </w:p>
        </w:tc>
        <w:tc>
          <w:tcPr>
            <w:tcW w:w="1842" w:type="dxa"/>
          </w:tcPr>
          <w:p w:rsidR="007C5447" w:rsidRDefault="00F6308C">
            <w:pPr>
              <w:pStyle w:val="TableParagraph"/>
              <w:spacing w:before="32"/>
              <w:ind w:left="262" w:right="321"/>
              <w:jc w:val="center"/>
            </w:pPr>
            <w:r>
              <w:t>287</w:t>
            </w:r>
          </w:p>
        </w:tc>
        <w:tc>
          <w:tcPr>
            <w:tcW w:w="1561" w:type="dxa"/>
          </w:tcPr>
          <w:p w:rsidR="007C5447" w:rsidRDefault="00F6308C">
            <w:pPr>
              <w:pStyle w:val="TableParagraph"/>
              <w:spacing w:before="32"/>
              <w:ind w:left="435"/>
              <w:jc w:val="left"/>
            </w:pPr>
            <w:r>
              <w:t>212</w:t>
            </w:r>
          </w:p>
        </w:tc>
      </w:tr>
      <w:tr w:rsidR="007C5447">
        <w:trPr>
          <w:trHeight w:val="316"/>
        </w:trPr>
        <w:tc>
          <w:tcPr>
            <w:tcW w:w="991" w:type="dxa"/>
          </w:tcPr>
          <w:p w:rsidR="007C5447" w:rsidRDefault="00F6308C">
            <w:pPr>
              <w:pStyle w:val="TableParagraph"/>
              <w:spacing w:before="29"/>
              <w:ind w:left="105"/>
              <w:jc w:val="left"/>
            </w:pPr>
            <w:r>
              <w:t>V</w:t>
            </w:r>
          </w:p>
        </w:tc>
        <w:tc>
          <w:tcPr>
            <w:tcW w:w="4254" w:type="dxa"/>
          </w:tcPr>
          <w:p w:rsidR="007C5447" w:rsidRDefault="00F6308C">
            <w:pPr>
              <w:pStyle w:val="TableParagraph"/>
              <w:spacing w:before="29"/>
              <w:ind w:left="107"/>
              <w:jc w:val="left"/>
            </w:pPr>
            <w:r>
              <w:t>SWAP</w:t>
            </w:r>
          </w:p>
        </w:tc>
        <w:tc>
          <w:tcPr>
            <w:tcW w:w="1842" w:type="dxa"/>
          </w:tcPr>
          <w:p w:rsidR="007C5447" w:rsidRDefault="00F6308C">
            <w:pPr>
              <w:pStyle w:val="TableParagraph"/>
              <w:spacing w:before="29"/>
              <w:ind w:left="194"/>
              <w:jc w:val="center"/>
            </w:pPr>
            <w:r>
              <w:t>-</w:t>
            </w:r>
          </w:p>
        </w:tc>
        <w:tc>
          <w:tcPr>
            <w:tcW w:w="1561" w:type="dxa"/>
          </w:tcPr>
          <w:p w:rsidR="007C5447" w:rsidRDefault="00F6308C">
            <w:pPr>
              <w:pStyle w:val="TableParagraph"/>
              <w:spacing w:before="29"/>
              <w:ind w:right="90"/>
              <w:jc w:val="center"/>
            </w:pPr>
            <w:r>
              <w:t>-</w:t>
            </w:r>
          </w:p>
        </w:tc>
      </w:tr>
      <w:tr w:rsidR="007C5447">
        <w:trPr>
          <w:trHeight w:val="316"/>
        </w:trPr>
        <w:tc>
          <w:tcPr>
            <w:tcW w:w="991" w:type="dxa"/>
          </w:tcPr>
          <w:p w:rsidR="007C5447" w:rsidRDefault="007C5447">
            <w:pPr>
              <w:pStyle w:val="TableParagraph"/>
              <w:jc w:val="left"/>
            </w:pPr>
          </w:p>
        </w:tc>
        <w:tc>
          <w:tcPr>
            <w:tcW w:w="4254" w:type="dxa"/>
          </w:tcPr>
          <w:p w:rsidR="007C5447" w:rsidRDefault="00F6308C">
            <w:pPr>
              <w:pStyle w:val="TableParagraph"/>
              <w:spacing w:before="29"/>
              <w:ind w:left="107"/>
              <w:jc w:val="left"/>
              <w:rPr>
                <w:b/>
              </w:rPr>
            </w:pPr>
            <w:r>
              <w:rPr>
                <w:b/>
              </w:rPr>
              <w:t>TOTAL HT category revenue</w:t>
            </w:r>
          </w:p>
        </w:tc>
        <w:tc>
          <w:tcPr>
            <w:tcW w:w="1842" w:type="dxa"/>
          </w:tcPr>
          <w:p w:rsidR="007C5447" w:rsidRDefault="00F6308C">
            <w:pPr>
              <w:pStyle w:val="TableParagraph"/>
              <w:spacing w:before="29"/>
              <w:ind w:left="446"/>
              <w:jc w:val="left"/>
              <w:rPr>
                <w:b/>
              </w:rPr>
            </w:pPr>
            <w:r>
              <w:rPr>
                <w:b/>
              </w:rPr>
              <w:t>17,602</w:t>
            </w:r>
          </w:p>
        </w:tc>
        <w:tc>
          <w:tcPr>
            <w:tcW w:w="1561" w:type="dxa"/>
          </w:tcPr>
          <w:p w:rsidR="007C5447" w:rsidRDefault="00F6308C">
            <w:pPr>
              <w:pStyle w:val="TableParagraph"/>
              <w:spacing w:before="29"/>
              <w:ind w:left="162"/>
              <w:jc w:val="left"/>
              <w:rPr>
                <w:b/>
              </w:rPr>
            </w:pPr>
            <w:r>
              <w:rPr>
                <w:b/>
              </w:rPr>
              <w:t>17,836</w:t>
            </w:r>
          </w:p>
        </w:tc>
      </w:tr>
      <w:tr w:rsidR="007C5447">
        <w:trPr>
          <w:trHeight w:val="316"/>
        </w:trPr>
        <w:tc>
          <w:tcPr>
            <w:tcW w:w="991" w:type="dxa"/>
          </w:tcPr>
          <w:p w:rsidR="007C5447" w:rsidRDefault="007C5447">
            <w:pPr>
              <w:pStyle w:val="TableParagraph"/>
              <w:jc w:val="left"/>
            </w:pPr>
          </w:p>
        </w:tc>
        <w:tc>
          <w:tcPr>
            <w:tcW w:w="4254" w:type="dxa"/>
          </w:tcPr>
          <w:p w:rsidR="007C5447" w:rsidRDefault="00F6308C">
            <w:pPr>
              <w:pStyle w:val="TableParagraph"/>
              <w:spacing w:before="30"/>
              <w:ind w:left="107"/>
              <w:jc w:val="left"/>
              <w:rPr>
                <w:b/>
              </w:rPr>
            </w:pPr>
            <w:r>
              <w:rPr>
                <w:b/>
              </w:rPr>
              <w:t>LT Category</w:t>
            </w:r>
          </w:p>
        </w:tc>
        <w:tc>
          <w:tcPr>
            <w:tcW w:w="1842" w:type="dxa"/>
          </w:tcPr>
          <w:p w:rsidR="007C5447" w:rsidRDefault="007C5447">
            <w:pPr>
              <w:pStyle w:val="TableParagraph"/>
              <w:jc w:val="left"/>
            </w:pPr>
          </w:p>
        </w:tc>
        <w:tc>
          <w:tcPr>
            <w:tcW w:w="1561" w:type="dxa"/>
          </w:tcPr>
          <w:p w:rsidR="007C5447" w:rsidRDefault="007C5447">
            <w:pPr>
              <w:pStyle w:val="TableParagraph"/>
              <w:jc w:val="left"/>
            </w:pPr>
          </w:p>
        </w:tc>
      </w:tr>
      <w:tr w:rsidR="007C5447">
        <w:trPr>
          <w:trHeight w:val="316"/>
        </w:trPr>
        <w:tc>
          <w:tcPr>
            <w:tcW w:w="991" w:type="dxa"/>
          </w:tcPr>
          <w:p w:rsidR="007C5447" w:rsidRDefault="00F6308C">
            <w:pPr>
              <w:pStyle w:val="TableParagraph"/>
              <w:spacing w:before="29"/>
              <w:ind w:left="105"/>
              <w:jc w:val="left"/>
            </w:pPr>
            <w:r>
              <w:t>I (A)</w:t>
            </w:r>
          </w:p>
        </w:tc>
        <w:tc>
          <w:tcPr>
            <w:tcW w:w="4254" w:type="dxa"/>
          </w:tcPr>
          <w:p w:rsidR="007C5447" w:rsidRDefault="00F6308C">
            <w:pPr>
              <w:pStyle w:val="TableParagraph"/>
              <w:spacing w:before="29"/>
              <w:ind w:left="107"/>
              <w:jc w:val="left"/>
            </w:pPr>
            <w:r>
              <w:t>Domestic</w:t>
            </w:r>
          </w:p>
        </w:tc>
        <w:tc>
          <w:tcPr>
            <w:tcW w:w="1842" w:type="dxa"/>
          </w:tcPr>
          <w:p w:rsidR="007C5447" w:rsidRDefault="00F6308C">
            <w:pPr>
              <w:pStyle w:val="TableParagraph"/>
              <w:spacing w:before="29"/>
              <w:ind w:left="556"/>
              <w:jc w:val="left"/>
            </w:pPr>
            <w:r>
              <w:t>6,309</w:t>
            </w:r>
          </w:p>
        </w:tc>
        <w:tc>
          <w:tcPr>
            <w:tcW w:w="1561" w:type="dxa"/>
          </w:tcPr>
          <w:p w:rsidR="007C5447" w:rsidRDefault="00F6308C">
            <w:pPr>
              <w:pStyle w:val="TableParagraph"/>
              <w:spacing w:before="29"/>
              <w:ind w:left="272"/>
              <w:jc w:val="left"/>
            </w:pPr>
            <w:r>
              <w:t>6,318</w:t>
            </w:r>
          </w:p>
        </w:tc>
      </w:tr>
      <w:tr w:rsidR="007C5447">
        <w:trPr>
          <w:trHeight w:val="313"/>
        </w:trPr>
        <w:tc>
          <w:tcPr>
            <w:tcW w:w="991" w:type="dxa"/>
          </w:tcPr>
          <w:p w:rsidR="007C5447" w:rsidRDefault="00F6308C">
            <w:pPr>
              <w:pStyle w:val="TableParagraph"/>
              <w:spacing w:before="29"/>
              <w:ind w:left="105"/>
              <w:jc w:val="left"/>
            </w:pPr>
            <w:r>
              <w:t>I (B)</w:t>
            </w:r>
          </w:p>
        </w:tc>
        <w:tc>
          <w:tcPr>
            <w:tcW w:w="4254" w:type="dxa"/>
          </w:tcPr>
          <w:p w:rsidR="007C5447" w:rsidRDefault="00F6308C">
            <w:pPr>
              <w:pStyle w:val="TableParagraph"/>
              <w:spacing w:before="29"/>
              <w:ind w:left="107"/>
              <w:jc w:val="left"/>
            </w:pPr>
            <w:r>
              <w:t>Huts</w:t>
            </w:r>
          </w:p>
        </w:tc>
        <w:tc>
          <w:tcPr>
            <w:tcW w:w="1842" w:type="dxa"/>
          </w:tcPr>
          <w:p w:rsidR="007C5447" w:rsidRDefault="00F6308C">
            <w:pPr>
              <w:pStyle w:val="TableParagraph"/>
              <w:spacing w:before="29"/>
              <w:ind w:left="194"/>
              <w:jc w:val="center"/>
            </w:pPr>
            <w:r>
              <w:t>-</w:t>
            </w:r>
          </w:p>
        </w:tc>
        <w:tc>
          <w:tcPr>
            <w:tcW w:w="1561" w:type="dxa"/>
          </w:tcPr>
          <w:p w:rsidR="007C5447" w:rsidRDefault="00F6308C">
            <w:pPr>
              <w:pStyle w:val="TableParagraph"/>
              <w:spacing w:before="29"/>
              <w:ind w:right="90"/>
              <w:jc w:val="center"/>
            </w:pPr>
            <w:r>
              <w:t>-</w:t>
            </w:r>
          </w:p>
        </w:tc>
      </w:tr>
      <w:tr w:rsidR="007C5447">
        <w:trPr>
          <w:trHeight w:val="316"/>
        </w:trPr>
        <w:tc>
          <w:tcPr>
            <w:tcW w:w="991" w:type="dxa"/>
          </w:tcPr>
          <w:p w:rsidR="007C5447" w:rsidRDefault="00F6308C">
            <w:pPr>
              <w:pStyle w:val="TableParagraph"/>
              <w:spacing w:before="32"/>
              <w:ind w:left="105"/>
              <w:jc w:val="left"/>
            </w:pPr>
            <w:r>
              <w:t>I (C)</w:t>
            </w:r>
          </w:p>
        </w:tc>
        <w:tc>
          <w:tcPr>
            <w:tcW w:w="4254" w:type="dxa"/>
          </w:tcPr>
          <w:p w:rsidR="007C5447" w:rsidRDefault="00F6308C">
            <w:pPr>
              <w:pStyle w:val="TableParagraph"/>
              <w:spacing w:before="32"/>
              <w:ind w:left="107"/>
              <w:jc w:val="left"/>
            </w:pPr>
            <w:r>
              <w:t>Bulk supply</w:t>
            </w:r>
          </w:p>
        </w:tc>
        <w:tc>
          <w:tcPr>
            <w:tcW w:w="1842" w:type="dxa"/>
          </w:tcPr>
          <w:p w:rsidR="007C5447" w:rsidRDefault="00F6308C">
            <w:pPr>
              <w:pStyle w:val="TableParagraph"/>
              <w:spacing w:before="32"/>
              <w:ind w:left="159"/>
              <w:jc w:val="center"/>
            </w:pPr>
            <w:r>
              <w:t>5</w:t>
            </w:r>
          </w:p>
        </w:tc>
        <w:tc>
          <w:tcPr>
            <w:tcW w:w="1561" w:type="dxa"/>
          </w:tcPr>
          <w:p w:rsidR="007C5447" w:rsidRDefault="00F6308C">
            <w:pPr>
              <w:pStyle w:val="TableParagraph"/>
              <w:spacing w:before="32"/>
              <w:ind w:right="125"/>
              <w:jc w:val="center"/>
            </w:pPr>
            <w:r>
              <w:t>5</w:t>
            </w:r>
          </w:p>
        </w:tc>
      </w:tr>
      <w:tr w:rsidR="007C5447">
        <w:trPr>
          <w:trHeight w:val="316"/>
        </w:trPr>
        <w:tc>
          <w:tcPr>
            <w:tcW w:w="991" w:type="dxa"/>
          </w:tcPr>
          <w:p w:rsidR="007C5447" w:rsidRDefault="00F6308C">
            <w:pPr>
              <w:pStyle w:val="TableParagraph"/>
              <w:spacing w:before="29"/>
              <w:ind w:left="105"/>
              <w:jc w:val="left"/>
            </w:pPr>
            <w:r>
              <w:t>II (A)</w:t>
            </w:r>
          </w:p>
        </w:tc>
        <w:tc>
          <w:tcPr>
            <w:tcW w:w="4254" w:type="dxa"/>
          </w:tcPr>
          <w:p w:rsidR="007C5447" w:rsidRDefault="00F6308C">
            <w:pPr>
              <w:pStyle w:val="TableParagraph"/>
              <w:spacing w:before="29"/>
              <w:ind w:left="107"/>
              <w:jc w:val="left"/>
            </w:pPr>
            <w:r>
              <w:t>Public Lighting &amp; Water Works</w:t>
            </w:r>
          </w:p>
        </w:tc>
        <w:tc>
          <w:tcPr>
            <w:tcW w:w="1842" w:type="dxa"/>
          </w:tcPr>
          <w:p w:rsidR="007C5447" w:rsidRDefault="00F6308C">
            <w:pPr>
              <w:pStyle w:val="TableParagraph"/>
              <w:spacing w:before="29"/>
              <w:ind w:left="556"/>
              <w:jc w:val="left"/>
            </w:pPr>
            <w:r>
              <w:t>1,980</w:t>
            </w:r>
          </w:p>
        </w:tc>
        <w:tc>
          <w:tcPr>
            <w:tcW w:w="1561" w:type="dxa"/>
          </w:tcPr>
          <w:p w:rsidR="007C5447" w:rsidRDefault="00F6308C">
            <w:pPr>
              <w:pStyle w:val="TableParagraph"/>
              <w:spacing w:before="29"/>
              <w:ind w:left="272"/>
              <w:jc w:val="left"/>
            </w:pPr>
            <w:r>
              <w:t>1,982</w:t>
            </w:r>
          </w:p>
        </w:tc>
      </w:tr>
      <w:tr w:rsidR="007C5447">
        <w:trPr>
          <w:trHeight w:val="316"/>
        </w:trPr>
        <w:tc>
          <w:tcPr>
            <w:tcW w:w="991" w:type="dxa"/>
          </w:tcPr>
          <w:p w:rsidR="007C5447" w:rsidRDefault="00F6308C">
            <w:pPr>
              <w:pStyle w:val="TableParagraph"/>
              <w:spacing w:before="29"/>
              <w:ind w:left="105"/>
              <w:jc w:val="left"/>
            </w:pPr>
            <w:r>
              <w:t>II (B)-1</w:t>
            </w:r>
          </w:p>
        </w:tc>
        <w:tc>
          <w:tcPr>
            <w:tcW w:w="4254" w:type="dxa"/>
          </w:tcPr>
          <w:p w:rsidR="007C5447" w:rsidRDefault="00F6308C">
            <w:pPr>
              <w:pStyle w:val="TableParagraph"/>
              <w:spacing w:before="29"/>
              <w:ind w:left="107"/>
              <w:jc w:val="left"/>
            </w:pPr>
            <w:r>
              <w:t>Government Educational Institution</w:t>
            </w:r>
          </w:p>
        </w:tc>
        <w:tc>
          <w:tcPr>
            <w:tcW w:w="1842" w:type="dxa"/>
          </w:tcPr>
          <w:p w:rsidR="007C5447" w:rsidRDefault="00F6308C">
            <w:pPr>
              <w:pStyle w:val="TableParagraph"/>
              <w:spacing w:before="29"/>
              <w:ind w:left="262" w:right="321"/>
              <w:jc w:val="center"/>
            </w:pPr>
            <w:r>
              <w:t>107</w:t>
            </w:r>
          </w:p>
        </w:tc>
        <w:tc>
          <w:tcPr>
            <w:tcW w:w="1561" w:type="dxa"/>
          </w:tcPr>
          <w:p w:rsidR="007C5447" w:rsidRDefault="00F6308C">
            <w:pPr>
              <w:pStyle w:val="TableParagraph"/>
              <w:spacing w:before="29"/>
              <w:ind w:left="435"/>
              <w:jc w:val="left"/>
            </w:pPr>
            <w:r>
              <w:t>106</w:t>
            </w:r>
          </w:p>
        </w:tc>
      </w:tr>
      <w:tr w:rsidR="007C5447">
        <w:trPr>
          <w:trHeight w:val="316"/>
        </w:trPr>
        <w:tc>
          <w:tcPr>
            <w:tcW w:w="991" w:type="dxa"/>
          </w:tcPr>
          <w:p w:rsidR="007C5447" w:rsidRDefault="00F6308C">
            <w:pPr>
              <w:pStyle w:val="TableParagraph"/>
              <w:spacing w:before="29"/>
              <w:ind w:left="105"/>
              <w:jc w:val="left"/>
            </w:pPr>
            <w:r>
              <w:t>II (B)-2</w:t>
            </w:r>
          </w:p>
        </w:tc>
        <w:tc>
          <w:tcPr>
            <w:tcW w:w="4254" w:type="dxa"/>
          </w:tcPr>
          <w:p w:rsidR="007C5447" w:rsidRDefault="00F6308C">
            <w:pPr>
              <w:pStyle w:val="TableParagraph"/>
              <w:spacing w:before="29"/>
              <w:ind w:left="107"/>
              <w:jc w:val="left"/>
            </w:pPr>
            <w:r>
              <w:t>Pvt. Educational Institutions</w:t>
            </w:r>
          </w:p>
        </w:tc>
        <w:tc>
          <w:tcPr>
            <w:tcW w:w="1842" w:type="dxa"/>
          </w:tcPr>
          <w:p w:rsidR="007C5447" w:rsidRDefault="00F6308C">
            <w:pPr>
              <w:pStyle w:val="TableParagraph"/>
              <w:spacing w:before="29"/>
              <w:ind w:left="262" w:right="321"/>
              <w:jc w:val="center"/>
            </w:pPr>
            <w:r>
              <w:t>242</w:t>
            </w:r>
          </w:p>
        </w:tc>
        <w:tc>
          <w:tcPr>
            <w:tcW w:w="1561" w:type="dxa"/>
          </w:tcPr>
          <w:p w:rsidR="007C5447" w:rsidRDefault="00F6308C">
            <w:pPr>
              <w:pStyle w:val="TableParagraph"/>
              <w:spacing w:before="29"/>
              <w:ind w:left="435"/>
              <w:jc w:val="left"/>
            </w:pPr>
            <w:r>
              <w:t>241</w:t>
            </w:r>
          </w:p>
        </w:tc>
      </w:tr>
      <w:tr w:rsidR="007C5447">
        <w:trPr>
          <w:trHeight w:val="316"/>
        </w:trPr>
        <w:tc>
          <w:tcPr>
            <w:tcW w:w="991" w:type="dxa"/>
          </w:tcPr>
          <w:p w:rsidR="007C5447" w:rsidRDefault="00F6308C">
            <w:pPr>
              <w:pStyle w:val="TableParagraph"/>
              <w:spacing w:before="29"/>
              <w:ind w:left="105"/>
              <w:jc w:val="left"/>
            </w:pPr>
            <w:r>
              <w:t>II (C)</w:t>
            </w:r>
          </w:p>
        </w:tc>
        <w:tc>
          <w:tcPr>
            <w:tcW w:w="4254" w:type="dxa"/>
          </w:tcPr>
          <w:p w:rsidR="007C5447" w:rsidRDefault="00F6308C">
            <w:pPr>
              <w:pStyle w:val="TableParagraph"/>
              <w:spacing w:before="29"/>
              <w:ind w:left="107"/>
              <w:jc w:val="left"/>
            </w:pPr>
            <w:r>
              <w:t>Places of Public Worship (LT)</w:t>
            </w:r>
          </w:p>
        </w:tc>
        <w:tc>
          <w:tcPr>
            <w:tcW w:w="1842" w:type="dxa"/>
          </w:tcPr>
          <w:p w:rsidR="007C5447" w:rsidRDefault="00F6308C">
            <w:pPr>
              <w:pStyle w:val="TableParagraph"/>
              <w:spacing w:before="29"/>
              <w:ind w:left="323" w:right="274"/>
              <w:jc w:val="center"/>
            </w:pPr>
            <w:r>
              <w:t>88</w:t>
            </w:r>
          </w:p>
        </w:tc>
        <w:tc>
          <w:tcPr>
            <w:tcW w:w="1561" w:type="dxa"/>
          </w:tcPr>
          <w:p w:rsidR="007C5447" w:rsidRDefault="00F6308C">
            <w:pPr>
              <w:pStyle w:val="TableParagraph"/>
              <w:spacing w:before="29"/>
              <w:ind w:left="125" w:right="360"/>
              <w:jc w:val="center"/>
            </w:pPr>
            <w:r>
              <w:t>87</w:t>
            </w:r>
          </w:p>
        </w:tc>
      </w:tr>
      <w:tr w:rsidR="007C5447">
        <w:trPr>
          <w:trHeight w:val="313"/>
        </w:trPr>
        <w:tc>
          <w:tcPr>
            <w:tcW w:w="991" w:type="dxa"/>
          </w:tcPr>
          <w:p w:rsidR="007C5447" w:rsidRDefault="00F6308C">
            <w:pPr>
              <w:pStyle w:val="TableParagraph"/>
              <w:spacing w:before="29"/>
              <w:ind w:left="105"/>
              <w:jc w:val="left"/>
            </w:pPr>
            <w:r>
              <w:t>III (A)-1</w:t>
            </w:r>
          </w:p>
        </w:tc>
        <w:tc>
          <w:tcPr>
            <w:tcW w:w="4254" w:type="dxa"/>
          </w:tcPr>
          <w:p w:rsidR="007C5447" w:rsidRDefault="00F6308C">
            <w:pPr>
              <w:pStyle w:val="TableParagraph"/>
              <w:spacing w:before="29"/>
              <w:ind w:left="107"/>
              <w:jc w:val="left"/>
            </w:pPr>
            <w:r>
              <w:t>Cottage and Tiny Industries</w:t>
            </w:r>
          </w:p>
        </w:tc>
        <w:tc>
          <w:tcPr>
            <w:tcW w:w="1842" w:type="dxa"/>
          </w:tcPr>
          <w:p w:rsidR="007C5447" w:rsidRDefault="00F6308C">
            <w:pPr>
              <w:pStyle w:val="TableParagraph"/>
              <w:spacing w:before="29"/>
              <w:ind w:left="262" w:right="321"/>
              <w:jc w:val="center"/>
            </w:pPr>
            <w:r>
              <w:t>130</w:t>
            </w:r>
          </w:p>
        </w:tc>
        <w:tc>
          <w:tcPr>
            <w:tcW w:w="1561" w:type="dxa"/>
          </w:tcPr>
          <w:p w:rsidR="007C5447" w:rsidRDefault="00F6308C">
            <w:pPr>
              <w:pStyle w:val="TableParagraph"/>
              <w:spacing w:before="29"/>
              <w:ind w:left="435"/>
              <w:jc w:val="left"/>
            </w:pPr>
            <w:r>
              <w:t>132</w:t>
            </w:r>
          </w:p>
        </w:tc>
      </w:tr>
      <w:tr w:rsidR="007C5447">
        <w:trPr>
          <w:trHeight w:val="316"/>
        </w:trPr>
        <w:tc>
          <w:tcPr>
            <w:tcW w:w="991" w:type="dxa"/>
          </w:tcPr>
          <w:p w:rsidR="007C5447" w:rsidRDefault="00F6308C">
            <w:pPr>
              <w:pStyle w:val="TableParagraph"/>
              <w:spacing w:before="32"/>
              <w:ind w:left="105"/>
              <w:jc w:val="left"/>
            </w:pPr>
            <w:r>
              <w:t>III (A)-2</w:t>
            </w:r>
          </w:p>
        </w:tc>
        <w:tc>
          <w:tcPr>
            <w:tcW w:w="4254" w:type="dxa"/>
          </w:tcPr>
          <w:p w:rsidR="007C5447" w:rsidRDefault="00F6308C">
            <w:pPr>
              <w:pStyle w:val="TableParagraph"/>
              <w:spacing w:before="32"/>
              <w:ind w:left="107"/>
              <w:jc w:val="left"/>
            </w:pPr>
            <w:r>
              <w:t>Power Loom</w:t>
            </w:r>
          </w:p>
        </w:tc>
        <w:tc>
          <w:tcPr>
            <w:tcW w:w="1842" w:type="dxa"/>
          </w:tcPr>
          <w:p w:rsidR="007C5447" w:rsidRDefault="00F6308C">
            <w:pPr>
              <w:pStyle w:val="TableParagraph"/>
              <w:spacing w:before="32"/>
              <w:ind w:left="262" w:right="321"/>
              <w:jc w:val="center"/>
            </w:pPr>
            <w:r>
              <w:t>418</w:t>
            </w:r>
          </w:p>
        </w:tc>
        <w:tc>
          <w:tcPr>
            <w:tcW w:w="1561" w:type="dxa"/>
          </w:tcPr>
          <w:p w:rsidR="007C5447" w:rsidRDefault="00F6308C">
            <w:pPr>
              <w:pStyle w:val="TableParagraph"/>
              <w:spacing w:before="32"/>
              <w:ind w:left="435"/>
              <w:jc w:val="left"/>
            </w:pPr>
            <w:r>
              <w:t>418</w:t>
            </w:r>
          </w:p>
        </w:tc>
      </w:tr>
      <w:tr w:rsidR="007C5447">
        <w:trPr>
          <w:trHeight w:val="316"/>
        </w:trPr>
        <w:tc>
          <w:tcPr>
            <w:tcW w:w="991" w:type="dxa"/>
          </w:tcPr>
          <w:p w:rsidR="007C5447" w:rsidRDefault="00F6308C">
            <w:pPr>
              <w:pStyle w:val="TableParagraph"/>
              <w:spacing w:before="29"/>
              <w:ind w:left="105"/>
              <w:jc w:val="left"/>
            </w:pPr>
            <w:r>
              <w:t>III (B)</w:t>
            </w:r>
          </w:p>
        </w:tc>
        <w:tc>
          <w:tcPr>
            <w:tcW w:w="4254" w:type="dxa"/>
          </w:tcPr>
          <w:p w:rsidR="007C5447" w:rsidRDefault="00F6308C">
            <w:pPr>
              <w:pStyle w:val="TableParagraph"/>
              <w:spacing w:before="29"/>
              <w:ind w:left="107"/>
              <w:jc w:val="left"/>
            </w:pPr>
            <w:r>
              <w:t>Industries</w:t>
            </w:r>
          </w:p>
        </w:tc>
        <w:tc>
          <w:tcPr>
            <w:tcW w:w="1842" w:type="dxa"/>
          </w:tcPr>
          <w:p w:rsidR="007C5447" w:rsidRDefault="00F6308C">
            <w:pPr>
              <w:pStyle w:val="TableParagraph"/>
              <w:spacing w:before="29"/>
              <w:ind w:left="556"/>
              <w:jc w:val="left"/>
            </w:pPr>
            <w:r>
              <w:t>5,857</w:t>
            </w:r>
          </w:p>
        </w:tc>
        <w:tc>
          <w:tcPr>
            <w:tcW w:w="1561" w:type="dxa"/>
          </w:tcPr>
          <w:p w:rsidR="007C5447" w:rsidRDefault="00F6308C">
            <w:pPr>
              <w:pStyle w:val="TableParagraph"/>
              <w:spacing w:before="29"/>
              <w:ind w:left="272"/>
              <w:jc w:val="left"/>
            </w:pPr>
            <w:r>
              <w:t>5,846</w:t>
            </w:r>
          </w:p>
        </w:tc>
      </w:tr>
      <w:tr w:rsidR="007C5447">
        <w:trPr>
          <w:trHeight w:val="316"/>
        </w:trPr>
        <w:tc>
          <w:tcPr>
            <w:tcW w:w="991" w:type="dxa"/>
          </w:tcPr>
          <w:p w:rsidR="007C5447" w:rsidRDefault="00F6308C">
            <w:pPr>
              <w:pStyle w:val="TableParagraph"/>
              <w:spacing w:before="30"/>
              <w:ind w:left="105"/>
              <w:jc w:val="left"/>
            </w:pPr>
            <w:r>
              <w:t>IV</w:t>
            </w:r>
          </w:p>
        </w:tc>
        <w:tc>
          <w:tcPr>
            <w:tcW w:w="4254" w:type="dxa"/>
          </w:tcPr>
          <w:p w:rsidR="007C5447" w:rsidRDefault="00F6308C">
            <w:pPr>
              <w:pStyle w:val="TableParagraph"/>
              <w:spacing w:before="30"/>
              <w:ind w:left="107"/>
              <w:jc w:val="left"/>
            </w:pPr>
            <w:r>
              <w:t>Agriculture &amp; Government seed farm</w:t>
            </w:r>
          </w:p>
        </w:tc>
        <w:tc>
          <w:tcPr>
            <w:tcW w:w="1842" w:type="dxa"/>
          </w:tcPr>
          <w:p w:rsidR="007C5447" w:rsidRDefault="00F6308C">
            <w:pPr>
              <w:pStyle w:val="TableParagraph"/>
              <w:spacing w:before="30"/>
              <w:ind w:left="194"/>
              <w:jc w:val="center"/>
            </w:pPr>
            <w:r>
              <w:t>-</w:t>
            </w:r>
          </w:p>
        </w:tc>
        <w:tc>
          <w:tcPr>
            <w:tcW w:w="1561" w:type="dxa"/>
          </w:tcPr>
          <w:p w:rsidR="007C5447" w:rsidRDefault="00F6308C">
            <w:pPr>
              <w:pStyle w:val="TableParagraph"/>
              <w:spacing w:before="30"/>
              <w:ind w:right="90"/>
              <w:jc w:val="center"/>
            </w:pPr>
            <w:r>
              <w:t>-</w:t>
            </w:r>
          </w:p>
        </w:tc>
      </w:tr>
      <w:tr w:rsidR="007C5447">
        <w:trPr>
          <w:trHeight w:val="316"/>
        </w:trPr>
        <w:tc>
          <w:tcPr>
            <w:tcW w:w="991" w:type="dxa"/>
          </w:tcPr>
          <w:p w:rsidR="007C5447" w:rsidRDefault="00F6308C">
            <w:pPr>
              <w:pStyle w:val="TableParagraph"/>
              <w:spacing w:before="29"/>
              <w:ind w:left="105"/>
              <w:jc w:val="left"/>
            </w:pPr>
            <w:r>
              <w:t>V</w:t>
            </w:r>
          </w:p>
        </w:tc>
        <w:tc>
          <w:tcPr>
            <w:tcW w:w="4254" w:type="dxa"/>
          </w:tcPr>
          <w:p w:rsidR="007C5447" w:rsidRDefault="00F6308C">
            <w:pPr>
              <w:pStyle w:val="TableParagraph"/>
              <w:spacing w:before="29"/>
              <w:ind w:left="107"/>
              <w:jc w:val="left"/>
            </w:pPr>
            <w:r>
              <w:t>Commercial and Other</w:t>
            </w:r>
          </w:p>
        </w:tc>
        <w:tc>
          <w:tcPr>
            <w:tcW w:w="1842" w:type="dxa"/>
          </w:tcPr>
          <w:p w:rsidR="007C5447" w:rsidRDefault="00F6308C">
            <w:pPr>
              <w:pStyle w:val="TableParagraph"/>
              <w:spacing w:before="29"/>
              <w:ind w:left="556"/>
              <w:jc w:val="left"/>
            </w:pPr>
            <w:r>
              <w:t>7,722</w:t>
            </w:r>
          </w:p>
        </w:tc>
        <w:tc>
          <w:tcPr>
            <w:tcW w:w="1561" w:type="dxa"/>
          </w:tcPr>
          <w:p w:rsidR="007C5447" w:rsidRDefault="00F6308C">
            <w:pPr>
              <w:pStyle w:val="TableParagraph"/>
              <w:spacing w:before="29"/>
              <w:ind w:left="272"/>
              <w:jc w:val="left"/>
            </w:pPr>
            <w:r>
              <w:t>7,711</w:t>
            </w:r>
          </w:p>
        </w:tc>
      </w:tr>
      <w:tr w:rsidR="007C5447">
        <w:trPr>
          <w:trHeight w:val="316"/>
        </w:trPr>
        <w:tc>
          <w:tcPr>
            <w:tcW w:w="991" w:type="dxa"/>
          </w:tcPr>
          <w:p w:rsidR="007C5447" w:rsidRDefault="00F6308C">
            <w:pPr>
              <w:pStyle w:val="TableParagraph"/>
              <w:spacing w:before="29"/>
              <w:ind w:left="105"/>
              <w:jc w:val="left"/>
            </w:pPr>
            <w:r>
              <w:t>VI</w:t>
            </w:r>
          </w:p>
        </w:tc>
        <w:tc>
          <w:tcPr>
            <w:tcW w:w="4254" w:type="dxa"/>
          </w:tcPr>
          <w:p w:rsidR="007C5447" w:rsidRDefault="00F6308C">
            <w:pPr>
              <w:pStyle w:val="TableParagraph"/>
              <w:spacing w:before="29"/>
              <w:ind w:left="107"/>
              <w:jc w:val="left"/>
            </w:pPr>
            <w:r>
              <w:t>Temporary Supply</w:t>
            </w:r>
          </w:p>
        </w:tc>
        <w:tc>
          <w:tcPr>
            <w:tcW w:w="1842" w:type="dxa"/>
          </w:tcPr>
          <w:p w:rsidR="007C5447" w:rsidRDefault="00F6308C">
            <w:pPr>
              <w:pStyle w:val="TableParagraph"/>
              <w:spacing w:before="29"/>
              <w:ind w:left="262" w:right="321"/>
              <w:jc w:val="center"/>
            </w:pPr>
            <w:r>
              <w:t>483</w:t>
            </w:r>
          </w:p>
        </w:tc>
        <w:tc>
          <w:tcPr>
            <w:tcW w:w="1561" w:type="dxa"/>
          </w:tcPr>
          <w:p w:rsidR="007C5447" w:rsidRDefault="00F6308C">
            <w:pPr>
              <w:pStyle w:val="TableParagraph"/>
              <w:spacing w:before="29"/>
              <w:ind w:left="435"/>
              <w:jc w:val="left"/>
            </w:pPr>
            <w:r>
              <w:t>512</w:t>
            </w:r>
          </w:p>
        </w:tc>
      </w:tr>
      <w:tr w:rsidR="007C5447">
        <w:trPr>
          <w:trHeight w:val="314"/>
        </w:trPr>
        <w:tc>
          <w:tcPr>
            <w:tcW w:w="991" w:type="dxa"/>
          </w:tcPr>
          <w:p w:rsidR="007C5447" w:rsidRDefault="007C5447">
            <w:pPr>
              <w:pStyle w:val="TableParagraph"/>
              <w:jc w:val="left"/>
            </w:pPr>
          </w:p>
        </w:tc>
        <w:tc>
          <w:tcPr>
            <w:tcW w:w="4254" w:type="dxa"/>
          </w:tcPr>
          <w:p w:rsidR="007C5447" w:rsidRDefault="00F6308C">
            <w:pPr>
              <w:pStyle w:val="TableParagraph"/>
              <w:spacing w:before="29"/>
              <w:ind w:left="107"/>
              <w:jc w:val="left"/>
              <w:rPr>
                <w:b/>
              </w:rPr>
            </w:pPr>
            <w:r>
              <w:rPr>
                <w:b/>
              </w:rPr>
              <w:t>TOTAL LT category revenue</w:t>
            </w:r>
          </w:p>
        </w:tc>
        <w:tc>
          <w:tcPr>
            <w:tcW w:w="1842" w:type="dxa"/>
          </w:tcPr>
          <w:p w:rsidR="007C5447" w:rsidRDefault="00F6308C">
            <w:pPr>
              <w:pStyle w:val="TableParagraph"/>
              <w:spacing w:before="29"/>
              <w:ind w:left="446"/>
              <w:jc w:val="left"/>
              <w:rPr>
                <w:b/>
              </w:rPr>
            </w:pPr>
            <w:r>
              <w:rPr>
                <w:b/>
              </w:rPr>
              <w:t>23,440</w:t>
            </w:r>
          </w:p>
        </w:tc>
        <w:tc>
          <w:tcPr>
            <w:tcW w:w="1561" w:type="dxa"/>
          </w:tcPr>
          <w:p w:rsidR="007C5447" w:rsidRDefault="00F6308C">
            <w:pPr>
              <w:pStyle w:val="TableParagraph"/>
              <w:spacing w:before="29"/>
              <w:ind w:left="162"/>
              <w:jc w:val="left"/>
              <w:rPr>
                <w:b/>
              </w:rPr>
            </w:pPr>
            <w:r>
              <w:rPr>
                <w:b/>
              </w:rPr>
              <w:t>23,348</w:t>
            </w:r>
          </w:p>
        </w:tc>
      </w:tr>
      <w:tr w:rsidR="007C5447">
        <w:trPr>
          <w:trHeight w:val="316"/>
        </w:trPr>
        <w:tc>
          <w:tcPr>
            <w:tcW w:w="991" w:type="dxa"/>
          </w:tcPr>
          <w:p w:rsidR="007C5447" w:rsidRDefault="007C5447">
            <w:pPr>
              <w:pStyle w:val="TableParagraph"/>
              <w:jc w:val="left"/>
            </w:pPr>
          </w:p>
        </w:tc>
        <w:tc>
          <w:tcPr>
            <w:tcW w:w="4254" w:type="dxa"/>
          </w:tcPr>
          <w:p w:rsidR="007C5447" w:rsidRDefault="00F6308C">
            <w:pPr>
              <w:pStyle w:val="TableParagraph"/>
              <w:spacing w:before="32"/>
              <w:ind w:left="107"/>
              <w:jc w:val="left"/>
              <w:rPr>
                <w:b/>
              </w:rPr>
            </w:pPr>
            <w:r>
              <w:rPr>
                <w:b/>
              </w:rPr>
              <w:t>TOTAL Revenue from LT &amp; HT</w:t>
            </w:r>
          </w:p>
        </w:tc>
        <w:tc>
          <w:tcPr>
            <w:tcW w:w="1842" w:type="dxa"/>
          </w:tcPr>
          <w:p w:rsidR="007C5447" w:rsidRDefault="00F6308C">
            <w:pPr>
              <w:pStyle w:val="TableParagraph"/>
              <w:spacing w:before="32"/>
              <w:ind w:left="446"/>
              <w:jc w:val="left"/>
              <w:rPr>
                <w:b/>
              </w:rPr>
            </w:pPr>
            <w:r>
              <w:rPr>
                <w:b/>
              </w:rPr>
              <w:t>40,942</w:t>
            </w:r>
          </w:p>
        </w:tc>
        <w:tc>
          <w:tcPr>
            <w:tcW w:w="1561" w:type="dxa"/>
          </w:tcPr>
          <w:p w:rsidR="007C5447" w:rsidRDefault="00F6308C">
            <w:pPr>
              <w:pStyle w:val="TableParagraph"/>
              <w:spacing w:before="32"/>
              <w:ind w:left="162"/>
              <w:jc w:val="left"/>
              <w:rPr>
                <w:b/>
              </w:rPr>
            </w:pPr>
            <w:r>
              <w:rPr>
                <w:b/>
              </w:rPr>
              <w:t>41,185</w:t>
            </w:r>
          </w:p>
        </w:tc>
      </w:tr>
    </w:tbl>
    <w:p w:rsidR="007C5447" w:rsidRDefault="007C5447">
      <w:pPr>
        <w:sectPr w:rsidR="007C5447">
          <w:footerReference w:type="default" r:id="rId58"/>
          <w:pgSz w:w="11910" w:h="16840"/>
          <w:pgMar w:top="1360" w:right="260" w:bottom="1240" w:left="340" w:header="0" w:footer="1057" w:gutter="0"/>
          <w:cols w:space="720"/>
        </w:sectPr>
      </w:pPr>
    </w:p>
    <w:p w:rsidR="007C5447" w:rsidRDefault="00F6308C">
      <w:pPr>
        <w:pStyle w:val="Heading2"/>
        <w:numPr>
          <w:ilvl w:val="1"/>
          <w:numId w:val="114"/>
        </w:numPr>
        <w:tabs>
          <w:tab w:val="left" w:pos="1667"/>
        </w:tabs>
        <w:spacing w:before="60"/>
        <w:ind w:left="1666"/>
      </w:pPr>
      <w:bookmarkStart w:id="74" w:name="_bookmark74"/>
      <w:bookmarkEnd w:id="74"/>
      <w:r>
        <w:lastRenderedPageBreak/>
        <w:t>Revenue Gap/(Surplus) for FY 2016-17 and FY</w:t>
      </w:r>
      <w:r>
        <w:rPr>
          <w:spacing w:val="1"/>
        </w:rPr>
        <w:t xml:space="preserve"> </w:t>
      </w:r>
      <w:r>
        <w:t>2017-18</w:t>
      </w:r>
    </w:p>
    <w:p w:rsidR="007C5447" w:rsidRDefault="007C5447">
      <w:pPr>
        <w:pStyle w:val="BodyText"/>
        <w:rPr>
          <w:b/>
          <w:sz w:val="28"/>
        </w:rPr>
      </w:pPr>
    </w:p>
    <w:p w:rsidR="007C5447" w:rsidRDefault="00F6308C">
      <w:pPr>
        <w:pStyle w:val="ListParagraph"/>
        <w:numPr>
          <w:ilvl w:val="2"/>
          <w:numId w:val="114"/>
        </w:numPr>
        <w:tabs>
          <w:tab w:val="left" w:pos="1953"/>
        </w:tabs>
        <w:spacing w:line="312" w:lineRule="auto"/>
        <w:ind w:left="1952" w:right="1175" w:hanging="852"/>
        <w:jc w:val="both"/>
        <w:rPr>
          <w:sz w:val="24"/>
        </w:rPr>
      </w:pPr>
      <w:r>
        <w:rPr>
          <w:sz w:val="24"/>
        </w:rPr>
        <w:t>The Commission has estimated the revenue for FY 2016-17 and FY 2017-18 based on estimated energy sales and prevailing applicabl</w:t>
      </w:r>
      <w:r>
        <w:rPr>
          <w:sz w:val="24"/>
        </w:rPr>
        <w:t>e tariff. The Commission has not considered the revenue towards FRP bonds, as these FRP bonds are against Regulatory Assets approved for the period prior to unbundling of TNEB, which  were taken over by the GoTN. Based on estimated Aggregate Revenue Requir</w:t>
      </w:r>
      <w:r>
        <w:rPr>
          <w:sz w:val="24"/>
        </w:rPr>
        <w:t>ement, Revenue from sales, and projected subsidy to be received from GoTN for FY 2016- 17 and FY 2017-18 based on existing tariff structure, the Revenue Gap/(Surplus) projected by the Commission for FY 2016-17 and FY 2017-18 is shown in the Table below:</w:t>
      </w:r>
    </w:p>
    <w:p w:rsidR="007C5447" w:rsidRDefault="007C5447">
      <w:pPr>
        <w:pStyle w:val="BodyText"/>
        <w:spacing w:before="3"/>
        <w:rPr>
          <w:sz w:val="21"/>
        </w:rPr>
      </w:pPr>
    </w:p>
    <w:p w:rsidR="007C5447" w:rsidRDefault="00F6308C">
      <w:pPr>
        <w:ind w:left="1880"/>
        <w:rPr>
          <w:b/>
        </w:rPr>
      </w:pPr>
      <w:r>
        <w:rPr>
          <w:b/>
        </w:rPr>
        <w:t>Table 4-56: Revenue Gap/(Surplus) for FY 2016-17 and FY 2017-18 (Rs. Crore)</w:t>
      </w:r>
    </w:p>
    <w:p w:rsidR="007C5447" w:rsidRDefault="007C5447">
      <w:pPr>
        <w:pStyle w:val="BodyText"/>
        <w:spacing w:before="11"/>
        <w:rPr>
          <w:b/>
          <w:sz w:val="16"/>
        </w:rPr>
      </w:pPr>
    </w:p>
    <w:tbl>
      <w:tblPr>
        <w:tblW w:w="0" w:type="auto"/>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70"/>
        <w:gridCol w:w="1557"/>
        <w:gridCol w:w="1418"/>
        <w:gridCol w:w="1538"/>
        <w:gridCol w:w="1437"/>
      </w:tblGrid>
      <w:tr w:rsidR="007C5447">
        <w:trPr>
          <w:trHeight w:val="282"/>
        </w:trPr>
        <w:tc>
          <w:tcPr>
            <w:tcW w:w="3370" w:type="dxa"/>
            <w:vMerge w:val="restart"/>
            <w:shd w:val="clear" w:color="auto" w:fill="F7C9AC"/>
          </w:tcPr>
          <w:p w:rsidR="007C5447" w:rsidRDefault="007C5447">
            <w:pPr>
              <w:pStyle w:val="TableParagraph"/>
              <w:spacing w:before="9"/>
              <w:jc w:val="left"/>
              <w:rPr>
                <w:b/>
                <w:sz w:val="18"/>
              </w:rPr>
            </w:pPr>
          </w:p>
          <w:p w:rsidR="007C5447" w:rsidRDefault="00F6308C">
            <w:pPr>
              <w:pStyle w:val="TableParagraph"/>
              <w:spacing w:before="1"/>
              <w:ind w:left="1140" w:right="1129"/>
              <w:jc w:val="center"/>
              <w:rPr>
                <w:b/>
              </w:rPr>
            </w:pPr>
            <w:r>
              <w:rPr>
                <w:b/>
              </w:rPr>
              <w:t>Particulars</w:t>
            </w:r>
          </w:p>
        </w:tc>
        <w:tc>
          <w:tcPr>
            <w:tcW w:w="2975" w:type="dxa"/>
            <w:gridSpan w:val="2"/>
            <w:shd w:val="clear" w:color="auto" w:fill="F7C9AC"/>
          </w:tcPr>
          <w:p w:rsidR="007C5447" w:rsidRDefault="00F6308C">
            <w:pPr>
              <w:pStyle w:val="TableParagraph"/>
              <w:spacing w:before="13" w:line="250" w:lineRule="exact"/>
              <w:ind w:left="945"/>
              <w:jc w:val="left"/>
              <w:rPr>
                <w:b/>
              </w:rPr>
            </w:pPr>
            <w:r>
              <w:rPr>
                <w:b/>
              </w:rPr>
              <w:t>FY 2016-17</w:t>
            </w:r>
          </w:p>
        </w:tc>
        <w:tc>
          <w:tcPr>
            <w:tcW w:w="2975" w:type="dxa"/>
            <w:gridSpan w:val="2"/>
            <w:shd w:val="clear" w:color="auto" w:fill="F7C9AC"/>
          </w:tcPr>
          <w:p w:rsidR="007C5447" w:rsidRDefault="00F6308C">
            <w:pPr>
              <w:pStyle w:val="TableParagraph"/>
              <w:spacing w:before="13" w:line="250" w:lineRule="exact"/>
              <w:ind w:left="946"/>
              <w:jc w:val="left"/>
              <w:rPr>
                <w:b/>
              </w:rPr>
            </w:pPr>
            <w:r>
              <w:rPr>
                <w:b/>
              </w:rPr>
              <w:t>FY 2017-18</w:t>
            </w:r>
          </w:p>
        </w:tc>
      </w:tr>
      <w:tr w:rsidR="007C5447">
        <w:trPr>
          <w:trHeight w:val="397"/>
        </w:trPr>
        <w:tc>
          <w:tcPr>
            <w:tcW w:w="3370" w:type="dxa"/>
            <w:vMerge/>
            <w:tcBorders>
              <w:top w:val="nil"/>
            </w:tcBorders>
            <w:shd w:val="clear" w:color="auto" w:fill="F7C9AC"/>
          </w:tcPr>
          <w:p w:rsidR="007C5447" w:rsidRDefault="007C5447">
            <w:pPr>
              <w:rPr>
                <w:sz w:val="2"/>
                <w:szCs w:val="2"/>
              </w:rPr>
            </w:pPr>
          </w:p>
        </w:tc>
        <w:tc>
          <w:tcPr>
            <w:tcW w:w="1557" w:type="dxa"/>
            <w:shd w:val="clear" w:color="auto" w:fill="F7C9AC"/>
          </w:tcPr>
          <w:p w:rsidR="007C5447" w:rsidRDefault="00F6308C">
            <w:pPr>
              <w:pStyle w:val="TableParagraph"/>
              <w:spacing w:before="70"/>
              <w:ind w:left="143"/>
              <w:jc w:val="left"/>
              <w:rPr>
                <w:b/>
              </w:rPr>
            </w:pPr>
            <w:r>
              <w:rPr>
                <w:b/>
              </w:rPr>
              <w:t>TANGEDCO</w:t>
            </w:r>
          </w:p>
        </w:tc>
        <w:tc>
          <w:tcPr>
            <w:tcW w:w="1418" w:type="dxa"/>
            <w:shd w:val="clear" w:color="auto" w:fill="F7C9AC"/>
          </w:tcPr>
          <w:p w:rsidR="007C5447" w:rsidRDefault="00F6308C">
            <w:pPr>
              <w:pStyle w:val="TableParagraph"/>
              <w:spacing w:before="70"/>
              <w:ind w:left="128"/>
              <w:jc w:val="left"/>
              <w:rPr>
                <w:b/>
              </w:rPr>
            </w:pPr>
            <w:r>
              <w:rPr>
                <w:b/>
              </w:rPr>
              <w:t>Commission</w:t>
            </w:r>
          </w:p>
        </w:tc>
        <w:tc>
          <w:tcPr>
            <w:tcW w:w="1538" w:type="dxa"/>
            <w:shd w:val="clear" w:color="auto" w:fill="F7C9AC"/>
          </w:tcPr>
          <w:p w:rsidR="007C5447" w:rsidRDefault="00F6308C">
            <w:pPr>
              <w:pStyle w:val="TableParagraph"/>
              <w:spacing w:before="70"/>
              <w:ind w:left="135"/>
              <w:jc w:val="left"/>
              <w:rPr>
                <w:b/>
              </w:rPr>
            </w:pPr>
            <w:r>
              <w:rPr>
                <w:b/>
              </w:rPr>
              <w:t>TANGEDCO</w:t>
            </w:r>
          </w:p>
        </w:tc>
        <w:tc>
          <w:tcPr>
            <w:tcW w:w="1437" w:type="dxa"/>
            <w:shd w:val="clear" w:color="auto" w:fill="F7C9AC"/>
          </w:tcPr>
          <w:p w:rsidR="007C5447" w:rsidRDefault="00F6308C">
            <w:pPr>
              <w:pStyle w:val="TableParagraph"/>
              <w:spacing w:before="70"/>
              <w:ind w:right="122"/>
              <w:rPr>
                <w:b/>
              </w:rPr>
            </w:pPr>
            <w:r>
              <w:rPr>
                <w:b/>
              </w:rPr>
              <w:t>Commission</w:t>
            </w:r>
          </w:p>
        </w:tc>
      </w:tr>
      <w:tr w:rsidR="007C5447">
        <w:trPr>
          <w:trHeight w:val="347"/>
        </w:trPr>
        <w:tc>
          <w:tcPr>
            <w:tcW w:w="3370" w:type="dxa"/>
          </w:tcPr>
          <w:p w:rsidR="007C5447" w:rsidRDefault="00F6308C">
            <w:pPr>
              <w:pStyle w:val="TableParagraph"/>
              <w:spacing w:before="46"/>
              <w:ind w:left="107"/>
              <w:jc w:val="left"/>
              <w:rPr>
                <w:b/>
              </w:rPr>
            </w:pPr>
            <w:r>
              <w:rPr>
                <w:b/>
              </w:rPr>
              <w:t>Aggregate Revenue Requirement</w:t>
            </w:r>
          </w:p>
        </w:tc>
        <w:tc>
          <w:tcPr>
            <w:tcW w:w="1557" w:type="dxa"/>
          </w:tcPr>
          <w:p w:rsidR="007C5447" w:rsidRDefault="00F6308C">
            <w:pPr>
              <w:pStyle w:val="TableParagraph"/>
              <w:spacing w:before="46"/>
              <w:ind w:left="247"/>
              <w:jc w:val="left"/>
              <w:rPr>
                <w:b/>
              </w:rPr>
            </w:pPr>
            <w:r>
              <w:rPr>
                <w:b/>
              </w:rPr>
              <w:t>51,466.86</w:t>
            </w:r>
          </w:p>
        </w:tc>
        <w:tc>
          <w:tcPr>
            <w:tcW w:w="1418" w:type="dxa"/>
          </w:tcPr>
          <w:p w:rsidR="007C5447" w:rsidRDefault="00F6308C">
            <w:pPr>
              <w:pStyle w:val="TableParagraph"/>
              <w:spacing w:before="46"/>
              <w:ind w:left="260"/>
              <w:jc w:val="left"/>
              <w:rPr>
                <w:b/>
              </w:rPr>
            </w:pPr>
            <w:r>
              <w:rPr>
                <w:b/>
              </w:rPr>
              <w:t>44,971.47</w:t>
            </w:r>
          </w:p>
        </w:tc>
        <w:tc>
          <w:tcPr>
            <w:tcW w:w="1538" w:type="dxa"/>
          </w:tcPr>
          <w:p w:rsidR="007C5447" w:rsidRDefault="00F6308C">
            <w:pPr>
              <w:pStyle w:val="TableParagraph"/>
              <w:spacing w:before="46"/>
              <w:ind w:left="231"/>
              <w:jc w:val="left"/>
              <w:rPr>
                <w:b/>
              </w:rPr>
            </w:pPr>
            <w:r>
              <w:rPr>
                <w:b/>
              </w:rPr>
              <w:t>52,277.73</w:t>
            </w:r>
          </w:p>
        </w:tc>
        <w:tc>
          <w:tcPr>
            <w:tcW w:w="1437" w:type="dxa"/>
          </w:tcPr>
          <w:p w:rsidR="007C5447" w:rsidRDefault="00F6308C">
            <w:pPr>
              <w:pStyle w:val="TableParagraph"/>
              <w:spacing w:before="46"/>
              <w:ind w:left="278"/>
              <w:jc w:val="left"/>
              <w:rPr>
                <w:b/>
              </w:rPr>
            </w:pPr>
            <w:r>
              <w:rPr>
                <w:b/>
              </w:rPr>
              <w:t>47,837.80</w:t>
            </w:r>
          </w:p>
        </w:tc>
      </w:tr>
      <w:tr w:rsidR="007C5447">
        <w:trPr>
          <w:trHeight w:val="347"/>
        </w:trPr>
        <w:tc>
          <w:tcPr>
            <w:tcW w:w="3370" w:type="dxa"/>
          </w:tcPr>
          <w:p w:rsidR="007C5447" w:rsidRDefault="00F6308C">
            <w:pPr>
              <w:pStyle w:val="TableParagraph"/>
              <w:spacing w:before="46"/>
              <w:ind w:left="107"/>
              <w:jc w:val="left"/>
            </w:pPr>
            <w:r>
              <w:t>Revenue from sales</w:t>
            </w:r>
          </w:p>
        </w:tc>
        <w:tc>
          <w:tcPr>
            <w:tcW w:w="1557" w:type="dxa"/>
          </w:tcPr>
          <w:p w:rsidR="007C5447" w:rsidRDefault="00F6308C">
            <w:pPr>
              <w:pStyle w:val="TableParagraph"/>
              <w:spacing w:before="46"/>
              <w:ind w:left="247"/>
              <w:jc w:val="left"/>
            </w:pPr>
            <w:r>
              <w:t>36,050.50</w:t>
            </w:r>
          </w:p>
        </w:tc>
        <w:tc>
          <w:tcPr>
            <w:tcW w:w="1418" w:type="dxa"/>
          </w:tcPr>
          <w:p w:rsidR="007C5447" w:rsidRDefault="00F6308C">
            <w:pPr>
              <w:pStyle w:val="TableParagraph"/>
              <w:spacing w:before="46"/>
              <w:ind w:left="257"/>
              <w:jc w:val="left"/>
            </w:pPr>
            <w:r>
              <w:t>33,462.65</w:t>
            </w:r>
          </w:p>
        </w:tc>
        <w:tc>
          <w:tcPr>
            <w:tcW w:w="1538" w:type="dxa"/>
          </w:tcPr>
          <w:p w:rsidR="007C5447" w:rsidRDefault="00F6308C">
            <w:pPr>
              <w:pStyle w:val="TableParagraph"/>
              <w:spacing w:before="46"/>
              <w:ind w:left="231"/>
              <w:jc w:val="left"/>
            </w:pPr>
            <w:r>
              <w:t>40,942.42</w:t>
            </w:r>
          </w:p>
        </w:tc>
        <w:tc>
          <w:tcPr>
            <w:tcW w:w="1437" w:type="dxa"/>
          </w:tcPr>
          <w:p w:rsidR="007C5447" w:rsidRDefault="00F6308C">
            <w:pPr>
              <w:pStyle w:val="TableParagraph"/>
              <w:spacing w:before="46"/>
              <w:ind w:left="278"/>
              <w:jc w:val="left"/>
            </w:pPr>
            <w:r>
              <w:t>41,184.69</w:t>
            </w:r>
          </w:p>
        </w:tc>
      </w:tr>
      <w:tr w:rsidR="007C5447">
        <w:trPr>
          <w:trHeight w:val="347"/>
        </w:trPr>
        <w:tc>
          <w:tcPr>
            <w:tcW w:w="3370" w:type="dxa"/>
          </w:tcPr>
          <w:p w:rsidR="007C5447" w:rsidRDefault="00F6308C">
            <w:pPr>
              <w:pStyle w:val="TableParagraph"/>
              <w:spacing w:before="46"/>
              <w:ind w:left="107"/>
              <w:jc w:val="left"/>
            </w:pPr>
            <w:r>
              <w:t>Govt. subsidy</w:t>
            </w:r>
          </w:p>
        </w:tc>
        <w:tc>
          <w:tcPr>
            <w:tcW w:w="1557" w:type="dxa"/>
          </w:tcPr>
          <w:p w:rsidR="007C5447" w:rsidRDefault="00F6308C">
            <w:pPr>
              <w:pStyle w:val="TableParagraph"/>
              <w:spacing w:before="46"/>
              <w:ind w:left="357"/>
              <w:jc w:val="left"/>
            </w:pPr>
            <w:r>
              <w:t>8,644.35</w:t>
            </w:r>
          </w:p>
        </w:tc>
        <w:tc>
          <w:tcPr>
            <w:tcW w:w="1418" w:type="dxa"/>
          </w:tcPr>
          <w:p w:rsidR="007C5447" w:rsidRDefault="00F6308C">
            <w:pPr>
              <w:pStyle w:val="TableParagraph"/>
              <w:spacing w:before="46"/>
              <w:ind w:left="370"/>
              <w:jc w:val="left"/>
            </w:pPr>
            <w:r>
              <w:t>8,644.35</w:t>
            </w:r>
          </w:p>
        </w:tc>
        <w:tc>
          <w:tcPr>
            <w:tcW w:w="1538" w:type="dxa"/>
          </w:tcPr>
          <w:p w:rsidR="007C5447" w:rsidRDefault="00F6308C">
            <w:pPr>
              <w:pStyle w:val="TableParagraph"/>
              <w:spacing w:before="46"/>
              <w:ind w:left="342"/>
              <w:jc w:val="left"/>
            </w:pPr>
            <w:r>
              <w:t>8,884.71</w:t>
            </w:r>
          </w:p>
        </w:tc>
        <w:tc>
          <w:tcPr>
            <w:tcW w:w="1437" w:type="dxa"/>
          </w:tcPr>
          <w:p w:rsidR="007C5447" w:rsidRDefault="00F6308C">
            <w:pPr>
              <w:pStyle w:val="TableParagraph"/>
              <w:spacing w:before="46"/>
              <w:ind w:left="388"/>
              <w:jc w:val="left"/>
            </w:pPr>
            <w:r>
              <w:t>8,884.71</w:t>
            </w:r>
          </w:p>
        </w:tc>
      </w:tr>
      <w:tr w:rsidR="007C5447">
        <w:trPr>
          <w:trHeight w:val="537"/>
        </w:trPr>
        <w:tc>
          <w:tcPr>
            <w:tcW w:w="3370" w:type="dxa"/>
          </w:tcPr>
          <w:p w:rsidR="007C5447" w:rsidRDefault="00F6308C">
            <w:pPr>
              <w:pStyle w:val="TableParagraph"/>
              <w:spacing w:before="19" w:line="252" w:lineRule="exact"/>
              <w:ind w:left="107" w:right="440"/>
              <w:jc w:val="left"/>
            </w:pPr>
            <w:r>
              <w:t>Other Govt. subsidy (FRP bond takeover)</w:t>
            </w:r>
          </w:p>
        </w:tc>
        <w:tc>
          <w:tcPr>
            <w:tcW w:w="1557" w:type="dxa"/>
          </w:tcPr>
          <w:p w:rsidR="007C5447" w:rsidRDefault="00F6308C">
            <w:pPr>
              <w:pStyle w:val="TableParagraph"/>
              <w:spacing w:before="140"/>
              <w:ind w:left="357"/>
              <w:jc w:val="left"/>
            </w:pPr>
            <w:r>
              <w:t>2,000.00</w:t>
            </w:r>
          </w:p>
        </w:tc>
        <w:tc>
          <w:tcPr>
            <w:tcW w:w="1418" w:type="dxa"/>
          </w:tcPr>
          <w:p w:rsidR="007C5447" w:rsidRDefault="00F6308C">
            <w:pPr>
              <w:pStyle w:val="TableParagraph"/>
              <w:spacing w:before="140"/>
              <w:ind w:right="265"/>
            </w:pPr>
            <w:r>
              <w:t>-</w:t>
            </w:r>
          </w:p>
        </w:tc>
        <w:tc>
          <w:tcPr>
            <w:tcW w:w="1538" w:type="dxa"/>
          </w:tcPr>
          <w:p w:rsidR="007C5447" w:rsidRDefault="00F6308C">
            <w:pPr>
              <w:pStyle w:val="TableParagraph"/>
              <w:spacing w:before="140"/>
              <w:ind w:left="342"/>
              <w:jc w:val="left"/>
            </w:pPr>
            <w:r>
              <w:t>2,343.49</w:t>
            </w:r>
          </w:p>
        </w:tc>
        <w:tc>
          <w:tcPr>
            <w:tcW w:w="1437" w:type="dxa"/>
          </w:tcPr>
          <w:p w:rsidR="007C5447" w:rsidRDefault="00F6308C">
            <w:pPr>
              <w:pStyle w:val="TableParagraph"/>
              <w:spacing w:before="140"/>
              <w:ind w:right="266"/>
            </w:pPr>
            <w:r>
              <w:t>-</w:t>
            </w:r>
          </w:p>
        </w:tc>
      </w:tr>
      <w:tr w:rsidR="007C5447">
        <w:trPr>
          <w:trHeight w:val="347"/>
        </w:trPr>
        <w:tc>
          <w:tcPr>
            <w:tcW w:w="3370" w:type="dxa"/>
          </w:tcPr>
          <w:p w:rsidR="007C5447" w:rsidRDefault="00F6308C">
            <w:pPr>
              <w:pStyle w:val="TableParagraph"/>
              <w:spacing w:before="46"/>
              <w:ind w:left="107"/>
              <w:jc w:val="left"/>
              <w:rPr>
                <w:b/>
              </w:rPr>
            </w:pPr>
            <w:r>
              <w:rPr>
                <w:b/>
              </w:rPr>
              <w:t>Total Revenue</w:t>
            </w:r>
          </w:p>
        </w:tc>
        <w:tc>
          <w:tcPr>
            <w:tcW w:w="1557" w:type="dxa"/>
          </w:tcPr>
          <w:p w:rsidR="007C5447" w:rsidRDefault="00F6308C">
            <w:pPr>
              <w:pStyle w:val="TableParagraph"/>
              <w:spacing w:before="46"/>
              <w:ind w:left="247"/>
              <w:jc w:val="left"/>
              <w:rPr>
                <w:b/>
              </w:rPr>
            </w:pPr>
            <w:r>
              <w:rPr>
                <w:b/>
              </w:rPr>
              <w:t>46,694.85</w:t>
            </w:r>
          </w:p>
        </w:tc>
        <w:tc>
          <w:tcPr>
            <w:tcW w:w="1418" w:type="dxa"/>
          </w:tcPr>
          <w:p w:rsidR="007C5447" w:rsidRDefault="00F6308C">
            <w:pPr>
              <w:pStyle w:val="TableParagraph"/>
              <w:spacing w:before="46"/>
              <w:ind w:left="257"/>
              <w:jc w:val="left"/>
              <w:rPr>
                <w:b/>
              </w:rPr>
            </w:pPr>
            <w:r>
              <w:rPr>
                <w:b/>
              </w:rPr>
              <w:t>42,107.00</w:t>
            </w:r>
          </w:p>
        </w:tc>
        <w:tc>
          <w:tcPr>
            <w:tcW w:w="1538" w:type="dxa"/>
          </w:tcPr>
          <w:p w:rsidR="007C5447" w:rsidRDefault="00F6308C">
            <w:pPr>
              <w:pStyle w:val="TableParagraph"/>
              <w:spacing w:before="46"/>
              <w:ind w:left="231"/>
              <w:jc w:val="left"/>
              <w:rPr>
                <w:b/>
              </w:rPr>
            </w:pPr>
            <w:r>
              <w:rPr>
                <w:b/>
              </w:rPr>
              <w:t>52,170.62</w:t>
            </w:r>
          </w:p>
        </w:tc>
        <w:tc>
          <w:tcPr>
            <w:tcW w:w="1437" w:type="dxa"/>
          </w:tcPr>
          <w:p w:rsidR="007C5447" w:rsidRDefault="00F6308C">
            <w:pPr>
              <w:pStyle w:val="TableParagraph"/>
              <w:spacing w:before="46"/>
              <w:ind w:left="278"/>
              <w:jc w:val="left"/>
              <w:rPr>
                <w:b/>
              </w:rPr>
            </w:pPr>
            <w:r>
              <w:rPr>
                <w:b/>
              </w:rPr>
              <w:t>50,069.39</w:t>
            </w:r>
          </w:p>
        </w:tc>
      </w:tr>
      <w:tr w:rsidR="007C5447">
        <w:trPr>
          <w:trHeight w:val="347"/>
        </w:trPr>
        <w:tc>
          <w:tcPr>
            <w:tcW w:w="3370" w:type="dxa"/>
          </w:tcPr>
          <w:p w:rsidR="007C5447" w:rsidRDefault="00F6308C">
            <w:pPr>
              <w:pStyle w:val="TableParagraph"/>
              <w:spacing w:before="46"/>
              <w:ind w:left="107"/>
              <w:jc w:val="left"/>
              <w:rPr>
                <w:b/>
              </w:rPr>
            </w:pPr>
            <w:r>
              <w:rPr>
                <w:b/>
              </w:rPr>
              <w:t>Revenue Gap/(Surplus)</w:t>
            </w:r>
          </w:p>
        </w:tc>
        <w:tc>
          <w:tcPr>
            <w:tcW w:w="1557" w:type="dxa"/>
          </w:tcPr>
          <w:p w:rsidR="007C5447" w:rsidRDefault="00F6308C">
            <w:pPr>
              <w:pStyle w:val="TableParagraph"/>
              <w:spacing w:before="46"/>
              <w:ind w:left="359"/>
              <w:jc w:val="left"/>
              <w:rPr>
                <w:b/>
              </w:rPr>
            </w:pPr>
            <w:r>
              <w:rPr>
                <w:b/>
              </w:rPr>
              <w:t>4,772.01</w:t>
            </w:r>
          </w:p>
        </w:tc>
        <w:tc>
          <w:tcPr>
            <w:tcW w:w="1418" w:type="dxa"/>
          </w:tcPr>
          <w:p w:rsidR="007C5447" w:rsidRDefault="00F6308C">
            <w:pPr>
              <w:pStyle w:val="TableParagraph"/>
              <w:spacing w:before="46"/>
              <w:ind w:left="370"/>
              <w:jc w:val="left"/>
              <w:rPr>
                <w:b/>
              </w:rPr>
            </w:pPr>
            <w:r>
              <w:rPr>
                <w:b/>
              </w:rPr>
              <w:t>2,864.47</w:t>
            </w:r>
          </w:p>
        </w:tc>
        <w:tc>
          <w:tcPr>
            <w:tcW w:w="1538" w:type="dxa"/>
          </w:tcPr>
          <w:p w:rsidR="007C5447" w:rsidRDefault="00F6308C">
            <w:pPr>
              <w:pStyle w:val="TableParagraph"/>
              <w:spacing w:before="46"/>
              <w:ind w:left="507"/>
              <w:jc w:val="left"/>
              <w:rPr>
                <w:b/>
              </w:rPr>
            </w:pPr>
            <w:r>
              <w:rPr>
                <w:b/>
              </w:rPr>
              <w:t>107.12</w:t>
            </w:r>
          </w:p>
        </w:tc>
        <w:tc>
          <w:tcPr>
            <w:tcW w:w="1437" w:type="dxa"/>
          </w:tcPr>
          <w:p w:rsidR="007C5447" w:rsidRDefault="00F6308C">
            <w:pPr>
              <w:pStyle w:val="TableParagraph"/>
              <w:spacing w:before="46"/>
              <w:ind w:left="242"/>
              <w:jc w:val="left"/>
              <w:rPr>
                <w:b/>
              </w:rPr>
            </w:pPr>
            <w:r>
              <w:rPr>
                <w:b/>
              </w:rPr>
              <w:t>(2,231.59)</w:t>
            </w:r>
          </w:p>
        </w:tc>
      </w:tr>
    </w:tbl>
    <w:p w:rsidR="007C5447" w:rsidRDefault="007C5447">
      <w:pPr>
        <w:pStyle w:val="BodyText"/>
        <w:rPr>
          <w:b/>
        </w:rPr>
      </w:pPr>
    </w:p>
    <w:p w:rsidR="007C5447" w:rsidRDefault="007C5447">
      <w:pPr>
        <w:pStyle w:val="BodyText"/>
        <w:rPr>
          <w:b/>
        </w:rPr>
      </w:pPr>
    </w:p>
    <w:p w:rsidR="007C5447" w:rsidRDefault="007C5447">
      <w:pPr>
        <w:pStyle w:val="BodyText"/>
        <w:spacing w:before="11"/>
        <w:rPr>
          <w:b/>
        </w:rPr>
      </w:pPr>
    </w:p>
    <w:p w:rsidR="007C5447" w:rsidRDefault="00F6308C">
      <w:pPr>
        <w:pStyle w:val="Heading2"/>
        <w:numPr>
          <w:ilvl w:val="1"/>
          <w:numId w:val="114"/>
        </w:numPr>
        <w:tabs>
          <w:tab w:val="left" w:pos="1667"/>
        </w:tabs>
        <w:ind w:left="1666"/>
      </w:pPr>
      <w:bookmarkStart w:id="75" w:name="_bookmark75"/>
      <w:bookmarkEnd w:id="75"/>
      <w:r>
        <w:t>Cumulative Revenue</w:t>
      </w:r>
      <w:r>
        <w:rPr>
          <w:spacing w:val="-3"/>
        </w:rPr>
        <w:t xml:space="preserve"> </w:t>
      </w:r>
      <w:r>
        <w:t>Gap/(Surplus)</w:t>
      </w:r>
    </w:p>
    <w:p w:rsidR="007C5447" w:rsidRDefault="007C5447">
      <w:pPr>
        <w:pStyle w:val="BodyText"/>
        <w:spacing w:before="11"/>
        <w:rPr>
          <w:b/>
          <w:sz w:val="27"/>
        </w:rPr>
      </w:pPr>
    </w:p>
    <w:p w:rsidR="007C5447" w:rsidRDefault="00F6308C">
      <w:pPr>
        <w:pStyle w:val="ListParagraph"/>
        <w:numPr>
          <w:ilvl w:val="2"/>
          <w:numId w:val="114"/>
        </w:numPr>
        <w:tabs>
          <w:tab w:val="left" w:pos="1953"/>
        </w:tabs>
        <w:spacing w:line="312" w:lineRule="auto"/>
        <w:ind w:left="1952" w:right="1176" w:hanging="852"/>
        <w:jc w:val="both"/>
        <w:rPr>
          <w:sz w:val="24"/>
        </w:rPr>
      </w:pPr>
      <w:r>
        <w:rPr>
          <w:sz w:val="24"/>
        </w:rPr>
        <w:t>TANGEDCO submitted that the total Revenue Gap derived after final true up of FY 2011-12 to FY 2015-16 and projected ARR for FY 2016-17 and FY 2017-18 based on existing tariff works out to Rs. 66873</w:t>
      </w:r>
      <w:r>
        <w:rPr>
          <w:spacing w:val="-4"/>
          <w:sz w:val="24"/>
        </w:rPr>
        <w:t xml:space="preserve"> </w:t>
      </w:r>
      <w:r>
        <w:rPr>
          <w:sz w:val="24"/>
        </w:rPr>
        <w:t>Crore.</w:t>
      </w:r>
    </w:p>
    <w:p w:rsidR="007C5447" w:rsidRDefault="007C5447">
      <w:pPr>
        <w:pStyle w:val="BodyText"/>
        <w:rPr>
          <w:sz w:val="21"/>
        </w:rPr>
      </w:pPr>
    </w:p>
    <w:p w:rsidR="007C5447" w:rsidRDefault="00F6308C">
      <w:pPr>
        <w:pStyle w:val="Heading2"/>
        <w:ind w:left="1952"/>
      </w:pPr>
      <w:r>
        <w:t>Commission’s View</w:t>
      </w:r>
    </w:p>
    <w:p w:rsidR="007C5447" w:rsidRDefault="00F6308C">
      <w:pPr>
        <w:pStyle w:val="ListParagraph"/>
        <w:numPr>
          <w:ilvl w:val="2"/>
          <w:numId w:val="114"/>
        </w:numPr>
        <w:tabs>
          <w:tab w:val="left" w:pos="1953"/>
        </w:tabs>
        <w:spacing w:before="201" w:line="312" w:lineRule="auto"/>
        <w:ind w:left="1952" w:right="1175" w:hanging="852"/>
        <w:jc w:val="both"/>
        <w:rPr>
          <w:sz w:val="24"/>
        </w:rPr>
      </w:pPr>
      <w:r>
        <w:rPr>
          <w:sz w:val="24"/>
        </w:rPr>
        <w:t>TANGEDCO has not claimed recovery of the Revenue Gap upto FY 2016-17 in the instant Petition, and has sought tariff revision based on the stand-alone Revenue Gap/(Surplus) of FY 2017-18. TANGEDCO has stated that it may submit the appropriate proposal for r</w:t>
      </w:r>
      <w:r>
        <w:rPr>
          <w:sz w:val="24"/>
        </w:rPr>
        <w:t>ecovery of the Regulatory Asset at the appropriate time, after discussion of the various options with the GoTN. As and when TANGEDCO files its Petition for recovery of the Regulatory Asset, the Commission would deal with</w:t>
      </w:r>
      <w:r>
        <w:rPr>
          <w:spacing w:val="6"/>
          <w:sz w:val="24"/>
        </w:rPr>
        <w:t xml:space="preserve"> </w:t>
      </w:r>
      <w:r>
        <w:rPr>
          <w:sz w:val="24"/>
        </w:rPr>
        <w:t>the</w:t>
      </w:r>
      <w:r>
        <w:rPr>
          <w:spacing w:val="6"/>
          <w:sz w:val="24"/>
        </w:rPr>
        <w:t xml:space="preserve"> </w:t>
      </w:r>
      <w:r>
        <w:rPr>
          <w:sz w:val="24"/>
        </w:rPr>
        <w:t>same</w:t>
      </w:r>
      <w:r>
        <w:rPr>
          <w:spacing w:val="6"/>
          <w:sz w:val="24"/>
        </w:rPr>
        <w:t xml:space="preserve"> </w:t>
      </w:r>
      <w:r>
        <w:rPr>
          <w:sz w:val="24"/>
        </w:rPr>
        <w:t>after</w:t>
      </w:r>
      <w:r>
        <w:rPr>
          <w:spacing w:val="6"/>
          <w:sz w:val="24"/>
        </w:rPr>
        <w:t xml:space="preserve"> </w:t>
      </w:r>
      <w:r>
        <w:rPr>
          <w:sz w:val="24"/>
        </w:rPr>
        <w:t>due</w:t>
      </w:r>
      <w:r>
        <w:rPr>
          <w:spacing w:val="8"/>
          <w:sz w:val="24"/>
        </w:rPr>
        <w:t xml:space="preserve"> </w:t>
      </w:r>
      <w:r>
        <w:rPr>
          <w:sz w:val="24"/>
        </w:rPr>
        <w:t>regulatory</w:t>
      </w:r>
      <w:r>
        <w:rPr>
          <w:spacing w:val="2"/>
          <w:sz w:val="24"/>
        </w:rPr>
        <w:t xml:space="preserve"> </w:t>
      </w:r>
      <w:r>
        <w:rPr>
          <w:sz w:val="24"/>
        </w:rPr>
        <w:t>proce</w:t>
      </w:r>
      <w:r>
        <w:rPr>
          <w:sz w:val="24"/>
        </w:rPr>
        <w:t>ss.</w:t>
      </w:r>
      <w:r>
        <w:rPr>
          <w:spacing w:val="7"/>
          <w:sz w:val="24"/>
        </w:rPr>
        <w:t xml:space="preserve"> </w:t>
      </w:r>
      <w:r>
        <w:rPr>
          <w:sz w:val="24"/>
        </w:rPr>
        <w:t>Hence,</w:t>
      </w:r>
      <w:r>
        <w:rPr>
          <w:spacing w:val="6"/>
          <w:sz w:val="24"/>
        </w:rPr>
        <w:t xml:space="preserve"> </w:t>
      </w:r>
      <w:r>
        <w:rPr>
          <w:sz w:val="24"/>
        </w:rPr>
        <w:t>for</w:t>
      </w:r>
      <w:r>
        <w:rPr>
          <w:spacing w:val="5"/>
          <w:sz w:val="24"/>
        </w:rPr>
        <w:t xml:space="preserve"> </w:t>
      </w:r>
      <w:r>
        <w:rPr>
          <w:sz w:val="24"/>
        </w:rPr>
        <w:t>the</w:t>
      </w:r>
      <w:r>
        <w:rPr>
          <w:spacing w:val="6"/>
          <w:sz w:val="24"/>
        </w:rPr>
        <w:t xml:space="preserve"> </w:t>
      </w:r>
      <w:r>
        <w:rPr>
          <w:sz w:val="24"/>
        </w:rPr>
        <w:t>purpose</w:t>
      </w:r>
      <w:r>
        <w:rPr>
          <w:spacing w:val="6"/>
          <w:sz w:val="24"/>
        </w:rPr>
        <w:t xml:space="preserve"> </w:t>
      </w:r>
      <w:r>
        <w:rPr>
          <w:sz w:val="24"/>
        </w:rPr>
        <w:t>of</w:t>
      </w:r>
      <w:r>
        <w:rPr>
          <w:spacing w:val="5"/>
          <w:sz w:val="24"/>
        </w:rPr>
        <w:t xml:space="preserve"> </w:t>
      </w:r>
      <w:r>
        <w:rPr>
          <w:sz w:val="24"/>
        </w:rPr>
        <w:t>this</w:t>
      </w:r>
      <w:r>
        <w:rPr>
          <w:spacing w:val="9"/>
          <w:sz w:val="24"/>
        </w:rPr>
        <w:t xml:space="preserve"> </w:t>
      </w:r>
      <w:r>
        <w:rPr>
          <w:sz w:val="24"/>
        </w:rPr>
        <w:t>Order,</w:t>
      </w:r>
      <w:r>
        <w:rPr>
          <w:spacing w:val="6"/>
          <w:sz w:val="24"/>
        </w:rPr>
        <w:t xml:space="preserve"> </w:t>
      </w:r>
      <w:r>
        <w:rPr>
          <w:sz w:val="24"/>
        </w:rPr>
        <w:t>the</w:t>
      </w:r>
    </w:p>
    <w:p w:rsidR="007C5447" w:rsidRDefault="007C5447">
      <w:pPr>
        <w:spacing w:line="312" w:lineRule="auto"/>
        <w:jc w:val="both"/>
        <w:rPr>
          <w:sz w:val="24"/>
        </w:rPr>
        <w:sectPr w:rsidR="007C5447">
          <w:footerReference w:type="default" r:id="rId59"/>
          <w:pgSz w:w="11910" w:h="16840"/>
          <w:pgMar w:top="1360" w:right="260" w:bottom="1240" w:left="340" w:header="0" w:footer="1057" w:gutter="0"/>
          <w:pgNumType w:start="251"/>
          <w:cols w:space="720"/>
        </w:sectPr>
      </w:pPr>
    </w:p>
    <w:p w:rsidR="007C5447" w:rsidRDefault="00F6308C">
      <w:pPr>
        <w:pStyle w:val="BodyText"/>
        <w:spacing w:before="60" w:line="312" w:lineRule="auto"/>
        <w:ind w:left="1952" w:right="1176"/>
      </w:pPr>
      <w:bookmarkStart w:id="76" w:name="_bookmark76"/>
      <w:bookmarkEnd w:id="76"/>
      <w:r>
        <w:lastRenderedPageBreak/>
        <w:t>Commission has computed the cumulative Revenue Gap/(Surplus) till FY 2015-16, with Carrying Cost, as shown in the Table below:</w:t>
      </w:r>
    </w:p>
    <w:p w:rsidR="007C5447" w:rsidRDefault="007C5447">
      <w:pPr>
        <w:pStyle w:val="BodyText"/>
        <w:spacing w:before="11"/>
        <w:rPr>
          <w:sz w:val="20"/>
        </w:rPr>
      </w:pPr>
    </w:p>
    <w:p w:rsidR="007C5447" w:rsidRDefault="00F6308C">
      <w:pPr>
        <w:pStyle w:val="Heading2"/>
        <w:spacing w:line="312" w:lineRule="auto"/>
        <w:ind w:left="4333" w:right="1238" w:hanging="3162"/>
      </w:pPr>
      <w:r>
        <w:t>Table 4-57: Approved Cumulative Revenue Gap/(Surplus) upto FY 2015-16 along with carrying cost (Rs. Crore)</w:t>
      </w:r>
    </w:p>
    <w:p w:rsidR="007C5447" w:rsidRDefault="007C5447">
      <w:pPr>
        <w:pStyle w:val="BodyText"/>
        <w:spacing w:before="6"/>
        <w:rPr>
          <w:b/>
          <w:sz w:val="10"/>
        </w:rPr>
      </w:pPr>
    </w:p>
    <w:tbl>
      <w:tblPr>
        <w:tblW w:w="0" w:type="auto"/>
        <w:tblInd w:w="13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9"/>
        <w:gridCol w:w="1844"/>
        <w:gridCol w:w="1135"/>
        <w:gridCol w:w="1128"/>
        <w:gridCol w:w="1274"/>
        <w:gridCol w:w="1178"/>
        <w:gridCol w:w="1224"/>
      </w:tblGrid>
      <w:tr w:rsidR="007C5447">
        <w:trPr>
          <w:trHeight w:val="534"/>
        </w:trPr>
        <w:tc>
          <w:tcPr>
            <w:tcW w:w="569" w:type="dxa"/>
            <w:shd w:val="clear" w:color="auto" w:fill="F7C9AC"/>
          </w:tcPr>
          <w:p w:rsidR="007C5447" w:rsidRDefault="00F6308C">
            <w:pPr>
              <w:pStyle w:val="TableParagraph"/>
              <w:spacing w:before="140"/>
              <w:ind w:right="154"/>
              <w:rPr>
                <w:b/>
              </w:rPr>
            </w:pPr>
            <w:r>
              <w:rPr>
                <w:b/>
              </w:rPr>
              <w:t>Sl.</w:t>
            </w:r>
          </w:p>
        </w:tc>
        <w:tc>
          <w:tcPr>
            <w:tcW w:w="1844" w:type="dxa"/>
            <w:shd w:val="clear" w:color="auto" w:fill="F7C9AC"/>
          </w:tcPr>
          <w:p w:rsidR="007C5447" w:rsidRDefault="00F6308C">
            <w:pPr>
              <w:pStyle w:val="TableParagraph"/>
              <w:spacing w:before="140"/>
              <w:ind w:left="395"/>
              <w:jc w:val="left"/>
              <w:rPr>
                <w:b/>
              </w:rPr>
            </w:pPr>
            <w:r>
              <w:rPr>
                <w:b/>
              </w:rPr>
              <w:t>Particulars</w:t>
            </w:r>
          </w:p>
        </w:tc>
        <w:tc>
          <w:tcPr>
            <w:tcW w:w="1135" w:type="dxa"/>
            <w:shd w:val="clear" w:color="auto" w:fill="F7C9AC"/>
          </w:tcPr>
          <w:p w:rsidR="007C5447" w:rsidRDefault="00F6308C">
            <w:pPr>
              <w:pStyle w:val="TableParagraph"/>
              <w:spacing w:before="13"/>
              <w:ind w:left="116" w:right="106"/>
              <w:jc w:val="center"/>
              <w:rPr>
                <w:b/>
              </w:rPr>
            </w:pPr>
            <w:r>
              <w:rPr>
                <w:b/>
              </w:rPr>
              <w:t>FY 2011-</w:t>
            </w:r>
          </w:p>
          <w:p w:rsidR="007C5447" w:rsidRDefault="00F6308C">
            <w:pPr>
              <w:pStyle w:val="TableParagraph"/>
              <w:spacing w:before="1" w:line="248" w:lineRule="exact"/>
              <w:ind w:left="112" w:right="106"/>
              <w:jc w:val="center"/>
              <w:rPr>
                <w:b/>
              </w:rPr>
            </w:pPr>
            <w:r>
              <w:rPr>
                <w:b/>
              </w:rPr>
              <w:t>12</w:t>
            </w:r>
          </w:p>
        </w:tc>
        <w:tc>
          <w:tcPr>
            <w:tcW w:w="1128" w:type="dxa"/>
            <w:shd w:val="clear" w:color="auto" w:fill="F7C9AC"/>
          </w:tcPr>
          <w:p w:rsidR="007C5447" w:rsidRDefault="00F6308C">
            <w:pPr>
              <w:pStyle w:val="TableParagraph"/>
              <w:spacing w:before="13"/>
              <w:ind w:left="100" w:right="97"/>
              <w:jc w:val="center"/>
              <w:rPr>
                <w:b/>
              </w:rPr>
            </w:pPr>
            <w:r>
              <w:rPr>
                <w:b/>
              </w:rPr>
              <w:t>FY 2012-</w:t>
            </w:r>
          </w:p>
          <w:p w:rsidR="007C5447" w:rsidRDefault="00F6308C">
            <w:pPr>
              <w:pStyle w:val="TableParagraph"/>
              <w:spacing w:before="1" w:line="248" w:lineRule="exact"/>
              <w:ind w:left="101" w:right="97"/>
              <w:jc w:val="center"/>
              <w:rPr>
                <w:b/>
              </w:rPr>
            </w:pPr>
            <w:r>
              <w:rPr>
                <w:b/>
              </w:rPr>
              <w:t>13</w:t>
            </w:r>
          </w:p>
        </w:tc>
        <w:tc>
          <w:tcPr>
            <w:tcW w:w="1274" w:type="dxa"/>
            <w:shd w:val="clear" w:color="auto" w:fill="F7C9AC"/>
          </w:tcPr>
          <w:p w:rsidR="007C5447" w:rsidRDefault="00F6308C">
            <w:pPr>
              <w:pStyle w:val="TableParagraph"/>
              <w:spacing w:before="13"/>
              <w:ind w:left="126" w:right="115"/>
              <w:jc w:val="center"/>
              <w:rPr>
                <w:b/>
              </w:rPr>
            </w:pPr>
            <w:r>
              <w:rPr>
                <w:b/>
              </w:rPr>
              <w:t>FY 2013-</w:t>
            </w:r>
          </w:p>
          <w:p w:rsidR="007C5447" w:rsidRDefault="00F6308C">
            <w:pPr>
              <w:pStyle w:val="TableParagraph"/>
              <w:spacing w:before="1" w:line="248" w:lineRule="exact"/>
              <w:ind w:left="127" w:right="115"/>
              <w:jc w:val="center"/>
              <w:rPr>
                <w:b/>
              </w:rPr>
            </w:pPr>
            <w:r>
              <w:rPr>
                <w:b/>
              </w:rPr>
              <w:t>14</w:t>
            </w:r>
          </w:p>
        </w:tc>
        <w:tc>
          <w:tcPr>
            <w:tcW w:w="1178" w:type="dxa"/>
            <w:shd w:val="clear" w:color="auto" w:fill="F7C9AC"/>
          </w:tcPr>
          <w:p w:rsidR="007C5447" w:rsidRDefault="00F6308C">
            <w:pPr>
              <w:pStyle w:val="TableParagraph"/>
              <w:spacing w:before="13"/>
              <w:ind w:left="129" w:right="117"/>
              <w:jc w:val="center"/>
              <w:rPr>
                <w:b/>
              </w:rPr>
            </w:pPr>
            <w:r>
              <w:rPr>
                <w:b/>
              </w:rPr>
              <w:t>FY 2014-</w:t>
            </w:r>
          </w:p>
          <w:p w:rsidR="007C5447" w:rsidRDefault="00F6308C">
            <w:pPr>
              <w:pStyle w:val="TableParagraph"/>
              <w:spacing w:before="1" w:line="248" w:lineRule="exact"/>
              <w:ind w:left="125" w:right="117"/>
              <w:jc w:val="center"/>
              <w:rPr>
                <w:b/>
              </w:rPr>
            </w:pPr>
            <w:r>
              <w:rPr>
                <w:b/>
              </w:rPr>
              <w:t>15</w:t>
            </w:r>
          </w:p>
        </w:tc>
        <w:tc>
          <w:tcPr>
            <w:tcW w:w="1224" w:type="dxa"/>
            <w:shd w:val="clear" w:color="auto" w:fill="F7C9AC"/>
          </w:tcPr>
          <w:p w:rsidR="007C5447" w:rsidRDefault="00F6308C">
            <w:pPr>
              <w:pStyle w:val="TableParagraph"/>
              <w:spacing w:before="13"/>
              <w:ind w:left="152" w:right="141"/>
              <w:jc w:val="center"/>
              <w:rPr>
                <w:b/>
              </w:rPr>
            </w:pPr>
            <w:r>
              <w:rPr>
                <w:b/>
              </w:rPr>
              <w:t>FY 2015-</w:t>
            </w:r>
          </w:p>
          <w:p w:rsidR="007C5447" w:rsidRDefault="00F6308C">
            <w:pPr>
              <w:pStyle w:val="TableParagraph"/>
              <w:spacing w:before="1" w:line="248" w:lineRule="exact"/>
              <w:ind w:left="153" w:right="141"/>
              <w:jc w:val="center"/>
              <w:rPr>
                <w:b/>
              </w:rPr>
            </w:pPr>
            <w:r>
              <w:rPr>
                <w:b/>
              </w:rPr>
              <w:t>16</w:t>
            </w:r>
          </w:p>
        </w:tc>
      </w:tr>
      <w:tr w:rsidR="007C5447">
        <w:trPr>
          <w:trHeight w:val="361"/>
        </w:trPr>
        <w:tc>
          <w:tcPr>
            <w:tcW w:w="569" w:type="dxa"/>
          </w:tcPr>
          <w:p w:rsidR="007C5447" w:rsidRDefault="00F6308C">
            <w:pPr>
              <w:pStyle w:val="TableParagraph"/>
              <w:spacing w:before="53"/>
              <w:ind w:right="218"/>
            </w:pPr>
            <w:r>
              <w:t>1</w:t>
            </w:r>
          </w:p>
        </w:tc>
        <w:tc>
          <w:tcPr>
            <w:tcW w:w="1844" w:type="dxa"/>
          </w:tcPr>
          <w:p w:rsidR="007C5447" w:rsidRDefault="00F6308C">
            <w:pPr>
              <w:pStyle w:val="TableParagraph"/>
              <w:spacing w:before="53"/>
              <w:ind w:left="107"/>
              <w:jc w:val="left"/>
            </w:pPr>
            <w:r>
              <w:t>Opening Balance</w:t>
            </w:r>
          </w:p>
        </w:tc>
        <w:tc>
          <w:tcPr>
            <w:tcW w:w="1135" w:type="dxa"/>
          </w:tcPr>
          <w:p w:rsidR="007C5447" w:rsidRDefault="00F6308C">
            <w:pPr>
              <w:pStyle w:val="TableParagraph"/>
              <w:spacing w:before="53"/>
              <w:ind w:left="6"/>
              <w:jc w:val="center"/>
            </w:pPr>
            <w:r>
              <w:t>0</w:t>
            </w:r>
          </w:p>
        </w:tc>
        <w:tc>
          <w:tcPr>
            <w:tcW w:w="1128" w:type="dxa"/>
          </w:tcPr>
          <w:p w:rsidR="007C5447" w:rsidRDefault="00F6308C">
            <w:pPr>
              <w:pStyle w:val="TableParagraph"/>
              <w:spacing w:before="53"/>
              <w:ind w:left="101" w:right="97"/>
              <w:jc w:val="center"/>
            </w:pPr>
            <w:r>
              <w:t>7,377.93</w:t>
            </w:r>
          </w:p>
        </w:tc>
        <w:tc>
          <w:tcPr>
            <w:tcW w:w="1274" w:type="dxa"/>
          </w:tcPr>
          <w:p w:rsidR="007C5447" w:rsidRDefault="00F6308C">
            <w:pPr>
              <w:pStyle w:val="TableParagraph"/>
              <w:spacing w:before="53"/>
              <w:ind w:left="127" w:right="115"/>
              <w:jc w:val="center"/>
            </w:pPr>
            <w:r>
              <w:t>12,145.68</w:t>
            </w:r>
          </w:p>
        </w:tc>
        <w:tc>
          <w:tcPr>
            <w:tcW w:w="1178" w:type="dxa"/>
          </w:tcPr>
          <w:p w:rsidR="007C5447" w:rsidRDefault="00F6308C">
            <w:pPr>
              <w:pStyle w:val="TableParagraph"/>
              <w:spacing w:before="53"/>
              <w:ind w:left="130" w:right="117"/>
              <w:jc w:val="center"/>
            </w:pPr>
            <w:r>
              <w:t>19,350.08</w:t>
            </w:r>
          </w:p>
        </w:tc>
        <w:tc>
          <w:tcPr>
            <w:tcW w:w="1224" w:type="dxa"/>
          </w:tcPr>
          <w:p w:rsidR="007C5447" w:rsidRDefault="00F6308C">
            <w:pPr>
              <w:pStyle w:val="TableParagraph"/>
              <w:spacing w:before="53"/>
              <w:ind w:left="153" w:right="141"/>
              <w:jc w:val="center"/>
            </w:pPr>
            <w:r>
              <w:t>25,511.23</w:t>
            </w:r>
          </w:p>
        </w:tc>
      </w:tr>
      <w:tr w:rsidR="007C5447">
        <w:trPr>
          <w:trHeight w:val="1041"/>
        </w:trPr>
        <w:tc>
          <w:tcPr>
            <w:tcW w:w="569" w:type="dxa"/>
          </w:tcPr>
          <w:p w:rsidR="007C5447" w:rsidRDefault="007C5447">
            <w:pPr>
              <w:pStyle w:val="TableParagraph"/>
              <w:spacing w:before="1"/>
              <w:jc w:val="left"/>
              <w:rPr>
                <w:b/>
                <w:sz w:val="34"/>
              </w:rPr>
            </w:pPr>
          </w:p>
          <w:p w:rsidR="007C5447" w:rsidRDefault="00F6308C">
            <w:pPr>
              <w:pStyle w:val="TableParagraph"/>
              <w:ind w:right="218"/>
            </w:pPr>
            <w:r>
              <w:t>2</w:t>
            </w:r>
          </w:p>
        </w:tc>
        <w:tc>
          <w:tcPr>
            <w:tcW w:w="1844" w:type="dxa"/>
          </w:tcPr>
          <w:p w:rsidR="007C5447" w:rsidRDefault="00F6308C">
            <w:pPr>
              <w:pStyle w:val="TableParagraph"/>
              <w:spacing w:before="13"/>
              <w:ind w:left="107" w:right="185"/>
              <w:jc w:val="left"/>
            </w:pPr>
            <w:r>
              <w:t>Addition of Revenue Gap/(surplus) for</w:t>
            </w:r>
          </w:p>
          <w:p w:rsidR="007C5447" w:rsidRDefault="00F6308C">
            <w:pPr>
              <w:pStyle w:val="TableParagraph"/>
              <w:spacing w:line="249" w:lineRule="exact"/>
              <w:ind w:left="107"/>
              <w:jc w:val="left"/>
            </w:pPr>
            <w:r>
              <w:t>recovery</w:t>
            </w:r>
          </w:p>
        </w:tc>
        <w:tc>
          <w:tcPr>
            <w:tcW w:w="1135" w:type="dxa"/>
          </w:tcPr>
          <w:p w:rsidR="007C5447" w:rsidRDefault="007C5447">
            <w:pPr>
              <w:pStyle w:val="TableParagraph"/>
              <w:spacing w:before="1"/>
              <w:jc w:val="left"/>
              <w:rPr>
                <w:b/>
                <w:sz w:val="34"/>
              </w:rPr>
            </w:pPr>
          </w:p>
          <w:p w:rsidR="007C5447" w:rsidRDefault="00F6308C">
            <w:pPr>
              <w:pStyle w:val="TableParagraph"/>
              <w:ind w:right="168"/>
            </w:pPr>
            <w:r>
              <w:t>6,993.29</w:t>
            </w:r>
          </w:p>
        </w:tc>
        <w:tc>
          <w:tcPr>
            <w:tcW w:w="1128" w:type="dxa"/>
          </w:tcPr>
          <w:p w:rsidR="007C5447" w:rsidRDefault="007C5447">
            <w:pPr>
              <w:pStyle w:val="TableParagraph"/>
              <w:spacing w:before="1"/>
              <w:jc w:val="left"/>
              <w:rPr>
                <w:b/>
                <w:sz w:val="34"/>
              </w:rPr>
            </w:pPr>
          </w:p>
          <w:p w:rsidR="007C5447" w:rsidRDefault="00F6308C">
            <w:pPr>
              <w:pStyle w:val="TableParagraph"/>
              <w:ind w:left="101" w:right="97"/>
              <w:jc w:val="center"/>
            </w:pPr>
            <w:r>
              <w:t>3,749.93</w:t>
            </w:r>
          </w:p>
        </w:tc>
        <w:tc>
          <w:tcPr>
            <w:tcW w:w="1274" w:type="dxa"/>
          </w:tcPr>
          <w:p w:rsidR="007C5447" w:rsidRDefault="007C5447">
            <w:pPr>
              <w:pStyle w:val="TableParagraph"/>
              <w:spacing w:before="1"/>
              <w:jc w:val="left"/>
              <w:rPr>
                <w:b/>
                <w:sz w:val="34"/>
              </w:rPr>
            </w:pPr>
          </w:p>
          <w:p w:rsidR="007C5447" w:rsidRDefault="00F6308C">
            <w:pPr>
              <w:pStyle w:val="TableParagraph"/>
              <w:ind w:left="127" w:right="115"/>
              <w:jc w:val="center"/>
            </w:pPr>
            <w:r>
              <w:t>5,562.45</w:t>
            </w:r>
          </w:p>
        </w:tc>
        <w:tc>
          <w:tcPr>
            <w:tcW w:w="1178" w:type="dxa"/>
          </w:tcPr>
          <w:p w:rsidR="007C5447" w:rsidRDefault="007C5447">
            <w:pPr>
              <w:pStyle w:val="TableParagraph"/>
              <w:spacing w:before="1"/>
              <w:jc w:val="left"/>
              <w:rPr>
                <w:b/>
                <w:sz w:val="34"/>
              </w:rPr>
            </w:pPr>
          </w:p>
          <w:p w:rsidR="007C5447" w:rsidRDefault="00F6308C">
            <w:pPr>
              <w:pStyle w:val="TableParagraph"/>
              <w:ind w:left="130" w:right="117"/>
              <w:jc w:val="center"/>
            </w:pPr>
            <w:r>
              <w:t>3,947.98</w:t>
            </w:r>
          </w:p>
        </w:tc>
        <w:tc>
          <w:tcPr>
            <w:tcW w:w="1224" w:type="dxa"/>
          </w:tcPr>
          <w:p w:rsidR="007C5447" w:rsidRDefault="007C5447">
            <w:pPr>
              <w:pStyle w:val="TableParagraph"/>
              <w:spacing w:before="1"/>
              <w:jc w:val="left"/>
              <w:rPr>
                <w:b/>
                <w:sz w:val="34"/>
              </w:rPr>
            </w:pPr>
          </w:p>
          <w:p w:rsidR="007C5447" w:rsidRDefault="00F6308C">
            <w:pPr>
              <w:pStyle w:val="TableParagraph"/>
              <w:ind w:left="153" w:right="141"/>
              <w:jc w:val="center"/>
            </w:pPr>
            <w:r>
              <w:t>2,293.49</w:t>
            </w:r>
          </w:p>
        </w:tc>
      </w:tr>
      <w:tr w:rsidR="007C5447">
        <w:trPr>
          <w:trHeight w:val="360"/>
        </w:trPr>
        <w:tc>
          <w:tcPr>
            <w:tcW w:w="569" w:type="dxa"/>
          </w:tcPr>
          <w:p w:rsidR="007C5447" w:rsidRDefault="00F6308C">
            <w:pPr>
              <w:pStyle w:val="TableParagraph"/>
              <w:spacing w:before="52"/>
              <w:ind w:right="218"/>
              <w:rPr>
                <w:b/>
              </w:rPr>
            </w:pPr>
            <w:r>
              <w:rPr>
                <w:b/>
              </w:rPr>
              <w:t>3</w:t>
            </w:r>
          </w:p>
        </w:tc>
        <w:tc>
          <w:tcPr>
            <w:tcW w:w="1844" w:type="dxa"/>
          </w:tcPr>
          <w:p w:rsidR="007C5447" w:rsidRDefault="00F6308C">
            <w:pPr>
              <w:pStyle w:val="TableParagraph"/>
              <w:spacing w:before="52"/>
              <w:ind w:left="107"/>
              <w:jc w:val="left"/>
              <w:rPr>
                <w:b/>
              </w:rPr>
            </w:pPr>
            <w:r>
              <w:rPr>
                <w:b/>
              </w:rPr>
              <w:t>Closing Balance</w:t>
            </w:r>
          </w:p>
        </w:tc>
        <w:tc>
          <w:tcPr>
            <w:tcW w:w="1135" w:type="dxa"/>
          </w:tcPr>
          <w:p w:rsidR="007C5447" w:rsidRDefault="00F6308C">
            <w:pPr>
              <w:pStyle w:val="TableParagraph"/>
              <w:spacing w:before="52"/>
              <w:ind w:right="168"/>
              <w:rPr>
                <w:b/>
              </w:rPr>
            </w:pPr>
            <w:r>
              <w:rPr>
                <w:b/>
              </w:rPr>
              <w:t>6,993.29</w:t>
            </w:r>
          </w:p>
        </w:tc>
        <w:tc>
          <w:tcPr>
            <w:tcW w:w="1128" w:type="dxa"/>
          </w:tcPr>
          <w:p w:rsidR="007C5447" w:rsidRDefault="00F6308C">
            <w:pPr>
              <w:pStyle w:val="TableParagraph"/>
              <w:spacing w:before="52"/>
              <w:ind w:left="101" w:right="97"/>
              <w:jc w:val="center"/>
              <w:rPr>
                <w:b/>
              </w:rPr>
            </w:pPr>
            <w:r>
              <w:rPr>
                <w:b/>
              </w:rPr>
              <w:t>11,127.86</w:t>
            </w:r>
          </w:p>
        </w:tc>
        <w:tc>
          <w:tcPr>
            <w:tcW w:w="1274" w:type="dxa"/>
          </w:tcPr>
          <w:p w:rsidR="007C5447" w:rsidRDefault="00F6308C">
            <w:pPr>
              <w:pStyle w:val="TableParagraph"/>
              <w:spacing w:before="52"/>
              <w:ind w:left="127" w:right="115"/>
              <w:jc w:val="center"/>
              <w:rPr>
                <w:b/>
              </w:rPr>
            </w:pPr>
            <w:r>
              <w:rPr>
                <w:b/>
              </w:rPr>
              <w:t>17,708.12</w:t>
            </w:r>
          </w:p>
        </w:tc>
        <w:tc>
          <w:tcPr>
            <w:tcW w:w="1178" w:type="dxa"/>
          </w:tcPr>
          <w:p w:rsidR="007C5447" w:rsidRDefault="00F6308C">
            <w:pPr>
              <w:pStyle w:val="TableParagraph"/>
              <w:spacing w:before="52"/>
              <w:ind w:left="130" w:right="117"/>
              <w:jc w:val="center"/>
              <w:rPr>
                <w:b/>
              </w:rPr>
            </w:pPr>
            <w:r>
              <w:rPr>
                <w:b/>
              </w:rPr>
              <w:t>23,298.06</w:t>
            </w:r>
          </w:p>
        </w:tc>
        <w:tc>
          <w:tcPr>
            <w:tcW w:w="1224" w:type="dxa"/>
          </w:tcPr>
          <w:p w:rsidR="007C5447" w:rsidRDefault="00F6308C">
            <w:pPr>
              <w:pStyle w:val="TableParagraph"/>
              <w:spacing w:before="52"/>
              <w:ind w:left="153" w:right="141"/>
              <w:jc w:val="center"/>
              <w:rPr>
                <w:b/>
              </w:rPr>
            </w:pPr>
            <w:r>
              <w:rPr>
                <w:b/>
              </w:rPr>
              <w:t>27,937.20</w:t>
            </w:r>
          </w:p>
        </w:tc>
      </w:tr>
      <w:tr w:rsidR="007C5447">
        <w:trPr>
          <w:trHeight w:val="359"/>
        </w:trPr>
        <w:tc>
          <w:tcPr>
            <w:tcW w:w="569" w:type="dxa"/>
          </w:tcPr>
          <w:p w:rsidR="007C5447" w:rsidRDefault="00F6308C">
            <w:pPr>
              <w:pStyle w:val="TableParagraph"/>
              <w:spacing w:before="53"/>
              <w:ind w:right="218"/>
            </w:pPr>
            <w:r>
              <w:t>4</w:t>
            </w:r>
          </w:p>
        </w:tc>
        <w:tc>
          <w:tcPr>
            <w:tcW w:w="1844" w:type="dxa"/>
          </w:tcPr>
          <w:p w:rsidR="007C5447" w:rsidRDefault="00F6308C">
            <w:pPr>
              <w:pStyle w:val="TableParagraph"/>
              <w:spacing w:before="53"/>
              <w:ind w:left="107"/>
              <w:jc w:val="left"/>
            </w:pPr>
            <w:r>
              <w:t>Interest Rate</w:t>
            </w:r>
          </w:p>
        </w:tc>
        <w:tc>
          <w:tcPr>
            <w:tcW w:w="1135" w:type="dxa"/>
          </w:tcPr>
          <w:p w:rsidR="007C5447" w:rsidRDefault="00F6308C">
            <w:pPr>
              <w:pStyle w:val="TableParagraph"/>
              <w:spacing w:before="53"/>
              <w:ind w:right="214"/>
            </w:pPr>
            <w:r>
              <w:t>11.00%</w:t>
            </w:r>
          </w:p>
        </w:tc>
        <w:tc>
          <w:tcPr>
            <w:tcW w:w="1128" w:type="dxa"/>
          </w:tcPr>
          <w:p w:rsidR="007C5447" w:rsidRDefault="00F6308C">
            <w:pPr>
              <w:pStyle w:val="TableParagraph"/>
              <w:spacing w:before="53"/>
              <w:ind w:left="100" w:right="97"/>
              <w:jc w:val="center"/>
            </w:pPr>
            <w:r>
              <w:t>11.00%</w:t>
            </w:r>
          </w:p>
        </w:tc>
        <w:tc>
          <w:tcPr>
            <w:tcW w:w="1274" w:type="dxa"/>
          </w:tcPr>
          <w:p w:rsidR="007C5447" w:rsidRDefault="00F6308C">
            <w:pPr>
              <w:pStyle w:val="TableParagraph"/>
              <w:spacing w:before="53"/>
              <w:ind w:left="126" w:right="115"/>
              <w:jc w:val="center"/>
            </w:pPr>
            <w:r>
              <w:t>11.00%</w:t>
            </w:r>
          </w:p>
        </w:tc>
        <w:tc>
          <w:tcPr>
            <w:tcW w:w="1178" w:type="dxa"/>
          </w:tcPr>
          <w:p w:rsidR="007C5447" w:rsidRDefault="00F6308C">
            <w:pPr>
              <w:pStyle w:val="TableParagraph"/>
              <w:spacing w:before="53"/>
              <w:ind w:left="129" w:right="117"/>
              <w:jc w:val="center"/>
            </w:pPr>
            <w:r>
              <w:t>11.00%</w:t>
            </w:r>
          </w:p>
        </w:tc>
        <w:tc>
          <w:tcPr>
            <w:tcW w:w="1224" w:type="dxa"/>
          </w:tcPr>
          <w:p w:rsidR="007C5447" w:rsidRDefault="00F6308C">
            <w:pPr>
              <w:pStyle w:val="TableParagraph"/>
              <w:spacing w:before="53"/>
              <w:ind w:left="152" w:right="141"/>
              <w:jc w:val="center"/>
            </w:pPr>
            <w:r>
              <w:t>11.00%</w:t>
            </w:r>
          </w:p>
        </w:tc>
      </w:tr>
      <w:tr w:rsidR="007C5447">
        <w:trPr>
          <w:trHeight w:val="359"/>
        </w:trPr>
        <w:tc>
          <w:tcPr>
            <w:tcW w:w="569" w:type="dxa"/>
          </w:tcPr>
          <w:p w:rsidR="007C5447" w:rsidRDefault="00F6308C">
            <w:pPr>
              <w:pStyle w:val="TableParagraph"/>
              <w:spacing w:before="53"/>
              <w:ind w:right="218"/>
            </w:pPr>
            <w:r>
              <w:t>5</w:t>
            </w:r>
          </w:p>
        </w:tc>
        <w:tc>
          <w:tcPr>
            <w:tcW w:w="1844" w:type="dxa"/>
          </w:tcPr>
          <w:p w:rsidR="007C5447" w:rsidRDefault="00F6308C">
            <w:pPr>
              <w:pStyle w:val="TableParagraph"/>
              <w:spacing w:before="53"/>
              <w:ind w:left="107"/>
              <w:jc w:val="left"/>
            </w:pPr>
            <w:r>
              <w:t>Carrying Cost</w:t>
            </w:r>
          </w:p>
        </w:tc>
        <w:tc>
          <w:tcPr>
            <w:tcW w:w="1135" w:type="dxa"/>
          </w:tcPr>
          <w:p w:rsidR="007C5447" w:rsidRDefault="00F6308C">
            <w:pPr>
              <w:pStyle w:val="TableParagraph"/>
              <w:spacing w:before="53"/>
              <w:ind w:right="252"/>
            </w:pPr>
            <w:r>
              <w:t>384.63</w:t>
            </w:r>
          </w:p>
        </w:tc>
        <w:tc>
          <w:tcPr>
            <w:tcW w:w="1128" w:type="dxa"/>
          </w:tcPr>
          <w:p w:rsidR="007C5447" w:rsidRDefault="00F6308C">
            <w:pPr>
              <w:pStyle w:val="TableParagraph"/>
              <w:spacing w:before="53"/>
              <w:ind w:left="101" w:right="97"/>
              <w:jc w:val="center"/>
            </w:pPr>
            <w:r>
              <w:t>1,017.82</w:t>
            </w:r>
          </w:p>
        </w:tc>
        <w:tc>
          <w:tcPr>
            <w:tcW w:w="1274" w:type="dxa"/>
          </w:tcPr>
          <w:p w:rsidR="007C5447" w:rsidRDefault="00F6308C">
            <w:pPr>
              <w:pStyle w:val="TableParagraph"/>
              <w:spacing w:before="53"/>
              <w:ind w:left="127" w:right="115"/>
              <w:jc w:val="center"/>
            </w:pPr>
            <w:r>
              <w:t>1,641.96</w:t>
            </w:r>
          </w:p>
        </w:tc>
        <w:tc>
          <w:tcPr>
            <w:tcW w:w="1178" w:type="dxa"/>
          </w:tcPr>
          <w:p w:rsidR="007C5447" w:rsidRDefault="00F6308C">
            <w:pPr>
              <w:pStyle w:val="TableParagraph"/>
              <w:spacing w:before="53"/>
              <w:ind w:left="130" w:right="117"/>
              <w:jc w:val="center"/>
            </w:pPr>
            <w:r>
              <w:t>2,345.65</w:t>
            </w:r>
          </w:p>
        </w:tc>
        <w:tc>
          <w:tcPr>
            <w:tcW w:w="1224" w:type="dxa"/>
          </w:tcPr>
          <w:p w:rsidR="007C5447" w:rsidRDefault="00F6308C">
            <w:pPr>
              <w:pStyle w:val="TableParagraph"/>
              <w:spacing w:before="53"/>
              <w:ind w:left="153" w:right="141"/>
              <w:jc w:val="center"/>
            </w:pPr>
            <w:r>
              <w:t>2,946.95</w:t>
            </w:r>
          </w:p>
        </w:tc>
      </w:tr>
      <w:tr w:rsidR="007C5447">
        <w:trPr>
          <w:trHeight w:val="537"/>
        </w:trPr>
        <w:tc>
          <w:tcPr>
            <w:tcW w:w="569" w:type="dxa"/>
          </w:tcPr>
          <w:p w:rsidR="007C5447" w:rsidRDefault="00F6308C">
            <w:pPr>
              <w:pStyle w:val="TableParagraph"/>
              <w:spacing w:before="142"/>
              <w:ind w:right="218"/>
              <w:rPr>
                <w:b/>
              </w:rPr>
            </w:pPr>
            <w:r>
              <w:rPr>
                <w:b/>
              </w:rPr>
              <w:t>6</w:t>
            </w:r>
          </w:p>
        </w:tc>
        <w:tc>
          <w:tcPr>
            <w:tcW w:w="1844" w:type="dxa"/>
          </w:tcPr>
          <w:p w:rsidR="007C5447" w:rsidRDefault="00F6308C">
            <w:pPr>
              <w:pStyle w:val="TableParagraph"/>
              <w:spacing w:before="19" w:line="252" w:lineRule="exact"/>
              <w:ind w:left="107" w:right="613"/>
              <w:jc w:val="left"/>
              <w:rPr>
                <w:b/>
              </w:rPr>
            </w:pPr>
            <w:r>
              <w:rPr>
                <w:b/>
              </w:rPr>
              <w:t>Net Closing Balance</w:t>
            </w:r>
          </w:p>
        </w:tc>
        <w:tc>
          <w:tcPr>
            <w:tcW w:w="1135" w:type="dxa"/>
          </w:tcPr>
          <w:p w:rsidR="007C5447" w:rsidRDefault="00F6308C">
            <w:pPr>
              <w:pStyle w:val="TableParagraph"/>
              <w:spacing w:before="142"/>
              <w:ind w:right="168"/>
              <w:rPr>
                <w:b/>
              </w:rPr>
            </w:pPr>
            <w:r>
              <w:rPr>
                <w:b/>
              </w:rPr>
              <w:t>7,377.93</w:t>
            </w:r>
          </w:p>
        </w:tc>
        <w:tc>
          <w:tcPr>
            <w:tcW w:w="1128" w:type="dxa"/>
          </w:tcPr>
          <w:p w:rsidR="007C5447" w:rsidRDefault="00F6308C">
            <w:pPr>
              <w:pStyle w:val="TableParagraph"/>
              <w:spacing w:before="142"/>
              <w:ind w:left="101" w:right="97"/>
              <w:jc w:val="center"/>
              <w:rPr>
                <w:b/>
              </w:rPr>
            </w:pPr>
            <w:r>
              <w:rPr>
                <w:b/>
              </w:rPr>
              <w:t>12,145.68</w:t>
            </w:r>
          </w:p>
        </w:tc>
        <w:tc>
          <w:tcPr>
            <w:tcW w:w="1274" w:type="dxa"/>
          </w:tcPr>
          <w:p w:rsidR="007C5447" w:rsidRDefault="00F6308C">
            <w:pPr>
              <w:pStyle w:val="TableParagraph"/>
              <w:spacing w:before="142"/>
              <w:ind w:left="127" w:right="115"/>
              <w:jc w:val="center"/>
              <w:rPr>
                <w:b/>
              </w:rPr>
            </w:pPr>
            <w:r>
              <w:rPr>
                <w:b/>
              </w:rPr>
              <w:t>19,350.08</w:t>
            </w:r>
          </w:p>
        </w:tc>
        <w:tc>
          <w:tcPr>
            <w:tcW w:w="1178" w:type="dxa"/>
          </w:tcPr>
          <w:p w:rsidR="007C5447" w:rsidRDefault="00F6308C">
            <w:pPr>
              <w:pStyle w:val="TableParagraph"/>
              <w:spacing w:before="142"/>
              <w:ind w:left="130" w:right="117"/>
              <w:jc w:val="center"/>
              <w:rPr>
                <w:b/>
              </w:rPr>
            </w:pPr>
            <w:r>
              <w:rPr>
                <w:b/>
              </w:rPr>
              <w:t>25,643.71</w:t>
            </w:r>
          </w:p>
        </w:tc>
        <w:tc>
          <w:tcPr>
            <w:tcW w:w="1224" w:type="dxa"/>
          </w:tcPr>
          <w:p w:rsidR="007C5447" w:rsidRDefault="00F6308C">
            <w:pPr>
              <w:pStyle w:val="TableParagraph"/>
              <w:spacing w:before="142"/>
              <w:ind w:left="153" w:right="141"/>
              <w:jc w:val="center"/>
              <w:rPr>
                <w:b/>
              </w:rPr>
            </w:pPr>
            <w:r>
              <w:rPr>
                <w:b/>
              </w:rPr>
              <w:t>30,884.15</w:t>
            </w:r>
          </w:p>
        </w:tc>
      </w:tr>
    </w:tbl>
    <w:p w:rsidR="007C5447" w:rsidRDefault="007C5447">
      <w:pPr>
        <w:pStyle w:val="BodyText"/>
        <w:rPr>
          <w:b/>
          <w:sz w:val="26"/>
        </w:rPr>
      </w:pPr>
    </w:p>
    <w:p w:rsidR="007C5447" w:rsidRDefault="007C5447">
      <w:pPr>
        <w:pStyle w:val="BodyText"/>
        <w:spacing w:before="6"/>
        <w:rPr>
          <w:b/>
          <w:sz w:val="36"/>
        </w:rPr>
      </w:pPr>
    </w:p>
    <w:p w:rsidR="007C5447" w:rsidRDefault="00F6308C">
      <w:pPr>
        <w:pStyle w:val="ListParagraph"/>
        <w:numPr>
          <w:ilvl w:val="2"/>
          <w:numId w:val="114"/>
        </w:numPr>
        <w:tabs>
          <w:tab w:val="left" w:pos="1953"/>
        </w:tabs>
        <w:spacing w:line="312" w:lineRule="auto"/>
        <w:ind w:left="1952" w:right="1175" w:hanging="852"/>
        <w:jc w:val="both"/>
        <w:rPr>
          <w:sz w:val="24"/>
        </w:rPr>
      </w:pPr>
      <w:r>
        <w:rPr>
          <w:sz w:val="24"/>
        </w:rPr>
        <w:t>Further, the above Revenue Gap of Rs. 30,884.15 Crore has been added to the Revenue Gap of FY 2016-17, and the treatment of the corresponding Regulatory Assets has been elaborated in Chapter 5 of this</w:t>
      </w:r>
      <w:r>
        <w:rPr>
          <w:spacing w:val="-2"/>
          <w:sz w:val="24"/>
        </w:rPr>
        <w:t xml:space="preserve"> </w:t>
      </w:r>
      <w:r>
        <w:rPr>
          <w:sz w:val="24"/>
        </w:rPr>
        <w:t>Order.</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F6308C">
      <w:pPr>
        <w:pStyle w:val="Heading1"/>
        <w:numPr>
          <w:ilvl w:val="0"/>
          <w:numId w:val="114"/>
        </w:numPr>
        <w:tabs>
          <w:tab w:val="left" w:pos="1532"/>
          <w:tab w:val="left" w:pos="1533"/>
        </w:tabs>
        <w:spacing w:before="61"/>
        <w:ind w:left="1532" w:hanging="433"/>
        <w:jc w:val="left"/>
      </w:pPr>
      <w:r>
        <w:lastRenderedPageBreak/>
        <w:t>TARIFF PHILOSOPHY</w:t>
      </w:r>
    </w:p>
    <w:p w:rsidR="007C5447" w:rsidRDefault="00F6308C">
      <w:pPr>
        <w:pStyle w:val="BodyText"/>
        <w:spacing w:before="2"/>
        <w:rPr>
          <w:b/>
          <w:sz w:val="16"/>
        </w:rPr>
      </w:pPr>
      <w:r>
        <w:pict>
          <v:line id="_x0000_s1051" style="position:absolute;z-index:-251642880;mso-wrap-distance-left:0;mso-wrap-distance-right:0;mso-position-horizontal-relative:page" from="70.6pt,11.5pt" to="524.85pt,11.5pt" strokeweight=".48pt">
            <w10:wrap type="topAndBottom" anchorx="page"/>
          </v:line>
        </w:pict>
      </w:r>
    </w:p>
    <w:p w:rsidR="007C5447" w:rsidRDefault="007C5447">
      <w:pPr>
        <w:pStyle w:val="BodyText"/>
        <w:spacing w:before="7"/>
        <w:rPr>
          <w:b/>
          <w:sz w:val="10"/>
        </w:rPr>
      </w:pPr>
    </w:p>
    <w:p w:rsidR="007C5447" w:rsidRDefault="00F6308C">
      <w:pPr>
        <w:pStyle w:val="Heading2"/>
        <w:numPr>
          <w:ilvl w:val="1"/>
          <w:numId w:val="114"/>
        </w:numPr>
        <w:tabs>
          <w:tab w:val="left" w:pos="1666"/>
          <w:tab w:val="left" w:pos="1667"/>
        </w:tabs>
        <w:spacing w:before="90"/>
        <w:ind w:left="1666"/>
      </w:pPr>
      <w:bookmarkStart w:id="77" w:name="_bookmark77"/>
      <w:bookmarkEnd w:id="77"/>
      <w:r>
        <w:t>Subsidy</w:t>
      </w:r>
      <w:r>
        <w:rPr>
          <w:spacing w:val="-1"/>
        </w:rPr>
        <w:t xml:space="preserve"> </w:t>
      </w:r>
      <w:r>
        <w:t>A</w:t>
      </w:r>
      <w:r>
        <w:t>djustment</w:t>
      </w:r>
    </w:p>
    <w:p w:rsidR="007C5447" w:rsidRDefault="007C5447">
      <w:pPr>
        <w:pStyle w:val="BodyText"/>
        <w:spacing w:before="2"/>
        <w:rPr>
          <w:b/>
          <w:sz w:val="28"/>
        </w:rPr>
      </w:pPr>
    </w:p>
    <w:p w:rsidR="007C5447" w:rsidRDefault="00F6308C">
      <w:pPr>
        <w:pStyle w:val="ListParagraph"/>
        <w:numPr>
          <w:ilvl w:val="2"/>
          <w:numId w:val="114"/>
        </w:numPr>
        <w:tabs>
          <w:tab w:val="left" w:pos="1953"/>
        </w:tabs>
        <w:spacing w:line="312" w:lineRule="auto"/>
        <w:ind w:left="1952" w:right="1177" w:hanging="852"/>
        <w:jc w:val="both"/>
        <w:rPr>
          <w:sz w:val="24"/>
        </w:rPr>
      </w:pPr>
      <w:r>
        <w:rPr>
          <w:sz w:val="24"/>
        </w:rPr>
        <w:t>TANGEDCO submitted that GoTN had signed a tri-partite MoU with TANGEDCO and Govt. of India on January 9, 2017 to join the Ujwal Discom Assurance Yojana (UDAY). This will result in a sustainable solution for its huge debt, which is a win- win sit</w:t>
      </w:r>
      <w:r>
        <w:rPr>
          <w:sz w:val="24"/>
        </w:rPr>
        <w:t>uation for the State Power Sector as well as the end</w:t>
      </w:r>
      <w:r>
        <w:rPr>
          <w:spacing w:val="-2"/>
          <w:sz w:val="24"/>
        </w:rPr>
        <w:t xml:space="preserve"> </w:t>
      </w:r>
      <w:r>
        <w:rPr>
          <w:sz w:val="24"/>
        </w:rPr>
        <w:t>consumers.</w:t>
      </w:r>
    </w:p>
    <w:p w:rsidR="007C5447" w:rsidRDefault="007C5447">
      <w:pPr>
        <w:pStyle w:val="BodyText"/>
        <w:spacing w:before="10"/>
        <w:rPr>
          <w:sz w:val="20"/>
        </w:rPr>
      </w:pPr>
    </w:p>
    <w:p w:rsidR="007C5447" w:rsidRDefault="00F6308C">
      <w:pPr>
        <w:pStyle w:val="ListParagraph"/>
        <w:numPr>
          <w:ilvl w:val="2"/>
          <w:numId w:val="114"/>
        </w:numPr>
        <w:tabs>
          <w:tab w:val="left" w:pos="1952"/>
          <w:tab w:val="left" w:pos="1953"/>
        </w:tabs>
        <w:ind w:left="1952" w:hanging="853"/>
        <w:rPr>
          <w:sz w:val="24"/>
        </w:rPr>
      </w:pPr>
      <w:r>
        <w:rPr>
          <w:sz w:val="24"/>
        </w:rPr>
        <w:t>The salient features of the MoU signed by TANGEDCO are as</w:t>
      </w:r>
      <w:r>
        <w:rPr>
          <w:spacing w:val="-9"/>
          <w:sz w:val="24"/>
        </w:rPr>
        <w:t xml:space="preserve"> </w:t>
      </w:r>
      <w:r>
        <w:rPr>
          <w:sz w:val="24"/>
        </w:rPr>
        <w:t>follows:</w:t>
      </w:r>
    </w:p>
    <w:p w:rsidR="007C5447" w:rsidRDefault="007C5447">
      <w:pPr>
        <w:pStyle w:val="BodyText"/>
        <w:rPr>
          <w:sz w:val="28"/>
        </w:rPr>
      </w:pPr>
    </w:p>
    <w:p w:rsidR="007C5447" w:rsidRDefault="00F6308C">
      <w:pPr>
        <w:pStyle w:val="ListParagraph"/>
        <w:numPr>
          <w:ilvl w:val="0"/>
          <w:numId w:val="52"/>
        </w:numPr>
        <w:tabs>
          <w:tab w:val="left" w:pos="2519"/>
        </w:tabs>
        <w:spacing w:line="312" w:lineRule="auto"/>
        <w:ind w:right="1177"/>
        <w:jc w:val="both"/>
        <w:rPr>
          <w:sz w:val="24"/>
        </w:rPr>
      </w:pPr>
      <w:r>
        <w:rPr>
          <w:sz w:val="24"/>
        </w:rPr>
        <w:t>Total debt proposed to be taken-over under UDAY as on September 30, 2015 is Rs. 30,420 Crore, of which 75% of the debt, i.e., Rs. 22,815 Crore will be taken over by GoTN and will be converted into 15-year bonds with 5-year moratorium. The balance 25% debt,</w:t>
      </w:r>
      <w:r>
        <w:rPr>
          <w:sz w:val="24"/>
        </w:rPr>
        <w:t xml:space="preserve"> i.e., Rs. 7605 Crore will be converted into bonds by TANGEDCO and guaranteed by</w:t>
      </w:r>
      <w:r>
        <w:rPr>
          <w:spacing w:val="-11"/>
          <w:sz w:val="24"/>
        </w:rPr>
        <w:t xml:space="preserve"> </w:t>
      </w:r>
      <w:r>
        <w:rPr>
          <w:sz w:val="24"/>
        </w:rPr>
        <w:t>GoTN.</w:t>
      </w:r>
    </w:p>
    <w:p w:rsidR="007C5447" w:rsidRDefault="00F6308C">
      <w:pPr>
        <w:pStyle w:val="ListParagraph"/>
        <w:numPr>
          <w:ilvl w:val="0"/>
          <w:numId w:val="52"/>
        </w:numPr>
        <w:tabs>
          <w:tab w:val="left" w:pos="2518"/>
          <w:tab w:val="left" w:pos="2519"/>
        </w:tabs>
        <w:spacing w:line="312" w:lineRule="auto"/>
        <w:ind w:right="1180"/>
        <w:rPr>
          <w:sz w:val="24"/>
        </w:rPr>
      </w:pPr>
      <w:r>
        <w:rPr>
          <w:sz w:val="24"/>
        </w:rPr>
        <w:t>GoTN will convert the Government loan of Rs. 3352 Crore into equity share capital and Rs. 2871 Crore will continue as interest-free Government</w:t>
      </w:r>
      <w:r>
        <w:rPr>
          <w:spacing w:val="-7"/>
          <w:sz w:val="24"/>
        </w:rPr>
        <w:t xml:space="preserve"> </w:t>
      </w:r>
      <w:r>
        <w:rPr>
          <w:sz w:val="24"/>
        </w:rPr>
        <w:t>loan.</w:t>
      </w:r>
    </w:p>
    <w:p w:rsidR="007C5447" w:rsidRDefault="00F6308C">
      <w:pPr>
        <w:pStyle w:val="ListParagraph"/>
        <w:numPr>
          <w:ilvl w:val="0"/>
          <w:numId w:val="52"/>
        </w:numPr>
        <w:tabs>
          <w:tab w:val="left" w:pos="2518"/>
          <w:tab w:val="left" w:pos="2519"/>
        </w:tabs>
        <w:spacing w:line="312" w:lineRule="auto"/>
        <w:ind w:right="1184"/>
        <w:rPr>
          <w:sz w:val="24"/>
        </w:rPr>
      </w:pPr>
      <w:r>
        <w:rPr>
          <w:sz w:val="24"/>
        </w:rPr>
        <w:t xml:space="preserve">The 75% debt of Rs. </w:t>
      </w:r>
      <w:r>
        <w:rPr>
          <w:sz w:val="24"/>
        </w:rPr>
        <w:t>22,815 Crore, taken over by GoTN, will be transferred to TANGEDCO as grants of Rs. 4563 Crore each for five</w:t>
      </w:r>
      <w:r>
        <w:rPr>
          <w:spacing w:val="-2"/>
          <w:sz w:val="24"/>
        </w:rPr>
        <w:t xml:space="preserve"> </w:t>
      </w:r>
      <w:r>
        <w:rPr>
          <w:sz w:val="24"/>
        </w:rPr>
        <w:t>years.</w:t>
      </w:r>
    </w:p>
    <w:p w:rsidR="007C5447" w:rsidRDefault="00F6308C">
      <w:pPr>
        <w:pStyle w:val="ListParagraph"/>
        <w:numPr>
          <w:ilvl w:val="0"/>
          <w:numId w:val="52"/>
        </w:numPr>
        <w:tabs>
          <w:tab w:val="left" w:pos="2518"/>
          <w:tab w:val="left" w:pos="2519"/>
        </w:tabs>
        <w:spacing w:line="314" w:lineRule="auto"/>
        <w:ind w:right="1172"/>
        <w:rPr>
          <w:sz w:val="24"/>
        </w:rPr>
      </w:pPr>
      <w:r>
        <w:rPr>
          <w:sz w:val="24"/>
        </w:rPr>
        <w:t>TANGEDCO will endeavour to reduce AT&amp;C losses to 13.50% by FY 2018- 19.</w:t>
      </w:r>
    </w:p>
    <w:p w:rsidR="007C5447" w:rsidRDefault="00F6308C">
      <w:pPr>
        <w:pStyle w:val="ListParagraph"/>
        <w:numPr>
          <w:ilvl w:val="0"/>
          <w:numId w:val="52"/>
        </w:numPr>
        <w:tabs>
          <w:tab w:val="left" w:pos="2518"/>
          <w:tab w:val="left" w:pos="2519"/>
        </w:tabs>
        <w:spacing w:line="312" w:lineRule="auto"/>
        <w:ind w:right="1185"/>
        <w:rPr>
          <w:sz w:val="24"/>
        </w:rPr>
      </w:pPr>
      <w:r>
        <w:rPr>
          <w:sz w:val="24"/>
        </w:rPr>
        <w:t>The gap between Average Cost of Supply (ACS) and Average Revenue Real</w:t>
      </w:r>
      <w:r>
        <w:rPr>
          <w:sz w:val="24"/>
        </w:rPr>
        <w:t>isation will be eliminated by FY</w:t>
      </w:r>
      <w:r>
        <w:rPr>
          <w:spacing w:val="-7"/>
          <w:sz w:val="24"/>
        </w:rPr>
        <w:t xml:space="preserve"> </w:t>
      </w:r>
      <w:r>
        <w:rPr>
          <w:sz w:val="24"/>
        </w:rPr>
        <w:t>2018-19.</w:t>
      </w:r>
    </w:p>
    <w:p w:rsidR="007C5447" w:rsidRDefault="00F6308C">
      <w:pPr>
        <w:pStyle w:val="ListParagraph"/>
        <w:numPr>
          <w:ilvl w:val="2"/>
          <w:numId w:val="114"/>
        </w:numPr>
        <w:tabs>
          <w:tab w:val="left" w:pos="1952"/>
          <w:tab w:val="left" w:pos="1953"/>
        </w:tabs>
        <w:spacing w:before="115" w:line="312" w:lineRule="auto"/>
        <w:ind w:left="1952" w:right="1180" w:hanging="852"/>
        <w:rPr>
          <w:sz w:val="24"/>
        </w:rPr>
      </w:pPr>
      <w:r>
        <w:rPr>
          <w:sz w:val="24"/>
        </w:rPr>
        <w:t>Further, the action-plan with timeline to achieve operational efficiency has also been agreed under the MoU. Some of the illustrative action-plans are outlined as</w:t>
      </w:r>
      <w:r>
        <w:rPr>
          <w:spacing w:val="-10"/>
          <w:sz w:val="24"/>
        </w:rPr>
        <w:t xml:space="preserve"> </w:t>
      </w:r>
      <w:r>
        <w:rPr>
          <w:sz w:val="24"/>
        </w:rPr>
        <w:t>under:</w:t>
      </w:r>
    </w:p>
    <w:p w:rsidR="007C5447" w:rsidRDefault="007C5447">
      <w:pPr>
        <w:pStyle w:val="BodyText"/>
        <w:spacing w:before="9"/>
        <w:rPr>
          <w:sz w:val="20"/>
        </w:rPr>
      </w:pPr>
    </w:p>
    <w:p w:rsidR="007C5447" w:rsidRDefault="00F6308C">
      <w:pPr>
        <w:pStyle w:val="ListParagraph"/>
        <w:numPr>
          <w:ilvl w:val="0"/>
          <w:numId w:val="51"/>
        </w:numPr>
        <w:tabs>
          <w:tab w:val="left" w:pos="2518"/>
          <w:tab w:val="left" w:pos="2519"/>
        </w:tabs>
        <w:spacing w:before="1"/>
        <w:rPr>
          <w:sz w:val="24"/>
        </w:rPr>
      </w:pPr>
      <w:r>
        <w:rPr>
          <w:sz w:val="24"/>
        </w:rPr>
        <w:t>Achieving 100% Distribution Transformer (DT</w:t>
      </w:r>
      <w:r>
        <w:rPr>
          <w:sz w:val="24"/>
        </w:rPr>
        <w:t>) Metering by June 30,</w:t>
      </w:r>
      <w:r>
        <w:rPr>
          <w:spacing w:val="-13"/>
          <w:sz w:val="24"/>
        </w:rPr>
        <w:t xml:space="preserve"> </w:t>
      </w:r>
      <w:r>
        <w:rPr>
          <w:sz w:val="24"/>
        </w:rPr>
        <w:t>2018.</w:t>
      </w:r>
    </w:p>
    <w:p w:rsidR="007C5447" w:rsidRDefault="00F6308C">
      <w:pPr>
        <w:pStyle w:val="ListParagraph"/>
        <w:numPr>
          <w:ilvl w:val="0"/>
          <w:numId w:val="51"/>
        </w:numPr>
        <w:tabs>
          <w:tab w:val="left" w:pos="2518"/>
          <w:tab w:val="left" w:pos="2519"/>
        </w:tabs>
        <w:spacing w:before="84"/>
        <w:rPr>
          <w:sz w:val="24"/>
        </w:rPr>
      </w:pPr>
      <w:r>
        <w:rPr>
          <w:sz w:val="24"/>
        </w:rPr>
        <w:t>Achieving 100% feeder metering by June 30,</w:t>
      </w:r>
      <w:r>
        <w:rPr>
          <w:spacing w:val="-12"/>
          <w:sz w:val="24"/>
        </w:rPr>
        <w:t xml:space="preserve"> </w:t>
      </w:r>
      <w:r>
        <w:rPr>
          <w:sz w:val="24"/>
        </w:rPr>
        <w:t>2017</w:t>
      </w:r>
    </w:p>
    <w:p w:rsidR="007C5447" w:rsidRDefault="00F6308C">
      <w:pPr>
        <w:pStyle w:val="ListParagraph"/>
        <w:numPr>
          <w:ilvl w:val="0"/>
          <w:numId w:val="51"/>
        </w:numPr>
        <w:tabs>
          <w:tab w:val="left" w:pos="2518"/>
          <w:tab w:val="left" w:pos="2519"/>
        </w:tabs>
        <w:spacing w:before="81"/>
        <w:rPr>
          <w:sz w:val="24"/>
        </w:rPr>
      </w:pPr>
      <w:r>
        <w:rPr>
          <w:sz w:val="24"/>
        </w:rPr>
        <w:t>Undertaking energy audit upto 11 kV level in rural areas by March 31,</w:t>
      </w:r>
      <w:r>
        <w:rPr>
          <w:spacing w:val="-10"/>
          <w:sz w:val="24"/>
        </w:rPr>
        <w:t xml:space="preserve"> </w:t>
      </w:r>
      <w:r>
        <w:rPr>
          <w:sz w:val="24"/>
        </w:rPr>
        <w:t>2019.</w:t>
      </w:r>
    </w:p>
    <w:p w:rsidR="007C5447" w:rsidRDefault="00F6308C">
      <w:pPr>
        <w:pStyle w:val="ListParagraph"/>
        <w:numPr>
          <w:ilvl w:val="0"/>
          <w:numId w:val="51"/>
        </w:numPr>
        <w:tabs>
          <w:tab w:val="left" w:pos="2518"/>
          <w:tab w:val="left" w:pos="2519"/>
        </w:tabs>
        <w:spacing w:before="84" w:line="312" w:lineRule="auto"/>
        <w:ind w:right="1180"/>
        <w:rPr>
          <w:sz w:val="24"/>
        </w:rPr>
      </w:pPr>
      <w:r>
        <w:rPr>
          <w:sz w:val="24"/>
        </w:rPr>
        <w:t>Undertaking Feeder Improvement Program for network strengthening and optimization, to be completed by December</w:t>
      </w:r>
      <w:r>
        <w:rPr>
          <w:spacing w:val="-9"/>
          <w:sz w:val="24"/>
        </w:rPr>
        <w:t xml:space="preserve"> </w:t>
      </w:r>
      <w:r>
        <w:rPr>
          <w:sz w:val="24"/>
        </w:rPr>
        <w:t>2018</w:t>
      </w:r>
    </w:p>
    <w:p w:rsidR="007C5447" w:rsidRDefault="00F6308C">
      <w:pPr>
        <w:pStyle w:val="ListParagraph"/>
        <w:numPr>
          <w:ilvl w:val="0"/>
          <w:numId w:val="51"/>
        </w:numPr>
        <w:tabs>
          <w:tab w:val="left" w:pos="2518"/>
          <w:tab w:val="left" w:pos="2519"/>
        </w:tabs>
        <w:spacing w:before="1"/>
        <w:rPr>
          <w:sz w:val="24"/>
        </w:rPr>
      </w:pPr>
      <w:r>
        <w:rPr>
          <w:sz w:val="24"/>
        </w:rPr>
        <w:t>Undertaking Physical Feeder Segregation by December</w:t>
      </w:r>
      <w:r>
        <w:rPr>
          <w:spacing w:val="-11"/>
          <w:sz w:val="24"/>
        </w:rPr>
        <w:t xml:space="preserve"> </w:t>
      </w:r>
      <w:r>
        <w:rPr>
          <w:sz w:val="24"/>
        </w:rPr>
        <w:t>2019</w:t>
      </w:r>
    </w:p>
    <w:p w:rsidR="007C5447" w:rsidRDefault="00F6308C">
      <w:pPr>
        <w:pStyle w:val="ListParagraph"/>
        <w:numPr>
          <w:ilvl w:val="0"/>
          <w:numId w:val="51"/>
        </w:numPr>
        <w:tabs>
          <w:tab w:val="left" w:pos="2519"/>
        </w:tabs>
        <w:spacing w:before="82" w:line="312" w:lineRule="auto"/>
        <w:ind w:right="1178"/>
        <w:jc w:val="both"/>
        <w:rPr>
          <w:sz w:val="24"/>
        </w:rPr>
      </w:pPr>
      <w:r>
        <w:rPr>
          <w:sz w:val="24"/>
        </w:rPr>
        <w:t>Installation of Smart Meters for all consumers other than agricultural consumers, c</w:t>
      </w:r>
      <w:r>
        <w:rPr>
          <w:sz w:val="24"/>
        </w:rPr>
        <w:t>onsuming above 500 units/month by December 31, 2018 and to consumers consuming above 200 units/ month by December 31,</w:t>
      </w:r>
      <w:r>
        <w:rPr>
          <w:spacing w:val="-12"/>
          <w:sz w:val="24"/>
        </w:rPr>
        <w:t xml:space="preserve"> </w:t>
      </w:r>
      <w:r>
        <w:rPr>
          <w:sz w:val="24"/>
        </w:rPr>
        <w:t>2019</w:t>
      </w:r>
    </w:p>
    <w:p w:rsidR="007C5447" w:rsidRDefault="00F6308C">
      <w:pPr>
        <w:pStyle w:val="ListParagraph"/>
        <w:numPr>
          <w:ilvl w:val="0"/>
          <w:numId w:val="51"/>
        </w:numPr>
        <w:tabs>
          <w:tab w:val="left" w:pos="2519"/>
        </w:tabs>
        <w:spacing w:before="1" w:line="312" w:lineRule="auto"/>
        <w:ind w:right="1181"/>
        <w:jc w:val="both"/>
        <w:rPr>
          <w:sz w:val="24"/>
        </w:rPr>
      </w:pPr>
      <w:r>
        <w:rPr>
          <w:sz w:val="24"/>
        </w:rPr>
        <w:t>Implementing ERP system for better and effective inventory management, personnel management, accounts management, etc., to reduce cos</w:t>
      </w:r>
      <w:r>
        <w:rPr>
          <w:sz w:val="24"/>
        </w:rPr>
        <w:t>ts and</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F6308C">
      <w:pPr>
        <w:pStyle w:val="BodyText"/>
        <w:spacing w:before="60"/>
        <w:ind w:left="2518"/>
        <w:jc w:val="both"/>
      </w:pPr>
      <w:r>
        <w:lastRenderedPageBreak/>
        <w:t>increase efficiency by March 2019.</w:t>
      </w:r>
    </w:p>
    <w:p w:rsidR="007C5447" w:rsidRDefault="00F6308C">
      <w:pPr>
        <w:pStyle w:val="ListParagraph"/>
        <w:numPr>
          <w:ilvl w:val="0"/>
          <w:numId w:val="51"/>
        </w:numPr>
        <w:tabs>
          <w:tab w:val="left" w:pos="2519"/>
        </w:tabs>
        <w:spacing w:before="82"/>
        <w:jc w:val="both"/>
        <w:rPr>
          <w:sz w:val="24"/>
        </w:rPr>
      </w:pPr>
      <w:r>
        <w:rPr>
          <w:sz w:val="24"/>
        </w:rPr>
        <w:t>Implementing Consumer Indexing and GIS mapping of</w:t>
      </w:r>
      <w:r>
        <w:rPr>
          <w:spacing w:val="-9"/>
          <w:sz w:val="24"/>
        </w:rPr>
        <w:t xml:space="preserve"> </w:t>
      </w:r>
      <w:r>
        <w:rPr>
          <w:sz w:val="24"/>
        </w:rPr>
        <w:t>losses.</w:t>
      </w:r>
    </w:p>
    <w:p w:rsidR="007C5447" w:rsidRDefault="00F6308C">
      <w:pPr>
        <w:pStyle w:val="ListParagraph"/>
        <w:numPr>
          <w:ilvl w:val="0"/>
          <w:numId w:val="51"/>
        </w:numPr>
        <w:tabs>
          <w:tab w:val="left" w:pos="2519"/>
        </w:tabs>
        <w:spacing w:before="84" w:line="312" w:lineRule="auto"/>
        <w:ind w:right="1184"/>
        <w:jc w:val="both"/>
        <w:rPr>
          <w:sz w:val="24"/>
        </w:rPr>
      </w:pPr>
      <w:r>
        <w:rPr>
          <w:sz w:val="24"/>
        </w:rPr>
        <w:t>Replacing at least 10% of existing agriculture pumps with energy efficient pumps by March</w:t>
      </w:r>
      <w:r>
        <w:rPr>
          <w:spacing w:val="-5"/>
          <w:sz w:val="24"/>
        </w:rPr>
        <w:t xml:space="preserve"> </w:t>
      </w:r>
      <w:r>
        <w:rPr>
          <w:sz w:val="24"/>
        </w:rPr>
        <w:t>2019.</w:t>
      </w:r>
    </w:p>
    <w:p w:rsidR="007C5447" w:rsidRDefault="00F6308C">
      <w:pPr>
        <w:pStyle w:val="ListParagraph"/>
        <w:numPr>
          <w:ilvl w:val="2"/>
          <w:numId w:val="114"/>
        </w:numPr>
        <w:tabs>
          <w:tab w:val="left" w:pos="1953"/>
        </w:tabs>
        <w:spacing w:before="121" w:line="312" w:lineRule="auto"/>
        <w:ind w:left="1952" w:right="1177" w:hanging="852"/>
        <w:jc w:val="both"/>
        <w:rPr>
          <w:sz w:val="24"/>
        </w:rPr>
      </w:pPr>
      <w:r>
        <w:rPr>
          <w:sz w:val="24"/>
        </w:rPr>
        <w:t>TANGEDCO submitted that participation in U</w:t>
      </w:r>
      <w:r>
        <w:rPr>
          <w:sz w:val="24"/>
        </w:rPr>
        <w:t>DAY was based on the concept of providing competitive and quality power to consumers, as the cost advantage will be passed on to consumers each year by way of reduction in cost. The expected benefits from UDAY are as follows:</w:t>
      </w:r>
    </w:p>
    <w:p w:rsidR="007C5447" w:rsidRDefault="007C5447">
      <w:pPr>
        <w:pStyle w:val="BodyText"/>
        <w:spacing w:before="9"/>
        <w:rPr>
          <w:sz w:val="20"/>
        </w:rPr>
      </w:pPr>
    </w:p>
    <w:p w:rsidR="007C5447" w:rsidRDefault="00F6308C">
      <w:pPr>
        <w:pStyle w:val="ListParagraph"/>
        <w:numPr>
          <w:ilvl w:val="0"/>
          <w:numId w:val="50"/>
        </w:numPr>
        <w:tabs>
          <w:tab w:val="left" w:pos="2519"/>
        </w:tabs>
        <w:spacing w:before="1" w:line="312" w:lineRule="auto"/>
        <w:ind w:right="1180"/>
        <w:jc w:val="both"/>
        <w:rPr>
          <w:sz w:val="24"/>
        </w:rPr>
      </w:pPr>
      <w:r>
        <w:rPr>
          <w:sz w:val="24"/>
        </w:rPr>
        <w:t>Due to reduction in interest rate as well as takeover of loan by GoTN, savings on interest are expected to be approximately Rs. 2882 Crore per annum and savings of approximately Rs. 2282 Crore per annum to TANGEDCO in cash flow due to repayment of the prin</w:t>
      </w:r>
      <w:r>
        <w:rPr>
          <w:sz w:val="24"/>
        </w:rPr>
        <w:t>cipal on account of takeover of the loans by GoTN.</w:t>
      </w:r>
    </w:p>
    <w:p w:rsidR="007C5447" w:rsidRDefault="00F6308C">
      <w:pPr>
        <w:pStyle w:val="ListParagraph"/>
        <w:numPr>
          <w:ilvl w:val="0"/>
          <w:numId w:val="50"/>
        </w:numPr>
        <w:tabs>
          <w:tab w:val="left" w:pos="2519"/>
        </w:tabs>
        <w:spacing w:line="312" w:lineRule="auto"/>
        <w:ind w:right="1180"/>
        <w:jc w:val="both"/>
        <w:rPr>
          <w:sz w:val="24"/>
        </w:rPr>
      </w:pPr>
      <w:r>
        <w:rPr>
          <w:sz w:val="24"/>
        </w:rPr>
        <w:t>On the remaining 25% loan of Rs. 7605 Crore to be repaid through Bonds, interest savings of Rs. 200 Crore are expected besides the cash flow benefit due to staggered repayment of such loans.</w:t>
      </w:r>
    </w:p>
    <w:p w:rsidR="007C5447" w:rsidRDefault="00F6308C">
      <w:pPr>
        <w:pStyle w:val="ListParagraph"/>
        <w:numPr>
          <w:ilvl w:val="0"/>
          <w:numId w:val="50"/>
        </w:numPr>
        <w:tabs>
          <w:tab w:val="left" w:pos="2519"/>
        </w:tabs>
        <w:spacing w:before="1" w:line="312" w:lineRule="auto"/>
        <w:ind w:right="1175"/>
        <w:jc w:val="both"/>
        <w:rPr>
          <w:sz w:val="24"/>
        </w:rPr>
      </w:pPr>
      <w:r>
        <w:rPr>
          <w:sz w:val="24"/>
        </w:rPr>
        <w:t>An estimated o</w:t>
      </w:r>
      <w:r>
        <w:rPr>
          <w:sz w:val="24"/>
        </w:rPr>
        <w:t xml:space="preserve">verall gain of approximately Rs. 3125 Crore by way </w:t>
      </w:r>
      <w:r>
        <w:rPr>
          <w:spacing w:val="3"/>
          <w:sz w:val="24"/>
        </w:rPr>
        <w:t xml:space="preserve">of </w:t>
      </w:r>
      <w:r>
        <w:rPr>
          <w:sz w:val="24"/>
        </w:rPr>
        <w:t>reduction in interest burden per annum and cash saving of approximately Rs. 2282 Crore per annum on principal repayment over a 10-year period from sixth year onwards is</w:t>
      </w:r>
      <w:r>
        <w:rPr>
          <w:spacing w:val="1"/>
          <w:sz w:val="24"/>
        </w:rPr>
        <w:t xml:space="preserve"> </w:t>
      </w:r>
      <w:r>
        <w:rPr>
          <w:sz w:val="24"/>
        </w:rPr>
        <w:t>expected.</w:t>
      </w:r>
    </w:p>
    <w:p w:rsidR="007C5447" w:rsidRDefault="00F6308C">
      <w:pPr>
        <w:pStyle w:val="ListParagraph"/>
        <w:numPr>
          <w:ilvl w:val="0"/>
          <w:numId w:val="50"/>
        </w:numPr>
        <w:tabs>
          <w:tab w:val="left" w:pos="2519"/>
        </w:tabs>
        <w:spacing w:line="312" w:lineRule="auto"/>
        <w:ind w:right="1185"/>
        <w:jc w:val="both"/>
        <w:rPr>
          <w:sz w:val="24"/>
        </w:rPr>
      </w:pPr>
      <w:r>
        <w:rPr>
          <w:sz w:val="24"/>
        </w:rPr>
        <w:t>Over and above the savi</w:t>
      </w:r>
      <w:r>
        <w:rPr>
          <w:sz w:val="24"/>
        </w:rPr>
        <w:t>ngs under financial leverage, there will be also an additional saving due to reduction in AT&amp;C</w:t>
      </w:r>
      <w:r>
        <w:rPr>
          <w:spacing w:val="-2"/>
          <w:sz w:val="24"/>
        </w:rPr>
        <w:t xml:space="preserve"> </w:t>
      </w:r>
      <w:r>
        <w:rPr>
          <w:sz w:val="24"/>
        </w:rPr>
        <w:t>losses.</w:t>
      </w:r>
    </w:p>
    <w:p w:rsidR="007C5447" w:rsidRDefault="00F6308C">
      <w:pPr>
        <w:pStyle w:val="ListParagraph"/>
        <w:numPr>
          <w:ilvl w:val="0"/>
          <w:numId w:val="50"/>
        </w:numPr>
        <w:tabs>
          <w:tab w:val="left" w:pos="2519"/>
        </w:tabs>
        <w:spacing w:line="312" w:lineRule="auto"/>
        <w:ind w:right="1181"/>
        <w:jc w:val="both"/>
        <w:rPr>
          <w:sz w:val="24"/>
        </w:rPr>
      </w:pPr>
      <w:r>
        <w:rPr>
          <w:sz w:val="24"/>
        </w:rPr>
        <w:t>Overall savings due to participation in UDAY is broadly classified into two parts, i.e., reduction in revenue expenditure and cash saving, as shown in the Table</w:t>
      </w:r>
      <w:r>
        <w:rPr>
          <w:spacing w:val="-1"/>
          <w:sz w:val="24"/>
        </w:rPr>
        <w:t xml:space="preserve"> </w:t>
      </w:r>
      <w:r>
        <w:rPr>
          <w:sz w:val="24"/>
        </w:rPr>
        <w:t>below:</w:t>
      </w:r>
    </w:p>
    <w:p w:rsidR="007C5447" w:rsidRDefault="007C5447">
      <w:pPr>
        <w:pStyle w:val="BodyText"/>
        <w:spacing w:before="9"/>
        <w:rPr>
          <w:sz w:val="20"/>
        </w:rPr>
      </w:pPr>
    </w:p>
    <w:p w:rsidR="007C5447" w:rsidRDefault="00F6308C">
      <w:pPr>
        <w:pStyle w:val="Heading2"/>
        <w:ind w:left="1304" w:right="1384"/>
        <w:jc w:val="center"/>
      </w:pPr>
      <w:r>
        <w:t>Table 5-1: Savings due to participation in UDAY as submitted by TANGEDCO (Rs.</w:t>
      </w:r>
    </w:p>
    <w:p w:rsidR="007C5447" w:rsidRDefault="00F6308C">
      <w:pPr>
        <w:spacing w:before="84"/>
        <w:ind w:left="1354" w:right="1432"/>
        <w:jc w:val="center"/>
        <w:rPr>
          <w:b/>
          <w:sz w:val="24"/>
        </w:rPr>
      </w:pPr>
      <w:r>
        <w:rPr>
          <w:b/>
          <w:sz w:val="24"/>
        </w:rPr>
        <w:t>Crore)</w:t>
      </w:r>
    </w:p>
    <w:p w:rsidR="007C5447" w:rsidRDefault="007C5447">
      <w:pPr>
        <w:pStyle w:val="BodyText"/>
        <w:spacing w:before="7"/>
        <w:rPr>
          <w:b/>
          <w:sz w:val="17"/>
        </w:rPr>
      </w:pPr>
    </w:p>
    <w:tbl>
      <w:tblPr>
        <w:tblW w:w="0" w:type="auto"/>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85"/>
        <w:gridCol w:w="992"/>
        <w:gridCol w:w="2979"/>
        <w:gridCol w:w="986"/>
      </w:tblGrid>
      <w:tr w:rsidR="007C5447">
        <w:trPr>
          <w:trHeight w:val="330"/>
        </w:trPr>
        <w:tc>
          <w:tcPr>
            <w:tcW w:w="4677" w:type="dxa"/>
            <w:gridSpan w:val="2"/>
            <w:shd w:val="clear" w:color="auto" w:fill="F7C9AC"/>
          </w:tcPr>
          <w:p w:rsidR="007C5447" w:rsidRDefault="00F6308C">
            <w:pPr>
              <w:pStyle w:val="TableParagraph"/>
              <w:spacing w:before="37"/>
              <w:ind w:left="854"/>
              <w:jc w:val="left"/>
              <w:rPr>
                <w:b/>
              </w:rPr>
            </w:pPr>
            <w:r>
              <w:rPr>
                <w:b/>
              </w:rPr>
              <w:t>S</w:t>
            </w:r>
            <w:r>
              <w:rPr>
                <w:b/>
              </w:rPr>
              <w:t>aving in Revenue Expenditure</w:t>
            </w:r>
          </w:p>
        </w:tc>
        <w:tc>
          <w:tcPr>
            <w:tcW w:w="3965" w:type="dxa"/>
            <w:gridSpan w:val="2"/>
            <w:shd w:val="clear" w:color="auto" w:fill="F7C9AC"/>
          </w:tcPr>
          <w:p w:rsidR="007C5447" w:rsidRDefault="00F6308C">
            <w:pPr>
              <w:pStyle w:val="TableParagraph"/>
              <w:spacing w:before="37"/>
              <w:ind w:left="1395" w:right="1388"/>
              <w:jc w:val="center"/>
              <w:rPr>
                <w:b/>
              </w:rPr>
            </w:pPr>
            <w:r>
              <w:rPr>
                <w:b/>
              </w:rPr>
              <w:t>Cash saving</w:t>
            </w:r>
          </w:p>
        </w:tc>
      </w:tr>
      <w:tr w:rsidR="007C5447">
        <w:trPr>
          <w:trHeight w:val="328"/>
        </w:trPr>
        <w:tc>
          <w:tcPr>
            <w:tcW w:w="3685" w:type="dxa"/>
            <w:shd w:val="clear" w:color="auto" w:fill="F7C9AC"/>
          </w:tcPr>
          <w:p w:rsidR="007C5447" w:rsidRDefault="00F6308C">
            <w:pPr>
              <w:pStyle w:val="TableParagraph"/>
              <w:spacing w:before="37"/>
              <w:ind w:left="1293" w:right="1291"/>
              <w:jc w:val="center"/>
              <w:rPr>
                <w:b/>
              </w:rPr>
            </w:pPr>
            <w:r>
              <w:rPr>
                <w:b/>
              </w:rPr>
              <w:t>Particulars</w:t>
            </w:r>
          </w:p>
        </w:tc>
        <w:tc>
          <w:tcPr>
            <w:tcW w:w="992" w:type="dxa"/>
            <w:shd w:val="clear" w:color="auto" w:fill="F7C9AC"/>
          </w:tcPr>
          <w:p w:rsidR="007C5447" w:rsidRDefault="00F6308C">
            <w:pPr>
              <w:pStyle w:val="TableParagraph"/>
              <w:spacing w:before="37"/>
              <w:ind w:right="98"/>
              <w:rPr>
                <w:b/>
              </w:rPr>
            </w:pPr>
            <w:r>
              <w:rPr>
                <w:b/>
              </w:rPr>
              <w:t>Amount</w:t>
            </w:r>
          </w:p>
        </w:tc>
        <w:tc>
          <w:tcPr>
            <w:tcW w:w="2979" w:type="dxa"/>
            <w:shd w:val="clear" w:color="auto" w:fill="F7C9AC"/>
          </w:tcPr>
          <w:p w:rsidR="007C5447" w:rsidRDefault="00F6308C">
            <w:pPr>
              <w:pStyle w:val="TableParagraph"/>
              <w:spacing w:before="37"/>
              <w:ind w:left="961"/>
              <w:jc w:val="left"/>
              <w:rPr>
                <w:b/>
              </w:rPr>
            </w:pPr>
            <w:r>
              <w:rPr>
                <w:b/>
              </w:rPr>
              <w:t>Particulars</w:t>
            </w:r>
          </w:p>
        </w:tc>
        <w:tc>
          <w:tcPr>
            <w:tcW w:w="986" w:type="dxa"/>
            <w:shd w:val="clear" w:color="auto" w:fill="F7C9AC"/>
          </w:tcPr>
          <w:p w:rsidR="007C5447" w:rsidRDefault="00F6308C">
            <w:pPr>
              <w:pStyle w:val="TableParagraph"/>
              <w:spacing w:before="37"/>
              <w:ind w:right="95"/>
              <w:rPr>
                <w:b/>
              </w:rPr>
            </w:pPr>
            <w:r>
              <w:rPr>
                <w:b/>
              </w:rPr>
              <w:t>Amount</w:t>
            </w:r>
          </w:p>
        </w:tc>
      </w:tr>
      <w:tr w:rsidR="007C5447">
        <w:trPr>
          <w:trHeight w:val="630"/>
        </w:trPr>
        <w:tc>
          <w:tcPr>
            <w:tcW w:w="3685" w:type="dxa"/>
          </w:tcPr>
          <w:p w:rsidR="007C5447" w:rsidRDefault="00F6308C">
            <w:pPr>
              <w:pStyle w:val="TableParagraph"/>
              <w:spacing w:before="61"/>
              <w:ind w:left="105" w:right="183"/>
              <w:jc w:val="left"/>
            </w:pPr>
            <w:r>
              <w:t>Interest savings due to takeover of Rs. 22815 Crore.</w:t>
            </w:r>
          </w:p>
        </w:tc>
        <w:tc>
          <w:tcPr>
            <w:tcW w:w="992" w:type="dxa"/>
          </w:tcPr>
          <w:p w:rsidR="007C5447" w:rsidRDefault="00F6308C">
            <w:pPr>
              <w:pStyle w:val="TableParagraph"/>
              <w:spacing w:before="188"/>
              <w:ind w:right="95"/>
            </w:pPr>
            <w:r>
              <w:t>2882</w:t>
            </w:r>
          </w:p>
        </w:tc>
        <w:tc>
          <w:tcPr>
            <w:tcW w:w="2979" w:type="dxa"/>
          </w:tcPr>
          <w:p w:rsidR="007C5447" w:rsidRDefault="00F6308C">
            <w:pPr>
              <w:pStyle w:val="TableParagraph"/>
              <w:spacing w:before="61"/>
              <w:ind w:left="106" w:right="313"/>
              <w:jc w:val="left"/>
            </w:pPr>
            <w:r>
              <w:t>Cash flow savings on annual Principal repayment</w:t>
            </w:r>
          </w:p>
        </w:tc>
        <w:tc>
          <w:tcPr>
            <w:tcW w:w="986" w:type="dxa"/>
          </w:tcPr>
          <w:p w:rsidR="007C5447" w:rsidRDefault="00F6308C">
            <w:pPr>
              <w:pStyle w:val="TableParagraph"/>
              <w:spacing w:before="188"/>
              <w:ind w:right="94"/>
            </w:pPr>
            <w:r>
              <w:t>2282</w:t>
            </w:r>
          </w:p>
        </w:tc>
      </w:tr>
      <w:tr w:rsidR="007C5447">
        <w:trPr>
          <w:trHeight w:val="630"/>
        </w:trPr>
        <w:tc>
          <w:tcPr>
            <w:tcW w:w="3685" w:type="dxa"/>
          </w:tcPr>
          <w:p w:rsidR="007C5447" w:rsidRDefault="00F6308C">
            <w:pPr>
              <w:pStyle w:val="TableParagraph"/>
              <w:spacing w:before="61"/>
              <w:ind w:left="105" w:right="562"/>
              <w:jc w:val="left"/>
            </w:pPr>
            <w:r>
              <w:t>Interest savings by converting Rs. 7605 Crore into bond</w:t>
            </w:r>
          </w:p>
        </w:tc>
        <w:tc>
          <w:tcPr>
            <w:tcW w:w="992" w:type="dxa"/>
          </w:tcPr>
          <w:p w:rsidR="007C5447" w:rsidRDefault="00F6308C">
            <w:pPr>
              <w:pStyle w:val="TableParagraph"/>
              <w:spacing w:before="188"/>
              <w:ind w:right="97"/>
            </w:pPr>
            <w:r>
              <w:t>200</w:t>
            </w:r>
          </w:p>
        </w:tc>
        <w:tc>
          <w:tcPr>
            <w:tcW w:w="2979" w:type="dxa"/>
          </w:tcPr>
          <w:p w:rsidR="007C5447" w:rsidRDefault="007C5447">
            <w:pPr>
              <w:pStyle w:val="TableParagraph"/>
              <w:jc w:val="left"/>
            </w:pPr>
          </w:p>
        </w:tc>
        <w:tc>
          <w:tcPr>
            <w:tcW w:w="986" w:type="dxa"/>
          </w:tcPr>
          <w:p w:rsidR="007C5447" w:rsidRDefault="007C5447">
            <w:pPr>
              <w:pStyle w:val="TableParagraph"/>
              <w:jc w:val="left"/>
            </w:pPr>
          </w:p>
        </w:tc>
      </w:tr>
      <w:tr w:rsidR="007C5447">
        <w:trPr>
          <w:trHeight w:val="628"/>
        </w:trPr>
        <w:tc>
          <w:tcPr>
            <w:tcW w:w="3685" w:type="dxa"/>
          </w:tcPr>
          <w:p w:rsidR="007C5447" w:rsidRDefault="00F6308C">
            <w:pPr>
              <w:pStyle w:val="TableParagraph"/>
              <w:spacing w:before="61"/>
              <w:ind w:left="105" w:right="201"/>
              <w:jc w:val="left"/>
            </w:pPr>
            <w:r>
              <w:t>Interest saving due to conversion of State loan of Rs. 3352 Crore as equity</w:t>
            </w:r>
          </w:p>
        </w:tc>
        <w:tc>
          <w:tcPr>
            <w:tcW w:w="992" w:type="dxa"/>
          </w:tcPr>
          <w:p w:rsidR="007C5447" w:rsidRDefault="00F6308C">
            <w:pPr>
              <w:pStyle w:val="TableParagraph"/>
              <w:spacing w:before="188"/>
              <w:ind w:right="95"/>
            </w:pPr>
            <w:r>
              <w:t>432</w:t>
            </w:r>
          </w:p>
        </w:tc>
        <w:tc>
          <w:tcPr>
            <w:tcW w:w="2979" w:type="dxa"/>
          </w:tcPr>
          <w:p w:rsidR="007C5447" w:rsidRDefault="007C5447">
            <w:pPr>
              <w:pStyle w:val="TableParagraph"/>
              <w:jc w:val="left"/>
            </w:pPr>
          </w:p>
        </w:tc>
        <w:tc>
          <w:tcPr>
            <w:tcW w:w="986" w:type="dxa"/>
          </w:tcPr>
          <w:p w:rsidR="007C5447" w:rsidRDefault="007C5447">
            <w:pPr>
              <w:pStyle w:val="TableParagraph"/>
              <w:jc w:val="left"/>
            </w:pPr>
          </w:p>
        </w:tc>
      </w:tr>
      <w:tr w:rsidR="007C5447">
        <w:trPr>
          <w:trHeight w:val="330"/>
        </w:trPr>
        <w:tc>
          <w:tcPr>
            <w:tcW w:w="3685" w:type="dxa"/>
          </w:tcPr>
          <w:p w:rsidR="007C5447" w:rsidRDefault="00F6308C">
            <w:pPr>
              <w:pStyle w:val="TableParagraph"/>
              <w:spacing w:before="39"/>
              <w:ind w:left="105"/>
              <w:jc w:val="left"/>
              <w:rPr>
                <w:b/>
              </w:rPr>
            </w:pPr>
            <w:r>
              <w:rPr>
                <w:b/>
              </w:rPr>
              <w:t>Total</w:t>
            </w:r>
          </w:p>
        </w:tc>
        <w:tc>
          <w:tcPr>
            <w:tcW w:w="992" w:type="dxa"/>
          </w:tcPr>
          <w:p w:rsidR="007C5447" w:rsidRDefault="00F6308C">
            <w:pPr>
              <w:pStyle w:val="TableParagraph"/>
              <w:spacing w:before="39"/>
              <w:ind w:right="95"/>
              <w:rPr>
                <w:b/>
              </w:rPr>
            </w:pPr>
            <w:r>
              <w:rPr>
                <w:b/>
              </w:rPr>
              <w:t>3514</w:t>
            </w:r>
          </w:p>
        </w:tc>
        <w:tc>
          <w:tcPr>
            <w:tcW w:w="2979" w:type="dxa"/>
          </w:tcPr>
          <w:p w:rsidR="007C5447" w:rsidRDefault="00F6308C">
            <w:pPr>
              <w:pStyle w:val="TableParagraph"/>
              <w:spacing w:before="39"/>
              <w:ind w:left="106"/>
              <w:jc w:val="left"/>
              <w:rPr>
                <w:b/>
              </w:rPr>
            </w:pPr>
            <w:r>
              <w:rPr>
                <w:b/>
              </w:rPr>
              <w:t>Total</w:t>
            </w:r>
          </w:p>
        </w:tc>
        <w:tc>
          <w:tcPr>
            <w:tcW w:w="986" w:type="dxa"/>
          </w:tcPr>
          <w:p w:rsidR="007C5447" w:rsidRDefault="00F6308C">
            <w:pPr>
              <w:pStyle w:val="TableParagraph"/>
              <w:spacing w:before="39"/>
              <w:ind w:right="94"/>
              <w:rPr>
                <w:b/>
              </w:rPr>
            </w:pPr>
            <w:r>
              <w:rPr>
                <w:b/>
              </w:rPr>
              <w:t>2282</w:t>
            </w:r>
          </w:p>
        </w:tc>
      </w:tr>
    </w:tbl>
    <w:p w:rsidR="007C5447" w:rsidRDefault="007C5447">
      <w:pPr>
        <w:sectPr w:rsidR="007C5447">
          <w:pgSz w:w="11910" w:h="16840"/>
          <w:pgMar w:top="1360" w:right="260" w:bottom="1240" w:left="340" w:header="0" w:footer="1057" w:gutter="0"/>
          <w:cols w:space="720"/>
        </w:sectPr>
      </w:pPr>
    </w:p>
    <w:p w:rsidR="007C5447" w:rsidRDefault="00F6308C">
      <w:pPr>
        <w:pStyle w:val="ListParagraph"/>
        <w:numPr>
          <w:ilvl w:val="2"/>
          <w:numId w:val="114"/>
        </w:numPr>
        <w:tabs>
          <w:tab w:val="left" w:pos="1953"/>
        </w:tabs>
        <w:spacing w:before="60" w:line="312" w:lineRule="auto"/>
        <w:ind w:left="1952" w:right="1177" w:hanging="852"/>
        <w:jc w:val="both"/>
        <w:rPr>
          <w:sz w:val="24"/>
        </w:rPr>
      </w:pPr>
      <w:r>
        <w:rPr>
          <w:sz w:val="24"/>
        </w:rPr>
        <w:lastRenderedPageBreak/>
        <w:t>TANGEDCO submitted that the savings of Rs. 3,514 Crore in revenue expenditure, as shown in the above Table, will result in savings of 42 paise per unit in the cost, which will be passed on to the consumers. In addition, the cash flow saving of Rs. 2,282 Cr</w:t>
      </w:r>
      <w:r>
        <w:rPr>
          <w:sz w:val="24"/>
        </w:rPr>
        <w:t>ore will provide relief in working capital requirement, resulting in lower dependence on short-term working capital loan, which will result in further saving in interest</w:t>
      </w:r>
      <w:r>
        <w:rPr>
          <w:spacing w:val="-1"/>
          <w:sz w:val="24"/>
        </w:rPr>
        <w:t xml:space="preserve"> </w:t>
      </w:r>
      <w:r>
        <w:rPr>
          <w:sz w:val="24"/>
        </w:rPr>
        <w:t>cost.</w:t>
      </w:r>
    </w:p>
    <w:p w:rsidR="007C5447" w:rsidRDefault="007C5447">
      <w:pPr>
        <w:pStyle w:val="BodyText"/>
        <w:spacing w:before="11"/>
        <w:rPr>
          <w:sz w:val="20"/>
        </w:rPr>
      </w:pPr>
    </w:p>
    <w:p w:rsidR="007C5447" w:rsidRDefault="00F6308C">
      <w:pPr>
        <w:pStyle w:val="ListParagraph"/>
        <w:numPr>
          <w:ilvl w:val="2"/>
          <w:numId w:val="114"/>
        </w:numPr>
        <w:tabs>
          <w:tab w:val="left" w:pos="1953"/>
        </w:tabs>
        <w:spacing w:line="312" w:lineRule="auto"/>
        <w:ind w:left="1952" w:right="1176" w:hanging="852"/>
        <w:jc w:val="both"/>
        <w:rPr>
          <w:sz w:val="24"/>
        </w:rPr>
      </w:pPr>
      <w:r>
        <w:rPr>
          <w:sz w:val="24"/>
        </w:rPr>
        <w:t>The loan of Rs. 22,815 Crore, taken over by the GoTN, will be converted into gr</w:t>
      </w:r>
      <w:r>
        <w:rPr>
          <w:sz w:val="24"/>
        </w:rPr>
        <w:t>ant to TANGEDCO over a period of five years, which will result in an additional revenue expenditure burden of Rs. 4,563 Crore per annum to the GoTN. The above loan takeover will also result in additional interest burden of Rs. 1,825 Crore per annum to the</w:t>
      </w:r>
      <w:r>
        <w:rPr>
          <w:spacing w:val="-1"/>
          <w:sz w:val="24"/>
        </w:rPr>
        <w:t xml:space="preserve"> </w:t>
      </w:r>
      <w:r>
        <w:rPr>
          <w:sz w:val="24"/>
        </w:rPr>
        <w:t>GoTN.</w:t>
      </w:r>
    </w:p>
    <w:p w:rsidR="007C5447" w:rsidRDefault="007C5447">
      <w:pPr>
        <w:pStyle w:val="BodyText"/>
        <w:spacing w:before="9"/>
        <w:rPr>
          <w:sz w:val="20"/>
        </w:rPr>
      </w:pPr>
    </w:p>
    <w:p w:rsidR="007C5447" w:rsidRDefault="00F6308C">
      <w:pPr>
        <w:pStyle w:val="ListParagraph"/>
        <w:numPr>
          <w:ilvl w:val="2"/>
          <w:numId w:val="114"/>
        </w:numPr>
        <w:tabs>
          <w:tab w:val="left" w:pos="1953"/>
        </w:tabs>
        <w:spacing w:before="1" w:line="312" w:lineRule="auto"/>
        <w:ind w:left="1952" w:right="1175" w:hanging="852"/>
        <w:jc w:val="both"/>
        <w:rPr>
          <w:sz w:val="24"/>
        </w:rPr>
      </w:pPr>
      <w:r>
        <w:rPr>
          <w:sz w:val="24"/>
        </w:rPr>
        <w:t>From sixth year onwards, GoTN has to bear the interest burden of Rs. 1,825 Crore on revenue account and Rs. 2,282 Crore on capital account for loan repayment. Thus, GoTN will be bearing the additional financial burden of Rs. 6,388 Crore per year for</w:t>
      </w:r>
      <w:r>
        <w:rPr>
          <w:sz w:val="24"/>
        </w:rPr>
        <w:t xml:space="preserve"> the first five years and Rs. 4,107 Crore from sixth year onwards, till the repayment of bonds. As a result, the fiscal deficit of GoTN will be breached for FY 2016-17 because of the loan takeover of Rs. 22,815 Crore. However, the Central Government has gi</w:t>
      </w:r>
      <w:r>
        <w:rPr>
          <w:sz w:val="24"/>
        </w:rPr>
        <w:t>ven relaxation for fiscal deficit for FY</w:t>
      </w:r>
      <w:r>
        <w:rPr>
          <w:spacing w:val="-2"/>
          <w:sz w:val="24"/>
        </w:rPr>
        <w:t xml:space="preserve"> </w:t>
      </w:r>
      <w:r>
        <w:rPr>
          <w:sz w:val="24"/>
        </w:rPr>
        <w:t>2016-17.</w:t>
      </w:r>
    </w:p>
    <w:p w:rsidR="007C5447" w:rsidRDefault="007C5447">
      <w:pPr>
        <w:pStyle w:val="BodyText"/>
        <w:spacing w:before="11"/>
        <w:rPr>
          <w:sz w:val="20"/>
        </w:rPr>
      </w:pPr>
    </w:p>
    <w:p w:rsidR="007C5447" w:rsidRDefault="00F6308C">
      <w:pPr>
        <w:pStyle w:val="ListParagraph"/>
        <w:numPr>
          <w:ilvl w:val="2"/>
          <w:numId w:val="114"/>
        </w:numPr>
        <w:tabs>
          <w:tab w:val="left" w:pos="1953"/>
        </w:tabs>
        <w:spacing w:line="312" w:lineRule="auto"/>
        <w:ind w:left="1952" w:right="1180" w:hanging="852"/>
        <w:jc w:val="both"/>
        <w:rPr>
          <w:sz w:val="24"/>
        </w:rPr>
      </w:pPr>
      <w:r>
        <w:rPr>
          <w:sz w:val="24"/>
        </w:rPr>
        <w:t>For the subsequent years, the additional expenditure burden on the GoTN will reduce its net available funds out of the total borrowings to carry out the normal developmental works. For the GoTN to maintain a fiscal deficit of 3% of the GSDP, a fiscal space</w:t>
      </w:r>
      <w:r>
        <w:rPr>
          <w:sz w:val="24"/>
        </w:rPr>
        <w:t xml:space="preserve"> up to Rs. 2,500 Crore has to be created to absorb this debt takeover without breaching fiscal deficit</w:t>
      </w:r>
      <w:r>
        <w:rPr>
          <w:spacing w:val="-4"/>
          <w:sz w:val="24"/>
        </w:rPr>
        <w:t xml:space="preserve"> </w:t>
      </w:r>
      <w:r>
        <w:rPr>
          <w:sz w:val="24"/>
        </w:rPr>
        <w:t>norms.</w:t>
      </w:r>
    </w:p>
    <w:p w:rsidR="007C5447" w:rsidRDefault="007C5447">
      <w:pPr>
        <w:pStyle w:val="BodyText"/>
        <w:spacing w:before="9"/>
        <w:rPr>
          <w:sz w:val="20"/>
        </w:rPr>
      </w:pPr>
    </w:p>
    <w:p w:rsidR="007C5447" w:rsidRDefault="00F6308C">
      <w:pPr>
        <w:pStyle w:val="ListParagraph"/>
        <w:numPr>
          <w:ilvl w:val="2"/>
          <w:numId w:val="114"/>
        </w:numPr>
        <w:tabs>
          <w:tab w:val="left" w:pos="1953"/>
        </w:tabs>
        <w:spacing w:line="312" w:lineRule="auto"/>
        <w:ind w:left="1952" w:right="1174" w:hanging="852"/>
        <w:jc w:val="both"/>
        <w:rPr>
          <w:sz w:val="24"/>
        </w:rPr>
      </w:pPr>
      <w:r>
        <w:rPr>
          <w:sz w:val="24"/>
        </w:rPr>
        <w:t xml:space="preserve">Accordingly, TANGEDCO has proposed to adjust the tariff for domestic consumers in order to bring down the subsidy burden of GoTN to an extent of </w:t>
      </w:r>
      <w:r>
        <w:rPr>
          <w:sz w:val="24"/>
        </w:rPr>
        <w:t xml:space="preserve">Rs. 2,503.27 Crore. TANGEDCO submitted that it will absorb this amount of Rs. 2,503.27 Crore as it is likely to save Rs. 3,082 Crore by way of interest reset and debt takeover by the GoTN, thereby releasing TANGEDCO from the obligation of servicing debt </w:t>
      </w:r>
      <w:r>
        <w:rPr>
          <w:spacing w:val="3"/>
          <w:sz w:val="24"/>
        </w:rPr>
        <w:t>of</w:t>
      </w:r>
      <w:r>
        <w:rPr>
          <w:spacing w:val="3"/>
          <w:sz w:val="24"/>
        </w:rPr>
        <w:t xml:space="preserve"> </w:t>
      </w:r>
      <w:r>
        <w:rPr>
          <w:sz w:val="24"/>
        </w:rPr>
        <w:t>Rs. 22,815 Crore and corresponding interest</w:t>
      </w:r>
      <w:r>
        <w:rPr>
          <w:spacing w:val="-5"/>
          <w:sz w:val="24"/>
        </w:rPr>
        <w:t xml:space="preserve"> </w:t>
      </w:r>
      <w:r>
        <w:rPr>
          <w:sz w:val="24"/>
        </w:rPr>
        <w:t>payments.</w:t>
      </w:r>
    </w:p>
    <w:p w:rsidR="007C5447" w:rsidRDefault="007C5447">
      <w:pPr>
        <w:pStyle w:val="BodyText"/>
        <w:rPr>
          <w:sz w:val="21"/>
        </w:rPr>
      </w:pPr>
    </w:p>
    <w:p w:rsidR="007C5447" w:rsidRDefault="00F6308C">
      <w:pPr>
        <w:pStyle w:val="Heading2"/>
        <w:ind w:left="1952"/>
      </w:pPr>
      <w:r>
        <w:t>Commission’s Views</w:t>
      </w:r>
    </w:p>
    <w:p w:rsidR="007C5447" w:rsidRDefault="00F6308C">
      <w:pPr>
        <w:pStyle w:val="ListParagraph"/>
        <w:numPr>
          <w:ilvl w:val="2"/>
          <w:numId w:val="114"/>
        </w:numPr>
        <w:tabs>
          <w:tab w:val="left" w:pos="1953"/>
        </w:tabs>
        <w:spacing w:before="204" w:line="312" w:lineRule="auto"/>
        <w:ind w:left="1952" w:right="1179" w:hanging="852"/>
        <w:jc w:val="both"/>
        <w:rPr>
          <w:sz w:val="24"/>
        </w:rPr>
      </w:pPr>
      <w:r>
        <w:rPr>
          <w:sz w:val="24"/>
        </w:rPr>
        <w:t>GoTN has taken over TANGEDCO’s debt liability of Rs. 22,815 Crore, which has resulted in savings in interest to the tune of Rs. 2,882 Crore. However, as discussed in Chapter 4, the Commission has not considered the impact of UDAY while approving</w:t>
      </w:r>
      <w:r>
        <w:rPr>
          <w:spacing w:val="20"/>
          <w:sz w:val="24"/>
        </w:rPr>
        <w:t xml:space="preserve"> </w:t>
      </w:r>
      <w:r>
        <w:rPr>
          <w:sz w:val="24"/>
        </w:rPr>
        <w:t>the</w:t>
      </w:r>
      <w:r>
        <w:rPr>
          <w:spacing w:val="23"/>
          <w:sz w:val="24"/>
        </w:rPr>
        <w:t xml:space="preserve"> </w:t>
      </w:r>
      <w:r>
        <w:rPr>
          <w:sz w:val="24"/>
        </w:rPr>
        <w:t>intere</w:t>
      </w:r>
      <w:r>
        <w:rPr>
          <w:sz w:val="24"/>
        </w:rPr>
        <w:t>st</w:t>
      </w:r>
      <w:r>
        <w:rPr>
          <w:spacing w:val="23"/>
          <w:sz w:val="24"/>
        </w:rPr>
        <w:t xml:space="preserve"> </w:t>
      </w:r>
      <w:r>
        <w:rPr>
          <w:sz w:val="24"/>
        </w:rPr>
        <w:t>on</w:t>
      </w:r>
      <w:r>
        <w:rPr>
          <w:spacing w:val="23"/>
          <w:sz w:val="24"/>
        </w:rPr>
        <w:t xml:space="preserve"> </w:t>
      </w:r>
      <w:r>
        <w:rPr>
          <w:sz w:val="24"/>
        </w:rPr>
        <w:t>loans.</w:t>
      </w:r>
      <w:r>
        <w:rPr>
          <w:spacing w:val="23"/>
          <w:sz w:val="24"/>
        </w:rPr>
        <w:t xml:space="preserve"> </w:t>
      </w:r>
      <w:r>
        <w:rPr>
          <w:sz w:val="24"/>
        </w:rPr>
        <w:t>The</w:t>
      </w:r>
      <w:r>
        <w:rPr>
          <w:spacing w:val="21"/>
          <w:sz w:val="24"/>
        </w:rPr>
        <w:t xml:space="preserve"> </w:t>
      </w:r>
      <w:r>
        <w:rPr>
          <w:sz w:val="24"/>
        </w:rPr>
        <w:t>Commission</w:t>
      </w:r>
      <w:r>
        <w:rPr>
          <w:spacing w:val="23"/>
          <w:sz w:val="24"/>
        </w:rPr>
        <w:t xml:space="preserve"> </w:t>
      </w:r>
      <w:r>
        <w:rPr>
          <w:sz w:val="24"/>
        </w:rPr>
        <w:t>is</w:t>
      </w:r>
      <w:r>
        <w:rPr>
          <w:spacing w:val="24"/>
          <w:sz w:val="24"/>
        </w:rPr>
        <w:t xml:space="preserve"> </w:t>
      </w:r>
      <w:r>
        <w:rPr>
          <w:sz w:val="24"/>
        </w:rPr>
        <w:t>of</w:t>
      </w:r>
      <w:r>
        <w:rPr>
          <w:spacing w:val="22"/>
          <w:sz w:val="24"/>
        </w:rPr>
        <w:t xml:space="preserve"> </w:t>
      </w:r>
      <w:r>
        <w:rPr>
          <w:sz w:val="24"/>
        </w:rPr>
        <w:t>the</w:t>
      </w:r>
      <w:r>
        <w:rPr>
          <w:spacing w:val="23"/>
          <w:sz w:val="24"/>
        </w:rPr>
        <w:t xml:space="preserve"> </w:t>
      </w:r>
      <w:r>
        <w:rPr>
          <w:sz w:val="24"/>
        </w:rPr>
        <w:t>view</w:t>
      </w:r>
      <w:r>
        <w:rPr>
          <w:spacing w:val="22"/>
          <w:sz w:val="24"/>
        </w:rPr>
        <w:t xml:space="preserve"> </w:t>
      </w:r>
      <w:r>
        <w:rPr>
          <w:sz w:val="24"/>
        </w:rPr>
        <w:t>that</w:t>
      </w:r>
      <w:r>
        <w:rPr>
          <w:spacing w:val="22"/>
          <w:sz w:val="24"/>
        </w:rPr>
        <w:t xml:space="preserve"> </w:t>
      </w:r>
      <w:r>
        <w:rPr>
          <w:sz w:val="24"/>
        </w:rPr>
        <w:t>the</w:t>
      </w:r>
      <w:r>
        <w:rPr>
          <w:spacing w:val="23"/>
          <w:sz w:val="24"/>
        </w:rPr>
        <w:t xml:space="preserve"> </w:t>
      </w:r>
      <w:r>
        <w:rPr>
          <w:sz w:val="24"/>
        </w:rPr>
        <w:t>benefit</w:t>
      </w:r>
      <w:r>
        <w:rPr>
          <w:spacing w:val="23"/>
          <w:sz w:val="24"/>
        </w:rPr>
        <w:t xml:space="preserve"> </w:t>
      </w:r>
      <w:r>
        <w:rPr>
          <w:sz w:val="24"/>
        </w:rPr>
        <w:t>of</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F6308C">
      <w:pPr>
        <w:pStyle w:val="BodyText"/>
        <w:spacing w:before="60" w:line="312" w:lineRule="auto"/>
        <w:ind w:left="1952" w:right="1177"/>
        <w:jc w:val="both"/>
      </w:pPr>
      <w:r>
        <w:lastRenderedPageBreak/>
        <w:t>loan takeover by GoTN under UDAY is pertaining to TANGEDCO’s actual loan basket. However, since the Commission does not recognize TANGEDCO’s actual loan basket while approving</w:t>
      </w:r>
      <w:r>
        <w:t xml:space="preserve"> interest on loan, it would be incorrect to consider impact of UDAY while approving interest on loan as per the Commission’s methodology discussed in above</w:t>
      </w:r>
      <w:r>
        <w:rPr>
          <w:spacing w:val="-6"/>
        </w:rPr>
        <w:t xml:space="preserve"> </w:t>
      </w:r>
      <w:r>
        <w:t>chapters.</w:t>
      </w:r>
    </w:p>
    <w:p w:rsidR="007C5447" w:rsidRDefault="007C5447">
      <w:pPr>
        <w:pStyle w:val="BodyText"/>
        <w:spacing w:before="10"/>
        <w:rPr>
          <w:sz w:val="20"/>
        </w:rPr>
      </w:pPr>
    </w:p>
    <w:p w:rsidR="007C5447" w:rsidRDefault="00F6308C">
      <w:pPr>
        <w:pStyle w:val="ListParagraph"/>
        <w:numPr>
          <w:ilvl w:val="2"/>
          <w:numId w:val="114"/>
        </w:numPr>
        <w:tabs>
          <w:tab w:val="left" w:pos="1953"/>
        </w:tabs>
        <w:spacing w:line="312" w:lineRule="auto"/>
        <w:ind w:left="1952" w:right="1173" w:hanging="852"/>
        <w:jc w:val="both"/>
        <w:rPr>
          <w:sz w:val="24"/>
        </w:rPr>
      </w:pPr>
      <w:r>
        <w:rPr>
          <w:sz w:val="24"/>
        </w:rPr>
        <w:t>However, as TANGEDCO’s debt liability has reduced by Rs. 22,815 Crore, its requisite trea</w:t>
      </w:r>
      <w:r>
        <w:rPr>
          <w:sz w:val="24"/>
        </w:rPr>
        <w:t>tment has been dealt by the Commission in the subsequent section of Regulatory Assets. The Commission further directs TANGEDCO to achieve the action-plan with timelines as agreed upon in the UDAY MoU and file quarterly status update regarding the</w:t>
      </w:r>
      <w:r>
        <w:rPr>
          <w:spacing w:val="-5"/>
          <w:sz w:val="24"/>
        </w:rPr>
        <w:t xml:space="preserve"> </w:t>
      </w:r>
      <w:r>
        <w:rPr>
          <w:sz w:val="24"/>
        </w:rPr>
        <w:t>same.</w:t>
      </w:r>
    </w:p>
    <w:p w:rsidR="007C5447" w:rsidRDefault="007C5447">
      <w:pPr>
        <w:pStyle w:val="BodyText"/>
        <w:rPr>
          <w:sz w:val="21"/>
        </w:rPr>
      </w:pPr>
    </w:p>
    <w:p w:rsidR="007C5447" w:rsidRDefault="00F6308C">
      <w:pPr>
        <w:pStyle w:val="ListParagraph"/>
        <w:numPr>
          <w:ilvl w:val="2"/>
          <w:numId w:val="114"/>
        </w:numPr>
        <w:tabs>
          <w:tab w:val="left" w:pos="1953"/>
        </w:tabs>
        <w:spacing w:line="312" w:lineRule="auto"/>
        <w:ind w:left="1952" w:right="1177" w:hanging="852"/>
        <w:jc w:val="both"/>
        <w:rPr>
          <w:sz w:val="24"/>
        </w:rPr>
      </w:pPr>
      <w:r>
        <w:rPr>
          <w:sz w:val="24"/>
        </w:rPr>
        <w:t>The Commission’s views on TANGEDCO’s proposal to adjust the tariff for domestic consumers in order to bring down the subsidy burden of GoTN, have been discussed subsequently in this Chapter, while discussing the Tariff Proposal of TANGEDCO.</w:t>
      </w:r>
    </w:p>
    <w:p w:rsidR="007C5447" w:rsidRDefault="007C5447">
      <w:pPr>
        <w:pStyle w:val="BodyText"/>
        <w:rPr>
          <w:sz w:val="26"/>
        </w:rPr>
      </w:pPr>
    </w:p>
    <w:p w:rsidR="007C5447" w:rsidRDefault="007C5447">
      <w:pPr>
        <w:pStyle w:val="BodyText"/>
        <w:rPr>
          <w:sz w:val="26"/>
        </w:rPr>
      </w:pPr>
    </w:p>
    <w:p w:rsidR="007C5447" w:rsidRDefault="007C5447">
      <w:pPr>
        <w:pStyle w:val="BodyText"/>
        <w:spacing w:before="10"/>
        <w:rPr>
          <w:sz w:val="20"/>
        </w:rPr>
      </w:pPr>
    </w:p>
    <w:p w:rsidR="007C5447" w:rsidRDefault="00F6308C">
      <w:pPr>
        <w:pStyle w:val="Heading2"/>
        <w:numPr>
          <w:ilvl w:val="1"/>
          <w:numId w:val="114"/>
        </w:numPr>
        <w:tabs>
          <w:tab w:val="left" w:pos="1666"/>
          <w:tab w:val="left" w:pos="1667"/>
        </w:tabs>
        <w:ind w:left="1666"/>
      </w:pPr>
      <w:bookmarkStart w:id="78" w:name="_bookmark78"/>
      <w:bookmarkEnd w:id="78"/>
      <w:r>
        <w:t>Terms and Co</w:t>
      </w:r>
      <w:r>
        <w:t>nditions of</w:t>
      </w:r>
      <w:r>
        <w:rPr>
          <w:spacing w:val="-4"/>
        </w:rPr>
        <w:t xml:space="preserve"> </w:t>
      </w:r>
      <w:r>
        <w:t>Tariff</w:t>
      </w:r>
    </w:p>
    <w:p w:rsidR="007C5447" w:rsidRDefault="007C5447">
      <w:pPr>
        <w:pStyle w:val="BodyText"/>
        <w:spacing w:before="2"/>
        <w:rPr>
          <w:b/>
          <w:sz w:val="28"/>
        </w:rPr>
      </w:pPr>
    </w:p>
    <w:p w:rsidR="007C5447" w:rsidRDefault="00F6308C">
      <w:pPr>
        <w:pStyle w:val="ListParagraph"/>
        <w:numPr>
          <w:ilvl w:val="2"/>
          <w:numId w:val="114"/>
        </w:numPr>
        <w:tabs>
          <w:tab w:val="left" w:pos="1953"/>
        </w:tabs>
        <w:spacing w:line="312" w:lineRule="auto"/>
        <w:ind w:left="1952" w:right="1179" w:hanging="852"/>
        <w:jc w:val="both"/>
        <w:rPr>
          <w:sz w:val="24"/>
        </w:rPr>
      </w:pPr>
      <w:r>
        <w:rPr>
          <w:sz w:val="24"/>
        </w:rPr>
        <w:t>TANGEDCO submitted that the Commission has classified various consumer categories according to their voltage, purpose of utilisation, time of utilisation, etc. Taking into consideration the difficulties in implementation and improvement</w:t>
      </w:r>
      <w:r>
        <w:rPr>
          <w:sz w:val="24"/>
        </w:rPr>
        <w:t xml:space="preserve"> of quality in supply and taking into account of directives issued by the Hon’ble APTEL and by the Commission, TANGEDCO has proposed certain changes/modifications for consideration. TANGEDCO’s proposal and the Commission’s views on each proposal are elabor</w:t>
      </w:r>
      <w:r>
        <w:rPr>
          <w:sz w:val="24"/>
        </w:rPr>
        <w:t>ated below.</w:t>
      </w:r>
    </w:p>
    <w:p w:rsidR="007C5447" w:rsidRDefault="007C5447">
      <w:pPr>
        <w:pStyle w:val="BodyText"/>
        <w:rPr>
          <w:sz w:val="26"/>
        </w:rPr>
      </w:pPr>
    </w:p>
    <w:p w:rsidR="007C5447" w:rsidRDefault="007C5447">
      <w:pPr>
        <w:pStyle w:val="BodyText"/>
        <w:spacing w:before="6"/>
        <w:rPr>
          <w:sz w:val="36"/>
        </w:rPr>
      </w:pPr>
    </w:p>
    <w:p w:rsidR="007C5447" w:rsidRDefault="00F6308C">
      <w:pPr>
        <w:pStyle w:val="Heading2"/>
        <w:numPr>
          <w:ilvl w:val="2"/>
          <w:numId w:val="114"/>
        </w:numPr>
        <w:tabs>
          <w:tab w:val="left" w:pos="1953"/>
        </w:tabs>
        <w:spacing w:before="1" w:line="520" w:lineRule="auto"/>
        <w:ind w:left="1952" w:right="7298" w:hanging="852"/>
        <w:jc w:val="both"/>
      </w:pPr>
      <w:r>
        <w:t xml:space="preserve">High Tension </w:t>
      </w:r>
      <w:r>
        <w:rPr>
          <w:spacing w:val="-3"/>
        </w:rPr>
        <w:t xml:space="preserve">Tariff </w:t>
      </w:r>
      <w:r>
        <w:t>Harmonics</w:t>
      </w:r>
    </w:p>
    <w:p w:rsidR="007C5447" w:rsidRDefault="00F6308C">
      <w:pPr>
        <w:pStyle w:val="ListParagraph"/>
        <w:numPr>
          <w:ilvl w:val="3"/>
          <w:numId w:val="49"/>
        </w:numPr>
        <w:tabs>
          <w:tab w:val="left" w:pos="2066"/>
        </w:tabs>
        <w:spacing w:line="312" w:lineRule="auto"/>
        <w:ind w:right="1180"/>
        <w:jc w:val="both"/>
        <w:rPr>
          <w:sz w:val="24"/>
        </w:rPr>
      </w:pPr>
      <w:r>
        <w:rPr>
          <w:sz w:val="24"/>
        </w:rPr>
        <w:t>TANGEDCO submitted that the SMT Order dated December 11, 2014 specifies that only HT IA (Industrial) and HT III category consumers are liable to pay compensation charges at 15% of respective tariff if they are du</w:t>
      </w:r>
      <w:r>
        <w:rPr>
          <w:sz w:val="24"/>
        </w:rPr>
        <w:t>mping harmonics in the network of TANGEDCO beyond the permissible limits as specified under the CEA Regulations. To avoid system hazards and maintain quality supply, TANGEDCO submitted that this provision may be extended to all</w:t>
      </w:r>
      <w:r>
        <w:rPr>
          <w:spacing w:val="50"/>
          <w:sz w:val="24"/>
        </w:rPr>
        <w:t xml:space="preserve"> </w:t>
      </w:r>
      <w:r>
        <w:rPr>
          <w:sz w:val="24"/>
        </w:rPr>
        <w:t>HT consumers</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F6308C">
      <w:pPr>
        <w:pStyle w:val="BodyText"/>
        <w:spacing w:before="60" w:line="312" w:lineRule="auto"/>
        <w:ind w:left="2065" w:right="1176"/>
        <w:jc w:val="both"/>
      </w:pPr>
      <w:r>
        <w:lastRenderedPageBreak/>
        <w:t>excluding HT IV (Lift irrigation). TANGEDCO also submitted that since the field engineers are facing problem in collection of penal charges due to confusion on whether the penal charges are due from the date of measurement or from the date of completion of</w:t>
      </w:r>
      <w:r>
        <w:t xml:space="preserve"> three months’ notice period, necessary modification has been proposed to collect it from the date of measurement.</w:t>
      </w:r>
    </w:p>
    <w:p w:rsidR="007C5447" w:rsidRDefault="007C5447">
      <w:pPr>
        <w:pStyle w:val="BodyText"/>
        <w:spacing w:before="10"/>
        <w:rPr>
          <w:sz w:val="20"/>
        </w:rPr>
      </w:pPr>
    </w:p>
    <w:p w:rsidR="007C5447" w:rsidRDefault="00F6308C">
      <w:pPr>
        <w:pStyle w:val="Heading2"/>
        <w:ind w:left="1952"/>
        <w:jc w:val="both"/>
      </w:pPr>
      <w:r>
        <w:t>Commission’s view</w:t>
      </w:r>
    </w:p>
    <w:p w:rsidR="007C5447" w:rsidRDefault="007C5447">
      <w:pPr>
        <w:pStyle w:val="BodyText"/>
        <w:spacing w:before="2"/>
        <w:rPr>
          <w:b/>
          <w:sz w:val="28"/>
        </w:rPr>
      </w:pPr>
    </w:p>
    <w:p w:rsidR="007C5447" w:rsidRDefault="00F6308C">
      <w:pPr>
        <w:pStyle w:val="ListParagraph"/>
        <w:numPr>
          <w:ilvl w:val="3"/>
          <w:numId w:val="49"/>
        </w:numPr>
        <w:tabs>
          <w:tab w:val="left" w:pos="2066"/>
        </w:tabs>
        <w:spacing w:line="312" w:lineRule="auto"/>
        <w:ind w:right="1173"/>
        <w:jc w:val="both"/>
        <w:rPr>
          <w:sz w:val="24"/>
        </w:rPr>
      </w:pPr>
      <w:r>
        <w:rPr>
          <w:sz w:val="24"/>
        </w:rPr>
        <w:t>The Commission has accepted TANGEDCO’s proposal to extend the provision of harmonics penalty to all HT categories excludi</w:t>
      </w:r>
      <w:r>
        <w:rPr>
          <w:sz w:val="24"/>
        </w:rPr>
        <w:t>ng HT IV (Lift irrigation), as it is necessary to discourage the generation of harmonic</w:t>
      </w:r>
      <w:r>
        <w:rPr>
          <w:spacing w:val="-9"/>
          <w:sz w:val="24"/>
        </w:rPr>
        <w:t xml:space="preserve"> </w:t>
      </w:r>
      <w:r>
        <w:rPr>
          <w:sz w:val="24"/>
        </w:rPr>
        <w:t>distortion.</w:t>
      </w:r>
    </w:p>
    <w:p w:rsidR="007C5447" w:rsidRDefault="007C5447">
      <w:pPr>
        <w:pStyle w:val="BodyText"/>
        <w:spacing w:before="9"/>
        <w:rPr>
          <w:sz w:val="20"/>
        </w:rPr>
      </w:pPr>
    </w:p>
    <w:p w:rsidR="007C5447" w:rsidRDefault="00F6308C">
      <w:pPr>
        <w:pStyle w:val="ListParagraph"/>
        <w:numPr>
          <w:ilvl w:val="3"/>
          <w:numId w:val="49"/>
        </w:numPr>
        <w:tabs>
          <w:tab w:val="left" w:pos="2066"/>
        </w:tabs>
        <w:spacing w:line="312" w:lineRule="auto"/>
        <w:ind w:right="1178"/>
        <w:jc w:val="both"/>
        <w:rPr>
          <w:sz w:val="24"/>
        </w:rPr>
      </w:pPr>
      <w:r>
        <w:rPr>
          <w:sz w:val="24"/>
        </w:rPr>
        <w:t>However, it is clarified that the same shall not be applicable for all HT consumers connected at 11 kV and 22 kV, in accordance with the Judgment dated 05.</w:t>
      </w:r>
      <w:r>
        <w:rPr>
          <w:sz w:val="24"/>
        </w:rPr>
        <w:t>06.2017 of the Honourable High Court of Madras in W.P. No. 25 of 2015 &amp; Others, which held</w:t>
      </w:r>
      <w:r>
        <w:rPr>
          <w:spacing w:val="-1"/>
          <w:sz w:val="24"/>
        </w:rPr>
        <w:t xml:space="preserve"> </w:t>
      </w:r>
      <w:r>
        <w:rPr>
          <w:sz w:val="24"/>
        </w:rPr>
        <w:t>that:</w:t>
      </w:r>
    </w:p>
    <w:p w:rsidR="007C5447" w:rsidRDefault="007C5447">
      <w:pPr>
        <w:pStyle w:val="BodyText"/>
        <w:spacing w:before="10"/>
        <w:rPr>
          <w:sz w:val="20"/>
        </w:rPr>
      </w:pPr>
    </w:p>
    <w:p w:rsidR="007C5447" w:rsidRDefault="00F6308C">
      <w:pPr>
        <w:spacing w:before="1"/>
        <w:ind w:left="2540" w:right="1901"/>
        <w:jc w:val="both"/>
        <w:rPr>
          <w:i/>
          <w:sz w:val="24"/>
        </w:rPr>
      </w:pPr>
      <w:r>
        <w:rPr>
          <w:i/>
          <w:sz w:val="24"/>
        </w:rPr>
        <w:t>“32. Further, it is also pertinent to note that the CEA, who is the competent authority to declare the harmonic distortion levels, has not declared harmonic d</w:t>
      </w:r>
      <w:r>
        <w:rPr>
          <w:i/>
          <w:sz w:val="24"/>
        </w:rPr>
        <w:t>istortion levels to the consumers connected with 11kV/22 kV either through the CEA Regulations, 2007, or by any other relevant provisions. Therefore, until the CEA prescribes any standard of harmonics for 11 kV/22 kV supply lines consumers and makes them a</w:t>
      </w:r>
      <w:r>
        <w:rPr>
          <w:i/>
          <w:sz w:val="24"/>
        </w:rPr>
        <w:t>lso obligatory for harmonic controls, no obligation can be cast upon the 11 kV/22 kV supply lines consumers for compliance.”</w:t>
      </w:r>
    </w:p>
    <w:p w:rsidR="007C5447" w:rsidRDefault="007C5447">
      <w:pPr>
        <w:pStyle w:val="BodyText"/>
        <w:spacing w:before="10"/>
        <w:rPr>
          <w:i/>
          <w:sz w:val="20"/>
        </w:rPr>
      </w:pPr>
    </w:p>
    <w:p w:rsidR="007C5447" w:rsidRDefault="00F6308C">
      <w:pPr>
        <w:pStyle w:val="ListParagraph"/>
        <w:numPr>
          <w:ilvl w:val="3"/>
          <w:numId w:val="49"/>
        </w:numPr>
        <w:tabs>
          <w:tab w:val="left" w:pos="2066"/>
        </w:tabs>
        <w:spacing w:line="312" w:lineRule="auto"/>
        <w:ind w:right="1180"/>
        <w:jc w:val="both"/>
        <w:rPr>
          <w:sz w:val="24"/>
        </w:rPr>
      </w:pPr>
      <w:r>
        <w:rPr>
          <w:sz w:val="24"/>
        </w:rPr>
        <w:t>As regards the date from which penal charges should be levied, the Commission is of the view that there is no ambiguity in the exi</w:t>
      </w:r>
      <w:r>
        <w:rPr>
          <w:sz w:val="24"/>
        </w:rPr>
        <w:t>sting provision. The penal charges shall be due from the date of completion of three months’ notice</w:t>
      </w:r>
      <w:r>
        <w:rPr>
          <w:spacing w:val="-10"/>
          <w:sz w:val="24"/>
        </w:rPr>
        <w:t xml:space="preserve"> </w:t>
      </w:r>
      <w:r>
        <w:rPr>
          <w:sz w:val="24"/>
        </w:rPr>
        <w:t>period.</w:t>
      </w:r>
    </w:p>
    <w:p w:rsidR="007C5447" w:rsidRDefault="007C5447">
      <w:pPr>
        <w:pStyle w:val="BodyText"/>
        <w:rPr>
          <w:sz w:val="21"/>
        </w:rPr>
      </w:pPr>
    </w:p>
    <w:p w:rsidR="007C5447" w:rsidRDefault="00F6308C">
      <w:pPr>
        <w:pStyle w:val="Heading2"/>
        <w:numPr>
          <w:ilvl w:val="4"/>
          <w:numId w:val="49"/>
        </w:numPr>
        <w:tabs>
          <w:tab w:val="left" w:pos="360"/>
        </w:tabs>
        <w:ind w:right="1229" w:hanging="2313"/>
        <w:jc w:val="right"/>
      </w:pPr>
      <w:r>
        <w:t>Tariff for Facilities provided by Private Players in industrial</w:t>
      </w:r>
      <w:r>
        <w:rPr>
          <w:spacing w:val="-18"/>
        </w:rPr>
        <w:t xml:space="preserve"> </w:t>
      </w:r>
      <w:r>
        <w:t>establishments</w:t>
      </w:r>
    </w:p>
    <w:p w:rsidR="007C5447" w:rsidRDefault="007C5447">
      <w:pPr>
        <w:pStyle w:val="BodyText"/>
        <w:spacing w:before="11"/>
        <w:rPr>
          <w:b/>
          <w:sz w:val="27"/>
        </w:rPr>
      </w:pPr>
    </w:p>
    <w:p w:rsidR="007C5447" w:rsidRDefault="00F6308C">
      <w:pPr>
        <w:pStyle w:val="ListParagraph"/>
        <w:numPr>
          <w:ilvl w:val="3"/>
          <w:numId w:val="49"/>
        </w:numPr>
        <w:tabs>
          <w:tab w:val="left" w:pos="2066"/>
        </w:tabs>
        <w:spacing w:line="312" w:lineRule="auto"/>
        <w:ind w:right="1177"/>
        <w:jc w:val="both"/>
        <w:rPr>
          <w:sz w:val="24"/>
        </w:rPr>
      </w:pPr>
      <w:r>
        <w:rPr>
          <w:sz w:val="24"/>
        </w:rPr>
        <w:t>TANGEDCO submitted that in industrial establishments, the facilities incidental to main activities are provided by the employer and by private players. The facilities provided by the employer can be considered as bonafide purpose, however, the services pro</w:t>
      </w:r>
      <w:r>
        <w:rPr>
          <w:sz w:val="24"/>
        </w:rPr>
        <w:t>vided by the private players on commercial basis may not be considered as bonafide. The facilities provided by the private players may be considered as Commercial and charged under respective</w:t>
      </w:r>
      <w:r>
        <w:rPr>
          <w:spacing w:val="-2"/>
          <w:sz w:val="24"/>
        </w:rPr>
        <w:t xml:space="preserve"> </w:t>
      </w:r>
      <w:r>
        <w:rPr>
          <w:sz w:val="24"/>
        </w:rPr>
        <w:t>Tariff.</w:t>
      </w:r>
    </w:p>
    <w:p w:rsidR="007C5447" w:rsidRDefault="007C5447">
      <w:pPr>
        <w:pStyle w:val="BodyText"/>
        <w:spacing w:before="11"/>
        <w:rPr>
          <w:sz w:val="20"/>
        </w:rPr>
      </w:pPr>
    </w:p>
    <w:p w:rsidR="007C5447" w:rsidRDefault="00F6308C">
      <w:pPr>
        <w:pStyle w:val="Heading2"/>
        <w:ind w:left="1952"/>
        <w:jc w:val="both"/>
      </w:pPr>
      <w:r>
        <w:t>Commission’s View</w:t>
      </w:r>
    </w:p>
    <w:p w:rsidR="007C5447" w:rsidRDefault="007C5447">
      <w:pPr>
        <w:pStyle w:val="BodyText"/>
        <w:spacing w:before="2"/>
        <w:rPr>
          <w:b/>
          <w:sz w:val="28"/>
        </w:rPr>
      </w:pPr>
    </w:p>
    <w:p w:rsidR="007C5447" w:rsidRDefault="00F6308C">
      <w:pPr>
        <w:pStyle w:val="ListParagraph"/>
        <w:numPr>
          <w:ilvl w:val="3"/>
          <w:numId w:val="49"/>
        </w:numPr>
        <w:tabs>
          <w:tab w:val="left" w:pos="964"/>
          <w:tab w:val="left" w:pos="965"/>
        </w:tabs>
        <w:ind w:right="1178" w:hanging="2066"/>
        <w:jc w:val="right"/>
        <w:rPr>
          <w:sz w:val="24"/>
        </w:rPr>
      </w:pPr>
      <w:r>
        <w:rPr>
          <w:sz w:val="24"/>
        </w:rPr>
        <w:t>It</w:t>
      </w:r>
      <w:r>
        <w:rPr>
          <w:spacing w:val="6"/>
          <w:sz w:val="24"/>
        </w:rPr>
        <w:t xml:space="preserve"> </w:t>
      </w:r>
      <w:r>
        <w:rPr>
          <w:sz w:val="24"/>
        </w:rPr>
        <w:t>is</w:t>
      </w:r>
      <w:r>
        <w:rPr>
          <w:spacing w:val="6"/>
          <w:sz w:val="24"/>
        </w:rPr>
        <w:t xml:space="preserve"> </w:t>
      </w:r>
      <w:r>
        <w:rPr>
          <w:sz w:val="24"/>
        </w:rPr>
        <w:t>clarified</w:t>
      </w:r>
      <w:r>
        <w:rPr>
          <w:spacing w:val="6"/>
          <w:sz w:val="24"/>
        </w:rPr>
        <w:t xml:space="preserve"> </w:t>
      </w:r>
      <w:r>
        <w:rPr>
          <w:sz w:val="24"/>
        </w:rPr>
        <w:t>that</w:t>
      </w:r>
      <w:r>
        <w:rPr>
          <w:spacing w:val="6"/>
          <w:sz w:val="24"/>
        </w:rPr>
        <w:t xml:space="preserve"> </w:t>
      </w:r>
      <w:r>
        <w:rPr>
          <w:sz w:val="24"/>
        </w:rPr>
        <w:t>if</w:t>
      </w:r>
      <w:r>
        <w:rPr>
          <w:spacing w:val="6"/>
          <w:sz w:val="24"/>
        </w:rPr>
        <w:t xml:space="preserve"> </w:t>
      </w:r>
      <w:r>
        <w:rPr>
          <w:sz w:val="24"/>
        </w:rPr>
        <w:t>facilities</w:t>
      </w:r>
      <w:r>
        <w:rPr>
          <w:spacing w:val="6"/>
          <w:sz w:val="24"/>
        </w:rPr>
        <w:t xml:space="preserve"> </w:t>
      </w:r>
      <w:r>
        <w:rPr>
          <w:sz w:val="24"/>
        </w:rPr>
        <w:t>p</w:t>
      </w:r>
      <w:r>
        <w:rPr>
          <w:sz w:val="24"/>
        </w:rPr>
        <w:t>rovided</w:t>
      </w:r>
      <w:r>
        <w:rPr>
          <w:spacing w:val="5"/>
          <w:sz w:val="24"/>
        </w:rPr>
        <w:t xml:space="preserve"> </w:t>
      </w:r>
      <w:r>
        <w:rPr>
          <w:sz w:val="24"/>
        </w:rPr>
        <w:t>by</w:t>
      </w:r>
      <w:r>
        <w:rPr>
          <w:spacing w:val="1"/>
          <w:sz w:val="24"/>
        </w:rPr>
        <w:t xml:space="preserve"> </w:t>
      </w:r>
      <w:r>
        <w:rPr>
          <w:sz w:val="24"/>
        </w:rPr>
        <w:t>the</w:t>
      </w:r>
      <w:r>
        <w:rPr>
          <w:spacing w:val="5"/>
          <w:sz w:val="24"/>
        </w:rPr>
        <w:t xml:space="preserve"> </w:t>
      </w:r>
      <w:r>
        <w:rPr>
          <w:sz w:val="24"/>
        </w:rPr>
        <w:t>industrial</w:t>
      </w:r>
      <w:r>
        <w:rPr>
          <w:spacing w:val="6"/>
          <w:sz w:val="24"/>
        </w:rPr>
        <w:t xml:space="preserve"> </w:t>
      </w:r>
      <w:r>
        <w:rPr>
          <w:sz w:val="24"/>
        </w:rPr>
        <w:t>unit</w:t>
      </w:r>
      <w:r>
        <w:rPr>
          <w:spacing w:val="6"/>
          <w:sz w:val="24"/>
        </w:rPr>
        <w:t xml:space="preserve"> </w:t>
      </w:r>
      <w:r>
        <w:rPr>
          <w:sz w:val="24"/>
        </w:rPr>
        <w:t>to</w:t>
      </w:r>
      <w:r>
        <w:rPr>
          <w:spacing w:val="4"/>
          <w:sz w:val="24"/>
        </w:rPr>
        <w:t xml:space="preserve"> </w:t>
      </w:r>
      <w:r>
        <w:rPr>
          <w:sz w:val="24"/>
        </w:rPr>
        <w:t>employee</w:t>
      </w:r>
      <w:r>
        <w:rPr>
          <w:spacing w:val="6"/>
          <w:sz w:val="24"/>
        </w:rPr>
        <w:t xml:space="preserve"> </w:t>
      </w:r>
      <w:r>
        <w:rPr>
          <w:sz w:val="24"/>
        </w:rPr>
        <w:t>have</w:t>
      </w:r>
      <w:r>
        <w:rPr>
          <w:spacing w:val="5"/>
          <w:sz w:val="24"/>
        </w:rPr>
        <w:t xml:space="preserve"> </w:t>
      </w:r>
      <w:r>
        <w:rPr>
          <w:sz w:val="24"/>
        </w:rPr>
        <w:t>been</w:t>
      </w:r>
    </w:p>
    <w:p w:rsidR="007C5447" w:rsidRDefault="007C5447">
      <w:pPr>
        <w:jc w:val="right"/>
        <w:rPr>
          <w:sz w:val="24"/>
        </w:rPr>
        <w:sectPr w:rsidR="007C5447">
          <w:pgSz w:w="11910" w:h="16840"/>
          <w:pgMar w:top="1360" w:right="260" w:bottom="1240" w:left="340" w:header="0" w:footer="1057" w:gutter="0"/>
          <w:cols w:space="720"/>
        </w:sectPr>
      </w:pPr>
    </w:p>
    <w:p w:rsidR="007C5447" w:rsidRDefault="00F6308C">
      <w:pPr>
        <w:pStyle w:val="BodyText"/>
        <w:spacing w:before="60" w:line="312" w:lineRule="auto"/>
        <w:ind w:left="2065" w:right="1176"/>
        <w:jc w:val="both"/>
      </w:pPr>
      <w:r>
        <w:lastRenderedPageBreak/>
        <w:t>outsourced to a private player but they cater to employees of only that particular industrial unit, then such activity cannot be considered under commercial category, as mere outsourcing does not change the purpose of service being rendered. However, if pa</w:t>
      </w:r>
      <w:r>
        <w:t>rt/entire premises are leased/rented out to a service provider like food outlets, viz., McDonalds, Saravana Bhavan, Adayar Ananda Bhavan, KFC, etc., present in food courts, which provide service in their own name, then such activity will have to be metered</w:t>
      </w:r>
      <w:r>
        <w:t xml:space="preserve"> separately/sub-metered and categorised under LT V</w:t>
      </w:r>
      <w:r>
        <w:rPr>
          <w:spacing w:val="-1"/>
        </w:rPr>
        <w:t xml:space="preserve"> </w:t>
      </w:r>
      <w:r>
        <w:t>Tariff.</w:t>
      </w:r>
    </w:p>
    <w:p w:rsidR="007C5447" w:rsidRDefault="007C5447">
      <w:pPr>
        <w:pStyle w:val="BodyText"/>
        <w:spacing w:before="11"/>
        <w:rPr>
          <w:sz w:val="20"/>
        </w:rPr>
      </w:pPr>
    </w:p>
    <w:p w:rsidR="007C5447" w:rsidRDefault="00F6308C">
      <w:pPr>
        <w:pStyle w:val="Heading2"/>
        <w:numPr>
          <w:ilvl w:val="0"/>
          <w:numId w:val="48"/>
        </w:numPr>
        <w:tabs>
          <w:tab w:val="left" w:pos="2313"/>
        </w:tabs>
        <w:spacing w:line="312" w:lineRule="auto"/>
        <w:ind w:right="1183"/>
      </w:pPr>
      <w:r>
        <w:t>Tariff for Temporary Supply for additional construction in area smaller than 2000 sq.</w:t>
      </w:r>
      <w:r>
        <w:rPr>
          <w:spacing w:val="-4"/>
        </w:rPr>
        <w:t xml:space="preserve"> </w:t>
      </w:r>
      <w:r>
        <w:t>feet</w:t>
      </w:r>
    </w:p>
    <w:p w:rsidR="007C5447" w:rsidRDefault="007C5447">
      <w:pPr>
        <w:pStyle w:val="BodyText"/>
        <w:spacing w:before="11"/>
        <w:rPr>
          <w:b/>
          <w:sz w:val="20"/>
        </w:rPr>
      </w:pPr>
    </w:p>
    <w:p w:rsidR="007C5447" w:rsidRDefault="00F6308C">
      <w:pPr>
        <w:pStyle w:val="ListParagraph"/>
        <w:numPr>
          <w:ilvl w:val="3"/>
          <w:numId w:val="49"/>
        </w:numPr>
        <w:tabs>
          <w:tab w:val="left" w:pos="2066"/>
        </w:tabs>
        <w:spacing w:line="312" w:lineRule="auto"/>
        <w:ind w:right="1174"/>
        <w:jc w:val="both"/>
        <w:rPr>
          <w:sz w:val="24"/>
        </w:rPr>
      </w:pPr>
      <w:r>
        <w:rPr>
          <w:sz w:val="24"/>
        </w:rPr>
        <w:t>TANGEDCO submitted that it is experiencing difficulties in implementation of respective Tariff to Tempor</w:t>
      </w:r>
      <w:r>
        <w:rPr>
          <w:sz w:val="24"/>
        </w:rPr>
        <w:t>ary Supply for additional construction in area smaller than 2000 sq. feet. The consumer can build new construction with minimum square feet by getting temporary supply and extend further required construction in a phased manner to accommodate such construc</w:t>
      </w:r>
      <w:r>
        <w:rPr>
          <w:sz w:val="24"/>
        </w:rPr>
        <w:t xml:space="preserve">tion within 2000 sq. feet with the intention of being classified under respective Tariff. This would be clear evasion and avoidance of higher Tariff applicable for Temporary Supply. Further, any construction should come under single tariff irrespective of </w:t>
      </w:r>
      <w:r>
        <w:rPr>
          <w:sz w:val="24"/>
        </w:rPr>
        <w:t>new or additional construction. Hence, TANGEDCO submitted that any construction in the premises of HT services has to be classified under LT VI Tariff. Accordingly, any additional construction of all HT consumers excluding HT IV may be billed under LT VI T</w:t>
      </w:r>
      <w:r>
        <w:rPr>
          <w:sz w:val="24"/>
        </w:rPr>
        <w:t>ariff. Such construction shall be metered separately and only the Energy Charges shall be charged under LT Tariff VI. Such metered energy consumption shall be deducted from the total consumption registered in the main meter of the HT/EHT supply for</w:t>
      </w:r>
      <w:r>
        <w:rPr>
          <w:spacing w:val="-8"/>
          <w:sz w:val="24"/>
        </w:rPr>
        <w:t xml:space="preserve"> </w:t>
      </w:r>
      <w:r>
        <w:rPr>
          <w:sz w:val="24"/>
        </w:rPr>
        <w:t>billing</w:t>
      </w:r>
      <w:r>
        <w:rPr>
          <w:sz w:val="24"/>
        </w:rPr>
        <w:t>.</w:t>
      </w:r>
    </w:p>
    <w:p w:rsidR="007C5447" w:rsidRDefault="007C5447">
      <w:pPr>
        <w:pStyle w:val="BodyText"/>
        <w:spacing w:before="9"/>
        <w:rPr>
          <w:sz w:val="20"/>
        </w:rPr>
      </w:pPr>
    </w:p>
    <w:p w:rsidR="007C5447" w:rsidRDefault="00F6308C">
      <w:pPr>
        <w:pStyle w:val="Heading2"/>
        <w:ind w:left="1952"/>
        <w:jc w:val="both"/>
      </w:pPr>
      <w:r>
        <w:t>Commission’s View</w:t>
      </w:r>
    </w:p>
    <w:p w:rsidR="007C5447" w:rsidRDefault="007C5447">
      <w:pPr>
        <w:pStyle w:val="BodyText"/>
        <w:spacing w:before="2"/>
        <w:rPr>
          <w:b/>
          <w:sz w:val="28"/>
        </w:rPr>
      </w:pPr>
    </w:p>
    <w:p w:rsidR="007C5447" w:rsidRDefault="00F6308C">
      <w:pPr>
        <w:pStyle w:val="ListParagraph"/>
        <w:numPr>
          <w:ilvl w:val="3"/>
          <w:numId w:val="49"/>
        </w:numPr>
        <w:tabs>
          <w:tab w:val="left" w:pos="2065"/>
          <w:tab w:val="left" w:pos="2066"/>
        </w:tabs>
        <w:spacing w:before="1"/>
        <w:ind w:hanging="966"/>
        <w:rPr>
          <w:sz w:val="24"/>
        </w:rPr>
      </w:pPr>
      <w:r>
        <w:rPr>
          <w:sz w:val="24"/>
        </w:rPr>
        <w:t>The existing clause pertaining to additional construction is as</w:t>
      </w:r>
      <w:r>
        <w:rPr>
          <w:spacing w:val="-10"/>
          <w:sz w:val="24"/>
        </w:rPr>
        <w:t xml:space="preserve"> </w:t>
      </w:r>
      <w:r>
        <w:rPr>
          <w:sz w:val="24"/>
        </w:rPr>
        <w:t>follows:</w:t>
      </w:r>
    </w:p>
    <w:p w:rsidR="007C5447" w:rsidRDefault="007C5447">
      <w:pPr>
        <w:pStyle w:val="BodyText"/>
        <w:rPr>
          <w:sz w:val="28"/>
        </w:rPr>
      </w:pPr>
    </w:p>
    <w:p w:rsidR="007C5447" w:rsidRDefault="00F6308C">
      <w:pPr>
        <w:ind w:left="2540" w:right="1898"/>
        <w:jc w:val="both"/>
        <w:rPr>
          <w:i/>
          <w:sz w:val="24"/>
        </w:rPr>
      </w:pPr>
      <w:r>
        <w:rPr>
          <w:i/>
          <w:sz w:val="24"/>
        </w:rPr>
        <w:t xml:space="preserve">“In case of HT supply under IA, IIA, IIB, III, the supply used for any </w:t>
      </w:r>
      <w:r>
        <w:rPr>
          <w:i/>
          <w:sz w:val="24"/>
        </w:rPr>
        <w:t>additional construction of building within the consumer’s premises not exceeding 2000 square feet may be allowed from the existing service and charged under the existing tariff. The use of electricity for the additional construction beyond 2000 square feet</w:t>
      </w:r>
      <w:r>
        <w:rPr>
          <w:i/>
          <w:sz w:val="24"/>
        </w:rPr>
        <w:t xml:space="preserve"> and lavish illumination (as defined under LT tariff VI) shall be metered separately by the licensee and only the energy shall be charged under LT Tariff</w:t>
      </w:r>
    </w:p>
    <w:p w:rsidR="007C5447" w:rsidRDefault="00F6308C">
      <w:pPr>
        <w:pStyle w:val="ListParagraph"/>
        <w:numPr>
          <w:ilvl w:val="0"/>
          <w:numId w:val="109"/>
        </w:numPr>
        <w:tabs>
          <w:tab w:val="left" w:pos="2898"/>
        </w:tabs>
        <w:ind w:left="2540" w:right="1901" w:firstLine="0"/>
        <w:jc w:val="both"/>
        <w:rPr>
          <w:i/>
          <w:sz w:val="24"/>
        </w:rPr>
      </w:pPr>
      <w:r>
        <w:rPr>
          <w:i/>
          <w:sz w:val="24"/>
        </w:rPr>
        <w:t>Such metered energy consumption shall be deducted from the total consumption</w:t>
      </w:r>
      <w:r>
        <w:rPr>
          <w:i/>
          <w:spacing w:val="32"/>
          <w:sz w:val="24"/>
        </w:rPr>
        <w:t xml:space="preserve"> </w:t>
      </w:r>
      <w:r>
        <w:rPr>
          <w:i/>
          <w:sz w:val="24"/>
        </w:rPr>
        <w:t>registered</w:t>
      </w:r>
      <w:r>
        <w:rPr>
          <w:i/>
          <w:spacing w:val="34"/>
          <w:sz w:val="24"/>
        </w:rPr>
        <w:t xml:space="preserve"> </w:t>
      </w:r>
      <w:r>
        <w:rPr>
          <w:i/>
          <w:sz w:val="24"/>
        </w:rPr>
        <w:t>in</w:t>
      </w:r>
      <w:r>
        <w:rPr>
          <w:i/>
          <w:spacing w:val="32"/>
          <w:sz w:val="24"/>
        </w:rPr>
        <w:t xml:space="preserve"> </w:t>
      </w:r>
      <w:r>
        <w:rPr>
          <w:i/>
          <w:sz w:val="24"/>
        </w:rPr>
        <w:t>the</w:t>
      </w:r>
      <w:r>
        <w:rPr>
          <w:i/>
          <w:spacing w:val="32"/>
          <w:sz w:val="24"/>
        </w:rPr>
        <w:t xml:space="preserve"> </w:t>
      </w:r>
      <w:r>
        <w:rPr>
          <w:i/>
          <w:sz w:val="24"/>
        </w:rPr>
        <w:t>main</w:t>
      </w:r>
      <w:r>
        <w:rPr>
          <w:i/>
          <w:spacing w:val="34"/>
          <w:sz w:val="24"/>
        </w:rPr>
        <w:t xml:space="preserve"> </w:t>
      </w:r>
      <w:r>
        <w:rPr>
          <w:i/>
          <w:sz w:val="24"/>
        </w:rPr>
        <w:t>me</w:t>
      </w:r>
      <w:r>
        <w:rPr>
          <w:i/>
          <w:sz w:val="24"/>
        </w:rPr>
        <w:t>ter</w:t>
      </w:r>
      <w:r>
        <w:rPr>
          <w:i/>
          <w:spacing w:val="34"/>
          <w:sz w:val="24"/>
        </w:rPr>
        <w:t xml:space="preserve"> </w:t>
      </w:r>
      <w:r>
        <w:rPr>
          <w:i/>
          <w:sz w:val="24"/>
        </w:rPr>
        <w:t>of</w:t>
      </w:r>
      <w:r>
        <w:rPr>
          <w:i/>
          <w:spacing w:val="32"/>
          <w:sz w:val="24"/>
        </w:rPr>
        <w:t xml:space="preserve"> </w:t>
      </w:r>
      <w:r>
        <w:rPr>
          <w:i/>
          <w:sz w:val="24"/>
        </w:rPr>
        <w:t>the</w:t>
      </w:r>
      <w:r>
        <w:rPr>
          <w:i/>
          <w:spacing w:val="35"/>
          <w:sz w:val="24"/>
        </w:rPr>
        <w:t xml:space="preserve"> </w:t>
      </w:r>
      <w:r>
        <w:rPr>
          <w:i/>
          <w:sz w:val="24"/>
        </w:rPr>
        <w:t>HT/EHT</w:t>
      </w:r>
      <w:r>
        <w:rPr>
          <w:i/>
          <w:spacing w:val="33"/>
          <w:sz w:val="24"/>
        </w:rPr>
        <w:t xml:space="preserve"> </w:t>
      </w:r>
      <w:r>
        <w:rPr>
          <w:i/>
          <w:sz w:val="24"/>
        </w:rPr>
        <w:t>supply</w:t>
      </w:r>
      <w:r>
        <w:rPr>
          <w:i/>
          <w:spacing w:val="31"/>
          <w:sz w:val="24"/>
        </w:rPr>
        <w:t xml:space="preserve"> </w:t>
      </w:r>
      <w:r>
        <w:rPr>
          <w:i/>
          <w:sz w:val="24"/>
        </w:rPr>
        <w:t>for</w:t>
      </w:r>
    </w:p>
    <w:p w:rsidR="007C5447" w:rsidRDefault="007C5447">
      <w:pPr>
        <w:jc w:val="both"/>
        <w:rPr>
          <w:sz w:val="24"/>
        </w:rPr>
        <w:sectPr w:rsidR="007C5447">
          <w:pgSz w:w="11910" w:h="16840"/>
          <w:pgMar w:top="1360" w:right="260" w:bottom="1240" w:left="340" w:header="0" w:footer="1057" w:gutter="0"/>
          <w:cols w:space="720"/>
        </w:sectPr>
      </w:pPr>
    </w:p>
    <w:p w:rsidR="007C5447" w:rsidRDefault="00F6308C">
      <w:pPr>
        <w:spacing w:before="60"/>
        <w:ind w:left="1354" w:right="6755"/>
        <w:jc w:val="center"/>
        <w:rPr>
          <w:i/>
          <w:sz w:val="24"/>
        </w:rPr>
      </w:pPr>
      <w:r>
        <w:rPr>
          <w:i/>
          <w:sz w:val="24"/>
        </w:rPr>
        <w:lastRenderedPageBreak/>
        <w:t>billing.”</w:t>
      </w:r>
    </w:p>
    <w:p w:rsidR="007C5447" w:rsidRDefault="007C5447">
      <w:pPr>
        <w:pStyle w:val="BodyText"/>
        <w:spacing w:before="11"/>
        <w:rPr>
          <w:i/>
          <w:sz w:val="20"/>
        </w:rPr>
      </w:pPr>
    </w:p>
    <w:p w:rsidR="007C5447" w:rsidRDefault="00F6308C">
      <w:pPr>
        <w:pStyle w:val="ListParagraph"/>
        <w:numPr>
          <w:ilvl w:val="3"/>
          <w:numId w:val="49"/>
        </w:numPr>
        <w:tabs>
          <w:tab w:val="left" w:pos="2066"/>
        </w:tabs>
        <w:spacing w:line="312" w:lineRule="auto"/>
        <w:ind w:right="1178"/>
        <w:jc w:val="both"/>
        <w:rPr>
          <w:sz w:val="24"/>
        </w:rPr>
      </w:pPr>
      <w:r>
        <w:rPr>
          <w:sz w:val="24"/>
        </w:rPr>
        <w:t>The Commission is of the view that the existing clause is appropriate and has been prescribed after addressing all concerns expressed in earlier years. Hence, the Commission has retained the existing provisions in this</w:t>
      </w:r>
      <w:r>
        <w:rPr>
          <w:spacing w:val="-4"/>
          <w:sz w:val="24"/>
        </w:rPr>
        <w:t xml:space="preserve"> </w:t>
      </w:r>
      <w:r>
        <w:rPr>
          <w:sz w:val="24"/>
        </w:rPr>
        <w:t>regard.</w:t>
      </w:r>
    </w:p>
    <w:p w:rsidR="007C5447" w:rsidRDefault="007C5447">
      <w:pPr>
        <w:pStyle w:val="BodyText"/>
        <w:spacing w:before="9"/>
        <w:rPr>
          <w:sz w:val="20"/>
        </w:rPr>
      </w:pPr>
    </w:p>
    <w:p w:rsidR="007C5447" w:rsidRDefault="00F6308C">
      <w:pPr>
        <w:pStyle w:val="Heading2"/>
        <w:numPr>
          <w:ilvl w:val="0"/>
          <w:numId w:val="48"/>
        </w:numPr>
        <w:tabs>
          <w:tab w:val="left" w:pos="2313"/>
        </w:tabs>
        <w:ind w:hanging="361"/>
      </w:pPr>
      <w:r>
        <w:t>Enhancement of minimum level</w:t>
      </w:r>
      <w:r>
        <w:t xml:space="preserve"> of Power</w:t>
      </w:r>
      <w:r>
        <w:rPr>
          <w:spacing w:val="1"/>
        </w:rPr>
        <w:t xml:space="preserve"> </w:t>
      </w:r>
      <w:r>
        <w:t>Factor</w:t>
      </w:r>
    </w:p>
    <w:p w:rsidR="007C5447" w:rsidRDefault="007C5447">
      <w:pPr>
        <w:pStyle w:val="BodyText"/>
        <w:spacing w:before="2"/>
        <w:rPr>
          <w:b/>
          <w:sz w:val="28"/>
        </w:rPr>
      </w:pPr>
    </w:p>
    <w:p w:rsidR="007C5447" w:rsidRDefault="00F6308C">
      <w:pPr>
        <w:pStyle w:val="ListParagraph"/>
        <w:numPr>
          <w:ilvl w:val="3"/>
          <w:numId w:val="49"/>
        </w:numPr>
        <w:tabs>
          <w:tab w:val="left" w:pos="2066"/>
        </w:tabs>
        <w:spacing w:line="312" w:lineRule="auto"/>
        <w:ind w:right="1182"/>
        <w:jc w:val="both"/>
        <w:rPr>
          <w:sz w:val="24"/>
        </w:rPr>
      </w:pPr>
      <w:r>
        <w:rPr>
          <w:sz w:val="24"/>
        </w:rPr>
        <w:t>Considering the grid stability and compulsion to maintain required frequency level, TANGEDCO submitted that average minimum level of Power Factor may be enhanced from 0.90 to</w:t>
      </w:r>
      <w:r>
        <w:rPr>
          <w:spacing w:val="-1"/>
          <w:sz w:val="24"/>
        </w:rPr>
        <w:t xml:space="preserve"> </w:t>
      </w:r>
      <w:r>
        <w:rPr>
          <w:sz w:val="24"/>
        </w:rPr>
        <w:t>0.95.</w:t>
      </w:r>
    </w:p>
    <w:p w:rsidR="007C5447" w:rsidRDefault="007C5447">
      <w:pPr>
        <w:pStyle w:val="BodyText"/>
        <w:spacing w:before="9"/>
        <w:rPr>
          <w:sz w:val="20"/>
        </w:rPr>
      </w:pPr>
    </w:p>
    <w:p w:rsidR="007C5447" w:rsidRDefault="00F6308C">
      <w:pPr>
        <w:pStyle w:val="Heading2"/>
        <w:ind w:left="1354" w:right="6734"/>
        <w:jc w:val="center"/>
      </w:pPr>
      <w:r>
        <w:t>Commission’s View</w:t>
      </w:r>
    </w:p>
    <w:p w:rsidR="007C5447" w:rsidRDefault="007C5447">
      <w:pPr>
        <w:pStyle w:val="BodyText"/>
        <w:spacing w:before="2"/>
        <w:rPr>
          <w:b/>
          <w:sz w:val="28"/>
        </w:rPr>
      </w:pPr>
    </w:p>
    <w:p w:rsidR="007C5447" w:rsidRDefault="00F6308C">
      <w:pPr>
        <w:pStyle w:val="ListParagraph"/>
        <w:numPr>
          <w:ilvl w:val="3"/>
          <w:numId w:val="49"/>
        </w:numPr>
        <w:tabs>
          <w:tab w:val="left" w:pos="2066"/>
        </w:tabs>
        <w:spacing w:line="312" w:lineRule="auto"/>
        <w:ind w:right="1177"/>
        <w:jc w:val="both"/>
        <w:rPr>
          <w:sz w:val="24"/>
        </w:rPr>
      </w:pPr>
      <w:r>
        <w:rPr>
          <w:sz w:val="24"/>
        </w:rPr>
        <w:t>The Commission is of the view that the present dispensation of levying Power Factor compensation for Power Factor below 0.90 for HT category need not be modified at this stage. However, with the availability of meters capable of reading the kVAh consumptio</w:t>
      </w:r>
      <w:r>
        <w:rPr>
          <w:sz w:val="24"/>
        </w:rPr>
        <w:t xml:space="preserve">n directly, introduction of kVAh tariffs may be considered in lieu of levy of power factor compensation. TANGEDCO is directed to undertake a study on introduction of kVAh tariffs in lieu of Power Factor compensation and submit the same along with its next </w:t>
      </w:r>
      <w:r>
        <w:rPr>
          <w:sz w:val="24"/>
        </w:rPr>
        <w:t>Tariff</w:t>
      </w:r>
      <w:r>
        <w:rPr>
          <w:spacing w:val="-3"/>
          <w:sz w:val="24"/>
        </w:rPr>
        <w:t xml:space="preserve"> </w:t>
      </w:r>
      <w:r>
        <w:rPr>
          <w:sz w:val="24"/>
        </w:rPr>
        <w:t>Petition.</w:t>
      </w:r>
    </w:p>
    <w:p w:rsidR="007C5447" w:rsidRDefault="007C5447">
      <w:pPr>
        <w:pStyle w:val="BodyText"/>
        <w:spacing w:before="9"/>
        <w:rPr>
          <w:sz w:val="20"/>
        </w:rPr>
      </w:pPr>
    </w:p>
    <w:p w:rsidR="007C5447" w:rsidRDefault="00F6308C">
      <w:pPr>
        <w:pStyle w:val="Heading2"/>
        <w:numPr>
          <w:ilvl w:val="0"/>
          <w:numId w:val="48"/>
        </w:numPr>
        <w:tabs>
          <w:tab w:val="left" w:pos="2313"/>
        </w:tabs>
        <w:spacing w:line="314" w:lineRule="auto"/>
        <w:ind w:right="1175"/>
      </w:pPr>
      <w:r>
        <w:t>Integration period of 15 minutes for arriving at Maximum Demand in a month</w:t>
      </w:r>
    </w:p>
    <w:p w:rsidR="007C5447" w:rsidRDefault="007C5447">
      <w:pPr>
        <w:pStyle w:val="BodyText"/>
        <w:spacing w:before="5"/>
        <w:rPr>
          <w:b/>
          <w:sz w:val="20"/>
        </w:rPr>
      </w:pPr>
    </w:p>
    <w:p w:rsidR="007C5447" w:rsidRDefault="00F6308C">
      <w:pPr>
        <w:pStyle w:val="ListParagraph"/>
        <w:numPr>
          <w:ilvl w:val="3"/>
          <w:numId w:val="49"/>
        </w:numPr>
        <w:tabs>
          <w:tab w:val="left" w:pos="2066"/>
        </w:tabs>
        <w:spacing w:line="312" w:lineRule="auto"/>
        <w:ind w:right="1175"/>
        <w:jc w:val="both"/>
        <w:rPr>
          <w:sz w:val="24"/>
        </w:rPr>
      </w:pPr>
      <w:r>
        <w:rPr>
          <w:sz w:val="24"/>
        </w:rPr>
        <w:t>TANGEDCO submitted that the SMT Order dated December 11, 2014 stipulates that the integration period for arriving at Maximum Demand in a month will be 15 minutes,</w:t>
      </w:r>
      <w:r>
        <w:rPr>
          <w:sz w:val="24"/>
        </w:rPr>
        <w:t xml:space="preserve"> only for HT industries under Tariff IA having arc, induction furnaces or steel rolling process. In ABT regime, the frequency is being monitored in </w:t>
      </w:r>
      <w:r>
        <w:rPr>
          <w:spacing w:val="2"/>
          <w:sz w:val="24"/>
        </w:rPr>
        <w:t xml:space="preserve">15- </w:t>
      </w:r>
      <w:r>
        <w:rPr>
          <w:sz w:val="24"/>
        </w:rPr>
        <w:t>minute time block. Hence, the integration period of 15 minutes for arriving at Maximum Demand in a month</w:t>
      </w:r>
      <w:r>
        <w:rPr>
          <w:sz w:val="24"/>
        </w:rPr>
        <w:t xml:space="preserve"> may be extended to all HT</w:t>
      </w:r>
      <w:r>
        <w:rPr>
          <w:spacing w:val="-7"/>
          <w:sz w:val="24"/>
        </w:rPr>
        <w:t xml:space="preserve"> </w:t>
      </w:r>
      <w:r>
        <w:rPr>
          <w:sz w:val="24"/>
        </w:rPr>
        <w:t>consumers.</w:t>
      </w:r>
    </w:p>
    <w:p w:rsidR="007C5447" w:rsidRDefault="007C5447">
      <w:pPr>
        <w:pStyle w:val="BodyText"/>
        <w:spacing w:before="10"/>
        <w:rPr>
          <w:sz w:val="20"/>
        </w:rPr>
      </w:pPr>
    </w:p>
    <w:p w:rsidR="007C5447" w:rsidRDefault="00F6308C">
      <w:pPr>
        <w:pStyle w:val="Heading2"/>
        <w:spacing w:before="1"/>
        <w:ind w:left="1354" w:right="6734"/>
        <w:jc w:val="center"/>
      </w:pPr>
      <w:r>
        <w:t>Commission’s View</w:t>
      </w:r>
    </w:p>
    <w:p w:rsidR="007C5447" w:rsidRDefault="007C5447">
      <w:pPr>
        <w:pStyle w:val="BodyText"/>
        <w:spacing w:before="2"/>
        <w:rPr>
          <w:b/>
          <w:sz w:val="28"/>
        </w:rPr>
      </w:pPr>
    </w:p>
    <w:p w:rsidR="007C5447" w:rsidRDefault="00F6308C">
      <w:pPr>
        <w:pStyle w:val="ListParagraph"/>
        <w:numPr>
          <w:ilvl w:val="3"/>
          <w:numId w:val="49"/>
        </w:numPr>
        <w:tabs>
          <w:tab w:val="left" w:pos="2066"/>
        </w:tabs>
        <w:spacing w:line="312" w:lineRule="auto"/>
        <w:ind w:right="1175"/>
        <w:jc w:val="both"/>
        <w:rPr>
          <w:sz w:val="24"/>
        </w:rPr>
      </w:pPr>
      <w:r>
        <w:rPr>
          <w:sz w:val="24"/>
        </w:rPr>
        <w:t>As the ABT mechanism is based on 15 minute integration of demand, the Commission finds merit in TANGEDCO’s proposal. As regards the contention that 15 minute integration is appropriate only for indu</w:t>
      </w:r>
      <w:r>
        <w:rPr>
          <w:sz w:val="24"/>
        </w:rPr>
        <w:t>stries that have spikes and dips in their load pattern, the Commission is of the view that for industries that do not have spikes and dips in their load pattern, it will not make any material difference whether</w:t>
      </w:r>
      <w:r>
        <w:rPr>
          <w:spacing w:val="35"/>
          <w:sz w:val="24"/>
        </w:rPr>
        <w:t xml:space="preserve"> </w:t>
      </w:r>
      <w:r>
        <w:rPr>
          <w:sz w:val="24"/>
        </w:rPr>
        <w:t>the</w:t>
      </w:r>
      <w:r>
        <w:rPr>
          <w:spacing w:val="36"/>
          <w:sz w:val="24"/>
        </w:rPr>
        <w:t xml:space="preserve"> </w:t>
      </w:r>
      <w:r>
        <w:rPr>
          <w:sz w:val="24"/>
        </w:rPr>
        <w:t>demand</w:t>
      </w:r>
      <w:r>
        <w:rPr>
          <w:spacing w:val="37"/>
          <w:sz w:val="24"/>
        </w:rPr>
        <w:t xml:space="preserve"> </w:t>
      </w:r>
      <w:r>
        <w:rPr>
          <w:sz w:val="24"/>
        </w:rPr>
        <w:t>integration</w:t>
      </w:r>
      <w:r>
        <w:rPr>
          <w:spacing w:val="37"/>
          <w:sz w:val="24"/>
        </w:rPr>
        <w:t xml:space="preserve"> </w:t>
      </w:r>
      <w:r>
        <w:rPr>
          <w:sz w:val="24"/>
        </w:rPr>
        <w:t>is</w:t>
      </w:r>
      <w:r>
        <w:rPr>
          <w:spacing w:val="37"/>
          <w:sz w:val="24"/>
        </w:rPr>
        <w:t xml:space="preserve"> </w:t>
      </w:r>
      <w:r>
        <w:rPr>
          <w:sz w:val="24"/>
        </w:rPr>
        <w:t>on</w:t>
      </w:r>
      <w:r>
        <w:rPr>
          <w:spacing w:val="38"/>
          <w:sz w:val="24"/>
        </w:rPr>
        <w:t xml:space="preserve"> </w:t>
      </w:r>
      <w:r>
        <w:rPr>
          <w:sz w:val="24"/>
        </w:rPr>
        <w:t>15</w:t>
      </w:r>
      <w:r>
        <w:rPr>
          <w:spacing w:val="37"/>
          <w:sz w:val="24"/>
        </w:rPr>
        <w:t xml:space="preserve"> </w:t>
      </w:r>
      <w:r>
        <w:rPr>
          <w:sz w:val="24"/>
        </w:rPr>
        <w:t>minute</w:t>
      </w:r>
      <w:r>
        <w:rPr>
          <w:spacing w:val="37"/>
          <w:sz w:val="24"/>
        </w:rPr>
        <w:t xml:space="preserve"> </w:t>
      </w:r>
      <w:r>
        <w:rPr>
          <w:sz w:val="24"/>
        </w:rPr>
        <w:t>or</w:t>
      </w:r>
      <w:r>
        <w:rPr>
          <w:spacing w:val="36"/>
          <w:sz w:val="24"/>
        </w:rPr>
        <w:t xml:space="preserve"> </w:t>
      </w:r>
      <w:r>
        <w:rPr>
          <w:sz w:val="24"/>
        </w:rPr>
        <w:t>30</w:t>
      </w:r>
      <w:r>
        <w:rPr>
          <w:spacing w:val="37"/>
          <w:sz w:val="24"/>
        </w:rPr>
        <w:t xml:space="preserve"> </w:t>
      </w:r>
      <w:r>
        <w:rPr>
          <w:sz w:val="24"/>
        </w:rPr>
        <w:t>minute</w:t>
      </w:r>
      <w:r>
        <w:rPr>
          <w:spacing w:val="37"/>
          <w:sz w:val="24"/>
        </w:rPr>
        <w:t xml:space="preserve"> </w:t>
      </w:r>
      <w:r>
        <w:rPr>
          <w:sz w:val="24"/>
        </w:rPr>
        <w:t>basis.</w:t>
      </w:r>
      <w:r>
        <w:rPr>
          <w:spacing w:val="37"/>
          <w:sz w:val="24"/>
        </w:rPr>
        <w:t xml:space="preserve"> </w:t>
      </w:r>
      <w:r>
        <w:rPr>
          <w:sz w:val="24"/>
        </w:rPr>
        <w:t>Hence,</w:t>
      </w:r>
      <w:r>
        <w:rPr>
          <w:spacing w:val="37"/>
          <w:sz w:val="24"/>
        </w:rPr>
        <w:t xml:space="preserve"> </w:t>
      </w:r>
      <w:r>
        <w:rPr>
          <w:spacing w:val="2"/>
          <w:sz w:val="24"/>
        </w:rPr>
        <w:t>the</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F6308C">
      <w:pPr>
        <w:pStyle w:val="BodyText"/>
        <w:spacing w:before="60" w:line="312" w:lineRule="auto"/>
        <w:ind w:left="2065" w:right="1173"/>
        <w:jc w:val="both"/>
      </w:pPr>
      <w:r>
        <w:lastRenderedPageBreak/>
        <w:t>Commission has accepted TANGEDCO’s proposal with respect to extending the integration period of 15 minutes for arriving at Maximum Demand for all HT consumers. However, shifting to integration of 15-minute time bl</w:t>
      </w:r>
      <w:r>
        <w:t>ock would require re-programming of all the meters. Therefore, the Commission directs TANGEDCO to re-programme the meters of all HT consumers to 15-minute time block within 3 months from the date of issue of this Order. After 3 months, TANGEDCO should star</w:t>
      </w:r>
      <w:r>
        <w:t>t measuring Maximum Demand on 15-minute time block basis and raise bills accordingly.</w:t>
      </w:r>
    </w:p>
    <w:p w:rsidR="007C5447" w:rsidRDefault="007C5447">
      <w:pPr>
        <w:pStyle w:val="BodyText"/>
        <w:spacing w:before="11"/>
        <w:rPr>
          <w:sz w:val="20"/>
        </w:rPr>
      </w:pPr>
    </w:p>
    <w:p w:rsidR="007C5447" w:rsidRDefault="00F6308C">
      <w:pPr>
        <w:pStyle w:val="Heading2"/>
        <w:numPr>
          <w:ilvl w:val="0"/>
          <w:numId w:val="48"/>
        </w:numPr>
        <w:tabs>
          <w:tab w:val="left" w:pos="2313"/>
        </w:tabs>
        <w:ind w:hanging="361"/>
      </w:pPr>
      <w:r>
        <w:t>Applicability under HT IA to exclude ‘Registered</w:t>
      </w:r>
      <w:r>
        <w:rPr>
          <w:spacing w:val="-7"/>
        </w:rPr>
        <w:t xml:space="preserve"> </w:t>
      </w:r>
      <w:r>
        <w:t>Factories’</w:t>
      </w:r>
    </w:p>
    <w:p w:rsidR="007C5447" w:rsidRDefault="007C5447">
      <w:pPr>
        <w:pStyle w:val="BodyText"/>
        <w:rPr>
          <w:b/>
          <w:sz w:val="28"/>
        </w:rPr>
      </w:pPr>
    </w:p>
    <w:p w:rsidR="007C5447" w:rsidRDefault="00F6308C">
      <w:pPr>
        <w:pStyle w:val="ListParagraph"/>
        <w:numPr>
          <w:ilvl w:val="3"/>
          <w:numId w:val="49"/>
        </w:numPr>
        <w:tabs>
          <w:tab w:val="left" w:pos="2066"/>
        </w:tabs>
        <w:spacing w:line="312" w:lineRule="auto"/>
        <w:ind w:right="1175"/>
        <w:jc w:val="both"/>
        <w:rPr>
          <w:sz w:val="24"/>
        </w:rPr>
      </w:pPr>
      <w:r>
        <w:rPr>
          <w:sz w:val="24"/>
        </w:rPr>
        <w:t>TANGEDCO submitted that according to provisions of the SMT Order dated December 11, 2014, HT IA Tariff is applicable to all manufacturing and industrial establishments and registered factories including tea estates, textiles, fertilizer plants, steels plan</w:t>
      </w:r>
      <w:r>
        <w:rPr>
          <w:sz w:val="24"/>
        </w:rPr>
        <w:t>ts, heavy water plants, chemical plants. This Tariff is meant for manufacturing and industrial establishment only and not for service units and commercial establishments such as hotel and bottling plants, which are also considered as ‘registered factories’</w:t>
      </w:r>
      <w:r>
        <w:rPr>
          <w:sz w:val="24"/>
        </w:rPr>
        <w:t xml:space="preserve">. LPG bottling plants were classified under HT Tariff IA based on being ‘registered factories’. The Hon’ble APTEL, in its Order dated September 8, 2016 in Appeal No.265 of 2014, ordered that LPG bottling plants are ‘Commercial Establishments’. </w:t>
      </w:r>
      <w:r>
        <w:rPr>
          <w:spacing w:val="-3"/>
          <w:sz w:val="24"/>
        </w:rPr>
        <w:t xml:space="preserve">In </w:t>
      </w:r>
      <w:r>
        <w:rPr>
          <w:sz w:val="24"/>
        </w:rPr>
        <w:t xml:space="preserve">order to </w:t>
      </w:r>
      <w:r>
        <w:rPr>
          <w:sz w:val="24"/>
        </w:rPr>
        <w:t>avoid service/commercial units from being classified under HT Tariff IA based on the term ‘Registered Factories’, TANGEDCO requested the Commission to omit the word ‘Registered Factories’ under HT Tariff IA.</w:t>
      </w:r>
    </w:p>
    <w:p w:rsidR="007C5447" w:rsidRDefault="007C5447">
      <w:pPr>
        <w:pStyle w:val="BodyText"/>
        <w:spacing w:before="1"/>
        <w:rPr>
          <w:sz w:val="21"/>
        </w:rPr>
      </w:pPr>
    </w:p>
    <w:p w:rsidR="007C5447" w:rsidRDefault="00F6308C">
      <w:pPr>
        <w:pStyle w:val="Heading2"/>
        <w:ind w:left="1952"/>
        <w:jc w:val="both"/>
      </w:pPr>
      <w:r>
        <w:t>Commission’s View</w:t>
      </w:r>
    </w:p>
    <w:p w:rsidR="007C5447" w:rsidRDefault="007C5447">
      <w:pPr>
        <w:pStyle w:val="BodyText"/>
        <w:spacing w:before="11"/>
        <w:rPr>
          <w:b/>
          <w:sz w:val="27"/>
        </w:rPr>
      </w:pPr>
    </w:p>
    <w:p w:rsidR="007C5447" w:rsidRDefault="00F6308C">
      <w:pPr>
        <w:pStyle w:val="ListParagraph"/>
        <w:numPr>
          <w:ilvl w:val="3"/>
          <w:numId w:val="49"/>
        </w:numPr>
        <w:tabs>
          <w:tab w:val="left" w:pos="2066"/>
        </w:tabs>
        <w:spacing w:line="312" w:lineRule="auto"/>
        <w:ind w:right="1178"/>
        <w:jc w:val="both"/>
        <w:rPr>
          <w:sz w:val="24"/>
        </w:rPr>
      </w:pPr>
      <w:r>
        <w:rPr>
          <w:sz w:val="24"/>
        </w:rPr>
        <w:t>The Commission is of the vie</w:t>
      </w:r>
      <w:r>
        <w:rPr>
          <w:sz w:val="24"/>
        </w:rPr>
        <w:t>w that the term ‘Registered Factories’ signifies factories registered under the Factories Act, 1948. As omission of the term ‘Registered Factories’ under HT Tariff IA may have some unintended consequences, the Commission is not inclined to accept TANGEDCO’</w:t>
      </w:r>
      <w:r>
        <w:rPr>
          <w:sz w:val="24"/>
        </w:rPr>
        <w:t>s proposal. The Commission has addressed the issue of LPG bottling plants not being  classified under HT IA, by including a clarification to this effect in the Tariff Applicability under HT IA. It is also clarified that while other activities such as Hotel</w:t>
      </w:r>
      <w:r>
        <w:rPr>
          <w:sz w:val="24"/>
        </w:rPr>
        <w:t xml:space="preserve"> industry or Tourism industry may qualify as ‘industries’ for other purposes and classification under other Acts, for the purpose of charging for electricity consumed, they are classified as commercial activities and not as industrial activities, and are h</w:t>
      </w:r>
      <w:r>
        <w:rPr>
          <w:sz w:val="24"/>
        </w:rPr>
        <w:t>ence, not eligible to be charged under HT IA Tariff. In case TANGEDCO</w:t>
      </w:r>
      <w:r>
        <w:rPr>
          <w:spacing w:val="12"/>
          <w:sz w:val="24"/>
        </w:rPr>
        <w:t xml:space="preserve"> </w:t>
      </w:r>
      <w:r>
        <w:rPr>
          <w:sz w:val="24"/>
        </w:rPr>
        <w:t>identifies</w:t>
      </w:r>
      <w:r>
        <w:rPr>
          <w:spacing w:val="14"/>
          <w:sz w:val="24"/>
        </w:rPr>
        <w:t xml:space="preserve"> </w:t>
      </w:r>
      <w:r>
        <w:rPr>
          <w:sz w:val="24"/>
        </w:rPr>
        <w:t>the</w:t>
      </w:r>
      <w:r>
        <w:rPr>
          <w:spacing w:val="13"/>
          <w:sz w:val="24"/>
        </w:rPr>
        <w:t xml:space="preserve"> </w:t>
      </w:r>
      <w:r>
        <w:rPr>
          <w:sz w:val="24"/>
        </w:rPr>
        <w:t>need</w:t>
      </w:r>
      <w:r>
        <w:rPr>
          <w:spacing w:val="14"/>
          <w:sz w:val="24"/>
        </w:rPr>
        <w:t xml:space="preserve"> </w:t>
      </w:r>
      <w:r>
        <w:rPr>
          <w:sz w:val="24"/>
        </w:rPr>
        <w:t>for</w:t>
      </w:r>
      <w:r>
        <w:rPr>
          <w:spacing w:val="12"/>
          <w:sz w:val="24"/>
        </w:rPr>
        <w:t xml:space="preserve"> </w:t>
      </w:r>
      <w:r>
        <w:rPr>
          <w:sz w:val="24"/>
        </w:rPr>
        <w:t>specifically</w:t>
      </w:r>
      <w:r>
        <w:rPr>
          <w:spacing w:val="11"/>
          <w:sz w:val="24"/>
        </w:rPr>
        <w:t xml:space="preserve"> </w:t>
      </w:r>
      <w:r>
        <w:rPr>
          <w:sz w:val="24"/>
        </w:rPr>
        <w:t>excluding</w:t>
      </w:r>
      <w:r>
        <w:rPr>
          <w:spacing w:val="11"/>
          <w:sz w:val="24"/>
        </w:rPr>
        <w:t xml:space="preserve"> </w:t>
      </w:r>
      <w:r>
        <w:rPr>
          <w:sz w:val="24"/>
        </w:rPr>
        <w:t>any</w:t>
      </w:r>
      <w:r>
        <w:rPr>
          <w:spacing w:val="6"/>
          <w:sz w:val="24"/>
        </w:rPr>
        <w:t xml:space="preserve"> </w:t>
      </w:r>
      <w:r>
        <w:rPr>
          <w:sz w:val="24"/>
        </w:rPr>
        <w:t>other</w:t>
      </w:r>
      <w:r>
        <w:rPr>
          <w:spacing w:val="13"/>
          <w:sz w:val="24"/>
        </w:rPr>
        <w:t xml:space="preserve"> </w:t>
      </w:r>
      <w:r>
        <w:rPr>
          <w:sz w:val="24"/>
        </w:rPr>
        <w:t>activity,</w:t>
      </w:r>
      <w:r>
        <w:rPr>
          <w:spacing w:val="14"/>
          <w:sz w:val="24"/>
        </w:rPr>
        <w:t xml:space="preserve"> </w:t>
      </w:r>
      <w:r>
        <w:rPr>
          <w:sz w:val="24"/>
        </w:rPr>
        <w:t>then</w:t>
      </w:r>
    </w:p>
    <w:p w:rsidR="007C5447" w:rsidRDefault="007C5447">
      <w:pPr>
        <w:spacing w:line="312" w:lineRule="auto"/>
        <w:jc w:val="both"/>
        <w:rPr>
          <w:sz w:val="24"/>
        </w:rPr>
        <w:sectPr w:rsidR="007C5447">
          <w:footerReference w:type="default" r:id="rId60"/>
          <w:pgSz w:w="11910" w:h="16840"/>
          <w:pgMar w:top="1360" w:right="260" w:bottom="1240" w:left="340" w:header="0" w:footer="1057" w:gutter="0"/>
          <w:cols w:space="720"/>
        </w:sectPr>
      </w:pPr>
    </w:p>
    <w:p w:rsidR="007C5447" w:rsidRDefault="00F6308C">
      <w:pPr>
        <w:pStyle w:val="BodyText"/>
        <w:spacing w:before="60" w:line="312" w:lineRule="auto"/>
        <w:ind w:left="2065" w:right="1176"/>
      </w:pPr>
      <w:r>
        <w:lastRenderedPageBreak/>
        <w:t>TANGEDCO should submit the necessary proposal for the same, along with necessary justification, along with its next Tariff Petition.</w:t>
      </w:r>
    </w:p>
    <w:p w:rsidR="007C5447" w:rsidRDefault="007C5447">
      <w:pPr>
        <w:pStyle w:val="BodyText"/>
        <w:spacing w:before="11"/>
        <w:rPr>
          <w:sz w:val="20"/>
        </w:rPr>
      </w:pPr>
    </w:p>
    <w:p w:rsidR="007C5447" w:rsidRDefault="00F6308C">
      <w:pPr>
        <w:pStyle w:val="Heading2"/>
        <w:numPr>
          <w:ilvl w:val="0"/>
          <w:numId w:val="48"/>
        </w:numPr>
        <w:tabs>
          <w:tab w:val="left" w:pos="2313"/>
        </w:tabs>
        <w:spacing w:line="312" w:lineRule="auto"/>
        <w:ind w:right="1180"/>
      </w:pPr>
      <w:r>
        <w:t>Reintroduction of Provision related to non-utilisation of power for more than 30 days</w:t>
      </w:r>
    </w:p>
    <w:p w:rsidR="007C5447" w:rsidRDefault="007C5447">
      <w:pPr>
        <w:pStyle w:val="BodyText"/>
        <w:spacing w:before="10"/>
        <w:rPr>
          <w:b/>
          <w:sz w:val="20"/>
        </w:rPr>
      </w:pPr>
    </w:p>
    <w:p w:rsidR="007C5447" w:rsidRDefault="00F6308C">
      <w:pPr>
        <w:pStyle w:val="ListParagraph"/>
        <w:numPr>
          <w:ilvl w:val="3"/>
          <w:numId w:val="49"/>
        </w:numPr>
        <w:tabs>
          <w:tab w:val="left" w:pos="2066"/>
        </w:tabs>
        <w:spacing w:line="312" w:lineRule="auto"/>
        <w:ind w:right="1185"/>
        <w:jc w:val="both"/>
        <w:rPr>
          <w:sz w:val="24"/>
        </w:rPr>
      </w:pPr>
      <w:r>
        <w:rPr>
          <w:sz w:val="24"/>
        </w:rPr>
        <w:t>TANGEDCO submitted that the Tariff Order dated March 15, 2003 issued by the Commission had the</w:t>
      </w:r>
      <w:r>
        <w:rPr>
          <w:spacing w:val="-1"/>
          <w:sz w:val="24"/>
        </w:rPr>
        <w:t xml:space="preserve"> </w:t>
      </w:r>
      <w:r>
        <w:rPr>
          <w:sz w:val="24"/>
        </w:rPr>
        <w:t>provision:</w:t>
      </w:r>
    </w:p>
    <w:p w:rsidR="007C5447" w:rsidRDefault="007C5447">
      <w:pPr>
        <w:pStyle w:val="BodyText"/>
        <w:spacing w:before="10"/>
        <w:rPr>
          <w:sz w:val="20"/>
        </w:rPr>
      </w:pPr>
    </w:p>
    <w:p w:rsidR="007C5447" w:rsidRDefault="00F6308C">
      <w:pPr>
        <w:ind w:left="2540" w:right="1901"/>
        <w:jc w:val="both"/>
        <w:rPr>
          <w:i/>
          <w:sz w:val="24"/>
        </w:rPr>
      </w:pPr>
      <w:r>
        <w:rPr>
          <w:i/>
          <w:sz w:val="24"/>
        </w:rPr>
        <w:t>“If the HT Industrial Consumers (HT I A) does not for any reas</w:t>
      </w:r>
      <w:r>
        <w:rPr>
          <w:i/>
          <w:sz w:val="24"/>
        </w:rPr>
        <w:t>on utilise the power load for more than 30 days, then the current consumption charges for the power utilised and service for lighting and non-industrial purposes shall be billed under HT</w:t>
      </w:r>
      <w:r>
        <w:rPr>
          <w:i/>
          <w:spacing w:val="-2"/>
          <w:sz w:val="24"/>
        </w:rPr>
        <w:t xml:space="preserve"> </w:t>
      </w:r>
      <w:r>
        <w:rPr>
          <w:i/>
          <w:sz w:val="24"/>
        </w:rPr>
        <w:t>III”</w:t>
      </w:r>
    </w:p>
    <w:p w:rsidR="007C5447" w:rsidRDefault="007C5447">
      <w:pPr>
        <w:pStyle w:val="BodyText"/>
        <w:spacing w:before="11"/>
        <w:rPr>
          <w:i/>
          <w:sz w:val="20"/>
        </w:rPr>
      </w:pPr>
    </w:p>
    <w:p w:rsidR="007C5447" w:rsidRDefault="00F6308C">
      <w:pPr>
        <w:pStyle w:val="ListParagraph"/>
        <w:numPr>
          <w:ilvl w:val="3"/>
          <w:numId w:val="49"/>
        </w:numPr>
        <w:tabs>
          <w:tab w:val="left" w:pos="2066"/>
        </w:tabs>
        <w:spacing w:line="312" w:lineRule="auto"/>
        <w:ind w:right="1180"/>
        <w:jc w:val="both"/>
        <w:rPr>
          <w:sz w:val="24"/>
        </w:rPr>
      </w:pPr>
      <w:r>
        <w:rPr>
          <w:sz w:val="24"/>
        </w:rPr>
        <w:t>This provision has been removed in subsequent Orders. The elect</w:t>
      </w:r>
      <w:r>
        <w:rPr>
          <w:sz w:val="24"/>
        </w:rPr>
        <w:t>ricity tariff classification is based on the purpose for which electricity is used. Once the electricity supplied is not used for the purpose for which it is being supplied, it should be billed under appropriate tariff of HT Tariff III. Hence, TANGEDCO sub</w:t>
      </w:r>
      <w:r>
        <w:rPr>
          <w:sz w:val="24"/>
        </w:rPr>
        <w:t>mitted that the above-mentioned provision may be</w:t>
      </w:r>
      <w:r>
        <w:rPr>
          <w:spacing w:val="-7"/>
          <w:sz w:val="24"/>
        </w:rPr>
        <w:t xml:space="preserve"> </w:t>
      </w:r>
      <w:r>
        <w:rPr>
          <w:sz w:val="24"/>
        </w:rPr>
        <w:t>reintroduced.</w:t>
      </w:r>
    </w:p>
    <w:p w:rsidR="007C5447" w:rsidRDefault="007C5447">
      <w:pPr>
        <w:pStyle w:val="BodyText"/>
        <w:spacing w:before="9"/>
        <w:rPr>
          <w:sz w:val="20"/>
        </w:rPr>
      </w:pPr>
    </w:p>
    <w:p w:rsidR="007C5447" w:rsidRDefault="00F6308C">
      <w:pPr>
        <w:pStyle w:val="Heading2"/>
        <w:ind w:left="1952"/>
      </w:pPr>
      <w:r>
        <w:t>Commission’s View</w:t>
      </w:r>
    </w:p>
    <w:p w:rsidR="007C5447" w:rsidRDefault="007C5447">
      <w:pPr>
        <w:pStyle w:val="BodyText"/>
        <w:spacing w:before="2"/>
        <w:rPr>
          <w:b/>
          <w:sz w:val="28"/>
        </w:rPr>
      </w:pPr>
    </w:p>
    <w:p w:rsidR="007C5447" w:rsidRDefault="00F6308C">
      <w:pPr>
        <w:pStyle w:val="ListParagraph"/>
        <w:numPr>
          <w:ilvl w:val="3"/>
          <w:numId w:val="49"/>
        </w:numPr>
        <w:tabs>
          <w:tab w:val="left" w:pos="2066"/>
        </w:tabs>
        <w:spacing w:line="312" w:lineRule="auto"/>
        <w:ind w:right="1175"/>
        <w:jc w:val="both"/>
        <w:rPr>
          <w:sz w:val="24"/>
        </w:rPr>
      </w:pPr>
      <w:r>
        <w:rPr>
          <w:sz w:val="24"/>
        </w:rPr>
        <w:t xml:space="preserve">The Commission does not find any merit in TANGEDCO’s proposal to re- introduce the clause from the Tariff Order dated March 15, 2003, which has been subsequently deleted by </w:t>
      </w:r>
      <w:r>
        <w:rPr>
          <w:sz w:val="24"/>
        </w:rPr>
        <w:t>the Commission based on justified</w:t>
      </w:r>
      <w:r>
        <w:rPr>
          <w:spacing w:val="-12"/>
          <w:sz w:val="24"/>
        </w:rPr>
        <w:t xml:space="preserve"> </w:t>
      </w:r>
      <w:r>
        <w:rPr>
          <w:sz w:val="24"/>
        </w:rPr>
        <w:t>reasoning.</w:t>
      </w:r>
    </w:p>
    <w:p w:rsidR="007C5447" w:rsidRDefault="007C5447">
      <w:pPr>
        <w:pStyle w:val="BodyText"/>
        <w:spacing w:before="9"/>
        <w:rPr>
          <w:sz w:val="20"/>
        </w:rPr>
      </w:pPr>
    </w:p>
    <w:p w:rsidR="007C5447" w:rsidRDefault="00F6308C">
      <w:pPr>
        <w:pStyle w:val="Heading2"/>
        <w:numPr>
          <w:ilvl w:val="0"/>
          <w:numId w:val="48"/>
        </w:numPr>
        <w:tabs>
          <w:tab w:val="left" w:pos="2313"/>
        </w:tabs>
        <w:ind w:hanging="361"/>
      </w:pPr>
      <w:r>
        <w:t>Classification of Chennai Metro Rail</w:t>
      </w:r>
      <w:r>
        <w:rPr>
          <w:spacing w:val="-7"/>
        </w:rPr>
        <w:t xml:space="preserve"> </w:t>
      </w:r>
      <w:r>
        <w:t>Corporation</w:t>
      </w:r>
    </w:p>
    <w:p w:rsidR="007C5447" w:rsidRDefault="007C5447">
      <w:pPr>
        <w:pStyle w:val="BodyText"/>
        <w:spacing w:before="2"/>
        <w:rPr>
          <w:b/>
          <w:sz w:val="28"/>
        </w:rPr>
      </w:pPr>
    </w:p>
    <w:p w:rsidR="007C5447" w:rsidRDefault="00F6308C">
      <w:pPr>
        <w:pStyle w:val="ListParagraph"/>
        <w:numPr>
          <w:ilvl w:val="3"/>
          <w:numId w:val="49"/>
        </w:numPr>
        <w:tabs>
          <w:tab w:val="left" w:pos="2066"/>
        </w:tabs>
        <w:spacing w:line="312" w:lineRule="auto"/>
        <w:ind w:right="1175"/>
        <w:jc w:val="both"/>
        <w:rPr>
          <w:sz w:val="24"/>
        </w:rPr>
      </w:pPr>
      <w:r>
        <w:rPr>
          <w:sz w:val="24"/>
        </w:rPr>
        <w:t>TANGEDCO submitted that the Commission had issued an Order to classify traction railways station of Chennai Metro Rail Corporation (CMRL) under Railway Traction Tariff (HT IB) and to classify other commercial loads such as kiosks, ATMs and shops under Comm</w:t>
      </w:r>
      <w:r>
        <w:rPr>
          <w:sz w:val="24"/>
        </w:rPr>
        <w:t>ercial Service. Challenging this Order, CMRL filed an Appeal before the APTEL and TANGEDCO filed a Review Petition before the Commission with the request to consider at par with Indian Railway services. Hence, TANGEDCO submitted that CMRL should be conside</w:t>
      </w:r>
      <w:r>
        <w:rPr>
          <w:sz w:val="24"/>
        </w:rPr>
        <w:t>red at par with Indian Railway</w:t>
      </w:r>
      <w:r>
        <w:rPr>
          <w:spacing w:val="-4"/>
          <w:sz w:val="24"/>
        </w:rPr>
        <w:t xml:space="preserve"> </w:t>
      </w:r>
      <w:r>
        <w:rPr>
          <w:sz w:val="24"/>
        </w:rPr>
        <w:t>services.</w:t>
      </w:r>
    </w:p>
    <w:p w:rsidR="007C5447" w:rsidRDefault="007C5447">
      <w:pPr>
        <w:pStyle w:val="BodyText"/>
        <w:spacing w:before="11"/>
        <w:rPr>
          <w:sz w:val="20"/>
        </w:rPr>
      </w:pPr>
    </w:p>
    <w:p w:rsidR="007C5447" w:rsidRDefault="00F6308C">
      <w:pPr>
        <w:pStyle w:val="Heading2"/>
        <w:ind w:left="1952"/>
      </w:pPr>
      <w:r>
        <w:t>Commission’s View</w:t>
      </w:r>
    </w:p>
    <w:p w:rsidR="007C5447" w:rsidRDefault="007C5447">
      <w:pPr>
        <w:pStyle w:val="BodyText"/>
        <w:spacing w:before="11"/>
        <w:rPr>
          <w:b/>
          <w:sz w:val="27"/>
        </w:rPr>
      </w:pPr>
    </w:p>
    <w:p w:rsidR="007C5447" w:rsidRDefault="00F6308C">
      <w:pPr>
        <w:pStyle w:val="ListParagraph"/>
        <w:numPr>
          <w:ilvl w:val="3"/>
          <w:numId w:val="49"/>
        </w:numPr>
        <w:tabs>
          <w:tab w:val="left" w:pos="2066"/>
        </w:tabs>
        <w:spacing w:line="312" w:lineRule="auto"/>
        <w:ind w:right="1174"/>
        <w:jc w:val="both"/>
        <w:rPr>
          <w:sz w:val="24"/>
        </w:rPr>
      </w:pPr>
      <w:r>
        <w:rPr>
          <w:sz w:val="24"/>
        </w:rPr>
        <w:t>The Commission is of the view that since the matter is sub-judice, it would not be appropriate</w:t>
      </w:r>
      <w:r>
        <w:rPr>
          <w:spacing w:val="28"/>
          <w:sz w:val="24"/>
        </w:rPr>
        <w:t xml:space="preserve"> </w:t>
      </w:r>
      <w:r>
        <w:rPr>
          <w:sz w:val="24"/>
        </w:rPr>
        <w:t>to</w:t>
      </w:r>
      <w:r>
        <w:rPr>
          <w:spacing w:val="29"/>
          <w:sz w:val="24"/>
        </w:rPr>
        <w:t xml:space="preserve"> </w:t>
      </w:r>
      <w:r>
        <w:rPr>
          <w:sz w:val="24"/>
        </w:rPr>
        <w:t>undertake</w:t>
      </w:r>
      <w:r>
        <w:rPr>
          <w:spacing w:val="30"/>
          <w:sz w:val="24"/>
        </w:rPr>
        <w:t xml:space="preserve"> </w:t>
      </w:r>
      <w:r>
        <w:rPr>
          <w:sz w:val="24"/>
        </w:rPr>
        <w:t>any</w:t>
      </w:r>
      <w:r>
        <w:rPr>
          <w:spacing w:val="25"/>
          <w:sz w:val="24"/>
        </w:rPr>
        <w:t xml:space="preserve"> </w:t>
      </w:r>
      <w:r>
        <w:rPr>
          <w:sz w:val="24"/>
        </w:rPr>
        <w:t>modification</w:t>
      </w:r>
      <w:r>
        <w:rPr>
          <w:spacing w:val="28"/>
          <w:sz w:val="24"/>
        </w:rPr>
        <w:t xml:space="preserve"> </w:t>
      </w:r>
      <w:r>
        <w:rPr>
          <w:sz w:val="24"/>
        </w:rPr>
        <w:t>to</w:t>
      </w:r>
      <w:r>
        <w:rPr>
          <w:spacing w:val="30"/>
          <w:sz w:val="24"/>
        </w:rPr>
        <w:t xml:space="preserve"> </w:t>
      </w:r>
      <w:r>
        <w:rPr>
          <w:sz w:val="24"/>
        </w:rPr>
        <w:t>the</w:t>
      </w:r>
      <w:r>
        <w:rPr>
          <w:spacing w:val="28"/>
          <w:sz w:val="24"/>
        </w:rPr>
        <w:t xml:space="preserve"> </w:t>
      </w:r>
      <w:r>
        <w:rPr>
          <w:sz w:val="24"/>
        </w:rPr>
        <w:t>classification</w:t>
      </w:r>
      <w:r>
        <w:rPr>
          <w:spacing w:val="28"/>
          <w:sz w:val="24"/>
        </w:rPr>
        <w:t xml:space="preserve"> </w:t>
      </w:r>
      <w:r>
        <w:rPr>
          <w:sz w:val="24"/>
        </w:rPr>
        <w:t>of</w:t>
      </w:r>
      <w:r>
        <w:rPr>
          <w:spacing w:val="29"/>
          <w:sz w:val="24"/>
        </w:rPr>
        <w:t xml:space="preserve"> </w:t>
      </w:r>
      <w:r>
        <w:rPr>
          <w:sz w:val="24"/>
        </w:rPr>
        <w:t>CMRL.</w:t>
      </w:r>
      <w:r>
        <w:rPr>
          <w:spacing w:val="35"/>
          <w:sz w:val="24"/>
        </w:rPr>
        <w:t xml:space="preserve"> </w:t>
      </w:r>
      <w:r>
        <w:rPr>
          <w:sz w:val="24"/>
        </w:rPr>
        <w:t>Hence,</w:t>
      </w:r>
    </w:p>
    <w:p w:rsidR="007C5447" w:rsidRDefault="007C5447">
      <w:pPr>
        <w:spacing w:line="312" w:lineRule="auto"/>
        <w:jc w:val="both"/>
        <w:rPr>
          <w:sz w:val="24"/>
        </w:rPr>
        <w:sectPr w:rsidR="007C5447">
          <w:footerReference w:type="default" r:id="rId61"/>
          <w:pgSz w:w="11910" w:h="16840"/>
          <w:pgMar w:top="1360" w:right="260" w:bottom="1240" w:left="340" w:header="0" w:footer="1057" w:gutter="0"/>
          <w:pgNumType w:start="261"/>
          <w:cols w:space="720"/>
        </w:sectPr>
      </w:pPr>
    </w:p>
    <w:p w:rsidR="007C5447" w:rsidRDefault="00F6308C">
      <w:pPr>
        <w:pStyle w:val="BodyText"/>
        <w:spacing w:before="60" w:line="312" w:lineRule="auto"/>
        <w:ind w:left="2065" w:right="1177"/>
        <w:jc w:val="both"/>
      </w:pPr>
      <w:r>
        <w:lastRenderedPageBreak/>
        <w:t xml:space="preserve">CMRL shall continue to be classified under HT I (B) for its entire contracted load. Other loads like ATM, Kiosks, stalls, hotels, etc., shall be separately metered </w:t>
      </w:r>
      <w:r>
        <w:t>and charged under Miscellaneous category and the above consumption shall be deducted from the main energy consumption metered at CMRL’s point of</w:t>
      </w:r>
      <w:r>
        <w:rPr>
          <w:spacing w:val="-8"/>
        </w:rPr>
        <w:t xml:space="preserve"> </w:t>
      </w:r>
      <w:r>
        <w:t>supply.</w:t>
      </w:r>
    </w:p>
    <w:p w:rsidR="007C5447" w:rsidRDefault="007C5447">
      <w:pPr>
        <w:pStyle w:val="BodyText"/>
        <w:spacing w:before="11"/>
        <w:rPr>
          <w:sz w:val="20"/>
        </w:rPr>
      </w:pPr>
    </w:p>
    <w:p w:rsidR="007C5447" w:rsidRDefault="00F6308C">
      <w:pPr>
        <w:pStyle w:val="Heading2"/>
        <w:numPr>
          <w:ilvl w:val="0"/>
          <w:numId w:val="48"/>
        </w:numPr>
        <w:tabs>
          <w:tab w:val="left" w:pos="2313"/>
        </w:tabs>
        <w:spacing w:line="312" w:lineRule="auto"/>
        <w:ind w:right="1172"/>
      </w:pPr>
      <w:r>
        <w:t>Classification of Government-Aided Educational Institutions with self- financed</w:t>
      </w:r>
      <w:r>
        <w:rPr>
          <w:spacing w:val="-1"/>
        </w:rPr>
        <w:t xml:space="preserve"> </w:t>
      </w:r>
      <w:r>
        <w:t>courses</w:t>
      </w:r>
    </w:p>
    <w:p w:rsidR="007C5447" w:rsidRDefault="007C5447">
      <w:pPr>
        <w:pStyle w:val="BodyText"/>
        <w:spacing w:before="10"/>
        <w:rPr>
          <w:b/>
          <w:sz w:val="20"/>
        </w:rPr>
      </w:pPr>
    </w:p>
    <w:p w:rsidR="007C5447" w:rsidRDefault="00F6308C">
      <w:pPr>
        <w:pStyle w:val="ListParagraph"/>
        <w:numPr>
          <w:ilvl w:val="3"/>
          <w:numId w:val="49"/>
        </w:numPr>
        <w:tabs>
          <w:tab w:val="left" w:pos="2066"/>
        </w:tabs>
        <w:spacing w:line="312" w:lineRule="auto"/>
        <w:ind w:right="1176"/>
        <w:jc w:val="both"/>
        <w:rPr>
          <w:sz w:val="24"/>
        </w:rPr>
      </w:pPr>
      <w:r>
        <w:rPr>
          <w:sz w:val="24"/>
        </w:rPr>
        <w:t>TANGEDCO submitted that the Tariff Order has separate category for Government Educational Institutions including Government-Aided Educational Institutions and Private Educational Institutions. Most of the Government-Aided Educational Institutions are provi</w:t>
      </w:r>
      <w:r>
        <w:rPr>
          <w:sz w:val="24"/>
        </w:rPr>
        <w:t>ding self-financed courses also. TANGEDCO submitted that as the field officials are facing problems in classifying these kinds of Educational Institutions, Government-Aided Educational Institutions with self-financed courses should be considered as Private</w:t>
      </w:r>
      <w:r>
        <w:rPr>
          <w:sz w:val="24"/>
        </w:rPr>
        <w:t xml:space="preserve"> Educational Institutions and tariff levied accordingly.</w:t>
      </w:r>
    </w:p>
    <w:p w:rsidR="007C5447" w:rsidRDefault="007C5447">
      <w:pPr>
        <w:pStyle w:val="BodyText"/>
        <w:spacing w:before="11"/>
        <w:rPr>
          <w:sz w:val="20"/>
        </w:rPr>
      </w:pPr>
    </w:p>
    <w:p w:rsidR="007C5447" w:rsidRDefault="00F6308C">
      <w:pPr>
        <w:pStyle w:val="Heading2"/>
        <w:ind w:left="1952"/>
        <w:jc w:val="both"/>
      </w:pPr>
      <w:r>
        <w:t>Commission’s View</w:t>
      </w:r>
    </w:p>
    <w:p w:rsidR="007C5447" w:rsidRDefault="007C5447">
      <w:pPr>
        <w:pStyle w:val="BodyText"/>
        <w:spacing w:before="11"/>
        <w:rPr>
          <w:b/>
          <w:sz w:val="27"/>
        </w:rPr>
      </w:pPr>
    </w:p>
    <w:p w:rsidR="007C5447" w:rsidRDefault="00F6308C">
      <w:pPr>
        <w:pStyle w:val="ListParagraph"/>
        <w:numPr>
          <w:ilvl w:val="3"/>
          <w:numId w:val="49"/>
        </w:numPr>
        <w:tabs>
          <w:tab w:val="left" w:pos="2066"/>
        </w:tabs>
        <w:spacing w:line="312" w:lineRule="auto"/>
        <w:ind w:right="1175"/>
        <w:jc w:val="both"/>
        <w:rPr>
          <w:sz w:val="24"/>
        </w:rPr>
      </w:pPr>
      <w:r>
        <w:rPr>
          <w:sz w:val="24"/>
        </w:rPr>
        <w:t>Two separate categories of Government Aided Educational Institutions and Private Educational Institutions were created based on differences in fee structure. However, some Governm</w:t>
      </w:r>
      <w:r>
        <w:rPr>
          <w:sz w:val="24"/>
        </w:rPr>
        <w:t>ent Aided Educational Institutions are also providing self- financed courses, and thus, the fee structure is different. The Commission is of the view that it would be practically difficult to charge two separate tariffs to Government-Aided Educational Inst</w:t>
      </w:r>
      <w:r>
        <w:rPr>
          <w:sz w:val="24"/>
        </w:rPr>
        <w:t>itutions, one for the portion offering normal courses and other for the portion offering self-financed courses. Further, the basic nature of the Government Aided Educational Institutions does not change merely because they are offering some self-financed c</w:t>
      </w:r>
      <w:r>
        <w:rPr>
          <w:sz w:val="24"/>
        </w:rPr>
        <w:t>ourses. Therefore, the Commission has not accepted TANGEDCO’s proposal to classify Government Aided Educational Institutions that also run self-financed courses, under HT II-B Tariff applicable to Private Educational</w:t>
      </w:r>
      <w:r>
        <w:rPr>
          <w:spacing w:val="1"/>
          <w:sz w:val="24"/>
        </w:rPr>
        <w:t xml:space="preserve"> </w:t>
      </w:r>
      <w:r>
        <w:rPr>
          <w:sz w:val="24"/>
        </w:rPr>
        <w:t>Institutions.</w:t>
      </w:r>
    </w:p>
    <w:p w:rsidR="007C5447" w:rsidRDefault="007C5447">
      <w:pPr>
        <w:pStyle w:val="BodyText"/>
        <w:rPr>
          <w:sz w:val="21"/>
        </w:rPr>
      </w:pPr>
    </w:p>
    <w:p w:rsidR="007C5447" w:rsidRDefault="00F6308C">
      <w:pPr>
        <w:pStyle w:val="Heading2"/>
        <w:numPr>
          <w:ilvl w:val="0"/>
          <w:numId w:val="47"/>
        </w:numPr>
        <w:tabs>
          <w:tab w:val="left" w:pos="2312"/>
          <w:tab w:val="left" w:pos="2313"/>
        </w:tabs>
        <w:ind w:hanging="361"/>
      </w:pPr>
      <w:r>
        <w:t>Classification of common</w:t>
      </w:r>
      <w:r>
        <w:t xml:space="preserve"> loads of residential flats</w:t>
      </w:r>
    </w:p>
    <w:p w:rsidR="007C5447" w:rsidRDefault="007C5447">
      <w:pPr>
        <w:pStyle w:val="BodyText"/>
        <w:spacing w:before="2"/>
        <w:rPr>
          <w:b/>
          <w:sz w:val="28"/>
        </w:rPr>
      </w:pPr>
    </w:p>
    <w:p w:rsidR="007C5447" w:rsidRDefault="00F6308C">
      <w:pPr>
        <w:pStyle w:val="ListParagraph"/>
        <w:numPr>
          <w:ilvl w:val="3"/>
          <w:numId w:val="49"/>
        </w:numPr>
        <w:tabs>
          <w:tab w:val="left" w:pos="2066"/>
        </w:tabs>
        <w:spacing w:line="312" w:lineRule="auto"/>
        <w:ind w:right="1177"/>
        <w:jc w:val="both"/>
        <w:rPr>
          <w:sz w:val="24"/>
        </w:rPr>
      </w:pPr>
      <w:r>
        <w:rPr>
          <w:sz w:val="24"/>
        </w:rPr>
        <w:t>TANGEDCO submitted that the Commission in its Order in M.P. No. 32 of 2015 had directed TANGEDCO to submit a proposal to propose Tariff Classification for common loads of residential flats. Considering the purpose, Government and private residential coloni</w:t>
      </w:r>
      <w:r>
        <w:rPr>
          <w:sz w:val="24"/>
        </w:rPr>
        <w:t>es and housing complexes can be classified under single tariff.</w:t>
      </w:r>
      <w:r>
        <w:rPr>
          <w:spacing w:val="28"/>
          <w:sz w:val="24"/>
        </w:rPr>
        <w:t xml:space="preserve"> </w:t>
      </w:r>
      <w:r>
        <w:rPr>
          <w:sz w:val="24"/>
        </w:rPr>
        <w:t>Accordingly,</w:t>
      </w:r>
      <w:r>
        <w:rPr>
          <w:spacing w:val="29"/>
          <w:sz w:val="24"/>
        </w:rPr>
        <w:t xml:space="preserve"> </w:t>
      </w:r>
      <w:r>
        <w:rPr>
          <w:sz w:val="24"/>
        </w:rPr>
        <w:t>TANGEDCO</w:t>
      </w:r>
      <w:r>
        <w:rPr>
          <w:spacing w:val="28"/>
          <w:sz w:val="24"/>
        </w:rPr>
        <w:t xml:space="preserve"> </w:t>
      </w:r>
      <w:r>
        <w:rPr>
          <w:sz w:val="24"/>
        </w:rPr>
        <w:t>submitted</w:t>
      </w:r>
      <w:r>
        <w:rPr>
          <w:spacing w:val="29"/>
          <w:sz w:val="24"/>
        </w:rPr>
        <w:t xml:space="preserve"> </w:t>
      </w:r>
      <w:r>
        <w:rPr>
          <w:sz w:val="24"/>
        </w:rPr>
        <w:t>that</w:t>
      </w:r>
      <w:r>
        <w:rPr>
          <w:spacing w:val="30"/>
          <w:sz w:val="24"/>
        </w:rPr>
        <w:t xml:space="preserve"> </w:t>
      </w:r>
      <w:r>
        <w:rPr>
          <w:sz w:val="24"/>
        </w:rPr>
        <w:t>residential</w:t>
      </w:r>
      <w:r>
        <w:rPr>
          <w:spacing w:val="29"/>
          <w:sz w:val="24"/>
        </w:rPr>
        <w:t xml:space="preserve"> </w:t>
      </w:r>
      <w:r>
        <w:rPr>
          <w:sz w:val="24"/>
        </w:rPr>
        <w:t>colonies</w:t>
      </w:r>
      <w:r>
        <w:rPr>
          <w:spacing w:val="30"/>
          <w:sz w:val="24"/>
        </w:rPr>
        <w:t xml:space="preserve"> </w:t>
      </w:r>
      <w:r>
        <w:rPr>
          <w:sz w:val="24"/>
        </w:rPr>
        <w:t>and</w:t>
      </w:r>
      <w:r>
        <w:rPr>
          <w:spacing w:val="29"/>
          <w:sz w:val="24"/>
        </w:rPr>
        <w:t xml:space="preserve"> </w:t>
      </w:r>
      <w:r>
        <w:rPr>
          <w:sz w:val="24"/>
        </w:rPr>
        <w:t>housing</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F6308C">
      <w:pPr>
        <w:pStyle w:val="BodyText"/>
        <w:spacing w:before="60" w:line="312" w:lineRule="auto"/>
        <w:ind w:left="2065" w:right="1178"/>
        <w:jc w:val="both"/>
      </w:pPr>
      <w:r>
        <w:lastRenderedPageBreak/>
        <w:t>complexes, senior citizen communities, old age homes, orphanages and supply used for their common lighti</w:t>
      </w:r>
      <w:r>
        <w:t>ng, water supply, lift, etc., may also be classified under HT IIA Tariff.</w:t>
      </w:r>
    </w:p>
    <w:p w:rsidR="007C5447" w:rsidRDefault="007C5447">
      <w:pPr>
        <w:pStyle w:val="BodyText"/>
        <w:spacing w:before="10"/>
        <w:rPr>
          <w:sz w:val="20"/>
        </w:rPr>
      </w:pPr>
    </w:p>
    <w:p w:rsidR="007C5447" w:rsidRDefault="00F6308C">
      <w:pPr>
        <w:pStyle w:val="Heading2"/>
        <w:ind w:left="1952"/>
        <w:jc w:val="both"/>
      </w:pPr>
      <w:r>
        <w:t>Commission’s View</w:t>
      </w:r>
    </w:p>
    <w:p w:rsidR="007C5447" w:rsidRDefault="007C5447">
      <w:pPr>
        <w:pStyle w:val="BodyText"/>
        <w:spacing w:before="2"/>
        <w:rPr>
          <w:b/>
          <w:sz w:val="28"/>
        </w:rPr>
      </w:pPr>
    </w:p>
    <w:p w:rsidR="007C5447" w:rsidRDefault="00F6308C">
      <w:pPr>
        <w:pStyle w:val="ListParagraph"/>
        <w:numPr>
          <w:ilvl w:val="3"/>
          <w:numId w:val="49"/>
        </w:numPr>
        <w:tabs>
          <w:tab w:val="left" w:pos="2066"/>
        </w:tabs>
        <w:spacing w:line="312" w:lineRule="auto"/>
        <w:ind w:right="1176"/>
        <w:jc w:val="both"/>
        <w:rPr>
          <w:sz w:val="24"/>
        </w:rPr>
      </w:pPr>
      <w:r>
        <w:rPr>
          <w:sz w:val="24"/>
        </w:rPr>
        <w:t>The Commission has approved TANGEDCO’s proposal to classify the common loads for lighting, water supply and lift in residential colonies and housing complexes, senior citizen communities, old age homes, and orphanages under HT IIA Tariff.</w:t>
      </w:r>
    </w:p>
    <w:p w:rsidR="007C5447" w:rsidRDefault="007C5447">
      <w:pPr>
        <w:pStyle w:val="BodyText"/>
        <w:spacing w:before="10"/>
        <w:rPr>
          <w:sz w:val="20"/>
        </w:rPr>
      </w:pPr>
    </w:p>
    <w:p w:rsidR="007C5447" w:rsidRDefault="00F6308C">
      <w:pPr>
        <w:pStyle w:val="Heading2"/>
        <w:numPr>
          <w:ilvl w:val="0"/>
          <w:numId w:val="47"/>
        </w:numPr>
        <w:tabs>
          <w:tab w:val="left" w:pos="2312"/>
          <w:tab w:val="left" w:pos="2313"/>
        </w:tabs>
        <w:ind w:hanging="361"/>
      </w:pPr>
      <w:r>
        <w:t>Classification o</w:t>
      </w:r>
      <w:r>
        <w:t>f Start-up</w:t>
      </w:r>
      <w:r>
        <w:rPr>
          <w:spacing w:val="1"/>
        </w:rPr>
        <w:t xml:space="preserve"> </w:t>
      </w:r>
      <w:r>
        <w:t>Power</w:t>
      </w:r>
    </w:p>
    <w:p w:rsidR="007C5447" w:rsidRDefault="007C5447">
      <w:pPr>
        <w:pStyle w:val="BodyText"/>
        <w:rPr>
          <w:b/>
          <w:sz w:val="28"/>
        </w:rPr>
      </w:pPr>
    </w:p>
    <w:p w:rsidR="007C5447" w:rsidRDefault="00F6308C">
      <w:pPr>
        <w:pStyle w:val="ListParagraph"/>
        <w:numPr>
          <w:ilvl w:val="3"/>
          <w:numId w:val="49"/>
        </w:numPr>
        <w:tabs>
          <w:tab w:val="left" w:pos="2066"/>
        </w:tabs>
        <w:spacing w:line="312" w:lineRule="auto"/>
        <w:ind w:right="1180"/>
        <w:jc w:val="both"/>
        <w:rPr>
          <w:sz w:val="24"/>
        </w:rPr>
      </w:pPr>
      <w:r>
        <w:rPr>
          <w:sz w:val="24"/>
        </w:rPr>
        <w:t>TANGEDCO submitted that Regulation 25 of the TNERC (Grid Connectivity and Intra-State Open Access) Regulations, 2014 provides for classification of the supply of electricity for Start-up power under HT Tariff V (Temporary Supply). Accordi</w:t>
      </w:r>
      <w:r>
        <w:rPr>
          <w:sz w:val="24"/>
        </w:rPr>
        <w:t>ngly, it is proposed to continue to classify Start-up power under HT Tariff V.</w:t>
      </w:r>
    </w:p>
    <w:p w:rsidR="007C5447" w:rsidRDefault="007C5447">
      <w:pPr>
        <w:pStyle w:val="BodyText"/>
        <w:rPr>
          <w:sz w:val="21"/>
        </w:rPr>
      </w:pPr>
    </w:p>
    <w:p w:rsidR="007C5447" w:rsidRDefault="00F6308C">
      <w:pPr>
        <w:pStyle w:val="Heading2"/>
        <w:ind w:left="1952"/>
        <w:jc w:val="both"/>
      </w:pPr>
      <w:r>
        <w:t>Commission’s Views</w:t>
      </w:r>
    </w:p>
    <w:p w:rsidR="007C5447" w:rsidRDefault="007C5447">
      <w:pPr>
        <w:pStyle w:val="BodyText"/>
        <w:rPr>
          <w:b/>
          <w:sz w:val="28"/>
        </w:rPr>
      </w:pPr>
    </w:p>
    <w:p w:rsidR="007C5447" w:rsidRDefault="00F6308C">
      <w:pPr>
        <w:pStyle w:val="ListParagraph"/>
        <w:numPr>
          <w:ilvl w:val="3"/>
          <w:numId w:val="49"/>
        </w:numPr>
        <w:tabs>
          <w:tab w:val="left" w:pos="2066"/>
        </w:tabs>
        <w:spacing w:line="312" w:lineRule="auto"/>
        <w:ind w:right="1175"/>
        <w:jc w:val="both"/>
        <w:rPr>
          <w:sz w:val="24"/>
        </w:rPr>
      </w:pPr>
      <w:r>
        <w:rPr>
          <w:sz w:val="24"/>
        </w:rPr>
        <w:t>The existing provisions classify supply of electricity for Start-up power under HT Tariff V (Temporary Supply). The tariff for supply of electricity for Sta</w:t>
      </w:r>
      <w:r>
        <w:rPr>
          <w:sz w:val="24"/>
        </w:rPr>
        <w:t>rt-up power was equated to HT Temporary Supply, in accordance with the stipulations of the Tariff Policy. The supply of electricity for Start-up power was restricted to 42 days in a year and 10% of the highest capacity of the generating unit of the generat</w:t>
      </w:r>
      <w:r>
        <w:rPr>
          <w:sz w:val="24"/>
        </w:rPr>
        <w:t>ing station or the percentage auxiliary consumption as specified in the regulation, whichever is</w:t>
      </w:r>
      <w:r>
        <w:rPr>
          <w:spacing w:val="-1"/>
          <w:sz w:val="24"/>
        </w:rPr>
        <w:t xml:space="preserve"> </w:t>
      </w:r>
      <w:r>
        <w:rPr>
          <w:sz w:val="24"/>
        </w:rPr>
        <w:t>less.</w:t>
      </w:r>
    </w:p>
    <w:p w:rsidR="007C5447" w:rsidRDefault="007C5447">
      <w:pPr>
        <w:pStyle w:val="BodyText"/>
        <w:rPr>
          <w:sz w:val="21"/>
        </w:rPr>
      </w:pPr>
    </w:p>
    <w:p w:rsidR="007C5447" w:rsidRDefault="00F6308C">
      <w:pPr>
        <w:pStyle w:val="ListParagraph"/>
        <w:numPr>
          <w:ilvl w:val="3"/>
          <w:numId w:val="49"/>
        </w:numPr>
        <w:tabs>
          <w:tab w:val="left" w:pos="2066"/>
        </w:tabs>
        <w:spacing w:line="312" w:lineRule="auto"/>
        <w:ind w:right="1173"/>
        <w:jc w:val="both"/>
        <w:rPr>
          <w:sz w:val="24"/>
        </w:rPr>
      </w:pPr>
      <w:r>
        <w:rPr>
          <w:sz w:val="24"/>
        </w:rPr>
        <w:t xml:space="preserve">APTEL has ruled that a separate dispensation has to be provided for Start-up power. The linkage to HT Temporary Supply coupled with the restrictions of </w:t>
      </w:r>
      <w:r>
        <w:rPr>
          <w:sz w:val="24"/>
        </w:rPr>
        <w:t xml:space="preserve">load and days of usage has resulted in high effective tariff for such usage. Hence, the Commission has decided that the supply of electricity for Start-up power shall be classified under HT IA industrial category, with the restriction of 42 days in a year </w:t>
      </w:r>
      <w:r>
        <w:rPr>
          <w:sz w:val="24"/>
        </w:rPr>
        <w:t>and 10% of the highest capacity of the generating unit of the generating station or the percentage auxiliary consumption, whichever is less. However, Power Factor compensation charges shall not be applicable for Start-up</w:t>
      </w:r>
      <w:r>
        <w:rPr>
          <w:spacing w:val="-2"/>
          <w:sz w:val="24"/>
        </w:rPr>
        <w:t xml:space="preserve"> </w:t>
      </w:r>
      <w:r>
        <w:rPr>
          <w:sz w:val="24"/>
        </w:rPr>
        <w:t>Power.</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F6308C">
      <w:pPr>
        <w:pStyle w:val="Heading2"/>
        <w:numPr>
          <w:ilvl w:val="2"/>
          <w:numId w:val="114"/>
        </w:numPr>
        <w:tabs>
          <w:tab w:val="left" w:pos="1952"/>
          <w:tab w:val="left" w:pos="1953"/>
        </w:tabs>
        <w:spacing w:before="60"/>
        <w:ind w:left="1952" w:hanging="853"/>
      </w:pPr>
      <w:r>
        <w:lastRenderedPageBreak/>
        <w:t>Low Tensio</w:t>
      </w:r>
      <w:r>
        <w:t>n</w:t>
      </w:r>
      <w:r>
        <w:rPr>
          <w:spacing w:val="1"/>
        </w:rPr>
        <w:t xml:space="preserve"> </w:t>
      </w:r>
      <w:r>
        <w:t>Tariff</w:t>
      </w:r>
    </w:p>
    <w:p w:rsidR="007C5447" w:rsidRDefault="007C5447">
      <w:pPr>
        <w:pStyle w:val="BodyText"/>
        <w:rPr>
          <w:b/>
          <w:sz w:val="28"/>
        </w:rPr>
      </w:pPr>
    </w:p>
    <w:p w:rsidR="007C5447" w:rsidRDefault="00F6308C">
      <w:pPr>
        <w:pStyle w:val="ListParagraph"/>
        <w:numPr>
          <w:ilvl w:val="0"/>
          <w:numId w:val="46"/>
        </w:numPr>
        <w:tabs>
          <w:tab w:val="left" w:pos="2313"/>
        </w:tabs>
        <w:ind w:hanging="361"/>
        <w:rPr>
          <w:b/>
          <w:sz w:val="24"/>
        </w:rPr>
      </w:pPr>
      <w:r>
        <w:rPr>
          <w:b/>
          <w:sz w:val="24"/>
        </w:rPr>
        <w:t>Enhancement of minimum level of Power</w:t>
      </w:r>
      <w:r>
        <w:rPr>
          <w:b/>
          <w:spacing w:val="1"/>
          <w:sz w:val="24"/>
        </w:rPr>
        <w:t xml:space="preserve"> </w:t>
      </w:r>
      <w:r>
        <w:rPr>
          <w:b/>
          <w:sz w:val="24"/>
        </w:rPr>
        <w:t>Factor</w:t>
      </w:r>
    </w:p>
    <w:p w:rsidR="007C5447" w:rsidRDefault="007C5447">
      <w:pPr>
        <w:pStyle w:val="BodyText"/>
        <w:spacing w:before="2"/>
        <w:rPr>
          <w:b/>
          <w:sz w:val="28"/>
        </w:rPr>
      </w:pPr>
    </w:p>
    <w:p w:rsidR="007C5447" w:rsidRDefault="00F6308C">
      <w:pPr>
        <w:pStyle w:val="ListParagraph"/>
        <w:numPr>
          <w:ilvl w:val="3"/>
          <w:numId w:val="45"/>
        </w:numPr>
        <w:tabs>
          <w:tab w:val="left" w:pos="2066"/>
        </w:tabs>
        <w:spacing w:before="1" w:line="312" w:lineRule="auto"/>
        <w:ind w:right="1176"/>
        <w:jc w:val="both"/>
        <w:rPr>
          <w:sz w:val="24"/>
        </w:rPr>
      </w:pPr>
      <w:r>
        <w:rPr>
          <w:sz w:val="24"/>
        </w:rPr>
        <w:t>TANGEDCO submitted that considering the grid stability, obligation to maintain quality of power supply and compulsion to maintain high frequency level, the average minimum level of Power Factor for LT consumers whose connected load is above 18.6 kW (25 HP)</w:t>
      </w:r>
      <w:r>
        <w:rPr>
          <w:sz w:val="24"/>
        </w:rPr>
        <w:t xml:space="preserve"> may be enhanced from 0.85 to</w:t>
      </w:r>
      <w:r>
        <w:rPr>
          <w:spacing w:val="-6"/>
          <w:sz w:val="24"/>
        </w:rPr>
        <w:t xml:space="preserve"> </w:t>
      </w:r>
      <w:r>
        <w:rPr>
          <w:sz w:val="24"/>
        </w:rPr>
        <w:t>0.90.</w:t>
      </w:r>
    </w:p>
    <w:p w:rsidR="007C5447" w:rsidRDefault="007C5447">
      <w:pPr>
        <w:pStyle w:val="BodyText"/>
        <w:spacing w:before="9"/>
        <w:rPr>
          <w:sz w:val="20"/>
        </w:rPr>
      </w:pPr>
    </w:p>
    <w:p w:rsidR="007C5447" w:rsidRDefault="00F6308C">
      <w:pPr>
        <w:pStyle w:val="Heading2"/>
        <w:spacing w:before="1"/>
        <w:ind w:left="1952"/>
      </w:pPr>
      <w:r>
        <w:t>Commission’s Views</w:t>
      </w:r>
    </w:p>
    <w:p w:rsidR="007C5447" w:rsidRDefault="007C5447">
      <w:pPr>
        <w:pStyle w:val="BodyText"/>
        <w:spacing w:before="11"/>
        <w:rPr>
          <w:b/>
          <w:sz w:val="27"/>
        </w:rPr>
      </w:pPr>
    </w:p>
    <w:p w:rsidR="007C5447" w:rsidRDefault="00F6308C">
      <w:pPr>
        <w:pStyle w:val="ListParagraph"/>
        <w:numPr>
          <w:ilvl w:val="3"/>
          <w:numId w:val="45"/>
        </w:numPr>
        <w:tabs>
          <w:tab w:val="left" w:pos="2066"/>
        </w:tabs>
        <w:spacing w:line="312" w:lineRule="auto"/>
        <w:ind w:right="1177"/>
        <w:jc w:val="both"/>
        <w:rPr>
          <w:sz w:val="24"/>
        </w:rPr>
      </w:pPr>
      <w:r>
        <w:rPr>
          <w:sz w:val="24"/>
        </w:rPr>
        <w:t>The Commission is of the view that the present dispensation of levying Power Factor compensation for Power Factor below 0.85 for LT category need not be modified at this stage. At present, the Power Factor compensation is applicable only for LT III B and L</w:t>
      </w:r>
      <w:r>
        <w:rPr>
          <w:sz w:val="24"/>
        </w:rPr>
        <w:t>T V services having connected load of 18.6kW (25 HP) or above. TANGEDCO’s request for extending the levy of Power Factor compensation to all LT consumers whose connected load is above 18.6 kW (25  HP) is not backed up by any data on the impact on consumers</w:t>
      </w:r>
      <w:r>
        <w:rPr>
          <w:sz w:val="24"/>
        </w:rPr>
        <w:t xml:space="preserve"> or additional revenue to TANGEDCO. Hence, the Commission has not accepted TANGEDCO’s submission, and the Power Factor compensation shall continue to be applicable only for LT III B and LT V services having connected load of 18.6kW (25 HP) or above.</w:t>
      </w:r>
    </w:p>
    <w:p w:rsidR="007C5447" w:rsidRDefault="007C5447">
      <w:pPr>
        <w:pStyle w:val="BodyText"/>
        <w:spacing w:before="1"/>
        <w:rPr>
          <w:sz w:val="21"/>
        </w:rPr>
      </w:pPr>
    </w:p>
    <w:p w:rsidR="007C5447" w:rsidRDefault="00F6308C">
      <w:pPr>
        <w:pStyle w:val="ListParagraph"/>
        <w:numPr>
          <w:ilvl w:val="3"/>
          <w:numId w:val="45"/>
        </w:numPr>
        <w:tabs>
          <w:tab w:val="left" w:pos="2066"/>
        </w:tabs>
        <w:spacing w:line="312" w:lineRule="auto"/>
        <w:ind w:right="1176"/>
        <w:jc w:val="both"/>
        <w:rPr>
          <w:sz w:val="24"/>
        </w:rPr>
      </w:pPr>
      <w:r>
        <w:rPr>
          <w:sz w:val="24"/>
        </w:rPr>
        <w:t>Furth</w:t>
      </w:r>
      <w:r>
        <w:rPr>
          <w:sz w:val="24"/>
        </w:rPr>
        <w:t xml:space="preserve">er, with the availability of meters capable of reading the kVAh consumption directly, introduction of kVAh tariffs may be considered in lieu of levy of power factor compensation. TANGEDCO is directed to undertake a study on introduction of kVAh tariffs in </w:t>
      </w:r>
      <w:r>
        <w:rPr>
          <w:sz w:val="24"/>
        </w:rPr>
        <w:t>lieu of Power Factor compensation and submit the same along with its next Tariff</w:t>
      </w:r>
      <w:r>
        <w:rPr>
          <w:spacing w:val="-1"/>
          <w:sz w:val="24"/>
        </w:rPr>
        <w:t xml:space="preserve"> </w:t>
      </w:r>
      <w:r>
        <w:rPr>
          <w:sz w:val="24"/>
        </w:rPr>
        <w:t>Petition.</w:t>
      </w:r>
    </w:p>
    <w:p w:rsidR="007C5447" w:rsidRDefault="007C5447">
      <w:pPr>
        <w:pStyle w:val="BodyText"/>
        <w:spacing w:before="9"/>
        <w:rPr>
          <w:sz w:val="20"/>
        </w:rPr>
      </w:pPr>
    </w:p>
    <w:p w:rsidR="007C5447" w:rsidRDefault="00F6308C">
      <w:pPr>
        <w:pStyle w:val="Heading2"/>
        <w:numPr>
          <w:ilvl w:val="0"/>
          <w:numId w:val="46"/>
        </w:numPr>
        <w:tabs>
          <w:tab w:val="left" w:pos="2313"/>
        </w:tabs>
        <w:ind w:hanging="361"/>
      </w:pPr>
      <w:r>
        <w:t>Calculation of Monthly Fixed</w:t>
      </w:r>
      <w:r>
        <w:rPr>
          <w:spacing w:val="-2"/>
        </w:rPr>
        <w:t xml:space="preserve"> </w:t>
      </w:r>
      <w:r>
        <w:t>Charges</w:t>
      </w:r>
    </w:p>
    <w:p w:rsidR="007C5447" w:rsidRDefault="007C5447">
      <w:pPr>
        <w:pStyle w:val="BodyText"/>
        <w:spacing w:before="2"/>
        <w:rPr>
          <w:b/>
          <w:sz w:val="28"/>
        </w:rPr>
      </w:pPr>
    </w:p>
    <w:p w:rsidR="007C5447" w:rsidRDefault="00F6308C">
      <w:pPr>
        <w:pStyle w:val="ListParagraph"/>
        <w:numPr>
          <w:ilvl w:val="3"/>
          <w:numId w:val="45"/>
        </w:numPr>
        <w:tabs>
          <w:tab w:val="left" w:pos="2066"/>
        </w:tabs>
        <w:spacing w:line="312" w:lineRule="auto"/>
        <w:ind w:right="1178"/>
        <w:jc w:val="both"/>
        <w:rPr>
          <w:sz w:val="24"/>
        </w:rPr>
      </w:pPr>
      <w:r>
        <w:rPr>
          <w:sz w:val="24"/>
        </w:rPr>
        <w:t xml:space="preserve">TANGEDCO submitted that the monthly Fixed Charges are being levied on Contracted Demand from FY 2012-13 and are calculated on </w:t>
      </w:r>
      <w:r>
        <w:rPr>
          <w:sz w:val="24"/>
        </w:rPr>
        <w:t>the basis of kW. TANGEDCO requested the Commission to approve calculation of monthly Fixed Charges on the basis of per kW or part</w:t>
      </w:r>
      <w:r>
        <w:rPr>
          <w:spacing w:val="-2"/>
          <w:sz w:val="24"/>
        </w:rPr>
        <w:t xml:space="preserve"> </w:t>
      </w:r>
      <w:r>
        <w:rPr>
          <w:sz w:val="24"/>
        </w:rPr>
        <w:t>thereof.</w:t>
      </w:r>
    </w:p>
    <w:p w:rsidR="007C5447" w:rsidRDefault="007C5447">
      <w:pPr>
        <w:pStyle w:val="BodyText"/>
        <w:spacing w:before="10"/>
        <w:rPr>
          <w:sz w:val="20"/>
        </w:rPr>
      </w:pPr>
    </w:p>
    <w:p w:rsidR="007C5447" w:rsidRDefault="00F6308C">
      <w:pPr>
        <w:pStyle w:val="Heading2"/>
        <w:spacing w:before="1"/>
        <w:ind w:left="1952"/>
      </w:pPr>
      <w:r>
        <w:t>Commission’s Views</w:t>
      </w:r>
    </w:p>
    <w:p w:rsidR="007C5447" w:rsidRDefault="007C5447">
      <w:pPr>
        <w:pStyle w:val="BodyText"/>
        <w:spacing w:before="11"/>
        <w:rPr>
          <w:b/>
          <w:sz w:val="27"/>
        </w:rPr>
      </w:pPr>
    </w:p>
    <w:p w:rsidR="007C5447" w:rsidRDefault="00F6308C">
      <w:pPr>
        <w:pStyle w:val="ListParagraph"/>
        <w:numPr>
          <w:ilvl w:val="3"/>
          <w:numId w:val="45"/>
        </w:numPr>
        <w:tabs>
          <w:tab w:val="left" w:pos="2066"/>
        </w:tabs>
        <w:spacing w:line="312" w:lineRule="auto"/>
        <w:ind w:right="1176"/>
        <w:jc w:val="both"/>
        <w:rPr>
          <w:sz w:val="24"/>
        </w:rPr>
      </w:pPr>
      <w:r>
        <w:rPr>
          <w:sz w:val="24"/>
        </w:rPr>
        <w:t>The Fixed Charges are levied on per kW basis, which effectively means that for part</w:t>
      </w:r>
      <w:r>
        <w:rPr>
          <w:spacing w:val="22"/>
          <w:sz w:val="24"/>
        </w:rPr>
        <w:t xml:space="preserve"> </w:t>
      </w:r>
      <w:r>
        <w:rPr>
          <w:sz w:val="24"/>
        </w:rPr>
        <w:t>load</w:t>
      </w:r>
      <w:r>
        <w:rPr>
          <w:spacing w:val="24"/>
          <w:sz w:val="24"/>
        </w:rPr>
        <w:t xml:space="preserve"> </w:t>
      </w:r>
      <w:r>
        <w:rPr>
          <w:sz w:val="24"/>
        </w:rPr>
        <w:t>also,</w:t>
      </w:r>
      <w:r>
        <w:rPr>
          <w:spacing w:val="23"/>
          <w:sz w:val="24"/>
        </w:rPr>
        <w:t xml:space="preserve"> </w:t>
      </w:r>
      <w:r>
        <w:rPr>
          <w:sz w:val="24"/>
        </w:rPr>
        <w:t>the</w:t>
      </w:r>
      <w:r>
        <w:rPr>
          <w:spacing w:val="24"/>
          <w:sz w:val="24"/>
        </w:rPr>
        <w:t xml:space="preserve"> </w:t>
      </w:r>
      <w:r>
        <w:rPr>
          <w:sz w:val="24"/>
        </w:rPr>
        <w:t>per</w:t>
      </w:r>
      <w:r>
        <w:rPr>
          <w:spacing w:val="25"/>
          <w:sz w:val="24"/>
        </w:rPr>
        <w:t xml:space="preserve"> </w:t>
      </w:r>
      <w:r>
        <w:rPr>
          <w:sz w:val="24"/>
        </w:rPr>
        <w:t>kW</w:t>
      </w:r>
      <w:r>
        <w:rPr>
          <w:spacing w:val="23"/>
          <w:sz w:val="24"/>
        </w:rPr>
        <w:t xml:space="preserve"> </w:t>
      </w:r>
      <w:r>
        <w:rPr>
          <w:sz w:val="24"/>
        </w:rPr>
        <w:t>charges</w:t>
      </w:r>
      <w:r>
        <w:rPr>
          <w:spacing w:val="23"/>
          <w:sz w:val="24"/>
        </w:rPr>
        <w:t xml:space="preserve"> </w:t>
      </w:r>
      <w:r>
        <w:rPr>
          <w:sz w:val="24"/>
        </w:rPr>
        <w:t>will</w:t>
      </w:r>
      <w:r>
        <w:rPr>
          <w:spacing w:val="23"/>
          <w:sz w:val="24"/>
        </w:rPr>
        <w:t xml:space="preserve"> </w:t>
      </w:r>
      <w:r>
        <w:rPr>
          <w:sz w:val="24"/>
        </w:rPr>
        <w:t>be</w:t>
      </w:r>
      <w:r>
        <w:rPr>
          <w:spacing w:val="27"/>
          <w:sz w:val="24"/>
        </w:rPr>
        <w:t xml:space="preserve"> </w:t>
      </w:r>
      <w:r>
        <w:rPr>
          <w:sz w:val="24"/>
        </w:rPr>
        <w:t>applicable.</w:t>
      </w:r>
      <w:r>
        <w:rPr>
          <w:spacing w:val="27"/>
          <w:sz w:val="24"/>
        </w:rPr>
        <w:t xml:space="preserve"> </w:t>
      </w:r>
      <w:r>
        <w:rPr>
          <w:sz w:val="24"/>
        </w:rPr>
        <w:t>In</w:t>
      </w:r>
      <w:r>
        <w:rPr>
          <w:spacing w:val="22"/>
          <w:sz w:val="24"/>
        </w:rPr>
        <w:t xml:space="preserve"> </w:t>
      </w:r>
      <w:r>
        <w:rPr>
          <w:sz w:val="24"/>
        </w:rPr>
        <w:t>other</w:t>
      </w:r>
      <w:r>
        <w:rPr>
          <w:spacing w:val="22"/>
          <w:sz w:val="24"/>
        </w:rPr>
        <w:t xml:space="preserve"> </w:t>
      </w:r>
      <w:r>
        <w:rPr>
          <w:sz w:val="24"/>
        </w:rPr>
        <w:t>words,</w:t>
      </w:r>
      <w:r>
        <w:rPr>
          <w:spacing w:val="29"/>
          <w:sz w:val="24"/>
        </w:rPr>
        <w:t xml:space="preserve"> </w:t>
      </w:r>
      <w:r>
        <w:rPr>
          <w:sz w:val="24"/>
        </w:rPr>
        <w:t>for</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F6308C">
      <w:pPr>
        <w:pStyle w:val="BodyText"/>
        <w:spacing w:before="60" w:line="312" w:lineRule="auto"/>
        <w:ind w:left="2065" w:right="1182"/>
        <w:jc w:val="both"/>
      </w:pPr>
      <w:r>
        <w:lastRenderedPageBreak/>
        <w:t>Contracted Demand of say, between 25.1 to 26 kW, the Fixed Charges shall be levied o</w:t>
      </w:r>
      <w:r>
        <w:t>n 26 kW only. However, for ample clarity, the Commission has accepted TANGEDCO’s proposal and clarified in the Schedule that monthly Fixed Charges shall be levied on the basis of per kW or part</w:t>
      </w:r>
      <w:r>
        <w:rPr>
          <w:spacing w:val="-3"/>
        </w:rPr>
        <w:t xml:space="preserve"> </w:t>
      </w:r>
      <w:r>
        <w:t>thereof.</w:t>
      </w:r>
    </w:p>
    <w:p w:rsidR="007C5447" w:rsidRDefault="007C5447">
      <w:pPr>
        <w:pStyle w:val="BodyText"/>
        <w:spacing w:before="11"/>
        <w:rPr>
          <w:sz w:val="20"/>
        </w:rPr>
      </w:pPr>
    </w:p>
    <w:p w:rsidR="007C5447" w:rsidRDefault="00F6308C">
      <w:pPr>
        <w:pStyle w:val="Heading2"/>
        <w:numPr>
          <w:ilvl w:val="0"/>
          <w:numId w:val="46"/>
        </w:numPr>
        <w:tabs>
          <w:tab w:val="left" w:pos="2313"/>
        </w:tabs>
        <w:spacing w:line="312" w:lineRule="auto"/>
        <w:ind w:right="1183"/>
      </w:pPr>
      <w:r>
        <w:t>Tariff for Temporary Supply for additional construct</w:t>
      </w:r>
      <w:r>
        <w:t>ion in area smaller than 2000 sq.</w:t>
      </w:r>
      <w:r>
        <w:rPr>
          <w:spacing w:val="-4"/>
        </w:rPr>
        <w:t xml:space="preserve"> </w:t>
      </w:r>
      <w:r>
        <w:t>feet</w:t>
      </w:r>
    </w:p>
    <w:p w:rsidR="007C5447" w:rsidRDefault="007C5447">
      <w:pPr>
        <w:pStyle w:val="BodyText"/>
        <w:spacing w:before="10"/>
        <w:rPr>
          <w:b/>
          <w:sz w:val="20"/>
        </w:rPr>
      </w:pPr>
    </w:p>
    <w:p w:rsidR="007C5447" w:rsidRDefault="00F6308C">
      <w:pPr>
        <w:pStyle w:val="ListParagraph"/>
        <w:numPr>
          <w:ilvl w:val="3"/>
          <w:numId w:val="45"/>
        </w:numPr>
        <w:tabs>
          <w:tab w:val="left" w:pos="2066"/>
        </w:tabs>
        <w:spacing w:line="312" w:lineRule="auto"/>
        <w:ind w:right="1174"/>
        <w:jc w:val="both"/>
        <w:rPr>
          <w:sz w:val="24"/>
        </w:rPr>
      </w:pPr>
      <w:r>
        <w:rPr>
          <w:sz w:val="24"/>
        </w:rPr>
        <w:t xml:space="preserve">TANGEDCO submitted that as per the submission made under HT Tariff Philosophy, all new and additional construction under </w:t>
      </w:r>
      <w:r>
        <w:rPr>
          <w:spacing w:val="-3"/>
          <w:sz w:val="24"/>
        </w:rPr>
        <w:t xml:space="preserve">LT </w:t>
      </w:r>
      <w:r>
        <w:rPr>
          <w:sz w:val="24"/>
        </w:rPr>
        <w:t>categories excluding Domestic/Residential construction may be classified under LT Tariff</w:t>
      </w:r>
      <w:r>
        <w:rPr>
          <w:spacing w:val="-9"/>
          <w:sz w:val="24"/>
        </w:rPr>
        <w:t xml:space="preserve"> </w:t>
      </w:r>
      <w:r>
        <w:rPr>
          <w:sz w:val="24"/>
        </w:rPr>
        <w:t>VI.</w:t>
      </w:r>
    </w:p>
    <w:p w:rsidR="007C5447" w:rsidRDefault="007C5447">
      <w:pPr>
        <w:pStyle w:val="BodyText"/>
        <w:spacing w:before="9"/>
        <w:rPr>
          <w:sz w:val="20"/>
        </w:rPr>
      </w:pPr>
    </w:p>
    <w:p w:rsidR="007C5447" w:rsidRDefault="00F6308C">
      <w:pPr>
        <w:pStyle w:val="Heading2"/>
        <w:spacing w:before="1"/>
        <w:ind w:left="1952"/>
        <w:jc w:val="both"/>
      </w:pPr>
      <w:r>
        <w:t>Commission’s Views</w:t>
      </w:r>
    </w:p>
    <w:p w:rsidR="007C5447" w:rsidRDefault="007C5447">
      <w:pPr>
        <w:pStyle w:val="BodyText"/>
        <w:spacing w:before="1"/>
        <w:rPr>
          <w:b/>
          <w:sz w:val="28"/>
        </w:rPr>
      </w:pPr>
    </w:p>
    <w:p w:rsidR="007C5447" w:rsidRDefault="00F6308C">
      <w:pPr>
        <w:pStyle w:val="ListParagraph"/>
        <w:numPr>
          <w:ilvl w:val="3"/>
          <w:numId w:val="45"/>
        </w:numPr>
        <w:tabs>
          <w:tab w:val="left" w:pos="2066"/>
        </w:tabs>
        <w:spacing w:before="1" w:line="312" w:lineRule="auto"/>
        <w:ind w:right="1175"/>
        <w:jc w:val="both"/>
        <w:rPr>
          <w:sz w:val="24"/>
        </w:rPr>
      </w:pPr>
      <w:r>
        <w:rPr>
          <w:sz w:val="24"/>
        </w:rPr>
        <w:t>As discussed in the above section, the Commission is of the view that the existing clause is appropriate and has been prescribed after addressing all concerns expressed in earlier years. Hence, the Commission has retained the existing provisions in this</w:t>
      </w:r>
      <w:r>
        <w:rPr>
          <w:spacing w:val="-1"/>
          <w:sz w:val="24"/>
        </w:rPr>
        <w:t xml:space="preserve"> </w:t>
      </w:r>
      <w:r>
        <w:rPr>
          <w:sz w:val="24"/>
        </w:rPr>
        <w:t>re</w:t>
      </w:r>
      <w:r>
        <w:rPr>
          <w:sz w:val="24"/>
        </w:rPr>
        <w:t>gard.</w:t>
      </w:r>
    </w:p>
    <w:p w:rsidR="007C5447" w:rsidRDefault="007C5447">
      <w:pPr>
        <w:pStyle w:val="BodyText"/>
        <w:spacing w:before="10"/>
        <w:rPr>
          <w:sz w:val="20"/>
        </w:rPr>
      </w:pPr>
    </w:p>
    <w:p w:rsidR="007C5447" w:rsidRDefault="00F6308C">
      <w:pPr>
        <w:pStyle w:val="Heading2"/>
        <w:numPr>
          <w:ilvl w:val="0"/>
          <w:numId w:val="46"/>
        </w:numPr>
        <w:tabs>
          <w:tab w:val="left" w:pos="2313"/>
        </w:tabs>
        <w:ind w:hanging="361"/>
      </w:pPr>
      <w:r>
        <w:t>Limitation in area for gardening and other</w:t>
      </w:r>
      <w:r>
        <w:rPr>
          <w:spacing w:val="-2"/>
        </w:rPr>
        <w:t xml:space="preserve"> </w:t>
      </w:r>
      <w:r>
        <w:t>usage</w:t>
      </w:r>
    </w:p>
    <w:p w:rsidR="007C5447" w:rsidRDefault="007C5447">
      <w:pPr>
        <w:pStyle w:val="BodyText"/>
        <w:spacing w:before="11"/>
        <w:rPr>
          <w:b/>
          <w:sz w:val="27"/>
        </w:rPr>
      </w:pPr>
    </w:p>
    <w:p w:rsidR="007C5447" w:rsidRDefault="00F6308C">
      <w:pPr>
        <w:pStyle w:val="ListParagraph"/>
        <w:numPr>
          <w:ilvl w:val="3"/>
          <w:numId w:val="45"/>
        </w:numPr>
        <w:tabs>
          <w:tab w:val="left" w:pos="2066"/>
        </w:tabs>
        <w:spacing w:line="312" w:lineRule="auto"/>
        <w:ind w:right="1176"/>
        <w:jc w:val="both"/>
        <w:rPr>
          <w:sz w:val="24"/>
        </w:rPr>
      </w:pPr>
      <w:r>
        <w:rPr>
          <w:sz w:val="24"/>
        </w:rPr>
        <w:t xml:space="preserve">TANGEDCO submitted that the </w:t>
      </w:r>
      <w:r>
        <w:rPr>
          <w:spacing w:val="-3"/>
          <w:sz w:val="24"/>
        </w:rPr>
        <w:t xml:space="preserve">LT </w:t>
      </w:r>
      <w:r>
        <w:rPr>
          <w:sz w:val="24"/>
        </w:rPr>
        <w:t>IA Tariff permits to extend electricity supply for lighting, water and other facilities for domestic animals/pets including chaff cutting, milking, etc., and watering f</w:t>
      </w:r>
      <w:r>
        <w:rPr>
          <w:sz w:val="24"/>
        </w:rPr>
        <w:t>or gardening including growing of trees in and around residential houses/buildings. As there is no limitation in area for gardening and other usage in and around residential houses/ buildings, it can be used for commercial purposes also. In order to have r</w:t>
      </w:r>
      <w:r>
        <w:rPr>
          <w:sz w:val="24"/>
        </w:rPr>
        <w:t>estriction/limitation and for better implementation, TANGEDCO proposed to limit the area of such usage to 500 sq. feet.</w:t>
      </w:r>
    </w:p>
    <w:p w:rsidR="007C5447" w:rsidRDefault="007C5447">
      <w:pPr>
        <w:pStyle w:val="BodyText"/>
        <w:spacing w:before="10"/>
        <w:rPr>
          <w:sz w:val="20"/>
        </w:rPr>
      </w:pPr>
    </w:p>
    <w:p w:rsidR="007C5447" w:rsidRDefault="00F6308C">
      <w:pPr>
        <w:pStyle w:val="Heading2"/>
        <w:spacing w:before="1"/>
        <w:ind w:left="1952"/>
        <w:jc w:val="both"/>
      </w:pPr>
      <w:r>
        <w:t>Commission’s view</w:t>
      </w:r>
    </w:p>
    <w:p w:rsidR="007C5447" w:rsidRDefault="007C5447">
      <w:pPr>
        <w:pStyle w:val="BodyText"/>
        <w:spacing w:before="1"/>
        <w:rPr>
          <w:b/>
          <w:sz w:val="28"/>
        </w:rPr>
      </w:pPr>
    </w:p>
    <w:p w:rsidR="007C5447" w:rsidRDefault="00F6308C">
      <w:pPr>
        <w:pStyle w:val="ListParagraph"/>
        <w:numPr>
          <w:ilvl w:val="3"/>
          <w:numId w:val="45"/>
        </w:numPr>
        <w:tabs>
          <w:tab w:val="left" w:pos="2066"/>
        </w:tabs>
        <w:spacing w:before="1" w:line="312" w:lineRule="auto"/>
        <w:ind w:right="1181"/>
        <w:jc w:val="both"/>
        <w:rPr>
          <w:sz w:val="24"/>
        </w:rPr>
      </w:pPr>
      <w:r>
        <w:rPr>
          <w:sz w:val="24"/>
        </w:rPr>
        <w:t>The Commission is of the view that limiting area of usage for gardening and other usage in and around residential ho</w:t>
      </w:r>
      <w:r>
        <w:rPr>
          <w:sz w:val="24"/>
        </w:rPr>
        <w:t>uses/ buildings to 500 sq. feet will not be feasible to implement. TANGEDCO has sufficient powers to ensure that such area is not used for commercial purposes, and if so, the commercial tariff shall be applicable. Therefore, the Commission does not find me</w:t>
      </w:r>
      <w:r>
        <w:rPr>
          <w:sz w:val="24"/>
        </w:rPr>
        <w:t>rit in TANGEDCO’s</w:t>
      </w:r>
      <w:r>
        <w:rPr>
          <w:spacing w:val="-9"/>
          <w:sz w:val="24"/>
        </w:rPr>
        <w:t xml:space="preserve"> </w:t>
      </w:r>
      <w:r>
        <w:rPr>
          <w:sz w:val="24"/>
        </w:rPr>
        <w:t>proposal.</w:t>
      </w:r>
    </w:p>
    <w:p w:rsidR="007C5447" w:rsidRDefault="007C5447">
      <w:pPr>
        <w:pStyle w:val="BodyText"/>
        <w:spacing w:before="9"/>
        <w:rPr>
          <w:sz w:val="20"/>
        </w:rPr>
      </w:pPr>
    </w:p>
    <w:p w:rsidR="007C5447" w:rsidRDefault="00F6308C">
      <w:pPr>
        <w:pStyle w:val="Heading2"/>
        <w:numPr>
          <w:ilvl w:val="0"/>
          <w:numId w:val="46"/>
        </w:numPr>
        <w:tabs>
          <w:tab w:val="left" w:pos="2313"/>
        </w:tabs>
        <w:ind w:hanging="361"/>
      </w:pPr>
      <w:r>
        <w:t>Limitation of Common Supply under Domestic Tariff</w:t>
      </w:r>
    </w:p>
    <w:p w:rsidR="007C5447" w:rsidRDefault="007C5447">
      <w:pPr>
        <w:pStyle w:val="BodyText"/>
        <w:spacing w:before="2"/>
        <w:rPr>
          <w:b/>
          <w:sz w:val="28"/>
        </w:rPr>
      </w:pPr>
    </w:p>
    <w:p w:rsidR="007C5447" w:rsidRDefault="00F6308C">
      <w:pPr>
        <w:pStyle w:val="ListParagraph"/>
        <w:numPr>
          <w:ilvl w:val="3"/>
          <w:numId w:val="45"/>
        </w:numPr>
        <w:tabs>
          <w:tab w:val="left" w:pos="2066"/>
        </w:tabs>
        <w:ind w:hanging="966"/>
        <w:rPr>
          <w:sz w:val="24"/>
        </w:rPr>
      </w:pPr>
      <w:r>
        <w:rPr>
          <w:sz w:val="24"/>
        </w:rPr>
        <w:t>TANGEDCO</w:t>
      </w:r>
      <w:r>
        <w:rPr>
          <w:spacing w:val="12"/>
          <w:sz w:val="24"/>
        </w:rPr>
        <w:t xml:space="preserve"> </w:t>
      </w:r>
      <w:r>
        <w:rPr>
          <w:sz w:val="24"/>
        </w:rPr>
        <w:t>submitted</w:t>
      </w:r>
      <w:r>
        <w:rPr>
          <w:spacing w:val="13"/>
          <w:sz w:val="24"/>
        </w:rPr>
        <w:t xml:space="preserve"> </w:t>
      </w:r>
      <w:r>
        <w:rPr>
          <w:sz w:val="24"/>
        </w:rPr>
        <w:t>that</w:t>
      </w:r>
      <w:r>
        <w:rPr>
          <w:spacing w:val="14"/>
          <w:sz w:val="24"/>
        </w:rPr>
        <w:t xml:space="preserve"> </w:t>
      </w:r>
      <w:r>
        <w:rPr>
          <w:sz w:val="24"/>
        </w:rPr>
        <w:t>at</w:t>
      </w:r>
      <w:r>
        <w:rPr>
          <w:spacing w:val="14"/>
          <w:sz w:val="24"/>
        </w:rPr>
        <w:t xml:space="preserve"> </w:t>
      </w:r>
      <w:r>
        <w:rPr>
          <w:sz w:val="24"/>
        </w:rPr>
        <w:t>present,</w:t>
      </w:r>
      <w:r>
        <w:rPr>
          <w:spacing w:val="16"/>
          <w:sz w:val="24"/>
        </w:rPr>
        <w:t xml:space="preserve"> </w:t>
      </w:r>
      <w:r>
        <w:rPr>
          <w:spacing w:val="-3"/>
          <w:sz w:val="24"/>
        </w:rPr>
        <w:t>LT</w:t>
      </w:r>
      <w:r>
        <w:rPr>
          <w:spacing w:val="16"/>
          <w:sz w:val="24"/>
        </w:rPr>
        <w:t xml:space="preserve"> </w:t>
      </w:r>
      <w:r>
        <w:rPr>
          <w:sz w:val="24"/>
        </w:rPr>
        <w:t>IA</w:t>
      </w:r>
      <w:r>
        <w:rPr>
          <w:spacing w:val="13"/>
          <w:sz w:val="24"/>
        </w:rPr>
        <w:t xml:space="preserve"> </w:t>
      </w:r>
      <w:r>
        <w:rPr>
          <w:sz w:val="24"/>
        </w:rPr>
        <w:t>Tariff</w:t>
      </w:r>
      <w:r>
        <w:rPr>
          <w:spacing w:val="13"/>
          <w:sz w:val="24"/>
        </w:rPr>
        <w:t xml:space="preserve"> </w:t>
      </w:r>
      <w:r>
        <w:rPr>
          <w:sz w:val="24"/>
        </w:rPr>
        <w:t>provides</w:t>
      </w:r>
      <w:r>
        <w:rPr>
          <w:spacing w:val="13"/>
          <w:sz w:val="24"/>
        </w:rPr>
        <w:t xml:space="preserve"> </w:t>
      </w:r>
      <w:r>
        <w:rPr>
          <w:sz w:val="24"/>
        </w:rPr>
        <w:t>for</w:t>
      </w:r>
      <w:r>
        <w:rPr>
          <w:spacing w:val="12"/>
          <w:sz w:val="24"/>
        </w:rPr>
        <w:t xml:space="preserve"> </w:t>
      </w:r>
      <w:r>
        <w:rPr>
          <w:sz w:val="24"/>
        </w:rPr>
        <w:t>the</w:t>
      </w:r>
      <w:r>
        <w:rPr>
          <w:spacing w:val="13"/>
          <w:sz w:val="24"/>
        </w:rPr>
        <w:t xml:space="preserve"> </w:t>
      </w:r>
      <w:r>
        <w:rPr>
          <w:sz w:val="24"/>
        </w:rPr>
        <w:t>extension</w:t>
      </w:r>
      <w:r>
        <w:rPr>
          <w:spacing w:val="14"/>
          <w:sz w:val="24"/>
        </w:rPr>
        <w:t xml:space="preserve"> </w:t>
      </w:r>
      <w:r>
        <w:rPr>
          <w:sz w:val="24"/>
        </w:rPr>
        <w:t>of</w:t>
      </w:r>
    </w:p>
    <w:p w:rsidR="007C5447" w:rsidRDefault="007C5447">
      <w:pPr>
        <w:rPr>
          <w:sz w:val="24"/>
        </w:rPr>
        <w:sectPr w:rsidR="007C5447">
          <w:pgSz w:w="11910" w:h="16840"/>
          <w:pgMar w:top="1360" w:right="260" w:bottom="1240" w:left="340" w:header="0" w:footer="1057" w:gutter="0"/>
          <w:cols w:space="720"/>
        </w:sectPr>
      </w:pPr>
    </w:p>
    <w:p w:rsidR="007C5447" w:rsidRDefault="00F6308C">
      <w:pPr>
        <w:pStyle w:val="BodyText"/>
        <w:spacing w:before="60" w:line="312" w:lineRule="auto"/>
        <w:ind w:left="2065" w:right="1176"/>
        <w:jc w:val="both"/>
      </w:pPr>
      <w:r>
        <w:lastRenderedPageBreak/>
        <w:t xml:space="preserve">electricity supply “in respect of multi tenements / residential complexes for common lighting, water supply, lift and such other facilities provided only to the residents alone may be given a separate connection and charged under LT Tariff IA and only one </w:t>
      </w:r>
      <w:r>
        <w:t>service connection shall be given for the premises for all common facilities.” TANGEDCO submitted that such other facilities include gymnasium, community hall, amphitheatres, etc., and these facilities cannot be considered as domestic/residential usages. F</w:t>
      </w:r>
      <w:r>
        <w:t>urther, for the multi-block residential complexes, a single common LT service is not sufficient for common lighting, water supply, lift. Several representations are being received to extend one service for each block for common usage. Taking into considera</w:t>
      </w:r>
      <w:r>
        <w:t xml:space="preserve">tion all of the above, TANGEDCO has requested to modify this provision as follows: “in respect of multi tenements/ residential complexes common supply under domestic tariff may be limited to common lighting, water supply and lift. </w:t>
      </w:r>
      <w:r>
        <w:rPr>
          <w:spacing w:val="-3"/>
        </w:rPr>
        <w:t xml:space="preserve">In </w:t>
      </w:r>
      <w:r>
        <w:t xml:space="preserve">case of more than one </w:t>
      </w:r>
      <w:r>
        <w:t>block in a premise, only one service shall be given for each block for common lighting, water supply and lift provided only to the</w:t>
      </w:r>
      <w:r>
        <w:rPr>
          <w:spacing w:val="-11"/>
        </w:rPr>
        <w:t xml:space="preserve"> </w:t>
      </w:r>
      <w:r>
        <w:t>residents.”</w:t>
      </w:r>
    </w:p>
    <w:p w:rsidR="007C5447" w:rsidRDefault="007C5447">
      <w:pPr>
        <w:pStyle w:val="BodyText"/>
        <w:spacing w:before="11"/>
        <w:rPr>
          <w:sz w:val="20"/>
        </w:rPr>
      </w:pPr>
    </w:p>
    <w:p w:rsidR="007C5447" w:rsidRDefault="00F6308C">
      <w:pPr>
        <w:pStyle w:val="Heading2"/>
        <w:ind w:left="1952"/>
        <w:jc w:val="both"/>
      </w:pPr>
      <w:r>
        <w:t>Commission’s View</w:t>
      </w:r>
    </w:p>
    <w:p w:rsidR="007C5447" w:rsidRDefault="007C5447">
      <w:pPr>
        <w:pStyle w:val="BodyText"/>
        <w:spacing w:before="2"/>
        <w:rPr>
          <w:b/>
          <w:sz w:val="28"/>
        </w:rPr>
      </w:pPr>
    </w:p>
    <w:p w:rsidR="007C5447" w:rsidRDefault="00F6308C">
      <w:pPr>
        <w:pStyle w:val="ListParagraph"/>
        <w:numPr>
          <w:ilvl w:val="3"/>
          <w:numId w:val="45"/>
        </w:numPr>
        <w:tabs>
          <w:tab w:val="left" w:pos="2066"/>
        </w:tabs>
        <w:spacing w:line="312" w:lineRule="auto"/>
        <w:ind w:right="1174"/>
        <w:jc w:val="both"/>
        <w:rPr>
          <w:sz w:val="24"/>
        </w:rPr>
      </w:pPr>
      <w:r>
        <w:rPr>
          <w:sz w:val="24"/>
        </w:rPr>
        <w:t>The Commission has accepted TANGEDCO’s proposal to restrict common supply under domestic tariff to common lighting, water supply and</w:t>
      </w:r>
      <w:r>
        <w:rPr>
          <w:spacing w:val="-7"/>
          <w:sz w:val="24"/>
        </w:rPr>
        <w:t xml:space="preserve"> </w:t>
      </w:r>
      <w:r>
        <w:rPr>
          <w:sz w:val="24"/>
        </w:rPr>
        <w:t>lifts.</w:t>
      </w:r>
    </w:p>
    <w:p w:rsidR="007C5447" w:rsidRDefault="007C5447">
      <w:pPr>
        <w:pStyle w:val="BodyText"/>
        <w:spacing w:before="10"/>
        <w:rPr>
          <w:sz w:val="20"/>
        </w:rPr>
      </w:pPr>
    </w:p>
    <w:p w:rsidR="007C5447" w:rsidRDefault="00F6308C">
      <w:pPr>
        <w:pStyle w:val="ListParagraph"/>
        <w:numPr>
          <w:ilvl w:val="3"/>
          <w:numId w:val="45"/>
        </w:numPr>
        <w:tabs>
          <w:tab w:val="left" w:pos="2066"/>
        </w:tabs>
        <w:spacing w:line="312" w:lineRule="auto"/>
        <w:ind w:right="1175"/>
        <w:jc w:val="both"/>
        <w:rPr>
          <w:sz w:val="24"/>
        </w:rPr>
      </w:pPr>
      <w:r>
        <w:rPr>
          <w:sz w:val="24"/>
        </w:rPr>
        <w:t>Further, in case of more than one block in a premise, only one service shall be given for each block for common lig</w:t>
      </w:r>
      <w:r>
        <w:rPr>
          <w:sz w:val="24"/>
        </w:rPr>
        <w:t>hting, water supply and lift provided only to the residents. The other facilities such as gymnasium, community hall, amphitheatres, etc., inside the multi-tenement residential complex can neither be identified with any block, and will hence, continue to be</w:t>
      </w:r>
      <w:r>
        <w:rPr>
          <w:sz w:val="24"/>
        </w:rPr>
        <w:t xml:space="preserve"> grouped as common facilities, nor are they essential for residential purposes, hence, such other facilities shall not be considered as domestic/residential usage, and shall be classified under the appropriate commercial category, viz., </w:t>
      </w:r>
      <w:r>
        <w:rPr>
          <w:spacing w:val="-3"/>
          <w:sz w:val="24"/>
        </w:rPr>
        <w:t xml:space="preserve">LT </w:t>
      </w:r>
      <w:r>
        <w:rPr>
          <w:sz w:val="24"/>
        </w:rPr>
        <w:t>V or HT III, dep</w:t>
      </w:r>
      <w:r>
        <w:rPr>
          <w:sz w:val="24"/>
        </w:rPr>
        <w:t>ending on the voltage of supply. Separate metering/sub-metering arrangement will have to be done for proper implementation of this provision, and TANGEDCO is directed to implement the above changes, after which, the revised billing method shall come into</w:t>
      </w:r>
      <w:r>
        <w:rPr>
          <w:spacing w:val="-1"/>
          <w:sz w:val="24"/>
        </w:rPr>
        <w:t xml:space="preserve"> </w:t>
      </w:r>
      <w:r>
        <w:rPr>
          <w:sz w:val="24"/>
        </w:rPr>
        <w:t>f</w:t>
      </w:r>
      <w:r>
        <w:rPr>
          <w:sz w:val="24"/>
        </w:rPr>
        <w:t>orce.</w:t>
      </w:r>
    </w:p>
    <w:p w:rsidR="007C5447" w:rsidRDefault="007C5447">
      <w:pPr>
        <w:pStyle w:val="BodyText"/>
        <w:rPr>
          <w:sz w:val="21"/>
        </w:rPr>
      </w:pPr>
    </w:p>
    <w:p w:rsidR="007C5447" w:rsidRDefault="00F6308C">
      <w:pPr>
        <w:pStyle w:val="Heading2"/>
        <w:numPr>
          <w:ilvl w:val="0"/>
          <w:numId w:val="46"/>
        </w:numPr>
        <w:tabs>
          <w:tab w:val="left" w:pos="2313"/>
        </w:tabs>
        <w:spacing w:line="312" w:lineRule="auto"/>
        <w:ind w:right="1172"/>
      </w:pPr>
      <w:r>
        <w:t>Classification of Government-Aided Educational Institutions with self- financed courses</w:t>
      </w:r>
    </w:p>
    <w:p w:rsidR="007C5447" w:rsidRDefault="007C5447">
      <w:pPr>
        <w:pStyle w:val="BodyText"/>
        <w:spacing w:before="10"/>
        <w:rPr>
          <w:b/>
          <w:sz w:val="20"/>
        </w:rPr>
      </w:pPr>
    </w:p>
    <w:p w:rsidR="007C5447" w:rsidRDefault="00F6308C">
      <w:pPr>
        <w:pStyle w:val="ListParagraph"/>
        <w:numPr>
          <w:ilvl w:val="3"/>
          <w:numId w:val="45"/>
        </w:numPr>
        <w:tabs>
          <w:tab w:val="left" w:pos="2066"/>
        </w:tabs>
        <w:spacing w:line="312" w:lineRule="auto"/>
        <w:ind w:right="1178"/>
        <w:jc w:val="both"/>
        <w:rPr>
          <w:sz w:val="24"/>
        </w:rPr>
      </w:pPr>
      <w:r>
        <w:rPr>
          <w:sz w:val="24"/>
        </w:rPr>
        <w:t>In line with the submission made under HT tariff philosophy, TANGEDCO submitted</w:t>
      </w:r>
      <w:r>
        <w:rPr>
          <w:spacing w:val="29"/>
          <w:sz w:val="24"/>
        </w:rPr>
        <w:t xml:space="preserve"> </w:t>
      </w:r>
      <w:r>
        <w:rPr>
          <w:sz w:val="24"/>
        </w:rPr>
        <w:t>that</w:t>
      </w:r>
      <w:r>
        <w:rPr>
          <w:spacing w:val="30"/>
          <w:sz w:val="24"/>
        </w:rPr>
        <w:t xml:space="preserve"> </w:t>
      </w:r>
      <w:r>
        <w:rPr>
          <w:sz w:val="24"/>
        </w:rPr>
        <w:t>Government</w:t>
      </w:r>
      <w:r>
        <w:rPr>
          <w:spacing w:val="30"/>
          <w:sz w:val="24"/>
        </w:rPr>
        <w:t xml:space="preserve"> </w:t>
      </w:r>
      <w:r>
        <w:rPr>
          <w:sz w:val="24"/>
        </w:rPr>
        <w:t>Aided</w:t>
      </w:r>
      <w:r>
        <w:rPr>
          <w:spacing w:val="29"/>
          <w:sz w:val="24"/>
        </w:rPr>
        <w:t xml:space="preserve"> </w:t>
      </w:r>
      <w:r>
        <w:rPr>
          <w:sz w:val="24"/>
        </w:rPr>
        <w:t>Educational</w:t>
      </w:r>
      <w:r>
        <w:rPr>
          <w:spacing w:val="31"/>
          <w:sz w:val="24"/>
        </w:rPr>
        <w:t xml:space="preserve"> </w:t>
      </w:r>
      <w:r>
        <w:rPr>
          <w:sz w:val="24"/>
        </w:rPr>
        <w:t>Institutions</w:t>
      </w:r>
      <w:r>
        <w:rPr>
          <w:spacing w:val="30"/>
          <w:sz w:val="24"/>
        </w:rPr>
        <w:t xml:space="preserve"> </w:t>
      </w:r>
      <w:r>
        <w:rPr>
          <w:sz w:val="24"/>
        </w:rPr>
        <w:t>with</w:t>
      </w:r>
      <w:r>
        <w:rPr>
          <w:spacing w:val="30"/>
          <w:sz w:val="24"/>
        </w:rPr>
        <w:t xml:space="preserve"> </w:t>
      </w:r>
      <w:r>
        <w:rPr>
          <w:sz w:val="24"/>
        </w:rPr>
        <w:t>self-financed</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F6308C">
      <w:pPr>
        <w:pStyle w:val="BodyText"/>
        <w:spacing w:before="60" w:line="312" w:lineRule="auto"/>
        <w:ind w:left="2065" w:right="1176"/>
      </w:pPr>
      <w:r>
        <w:lastRenderedPageBreak/>
        <w:t>courses under LT category may also be classified under Tariff applicable to Private Educational Institutions.</w:t>
      </w:r>
    </w:p>
    <w:p w:rsidR="007C5447" w:rsidRDefault="007C5447">
      <w:pPr>
        <w:pStyle w:val="BodyText"/>
        <w:spacing w:before="11"/>
        <w:rPr>
          <w:sz w:val="20"/>
        </w:rPr>
      </w:pPr>
    </w:p>
    <w:p w:rsidR="007C5447" w:rsidRDefault="00F6308C">
      <w:pPr>
        <w:pStyle w:val="Heading2"/>
        <w:ind w:left="1952"/>
      </w:pPr>
      <w:r>
        <w:t>Commission’s View</w:t>
      </w:r>
    </w:p>
    <w:p w:rsidR="007C5447" w:rsidRDefault="007C5447">
      <w:pPr>
        <w:pStyle w:val="BodyText"/>
        <w:spacing w:before="11"/>
        <w:rPr>
          <w:b/>
          <w:sz w:val="27"/>
        </w:rPr>
      </w:pPr>
    </w:p>
    <w:p w:rsidR="007C5447" w:rsidRDefault="00F6308C">
      <w:pPr>
        <w:pStyle w:val="ListParagraph"/>
        <w:numPr>
          <w:ilvl w:val="3"/>
          <w:numId w:val="45"/>
        </w:numPr>
        <w:tabs>
          <w:tab w:val="left" w:pos="2066"/>
        </w:tabs>
        <w:spacing w:line="312" w:lineRule="auto"/>
        <w:ind w:right="1175"/>
        <w:jc w:val="both"/>
        <w:rPr>
          <w:sz w:val="24"/>
        </w:rPr>
      </w:pPr>
      <w:r>
        <w:rPr>
          <w:sz w:val="24"/>
        </w:rPr>
        <w:t>Two separate categories of Government Aided Educational Institutions and Private Educational Institutions were created based on differences in fee structure. However, some Government Aided Educational Institutions are also providing self- financed courses,</w:t>
      </w:r>
      <w:r>
        <w:rPr>
          <w:sz w:val="24"/>
        </w:rPr>
        <w:t xml:space="preserve"> and thus, the fee structure is different. The Commission is of the view that it would be practically difficult to charge two separate tariffs to Government-Aided Educational Institutions, one for the portion offering normal courses and other for the porti</w:t>
      </w:r>
      <w:r>
        <w:rPr>
          <w:sz w:val="24"/>
        </w:rPr>
        <w:t>on offering self-financed courses. Further, the basic nature of the Government Aided Educational Institutions does not change merely because they are offering some self-financed courses. Therefore, the Commission has not accepted TANGEDCO’s proposal to cla</w:t>
      </w:r>
      <w:r>
        <w:rPr>
          <w:sz w:val="24"/>
        </w:rPr>
        <w:t>ssify Government Aided Educational Institutions that also run self-financed courses, under LTII-B(2) Tariff applicable to Private Educational</w:t>
      </w:r>
      <w:r>
        <w:rPr>
          <w:spacing w:val="1"/>
          <w:sz w:val="24"/>
        </w:rPr>
        <w:t xml:space="preserve"> </w:t>
      </w:r>
      <w:r>
        <w:rPr>
          <w:sz w:val="24"/>
        </w:rPr>
        <w:t>Institutions.</w:t>
      </w:r>
    </w:p>
    <w:p w:rsidR="007C5447" w:rsidRDefault="007C5447">
      <w:pPr>
        <w:pStyle w:val="BodyText"/>
        <w:spacing w:before="11"/>
        <w:rPr>
          <w:sz w:val="20"/>
        </w:rPr>
      </w:pPr>
    </w:p>
    <w:p w:rsidR="007C5447" w:rsidRDefault="00F6308C">
      <w:pPr>
        <w:pStyle w:val="Heading2"/>
        <w:numPr>
          <w:ilvl w:val="0"/>
          <w:numId w:val="46"/>
        </w:numPr>
        <w:tabs>
          <w:tab w:val="left" w:pos="2313"/>
        </w:tabs>
        <w:ind w:hanging="361"/>
      </w:pPr>
      <w:r>
        <w:t>Categorisation of Rehabilitation and Training</w:t>
      </w:r>
      <w:r>
        <w:rPr>
          <w:spacing w:val="-2"/>
        </w:rPr>
        <w:t xml:space="preserve"> </w:t>
      </w:r>
      <w:r>
        <w:t>Centres</w:t>
      </w:r>
    </w:p>
    <w:p w:rsidR="007C5447" w:rsidRDefault="007C5447">
      <w:pPr>
        <w:pStyle w:val="BodyText"/>
        <w:spacing w:before="2"/>
        <w:rPr>
          <w:b/>
          <w:sz w:val="28"/>
        </w:rPr>
      </w:pPr>
    </w:p>
    <w:p w:rsidR="007C5447" w:rsidRDefault="00F6308C">
      <w:pPr>
        <w:pStyle w:val="ListParagraph"/>
        <w:numPr>
          <w:ilvl w:val="3"/>
          <w:numId w:val="45"/>
        </w:numPr>
        <w:tabs>
          <w:tab w:val="left" w:pos="2066"/>
        </w:tabs>
        <w:spacing w:line="312" w:lineRule="auto"/>
        <w:ind w:right="1181"/>
        <w:jc w:val="both"/>
        <w:rPr>
          <w:sz w:val="24"/>
        </w:rPr>
      </w:pPr>
      <w:r>
        <w:rPr>
          <w:sz w:val="24"/>
        </w:rPr>
        <w:t>TANGEDCO submitted that ‘training and rehabi</w:t>
      </w:r>
      <w:r>
        <w:rPr>
          <w:sz w:val="24"/>
        </w:rPr>
        <w:t>litation centres’ under LT Tariff II-(B) I may be modified as ‘rehabilitation and training centres’ to avoid ambiguities.</w:t>
      </w:r>
    </w:p>
    <w:p w:rsidR="007C5447" w:rsidRDefault="007C5447">
      <w:pPr>
        <w:pStyle w:val="BodyText"/>
        <w:spacing w:before="9"/>
        <w:rPr>
          <w:sz w:val="20"/>
        </w:rPr>
      </w:pPr>
    </w:p>
    <w:p w:rsidR="007C5447" w:rsidRDefault="00F6308C">
      <w:pPr>
        <w:pStyle w:val="Heading2"/>
        <w:ind w:left="1952"/>
      </w:pPr>
      <w:r>
        <w:t>Commission’s View</w:t>
      </w:r>
    </w:p>
    <w:p w:rsidR="007C5447" w:rsidRDefault="007C5447">
      <w:pPr>
        <w:pStyle w:val="BodyText"/>
        <w:spacing w:before="2"/>
        <w:rPr>
          <w:b/>
          <w:sz w:val="28"/>
        </w:rPr>
      </w:pPr>
    </w:p>
    <w:p w:rsidR="007C5447" w:rsidRDefault="00F6308C">
      <w:pPr>
        <w:pStyle w:val="ListParagraph"/>
        <w:numPr>
          <w:ilvl w:val="3"/>
          <w:numId w:val="45"/>
        </w:numPr>
        <w:tabs>
          <w:tab w:val="left" w:pos="2066"/>
        </w:tabs>
        <w:spacing w:line="312" w:lineRule="auto"/>
        <w:ind w:right="1179"/>
        <w:jc w:val="both"/>
        <w:rPr>
          <w:sz w:val="24"/>
        </w:rPr>
      </w:pPr>
      <w:r>
        <w:rPr>
          <w:sz w:val="24"/>
        </w:rPr>
        <w:t>The Commission has approved TANGEDCO’s request and modified ‘training and rehabilitation centres’ to ‘rehabilitati</w:t>
      </w:r>
      <w:r>
        <w:rPr>
          <w:sz w:val="24"/>
        </w:rPr>
        <w:t>on and training centres’, as this is in line with the intent of the</w:t>
      </w:r>
      <w:r>
        <w:rPr>
          <w:spacing w:val="-2"/>
          <w:sz w:val="24"/>
        </w:rPr>
        <w:t xml:space="preserve"> </w:t>
      </w:r>
      <w:r>
        <w:rPr>
          <w:sz w:val="24"/>
        </w:rPr>
        <w:t>classification.</w:t>
      </w:r>
    </w:p>
    <w:p w:rsidR="007C5447" w:rsidRDefault="007C5447">
      <w:pPr>
        <w:pStyle w:val="BodyText"/>
        <w:spacing w:before="9"/>
        <w:rPr>
          <w:sz w:val="20"/>
        </w:rPr>
      </w:pPr>
    </w:p>
    <w:p w:rsidR="007C5447" w:rsidRDefault="00F6308C">
      <w:pPr>
        <w:pStyle w:val="Heading2"/>
        <w:numPr>
          <w:ilvl w:val="0"/>
          <w:numId w:val="46"/>
        </w:numPr>
        <w:tabs>
          <w:tab w:val="left" w:pos="2313"/>
        </w:tabs>
        <w:ind w:hanging="361"/>
      </w:pPr>
      <w:r>
        <w:t>Classification of Free Blood</w:t>
      </w:r>
      <w:r>
        <w:rPr>
          <w:spacing w:val="1"/>
        </w:rPr>
        <w:t xml:space="preserve"> </w:t>
      </w:r>
      <w:r>
        <w:t>Banks</w:t>
      </w:r>
    </w:p>
    <w:p w:rsidR="007C5447" w:rsidRDefault="007C5447">
      <w:pPr>
        <w:pStyle w:val="BodyText"/>
        <w:spacing w:before="2"/>
        <w:rPr>
          <w:b/>
          <w:sz w:val="28"/>
        </w:rPr>
      </w:pPr>
    </w:p>
    <w:p w:rsidR="007C5447" w:rsidRDefault="00F6308C">
      <w:pPr>
        <w:pStyle w:val="ListParagraph"/>
        <w:numPr>
          <w:ilvl w:val="3"/>
          <w:numId w:val="45"/>
        </w:numPr>
        <w:tabs>
          <w:tab w:val="left" w:pos="2066"/>
        </w:tabs>
        <w:spacing w:line="312" w:lineRule="auto"/>
        <w:ind w:right="1183"/>
        <w:jc w:val="both"/>
        <w:rPr>
          <w:sz w:val="24"/>
        </w:rPr>
      </w:pPr>
      <w:r>
        <w:rPr>
          <w:sz w:val="24"/>
        </w:rPr>
        <w:t>TANGEDCO submitted that blood banks providing service free of cost may also be classified under LT Tariff II-(B)</w:t>
      </w:r>
      <w:r>
        <w:rPr>
          <w:spacing w:val="3"/>
          <w:sz w:val="24"/>
        </w:rPr>
        <w:t xml:space="preserve"> </w:t>
      </w:r>
      <w:r>
        <w:rPr>
          <w:sz w:val="24"/>
        </w:rPr>
        <w:t>I.</w:t>
      </w:r>
    </w:p>
    <w:p w:rsidR="007C5447" w:rsidRDefault="007C5447">
      <w:pPr>
        <w:pStyle w:val="BodyText"/>
        <w:spacing w:before="11"/>
        <w:rPr>
          <w:sz w:val="20"/>
        </w:rPr>
      </w:pPr>
    </w:p>
    <w:p w:rsidR="007C5447" w:rsidRDefault="00F6308C">
      <w:pPr>
        <w:pStyle w:val="Heading2"/>
        <w:ind w:left="1952"/>
      </w:pPr>
      <w:r>
        <w:t>Commission’s Views</w:t>
      </w:r>
    </w:p>
    <w:p w:rsidR="007C5447" w:rsidRDefault="007C5447">
      <w:pPr>
        <w:pStyle w:val="BodyText"/>
        <w:rPr>
          <w:b/>
          <w:sz w:val="28"/>
        </w:rPr>
      </w:pPr>
    </w:p>
    <w:p w:rsidR="007C5447" w:rsidRDefault="00F6308C">
      <w:pPr>
        <w:pStyle w:val="ListParagraph"/>
        <w:numPr>
          <w:ilvl w:val="3"/>
          <w:numId w:val="45"/>
        </w:numPr>
        <w:tabs>
          <w:tab w:val="left" w:pos="2066"/>
        </w:tabs>
        <w:spacing w:line="312" w:lineRule="auto"/>
        <w:ind w:right="1182"/>
        <w:jc w:val="both"/>
        <w:rPr>
          <w:sz w:val="24"/>
        </w:rPr>
      </w:pPr>
      <w:r>
        <w:rPr>
          <w:sz w:val="24"/>
        </w:rPr>
        <w:t>The Commission has approved TANGEDCO’s proposal to classify blood banks providing service free of cost under LT Tariff II-(B)</w:t>
      </w:r>
      <w:r>
        <w:rPr>
          <w:spacing w:val="-3"/>
          <w:sz w:val="24"/>
        </w:rPr>
        <w:t xml:space="preserve"> </w:t>
      </w:r>
      <w:r>
        <w:rPr>
          <w:sz w:val="24"/>
        </w:rPr>
        <w:t>I.</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F6308C">
      <w:pPr>
        <w:pStyle w:val="Heading2"/>
        <w:numPr>
          <w:ilvl w:val="4"/>
          <w:numId w:val="45"/>
        </w:numPr>
        <w:tabs>
          <w:tab w:val="left" w:pos="2313"/>
        </w:tabs>
        <w:spacing w:before="60"/>
        <w:ind w:hanging="361"/>
        <w:jc w:val="both"/>
      </w:pPr>
      <w:r>
        <w:lastRenderedPageBreak/>
        <w:t>Load Limit for LT Tariff III-A</w:t>
      </w:r>
      <w:r>
        <w:rPr>
          <w:spacing w:val="-1"/>
        </w:rPr>
        <w:t xml:space="preserve"> </w:t>
      </w:r>
      <w:r>
        <w:t>categories</w:t>
      </w:r>
    </w:p>
    <w:p w:rsidR="007C5447" w:rsidRDefault="007C5447">
      <w:pPr>
        <w:pStyle w:val="BodyText"/>
        <w:rPr>
          <w:b/>
          <w:sz w:val="28"/>
        </w:rPr>
      </w:pPr>
    </w:p>
    <w:p w:rsidR="007C5447" w:rsidRDefault="00F6308C">
      <w:pPr>
        <w:pStyle w:val="ListParagraph"/>
        <w:numPr>
          <w:ilvl w:val="3"/>
          <w:numId w:val="45"/>
        </w:numPr>
        <w:tabs>
          <w:tab w:val="left" w:pos="2066"/>
        </w:tabs>
        <w:spacing w:line="312" w:lineRule="auto"/>
        <w:ind w:right="1176"/>
        <w:jc w:val="both"/>
        <w:rPr>
          <w:sz w:val="24"/>
        </w:rPr>
      </w:pPr>
      <w:r>
        <w:rPr>
          <w:sz w:val="24"/>
        </w:rPr>
        <w:t>TANGEDCO submitted that the present SMT Order specifies that the c</w:t>
      </w:r>
      <w:r>
        <w:rPr>
          <w:sz w:val="24"/>
        </w:rPr>
        <w:t>onnected load</w:t>
      </w:r>
      <w:r>
        <w:rPr>
          <w:spacing w:val="10"/>
          <w:sz w:val="24"/>
        </w:rPr>
        <w:t xml:space="preserve"> </w:t>
      </w:r>
      <w:r>
        <w:rPr>
          <w:sz w:val="24"/>
        </w:rPr>
        <w:t>for</w:t>
      </w:r>
      <w:r>
        <w:rPr>
          <w:spacing w:val="10"/>
          <w:sz w:val="24"/>
        </w:rPr>
        <w:t xml:space="preserve"> </w:t>
      </w:r>
      <w:r>
        <w:rPr>
          <w:sz w:val="24"/>
        </w:rPr>
        <w:t>supply</w:t>
      </w:r>
      <w:r>
        <w:rPr>
          <w:spacing w:val="5"/>
          <w:sz w:val="24"/>
        </w:rPr>
        <w:t xml:space="preserve"> </w:t>
      </w:r>
      <w:r>
        <w:rPr>
          <w:sz w:val="24"/>
        </w:rPr>
        <w:t>of</w:t>
      </w:r>
      <w:r>
        <w:rPr>
          <w:spacing w:val="11"/>
          <w:sz w:val="24"/>
        </w:rPr>
        <w:t xml:space="preserve"> </w:t>
      </w:r>
      <w:r>
        <w:rPr>
          <w:sz w:val="24"/>
        </w:rPr>
        <w:t>electricity</w:t>
      </w:r>
      <w:r>
        <w:rPr>
          <w:spacing w:val="5"/>
          <w:sz w:val="24"/>
        </w:rPr>
        <w:t xml:space="preserve"> </w:t>
      </w:r>
      <w:r>
        <w:rPr>
          <w:sz w:val="24"/>
        </w:rPr>
        <w:t>shall</w:t>
      </w:r>
      <w:r>
        <w:rPr>
          <w:spacing w:val="12"/>
          <w:sz w:val="24"/>
        </w:rPr>
        <w:t xml:space="preserve"> </w:t>
      </w:r>
      <w:r>
        <w:rPr>
          <w:sz w:val="24"/>
        </w:rPr>
        <w:t>not</w:t>
      </w:r>
      <w:r>
        <w:rPr>
          <w:spacing w:val="11"/>
          <w:sz w:val="24"/>
        </w:rPr>
        <w:t xml:space="preserve"> </w:t>
      </w:r>
      <w:r>
        <w:rPr>
          <w:sz w:val="24"/>
        </w:rPr>
        <w:t>exceed</w:t>
      </w:r>
      <w:r>
        <w:rPr>
          <w:spacing w:val="11"/>
          <w:sz w:val="24"/>
        </w:rPr>
        <w:t xml:space="preserve"> </w:t>
      </w:r>
      <w:r>
        <w:rPr>
          <w:sz w:val="24"/>
        </w:rPr>
        <w:t>10</w:t>
      </w:r>
      <w:r>
        <w:rPr>
          <w:spacing w:val="10"/>
          <w:sz w:val="24"/>
        </w:rPr>
        <w:t xml:space="preserve"> </w:t>
      </w:r>
      <w:r>
        <w:rPr>
          <w:sz w:val="24"/>
        </w:rPr>
        <w:t>HP</w:t>
      </w:r>
      <w:r>
        <w:rPr>
          <w:spacing w:val="12"/>
          <w:sz w:val="24"/>
        </w:rPr>
        <w:t xml:space="preserve"> </w:t>
      </w:r>
      <w:r>
        <w:rPr>
          <w:sz w:val="24"/>
        </w:rPr>
        <w:t>in</w:t>
      </w:r>
      <w:r>
        <w:rPr>
          <w:spacing w:val="11"/>
          <w:sz w:val="24"/>
        </w:rPr>
        <w:t xml:space="preserve"> </w:t>
      </w:r>
      <w:r>
        <w:rPr>
          <w:sz w:val="24"/>
        </w:rPr>
        <w:t>respect</w:t>
      </w:r>
      <w:r>
        <w:rPr>
          <w:spacing w:val="12"/>
          <w:sz w:val="24"/>
        </w:rPr>
        <w:t xml:space="preserve"> </w:t>
      </w:r>
      <w:r>
        <w:rPr>
          <w:sz w:val="24"/>
        </w:rPr>
        <w:t>of</w:t>
      </w:r>
      <w:r>
        <w:rPr>
          <w:spacing w:val="12"/>
          <w:sz w:val="24"/>
        </w:rPr>
        <w:t xml:space="preserve"> </w:t>
      </w:r>
      <w:r>
        <w:rPr>
          <w:sz w:val="24"/>
        </w:rPr>
        <w:t>LT</w:t>
      </w:r>
      <w:r>
        <w:rPr>
          <w:spacing w:val="11"/>
          <w:sz w:val="24"/>
        </w:rPr>
        <w:t xml:space="preserve"> </w:t>
      </w:r>
      <w:r>
        <w:rPr>
          <w:sz w:val="24"/>
        </w:rPr>
        <w:t>Tariff</w:t>
      </w:r>
      <w:r>
        <w:rPr>
          <w:spacing w:val="11"/>
          <w:sz w:val="24"/>
        </w:rPr>
        <w:t xml:space="preserve"> </w:t>
      </w:r>
      <w:r>
        <w:rPr>
          <w:sz w:val="24"/>
        </w:rPr>
        <w:t>III</w:t>
      </w:r>
      <w:r>
        <w:rPr>
          <w:spacing w:val="15"/>
          <w:sz w:val="24"/>
        </w:rPr>
        <w:t xml:space="preserve"> </w:t>
      </w:r>
      <w:r>
        <w:rPr>
          <w:sz w:val="24"/>
        </w:rPr>
        <w:t>–A</w:t>
      </w:r>
    </w:p>
    <w:p w:rsidR="007C5447" w:rsidRDefault="00F6308C">
      <w:pPr>
        <w:pStyle w:val="ListParagraph"/>
        <w:numPr>
          <w:ilvl w:val="0"/>
          <w:numId w:val="44"/>
        </w:numPr>
        <w:tabs>
          <w:tab w:val="left" w:pos="2421"/>
        </w:tabs>
        <w:spacing w:before="1" w:line="312" w:lineRule="auto"/>
        <w:ind w:right="1175" w:firstLine="0"/>
        <w:jc w:val="both"/>
        <w:rPr>
          <w:sz w:val="24"/>
        </w:rPr>
      </w:pPr>
      <w:r>
        <w:rPr>
          <w:sz w:val="24"/>
        </w:rPr>
        <w:t>and LT Tariff III – A (2). Consequent to introduction of static meter with MD recording facilities, it measures accurate measurements including electrical loss of</w:t>
      </w:r>
      <w:r>
        <w:rPr>
          <w:sz w:val="24"/>
        </w:rPr>
        <w:t xml:space="preserve"> motor. The consumers under this category are representing to enhance the load limit of 10 HP. Considering lower efficiency motors that are used for power loom, TANGEDCO requested the Commission to modify the connected load for these categories to 10 kW in</w:t>
      </w:r>
      <w:r>
        <w:rPr>
          <w:sz w:val="24"/>
        </w:rPr>
        <w:t>stead of 10 HP.</w:t>
      </w:r>
    </w:p>
    <w:p w:rsidR="007C5447" w:rsidRDefault="007C5447">
      <w:pPr>
        <w:pStyle w:val="BodyText"/>
        <w:spacing w:before="10"/>
        <w:rPr>
          <w:sz w:val="20"/>
        </w:rPr>
      </w:pPr>
    </w:p>
    <w:p w:rsidR="007C5447" w:rsidRDefault="00F6308C">
      <w:pPr>
        <w:pStyle w:val="Heading2"/>
        <w:ind w:left="1952"/>
      </w:pPr>
      <w:r>
        <w:t>Commission’s Views</w:t>
      </w:r>
    </w:p>
    <w:p w:rsidR="007C5447" w:rsidRDefault="007C5447">
      <w:pPr>
        <w:pStyle w:val="BodyText"/>
        <w:spacing w:before="2"/>
        <w:rPr>
          <w:b/>
          <w:sz w:val="28"/>
        </w:rPr>
      </w:pPr>
    </w:p>
    <w:p w:rsidR="007C5447" w:rsidRDefault="00F6308C">
      <w:pPr>
        <w:pStyle w:val="ListParagraph"/>
        <w:numPr>
          <w:ilvl w:val="3"/>
          <w:numId w:val="45"/>
        </w:numPr>
        <w:tabs>
          <w:tab w:val="left" w:pos="2066"/>
        </w:tabs>
        <w:spacing w:line="312" w:lineRule="auto"/>
        <w:ind w:right="1175"/>
        <w:jc w:val="both"/>
        <w:rPr>
          <w:sz w:val="24"/>
        </w:rPr>
      </w:pPr>
      <w:r>
        <w:rPr>
          <w:sz w:val="24"/>
        </w:rPr>
        <w:t>The Commission finds merit in TANGEDCO’s proposal. However, the Commission is of the view that even 10 KW may be insufficient, and has hence, modified the contracted load in respect of LT Tariff III –A (1) and LT Tariff</w:t>
      </w:r>
      <w:r>
        <w:rPr>
          <w:sz w:val="24"/>
        </w:rPr>
        <w:t xml:space="preserve"> III –</w:t>
      </w:r>
      <w:r>
        <w:rPr>
          <w:spacing w:val="-11"/>
          <w:sz w:val="24"/>
        </w:rPr>
        <w:t xml:space="preserve"> </w:t>
      </w:r>
      <w:r>
        <w:rPr>
          <w:sz w:val="24"/>
        </w:rPr>
        <w:t>A</w:t>
      </w:r>
    </w:p>
    <w:p w:rsidR="007C5447" w:rsidRDefault="00F6308C">
      <w:pPr>
        <w:pStyle w:val="ListParagraph"/>
        <w:numPr>
          <w:ilvl w:val="0"/>
          <w:numId w:val="44"/>
        </w:numPr>
        <w:tabs>
          <w:tab w:val="left" w:pos="2404"/>
        </w:tabs>
        <w:spacing w:line="275" w:lineRule="exact"/>
        <w:ind w:left="2403" w:hanging="339"/>
        <w:jc w:val="both"/>
        <w:rPr>
          <w:sz w:val="24"/>
        </w:rPr>
      </w:pPr>
      <w:r>
        <w:rPr>
          <w:sz w:val="24"/>
        </w:rPr>
        <w:t>to 12 kW instead of 10 HP.</w:t>
      </w:r>
    </w:p>
    <w:p w:rsidR="007C5447" w:rsidRDefault="007C5447">
      <w:pPr>
        <w:pStyle w:val="BodyText"/>
        <w:spacing w:before="2"/>
        <w:rPr>
          <w:sz w:val="28"/>
        </w:rPr>
      </w:pPr>
    </w:p>
    <w:p w:rsidR="007C5447" w:rsidRDefault="00F6308C">
      <w:pPr>
        <w:pStyle w:val="Heading2"/>
        <w:numPr>
          <w:ilvl w:val="0"/>
          <w:numId w:val="43"/>
        </w:numPr>
        <w:tabs>
          <w:tab w:val="left" w:pos="2313"/>
        </w:tabs>
        <w:ind w:hanging="361"/>
        <w:jc w:val="both"/>
      </w:pPr>
      <w:r>
        <w:t>Collection of Line Extension Cost from LT III A (1)</w:t>
      </w:r>
      <w:r>
        <w:rPr>
          <w:spacing w:val="-8"/>
        </w:rPr>
        <w:t xml:space="preserve"> </w:t>
      </w:r>
      <w:r>
        <w:t>category</w:t>
      </w:r>
    </w:p>
    <w:p w:rsidR="007C5447" w:rsidRDefault="007C5447">
      <w:pPr>
        <w:pStyle w:val="BodyText"/>
        <w:rPr>
          <w:b/>
          <w:sz w:val="28"/>
        </w:rPr>
      </w:pPr>
    </w:p>
    <w:p w:rsidR="007C5447" w:rsidRDefault="00F6308C">
      <w:pPr>
        <w:pStyle w:val="ListParagraph"/>
        <w:numPr>
          <w:ilvl w:val="3"/>
          <w:numId w:val="45"/>
        </w:numPr>
        <w:tabs>
          <w:tab w:val="left" w:pos="2066"/>
        </w:tabs>
        <w:spacing w:line="312" w:lineRule="auto"/>
        <w:ind w:right="1174"/>
        <w:jc w:val="both"/>
        <w:rPr>
          <w:sz w:val="24"/>
        </w:rPr>
      </w:pPr>
      <w:r>
        <w:rPr>
          <w:sz w:val="24"/>
        </w:rPr>
        <w:t xml:space="preserve">TANGEDCO submitted that the present SMT Order permits to extend </w:t>
      </w:r>
      <w:r>
        <w:rPr>
          <w:spacing w:val="-3"/>
          <w:sz w:val="24"/>
        </w:rPr>
        <w:t xml:space="preserve">LT </w:t>
      </w:r>
      <w:r>
        <w:rPr>
          <w:sz w:val="24"/>
        </w:rPr>
        <w:t>services under Tariff III-A (1) to agriculture and agriculture allied activities till they reach their seniority under LT Tariff IV for agriculture. While effecting service connection under LT Tariff III –A (1), the line extension cost is being borne by th</w:t>
      </w:r>
      <w:r>
        <w:rPr>
          <w:sz w:val="24"/>
        </w:rPr>
        <w:t xml:space="preserve">e Licensee. In respect of agricultural service under SFS scheme, the necessary estimate cost for extension should be borne by the consumer. The consumer who have availed service connection under LT Tariff III – A (1) and reached the seniority in LT Tariff </w:t>
      </w:r>
      <w:r>
        <w:rPr>
          <w:sz w:val="24"/>
        </w:rPr>
        <w:t xml:space="preserve">IV under SFS scheme will not bear the line extension cost, since cost is already incurred by the Licensee whereas, the consumer directly availing service under LT Tariff IV for agriculture under SFS scheme has to incur such cost. Hence, TANGEDCO requested </w:t>
      </w:r>
      <w:r>
        <w:rPr>
          <w:sz w:val="24"/>
        </w:rPr>
        <w:t xml:space="preserve">the Commission for permission to  collect such cost from the applicant under SFS category before effecting supply under LT Tariff III A (1) and also include such clause in </w:t>
      </w:r>
      <w:r>
        <w:rPr>
          <w:spacing w:val="-3"/>
          <w:sz w:val="24"/>
        </w:rPr>
        <w:t xml:space="preserve">LT </w:t>
      </w:r>
      <w:r>
        <w:rPr>
          <w:sz w:val="24"/>
        </w:rPr>
        <w:t>Tariff III B category also.</w:t>
      </w:r>
    </w:p>
    <w:p w:rsidR="007C5447" w:rsidRDefault="007C5447">
      <w:pPr>
        <w:pStyle w:val="BodyText"/>
        <w:rPr>
          <w:sz w:val="21"/>
        </w:rPr>
      </w:pPr>
    </w:p>
    <w:p w:rsidR="007C5447" w:rsidRDefault="00F6308C">
      <w:pPr>
        <w:pStyle w:val="Heading2"/>
        <w:ind w:left="1952"/>
      </w:pPr>
      <w:r>
        <w:t>Commission’s Views</w:t>
      </w:r>
    </w:p>
    <w:p w:rsidR="007C5447" w:rsidRDefault="007C5447">
      <w:pPr>
        <w:pStyle w:val="BodyText"/>
        <w:spacing w:before="2"/>
        <w:rPr>
          <w:b/>
          <w:sz w:val="28"/>
        </w:rPr>
      </w:pPr>
    </w:p>
    <w:p w:rsidR="007C5447" w:rsidRDefault="00F6308C">
      <w:pPr>
        <w:pStyle w:val="ListParagraph"/>
        <w:numPr>
          <w:ilvl w:val="3"/>
          <w:numId w:val="45"/>
        </w:numPr>
        <w:tabs>
          <w:tab w:val="left" w:pos="2066"/>
        </w:tabs>
        <w:spacing w:line="312" w:lineRule="auto"/>
        <w:ind w:right="1179"/>
        <w:jc w:val="both"/>
        <w:rPr>
          <w:sz w:val="24"/>
        </w:rPr>
      </w:pPr>
      <w:r>
        <w:rPr>
          <w:sz w:val="24"/>
        </w:rPr>
        <w:t>The Commission clarifies that an</w:t>
      </w:r>
      <w:r>
        <w:rPr>
          <w:sz w:val="24"/>
        </w:rPr>
        <w:t>y Applicant seeking agricultural service connection has to necessarily apply under LT IV Agriculture category. In case he wants</w:t>
      </w:r>
      <w:r>
        <w:rPr>
          <w:spacing w:val="35"/>
          <w:sz w:val="24"/>
        </w:rPr>
        <w:t xml:space="preserve"> </w:t>
      </w:r>
      <w:r>
        <w:rPr>
          <w:sz w:val="24"/>
        </w:rPr>
        <w:t>supply</w:t>
      </w:r>
      <w:r>
        <w:rPr>
          <w:spacing w:val="30"/>
          <w:sz w:val="24"/>
        </w:rPr>
        <w:t xml:space="preserve"> </w:t>
      </w:r>
      <w:r>
        <w:rPr>
          <w:sz w:val="24"/>
        </w:rPr>
        <w:t>on</w:t>
      </w:r>
      <w:r>
        <w:rPr>
          <w:spacing w:val="37"/>
          <w:sz w:val="24"/>
        </w:rPr>
        <w:t xml:space="preserve"> </w:t>
      </w:r>
      <w:r>
        <w:rPr>
          <w:sz w:val="24"/>
        </w:rPr>
        <w:t>priority,</w:t>
      </w:r>
      <w:r>
        <w:rPr>
          <w:spacing w:val="35"/>
          <w:sz w:val="24"/>
        </w:rPr>
        <w:t xml:space="preserve"> </w:t>
      </w:r>
      <w:r>
        <w:rPr>
          <w:sz w:val="24"/>
        </w:rPr>
        <w:t>there</w:t>
      </w:r>
      <w:r>
        <w:rPr>
          <w:spacing w:val="34"/>
          <w:sz w:val="24"/>
        </w:rPr>
        <w:t xml:space="preserve"> </w:t>
      </w:r>
      <w:r>
        <w:rPr>
          <w:sz w:val="24"/>
        </w:rPr>
        <w:t>would</w:t>
      </w:r>
      <w:r>
        <w:rPr>
          <w:spacing w:val="34"/>
          <w:sz w:val="24"/>
        </w:rPr>
        <w:t xml:space="preserve"> </w:t>
      </w:r>
      <w:r>
        <w:rPr>
          <w:sz w:val="24"/>
        </w:rPr>
        <w:t>be</w:t>
      </w:r>
      <w:r>
        <w:rPr>
          <w:spacing w:val="34"/>
          <w:sz w:val="24"/>
        </w:rPr>
        <w:t xml:space="preserve"> </w:t>
      </w:r>
      <w:r>
        <w:rPr>
          <w:sz w:val="24"/>
        </w:rPr>
        <w:t>2</w:t>
      </w:r>
      <w:r>
        <w:rPr>
          <w:spacing w:val="35"/>
          <w:sz w:val="24"/>
        </w:rPr>
        <w:t xml:space="preserve"> </w:t>
      </w:r>
      <w:r>
        <w:rPr>
          <w:sz w:val="24"/>
        </w:rPr>
        <w:t>Options</w:t>
      </w:r>
      <w:r>
        <w:rPr>
          <w:spacing w:val="36"/>
          <w:sz w:val="24"/>
        </w:rPr>
        <w:t xml:space="preserve"> </w:t>
      </w:r>
      <w:r>
        <w:rPr>
          <w:sz w:val="24"/>
        </w:rPr>
        <w:t>available</w:t>
      </w:r>
      <w:r>
        <w:rPr>
          <w:spacing w:val="35"/>
          <w:sz w:val="24"/>
        </w:rPr>
        <w:t xml:space="preserve"> </w:t>
      </w:r>
      <w:r>
        <w:rPr>
          <w:sz w:val="24"/>
        </w:rPr>
        <w:t>to</w:t>
      </w:r>
      <w:r>
        <w:rPr>
          <w:spacing w:val="36"/>
          <w:sz w:val="24"/>
        </w:rPr>
        <w:t xml:space="preserve"> </w:t>
      </w:r>
      <w:r>
        <w:rPr>
          <w:sz w:val="24"/>
        </w:rPr>
        <w:t>such</w:t>
      </w:r>
      <w:r>
        <w:rPr>
          <w:spacing w:val="36"/>
          <w:sz w:val="24"/>
        </w:rPr>
        <w:t xml:space="preserve"> </w:t>
      </w:r>
      <w:r>
        <w:rPr>
          <w:sz w:val="24"/>
        </w:rPr>
        <w:t>Applicant,</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F6308C">
      <w:pPr>
        <w:pStyle w:val="BodyText"/>
        <w:spacing w:before="60"/>
        <w:ind w:left="2065"/>
      </w:pPr>
      <w:r>
        <w:lastRenderedPageBreak/>
        <w:t>viz., choose either:</w:t>
      </w:r>
    </w:p>
    <w:p w:rsidR="007C5447" w:rsidRDefault="007C5447">
      <w:pPr>
        <w:pStyle w:val="BodyText"/>
        <w:rPr>
          <w:sz w:val="28"/>
        </w:rPr>
      </w:pPr>
    </w:p>
    <w:p w:rsidR="007C5447" w:rsidRDefault="00F6308C">
      <w:pPr>
        <w:pStyle w:val="ListParagraph"/>
        <w:numPr>
          <w:ilvl w:val="0"/>
          <w:numId w:val="42"/>
        </w:numPr>
        <w:tabs>
          <w:tab w:val="left" w:pos="2600"/>
          <w:tab w:val="left" w:pos="2601"/>
        </w:tabs>
        <w:spacing w:line="312" w:lineRule="auto"/>
        <w:ind w:right="1186" w:hanging="360"/>
        <w:rPr>
          <w:sz w:val="24"/>
        </w:rPr>
      </w:pPr>
      <w:r>
        <w:tab/>
      </w:r>
      <w:r>
        <w:rPr>
          <w:sz w:val="24"/>
        </w:rPr>
        <w:t>To pay the li</w:t>
      </w:r>
      <w:r>
        <w:rPr>
          <w:sz w:val="24"/>
        </w:rPr>
        <w:t>ne extension cost under SFS and avail free supply for applicable agricultural connection,</w:t>
      </w:r>
      <w:r>
        <w:rPr>
          <w:spacing w:val="1"/>
          <w:sz w:val="24"/>
        </w:rPr>
        <w:t xml:space="preserve"> </w:t>
      </w:r>
      <w:r>
        <w:rPr>
          <w:sz w:val="24"/>
        </w:rPr>
        <w:t>or</w:t>
      </w:r>
    </w:p>
    <w:p w:rsidR="007C5447" w:rsidRDefault="007C5447">
      <w:pPr>
        <w:pStyle w:val="BodyText"/>
        <w:spacing w:before="10"/>
        <w:rPr>
          <w:sz w:val="20"/>
        </w:rPr>
      </w:pPr>
    </w:p>
    <w:p w:rsidR="007C5447" w:rsidRDefault="00F6308C">
      <w:pPr>
        <w:pStyle w:val="ListParagraph"/>
        <w:numPr>
          <w:ilvl w:val="0"/>
          <w:numId w:val="42"/>
        </w:numPr>
        <w:tabs>
          <w:tab w:val="left" w:pos="2541"/>
        </w:tabs>
        <w:spacing w:before="1" w:line="312" w:lineRule="auto"/>
        <w:ind w:right="1183" w:hanging="360"/>
        <w:rPr>
          <w:sz w:val="24"/>
        </w:rPr>
      </w:pPr>
      <w:r>
        <w:rPr>
          <w:sz w:val="24"/>
        </w:rPr>
        <w:t>Service connection under LT III A (1) and pay electricity charges till such time his seniority under normal circumstances is</w:t>
      </w:r>
      <w:r>
        <w:rPr>
          <w:spacing w:val="-9"/>
          <w:sz w:val="24"/>
        </w:rPr>
        <w:t xml:space="preserve"> </w:t>
      </w:r>
      <w:r>
        <w:rPr>
          <w:sz w:val="24"/>
        </w:rPr>
        <w:t>reached.</w:t>
      </w:r>
    </w:p>
    <w:p w:rsidR="007C5447" w:rsidRDefault="007C5447">
      <w:pPr>
        <w:pStyle w:val="BodyText"/>
        <w:spacing w:before="9"/>
        <w:rPr>
          <w:sz w:val="20"/>
        </w:rPr>
      </w:pPr>
    </w:p>
    <w:p w:rsidR="007C5447" w:rsidRDefault="00F6308C">
      <w:pPr>
        <w:pStyle w:val="ListParagraph"/>
        <w:numPr>
          <w:ilvl w:val="3"/>
          <w:numId w:val="45"/>
        </w:numPr>
        <w:tabs>
          <w:tab w:val="left" w:pos="2066"/>
        </w:tabs>
        <w:spacing w:before="1" w:line="312" w:lineRule="auto"/>
        <w:ind w:right="1177"/>
        <w:jc w:val="both"/>
        <w:rPr>
          <w:sz w:val="24"/>
        </w:rPr>
      </w:pPr>
      <w:r>
        <w:rPr>
          <w:sz w:val="24"/>
        </w:rPr>
        <w:t xml:space="preserve">The above 2 Options are mutually exclusive. Further, henceforth, only Applicants who have applied under </w:t>
      </w:r>
      <w:r>
        <w:rPr>
          <w:spacing w:val="-3"/>
          <w:sz w:val="24"/>
        </w:rPr>
        <w:t xml:space="preserve">LT </w:t>
      </w:r>
      <w:r>
        <w:rPr>
          <w:sz w:val="24"/>
        </w:rPr>
        <w:t>IV will be eli</w:t>
      </w:r>
      <w:r>
        <w:rPr>
          <w:sz w:val="24"/>
        </w:rPr>
        <w:t xml:space="preserve">gible for seniority under </w:t>
      </w:r>
      <w:r>
        <w:rPr>
          <w:spacing w:val="-3"/>
          <w:sz w:val="24"/>
        </w:rPr>
        <w:t xml:space="preserve">LT </w:t>
      </w:r>
      <w:r>
        <w:rPr>
          <w:sz w:val="24"/>
        </w:rPr>
        <w:t>IIIA (1). However, because there was some ambiguity in the interpretation of this dispensation, TANGEDCO should give an opportunity to Applicants who have taken agricultural connection under LT IIIA (1) directly, by considering</w:t>
      </w:r>
      <w:r>
        <w:rPr>
          <w:sz w:val="24"/>
        </w:rPr>
        <w:t xml:space="preserve"> their seniority based on their Application by deeming to have received it under LT IV category.</w:t>
      </w:r>
    </w:p>
    <w:p w:rsidR="007C5447" w:rsidRDefault="007C5447">
      <w:pPr>
        <w:pStyle w:val="BodyText"/>
        <w:rPr>
          <w:sz w:val="21"/>
        </w:rPr>
      </w:pPr>
    </w:p>
    <w:p w:rsidR="007C5447" w:rsidRDefault="00F6308C">
      <w:pPr>
        <w:pStyle w:val="Heading2"/>
        <w:numPr>
          <w:ilvl w:val="0"/>
          <w:numId w:val="43"/>
        </w:numPr>
        <w:tabs>
          <w:tab w:val="left" w:pos="2313"/>
        </w:tabs>
        <w:ind w:hanging="361"/>
      </w:pPr>
      <w:r>
        <w:t>Extension of LT III B Tariff to LT III-A Tariff</w:t>
      </w:r>
      <w:r>
        <w:rPr>
          <w:spacing w:val="-6"/>
        </w:rPr>
        <w:t xml:space="preserve"> </w:t>
      </w:r>
      <w:r>
        <w:t>categories</w:t>
      </w:r>
    </w:p>
    <w:p w:rsidR="007C5447" w:rsidRDefault="007C5447">
      <w:pPr>
        <w:pStyle w:val="BodyText"/>
        <w:rPr>
          <w:b/>
          <w:sz w:val="28"/>
        </w:rPr>
      </w:pPr>
    </w:p>
    <w:p w:rsidR="007C5447" w:rsidRDefault="00F6308C">
      <w:pPr>
        <w:pStyle w:val="ListParagraph"/>
        <w:numPr>
          <w:ilvl w:val="3"/>
          <w:numId w:val="45"/>
        </w:numPr>
        <w:tabs>
          <w:tab w:val="left" w:pos="2066"/>
        </w:tabs>
        <w:spacing w:line="312" w:lineRule="auto"/>
        <w:ind w:right="1178"/>
        <w:jc w:val="both"/>
        <w:rPr>
          <w:sz w:val="24"/>
        </w:rPr>
      </w:pPr>
      <w:r>
        <w:rPr>
          <w:sz w:val="24"/>
        </w:rPr>
        <w:t xml:space="preserve">TANGEDCO submitted that the present SMT Order permits to extend </w:t>
      </w:r>
      <w:r>
        <w:rPr>
          <w:spacing w:val="-3"/>
          <w:sz w:val="24"/>
        </w:rPr>
        <w:t xml:space="preserve">LT </w:t>
      </w:r>
      <w:r>
        <w:rPr>
          <w:sz w:val="24"/>
        </w:rPr>
        <w:t xml:space="preserve">Tariff III B to all industries </w:t>
      </w:r>
      <w:r>
        <w:rPr>
          <w:sz w:val="24"/>
        </w:rPr>
        <w:t>covered under LT Tariff III A (1) and III A (2) if the connected load of such industries exceeds 10 HP. The agriculture and allied activities are also covered under LT Tariff III A (1). Since agriculture and allied activities are not considered as industri</w:t>
      </w:r>
      <w:r>
        <w:rPr>
          <w:sz w:val="24"/>
        </w:rPr>
        <w:t>es, field officials are finding it difficult to convert such services under LT Tariff III B when connected load exceeds 10 HP. Considering the difficulties in converting the service, TANGEDCO requested the Commission to modify this clause as ‘all services’</w:t>
      </w:r>
      <w:r>
        <w:rPr>
          <w:sz w:val="24"/>
        </w:rPr>
        <w:t xml:space="preserve"> instead of ‘all industries’ covered under LT Tariff III A (1) and III A (2) and if the connected load of such industries exceeds ‘10 kW’ instead of ‘10 HP’, as stated</w:t>
      </w:r>
      <w:r>
        <w:rPr>
          <w:spacing w:val="-3"/>
          <w:sz w:val="24"/>
        </w:rPr>
        <w:t xml:space="preserve"> </w:t>
      </w:r>
      <w:r>
        <w:rPr>
          <w:sz w:val="24"/>
        </w:rPr>
        <w:t>earlier.</w:t>
      </w:r>
    </w:p>
    <w:p w:rsidR="007C5447" w:rsidRDefault="007C5447">
      <w:pPr>
        <w:pStyle w:val="BodyText"/>
        <w:spacing w:before="10"/>
        <w:rPr>
          <w:sz w:val="20"/>
        </w:rPr>
      </w:pPr>
    </w:p>
    <w:p w:rsidR="007C5447" w:rsidRDefault="00F6308C">
      <w:pPr>
        <w:pStyle w:val="Heading2"/>
        <w:spacing w:before="1"/>
        <w:ind w:left="1952"/>
      </w:pPr>
      <w:r>
        <w:t>Commission’s View</w:t>
      </w:r>
    </w:p>
    <w:p w:rsidR="007C5447" w:rsidRDefault="007C5447">
      <w:pPr>
        <w:pStyle w:val="BodyText"/>
        <w:spacing w:before="1"/>
        <w:rPr>
          <w:b/>
          <w:sz w:val="28"/>
        </w:rPr>
      </w:pPr>
    </w:p>
    <w:p w:rsidR="007C5447" w:rsidRDefault="00F6308C">
      <w:pPr>
        <w:pStyle w:val="ListParagraph"/>
        <w:numPr>
          <w:ilvl w:val="3"/>
          <w:numId w:val="45"/>
        </w:numPr>
        <w:tabs>
          <w:tab w:val="left" w:pos="2066"/>
        </w:tabs>
        <w:spacing w:before="1" w:line="312" w:lineRule="auto"/>
        <w:ind w:right="1175"/>
        <w:jc w:val="both"/>
        <w:rPr>
          <w:sz w:val="24"/>
        </w:rPr>
      </w:pPr>
      <w:r>
        <w:rPr>
          <w:sz w:val="24"/>
        </w:rPr>
        <w:t xml:space="preserve">The Commission does not find any merit in TANGEDCO’s proposal to include agriculture and allied activities under </w:t>
      </w:r>
      <w:r>
        <w:rPr>
          <w:spacing w:val="-3"/>
          <w:sz w:val="24"/>
        </w:rPr>
        <w:t xml:space="preserve">LT </w:t>
      </w:r>
      <w:r>
        <w:rPr>
          <w:sz w:val="24"/>
        </w:rPr>
        <w:t>III B Industries, as agriculture and allied activities cannot be categorised under industrial</w:t>
      </w:r>
      <w:r>
        <w:rPr>
          <w:spacing w:val="-2"/>
          <w:sz w:val="24"/>
        </w:rPr>
        <w:t xml:space="preserve"> </w:t>
      </w:r>
      <w:r>
        <w:rPr>
          <w:sz w:val="24"/>
        </w:rPr>
        <w:t>category.</w:t>
      </w:r>
    </w:p>
    <w:p w:rsidR="007C5447" w:rsidRDefault="007C5447">
      <w:pPr>
        <w:pStyle w:val="BodyText"/>
        <w:spacing w:before="9"/>
        <w:rPr>
          <w:sz w:val="20"/>
        </w:rPr>
      </w:pPr>
    </w:p>
    <w:p w:rsidR="007C5447" w:rsidRDefault="00F6308C">
      <w:pPr>
        <w:pStyle w:val="ListParagraph"/>
        <w:numPr>
          <w:ilvl w:val="3"/>
          <w:numId w:val="45"/>
        </w:numPr>
        <w:tabs>
          <w:tab w:val="left" w:pos="2066"/>
        </w:tabs>
        <w:spacing w:line="312" w:lineRule="auto"/>
        <w:ind w:right="1179"/>
        <w:jc w:val="both"/>
        <w:rPr>
          <w:sz w:val="24"/>
        </w:rPr>
      </w:pPr>
      <w:r>
        <w:rPr>
          <w:sz w:val="24"/>
        </w:rPr>
        <w:t>Further, as stated earlier, the Com</w:t>
      </w:r>
      <w:r>
        <w:rPr>
          <w:sz w:val="24"/>
        </w:rPr>
        <w:t xml:space="preserve">mission has modified the contracted load in respect of LT Tariff III –A (1) and LT Tariff III – A (2) to 12 kW instead of 10 HP. Hence, all industries covered under LT III A (1) and LT III A (2) shall fall under LT III B category, if the connected load of </w:t>
      </w:r>
      <w:r>
        <w:rPr>
          <w:sz w:val="24"/>
        </w:rPr>
        <w:t>such industries exceeds 12</w:t>
      </w:r>
      <w:r>
        <w:rPr>
          <w:spacing w:val="-6"/>
          <w:sz w:val="24"/>
        </w:rPr>
        <w:t xml:space="preserve"> </w:t>
      </w:r>
      <w:r>
        <w:rPr>
          <w:sz w:val="24"/>
        </w:rPr>
        <w:t>kW.</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F6308C">
      <w:pPr>
        <w:pStyle w:val="Heading2"/>
        <w:numPr>
          <w:ilvl w:val="0"/>
          <w:numId w:val="43"/>
        </w:numPr>
        <w:tabs>
          <w:tab w:val="left" w:pos="2312"/>
          <w:tab w:val="left" w:pos="2313"/>
        </w:tabs>
        <w:spacing w:before="60"/>
        <w:ind w:hanging="361"/>
      </w:pPr>
      <w:r>
        <w:lastRenderedPageBreak/>
        <w:t>Certificate for Intending Industrial</w:t>
      </w:r>
      <w:r>
        <w:rPr>
          <w:spacing w:val="1"/>
        </w:rPr>
        <w:t xml:space="preserve"> </w:t>
      </w:r>
      <w:r>
        <w:t>Consumers</w:t>
      </w:r>
    </w:p>
    <w:p w:rsidR="007C5447" w:rsidRDefault="007C5447">
      <w:pPr>
        <w:pStyle w:val="BodyText"/>
        <w:rPr>
          <w:b/>
          <w:sz w:val="28"/>
        </w:rPr>
      </w:pPr>
    </w:p>
    <w:p w:rsidR="007C5447" w:rsidRDefault="00F6308C">
      <w:pPr>
        <w:pStyle w:val="ListParagraph"/>
        <w:numPr>
          <w:ilvl w:val="3"/>
          <w:numId w:val="45"/>
        </w:numPr>
        <w:tabs>
          <w:tab w:val="left" w:pos="2066"/>
        </w:tabs>
        <w:spacing w:line="312" w:lineRule="auto"/>
        <w:ind w:right="1182"/>
        <w:jc w:val="both"/>
        <w:rPr>
          <w:sz w:val="24"/>
        </w:rPr>
      </w:pPr>
      <w:r>
        <w:rPr>
          <w:sz w:val="24"/>
        </w:rPr>
        <w:t>TANGEDCO submitted that at present, no certificate is being issued to intending industrial consumers and only Udyog Aadhaar Memorandum is being issued. Hence, the tariff clause should be modified</w:t>
      </w:r>
      <w:r>
        <w:rPr>
          <w:spacing w:val="-3"/>
          <w:sz w:val="24"/>
        </w:rPr>
        <w:t xml:space="preserve"> </w:t>
      </w:r>
      <w:r>
        <w:rPr>
          <w:sz w:val="24"/>
        </w:rPr>
        <w:t>accordingly.</w:t>
      </w:r>
    </w:p>
    <w:p w:rsidR="007C5447" w:rsidRDefault="007C5447">
      <w:pPr>
        <w:pStyle w:val="BodyText"/>
        <w:rPr>
          <w:sz w:val="21"/>
        </w:rPr>
      </w:pPr>
    </w:p>
    <w:p w:rsidR="007C5447" w:rsidRDefault="00F6308C">
      <w:pPr>
        <w:pStyle w:val="Heading2"/>
        <w:ind w:left="1952"/>
      </w:pPr>
      <w:r>
        <w:t>Commission’s View</w:t>
      </w:r>
    </w:p>
    <w:p w:rsidR="007C5447" w:rsidRDefault="007C5447">
      <w:pPr>
        <w:pStyle w:val="BodyText"/>
        <w:rPr>
          <w:b/>
          <w:sz w:val="28"/>
        </w:rPr>
      </w:pPr>
    </w:p>
    <w:p w:rsidR="007C5447" w:rsidRDefault="00F6308C">
      <w:pPr>
        <w:pStyle w:val="ListParagraph"/>
        <w:numPr>
          <w:ilvl w:val="3"/>
          <w:numId w:val="45"/>
        </w:numPr>
        <w:tabs>
          <w:tab w:val="left" w:pos="2066"/>
        </w:tabs>
        <w:spacing w:line="312" w:lineRule="auto"/>
        <w:ind w:right="1177"/>
        <w:jc w:val="both"/>
        <w:rPr>
          <w:sz w:val="24"/>
        </w:rPr>
      </w:pPr>
      <w:r>
        <w:rPr>
          <w:sz w:val="24"/>
        </w:rPr>
        <w:t xml:space="preserve">The Commission finds merit </w:t>
      </w:r>
      <w:r>
        <w:rPr>
          <w:sz w:val="24"/>
        </w:rPr>
        <w:t>in TANGEDCO’s proposal, and has accordingly modified the clause to submission of Udyog Aadhaar Memorandum by intending industrial</w:t>
      </w:r>
      <w:r>
        <w:rPr>
          <w:spacing w:val="-1"/>
          <w:sz w:val="24"/>
        </w:rPr>
        <w:t xml:space="preserve"> </w:t>
      </w:r>
      <w:r>
        <w:rPr>
          <w:sz w:val="24"/>
        </w:rPr>
        <w:t>consumers.</w:t>
      </w:r>
    </w:p>
    <w:p w:rsidR="007C5447" w:rsidRDefault="007C5447">
      <w:pPr>
        <w:pStyle w:val="BodyText"/>
        <w:rPr>
          <w:sz w:val="21"/>
        </w:rPr>
      </w:pPr>
    </w:p>
    <w:p w:rsidR="007C5447" w:rsidRDefault="00F6308C">
      <w:pPr>
        <w:pStyle w:val="Heading2"/>
        <w:numPr>
          <w:ilvl w:val="0"/>
          <w:numId w:val="43"/>
        </w:numPr>
        <w:tabs>
          <w:tab w:val="left" w:pos="2313"/>
        </w:tabs>
        <w:spacing w:line="312" w:lineRule="auto"/>
        <w:ind w:right="1184"/>
      </w:pPr>
      <w:r>
        <w:t>Levy of 20% additional charge from LT services when their contracted load exceeds 65</w:t>
      </w:r>
      <w:r>
        <w:rPr>
          <w:spacing w:val="-1"/>
        </w:rPr>
        <w:t xml:space="preserve"> </w:t>
      </w:r>
      <w:r>
        <w:t>kW</w:t>
      </w:r>
    </w:p>
    <w:p w:rsidR="007C5447" w:rsidRDefault="007C5447">
      <w:pPr>
        <w:pStyle w:val="BodyText"/>
        <w:spacing w:before="10"/>
        <w:rPr>
          <w:b/>
          <w:sz w:val="20"/>
        </w:rPr>
      </w:pPr>
    </w:p>
    <w:p w:rsidR="007C5447" w:rsidRDefault="00F6308C">
      <w:pPr>
        <w:pStyle w:val="ListParagraph"/>
        <w:numPr>
          <w:ilvl w:val="3"/>
          <w:numId w:val="45"/>
        </w:numPr>
        <w:tabs>
          <w:tab w:val="left" w:pos="2066"/>
        </w:tabs>
        <w:spacing w:line="312" w:lineRule="auto"/>
        <w:ind w:right="1175"/>
        <w:jc w:val="both"/>
        <w:rPr>
          <w:sz w:val="24"/>
        </w:rPr>
      </w:pPr>
      <w:r>
        <w:rPr>
          <w:sz w:val="24"/>
        </w:rPr>
        <w:t>TANGEDCO submitted that t</w:t>
      </w:r>
      <w:r>
        <w:rPr>
          <w:sz w:val="24"/>
        </w:rPr>
        <w:t>he Regulations notified by the Commission restricts extension of more than one service connection in premises which are not physically segregated and to an establishment even though it is physically segregated. At present, to avoid getting HT connection, c</w:t>
      </w:r>
      <w:r>
        <w:rPr>
          <w:sz w:val="24"/>
        </w:rPr>
        <w:t>onsumers have availed more than one service connection with maximum load of 112 kW to an establishment in different ownership names. These service connections should be merged and switched over to HT category. At the same time, some consumers who are ready</w:t>
      </w:r>
      <w:r>
        <w:rPr>
          <w:sz w:val="24"/>
        </w:rPr>
        <w:t xml:space="preserve"> to avail HT service connection are not able to provide adequate infrastructure to extend HT service connection. The minimum load to avail HT service connection is 65 kVA while maximum load to avail LT service connection is 112 kW. To avoid monthly billing</w:t>
      </w:r>
      <w:r>
        <w:rPr>
          <w:sz w:val="24"/>
        </w:rPr>
        <w:t xml:space="preserve"> and payment of higher charges to TANGEDCO, consumers are not willing to avail HT service connection even though their demand exceeds 65 kW. This behaviour leads to revenue loss for TANGEDCO. Taking into consideration the above and to minimise technical an</w:t>
      </w:r>
      <w:r>
        <w:rPr>
          <w:sz w:val="24"/>
        </w:rPr>
        <w:t>d commercial losses, TANGEDCO requested the Commission to allow TANGEDCO to levy 20% additional charge from LT services when their contracted load exceeds 65 kW.</w:t>
      </w:r>
    </w:p>
    <w:p w:rsidR="007C5447" w:rsidRDefault="007C5447">
      <w:pPr>
        <w:pStyle w:val="BodyText"/>
        <w:rPr>
          <w:sz w:val="21"/>
        </w:rPr>
      </w:pPr>
    </w:p>
    <w:p w:rsidR="007C5447" w:rsidRDefault="00F6308C">
      <w:pPr>
        <w:pStyle w:val="Heading2"/>
        <w:ind w:left="1952"/>
      </w:pPr>
      <w:r>
        <w:t>Commission’s Views</w:t>
      </w:r>
    </w:p>
    <w:p w:rsidR="007C5447" w:rsidRDefault="007C5447">
      <w:pPr>
        <w:pStyle w:val="BodyText"/>
        <w:rPr>
          <w:b/>
          <w:sz w:val="28"/>
        </w:rPr>
      </w:pPr>
    </w:p>
    <w:p w:rsidR="007C5447" w:rsidRDefault="00F6308C">
      <w:pPr>
        <w:pStyle w:val="ListParagraph"/>
        <w:numPr>
          <w:ilvl w:val="3"/>
          <w:numId w:val="45"/>
        </w:numPr>
        <w:tabs>
          <w:tab w:val="left" w:pos="2066"/>
        </w:tabs>
        <w:spacing w:line="312" w:lineRule="auto"/>
        <w:ind w:right="1176"/>
        <w:jc w:val="both"/>
        <w:rPr>
          <w:sz w:val="24"/>
        </w:rPr>
      </w:pPr>
      <w:r>
        <w:rPr>
          <w:sz w:val="24"/>
        </w:rPr>
        <w:t>The Commission does not find merit in TANGEDCO’s proposal to levy additional charges of 20% for consumers availing LT supply for load above 65 kVA. As per the TNERC Supply Code, the minimum load for seeking HT Supply is 63 kVA, whereas the maximum load for</w:t>
      </w:r>
      <w:r>
        <w:rPr>
          <w:sz w:val="24"/>
        </w:rPr>
        <w:t xml:space="preserve"> getting LT supply is 112 kW. As </w:t>
      </w:r>
      <w:r>
        <w:rPr>
          <w:spacing w:val="-3"/>
          <w:sz w:val="24"/>
        </w:rPr>
        <w:t xml:space="preserve">LT </w:t>
      </w:r>
      <w:r>
        <w:rPr>
          <w:sz w:val="24"/>
        </w:rPr>
        <w:t>supply is permitted upto 112 kW, it is not fair to levy any additional charges on consumers having</w:t>
      </w:r>
      <w:r>
        <w:rPr>
          <w:spacing w:val="44"/>
          <w:sz w:val="24"/>
        </w:rPr>
        <w:t xml:space="preserve"> </w:t>
      </w:r>
      <w:r>
        <w:rPr>
          <w:sz w:val="24"/>
        </w:rPr>
        <w:t>load</w:t>
      </w:r>
      <w:r>
        <w:rPr>
          <w:spacing w:val="49"/>
          <w:sz w:val="24"/>
        </w:rPr>
        <w:t xml:space="preserve"> </w:t>
      </w:r>
      <w:r>
        <w:rPr>
          <w:sz w:val="24"/>
        </w:rPr>
        <w:t>above</w:t>
      </w:r>
      <w:r>
        <w:rPr>
          <w:spacing w:val="46"/>
          <w:sz w:val="24"/>
        </w:rPr>
        <w:t xml:space="preserve"> </w:t>
      </w:r>
      <w:r>
        <w:rPr>
          <w:sz w:val="24"/>
        </w:rPr>
        <w:t>65</w:t>
      </w:r>
      <w:r>
        <w:rPr>
          <w:spacing w:val="47"/>
          <w:sz w:val="24"/>
        </w:rPr>
        <w:t xml:space="preserve"> </w:t>
      </w:r>
      <w:r>
        <w:rPr>
          <w:sz w:val="24"/>
        </w:rPr>
        <w:t>kVA</w:t>
      </w:r>
      <w:r>
        <w:rPr>
          <w:spacing w:val="45"/>
          <w:sz w:val="24"/>
        </w:rPr>
        <w:t xml:space="preserve"> </w:t>
      </w:r>
      <w:r>
        <w:rPr>
          <w:sz w:val="24"/>
        </w:rPr>
        <w:t>and</w:t>
      </w:r>
      <w:r>
        <w:rPr>
          <w:spacing w:val="47"/>
          <w:sz w:val="24"/>
        </w:rPr>
        <w:t xml:space="preserve"> </w:t>
      </w:r>
      <w:r>
        <w:rPr>
          <w:sz w:val="24"/>
        </w:rPr>
        <w:t>taking</w:t>
      </w:r>
      <w:r>
        <w:rPr>
          <w:spacing w:val="47"/>
          <w:sz w:val="24"/>
        </w:rPr>
        <w:t xml:space="preserve"> </w:t>
      </w:r>
      <w:r>
        <w:rPr>
          <w:sz w:val="24"/>
        </w:rPr>
        <w:t>LT</w:t>
      </w:r>
      <w:r>
        <w:rPr>
          <w:spacing w:val="47"/>
          <w:sz w:val="24"/>
        </w:rPr>
        <w:t xml:space="preserve"> </w:t>
      </w:r>
      <w:r>
        <w:rPr>
          <w:sz w:val="24"/>
        </w:rPr>
        <w:t>supply,</w:t>
      </w:r>
      <w:r>
        <w:rPr>
          <w:spacing w:val="47"/>
          <w:sz w:val="24"/>
        </w:rPr>
        <w:t xml:space="preserve"> </w:t>
      </w:r>
      <w:r>
        <w:rPr>
          <w:sz w:val="24"/>
        </w:rPr>
        <w:t>as</w:t>
      </w:r>
      <w:r>
        <w:rPr>
          <w:spacing w:val="47"/>
          <w:sz w:val="24"/>
        </w:rPr>
        <w:t xml:space="preserve"> </w:t>
      </w:r>
      <w:r>
        <w:rPr>
          <w:sz w:val="24"/>
        </w:rPr>
        <w:t>they</w:t>
      </w:r>
      <w:r>
        <w:rPr>
          <w:spacing w:val="45"/>
          <w:sz w:val="24"/>
        </w:rPr>
        <w:t xml:space="preserve"> </w:t>
      </w:r>
      <w:r>
        <w:rPr>
          <w:sz w:val="24"/>
        </w:rPr>
        <w:t>are</w:t>
      </w:r>
      <w:r>
        <w:rPr>
          <w:spacing w:val="46"/>
          <w:sz w:val="24"/>
        </w:rPr>
        <w:t xml:space="preserve"> </w:t>
      </w:r>
      <w:r>
        <w:rPr>
          <w:sz w:val="24"/>
        </w:rPr>
        <w:t>within</w:t>
      </w:r>
      <w:r>
        <w:rPr>
          <w:spacing w:val="50"/>
          <w:sz w:val="24"/>
        </w:rPr>
        <w:t xml:space="preserve"> </w:t>
      </w:r>
      <w:r>
        <w:rPr>
          <w:sz w:val="24"/>
        </w:rPr>
        <w:t>the</w:t>
      </w:r>
      <w:r>
        <w:rPr>
          <w:spacing w:val="46"/>
          <w:sz w:val="24"/>
        </w:rPr>
        <w:t xml:space="preserve"> </w:t>
      </w:r>
      <w:r>
        <w:rPr>
          <w:sz w:val="24"/>
        </w:rPr>
        <w:t>limit</w:t>
      </w:r>
    </w:p>
    <w:p w:rsidR="007C5447" w:rsidRDefault="007C5447">
      <w:pPr>
        <w:spacing w:line="312" w:lineRule="auto"/>
        <w:jc w:val="both"/>
        <w:rPr>
          <w:sz w:val="24"/>
        </w:rPr>
        <w:sectPr w:rsidR="007C5447">
          <w:footerReference w:type="default" r:id="rId62"/>
          <w:pgSz w:w="11910" w:h="16840"/>
          <w:pgMar w:top="1360" w:right="260" w:bottom="1240" w:left="340" w:header="0" w:footer="1057" w:gutter="0"/>
          <w:cols w:space="720"/>
        </w:sectPr>
      </w:pPr>
    </w:p>
    <w:p w:rsidR="007C5447" w:rsidRDefault="00F6308C">
      <w:pPr>
        <w:pStyle w:val="BodyText"/>
        <w:spacing w:before="60" w:line="312" w:lineRule="auto"/>
        <w:ind w:left="2065" w:right="1178"/>
        <w:jc w:val="both"/>
      </w:pPr>
      <w:r>
        <w:lastRenderedPageBreak/>
        <w:t xml:space="preserve">specified in the TNERC Supply Code. Within this band from 63 kVA to 112 kW, the consumer has the choice of opting for LT supply or HT supply, in accordance with the existing TNERC </w:t>
      </w:r>
      <w:r>
        <w:t>Supply Code, unless it is amended.</w:t>
      </w:r>
    </w:p>
    <w:p w:rsidR="007C5447" w:rsidRDefault="007C5447">
      <w:pPr>
        <w:pStyle w:val="BodyText"/>
        <w:rPr>
          <w:sz w:val="26"/>
        </w:rPr>
      </w:pPr>
    </w:p>
    <w:p w:rsidR="007C5447" w:rsidRDefault="007C5447">
      <w:pPr>
        <w:pStyle w:val="BodyText"/>
        <w:spacing w:before="7"/>
        <w:rPr>
          <w:sz w:val="36"/>
        </w:rPr>
      </w:pPr>
    </w:p>
    <w:p w:rsidR="007C5447" w:rsidRDefault="00F6308C">
      <w:pPr>
        <w:pStyle w:val="Heading2"/>
        <w:numPr>
          <w:ilvl w:val="2"/>
          <w:numId w:val="114"/>
        </w:numPr>
        <w:tabs>
          <w:tab w:val="left" w:pos="1952"/>
          <w:tab w:val="left" w:pos="1953"/>
        </w:tabs>
        <w:ind w:left="1952" w:hanging="853"/>
      </w:pPr>
      <w:r>
        <w:t>Other Tariff Categorisation changes</w:t>
      </w:r>
    </w:p>
    <w:p w:rsidR="007C5447" w:rsidRDefault="007C5447">
      <w:pPr>
        <w:pStyle w:val="BodyText"/>
        <w:spacing w:before="11"/>
        <w:rPr>
          <w:b/>
          <w:sz w:val="27"/>
        </w:rPr>
      </w:pPr>
    </w:p>
    <w:p w:rsidR="007C5447" w:rsidRDefault="00F6308C">
      <w:pPr>
        <w:pStyle w:val="ListParagraph"/>
        <w:numPr>
          <w:ilvl w:val="3"/>
          <w:numId w:val="41"/>
        </w:numPr>
        <w:tabs>
          <w:tab w:val="left" w:pos="2066"/>
        </w:tabs>
        <w:spacing w:line="312" w:lineRule="auto"/>
        <w:ind w:right="1176"/>
        <w:jc w:val="both"/>
        <w:rPr>
          <w:sz w:val="24"/>
        </w:rPr>
      </w:pPr>
      <w:r>
        <w:rPr>
          <w:sz w:val="24"/>
        </w:rPr>
        <w:t>In addition to the modifications proposed by TANGEDCO as discussed above, the Commission has also received representations regarding categorisation from certain segments of consumers</w:t>
      </w:r>
      <w:r>
        <w:rPr>
          <w:sz w:val="24"/>
        </w:rPr>
        <w:t>. The Commission’s views on such representations are elaborated</w:t>
      </w:r>
      <w:r>
        <w:rPr>
          <w:spacing w:val="-1"/>
          <w:sz w:val="24"/>
        </w:rPr>
        <w:t xml:space="preserve"> </w:t>
      </w:r>
      <w:r>
        <w:rPr>
          <w:sz w:val="24"/>
        </w:rPr>
        <w:t>below.</w:t>
      </w:r>
    </w:p>
    <w:p w:rsidR="007C5447" w:rsidRDefault="007C5447">
      <w:pPr>
        <w:pStyle w:val="BodyText"/>
        <w:spacing w:before="10"/>
        <w:rPr>
          <w:sz w:val="20"/>
        </w:rPr>
      </w:pPr>
    </w:p>
    <w:p w:rsidR="007C5447" w:rsidRDefault="00F6308C">
      <w:pPr>
        <w:pStyle w:val="Heading2"/>
        <w:numPr>
          <w:ilvl w:val="4"/>
          <w:numId w:val="41"/>
        </w:numPr>
        <w:tabs>
          <w:tab w:val="left" w:pos="2540"/>
          <w:tab w:val="left" w:pos="2541"/>
        </w:tabs>
        <w:spacing w:before="1"/>
      </w:pPr>
      <w:r>
        <w:t>Categorisation of</w:t>
      </w:r>
      <w:r>
        <w:rPr>
          <w:spacing w:val="1"/>
        </w:rPr>
        <w:t xml:space="preserve"> </w:t>
      </w:r>
      <w:r>
        <w:t>Prisons</w:t>
      </w:r>
    </w:p>
    <w:p w:rsidR="007C5447" w:rsidRDefault="007C5447">
      <w:pPr>
        <w:pStyle w:val="BodyText"/>
        <w:spacing w:before="2"/>
        <w:rPr>
          <w:b/>
          <w:sz w:val="28"/>
        </w:rPr>
      </w:pPr>
    </w:p>
    <w:p w:rsidR="007C5447" w:rsidRDefault="00F6308C">
      <w:pPr>
        <w:pStyle w:val="ListParagraph"/>
        <w:numPr>
          <w:ilvl w:val="3"/>
          <w:numId w:val="41"/>
        </w:numPr>
        <w:tabs>
          <w:tab w:val="left" w:pos="2066"/>
        </w:tabs>
        <w:spacing w:line="312" w:lineRule="auto"/>
        <w:ind w:right="1180"/>
        <w:jc w:val="both"/>
        <w:rPr>
          <w:sz w:val="24"/>
        </w:rPr>
      </w:pPr>
      <w:r>
        <w:rPr>
          <w:sz w:val="24"/>
        </w:rPr>
        <w:t>The Commission has classified ‘Central Prisons and Other Prisons of the State Government’ under LT II B (1) and HT II A, as they qualify under entities under the control of Central/State Government and are intended to house the inmates of the</w:t>
      </w:r>
      <w:r>
        <w:rPr>
          <w:spacing w:val="-1"/>
          <w:sz w:val="24"/>
        </w:rPr>
        <w:t xml:space="preserve"> </w:t>
      </w:r>
      <w:r>
        <w:rPr>
          <w:sz w:val="24"/>
        </w:rPr>
        <w:t>prison.</w:t>
      </w:r>
    </w:p>
    <w:p w:rsidR="007C5447" w:rsidRDefault="007C5447">
      <w:pPr>
        <w:pStyle w:val="BodyText"/>
        <w:spacing w:before="10"/>
        <w:rPr>
          <w:sz w:val="20"/>
        </w:rPr>
      </w:pPr>
    </w:p>
    <w:p w:rsidR="007C5447" w:rsidRDefault="00F6308C">
      <w:pPr>
        <w:pStyle w:val="Heading2"/>
        <w:numPr>
          <w:ilvl w:val="1"/>
          <w:numId w:val="43"/>
        </w:numPr>
        <w:tabs>
          <w:tab w:val="left" w:pos="2540"/>
          <w:tab w:val="left" w:pos="2541"/>
        </w:tabs>
      </w:pPr>
      <w:r>
        <w:t>Cate</w:t>
      </w:r>
      <w:r>
        <w:t>gorisation of</w:t>
      </w:r>
      <w:r>
        <w:rPr>
          <w:spacing w:val="1"/>
        </w:rPr>
        <w:t xml:space="preserve"> </w:t>
      </w:r>
      <w:r>
        <w:t>Hotels/Restaurants</w:t>
      </w:r>
    </w:p>
    <w:p w:rsidR="007C5447" w:rsidRDefault="007C5447">
      <w:pPr>
        <w:pStyle w:val="BodyText"/>
        <w:spacing w:before="11"/>
        <w:rPr>
          <w:b/>
          <w:sz w:val="27"/>
        </w:rPr>
      </w:pPr>
    </w:p>
    <w:p w:rsidR="007C5447" w:rsidRDefault="00F6308C">
      <w:pPr>
        <w:pStyle w:val="ListParagraph"/>
        <w:numPr>
          <w:ilvl w:val="3"/>
          <w:numId w:val="41"/>
        </w:numPr>
        <w:tabs>
          <w:tab w:val="left" w:pos="2066"/>
        </w:tabs>
        <w:spacing w:line="312" w:lineRule="auto"/>
        <w:ind w:right="1174"/>
        <w:jc w:val="both"/>
        <w:rPr>
          <w:sz w:val="24"/>
        </w:rPr>
      </w:pPr>
      <w:r>
        <w:rPr>
          <w:sz w:val="24"/>
        </w:rPr>
        <w:t xml:space="preserve">The Commission has not accepted the request to classify hotels and restaurants under Industrial category. It is clarified that while activities such as Hotels and Restaurants may qualify as ‘industries’ for other purposes </w:t>
      </w:r>
      <w:r>
        <w:rPr>
          <w:sz w:val="24"/>
        </w:rPr>
        <w:t xml:space="preserve">and classification under other Acts, for the purpose of charging for electricity consumed, they are classified as commercial activities and not as industrial activities, and are hence, not eligible to be charged under HT IA Tariff. </w:t>
      </w:r>
      <w:r>
        <w:rPr>
          <w:spacing w:val="-3"/>
          <w:sz w:val="24"/>
        </w:rPr>
        <w:t xml:space="preserve">It </w:t>
      </w:r>
      <w:r>
        <w:rPr>
          <w:sz w:val="24"/>
        </w:rPr>
        <w:t>needs to be appreciated that even offices of the State Government Department and the Commission’s office are billed under Commercial/Miscellaneous</w:t>
      </w:r>
      <w:r>
        <w:rPr>
          <w:spacing w:val="-1"/>
          <w:sz w:val="24"/>
        </w:rPr>
        <w:t xml:space="preserve"> </w:t>
      </w:r>
      <w:r>
        <w:rPr>
          <w:sz w:val="24"/>
        </w:rPr>
        <w:t>category.</w:t>
      </w:r>
    </w:p>
    <w:p w:rsidR="007C5447" w:rsidRDefault="007C5447">
      <w:pPr>
        <w:pStyle w:val="BodyText"/>
        <w:spacing w:before="10"/>
        <w:rPr>
          <w:sz w:val="20"/>
        </w:rPr>
      </w:pPr>
    </w:p>
    <w:p w:rsidR="007C5447" w:rsidRDefault="00F6308C">
      <w:pPr>
        <w:pStyle w:val="Heading2"/>
        <w:numPr>
          <w:ilvl w:val="1"/>
          <w:numId w:val="43"/>
        </w:numPr>
        <w:tabs>
          <w:tab w:val="left" w:pos="2540"/>
          <w:tab w:val="left" w:pos="2541"/>
        </w:tabs>
        <w:spacing w:before="1"/>
      </w:pPr>
      <w:r>
        <w:t>Categorisation of</w:t>
      </w:r>
      <w:r>
        <w:rPr>
          <w:spacing w:val="2"/>
        </w:rPr>
        <w:t xml:space="preserve"> </w:t>
      </w:r>
      <w:r>
        <w:t>Airports</w:t>
      </w:r>
    </w:p>
    <w:p w:rsidR="007C5447" w:rsidRDefault="007C5447">
      <w:pPr>
        <w:pStyle w:val="BodyText"/>
        <w:spacing w:before="2"/>
        <w:rPr>
          <w:b/>
          <w:sz w:val="28"/>
        </w:rPr>
      </w:pPr>
    </w:p>
    <w:p w:rsidR="007C5447" w:rsidRDefault="00F6308C">
      <w:pPr>
        <w:pStyle w:val="ListParagraph"/>
        <w:numPr>
          <w:ilvl w:val="3"/>
          <w:numId w:val="41"/>
        </w:numPr>
        <w:tabs>
          <w:tab w:val="left" w:pos="2066"/>
        </w:tabs>
        <w:spacing w:line="312" w:lineRule="auto"/>
        <w:ind w:right="1174"/>
        <w:jc w:val="both"/>
        <w:rPr>
          <w:sz w:val="24"/>
        </w:rPr>
      </w:pPr>
      <w:r>
        <w:rPr>
          <w:sz w:val="24"/>
        </w:rPr>
        <w:t>Airports under Airports Authority of India have requested for being  c</w:t>
      </w:r>
      <w:r>
        <w:rPr>
          <w:sz w:val="24"/>
        </w:rPr>
        <w:t>lassified under HT I A Industry category, and cited certain APTEL Judgments in support of its request. The Commission is of the view that while the Aeronautical services provided by the Airports may be categorised under HT IA Industry category, the Non-Aer</w:t>
      </w:r>
      <w:r>
        <w:rPr>
          <w:sz w:val="24"/>
        </w:rPr>
        <w:t>onautical services provided by Chennai Airport have to be categorised under HT III Commercial/Miscellaneous category. However, for implementing the above differential tariff, the Aeronautical and Non-Aeronautical load has to be separated</w:t>
      </w:r>
      <w:r>
        <w:rPr>
          <w:spacing w:val="15"/>
          <w:sz w:val="24"/>
        </w:rPr>
        <w:t xml:space="preserve"> </w:t>
      </w:r>
      <w:r>
        <w:rPr>
          <w:sz w:val="24"/>
        </w:rPr>
        <w:t>and</w:t>
      </w:r>
      <w:r>
        <w:rPr>
          <w:spacing w:val="16"/>
          <w:sz w:val="24"/>
        </w:rPr>
        <w:t xml:space="preserve"> </w:t>
      </w:r>
      <w:r>
        <w:rPr>
          <w:sz w:val="24"/>
        </w:rPr>
        <w:t>separate</w:t>
      </w:r>
      <w:r>
        <w:rPr>
          <w:spacing w:val="17"/>
          <w:sz w:val="24"/>
        </w:rPr>
        <w:t xml:space="preserve"> </w:t>
      </w:r>
      <w:r>
        <w:rPr>
          <w:sz w:val="24"/>
        </w:rPr>
        <w:t>meter</w:t>
      </w:r>
      <w:r>
        <w:rPr>
          <w:sz w:val="24"/>
        </w:rPr>
        <w:t>ing</w:t>
      </w:r>
      <w:r>
        <w:rPr>
          <w:spacing w:val="16"/>
          <w:sz w:val="24"/>
        </w:rPr>
        <w:t xml:space="preserve"> </w:t>
      </w:r>
      <w:r>
        <w:rPr>
          <w:sz w:val="24"/>
        </w:rPr>
        <w:t>has</w:t>
      </w:r>
      <w:r>
        <w:rPr>
          <w:spacing w:val="16"/>
          <w:sz w:val="24"/>
        </w:rPr>
        <w:t xml:space="preserve"> </w:t>
      </w:r>
      <w:r>
        <w:rPr>
          <w:sz w:val="24"/>
        </w:rPr>
        <w:t>to</w:t>
      </w:r>
      <w:r>
        <w:rPr>
          <w:spacing w:val="16"/>
          <w:sz w:val="24"/>
        </w:rPr>
        <w:t xml:space="preserve"> </w:t>
      </w:r>
      <w:r>
        <w:rPr>
          <w:sz w:val="24"/>
        </w:rPr>
        <w:t>be</w:t>
      </w:r>
      <w:r>
        <w:rPr>
          <w:spacing w:val="15"/>
          <w:sz w:val="24"/>
        </w:rPr>
        <w:t xml:space="preserve"> </w:t>
      </w:r>
      <w:r>
        <w:rPr>
          <w:sz w:val="24"/>
        </w:rPr>
        <w:t>in</w:t>
      </w:r>
      <w:r>
        <w:rPr>
          <w:spacing w:val="16"/>
          <w:sz w:val="24"/>
        </w:rPr>
        <w:t xml:space="preserve"> </w:t>
      </w:r>
      <w:r>
        <w:rPr>
          <w:sz w:val="24"/>
        </w:rPr>
        <w:t>place.</w:t>
      </w:r>
      <w:r>
        <w:rPr>
          <w:spacing w:val="16"/>
          <w:sz w:val="24"/>
        </w:rPr>
        <w:t xml:space="preserve"> </w:t>
      </w:r>
      <w:r>
        <w:rPr>
          <w:sz w:val="24"/>
        </w:rPr>
        <w:t>TANGEDCO</w:t>
      </w:r>
      <w:r>
        <w:rPr>
          <w:spacing w:val="16"/>
          <w:sz w:val="24"/>
        </w:rPr>
        <w:t xml:space="preserve"> </w:t>
      </w:r>
      <w:r>
        <w:rPr>
          <w:sz w:val="24"/>
        </w:rPr>
        <w:t>is</w:t>
      </w:r>
      <w:r>
        <w:rPr>
          <w:spacing w:val="16"/>
          <w:sz w:val="24"/>
        </w:rPr>
        <w:t xml:space="preserve"> </w:t>
      </w:r>
      <w:r>
        <w:rPr>
          <w:sz w:val="24"/>
        </w:rPr>
        <w:t>directed</w:t>
      </w:r>
      <w:r>
        <w:rPr>
          <w:spacing w:val="16"/>
          <w:sz w:val="24"/>
        </w:rPr>
        <w:t xml:space="preserve"> </w:t>
      </w:r>
      <w:r>
        <w:rPr>
          <w:sz w:val="24"/>
        </w:rPr>
        <w:t>to</w:t>
      </w:r>
      <w:r>
        <w:rPr>
          <w:spacing w:val="16"/>
          <w:sz w:val="24"/>
        </w:rPr>
        <w:t xml:space="preserve"> </w:t>
      </w:r>
      <w:r>
        <w:rPr>
          <w:sz w:val="24"/>
        </w:rPr>
        <w:t>do</w:t>
      </w:r>
    </w:p>
    <w:p w:rsidR="007C5447" w:rsidRDefault="007C5447">
      <w:pPr>
        <w:spacing w:line="312" w:lineRule="auto"/>
        <w:jc w:val="both"/>
        <w:rPr>
          <w:sz w:val="24"/>
        </w:rPr>
        <w:sectPr w:rsidR="007C5447">
          <w:footerReference w:type="default" r:id="rId63"/>
          <w:pgSz w:w="11910" w:h="16840"/>
          <w:pgMar w:top="1360" w:right="260" w:bottom="1240" w:left="340" w:header="0" w:footer="1057" w:gutter="0"/>
          <w:pgNumType w:start="271"/>
          <w:cols w:space="720"/>
        </w:sectPr>
      </w:pPr>
    </w:p>
    <w:p w:rsidR="007C5447" w:rsidRDefault="00F6308C">
      <w:pPr>
        <w:pStyle w:val="BodyText"/>
        <w:spacing w:before="60" w:line="312" w:lineRule="auto"/>
        <w:ind w:left="2065" w:right="1178"/>
        <w:jc w:val="both"/>
      </w:pPr>
      <w:r>
        <w:lastRenderedPageBreak/>
        <w:t>the needful in collaboration with the concerned Airports, in order to levy HT IA tariff to Aeronautical Services and HT III Commercial/Miscellaneous Tariff to Non-Aeronautical services.</w:t>
      </w:r>
    </w:p>
    <w:p w:rsidR="007C5447" w:rsidRDefault="007C5447">
      <w:pPr>
        <w:pStyle w:val="BodyText"/>
        <w:spacing w:before="10"/>
        <w:rPr>
          <w:sz w:val="20"/>
        </w:rPr>
      </w:pPr>
    </w:p>
    <w:p w:rsidR="007C5447" w:rsidRDefault="00F6308C">
      <w:pPr>
        <w:pStyle w:val="Heading2"/>
        <w:numPr>
          <w:ilvl w:val="1"/>
          <w:numId w:val="43"/>
        </w:numPr>
        <w:tabs>
          <w:tab w:val="left" w:pos="2540"/>
          <w:tab w:val="left" w:pos="2541"/>
        </w:tabs>
      </w:pPr>
      <w:r>
        <w:t>Categorisation of Spinning</w:t>
      </w:r>
      <w:r>
        <w:rPr>
          <w:spacing w:val="1"/>
        </w:rPr>
        <w:t xml:space="preserve"> </w:t>
      </w:r>
      <w:r>
        <w:t>Mills</w:t>
      </w:r>
    </w:p>
    <w:p w:rsidR="007C5447" w:rsidRDefault="007C5447">
      <w:pPr>
        <w:pStyle w:val="BodyText"/>
        <w:spacing w:before="2"/>
        <w:rPr>
          <w:b/>
          <w:sz w:val="28"/>
        </w:rPr>
      </w:pPr>
    </w:p>
    <w:p w:rsidR="007C5447" w:rsidRDefault="00F6308C">
      <w:pPr>
        <w:pStyle w:val="ListParagraph"/>
        <w:numPr>
          <w:ilvl w:val="3"/>
          <w:numId w:val="41"/>
        </w:numPr>
        <w:tabs>
          <w:tab w:val="left" w:pos="2066"/>
        </w:tabs>
        <w:spacing w:line="312" w:lineRule="auto"/>
        <w:ind w:right="1175"/>
        <w:jc w:val="both"/>
        <w:rPr>
          <w:sz w:val="24"/>
        </w:rPr>
      </w:pPr>
      <w:r>
        <w:rPr>
          <w:sz w:val="24"/>
        </w:rPr>
        <w:t>The Commission has not accepted the</w:t>
      </w:r>
      <w:r>
        <w:rPr>
          <w:sz w:val="24"/>
        </w:rPr>
        <w:t xml:space="preserve"> request to have a separate category for Spinning Mills, which has been objected to by TANGEDCO. The Commission is of the view that creation of separate category for each and every purpose and industry, would defeat the objectives of tariff rationalisation</w:t>
      </w:r>
      <w:r>
        <w:rPr>
          <w:sz w:val="24"/>
        </w:rPr>
        <w:t xml:space="preserve"> and reduction of cross- subsidies.</w:t>
      </w:r>
    </w:p>
    <w:p w:rsidR="007C5447" w:rsidRDefault="007C5447">
      <w:pPr>
        <w:pStyle w:val="BodyText"/>
        <w:spacing w:before="9"/>
        <w:rPr>
          <w:sz w:val="20"/>
        </w:rPr>
      </w:pPr>
    </w:p>
    <w:p w:rsidR="007C5447" w:rsidRDefault="00F6308C">
      <w:pPr>
        <w:pStyle w:val="Heading2"/>
        <w:numPr>
          <w:ilvl w:val="1"/>
          <w:numId w:val="40"/>
        </w:numPr>
        <w:tabs>
          <w:tab w:val="left" w:pos="1666"/>
          <w:tab w:val="left" w:pos="1667"/>
        </w:tabs>
        <w:jc w:val="left"/>
      </w:pPr>
      <w:bookmarkStart w:id="79" w:name="_bookmark79"/>
      <w:bookmarkEnd w:id="79"/>
      <w:r>
        <w:t>Existing and Proposed Retail Tariff Schedule for FY 2017-18</w:t>
      </w:r>
    </w:p>
    <w:p w:rsidR="007C5447" w:rsidRDefault="007C5447">
      <w:pPr>
        <w:pStyle w:val="BodyText"/>
        <w:spacing w:before="2"/>
        <w:rPr>
          <w:b/>
          <w:sz w:val="28"/>
        </w:rPr>
      </w:pPr>
    </w:p>
    <w:p w:rsidR="007C5447" w:rsidRDefault="00F6308C">
      <w:pPr>
        <w:ind w:left="1952"/>
        <w:jc w:val="both"/>
        <w:rPr>
          <w:b/>
          <w:sz w:val="24"/>
        </w:rPr>
      </w:pPr>
      <w:r>
        <w:rPr>
          <w:b/>
          <w:sz w:val="24"/>
        </w:rPr>
        <w:t>TANGEDCO’s Submission</w:t>
      </w:r>
    </w:p>
    <w:p w:rsidR="007C5447" w:rsidRDefault="00F6308C">
      <w:pPr>
        <w:pStyle w:val="ListParagraph"/>
        <w:numPr>
          <w:ilvl w:val="2"/>
          <w:numId w:val="40"/>
        </w:numPr>
        <w:tabs>
          <w:tab w:val="left" w:pos="1953"/>
        </w:tabs>
        <w:spacing w:before="202" w:line="312" w:lineRule="auto"/>
        <w:ind w:right="1176"/>
        <w:jc w:val="both"/>
        <w:rPr>
          <w:sz w:val="24"/>
        </w:rPr>
      </w:pPr>
      <w:r>
        <w:rPr>
          <w:sz w:val="24"/>
        </w:rPr>
        <w:t>TANGEDCO submitted that it has determined the Revenue Gap for FY 2017-18 considering the projected ARR and revenue at existing tariff, as shown in the Table below:</w:t>
      </w:r>
    </w:p>
    <w:p w:rsidR="007C5447" w:rsidRDefault="007C5447">
      <w:pPr>
        <w:pStyle w:val="BodyText"/>
        <w:rPr>
          <w:sz w:val="21"/>
        </w:rPr>
      </w:pPr>
    </w:p>
    <w:p w:rsidR="007C5447" w:rsidRDefault="00F6308C">
      <w:pPr>
        <w:pStyle w:val="Heading2"/>
        <w:spacing w:line="312" w:lineRule="auto"/>
        <w:ind w:left="4309" w:right="1880" w:hanging="2499"/>
      </w:pPr>
      <w:r>
        <w:t>Table 5-2: Revenue Gap at Existing Tariff for FY 2017-18 as submitted by TANGEDCO (Rs. Crore)</w:t>
      </w:r>
    </w:p>
    <w:p w:rsidR="007C5447" w:rsidRDefault="007C5447">
      <w:pPr>
        <w:pStyle w:val="BodyText"/>
        <w:spacing w:before="6"/>
        <w:rPr>
          <w:b/>
          <w:sz w:val="10"/>
        </w:rPr>
      </w:pPr>
    </w:p>
    <w:tbl>
      <w:tblPr>
        <w:tblW w:w="0" w:type="auto"/>
        <w:tblInd w:w="15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1"/>
        <w:gridCol w:w="6164"/>
        <w:gridCol w:w="1416"/>
      </w:tblGrid>
      <w:tr w:rsidR="007C5447">
        <w:trPr>
          <w:trHeight w:val="328"/>
        </w:trPr>
        <w:tc>
          <w:tcPr>
            <w:tcW w:w="521" w:type="dxa"/>
            <w:shd w:val="clear" w:color="auto" w:fill="F7C9AC"/>
          </w:tcPr>
          <w:p w:rsidR="007C5447" w:rsidRDefault="00F6308C">
            <w:pPr>
              <w:pStyle w:val="TableParagraph"/>
              <w:spacing w:before="37"/>
              <w:ind w:left="141"/>
              <w:jc w:val="left"/>
              <w:rPr>
                <w:b/>
              </w:rPr>
            </w:pPr>
            <w:r>
              <w:rPr>
                <w:b/>
              </w:rPr>
              <w:t>Sl.</w:t>
            </w:r>
          </w:p>
        </w:tc>
        <w:tc>
          <w:tcPr>
            <w:tcW w:w="6164" w:type="dxa"/>
            <w:shd w:val="clear" w:color="auto" w:fill="F7C9AC"/>
          </w:tcPr>
          <w:p w:rsidR="007C5447" w:rsidRDefault="00F6308C">
            <w:pPr>
              <w:pStyle w:val="TableParagraph"/>
              <w:spacing w:before="37"/>
              <w:ind w:left="2536" w:right="2526"/>
              <w:jc w:val="center"/>
              <w:rPr>
                <w:b/>
              </w:rPr>
            </w:pPr>
            <w:r>
              <w:rPr>
                <w:b/>
              </w:rPr>
              <w:t>Particulars</w:t>
            </w:r>
          </w:p>
        </w:tc>
        <w:tc>
          <w:tcPr>
            <w:tcW w:w="1416" w:type="dxa"/>
            <w:shd w:val="clear" w:color="auto" w:fill="F7C9AC"/>
          </w:tcPr>
          <w:p w:rsidR="007C5447" w:rsidRDefault="00F6308C">
            <w:pPr>
              <w:pStyle w:val="TableParagraph"/>
              <w:spacing w:before="37"/>
              <w:ind w:left="162"/>
              <w:jc w:val="left"/>
              <w:rPr>
                <w:b/>
              </w:rPr>
            </w:pPr>
            <w:r>
              <w:rPr>
                <w:b/>
              </w:rPr>
              <w:t>FY 2017-18</w:t>
            </w:r>
          </w:p>
        </w:tc>
      </w:tr>
      <w:tr w:rsidR="007C5447">
        <w:trPr>
          <w:trHeight w:val="330"/>
        </w:trPr>
        <w:tc>
          <w:tcPr>
            <w:tcW w:w="521" w:type="dxa"/>
          </w:tcPr>
          <w:p w:rsidR="007C5447" w:rsidRDefault="00F6308C">
            <w:pPr>
              <w:pStyle w:val="TableParagraph"/>
              <w:spacing w:before="39"/>
              <w:ind w:left="203"/>
              <w:jc w:val="left"/>
            </w:pPr>
            <w:r>
              <w:t>1</w:t>
            </w:r>
          </w:p>
        </w:tc>
        <w:tc>
          <w:tcPr>
            <w:tcW w:w="6164" w:type="dxa"/>
          </w:tcPr>
          <w:p w:rsidR="007C5447" w:rsidRDefault="00F6308C">
            <w:pPr>
              <w:pStyle w:val="TableParagraph"/>
              <w:spacing w:before="39"/>
              <w:ind w:left="107"/>
              <w:jc w:val="left"/>
            </w:pPr>
            <w:r>
              <w:t>Net Revenue Requirement</w:t>
            </w:r>
          </w:p>
        </w:tc>
        <w:tc>
          <w:tcPr>
            <w:tcW w:w="1416" w:type="dxa"/>
          </w:tcPr>
          <w:p w:rsidR="007C5447" w:rsidRDefault="00F6308C">
            <w:pPr>
              <w:pStyle w:val="TableParagraph"/>
              <w:spacing w:before="39"/>
              <w:ind w:right="95"/>
            </w:pPr>
            <w:r>
              <w:t>52,277.74</w:t>
            </w:r>
          </w:p>
        </w:tc>
      </w:tr>
      <w:tr w:rsidR="007C5447">
        <w:trPr>
          <w:trHeight w:val="330"/>
        </w:trPr>
        <w:tc>
          <w:tcPr>
            <w:tcW w:w="521" w:type="dxa"/>
          </w:tcPr>
          <w:p w:rsidR="007C5447" w:rsidRDefault="00F6308C">
            <w:pPr>
              <w:pStyle w:val="TableParagraph"/>
              <w:spacing w:before="37"/>
              <w:ind w:left="203"/>
              <w:jc w:val="left"/>
            </w:pPr>
            <w:r>
              <w:t>2</w:t>
            </w:r>
          </w:p>
        </w:tc>
        <w:tc>
          <w:tcPr>
            <w:tcW w:w="6164" w:type="dxa"/>
          </w:tcPr>
          <w:p w:rsidR="007C5447" w:rsidRDefault="00F6308C">
            <w:pPr>
              <w:pStyle w:val="TableParagraph"/>
              <w:spacing w:before="37"/>
              <w:ind w:left="107"/>
              <w:jc w:val="left"/>
            </w:pPr>
            <w:r>
              <w:t>Revenue from sale of power at existing tariff (including subsidy)</w:t>
            </w:r>
          </w:p>
        </w:tc>
        <w:tc>
          <w:tcPr>
            <w:tcW w:w="1416" w:type="dxa"/>
          </w:tcPr>
          <w:p w:rsidR="007C5447" w:rsidRDefault="00F6308C">
            <w:pPr>
              <w:pStyle w:val="TableParagraph"/>
              <w:spacing w:before="37"/>
              <w:ind w:right="95"/>
            </w:pPr>
            <w:r>
              <w:t>49,827.13</w:t>
            </w:r>
          </w:p>
        </w:tc>
      </w:tr>
      <w:tr w:rsidR="007C5447">
        <w:trPr>
          <w:trHeight w:val="328"/>
        </w:trPr>
        <w:tc>
          <w:tcPr>
            <w:tcW w:w="521" w:type="dxa"/>
          </w:tcPr>
          <w:p w:rsidR="007C5447" w:rsidRDefault="00F6308C">
            <w:pPr>
              <w:pStyle w:val="TableParagraph"/>
              <w:spacing w:before="37"/>
              <w:ind w:left="203"/>
              <w:jc w:val="left"/>
            </w:pPr>
            <w:r>
              <w:t>3</w:t>
            </w:r>
          </w:p>
        </w:tc>
        <w:tc>
          <w:tcPr>
            <w:tcW w:w="6164" w:type="dxa"/>
          </w:tcPr>
          <w:p w:rsidR="007C5447" w:rsidRDefault="00F6308C">
            <w:pPr>
              <w:pStyle w:val="TableParagraph"/>
              <w:spacing w:before="37"/>
              <w:ind w:left="107"/>
              <w:jc w:val="left"/>
            </w:pPr>
            <w:r>
              <w:t>Other Govt. Subsidy (FRP bond takeover)</w:t>
            </w:r>
          </w:p>
        </w:tc>
        <w:tc>
          <w:tcPr>
            <w:tcW w:w="1416" w:type="dxa"/>
          </w:tcPr>
          <w:p w:rsidR="007C5447" w:rsidRDefault="00F6308C">
            <w:pPr>
              <w:pStyle w:val="TableParagraph"/>
              <w:spacing w:before="37"/>
              <w:ind w:right="95"/>
            </w:pPr>
            <w:r>
              <w:t>2,343.49</w:t>
            </w:r>
          </w:p>
        </w:tc>
      </w:tr>
      <w:tr w:rsidR="007C5447">
        <w:trPr>
          <w:trHeight w:val="330"/>
        </w:trPr>
        <w:tc>
          <w:tcPr>
            <w:tcW w:w="521" w:type="dxa"/>
          </w:tcPr>
          <w:p w:rsidR="007C5447" w:rsidRDefault="00F6308C">
            <w:pPr>
              <w:pStyle w:val="TableParagraph"/>
              <w:spacing w:before="39"/>
              <w:ind w:left="203"/>
              <w:jc w:val="left"/>
            </w:pPr>
            <w:r>
              <w:t>4</w:t>
            </w:r>
          </w:p>
        </w:tc>
        <w:tc>
          <w:tcPr>
            <w:tcW w:w="6164" w:type="dxa"/>
          </w:tcPr>
          <w:p w:rsidR="007C5447" w:rsidRDefault="00F6308C">
            <w:pPr>
              <w:pStyle w:val="TableParagraph"/>
              <w:spacing w:before="39"/>
              <w:ind w:left="107"/>
              <w:jc w:val="left"/>
              <w:rPr>
                <w:b/>
              </w:rPr>
            </w:pPr>
            <w:r>
              <w:rPr>
                <w:b/>
              </w:rPr>
              <w:t>Revenue Gap</w:t>
            </w:r>
          </w:p>
        </w:tc>
        <w:tc>
          <w:tcPr>
            <w:tcW w:w="1416" w:type="dxa"/>
          </w:tcPr>
          <w:p w:rsidR="007C5447" w:rsidRDefault="00F6308C">
            <w:pPr>
              <w:pStyle w:val="TableParagraph"/>
              <w:spacing w:before="39"/>
              <w:ind w:right="95"/>
              <w:rPr>
                <w:b/>
              </w:rPr>
            </w:pPr>
            <w:r>
              <w:rPr>
                <w:b/>
              </w:rPr>
              <w:t>107.12</w:t>
            </w:r>
          </w:p>
        </w:tc>
      </w:tr>
    </w:tbl>
    <w:p w:rsidR="007C5447" w:rsidRDefault="00F6308C">
      <w:pPr>
        <w:pStyle w:val="ListParagraph"/>
        <w:numPr>
          <w:ilvl w:val="2"/>
          <w:numId w:val="40"/>
        </w:numPr>
        <w:tabs>
          <w:tab w:val="left" w:pos="1953"/>
        </w:tabs>
        <w:spacing w:before="119" w:line="312" w:lineRule="auto"/>
        <w:ind w:right="1180"/>
        <w:jc w:val="both"/>
        <w:rPr>
          <w:sz w:val="24"/>
        </w:rPr>
      </w:pPr>
      <w:r>
        <w:rPr>
          <w:sz w:val="24"/>
        </w:rPr>
        <w:t>TANGEDCO submitted that the Aggregate Revenue Requirement for the Control Period from 2016-17 to 2018-19 has been filed without any tariff revision for FY 2017-18.</w:t>
      </w:r>
    </w:p>
    <w:p w:rsidR="007C5447" w:rsidRDefault="007C5447">
      <w:pPr>
        <w:pStyle w:val="BodyText"/>
        <w:spacing w:before="11"/>
        <w:rPr>
          <w:sz w:val="20"/>
        </w:rPr>
      </w:pPr>
    </w:p>
    <w:p w:rsidR="007C5447" w:rsidRDefault="00F6308C">
      <w:pPr>
        <w:pStyle w:val="ListParagraph"/>
        <w:numPr>
          <w:ilvl w:val="2"/>
          <w:numId w:val="40"/>
        </w:numPr>
        <w:tabs>
          <w:tab w:val="left" w:pos="1953"/>
        </w:tabs>
        <w:spacing w:line="312" w:lineRule="auto"/>
        <w:ind w:right="1175"/>
        <w:jc w:val="both"/>
        <w:rPr>
          <w:sz w:val="24"/>
        </w:rPr>
      </w:pPr>
      <w:r>
        <w:rPr>
          <w:sz w:val="24"/>
        </w:rPr>
        <w:t xml:space="preserve">As per the UDAY scheme entered into </w:t>
      </w:r>
      <w:r>
        <w:rPr>
          <w:spacing w:val="3"/>
          <w:sz w:val="24"/>
        </w:rPr>
        <w:t xml:space="preserve">by </w:t>
      </w:r>
      <w:r>
        <w:rPr>
          <w:sz w:val="24"/>
        </w:rPr>
        <w:t>the GoTN on January 9, 2017, GoTN is incurring a hug</w:t>
      </w:r>
      <w:r>
        <w:rPr>
          <w:sz w:val="24"/>
        </w:rPr>
        <w:t>e expenditure due to take over of 75% outstanding loans (Rs. 30,420 Crore) as on September 30, 2015 and conversion of Rs. 3,352 Crore into equity share capital. TANGEDCO submitted that with a view to reduce the tariff subsidy burden on the GoTN, it has pro</w:t>
      </w:r>
      <w:r>
        <w:rPr>
          <w:sz w:val="24"/>
        </w:rPr>
        <w:t>posed adjustment in tariff for domestic consumers, while retaining the existing tariffs for the remaining categories of</w:t>
      </w:r>
      <w:r>
        <w:rPr>
          <w:spacing w:val="-15"/>
          <w:sz w:val="24"/>
        </w:rPr>
        <w:t xml:space="preserve"> </w:t>
      </w:r>
      <w:r>
        <w:rPr>
          <w:sz w:val="24"/>
        </w:rPr>
        <w:t>consumers.</w:t>
      </w:r>
    </w:p>
    <w:p w:rsidR="007C5447" w:rsidRDefault="007C5447">
      <w:pPr>
        <w:pStyle w:val="BodyText"/>
        <w:spacing w:before="11"/>
        <w:rPr>
          <w:sz w:val="20"/>
        </w:rPr>
      </w:pPr>
    </w:p>
    <w:p w:rsidR="007C5447" w:rsidRDefault="00F6308C">
      <w:pPr>
        <w:pStyle w:val="ListParagraph"/>
        <w:numPr>
          <w:ilvl w:val="2"/>
          <w:numId w:val="40"/>
        </w:numPr>
        <w:tabs>
          <w:tab w:val="left" w:pos="1953"/>
        </w:tabs>
        <w:spacing w:line="312" w:lineRule="auto"/>
        <w:ind w:right="1175"/>
        <w:jc w:val="both"/>
        <w:rPr>
          <w:sz w:val="24"/>
        </w:rPr>
      </w:pPr>
      <w:r>
        <w:rPr>
          <w:sz w:val="24"/>
        </w:rPr>
        <w:t>The existing and retail tariff schedule proposed by TANGEDCO is given in the Table</w:t>
      </w:r>
      <w:r>
        <w:rPr>
          <w:spacing w:val="-1"/>
          <w:sz w:val="24"/>
        </w:rPr>
        <w:t xml:space="preserve"> </w:t>
      </w:r>
      <w:r>
        <w:rPr>
          <w:sz w:val="24"/>
        </w:rPr>
        <w:t>below:</w:t>
      </w:r>
    </w:p>
    <w:p w:rsidR="007C5447" w:rsidRDefault="007C5447">
      <w:pPr>
        <w:spacing w:line="312" w:lineRule="auto"/>
        <w:jc w:val="both"/>
        <w:rPr>
          <w:sz w:val="24"/>
        </w:rPr>
        <w:sectPr w:rsidR="007C5447">
          <w:pgSz w:w="11910" w:h="16840"/>
          <w:pgMar w:top="1360" w:right="260" w:bottom="1240" w:left="340" w:header="0" w:footer="1057" w:gutter="0"/>
          <w:cols w:space="720"/>
        </w:sectPr>
      </w:pPr>
    </w:p>
    <w:p w:rsidR="007C5447" w:rsidRDefault="007C5447">
      <w:pPr>
        <w:pStyle w:val="BodyText"/>
        <w:spacing w:before="1"/>
        <w:rPr>
          <w:sz w:val="21"/>
        </w:rPr>
      </w:pPr>
    </w:p>
    <w:p w:rsidR="007C5447" w:rsidRDefault="00F6308C">
      <w:pPr>
        <w:pStyle w:val="Heading2"/>
        <w:spacing w:before="90"/>
        <w:ind w:left="1235"/>
      </w:pPr>
      <w:r>
        <w:t>Table 5-3: Existing and Proposed Retail Tariff Schedule for FY 2017-18 as submitted by TANGEDCO (Rs. Crore)</w:t>
      </w:r>
    </w:p>
    <w:p w:rsidR="007C5447" w:rsidRDefault="007C5447">
      <w:pPr>
        <w:pStyle w:val="BodyText"/>
        <w:spacing w:before="7"/>
        <w:rPr>
          <w:b/>
          <w:sz w:val="17"/>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6"/>
        <w:gridCol w:w="1702"/>
        <w:gridCol w:w="1609"/>
        <w:gridCol w:w="2045"/>
        <w:gridCol w:w="2636"/>
        <w:gridCol w:w="2046"/>
        <w:gridCol w:w="2636"/>
      </w:tblGrid>
      <w:tr w:rsidR="007C5447">
        <w:trPr>
          <w:trHeight w:val="330"/>
        </w:trPr>
        <w:tc>
          <w:tcPr>
            <w:tcW w:w="1556" w:type="dxa"/>
            <w:vMerge w:val="restart"/>
            <w:shd w:val="clear" w:color="auto" w:fill="F7C9AC"/>
          </w:tcPr>
          <w:p w:rsidR="007C5447" w:rsidRDefault="007C5447">
            <w:pPr>
              <w:pStyle w:val="TableParagraph"/>
              <w:spacing w:before="1"/>
              <w:jc w:val="left"/>
              <w:rPr>
                <w:b/>
                <w:sz w:val="20"/>
              </w:rPr>
            </w:pPr>
          </w:p>
          <w:p w:rsidR="007C5447" w:rsidRDefault="00F6308C">
            <w:pPr>
              <w:pStyle w:val="TableParagraph"/>
              <w:ind w:left="343" w:right="261" w:hanging="56"/>
              <w:jc w:val="left"/>
              <w:rPr>
                <w:b/>
              </w:rPr>
            </w:pPr>
            <w:r>
              <w:rPr>
                <w:b/>
              </w:rPr>
              <w:t>Consumer Category</w:t>
            </w:r>
          </w:p>
        </w:tc>
        <w:tc>
          <w:tcPr>
            <w:tcW w:w="1702" w:type="dxa"/>
            <w:vMerge w:val="restart"/>
            <w:shd w:val="clear" w:color="auto" w:fill="F7C9AC"/>
          </w:tcPr>
          <w:p w:rsidR="007C5447" w:rsidRDefault="007C5447">
            <w:pPr>
              <w:pStyle w:val="TableParagraph"/>
              <w:spacing w:before="1"/>
              <w:jc w:val="left"/>
              <w:rPr>
                <w:b/>
                <w:sz w:val="20"/>
              </w:rPr>
            </w:pPr>
          </w:p>
          <w:p w:rsidR="007C5447" w:rsidRDefault="00F6308C">
            <w:pPr>
              <w:pStyle w:val="TableParagraph"/>
              <w:ind w:left="265" w:right="240" w:firstLine="331"/>
              <w:jc w:val="left"/>
              <w:rPr>
                <w:b/>
              </w:rPr>
            </w:pPr>
            <w:r>
              <w:rPr>
                <w:b/>
              </w:rPr>
              <w:t>Slabs (Per Month)</w:t>
            </w:r>
          </w:p>
        </w:tc>
        <w:tc>
          <w:tcPr>
            <w:tcW w:w="1609" w:type="dxa"/>
            <w:vMerge w:val="restart"/>
            <w:shd w:val="clear" w:color="auto" w:fill="F7C9AC"/>
          </w:tcPr>
          <w:p w:rsidR="007C5447" w:rsidRDefault="007C5447">
            <w:pPr>
              <w:pStyle w:val="TableParagraph"/>
              <w:spacing w:before="1"/>
              <w:jc w:val="left"/>
              <w:rPr>
                <w:b/>
                <w:sz w:val="31"/>
              </w:rPr>
            </w:pPr>
          </w:p>
          <w:p w:rsidR="007C5447" w:rsidRDefault="00F6308C">
            <w:pPr>
              <w:pStyle w:val="TableParagraph"/>
              <w:spacing w:before="1"/>
              <w:ind w:left="157"/>
              <w:jc w:val="left"/>
              <w:rPr>
                <w:b/>
              </w:rPr>
            </w:pPr>
            <w:r>
              <w:rPr>
                <w:b/>
              </w:rPr>
              <w:t>Sub Category</w:t>
            </w:r>
          </w:p>
        </w:tc>
        <w:tc>
          <w:tcPr>
            <w:tcW w:w="4681" w:type="dxa"/>
            <w:gridSpan w:val="2"/>
            <w:shd w:val="clear" w:color="auto" w:fill="F7C9AC"/>
          </w:tcPr>
          <w:p w:rsidR="007C5447" w:rsidRDefault="00F6308C">
            <w:pPr>
              <w:pStyle w:val="TableParagraph"/>
              <w:spacing w:before="39"/>
              <w:ind w:left="1624" w:right="1618"/>
              <w:jc w:val="center"/>
              <w:rPr>
                <w:b/>
              </w:rPr>
            </w:pPr>
            <w:r>
              <w:rPr>
                <w:b/>
              </w:rPr>
              <w:t>Existing Tariff</w:t>
            </w:r>
          </w:p>
        </w:tc>
        <w:tc>
          <w:tcPr>
            <w:tcW w:w="4682" w:type="dxa"/>
            <w:gridSpan w:val="2"/>
            <w:shd w:val="clear" w:color="auto" w:fill="F7C9AC"/>
          </w:tcPr>
          <w:p w:rsidR="007C5447" w:rsidRDefault="00F6308C">
            <w:pPr>
              <w:pStyle w:val="TableParagraph"/>
              <w:spacing w:before="39"/>
              <w:ind w:left="1569" w:right="1564"/>
              <w:jc w:val="center"/>
              <w:rPr>
                <w:b/>
              </w:rPr>
            </w:pPr>
            <w:r>
              <w:rPr>
                <w:b/>
              </w:rPr>
              <w:t>Proposed Tariff</w:t>
            </w:r>
          </w:p>
        </w:tc>
      </w:tr>
      <w:tr w:rsidR="007C5447">
        <w:trPr>
          <w:trHeight w:val="630"/>
        </w:trPr>
        <w:tc>
          <w:tcPr>
            <w:tcW w:w="1556" w:type="dxa"/>
            <w:vMerge/>
            <w:tcBorders>
              <w:top w:val="nil"/>
            </w:tcBorders>
            <w:shd w:val="clear" w:color="auto" w:fill="F7C9AC"/>
          </w:tcPr>
          <w:p w:rsidR="007C5447" w:rsidRDefault="007C5447">
            <w:pPr>
              <w:rPr>
                <w:sz w:val="2"/>
                <w:szCs w:val="2"/>
              </w:rPr>
            </w:pPr>
          </w:p>
        </w:tc>
        <w:tc>
          <w:tcPr>
            <w:tcW w:w="1702" w:type="dxa"/>
            <w:vMerge/>
            <w:tcBorders>
              <w:top w:val="nil"/>
            </w:tcBorders>
            <w:shd w:val="clear" w:color="auto" w:fill="F7C9AC"/>
          </w:tcPr>
          <w:p w:rsidR="007C5447" w:rsidRDefault="007C5447">
            <w:pPr>
              <w:rPr>
                <w:sz w:val="2"/>
                <w:szCs w:val="2"/>
              </w:rPr>
            </w:pPr>
          </w:p>
        </w:tc>
        <w:tc>
          <w:tcPr>
            <w:tcW w:w="1609" w:type="dxa"/>
            <w:vMerge/>
            <w:tcBorders>
              <w:top w:val="nil"/>
            </w:tcBorders>
            <w:shd w:val="clear" w:color="auto" w:fill="F7C9AC"/>
          </w:tcPr>
          <w:p w:rsidR="007C5447" w:rsidRDefault="007C5447">
            <w:pPr>
              <w:rPr>
                <w:sz w:val="2"/>
                <w:szCs w:val="2"/>
              </w:rPr>
            </w:pPr>
          </w:p>
        </w:tc>
        <w:tc>
          <w:tcPr>
            <w:tcW w:w="2045" w:type="dxa"/>
            <w:shd w:val="clear" w:color="auto" w:fill="F7C9AC"/>
          </w:tcPr>
          <w:p w:rsidR="007C5447" w:rsidRDefault="00F6308C">
            <w:pPr>
              <w:pStyle w:val="TableParagraph"/>
              <w:spacing w:before="61"/>
              <w:ind w:left="533" w:right="236" w:hanging="276"/>
              <w:jc w:val="left"/>
              <w:rPr>
                <w:b/>
              </w:rPr>
            </w:pPr>
            <w:r>
              <w:rPr>
                <w:b/>
              </w:rPr>
              <w:t>Energy Charges (Rs./kWh)</w:t>
            </w:r>
          </w:p>
        </w:tc>
        <w:tc>
          <w:tcPr>
            <w:tcW w:w="2636" w:type="dxa"/>
            <w:shd w:val="clear" w:color="auto" w:fill="F7C9AC"/>
          </w:tcPr>
          <w:p w:rsidR="007C5447" w:rsidRDefault="00F6308C">
            <w:pPr>
              <w:pStyle w:val="TableParagraph"/>
              <w:spacing w:before="188"/>
              <w:ind w:left="361" w:right="358"/>
              <w:jc w:val="center"/>
              <w:rPr>
                <w:b/>
              </w:rPr>
            </w:pPr>
            <w:r>
              <w:rPr>
                <w:b/>
              </w:rPr>
              <w:t>Fixed Charges (Rs.)</w:t>
            </w:r>
          </w:p>
        </w:tc>
        <w:tc>
          <w:tcPr>
            <w:tcW w:w="2046" w:type="dxa"/>
            <w:shd w:val="clear" w:color="auto" w:fill="F7C9AC"/>
          </w:tcPr>
          <w:p w:rsidR="007C5447" w:rsidRDefault="00F6308C">
            <w:pPr>
              <w:pStyle w:val="TableParagraph"/>
              <w:spacing w:before="61"/>
              <w:ind w:left="533" w:right="237" w:hanging="276"/>
              <w:jc w:val="left"/>
              <w:rPr>
                <w:b/>
              </w:rPr>
            </w:pPr>
            <w:r>
              <w:rPr>
                <w:b/>
              </w:rPr>
              <w:t>Energy Charges (Rs./kWh)</w:t>
            </w:r>
          </w:p>
        </w:tc>
        <w:tc>
          <w:tcPr>
            <w:tcW w:w="2636" w:type="dxa"/>
            <w:shd w:val="clear" w:color="auto" w:fill="F7C9AC"/>
          </w:tcPr>
          <w:p w:rsidR="007C5447" w:rsidRDefault="00F6308C">
            <w:pPr>
              <w:pStyle w:val="TableParagraph"/>
              <w:spacing w:before="188"/>
              <w:ind w:left="360" w:right="359"/>
              <w:jc w:val="center"/>
              <w:rPr>
                <w:b/>
              </w:rPr>
            </w:pPr>
            <w:r>
              <w:rPr>
                <w:b/>
              </w:rPr>
              <w:t>Fixed Charges (Rs.)</w:t>
            </w:r>
          </w:p>
        </w:tc>
      </w:tr>
      <w:tr w:rsidR="007C5447">
        <w:trPr>
          <w:trHeight w:val="328"/>
        </w:trPr>
        <w:tc>
          <w:tcPr>
            <w:tcW w:w="14230" w:type="dxa"/>
            <w:gridSpan w:val="7"/>
            <w:tcBorders>
              <w:right w:val="nil"/>
            </w:tcBorders>
          </w:tcPr>
          <w:p w:rsidR="007C5447" w:rsidRDefault="00F6308C">
            <w:pPr>
              <w:pStyle w:val="TableParagraph"/>
              <w:spacing w:before="61" w:line="248" w:lineRule="exact"/>
              <w:ind w:left="107"/>
              <w:jc w:val="left"/>
              <w:rPr>
                <w:b/>
              </w:rPr>
            </w:pPr>
            <w:r>
              <w:rPr>
                <w:b/>
              </w:rPr>
              <w:t>Tariff of Low Tension Consumers</w:t>
            </w:r>
          </w:p>
        </w:tc>
      </w:tr>
      <w:tr w:rsidR="007C5447">
        <w:trPr>
          <w:trHeight w:val="330"/>
        </w:trPr>
        <w:tc>
          <w:tcPr>
            <w:tcW w:w="1556" w:type="dxa"/>
          </w:tcPr>
          <w:p w:rsidR="007C5447" w:rsidRDefault="00F6308C">
            <w:pPr>
              <w:pStyle w:val="TableParagraph"/>
              <w:spacing w:before="61" w:line="250" w:lineRule="exact"/>
              <w:ind w:left="415"/>
              <w:jc w:val="left"/>
              <w:rPr>
                <w:b/>
              </w:rPr>
            </w:pPr>
            <w:r>
              <w:rPr>
                <w:b/>
              </w:rPr>
              <w:t>LT - IA</w:t>
            </w:r>
          </w:p>
        </w:tc>
        <w:tc>
          <w:tcPr>
            <w:tcW w:w="12674" w:type="dxa"/>
            <w:gridSpan w:val="6"/>
          </w:tcPr>
          <w:p w:rsidR="007C5447" w:rsidRDefault="00F6308C">
            <w:pPr>
              <w:pStyle w:val="TableParagraph"/>
              <w:spacing w:before="61" w:line="250" w:lineRule="exact"/>
              <w:ind w:left="107"/>
              <w:jc w:val="left"/>
              <w:rPr>
                <w:b/>
              </w:rPr>
            </w:pPr>
            <w:r>
              <w:rPr>
                <w:b/>
              </w:rPr>
              <w:t>Domestic</w:t>
            </w:r>
          </w:p>
        </w:tc>
      </w:tr>
      <w:tr w:rsidR="007C5447">
        <w:trPr>
          <w:trHeight w:val="331"/>
        </w:trPr>
        <w:tc>
          <w:tcPr>
            <w:tcW w:w="1556" w:type="dxa"/>
          </w:tcPr>
          <w:p w:rsidR="007C5447" w:rsidRDefault="007C5447">
            <w:pPr>
              <w:pStyle w:val="TableParagraph"/>
              <w:jc w:val="left"/>
            </w:pPr>
          </w:p>
        </w:tc>
        <w:tc>
          <w:tcPr>
            <w:tcW w:w="1702" w:type="dxa"/>
          </w:tcPr>
          <w:p w:rsidR="007C5447" w:rsidRDefault="00F6308C">
            <w:pPr>
              <w:pStyle w:val="TableParagraph"/>
              <w:spacing w:before="61" w:line="250" w:lineRule="exact"/>
              <w:ind w:left="107"/>
              <w:jc w:val="left"/>
            </w:pPr>
            <w:r>
              <w:t>1-50 kWh</w:t>
            </w:r>
          </w:p>
        </w:tc>
        <w:tc>
          <w:tcPr>
            <w:tcW w:w="1609" w:type="dxa"/>
          </w:tcPr>
          <w:p w:rsidR="007C5447" w:rsidRDefault="007C5447">
            <w:pPr>
              <w:pStyle w:val="TableParagraph"/>
              <w:jc w:val="left"/>
            </w:pPr>
          </w:p>
        </w:tc>
        <w:tc>
          <w:tcPr>
            <w:tcW w:w="2045" w:type="dxa"/>
          </w:tcPr>
          <w:p w:rsidR="007C5447" w:rsidRDefault="00F6308C">
            <w:pPr>
              <w:pStyle w:val="TableParagraph"/>
              <w:spacing w:before="61" w:line="250" w:lineRule="exact"/>
              <w:ind w:left="754" w:right="745"/>
              <w:jc w:val="center"/>
            </w:pPr>
            <w:r>
              <w:t>3.00</w:t>
            </w:r>
          </w:p>
        </w:tc>
        <w:tc>
          <w:tcPr>
            <w:tcW w:w="2636" w:type="dxa"/>
          </w:tcPr>
          <w:p w:rsidR="007C5447" w:rsidRDefault="00F6308C">
            <w:pPr>
              <w:pStyle w:val="TableParagraph"/>
              <w:spacing w:before="61" w:line="250" w:lineRule="exact"/>
              <w:ind w:left="361" w:right="353"/>
              <w:jc w:val="center"/>
            </w:pPr>
            <w:r>
              <w:t>15/ month</w:t>
            </w:r>
          </w:p>
        </w:tc>
        <w:tc>
          <w:tcPr>
            <w:tcW w:w="2046" w:type="dxa"/>
          </w:tcPr>
          <w:p w:rsidR="007C5447" w:rsidRDefault="00F6308C">
            <w:pPr>
              <w:pStyle w:val="TableParagraph"/>
              <w:spacing w:before="61" w:line="250" w:lineRule="exact"/>
              <w:ind w:right="819"/>
            </w:pPr>
            <w:r>
              <w:t>2.50</w:t>
            </w:r>
          </w:p>
        </w:tc>
        <w:tc>
          <w:tcPr>
            <w:tcW w:w="2636" w:type="dxa"/>
          </w:tcPr>
          <w:p w:rsidR="007C5447" w:rsidRDefault="00F6308C">
            <w:pPr>
              <w:pStyle w:val="TableParagraph"/>
              <w:spacing w:before="61" w:line="250" w:lineRule="exact"/>
              <w:ind w:left="361" w:right="355"/>
              <w:jc w:val="center"/>
            </w:pPr>
            <w:r>
              <w:t>15/ month</w:t>
            </w:r>
          </w:p>
        </w:tc>
      </w:tr>
      <w:tr w:rsidR="007C5447">
        <w:trPr>
          <w:trHeight w:val="328"/>
        </w:trPr>
        <w:tc>
          <w:tcPr>
            <w:tcW w:w="1556" w:type="dxa"/>
          </w:tcPr>
          <w:p w:rsidR="007C5447" w:rsidRDefault="007C5447">
            <w:pPr>
              <w:pStyle w:val="TableParagraph"/>
              <w:jc w:val="left"/>
            </w:pPr>
          </w:p>
        </w:tc>
        <w:tc>
          <w:tcPr>
            <w:tcW w:w="1702" w:type="dxa"/>
          </w:tcPr>
          <w:p w:rsidR="007C5447" w:rsidRDefault="00F6308C">
            <w:pPr>
              <w:pStyle w:val="TableParagraph"/>
              <w:spacing w:before="61" w:line="248" w:lineRule="exact"/>
              <w:ind w:left="107"/>
              <w:jc w:val="left"/>
            </w:pPr>
            <w:r>
              <w:t>51-100 kWh</w:t>
            </w:r>
          </w:p>
        </w:tc>
        <w:tc>
          <w:tcPr>
            <w:tcW w:w="1609" w:type="dxa"/>
          </w:tcPr>
          <w:p w:rsidR="007C5447" w:rsidRDefault="00F6308C">
            <w:pPr>
              <w:pStyle w:val="TableParagraph"/>
              <w:spacing w:before="61" w:line="248" w:lineRule="exact"/>
              <w:ind w:left="106"/>
              <w:jc w:val="left"/>
            </w:pPr>
            <w:r>
              <w:t>0-50 kWh</w:t>
            </w:r>
          </w:p>
        </w:tc>
        <w:tc>
          <w:tcPr>
            <w:tcW w:w="2045" w:type="dxa"/>
          </w:tcPr>
          <w:p w:rsidR="007C5447" w:rsidRDefault="00F6308C">
            <w:pPr>
              <w:pStyle w:val="TableParagraph"/>
              <w:spacing w:before="61" w:line="248" w:lineRule="exact"/>
              <w:ind w:left="754" w:right="745"/>
              <w:jc w:val="center"/>
            </w:pPr>
            <w:r>
              <w:t>3.25</w:t>
            </w:r>
          </w:p>
        </w:tc>
        <w:tc>
          <w:tcPr>
            <w:tcW w:w="2636" w:type="dxa"/>
          </w:tcPr>
          <w:p w:rsidR="007C5447" w:rsidRDefault="00F6308C">
            <w:pPr>
              <w:pStyle w:val="TableParagraph"/>
              <w:spacing w:before="61" w:line="248" w:lineRule="exact"/>
              <w:ind w:left="361" w:right="353"/>
              <w:jc w:val="center"/>
            </w:pPr>
            <w:r>
              <w:t>15/ month</w:t>
            </w:r>
          </w:p>
        </w:tc>
        <w:tc>
          <w:tcPr>
            <w:tcW w:w="2046" w:type="dxa"/>
          </w:tcPr>
          <w:p w:rsidR="007C5447" w:rsidRDefault="00F6308C">
            <w:pPr>
              <w:pStyle w:val="TableParagraph"/>
              <w:spacing w:before="61" w:line="248" w:lineRule="exact"/>
              <w:ind w:right="819"/>
            </w:pPr>
            <w:r>
              <w:t>2.50</w:t>
            </w:r>
          </w:p>
        </w:tc>
        <w:tc>
          <w:tcPr>
            <w:tcW w:w="2636" w:type="dxa"/>
          </w:tcPr>
          <w:p w:rsidR="007C5447" w:rsidRDefault="00F6308C">
            <w:pPr>
              <w:pStyle w:val="TableParagraph"/>
              <w:spacing w:before="61" w:line="248" w:lineRule="exact"/>
              <w:ind w:left="361" w:right="355"/>
              <w:jc w:val="center"/>
            </w:pPr>
            <w:r>
              <w:t>10/ month</w:t>
            </w:r>
          </w:p>
        </w:tc>
      </w:tr>
      <w:tr w:rsidR="007C5447">
        <w:trPr>
          <w:trHeight w:val="330"/>
        </w:trPr>
        <w:tc>
          <w:tcPr>
            <w:tcW w:w="1556" w:type="dxa"/>
          </w:tcPr>
          <w:p w:rsidR="007C5447" w:rsidRDefault="007C5447">
            <w:pPr>
              <w:pStyle w:val="TableParagraph"/>
              <w:jc w:val="left"/>
            </w:pPr>
          </w:p>
        </w:tc>
        <w:tc>
          <w:tcPr>
            <w:tcW w:w="1702" w:type="dxa"/>
          </w:tcPr>
          <w:p w:rsidR="007C5447" w:rsidRDefault="007C5447">
            <w:pPr>
              <w:pStyle w:val="TableParagraph"/>
              <w:jc w:val="left"/>
            </w:pPr>
          </w:p>
        </w:tc>
        <w:tc>
          <w:tcPr>
            <w:tcW w:w="1609" w:type="dxa"/>
          </w:tcPr>
          <w:p w:rsidR="007C5447" w:rsidRDefault="00F6308C">
            <w:pPr>
              <w:pStyle w:val="TableParagraph"/>
              <w:spacing w:before="61" w:line="250" w:lineRule="exact"/>
              <w:ind w:left="106"/>
              <w:jc w:val="left"/>
            </w:pPr>
            <w:r>
              <w:t>51-100 kWh</w:t>
            </w:r>
          </w:p>
        </w:tc>
        <w:tc>
          <w:tcPr>
            <w:tcW w:w="2045" w:type="dxa"/>
          </w:tcPr>
          <w:p w:rsidR="007C5447" w:rsidRDefault="00F6308C">
            <w:pPr>
              <w:pStyle w:val="TableParagraph"/>
              <w:spacing w:before="61" w:line="250" w:lineRule="exact"/>
              <w:ind w:left="754" w:right="745"/>
              <w:jc w:val="center"/>
            </w:pPr>
            <w:r>
              <w:t>3.25</w:t>
            </w:r>
          </w:p>
        </w:tc>
        <w:tc>
          <w:tcPr>
            <w:tcW w:w="2636" w:type="dxa"/>
          </w:tcPr>
          <w:p w:rsidR="007C5447" w:rsidRDefault="00F6308C">
            <w:pPr>
              <w:pStyle w:val="TableParagraph"/>
              <w:spacing w:before="61" w:line="250" w:lineRule="exact"/>
              <w:ind w:left="361" w:right="353"/>
              <w:jc w:val="center"/>
            </w:pPr>
            <w:r>
              <w:t>15/ month</w:t>
            </w:r>
          </w:p>
        </w:tc>
        <w:tc>
          <w:tcPr>
            <w:tcW w:w="2046" w:type="dxa"/>
          </w:tcPr>
          <w:p w:rsidR="007C5447" w:rsidRDefault="00F6308C">
            <w:pPr>
              <w:pStyle w:val="TableParagraph"/>
              <w:spacing w:before="61" w:line="250" w:lineRule="exact"/>
              <w:ind w:right="819"/>
            </w:pPr>
            <w:r>
              <w:t>1.50</w:t>
            </w:r>
          </w:p>
        </w:tc>
        <w:tc>
          <w:tcPr>
            <w:tcW w:w="2636" w:type="dxa"/>
          </w:tcPr>
          <w:p w:rsidR="007C5447" w:rsidRDefault="00F6308C">
            <w:pPr>
              <w:pStyle w:val="TableParagraph"/>
              <w:spacing w:before="61" w:line="250" w:lineRule="exact"/>
              <w:ind w:left="361" w:right="355"/>
              <w:jc w:val="center"/>
            </w:pPr>
            <w:r>
              <w:t>10/ month</w:t>
            </w:r>
          </w:p>
        </w:tc>
      </w:tr>
      <w:tr w:rsidR="007C5447">
        <w:trPr>
          <w:trHeight w:val="330"/>
        </w:trPr>
        <w:tc>
          <w:tcPr>
            <w:tcW w:w="1556" w:type="dxa"/>
          </w:tcPr>
          <w:p w:rsidR="007C5447" w:rsidRDefault="007C5447">
            <w:pPr>
              <w:pStyle w:val="TableParagraph"/>
              <w:jc w:val="left"/>
            </w:pPr>
          </w:p>
        </w:tc>
        <w:tc>
          <w:tcPr>
            <w:tcW w:w="1702" w:type="dxa"/>
          </w:tcPr>
          <w:p w:rsidR="007C5447" w:rsidRDefault="00F6308C">
            <w:pPr>
              <w:pStyle w:val="TableParagraph"/>
              <w:spacing w:before="61" w:line="250" w:lineRule="exact"/>
              <w:ind w:left="107"/>
              <w:jc w:val="left"/>
            </w:pPr>
            <w:r>
              <w:t>101-250 kWh</w:t>
            </w:r>
          </w:p>
        </w:tc>
        <w:tc>
          <w:tcPr>
            <w:tcW w:w="1609" w:type="dxa"/>
          </w:tcPr>
          <w:p w:rsidR="007C5447" w:rsidRDefault="00F6308C">
            <w:pPr>
              <w:pStyle w:val="TableParagraph"/>
              <w:spacing w:before="61" w:line="250" w:lineRule="exact"/>
              <w:ind w:left="106"/>
              <w:jc w:val="left"/>
            </w:pPr>
            <w:r>
              <w:t>0-50 kWh</w:t>
            </w:r>
          </w:p>
        </w:tc>
        <w:tc>
          <w:tcPr>
            <w:tcW w:w="2045" w:type="dxa"/>
          </w:tcPr>
          <w:p w:rsidR="007C5447" w:rsidRDefault="00F6308C">
            <w:pPr>
              <w:pStyle w:val="TableParagraph"/>
              <w:spacing w:before="61" w:line="250" w:lineRule="exact"/>
              <w:ind w:left="754" w:right="745"/>
              <w:jc w:val="center"/>
            </w:pPr>
            <w:r>
              <w:t>3.50</w:t>
            </w:r>
          </w:p>
        </w:tc>
        <w:tc>
          <w:tcPr>
            <w:tcW w:w="2636" w:type="dxa"/>
          </w:tcPr>
          <w:p w:rsidR="007C5447" w:rsidRDefault="00F6308C">
            <w:pPr>
              <w:pStyle w:val="TableParagraph"/>
              <w:spacing w:before="61" w:line="250" w:lineRule="exact"/>
              <w:ind w:left="361" w:right="353"/>
              <w:jc w:val="center"/>
            </w:pPr>
            <w:r>
              <w:t>20/ month</w:t>
            </w:r>
          </w:p>
        </w:tc>
        <w:tc>
          <w:tcPr>
            <w:tcW w:w="2046" w:type="dxa"/>
          </w:tcPr>
          <w:p w:rsidR="007C5447" w:rsidRDefault="00F6308C">
            <w:pPr>
              <w:pStyle w:val="TableParagraph"/>
              <w:spacing w:before="61" w:line="250" w:lineRule="exact"/>
              <w:ind w:right="819"/>
            </w:pPr>
            <w:r>
              <w:t>2.50</w:t>
            </w:r>
          </w:p>
        </w:tc>
        <w:tc>
          <w:tcPr>
            <w:tcW w:w="2636" w:type="dxa"/>
          </w:tcPr>
          <w:p w:rsidR="007C5447" w:rsidRDefault="00F6308C">
            <w:pPr>
              <w:pStyle w:val="TableParagraph"/>
              <w:spacing w:before="61" w:line="250" w:lineRule="exact"/>
              <w:ind w:left="361" w:right="355"/>
              <w:jc w:val="center"/>
            </w:pPr>
            <w:r>
              <w:t>15/ month</w:t>
            </w:r>
          </w:p>
        </w:tc>
      </w:tr>
      <w:tr w:rsidR="007C5447">
        <w:trPr>
          <w:trHeight w:val="328"/>
        </w:trPr>
        <w:tc>
          <w:tcPr>
            <w:tcW w:w="1556" w:type="dxa"/>
          </w:tcPr>
          <w:p w:rsidR="007C5447" w:rsidRDefault="007C5447">
            <w:pPr>
              <w:pStyle w:val="TableParagraph"/>
              <w:jc w:val="left"/>
            </w:pPr>
          </w:p>
        </w:tc>
        <w:tc>
          <w:tcPr>
            <w:tcW w:w="1702" w:type="dxa"/>
          </w:tcPr>
          <w:p w:rsidR="007C5447" w:rsidRDefault="007C5447">
            <w:pPr>
              <w:pStyle w:val="TableParagraph"/>
              <w:jc w:val="left"/>
            </w:pPr>
          </w:p>
        </w:tc>
        <w:tc>
          <w:tcPr>
            <w:tcW w:w="1609" w:type="dxa"/>
          </w:tcPr>
          <w:p w:rsidR="007C5447" w:rsidRDefault="00F6308C">
            <w:pPr>
              <w:pStyle w:val="TableParagraph"/>
              <w:spacing w:before="61" w:line="248" w:lineRule="exact"/>
              <w:ind w:left="106"/>
              <w:jc w:val="left"/>
            </w:pPr>
            <w:r>
              <w:t>51-100 kWh</w:t>
            </w:r>
          </w:p>
        </w:tc>
        <w:tc>
          <w:tcPr>
            <w:tcW w:w="2045" w:type="dxa"/>
          </w:tcPr>
          <w:p w:rsidR="007C5447" w:rsidRDefault="00F6308C">
            <w:pPr>
              <w:pStyle w:val="TableParagraph"/>
              <w:spacing w:before="61" w:line="248" w:lineRule="exact"/>
              <w:ind w:left="754" w:right="745"/>
              <w:jc w:val="center"/>
            </w:pPr>
            <w:r>
              <w:t>3.50</w:t>
            </w:r>
          </w:p>
        </w:tc>
        <w:tc>
          <w:tcPr>
            <w:tcW w:w="2636" w:type="dxa"/>
          </w:tcPr>
          <w:p w:rsidR="007C5447" w:rsidRDefault="00F6308C">
            <w:pPr>
              <w:pStyle w:val="TableParagraph"/>
              <w:spacing w:before="61" w:line="248" w:lineRule="exact"/>
              <w:ind w:left="361" w:right="353"/>
              <w:jc w:val="center"/>
            </w:pPr>
            <w:r>
              <w:t>20/ month</w:t>
            </w:r>
          </w:p>
        </w:tc>
        <w:tc>
          <w:tcPr>
            <w:tcW w:w="2046" w:type="dxa"/>
          </w:tcPr>
          <w:p w:rsidR="007C5447" w:rsidRDefault="00F6308C">
            <w:pPr>
              <w:pStyle w:val="TableParagraph"/>
              <w:spacing w:before="61" w:line="248" w:lineRule="exact"/>
              <w:ind w:right="819"/>
            </w:pPr>
            <w:r>
              <w:t>2.00</w:t>
            </w:r>
          </w:p>
        </w:tc>
        <w:tc>
          <w:tcPr>
            <w:tcW w:w="2636" w:type="dxa"/>
          </w:tcPr>
          <w:p w:rsidR="007C5447" w:rsidRDefault="00F6308C">
            <w:pPr>
              <w:pStyle w:val="TableParagraph"/>
              <w:spacing w:before="61" w:line="248" w:lineRule="exact"/>
              <w:ind w:left="361" w:right="355"/>
              <w:jc w:val="center"/>
            </w:pPr>
            <w:r>
              <w:t>15/ month</w:t>
            </w:r>
          </w:p>
        </w:tc>
      </w:tr>
      <w:tr w:rsidR="007C5447">
        <w:trPr>
          <w:trHeight w:val="330"/>
        </w:trPr>
        <w:tc>
          <w:tcPr>
            <w:tcW w:w="1556" w:type="dxa"/>
          </w:tcPr>
          <w:p w:rsidR="007C5447" w:rsidRDefault="007C5447">
            <w:pPr>
              <w:pStyle w:val="TableParagraph"/>
              <w:jc w:val="left"/>
            </w:pPr>
          </w:p>
        </w:tc>
        <w:tc>
          <w:tcPr>
            <w:tcW w:w="1702" w:type="dxa"/>
          </w:tcPr>
          <w:p w:rsidR="007C5447" w:rsidRDefault="007C5447">
            <w:pPr>
              <w:pStyle w:val="TableParagraph"/>
              <w:jc w:val="left"/>
            </w:pPr>
          </w:p>
        </w:tc>
        <w:tc>
          <w:tcPr>
            <w:tcW w:w="1609" w:type="dxa"/>
          </w:tcPr>
          <w:p w:rsidR="007C5447" w:rsidRDefault="00F6308C">
            <w:pPr>
              <w:pStyle w:val="TableParagraph"/>
              <w:spacing w:before="61" w:line="250" w:lineRule="exact"/>
              <w:ind w:left="106"/>
              <w:jc w:val="left"/>
            </w:pPr>
            <w:r>
              <w:t>101-250 kWh</w:t>
            </w:r>
          </w:p>
        </w:tc>
        <w:tc>
          <w:tcPr>
            <w:tcW w:w="2045" w:type="dxa"/>
          </w:tcPr>
          <w:p w:rsidR="007C5447" w:rsidRDefault="00F6308C">
            <w:pPr>
              <w:pStyle w:val="TableParagraph"/>
              <w:spacing w:before="61" w:line="250" w:lineRule="exact"/>
              <w:ind w:left="754" w:right="745"/>
              <w:jc w:val="center"/>
            </w:pPr>
            <w:r>
              <w:t>4.60</w:t>
            </w:r>
          </w:p>
        </w:tc>
        <w:tc>
          <w:tcPr>
            <w:tcW w:w="2636" w:type="dxa"/>
          </w:tcPr>
          <w:p w:rsidR="007C5447" w:rsidRDefault="00F6308C">
            <w:pPr>
              <w:pStyle w:val="TableParagraph"/>
              <w:spacing w:before="61" w:line="250" w:lineRule="exact"/>
              <w:ind w:left="361" w:right="353"/>
              <w:jc w:val="center"/>
            </w:pPr>
            <w:r>
              <w:t>20/ month</w:t>
            </w:r>
          </w:p>
        </w:tc>
        <w:tc>
          <w:tcPr>
            <w:tcW w:w="2046" w:type="dxa"/>
          </w:tcPr>
          <w:p w:rsidR="007C5447" w:rsidRDefault="00F6308C">
            <w:pPr>
              <w:pStyle w:val="TableParagraph"/>
              <w:spacing w:before="61" w:line="250" w:lineRule="exact"/>
              <w:ind w:right="819"/>
            </w:pPr>
            <w:r>
              <w:t>3.00</w:t>
            </w:r>
          </w:p>
        </w:tc>
        <w:tc>
          <w:tcPr>
            <w:tcW w:w="2636" w:type="dxa"/>
          </w:tcPr>
          <w:p w:rsidR="007C5447" w:rsidRDefault="00F6308C">
            <w:pPr>
              <w:pStyle w:val="TableParagraph"/>
              <w:spacing w:before="61" w:line="250" w:lineRule="exact"/>
              <w:ind w:left="361" w:right="355"/>
              <w:jc w:val="center"/>
            </w:pPr>
            <w:r>
              <w:t>15/ month</w:t>
            </w:r>
          </w:p>
        </w:tc>
      </w:tr>
      <w:tr w:rsidR="007C5447">
        <w:trPr>
          <w:trHeight w:val="330"/>
        </w:trPr>
        <w:tc>
          <w:tcPr>
            <w:tcW w:w="1556" w:type="dxa"/>
          </w:tcPr>
          <w:p w:rsidR="007C5447" w:rsidRDefault="007C5447">
            <w:pPr>
              <w:pStyle w:val="TableParagraph"/>
              <w:jc w:val="left"/>
            </w:pPr>
          </w:p>
        </w:tc>
        <w:tc>
          <w:tcPr>
            <w:tcW w:w="1702" w:type="dxa"/>
          </w:tcPr>
          <w:p w:rsidR="007C5447" w:rsidRDefault="00F6308C">
            <w:pPr>
              <w:pStyle w:val="TableParagraph"/>
              <w:spacing w:before="61" w:line="250" w:lineRule="exact"/>
              <w:ind w:left="107"/>
              <w:jc w:val="left"/>
            </w:pPr>
            <w:r>
              <w:t>Above 250</w:t>
            </w:r>
          </w:p>
        </w:tc>
        <w:tc>
          <w:tcPr>
            <w:tcW w:w="1609" w:type="dxa"/>
          </w:tcPr>
          <w:p w:rsidR="007C5447" w:rsidRDefault="00F6308C">
            <w:pPr>
              <w:pStyle w:val="TableParagraph"/>
              <w:spacing w:before="61" w:line="250" w:lineRule="exact"/>
              <w:ind w:left="106"/>
              <w:jc w:val="left"/>
            </w:pPr>
            <w:r>
              <w:t>0-50 kWh</w:t>
            </w:r>
          </w:p>
        </w:tc>
        <w:tc>
          <w:tcPr>
            <w:tcW w:w="2045" w:type="dxa"/>
          </w:tcPr>
          <w:p w:rsidR="007C5447" w:rsidRDefault="00F6308C">
            <w:pPr>
              <w:pStyle w:val="TableParagraph"/>
              <w:spacing w:before="61" w:line="250" w:lineRule="exact"/>
              <w:ind w:left="754" w:right="745"/>
              <w:jc w:val="center"/>
            </w:pPr>
            <w:r>
              <w:t>3.50</w:t>
            </w:r>
          </w:p>
        </w:tc>
        <w:tc>
          <w:tcPr>
            <w:tcW w:w="2636" w:type="dxa"/>
          </w:tcPr>
          <w:p w:rsidR="007C5447" w:rsidRDefault="00F6308C">
            <w:pPr>
              <w:pStyle w:val="TableParagraph"/>
              <w:spacing w:before="61" w:line="250" w:lineRule="exact"/>
              <w:ind w:left="361" w:right="353"/>
              <w:jc w:val="center"/>
            </w:pPr>
            <w:r>
              <w:t>25/ month</w:t>
            </w:r>
          </w:p>
        </w:tc>
        <w:tc>
          <w:tcPr>
            <w:tcW w:w="2046" w:type="dxa"/>
          </w:tcPr>
          <w:p w:rsidR="007C5447" w:rsidRDefault="00F6308C">
            <w:pPr>
              <w:pStyle w:val="TableParagraph"/>
              <w:spacing w:before="61" w:line="250" w:lineRule="exact"/>
              <w:ind w:right="819"/>
            </w:pPr>
            <w:r>
              <w:t>2.50</w:t>
            </w:r>
          </w:p>
        </w:tc>
        <w:tc>
          <w:tcPr>
            <w:tcW w:w="2636" w:type="dxa"/>
          </w:tcPr>
          <w:p w:rsidR="007C5447" w:rsidRDefault="00F6308C">
            <w:pPr>
              <w:pStyle w:val="TableParagraph"/>
              <w:spacing w:before="61" w:line="250" w:lineRule="exact"/>
              <w:ind w:left="361" w:right="355"/>
              <w:jc w:val="center"/>
            </w:pPr>
            <w:r>
              <w:t>25/ month</w:t>
            </w:r>
          </w:p>
        </w:tc>
      </w:tr>
      <w:tr w:rsidR="007C5447">
        <w:trPr>
          <w:trHeight w:val="328"/>
        </w:trPr>
        <w:tc>
          <w:tcPr>
            <w:tcW w:w="1556" w:type="dxa"/>
          </w:tcPr>
          <w:p w:rsidR="007C5447" w:rsidRDefault="007C5447">
            <w:pPr>
              <w:pStyle w:val="TableParagraph"/>
              <w:jc w:val="left"/>
            </w:pPr>
          </w:p>
        </w:tc>
        <w:tc>
          <w:tcPr>
            <w:tcW w:w="1702" w:type="dxa"/>
          </w:tcPr>
          <w:p w:rsidR="007C5447" w:rsidRDefault="007C5447">
            <w:pPr>
              <w:pStyle w:val="TableParagraph"/>
              <w:jc w:val="left"/>
            </w:pPr>
          </w:p>
        </w:tc>
        <w:tc>
          <w:tcPr>
            <w:tcW w:w="1609" w:type="dxa"/>
          </w:tcPr>
          <w:p w:rsidR="007C5447" w:rsidRDefault="00F6308C">
            <w:pPr>
              <w:pStyle w:val="TableParagraph"/>
              <w:spacing w:before="61" w:line="248" w:lineRule="exact"/>
              <w:ind w:left="106"/>
              <w:jc w:val="left"/>
            </w:pPr>
            <w:r>
              <w:t>51-100 kWh</w:t>
            </w:r>
          </w:p>
        </w:tc>
        <w:tc>
          <w:tcPr>
            <w:tcW w:w="2045" w:type="dxa"/>
          </w:tcPr>
          <w:p w:rsidR="007C5447" w:rsidRDefault="00F6308C">
            <w:pPr>
              <w:pStyle w:val="TableParagraph"/>
              <w:spacing w:before="61" w:line="248" w:lineRule="exact"/>
              <w:ind w:left="754" w:right="745"/>
              <w:jc w:val="center"/>
            </w:pPr>
            <w:r>
              <w:t>3.50</w:t>
            </w:r>
          </w:p>
        </w:tc>
        <w:tc>
          <w:tcPr>
            <w:tcW w:w="2636" w:type="dxa"/>
          </w:tcPr>
          <w:p w:rsidR="007C5447" w:rsidRDefault="00F6308C">
            <w:pPr>
              <w:pStyle w:val="TableParagraph"/>
              <w:spacing w:before="61" w:line="248" w:lineRule="exact"/>
              <w:ind w:left="361" w:right="353"/>
              <w:jc w:val="center"/>
            </w:pPr>
            <w:r>
              <w:t>25/ month</w:t>
            </w:r>
          </w:p>
        </w:tc>
        <w:tc>
          <w:tcPr>
            <w:tcW w:w="2046" w:type="dxa"/>
          </w:tcPr>
          <w:p w:rsidR="007C5447" w:rsidRDefault="00F6308C">
            <w:pPr>
              <w:pStyle w:val="TableParagraph"/>
              <w:spacing w:before="61" w:line="248" w:lineRule="exact"/>
              <w:ind w:right="819"/>
            </w:pPr>
            <w:r>
              <w:t>3.50</w:t>
            </w:r>
          </w:p>
        </w:tc>
        <w:tc>
          <w:tcPr>
            <w:tcW w:w="2636" w:type="dxa"/>
          </w:tcPr>
          <w:p w:rsidR="007C5447" w:rsidRDefault="00F6308C">
            <w:pPr>
              <w:pStyle w:val="TableParagraph"/>
              <w:spacing w:before="61" w:line="248" w:lineRule="exact"/>
              <w:ind w:left="361" w:right="355"/>
              <w:jc w:val="center"/>
            </w:pPr>
            <w:r>
              <w:t>25/ month</w:t>
            </w:r>
          </w:p>
        </w:tc>
      </w:tr>
      <w:tr w:rsidR="007C5447">
        <w:trPr>
          <w:trHeight w:val="330"/>
        </w:trPr>
        <w:tc>
          <w:tcPr>
            <w:tcW w:w="1556" w:type="dxa"/>
          </w:tcPr>
          <w:p w:rsidR="007C5447" w:rsidRDefault="007C5447">
            <w:pPr>
              <w:pStyle w:val="TableParagraph"/>
              <w:jc w:val="left"/>
            </w:pPr>
          </w:p>
        </w:tc>
        <w:tc>
          <w:tcPr>
            <w:tcW w:w="1702" w:type="dxa"/>
          </w:tcPr>
          <w:p w:rsidR="007C5447" w:rsidRDefault="007C5447">
            <w:pPr>
              <w:pStyle w:val="TableParagraph"/>
              <w:jc w:val="left"/>
            </w:pPr>
          </w:p>
        </w:tc>
        <w:tc>
          <w:tcPr>
            <w:tcW w:w="1609" w:type="dxa"/>
          </w:tcPr>
          <w:p w:rsidR="007C5447" w:rsidRDefault="00F6308C">
            <w:pPr>
              <w:pStyle w:val="TableParagraph"/>
              <w:spacing w:before="61" w:line="250" w:lineRule="exact"/>
              <w:ind w:left="106"/>
              <w:jc w:val="left"/>
            </w:pPr>
            <w:r>
              <w:t>101-250 kWh</w:t>
            </w:r>
          </w:p>
        </w:tc>
        <w:tc>
          <w:tcPr>
            <w:tcW w:w="2045" w:type="dxa"/>
          </w:tcPr>
          <w:p w:rsidR="007C5447" w:rsidRDefault="00F6308C">
            <w:pPr>
              <w:pStyle w:val="TableParagraph"/>
              <w:spacing w:before="61" w:line="250" w:lineRule="exact"/>
              <w:ind w:left="754" w:right="745"/>
              <w:jc w:val="center"/>
            </w:pPr>
            <w:r>
              <w:t>4.60</w:t>
            </w:r>
          </w:p>
        </w:tc>
        <w:tc>
          <w:tcPr>
            <w:tcW w:w="2636" w:type="dxa"/>
          </w:tcPr>
          <w:p w:rsidR="007C5447" w:rsidRDefault="00F6308C">
            <w:pPr>
              <w:pStyle w:val="TableParagraph"/>
              <w:spacing w:before="61" w:line="250" w:lineRule="exact"/>
              <w:ind w:left="361" w:right="353"/>
              <w:jc w:val="center"/>
            </w:pPr>
            <w:r>
              <w:t>25/ month</w:t>
            </w:r>
          </w:p>
        </w:tc>
        <w:tc>
          <w:tcPr>
            <w:tcW w:w="2046" w:type="dxa"/>
          </w:tcPr>
          <w:p w:rsidR="007C5447" w:rsidRDefault="00F6308C">
            <w:pPr>
              <w:pStyle w:val="TableParagraph"/>
              <w:spacing w:before="61" w:line="250" w:lineRule="exact"/>
              <w:ind w:right="819"/>
            </w:pPr>
            <w:r>
              <w:t>4.60</w:t>
            </w:r>
          </w:p>
        </w:tc>
        <w:tc>
          <w:tcPr>
            <w:tcW w:w="2636" w:type="dxa"/>
          </w:tcPr>
          <w:p w:rsidR="007C5447" w:rsidRDefault="00F6308C">
            <w:pPr>
              <w:pStyle w:val="TableParagraph"/>
              <w:spacing w:before="61" w:line="250" w:lineRule="exact"/>
              <w:ind w:left="361" w:right="355"/>
              <w:jc w:val="center"/>
            </w:pPr>
            <w:r>
              <w:t>25/ month</w:t>
            </w:r>
          </w:p>
        </w:tc>
      </w:tr>
      <w:tr w:rsidR="007C5447">
        <w:trPr>
          <w:trHeight w:val="330"/>
        </w:trPr>
        <w:tc>
          <w:tcPr>
            <w:tcW w:w="1556" w:type="dxa"/>
          </w:tcPr>
          <w:p w:rsidR="007C5447" w:rsidRDefault="007C5447">
            <w:pPr>
              <w:pStyle w:val="TableParagraph"/>
              <w:jc w:val="left"/>
            </w:pPr>
          </w:p>
        </w:tc>
        <w:tc>
          <w:tcPr>
            <w:tcW w:w="1702" w:type="dxa"/>
          </w:tcPr>
          <w:p w:rsidR="007C5447" w:rsidRDefault="007C5447">
            <w:pPr>
              <w:pStyle w:val="TableParagraph"/>
              <w:jc w:val="left"/>
            </w:pPr>
          </w:p>
        </w:tc>
        <w:tc>
          <w:tcPr>
            <w:tcW w:w="1609" w:type="dxa"/>
          </w:tcPr>
          <w:p w:rsidR="007C5447" w:rsidRDefault="00F6308C">
            <w:pPr>
              <w:pStyle w:val="TableParagraph"/>
              <w:spacing w:before="61" w:line="250" w:lineRule="exact"/>
              <w:ind w:left="106"/>
              <w:jc w:val="left"/>
            </w:pPr>
            <w:r>
              <w:t>above 250 kWh</w:t>
            </w:r>
          </w:p>
        </w:tc>
        <w:tc>
          <w:tcPr>
            <w:tcW w:w="2045" w:type="dxa"/>
          </w:tcPr>
          <w:p w:rsidR="007C5447" w:rsidRDefault="00F6308C">
            <w:pPr>
              <w:pStyle w:val="TableParagraph"/>
              <w:spacing w:before="61" w:line="250" w:lineRule="exact"/>
              <w:ind w:left="754" w:right="745"/>
              <w:jc w:val="center"/>
            </w:pPr>
            <w:r>
              <w:t>6.60</w:t>
            </w:r>
          </w:p>
        </w:tc>
        <w:tc>
          <w:tcPr>
            <w:tcW w:w="2636" w:type="dxa"/>
          </w:tcPr>
          <w:p w:rsidR="007C5447" w:rsidRDefault="00F6308C">
            <w:pPr>
              <w:pStyle w:val="TableParagraph"/>
              <w:spacing w:before="61" w:line="250" w:lineRule="exact"/>
              <w:ind w:left="361" w:right="353"/>
              <w:jc w:val="center"/>
            </w:pPr>
            <w:r>
              <w:t>25/ month</w:t>
            </w:r>
          </w:p>
        </w:tc>
        <w:tc>
          <w:tcPr>
            <w:tcW w:w="2046" w:type="dxa"/>
          </w:tcPr>
          <w:p w:rsidR="007C5447" w:rsidRDefault="00F6308C">
            <w:pPr>
              <w:pStyle w:val="TableParagraph"/>
              <w:spacing w:before="61" w:line="250" w:lineRule="exact"/>
              <w:ind w:right="819"/>
            </w:pPr>
            <w:r>
              <w:t>6.60</w:t>
            </w:r>
          </w:p>
        </w:tc>
        <w:tc>
          <w:tcPr>
            <w:tcW w:w="2636" w:type="dxa"/>
          </w:tcPr>
          <w:p w:rsidR="007C5447" w:rsidRDefault="00F6308C">
            <w:pPr>
              <w:pStyle w:val="TableParagraph"/>
              <w:spacing w:before="61" w:line="250" w:lineRule="exact"/>
              <w:ind w:left="361" w:right="355"/>
              <w:jc w:val="center"/>
            </w:pPr>
            <w:r>
              <w:t>25/ month</w:t>
            </w:r>
          </w:p>
        </w:tc>
      </w:tr>
      <w:tr w:rsidR="007C5447">
        <w:trPr>
          <w:trHeight w:val="328"/>
        </w:trPr>
        <w:tc>
          <w:tcPr>
            <w:tcW w:w="1556" w:type="dxa"/>
          </w:tcPr>
          <w:p w:rsidR="007C5447" w:rsidRDefault="00F6308C">
            <w:pPr>
              <w:pStyle w:val="TableParagraph"/>
              <w:spacing w:before="61" w:line="248" w:lineRule="exact"/>
              <w:ind w:left="422"/>
              <w:jc w:val="left"/>
              <w:rPr>
                <w:b/>
              </w:rPr>
            </w:pPr>
            <w:r>
              <w:rPr>
                <w:b/>
              </w:rPr>
              <w:t>LT - IB</w:t>
            </w:r>
          </w:p>
        </w:tc>
        <w:tc>
          <w:tcPr>
            <w:tcW w:w="12674" w:type="dxa"/>
            <w:gridSpan w:val="6"/>
          </w:tcPr>
          <w:p w:rsidR="007C5447" w:rsidRDefault="00F6308C">
            <w:pPr>
              <w:pStyle w:val="TableParagraph"/>
              <w:spacing w:before="61" w:line="248" w:lineRule="exact"/>
              <w:ind w:left="107"/>
              <w:jc w:val="left"/>
              <w:rPr>
                <w:b/>
              </w:rPr>
            </w:pPr>
            <w:r>
              <w:rPr>
                <w:b/>
              </w:rPr>
              <w:t>Huts</w:t>
            </w:r>
          </w:p>
        </w:tc>
      </w:tr>
      <w:tr w:rsidR="007C5447">
        <w:trPr>
          <w:trHeight w:val="940"/>
        </w:trPr>
        <w:tc>
          <w:tcPr>
            <w:tcW w:w="1556" w:type="dxa"/>
          </w:tcPr>
          <w:p w:rsidR="007C5447" w:rsidRDefault="007C5447">
            <w:pPr>
              <w:pStyle w:val="TableParagraph"/>
              <w:jc w:val="left"/>
            </w:pPr>
          </w:p>
        </w:tc>
        <w:tc>
          <w:tcPr>
            <w:tcW w:w="1702" w:type="dxa"/>
          </w:tcPr>
          <w:p w:rsidR="007C5447" w:rsidRDefault="007C5447">
            <w:pPr>
              <w:pStyle w:val="TableParagraph"/>
              <w:spacing w:before="10"/>
              <w:jc w:val="left"/>
              <w:rPr>
                <w:b/>
                <w:sz w:val="29"/>
              </w:rPr>
            </w:pPr>
          </w:p>
          <w:p w:rsidR="007C5447" w:rsidRDefault="00F6308C">
            <w:pPr>
              <w:pStyle w:val="TableParagraph"/>
              <w:ind w:left="107"/>
              <w:jc w:val="left"/>
            </w:pPr>
            <w:r>
              <w:t>Single Slab</w:t>
            </w:r>
          </w:p>
        </w:tc>
        <w:tc>
          <w:tcPr>
            <w:tcW w:w="1609" w:type="dxa"/>
          </w:tcPr>
          <w:p w:rsidR="007C5447" w:rsidRDefault="007C5447">
            <w:pPr>
              <w:pStyle w:val="TableParagraph"/>
              <w:jc w:val="left"/>
            </w:pPr>
          </w:p>
        </w:tc>
        <w:tc>
          <w:tcPr>
            <w:tcW w:w="2045" w:type="dxa"/>
          </w:tcPr>
          <w:p w:rsidR="007C5447" w:rsidRDefault="007C5447">
            <w:pPr>
              <w:pStyle w:val="TableParagraph"/>
              <w:spacing w:before="9"/>
              <w:jc w:val="left"/>
              <w:rPr>
                <w:b/>
                <w:sz w:val="18"/>
              </w:rPr>
            </w:pPr>
          </w:p>
          <w:p w:rsidR="007C5447" w:rsidRDefault="00F6308C">
            <w:pPr>
              <w:pStyle w:val="TableParagraph"/>
              <w:spacing w:before="1"/>
              <w:ind w:left="106" w:right="143"/>
              <w:jc w:val="left"/>
            </w:pPr>
            <w:r>
              <w:t>4.95 (on installation of energy meter)</w:t>
            </w:r>
          </w:p>
        </w:tc>
        <w:tc>
          <w:tcPr>
            <w:tcW w:w="2636" w:type="dxa"/>
          </w:tcPr>
          <w:p w:rsidR="007C5447" w:rsidRDefault="00F6308C">
            <w:pPr>
              <w:pStyle w:val="TableParagraph"/>
              <w:spacing w:before="89"/>
              <w:ind w:left="106" w:right="630"/>
              <w:jc w:val="left"/>
            </w:pPr>
            <w:r>
              <w:t>145/ month (until installation of energy meter)</w:t>
            </w:r>
          </w:p>
        </w:tc>
        <w:tc>
          <w:tcPr>
            <w:tcW w:w="2046" w:type="dxa"/>
          </w:tcPr>
          <w:p w:rsidR="007C5447" w:rsidRDefault="007C5447">
            <w:pPr>
              <w:pStyle w:val="TableParagraph"/>
              <w:spacing w:before="9"/>
              <w:jc w:val="left"/>
              <w:rPr>
                <w:b/>
                <w:sz w:val="18"/>
              </w:rPr>
            </w:pPr>
          </w:p>
          <w:p w:rsidR="007C5447" w:rsidRDefault="00F6308C">
            <w:pPr>
              <w:pStyle w:val="TableParagraph"/>
              <w:spacing w:before="1"/>
              <w:ind w:left="105" w:right="145"/>
              <w:jc w:val="left"/>
            </w:pPr>
            <w:r>
              <w:t>4.95 (on installation of energy meter)</w:t>
            </w:r>
          </w:p>
        </w:tc>
        <w:tc>
          <w:tcPr>
            <w:tcW w:w="2636" w:type="dxa"/>
          </w:tcPr>
          <w:p w:rsidR="007C5447" w:rsidRDefault="00F6308C">
            <w:pPr>
              <w:pStyle w:val="TableParagraph"/>
              <w:spacing w:before="89"/>
              <w:ind w:left="105" w:right="631"/>
              <w:jc w:val="left"/>
            </w:pPr>
            <w:r>
              <w:t>145/ month (until installation of energy meter)</w:t>
            </w:r>
          </w:p>
        </w:tc>
      </w:tr>
      <w:tr w:rsidR="007C5447">
        <w:trPr>
          <w:trHeight w:val="330"/>
        </w:trPr>
        <w:tc>
          <w:tcPr>
            <w:tcW w:w="1556" w:type="dxa"/>
          </w:tcPr>
          <w:p w:rsidR="007C5447" w:rsidRDefault="00F6308C">
            <w:pPr>
              <w:pStyle w:val="TableParagraph"/>
              <w:spacing w:before="61" w:line="250" w:lineRule="exact"/>
              <w:ind w:left="415"/>
              <w:jc w:val="left"/>
              <w:rPr>
                <w:b/>
              </w:rPr>
            </w:pPr>
            <w:r>
              <w:rPr>
                <w:b/>
              </w:rPr>
              <w:t>LT - IC</w:t>
            </w:r>
          </w:p>
        </w:tc>
        <w:tc>
          <w:tcPr>
            <w:tcW w:w="12674" w:type="dxa"/>
            <w:gridSpan w:val="6"/>
          </w:tcPr>
          <w:p w:rsidR="007C5447" w:rsidRDefault="00F6308C">
            <w:pPr>
              <w:pStyle w:val="TableParagraph"/>
              <w:spacing w:before="61" w:line="250" w:lineRule="exact"/>
              <w:ind w:left="107"/>
              <w:jc w:val="left"/>
              <w:rPr>
                <w:b/>
              </w:rPr>
            </w:pPr>
            <w:r>
              <w:rPr>
                <w:b/>
              </w:rPr>
              <w:t>LT Bulk Supply</w:t>
            </w:r>
          </w:p>
        </w:tc>
      </w:tr>
      <w:tr w:rsidR="007C5447">
        <w:trPr>
          <w:trHeight w:val="329"/>
        </w:trPr>
        <w:tc>
          <w:tcPr>
            <w:tcW w:w="1556" w:type="dxa"/>
          </w:tcPr>
          <w:p w:rsidR="007C5447" w:rsidRDefault="007C5447">
            <w:pPr>
              <w:pStyle w:val="TableParagraph"/>
              <w:jc w:val="left"/>
            </w:pPr>
          </w:p>
        </w:tc>
        <w:tc>
          <w:tcPr>
            <w:tcW w:w="1702" w:type="dxa"/>
          </w:tcPr>
          <w:p w:rsidR="007C5447" w:rsidRDefault="00F6308C">
            <w:pPr>
              <w:pStyle w:val="TableParagraph"/>
              <w:spacing w:before="37"/>
              <w:ind w:left="107"/>
              <w:jc w:val="left"/>
            </w:pPr>
            <w:r>
              <w:t>Single Slab</w:t>
            </w:r>
          </w:p>
        </w:tc>
        <w:tc>
          <w:tcPr>
            <w:tcW w:w="1609" w:type="dxa"/>
          </w:tcPr>
          <w:p w:rsidR="007C5447" w:rsidRDefault="007C5447">
            <w:pPr>
              <w:pStyle w:val="TableParagraph"/>
              <w:jc w:val="left"/>
            </w:pPr>
          </w:p>
        </w:tc>
        <w:tc>
          <w:tcPr>
            <w:tcW w:w="2045" w:type="dxa"/>
          </w:tcPr>
          <w:p w:rsidR="007C5447" w:rsidRDefault="00F6308C">
            <w:pPr>
              <w:pStyle w:val="TableParagraph"/>
              <w:spacing w:before="37"/>
              <w:ind w:left="754" w:right="745"/>
              <w:jc w:val="center"/>
            </w:pPr>
            <w:r>
              <w:t>4.60</w:t>
            </w:r>
          </w:p>
        </w:tc>
        <w:tc>
          <w:tcPr>
            <w:tcW w:w="2636" w:type="dxa"/>
          </w:tcPr>
          <w:p w:rsidR="007C5447" w:rsidRDefault="00F6308C">
            <w:pPr>
              <w:pStyle w:val="TableParagraph"/>
              <w:spacing w:before="37"/>
              <w:ind w:left="361" w:right="353"/>
              <w:jc w:val="center"/>
            </w:pPr>
            <w:r>
              <w:t>60/ month</w:t>
            </w:r>
          </w:p>
        </w:tc>
        <w:tc>
          <w:tcPr>
            <w:tcW w:w="2046" w:type="dxa"/>
          </w:tcPr>
          <w:p w:rsidR="007C5447" w:rsidRDefault="00F6308C">
            <w:pPr>
              <w:pStyle w:val="TableParagraph"/>
              <w:spacing w:before="37"/>
              <w:ind w:right="819"/>
            </w:pPr>
            <w:r>
              <w:t>4.60</w:t>
            </w:r>
          </w:p>
        </w:tc>
        <w:tc>
          <w:tcPr>
            <w:tcW w:w="2636" w:type="dxa"/>
          </w:tcPr>
          <w:p w:rsidR="007C5447" w:rsidRDefault="00F6308C">
            <w:pPr>
              <w:pStyle w:val="TableParagraph"/>
              <w:spacing w:before="37"/>
              <w:ind w:left="361" w:right="355"/>
              <w:jc w:val="center"/>
            </w:pPr>
            <w:r>
              <w:t>60/ month</w:t>
            </w:r>
          </w:p>
        </w:tc>
      </w:tr>
      <w:tr w:rsidR="007C5447">
        <w:trPr>
          <w:trHeight w:val="330"/>
        </w:trPr>
        <w:tc>
          <w:tcPr>
            <w:tcW w:w="1556" w:type="dxa"/>
          </w:tcPr>
          <w:p w:rsidR="007C5447" w:rsidRDefault="00F6308C">
            <w:pPr>
              <w:pStyle w:val="TableParagraph"/>
              <w:spacing w:before="61" w:line="250" w:lineRule="exact"/>
              <w:ind w:left="374"/>
              <w:jc w:val="left"/>
              <w:rPr>
                <w:b/>
              </w:rPr>
            </w:pPr>
            <w:r>
              <w:rPr>
                <w:b/>
              </w:rPr>
              <w:t>LT - IIA</w:t>
            </w:r>
          </w:p>
        </w:tc>
        <w:tc>
          <w:tcPr>
            <w:tcW w:w="12674" w:type="dxa"/>
            <w:gridSpan w:val="6"/>
          </w:tcPr>
          <w:p w:rsidR="007C5447" w:rsidRDefault="00F6308C">
            <w:pPr>
              <w:pStyle w:val="TableParagraph"/>
              <w:spacing w:before="61" w:line="250" w:lineRule="exact"/>
              <w:ind w:left="107"/>
              <w:jc w:val="left"/>
              <w:rPr>
                <w:b/>
              </w:rPr>
            </w:pPr>
            <w:r>
              <w:rPr>
                <w:b/>
              </w:rPr>
              <w:t>Public Lighting and Water Supply</w:t>
            </w:r>
          </w:p>
        </w:tc>
      </w:tr>
      <w:tr w:rsidR="007C5447">
        <w:trPr>
          <w:trHeight w:val="330"/>
        </w:trPr>
        <w:tc>
          <w:tcPr>
            <w:tcW w:w="1556" w:type="dxa"/>
          </w:tcPr>
          <w:p w:rsidR="007C5447" w:rsidRDefault="007C5447">
            <w:pPr>
              <w:pStyle w:val="TableParagraph"/>
              <w:jc w:val="left"/>
            </w:pPr>
          </w:p>
        </w:tc>
        <w:tc>
          <w:tcPr>
            <w:tcW w:w="1702" w:type="dxa"/>
          </w:tcPr>
          <w:p w:rsidR="007C5447" w:rsidRDefault="00F6308C">
            <w:pPr>
              <w:pStyle w:val="TableParagraph"/>
              <w:spacing w:before="37"/>
              <w:ind w:left="107"/>
              <w:jc w:val="left"/>
            </w:pPr>
            <w:r>
              <w:t>Single Slab</w:t>
            </w:r>
          </w:p>
        </w:tc>
        <w:tc>
          <w:tcPr>
            <w:tcW w:w="1609" w:type="dxa"/>
          </w:tcPr>
          <w:p w:rsidR="007C5447" w:rsidRDefault="007C5447">
            <w:pPr>
              <w:pStyle w:val="TableParagraph"/>
              <w:jc w:val="left"/>
            </w:pPr>
          </w:p>
        </w:tc>
        <w:tc>
          <w:tcPr>
            <w:tcW w:w="2045" w:type="dxa"/>
          </w:tcPr>
          <w:p w:rsidR="007C5447" w:rsidRDefault="00F6308C">
            <w:pPr>
              <w:pStyle w:val="TableParagraph"/>
              <w:spacing w:before="61" w:line="250" w:lineRule="exact"/>
              <w:ind w:left="754" w:right="745"/>
              <w:jc w:val="center"/>
            </w:pPr>
            <w:r>
              <w:t>6.35</w:t>
            </w:r>
          </w:p>
        </w:tc>
        <w:tc>
          <w:tcPr>
            <w:tcW w:w="2636" w:type="dxa"/>
          </w:tcPr>
          <w:p w:rsidR="007C5447" w:rsidRDefault="00F6308C">
            <w:pPr>
              <w:pStyle w:val="TableParagraph"/>
              <w:spacing w:before="61" w:line="250" w:lineRule="exact"/>
              <w:ind w:left="361" w:right="355"/>
              <w:jc w:val="center"/>
            </w:pPr>
            <w:r>
              <w:t>60/kW/month</w:t>
            </w:r>
          </w:p>
        </w:tc>
        <w:tc>
          <w:tcPr>
            <w:tcW w:w="2046" w:type="dxa"/>
          </w:tcPr>
          <w:p w:rsidR="007C5447" w:rsidRDefault="00F6308C">
            <w:pPr>
              <w:pStyle w:val="TableParagraph"/>
              <w:spacing w:before="61" w:line="250" w:lineRule="exact"/>
              <w:ind w:right="819"/>
            </w:pPr>
            <w:r>
              <w:t>6.35</w:t>
            </w:r>
          </w:p>
        </w:tc>
        <w:tc>
          <w:tcPr>
            <w:tcW w:w="2636" w:type="dxa"/>
          </w:tcPr>
          <w:p w:rsidR="007C5447" w:rsidRDefault="00F6308C">
            <w:pPr>
              <w:pStyle w:val="TableParagraph"/>
              <w:spacing w:before="61" w:line="250" w:lineRule="exact"/>
              <w:ind w:left="361" w:right="358"/>
              <w:jc w:val="center"/>
            </w:pPr>
            <w:r>
              <w:t>60/kW/month</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F6308C">
      <w:pPr>
        <w:pStyle w:val="BodyText"/>
        <w:spacing w:before="3"/>
        <w:rPr>
          <w:b/>
          <w:sz w:val="17"/>
        </w:rPr>
      </w:pPr>
      <w:r>
        <w:pict>
          <v:line id="_x0000_s1050" style="position:absolute;z-index:-251641856;mso-wrap-distance-left:0;mso-wrap-distance-right:0;mso-position-horizontal-relative:page" from="70.55pt,12.65pt" to="771.45pt,12.65pt" strokeweight="1.44pt">
            <w10:wrap type="topAndBottom" anchorx="page"/>
          </v:line>
        </w:pict>
      </w:r>
    </w:p>
    <w:p w:rsidR="007C5447" w:rsidRDefault="007C5447">
      <w:pPr>
        <w:rPr>
          <w:sz w:val="17"/>
        </w:rPr>
        <w:sectPr w:rsidR="007C5447">
          <w:footerReference w:type="default" r:id="rId64"/>
          <w:pgSz w:w="16840" w:h="11910" w:orient="landscape"/>
          <w:pgMar w:top="1100" w:right="1040" w:bottom="1040" w:left="1340" w:header="0" w:footer="857" w:gutter="0"/>
          <w:cols w:space="720"/>
        </w:sectPr>
      </w:pPr>
    </w:p>
    <w:p w:rsidR="007C5447" w:rsidRDefault="007C5447">
      <w:pPr>
        <w:pStyle w:val="BodyText"/>
        <w:rPr>
          <w:sz w:val="29"/>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6"/>
        <w:gridCol w:w="1702"/>
        <w:gridCol w:w="1609"/>
        <w:gridCol w:w="2045"/>
        <w:gridCol w:w="2636"/>
        <w:gridCol w:w="2046"/>
        <w:gridCol w:w="2636"/>
      </w:tblGrid>
      <w:tr w:rsidR="007C5447">
        <w:trPr>
          <w:trHeight w:val="330"/>
        </w:trPr>
        <w:tc>
          <w:tcPr>
            <w:tcW w:w="1556" w:type="dxa"/>
            <w:vMerge w:val="restart"/>
            <w:shd w:val="clear" w:color="auto" w:fill="F7C9AC"/>
          </w:tcPr>
          <w:p w:rsidR="007C5447" w:rsidRDefault="007C5447">
            <w:pPr>
              <w:pStyle w:val="TableParagraph"/>
              <w:spacing w:before="1"/>
              <w:jc w:val="left"/>
              <w:rPr>
                <w:sz w:val="20"/>
              </w:rPr>
            </w:pPr>
          </w:p>
          <w:p w:rsidR="007C5447" w:rsidRDefault="00F6308C">
            <w:pPr>
              <w:pStyle w:val="TableParagraph"/>
              <w:ind w:left="343" w:right="261" w:hanging="56"/>
              <w:jc w:val="left"/>
              <w:rPr>
                <w:b/>
              </w:rPr>
            </w:pPr>
            <w:r>
              <w:rPr>
                <w:b/>
              </w:rPr>
              <w:t>Consumer Category</w:t>
            </w:r>
          </w:p>
        </w:tc>
        <w:tc>
          <w:tcPr>
            <w:tcW w:w="1702" w:type="dxa"/>
            <w:vMerge w:val="restart"/>
            <w:shd w:val="clear" w:color="auto" w:fill="F7C9AC"/>
          </w:tcPr>
          <w:p w:rsidR="007C5447" w:rsidRDefault="007C5447">
            <w:pPr>
              <w:pStyle w:val="TableParagraph"/>
              <w:spacing w:before="1"/>
              <w:jc w:val="left"/>
              <w:rPr>
                <w:sz w:val="20"/>
              </w:rPr>
            </w:pPr>
          </w:p>
          <w:p w:rsidR="007C5447" w:rsidRDefault="00F6308C">
            <w:pPr>
              <w:pStyle w:val="TableParagraph"/>
              <w:ind w:left="265" w:right="240" w:firstLine="331"/>
              <w:jc w:val="left"/>
              <w:rPr>
                <w:b/>
              </w:rPr>
            </w:pPr>
            <w:r>
              <w:rPr>
                <w:b/>
              </w:rPr>
              <w:t>Slabs (Per Month)</w:t>
            </w:r>
          </w:p>
        </w:tc>
        <w:tc>
          <w:tcPr>
            <w:tcW w:w="1609" w:type="dxa"/>
            <w:vMerge w:val="restart"/>
            <w:shd w:val="clear" w:color="auto" w:fill="F7C9AC"/>
          </w:tcPr>
          <w:p w:rsidR="007C5447" w:rsidRDefault="007C5447">
            <w:pPr>
              <w:pStyle w:val="TableParagraph"/>
              <w:spacing w:before="1"/>
              <w:jc w:val="left"/>
              <w:rPr>
                <w:sz w:val="31"/>
              </w:rPr>
            </w:pPr>
          </w:p>
          <w:p w:rsidR="007C5447" w:rsidRDefault="00F6308C">
            <w:pPr>
              <w:pStyle w:val="TableParagraph"/>
              <w:spacing w:before="1"/>
              <w:ind w:left="157"/>
              <w:jc w:val="left"/>
              <w:rPr>
                <w:b/>
              </w:rPr>
            </w:pPr>
            <w:r>
              <w:rPr>
                <w:b/>
              </w:rPr>
              <w:t>Sub Category</w:t>
            </w:r>
          </w:p>
        </w:tc>
        <w:tc>
          <w:tcPr>
            <w:tcW w:w="4681" w:type="dxa"/>
            <w:gridSpan w:val="2"/>
            <w:shd w:val="clear" w:color="auto" w:fill="F7C9AC"/>
          </w:tcPr>
          <w:p w:rsidR="007C5447" w:rsidRDefault="00F6308C">
            <w:pPr>
              <w:pStyle w:val="TableParagraph"/>
              <w:spacing w:before="37"/>
              <w:ind w:left="1624" w:right="1618"/>
              <w:jc w:val="center"/>
              <w:rPr>
                <w:b/>
              </w:rPr>
            </w:pPr>
            <w:r>
              <w:rPr>
                <w:b/>
              </w:rPr>
              <w:t>Existing Tariff</w:t>
            </w:r>
          </w:p>
        </w:tc>
        <w:tc>
          <w:tcPr>
            <w:tcW w:w="4682" w:type="dxa"/>
            <w:gridSpan w:val="2"/>
            <w:shd w:val="clear" w:color="auto" w:fill="F7C9AC"/>
          </w:tcPr>
          <w:p w:rsidR="007C5447" w:rsidRDefault="00F6308C">
            <w:pPr>
              <w:pStyle w:val="TableParagraph"/>
              <w:spacing w:before="37"/>
              <w:ind w:left="1569" w:right="1564"/>
              <w:jc w:val="center"/>
              <w:rPr>
                <w:b/>
              </w:rPr>
            </w:pPr>
            <w:r>
              <w:rPr>
                <w:b/>
              </w:rPr>
              <w:t>Proposed Tariff</w:t>
            </w:r>
          </w:p>
        </w:tc>
      </w:tr>
      <w:tr w:rsidR="007C5447">
        <w:trPr>
          <w:trHeight w:val="628"/>
        </w:trPr>
        <w:tc>
          <w:tcPr>
            <w:tcW w:w="1556" w:type="dxa"/>
            <w:vMerge/>
            <w:tcBorders>
              <w:top w:val="nil"/>
            </w:tcBorders>
            <w:shd w:val="clear" w:color="auto" w:fill="F7C9AC"/>
          </w:tcPr>
          <w:p w:rsidR="007C5447" w:rsidRDefault="007C5447">
            <w:pPr>
              <w:rPr>
                <w:sz w:val="2"/>
                <w:szCs w:val="2"/>
              </w:rPr>
            </w:pPr>
          </w:p>
        </w:tc>
        <w:tc>
          <w:tcPr>
            <w:tcW w:w="1702" w:type="dxa"/>
            <w:vMerge/>
            <w:tcBorders>
              <w:top w:val="nil"/>
            </w:tcBorders>
            <w:shd w:val="clear" w:color="auto" w:fill="F7C9AC"/>
          </w:tcPr>
          <w:p w:rsidR="007C5447" w:rsidRDefault="007C5447">
            <w:pPr>
              <w:rPr>
                <w:sz w:val="2"/>
                <w:szCs w:val="2"/>
              </w:rPr>
            </w:pPr>
          </w:p>
        </w:tc>
        <w:tc>
          <w:tcPr>
            <w:tcW w:w="1609" w:type="dxa"/>
            <w:vMerge/>
            <w:tcBorders>
              <w:top w:val="nil"/>
            </w:tcBorders>
            <w:shd w:val="clear" w:color="auto" w:fill="F7C9AC"/>
          </w:tcPr>
          <w:p w:rsidR="007C5447" w:rsidRDefault="007C5447">
            <w:pPr>
              <w:rPr>
                <w:sz w:val="2"/>
                <w:szCs w:val="2"/>
              </w:rPr>
            </w:pPr>
          </w:p>
        </w:tc>
        <w:tc>
          <w:tcPr>
            <w:tcW w:w="2045" w:type="dxa"/>
            <w:shd w:val="clear" w:color="auto" w:fill="F7C9AC"/>
          </w:tcPr>
          <w:p w:rsidR="007C5447" w:rsidRDefault="00F6308C">
            <w:pPr>
              <w:pStyle w:val="TableParagraph"/>
              <w:spacing w:before="61"/>
              <w:ind w:left="533" w:right="236" w:hanging="276"/>
              <w:jc w:val="left"/>
              <w:rPr>
                <w:b/>
              </w:rPr>
            </w:pPr>
            <w:r>
              <w:rPr>
                <w:b/>
              </w:rPr>
              <w:t>Energy Charges (Rs./kWh)</w:t>
            </w:r>
          </w:p>
        </w:tc>
        <w:tc>
          <w:tcPr>
            <w:tcW w:w="2636" w:type="dxa"/>
            <w:shd w:val="clear" w:color="auto" w:fill="F7C9AC"/>
          </w:tcPr>
          <w:p w:rsidR="007C5447" w:rsidRDefault="00F6308C">
            <w:pPr>
              <w:pStyle w:val="TableParagraph"/>
              <w:spacing w:before="185"/>
              <w:ind w:left="361" w:right="358"/>
              <w:jc w:val="center"/>
              <w:rPr>
                <w:b/>
              </w:rPr>
            </w:pPr>
            <w:r>
              <w:rPr>
                <w:b/>
              </w:rPr>
              <w:t>Fixed Charges (Rs.)</w:t>
            </w:r>
          </w:p>
        </w:tc>
        <w:tc>
          <w:tcPr>
            <w:tcW w:w="2046" w:type="dxa"/>
            <w:shd w:val="clear" w:color="auto" w:fill="F7C9AC"/>
          </w:tcPr>
          <w:p w:rsidR="007C5447" w:rsidRDefault="00F6308C">
            <w:pPr>
              <w:pStyle w:val="TableParagraph"/>
              <w:spacing w:before="61"/>
              <w:ind w:left="533" w:right="237" w:hanging="276"/>
              <w:jc w:val="left"/>
              <w:rPr>
                <w:b/>
              </w:rPr>
            </w:pPr>
            <w:r>
              <w:rPr>
                <w:b/>
              </w:rPr>
              <w:t>Energy Charges (Rs./kWh)</w:t>
            </w:r>
          </w:p>
        </w:tc>
        <w:tc>
          <w:tcPr>
            <w:tcW w:w="2636" w:type="dxa"/>
            <w:shd w:val="clear" w:color="auto" w:fill="F7C9AC"/>
          </w:tcPr>
          <w:p w:rsidR="007C5447" w:rsidRDefault="00F6308C">
            <w:pPr>
              <w:pStyle w:val="TableParagraph"/>
              <w:spacing w:before="185"/>
              <w:ind w:left="360" w:right="359"/>
              <w:jc w:val="center"/>
              <w:rPr>
                <w:b/>
              </w:rPr>
            </w:pPr>
            <w:r>
              <w:rPr>
                <w:b/>
              </w:rPr>
              <w:t>Fixed Charges (Rs.)</w:t>
            </w:r>
          </w:p>
        </w:tc>
      </w:tr>
      <w:tr w:rsidR="007C5447">
        <w:trPr>
          <w:trHeight w:val="330"/>
        </w:trPr>
        <w:tc>
          <w:tcPr>
            <w:tcW w:w="1556" w:type="dxa"/>
          </w:tcPr>
          <w:p w:rsidR="007C5447" w:rsidRDefault="00F6308C">
            <w:pPr>
              <w:pStyle w:val="TableParagraph"/>
              <w:spacing w:before="61" w:line="250" w:lineRule="exact"/>
              <w:ind w:left="156" w:right="146"/>
              <w:jc w:val="center"/>
              <w:rPr>
                <w:b/>
              </w:rPr>
            </w:pPr>
            <w:r>
              <w:rPr>
                <w:b/>
              </w:rPr>
              <w:t>LT – IIB (1)</w:t>
            </w:r>
          </w:p>
        </w:tc>
        <w:tc>
          <w:tcPr>
            <w:tcW w:w="12674" w:type="dxa"/>
            <w:gridSpan w:val="6"/>
          </w:tcPr>
          <w:p w:rsidR="007C5447" w:rsidRDefault="00F6308C">
            <w:pPr>
              <w:pStyle w:val="TableParagraph"/>
              <w:spacing w:before="61" w:line="250" w:lineRule="exact"/>
              <w:ind w:left="107"/>
              <w:jc w:val="left"/>
              <w:rPr>
                <w:b/>
              </w:rPr>
            </w:pPr>
            <w:r>
              <w:rPr>
                <w:b/>
              </w:rPr>
              <w:t>Govt. Educational Institution</w:t>
            </w:r>
          </w:p>
        </w:tc>
      </w:tr>
      <w:tr w:rsidR="007C5447">
        <w:trPr>
          <w:trHeight w:val="330"/>
        </w:trPr>
        <w:tc>
          <w:tcPr>
            <w:tcW w:w="1556" w:type="dxa"/>
          </w:tcPr>
          <w:p w:rsidR="007C5447" w:rsidRDefault="007C5447">
            <w:pPr>
              <w:pStyle w:val="TableParagraph"/>
              <w:jc w:val="left"/>
            </w:pPr>
          </w:p>
        </w:tc>
        <w:tc>
          <w:tcPr>
            <w:tcW w:w="1702" w:type="dxa"/>
          </w:tcPr>
          <w:p w:rsidR="007C5447" w:rsidRDefault="00F6308C">
            <w:pPr>
              <w:pStyle w:val="TableParagraph"/>
              <w:spacing w:before="37"/>
              <w:ind w:left="107"/>
              <w:jc w:val="left"/>
            </w:pPr>
            <w:r>
              <w:t>Single Slab</w:t>
            </w:r>
          </w:p>
        </w:tc>
        <w:tc>
          <w:tcPr>
            <w:tcW w:w="1609" w:type="dxa"/>
          </w:tcPr>
          <w:p w:rsidR="007C5447" w:rsidRDefault="007C5447">
            <w:pPr>
              <w:pStyle w:val="TableParagraph"/>
              <w:jc w:val="left"/>
            </w:pPr>
          </w:p>
        </w:tc>
        <w:tc>
          <w:tcPr>
            <w:tcW w:w="2045" w:type="dxa"/>
          </w:tcPr>
          <w:p w:rsidR="007C5447" w:rsidRDefault="00F6308C">
            <w:pPr>
              <w:pStyle w:val="TableParagraph"/>
              <w:spacing w:before="37"/>
              <w:ind w:left="754" w:right="745"/>
              <w:jc w:val="center"/>
            </w:pPr>
            <w:r>
              <w:t>5.75</w:t>
            </w:r>
          </w:p>
        </w:tc>
        <w:tc>
          <w:tcPr>
            <w:tcW w:w="2636" w:type="dxa"/>
          </w:tcPr>
          <w:p w:rsidR="007C5447" w:rsidRDefault="00F6308C">
            <w:pPr>
              <w:pStyle w:val="TableParagraph"/>
              <w:spacing w:before="37"/>
              <w:ind w:left="361" w:right="355"/>
              <w:jc w:val="center"/>
            </w:pPr>
            <w:r>
              <w:t>60/kW/month</w:t>
            </w:r>
          </w:p>
        </w:tc>
        <w:tc>
          <w:tcPr>
            <w:tcW w:w="2046" w:type="dxa"/>
          </w:tcPr>
          <w:p w:rsidR="007C5447" w:rsidRDefault="00F6308C">
            <w:pPr>
              <w:pStyle w:val="TableParagraph"/>
              <w:spacing w:before="37"/>
              <w:ind w:right="819"/>
            </w:pPr>
            <w:r>
              <w:t>5.75</w:t>
            </w:r>
          </w:p>
        </w:tc>
        <w:tc>
          <w:tcPr>
            <w:tcW w:w="2636" w:type="dxa"/>
          </w:tcPr>
          <w:p w:rsidR="007C5447" w:rsidRDefault="00F6308C">
            <w:pPr>
              <w:pStyle w:val="TableParagraph"/>
              <w:spacing w:before="37"/>
              <w:ind w:left="361" w:right="358"/>
              <w:jc w:val="center"/>
            </w:pPr>
            <w:r>
              <w:t>60/kW/month</w:t>
            </w:r>
          </w:p>
        </w:tc>
      </w:tr>
      <w:tr w:rsidR="007C5447">
        <w:trPr>
          <w:trHeight w:val="328"/>
        </w:trPr>
        <w:tc>
          <w:tcPr>
            <w:tcW w:w="1556" w:type="dxa"/>
          </w:tcPr>
          <w:p w:rsidR="007C5447" w:rsidRDefault="00F6308C">
            <w:pPr>
              <w:pStyle w:val="TableParagraph"/>
              <w:spacing w:before="61" w:line="248" w:lineRule="exact"/>
              <w:ind w:left="154" w:right="146"/>
              <w:jc w:val="center"/>
              <w:rPr>
                <w:b/>
              </w:rPr>
            </w:pPr>
            <w:r>
              <w:rPr>
                <w:b/>
              </w:rPr>
              <w:t>LT - IIB (2)</w:t>
            </w:r>
          </w:p>
        </w:tc>
        <w:tc>
          <w:tcPr>
            <w:tcW w:w="12674" w:type="dxa"/>
            <w:gridSpan w:val="6"/>
          </w:tcPr>
          <w:p w:rsidR="007C5447" w:rsidRDefault="00F6308C">
            <w:pPr>
              <w:pStyle w:val="TableParagraph"/>
              <w:spacing w:before="61" w:line="248" w:lineRule="exact"/>
              <w:ind w:left="107"/>
              <w:jc w:val="left"/>
              <w:rPr>
                <w:b/>
              </w:rPr>
            </w:pPr>
            <w:r>
              <w:rPr>
                <w:b/>
              </w:rPr>
              <w:t>Pvt. Educational Institution</w:t>
            </w:r>
          </w:p>
        </w:tc>
      </w:tr>
      <w:tr w:rsidR="007C5447">
        <w:trPr>
          <w:trHeight w:val="331"/>
        </w:trPr>
        <w:tc>
          <w:tcPr>
            <w:tcW w:w="1556" w:type="dxa"/>
          </w:tcPr>
          <w:p w:rsidR="007C5447" w:rsidRDefault="007C5447">
            <w:pPr>
              <w:pStyle w:val="TableParagraph"/>
              <w:jc w:val="left"/>
            </w:pPr>
          </w:p>
        </w:tc>
        <w:tc>
          <w:tcPr>
            <w:tcW w:w="1702" w:type="dxa"/>
          </w:tcPr>
          <w:p w:rsidR="007C5447" w:rsidRDefault="00F6308C">
            <w:pPr>
              <w:pStyle w:val="TableParagraph"/>
              <w:spacing w:before="39"/>
              <w:ind w:left="107"/>
              <w:jc w:val="left"/>
            </w:pPr>
            <w:r>
              <w:t>Single Slab</w:t>
            </w:r>
          </w:p>
        </w:tc>
        <w:tc>
          <w:tcPr>
            <w:tcW w:w="1609" w:type="dxa"/>
          </w:tcPr>
          <w:p w:rsidR="007C5447" w:rsidRDefault="007C5447">
            <w:pPr>
              <w:pStyle w:val="TableParagraph"/>
              <w:jc w:val="left"/>
            </w:pPr>
          </w:p>
        </w:tc>
        <w:tc>
          <w:tcPr>
            <w:tcW w:w="2045" w:type="dxa"/>
          </w:tcPr>
          <w:p w:rsidR="007C5447" w:rsidRDefault="00F6308C">
            <w:pPr>
              <w:pStyle w:val="TableParagraph"/>
              <w:spacing w:before="39"/>
              <w:ind w:left="754" w:right="745"/>
              <w:jc w:val="center"/>
            </w:pPr>
            <w:r>
              <w:t>7.50</w:t>
            </w:r>
          </w:p>
        </w:tc>
        <w:tc>
          <w:tcPr>
            <w:tcW w:w="2636" w:type="dxa"/>
          </w:tcPr>
          <w:p w:rsidR="007C5447" w:rsidRDefault="00F6308C">
            <w:pPr>
              <w:pStyle w:val="TableParagraph"/>
              <w:spacing w:before="39"/>
              <w:ind w:left="361" w:right="355"/>
              <w:jc w:val="center"/>
            </w:pPr>
            <w:r>
              <w:t>60/kW/month</w:t>
            </w:r>
          </w:p>
        </w:tc>
        <w:tc>
          <w:tcPr>
            <w:tcW w:w="2046" w:type="dxa"/>
          </w:tcPr>
          <w:p w:rsidR="007C5447" w:rsidRDefault="00F6308C">
            <w:pPr>
              <w:pStyle w:val="TableParagraph"/>
              <w:spacing w:before="39"/>
              <w:ind w:right="819"/>
            </w:pPr>
            <w:r>
              <w:t>7.50</w:t>
            </w:r>
          </w:p>
        </w:tc>
        <w:tc>
          <w:tcPr>
            <w:tcW w:w="2636" w:type="dxa"/>
          </w:tcPr>
          <w:p w:rsidR="007C5447" w:rsidRDefault="00F6308C">
            <w:pPr>
              <w:pStyle w:val="TableParagraph"/>
              <w:spacing w:before="39"/>
              <w:ind w:left="361" w:right="358"/>
              <w:jc w:val="center"/>
            </w:pPr>
            <w:r>
              <w:t>60/kW/month</w:t>
            </w:r>
          </w:p>
        </w:tc>
      </w:tr>
      <w:tr w:rsidR="007C5447">
        <w:trPr>
          <w:trHeight w:val="330"/>
        </w:trPr>
        <w:tc>
          <w:tcPr>
            <w:tcW w:w="1556" w:type="dxa"/>
          </w:tcPr>
          <w:p w:rsidR="007C5447" w:rsidRDefault="00F6308C">
            <w:pPr>
              <w:pStyle w:val="TableParagraph"/>
              <w:spacing w:before="61" w:line="250" w:lineRule="exact"/>
              <w:ind w:left="156" w:right="143"/>
              <w:jc w:val="center"/>
              <w:rPr>
                <w:b/>
              </w:rPr>
            </w:pPr>
            <w:r>
              <w:rPr>
                <w:b/>
              </w:rPr>
              <w:t>LT - IIC</w:t>
            </w:r>
          </w:p>
        </w:tc>
        <w:tc>
          <w:tcPr>
            <w:tcW w:w="12674" w:type="dxa"/>
            <w:gridSpan w:val="6"/>
          </w:tcPr>
          <w:p w:rsidR="007C5447" w:rsidRDefault="00F6308C">
            <w:pPr>
              <w:pStyle w:val="TableParagraph"/>
              <w:spacing w:before="61" w:line="250" w:lineRule="exact"/>
              <w:ind w:left="107"/>
              <w:jc w:val="left"/>
              <w:rPr>
                <w:b/>
              </w:rPr>
            </w:pPr>
            <w:r>
              <w:rPr>
                <w:b/>
              </w:rPr>
              <w:t>Places of Worship</w:t>
            </w:r>
          </w:p>
        </w:tc>
      </w:tr>
      <w:tr w:rsidR="007C5447">
        <w:trPr>
          <w:trHeight w:val="328"/>
        </w:trPr>
        <w:tc>
          <w:tcPr>
            <w:tcW w:w="1556" w:type="dxa"/>
          </w:tcPr>
          <w:p w:rsidR="007C5447" w:rsidRDefault="007C5447">
            <w:pPr>
              <w:pStyle w:val="TableParagraph"/>
              <w:jc w:val="left"/>
            </w:pPr>
          </w:p>
        </w:tc>
        <w:tc>
          <w:tcPr>
            <w:tcW w:w="1702" w:type="dxa"/>
          </w:tcPr>
          <w:p w:rsidR="007C5447" w:rsidRDefault="00F6308C">
            <w:pPr>
              <w:pStyle w:val="TableParagraph"/>
              <w:spacing w:before="37"/>
              <w:ind w:left="107"/>
              <w:jc w:val="left"/>
            </w:pPr>
            <w:r>
              <w:t>0-60 kWh</w:t>
            </w:r>
          </w:p>
        </w:tc>
        <w:tc>
          <w:tcPr>
            <w:tcW w:w="1609" w:type="dxa"/>
          </w:tcPr>
          <w:p w:rsidR="007C5447" w:rsidRDefault="007C5447">
            <w:pPr>
              <w:pStyle w:val="TableParagraph"/>
              <w:jc w:val="left"/>
            </w:pPr>
          </w:p>
        </w:tc>
        <w:tc>
          <w:tcPr>
            <w:tcW w:w="2045" w:type="dxa"/>
          </w:tcPr>
          <w:p w:rsidR="007C5447" w:rsidRDefault="00F6308C">
            <w:pPr>
              <w:pStyle w:val="TableParagraph"/>
              <w:spacing w:before="37"/>
              <w:ind w:left="754" w:right="745"/>
              <w:jc w:val="center"/>
            </w:pPr>
            <w:r>
              <w:t>5.75</w:t>
            </w:r>
          </w:p>
        </w:tc>
        <w:tc>
          <w:tcPr>
            <w:tcW w:w="2636" w:type="dxa"/>
          </w:tcPr>
          <w:p w:rsidR="007C5447" w:rsidRDefault="00F6308C">
            <w:pPr>
              <w:pStyle w:val="TableParagraph"/>
              <w:spacing w:before="37"/>
              <w:ind w:left="361" w:right="355"/>
              <w:jc w:val="center"/>
            </w:pPr>
            <w:r>
              <w:t>60/kW/month</w:t>
            </w:r>
          </w:p>
        </w:tc>
        <w:tc>
          <w:tcPr>
            <w:tcW w:w="2046" w:type="dxa"/>
          </w:tcPr>
          <w:p w:rsidR="007C5447" w:rsidRDefault="00F6308C">
            <w:pPr>
              <w:pStyle w:val="TableParagraph"/>
              <w:spacing w:before="37"/>
              <w:ind w:right="819"/>
            </w:pPr>
            <w:r>
              <w:t>5.75</w:t>
            </w:r>
          </w:p>
        </w:tc>
        <w:tc>
          <w:tcPr>
            <w:tcW w:w="2636" w:type="dxa"/>
          </w:tcPr>
          <w:p w:rsidR="007C5447" w:rsidRDefault="00F6308C">
            <w:pPr>
              <w:pStyle w:val="TableParagraph"/>
              <w:spacing w:before="37"/>
              <w:ind w:left="361" w:right="358"/>
              <w:jc w:val="center"/>
            </w:pPr>
            <w:r>
              <w:t>60/kW/month</w:t>
            </w:r>
          </w:p>
        </w:tc>
      </w:tr>
      <w:tr w:rsidR="007C5447">
        <w:trPr>
          <w:trHeight w:val="330"/>
        </w:trPr>
        <w:tc>
          <w:tcPr>
            <w:tcW w:w="1556" w:type="dxa"/>
          </w:tcPr>
          <w:p w:rsidR="007C5447" w:rsidRDefault="007C5447">
            <w:pPr>
              <w:pStyle w:val="TableParagraph"/>
              <w:jc w:val="left"/>
            </w:pPr>
          </w:p>
        </w:tc>
        <w:tc>
          <w:tcPr>
            <w:tcW w:w="1702" w:type="dxa"/>
          </w:tcPr>
          <w:p w:rsidR="007C5447" w:rsidRDefault="00F6308C">
            <w:pPr>
              <w:pStyle w:val="TableParagraph"/>
              <w:spacing w:before="39"/>
              <w:ind w:left="107"/>
              <w:jc w:val="left"/>
            </w:pPr>
            <w:r>
              <w:t>Above 60 kWh</w:t>
            </w:r>
          </w:p>
        </w:tc>
        <w:tc>
          <w:tcPr>
            <w:tcW w:w="1609" w:type="dxa"/>
          </w:tcPr>
          <w:p w:rsidR="007C5447" w:rsidRDefault="007C5447">
            <w:pPr>
              <w:pStyle w:val="TableParagraph"/>
              <w:jc w:val="left"/>
            </w:pPr>
          </w:p>
        </w:tc>
        <w:tc>
          <w:tcPr>
            <w:tcW w:w="2045" w:type="dxa"/>
          </w:tcPr>
          <w:p w:rsidR="007C5447" w:rsidRDefault="00F6308C">
            <w:pPr>
              <w:pStyle w:val="TableParagraph"/>
              <w:spacing w:before="61" w:line="250" w:lineRule="exact"/>
              <w:ind w:left="754" w:right="745"/>
              <w:jc w:val="center"/>
            </w:pPr>
            <w:r>
              <w:t>5.75</w:t>
            </w:r>
          </w:p>
        </w:tc>
        <w:tc>
          <w:tcPr>
            <w:tcW w:w="2636" w:type="dxa"/>
          </w:tcPr>
          <w:p w:rsidR="007C5447" w:rsidRDefault="00F6308C">
            <w:pPr>
              <w:pStyle w:val="TableParagraph"/>
              <w:spacing w:before="61" w:line="250" w:lineRule="exact"/>
              <w:ind w:left="361" w:right="355"/>
              <w:jc w:val="center"/>
            </w:pPr>
            <w:r>
              <w:t>60/kW/month</w:t>
            </w:r>
          </w:p>
        </w:tc>
        <w:tc>
          <w:tcPr>
            <w:tcW w:w="2046" w:type="dxa"/>
          </w:tcPr>
          <w:p w:rsidR="007C5447" w:rsidRDefault="00F6308C">
            <w:pPr>
              <w:pStyle w:val="TableParagraph"/>
              <w:spacing w:before="61" w:line="250" w:lineRule="exact"/>
              <w:ind w:right="819"/>
            </w:pPr>
            <w:r>
              <w:t>5.75</w:t>
            </w:r>
          </w:p>
        </w:tc>
        <w:tc>
          <w:tcPr>
            <w:tcW w:w="2636" w:type="dxa"/>
          </w:tcPr>
          <w:p w:rsidR="007C5447" w:rsidRDefault="00F6308C">
            <w:pPr>
              <w:pStyle w:val="TableParagraph"/>
              <w:spacing w:before="61" w:line="250" w:lineRule="exact"/>
              <w:ind w:left="361" w:right="358"/>
              <w:jc w:val="center"/>
            </w:pPr>
            <w:r>
              <w:t>60/kW/month</w:t>
            </w:r>
          </w:p>
        </w:tc>
      </w:tr>
      <w:tr w:rsidR="007C5447">
        <w:trPr>
          <w:trHeight w:val="330"/>
        </w:trPr>
        <w:tc>
          <w:tcPr>
            <w:tcW w:w="1556" w:type="dxa"/>
          </w:tcPr>
          <w:p w:rsidR="007C5447" w:rsidRDefault="00F6308C">
            <w:pPr>
              <w:pStyle w:val="TableParagraph"/>
              <w:spacing w:before="61" w:line="250" w:lineRule="exact"/>
              <w:ind w:left="156" w:right="146"/>
              <w:jc w:val="center"/>
              <w:rPr>
                <w:b/>
              </w:rPr>
            </w:pPr>
            <w:r>
              <w:rPr>
                <w:b/>
              </w:rPr>
              <w:t>LT - IIIA (1)</w:t>
            </w:r>
          </w:p>
        </w:tc>
        <w:tc>
          <w:tcPr>
            <w:tcW w:w="12674" w:type="dxa"/>
            <w:gridSpan w:val="6"/>
          </w:tcPr>
          <w:p w:rsidR="007C5447" w:rsidRDefault="00F6308C">
            <w:pPr>
              <w:pStyle w:val="TableParagraph"/>
              <w:spacing w:before="61" w:line="250" w:lineRule="exact"/>
              <w:ind w:left="107"/>
              <w:jc w:val="left"/>
              <w:rPr>
                <w:b/>
              </w:rPr>
            </w:pPr>
            <w:r>
              <w:rPr>
                <w:b/>
              </w:rPr>
              <w:t>Cottage and Tiny Industries</w:t>
            </w:r>
          </w:p>
        </w:tc>
      </w:tr>
      <w:tr w:rsidR="007C5447">
        <w:trPr>
          <w:trHeight w:val="328"/>
        </w:trPr>
        <w:tc>
          <w:tcPr>
            <w:tcW w:w="1556" w:type="dxa"/>
          </w:tcPr>
          <w:p w:rsidR="007C5447" w:rsidRDefault="007C5447">
            <w:pPr>
              <w:pStyle w:val="TableParagraph"/>
              <w:jc w:val="left"/>
            </w:pPr>
          </w:p>
        </w:tc>
        <w:tc>
          <w:tcPr>
            <w:tcW w:w="1702" w:type="dxa"/>
          </w:tcPr>
          <w:p w:rsidR="007C5447" w:rsidRDefault="00F6308C">
            <w:pPr>
              <w:pStyle w:val="TableParagraph"/>
              <w:spacing w:before="37"/>
              <w:ind w:left="107"/>
              <w:jc w:val="left"/>
            </w:pPr>
            <w:r>
              <w:t>0-250 kWh</w:t>
            </w:r>
          </w:p>
        </w:tc>
        <w:tc>
          <w:tcPr>
            <w:tcW w:w="1609" w:type="dxa"/>
          </w:tcPr>
          <w:p w:rsidR="007C5447" w:rsidRDefault="007C5447">
            <w:pPr>
              <w:pStyle w:val="TableParagraph"/>
              <w:jc w:val="left"/>
            </w:pPr>
          </w:p>
        </w:tc>
        <w:tc>
          <w:tcPr>
            <w:tcW w:w="2045" w:type="dxa"/>
          </w:tcPr>
          <w:p w:rsidR="007C5447" w:rsidRDefault="00F6308C">
            <w:pPr>
              <w:pStyle w:val="TableParagraph"/>
              <w:spacing w:before="37"/>
              <w:ind w:left="754" w:right="745"/>
              <w:jc w:val="center"/>
            </w:pPr>
            <w:r>
              <w:t>4.00</w:t>
            </w:r>
          </w:p>
        </w:tc>
        <w:tc>
          <w:tcPr>
            <w:tcW w:w="2636" w:type="dxa"/>
          </w:tcPr>
          <w:p w:rsidR="007C5447" w:rsidRDefault="00F6308C">
            <w:pPr>
              <w:pStyle w:val="TableParagraph"/>
              <w:spacing w:before="37"/>
              <w:ind w:left="361" w:right="355"/>
              <w:jc w:val="center"/>
            </w:pPr>
            <w:r>
              <w:t>20/kW/month</w:t>
            </w:r>
          </w:p>
        </w:tc>
        <w:tc>
          <w:tcPr>
            <w:tcW w:w="2046" w:type="dxa"/>
          </w:tcPr>
          <w:p w:rsidR="007C5447" w:rsidRDefault="00F6308C">
            <w:pPr>
              <w:pStyle w:val="TableParagraph"/>
              <w:spacing w:before="37"/>
              <w:ind w:right="819"/>
            </w:pPr>
            <w:r>
              <w:t>4.00</w:t>
            </w:r>
          </w:p>
        </w:tc>
        <w:tc>
          <w:tcPr>
            <w:tcW w:w="2636" w:type="dxa"/>
          </w:tcPr>
          <w:p w:rsidR="007C5447" w:rsidRDefault="00F6308C">
            <w:pPr>
              <w:pStyle w:val="TableParagraph"/>
              <w:spacing w:before="37"/>
              <w:ind w:left="361" w:right="358"/>
              <w:jc w:val="center"/>
            </w:pPr>
            <w:r>
              <w:t>20/kW/month</w:t>
            </w:r>
          </w:p>
        </w:tc>
      </w:tr>
      <w:tr w:rsidR="007C5447">
        <w:trPr>
          <w:trHeight w:val="330"/>
        </w:trPr>
        <w:tc>
          <w:tcPr>
            <w:tcW w:w="1556" w:type="dxa"/>
          </w:tcPr>
          <w:p w:rsidR="007C5447" w:rsidRDefault="007C5447">
            <w:pPr>
              <w:pStyle w:val="TableParagraph"/>
              <w:jc w:val="left"/>
            </w:pPr>
          </w:p>
        </w:tc>
        <w:tc>
          <w:tcPr>
            <w:tcW w:w="1702" w:type="dxa"/>
          </w:tcPr>
          <w:p w:rsidR="007C5447" w:rsidRDefault="00F6308C">
            <w:pPr>
              <w:pStyle w:val="TableParagraph"/>
              <w:spacing w:before="39"/>
              <w:ind w:left="107"/>
              <w:jc w:val="left"/>
            </w:pPr>
            <w:r>
              <w:t>Above 250 kWh</w:t>
            </w:r>
          </w:p>
        </w:tc>
        <w:tc>
          <w:tcPr>
            <w:tcW w:w="1609" w:type="dxa"/>
          </w:tcPr>
          <w:p w:rsidR="007C5447" w:rsidRDefault="007C5447">
            <w:pPr>
              <w:pStyle w:val="TableParagraph"/>
              <w:jc w:val="left"/>
            </w:pPr>
          </w:p>
        </w:tc>
        <w:tc>
          <w:tcPr>
            <w:tcW w:w="2045" w:type="dxa"/>
          </w:tcPr>
          <w:p w:rsidR="007C5447" w:rsidRDefault="00F6308C">
            <w:pPr>
              <w:pStyle w:val="TableParagraph"/>
              <w:spacing w:before="39"/>
              <w:ind w:left="754" w:right="745"/>
              <w:jc w:val="center"/>
            </w:pPr>
            <w:r>
              <w:t>4.60</w:t>
            </w:r>
          </w:p>
        </w:tc>
        <w:tc>
          <w:tcPr>
            <w:tcW w:w="2636" w:type="dxa"/>
          </w:tcPr>
          <w:p w:rsidR="007C5447" w:rsidRDefault="00F6308C">
            <w:pPr>
              <w:pStyle w:val="TableParagraph"/>
              <w:spacing w:before="39"/>
              <w:ind w:left="361" w:right="355"/>
              <w:jc w:val="center"/>
            </w:pPr>
            <w:r>
              <w:t>20/kW/month</w:t>
            </w:r>
          </w:p>
        </w:tc>
        <w:tc>
          <w:tcPr>
            <w:tcW w:w="2046" w:type="dxa"/>
          </w:tcPr>
          <w:p w:rsidR="007C5447" w:rsidRDefault="00F6308C">
            <w:pPr>
              <w:pStyle w:val="TableParagraph"/>
              <w:spacing w:before="39"/>
              <w:ind w:right="819"/>
            </w:pPr>
            <w:r>
              <w:t>4.60</w:t>
            </w:r>
          </w:p>
        </w:tc>
        <w:tc>
          <w:tcPr>
            <w:tcW w:w="2636" w:type="dxa"/>
          </w:tcPr>
          <w:p w:rsidR="007C5447" w:rsidRDefault="00F6308C">
            <w:pPr>
              <w:pStyle w:val="TableParagraph"/>
              <w:spacing w:before="39"/>
              <w:ind w:left="361" w:right="358"/>
              <w:jc w:val="center"/>
            </w:pPr>
            <w:r>
              <w:t>20/kW/month</w:t>
            </w:r>
          </w:p>
        </w:tc>
      </w:tr>
      <w:tr w:rsidR="007C5447">
        <w:trPr>
          <w:trHeight w:val="330"/>
        </w:trPr>
        <w:tc>
          <w:tcPr>
            <w:tcW w:w="1556" w:type="dxa"/>
          </w:tcPr>
          <w:p w:rsidR="007C5447" w:rsidRDefault="00F6308C">
            <w:pPr>
              <w:pStyle w:val="TableParagraph"/>
              <w:spacing w:before="61" w:line="250" w:lineRule="exact"/>
              <w:ind w:left="156" w:right="146"/>
              <w:jc w:val="center"/>
              <w:rPr>
                <w:b/>
              </w:rPr>
            </w:pPr>
            <w:r>
              <w:rPr>
                <w:b/>
              </w:rPr>
              <w:t>LT - IIIA (2)</w:t>
            </w:r>
          </w:p>
        </w:tc>
        <w:tc>
          <w:tcPr>
            <w:tcW w:w="12674" w:type="dxa"/>
            <w:gridSpan w:val="6"/>
          </w:tcPr>
          <w:p w:rsidR="007C5447" w:rsidRDefault="00F6308C">
            <w:pPr>
              <w:pStyle w:val="TableParagraph"/>
              <w:spacing w:before="61" w:line="250" w:lineRule="exact"/>
              <w:ind w:left="107"/>
              <w:jc w:val="left"/>
              <w:rPr>
                <w:b/>
              </w:rPr>
            </w:pPr>
            <w:r>
              <w:rPr>
                <w:b/>
              </w:rPr>
              <w:t>Power Looms</w:t>
            </w:r>
          </w:p>
        </w:tc>
      </w:tr>
      <w:tr w:rsidR="007C5447">
        <w:trPr>
          <w:trHeight w:val="328"/>
        </w:trPr>
        <w:tc>
          <w:tcPr>
            <w:tcW w:w="1556" w:type="dxa"/>
          </w:tcPr>
          <w:p w:rsidR="007C5447" w:rsidRDefault="007C5447">
            <w:pPr>
              <w:pStyle w:val="TableParagraph"/>
              <w:jc w:val="left"/>
            </w:pPr>
          </w:p>
        </w:tc>
        <w:tc>
          <w:tcPr>
            <w:tcW w:w="1702" w:type="dxa"/>
          </w:tcPr>
          <w:p w:rsidR="007C5447" w:rsidRDefault="00F6308C">
            <w:pPr>
              <w:pStyle w:val="TableParagraph"/>
              <w:spacing w:before="37"/>
              <w:ind w:left="107"/>
              <w:jc w:val="left"/>
            </w:pPr>
            <w:r>
              <w:t>0-250 kWh</w:t>
            </w:r>
          </w:p>
        </w:tc>
        <w:tc>
          <w:tcPr>
            <w:tcW w:w="1609" w:type="dxa"/>
          </w:tcPr>
          <w:p w:rsidR="007C5447" w:rsidRDefault="007C5447">
            <w:pPr>
              <w:pStyle w:val="TableParagraph"/>
              <w:jc w:val="left"/>
            </w:pPr>
          </w:p>
        </w:tc>
        <w:tc>
          <w:tcPr>
            <w:tcW w:w="2045" w:type="dxa"/>
          </w:tcPr>
          <w:p w:rsidR="007C5447" w:rsidRDefault="00F6308C">
            <w:pPr>
              <w:pStyle w:val="TableParagraph"/>
              <w:spacing w:before="37"/>
              <w:ind w:left="754" w:right="745"/>
              <w:jc w:val="center"/>
            </w:pPr>
            <w:r>
              <w:t>5.20</w:t>
            </w:r>
          </w:p>
        </w:tc>
        <w:tc>
          <w:tcPr>
            <w:tcW w:w="2636" w:type="dxa"/>
          </w:tcPr>
          <w:p w:rsidR="007C5447" w:rsidRDefault="00F6308C">
            <w:pPr>
              <w:pStyle w:val="TableParagraph"/>
              <w:spacing w:before="37"/>
              <w:ind w:left="361" w:right="355"/>
              <w:jc w:val="center"/>
            </w:pPr>
            <w:r>
              <w:t>60/kW/month</w:t>
            </w:r>
          </w:p>
        </w:tc>
        <w:tc>
          <w:tcPr>
            <w:tcW w:w="2046" w:type="dxa"/>
          </w:tcPr>
          <w:p w:rsidR="007C5447" w:rsidRDefault="00F6308C">
            <w:pPr>
              <w:pStyle w:val="TableParagraph"/>
              <w:spacing w:before="37"/>
              <w:ind w:right="819"/>
            </w:pPr>
            <w:r>
              <w:t>5.20</w:t>
            </w:r>
          </w:p>
        </w:tc>
        <w:tc>
          <w:tcPr>
            <w:tcW w:w="2636" w:type="dxa"/>
          </w:tcPr>
          <w:p w:rsidR="007C5447" w:rsidRDefault="00F6308C">
            <w:pPr>
              <w:pStyle w:val="TableParagraph"/>
              <w:spacing w:before="37"/>
              <w:ind w:left="361" w:right="358"/>
              <w:jc w:val="center"/>
            </w:pPr>
            <w:r>
              <w:t>60/kW/month</w:t>
            </w:r>
          </w:p>
        </w:tc>
      </w:tr>
      <w:tr w:rsidR="007C5447">
        <w:trPr>
          <w:trHeight w:val="330"/>
        </w:trPr>
        <w:tc>
          <w:tcPr>
            <w:tcW w:w="1556" w:type="dxa"/>
          </w:tcPr>
          <w:p w:rsidR="007C5447" w:rsidRDefault="007C5447">
            <w:pPr>
              <w:pStyle w:val="TableParagraph"/>
              <w:jc w:val="left"/>
            </w:pPr>
          </w:p>
        </w:tc>
        <w:tc>
          <w:tcPr>
            <w:tcW w:w="1702" w:type="dxa"/>
          </w:tcPr>
          <w:p w:rsidR="007C5447" w:rsidRDefault="00F6308C">
            <w:pPr>
              <w:pStyle w:val="TableParagraph"/>
              <w:spacing w:before="39"/>
              <w:ind w:left="107"/>
              <w:jc w:val="left"/>
            </w:pPr>
            <w:r>
              <w:t>Above 250 kWh</w:t>
            </w:r>
          </w:p>
        </w:tc>
        <w:tc>
          <w:tcPr>
            <w:tcW w:w="1609" w:type="dxa"/>
          </w:tcPr>
          <w:p w:rsidR="007C5447" w:rsidRDefault="007C5447">
            <w:pPr>
              <w:pStyle w:val="TableParagraph"/>
              <w:jc w:val="left"/>
            </w:pPr>
          </w:p>
        </w:tc>
        <w:tc>
          <w:tcPr>
            <w:tcW w:w="2045" w:type="dxa"/>
          </w:tcPr>
          <w:p w:rsidR="007C5447" w:rsidRDefault="00F6308C">
            <w:pPr>
              <w:pStyle w:val="TableParagraph"/>
              <w:spacing w:before="39"/>
              <w:ind w:left="754" w:right="745"/>
              <w:jc w:val="center"/>
            </w:pPr>
            <w:r>
              <w:t>5.75</w:t>
            </w:r>
          </w:p>
        </w:tc>
        <w:tc>
          <w:tcPr>
            <w:tcW w:w="2636" w:type="dxa"/>
          </w:tcPr>
          <w:p w:rsidR="007C5447" w:rsidRDefault="00F6308C">
            <w:pPr>
              <w:pStyle w:val="TableParagraph"/>
              <w:spacing w:before="39"/>
              <w:ind w:left="361" w:right="355"/>
              <w:jc w:val="center"/>
            </w:pPr>
            <w:r>
              <w:t>60/kW/month</w:t>
            </w:r>
          </w:p>
        </w:tc>
        <w:tc>
          <w:tcPr>
            <w:tcW w:w="2046" w:type="dxa"/>
          </w:tcPr>
          <w:p w:rsidR="007C5447" w:rsidRDefault="00F6308C">
            <w:pPr>
              <w:pStyle w:val="TableParagraph"/>
              <w:spacing w:before="39"/>
              <w:ind w:right="819"/>
            </w:pPr>
            <w:r>
              <w:t>5.75</w:t>
            </w:r>
          </w:p>
        </w:tc>
        <w:tc>
          <w:tcPr>
            <w:tcW w:w="2636" w:type="dxa"/>
          </w:tcPr>
          <w:p w:rsidR="007C5447" w:rsidRDefault="00F6308C">
            <w:pPr>
              <w:pStyle w:val="TableParagraph"/>
              <w:spacing w:before="39"/>
              <w:ind w:left="361" w:right="358"/>
              <w:jc w:val="center"/>
            </w:pPr>
            <w:r>
              <w:t>60/kW/month</w:t>
            </w:r>
          </w:p>
        </w:tc>
      </w:tr>
      <w:tr w:rsidR="007C5447">
        <w:trPr>
          <w:trHeight w:val="330"/>
        </w:trPr>
        <w:tc>
          <w:tcPr>
            <w:tcW w:w="1556" w:type="dxa"/>
          </w:tcPr>
          <w:p w:rsidR="007C5447" w:rsidRDefault="00F6308C">
            <w:pPr>
              <w:pStyle w:val="TableParagraph"/>
              <w:spacing w:before="61" w:line="250" w:lineRule="exact"/>
              <w:ind w:left="153" w:right="146"/>
              <w:jc w:val="center"/>
              <w:rPr>
                <w:b/>
              </w:rPr>
            </w:pPr>
            <w:r>
              <w:rPr>
                <w:b/>
              </w:rPr>
              <w:t>LT - IIIB</w:t>
            </w:r>
          </w:p>
        </w:tc>
        <w:tc>
          <w:tcPr>
            <w:tcW w:w="12674" w:type="dxa"/>
            <w:gridSpan w:val="6"/>
          </w:tcPr>
          <w:p w:rsidR="007C5447" w:rsidRDefault="00F6308C">
            <w:pPr>
              <w:pStyle w:val="TableParagraph"/>
              <w:spacing w:before="61" w:line="250" w:lineRule="exact"/>
              <w:ind w:left="107"/>
              <w:jc w:val="left"/>
              <w:rPr>
                <w:b/>
              </w:rPr>
            </w:pPr>
            <w:r>
              <w:rPr>
                <w:b/>
              </w:rPr>
              <w:t>LT Industries</w:t>
            </w:r>
          </w:p>
        </w:tc>
      </w:tr>
      <w:tr w:rsidR="007C5447">
        <w:trPr>
          <w:trHeight w:val="328"/>
        </w:trPr>
        <w:tc>
          <w:tcPr>
            <w:tcW w:w="1556" w:type="dxa"/>
          </w:tcPr>
          <w:p w:rsidR="007C5447" w:rsidRDefault="007C5447">
            <w:pPr>
              <w:pStyle w:val="TableParagraph"/>
              <w:jc w:val="left"/>
            </w:pPr>
          </w:p>
        </w:tc>
        <w:tc>
          <w:tcPr>
            <w:tcW w:w="1702" w:type="dxa"/>
          </w:tcPr>
          <w:p w:rsidR="007C5447" w:rsidRDefault="00F6308C">
            <w:pPr>
              <w:pStyle w:val="TableParagraph"/>
              <w:spacing w:before="37"/>
              <w:ind w:left="107"/>
              <w:jc w:val="left"/>
            </w:pPr>
            <w:r>
              <w:t>Single Slab</w:t>
            </w:r>
          </w:p>
        </w:tc>
        <w:tc>
          <w:tcPr>
            <w:tcW w:w="1609" w:type="dxa"/>
          </w:tcPr>
          <w:p w:rsidR="007C5447" w:rsidRDefault="007C5447">
            <w:pPr>
              <w:pStyle w:val="TableParagraph"/>
              <w:jc w:val="left"/>
            </w:pPr>
          </w:p>
        </w:tc>
        <w:tc>
          <w:tcPr>
            <w:tcW w:w="2045" w:type="dxa"/>
          </w:tcPr>
          <w:p w:rsidR="007C5447" w:rsidRDefault="00F6308C">
            <w:pPr>
              <w:pStyle w:val="TableParagraph"/>
              <w:spacing w:before="37"/>
              <w:ind w:left="754" w:right="745"/>
              <w:jc w:val="center"/>
            </w:pPr>
            <w:r>
              <w:t>6.35</w:t>
            </w:r>
          </w:p>
        </w:tc>
        <w:tc>
          <w:tcPr>
            <w:tcW w:w="2636" w:type="dxa"/>
          </w:tcPr>
          <w:p w:rsidR="007C5447" w:rsidRDefault="00F6308C">
            <w:pPr>
              <w:pStyle w:val="TableParagraph"/>
              <w:spacing w:before="37"/>
              <w:ind w:left="361" w:right="355"/>
              <w:jc w:val="center"/>
            </w:pPr>
            <w:r>
              <w:t>35/kW/month</w:t>
            </w:r>
          </w:p>
        </w:tc>
        <w:tc>
          <w:tcPr>
            <w:tcW w:w="2046" w:type="dxa"/>
          </w:tcPr>
          <w:p w:rsidR="007C5447" w:rsidRDefault="00F6308C">
            <w:pPr>
              <w:pStyle w:val="TableParagraph"/>
              <w:spacing w:before="37"/>
              <w:ind w:right="819"/>
            </w:pPr>
            <w:r>
              <w:t>6.35</w:t>
            </w:r>
          </w:p>
        </w:tc>
        <w:tc>
          <w:tcPr>
            <w:tcW w:w="2636" w:type="dxa"/>
          </w:tcPr>
          <w:p w:rsidR="007C5447" w:rsidRDefault="00F6308C">
            <w:pPr>
              <w:pStyle w:val="TableParagraph"/>
              <w:spacing w:before="37"/>
              <w:ind w:left="361" w:right="358"/>
              <w:jc w:val="center"/>
            </w:pPr>
            <w:r>
              <w:t>35/kW/month</w:t>
            </w:r>
          </w:p>
        </w:tc>
      </w:tr>
      <w:tr w:rsidR="007C5447">
        <w:trPr>
          <w:trHeight w:val="330"/>
        </w:trPr>
        <w:tc>
          <w:tcPr>
            <w:tcW w:w="1556" w:type="dxa"/>
          </w:tcPr>
          <w:p w:rsidR="007C5447" w:rsidRDefault="00F6308C">
            <w:pPr>
              <w:pStyle w:val="TableParagraph"/>
              <w:spacing w:before="61" w:line="250" w:lineRule="exact"/>
              <w:ind w:left="154" w:right="146"/>
              <w:jc w:val="center"/>
              <w:rPr>
                <w:b/>
              </w:rPr>
            </w:pPr>
            <w:r>
              <w:rPr>
                <w:b/>
              </w:rPr>
              <w:t>LT - IV</w:t>
            </w:r>
          </w:p>
        </w:tc>
        <w:tc>
          <w:tcPr>
            <w:tcW w:w="12674" w:type="dxa"/>
            <w:gridSpan w:val="6"/>
          </w:tcPr>
          <w:p w:rsidR="007C5447" w:rsidRDefault="00F6308C">
            <w:pPr>
              <w:pStyle w:val="TableParagraph"/>
              <w:spacing w:before="61" w:line="250" w:lineRule="exact"/>
              <w:ind w:left="107"/>
              <w:jc w:val="left"/>
              <w:rPr>
                <w:b/>
              </w:rPr>
            </w:pPr>
            <w:r>
              <w:rPr>
                <w:b/>
              </w:rPr>
              <w:t>LT Agriculture</w:t>
            </w:r>
          </w:p>
        </w:tc>
      </w:tr>
      <w:tr w:rsidR="007C5447">
        <w:trPr>
          <w:trHeight w:val="652"/>
        </w:trPr>
        <w:tc>
          <w:tcPr>
            <w:tcW w:w="1556" w:type="dxa"/>
          </w:tcPr>
          <w:p w:rsidR="007C5447" w:rsidRDefault="007C5447">
            <w:pPr>
              <w:pStyle w:val="TableParagraph"/>
              <w:jc w:val="left"/>
            </w:pPr>
          </w:p>
        </w:tc>
        <w:tc>
          <w:tcPr>
            <w:tcW w:w="1702" w:type="dxa"/>
          </w:tcPr>
          <w:p w:rsidR="007C5447" w:rsidRDefault="00F6308C">
            <w:pPr>
              <w:pStyle w:val="TableParagraph"/>
              <w:spacing w:before="200"/>
              <w:ind w:left="107"/>
              <w:jc w:val="left"/>
            </w:pPr>
            <w:r>
              <w:t>Single Slab</w:t>
            </w:r>
          </w:p>
        </w:tc>
        <w:tc>
          <w:tcPr>
            <w:tcW w:w="1609" w:type="dxa"/>
          </w:tcPr>
          <w:p w:rsidR="007C5447" w:rsidRDefault="007C5447">
            <w:pPr>
              <w:pStyle w:val="TableParagraph"/>
              <w:jc w:val="left"/>
            </w:pPr>
          </w:p>
        </w:tc>
        <w:tc>
          <w:tcPr>
            <w:tcW w:w="2045" w:type="dxa"/>
          </w:tcPr>
          <w:p w:rsidR="007C5447" w:rsidRDefault="00F6308C">
            <w:pPr>
              <w:pStyle w:val="TableParagraph"/>
              <w:spacing w:before="73"/>
              <w:ind w:left="325" w:right="114" w:hanging="190"/>
              <w:jc w:val="left"/>
            </w:pPr>
            <w:r>
              <w:t>3.22 (on installation of energy meter</w:t>
            </w:r>
          </w:p>
        </w:tc>
        <w:tc>
          <w:tcPr>
            <w:tcW w:w="2636" w:type="dxa"/>
          </w:tcPr>
          <w:p w:rsidR="007C5447" w:rsidRDefault="00F6308C">
            <w:pPr>
              <w:pStyle w:val="TableParagraph"/>
              <w:spacing w:before="73" w:line="252" w:lineRule="exact"/>
              <w:ind w:left="361" w:right="356"/>
              <w:jc w:val="center"/>
            </w:pPr>
            <w:r>
              <w:t>2875/HP/</w:t>
            </w:r>
          </w:p>
          <w:p w:rsidR="007C5447" w:rsidRDefault="00F6308C">
            <w:pPr>
              <w:pStyle w:val="TableParagraph"/>
              <w:spacing w:line="252" w:lineRule="exact"/>
              <w:ind w:left="361" w:right="356"/>
              <w:jc w:val="center"/>
            </w:pPr>
            <w:r>
              <w:t>Annum</w:t>
            </w:r>
          </w:p>
        </w:tc>
        <w:tc>
          <w:tcPr>
            <w:tcW w:w="2046" w:type="dxa"/>
          </w:tcPr>
          <w:p w:rsidR="007C5447" w:rsidRDefault="00F6308C">
            <w:pPr>
              <w:pStyle w:val="TableParagraph"/>
              <w:spacing w:before="73"/>
              <w:ind w:left="324" w:right="116" w:hanging="190"/>
              <w:jc w:val="left"/>
            </w:pPr>
            <w:r>
              <w:t>3.22 (on installation of energy meter</w:t>
            </w:r>
          </w:p>
        </w:tc>
        <w:tc>
          <w:tcPr>
            <w:tcW w:w="2636" w:type="dxa"/>
          </w:tcPr>
          <w:p w:rsidR="007C5447" w:rsidRDefault="00F6308C">
            <w:pPr>
              <w:pStyle w:val="TableParagraph"/>
              <w:spacing w:before="73" w:line="252" w:lineRule="exact"/>
              <w:ind w:left="361" w:right="359"/>
              <w:jc w:val="center"/>
            </w:pPr>
            <w:r>
              <w:t>2875/HP/</w:t>
            </w:r>
          </w:p>
          <w:p w:rsidR="007C5447" w:rsidRDefault="00F6308C">
            <w:pPr>
              <w:pStyle w:val="TableParagraph"/>
              <w:spacing w:line="252" w:lineRule="exact"/>
              <w:ind w:left="361" w:right="359"/>
              <w:jc w:val="center"/>
            </w:pPr>
            <w:r>
              <w:t>Annum</w:t>
            </w:r>
          </w:p>
        </w:tc>
      </w:tr>
      <w:tr w:rsidR="007C5447">
        <w:trPr>
          <w:trHeight w:val="331"/>
        </w:trPr>
        <w:tc>
          <w:tcPr>
            <w:tcW w:w="1556" w:type="dxa"/>
          </w:tcPr>
          <w:p w:rsidR="007C5447" w:rsidRDefault="00F6308C">
            <w:pPr>
              <w:pStyle w:val="TableParagraph"/>
              <w:spacing w:before="61" w:line="251" w:lineRule="exact"/>
              <w:ind w:left="154" w:right="146"/>
              <w:jc w:val="center"/>
              <w:rPr>
                <w:b/>
              </w:rPr>
            </w:pPr>
            <w:r>
              <w:rPr>
                <w:b/>
              </w:rPr>
              <w:t>LT - V</w:t>
            </w:r>
          </w:p>
        </w:tc>
        <w:tc>
          <w:tcPr>
            <w:tcW w:w="12674" w:type="dxa"/>
            <w:gridSpan w:val="6"/>
          </w:tcPr>
          <w:p w:rsidR="007C5447" w:rsidRDefault="00F6308C">
            <w:pPr>
              <w:pStyle w:val="TableParagraph"/>
              <w:spacing w:before="61" w:line="251" w:lineRule="exact"/>
              <w:ind w:left="107"/>
              <w:jc w:val="left"/>
              <w:rPr>
                <w:b/>
              </w:rPr>
            </w:pPr>
            <w:r>
              <w:rPr>
                <w:b/>
              </w:rPr>
              <w:t>LT Commercial</w:t>
            </w:r>
          </w:p>
        </w:tc>
      </w:tr>
      <w:tr w:rsidR="007C5447">
        <w:trPr>
          <w:trHeight w:val="330"/>
        </w:trPr>
        <w:tc>
          <w:tcPr>
            <w:tcW w:w="1556" w:type="dxa"/>
          </w:tcPr>
          <w:p w:rsidR="007C5447" w:rsidRDefault="007C5447">
            <w:pPr>
              <w:pStyle w:val="TableParagraph"/>
              <w:jc w:val="left"/>
            </w:pPr>
          </w:p>
        </w:tc>
        <w:tc>
          <w:tcPr>
            <w:tcW w:w="1702" w:type="dxa"/>
          </w:tcPr>
          <w:p w:rsidR="007C5447" w:rsidRDefault="00F6308C">
            <w:pPr>
              <w:pStyle w:val="TableParagraph"/>
              <w:spacing w:before="37"/>
              <w:ind w:left="107"/>
              <w:jc w:val="left"/>
            </w:pPr>
            <w:r>
              <w:t>0-50 kWh</w:t>
            </w:r>
          </w:p>
        </w:tc>
        <w:tc>
          <w:tcPr>
            <w:tcW w:w="1609" w:type="dxa"/>
          </w:tcPr>
          <w:p w:rsidR="007C5447" w:rsidRDefault="007C5447">
            <w:pPr>
              <w:pStyle w:val="TableParagraph"/>
              <w:jc w:val="left"/>
            </w:pPr>
          </w:p>
        </w:tc>
        <w:tc>
          <w:tcPr>
            <w:tcW w:w="2045" w:type="dxa"/>
          </w:tcPr>
          <w:p w:rsidR="007C5447" w:rsidRDefault="00F6308C">
            <w:pPr>
              <w:pStyle w:val="TableParagraph"/>
              <w:spacing w:before="37"/>
              <w:ind w:left="754" w:right="745"/>
              <w:jc w:val="center"/>
            </w:pPr>
            <w:r>
              <w:t>5.00</w:t>
            </w:r>
          </w:p>
        </w:tc>
        <w:tc>
          <w:tcPr>
            <w:tcW w:w="2636" w:type="dxa"/>
          </w:tcPr>
          <w:p w:rsidR="007C5447" w:rsidRDefault="00F6308C">
            <w:pPr>
              <w:pStyle w:val="TableParagraph"/>
              <w:spacing w:before="37"/>
              <w:ind w:left="361" w:right="355"/>
              <w:jc w:val="center"/>
            </w:pPr>
            <w:r>
              <w:t>70/kW/month</w:t>
            </w:r>
          </w:p>
        </w:tc>
        <w:tc>
          <w:tcPr>
            <w:tcW w:w="2046" w:type="dxa"/>
          </w:tcPr>
          <w:p w:rsidR="007C5447" w:rsidRDefault="00F6308C">
            <w:pPr>
              <w:pStyle w:val="TableParagraph"/>
              <w:spacing w:before="37"/>
              <w:ind w:right="819"/>
            </w:pPr>
            <w:r>
              <w:t>5.00</w:t>
            </w:r>
          </w:p>
        </w:tc>
        <w:tc>
          <w:tcPr>
            <w:tcW w:w="2636" w:type="dxa"/>
          </w:tcPr>
          <w:p w:rsidR="007C5447" w:rsidRDefault="00F6308C">
            <w:pPr>
              <w:pStyle w:val="TableParagraph"/>
              <w:spacing w:before="37"/>
              <w:ind w:left="361" w:right="358"/>
              <w:jc w:val="center"/>
            </w:pPr>
            <w:r>
              <w:t>70/kW/month</w:t>
            </w:r>
          </w:p>
        </w:tc>
      </w:tr>
      <w:tr w:rsidR="007C5447">
        <w:trPr>
          <w:trHeight w:val="328"/>
        </w:trPr>
        <w:tc>
          <w:tcPr>
            <w:tcW w:w="1556" w:type="dxa"/>
          </w:tcPr>
          <w:p w:rsidR="007C5447" w:rsidRDefault="007C5447">
            <w:pPr>
              <w:pStyle w:val="TableParagraph"/>
              <w:jc w:val="left"/>
            </w:pPr>
          </w:p>
        </w:tc>
        <w:tc>
          <w:tcPr>
            <w:tcW w:w="1702" w:type="dxa"/>
          </w:tcPr>
          <w:p w:rsidR="007C5447" w:rsidRDefault="00F6308C">
            <w:pPr>
              <w:pStyle w:val="TableParagraph"/>
              <w:spacing w:before="37"/>
              <w:ind w:left="107"/>
              <w:jc w:val="left"/>
            </w:pPr>
            <w:r>
              <w:t>Above 50 kWh</w:t>
            </w:r>
          </w:p>
        </w:tc>
        <w:tc>
          <w:tcPr>
            <w:tcW w:w="1609" w:type="dxa"/>
          </w:tcPr>
          <w:p w:rsidR="007C5447" w:rsidRDefault="007C5447">
            <w:pPr>
              <w:pStyle w:val="TableParagraph"/>
              <w:jc w:val="left"/>
            </w:pPr>
          </w:p>
        </w:tc>
        <w:tc>
          <w:tcPr>
            <w:tcW w:w="2045" w:type="dxa"/>
          </w:tcPr>
          <w:p w:rsidR="007C5447" w:rsidRDefault="00F6308C">
            <w:pPr>
              <w:pStyle w:val="TableParagraph"/>
              <w:spacing w:before="37"/>
              <w:ind w:left="754" w:right="745"/>
              <w:jc w:val="center"/>
            </w:pPr>
            <w:r>
              <w:t>8.05</w:t>
            </w:r>
          </w:p>
        </w:tc>
        <w:tc>
          <w:tcPr>
            <w:tcW w:w="2636" w:type="dxa"/>
          </w:tcPr>
          <w:p w:rsidR="007C5447" w:rsidRDefault="00F6308C">
            <w:pPr>
              <w:pStyle w:val="TableParagraph"/>
              <w:spacing w:before="37"/>
              <w:ind w:left="361" w:right="355"/>
              <w:jc w:val="center"/>
            </w:pPr>
            <w:r>
              <w:t>70/kW/month</w:t>
            </w:r>
          </w:p>
        </w:tc>
        <w:tc>
          <w:tcPr>
            <w:tcW w:w="2046" w:type="dxa"/>
          </w:tcPr>
          <w:p w:rsidR="007C5447" w:rsidRDefault="00F6308C">
            <w:pPr>
              <w:pStyle w:val="TableParagraph"/>
              <w:spacing w:before="37"/>
              <w:ind w:right="819"/>
            </w:pPr>
            <w:r>
              <w:t>8.05</w:t>
            </w:r>
          </w:p>
        </w:tc>
        <w:tc>
          <w:tcPr>
            <w:tcW w:w="2636" w:type="dxa"/>
          </w:tcPr>
          <w:p w:rsidR="007C5447" w:rsidRDefault="00F6308C">
            <w:pPr>
              <w:pStyle w:val="TableParagraph"/>
              <w:spacing w:before="37"/>
              <w:ind w:left="361" w:right="358"/>
              <w:jc w:val="center"/>
            </w:pPr>
            <w:r>
              <w:t>70/kW/month</w:t>
            </w:r>
          </w:p>
        </w:tc>
      </w:tr>
      <w:tr w:rsidR="007C5447">
        <w:trPr>
          <w:trHeight w:val="330"/>
        </w:trPr>
        <w:tc>
          <w:tcPr>
            <w:tcW w:w="1556" w:type="dxa"/>
          </w:tcPr>
          <w:p w:rsidR="007C5447" w:rsidRDefault="00F6308C">
            <w:pPr>
              <w:pStyle w:val="TableParagraph"/>
              <w:spacing w:before="61" w:line="250" w:lineRule="exact"/>
              <w:ind w:left="151" w:right="146"/>
              <w:jc w:val="center"/>
              <w:rPr>
                <w:b/>
              </w:rPr>
            </w:pPr>
            <w:r>
              <w:rPr>
                <w:b/>
              </w:rPr>
              <w:t>LT - VI</w:t>
            </w:r>
          </w:p>
        </w:tc>
        <w:tc>
          <w:tcPr>
            <w:tcW w:w="12674" w:type="dxa"/>
            <w:gridSpan w:val="6"/>
          </w:tcPr>
          <w:p w:rsidR="007C5447" w:rsidRDefault="00F6308C">
            <w:pPr>
              <w:pStyle w:val="TableParagraph"/>
              <w:spacing w:before="61" w:line="250" w:lineRule="exact"/>
              <w:ind w:left="107"/>
              <w:jc w:val="left"/>
              <w:rPr>
                <w:b/>
              </w:rPr>
            </w:pPr>
            <w:r>
              <w:rPr>
                <w:b/>
              </w:rPr>
              <w:t>Temporary Supply</w:t>
            </w:r>
          </w:p>
        </w:tc>
      </w:tr>
    </w:tbl>
    <w:p w:rsidR="007C5447" w:rsidRDefault="007C5447">
      <w:pPr>
        <w:spacing w:line="250" w:lineRule="exact"/>
        <w:sectPr w:rsidR="007C5447">
          <w:footerReference w:type="default" r:id="rId65"/>
          <w:pgSz w:w="16840" w:h="11910" w:orient="landscape"/>
          <w:pgMar w:top="1100" w:right="1040" w:bottom="960" w:left="1340" w:header="0" w:footer="777" w:gutter="0"/>
          <w:pgNumType w:start="274"/>
          <w:cols w:space="720"/>
        </w:sectPr>
      </w:pPr>
    </w:p>
    <w:p w:rsidR="007C5447" w:rsidRDefault="007C5447">
      <w:pPr>
        <w:pStyle w:val="BodyText"/>
        <w:rPr>
          <w:sz w:val="29"/>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6"/>
        <w:gridCol w:w="1702"/>
        <w:gridCol w:w="1609"/>
        <w:gridCol w:w="2045"/>
        <w:gridCol w:w="2636"/>
        <w:gridCol w:w="2046"/>
        <w:gridCol w:w="2636"/>
      </w:tblGrid>
      <w:tr w:rsidR="007C5447">
        <w:trPr>
          <w:trHeight w:val="330"/>
        </w:trPr>
        <w:tc>
          <w:tcPr>
            <w:tcW w:w="1556" w:type="dxa"/>
            <w:vMerge w:val="restart"/>
            <w:shd w:val="clear" w:color="auto" w:fill="F7C9AC"/>
          </w:tcPr>
          <w:p w:rsidR="007C5447" w:rsidRDefault="007C5447">
            <w:pPr>
              <w:pStyle w:val="TableParagraph"/>
              <w:spacing w:before="1"/>
              <w:jc w:val="left"/>
              <w:rPr>
                <w:sz w:val="20"/>
              </w:rPr>
            </w:pPr>
          </w:p>
          <w:p w:rsidR="007C5447" w:rsidRDefault="00F6308C">
            <w:pPr>
              <w:pStyle w:val="TableParagraph"/>
              <w:ind w:left="343" w:right="261" w:hanging="56"/>
              <w:jc w:val="left"/>
              <w:rPr>
                <w:b/>
              </w:rPr>
            </w:pPr>
            <w:r>
              <w:rPr>
                <w:b/>
              </w:rPr>
              <w:t>Consumer Category</w:t>
            </w:r>
          </w:p>
        </w:tc>
        <w:tc>
          <w:tcPr>
            <w:tcW w:w="1702" w:type="dxa"/>
            <w:vMerge w:val="restart"/>
            <w:shd w:val="clear" w:color="auto" w:fill="F7C9AC"/>
          </w:tcPr>
          <w:p w:rsidR="007C5447" w:rsidRDefault="007C5447">
            <w:pPr>
              <w:pStyle w:val="TableParagraph"/>
              <w:spacing w:before="1"/>
              <w:jc w:val="left"/>
              <w:rPr>
                <w:sz w:val="20"/>
              </w:rPr>
            </w:pPr>
          </w:p>
          <w:p w:rsidR="007C5447" w:rsidRDefault="00F6308C">
            <w:pPr>
              <w:pStyle w:val="TableParagraph"/>
              <w:ind w:left="265" w:right="240" w:firstLine="331"/>
              <w:jc w:val="left"/>
              <w:rPr>
                <w:b/>
              </w:rPr>
            </w:pPr>
            <w:r>
              <w:rPr>
                <w:b/>
              </w:rPr>
              <w:t>Slabs (Per Month)</w:t>
            </w:r>
          </w:p>
        </w:tc>
        <w:tc>
          <w:tcPr>
            <w:tcW w:w="1609" w:type="dxa"/>
            <w:vMerge w:val="restart"/>
            <w:shd w:val="clear" w:color="auto" w:fill="F7C9AC"/>
          </w:tcPr>
          <w:p w:rsidR="007C5447" w:rsidRDefault="007C5447">
            <w:pPr>
              <w:pStyle w:val="TableParagraph"/>
              <w:spacing w:before="1"/>
              <w:jc w:val="left"/>
              <w:rPr>
                <w:sz w:val="31"/>
              </w:rPr>
            </w:pPr>
          </w:p>
          <w:p w:rsidR="007C5447" w:rsidRDefault="00F6308C">
            <w:pPr>
              <w:pStyle w:val="TableParagraph"/>
              <w:spacing w:before="1"/>
              <w:ind w:left="157"/>
              <w:jc w:val="left"/>
              <w:rPr>
                <w:b/>
              </w:rPr>
            </w:pPr>
            <w:r>
              <w:rPr>
                <w:b/>
              </w:rPr>
              <w:t>Sub Category</w:t>
            </w:r>
          </w:p>
        </w:tc>
        <w:tc>
          <w:tcPr>
            <w:tcW w:w="4681" w:type="dxa"/>
            <w:gridSpan w:val="2"/>
            <w:shd w:val="clear" w:color="auto" w:fill="F7C9AC"/>
          </w:tcPr>
          <w:p w:rsidR="007C5447" w:rsidRDefault="00F6308C">
            <w:pPr>
              <w:pStyle w:val="TableParagraph"/>
              <w:spacing w:before="37"/>
              <w:ind w:left="1624" w:right="1618"/>
              <w:jc w:val="center"/>
              <w:rPr>
                <w:b/>
              </w:rPr>
            </w:pPr>
            <w:r>
              <w:rPr>
                <w:b/>
              </w:rPr>
              <w:t>Existing Tariff</w:t>
            </w:r>
          </w:p>
        </w:tc>
        <w:tc>
          <w:tcPr>
            <w:tcW w:w="4682" w:type="dxa"/>
            <w:gridSpan w:val="2"/>
            <w:shd w:val="clear" w:color="auto" w:fill="F7C9AC"/>
          </w:tcPr>
          <w:p w:rsidR="007C5447" w:rsidRDefault="00F6308C">
            <w:pPr>
              <w:pStyle w:val="TableParagraph"/>
              <w:spacing w:before="37"/>
              <w:ind w:left="1569" w:right="1564"/>
              <w:jc w:val="center"/>
              <w:rPr>
                <w:b/>
              </w:rPr>
            </w:pPr>
            <w:r>
              <w:rPr>
                <w:b/>
              </w:rPr>
              <w:t>Proposed Tariff</w:t>
            </w:r>
          </w:p>
        </w:tc>
      </w:tr>
      <w:tr w:rsidR="007C5447">
        <w:trPr>
          <w:trHeight w:val="628"/>
        </w:trPr>
        <w:tc>
          <w:tcPr>
            <w:tcW w:w="1556" w:type="dxa"/>
            <w:vMerge/>
            <w:tcBorders>
              <w:top w:val="nil"/>
            </w:tcBorders>
            <w:shd w:val="clear" w:color="auto" w:fill="F7C9AC"/>
          </w:tcPr>
          <w:p w:rsidR="007C5447" w:rsidRDefault="007C5447">
            <w:pPr>
              <w:rPr>
                <w:sz w:val="2"/>
                <w:szCs w:val="2"/>
              </w:rPr>
            </w:pPr>
          </w:p>
        </w:tc>
        <w:tc>
          <w:tcPr>
            <w:tcW w:w="1702" w:type="dxa"/>
            <w:vMerge/>
            <w:tcBorders>
              <w:top w:val="nil"/>
            </w:tcBorders>
            <w:shd w:val="clear" w:color="auto" w:fill="F7C9AC"/>
          </w:tcPr>
          <w:p w:rsidR="007C5447" w:rsidRDefault="007C5447">
            <w:pPr>
              <w:rPr>
                <w:sz w:val="2"/>
                <w:szCs w:val="2"/>
              </w:rPr>
            </w:pPr>
          </w:p>
        </w:tc>
        <w:tc>
          <w:tcPr>
            <w:tcW w:w="1609" w:type="dxa"/>
            <w:vMerge/>
            <w:tcBorders>
              <w:top w:val="nil"/>
            </w:tcBorders>
            <w:shd w:val="clear" w:color="auto" w:fill="F7C9AC"/>
          </w:tcPr>
          <w:p w:rsidR="007C5447" w:rsidRDefault="007C5447">
            <w:pPr>
              <w:rPr>
                <w:sz w:val="2"/>
                <w:szCs w:val="2"/>
              </w:rPr>
            </w:pPr>
          </w:p>
        </w:tc>
        <w:tc>
          <w:tcPr>
            <w:tcW w:w="2045" w:type="dxa"/>
            <w:shd w:val="clear" w:color="auto" w:fill="F7C9AC"/>
          </w:tcPr>
          <w:p w:rsidR="007C5447" w:rsidRDefault="00F6308C">
            <w:pPr>
              <w:pStyle w:val="TableParagraph"/>
              <w:spacing w:before="61"/>
              <w:ind w:left="533" w:right="236" w:hanging="276"/>
              <w:jc w:val="left"/>
              <w:rPr>
                <w:b/>
              </w:rPr>
            </w:pPr>
            <w:r>
              <w:rPr>
                <w:b/>
              </w:rPr>
              <w:t>Energy Charges (Rs./kWh)</w:t>
            </w:r>
          </w:p>
        </w:tc>
        <w:tc>
          <w:tcPr>
            <w:tcW w:w="2636" w:type="dxa"/>
            <w:shd w:val="clear" w:color="auto" w:fill="F7C9AC"/>
          </w:tcPr>
          <w:p w:rsidR="007C5447" w:rsidRDefault="00F6308C">
            <w:pPr>
              <w:pStyle w:val="TableParagraph"/>
              <w:spacing w:before="185"/>
              <w:ind w:left="361" w:right="358"/>
              <w:jc w:val="center"/>
              <w:rPr>
                <w:b/>
              </w:rPr>
            </w:pPr>
            <w:r>
              <w:rPr>
                <w:b/>
              </w:rPr>
              <w:t>Fixed Charges (Rs.)</w:t>
            </w:r>
          </w:p>
        </w:tc>
        <w:tc>
          <w:tcPr>
            <w:tcW w:w="2046" w:type="dxa"/>
            <w:shd w:val="clear" w:color="auto" w:fill="F7C9AC"/>
          </w:tcPr>
          <w:p w:rsidR="007C5447" w:rsidRDefault="00F6308C">
            <w:pPr>
              <w:pStyle w:val="TableParagraph"/>
              <w:spacing w:before="61"/>
              <w:ind w:left="533" w:right="237" w:hanging="276"/>
              <w:jc w:val="left"/>
              <w:rPr>
                <w:b/>
              </w:rPr>
            </w:pPr>
            <w:r>
              <w:rPr>
                <w:b/>
              </w:rPr>
              <w:t>Energy Charges (Rs./kWh)</w:t>
            </w:r>
          </w:p>
        </w:tc>
        <w:tc>
          <w:tcPr>
            <w:tcW w:w="2636" w:type="dxa"/>
            <w:shd w:val="clear" w:color="auto" w:fill="F7C9AC"/>
          </w:tcPr>
          <w:p w:rsidR="007C5447" w:rsidRDefault="00F6308C">
            <w:pPr>
              <w:pStyle w:val="TableParagraph"/>
              <w:spacing w:before="185"/>
              <w:ind w:left="360" w:right="359"/>
              <w:jc w:val="center"/>
              <w:rPr>
                <w:b/>
              </w:rPr>
            </w:pPr>
            <w:r>
              <w:rPr>
                <w:b/>
              </w:rPr>
              <w:t>Fixed Charges (Rs.)</w:t>
            </w:r>
          </w:p>
        </w:tc>
      </w:tr>
      <w:tr w:rsidR="007C5447">
        <w:trPr>
          <w:trHeight w:val="330"/>
        </w:trPr>
        <w:tc>
          <w:tcPr>
            <w:tcW w:w="1556" w:type="dxa"/>
          </w:tcPr>
          <w:p w:rsidR="007C5447" w:rsidRDefault="007C5447">
            <w:pPr>
              <w:pStyle w:val="TableParagraph"/>
              <w:jc w:val="left"/>
            </w:pPr>
          </w:p>
        </w:tc>
        <w:tc>
          <w:tcPr>
            <w:tcW w:w="1702" w:type="dxa"/>
          </w:tcPr>
          <w:p w:rsidR="007C5447" w:rsidRDefault="00F6308C">
            <w:pPr>
              <w:pStyle w:val="TableParagraph"/>
              <w:spacing w:before="39"/>
              <w:ind w:left="107"/>
              <w:jc w:val="left"/>
            </w:pPr>
            <w:r>
              <w:t>Single Slab</w:t>
            </w:r>
          </w:p>
        </w:tc>
        <w:tc>
          <w:tcPr>
            <w:tcW w:w="1609" w:type="dxa"/>
          </w:tcPr>
          <w:p w:rsidR="007C5447" w:rsidRDefault="007C5447">
            <w:pPr>
              <w:pStyle w:val="TableParagraph"/>
              <w:jc w:val="left"/>
            </w:pPr>
          </w:p>
        </w:tc>
        <w:tc>
          <w:tcPr>
            <w:tcW w:w="2045" w:type="dxa"/>
          </w:tcPr>
          <w:p w:rsidR="007C5447" w:rsidRDefault="00F6308C">
            <w:pPr>
              <w:pStyle w:val="TableParagraph"/>
              <w:spacing w:before="39"/>
              <w:ind w:left="754" w:right="745"/>
              <w:jc w:val="center"/>
            </w:pPr>
            <w:r>
              <w:t>12.00</w:t>
            </w:r>
          </w:p>
        </w:tc>
        <w:tc>
          <w:tcPr>
            <w:tcW w:w="2636" w:type="dxa"/>
          </w:tcPr>
          <w:p w:rsidR="007C5447" w:rsidRDefault="00F6308C">
            <w:pPr>
              <w:pStyle w:val="TableParagraph"/>
              <w:spacing w:before="39"/>
              <w:ind w:left="361" w:right="355"/>
              <w:jc w:val="center"/>
            </w:pPr>
            <w:r>
              <w:t>345/kW/month</w:t>
            </w:r>
          </w:p>
        </w:tc>
        <w:tc>
          <w:tcPr>
            <w:tcW w:w="2046" w:type="dxa"/>
          </w:tcPr>
          <w:p w:rsidR="007C5447" w:rsidRDefault="00F6308C">
            <w:pPr>
              <w:pStyle w:val="TableParagraph"/>
              <w:spacing w:before="39"/>
              <w:ind w:left="754" w:right="747"/>
              <w:jc w:val="center"/>
            </w:pPr>
            <w:r>
              <w:t>12.00</w:t>
            </w:r>
          </w:p>
        </w:tc>
        <w:tc>
          <w:tcPr>
            <w:tcW w:w="2636" w:type="dxa"/>
          </w:tcPr>
          <w:p w:rsidR="007C5447" w:rsidRDefault="00F6308C">
            <w:pPr>
              <w:pStyle w:val="TableParagraph"/>
              <w:spacing w:before="39"/>
              <w:ind w:left="361" w:right="358"/>
              <w:jc w:val="center"/>
            </w:pPr>
            <w:r>
              <w:t>345/kW/month</w:t>
            </w:r>
          </w:p>
        </w:tc>
      </w:tr>
      <w:tr w:rsidR="007C5447">
        <w:trPr>
          <w:trHeight w:val="330"/>
        </w:trPr>
        <w:tc>
          <w:tcPr>
            <w:tcW w:w="14230" w:type="dxa"/>
            <w:gridSpan w:val="7"/>
            <w:tcBorders>
              <w:right w:val="nil"/>
            </w:tcBorders>
          </w:tcPr>
          <w:p w:rsidR="007C5447" w:rsidRDefault="00F6308C">
            <w:pPr>
              <w:pStyle w:val="TableParagraph"/>
              <w:spacing w:before="61" w:line="250" w:lineRule="exact"/>
              <w:ind w:left="107"/>
              <w:jc w:val="left"/>
              <w:rPr>
                <w:b/>
              </w:rPr>
            </w:pPr>
            <w:r>
              <w:rPr>
                <w:b/>
              </w:rPr>
              <w:t>Tariff for High Tension Consumers</w:t>
            </w:r>
          </w:p>
        </w:tc>
      </w:tr>
      <w:tr w:rsidR="007C5447">
        <w:trPr>
          <w:trHeight w:val="328"/>
        </w:trPr>
        <w:tc>
          <w:tcPr>
            <w:tcW w:w="1556" w:type="dxa"/>
          </w:tcPr>
          <w:p w:rsidR="007C5447" w:rsidRDefault="00F6308C">
            <w:pPr>
              <w:pStyle w:val="TableParagraph"/>
              <w:spacing w:before="61" w:line="248" w:lineRule="exact"/>
              <w:ind w:left="154" w:right="146"/>
              <w:jc w:val="center"/>
              <w:rPr>
                <w:b/>
              </w:rPr>
            </w:pPr>
            <w:r>
              <w:rPr>
                <w:b/>
              </w:rPr>
              <w:t>HT - IA</w:t>
            </w:r>
          </w:p>
        </w:tc>
        <w:tc>
          <w:tcPr>
            <w:tcW w:w="12674" w:type="dxa"/>
            <w:gridSpan w:val="6"/>
          </w:tcPr>
          <w:p w:rsidR="007C5447" w:rsidRDefault="00F6308C">
            <w:pPr>
              <w:pStyle w:val="TableParagraph"/>
              <w:spacing w:before="61" w:line="248" w:lineRule="exact"/>
              <w:ind w:left="107"/>
              <w:jc w:val="left"/>
              <w:rPr>
                <w:b/>
              </w:rPr>
            </w:pPr>
            <w:r>
              <w:rPr>
                <w:b/>
              </w:rPr>
              <w:t>HT Industries</w:t>
            </w:r>
          </w:p>
        </w:tc>
      </w:tr>
      <w:tr w:rsidR="007C5447">
        <w:trPr>
          <w:trHeight w:val="331"/>
        </w:trPr>
        <w:tc>
          <w:tcPr>
            <w:tcW w:w="1556" w:type="dxa"/>
          </w:tcPr>
          <w:p w:rsidR="007C5447" w:rsidRDefault="007C5447">
            <w:pPr>
              <w:pStyle w:val="TableParagraph"/>
              <w:jc w:val="left"/>
            </w:pPr>
          </w:p>
        </w:tc>
        <w:tc>
          <w:tcPr>
            <w:tcW w:w="1702" w:type="dxa"/>
          </w:tcPr>
          <w:p w:rsidR="007C5447" w:rsidRDefault="00F6308C">
            <w:pPr>
              <w:pStyle w:val="TableParagraph"/>
              <w:spacing w:before="39"/>
              <w:ind w:left="107"/>
              <w:jc w:val="left"/>
            </w:pPr>
            <w:r>
              <w:t>Single Slab</w:t>
            </w:r>
          </w:p>
        </w:tc>
        <w:tc>
          <w:tcPr>
            <w:tcW w:w="1609" w:type="dxa"/>
          </w:tcPr>
          <w:p w:rsidR="007C5447" w:rsidRDefault="007C5447">
            <w:pPr>
              <w:pStyle w:val="TableParagraph"/>
              <w:jc w:val="left"/>
            </w:pPr>
          </w:p>
        </w:tc>
        <w:tc>
          <w:tcPr>
            <w:tcW w:w="2045" w:type="dxa"/>
          </w:tcPr>
          <w:p w:rsidR="007C5447" w:rsidRDefault="00F6308C">
            <w:pPr>
              <w:pStyle w:val="TableParagraph"/>
              <w:spacing w:before="39"/>
              <w:ind w:left="754" w:right="745"/>
              <w:jc w:val="center"/>
            </w:pPr>
            <w:r>
              <w:t>6.35</w:t>
            </w:r>
          </w:p>
        </w:tc>
        <w:tc>
          <w:tcPr>
            <w:tcW w:w="2636" w:type="dxa"/>
          </w:tcPr>
          <w:p w:rsidR="007C5447" w:rsidRDefault="00F6308C">
            <w:pPr>
              <w:pStyle w:val="TableParagraph"/>
              <w:spacing w:before="39"/>
              <w:ind w:left="361" w:right="356"/>
              <w:jc w:val="center"/>
            </w:pPr>
            <w:r>
              <w:t>350/kVA/month</w:t>
            </w:r>
          </w:p>
        </w:tc>
        <w:tc>
          <w:tcPr>
            <w:tcW w:w="2046" w:type="dxa"/>
          </w:tcPr>
          <w:p w:rsidR="007C5447" w:rsidRDefault="00F6308C">
            <w:pPr>
              <w:pStyle w:val="TableParagraph"/>
              <w:spacing w:before="39"/>
              <w:ind w:left="754" w:right="747"/>
              <w:jc w:val="center"/>
            </w:pPr>
            <w:r>
              <w:t>6.35</w:t>
            </w:r>
          </w:p>
        </w:tc>
        <w:tc>
          <w:tcPr>
            <w:tcW w:w="2636" w:type="dxa"/>
          </w:tcPr>
          <w:p w:rsidR="007C5447" w:rsidRDefault="00F6308C">
            <w:pPr>
              <w:pStyle w:val="TableParagraph"/>
              <w:spacing w:before="39"/>
              <w:ind w:left="361" w:right="358"/>
              <w:jc w:val="center"/>
            </w:pPr>
            <w:r>
              <w:t>350/kVA/month</w:t>
            </w:r>
          </w:p>
        </w:tc>
      </w:tr>
      <w:tr w:rsidR="007C5447">
        <w:trPr>
          <w:trHeight w:val="330"/>
        </w:trPr>
        <w:tc>
          <w:tcPr>
            <w:tcW w:w="1556" w:type="dxa"/>
          </w:tcPr>
          <w:p w:rsidR="007C5447" w:rsidRDefault="00F6308C">
            <w:pPr>
              <w:pStyle w:val="TableParagraph"/>
              <w:spacing w:before="61" w:line="250" w:lineRule="exact"/>
              <w:ind w:left="156" w:right="145"/>
              <w:jc w:val="center"/>
              <w:rPr>
                <w:b/>
              </w:rPr>
            </w:pPr>
            <w:r>
              <w:rPr>
                <w:b/>
              </w:rPr>
              <w:t>HT - IB</w:t>
            </w:r>
          </w:p>
        </w:tc>
        <w:tc>
          <w:tcPr>
            <w:tcW w:w="12674" w:type="dxa"/>
            <w:gridSpan w:val="6"/>
          </w:tcPr>
          <w:p w:rsidR="007C5447" w:rsidRDefault="00F6308C">
            <w:pPr>
              <w:pStyle w:val="TableParagraph"/>
              <w:spacing w:before="61" w:line="250" w:lineRule="exact"/>
              <w:ind w:left="107"/>
              <w:jc w:val="left"/>
              <w:rPr>
                <w:b/>
              </w:rPr>
            </w:pPr>
            <w:r>
              <w:rPr>
                <w:b/>
              </w:rPr>
              <w:t>Railway Traction</w:t>
            </w:r>
          </w:p>
        </w:tc>
      </w:tr>
      <w:tr w:rsidR="007C5447">
        <w:trPr>
          <w:trHeight w:val="328"/>
        </w:trPr>
        <w:tc>
          <w:tcPr>
            <w:tcW w:w="1556" w:type="dxa"/>
          </w:tcPr>
          <w:p w:rsidR="007C5447" w:rsidRDefault="007C5447">
            <w:pPr>
              <w:pStyle w:val="TableParagraph"/>
              <w:jc w:val="left"/>
            </w:pPr>
          </w:p>
        </w:tc>
        <w:tc>
          <w:tcPr>
            <w:tcW w:w="1702" w:type="dxa"/>
          </w:tcPr>
          <w:p w:rsidR="007C5447" w:rsidRDefault="00F6308C">
            <w:pPr>
              <w:pStyle w:val="TableParagraph"/>
              <w:spacing w:before="37"/>
              <w:ind w:left="107"/>
              <w:jc w:val="left"/>
            </w:pPr>
            <w:r>
              <w:t>Single Slab</w:t>
            </w:r>
          </w:p>
        </w:tc>
        <w:tc>
          <w:tcPr>
            <w:tcW w:w="1609" w:type="dxa"/>
          </w:tcPr>
          <w:p w:rsidR="007C5447" w:rsidRDefault="007C5447">
            <w:pPr>
              <w:pStyle w:val="TableParagraph"/>
              <w:jc w:val="left"/>
            </w:pPr>
          </w:p>
        </w:tc>
        <w:tc>
          <w:tcPr>
            <w:tcW w:w="2045" w:type="dxa"/>
          </w:tcPr>
          <w:p w:rsidR="007C5447" w:rsidRDefault="00F6308C">
            <w:pPr>
              <w:pStyle w:val="TableParagraph"/>
              <w:spacing w:before="37"/>
              <w:ind w:left="754" w:right="745"/>
              <w:jc w:val="center"/>
            </w:pPr>
            <w:r>
              <w:t>6.35</w:t>
            </w:r>
          </w:p>
        </w:tc>
        <w:tc>
          <w:tcPr>
            <w:tcW w:w="2636" w:type="dxa"/>
          </w:tcPr>
          <w:p w:rsidR="007C5447" w:rsidRDefault="00F6308C">
            <w:pPr>
              <w:pStyle w:val="TableParagraph"/>
              <w:spacing w:before="37"/>
              <w:ind w:left="361" w:right="356"/>
              <w:jc w:val="center"/>
            </w:pPr>
            <w:r>
              <w:t>300/kVA/month</w:t>
            </w:r>
          </w:p>
        </w:tc>
        <w:tc>
          <w:tcPr>
            <w:tcW w:w="2046" w:type="dxa"/>
          </w:tcPr>
          <w:p w:rsidR="007C5447" w:rsidRDefault="00F6308C">
            <w:pPr>
              <w:pStyle w:val="TableParagraph"/>
              <w:spacing w:before="37"/>
              <w:ind w:left="754" w:right="747"/>
              <w:jc w:val="center"/>
            </w:pPr>
            <w:r>
              <w:t>6.35</w:t>
            </w:r>
          </w:p>
        </w:tc>
        <w:tc>
          <w:tcPr>
            <w:tcW w:w="2636" w:type="dxa"/>
          </w:tcPr>
          <w:p w:rsidR="007C5447" w:rsidRDefault="00F6308C">
            <w:pPr>
              <w:pStyle w:val="TableParagraph"/>
              <w:spacing w:before="37"/>
              <w:ind w:left="361" w:right="358"/>
              <w:jc w:val="center"/>
            </w:pPr>
            <w:r>
              <w:t>300/kVA/month</w:t>
            </w:r>
          </w:p>
        </w:tc>
      </w:tr>
      <w:tr w:rsidR="007C5447">
        <w:trPr>
          <w:trHeight w:val="330"/>
        </w:trPr>
        <w:tc>
          <w:tcPr>
            <w:tcW w:w="1556" w:type="dxa"/>
          </w:tcPr>
          <w:p w:rsidR="007C5447" w:rsidRDefault="00F6308C">
            <w:pPr>
              <w:pStyle w:val="TableParagraph"/>
              <w:spacing w:before="61" w:line="250" w:lineRule="exact"/>
              <w:ind w:left="156" w:right="143"/>
              <w:jc w:val="center"/>
              <w:rPr>
                <w:b/>
              </w:rPr>
            </w:pPr>
            <w:r>
              <w:rPr>
                <w:b/>
              </w:rPr>
              <w:t>HT - IIA</w:t>
            </w:r>
          </w:p>
        </w:tc>
        <w:tc>
          <w:tcPr>
            <w:tcW w:w="12674" w:type="dxa"/>
            <w:gridSpan w:val="6"/>
          </w:tcPr>
          <w:p w:rsidR="007C5447" w:rsidRDefault="00F6308C">
            <w:pPr>
              <w:pStyle w:val="TableParagraph"/>
              <w:spacing w:before="61" w:line="250" w:lineRule="exact"/>
              <w:ind w:left="107"/>
              <w:jc w:val="left"/>
              <w:rPr>
                <w:b/>
              </w:rPr>
            </w:pPr>
            <w:r>
              <w:rPr>
                <w:b/>
              </w:rPr>
              <w:t>Govt. Educational Institution</w:t>
            </w:r>
          </w:p>
        </w:tc>
      </w:tr>
      <w:tr w:rsidR="007C5447">
        <w:trPr>
          <w:trHeight w:val="330"/>
        </w:trPr>
        <w:tc>
          <w:tcPr>
            <w:tcW w:w="1556" w:type="dxa"/>
          </w:tcPr>
          <w:p w:rsidR="007C5447" w:rsidRDefault="007C5447">
            <w:pPr>
              <w:pStyle w:val="TableParagraph"/>
              <w:jc w:val="left"/>
            </w:pPr>
          </w:p>
        </w:tc>
        <w:tc>
          <w:tcPr>
            <w:tcW w:w="1702" w:type="dxa"/>
          </w:tcPr>
          <w:p w:rsidR="007C5447" w:rsidRDefault="00F6308C">
            <w:pPr>
              <w:pStyle w:val="TableParagraph"/>
              <w:spacing w:before="37"/>
              <w:ind w:left="107"/>
              <w:jc w:val="left"/>
            </w:pPr>
            <w:r>
              <w:t>Single Slab</w:t>
            </w:r>
          </w:p>
        </w:tc>
        <w:tc>
          <w:tcPr>
            <w:tcW w:w="1609" w:type="dxa"/>
          </w:tcPr>
          <w:p w:rsidR="007C5447" w:rsidRDefault="007C5447">
            <w:pPr>
              <w:pStyle w:val="TableParagraph"/>
              <w:jc w:val="left"/>
            </w:pPr>
          </w:p>
        </w:tc>
        <w:tc>
          <w:tcPr>
            <w:tcW w:w="2045" w:type="dxa"/>
          </w:tcPr>
          <w:p w:rsidR="007C5447" w:rsidRDefault="00F6308C">
            <w:pPr>
              <w:pStyle w:val="TableParagraph"/>
              <w:spacing w:before="37"/>
              <w:ind w:left="754" w:right="745"/>
              <w:jc w:val="center"/>
            </w:pPr>
            <w:r>
              <w:t>6.35</w:t>
            </w:r>
          </w:p>
        </w:tc>
        <w:tc>
          <w:tcPr>
            <w:tcW w:w="2636" w:type="dxa"/>
          </w:tcPr>
          <w:p w:rsidR="007C5447" w:rsidRDefault="00F6308C">
            <w:pPr>
              <w:pStyle w:val="TableParagraph"/>
              <w:spacing w:before="37"/>
              <w:ind w:left="361" w:right="356"/>
              <w:jc w:val="center"/>
            </w:pPr>
            <w:r>
              <w:t>350/kVA/month</w:t>
            </w:r>
          </w:p>
        </w:tc>
        <w:tc>
          <w:tcPr>
            <w:tcW w:w="2046" w:type="dxa"/>
          </w:tcPr>
          <w:p w:rsidR="007C5447" w:rsidRDefault="00F6308C">
            <w:pPr>
              <w:pStyle w:val="TableParagraph"/>
              <w:spacing w:before="37"/>
              <w:ind w:left="754" w:right="747"/>
              <w:jc w:val="center"/>
            </w:pPr>
            <w:r>
              <w:t>6.35</w:t>
            </w:r>
          </w:p>
        </w:tc>
        <w:tc>
          <w:tcPr>
            <w:tcW w:w="2636" w:type="dxa"/>
          </w:tcPr>
          <w:p w:rsidR="007C5447" w:rsidRDefault="00F6308C">
            <w:pPr>
              <w:pStyle w:val="TableParagraph"/>
              <w:spacing w:before="37"/>
              <w:ind w:left="361" w:right="358"/>
              <w:jc w:val="center"/>
            </w:pPr>
            <w:r>
              <w:t>350/kVA/month</w:t>
            </w:r>
          </w:p>
        </w:tc>
      </w:tr>
      <w:tr w:rsidR="007C5447">
        <w:trPr>
          <w:trHeight w:val="328"/>
        </w:trPr>
        <w:tc>
          <w:tcPr>
            <w:tcW w:w="1556" w:type="dxa"/>
          </w:tcPr>
          <w:p w:rsidR="007C5447" w:rsidRDefault="00F6308C">
            <w:pPr>
              <w:pStyle w:val="TableParagraph"/>
              <w:spacing w:before="61" w:line="248" w:lineRule="exact"/>
              <w:ind w:left="154" w:right="146"/>
              <w:jc w:val="center"/>
              <w:rPr>
                <w:b/>
              </w:rPr>
            </w:pPr>
            <w:r>
              <w:rPr>
                <w:b/>
              </w:rPr>
              <w:t>HT - IIB</w:t>
            </w:r>
          </w:p>
        </w:tc>
        <w:tc>
          <w:tcPr>
            <w:tcW w:w="12674" w:type="dxa"/>
            <w:gridSpan w:val="6"/>
          </w:tcPr>
          <w:p w:rsidR="007C5447" w:rsidRDefault="00F6308C">
            <w:pPr>
              <w:pStyle w:val="TableParagraph"/>
              <w:spacing w:before="61" w:line="248" w:lineRule="exact"/>
              <w:ind w:left="107"/>
              <w:jc w:val="left"/>
              <w:rPr>
                <w:b/>
              </w:rPr>
            </w:pPr>
            <w:r>
              <w:rPr>
                <w:b/>
              </w:rPr>
              <w:t>Pvt. Educational Institution</w:t>
            </w:r>
          </w:p>
        </w:tc>
      </w:tr>
      <w:tr w:rsidR="007C5447">
        <w:trPr>
          <w:trHeight w:val="330"/>
        </w:trPr>
        <w:tc>
          <w:tcPr>
            <w:tcW w:w="1556" w:type="dxa"/>
          </w:tcPr>
          <w:p w:rsidR="007C5447" w:rsidRDefault="007C5447">
            <w:pPr>
              <w:pStyle w:val="TableParagraph"/>
              <w:jc w:val="left"/>
            </w:pPr>
          </w:p>
        </w:tc>
        <w:tc>
          <w:tcPr>
            <w:tcW w:w="1702" w:type="dxa"/>
          </w:tcPr>
          <w:p w:rsidR="007C5447" w:rsidRDefault="00F6308C">
            <w:pPr>
              <w:pStyle w:val="TableParagraph"/>
              <w:spacing w:before="39"/>
              <w:ind w:left="107"/>
              <w:jc w:val="left"/>
            </w:pPr>
            <w:r>
              <w:t>Single Slab</w:t>
            </w:r>
          </w:p>
        </w:tc>
        <w:tc>
          <w:tcPr>
            <w:tcW w:w="1609" w:type="dxa"/>
          </w:tcPr>
          <w:p w:rsidR="007C5447" w:rsidRDefault="007C5447">
            <w:pPr>
              <w:pStyle w:val="TableParagraph"/>
              <w:jc w:val="left"/>
            </w:pPr>
          </w:p>
        </w:tc>
        <w:tc>
          <w:tcPr>
            <w:tcW w:w="2045" w:type="dxa"/>
          </w:tcPr>
          <w:p w:rsidR="007C5447" w:rsidRDefault="00F6308C">
            <w:pPr>
              <w:pStyle w:val="TableParagraph"/>
              <w:spacing w:before="39"/>
              <w:ind w:left="754" w:right="745"/>
              <w:jc w:val="center"/>
            </w:pPr>
            <w:r>
              <w:t>6.35</w:t>
            </w:r>
          </w:p>
        </w:tc>
        <w:tc>
          <w:tcPr>
            <w:tcW w:w="2636" w:type="dxa"/>
          </w:tcPr>
          <w:p w:rsidR="007C5447" w:rsidRDefault="00F6308C">
            <w:pPr>
              <w:pStyle w:val="TableParagraph"/>
              <w:spacing w:before="39"/>
              <w:ind w:left="361" w:right="356"/>
              <w:jc w:val="center"/>
            </w:pPr>
            <w:r>
              <w:t>350/kVA/month</w:t>
            </w:r>
          </w:p>
        </w:tc>
        <w:tc>
          <w:tcPr>
            <w:tcW w:w="2046" w:type="dxa"/>
          </w:tcPr>
          <w:p w:rsidR="007C5447" w:rsidRDefault="00F6308C">
            <w:pPr>
              <w:pStyle w:val="TableParagraph"/>
              <w:spacing w:before="39"/>
              <w:ind w:left="754" w:right="747"/>
              <w:jc w:val="center"/>
            </w:pPr>
            <w:r>
              <w:t>6.35</w:t>
            </w:r>
          </w:p>
        </w:tc>
        <w:tc>
          <w:tcPr>
            <w:tcW w:w="2636" w:type="dxa"/>
          </w:tcPr>
          <w:p w:rsidR="007C5447" w:rsidRDefault="00F6308C">
            <w:pPr>
              <w:pStyle w:val="TableParagraph"/>
              <w:spacing w:before="39"/>
              <w:ind w:left="361" w:right="358"/>
              <w:jc w:val="center"/>
            </w:pPr>
            <w:r>
              <w:t>350/kVA/month</w:t>
            </w:r>
          </w:p>
        </w:tc>
      </w:tr>
      <w:tr w:rsidR="007C5447">
        <w:trPr>
          <w:trHeight w:val="330"/>
        </w:trPr>
        <w:tc>
          <w:tcPr>
            <w:tcW w:w="1556" w:type="dxa"/>
          </w:tcPr>
          <w:p w:rsidR="007C5447" w:rsidRDefault="00F6308C">
            <w:pPr>
              <w:pStyle w:val="TableParagraph"/>
              <w:spacing w:before="61" w:line="250" w:lineRule="exact"/>
              <w:ind w:left="156" w:right="144"/>
              <w:jc w:val="center"/>
              <w:rPr>
                <w:b/>
              </w:rPr>
            </w:pPr>
            <w:r>
              <w:rPr>
                <w:b/>
              </w:rPr>
              <w:t>HT - III</w:t>
            </w:r>
          </w:p>
        </w:tc>
        <w:tc>
          <w:tcPr>
            <w:tcW w:w="12674" w:type="dxa"/>
            <w:gridSpan w:val="6"/>
          </w:tcPr>
          <w:p w:rsidR="007C5447" w:rsidRDefault="00F6308C">
            <w:pPr>
              <w:pStyle w:val="TableParagraph"/>
              <w:spacing w:before="61" w:line="250" w:lineRule="exact"/>
              <w:ind w:left="107"/>
              <w:jc w:val="left"/>
              <w:rPr>
                <w:b/>
              </w:rPr>
            </w:pPr>
            <w:r>
              <w:rPr>
                <w:b/>
              </w:rPr>
              <w:t>HT Commercial</w:t>
            </w:r>
          </w:p>
        </w:tc>
      </w:tr>
      <w:tr w:rsidR="007C5447">
        <w:trPr>
          <w:trHeight w:val="328"/>
        </w:trPr>
        <w:tc>
          <w:tcPr>
            <w:tcW w:w="1556" w:type="dxa"/>
          </w:tcPr>
          <w:p w:rsidR="007C5447" w:rsidRDefault="007C5447">
            <w:pPr>
              <w:pStyle w:val="TableParagraph"/>
              <w:jc w:val="left"/>
            </w:pPr>
          </w:p>
        </w:tc>
        <w:tc>
          <w:tcPr>
            <w:tcW w:w="1702" w:type="dxa"/>
          </w:tcPr>
          <w:p w:rsidR="007C5447" w:rsidRDefault="00F6308C">
            <w:pPr>
              <w:pStyle w:val="TableParagraph"/>
              <w:spacing w:before="37"/>
              <w:ind w:left="107"/>
              <w:jc w:val="left"/>
            </w:pPr>
            <w:r>
              <w:t>Single Slab</w:t>
            </w:r>
          </w:p>
        </w:tc>
        <w:tc>
          <w:tcPr>
            <w:tcW w:w="1609" w:type="dxa"/>
          </w:tcPr>
          <w:p w:rsidR="007C5447" w:rsidRDefault="007C5447">
            <w:pPr>
              <w:pStyle w:val="TableParagraph"/>
              <w:jc w:val="left"/>
            </w:pPr>
          </w:p>
        </w:tc>
        <w:tc>
          <w:tcPr>
            <w:tcW w:w="2045" w:type="dxa"/>
          </w:tcPr>
          <w:p w:rsidR="007C5447" w:rsidRDefault="00F6308C">
            <w:pPr>
              <w:pStyle w:val="TableParagraph"/>
              <w:spacing w:before="37"/>
              <w:ind w:left="754" w:right="745"/>
              <w:jc w:val="center"/>
            </w:pPr>
            <w:r>
              <w:t>8.00</w:t>
            </w:r>
          </w:p>
        </w:tc>
        <w:tc>
          <w:tcPr>
            <w:tcW w:w="2636" w:type="dxa"/>
          </w:tcPr>
          <w:p w:rsidR="007C5447" w:rsidRDefault="00F6308C">
            <w:pPr>
              <w:pStyle w:val="TableParagraph"/>
              <w:spacing w:before="37"/>
              <w:ind w:left="361" w:right="356"/>
              <w:jc w:val="center"/>
            </w:pPr>
            <w:r>
              <w:t>350/kVA/month</w:t>
            </w:r>
          </w:p>
        </w:tc>
        <w:tc>
          <w:tcPr>
            <w:tcW w:w="2046" w:type="dxa"/>
          </w:tcPr>
          <w:p w:rsidR="007C5447" w:rsidRDefault="00F6308C">
            <w:pPr>
              <w:pStyle w:val="TableParagraph"/>
              <w:spacing w:before="37"/>
              <w:ind w:left="754" w:right="747"/>
              <w:jc w:val="center"/>
            </w:pPr>
            <w:r>
              <w:t>8.00</w:t>
            </w:r>
          </w:p>
        </w:tc>
        <w:tc>
          <w:tcPr>
            <w:tcW w:w="2636" w:type="dxa"/>
          </w:tcPr>
          <w:p w:rsidR="007C5447" w:rsidRDefault="00F6308C">
            <w:pPr>
              <w:pStyle w:val="TableParagraph"/>
              <w:spacing w:before="37"/>
              <w:ind w:left="361" w:right="358"/>
              <w:jc w:val="center"/>
            </w:pPr>
            <w:r>
              <w:t>350/kVA/month</w:t>
            </w:r>
          </w:p>
        </w:tc>
      </w:tr>
      <w:tr w:rsidR="007C5447">
        <w:trPr>
          <w:trHeight w:val="330"/>
        </w:trPr>
        <w:tc>
          <w:tcPr>
            <w:tcW w:w="1556" w:type="dxa"/>
          </w:tcPr>
          <w:p w:rsidR="007C5447" w:rsidRDefault="00F6308C">
            <w:pPr>
              <w:pStyle w:val="TableParagraph"/>
              <w:spacing w:before="61" w:line="250" w:lineRule="exact"/>
              <w:ind w:left="154" w:right="146"/>
              <w:jc w:val="center"/>
              <w:rPr>
                <w:b/>
              </w:rPr>
            </w:pPr>
            <w:r>
              <w:rPr>
                <w:b/>
              </w:rPr>
              <w:t>HT - IV</w:t>
            </w:r>
          </w:p>
        </w:tc>
        <w:tc>
          <w:tcPr>
            <w:tcW w:w="12674" w:type="dxa"/>
            <w:gridSpan w:val="6"/>
          </w:tcPr>
          <w:p w:rsidR="007C5447" w:rsidRDefault="00F6308C">
            <w:pPr>
              <w:pStyle w:val="TableParagraph"/>
              <w:spacing w:before="61" w:line="250" w:lineRule="exact"/>
              <w:ind w:left="107"/>
              <w:jc w:val="left"/>
              <w:rPr>
                <w:b/>
              </w:rPr>
            </w:pPr>
            <w:r>
              <w:rPr>
                <w:b/>
              </w:rPr>
              <w:t>Lift Irrigation Societies</w:t>
            </w:r>
          </w:p>
        </w:tc>
      </w:tr>
      <w:tr w:rsidR="007C5447">
        <w:trPr>
          <w:trHeight w:val="330"/>
        </w:trPr>
        <w:tc>
          <w:tcPr>
            <w:tcW w:w="1556" w:type="dxa"/>
          </w:tcPr>
          <w:p w:rsidR="007C5447" w:rsidRDefault="007C5447">
            <w:pPr>
              <w:pStyle w:val="TableParagraph"/>
              <w:jc w:val="left"/>
            </w:pPr>
          </w:p>
        </w:tc>
        <w:tc>
          <w:tcPr>
            <w:tcW w:w="1702" w:type="dxa"/>
          </w:tcPr>
          <w:p w:rsidR="007C5447" w:rsidRDefault="00F6308C">
            <w:pPr>
              <w:pStyle w:val="TableParagraph"/>
              <w:spacing w:before="37"/>
              <w:ind w:left="107"/>
              <w:jc w:val="left"/>
            </w:pPr>
            <w:r>
              <w:t>Single Slab</w:t>
            </w:r>
          </w:p>
        </w:tc>
        <w:tc>
          <w:tcPr>
            <w:tcW w:w="1609" w:type="dxa"/>
          </w:tcPr>
          <w:p w:rsidR="007C5447" w:rsidRDefault="007C5447">
            <w:pPr>
              <w:pStyle w:val="TableParagraph"/>
              <w:jc w:val="left"/>
            </w:pPr>
          </w:p>
        </w:tc>
        <w:tc>
          <w:tcPr>
            <w:tcW w:w="2045" w:type="dxa"/>
          </w:tcPr>
          <w:p w:rsidR="007C5447" w:rsidRDefault="00F6308C">
            <w:pPr>
              <w:pStyle w:val="TableParagraph"/>
              <w:spacing w:before="37"/>
              <w:ind w:left="754" w:right="745"/>
              <w:jc w:val="center"/>
            </w:pPr>
            <w:r>
              <w:t>6.35</w:t>
            </w:r>
          </w:p>
        </w:tc>
        <w:tc>
          <w:tcPr>
            <w:tcW w:w="2636" w:type="dxa"/>
          </w:tcPr>
          <w:p w:rsidR="007C5447" w:rsidRDefault="00F6308C">
            <w:pPr>
              <w:pStyle w:val="TableParagraph"/>
              <w:spacing w:before="37"/>
              <w:ind w:left="3"/>
              <w:jc w:val="center"/>
            </w:pPr>
            <w:r>
              <w:t>-</w:t>
            </w:r>
          </w:p>
        </w:tc>
        <w:tc>
          <w:tcPr>
            <w:tcW w:w="2046" w:type="dxa"/>
          </w:tcPr>
          <w:p w:rsidR="007C5447" w:rsidRDefault="00F6308C">
            <w:pPr>
              <w:pStyle w:val="TableParagraph"/>
              <w:spacing w:before="37"/>
              <w:ind w:left="754" w:right="747"/>
              <w:jc w:val="center"/>
            </w:pPr>
            <w:r>
              <w:t>6.35</w:t>
            </w:r>
          </w:p>
        </w:tc>
        <w:tc>
          <w:tcPr>
            <w:tcW w:w="2636" w:type="dxa"/>
          </w:tcPr>
          <w:p w:rsidR="007C5447" w:rsidRDefault="00F6308C">
            <w:pPr>
              <w:pStyle w:val="TableParagraph"/>
              <w:spacing w:before="37"/>
              <w:jc w:val="center"/>
            </w:pPr>
            <w:r>
              <w:t>-</w:t>
            </w:r>
          </w:p>
        </w:tc>
      </w:tr>
      <w:tr w:rsidR="007C5447">
        <w:trPr>
          <w:trHeight w:val="328"/>
        </w:trPr>
        <w:tc>
          <w:tcPr>
            <w:tcW w:w="1556" w:type="dxa"/>
          </w:tcPr>
          <w:p w:rsidR="007C5447" w:rsidRDefault="00F6308C">
            <w:pPr>
              <w:pStyle w:val="TableParagraph"/>
              <w:spacing w:before="61" w:line="248" w:lineRule="exact"/>
              <w:ind w:left="156" w:right="146"/>
              <w:jc w:val="center"/>
              <w:rPr>
                <w:b/>
              </w:rPr>
            </w:pPr>
            <w:r>
              <w:rPr>
                <w:b/>
              </w:rPr>
              <w:t>HT - V</w:t>
            </w:r>
          </w:p>
        </w:tc>
        <w:tc>
          <w:tcPr>
            <w:tcW w:w="12674" w:type="dxa"/>
            <w:gridSpan w:val="6"/>
          </w:tcPr>
          <w:p w:rsidR="007C5447" w:rsidRDefault="00F6308C">
            <w:pPr>
              <w:pStyle w:val="TableParagraph"/>
              <w:spacing w:before="61" w:line="248" w:lineRule="exact"/>
              <w:ind w:left="107"/>
              <w:jc w:val="left"/>
              <w:rPr>
                <w:b/>
              </w:rPr>
            </w:pPr>
            <w:r>
              <w:rPr>
                <w:b/>
              </w:rPr>
              <w:t>Temporary Supply</w:t>
            </w:r>
          </w:p>
        </w:tc>
      </w:tr>
      <w:tr w:rsidR="007C5447">
        <w:trPr>
          <w:trHeight w:val="330"/>
        </w:trPr>
        <w:tc>
          <w:tcPr>
            <w:tcW w:w="1556" w:type="dxa"/>
          </w:tcPr>
          <w:p w:rsidR="007C5447" w:rsidRDefault="007C5447">
            <w:pPr>
              <w:pStyle w:val="TableParagraph"/>
              <w:jc w:val="left"/>
            </w:pPr>
          </w:p>
        </w:tc>
        <w:tc>
          <w:tcPr>
            <w:tcW w:w="1702" w:type="dxa"/>
          </w:tcPr>
          <w:p w:rsidR="007C5447" w:rsidRDefault="00F6308C">
            <w:pPr>
              <w:pStyle w:val="TableParagraph"/>
              <w:spacing w:before="39"/>
              <w:ind w:left="107"/>
              <w:jc w:val="left"/>
            </w:pPr>
            <w:r>
              <w:t>Single Slab</w:t>
            </w:r>
          </w:p>
        </w:tc>
        <w:tc>
          <w:tcPr>
            <w:tcW w:w="1609" w:type="dxa"/>
          </w:tcPr>
          <w:p w:rsidR="007C5447" w:rsidRDefault="007C5447">
            <w:pPr>
              <w:pStyle w:val="TableParagraph"/>
              <w:jc w:val="left"/>
            </w:pPr>
          </w:p>
        </w:tc>
        <w:tc>
          <w:tcPr>
            <w:tcW w:w="2045" w:type="dxa"/>
          </w:tcPr>
          <w:p w:rsidR="007C5447" w:rsidRDefault="00F6308C">
            <w:pPr>
              <w:pStyle w:val="TableParagraph"/>
              <w:spacing w:before="39"/>
              <w:ind w:left="754" w:right="745"/>
              <w:jc w:val="center"/>
            </w:pPr>
            <w:r>
              <w:t>11.00</w:t>
            </w:r>
          </w:p>
        </w:tc>
        <w:tc>
          <w:tcPr>
            <w:tcW w:w="2636" w:type="dxa"/>
          </w:tcPr>
          <w:p w:rsidR="007C5447" w:rsidRDefault="00F6308C">
            <w:pPr>
              <w:pStyle w:val="TableParagraph"/>
              <w:spacing w:before="39"/>
              <w:ind w:left="361" w:right="356"/>
              <w:jc w:val="center"/>
            </w:pPr>
            <w:r>
              <w:t>350/kVA/month</w:t>
            </w:r>
          </w:p>
        </w:tc>
        <w:tc>
          <w:tcPr>
            <w:tcW w:w="2046" w:type="dxa"/>
          </w:tcPr>
          <w:p w:rsidR="007C5447" w:rsidRDefault="00F6308C">
            <w:pPr>
              <w:pStyle w:val="TableParagraph"/>
              <w:spacing w:before="39"/>
              <w:ind w:left="754" w:right="747"/>
              <w:jc w:val="center"/>
            </w:pPr>
            <w:r>
              <w:t>11.00</w:t>
            </w:r>
          </w:p>
        </w:tc>
        <w:tc>
          <w:tcPr>
            <w:tcW w:w="2636" w:type="dxa"/>
          </w:tcPr>
          <w:p w:rsidR="007C5447" w:rsidRDefault="00F6308C">
            <w:pPr>
              <w:pStyle w:val="TableParagraph"/>
              <w:spacing w:before="39"/>
              <w:ind w:left="361" w:right="358"/>
              <w:jc w:val="center"/>
            </w:pPr>
            <w:r>
              <w:t>350/kVA/month</w:t>
            </w:r>
          </w:p>
        </w:tc>
      </w:tr>
    </w:tbl>
    <w:p w:rsidR="007C5447" w:rsidRDefault="007C5447">
      <w:pPr>
        <w:jc w:val="center"/>
        <w:sectPr w:rsidR="007C5447">
          <w:pgSz w:w="16840" w:h="11910" w:orient="landscape"/>
          <w:pgMar w:top="1100" w:right="1040" w:bottom="960" w:left="1340" w:header="0" w:footer="777" w:gutter="0"/>
          <w:cols w:space="720"/>
        </w:sectPr>
      </w:pPr>
    </w:p>
    <w:p w:rsidR="007C5447" w:rsidRDefault="00F6308C">
      <w:pPr>
        <w:spacing w:before="61"/>
        <w:ind w:left="952"/>
        <w:rPr>
          <w:b/>
          <w:sz w:val="24"/>
        </w:rPr>
      </w:pPr>
      <w:r>
        <w:rPr>
          <w:b/>
          <w:sz w:val="24"/>
        </w:rPr>
        <w:lastRenderedPageBreak/>
        <w:t>Commission’s Views</w:t>
      </w:r>
    </w:p>
    <w:p w:rsidR="007C5447" w:rsidRDefault="00F6308C">
      <w:pPr>
        <w:pStyle w:val="ListParagraph"/>
        <w:numPr>
          <w:ilvl w:val="2"/>
          <w:numId w:val="40"/>
        </w:numPr>
        <w:tabs>
          <w:tab w:val="left" w:pos="953"/>
        </w:tabs>
        <w:spacing w:before="201" w:line="312" w:lineRule="auto"/>
        <w:ind w:left="952" w:right="115"/>
        <w:jc w:val="both"/>
        <w:rPr>
          <w:sz w:val="24"/>
        </w:rPr>
      </w:pPr>
      <w:r>
        <w:rPr>
          <w:sz w:val="24"/>
        </w:rPr>
        <w:t>As shown in Chapter 5, the Commission has determined standalone revenue surplus of Rs. 2,231.59 Crore for FY 2017-18. Whenever there is surplus revenue, the next logical step under normal operating circumstances, is to provide relief to consumers by way of</w:t>
      </w:r>
      <w:r>
        <w:rPr>
          <w:sz w:val="24"/>
        </w:rPr>
        <w:t xml:space="preserve"> reducing</w:t>
      </w:r>
      <w:r>
        <w:rPr>
          <w:spacing w:val="-13"/>
          <w:sz w:val="24"/>
        </w:rPr>
        <w:t xml:space="preserve"> </w:t>
      </w:r>
      <w:r>
        <w:rPr>
          <w:sz w:val="24"/>
        </w:rPr>
        <w:t>tariff.</w:t>
      </w:r>
    </w:p>
    <w:p w:rsidR="007C5447" w:rsidRDefault="007C5447">
      <w:pPr>
        <w:pStyle w:val="BodyText"/>
        <w:spacing w:before="10"/>
        <w:rPr>
          <w:sz w:val="20"/>
        </w:rPr>
      </w:pPr>
    </w:p>
    <w:p w:rsidR="007C5447" w:rsidRDefault="00F6308C">
      <w:pPr>
        <w:pStyle w:val="ListParagraph"/>
        <w:numPr>
          <w:ilvl w:val="2"/>
          <w:numId w:val="40"/>
        </w:numPr>
        <w:tabs>
          <w:tab w:val="left" w:pos="953"/>
        </w:tabs>
        <w:spacing w:before="1" w:line="312" w:lineRule="auto"/>
        <w:ind w:left="952" w:right="116"/>
        <w:jc w:val="both"/>
        <w:rPr>
          <w:sz w:val="24"/>
        </w:rPr>
      </w:pPr>
      <w:r>
        <w:rPr>
          <w:sz w:val="24"/>
        </w:rPr>
        <w:t>TANGEDCO in its submissions, as shown above, has emphasised how taking over of loan by GoTN has proved to be beneficial as it is expected to save approximately Rs. 2882 Crore per annum on interest charges. However, taking over of loan by GoTN will result i</w:t>
      </w:r>
      <w:r>
        <w:rPr>
          <w:sz w:val="24"/>
        </w:rPr>
        <w:t>n breach of Fiscal Deficit target of 3% of the GSDP as GoTN will have to disburse additional funds to meet the shortfall in funds meant for carrying out normal developmental</w:t>
      </w:r>
      <w:r>
        <w:rPr>
          <w:spacing w:val="-1"/>
          <w:sz w:val="24"/>
        </w:rPr>
        <w:t xml:space="preserve"> </w:t>
      </w:r>
      <w:r>
        <w:rPr>
          <w:sz w:val="24"/>
        </w:rPr>
        <w:t>work.</w:t>
      </w:r>
    </w:p>
    <w:p w:rsidR="007C5447" w:rsidRDefault="007C5447">
      <w:pPr>
        <w:pStyle w:val="BodyText"/>
        <w:spacing w:before="10"/>
        <w:rPr>
          <w:sz w:val="20"/>
        </w:rPr>
      </w:pPr>
    </w:p>
    <w:p w:rsidR="007C5447" w:rsidRDefault="00F6308C">
      <w:pPr>
        <w:pStyle w:val="ListParagraph"/>
        <w:numPr>
          <w:ilvl w:val="2"/>
          <w:numId w:val="40"/>
        </w:numPr>
        <w:tabs>
          <w:tab w:val="left" w:pos="953"/>
        </w:tabs>
        <w:spacing w:line="312" w:lineRule="auto"/>
        <w:ind w:left="952" w:right="117"/>
        <w:jc w:val="both"/>
        <w:rPr>
          <w:sz w:val="24"/>
        </w:rPr>
      </w:pPr>
      <w:r>
        <w:rPr>
          <w:sz w:val="24"/>
        </w:rPr>
        <w:t>The GoTN has been providing subsidy to domestic, huts and agriculture consu</w:t>
      </w:r>
      <w:r>
        <w:rPr>
          <w:sz w:val="24"/>
        </w:rPr>
        <w:t>mers. Based on the past trend, it is observed that GoTN has been paying annual subsidy in the range of Rs. 5000 to 6000 Crore. However, based on the projected sales and energy consumption for FY 2017-18, the amount of subsidy is expected to increase to Rs.</w:t>
      </w:r>
      <w:r>
        <w:rPr>
          <w:sz w:val="24"/>
        </w:rPr>
        <w:t xml:space="preserve"> 8800 Crore (as GoTN pays subsidy on per unit of</w:t>
      </w:r>
      <w:r>
        <w:rPr>
          <w:spacing w:val="-7"/>
          <w:sz w:val="24"/>
        </w:rPr>
        <w:t xml:space="preserve"> </w:t>
      </w:r>
      <w:r>
        <w:rPr>
          <w:sz w:val="24"/>
        </w:rPr>
        <w:t>consumption).</w:t>
      </w:r>
    </w:p>
    <w:p w:rsidR="007C5447" w:rsidRDefault="007C5447">
      <w:pPr>
        <w:pStyle w:val="BodyText"/>
        <w:rPr>
          <w:sz w:val="21"/>
        </w:rPr>
      </w:pPr>
    </w:p>
    <w:p w:rsidR="007C5447" w:rsidRDefault="00F6308C">
      <w:pPr>
        <w:pStyle w:val="ListParagraph"/>
        <w:numPr>
          <w:ilvl w:val="2"/>
          <w:numId w:val="40"/>
        </w:numPr>
        <w:tabs>
          <w:tab w:val="left" w:pos="953"/>
        </w:tabs>
        <w:spacing w:line="312" w:lineRule="auto"/>
        <w:ind w:left="952" w:right="113"/>
        <w:jc w:val="both"/>
        <w:rPr>
          <w:sz w:val="24"/>
        </w:rPr>
      </w:pPr>
      <w:r>
        <w:rPr>
          <w:sz w:val="24"/>
        </w:rPr>
        <w:t>As TANGEDCO is expected to gain immensely from signing UDAY by way of reduction in interest burden and increase in internal efficiency, the Commission is accepting its tariff proposal of reduc</w:t>
      </w:r>
      <w:r>
        <w:rPr>
          <w:sz w:val="24"/>
        </w:rPr>
        <w:t>ing subsidy portion of energy charges for domestic category of consumers. The Commission would like to clarify that GoTN provides partial subsidy to domestic consumers, i.e., per unit of consumption, certain energy charge is charged to the domestic consume</w:t>
      </w:r>
      <w:r>
        <w:rPr>
          <w:sz w:val="24"/>
        </w:rPr>
        <w:t>rs and GoTN provides subsidy for the balance portion. Besides, the share of subsidy to domestic consumers is more than 50% of the total subsidy given by the GoTN. Therefore, the Commission is accepting TANGEDCO’s proposal to reduce the subsidy portion of e</w:t>
      </w:r>
      <w:r>
        <w:rPr>
          <w:sz w:val="24"/>
        </w:rPr>
        <w:t>nergy charges applicable to domestic consumers, as a one-time measure. however, there will be no reduction in effective tariff payable by the domestic consumers. Further, TANGEDCO has also proposed to reduce the Fixed Charges for some of the consumption sl</w:t>
      </w:r>
      <w:r>
        <w:rPr>
          <w:sz w:val="24"/>
        </w:rPr>
        <w:t>abs, in order to reduce the GoTN subsidy burden. However, as the Fixed Charges are already very low, the proposal to reduce the same has not been accepted.</w:t>
      </w:r>
    </w:p>
    <w:p w:rsidR="007C5447" w:rsidRDefault="007C5447">
      <w:pPr>
        <w:pStyle w:val="BodyText"/>
        <w:spacing w:before="10"/>
        <w:rPr>
          <w:sz w:val="20"/>
        </w:rPr>
      </w:pPr>
    </w:p>
    <w:p w:rsidR="007C5447" w:rsidRDefault="00F6308C">
      <w:pPr>
        <w:pStyle w:val="ListParagraph"/>
        <w:numPr>
          <w:ilvl w:val="2"/>
          <w:numId w:val="40"/>
        </w:numPr>
        <w:tabs>
          <w:tab w:val="left" w:pos="953"/>
        </w:tabs>
        <w:spacing w:before="1" w:line="312" w:lineRule="auto"/>
        <w:ind w:left="952" w:right="117"/>
        <w:jc w:val="both"/>
        <w:rPr>
          <w:sz w:val="24"/>
        </w:rPr>
      </w:pPr>
      <w:r>
        <w:rPr>
          <w:sz w:val="24"/>
        </w:rPr>
        <w:t xml:space="preserve">In this manner, the overall burden of subsidy will reduce for GoTN, thereby helping it to maintain </w:t>
      </w:r>
      <w:r>
        <w:rPr>
          <w:sz w:val="24"/>
        </w:rPr>
        <w:t>the fiscal discipline. Besides, it will also ensure that the subsidy is in the</w:t>
      </w:r>
      <w:r>
        <w:rPr>
          <w:spacing w:val="41"/>
          <w:sz w:val="24"/>
        </w:rPr>
        <w:t xml:space="preserve"> </w:t>
      </w:r>
      <w:r>
        <w:rPr>
          <w:sz w:val="24"/>
        </w:rPr>
        <w:t>usual</w:t>
      </w:r>
      <w:r>
        <w:rPr>
          <w:spacing w:val="43"/>
          <w:sz w:val="24"/>
        </w:rPr>
        <w:t xml:space="preserve"> </w:t>
      </w:r>
      <w:r>
        <w:rPr>
          <w:sz w:val="24"/>
        </w:rPr>
        <w:t>range</w:t>
      </w:r>
      <w:r>
        <w:rPr>
          <w:spacing w:val="42"/>
          <w:sz w:val="24"/>
        </w:rPr>
        <w:t xml:space="preserve"> </w:t>
      </w:r>
      <w:r>
        <w:rPr>
          <w:sz w:val="24"/>
        </w:rPr>
        <w:t>of</w:t>
      </w:r>
      <w:r>
        <w:rPr>
          <w:spacing w:val="44"/>
          <w:sz w:val="24"/>
        </w:rPr>
        <w:t xml:space="preserve"> </w:t>
      </w:r>
      <w:r>
        <w:rPr>
          <w:sz w:val="24"/>
        </w:rPr>
        <w:t>Rs.</w:t>
      </w:r>
      <w:r>
        <w:rPr>
          <w:spacing w:val="43"/>
          <w:sz w:val="24"/>
        </w:rPr>
        <w:t xml:space="preserve"> </w:t>
      </w:r>
      <w:r>
        <w:rPr>
          <w:sz w:val="24"/>
        </w:rPr>
        <w:t>5000</w:t>
      </w:r>
      <w:r>
        <w:rPr>
          <w:spacing w:val="42"/>
          <w:sz w:val="24"/>
        </w:rPr>
        <w:t xml:space="preserve"> </w:t>
      </w:r>
      <w:r>
        <w:rPr>
          <w:sz w:val="24"/>
        </w:rPr>
        <w:t>to</w:t>
      </w:r>
      <w:r>
        <w:rPr>
          <w:spacing w:val="43"/>
          <w:sz w:val="24"/>
        </w:rPr>
        <w:t xml:space="preserve"> </w:t>
      </w:r>
      <w:r>
        <w:rPr>
          <w:sz w:val="24"/>
        </w:rPr>
        <w:t>6000</w:t>
      </w:r>
      <w:r>
        <w:rPr>
          <w:spacing w:val="41"/>
          <w:sz w:val="24"/>
        </w:rPr>
        <w:t xml:space="preserve"> </w:t>
      </w:r>
      <w:r>
        <w:rPr>
          <w:sz w:val="24"/>
        </w:rPr>
        <w:t>Crore,</w:t>
      </w:r>
      <w:r>
        <w:rPr>
          <w:spacing w:val="42"/>
          <w:sz w:val="24"/>
        </w:rPr>
        <w:t xml:space="preserve"> </w:t>
      </w:r>
      <w:r>
        <w:rPr>
          <w:sz w:val="24"/>
        </w:rPr>
        <w:t>in</w:t>
      </w:r>
      <w:r>
        <w:rPr>
          <w:spacing w:val="45"/>
          <w:sz w:val="24"/>
        </w:rPr>
        <w:t xml:space="preserve"> </w:t>
      </w:r>
      <w:r>
        <w:rPr>
          <w:sz w:val="24"/>
        </w:rPr>
        <w:t>addition</w:t>
      </w:r>
      <w:r>
        <w:rPr>
          <w:spacing w:val="43"/>
          <w:sz w:val="24"/>
        </w:rPr>
        <w:t xml:space="preserve"> </w:t>
      </w:r>
      <w:r>
        <w:rPr>
          <w:sz w:val="24"/>
        </w:rPr>
        <w:t>to</w:t>
      </w:r>
      <w:r>
        <w:rPr>
          <w:spacing w:val="43"/>
          <w:sz w:val="24"/>
        </w:rPr>
        <w:t xml:space="preserve"> </w:t>
      </w:r>
      <w:r>
        <w:rPr>
          <w:sz w:val="24"/>
        </w:rPr>
        <w:t>which,</w:t>
      </w:r>
      <w:r>
        <w:rPr>
          <w:spacing w:val="42"/>
          <w:sz w:val="24"/>
        </w:rPr>
        <w:t xml:space="preserve"> </w:t>
      </w:r>
      <w:r>
        <w:rPr>
          <w:sz w:val="24"/>
        </w:rPr>
        <w:t>GoTN</w:t>
      </w:r>
      <w:r>
        <w:rPr>
          <w:spacing w:val="42"/>
          <w:sz w:val="24"/>
        </w:rPr>
        <w:t xml:space="preserve"> </w:t>
      </w:r>
      <w:r>
        <w:rPr>
          <w:sz w:val="24"/>
        </w:rPr>
        <w:t>will</w:t>
      </w:r>
      <w:r>
        <w:rPr>
          <w:spacing w:val="42"/>
          <w:sz w:val="24"/>
        </w:rPr>
        <w:t xml:space="preserve"> </w:t>
      </w:r>
      <w:r>
        <w:rPr>
          <w:sz w:val="24"/>
        </w:rPr>
        <w:t>be</w:t>
      </w:r>
    </w:p>
    <w:p w:rsidR="007C5447" w:rsidRDefault="007C5447">
      <w:pPr>
        <w:spacing w:line="312" w:lineRule="auto"/>
        <w:jc w:val="both"/>
        <w:rPr>
          <w:sz w:val="24"/>
        </w:rPr>
        <w:sectPr w:rsidR="007C5447">
          <w:footerReference w:type="default" r:id="rId66"/>
          <w:pgSz w:w="11910" w:h="16840"/>
          <w:pgMar w:top="1480" w:right="1320" w:bottom="1240" w:left="1340" w:header="0" w:footer="1057" w:gutter="0"/>
          <w:pgNumType w:start="276"/>
          <w:cols w:space="720"/>
        </w:sectPr>
      </w:pPr>
    </w:p>
    <w:p w:rsidR="007C5447" w:rsidRDefault="00F6308C">
      <w:pPr>
        <w:pStyle w:val="BodyText"/>
        <w:spacing w:before="60"/>
        <w:ind w:left="952"/>
      </w:pPr>
      <w:r>
        <w:lastRenderedPageBreak/>
        <w:t>providing support under UDAY.</w:t>
      </w:r>
    </w:p>
    <w:p w:rsidR="007C5447" w:rsidRDefault="007C5447">
      <w:pPr>
        <w:pStyle w:val="BodyText"/>
        <w:rPr>
          <w:sz w:val="28"/>
        </w:rPr>
      </w:pPr>
    </w:p>
    <w:p w:rsidR="007C5447" w:rsidRDefault="00F6308C">
      <w:pPr>
        <w:pStyle w:val="ListParagraph"/>
        <w:numPr>
          <w:ilvl w:val="2"/>
          <w:numId w:val="40"/>
        </w:numPr>
        <w:tabs>
          <w:tab w:val="left" w:pos="953"/>
        </w:tabs>
        <w:spacing w:line="312" w:lineRule="auto"/>
        <w:ind w:left="952" w:right="114"/>
        <w:jc w:val="both"/>
        <w:rPr>
          <w:sz w:val="24"/>
        </w:rPr>
      </w:pPr>
      <w:r>
        <w:rPr>
          <w:sz w:val="24"/>
        </w:rPr>
        <w:t>The Commission has further observed certain anomaly in the Tariff Proposal submitted by TANGEDCO, which was also pointed out during the SAC Meeting. As per the TANGEDCO’s proposal, the per unit rate of consumption for consume</w:t>
      </w:r>
      <w:r>
        <w:rPr>
          <w:sz w:val="24"/>
        </w:rPr>
        <w:t>rs in lower consumption slab is higher as compared to the per unit rate of consumption for consumers in higher consumption slab. This proposal of TANGEDCO is not in line with the philosophy of telescopic tariff. Hence, the Commission has modified some of t</w:t>
      </w:r>
      <w:r>
        <w:rPr>
          <w:sz w:val="24"/>
        </w:rPr>
        <w:t>he slab-wise rates for domestic category, while the Tariff for all other categories has been retained at existing levels. As a result of this change in the slab-wise rates proposed by TANGEDCO and approved by the Commission, as well as rejection of the pro</w:t>
      </w:r>
      <w:r>
        <w:rPr>
          <w:sz w:val="24"/>
        </w:rPr>
        <w:t>posal to reduce the Fixed Charges, the reduction in subsidy payable by GoTN has undergone a change. GoTN has to make good this revenue loss also, in order to ensure that the tariff payable by the domestic category consumers remains unaffected, after the ta</w:t>
      </w:r>
      <w:r>
        <w:rPr>
          <w:sz w:val="24"/>
        </w:rPr>
        <w:t>riff revision. The revised tariffs approved for FY 2017-18 are shown in the Table</w:t>
      </w:r>
      <w:r>
        <w:rPr>
          <w:spacing w:val="-2"/>
          <w:sz w:val="24"/>
        </w:rPr>
        <w:t xml:space="preserve"> </w:t>
      </w:r>
      <w:r>
        <w:rPr>
          <w:sz w:val="24"/>
        </w:rPr>
        <w:t>below:</w:t>
      </w:r>
    </w:p>
    <w:p w:rsidR="007C5447" w:rsidRDefault="007C5447">
      <w:pPr>
        <w:spacing w:line="312" w:lineRule="auto"/>
        <w:jc w:val="both"/>
        <w:rPr>
          <w:sz w:val="24"/>
        </w:rPr>
        <w:sectPr w:rsidR="007C5447">
          <w:pgSz w:w="11910" w:h="16840"/>
          <w:pgMar w:top="1360" w:right="1320" w:bottom="1240" w:left="1340" w:header="0" w:footer="1057" w:gutter="0"/>
          <w:cols w:space="720"/>
        </w:sectPr>
      </w:pPr>
    </w:p>
    <w:p w:rsidR="007C5447" w:rsidRDefault="00F6308C">
      <w:pPr>
        <w:pStyle w:val="BodyText"/>
        <w:rPr>
          <w:sz w:val="20"/>
        </w:rPr>
      </w:pPr>
      <w:r>
        <w:lastRenderedPageBreak/>
        <w:pict>
          <v:line id="_x0000_s1049" style="position:absolute;z-index:251675648;mso-position-horizontal-relative:page;mso-position-vertical-relative:page" from="70.55pt,529.2pt" to="771.45pt,529.2pt" strokeweight="1.44pt">
            <w10:wrap anchorx="page" anchory="page"/>
          </v:line>
        </w:pict>
      </w: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spacing w:before="9"/>
        <w:rPr>
          <w:sz w:val="21"/>
        </w:rPr>
      </w:pPr>
    </w:p>
    <w:p w:rsidR="007C5447" w:rsidRDefault="00F6308C">
      <w:pPr>
        <w:pStyle w:val="Heading2"/>
        <w:ind w:left="2275" w:right="1878"/>
        <w:jc w:val="center"/>
      </w:pPr>
      <w:r>
        <w:t>Table 5-4: Existing and Revised Tariff for FY 2017-18 approved by the Commission (Rs. Crore)</w:t>
      </w:r>
    </w:p>
    <w:p w:rsidR="007C5447" w:rsidRDefault="007C5447">
      <w:pPr>
        <w:pStyle w:val="BodyText"/>
        <w:spacing w:before="9"/>
        <w:rPr>
          <w:b/>
          <w:sz w:val="17"/>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1416"/>
        <w:gridCol w:w="1561"/>
        <w:gridCol w:w="1419"/>
        <w:gridCol w:w="1659"/>
        <w:gridCol w:w="1591"/>
        <w:gridCol w:w="1658"/>
        <w:gridCol w:w="1251"/>
        <w:gridCol w:w="1658"/>
      </w:tblGrid>
      <w:tr w:rsidR="007C5447">
        <w:trPr>
          <w:trHeight w:val="330"/>
        </w:trPr>
        <w:tc>
          <w:tcPr>
            <w:tcW w:w="1560" w:type="dxa"/>
            <w:vMerge w:val="restart"/>
            <w:shd w:val="clear" w:color="auto" w:fill="F7C9AC"/>
          </w:tcPr>
          <w:p w:rsidR="007C5447" w:rsidRDefault="007C5447">
            <w:pPr>
              <w:pStyle w:val="TableParagraph"/>
              <w:spacing w:before="11"/>
              <w:jc w:val="left"/>
              <w:rPr>
                <w:b/>
                <w:sz w:val="26"/>
              </w:rPr>
            </w:pPr>
          </w:p>
          <w:p w:rsidR="007C5447" w:rsidRDefault="00F6308C">
            <w:pPr>
              <w:pStyle w:val="TableParagraph"/>
              <w:ind w:left="345" w:right="263" w:hanging="56"/>
              <w:jc w:val="left"/>
              <w:rPr>
                <w:b/>
              </w:rPr>
            </w:pPr>
            <w:r>
              <w:rPr>
                <w:b/>
              </w:rPr>
              <w:t>Consumer Category</w:t>
            </w:r>
          </w:p>
        </w:tc>
        <w:tc>
          <w:tcPr>
            <w:tcW w:w="1416" w:type="dxa"/>
            <w:vMerge w:val="restart"/>
            <w:shd w:val="clear" w:color="auto" w:fill="F7C9AC"/>
          </w:tcPr>
          <w:p w:rsidR="007C5447" w:rsidRDefault="007C5447">
            <w:pPr>
              <w:pStyle w:val="TableParagraph"/>
              <w:spacing w:before="11"/>
              <w:jc w:val="left"/>
              <w:rPr>
                <w:b/>
                <w:sz w:val="26"/>
              </w:rPr>
            </w:pPr>
          </w:p>
          <w:p w:rsidR="007C5447" w:rsidRDefault="00F6308C">
            <w:pPr>
              <w:pStyle w:val="TableParagraph"/>
              <w:ind w:left="125" w:right="94" w:firstLine="331"/>
              <w:jc w:val="left"/>
              <w:rPr>
                <w:b/>
              </w:rPr>
            </w:pPr>
            <w:r>
              <w:rPr>
                <w:b/>
              </w:rPr>
              <w:t>Slabs (Per Month)</w:t>
            </w:r>
          </w:p>
        </w:tc>
        <w:tc>
          <w:tcPr>
            <w:tcW w:w="1561" w:type="dxa"/>
            <w:vMerge w:val="restart"/>
            <w:shd w:val="clear" w:color="auto" w:fill="F7C9AC"/>
          </w:tcPr>
          <w:p w:rsidR="007C5447" w:rsidRDefault="007C5447">
            <w:pPr>
              <w:pStyle w:val="TableParagraph"/>
              <w:jc w:val="left"/>
              <w:rPr>
                <w:b/>
                <w:sz w:val="24"/>
              </w:rPr>
            </w:pPr>
          </w:p>
          <w:p w:rsidR="007C5447" w:rsidRDefault="00F6308C">
            <w:pPr>
              <w:pStyle w:val="TableParagraph"/>
              <w:spacing w:before="161"/>
              <w:ind w:left="134"/>
              <w:jc w:val="left"/>
              <w:rPr>
                <w:b/>
              </w:rPr>
            </w:pPr>
            <w:r>
              <w:rPr>
                <w:b/>
              </w:rPr>
              <w:t>Sub Category</w:t>
            </w:r>
          </w:p>
        </w:tc>
        <w:tc>
          <w:tcPr>
            <w:tcW w:w="3078" w:type="dxa"/>
            <w:gridSpan w:val="2"/>
            <w:shd w:val="clear" w:color="auto" w:fill="F7C9AC"/>
          </w:tcPr>
          <w:p w:rsidR="007C5447" w:rsidRDefault="00F6308C">
            <w:pPr>
              <w:pStyle w:val="TableParagraph"/>
              <w:spacing w:before="37"/>
              <w:ind w:left="844"/>
              <w:jc w:val="left"/>
              <w:rPr>
                <w:b/>
              </w:rPr>
            </w:pPr>
            <w:r>
              <w:rPr>
                <w:b/>
              </w:rPr>
              <w:t>Existing Tariff</w:t>
            </w:r>
          </w:p>
        </w:tc>
        <w:tc>
          <w:tcPr>
            <w:tcW w:w="3249" w:type="dxa"/>
            <w:gridSpan w:val="2"/>
            <w:shd w:val="clear" w:color="auto" w:fill="F7C9AC"/>
          </w:tcPr>
          <w:p w:rsidR="007C5447" w:rsidRDefault="00F6308C">
            <w:pPr>
              <w:pStyle w:val="TableParagraph"/>
              <w:spacing w:before="37"/>
              <w:ind w:left="875"/>
              <w:jc w:val="left"/>
              <w:rPr>
                <w:b/>
              </w:rPr>
            </w:pPr>
            <w:r>
              <w:rPr>
                <w:b/>
              </w:rPr>
              <w:t>Proposed Tariff</w:t>
            </w:r>
          </w:p>
        </w:tc>
        <w:tc>
          <w:tcPr>
            <w:tcW w:w="2909" w:type="dxa"/>
            <w:gridSpan w:val="2"/>
            <w:shd w:val="clear" w:color="auto" w:fill="F7C9AC"/>
          </w:tcPr>
          <w:p w:rsidR="007C5447" w:rsidRDefault="00F6308C">
            <w:pPr>
              <w:pStyle w:val="TableParagraph"/>
              <w:spacing w:before="37"/>
              <w:ind w:left="674"/>
              <w:jc w:val="left"/>
              <w:rPr>
                <w:b/>
              </w:rPr>
            </w:pPr>
            <w:r>
              <w:rPr>
                <w:b/>
              </w:rPr>
              <w:t>Approved Tariff</w:t>
            </w:r>
          </w:p>
        </w:tc>
      </w:tr>
      <w:tr w:rsidR="007C5447">
        <w:trPr>
          <w:trHeight w:val="789"/>
        </w:trPr>
        <w:tc>
          <w:tcPr>
            <w:tcW w:w="1560" w:type="dxa"/>
            <w:vMerge/>
            <w:tcBorders>
              <w:top w:val="nil"/>
            </w:tcBorders>
            <w:shd w:val="clear" w:color="auto" w:fill="F7C9AC"/>
          </w:tcPr>
          <w:p w:rsidR="007C5447" w:rsidRDefault="007C5447">
            <w:pPr>
              <w:rPr>
                <w:sz w:val="2"/>
                <w:szCs w:val="2"/>
              </w:rPr>
            </w:pPr>
          </w:p>
        </w:tc>
        <w:tc>
          <w:tcPr>
            <w:tcW w:w="1416" w:type="dxa"/>
            <w:vMerge/>
            <w:tcBorders>
              <w:top w:val="nil"/>
            </w:tcBorders>
            <w:shd w:val="clear" w:color="auto" w:fill="F7C9AC"/>
          </w:tcPr>
          <w:p w:rsidR="007C5447" w:rsidRDefault="007C5447">
            <w:pPr>
              <w:rPr>
                <w:sz w:val="2"/>
                <w:szCs w:val="2"/>
              </w:rPr>
            </w:pPr>
          </w:p>
        </w:tc>
        <w:tc>
          <w:tcPr>
            <w:tcW w:w="1561" w:type="dxa"/>
            <w:vMerge/>
            <w:tcBorders>
              <w:top w:val="nil"/>
            </w:tcBorders>
            <w:shd w:val="clear" w:color="auto" w:fill="F7C9AC"/>
          </w:tcPr>
          <w:p w:rsidR="007C5447" w:rsidRDefault="007C5447">
            <w:pPr>
              <w:rPr>
                <w:sz w:val="2"/>
                <w:szCs w:val="2"/>
              </w:rPr>
            </w:pPr>
          </w:p>
        </w:tc>
        <w:tc>
          <w:tcPr>
            <w:tcW w:w="1419" w:type="dxa"/>
            <w:shd w:val="clear" w:color="auto" w:fill="F7C9AC"/>
          </w:tcPr>
          <w:p w:rsidR="007C5447" w:rsidRDefault="00F6308C">
            <w:pPr>
              <w:pStyle w:val="TableParagraph"/>
              <w:spacing w:before="13"/>
              <w:ind w:left="316" w:right="306" w:firstLine="48"/>
              <w:rPr>
                <w:b/>
              </w:rPr>
            </w:pPr>
            <w:r>
              <w:rPr>
                <w:b/>
              </w:rPr>
              <w:t>Energy Charges</w:t>
            </w:r>
          </w:p>
          <w:p w:rsidR="007C5447" w:rsidRDefault="00F6308C">
            <w:pPr>
              <w:pStyle w:val="TableParagraph"/>
              <w:spacing w:before="1" w:line="250" w:lineRule="exact"/>
              <w:ind w:right="210"/>
              <w:rPr>
                <w:b/>
              </w:rPr>
            </w:pPr>
            <w:r>
              <w:rPr>
                <w:b/>
              </w:rPr>
              <w:t>(Rs./kWh)</w:t>
            </w:r>
          </w:p>
        </w:tc>
        <w:tc>
          <w:tcPr>
            <w:tcW w:w="1659" w:type="dxa"/>
            <w:shd w:val="clear" w:color="auto" w:fill="F7C9AC"/>
          </w:tcPr>
          <w:p w:rsidR="007C5447" w:rsidRDefault="00F6308C">
            <w:pPr>
              <w:pStyle w:val="TableParagraph"/>
              <w:spacing w:before="140"/>
              <w:ind w:left="603" w:right="122" w:hanging="459"/>
              <w:jc w:val="left"/>
              <w:rPr>
                <w:b/>
              </w:rPr>
            </w:pPr>
            <w:r>
              <w:rPr>
                <w:b/>
              </w:rPr>
              <w:t>Fixed Charges (Rs.)</w:t>
            </w:r>
          </w:p>
        </w:tc>
        <w:tc>
          <w:tcPr>
            <w:tcW w:w="1591" w:type="dxa"/>
            <w:shd w:val="clear" w:color="auto" w:fill="F7C9AC"/>
          </w:tcPr>
          <w:p w:rsidR="007C5447" w:rsidRDefault="00F6308C">
            <w:pPr>
              <w:pStyle w:val="TableParagraph"/>
              <w:spacing w:before="13"/>
              <w:ind w:left="399" w:right="395" w:firstLine="50"/>
              <w:rPr>
                <w:b/>
              </w:rPr>
            </w:pPr>
            <w:r>
              <w:rPr>
                <w:b/>
              </w:rPr>
              <w:t>Energy Charges</w:t>
            </w:r>
          </w:p>
          <w:p w:rsidR="007C5447" w:rsidRDefault="00F6308C">
            <w:pPr>
              <w:pStyle w:val="TableParagraph"/>
              <w:spacing w:before="1" w:line="250" w:lineRule="exact"/>
              <w:ind w:right="299"/>
              <w:rPr>
                <w:b/>
              </w:rPr>
            </w:pPr>
            <w:r>
              <w:rPr>
                <w:b/>
              </w:rPr>
              <w:t>(Rs./kWh)</w:t>
            </w:r>
          </w:p>
        </w:tc>
        <w:tc>
          <w:tcPr>
            <w:tcW w:w="1658" w:type="dxa"/>
            <w:shd w:val="clear" w:color="auto" w:fill="F7C9AC"/>
          </w:tcPr>
          <w:p w:rsidR="007C5447" w:rsidRDefault="00F6308C">
            <w:pPr>
              <w:pStyle w:val="TableParagraph"/>
              <w:spacing w:before="140"/>
              <w:ind w:left="601" w:right="123" w:hanging="459"/>
              <w:jc w:val="left"/>
              <w:rPr>
                <w:b/>
              </w:rPr>
            </w:pPr>
            <w:r>
              <w:rPr>
                <w:b/>
              </w:rPr>
              <w:t>Fixed Charges (Rs.)</w:t>
            </w:r>
          </w:p>
        </w:tc>
        <w:tc>
          <w:tcPr>
            <w:tcW w:w="1251" w:type="dxa"/>
            <w:shd w:val="clear" w:color="auto" w:fill="F7C9AC"/>
          </w:tcPr>
          <w:p w:rsidR="007C5447" w:rsidRDefault="00F6308C">
            <w:pPr>
              <w:pStyle w:val="TableParagraph"/>
              <w:spacing w:before="13"/>
              <w:ind w:left="232" w:right="222" w:firstLine="48"/>
              <w:rPr>
                <w:b/>
              </w:rPr>
            </w:pPr>
            <w:r>
              <w:rPr>
                <w:b/>
              </w:rPr>
              <w:t>Energy Charges</w:t>
            </w:r>
          </w:p>
          <w:p w:rsidR="007C5447" w:rsidRDefault="00F6308C">
            <w:pPr>
              <w:pStyle w:val="TableParagraph"/>
              <w:spacing w:before="1" w:line="250" w:lineRule="exact"/>
              <w:ind w:right="126"/>
              <w:rPr>
                <w:b/>
              </w:rPr>
            </w:pPr>
            <w:r>
              <w:rPr>
                <w:b/>
              </w:rPr>
              <w:t>(Rs./kWh)</w:t>
            </w:r>
          </w:p>
        </w:tc>
        <w:tc>
          <w:tcPr>
            <w:tcW w:w="1658" w:type="dxa"/>
            <w:shd w:val="clear" w:color="auto" w:fill="F7C9AC"/>
          </w:tcPr>
          <w:p w:rsidR="007C5447" w:rsidRDefault="00F6308C">
            <w:pPr>
              <w:pStyle w:val="TableParagraph"/>
              <w:spacing w:before="140"/>
              <w:ind w:left="604" w:right="120" w:hanging="459"/>
              <w:jc w:val="left"/>
              <w:rPr>
                <w:b/>
              </w:rPr>
            </w:pPr>
            <w:r>
              <w:rPr>
                <w:b/>
              </w:rPr>
              <w:t>Fixed Charges (Rs.)</w:t>
            </w:r>
          </w:p>
        </w:tc>
      </w:tr>
      <w:tr w:rsidR="007C5447">
        <w:trPr>
          <w:trHeight w:val="328"/>
        </w:trPr>
        <w:tc>
          <w:tcPr>
            <w:tcW w:w="1560" w:type="dxa"/>
          </w:tcPr>
          <w:p w:rsidR="007C5447" w:rsidRDefault="007C5447">
            <w:pPr>
              <w:pStyle w:val="TableParagraph"/>
              <w:jc w:val="left"/>
            </w:pPr>
          </w:p>
        </w:tc>
        <w:tc>
          <w:tcPr>
            <w:tcW w:w="9304" w:type="dxa"/>
            <w:gridSpan w:val="6"/>
          </w:tcPr>
          <w:p w:rsidR="007C5447" w:rsidRDefault="00F6308C">
            <w:pPr>
              <w:pStyle w:val="TableParagraph"/>
              <w:spacing w:before="61" w:line="248" w:lineRule="exact"/>
              <w:ind w:left="108"/>
              <w:jc w:val="left"/>
              <w:rPr>
                <w:b/>
              </w:rPr>
            </w:pPr>
            <w:r>
              <w:rPr>
                <w:b/>
              </w:rPr>
              <w:t>Tariff of Low Tension Consumers</w:t>
            </w:r>
          </w:p>
        </w:tc>
        <w:tc>
          <w:tcPr>
            <w:tcW w:w="1251" w:type="dxa"/>
          </w:tcPr>
          <w:p w:rsidR="007C5447" w:rsidRDefault="007C5447">
            <w:pPr>
              <w:pStyle w:val="TableParagraph"/>
              <w:jc w:val="left"/>
            </w:pPr>
          </w:p>
        </w:tc>
        <w:tc>
          <w:tcPr>
            <w:tcW w:w="1658" w:type="dxa"/>
          </w:tcPr>
          <w:p w:rsidR="007C5447" w:rsidRDefault="007C5447">
            <w:pPr>
              <w:pStyle w:val="TableParagraph"/>
              <w:jc w:val="left"/>
            </w:pPr>
          </w:p>
        </w:tc>
      </w:tr>
      <w:tr w:rsidR="007C5447">
        <w:trPr>
          <w:trHeight w:val="330"/>
        </w:trPr>
        <w:tc>
          <w:tcPr>
            <w:tcW w:w="1560" w:type="dxa"/>
          </w:tcPr>
          <w:p w:rsidR="007C5447" w:rsidRDefault="00F6308C">
            <w:pPr>
              <w:pStyle w:val="TableParagraph"/>
              <w:spacing w:before="61" w:line="250" w:lineRule="exact"/>
              <w:ind w:left="113" w:right="104"/>
              <w:jc w:val="center"/>
              <w:rPr>
                <w:b/>
              </w:rPr>
            </w:pPr>
            <w:r>
              <w:rPr>
                <w:b/>
              </w:rPr>
              <w:t>LT - IA</w:t>
            </w:r>
          </w:p>
        </w:tc>
        <w:tc>
          <w:tcPr>
            <w:tcW w:w="9304" w:type="dxa"/>
            <w:gridSpan w:val="6"/>
          </w:tcPr>
          <w:p w:rsidR="007C5447" w:rsidRDefault="00F6308C">
            <w:pPr>
              <w:pStyle w:val="TableParagraph"/>
              <w:spacing w:before="61" w:line="250" w:lineRule="exact"/>
              <w:ind w:left="108"/>
              <w:jc w:val="left"/>
              <w:rPr>
                <w:b/>
              </w:rPr>
            </w:pPr>
            <w:r>
              <w:rPr>
                <w:b/>
              </w:rPr>
              <w:t>Domestic</w:t>
            </w:r>
          </w:p>
        </w:tc>
        <w:tc>
          <w:tcPr>
            <w:tcW w:w="1251" w:type="dxa"/>
          </w:tcPr>
          <w:p w:rsidR="007C5447" w:rsidRDefault="007C5447">
            <w:pPr>
              <w:pStyle w:val="TableParagraph"/>
              <w:jc w:val="left"/>
            </w:pPr>
          </w:p>
        </w:tc>
        <w:tc>
          <w:tcPr>
            <w:tcW w:w="1658" w:type="dxa"/>
          </w:tcPr>
          <w:p w:rsidR="007C5447" w:rsidRDefault="007C5447">
            <w:pPr>
              <w:pStyle w:val="TableParagraph"/>
              <w:jc w:val="left"/>
            </w:pPr>
          </w:p>
        </w:tc>
      </w:tr>
      <w:tr w:rsidR="007C5447">
        <w:trPr>
          <w:trHeight w:val="330"/>
        </w:trPr>
        <w:tc>
          <w:tcPr>
            <w:tcW w:w="1560" w:type="dxa"/>
          </w:tcPr>
          <w:p w:rsidR="007C5447" w:rsidRDefault="007C5447">
            <w:pPr>
              <w:pStyle w:val="TableParagraph"/>
              <w:jc w:val="left"/>
            </w:pPr>
          </w:p>
        </w:tc>
        <w:tc>
          <w:tcPr>
            <w:tcW w:w="1416" w:type="dxa"/>
          </w:tcPr>
          <w:p w:rsidR="007C5447" w:rsidRDefault="00F6308C">
            <w:pPr>
              <w:pStyle w:val="TableParagraph"/>
              <w:spacing w:before="61" w:line="250" w:lineRule="exact"/>
              <w:ind w:left="108"/>
              <w:jc w:val="left"/>
            </w:pPr>
            <w:r>
              <w:t>1-50 kWh</w:t>
            </w:r>
          </w:p>
        </w:tc>
        <w:tc>
          <w:tcPr>
            <w:tcW w:w="1561" w:type="dxa"/>
          </w:tcPr>
          <w:p w:rsidR="007C5447" w:rsidRDefault="007C5447">
            <w:pPr>
              <w:pStyle w:val="TableParagraph"/>
              <w:jc w:val="left"/>
            </w:pPr>
          </w:p>
        </w:tc>
        <w:tc>
          <w:tcPr>
            <w:tcW w:w="1419" w:type="dxa"/>
          </w:tcPr>
          <w:p w:rsidR="007C5447" w:rsidRDefault="00F6308C">
            <w:pPr>
              <w:pStyle w:val="TableParagraph"/>
              <w:spacing w:before="61" w:line="250" w:lineRule="exact"/>
              <w:ind w:right="504"/>
            </w:pPr>
            <w:r>
              <w:t>3.00</w:t>
            </w:r>
          </w:p>
        </w:tc>
        <w:tc>
          <w:tcPr>
            <w:tcW w:w="1659" w:type="dxa"/>
          </w:tcPr>
          <w:p w:rsidR="007C5447" w:rsidRDefault="00F6308C">
            <w:pPr>
              <w:pStyle w:val="TableParagraph"/>
              <w:spacing w:before="61" w:line="250" w:lineRule="exact"/>
              <w:ind w:left="85" w:right="78"/>
              <w:jc w:val="center"/>
            </w:pPr>
            <w:r>
              <w:t>15/ month</w:t>
            </w:r>
          </w:p>
        </w:tc>
        <w:tc>
          <w:tcPr>
            <w:tcW w:w="1591" w:type="dxa"/>
          </w:tcPr>
          <w:p w:rsidR="007C5447" w:rsidRDefault="00F6308C">
            <w:pPr>
              <w:pStyle w:val="TableParagraph"/>
              <w:spacing w:before="61" w:line="250" w:lineRule="exact"/>
              <w:ind w:left="601"/>
              <w:jc w:val="left"/>
            </w:pPr>
            <w:r>
              <w:t>2.50</w:t>
            </w:r>
          </w:p>
        </w:tc>
        <w:tc>
          <w:tcPr>
            <w:tcW w:w="1658" w:type="dxa"/>
          </w:tcPr>
          <w:p w:rsidR="007C5447" w:rsidRDefault="00F6308C">
            <w:pPr>
              <w:pStyle w:val="TableParagraph"/>
              <w:spacing w:before="61" w:line="250" w:lineRule="exact"/>
              <w:ind w:left="80" w:right="77"/>
              <w:jc w:val="center"/>
            </w:pPr>
            <w:r>
              <w:t>15/ month</w:t>
            </w:r>
          </w:p>
        </w:tc>
        <w:tc>
          <w:tcPr>
            <w:tcW w:w="1251" w:type="dxa"/>
          </w:tcPr>
          <w:p w:rsidR="007C5447" w:rsidRDefault="00F6308C">
            <w:pPr>
              <w:pStyle w:val="TableParagraph"/>
              <w:spacing w:before="61" w:line="250" w:lineRule="exact"/>
              <w:ind w:right="420"/>
            </w:pPr>
            <w:r>
              <w:t>2.50</w:t>
            </w:r>
          </w:p>
        </w:tc>
        <w:tc>
          <w:tcPr>
            <w:tcW w:w="1658" w:type="dxa"/>
          </w:tcPr>
          <w:p w:rsidR="007C5447" w:rsidRDefault="00F6308C">
            <w:pPr>
              <w:pStyle w:val="TableParagraph"/>
              <w:spacing w:before="61" w:line="250" w:lineRule="exact"/>
              <w:ind w:left="85" w:right="76"/>
              <w:jc w:val="center"/>
            </w:pPr>
            <w:r>
              <w:t>15/ month</w:t>
            </w:r>
          </w:p>
        </w:tc>
      </w:tr>
      <w:tr w:rsidR="007C5447">
        <w:trPr>
          <w:trHeight w:val="328"/>
        </w:trPr>
        <w:tc>
          <w:tcPr>
            <w:tcW w:w="1560" w:type="dxa"/>
          </w:tcPr>
          <w:p w:rsidR="007C5447" w:rsidRDefault="007C5447">
            <w:pPr>
              <w:pStyle w:val="TableParagraph"/>
              <w:jc w:val="left"/>
            </w:pPr>
          </w:p>
        </w:tc>
        <w:tc>
          <w:tcPr>
            <w:tcW w:w="1416" w:type="dxa"/>
          </w:tcPr>
          <w:p w:rsidR="007C5447" w:rsidRDefault="00F6308C">
            <w:pPr>
              <w:pStyle w:val="TableParagraph"/>
              <w:spacing w:before="61" w:line="248" w:lineRule="exact"/>
              <w:ind w:left="108"/>
              <w:jc w:val="left"/>
            </w:pPr>
            <w:r>
              <w:t>51-100 kWh</w:t>
            </w:r>
          </w:p>
        </w:tc>
        <w:tc>
          <w:tcPr>
            <w:tcW w:w="1561" w:type="dxa"/>
          </w:tcPr>
          <w:p w:rsidR="007C5447" w:rsidRDefault="00F6308C">
            <w:pPr>
              <w:pStyle w:val="TableParagraph"/>
              <w:spacing w:before="61" w:line="248" w:lineRule="exact"/>
              <w:ind w:left="108"/>
              <w:jc w:val="left"/>
            </w:pPr>
            <w:r>
              <w:t>0-50 kWh</w:t>
            </w:r>
          </w:p>
        </w:tc>
        <w:tc>
          <w:tcPr>
            <w:tcW w:w="1419" w:type="dxa"/>
          </w:tcPr>
          <w:p w:rsidR="007C5447" w:rsidRDefault="00F6308C">
            <w:pPr>
              <w:pStyle w:val="TableParagraph"/>
              <w:spacing w:before="61" w:line="248" w:lineRule="exact"/>
              <w:ind w:right="504"/>
            </w:pPr>
            <w:r>
              <w:t>3.25</w:t>
            </w:r>
          </w:p>
        </w:tc>
        <w:tc>
          <w:tcPr>
            <w:tcW w:w="1659" w:type="dxa"/>
          </w:tcPr>
          <w:p w:rsidR="007C5447" w:rsidRDefault="00F6308C">
            <w:pPr>
              <w:pStyle w:val="TableParagraph"/>
              <w:spacing w:before="61" w:line="248" w:lineRule="exact"/>
              <w:ind w:left="85" w:right="78"/>
              <w:jc w:val="center"/>
            </w:pPr>
            <w:r>
              <w:t>15/ month</w:t>
            </w:r>
          </w:p>
        </w:tc>
        <w:tc>
          <w:tcPr>
            <w:tcW w:w="1591" w:type="dxa"/>
          </w:tcPr>
          <w:p w:rsidR="007C5447" w:rsidRDefault="00F6308C">
            <w:pPr>
              <w:pStyle w:val="TableParagraph"/>
              <w:spacing w:before="61" w:line="248" w:lineRule="exact"/>
              <w:ind w:left="601"/>
              <w:jc w:val="left"/>
            </w:pPr>
            <w:r>
              <w:t>2.50</w:t>
            </w:r>
          </w:p>
        </w:tc>
        <w:tc>
          <w:tcPr>
            <w:tcW w:w="1658" w:type="dxa"/>
          </w:tcPr>
          <w:p w:rsidR="007C5447" w:rsidRDefault="00F6308C">
            <w:pPr>
              <w:pStyle w:val="TableParagraph"/>
              <w:spacing w:before="61" w:line="248" w:lineRule="exact"/>
              <w:ind w:left="80" w:right="77"/>
              <w:jc w:val="center"/>
            </w:pPr>
            <w:r>
              <w:t>10/ month</w:t>
            </w:r>
          </w:p>
        </w:tc>
        <w:tc>
          <w:tcPr>
            <w:tcW w:w="1251" w:type="dxa"/>
          </w:tcPr>
          <w:p w:rsidR="007C5447" w:rsidRDefault="00F6308C">
            <w:pPr>
              <w:pStyle w:val="TableParagraph"/>
              <w:spacing w:before="61" w:line="248" w:lineRule="exact"/>
              <w:ind w:right="420"/>
            </w:pPr>
            <w:r>
              <w:t>2.50</w:t>
            </w:r>
          </w:p>
        </w:tc>
        <w:tc>
          <w:tcPr>
            <w:tcW w:w="1658" w:type="dxa"/>
          </w:tcPr>
          <w:p w:rsidR="007C5447" w:rsidRDefault="00F6308C">
            <w:pPr>
              <w:pStyle w:val="TableParagraph"/>
              <w:spacing w:before="61" w:line="248" w:lineRule="exact"/>
              <w:ind w:left="85" w:right="76"/>
              <w:jc w:val="center"/>
            </w:pPr>
            <w:r>
              <w:t>15/ month</w:t>
            </w:r>
          </w:p>
        </w:tc>
      </w:tr>
      <w:tr w:rsidR="007C5447">
        <w:trPr>
          <w:trHeight w:val="330"/>
        </w:trPr>
        <w:tc>
          <w:tcPr>
            <w:tcW w:w="1560" w:type="dxa"/>
          </w:tcPr>
          <w:p w:rsidR="007C5447" w:rsidRDefault="007C5447">
            <w:pPr>
              <w:pStyle w:val="TableParagraph"/>
              <w:jc w:val="left"/>
            </w:pPr>
          </w:p>
        </w:tc>
        <w:tc>
          <w:tcPr>
            <w:tcW w:w="1416" w:type="dxa"/>
          </w:tcPr>
          <w:p w:rsidR="007C5447" w:rsidRDefault="007C5447">
            <w:pPr>
              <w:pStyle w:val="TableParagraph"/>
              <w:jc w:val="left"/>
            </w:pPr>
          </w:p>
        </w:tc>
        <w:tc>
          <w:tcPr>
            <w:tcW w:w="1561" w:type="dxa"/>
          </w:tcPr>
          <w:p w:rsidR="007C5447" w:rsidRDefault="00F6308C">
            <w:pPr>
              <w:pStyle w:val="TableParagraph"/>
              <w:spacing w:before="61" w:line="250" w:lineRule="exact"/>
              <w:ind w:left="108"/>
              <w:jc w:val="left"/>
            </w:pPr>
            <w:r>
              <w:t>51-100 kWh</w:t>
            </w:r>
          </w:p>
        </w:tc>
        <w:tc>
          <w:tcPr>
            <w:tcW w:w="1419" w:type="dxa"/>
          </w:tcPr>
          <w:p w:rsidR="007C5447" w:rsidRDefault="00F6308C">
            <w:pPr>
              <w:pStyle w:val="TableParagraph"/>
              <w:spacing w:before="61" w:line="250" w:lineRule="exact"/>
              <w:ind w:right="504"/>
            </w:pPr>
            <w:r>
              <w:t>3.25</w:t>
            </w:r>
          </w:p>
        </w:tc>
        <w:tc>
          <w:tcPr>
            <w:tcW w:w="1659" w:type="dxa"/>
          </w:tcPr>
          <w:p w:rsidR="007C5447" w:rsidRDefault="00F6308C">
            <w:pPr>
              <w:pStyle w:val="TableParagraph"/>
              <w:spacing w:before="61" w:line="250" w:lineRule="exact"/>
              <w:ind w:left="85" w:right="78"/>
              <w:jc w:val="center"/>
            </w:pPr>
            <w:r>
              <w:t>15/ month</w:t>
            </w:r>
          </w:p>
        </w:tc>
        <w:tc>
          <w:tcPr>
            <w:tcW w:w="1591" w:type="dxa"/>
          </w:tcPr>
          <w:p w:rsidR="007C5447" w:rsidRDefault="00F6308C">
            <w:pPr>
              <w:pStyle w:val="TableParagraph"/>
              <w:spacing w:before="61" w:line="250" w:lineRule="exact"/>
              <w:ind w:left="601"/>
              <w:jc w:val="left"/>
            </w:pPr>
            <w:r>
              <w:t>1.50</w:t>
            </w:r>
          </w:p>
        </w:tc>
        <w:tc>
          <w:tcPr>
            <w:tcW w:w="1658" w:type="dxa"/>
          </w:tcPr>
          <w:p w:rsidR="007C5447" w:rsidRDefault="00F6308C">
            <w:pPr>
              <w:pStyle w:val="TableParagraph"/>
              <w:spacing w:before="61" w:line="250" w:lineRule="exact"/>
              <w:ind w:left="80" w:right="77"/>
              <w:jc w:val="center"/>
            </w:pPr>
            <w:r>
              <w:t>10/ month</w:t>
            </w:r>
          </w:p>
        </w:tc>
        <w:tc>
          <w:tcPr>
            <w:tcW w:w="1251" w:type="dxa"/>
          </w:tcPr>
          <w:p w:rsidR="007C5447" w:rsidRDefault="00F6308C">
            <w:pPr>
              <w:pStyle w:val="TableParagraph"/>
              <w:spacing w:before="61" w:line="250" w:lineRule="exact"/>
              <w:ind w:right="420"/>
            </w:pPr>
            <w:r>
              <w:t>2.50</w:t>
            </w:r>
          </w:p>
        </w:tc>
        <w:tc>
          <w:tcPr>
            <w:tcW w:w="1658" w:type="dxa"/>
          </w:tcPr>
          <w:p w:rsidR="007C5447" w:rsidRDefault="00F6308C">
            <w:pPr>
              <w:pStyle w:val="TableParagraph"/>
              <w:spacing w:before="61" w:line="250" w:lineRule="exact"/>
              <w:ind w:left="85" w:right="76"/>
              <w:jc w:val="center"/>
            </w:pPr>
            <w:r>
              <w:t>15/ month</w:t>
            </w:r>
          </w:p>
        </w:tc>
      </w:tr>
      <w:tr w:rsidR="007C5447">
        <w:trPr>
          <w:trHeight w:val="534"/>
        </w:trPr>
        <w:tc>
          <w:tcPr>
            <w:tcW w:w="1560" w:type="dxa"/>
          </w:tcPr>
          <w:p w:rsidR="007C5447" w:rsidRDefault="007C5447">
            <w:pPr>
              <w:pStyle w:val="TableParagraph"/>
              <w:jc w:val="left"/>
            </w:pPr>
          </w:p>
        </w:tc>
        <w:tc>
          <w:tcPr>
            <w:tcW w:w="1416" w:type="dxa"/>
          </w:tcPr>
          <w:p w:rsidR="007C5447" w:rsidRDefault="00F6308C">
            <w:pPr>
              <w:pStyle w:val="TableParagraph"/>
              <w:spacing w:before="13"/>
              <w:ind w:left="108"/>
              <w:jc w:val="left"/>
            </w:pPr>
            <w:r>
              <w:t>101-250</w:t>
            </w:r>
          </w:p>
          <w:p w:rsidR="007C5447" w:rsidRDefault="00F6308C">
            <w:pPr>
              <w:pStyle w:val="TableParagraph"/>
              <w:spacing w:before="1" w:line="248" w:lineRule="exact"/>
              <w:ind w:left="108"/>
              <w:jc w:val="left"/>
            </w:pPr>
            <w:r>
              <w:t>kWh</w:t>
            </w:r>
          </w:p>
        </w:tc>
        <w:tc>
          <w:tcPr>
            <w:tcW w:w="1561" w:type="dxa"/>
          </w:tcPr>
          <w:p w:rsidR="007C5447" w:rsidRDefault="007C5447">
            <w:pPr>
              <w:pStyle w:val="TableParagraph"/>
              <w:spacing w:before="2"/>
              <w:jc w:val="left"/>
              <w:rPr>
                <w:b/>
                <w:sz w:val="23"/>
              </w:rPr>
            </w:pPr>
          </w:p>
          <w:p w:rsidR="007C5447" w:rsidRDefault="00F6308C">
            <w:pPr>
              <w:pStyle w:val="TableParagraph"/>
              <w:spacing w:line="248" w:lineRule="exact"/>
              <w:ind w:left="108"/>
              <w:jc w:val="left"/>
            </w:pPr>
            <w:r>
              <w:t>0-50 kWh</w:t>
            </w:r>
          </w:p>
        </w:tc>
        <w:tc>
          <w:tcPr>
            <w:tcW w:w="1419" w:type="dxa"/>
          </w:tcPr>
          <w:p w:rsidR="007C5447" w:rsidRDefault="007C5447">
            <w:pPr>
              <w:pStyle w:val="TableParagraph"/>
              <w:spacing w:before="2"/>
              <w:jc w:val="left"/>
              <w:rPr>
                <w:b/>
                <w:sz w:val="23"/>
              </w:rPr>
            </w:pPr>
          </w:p>
          <w:p w:rsidR="007C5447" w:rsidRDefault="00F6308C">
            <w:pPr>
              <w:pStyle w:val="TableParagraph"/>
              <w:spacing w:line="248" w:lineRule="exact"/>
              <w:ind w:right="504"/>
            </w:pPr>
            <w:r>
              <w:t>3.50</w:t>
            </w:r>
          </w:p>
        </w:tc>
        <w:tc>
          <w:tcPr>
            <w:tcW w:w="1659" w:type="dxa"/>
          </w:tcPr>
          <w:p w:rsidR="007C5447" w:rsidRDefault="007C5447">
            <w:pPr>
              <w:pStyle w:val="TableParagraph"/>
              <w:spacing w:before="2"/>
              <w:jc w:val="left"/>
              <w:rPr>
                <w:b/>
                <w:sz w:val="23"/>
              </w:rPr>
            </w:pPr>
          </w:p>
          <w:p w:rsidR="007C5447" w:rsidRDefault="00F6308C">
            <w:pPr>
              <w:pStyle w:val="TableParagraph"/>
              <w:spacing w:line="248" w:lineRule="exact"/>
              <w:ind w:left="85" w:right="78"/>
              <w:jc w:val="center"/>
            </w:pPr>
            <w:r>
              <w:t>20/ month</w:t>
            </w:r>
          </w:p>
        </w:tc>
        <w:tc>
          <w:tcPr>
            <w:tcW w:w="1591" w:type="dxa"/>
          </w:tcPr>
          <w:p w:rsidR="007C5447" w:rsidRDefault="007C5447">
            <w:pPr>
              <w:pStyle w:val="TableParagraph"/>
              <w:spacing w:before="2"/>
              <w:jc w:val="left"/>
              <w:rPr>
                <w:b/>
                <w:sz w:val="23"/>
              </w:rPr>
            </w:pPr>
          </w:p>
          <w:p w:rsidR="007C5447" w:rsidRDefault="00F6308C">
            <w:pPr>
              <w:pStyle w:val="TableParagraph"/>
              <w:spacing w:line="248" w:lineRule="exact"/>
              <w:ind w:left="601"/>
              <w:jc w:val="left"/>
            </w:pPr>
            <w:r>
              <w:t>2.50</w:t>
            </w:r>
          </w:p>
        </w:tc>
        <w:tc>
          <w:tcPr>
            <w:tcW w:w="1658" w:type="dxa"/>
          </w:tcPr>
          <w:p w:rsidR="007C5447" w:rsidRDefault="007C5447">
            <w:pPr>
              <w:pStyle w:val="TableParagraph"/>
              <w:spacing w:before="2"/>
              <w:jc w:val="left"/>
              <w:rPr>
                <w:b/>
                <w:sz w:val="23"/>
              </w:rPr>
            </w:pPr>
          </w:p>
          <w:p w:rsidR="007C5447" w:rsidRDefault="00F6308C">
            <w:pPr>
              <w:pStyle w:val="TableParagraph"/>
              <w:spacing w:line="248" w:lineRule="exact"/>
              <w:ind w:left="80" w:right="77"/>
              <w:jc w:val="center"/>
            </w:pPr>
            <w:r>
              <w:t>15/ month</w:t>
            </w:r>
          </w:p>
        </w:tc>
        <w:tc>
          <w:tcPr>
            <w:tcW w:w="1251" w:type="dxa"/>
          </w:tcPr>
          <w:p w:rsidR="007C5447" w:rsidRDefault="007C5447">
            <w:pPr>
              <w:pStyle w:val="TableParagraph"/>
              <w:spacing w:before="2"/>
              <w:jc w:val="left"/>
              <w:rPr>
                <w:b/>
                <w:sz w:val="23"/>
              </w:rPr>
            </w:pPr>
          </w:p>
          <w:p w:rsidR="007C5447" w:rsidRDefault="00F6308C">
            <w:pPr>
              <w:pStyle w:val="TableParagraph"/>
              <w:spacing w:line="248" w:lineRule="exact"/>
              <w:ind w:right="420"/>
            </w:pPr>
            <w:r>
              <w:t>2.50</w:t>
            </w:r>
          </w:p>
        </w:tc>
        <w:tc>
          <w:tcPr>
            <w:tcW w:w="1658" w:type="dxa"/>
          </w:tcPr>
          <w:p w:rsidR="007C5447" w:rsidRDefault="007C5447">
            <w:pPr>
              <w:pStyle w:val="TableParagraph"/>
              <w:spacing w:before="2"/>
              <w:jc w:val="left"/>
              <w:rPr>
                <w:b/>
                <w:sz w:val="23"/>
              </w:rPr>
            </w:pPr>
          </w:p>
          <w:p w:rsidR="007C5447" w:rsidRDefault="00F6308C">
            <w:pPr>
              <w:pStyle w:val="TableParagraph"/>
              <w:spacing w:line="248" w:lineRule="exact"/>
              <w:ind w:left="85" w:right="76"/>
              <w:jc w:val="center"/>
            </w:pPr>
            <w:r>
              <w:t>20/ month</w:t>
            </w:r>
          </w:p>
        </w:tc>
      </w:tr>
      <w:tr w:rsidR="007C5447">
        <w:trPr>
          <w:trHeight w:val="331"/>
        </w:trPr>
        <w:tc>
          <w:tcPr>
            <w:tcW w:w="1560" w:type="dxa"/>
          </w:tcPr>
          <w:p w:rsidR="007C5447" w:rsidRDefault="007C5447">
            <w:pPr>
              <w:pStyle w:val="TableParagraph"/>
              <w:jc w:val="left"/>
            </w:pPr>
          </w:p>
        </w:tc>
        <w:tc>
          <w:tcPr>
            <w:tcW w:w="1416" w:type="dxa"/>
          </w:tcPr>
          <w:p w:rsidR="007C5447" w:rsidRDefault="007C5447">
            <w:pPr>
              <w:pStyle w:val="TableParagraph"/>
              <w:jc w:val="left"/>
            </w:pPr>
          </w:p>
        </w:tc>
        <w:tc>
          <w:tcPr>
            <w:tcW w:w="1561" w:type="dxa"/>
          </w:tcPr>
          <w:p w:rsidR="007C5447" w:rsidRDefault="00F6308C">
            <w:pPr>
              <w:pStyle w:val="TableParagraph"/>
              <w:spacing w:before="61" w:line="250" w:lineRule="exact"/>
              <w:ind w:left="108"/>
              <w:jc w:val="left"/>
            </w:pPr>
            <w:r>
              <w:t>51-100 kWh</w:t>
            </w:r>
          </w:p>
        </w:tc>
        <w:tc>
          <w:tcPr>
            <w:tcW w:w="1419" w:type="dxa"/>
          </w:tcPr>
          <w:p w:rsidR="007C5447" w:rsidRDefault="00F6308C">
            <w:pPr>
              <w:pStyle w:val="TableParagraph"/>
              <w:spacing w:before="61" w:line="250" w:lineRule="exact"/>
              <w:ind w:right="504"/>
            </w:pPr>
            <w:r>
              <w:t>3.50</w:t>
            </w:r>
          </w:p>
        </w:tc>
        <w:tc>
          <w:tcPr>
            <w:tcW w:w="1659" w:type="dxa"/>
          </w:tcPr>
          <w:p w:rsidR="007C5447" w:rsidRDefault="00F6308C">
            <w:pPr>
              <w:pStyle w:val="TableParagraph"/>
              <w:spacing w:before="61" w:line="250" w:lineRule="exact"/>
              <w:ind w:left="85" w:right="78"/>
              <w:jc w:val="center"/>
            </w:pPr>
            <w:r>
              <w:t>20/ month</w:t>
            </w:r>
          </w:p>
        </w:tc>
        <w:tc>
          <w:tcPr>
            <w:tcW w:w="1591" w:type="dxa"/>
          </w:tcPr>
          <w:p w:rsidR="007C5447" w:rsidRDefault="00F6308C">
            <w:pPr>
              <w:pStyle w:val="TableParagraph"/>
              <w:spacing w:before="61" w:line="250" w:lineRule="exact"/>
              <w:ind w:left="601"/>
              <w:jc w:val="left"/>
            </w:pPr>
            <w:r>
              <w:t>2.00</w:t>
            </w:r>
          </w:p>
        </w:tc>
        <w:tc>
          <w:tcPr>
            <w:tcW w:w="1658" w:type="dxa"/>
          </w:tcPr>
          <w:p w:rsidR="007C5447" w:rsidRDefault="00F6308C">
            <w:pPr>
              <w:pStyle w:val="TableParagraph"/>
              <w:spacing w:before="61" w:line="250" w:lineRule="exact"/>
              <w:ind w:left="80" w:right="77"/>
              <w:jc w:val="center"/>
            </w:pPr>
            <w:r>
              <w:t>15/ month</w:t>
            </w:r>
          </w:p>
        </w:tc>
        <w:tc>
          <w:tcPr>
            <w:tcW w:w="1251" w:type="dxa"/>
          </w:tcPr>
          <w:p w:rsidR="007C5447" w:rsidRDefault="00F6308C">
            <w:pPr>
              <w:pStyle w:val="TableParagraph"/>
              <w:spacing w:before="61" w:line="250" w:lineRule="exact"/>
              <w:ind w:right="420"/>
            </w:pPr>
            <w:r>
              <w:t>2.50</w:t>
            </w:r>
          </w:p>
        </w:tc>
        <w:tc>
          <w:tcPr>
            <w:tcW w:w="1658" w:type="dxa"/>
          </w:tcPr>
          <w:p w:rsidR="007C5447" w:rsidRDefault="00F6308C">
            <w:pPr>
              <w:pStyle w:val="TableParagraph"/>
              <w:spacing w:before="61" w:line="250" w:lineRule="exact"/>
              <w:ind w:left="85" w:right="76"/>
              <w:jc w:val="center"/>
            </w:pPr>
            <w:r>
              <w:t>20/ month</w:t>
            </w:r>
          </w:p>
        </w:tc>
      </w:tr>
      <w:tr w:rsidR="007C5447">
        <w:trPr>
          <w:trHeight w:val="330"/>
        </w:trPr>
        <w:tc>
          <w:tcPr>
            <w:tcW w:w="1560" w:type="dxa"/>
          </w:tcPr>
          <w:p w:rsidR="007C5447" w:rsidRDefault="007C5447">
            <w:pPr>
              <w:pStyle w:val="TableParagraph"/>
              <w:jc w:val="left"/>
            </w:pPr>
          </w:p>
        </w:tc>
        <w:tc>
          <w:tcPr>
            <w:tcW w:w="1416" w:type="dxa"/>
          </w:tcPr>
          <w:p w:rsidR="007C5447" w:rsidRDefault="007C5447">
            <w:pPr>
              <w:pStyle w:val="TableParagraph"/>
              <w:jc w:val="left"/>
            </w:pPr>
          </w:p>
        </w:tc>
        <w:tc>
          <w:tcPr>
            <w:tcW w:w="1561" w:type="dxa"/>
          </w:tcPr>
          <w:p w:rsidR="007C5447" w:rsidRDefault="00F6308C">
            <w:pPr>
              <w:pStyle w:val="TableParagraph"/>
              <w:spacing w:before="61" w:line="250" w:lineRule="exact"/>
              <w:ind w:left="108"/>
              <w:jc w:val="left"/>
            </w:pPr>
            <w:r>
              <w:t>101-250 kWh</w:t>
            </w:r>
          </w:p>
        </w:tc>
        <w:tc>
          <w:tcPr>
            <w:tcW w:w="1419" w:type="dxa"/>
          </w:tcPr>
          <w:p w:rsidR="007C5447" w:rsidRDefault="00F6308C">
            <w:pPr>
              <w:pStyle w:val="TableParagraph"/>
              <w:spacing w:before="61" w:line="250" w:lineRule="exact"/>
              <w:ind w:right="504"/>
            </w:pPr>
            <w:r>
              <w:t>4.60</w:t>
            </w:r>
          </w:p>
        </w:tc>
        <w:tc>
          <w:tcPr>
            <w:tcW w:w="1659" w:type="dxa"/>
          </w:tcPr>
          <w:p w:rsidR="007C5447" w:rsidRDefault="00F6308C">
            <w:pPr>
              <w:pStyle w:val="TableParagraph"/>
              <w:spacing w:before="61" w:line="250" w:lineRule="exact"/>
              <w:ind w:left="85" w:right="78"/>
              <w:jc w:val="center"/>
            </w:pPr>
            <w:r>
              <w:t>20/ month</w:t>
            </w:r>
          </w:p>
        </w:tc>
        <w:tc>
          <w:tcPr>
            <w:tcW w:w="1591" w:type="dxa"/>
          </w:tcPr>
          <w:p w:rsidR="007C5447" w:rsidRDefault="00F6308C">
            <w:pPr>
              <w:pStyle w:val="TableParagraph"/>
              <w:spacing w:before="61" w:line="250" w:lineRule="exact"/>
              <w:ind w:left="601"/>
              <w:jc w:val="left"/>
            </w:pPr>
            <w:r>
              <w:t>3.00</w:t>
            </w:r>
          </w:p>
        </w:tc>
        <w:tc>
          <w:tcPr>
            <w:tcW w:w="1658" w:type="dxa"/>
          </w:tcPr>
          <w:p w:rsidR="007C5447" w:rsidRDefault="00F6308C">
            <w:pPr>
              <w:pStyle w:val="TableParagraph"/>
              <w:spacing w:before="61" w:line="250" w:lineRule="exact"/>
              <w:ind w:left="80" w:right="77"/>
              <w:jc w:val="center"/>
            </w:pPr>
            <w:r>
              <w:t>15/ month</w:t>
            </w:r>
          </w:p>
        </w:tc>
        <w:tc>
          <w:tcPr>
            <w:tcW w:w="1251" w:type="dxa"/>
          </w:tcPr>
          <w:p w:rsidR="007C5447" w:rsidRDefault="00F6308C">
            <w:pPr>
              <w:pStyle w:val="TableParagraph"/>
              <w:spacing w:before="61" w:line="250" w:lineRule="exact"/>
              <w:ind w:right="420"/>
            </w:pPr>
            <w:r>
              <w:t>3.00</w:t>
            </w:r>
          </w:p>
        </w:tc>
        <w:tc>
          <w:tcPr>
            <w:tcW w:w="1658" w:type="dxa"/>
          </w:tcPr>
          <w:p w:rsidR="007C5447" w:rsidRDefault="00F6308C">
            <w:pPr>
              <w:pStyle w:val="TableParagraph"/>
              <w:spacing w:before="61" w:line="250" w:lineRule="exact"/>
              <w:ind w:left="85" w:right="76"/>
              <w:jc w:val="center"/>
            </w:pPr>
            <w:r>
              <w:t>20/ month</w:t>
            </w:r>
          </w:p>
        </w:tc>
      </w:tr>
      <w:tr w:rsidR="007C5447">
        <w:trPr>
          <w:trHeight w:val="328"/>
        </w:trPr>
        <w:tc>
          <w:tcPr>
            <w:tcW w:w="1560" w:type="dxa"/>
          </w:tcPr>
          <w:p w:rsidR="007C5447" w:rsidRDefault="007C5447">
            <w:pPr>
              <w:pStyle w:val="TableParagraph"/>
              <w:jc w:val="left"/>
            </w:pPr>
          </w:p>
        </w:tc>
        <w:tc>
          <w:tcPr>
            <w:tcW w:w="1416" w:type="dxa"/>
          </w:tcPr>
          <w:p w:rsidR="007C5447" w:rsidRDefault="00F6308C">
            <w:pPr>
              <w:pStyle w:val="TableParagraph"/>
              <w:spacing w:before="61" w:line="248" w:lineRule="exact"/>
              <w:ind w:left="108"/>
              <w:jc w:val="left"/>
            </w:pPr>
            <w:r>
              <w:t>Above 250</w:t>
            </w:r>
          </w:p>
        </w:tc>
        <w:tc>
          <w:tcPr>
            <w:tcW w:w="1561" w:type="dxa"/>
          </w:tcPr>
          <w:p w:rsidR="007C5447" w:rsidRDefault="00F6308C">
            <w:pPr>
              <w:pStyle w:val="TableParagraph"/>
              <w:spacing w:before="61" w:line="248" w:lineRule="exact"/>
              <w:ind w:left="108"/>
              <w:jc w:val="left"/>
            </w:pPr>
            <w:r>
              <w:t>0-50 kWh</w:t>
            </w:r>
          </w:p>
        </w:tc>
        <w:tc>
          <w:tcPr>
            <w:tcW w:w="1419" w:type="dxa"/>
          </w:tcPr>
          <w:p w:rsidR="007C5447" w:rsidRDefault="00F6308C">
            <w:pPr>
              <w:pStyle w:val="TableParagraph"/>
              <w:spacing w:before="61" w:line="248" w:lineRule="exact"/>
              <w:ind w:right="504"/>
            </w:pPr>
            <w:r>
              <w:t>3.50</w:t>
            </w:r>
          </w:p>
        </w:tc>
        <w:tc>
          <w:tcPr>
            <w:tcW w:w="1659" w:type="dxa"/>
          </w:tcPr>
          <w:p w:rsidR="007C5447" w:rsidRDefault="00F6308C">
            <w:pPr>
              <w:pStyle w:val="TableParagraph"/>
              <w:spacing w:before="61" w:line="248" w:lineRule="exact"/>
              <w:ind w:left="85" w:right="78"/>
              <w:jc w:val="center"/>
            </w:pPr>
            <w:r>
              <w:t>25/ month</w:t>
            </w:r>
          </w:p>
        </w:tc>
        <w:tc>
          <w:tcPr>
            <w:tcW w:w="1591" w:type="dxa"/>
          </w:tcPr>
          <w:p w:rsidR="007C5447" w:rsidRDefault="00F6308C">
            <w:pPr>
              <w:pStyle w:val="TableParagraph"/>
              <w:spacing w:before="61" w:line="248" w:lineRule="exact"/>
              <w:ind w:left="601"/>
              <w:jc w:val="left"/>
            </w:pPr>
            <w:r>
              <w:t>2.50</w:t>
            </w:r>
          </w:p>
        </w:tc>
        <w:tc>
          <w:tcPr>
            <w:tcW w:w="1658" w:type="dxa"/>
          </w:tcPr>
          <w:p w:rsidR="007C5447" w:rsidRDefault="00F6308C">
            <w:pPr>
              <w:pStyle w:val="TableParagraph"/>
              <w:spacing w:before="61" w:line="248" w:lineRule="exact"/>
              <w:ind w:left="80" w:right="77"/>
              <w:jc w:val="center"/>
            </w:pPr>
            <w:r>
              <w:t>25/ month</w:t>
            </w:r>
          </w:p>
        </w:tc>
        <w:tc>
          <w:tcPr>
            <w:tcW w:w="1251" w:type="dxa"/>
          </w:tcPr>
          <w:p w:rsidR="007C5447" w:rsidRDefault="00F6308C">
            <w:pPr>
              <w:pStyle w:val="TableParagraph"/>
              <w:spacing w:before="61" w:line="248" w:lineRule="exact"/>
              <w:ind w:right="420"/>
            </w:pPr>
            <w:r>
              <w:t>2.50</w:t>
            </w:r>
          </w:p>
        </w:tc>
        <w:tc>
          <w:tcPr>
            <w:tcW w:w="1658" w:type="dxa"/>
          </w:tcPr>
          <w:p w:rsidR="007C5447" w:rsidRDefault="00F6308C">
            <w:pPr>
              <w:pStyle w:val="TableParagraph"/>
              <w:spacing w:before="61" w:line="248" w:lineRule="exact"/>
              <w:ind w:left="85" w:right="76"/>
              <w:jc w:val="center"/>
            </w:pPr>
            <w:r>
              <w:t>25/ month</w:t>
            </w:r>
          </w:p>
        </w:tc>
      </w:tr>
      <w:tr w:rsidR="007C5447">
        <w:trPr>
          <w:trHeight w:val="330"/>
        </w:trPr>
        <w:tc>
          <w:tcPr>
            <w:tcW w:w="1560" w:type="dxa"/>
          </w:tcPr>
          <w:p w:rsidR="007C5447" w:rsidRDefault="007C5447">
            <w:pPr>
              <w:pStyle w:val="TableParagraph"/>
              <w:jc w:val="left"/>
            </w:pPr>
          </w:p>
        </w:tc>
        <w:tc>
          <w:tcPr>
            <w:tcW w:w="1416" w:type="dxa"/>
          </w:tcPr>
          <w:p w:rsidR="007C5447" w:rsidRDefault="007C5447">
            <w:pPr>
              <w:pStyle w:val="TableParagraph"/>
              <w:jc w:val="left"/>
            </w:pPr>
          </w:p>
        </w:tc>
        <w:tc>
          <w:tcPr>
            <w:tcW w:w="1561" w:type="dxa"/>
          </w:tcPr>
          <w:p w:rsidR="007C5447" w:rsidRDefault="00F6308C">
            <w:pPr>
              <w:pStyle w:val="TableParagraph"/>
              <w:spacing w:before="61" w:line="250" w:lineRule="exact"/>
              <w:ind w:left="108"/>
              <w:jc w:val="left"/>
            </w:pPr>
            <w:r>
              <w:t>51-100 kWh</w:t>
            </w:r>
          </w:p>
        </w:tc>
        <w:tc>
          <w:tcPr>
            <w:tcW w:w="1419" w:type="dxa"/>
          </w:tcPr>
          <w:p w:rsidR="007C5447" w:rsidRDefault="00F6308C">
            <w:pPr>
              <w:pStyle w:val="TableParagraph"/>
              <w:spacing w:before="61" w:line="250" w:lineRule="exact"/>
              <w:ind w:right="504"/>
            </w:pPr>
            <w:r>
              <w:t>3.50</w:t>
            </w:r>
          </w:p>
        </w:tc>
        <w:tc>
          <w:tcPr>
            <w:tcW w:w="1659" w:type="dxa"/>
          </w:tcPr>
          <w:p w:rsidR="007C5447" w:rsidRDefault="00F6308C">
            <w:pPr>
              <w:pStyle w:val="TableParagraph"/>
              <w:spacing w:before="61" w:line="250" w:lineRule="exact"/>
              <w:ind w:left="85" w:right="78"/>
              <w:jc w:val="center"/>
            </w:pPr>
            <w:r>
              <w:t>25/ month</w:t>
            </w:r>
          </w:p>
        </w:tc>
        <w:tc>
          <w:tcPr>
            <w:tcW w:w="1591" w:type="dxa"/>
          </w:tcPr>
          <w:p w:rsidR="007C5447" w:rsidRDefault="00F6308C">
            <w:pPr>
              <w:pStyle w:val="TableParagraph"/>
              <w:spacing w:before="61" w:line="250" w:lineRule="exact"/>
              <w:ind w:left="601"/>
              <w:jc w:val="left"/>
            </w:pPr>
            <w:r>
              <w:t>3.50</w:t>
            </w:r>
          </w:p>
        </w:tc>
        <w:tc>
          <w:tcPr>
            <w:tcW w:w="1658" w:type="dxa"/>
          </w:tcPr>
          <w:p w:rsidR="007C5447" w:rsidRDefault="00F6308C">
            <w:pPr>
              <w:pStyle w:val="TableParagraph"/>
              <w:spacing w:before="61" w:line="250" w:lineRule="exact"/>
              <w:ind w:left="80" w:right="77"/>
              <w:jc w:val="center"/>
            </w:pPr>
            <w:r>
              <w:t>25/ month</w:t>
            </w:r>
          </w:p>
        </w:tc>
        <w:tc>
          <w:tcPr>
            <w:tcW w:w="1251" w:type="dxa"/>
          </w:tcPr>
          <w:p w:rsidR="007C5447" w:rsidRDefault="00F6308C">
            <w:pPr>
              <w:pStyle w:val="TableParagraph"/>
              <w:spacing w:before="61" w:line="250" w:lineRule="exact"/>
              <w:ind w:right="420"/>
            </w:pPr>
            <w:r>
              <w:t>3.50</w:t>
            </w:r>
          </w:p>
        </w:tc>
        <w:tc>
          <w:tcPr>
            <w:tcW w:w="1658" w:type="dxa"/>
          </w:tcPr>
          <w:p w:rsidR="007C5447" w:rsidRDefault="00F6308C">
            <w:pPr>
              <w:pStyle w:val="TableParagraph"/>
              <w:spacing w:before="61" w:line="250" w:lineRule="exact"/>
              <w:ind w:left="85" w:right="76"/>
              <w:jc w:val="center"/>
            </w:pPr>
            <w:r>
              <w:t>25/ month</w:t>
            </w:r>
          </w:p>
        </w:tc>
      </w:tr>
      <w:tr w:rsidR="007C5447">
        <w:trPr>
          <w:trHeight w:val="330"/>
        </w:trPr>
        <w:tc>
          <w:tcPr>
            <w:tcW w:w="1560" w:type="dxa"/>
          </w:tcPr>
          <w:p w:rsidR="007C5447" w:rsidRDefault="007C5447">
            <w:pPr>
              <w:pStyle w:val="TableParagraph"/>
              <w:jc w:val="left"/>
            </w:pPr>
          </w:p>
        </w:tc>
        <w:tc>
          <w:tcPr>
            <w:tcW w:w="1416" w:type="dxa"/>
          </w:tcPr>
          <w:p w:rsidR="007C5447" w:rsidRDefault="007C5447">
            <w:pPr>
              <w:pStyle w:val="TableParagraph"/>
              <w:jc w:val="left"/>
            </w:pPr>
          </w:p>
        </w:tc>
        <w:tc>
          <w:tcPr>
            <w:tcW w:w="1561" w:type="dxa"/>
          </w:tcPr>
          <w:p w:rsidR="007C5447" w:rsidRDefault="00F6308C">
            <w:pPr>
              <w:pStyle w:val="TableParagraph"/>
              <w:spacing w:before="61" w:line="250" w:lineRule="exact"/>
              <w:ind w:left="108"/>
              <w:jc w:val="left"/>
            </w:pPr>
            <w:r>
              <w:t>101-250 kWh</w:t>
            </w:r>
          </w:p>
        </w:tc>
        <w:tc>
          <w:tcPr>
            <w:tcW w:w="1419" w:type="dxa"/>
          </w:tcPr>
          <w:p w:rsidR="007C5447" w:rsidRDefault="00F6308C">
            <w:pPr>
              <w:pStyle w:val="TableParagraph"/>
              <w:spacing w:before="61" w:line="250" w:lineRule="exact"/>
              <w:ind w:right="504"/>
            </w:pPr>
            <w:r>
              <w:t>4.60</w:t>
            </w:r>
          </w:p>
        </w:tc>
        <w:tc>
          <w:tcPr>
            <w:tcW w:w="1659" w:type="dxa"/>
          </w:tcPr>
          <w:p w:rsidR="007C5447" w:rsidRDefault="00F6308C">
            <w:pPr>
              <w:pStyle w:val="TableParagraph"/>
              <w:spacing w:before="61" w:line="250" w:lineRule="exact"/>
              <w:ind w:left="85" w:right="78"/>
              <w:jc w:val="center"/>
            </w:pPr>
            <w:r>
              <w:t>25/ month</w:t>
            </w:r>
          </w:p>
        </w:tc>
        <w:tc>
          <w:tcPr>
            <w:tcW w:w="1591" w:type="dxa"/>
          </w:tcPr>
          <w:p w:rsidR="007C5447" w:rsidRDefault="00F6308C">
            <w:pPr>
              <w:pStyle w:val="TableParagraph"/>
              <w:spacing w:before="61" w:line="250" w:lineRule="exact"/>
              <w:ind w:left="601"/>
              <w:jc w:val="left"/>
            </w:pPr>
            <w:r>
              <w:t>4.60</w:t>
            </w:r>
          </w:p>
        </w:tc>
        <w:tc>
          <w:tcPr>
            <w:tcW w:w="1658" w:type="dxa"/>
          </w:tcPr>
          <w:p w:rsidR="007C5447" w:rsidRDefault="00F6308C">
            <w:pPr>
              <w:pStyle w:val="TableParagraph"/>
              <w:spacing w:before="61" w:line="250" w:lineRule="exact"/>
              <w:ind w:left="80" w:right="77"/>
              <w:jc w:val="center"/>
            </w:pPr>
            <w:r>
              <w:t>25/ month</w:t>
            </w:r>
          </w:p>
        </w:tc>
        <w:tc>
          <w:tcPr>
            <w:tcW w:w="1251" w:type="dxa"/>
          </w:tcPr>
          <w:p w:rsidR="007C5447" w:rsidRDefault="00F6308C">
            <w:pPr>
              <w:pStyle w:val="TableParagraph"/>
              <w:spacing w:before="61" w:line="250" w:lineRule="exact"/>
              <w:ind w:right="420"/>
            </w:pPr>
            <w:r>
              <w:t>4.60</w:t>
            </w:r>
          </w:p>
        </w:tc>
        <w:tc>
          <w:tcPr>
            <w:tcW w:w="1658" w:type="dxa"/>
          </w:tcPr>
          <w:p w:rsidR="007C5447" w:rsidRDefault="00F6308C">
            <w:pPr>
              <w:pStyle w:val="TableParagraph"/>
              <w:spacing w:before="61" w:line="250" w:lineRule="exact"/>
              <w:ind w:left="85" w:right="76"/>
              <w:jc w:val="center"/>
            </w:pPr>
            <w:r>
              <w:t>25/ month</w:t>
            </w:r>
          </w:p>
        </w:tc>
      </w:tr>
      <w:tr w:rsidR="007C5447">
        <w:trPr>
          <w:trHeight w:val="534"/>
        </w:trPr>
        <w:tc>
          <w:tcPr>
            <w:tcW w:w="1560" w:type="dxa"/>
          </w:tcPr>
          <w:p w:rsidR="007C5447" w:rsidRDefault="007C5447">
            <w:pPr>
              <w:pStyle w:val="TableParagraph"/>
              <w:jc w:val="left"/>
            </w:pPr>
          </w:p>
        </w:tc>
        <w:tc>
          <w:tcPr>
            <w:tcW w:w="1416" w:type="dxa"/>
          </w:tcPr>
          <w:p w:rsidR="007C5447" w:rsidRDefault="007C5447">
            <w:pPr>
              <w:pStyle w:val="TableParagraph"/>
              <w:jc w:val="left"/>
            </w:pPr>
          </w:p>
        </w:tc>
        <w:tc>
          <w:tcPr>
            <w:tcW w:w="1561" w:type="dxa"/>
          </w:tcPr>
          <w:p w:rsidR="007C5447" w:rsidRDefault="00F6308C">
            <w:pPr>
              <w:pStyle w:val="TableParagraph"/>
              <w:spacing w:before="13" w:line="250" w:lineRule="atLeast"/>
              <w:ind w:left="108" w:right="512"/>
              <w:jc w:val="left"/>
            </w:pPr>
            <w:r>
              <w:t>above 250 kWh</w:t>
            </w:r>
          </w:p>
        </w:tc>
        <w:tc>
          <w:tcPr>
            <w:tcW w:w="1419" w:type="dxa"/>
          </w:tcPr>
          <w:p w:rsidR="007C5447" w:rsidRDefault="007C5447">
            <w:pPr>
              <w:pStyle w:val="TableParagraph"/>
              <w:spacing w:before="2"/>
              <w:jc w:val="left"/>
              <w:rPr>
                <w:b/>
                <w:sz w:val="23"/>
              </w:rPr>
            </w:pPr>
          </w:p>
          <w:p w:rsidR="007C5447" w:rsidRDefault="00F6308C">
            <w:pPr>
              <w:pStyle w:val="TableParagraph"/>
              <w:spacing w:line="248" w:lineRule="exact"/>
              <w:ind w:right="504"/>
            </w:pPr>
            <w:r>
              <w:t>6.60</w:t>
            </w:r>
          </w:p>
        </w:tc>
        <w:tc>
          <w:tcPr>
            <w:tcW w:w="1659" w:type="dxa"/>
          </w:tcPr>
          <w:p w:rsidR="007C5447" w:rsidRDefault="007C5447">
            <w:pPr>
              <w:pStyle w:val="TableParagraph"/>
              <w:spacing w:before="2"/>
              <w:jc w:val="left"/>
              <w:rPr>
                <w:b/>
                <w:sz w:val="23"/>
              </w:rPr>
            </w:pPr>
          </w:p>
          <w:p w:rsidR="007C5447" w:rsidRDefault="00F6308C">
            <w:pPr>
              <w:pStyle w:val="TableParagraph"/>
              <w:spacing w:line="248" w:lineRule="exact"/>
              <w:ind w:left="85" w:right="78"/>
              <w:jc w:val="center"/>
            </w:pPr>
            <w:r>
              <w:t>25/ month</w:t>
            </w:r>
          </w:p>
        </w:tc>
        <w:tc>
          <w:tcPr>
            <w:tcW w:w="1591" w:type="dxa"/>
          </w:tcPr>
          <w:p w:rsidR="007C5447" w:rsidRDefault="007C5447">
            <w:pPr>
              <w:pStyle w:val="TableParagraph"/>
              <w:spacing w:before="2"/>
              <w:jc w:val="left"/>
              <w:rPr>
                <w:b/>
                <w:sz w:val="23"/>
              </w:rPr>
            </w:pPr>
          </w:p>
          <w:p w:rsidR="007C5447" w:rsidRDefault="00F6308C">
            <w:pPr>
              <w:pStyle w:val="TableParagraph"/>
              <w:spacing w:line="248" w:lineRule="exact"/>
              <w:ind w:left="601"/>
              <w:jc w:val="left"/>
            </w:pPr>
            <w:r>
              <w:t>6.60</w:t>
            </w:r>
          </w:p>
        </w:tc>
        <w:tc>
          <w:tcPr>
            <w:tcW w:w="1658" w:type="dxa"/>
          </w:tcPr>
          <w:p w:rsidR="007C5447" w:rsidRDefault="007C5447">
            <w:pPr>
              <w:pStyle w:val="TableParagraph"/>
              <w:spacing w:before="2"/>
              <w:jc w:val="left"/>
              <w:rPr>
                <w:b/>
                <w:sz w:val="23"/>
              </w:rPr>
            </w:pPr>
          </w:p>
          <w:p w:rsidR="007C5447" w:rsidRDefault="00F6308C">
            <w:pPr>
              <w:pStyle w:val="TableParagraph"/>
              <w:spacing w:line="248" w:lineRule="exact"/>
              <w:ind w:left="80" w:right="77"/>
              <w:jc w:val="center"/>
            </w:pPr>
            <w:r>
              <w:t>25/ month</w:t>
            </w:r>
          </w:p>
        </w:tc>
        <w:tc>
          <w:tcPr>
            <w:tcW w:w="1251" w:type="dxa"/>
          </w:tcPr>
          <w:p w:rsidR="007C5447" w:rsidRDefault="007C5447">
            <w:pPr>
              <w:pStyle w:val="TableParagraph"/>
              <w:spacing w:before="2"/>
              <w:jc w:val="left"/>
              <w:rPr>
                <w:b/>
                <w:sz w:val="23"/>
              </w:rPr>
            </w:pPr>
          </w:p>
          <w:p w:rsidR="007C5447" w:rsidRDefault="00F6308C">
            <w:pPr>
              <w:pStyle w:val="TableParagraph"/>
              <w:spacing w:line="248" w:lineRule="exact"/>
              <w:ind w:right="420"/>
            </w:pPr>
            <w:r>
              <w:t>6.60</w:t>
            </w:r>
          </w:p>
        </w:tc>
        <w:tc>
          <w:tcPr>
            <w:tcW w:w="1658" w:type="dxa"/>
          </w:tcPr>
          <w:p w:rsidR="007C5447" w:rsidRDefault="007C5447">
            <w:pPr>
              <w:pStyle w:val="TableParagraph"/>
              <w:spacing w:before="2"/>
              <w:jc w:val="left"/>
              <w:rPr>
                <w:b/>
                <w:sz w:val="23"/>
              </w:rPr>
            </w:pPr>
          </w:p>
          <w:p w:rsidR="007C5447" w:rsidRDefault="00F6308C">
            <w:pPr>
              <w:pStyle w:val="TableParagraph"/>
              <w:spacing w:line="248" w:lineRule="exact"/>
              <w:ind w:left="85" w:right="76"/>
              <w:jc w:val="center"/>
            </w:pPr>
            <w:r>
              <w:t>25/ month</w:t>
            </w:r>
          </w:p>
        </w:tc>
      </w:tr>
      <w:tr w:rsidR="007C5447">
        <w:trPr>
          <w:trHeight w:val="330"/>
        </w:trPr>
        <w:tc>
          <w:tcPr>
            <w:tcW w:w="1560" w:type="dxa"/>
          </w:tcPr>
          <w:p w:rsidR="007C5447" w:rsidRDefault="00F6308C">
            <w:pPr>
              <w:pStyle w:val="TableParagraph"/>
              <w:spacing w:before="61" w:line="250" w:lineRule="exact"/>
              <w:ind w:left="113" w:right="105"/>
              <w:jc w:val="center"/>
              <w:rPr>
                <w:b/>
              </w:rPr>
            </w:pPr>
            <w:r>
              <w:rPr>
                <w:b/>
              </w:rPr>
              <w:t>LT – IB</w:t>
            </w:r>
          </w:p>
        </w:tc>
        <w:tc>
          <w:tcPr>
            <w:tcW w:w="12213" w:type="dxa"/>
            <w:gridSpan w:val="8"/>
          </w:tcPr>
          <w:p w:rsidR="007C5447" w:rsidRDefault="00F6308C">
            <w:pPr>
              <w:pStyle w:val="TableParagraph"/>
              <w:spacing w:before="61" w:line="250" w:lineRule="exact"/>
              <w:ind w:left="108"/>
              <w:jc w:val="left"/>
              <w:rPr>
                <w:b/>
              </w:rPr>
            </w:pPr>
            <w:r>
              <w:rPr>
                <w:b/>
              </w:rPr>
              <w:t>Huts</w:t>
            </w:r>
          </w:p>
        </w:tc>
      </w:tr>
      <w:tr w:rsidR="007C5447">
        <w:trPr>
          <w:trHeight w:val="1041"/>
        </w:trPr>
        <w:tc>
          <w:tcPr>
            <w:tcW w:w="1560" w:type="dxa"/>
          </w:tcPr>
          <w:p w:rsidR="007C5447" w:rsidRDefault="007C5447">
            <w:pPr>
              <w:pStyle w:val="TableParagraph"/>
              <w:jc w:val="left"/>
            </w:pPr>
          </w:p>
        </w:tc>
        <w:tc>
          <w:tcPr>
            <w:tcW w:w="1416" w:type="dxa"/>
          </w:tcPr>
          <w:p w:rsidR="007C5447" w:rsidRDefault="007C5447">
            <w:pPr>
              <w:pStyle w:val="TableParagraph"/>
              <w:spacing w:before="1"/>
              <w:jc w:val="left"/>
              <w:rPr>
                <w:b/>
                <w:sz w:val="34"/>
              </w:rPr>
            </w:pPr>
          </w:p>
          <w:p w:rsidR="007C5447" w:rsidRDefault="00F6308C">
            <w:pPr>
              <w:pStyle w:val="TableParagraph"/>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13"/>
              <w:ind w:left="107" w:right="304"/>
              <w:jc w:val="left"/>
            </w:pPr>
            <w:r>
              <w:t>4.95 (on installation</w:t>
            </w:r>
          </w:p>
          <w:p w:rsidR="007C5447" w:rsidRDefault="00F6308C">
            <w:pPr>
              <w:pStyle w:val="TableParagraph"/>
              <w:spacing w:before="4" w:line="252" w:lineRule="exact"/>
              <w:ind w:left="107" w:right="445"/>
              <w:jc w:val="left"/>
            </w:pPr>
            <w:r>
              <w:t>of energy meter)</w:t>
            </w:r>
          </w:p>
        </w:tc>
        <w:tc>
          <w:tcPr>
            <w:tcW w:w="1659" w:type="dxa"/>
          </w:tcPr>
          <w:p w:rsidR="007C5447" w:rsidRDefault="00F6308C">
            <w:pPr>
              <w:pStyle w:val="TableParagraph"/>
              <w:spacing w:before="13"/>
              <w:ind w:left="107" w:right="122"/>
              <w:jc w:val="left"/>
            </w:pPr>
            <w:r>
              <w:t>145/ month (until</w:t>
            </w:r>
          </w:p>
          <w:p w:rsidR="007C5447" w:rsidRDefault="00F6308C">
            <w:pPr>
              <w:pStyle w:val="TableParagraph"/>
              <w:spacing w:before="4" w:line="252" w:lineRule="exact"/>
              <w:ind w:left="107" w:right="294"/>
              <w:jc w:val="left"/>
            </w:pPr>
            <w:r>
              <w:t>installation of energy meter)</w:t>
            </w:r>
          </w:p>
        </w:tc>
        <w:tc>
          <w:tcPr>
            <w:tcW w:w="1591" w:type="dxa"/>
          </w:tcPr>
          <w:p w:rsidR="007C5447" w:rsidRDefault="00F6308C">
            <w:pPr>
              <w:pStyle w:val="TableParagraph"/>
              <w:spacing w:before="140"/>
              <w:ind w:left="107" w:right="226"/>
              <w:jc w:val="left"/>
            </w:pPr>
            <w:r>
              <w:t>4.95 (on installation of energy meter)</w:t>
            </w:r>
          </w:p>
        </w:tc>
        <w:tc>
          <w:tcPr>
            <w:tcW w:w="1658" w:type="dxa"/>
          </w:tcPr>
          <w:p w:rsidR="007C5447" w:rsidRDefault="00F6308C">
            <w:pPr>
              <w:pStyle w:val="TableParagraph"/>
              <w:spacing w:before="13"/>
              <w:ind w:left="104" w:right="123"/>
              <w:jc w:val="left"/>
            </w:pPr>
            <w:r>
              <w:t>145/ month (until</w:t>
            </w:r>
          </w:p>
          <w:p w:rsidR="007C5447" w:rsidRDefault="00F6308C">
            <w:pPr>
              <w:pStyle w:val="TableParagraph"/>
              <w:spacing w:before="4" w:line="252" w:lineRule="exact"/>
              <w:ind w:left="104" w:right="296"/>
              <w:jc w:val="left"/>
            </w:pPr>
            <w:r>
              <w:t>installation of energy meter)</w:t>
            </w:r>
          </w:p>
        </w:tc>
        <w:tc>
          <w:tcPr>
            <w:tcW w:w="1251" w:type="dxa"/>
          </w:tcPr>
          <w:p w:rsidR="007C5447" w:rsidRDefault="00F6308C">
            <w:pPr>
              <w:pStyle w:val="TableParagraph"/>
              <w:spacing w:before="13"/>
              <w:ind w:left="107" w:right="136"/>
              <w:jc w:val="left"/>
            </w:pPr>
            <w:r>
              <w:t>4.95 (on installation</w:t>
            </w:r>
          </w:p>
          <w:p w:rsidR="007C5447" w:rsidRDefault="00F6308C">
            <w:pPr>
              <w:pStyle w:val="TableParagraph"/>
              <w:spacing w:before="4" w:line="252" w:lineRule="exact"/>
              <w:ind w:left="107" w:right="277"/>
              <w:jc w:val="left"/>
            </w:pPr>
            <w:r>
              <w:t>of energy meter)</w:t>
            </w:r>
          </w:p>
        </w:tc>
        <w:tc>
          <w:tcPr>
            <w:tcW w:w="1658" w:type="dxa"/>
          </w:tcPr>
          <w:p w:rsidR="007C5447" w:rsidRDefault="00F6308C">
            <w:pPr>
              <w:pStyle w:val="TableParagraph"/>
              <w:spacing w:before="13"/>
              <w:ind w:left="107" w:right="123"/>
              <w:jc w:val="left"/>
            </w:pPr>
            <w:r>
              <w:t>145/ month (until</w:t>
            </w:r>
          </w:p>
          <w:p w:rsidR="007C5447" w:rsidRDefault="00F6308C">
            <w:pPr>
              <w:pStyle w:val="TableParagraph"/>
              <w:spacing w:before="4" w:line="252" w:lineRule="exact"/>
              <w:ind w:left="107" w:right="293"/>
              <w:jc w:val="left"/>
            </w:pPr>
            <w:r>
              <w:t>installation of energy meter)</w:t>
            </w:r>
          </w:p>
        </w:tc>
      </w:tr>
    </w:tbl>
    <w:p w:rsidR="007C5447" w:rsidRDefault="007C5447">
      <w:pPr>
        <w:spacing w:line="252" w:lineRule="exact"/>
        <w:sectPr w:rsidR="007C5447">
          <w:footerReference w:type="default" r:id="rId67"/>
          <w:pgSz w:w="16840" w:h="11910" w:orient="landscape"/>
          <w:pgMar w:top="1100" w:right="1620" w:bottom="1040" w:left="1220" w:header="0" w:footer="857" w:gutter="0"/>
          <w:cols w:space="720"/>
        </w:sectPr>
      </w:pPr>
    </w:p>
    <w:p w:rsidR="007C5447" w:rsidRDefault="007C5447">
      <w:pPr>
        <w:pStyle w:val="BodyText"/>
        <w:rPr>
          <w:sz w:val="2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1416"/>
        <w:gridCol w:w="1561"/>
        <w:gridCol w:w="1419"/>
        <w:gridCol w:w="1659"/>
        <w:gridCol w:w="1591"/>
        <w:gridCol w:w="1658"/>
        <w:gridCol w:w="1251"/>
        <w:gridCol w:w="1658"/>
      </w:tblGrid>
      <w:tr w:rsidR="007C5447">
        <w:trPr>
          <w:trHeight w:val="330"/>
        </w:trPr>
        <w:tc>
          <w:tcPr>
            <w:tcW w:w="1560" w:type="dxa"/>
            <w:vMerge w:val="restart"/>
            <w:shd w:val="clear" w:color="auto" w:fill="F7C9AC"/>
          </w:tcPr>
          <w:p w:rsidR="007C5447" w:rsidRDefault="007C5447">
            <w:pPr>
              <w:pStyle w:val="TableParagraph"/>
              <w:spacing w:before="11"/>
              <w:jc w:val="left"/>
              <w:rPr>
                <w:sz w:val="26"/>
              </w:rPr>
            </w:pPr>
          </w:p>
          <w:p w:rsidR="007C5447" w:rsidRDefault="00F6308C">
            <w:pPr>
              <w:pStyle w:val="TableParagraph"/>
              <w:ind w:left="345" w:right="263" w:hanging="56"/>
              <w:jc w:val="left"/>
              <w:rPr>
                <w:b/>
              </w:rPr>
            </w:pPr>
            <w:r>
              <w:rPr>
                <w:b/>
              </w:rPr>
              <w:t>Consumer Category</w:t>
            </w:r>
          </w:p>
        </w:tc>
        <w:tc>
          <w:tcPr>
            <w:tcW w:w="1416" w:type="dxa"/>
            <w:vMerge w:val="restart"/>
            <w:shd w:val="clear" w:color="auto" w:fill="F7C9AC"/>
          </w:tcPr>
          <w:p w:rsidR="007C5447" w:rsidRDefault="007C5447">
            <w:pPr>
              <w:pStyle w:val="TableParagraph"/>
              <w:spacing w:before="11"/>
              <w:jc w:val="left"/>
              <w:rPr>
                <w:sz w:val="26"/>
              </w:rPr>
            </w:pPr>
          </w:p>
          <w:p w:rsidR="007C5447" w:rsidRDefault="00F6308C">
            <w:pPr>
              <w:pStyle w:val="TableParagraph"/>
              <w:ind w:left="125" w:right="94" w:firstLine="331"/>
              <w:jc w:val="left"/>
              <w:rPr>
                <w:b/>
              </w:rPr>
            </w:pPr>
            <w:r>
              <w:rPr>
                <w:b/>
              </w:rPr>
              <w:t>Slabs (Per Month)</w:t>
            </w:r>
          </w:p>
        </w:tc>
        <w:tc>
          <w:tcPr>
            <w:tcW w:w="1561" w:type="dxa"/>
            <w:vMerge w:val="restart"/>
            <w:shd w:val="clear" w:color="auto" w:fill="F7C9AC"/>
          </w:tcPr>
          <w:p w:rsidR="007C5447" w:rsidRDefault="007C5447">
            <w:pPr>
              <w:pStyle w:val="TableParagraph"/>
              <w:jc w:val="left"/>
              <w:rPr>
                <w:sz w:val="24"/>
              </w:rPr>
            </w:pPr>
          </w:p>
          <w:p w:rsidR="007C5447" w:rsidRDefault="00F6308C">
            <w:pPr>
              <w:pStyle w:val="TableParagraph"/>
              <w:spacing w:before="161"/>
              <w:ind w:left="134"/>
              <w:jc w:val="left"/>
              <w:rPr>
                <w:b/>
              </w:rPr>
            </w:pPr>
            <w:r>
              <w:rPr>
                <w:b/>
              </w:rPr>
              <w:t>Sub Category</w:t>
            </w:r>
          </w:p>
        </w:tc>
        <w:tc>
          <w:tcPr>
            <w:tcW w:w="3078" w:type="dxa"/>
            <w:gridSpan w:val="2"/>
            <w:shd w:val="clear" w:color="auto" w:fill="F7C9AC"/>
          </w:tcPr>
          <w:p w:rsidR="007C5447" w:rsidRDefault="00F6308C">
            <w:pPr>
              <w:pStyle w:val="TableParagraph"/>
              <w:spacing w:before="37"/>
              <w:ind w:left="844"/>
              <w:jc w:val="left"/>
              <w:rPr>
                <w:b/>
              </w:rPr>
            </w:pPr>
            <w:r>
              <w:rPr>
                <w:b/>
              </w:rPr>
              <w:t>Existing Tariff</w:t>
            </w:r>
          </w:p>
        </w:tc>
        <w:tc>
          <w:tcPr>
            <w:tcW w:w="3249" w:type="dxa"/>
            <w:gridSpan w:val="2"/>
            <w:shd w:val="clear" w:color="auto" w:fill="F7C9AC"/>
          </w:tcPr>
          <w:p w:rsidR="007C5447" w:rsidRDefault="00F6308C">
            <w:pPr>
              <w:pStyle w:val="TableParagraph"/>
              <w:spacing w:before="37"/>
              <w:ind w:left="875"/>
              <w:jc w:val="left"/>
              <w:rPr>
                <w:b/>
              </w:rPr>
            </w:pPr>
            <w:r>
              <w:rPr>
                <w:b/>
              </w:rPr>
              <w:t>Proposed Tariff</w:t>
            </w:r>
          </w:p>
        </w:tc>
        <w:tc>
          <w:tcPr>
            <w:tcW w:w="2909" w:type="dxa"/>
            <w:gridSpan w:val="2"/>
            <w:shd w:val="clear" w:color="auto" w:fill="F7C9AC"/>
          </w:tcPr>
          <w:p w:rsidR="007C5447" w:rsidRDefault="00F6308C">
            <w:pPr>
              <w:pStyle w:val="TableParagraph"/>
              <w:spacing w:before="37"/>
              <w:ind w:left="674"/>
              <w:jc w:val="left"/>
              <w:rPr>
                <w:b/>
              </w:rPr>
            </w:pPr>
            <w:r>
              <w:rPr>
                <w:b/>
              </w:rPr>
              <w:t>Approved Tariff</w:t>
            </w:r>
          </w:p>
        </w:tc>
      </w:tr>
      <w:tr w:rsidR="007C5447">
        <w:trPr>
          <w:trHeight w:val="789"/>
        </w:trPr>
        <w:tc>
          <w:tcPr>
            <w:tcW w:w="1560" w:type="dxa"/>
            <w:vMerge/>
            <w:tcBorders>
              <w:top w:val="nil"/>
            </w:tcBorders>
            <w:shd w:val="clear" w:color="auto" w:fill="F7C9AC"/>
          </w:tcPr>
          <w:p w:rsidR="007C5447" w:rsidRDefault="007C5447">
            <w:pPr>
              <w:rPr>
                <w:sz w:val="2"/>
                <w:szCs w:val="2"/>
              </w:rPr>
            </w:pPr>
          </w:p>
        </w:tc>
        <w:tc>
          <w:tcPr>
            <w:tcW w:w="1416" w:type="dxa"/>
            <w:vMerge/>
            <w:tcBorders>
              <w:top w:val="nil"/>
            </w:tcBorders>
            <w:shd w:val="clear" w:color="auto" w:fill="F7C9AC"/>
          </w:tcPr>
          <w:p w:rsidR="007C5447" w:rsidRDefault="007C5447">
            <w:pPr>
              <w:rPr>
                <w:sz w:val="2"/>
                <w:szCs w:val="2"/>
              </w:rPr>
            </w:pPr>
          </w:p>
        </w:tc>
        <w:tc>
          <w:tcPr>
            <w:tcW w:w="1561" w:type="dxa"/>
            <w:vMerge/>
            <w:tcBorders>
              <w:top w:val="nil"/>
            </w:tcBorders>
            <w:shd w:val="clear" w:color="auto" w:fill="F7C9AC"/>
          </w:tcPr>
          <w:p w:rsidR="007C5447" w:rsidRDefault="007C5447">
            <w:pPr>
              <w:rPr>
                <w:sz w:val="2"/>
                <w:szCs w:val="2"/>
              </w:rPr>
            </w:pPr>
          </w:p>
        </w:tc>
        <w:tc>
          <w:tcPr>
            <w:tcW w:w="1419" w:type="dxa"/>
            <w:shd w:val="clear" w:color="auto" w:fill="F7C9AC"/>
          </w:tcPr>
          <w:p w:rsidR="007C5447" w:rsidRDefault="00F6308C">
            <w:pPr>
              <w:pStyle w:val="TableParagraph"/>
              <w:spacing w:before="13"/>
              <w:ind w:left="316" w:right="306" w:firstLine="48"/>
              <w:rPr>
                <w:b/>
              </w:rPr>
            </w:pPr>
            <w:r>
              <w:rPr>
                <w:b/>
              </w:rPr>
              <w:t>Energy Charges</w:t>
            </w:r>
          </w:p>
          <w:p w:rsidR="007C5447" w:rsidRDefault="00F6308C">
            <w:pPr>
              <w:pStyle w:val="TableParagraph"/>
              <w:spacing w:line="250" w:lineRule="exact"/>
              <w:ind w:right="210"/>
              <w:rPr>
                <w:b/>
              </w:rPr>
            </w:pPr>
            <w:r>
              <w:rPr>
                <w:b/>
              </w:rPr>
              <w:t>(Rs./kWh)</w:t>
            </w:r>
          </w:p>
        </w:tc>
        <w:tc>
          <w:tcPr>
            <w:tcW w:w="1659" w:type="dxa"/>
            <w:shd w:val="clear" w:color="auto" w:fill="F7C9AC"/>
          </w:tcPr>
          <w:p w:rsidR="007C5447" w:rsidRDefault="00F6308C">
            <w:pPr>
              <w:pStyle w:val="TableParagraph"/>
              <w:spacing w:before="140"/>
              <w:ind w:left="603" w:right="122" w:hanging="459"/>
              <w:jc w:val="left"/>
              <w:rPr>
                <w:b/>
              </w:rPr>
            </w:pPr>
            <w:r>
              <w:rPr>
                <w:b/>
              </w:rPr>
              <w:t>Fixed Charges (Rs.)</w:t>
            </w:r>
          </w:p>
        </w:tc>
        <w:tc>
          <w:tcPr>
            <w:tcW w:w="1591" w:type="dxa"/>
            <w:shd w:val="clear" w:color="auto" w:fill="F7C9AC"/>
          </w:tcPr>
          <w:p w:rsidR="007C5447" w:rsidRDefault="00F6308C">
            <w:pPr>
              <w:pStyle w:val="TableParagraph"/>
              <w:spacing w:before="13"/>
              <w:ind w:left="399" w:right="395" w:firstLine="50"/>
              <w:rPr>
                <w:b/>
              </w:rPr>
            </w:pPr>
            <w:r>
              <w:rPr>
                <w:b/>
              </w:rPr>
              <w:t>Energy Charges</w:t>
            </w:r>
          </w:p>
          <w:p w:rsidR="007C5447" w:rsidRDefault="00F6308C">
            <w:pPr>
              <w:pStyle w:val="TableParagraph"/>
              <w:spacing w:line="250" w:lineRule="exact"/>
              <w:ind w:right="299"/>
              <w:rPr>
                <w:b/>
              </w:rPr>
            </w:pPr>
            <w:r>
              <w:rPr>
                <w:b/>
              </w:rPr>
              <w:t>(Rs./kWh)</w:t>
            </w:r>
          </w:p>
        </w:tc>
        <w:tc>
          <w:tcPr>
            <w:tcW w:w="1658" w:type="dxa"/>
            <w:shd w:val="clear" w:color="auto" w:fill="F7C9AC"/>
          </w:tcPr>
          <w:p w:rsidR="007C5447" w:rsidRDefault="00F6308C">
            <w:pPr>
              <w:pStyle w:val="TableParagraph"/>
              <w:spacing w:before="140"/>
              <w:ind w:left="601" w:right="123" w:hanging="459"/>
              <w:jc w:val="left"/>
              <w:rPr>
                <w:b/>
              </w:rPr>
            </w:pPr>
            <w:r>
              <w:rPr>
                <w:b/>
              </w:rPr>
              <w:t>Fixed Charges (Rs.)</w:t>
            </w:r>
          </w:p>
        </w:tc>
        <w:tc>
          <w:tcPr>
            <w:tcW w:w="1251" w:type="dxa"/>
            <w:shd w:val="clear" w:color="auto" w:fill="F7C9AC"/>
          </w:tcPr>
          <w:p w:rsidR="007C5447" w:rsidRDefault="00F6308C">
            <w:pPr>
              <w:pStyle w:val="TableParagraph"/>
              <w:spacing w:before="13"/>
              <w:ind w:left="232" w:right="222" w:firstLine="48"/>
              <w:rPr>
                <w:b/>
              </w:rPr>
            </w:pPr>
            <w:r>
              <w:rPr>
                <w:b/>
              </w:rPr>
              <w:t>Energy Charges</w:t>
            </w:r>
          </w:p>
          <w:p w:rsidR="007C5447" w:rsidRDefault="00F6308C">
            <w:pPr>
              <w:pStyle w:val="TableParagraph"/>
              <w:spacing w:line="250" w:lineRule="exact"/>
              <w:ind w:right="126"/>
              <w:rPr>
                <w:b/>
              </w:rPr>
            </w:pPr>
            <w:r>
              <w:rPr>
                <w:b/>
              </w:rPr>
              <w:t>(Rs./kWh)</w:t>
            </w:r>
          </w:p>
        </w:tc>
        <w:tc>
          <w:tcPr>
            <w:tcW w:w="1658" w:type="dxa"/>
            <w:shd w:val="clear" w:color="auto" w:fill="F7C9AC"/>
          </w:tcPr>
          <w:p w:rsidR="007C5447" w:rsidRDefault="00F6308C">
            <w:pPr>
              <w:pStyle w:val="TableParagraph"/>
              <w:spacing w:before="140"/>
              <w:ind w:left="604" w:right="120" w:hanging="459"/>
              <w:jc w:val="left"/>
              <w:rPr>
                <w:b/>
              </w:rPr>
            </w:pPr>
            <w:r>
              <w:rPr>
                <w:b/>
              </w:rPr>
              <w:t>Fixed Charges (Rs.)</w:t>
            </w:r>
          </w:p>
        </w:tc>
      </w:tr>
      <w:tr w:rsidR="007C5447">
        <w:trPr>
          <w:trHeight w:val="328"/>
        </w:trPr>
        <w:tc>
          <w:tcPr>
            <w:tcW w:w="1560" w:type="dxa"/>
          </w:tcPr>
          <w:p w:rsidR="007C5447" w:rsidRDefault="00F6308C">
            <w:pPr>
              <w:pStyle w:val="TableParagraph"/>
              <w:spacing w:before="61" w:line="248" w:lineRule="exact"/>
              <w:ind w:left="113" w:right="102"/>
              <w:jc w:val="center"/>
              <w:rPr>
                <w:b/>
              </w:rPr>
            </w:pPr>
            <w:r>
              <w:rPr>
                <w:b/>
              </w:rPr>
              <w:t>LT – IC</w:t>
            </w:r>
          </w:p>
        </w:tc>
        <w:tc>
          <w:tcPr>
            <w:tcW w:w="12213" w:type="dxa"/>
            <w:gridSpan w:val="8"/>
          </w:tcPr>
          <w:p w:rsidR="007C5447" w:rsidRDefault="00F6308C">
            <w:pPr>
              <w:pStyle w:val="TableParagraph"/>
              <w:spacing w:before="61" w:line="248" w:lineRule="exact"/>
              <w:ind w:left="108"/>
              <w:jc w:val="left"/>
              <w:rPr>
                <w:b/>
              </w:rPr>
            </w:pPr>
            <w:r>
              <w:rPr>
                <w:b/>
              </w:rPr>
              <w:t>LT Bulk Supply</w:t>
            </w:r>
          </w:p>
        </w:tc>
      </w:tr>
      <w:tr w:rsidR="007C5447">
        <w:trPr>
          <w:trHeight w:val="330"/>
        </w:trPr>
        <w:tc>
          <w:tcPr>
            <w:tcW w:w="1560" w:type="dxa"/>
          </w:tcPr>
          <w:p w:rsidR="007C5447" w:rsidRDefault="007C5447">
            <w:pPr>
              <w:pStyle w:val="TableParagraph"/>
              <w:jc w:val="left"/>
            </w:pPr>
          </w:p>
        </w:tc>
        <w:tc>
          <w:tcPr>
            <w:tcW w:w="1416" w:type="dxa"/>
          </w:tcPr>
          <w:p w:rsidR="007C5447" w:rsidRDefault="00F6308C">
            <w:pPr>
              <w:pStyle w:val="TableParagraph"/>
              <w:spacing w:before="37"/>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37"/>
              <w:ind w:right="504"/>
            </w:pPr>
            <w:r>
              <w:t>4.60</w:t>
            </w:r>
          </w:p>
        </w:tc>
        <w:tc>
          <w:tcPr>
            <w:tcW w:w="1659" w:type="dxa"/>
          </w:tcPr>
          <w:p w:rsidR="007C5447" w:rsidRDefault="00F6308C">
            <w:pPr>
              <w:pStyle w:val="TableParagraph"/>
              <w:spacing w:before="37"/>
              <w:ind w:left="85" w:right="78"/>
              <w:jc w:val="center"/>
            </w:pPr>
            <w:r>
              <w:t>60/ month</w:t>
            </w:r>
          </w:p>
        </w:tc>
        <w:tc>
          <w:tcPr>
            <w:tcW w:w="1591" w:type="dxa"/>
          </w:tcPr>
          <w:p w:rsidR="007C5447" w:rsidRDefault="00F6308C">
            <w:pPr>
              <w:pStyle w:val="TableParagraph"/>
              <w:spacing w:before="37"/>
              <w:ind w:left="601"/>
              <w:jc w:val="left"/>
            </w:pPr>
            <w:r>
              <w:t>4.60</w:t>
            </w:r>
          </w:p>
        </w:tc>
        <w:tc>
          <w:tcPr>
            <w:tcW w:w="1658" w:type="dxa"/>
          </w:tcPr>
          <w:p w:rsidR="007C5447" w:rsidRDefault="00F6308C">
            <w:pPr>
              <w:pStyle w:val="TableParagraph"/>
              <w:spacing w:before="37"/>
              <w:ind w:left="80" w:right="77"/>
              <w:jc w:val="center"/>
            </w:pPr>
            <w:r>
              <w:t>60/ month</w:t>
            </w:r>
          </w:p>
        </w:tc>
        <w:tc>
          <w:tcPr>
            <w:tcW w:w="1251" w:type="dxa"/>
          </w:tcPr>
          <w:p w:rsidR="007C5447" w:rsidRDefault="00F6308C">
            <w:pPr>
              <w:pStyle w:val="TableParagraph"/>
              <w:spacing w:before="37"/>
              <w:ind w:right="420"/>
            </w:pPr>
            <w:r>
              <w:t>4.60</w:t>
            </w:r>
          </w:p>
        </w:tc>
        <w:tc>
          <w:tcPr>
            <w:tcW w:w="1658" w:type="dxa"/>
          </w:tcPr>
          <w:p w:rsidR="007C5447" w:rsidRDefault="00F6308C">
            <w:pPr>
              <w:pStyle w:val="TableParagraph"/>
              <w:spacing w:before="37"/>
              <w:ind w:left="85" w:right="76"/>
              <w:jc w:val="center"/>
            </w:pPr>
            <w:r>
              <w:t>60/ month</w:t>
            </w:r>
          </w:p>
        </w:tc>
      </w:tr>
      <w:tr w:rsidR="007C5447">
        <w:trPr>
          <w:trHeight w:val="330"/>
        </w:trPr>
        <w:tc>
          <w:tcPr>
            <w:tcW w:w="1560" w:type="dxa"/>
          </w:tcPr>
          <w:p w:rsidR="007C5447" w:rsidRDefault="00F6308C">
            <w:pPr>
              <w:pStyle w:val="TableParagraph"/>
              <w:spacing w:before="61" w:line="250" w:lineRule="exact"/>
              <w:ind w:left="113" w:right="102"/>
              <w:jc w:val="center"/>
              <w:rPr>
                <w:b/>
              </w:rPr>
            </w:pPr>
            <w:r>
              <w:rPr>
                <w:b/>
              </w:rPr>
              <w:t>LT – IIA</w:t>
            </w:r>
          </w:p>
        </w:tc>
        <w:tc>
          <w:tcPr>
            <w:tcW w:w="12213" w:type="dxa"/>
            <w:gridSpan w:val="8"/>
          </w:tcPr>
          <w:p w:rsidR="007C5447" w:rsidRDefault="00F6308C">
            <w:pPr>
              <w:pStyle w:val="TableParagraph"/>
              <w:spacing w:before="61" w:line="250" w:lineRule="exact"/>
              <w:ind w:left="108"/>
              <w:jc w:val="left"/>
              <w:rPr>
                <w:b/>
              </w:rPr>
            </w:pPr>
            <w:r>
              <w:rPr>
                <w:b/>
              </w:rPr>
              <w:t>Public Lighting and Water Supply</w:t>
            </w:r>
          </w:p>
        </w:tc>
      </w:tr>
      <w:tr w:rsidR="007C5447">
        <w:trPr>
          <w:trHeight w:val="328"/>
        </w:trPr>
        <w:tc>
          <w:tcPr>
            <w:tcW w:w="1560" w:type="dxa"/>
          </w:tcPr>
          <w:p w:rsidR="007C5447" w:rsidRDefault="007C5447">
            <w:pPr>
              <w:pStyle w:val="TableParagraph"/>
              <w:jc w:val="left"/>
            </w:pPr>
          </w:p>
        </w:tc>
        <w:tc>
          <w:tcPr>
            <w:tcW w:w="1416" w:type="dxa"/>
          </w:tcPr>
          <w:p w:rsidR="007C5447" w:rsidRDefault="00F6308C">
            <w:pPr>
              <w:pStyle w:val="TableParagraph"/>
              <w:spacing w:before="37"/>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61" w:line="248" w:lineRule="exact"/>
              <w:ind w:right="504"/>
            </w:pPr>
            <w:r>
              <w:t>6.35</w:t>
            </w:r>
          </w:p>
        </w:tc>
        <w:tc>
          <w:tcPr>
            <w:tcW w:w="1659" w:type="dxa"/>
          </w:tcPr>
          <w:p w:rsidR="007C5447" w:rsidRDefault="00F6308C">
            <w:pPr>
              <w:pStyle w:val="TableParagraph"/>
              <w:spacing w:before="61" w:line="248" w:lineRule="exact"/>
              <w:ind w:left="87" w:right="78"/>
              <w:jc w:val="center"/>
            </w:pPr>
            <w:r>
              <w:t>60/kW/month</w:t>
            </w:r>
          </w:p>
        </w:tc>
        <w:tc>
          <w:tcPr>
            <w:tcW w:w="1591" w:type="dxa"/>
          </w:tcPr>
          <w:p w:rsidR="007C5447" w:rsidRDefault="00F6308C">
            <w:pPr>
              <w:pStyle w:val="TableParagraph"/>
              <w:spacing w:before="61" w:line="248" w:lineRule="exact"/>
              <w:ind w:left="601"/>
              <w:jc w:val="left"/>
            </w:pPr>
            <w:r>
              <w:t>6.35</w:t>
            </w:r>
          </w:p>
        </w:tc>
        <w:tc>
          <w:tcPr>
            <w:tcW w:w="1658" w:type="dxa"/>
          </w:tcPr>
          <w:p w:rsidR="007C5447" w:rsidRDefault="00F6308C">
            <w:pPr>
              <w:pStyle w:val="TableParagraph"/>
              <w:spacing w:before="61" w:line="248" w:lineRule="exact"/>
              <w:ind w:left="82" w:right="77"/>
              <w:jc w:val="center"/>
            </w:pPr>
            <w:r>
              <w:t>60/kW/month</w:t>
            </w:r>
          </w:p>
        </w:tc>
        <w:tc>
          <w:tcPr>
            <w:tcW w:w="1251" w:type="dxa"/>
          </w:tcPr>
          <w:p w:rsidR="007C5447" w:rsidRDefault="00F6308C">
            <w:pPr>
              <w:pStyle w:val="TableParagraph"/>
              <w:spacing w:before="61" w:line="248" w:lineRule="exact"/>
              <w:ind w:right="420"/>
            </w:pPr>
            <w:r>
              <w:t>6.35</w:t>
            </w:r>
          </w:p>
        </w:tc>
        <w:tc>
          <w:tcPr>
            <w:tcW w:w="1658" w:type="dxa"/>
          </w:tcPr>
          <w:p w:rsidR="007C5447" w:rsidRDefault="00F6308C">
            <w:pPr>
              <w:pStyle w:val="TableParagraph"/>
              <w:spacing w:before="61" w:line="248" w:lineRule="exact"/>
              <w:ind w:left="85" w:right="74"/>
              <w:jc w:val="center"/>
            </w:pPr>
            <w:r>
              <w:t>60/kW/month</w:t>
            </w:r>
          </w:p>
        </w:tc>
      </w:tr>
      <w:tr w:rsidR="007C5447">
        <w:trPr>
          <w:trHeight w:val="330"/>
        </w:trPr>
        <w:tc>
          <w:tcPr>
            <w:tcW w:w="1560" w:type="dxa"/>
          </w:tcPr>
          <w:p w:rsidR="007C5447" w:rsidRDefault="00F6308C">
            <w:pPr>
              <w:pStyle w:val="TableParagraph"/>
              <w:spacing w:before="61" w:line="250" w:lineRule="exact"/>
              <w:ind w:left="113" w:right="102"/>
              <w:jc w:val="center"/>
              <w:rPr>
                <w:b/>
              </w:rPr>
            </w:pPr>
            <w:r>
              <w:rPr>
                <w:b/>
              </w:rPr>
              <w:t>LT – IIB (1)</w:t>
            </w:r>
          </w:p>
        </w:tc>
        <w:tc>
          <w:tcPr>
            <w:tcW w:w="12213" w:type="dxa"/>
            <w:gridSpan w:val="8"/>
          </w:tcPr>
          <w:p w:rsidR="007C5447" w:rsidRDefault="00F6308C">
            <w:pPr>
              <w:pStyle w:val="TableParagraph"/>
              <w:spacing w:before="61" w:line="250" w:lineRule="exact"/>
              <w:ind w:left="108"/>
              <w:jc w:val="left"/>
              <w:rPr>
                <w:b/>
              </w:rPr>
            </w:pPr>
            <w:r>
              <w:rPr>
                <w:b/>
              </w:rPr>
              <w:t>Govt. Educational Institution</w:t>
            </w:r>
          </w:p>
        </w:tc>
      </w:tr>
      <w:tr w:rsidR="007C5447">
        <w:trPr>
          <w:trHeight w:val="330"/>
        </w:trPr>
        <w:tc>
          <w:tcPr>
            <w:tcW w:w="1560" w:type="dxa"/>
          </w:tcPr>
          <w:p w:rsidR="007C5447" w:rsidRDefault="007C5447">
            <w:pPr>
              <w:pStyle w:val="TableParagraph"/>
              <w:jc w:val="left"/>
            </w:pPr>
          </w:p>
        </w:tc>
        <w:tc>
          <w:tcPr>
            <w:tcW w:w="1416" w:type="dxa"/>
          </w:tcPr>
          <w:p w:rsidR="007C5447" w:rsidRDefault="00F6308C">
            <w:pPr>
              <w:pStyle w:val="TableParagraph"/>
              <w:spacing w:before="37"/>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37"/>
              <w:ind w:right="504"/>
            </w:pPr>
            <w:r>
              <w:t>5.75</w:t>
            </w:r>
          </w:p>
        </w:tc>
        <w:tc>
          <w:tcPr>
            <w:tcW w:w="1659" w:type="dxa"/>
          </w:tcPr>
          <w:p w:rsidR="007C5447" w:rsidRDefault="00F6308C">
            <w:pPr>
              <w:pStyle w:val="TableParagraph"/>
              <w:spacing w:before="37"/>
              <w:ind w:left="87" w:right="78"/>
              <w:jc w:val="center"/>
            </w:pPr>
            <w:r>
              <w:t>60/kW/month</w:t>
            </w:r>
          </w:p>
        </w:tc>
        <w:tc>
          <w:tcPr>
            <w:tcW w:w="1591" w:type="dxa"/>
          </w:tcPr>
          <w:p w:rsidR="007C5447" w:rsidRDefault="00F6308C">
            <w:pPr>
              <w:pStyle w:val="TableParagraph"/>
              <w:spacing w:before="37"/>
              <w:ind w:left="601"/>
              <w:jc w:val="left"/>
            </w:pPr>
            <w:r>
              <w:t>5.75</w:t>
            </w:r>
          </w:p>
        </w:tc>
        <w:tc>
          <w:tcPr>
            <w:tcW w:w="1658" w:type="dxa"/>
          </w:tcPr>
          <w:p w:rsidR="007C5447" w:rsidRDefault="00F6308C">
            <w:pPr>
              <w:pStyle w:val="TableParagraph"/>
              <w:spacing w:before="37"/>
              <w:ind w:left="82" w:right="77"/>
              <w:jc w:val="center"/>
            </w:pPr>
            <w:r>
              <w:t>60/kW/month</w:t>
            </w:r>
          </w:p>
        </w:tc>
        <w:tc>
          <w:tcPr>
            <w:tcW w:w="1251" w:type="dxa"/>
          </w:tcPr>
          <w:p w:rsidR="007C5447" w:rsidRDefault="00F6308C">
            <w:pPr>
              <w:pStyle w:val="TableParagraph"/>
              <w:spacing w:before="37"/>
              <w:ind w:right="420"/>
            </w:pPr>
            <w:r>
              <w:t>5.75</w:t>
            </w:r>
          </w:p>
        </w:tc>
        <w:tc>
          <w:tcPr>
            <w:tcW w:w="1658" w:type="dxa"/>
          </w:tcPr>
          <w:p w:rsidR="007C5447" w:rsidRDefault="00F6308C">
            <w:pPr>
              <w:pStyle w:val="TableParagraph"/>
              <w:spacing w:before="37"/>
              <w:ind w:left="85" w:right="74"/>
              <w:jc w:val="center"/>
            </w:pPr>
            <w:r>
              <w:t>60/kW/month</w:t>
            </w:r>
          </w:p>
        </w:tc>
      </w:tr>
      <w:tr w:rsidR="007C5447">
        <w:trPr>
          <w:trHeight w:val="328"/>
        </w:trPr>
        <w:tc>
          <w:tcPr>
            <w:tcW w:w="1560" w:type="dxa"/>
          </w:tcPr>
          <w:p w:rsidR="007C5447" w:rsidRDefault="00F6308C">
            <w:pPr>
              <w:pStyle w:val="TableParagraph"/>
              <w:spacing w:before="61" w:line="248" w:lineRule="exact"/>
              <w:ind w:left="113" w:right="105"/>
              <w:jc w:val="center"/>
              <w:rPr>
                <w:b/>
              </w:rPr>
            </w:pPr>
            <w:r>
              <w:rPr>
                <w:b/>
              </w:rPr>
              <w:t>LT - IIB (2)</w:t>
            </w:r>
          </w:p>
        </w:tc>
        <w:tc>
          <w:tcPr>
            <w:tcW w:w="12213" w:type="dxa"/>
            <w:gridSpan w:val="8"/>
          </w:tcPr>
          <w:p w:rsidR="007C5447" w:rsidRDefault="00F6308C">
            <w:pPr>
              <w:pStyle w:val="TableParagraph"/>
              <w:spacing w:before="61" w:line="248" w:lineRule="exact"/>
              <w:ind w:left="108"/>
              <w:jc w:val="left"/>
              <w:rPr>
                <w:b/>
              </w:rPr>
            </w:pPr>
            <w:r>
              <w:rPr>
                <w:b/>
              </w:rPr>
              <w:t>Pvt. Educational Institution</w:t>
            </w:r>
          </w:p>
        </w:tc>
      </w:tr>
      <w:tr w:rsidR="007C5447">
        <w:trPr>
          <w:trHeight w:val="330"/>
        </w:trPr>
        <w:tc>
          <w:tcPr>
            <w:tcW w:w="1560" w:type="dxa"/>
          </w:tcPr>
          <w:p w:rsidR="007C5447" w:rsidRDefault="007C5447">
            <w:pPr>
              <w:pStyle w:val="TableParagraph"/>
              <w:jc w:val="left"/>
            </w:pPr>
          </w:p>
        </w:tc>
        <w:tc>
          <w:tcPr>
            <w:tcW w:w="1416" w:type="dxa"/>
          </w:tcPr>
          <w:p w:rsidR="007C5447" w:rsidRDefault="00F6308C">
            <w:pPr>
              <w:pStyle w:val="TableParagraph"/>
              <w:spacing w:before="37"/>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37"/>
              <w:ind w:right="504"/>
            </w:pPr>
            <w:r>
              <w:t>7.50</w:t>
            </w:r>
          </w:p>
        </w:tc>
        <w:tc>
          <w:tcPr>
            <w:tcW w:w="1659" w:type="dxa"/>
          </w:tcPr>
          <w:p w:rsidR="007C5447" w:rsidRDefault="00F6308C">
            <w:pPr>
              <w:pStyle w:val="TableParagraph"/>
              <w:spacing w:before="37"/>
              <w:ind w:left="87" w:right="78"/>
              <w:jc w:val="center"/>
            </w:pPr>
            <w:r>
              <w:t>60/kW/month</w:t>
            </w:r>
          </w:p>
        </w:tc>
        <w:tc>
          <w:tcPr>
            <w:tcW w:w="1591" w:type="dxa"/>
          </w:tcPr>
          <w:p w:rsidR="007C5447" w:rsidRDefault="00F6308C">
            <w:pPr>
              <w:pStyle w:val="TableParagraph"/>
              <w:spacing w:before="37"/>
              <w:ind w:left="601"/>
              <w:jc w:val="left"/>
            </w:pPr>
            <w:r>
              <w:t>7.50</w:t>
            </w:r>
          </w:p>
        </w:tc>
        <w:tc>
          <w:tcPr>
            <w:tcW w:w="1658" w:type="dxa"/>
          </w:tcPr>
          <w:p w:rsidR="007C5447" w:rsidRDefault="00F6308C">
            <w:pPr>
              <w:pStyle w:val="TableParagraph"/>
              <w:spacing w:before="37"/>
              <w:ind w:left="82" w:right="77"/>
              <w:jc w:val="center"/>
            </w:pPr>
            <w:r>
              <w:t>60/kW/month</w:t>
            </w:r>
          </w:p>
        </w:tc>
        <w:tc>
          <w:tcPr>
            <w:tcW w:w="1251" w:type="dxa"/>
          </w:tcPr>
          <w:p w:rsidR="007C5447" w:rsidRDefault="00F6308C">
            <w:pPr>
              <w:pStyle w:val="TableParagraph"/>
              <w:spacing w:before="37"/>
              <w:ind w:right="420"/>
            </w:pPr>
            <w:r>
              <w:t>7.50</w:t>
            </w:r>
          </w:p>
        </w:tc>
        <w:tc>
          <w:tcPr>
            <w:tcW w:w="1658" w:type="dxa"/>
          </w:tcPr>
          <w:p w:rsidR="007C5447" w:rsidRDefault="00F6308C">
            <w:pPr>
              <w:pStyle w:val="TableParagraph"/>
              <w:spacing w:before="37"/>
              <w:ind w:left="85" w:right="74"/>
              <w:jc w:val="center"/>
            </w:pPr>
            <w:r>
              <w:t>60/kW/month</w:t>
            </w:r>
          </w:p>
        </w:tc>
      </w:tr>
      <w:tr w:rsidR="007C5447">
        <w:trPr>
          <w:trHeight w:val="330"/>
        </w:trPr>
        <w:tc>
          <w:tcPr>
            <w:tcW w:w="1560" w:type="dxa"/>
          </w:tcPr>
          <w:p w:rsidR="007C5447" w:rsidRDefault="00F6308C">
            <w:pPr>
              <w:pStyle w:val="TableParagraph"/>
              <w:spacing w:before="61" w:line="250" w:lineRule="exact"/>
              <w:ind w:left="113" w:right="100"/>
              <w:jc w:val="center"/>
              <w:rPr>
                <w:b/>
              </w:rPr>
            </w:pPr>
            <w:r>
              <w:rPr>
                <w:b/>
              </w:rPr>
              <w:t>LT - IIC</w:t>
            </w:r>
          </w:p>
        </w:tc>
        <w:tc>
          <w:tcPr>
            <w:tcW w:w="12213" w:type="dxa"/>
            <w:gridSpan w:val="8"/>
          </w:tcPr>
          <w:p w:rsidR="007C5447" w:rsidRDefault="00F6308C">
            <w:pPr>
              <w:pStyle w:val="TableParagraph"/>
              <w:spacing w:before="61" w:line="250" w:lineRule="exact"/>
              <w:ind w:left="108"/>
              <w:jc w:val="left"/>
              <w:rPr>
                <w:b/>
              </w:rPr>
            </w:pPr>
            <w:r>
              <w:rPr>
                <w:b/>
              </w:rPr>
              <w:t>Places of Worship</w:t>
            </w:r>
          </w:p>
        </w:tc>
      </w:tr>
      <w:tr w:rsidR="007C5447">
        <w:trPr>
          <w:trHeight w:val="328"/>
        </w:trPr>
        <w:tc>
          <w:tcPr>
            <w:tcW w:w="1560" w:type="dxa"/>
          </w:tcPr>
          <w:p w:rsidR="007C5447" w:rsidRDefault="007C5447">
            <w:pPr>
              <w:pStyle w:val="TableParagraph"/>
              <w:jc w:val="left"/>
            </w:pPr>
          </w:p>
        </w:tc>
        <w:tc>
          <w:tcPr>
            <w:tcW w:w="1416" w:type="dxa"/>
          </w:tcPr>
          <w:p w:rsidR="007C5447" w:rsidRDefault="00F6308C">
            <w:pPr>
              <w:pStyle w:val="TableParagraph"/>
              <w:spacing w:before="37"/>
              <w:ind w:left="108"/>
              <w:jc w:val="left"/>
            </w:pPr>
            <w:r>
              <w:t>0-60 kWh</w:t>
            </w:r>
          </w:p>
        </w:tc>
        <w:tc>
          <w:tcPr>
            <w:tcW w:w="1561" w:type="dxa"/>
          </w:tcPr>
          <w:p w:rsidR="007C5447" w:rsidRDefault="007C5447">
            <w:pPr>
              <w:pStyle w:val="TableParagraph"/>
              <w:jc w:val="left"/>
            </w:pPr>
          </w:p>
        </w:tc>
        <w:tc>
          <w:tcPr>
            <w:tcW w:w="1419" w:type="dxa"/>
          </w:tcPr>
          <w:p w:rsidR="007C5447" w:rsidRDefault="00F6308C">
            <w:pPr>
              <w:pStyle w:val="TableParagraph"/>
              <w:spacing w:before="37"/>
              <w:ind w:right="504"/>
            </w:pPr>
            <w:r>
              <w:t>5.75</w:t>
            </w:r>
          </w:p>
        </w:tc>
        <w:tc>
          <w:tcPr>
            <w:tcW w:w="1659" w:type="dxa"/>
          </w:tcPr>
          <w:p w:rsidR="007C5447" w:rsidRDefault="00F6308C">
            <w:pPr>
              <w:pStyle w:val="TableParagraph"/>
              <w:spacing w:before="37"/>
              <w:ind w:left="87" w:right="78"/>
              <w:jc w:val="center"/>
            </w:pPr>
            <w:r>
              <w:t>60/kW/month</w:t>
            </w:r>
          </w:p>
        </w:tc>
        <w:tc>
          <w:tcPr>
            <w:tcW w:w="1591" w:type="dxa"/>
          </w:tcPr>
          <w:p w:rsidR="007C5447" w:rsidRDefault="00F6308C">
            <w:pPr>
              <w:pStyle w:val="TableParagraph"/>
              <w:spacing w:before="37"/>
              <w:ind w:left="601"/>
              <w:jc w:val="left"/>
            </w:pPr>
            <w:r>
              <w:t>5.75</w:t>
            </w:r>
          </w:p>
        </w:tc>
        <w:tc>
          <w:tcPr>
            <w:tcW w:w="1658" w:type="dxa"/>
          </w:tcPr>
          <w:p w:rsidR="007C5447" w:rsidRDefault="00F6308C">
            <w:pPr>
              <w:pStyle w:val="TableParagraph"/>
              <w:spacing w:before="37"/>
              <w:ind w:left="82" w:right="77"/>
              <w:jc w:val="center"/>
            </w:pPr>
            <w:r>
              <w:t>60/kW/month</w:t>
            </w:r>
          </w:p>
        </w:tc>
        <w:tc>
          <w:tcPr>
            <w:tcW w:w="1251" w:type="dxa"/>
          </w:tcPr>
          <w:p w:rsidR="007C5447" w:rsidRDefault="00F6308C">
            <w:pPr>
              <w:pStyle w:val="TableParagraph"/>
              <w:spacing w:before="37"/>
              <w:ind w:right="420"/>
            </w:pPr>
            <w:r>
              <w:t>5.75</w:t>
            </w:r>
          </w:p>
        </w:tc>
        <w:tc>
          <w:tcPr>
            <w:tcW w:w="1658" w:type="dxa"/>
          </w:tcPr>
          <w:p w:rsidR="007C5447" w:rsidRDefault="00F6308C">
            <w:pPr>
              <w:pStyle w:val="TableParagraph"/>
              <w:spacing w:before="37"/>
              <w:ind w:left="85" w:right="74"/>
              <w:jc w:val="center"/>
            </w:pPr>
            <w:r>
              <w:t>60/kW/month</w:t>
            </w:r>
          </w:p>
        </w:tc>
      </w:tr>
      <w:tr w:rsidR="007C5447">
        <w:trPr>
          <w:trHeight w:val="537"/>
        </w:trPr>
        <w:tc>
          <w:tcPr>
            <w:tcW w:w="1560" w:type="dxa"/>
          </w:tcPr>
          <w:p w:rsidR="007C5447" w:rsidRDefault="007C5447">
            <w:pPr>
              <w:pStyle w:val="TableParagraph"/>
              <w:jc w:val="left"/>
            </w:pPr>
          </w:p>
        </w:tc>
        <w:tc>
          <w:tcPr>
            <w:tcW w:w="1416" w:type="dxa"/>
          </w:tcPr>
          <w:p w:rsidR="007C5447" w:rsidRDefault="00F6308C">
            <w:pPr>
              <w:pStyle w:val="TableParagraph"/>
              <w:spacing w:before="19" w:line="252" w:lineRule="exact"/>
              <w:ind w:left="108" w:right="416"/>
              <w:jc w:val="left"/>
            </w:pPr>
            <w:r>
              <w:t>Above 60 kWh</w:t>
            </w:r>
          </w:p>
        </w:tc>
        <w:tc>
          <w:tcPr>
            <w:tcW w:w="1561" w:type="dxa"/>
          </w:tcPr>
          <w:p w:rsidR="007C5447" w:rsidRDefault="007C5447">
            <w:pPr>
              <w:pStyle w:val="TableParagraph"/>
              <w:jc w:val="left"/>
            </w:pPr>
          </w:p>
        </w:tc>
        <w:tc>
          <w:tcPr>
            <w:tcW w:w="1419" w:type="dxa"/>
          </w:tcPr>
          <w:p w:rsidR="007C5447" w:rsidRDefault="007C5447">
            <w:pPr>
              <w:pStyle w:val="TableParagraph"/>
              <w:spacing w:before="3"/>
              <w:jc w:val="left"/>
              <w:rPr>
                <w:sz w:val="23"/>
              </w:rPr>
            </w:pPr>
          </w:p>
          <w:p w:rsidR="007C5447" w:rsidRDefault="00F6308C">
            <w:pPr>
              <w:pStyle w:val="TableParagraph"/>
              <w:spacing w:line="250" w:lineRule="exact"/>
              <w:ind w:right="504"/>
            </w:pPr>
            <w:r>
              <w:t>5.75</w:t>
            </w:r>
          </w:p>
        </w:tc>
        <w:tc>
          <w:tcPr>
            <w:tcW w:w="1659" w:type="dxa"/>
          </w:tcPr>
          <w:p w:rsidR="007C5447" w:rsidRDefault="007C5447">
            <w:pPr>
              <w:pStyle w:val="TableParagraph"/>
              <w:spacing w:before="3"/>
              <w:jc w:val="left"/>
              <w:rPr>
                <w:sz w:val="23"/>
              </w:rPr>
            </w:pPr>
          </w:p>
          <w:p w:rsidR="007C5447" w:rsidRDefault="00F6308C">
            <w:pPr>
              <w:pStyle w:val="TableParagraph"/>
              <w:spacing w:line="250" w:lineRule="exact"/>
              <w:ind w:left="87" w:right="78"/>
              <w:jc w:val="center"/>
            </w:pPr>
            <w:r>
              <w:t>60/kW/month</w:t>
            </w:r>
          </w:p>
        </w:tc>
        <w:tc>
          <w:tcPr>
            <w:tcW w:w="1591" w:type="dxa"/>
          </w:tcPr>
          <w:p w:rsidR="007C5447" w:rsidRDefault="007C5447">
            <w:pPr>
              <w:pStyle w:val="TableParagraph"/>
              <w:spacing w:before="3"/>
              <w:jc w:val="left"/>
              <w:rPr>
                <w:sz w:val="23"/>
              </w:rPr>
            </w:pPr>
          </w:p>
          <w:p w:rsidR="007C5447" w:rsidRDefault="00F6308C">
            <w:pPr>
              <w:pStyle w:val="TableParagraph"/>
              <w:spacing w:line="250" w:lineRule="exact"/>
              <w:ind w:left="601"/>
              <w:jc w:val="left"/>
            </w:pPr>
            <w:r>
              <w:t>5.75</w:t>
            </w:r>
          </w:p>
        </w:tc>
        <w:tc>
          <w:tcPr>
            <w:tcW w:w="1658" w:type="dxa"/>
          </w:tcPr>
          <w:p w:rsidR="007C5447" w:rsidRDefault="007C5447">
            <w:pPr>
              <w:pStyle w:val="TableParagraph"/>
              <w:spacing w:before="3"/>
              <w:jc w:val="left"/>
              <w:rPr>
                <w:sz w:val="23"/>
              </w:rPr>
            </w:pPr>
          </w:p>
          <w:p w:rsidR="007C5447" w:rsidRDefault="00F6308C">
            <w:pPr>
              <w:pStyle w:val="TableParagraph"/>
              <w:spacing w:line="250" w:lineRule="exact"/>
              <w:ind w:left="82" w:right="77"/>
              <w:jc w:val="center"/>
            </w:pPr>
            <w:r>
              <w:t>60/kW/month</w:t>
            </w:r>
          </w:p>
        </w:tc>
        <w:tc>
          <w:tcPr>
            <w:tcW w:w="1251" w:type="dxa"/>
          </w:tcPr>
          <w:p w:rsidR="007C5447" w:rsidRDefault="007C5447">
            <w:pPr>
              <w:pStyle w:val="TableParagraph"/>
              <w:spacing w:before="3"/>
              <w:jc w:val="left"/>
              <w:rPr>
                <w:sz w:val="23"/>
              </w:rPr>
            </w:pPr>
          </w:p>
          <w:p w:rsidR="007C5447" w:rsidRDefault="00F6308C">
            <w:pPr>
              <w:pStyle w:val="TableParagraph"/>
              <w:spacing w:line="250" w:lineRule="exact"/>
              <w:ind w:right="420"/>
            </w:pPr>
            <w:r>
              <w:t>5.75</w:t>
            </w:r>
          </w:p>
        </w:tc>
        <w:tc>
          <w:tcPr>
            <w:tcW w:w="1658" w:type="dxa"/>
          </w:tcPr>
          <w:p w:rsidR="007C5447" w:rsidRDefault="007C5447">
            <w:pPr>
              <w:pStyle w:val="TableParagraph"/>
              <w:spacing w:before="3"/>
              <w:jc w:val="left"/>
              <w:rPr>
                <w:sz w:val="23"/>
              </w:rPr>
            </w:pPr>
          </w:p>
          <w:p w:rsidR="007C5447" w:rsidRDefault="00F6308C">
            <w:pPr>
              <w:pStyle w:val="TableParagraph"/>
              <w:spacing w:line="250" w:lineRule="exact"/>
              <w:ind w:left="85" w:right="74"/>
              <w:jc w:val="center"/>
            </w:pPr>
            <w:r>
              <w:t>60/kW/month</w:t>
            </w:r>
          </w:p>
        </w:tc>
      </w:tr>
      <w:tr w:rsidR="007C5447">
        <w:trPr>
          <w:trHeight w:val="328"/>
        </w:trPr>
        <w:tc>
          <w:tcPr>
            <w:tcW w:w="1560" w:type="dxa"/>
          </w:tcPr>
          <w:p w:rsidR="007C5447" w:rsidRDefault="00F6308C">
            <w:pPr>
              <w:pStyle w:val="TableParagraph"/>
              <w:spacing w:before="61" w:line="248" w:lineRule="exact"/>
              <w:ind w:left="113" w:right="102"/>
              <w:jc w:val="center"/>
              <w:rPr>
                <w:b/>
              </w:rPr>
            </w:pPr>
            <w:r>
              <w:rPr>
                <w:b/>
              </w:rPr>
              <w:t>LT - IIIA (1)</w:t>
            </w:r>
          </w:p>
        </w:tc>
        <w:tc>
          <w:tcPr>
            <w:tcW w:w="12213" w:type="dxa"/>
            <w:gridSpan w:val="8"/>
          </w:tcPr>
          <w:p w:rsidR="007C5447" w:rsidRDefault="00F6308C">
            <w:pPr>
              <w:pStyle w:val="TableParagraph"/>
              <w:spacing w:before="61" w:line="248" w:lineRule="exact"/>
              <w:ind w:left="108"/>
              <w:jc w:val="left"/>
              <w:rPr>
                <w:b/>
              </w:rPr>
            </w:pPr>
            <w:r>
              <w:rPr>
                <w:b/>
              </w:rPr>
              <w:t>Cottage and Tiny Industries</w:t>
            </w:r>
          </w:p>
        </w:tc>
      </w:tr>
      <w:tr w:rsidR="007C5447">
        <w:trPr>
          <w:trHeight w:val="330"/>
        </w:trPr>
        <w:tc>
          <w:tcPr>
            <w:tcW w:w="1560" w:type="dxa"/>
          </w:tcPr>
          <w:p w:rsidR="007C5447" w:rsidRDefault="007C5447">
            <w:pPr>
              <w:pStyle w:val="TableParagraph"/>
              <w:jc w:val="left"/>
            </w:pPr>
          </w:p>
        </w:tc>
        <w:tc>
          <w:tcPr>
            <w:tcW w:w="1416" w:type="dxa"/>
          </w:tcPr>
          <w:p w:rsidR="007C5447" w:rsidRDefault="00F6308C">
            <w:pPr>
              <w:pStyle w:val="TableParagraph"/>
              <w:spacing w:before="39"/>
              <w:ind w:left="108"/>
              <w:jc w:val="left"/>
            </w:pPr>
            <w:r>
              <w:t>0-250 kWh</w:t>
            </w:r>
          </w:p>
        </w:tc>
        <w:tc>
          <w:tcPr>
            <w:tcW w:w="1561" w:type="dxa"/>
          </w:tcPr>
          <w:p w:rsidR="007C5447" w:rsidRDefault="007C5447">
            <w:pPr>
              <w:pStyle w:val="TableParagraph"/>
              <w:jc w:val="left"/>
            </w:pPr>
          </w:p>
        </w:tc>
        <w:tc>
          <w:tcPr>
            <w:tcW w:w="1419" w:type="dxa"/>
          </w:tcPr>
          <w:p w:rsidR="007C5447" w:rsidRDefault="00F6308C">
            <w:pPr>
              <w:pStyle w:val="TableParagraph"/>
              <w:spacing w:before="39"/>
              <w:ind w:right="504"/>
            </w:pPr>
            <w:r>
              <w:t>4.00</w:t>
            </w:r>
          </w:p>
        </w:tc>
        <w:tc>
          <w:tcPr>
            <w:tcW w:w="1659" w:type="dxa"/>
          </w:tcPr>
          <w:p w:rsidR="007C5447" w:rsidRDefault="00F6308C">
            <w:pPr>
              <w:pStyle w:val="TableParagraph"/>
              <w:spacing w:before="39"/>
              <w:ind w:left="87" w:right="78"/>
              <w:jc w:val="center"/>
            </w:pPr>
            <w:r>
              <w:t>20/kW/month</w:t>
            </w:r>
          </w:p>
        </w:tc>
        <w:tc>
          <w:tcPr>
            <w:tcW w:w="1591" w:type="dxa"/>
          </w:tcPr>
          <w:p w:rsidR="007C5447" w:rsidRDefault="00F6308C">
            <w:pPr>
              <w:pStyle w:val="TableParagraph"/>
              <w:spacing w:before="39"/>
              <w:ind w:left="601"/>
              <w:jc w:val="left"/>
            </w:pPr>
            <w:r>
              <w:t>4.00</w:t>
            </w:r>
          </w:p>
        </w:tc>
        <w:tc>
          <w:tcPr>
            <w:tcW w:w="1658" w:type="dxa"/>
          </w:tcPr>
          <w:p w:rsidR="007C5447" w:rsidRDefault="00F6308C">
            <w:pPr>
              <w:pStyle w:val="TableParagraph"/>
              <w:spacing w:before="39"/>
              <w:ind w:left="82" w:right="77"/>
              <w:jc w:val="center"/>
            </w:pPr>
            <w:r>
              <w:t>20/kW/month</w:t>
            </w:r>
          </w:p>
        </w:tc>
        <w:tc>
          <w:tcPr>
            <w:tcW w:w="1251" w:type="dxa"/>
          </w:tcPr>
          <w:p w:rsidR="007C5447" w:rsidRDefault="00F6308C">
            <w:pPr>
              <w:pStyle w:val="TableParagraph"/>
              <w:spacing w:before="39"/>
              <w:ind w:right="420"/>
            </w:pPr>
            <w:r>
              <w:t>4.00</w:t>
            </w:r>
          </w:p>
        </w:tc>
        <w:tc>
          <w:tcPr>
            <w:tcW w:w="1658" w:type="dxa"/>
          </w:tcPr>
          <w:p w:rsidR="007C5447" w:rsidRDefault="00F6308C">
            <w:pPr>
              <w:pStyle w:val="TableParagraph"/>
              <w:spacing w:before="39"/>
              <w:ind w:left="85" w:right="74"/>
              <w:jc w:val="center"/>
            </w:pPr>
            <w:r>
              <w:t>20/kW/month</w:t>
            </w:r>
          </w:p>
        </w:tc>
      </w:tr>
      <w:tr w:rsidR="007C5447">
        <w:trPr>
          <w:trHeight w:val="537"/>
        </w:trPr>
        <w:tc>
          <w:tcPr>
            <w:tcW w:w="1560" w:type="dxa"/>
          </w:tcPr>
          <w:p w:rsidR="007C5447" w:rsidRDefault="007C5447">
            <w:pPr>
              <w:pStyle w:val="TableParagraph"/>
              <w:jc w:val="left"/>
            </w:pPr>
          </w:p>
        </w:tc>
        <w:tc>
          <w:tcPr>
            <w:tcW w:w="1416" w:type="dxa"/>
          </w:tcPr>
          <w:p w:rsidR="007C5447" w:rsidRDefault="00F6308C">
            <w:pPr>
              <w:pStyle w:val="TableParagraph"/>
              <w:spacing w:before="13" w:line="250" w:lineRule="atLeast"/>
              <w:ind w:left="108" w:right="306"/>
              <w:jc w:val="left"/>
            </w:pPr>
            <w:r>
              <w:t>Above 250 kWh</w:t>
            </w:r>
          </w:p>
        </w:tc>
        <w:tc>
          <w:tcPr>
            <w:tcW w:w="1561" w:type="dxa"/>
          </w:tcPr>
          <w:p w:rsidR="007C5447" w:rsidRDefault="007C5447">
            <w:pPr>
              <w:pStyle w:val="TableParagraph"/>
              <w:jc w:val="left"/>
            </w:pPr>
          </w:p>
        </w:tc>
        <w:tc>
          <w:tcPr>
            <w:tcW w:w="1419" w:type="dxa"/>
          </w:tcPr>
          <w:p w:rsidR="007C5447" w:rsidRDefault="00F6308C">
            <w:pPr>
              <w:pStyle w:val="TableParagraph"/>
              <w:spacing w:before="140"/>
              <w:ind w:right="504"/>
            </w:pPr>
            <w:r>
              <w:t>4.60</w:t>
            </w:r>
          </w:p>
        </w:tc>
        <w:tc>
          <w:tcPr>
            <w:tcW w:w="1659" w:type="dxa"/>
          </w:tcPr>
          <w:p w:rsidR="007C5447" w:rsidRDefault="00F6308C">
            <w:pPr>
              <w:pStyle w:val="TableParagraph"/>
              <w:spacing w:before="140"/>
              <w:ind w:left="87" w:right="78"/>
              <w:jc w:val="center"/>
            </w:pPr>
            <w:r>
              <w:t>20/kW/month</w:t>
            </w:r>
          </w:p>
        </w:tc>
        <w:tc>
          <w:tcPr>
            <w:tcW w:w="1591" w:type="dxa"/>
          </w:tcPr>
          <w:p w:rsidR="007C5447" w:rsidRDefault="00F6308C">
            <w:pPr>
              <w:pStyle w:val="TableParagraph"/>
              <w:spacing w:before="140"/>
              <w:ind w:left="601"/>
              <w:jc w:val="left"/>
            </w:pPr>
            <w:r>
              <w:t>4.60</w:t>
            </w:r>
          </w:p>
        </w:tc>
        <w:tc>
          <w:tcPr>
            <w:tcW w:w="1658" w:type="dxa"/>
          </w:tcPr>
          <w:p w:rsidR="007C5447" w:rsidRDefault="00F6308C">
            <w:pPr>
              <w:pStyle w:val="TableParagraph"/>
              <w:spacing w:before="140"/>
              <w:ind w:left="82" w:right="77"/>
              <w:jc w:val="center"/>
            </w:pPr>
            <w:r>
              <w:t>20/kW/month</w:t>
            </w:r>
          </w:p>
        </w:tc>
        <w:tc>
          <w:tcPr>
            <w:tcW w:w="1251" w:type="dxa"/>
          </w:tcPr>
          <w:p w:rsidR="007C5447" w:rsidRDefault="00F6308C">
            <w:pPr>
              <w:pStyle w:val="TableParagraph"/>
              <w:spacing w:before="140"/>
              <w:ind w:right="420"/>
            </w:pPr>
            <w:r>
              <w:t>4.60</w:t>
            </w:r>
          </w:p>
        </w:tc>
        <w:tc>
          <w:tcPr>
            <w:tcW w:w="1658" w:type="dxa"/>
          </w:tcPr>
          <w:p w:rsidR="007C5447" w:rsidRDefault="00F6308C">
            <w:pPr>
              <w:pStyle w:val="TableParagraph"/>
              <w:spacing w:before="140"/>
              <w:ind w:left="85" w:right="74"/>
              <w:jc w:val="center"/>
            </w:pPr>
            <w:r>
              <w:t>20/kW/month</w:t>
            </w:r>
          </w:p>
        </w:tc>
      </w:tr>
      <w:tr w:rsidR="007C5447">
        <w:trPr>
          <w:trHeight w:val="328"/>
        </w:trPr>
        <w:tc>
          <w:tcPr>
            <w:tcW w:w="1560" w:type="dxa"/>
          </w:tcPr>
          <w:p w:rsidR="007C5447" w:rsidRDefault="00F6308C">
            <w:pPr>
              <w:pStyle w:val="TableParagraph"/>
              <w:spacing w:before="61" w:line="248" w:lineRule="exact"/>
              <w:ind w:left="113" w:right="102"/>
              <w:jc w:val="center"/>
              <w:rPr>
                <w:b/>
              </w:rPr>
            </w:pPr>
            <w:r>
              <w:rPr>
                <w:b/>
              </w:rPr>
              <w:t>LT - IIIA (2)</w:t>
            </w:r>
          </w:p>
        </w:tc>
        <w:tc>
          <w:tcPr>
            <w:tcW w:w="12213" w:type="dxa"/>
            <w:gridSpan w:val="8"/>
          </w:tcPr>
          <w:p w:rsidR="007C5447" w:rsidRDefault="00F6308C">
            <w:pPr>
              <w:pStyle w:val="TableParagraph"/>
              <w:spacing w:before="61" w:line="248" w:lineRule="exact"/>
              <w:ind w:left="108"/>
              <w:jc w:val="left"/>
              <w:rPr>
                <w:b/>
              </w:rPr>
            </w:pPr>
            <w:r>
              <w:rPr>
                <w:b/>
              </w:rPr>
              <w:t>Power Looms</w:t>
            </w:r>
          </w:p>
        </w:tc>
      </w:tr>
      <w:tr w:rsidR="007C5447">
        <w:trPr>
          <w:trHeight w:val="330"/>
        </w:trPr>
        <w:tc>
          <w:tcPr>
            <w:tcW w:w="1560" w:type="dxa"/>
          </w:tcPr>
          <w:p w:rsidR="007C5447" w:rsidRDefault="007C5447">
            <w:pPr>
              <w:pStyle w:val="TableParagraph"/>
              <w:jc w:val="left"/>
            </w:pPr>
          </w:p>
        </w:tc>
        <w:tc>
          <w:tcPr>
            <w:tcW w:w="1416" w:type="dxa"/>
          </w:tcPr>
          <w:p w:rsidR="007C5447" w:rsidRDefault="00F6308C">
            <w:pPr>
              <w:pStyle w:val="TableParagraph"/>
              <w:spacing w:before="37"/>
              <w:ind w:left="108"/>
              <w:jc w:val="left"/>
            </w:pPr>
            <w:r>
              <w:t>0-250 kWh</w:t>
            </w:r>
          </w:p>
        </w:tc>
        <w:tc>
          <w:tcPr>
            <w:tcW w:w="1561" w:type="dxa"/>
          </w:tcPr>
          <w:p w:rsidR="007C5447" w:rsidRDefault="007C5447">
            <w:pPr>
              <w:pStyle w:val="TableParagraph"/>
              <w:jc w:val="left"/>
            </w:pPr>
          </w:p>
        </w:tc>
        <w:tc>
          <w:tcPr>
            <w:tcW w:w="1419" w:type="dxa"/>
          </w:tcPr>
          <w:p w:rsidR="007C5447" w:rsidRDefault="00F6308C">
            <w:pPr>
              <w:pStyle w:val="TableParagraph"/>
              <w:spacing w:before="37"/>
              <w:ind w:right="504"/>
            </w:pPr>
            <w:r>
              <w:t>5.20</w:t>
            </w:r>
          </w:p>
        </w:tc>
        <w:tc>
          <w:tcPr>
            <w:tcW w:w="1659" w:type="dxa"/>
          </w:tcPr>
          <w:p w:rsidR="007C5447" w:rsidRDefault="00F6308C">
            <w:pPr>
              <w:pStyle w:val="TableParagraph"/>
              <w:spacing w:before="37"/>
              <w:ind w:left="87" w:right="78"/>
              <w:jc w:val="center"/>
            </w:pPr>
            <w:r>
              <w:t>60/kW/month</w:t>
            </w:r>
          </w:p>
        </w:tc>
        <w:tc>
          <w:tcPr>
            <w:tcW w:w="1591" w:type="dxa"/>
          </w:tcPr>
          <w:p w:rsidR="007C5447" w:rsidRDefault="00F6308C">
            <w:pPr>
              <w:pStyle w:val="TableParagraph"/>
              <w:spacing w:before="37"/>
              <w:ind w:left="601"/>
              <w:jc w:val="left"/>
            </w:pPr>
            <w:r>
              <w:t>5.20</w:t>
            </w:r>
          </w:p>
        </w:tc>
        <w:tc>
          <w:tcPr>
            <w:tcW w:w="1658" w:type="dxa"/>
          </w:tcPr>
          <w:p w:rsidR="007C5447" w:rsidRDefault="00F6308C">
            <w:pPr>
              <w:pStyle w:val="TableParagraph"/>
              <w:spacing w:before="37"/>
              <w:ind w:left="82" w:right="77"/>
              <w:jc w:val="center"/>
            </w:pPr>
            <w:r>
              <w:t>60/kW/month</w:t>
            </w:r>
          </w:p>
        </w:tc>
        <w:tc>
          <w:tcPr>
            <w:tcW w:w="1251" w:type="dxa"/>
          </w:tcPr>
          <w:p w:rsidR="007C5447" w:rsidRDefault="00F6308C">
            <w:pPr>
              <w:pStyle w:val="TableParagraph"/>
              <w:spacing w:before="37"/>
              <w:ind w:right="420"/>
            </w:pPr>
            <w:r>
              <w:t>5.20</w:t>
            </w:r>
          </w:p>
        </w:tc>
        <w:tc>
          <w:tcPr>
            <w:tcW w:w="1658" w:type="dxa"/>
          </w:tcPr>
          <w:p w:rsidR="007C5447" w:rsidRDefault="00F6308C">
            <w:pPr>
              <w:pStyle w:val="TableParagraph"/>
              <w:spacing w:before="37"/>
              <w:ind w:left="85" w:right="74"/>
              <w:jc w:val="center"/>
            </w:pPr>
            <w:r>
              <w:t>60/kW/month</w:t>
            </w:r>
          </w:p>
        </w:tc>
      </w:tr>
      <w:tr w:rsidR="007C5447">
        <w:trPr>
          <w:trHeight w:val="535"/>
        </w:trPr>
        <w:tc>
          <w:tcPr>
            <w:tcW w:w="1560" w:type="dxa"/>
          </w:tcPr>
          <w:p w:rsidR="007C5447" w:rsidRDefault="007C5447">
            <w:pPr>
              <w:pStyle w:val="TableParagraph"/>
              <w:jc w:val="left"/>
            </w:pPr>
          </w:p>
        </w:tc>
        <w:tc>
          <w:tcPr>
            <w:tcW w:w="1416" w:type="dxa"/>
          </w:tcPr>
          <w:p w:rsidR="007C5447" w:rsidRDefault="00F6308C">
            <w:pPr>
              <w:pStyle w:val="TableParagraph"/>
              <w:spacing w:before="13" w:line="250" w:lineRule="atLeast"/>
              <w:ind w:left="108" w:right="306"/>
              <w:jc w:val="left"/>
            </w:pPr>
            <w:r>
              <w:t>Above 250 kWh</w:t>
            </w:r>
          </w:p>
        </w:tc>
        <w:tc>
          <w:tcPr>
            <w:tcW w:w="1561" w:type="dxa"/>
          </w:tcPr>
          <w:p w:rsidR="007C5447" w:rsidRDefault="007C5447">
            <w:pPr>
              <w:pStyle w:val="TableParagraph"/>
              <w:jc w:val="left"/>
            </w:pPr>
          </w:p>
        </w:tc>
        <w:tc>
          <w:tcPr>
            <w:tcW w:w="1419" w:type="dxa"/>
          </w:tcPr>
          <w:p w:rsidR="007C5447" w:rsidRDefault="00F6308C">
            <w:pPr>
              <w:pStyle w:val="TableParagraph"/>
              <w:spacing w:before="140"/>
              <w:ind w:right="504"/>
            </w:pPr>
            <w:r>
              <w:t>5.75</w:t>
            </w:r>
          </w:p>
        </w:tc>
        <w:tc>
          <w:tcPr>
            <w:tcW w:w="1659" w:type="dxa"/>
          </w:tcPr>
          <w:p w:rsidR="007C5447" w:rsidRDefault="00F6308C">
            <w:pPr>
              <w:pStyle w:val="TableParagraph"/>
              <w:spacing w:before="140"/>
              <w:ind w:left="87" w:right="78"/>
              <w:jc w:val="center"/>
            </w:pPr>
            <w:r>
              <w:t>60/kW/month</w:t>
            </w:r>
          </w:p>
        </w:tc>
        <w:tc>
          <w:tcPr>
            <w:tcW w:w="1591" w:type="dxa"/>
          </w:tcPr>
          <w:p w:rsidR="007C5447" w:rsidRDefault="00F6308C">
            <w:pPr>
              <w:pStyle w:val="TableParagraph"/>
              <w:spacing w:before="140"/>
              <w:ind w:left="601"/>
              <w:jc w:val="left"/>
            </w:pPr>
            <w:r>
              <w:t>5.75</w:t>
            </w:r>
          </w:p>
        </w:tc>
        <w:tc>
          <w:tcPr>
            <w:tcW w:w="1658" w:type="dxa"/>
          </w:tcPr>
          <w:p w:rsidR="007C5447" w:rsidRDefault="00F6308C">
            <w:pPr>
              <w:pStyle w:val="TableParagraph"/>
              <w:spacing w:before="140"/>
              <w:ind w:left="82" w:right="77"/>
              <w:jc w:val="center"/>
            </w:pPr>
            <w:r>
              <w:t>60/kW/month</w:t>
            </w:r>
          </w:p>
        </w:tc>
        <w:tc>
          <w:tcPr>
            <w:tcW w:w="1251" w:type="dxa"/>
          </w:tcPr>
          <w:p w:rsidR="007C5447" w:rsidRDefault="00F6308C">
            <w:pPr>
              <w:pStyle w:val="TableParagraph"/>
              <w:spacing w:before="140"/>
              <w:ind w:right="420"/>
            </w:pPr>
            <w:r>
              <w:t>5.75</w:t>
            </w:r>
          </w:p>
        </w:tc>
        <w:tc>
          <w:tcPr>
            <w:tcW w:w="1658" w:type="dxa"/>
          </w:tcPr>
          <w:p w:rsidR="007C5447" w:rsidRDefault="00F6308C">
            <w:pPr>
              <w:pStyle w:val="TableParagraph"/>
              <w:spacing w:before="140"/>
              <w:ind w:left="85" w:right="74"/>
              <w:jc w:val="center"/>
            </w:pPr>
            <w:r>
              <w:t>60/kW/month</w:t>
            </w:r>
          </w:p>
        </w:tc>
      </w:tr>
      <w:tr w:rsidR="007C5447">
        <w:trPr>
          <w:trHeight w:val="330"/>
        </w:trPr>
        <w:tc>
          <w:tcPr>
            <w:tcW w:w="1560" w:type="dxa"/>
          </w:tcPr>
          <w:p w:rsidR="007C5447" w:rsidRDefault="00F6308C">
            <w:pPr>
              <w:pStyle w:val="TableParagraph"/>
              <w:spacing w:before="61" w:line="250" w:lineRule="exact"/>
              <w:ind w:left="113" w:right="105"/>
              <w:jc w:val="center"/>
              <w:rPr>
                <w:b/>
              </w:rPr>
            </w:pPr>
            <w:r>
              <w:rPr>
                <w:b/>
              </w:rPr>
              <w:t>LT - IIIB</w:t>
            </w:r>
          </w:p>
        </w:tc>
        <w:tc>
          <w:tcPr>
            <w:tcW w:w="12213" w:type="dxa"/>
            <w:gridSpan w:val="8"/>
          </w:tcPr>
          <w:p w:rsidR="007C5447" w:rsidRDefault="00F6308C">
            <w:pPr>
              <w:pStyle w:val="TableParagraph"/>
              <w:spacing w:before="61" w:line="250" w:lineRule="exact"/>
              <w:ind w:left="108"/>
              <w:jc w:val="left"/>
              <w:rPr>
                <w:b/>
              </w:rPr>
            </w:pPr>
            <w:r>
              <w:rPr>
                <w:b/>
              </w:rPr>
              <w:t>LT Industries</w:t>
            </w:r>
          </w:p>
        </w:tc>
      </w:tr>
      <w:tr w:rsidR="007C5447">
        <w:trPr>
          <w:trHeight w:val="330"/>
        </w:trPr>
        <w:tc>
          <w:tcPr>
            <w:tcW w:w="1560" w:type="dxa"/>
          </w:tcPr>
          <w:p w:rsidR="007C5447" w:rsidRDefault="007C5447">
            <w:pPr>
              <w:pStyle w:val="TableParagraph"/>
              <w:jc w:val="left"/>
            </w:pPr>
          </w:p>
        </w:tc>
        <w:tc>
          <w:tcPr>
            <w:tcW w:w="1416" w:type="dxa"/>
          </w:tcPr>
          <w:p w:rsidR="007C5447" w:rsidRDefault="00F6308C">
            <w:pPr>
              <w:pStyle w:val="TableParagraph"/>
              <w:spacing w:before="37"/>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37"/>
              <w:ind w:right="504"/>
            </w:pPr>
            <w:r>
              <w:t>6.35</w:t>
            </w:r>
          </w:p>
        </w:tc>
        <w:tc>
          <w:tcPr>
            <w:tcW w:w="1659" w:type="dxa"/>
          </w:tcPr>
          <w:p w:rsidR="007C5447" w:rsidRDefault="00F6308C">
            <w:pPr>
              <w:pStyle w:val="TableParagraph"/>
              <w:spacing w:before="37"/>
              <w:ind w:left="87" w:right="78"/>
              <w:jc w:val="center"/>
            </w:pPr>
            <w:r>
              <w:t>35/kW/month</w:t>
            </w:r>
          </w:p>
        </w:tc>
        <w:tc>
          <w:tcPr>
            <w:tcW w:w="1591" w:type="dxa"/>
          </w:tcPr>
          <w:p w:rsidR="007C5447" w:rsidRDefault="00F6308C">
            <w:pPr>
              <w:pStyle w:val="TableParagraph"/>
              <w:spacing w:before="37"/>
              <w:ind w:left="601"/>
              <w:jc w:val="left"/>
            </w:pPr>
            <w:r>
              <w:t>6.35</w:t>
            </w:r>
          </w:p>
        </w:tc>
        <w:tc>
          <w:tcPr>
            <w:tcW w:w="1658" w:type="dxa"/>
          </w:tcPr>
          <w:p w:rsidR="007C5447" w:rsidRDefault="00F6308C">
            <w:pPr>
              <w:pStyle w:val="TableParagraph"/>
              <w:spacing w:before="37"/>
              <w:ind w:left="82" w:right="77"/>
              <w:jc w:val="center"/>
            </w:pPr>
            <w:r>
              <w:t>35/kW/month</w:t>
            </w:r>
          </w:p>
        </w:tc>
        <w:tc>
          <w:tcPr>
            <w:tcW w:w="1251" w:type="dxa"/>
          </w:tcPr>
          <w:p w:rsidR="007C5447" w:rsidRDefault="00F6308C">
            <w:pPr>
              <w:pStyle w:val="TableParagraph"/>
              <w:spacing w:before="37"/>
              <w:ind w:right="420"/>
            </w:pPr>
            <w:r>
              <w:t>6.35</w:t>
            </w:r>
          </w:p>
        </w:tc>
        <w:tc>
          <w:tcPr>
            <w:tcW w:w="1658" w:type="dxa"/>
          </w:tcPr>
          <w:p w:rsidR="007C5447" w:rsidRDefault="00F6308C">
            <w:pPr>
              <w:pStyle w:val="TableParagraph"/>
              <w:spacing w:before="37"/>
              <w:ind w:left="85" w:right="74"/>
              <w:jc w:val="center"/>
            </w:pPr>
            <w:r>
              <w:t>35/kW/month</w:t>
            </w:r>
          </w:p>
        </w:tc>
      </w:tr>
    </w:tbl>
    <w:p w:rsidR="007C5447" w:rsidRDefault="007C5447">
      <w:pPr>
        <w:jc w:val="center"/>
        <w:sectPr w:rsidR="007C5447">
          <w:footerReference w:type="default" r:id="rId68"/>
          <w:pgSz w:w="16840" w:h="11910" w:orient="landscape"/>
          <w:pgMar w:top="1100" w:right="1620" w:bottom="960" w:left="1220" w:header="0" w:footer="777" w:gutter="0"/>
          <w:pgNumType w:start="279"/>
          <w:cols w:space="720"/>
        </w:sectPr>
      </w:pPr>
    </w:p>
    <w:p w:rsidR="007C5447" w:rsidRDefault="007C5447">
      <w:pPr>
        <w:pStyle w:val="BodyText"/>
        <w:rPr>
          <w:sz w:val="2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1416"/>
        <w:gridCol w:w="1561"/>
        <w:gridCol w:w="1419"/>
        <w:gridCol w:w="1659"/>
        <w:gridCol w:w="1591"/>
        <w:gridCol w:w="1658"/>
        <w:gridCol w:w="1251"/>
        <w:gridCol w:w="1658"/>
      </w:tblGrid>
      <w:tr w:rsidR="007C5447">
        <w:trPr>
          <w:trHeight w:val="330"/>
        </w:trPr>
        <w:tc>
          <w:tcPr>
            <w:tcW w:w="1560" w:type="dxa"/>
            <w:vMerge w:val="restart"/>
            <w:shd w:val="clear" w:color="auto" w:fill="F7C9AC"/>
          </w:tcPr>
          <w:p w:rsidR="007C5447" w:rsidRDefault="007C5447">
            <w:pPr>
              <w:pStyle w:val="TableParagraph"/>
              <w:spacing w:before="11"/>
              <w:jc w:val="left"/>
              <w:rPr>
                <w:sz w:val="26"/>
              </w:rPr>
            </w:pPr>
          </w:p>
          <w:p w:rsidR="007C5447" w:rsidRDefault="00F6308C">
            <w:pPr>
              <w:pStyle w:val="TableParagraph"/>
              <w:ind w:left="345" w:right="263" w:hanging="56"/>
              <w:jc w:val="left"/>
              <w:rPr>
                <w:b/>
              </w:rPr>
            </w:pPr>
            <w:r>
              <w:rPr>
                <w:b/>
              </w:rPr>
              <w:t>Consumer Category</w:t>
            </w:r>
          </w:p>
        </w:tc>
        <w:tc>
          <w:tcPr>
            <w:tcW w:w="1416" w:type="dxa"/>
            <w:vMerge w:val="restart"/>
            <w:shd w:val="clear" w:color="auto" w:fill="F7C9AC"/>
          </w:tcPr>
          <w:p w:rsidR="007C5447" w:rsidRDefault="007C5447">
            <w:pPr>
              <w:pStyle w:val="TableParagraph"/>
              <w:spacing w:before="11"/>
              <w:jc w:val="left"/>
              <w:rPr>
                <w:sz w:val="26"/>
              </w:rPr>
            </w:pPr>
          </w:p>
          <w:p w:rsidR="007C5447" w:rsidRDefault="00F6308C">
            <w:pPr>
              <w:pStyle w:val="TableParagraph"/>
              <w:ind w:left="125" w:right="94" w:firstLine="331"/>
              <w:jc w:val="left"/>
              <w:rPr>
                <w:b/>
              </w:rPr>
            </w:pPr>
            <w:r>
              <w:rPr>
                <w:b/>
              </w:rPr>
              <w:t>Slabs (Per Month)</w:t>
            </w:r>
          </w:p>
        </w:tc>
        <w:tc>
          <w:tcPr>
            <w:tcW w:w="1561" w:type="dxa"/>
            <w:vMerge w:val="restart"/>
            <w:shd w:val="clear" w:color="auto" w:fill="F7C9AC"/>
          </w:tcPr>
          <w:p w:rsidR="007C5447" w:rsidRDefault="007C5447">
            <w:pPr>
              <w:pStyle w:val="TableParagraph"/>
              <w:jc w:val="left"/>
              <w:rPr>
                <w:sz w:val="24"/>
              </w:rPr>
            </w:pPr>
          </w:p>
          <w:p w:rsidR="007C5447" w:rsidRDefault="00F6308C">
            <w:pPr>
              <w:pStyle w:val="TableParagraph"/>
              <w:spacing w:before="161"/>
              <w:ind w:left="134"/>
              <w:jc w:val="left"/>
              <w:rPr>
                <w:b/>
              </w:rPr>
            </w:pPr>
            <w:r>
              <w:rPr>
                <w:b/>
              </w:rPr>
              <w:t>Sub Category</w:t>
            </w:r>
          </w:p>
        </w:tc>
        <w:tc>
          <w:tcPr>
            <w:tcW w:w="3078" w:type="dxa"/>
            <w:gridSpan w:val="2"/>
            <w:shd w:val="clear" w:color="auto" w:fill="F7C9AC"/>
          </w:tcPr>
          <w:p w:rsidR="007C5447" w:rsidRDefault="00F6308C">
            <w:pPr>
              <w:pStyle w:val="TableParagraph"/>
              <w:spacing w:before="37"/>
              <w:ind w:left="844"/>
              <w:jc w:val="left"/>
              <w:rPr>
                <w:b/>
              </w:rPr>
            </w:pPr>
            <w:r>
              <w:rPr>
                <w:b/>
              </w:rPr>
              <w:t>Existing Tariff</w:t>
            </w:r>
          </w:p>
        </w:tc>
        <w:tc>
          <w:tcPr>
            <w:tcW w:w="3249" w:type="dxa"/>
            <w:gridSpan w:val="2"/>
            <w:shd w:val="clear" w:color="auto" w:fill="F7C9AC"/>
          </w:tcPr>
          <w:p w:rsidR="007C5447" w:rsidRDefault="00F6308C">
            <w:pPr>
              <w:pStyle w:val="TableParagraph"/>
              <w:spacing w:before="37"/>
              <w:ind w:left="875"/>
              <w:jc w:val="left"/>
              <w:rPr>
                <w:b/>
              </w:rPr>
            </w:pPr>
            <w:r>
              <w:rPr>
                <w:b/>
              </w:rPr>
              <w:t>Proposed Tariff</w:t>
            </w:r>
          </w:p>
        </w:tc>
        <w:tc>
          <w:tcPr>
            <w:tcW w:w="2909" w:type="dxa"/>
            <w:gridSpan w:val="2"/>
            <w:shd w:val="clear" w:color="auto" w:fill="F7C9AC"/>
          </w:tcPr>
          <w:p w:rsidR="007C5447" w:rsidRDefault="00F6308C">
            <w:pPr>
              <w:pStyle w:val="TableParagraph"/>
              <w:spacing w:before="37"/>
              <w:ind w:left="674"/>
              <w:jc w:val="left"/>
              <w:rPr>
                <w:b/>
              </w:rPr>
            </w:pPr>
            <w:r>
              <w:rPr>
                <w:b/>
              </w:rPr>
              <w:t>Approved Tariff</w:t>
            </w:r>
          </w:p>
        </w:tc>
      </w:tr>
      <w:tr w:rsidR="007C5447">
        <w:trPr>
          <w:trHeight w:val="789"/>
        </w:trPr>
        <w:tc>
          <w:tcPr>
            <w:tcW w:w="1560" w:type="dxa"/>
            <w:vMerge/>
            <w:tcBorders>
              <w:top w:val="nil"/>
            </w:tcBorders>
            <w:shd w:val="clear" w:color="auto" w:fill="F7C9AC"/>
          </w:tcPr>
          <w:p w:rsidR="007C5447" w:rsidRDefault="007C5447">
            <w:pPr>
              <w:rPr>
                <w:sz w:val="2"/>
                <w:szCs w:val="2"/>
              </w:rPr>
            </w:pPr>
          </w:p>
        </w:tc>
        <w:tc>
          <w:tcPr>
            <w:tcW w:w="1416" w:type="dxa"/>
            <w:vMerge/>
            <w:tcBorders>
              <w:top w:val="nil"/>
            </w:tcBorders>
            <w:shd w:val="clear" w:color="auto" w:fill="F7C9AC"/>
          </w:tcPr>
          <w:p w:rsidR="007C5447" w:rsidRDefault="007C5447">
            <w:pPr>
              <w:rPr>
                <w:sz w:val="2"/>
                <w:szCs w:val="2"/>
              </w:rPr>
            </w:pPr>
          </w:p>
        </w:tc>
        <w:tc>
          <w:tcPr>
            <w:tcW w:w="1561" w:type="dxa"/>
            <w:vMerge/>
            <w:tcBorders>
              <w:top w:val="nil"/>
            </w:tcBorders>
            <w:shd w:val="clear" w:color="auto" w:fill="F7C9AC"/>
          </w:tcPr>
          <w:p w:rsidR="007C5447" w:rsidRDefault="007C5447">
            <w:pPr>
              <w:rPr>
                <w:sz w:val="2"/>
                <w:szCs w:val="2"/>
              </w:rPr>
            </w:pPr>
          </w:p>
        </w:tc>
        <w:tc>
          <w:tcPr>
            <w:tcW w:w="1419" w:type="dxa"/>
            <w:shd w:val="clear" w:color="auto" w:fill="F7C9AC"/>
          </w:tcPr>
          <w:p w:rsidR="007C5447" w:rsidRDefault="00F6308C">
            <w:pPr>
              <w:pStyle w:val="TableParagraph"/>
              <w:spacing w:before="13"/>
              <w:ind w:left="316" w:right="306" w:firstLine="48"/>
              <w:rPr>
                <w:b/>
              </w:rPr>
            </w:pPr>
            <w:r>
              <w:rPr>
                <w:b/>
              </w:rPr>
              <w:t>Energy Charges</w:t>
            </w:r>
          </w:p>
          <w:p w:rsidR="007C5447" w:rsidRDefault="00F6308C">
            <w:pPr>
              <w:pStyle w:val="TableParagraph"/>
              <w:spacing w:line="250" w:lineRule="exact"/>
              <w:ind w:right="210"/>
              <w:rPr>
                <w:b/>
              </w:rPr>
            </w:pPr>
            <w:r>
              <w:rPr>
                <w:b/>
              </w:rPr>
              <w:t>(Rs./kWh)</w:t>
            </w:r>
          </w:p>
        </w:tc>
        <w:tc>
          <w:tcPr>
            <w:tcW w:w="1659" w:type="dxa"/>
            <w:shd w:val="clear" w:color="auto" w:fill="F7C9AC"/>
          </w:tcPr>
          <w:p w:rsidR="007C5447" w:rsidRDefault="00F6308C">
            <w:pPr>
              <w:pStyle w:val="TableParagraph"/>
              <w:spacing w:before="140"/>
              <w:ind w:left="603" w:right="122" w:hanging="459"/>
              <w:jc w:val="left"/>
              <w:rPr>
                <w:b/>
              </w:rPr>
            </w:pPr>
            <w:r>
              <w:rPr>
                <w:b/>
              </w:rPr>
              <w:t>Fixed Charges (Rs.)</w:t>
            </w:r>
          </w:p>
        </w:tc>
        <w:tc>
          <w:tcPr>
            <w:tcW w:w="1591" w:type="dxa"/>
            <w:shd w:val="clear" w:color="auto" w:fill="F7C9AC"/>
          </w:tcPr>
          <w:p w:rsidR="007C5447" w:rsidRDefault="00F6308C">
            <w:pPr>
              <w:pStyle w:val="TableParagraph"/>
              <w:spacing w:before="13"/>
              <w:ind w:left="399" w:right="395" w:firstLine="50"/>
              <w:rPr>
                <w:b/>
              </w:rPr>
            </w:pPr>
            <w:r>
              <w:rPr>
                <w:b/>
              </w:rPr>
              <w:t>Energy Charges</w:t>
            </w:r>
          </w:p>
          <w:p w:rsidR="007C5447" w:rsidRDefault="00F6308C">
            <w:pPr>
              <w:pStyle w:val="TableParagraph"/>
              <w:spacing w:line="250" w:lineRule="exact"/>
              <w:ind w:right="299"/>
              <w:rPr>
                <w:b/>
              </w:rPr>
            </w:pPr>
            <w:r>
              <w:rPr>
                <w:b/>
              </w:rPr>
              <w:t>(Rs./kWh)</w:t>
            </w:r>
          </w:p>
        </w:tc>
        <w:tc>
          <w:tcPr>
            <w:tcW w:w="1658" w:type="dxa"/>
            <w:shd w:val="clear" w:color="auto" w:fill="F7C9AC"/>
          </w:tcPr>
          <w:p w:rsidR="007C5447" w:rsidRDefault="00F6308C">
            <w:pPr>
              <w:pStyle w:val="TableParagraph"/>
              <w:spacing w:before="140"/>
              <w:ind w:left="601" w:right="123" w:hanging="459"/>
              <w:jc w:val="left"/>
              <w:rPr>
                <w:b/>
              </w:rPr>
            </w:pPr>
            <w:r>
              <w:rPr>
                <w:b/>
              </w:rPr>
              <w:t>Fixed Charges (Rs.)</w:t>
            </w:r>
          </w:p>
        </w:tc>
        <w:tc>
          <w:tcPr>
            <w:tcW w:w="1251" w:type="dxa"/>
            <w:shd w:val="clear" w:color="auto" w:fill="F7C9AC"/>
          </w:tcPr>
          <w:p w:rsidR="007C5447" w:rsidRDefault="00F6308C">
            <w:pPr>
              <w:pStyle w:val="TableParagraph"/>
              <w:spacing w:before="13"/>
              <w:ind w:left="232" w:right="222" w:firstLine="48"/>
              <w:rPr>
                <w:b/>
              </w:rPr>
            </w:pPr>
            <w:r>
              <w:rPr>
                <w:b/>
              </w:rPr>
              <w:t>Energy Charges</w:t>
            </w:r>
          </w:p>
          <w:p w:rsidR="007C5447" w:rsidRDefault="00F6308C">
            <w:pPr>
              <w:pStyle w:val="TableParagraph"/>
              <w:spacing w:line="250" w:lineRule="exact"/>
              <w:ind w:right="126"/>
              <w:rPr>
                <w:b/>
              </w:rPr>
            </w:pPr>
            <w:r>
              <w:rPr>
                <w:b/>
              </w:rPr>
              <w:t>(Rs./kWh)</w:t>
            </w:r>
          </w:p>
        </w:tc>
        <w:tc>
          <w:tcPr>
            <w:tcW w:w="1658" w:type="dxa"/>
            <w:shd w:val="clear" w:color="auto" w:fill="F7C9AC"/>
          </w:tcPr>
          <w:p w:rsidR="007C5447" w:rsidRDefault="00F6308C">
            <w:pPr>
              <w:pStyle w:val="TableParagraph"/>
              <w:spacing w:before="140"/>
              <w:ind w:left="604" w:right="120" w:hanging="459"/>
              <w:jc w:val="left"/>
              <w:rPr>
                <w:b/>
              </w:rPr>
            </w:pPr>
            <w:r>
              <w:rPr>
                <w:b/>
              </w:rPr>
              <w:t>Fixed Charges (Rs.)</w:t>
            </w:r>
          </w:p>
        </w:tc>
      </w:tr>
      <w:tr w:rsidR="007C5447">
        <w:trPr>
          <w:trHeight w:val="328"/>
        </w:trPr>
        <w:tc>
          <w:tcPr>
            <w:tcW w:w="1560" w:type="dxa"/>
          </w:tcPr>
          <w:p w:rsidR="007C5447" w:rsidRDefault="00F6308C">
            <w:pPr>
              <w:pStyle w:val="TableParagraph"/>
              <w:spacing w:before="61" w:line="248" w:lineRule="exact"/>
              <w:ind w:left="113" w:right="104"/>
              <w:jc w:val="center"/>
              <w:rPr>
                <w:b/>
              </w:rPr>
            </w:pPr>
            <w:r>
              <w:rPr>
                <w:b/>
              </w:rPr>
              <w:t>LT - IV</w:t>
            </w:r>
          </w:p>
        </w:tc>
        <w:tc>
          <w:tcPr>
            <w:tcW w:w="12213" w:type="dxa"/>
            <w:gridSpan w:val="8"/>
          </w:tcPr>
          <w:p w:rsidR="007C5447" w:rsidRDefault="00F6308C">
            <w:pPr>
              <w:pStyle w:val="TableParagraph"/>
              <w:spacing w:before="61" w:line="248" w:lineRule="exact"/>
              <w:ind w:left="108"/>
              <w:jc w:val="left"/>
              <w:rPr>
                <w:b/>
              </w:rPr>
            </w:pPr>
            <w:r>
              <w:rPr>
                <w:b/>
              </w:rPr>
              <w:t>LT Agriculture</w:t>
            </w:r>
          </w:p>
        </w:tc>
      </w:tr>
      <w:tr w:rsidR="007C5447">
        <w:trPr>
          <w:trHeight w:val="1044"/>
        </w:trPr>
        <w:tc>
          <w:tcPr>
            <w:tcW w:w="1560" w:type="dxa"/>
          </w:tcPr>
          <w:p w:rsidR="007C5447" w:rsidRDefault="007C5447">
            <w:pPr>
              <w:pStyle w:val="TableParagraph"/>
              <w:jc w:val="left"/>
            </w:pPr>
          </w:p>
        </w:tc>
        <w:tc>
          <w:tcPr>
            <w:tcW w:w="1416" w:type="dxa"/>
          </w:tcPr>
          <w:p w:rsidR="007C5447" w:rsidRDefault="007C5447">
            <w:pPr>
              <w:pStyle w:val="TableParagraph"/>
              <w:spacing w:before="3"/>
              <w:jc w:val="left"/>
              <w:rPr>
                <w:sz w:val="34"/>
              </w:rPr>
            </w:pPr>
          </w:p>
          <w:p w:rsidR="007C5447" w:rsidRDefault="00F6308C">
            <w:pPr>
              <w:pStyle w:val="TableParagraph"/>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15"/>
              <w:ind w:left="218" w:right="193" w:firstLine="122"/>
              <w:jc w:val="left"/>
            </w:pPr>
            <w:r>
              <w:t>3.22 (on installation of energy</w:t>
            </w:r>
          </w:p>
          <w:p w:rsidR="007C5447" w:rsidRDefault="00F6308C">
            <w:pPr>
              <w:pStyle w:val="TableParagraph"/>
              <w:spacing w:line="250" w:lineRule="exact"/>
              <w:ind w:left="458"/>
              <w:jc w:val="left"/>
            </w:pPr>
            <w:r>
              <w:t>meter</w:t>
            </w:r>
          </w:p>
        </w:tc>
        <w:tc>
          <w:tcPr>
            <w:tcW w:w="1659" w:type="dxa"/>
          </w:tcPr>
          <w:p w:rsidR="007C5447" w:rsidRDefault="007C5447">
            <w:pPr>
              <w:pStyle w:val="TableParagraph"/>
              <w:spacing w:before="2"/>
              <w:jc w:val="left"/>
              <w:rPr>
                <w:sz w:val="23"/>
              </w:rPr>
            </w:pPr>
          </w:p>
          <w:p w:rsidR="007C5447" w:rsidRDefault="00F6308C">
            <w:pPr>
              <w:pStyle w:val="TableParagraph"/>
              <w:spacing w:line="252" w:lineRule="exact"/>
              <w:ind w:left="407"/>
              <w:jc w:val="left"/>
            </w:pPr>
            <w:r>
              <w:t>2875/HP/</w:t>
            </w:r>
          </w:p>
          <w:p w:rsidR="007C5447" w:rsidRDefault="00F6308C">
            <w:pPr>
              <w:pStyle w:val="TableParagraph"/>
              <w:spacing w:line="252" w:lineRule="exact"/>
              <w:ind w:left="498"/>
              <w:jc w:val="left"/>
            </w:pPr>
            <w:r>
              <w:t>Annum</w:t>
            </w:r>
          </w:p>
        </w:tc>
        <w:tc>
          <w:tcPr>
            <w:tcW w:w="1591" w:type="dxa"/>
          </w:tcPr>
          <w:p w:rsidR="007C5447" w:rsidRDefault="00F6308C">
            <w:pPr>
              <w:pStyle w:val="TableParagraph"/>
              <w:spacing w:before="140"/>
              <w:ind w:left="183" w:right="162" w:firstLine="242"/>
              <w:jc w:val="left"/>
            </w:pPr>
            <w:r>
              <w:t>3.22 (on installation of energy meter</w:t>
            </w:r>
          </w:p>
        </w:tc>
        <w:tc>
          <w:tcPr>
            <w:tcW w:w="1658" w:type="dxa"/>
          </w:tcPr>
          <w:p w:rsidR="007C5447" w:rsidRDefault="007C5447">
            <w:pPr>
              <w:pStyle w:val="TableParagraph"/>
              <w:spacing w:before="2"/>
              <w:jc w:val="left"/>
              <w:rPr>
                <w:sz w:val="23"/>
              </w:rPr>
            </w:pPr>
          </w:p>
          <w:p w:rsidR="007C5447" w:rsidRDefault="00F6308C">
            <w:pPr>
              <w:pStyle w:val="TableParagraph"/>
              <w:spacing w:line="252" w:lineRule="exact"/>
              <w:ind w:left="404"/>
              <w:jc w:val="left"/>
            </w:pPr>
            <w:r>
              <w:t>2875/HP/</w:t>
            </w:r>
          </w:p>
          <w:p w:rsidR="007C5447" w:rsidRDefault="00F6308C">
            <w:pPr>
              <w:pStyle w:val="TableParagraph"/>
              <w:spacing w:line="252" w:lineRule="exact"/>
              <w:ind w:left="496"/>
              <w:jc w:val="left"/>
            </w:pPr>
            <w:r>
              <w:t>Annum</w:t>
            </w:r>
          </w:p>
        </w:tc>
        <w:tc>
          <w:tcPr>
            <w:tcW w:w="1251" w:type="dxa"/>
          </w:tcPr>
          <w:p w:rsidR="007C5447" w:rsidRDefault="00F6308C">
            <w:pPr>
              <w:pStyle w:val="TableParagraph"/>
              <w:spacing w:before="15"/>
              <w:ind w:left="134" w:right="109" w:firstLine="122"/>
              <w:jc w:val="left"/>
            </w:pPr>
            <w:r>
              <w:t>3.22 (on installation of energy</w:t>
            </w:r>
          </w:p>
          <w:p w:rsidR="007C5447" w:rsidRDefault="00F6308C">
            <w:pPr>
              <w:pStyle w:val="TableParagraph"/>
              <w:spacing w:line="250" w:lineRule="exact"/>
              <w:ind w:left="374"/>
              <w:jc w:val="left"/>
            </w:pPr>
            <w:r>
              <w:t>meter</w:t>
            </w:r>
          </w:p>
        </w:tc>
        <w:tc>
          <w:tcPr>
            <w:tcW w:w="1658" w:type="dxa"/>
          </w:tcPr>
          <w:p w:rsidR="007C5447" w:rsidRDefault="007C5447">
            <w:pPr>
              <w:pStyle w:val="TableParagraph"/>
              <w:spacing w:before="2"/>
              <w:jc w:val="left"/>
              <w:rPr>
                <w:sz w:val="23"/>
              </w:rPr>
            </w:pPr>
          </w:p>
          <w:p w:rsidR="007C5447" w:rsidRDefault="00F6308C">
            <w:pPr>
              <w:pStyle w:val="TableParagraph"/>
              <w:spacing w:line="252" w:lineRule="exact"/>
              <w:ind w:left="407"/>
              <w:jc w:val="left"/>
            </w:pPr>
            <w:r>
              <w:t>2875/HP/</w:t>
            </w:r>
          </w:p>
          <w:p w:rsidR="007C5447" w:rsidRDefault="00F6308C">
            <w:pPr>
              <w:pStyle w:val="TableParagraph"/>
              <w:spacing w:line="252" w:lineRule="exact"/>
              <w:ind w:left="498"/>
              <w:jc w:val="left"/>
            </w:pPr>
            <w:r>
              <w:t>Annum</w:t>
            </w:r>
          </w:p>
        </w:tc>
      </w:tr>
      <w:tr w:rsidR="007C5447">
        <w:trPr>
          <w:trHeight w:val="328"/>
        </w:trPr>
        <w:tc>
          <w:tcPr>
            <w:tcW w:w="1560" w:type="dxa"/>
          </w:tcPr>
          <w:p w:rsidR="007C5447" w:rsidRDefault="00F6308C">
            <w:pPr>
              <w:pStyle w:val="TableParagraph"/>
              <w:spacing w:before="61" w:line="248" w:lineRule="exact"/>
              <w:ind w:left="113" w:right="104"/>
              <w:jc w:val="center"/>
              <w:rPr>
                <w:b/>
              </w:rPr>
            </w:pPr>
            <w:r>
              <w:rPr>
                <w:b/>
              </w:rPr>
              <w:t>LT - V</w:t>
            </w:r>
          </w:p>
        </w:tc>
        <w:tc>
          <w:tcPr>
            <w:tcW w:w="12213" w:type="dxa"/>
            <w:gridSpan w:val="8"/>
          </w:tcPr>
          <w:p w:rsidR="007C5447" w:rsidRDefault="00F6308C">
            <w:pPr>
              <w:pStyle w:val="TableParagraph"/>
              <w:spacing w:before="61" w:line="248" w:lineRule="exact"/>
              <w:ind w:left="108"/>
              <w:jc w:val="left"/>
              <w:rPr>
                <w:b/>
              </w:rPr>
            </w:pPr>
            <w:r>
              <w:rPr>
                <w:b/>
              </w:rPr>
              <w:t>LT Commercial</w:t>
            </w:r>
          </w:p>
        </w:tc>
      </w:tr>
      <w:tr w:rsidR="007C5447">
        <w:trPr>
          <w:trHeight w:val="330"/>
        </w:trPr>
        <w:tc>
          <w:tcPr>
            <w:tcW w:w="1560" w:type="dxa"/>
          </w:tcPr>
          <w:p w:rsidR="007C5447" w:rsidRDefault="007C5447">
            <w:pPr>
              <w:pStyle w:val="TableParagraph"/>
              <w:jc w:val="left"/>
            </w:pPr>
          </w:p>
        </w:tc>
        <w:tc>
          <w:tcPr>
            <w:tcW w:w="1416" w:type="dxa"/>
          </w:tcPr>
          <w:p w:rsidR="007C5447" w:rsidRDefault="00F6308C">
            <w:pPr>
              <w:pStyle w:val="TableParagraph"/>
              <w:spacing w:before="37"/>
              <w:ind w:left="108"/>
              <w:jc w:val="left"/>
            </w:pPr>
            <w:r>
              <w:t>0-50 kWh</w:t>
            </w:r>
          </w:p>
        </w:tc>
        <w:tc>
          <w:tcPr>
            <w:tcW w:w="1561" w:type="dxa"/>
          </w:tcPr>
          <w:p w:rsidR="007C5447" w:rsidRDefault="007C5447">
            <w:pPr>
              <w:pStyle w:val="TableParagraph"/>
              <w:jc w:val="left"/>
            </w:pPr>
          </w:p>
        </w:tc>
        <w:tc>
          <w:tcPr>
            <w:tcW w:w="1419" w:type="dxa"/>
          </w:tcPr>
          <w:p w:rsidR="007C5447" w:rsidRDefault="00F6308C">
            <w:pPr>
              <w:pStyle w:val="TableParagraph"/>
              <w:spacing w:before="37"/>
              <w:ind w:left="196" w:right="187"/>
              <w:jc w:val="center"/>
            </w:pPr>
            <w:r>
              <w:t>5.00</w:t>
            </w:r>
          </w:p>
        </w:tc>
        <w:tc>
          <w:tcPr>
            <w:tcW w:w="1659" w:type="dxa"/>
          </w:tcPr>
          <w:p w:rsidR="007C5447" w:rsidRDefault="00F6308C">
            <w:pPr>
              <w:pStyle w:val="TableParagraph"/>
              <w:spacing w:before="37"/>
              <w:ind w:left="217"/>
              <w:jc w:val="left"/>
            </w:pPr>
            <w:r>
              <w:t>70/kW/month</w:t>
            </w:r>
          </w:p>
        </w:tc>
        <w:tc>
          <w:tcPr>
            <w:tcW w:w="1591" w:type="dxa"/>
          </w:tcPr>
          <w:p w:rsidR="007C5447" w:rsidRDefault="00F6308C">
            <w:pPr>
              <w:pStyle w:val="TableParagraph"/>
              <w:spacing w:before="37"/>
              <w:ind w:left="601"/>
              <w:jc w:val="left"/>
            </w:pPr>
            <w:r>
              <w:t>5.00</w:t>
            </w:r>
          </w:p>
        </w:tc>
        <w:tc>
          <w:tcPr>
            <w:tcW w:w="1658" w:type="dxa"/>
          </w:tcPr>
          <w:p w:rsidR="007C5447" w:rsidRDefault="00F6308C">
            <w:pPr>
              <w:pStyle w:val="TableParagraph"/>
              <w:spacing w:before="37"/>
              <w:ind w:left="82" w:right="77"/>
              <w:jc w:val="center"/>
            </w:pPr>
            <w:r>
              <w:t>70/kW/month</w:t>
            </w:r>
          </w:p>
        </w:tc>
        <w:tc>
          <w:tcPr>
            <w:tcW w:w="1251" w:type="dxa"/>
          </w:tcPr>
          <w:p w:rsidR="007C5447" w:rsidRDefault="00F6308C">
            <w:pPr>
              <w:pStyle w:val="TableParagraph"/>
              <w:spacing w:before="37"/>
              <w:ind w:left="357" w:right="348"/>
              <w:jc w:val="center"/>
            </w:pPr>
            <w:r>
              <w:t>5.00</w:t>
            </w:r>
          </w:p>
        </w:tc>
        <w:tc>
          <w:tcPr>
            <w:tcW w:w="1658" w:type="dxa"/>
          </w:tcPr>
          <w:p w:rsidR="007C5447" w:rsidRDefault="00F6308C">
            <w:pPr>
              <w:pStyle w:val="TableParagraph"/>
              <w:spacing w:before="37"/>
              <w:ind w:left="218"/>
              <w:jc w:val="left"/>
            </w:pPr>
            <w:r>
              <w:t>70/kW/month</w:t>
            </w:r>
          </w:p>
        </w:tc>
      </w:tr>
      <w:tr w:rsidR="007C5447">
        <w:trPr>
          <w:trHeight w:val="534"/>
        </w:trPr>
        <w:tc>
          <w:tcPr>
            <w:tcW w:w="1560" w:type="dxa"/>
          </w:tcPr>
          <w:p w:rsidR="007C5447" w:rsidRDefault="007C5447">
            <w:pPr>
              <w:pStyle w:val="TableParagraph"/>
              <w:jc w:val="left"/>
            </w:pPr>
          </w:p>
        </w:tc>
        <w:tc>
          <w:tcPr>
            <w:tcW w:w="1416" w:type="dxa"/>
          </w:tcPr>
          <w:p w:rsidR="007C5447" w:rsidRDefault="00F6308C">
            <w:pPr>
              <w:pStyle w:val="TableParagraph"/>
              <w:spacing w:before="13" w:line="250" w:lineRule="atLeast"/>
              <w:ind w:left="108" w:right="416"/>
              <w:jc w:val="left"/>
            </w:pPr>
            <w:r>
              <w:t>Above 50 kWh</w:t>
            </w:r>
          </w:p>
        </w:tc>
        <w:tc>
          <w:tcPr>
            <w:tcW w:w="1561" w:type="dxa"/>
          </w:tcPr>
          <w:p w:rsidR="007C5447" w:rsidRDefault="007C5447">
            <w:pPr>
              <w:pStyle w:val="TableParagraph"/>
              <w:jc w:val="left"/>
            </w:pPr>
          </w:p>
        </w:tc>
        <w:tc>
          <w:tcPr>
            <w:tcW w:w="1419" w:type="dxa"/>
          </w:tcPr>
          <w:p w:rsidR="007C5447" w:rsidRDefault="00F6308C">
            <w:pPr>
              <w:pStyle w:val="TableParagraph"/>
              <w:spacing w:before="140"/>
              <w:ind w:left="196" w:right="187"/>
              <w:jc w:val="center"/>
            </w:pPr>
            <w:r>
              <w:t>8.05</w:t>
            </w:r>
          </w:p>
        </w:tc>
        <w:tc>
          <w:tcPr>
            <w:tcW w:w="1659" w:type="dxa"/>
          </w:tcPr>
          <w:p w:rsidR="007C5447" w:rsidRDefault="00F6308C">
            <w:pPr>
              <w:pStyle w:val="TableParagraph"/>
              <w:spacing w:before="140"/>
              <w:ind w:left="217"/>
              <w:jc w:val="left"/>
            </w:pPr>
            <w:r>
              <w:t>70/kW/month</w:t>
            </w:r>
          </w:p>
        </w:tc>
        <w:tc>
          <w:tcPr>
            <w:tcW w:w="1591" w:type="dxa"/>
          </w:tcPr>
          <w:p w:rsidR="007C5447" w:rsidRDefault="00F6308C">
            <w:pPr>
              <w:pStyle w:val="TableParagraph"/>
              <w:spacing w:before="140"/>
              <w:ind w:left="601"/>
              <w:jc w:val="left"/>
            </w:pPr>
            <w:r>
              <w:t>8.05</w:t>
            </w:r>
          </w:p>
        </w:tc>
        <w:tc>
          <w:tcPr>
            <w:tcW w:w="1658" w:type="dxa"/>
          </w:tcPr>
          <w:p w:rsidR="007C5447" w:rsidRDefault="00F6308C">
            <w:pPr>
              <w:pStyle w:val="TableParagraph"/>
              <w:spacing w:before="140"/>
              <w:ind w:left="82" w:right="77"/>
              <w:jc w:val="center"/>
            </w:pPr>
            <w:r>
              <w:t>70/kW/month</w:t>
            </w:r>
          </w:p>
        </w:tc>
        <w:tc>
          <w:tcPr>
            <w:tcW w:w="1251" w:type="dxa"/>
          </w:tcPr>
          <w:p w:rsidR="007C5447" w:rsidRDefault="00F6308C">
            <w:pPr>
              <w:pStyle w:val="TableParagraph"/>
              <w:spacing w:before="140"/>
              <w:ind w:left="357" w:right="348"/>
              <w:jc w:val="center"/>
            </w:pPr>
            <w:r>
              <w:t>8.05</w:t>
            </w:r>
          </w:p>
        </w:tc>
        <w:tc>
          <w:tcPr>
            <w:tcW w:w="1658" w:type="dxa"/>
          </w:tcPr>
          <w:p w:rsidR="007C5447" w:rsidRDefault="00F6308C">
            <w:pPr>
              <w:pStyle w:val="TableParagraph"/>
              <w:spacing w:before="140"/>
              <w:ind w:left="218"/>
              <w:jc w:val="left"/>
            </w:pPr>
            <w:r>
              <w:t>70/kW/month</w:t>
            </w:r>
          </w:p>
        </w:tc>
      </w:tr>
      <w:tr w:rsidR="007C5447">
        <w:trPr>
          <w:trHeight w:val="330"/>
        </w:trPr>
        <w:tc>
          <w:tcPr>
            <w:tcW w:w="1560" w:type="dxa"/>
          </w:tcPr>
          <w:p w:rsidR="007C5447" w:rsidRDefault="00F6308C">
            <w:pPr>
              <w:pStyle w:val="TableParagraph"/>
              <w:spacing w:before="61" w:line="250" w:lineRule="exact"/>
              <w:ind w:left="112" w:right="106"/>
              <w:jc w:val="center"/>
              <w:rPr>
                <w:b/>
              </w:rPr>
            </w:pPr>
            <w:r>
              <w:rPr>
                <w:b/>
              </w:rPr>
              <w:t>LT - VI</w:t>
            </w:r>
          </w:p>
        </w:tc>
        <w:tc>
          <w:tcPr>
            <w:tcW w:w="12213" w:type="dxa"/>
            <w:gridSpan w:val="8"/>
          </w:tcPr>
          <w:p w:rsidR="007C5447" w:rsidRDefault="00F6308C">
            <w:pPr>
              <w:pStyle w:val="TableParagraph"/>
              <w:spacing w:before="61" w:line="250" w:lineRule="exact"/>
              <w:ind w:left="108"/>
              <w:jc w:val="left"/>
              <w:rPr>
                <w:b/>
              </w:rPr>
            </w:pPr>
            <w:r>
              <w:rPr>
                <w:b/>
              </w:rPr>
              <w:t>Temporary Supply</w:t>
            </w:r>
          </w:p>
        </w:tc>
      </w:tr>
      <w:tr w:rsidR="007C5447">
        <w:trPr>
          <w:trHeight w:val="330"/>
        </w:trPr>
        <w:tc>
          <w:tcPr>
            <w:tcW w:w="1560" w:type="dxa"/>
          </w:tcPr>
          <w:p w:rsidR="007C5447" w:rsidRDefault="007C5447">
            <w:pPr>
              <w:pStyle w:val="TableParagraph"/>
              <w:jc w:val="left"/>
            </w:pPr>
          </w:p>
        </w:tc>
        <w:tc>
          <w:tcPr>
            <w:tcW w:w="1416" w:type="dxa"/>
          </w:tcPr>
          <w:p w:rsidR="007C5447" w:rsidRDefault="00F6308C">
            <w:pPr>
              <w:pStyle w:val="TableParagraph"/>
              <w:spacing w:before="37"/>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37"/>
              <w:ind w:left="196" w:right="187"/>
              <w:jc w:val="center"/>
            </w:pPr>
            <w:r>
              <w:t>12.00</w:t>
            </w:r>
          </w:p>
        </w:tc>
        <w:tc>
          <w:tcPr>
            <w:tcW w:w="1659" w:type="dxa"/>
          </w:tcPr>
          <w:p w:rsidR="007C5447" w:rsidRDefault="00F6308C">
            <w:pPr>
              <w:pStyle w:val="TableParagraph"/>
              <w:spacing w:before="37"/>
              <w:ind w:right="150"/>
            </w:pPr>
            <w:r>
              <w:t>345/kW/month</w:t>
            </w:r>
          </w:p>
        </w:tc>
        <w:tc>
          <w:tcPr>
            <w:tcW w:w="1591" w:type="dxa"/>
          </w:tcPr>
          <w:p w:rsidR="007C5447" w:rsidRDefault="00F6308C">
            <w:pPr>
              <w:pStyle w:val="TableParagraph"/>
              <w:spacing w:before="37"/>
              <w:ind w:left="546"/>
              <w:jc w:val="left"/>
            </w:pPr>
            <w:r>
              <w:t>12.00</w:t>
            </w:r>
          </w:p>
        </w:tc>
        <w:tc>
          <w:tcPr>
            <w:tcW w:w="1658" w:type="dxa"/>
          </w:tcPr>
          <w:p w:rsidR="007C5447" w:rsidRDefault="00F6308C">
            <w:pPr>
              <w:pStyle w:val="TableParagraph"/>
              <w:spacing w:before="37"/>
              <w:ind w:left="82" w:right="77"/>
              <w:jc w:val="center"/>
            </w:pPr>
            <w:r>
              <w:t>345/kW/month</w:t>
            </w:r>
          </w:p>
        </w:tc>
        <w:tc>
          <w:tcPr>
            <w:tcW w:w="1251" w:type="dxa"/>
          </w:tcPr>
          <w:p w:rsidR="007C5447" w:rsidRDefault="00F6308C">
            <w:pPr>
              <w:pStyle w:val="TableParagraph"/>
              <w:spacing w:before="37"/>
              <w:ind w:left="357" w:right="348"/>
              <w:jc w:val="center"/>
            </w:pPr>
            <w:r>
              <w:t>12.00</w:t>
            </w:r>
          </w:p>
        </w:tc>
        <w:tc>
          <w:tcPr>
            <w:tcW w:w="1658" w:type="dxa"/>
          </w:tcPr>
          <w:p w:rsidR="007C5447" w:rsidRDefault="00F6308C">
            <w:pPr>
              <w:pStyle w:val="TableParagraph"/>
              <w:spacing w:before="37"/>
              <w:ind w:right="149"/>
            </w:pPr>
            <w:r>
              <w:t>345/kW/month</w:t>
            </w:r>
          </w:p>
        </w:tc>
      </w:tr>
      <w:tr w:rsidR="007C5447">
        <w:trPr>
          <w:trHeight w:val="328"/>
        </w:trPr>
        <w:tc>
          <w:tcPr>
            <w:tcW w:w="13773" w:type="dxa"/>
            <w:gridSpan w:val="9"/>
          </w:tcPr>
          <w:p w:rsidR="007C5447" w:rsidRDefault="00F6308C">
            <w:pPr>
              <w:pStyle w:val="TableParagraph"/>
              <w:spacing w:before="61" w:line="248" w:lineRule="exact"/>
              <w:ind w:left="107"/>
              <w:jc w:val="left"/>
              <w:rPr>
                <w:b/>
              </w:rPr>
            </w:pPr>
            <w:r>
              <w:rPr>
                <w:b/>
              </w:rPr>
              <w:t>Tariff for High Tension Consumers</w:t>
            </w:r>
          </w:p>
        </w:tc>
      </w:tr>
      <w:tr w:rsidR="007C5447">
        <w:trPr>
          <w:trHeight w:val="331"/>
        </w:trPr>
        <w:tc>
          <w:tcPr>
            <w:tcW w:w="1560" w:type="dxa"/>
          </w:tcPr>
          <w:p w:rsidR="007C5447" w:rsidRDefault="00F6308C">
            <w:pPr>
              <w:pStyle w:val="TableParagraph"/>
              <w:spacing w:before="61" w:line="250" w:lineRule="exact"/>
              <w:ind w:left="113" w:right="104"/>
              <w:jc w:val="center"/>
              <w:rPr>
                <w:b/>
              </w:rPr>
            </w:pPr>
            <w:r>
              <w:rPr>
                <w:b/>
              </w:rPr>
              <w:t>HT - IA</w:t>
            </w:r>
          </w:p>
        </w:tc>
        <w:tc>
          <w:tcPr>
            <w:tcW w:w="9304" w:type="dxa"/>
            <w:gridSpan w:val="6"/>
          </w:tcPr>
          <w:p w:rsidR="007C5447" w:rsidRDefault="00F6308C">
            <w:pPr>
              <w:pStyle w:val="TableParagraph"/>
              <w:spacing w:before="61" w:line="250" w:lineRule="exact"/>
              <w:ind w:left="108"/>
              <w:jc w:val="left"/>
              <w:rPr>
                <w:b/>
              </w:rPr>
            </w:pPr>
            <w:r>
              <w:rPr>
                <w:b/>
              </w:rPr>
              <w:t>HT Industries</w:t>
            </w:r>
          </w:p>
        </w:tc>
        <w:tc>
          <w:tcPr>
            <w:tcW w:w="1251" w:type="dxa"/>
          </w:tcPr>
          <w:p w:rsidR="007C5447" w:rsidRDefault="007C5447">
            <w:pPr>
              <w:pStyle w:val="TableParagraph"/>
              <w:jc w:val="left"/>
            </w:pPr>
          </w:p>
        </w:tc>
        <w:tc>
          <w:tcPr>
            <w:tcW w:w="1658" w:type="dxa"/>
          </w:tcPr>
          <w:p w:rsidR="007C5447" w:rsidRDefault="007C5447">
            <w:pPr>
              <w:pStyle w:val="TableParagraph"/>
              <w:jc w:val="left"/>
            </w:pPr>
          </w:p>
        </w:tc>
      </w:tr>
      <w:tr w:rsidR="007C5447">
        <w:trPr>
          <w:trHeight w:val="330"/>
        </w:trPr>
        <w:tc>
          <w:tcPr>
            <w:tcW w:w="1560" w:type="dxa"/>
          </w:tcPr>
          <w:p w:rsidR="007C5447" w:rsidRDefault="007C5447">
            <w:pPr>
              <w:pStyle w:val="TableParagraph"/>
              <w:jc w:val="left"/>
            </w:pPr>
          </w:p>
        </w:tc>
        <w:tc>
          <w:tcPr>
            <w:tcW w:w="1416" w:type="dxa"/>
          </w:tcPr>
          <w:p w:rsidR="007C5447" w:rsidRDefault="00F6308C">
            <w:pPr>
              <w:pStyle w:val="TableParagraph"/>
              <w:spacing w:before="37"/>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37"/>
              <w:ind w:left="196" w:right="187"/>
              <w:jc w:val="center"/>
            </w:pPr>
            <w:r>
              <w:t>6.35</w:t>
            </w:r>
          </w:p>
        </w:tc>
        <w:tc>
          <w:tcPr>
            <w:tcW w:w="1659" w:type="dxa"/>
          </w:tcPr>
          <w:p w:rsidR="007C5447" w:rsidRDefault="00F6308C">
            <w:pPr>
              <w:pStyle w:val="TableParagraph"/>
              <w:spacing w:before="37"/>
              <w:ind w:right="95"/>
            </w:pPr>
            <w:r>
              <w:t>350/kVA/month</w:t>
            </w:r>
          </w:p>
        </w:tc>
        <w:tc>
          <w:tcPr>
            <w:tcW w:w="1591" w:type="dxa"/>
          </w:tcPr>
          <w:p w:rsidR="007C5447" w:rsidRDefault="00F6308C">
            <w:pPr>
              <w:pStyle w:val="TableParagraph"/>
              <w:spacing w:before="37"/>
              <w:ind w:left="601"/>
              <w:jc w:val="left"/>
            </w:pPr>
            <w:r>
              <w:t>6.35</w:t>
            </w:r>
          </w:p>
        </w:tc>
        <w:tc>
          <w:tcPr>
            <w:tcW w:w="1658" w:type="dxa"/>
          </w:tcPr>
          <w:p w:rsidR="007C5447" w:rsidRDefault="00F6308C">
            <w:pPr>
              <w:pStyle w:val="TableParagraph"/>
              <w:spacing w:before="37"/>
              <w:ind w:left="82" w:right="77"/>
              <w:jc w:val="center"/>
            </w:pPr>
            <w:r>
              <w:t>350/kVA/month</w:t>
            </w:r>
          </w:p>
        </w:tc>
        <w:tc>
          <w:tcPr>
            <w:tcW w:w="1251" w:type="dxa"/>
          </w:tcPr>
          <w:p w:rsidR="007C5447" w:rsidRDefault="00F6308C">
            <w:pPr>
              <w:pStyle w:val="TableParagraph"/>
              <w:spacing w:before="37"/>
              <w:ind w:left="357" w:right="348"/>
              <w:jc w:val="center"/>
            </w:pPr>
            <w:r>
              <w:t>6.35</w:t>
            </w:r>
          </w:p>
        </w:tc>
        <w:tc>
          <w:tcPr>
            <w:tcW w:w="1658" w:type="dxa"/>
          </w:tcPr>
          <w:p w:rsidR="007C5447" w:rsidRDefault="00F6308C">
            <w:pPr>
              <w:pStyle w:val="TableParagraph"/>
              <w:spacing w:before="37"/>
              <w:ind w:right="94"/>
            </w:pPr>
            <w:r>
              <w:t>350/kVA/month</w:t>
            </w:r>
          </w:p>
        </w:tc>
      </w:tr>
      <w:tr w:rsidR="007C5447">
        <w:trPr>
          <w:trHeight w:val="328"/>
        </w:trPr>
        <w:tc>
          <w:tcPr>
            <w:tcW w:w="1560" w:type="dxa"/>
          </w:tcPr>
          <w:p w:rsidR="007C5447" w:rsidRDefault="00F6308C">
            <w:pPr>
              <w:pStyle w:val="TableParagraph"/>
              <w:spacing w:before="61" w:line="248" w:lineRule="exact"/>
              <w:ind w:left="113" w:right="102"/>
              <w:jc w:val="center"/>
              <w:rPr>
                <w:b/>
              </w:rPr>
            </w:pPr>
            <w:r>
              <w:rPr>
                <w:b/>
              </w:rPr>
              <w:t>HT - IB</w:t>
            </w:r>
          </w:p>
        </w:tc>
        <w:tc>
          <w:tcPr>
            <w:tcW w:w="9304" w:type="dxa"/>
            <w:gridSpan w:val="6"/>
          </w:tcPr>
          <w:p w:rsidR="007C5447" w:rsidRDefault="00F6308C">
            <w:pPr>
              <w:pStyle w:val="TableParagraph"/>
              <w:spacing w:before="61" w:line="248" w:lineRule="exact"/>
              <w:ind w:left="108"/>
              <w:jc w:val="left"/>
              <w:rPr>
                <w:b/>
              </w:rPr>
            </w:pPr>
            <w:r>
              <w:rPr>
                <w:b/>
              </w:rPr>
              <w:t>Railway Traction</w:t>
            </w:r>
          </w:p>
        </w:tc>
        <w:tc>
          <w:tcPr>
            <w:tcW w:w="1251" w:type="dxa"/>
          </w:tcPr>
          <w:p w:rsidR="007C5447" w:rsidRDefault="007C5447">
            <w:pPr>
              <w:pStyle w:val="TableParagraph"/>
              <w:jc w:val="left"/>
            </w:pPr>
          </w:p>
        </w:tc>
        <w:tc>
          <w:tcPr>
            <w:tcW w:w="1658" w:type="dxa"/>
          </w:tcPr>
          <w:p w:rsidR="007C5447" w:rsidRDefault="007C5447">
            <w:pPr>
              <w:pStyle w:val="TableParagraph"/>
              <w:jc w:val="left"/>
            </w:pPr>
          </w:p>
        </w:tc>
      </w:tr>
      <w:tr w:rsidR="007C5447">
        <w:trPr>
          <w:trHeight w:val="330"/>
        </w:trPr>
        <w:tc>
          <w:tcPr>
            <w:tcW w:w="1560" w:type="dxa"/>
          </w:tcPr>
          <w:p w:rsidR="007C5447" w:rsidRDefault="007C5447">
            <w:pPr>
              <w:pStyle w:val="TableParagraph"/>
              <w:jc w:val="left"/>
            </w:pPr>
          </w:p>
        </w:tc>
        <w:tc>
          <w:tcPr>
            <w:tcW w:w="1416" w:type="dxa"/>
          </w:tcPr>
          <w:p w:rsidR="007C5447" w:rsidRDefault="00F6308C">
            <w:pPr>
              <w:pStyle w:val="TableParagraph"/>
              <w:spacing w:before="39"/>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39"/>
              <w:ind w:left="196" w:right="187"/>
              <w:jc w:val="center"/>
            </w:pPr>
            <w:r>
              <w:t>6.35</w:t>
            </w:r>
          </w:p>
        </w:tc>
        <w:tc>
          <w:tcPr>
            <w:tcW w:w="1659" w:type="dxa"/>
          </w:tcPr>
          <w:p w:rsidR="007C5447" w:rsidRDefault="00F6308C">
            <w:pPr>
              <w:pStyle w:val="TableParagraph"/>
              <w:spacing w:before="39"/>
              <w:ind w:right="95"/>
            </w:pPr>
            <w:r>
              <w:t>300/kVA/month</w:t>
            </w:r>
          </w:p>
        </w:tc>
        <w:tc>
          <w:tcPr>
            <w:tcW w:w="1591" w:type="dxa"/>
          </w:tcPr>
          <w:p w:rsidR="007C5447" w:rsidRDefault="00F6308C">
            <w:pPr>
              <w:pStyle w:val="TableParagraph"/>
              <w:spacing w:before="39"/>
              <w:ind w:left="601"/>
              <w:jc w:val="left"/>
            </w:pPr>
            <w:r>
              <w:t>6.35</w:t>
            </w:r>
          </w:p>
        </w:tc>
        <w:tc>
          <w:tcPr>
            <w:tcW w:w="1658" w:type="dxa"/>
          </w:tcPr>
          <w:p w:rsidR="007C5447" w:rsidRDefault="00F6308C">
            <w:pPr>
              <w:pStyle w:val="TableParagraph"/>
              <w:spacing w:before="39"/>
              <w:ind w:left="82" w:right="77"/>
              <w:jc w:val="center"/>
            </w:pPr>
            <w:r>
              <w:t>300/kVA/month</w:t>
            </w:r>
          </w:p>
        </w:tc>
        <w:tc>
          <w:tcPr>
            <w:tcW w:w="1251" w:type="dxa"/>
          </w:tcPr>
          <w:p w:rsidR="007C5447" w:rsidRDefault="00F6308C">
            <w:pPr>
              <w:pStyle w:val="TableParagraph"/>
              <w:spacing w:before="39"/>
              <w:ind w:left="357" w:right="348"/>
              <w:jc w:val="center"/>
            </w:pPr>
            <w:r>
              <w:t>6.35</w:t>
            </w:r>
          </w:p>
        </w:tc>
        <w:tc>
          <w:tcPr>
            <w:tcW w:w="1658" w:type="dxa"/>
          </w:tcPr>
          <w:p w:rsidR="007C5447" w:rsidRDefault="00F6308C">
            <w:pPr>
              <w:pStyle w:val="TableParagraph"/>
              <w:spacing w:before="39"/>
              <w:ind w:right="94"/>
            </w:pPr>
            <w:r>
              <w:t>300/kVA/month</w:t>
            </w:r>
          </w:p>
        </w:tc>
      </w:tr>
      <w:tr w:rsidR="007C5447">
        <w:trPr>
          <w:trHeight w:val="330"/>
        </w:trPr>
        <w:tc>
          <w:tcPr>
            <w:tcW w:w="1560" w:type="dxa"/>
          </w:tcPr>
          <w:p w:rsidR="007C5447" w:rsidRDefault="00F6308C">
            <w:pPr>
              <w:pStyle w:val="TableParagraph"/>
              <w:spacing w:before="61" w:line="250" w:lineRule="exact"/>
              <w:ind w:left="113" w:right="100"/>
              <w:jc w:val="center"/>
              <w:rPr>
                <w:b/>
              </w:rPr>
            </w:pPr>
            <w:r>
              <w:rPr>
                <w:b/>
              </w:rPr>
              <w:t>HT - IIA</w:t>
            </w:r>
          </w:p>
        </w:tc>
        <w:tc>
          <w:tcPr>
            <w:tcW w:w="9304" w:type="dxa"/>
            <w:gridSpan w:val="6"/>
          </w:tcPr>
          <w:p w:rsidR="007C5447" w:rsidRDefault="00F6308C">
            <w:pPr>
              <w:pStyle w:val="TableParagraph"/>
              <w:spacing w:before="61" w:line="250" w:lineRule="exact"/>
              <w:ind w:left="108"/>
              <w:jc w:val="left"/>
              <w:rPr>
                <w:b/>
              </w:rPr>
            </w:pPr>
            <w:r>
              <w:rPr>
                <w:b/>
              </w:rPr>
              <w:t>Govt. Educational Institution</w:t>
            </w:r>
          </w:p>
        </w:tc>
        <w:tc>
          <w:tcPr>
            <w:tcW w:w="1251" w:type="dxa"/>
          </w:tcPr>
          <w:p w:rsidR="007C5447" w:rsidRDefault="007C5447">
            <w:pPr>
              <w:pStyle w:val="TableParagraph"/>
              <w:jc w:val="left"/>
            </w:pPr>
          </w:p>
        </w:tc>
        <w:tc>
          <w:tcPr>
            <w:tcW w:w="1658" w:type="dxa"/>
          </w:tcPr>
          <w:p w:rsidR="007C5447" w:rsidRDefault="007C5447">
            <w:pPr>
              <w:pStyle w:val="TableParagraph"/>
              <w:jc w:val="left"/>
            </w:pPr>
          </w:p>
        </w:tc>
      </w:tr>
      <w:tr w:rsidR="007C5447">
        <w:trPr>
          <w:trHeight w:val="328"/>
        </w:trPr>
        <w:tc>
          <w:tcPr>
            <w:tcW w:w="1560" w:type="dxa"/>
          </w:tcPr>
          <w:p w:rsidR="007C5447" w:rsidRDefault="007C5447">
            <w:pPr>
              <w:pStyle w:val="TableParagraph"/>
              <w:jc w:val="left"/>
            </w:pPr>
          </w:p>
        </w:tc>
        <w:tc>
          <w:tcPr>
            <w:tcW w:w="1416" w:type="dxa"/>
          </w:tcPr>
          <w:p w:rsidR="007C5447" w:rsidRDefault="00F6308C">
            <w:pPr>
              <w:pStyle w:val="TableParagraph"/>
              <w:spacing w:before="37"/>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37"/>
              <w:ind w:left="196" w:right="187"/>
              <w:jc w:val="center"/>
            </w:pPr>
            <w:r>
              <w:t>6.35</w:t>
            </w:r>
          </w:p>
        </w:tc>
        <w:tc>
          <w:tcPr>
            <w:tcW w:w="1659" w:type="dxa"/>
          </w:tcPr>
          <w:p w:rsidR="007C5447" w:rsidRDefault="00F6308C">
            <w:pPr>
              <w:pStyle w:val="TableParagraph"/>
              <w:spacing w:before="37"/>
              <w:ind w:right="95"/>
            </w:pPr>
            <w:r>
              <w:t>350/kVA/month</w:t>
            </w:r>
          </w:p>
        </w:tc>
        <w:tc>
          <w:tcPr>
            <w:tcW w:w="1591" w:type="dxa"/>
          </w:tcPr>
          <w:p w:rsidR="007C5447" w:rsidRDefault="00F6308C">
            <w:pPr>
              <w:pStyle w:val="TableParagraph"/>
              <w:spacing w:before="37"/>
              <w:ind w:left="601"/>
              <w:jc w:val="left"/>
            </w:pPr>
            <w:r>
              <w:t>6.35</w:t>
            </w:r>
          </w:p>
        </w:tc>
        <w:tc>
          <w:tcPr>
            <w:tcW w:w="1658" w:type="dxa"/>
          </w:tcPr>
          <w:p w:rsidR="007C5447" w:rsidRDefault="00F6308C">
            <w:pPr>
              <w:pStyle w:val="TableParagraph"/>
              <w:spacing w:before="37"/>
              <w:ind w:left="82" w:right="77"/>
              <w:jc w:val="center"/>
            </w:pPr>
            <w:r>
              <w:t>350/kVA/month</w:t>
            </w:r>
          </w:p>
        </w:tc>
        <w:tc>
          <w:tcPr>
            <w:tcW w:w="1251" w:type="dxa"/>
          </w:tcPr>
          <w:p w:rsidR="007C5447" w:rsidRDefault="00F6308C">
            <w:pPr>
              <w:pStyle w:val="TableParagraph"/>
              <w:spacing w:before="37"/>
              <w:ind w:left="357" w:right="348"/>
              <w:jc w:val="center"/>
            </w:pPr>
            <w:r>
              <w:t>6.35</w:t>
            </w:r>
          </w:p>
        </w:tc>
        <w:tc>
          <w:tcPr>
            <w:tcW w:w="1658" w:type="dxa"/>
          </w:tcPr>
          <w:p w:rsidR="007C5447" w:rsidRDefault="00F6308C">
            <w:pPr>
              <w:pStyle w:val="TableParagraph"/>
              <w:spacing w:before="37"/>
              <w:ind w:right="94"/>
            </w:pPr>
            <w:r>
              <w:t>350/kVA/month</w:t>
            </w:r>
          </w:p>
        </w:tc>
      </w:tr>
      <w:tr w:rsidR="007C5447">
        <w:trPr>
          <w:trHeight w:val="330"/>
        </w:trPr>
        <w:tc>
          <w:tcPr>
            <w:tcW w:w="1560" w:type="dxa"/>
          </w:tcPr>
          <w:p w:rsidR="007C5447" w:rsidRDefault="00F6308C">
            <w:pPr>
              <w:pStyle w:val="TableParagraph"/>
              <w:spacing w:before="61" w:line="250" w:lineRule="exact"/>
              <w:ind w:left="113" w:right="105"/>
              <w:jc w:val="center"/>
              <w:rPr>
                <w:b/>
              </w:rPr>
            </w:pPr>
            <w:r>
              <w:rPr>
                <w:b/>
              </w:rPr>
              <w:t>HT - IIB</w:t>
            </w:r>
          </w:p>
        </w:tc>
        <w:tc>
          <w:tcPr>
            <w:tcW w:w="9304" w:type="dxa"/>
            <w:gridSpan w:val="6"/>
          </w:tcPr>
          <w:p w:rsidR="007C5447" w:rsidRDefault="00F6308C">
            <w:pPr>
              <w:pStyle w:val="TableParagraph"/>
              <w:spacing w:before="61" w:line="250" w:lineRule="exact"/>
              <w:ind w:left="108"/>
              <w:jc w:val="left"/>
              <w:rPr>
                <w:b/>
              </w:rPr>
            </w:pPr>
            <w:r>
              <w:rPr>
                <w:b/>
              </w:rPr>
              <w:t>Pvt. Educational Institution</w:t>
            </w:r>
          </w:p>
        </w:tc>
        <w:tc>
          <w:tcPr>
            <w:tcW w:w="1251" w:type="dxa"/>
          </w:tcPr>
          <w:p w:rsidR="007C5447" w:rsidRDefault="007C5447">
            <w:pPr>
              <w:pStyle w:val="TableParagraph"/>
              <w:jc w:val="left"/>
            </w:pPr>
          </w:p>
        </w:tc>
        <w:tc>
          <w:tcPr>
            <w:tcW w:w="1658" w:type="dxa"/>
          </w:tcPr>
          <w:p w:rsidR="007C5447" w:rsidRDefault="007C5447">
            <w:pPr>
              <w:pStyle w:val="TableParagraph"/>
              <w:jc w:val="left"/>
            </w:pPr>
          </w:p>
        </w:tc>
      </w:tr>
      <w:tr w:rsidR="007C5447">
        <w:trPr>
          <w:trHeight w:val="331"/>
        </w:trPr>
        <w:tc>
          <w:tcPr>
            <w:tcW w:w="1560" w:type="dxa"/>
          </w:tcPr>
          <w:p w:rsidR="007C5447" w:rsidRDefault="007C5447">
            <w:pPr>
              <w:pStyle w:val="TableParagraph"/>
              <w:jc w:val="left"/>
            </w:pPr>
          </w:p>
        </w:tc>
        <w:tc>
          <w:tcPr>
            <w:tcW w:w="1416" w:type="dxa"/>
          </w:tcPr>
          <w:p w:rsidR="007C5447" w:rsidRDefault="00F6308C">
            <w:pPr>
              <w:pStyle w:val="TableParagraph"/>
              <w:spacing w:before="37"/>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37"/>
              <w:ind w:left="196" w:right="187"/>
              <w:jc w:val="center"/>
            </w:pPr>
            <w:r>
              <w:t>6.35</w:t>
            </w:r>
          </w:p>
        </w:tc>
        <w:tc>
          <w:tcPr>
            <w:tcW w:w="1659" w:type="dxa"/>
          </w:tcPr>
          <w:p w:rsidR="007C5447" w:rsidRDefault="00F6308C">
            <w:pPr>
              <w:pStyle w:val="TableParagraph"/>
              <w:spacing w:before="37"/>
              <w:ind w:right="95"/>
            </w:pPr>
            <w:r>
              <w:t>350/kVA/month</w:t>
            </w:r>
          </w:p>
        </w:tc>
        <w:tc>
          <w:tcPr>
            <w:tcW w:w="1591" w:type="dxa"/>
          </w:tcPr>
          <w:p w:rsidR="007C5447" w:rsidRDefault="00F6308C">
            <w:pPr>
              <w:pStyle w:val="TableParagraph"/>
              <w:spacing w:before="37"/>
              <w:ind w:left="601"/>
              <w:jc w:val="left"/>
            </w:pPr>
            <w:r>
              <w:t>6.35</w:t>
            </w:r>
          </w:p>
        </w:tc>
        <w:tc>
          <w:tcPr>
            <w:tcW w:w="1658" w:type="dxa"/>
          </w:tcPr>
          <w:p w:rsidR="007C5447" w:rsidRDefault="00F6308C">
            <w:pPr>
              <w:pStyle w:val="TableParagraph"/>
              <w:spacing w:before="37"/>
              <w:ind w:left="82" w:right="77"/>
              <w:jc w:val="center"/>
            </w:pPr>
            <w:r>
              <w:t>350/kVA/month</w:t>
            </w:r>
          </w:p>
        </w:tc>
        <w:tc>
          <w:tcPr>
            <w:tcW w:w="1251" w:type="dxa"/>
          </w:tcPr>
          <w:p w:rsidR="007C5447" w:rsidRDefault="00F6308C">
            <w:pPr>
              <w:pStyle w:val="TableParagraph"/>
              <w:spacing w:before="37"/>
              <w:ind w:left="357" w:right="348"/>
              <w:jc w:val="center"/>
            </w:pPr>
            <w:r>
              <w:t>6.35</w:t>
            </w:r>
          </w:p>
        </w:tc>
        <w:tc>
          <w:tcPr>
            <w:tcW w:w="1658" w:type="dxa"/>
          </w:tcPr>
          <w:p w:rsidR="007C5447" w:rsidRDefault="00F6308C">
            <w:pPr>
              <w:pStyle w:val="TableParagraph"/>
              <w:spacing w:before="37"/>
              <w:ind w:right="94"/>
            </w:pPr>
            <w:r>
              <w:t>350/kVA/month</w:t>
            </w:r>
          </w:p>
        </w:tc>
      </w:tr>
      <w:tr w:rsidR="007C5447">
        <w:trPr>
          <w:trHeight w:val="328"/>
        </w:trPr>
        <w:tc>
          <w:tcPr>
            <w:tcW w:w="1560" w:type="dxa"/>
          </w:tcPr>
          <w:p w:rsidR="007C5447" w:rsidRDefault="00F6308C">
            <w:pPr>
              <w:pStyle w:val="TableParagraph"/>
              <w:spacing w:before="61" w:line="248" w:lineRule="exact"/>
              <w:ind w:left="113" w:right="101"/>
              <w:jc w:val="center"/>
              <w:rPr>
                <w:b/>
              </w:rPr>
            </w:pPr>
            <w:r>
              <w:rPr>
                <w:b/>
              </w:rPr>
              <w:t>HT - III</w:t>
            </w:r>
          </w:p>
        </w:tc>
        <w:tc>
          <w:tcPr>
            <w:tcW w:w="9304" w:type="dxa"/>
            <w:gridSpan w:val="6"/>
          </w:tcPr>
          <w:p w:rsidR="007C5447" w:rsidRDefault="00F6308C">
            <w:pPr>
              <w:pStyle w:val="TableParagraph"/>
              <w:spacing w:before="61" w:line="248" w:lineRule="exact"/>
              <w:ind w:left="108"/>
              <w:jc w:val="left"/>
              <w:rPr>
                <w:b/>
              </w:rPr>
            </w:pPr>
            <w:r>
              <w:rPr>
                <w:b/>
              </w:rPr>
              <w:t>HT Commercial</w:t>
            </w:r>
          </w:p>
        </w:tc>
        <w:tc>
          <w:tcPr>
            <w:tcW w:w="1251" w:type="dxa"/>
          </w:tcPr>
          <w:p w:rsidR="007C5447" w:rsidRDefault="007C5447">
            <w:pPr>
              <w:pStyle w:val="TableParagraph"/>
              <w:jc w:val="left"/>
            </w:pPr>
          </w:p>
        </w:tc>
        <w:tc>
          <w:tcPr>
            <w:tcW w:w="1658" w:type="dxa"/>
          </w:tcPr>
          <w:p w:rsidR="007C5447" w:rsidRDefault="007C5447">
            <w:pPr>
              <w:pStyle w:val="TableParagraph"/>
              <w:jc w:val="left"/>
            </w:pPr>
          </w:p>
        </w:tc>
      </w:tr>
      <w:tr w:rsidR="007C5447">
        <w:trPr>
          <w:trHeight w:val="330"/>
        </w:trPr>
        <w:tc>
          <w:tcPr>
            <w:tcW w:w="1560" w:type="dxa"/>
          </w:tcPr>
          <w:p w:rsidR="007C5447" w:rsidRDefault="007C5447">
            <w:pPr>
              <w:pStyle w:val="TableParagraph"/>
              <w:jc w:val="left"/>
            </w:pPr>
          </w:p>
        </w:tc>
        <w:tc>
          <w:tcPr>
            <w:tcW w:w="1416" w:type="dxa"/>
          </w:tcPr>
          <w:p w:rsidR="007C5447" w:rsidRDefault="00F6308C">
            <w:pPr>
              <w:pStyle w:val="TableParagraph"/>
              <w:spacing w:before="39"/>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39"/>
              <w:ind w:left="196" w:right="187"/>
              <w:jc w:val="center"/>
            </w:pPr>
            <w:r>
              <w:t>8.00</w:t>
            </w:r>
          </w:p>
        </w:tc>
        <w:tc>
          <w:tcPr>
            <w:tcW w:w="1659" w:type="dxa"/>
          </w:tcPr>
          <w:p w:rsidR="007C5447" w:rsidRDefault="00F6308C">
            <w:pPr>
              <w:pStyle w:val="TableParagraph"/>
              <w:spacing w:before="39"/>
              <w:ind w:right="95"/>
            </w:pPr>
            <w:r>
              <w:t>350/kVA/month</w:t>
            </w:r>
          </w:p>
        </w:tc>
        <w:tc>
          <w:tcPr>
            <w:tcW w:w="1591" w:type="dxa"/>
          </w:tcPr>
          <w:p w:rsidR="007C5447" w:rsidRDefault="00F6308C">
            <w:pPr>
              <w:pStyle w:val="TableParagraph"/>
              <w:spacing w:before="39"/>
              <w:ind w:left="601"/>
              <w:jc w:val="left"/>
            </w:pPr>
            <w:r>
              <w:t>8.00</w:t>
            </w:r>
          </w:p>
        </w:tc>
        <w:tc>
          <w:tcPr>
            <w:tcW w:w="1658" w:type="dxa"/>
          </w:tcPr>
          <w:p w:rsidR="007C5447" w:rsidRDefault="00F6308C">
            <w:pPr>
              <w:pStyle w:val="TableParagraph"/>
              <w:spacing w:before="39"/>
              <w:ind w:left="82" w:right="77"/>
              <w:jc w:val="center"/>
            </w:pPr>
            <w:r>
              <w:t>350/kVA/month</w:t>
            </w:r>
          </w:p>
        </w:tc>
        <w:tc>
          <w:tcPr>
            <w:tcW w:w="1251" w:type="dxa"/>
          </w:tcPr>
          <w:p w:rsidR="007C5447" w:rsidRDefault="00F6308C">
            <w:pPr>
              <w:pStyle w:val="TableParagraph"/>
              <w:spacing w:before="39"/>
              <w:ind w:left="357" w:right="348"/>
              <w:jc w:val="center"/>
            </w:pPr>
            <w:r>
              <w:t>8.00</w:t>
            </w:r>
          </w:p>
        </w:tc>
        <w:tc>
          <w:tcPr>
            <w:tcW w:w="1658" w:type="dxa"/>
          </w:tcPr>
          <w:p w:rsidR="007C5447" w:rsidRDefault="00F6308C">
            <w:pPr>
              <w:pStyle w:val="TableParagraph"/>
              <w:spacing w:before="39"/>
              <w:ind w:right="94"/>
            </w:pPr>
            <w:r>
              <w:t>350/kVA/month</w:t>
            </w:r>
          </w:p>
        </w:tc>
      </w:tr>
    </w:tbl>
    <w:p w:rsidR="007C5447" w:rsidRDefault="007C5447">
      <w:pPr>
        <w:sectPr w:rsidR="007C5447">
          <w:pgSz w:w="16840" w:h="11910" w:orient="landscape"/>
          <w:pgMar w:top="1100" w:right="1620" w:bottom="960" w:left="1220" w:header="0" w:footer="777" w:gutter="0"/>
          <w:cols w:space="720"/>
        </w:sectPr>
      </w:pPr>
    </w:p>
    <w:p w:rsidR="007C5447" w:rsidRDefault="007C5447">
      <w:pPr>
        <w:pStyle w:val="BodyText"/>
        <w:rPr>
          <w:sz w:val="2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1416"/>
        <w:gridCol w:w="1561"/>
        <w:gridCol w:w="1419"/>
        <w:gridCol w:w="1659"/>
        <w:gridCol w:w="1591"/>
        <w:gridCol w:w="1658"/>
        <w:gridCol w:w="1251"/>
        <w:gridCol w:w="1658"/>
      </w:tblGrid>
      <w:tr w:rsidR="007C5447">
        <w:trPr>
          <w:trHeight w:val="330"/>
        </w:trPr>
        <w:tc>
          <w:tcPr>
            <w:tcW w:w="1560" w:type="dxa"/>
            <w:vMerge w:val="restart"/>
            <w:shd w:val="clear" w:color="auto" w:fill="F7C9AC"/>
          </w:tcPr>
          <w:p w:rsidR="007C5447" w:rsidRDefault="007C5447">
            <w:pPr>
              <w:pStyle w:val="TableParagraph"/>
              <w:spacing w:before="11"/>
              <w:jc w:val="left"/>
              <w:rPr>
                <w:sz w:val="26"/>
              </w:rPr>
            </w:pPr>
          </w:p>
          <w:p w:rsidR="007C5447" w:rsidRDefault="00F6308C">
            <w:pPr>
              <w:pStyle w:val="TableParagraph"/>
              <w:ind w:left="345" w:right="263" w:hanging="56"/>
              <w:jc w:val="left"/>
              <w:rPr>
                <w:b/>
              </w:rPr>
            </w:pPr>
            <w:r>
              <w:rPr>
                <w:b/>
              </w:rPr>
              <w:t>Consumer Category</w:t>
            </w:r>
          </w:p>
        </w:tc>
        <w:tc>
          <w:tcPr>
            <w:tcW w:w="1416" w:type="dxa"/>
            <w:vMerge w:val="restart"/>
            <w:shd w:val="clear" w:color="auto" w:fill="F7C9AC"/>
          </w:tcPr>
          <w:p w:rsidR="007C5447" w:rsidRDefault="007C5447">
            <w:pPr>
              <w:pStyle w:val="TableParagraph"/>
              <w:spacing w:before="11"/>
              <w:jc w:val="left"/>
              <w:rPr>
                <w:sz w:val="26"/>
              </w:rPr>
            </w:pPr>
          </w:p>
          <w:p w:rsidR="007C5447" w:rsidRDefault="00F6308C">
            <w:pPr>
              <w:pStyle w:val="TableParagraph"/>
              <w:ind w:left="125" w:right="94" w:firstLine="331"/>
              <w:jc w:val="left"/>
              <w:rPr>
                <w:b/>
              </w:rPr>
            </w:pPr>
            <w:r>
              <w:rPr>
                <w:b/>
              </w:rPr>
              <w:t>Slabs (Per Month)</w:t>
            </w:r>
          </w:p>
        </w:tc>
        <w:tc>
          <w:tcPr>
            <w:tcW w:w="1561" w:type="dxa"/>
            <w:vMerge w:val="restart"/>
            <w:shd w:val="clear" w:color="auto" w:fill="F7C9AC"/>
          </w:tcPr>
          <w:p w:rsidR="007C5447" w:rsidRDefault="007C5447">
            <w:pPr>
              <w:pStyle w:val="TableParagraph"/>
              <w:jc w:val="left"/>
              <w:rPr>
                <w:sz w:val="24"/>
              </w:rPr>
            </w:pPr>
          </w:p>
          <w:p w:rsidR="007C5447" w:rsidRDefault="00F6308C">
            <w:pPr>
              <w:pStyle w:val="TableParagraph"/>
              <w:spacing w:before="161"/>
              <w:ind w:left="134"/>
              <w:jc w:val="left"/>
              <w:rPr>
                <w:b/>
              </w:rPr>
            </w:pPr>
            <w:r>
              <w:rPr>
                <w:b/>
              </w:rPr>
              <w:t>Sub Category</w:t>
            </w:r>
          </w:p>
        </w:tc>
        <w:tc>
          <w:tcPr>
            <w:tcW w:w="3078" w:type="dxa"/>
            <w:gridSpan w:val="2"/>
            <w:shd w:val="clear" w:color="auto" w:fill="F7C9AC"/>
          </w:tcPr>
          <w:p w:rsidR="007C5447" w:rsidRDefault="00F6308C">
            <w:pPr>
              <w:pStyle w:val="TableParagraph"/>
              <w:spacing w:before="37"/>
              <w:ind w:left="844"/>
              <w:jc w:val="left"/>
              <w:rPr>
                <w:b/>
              </w:rPr>
            </w:pPr>
            <w:r>
              <w:rPr>
                <w:b/>
              </w:rPr>
              <w:t>Existing Tariff</w:t>
            </w:r>
          </w:p>
        </w:tc>
        <w:tc>
          <w:tcPr>
            <w:tcW w:w="3249" w:type="dxa"/>
            <w:gridSpan w:val="2"/>
            <w:shd w:val="clear" w:color="auto" w:fill="F7C9AC"/>
          </w:tcPr>
          <w:p w:rsidR="007C5447" w:rsidRDefault="00F6308C">
            <w:pPr>
              <w:pStyle w:val="TableParagraph"/>
              <w:spacing w:before="37"/>
              <w:ind w:left="875"/>
              <w:jc w:val="left"/>
              <w:rPr>
                <w:b/>
              </w:rPr>
            </w:pPr>
            <w:r>
              <w:rPr>
                <w:b/>
              </w:rPr>
              <w:t>Proposed Tariff</w:t>
            </w:r>
          </w:p>
        </w:tc>
        <w:tc>
          <w:tcPr>
            <w:tcW w:w="2909" w:type="dxa"/>
            <w:gridSpan w:val="2"/>
            <w:shd w:val="clear" w:color="auto" w:fill="F7C9AC"/>
          </w:tcPr>
          <w:p w:rsidR="007C5447" w:rsidRDefault="00F6308C">
            <w:pPr>
              <w:pStyle w:val="TableParagraph"/>
              <w:spacing w:before="37"/>
              <w:ind w:left="674"/>
              <w:jc w:val="left"/>
              <w:rPr>
                <w:b/>
              </w:rPr>
            </w:pPr>
            <w:r>
              <w:rPr>
                <w:b/>
              </w:rPr>
              <w:t>Approved Tariff</w:t>
            </w:r>
          </w:p>
        </w:tc>
      </w:tr>
      <w:tr w:rsidR="007C5447">
        <w:trPr>
          <w:trHeight w:val="789"/>
        </w:trPr>
        <w:tc>
          <w:tcPr>
            <w:tcW w:w="1560" w:type="dxa"/>
            <w:vMerge/>
            <w:tcBorders>
              <w:top w:val="nil"/>
            </w:tcBorders>
            <w:shd w:val="clear" w:color="auto" w:fill="F7C9AC"/>
          </w:tcPr>
          <w:p w:rsidR="007C5447" w:rsidRDefault="007C5447">
            <w:pPr>
              <w:rPr>
                <w:sz w:val="2"/>
                <w:szCs w:val="2"/>
              </w:rPr>
            </w:pPr>
          </w:p>
        </w:tc>
        <w:tc>
          <w:tcPr>
            <w:tcW w:w="1416" w:type="dxa"/>
            <w:vMerge/>
            <w:tcBorders>
              <w:top w:val="nil"/>
            </w:tcBorders>
            <w:shd w:val="clear" w:color="auto" w:fill="F7C9AC"/>
          </w:tcPr>
          <w:p w:rsidR="007C5447" w:rsidRDefault="007C5447">
            <w:pPr>
              <w:rPr>
                <w:sz w:val="2"/>
                <w:szCs w:val="2"/>
              </w:rPr>
            </w:pPr>
          </w:p>
        </w:tc>
        <w:tc>
          <w:tcPr>
            <w:tcW w:w="1561" w:type="dxa"/>
            <w:vMerge/>
            <w:tcBorders>
              <w:top w:val="nil"/>
            </w:tcBorders>
            <w:shd w:val="clear" w:color="auto" w:fill="F7C9AC"/>
          </w:tcPr>
          <w:p w:rsidR="007C5447" w:rsidRDefault="007C5447">
            <w:pPr>
              <w:rPr>
                <w:sz w:val="2"/>
                <w:szCs w:val="2"/>
              </w:rPr>
            </w:pPr>
          </w:p>
        </w:tc>
        <w:tc>
          <w:tcPr>
            <w:tcW w:w="1419" w:type="dxa"/>
            <w:shd w:val="clear" w:color="auto" w:fill="F7C9AC"/>
          </w:tcPr>
          <w:p w:rsidR="007C5447" w:rsidRDefault="00F6308C">
            <w:pPr>
              <w:pStyle w:val="TableParagraph"/>
              <w:spacing w:before="13"/>
              <w:ind w:left="316" w:right="306" w:firstLine="48"/>
              <w:rPr>
                <w:b/>
              </w:rPr>
            </w:pPr>
            <w:r>
              <w:rPr>
                <w:b/>
              </w:rPr>
              <w:t>Energy Charges</w:t>
            </w:r>
          </w:p>
          <w:p w:rsidR="007C5447" w:rsidRDefault="00F6308C">
            <w:pPr>
              <w:pStyle w:val="TableParagraph"/>
              <w:spacing w:line="250" w:lineRule="exact"/>
              <w:ind w:right="210"/>
              <w:rPr>
                <w:b/>
              </w:rPr>
            </w:pPr>
            <w:r>
              <w:rPr>
                <w:b/>
              </w:rPr>
              <w:t>(Rs./kWh)</w:t>
            </w:r>
          </w:p>
        </w:tc>
        <w:tc>
          <w:tcPr>
            <w:tcW w:w="1659" w:type="dxa"/>
            <w:shd w:val="clear" w:color="auto" w:fill="F7C9AC"/>
          </w:tcPr>
          <w:p w:rsidR="007C5447" w:rsidRDefault="00F6308C">
            <w:pPr>
              <w:pStyle w:val="TableParagraph"/>
              <w:spacing w:before="140"/>
              <w:ind w:left="603" w:right="122" w:hanging="459"/>
              <w:jc w:val="left"/>
              <w:rPr>
                <w:b/>
              </w:rPr>
            </w:pPr>
            <w:r>
              <w:rPr>
                <w:b/>
              </w:rPr>
              <w:t>Fixed Charges (Rs.)</w:t>
            </w:r>
          </w:p>
        </w:tc>
        <w:tc>
          <w:tcPr>
            <w:tcW w:w="1591" w:type="dxa"/>
            <w:shd w:val="clear" w:color="auto" w:fill="F7C9AC"/>
          </w:tcPr>
          <w:p w:rsidR="007C5447" w:rsidRDefault="00F6308C">
            <w:pPr>
              <w:pStyle w:val="TableParagraph"/>
              <w:spacing w:before="13"/>
              <w:ind w:left="399" w:right="395" w:firstLine="50"/>
              <w:rPr>
                <w:b/>
              </w:rPr>
            </w:pPr>
            <w:r>
              <w:rPr>
                <w:b/>
              </w:rPr>
              <w:t>Energy Charges</w:t>
            </w:r>
          </w:p>
          <w:p w:rsidR="007C5447" w:rsidRDefault="00F6308C">
            <w:pPr>
              <w:pStyle w:val="TableParagraph"/>
              <w:spacing w:line="250" w:lineRule="exact"/>
              <w:ind w:right="299"/>
              <w:rPr>
                <w:b/>
              </w:rPr>
            </w:pPr>
            <w:r>
              <w:rPr>
                <w:b/>
              </w:rPr>
              <w:t>(Rs./kWh)</w:t>
            </w:r>
          </w:p>
        </w:tc>
        <w:tc>
          <w:tcPr>
            <w:tcW w:w="1658" w:type="dxa"/>
            <w:shd w:val="clear" w:color="auto" w:fill="F7C9AC"/>
          </w:tcPr>
          <w:p w:rsidR="007C5447" w:rsidRDefault="00F6308C">
            <w:pPr>
              <w:pStyle w:val="TableParagraph"/>
              <w:spacing w:before="140"/>
              <w:ind w:left="601" w:right="123" w:hanging="459"/>
              <w:jc w:val="left"/>
              <w:rPr>
                <w:b/>
              </w:rPr>
            </w:pPr>
            <w:r>
              <w:rPr>
                <w:b/>
              </w:rPr>
              <w:t>Fixed Charges (Rs.)</w:t>
            </w:r>
          </w:p>
        </w:tc>
        <w:tc>
          <w:tcPr>
            <w:tcW w:w="1251" w:type="dxa"/>
            <w:shd w:val="clear" w:color="auto" w:fill="F7C9AC"/>
          </w:tcPr>
          <w:p w:rsidR="007C5447" w:rsidRDefault="00F6308C">
            <w:pPr>
              <w:pStyle w:val="TableParagraph"/>
              <w:spacing w:before="13"/>
              <w:ind w:left="232" w:right="222" w:firstLine="48"/>
              <w:rPr>
                <w:b/>
              </w:rPr>
            </w:pPr>
            <w:r>
              <w:rPr>
                <w:b/>
              </w:rPr>
              <w:t>Energy Charges</w:t>
            </w:r>
          </w:p>
          <w:p w:rsidR="007C5447" w:rsidRDefault="00F6308C">
            <w:pPr>
              <w:pStyle w:val="TableParagraph"/>
              <w:spacing w:line="250" w:lineRule="exact"/>
              <w:ind w:right="126"/>
              <w:rPr>
                <w:b/>
              </w:rPr>
            </w:pPr>
            <w:r>
              <w:rPr>
                <w:b/>
              </w:rPr>
              <w:t>(Rs./kWh)</w:t>
            </w:r>
          </w:p>
        </w:tc>
        <w:tc>
          <w:tcPr>
            <w:tcW w:w="1658" w:type="dxa"/>
            <w:shd w:val="clear" w:color="auto" w:fill="F7C9AC"/>
          </w:tcPr>
          <w:p w:rsidR="007C5447" w:rsidRDefault="00F6308C">
            <w:pPr>
              <w:pStyle w:val="TableParagraph"/>
              <w:spacing w:before="140"/>
              <w:ind w:left="604" w:right="120" w:hanging="459"/>
              <w:jc w:val="left"/>
              <w:rPr>
                <w:b/>
              </w:rPr>
            </w:pPr>
            <w:r>
              <w:rPr>
                <w:b/>
              </w:rPr>
              <w:t>Fixed Charges (Rs.)</w:t>
            </w:r>
          </w:p>
        </w:tc>
      </w:tr>
      <w:tr w:rsidR="007C5447">
        <w:trPr>
          <w:trHeight w:val="328"/>
        </w:trPr>
        <w:tc>
          <w:tcPr>
            <w:tcW w:w="1560" w:type="dxa"/>
          </w:tcPr>
          <w:p w:rsidR="007C5447" w:rsidRDefault="00F6308C">
            <w:pPr>
              <w:pStyle w:val="TableParagraph"/>
              <w:spacing w:before="61" w:line="248" w:lineRule="exact"/>
              <w:ind w:left="113" w:right="104"/>
              <w:jc w:val="center"/>
              <w:rPr>
                <w:b/>
              </w:rPr>
            </w:pPr>
            <w:r>
              <w:rPr>
                <w:b/>
              </w:rPr>
              <w:t>HT - IV</w:t>
            </w:r>
          </w:p>
        </w:tc>
        <w:tc>
          <w:tcPr>
            <w:tcW w:w="9304" w:type="dxa"/>
            <w:gridSpan w:val="6"/>
          </w:tcPr>
          <w:p w:rsidR="007C5447" w:rsidRDefault="00F6308C">
            <w:pPr>
              <w:pStyle w:val="TableParagraph"/>
              <w:spacing w:before="61" w:line="248" w:lineRule="exact"/>
              <w:ind w:left="108"/>
              <w:jc w:val="left"/>
              <w:rPr>
                <w:b/>
              </w:rPr>
            </w:pPr>
            <w:r>
              <w:rPr>
                <w:b/>
              </w:rPr>
              <w:t>Lift Irrigation Societies</w:t>
            </w:r>
          </w:p>
        </w:tc>
        <w:tc>
          <w:tcPr>
            <w:tcW w:w="1251" w:type="dxa"/>
          </w:tcPr>
          <w:p w:rsidR="007C5447" w:rsidRDefault="007C5447">
            <w:pPr>
              <w:pStyle w:val="TableParagraph"/>
              <w:jc w:val="left"/>
            </w:pPr>
          </w:p>
        </w:tc>
        <w:tc>
          <w:tcPr>
            <w:tcW w:w="1658" w:type="dxa"/>
          </w:tcPr>
          <w:p w:rsidR="007C5447" w:rsidRDefault="007C5447">
            <w:pPr>
              <w:pStyle w:val="TableParagraph"/>
              <w:jc w:val="left"/>
            </w:pPr>
          </w:p>
        </w:tc>
      </w:tr>
      <w:tr w:rsidR="007C5447">
        <w:trPr>
          <w:trHeight w:val="330"/>
        </w:trPr>
        <w:tc>
          <w:tcPr>
            <w:tcW w:w="1560" w:type="dxa"/>
          </w:tcPr>
          <w:p w:rsidR="007C5447" w:rsidRDefault="007C5447">
            <w:pPr>
              <w:pStyle w:val="TableParagraph"/>
              <w:jc w:val="left"/>
            </w:pPr>
          </w:p>
        </w:tc>
        <w:tc>
          <w:tcPr>
            <w:tcW w:w="1416" w:type="dxa"/>
          </w:tcPr>
          <w:p w:rsidR="007C5447" w:rsidRDefault="00F6308C">
            <w:pPr>
              <w:pStyle w:val="TableParagraph"/>
              <w:spacing w:before="37"/>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37"/>
              <w:ind w:left="196" w:right="187"/>
              <w:jc w:val="center"/>
            </w:pPr>
            <w:r>
              <w:t>6.35</w:t>
            </w:r>
          </w:p>
        </w:tc>
        <w:tc>
          <w:tcPr>
            <w:tcW w:w="1659" w:type="dxa"/>
          </w:tcPr>
          <w:p w:rsidR="007C5447" w:rsidRDefault="00F6308C">
            <w:pPr>
              <w:pStyle w:val="TableParagraph"/>
              <w:spacing w:before="37"/>
              <w:ind w:left="6"/>
              <w:jc w:val="center"/>
            </w:pPr>
            <w:r>
              <w:t>-</w:t>
            </w:r>
          </w:p>
        </w:tc>
        <w:tc>
          <w:tcPr>
            <w:tcW w:w="1591" w:type="dxa"/>
          </w:tcPr>
          <w:p w:rsidR="007C5447" w:rsidRDefault="00F6308C">
            <w:pPr>
              <w:pStyle w:val="TableParagraph"/>
              <w:spacing w:before="37"/>
              <w:ind w:left="601"/>
              <w:jc w:val="left"/>
            </w:pPr>
            <w:r>
              <w:t>6.35</w:t>
            </w:r>
          </w:p>
        </w:tc>
        <w:tc>
          <w:tcPr>
            <w:tcW w:w="1658" w:type="dxa"/>
          </w:tcPr>
          <w:p w:rsidR="007C5447" w:rsidRDefault="00F6308C">
            <w:pPr>
              <w:pStyle w:val="TableParagraph"/>
              <w:spacing w:before="37"/>
              <w:ind w:left="3"/>
              <w:jc w:val="center"/>
            </w:pPr>
            <w:r>
              <w:t>-</w:t>
            </w:r>
          </w:p>
        </w:tc>
        <w:tc>
          <w:tcPr>
            <w:tcW w:w="1251" w:type="dxa"/>
          </w:tcPr>
          <w:p w:rsidR="007C5447" w:rsidRDefault="00F6308C">
            <w:pPr>
              <w:pStyle w:val="TableParagraph"/>
              <w:spacing w:before="37"/>
              <w:ind w:left="357" w:right="348"/>
              <w:jc w:val="center"/>
            </w:pPr>
            <w:r>
              <w:t>6.35</w:t>
            </w:r>
          </w:p>
        </w:tc>
        <w:tc>
          <w:tcPr>
            <w:tcW w:w="1658" w:type="dxa"/>
          </w:tcPr>
          <w:p w:rsidR="007C5447" w:rsidRDefault="00F6308C">
            <w:pPr>
              <w:pStyle w:val="TableParagraph"/>
              <w:spacing w:before="37"/>
              <w:ind w:left="8"/>
              <w:jc w:val="center"/>
            </w:pPr>
            <w:r>
              <w:t>-</w:t>
            </w:r>
          </w:p>
        </w:tc>
      </w:tr>
      <w:tr w:rsidR="007C5447">
        <w:trPr>
          <w:trHeight w:val="330"/>
        </w:trPr>
        <w:tc>
          <w:tcPr>
            <w:tcW w:w="1560" w:type="dxa"/>
          </w:tcPr>
          <w:p w:rsidR="007C5447" w:rsidRDefault="00F6308C">
            <w:pPr>
              <w:pStyle w:val="TableParagraph"/>
              <w:spacing w:before="61" w:line="250" w:lineRule="exact"/>
              <w:ind w:left="113" w:right="102"/>
              <w:jc w:val="center"/>
              <w:rPr>
                <w:b/>
              </w:rPr>
            </w:pPr>
            <w:r>
              <w:rPr>
                <w:b/>
              </w:rPr>
              <w:t>HT - V</w:t>
            </w:r>
          </w:p>
        </w:tc>
        <w:tc>
          <w:tcPr>
            <w:tcW w:w="9304" w:type="dxa"/>
            <w:gridSpan w:val="6"/>
          </w:tcPr>
          <w:p w:rsidR="007C5447" w:rsidRDefault="00F6308C">
            <w:pPr>
              <w:pStyle w:val="TableParagraph"/>
              <w:spacing w:before="61" w:line="250" w:lineRule="exact"/>
              <w:ind w:left="108"/>
              <w:jc w:val="left"/>
              <w:rPr>
                <w:b/>
              </w:rPr>
            </w:pPr>
            <w:r>
              <w:rPr>
                <w:b/>
              </w:rPr>
              <w:t>Temporary Supply</w:t>
            </w:r>
          </w:p>
        </w:tc>
        <w:tc>
          <w:tcPr>
            <w:tcW w:w="1251" w:type="dxa"/>
          </w:tcPr>
          <w:p w:rsidR="007C5447" w:rsidRDefault="007C5447">
            <w:pPr>
              <w:pStyle w:val="TableParagraph"/>
              <w:jc w:val="left"/>
            </w:pPr>
          </w:p>
        </w:tc>
        <w:tc>
          <w:tcPr>
            <w:tcW w:w="1658" w:type="dxa"/>
          </w:tcPr>
          <w:p w:rsidR="007C5447" w:rsidRDefault="007C5447">
            <w:pPr>
              <w:pStyle w:val="TableParagraph"/>
              <w:jc w:val="left"/>
            </w:pPr>
          </w:p>
        </w:tc>
      </w:tr>
      <w:tr w:rsidR="007C5447">
        <w:trPr>
          <w:trHeight w:val="328"/>
        </w:trPr>
        <w:tc>
          <w:tcPr>
            <w:tcW w:w="1560" w:type="dxa"/>
          </w:tcPr>
          <w:p w:rsidR="007C5447" w:rsidRDefault="007C5447">
            <w:pPr>
              <w:pStyle w:val="TableParagraph"/>
              <w:jc w:val="left"/>
            </w:pPr>
          </w:p>
        </w:tc>
        <w:tc>
          <w:tcPr>
            <w:tcW w:w="1416" w:type="dxa"/>
          </w:tcPr>
          <w:p w:rsidR="007C5447" w:rsidRDefault="00F6308C">
            <w:pPr>
              <w:pStyle w:val="TableParagraph"/>
              <w:spacing w:before="37"/>
              <w:ind w:left="108"/>
              <w:jc w:val="left"/>
            </w:pPr>
            <w:r>
              <w:t>Single Slab</w:t>
            </w:r>
          </w:p>
        </w:tc>
        <w:tc>
          <w:tcPr>
            <w:tcW w:w="1561" w:type="dxa"/>
          </w:tcPr>
          <w:p w:rsidR="007C5447" w:rsidRDefault="007C5447">
            <w:pPr>
              <w:pStyle w:val="TableParagraph"/>
              <w:jc w:val="left"/>
            </w:pPr>
          </w:p>
        </w:tc>
        <w:tc>
          <w:tcPr>
            <w:tcW w:w="1419" w:type="dxa"/>
          </w:tcPr>
          <w:p w:rsidR="007C5447" w:rsidRDefault="00F6308C">
            <w:pPr>
              <w:pStyle w:val="TableParagraph"/>
              <w:spacing w:before="37"/>
              <w:ind w:left="196" w:right="187"/>
              <w:jc w:val="center"/>
            </w:pPr>
            <w:r>
              <w:t>11.00</w:t>
            </w:r>
          </w:p>
        </w:tc>
        <w:tc>
          <w:tcPr>
            <w:tcW w:w="1659" w:type="dxa"/>
          </w:tcPr>
          <w:p w:rsidR="007C5447" w:rsidRDefault="00F6308C">
            <w:pPr>
              <w:pStyle w:val="TableParagraph"/>
              <w:spacing w:before="37"/>
              <w:ind w:left="87" w:right="78"/>
              <w:jc w:val="center"/>
            </w:pPr>
            <w:r>
              <w:t>350/kVA/month</w:t>
            </w:r>
          </w:p>
        </w:tc>
        <w:tc>
          <w:tcPr>
            <w:tcW w:w="1591" w:type="dxa"/>
          </w:tcPr>
          <w:p w:rsidR="007C5447" w:rsidRDefault="00F6308C">
            <w:pPr>
              <w:pStyle w:val="TableParagraph"/>
              <w:spacing w:before="37"/>
              <w:ind w:left="546"/>
              <w:jc w:val="left"/>
            </w:pPr>
            <w:r>
              <w:t>11.00</w:t>
            </w:r>
          </w:p>
        </w:tc>
        <w:tc>
          <w:tcPr>
            <w:tcW w:w="1658" w:type="dxa"/>
          </w:tcPr>
          <w:p w:rsidR="007C5447" w:rsidRDefault="00F6308C">
            <w:pPr>
              <w:pStyle w:val="TableParagraph"/>
              <w:spacing w:before="37"/>
              <w:ind w:left="82" w:right="77"/>
              <w:jc w:val="center"/>
            </w:pPr>
            <w:r>
              <w:t>350/kVA/month</w:t>
            </w:r>
          </w:p>
        </w:tc>
        <w:tc>
          <w:tcPr>
            <w:tcW w:w="1251" w:type="dxa"/>
          </w:tcPr>
          <w:p w:rsidR="007C5447" w:rsidRDefault="00F6308C">
            <w:pPr>
              <w:pStyle w:val="TableParagraph"/>
              <w:spacing w:before="37"/>
              <w:ind w:left="357" w:right="348"/>
              <w:jc w:val="center"/>
            </w:pPr>
            <w:r>
              <w:t>11.00</w:t>
            </w:r>
          </w:p>
        </w:tc>
        <w:tc>
          <w:tcPr>
            <w:tcW w:w="1658" w:type="dxa"/>
          </w:tcPr>
          <w:p w:rsidR="007C5447" w:rsidRDefault="00F6308C">
            <w:pPr>
              <w:pStyle w:val="TableParagraph"/>
              <w:spacing w:before="37"/>
              <w:ind w:left="85" w:right="74"/>
              <w:jc w:val="center"/>
            </w:pPr>
            <w:r>
              <w:t>350/kVA/month</w:t>
            </w:r>
          </w:p>
        </w:tc>
      </w:tr>
    </w:tbl>
    <w:p w:rsidR="007C5447" w:rsidRDefault="007C5447">
      <w:pPr>
        <w:pStyle w:val="BodyText"/>
        <w:spacing w:before="11"/>
        <w:rPr>
          <w:sz w:val="12"/>
        </w:rPr>
      </w:pPr>
    </w:p>
    <w:p w:rsidR="007C5447" w:rsidRDefault="00F6308C">
      <w:pPr>
        <w:pStyle w:val="BodyText"/>
        <w:spacing w:before="90"/>
        <w:ind w:left="220"/>
      </w:pPr>
      <w:r>
        <w:rPr>
          <w:b/>
        </w:rPr>
        <w:t xml:space="preserve">Note: </w:t>
      </w:r>
      <w:r>
        <w:t>In addition to the above tariffs, FPCA may also be levied after prior approval of the Commission</w:t>
      </w:r>
    </w:p>
    <w:p w:rsidR="007C5447" w:rsidRDefault="007C5447">
      <w:pPr>
        <w:sectPr w:rsidR="007C5447">
          <w:pgSz w:w="16840" w:h="11910" w:orient="landscape"/>
          <w:pgMar w:top="1100" w:right="1620" w:bottom="960" w:left="1220" w:header="0" w:footer="777" w:gutter="0"/>
          <w:cols w:space="720"/>
        </w:sectPr>
      </w:pPr>
    </w:p>
    <w:p w:rsidR="007C5447" w:rsidRDefault="00F6308C">
      <w:pPr>
        <w:pStyle w:val="Heading2"/>
        <w:numPr>
          <w:ilvl w:val="1"/>
          <w:numId w:val="40"/>
        </w:numPr>
        <w:tabs>
          <w:tab w:val="left" w:pos="826"/>
          <w:tab w:val="left" w:pos="827"/>
        </w:tabs>
        <w:spacing w:before="61"/>
        <w:ind w:left="826"/>
        <w:jc w:val="left"/>
      </w:pPr>
      <w:bookmarkStart w:id="80" w:name="_bookmark80"/>
      <w:bookmarkEnd w:id="80"/>
      <w:r>
        <w:lastRenderedPageBreak/>
        <w:t>Revenue from Sale of</w:t>
      </w:r>
      <w:r>
        <w:rPr>
          <w:spacing w:val="-6"/>
        </w:rPr>
        <w:t xml:space="preserve"> </w:t>
      </w:r>
      <w:r>
        <w:t>Power</w:t>
      </w:r>
    </w:p>
    <w:p w:rsidR="007C5447" w:rsidRDefault="007C5447">
      <w:pPr>
        <w:pStyle w:val="BodyText"/>
        <w:spacing w:before="11"/>
        <w:rPr>
          <w:b/>
          <w:sz w:val="27"/>
        </w:rPr>
      </w:pPr>
    </w:p>
    <w:p w:rsidR="007C5447" w:rsidRDefault="00F6308C">
      <w:pPr>
        <w:pStyle w:val="ListParagraph"/>
        <w:numPr>
          <w:ilvl w:val="2"/>
          <w:numId w:val="40"/>
        </w:numPr>
        <w:tabs>
          <w:tab w:val="left" w:pos="1113"/>
        </w:tabs>
        <w:spacing w:line="312" w:lineRule="auto"/>
        <w:ind w:left="1112" w:right="877"/>
        <w:jc w:val="both"/>
        <w:rPr>
          <w:sz w:val="24"/>
        </w:rPr>
      </w:pPr>
      <w:r>
        <w:rPr>
          <w:sz w:val="24"/>
        </w:rPr>
        <w:t>TANGEDCO submitted that the revenue from sale of power at proposed tariff is based on projected sales, consumer load and number of connections. The category- wise revenue, including subsidy from existing and proposed tariff, as estimated by TANGEDCO is sho</w:t>
      </w:r>
      <w:r>
        <w:rPr>
          <w:sz w:val="24"/>
        </w:rPr>
        <w:t>wn in the Table</w:t>
      </w:r>
      <w:r>
        <w:rPr>
          <w:spacing w:val="-1"/>
          <w:sz w:val="24"/>
        </w:rPr>
        <w:t xml:space="preserve"> </w:t>
      </w:r>
      <w:r>
        <w:rPr>
          <w:sz w:val="24"/>
        </w:rPr>
        <w:t>below:</w:t>
      </w:r>
    </w:p>
    <w:p w:rsidR="007C5447" w:rsidRDefault="007C5447">
      <w:pPr>
        <w:pStyle w:val="BodyText"/>
        <w:spacing w:before="10"/>
        <w:rPr>
          <w:sz w:val="20"/>
        </w:rPr>
      </w:pPr>
    </w:p>
    <w:p w:rsidR="007C5447" w:rsidRDefault="00F6308C">
      <w:pPr>
        <w:pStyle w:val="Heading2"/>
        <w:spacing w:line="312" w:lineRule="auto"/>
        <w:ind w:left="2634" w:right="916" w:hanging="2319"/>
      </w:pPr>
      <w:r>
        <w:t>Table 5-5: Revenue from Sale of Power at Existing and Proposed Tariff for FY 2017-18 as submitted by TANGEDCO (Rs. Crore)</w:t>
      </w:r>
    </w:p>
    <w:p w:rsidR="007C5447" w:rsidRDefault="007C5447">
      <w:pPr>
        <w:pStyle w:val="BodyText"/>
        <w:spacing w:before="6"/>
        <w:rPr>
          <w:b/>
          <w:sz w:val="10"/>
        </w:rPr>
      </w:pPr>
    </w:p>
    <w:tbl>
      <w:tblPr>
        <w:tblW w:w="0" w:type="auto"/>
        <w:tblInd w:w="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1"/>
        <w:gridCol w:w="3397"/>
        <w:gridCol w:w="1730"/>
        <w:gridCol w:w="2074"/>
      </w:tblGrid>
      <w:tr w:rsidR="007C5447">
        <w:trPr>
          <w:trHeight w:val="431"/>
        </w:trPr>
        <w:tc>
          <w:tcPr>
            <w:tcW w:w="4808" w:type="dxa"/>
            <w:gridSpan w:val="2"/>
            <w:shd w:val="clear" w:color="auto" w:fill="F7C9AC"/>
          </w:tcPr>
          <w:p w:rsidR="007C5447" w:rsidRDefault="00F6308C">
            <w:pPr>
              <w:pStyle w:val="TableParagraph"/>
              <w:spacing w:before="78"/>
              <w:ind w:left="1807" w:right="1804"/>
              <w:jc w:val="center"/>
              <w:rPr>
                <w:b/>
                <w:sz w:val="24"/>
              </w:rPr>
            </w:pPr>
            <w:r>
              <w:rPr>
                <w:b/>
                <w:sz w:val="24"/>
              </w:rPr>
              <w:t>Particulars</w:t>
            </w:r>
          </w:p>
        </w:tc>
        <w:tc>
          <w:tcPr>
            <w:tcW w:w="1730" w:type="dxa"/>
            <w:shd w:val="clear" w:color="auto" w:fill="F7C9AC"/>
          </w:tcPr>
          <w:p w:rsidR="007C5447" w:rsidRDefault="00F6308C">
            <w:pPr>
              <w:pStyle w:val="TableParagraph"/>
              <w:spacing w:before="78"/>
              <w:ind w:right="96"/>
              <w:rPr>
                <w:b/>
                <w:sz w:val="24"/>
              </w:rPr>
            </w:pPr>
            <w:r>
              <w:rPr>
                <w:b/>
                <w:sz w:val="24"/>
              </w:rPr>
              <w:t>Existing Tariff</w:t>
            </w:r>
          </w:p>
        </w:tc>
        <w:tc>
          <w:tcPr>
            <w:tcW w:w="2074" w:type="dxa"/>
            <w:shd w:val="clear" w:color="auto" w:fill="F7C9AC"/>
          </w:tcPr>
          <w:p w:rsidR="007C5447" w:rsidRDefault="00F6308C">
            <w:pPr>
              <w:pStyle w:val="TableParagraph"/>
              <w:spacing w:before="78"/>
              <w:ind w:left="108"/>
              <w:jc w:val="left"/>
              <w:rPr>
                <w:b/>
                <w:sz w:val="24"/>
              </w:rPr>
            </w:pPr>
            <w:r>
              <w:rPr>
                <w:b/>
                <w:sz w:val="24"/>
              </w:rPr>
              <w:t>Proposed Tariff</w:t>
            </w:r>
          </w:p>
        </w:tc>
      </w:tr>
      <w:tr w:rsidR="007C5447">
        <w:trPr>
          <w:trHeight w:val="345"/>
        </w:trPr>
        <w:tc>
          <w:tcPr>
            <w:tcW w:w="4808" w:type="dxa"/>
            <w:gridSpan w:val="2"/>
          </w:tcPr>
          <w:p w:rsidR="007C5447" w:rsidRDefault="00F6308C">
            <w:pPr>
              <w:pStyle w:val="TableParagraph"/>
              <w:spacing w:before="35"/>
              <w:ind w:left="107"/>
              <w:jc w:val="left"/>
              <w:rPr>
                <w:b/>
                <w:sz w:val="24"/>
              </w:rPr>
            </w:pPr>
            <w:r>
              <w:rPr>
                <w:b/>
                <w:sz w:val="24"/>
              </w:rPr>
              <w:t>LT Consumer Category</w:t>
            </w:r>
          </w:p>
        </w:tc>
        <w:tc>
          <w:tcPr>
            <w:tcW w:w="1730" w:type="dxa"/>
          </w:tcPr>
          <w:p w:rsidR="007C5447" w:rsidRDefault="007C5447">
            <w:pPr>
              <w:pStyle w:val="TableParagraph"/>
              <w:jc w:val="left"/>
              <w:rPr>
                <w:sz w:val="24"/>
              </w:rPr>
            </w:pPr>
          </w:p>
        </w:tc>
        <w:tc>
          <w:tcPr>
            <w:tcW w:w="2074" w:type="dxa"/>
          </w:tcPr>
          <w:p w:rsidR="007C5447" w:rsidRDefault="007C5447">
            <w:pPr>
              <w:pStyle w:val="TableParagraph"/>
              <w:jc w:val="left"/>
              <w:rPr>
                <w:sz w:val="24"/>
              </w:rPr>
            </w:pPr>
          </w:p>
        </w:tc>
      </w:tr>
      <w:tr w:rsidR="007C5447">
        <w:trPr>
          <w:trHeight w:val="345"/>
        </w:trPr>
        <w:tc>
          <w:tcPr>
            <w:tcW w:w="1411" w:type="dxa"/>
          </w:tcPr>
          <w:p w:rsidR="007C5447" w:rsidRDefault="00F6308C">
            <w:pPr>
              <w:pStyle w:val="TableParagraph"/>
              <w:spacing w:before="35"/>
              <w:ind w:left="107"/>
              <w:jc w:val="left"/>
              <w:rPr>
                <w:b/>
                <w:sz w:val="24"/>
              </w:rPr>
            </w:pPr>
            <w:r>
              <w:rPr>
                <w:b/>
                <w:sz w:val="24"/>
              </w:rPr>
              <w:t>LT-IA</w:t>
            </w:r>
          </w:p>
        </w:tc>
        <w:tc>
          <w:tcPr>
            <w:tcW w:w="3397" w:type="dxa"/>
          </w:tcPr>
          <w:p w:rsidR="007C5447" w:rsidRDefault="00F6308C">
            <w:pPr>
              <w:pStyle w:val="TableParagraph"/>
              <w:spacing w:before="35"/>
              <w:ind w:left="107"/>
              <w:jc w:val="left"/>
              <w:rPr>
                <w:sz w:val="24"/>
              </w:rPr>
            </w:pPr>
            <w:r>
              <w:rPr>
                <w:sz w:val="24"/>
              </w:rPr>
              <w:t>Domestic</w:t>
            </w:r>
          </w:p>
        </w:tc>
        <w:tc>
          <w:tcPr>
            <w:tcW w:w="1730" w:type="dxa"/>
          </w:tcPr>
          <w:p w:rsidR="007C5447" w:rsidRDefault="00F6308C">
            <w:pPr>
              <w:pStyle w:val="TableParagraph"/>
              <w:spacing w:before="35"/>
              <w:ind w:right="95"/>
              <w:rPr>
                <w:sz w:val="24"/>
              </w:rPr>
            </w:pPr>
            <w:r>
              <w:rPr>
                <w:sz w:val="24"/>
              </w:rPr>
              <w:t>11,374.34</w:t>
            </w:r>
          </w:p>
        </w:tc>
        <w:tc>
          <w:tcPr>
            <w:tcW w:w="2074" w:type="dxa"/>
          </w:tcPr>
          <w:p w:rsidR="007C5447" w:rsidRDefault="00F6308C">
            <w:pPr>
              <w:pStyle w:val="TableParagraph"/>
              <w:spacing w:before="35"/>
              <w:ind w:right="93"/>
              <w:rPr>
                <w:sz w:val="24"/>
              </w:rPr>
            </w:pPr>
            <w:r>
              <w:rPr>
                <w:sz w:val="24"/>
              </w:rPr>
              <w:t>8,871.06</w:t>
            </w:r>
          </w:p>
        </w:tc>
      </w:tr>
      <w:tr w:rsidR="007C5447">
        <w:trPr>
          <w:trHeight w:val="345"/>
        </w:trPr>
        <w:tc>
          <w:tcPr>
            <w:tcW w:w="1411" w:type="dxa"/>
          </w:tcPr>
          <w:p w:rsidR="007C5447" w:rsidRDefault="00F6308C">
            <w:pPr>
              <w:pStyle w:val="TableParagraph"/>
              <w:spacing w:before="35"/>
              <w:ind w:left="107"/>
              <w:jc w:val="left"/>
              <w:rPr>
                <w:b/>
                <w:sz w:val="24"/>
              </w:rPr>
            </w:pPr>
            <w:r>
              <w:rPr>
                <w:b/>
                <w:sz w:val="24"/>
              </w:rPr>
              <w:t>LT-IB</w:t>
            </w:r>
          </w:p>
        </w:tc>
        <w:tc>
          <w:tcPr>
            <w:tcW w:w="3397" w:type="dxa"/>
          </w:tcPr>
          <w:p w:rsidR="007C5447" w:rsidRDefault="00F6308C">
            <w:pPr>
              <w:pStyle w:val="TableParagraph"/>
              <w:spacing w:before="35"/>
              <w:ind w:left="107"/>
              <w:jc w:val="left"/>
              <w:rPr>
                <w:sz w:val="24"/>
              </w:rPr>
            </w:pPr>
            <w:r>
              <w:rPr>
                <w:sz w:val="24"/>
              </w:rPr>
              <w:t>Huts</w:t>
            </w:r>
          </w:p>
        </w:tc>
        <w:tc>
          <w:tcPr>
            <w:tcW w:w="1730" w:type="dxa"/>
          </w:tcPr>
          <w:p w:rsidR="007C5447" w:rsidRDefault="00F6308C">
            <w:pPr>
              <w:pStyle w:val="TableParagraph"/>
              <w:spacing w:before="35"/>
              <w:ind w:right="95"/>
              <w:rPr>
                <w:sz w:val="24"/>
              </w:rPr>
            </w:pPr>
            <w:r>
              <w:rPr>
                <w:sz w:val="24"/>
              </w:rPr>
              <w:t>205.85</w:t>
            </w:r>
          </w:p>
        </w:tc>
        <w:tc>
          <w:tcPr>
            <w:tcW w:w="2074" w:type="dxa"/>
          </w:tcPr>
          <w:p w:rsidR="007C5447" w:rsidRDefault="00F6308C">
            <w:pPr>
              <w:pStyle w:val="TableParagraph"/>
              <w:spacing w:before="35"/>
              <w:ind w:right="93"/>
              <w:rPr>
                <w:sz w:val="24"/>
              </w:rPr>
            </w:pPr>
            <w:r>
              <w:rPr>
                <w:sz w:val="24"/>
              </w:rPr>
              <w:t>205.85</w:t>
            </w:r>
          </w:p>
        </w:tc>
      </w:tr>
      <w:tr w:rsidR="007C5447">
        <w:trPr>
          <w:trHeight w:val="345"/>
        </w:trPr>
        <w:tc>
          <w:tcPr>
            <w:tcW w:w="1411" w:type="dxa"/>
          </w:tcPr>
          <w:p w:rsidR="007C5447" w:rsidRDefault="00F6308C">
            <w:pPr>
              <w:pStyle w:val="TableParagraph"/>
              <w:spacing w:before="35"/>
              <w:ind w:left="107"/>
              <w:jc w:val="left"/>
              <w:rPr>
                <w:b/>
                <w:sz w:val="24"/>
              </w:rPr>
            </w:pPr>
            <w:r>
              <w:rPr>
                <w:b/>
                <w:sz w:val="24"/>
              </w:rPr>
              <w:t>LT-IC</w:t>
            </w:r>
          </w:p>
        </w:tc>
        <w:tc>
          <w:tcPr>
            <w:tcW w:w="3397" w:type="dxa"/>
          </w:tcPr>
          <w:p w:rsidR="007C5447" w:rsidRDefault="00F6308C">
            <w:pPr>
              <w:pStyle w:val="TableParagraph"/>
              <w:spacing w:before="35"/>
              <w:ind w:left="107"/>
              <w:jc w:val="left"/>
              <w:rPr>
                <w:sz w:val="24"/>
              </w:rPr>
            </w:pPr>
            <w:r>
              <w:rPr>
                <w:sz w:val="24"/>
              </w:rPr>
              <w:t>LT Bulk supply</w:t>
            </w:r>
          </w:p>
        </w:tc>
        <w:tc>
          <w:tcPr>
            <w:tcW w:w="1730" w:type="dxa"/>
          </w:tcPr>
          <w:p w:rsidR="007C5447" w:rsidRDefault="00F6308C">
            <w:pPr>
              <w:pStyle w:val="TableParagraph"/>
              <w:spacing w:before="35"/>
              <w:ind w:right="95"/>
              <w:rPr>
                <w:sz w:val="24"/>
              </w:rPr>
            </w:pPr>
            <w:r>
              <w:rPr>
                <w:sz w:val="24"/>
              </w:rPr>
              <w:t>5.20</w:t>
            </w:r>
          </w:p>
        </w:tc>
        <w:tc>
          <w:tcPr>
            <w:tcW w:w="2074" w:type="dxa"/>
          </w:tcPr>
          <w:p w:rsidR="007C5447" w:rsidRDefault="00F6308C">
            <w:pPr>
              <w:pStyle w:val="TableParagraph"/>
              <w:spacing w:before="35"/>
              <w:ind w:right="93"/>
              <w:rPr>
                <w:sz w:val="24"/>
              </w:rPr>
            </w:pPr>
            <w:r>
              <w:rPr>
                <w:sz w:val="24"/>
              </w:rPr>
              <w:t>5.20</w:t>
            </w:r>
          </w:p>
        </w:tc>
      </w:tr>
      <w:tr w:rsidR="007C5447">
        <w:trPr>
          <w:trHeight w:val="345"/>
        </w:trPr>
        <w:tc>
          <w:tcPr>
            <w:tcW w:w="1411" w:type="dxa"/>
          </w:tcPr>
          <w:p w:rsidR="007C5447" w:rsidRDefault="00F6308C">
            <w:pPr>
              <w:pStyle w:val="TableParagraph"/>
              <w:spacing w:before="35"/>
              <w:ind w:left="107"/>
              <w:jc w:val="left"/>
              <w:rPr>
                <w:b/>
                <w:sz w:val="24"/>
              </w:rPr>
            </w:pPr>
            <w:r>
              <w:rPr>
                <w:b/>
                <w:sz w:val="24"/>
              </w:rPr>
              <w:t>LT-IIA</w:t>
            </w:r>
          </w:p>
        </w:tc>
        <w:tc>
          <w:tcPr>
            <w:tcW w:w="3397" w:type="dxa"/>
          </w:tcPr>
          <w:p w:rsidR="007C5447" w:rsidRDefault="00F6308C">
            <w:pPr>
              <w:pStyle w:val="TableParagraph"/>
              <w:spacing w:before="35"/>
              <w:ind w:left="107"/>
              <w:jc w:val="left"/>
              <w:rPr>
                <w:sz w:val="24"/>
              </w:rPr>
            </w:pPr>
            <w:r>
              <w:rPr>
                <w:sz w:val="24"/>
              </w:rPr>
              <w:t>Public lighting and Water supply</w:t>
            </w:r>
          </w:p>
        </w:tc>
        <w:tc>
          <w:tcPr>
            <w:tcW w:w="1730" w:type="dxa"/>
          </w:tcPr>
          <w:p w:rsidR="007C5447" w:rsidRDefault="00F6308C">
            <w:pPr>
              <w:pStyle w:val="TableParagraph"/>
              <w:spacing w:before="35"/>
              <w:ind w:right="95"/>
              <w:rPr>
                <w:sz w:val="24"/>
              </w:rPr>
            </w:pPr>
            <w:r>
              <w:rPr>
                <w:sz w:val="24"/>
              </w:rPr>
              <w:t>1,980.49</w:t>
            </w:r>
          </w:p>
        </w:tc>
        <w:tc>
          <w:tcPr>
            <w:tcW w:w="2074" w:type="dxa"/>
          </w:tcPr>
          <w:p w:rsidR="007C5447" w:rsidRDefault="00F6308C">
            <w:pPr>
              <w:pStyle w:val="TableParagraph"/>
              <w:spacing w:before="35"/>
              <w:ind w:right="93"/>
              <w:rPr>
                <w:sz w:val="24"/>
              </w:rPr>
            </w:pPr>
            <w:r>
              <w:rPr>
                <w:sz w:val="24"/>
              </w:rPr>
              <w:t>1,980.49</w:t>
            </w:r>
          </w:p>
        </w:tc>
      </w:tr>
      <w:tr w:rsidR="007C5447">
        <w:trPr>
          <w:trHeight w:val="345"/>
        </w:trPr>
        <w:tc>
          <w:tcPr>
            <w:tcW w:w="1411" w:type="dxa"/>
          </w:tcPr>
          <w:p w:rsidR="007C5447" w:rsidRDefault="00F6308C">
            <w:pPr>
              <w:pStyle w:val="TableParagraph"/>
              <w:spacing w:before="35"/>
              <w:ind w:left="107"/>
              <w:jc w:val="left"/>
              <w:rPr>
                <w:b/>
                <w:sz w:val="24"/>
              </w:rPr>
            </w:pPr>
            <w:r>
              <w:rPr>
                <w:b/>
                <w:sz w:val="24"/>
              </w:rPr>
              <w:t>LT-IIB (1)</w:t>
            </w:r>
          </w:p>
        </w:tc>
        <w:tc>
          <w:tcPr>
            <w:tcW w:w="3397" w:type="dxa"/>
          </w:tcPr>
          <w:p w:rsidR="007C5447" w:rsidRDefault="00F6308C">
            <w:pPr>
              <w:pStyle w:val="TableParagraph"/>
              <w:spacing w:before="35"/>
              <w:ind w:left="107"/>
              <w:jc w:val="left"/>
              <w:rPr>
                <w:sz w:val="24"/>
              </w:rPr>
            </w:pPr>
            <w:r>
              <w:rPr>
                <w:sz w:val="24"/>
              </w:rPr>
              <w:t>Govt. Educational institution etc.</w:t>
            </w:r>
          </w:p>
        </w:tc>
        <w:tc>
          <w:tcPr>
            <w:tcW w:w="1730" w:type="dxa"/>
          </w:tcPr>
          <w:p w:rsidR="007C5447" w:rsidRDefault="00F6308C">
            <w:pPr>
              <w:pStyle w:val="TableParagraph"/>
              <w:spacing w:before="35"/>
              <w:ind w:right="95"/>
              <w:rPr>
                <w:sz w:val="24"/>
              </w:rPr>
            </w:pPr>
            <w:r>
              <w:rPr>
                <w:sz w:val="24"/>
              </w:rPr>
              <w:t>106.57</w:t>
            </w:r>
          </w:p>
        </w:tc>
        <w:tc>
          <w:tcPr>
            <w:tcW w:w="2074" w:type="dxa"/>
          </w:tcPr>
          <w:p w:rsidR="007C5447" w:rsidRDefault="00F6308C">
            <w:pPr>
              <w:pStyle w:val="TableParagraph"/>
              <w:spacing w:before="35"/>
              <w:ind w:right="93"/>
              <w:rPr>
                <w:sz w:val="24"/>
              </w:rPr>
            </w:pPr>
            <w:r>
              <w:rPr>
                <w:sz w:val="24"/>
              </w:rPr>
              <w:t>106.57</w:t>
            </w:r>
          </w:p>
        </w:tc>
      </w:tr>
      <w:tr w:rsidR="007C5447">
        <w:trPr>
          <w:trHeight w:val="345"/>
        </w:trPr>
        <w:tc>
          <w:tcPr>
            <w:tcW w:w="1411" w:type="dxa"/>
          </w:tcPr>
          <w:p w:rsidR="007C5447" w:rsidRDefault="00F6308C">
            <w:pPr>
              <w:pStyle w:val="TableParagraph"/>
              <w:spacing w:before="32"/>
              <w:ind w:left="107"/>
              <w:jc w:val="left"/>
              <w:rPr>
                <w:b/>
                <w:sz w:val="24"/>
              </w:rPr>
            </w:pPr>
            <w:r>
              <w:rPr>
                <w:b/>
                <w:sz w:val="24"/>
              </w:rPr>
              <w:t>LT-IIB (2)</w:t>
            </w:r>
          </w:p>
        </w:tc>
        <w:tc>
          <w:tcPr>
            <w:tcW w:w="3397" w:type="dxa"/>
          </w:tcPr>
          <w:p w:rsidR="007C5447" w:rsidRDefault="00F6308C">
            <w:pPr>
              <w:pStyle w:val="TableParagraph"/>
              <w:spacing w:before="32"/>
              <w:ind w:left="107"/>
              <w:jc w:val="left"/>
              <w:rPr>
                <w:sz w:val="24"/>
              </w:rPr>
            </w:pPr>
            <w:r>
              <w:rPr>
                <w:sz w:val="24"/>
              </w:rPr>
              <w:t>Pvt. Educational institution etc.</w:t>
            </w:r>
          </w:p>
        </w:tc>
        <w:tc>
          <w:tcPr>
            <w:tcW w:w="1730" w:type="dxa"/>
          </w:tcPr>
          <w:p w:rsidR="007C5447" w:rsidRDefault="00F6308C">
            <w:pPr>
              <w:pStyle w:val="TableParagraph"/>
              <w:spacing w:before="32"/>
              <w:ind w:right="95"/>
              <w:rPr>
                <w:sz w:val="24"/>
              </w:rPr>
            </w:pPr>
            <w:r>
              <w:rPr>
                <w:sz w:val="24"/>
              </w:rPr>
              <w:t>242.34</w:t>
            </w:r>
          </w:p>
        </w:tc>
        <w:tc>
          <w:tcPr>
            <w:tcW w:w="2074" w:type="dxa"/>
          </w:tcPr>
          <w:p w:rsidR="007C5447" w:rsidRDefault="00F6308C">
            <w:pPr>
              <w:pStyle w:val="TableParagraph"/>
              <w:spacing w:before="32"/>
              <w:ind w:right="93"/>
              <w:rPr>
                <w:sz w:val="24"/>
              </w:rPr>
            </w:pPr>
            <w:r>
              <w:rPr>
                <w:sz w:val="24"/>
              </w:rPr>
              <w:t>242.34</w:t>
            </w:r>
          </w:p>
        </w:tc>
      </w:tr>
      <w:tr w:rsidR="007C5447">
        <w:trPr>
          <w:trHeight w:val="345"/>
        </w:trPr>
        <w:tc>
          <w:tcPr>
            <w:tcW w:w="1411" w:type="dxa"/>
          </w:tcPr>
          <w:p w:rsidR="007C5447" w:rsidRDefault="00F6308C">
            <w:pPr>
              <w:pStyle w:val="TableParagraph"/>
              <w:spacing w:before="32"/>
              <w:ind w:left="107"/>
              <w:jc w:val="left"/>
              <w:rPr>
                <w:b/>
                <w:sz w:val="24"/>
              </w:rPr>
            </w:pPr>
            <w:r>
              <w:rPr>
                <w:b/>
                <w:sz w:val="24"/>
              </w:rPr>
              <w:t>LT-IIC</w:t>
            </w:r>
          </w:p>
        </w:tc>
        <w:tc>
          <w:tcPr>
            <w:tcW w:w="3397" w:type="dxa"/>
          </w:tcPr>
          <w:p w:rsidR="007C5447" w:rsidRDefault="00F6308C">
            <w:pPr>
              <w:pStyle w:val="TableParagraph"/>
              <w:spacing w:before="32"/>
              <w:ind w:left="107"/>
              <w:jc w:val="left"/>
              <w:rPr>
                <w:sz w:val="24"/>
              </w:rPr>
            </w:pPr>
            <w:r>
              <w:rPr>
                <w:sz w:val="24"/>
              </w:rPr>
              <w:t>Places of Worship</w:t>
            </w:r>
          </w:p>
        </w:tc>
        <w:tc>
          <w:tcPr>
            <w:tcW w:w="1730" w:type="dxa"/>
          </w:tcPr>
          <w:p w:rsidR="007C5447" w:rsidRDefault="00F6308C">
            <w:pPr>
              <w:pStyle w:val="TableParagraph"/>
              <w:spacing w:before="32"/>
              <w:ind w:right="95"/>
              <w:rPr>
                <w:sz w:val="24"/>
              </w:rPr>
            </w:pPr>
            <w:r>
              <w:rPr>
                <w:sz w:val="24"/>
              </w:rPr>
              <w:t>97.80</w:t>
            </w:r>
          </w:p>
        </w:tc>
        <w:tc>
          <w:tcPr>
            <w:tcW w:w="2074" w:type="dxa"/>
          </w:tcPr>
          <w:p w:rsidR="007C5447" w:rsidRDefault="00F6308C">
            <w:pPr>
              <w:pStyle w:val="TableParagraph"/>
              <w:spacing w:before="32"/>
              <w:ind w:right="93"/>
              <w:rPr>
                <w:sz w:val="24"/>
              </w:rPr>
            </w:pPr>
            <w:r>
              <w:rPr>
                <w:sz w:val="24"/>
              </w:rPr>
              <w:t>97.80</w:t>
            </w:r>
          </w:p>
        </w:tc>
      </w:tr>
      <w:tr w:rsidR="007C5447">
        <w:trPr>
          <w:trHeight w:val="345"/>
        </w:trPr>
        <w:tc>
          <w:tcPr>
            <w:tcW w:w="1411" w:type="dxa"/>
          </w:tcPr>
          <w:p w:rsidR="007C5447" w:rsidRDefault="00F6308C">
            <w:pPr>
              <w:pStyle w:val="TableParagraph"/>
              <w:spacing w:before="32"/>
              <w:ind w:left="107"/>
              <w:jc w:val="left"/>
              <w:rPr>
                <w:b/>
                <w:sz w:val="24"/>
              </w:rPr>
            </w:pPr>
            <w:r>
              <w:rPr>
                <w:b/>
                <w:sz w:val="24"/>
              </w:rPr>
              <w:t>LT-IIIA (1)</w:t>
            </w:r>
          </w:p>
        </w:tc>
        <w:tc>
          <w:tcPr>
            <w:tcW w:w="3397" w:type="dxa"/>
          </w:tcPr>
          <w:p w:rsidR="007C5447" w:rsidRDefault="00F6308C">
            <w:pPr>
              <w:pStyle w:val="TableParagraph"/>
              <w:spacing w:before="32"/>
              <w:ind w:left="107"/>
              <w:jc w:val="left"/>
              <w:rPr>
                <w:sz w:val="24"/>
              </w:rPr>
            </w:pPr>
            <w:r>
              <w:rPr>
                <w:sz w:val="24"/>
              </w:rPr>
              <w:t>Cottage and tiny industries</w:t>
            </w:r>
          </w:p>
        </w:tc>
        <w:tc>
          <w:tcPr>
            <w:tcW w:w="1730" w:type="dxa"/>
          </w:tcPr>
          <w:p w:rsidR="007C5447" w:rsidRDefault="00F6308C">
            <w:pPr>
              <w:pStyle w:val="TableParagraph"/>
              <w:spacing w:before="32"/>
              <w:ind w:right="95"/>
              <w:rPr>
                <w:sz w:val="24"/>
              </w:rPr>
            </w:pPr>
            <w:r>
              <w:rPr>
                <w:sz w:val="24"/>
              </w:rPr>
              <w:t>129.57</w:t>
            </w:r>
          </w:p>
        </w:tc>
        <w:tc>
          <w:tcPr>
            <w:tcW w:w="2074" w:type="dxa"/>
          </w:tcPr>
          <w:p w:rsidR="007C5447" w:rsidRDefault="00F6308C">
            <w:pPr>
              <w:pStyle w:val="TableParagraph"/>
              <w:spacing w:before="32"/>
              <w:ind w:right="93"/>
              <w:rPr>
                <w:sz w:val="24"/>
              </w:rPr>
            </w:pPr>
            <w:r>
              <w:rPr>
                <w:sz w:val="24"/>
              </w:rPr>
              <w:t>129.57</w:t>
            </w:r>
          </w:p>
        </w:tc>
      </w:tr>
      <w:tr w:rsidR="007C5447">
        <w:trPr>
          <w:trHeight w:val="345"/>
        </w:trPr>
        <w:tc>
          <w:tcPr>
            <w:tcW w:w="1411" w:type="dxa"/>
          </w:tcPr>
          <w:p w:rsidR="007C5447" w:rsidRDefault="00F6308C">
            <w:pPr>
              <w:pStyle w:val="TableParagraph"/>
              <w:spacing w:before="32"/>
              <w:ind w:left="107"/>
              <w:jc w:val="left"/>
              <w:rPr>
                <w:b/>
                <w:sz w:val="24"/>
              </w:rPr>
            </w:pPr>
            <w:r>
              <w:rPr>
                <w:b/>
                <w:sz w:val="24"/>
              </w:rPr>
              <w:t>LT-IIIA (2)</w:t>
            </w:r>
          </w:p>
        </w:tc>
        <w:tc>
          <w:tcPr>
            <w:tcW w:w="3397" w:type="dxa"/>
          </w:tcPr>
          <w:p w:rsidR="007C5447" w:rsidRDefault="00F6308C">
            <w:pPr>
              <w:pStyle w:val="TableParagraph"/>
              <w:spacing w:before="32"/>
              <w:ind w:left="107"/>
              <w:jc w:val="left"/>
              <w:rPr>
                <w:sz w:val="24"/>
              </w:rPr>
            </w:pPr>
            <w:r>
              <w:rPr>
                <w:sz w:val="24"/>
              </w:rPr>
              <w:t>Power Looms</w:t>
            </w:r>
          </w:p>
        </w:tc>
        <w:tc>
          <w:tcPr>
            <w:tcW w:w="1730" w:type="dxa"/>
          </w:tcPr>
          <w:p w:rsidR="007C5447" w:rsidRDefault="00F6308C">
            <w:pPr>
              <w:pStyle w:val="TableParagraph"/>
              <w:spacing w:before="32"/>
              <w:ind w:right="95"/>
              <w:rPr>
                <w:sz w:val="24"/>
              </w:rPr>
            </w:pPr>
            <w:r>
              <w:rPr>
                <w:sz w:val="24"/>
              </w:rPr>
              <w:t>687.39</w:t>
            </w:r>
          </w:p>
        </w:tc>
        <w:tc>
          <w:tcPr>
            <w:tcW w:w="2074" w:type="dxa"/>
          </w:tcPr>
          <w:p w:rsidR="007C5447" w:rsidRDefault="00F6308C">
            <w:pPr>
              <w:pStyle w:val="TableParagraph"/>
              <w:spacing w:before="32"/>
              <w:ind w:right="93"/>
              <w:rPr>
                <w:sz w:val="24"/>
              </w:rPr>
            </w:pPr>
            <w:r>
              <w:rPr>
                <w:sz w:val="24"/>
              </w:rPr>
              <w:t>687.39</w:t>
            </w:r>
          </w:p>
        </w:tc>
      </w:tr>
      <w:tr w:rsidR="007C5447">
        <w:trPr>
          <w:trHeight w:val="345"/>
        </w:trPr>
        <w:tc>
          <w:tcPr>
            <w:tcW w:w="1411" w:type="dxa"/>
          </w:tcPr>
          <w:p w:rsidR="007C5447" w:rsidRDefault="00F6308C">
            <w:pPr>
              <w:pStyle w:val="TableParagraph"/>
              <w:spacing w:before="33"/>
              <w:ind w:left="107"/>
              <w:jc w:val="left"/>
              <w:rPr>
                <w:b/>
                <w:sz w:val="24"/>
              </w:rPr>
            </w:pPr>
            <w:r>
              <w:rPr>
                <w:b/>
                <w:sz w:val="24"/>
              </w:rPr>
              <w:t>LT-IIIB</w:t>
            </w:r>
          </w:p>
        </w:tc>
        <w:tc>
          <w:tcPr>
            <w:tcW w:w="3397" w:type="dxa"/>
          </w:tcPr>
          <w:p w:rsidR="007C5447" w:rsidRDefault="00F6308C">
            <w:pPr>
              <w:pStyle w:val="TableParagraph"/>
              <w:spacing w:before="33"/>
              <w:ind w:left="107"/>
              <w:jc w:val="left"/>
              <w:rPr>
                <w:sz w:val="24"/>
              </w:rPr>
            </w:pPr>
            <w:r>
              <w:rPr>
                <w:sz w:val="24"/>
              </w:rPr>
              <w:t>LT Industries</w:t>
            </w:r>
          </w:p>
        </w:tc>
        <w:tc>
          <w:tcPr>
            <w:tcW w:w="1730" w:type="dxa"/>
          </w:tcPr>
          <w:p w:rsidR="007C5447" w:rsidRDefault="00F6308C">
            <w:pPr>
              <w:pStyle w:val="TableParagraph"/>
              <w:spacing w:before="33"/>
              <w:ind w:right="95"/>
              <w:rPr>
                <w:sz w:val="24"/>
              </w:rPr>
            </w:pPr>
            <w:r>
              <w:rPr>
                <w:sz w:val="24"/>
              </w:rPr>
              <w:t>5,857.00</w:t>
            </w:r>
          </w:p>
        </w:tc>
        <w:tc>
          <w:tcPr>
            <w:tcW w:w="2074" w:type="dxa"/>
          </w:tcPr>
          <w:p w:rsidR="007C5447" w:rsidRDefault="00F6308C">
            <w:pPr>
              <w:pStyle w:val="TableParagraph"/>
              <w:spacing w:before="33"/>
              <w:ind w:right="93"/>
              <w:rPr>
                <w:sz w:val="24"/>
              </w:rPr>
            </w:pPr>
            <w:r>
              <w:rPr>
                <w:sz w:val="24"/>
              </w:rPr>
              <w:t>5,857.00</w:t>
            </w:r>
          </w:p>
        </w:tc>
      </w:tr>
      <w:tr w:rsidR="007C5447">
        <w:trPr>
          <w:trHeight w:val="342"/>
        </w:trPr>
        <w:tc>
          <w:tcPr>
            <w:tcW w:w="1411" w:type="dxa"/>
          </w:tcPr>
          <w:p w:rsidR="007C5447" w:rsidRDefault="00F6308C">
            <w:pPr>
              <w:pStyle w:val="TableParagraph"/>
              <w:spacing w:before="32"/>
              <w:ind w:left="107"/>
              <w:jc w:val="left"/>
              <w:rPr>
                <w:b/>
                <w:sz w:val="24"/>
              </w:rPr>
            </w:pPr>
            <w:r>
              <w:rPr>
                <w:b/>
                <w:sz w:val="24"/>
              </w:rPr>
              <w:t>LT-IV</w:t>
            </w:r>
          </w:p>
        </w:tc>
        <w:tc>
          <w:tcPr>
            <w:tcW w:w="3397" w:type="dxa"/>
          </w:tcPr>
          <w:p w:rsidR="007C5447" w:rsidRDefault="00F6308C">
            <w:pPr>
              <w:pStyle w:val="TableParagraph"/>
              <w:spacing w:before="32"/>
              <w:ind w:left="107"/>
              <w:jc w:val="left"/>
              <w:rPr>
                <w:sz w:val="24"/>
              </w:rPr>
            </w:pPr>
            <w:r>
              <w:rPr>
                <w:sz w:val="24"/>
              </w:rPr>
              <w:t>LT Agriculture</w:t>
            </w:r>
          </w:p>
        </w:tc>
        <w:tc>
          <w:tcPr>
            <w:tcW w:w="1730" w:type="dxa"/>
          </w:tcPr>
          <w:p w:rsidR="007C5447" w:rsidRDefault="00F6308C">
            <w:pPr>
              <w:pStyle w:val="TableParagraph"/>
              <w:spacing w:before="32"/>
              <w:ind w:right="95"/>
              <w:rPr>
                <w:sz w:val="24"/>
              </w:rPr>
            </w:pPr>
            <w:r>
              <w:rPr>
                <w:sz w:val="24"/>
              </w:rPr>
              <w:t>3,328.35</w:t>
            </w:r>
          </w:p>
        </w:tc>
        <w:tc>
          <w:tcPr>
            <w:tcW w:w="2074" w:type="dxa"/>
          </w:tcPr>
          <w:p w:rsidR="007C5447" w:rsidRDefault="00F6308C">
            <w:pPr>
              <w:pStyle w:val="TableParagraph"/>
              <w:spacing w:before="32"/>
              <w:ind w:right="93"/>
              <w:rPr>
                <w:sz w:val="24"/>
              </w:rPr>
            </w:pPr>
            <w:r>
              <w:rPr>
                <w:sz w:val="24"/>
              </w:rPr>
              <w:t>3,328.35</w:t>
            </w:r>
          </w:p>
        </w:tc>
      </w:tr>
      <w:tr w:rsidR="007C5447">
        <w:trPr>
          <w:trHeight w:val="345"/>
        </w:trPr>
        <w:tc>
          <w:tcPr>
            <w:tcW w:w="1411" w:type="dxa"/>
          </w:tcPr>
          <w:p w:rsidR="007C5447" w:rsidRDefault="00F6308C">
            <w:pPr>
              <w:pStyle w:val="TableParagraph"/>
              <w:spacing w:before="35"/>
              <w:ind w:left="107"/>
              <w:jc w:val="left"/>
              <w:rPr>
                <w:b/>
                <w:sz w:val="24"/>
              </w:rPr>
            </w:pPr>
            <w:r>
              <w:rPr>
                <w:b/>
                <w:sz w:val="24"/>
              </w:rPr>
              <w:t>LT-V</w:t>
            </w:r>
          </w:p>
        </w:tc>
        <w:tc>
          <w:tcPr>
            <w:tcW w:w="3397" w:type="dxa"/>
          </w:tcPr>
          <w:p w:rsidR="007C5447" w:rsidRDefault="00F6308C">
            <w:pPr>
              <w:pStyle w:val="TableParagraph"/>
              <w:spacing w:before="35"/>
              <w:ind w:left="107"/>
              <w:jc w:val="left"/>
              <w:rPr>
                <w:sz w:val="24"/>
              </w:rPr>
            </w:pPr>
            <w:r>
              <w:rPr>
                <w:sz w:val="24"/>
              </w:rPr>
              <w:t>LT Commercial</w:t>
            </w:r>
          </w:p>
        </w:tc>
        <w:tc>
          <w:tcPr>
            <w:tcW w:w="1730" w:type="dxa"/>
          </w:tcPr>
          <w:p w:rsidR="007C5447" w:rsidRDefault="00F6308C">
            <w:pPr>
              <w:pStyle w:val="TableParagraph"/>
              <w:spacing w:before="35"/>
              <w:ind w:right="95"/>
              <w:rPr>
                <w:sz w:val="24"/>
              </w:rPr>
            </w:pPr>
            <w:r>
              <w:rPr>
                <w:sz w:val="24"/>
              </w:rPr>
              <w:t>7,721.90</w:t>
            </w:r>
          </w:p>
        </w:tc>
        <w:tc>
          <w:tcPr>
            <w:tcW w:w="2074" w:type="dxa"/>
          </w:tcPr>
          <w:p w:rsidR="007C5447" w:rsidRDefault="00F6308C">
            <w:pPr>
              <w:pStyle w:val="TableParagraph"/>
              <w:spacing w:before="35"/>
              <w:ind w:right="93"/>
              <w:rPr>
                <w:sz w:val="24"/>
              </w:rPr>
            </w:pPr>
            <w:r>
              <w:rPr>
                <w:sz w:val="24"/>
              </w:rPr>
              <w:t>7,721.90</w:t>
            </w:r>
          </w:p>
        </w:tc>
      </w:tr>
      <w:tr w:rsidR="007C5447">
        <w:trPr>
          <w:trHeight w:val="345"/>
        </w:trPr>
        <w:tc>
          <w:tcPr>
            <w:tcW w:w="1411" w:type="dxa"/>
          </w:tcPr>
          <w:p w:rsidR="007C5447" w:rsidRDefault="00F6308C">
            <w:pPr>
              <w:pStyle w:val="TableParagraph"/>
              <w:spacing w:before="35"/>
              <w:ind w:left="107"/>
              <w:jc w:val="left"/>
              <w:rPr>
                <w:b/>
                <w:sz w:val="24"/>
              </w:rPr>
            </w:pPr>
            <w:r>
              <w:rPr>
                <w:b/>
                <w:sz w:val="24"/>
              </w:rPr>
              <w:t>LT-VI</w:t>
            </w:r>
          </w:p>
        </w:tc>
        <w:tc>
          <w:tcPr>
            <w:tcW w:w="3397" w:type="dxa"/>
          </w:tcPr>
          <w:p w:rsidR="007C5447" w:rsidRDefault="00F6308C">
            <w:pPr>
              <w:pStyle w:val="TableParagraph"/>
              <w:spacing w:before="35"/>
              <w:ind w:left="107"/>
              <w:jc w:val="left"/>
              <w:rPr>
                <w:sz w:val="24"/>
              </w:rPr>
            </w:pPr>
            <w:r>
              <w:rPr>
                <w:sz w:val="24"/>
              </w:rPr>
              <w:t>Temporary Supply</w:t>
            </w:r>
          </w:p>
        </w:tc>
        <w:tc>
          <w:tcPr>
            <w:tcW w:w="1730" w:type="dxa"/>
          </w:tcPr>
          <w:p w:rsidR="007C5447" w:rsidRDefault="00F6308C">
            <w:pPr>
              <w:pStyle w:val="TableParagraph"/>
              <w:spacing w:before="35"/>
              <w:ind w:right="95"/>
              <w:rPr>
                <w:sz w:val="24"/>
              </w:rPr>
            </w:pPr>
            <w:r>
              <w:rPr>
                <w:sz w:val="24"/>
              </w:rPr>
              <w:t>483.17</w:t>
            </w:r>
          </w:p>
        </w:tc>
        <w:tc>
          <w:tcPr>
            <w:tcW w:w="2074" w:type="dxa"/>
          </w:tcPr>
          <w:p w:rsidR="007C5447" w:rsidRDefault="00F6308C">
            <w:pPr>
              <w:pStyle w:val="TableParagraph"/>
              <w:spacing w:before="35"/>
              <w:ind w:right="93"/>
              <w:rPr>
                <w:sz w:val="24"/>
              </w:rPr>
            </w:pPr>
            <w:r>
              <w:rPr>
                <w:sz w:val="24"/>
              </w:rPr>
              <w:t>483.17</w:t>
            </w:r>
          </w:p>
        </w:tc>
      </w:tr>
      <w:tr w:rsidR="007C5447">
        <w:trPr>
          <w:trHeight w:val="345"/>
        </w:trPr>
        <w:tc>
          <w:tcPr>
            <w:tcW w:w="1411" w:type="dxa"/>
          </w:tcPr>
          <w:p w:rsidR="007C5447" w:rsidRDefault="007C5447">
            <w:pPr>
              <w:pStyle w:val="TableParagraph"/>
              <w:jc w:val="left"/>
              <w:rPr>
                <w:sz w:val="24"/>
              </w:rPr>
            </w:pPr>
          </w:p>
        </w:tc>
        <w:tc>
          <w:tcPr>
            <w:tcW w:w="3397" w:type="dxa"/>
          </w:tcPr>
          <w:p w:rsidR="007C5447" w:rsidRDefault="00F6308C">
            <w:pPr>
              <w:pStyle w:val="TableParagraph"/>
              <w:spacing w:before="35"/>
              <w:ind w:left="107"/>
              <w:jc w:val="left"/>
              <w:rPr>
                <w:b/>
                <w:sz w:val="24"/>
              </w:rPr>
            </w:pPr>
            <w:r>
              <w:rPr>
                <w:b/>
                <w:sz w:val="24"/>
              </w:rPr>
              <w:t>Total LT</w:t>
            </w:r>
          </w:p>
        </w:tc>
        <w:tc>
          <w:tcPr>
            <w:tcW w:w="1730" w:type="dxa"/>
          </w:tcPr>
          <w:p w:rsidR="007C5447" w:rsidRDefault="00F6308C">
            <w:pPr>
              <w:pStyle w:val="TableParagraph"/>
              <w:spacing w:before="35"/>
              <w:ind w:right="95"/>
              <w:rPr>
                <w:b/>
                <w:sz w:val="24"/>
              </w:rPr>
            </w:pPr>
            <w:r>
              <w:rPr>
                <w:b/>
                <w:sz w:val="24"/>
              </w:rPr>
              <w:t>32,219.95</w:t>
            </w:r>
          </w:p>
        </w:tc>
        <w:tc>
          <w:tcPr>
            <w:tcW w:w="2074" w:type="dxa"/>
          </w:tcPr>
          <w:p w:rsidR="007C5447" w:rsidRDefault="00F6308C">
            <w:pPr>
              <w:pStyle w:val="TableParagraph"/>
              <w:spacing w:before="35"/>
              <w:ind w:right="93"/>
              <w:rPr>
                <w:b/>
                <w:sz w:val="24"/>
              </w:rPr>
            </w:pPr>
            <w:r>
              <w:rPr>
                <w:b/>
                <w:sz w:val="24"/>
              </w:rPr>
              <w:t>29,716.68</w:t>
            </w:r>
          </w:p>
        </w:tc>
      </w:tr>
      <w:tr w:rsidR="007C5447">
        <w:trPr>
          <w:trHeight w:val="345"/>
        </w:trPr>
        <w:tc>
          <w:tcPr>
            <w:tcW w:w="4808" w:type="dxa"/>
            <w:gridSpan w:val="2"/>
          </w:tcPr>
          <w:p w:rsidR="007C5447" w:rsidRDefault="00F6308C">
            <w:pPr>
              <w:pStyle w:val="TableParagraph"/>
              <w:spacing w:before="35"/>
              <w:ind w:left="107"/>
              <w:jc w:val="left"/>
              <w:rPr>
                <w:b/>
                <w:sz w:val="24"/>
              </w:rPr>
            </w:pPr>
            <w:r>
              <w:rPr>
                <w:b/>
                <w:sz w:val="24"/>
              </w:rPr>
              <w:t>HT Consumer Category</w:t>
            </w:r>
          </w:p>
        </w:tc>
        <w:tc>
          <w:tcPr>
            <w:tcW w:w="1730" w:type="dxa"/>
          </w:tcPr>
          <w:p w:rsidR="007C5447" w:rsidRDefault="007C5447">
            <w:pPr>
              <w:pStyle w:val="TableParagraph"/>
              <w:jc w:val="left"/>
              <w:rPr>
                <w:sz w:val="24"/>
              </w:rPr>
            </w:pPr>
          </w:p>
        </w:tc>
        <w:tc>
          <w:tcPr>
            <w:tcW w:w="2074" w:type="dxa"/>
          </w:tcPr>
          <w:p w:rsidR="007C5447" w:rsidRDefault="007C5447">
            <w:pPr>
              <w:pStyle w:val="TableParagraph"/>
              <w:jc w:val="left"/>
              <w:rPr>
                <w:sz w:val="24"/>
              </w:rPr>
            </w:pPr>
          </w:p>
        </w:tc>
      </w:tr>
      <w:tr w:rsidR="007C5447">
        <w:trPr>
          <w:trHeight w:val="345"/>
        </w:trPr>
        <w:tc>
          <w:tcPr>
            <w:tcW w:w="1411" w:type="dxa"/>
          </w:tcPr>
          <w:p w:rsidR="007C5447" w:rsidRDefault="00F6308C">
            <w:pPr>
              <w:pStyle w:val="TableParagraph"/>
              <w:spacing w:before="35"/>
              <w:ind w:left="107"/>
              <w:jc w:val="left"/>
              <w:rPr>
                <w:b/>
                <w:sz w:val="24"/>
              </w:rPr>
            </w:pPr>
            <w:r>
              <w:rPr>
                <w:b/>
                <w:sz w:val="24"/>
              </w:rPr>
              <w:t>HT-IA</w:t>
            </w:r>
          </w:p>
        </w:tc>
        <w:tc>
          <w:tcPr>
            <w:tcW w:w="3397" w:type="dxa"/>
          </w:tcPr>
          <w:p w:rsidR="007C5447" w:rsidRDefault="00F6308C">
            <w:pPr>
              <w:pStyle w:val="TableParagraph"/>
              <w:spacing w:before="35"/>
              <w:ind w:left="107"/>
              <w:jc w:val="left"/>
              <w:rPr>
                <w:sz w:val="24"/>
              </w:rPr>
            </w:pPr>
            <w:r>
              <w:rPr>
                <w:sz w:val="24"/>
              </w:rPr>
              <w:t>HT Industries</w:t>
            </w:r>
          </w:p>
        </w:tc>
        <w:tc>
          <w:tcPr>
            <w:tcW w:w="1730" w:type="dxa"/>
          </w:tcPr>
          <w:p w:rsidR="007C5447" w:rsidRDefault="00F6308C">
            <w:pPr>
              <w:pStyle w:val="TableParagraph"/>
              <w:spacing w:before="35"/>
              <w:ind w:right="95"/>
              <w:rPr>
                <w:sz w:val="24"/>
              </w:rPr>
            </w:pPr>
            <w:r>
              <w:rPr>
                <w:sz w:val="24"/>
              </w:rPr>
              <w:t>12,466.09</w:t>
            </w:r>
          </w:p>
        </w:tc>
        <w:tc>
          <w:tcPr>
            <w:tcW w:w="2074" w:type="dxa"/>
          </w:tcPr>
          <w:p w:rsidR="007C5447" w:rsidRDefault="00F6308C">
            <w:pPr>
              <w:pStyle w:val="TableParagraph"/>
              <w:spacing w:before="35"/>
              <w:ind w:right="93"/>
              <w:rPr>
                <w:sz w:val="24"/>
              </w:rPr>
            </w:pPr>
            <w:r>
              <w:rPr>
                <w:sz w:val="24"/>
              </w:rPr>
              <w:t>12,466.09</w:t>
            </w:r>
          </w:p>
        </w:tc>
      </w:tr>
      <w:tr w:rsidR="007C5447">
        <w:trPr>
          <w:trHeight w:val="345"/>
        </w:trPr>
        <w:tc>
          <w:tcPr>
            <w:tcW w:w="1411" w:type="dxa"/>
          </w:tcPr>
          <w:p w:rsidR="007C5447" w:rsidRDefault="00F6308C">
            <w:pPr>
              <w:pStyle w:val="TableParagraph"/>
              <w:spacing w:before="35"/>
              <w:ind w:left="107"/>
              <w:jc w:val="left"/>
              <w:rPr>
                <w:b/>
                <w:sz w:val="24"/>
              </w:rPr>
            </w:pPr>
            <w:r>
              <w:rPr>
                <w:b/>
                <w:sz w:val="24"/>
              </w:rPr>
              <w:t>HT-IB</w:t>
            </w:r>
          </w:p>
        </w:tc>
        <w:tc>
          <w:tcPr>
            <w:tcW w:w="3397" w:type="dxa"/>
          </w:tcPr>
          <w:p w:rsidR="007C5447" w:rsidRDefault="00F6308C">
            <w:pPr>
              <w:pStyle w:val="TableParagraph"/>
              <w:spacing w:before="35"/>
              <w:ind w:left="107"/>
              <w:jc w:val="left"/>
              <w:rPr>
                <w:sz w:val="24"/>
              </w:rPr>
            </w:pPr>
            <w:r>
              <w:rPr>
                <w:sz w:val="24"/>
              </w:rPr>
              <w:t>Railway Traction</w:t>
            </w:r>
          </w:p>
        </w:tc>
        <w:tc>
          <w:tcPr>
            <w:tcW w:w="1730" w:type="dxa"/>
          </w:tcPr>
          <w:p w:rsidR="007C5447" w:rsidRDefault="00F6308C">
            <w:pPr>
              <w:pStyle w:val="TableParagraph"/>
              <w:spacing w:before="35"/>
              <w:ind w:right="95"/>
              <w:rPr>
                <w:sz w:val="24"/>
              </w:rPr>
            </w:pPr>
            <w:r>
              <w:rPr>
                <w:sz w:val="24"/>
              </w:rPr>
              <w:t>712.53</w:t>
            </w:r>
          </w:p>
        </w:tc>
        <w:tc>
          <w:tcPr>
            <w:tcW w:w="2074" w:type="dxa"/>
          </w:tcPr>
          <w:p w:rsidR="007C5447" w:rsidRDefault="00F6308C">
            <w:pPr>
              <w:pStyle w:val="TableParagraph"/>
              <w:spacing w:before="35"/>
              <w:ind w:right="93"/>
              <w:rPr>
                <w:sz w:val="24"/>
              </w:rPr>
            </w:pPr>
            <w:r>
              <w:rPr>
                <w:sz w:val="24"/>
              </w:rPr>
              <w:t>712.53</w:t>
            </w:r>
          </w:p>
        </w:tc>
      </w:tr>
      <w:tr w:rsidR="007C5447">
        <w:trPr>
          <w:trHeight w:val="345"/>
        </w:trPr>
        <w:tc>
          <w:tcPr>
            <w:tcW w:w="1411" w:type="dxa"/>
          </w:tcPr>
          <w:p w:rsidR="007C5447" w:rsidRDefault="00F6308C">
            <w:pPr>
              <w:pStyle w:val="TableParagraph"/>
              <w:spacing w:before="32"/>
              <w:ind w:left="107"/>
              <w:jc w:val="left"/>
              <w:rPr>
                <w:b/>
                <w:sz w:val="24"/>
              </w:rPr>
            </w:pPr>
            <w:r>
              <w:rPr>
                <w:b/>
                <w:sz w:val="24"/>
              </w:rPr>
              <w:t>HT-IIA</w:t>
            </w:r>
          </w:p>
        </w:tc>
        <w:tc>
          <w:tcPr>
            <w:tcW w:w="3397" w:type="dxa"/>
          </w:tcPr>
          <w:p w:rsidR="007C5447" w:rsidRDefault="00F6308C">
            <w:pPr>
              <w:pStyle w:val="TableParagraph"/>
              <w:spacing w:before="32"/>
              <w:ind w:left="107"/>
              <w:jc w:val="left"/>
              <w:rPr>
                <w:sz w:val="24"/>
              </w:rPr>
            </w:pPr>
            <w:r>
              <w:rPr>
                <w:sz w:val="24"/>
              </w:rPr>
              <w:t>Govt. Educational institution etc.</w:t>
            </w:r>
          </w:p>
        </w:tc>
        <w:tc>
          <w:tcPr>
            <w:tcW w:w="1730" w:type="dxa"/>
          </w:tcPr>
          <w:p w:rsidR="007C5447" w:rsidRDefault="00F6308C">
            <w:pPr>
              <w:pStyle w:val="TableParagraph"/>
              <w:spacing w:before="32"/>
              <w:ind w:right="95"/>
              <w:rPr>
                <w:sz w:val="24"/>
              </w:rPr>
            </w:pPr>
            <w:r>
              <w:rPr>
                <w:sz w:val="24"/>
              </w:rPr>
              <w:t>1,207.83</w:t>
            </w:r>
          </w:p>
        </w:tc>
        <w:tc>
          <w:tcPr>
            <w:tcW w:w="2074" w:type="dxa"/>
          </w:tcPr>
          <w:p w:rsidR="007C5447" w:rsidRDefault="00F6308C">
            <w:pPr>
              <w:pStyle w:val="TableParagraph"/>
              <w:spacing w:before="32"/>
              <w:ind w:right="93"/>
              <w:rPr>
                <w:sz w:val="24"/>
              </w:rPr>
            </w:pPr>
            <w:r>
              <w:rPr>
                <w:sz w:val="24"/>
              </w:rPr>
              <w:t>1,207.83</w:t>
            </w:r>
          </w:p>
        </w:tc>
      </w:tr>
      <w:tr w:rsidR="007C5447">
        <w:trPr>
          <w:trHeight w:val="345"/>
        </w:trPr>
        <w:tc>
          <w:tcPr>
            <w:tcW w:w="1411" w:type="dxa"/>
          </w:tcPr>
          <w:p w:rsidR="007C5447" w:rsidRDefault="00F6308C">
            <w:pPr>
              <w:pStyle w:val="TableParagraph"/>
              <w:spacing w:before="32"/>
              <w:ind w:left="107"/>
              <w:jc w:val="left"/>
              <w:rPr>
                <w:b/>
                <w:sz w:val="24"/>
              </w:rPr>
            </w:pPr>
            <w:r>
              <w:rPr>
                <w:b/>
                <w:sz w:val="24"/>
              </w:rPr>
              <w:t>HT-IIB</w:t>
            </w:r>
          </w:p>
        </w:tc>
        <w:tc>
          <w:tcPr>
            <w:tcW w:w="3397" w:type="dxa"/>
          </w:tcPr>
          <w:p w:rsidR="007C5447" w:rsidRDefault="00F6308C">
            <w:pPr>
              <w:pStyle w:val="TableParagraph"/>
              <w:spacing w:before="32"/>
              <w:ind w:left="107"/>
              <w:jc w:val="left"/>
              <w:rPr>
                <w:sz w:val="24"/>
              </w:rPr>
            </w:pPr>
            <w:r>
              <w:rPr>
                <w:sz w:val="24"/>
              </w:rPr>
              <w:t>Pvt Educational institution etc.</w:t>
            </w:r>
          </w:p>
        </w:tc>
        <w:tc>
          <w:tcPr>
            <w:tcW w:w="1730" w:type="dxa"/>
          </w:tcPr>
          <w:p w:rsidR="007C5447" w:rsidRDefault="00F6308C">
            <w:pPr>
              <w:pStyle w:val="TableParagraph"/>
              <w:spacing w:before="32"/>
              <w:ind w:right="95"/>
              <w:rPr>
                <w:sz w:val="24"/>
              </w:rPr>
            </w:pPr>
            <w:r>
              <w:rPr>
                <w:sz w:val="24"/>
              </w:rPr>
              <w:t>291.26</w:t>
            </w:r>
          </w:p>
        </w:tc>
        <w:tc>
          <w:tcPr>
            <w:tcW w:w="2074" w:type="dxa"/>
          </w:tcPr>
          <w:p w:rsidR="007C5447" w:rsidRDefault="00F6308C">
            <w:pPr>
              <w:pStyle w:val="TableParagraph"/>
              <w:spacing w:before="32"/>
              <w:ind w:right="93"/>
              <w:rPr>
                <w:sz w:val="24"/>
              </w:rPr>
            </w:pPr>
            <w:r>
              <w:rPr>
                <w:sz w:val="24"/>
              </w:rPr>
              <w:t>291.26</w:t>
            </w:r>
          </w:p>
        </w:tc>
      </w:tr>
      <w:tr w:rsidR="007C5447">
        <w:trPr>
          <w:trHeight w:val="345"/>
        </w:trPr>
        <w:tc>
          <w:tcPr>
            <w:tcW w:w="1411" w:type="dxa"/>
          </w:tcPr>
          <w:p w:rsidR="007C5447" w:rsidRDefault="00F6308C">
            <w:pPr>
              <w:pStyle w:val="TableParagraph"/>
              <w:spacing w:before="33"/>
              <w:ind w:left="107"/>
              <w:jc w:val="left"/>
              <w:rPr>
                <w:b/>
                <w:sz w:val="24"/>
              </w:rPr>
            </w:pPr>
            <w:r>
              <w:rPr>
                <w:b/>
                <w:sz w:val="24"/>
              </w:rPr>
              <w:t>HT-III</w:t>
            </w:r>
          </w:p>
        </w:tc>
        <w:tc>
          <w:tcPr>
            <w:tcW w:w="3397" w:type="dxa"/>
          </w:tcPr>
          <w:p w:rsidR="007C5447" w:rsidRDefault="00F6308C">
            <w:pPr>
              <w:pStyle w:val="TableParagraph"/>
              <w:spacing w:before="33"/>
              <w:ind w:left="107"/>
              <w:jc w:val="left"/>
              <w:rPr>
                <w:sz w:val="24"/>
              </w:rPr>
            </w:pPr>
            <w:r>
              <w:rPr>
                <w:sz w:val="24"/>
              </w:rPr>
              <w:t>HT Commercial</w:t>
            </w:r>
          </w:p>
        </w:tc>
        <w:tc>
          <w:tcPr>
            <w:tcW w:w="1730" w:type="dxa"/>
          </w:tcPr>
          <w:p w:rsidR="007C5447" w:rsidRDefault="00F6308C">
            <w:pPr>
              <w:pStyle w:val="TableParagraph"/>
              <w:spacing w:before="33"/>
              <w:ind w:right="95"/>
              <w:rPr>
                <w:sz w:val="24"/>
              </w:rPr>
            </w:pPr>
            <w:r>
              <w:rPr>
                <w:sz w:val="24"/>
              </w:rPr>
              <w:t>2,637.87</w:t>
            </w:r>
          </w:p>
        </w:tc>
        <w:tc>
          <w:tcPr>
            <w:tcW w:w="2074" w:type="dxa"/>
          </w:tcPr>
          <w:p w:rsidR="007C5447" w:rsidRDefault="00F6308C">
            <w:pPr>
              <w:pStyle w:val="TableParagraph"/>
              <w:spacing w:before="33"/>
              <w:ind w:right="93"/>
              <w:rPr>
                <w:sz w:val="24"/>
              </w:rPr>
            </w:pPr>
            <w:r>
              <w:rPr>
                <w:sz w:val="24"/>
              </w:rPr>
              <w:t>2,637.87</w:t>
            </w:r>
          </w:p>
        </w:tc>
      </w:tr>
      <w:tr w:rsidR="007C5447">
        <w:trPr>
          <w:trHeight w:val="345"/>
        </w:trPr>
        <w:tc>
          <w:tcPr>
            <w:tcW w:w="1411" w:type="dxa"/>
          </w:tcPr>
          <w:p w:rsidR="007C5447" w:rsidRDefault="00F6308C">
            <w:pPr>
              <w:pStyle w:val="TableParagraph"/>
              <w:spacing w:before="32"/>
              <w:ind w:left="107"/>
              <w:jc w:val="left"/>
              <w:rPr>
                <w:b/>
                <w:sz w:val="24"/>
              </w:rPr>
            </w:pPr>
            <w:r>
              <w:rPr>
                <w:b/>
                <w:sz w:val="24"/>
              </w:rPr>
              <w:t>HT-IV</w:t>
            </w:r>
          </w:p>
        </w:tc>
        <w:tc>
          <w:tcPr>
            <w:tcW w:w="3397" w:type="dxa"/>
          </w:tcPr>
          <w:p w:rsidR="007C5447" w:rsidRDefault="00F6308C">
            <w:pPr>
              <w:pStyle w:val="TableParagraph"/>
              <w:spacing w:before="32"/>
              <w:ind w:left="107"/>
              <w:jc w:val="left"/>
              <w:rPr>
                <w:sz w:val="24"/>
              </w:rPr>
            </w:pPr>
            <w:r>
              <w:rPr>
                <w:sz w:val="24"/>
              </w:rPr>
              <w:t>Lift Irrigation Societies</w:t>
            </w:r>
          </w:p>
        </w:tc>
        <w:tc>
          <w:tcPr>
            <w:tcW w:w="1730" w:type="dxa"/>
          </w:tcPr>
          <w:p w:rsidR="007C5447" w:rsidRDefault="00F6308C">
            <w:pPr>
              <w:pStyle w:val="TableParagraph"/>
              <w:spacing w:before="32"/>
              <w:ind w:right="95"/>
              <w:rPr>
                <w:sz w:val="24"/>
              </w:rPr>
            </w:pPr>
            <w:r>
              <w:rPr>
                <w:sz w:val="24"/>
              </w:rPr>
              <w:t>4.77</w:t>
            </w:r>
          </w:p>
        </w:tc>
        <w:tc>
          <w:tcPr>
            <w:tcW w:w="2074" w:type="dxa"/>
          </w:tcPr>
          <w:p w:rsidR="007C5447" w:rsidRDefault="00F6308C">
            <w:pPr>
              <w:pStyle w:val="TableParagraph"/>
              <w:spacing w:before="32"/>
              <w:ind w:right="93"/>
              <w:rPr>
                <w:sz w:val="24"/>
              </w:rPr>
            </w:pPr>
            <w:r>
              <w:rPr>
                <w:sz w:val="24"/>
              </w:rPr>
              <w:t>4.77</w:t>
            </w:r>
          </w:p>
        </w:tc>
      </w:tr>
      <w:tr w:rsidR="007C5447">
        <w:trPr>
          <w:trHeight w:val="345"/>
        </w:trPr>
        <w:tc>
          <w:tcPr>
            <w:tcW w:w="1411" w:type="dxa"/>
          </w:tcPr>
          <w:p w:rsidR="007C5447" w:rsidRDefault="00F6308C">
            <w:pPr>
              <w:pStyle w:val="TableParagraph"/>
              <w:spacing w:before="32"/>
              <w:ind w:left="107"/>
              <w:jc w:val="left"/>
              <w:rPr>
                <w:b/>
                <w:sz w:val="24"/>
              </w:rPr>
            </w:pPr>
            <w:r>
              <w:rPr>
                <w:b/>
                <w:sz w:val="24"/>
              </w:rPr>
              <w:t>HT-V</w:t>
            </w:r>
          </w:p>
        </w:tc>
        <w:tc>
          <w:tcPr>
            <w:tcW w:w="3397" w:type="dxa"/>
          </w:tcPr>
          <w:p w:rsidR="007C5447" w:rsidRDefault="00F6308C">
            <w:pPr>
              <w:pStyle w:val="TableParagraph"/>
              <w:spacing w:before="32"/>
              <w:ind w:left="107"/>
              <w:jc w:val="left"/>
              <w:rPr>
                <w:sz w:val="24"/>
              </w:rPr>
            </w:pPr>
            <w:r>
              <w:rPr>
                <w:sz w:val="24"/>
              </w:rPr>
              <w:t>Temporary Supply</w:t>
            </w:r>
          </w:p>
        </w:tc>
        <w:tc>
          <w:tcPr>
            <w:tcW w:w="1730" w:type="dxa"/>
          </w:tcPr>
          <w:p w:rsidR="007C5447" w:rsidRDefault="00F6308C">
            <w:pPr>
              <w:pStyle w:val="TableParagraph"/>
              <w:spacing w:before="32"/>
              <w:ind w:right="95"/>
              <w:rPr>
                <w:sz w:val="24"/>
              </w:rPr>
            </w:pPr>
            <w:r>
              <w:rPr>
                <w:sz w:val="24"/>
              </w:rPr>
              <w:t>286.82</w:t>
            </w:r>
          </w:p>
        </w:tc>
        <w:tc>
          <w:tcPr>
            <w:tcW w:w="2074" w:type="dxa"/>
          </w:tcPr>
          <w:p w:rsidR="007C5447" w:rsidRDefault="00F6308C">
            <w:pPr>
              <w:pStyle w:val="TableParagraph"/>
              <w:spacing w:before="32"/>
              <w:ind w:right="93"/>
              <w:rPr>
                <w:sz w:val="24"/>
              </w:rPr>
            </w:pPr>
            <w:r>
              <w:rPr>
                <w:sz w:val="24"/>
              </w:rPr>
              <w:t>286.82</w:t>
            </w:r>
          </w:p>
        </w:tc>
      </w:tr>
      <w:tr w:rsidR="007C5447">
        <w:trPr>
          <w:trHeight w:val="342"/>
        </w:trPr>
        <w:tc>
          <w:tcPr>
            <w:tcW w:w="1411" w:type="dxa"/>
          </w:tcPr>
          <w:p w:rsidR="007C5447" w:rsidRDefault="007C5447">
            <w:pPr>
              <w:pStyle w:val="TableParagraph"/>
              <w:jc w:val="left"/>
              <w:rPr>
                <w:sz w:val="24"/>
              </w:rPr>
            </w:pPr>
          </w:p>
        </w:tc>
        <w:tc>
          <w:tcPr>
            <w:tcW w:w="3397" w:type="dxa"/>
          </w:tcPr>
          <w:p w:rsidR="007C5447" w:rsidRDefault="00F6308C">
            <w:pPr>
              <w:pStyle w:val="TableParagraph"/>
              <w:spacing w:before="32"/>
              <w:ind w:left="107"/>
              <w:jc w:val="left"/>
              <w:rPr>
                <w:b/>
                <w:sz w:val="24"/>
              </w:rPr>
            </w:pPr>
            <w:r>
              <w:rPr>
                <w:b/>
                <w:sz w:val="24"/>
              </w:rPr>
              <w:t>Total HT</w:t>
            </w:r>
          </w:p>
        </w:tc>
        <w:tc>
          <w:tcPr>
            <w:tcW w:w="1730" w:type="dxa"/>
          </w:tcPr>
          <w:p w:rsidR="007C5447" w:rsidRDefault="00F6308C">
            <w:pPr>
              <w:pStyle w:val="TableParagraph"/>
              <w:spacing w:before="32"/>
              <w:ind w:right="95"/>
              <w:rPr>
                <w:b/>
                <w:sz w:val="24"/>
              </w:rPr>
            </w:pPr>
            <w:r>
              <w:rPr>
                <w:b/>
                <w:sz w:val="24"/>
              </w:rPr>
              <w:t>17,607.18</w:t>
            </w:r>
          </w:p>
        </w:tc>
        <w:tc>
          <w:tcPr>
            <w:tcW w:w="2074" w:type="dxa"/>
          </w:tcPr>
          <w:p w:rsidR="007C5447" w:rsidRDefault="00F6308C">
            <w:pPr>
              <w:pStyle w:val="TableParagraph"/>
              <w:spacing w:before="32"/>
              <w:ind w:right="93"/>
              <w:rPr>
                <w:b/>
                <w:sz w:val="24"/>
              </w:rPr>
            </w:pPr>
            <w:r>
              <w:rPr>
                <w:b/>
                <w:sz w:val="24"/>
              </w:rPr>
              <w:t>17,607.18</w:t>
            </w:r>
          </w:p>
        </w:tc>
      </w:tr>
      <w:tr w:rsidR="007C5447">
        <w:trPr>
          <w:trHeight w:val="347"/>
        </w:trPr>
        <w:tc>
          <w:tcPr>
            <w:tcW w:w="1411" w:type="dxa"/>
          </w:tcPr>
          <w:p w:rsidR="007C5447" w:rsidRDefault="007C5447">
            <w:pPr>
              <w:pStyle w:val="TableParagraph"/>
              <w:jc w:val="left"/>
              <w:rPr>
                <w:sz w:val="24"/>
              </w:rPr>
            </w:pPr>
          </w:p>
        </w:tc>
        <w:tc>
          <w:tcPr>
            <w:tcW w:w="3397" w:type="dxa"/>
          </w:tcPr>
          <w:p w:rsidR="007C5447" w:rsidRDefault="00F6308C">
            <w:pPr>
              <w:pStyle w:val="TableParagraph"/>
              <w:spacing w:before="35"/>
              <w:ind w:left="107"/>
              <w:jc w:val="left"/>
              <w:rPr>
                <w:b/>
                <w:sz w:val="24"/>
              </w:rPr>
            </w:pPr>
            <w:r>
              <w:rPr>
                <w:b/>
                <w:sz w:val="24"/>
              </w:rPr>
              <w:t>Total</w:t>
            </w:r>
          </w:p>
        </w:tc>
        <w:tc>
          <w:tcPr>
            <w:tcW w:w="1730" w:type="dxa"/>
          </w:tcPr>
          <w:p w:rsidR="007C5447" w:rsidRDefault="00F6308C">
            <w:pPr>
              <w:pStyle w:val="TableParagraph"/>
              <w:spacing w:before="35"/>
              <w:ind w:right="95"/>
              <w:rPr>
                <w:b/>
                <w:sz w:val="24"/>
              </w:rPr>
            </w:pPr>
            <w:r>
              <w:rPr>
                <w:b/>
                <w:sz w:val="24"/>
              </w:rPr>
              <w:t>49,827.13</w:t>
            </w:r>
          </w:p>
        </w:tc>
        <w:tc>
          <w:tcPr>
            <w:tcW w:w="2074" w:type="dxa"/>
          </w:tcPr>
          <w:p w:rsidR="007C5447" w:rsidRDefault="00F6308C">
            <w:pPr>
              <w:pStyle w:val="TableParagraph"/>
              <w:spacing w:before="35"/>
              <w:ind w:right="93"/>
              <w:rPr>
                <w:b/>
                <w:sz w:val="24"/>
              </w:rPr>
            </w:pPr>
            <w:r>
              <w:rPr>
                <w:b/>
                <w:sz w:val="24"/>
              </w:rPr>
              <w:t>47,323.86</w:t>
            </w:r>
          </w:p>
        </w:tc>
      </w:tr>
    </w:tbl>
    <w:p w:rsidR="007C5447" w:rsidRDefault="007C5447">
      <w:pPr>
        <w:rPr>
          <w:sz w:val="24"/>
        </w:rPr>
        <w:sectPr w:rsidR="007C5447">
          <w:footerReference w:type="default" r:id="rId69"/>
          <w:pgSz w:w="11910" w:h="16840"/>
          <w:pgMar w:top="1480" w:right="560" w:bottom="1240" w:left="1180" w:header="0" w:footer="1057" w:gutter="0"/>
          <w:pgNumType w:start="282"/>
          <w:cols w:space="720"/>
        </w:sectPr>
      </w:pPr>
    </w:p>
    <w:p w:rsidR="007C5447" w:rsidRDefault="00F6308C">
      <w:pPr>
        <w:spacing w:before="60"/>
        <w:ind w:left="1112"/>
        <w:rPr>
          <w:b/>
          <w:sz w:val="24"/>
        </w:rPr>
      </w:pPr>
      <w:r>
        <w:rPr>
          <w:b/>
          <w:sz w:val="24"/>
        </w:rPr>
        <w:lastRenderedPageBreak/>
        <w:t>Commission’s Views</w:t>
      </w:r>
    </w:p>
    <w:p w:rsidR="007C5447" w:rsidRDefault="00F6308C">
      <w:pPr>
        <w:pStyle w:val="ListParagraph"/>
        <w:numPr>
          <w:ilvl w:val="2"/>
          <w:numId w:val="40"/>
        </w:numPr>
        <w:tabs>
          <w:tab w:val="left" w:pos="1113"/>
        </w:tabs>
        <w:spacing w:before="202" w:line="312" w:lineRule="auto"/>
        <w:ind w:left="1112" w:right="874"/>
        <w:jc w:val="both"/>
        <w:rPr>
          <w:sz w:val="24"/>
        </w:rPr>
      </w:pPr>
      <w:r>
        <w:rPr>
          <w:sz w:val="24"/>
        </w:rPr>
        <w:t>Based on the sales, consumer load and number of connections projected by the Commission for FY 2017-18, the category-wise revenue, including subsidy paid by GoTN, from existing and proposed tariff as approved by the Commission is shown in the Table</w:t>
      </w:r>
      <w:r>
        <w:rPr>
          <w:spacing w:val="-2"/>
          <w:sz w:val="24"/>
        </w:rPr>
        <w:t xml:space="preserve"> </w:t>
      </w:r>
      <w:r>
        <w:rPr>
          <w:sz w:val="24"/>
        </w:rPr>
        <w:t>below:</w:t>
      </w:r>
    </w:p>
    <w:p w:rsidR="007C5447" w:rsidRDefault="007C5447">
      <w:pPr>
        <w:pStyle w:val="BodyText"/>
        <w:spacing w:before="10"/>
        <w:rPr>
          <w:sz w:val="20"/>
        </w:rPr>
      </w:pPr>
    </w:p>
    <w:p w:rsidR="007C5447" w:rsidRDefault="00F6308C">
      <w:pPr>
        <w:pStyle w:val="Heading2"/>
        <w:spacing w:before="1" w:line="312" w:lineRule="auto"/>
        <w:ind w:left="2530" w:right="997" w:hanging="2136"/>
      </w:pPr>
      <w:r>
        <w:t>Table 5-6: Revenue from Sale of Power at Existing and Revised Tariff for FY 2017-18 as approved by the Commission (Rs. Crore)</w:t>
      </w:r>
    </w:p>
    <w:p w:rsidR="007C5447" w:rsidRDefault="007C5447">
      <w:pPr>
        <w:pStyle w:val="BodyText"/>
        <w:spacing w:before="5" w:after="1"/>
        <w:rPr>
          <w:b/>
          <w:sz w:val="10"/>
        </w:rPr>
      </w:pPr>
    </w:p>
    <w:tbl>
      <w:tblPr>
        <w:tblW w:w="0" w:type="auto"/>
        <w:tblInd w:w="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4537"/>
        <w:gridCol w:w="1419"/>
        <w:gridCol w:w="1133"/>
      </w:tblGrid>
      <w:tr w:rsidR="007C5447">
        <w:trPr>
          <w:trHeight w:val="309"/>
        </w:trPr>
        <w:tc>
          <w:tcPr>
            <w:tcW w:w="5672" w:type="dxa"/>
            <w:gridSpan w:val="2"/>
            <w:vMerge w:val="restart"/>
            <w:shd w:val="clear" w:color="auto" w:fill="FBD4B4"/>
          </w:tcPr>
          <w:p w:rsidR="007C5447" w:rsidRDefault="007C5447">
            <w:pPr>
              <w:pStyle w:val="TableParagraph"/>
              <w:spacing w:before="1"/>
              <w:jc w:val="left"/>
              <w:rPr>
                <w:b/>
                <w:sz w:val="26"/>
              </w:rPr>
            </w:pPr>
          </w:p>
          <w:p w:rsidR="007C5447" w:rsidRDefault="00F6308C">
            <w:pPr>
              <w:pStyle w:val="TableParagraph"/>
              <w:spacing w:before="1"/>
              <w:ind w:left="107"/>
              <w:jc w:val="left"/>
              <w:rPr>
                <w:b/>
              </w:rPr>
            </w:pPr>
            <w:r>
              <w:rPr>
                <w:b/>
              </w:rPr>
              <w:t>Consumer Category</w:t>
            </w:r>
          </w:p>
        </w:tc>
        <w:tc>
          <w:tcPr>
            <w:tcW w:w="2552" w:type="dxa"/>
            <w:gridSpan w:val="2"/>
            <w:shd w:val="clear" w:color="auto" w:fill="FBD4B4"/>
          </w:tcPr>
          <w:p w:rsidR="007C5447" w:rsidRDefault="00F6308C">
            <w:pPr>
              <w:pStyle w:val="TableParagraph"/>
              <w:spacing w:before="27"/>
              <w:ind w:left="734"/>
              <w:jc w:val="left"/>
              <w:rPr>
                <w:b/>
              </w:rPr>
            </w:pPr>
            <w:r>
              <w:rPr>
                <w:b/>
              </w:rPr>
              <w:t>FY 2017-18</w:t>
            </w:r>
          </w:p>
        </w:tc>
      </w:tr>
      <w:tr w:rsidR="007C5447">
        <w:trPr>
          <w:trHeight w:val="534"/>
        </w:trPr>
        <w:tc>
          <w:tcPr>
            <w:tcW w:w="5672" w:type="dxa"/>
            <w:gridSpan w:val="2"/>
            <w:vMerge/>
            <w:tcBorders>
              <w:top w:val="nil"/>
            </w:tcBorders>
            <w:shd w:val="clear" w:color="auto" w:fill="FBD4B4"/>
          </w:tcPr>
          <w:p w:rsidR="007C5447" w:rsidRDefault="007C5447">
            <w:pPr>
              <w:rPr>
                <w:sz w:val="2"/>
                <w:szCs w:val="2"/>
              </w:rPr>
            </w:pPr>
          </w:p>
        </w:tc>
        <w:tc>
          <w:tcPr>
            <w:tcW w:w="1419" w:type="dxa"/>
            <w:shd w:val="clear" w:color="auto" w:fill="FBD4B4"/>
          </w:tcPr>
          <w:p w:rsidR="007C5447" w:rsidRDefault="00F6308C">
            <w:pPr>
              <w:pStyle w:val="TableParagraph"/>
              <w:spacing w:before="13" w:line="250" w:lineRule="atLeast"/>
              <w:ind w:left="427" w:right="297" w:hanging="106"/>
              <w:jc w:val="left"/>
              <w:rPr>
                <w:b/>
              </w:rPr>
            </w:pPr>
            <w:r>
              <w:rPr>
                <w:b/>
              </w:rPr>
              <w:t>Existing Tariff</w:t>
            </w:r>
          </w:p>
        </w:tc>
        <w:tc>
          <w:tcPr>
            <w:tcW w:w="1133" w:type="dxa"/>
            <w:shd w:val="clear" w:color="auto" w:fill="FBD4B4"/>
          </w:tcPr>
          <w:p w:rsidR="007C5447" w:rsidRDefault="00F6308C">
            <w:pPr>
              <w:pStyle w:val="TableParagraph"/>
              <w:spacing w:before="13" w:line="250" w:lineRule="atLeast"/>
              <w:ind w:left="285" w:right="171" w:hanging="87"/>
              <w:jc w:val="left"/>
              <w:rPr>
                <w:b/>
              </w:rPr>
            </w:pPr>
            <w:r>
              <w:rPr>
                <w:b/>
              </w:rPr>
              <w:t>Revised Tariff</w:t>
            </w:r>
          </w:p>
        </w:tc>
      </w:tr>
      <w:tr w:rsidR="007C5447">
        <w:trPr>
          <w:trHeight w:val="317"/>
        </w:trPr>
        <w:tc>
          <w:tcPr>
            <w:tcW w:w="1135" w:type="dxa"/>
          </w:tcPr>
          <w:p w:rsidR="007C5447" w:rsidRDefault="007C5447">
            <w:pPr>
              <w:pStyle w:val="TableParagraph"/>
              <w:jc w:val="left"/>
            </w:pPr>
          </w:p>
        </w:tc>
        <w:tc>
          <w:tcPr>
            <w:tcW w:w="4537" w:type="dxa"/>
          </w:tcPr>
          <w:p w:rsidR="007C5447" w:rsidRDefault="00F6308C">
            <w:pPr>
              <w:pStyle w:val="TableParagraph"/>
              <w:spacing w:before="32"/>
              <w:ind w:left="108"/>
              <w:jc w:val="left"/>
              <w:rPr>
                <w:b/>
              </w:rPr>
            </w:pPr>
            <w:r>
              <w:rPr>
                <w:b/>
              </w:rPr>
              <w:t>HT Category</w:t>
            </w:r>
          </w:p>
        </w:tc>
        <w:tc>
          <w:tcPr>
            <w:tcW w:w="1419" w:type="dxa"/>
          </w:tcPr>
          <w:p w:rsidR="007C5447" w:rsidRDefault="007C5447">
            <w:pPr>
              <w:pStyle w:val="TableParagraph"/>
              <w:jc w:val="left"/>
            </w:pPr>
          </w:p>
        </w:tc>
        <w:tc>
          <w:tcPr>
            <w:tcW w:w="1133" w:type="dxa"/>
          </w:tcPr>
          <w:p w:rsidR="007C5447" w:rsidRDefault="007C5447">
            <w:pPr>
              <w:pStyle w:val="TableParagraph"/>
              <w:jc w:val="left"/>
            </w:pPr>
          </w:p>
        </w:tc>
      </w:tr>
      <w:tr w:rsidR="007C5447">
        <w:trPr>
          <w:trHeight w:val="316"/>
        </w:trPr>
        <w:tc>
          <w:tcPr>
            <w:tcW w:w="1135" w:type="dxa"/>
          </w:tcPr>
          <w:p w:rsidR="007C5447" w:rsidRDefault="00F6308C">
            <w:pPr>
              <w:pStyle w:val="TableParagraph"/>
              <w:spacing w:before="32"/>
              <w:ind w:left="107"/>
              <w:jc w:val="left"/>
            </w:pPr>
            <w:r>
              <w:t>I (A)</w:t>
            </w:r>
          </w:p>
        </w:tc>
        <w:tc>
          <w:tcPr>
            <w:tcW w:w="4537" w:type="dxa"/>
          </w:tcPr>
          <w:p w:rsidR="007C5447" w:rsidRDefault="00F6308C">
            <w:pPr>
              <w:pStyle w:val="TableParagraph"/>
              <w:spacing w:before="32"/>
              <w:ind w:left="108"/>
              <w:jc w:val="left"/>
            </w:pPr>
            <w:r>
              <w:t>HT Industries</w:t>
            </w:r>
          </w:p>
        </w:tc>
        <w:tc>
          <w:tcPr>
            <w:tcW w:w="1419" w:type="dxa"/>
          </w:tcPr>
          <w:p w:rsidR="007C5447" w:rsidRDefault="00F6308C">
            <w:pPr>
              <w:pStyle w:val="TableParagraph"/>
              <w:spacing w:before="32"/>
              <w:ind w:right="223"/>
            </w:pPr>
            <w:r>
              <w:t>12,750</w:t>
            </w:r>
          </w:p>
        </w:tc>
        <w:tc>
          <w:tcPr>
            <w:tcW w:w="1133" w:type="dxa"/>
          </w:tcPr>
          <w:p w:rsidR="007C5447" w:rsidRDefault="00F6308C">
            <w:pPr>
              <w:pStyle w:val="TableParagraph"/>
              <w:spacing w:before="32"/>
              <w:ind w:right="222"/>
            </w:pPr>
            <w:r>
              <w:t>12,750</w:t>
            </w:r>
          </w:p>
        </w:tc>
      </w:tr>
      <w:tr w:rsidR="007C5447">
        <w:trPr>
          <w:trHeight w:val="316"/>
        </w:trPr>
        <w:tc>
          <w:tcPr>
            <w:tcW w:w="1135" w:type="dxa"/>
          </w:tcPr>
          <w:p w:rsidR="007C5447" w:rsidRDefault="00F6308C">
            <w:pPr>
              <w:pStyle w:val="TableParagraph"/>
              <w:spacing w:before="29"/>
              <w:ind w:left="107"/>
              <w:jc w:val="left"/>
            </w:pPr>
            <w:r>
              <w:t>I (B)</w:t>
            </w:r>
          </w:p>
        </w:tc>
        <w:tc>
          <w:tcPr>
            <w:tcW w:w="4537" w:type="dxa"/>
          </w:tcPr>
          <w:p w:rsidR="007C5447" w:rsidRDefault="00F6308C">
            <w:pPr>
              <w:pStyle w:val="TableParagraph"/>
              <w:spacing w:before="29"/>
              <w:ind w:left="108"/>
              <w:jc w:val="left"/>
            </w:pPr>
            <w:r>
              <w:t>Railway Traction</w:t>
            </w:r>
          </w:p>
        </w:tc>
        <w:tc>
          <w:tcPr>
            <w:tcW w:w="1419" w:type="dxa"/>
          </w:tcPr>
          <w:p w:rsidR="007C5447" w:rsidRDefault="00F6308C">
            <w:pPr>
              <w:pStyle w:val="TableParagraph"/>
              <w:spacing w:before="29"/>
              <w:ind w:right="226"/>
            </w:pPr>
            <w:r>
              <w:t>723</w:t>
            </w:r>
          </w:p>
        </w:tc>
        <w:tc>
          <w:tcPr>
            <w:tcW w:w="1133" w:type="dxa"/>
          </w:tcPr>
          <w:p w:rsidR="007C5447" w:rsidRDefault="00F6308C">
            <w:pPr>
              <w:pStyle w:val="TableParagraph"/>
              <w:spacing w:before="29"/>
              <w:ind w:right="223"/>
            </w:pPr>
            <w:r>
              <w:t>723</w:t>
            </w:r>
          </w:p>
        </w:tc>
      </w:tr>
      <w:tr w:rsidR="007C5447">
        <w:trPr>
          <w:trHeight w:val="412"/>
        </w:trPr>
        <w:tc>
          <w:tcPr>
            <w:tcW w:w="1135" w:type="dxa"/>
          </w:tcPr>
          <w:p w:rsidR="007C5447" w:rsidRDefault="00F6308C">
            <w:pPr>
              <w:pStyle w:val="TableParagraph"/>
              <w:spacing w:before="77"/>
              <w:ind w:left="107"/>
              <w:jc w:val="left"/>
            </w:pPr>
            <w:r>
              <w:t>II (A)</w:t>
            </w:r>
          </w:p>
        </w:tc>
        <w:tc>
          <w:tcPr>
            <w:tcW w:w="4537" w:type="dxa"/>
          </w:tcPr>
          <w:p w:rsidR="007C5447" w:rsidRDefault="00F6308C">
            <w:pPr>
              <w:pStyle w:val="TableParagraph"/>
              <w:spacing w:before="77"/>
              <w:ind w:left="108"/>
              <w:jc w:val="left"/>
            </w:pPr>
            <w:r>
              <w:t>Government Educational Institution Etc. (HT)</w:t>
            </w:r>
          </w:p>
        </w:tc>
        <w:tc>
          <w:tcPr>
            <w:tcW w:w="1419" w:type="dxa"/>
          </w:tcPr>
          <w:p w:rsidR="007C5447" w:rsidRDefault="00F6308C">
            <w:pPr>
              <w:pStyle w:val="TableParagraph"/>
              <w:spacing w:before="77"/>
              <w:ind w:right="223"/>
            </w:pPr>
            <w:r>
              <w:t>1,214</w:t>
            </w:r>
          </w:p>
        </w:tc>
        <w:tc>
          <w:tcPr>
            <w:tcW w:w="1133" w:type="dxa"/>
          </w:tcPr>
          <w:p w:rsidR="007C5447" w:rsidRDefault="00F6308C">
            <w:pPr>
              <w:pStyle w:val="TableParagraph"/>
              <w:spacing w:before="77"/>
              <w:ind w:right="222"/>
            </w:pPr>
            <w:r>
              <w:t>1,214</w:t>
            </w:r>
          </w:p>
        </w:tc>
      </w:tr>
      <w:tr w:rsidR="007C5447">
        <w:trPr>
          <w:trHeight w:val="316"/>
        </w:trPr>
        <w:tc>
          <w:tcPr>
            <w:tcW w:w="1135" w:type="dxa"/>
          </w:tcPr>
          <w:p w:rsidR="007C5447" w:rsidRDefault="00F6308C">
            <w:pPr>
              <w:pStyle w:val="TableParagraph"/>
              <w:spacing w:before="29"/>
              <w:ind w:left="107"/>
              <w:jc w:val="left"/>
            </w:pPr>
            <w:r>
              <w:t>II (B)</w:t>
            </w:r>
          </w:p>
        </w:tc>
        <w:tc>
          <w:tcPr>
            <w:tcW w:w="4537" w:type="dxa"/>
          </w:tcPr>
          <w:p w:rsidR="007C5447" w:rsidRDefault="00F6308C">
            <w:pPr>
              <w:pStyle w:val="TableParagraph"/>
              <w:spacing w:before="29"/>
              <w:ind w:left="108"/>
              <w:jc w:val="left"/>
            </w:pPr>
            <w:r>
              <w:t>Pvt. Educational Institutions etc.</w:t>
            </w:r>
          </w:p>
        </w:tc>
        <w:tc>
          <w:tcPr>
            <w:tcW w:w="1419" w:type="dxa"/>
          </w:tcPr>
          <w:p w:rsidR="007C5447" w:rsidRDefault="00F6308C">
            <w:pPr>
              <w:pStyle w:val="TableParagraph"/>
              <w:spacing w:before="29"/>
              <w:ind w:right="226"/>
            </w:pPr>
            <w:r>
              <w:t>294</w:t>
            </w:r>
          </w:p>
        </w:tc>
        <w:tc>
          <w:tcPr>
            <w:tcW w:w="1133" w:type="dxa"/>
          </w:tcPr>
          <w:p w:rsidR="007C5447" w:rsidRDefault="00F6308C">
            <w:pPr>
              <w:pStyle w:val="TableParagraph"/>
              <w:spacing w:before="29"/>
              <w:ind w:right="223"/>
            </w:pPr>
            <w:r>
              <w:t>294</w:t>
            </w:r>
          </w:p>
        </w:tc>
      </w:tr>
      <w:tr w:rsidR="007C5447">
        <w:trPr>
          <w:trHeight w:val="316"/>
        </w:trPr>
        <w:tc>
          <w:tcPr>
            <w:tcW w:w="1135" w:type="dxa"/>
          </w:tcPr>
          <w:p w:rsidR="007C5447" w:rsidRDefault="00F6308C">
            <w:pPr>
              <w:pStyle w:val="TableParagraph"/>
              <w:spacing w:before="29"/>
              <w:ind w:left="107"/>
              <w:jc w:val="left"/>
            </w:pPr>
            <w:r>
              <w:t>II (C)</w:t>
            </w:r>
          </w:p>
        </w:tc>
        <w:tc>
          <w:tcPr>
            <w:tcW w:w="4537" w:type="dxa"/>
          </w:tcPr>
          <w:p w:rsidR="007C5447" w:rsidRDefault="00F6308C">
            <w:pPr>
              <w:pStyle w:val="TableParagraph"/>
              <w:spacing w:before="29"/>
              <w:ind w:left="108"/>
              <w:jc w:val="left"/>
            </w:pPr>
            <w:r>
              <w:t>Places of Public Worship</w:t>
            </w:r>
          </w:p>
        </w:tc>
        <w:tc>
          <w:tcPr>
            <w:tcW w:w="1419" w:type="dxa"/>
          </w:tcPr>
          <w:p w:rsidR="007C5447" w:rsidRDefault="00F6308C">
            <w:pPr>
              <w:pStyle w:val="TableParagraph"/>
              <w:spacing w:before="29"/>
              <w:ind w:right="226"/>
            </w:pPr>
            <w:r>
              <w:t>-</w:t>
            </w:r>
          </w:p>
        </w:tc>
        <w:tc>
          <w:tcPr>
            <w:tcW w:w="1133" w:type="dxa"/>
          </w:tcPr>
          <w:p w:rsidR="007C5447" w:rsidRDefault="00F6308C">
            <w:pPr>
              <w:pStyle w:val="TableParagraph"/>
              <w:spacing w:before="29"/>
              <w:ind w:right="224"/>
            </w:pPr>
            <w:r>
              <w:t>-</w:t>
            </w:r>
          </w:p>
        </w:tc>
      </w:tr>
      <w:tr w:rsidR="007C5447">
        <w:trPr>
          <w:trHeight w:val="316"/>
        </w:trPr>
        <w:tc>
          <w:tcPr>
            <w:tcW w:w="1135" w:type="dxa"/>
          </w:tcPr>
          <w:p w:rsidR="007C5447" w:rsidRDefault="00F6308C">
            <w:pPr>
              <w:pStyle w:val="TableParagraph"/>
              <w:spacing w:before="29"/>
              <w:ind w:left="107"/>
              <w:jc w:val="left"/>
            </w:pPr>
            <w:r>
              <w:t>III</w:t>
            </w:r>
          </w:p>
        </w:tc>
        <w:tc>
          <w:tcPr>
            <w:tcW w:w="4537" w:type="dxa"/>
          </w:tcPr>
          <w:p w:rsidR="007C5447" w:rsidRDefault="00F6308C">
            <w:pPr>
              <w:pStyle w:val="TableParagraph"/>
              <w:spacing w:before="29"/>
              <w:ind w:left="108"/>
              <w:jc w:val="left"/>
            </w:pPr>
            <w:r>
              <w:t>Commercial and other HT</w:t>
            </w:r>
          </w:p>
        </w:tc>
        <w:tc>
          <w:tcPr>
            <w:tcW w:w="1419" w:type="dxa"/>
          </w:tcPr>
          <w:p w:rsidR="007C5447" w:rsidRDefault="00F6308C">
            <w:pPr>
              <w:pStyle w:val="TableParagraph"/>
              <w:spacing w:before="29"/>
              <w:ind w:right="223"/>
            </w:pPr>
            <w:r>
              <w:t>2,644</w:t>
            </w:r>
          </w:p>
        </w:tc>
        <w:tc>
          <w:tcPr>
            <w:tcW w:w="1133" w:type="dxa"/>
          </w:tcPr>
          <w:p w:rsidR="007C5447" w:rsidRDefault="00F6308C">
            <w:pPr>
              <w:pStyle w:val="TableParagraph"/>
              <w:spacing w:before="29"/>
              <w:ind w:right="222"/>
            </w:pPr>
            <w:r>
              <w:t>2,644</w:t>
            </w:r>
          </w:p>
        </w:tc>
      </w:tr>
      <w:tr w:rsidR="007C5447">
        <w:trPr>
          <w:trHeight w:val="313"/>
        </w:trPr>
        <w:tc>
          <w:tcPr>
            <w:tcW w:w="1135" w:type="dxa"/>
          </w:tcPr>
          <w:p w:rsidR="007C5447" w:rsidRDefault="00F6308C">
            <w:pPr>
              <w:pStyle w:val="TableParagraph"/>
              <w:spacing w:before="29"/>
              <w:ind w:left="107"/>
              <w:jc w:val="left"/>
            </w:pPr>
            <w:r>
              <w:t>IV</w:t>
            </w:r>
          </w:p>
        </w:tc>
        <w:tc>
          <w:tcPr>
            <w:tcW w:w="4537" w:type="dxa"/>
          </w:tcPr>
          <w:p w:rsidR="007C5447" w:rsidRDefault="00F6308C">
            <w:pPr>
              <w:pStyle w:val="TableParagraph"/>
              <w:spacing w:before="29"/>
              <w:ind w:left="108"/>
              <w:jc w:val="left"/>
            </w:pPr>
            <w:r>
              <w:t>Lift Irrigation and co-ops (HT)</w:t>
            </w:r>
          </w:p>
        </w:tc>
        <w:tc>
          <w:tcPr>
            <w:tcW w:w="1419" w:type="dxa"/>
          </w:tcPr>
          <w:p w:rsidR="007C5447" w:rsidRDefault="00F6308C">
            <w:pPr>
              <w:pStyle w:val="TableParagraph"/>
              <w:spacing w:before="29"/>
              <w:ind w:right="225"/>
            </w:pPr>
            <w:r>
              <w:t>5</w:t>
            </w:r>
          </w:p>
        </w:tc>
        <w:tc>
          <w:tcPr>
            <w:tcW w:w="1133" w:type="dxa"/>
          </w:tcPr>
          <w:p w:rsidR="007C5447" w:rsidRDefault="00F6308C">
            <w:pPr>
              <w:pStyle w:val="TableParagraph"/>
              <w:spacing w:before="29"/>
              <w:ind w:right="223"/>
            </w:pPr>
            <w:r>
              <w:t>5</w:t>
            </w:r>
          </w:p>
        </w:tc>
      </w:tr>
      <w:tr w:rsidR="007C5447">
        <w:trPr>
          <w:trHeight w:val="342"/>
        </w:trPr>
        <w:tc>
          <w:tcPr>
            <w:tcW w:w="1135" w:type="dxa"/>
          </w:tcPr>
          <w:p w:rsidR="007C5447" w:rsidRDefault="007C5447">
            <w:pPr>
              <w:pStyle w:val="TableParagraph"/>
              <w:jc w:val="left"/>
            </w:pPr>
          </w:p>
        </w:tc>
        <w:tc>
          <w:tcPr>
            <w:tcW w:w="4537" w:type="dxa"/>
          </w:tcPr>
          <w:p w:rsidR="007C5447" w:rsidRDefault="00F6308C">
            <w:pPr>
              <w:pStyle w:val="TableParagraph"/>
              <w:spacing w:before="44"/>
              <w:ind w:left="108"/>
              <w:jc w:val="left"/>
            </w:pPr>
            <w:r>
              <w:t>Supply to Puducherry plus wheeling charges</w:t>
            </w:r>
          </w:p>
        </w:tc>
        <w:tc>
          <w:tcPr>
            <w:tcW w:w="1419" w:type="dxa"/>
          </w:tcPr>
          <w:p w:rsidR="007C5447" w:rsidRDefault="00F6308C">
            <w:pPr>
              <w:pStyle w:val="TableParagraph"/>
              <w:spacing w:before="44"/>
              <w:ind w:right="226"/>
            </w:pPr>
            <w:r>
              <w:t>-</w:t>
            </w:r>
          </w:p>
        </w:tc>
        <w:tc>
          <w:tcPr>
            <w:tcW w:w="1133" w:type="dxa"/>
          </w:tcPr>
          <w:p w:rsidR="007C5447" w:rsidRDefault="00F6308C">
            <w:pPr>
              <w:pStyle w:val="TableParagraph"/>
              <w:spacing w:before="44"/>
              <w:ind w:right="224"/>
            </w:pPr>
            <w:r>
              <w:t>-</w:t>
            </w:r>
          </w:p>
        </w:tc>
      </w:tr>
      <w:tr w:rsidR="007C5447">
        <w:trPr>
          <w:trHeight w:val="316"/>
        </w:trPr>
        <w:tc>
          <w:tcPr>
            <w:tcW w:w="1135" w:type="dxa"/>
          </w:tcPr>
          <w:p w:rsidR="007C5447" w:rsidRDefault="00F6308C">
            <w:pPr>
              <w:pStyle w:val="TableParagraph"/>
              <w:spacing w:before="29"/>
              <w:ind w:left="107"/>
              <w:jc w:val="left"/>
            </w:pPr>
            <w:r>
              <w:t>VI</w:t>
            </w:r>
          </w:p>
        </w:tc>
        <w:tc>
          <w:tcPr>
            <w:tcW w:w="4537" w:type="dxa"/>
          </w:tcPr>
          <w:p w:rsidR="007C5447" w:rsidRDefault="00F6308C">
            <w:pPr>
              <w:pStyle w:val="TableParagraph"/>
              <w:spacing w:before="29"/>
              <w:ind w:left="108"/>
              <w:jc w:val="left"/>
            </w:pPr>
            <w:r>
              <w:t>Temporary</w:t>
            </w:r>
          </w:p>
        </w:tc>
        <w:tc>
          <w:tcPr>
            <w:tcW w:w="1419" w:type="dxa"/>
          </w:tcPr>
          <w:p w:rsidR="007C5447" w:rsidRDefault="00F6308C">
            <w:pPr>
              <w:pStyle w:val="TableParagraph"/>
              <w:spacing w:before="29"/>
              <w:ind w:right="226"/>
            </w:pPr>
            <w:r>
              <w:t>212</w:t>
            </w:r>
          </w:p>
        </w:tc>
        <w:tc>
          <w:tcPr>
            <w:tcW w:w="1133" w:type="dxa"/>
          </w:tcPr>
          <w:p w:rsidR="007C5447" w:rsidRDefault="00F6308C">
            <w:pPr>
              <w:pStyle w:val="TableParagraph"/>
              <w:spacing w:before="29"/>
              <w:ind w:right="223"/>
            </w:pPr>
            <w:r>
              <w:t>212</w:t>
            </w:r>
          </w:p>
        </w:tc>
      </w:tr>
      <w:tr w:rsidR="007C5447">
        <w:trPr>
          <w:trHeight w:val="316"/>
        </w:trPr>
        <w:tc>
          <w:tcPr>
            <w:tcW w:w="1135" w:type="dxa"/>
          </w:tcPr>
          <w:p w:rsidR="007C5447" w:rsidRDefault="00F6308C">
            <w:pPr>
              <w:pStyle w:val="TableParagraph"/>
              <w:spacing w:before="30"/>
              <w:ind w:left="107"/>
              <w:jc w:val="left"/>
            </w:pPr>
            <w:r>
              <w:t>V</w:t>
            </w:r>
          </w:p>
        </w:tc>
        <w:tc>
          <w:tcPr>
            <w:tcW w:w="4537" w:type="dxa"/>
          </w:tcPr>
          <w:p w:rsidR="007C5447" w:rsidRDefault="00F6308C">
            <w:pPr>
              <w:pStyle w:val="TableParagraph"/>
              <w:spacing w:before="30"/>
              <w:ind w:left="108"/>
              <w:jc w:val="left"/>
            </w:pPr>
            <w:r>
              <w:t>SWAP</w:t>
            </w:r>
          </w:p>
        </w:tc>
        <w:tc>
          <w:tcPr>
            <w:tcW w:w="1419" w:type="dxa"/>
          </w:tcPr>
          <w:p w:rsidR="007C5447" w:rsidRDefault="00F6308C">
            <w:pPr>
              <w:pStyle w:val="TableParagraph"/>
              <w:spacing w:before="30"/>
              <w:ind w:right="226"/>
            </w:pPr>
            <w:r>
              <w:t>-</w:t>
            </w:r>
          </w:p>
        </w:tc>
        <w:tc>
          <w:tcPr>
            <w:tcW w:w="1133" w:type="dxa"/>
          </w:tcPr>
          <w:p w:rsidR="007C5447" w:rsidRDefault="00F6308C">
            <w:pPr>
              <w:pStyle w:val="TableParagraph"/>
              <w:spacing w:before="30"/>
              <w:ind w:right="224"/>
            </w:pPr>
            <w:r>
              <w:t>-</w:t>
            </w:r>
          </w:p>
        </w:tc>
      </w:tr>
      <w:tr w:rsidR="007C5447">
        <w:trPr>
          <w:trHeight w:val="316"/>
        </w:trPr>
        <w:tc>
          <w:tcPr>
            <w:tcW w:w="1135" w:type="dxa"/>
          </w:tcPr>
          <w:p w:rsidR="007C5447" w:rsidRDefault="007C5447">
            <w:pPr>
              <w:pStyle w:val="TableParagraph"/>
              <w:jc w:val="left"/>
            </w:pPr>
          </w:p>
        </w:tc>
        <w:tc>
          <w:tcPr>
            <w:tcW w:w="4537" w:type="dxa"/>
          </w:tcPr>
          <w:p w:rsidR="007C5447" w:rsidRDefault="00F6308C">
            <w:pPr>
              <w:pStyle w:val="TableParagraph"/>
              <w:spacing w:before="29"/>
              <w:ind w:left="108"/>
              <w:jc w:val="left"/>
              <w:rPr>
                <w:b/>
              </w:rPr>
            </w:pPr>
            <w:r>
              <w:rPr>
                <w:b/>
              </w:rPr>
              <w:t>TOTAL HT category revenue</w:t>
            </w:r>
          </w:p>
        </w:tc>
        <w:tc>
          <w:tcPr>
            <w:tcW w:w="1419" w:type="dxa"/>
          </w:tcPr>
          <w:p w:rsidR="007C5447" w:rsidRDefault="00F6308C">
            <w:pPr>
              <w:pStyle w:val="TableParagraph"/>
              <w:spacing w:before="29"/>
              <w:ind w:right="223"/>
              <w:rPr>
                <w:b/>
              </w:rPr>
            </w:pPr>
            <w:r>
              <w:rPr>
                <w:b/>
              </w:rPr>
              <w:t>17,841</w:t>
            </w:r>
          </w:p>
        </w:tc>
        <w:tc>
          <w:tcPr>
            <w:tcW w:w="1133" w:type="dxa"/>
          </w:tcPr>
          <w:p w:rsidR="007C5447" w:rsidRDefault="00F6308C">
            <w:pPr>
              <w:pStyle w:val="TableParagraph"/>
              <w:spacing w:before="29"/>
              <w:ind w:right="222"/>
              <w:rPr>
                <w:b/>
              </w:rPr>
            </w:pPr>
            <w:r>
              <w:rPr>
                <w:b/>
              </w:rPr>
              <w:t>17,841</w:t>
            </w:r>
          </w:p>
        </w:tc>
      </w:tr>
      <w:tr w:rsidR="007C5447">
        <w:trPr>
          <w:trHeight w:val="313"/>
        </w:trPr>
        <w:tc>
          <w:tcPr>
            <w:tcW w:w="1135" w:type="dxa"/>
          </w:tcPr>
          <w:p w:rsidR="007C5447" w:rsidRDefault="007C5447">
            <w:pPr>
              <w:pStyle w:val="TableParagraph"/>
              <w:jc w:val="left"/>
            </w:pPr>
          </w:p>
        </w:tc>
        <w:tc>
          <w:tcPr>
            <w:tcW w:w="4537" w:type="dxa"/>
          </w:tcPr>
          <w:p w:rsidR="007C5447" w:rsidRDefault="007C5447">
            <w:pPr>
              <w:pStyle w:val="TableParagraph"/>
              <w:jc w:val="left"/>
            </w:pPr>
          </w:p>
        </w:tc>
        <w:tc>
          <w:tcPr>
            <w:tcW w:w="1419" w:type="dxa"/>
          </w:tcPr>
          <w:p w:rsidR="007C5447" w:rsidRDefault="007C5447">
            <w:pPr>
              <w:pStyle w:val="TableParagraph"/>
              <w:jc w:val="left"/>
            </w:pPr>
          </w:p>
        </w:tc>
        <w:tc>
          <w:tcPr>
            <w:tcW w:w="1133" w:type="dxa"/>
          </w:tcPr>
          <w:p w:rsidR="007C5447" w:rsidRDefault="007C5447">
            <w:pPr>
              <w:pStyle w:val="TableParagraph"/>
              <w:jc w:val="left"/>
            </w:pPr>
          </w:p>
        </w:tc>
      </w:tr>
      <w:tr w:rsidR="007C5447">
        <w:trPr>
          <w:trHeight w:val="316"/>
        </w:trPr>
        <w:tc>
          <w:tcPr>
            <w:tcW w:w="1135" w:type="dxa"/>
          </w:tcPr>
          <w:p w:rsidR="007C5447" w:rsidRDefault="007C5447">
            <w:pPr>
              <w:pStyle w:val="TableParagraph"/>
              <w:jc w:val="left"/>
            </w:pPr>
          </w:p>
        </w:tc>
        <w:tc>
          <w:tcPr>
            <w:tcW w:w="4537" w:type="dxa"/>
          </w:tcPr>
          <w:p w:rsidR="007C5447" w:rsidRDefault="00F6308C">
            <w:pPr>
              <w:pStyle w:val="TableParagraph"/>
              <w:spacing w:before="32"/>
              <w:ind w:left="108"/>
              <w:jc w:val="left"/>
              <w:rPr>
                <w:b/>
              </w:rPr>
            </w:pPr>
            <w:r>
              <w:rPr>
                <w:b/>
              </w:rPr>
              <w:t>LT Category</w:t>
            </w:r>
          </w:p>
        </w:tc>
        <w:tc>
          <w:tcPr>
            <w:tcW w:w="1419" w:type="dxa"/>
          </w:tcPr>
          <w:p w:rsidR="007C5447" w:rsidRDefault="007C5447">
            <w:pPr>
              <w:pStyle w:val="TableParagraph"/>
              <w:jc w:val="left"/>
            </w:pPr>
          </w:p>
        </w:tc>
        <w:tc>
          <w:tcPr>
            <w:tcW w:w="1133" w:type="dxa"/>
          </w:tcPr>
          <w:p w:rsidR="007C5447" w:rsidRDefault="007C5447">
            <w:pPr>
              <w:pStyle w:val="TableParagraph"/>
              <w:jc w:val="left"/>
            </w:pPr>
          </w:p>
        </w:tc>
      </w:tr>
      <w:tr w:rsidR="007C5447">
        <w:trPr>
          <w:trHeight w:val="316"/>
        </w:trPr>
        <w:tc>
          <w:tcPr>
            <w:tcW w:w="1135" w:type="dxa"/>
          </w:tcPr>
          <w:p w:rsidR="007C5447" w:rsidRDefault="00F6308C">
            <w:pPr>
              <w:pStyle w:val="TableParagraph"/>
              <w:spacing w:before="32"/>
              <w:ind w:left="107"/>
              <w:jc w:val="left"/>
            </w:pPr>
            <w:r>
              <w:t>I (A)</w:t>
            </w:r>
          </w:p>
        </w:tc>
        <w:tc>
          <w:tcPr>
            <w:tcW w:w="4537" w:type="dxa"/>
          </w:tcPr>
          <w:p w:rsidR="007C5447" w:rsidRDefault="00F6308C">
            <w:pPr>
              <w:pStyle w:val="TableParagraph"/>
              <w:spacing w:before="32"/>
              <w:ind w:left="108"/>
              <w:jc w:val="left"/>
            </w:pPr>
            <w:r>
              <w:t>Domestic</w:t>
            </w:r>
          </w:p>
        </w:tc>
        <w:tc>
          <w:tcPr>
            <w:tcW w:w="1419" w:type="dxa"/>
          </w:tcPr>
          <w:p w:rsidR="007C5447" w:rsidRDefault="00F6308C">
            <w:pPr>
              <w:pStyle w:val="TableParagraph"/>
              <w:spacing w:before="32"/>
              <w:ind w:right="223"/>
            </w:pPr>
            <w:r>
              <w:t>11,394</w:t>
            </w:r>
          </w:p>
        </w:tc>
        <w:tc>
          <w:tcPr>
            <w:tcW w:w="1133" w:type="dxa"/>
          </w:tcPr>
          <w:p w:rsidR="007C5447" w:rsidRDefault="00F6308C">
            <w:pPr>
              <w:pStyle w:val="TableParagraph"/>
              <w:spacing w:before="32"/>
              <w:ind w:right="222"/>
            </w:pPr>
            <w:r>
              <w:t>9,334</w:t>
            </w:r>
          </w:p>
        </w:tc>
      </w:tr>
      <w:tr w:rsidR="007C5447">
        <w:trPr>
          <w:trHeight w:val="316"/>
        </w:trPr>
        <w:tc>
          <w:tcPr>
            <w:tcW w:w="1135" w:type="dxa"/>
          </w:tcPr>
          <w:p w:rsidR="007C5447" w:rsidRDefault="00F6308C">
            <w:pPr>
              <w:pStyle w:val="TableParagraph"/>
              <w:spacing w:before="29"/>
              <w:ind w:left="107"/>
              <w:jc w:val="left"/>
            </w:pPr>
            <w:r>
              <w:t>I (B)</w:t>
            </w:r>
          </w:p>
        </w:tc>
        <w:tc>
          <w:tcPr>
            <w:tcW w:w="4537" w:type="dxa"/>
          </w:tcPr>
          <w:p w:rsidR="007C5447" w:rsidRDefault="00F6308C">
            <w:pPr>
              <w:pStyle w:val="TableParagraph"/>
              <w:spacing w:before="29"/>
              <w:ind w:left="108"/>
              <w:jc w:val="left"/>
            </w:pPr>
            <w:r>
              <w:t>Huts</w:t>
            </w:r>
          </w:p>
        </w:tc>
        <w:tc>
          <w:tcPr>
            <w:tcW w:w="1419" w:type="dxa"/>
          </w:tcPr>
          <w:p w:rsidR="007C5447" w:rsidRDefault="00F6308C">
            <w:pPr>
              <w:pStyle w:val="TableParagraph"/>
              <w:spacing w:before="29"/>
              <w:ind w:right="226"/>
            </w:pPr>
            <w:r>
              <w:t>198</w:t>
            </w:r>
          </w:p>
        </w:tc>
        <w:tc>
          <w:tcPr>
            <w:tcW w:w="1133" w:type="dxa"/>
          </w:tcPr>
          <w:p w:rsidR="007C5447" w:rsidRDefault="00F6308C">
            <w:pPr>
              <w:pStyle w:val="TableParagraph"/>
              <w:spacing w:before="29"/>
              <w:ind w:right="223"/>
            </w:pPr>
            <w:r>
              <w:t>198</w:t>
            </w:r>
          </w:p>
        </w:tc>
      </w:tr>
      <w:tr w:rsidR="007C5447">
        <w:trPr>
          <w:trHeight w:val="316"/>
        </w:trPr>
        <w:tc>
          <w:tcPr>
            <w:tcW w:w="1135" w:type="dxa"/>
          </w:tcPr>
          <w:p w:rsidR="007C5447" w:rsidRDefault="00F6308C">
            <w:pPr>
              <w:pStyle w:val="TableParagraph"/>
              <w:spacing w:before="29"/>
              <w:ind w:left="107"/>
              <w:jc w:val="left"/>
            </w:pPr>
            <w:r>
              <w:t>I (C)</w:t>
            </w:r>
          </w:p>
        </w:tc>
        <w:tc>
          <w:tcPr>
            <w:tcW w:w="4537" w:type="dxa"/>
          </w:tcPr>
          <w:p w:rsidR="007C5447" w:rsidRDefault="00F6308C">
            <w:pPr>
              <w:pStyle w:val="TableParagraph"/>
              <w:spacing w:before="29"/>
              <w:ind w:left="108"/>
              <w:jc w:val="left"/>
            </w:pPr>
            <w:r>
              <w:t>Bulk supply</w:t>
            </w:r>
          </w:p>
        </w:tc>
        <w:tc>
          <w:tcPr>
            <w:tcW w:w="1419" w:type="dxa"/>
          </w:tcPr>
          <w:p w:rsidR="007C5447" w:rsidRDefault="00F6308C">
            <w:pPr>
              <w:pStyle w:val="TableParagraph"/>
              <w:spacing w:before="29"/>
              <w:ind w:right="225"/>
            </w:pPr>
            <w:r>
              <w:t>5</w:t>
            </w:r>
          </w:p>
        </w:tc>
        <w:tc>
          <w:tcPr>
            <w:tcW w:w="1133" w:type="dxa"/>
          </w:tcPr>
          <w:p w:rsidR="007C5447" w:rsidRDefault="00F6308C">
            <w:pPr>
              <w:pStyle w:val="TableParagraph"/>
              <w:spacing w:before="29"/>
              <w:ind w:right="223"/>
            </w:pPr>
            <w:r>
              <w:t>5</w:t>
            </w:r>
          </w:p>
        </w:tc>
      </w:tr>
      <w:tr w:rsidR="007C5447">
        <w:trPr>
          <w:trHeight w:val="316"/>
        </w:trPr>
        <w:tc>
          <w:tcPr>
            <w:tcW w:w="1135" w:type="dxa"/>
          </w:tcPr>
          <w:p w:rsidR="007C5447" w:rsidRDefault="00F6308C">
            <w:pPr>
              <w:pStyle w:val="TableParagraph"/>
              <w:spacing w:before="29"/>
              <w:ind w:left="107"/>
              <w:jc w:val="left"/>
            </w:pPr>
            <w:r>
              <w:t>II (A)</w:t>
            </w:r>
          </w:p>
        </w:tc>
        <w:tc>
          <w:tcPr>
            <w:tcW w:w="4537" w:type="dxa"/>
          </w:tcPr>
          <w:p w:rsidR="007C5447" w:rsidRDefault="00F6308C">
            <w:pPr>
              <w:pStyle w:val="TableParagraph"/>
              <w:spacing w:before="29"/>
              <w:ind w:left="108"/>
              <w:jc w:val="left"/>
            </w:pPr>
            <w:r>
              <w:t>Public Lighting &amp; Water Works</w:t>
            </w:r>
          </w:p>
        </w:tc>
        <w:tc>
          <w:tcPr>
            <w:tcW w:w="1419" w:type="dxa"/>
          </w:tcPr>
          <w:p w:rsidR="007C5447" w:rsidRDefault="00F6308C">
            <w:pPr>
              <w:pStyle w:val="TableParagraph"/>
              <w:spacing w:before="29"/>
              <w:ind w:right="223"/>
            </w:pPr>
            <w:r>
              <w:t>1,982</w:t>
            </w:r>
          </w:p>
        </w:tc>
        <w:tc>
          <w:tcPr>
            <w:tcW w:w="1133" w:type="dxa"/>
          </w:tcPr>
          <w:p w:rsidR="007C5447" w:rsidRDefault="00F6308C">
            <w:pPr>
              <w:pStyle w:val="TableParagraph"/>
              <w:spacing w:before="29"/>
              <w:ind w:right="222"/>
            </w:pPr>
            <w:r>
              <w:t>1,982</w:t>
            </w:r>
          </w:p>
        </w:tc>
      </w:tr>
      <w:tr w:rsidR="007C5447">
        <w:trPr>
          <w:trHeight w:val="314"/>
        </w:trPr>
        <w:tc>
          <w:tcPr>
            <w:tcW w:w="1135" w:type="dxa"/>
          </w:tcPr>
          <w:p w:rsidR="007C5447" w:rsidRDefault="00F6308C">
            <w:pPr>
              <w:pStyle w:val="TableParagraph"/>
              <w:spacing w:before="29"/>
              <w:ind w:left="107"/>
              <w:jc w:val="left"/>
            </w:pPr>
            <w:r>
              <w:t>II(B)-1</w:t>
            </w:r>
          </w:p>
        </w:tc>
        <w:tc>
          <w:tcPr>
            <w:tcW w:w="4537" w:type="dxa"/>
          </w:tcPr>
          <w:p w:rsidR="007C5447" w:rsidRDefault="00F6308C">
            <w:pPr>
              <w:pStyle w:val="TableParagraph"/>
              <w:spacing w:before="29"/>
              <w:ind w:left="108"/>
              <w:jc w:val="left"/>
            </w:pPr>
            <w:r>
              <w:t>Government Educational Institution</w:t>
            </w:r>
          </w:p>
        </w:tc>
        <w:tc>
          <w:tcPr>
            <w:tcW w:w="1419" w:type="dxa"/>
          </w:tcPr>
          <w:p w:rsidR="007C5447" w:rsidRDefault="00F6308C">
            <w:pPr>
              <w:pStyle w:val="TableParagraph"/>
              <w:spacing w:before="29"/>
              <w:ind w:right="226"/>
            </w:pPr>
            <w:r>
              <w:t>106</w:t>
            </w:r>
          </w:p>
        </w:tc>
        <w:tc>
          <w:tcPr>
            <w:tcW w:w="1133" w:type="dxa"/>
          </w:tcPr>
          <w:p w:rsidR="007C5447" w:rsidRDefault="00F6308C">
            <w:pPr>
              <w:pStyle w:val="TableParagraph"/>
              <w:spacing w:before="29"/>
              <w:ind w:right="223"/>
            </w:pPr>
            <w:r>
              <w:t>106</w:t>
            </w:r>
          </w:p>
        </w:tc>
      </w:tr>
      <w:tr w:rsidR="007C5447">
        <w:trPr>
          <w:trHeight w:val="316"/>
        </w:trPr>
        <w:tc>
          <w:tcPr>
            <w:tcW w:w="1135" w:type="dxa"/>
          </w:tcPr>
          <w:p w:rsidR="007C5447" w:rsidRDefault="00F6308C">
            <w:pPr>
              <w:pStyle w:val="TableParagraph"/>
              <w:spacing w:before="32"/>
              <w:ind w:left="107"/>
              <w:jc w:val="left"/>
            </w:pPr>
            <w:r>
              <w:t>II(B)-2</w:t>
            </w:r>
          </w:p>
        </w:tc>
        <w:tc>
          <w:tcPr>
            <w:tcW w:w="4537" w:type="dxa"/>
          </w:tcPr>
          <w:p w:rsidR="007C5447" w:rsidRDefault="00F6308C">
            <w:pPr>
              <w:pStyle w:val="TableParagraph"/>
              <w:spacing w:before="32"/>
              <w:ind w:left="108"/>
              <w:jc w:val="left"/>
            </w:pPr>
            <w:r>
              <w:t>Pvt. Educational Institutions</w:t>
            </w:r>
          </w:p>
        </w:tc>
        <w:tc>
          <w:tcPr>
            <w:tcW w:w="1419" w:type="dxa"/>
          </w:tcPr>
          <w:p w:rsidR="007C5447" w:rsidRDefault="00F6308C">
            <w:pPr>
              <w:pStyle w:val="TableParagraph"/>
              <w:spacing w:before="32"/>
              <w:ind w:right="226"/>
            </w:pPr>
            <w:r>
              <w:t>241</w:t>
            </w:r>
          </w:p>
        </w:tc>
        <w:tc>
          <w:tcPr>
            <w:tcW w:w="1133" w:type="dxa"/>
          </w:tcPr>
          <w:p w:rsidR="007C5447" w:rsidRDefault="00F6308C">
            <w:pPr>
              <w:pStyle w:val="TableParagraph"/>
              <w:spacing w:before="32"/>
              <w:ind w:right="223"/>
            </w:pPr>
            <w:r>
              <w:t>241</w:t>
            </w:r>
          </w:p>
        </w:tc>
      </w:tr>
      <w:tr w:rsidR="007C5447">
        <w:trPr>
          <w:trHeight w:val="316"/>
        </w:trPr>
        <w:tc>
          <w:tcPr>
            <w:tcW w:w="1135" w:type="dxa"/>
          </w:tcPr>
          <w:p w:rsidR="007C5447" w:rsidRDefault="00F6308C">
            <w:pPr>
              <w:pStyle w:val="TableParagraph"/>
              <w:spacing w:before="32"/>
              <w:ind w:left="107"/>
              <w:jc w:val="left"/>
            </w:pPr>
            <w:r>
              <w:t>II (C)</w:t>
            </w:r>
          </w:p>
        </w:tc>
        <w:tc>
          <w:tcPr>
            <w:tcW w:w="4537" w:type="dxa"/>
          </w:tcPr>
          <w:p w:rsidR="007C5447" w:rsidRDefault="00F6308C">
            <w:pPr>
              <w:pStyle w:val="TableParagraph"/>
              <w:spacing w:before="32"/>
              <w:ind w:left="108"/>
              <w:jc w:val="left"/>
            </w:pPr>
            <w:r>
              <w:t>Places of Public Worship (LT)</w:t>
            </w:r>
          </w:p>
        </w:tc>
        <w:tc>
          <w:tcPr>
            <w:tcW w:w="1419" w:type="dxa"/>
          </w:tcPr>
          <w:p w:rsidR="007C5447" w:rsidRDefault="00F6308C">
            <w:pPr>
              <w:pStyle w:val="TableParagraph"/>
              <w:spacing w:before="32"/>
              <w:ind w:right="226"/>
            </w:pPr>
            <w:r>
              <w:t>97</w:t>
            </w:r>
          </w:p>
        </w:tc>
        <w:tc>
          <w:tcPr>
            <w:tcW w:w="1133" w:type="dxa"/>
          </w:tcPr>
          <w:p w:rsidR="007C5447" w:rsidRDefault="00F6308C">
            <w:pPr>
              <w:pStyle w:val="TableParagraph"/>
              <w:spacing w:before="32"/>
              <w:ind w:right="223"/>
            </w:pPr>
            <w:r>
              <w:t>97</w:t>
            </w:r>
          </w:p>
        </w:tc>
      </w:tr>
      <w:tr w:rsidR="007C5447">
        <w:trPr>
          <w:trHeight w:val="316"/>
        </w:trPr>
        <w:tc>
          <w:tcPr>
            <w:tcW w:w="1135" w:type="dxa"/>
          </w:tcPr>
          <w:p w:rsidR="007C5447" w:rsidRDefault="00F6308C">
            <w:pPr>
              <w:pStyle w:val="TableParagraph"/>
              <w:spacing w:before="30"/>
              <w:ind w:left="107"/>
              <w:jc w:val="left"/>
            </w:pPr>
            <w:r>
              <w:t>III (A)-1</w:t>
            </w:r>
          </w:p>
        </w:tc>
        <w:tc>
          <w:tcPr>
            <w:tcW w:w="4537" w:type="dxa"/>
          </w:tcPr>
          <w:p w:rsidR="007C5447" w:rsidRDefault="00F6308C">
            <w:pPr>
              <w:pStyle w:val="TableParagraph"/>
              <w:spacing w:before="30"/>
              <w:ind w:left="108"/>
              <w:jc w:val="left"/>
            </w:pPr>
            <w:r>
              <w:t>Cottage and Tiny Industries</w:t>
            </w:r>
          </w:p>
        </w:tc>
        <w:tc>
          <w:tcPr>
            <w:tcW w:w="1419" w:type="dxa"/>
          </w:tcPr>
          <w:p w:rsidR="007C5447" w:rsidRDefault="00F6308C">
            <w:pPr>
              <w:pStyle w:val="TableParagraph"/>
              <w:spacing w:before="30"/>
              <w:ind w:right="226"/>
            </w:pPr>
            <w:r>
              <w:t>132</w:t>
            </w:r>
          </w:p>
        </w:tc>
        <w:tc>
          <w:tcPr>
            <w:tcW w:w="1133" w:type="dxa"/>
          </w:tcPr>
          <w:p w:rsidR="007C5447" w:rsidRDefault="00F6308C">
            <w:pPr>
              <w:pStyle w:val="TableParagraph"/>
              <w:spacing w:before="30"/>
              <w:ind w:right="223"/>
            </w:pPr>
            <w:r>
              <w:t>132</w:t>
            </w:r>
          </w:p>
        </w:tc>
      </w:tr>
      <w:tr w:rsidR="007C5447">
        <w:trPr>
          <w:trHeight w:val="316"/>
        </w:trPr>
        <w:tc>
          <w:tcPr>
            <w:tcW w:w="1135" w:type="dxa"/>
          </w:tcPr>
          <w:p w:rsidR="007C5447" w:rsidRDefault="00F6308C">
            <w:pPr>
              <w:pStyle w:val="TableParagraph"/>
              <w:spacing w:before="29"/>
              <w:ind w:left="107"/>
              <w:jc w:val="left"/>
            </w:pPr>
            <w:r>
              <w:t>III (A)-2</w:t>
            </w:r>
          </w:p>
        </w:tc>
        <w:tc>
          <w:tcPr>
            <w:tcW w:w="4537" w:type="dxa"/>
          </w:tcPr>
          <w:p w:rsidR="007C5447" w:rsidRDefault="00F6308C">
            <w:pPr>
              <w:pStyle w:val="TableParagraph"/>
              <w:spacing w:before="29"/>
              <w:ind w:left="108"/>
              <w:jc w:val="left"/>
            </w:pPr>
            <w:r>
              <w:t>Power Loom</w:t>
            </w:r>
          </w:p>
        </w:tc>
        <w:tc>
          <w:tcPr>
            <w:tcW w:w="1419" w:type="dxa"/>
          </w:tcPr>
          <w:p w:rsidR="007C5447" w:rsidRDefault="00F6308C">
            <w:pPr>
              <w:pStyle w:val="TableParagraph"/>
              <w:spacing w:before="29"/>
              <w:ind w:right="226"/>
            </w:pPr>
            <w:r>
              <w:t>687</w:t>
            </w:r>
          </w:p>
        </w:tc>
        <w:tc>
          <w:tcPr>
            <w:tcW w:w="1133" w:type="dxa"/>
          </w:tcPr>
          <w:p w:rsidR="007C5447" w:rsidRDefault="00F6308C">
            <w:pPr>
              <w:pStyle w:val="TableParagraph"/>
              <w:spacing w:before="29"/>
              <w:ind w:right="223"/>
            </w:pPr>
            <w:r>
              <w:t>687</w:t>
            </w:r>
          </w:p>
        </w:tc>
      </w:tr>
      <w:tr w:rsidR="007C5447">
        <w:trPr>
          <w:trHeight w:val="316"/>
        </w:trPr>
        <w:tc>
          <w:tcPr>
            <w:tcW w:w="1135" w:type="dxa"/>
          </w:tcPr>
          <w:p w:rsidR="007C5447" w:rsidRDefault="00F6308C">
            <w:pPr>
              <w:pStyle w:val="TableParagraph"/>
              <w:spacing w:before="29"/>
              <w:ind w:left="107"/>
              <w:jc w:val="left"/>
            </w:pPr>
            <w:r>
              <w:t>III (B)</w:t>
            </w:r>
          </w:p>
        </w:tc>
        <w:tc>
          <w:tcPr>
            <w:tcW w:w="4537" w:type="dxa"/>
          </w:tcPr>
          <w:p w:rsidR="007C5447" w:rsidRDefault="00F6308C">
            <w:pPr>
              <w:pStyle w:val="TableParagraph"/>
              <w:spacing w:before="29"/>
              <w:ind w:left="108"/>
              <w:jc w:val="left"/>
            </w:pPr>
            <w:r>
              <w:t>Industries</w:t>
            </w:r>
          </w:p>
        </w:tc>
        <w:tc>
          <w:tcPr>
            <w:tcW w:w="1419" w:type="dxa"/>
          </w:tcPr>
          <w:p w:rsidR="007C5447" w:rsidRDefault="00F6308C">
            <w:pPr>
              <w:pStyle w:val="TableParagraph"/>
              <w:spacing w:before="29"/>
              <w:ind w:right="223"/>
            </w:pPr>
            <w:r>
              <w:t>5,846</w:t>
            </w:r>
          </w:p>
        </w:tc>
        <w:tc>
          <w:tcPr>
            <w:tcW w:w="1133" w:type="dxa"/>
          </w:tcPr>
          <w:p w:rsidR="007C5447" w:rsidRDefault="00F6308C">
            <w:pPr>
              <w:pStyle w:val="TableParagraph"/>
              <w:spacing w:before="29"/>
              <w:ind w:right="222"/>
            </w:pPr>
            <w:r>
              <w:t>5,846</w:t>
            </w:r>
          </w:p>
        </w:tc>
      </w:tr>
      <w:tr w:rsidR="007C5447">
        <w:trPr>
          <w:trHeight w:val="314"/>
        </w:trPr>
        <w:tc>
          <w:tcPr>
            <w:tcW w:w="1135" w:type="dxa"/>
          </w:tcPr>
          <w:p w:rsidR="007C5447" w:rsidRDefault="00F6308C">
            <w:pPr>
              <w:pStyle w:val="TableParagraph"/>
              <w:spacing w:before="29"/>
              <w:ind w:left="107"/>
              <w:jc w:val="left"/>
            </w:pPr>
            <w:r>
              <w:t>IV</w:t>
            </w:r>
          </w:p>
        </w:tc>
        <w:tc>
          <w:tcPr>
            <w:tcW w:w="4537" w:type="dxa"/>
          </w:tcPr>
          <w:p w:rsidR="007C5447" w:rsidRDefault="00F6308C">
            <w:pPr>
              <w:pStyle w:val="TableParagraph"/>
              <w:spacing w:before="29"/>
              <w:ind w:left="108"/>
              <w:jc w:val="left"/>
            </w:pPr>
            <w:r>
              <w:t>Agriculture &amp; Government seed farm</w:t>
            </w:r>
          </w:p>
        </w:tc>
        <w:tc>
          <w:tcPr>
            <w:tcW w:w="1419" w:type="dxa"/>
          </w:tcPr>
          <w:p w:rsidR="007C5447" w:rsidRDefault="00F6308C">
            <w:pPr>
              <w:pStyle w:val="TableParagraph"/>
              <w:spacing w:before="29"/>
              <w:ind w:right="223"/>
            </w:pPr>
            <w:r>
              <w:t>3,220</w:t>
            </w:r>
          </w:p>
        </w:tc>
        <w:tc>
          <w:tcPr>
            <w:tcW w:w="1133" w:type="dxa"/>
          </w:tcPr>
          <w:p w:rsidR="007C5447" w:rsidRDefault="00F6308C">
            <w:pPr>
              <w:pStyle w:val="TableParagraph"/>
              <w:spacing w:before="29"/>
              <w:ind w:right="222"/>
            </w:pPr>
            <w:r>
              <w:t>3,220</w:t>
            </w:r>
          </w:p>
        </w:tc>
      </w:tr>
      <w:tr w:rsidR="007C5447">
        <w:trPr>
          <w:trHeight w:val="316"/>
        </w:trPr>
        <w:tc>
          <w:tcPr>
            <w:tcW w:w="1135" w:type="dxa"/>
          </w:tcPr>
          <w:p w:rsidR="007C5447" w:rsidRDefault="00F6308C">
            <w:pPr>
              <w:pStyle w:val="TableParagraph"/>
              <w:spacing w:before="32"/>
              <w:ind w:left="107"/>
              <w:jc w:val="left"/>
            </w:pPr>
            <w:r>
              <w:t>V</w:t>
            </w:r>
          </w:p>
        </w:tc>
        <w:tc>
          <w:tcPr>
            <w:tcW w:w="4537" w:type="dxa"/>
          </w:tcPr>
          <w:p w:rsidR="007C5447" w:rsidRDefault="00F6308C">
            <w:pPr>
              <w:pStyle w:val="TableParagraph"/>
              <w:spacing w:before="32"/>
              <w:ind w:left="108"/>
              <w:jc w:val="left"/>
            </w:pPr>
            <w:r>
              <w:t>Commercial and Other</w:t>
            </w:r>
          </w:p>
        </w:tc>
        <w:tc>
          <w:tcPr>
            <w:tcW w:w="1419" w:type="dxa"/>
          </w:tcPr>
          <w:p w:rsidR="007C5447" w:rsidRDefault="00F6308C">
            <w:pPr>
              <w:pStyle w:val="TableParagraph"/>
              <w:spacing w:before="32"/>
              <w:ind w:right="223"/>
            </w:pPr>
            <w:r>
              <w:t>7,711</w:t>
            </w:r>
          </w:p>
        </w:tc>
        <w:tc>
          <w:tcPr>
            <w:tcW w:w="1133" w:type="dxa"/>
          </w:tcPr>
          <w:p w:rsidR="007C5447" w:rsidRDefault="00F6308C">
            <w:pPr>
              <w:pStyle w:val="TableParagraph"/>
              <w:spacing w:before="32"/>
              <w:ind w:right="222"/>
            </w:pPr>
            <w:r>
              <w:t>7,711</w:t>
            </w:r>
          </w:p>
        </w:tc>
      </w:tr>
      <w:tr w:rsidR="007C5447">
        <w:trPr>
          <w:trHeight w:val="316"/>
        </w:trPr>
        <w:tc>
          <w:tcPr>
            <w:tcW w:w="1135" w:type="dxa"/>
          </w:tcPr>
          <w:p w:rsidR="007C5447" w:rsidRDefault="00F6308C">
            <w:pPr>
              <w:pStyle w:val="TableParagraph"/>
              <w:spacing w:before="32"/>
              <w:ind w:left="107"/>
              <w:jc w:val="left"/>
            </w:pPr>
            <w:r>
              <w:t>VI</w:t>
            </w:r>
          </w:p>
        </w:tc>
        <w:tc>
          <w:tcPr>
            <w:tcW w:w="4537" w:type="dxa"/>
          </w:tcPr>
          <w:p w:rsidR="007C5447" w:rsidRDefault="00F6308C">
            <w:pPr>
              <w:pStyle w:val="TableParagraph"/>
              <w:spacing w:before="32"/>
              <w:ind w:left="108"/>
              <w:jc w:val="left"/>
            </w:pPr>
            <w:r>
              <w:t>Temporary Supply</w:t>
            </w:r>
          </w:p>
        </w:tc>
        <w:tc>
          <w:tcPr>
            <w:tcW w:w="1419" w:type="dxa"/>
          </w:tcPr>
          <w:p w:rsidR="007C5447" w:rsidRDefault="00F6308C">
            <w:pPr>
              <w:pStyle w:val="TableParagraph"/>
              <w:spacing w:before="32"/>
              <w:ind w:right="226"/>
            </w:pPr>
            <w:r>
              <w:t>502</w:t>
            </w:r>
          </w:p>
        </w:tc>
        <w:tc>
          <w:tcPr>
            <w:tcW w:w="1133" w:type="dxa"/>
          </w:tcPr>
          <w:p w:rsidR="007C5447" w:rsidRDefault="00F6308C">
            <w:pPr>
              <w:pStyle w:val="TableParagraph"/>
              <w:spacing w:before="32"/>
              <w:ind w:right="223"/>
            </w:pPr>
            <w:r>
              <w:t>502</w:t>
            </w:r>
          </w:p>
        </w:tc>
      </w:tr>
      <w:tr w:rsidR="007C5447">
        <w:trPr>
          <w:trHeight w:val="316"/>
        </w:trPr>
        <w:tc>
          <w:tcPr>
            <w:tcW w:w="1135" w:type="dxa"/>
          </w:tcPr>
          <w:p w:rsidR="007C5447" w:rsidRDefault="007C5447">
            <w:pPr>
              <w:pStyle w:val="TableParagraph"/>
              <w:jc w:val="left"/>
            </w:pPr>
          </w:p>
        </w:tc>
        <w:tc>
          <w:tcPr>
            <w:tcW w:w="4537" w:type="dxa"/>
          </w:tcPr>
          <w:p w:rsidR="007C5447" w:rsidRDefault="00F6308C">
            <w:pPr>
              <w:pStyle w:val="TableParagraph"/>
              <w:spacing w:before="29"/>
              <w:ind w:left="108"/>
              <w:jc w:val="left"/>
              <w:rPr>
                <w:b/>
              </w:rPr>
            </w:pPr>
            <w:r>
              <w:rPr>
                <w:b/>
              </w:rPr>
              <w:t>TOTAL LT category revenue</w:t>
            </w:r>
          </w:p>
        </w:tc>
        <w:tc>
          <w:tcPr>
            <w:tcW w:w="1419" w:type="dxa"/>
          </w:tcPr>
          <w:p w:rsidR="007C5447" w:rsidRDefault="00F6308C">
            <w:pPr>
              <w:pStyle w:val="TableParagraph"/>
              <w:spacing w:before="29"/>
              <w:ind w:right="223"/>
              <w:rPr>
                <w:b/>
              </w:rPr>
            </w:pPr>
            <w:r>
              <w:rPr>
                <w:b/>
              </w:rPr>
              <w:t>32,123</w:t>
            </w:r>
          </w:p>
        </w:tc>
        <w:tc>
          <w:tcPr>
            <w:tcW w:w="1133" w:type="dxa"/>
          </w:tcPr>
          <w:p w:rsidR="007C5447" w:rsidRDefault="00F6308C">
            <w:pPr>
              <w:pStyle w:val="TableParagraph"/>
              <w:spacing w:before="29"/>
              <w:ind w:right="222"/>
              <w:rPr>
                <w:b/>
              </w:rPr>
            </w:pPr>
            <w:r>
              <w:rPr>
                <w:b/>
              </w:rPr>
              <w:t>30,062</w:t>
            </w:r>
          </w:p>
        </w:tc>
      </w:tr>
      <w:tr w:rsidR="007C5447">
        <w:trPr>
          <w:trHeight w:val="316"/>
        </w:trPr>
        <w:tc>
          <w:tcPr>
            <w:tcW w:w="1135" w:type="dxa"/>
          </w:tcPr>
          <w:p w:rsidR="007C5447" w:rsidRDefault="007C5447">
            <w:pPr>
              <w:pStyle w:val="TableParagraph"/>
              <w:jc w:val="left"/>
            </w:pPr>
          </w:p>
        </w:tc>
        <w:tc>
          <w:tcPr>
            <w:tcW w:w="4537" w:type="dxa"/>
          </w:tcPr>
          <w:p w:rsidR="007C5447" w:rsidRDefault="00F6308C">
            <w:pPr>
              <w:pStyle w:val="TableParagraph"/>
              <w:spacing w:before="29"/>
              <w:ind w:left="108"/>
              <w:jc w:val="left"/>
              <w:rPr>
                <w:b/>
              </w:rPr>
            </w:pPr>
            <w:r>
              <w:rPr>
                <w:b/>
              </w:rPr>
              <w:t>TOTAL Revenue from LT &amp; HT</w:t>
            </w:r>
          </w:p>
        </w:tc>
        <w:tc>
          <w:tcPr>
            <w:tcW w:w="1419" w:type="dxa"/>
          </w:tcPr>
          <w:p w:rsidR="007C5447" w:rsidRDefault="00F6308C">
            <w:pPr>
              <w:pStyle w:val="TableParagraph"/>
              <w:spacing w:before="29"/>
              <w:ind w:right="223"/>
              <w:rPr>
                <w:b/>
              </w:rPr>
            </w:pPr>
            <w:r>
              <w:rPr>
                <w:b/>
              </w:rPr>
              <w:t>49,964</w:t>
            </w:r>
          </w:p>
        </w:tc>
        <w:tc>
          <w:tcPr>
            <w:tcW w:w="1133" w:type="dxa"/>
          </w:tcPr>
          <w:p w:rsidR="007C5447" w:rsidRDefault="00F6308C">
            <w:pPr>
              <w:pStyle w:val="TableParagraph"/>
              <w:spacing w:before="29"/>
              <w:ind w:right="222"/>
              <w:rPr>
                <w:b/>
              </w:rPr>
            </w:pPr>
            <w:r>
              <w:rPr>
                <w:b/>
              </w:rPr>
              <w:t>47,904</w:t>
            </w:r>
          </w:p>
        </w:tc>
      </w:tr>
    </w:tbl>
    <w:p w:rsidR="007C5447" w:rsidRDefault="007C5447">
      <w:pPr>
        <w:sectPr w:rsidR="007C5447">
          <w:pgSz w:w="11910" w:h="16840"/>
          <w:pgMar w:top="1360" w:right="560" w:bottom="1240" w:left="1180" w:header="0" w:footer="1057" w:gutter="0"/>
          <w:cols w:space="720"/>
        </w:sectPr>
      </w:pPr>
    </w:p>
    <w:p w:rsidR="007C5447" w:rsidRDefault="00F6308C">
      <w:pPr>
        <w:pStyle w:val="Heading2"/>
        <w:numPr>
          <w:ilvl w:val="1"/>
          <w:numId w:val="40"/>
        </w:numPr>
        <w:tabs>
          <w:tab w:val="left" w:pos="826"/>
          <w:tab w:val="left" w:pos="827"/>
        </w:tabs>
        <w:spacing w:before="60"/>
        <w:ind w:left="826"/>
        <w:jc w:val="left"/>
      </w:pPr>
      <w:bookmarkStart w:id="81" w:name="_bookmark81"/>
      <w:bookmarkEnd w:id="81"/>
      <w:r>
        <w:lastRenderedPageBreak/>
        <w:t>Revenue Gap at Proposed</w:t>
      </w:r>
      <w:r>
        <w:rPr>
          <w:spacing w:val="-1"/>
        </w:rPr>
        <w:t xml:space="preserve"> </w:t>
      </w:r>
      <w:r>
        <w:t>Tariff</w:t>
      </w:r>
    </w:p>
    <w:p w:rsidR="007C5447" w:rsidRDefault="007C5447">
      <w:pPr>
        <w:pStyle w:val="BodyText"/>
        <w:rPr>
          <w:b/>
          <w:sz w:val="28"/>
        </w:rPr>
      </w:pPr>
    </w:p>
    <w:p w:rsidR="007C5447" w:rsidRDefault="00F6308C">
      <w:pPr>
        <w:pStyle w:val="ListParagraph"/>
        <w:numPr>
          <w:ilvl w:val="2"/>
          <w:numId w:val="40"/>
        </w:numPr>
        <w:tabs>
          <w:tab w:val="left" w:pos="1113"/>
        </w:tabs>
        <w:spacing w:line="312" w:lineRule="auto"/>
        <w:ind w:left="1112" w:right="877"/>
        <w:jc w:val="both"/>
        <w:rPr>
          <w:sz w:val="24"/>
        </w:rPr>
      </w:pPr>
      <w:r>
        <w:rPr>
          <w:sz w:val="24"/>
        </w:rPr>
        <w:t>TANGEDCO submitted that it has arrived at the Revenue Gap of Rs. 2610.39 Crore considering the proposed net revenue requirement and revenue at existing Tariffs, and GoTN subsidy adjustment by reduction of domestic tariff, as shown in the Table below:</w:t>
      </w:r>
    </w:p>
    <w:p w:rsidR="007C5447" w:rsidRDefault="007C5447">
      <w:pPr>
        <w:pStyle w:val="BodyText"/>
        <w:spacing w:before="10"/>
        <w:rPr>
          <w:sz w:val="20"/>
        </w:rPr>
      </w:pPr>
    </w:p>
    <w:p w:rsidR="007C5447" w:rsidRDefault="00F6308C">
      <w:pPr>
        <w:pStyle w:val="Heading2"/>
        <w:spacing w:before="1" w:line="312" w:lineRule="auto"/>
        <w:ind w:left="382" w:right="999"/>
        <w:jc w:val="center"/>
      </w:pPr>
      <w:r>
        <w:t>Tabl</w:t>
      </w:r>
      <w:r>
        <w:t>e 5-7: Revenue Gap at Proposed Tariff for FY 2017-18 as submitted by TANGEDCO (Rs. Crore)</w:t>
      </w:r>
    </w:p>
    <w:p w:rsidR="007C5447" w:rsidRDefault="007C5447">
      <w:pPr>
        <w:pStyle w:val="BodyText"/>
        <w:spacing w:before="5" w:after="1"/>
        <w:rPr>
          <w:b/>
          <w:sz w:val="10"/>
        </w:rPr>
      </w:pPr>
    </w:p>
    <w:tbl>
      <w:tblPr>
        <w:tblW w:w="0" w:type="auto"/>
        <w:tblInd w:w="9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0"/>
        <w:gridCol w:w="5473"/>
        <w:gridCol w:w="1613"/>
      </w:tblGrid>
      <w:tr w:rsidR="007C5447">
        <w:trPr>
          <w:trHeight w:val="345"/>
        </w:trPr>
        <w:tc>
          <w:tcPr>
            <w:tcW w:w="660" w:type="dxa"/>
            <w:shd w:val="clear" w:color="auto" w:fill="F7C9AC"/>
          </w:tcPr>
          <w:p w:rsidR="007C5447" w:rsidRDefault="00F6308C">
            <w:pPr>
              <w:pStyle w:val="TableParagraph"/>
              <w:spacing w:before="54" w:line="271" w:lineRule="exact"/>
              <w:ind w:left="199"/>
              <w:jc w:val="left"/>
              <w:rPr>
                <w:b/>
                <w:sz w:val="24"/>
              </w:rPr>
            </w:pPr>
            <w:r>
              <w:rPr>
                <w:b/>
                <w:sz w:val="24"/>
              </w:rPr>
              <w:t>Sl.</w:t>
            </w:r>
          </w:p>
        </w:tc>
        <w:tc>
          <w:tcPr>
            <w:tcW w:w="5473" w:type="dxa"/>
            <w:shd w:val="clear" w:color="auto" w:fill="F7C9AC"/>
          </w:tcPr>
          <w:p w:rsidR="007C5447" w:rsidRDefault="00F6308C">
            <w:pPr>
              <w:pStyle w:val="TableParagraph"/>
              <w:spacing w:before="54" w:line="271" w:lineRule="exact"/>
              <w:ind w:left="107"/>
              <w:jc w:val="left"/>
              <w:rPr>
                <w:b/>
                <w:sz w:val="24"/>
              </w:rPr>
            </w:pPr>
            <w:r>
              <w:rPr>
                <w:b/>
                <w:sz w:val="24"/>
              </w:rPr>
              <w:t>Particulars</w:t>
            </w:r>
          </w:p>
        </w:tc>
        <w:tc>
          <w:tcPr>
            <w:tcW w:w="1613" w:type="dxa"/>
            <w:shd w:val="clear" w:color="auto" w:fill="F7C9AC"/>
          </w:tcPr>
          <w:p w:rsidR="007C5447" w:rsidRDefault="00F6308C">
            <w:pPr>
              <w:pStyle w:val="TableParagraph"/>
              <w:spacing w:before="54" w:line="271" w:lineRule="exact"/>
              <w:ind w:left="386"/>
              <w:jc w:val="left"/>
              <w:rPr>
                <w:b/>
                <w:sz w:val="24"/>
              </w:rPr>
            </w:pPr>
            <w:r>
              <w:rPr>
                <w:b/>
                <w:sz w:val="24"/>
              </w:rPr>
              <w:t>Amount</w:t>
            </w:r>
          </w:p>
        </w:tc>
      </w:tr>
      <w:tr w:rsidR="007C5447">
        <w:trPr>
          <w:trHeight w:val="345"/>
        </w:trPr>
        <w:tc>
          <w:tcPr>
            <w:tcW w:w="660" w:type="dxa"/>
          </w:tcPr>
          <w:p w:rsidR="007C5447" w:rsidRDefault="00F6308C">
            <w:pPr>
              <w:pStyle w:val="TableParagraph"/>
              <w:spacing w:before="54" w:line="271" w:lineRule="exact"/>
              <w:ind w:left="268"/>
              <w:jc w:val="left"/>
              <w:rPr>
                <w:sz w:val="24"/>
              </w:rPr>
            </w:pPr>
            <w:r>
              <w:rPr>
                <w:sz w:val="24"/>
              </w:rPr>
              <w:t>1</w:t>
            </w:r>
          </w:p>
        </w:tc>
        <w:tc>
          <w:tcPr>
            <w:tcW w:w="5473" w:type="dxa"/>
          </w:tcPr>
          <w:p w:rsidR="007C5447" w:rsidRDefault="00F6308C">
            <w:pPr>
              <w:pStyle w:val="TableParagraph"/>
              <w:spacing w:before="54" w:line="271" w:lineRule="exact"/>
              <w:ind w:left="107"/>
              <w:jc w:val="left"/>
              <w:rPr>
                <w:sz w:val="24"/>
              </w:rPr>
            </w:pPr>
            <w:r>
              <w:rPr>
                <w:sz w:val="24"/>
              </w:rPr>
              <w:t>Net revenue requirement</w:t>
            </w:r>
          </w:p>
        </w:tc>
        <w:tc>
          <w:tcPr>
            <w:tcW w:w="1613" w:type="dxa"/>
          </w:tcPr>
          <w:p w:rsidR="007C5447" w:rsidRDefault="00F6308C">
            <w:pPr>
              <w:pStyle w:val="TableParagraph"/>
              <w:spacing w:before="35"/>
              <w:ind w:right="173"/>
              <w:rPr>
                <w:sz w:val="24"/>
              </w:rPr>
            </w:pPr>
            <w:r>
              <w:rPr>
                <w:sz w:val="24"/>
              </w:rPr>
              <w:t>52,277.74</w:t>
            </w:r>
          </w:p>
        </w:tc>
      </w:tr>
      <w:tr w:rsidR="007C5447">
        <w:trPr>
          <w:trHeight w:val="583"/>
        </w:trPr>
        <w:tc>
          <w:tcPr>
            <w:tcW w:w="660" w:type="dxa"/>
          </w:tcPr>
          <w:p w:rsidR="007C5447" w:rsidRDefault="007C5447">
            <w:pPr>
              <w:pStyle w:val="TableParagraph"/>
              <w:spacing w:before="4"/>
              <w:jc w:val="left"/>
              <w:rPr>
                <w:b/>
                <w:sz w:val="25"/>
              </w:rPr>
            </w:pPr>
          </w:p>
          <w:p w:rsidR="007C5447" w:rsidRDefault="00F6308C">
            <w:pPr>
              <w:pStyle w:val="TableParagraph"/>
              <w:spacing w:before="1" w:line="271" w:lineRule="exact"/>
              <w:ind w:left="268"/>
              <w:jc w:val="left"/>
              <w:rPr>
                <w:sz w:val="24"/>
              </w:rPr>
            </w:pPr>
            <w:r>
              <w:rPr>
                <w:sz w:val="24"/>
              </w:rPr>
              <w:t>2</w:t>
            </w:r>
          </w:p>
        </w:tc>
        <w:tc>
          <w:tcPr>
            <w:tcW w:w="5473" w:type="dxa"/>
          </w:tcPr>
          <w:p w:rsidR="007C5447" w:rsidRDefault="00F6308C">
            <w:pPr>
              <w:pStyle w:val="TableParagraph"/>
              <w:spacing w:before="16" w:line="270" w:lineRule="atLeast"/>
              <w:ind w:left="107" w:right="904"/>
              <w:jc w:val="left"/>
              <w:rPr>
                <w:sz w:val="24"/>
              </w:rPr>
            </w:pPr>
            <w:r>
              <w:rPr>
                <w:sz w:val="24"/>
              </w:rPr>
              <w:t>Revenue from sale of power at proposed tariff (including subsidy)</w:t>
            </w:r>
          </w:p>
        </w:tc>
        <w:tc>
          <w:tcPr>
            <w:tcW w:w="1613" w:type="dxa"/>
          </w:tcPr>
          <w:p w:rsidR="007C5447" w:rsidRDefault="00F6308C">
            <w:pPr>
              <w:pStyle w:val="TableParagraph"/>
              <w:spacing w:before="153"/>
              <w:ind w:right="173"/>
              <w:rPr>
                <w:sz w:val="24"/>
              </w:rPr>
            </w:pPr>
            <w:r>
              <w:rPr>
                <w:sz w:val="24"/>
              </w:rPr>
              <w:t>47,323.86</w:t>
            </w:r>
          </w:p>
        </w:tc>
      </w:tr>
      <w:tr w:rsidR="007C5447">
        <w:trPr>
          <w:trHeight w:val="345"/>
        </w:trPr>
        <w:tc>
          <w:tcPr>
            <w:tcW w:w="660" w:type="dxa"/>
          </w:tcPr>
          <w:p w:rsidR="007C5447" w:rsidRDefault="00F6308C">
            <w:pPr>
              <w:pStyle w:val="TableParagraph"/>
              <w:spacing w:before="51" w:line="273" w:lineRule="exact"/>
              <w:ind w:left="268"/>
              <w:jc w:val="left"/>
              <w:rPr>
                <w:sz w:val="24"/>
              </w:rPr>
            </w:pPr>
            <w:r>
              <w:rPr>
                <w:sz w:val="24"/>
              </w:rPr>
              <w:t>3</w:t>
            </w:r>
          </w:p>
        </w:tc>
        <w:tc>
          <w:tcPr>
            <w:tcW w:w="5473" w:type="dxa"/>
          </w:tcPr>
          <w:p w:rsidR="007C5447" w:rsidRDefault="00F6308C">
            <w:pPr>
              <w:pStyle w:val="TableParagraph"/>
              <w:spacing w:before="51" w:line="273" w:lineRule="exact"/>
              <w:ind w:left="107"/>
              <w:jc w:val="left"/>
              <w:rPr>
                <w:sz w:val="24"/>
              </w:rPr>
            </w:pPr>
            <w:r>
              <w:rPr>
                <w:sz w:val="24"/>
              </w:rPr>
              <w:t>Other Govt. Subsidy (FRP bond takeover)</w:t>
            </w:r>
          </w:p>
        </w:tc>
        <w:tc>
          <w:tcPr>
            <w:tcW w:w="1613" w:type="dxa"/>
          </w:tcPr>
          <w:p w:rsidR="007C5447" w:rsidRDefault="00F6308C">
            <w:pPr>
              <w:pStyle w:val="TableParagraph"/>
              <w:spacing w:before="32"/>
              <w:ind w:right="173"/>
              <w:rPr>
                <w:sz w:val="24"/>
              </w:rPr>
            </w:pPr>
            <w:r>
              <w:rPr>
                <w:sz w:val="24"/>
              </w:rPr>
              <w:t>2,343.49</w:t>
            </w:r>
          </w:p>
        </w:tc>
      </w:tr>
      <w:tr w:rsidR="007C5447">
        <w:trPr>
          <w:trHeight w:val="345"/>
        </w:trPr>
        <w:tc>
          <w:tcPr>
            <w:tcW w:w="660" w:type="dxa"/>
          </w:tcPr>
          <w:p w:rsidR="007C5447" w:rsidRDefault="00F6308C">
            <w:pPr>
              <w:pStyle w:val="TableParagraph"/>
              <w:spacing w:before="51" w:line="273" w:lineRule="exact"/>
              <w:ind w:left="268"/>
              <w:jc w:val="left"/>
              <w:rPr>
                <w:sz w:val="24"/>
              </w:rPr>
            </w:pPr>
            <w:r>
              <w:rPr>
                <w:sz w:val="24"/>
              </w:rPr>
              <w:t>4</w:t>
            </w:r>
          </w:p>
        </w:tc>
        <w:tc>
          <w:tcPr>
            <w:tcW w:w="5473" w:type="dxa"/>
          </w:tcPr>
          <w:p w:rsidR="007C5447" w:rsidRDefault="00F6308C">
            <w:pPr>
              <w:pStyle w:val="TableParagraph"/>
              <w:spacing w:before="51" w:line="273" w:lineRule="exact"/>
              <w:ind w:left="107"/>
              <w:jc w:val="left"/>
              <w:rPr>
                <w:b/>
                <w:sz w:val="24"/>
              </w:rPr>
            </w:pPr>
            <w:r>
              <w:rPr>
                <w:b/>
                <w:sz w:val="24"/>
              </w:rPr>
              <w:t>Revenue Gap</w:t>
            </w:r>
          </w:p>
        </w:tc>
        <w:tc>
          <w:tcPr>
            <w:tcW w:w="1613" w:type="dxa"/>
          </w:tcPr>
          <w:p w:rsidR="007C5447" w:rsidRDefault="00F6308C">
            <w:pPr>
              <w:pStyle w:val="TableParagraph"/>
              <w:spacing w:before="32"/>
              <w:ind w:right="173"/>
              <w:rPr>
                <w:b/>
                <w:sz w:val="24"/>
              </w:rPr>
            </w:pPr>
            <w:r>
              <w:rPr>
                <w:b/>
                <w:sz w:val="24"/>
              </w:rPr>
              <w:t>2,610.39</w:t>
            </w:r>
          </w:p>
        </w:tc>
      </w:tr>
    </w:tbl>
    <w:p w:rsidR="007C5447" w:rsidRDefault="007C5447">
      <w:pPr>
        <w:pStyle w:val="BodyText"/>
        <w:spacing w:before="9"/>
        <w:rPr>
          <w:b/>
          <w:sz w:val="20"/>
        </w:rPr>
      </w:pPr>
    </w:p>
    <w:p w:rsidR="007C5447" w:rsidRDefault="00F6308C">
      <w:pPr>
        <w:ind w:left="1112"/>
        <w:rPr>
          <w:b/>
          <w:sz w:val="24"/>
        </w:rPr>
      </w:pPr>
      <w:r>
        <w:rPr>
          <w:b/>
          <w:sz w:val="24"/>
        </w:rPr>
        <w:t>Commission’s Views</w:t>
      </w:r>
    </w:p>
    <w:p w:rsidR="007C5447" w:rsidRDefault="00F6308C">
      <w:pPr>
        <w:pStyle w:val="ListParagraph"/>
        <w:numPr>
          <w:ilvl w:val="2"/>
          <w:numId w:val="40"/>
        </w:numPr>
        <w:tabs>
          <w:tab w:val="left" w:pos="1113"/>
        </w:tabs>
        <w:spacing w:before="201" w:line="312" w:lineRule="auto"/>
        <w:ind w:left="1112" w:right="876"/>
        <w:jc w:val="both"/>
        <w:rPr>
          <w:sz w:val="24"/>
        </w:rPr>
      </w:pPr>
      <w:r>
        <w:rPr>
          <w:sz w:val="24"/>
        </w:rPr>
        <w:t>In continuation with the philosophy adopted in the true-up for FY 2014-15 and FY 2015-16, the Commission has not considered the GoTN Subsidy of Rs. 2343.49 crore proposed by TANGEDCO for FY 2017-18 against the FRP bond takeover, as this FRP subsidy is agai</w:t>
      </w:r>
      <w:r>
        <w:rPr>
          <w:sz w:val="24"/>
        </w:rPr>
        <w:t>nst previous Regulatory Assets in existence before unbundling of</w:t>
      </w:r>
      <w:r>
        <w:rPr>
          <w:spacing w:val="-4"/>
          <w:sz w:val="24"/>
        </w:rPr>
        <w:t xml:space="preserve"> </w:t>
      </w:r>
      <w:r>
        <w:rPr>
          <w:sz w:val="24"/>
        </w:rPr>
        <w:t>TNEB.</w:t>
      </w:r>
    </w:p>
    <w:p w:rsidR="007C5447" w:rsidRDefault="007C5447">
      <w:pPr>
        <w:pStyle w:val="BodyText"/>
        <w:spacing w:before="1"/>
        <w:rPr>
          <w:sz w:val="21"/>
        </w:rPr>
      </w:pPr>
    </w:p>
    <w:p w:rsidR="007C5447" w:rsidRDefault="00F6308C">
      <w:pPr>
        <w:pStyle w:val="ListParagraph"/>
        <w:numPr>
          <w:ilvl w:val="2"/>
          <w:numId w:val="40"/>
        </w:numPr>
        <w:tabs>
          <w:tab w:val="left" w:pos="1113"/>
        </w:tabs>
        <w:spacing w:line="312" w:lineRule="auto"/>
        <w:ind w:left="1112" w:right="877"/>
        <w:jc w:val="both"/>
        <w:rPr>
          <w:sz w:val="24"/>
        </w:rPr>
      </w:pPr>
      <w:r>
        <w:rPr>
          <w:sz w:val="24"/>
        </w:rPr>
        <w:t>Based on the approved ARR for FY 2017-18 and revenue from revised category- wise tariffs, the net Revenue Gap/(Surplus) approved by the Commission for FY 2017-18 has been shown below:</w:t>
      </w:r>
    </w:p>
    <w:p w:rsidR="007C5447" w:rsidRDefault="007C5447">
      <w:pPr>
        <w:pStyle w:val="BodyText"/>
        <w:spacing w:before="8"/>
        <w:rPr>
          <w:sz w:val="20"/>
        </w:rPr>
      </w:pPr>
    </w:p>
    <w:p w:rsidR="007C5447" w:rsidRDefault="00F6308C">
      <w:pPr>
        <w:pStyle w:val="Heading2"/>
        <w:spacing w:before="1"/>
        <w:ind w:left="384" w:right="999"/>
        <w:jc w:val="center"/>
      </w:pPr>
      <w:r>
        <w:t>Table 5-8: Approved Revenue Gap/(Surplus) at Revised Tariff for FY 2017</w:t>
      </w:r>
      <w:r>
        <w:t>-18 (Rs.</w:t>
      </w:r>
    </w:p>
    <w:p w:rsidR="007C5447" w:rsidRDefault="00F6308C">
      <w:pPr>
        <w:spacing w:before="84"/>
        <w:ind w:left="381" w:right="999"/>
        <w:jc w:val="center"/>
        <w:rPr>
          <w:b/>
          <w:sz w:val="24"/>
        </w:rPr>
      </w:pPr>
      <w:r>
        <w:rPr>
          <w:b/>
          <w:sz w:val="24"/>
        </w:rPr>
        <w:t>Crore)</w:t>
      </w:r>
    </w:p>
    <w:p w:rsidR="007C5447" w:rsidRDefault="007C5447">
      <w:pPr>
        <w:pStyle w:val="BodyText"/>
        <w:spacing w:before="6" w:after="1"/>
        <w:rPr>
          <w:b/>
          <w:sz w:val="17"/>
        </w:rPr>
      </w:pPr>
    </w:p>
    <w:tbl>
      <w:tblPr>
        <w:tblW w:w="0" w:type="auto"/>
        <w:tblInd w:w="5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5754"/>
        <w:gridCol w:w="1770"/>
      </w:tblGrid>
      <w:tr w:rsidR="007C5447">
        <w:trPr>
          <w:trHeight w:val="345"/>
        </w:trPr>
        <w:tc>
          <w:tcPr>
            <w:tcW w:w="847" w:type="dxa"/>
            <w:shd w:val="clear" w:color="auto" w:fill="F7C9AC"/>
          </w:tcPr>
          <w:p w:rsidR="007C5447" w:rsidRDefault="00F6308C">
            <w:pPr>
              <w:pStyle w:val="TableParagraph"/>
              <w:spacing w:before="54" w:line="271" w:lineRule="exact"/>
              <w:ind w:left="272" w:right="264"/>
              <w:jc w:val="center"/>
              <w:rPr>
                <w:b/>
                <w:sz w:val="24"/>
              </w:rPr>
            </w:pPr>
            <w:r>
              <w:rPr>
                <w:b/>
                <w:sz w:val="24"/>
              </w:rPr>
              <w:t>Sl.</w:t>
            </w:r>
          </w:p>
        </w:tc>
        <w:tc>
          <w:tcPr>
            <w:tcW w:w="5754" w:type="dxa"/>
            <w:shd w:val="clear" w:color="auto" w:fill="F7C9AC"/>
          </w:tcPr>
          <w:p w:rsidR="007C5447" w:rsidRDefault="00F6308C">
            <w:pPr>
              <w:pStyle w:val="TableParagraph"/>
              <w:spacing w:before="54" w:line="271" w:lineRule="exact"/>
              <w:ind w:left="107"/>
              <w:jc w:val="left"/>
              <w:rPr>
                <w:b/>
                <w:sz w:val="24"/>
              </w:rPr>
            </w:pPr>
            <w:r>
              <w:rPr>
                <w:b/>
                <w:sz w:val="24"/>
              </w:rPr>
              <w:t>Particulars</w:t>
            </w:r>
          </w:p>
        </w:tc>
        <w:tc>
          <w:tcPr>
            <w:tcW w:w="1770" w:type="dxa"/>
            <w:shd w:val="clear" w:color="auto" w:fill="F7C9AC"/>
          </w:tcPr>
          <w:p w:rsidR="007C5447" w:rsidRDefault="00F6308C">
            <w:pPr>
              <w:pStyle w:val="TableParagraph"/>
              <w:spacing w:before="54" w:line="271" w:lineRule="exact"/>
              <w:ind w:left="463"/>
              <w:jc w:val="left"/>
              <w:rPr>
                <w:b/>
                <w:sz w:val="24"/>
              </w:rPr>
            </w:pPr>
            <w:r>
              <w:rPr>
                <w:b/>
                <w:sz w:val="24"/>
              </w:rPr>
              <w:t>Amount</w:t>
            </w:r>
          </w:p>
        </w:tc>
      </w:tr>
      <w:tr w:rsidR="007C5447">
        <w:trPr>
          <w:trHeight w:val="345"/>
        </w:trPr>
        <w:tc>
          <w:tcPr>
            <w:tcW w:w="847" w:type="dxa"/>
          </w:tcPr>
          <w:p w:rsidR="007C5447" w:rsidRDefault="00F6308C">
            <w:pPr>
              <w:pStyle w:val="TableParagraph"/>
              <w:spacing w:before="54" w:line="271" w:lineRule="exact"/>
              <w:ind w:left="7"/>
              <w:jc w:val="center"/>
              <w:rPr>
                <w:sz w:val="24"/>
              </w:rPr>
            </w:pPr>
            <w:r>
              <w:rPr>
                <w:sz w:val="24"/>
              </w:rPr>
              <w:t>1</w:t>
            </w:r>
          </w:p>
        </w:tc>
        <w:tc>
          <w:tcPr>
            <w:tcW w:w="5754" w:type="dxa"/>
          </w:tcPr>
          <w:p w:rsidR="007C5447" w:rsidRDefault="00F6308C">
            <w:pPr>
              <w:pStyle w:val="TableParagraph"/>
              <w:spacing w:before="54" w:line="271" w:lineRule="exact"/>
              <w:ind w:left="107"/>
              <w:jc w:val="left"/>
              <w:rPr>
                <w:sz w:val="24"/>
              </w:rPr>
            </w:pPr>
            <w:r>
              <w:rPr>
                <w:sz w:val="24"/>
              </w:rPr>
              <w:t>Net Revenue Requirement</w:t>
            </w:r>
          </w:p>
        </w:tc>
        <w:tc>
          <w:tcPr>
            <w:tcW w:w="1770" w:type="dxa"/>
          </w:tcPr>
          <w:p w:rsidR="007C5447" w:rsidRDefault="00F6308C">
            <w:pPr>
              <w:pStyle w:val="TableParagraph"/>
              <w:spacing w:before="35"/>
              <w:ind w:right="96"/>
              <w:rPr>
                <w:sz w:val="24"/>
              </w:rPr>
            </w:pPr>
            <w:r>
              <w:rPr>
                <w:sz w:val="24"/>
              </w:rPr>
              <w:t>47,837.80</w:t>
            </w:r>
          </w:p>
        </w:tc>
      </w:tr>
      <w:tr w:rsidR="007C5447">
        <w:trPr>
          <w:trHeight w:val="583"/>
        </w:trPr>
        <w:tc>
          <w:tcPr>
            <w:tcW w:w="847" w:type="dxa"/>
          </w:tcPr>
          <w:p w:rsidR="007C5447" w:rsidRDefault="007C5447">
            <w:pPr>
              <w:pStyle w:val="TableParagraph"/>
              <w:spacing w:before="2"/>
              <w:jc w:val="left"/>
              <w:rPr>
                <w:b/>
                <w:sz w:val="25"/>
              </w:rPr>
            </w:pPr>
          </w:p>
          <w:p w:rsidR="007C5447" w:rsidRDefault="00F6308C">
            <w:pPr>
              <w:pStyle w:val="TableParagraph"/>
              <w:spacing w:line="273" w:lineRule="exact"/>
              <w:ind w:left="7"/>
              <w:jc w:val="center"/>
              <w:rPr>
                <w:sz w:val="24"/>
              </w:rPr>
            </w:pPr>
            <w:r>
              <w:rPr>
                <w:sz w:val="24"/>
              </w:rPr>
              <w:t>2</w:t>
            </w:r>
          </w:p>
        </w:tc>
        <w:tc>
          <w:tcPr>
            <w:tcW w:w="5754" w:type="dxa"/>
          </w:tcPr>
          <w:p w:rsidR="007C5447" w:rsidRDefault="00F6308C">
            <w:pPr>
              <w:pStyle w:val="TableParagraph"/>
              <w:spacing w:before="13" w:line="270" w:lineRule="atLeast"/>
              <w:ind w:left="107" w:right="325"/>
              <w:jc w:val="left"/>
              <w:rPr>
                <w:sz w:val="24"/>
              </w:rPr>
            </w:pPr>
            <w:r>
              <w:rPr>
                <w:sz w:val="24"/>
              </w:rPr>
              <w:t>Revenue from sale of power at revised tariff (including subsidy)</w:t>
            </w:r>
          </w:p>
        </w:tc>
        <w:tc>
          <w:tcPr>
            <w:tcW w:w="1770" w:type="dxa"/>
          </w:tcPr>
          <w:p w:rsidR="007C5447" w:rsidRDefault="00F6308C">
            <w:pPr>
              <w:pStyle w:val="TableParagraph"/>
              <w:spacing w:before="153"/>
              <w:ind w:right="96"/>
              <w:rPr>
                <w:sz w:val="24"/>
              </w:rPr>
            </w:pPr>
            <w:r>
              <w:rPr>
                <w:sz w:val="24"/>
              </w:rPr>
              <w:t>47, 903.50</w:t>
            </w:r>
          </w:p>
        </w:tc>
      </w:tr>
      <w:tr w:rsidR="007C5447">
        <w:trPr>
          <w:trHeight w:val="345"/>
        </w:trPr>
        <w:tc>
          <w:tcPr>
            <w:tcW w:w="847" w:type="dxa"/>
          </w:tcPr>
          <w:p w:rsidR="007C5447" w:rsidRDefault="00F6308C">
            <w:pPr>
              <w:pStyle w:val="TableParagraph"/>
              <w:spacing w:before="51" w:line="273" w:lineRule="exact"/>
              <w:ind w:left="7"/>
              <w:jc w:val="center"/>
              <w:rPr>
                <w:sz w:val="24"/>
              </w:rPr>
            </w:pPr>
            <w:r>
              <w:rPr>
                <w:sz w:val="24"/>
              </w:rPr>
              <w:t>3</w:t>
            </w:r>
          </w:p>
        </w:tc>
        <w:tc>
          <w:tcPr>
            <w:tcW w:w="5754" w:type="dxa"/>
          </w:tcPr>
          <w:p w:rsidR="007C5447" w:rsidRDefault="00F6308C">
            <w:pPr>
              <w:pStyle w:val="TableParagraph"/>
              <w:spacing w:before="51" w:line="273" w:lineRule="exact"/>
              <w:ind w:left="107"/>
              <w:jc w:val="left"/>
              <w:rPr>
                <w:sz w:val="24"/>
              </w:rPr>
            </w:pPr>
            <w:r>
              <w:rPr>
                <w:sz w:val="24"/>
              </w:rPr>
              <w:t>Other Govt. Subsidy (FRP bond takeover)</w:t>
            </w:r>
          </w:p>
        </w:tc>
        <w:tc>
          <w:tcPr>
            <w:tcW w:w="1770" w:type="dxa"/>
          </w:tcPr>
          <w:p w:rsidR="007C5447" w:rsidRDefault="00F6308C">
            <w:pPr>
              <w:pStyle w:val="TableParagraph"/>
              <w:spacing w:before="32"/>
              <w:ind w:right="96"/>
              <w:rPr>
                <w:sz w:val="24"/>
              </w:rPr>
            </w:pPr>
            <w:r>
              <w:rPr>
                <w:w w:val="99"/>
                <w:sz w:val="24"/>
              </w:rPr>
              <w:t>-</w:t>
            </w:r>
          </w:p>
        </w:tc>
      </w:tr>
      <w:tr w:rsidR="007C5447">
        <w:trPr>
          <w:trHeight w:val="345"/>
        </w:trPr>
        <w:tc>
          <w:tcPr>
            <w:tcW w:w="847" w:type="dxa"/>
          </w:tcPr>
          <w:p w:rsidR="007C5447" w:rsidRDefault="00F6308C">
            <w:pPr>
              <w:pStyle w:val="TableParagraph"/>
              <w:spacing w:before="51" w:line="273" w:lineRule="exact"/>
              <w:ind w:left="7"/>
              <w:jc w:val="center"/>
              <w:rPr>
                <w:sz w:val="24"/>
              </w:rPr>
            </w:pPr>
            <w:r>
              <w:rPr>
                <w:sz w:val="24"/>
              </w:rPr>
              <w:t>4</w:t>
            </w:r>
          </w:p>
        </w:tc>
        <w:tc>
          <w:tcPr>
            <w:tcW w:w="5754" w:type="dxa"/>
          </w:tcPr>
          <w:p w:rsidR="007C5447" w:rsidRDefault="00F6308C">
            <w:pPr>
              <w:pStyle w:val="TableParagraph"/>
              <w:spacing w:before="51" w:line="273" w:lineRule="exact"/>
              <w:ind w:left="107"/>
              <w:jc w:val="left"/>
              <w:rPr>
                <w:b/>
                <w:sz w:val="24"/>
              </w:rPr>
            </w:pPr>
            <w:r>
              <w:rPr>
                <w:b/>
                <w:sz w:val="24"/>
              </w:rPr>
              <w:t>Revenue Gap/(Surplus)</w:t>
            </w:r>
          </w:p>
        </w:tc>
        <w:tc>
          <w:tcPr>
            <w:tcW w:w="1770" w:type="dxa"/>
          </w:tcPr>
          <w:p w:rsidR="007C5447" w:rsidRDefault="00F6308C">
            <w:pPr>
              <w:pStyle w:val="TableParagraph"/>
              <w:spacing w:before="32"/>
              <w:ind w:right="98"/>
              <w:rPr>
                <w:b/>
                <w:sz w:val="24"/>
              </w:rPr>
            </w:pPr>
            <w:r>
              <w:rPr>
                <w:b/>
                <w:sz w:val="24"/>
              </w:rPr>
              <w:t>(65.70)</w:t>
            </w:r>
          </w:p>
        </w:tc>
      </w:tr>
    </w:tbl>
    <w:p w:rsidR="007C5447" w:rsidRDefault="00F6308C">
      <w:pPr>
        <w:pStyle w:val="ListParagraph"/>
        <w:numPr>
          <w:ilvl w:val="2"/>
          <w:numId w:val="40"/>
        </w:numPr>
        <w:tabs>
          <w:tab w:val="left" w:pos="1113"/>
        </w:tabs>
        <w:spacing w:before="119" w:line="312" w:lineRule="auto"/>
        <w:ind w:left="1112" w:right="875"/>
        <w:jc w:val="both"/>
        <w:rPr>
          <w:sz w:val="24"/>
        </w:rPr>
      </w:pPr>
      <w:r>
        <w:rPr>
          <w:sz w:val="24"/>
        </w:rPr>
        <w:t>It should be noted that the above marginal Revenue Surplus is dependent on the actual category-wise sales, especially to the subsidising HT IA category, which has been considered at the same levels as projected by TANGEDCO. Further, the</w:t>
      </w:r>
      <w:r>
        <w:rPr>
          <w:spacing w:val="53"/>
          <w:sz w:val="24"/>
        </w:rPr>
        <w:t xml:space="preserve"> </w:t>
      </w:r>
      <w:r>
        <w:rPr>
          <w:sz w:val="24"/>
        </w:rPr>
        <w:t>power</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BodyText"/>
        <w:spacing w:before="60" w:line="312" w:lineRule="auto"/>
        <w:ind w:left="1112" w:right="876"/>
        <w:jc w:val="both"/>
      </w:pPr>
      <w:r>
        <w:lastRenderedPageBreak/>
        <w:t>purchase rates have been assumed to remain at FY 2016-17 levels in FY 2017-18 and FY 2018-19 also. In case of significant variation in either or both of these assumptions, the scenario of Revenue Gap/(Surplus) may undergo a change, which will have to be ad</w:t>
      </w:r>
      <w:r>
        <w:t>dressed at the time of provisional/final true up for these</w:t>
      </w:r>
      <w:r>
        <w:rPr>
          <w:spacing w:val="-11"/>
        </w:rPr>
        <w:t xml:space="preserve"> </w:t>
      </w:r>
      <w:r>
        <w:t>Years.</w:t>
      </w:r>
    </w:p>
    <w:p w:rsidR="007C5447" w:rsidRDefault="007C5447">
      <w:pPr>
        <w:pStyle w:val="BodyText"/>
        <w:spacing w:before="11"/>
        <w:rPr>
          <w:sz w:val="20"/>
        </w:rPr>
      </w:pPr>
    </w:p>
    <w:p w:rsidR="007C5447" w:rsidRDefault="00F6308C">
      <w:pPr>
        <w:pStyle w:val="Heading2"/>
        <w:numPr>
          <w:ilvl w:val="1"/>
          <w:numId w:val="40"/>
        </w:numPr>
        <w:tabs>
          <w:tab w:val="left" w:pos="826"/>
          <w:tab w:val="left" w:pos="827"/>
        </w:tabs>
        <w:ind w:left="826"/>
        <w:jc w:val="left"/>
      </w:pPr>
      <w:bookmarkStart w:id="82" w:name="_bookmark82"/>
      <w:bookmarkEnd w:id="82"/>
      <w:r>
        <w:t>Regulatory</w:t>
      </w:r>
      <w:r>
        <w:rPr>
          <w:spacing w:val="-1"/>
        </w:rPr>
        <w:t xml:space="preserve"> </w:t>
      </w:r>
      <w:r>
        <w:t>Assets</w:t>
      </w:r>
    </w:p>
    <w:p w:rsidR="007C5447" w:rsidRDefault="007C5447">
      <w:pPr>
        <w:pStyle w:val="BodyText"/>
        <w:spacing w:before="11"/>
        <w:rPr>
          <w:b/>
          <w:sz w:val="27"/>
        </w:rPr>
      </w:pPr>
    </w:p>
    <w:p w:rsidR="007C5447" w:rsidRDefault="00F6308C">
      <w:pPr>
        <w:pStyle w:val="ListParagraph"/>
        <w:numPr>
          <w:ilvl w:val="2"/>
          <w:numId w:val="40"/>
        </w:numPr>
        <w:tabs>
          <w:tab w:val="left" w:pos="1113"/>
        </w:tabs>
        <w:spacing w:line="312" w:lineRule="auto"/>
        <w:ind w:left="1112" w:right="880"/>
        <w:jc w:val="both"/>
        <w:rPr>
          <w:sz w:val="24"/>
        </w:rPr>
      </w:pPr>
      <w:r>
        <w:rPr>
          <w:sz w:val="24"/>
        </w:rPr>
        <w:t>TANGEDCO submitted that the Regulatory Assets approved in the Tariff Order No. 1 dated March 30, 2012 is the unrecoverable loss for the period November 2010 to March 2013</w:t>
      </w:r>
      <w:r>
        <w:rPr>
          <w:sz w:val="24"/>
        </w:rPr>
        <w:t>. In the Tariff Order dated March 30, 2012, the Regulatory Assets were dealt in line with Regulation 13 of the Tariff Regulations, as reproduced</w:t>
      </w:r>
      <w:r>
        <w:rPr>
          <w:spacing w:val="-7"/>
          <w:sz w:val="24"/>
        </w:rPr>
        <w:t xml:space="preserve"> </w:t>
      </w:r>
      <w:r>
        <w:rPr>
          <w:sz w:val="24"/>
        </w:rPr>
        <w:t>below:</w:t>
      </w:r>
    </w:p>
    <w:p w:rsidR="007C5447" w:rsidRDefault="007C5447">
      <w:pPr>
        <w:pStyle w:val="BodyText"/>
        <w:spacing w:before="11"/>
        <w:rPr>
          <w:sz w:val="20"/>
        </w:rPr>
      </w:pPr>
    </w:p>
    <w:p w:rsidR="007C5447" w:rsidRDefault="00F6308C">
      <w:pPr>
        <w:ind w:left="1700"/>
        <w:rPr>
          <w:i/>
          <w:sz w:val="24"/>
        </w:rPr>
      </w:pPr>
      <w:r>
        <w:rPr>
          <w:i/>
          <w:sz w:val="24"/>
        </w:rPr>
        <w:t>“13. Regulatory Asset</w:t>
      </w:r>
    </w:p>
    <w:p w:rsidR="007C5447" w:rsidRDefault="007C5447">
      <w:pPr>
        <w:pStyle w:val="BodyText"/>
        <w:spacing w:before="10"/>
        <w:rPr>
          <w:i/>
          <w:sz w:val="20"/>
        </w:rPr>
      </w:pPr>
    </w:p>
    <w:p w:rsidR="007C5447" w:rsidRDefault="00F6308C">
      <w:pPr>
        <w:pStyle w:val="ListParagraph"/>
        <w:numPr>
          <w:ilvl w:val="3"/>
          <w:numId w:val="40"/>
        </w:numPr>
        <w:tabs>
          <w:tab w:val="left" w:pos="2118"/>
        </w:tabs>
        <w:ind w:right="1600" w:firstLine="0"/>
        <w:jc w:val="both"/>
        <w:rPr>
          <w:i/>
          <w:sz w:val="24"/>
        </w:rPr>
      </w:pPr>
      <w:r>
        <w:rPr>
          <w:i/>
          <w:sz w:val="24"/>
        </w:rPr>
        <w:t>Wherever the licensee could not fully recover the reasonably incurred cost at th</w:t>
      </w:r>
      <w:r>
        <w:rPr>
          <w:i/>
          <w:sz w:val="24"/>
        </w:rPr>
        <w:t xml:space="preserve">e tariff allowed with his best effort after achieving the benchmark standards for the reasons beyond his control </w:t>
      </w:r>
      <w:r>
        <w:rPr>
          <w:i/>
          <w:spacing w:val="-4"/>
          <w:sz w:val="24"/>
        </w:rPr>
        <w:t xml:space="preserve">under </w:t>
      </w:r>
      <w:r>
        <w:rPr>
          <w:i/>
          <w:sz w:val="24"/>
        </w:rPr>
        <w:t>natural calamities and force majeure conditions and consequently there is a revenue shortfall and if the Commission is satisfied with suc</w:t>
      </w:r>
      <w:r>
        <w:rPr>
          <w:i/>
          <w:sz w:val="24"/>
        </w:rPr>
        <w:t>h conditions, the Commission shall treat such revenue shortfall as Regulatory</w:t>
      </w:r>
      <w:r>
        <w:rPr>
          <w:i/>
          <w:spacing w:val="-2"/>
          <w:sz w:val="24"/>
        </w:rPr>
        <w:t xml:space="preserve"> </w:t>
      </w:r>
      <w:r>
        <w:rPr>
          <w:i/>
          <w:sz w:val="24"/>
        </w:rPr>
        <w:t>Asset.</w:t>
      </w:r>
    </w:p>
    <w:p w:rsidR="007C5447" w:rsidRDefault="007C5447">
      <w:pPr>
        <w:pStyle w:val="BodyText"/>
        <w:spacing w:before="10"/>
        <w:rPr>
          <w:i/>
          <w:sz w:val="20"/>
        </w:rPr>
      </w:pPr>
    </w:p>
    <w:p w:rsidR="007C5447" w:rsidRDefault="00F6308C">
      <w:pPr>
        <w:pStyle w:val="ListParagraph"/>
        <w:numPr>
          <w:ilvl w:val="3"/>
          <w:numId w:val="40"/>
        </w:numPr>
        <w:tabs>
          <w:tab w:val="left" w:pos="2046"/>
        </w:tabs>
        <w:ind w:right="1596" w:firstLine="0"/>
        <w:jc w:val="both"/>
        <w:rPr>
          <w:i/>
          <w:sz w:val="24"/>
        </w:rPr>
      </w:pPr>
      <w:r>
        <w:rPr>
          <w:i/>
          <w:sz w:val="24"/>
        </w:rPr>
        <w:t>The regulatory asset shall first be adjusted against the contingency reserve. The balance regulatory asset, if any, will be allowed to be recovered within a period of thr</w:t>
      </w:r>
      <w:r>
        <w:rPr>
          <w:i/>
          <w:sz w:val="24"/>
        </w:rPr>
        <w:t>ee years as decided by the Commission.</w:t>
      </w:r>
    </w:p>
    <w:p w:rsidR="007C5447" w:rsidRDefault="007C5447">
      <w:pPr>
        <w:pStyle w:val="BodyText"/>
        <w:spacing w:before="10"/>
        <w:rPr>
          <w:i/>
          <w:sz w:val="20"/>
        </w:rPr>
      </w:pPr>
    </w:p>
    <w:p w:rsidR="007C5447" w:rsidRDefault="00F6308C">
      <w:pPr>
        <w:pStyle w:val="ListParagraph"/>
        <w:numPr>
          <w:ilvl w:val="3"/>
          <w:numId w:val="40"/>
        </w:numPr>
        <w:tabs>
          <w:tab w:val="left" w:pos="2072"/>
        </w:tabs>
        <w:spacing w:before="1"/>
        <w:ind w:right="1605" w:firstLine="0"/>
        <w:jc w:val="both"/>
        <w:rPr>
          <w:i/>
          <w:sz w:val="24"/>
        </w:rPr>
      </w:pPr>
      <w:r>
        <w:rPr>
          <w:i/>
          <w:sz w:val="24"/>
        </w:rPr>
        <w:t>The licensee shall intimate the Commission then and there when such contingency</w:t>
      </w:r>
      <w:r>
        <w:rPr>
          <w:i/>
          <w:spacing w:val="-2"/>
          <w:sz w:val="24"/>
        </w:rPr>
        <w:t xml:space="preserve"> </w:t>
      </w:r>
      <w:r>
        <w:rPr>
          <w:i/>
          <w:sz w:val="24"/>
        </w:rPr>
        <w:t>arises.</w:t>
      </w:r>
    </w:p>
    <w:p w:rsidR="007C5447" w:rsidRDefault="007C5447">
      <w:pPr>
        <w:pStyle w:val="BodyText"/>
        <w:spacing w:before="9"/>
        <w:rPr>
          <w:i/>
          <w:sz w:val="20"/>
        </w:rPr>
      </w:pPr>
    </w:p>
    <w:p w:rsidR="007C5447" w:rsidRDefault="00F6308C">
      <w:pPr>
        <w:pStyle w:val="ListParagraph"/>
        <w:numPr>
          <w:ilvl w:val="3"/>
          <w:numId w:val="40"/>
        </w:numPr>
        <w:tabs>
          <w:tab w:val="left" w:pos="2080"/>
        </w:tabs>
        <w:spacing w:before="1"/>
        <w:ind w:right="1596" w:firstLine="0"/>
        <w:jc w:val="both"/>
        <w:rPr>
          <w:i/>
          <w:sz w:val="24"/>
        </w:rPr>
      </w:pPr>
      <w:r>
        <w:rPr>
          <w:i/>
          <w:sz w:val="24"/>
        </w:rPr>
        <w:t xml:space="preserve">Any unrecovered gap at the beginning must be covered through </w:t>
      </w:r>
      <w:r>
        <w:rPr>
          <w:i/>
          <w:sz w:val="24"/>
        </w:rPr>
        <w:t>transition financing arrangement or capital restructuring.</w:t>
      </w:r>
      <w:r>
        <w:rPr>
          <w:i/>
          <w:spacing w:val="-3"/>
          <w:sz w:val="24"/>
        </w:rPr>
        <w:t xml:space="preserve"> </w:t>
      </w:r>
      <w:r>
        <w:rPr>
          <w:i/>
          <w:sz w:val="24"/>
        </w:rPr>
        <w:t>“</w:t>
      </w:r>
    </w:p>
    <w:p w:rsidR="007C5447" w:rsidRDefault="00F6308C">
      <w:pPr>
        <w:pStyle w:val="ListParagraph"/>
        <w:numPr>
          <w:ilvl w:val="2"/>
          <w:numId w:val="40"/>
        </w:numPr>
        <w:tabs>
          <w:tab w:val="left" w:pos="1113"/>
        </w:tabs>
        <w:spacing w:before="120" w:line="312" w:lineRule="auto"/>
        <w:ind w:left="1112" w:right="875"/>
        <w:jc w:val="both"/>
        <w:rPr>
          <w:sz w:val="24"/>
        </w:rPr>
      </w:pPr>
      <w:r>
        <w:rPr>
          <w:sz w:val="24"/>
        </w:rPr>
        <w:t xml:space="preserve">TANGEDCO submitted that in the Tariff Order, the Commission had expressed a view that the accumulated losses up to the date of unbundling will have to be dealt with in accordance with Para 5.4.3 </w:t>
      </w:r>
      <w:r>
        <w:rPr>
          <w:sz w:val="24"/>
        </w:rPr>
        <w:t xml:space="preserve">of the National Electricity Policy and Tariff Policy. The provisions of the National Electricity Policy and Tariff Policy envisages that the gap at the time of unbundling will have to be addressed by financial restructuring and support from the Government </w:t>
      </w:r>
      <w:r>
        <w:rPr>
          <w:sz w:val="24"/>
        </w:rPr>
        <w:t>rather than passing on the accumulated losses to the successor</w:t>
      </w:r>
      <w:r>
        <w:rPr>
          <w:spacing w:val="1"/>
          <w:sz w:val="24"/>
        </w:rPr>
        <w:t xml:space="preserve"> </w:t>
      </w:r>
      <w:r>
        <w:rPr>
          <w:sz w:val="24"/>
        </w:rPr>
        <w:t>entities.</w:t>
      </w:r>
    </w:p>
    <w:p w:rsidR="007C5447" w:rsidRDefault="007C5447">
      <w:pPr>
        <w:pStyle w:val="BodyText"/>
        <w:rPr>
          <w:sz w:val="21"/>
        </w:rPr>
      </w:pPr>
    </w:p>
    <w:p w:rsidR="007C5447" w:rsidRDefault="00F6308C">
      <w:pPr>
        <w:pStyle w:val="ListParagraph"/>
        <w:numPr>
          <w:ilvl w:val="2"/>
          <w:numId w:val="40"/>
        </w:numPr>
        <w:tabs>
          <w:tab w:val="left" w:pos="1113"/>
        </w:tabs>
        <w:spacing w:line="312" w:lineRule="auto"/>
        <w:ind w:left="1112" w:right="878"/>
        <w:jc w:val="both"/>
        <w:rPr>
          <w:sz w:val="24"/>
        </w:rPr>
      </w:pPr>
      <w:r>
        <w:rPr>
          <w:sz w:val="24"/>
        </w:rPr>
        <w:t>In line with the Tariff Policy, National Electricity Policy and the Tariff Order dated March 30, 2012, TANGEDCO submitted that it has not claimed any relief on account of accumulated</w:t>
      </w:r>
      <w:r>
        <w:rPr>
          <w:sz w:val="24"/>
        </w:rPr>
        <w:t xml:space="preserve"> losses prior to unbundling on November 1, 2010 in</w:t>
      </w:r>
      <w:r>
        <w:rPr>
          <w:spacing w:val="-23"/>
          <w:sz w:val="24"/>
        </w:rPr>
        <w:t xml:space="preserve"> </w:t>
      </w:r>
      <w:r>
        <w:rPr>
          <w:sz w:val="24"/>
        </w:rPr>
        <w:t>its</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BodyText"/>
        <w:spacing w:before="60"/>
        <w:ind w:left="1112"/>
      </w:pPr>
      <w:r>
        <w:lastRenderedPageBreak/>
        <w:t>Petition.</w:t>
      </w:r>
    </w:p>
    <w:p w:rsidR="007C5447" w:rsidRDefault="007C5447">
      <w:pPr>
        <w:pStyle w:val="BodyText"/>
        <w:rPr>
          <w:sz w:val="28"/>
        </w:rPr>
      </w:pPr>
    </w:p>
    <w:p w:rsidR="007C5447" w:rsidRDefault="00F6308C">
      <w:pPr>
        <w:pStyle w:val="ListParagraph"/>
        <w:numPr>
          <w:ilvl w:val="2"/>
          <w:numId w:val="40"/>
        </w:numPr>
        <w:tabs>
          <w:tab w:val="left" w:pos="1113"/>
        </w:tabs>
        <w:spacing w:line="312" w:lineRule="auto"/>
        <w:ind w:left="1112" w:right="880"/>
        <w:jc w:val="both"/>
        <w:rPr>
          <w:sz w:val="24"/>
        </w:rPr>
      </w:pPr>
      <w:r>
        <w:rPr>
          <w:sz w:val="24"/>
        </w:rPr>
        <w:t>Further, TANGEDCO has proposed to create Regulatory Assets for the unrecovered deficit post-unbundling only. TANGEDCO submitted that even though it has requested for creation of Regulatory Asset of the amount which is an unrecovered deficit, all efforts ha</w:t>
      </w:r>
      <w:r>
        <w:rPr>
          <w:sz w:val="24"/>
        </w:rPr>
        <w:t>ve been undertaken to reduce such</w:t>
      </w:r>
      <w:r>
        <w:rPr>
          <w:spacing w:val="-3"/>
          <w:sz w:val="24"/>
        </w:rPr>
        <w:t xml:space="preserve"> </w:t>
      </w:r>
      <w:r>
        <w:rPr>
          <w:sz w:val="24"/>
        </w:rPr>
        <w:t>deficit.</w:t>
      </w:r>
    </w:p>
    <w:p w:rsidR="007C5447" w:rsidRDefault="007C5447">
      <w:pPr>
        <w:pStyle w:val="BodyText"/>
        <w:spacing w:before="10"/>
        <w:rPr>
          <w:sz w:val="20"/>
        </w:rPr>
      </w:pPr>
    </w:p>
    <w:p w:rsidR="007C5447" w:rsidRDefault="00F6308C">
      <w:pPr>
        <w:pStyle w:val="Heading2"/>
        <w:spacing w:before="1"/>
        <w:ind w:left="1112"/>
      </w:pPr>
      <w:r>
        <w:t>Recovery of Regulatory Assets</w:t>
      </w:r>
    </w:p>
    <w:p w:rsidR="007C5447" w:rsidRDefault="00F6308C">
      <w:pPr>
        <w:pStyle w:val="ListParagraph"/>
        <w:numPr>
          <w:ilvl w:val="2"/>
          <w:numId w:val="40"/>
        </w:numPr>
        <w:tabs>
          <w:tab w:val="left" w:pos="1113"/>
        </w:tabs>
        <w:spacing w:before="204" w:line="309" w:lineRule="auto"/>
        <w:ind w:left="1112" w:right="874"/>
        <w:jc w:val="both"/>
        <w:rPr>
          <w:sz w:val="24"/>
        </w:rPr>
      </w:pPr>
      <w:r>
        <w:rPr>
          <w:sz w:val="24"/>
        </w:rPr>
        <w:t>TANGEDCO submitted that as approved in the Tariff Order No. 1 dated June 20, 2013, the Regulatory Assets are proposed to be amortized over a period of 5 years commencing from FY 2013-14 onwards. Once the Regulatory Assets are determined, 1/5</w:t>
      </w:r>
      <w:r>
        <w:rPr>
          <w:position w:val="9"/>
          <w:sz w:val="16"/>
        </w:rPr>
        <w:t xml:space="preserve">th </w:t>
      </w:r>
      <w:r>
        <w:rPr>
          <w:sz w:val="24"/>
        </w:rPr>
        <w:t>of the Regul</w:t>
      </w:r>
      <w:r>
        <w:rPr>
          <w:sz w:val="24"/>
        </w:rPr>
        <w:t xml:space="preserve">atory Assets would be amortized along with the carrying cost in the first year. The Regulatory Assets would </w:t>
      </w:r>
      <w:r>
        <w:rPr>
          <w:spacing w:val="2"/>
          <w:sz w:val="24"/>
        </w:rPr>
        <w:t xml:space="preserve">be </w:t>
      </w:r>
      <w:r>
        <w:rPr>
          <w:sz w:val="24"/>
        </w:rPr>
        <w:t>re-worked out in FY 2014-15 and 1/4</w:t>
      </w:r>
      <w:r>
        <w:rPr>
          <w:position w:val="9"/>
          <w:sz w:val="16"/>
        </w:rPr>
        <w:t xml:space="preserve">th </w:t>
      </w:r>
      <w:r>
        <w:rPr>
          <w:sz w:val="24"/>
        </w:rPr>
        <w:t>of such Regulatory Assets would be amortized in that year and so on, until the entire Regulatory Assets are</w:t>
      </w:r>
      <w:r>
        <w:rPr>
          <w:sz w:val="24"/>
        </w:rPr>
        <w:t xml:space="preserve"> amortized. The carrying cost would correspond to the weighted average rate of interest for medium/long-term loans of TANGEDCO in the corresponding year in which the amortization of the Regulatory Assets is</w:t>
      </w:r>
      <w:r>
        <w:rPr>
          <w:spacing w:val="-1"/>
          <w:sz w:val="24"/>
        </w:rPr>
        <w:t xml:space="preserve"> </w:t>
      </w:r>
      <w:r>
        <w:rPr>
          <w:sz w:val="24"/>
        </w:rPr>
        <w:t>done.</w:t>
      </w:r>
    </w:p>
    <w:p w:rsidR="007C5447" w:rsidRDefault="007C5447">
      <w:pPr>
        <w:pStyle w:val="BodyText"/>
        <w:spacing w:before="7"/>
        <w:rPr>
          <w:sz w:val="20"/>
        </w:rPr>
      </w:pPr>
    </w:p>
    <w:p w:rsidR="007C5447" w:rsidRDefault="00F6308C">
      <w:pPr>
        <w:pStyle w:val="ListParagraph"/>
        <w:numPr>
          <w:ilvl w:val="2"/>
          <w:numId w:val="40"/>
        </w:numPr>
        <w:tabs>
          <w:tab w:val="left" w:pos="1113"/>
        </w:tabs>
        <w:spacing w:before="1" w:line="312" w:lineRule="auto"/>
        <w:ind w:left="1112" w:right="876"/>
        <w:jc w:val="both"/>
        <w:rPr>
          <w:sz w:val="24"/>
        </w:rPr>
      </w:pPr>
      <w:r>
        <w:rPr>
          <w:sz w:val="24"/>
        </w:rPr>
        <w:t>TANGEDCO submitted that the Commission had</w:t>
      </w:r>
      <w:r>
        <w:rPr>
          <w:sz w:val="24"/>
        </w:rPr>
        <w:t xml:space="preserve"> arrived at the consolidated Revenue Gap of Rs. 25,464 Crore as on March 2014 by considering the approved Revenue Gap for each year and allowing interest expenses at 11% and also taking into account the amortised Regulatory Assets of Rs. 1,033 Crore as det</w:t>
      </w:r>
      <w:r>
        <w:rPr>
          <w:sz w:val="24"/>
        </w:rPr>
        <w:t>ermined in the Tariff Order dated June 20, 2013 for FY 2013-14. Considering the letter received from GoTN, the Commission had estimated the Regulatory Assets pertaining to FY 2010-11 at a carrying cost of 11% and had then amortized 1/4th of the estimated R</w:t>
      </w:r>
      <w:r>
        <w:rPr>
          <w:sz w:val="24"/>
        </w:rPr>
        <w:t>egulatory Assets pertaining to FY 2010-11 in FY 2014-15 and arrived at net Regulatory</w:t>
      </w:r>
      <w:r>
        <w:rPr>
          <w:spacing w:val="-4"/>
          <w:sz w:val="24"/>
        </w:rPr>
        <w:t xml:space="preserve"> </w:t>
      </w:r>
      <w:r>
        <w:rPr>
          <w:sz w:val="24"/>
        </w:rPr>
        <w:t>Assets.</w:t>
      </w:r>
    </w:p>
    <w:p w:rsidR="007C5447" w:rsidRDefault="007C5447">
      <w:pPr>
        <w:pStyle w:val="BodyText"/>
        <w:spacing w:before="9"/>
        <w:rPr>
          <w:sz w:val="20"/>
        </w:rPr>
      </w:pPr>
    </w:p>
    <w:p w:rsidR="007C5447" w:rsidRDefault="00F6308C">
      <w:pPr>
        <w:pStyle w:val="ListParagraph"/>
        <w:numPr>
          <w:ilvl w:val="2"/>
          <w:numId w:val="40"/>
        </w:numPr>
        <w:tabs>
          <w:tab w:val="left" w:pos="1113"/>
        </w:tabs>
        <w:spacing w:line="312" w:lineRule="auto"/>
        <w:ind w:left="1112" w:right="878"/>
        <w:jc w:val="both"/>
        <w:rPr>
          <w:sz w:val="24"/>
        </w:rPr>
      </w:pPr>
      <w:r>
        <w:rPr>
          <w:sz w:val="24"/>
        </w:rPr>
        <w:t>TANGEDCO submitted that the treatment of Regulatory Asset along with its carrying cost up to March 31, 2015 as per the Suo Motu Order dated December 11, 2014, is</w:t>
      </w:r>
      <w:r>
        <w:rPr>
          <w:sz w:val="24"/>
        </w:rPr>
        <w:t xml:space="preserve"> given in the Table</w:t>
      </w:r>
      <w:r>
        <w:rPr>
          <w:spacing w:val="-2"/>
          <w:sz w:val="24"/>
        </w:rPr>
        <w:t xml:space="preserve"> </w:t>
      </w:r>
      <w:r>
        <w:rPr>
          <w:sz w:val="24"/>
        </w:rPr>
        <w:t>below:</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Heading2"/>
        <w:spacing w:before="60"/>
        <w:ind w:left="1162"/>
      </w:pPr>
      <w:r>
        <w:lastRenderedPageBreak/>
        <w:t>Table 5-9: Regulatory Asset Approved in last Tariff Order (Rs. Crore)</w:t>
      </w:r>
    </w:p>
    <w:p w:rsidR="007C5447" w:rsidRDefault="007C5447">
      <w:pPr>
        <w:pStyle w:val="BodyText"/>
        <w:spacing w:before="8"/>
        <w:rPr>
          <w:b/>
          <w:sz w:val="17"/>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07"/>
        <w:gridCol w:w="1064"/>
        <w:gridCol w:w="1066"/>
        <w:gridCol w:w="1064"/>
        <w:gridCol w:w="1067"/>
        <w:gridCol w:w="1066"/>
      </w:tblGrid>
      <w:tr w:rsidR="007C5447">
        <w:trPr>
          <w:trHeight w:val="537"/>
        </w:trPr>
        <w:tc>
          <w:tcPr>
            <w:tcW w:w="3807" w:type="dxa"/>
            <w:shd w:val="clear" w:color="auto" w:fill="F7C9AC"/>
          </w:tcPr>
          <w:p w:rsidR="007C5447" w:rsidRDefault="00F6308C">
            <w:pPr>
              <w:pStyle w:val="TableParagraph"/>
              <w:spacing w:before="142"/>
              <w:ind w:left="1355" w:right="1350"/>
              <w:jc w:val="center"/>
              <w:rPr>
                <w:b/>
              </w:rPr>
            </w:pPr>
            <w:r>
              <w:rPr>
                <w:b/>
              </w:rPr>
              <w:t>Particulars</w:t>
            </w:r>
          </w:p>
        </w:tc>
        <w:tc>
          <w:tcPr>
            <w:tcW w:w="1064" w:type="dxa"/>
            <w:shd w:val="clear" w:color="auto" w:fill="F7C9AC"/>
          </w:tcPr>
          <w:p w:rsidR="007C5447" w:rsidRDefault="00F6308C">
            <w:pPr>
              <w:pStyle w:val="TableParagraph"/>
              <w:spacing w:before="19" w:line="252" w:lineRule="exact"/>
              <w:ind w:left="160" w:right="154" w:firstLine="220"/>
              <w:jc w:val="left"/>
              <w:rPr>
                <w:b/>
              </w:rPr>
            </w:pPr>
            <w:r>
              <w:rPr>
                <w:b/>
              </w:rPr>
              <w:t>FY 2010-11</w:t>
            </w:r>
          </w:p>
        </w:tc>
        <w:tc>
          <w:tcPr>
            <w:tcW w:w="1066" w:type="dxa"/>
            <w:shd w:val="clear" w:color="auto" w:fill="F7C9AC"/>
          </w:tcPr>
          <w:p w:rsidR="007C5447" w:rsidRDefault="00F6308C">
            <w:pPr>
              <w:pStyle w:val="TableParagraph"/>
              <w:spacing w:before="19" w:line="252" w:lineRule="exact"/>
              <w:ind w:left="164" w:right="152" w:firstLine="218"/>
              <w:jc w:val="left"/>
              <w:rPr>
                <w:b/>
              </w:rPr>
            </w:pPr>
            <w:r>
              <w:rPr>
                <w:b/>
              </w:rPr>
              <w:t>FY 2011-12</w:t>
            </w:r>
          </w:p>
        </w:tc>
        <w:tc>
          <w:tcPr>
            <w:tcW w:w="1064" w:type="dxa"/>
            <w:shd w:val="clear" w:color="auto" w:fill="F7C9AC"/>
          </w:tcPr>
          <w:p w:rsidR="007C5447" w:rsidRDefault="00F6308C">
            <w:pPr>
              <w:pStyle w:val="TableParagraph"/>
              <w:spacing w:before="19" w:line="252" w:lineRule="exact"/>
              <w:ind w:left="164" w:right="150" w:firstLine="218"/>
              <w:jc w:val="left"/>
              <w:rPr>
                <w:b/>
              </w:rPr>
            </w:pPr>
            <w:r>
              <w:rPr>
                <w:b/>
              </w:rPr>
              <w:t>FY 2012-13</w:t>
            </w:r>
          </w:p>
        </w:tc>
        <w:tc>
          <w:tcPr>
            <w:tcW w:w="1067" w:type="dxa"/>
            <w:shd w:val="clear" w:color="auto" w:fill="F7C9AC"/>
          </w:tcPr>
          <w:p w:rsidR="007C5447" w:rsidRDefault="00F6308C">
            <w:pPr>
              <w:pStyle w:val="TableParagraph"/>
              <w:spacing w:before="19" w:line="252" w:lineRule="exact"/>
              <w:ind w:left="163" w:right="153" w:firstLine="219"/>
              <w:jc w:val="left"/>
              <w:rPr>
                <w:b/>
              </w:rPr>
            </w:pPr>
            <w:r>
              <w:rPr>
                <w:b/>
              </w:rPr>
              <w:t>FY 2013-14</w:t>
            </w:r>
          </w:p>
        </w:tc>
        <w:tc>
          <w:tcPr>
            <w:tcW w:w="1066" w:type="dxa"/>
            <w:shd w:val="clear" w:color="auto" w:fill="F7C9AC"/>
          </w:tcPr>
          <w:p w:rsidR="007C5447" w:rsidRDefault="00F6308C">
            <w:pPr>
              <w:pStyle w:val="TableParagraph"/>
              <w:spacing w:before="19" w:line="252" w:lineRule="exact"/>
              <w:ind w:left="162" w:right="154" w:firstLine="218"/>
              <w:jc w:val="left"/>
              <w:rPr>
                <w:b/>
              </w:rPr>
            </w:pPr>
            <w:r>
              <w:rPr>
                <w:b/>
              </w:rPr>
              <w:t>FY 2014-15</w:t>
            </w:r>
          </w:p>
        </w:tc>
      </w:tr>
      <w:tr w:rsidR="007C5447">
        <w:trPr>
          <w:trHeight w:val="345"/>
        </w:trPr>
        <w:tc>
          <w:tcPr>
            <w:tcW w:w="3807" w:type="dxa"/>
          </w:tcPr>
          <w:p w:rsidR="007C5447" w:rsidRDefault="00F6308C">
            <w:pPr>
              <w:pStyle w:val="TableParagraph"/>
              <w:spacing w:before="44"/>
              <w:ind w:left="107"/>
              <w:jc w:val="left"/>
              <w:rPr>
                <w:b/>
              </w:rPr>
            </w:pPr>
            <w:r>
              <w:rPr>
                <w:b/>
              </w:rPr>
              <w:t>Opening</w:t>
            </w:r>
          </w:p>
        </w:tc>
        <w:tc>
          <w:tcPr>
            <w:tcW w:w="1064" w:type="dxa"/>
          </w:tcPr>
          <w:p w:rsidR="007C5447" w:rsidRDefault="00F6308C">
            <w:pPr>
              <w:pStyle w:val="TableParagraph"/>
              <w:spacing w:before="44"/>
              <w:ind w:right="99"/>
            </w:pPr>
            <w:r>
              <w:t>0</w:t>
            </w:r>
          </w:p>
        </w:tc>
        <w:tc>
          <w:tcPr>
            <w:tcW w:w="1066" w:type="dxa"/>
          </w:tcPr>
          <w:p w:rsidR="007C5447" w:rsidRDefault="00F6308C">
            <w:pPr>
              <w:pStyle w:val="TableParagraph"/>
              <w:spacing w:before="44"/>
              <w:ind w:right="94"/>
            </w:pPr>
            <w:r>
              <w:t>4145</w:t>
            </w:r>
          </w:p>
        </w:tc>
        <w:tc>
          <w:tcPr>
            <w:tcW w:w="1064" w:type="dxa"/>
          </w:tcPr>
          <w:p w:rsidR="007C5447" w:rsidRDefault="00F6308C">
            <w:pPr>
              <w:pStyle w:val="TableParagraph"/>
              <w:spacing w:before="44"/>
              <w:ind w:right="93"/>
            </w:pPr>
            <w:r>
              <w:t>13514</w:t>
            </w:r>
          </w:p>
        </w:tc>
        <w:tc>
          <w:tcPr>
            <w:tcW w:w="1067" w:type="dxa"/>
          </w:tcPr>
          <w:p w:rsidR="007C5447" w:rsidRDefault="00F6308C">
            <w:pPr>
              <w:pStyle w:val="TableParagraph"/>
              <w:spacing w:before="44"/>
              <w:ind w:right="96"/>
            </w:pPr>
            <w:r>
              <w:t>20270</w:t>
            </w:r>
          </w:p>
        </w:tc>
        <w:tc>
          <w:tcPr>
            <w:tcW w:w="1066" w:type="dxa"/>
          </w:tcPr>
          <w:p w:rsidR="007C5447" w:rsidRDefault="00F6308C">
            <w:pPr>
              <w:pStyle w:val="TableParagraph"/>
              <w:spacing w:before="44"/>
              <w:ind w:right="96"/>
            </w:pPr>
            <w:r>
              <w:t>25464</w:t>
            </w:r>
          </w:p>
        </w:tc>
      </w:tr>
      <w:tr w:rsidR="007C5447">
        <w:trPr>
          <w:trHeight w:val="534"/>
        </w:trPr>
        <w:tc>
          <w:tcPr>
            <w:tcW w:w="3807" w:type="dxa"/>
          </w:tcPr>
          <w:p w:rsidR="007C5447" w:rsidRDefault="00F6308C">
            <w:pPr>
              <w:pStyle w:val="TableParagraph"/>
              <w:spacing w:before="13" w:line="250" w:lineRule="atLeast"/>
              <w:ind w:left="107" w:right="334"/>
              <w:jc w:val="left"/>
            </w:pPr>
            <w:r>
              <w:t>Additions (Revenue Gap approved by Commission)</w:t>
            </w:r>
          </w:p>
        </w:tc>
        <w:tc>
          <w:tcPr>
            <w:tcW w:w="1064" w:type="dxa"/>
          </w:tcPr>
          <w:p w:rsidR="007C5447" w:rsidRDefault="00F6308C">
            <w:pPr>
              <w:pStyle w:val="TableParagraph"/>
              <w:spacing w:before="140"/>
              <w:ind w:right="97"/>
            </w:pPr>
            <w:r>
              <w:t>4050</w:t>
            </w:r>
          </w:p>
        </w:tc>
        <w:tc>
          <w:tcPr>
            <w:tcW w:w="1066" w:type="dxa"/>
          </w:tcPr>
          <w:p w:rsidR="007C5447" w:rsidRDefault="00F6308C">
            <w:pPr>
              <w:pStyle w:val="TableParagraph"/>
              <w:spacing w:before="140"/>
              <w:ind w:right="94"/>
            </w:pPr>
            <w:r>
              <w:t>8398</w:t>
            </w:r>
          </w:p>
        </w:tc>
        <w:tc>
          <w:tcPr>
            <w:tcW w:w="1064" w:type="dxa"/>
          </w:tcPr>
          <w:p w:rsidR="007C5447" w:rsidRDefault="00F6308C">
            <w:pPr>
              <w:pStyle w:val="TableParagraph"/>
              <w:spacing w:before="140"/>
              <w:ind w:right="93"/>
            </w:pPr>
            <w:r>
              <w:t>4898</w:t>
            </w:r>
          </w:p>
        </w:tc>
        <w:tc>
          <w:tcPr>
            <w:tcW w:w="1067" w:type="dxa"/>
          </w:tcPr>
          <w:p w:rsidR="007C5447" w:rsidRDefault="00F6308C">
            <w:pPr>
              <w:pStyle w:val="TableParagraph"/>
              <w:spacing w:before="140"/>
              <w:ind w:right="96"/>
            </w:pPr>
            <w:r>
              <w:t>3711</w:t>
            </w:r>
          </w:p>
        </w:tc>
        <w:tc>
          <w:tcPr>
            <w:tcW w:w="1066" w:type="dxa"/>
          </w:tcPr>
          <w:p w:rsidR="007C5447" w:rsidRDefault="00F6308C">
            <w:pPr>
              <w:pStyle w:val="TableParagraph"/>
              <w:spacing w:before="140"/>
              <w:ind w:right="99"/>
            </w:pPr>
            <w:r>
              <w:t>222</w:t>
            </w:r>
          </w:p>
        </w:tc>
      </w:tr>
      <w:tr w:rsidR="007C5447">
        <w:trPr>
          <w:trHeight w:val="345"/>
        </w:trPr>
        <w:tc>
          <w:tcPr>
            <w:tcW w:w="3807" w:type="dxa"/>
          </w:tcPr>
          <w:p w:rsidR="007C5447" w:rsidRDefault="00F6308C">
            <w:pPr>
              <w:pStyle w:val="TableParagraph"/>
              <w:spacing w:before="46"/>
              <w:ind w:left="107"/>
              <w:jc w:val="left"/>
            </w:pPr>
            <w:r>
              <w:t>Add: Interest Expenses</w:t>
            </w:r>
          </w:p>
        </w:tc>
        <w:tc>
          <w:tcPr>
            <w:tcW w:w="1064" w:type="dxa"/>
          </w:tcPr>
          <w:p w:rsidR="007C5447" w:rsidRDefault="00F6308C">
            <w:pPr>
              <w:pStyle w:val="TableParagraph"/>
              <w:spacing w:before="46"/>
              <w:ind w:right="99"/>
            </w:pPr>
            <w:r>
              <w:t>95</w:t>
            </w:r>
          </w:p>
        </w:tc>
        <w:tc>
          <w:tcPr>
            <w:tcW w:w="1066" w:type="dxa"/>
          </w:tcPr>
          <w:p w:rsidR="007C5447" w:rsidRDefault="00F6308C">
            <w:pPr>
              <w:pStyle w:val="TableParagraph"/>
              <w:spacing w:before="46"/>
              <w:ind w:right="97"/>
            </w:pPr>
            <w:r>
              <w:t>971</w:t>
            </w:r>
          </w:p>
        </w:tc>
        <w:tc>
          <w:tcPr>
            <w:tcW w:w="1064" w:type="dxa"/>
          </w:tcPr>
          <w:p w:rsidR="007C5447" w:rsidRDefault="00F6308C">
            <w:pPr>
              <w:pStyle w:val="TableParagraph"/>
              <w:spacing w:before="46"/>
              <w:ind w:right="93"/>
            </w:pPr>
            <w:r>
              <w:t>1858</w:t>
            </w:r>
          </w:p>
        </w:tc>
        <w:tc>
          <w:tcPr>
            <w:tcW w:w="1067" w:type="dxa"/>
          </w:tcPr>
          <w:p w:rsidR="007C5447" w:rsidRDefault="00F6308C">
            <w:pPr>
              <w:pStyle w:val="TableParagraph"/>
              <w:spacing w:before="46"/>
              <w:ind w:right="96"/>
            </w:pPr>
            <w:r>
              <w:t>2515</w:t>
            </w:r>
          </w:p>
        </w:tc>
        <w:tc>
          <w:tcPr>
            <w:tcW w:w="1066" w:type="dxa"/>
          </w:tcPr>
          <w:p w:rsidR="007C5447" w:rsidRDefault="007C5447">
            <w:pPr>
              <w:pStyle w:val="TableParagraph"/>
              <w:jc w:val="left"/>
            </w:pPr>
          </w:p>
        </w:tc>
      </w:tr>
      <w:tr w:rsidR="007C5447">
        <w:trPr>
          <w:trHeight w:val="345"/>
        </w:trPr>
        <w:tc>
          <w:tcPr>
            <w:tcW w:w="3807" w:type="dxa"/>
          </w:tcPr>
          <w:p w:rsidR="007C5447" w:rsidRDefault="00F6308C">
            <w:pPr>
              <w:pStyle w:val="TableParagraph"/>
              <w:spacing w:before="46"/>
              <w:ind w:left="107"/>
              <w:jc w:val="left"/>
            </w:pPr>
            <w:r>
              <w:t>Less: Amortised Regulatory Asset</w:t>
            </w:r>
          </w:p>
        </w:tc>
        <w:tc>
          <w:tcPr>
            <w:tcW w:w="1064" w:type="dxa"/>
          </w:tcPr>
          <w:p w:rsidR="007C5447" w:rsidRDefault="007C5447">
            <w:pPr>
              <w:pStyle w:val="TableParagraph"/>
              <w:jc w:val="left"/>
            </w:pPr>
          </w:p>
        </w:tc>
        <w:tc>
          <w:tcPr>
            <w:tcW w:w="1066" w:type="dxa"/>
          </w:tcPr>
          <w:p w:rsidR="007C5447" w:rsidRDefault="007C5447">
            <w:pPr>
              <w:pStyle w:val="TableParagraph"/>
              <w:jc w:val="left"/>
            </w:pPr>
          </w:p>
        </w:tc>
        <w:tc>
          <w:tcPr>
            <w:tcW w:w="1064" w:type="dxa"/>
          </w:tcPr>
          <w:p w:rsidR="007C5447" w:rsidRDefault="007C5447">
            <w:pPr>
              <w:pStyle w:val="TableParagraph"/>
              <w:jc w:val="left"/>
            </w:pPr>
          </w:p>
        </w:tc>
        <w:tc>
          <w:tcPr>
            <w:tcW w:w="1067" w:type="dxa"/>
          </w:tcPr>
          <w:p w:rsidR="007C5447" w:rsidRDefault="00F6308C">
            <w:pPr>
              <w:pStyle w:val="TableParagraph"/>
              <w:spacing w:before="46"/>
              <w:ind w:right="96"/>
            </w:pPr>
            <w:r>
              <w:t>1033</w:t>
            </w:r>
          </w:p>
        </w:tc>
        <w:tc>
          <w:tcPr>
            <w:tcW w:w="1066" w:type="dxa"/>
          </w:tcPr>
          <w:p w:rsidR="007C5447" w:rsidRDefault="00F6308C">
            <w:pPr>
              <w:pStyle w:val="TableParagraph"/>
              <w:spacing w:before="46"/>
              <w:ind w:right="96"/>
            </w:pPr>
            <w:r>
              <w:t>1033</w:t>
            </w:r>
          </w:p>
        </w:tc>
      </w:tr>
      <w:tr w:rsidR="007C5447">
        <w:trPr>
          <w:trHeight w:val="345"/>
        </w:trPr>
        <w:tc>
          <w:tcPr>
            <w:tcW w:w="3807" w:type="dxa"/>
          </w:tcPr>
          <w:p w:rsidR="007C5447" w:rsidRDefault="00F6308C">
            <w:pPr>
              <w:pStyle w:val="TableParagraph"/>
              <w:spacing w:before="46"/>
              <w:ind w:left="107"/>
              <w:jc w:val="left"/>
              <w:rPr>
                <w:b/>
              </w:rPr>
            </w:pPr>
            <w:r>
              <w:rPr>
                <w:b/>
              </w:rPr>
              <w:t>Closing</w:t>
            </w:r>
          </w:p>
        </w:tc>
        <w:tc>
          <w:tcPr>
            <w:tcW w:w="1064" w:type="dxa"/>
          </w:tcPr>
          <w:p w:rsidR="007C5447" w:rsidRDefault="00F6308C">
            <w:pPr>
              <w:pStyle w:val="TableParagraph"/>
              <w:spacing w:before="46"/>
              <w:ind w:right="97"/>
              <w:rPr>
                <w:b/>
              </w:rPr>
            </w:pPr>
            <w:r>
              <w:rPr>
                <w:b/>
              </w:rPr>
              <w:t>4145</w:t>
            </w:r>
          </w:p>
        </w:tc>
        <w:tc>
          <w:tcPr>
            <w:tcW w:w="1066" w:type="dxa"/>
          </w:tcPr>
          <w:p w:rsidR="007C5447" w:rsidRDefault="00F6308C">
            <w:pPr>
              <w:pStyle w:val="TableParagraph"/>
              <w:spacing w:before="46"/>
              <w:ind w:right="94"/>
              <w:rPr>
                <w:b/>
              </w:rPr>
            </w:pPr>
            <w:r>
              <w:rPr>
                <w:b/>
              </w:rPr>
              <w:t>13514</w:t>
            </w:r>
          </w:p>
        </w:tc>
        <w:tc>
          <w:tcPr>
            <w:tcW w:w="1064" w:type="dxa"/>
          </w:tcPr>
          <w:p w:rsidR="007C5447" w:rsidRDefault="00F6308C">
            <w:pPr>
              <w:pStyle w:val="TableParagraph"/>
              <w:spacing w:before="46"/>
              <w:ind w:right="93"/>
              <w:rPr>
                <w:b/>
              </w:rPr>
            </w:pPr>
            <w:r>
              <w:rPr>
                <w:b/>
              </w:rPr>
              <w:t>20270</w:t>
            </w:r>
          </w:p>
        </w:tc>
        <w:tc>
          <w:tcPr>
            <w:tcW w:w="1067" w:type="dxa"/>
          </w:tcPr>
          <w:p w:rsidR="007C5447" w:rsidRDefault="00F6308C">
            <w:pPr>
              <w:pStyle w:val="TableParagraph"/>
              <w:spacing w:before="46"/>
              <w:ind w:right="96"/>
              <w:rPr>
                <w:b/>
              </w:rPr>
            </w:pPr>
            <w:r>
              <w:rPr>
                <w:b/>
              </w:rPr>
              <w:t>25464</w:t>
            </w:r>
          </w:p>
        </w:tc>
        <w:tc>
          <w:tcPr>
            <w:tcW w:w="1066" w:type="dxa"/>
          </w:tcPr>
          <w:p w:rsidR="007C5447" w:rsidRDefault="00F6308C">
            <w:pPr>
              <w:pStyle w:val="TableParagraph"/>
              <w:spacing w:before="46"/>
              <w:ind w:right="96"/>
              <w:rPr>
                <w:b/>
              </w:rPr>
            </w:pPr>
            <w:r>
              <w:rPr>
                <w:b/>
              </w:rPr>
              <w:t>24652</w:t>
            </w:r>
          </w:p>
        </w:tc>
      </w:tr>
    </w:tbl>
    <w:p w:rsidR="007C5447" w:rsidRDefault="007C5447">
      <w:pPr>
        <w:pStyle w:val="BodyText"/>
        <w:rPr>
          <w:b/>
          <w:sz w:val="26"/>
        </w:rPr>
      </w:pPr>
    </w:p>
    <w:p w:rsidR="007C5447" w:rsidRDefault="007C5447">
      <w:pPr>
        <w:pStyle w:val="BodyText"/>
        <w:rPr>
          <w:b/>
          <w:sz w:val="26"/>
        </w:rPr>
      </w:pPr>
    </w:p>
    <w:p w:rsidR="007C5447" w:rsidRDefault="007C5447">
      <w:pPr>
        <w:pStyle w:val="BodyText"/>
        <w:rPr>
          <w:b/>
          <w:sz w:val="21"/>
        </w:rPr>
      </w:pPr>
    </w:p>
    <w:p w:rsidR="007C5447" w:rsidRDefault="00F6308C">
      <w:pPr>
        <w:ind w:left="1112"/>
        <w:rPr>
          <w:b/>
          <w:sz w:val="24"/>
        </w:rPr>
      </w:pPr>
      <w:r>
        <w:rPr>
          <w:b/>
          <w:sz w:val="24"/>
        </w:rPr>
        <w:t>Revision in Regulatory Assets</w:t>
      </w:r>
    </w:p>
    <w:p w:rsidR="007C5447" w:rsidRDefault="00F6308C">
      <w:pPr>
        <w:pStyle w:val="ListParagraph"/>
        <w:numPr>
          <w:ilvl w:val="2"/>
          <w:numId w:val="40"/>
        </w:numPr>
        <w:tabs>
          <w:tab w:val="left" w:pos="1113"/>
        </w:tabs>
        <w:spacing w:before="202" w:line="312" w:lineRule="auto"/>
        <w:ind w:left="1112" w:right="875"/>
        <w:jc w:val="both"/>
        <w:rPr>
          <w:sz w:val="24"/>
        </w:rPr>
      </w:pPr>
      <w:r>
        <w:rPr>
          <w:sz w:val="24"/>
        </w:rPr>
        <w:t>TANGEDCO submitted that in order to reduce the subsidy burden on the State exchequer post entering into UDAY scheme, it has proposed adjustment in Tariff for domestic consumers and no change in tariff for the remaining categor</w:t>
      </w:r>
      <w:r>
        <w:rPr>
          <w:sz w:val="24"/>
        </w:rPr>
        <w:t>ies of consumers.</w:t>
      </w:r>
    </w:p>
    <w:p w:rsidR="007C5447" w:rsidRDefault="007C5447">
      <w:pPr>
        <w:pStyle w:val="BodyText"/>
        <w:spacing w:before="10"/>
        <w:rPr>
          <w:sz w:val="20"/>
        </w:rPr>
      </w:pPr>
    </w:p>
    <w:p w:rsidR="007C5447" w:rsidRDefault="00F6308C">
      <w:pPr>
        <w:pStyle w:val="ListParagraph"/>
        <w:numPr>
          <w:ilvl w:val="2"/>
          <w:numId w:val="40"/>
        </w:numPr>
        <w:tabs>
          <w:tab w:val="left" w:pos="1113"/>
        </w:tabs>
        <w:spacing w:line="312" w:lineRule="auto"/>
        <w:ind w:left="1112" w:right="877"/>
        <w:jc w:val="both"/>
        <w:rPr>
          <w:sz w:val="24"/>
        </w:rPr>
      </w:pPr>
      <w:r>
        <w:rPr>
          <w:sz w:val="24"/>
        </w:rPr>
        <w:t>TANGEDCO submitted that the Revenue Gap of Rs. 66,873 Crore as shown below may be allowed to be deferred for recovery in the ensuing Years from the consumer based on subsequent Tariff</w:t>
      </w:r>
      <w:r>
        <w:rPr>
          <w:spacing w:val="-3"/>
          <w:sz w:val="24"/>
        </w:rPr>
        <w:t xml:space="preserve"> </w:t>
      </w:r>
      <w:r>
        <w:rPr>
          <w:sz w:val="24"/>
        </w:rPr>
        <w:t>Petitions.</w:t>
      </w:r>
    </w:p>
    <w:p w:rsidR="007C5447" w:rsidRDefault="007C5447">
      <w:pPr>
        <w:pStyle w:val="BodyText"/>
        <w:rPr>
          <w:sz w:val="21"/>
        </w:rPr>
      </w:pPr>
    </w:p>
    <w:p w:rsidR="007C5447" w:rsidRDefault="00F6308C">
      <w:pPr>
        <w:pStyle w:val="ListParagraph"/>
        <w:numPr>
          <w:ilvl w:val="2"/>
          <w:numId w:val="40"/>
        </w:numPr>
        <w:tabs>
          <w:tab w:val="left" w:pos="1113"/>
        </w:tabs>
        <w:spacing w:line="312" w:lineRule="auto"/>
        <w:ind w:left="1112" w:right="881"/>
        <w:jc w:val="both"/>
        <w:rPr>
          <w:sz w:val="24"/>
        </w:rPr>
      </w:pPr>
      <w:r>
        <w:rPr>
          <w:sz w:val="24"/>
        </w:rPr>
        <w:t>TANGEDCO submitted that the percentage of</w:t>
      </w:r>
      <w:r>
        <w:rPr>
          <w:sz w:val="24"/>
        </w:rPr>
        <w:t xml:space="preserve"> sharing of the Regulatory Assets by GoTN is</w:t>
      </w:r>
      <w:r>
        <w:rPr>
          <w:spacing w:val="-3"/>
          <w:sz w:val="24"/>
        </w:rPr>
        <w:t xml:space="preserve"> </w:t>
      </w:r>
      <w:r>
        <w:rPr>
          <w:sz w:val="24"/>
        </w:rPr>
        <w:t>awaited.</w:t>
      </w:r>
    </w:p>
    <w:p w:rsidR="007C5447" w:rsidRDefault="007C5447">
      <w:pPr>
        <w:pStyle w:val="BodyText"/>
        <w:spacing w:before="10"/>
        <w:rPr>
          <w:sz w:val="20"/>
        </w:rPr>
      </w:pPr>
    </w:p>
    <w:p w:rsidR="007C5447" w:rsidRDefault="00F6308C">
      <w:pPr>
        <w:pStyle w:val="ListParagraph"/>
        <w:numPr>
          <w:ilvl w:val="2"/>
          <w:numId w:val="40"/>
        </w:numPr>
        <w:tabs>
          <w:tab w:val="left" w:pos="1113"/>
        </w:tabs>
        <w:spacing w:line="312" w:lineRule="auto"/>
        <w:ind w:left="1112" w:right="875"/>
        <w:jc w:val="both"/>
        <w:rPr>
          <w:sz w:val="24"/>
        </w:rPr>
      </w:pPr>
      <w:r>
        <w:rPr>
          <w:sz w:val="24"/>
        </w:rPr>
        <w:t>Based on the total Revenue Gap, which is cumulative of Revenue Gap for FY 2011- 12 to FY 2015-16 (final true-up), FY 2016-17 (Revenue Gap for current year) and FY 2017-18 (Revenue Gap of ensuing year),</w:t>
      </w:r>
      <w:r>
        <w:rPr>
          <w:sz w:val="24"/>
        </w:rPr>
        <w:t xml:space="preserve"> TANGEDCO submitted the revised calculation of Regulatory Assets as shown in the Table</w:t>
      </w:r>
      <w:r>
        <w:rPr>
          <w:spacing w:val="-7"/>
          <w:sz w:val="24"/>
        </w:rPr>
        <w:t xml:space="preserve"> </w:t>
      </w:r>
      <w:r>
        <w:rPr>
          <w:sz w:val="24"/>
        </w:rPr>
        <w:t>below:</w:t>
      </w:r>
    </w:p>
    <w:p w:rsidR="007C5447" w:rsidRDefault="007C5447">
      <w:pPr>
        <w:pStyle w:val="BodyText"/>
        <w:spacing w:before="10"/>
        <w:rPr>
          <w:sz w:val="20"/>
        </w:rPr>
      </w:pPr>
    </w:p>
    <w:p w:rsidR="007C5447" w:rsidRDefault="00F6308C">
      <w:pPr>
        <w:pStyle w:val="Heading2"/>
        <w:ind w:left="1112"/>
      </w:pPr>
      <w:r>
        <w:t>Table 5-10: Regulatory Asset as submitted by TANGEDCO (Rs. Crore)</w:t>
      </w:r>
    </w:p>
    <w:p w:rsidR="007C5447" w:rsidRDefault="007C5447">
      <w:pPr>
        <w:pStyle w:val="BodyText"/>
        <w:spacing w:before="7"/>
        <w:rPr>
          <w:b/>
          <w:sz w:val="17"/>
        </w:rPr>
      </w:pPr>
    </w:p>
    <w:tbl>
      <w:tblPr>
        <w:tblW w:w="0" w:type="auto"/>
        <w:tblInd w:w="1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21"/>
        <w:gridCol w:w="2125"/>
      </w:tblGrid>
      <w:tr w:rsidR="007C5447">
        <w:trPr>
          <w:trHeight w:val="345"/>
        </w:trPr>
        <w:tc>
          <w:tcPr>
            <w:tcW w:w="4621" w:type="dxa"/>
            <w:shd w:val="clear" w:color="auto" w:fill="F7C9AC"/>
          </w:tcPr>
          <w:p w:rsidR="007C5447" w:rsidRDefault="00F6308C">
            <w:pPr>
              <w:pStyle w:val="TableParagraph"/>
              <w:spacing w:before="35"/>
              <w:ind w:left="1714" w:right="1710"/>
              <w:jc w:val="center"/>
              <w:rPr>
                <w:b/>
                <w:sz w:val="24"/>
              </w:rPr>
            </w:pPr>
            <w:r>
              <w:rPr>
                <w:b/>
                <w:sz w:val="24"/>
              </w:rPr>
              <w:t>Particulars</w:t>
            </w:r>
          </w:p>
        </w:tc>
        <w:tc>
          <w:tcPr>
            <w:tcW w:w="2125" w:type="dxa"/>
            <w:shd w:val="clear" w:color="auto" w:fill="F7C9AC"/>
          </w:tcPr>
          <w:p w:rsidR="007C5447" w:rsidRDefault="00F6308C">
            <w:pPr>
              <w:pStyle w:val="TableParagraph"/>
              <w:spacing w:before="35"/>
              <w:ind w:right="130"/>
              <w:rPr>
                <w:b/>
                <w:sz w:val="24"/>
              </w:rPr>
            </w:pPr>
            <w:r>
              <w:rPr>
                <w:b/>
                <w:sz w:val="24"/>
              </w:rPr>
              <w:t>Regulatory Assets</w:t>
            </w:r>
          </w:p>
        </w:tc>
      </w:tr>
      <w:tr w:rsidR="007C5447">
        <w:trPr>
          <w:trHeight w:val="345"/>
        </w:trPr>
        <w:tc>
          <w:tcPr>
            <w:tcW w:w="4621" w:type="dxa"/>
          </w:tcPr>
          <w:p w:rsidR="007C5447" w:rsidRDefault="00F6308C">
            <w:pPr>
              <w:pStyle w:val="TableParagraph"/>
              <w:spacing w:before="35"/>
              <w:ind w:left="107"/>
              <w:jc w:val="left"/>
              <w:rPr>
                <w:sz w:val="24"/>
              </w:rPr>
            </w:pPr>
            <w:r>
              <w:rPr>
                <w:sz w:val="24"/>
              </w:rPr>
              <w:t>FY 2011-12</w:t>
            </w:r>
          </w:p>
        </w:tc>
        <w:tc>
          <w:tcPr>
            <w:tcW w:w="2125" w:type="dxa"/>
          </w:tcPr>
          <w:p w:rsidR="007C5447" w:rsidRDefault="00F6308C">
            <w:pPr>
              <w:pStyle w:val="TableParagraph"/>
              <w:spacing w:before="35"/>
              <w:ind w:right="94"/>
              <w:rPr>
                <w:sz w:val="24"/>
              </w:rPr>
            </w:pPr>
            <w:r>
              <w:rPr>
                <w:sz w:val="24"/>
              </w:rPr>
              <w:t>13,591</w:t>
            </w:r>
          </w:p>
        </w:tc>
      </w:tr>
      <w:tr w:rsidR="007C5447">
        <w:trPr>
          <w:trHeight w:val="345"/>
        </w:trPr>
        <w:tc>
          <w:tcPr>
            <w:tcW w:w="4621" w:type="dxa"/>
          </w:tcPr>
          <w:p w:rsidR="007C5447" w:rsidRDefault="00F6308C">
            <w:pPr>
              <w:pStyle w:val="TableParagraph"/>
              <w:spacing w:before="32"/>
              <w:ind w:left="107"/>
              <w:jc w:val="left"/>
              <w:rPr>
                <w:sz w:val="24"/>
              </w:rPr>
            </w:pPr>
            <w:r>
              <w:rPr>
                <w:sz w:val="24"/>
              </w:rPr>
              <w:t>FY 2012-13</w:t>
            </w:r>
          </w:p>
        </w:tc>
        <w:tc>
          <w:tcPr>
            <w:tcW w:w="2125" w:type="dxa"/>
          </w:tcPr>
          <w:p w:rsidR="007C5447" w:rsidRDefault="00F6308C">
            <w:pPr>
              <w:pStyle w:val="TableParagraph"/>
              <w:spacing w:before="32"/>
              <w:ind w:right="94"/>
              <w:rPr>
                <w:sz w:val="24"/>
              </w:rPr>
            </w:pPr>
            <w:r>
              <w:rPr>
                <w:sz w:val="24"/>
              </w:rPr>
              <w:t>12,789</w:t>
            </w:r>
          </w:p>
        </w:tc>
      </w:tr>
      <w:tr w:rsidR="007C5447">
        <w:trPr>
          <w:trHeight w:val="345"/>
        </w:trPr>
        <w:tc>
          <w:tcPr>
            <w:tcW w:w="4621" w:type="dxa"/>
          </w:tcPr>
          <w:p w:rsidR="007C5447" w:rsidRDefault="00F6308C">
            <w:pPr>
              <w:pStyle w:val="TableParagraph"/>
              <w:spacing w:before="32"/>
              <w:ind w:left="107"/>
              <w:jc w:val="left"/>
              <w:rPr>
                <w:sz w:val="24"/>
              </w:rPr>
            </w:pPr>
            <w:r>
              <w:rPr>
                <w:sz w:val="24"/>
              </w:rPr>
              <w:t>FY 2013-14</w:t>
            </w:r>
          </w:p>
        </w:tc>
        <w:tc>
          <w:tcPr>
            <w:tcW w:w="2125" w:type="dxa"/>
          </w:tcPr>
          <w:p w:rsidR="007C5447" w:rsidRDefault="00F6308C">
            <w:pPr>
              <w:pStyle w:val="TableParagraph"/>
              <w:spacing w:before="32"/>
              <w:ind w:right="94"/>
              <w:rPr>
                <w:sz w:val="24"/>
              </w:rPr>
            </w:pPr>
            <w:r>
              <w:rPr>
                <w:sz w:val="24"/>
              </w:rPr>
              <w:t>13,809</w:t>
            </w:r>
          </w:p>
        </w:tc>
      </w:tr>
      <w:tr w:rsidR="007C5447">
        <w:trPr>
          <w:trHeight w:val="345"/>
        </w:trPr>
        <w:tc>
          <w:tcPr>
            <w:tcW w:w="4621" w:type="dxa"/>
          </w:tcPr>
          <w:p w:rsidR="007C5447" w:rsidRDefault="00F6308C">
            <w:pPr>
              <w:pStyle w:val="TableParagraph"/>
              <w:spacing w:before="32"/>
              <w:ind w:left="107"/>
              <w:jc w:val="left"/>
              <w:rPr>
                <w:sz w:val="24"/>
              </w:rPr>
            </w:pPr>
            <w:r>
              <w:rPr>
                <w:sz w:val="24"/>
              </w:rPr>
              <w:t>FY 2014-15</w:t>
            </w:r>
          </w:p>
        </w:tc>
        <w:tc>
          <w:tcPr>
            <w:tcW w:w="2125" w:type="dxa"/>
          </w:tcPr>
          <w:p w:rsidR="007C5447" w:rsidRDefault="00F6308C">
            <w:pPr>
              <w:pStyle w:val="TableParagraph"/>
              <w:spacing w:before="32"/>
              <w:ind w:right="94"/>
              <w:rPr>
                <w:sz w:val="24"/>
              </w:rPr>
            </w:pPr>
            <w:r>
              <w:rPr>
                <w:sz w:val="24"/>
              </w:rPr>
              <w:t>14,314</w:t>
            </w:r>
          </w:p>
        </w:tc>
      </w:tr>
      <w:tr w:rsidR="007C5447">
        <w:trPr>
          <w:trHeight w:val="345"/>
        </w:trPr>
        <w:tc>
          <w:tcPr>
            <w:tcW w:w="4621" w:type="dxa"/>
          </w:tcPr>
          <w:p w:rsidR="007C5447" w:rsidRDefault="00F6308C">
            <w:pPr>
              <w:pStyle w:val="TableParagraph"/>
              <w:spacing w:before="32"/>
              <w:ind w:left="107"/>
              <w:jc w:val="left"/>
              <w:rPr>
                <w:sz w:val="24"/>
              </w:rPr>
            </w:pPr>
            <w:r>
              <w:rPr>
                <w:sz w:val="24"/>
              </w:rPr>
              <w:t>FY 2015-16</w:t>
            </w:r>
          </w:p>
        </w:tc>
        <w:tc>
          <w:tcPr>
            <w:tcW w:w="2125" w:type="dxa"/>
          </w:tcPr>
          <w:p w:rsidR="007C5447" w:rsidRDefault="00F6308C">
            <w:pPr>
              <w:pStyle w:val="TableParagraph"/>
              <w:spacing w:before="32"/>
              <w:ind w:right="94"/>
              <w:rPr>
                <w:sz w:val="24"/>
              </w:rPr>
            </w:pPr>
            <w:r>
              <w:rPr>
                <w:sz w:val="24"/>
              </w:rPr>
              <w:t>7,491</w:t>
            </w:r>
          </w:p>
        </w:tc>
      </w:tr>
      <w:tr w:rsidR="007C5447">
        <w:trPr>
          <w:trHeight w:val="342"/>
        </w:trPr>
        <w:tc>
          <w:tcPr>
            <w:tcW w:w="4621" w:type="dxa"/>
          </w:tcPr>
          <w:p w:rsidR="007C5447" w:rsidRDefault="00F6308C">
            <w:pPr>
              <w:pStyle w:val="TableParagraph"/>
              <w:spacing w:before="32"/>
              <w:ind w:left="107"/>
              <w:jc w:val="left"/>
              <w:rPr>
                <w:sz w:val="24"/>
              </w:rPr>
            </w:pPr>
            <w:r>
              <w:rPr>
                <w:sz w:val="24"/>
              </w:rPr>
              <w:t>FY 2016-17</w:t>
            </w:r>
          </w:p>
        </w:tc>
        <w:tc>
          <w:tcPr>
            <w:tcW w:w="2125" w:type="dxa"/>
          </w:tcPr>
          <w:p w:rsidR="007C5447" w:rsidRDefault="00F6308C">
            <w:pPr>
              <w:pStyle w:val="TableParagraph"/>
              <w:spacing w:before="32"/>
              <w:ind w:right="94"/>
              <w:rPr>
                <w:sz w:val="24"/>
              </w:rPr>
            </w:pPr>
            <w:r>
              <w:rPr>
                <w:sz w:val="24"/>
              </w:rPr>
              <w:t>4,772</w:t>
            </w:r>
          </w:p>
        </w:tc>
      </w:tr>
      <w:tr w:rsidR="007C5447">
        <w:trPr>
          <w:trHeight w:val="347"/>
        </w:trPr>
        <w:tc>
          <w:tcPr>
            <w:tcW w:w="4621" w:type="dxa"/>
          </w:tcPr>
          <w:p w:rsidR="007C5447" w:rsidRDefault="00F6308C">
            <w:pPr>
              <w:pStyle w:val="TableParagraph"/>
              <w:spacing w:before="35"/>
              <w:ind w:left="107"/>
              <w:jc w:val="left"/>
              <w:rPr>
                <w:sz w:val="24"/>
              </w:rPr>
            </w:pPr>
            <w:r>
              <w:rPr>
                <w:sz w:val="24"/>
              </w:rPr>
              <w:t>FY 2017-18</w:t>
            </w:r>
          </w:p>
        </w:tc>
        <w:tc>
          <w:tcPr>
            <w:tcW w:w="2125" w:type="dxa"/>
          </w:tcPr>
          <w:p w:rsidR="007C5447" w:rsidRDefault="00F6308C">
            <w:pPr>
              <w:pStyle w:val="TableParagraph"/>
              <w:spacing w:before="35"/>
              <w:ind w:right="94"/>
              <w:rPr>
                <w:sz w:val="24"/>
              </w:rPr>
            </w:pPr>
            <w:r>
              <w:rPr>
                <w:sz w:val="24"/>
              </w:rPr>
              <w:t>107</w:t>
            </w:r>
          </w:p>
        </w:tc>
      </w:tr>
    </w:tbl>
    <w:p w:rsidR="007C5447" w:rsidRDefault="007C5447">
      <w:pPr>
        <w:rPr>
          <w:sz w:val="24"/>
        </w:rPr>
        <w:sectPr w:rsidR="007C5447">
          <w:pgSz w:w="11910" w:h="16840"/>
          <w:pgMar w:top="1360" w:right="560" w:bottom="1240" w:left="1180" w:header="0" w:footer="1057" w:gutter="0"/>
          <w:cols w:space="720"/>
        </w:sectPr>
      </w:pPr>
    </w:p>
    <w:tbl>
      <w:tblPr>
        <w:tblW w:w="0" w:type="auto"/>
        <w:tblInd w:w="1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21"/>
        <w:gridCol w:w="2125"/>
      </w:tblGrid>
      <w:tr w:rsidR="007C5447">
        <w:trPr>
          <w:trHeight w:val="345"/>
        </w:trPr>
        <w:tc>
          <w:tcPr>
            <w:tcW w:w="4621" w:type="dxa"/>
            <w:shd w:val="clear" w:color="auto" w:fill="F7C9AC"/>
          </w:tcPr>
          <w:p w:rsidR="007C5447" w:rsidRDefault="00F6308C">
            <w:pPr>
              <w:pStyle w:val="TableParagraph"/>
              <w:spacing w:before="35"/>
              <w:ind w:left="1714" w:right="1710"/>
              <w:jc w:val="center"/>
              <w:rPr>
                <w:b/>
                <w:sz w:val="24"/>
              </w:rPr>
            </w:pPr>
            <w:r>
              <w:rPr>
                <w:b/>
                <w:sz w:val="24"/>
              </w:rPr>
              <w:lastRenderedPageBreak/>
              <w:t>Particulars</w:t>
            </w:r>
          </w:p>
        </w:tc>
        <w:tc>
          <w:tcPr>
            <w:tcW w:w="2125" w:type="dxa"/>
            <w:shd w:val="clear" w:color="auto" w:fill="F7C9AC"/>
          </w:tcPr>
          <w:p w:rsidR="007C5447" w:rsidRDefault="00F6308C">
            <w:pPr>
              <w:pStyle w:val="TableParagraph"/>
              <w:spacing w:before="35"/>
              <w:ind w:right="130"/>
              <w:rPr>
                <w:b/>
                <w:sz w:val="24"/>
              </w:rPr>
            </w:pPr>
            <w:r>
              <w:rPr>
                <w:b/>
                <w:sz w:val="24"/>
              </w:rPr>
              <w:t>Regulatory Assets</w:t>
            </w:r>
          </w:p>
        </w:tc>
      </w:tr>
      <w:tr w:rsidR="007C5447">
        <w:trPr>
          <w:trHeight w:val="345"/>
        </w:trPr>
        <w:tc>
          <w:tcPr>
            <w:tcW w:w="4621" w:type="dxa"/>
          </w:tcPr>
          <w:p w:rsidR="007C5447" w:rsidRDefault="00F6308C">
            <w:pPr>
              <w:pStyle w:val="TableParagraph"/>
              <w:spacing w:before="32"/>
              <w:ind w:left="107"/>
              <w:jc w:val="left"/>
              <w:rPr>
                <w:sz w:val="24"/>
              </w:rPr>
            </w:pPr>
            <w:r>
              <w:rPr>
                <w:sz w:val="24"/>
              </w:rPr>
              <w:t>Total Gap Arrived in Petition</w:t>
            </w:r>
          </w:p>
        </w:tc>
        <w:tc>
          <w:tcPr>
            <w:tcW w:w="2125" w:type="dxa"/>
          </w:tcPr>
          <w:p w:rsidR="007C5447" w:rsidRDefault="00F6308C">
            <w:pPr>
              <w:pStyle w:val="TableParagraph"/>
              <w:spacing w:before="32"/>
              <w:ind w:right="94"/>
              <w:rPr>
                <w:sz w:val="24"/>
              </w:rPr>
            </w:pPr>
            <w:r>
              <w:rPr>
                <w:sz w:val="24"/>
              </w:rPr>
              <w:t>66,873</w:t>
            </w:r>
          </w:p>
        </w:tc>
      </w:tr>
      <w:tr w:rsidR="007C5447">
        <w:trPr>
          <w:trHeight w:val="580"/>
        </w:trPr>
        <w:tc>
          <w:tcPr>
            <w:tcW w:w="4621" w:type="dxa"/>
          </w:tcPr>
          <w:p w:rsidR="007C5447" w:rsidRDefault="00F6308C">
            <w:pPr>
              <w:pStyle w:val="TableParagraph"/>
              <w:spacing w:before="13" w:line="270" w:lineRule="atLeast"/>
              <w:ind w:left="107" w:right="584"/>
              <w:jc w:val="left"/>
              <w:rPr>
                <w:sz w:val="24"/>
              </w:rPr>
            </w:pPr>
            <w:r>
              <w:rPr>
                <w:sz w:val="24"/>
              </w:rPr>
              <w:t>Total Regulatory Asset Approved by the Commission</w:t>
            </w:r>
          </w:p>
        </w:tc>
        <w:tc>
          <w:tcPr>
            <w:tcW w:w="2125" w:type="dxa"/>
          </w:tcPr>
          <w:p w:rsidR="007C5447" w:rsidRDefault="00F6308C">
            <w:pPr>
              <w:pStyle w:val="TableParagraph"/>
              <w:spacing w:before="152"/>
              <w:ind w:right="94"/>
              <w:rPr>
                <w:sz w:val="24"/>
              </w:rPr>
            </w:pPr>
            <w:r>
              <w:rPr>
                <w:sz w:val="24"/>
              </w:rPr>
              <w:t>24,652</w:t>
            </w:r>
          </w:p>
        </w:tc>
      </w:tr>
      <w:tr w:rsidR="007C5447">
        <w:trPr>
          <w:trHeight w:val="345"/>
        </w:trPr>
        <w:tc>
          <w:tcPr>
            <w:tcW w:w="4621" w:type="dxa"/>
          </w:tcPr>
          <w:p w:rsidR="007C5447" w:rsidRDefault="00F6308C">
            <w:pPr>
              <w:pStyle w:val="TableParagraph"/>
              <w:spacing w:before="35"/>
              <w:ind w:left="107"/>
              <w:jc w:val="left"/>
              <w:rPr>
                <w:sz w:val="24"/>
              </w:rPr>
            </w:pPr>
            <w:r>
              <w:rPr>
                <w:sz w:val="24"/>
              </w:rPr>
              <w:t>Add: Tariff Reduction Proposed</w:t>
            </w:r>
          </w:p>
        </w:tc>
        <w:tc>
          <w:tcPr>
            <w:tcW w:w="2125" w:type="dxa"/>
          </w:tcPr>
          <w:p w:rsidR="007C5447" w:rsidRDefault="00F6308C">
            <w:pPr>
              <w:pStyle w:val="TableParagraph"/>
              <w:spacing w:before="35"/>
              <w:ind w:right="94"/>
              <w:rPr>
                <w:sz w:val="24"/>
              </w:rPr>
            </w:pPr>
            <w:r>
              <w:rPr>
                <w:sz w:val="24"/>
              </w:rPr>
              <w:t>2,503</w:t>
            </w:r>
          </w:p>
        </w:tc>
      </w:tr>
      <w:tr w:rsidR="007C5447">
        <w:trPr>
          <w:trHeight w:val="345"/>
        </w:trPr>
        <w:tc>
          <w:tcPr>
            <w:tcW w:w="4621" w:type="dxa"/>
          </w:tcPr>
          <w:p w:rsidR="007C5447" w:rsidRDefault="00F6308C">
            <w:pPr>
              <w:pStyle w:val="TableParagraph"/>
              <w:spacing w:before="35"/>
              <w:ind w:left="107"/>
              <w:jc w:val="left"/>
              <w:rPr>
                <w:sz w:val="24"/>
              </w:rPr>
            </w:pPr>
            <w:r>
              <w:rPr>
                <w:sz w:val="24"/>
              </w:rPr>
              <w:t>Additional Regulatory Asset Proposed</w:t>
            </w:r>
          </w:p>
        </w:tc>
        <w:tc>
          <w:tcPr>
            <w:tcW w:w="2125" w:type="dxa"/>
          </w:tcPr>
          <w:p w:rsidR="007C5447" w:rsidRDefault="00F6308C">
            <w:pPr>
              <w:pStyle w:val="TableParagraph"/>
              <w:spacing w:before="35"/>
              <w:ind w:right="94"/>
              <w:rPr>
                <w:sz w:val="24"/>
              </w:rPr>
            </w:pPr>
            <w:r>
              <w:rPr>
                <w:sz w:val="24"/>
              </w:rPr>
              <w:t>39,717</w:t>
            </w:r>
          </w:p>
        </w:tc>
      </w:tr>
      <w:tr w:rsidR="007C5447">
        <w:trPr>
          <w:trHeight w:val="345"/>
        </w:trPr>
        <w:tc>
          <w:tcPr>
            <w:tcW w:w="4621" w:type="dxa"/>
          </w:tcPr>
          <w:p w:rsidR="007C5447" w:rsidRDefault="00F6308C">
            <w:pPr>
              <w:pStyle w:val="TableParagraph"/>
              <w:spacing w:before="35"/>
              <w:ind w:left="107"/>
              <w:jc w:val="left"/>
              <w:rPr>
                <w:b/>
                <w:sz w:val="24"/>
              </w:rPr>
            </w:pPr>
            <w:r>
              <w:rPr>
                <w:b/>
                <w:sz w:val="24"/>
              </w:rPr>
              <w:t>Total Regulatory Asset Proposed</w:t>
            </w:r>
          </w:p>
        </w:tc>
        <w:tc>
          <w:tcPr>
            <w:tcW w:w="2125" w:type="dxa"/>
          </w:tcPr>
          <w:p w:rsidR="007C5447" w:rsidRDefault="00F6308C">
            <w:pPr>
              <w:pStyle w:val="TableParagraph"/>
              <w:spacing w:before="35"/>
              <w:ind w:right="94"/>
              <w:rPr>
                <w:b/>
                <w:sz w:val="24"/>
              </w:rPr>
            </w:pPr>
            <w:r>
              <w:rPr>
                <w:b/>
                <w:sz w:val="24"/>
              </w:rPr>
              <w:t>66,873</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1"/>
        <w:rPr>
          <w:b/>
          <w:sz w:val="25"/>
        </w:rPr>
      </w:pPr>
    </w:p>
    <w:p w:rsidR="007C5447" w:rsidRDefault="00F6308C">
      <w:pPr>
        <w:spacing w:before="90"/>
        <w:ind w:left="1112"/>
        <w:rPr>
          <w:b/>
          <w:sz w:val="24"/>
        </w:rPr>
      </w:pPr>
      <w:r>
        <w:rPr>
          <w:b/>
          <w:sz w:val="24"/>
        </w:rPr>
        <w:t>Commission’s Views</w:t>
      </w:r>
    </w:p>
    <w:p w:rsidR="007C5447" w:rsidRDefault="00F6308C">
      <w:pPr>
        <w:pStyle w:val="ListParagraph"/>
        <w:numPr>
          <w:ilvl w:val="2"/>
          <w:numId w:val="40"/>
        </w:numPr>
        <w:tabs>
          <w:tab w:val="left" w:pos="1113"/>
        </w:tabs>
        <w:spacing w:before="203" w:line="312" w:lineRule="auto"/>
        <w:ind w:left="1112" w:right="875"/>
        <w:jc w:val="both"/>
        <w:rPr>
          <w:sz w:val="24"/>
        </w:rPr>
      </w:pPr>
      <w:r>
        <w:rPr>
          <w:sz w:val="24"/>
        </w:rPr>
        <w:t xml:space="preserve">Firstly, TANGEDCO’s representation of the Regulatory Asset proposed, as reproduced in the Table above is incorrect, as TANGEDCO has neither sought tariff increase nor creation of Regulatory Asset against the additional Revenue Gap of Rs. 2503 crore for FY </w:t>
      </w:r>
      <w:r>
        <w:rPr>
          <w:sz w:val="24"/>
        </w:rPr>
        <w:t>2017-18, arising on account of the proposed reduction in domestic tariffs. The Regulatory Asset actually sought by TANGEDCO is Rs. 69376 crore (i.e., 66873 +</w:t>
      </w:r>
      <w:r>
        <w:rPr>
          <w:spacing w:val="-2"/>
          <w:sz w:val="24"/>
        </w:rPr>
        <w:t xml:space="preserve"> </w:t>
      </w:r>
      <w:r>
        <w:rPr>
          <w:sz w:val="24"/>
        </w:rPr>
        <w:t>2503).</w:t>
      </w:r>
    </w:p>
    <w:p w:rsidR="007C5447" w:rsidRDefault="007C5447">
      <w:pPr>
        <w:pStyle w:val="BodyText"/>
        <w:spacing w:before="10"/>
        <w:rPr>
          <w:sz w:val="20"/>
        </w:rPr>
      </w:pPr>
    </w:p>
    <w:p w:rsidR="007C5447" w:rsidRDefault="00F6308C">
      <w:pPr>
        <w:pStyle w:val="ListParagraph"/>
        <w:numPr>
          <w:ilvl w:val="2"/>
          <w:numId w:val="40"/>
        </w:numPr>
        <w:tabs>
          <w:tab w:val="left" w:pos="1113"/>
        </w:tabs>
        <w:spacing w:line="312" w:lineRule="auto"/>
        <w:ind w:left="1112" w:right="877"/>
        <w:jc w:val="both"/>
        <w:rPr>
          <w:sz w:val="24"/>
        </w:rPr>
      </w:pPr>
      <w:r>
        <w:rPr>
          <w:sz w:val="24"/>
        </w:rPr>
        <w:t>In the Suo-Motu Order dated December 11, 2014, the Commission had determined a gap of Rs. 4050 Crore, which was to be amortized over a period of time and GoTN had agreed for amortization of Regulatory Assets through Letter (Ms.) No. 59/C2/2012 dated June 7</w:t>
      </w:r>
      <w:r>
        <w:rPr>
          <w:sz w:val="24"/>
        </w:rPr>
        <w:t>, 2013 (in accordance with the financial restructuring of the State DISCOMs announced by GoI on October 5, 2012). Accordingly, GoTN was to take over 50% of TANGEDCO’s short-term liabilities to the tune of Rs. 6,382.68 Crore in a phased manner. The relevant</w:t>
      </w:r>
      <w:r>
        <w:rPr>
          <w:sz w:val="24"/>
        </w:rPr>
        <w:t xml:space="preserve"> abstract from the Suo-Moto Order is reproduced</w:t>
      </w:r>
      <w:r>
        <w:rPr>
          <w:spacing w:val="-1"/>
          <w:sz w:val="24"/>
        </w:rPr>
        <w:t xml:space="preserve"> </w:t>
      </w:r>
      <w:r>
        <w:rPr>
          <w:sz w:val="24"/>
        </w:rPr>
        <w:t>below:</w:t>
      </w:r>
    </w:p>
    <w:p w:rsidR="007C5447" w:rsidRDefault="007C5447">
      <w:pPr>
        <w:pStyle w:val="BodyText"/>
        <w:spacing w:before="10"/>
        <w:rPr>
          <w:sz w:val="20"/>
        </w:rPr>
      </w:pPr>
    </w:p>
    <w:p w:rsidR="007C5447" w:rsidRDefault="00F6308C">
      <w:pPr>
        <w:ind w:left="1700" w:right="1595"/>
        <w:jc w:val="both"/>
        <w:rPr>
          <w:i/>
          <w:sz w:val="24"/>
        </w:rPr>
      </w:pPr>
      <w:r>
        <w:rPr>
          <w:i/>
          <w:sz w:val="24"/>
        </w:rPr>
        <w:t xml:space="preserve">“5.11 In response to TANGEDCO’s letter on amortization of regulatory asset, GoTN has agreed for amortization of  regulatory asset through Letter (Ms.) No. 59/C2/2012 dated 7th June 2013. The relevant </w:t>
      </w:r>
      <w:r>
        <w:rPr>
          <w:i/>
          <w:sz w:val="24"/>
        </w:rPr>
        <w:t>extracts of the letter received from GoTN are reproduced below:</w:t>
      </w:r>
    </w:p>
    <w:p w:rsidR="007C5447" w:rsidRDefault="00F6308C">
      <w:pPr>
        <w:pStyle w:val="ListParagraph"/>
        <w:numPr>
          <w:ilvl w:val="0"/>
          <w:numId w:val="39"/>
        </w:numPr>
        <w:tabs>
          <w:tab w:val="left" w:pos="2061"/>
        </w:tabs>
        <w:spacing w:before="1" w:line="312" w:lineRule="auto"/>
        <w:ind w:right="879"/>
        <w:jc w:val="both"/>
        <w:rPr>
          <w:i/>
          <w:sz w:val="24"/>
        </w:rPr>
      </w:pPr>
      <w:r>
        <w:rPr>
          <w:i/>
          <w:sz w:val="24"/>
        </w:rPr>
        <w:t>GoTN has agreed to the financial restructuring of the state Discoms announced by GoI on 5th October 2012. Accordingly, GoTN will take over 50% of TANGEDCOs short term liabilities to the tune o</w:t>
      </w:r>
      <w:r>
        <w:rPr>
          <w:i/>
          <w:sz w:val="24"/>
        </w:rPr>
        <w:t>f Rs. 6,382.68 Crs in a phased</w:t>
      </w:r>
      <w:r>
        <w:rPr>
          <w:i/>
          <w:spacing w:val="-1"/>
          <w:sz w:val="24"/>
        </w:rPr>
        <w:t xml:space="preserve"> </w:t>
      </w:r>
      <w:r>
        <w:rPr>
          <w:i/>
          <w:sz w:val="24"/>
        </w:rPr>
        <w:t>manner.</w:t>
      </w:r>
    </w:p>
    <w:p w:rsidR="007C5447" w:rsidRDefault="00F6308C">
      <w:pPr>
        <w:pStyle w:val="ListParagraph"/>
        <w:numPr>
          <w:ilvl w:val="0"/>
          <w:numId w:val="39"/>
        </w:numPr>
        <w:tabs>
          <w:tab w:val="left" w:pos="2061"/>
        </w:tabs>
        <w:spacing w:before="120" w:line="312" w:lineRule="auto"/>
        <w:ind w:right="877"/>
        <w:jc w:val="both"/>
        <w:rPr>
          <w:i/>
          <w:sz w:val="24"/>
        </w:rPr>
      </w:pPr>
      <w:r>
        <w:rPr>
          <w:i/>
          <w:sz w:val="24"/>
        </w:rPr>
        <w:t xml:space="preserve">In GoTN annual budget for FY 2013-14, Rs. 3,000 Cr has been provided </w:t>
      </w:r>
      <w:r>
        <w:rPr>
          <w:i/>
          <w:sz w:val="24"/>
        </w:rPr>
        <w:t>for the takeover during the current financial year. The remaining  liabilities</w:t>
      </w:r>
      <w:r>
        <w:rPr>
          <w:i/>
          <w:spacing w:val="32"/>
          <w:sz w:val="24"/>
        </w:rPr>
        <w:t xml:space="preserve"> </w:t>
      </w:r>
      <w:r>
        <w:rPr>
          <w:i/>
          <w:sz w:val="24"/>
        </w:rPr>
        <w:t>would</w:t>
      </w:r>
      <w:r>
        <w:rPr>
          <w:i/>
          <w:spacing w:val="32"/>
          <w:sz w:val="24"/>
        </w:rPr>
        <w:t xml:space="preserve"> </w:t>
      </w:r>
      <w:r>
        <w:rPr>
          <w:i/>
          <w:sz w:val="24"/>
        </w:rPr>
        <w:t>continue</w:t>
      </w:r>
      <w:r>
        <w:rPr>
          <w:i/>
          <w:spacing w:val="32"/>
          <w:sz w:val="24"/>
        </w:rPr>
        <w:t xml:space="preserve"> </w:t>
      </w:r>
      <w:r>
        <w:rPr>
          <w:i/>
          <w:sz w:val="24"/>
        </w:rPr>
        <w:t>to</w:t>
      </w:r>
      <w:r>
        <w:rPr>
          <w:i/>
          <w:spacing w:val="32"/>
          <w:sz w:val="24"/>
        </w:rPr>
        <w:t xml:space="preserve"> </w:t>
      </w:r>
      <w:r>
        <w:rPr>
          <w:i/>
          <w:sz w:val="24"/>
        </w:rPr>
        <w:t>be</w:t>
      </w:r>
      <w:r>
        <w:rPr>
          <w:i/>
          <w:spacing w:val="34"/>
          <w:sz w:val="24"/>
        </w:rPr>
        <w:t xml:space="preserve"> </w:t>
      </w:r>
      <w:r>
        <w:rPr>
          <w:i/>
          <w:sz w:val="24"/>
        </w:rPr>
        <w:t>in</w:t>
      </w:r>
      <w:r>
        <w:rPr>
          <w:i/>
          <w:spacing w:val="32"/>
          <w:sz w:val="24"/>
        </w:rPr>
        <w:t xml:space="preserve"> </w:t>
      </w:r>
      <w:r>
        <w:rPr>
          <w:i/>
          <w:sz w:val="24"/>
        </w:rPr>
        <w:t>books</w:t>
      </w:r>
      <w:r>
        <w:rPr>
          <w:i/>
          <w:spacing w:val="33"/>
          <w:sz w:val="24"/>
        </w:rPr>
        <w:t xml:space="preserve"> </w:t>
      </w:r>
      <w:r>
        <w:rPr>
          <w:i/>
          <w:sz w:val="24"/>
        </w:rPr>
        <w:t>of</w:t>
      </w:r>
      <w:r>
        <w:rPr>
          <w:i/>
          <w:spacing w:val="35"/>
          <w:sz w:val="24"/>
        </w:rPr>
        <w:t xml:space="preserve"> </w:t>
      </w:r>
      <w:r>
        <w:rPr>
          <w:i/>
          <w:sz w:val="24"/>
        </w:rPr>
        <w:t>TANGEDCO</w:t>
      </w:r>
      <w:r>
        <w:rPr>
          <w:i/>
          <w:spacing w:val="32"/>
          <w:sz w:val="24"/>
        </w:rPr>
        <w:t xml:space="preserve"> </w:t>
      </w:r>
      <w:r>
        <w:rPr>
          <w:i/>
          <w:sz w:val="24"/>
        </w:rPr>
        <w:t>till</w:t>
      </w:r>
      <w:r>
        <w:rPr>
          <w:i/>
          <w:spacing w:val="33"/>
          <w:sz w:val="24"/>
        </w:rPr>
        <w:t xml:space="preserve"> </w:t>
      </w:r>
      <w:r>
        <w:rPr>
          <w:i/>
          <w:sz w:val="24"/>
        </w:rPr>
        <w:t>the</w:t>
      </w:r>
      <w:r>
        <w:rPr>
          <w:i/>
          <w:spacing w:val="32"/>
          <w:sz w:val="24"/>
        </w:rPr>
        <w:t xml:space="preserve"> </w:t>
      </w:r>
      <w:r>
        <w:rPr>
          <w:i/>
          <w:sz w:val="24"/>
        </w:rPr>
        <w:t>time</w:t>
      </w:r>
      <w:r>
        <w:rPr>
          <w:i/>
          <w:spacing w:val="33"/>
          <w:sz w:val="24"/>
        </w:rPr>
        <w:t xml:space="preserve"> </w:t>
      </w:r>
      <w:r>
        <w:rPr>
          <w:i/>
          <w:sz w:val="24"/>
        </w:rPr>
        <w:t>of</w:t>
      </w:r>
    </w:p>
    <w:p w:rsidR="007C5447" w:rsidRDefault="007C5447">
      <w:pPr>
        <w:spacing w:line="312" w:lineRule="auto"/>
        <w:jc w:val="both"/>
        <w:rPr>
          <w:sz w:val="24"/>
        </w:rPr>
        <w:sectPr w:rsidR="007C5447">
          <w:pgSz w:w="11910" w:h="16840"/>
          <w:pgMar w:top="1420" w:right="560" w:bottom="1240" w:left="1180" w:header="0" w:footer="1057" w:gutter="0"/>
          <w:cols w:space="720"/>
        </w:sectPr>
      </w:pPr>
    </w:p>
    <w:p w:rsidR="007C5447" w:rsidRDefault="00F6308C">
      <w:pPr>
        <w:spacing w:before="60" w:line="312" w:lineRule="auto"/>
        <w:ind w:left="2060" w:right="881"/>
        <w:rPr>
          <w:i/>
          <w:sz w:val="24"/>
        </w:rPr>
      </w:pPr>
      <w:r>
        <w:rPr>
          <w:i/>
          <w:sz w:val="24"/>
        </w:rPr>
        <w:lastRenderedPageBreak/>
        <w:t>eventual takeover. However, the interest on these liabilities will be paid by the GoTN.</w:t>
      </w:r>
    </w:p>
    <w:p w:rsidR="007C5447" w:rsidRDefault="00F6308C">
      <w:pPr>
        <w:pStyle w:val="ListParagraph"/>
        <w:numPr>
          <w:ilvl w:val="0"/>
          <w:numId w:val="39"/>
        </w:numPr>
        <w:tabs>
          <w:tab w:val="left" w:pos="2061"/>
        </w:tabs>
        <w:spacing w:before="121" w:line="312" w:lineRule="auto"/>
        <w:ind w:right="879"/>
        <w:jc w:val="both"/>
        <w:rPr>
          <w:i/>
          <w:sz w:val="24"/>
        </w:rPr>
      </w:pPr>
      <w:r>
        <w:rPr>
          <w:i/>
          <w:sz w:val="24"/>
        </w:rPr>
        <w:t>Keeping in v</w:t>
      </w:r>
      <w:r>
        <w:rPr>
          <w:i/>
          <w:sz w:val="24"/>
        </w:rPr>
        <w:t>iew, the financial restructuring plan and available audited accounts GoTN has proposed following approach for amortization of Regulatory</w:t>
      </w:r>
      <w:r>
        <w:rPr>
          <w:i/>
          <w:spacing w:val="-2"/>
          <w:sz w:val="24"/>
        </w:rPr>
        <w:t xml:space="preserve"> </w:t>
      </w:r>
      <w:r>
        <w:rPr>
          <w:i/>
          <w:sz w:val="24"/>
        </w:rPr>
        <w:t>Asset.</w:t>
      </w:r>
    </w:p>
    <w:p w:rsidR="007C5447" w:rsidRDefault="00F6308C">
      <w:pPr>
        <w:pStyle w:val="ListParagraph"/>
        <w:numPr>
          <w:ilvl w:val="1"/>
          <w:numId w:val="39"/>
        </w:numPr>
        <w:tabs>
          <w:tab w:val="left" w:pos="2781"/>
        </w:tabs>
        <w:spacing w:before="119" w:line="312" w:lineRule="auto"/>
        <w:ind w:right="875"/>
        <w:jc w:val="both"/>
        <w:rPr>
          <w:i/>
          <w:sz w:val="24"/>
        </w:rPr>
      </w:pPr>
      <w:r>
        <w:rPr>
          <w:i/>
          <w:sz w:val="24"/>
        </w:rPr>
        <w:t>As the audited accounts are available only for the year FY 2010- 11, the amortization may be carried out for the</w:t>
      </w:r>
      <w:r>
        <w:rPr>
          <w:i/>
          <w:sz w:val="24"/>
        </w:rPr>
        <w:t xml:space="preserve"> regulatory assets of the year for which audited accounts are available. For subsequent years, the regulatory assets would be reassessed for amortization as soon as audited accounts are</w:t>
      </w:r>
      <w:r>
        <w:rPr>
          <w:i/>
          <w:spacing w:val="-2"/>
          <w:sz w:val="24"/>
        </w:rPr>
        <w:t xml:space="preserve"> </w:t>
      </w:r>
      <w:r>
        <w:rPr>
          <w:i/>
          <w:sz w:val="24"/>
        </w:rPr>
        <w:t>available.</w:t>
      </w:r>
    </w:p>
    <w:p w:rsidR="007C5447" w:rsidRDefault="00F6308C">
      <w:pPr>
        <w:pStyle w:val="ListParagraph"/>
        <w:numPr>
          <w:ilvl w:val="1"/>
          <w:numId w:val="39"/>
        </w:numPr>
        <w:tabs>
          <w:tab w:val="left" w:pos="2781"/>
        </w:tabs>
        <w:spacing w:before="122" w:line="312" w:lineRule="auto"/>
        <w:ind w:right="878" w:hanging="555"/>
        <w:jc w:val="both"/>
        <w:rPr>
          <w:i/>
          <w:sz w:val="24"/>
        </w:rPr>
      </w:pPr>
      <w:r>
        <w:rPr>
          <w:i/>
          <w:sz w:val="24"/>
        </w:rPr>
        <w:t>The carrying cost of the Regulatory Assets can be linked to the actual cost of cash loss financing after the financial restructuring. At present it is 11%. Hence, the same interest rate may be taken as carrying</w:t>
      </w:r>
      <w:r>
        <w:rPr>
          <w:i/>
          <w:spacing w:val="-1"/>
          <w:sz w:val="24"/>
        </w:rPr>
        <w:t xml:space="preserve"> </w:t>
      </w:r>
      <w:r>
        <w:rPr>
          <w:i/>
          <w:sz w:val="24"/>
        </w:rPr>
        <w:t>cost.</w:t>
      </w:r>
    </w:p>
    <w:p w:rsidR="007C5447" w:rsidRDefault="00F6308C">
      <w:pPr>
        <w:pStyle w:val="ListParagraph"/>
        <w:numPr>
          <w:ilvl w:val="1"/>
          <w:numId w:val="39"/>
        </w:numPr>
        <w:tabs>
          <w:tab w:val="left" w:pos="2781"/>
        </w:tabs>
        <w:spacing w:before="120" w:line="312" w:lineRule="auto"/>
        <w:ind w:right="878" w:hanging="620"/>
        <w:jc w:val="both"/>
        <w:rPr>
          <w:i/>
          <w:sz w:val="24"/>
        </w:rPr>
      </w:pPr>
      <w:r>
        <w:rPr>
          <w:i/>
          <w:sz w:val="24"/>
        </w:rPr>
        <w:t>Since the GoTN is already taking over R</w:t>
      </w:r>
      <w:r>
        <w:rPr>
          <w:i/>
          <w:sz w:val="24"/>
        </w:rPr>
        <w:t>s. 6,382.68 Cr of short term liabilities of TANGEDCO, part of this amount may be accounted for amortization to the extent of 1/4th of the remaining regulatory assets as per the audited accounts of FY 2010-11.</w:t>
      </w:r>
    </w:p>
    <w:p w:rsidR="007C5447" w:rsidRDefault="00F6308C">
      <w:pPr>
        <w:pStyle w:val="ListParagraph"/>
        <w:numPr>
          <w:ilvl w:val="1"/>
          <w:numId w:val="39"/>
        </w:numPr>
        <w:tabs>
          <w:tab w:val="left" w:pos="2781"/>
        </w:tabs>
        <w:spacing w:before="120" w:line="312" w:lineRule="auto"/>
        <w:ind w:right="878" w:hanging="594"/>
        <w:jc w:val="both"/>
        <w:rPr>
          <w:i/>
          <w:sz w:val="24"/>
        </w:rPr>
      </w:pPr>
      <w:r>
        <w:rPr>
          <w:i/>
          <w:sz w:val="24"/>
        </w:rPr>
        <w:t>The balance amount can be adjusted towards amor</w:t>
      </w:r>
      <w:r>
        <w:rPr>
          <w:i/>
          <w:sz w:val="24"/>
        </w:rPr>
        <w:t>tization of the regulatory assets in subsequent</w:t>
      </w:r>
      <w:r>
        <w:rPr>
          <w:i/>
          <w:spacing w:val="-2"/>
          <w:sz w:val="24"/>
        </w:rPr>
        <w:t xml:space="preserve"> </w:t>
      </w:r>
      <w:r>
        <w:rPr>
          <w:i/>
          <w:sz w:val="24"/>
        </w:rPr>
        <w:t>years.</w:t>
      </w:r>
    </w:p>
    <w:p w:rsidR="007C5447" w:rsidRDefault="00F6308C">
      <w:pPr>
        <w:pStyle w:val="ListParagraph"/>
        <w:numPr>
          <w:ilvl w:val="1"/>
          <w:numId w:val="39"/>
        </w:numPr>
        <w:tabs>
          <w:tab w:val="left" w:pos="2781"/>
        </w:tabs>
        <w:spacing w:before="120" w:line="312" w:lineRule="auto"/>
        <w:ind w:right="879" w:hanging="527"/>
        <w:jc w:val="both"/>
        <w:rPr>
          <w:i/>
          <w:sz w:val="24"/>
        </w:rPr>
      </w:pPr>
      <w:r>
        <w:rPr>
          <w:i/>
          <w:sz w:val="24"/>
        </w:rPr>
        <w:t>Since the GoTN is also paying interest on the balance amount, the carrying cost of such amount can be discounted in arriving at the regulatory assets in subsequent</w:t>
      </w:r>
      <w:r>
        <w:rPr>
          <w:i/>
          <w:spacing w:val="-2"/>
          <w:sz w:val="24"/>
        </w:rPr>
        <w:t xml:space="preserve"> </w:t>
      </w:r>
      <w:r>
        <w:rPr>
          <w:i/>
          <w:sz w:val="24"/>
        </w:rPr>
        <w:t>years.</w:t>
      </w:r>
    </w:p>
    <w:p w:rsidR="007C5447" w:rsidRDefault="00F6308C">
      <w:pPr>
        <w:pStyle w:val="ListParagraph"/>
        <w:numPr>
          <w:ilvl w:val="1"/>
          <w:numId w:val="39"/>
        </w:numPr>
        <w:tabs>
          <w:tab w:val="left" w:pos="2781"/>
        </w:tabs>
        <w:spacing w:before="119" w:line="312" w:lineRule="auto"/>
        <w:ind w:right="876" w:hanging="594"/>
        <w:jc w:val="both"/>
        <w:rPr>
          <w:i/>
          <w:sz w:val="24"/>
        </w:rPr>
      </w:pPr>
      <w:r>
        <w:rPr>
          <w:i/>
          <w:sz w:val="24"/>
        </w:rPr>
        <w:t>The GoTN has in-principle agre</w:t>
      </w:r>
      <w:r>
        <w:rPr>
          <w:i/>
          <w:sz w:val="24"/>
        </w:rPr>
        <w:t>ed to amortisation of Regulatory Assets. The details are to be worked out in conjunction with tariff revision.</w:t>
      </w:r>
    </w:p>
    <w:p w:rsidR="007C5447" w:rsidRDefault="007C5447">
      <w:pPr>
        <w:pStyle w:val="BodyText"/>
        <w:rPr>
          <w:i/>
          <w:sz w:val="21"/>
        </w:rPr>
      </w:pPr>
    </w:p>
    <w:p w:rsidR="007C5447" w:rsidRDefault="00F6308C">
      <w:pPr>
        <w:ind w:left="1700" w:right="1597"/>
        <w:jc w:val="both"/>
        <w:rPr>
          <w:i/>
          <w:sz w:val="24"/>
        </w:rPr>
      </w:pPr>
      <w:r>
        <w:rPr>
          <w:i/>
          <w:sz w:val="24"/>
        </w:rPr>
        <w:t>5.12 Commission considering the letter received from GoTN has estimated the Regulatory Asset pertaining to FY 2010-11 at a carrying cost of 11%.</w:t>
      </w:r>
      <w:r>
        <w:rPr>
          <w:i/>
          <w:sz w:val="24"/>
        </w:rPr>
        <w:t xml:space="preserve"> Commission has then amortized 1/4th of the estimated Regulatory Asset pertaining to FY 2010-11 in this year.”</w:t>
      </w:r>
    </w:p>
    <w:p w:rsidR="007C5447" w:rsidRDefault="00F6308C">
      <w:pPr>
        <w:pStyle w:val="ListParagraph"/>
        <w:numPr>
          <w:ilvl w:val="2"/>
          <w:numId w:val="40"/>
        </w:numPr>
        <w:tabs>
          <w:tab w:val="left" w:pos="1113"/>
        </w:tabs>
        <w:spacing w:before="106" w:line="312" w:lineRule="auto"/>
        <w:ind w:left="1112" w:right="878"/>
        <w:jc w:val="both"/>
        <w:rPr>
          <w:sz w:val="24"/>
        </w:rPr>
      </w:pPr>
      <w:r>
        <w:rPr>
          <w:sz w:val="24"/>
        </w:rPr>
        <w:t>Based on the letter received from GoTN, the Commission amortized 1/4</w:t>
      </w:r>
      <w:r>
        <w:rPr>
          <w:position w:val="9"/>
          <w:sz w:val="16"/>
        </w:rPr>
        <w:t xml:space="preserve">th </w:t>
      </w:r>
      <w:r>
        <w:rPr>
          <w:sz w:val="24"/>
        </w:rPr>
        <w:t>of the gap for FY 2010-11 (amounting to Rs. 5,166.47 Crore after consideri</w:t>
      </w:r>
      <w:r>
        <w:rPr>
          <w:sz w:val="24"/>
        </w:rPr>
        <w:t>ng carrying cost upto FY 2013-14) in FY 2013-14. Following the same approach, the Commission has amortized the entire gap of FY 2010-11 by FY 2016-17. As GoTN had agreed to bear</w:t>
      </w:r>
      <w:r>
        <w:rPr>
          <w:spacing w:val="10"/>
          <w:sz w:val="24"/>
        </w:rPr>
        <w:t xml:space="preserve"> </w:t>
      </w:r>
      <w:r>
        <w:rPr>
          <w:sz w:val="24"/>
        </w:rPr>
        <w:t>the</w:t>
      </w:r>
      <w:r>
        <w:rPr>
          <w:spacing w:val="10"/>
          <w:sz w:val="24"/>
        </w:rPr>
        <w:t xml:space="preserve"> </w:t>
      </w:r>
      <w:r>
        <w:rPr>
          <w:sz w:val="24"/>
        </w:rPr>
        <w:t>burden</w:t>
      </w:r>
      <w:r>
        <w:rPr>
          <w:spacing w:val="10"/>
          <w:sz w:val="24"/>
        </w:rPr>
        <w:t xml:space="preserve"> </w:t>
      </w:r>
      <w:r>
        <w:rPr>
          <w:sz w:val="24"/>
        </w:rPr>
        <w:t>of</w:t>
      </w:r>
      <w:r>
        <w:rPr>
          <w:spacing w:val="10"/>
          <w:sz w:val="24"/>
        </w:rPr>
        <w:t xml:space="preserve"> </w:t>
      </w:r>
      <w:r>
        <w:rPr>
          <w:sz w:val="24"/>
        </w:rPr>
        <w:t>interest</w:t>
      </w:r>
      <w:r>
        <w:rPr>
          <w:spacing w:val="11"/>
          <w:sz w:val="24"/>
        </w:rPr>
        <w:t xml:space="preserve"> </w:t>
      </w:r>
      <w:r>
        <w:rPr>
          <w:sz w:val="24"/>
        </w:rPr>
        <w:t>on</w:t>
      </w:r>
      <w:r>
        <w:rPr>
          <w:spacing w:val="10"/>
          <w:sz w:val="24"/>
        </w:rPr>
        <w:t xml:space="preserve"> </w:t>
      </w:r>
      <w:r>
        <w:rPr>
          <w:sz w:val="24"/>
        </w:rPr>
        <w:t>the</w:t>
      </w:r>
      <w:r>
        <w:rPr>
          <w:spacing w:val="11"/>
          <w:sz w:val="24"/>
        </w:rPr>
        <w:t xml:space="preserve"> </w:t>
      </w:r>
      <w:r>
        <w:rPr>
          <w:sz w:val="24"/>
        </w:rPr>
        <w:t>amortized</w:t>
      </w:r>
      <w:r>
        <w:rPr>
          <w:spacing w:val="10"/>
          <w:sz w:val="24"/>
        </w:rPr>
        <w:t xml:space="preserve"> </w:t>
      </w:r>
      <w:r>
        <w:rPr>
          <w:sz w:val="24"/>
        </w:rPr>
        <w:t>amount,</w:t>
      </w:r>
      <w:r>
        <w:rPr>
          <w:spacing w:val="10"/>
          <w:sz w:val="24"/>
        </w:rPr>
        <w:t xml:space="preserve"> </w:t>
      </w:r>
      <w:r>
        <w:rPr>
          <w:sz w:val="24"/>
        </w:rPr>
        <w:t>the</w:t>
      </w:r>
      <w:r>
        <w:rPr>
          <w:spacing w:val="10"/>
          <w:sz w:val="24"/>
        </w:rPr>
        <w:t xml:space="preserve"> </w:t>
      </w:r>
      <w:r>
        <w:rPr>
          <w:sz w:val="24"/>
        </w:rPr>
        <w:t>Commission</w:t>
      </w:r>
      <w:r>
        <w:rPr>
          <w:spacing w:val="8"/>
          <w:sz w:val="24"/>
        </w:rPr>
        <w:t xml:space="preserve"> </w:t>
      </w:r>
      <w:r>
        <w:rPr>
          <w:sz w:val="24"/>
        </w:rPr>
        <w:t>is</w:t>
      </w:r>
      <w:r>
        <w:rPr>
          <w:spacing w:val="11"/>
          <w:sz w:val="24"/>
        </w:rPr>
        <w:t xml:space="preserve"> </w:t>
      </w:r>
      <w:r>
        <w:rPr>
          <w:sz w:val="24"/>
        </w:rPr>
        <w:t>of</w:t>
      </w:r>
      <w:r>
        <w:rPr>
          <w:spacing w:val="10"/>
          <w:sz w:val="24"/>
        </w:rPr>
        <w:t xml:space="preserve"> </w:t>
      </w:r>
      <w:r>
        <w:rPr>
          <w:sz w:val="24"/>
        </w:rPr>
        <w:t>the</w:t>
      </w:r>
      <w:r>
        <w:rPr>
          <w:spacing w:val="11"/>
          <w:sz w:val="24"/>
        </w:rPr>
        <w:t xml:space="preserve"> </w:t>
      </w:r>
      <w:r>
        <w:rPr>
          <w:sz w:val="24"/>
        </w:rPr>
        <w:t>view</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BodyText"/>
        <w:spacing w:before="60" w:line="312" w:lineRule="auto"/>
        <w:ind w:left="1112" w:right="916"/>
      </w:pPr>
      <w:r>
        <w:lastRenderedPageBreak/>
        <w:t>that it would be beneficial to address the gap at the earliest in order to minimise the burden of interest on GoTN.</w:t>
      </w:r>
    </w:p>
    <w:p w:rsidR="007C5447" w:rsidRDefault="007C5447">
      <w:pPr>
        <w:pStyle w:val="BodyText"/>
        <w:spacing w:before="11"/>
        <w:rPr>
          <w:sz w:val="20"/>
        </w:rPr>
      </w:pPr>
    </w:p>
    <w:p w:rsidR="007C5447" w:rsidRDefault="00F6308C">
      <w:pPr>
        <w:pStyle w:val="Heading2"/>
        <w:spacing w:line="312" w:lineRule="auto"/>
        <w:ind w:left="3889" w:right="1025" w:hanging="2751"/>
      </w:pPr>
      <w:r>
        <w:t>Table 5-11: Amortization of Gap pertaining to FY 2010-11 as approved by the Commission (Rs. Crore)</w:t>
      </w:r>
    </w:p>
    <w:p w:rsidR="007C5447" w:rsidRDefault="007C5447">
      <w:pPr>
        <w:pStyle w:val="BodyText"/>
        <w:spacing w:before="6"/>
        <w:rPr>
          <w:b/>
          <w:sz w:val="10"/>
        </w:rPr>
      </w:pP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1"/>
        <w:gridCol w:w="2837"/>
        <w:gridCol w:w="864"/>
        <w:gridCol w:w="859"/>
        <w:gridCol w:w="857"/>
        <w:gridCol w:w="859"/>
        <w:gridCol w:w="857"/>
        <w:gridCol w:w="823"/>
        <w:gridCol w:w="895"/>
      </w:tblGrid>
      <w:tr w:rsidR="007C5447">
        <w:trPr>
          <w:trHeight w:val="366"/>
        </w:trPr>
        <w:tc>
          <w:tcPr>
            <w:tcW w:w="391" w:type="dxa"/>
            <w:shd w:val="clear" w:color="auto" w:fill="F7C9AC"/>
          </w:tcPr>
          <w:p w:rsidR="007C5447" w:rsidRDefault="00F6308C">
            <w:pPr>
              <w:pStyle w:val="TableParagraph"/>
              <w:spacing w:before="93"/>
              <w:ind w:left="107"/>
              <w:jc w:val="left"/>
              <w:rPr>
                <w:b/>
                <w:sz w:val="16"/>
              </w:rPr>
            </w:pPr>
            <w:r>
              <w:rPr>
                <w:b/>
                <w:sz w:val="16"/>
              </w:rPr>
              <w:t>Sl.</w:t>
            </w:r>
          </w:p>
        </w:tc>
        <w:tc>
          <w:tcPr>
            <w:tcW w:w="2837" w:type="dxa"/>
            <w:shd w:val="clear" w:color="auto" w:fill="F7C9AC"/>
          </w:tcPr>
          <w:p w:rsidR="007C5447" w:rsidRDefault="00F6308C">
            <w:pPr>
              <w:pStyle w:val="TableParagraph"/>
              <w:spacing w:before="93"/>
              <w:ind w:left="1014" w:right="1008"/>
              <w:jc w:val="center"/>
              <w:rPr>
                <w:b/>
                <w:sz w:val="16"/>
              </w:rPr>
            </w:pPr>
            <w:r>
              <w:rPr>
                <w:b/>
                <w:sz w:val="16"/>
              </w:rPr>
              <w:t>Particulars</w:t>
            </w:r>
          </w:p>
        </w:tc>
        <w:tc>
          <w:tcPr>
            <w:tcW w:w="864" w:type="dxa"/>
            <w:shd w:val="clear" w:color="auto" w:fill="F7C9AC"/>
          </w:tcPr>
          <w:p w:rsidR="007C5447" w:rsidRDefault="00F6308C">
            <w:pPr>
              <w:pStyle w:val="TableParagraph"/>
              <w:spacing w:before="1" w:line="183" w:lineRule="exact"/>
              <w:ind w:left="101" w:right="85"/>
              <w:jc w:val="center"/>
              <w:rPr>
                <w:b/>
                <w:sz w:val="16"/>
              </w:rPr>
            </w:pPr>
            <w:r>
              <w:rPr>
                <w:b/>
                <w:sz w:val="16"/>
              </w:rPr>
              <w:t>FY 2010-</w:t>
            </w:r>
          </w:p>
          <w:p w:rsidR="007C5447" w:rsidRDefault="00F6308C">
            <w:pPr>
              <w:pStyle w:val="TableParagraph"/>
              <w:spacing w:line="162" w:lineRule="exact"/>
              <w:ind w:left="100" w:right="85"/>
              <w:jc w:val="center"/>
              <w:rPr>
                <w:b/>
                <w:sz w:val="16"/>
              </w:rPr>
            </w:pPr>
            <w:r>
              <w:rPr>
                <w:b/>
                <w:sz w:val="16"/>
              </w:rPr>
              <w:t>11</w:t>
            </w:r>
          </w:p>
        </w:tc>
        <w:tc>
          <w:tcPr>
            <w:tcW w:w="859" w:type="dxa"/>
            <w:shd w:val="clear" w:color="auto" w:fill="F7C9AC"/>
          </w:tcPr>
          <w:p w:rsidR="007C5447" w:rsidRDefault="00F6308C">
            <w:pPr>
              <w:pStyle w:val="TableParagraph"/>
              <w:spacing w:before="1" w:line="183" w:lineRule="exact"/>
              <w:ind w:left="96" w:right="85"/>
              <w:jc w:val="center"/>
              <w:rPr>
                <w:b/>
                <w:sz w:val="16"/>
              </w:rPr>
            </w:pPr>
            <w:r>
              <w:rPr>
                <w:b/>
                <w:sz w:val="16"/>
              </w:rPr>
              <w:t>FY 2011-</w:t>
            </w:r>
          </w:p>
          <w:p w:rsidR="007C5447" w:rsidRDefault="00F6308C">
            <w:pPr>
              <w:pStyle w:val="TableParagraph"/>
              <w:spacing w:line="162" w:lineRule="exact"/>
              <w:ind w:left="95" w:right="85"/>
              <w:jc w:val="center"/>
              <w:rPr>
                <w:b/>
                <w:sz w:val="16"/>
              </w:rPr>
            </w:pPr>
            <w:r>
              <w:rPr>
                <w:b/>
                <w:sz w:val="16"/>
              </w:rPr>
              <w:t>12</w:t>
            </w:r>
          </w:p>
        </w:tc>
        <w:tc>
          <w:tcPr>
            <w:tcW w:w="857" w:type="dxa"/>
            <w:shd w:val="clear" w:color="auto" w:fill="F7C9AC"/>
          </w:tcPr>
          <w:p w:rsidR="007C5447" w:rsidRDefault="00F6308C">
            <w:pPr>
              <w:pStyle w:val="TableParagraph"/>
              <w:spacing w:before="1" w:line="183" w:lineRule="exact"/>
              <w:ind w:left="97" w:right="83"/>
              <w:jc w:val="center"/>
              <w:rPr>
                <w:b/>
                <w:sz w:val="16"/>
              </w:rPr>
            </w:pPr>
            <w:r>
              <w:rPr>
                <w:b/>
                <w:sz w:val="16"/>
              </w:rPr>
              <w:t>FY 2012-</w:t>
            </w:r>
          </w:p>
          <w:p w:rsidR="007C5447" w:rsidRDefault="00F6308C">
            <w:pPr>
              <w:pStyle w:val="TableParagraph"/>
              <w:spacing w:line="162" w:lineRule="exact"/>
              <w:ind w:left="97" w:right="83"/>
              <w:jc w:val="center"/>
              <w:rPr>
                <w:b/>
                <w:sz w:val="16"/>
              </w:rPr>
            </w:pPr>
            <w:r>
              <w:rPr>
                <w:b/>
                <w:sz w:val="16"/>
              </w:rPr>
              <w:t>13</w:t>
            </w:r>
          </w:p>
        </w:tc>
        <w:tc>
          <w:tcPr>
            <w:tcW w:w="859" w:type="dxa"/>
            <w:shd w:val="clear" w:color="auto" w:fill="F7C9AC"/>
          </w:tcPr>
          <w:p w:rsidR="007C5447" w:rsidRDefault="00F6308C">
            <w:pPr>
              <w:pStyle w:val="TableParagraph"/>
              <w:spacing w:before="1" w:line="183" w:lineRule="exact"/>
              <w:ind w:left="96" w:right="84"/>
              <w:jc w:val="center"/>
              <w:rPr>
                <w:b/>
                <w:sz w:val="16"/>
              </w:rPr>
            </w:pPr>
            <w:r>
              <w:rPr>
                <w:b/>
                <w:sz w:val="16"/>
              </w:rPr>
              <w:t>FY 2013-</w:t>
            </w:r>
          </w:p>
          <w:p w:rsidR="007C5447" w:rsidRDefault="00F6308C">
            <w:pPr>
              <w:pStyle w:val="TableParagraph"/>
              <w:spacing w:line="162" w:lineRule="exact"/>
              <w:ind w:left="96" w:right="85"/>
              <w:jc w:val="center"/>
              <w:rPr>
                <w:b/>
                <w:sz w:val="16"/>
              </w:rPr>
            </w:pPr>
            <w:r>
              <w:rPr>
                <w:b/>
                <w:sz w:val="16"/>
              </w:rPr>
              <w:t>14</w:t>
            </w:r>
          </w:p>
        </w:tc>
        <w:tc>
          <w:tcPr>
            <w:tcW w:w="857" w:type="dxa"/>
            <w:shd w:val="clear" w:color="auto" w:fill="F7C9AC"/>
          </w:tcPr>
          <w:p w:rsidR="007C5447" w:rsidRDefault="00F6308C">
            <w:pPr>
              <w:pStyle w:val="TableParagraph"/>
              <w:spacing w:before="1" w:line="183" w:lineRule="exact"/>
              <w:ind w:left="97" w:right="83"/>
              <w:jc w:val="center"/>
              <w:rPr>
                <w:b/>
                <w:sz w:val="16"/>
              </w:rPr>
            </w:pPr>
            <w:r>
              <w:rPr>
                <w:b/>
                <w:sz w:val="16"/>
              </w:rPr>
              <w:t>FY 2014-</w:t>
            </w:r>
          </w:p>
          <w:p w:rsidR="007C5447" w:rsidRDefault="00F6308C">
            <w:pPr>
              <w:pStyle w:val="TableParagraph"/>
              <w:spacing w:line="162" w:lineRule="exact"/>
              <w:ind w:left="97" w:right="83"/>
              <w:jc w:val="center"/>
              <w:rPr>
                <w:b/>
                <w:sz w:val="16"/>
              </w:rPr>
            </w:pPr>
            <w:r>
              <w:rPr>
                <w:b/>
                <w:sz w:val="16"/>
              </w:rPr>
              <w:t>15</w:t>
            </w:r>
          </w:p>
        </w:tc>
        <w:tc>
          <w:tcPr>
            <w:tcW w:w="823" w:type="dxa"/>
            <w:shd w:val="clear" w:color="auto" w:fill="F7C9AC"/>
          </w:tcPr>
          <w:p w:rsidR="007C5447" w:rsidRDefault="00F6308C">
            <w:pPr>
              <w:pStyle w:val="TableParagraph"/>
              <w:spacing w:before="5" w:line="182" w:lineRule="exact"/>
              <w:ind w:left="145" w:right="132" w:firstLine="160"/>
              <w:jc w:val="left"/>
              <w:rPr>
                <w:b/>
                <w:sz w:val="16"/>
              </w:rPr>
            </w:pPr>
            <w:r>
              <w:rPr>
                <w:b/>
                <w:sz w:val="16"/>
              </w:rPr>
              <w:t>FY 2015-16</w:t>
            </w:r>
          </w:p>
        </w:tc>
        <w:tc>
          <w:tcPr>
            <w:tcW w:w="895" w:type="dxa"/>
            <w:shd w:val="clear" w:color="auto" w:fill="F7C9AC"/>
          </w:tcPr>
          <w:p w:rsidR="007C5447" w:rsidRDefault="00F6308C">
            <w:pPr>
              <w:pStyle w:val="TableParagraph"/>
              <w:spacing w:before="1" w:line="183" w:lineRule="exact"/>
              <w:ind w:left="114" w:right="103"/>
              <w:jc w:val="center"/>
              <w:rPr>
                <w:b/>
                <w:sz w:val="16"/>
              </w:rPr>
            </w:pPr>
            <w:r>
              <w:rPr>
                <w:b/>
                <w:sz w:val="16"/>
              </w:rPr>
              <w:t>FY 2016-</w:t>
            </w:r>
          </w:p>
          <w:p w:rsidR="007C5447" w:rsidRDefault="00F6308C">
            <w:pPr>
              <w:pStyle w:val="TableParagraph"/>
              <w:spacing w:line="162" w:lineRule="exact"/>
              <w:ind w:left="113" w:right="103"/>
              <w:jc w:val="center"/>
              <w:rPr>
                <w:b/>
                <w:sz w:val="16"/>
              </w:rPr>
            </w:pPr>
            <w:r>
              <w:rPr>
                <w:b/>
                <w:sz w:val="16"/>
              </w:rPr>
              <w:t>17</w:t>
            </w:r>
          </w:p>
        </w:tc>
      </w:tr>
      <w:tr w:rsidR="007C5447">
        <w:trPr>
          <w:trHeight w:val="328"/>
        </w:trPr>
        <w:tc>
          <w:tcPr>
            <w:tcW w:w="391" w:type="dxa"/>
          </w:tcPr>
          <w:p w:rsidR="007C5447" w:rsidRDefault="00F6308C">
            <w:pPr>
              <w:pStyle w:val="TableParagraph"/>
              <w:spacing w:before="74"/>
              <w:ind w:left="155"/>
              <w:jc w:val="left"/>
              <w:rPr>
                <w:sz w:val="16"/>
              </w:rPr>
            </w:pPr>
            <w:r>
              <w:rPr>
                <w:sz w:val="16"/>
              </w:rPr>
              <w:t>1</w:t>
            </w:r>
          </w:p>
        </w:tc>
        <w:tc>
          <w:tcPr>
            <w:tcW w:w="2837" w:type="dxa"/>
          </w:tcPr>
          <w:p w:rsidR="007C5447" w:rsidRDefault="00F6308C">
            <w:pPr>
              <w:pStyle w:val="TableParagraph"/>
              <w:spacing w:before="74"/>
              <w:ind w:left="108"/>
              <w:jc w:val="left"/>
              <w:rPr>
                <w:sz w:val="16"/>
              </w:rPr>
            </w:pPr>
            <w:r>
              <w:rPr>
                <w:sz w:val="16"/>
              </w:rPr>
              <w:t>Opening Balance</w:t>
            </w:r>
          </w:p>
        </w:tc>
        <w:tc>
          <w:tcPr>
            <w:tcW w:w="864" w:type="dxa"/>
          </w:tcPr>
          <w:p w:rsidR="007C5447" w:rsidRDefault="00F6308C">
            <w:pPr>
              <w:pStyle w:val="TableParagraph"/>
              <w:spacing w:before="74"/>
              <w:ind w:right="92"/>
              <w:rPr>
                <w:sz w:val="16"/>
              </w:rPr>
            </w:pPr>
            <w:r>
              <w:rPr>
                <w:sz w:val="16"/>
              </w:rPr>
              <w:t>-</w:t>
            </w:r>
          </w:p>
        </w:tc>
        <w:tc>
          <w:tcPr>
            <w:tcW w:w="859" w:type="dxa"/>
          </w:tcPr>
          <w:p w:rsidR="007C5447" w:rsidRDefault="00F6308C">
            <w:pPr>
              <w:pStyle w:val="TableParagraph"/>
              <w:spacing w:before="74"/>
              <w:ind w:right="97"/>
              <w:rPr>
                <w:sz w:val="16"/>
              </w:rPr>
            </w:pPr>
            <w:r>
              <w:rPr>
                <w:sz w:val="16"/>
              </w:rPr>
              <w:t>4,144.77</w:t>
            </w:r>
          </w:p>
        </w:tc>
        <w:tc>
          <w:tcPr>
            <w:tcW w:w="857" w:type="dxa"/>
          </w:tcPr>
          <w:p w:rsidR="007C5447" w:rsidRDefault="00F6308C">
            <w:pPr>
              <w:pStyle w:val="TableParagraph"/>
              <w:spacing w:before="74"/>
              <w:ind w:right="94"/>
              <w:rPr>
                <w:sz w:val="16"/>
              </w:rPr>
            </w:pPr>
            <w:r>
              <w:rPr>
                <w:sz w:val="16"/>
              </w:rPr>
              <w:t>4,627.02</w:t>
            </w:r>
          </w:p>
        </w:tc>
        <w:tc>
          <w:tcPr>
            <w:tcW w:w="859" w:type="dxa"/>
          </w:tcPr>
          <w:p w:rsidR="007C5447" w:rsidRDefault="00F6308C">
            <w:pPr>
              <w:pStyle w:val="TableParagraph"/>
              <w:spacing w:before="74"/>
              <w:ind w:right="96"/>
              <w:rPr>
                <w:sz w:val="16"/>
              </w:rPr>
            </w:pPr>
            <w:r>
              <w:rPr>
                <w:sz w:val="16"/>
              </w:rPr>
              <w:t>5,166.47</w:t>
            </w:r>
          </w:p>
        </w:tc>
        <w:tc>
          <w:tcPr>
            <w:tcW w:w="857" w:type="dxa"/>
          </w:tcPr>
          <w:p w:rsidR="007C5447" w:rsidRDefault="00F6308C">
            <w:pPr>
              <w:pStyle w:val="TableParagraph"/>
              <w:spacing w:before="74"/>
              <w:ind w:right="94"/>
              <w:rPr>
                <w:sz w:val="16"/>
              </w:rPr>
            </w:pPr>
            <w:r>
              <w:rPr>
                <w:sz w:val="16"/>
              </w:rPr>
              <w:t>4,133.47</w:t>
            </w:r>
          </w:p>
        </w:tc>
        <w:tc>
          <w:tcPr>
            <w:tcW w:w="823" w:type="dxa"/>
          </w:tcPr>
          <w:p w:rsidR="007C5447" w:rsidRDefault="00F6308C">
            <w:pPr>
              <w:pStyle w:val="TableParagraph"/>
              <w:spacing w:before="74"/>
              <w:ind w:right="96"/>
              <w:rPr>
                <w:sz w:val="16"/>
              </w:rPr>
            </w:pPr>
            <w:r>
              <w:rPr>
                <w:sz w:val="16"/>
              </w:rPr>
              <w:t>3,100.47</w:t>
            </w:r>
          </w:p>
        </w:tc>
        <w:tc>
          <w:tcPr>
            <w:tcW w:w="895" w:type="dxa"/>
          </w:tcPr>
          <w:p w:rsidR="007C5447" w:rsidRDefault="00F6308C">
            <w:pPr>
              <w:pStyle w:val="TableParagraph"/>
              <w:spacing w:before="74"/>
              <w:ind w:right="95"/>
              <w:rPr>
                <w:sz w:val="16"/>
              </w:rPr>
            </w:pPr>
            <w:r>
              <w:rPr>
                <w:sz w:val="16"/>
              </w:rPr>
              <w:t>2,067.47</w:t>
            </w:r>
          </w:p>
        </w:tc>
      </w:tr>
      <w:tr w:rsidR="007C5447">
        <w:trPr>
          <w:trHeight w:val="369"/>
        </w:trPr>
        <w:tc>
          <w:tcPr>
            <w:tcW w:w="391" w:type="dxa"/>
          </w:tcPr>
          <w:p w:rsidR="007C5447" w:rsidRDefault="00F6308C">
            <w:pPr>
              <w:pStyle w:val="TableParagraph"/>
              <w:spacing w:before="93"/>
              <w:ind w:left="155"/>
              <w:jc w:val="left"/>
              <w:rPr>
                <w:sz w:val="16"/>
              </w:rPr>
            </w:pPr>
            <w:r>
              <w:rPr>
                <w:sz w:val="16"/>
              </w:rPr>
              <w:t>2</w:t>
            </w:r>
          </w:p>
        </w:tc>
        <w:tc>
          <w:tcPr>
            <w:tcW w:w="2837" w:type="dxa"/>
          </w:tcPr>
          <w:p w:rsidR="007C5447" w:rsidRDefault="00F6308C">
            <w:pPr>
              <w:pStyle w:val="TableParagraph"/>
              <w:spacing w:before="1" w:line="180" w:lineRule="atLeast"/>
              <w:ind w:left="108" w:right="210"/>
              <w:jc w:val="left"/>
              <w:rPr>
                <w:sz w:val="16"/>
              </w:rPr>
            </w:pPr>
            <w:r>
              <w:rPr>
                <w:sz w:val="16"/>
              </w:rPr>
              <w:t>Addition of Revenue Gap/(surplus) for recovery</w:t>
            </w:r>
          </w:p>
        </w:tc>
        <w:tc>
          <w:tcPr>
            <w:tcW w:w="864" w:type="dxa"/>
          </w:tcPr>
          <w:p w:rsidR="007C5447" w:rsidRDefault="00F6308C">
            <w:pPr>
              <w:pStyle w:val="TableParagraph"/>
              <w:spacing w:before="93"/>
              <w:ind w:right="94"/>
              <w:rPr>
                <w:sz w:val="16"/>
              </w:rPr>
            </w:pPr>
            <w:r>
              <w:rPr>
                <w:sz w:val="16"/>
              </w:rPr>
              <w:t>4,050.00</w:t>
            </w:r>
          </w:p>
        </w:tc>
        <w:tc>
          <w:tcPr>
            <w:tcW w:w="859" w:type="dxa"/>
          </w:tcPr>
          <w:p w:rsidR="007C5447" w:rsidRDefault="007C5447">
            <w:pPr>
              <w:pStyle w:val="TableParagraph"/>
              <w:jc w:val="left"/>
              <w:rPr>
                <w:sz w:val="20"/>
              </w:rPr>
            </w:pPr>
          </w:p>
        </w:tc>
        <w:tc>
          <w:tcPr>
            <w:tcW w:w="857" w:type="dxa"/>
          </w:tcPr>
          <w:p w:rsidR="007C5447" w:rsidRDefault="007C5447">
            <w:pPr>
              <w:pStyle w:val="TableParagraph"/>
              <w:jc w:val="left"/>
              <w:rPr>
                <w:sz w:val="20"/>
              </w:rPr>
            </w:pPr>
          </w:p>
        </w:tc>
        <w:tc>
          <w:tcPr>
            <w:tcW w:w="859" w:type="dxa"/>
          </w:tcPr>
          <w:p w:rsidR="007C5447" w:rsidRDefault="007C5447">
            <w:pPr>
              <w:pStyle w:val="TableParagraph"/>
              <w:jc w:val="left"/>
              <w:rPr>
                <w:sz w:val="20"/>
              </w:rPr>
            </w:pPr>
          </w:p>
        </w:tc>
        <w:tc>
          <w:tcPr>
            <w:tcW w:w="857" w:type="dxa"/>
          </w:tcPr>
          <w:p w:rsidR="007C5447" w:rsidRDefault="007C5447">
            <w:pPr>
              <w:pStyle w:val="TableParagraph"/>
              <w:jc w:val="left"/>
              <w:rPr>
                <w:sz w:val="20"/>
              </w:rPr>
            </w:pPr>
          </w:p>
        </w:tc>
        <w:tc>
          <w:tcPr>
            <w:tcW w:w="823" w:type="dxa"/>
          </w:tcPr>
          <w:p w:rsidR="007C5447" w:rsidRDefault="007C5447">
            <w:pPr>
              <w:pStyle w:val="TableParagraph"/>
              <w:jc w:val="left"/>
              <w:rPr>
                <w:sz w:val="20"/>
              </w:rPr>
            </w:pPr>
          </w:p>
        </w:tc>
        <w:tc>
          <w:tcPr>
            <w:tcW w:w="895" w:type="dxa"/>
          </w:tcPr>
          <w:p w:rsidR="007C5447" w:rsidRDefault="007C5447">
            <w:pPr>
              <w:pStyle w:val="TableParagraph"/>
              <w:jc w:val="left"/>
              <w:rPr>
                <w:sz w:val="20"/>
              </w:rPr>
            </w:pPr>
          </w:p>
        </w:tc>
      </w:tr>
      <w:tr w:rsidR="007C5447">
        <w:trPr>
          <w:trHeight w:val="328"/>
        </w:trPr>
        <w:tc>
          <w:tcPr>
            <w:tcW w:w="391" w:type="dxa"/>
          </w:tcPr>
          <w:p w:rsidR="007C5447" w:rsidRDefault="00F6308C">
            <w:pPr>
              <w:pStyle w:val="TableParagraph"/>
              <w:spacing w:before="73"/>
              <w:ind w:left="155"/>
              <w:jc w:val="left"/>
              <w:rPr>
                <w:b/>
                <w:sz w:val="16"/>
              </w:rPr>
            </w:pPr>
            <w:r>
              <w:rPr>
                <w:b/>
                <w:sz w:val="16"/>
              </w:rPr>
              <w:t>3</w:t>
            </w:r>
          </w:p>
        </w:tc>
        <w:tc>
          <w:tcPr>
            <w:tcW w:w="2837" w:type="dxa"/>
          </w:tcPr>
          <w:p w:rsidR="007C5447" w:rsidRDefault="00F6308C">
            <w:pPr>
              <w:pStyle w:val="TableParagraph"/>
              <w:spacing w:before="73"/>
              <w:ind w:left="108"/>
              <w:jc w:val="left"/>
              <w:rPr>
                <w:b/>
                <w:sz w:val="16"/>
              </w:rPr>
            </w:pPr>
            <w:r>
              <w:rPr>
                <w:b/>
                <w:sz w:val="16"/>
              </w:rPr>
              <w:t>Closing Balance</w:t>
            </w:r>
          </w:p>
        </w:tc>
        <w:tc>
          <w:tcPr>
            <w:tcW w:w="864" w:type="dxa"/>
          </w:tcPr>
          <w:p w:rsidR="007C5447" w:rsidRDefault="00F6308C">
            <w:pPr>
              <w:pStyle w:val="TableParagraph"/>
              <w:spacing w:before="73"/>
              <w:ind w:right="94"/>
              <w:rPr>
                <w:sz w:val="16"/>
              </w:rPr>
            </w:pPr>
            <w:r>
              <w:rPr>
                <w:sz w:val="16"/>
              </w:rPr>
              <w:t>4,050.00</w:t>
            </w:r>
          </w:p>
        </w:tc>
        <w:tc>
          <w:tcPr>
            <w:tcW w:w="859" w:type="dxa"/>
          </w:tcPr>
          <w:p w:rsidR="007C5447" w:rsidRDefault="00F6308C">
            <w:pPr>
              <w:pStyle w:val="TableParagraph"/>
              <w:spacing w:before="73"/>
              <w:ind w:right="94"/>
              <w:rPr>
                <w:sz w:val="16"/>
              </w:rPr>
            </w:pPr>
            <w:r>
              <w:rPr>
                <w:sz w:val="16"/>
              </w:rPr>
              <w:t>4,144.77</w:t>
            </w:r>
          </w:p>
        </w:tc>
        <w:tc>
          <w:tcPr>
            <w:tcW w:w="857" w:type="dxa"/>
          </w:tcPr>
          <w:p w:rsidR="007C5447" w:rsidRDefault="00F6308C">
            <w:pPr>
              <w:pStyle w:val="TableParagraph"/>
              <w:spacing w:before="73"/>
              <w:ind w:right="92"/>
              <w:rPr>
                <w:sz w:val="16"/>
              </w:rPr>
            </w:pPr>
            <w:r>
              <w:rPr>
                <w:sz w:val="16"/>
              </w:rPr>
              <w:t>4,627.02</w:t>
            </w:r>
          </w:p>
        </w:tc>
        <w:tc>
          <w:tcPr>
            <w:tcW w:w="859" w:type="dxa"/>
          </w:tcPr>
          <w:p w:rsidR="007C5447" w:rsidRDefault="00F6308C">
            <w:pPr>
              <w:pStyle w:val="TableParagraph"/>
              <w:spacing w:before="73"/>
              <w:ind w:right="94"/>
              <w:rPr>
                <w:sz w:val="16"/>
              </w:rPr>
            </w:pPr>
            <w:r>
              <w:rPr>
                <w:sz w:val="16"/>
              </w:rPr>
              <w:t>5,166.47</w:t>
            </w:r>
          </w:p>
        </w:tc>
        <w:tc>
          <w:tcPr>
            <w:tcW w:w="857" w:type="dxa"/>
          </w:tcPr>
          <w:p w:rsidR="007C5447" w:rsidRDefault="00F6308C">
            <w:pPr>
              <w:pStyle w:val="TableParagraph"/>
              <w:spacing w:before="73"/>
              <w:ind w:right="92"/>
              <w:rPr>
                <w:sz w:val="16"/>
              </w:rPr>
            </w:pPr>
            <w:r>
              <w:rPr>
                <w:sz w:val="16"/>
              </w:rPr>
              <w:t>4,133.47</w:t>
            </w:r>
          </w:p>
        </w:tc>
        <w:tc>
          <w:tcPr>
            <w:tcW w:w="823" w:type="dxa"/>
          </w:tcPr>
          <w:p w:rsidR="007C5447" w:rsidRDefault="00F6308C">
            <w:pPr>
              <w:pStyle w:val="TableParagraph"/>
              <w:spacing w:before="73"/>
              <w:ind w:right="96"/>
              <w:rPr>
                <w:sz w:val="16"/>
              </w:rPr>
            </w:pPr>
            <w:r>
              <w:rPr>
                <w:sz w:val="16"/>
              </w:rPr>
              <w:t>3,100.47</w:t>
            </w:r>
          </w:p>
        </w:tc>
        <w:tc>
          <w:tcPr>
            <w:tcW w:w="895" w:type="dxa"/>
          </w:tcPr>
          <w:p w:rsidR="007C5447" w:rsidRDefault="00F6308C">
            <w:pPr>
              <w:pStyle w:val="TableParagraph"/>
              <w:spacing w:before="73"/>
              <w:ind w:right="95"/>
              <w:rPr>
                <w:sz w:val="16"/>
              </w:rPr>
            </w:pPr>
            <w:r>
              <w:rPr>
                <w:sz w:val="16"/>
              </w:rPr>
              <w:t>2,067.47</w:t>
            </w:r>
          </w:p>
        </w:tc>
      </w:tr>
      <w:tr w:rsidR="007C5447">
        <w:trPr>
          <w:trHeight w:val="330"/>
        </w:trPr>
        <w:tc>
          <w:tcPr>
            <w:tcW w:w="391" w:type="dxa"/>
          </w:tcPr>
          <w:p w:rsidR="007C5447" w:rsidRDefault="00F6308C">
            <w:pPr>
              <w:pStyle w:val="TableParagraph"/>
              <w:spacing w:before="76"/>
              <w:ind w:left="155"/>
              <w:jc w:val="left"/>
              <w:rPr>
                <w:sz w:val="16"/>
              </w:rPr>
            </w:pPr>
            <w:r>
              <w:rPr>
                <w:sz w:val="16"/>
              </w:rPr>
              <w:t>4</w:t>
            </w:r>
          </w:p>
        </w:tc>
        <w:tc>
          <w:tcPr>
            <w:tcW w:w="2837" w:type="dxa"/>
          </w:tcPr>
          <w:p w:rsidR="007C5447" w:rsidRDefault="00F6308C">
            <w:pPr>
              <w:pStyle w:val="TableParagraph"/>
              <w:spacing w:before="76"/>
              <w:ind w:left="108"/>
              <w:jc w:val="left"/>
              <w:rPr>
                <w:sz w:val="16"/>
              </w:rPr>
            </w:pPr>
            <w:r>
              <w:rPr>
                <w:sz w:val="16"/>
              </w:rPr>
              <w:t>Interest Rate</w:t>
            </w:r>
          </w:p>
        </w:tc>
        <w:tc>
          <w:tcPr>
            <w:tcW w:w="864" w:type="dxa"/>
          </w:tcPr>
          <w:p w:rsidR="007C5447" w:rsidRDefault="00F6308C">
            <w:pPr>
              <w:pStyle w:val="TableParagraph"/>
              <w:spacing w:before="76"/>
              <w:ind w:right="91"/>
              <w:rPr>
                <w:sz w:val="16"/>
              </w:rPr>
            </w:pPr>
            <w:r>
              <w:rPr>
                <w:sz w:val="16"/>
              </w:rPr>
              <w:t>11%</w:t>
            </w:r>
          </w:p>
        </w:tc>
        <w:tc>
          <w:tcPr>
            <w:tcW w:w="859" w:type="dxa"/>
          </w:tcPr>
          <w:p w:rsidR="007C5447" w:rsidRDefault="00F6308C">
            <w:pPr>
              <w:pStyle w:val="TableParagraph"/>
              <w:spacing w:before="76"/>
              <w:ind w:right="93"/>
              <w:rPr>
                <w:sz w:val="16"/>
              </w:rPr>
            </w:pPr>
            <w:r>
              <w:rPr>
                <w:sz w:val="16"/>
              </w:rPr>
              <w:t>11%</w:t>
            </w:r>
          </w:p>
        </w:tc>
        <w:tc>
          <w:tcPr>
            <w:tcW w:w="857" w:type="dxa"/>
          </w:tcPr>
          <w:p w:rsidR="007C5447" w:rsidRDefault="00F6308C">
            <w:pPr>
              <w:pStyle w:val="TableParagraph"/>
              <w:spacing w:before="76"/>
              <w:ind w:right="90"/>
              <w:rPr>
                <w:sz w:val="16"/>
              </w:rPr>
            </w:pPr>
            <w:r>
              <w:rPr>
                <w:sz w:val="16"/>
              </w:rPr>
              <w:t>11%</w:t>
            </w:r>
          </w:p>
        </w:tc>
        <w:tc>
          <w:tcPr>
            <w:tcW w:w="859" w:type="dxa"/>
          </w:tcPr>
          <w:p w:rsidR="007C5447" w:rsidRDefault="00F6308C">
            <w:pPr>
              <w:pStyle w:val="TableParagraph"/>
              <w:spacing w:before="76"/>
              <w:ind w:right="91"/>
              <w:rPr>
                <w:sz w:val="16"/>
              </w:rPr>
            </w:pPr>
            <w:r>
              <w:rPr>
                <w:sz w:val="16"/>
              </w:rPr>
              <w:t>0%</w:t>
            </w:r>
          </w:p>
        </w:tc>
        <w:tc>
          <w:tcPr>
            <w:tcW w:w="857" w:type="dxa"/>
          </w:tcPr>
          <w:p w:rsidR="007C5447" w:rsidRDefault="00F6308C">
            <w:pPr>
              <w:pStyle w:val="TableParagraph"/>
              <w:spacing w:before="76"/>
              <w:ind w:right="89"/>
              <w:rPr>
                <w:sz w:val="16"/>
              </w:rPr>
            </w:pPr>
            <w:r>
              <w:rPr>
                <w:sz w:val="16"/>
              </w:rPr>
              <w:t>0%</w:t>
            </w:r>
          </w:p>
        </w:tc>
        <w:tc>
          <w:tcPr>
            <w:tcW w:w="823" w:type="dxa"/>
          </w:tcPr>
          <w:p w:rsidR="007C5447" w:rsidRDefault="00F6308C">
            <w:pPr>
              <w:pStyle w:val="TableParagraph"/>
              <w:spacing w:before="76"/>
              <w:ind w:right="91"/>
              <w:rPr>
                <w:sz w:val="16"/>
              </w:rPr>
            </w:pPr>
            <w:r>
              <w:rPr>
                <w:sz w:val="16"/>
              </w:rPr>
              <w:t>0%</w:t>
            </w:r>
          </w:p>
        </w:tc>
        <w:tc>
          <w:tcPr>
            <w:tcW w:w="895" w:type="dxa"/>
          </w:tcPr>
          <w:p w:rsidR="007C5447" w:rsidRDefault="00F6308C">
            <w:pPr>
              <w:pStyle w:val="TableParagraph"/>
              <w:spacing w:before="76"/>
              <w:ind w:right="93"/>
              <w:rPr>
                <w:sz w:val="16"/>
              </w:rPr>
            </w:pPr>
            <w:r>
              <w:rPr>
                <w:sz w:val="16"/>
              </w:rPr>
              <w:t>0%</w:t>
            </w:r>
          </w:p>
        </w:tc>
      </w:tr>
      <w:tr w:rsidR="007C5447">
        <w:trPr>
          <w:trHeight w:val="331"/>
        </w:trPr>
        <w:tc>
          <w:tcPr>
            <w:tcW w:w="391" w:type="dxa"/>
          </w:tcPr>
          <w:p w:rsidR="007C5447" w:rsidRDefault="00F6308C">
            <w:pPr>
              <w:pStyle w:val="TableParagraph"/>
              <w:spacing w:before="73"/>
              <w:ind w:left="155"/>
              <w:jc w:val="left"/>
              <w:rPr>
                <w:sz w:val="16"/>
              </w:rPr>
            </w:pPr>
            <w:r>
              <w:rPr>
                <w:sz w:val="16"/>
              </w:rPr>
              <w:t>5</w:t>
            </w:r>
          </w:p>
        </w:tc>
        <w:tc>
          <w:tcPr>
            <w:tcW w:w="2837" w:type="dxa"/>
          </w:tcPr>
          <w:p w:rsidR="007C5447" w:rsidRDefault="00F6308C">
            <w:pPr>
              <w:pStyle w:val="TableParagraph"/>
              <w:spacing w:before="73"/>
              <w:ind w:left="108"/>
              <w:jc w:val="left"/>
              <w:rPr>
                <w:sz w:val="16"/>
              </w:rPr>
            </w:pPr>
            <w:r>
              <w:rPr>
                <w:sz w:val="16"/>
              </w:rPr>
              <w:t>Carrying Cost</w:t>
            </w:r>
          </w:p>
        </w:tc>
        <w:tc>
          <w:tcPr>
            <w:tcW w:w="864" w:type="dxa"/>
          </w:tcPr>
          <w:p w:rsidR="007C5447" w:rsidRDefault="00F6308C">
            <w:pPr>
              <w:pStyle w:val="TableParagraph"/>
              <w:spacing w:before="73"/>
              <w:ind w:right="94"/>
              <w:rPr>
                <w:sz w:val="16"/>
              </w:rPr>
            </w:pPr>
            <w:r>
              <w:rPr>
                <w:sz w:val="16"/>
              </w:rPr>
              <w:t>94.77</w:t>
            </w:r>
          </w:p>
        </w:tc>
        <w:tc>
          <w:tcPr>
            <w:tcW w:w="859" w:type="dxa"/>
          </w:tcPr>
          <w:p w:rsidR="007C5447" w:rsidRDefault="00F6308C">
            <w:pPr>
              <w:pStyle w:val="TableParagraph"/>
              <w:spacing w:before="73"/>
              <w:ind w:right="96"/>
              <w:rPr>
                <w:sz w:val="16"/>
              </w:rPr>
            </w:pPr>
            <w:r>
              <w:rPr>
                <w:sz w:val="16"/>
              </w:rPr>
              <w:t>482.25</w:t>
            </w:r>
          </w:p>
        </w:tc>
        <w:tc>
          <w:tcPr>
            <w:tcW w:w="857" w:type="dxa"/>
          </w:tcPr>
          <w:p w:rsidR="007C5447" w:rsidRDefault="00F6308C">
            <w:pPr>
              <w:pStyle w:val="TableParagraph"/>
              <w:spacing w:before="73"/>
              <w:ind w:right="94"/>
              <w:rPr>
                <w:sz w:val="16"/>
              </w:rPr>
            </w:pPr>
            <w:r>
              <w:rPr>
                <w:sz w:val="16"/>
              </w:rPr>
              <w:t>539.45</w:t>
            </w:r>
          </w:p>
        </w:tc>
        <w:tc>
          <w:tcPr>
            <w:tcW w:w="859" w:type="dxa"/>
          </w:tcPr>
          <w:p w:rsidR="007C5447" w:rsidRDefault="00F6308C">
            <w:pPr>
              <w:pStyle w:val="TableParagraph"/>
              <w:spacing w:before="73"/>
              <w:ind w:right="94"/>
              <w:rPr>
                <w:sz w:val="16"/>
              </w:rPr>
            </w:pPr>
            <w:r>
              <w:rPr>
                <w:sz w:val="16"/>
              </w:rPr>
              <w:t>-</w:t>
            </w:r>
          </w:p>
        </w:tc>
        <w:tc>
          <w:tcPr>
            <w:tcW w:w="857" w:type="dxa"/>
          </w:tcPr>
          <w:p w:rsidR="007C5447" w:rsidRDefault="007C5447">
            <w:pPr>
              <w:pStyle w:val="TableParagraph"/>
              <w:jc w:val="left"/>
              <w:rPr>
                <w:sz w:val="20"/>
              </w:rPr>
            </w:pPr>
          </w:p>
        </w:tc>
        <w:tc>
          <w:tcPr>
            <w:tcW w:w="823" w:type="dxa"/>
          </w:tcPr>
          <w:p w:rsidR="007C5447" w:rsidRDefault="007C5447">
            <w:pPr>
              <w:pStyle w:val="TableParagraph"/>
              <w:jc w:val="left"/>
              <w:rPr>
                <w:sz w:val="20"/>
              </w:rPr>
            </w:pPr>
          </w:p>
        </w:tc>
        <w:tc>
          <w:tcPr>
            <w:tcW w:w="895" w:type="dxa"/>
          </w:tcPr>
          <w:p w:rsidR="007C5447" w:rsidRDefault="007C5447">
            <w:pPr>
              <w:pStyle w:val="TableParagraph"/>
              <w:jc w:val="left"/>
              <w:rPr>
                <w:sz w:val="20"/>
              </w:rPr>
            </w:pPr>
          </w:p>
        </w:tc>
      </w:tr>
      <w:tr w:rsidR="007C5447">
        <w:trPr>
          <w:trHeight w:val="328"/>
        </w:trPr>
        <w:tc>
          <w:tcPr>
            <w:tcW w:w="391" w:type="dxa"/>
          </w:tcPr>
          <w:p w:rsidR="007C5447" w:rsidRDefault="00F6308C">
            <w:pPr>
              <w:pStyle w:val="TableParagraph"/>
              <w:spacing w:before="73"/>
              <w:ind w:left="155"/>
              <w:jc w:val="left"/>
              <w:rPr>
                <w:sz w:val="16"/>
              </w:rPr>
            </w:pPr>
            <w:r>
              <w:rPr>
                <w:sz w:val="16"/>
              </w:rPr>
              <w:t>6</w:t>
            </w:r>
          </w:p>
        </w:tc>
        <w:tc>
          <w:tcPr>
            <w:tcW w:w="2837" w:type="dxa"/>
          </w:tcPr>
          <w:p w:rsidR="007C5447" w:rsidRDefault="00F6308C">
            <w:pPr>
              <w:pStyle w:val="TableParagraph"/>
              <w:spacing w:before="73"/>
              <w:ind w:left="108"/>
              <w:jc w:val="left"/>
              <w:rPr>
                <w:sz w:val="16"/>
              </w:rPr>
            </w:pPr>
            <w:r>
              <w:rPr>
                <w:sz w:val="16"/>
              </w:rPr>
              <w:t>Less: Amortization of RA</w:t>
            </w:r>
          </w:p>
        </w:tc>
        <w:tc>
          <w:tcPr>
            <w:tcW w:w="864" w:type="dxa"/>
          </w:tcPr>
          <w:p w:rsidR="007C5447" w:rsidRDefault="007C5447">
            <w:pPr>
              <w:pStyle w:val="TableParagraph"/>
              <w:jc w:val="left"/>
              <w:rPr>
                <w:sz w:val="20"/>
              </w:rPr>
            </w:pPr>
          </w:p>
        </w:tc>
        <w:tc>
          <w:tcPr>
            <w:tcW w:w="859" w:type="dxa"/>
          </w:tcPr>
          <w:p w:rsidR="007C5447" w:rsidRDefault="007C5447">
            <w:pPr>
              <w:pStyle w:val="TableParagraph"/>
              <w:jc w:val="left"/>
              <w:rPr>
                <w:sz w:val="20"/>
              </w:rPr>
            </w:pPr>
          </w:p>
        </w:tc>
        <w:tc>
          <w:tcPr>
            <w:tcW w:w="857" w:type="dxa"/>
          </w:tcPr>
          <w:p w:rsidR="007C5447" w:rsidRDefault="007C5447">
            <w:pPr>
              <w:pStyle w:val="TableParagraph"/>
              <w:jc w:val="left"/>
              <w:rPr>
                <w:sz w:val="20"/>
              </w:rPr>
            </w:pPr>
          </w:p>
        </w:tc>
        <w:tc>
          <w:tcPr>
            <w:tcW w:w="859" w:type="dxa"/>
          </w:tcPr>
          <w:p w:rsidR="007C5447" w:rsidRDefault="00F6308C">
            <w:pPr>
              <w:pStyle w:val="TableParagraph"/>
              <w:spacing w:before="73"/>
              <w:ind w:right="96"/>
              <w:rPr>
                <w:sz w:val="16"/>
              </w:rPr>
            </w:pPr>
            <w:r>
              <w:rPr>
                <w:sz w:val="16"/>
              </w:rPr>
              <w:t>1,033.00</w:t>
            </w:r>
          </w:p>
        </w:tc>
        <w:tc>
          <w:tcPr>
            <w:tcW w:w="857" w:type="dxa"/>
          </w:tcPr>
          <w:p w:rsidR="007C5447" w:rsidRDefault="00F6308C">
            <w:pPr>
              <w:pStyle w:val="TableParagraph"/>
              <w:spacing w:before="73"/>
              <w:ind w:right="94"/>
              <w:rPr>
                <w:sz w:val="16"/>
              </w:rPr>
            </w:pPr>
            <w:r>
              <w:rPr>
                <w:sz w:val="16"/>
              </w:rPr>
              <w:t>1,033.00</w:t>
            </w:r>
          </w:p>
        </w:tc>
        <w:tc>
          <w:tcPr>
            <w:tcW w:w="823" w:type="dxa"/>
          </w:tcPr>
          <w:p w:rsidR="007C5447" w:rsidRDefault="00F6308C">
            <w:pPr>
              <w:pStyle w:val="TableParagraph"/>
              <w:spacing w:before="73"/>
              <w:ind w:right="96"/>
              <w:rPr>
                <w:sz w:val="16"/>
              </w:rPr>
            </w:pPr>
            <w:r>
              <w:rPr>
                <w:sz w:val="16"/>
              </w:rPr>
              <w:t>1,033.00</w:t>
            </w:r>
          </w:p>
        </w:tc>
        <w:tc>
          <w:tcPr>
            <w:tcW w:w="895" w:type="dxa"/>
          </w:tcPr>
          <w:p w:rsidR="007C5447" w:rsidRDefault="00F6308C">
            <w:pPr>
              <w:pStyle w:val="TableParagraph"/>
              <w:spacing w:before="73"/>
              <w:ind w:right="95"/>
              <w:rPr>
                <w:sz w:val="16"/>
              </w:rPr>
            </w:pPr>
            <w:r>
              <w:rPr>
                <w:sz w:val="16"/>
              </w:rPr>
              <w:t>3,283.68</w:t>
            </w:r>
          </w:p>
        </w:tc>
      </w:tr>
      <w:tr w:rsidR="007C5447">
        <w:trPr>
          <w:trHeight w:val="330"/>
        </w:trPr>
        <w:tc>
          <w:tcPr>
            <w:tcW w:w="391" w:type="dxa"/>
          </w:tcPr>
          <w:p w:rsidR="007C5447" w:rsidRDefault="00F6308C">
            <w:pPr>
              <w:pStyle w:val="TableParagraph"/>
              <w:spacing w:before="76"/>
              <w:ind w:left="155"/>
              <w:jc w:val="left"/>
              <w:rPr>
                <w:b/>
                <w:sz w:val="16"/>
              </w:rPr>
            </w:pPr>
            <w:r>
              <w:rPr>
                <w:b/>
                <w:sz w:val="16"/>
              </w:rPr>
              <w:t>7</w:t>
            </w:r>
          </w:p>
        </w:tc>
        <w:tc>
          <w:tcPr>
            <w:tcW w:w="2837" w:type="dxa"/>
          </w:tcPr>
          <w:p w:rsidR="007C5447" w:rsidRDefault="00F6308C">
            <w:pPr>
              <w:pStyle w:val="TableParagraph"/>
              <w:spacing w:before="76"/>
              <w:ind w:left="108"/>
              <w:jc w:val="left"/>
              <w:rPr>
                <w:b/>
                <w:sz w:val="16"/>
              </w:rPr>
            </w:pPr>
            <w:r>
              <w:rPr>
                <w:b/>
                <w:sz w:val="16"/>
              </w:rPr>
              <w:t>Net Closing Balance</w:t>
            </w:r>
          </w:p>
        </w:tc>
        <w:tc>
          <w:tcPr>
            <w:tcW w:w="864" w:type="dxa"/>
          </w:tcPr>
          <w:p w:rsidR="007C5447" w:rsidRDefault="00F6308C">
            <w:pPr>
              <w:pStyle w:val="TableParagraph"/>
              <w:spacing w:before="76"/>
              <w:ind w:right="94"/>
              <w:rPr>
                <w:b/>
                <w:sz w:val="16"/>
              </w:rPr>
            </w:pPr>
            <w:r>
              <w:rPr>
                <w:b/>
                <w:sz w:val="16"/>
              </w:rPr>
              <w:t>4,144.77</w:t>
            </w:r>
          </w:p>
        </w:tc>
        <w:tc>
          <w:tcPr>
            <w:tcW w:w="859" w:type="dxa"/>
          </w:tcPr>
          <w:p w:rsidR="007C5447" w:rsidRDefault="00F6308C">
            <w:pPr>
              <w:pStyle w:val="TableParagraph"/>
              <w:spacing w:before="76"/>
              <w:ind w:right="97"/>
              <w:rPr>
                <w:b/>
                <w:sz w:val="16"/>
              </w:rPr>
            </w:pPr>
            <w:r>
              <w:rPr>
                <w:b/>
                <w:sz w:val="16"/>
              </w:rPr>
              <w:t>4,627.02</w:t>
            </w:r>
          </w:p>
        </w:tc>
        <w:tc>
          <w:tcPr>
            <w:tcW w:w="857" w:type="dxa"/>
          </w:tcPr>
          <w:p w:rsidR="007C5447" w:rsidRDefault="00F6308C">
            <w:pPr>
              <w:pStyle w:val="TableParagraph"/>
              <w:spacing w:before="76"/>
              <w:ind w:right="94"/>
              <w:rPr>
                <w:b/>
                <w:sz w:val="16"/>
              </w:rPr>
            </w:pPr>
            <w:r>
              <w:rPr>
                <w:b/>
                <w:sz w:val="16"/>
              </w:rPr>
              <w:t>5,166.47</w:t>
            </w:r>
          </w:p>
        </w:tc>
        <w:tc>
          <w:tcPr>
            <w:tcW w:w="859" w:type="dxa"/>
          </w:tcPr>
          <w:p w:rsidR="007C5447" w:rsidRDefault="00F6308C">
            <w:pPr>
              <w:pStyle w:val="TableParagraph"/>
              <w:spacing w:before="76"/>
              <w:ind w:right="96"/>
              <w:rPr>
                <w:b/>
                <w:sz w:val="16"/>
              </w:rPr>
            </w:pPr>
            <w:r>
              <w:rPr>
                <w:b/>
                <w:sz w:val="16"/>
              </w:rPr>
              <w:t>4,133.47</w:t>
            </w:r>
          </w:p>
        </w:tc>
        <w:tc>
          <w:tcPr>
            <w:tcW w:w="857" w:type="dxa"/>
          </w:tcPr>
          <w:p w:rsidR="007C5447" w:rsidRDefault="00F6308C">
            <w:pPr>
              <w:pStyle w:val="TableParagraph"/>
              <w:spacing w:before="76"/>
              <w:ind w:right="94"/>
              <w:rPr>
                <w:b/>
                <w:sz w:val="16"/>
              </w:rPr>
            </w:pPr>
            <w:r>
              <w:rPr>
                <w:b/>
                <w:sz w:val="16"/>
              </w:rPr>
              <w:t>3,100.47</w:t>
            </w:r>
          </w:p>
        </w:tc>
        <w:tc>
          <w:tcPr>
            <w:tcW w:w="823" w:type="dxa"/>
          </w:tcPr>
          <w:p w:rsidR="007C5447" w:rsidRDefault="00F6308C">
            <w:pPr>
              <w:pStyle w:val="TableParagraph"/>
              <w:spacing w:before="76"/>
              <w:ind w:right="96"/>
              <w:rPr>
                <w:b/>
                <w:sz w:val="16"/>
              </w:rPr>
            </w:pPr>
            <w:r>
              <w:rPr>
                <w:b/>
                <w:sz w:val="16"/>
              </w:rPr>
              <w:t>2,067.47</w:t>
            </w:r>
          </w:p>
        </w:tc>
        <w:tc>
          <w:tcPr>
            <w:tcW w:w="895" w:type="dxa"/>
          </w:tcPr>
          <w:p w:rsidR="007C5447" w:rsidRDefault="00F6308C">
            <w:pPr>
              <w:pStyle w:val="TableParagraph"/>
              <w:spacing w:before="76"/>
              <w:ind w:right="99"/>
              <w:rPr>
                <w:b/>
                <w:sz w:val="16"/>
              </w:rPr>
            </w:pPr>
            <w:r>
              <w:rPr>
                <w:b/>
                <w:sz w:val="16"/>
              </w:rPr>
              <w:t>(1,216.21)</w:t>
            </w:r>
          </w:p>
        </w:tc>
      </w:tr>
    </w:tbl>
    <w:p w:rsidR="007C5447" w:rsidRDefault="007C5447">
      <w:pPr>
        <w:pStyle w:val="BodyText"/>
        <w:rPr>
          <w:b/>
          <w:sz w:val="26"/>
        </w:rPr>
      </w:pPr>
    </w:p>
    <w:p w:rsidR="007C5447" w:rsidRDefault="007C5447">
      <w:pPr>
        <w:pStyle w:val="BodyText"/>
        <w:spacing w:before="6"/>
        <w:rPr>
          <w:b/>
          <w:sz w:val="36"/>
        </w:rPr>
      </w:pPr>
    </w:p>
    <w:p w:rsidR="007C5447" w:rsidRDefault="00F6308C">
      <w:pPr>
        <w:pStyle w:val="ListParagraph"/>
        <w:numPr>
          <w:ilvl w:val="2"/>
          <w:numId w:val="40"/>
        </w:numPr>
        <w:tabs>
          <w:tab w:val="left" w:pos="1113"/>
        </w:tabs>
        <w:spacing w:line="312" w:lineRule="auto"/>
        <w:ind w:left="1112" w:right="874"/>
        <w:jc w:val="both"/>
        <w:rPr>
          <w:sz w:val="24"/>
        </w:rPr>
      </w:pPr>
      <w:r>
        <w:rPr>
          <w:sz w:val="24"/>
        </w:rPr>
        <w:t>After amortizing the Revenue Gap for FY 2010-11 against Rs. 6,382.83 Crore received from the GoTN, the balance amount has been used to set off the Regulatory Asset arrived at after undertaking final true up for FY 2011-12 to FY 2015-16, as discussed</w:t>
      </w:r>
      <w:r>
        <w:rPr>
          <w:spacing w:val="-1"/>
          <w:sz w:val="24"/>
        </w:rPr>
        <w:t xml:space="preserve"> </w:t>
      </w:r>
      <w:r>
        <w:rPr>
          <w:sz w:val="24"/>
        </w:rPr>
        <w:t>below.</w:t>
      </w:r>
    </w:p>
    <w:p w:rsidR="007C5447" w:rsidRDefault="007C5447">
      <w:pPr>
        <w:pStyle w:val="BodyText"/>
        <w:spacing w:before="10"/>
        <w:rPr>
          <w:sz w:val="20"/>
        </w:rPr>
      </w:pPr>
    </w:p>
    <w:p w:rsidR="007C5447" w:rsidRDefault="00F6308C">
      <w:pPr>
        <w:pStyle w:val="ListParagraph"/>
        <w:numPr>
          <w:ilvl w:val="2"/>
          <w:numId w:val="40"/>
        </w:numPr>
        <w:tabs>
          <w:tab w:val="left" w:pos="1113"/>
        </w:tabs>
        <w:spacing w:line="312" w:lineRule="auto"/>
        <w:ind w:left="1112" w:right="875"/>
        <w:jc w:val="both"/>
        <w:rPr>
          <w:sz w:val="24"/>
        </w:rPr>
      </w:pPr>
      <w:r>
        <w:rPr>
          <w:sz w:val="24"/>
        </w:rPr>
        <w:t>After undertaking final true up for FY 2011-12 to FY 2015-16, the Commission has determined the cumulative Revenue Gap of Rs. 30,884.15 Crore as detailed in Chapter 4 of the</w:t>
      </w:r>
      <w:r>
        <w:rPr>
          <w:spacing w:val="-4"/>
          <w:sz w:val="24"/>
        </w:rPr>
        <w:t xml:space="preserve"> </w:t>
      </w:r>
      <w:r>
        <w:rPr>
          <w:sz w:val="24"/>
        </w:rPr>
        <w:t>Order.</w:t>
      </w:r>
    </w:p>
    <w:p w:rsidR="007C5447" w:rsidRDefault="007C5447">
      <w:pPr>
        <w:pStyle w:val="BodyText"/>
        <w:spacing w:before="9"/>
        <w:rPr>
          <w:sz w:val="20"/>
        </w:rPr>
      </w:pPr>
    </w:p>
    <w:p w:rsidR="007C5447" w:rsidRDefault="00F6308C">
      <w:pPr>
        <w:pStyle w:val="ListParagraph"/>
        <w:numPr>
          <w:ilvl w:val="2"/>
          <w:numId w:val="40"/>
        </w:numPr>
        <w:tabs>
          <w:tab w:val="left" w:pos="1113"/>
        </w:tabs>
        <w:spacing w:line="312" w:lineRule="auto"/>
        <w:ind w:left="1112" w:right="876"/>
        <w:jc w:val="both"/>
        <w:rPr>
          <w:sz w:val="24"/>
        </w:rPr>
      </w:pPr>
      <w:r>
        <w:rPr>
          <w:sz w:val="24"/>
        </w:rPr>
        <w:t>As discussed in the above section, GoTN has taken over Rs. 22,815 Crore of debt of TANGEDCO after signing UDAY. The Commission has not considered the consequential impact of debt take over while approving interest on loan for the Control Period from FY 201</w:t>
      </w:r>
      <w:r>
        <w:rPr>
          <w:sz w:val="24"/>
        </w:rPr>
        <w:t>6-17 to FY 2018-19. However, the Commission has adjusted the Rs. 22,815 Crore against Revenue Gap at the end of FY 2016-17 as UDAY has been signed in FY 2016-17. After adjusting Rs. 22,815 Crore, the Commission has computed carrying cost on Rs. 7,605 Crore</w:t>
      </w:r>
      <w:r>
        <w:rPr>
          <w:sz w:val="24"/>
        </w:rPr>
        <w:t xml:space="preserve"> at 6.35% (Bank Rate as of August 3, 2017 + 0.1%) in accordance with the UDAY MoU. Carrying cost on remaining balance after subtracting Rs. 7,605 Crore has been considered at</w:t>
      </w:r>
      <w:r>
        <w:rPr>
          <w:spacing w:val="-9"/>
          <w:sz w:val="24"/>
        </w:rPr>
        <w:t xml:space="preserve"> </w:t>
      </w:r>
      <w:r>
        <w:rPr>
          <w:sz w:val="24"/>
        </w:rPr>
        <w:t>11%.</w:t>
      </w:r>
    </w:p>
    <w:p w:rsidR="007C5447" w:rsidRDefault="007C5447">
      <w:pPr>
        <w:spacing w:line="312" w:lineRule="auto"/>
        <w:jc w:val="both"/>
        <w:rPr>
          <w:sz w:val="24"/>
        </w:rPr>
        <w:sectPr w:rsidR="007C5447">
          <w:footerReference w:type="default" r:id="rId70"/>
          <w:pgSz w:w="11910" w:h="16840"/>
          <w:pgMar w:top="1360" w:right="560" w:bottom="1240" w:left="1180" w:header="0" w:footer="1057" w:gutter="0"/>
          <w:cols w:space="720"/>
        </w:sectPr>
      </w:pPr>
    </w:p>
    <w:p w:rsidR="007C5447" w:rsidRDefault="00F6308C">
      <w:pPr>
        <w:pStyle w:val="Heading2"/>
        <w:spacing w:before="61" w:line="312" w:lineRule="auto"/>
        <w:ind w:left="4194" w:right="939" w:hanging="3863"/>
      </w:pPr>
      <w:r>
        <w:lastRenderedPageBreak/>
        <w:t>Table 5-12: Regulatory Asset at the end of FY 2016-17 as approved by the Commission (Rs. Crore)</w:t>
      </w:r>
    </w:p>
    <w:p w:rsidR="007C5447" w:rsidRDefault="007C5447">
      <w:pPr>
        <w:pStyle w:val="BodyText"/>
        <w:spacing w:before="6"/>
        <w:rPr>
          <w:b/>
          <w:sz w:val="10"/>
        </w:rPr>
      </w:pPr>
    </w:p>
    <w:tbl>
      <w:tblPr>
        <w:tblW w:w="0" w:type="auto"/>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4470"/>
        <w:gridCol w:w="1853"/>
        <w:gridCol w:w="2319"/>
      </w:tblGrid>
      <w:tr w:rsidR="007C5447">
        <w:trPr>
          <w:trHeight w:val="306"/>
        </w:trPr>
        <w:tc>
          <w:tcPr>
            <w:tcW w:w="811" w:type="dxa"/>
            <w:shd w:val="clear" w:color="auto" w:fill="F7C9AC"/>
          </w:tcPr>
          <w:p w:rsidR="007C5447" w:rsidRDefault="00F6308C">
            <w:pPr>
              <w:pStyle w:val="TableParagraph"/>
              <w:spacing w:before="13" w:line="273" w:lineRule="exact"/>
              <w:ind w:left="255" w:right="244"/>
              <w:jc w:val="center"/>
              <w:rPr>
                <w:b/>
                <w:sz w:val="24"/>
              </w:rPr>
            </w:pPr>
            <w:r>
              <w:rPr>
                <w:b/>
                <w:sz w:val="24"/>
              </w:rPr>
              <w:t>Sl.</w:t>
            </w:r>
          </w:p>
        </w:tc>
        <w:tc>
          <w:tcPr>
            <w:tcW w:w="4470" w:type="dxa"/>
            <w:shd w:val="clear" w:color="auto" w:fill="F7C9AC"/>
          </w:tcPr>
          <w:p w:rsidR="007C5447" w:rsidRDefault="00F6308C">
            <w:pPr>
              <w:pStyle w:val="TableParagraph"/>
              <w:spacing w:before="13" w:line="273" w:lineRule="exact"/>
              <w:ind w:left="1640" w:right="1633"/>
              <w:jc w:val="center"/>
              <w:rPr>
                <w:b/>
                <w:sz w:val="24"/>
              </w:rPr>
            </w:pPr>
            <w:r>
              <w:rPr>
                <w:b/>
                <w:sz w:val="24"/>
              </w:rPr>
              <w:t>Particulars</w:t>
            </w:r>
          </w:p>
        </w:tc>
        <w:tc>
          <w:tcPr>
            <w:tcW w:w="1853" w:type="dxa"/>
            <w:shd w:val="clear" w:color="auto" w:fill="F7C9AC"/>
          </w:tcPr>
          <w:p w:rsidR="007C5447" w:rsidRDefault="00F6308C">
            <w:pPr>
              <w:pStyle w:val="TableParagraph"/>
              <w:spacing w:before="13" w:line="273" w:lineRule="exact"/>
              <w:ind w:left="186" w:right="181"/>
              <w:jc w:val="center"/>
              <w:rPr>
                <w:b/>
                <w:sz w:val="24"/>
              </w:rPr>
            </w:pPr>
            <w:r>
              <w:rPr>
                <w:b/>
                <w:sz w:val="24"/>
              </w:rPr>
              <w:t>Legend</w:t>
            </w:r>
          </w:p>
        </w:tc>
        <w:tc>
          <w:tcPr>
            <w:tcW w:w="2319" w:type="dxa"/>
            <w:shd w:val="clear" w:color="auto" w:fill="F7C9AC"/>
          </w:tcPr>
          <w:p w:rsidR="007C5447" w:rsidRDefault="00F6308C">
            <w:pPr>
              <w:pStyle w:val="TableParagraph"/>
              <w:spacing w:before="13" w:line="273" w:lineRule="exact"/>
              <w:ind w:left="568"/>
              <w:jc w:val="left"/>
              <w:rPr>
                <w:b/>
                <w:sz w:val="24"/>
              </w:rPr>
            </w:pPr>
            <w:r>
              <w:rPr>
                <w:b/>
                <w:sz w:val="24"/>
              </w:rPr>
              <w:t>FY 2016-17</w:t>
            </w:r>
          </w:p>
        </w:tc>
      </w:tr>
      <w:tr w:rsidR="007C5447">
        <w:trPr>
          <w:trHeight w:val="304"/>
        </w:trPr>
        <w:tc>
          <w:tcPr>
            <w:tcW w:w="811" w:type="dxa"/>
          </w:tcPr>
          <w:p w:rsidR="007C5447" w:rsidRDefault="00F6308C">
            <w:pPr>
              <w:pStyle w:val="TableParagraph"/>
              <w:spacing w:before="13" w:line="271" w:lineRule="exact"/>
              <w:ind w:left="9"/>
              <w:jc w:val="center"/>
              <w:rPr>
                <w:sz w:val="24"/>
              </w:rPr>
            </w:pPr>
            <w:r>
              <w:rPr>
                <w:sz w:val="24"/>
              </w:rPr>
              <w:t>1</w:t>
            </w:r>
          </w:p>
        </w:tc>
        <w:tc>
          <w:tcPr>
            <w:tcW w:w="4470" w:type="dxa"/>
          </w:tcPr>
          <w:p w:rsidR="007C5447" w:rsidRDefault="00F6308C">
            <w:pPr>
              <w:pStyle w:val="TableParagraph"/>
              <w:spacing w:before="13" w:line="271" w:lineRule="exact"/>
              <w:ind w:left="107"/>
              <w:jc w:val="left"/>
              <w:rPr>
                <w:sz w:val="24"/>
              </w:rPr>
            </w:pPr>
            <w:r>
              <w:rPr>
                <w:sz w:val="24"/>
              </w:rPr>
              <w:t>Opening balance</w:t>
            </w:r>
          </w:p>
        </w:tc>
        <w:tc>
          <w:tcPr>
            <w:tcW w:w="1853" w:type="dxa"/>
          </w:tcPr>
          <w:p w:rsidR="007C5447" w:rsidRDefault="00F6308C">
            <w:pPr>
              <w:pStyle w:val="TableParagraph"/>
              <w:spacing w:before="13" w:line="271" w:lineRule="exact"/>
              <w:ind w:left="9"/>
              <w:jc w:val="center"/>
              <w:rPr>
                <w:sz w:val="24"/>
              </w:rPr>
            </w:pPr>
            <w:r>
              <w:rPr>
                <w:w w:val="99"/>
                <w:sz w:val="24"/>
              </w:rPr>
              <w:t>A</w:t>
            </w:r>
          </w:p>
        </w:tc>
        <w:tc>
          <w:tcPr>
            <w:tcW w:w="2319" w:type="dxa"/>
          </w:tcPr>
          <w:p w:rsidR="007C5447" w:rsidRDefault="00F6308C">
            <w:pPr>
              <w:pStyle w:val="TableParagraph"/>
              <w:spacing w:before="13" w:line="271" w:lineRule="exact"/>
              <w:ind w:right="226"/>
              <w:rPr>
                <w:sz w:val="24"/>
              </w:rPr>
            </w:pPr>
            <w:r>
              <w:rPr>
                <w:sz w:val="24"/>
              </w:rPr>
              <w:t>30,884.15</w:t>
            </w:r>
          </w:p>
        </w:tc>
      </w:tr>
      <w:tr w:rsidR="007C5447">
        <w:trPr>
          <w:trHeight w:val="306"/>
        </w:trPr>
        <w:tc>
          <w:tcPr>
            <w:tcW w:w="811" w:type="dxa"/>
          </w:tcPr>
          <w:p w:rsidR="007C5447" w:rsidRDefault="00F6308C">
            <w:pPr>
              <w:pStyle w:val="TableParagraph"/>
              <w:spacing w:before="15" w:line="271" w:lineRule="exact"/>
              <w:ind w:left="9"/>
              <w:jc w:val="center"/>
              <w:rPr>
                <w:sz w:val="24"/>
              </w:rPr>
            </w:pPr>
            <w:r>
              <w:rPr>
                <w:sz w:val="24"/>
              </w:rPr>
              <w:t>2</w:t>
            </w:r>
          </w:p>
        </w:tc>
        <w:tc>
          <w:tcPr>
            <w:tcW w:w="4470" w:type="dxa"/>
          </w:tcPr>
          <w:p w:rsidR="007C5447" w:rsidRDefault="00F6308C">
            <w:pPr>
              <w:pStyle w:val="TableParagraph"/>
              <w:spacing w:before="15" w:line="271" w:lineRule="exact"/>
              <w:ind w:left="107"/>
              <w:jc w:val="left"/>
              <w:rPr>
                <w:sz w:val="24"/>
              </w:rPr>
            </w:pPr>
            <w:r>
              <w:rPr>
                <w:sz w:val="24"/>
              </w:rPr>
              <w:t>Addition during the year</w:t>
            </w:r>
          </w:p>
        </w:tc>
        <w:tc>
          <w:tcPr>
            <w:tcW w:w="1853" w:type="dxa"/>
          </w:tcPr>
          <w:p w:rsidR="007C5447" w:rsidRDefault="00F6308C">
            <w:pPr>
              <w:pStyle w:val="TableParagraph"/>
              <w:spacing w:before="15" w:line="271" w:lineRule="exact"/>
              <w:ind w:left="6"/>
              <w:jc w:val="center"/>
              <w:rPr>
                <w:sz w:val="24"/>
              </w:rPr>
            </w:pPr>
            <w:r>
              <w:rPr>
                <w:sz w:val="24"/>
              </w:rPr>
              <w:t>B</w:t>
            </w:r>
          </w:p>
        </w:tc>
        <w:tc>
          <w:tcPr>
            <w:tcW w:w="2319" w:type="dxa"/>
          </w:tcPr>
          <w:p w:rsidR="007C5447" w:rsidRDefault="00F6308C">
            <w:pPr>
              <w:pStyle w:val="TableParagraph"/>
              <w:spacing w:before="15" w:line="271" w:lineRule="exact"/>
              <w:ind w:right="226"/>
              <w:rPr>
                <w:sz w:val="24"/>
              </w:rPr>
            </w:pPr>
            <w:r>
              <w:rPr>
                <w:sz w:val="24"/>
              </w:rPr>
              <w:t>2,864.47</w:t>
            </w:r>
          </w:p>
        </w:tc>
      </w:tr>
      <w:tr w:rsidR="007C5447">
        <w:trPr>
          <w:trHeight w:val="306"/>
        </w:trPr>
        <w:tc>
          <w:tcPr>
            <w:tcW w:w="811" w:type="dxa"/>
          </w:tcPr>
          <w:p w:rsidR="007C5447" w:rsidRDefault="00F6308C">
            <w:pPr>
              <w:pStyle w:val="TableParagraph"/>
              <w:spacing w:before="13" w:line="273" w:lineRule="exact"/>
              <w:ind w:left="9"/>
              <w:jc w:val="center"/>
              <w:rPr>
                <w:sz w:val="24"/>
              </w:rPr>
            </w:pPr>
            <w:r>
              <w:rPr>
                <w:sz w:val="24"/>
              </w:rPr>
              <w:t>3</w:t>
            </w:r>
          </w:p>
        </w:tc>
        <w:tc>
          <w:tcPr>
            <w:tcW w:w="4470" w:type="dxa"/>
          </w:tcPr>
          <w:p w:rsidR="007C5447" w:rsidRDefault="00F6308C">
            <w:pPr>
              <w:pStyle w:val="TableParagraph"/>
              <w:spacing w:before="13" w:line="273" w:lineRule="exact"/>
              <w:ind w:left="107"/>
              <w:jc w:val="left"/>
              <w:rPr>
                <w:sz w:val="24"/>
              </w:rPr>
            </w:pPr>
            <w:r>
              <w:rPr>
                <w:sz w:val="24"/>
              </w:rPr>
              <w:t>Gap of FY 2010-11 amortized under FRP</w:t>
            </w:r>
          </w:p>
        </w:tc>
        <w:tc>
          <w:tcPr>
            <w:tcW w:w="1853" w:type="dxa"/>
          </w:tcPr>
          <w:p w:rsidR="007C5447" w:rsidRDefault="00F6308C">
            <w:pPr>
              <w:pStyle w:val="TableParagraph"/>
              <w:spacing w:before="13" w:line="273" w:lineRule="exact"/>
              <w:ind w:left="6"/>
              <w:jc w:val="center"/>
              <w:rPr>
                <w:sz w:val="24"/>
              </w:rPr>
            </w:pPr>
            <w:r>
              <w:rPr>
                <w:sz w:val="24"/>
              </w:rPr>
              <w:t>C</w:t>
            </w:r>
          </w:p>
        </w:tc>
        <w:tc>
          <w:tcPr>
            <w:tcW w:w="2319" w:type="dxa"/>
          </w:tcPr>
          <w:p w:rsidR="007C5447" w:rsidRDefault="00F6308C">
            <w:pPr>
              <w:pStyle w:val="TableParagraph"/>
              <w:spacing w:before="13" w:line="273" w:lineRule="exact"/>
              <w:ind w:right="227"/>
              <w:rPr>
                <w:sz w:val="24"/>
              </w:rPr>
            </w:pPr>
            <w:r>
              <w:rPr>
                <w:sz w:val="24"/>
              </w:rPr>
              <w:t>(1,216.21)</w:t>
            </w:r>
          </w:p>
        </w:tc>
      </w:tr>
      <w:tr w:rsidR="007C5447">
        <w:trPr>
          <w:trHeight w:val="304"/>
        </w:trPr>
        <w:tc>
          <w:tcPr>
            <w:tcW w:w="811" w:type="dxa"/>
          </w:tcPr>
          <w:p w:rsidR="007C5447" w:rsidRDefault="00F6308C">
            <w:pPr>
              <w:pStyle w:val="TableParagraph"/>
              <w:spacing w:before="13" w:line="271" w:lineRule="exact"/>
              <w:ind w:left="9"/>
              <w:jc w:val="center"/>
              <w:rPr>
                <w:sz w:val="24"/>
              </w:rPr>
            </w:pPr>
            <w:r>
              <w:rPr>
                <w:sz w:val="24"/>
              </w:rPr>
              <w:t>4</w:t>
            </w:r>
          </w:p>
        </w:tc>
        <w:tc>
          <w:tcPr>
            <w:tcW w:w="4470" w:type="dxa"/>
          </w:tcPr>
          <w:p w:rsidR="007C5447" w:rsidRDefault="00F6308C">
            <w:pPr>
              <w:pStyle w:val="TableParagraph"/>
              <w:spacing w:before="13" w:line="271" w:lineRule="exact"/>
              <w:ind w:left="107"/>
              <w:jc w:val="left"/>
              <w:rPr>
                <w:sz w:val="24"/>
              </w:rPr>
            </w:pPr>
            <w:r>
              <w:rPr>
                <w:sz w:val="24"/>
              </w:rPr>
              <w:t>Closing balance</w:t>
            </w:r>
          </w:p>
        </w:tc>
        <w:tc>
          <w:tcPr>
            <w:tcW w:w="1853" w:type="dxa"/>
          </w:tcPr>
          <w:p w:rsidR="007C5447" w:rsidRDefault="00F6308C">
            <w:pPr>
              <w:pStyle w:val="TableParagraph"/>
              <w:spacing w:before="13" w:line="271" w:lineRule="exact"/>
              <w:ind w:left="186" w:right="183"/>
              <w:jc w:val="center"/>
              <w:rPr>
                <w:sz w:val="24"/>
              </w:rPr>
            </w:pPr>
            <w:r>
              <w:rPr>
                <w:sz w:val="24"/>
              </w:rPr>
              <w:t>D = A + B + C</w:t>
            </w:r>
          </w:p>
        </w:tc>
        <w:tc>
          <w:tcPr>
            <w:tcW w:w="2319" w:type="dxa"/>
          </w:tcPr>
          <w:p w:rsidR="007C5447" w:rsidRDefault="00F6308C">
            <w:pPr>
              <w:pStyle w:val="TableParagraph"/>
              <w:spacing w:before="13" w:line="271" w:lineRule="exact"/>
              <w:ind w:right="226"/>
              <w:rPr>
                <w:sz w:val="24"/>
              </w:rPr>
            </w:pPr>
            <w:r>
              <w:rPr>
                <w:sz w:val="24"/>
              </w:rPr>
              <w:t>32,532.41</w:t>
            </w:r>
          </w:p>
        </w:tc>
      </w:tr>
      <w:tr w:rsidR="007C5447">
        <w:trPr>
          <w:trHeight w:val="306"/>
        </w:trPr>
        <w:tc>
          <w:tcPr>
            <w:tcW w:w="811" w:type="dxa"/>
          </w:tcPr>
          <w:p w:rsidR="007C5447" w:rsidRDefault="00F6308C">
            <w:pPr>
              <w:pStyle w:val="TableParagraph"/>
              <w:spacing w:before="15" w:line="271" w:lineRule="exact"/>
              <w:ind w:left="9"/>
              <w:jc w:val="center"/>
              <w:rPr>
                <w:sz w:val="24"/>
              </w:rPr>
            </w:pPr>
            <w:r>
              <w:rPr>
                <w:sz w:val="24"/>
              </w:rPr>
              <w:t>5</w:t>
            </w:r>
          </w:p>
        </w:tc>
        <w:tc>
          <w:tcPr>
            <w:tcW w:w="4470" w:type="dxa"/>
          </w:tcPr>
          <w:p w:rsidR="007C5447" w:rsidRDefault="00F6308C">
            <w:pPr>
              <w:pStyle w:val="TableParagraph"/>
              <w:spacing w:before="15" w:line="271" w:lineRule="exact"/>
              <w:ind w:left="107"/>
              <w:jc w:val="left"/>
              <w:rPr>
                <w:sz w:val="24"/>
              </w:rPr>
            </w:pPr>
            <w:r>
              <w:rPr>
                <w:sz w:val="24"/>
              </w:rPr>
              <w:t>UDAY debt take over</w:t>
            </w:r>
          </w:p>
        </w:tc>
        <w:tc>
          <w:tcPr>
            <w:tcW w:w="1853" w:type="dxa"/>
          </w:tcPr>
          <w:p w:rsidR="007C5447" w:rsidRDefault="00F6308C">
            <w:pPr>
              <w:pStyle w:val="TableParagraph"/>
              <w:spacing w:before="15" w:line="271" w:lineRule="exact"/>
              <w:ind w:left="7"/>
              <w:jc w:val="center"/>
              <w:rPr>
                <w:sz w:val="24"/>
              </w:rPr>
            </w:pPr>
            <w:r>
              <w:rPr>
                <w:sz w:val="24"/>
              </w:rPr>
              <w:t>E</w:t>
            </w:r>
          </w:p>
        </w:tc>
        <w:tc>
          <w:tcPr>
            <w:tcW w:w="2319" w:type="dxa"/>
          </w:tcPr>
          <w:p w:rsidR="007C5447" w:rsidRDefault="00F6308C">
            <w:pPr>
              <w:pStyle w:val="TableParagraph"/>
              <w:spacing w:before="15" w:line="271" w:lineRule="exact"/>
              <w:ind w:right="226"/>
              <w:rPr>
                <w:sz w:val="24"/>
              </w:rPr>
            </w:pPr>
            <w:r>
              <w:rPr>
                <w:sz w:val="24"/>
              </w:rPr>
              <w:t>22,815.00</w:t>
            </w:r>
          </w:p>
        </w:tc>
      </w:tr>
      <w:tr w:rsidR="007C5447">
        <w:trPr>
          <w:trHeight w:val="582"/>
        </w:trPr>
        <w:tc>
          <w:tcPr>
            <w:tcW w:w="811" w:type="dxa"/>
          </w:tcPr>
          <w:p w:rsidR="007C5447" w:rsidRDefault="00F6308C">
            <w:pPr>
              <w:pStyle w:val="TableParagraph"/>
              <w:spacing w:before="152"/>
              <w:ind w:left="9"/>
              <w:jc w:val="center"/>
              <w:rPr>
                <w:sz w:val="24"/>
              </w:rPr>
            </w:pPr>
            <w:r>
              <w:rPr>
                <w:sz w:val="24"/>
              </w:rPr>
              <w:t>6</w:t>
            </w:r>
          </w:p>
        </w:tc>
        <w:tc>
          <w:tcPr>
            <w:tcW w:w="4470" w:type="dxa"/>
          </w:tcPr>
          <w:p w:rsidR="007C5447" w:rsidRDefault="00F6308C">
            <w:pPr>
              <w:pStyle w:val="TableParagraph"/>
              <w:spacing w:before="13" w:line="270" w:lineRule="atLeast"/>
              <w:ind w:left="107" w:right="161"/>
              <w:jc w:val="left"/>
              <w:rPr>
                <w:sz w:val="24"/>
              </w:rPr>
            </w:pPr>
            <w:r>
              <w:rPr>
                <w:sz w:val="24"/>
              </w:rPr>
              <w:t>Remaining balance after deducting debt taken over</w:t>
            </w:r>
          </w:p>
        </w:tc>
        <w:tc>
          <w:tcPr>
            <w:tcW w:w="1853" w:type="dxa"/>
          </w:tcPr>
          <w:p w:rsidR="007C5447" w:rsidRDefault="00F6308C">
            <w:pPr>
              <w:pStyle w:val="TableParagraph"/>
              <w:spacing w:before="152"/>
              <w:ind w:left="186" w:right="182"/>
              <w:jc w:val="center"/>
              <w:rPr>
                <w:sz w:val="24"/>
              </w:rPr>
            </w:pPr>
            <w:r>
              <w:rPr>
                <w:sz w:val="24"/>
              </w:rPr>
              <w:t>F = D – E</w:t>
            </w:r>
          </w:p>
        </w:tc>
        <w:tc>
          <w:tcPr>
            <w:tcW w:w="2319" w:type="dxa"/>
          </w:tcPr>
          <w:p w:rsidR="007C5447" w:rsidRDefault="00F6308C">
            <w:pPr>
              <w:pStyle w:val="TableParagraph"/>
              <w:spacing w:before="152"/>
              <w:ind w:right="226"/>
              <w:rPr>
                <w:sz w:val="24"/>
              </w:rPr>
            </w:pPr>
            <w:r>
              <w:rPr>
                <w:sz w:val="24"/>
              </w:rPr>
              <w:t>9,717.41</w:t>
            </w:r>
          </w:p>
        </w:tc>
      </w:tr>
      <w:tr w:rsidR="007C5447">
        <w:trPr>
          <w:trHeight w:val="580"/>
        </w:trPr>
        <w:tc>
          <w:tcPr>
            <w:tcW w:w="811" w:type="dxa"/>
          </w:tcPr>
          <w:p w:rsidR="007C5447" w:rsidRDefault="00F6308C">
            <w:pPr>
              <w:pStyle w:val="TableParagraph"/>
              <w:spacing w:before="150"/>
              <w:ind w:left="9"/>
              <w:jc w:val="center"/>
              <w:rPr>
                <w:sz w:val="24"/>
              </w:rPr>
            </w:pPr>
            <w:r>
              <w:rPr>
                <w:sz w:val="24"/>
              </w:rPr>
              <w:t>7</w:t>
            </w:r>
          </w:p>
        </w:tc>
        <w:tc>
          <w:tcPr>
            <w:tcW w:w="4470" w:type="dxa"/>
          </w:tcPr>
          <w:p w:rsidR="007C5447" w:rsidRDefault="00F6308C">
            <w:pPr>
              <w:pStyle w:val="TableParagraph"/>
              <w:spacing w:before="13" w:line="270" w:lineRule="atLeast"/>
              <w:ind w:left="107" w:right="874"/>
              <w:jc w:val="left"/>
              <w:rPr>
                <w:sz w:val="24"/>
              </w:rPr>
            </w:pPr>
            <w:r>
              <w:rPr>
                <w:sz w:val="24"/>
              </w:rPr>
              <w:t>25% of remaining debt after UDAY takeover</w:t>
            </w:r>
          </w:p>
        </w:tc>
        <w:tc>
          <w:tcPr>
            <w:tcW w:w="1853" w:type="dxa"/>
          </w:tcPr>
          <w:p w:rsidR="007C5447" w:rsidRDefault="00F6308C">
            <w:pPr>
              <w:pStyle w:val="TableParagraph"/>
              <w:spacing w:before="150"/>
              <w:ind w:left="9"/>
              <w:jc w:val="center"/>
              <w:rPr>
                <w:sz w:val="24"/>
              </w:rPr>
            </w:pPr>
            <w:r>
              <w:rPr>
                <w:w w:val="99"/>
                <w:sz w:val="24"/>
              </w:rPr>
              <w:t>G</w:t>
            </w:r>
          </w:p>
        </w:tc>
        <w:tc>
          <w:tcPr>
            <w:tcW w:w="2319" w:type="dxa"/>
          </w:tcPr>
          <w:p w:rsidR="007C5447" w:rsidRDefault="00F6308C">
            <w:pPr>
              <w:pStyle w:val="TableParagraph"/>
              <w:spacing w:before="150"/>
              <w:ind w:right="226"/>
              <w:rPr>
                <w:sz w:val="24"/>
              </w:rPr>
            </w:pPr>
            <w:r>
              <w:rPr>
                <w:sz w:val="24"/>
              </w:rPr>
              <w:t>7,605.00</w:t>
            </w:r>
          </w:p>
        </w:tc>
      </w:tr>
      <w:tr w:rsidR="007C5447">
        <w:trPr>
          <w:trHeight w:val="306"/>
        </w:trPr>
        <w:tc>
          <w:tcPr>
            <w:tcW w:w="811" w:type="dxa"/>
          </w:tcPr>
          <w:p w:rsidR="007C5447" w:rsidRDefault="00F6308C">
            <w:pPr>
              <w:pStyle w:val="TableParagraph"/>
              <w:spacing w:before="15" w:line="271" w:lineRule="exact"/>
              <w:ind w:left="9"/>
              <w:jc w:val="center"/>
              <w:rPr>
                <w:b/>
                <w:sz w:val="24"/>
              </w:rPr>
            </w:pPr>
            <w:r>
              <w:rPr>
                <w:b/>
                <w:sz w:val="24"/>
              </w:rPr>
              <w:t>8</w:t>
            </w:r>
          </w:p>
        </w:tc>
        <w:tc>
          <w:tcPr>
            <w:tcW w:w="4470" w:type="dxa"/>
          </w:tcPr>
          <w:p w:rsidR="007C5447" w:rsidRDefault="00F6308C">
            <w:pPr>
              <w:pStyle w:val="TableParagraph"/>
              <w:spacing w:before="15" w:line="271" w:lineRule="exact"/>
              <w:ind w:left="107"/>
              <w:jc w:val="left"/>
              <w:rPr>
                <w:sz w:val="24"/>
              </w:rPr>
            </w:pPr>
            <w:r>
              <w:rPr>
                <w:sz w:val="24"/>
              </w:rPr>
              <w:t>Balance amount</w:t>
            </w:r>
          </w:p>
        </w:tc>
        <w:tc>
          <w:tcPr>
            <w:tcW w:w="1853" w:type="dxa"/>
          </w:tcPr>
          <w:p w:rsidR="007C5447" w:rsidRDefault="00F6308C">
            <w:pPr>
              <w:pStyle w:val="TableParagraph"/>
              <w:spacing w:before="15" w:line="271" w:lineRule="exact"/>
              <w:ind w:left="186" w:right="179"/>
              <w:jc w:val="center"/>
              <w:rPr>
                <w:sz w:val="24"/>
              </w:rPr>
            </w:pPr>
            <w:r>
              <w:rPr>
                <w:sz w:val="24"/>
              </w:rPr>
              <w:t>H = F – G</w:t>
            </w:r>
          </w:p>
        </w:tc>
        <w:tc>
          <w:tcPr>
            <w:tcW w:w="2319" w:type="dxa"/>
          </w:tcPr>
          <w:p w:rsidR="007C5447" w:rsidRDefault="00F6308C">
            <w:pPr>
              <w:pStyle w:val="TableParagraph"/>
              <w:spacing w:before="15" w:line="271" w:lineRule="exact"/>
              <w:ind w:right="226"/>
              <w:rPr>
                <w:sz w:val="24"/>
              </w:rPr>
            </w:pPr>
            <w:r>
              <w:rPr>
                <w:sz w:val="24"/>
              </w:rPr>
              <w:t>2,112.41</w:t>
            </w:r>
          </w:p>
        </w:tc>
      </w:tr>
      <w:tr w:rsidR="007C5447">
        <w:trPr>
          <w:trHeight w:val="582"/>
        </w:trPr>
        <w:tc>
          <w:tcPr>
            <w:tcW w:w="811" w:type="dxa"/>
          </w:tcPr>
          <w:p w:rsidR="007C5447" w:rsidRDefault="00F6308C">
            <w:pPr>
              <w:pStyle w:val="TableParagraph"/>
              <w:spacing w:before="152"/>
              <w:ind w:left="9"/>
              <w:jc w:val="center"/>
              <w:rPr>
                <w:sz w:val="24"/>
              </w:rPr>
            </w:pPr>
            <w:r>
              <w:rPr>
                <w:sz w:val="24"/>
              </w:rPr>
              <w:t>9</w:t>
            </w:r>
          </w:p>
        </w:tc>
        <w:tc>
          <w:tcPr>
            <w:tcW w:w="4470" w:type="dxa"/>
          </w:tcPr>
          <w:p w:rsidR="007C5447" w:rsidRDefault="00F6308C">
            <w:pPr>
              <w:pStyle w:val="TableParagraph"/>
              <w:spacing w:before="13" w:line="270" w:lineRule="atLeast"/>
              <w:ind w:left="107" w:right="161"/>
              <w:jc w:val="left"/>
              <w:rPr>
                <w:sz w:val="24"/>
              </w:rPr>
            </w:pPr>
            <w:r>
              <w:rPr>
                <w:sz w:val="24"/>
              </w:rPr>
              <w:t>Interest rate for computing carrying cost on Rs. 7605 Crore (Bank Rate + 0.1%)</w:t>
            </w:r>
          </w:p>
        </w:tc>
        <w:tc>
          <w:tcPr>
            <w:tcW w:w="1853" w:type="dxa"/>
          </w:tcPr>
          <w:p w:rsidR="007C5447" w:rsidRDefault="00F6308C">
            <w:pPr>
              <w:pStyle w:val="TableParagraph"/>
              <w:spacing w:before="152"/>
              <w:ind w:left="7"/>
              <w:jc w:val="center"/>
              <w:rPr>
                <w:sz w:val="24"/>
              </w:rPr>
            </w:pPr>
            <w:r>
              <w:rPr>
                <w:w w:val="99"/>
                <w:sz w:val="24"/>
              </w:rPr>
              <w:t>I</w:t>
            </w:r>
          </w:p>
        </w:tc>
        <w:tc>
          <w:tcPr>
            <w:tcW w:w="2319" w:type="dxa"/>
          </w:tcPr>
          <w:p w:rsidR="007C5447" w:rsidRDefault="00F6308C">
            <w:pPr>
              <w:pStyle w:val="TableParagraph"/>
              <w:spacing w:before="152"/>
              <w:ind w:right="225"/>
              <w:rPr>
                <w:sz w:val="24"/>
              </w:rPr>
            </w:pPr>
            <w:r>
              <w:rPr>
                <w:sz w:val="24"/>
              </w:rPr>
              <w:t>6.35%</w:t>
            </w:r>
          </w:p>
        </w:tc>
      </w:tr>
      <w:tr w:rsidR="007C5447">
        <w:trPr>
          <w:trHeight w:val="580"/>
        </w:trPr>
        <w:tc>
          <w:tcPr>
            <w:tcW w:w="811" w:type="dxa"/>
          </w:tcPr>
          <w:p w:rsidR="007C5447" w:rsidRDefault="00F6308C">
            <w:pPr>
              <w:pStyle w:val="TableParagraph"/>
              <w:spacing w:before="150"/>
              <w:ind w:left="253" w:right="244"/>
              <w:jc w:val="center"/>
              <w:rPr>
                <w:sz w:val="24"/>
              </w:rPr>
            </w:pPr>
            <w:r>
              <w:rPr>
                <w:sz w:val="24"/>
              </w:rPr>
              <w:t>10</w:t>
            </w:r>
          </w:p>
        </w:tc>
        <w:tc>
          <w:tcPr>
            <w:tcW w:w="4470" w:type="dxa"/>
          </w:tcPr>
          <w:p w:rsidR="007C5447" w:rsidRDefault="00F6308C">
            <w:pPr>
              <w:pStyle w:val="TableParagraph"/>
              <w:spacing w:before="13" w:line="270" w:lineRule="atLeast"/>
              <w:ind w:left="107" w:right="161"/>
              <w:jc w:val="left"/>
              <w:rPr>
                <w:sz w:val="24"/>
              </w:rPr>
            </w:pPr>
            <w:r>
              <w:rPr>
                <w:sz w:val="24"/>
              </w:rPr>
              <w:t>Interest rate for computing carrying cost on balance amount</w:t>
            </w:r>
          </w:p>
        </w:tc>
        <w:tc>
          <w:tcPr>
            <w:tcW w:w="1853" w:type="dxa"/>
          </w:tcPr>
          <w:p w:rsidR="007C5447" w:rsidRDefault="00F6308C">
            <w:pPr>
              <w:pStyle w:val="TableParagraph"/>
              <w:spacing w:before="150"/>
              <w:ind w:left="6"/>
              <w:jc w:val="center"/>
              <w:rPr>
                <w:sz w:val="24"/>
              </w:rPr>
            </w:pPr>
            <w:r>
              <w:rPr>
                <w:w w:val="99"/>
                <w:sz w:val="24"/>
              </w:rPr>
              <w:t>J</w:t>
            </w:r>
          </w:p>
        </w:tc>
        <w:tc>
          <w:tcPr>
            <w:tcW w:w="2319" w:type="dxa"/>
          </w:tcPr>
          <w:p w:rsidR="007C5447" w:rsidRDefault="00F6308C">
            <w:pPr>
              <w:pStyle w:val="TableParagraph"/>
              <w:spacing w:before="150"/>
              <w:ind w:right="225"/>
              <w:rPr>
                <w:sz w:val="24"/>
              </w:rPr>
            </w:pPr>
            <w:r>
              <w:rPr>
                <w:sz w:val="24"/>
              </w:rPr>
              <w:t>11.00%</w:t>
            </w:r>
          </w:p>
        </w:tc>
      </w:tr>
      <w:tr w:rsidR="007C5447">
        <w:trPr>
          <w:trHeight w:val="582"/>
        </w:trPr>
        <w:tc>
          <w:tcPr>
            <w:tcW w:w="811" w:type="dxa"/>
          </w:tcPr>
          <w:p w:rsidR="007C5447" w:rsidRDefault="00F6308C">
            <w:pPr>
              <w:pStyle w:val="TableParagraph"/>
              <w:spacing w:before="152"/>
              <w:ind w:left="253" w:right="244"/>
              <w:jc w:val="center"/>
              <w:rPr>
                <w:sz w:val="24"/>
              </w:rPr>
            </w:pPr>
            <w:r>
              <w:rPr>
                <w:sz w:val="24"/>
              </w:rPr>
              <w:t>11</w:t>
            </w:r>
          </w:p>
        </w:tc>
        <w:tc>
          <w:tcPr>
            <w:tcW w:w="4470" w:type="dxa"/>
          </w:tcPr>
          <w:p w:rsidR="007C5447" w:rsidRDefault="00F6308C">
            <w:pPr>
              <w:pStyle w:val="TableParagraph"/>
              <w:spacing w:before="152"/>
              <w:ind w:left="107"/>
              <w:jc w:val="left"/>
              <w:rPr>
                <w:sz w:val="24"/>
              </w:rPr>
            </w:pPr>
            <w:r>
              <w:rPr>
                <w:sz w:val="24"/>
              </w:rPr>
              <w:t>Carrying Cost</w:t>
            </w:r>
          </w:p>
        </w:tc>
        <w:tc>
          <w:tcPr>
            <w:tcW w:w="1853" w:type="dxa"/>
          </w:tcPr>
          <w:p w:rsidR="007C5447" w:rsidRDefault="00F6308C">
            <w:pPr>
              <w:pStyle w:val="TableParagraph"/>
              <w:spacing w:before="15" w:line="270" w:lineRule="atLeast"/>
              <w:ind w:left="659" w:right="313" w:hanging="320"/>
              <w:jc w:val="left"/>
              <w:rPr>
                <w:sz w:val="24"/>
              </w:rPr>
            </w:pPr>
            <w:r>
              <w:rPr>
                <w:sz w:val="24"/>
              </w:rPr>
              <w:t>K = (G*J) + (H*I)</w:t>
            </w:r>
          </w:p>
        </w:tc>
        <w:tc>
          <w:tcPr>
            <w:tcW w:w="2319" w:type="dxa"/>
          </w:tcPr>
          <w:p w:rsidR="007C5447" w:rsidRDefault="00F6308C">
            <w:pPr>
              <w:pStyle w:val="TableParagraph"/>
              <w:spacing w:before="152"/>
              <w:ind w:right="226"/>
              <w:rPr>
                <w:sz w:val="24"/>
              </w:rPr>
            </w:pPr>
            <w:r>
              <w:rPr>
                <w:sz w:val="24"/>
              </w:rPr>
              <w:t>715.28</w:t>
            </w:r>
          </w:p>
        </w:tc>
      </w:tr>
      <w:tr w:rsidR="007C5447">
        <w:trPr>
          <w:trHeight w:val="306"/>
        </w:trPr>
        <w:tc>
          <w:tcPr>
            <w:tcW w:w="811" w:type="dxa"/>
          </w:tcPr>
          <w:p w:rsidR="007C5447" w:rsidRDefault="00F6308C">
            <w:pPr>
              <w:pStyle w:val="TableParagraph"/>
              <w:spacing w:before="13" w:line="273" w:lineRule="exact"/>
              <w:ind w:left="253" w:right="244"/>
              <w:jc w:val="center"/>
              <w:rPr>
                <w:b/>
                <w:sz w:val="24"/>
              </w:rPr>
            </w:pPr>
            <w:r>
              <w:rPr>
                <w:b/>
                <w:sz w:val="24"/>
              </w:rPr>
              <w:t>12</w:t>
            </w:r>
          </w:p>
        </w:tc>
        <w:tc>
          <w:tcPr>
            <w:tcW w:w="4470" w:type="dxa"/>
          </w:tcPr>
          <w:p w:rsidR="007C5447" w:rsidRDefault="00F6308C">
            <w:pPr>
              <w:pStyle w:val="TableParagraph"/>
              <w:spacing w:before="13" w:line="273" w:lineRule="exact"/>
              <w:ind w:left="107"/>
              <w:jc w:val="left"/>
              <w:rPr>
                <w:b/>
                <w:sz w:val="24"/>
              </w:rPr>
            </w:pPr>
            <w:r>
              <w:rPr>
                <w:b/>
                <w:sz w:val="24"/>
              </w:rPr>
              <w:t>Regulatory Asset</w:t>
            </w:r>
          </w:p>
        </w:tc>
        <w:tc>
          <w:tcPr>
            <w:tcW w:w="1853" w:type="dxa"/>
          </w:tcPr>
          <w:p w:rsidR="007C5447" w:rsidRDefault="00F6308C">
            <w:pPr>
              <w:pStyle w:val="TableParagraph"/>
              <w:spacing w:before="13" w:line="273" w:lineRule="exact"/>
              <w:ind w:left="186" w:right="178"/>
              <w:jc w:val="center"/>
              <w:rPr>
                <w:b/>
                <w:sz w:val="24"/>
              </w:rPr>
            </w:pPr>
            <w:r>
              <w:rPr>
                <w:b/>
                <w:sz w:val="24"/>
              </w:rPr>
              <w:t>L = F + K</w:t>
            </w:r>
          </w:p>
        </w:tc>
        <w:tc>
          <w:tcPr>
            <w:tcW w:w="2319" w:type="dxa"/>
          </w:tcPr>
          <w:p w:rsidR="007C5447" w:rsidRDefault="00F6308C">
            <w:pPr>
              <w:pStyle w:val="TableParagraph"/>
              <w:spacing w:before="13" w:line="273" w:lineRule="exact"/>
              <w:ind w:right="226"/>
              <w:rPr>
                <w:b/>
                <w:sz w:val="24"/>
              </w:rPr>
            </w:pPr>
            <w:r>
              <w:rPr>
                <w:b/>
                <w:sz w:val="24"/>
              </w:rPr>
              <w:t>10,432.70</w:t>
            </w:r>
          </w:p>
        </w:tc>
      </w:tr>
    </w:tbl>
    <w:p w:rsidR="007C5447" w:rsidRDefault="007C5447">
      <w:pPr>
        <w:pStyle w:val="BodyText"/>
        <w:rPr>
          <w:b/>
          <w:sz w:val="26"/>
        </w:rPr>
      </w:pPr>
    </w:p>
    <w:p w:rsidR="007C5447" w:rsidRDefault="007C5447">
      <w:pPr>
        <w:pStyle w:val="BodyText"/>
        <w:rPr>
          <w:b/>
          <w:sz w:val="26"/>
        </w:rPr>
      </w:pPr>
    </w:p>
    <w:p w:rsidR="007C5447" w:rsidRDefault="007C5447">
      <w:pPr>
        <w:pStyle w:val="BodyText"/>
        <w:spacing w:before="9"/>
        <w:rPr>
          <w:b/>
          <w:sz w:val="20"/>
        </w:rPr>
      </w:pPr>
    </w:p>
    <w:p w:rsidR="007C5447" w:rsidRDefault="00F6308C">
      <w:pPr>
        <w:ind w:left="1112"/>
        <w:rPr>
          <w:b/>
          <w:sz w:val="24"/>
        </w:rPr>
      </w:pPr>
      <w:r>
        <w:rPr>
          <w:b/>
          <w:sz w:val="24"/>
        </w:rPr>
        <w:t>Recovery of Regulatory Asset</w:t>
      </w:r>
    </w:p>
    <w:p w:rsidR="007C5447" w:rsidRDefault="00F6308C">
      <w:pPr>
        <w:pStyle w:val="ListParagraph"/>
        <w:numPr>
          <w:ilvl w:val="2"/>
          <w:numId w:val="40"/>
        </w:numPr>
        <w:tabs>
          <w:tab w:val="left" w:pos="1113"/>
        </w:tabs>
        <w:spacing w:before="204" w:line="312" w:lineRule="auto"/>
        <w:ind w:left="1112" w:right="877"/>
        <w:jc w:val="both"/>
        <w:rPr>
          <w:sz w:val="24"/>
        </w:rPr>
      </w:pPr>
      <w:r>
        <w:rPr>
          <w:sz w:val="24"/>
        </w:rPr>
        <w:t>The Commission has not considered any methodology for recovery of regulatory assets of Rs. 10,432.70 Crore, as TANGEDCO has not claimed recovery of Regulatory Assets in the instant Petition. As proposed by TANGEDCO, it may submit the appropriate proposal f</w:t>
      </w:r>
      <w:r>
        <w:rPr>
          <w:sz w:val="24"/>
        </w:rPr>
        <w:t>or recovery of the Regulatory Asset at the appropriate time, after discussion of the various options with the GoTN. As and when TANGEDCO files its Petition for recovery of the Regulatory Asset, the Commission would deal with the same after due regulatory p</w:t>
      </w:r>
      <w:r>
        <w:rPr>
          <w:sz w:val="24"/>
        </w:rPr>
        <w:t>rocess. The Commission further directs TANGEDCO to strive towards reducing a part of the Regulatory Assets by way of improving operational parameters as committed under the UDAY</w:t>
      </w:r>
      <w:r>
        <w:rPr>
          <w:spacing w:val="-1"/>
          <w:sz w:val="24"/>
        </w:rPr>
        <w:t xml:space="preserve"> </w:t>
      </w:r>
      <w:r>
        <w:rPr>
          <w:sz w:val="24"/>
        </w:rPr>
        <w:t>MoU.</w:t>
      </w:r>
    </w:p>
    <w:p w:rsidR="007C5447" w:rsidRDefault="007C5447">
      <w:pPr>
        <w:pStyle w:val="BodyText"/>
        <w:rPr>
          <w:sz w:val="26"/>
        </w:rPr>
      </w:pPr>
    </w:p>
    <w:p w:rsidR="007C5447" w:rsidRDefault="007C5447">
      <w:pPr>
        <w:pStyle w:val="BodyText"/>
        <w:rPr>
          <w:sz w:val="26"/>
        </w:rPr>
      </w:pPr>
    </w:p>
    <w:p w:rsidR="007C5447" w:rsidRDefault="007C5447">
      <w:pPr>
        <w:pStyle w:val="BodyText"/>
        <w:spacing w:before="10"/>
        <w:rPr>
          <w:sz w:val="20"/>
        </w:rPr>
      </w:pPr>
    </w:p>
    <w:p w:rsidR="007C5447" w:rsidRDefault="00F6308C">
      <w:pPr>
        <w:pStyle w:val="Heading2"/>
        <w:numPr>
          <w:ilvl w:val="1"/>
          <w:numId w:val="40"/>
        </w:numPr>
        <w:tabs>
          <w:tab w:val="left" w:pos="826"/>
          <w:tab w:val="left" w:pos="827"/>
        </w:tabs>
        <w:spacing w:before="1"/>
        <w:ind w:left="826"/>
        <w:jc w:val="left"/>
      </w:pPr>
      <w:bookmarkStart w:id="83" w:name="_bookmark83"/>
      <w:bookmarkEnd w:id="83"/>
      <w:r>
        <w:t>Average Cost of Supply, VCOS and Cross Subsidy Trajectory for FY</w:t>
      </w:r>
      <w:r>
        <w:rPr>
          <w:spacing w:val="-6"/>
        </w:rPr>
        <w:t xml:space="preserve"> </w:t>
      </w:r>
      <w:r>
        <w:t>2017-</w:t>
      </w:r>
      <w:r>
        <w:t>18</w:t>
      </w:r>
    </w:p>
    <w:p w:rsidR="007C5447" w:rsidRDefault="007C5447">
      <w:pPr>
        <w:pStyle w:val="BodyText"/>
        <w:spacing w:before="10"/>
        <w:rPr>
          <w:b/>
          <w:sz w:val="27"/>
        </w:rPr>
      </w:pPr>
    </w:p>
    <w:p w:rsidR="007C5447" w:rsidRDefault="00F6308C">
      <w:pPr>
        <w:pStyle w:val="ListParagraph"/>
        <w:numPr>
          <w:ilvl w:val="2"/>
          <w:numId w:val="40"/>
        </w:numPr>
        <w:tabs>
          <w:tab w:val="left" w:pos="1113"/>
        </w:tabs>
        <w:spacing w:before="1" w:line="312" w:lineRule="auto"/>
        <w:ind w:left="1112" w:right="874"/>
        <w:jc w:val="both"/>
        <w:rPr>
          <w:sz w:val="24"/>
        </w:rPr>
      </w:pPr>
      <w:r>
        <w:rPr>
          <w:sz w:val="24"/>
        </w:rPr>
        <w:t>Based on the approved sales and ARR for FY 2017-18, the Average Cost of Supply (ACOS) determined by the Commission is shown in the Table</w:t>
      </w:r>
      <w:r>
        <w:rPr>
          <w:spacing w:val="-11"/>
          <w:sz w:val="24"/>
        </w:rPr>
        <w:t xml:space="preserve"> </w:t>
      </w:r>
      <w:r>
        <w:rPr>
          <w:sz w:val="24"/>
        </w:rPr>
        <w:t>below:</w:t>
      </w:r>
    </w:p>
    <w:p w:rsidR="007C5447" w:rsidRDefault="007C5447">
      <w:pPr>
        <w:spacing w:line="312" w:lineRule="auto"/>
        <w:jc w:val="both"/>
        <w:rPr>
          <w:sz w:val="24"/>
        </w:rPr>
        <w:sectPr w:rsidR="007C5447">
          <w:footerReference w:type="default" r:id="rId71"/>
          <w:pgSz w:w="11910" w:h="16840"/>
          <w:pgMar w:top="1480" w:right="560" w:bottom="1240" w:left="1180" w:header="0" w:footer="1057" w:gutter="0"/>
          <w:pgNumType w:start="291"/>
          <w:cols w:space="720"/>
        </w:sectPr>
      </w:pPr>
    </w:p>
    <w:p w:rsidR="007C5447" w:rsidRDefault="00F6308C">
      <w:pPr>
        <w:pStyle w:val="Heading2"/>
        <w:spacing w:before="60"/>
        <w:ind w:left="1604"/>
      </w:pPr>
      <w:r>
        <w:lastRenderedPageBreak/>
        <w:t>Table 5-13: App</w:t>
      </w:r>
      <w:r>
        <w:t>roved Average Cost of Supply for FY 2017-18</w:t>
      </w:r>
    </w:p>
    <w:p w:rsidR="007C5447" w:rsidRDefault="007C5447">
      <w:pPr>
        <w:pStyle w:val="BodyText"/>
        <w:spacing w:before="8"/>
        <w:rPr>
          <w:b/>
          <w:sz w:val="17"/>
        </w:rPr>
      </w:pPr>
    </w:p>
    <w:tbl>
      <w:tblPr>
        <w:tblW w:w="0" w:type="auto"/>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3120"/>
        <w:gridCol w:w="1274"/>
        <w:gridCol w:w="1778"/>
      </w:tblGrid>
      <w:tr w:rsidR="007C5447">
        <w:trPr>
          <w:trHeight w:val="361"/>
        </w:trPr>
        <w:tc>
          <w:tcPr>
            <w:tcW w:w="566" w:type="dxa"/>
            <w:shd w:val="clear" w:color="auto" w:fill="F7C9AC"/>
          </w:tcPr>
          <w:p w:rsidR="007C5447" w:rsidRDefault="00F6308C">
            <w:pPr>
              <w:pStyle w:val="TableParagraph"/>
              <w:spacing w:before="53"/>
              <w:ind w:left="140" w:right="136"/>
              <w:jc w:val="center"/>
              <w:rPr>
                <w:b/>
              </w:rPr>
            </w:pPr>
            <w:r>
              <w:rPr>
                <w:b/>
              </w:rPr>
              <w:t>Sl.</w:t>
            </w:r>
          </w:p>
        </w:tc>
        <w:tc>
          <w:tcPr>
            <w:tcW w:w="3120" w:type="dxa"/>
            <w:shd w:val="clear" w:color="auto" w:fill="F7C9AC"/>
          </w:tcPr>
          <w:p w:rsidR="007C5447" w:rsidRDefault="00F6308C">
            <w:pPr>
              <w:pStyle w:val="TableParagraph"/>
              <w:spacing w:before="53"/>
              <w:ind w:left="1035"/>
              <w:jc w:val="left"/>
              <w:rPr>
                <w:b/>
              </w:rPr>
            </w:pPr>
            <w:r>
              <w:rPr>
                <w:b/>
              </w:rPr>
              <w:t>Particulars</w:t>
            </w:r>
          </w:p>
        </w:tc>
        <w:tc>
          <w:tcPr>
            <w:tcW w:w="1274" w:type="dxa"/>
            <w:shd w:val="clear" w:color="auto" w:fill="F7C9AC"/>
          </w:tcPr>
          <w:p w:rsidR="007C5447" w:rsidRDefault="00F6308C">
            <w:pPr>
              <w:pStyle w:val="TableParagraph"/>
              <w:spacing w:before="53"/>
              <w:ind w:left="129" w:right="115"/>
              <w:jc w:val="center"/>
              <w:rPr>
                <w:b/>
              </w:rPr>
            </w:pPr>
            <w:r>
              <w:rPr>
                <w:b/>
              </w:rPr>
              <w:t>Units</w:t>
            </w:r>
          </w:p>
        </w:tc>
        <w:tc>
          <w:tcPr>
            <w:tcW w:w="1778" w:type="dxa"/>
            <w:shd w:val="clear" w:color="auto" w:fill="F7C9AC"/>
          </w:tcPr>
          <w:p w:rsidR="007C5447" w:rsidRDefault="00F6308C">
            <w:pPr>
              <w:pStyle w:val="TableParagraph"/>
              <w:spacing w:before="53"/>
              <w:ind w:right="331"/>
              <w:rPr>
                <w:b/>
              </w:rPr>
            </w:pPr>
            <w:r>
              <w:rPr>
                <w:b/>
              </w:rPr>
              <w:t>FY 2017-18</w:t>
            </w:r>
          </w:p>
        </w:tc>
      </w:tr>
      <w:tr w:rsidR="007C5447">
        <w:trPr>
          <w:trHeight w:val="359"/>
        </w:trPr>
        <w:tc>
          <w:tcPr>
            <w:tcW w:w="566" w:type="dxa"/>
          </w:tcPr>
          <w:p w:rsidR="007C5447" w:rsidRDefault="00F6308C">
            <w:pPr>
              <w:pStyle w:val="TableParagraph"/>
              <w:spacing w:before="51"/>
              <w:ind w:left="5"/>
              <w:jc w:val="center"/>
            </w:pPr>
            <w:r>
              <w:t>1</w:t>
            </w:r>
          </w:p>
        </w:tc>
        <w:tc>
          <w:tcPr>
            <w:tcW w:w="3120" w:type="dxa"/>
          </w:tcPr>
          <w:p w:rsidR="007C5447" w:rsidRDefault="00F6308C">
            <w:pPr>
              <w:pStyle w:val="TableParagraph"/>
              <w:spacing w:before="51"/>
              <w:ind w:left="108"/>
              <w:jc w:val="left"/>
            </w:pPr>
            <w:r>
              <w:t>Sales</w:t>
            </w:r>
          </w:p>
        </w:tc>
        <w:tc>
          <w:tcPr>
            <w:tcW w:w="1274" w:type="dxa"/>
          </w:tcPr>
          <w:p w:rsidR="007C5447" w:rsidRDefault="00F6308C">
            <w:pPr>
              <w:pStyle w:val="TableParagraph"/>
              <w:spacing w:before="51"/>
              <w:ind w:left="126" w:right="115"/>
              <w:jc w:val="center"/>
            </w:pPr>
            <w:r>
              <w:t>MU</w:t>
            </w:r>
          </w:p>
        </w:tc>
        <w:tc>
          <w:tcPr>
            <w:tcW w:w="1778" w:type="dxa"/>
          </w:tcPr>
          <w:p w:rsidR="007C5447" w:rsidRDefault="00F6308C">
            <w:pPr>
              <w:pStyle w:val="TableParagraph"/>
              <w:spacing w:before="51"/>
              <w:ind w:right="343"/>
            </w:pPr>
            <w:r>
              <w:t>81,717</w:t>
            </w:r>
          </w:p>
        </w:tc>
      </w:tr>
      <w:tr w:rsidR="007C5447">
        <w:trPr>
          <w:trHeight w:val="359"/>
        </w:trPr>
        <w:tc>
          <w:tcPr>
            <w:tcW w:w="566" w:type="dxa"/>
          </w:tcPr>
          <w:p w:rsidR="007C5447" w:rsidRDefault="00F6308C">
            <w:pPr>
              <w:pStyle w:val="TableParagraph"/>
              <w:spacing w:before="51"/>
              <w:ind w:left="5"/>
              <w:jc w:val="center"/>
            </w:pPr>
            <w:r>
              <w:t>2</w:t>
            </w:r>
          </w:p>
        </w:tc>
        <w:tc>
          <w:tcPr>
            <w:tcW w:w="3120" w:type="dxa"/>
          </w:tcPr>
          <w:p w:rsidR="007C5447" w:rsidRDefault="00F6308C">
            <w:pPr>
              <w:pStyle w:val="TableParagraph"/>
              <w:spacing w:before="51"/>
              <w:ind w:left="108"/>
              <w:jc w:val="left"/>
            </w:pPr>
            <w:r>
              <w:t>Aggregate Revenue Required</w:t>
            </w:r>
          </w:p>
        </w:tc>
        <w:tc>
          <w:tcPr>
            <w:tcW w:w="1274" w:type="dxa"/>
          </w:tcPr>
          <w:p w:rsidR="007C5447" w:rsidRDefault="00F6308C">
            <w:pPr>
              <w:pStyle w:val="TableParagraph"/>
              <w:spacing w:before="51"/>
              <w:ind w:left="129" w:right="115"/>
              <w:jc w:val="center"/>
            </w:pPr>
            <w:r>
              <w:t>Rs. Crore</w:t>
            </w:r>
          </w:p>
        </w:tc>
        <w:tc>
          <w:tcPr>
            <w:tcW w:w="1778" w:type="dxa"/>
          </w:tcPr>
          <w:p w:rsidR="007C5447" w:rsidRDefault="00F6308C">
            <w:pPr>
              <w:pStyle w:val="TableParagraph"/>
              <w:spacing w:before="51"/>
              <w:ind w:right="343"/>
            </w:pPr>
            <w:r>
              <w:t>47,837.80</w:t>
            </w:r>
          </w:p>
        </w:tc>
      </w:tr>
      <w:tr w:rsidR="007C5447">
        <w:trPr>
          <w:trHeight w:val="359"/>
        </w:trPr>
        <w:tc>
          <w:tcPr>
            <w:tcW w:w="566" w:type="dxa"/>
          </w:tcPr>
          <w:p w:rsidR="007C5447" w:rsidRDefault="00F6308C">
            <w:pPr>
              <w:pStyle w:val="TableParagraph"/>
              <w:spacing w:before="51"/>
              <w:ind w:left="5"/>
              <w:jc w:val="center"/>
              <w:rPr>
                <w:b/>
              </w:rPr>
            </w:pPr>
            <w:r>
              <w:rPr>
                <w:b/>
              </w:rPr>
              <w:t>3</w:t>
            </w:r>
          </w:p>
        </w:tc>
        <w:tc>
          <w:tcPr>
            <w:tcW w:w="3120" w:type="dxa"/>
          </w:tcPr>
          <w:p w:rsidR="007C5447" w:rsidRDefault="00F6308C">
            <w:pPr>
              <w:pStyle w:val="TableParagraph"/>
              <w:spacing w:before="51"/>
              <w:ind w:left="108"/>
              <w:jc w:val="left"/>
              <w:rPr>
                <w:b/>
              </w:rPr>
            </w:pPr>
            <w:r>
              <w:rPr>
                <w:b/>
              </w:rPr>
              <w:t>Average Cost of Supply</w:t>
            </w:r>
          </w:p>
        </w:tc>
        <w:tc>
          <w:tcPr>
            <w:tcW w:w="1274" w:type="dxa"/>
          </w:tcPr>
          <w:p w:rsidR="007C5447" w:rsidRDefault="00F6308C">
            <w:pPr>
              <w:pStyle w:val="TableParagraph"/>
              <w:spacing w:before="51"/>
              <w:ind w:left="128" w:right="115"/>
              <w:jc w:val="center"/>
              <w:rPr>
                <w:b/>
              </w:rPr>
            </w:pPr>
            <w:r>
              <w:rPr>
                <w:b/>
              </w:rPr>
              <w:t>Rs./kWh</w:t>
            </w:r>
          </w:p>
        </w:tc>
        <w:tc>
          <w:tcPr>
            <w:tcW w:w="1778" w:type="dxa"/>
          </w:tcPr>
          <w:p w:rsidR="007C5447" w:rsidRDefault="00F6308C">
            <w:pPr>
              <w:pStyle w:val="TableParagraph"/>
              <w:spacing w:before="51"/>
              <w:ind w:right="344"/>
              <w:rPr>
                <w:b/>
              </w:rPr>
            </w:pPr>
            <w:r>
              <w:rPr>
                <w:b/>
              </w:rPr>
              <w:t>5.85</w:t>
            </w:r>
          </w:p>
        </w:tc>
      </w:tr>
    </w:tbl>
    <w:p w:rsidR="007C5447" w:rsidRDefault="007C5447">
      <w:pPr>
        <w:pStyle w:val="BodyText"/>
        <w:rPr>
          <w:b/>
          <w:sz w:val="26"/>
        </w:rPr>
      </w:pPr>
    </w:p>
    <w:p w:rsidR="007C5447" w:rsidRDefault="007C5447">
      <w:pPr>
        <w:pStyle w:val="BodyText"/>
        <w:spacing w:before="6"/>
        <w:rPr>
          <w:b/>
          <w:sz w:val="36"/>
        </w:rPr>
      </w:pPr>
    </w:p>
    <w:p w:rsidR="007C5447" w:rsidRDefault="00F6308C">
      <w:pPr>
        <w:pStyle w:val="ListParagraph"/>
        <w:numPr>
          <w:ilvl w:val="2"/>
          <w:numId w:val="40"/>
        </w:numPr>
        <w:tabs>
          <w:tab w:val="left" w:pos="1113"/>
        </w:tabs>
        <w:spacing w:line="312" w:lineRule="auto"/>
        <w:ind w:left="1112" w:right="873"/>
        <w:jc w:val="both"/>
        <w:rPr>
          <w:sz w:val="24"/>
        </w:rPr>
      </w:pPr>
      <w:r>
        <w:rPr>
          <w:sz w:val="24"/>
        </w:rPr>
        <w:t>The Hon’ble APTEL in its Judgment dated October 27, 2014, in Appeal No. 196 and 199 of 2013, had directed the Commission to determine the Voltage-wise Cost of Supply (VCOS). The relevant extracts of the APTEL Judgment have been reproduced</w:t>
      </w:r>
      <w:r>
        <w:rPr>
          <w:spacing w:val="-1"/>
          <w:sz w:val="24"/>
        </w:rPr>
        <w:t xml:space="preserve"> </w:t>
      </w:r>
      <w:r>
        <w:rPr>
          <w:sz w:val="24"/>
        </w:rPr>
        <w:t>below:</w:t>
      </w:r>
    </w:p>
    <w:p w:rsidR="007C5447" w:rsidRDefault="007C5447">
      <w:pPr>
        <w:pStyle w:val="BodyText"/>
        <w:spacing w:before="10"/>
        <w:rPr>
          <w:sz w:val="20"/>
        </w:rPr>
      </w:pPr>
    </w:p>
    <w:p w:rsidR="007C5447" w:rsidRDefault="00F6308C">
      <w:pPr>
        <w:pStyle w:val="Heading3"/>
        <w:spacing w:before="1"/>
        <w:ind w:left="1700"/>
      </w:pPr>
      <w:r>
        <w:rPr>
          <w:b w:val="0"/>
        </w:rPr>
        <w:t>“</w:t>
      </w:r>
      <w:r>
        <w:t>viii) Vo</w:t>
      </w:r>
      <w:r>
        <w:t>ltage-wise cost of supply and cost to serve:</w:t>
      </w:r>
    </w:p>
    <w:p w:rsidR="007C5447" w:rsidRDefault="007C5447">
      <w:pPr>
        <w:pStyle w:val="BodyText"/>
        <w:spacing w:before="9"/>
        <w:rPr>
          <w:b/>
          <w:i/>
          <w:sz w:val="20"/>
        </w:rPr>
      </w:pPr>
    </w:p>
    <w:p w:rsidR="007C5447" w:rsidRDefault="00F6308C">
      <w:pPr>
        <w:spacing w:before="1"/>
        <w:ind w:left="1700" w:right="1595"/>
        <w:jc w:val="both"/>
        <w:rPr>
          <w:i/>
          <w:sz w:val="24"/>
        </w:rPr>
      </w:pPr>
      <w:r>
        <w:rPr>
          <w:i/>
          <w:sz w:val="24"/>
        </w:rPr>
        <w:t>The State Commission is directed to determine the voltage wise cost of supply as per our directions in this Judgment and determine the cross subsidy transparently for FY 2012-13 and 2013-14 and 2014-15 in the t</w:t>
      </w:r>
      <w:r>
        <w:rPr>
          <w:i/>
          <w:sz w:val="24"/>
        </w:rPr>
        <w:t>ariff order for 2015-16. TANGEDCO is directed to provide the necessary data as required by the State Commission.”</w:t>
      </w:r>
    </w:p>
    <w:p w:rsidR="007C5447" w:rsidRDefault="007C5447">
      <w:pPr>
        <w:pStyle w:val="BodyText"/>
        <w:rPr>
          <w:i/>
          <w:sz w:val="26"/>
        </w:rPr>
      </w:pPr>
    </w:p>
    <w:p w:rsidR="007C5447" w:rsidRDefault="007C5447">
      <w:pPr>
        <w:pStyle w:val="BodyText"/>
        <w:spacing w:before="4"/>
        <w:rPr>
          <w:i/>
          <w:sz w:val="36"/>
        </w:rPr>
      </w:pPr>
    </w:p>
    <w:p w:rsidR="007C5447" w:rsidRDefault="00F6308C">
      <w:pPr>
        <w:pStyle w:val="ListParagraph"/>
        <w:numPr>
          <w:ilvl w:val="2"/>
          <w:numId w:val="40"/>
        </w:numPr>
        <w:tabs>
          <w:tab w:val="left" w:pos="1113"/>
        </w:tabs>
        <w:spacing w:line="312" w:lineRule="auto"/>
        <w:ind w:left="1112" w:right="877"/>
        <w:jc w:val="both"/>
        <w:rPr>
          <w:sz w:val="24"/>
        </w:rPr>
      </w:pPr>
      <w:r>
        <w:rPr>
          <w:sz w:val="24"/>
        </w:rPr>
        <w:t>In the Tariff Order dated June 20, 2013, the Commission had observed that the data provided by TANGEDCO was not sufficient enough for segreg</w:t>
      </w:r>
      <w:r>
        <w:rPr>
          <w:sz w:val="24"/>
        </w:rPr>
        <w:t>ation of network costs for different voltage classes. Hence, TANGEDCO was directed to arrive at voltage-wise and category-wise cost of supply by undertaking accurate and logical studies. However, as complete information was not submitted by TANGEDCO, the C</w:t>
      </w:r>
      <w:r>
        <w:rPr>
          <w:sz w:val="24"/>
        </w:rPr>
        <w:t>ommission had determined voltage wise cost to serve based on the data made available using the Embedded Cost. The relevant paragraphs from the Tariff Order dated June 20, 2013 have been reproduced</w:t>
      </w:r>
      <w:r>
        <w:rPr>
          <w:spacing w:val="-1"/>
          <w:sz w:val="24"/>
        </w:rPr>
        <w:t xml:space="preserve"> </w:t>
      </w:r>
      <w:r>
        <w:rPr>
          <w:sz w:val="24"/>
        </w:rPr>
        <w:t>below:</w:t>
      </w:r>
    </w:p>
    <w:p w:rsidR="007C5447" w:rsidRDefault="007C5447">
      <w:pPr>
        <w:pStyle w:val="BodyText"/>
        <w:spacing w:before="11"/>
        <w:rPr>
          <w:sz w:val="20"/>
        </w:rPr>
      </w:pPr>
    </w:p>
    <w:p w:rsidR="007C5447" w:rsidRDefault="00F6308C">
      <w:pPr>
        <w:ind w:left="1700" w:right="1596"/>
        <w:jc w:val="both"/>
        <w:rPr>
          <w:b/>
          <w:i/>
          <w:sz w:val="24"/>
        </w:rPr>
      </w:pPr>
      <w:r>
        <w:rPr>
          <w:i/>
          <w:sz w:val="24"/>
        </w:rPr>
        <w:t>“5.27 The Commission would also like to note that t</w:t>
      </w:r>
      <w:r>
        <w:rPr>
          <w:i/>
          <w:sz w:val="24"/>
        </w:rPr>
        <w:t>he year FY 2012- 13 has seen severe shortage of power due to which more stringent R&amp;C measures as well as load shedding was unavoidable. Given such a situation where cyclical load shedding was adopted, the voltage wise consumer contribution to peak would h</w:t>
      </w:r>
      <w:r>
        <w:rPr>
          <w:i/>
          <w:sz w:val="24"/>
        </w:rPr>
        <w:t xml:space="preserve">ave been misleading. </w:t>
      </w:r>
      <w:r>
        <w:rPr>
          <w:b/>
          <w:i/>
          <w:sz w:val="24"/>
        </w:rPr>
        <w:t>Considering the peculiar difficulties in this specific situation as well as the fact that sufficient data is unavailable, the Commission has resorted to estimate the voltage wise cost to serve based on the data made available.</w:t>
      </w:r>
      <w:r>
        <w:rPr>
          <w:i/>
          <w:sz w:val="24"/>
        </w:rPr>
        <w:t xml:space="preserve">” </w:t>
      </w:r>
      <w:r>
        <w:rPr>
          <w:b/>
          <w:i/>
          <w:sz w:val="24"/>
        </w:rPr>
        <w:t>(emphas</w:t>
      </w:r>
      <w:r>
        <w:rPr>
          <w:b/>
          <w:i/>
          <w:sz w:val="24"/>
        </w:rPr>
        <w:t>is</w:t>
      </w:r>
      <w:r>
        <w:rPr>
          <w:b/>
          <w:i/>
          <w:spacing w:val="-2"/>
          <w:sz w:val="24"/>
        </w:rPr>
        <w:t xml:space="preserve"> </w:t>
      </w:r>
      <w:r>
        <w:rPr>
          <w:b/>
          <w:i/>
          <w:sz w:val="24"/>
        </w:rPr>
        <w:t>added)</w:t>
      </w:r>
    </w:p>
    <w:p w:rsidR="007C5447" w:rsidRDefault="00F6308C">
      <w:pPr>
        <w:pStyle w:val="ListParagraph"/>
        <w:numPr>
          <w:ilvl w:val="2"/>
          <w:numId w:val="40"/>
        </w:numPr>
        <w:tabs>
          <w:tab w:val="left" w:pos="1113"/>
        </w:tabs>
        <w:spacing w:before="121"/>
        <w:ind w:left="1112" w:hanging="853"/>
        <w:jc w:val="both"/>
        <w:rPr>
          <w:sz w:val="24"/>
        </w:rPr>
      </w:pPr>
      <w:r>
        <w:rPr>
          <w:sz w:val="24"/>
        </w:rPr>
        <w:t>In the SMT Order dated December 11, 2014, the Commission had stated as</w:t>
      </w:r>
      <w:r>
        <w:rPr>
          <w:spacing w:val="-4"/>
          <w:sz w:val="24"/>
        </w:rPr>
        <w:t xml:space="preserve"> </w:t>
      </w:r>
      <w:r>
        <w:rPr>
          <w:sz w:val="24"/>
        </w:rPr>
        <w:t>under:</w:t>
      </w:r>
    </w:p>
    <w:p w:rsidR="007C5447" w:rsidRDefault="007C5447">
      <w:pPr>
        <w:jc w:val="both"/>
        <w:rPr>
          <w:sz w:val="24"/>
        </w:rPr>
        <w:sectPr w:rsidR="007C5447">
          <w:pgSz w:w="11910" w:h="16840"/>
          <w:pgMar w:top="1360" w:right="560" w:bottom="1240" w:left="1180" w:header="0" w:footer="1057" w:gutter="0"/>
          <w:cols w:space="720"/>
        </w:sectPr>
      </w:pPr>
    </w:p>
    <w:p w:rsidR="007C5447" w:rsidRDefault="00F6308C">
      <w:pPr>
        <w:spacing w:before="60"/>
        <w:ind w:left="1700" w:right="1598"/>
        <w:jc w:val="both"/>
        <w:rPr>
          <w:i/>
          <w:sz w:val="24"/>
        </w:rPr>
      </w:pPr>
      <w:r>
        <w:rPr>
          <w:i/>
          <w:sz w:val="24"/>
        </w:rPr>
        <w:lastRenderedPageBreak/>
        <w:t xml:space="preserve">“5.26 Commission observed that the cost to serve study undertaken by </w:t>
      </w:r>
      <w:r>
        <w:rPr>
          <w:i/>
          <w:sz w:val="24"/>
        </w:rPr>
        <w:t>TANGEDCO is based on historical data with a number of assumptions with regard to contribution of various consumer categories to the peak and off-peak. Commission had directed TANGEDCO to update the study based on the data for the year FY 2013-14 and suitab</w:t>
      </w:r>
      <w:r>
        <w:rPr>
          <w:i/>
          <w:sz w:val="24"/>
        </w:rPr>
        <w:t xml:space="preserve">ly amend to compute voltage wise category wise cost of supply for all consumer categories and re-submit the findings along with the basis of allocation of different costs and losses to various voltage levels and consumer categories. In compliance with the </w:t>
      </w:r>
      <w:r>
        <w:rPr>
          <w:i/>
          <w:sz w:val="24"/>
        </w:rPr>
        <w:t>above direction from the Commission, TANGEDCO has submitted the revised voltage wise cost to serve report in the month November, 2014.</w:t>
      </w:r>
    </w:p>
    <w:p w:rsidR="007C5447" w:rsidRDefault="007C5447">
      <w:pPr>
        <w:pStyle w:val="BodyText"/>
        <w:spacing w:before="11"/>
        <w:rPr>
          <w:i/>
          <w:sz w:val="20"/>
        </w:rPr>
      </w:pPr>
    </w:p>
    <w:p w:rsidR="007C5447" w:rsidRDefault="00F6308C">
      <w:pPr>
        <w:ind w:left="1700" w:right="1596"/>
        <w:jc w:val="both"/>
        <w:rPr>
          <w:i/>
          <w:sz w:val="24"/>
        </w:rPr>
      </w:pPr>
      <w:r>
        <w:rPr>
          <w:i/>
          <w:sz w:val="24"/>
        </w:rPr>
        <w:t>5.27 This study report shall be closely examined by the Commission and approved with such modifications as it may deem fit or consider a better alternate computation. The Commission in line with the direction of the Hon’ble Appellate Tribunal in its judgme</w:t>
      </w:r>
      <w:r>
        <w:rPr>
          <w:i/>
          <w:sz w:val="24"/>
        </w:rPr>
        <w:t>nt on Appeal No. 196 &amp; 199 of 2013 dated 27-10-2014, intends to use this study report to determine cross subsidy for 2012-13, 2013-14 and 2014-15 for all consumer categories in its next tariff</w:t>
      </w:r>
      <w:r>
        <w:rPr>
          <w:i/>
          <w:spacing w:val="-2"/>
          <w:sz w:val="24"/>
        </w:rPr>
        <w:t xml:space="preserve"> </w:t>
      </w:r>
      <w:r>
        <w:rPr>
          <w:i/>
          <w:sz w:val="24"/>
        </w:rPr>
        <w:t>order.”</w:t>
      </w:r>
    </w:p>
    <w:p w:rsidR="007C5447" w:rsidRDefault="00F6308C">
      <w:pPr>
        <w:pStyle w:val="ListParagraph"/>
        <w:numPr>
          <w:ilvl w:val="2"/>
          <w:numId w:val="40"/>
        </w:numPr>
        <w:tabs>
          <w:tab w:val="left" w:pos="1113"/>
        </w:tabs>
        <w:spacing w:before="121" w:line="312" w:lineRule="auto"/>
        <w:ind w:left="1112" w:right="882"/>
        <w:jc w:val="both"/>
        <w:rPr>
          <w:sz w:val="24"/>
        </w:rPr>
      </w:pPr>
      <w:r>
        <w:rPr>
          <w:sz w:val="24"/>
        </w:rPr>
        <w:t>The present Tariff Order is the next Tariff Order, afte</w:t>
      </w:r>
      <w:r>
        <w:rPr>
          <w:sz w:val="24"/>
        </w:rPr>
        <w:t>r the issue of the SMT Order. The Commission analysed the report submitted by TANGEDCO and following observations were</w:t>
      </w:r>
      <w:r>
        <w:rPr>
          <w:spacing w:val="-2"/>
          <w:sz w:val="24"/>
        </w:rPr>
        <w:t xml:space="preserve"> </w:t>
      </w:r>
      <w:r>
        <w:rPr>
          <w:sz w:val="24"/>
        </w:rPr>
        <w:t>made:</w:t>
      </w:r>
    </w:p>
    <w:p w:rsidR="007C5447" w:rsidRDefault="007C5447">
      <w:pPr>
        <w:pStyle w:val="BodyText"/>
        <w:spacing w:before="9"/>
        <w:rPr>
          <w:sz w:val="20"/>
        </w:rPr>
      </w:pPr>
    </w:p>
    <w:p w:rsidR="007C5447" w:rsidRDefault="00F6308C">
      <w:pPr>
        <w:pStyle w:val="ListParagraph"/>
        <w:numPr>
          <w:ilvl w:val="0"/>
          <w:numId w:val="38"/>
        </w:numPr>
        <w:tabs>
          <w:tab w:val="left" w:pos="1473"/>
        </w:tabs>
        <w:spacing w:line="312" w:lineRule="auto"/>
        <w:ind w:right="875"/>
        <w:jc w:val="both"/>
        <w:rPr>
          <w:sz w:val="24"/>
        </w:rPr>
      </w:pPr>
      <w:r>
        <w:rPr>
          <w:sz w:val="24"/>
        </w:rPr>
        <w:t>There were a few shortcomings in the report and the methodology suggested by the TANGEDCO. While some of the shortcomings were min</w:t>
      </w:r>
      <w:r>
        <w:rPr>
          <w:sz w:val="24"/>
        </w:rPr>
        <w:t>or, and rectifiable by applying appropriate modifications, there was one key shortcoming which the Commission could not overlook, i.e., TANGEDCO instead of conducting actual field level studies to ascertain the peak loads, had adopted a set of assumptions.</w:t>
      </w:r>
      <w:r>
        <w:rPr>
          <w:sz w:val="24"/>
        </w:rPr>
        <w:t xml:space="preserve"> TANGEDCO’s approach was in contravention to the Commission’s direction in Tariff Order dated March 30, 2012, where the Commission had stressed on the importance of a proper sampling exercise and field level studies, while commenting on the need to determi</w:t>
      </w:r>
      <w:r>
        <w:rPr>
          <w:sz w:val="24"/>
        </w:rPr>
        <w:t>ne cost to</w:t>
      </w:r>
      <w:r>
        <w:rPr>
          <w:spacing w:val="-3"/>
          <w:sz w:val="24"/>
        </w:rPr>
        <w:t xml:space="preserve"> </w:t>
      </w:r>
      <w:r>
        <w:rPr>
          <w:sz w:val="24"/>
        </w:rPr>
        <w:t>serve.</w:t>
      </w:r>
    </w:p>
    <w:p w:rsidR="007C5447" w:rsidRDefault="00F6308C">
      <w:pPr>
        <w:pStyle w:val="ListParagraph"/>
        <w:numPr>
          <w:ilvl w:val="0"/>
          <w:numId w:val="38"/>
        </w:numPr>
        <w:tabs>
          <w:tab w:val="left" w:pos="1473"/>
        </w:tabs>
        <w:spacing w:before="122" w:line="312" w:lineRule="auto"/>
        <w:ind w:right="875"/>
        <w:jc w:val="both"/>
        <w:rPr>
          <w:sz w:val="24"/>
        </w:rPr>
      </w:pPr>
      <w:r>
        <w:rPr>
          <w:sz w:val="24"/>
        </w:rPr>
        <w:t xml:space="preserve">The impact of such absence of field level study was evident from the fact that the non-coincident peak demand being derived for the </w:t>
      </w:r>
      <w:r>
        <w:rPr>
          <w:spacing w:val="-3"/>
          <w:sz w:val="24"/>
        </w:rPr>
        <w:t xml:space="preserve">LT </w:t>
      </w:r>
      <w:r>
        <w:rPr>
          <w:sz w:val="24"/>
        </w:rPr>
        <w:t>domestic consumer category was even higher than the system peak given, which is not practically possibl</w:t>
      </w:r>
      <w:r>
        <w:rPr>
          <w:sz w:val="24"/>
        </w:rPr>
        <w:t>e.</w:t>
      </w:r>
    </w:p>
    <w:p w:rsidR="007C5447" w:rsidRDefault="00F6308C">
      <w:pPr>
        <w:pStyle w:val="ListParagraph"/>
        <w:numPr>
          <w:ilvl w:val="0"/>
          <w:numId w:val="38"/>
        </w:numPr>
        <w:tabs>
          <w:tab w:val="left" w:pos="1473"/>
        </w:tabs>
        <w:spacing w:before="120" w:line="312" w:lineRule="auto"/>
        <w:ind w:right="876"/>
        <w:jc w:val="both"/>
        <w:rPr>
          <w:sz w:val="24"/>
        </w:rPr>
      </w:pPr>
      <w:r>
        <w:rPr>
          <w:sz w:val="24"/>
        </w:rPr>
        <w:t>TANGEDCO has utilised the category-wise “non-coincident peak demand” for the allocation of demand related costs of generation, transmission and distribution, which comes to more than 45% of the total cost. To maintain the integrity of the exercise while</w:t>
      </w:r>
      <w:r>
        <w:rPr>
          <w:sz w:val="24"/>
        </w:rPr>
        <w:t xml:space="preserve"> determining the actual cost to serve, more than 45%</w:t>
      </w:r>
      <w:r>
        <w:rPr>
          <w:spacing w:val="10"/>
          <w:sz w:val="24"/>
        </w:rPr>
        <w:t xml:space="preserve"> </w:t>
      </w:r>
      <w:r>
        <w:rPr>
          <w:sz w:val="24"/>
        </w:rPr>
        <w:t>of</w:t>
      </w:r>
      <w:r>
        <w:rPr>
          <w:spacing w:val="11"/>
          <w:sz w:val="24"/>
        </w:rPr>
        <w:t xml:space="preserve"> </w:t>
      </w:r>
      <w:r>
        <w:rPr>
          <w:sz w:val="24"/>
        </w:rPr>
        <w:t>the</w:t>
      </w:r>
      <w:r>
        <w:rPr>
          <w:spacing w:val="13"/>
          <w:sz w:val="24"/>
        </w:rPr>
        <w:t xml:space="preserve"> </w:t>
      </w:r>
      <w:r>
        <w:rPr>
          <w:sz w:val="24"/>
        </w:rPr>
        <w:t>total</w:t>
      </w:r>
      <w:r>
        <w:rPr>
          <w:spacing w:val="12"/>
          <w:sz w:val="24"/>
        </w:rPr>
        <w:t xml:space="preserve"> </w:t>
      </w:r>
      <w:r>
        <w:rPr>
          <w:sz w:val="24"/>
        </w:rPr>
        <w:t>cost</w:t>
      </w:r>
      <w:r>
        <w:rPr>
          <w:spacing w:val="13"/>
          <w:sz w:val="24"/>
        </w:rPr>
        <w:t xml:space="preserve"> </w:t>
      </w:r>
      <w:r>
        <w:rPr>
          <w:sz w:val="24"/>
        </w:rPr>
        <w:t>cannot</w:t>
      </w:r>
      <w:r>
        <w:rPr>
          <w:spacing w:val="12"/>
          <w:sz w:val="24"/>
        </w:rPr>
        <w:t xml:space="preserve"> </w:t>
      </w:r>
      <w:r>
        <w:rPr>
          <w:sz w:val="24"/>
        </w:rPr>
        <w:t>be</w:t>
      </w:r>
      <w:r>
        <w:rPr>
          <w:spacing w:val="10"/>
          <w:sz w:val="24"/>
        </w:rPr>
        <w:t xml:space="preserve"> </w:t>
      </w:r>
      <w:r>
        <w:rPr>
          <w:sz w:val="24"/>
        </w:rPr>
        <w:t>allocated</w:t>
      </w:r>
      <w:r>
        <w:rPr>
          <w:spacing w:val="11"/>
          <w:sz w:val="24"/>
        </w:rPr>
        <w:t xml:space="preserve"> </w:t>
      </w:r>
      <w:r>
        <w:rPr>
          <w:sz w:val="24"/>
        </w:rPr>
        <w:t>based</w:t>
      </w:r>
      <w:r>
        <w:rPr>
          <w:spacing w:val="11"/>
          <w:sz w:val="24"/>
        </w:rPr>
        <w:t xml:space="preserve"> </w:t>
      </w:r>
      <w:r>
        <w:rPr>
          <w:sz w:val="24"/>
        </w:rPr>
        <w:t>on</w:t>
      </w:r>
      <w:r>
        <w:rPr>
          <w:spacing w:val="10"/>
          <w:sz w:val="24"/>
        </w:rPr>
        <w:t xml:space="preserve"> </w:t>
      </w:r>
      <w:r>
        <w:rPr>
          <w:sz w:val="24"/>
        </w:rPr>
        <w:t>a</w:t>
      </w:r>
      <w:r>
        <w:rPr>
          <w:spacing w:val="10"/>
          <w:sz w:val="24"/>
        </w:rPr>
        <w:t xml:space="preserve"> </w:t>
      </w:r>
      <w:r>
        <w:rPr>
          <w:sz w:val="24"/>
        </w:rPr>
        <w:t>parameter</w:t>
      </w:r>
      <w:r>
        <w:rPr>
          <w:spacing w:val="11"/>
          <w:sz w:val="24"/>
        </w:rPr>
        <w:t xml:space="preserve"> </w:t>
      </w:r>
      <w:r>
        <w:rPr>
          <w:sz w:val="24"/>
        </w:rPr>
        <w:t>which</w:t>
      </w:r>
      <w:r>
        <w:rPr>
          <w:spacing w:val="13"/>
          <w:sz w:val="24"/>
        </w:rPr>
        <w:t xml:space="preserve"> </w:t>
      </w:r>
      <w:r>
        <w:rPr>
          <w:sz w:val="24"/>
        </w:rPr>
        <w:t>is</w:t>
      </w:r>
      <w:r>
        <w:rPr>
          <w:spacing w:val="11"/>
          <w:sz w:val="24"/>
        </w:rPr>
        <w:t xml:space="preserve"> </w:t>
      </w:r>
      <w:r>
        <w:rPr>
          <w:sz w:val="24"/>
        </w:rPr>
        <w:t>derived</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BodyText"/>
        <w:spacing w:before="60" w:line="312" w:lineRule="auto"/>
        <w:ind w:left="1472" w:right="875"/>
        <w:jc w:val="both"/>
      </w:pPr>
      <w:r>
        <w:lastRenderedPageBreak/>
        <w:t>purely based on assumptions, without the backing of field level studies, and especially when usage of such pa</w:t>
      </w:r>
      <w:r>
        <w:t>rameter leads to unrealistic results.</w:t>
      </w:r>
    </w:p>
    <w:p w:rsidR="007C5447" w:rsidRDefault="00F6308C">
      <w:pPr>
        <w:pStyle w:val="ListParagraph"/>
        <w:numPr>
          <w:ilvl w:val="2"/>
          <w:numId w:val="40"/>
        </w:numPr>
        <w:tabs>
          <w:tab w:val="left" w:pos="1113"/>
        </w:tabs>
        <w:spacing w:before="121" w:line="312" w:lineRule="auto"/>
        <w:ind w:left="1112" w:right="876"/>
        <w:jc w:val="both"/>
        <w:rPr>
          <w:sz w:val="24"/>
        </w:rPr>
      </w:pPr>
      <w:r>
        <w:rPr>
          <w:sz w:val="24"/>
        </w:rPr>
        <w:t>As the methodology submitted by TANGEDCO contained certain flaws, which cannot be overlooked, the Commission has decided to compute the voltage-wise cost of supply based on the methodology suggested by the Hon’ble APTE</w:t>
      </w:r>
      <w:r>
        <w:rPr>
          <w:sz w:val="24"/>
        </w:rPr>
        <w:t>L in its Judgment dated May 30, 2011 in Appeal No. 102, 103 and 112 of 2010. However, the Commission has used the data submitted by</w:t>
      </w:r>
      <w:r>
        <w:rPr>
          <w:spacing w:val="-7"/>
          <w:sz w:val="24"/>
        </w:rPr>
        <w:t xml:space="preserve"> </w:t>
      </w:r>
      <w:r>
        <w:rPr>
          <w:sz w:val="24"/>
        </w:rPr>
        <w:t>TANGEDCO.</w:t>
      </w:r>
    </w:p>
    <w:p w:rsidR="007C5447" w:rsidRDefault="007C5447">
      <w:pPr>
        <w:pStyle w:val="BodyText"/>
        <w:spacing w:before="9"/>
        <w:rPr>
          <w:sz w:val="20"/>
        </w:rPr>
      </w:pPr>
    </w:p>
    <w:p w:rsidR="007C5447" w:rsidRDefault="00F6308C">
      <w:pPr>
        <w:pStyle w:val="ListParagraph"/>
        <w:numPr>
          <w:ilvl w:val="2"/>
          <w:numId w:val="40"/>
        </w:numPr>
        <w:tabs>
          <w:tab w:val="left" w:pos="1113"/>
        </w:tabs>
        <w:spacing w:line="312" w:lineRule="auto"/>
        <w:ind w:left="1112" w:right="878"/>
        <w:jc w:val="both"/>
        <w:rPr>
          <w:sz w:val="24"/>
        </w:rPr>
      </w:pPr>
      <w:r>
        <w:rPr>
          <w:sz w:val="24"/>
        </w:rPr>
        <w:t>The Hon’ble APTEL, in its Judgment dated May 30, 2011 in Appeal No. 102, 103 and 112 of 2010 had stipulated as</w:t>
      </w:r>
      <w:r>
        <w:rPr>
          <w:spacing w:val="-2"/>
          <w:sz w:val="24"/>
        </w:rPr>
        <w:t xml:space="preserve"> </w:t>
      </w:r>
      <w:r>
        <w:rPr>
          <w:sz w:val="24"/>
        </w:rPr>
        <w:t>follows:</w:t>
      </w:r>
    </w:p>
    <w:p w:rsidR="007C5447" w:rsidRDefault="007C5447">
      <w:pPr>
        <w:pStyle w:val="BodyText"/>
        <w:spacing w:before="10"/>
        <w:rPr>
          <w:sz w:val="20"/>
        </w:rPr>
      </w:pPr>
    </w:p>
    <w:p w:rsidR="007C5447" w:rsidRDefault="00F6308C">
      <w:pPr>
        <w:spacing w:before="1"/>
        <w:ind w:left="1700" w:right="1596"/>
        <w:jc w:val="both"/>
        <w:rPr>
          <w:i/>
          <w:sz w:val="24"/>
        </w:rPr>
      </w:pPr>
      <w:r>
        <w:rPr>
          <w:i/>
          <w:sz w:val="24"/>
        </w:rPr>
        <w:t>“34. Thus Power Purchase Cost which is the major component of tariff can be segregated for different voltage levels taking into account</w:t>
      </w:r>
      <w:r>
        <w:rPr>
          <w:i/>
          <w:sz w:val="24"/>
        </w:rPr>
        <w:t xml:space="preserve"> the transmission and distribution losses, both commercial and technical, for the relevant voltage level and upstream system. As segregated network costs are not available, all the other costs such as Return on Equity, Interest on Loan, depreciation, inter</w:t>
      </w:r>
      <w:r>
        <w:rPr>
          <w:i/>
          <w:sz w:val="24"/>
        </w:rPr>
        <w:t>est on working capital and O&amp;M costs can be pooled and apportioned equitably, on</w:t>
      </w:r>
      <w:r>
        <w:rPr>
          <w:i/>
          <w:spacing w:val="33"/>
          <w:sz w:val="24"/>
        </w:rPr>
        <w:t xml:space="preserve"> </w:t>
      </w:r>
      <w:r>
        <w:rPr>
          <w:i/>
          <w:sz w:val="24"/>
        </w:rPr>
        <w:t xml:space="preserve">pro-rata basis, to all the voltage levels including the appellant’s category to determine the cost of supply. Segregating Power Purchase cost taking into account voltage-wise </w:t>
      </w:r>
      <w:r>
        <w:rPr>
          <w:i/>
          <w:sz w:val="24"/>
        </w:rPr>
        <w:t>transmission and distribution losses will be  a major step in the right direction for determining the actual cost of supply to various consumer categories. All consumer categories connected to the same voltage will have the same cost of supply. Further, re</w:t>
      </w:r>
      <w:r>
        <w:rPr>
          <w:i/>
          <w:sz w:val="24"/>
        </w:rPr>
        <w:t>finements in formulation for cost of supply can be done gradually when more data is</w:t>
      </w:r>
      <w:r>
        <w:rPr>
          <w:i/>
          <w:spacing w:val="-4"/>
          <w:sz w:val="24"/>
        </w:rPr>
        <w:t xml:space="preserve"> </w:t>
      </w:r>
      <w:r>
        <w:rPr>
          <w:i/>
          <w:sz w:val="24"/>
        </w:rPr>
        <w:t>available.”</w:t>
      </w:r>
    </w:p>
    <w:p w:rsidR="007C5447" w:rsidRDefault="007C5447">
      <w:pPr>
        <w:pStyle w:val="BodyText"/>
        <w:rPr>
          <w:i/>
          <w:sz w:val="26"/>
        </w:rPr>
      </w:pPr>
    </w:p>
    <w:p w:rsidR="007C5447" w:rsidRDefault="007C5447">
      <w:pPr>
        <w:pStyle w:val="BodyText"/>
        <w:rPr>
          <w:i/>
          <w:sz w:val="26"/>
        </w:rPr>
      </w:pPr>
    </w:p>
    <w:p w:rsidR="007C5447" w:rsidRDefault="007C5447">
      <w:pPr>
        <w:pStyle w:val="BodyText"/>
        <w:spacing w:before="1"/>
        <w:rPr>
          <w:i/>
          <w:sz w:val="21"/>
        </w:rPr>
      </w:pPr>
    </w:p>
    <w:p w:rsidR="007C5447" w:rsidRDefault="00F6308C">
      <w:pPr>
        <w:pStyle w:val="Heading2"/>
        <w:ind w:left="1112"/>
      </w:pPr>
      <w:r>
        <w:t>Cost of Supply (CoS) Model</w:t>
      </w:r>
    </w:p>
    <w:p w:rsidR="007C5447" w:rsidRDefault="007C5447">
      <w:pPr>
        <w:pStyle w:val="BodyText"/>
        <w:spacing w:before="11"/>
        <w:rPr>
          <w:b/>
          <w:sz w:val="27"/>
        </w:rPr>
      </w:pPr>
    </w:p>
    <w:p w:rsidR="007C5447" w:rsidRDefault="00F6308C">
      <w:pPr>
        <w:ind w:left="1112"/>
        <w:rPr>
          <w:b/>
          <w:sz w:val="24"/>
        </w:rPr>
      </w:pPr>
      <w:r>
        <w:rPr>
          <w:b/>
          <w:sz w:val="24"/>
        </w:rPr>
        <w:t>Step 1: Segregation of overall costs</w:t>
      </w:r>
    </w:p>
    <w:p w:rsidR="007C5447" w:rsidRDefault="00F6308C">
      <w:pPr>
        <w:pStyle w:val="ListParagraph"/>
        <w:numPr>
          <w:ilvl w:val="2"/>
          <w:numId w:val="40"/>
        </w:numPr>
        <w:tabs>
          <w:tab w:val="left" w:pos="1113"/>
        </w:tabs>
        <w:spacing w:before="204" w:line="312" w:lineRule="auto"/>
        <w:ind w:left="1112" w:right="876"/>
        <w:jc w:val="both"/>
        <w:rPr>
          <w:sz w:val="24"/>
        </w:rPr>
      </w:pPr>
      <w:r>
        <w:rPr>
          <w:sz w:val="24"/>
        </w:rPr>
        <w:t>The total approved ARR has been split between all generation and power purchase related expe</w:t>
      </w:r>
      <w:r>
        <w:rPr>
          <w:sz w:val="24"/>
        </w:rPr>
        <w:t>nses and network expenses. Generation and power purchase related expenses includes cost of own generation, cost of power purchase, transmission cost and other income for the generation function. All the remaining expenses have been considered as network</w:t>
      </w:r>
      <w:r>
        <w:rPr>
          <w:spacing w:val="2"/>
          <w:sz w:val="24"/>
        </w:rPr>
        <w:t xml:space="preserve"> </w:t>
      </w:r>
      <w:r>
        <w:rPr>
          <w:sz w:val="24"/>
        </w:rPr>
        <w:t>ex</w:t>
      </w:r>
      <w:r>
        <w:rPr>
          <w:sz w:val="24"/>
        </w:rPr>
        <w:t>penses.</w:t>
      </w:r>
    </w:p>
    <w:p w:rsidR="007C5447" w:rsidRDefault="007C5447">
      <w:pPr>
        <w:pStyle w:val="BodyText"/>
        <w:spacing w:before="9"/>
        <w:rPr>
          <w:sz w:val="20"/>
        </w:rPr>
      </w:pPr>
    </w:p>
    <w:p w:rsidR="007C5447" w:rsidRDefault="00F6308C">
      <w:pPr>
        <w:pStyle w:val="Heading2"/>
        <w:spacing w:before="1"/>
        <w:ind w:left="1112"/>
      </w:pPr>
      <w:r>
        <w:t>Step 2: Segregation of voltage wise sales</w:t>
      </w:r>
    </w:p>
    <w:p w:rsidR="007C5447" w:rsidRDefault="00F6308C">
      <w:pPr>
        <w:pStyle w:val="ListParagraph"/>
        <w:numPr>
          <w:ilvl w:val="2"/>
          <w:numId w:val="40"/>
        </w:numPr>
        <w:tabs>
          <w:tab w:val="left" w:pos="1113"/>
        </w:tabs>
        <w:spacing w:before="204" w:line="312" w:lineRule="auto"/>
        <w:ind w:left="1112" w:right="876"/>
        <w:jc w:val="both"/>
        <w:rPr>
          <w:sz w:val="24"/>
        </w:rPr>
      </w:pPr>
      <w:r>
        <w:rPr>
          <w:sz w:val="24"/>
        </w:rPr>
        <w:t>The actual voltage-wise sales upto FY 2015-16 have been considered as provided by TANGEDCO. The voltage-wise sales for FY 2016-17 and FY 2017-18 have been considered based on the ratio of actual voltage-wi</w:t>
      </w:r>
      <w:r>
        <w:rPr>
          <w:sz w:val="24"/>
        </w:rPr>
        <w:t>se sales for FY</w:t>
      </w:r>
      <w:r>
        <w:rPr>
          <w:spacing w:val="-3"/>
          <w:sz w:val="24"/>
        </w:rPr>
        <w:t xml:space="preserve"> </w:t>
      </w:r>
      <w:r>
        <w:rPr>
          <w:sz w:val="24"/>
        </w:rPr>
        <w:t>2015-16.</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Heading2"/>
        <w:spacing w:before="60"/>
        <w:ind w:left="1112"/>
      </w:pPr>
      <w:r>
        <w:lastRenderedPageBreak/>
        <w:t>Step 3: Allocation of Technical Loss</w:t>
      </w:r>
    </w:p>
    <w:p w:rsidR="007C5447" w:rsidRDefault="00F6308C">
      <w:pPr>
        <w:pStyle w:val="ListParagraph"/>
        <w:numPr>
          <w:ilvl w:val="2"/>
          <w:numId w:val="40"/>
        </w:numPr>
        <w:tabs>
          <w:tab w:val="left" w:pos="1113"/>
        </w:tabs>
        <w:spacing w:before="202" w:line="312" w:lineRule="auto"/>
        <w:ind w:left="1112" w:right="878"/>
        <w:jc w:val="both"/>
        <w:rPr>
          <w:sz w:val="24"/>
        </w:rPr>
      </w:pPr>
      <w:r>
        <w:rPr>
          <w:sz w:val="24"/>
        </w:rPr>
        <w:t>As discussed in the true-up and MYT Chapters of this Order, the Commission had approved a trajectory of combined T&amp;D losses upto FY 2015-16 in the absence of any scientific study submitted by TANGEDCO. However, now when TANGEDCO has submitted the Study Rep</w:t>
      </w:r>
      <w:r>
        <w:rPr>
          <w:sz w:val="24"/>
        </w:rPr>
        <w:t>ort on Distribution Losses for FY 2015-16, the Commission has approved a revised trajectory of Distribution Losses for TANGEDCO for the Control</w:t>
      </w:r>
      <w:r>
        <w:rPr>
          <w:spacing w:val="-3"/>
          <w:sz w:val="24"/>
        </w:rPr>
        <w:t xml:space="preserve"> </w:t>
      </w:r>
      <w:r>
        <w:rPr>
          <w:sz w:val="24"/>
        </w:rPr>
        <w:t>Period.</w:t>
      </w:r>
    </w:p>
    <w:p w:rsidR="007C5447" w:rsidRDefault="007C5447">
      <w:pPr>
        <w:pStyle w:val="BodyText"/>
        <w:spacing w:before="10"/>
        <w:rPr>
          <w:sz w:val="20"/>
        </w:rPr>
      </w:pPr>
    </w:p>
    <w:p w:rsidR="007C5447" w:rsidRDefault="00F6308C">
      <w:pPr>
        <w:pStyle w:val="ListParagraph"/>
        <w:numPr>
          <w:ilvl w:val="2"/>
          <w:numId w:val="40"/>
        </w:numPr>
        <w:tabs>
          <w:tab w:val="left" w:pos="1113"/>
        </w:tabs>
        <w:spacing w:before="1" w:line="312" w:lineRule="auto"/>
        <w:ind w:left="1112" w:right="876"/>
        <w:jc w:val="both"/>
        <w:rPr>
          <w:sz w:val="24"/>
        </w:rPr>
      </w:pPr>
      <w:r>
        <w:rPr>
          <w:sz w:val="24"/>
        </w:rPr>
        <w:t>In the Study Report submitted, it was observed that TANGEDCO has submitted the Distribution Losses at 3</w:t>
      </w:r>
      <w:r>
        <w:rPr>
          <w:sz w:val="24"/>
        </w:rPr>
        <w:t xml:space="preserve">3 kV as 1.52%, whereas the Transmission Losses of TANTRANSCO upto 110 kV level have been considered as 4.11% in FY 2015-16. It appears illogical that the Losses at the lower voltage of 33 kV will be lower at 1.52% as compared to the Losses of 4.11% at 110 </w:t>
      </w:r>
      <w:r>
        <w:rPr>
          <w:sz w:val="24"/>
        </w:rPr>
        <w:t>kV. Also, TANGEDCO in its Tariff Petition, has considered Distribution Losses of 6.55% upto 33 kV, which appears more logical. The Commission asked TANGEDCO to reconcile the discrepancy and also submit the break-up of Distribution Losses at each voltage le</w:t>
      </w:r>
      <w:r>
        <w:rPr>
          <w:sz w:val="24"/>
        </w:rPr>
        <w:t>vel. However, TANGEDCO has not submitted the break-up of Distribution Losses separately for HT and LT</w:t>
      </w:r>
      <w:r>
        <w:rPr>
          <w:spacing w:val="-2"/>
          <w:sz w:val="24"/>
        </w:rPr>
        <w:t xml:space="preserve"> </w:t>
      </w:r>
      <w:r>
        <w:rPr>
          <w:sz w:val="24"/>
        </w:rPr>
        <w:t>category.</w:t>
      </w:r>
    </w:p>
    <w:p w:rsidR="007C5447" w:rsidRDefault="007C5447">
      <w:pPr>
        <w:pStyle w:val="BodyText"/>
        <w:spacing w:before="10"/>
        <w:rPr>
          <w:sz w:val="20"/>
        </w:rPr>
      </w:pPr>
    </w:p>
    <w:p w:rsidR="007C5447" w:rsidRDefault="00F6308C">
      <w:pPr>
        <w:pStyle w:val="ListParagraph"/>
        <w:numPr>
          <w:ilvl w:val="2"/>
          <w:numId w:val="40"/>
        </w:numPr>
        <w:tabs>
          <w:tab w:val="left" w:pos="1113"/>
        </w:tabs>
        <w:spacing w:before="1" w:line="312" w:lineRule="auto"/>
        <w:ind w:left="1112" w:right="876"/>
        <w:jc w:val="both"/>
        <w:rPr>
          <w:sz w:val="24"/>
        </w:rPr>
      </w:pPr>
      <w:r>
        <w:rPr>
          <w:sz w:val="24"/>
        </w:rPr>
        <w:t xml:space="preserve">In the absence of such break-up, the Commission has assumed Losses upto FY 2015-16 as approved in the Tariff Order dated June 20, 2013. For FY </w:t>
      </w:r>
      <w:r>
        <w:rPr>
          <w:sz w:val="24"/>
        </w:rPr>
        <w:t xml:space="preserve">2016-17 and FY 2017-18, 230 kV and 110 kV losses have been considered same as approved in the TANTRANSCO MYT Order in T.P. No. 2 of 2017 dated August 11, 2017. Losses at 33 kV, 22 kV, 11 kV and LT level have been considered same as that of FY 2015-16. The </w:t>
      </w:r>
      <w:r>
        <w:rPr>
          <w:sz w:val="24"/>
        </w:rPr>
        <w:t>overall loss upto FY 2015-16 has been considered based on T&amp;D trajectory as approved by the Commission. The overall loss for FY 2016-17 and FY 2017-18 has been considered as approved in Chapter 5 of this</w:t>
      </w:r>
      <w:r>
        <w:rPr>
          <w:spacing w:val="-2"/>
          <w:sz w:val="24"/>
        </w:rPr>
        <w:t xml:space="preserve"> </w:t>
      </w:r>
      <w:r>
        <w:rPr>
          <w:sz w:val="24"/>
        </w:rPr>
        <w:t>Order.</w:t>
      </w:r>
    </w:p>
    <w:p w:rsidR="007C5447" w:rsidRDefault="007C5447">
      <w:pPr>
        <w:pStyle w:val="BodyText"/>
        <w:spacing w:before="10"/>
        <w:rPr>
          <w:sz w:val="20"/>
        </w:rPr>
      </w:pPr>
    </w:p>
    <w:p w:rsidR="007C5447" w:rsidRDefault="00F6308C">
      <w:pPr>
        <w:pStyle w:val="ListParagraph"/>
        <w:numPr>
          <w:ilvl w:val="2"/>
          <w:numId w:val="40"/>
        </w:numPr>
        <w:tabs>
          <w:tab w:val="left" w:pos="1113"/>
        </w:tabs>
        <w:spacing w:line="312" w:lineRule="auto"/>
        <w:ind w:left="1112" w:right="876"/>
        <w:jc w:val="both"/>
        <w:rPr>
          <w:sz w:val="24"/>
        </w:rPr>
      </w:pPr>
      <w:r>
        <w:rPr>
          <w:sz w:val="24"/>
        </w:rPr>
        <w:t>The voltage-wise losses considered have been</w:t>
      </w:r>
      <w:r>
        <w:rPr>
          <w:sz w:val="24"/>
        </w:rPr>
        <w:t xml:space="preserve"> used to determine the cumulative losses up to a voltage level, which has been then applied on the voltage-wise sales to arrive at the technical losses incurred on sales at the respective voltage</w:t>
      </w:r>
      <w:r>
        <w:rPr>
          <w:spacing w:val="-9"/>
          <w:sz w:val="24"/>
        </w:rPr>
        <w:t xml:space="preserve"> </w:t>
      </w:r>
      <w:r>
        <w:rPr>
          <w:sz w:val="24"/>
        </w:rPr>
        <w:t>level.</w:t>
      </w:r>
    </w:p>
    <w:p w:rsidR="007C5447" w:rsidRDefault="007C5447">
      <w:pPr>
        <w:pStyle w:val="BodyText"/>
        <w:rPr>
          <w:sz w:val="21"/>
        </w:rPr>
      </w:pPr>
    </w:p>
    <w:p w:rsidR="007C5447" w:rsidRDefault="00F6308C">
      <w:pPr>
        <w:pStyle w:val="ListParagraph"/>
        <w:numPr>
          <w:ilvl w:val="2"/>
          <w:numId w:val="40"/>
        </w:numPr>
        <w:tabs>
          <w:tab w:val="left" w:pos="1113"/>
        </w:tabs>
        <w:spacing w:before="1" w:line="312" w:lineRule="auto"/>
        <w:ind w:left="1112" w:right="876"/>
        <w:jc w:val="both"/>
        <w:rPr>
          <w:sz w:val="24"/>
        </w:rPr>
      </w:pPr>
      <w:r>
        <w:rPr>
          <w:sz w:val="24"/>
        </w:rPr>
        <w:t xml:space="preserve">The voltage-wise technical losses considered by the </w:t>
      </w:r>
      <w:r>
        <w:rPr>
          <w:sz w:val="24"/>
        </w:rPr>
        <w:t>Commission are given in the Table</w:t>
      </w:r>
      <w:r>
        <w:rPr>
          <w:spacing w:val="-1"/>
          <w:sz w:val="24"/>
        </w:rPr>
        <w:t xml:space="preserve"> </w:t>
      </w:r>
      <w:r>
        <w:rPr>
          <w:sz w:val="24"/>
        </w:rPr>
        <w:t>below:</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Heading2"/>
        <w:spacing w:before="60"/>
        <w:ind w:left="524" w:right="429"/>
        <w:jc w:val="center"/>
      </w:pPr>
      <w:r>
        <w:lastRenderedPageBreak/>
        <w:t>Table 5-14: Voltage-wise Technical Losses considered by the Commission</w:t>
      </w:r>
    </w:p>
    <w:p w:rsidR="007C5447" w:rsidRDefault="007C5447">
      <w:pPr>
        <w:pStyle w:val="BodyText"/>
        <w:spacing w:before="8"/>
        <w:rPr>
          <w:b/>
          <w:sz w:val="17"/>
        </w:rPr>
      </w:pPr>
    </w:p>
    <w:tbl>
      <w:tblPr>
        <w:tblW w:w="0" w:type="auto"/>
        <w:tblInd w:w="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28"/>
        <w:gridCol w:w="845"/>
        <w:gridCol w:w="955"/>
        <w:gridCol w:w="991"/>
        <w:gridCol w:w="981"/>
        <w:gridCol w:w="983"/>
        <w:gridCol w:w="981"/>
        <w:gridCol w:w="980"/>
      </w:tblGrid>
      <w:tr w:rsidR="007C5447">
        <w:trPr>
          <w:trHeight w:val="491"/>
        </w:trPr>
        <w:tc>
          <w:tcPr>
            <w:tcW w:w="2028" w:type="dxa"/>
            <w:shd w:val="clear" w:color="auto" w:fill="F7C9AC"/>
          </w:tcPr>
          <w:p w:rsidR="007C5447" w:rsidRDefault="00F6308C">
            <w:pPr>
              <w:pStyle w:val="TableParagraph"/>
              <w:spacing w:before="132"/>
              <w:ind w:left="465"/>
              <w:jc w:val="left"/>
              <w:rPr>
                <w:b/>
                <w:sz w:val="20"/>
              </w:rPr>
            </w:pPr>
            <w:r>
              <w:rPr>
                <w:b/>
                <w:sz w:val="20"/>
              </w:rPr>
              <w:t>Voltage level</w:t>
            </w:r>
          </w:p>
        </w:tc>
        <w:tc>
          <w:tcPr>
            <w:tcW w:w="845" w:type="dxa"/>
            <w:shd w:val="clear" w:color="auto" w:fill="F7C9AC"/>
          </w:tcPr>
          <w:p w:rsidR="007C5447" w:rsidRDefault="00F6308C">
            <w:pPr>
              <w:pStyle w:val="TableParagraph"/>
              <w:spacing w:before="132"/>
              <w:ind w:left="212" w:right="205"/>
              <w:jc w:val="center"/>
              <w:rPr>
                <w:b/>
                <w:sz w:val="20"/>
              </w:rPr>
            </w:pPr>
            <w:r>
              <w:rPr>
                <w:b/>
                <w:sz w:val="20"/>
              </w:rPr>
              <w:t>Unit</w:t>
            </w:r>
          </w:p>
        </w:tc>
        <w:tc>
          <w:tcPr>
            <w:tcW w:w="955" w:type="dxa"/>
            <w:shd w:val="clear" w:color="auto" w:fill="F7C9AC"/>
          </w:tcPr>
          <w:p w:rsidR="007C5447" w:rsidRDefault="00F6308C">
            <w:pPr>
              <w:pStyle w:val="TableParagraph"/>
              <w:spacing w:before="17" w:line="230" w:lineRule="atLeast"/>
              <w:ind w:left="144" w:right="129" w:firstLine="199"/>
              <w:jc w:val="left"/>
              <w:rPr>
                <w:b/>
                <w:sz w:val="20"/>
              </w:rPr>
            </w:pPr>
            <w:r>
              <w:rPr>
                <w:b/>
                <w:sz w:val="20"/>
              </w:rPr>
              <w:t>FY 2012-13</w:t>
            </w:r>
          </w:p>
        </w:tc>
        <w:tc>
          <w:tcPr>
            <w:tcW w:w="991" w:type="dxa"/>
            <w:shd w:val="clear" w:color="auto" w:fill="F7C9AC"/>
          </w:tcPr>
          <w:p w:rsidR="007C5447" w:rsidRDefault="00F6308C">
            <w:pPr>
              <w:pStyle w:val="TableParagraph"/>
              <w:spacing w:before="17" w:line="230" w:lineRule="atLeast"/>
              <w:ind w:left="161" w:right="148" w:firstLine="201"/>
              <w:jc w:val="left"/>
              <w:rPr>
                <w:b/>
                <w:sz w:val="20"/>
              </w:rPr>
            </w:pPr>
            <w:r>
              <w:rPr>
                <w:b/>
                <w:sz w:val="20"/>
              </w:rPr>
              <w:t>FY 2013-14</w:t>
            </w:r>
          </w:p>
        </w:tc>
        <w:tc>
          <w:tcPr>
            <w:tcW w:w="981" w:type="dxa"/>
            <w:shd w:val="clear" w:color="auto" w:fill="F7C9AC"/>
          </w:tcPr>
          <w:p w:rsidR="007C5447" w:rsidRDefault="00F6308C">
            <w:pPr>
              <w:pStyle w:val="TableParagraph"/>
              <w:spacing w:before="17" w:line="230" w:lineRule="atLeast"/>
              <w:ind w:left="156" w:right="142" w:firstLine="201"/>
              <w:jc w:val="left"/>
              <w:rPr>
                <w:b/>
                <w:sz w:val="20"/>
              </w:rPr>
            </w:pPr>
            <w:r>
              <w:rPr>
                <w:b/>
                <w:sz w:val="20"/>
              </w:rPr>
              <w:t>FY 2014-15</w:t>
            </w:r>
          </w:p>
        </w:tc>
        <w:tc>
          <w:tcPr>
            <w:tcW w:w="983" w:type="dxa"/>
            <w:shd w:val="clear" w:color="auto" w:fill="F7C9AC"/>
          </w:tcPr>
          <w:p w:rsidR="007C5447" w:rsidRDefault="00F6308C">
            <w:pPr>
              <w:pStyle w:val="TableParagraph"/>
              <w:spacing w:before="17" w:line="230" w:lineRule="atLeast"/>
              <w:ind w:left="157" w:right="143" w:firstLine="201"/>
              <w:jc w:val="left"/>
              <w:rPr>
                <w:b/>
                <w:sz w:val="20"/>
              </w:rPr>
            </w:pPr>
            <w:r>
              <w:rPr>
                <w:b/>
                <w:sz w:val="20"/>
              </w:rPr>
              <w:t>FY 2015-16</w:t>
            </w:r>
          </w:p>
        </w:tc>
        <w:tc>
          <w:tcPr>
            <w:tcW w:w="981" w:type="dxa"/>
            <w:shd w:val="clear" w:color="auto" w:fill="F7C9AC"/>
          </w:tcPr>
          <w:p w:rsidR="007C5447" w:rsidRDefault="00F6308C">
            <w:pPr>
              <w:pStyle w:val="TableParagraph"/>
              <w:spacing w:before="17" w:line="230" w:lineRule="atLeast"/>
              <w:ind w:left="158" w:right="140" w:firstLine="202"/>
              <w:jc w:val="left"/>
              <w:rPr>
                <w:b/>
                <w:sz w:val="20"/>
              </w:rPr>
            </w:pPr>
            <w:r>
              <w:rPr>
                <w:b/>
                <w:sz w:val="20"/>
              </w:rPr>
              <w:t>FY 2016-17</w:t>
            </w:r>
          </w:p>
        </w:tc>
        <w:tc>
          <w:tcPr>
            <w:tcW w:w="980" w:type="dxa"/>
            <w:shd w:val="clear" w:color="auto" w:fill="F7C9AC"/>
          </w:tcPr>
          <w:p w:rsidR="007C5447" w:rsidRDefault="00F6308C">
            <w:pPr>
              <w:pStyle w:val="TableParagraph"/>
              <w:spacing w:before="17" w:line="230" w:lineRule="atLeast"/>
              <w:ind w:left="159" w:right="138" w:firstLine="201"/>
              <w:jc w:val="left"/>
              <w:rPr>
                <w:b/>
                <w:sz w:val="20"/>
              </w:rPr>
            </w:pPr>
            <w:r>
              <w:rPr>
                <w:b/>
                <w:sz w:val="20"/>
              </w:rPr>
              <w:t>FY 2017-18</w:t>
            </w:r>
          </w:p>
        </w:tc>
      </w:tr>
      <w:tr w:rsidR="007C5447">
        <w:trPr>
          <w:trHeight w:val="393"/>
        </w:trPr>
        <w:tc>
          <w:tcPr>
            <w:tcW w:w="2028" w:type="dxa"/>
          </w:tcPr>
          <w:p w:rsidR="007C5447" w:rsidRDefault="00F6308C">
            <w:pPr>
              <w:pStyle w:val="TableParagraph"/>
              <w:spacing w:before="82"/>
              <w:ind w:left="107"/>
              <w:jc w:val="left"/>
              <w:rPr>
                <w:sz w:val="20"/>
              </w:rPr>
            </w:pPr>
            <w:r>
              <w:rPr>
                <w:sz w:val="20"/>
              </w:rPr>
              <w:t>230 kV Losses</w:t>
            </w:r>
          </w:p>
        </w:tc>
        <w:tc>
          <w:tcPr>
            <w:tcW w:w="845" w:type="dxa"/>
          </w:tcPr>
          <w:p w:rsidR="007C5447" w:rsidRDefault="00F6308C">
            <w:pPr>
              <w:pStyle w:val="TableParagraph"/>
              <w:spacing w:before="82"/>
              <w:ind w:left="8"/>
              <w:jc w:val="center"/>
              <w:rPr>
                <w:sz w:val="20"/>
              </w:rPr>
            </w:pPr>
            <w:r>
              <w:rPr>
                <w:w w:val="99"/>
                <w:sz w:val="20"/>
              </w:rPr>
              <w:t>%</w:t>
            </w:r>
          </w:p>
        </w:tc>
        <w:tc>
          <w:tcPr>
            <w:tcW w:w="955" w:type="dxa"/>
          </w:tcPr>
          <w:p w:rsidR="007C5447" w:rsidRDefault="00F6308C">
            <w:pPr>
              <w:pStyle w:val="TableParagraph"/>
              <w:spacing w:before="82"/>
              <w:ind w:right="93"/>
              <w:rPr>
                <w:sz w:val="20"/>
              </w:rPr>
            </w:pPr>
            <w:r>
              <w:rPr>
                <w:sz w:val="20"/>
              </w:rPr>
              <w:t>0.80%</w:t>
            </w:r>
          </w:p>
        </w:tc>
        <w:tc>
          <w:tcPr>
            <w:tcW w:w="991" w:type="dxa"/>
          </w:tcPr>
          <w:p w:rsidR="007C5447" w:rsidRDefault="00F6308C">
            <w:pPr>
              <w:pStyle w:val="TableParagraph"/>
              <w:spacing w:before="82"/>
              <w:ind w:right="93"/>
              <w:rPr>
                <w:sz w:val="20"/>
              </w:rPr>
            </w:pPr>
            <w:r>
              <w:rPr>
                <w:sz w:val="20"/>
              </w:rPr>
              <w:t>0.80%</w:t>
            </w:r>
          </w:p>
        </w:tc>
        <w:tc>
          <w:tcPr>
            <w:tcW w:w="981" w:type="dxa"/>
          </w:tcPr>
          <w:p w:rsidR="007C5447" w:rsidRDefault="00F6308C">
            <w:pPr>
              <w:pStyle w:val="TableParagraph"/>
              <w:spacing w:before="82"/>
              <w:ind w:right="92"/>
              <w:rPr>
                <w:sz w:val="20"/>
              </w:rPr>
            </w:pPr>
            <w:r>
              <w:rPr>
                <w:sz w:val="20"/>
              </w:rPr>
              <w:t>0.80%</w:t>
            </w:r>
          </w:p>
        </w:tc>
        <w:tc>
          <w:tcPr>
            <w:tcW w:w="983" w:type="dxa"/>
          </w:tcPr>
          <w:p w:rsidR="007C5447" w:rsidRDefault="00F6308C">
            <w:pPr>
              <w:pStyle w:val="TableParagraph"/>
              <w:spacing w:before="82"/>
              <w:ind w:right="93"/>
              <w:rPr>
                <w:sz w:val="20"/>
              </w:rPr>
            </w:pPr>
            <w:r>
              <w:rPr>
                <w:sz w:val="20"/>
              </w:rPr>
              <w:t>0.80%</w:t>
            </w:r>
          </w:p>
        </w:tc>
        <w:tc>
          <w:tcPr>
            <w:tcW w:w="981" w:type="dxa"/>
          </w:tcPr>
          <w:p w:rsidR="007C5447" w:rsidRDefault="00F6308C">
            <w:pPr>
              <w:pStyle w:val="TableParagraph"/>
              <w:spacing w:before="82"/>
              <w:ind w:right="89"/>
              <w:rPr>
                <w:sz w:val="20"/>
              </w:rPr>
            </w:pPr>
            <w:r>
              <w:rPr>
                <w:sz w:val="20"/>
              </w:rPr>
              <w:t>0.80%</w:t>
            </w:r>
          </w:p>
        </w:tc>
        <w:tc>
          <w:tcPr>
            <w:tcW w:w="980" w:type="dxa"/>
          </w:tcPr>
          <w:p w:rsidR="007C5447" w:rsidRDefault="00F6308C">
            <w:pPr>
              <w:pStyle w:val="TableParagraph"/>
              <w:spacing w:before="82"/>
              <w:ind w:right="88"/>
              <w:rPr>
                <w:sz w:val="20"/>
              </w:rPr>
            </w:pPr>
            <w:r>
              <w:rPr>
                <w:sz w:val="20"/>
              </w:rPr>
              <w:t>0.77%</w:t>
            </w:r>
          </w:p>
        </w:tc>
      </w:tr>
      <w:tr w:rsidR="007C5447">
        <w:trPr>
          <w:trHeight w:val="393"/>
        </w:trPr>
        <w:tc>
          <w:tcPr>
            <w:tcW w:w="2028" w:type="dxa"/>
          </w:tcPr>
          <w:p w:rsidR="007C5447" w:rsidRDefault="00F6308C">
            <w:pPr>
              <w:pStyle w:val="TableParagraph"/>
              <w:spacing w:before="82"/>
              <w:ind w:left="107"/>
              <w:jc w:val="left"/>
              <w:rPr>
                <w:sz w:val="20"/>
              </w:rPr>
            </w:pPr>
            <w:r>
              <w:rPr>
                <w:sz w:val="20"/>
              </w:rPr>
              <w:t>110 kV Losses</w:t>
            </w:r>
          </w:p>
        </w:tc>
        <w:tc>
          <w:tcPr>
            <w:tcW w:w="845" w:type="dxa"/>
          </w:tcPr>
          <w:p w:rsidR="007C5447" w:rsidRDefault="00F6308C">
            <w:pPr>
              <w:pStyle w:val="TableParagraph"/>
              <w:spacing w:before="82"/>
              <w:ind w:left="8"/>
              <w:jc w:val="center"/>
              <w:rPr>
                <w:sz w:val="20"/>
              </w:rPr>
            </w:pPr>
            <w:r>
              <w:rPr>
                <w:w w:val="99"/>
                <w:sz w:val="20"/>
              </w:rPr>
              <w:t>%</w:t>
            </w:r>
          </w:p>
        </w:tc>
        <w:tc>
          <w:tcPr>
            <w:tcW w:w="955" w:type="dxa"/>
          </w:tcPr>
          <w:p w:rsidR="007C5447" w:rsidRDefault="00F6308C">
            <w:pPr>
              <w:pStyle w:val="TableParagraph"/>
              <w:spacing w:before="82"/>
              <w:ind w:right="93"/>
              <w:rPr>
                <w:sz w:val="20"/>
              </w:rPr>
            </w:pPr>
            <w:r>
              <w:rPr>
                <w:sz w:val="20"/>
              </w:rPr>
              <w:t>1.90%</w:t>
            </w:r>
          </w:p>
        </w:tc>
        <w:tc>
          <w:tcPr>
            <w:tcW w:w="991" w:type="dxa"/>
          </w:tcPr>
          <w:p w:rsidR="007C5447" w:rsidRDefault="00F6308C">
            <w:pPr>
              <w:pStyle w:val="TableParagraph"/>
              <w:spacing w:before="82"/>
              <w:ind w:right="93"/>
              <w:rPr>
                <w:sz w:val="20"/>
              </w:rPr>
            </w:pPr>
            <w:r>
              <w:rPr>
                <w:sz w:val="20"/>
              </w:rPr>
              <w:t>1.90%</w:t>
            </w:r>
          </w:p>
        </w:tc>
        <w:tc>
          <w:tcPr>
            <w:tcW w:w="981" w:type="dxa"/>
          </w:tcPr>
          <w:p w:rsidR="007C5447" w:rsidRDefault="00F6308C">
            <w:pPr>
              <w:pStyle w:val="TableParagraph"/>
              <w:spacing w:before="82"/>
              <w:ind w:right="92"/>
              <w:rPr>
                <w:sz w:val="20"/>
              </w:rPr>
            </w:pPr>
            <w:r>
              <w:rPr>
                <w:sz w:val="20"/>
              </w:rPr>
              <w:t>1.90%</w:t>
            </w:r>
          </w:p>
        </w:tc>
        <w:tc>
          <w:tcPr>
            <w:tcW w:w="983" w:type="dxa"/>
          </w:tcPr>
          <w:p w:rsidR="007C5447" w:rsidRDefault="00F6308C">
            <w:pPr>
              <w:pStyle w:val="TableParagraph"/>
              <w:spacing w:before="82"/>
              <w:ind w:right="93"/>
              <w:rPr>
                <w:sz w:val="20"/>
              </w:rPr>
            </w:pPr>
            <w:r>
              <w:rPr>
                <w:sz w:val="20"/>
              </w:rPr>
              <w:t>1.90%</w:t>
            </w:r>
          </w:p>
        </w:tc>
        <w:tc>
          <w:tcPr>
            <w:tcW w:w="981" w:type="dxa"/>
          </w:tcPr>
          <w:p w:rsidR="007C5447" w:rsidRDefault="00F6308C">
            <w:pPr>
              <w:pStyle w:val="TableParagraph"/>
              <w:spacing w:before="82"/>
              <w:ind w:right="89"/>
              <w:rPr>
                <w:sz w:val="20"/>
              </w:rPr>
            </w:pPr>
            <w:r>
              <w:rPr>
                <w:sz w:val="20"/>
              </w:rPr>
              <w:t>3.21%</w:t>
            </w:r>
          </w:p>
        </w:tc>
        <w:tc>
          <w:tcPr>
            <w:tcW w:w="980" w:type="dxa"/>
          </w:tcPr>
          <w:p w:rsidR="007C5447" w:rsidRDefault="00F6308C">
            <w:pPr>
              <w:pStyle w:val="TableParagraph"/>
              <w:spacing w:before="82"/>
              <w:ind w:right="88"/>
              <w:rPr>
                <w:sz w:val="20"/>
              </w:rPr>
            </w:pPr>
            <w:r>
              <w:rPr>
                <w:sz w:val="20"/>
              </w:rPr>
              <w:t>3.14%</w:t>
            </w:r>
          </w:p>
        </w:tc>
      </w:tr>
      <w:tr w:rsidR="007C5447">
        <w:trPr>
          <w:trHeight w:val="395"/>
        </w:trPr>
        <w:tc>
          <w:tcPr>
            <w:tcW w:w="2028" w:type="dxa"/>
          </w:tcPr>
          <w:p w:rsidR="007C5447" w:rsidRDefault="00F6308C">
            <w:pPr>
              <w:pStyle w:val="TableParagraph"/>
              <w:spacing w:before="84"/>
              <w:ind w:left="107"/>
              <w:jc w:val="left"/>
              <w:rPr>
                <w:sz w:val="20"/>
              </w:rPr>
            </w:pPr>
            <w:r>
              <w:rPr>
                <w:sz w:val="20"/>
              </w:rPr>
              <w:t>33 kV Losses</w:t>
            </w:r>
          </w:p>
        </w:tc>
        <w:tc>
          <w:tcPr>
            <w:tcW w:w="845" w:type="dxa"/>
          </w:tcPr>
          <w:p w:rsidR="007C5447" w:rsidRDefault="00F6308C">
            <w:pPr>
              <w:pStyle w:val="TableParagraph"/>
              <w:spacing w:before="84"/>
              <w:ind w:left="8"/>
              <w:jc w:val="center"/>
              <w:rPr>
                <w:sz w:val="20"/>
              </w:rPr>
            </w:pPr>
            <w:r>
              <w:rPr>
                <w:w w:val="99"/>
                <w:sz w:val="20"/>
              </w:rPr>
              <w:t>%</w:t>
            </w:r>
          </w:p>
        </w:tc>
        <w:tc>
          <w:tcPr>
            <w:tcW w:w="955" w:type="dxa"/>
          </w:tcPr>
          <w:p w:rsidR="007C5447" w:rsidRDefault="00F6308C">
            <w:pPr>
              <w:pStyle w:val="TableParagraph"/>
              <w:spacing w:before="84"/>
              <w:ind w:right="93"/>
              <w:rPr>
                <w:sz w:val="20"/>
              </w:rPr>
            </w:pPr>
            <w:r>
              <w:rPr>
                <w:sz w:val="20"/>
              </w:rPr>
              <w:t>0.66%</w:t>
            </w:r>
          </w:p>
        </w:tc>
        <w:tc>
          <w:tcPr>
            <w:tcW w:w="991" w:type="dxa"/>
          </w:tcPr>
          <w:p w:rsidR="007C5447" w:rsidRDefault="00F6308C">
            <w:pPr>
              <w:pStyle w:val="TableParagraph"/>
              <w:spacing w:before="84"/>
              <w:ind w:right="93"/>
              <w:rPr>
                <w:sz w:val="20"/>
              </w:rPr>
            </w:pPr>
            <w:r>
              <w:rPr>
                <w:sz w:val="20"/>
              </w:rPr>
              <w:t>0.66%</w:t>
            </w:r>
          </w:p>
        </w:tc>
        <w:tc>
          <w:tcPr>
            <w:tcW w:w="981" w:type="dxa"/>
          </w:tcPr>
          <w:p w:rsidR="007C5447" w:rsidRDefault="00F6308C">
            <w:pPr>
              <w:pStyle w:val="TableParagraph"/>
              <w:spacing w:before="84"/>
              <w:ind w:right="92"/>
              <w:rPr>
                <w:sz w:val="20"/>
              </w:rPr>
            </w:pPr>
            <w:r>
              <w:rPr>
                <w:sz w:val="20"/>
              </w:rPr>
              <w:t>0.64%</w:t>
            </w:r>
          </w:p>
        </w:tc>
        <w:tc>
          <w:tcPr>
            <w:tcW w:w="983" w:type="dxa"/>
          </w:tcPr>
          <w:p w:rsidR="007C5447" w:rsidRDefault="00F6308C">
            <w:pPr>
              <w:pStyle w:val="TableParagraph"/>
              <w:spacing w:before="84"/>
              <w:ind w:right="93"/>
              <w:rPr>
                <w:sz w:val="20"/>
              </w:rPr>
            </w:pPr>
            <w:r>
              <w:rPr>
                <w:sz w:val="20"/>
              </w:rPr>
              <w:t>0.62%</w:t>
            </w:r>
          </w:p>
        </w:tc>
        <w:tc>
          <w:tcPr>
            <w:tcW w:w="981" w:type="dxa"/>
          </w:tcPr>
          <w:p w:rsidR="007C5447" w:rsidRDefault="00F6308C">
            <w:pPr>
              <w:pStyle w:val="TableParagraph"/>
              <w:spacing w:before="84"/>
              <w:ind w:right="89"/>
              <w:rPr>
                <w:sz w:val="20"/>
              </w:rPr>
            </w:pPr>
            <w:r>
              <w:rPr>
                <w:sz w:val="20"/>
              </w:rPr>
              <w:t>1.48%</w:t>
            </w:r>
          </w:p>
        </w:tc>
        <w:tc>
          <w:tcPr>
            <w:tcW w:w="980" w:type="dxa"/>
          </w:tcPr>
          <w:p w:rsidR="007C5447" w:rsidRDefault="00F6308C">
            <w:pPr>
              <w:pStyle w:val="TableParagraph"/>
              <w:spacing w:before="84"/>
              <w:ind w:right="87"/>
              <w:rPr>
                <w:sz w:val="20"/>
              </w:rPr>
            </w:pPr>
            <w:r>
              <w:rPr>
                <w:sz w:val="20"/>
              </w:rPr>
              <w:t>1.44%</w:t>
            </w:r>
          </w:p>
        </w:tc>
      </w:tr>
      <w:tr w:rsidR="007C5447">
        <w:trPr>
          <w:trHeight w:val="393"/>
        </w:trPr>
        <w:tc>
          <w:tcPr>
            <w:tcW w:w="2028" w:type="dxa"/>
          </w:tcPr>
          <w:p w:rsidR="007C5447" w:rsidRDefault="00F6308C">
            <w:pPr>
              <w:pStyle w:val="TableParagraph"/>
              <w:spacing w:before="82"/>
              <w:ind w:left="107"/>
              <w:jc w:val="left"/>
              <w:rPr>
                <w:sz w:val="20"/>
              </w:rPr>
            </w:pPr>
            <w:r>
              <w:rPr>
                <w:sz w:val="20"/>
              </w:rPr>
              <w:t>22 kV Losses</w:t>
            </w:r>
          </w:p>
        </w:tc>
        <w:tc>
          <w:tcPr>
            <w:tcW w:w="845" w:type="dxa"/>
          </w:tcPr>
          <w:p w:rsidR="007C5447" w:rsidRDefault="00F6308C">
            <w:pPr>
              <w:pStyle w:val="TableParagraph"/>
              <w:spacing w:before="82"/>
              <w:ind w:left="8"/>
              <w:jc w:val="center"/>
              <w:rPr>
                <w:sz w:val="20"/>
              </w:rPr>
            </w:pPr>
            <w:r>
              <w:rPr>
                <w:w w:val="99"/>
                <w:sz w:val="20"/>
              </w:rPr>
              <w:t>%</w:t>
            </w:r>
          </w:p>
        </w:tc>
        <w:tc>
          <w:tcPr>
            <w:tcW w:w="955" w:type="dxa"/>
          </w:tcPr>
          <w:p w:rsidR="007C5447" w:rsidRDefault="00F6308C">
            <w:pPr>
              <w:pStyle w:val="TableParagraph"/>
              <w:spacing w:before="82"/>
              <w:ind w:right="93"/>
              <w:rPr>
                <w:sz w:val="20"/>
              </w:rPr>
            </w:pPr>
            <w:r>
              <w:rPr>
                <w:sz w:val="20"/>
              </w:rPr>
              <w:t>2.76%</w:t>
            </w:r>
          </w:p>
        </w:tc>
        <w:tc>
          <w:tcPr>
            <w:tcW w:w="991" w:type="dxa"/>
          </w:tcPr>
          <w:p w:rsidR="007C5447" w:rsidRDefault="00F6308C">
            <w:pPr>
              <w:pStyle w:val="TableParagraph"/>
              <w:spacing w:before="82"/>
              <w:ind w:right="93"/>
              <w:rPr>
                <w:sz w:val="20"/>
              </w:rPr>
            </w:pPr>
            <w:r>
              <w:rPr>
                <w:sz w:val="20"/>
              </w:rPr>
              <w:t>2.76%</w:t>
            </w:r>
          </w:p>
        </w:tc>
        <w:tc>
          <w:tcPr>
            <w:tcW w:w="981" w:type="dxa"/>
          </w:tcPr>
          <w:p w:rsidR="007C5447" w:rsidRDefault="00F6308C">
            <w:pPr>
              <w:pStyle w:val="TableParagraph"/>
              <w:spacing w:before="82"/>
              <w:ind w:right="92"/>
              <w:rPr>
                <w:sz w:val="20"/>
              </w:rPr>
            </w:pPr>
            <w:r>
              <w:rPr>
                <w:sz w:val="20"/>
              </w:rPr>
              <w:t>2.68%</w:t>
            </w:r>
          </w:p>
        </w:tc>
        <w:tc>
          <w:tcPr>
            <w:tcW w:w="983" w:type="dxa"/>
          </w:tcPr>
          <w:p w:rsidR="007C5447" w:rsidRDefault="00F6308C">
            <w:pPr>
              <w:pStyle w:val="TableParagraph"/>
              <w:spacing w:before="82"/>
              <w:ind w:right="93"/>
              <w:rPr>
                <w:sz w:val="20"/>
              </w:rPr>
            </w:pPr>
            <w:r>
              <w:rPr>
                <w:sz w:val="20"/>
              </w:rPr>
              <w:t>2.60%</w:t>
            </w:r>
          </w:p>
        </w:tc>
        <w:tc>
          <w:tcPr>
            <w:tcW w:w="981" w:type="dxa"/>
          </w:tcPr>
          <w:p w:rsidR="007C5447" w:rsidRDefault="00F6308C">
            <w:pPr>
              <w:pStyle w:val="TableParagraph"/>
              <w:spacing w:before="82"/>
              <w:ind w:right="89"/>
              <w:rPr>
                <w:sz w:val="20"/>
              </w:rPr>
            </w:pPr>
            <w:r>
              <w:rPr>
                <w:sz w:val="20"/>
              </w:rPr>
              <w:t>2.45%</w:t>
            </w:r>
          </w:p>
        </w:tc>
        <w:tc>
          <w:tcPr>
            <w:tcW w:w="980" w:type="dxa"/>
          </w:tcPr>
          <w:p w:rsidR="007C5447" w:rsidRDefault="00F6308C">
            <w:pPr>
              <w:pStyle w:val="TableParagraph"/>
              <w:spacing w:before="82"/>
              <w:ind w:right="87"/>
              <w:rPr>
                <w:sz w:val="20"/>
              </w:rPr>
            </w:pPr>
            <w:r>
              <w:rPr>
                <w:sz w:val="20"/>
              </w:rPr>
              <w:t>2.35%</w:t>
            </w:r>
          </w:p>
        </w:tc>
      </w:tr>
      <w:tr w:rsidR="007C5447">
        <w:trPr>
          <w:trHeight w:val="393"/>
        </w:trPr>
        <w:tc>
          <w:tcPr>
            <w:tcW w:w="2028" w:type="dxa"/>
          </w:tcPr>
          <w:p w:rsidR="007C5447" w:rsidRDefault="00F6308C">
            <w:pPr>
              <w:pStyle w:val="TableParagraph"/>
              <w:spacing w:before="82"/>
              <w:ind w:left="107"/>
              <w:jc w:val="left"/>
              <w:rPr>
                <w:sz w:val="20"/>
              </w:rPr>
            </w:pPr>
            <w:r>
              <w:rPr>
                <w:sz w:val="20"/>
              </w:rPr>
              <w:t>11 kV Losses</w:t>
            </w:r>
          </w:p>
        </w:tc>
        <w:tc>
          <w:tcPr>
            <w:tcW w:w="845" w:type="dxa"/>
          </w:tcPr>
          <w:p w:rsidR="007C5447" w:rsidRDefault="00F6308C">
            <w:pPr>
              <w:pStyle w:val="TableParagraph"/>
              <w:spacing w:before="82"/>
              <w:ind w:left="8"/>
              <w:jc w:val="center"/>
              <w:rPr>
                <w:sz w:val="20"/>
              </w:rPr>
            </w:pPr>
            <w:r>
              <w:rPr>
                <w:w w:val="99"/>
                <w:sz w:val="20"/>
              </w:rPr>
              <w:t>%</w:t>
            </w:r>
          </w:p>
        </w:tc>
        <w:tc>
          <w:tcPr>
            <w:tcW w:w="955" w:type="dxa"/>
          </w:tcPr>
          <w:p w:rsidR="007C5447" w:rsidRDefault="00F6308C">
            <w:pPr>
              <w:pStyle w:val="TableParagraph"/>
              <w:spacing w:before="82"/>
              <w:ind w:right="93"/>
              <w:rPr>
                <w:sz w:val="20"/>
              </w:rPr>
            </w:pPr>
            <w:r>
              <w:rPr>
                <w:sz w:val="20"/>
              </w:rPr>
              <w:t>2.87%</w:t>
            </w:r>
          </w:p>
        </w:tc>
        <w:tc>
          <w:tcPr>
            <w:tcW w:w="991" w:type="dxa"/>
          </w:tcPr>
          <w:p w:rsidR="007C5447" w:rsidRDefault="00F6308C">
            <w:pPr>
              <w:pStyle w:val="TableParagraph"/>
              <w:spacing w:before="82"/>
              <w:ind w:right="93"/>
              <w:rPr>
                <w:sz w:val="20"/>
              </w:rPr>
            </w:pPr>
            <w:r>
              <w:rPr>
                <w:sz w:val="20"/>
              </w:rPr>
              <w:t>2.87%</w:t>
            </w:r>
          </w:p>
        </w:tc>
        <w:tc>
          <w:tcPr>
            <w:tcW w:w="981" w:type="dxa"/>
          </w:tcPr>
          <w:p w:rsidR="007C5447" w:rsidRDefault="00F6308C">
            <w:pPr>
              <w:pStyle w:val="TableParagraph"/>
              <w:spacing w:before="82"/>
              <w:ind w:right="92"/>
              <w:rPr>
                <w:sz w:val="20"/>
              </w:rPr>
            </w:pPr>
            <w:r>
              <w:rPr>
                <w:sz w:val="20"/>
              </w:rPr>
              <w:t>2.78%</w:t>
            </w:r>
          </w:p>
        </w:tc>
        <w:tc>
          <w:tcPr>
            <w:tcW w:w="983" w:type="dxa"/>
          </w:tcPr>
          <w:p w:rsidR="007C5447" w:rsidRDefault="00F6308C">
            <w:pPr>
              <w:pStyle w:val="TableParagraph"/>
              <w:spacing w:before="82"/>
              <w:ind w:right="93"/>
              <w:rPr>
                <w:sz w:val="20"/>
              </w:rPr>
            </w:pPr>
            <w:r>
              <w:rPr>
                <w:sz w:val="20"/>
              </w:rPr>
              <w:t>2.70%</w:t>
            </w:r>
          </w:p>
        </w:tc>
        <w:tc>
          <w:tcPr>
            <w:tcW w:w="981" w:type="dxa"/>
          </w:tcPr>
          <w:p w:rsidR="007C5447" w:rsidRDefault="00F6308C">
            <w:pPr>
              <w:pStyle w:val="TableParagraph"/>
              <w:spacing w:before="82"/>
              <w:ind w:right="89"/>
              <w:rPr>
                <w:sz w:val="20"/>
              </w:rPr>
            </w:pPr>
            <w:r>
              <w:rPr>
                <w:sz w:val="20"/>
              </w:rPr>
              <w:t>2.55%</w:t>
            </w:r>
          </w:p>
        </w:tc>
        <w:tc>
          <w:tcPr>
            <w:tcW w:w="980" w:type="dxa"/>
          </w:tcPr>
          <w:p w:rsidR="007C5447" w:rsidRDefault="00F6308C">
            <w:pPr>
              <w:pStyle w:val="TableParagraph"/>
              <w:spacing w:before="82"/>
              <w:ind w:right="87"/>
              <w:rPr>
                <w:sz w:val="20"/>
              </w:rPr>
            </w:pPr>
            <w:r>
              <w:rPr>
                <w:sz w:val="20"/>
              </w:rPr>
              <w:t>2.45%</w:t>
            </w:r>
          </w:p>
        </w:tc>
      </w:tr>
      <w:tr w:rsidR="007C5447">
        <w:trPr>
          <w:trHeight w:val="395"/>
        </w:trPr>
        <w:tc>
          <w:tcPr>
            <w:tcW w:w="2028" w:type="dxa"/>
          </w:tcPr>
          <w:p w:rsidR="007C5447" w:rsidRDefault="00F6308C">
            <w:pPr>
              <w:pStyle w:val="TableParagraph"/>
              <w:spacing w:before="84"/>
              <w:ind w:left="107"/>
              <w:jc w:val="left"/>
              <w:rPr>
                <w:sz w:val="20"/>
              </w:rPr>
            </w:pPr>
            <w:r>
              <w:rPr>
                <w:sz w:val="20"/>
              </w:rPr>
              <w:t>LT Losses</w:t>
            </w:r>
          </w:p>
        </w:tc>
        <w:tc>
          <w:tcPr>
            <w:tcW w:w="845" w:type="dxa"/>
          </w:tcPr>
          <w:p w:rsidR="007C5447" w:rsidRDefault="00F6308C">
            <w:pPr>
              <w:pStyle w:val="TableParagraph"/>
              <w:spacing w:before="84"/>
              <w:ind w:left="8"/>
              <w:jc w:val="center"/>
              <w:rPr>
                <w:sz w:val="20"/>
              </w:rPr>
            </w:pPr>
            <w:r>
              <w:rPr>
                <w:w w:val="99"/>
                <w:sz w:val="20"/>
              </w:rPr>
              <w:t>%</w:t>
            </w:r>
          </w:p>
        </w:tc>
        <w:tc>
          <w:tcPr>
            <w:tcW w:w="955" w:type="dxa"/>
          </w:tcPr>
          <w:p w:rsidR="007C5447" w:rsidRDefault="00F6308C">
            <w:pPr>
              <w:pStyle w:val="TableParagraph"/>
              <w:spacing w:before="84"/>
              <w:ind w:right="93"/>
              <w:rPr>
                <w:sz w:val="20"/>
              </w:rPr>
            </w:pPr>
            <w:r>
              <w:rPr>
                <w:sz w:val="20"/>
              </w:rPr>
              <w:t>10.63%</w:t>
            </w:r>
          </w:p>
        </w:tc>
        <w:tc>
          <w:tcPr>
            <w:tcW w:w="991" w:type="dxa"/>
          </w:tcPr>
          <w:p w:rsidR="007C5447" w:rsidRDefault="00F6308C">
            <w:pPr>
              <w:pStyle w:val="TableParagraph"/>
              <w:spacing w:before="84"/>
              <w:ind w:right="93"/>
              <w:rPr>
                <w:sz w:val="20"/>
              </w:rPr>
            </w:pPr>
            <w:r>
              <w:rPr>
                <w:sz w:val="20"/>
              </w:rPr>
              <w:t>10.20%</w:t>
            </w:r>
          </w:p>
        </w:tc>
        <w:tc>
          <w:tcPr>
            <w:tcW w:w="981" w:type="dxa"/>
          </w:tcPr>
          <w:p w:rsidR="007C5447" w:rsidRDefault="00F6308C">
            <w:pPr>
              <w:pStyle w:val="TableParagraph"/>
              <w:spacing w:before="84"/>
              <w:ind w:right="92"/>
              <w:rPr>
                <w:sz w:val="20"/>
              </w:rPr>
            </w:pPr>
            <w:r>
              <w:rPr>
                <w:sz w:val="20"/>
              </w:rPr>
              <w:t>9.90%</w:t>
            </w:r>
          </w:p>
        </w:tc>
        <w:tc>
          <w:tcPr>
            <w:tcW w:w="983" w:type="dxa"/>
          </w:tcPr>
          <w:p w:rsidR="007C5447" w:rsidRDefault="00F6308C">
            <w:pPr>
              <w:pStyle w:val="TableParagraph"/>
              <w:spacing w:before="84"/>
              <w:ind w:right="93"/>
              <w:rPr>
                <w:sz w:val="20"/>
              </w:rPr>
            </w:pPr>
            <w:r>
              <w:rPr>
                <w:sz w:val="20"/>
              </w:rPr>
              <w:t>9.60%</w:t>
            </w:r>
          </w:p>
        </w:tc>
        <w:tc>
          <w:tcPr>
            <w:tcW w:w="981" w:type="dxa"/>
          </w:tcPr>
          <w:p w:rsidR="007C5447" w:rsidRDefault="00F6308C">
            <w:pPr>
              <w:pStyle w:val="TableParagraph"/>
              <w:spacing w:before="84"/>
              <w:ind w:right="88"/>
              <w:rPr>
                <w:sz w:val="20"/>
              </w:rPr>
            </w:pPr>
            <w:r>
              <w:rPr>
                <w:sz w:val="20"/>
              </w:rPr>
              <w:t>9.20%</w:t>
            </w:r>
          </w:p>
        </w:tc>
        <w:tc>
          <w:tcPr>
            <w:tcW w:w="980" w:type="dxa"/>
          </w:tcPr>
          <w:p w:rsidR="007C5447" w:rsidRDefault="00F6308C">
            <w:pPr>
              <w:pStyle w:val="TableParagraph"/>
              <w:spacing w:before="84"/>
              <w:ind w:right="87"/>
              <w:rPr>
                <w:sz w:val="20"/>
              </w:rPr>
            </w:pPr>
            <w:r>
              <w:rPr>
                <w:sz w:val="20"/>
              </w:rPr>
              <w:t>8.90%</w:t>
            </w:r>
          </w:p>
        </w:tc>
      </w:tr>
    </w:tbl>
    <w:p w:rsidR="007C5447" w:rsidRDefault="007C5447">
      <w:pPr>
        <w:pStyle w:val="BodyText"/>
        <w:spacing w:before="9"/>
        <w:rPr>
          <w:b/>
          <w:sz w:val="20"/>
        </w:rPr>
      </w:pPr>
    </w:p>
    <w:p w:rsidR="007C5447" w:rsidRDefault="00F6308C">
      <w:pPr>
        <w:ind w:left="1112"/>
        <w:rPr>
          <w:b/>
          <w:sz w:val="24"/>
        </w:rPr>
      </w:pPr>
      <w:r>
        <w:rPr>
          <w:b/>
          <w:sz w:val="24"/>
        </w:rPr>
        <w:t>Step 4: Calculation of Commercial Losses</w:t>
      </w:r>
    </w:p>
    <w:p w:rsidR="007C5447" w:rsidRDefault="00F6308C">
      <w:pPr>
        <w:pStyle w:val="ListParagraph"/>
        <w:numPr>
          <w:ilvl w:val="2"/>
          <w:numId w:val="40"/>
        </w:numPr>
        <w:tabs>
          <w:tab w:val="left" w:pos="1113"/>
        </w:tabs>
        <w:spacing w:before="202" w:line="312" w:lineRule="auto"/>
        <w:ind w:left="1112" w:right="875"/>
        <w:jc w:val="both"/>
        <w:rPr>
          <w:sz w:val="24"/>
        </w:rPr>
      </w:pPr>
      <w:r>
        <w:rPr>
          <w:sz w:val="24"/>
        </w:rPr>
        <w:t xml:space="preserve">Based on overall losses approved by the Commission in this Order and voltage-wise technical losses discussed in the above section, the Commission has arrived </w:t>
      </w:r>
      <w:r>
        <w:rPr>
          <w:spacing w:val="3"/>
          <w:sz w:val="24"/>
        </w:rPr>
        <w:t xml:space="preserve">at </w:t>
      </w:r>
      <w:r>
        <w:rPr>
          <w:sz w:val="24"/>
        </w:rPr>
        <w:t>the commercial losses as the difference between required energy input to cover the technical lo</w:t>
      </w:r>
      <w:r>
        <w:rPr>
          <w:sz w:val="24"/>
        </w:rPr>
        <w:t>sses and overall energy input required based on overall approved</w:t>
      </w:r>
      <w:r>
        <w:rPr>
          <w:spacing w:val="-10"/>
          <w:sz w:val="24"/>
        </w:rPr>
        <w:t xml:space="preserve"> </w:t>
      </w:r>
      <w:r>
        <w:rPr>
          <w:sz w:val="24"/>
        </w:rPr>
        <w:t>loss.</w:t>
      </w:r>
    </w:p>
    <w:p w:rsidR="007C5447" w:rsidRDefault="007C5447">
      <w:pPr>
        <w:pStyle w:val="BodyText"/>
        <w:spacing w:before="10"/>
        <w:rPr>
          <w:sz w:val="20"/>
        </w:rPr>
      </w:pPr>
    </w:p>
    <w:p w:rsidR="007C5447" w:rsidRDefault="00F6308C">
      <w:pPr>
        <w:pStyle w:val="Heading2"/>
        <w:ind w:left="1112"/>
      </w:pPr>
      <w:r>
        <w:t>Step 5: Allocation of Commercial Losses</w:t>
      </w:r>
    </w:p>
    <w:p w:rsidR="007C5447" w:rsidRDefault="00F6308C">
      <w:pPr>
        <w:pStyle w:val="ListParagraph"/>
        <w:numPr>
          <w:ilvl w:val="2"/>
          <w:numId w:val="40"/>
        </w:numPr>
        <w:tabs>
          <w:tab w:val="left" w:pos="1113"/>
        </w:tabs>
        <w:spacing w:before="204" w:line="312" w:lineRule="auto"/>
        <w:ind w:left="1112" w:right="880"/>
        <w:jc w:val="both"/>
        <w:rPr>
          <w:sz w:val="24"/>
        </w:rPr>
      </w:pPr>
      <w:r>
        <w:rPr>
          <w:sz w:val="24"/>
        </w:rPr>
        <w:t>The overall commercial losses, as derived in the above step, have been allocated among the various voltage levels, based on the ratio of sales +</w:t>
      </w:r>
      <w:r>
        <w:rPr>
          <w:sz w:val="24"/>
        </w:rPr>
        <w:t xml:space="preserve"> technical</w:t>
      </w:r>
      <w:r>
        <w:rPr>
          <w:spacing w:val="-8"/>
          <w:sz w:val="24"/>
        </w:rPr>
        <w:t xml:space="preserve"> </w:t>
      </w:r>
      <w:r>
        <w:rPr>
          <w:sz w:val="24"/>
        </w:rPr>
        <w:t>Losses</w:t>
      </w:r>
    </w:p>
    <w:p w:rsidR="007C5447" w:rsidRDefault="007C5447">
      <w:pPr>
        <w:pStyle w:val="BodyText"/>
        <w:spacing w:before="10"/>
        <w:rPr>
          <w:sz w:val="20"/>
        </w:rPr>
      </w:pPr>
    </w:p>
    <w:p w:rsidR="007C5447" w:rsidRDefault="00F6308C">
      <w:pPr>
        <w:pStyle w:val="ListParagraph"/>
        <w:numPr>
          <w:ilvl w:val="2"/>
          <w:numId w:val="40"/>
        </w:numPr>
        <w:tabs>
          <w:tab w:val="left" w:pos="1113"/>
        </w:tabs>
        <w:spacing w:line="312" w:lineRule="auto"/>
        <w:ind w:left="1112" w:right="883"/>
        <w:jc w:val="both"/>
        <w:rPr>
          <w:sz w:val="24"/>
        </w:rPr>
      </w:pPr>
      <w:r>
        <w:rPr>
          <w:sz w:val="24"/>
        </w:rPr>
        <w:t>The sum of all sales and losses provides the gross energy consumption at each voltage</w:t>
      </w:r>
      <w:r>
        <w:rPr>
          <w:spacing w:val="-2"/>
          <w:sz w:val="24"/>
        </w:rPr>
        <w:t xml:space="preserve"> </w:t>
      </w:r>
      <w:r>
        <w:rPr>
          <w:sz w:val="24"/>
        </w:rPr>
        <w:t>level.</w:t>
      </w:r>
    </w:p>
    <w:p w:rsidR="007C5447" w:rsidRDefault="007C5447">
      <w:pPr>
        <w:pStyle w:val="BodyText"/>
        <w:spacing w:before="11"/>
        <w:rPr>
          <w:sz w:val="20"/>
        </w:rPr>
      </w:pPr>
    </w:p>
    <w:p w:rsidR="007C5447" w:rsidRDefault="00F6308C">
      <w:pPr>
        <w:pStyle w:val="Heading2"/>
        <w:ind w:left="1112"/>
      </w:pPr>
      <w:r>
        <w:t>Step 6: Allocation of Costs</w:t>
      </w:r>
    </w:p>
    <w:p w:rsidR="007C5447" w:rsidRDefault="00F6308C">
      <w:pPr>
        <w:pStyle w:val="ListParagraph"/>
        <w:numPr>
          <w:ilvl w:val="2"/>
          <w:numId w:val="40"/>
        </w:numPr>
        <w:tabs>
          <w:tab w:val="left" w:pos="1113"/>
        </w:tabs>
        <w:spacing w:before="201" w:line="312" w:lineRule="auto"/>
        <w:ind w:left="1112" w:right="880"/>
        <w:jc w:val="both"/>
        <w:rPr>
          <w:sz w:val="24"/>
        </w:rPr>
      </w:pPr>
      <w:r>
        <w:rPr>
          <w:sz w:val="24"/>
        </w:rPr>
        <w:t>The generation and power purchase related costs have been allocated in the ratio of the voltage-wise gross energy c</w:t>
      </w:r>
      <w:r>
        <w:rPr>
          <w:sz w:val="24"/>
        </w:rPr>
        <w:t>onsumption (sales + Technical Losses + Commercial Losses), whereas the network costs have been allocated in the ratio of</w:t>
      </w:r>
      <w:r>
        <w:rPr>
          <w:spacing w:val="-5"/>
          <w:sz w:val="24"/>
        </w:rPr>
        <w:t xml:space="preserve"> </w:t>
      </w:r>
      <w:r>
        <w:rPr>
          <w:sz w:val="24"/>
        </w:rPr>
        <w:t>sales.</w:t>
      </w:r>
    </w:p>
    <w:p w:rsidR="007C5447" w:rsidRDefault="007C5447">
      <w:pPr>
        <w:pStyle w:val="BodyText"/>
        <w:rPr>
          <w:sz w:val="21"/>
        </w:rPr>
      </w:pPr>
    </w:p>
    <w:p w:rsidR="007C5447" w:rsidRDefault="00F6308C">
      <w:pPr>
        <w:pStyle w:val="Heading2"/>
        <w:ind w:left="1112"/>
      </w:pPr>
      <w:r>
        <w:t>Step 7: Determination of VCOS</w:t>
      </w:r>
    </w:p>
    <w:p w:rsidR="007C5447" w:rsidRDefault="00F6308C">
      <w:pPr>
        <w:pStyle w:val="ListParagraph"/>
        <w:numPr>
          <w:ilvl w:val="2"/>
          <w:numId w:val="40"/>
        </w:numPr>
        <w:tabs>
          <w:tab w:val="left" w:pos="1113"/>
        </w:tabs>
        <w:spacing w:before="202" w:line="314" w:lineRule="auto"/>
        <w:ind w:left="1112" w:right="883"/>
        <w:jc w:val="both"/>
        <w:rPr>
          <w:sz w:val="24"/>
        </w:rPr>
      </w:pPr>
      <w:r>
        <w:rPr>
          <w:sz w:val="24"/>
        </w:rPr>
        <w:t>The allocated costs derived above have been divided by corresponding sales at respective voltage level to arrive at the VCOS, as shown in the Table</w:t>
      </w:r>
      <w:r>
        <w:rPr>
          <w:spacing w:val="-5"/>
          <w:sz w:val="24"/>
        </w:rPr>
        <w:t xml:space="preserve"> </w:t>
      </w:r>
      <w:r>
        <w:rPr>
          <w:sz w:val="24"/>
        </w:rPr>
        <w:t>below:</w:t>
      </w:r>
    </w:p>
    <w:p w:rsidR="007C5447" w:rsidRDefault="007C5447">
      <w:pPr>
        <w:spacing w:line="314" w:lineRule="auto"/>
        <w:jc w:val="both"/>
        <w:rPr>
          <w:sz w:val="24"/>
        </w:rPr>
        <w:sectPr w:rsidR="007C5447">
          <w:pgSz w:w="11910" w:h="16840"/>
          <w:pgMar w:top="1360" w:right="560" w:bottom="1240" w:left="1180" w:header="0" w:footer="1057" w:gutter="0"/>
          <w:cols w:space="720"/>
        </w:sectPr>
      </w:pPr>
    </w:p>
    <w:p w:rsidR="007C5447" w:rsidRDefault="00F6308C">
      <w:pPr>
        <w:pStyle w:val="Heading2"/>
        <w:spacing w:before="60"/>
        <w:ind w:left="1054"/>
      </w:pPr>
      <w:r>
        <w:lastRenderedPageBreak/>
        <w:t>Table 5-15: Voltage-wise CoS for FY 2012-13 as determined by the</w:t>
      </w:r>
      <w:r>
        <w:rPr>
          <w:spacing w:val="-15"/>
        </w:rPr>
        <w:t xml:space="preserve"> </w:t>
      </w:r>
      <w:r>
        <w:t>Commission</w:t>
      </w:r>
    </w:p>
    <w:p w:rsidR="007C5447" w:rsidRDefault="007C5447">
      <w:pPr>
        <w:pStyle w:val="BodyText"/>
        <w:spacing w:before="8"/>
        <w:rPr>
          <w:b/>
          <w:sz w:val="17"/>
        </w:rPr>
      </w:pPr>
    </w:p>
    <w:tbl>
      <w:tblPr>
        <w:tblW w:w="0" w:type="auto"/>
        <w:tblInd w:w="12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7"/>
        <w:gridCol w:w="1136"/>
        <w:gridCol w:w="2411"/>
        <w:gridCol w:w="1703"/>
        <w:gridCol w:w="1477"/>
      </w:tblGrid>
      <w:tr w:rsidR="007C5447">
        <w:trPr>
          <w:trHeight w:val="537"/>
        </w:trPr>
        <w:tc>
          <w:tcPr>
            <w:tcW w:w="1417" w:type="dxa"/>
            <w:shd w:val="clear" w:color="auto" w:fill="F7C9AC"/>
          </w:tcPr>
          <w:p w:rsidR="007C5447" w:rsidRDefault="00F6308C">
            <w:pPr>
              <w:pStyle w:val="TableParagraph"/>
              <w:spacing w:before="19" w:line="252" w:lineRule="exact"/>
              <w:ind w:left="451" w:right="321" w:hanging="106"/>
              <w:jc w:val="left"/>
              <w:rPr>
                <w:b/>
              </w:rPr>
            </w:pPr>
            <w:r>
              <w:rPr>
                <w:b/>
              </w:rPr>
              <w:t>Voltag</w:t>
            </w:r>
            <w:r>
              <w:rPr>
                <w:b/>
              </w:rPr>
              <w:t>e Level</w:t>
            </w:r>
          </w:p>
        </w:tc>
        <w:tc>
          <w:tcPr>
            <w:tcW w:w="1136" w:type="dxa"/>
            <w:shd w:val="clear" w:color="auto" w:fill="F7C9AC"/>
          </w:tcPr>
          <w:p w:rsidR="007C5447" w:rsidRDefault="00F6308C">
            <w:pPr>
              <w:pStyle w:val="TableParagraph"/>
              <w:spacing w:before="142"/>
              <w:ind w:left="328"/>
              <w:jc w:val="left"/>
              <w:rPr>
                <w:b/>
              </w:rPr>
            </w:pPr>
            <w:r>
              <w:rPr>
                <w:b/>
              </w:rPr>
              <w:t>Sales</w:t>
            </w:r>
          </w:p>
        </w:tc>
        <w:tc>
          <w:tcPr>
            <w:tcW w:w="2411" w:type="dxa"/>
            <w:shd w:val="clear" w:color="auto" w:fill="F7C9AC"/>
          </w:tcPr>
          <w:p w:rsidR="007C5447" w:rsidRDefault="00F6308C">
            <w:pPr>
              <w:pStyle w:val="TableParagraph"/>
              <w:spacing w:before="19" w:line="252" w:lineRule="exact"/>
              <w:ind w:left="485" w:right="117" w:hanging="348"/>
              <w:jc w:val="left"/>
              <w:rPr>
                <w:b/>
              </w:rPr>
            </w:pPr>
            <w:r>
              <w:rPr>
                <w:b/>
              </w:rPr>
              <w:t>Generation and Power Purchase Costs</w:t>
            </w:r>
          </w:p>
        </w:tc>
        <w:tc>
          <w:tcPr>
            <w:tcW w:w="1703" w:type="dxa"/>
            <w:shd w:val="clear" w:color="auto" w:fill="F7C9AC"/>
          </w:tcPr>
          <w:p w:rsidR="007C5447" w:rsidRDefault="00F6308C">
            <w:pPr>
              <w:pStyle w:val="TableParagraph"/>
              <w:spacing w:before="142"/>
              <w:ind w:right="149"/>
              <w:rPr>
                <w:b/>
              </w:rPr>
            </w:pPr>
            <w:r>
              <w:rPr>
                <w:b/>
              </w:rPr>
              <w:t>Network Costs</w:t>
            </w:r>
          </w:p>
        </w:tc>
        <w:tc>
          <w:tcPr>
            <w:tcW w:w="1477" w:type="dxa"/>
            <w:shd w:val="clear" w:color="auto" w:fill="F7C9AC"/>
          </w:tcPr>
          <w:p w:rsidR="007C5447" w:rsidRDefault="00F6308C">
            <w:pPr>
              <w:pStyle w:val="TableParagraph"/>
              <w:spacing w:before="142"/>
              <w:ind w:left="200"/>
              <w:jc w:val="left"/>
              <w:rPr>
                <w:b/>
              </w:rPr>
            </w:pPr>
            <w:r>
              <w:rPr>
                <w:b/>
              </w:rPr>
              <w:t>Total Costs</w:t>
            </w:r>
          </w:p>
        </w:tc>
      </w:tr>
      <w:tr w:rsidR="007C5447">
        <w:trPr>
          <w:trHeight w:val="285"/>
        </w:trPr>
        <w:tc>
          <w:tcPr>
            <w:tcW w:w="1417" w:type="dxa"/>
            <w:shd w:val="clear" w:color="auto" w:fill="F7C9AC"/>
          </w:tcPr>
          <w:p w:rsidR="007C5447" w:rsidRDefault="00F6308C">
            <w:pPr>
              <w:pStyle w:val="TableParagraph"/>
              <w:spacing w:before="15" w:line="250" w:lineRule="exact"/>
              <w:ind w:left="435" w:right="429"/>
              <w:jc w:val="center"/>
              <w:rPr>
                <w:b/>
              </w:rPr>
            </w:pPr>
            <w:r>
              <w:rPr>
                <w:b/>
              </w:rPr>
              <w:t>kV</w:t>
            </w:r>
          </w:p>
        </w:tc>
        <w:tc>
          <w:tcPr>
            <w:tcW w:w="1136" w:type="dxa"/>
            <w:shd w:val="clear" w:color="auto" w:fill="F7C9AC"/>
          </w:tcPr>
          <w:p w:rsidR="007C5447" w:rsidRDefault="00F6308C">
            <w:pPr>
              <w:pStyle w:val="TableParagraph"/>
              <w:spacing w:before="15" w:line="250" w:lineRule="exact"/>
              <w:ind w:left="383"/>
              <w:jc w:val="left"/>
              <w:rPr>
                <w:b/>
              </w:rPr>
            </w:pPr>
            <w:r>
              <w:rPr>
                <w:b/>
              </w:rPr>
              <w:t>MU</w:t>
            </w:r>
          </w:p>
        </w:tc>
        <w:tc>
          <w:tcPr>
            <w:tcW w:w="2411" w:type="dxa"/>
            <w:shd w:val="clear" w:color="auto" w:fill="F7C9AC"/>
          </w:tcPr>
          <w:p w:rsidR="007C5447" w:rsidRDefault="00F6308C">
            <w:pPr>
              <w:pStyle w:val="TableParagraph"/>
              <w:spacing w:before="15" w:line="250" w:lineRule="exact"/>
              <w:ind w:left="790"/>
              <w:jc w:val="left"/>
              <w:rPr>
                <w:b/>
              </w:rPr>
            </w:pPr>
            <w:r>
              <w:rPr>
                <w:b/>
              </w:rPr>
              <w:t>Rs./kWh</w:t>
            </w:r>
          </w:p>
        </w:tc>
        <w:tc>
          <w:tcPr>
            <w:tcW w:w="1703" w:type="dxa"/>
            <w:shd w:val="clear" w:color="auto" w:fill="F7C9AC"/>
          </w:tcPr>
          <w:p w:rsidR="007C5447" w:rsidRDefault="00F6308C">
            <w:pPr>
              <w:pStyle w:val="TableParagraph"/>
              <w:spacing w:before="15" w:line="250" w:lineRule="exact"/>
              <w:ind w:left="434"/>
              <w:jc w:val="left"/>
              <w:rPr>
                <w:b/>
              </w:rPr>
            </w:pPr>
            <w:r>
              <w:rPr>
                <w:b/>
              </w:rPr>
              <w:t>Rs./kWh</w:t>
            </w:r>
          </w:p>
        </w:tc>
        <w:tc>
          <w:tcPr>
            <w:tcW w:w="1477" w:type="dxa"/>
            <w:shd w:val="clear" w:color="auto" w:fill="F7C9AC"/>
          </w:tcPr>
          <w:p w:rsidR="007C5447" w:rsidRDefault="00F6308C">
            <w:pPr>
              <w:pStyle w:val="TableParagraph"/>
              <w:spacing w:before="15" w:line="250" w:lineRule="exact"/>
              <w:ind w:left="323"/>
              <w:jc w:val="left"/>
              <w:rPr>
                <w:b/>
              </w:rPr>
            </w:pPr>
            <w:r>
              <w:rPr>
                <w:b/>
              </w:rPr>
              <w:t>Rs./kWh</w:t>
            </w:r>
          </w:p>
        </w:tc>
      </w:tr>
      <w:tr w:rsidR="007C5447">
        <w:trPr>
          <w:trHeight w:val="285"/>
        </w:trPr>
        <w:tc>
          <w:tcPr>
            <w:tcW w:w="1417" w:type="dxa"/>
          </w:tcPr>
          <w:p w:rsidR="007C5447" w:rsidRDefault="00F6308C">
            <w:pPr>
              <w:pStyle w:val="TableParagraph"/>
              <w:spacing w:before="15" w:line="250" w:lineRule="exact"/>
              <w:ind w:left="436" w:right="428"/>
              <w:jc w:val="center"/>
            </w:pPr>
            <w:r>
              <w:t>400</w:t>
            </w:r>
          </w:p>
        </w:tc>
        <w:tc>
          <w:tcPr>
            <w:tcW w:w="1136" w:type="dxa"/>
          </w:tcPr>
          <w:p w:rsidR="007C5447" w:rsidRDefault="00F6308C">
            <w:pPr>
              <w:pStyle w:val="TableParagraph"/>
              <w:spacing w:before="15" w:line="250" w:lineRule="exact"/>
              <w:ind w:right="93"/>
            </w:pPr>
            <w:r>
              <w:t>-</w:t>
            </w:r>
          </w:p>
        </w:tc>
        <w:tc>
          <w:tcPr>
            <w:tcW w:w="2411" w:type="dxa"/>
          </w:tcPr>
          <w:p w:rsidR="007C5447" w:rsidRDefault="00F6308C">
            <w:pPr>
              <w:pStyle w:val="TableParagraph"/>
              <w:spacing w:before="15" w:line="250" w:lineRule="exact"/>
              <w:ind w:right="94"/>
            </w:pPr>
            <w:r>
              <w:t>-</w:t>
            </w:r>
          </w:p>
        </w:tc>
        <w:tc>
          <w:tcPr>
            <w:tcW w:w="1703" w:type="dxa"/>
          </w:tcPr>
          <w:p w:rsidR="007C5447" w:rsidRDefault="00F6308C">
            <w:pPr>
              <w:pStyle w:val="TableParagraph"/>
              <w:spacing w:before="15" w:line="250" w:lineRule="exact"/>
              <w:ind w:right="95"/>
            </w:pPr>
            <w:r>
              <w:t>-</w:t>
            </w:r>
          </w:p>
        </w:tc>
        <w:tc>
          <w:tcPr>
            <w:tcW w:w="1477" w:type="dxa"/>
          </w:tcPr>
          <w:p w:rsidR="007C5447" w:rsidRDefault="00F6308C">
            <w:pPr>
              <w:pStyle w:val="TableParagraph"/>
              <w:spacing w:before="15" w:line="250" w:lineRule="exact"/>
              <w:ind w:right="93"/>
            </w:pPr>
            <w:r>
              <w:t>-</w:t>
            </w:r>
          </w:p>
        </w:tc>
      </w:tr>
      <w:tr w:rsidR="007C5447">
        <w:trPr>
          <w:trHeight w:val="285"/>
        </w:trPr>
        <w:tc>
          <w:tcPr>
            <w:tcW w:w="1417" w:type="dxa"/>
          </w:tcPr>
          <w:p w:rsidR="007C5447" w:rsidRDefault="00F6308C">
            <w:pPr>
              <w:pStyle w:val="TableParagraph"/>
              <w:spacing w:before="15" w:line="250" w:lineRule="exact"/>
              <w:ind w:left="436" w:right="428"/>
              <w:jc w:val="center"/>
            </w:pPr>
            <w:r>
              <w:t>230</w:t>
            </w:r>
          </w:p>
        </w:tc>
        <w:tc>
          <w:tcPr>
            <w:tcW w:w="1136" w:type="dxa"/>
          </w:tcPr>
          <w:p w:rsidR="007C5447" w:rsidRDefault="00F6308C">
            <w:pPr>
              <w:pStyle w:val="TableParagraph"/>
              <w:spacing w:before="15" w:line="250" w:lineRule="exact"/>
              <w:ind w:right="97"/>
            </w:pPr>
            <w:r>
              <w:t>716</w:t>
            </w:r>
          </w:p>
        </w:tc>
        <w:tc>
          <w:tcPr>
            <w:tcW w:w="2411" w:type="dxa"/>
          </w:tcPr>
          <w:p w:rsidR="007C5447" w:rsidRDefault="00F6308C">
            <w:pPr>
              <w:pStyle w:val="TableParagraph"/>
              <w:spacing w:before="15" w:line="250" w:lineRule="exact"/>
              <w:ind w:right="98"/>
            </w:pPr>
            <w:r>
              <w:t>3.43</w:t>
            </w:r>
          </w:p>
        </w:tc>
        <w:tc>
          <w:tcPr>
            <w:tcW w:w="1703" w:type="dxa"/>
          </w:tcPr>
          <w:p w:rsidR="007C5447" w:rsidRDefault="00F6308C">
            <w:pPr>
              <w:pStyle w:val="TableParagraph"/>
              <w:spacing w:before="15" w:line="250" w:lineRule="exact"/>
              <w:ind w:right="99"/>
            </w:pPr>
            <w:r>
              <w:t>0.97</w:t>
            </w:r>
          </w:p>
        </w:tc>
        <w:tc>
          <w:tcPr>
            <w:tcW w:w="1477" w:type="dxa"/>
          </w:tcPr>
          <w:p w:rsidR="007C5447" w:rsidRDefault="00F6308C">
            <w:pPr>
              <w:pStyle w:val="TableParagraph"/>
              <w:spacing w:before="15" w:line="250" w:lineRule="exact"/>
              <w:ind w:right="97"/>
            </w:pPr>
            <w:r>
              <w:t>4.40</w:t>
            </w:r>
          </w:p>
        </w:tc>
      </w:tr>
      <w:tr w:rsidR="007C5447">
        <w:trPr>
          <w:trHeight w:val="285"/>
        </w:trPr>
        <w:tc>
          <w:tcPr>
            <w:tcW w:w="1417" w:type="dxa"/>
          </w:tcPr>
          <w:p w:rsidR="007C5447" w:rsidRDefault="00F6308C">
            <w:pPr>
              <w:pStyle w:val="TableParagraph"/>
              <w:spacing w:before="15" w:line="250" w:lineRule="exact"/>
              <w:ind w:left="436" w:right="428"/>
              <w:jc w:val="center"/>
            </w:pPr>
            <w:r>
              <w:t>110</w:t>
            </w:r>
          </w:p>
        </w:tc>
        <w:tc>
          <w:tcPr>
            <w:tcW w:w="1136" w:type="dxa"/>
          </w:tcPr>
          <w:p w:rsidR="007C5447" w:rsidRDefault="00F6308C">
            <w:pPr>
              <w:pStyle w:val="TableParagraph"/>
              <w:spacing w:before="15" w:line="250" w:lineRule="exact"/>
              <w:ind w:right="97"/>
            </w:pPr>
            <w:r>
              <w:t>3,268</w:t>
            </w:r>
          </w:p>
        </w:tc>
        <w:tc>
          <w:tcPr>
            <w:tcW w:w="2411" w:type="dxa"/>
          </w:tcPr>
          <w:p w:rsidR="007C5447" w:rsidRDefault="00F6308C">
            <w:pPr>
              <w:pStyle w:val="TableParagraph"/>
              <w:spacing w:before="15" w:line="250" w:lineRule="exact"/>
              <w:ind w:right="98"/>
            </w:pPr>
            <w:r>
              <w:t>3.50</w:t>
            </w:r>
          </w:p>
        </w:tc>
        <w:tc>
          <w:tcPr>
            <w:tcW w:w="1703" w:type="dxa"/>
          </w:tcPr>
          <w:p w:rsidR="007C5447" w:rsidRDefault="00F6308C">
            <w:pPr>
              <w:pStyle w:val="TableParagraph"/>
              <w:spacing w:before="15" w:line="250" w:lineRule="exact"/>
              <w:ind w:right="99"/>
            </w:pPr>
            <w:r>
              <w:t>0.97</w:t>
            </w:r>
          </w:p>
        </w:tc>
        <w:tc>
          <w:tcPr>
            <w:tcW w:w="1477" w:type="dxa"/>
          </w:tcPr>
          <w:p w:rsidR="007C5447" w:rsidRDefault="00F6308C">
            <w:pPr>
              <w:pStyle w:val="TableParagraph"/>
              <w:spacing w:before="15" w:line="250" w:lineRule="exact"/>
              <w:ind w:right="97"/>
            </w:pPr>
            <w:r>
              <w:t>4.47</w:t>
            </w:r>
          </w:p>
        </w:tc>
      </w:tr>
      <w:tr w:rsidR="007C5447">
        <w:trPr>
          <w:trHeight w:val="285"/>
        </w:trPr>
        <w:tc>
          <w:tcPr>
            <w:tcW w:w="1417" w:type="dxa"/>
          </w:tcPr>
          <w:p w:rsidR="007C5447" w:rsidRDefault="00F6308C">
            <w:pPr>
              <w:pStyle w:val="TableParagraph"/>
              <w:spacing w:before="13" w:line="252" w:lineRule="exact"/>
              <w:ind w:left="436" w:right="428"/>
              <w:jc w:val="center"/>
            </w:pPr>
            <w:r>
              <w:t>33</w:t>
            </w:r>
          </w:p>
        </w:tc>
        <w:tc>
          <w:tcPr>
            <w:tcW w:w="1136" w:type="dxa"/>
          </w:tcPr>
          <w:p w:rsidR="007C5447" w:rsidRDefault="00F6308C">
            <w:pPr>
              <w:pStyle w:val="TableParagraph"/>
              <w:spacing w:before="13" w:line="252" w:lineRule="exact"/>
              <w:ind w:right="97"/>
            </w:pPr>
            <w:r>
              <w:t>1,901</w:t>
            </w:r>
          </w:p>
        </w:tc>
        <w:tc>
          <w:tcPr>
            <w:tcW w:w="2411" w:type="dxa"/>
          </w:tcPr>
          <w:p w:rsidR="007C5447" w:rsidRDefault="00F6308C">
            <w:pPr>
              <w:pStyle w:val="TableParagraph"/>
              <w:spacing w:before="13" w:line="252" w:lineRule="exact"/>
              <w:ind w:right="98"/>
            </w:pPr>
            <w:r>
              <w:t>3.52</w:t>
            </w:r>
          </w:p>
        </w:tc>
        <w:tc>
          <w:tcPr>
            <w:tcW w:w="1703" w:type="dxa"/>
          </w:tcPr>
          <w:p w:rsidR="007C5447" w:rsidRDefault="00F6308C">
            <w:pPr>
              <w:pStyle w:val="TableParagraph"/>
              <w:spacing w:before="13" w:line="252" w:lineRule="exact"/>
              <w:ind w:right="99"/>
            </w:pPr>
            <w:r>
              <w:t>0.97</w:t>
            </w:r>
          </w:p>
        </w:tc>
        <w:tc>
          <w:tcPr>
            <w:tcW w:w="1477" w:type="dxa"/>
          </w:tcPr>
          <w:p w:rsidR="007C5447" w:rsidRDefault="00F6308C">
            <w:pPr>
              <w:pStyle w:val="TableParagraph"/>
              <w:spacing w:before="13" w:line="252" w:lineRule="exact"/>
              <w:ind w:right="97"/>
            </w:pPr>
            <w:r>
              <w:t>4.49</w:t>
            </w:r>
          </w:p>
        </w:tc>
      </w:tr>
      <w:tr w:rsidR="007C5447">
        <w:trPr>
          <w:trHeight w:val="282"/>
        </w:trPr>
        <w:tc>
          <w:tcPr>
            <w:tcW w:w="1417" w:type="dxa"/>
          </w:tcPr>
          <w:p w:rsidR="007C5447" w:rsidRDefault="00F6308C">
            <w:pPr>
              <w:pStyle w:val="TableParagraph"/>
              <w:spacing w:before="13" w:line="250" w:lineRule="exact"/>
              <w:ind w:left="436" w:right="428"/>
              <w:jc w:val="center"/>
            </w:pPr>
            <w:r>
              <w:t>22</w:t>
            </w:r>
          </w:p>
        </w:tc>
        <w:tc>
          <w:tcPr>
            <w:tcW w:w="1136" w:type="dxa"/>
          </w:tcPr>
          <w:p w:rsidR="007C5447" w:rsidRDefault="00F6308C">
            <w:pPr>
              <w:pStyle w:val="TableParagraph"/>
              <w:spacing w:before="13" w:line="250" w:lineRule="exact"/>
              <w:ind w:right="97"/>
            </w:pPr>
            <w:r>
              <w:t>2,255</w:t>
            </w:r>
          </w:p>
        </w:tc>
        <w:tc>
          <w:tcPr>
            <w:tcW w:w="2411" w:type="dxa"/>
          </w:tcPr>
          <w:p w:rsidR="007C5447" w:rsidRDefault="00F6308C">
            <w:pPr>
              <w:pStyle w:val="TableParagraph"/>
              <w:spacing w:before="13" w:line="250" w:lineRule="exact"/>
              <w:ind w:right="98"/>
            </w:pPr>
            <w:r>
              <w:t>3.62</w:t>
            </w:r>
          </w:p>
        </w:tc>
        <w:tc>
          <w:tcPr>
            <w:tcW w:w="1703" w:type="dxa"/>
          </w:tcPr>
          <w:p w:rsidR="007C5447" w:rsidRDefault="00F6308C">
            <w:pPr>
              <w:pStyle w:val="TableParagraph"/>
              <w:spacing w:before="13" w:line="250" w:lineRule="exact"/>
              <w:ind w:right="99"/>
            </w:pPr>
            <w:r>
              <w:t>0.97</w:t>
            </w:r>
          </w:p>
        </w:tc>
        <w:tc>
          <w:tcPr>
            <w:tcW w:w="1477" w:type="dxa"/>
          </w:tcPr>
          <w:p w:rsidR="007C5447" w:rsidRDefault="00F6308C">
            <w:pPr>
              <w:pStyle w:val="TableParagraph"/>
              <w:spacing w:before="13" w:line="250" w:lineRule="exact"/>
              <w:ind w:right="97"/>
            </w:pPr>
            <w:r>
              <w:t>4.59</w:t>
            </w:r>
          </w:p>
        </w:tc>
      </w:tr>
      <w:tr w:rsidR="007C5447">
        <w:trPr>
          <w:trHeight w:val="285"/>
        </w:trPr>
        <w:tc>
          <w:tcPr>
            <w:tcW w:w="1417" w:type="dxa"/>
          </w:tcPr>
          <w:p w:rsidR="007C5447" w:rsidRDefault="00F6308C">
            <w:pPr>
              <w:pStyle w:val="TableParagraph"/>
              <w:spacing w:before="15" w:line="250" w:lineRule="exact"/>
              <w:ind w:left="436" w:right="428"/>
              <w:jc w:val="center"/>
            </w:pPr>
            <w:r>
              <w:t>11</w:t>
            </w:r>
          </w:p>
        </w:tc>
        <w:tc>
          <w:tcPr>
            <w:tcW w:w="1136" w:type="dxa"/>
          </w:tcPr>
          <w:p w:rsidR="007C5447" w:rsidRDefault="00F6308C">
            <w:pPr>
              <w:pStyle w:val="TableParagraph"/>
              <w:spacing w:before="15" w:line="250" w:lineRule="exact"/>
              <w:ind w:right="97"/>
            </w:pPr>
            <w:r>
              <w:t>9,180</w:t>
            </w:r>
          </w:p>
        </w:tc>
        <w:tc>
          <w:tcPr>
            <w:tcW w:w="2411" w:type="dxa"/>
          </w:tcPr>
          <w:p w:rsidR="007C5447" w:rsidRDefault="00F6308C">
            <w:pPr>
              <w:pStyle w:val="TableParagraph"/>
              <w:spacing w:before="15" w:line="250" w:lineRule="exact"/>
              <w:ind w:right="98"/>
            </w:pPr>
            <w:r>
              <w:t>3.73</w:t>
            </w:r>
          </w:p>
        </w:tc>
        <w:tc>
          <w:tcPr>
            <w:tcW w:w="1703" w:type="dxa"/>
          </w:tcPr>
          <w:p w:rsidR="007C5447" w:rsidRDefault="00F6308C">
            <w:pPr>
              <w:pStyle w:val="TableParagraph"/>
              <w:spacing w:before="15" w:line="250" w:lineRule="exact"/>
              <w:ind w:right="99"/>
            </w:pPr>
            <w:r>
              <w:t>0.97</w:t>
            </w:r>
          </w:p>
        </w:tc>
        <w:tc>
          <w:tcPr>
            <w:tcW w:w="1477" w:type="dxa"/>
          </w:tcPr>
          <w:p w:rsidR="007C5447" w:rsidRDefault="00F6308C">
            <w:pPr>
              <w:pStyle w:val="TableParagraph"/>
              <w:spacing w:before="15" w:line="250" w:lineRule="exact"/>
              <w:ind w:right="97"/>
            </w:pPr>
            <w:r>
              <w:t>4.70</w:t>
            </w:r>
          </w:p>
        </w:tc>
      </w:tr>
      <w:tr w:rsidR="007C5447">
        <w:trPr>
          <w:trHeight w:val="285"/>
        </w:trPr>
        <w:tc>
          <w:tcPr>
            <w:tcW w:w="1417" w:type="dxa"/>
          </w:tcPr>
          <w:p w:rsidR="007C5447" w:rsidRDefault="00F6308C">
            <w:pPr>
              <w:pStyle w:val="TableParagraph"/>
              <w:spacing w:before="15" w:line="250" w:lineRule="exact"/>
              <w:ind w:left="436" w:right="428"/>
              <w:jc w:val="center"/>
            </w:pPr>
            <w:r>
              <w:t>LT</w:t>
            </w:r>
          </w:p>
        </w:tc>
        <w:tc>
          <w:tcPr>
            <w:tcW w:w="1136" w:type="dxa"/>
          </w:tcPr>
          <w:p w:rsidR="007C5447" w:rsidRDefault="00F6308C">
            <w:pPr>
              <w:pStyle w:val="TableParagraph"/>
              <w:spacing w:before="15" w:line="250" w:lineRule="exact"/>
              <w:ind w:right="97"/>
            </w:pPr>
            <w:r>
              <w:t>41,541</w:t>
            </w:r>
          </w:p>
        </w:tc>
        <w:tc>
          <w:tcPr>
            <w:tcW w:w="2411" w:type="dxa"/>
          </w:tcPr>
          <w:p w:rsidR="007C5447" w:rsidRDefault="00F6308C">
            <w:pPr>
              <w:pStyle w:val="TableParagraph"/>
              <w:spacing w:before="15" w:line="250" w:lineRule="exact"/>
              <w:ind w:right="98"/>
            </w:pPr>
            <w:r>
              <w:t>4.17</w:t>
            </w:r>
          </w:p>
        </w:tc>
        <w:tc>
          <w:tcPr>
            <w:tcW w:w="1703" w:type="dxa"/>
          </w:tcPr>
          <w:p w:rsidR="007C5447" w:rsidRDefault="00F6308C">
            <w:pPr>
              <w:pStyle w:val="TableParagraph"/>
              <w:spacing w:before="15" w:line="250" w:lineRule="exact"/>
              <w:ind w:right="99"/>
            </w:pPr>
            <w:r>
              <w:t>0.97</w:t>
            </w:r>
          </w:p>
        </w:tc>
        <w:tc>
          <w:tcPr>
            <w:tcW w:w="1477" w:type="dxa"/>
          </w:tcPr>
          <w:p w:rsidR="007C5447" w:rsidRDefault="00F6308C">
            <w:pPr>
              <w:pStyle w:val="TableParagraph"/>
              <w:spacing w:before="15" w:line="250" w:lineRule="exact"/>
              <w:ind w:right="97"/>
            </w:pPr>
            <w:r>
              <w:t>5.14</w:t>
            </w:r>
          </w:p>
        </w:tc>
      </w:tr>
      <w:tr w:rsidR="007C5447">
        <w:trPr>
          <w:trHeight w:val="285"/>
        </w:trPr>
        <w:tc>
          <w:tcPr>
            <w:tcW w:w="1417" w:type="dxa"/>
          </w:tcPr>
          <w:p w:rsidR="007C5447" w:rsidRDefault="00F6308C">
            <w:pPr>
              <w:pStyle w:val="TableParagraph"/>
              <w:spacing w:before="15" w:line="250" w:lineRule="exact"/>
              <w:ind w:left="436" w:right="429"/>
              <w:jc w:val="center"/>
              <w:rPr>
                <w:b/>
              </w:rPr>
            </w:pPr>
            <w:r>
              <w:rPr>
                <w:b/>
              </w:rPr>
              <w:t>Total</w:t>
            </w:r>
          </w:p>
        </w:tc>
        <w:tc>
          <w:tcPr>
            <w:tcW w:w="1136" w:type="dxa"/>
          </w:tcPr>
          <w:p w:rsidR="007C5447" w:rsidRDefault="00F6308C">
            <w:pPr>
              <w:pStyle w:val="TableParagraph"/>
              <w:spacing w:before="15" w:line="250" w:lineRule="exact"/>
              <w:ind w:right="97"/>
              <w:rPr>
                <w:b/>
              </w:rPr>
            </w:pPr>
            <w:r>
              <w:rPr>
                <w:b/>
              </w:rPr>
              <w:t>58,861</w:t>
            </w:r>
          </w:p>
        </w:tc>
        <w:tc>
          <w:tcPr>
            <w:tcW w:w="2411" w:type="dxa"/>
          </w:tcPr>
          <w:p w:rsidR="007C5447" w:rsidRDefault="00F6308C">
            <w:pPr>
              <w:pStyle w:val="TableParagraph"/>
              <w:spacing w:before="15" w:line="250" w:lineRule="exact"/>
              <w:ind w:right="98"/>
              <w:rPr>
                <w:b/>
              </w:rPr>
            </w:pPr>
            <w:r>
              <w:rPr>
                <w:b/>
              </w:rPr>
              <w:t>4.01</w:t>
            </w:r>
          </w:p>
        </w:tc>
        <w:tc>
          <w:tcPr>
            <w:tcW w:w="1703" w:type="dxa"/>
          </w:tcPr>
          <w:p w:rsidR="007C5447" w:rsidRDefault="00F6308C">
            <w:pPr>
              <w:pStyle w:val="TableParagraph"/>
              <w:spacing w:before="15" w:line="250" w:lineRule="exact"/>
              <w:ind w:right="99"/>
              <w:rPr>
                <w:b/>
              </w:rPr>
            </w:pPr>
            <w:r>
              <w:rPr>
                <w:b/>
              </w:rPr>
              <w:t>0.97</w:t>
            </w:r>
          </w:p>
        </w:tc>
        <w:tc>
          <w:tcPr>
            <w:tcW w:w="1477" w:type="dxa"/>
          </w:tcPr>
          <w:p w:rsidR="007C5447" w:rsidRDefault="00F6308C">
            <w:pPr>
              <w:pStyle w:val="TableParagraph"/>
              <w:spacing w:before="15" w:line="250" w:lineRule="exact"/>
              <w:ind w:right="97"/>
              <w:rPr>
                <w:b/>
              </w:rPr>
            </w:pPr>
            <w:r>
              <w:rPr>
                <w:b/>
              </w:rPr>
              <w:t>4.99</w:t>
            </w:r>
          </w:p>
        </w:tc>
      </w:tr>
    </w:tbl>
    <w:p w:rsidR="007C5447" w:rsidRDefault="007C5447">
      <w:pPr>
        <w:pStyle w:val="BodyText"/>
        <w:spacing w:before="9"/>
        <w:rPr>
          <w:b/>
          <w:sz w:val="20"/>
        </w:rPr>
      </w:pPr>
    </w:p>
    <w:p w:rsidR="007C5447" w:rsidRDefault="00F6308C">
      <w:pPr>
        <w:ind w:left="1054"/>
        <w:rPr>
          <w:b/>
          <w:sz w:val="24"/>
        </w:rPr>
      </w:pPr>
      <w:r>
        <w:rPr>
          <w:b/>
          <w:sz w:val="24"/>
        </w:rPr>
        <w:t>Table 5-16: Voltage-wise CoS for FY 2013-14 as determined by the</w:t>
      </w:r>
      <w:r>
        <w:rPr>
          <w:b/>
          <w:spacing w:val="-14"/>
          <w:sz w:val="24"/>
        </w:rPr>
        <w:t xml:space="preserve"> </w:t>
      </w:r>
      <w:r>
        <w:rPr>
          <w:b/>
          <w:sz w:val="24"/>
        </w:rPr>
        <w:t>Commission</w:t>
      </w:r>
    </w:p>
    <w:p w:rsidR="007C5447" w:rsidRDefault="007C5447">
      <w:pPr>
        <w:pStyle w:val="BodyText"/>
        <w:spacing w:before="10"/>
        <w:rPr>
          <w:b/>
          <w:sz w:val="17"/>
        </w:rPr>
      </w:pPr>
    </w:p>
    <w:tbl>
      <w:tblPr>
        <w:tblW w:w="0" w:type="auto"/>
        <w:tblInd w:w="12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7"/>
        <w:gridCol w:w="1136"/>
        <w:gridCol w:w="2411"/>
        <w:gridCol w:w="1703"/>
        <w:gridCol w:w="1477"/>
      </w:tblGrid>
      <w:tr w:rsidR="007C5447">
        <w:trPr>
          <w:trHeight w:val="794"/>
        </w:trPr>
        <w:tc>
          <w:tcPr>
            <w:tcW w:w="1417" w:type="dxa"/>
            <w:shd w:val="clear" w:color="auto" w:fill="F7C9AC"/>
          </w:tcPr>
          <w:p w:rsidR="007C5447" w:rsidRDefault="00F6308C">
            <w:pPr>
              <w:pStyle w:val="TableParagraph"/>
              <w:spacing w:before="142"/>
              <w:ind w:left="451" w:right="321" w:hanging="106"/>
              <w:jc w:val="left"/>
              <w:rPr>
                <w:b/>
              </w:rPr>
            </w:pPr>
            <w:r>
              <w:rPr>
                <w:b/>
              </w:rPr>
              <w:t>Voltage Level</w:t>
            </w:r>
          </w:p>
        </w:tc>
        <w:tc>
          <w:tcPr>
            <w:tcW w:w="1136" w:type="dxa"/>
            <w:shd w:val="clear" w:color="auto" w:fill="F7C9AC"/>
          </w:tcPr>
          <w:p w:rsidR="007C5447" w:rsidRDefault="007C5447">
            <w:pPr>
              <w:pStyle w:val="TableParagraph"/>
              <w:spacing w:before="5"/>
              <w:jc w:val="left"/>
              <w:rPr>
                <w:b/>
                <w:sz w:val="23"/>
              </w:rPr>
            </w:pPr>
          </w:p>
          <w:p w:rsidR="007C5447" w:rsidRDefault="00F6308C">
            <w:pPr>
              <w:pStyle w:val="TableParagraph"/>
              <w:ind w:left="328"/>
              <w:jc w:val="left"/>
              <w:rPr>
                <w:b/>
              </w:rPr>
            </w:pPr>
            <w:r>
              <w:rPr>
                <w:b/>
              </w:rPr>
              <w:t>Sales</w:t>
            </w:r>
          </w:p>
        </w:tc>
        <w:tc>
          <w:tcPr>
            <w:tcW w:w="2411" w:type="dxa"/>
            <w:shd w:val="clear" w:color="auto" w:fill="F7C9AC"/>
          </w:tcPr>
          <w:p w:rsidR="007C5447" w:rsidRDefault="00F6308C">
            <w:pPr>
              <w:pStyle w:val="TableParagraph"/>
              <w:spacing w:before="142"/>
              <w:ind w:left="485" w:right="117" w:hanging="348"/>
              <w:jc w:val="left"/>
              <w:rPr>
                <w:b/>
              </w:rPr>
            </w:pPr>
            <w:r>
              <w:rPr>
                <w:b/>
              </w:rPr>
              <w:t>Generation and Power Purchase Costs</w:t>
            </w:r>
          </w:p>
        </w:tc>
        <w:tc>
          <w:tcPr>
            <w:tcW w:w="1703" w:type="dxa"/>
            <w:shd w:val="clear" w:color="auto" w:fill="F7C9AC"/>
          </w:tcPr>
          <w:p w:rsidR="007C5447" w:rsidRDefault="007C5447">
            <w:pPr>
              <w:pStyle w:val="TableParagraph"/>
              <w:spacing w:before="5"/>
              <w:jc w:val="left"/>
              <w:rPr>
                <w:b/>
                <w:sz w:val="23"/>
              </w:rPr>
            </w:pPr>
          </w:p>
          <w:p w:rsidR="007C5447" w:rsidRDefault="00F6308C">
            <w:pPr>
              <w:pStyle w:val="TableParagraph"/>
              <w:ind w:right="149"/>
              <w:rPr>
                <w:b/>
              </w:rPr>
            </w:pPr>
            <w:r>
              <w:rPr>
                <w:b/>
              </w:rPr>
              <w:t>Network Costs</w:t>
            </w:r>
          </w:p>
        </w:tc>
        <w:tc>
          <w:tcPr>
            <w:tcW w:w="1477" w:type="dxa"/>
            <w:shd w:val="clear" w:color="auto" w:fill="F7C9AC"/>
          </w:tcPr>
          <w:p w:rsidR="007C5447" w:rsidRDefault="007C5447">
            <w:pPr>
              <w:pStyle w:val="TableParagraph"/>
              <w:spacing w:before="5"/>
              <w:jc w:val="left"/>
              <w:rPr>
                <w:b/>
                <w:sz w:val="23"/>
              </w:rPr>
            </w:pPr>
          </w:p>
          <w:p w:rsidR="007C5447" w:rsidRDefault="00F6308C">
            <w:pPr>
              <w:pStyle w:val="TableParagraph"/>
              <w:ind w:left="200"/>
              <w:jc w:val="left"/>
              <w:rPr>
                <w:b/>
              </w:rPr>
            </w:pPr>
            <w:r>
              <w:rPr>
                <w:b/>
              </w:rPr>
              <w:t>Total Costs</w:t>
            </w:r>
          </w:p>
        </w:tc>
      </w:tr>
      <w:tr w:rsidR="007C5447">
        <w:trPr>
          <w:trHeight w:val="285"/>
        </w:trPr>
        <w:tc>
          <w:tcPr>
            <w:tcW w:w="1417" w:type="dxa"/>
            <w:shd w:val="clear" w:color="auto" w:fill="F7C9AC"/>
          </w:tcPr>
          <w:p w:rsidR="007C5447" w:rsidRDefault="00F6308C">
            <w:pPr>
              <w:pStyle w:val="TableParagraph"/>
              <w:spacing w:before="17" w:line="248" w:lineRule="exact"/>
              <w:ind w:left="435" w:right="429"/>
              <w:jc w:val="center"/>
              <w:rPr>
                <w:b/>
              </w:rPr>
            </w:pPr>
            <w:r>
              <w:rPr>
                <w:b/>
              </w:rPr>
              <w:t>kV</w:t>
            </w:r>
          </w:p>
        </w:tc>
        <w:tc>
          <w:tcPr>
            <w:tcW w:w="1136" w:type="dxa"/>
            <w:shd w:val="clear" w:color="auto" w:fill="F7C9AC"/>
          </w:tcPr>
          <w:p w:rsidR="007C5447" w:rsidRDefault="00F6308C">
            <w:pPr>
              <w:pStyle w:val="TableParagraph"/>
              <w:spacing w:before="17" w:line="248" w:lineRule="exact"/>
              <w:ind w:left="383"/>
              <w:jc w:val="left"/>
              <w:rPr>
                <w:b/>
              </w:rPr>
            </w:pPr>
            <w:r>
              <w:rPr>
                <w:b/>
              </w:rPr>
              <w:t>MU</w:t>
            </w:r>
          </w:p>
        </w:tc>
        <w:tc>
          <w:tcPr>
            <w:tcW w:w="2411" w:type="dxa"/>
            <w:shd w:val="clear" w:color="auto" w:fill="F7C9AC"/>
          </w:tcPr>
          <w:p w:rsidR="007C5447" w:rsidRDefault="00F6308C">
            <w:pPr>
              <w:pStyle w:val="TableParagraph"/>
              <w:spacing w:before="17" w:line="248" w:lineRule="exact"/>
              <w:ind w:left="790"/>
              <w:jc w:val="left"/>
              <w:rPr>
                <w:b/>
              </w:rPr>
            </w:pPr>
            <w:r>
              <w:rPr>
                <w:b/>
              </w:rPr>
              <w:t>Rs./kWh</w:t>
            </w:r>
          </w:p>
        </w:tc>
        <w:tc>
          <w:tcPr>
            <w:tcW w:w="1703" w:type="dxa"/>
            <w:shd w:val="clear" w:color="auto" w:fill="F7C9AC"/>
          </w:tcPr>
          <w:p w:rsidR="007C5447" w:rsidRDefault="00F6308C">
            <w:pPr>
              <w:pStyle w:val="TableParagraph"/>
              <w:spacing w:before="17" w:line="248" w:lineRule="exact"/>
              <w:ind w:left="434"/>
              <w:jc w:val="left"/>
              <w:rPr>
                <w:b/>
              </w:rPr>
            </w:pPr>
            <w:r>
              <w:rPr>
                <w:b/>
              </w:rPr>
              <w:t>Rs./kWh</w:t>
            </w:r>
          </w:p>
        </w:tc>
        <w:tc>
          <w:tcPr>
            <w:tcW w:w="1477" w:type="dxa"/>
            <w:shd w:val="clear" w:color="auto" w:fill="F7C9AC"/>
          </w:tcPr>
          <w:p w:rsidR="007C5447" w:rsidRDefault="00F6308C">
            <w:pPr>
              <w:pStyle w:val="TableParagraph"/>
              <w:spacing w:before="17" w:line="248" w:lineRule="exact"/>
              <w:ind w:left="323"/>
              <w:jc w:val="left"/>
              <w:rPr>
                <w:b/>
              </w:rPr>
            </w:pPr>
            <w:r>
              <w:rPr>
                <w:b/>
              </w:rPr>
              <w:t>Rs./kWh</w:t>
            </w:r>
          </w:p>
        </w:tc>
      </w:tr>
      <w:tr w:rsidR="007C5447">
        <w:trPr>
          <w:trHeight w:val="285"/>
        </w:trPr>
        <w:tc>
          <w:tcPr>
            <w:tcW w:w="1417" w:type="dxa"/>
          </w:tcPr>
          <w:p w:rsidR="007C5447" w:rsidRDefault="00F6308C">
            <w:pPr>
              <w:pStyle w:val="TableParagraph"/>
              <w:spacing w:before="15" w:line="250" w:lineRule="exact"/>
              <w:ind w:left="436" w:right="428"/>
              <w:jc w:val="center"/>
            </w:pPr>
            <w:r>
              <w:t>400</w:t>
            </w:r>
          </w:p>
        </w:tc>
        <w:tc>
          <w:tcPr>
            <w:tcW w:w="1136" w:type="dxa"/>
          </w:tcPr>
          <w:p w:rsidR="007C5447" w:rsidRDefault="00F6308C">
            <w:pPr>
              <w:pStyle w:val="TableParagraph"/>
              <w:spacing w:before="15" w:line="250" w:lineRule="exact"/>
              <w:ind w:right="93"/>
            </w:pPr>
            <w:r>
              <w:t>-</w:t>
            </w:r>
          </w:p>
        </w:tc>
        <w:tc>
          <w:tcPr>
            <w:tcW w:w="2411" w:type="dxa"/>
          </w:tcPr>
          <w:p w:rsidR="007C5447" w:rsidRDefault="00F6308C">
            <w:pPr>
              <w:pStyle w:val="TableParagraph"/>
              <w:spacing w:before="15" w:line="250" w:lineRule="exact"/>
              <w:ind w:right="94"/>
            </w:pPr>
            <w:r>
              <w:t>-</w:t>
            </w:r>
          </w:p>
        </w:tc>
        <w:tc>
          <w:tcPr>
            <w:tcW w:w="1703" w:type="dxa"/>
          </w:tcPr>
          <w:p w:rsidR="007C5447" w:rsidRDefault="00F6308C">
            <w:pPr>
              <w:pStyle w:val="TableParagraph"/>
              <w:spacing w:before="15" w:line="250" w:lineRule="exact"/>
              <w:ind w:right="95"/>
            </w:pPr>
            <w:r>
              <w:t>-</w:t>
            </w:r>
          </w:p>
        </w:tc>
        <w:tc>
          <w:tcPr>
            <w:tcW w:w="1477" w:type="dxa"/>
          </w:tcPr>
          <w:p w:rsidR="007C5447" w:rsidRDefault="00F6308C">
            <w:pPr>
              <w:pStyle w:val="TableParagraph"/>
              <w:spacing w:before="15" w:line="250" w:lineRule="exact"/>
              <w:ind w:right="93"/>
            </w:pPr>
            <w:r>
              <w:t>-</w:t>
            </w:r>
          </w:p>
        </w:tc>
      </w:tr>
      <w:tr w:rsidR="007C5447">
        <w:trPr>
          <w:trHeight w:val="285"/>
        </w:trPr>
        <w:tc>
          <w:tcPr>
            <w:tcW w:w="1417" w:type="dxa"/>
          </w:tcPr>
          <w:p w:rsidR="007C5447" w:rsidRDefault="00F6308C">
            <w:pPr>
              <w:pStyle w:val="TableParagraph"/>
              <w:spacing w:before="15" w:line="250" w:lineRule="exact"/>
              <w:ind w:left="436" w:right="428"/>
              <w:jc w:val="center"/>
            </w:pPr>
            <w:r>
              <w:t>230</w:t>
            </w:r>
          </w:p>
        </w:tc>
        <w:tc>
          <w:tcPr>
            <w:tcW w:w="1136" w:type="dxa"/>
          </w:tcPr>
          <w:p w:rsidR="007C5447" w:rsidRDefault="00F6308C">
            <w:pPr>
              <w:pStyle w:val="TableParagraph"/>
              <w:spacing w:before="15" w:line="250" w:lineRule="exact"/>
              <w:ind w:right="97"/>
            </w:pPr>
            <w:r>
              <w:t>707</w:t>
            </w:r>
          </w:p>
        </w:tc>
        <w:tc>
          <w:tcPr>
            <w:tcW w:w="2411" w:type="dxa"/>
          </w:tcPr>
          <w:p w:rsidR="007C5447" w:rsidRDefault="00F6308C">
            <w:pPr>
              <w:pStyle w:val="TableParagraph"/>
              <w:spacing w:before="15" w:line="250" w:lineRule="exact"/>
              <w:ind w:right="98"/>
            </w:pPr>
            <w:r>
              <w:t>3.74</w:t>
            </w:r>
          </w:p>
        </w:tc>
        <w:tc>
          <w:tcPr>
            <w:tcW w:w="1703" w:type="dxa"/>
          </w:tcPr>
          <w:p w:rsidR="007C5447" w:rsidRDefault="00F6308C">
            <w:pPr>
              <w:pStyle w:val="TableParagraph"/>
              <w:spacing w:before="15" w:line="250" w:lineRule="exact"/>
              <w:ind w:right="99"/>
            </w:pPr>
            <w:r>
              <w:t>0.83</w:t>
            </w:r>
          </w:p>
        </w:tc>
        <w:tc>
          <w:tcPr>
            <w:tcW w:w="1477" w:type="dxa"/>
          </w:tcPr>
          <w:p w:rsidR="007C5447" w:rsidRDefault="00F6308C">
            <w:pPr>
              <w:pStyle w:val="TableParagraph"/>
              <w:spacing w:before="15" w:line="250" w:lineRule="exact"/>
              <w:ind w:right="97"/>
            </w:pPr>
            <w:r>
              <w:t>4.57</w:t>
            </w:r>
          </w:p>
        </w:tc>
      </w:tr>
      <w:tr w:rsidR="007C5447">
        <w:trPr>
          <w:trHeight w:val="285"/>
        </w:trPr>
        <w:tc>
          <w:tcPr>
            <w:tcW w:w="1417" w:type="dxa"/>
          </w:tcPr>
          <w:p w:rsidR="007C5447" w:rsidRDefault="00F6308C">
            <w:pPr>
              <w:pStyle w:val="TableParagraph"/>
              <w:spacing w:before="15" w:line="250" w:lineRule="exact"/>
              <w:ind w:left="436" w:right="428"/>
              <w:jc w:val="center"/>
            </w:pPr>
            <w:r>
              <w:t>110</w:t>
            </w:r>
          </w:p>
        </w:tc>
        <w:tc>
          <w:tcPr>
            <w:tcW w:w="1136" w:type="dxa"/>
          </w:tcPr>
          <w:p w:rsidR="007C5447" w:rsidRDefault="00F6308C">
            <w:pPr>
              <w:pStyle w:val="TableParagraph"/>
              <w:spacing w:before="15" w:line="250" w:lineRule="exact"/>
              <w:ind w:right="97"/>
            </w:pPr>
            <w:r>
              <w:t>2,391</w:t>
            </w:r>
          </w:p>
        </w:tc>
        <w:tc>
          <w:tcPr>
            <w:tcW w:w="2411" w:type="dxa"/>
          </w:tcPr>
          <w:p w:rsidR="007C5447" w:rsidRDefault="00F6308C">
            <w:pPr>
              <w:pStyle w:val="TableParagraph"/>
              <w:spacing w:before="15" w:line="250" w:lineRule="exact"/>
              <w:ind w:right="98"/>
            </w:pPr>
            <w:r>
              <w:t>3.81</w:t>
            </w:r>
          </w:p>
        </w:tc>
        <w:tc>
          <w:tcPr>
            <w:tcW w:w="1703" w:type="dxa"/>
          </w:tcPr>
          <w:p w:rsidR="007C5447" w:rsidRDefault="00F6308C">
            <w:pPr>
              <w:pStyle w:val="TableParagraph"/>
              <w:spacing w:before="15" w:line="250" w:lineRule="exact"/>
              <w:ind w:right="99"/>
            </w:pPr>
            <w:r>
              <w:t>0.83</w:t>
            </w:r>
          </w:p>
        </w:tc>
        <w:tc>
          <w:tcPr>
            <w:tcW w:w="1477" w:type="dxa"/>
          </w:tcPr>
          <w:p w:rsidR="007C5447" w:rsidRDefault="00F6308C">
            <w:pPr>
              <w:pStyle w:val="TableParagraph"/>
              <w:spacing w:before="15" w:line="250" w:lineRule="exact"/>
              <w:ind w:right="97"/>
            </w:pPr>
            <w:r>
              <w:t>4.64</w:t>
            </w:r>
          </w:p>
        </w:tc>
      </w:tr>
      <w:tr w:rsidR="007C5447">
        <w:trPr>
          <w:trHeight w:val="285"/>
        </w:trPr>
        <w:tc>
          <w:tcPr>
            <w:tcW w:w="1417" w:type="dxa"/>
          </w:tcPr>
          <w:p w:rsidR="007C5447" w:rsidRDefault="00F6308C">
            <w:pPr>
              <w:pStyle w:val="TableParagraph"/>
              <w:spacing w:before="15" w:line="250" w:lineRule="exact"/>
              <w:ind w:left="436" w:right="428"/>
              <w:jc w:val="center"/>
            </w:pPr>
            <w:r>
              <w:t>33</w:t>
            </w:r>
          </w:p>
        </w:tc>
        <w:tc>
          <w:tcPr>
            <w:tcW w:w="1136" w:type="dxa"/>
          </w:tcPr>
          <w:p w:rsidR="007C5447" w:rsidRDefault="00F6308C">
            <w:pPr>
              <w:pStyle w:val="TableParagraph"/>
              <w:spacing w:before="15" w:line="250" w:lineRule="exact"/>
              <w:ind w:right="97"/>
            </w:pPr>
            <w:r>
              <w:t>1,174</w:t>
            </w:r>
          </w:p>
        </w:tc>
        <w:tc>
          <w:tcPr>
            <w:tcW w:w="2411" w:type="dxa"/>
          </w:tcPr>
          <w:p w:rsidR="007C5447" w:rsidRDefault="00F6308C">
            <w:pPr>
              <w:pStyle w:val="TableParagraph"/>
              <w:spacing w:before="15" w:line="250" w:lineRule="exact"/>
              <w:ind w:right="98"/>
            </w:pPr>
            <w:r>
              <w:t>3.84</w:t>
            </w:r>
          </w:p>
        </w:tc>
        <w:tc>
          <w:tcPr>
            <w:tcW w:w="1703" w:type="dxa"/>
          </w:tcPr>
          <w:p w:rsidR="007C5447" w:rsidRDefault="00F6308C">
            <w:pPr>
              <w:pStyle w:val="TableParagraph"/>
              <w:spacing w:before="15" w:line="250" w:lineRule="exact"/>
              <w:ind w:right="99"/>
            </w:pPr>
            <w:r>
              <w:t>0.83</w:t>
            </w:r>
          </w:p>
        </w:tc>
        <w:tc>
          <w:tcPr>
            <w:tcW w:w="1477" w:type="dxa"/>
          </w:tcPr>
          <w:p w:rsidR="007C5447" w:rsidRDefault="00F6308C">
            <w:pPr>
              <w:pStyle w:val="TableParagraph"/>
              <w:spacing w:before="15" w:line="250" w:lineRule="exact"/>
              <w:ind w:right="97"/>
            </w:pPr>
            <w:r>
              <w:t>4.67</w:t>
            </w:r>
          </w:p>
        </w:tc>
      </w:tr>
      <w:tr w:rsidR="007C5447">
        <w:trPr>
          <w:trHeight w:val="285"/>
        </w:trPr>
        <w:tc>
          <w:tcPr>
            <w:tcW w:w="1417" w:type="dxa"/>
          </w:tcPr>
          <w:p w:rsidR="007C5447" w:rsidRDefault="00F6308C">
            <w:pPr>
              <w:pStyle w:val="TableParagraph"/>
              <w:spacing w:before="15" w:line="250" w:lineRule="exact"/>
              <w:ind w:left="436" w:right="428"/>
              <w:jc w:val="center"/>
            </w:pPr>
            <w:r>
              <w:t>22</w:t>
            </w:r>
          </w:p>
        </w:tc>
        <w:tc>
          <w:tcPr>
            <w:tcW w:w="1136" w:type="dxa"/>
          </w:tcPr>
          <w:p w:rsidR="007C5447" w:rsidRDefault="00F6308C">
            <w:pPr>
              <w:pStyle w:val="TableParagraph"/>
              <w:spacing w:before="15" w:line="250" w:lineRule="exact"/>
              <w:ind w:right="97"/>
            </w:pPr>
            <w:r>
              <w:t>2,063</w:t>
            </w:r>
          </w:p>
        </w:tc>
        <w:tc>
          <w:tcPr>
            <w:tcW w:w="2411" w:type="dxa"/>
          </w:tcPr>
          <w:p w:rsidR="007C5447" w:rsidRDefault="00F6308C">
            <w:pPr>
              <w:pStyle w:val="TableParagraph"/>
              <w:spacing w:before="15" w:line="250" w:lineRule="exact"/>
              <w:ind w:right="98"/>
            </w:pPr>
            <w:r>
              <w:t>3.95</w:t>
            </w:r>
          </w:p>
        </w:tc>
        <w:tc>
          <w:tcPr>
            <w:tcW w:w="1703" w:type="dxa"/>
          </w:tcPr>
          <w:p w:rsidR="007C5447" w:rsidRDefault="00F6308C">
            <w:pPr>
              <w:pStyle w:val="TableParagraph"/>
              <w:spacing w:before="15" w:line="250" w:lineRule="exact"/>
              <w:ind w:right="99"/>
            </w:pPr>
            <w:r>
              <w:t>0.83</w:t>
            </w:r>
          </w:p>
        </w:tc>
        <w:tc>
          <w:tcPr>
            <w:tcW w:w="1477" w:type="dxa"/>
          </w:tcPr>
          <w:p w:rsidR="007C5447" w:rsidRDefault="00F6308C">
            <w:pPr>
              <w:pStyle w:val="TableParagraph"/>
              <w:spacing w:before="15" w:line="250" w:lineRule="exact"/>
              <w:ind w:right="97"/>
            </w:pPr>
            <w:r>
              <w:t>4.78</w:t>
            </w:r>
          </w:p>
        </w:tc>
      </w:tr>
      <w:tr w:rsidR="007C5447">
        <w:trPr>
          <w:trHeight w:val="285"/>
        </w:trPr>
        <w:tc>
          <w:tcPr>
            <w:tcW w:w="1417" w:type="dxa"/>
          </w:tcPr>
          <w:p w:rsidR="007C5447" w:rsidRDefault="00F6308C">
            <w:pPr>
              <w:pStyle w:val="TableParagraph"/>
              <w:spacing w:before="15" w:line="250" w:lineRule="exact"/>
              <w:ind w:left="436" w:right="428"/>
              <w:jc w:val="center"/>
            </w:pPr>
            <w:r>
              <w:t>11</w:t>
            </w:r>
          </w:p>
        </w:tc>
        <w:tc>
          <w:tcPr>
            <w:tcW w:w="1136" w:type="dxa"/>
          </w:tcPr>
          <w:p w:rsidR="007C5447" w:rsidRDefault="00F6308C">
            <w:pPr>
              <w:pStyle w:val="TableParagraph"/>
              <w:spacing w:before="15" w:line="250" w:lineRule="exact"/>
              <w:ind w:right="97"/>
            </w:pPr>
            <w:r>
              <w:t>5,912</w:t>
            </w:r>
          </w:p>
        </w:tc>
        <w:tc>
          <w:tcPr>
            <w:tcW w:w="2411" w:type="dxa"/>
          </w:tcPr>
          <w:p w:rsidR="007C5447" w:rsidRDefault="00F6308C">
            <w:pPr>
              <w:pStyle w:val="TableParagraph"/>
              <w:spacing w:before="15" w:line="250" w:lineRule="exact"/>
              <w:ind w:right="98"/>
            </w:pPr>
            <w:r>
              <w:t>4.07</w:t>
            </w:r>
          </w:p>
        </w:tc>
        <w:tc>
          <w:tcPr>
            <w:tcW w:w="1703" w:type="dxa"/>
          </w:tcPr>
          <w:p w:rsidR="007C5447" w:rsidRDefault="00F6308C">
            <w:pPr>
              <w:pStyle w:val="TableParagraph"/>
              <w:spacing w:before="15" w:line="250" w:lineRule="exact"/>
              <w:ind w:right="99"/>
            </w:pPr>
            <w:r>
              <w:t>0.83</w:t>
            </w:r>
          </w:p>
        </w:tc>
        <w:tc>
          <w:tcPr>
            <w:tcW w:w="1477" w:type="dxa"/>
          </w:tcPr>
          <w:p w:rsidR="007C5447" w:rsidRDefault="00F6308C">
            <w:pPr>
              <w:pStyle w:val="TableParagraph"/>
              <w:spacing w:before="15" w:line="250" w:lineRule="exact"/>
              <w:ind w:right="97"/>
            </w:pPr>
            <w:r>
              <w:t>4.90</w:t>
            </w:r>
          </w:p>
        </w:tc>
      </w:tr>
      <w:tr w:rsidR="007C5447">
        <w:trPr>
          <w:trHeight w:val="285"/>
        </w:trPr>
        <w:tc>
          <w:tcPr>
            <w:tcW w:w="1417" w:type="dxa"/>
          </w:tcPr>
          <w:p w:rsidR="007C5447" w:rsidRDefault="00F6308C">
            <w:pPr>
              <w:pStyle w:val="TableParagraph"/>
              <w:spacing w:before="15" w:line="250" w:lineRule="exact"/>
              <w:ind w:left="436" w:right="428"/>
              <w:jc w:val="center"/>
            </w:pPr>
            <w:r>
              <w:t>LT</w:t>
            </w:r>
          </w:p>
        </w:tc>
        <w:tc>
          <w:tcPr>
            <w:tcW w:w="1136" w:type="dxa"/>
          </w:tcPr>
          <w:p w:rsidR="007C5447" w:rsidRDefault="00F6308C">
            <w:pPr>
              <w:pStyle w:val="TableParagraph"/>
              <w:spacing w:before="15" w:line="250" w:lineRule="exact"/>
              <w:ind w:right="97"/>
            </w:pPr>
            <w:r>
              <w:t>44,953</w:t>
            </w:r>
          </w:p>
        </w:tc>
        <w:tc>
          <w:tcPr>
            <w:tcW w:w="2411" w:type="dxa"/>
          </w:tcPr>
          <w:p w:rsidR="007C5447" w:rsidRDefault="00F6308C">
            <w:pPr>
              <w:pStyle w:val="TableParagraph"/>
              <w:spacing w:before="15" w:line="250" w:lineRule="exact"/>
              <w:ind w:right="98"/>
            </w:pPr>
            <w:r>
              <w:t>4.53</w:t>
            </w:r>
          </w:p>
        </w:tc>
        <w:tc>
          <w:tcPr>
            <w:tcW w:w="1703" w:type="dxa"/>
          </w:tcPr>
          <w:p w:rsidR="007C5447" w:rsidRDefault="00F6308C">
            <w:pPr>
              <w:pStyle w:val="TableParagraph"/>
              <w:spacing w:before="15" w:line="250" w:lineRule="exact"/>
              <w:ind w:right="99"/>
            </w:pPr>
            <w:r>
              <w:t>0.83</w:t>
            </w:r>
          </w:p>
        </w:tc>
        <w:tc>
          <w:tcPr>
            <w:tcW w:w="1477" w:type="dxa"/>
          </w:tcPr>
          <w:p w:rsidR="007C5447" w:rsidRDefault="00F6308C">
            <w:pPr>
              <w:pStyle w:val="TableParagraph"/>
              <w:spacing w:before="15" w:line="250" w:lineRule="exact"/>
              <w:ind w:right="97"/>
            </w:pPr>
            <w:r>
              <w:t>5.36</w:t>
            </w:r>
          </w:p>
        </w:tc>
      </w:tr>
      <w:tr w:rsidR="007C5447">
        <w:trPr>
          <w:trHeight w:val="285"/>
        </w:trPr>
        <w:tc>
          <w:tcPr>
            <w:tcW w:w="1417" w:type="dxa"/>
          </w:tcPr>
          <w:p w:rsidR="007C5447" w:rsidRDefault="00F6308C">
            <w:pPr>
              <w:pStyle w:val="TableParagraph"/>
              <w:spacing w:before="13" w:line="252" w:lineRule="exact"/>
              <w:ind w:left="436" w:right="429"/>
              <w:jc w:val="center"/>
              <w:rPr>
                <w:b/>
              </w:rPr>
            </w:pPr>
            <w:r>
              <w:rPr>
                <w:b/>
              </w:rPr>
              <w:t>Total</w:t>
            </w:r>
          </w:p>
        </w:tc>
        <w:tc>
          <w:tcPr>
            <w:tcW w:w="1136" w:type="dxa"/>
          </w:tcPr>
          <w:p w:rsidR="007C5447" w:rsidRDefault="00F6308C">
            <w:pPr>
              <w:pStyle w:val="TableParagraph"/>
              <w:spacing w:before="13" w:line="252" w:lineRule="exact"/>
              <w:ind w:right="97"/>
              <w:rPr>
                <w:b/>
              </w:rPr>
            </w:pPr>
            <w:r>
              <w:rPr>
                <w:b/>
              </w:rPr>
              <w:t>57,200</w:t>
            </w:r>
          </w:p>
        </w:tc>
        <w:tc>
          <w:tcPr>
            <w:tcW w:w="2411" w:type="dxa"/>
          </w:tcPr>
          <w:p w:rsidR="007C5447" w:rsidRDefault="00F6308C">
            <w:pPr>
              <w:pStyle w:val="TableParagraph"/>
              <w:spacing w:before="13" w:line="252" w:lineRule="exact"/>
              <w:ind w:right="98"/>
              <w:rPr>
                <w:b/>
              </w:rPr>
            </w:pPr>
            <w:r>
              <w:rPr>
                <w:b/>
              </w:rPr>
              <w:t>4.41</w:t>
            </w:r>
          </w:p>
        </w:tc>
        <w:tc>
          <w:tcPr>
            <w:tcW w:w="1703" w:type="dxa"/>
          </w:tcPr>
          <w:p w:rsidR="007C5447" w:rsidRDefault="00F6308C">
            <w:pPr>
              <w:pStyle w:val="TableParagraph"/>
              <w:spacing w:before="13" w:line="252" w:lineRule="exact"/>
              <w:ind w:right="99"/>
              <w:rPr>
                <w:b/>
              </w:rPr>
            </w:pPr>
            <w:r>
              <w:rPr>
                <w:b/>
              </w:rPr>
              <w:t>0.83</w:t>
            </w:r>
          </w:p>
        </w:tc>
        <w:tc>
          <w:tcPr>
            <w:tcW w:w="1477" w:type="dxa"/>
          </w:tcPr>
          <w:p w:rsidR="007C5447" w:rsidRDefault="00F6308C">
            <w:pPr>
              <w:pStyle w:val="TableParagraph"/>
              <w:spacing w:before="13" w:line="252" w:lineRule="exact"/>
              <w:ind w:right="97"/>
              <w:rPr>
                <w:b/>
              </w:rPr>
            </w:pPr>
            <w:r>
              <w:rPr>
                <w:b/>
              </w:rPr>
              <w:t>5.24</w:t>
            </w:r>
          </w:p>
        </w:tc>
      </w:tr>
    </w:tbl>
    <w:p w:rsidR="007C5447" w:rsidRDefault="007C5447">
      <w:pPr>
        <w:pStyle w:val="BodyText"/>
        <w:spacing w:before="9"/>
        <w:rPr>
          <w:b/>
          <w:sz w:val="20"/>
        </w:rPr>
      </w:pPr>
    </w:p>
    <w:p w:rsidR="007C5447" w:rsidRDefault="00F6308C">
      <w:pPr>
        <w:ind w:left="1054"/>
        <w:rPr>
          <w:b/>
          <w:sz w:val="24"/>
        </w:rPr>
      </w:pPr>
      <w:r>
        <w:rPr>
          <w:b/>
          <w:sz w:val="24"/>
        </w:rPr>
        <w:t>Table 5-17: Voltage-wise CoS for FY 2014-15 as determined by the</w:t>
      </w:r>
      <w:r>
        <w:rPr>
          <w:b/>
          <w:spacing w:val="-13"/>
          <w:sz w:val="24"/>
        </w:rPr>
        <w:t xml:space="preserve"> </w:t>
      </w:r>
      <w:r>
        <w:rPr>
          <w:b/>
          <w:sz w:val="24"/>
        </w:rPr>
        <w:t>Commission</w:t>
      </w:r>
    </w:p>
    <w:p w:rsidR="007C5447" w:rsidRDefault="007C5447">
      <w:pPr>
        <w:pStyle w:val="BodyText"/>
        <w:spacing w:before="7"/>
        <w:rPr>
          <w:b/>
          <w:sz w:val="17"/>
        </w:rPr>
      </w:pPr>
    </w:p>
    <w:tbl>
      <w:tblPr>
        <w:tblW w:w="0" w:type="auto"/>
        <w:tblInd w:w="12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7"/>
        <w:gridCol w:w="1136"/>
        <w:gridCol w:w="2411"/>
        <w:gridCol w:w="1703"/>
        <w:gridCol w:w="1477"/>
      </w:tblGrid>
      <w:tr w:rsidR="007C5447">
        <w:trPr>
          <w:trHeight w:val="796"/>
        </w:trPr>
        <w:tc>
          <w:tcPr>
            <w:tcW w:w="1417" w:type="dxa"/>
            <w:shd w:val="clear" w:color="auto" w:fill="F7C9AC"/>
          </w:tcPr>
          <w:p w:rsidR="007C5447" w:rsidRDefault="00F6308C">
            <w:pPr>
              <w:pStyle w:val="TableParagraph"/>
              <w:spacing w:before="145"/>
              <w:ind w:left="451" w:right="321" w:hanging="106"/>
              <w:jc w:val="left"/>
              <w:rPr>
                <w:b/>
              </w:rPr>
            </w:pPr>
            <w:r>
              <w:rPr>
                <w:b/>
              </w:rPr>
              <w:t>Voltage Level</w:t>
            </w:r>
          </w:p>
        </w:tc>
        <w:tc>
          <w:tcPr>
            <w:tcW w:w="1136" w:type="dxa"/>
            <w:shd w:val="clear" w:color="auto" w:fill="F7C9AC"/>
          </w:tcPr>
          <w:p w:rsidR="007C5447" w:rsidRDefault="007C5447">
            <w:pPr>
              <w:pStyle w:val="TableParagraph"/>
              <w:spacing w:before="5"/>
              <w:jc w:val="left"/>
              <w:rPr>
                <w:b/>
                <w:sz w:val="23"/>
              </w:rPr>
            </w:pPr>
          </w:p>
          <w:p w:rsidR="007C5447" w:rsidRDefault="00F6308C">
            <w:pPr>
              <w:pStyle w:val="TableParagraph"/>
              <w:ind w:left="328"/>
              <w:jc w:val="left"/>
              <w:rPr>
                <w:b/>
              </w:rPr>
            </w:pPr>
            <w:r>
              <w:rPr>
                <w:b/>
              </w:rPr>
              <w:t>Sales</w:t>
            </w:r>
          </w:p>
        </w:tc>
        <w:tc>
          <w:tcPr>
            <w:tcW w:w="2411" w:type="dxa"/>
            <w:shd w:val="clear" w:color="auto" w:fill="F7C9AC"/>
          </w:tcPr>
          <w:p w:rsidR="007C5447" w:rsidRDefault="00F6308C">
            <w:pPr>
              <w:pStyle w:val="TableParagraph"/>
              <w:spacing w:before="145"/>
              <w:ind w:left="485" w:right="117" w:hanging="348"/>
              <w:jc w:val="left"/>
              <w:rPr>
                <w:b/>
              </w:rPr>
            </w:pPr>
            <w:r>
              <w:rPr>
                <w:b/>
              </w:rPr>
              <w:t>Generation and Power Purchase Costs</w:t>
            </w:r>
          </w:p>
        </w:tc>
        <w:tc>
          <w:tcPr>
            <w:tcW w:w="1703" w:type="dxa"/>
            <w:shd w:val="clear" w:color="auto" w:fill="F7C9AC"/>
          </w:tcPr>
          <w:p w:rsidR="007C5447" w:rsidRDefault="007C5447">
            <w:pPr>
              <w:pStyle w:val="TableParagraph"/>
              <w:spacing w:before="5"/>
              <w:jc w:val="left"/>
              <w:rPr>
                <w:b/>
                <w:sz w:val="23"/>
              </w:rPr>
            </w:pPr>
          </w:p>
          <w:p w:rsidR="007C5447" w:rsidRDefault="00F6308C">
            <w:pPr>
              <w:pStyle w:val="TableParagraph"/>
              <w:ind w:right="149"/>
              <w:rPr>
                <w:b/>
              </w:rPr>
            </w:pPr>
            <w:r>
              <w:rPr>
                <w:b/>
              </w:rPr>
              <w:t>Network Costs</w:t>
            </w:r>
          </w:p>
        </w:tc>
        <w:tc>
          <w:tcPr>
            <w:tcW w:w="1477" w:type="dxa"/>
            <w:shd w:val="clear" w:color="auto" w:fill="F7C9AC"/>
          </w:tcPr>
          <w:p w:rsidR="007C5447" w:rsidRDefault="007C5447">
            <w:pPr>
              <w:pStyle w:val="TableParagraph"/>
              <w:spacing w:before="5"/>
              <w:jc w:val="left"/>
              <w:rPr>
                <w:b/>
                <w:sz w:val="23"/>
              </w:rPr>
            </w:pPr>
          </w:p>
          <w:p w:rsidR="007C5447" w:rsidRDefault="00F6308C">
            <w:pPr>
              <w:pStyle w:val="TableParagraph"/>
              <w:ind w:left="200"/>
              <w:jc w:val="left"/>
              <w:rPr>
                <w:b/>
              </w:rPr>
            </w:pPr>
            <w:r>
              <w:rPr>
                <w:b/>
              </w:rPr>
              <w:t>Total Costs</w:t>
            </w:r>
          </w:p>
        </w:tc>
      </w:tr>
      <w:tr w:rsidR="007C5447">
        <w:trPr>
          <w:trHeight w:val="285"/>
        </w:trPr>
        <w:tc>
          <w:tcPr>
            <w:tcW w:w="1417" w:type="dxa"/>
            <w:shd w:val="clear" w:color="auto" w:fill="F7C9AC"/>
          </w:tcPr>
          <w:p w:rsidR="007C5447" w:rsidRDefault="00F6308C">
            <w:pPr>
              <w:pStyle w:val="TableParagraph"/>
              <w:spacing w:before="15" w:line="250" w:lineRule="exact"/>
              <w:ind w:left="435" w:right="429"/>
              <w:jc w:val="center"/>
              <w:rPr>
                <w:b/>
              </w:rPr>
            </w:pPr>
            <w:r>
              <w:rPr>
                <w:b/>
              </w:rPr>
              <w:t>kV</w:t>
            </w:r>
          </w:p>
        </w:tc>
        <w:tc>
          <w:tcPr>
            <w:tcW w:w="1136" w:type="dxa"/>
            <w:shd w:val="clear" w:color="auto" w:fill="F7C9AC"/>
          </w:tcPr>
          <w:p w:rsidR="007C5447" w:rsidRDefault="00F6308C">
            <w:pPr>
              <w:pStyle w:val="TableParagraph"/>
              <w:spacing w:before="15" w:line="250" w:lineRule="exact"/>
              <w:ind w:left="383"/>
              <w:jc w:val="left"/>
              <w:rPr>
                <w:b/>
              </w:rPr>
            </w:pPr>
            <w:r>
              <w:rPr>
                <w:b/>
              </w:rPr>
              <w:t>MU</w:t>
            </w:r>
          </w:p>
        </w:tc>
        <w:tc>
          <w:tcPr>
            <w:tcW w:w="2411" w:type="dxa"/>
            <w:shd w:val="clear" w:color="auto" w:fill="F7C9AC"/>
          </w:tcPr>
          <w:p w:rsidR="007C5447" w:rsidRDefault="00F6308C">
            <w:pPr>
              <w:pStyle w:val="TableParagraph"/>
              <w:spacing w:before="15" w:line="250" w:lineRule="exact"/>
              <w:ind w:left="790"/>
              <w:jc w:val="left"/>
              <w:rPr>
                <w:b/>
              </w:rPr>
            </w:pPr>
            <w:r>
              <w:rPr>
                <w:b/>
              </w:rPr>
              <w:t>Rs./kWh</w:t>
            </w:r>
          </w:p>
        </w:tc>
        <w:tc>
          <w:tcPr>
            <w:tcW w:w="1703" w:type="dxa"/>
            <w:shd w:val="clear" w:color="auto" w:fill="F7C9AC"/>
          </w:tcPr>
          <w:p w:rsidR="007C5447" w:rsidRDefault="00F6308C">
            <w:pPr>
              <w:pStyle w:val="TableParagraph"/>
              <w:spacing w:before="15" w:line="250" w:lineRule="exact"/>
              <w:ind w:left="434"/>
              <w:jc w:val="left"/>
              <w:rPr>
                <w:b/>
              </w:rPr>
            </w:pPr>
            <w:r>
              <w:rPr>
                <w:b/>
              </w:rPr>
              <w:t>Rs./kWh</w:t>
            </w:r>
          </w:p>
        </w:tc>
        <w:tc>
          <w:tcPr>
            <w:tcW w:w="1477" w:type="dxa"/>
            <w:shd w:val="clear" w:color="auto" w:fill="F7C9AC"/>
          </w:tcPr>
          <w:p w:rsidR="007C5447" w:rsidRDefault="00F6308C">
            <w:pPr>
              <w:pStyle w:val="TableParagraph"/>
              <w:spacing w:before="15" w:line="250" w:lineRule="exact"/>
              <w:ind w:left="323"/>
              <w:jc w:val="left"/>
              <w:rPr>
                <w:b/>
              </w:rPr>
            </w:pPr>
            <w:r>
              <w:rPr>
                <w:b/>
              </w:rPr>
              <w:t>Rs./kWh</w:t>
            </w:r>
          </w:p>
        </w:tc>
      </w:tr>
      <w:tr w:rsidR="007C5447">
        <w:trPr>
          <w:trHeight w:val="282"/>
        </w:trPr>
        <w:tc>
          <w:tcPr>
            <w:tcW w:w="1417" w:type="dxa"/>
          </w:tcPr>
          <w:p w:rsidR="007C5447" w:rsidRDefault="00F6308C">
            <w:pPr>
              <w:pStyle w:val="TableParagraph"/>
              <w:spacing w:before="13" w:line="250" w:lineRule="exact"/>
              <w:ind w:left="436" w:right="428"/>
              <w:jc w:val="center"/>
            </w:pPr>
            <w:r>
              <w:t>400</w:t>
            </w:r>
          </w:p>
        </w:tc>
        <w:tc>
          <w:tcPr>
            <w:tcW w:w="1136" w:type="dxa"/>
          </w:tcPr>
          <w:p w:rsidR="007C5447" w:rsidRDefault="00F6308C">
            <w:pPr>
              <w:pStyle w:val="TableParagraph"/>
              <w:spacing w:before="13" w:line="250" w:lineRule="exact"/>
              <w:ind w:right="93"/>
            </w:pPr>
            <w:r>
              <w:t>-</w:t>
            </w:r>
          </w:p>
        </w:tc>
        <w:tc>
          <w:tcPr>
            <w:tcW w:w="2411" w:type="dxa"/>
          </w:tcPr>
          <w:p w:rsidR="007C5447" w:rsidRDefault="00F6308C">
            <w:pPr>
              <w:pStyle w:val="TableParagraph"/>
              <w:spacing w:before="13" w:line="250" w:lineRule="exact"/>
              <w:ind w:right="94"/>
            </w:pPr>
            <w:r>
              <w:t>-</w:t>
            </w:r>
          </w:p>
        </w:tc>
        <w:tc>
          <w:tcPr>
            <w:tcW w:w="1703" w:type="dxa"/>
          </w:tcPr>
          <w:p w:rsidR="007C5447" w:rsidRDefault="00F6308C">
            <w:pPr>
              <w:pStyle w:val="TableParagraph"/>
              <w:spacing w:before="13" w:line="250" w:lineRule="exact"/>
              <w:ind w:right="95"/>
            </w:pPr>
            <w:r>
              <w:t>-</w:t>
            </w:r>
          </w:p>
        </w:tc>
        <w:tc>
          <w:tcPr>
            <w:tcW w:w="1477" w:type="dxa"/>
          </w:tcPr>
          <w:p w:rsidR="007C5447" w:rsidRDefault="00F6308C">
            <w:pPr>
              <w:pStyle w:val="TableParagraph"/>
              <w:spacing w:before="13" w:line="250" w:lineRule="exact"/>
              <w:ind w:right="93"/>
            </w:pPr>
            <w:r>
              <w:t>-</w:t>
            </w:r>
          </w:p>
        </w:tc>
      </w:tr>
      <w:tr w:rsidR="007C5447">
        <w:trPr>
          <w:trHeight w:val="285"/>
        </w:trPr>
        <w:tc>
          <w:tcPr>
            <w:tcW w:w="1417" w:type="dxa"/>
          </w:tcPr>
          <w:p w:rsidR="007C5447" w:rsidRDefault="00F6308C">
            <w:pPr>
              <w:pStyle w:val="TableParagraph"/>
              <w:spacing w:before="15" w:line="250" w:lineRule="exact"/>
              <w:ind w:left="436" w:right="428"/>
              <w:jc w:val="center"/>
            </w:pPr>
            <w:r>
              <w:t>230</w:t>
            </w:r>
          </w:p>
        </w:tc>
        <w:tc>
          <w:tcPr>
            <w:tcW w:w="1136" w:type="dxa"/>
          </w:tcPr>
          <w:p w:rsidR="007C5447" w:rsidRDefault="00F6308C">
            <w:pPr>
              <w:pStyle w:val="TableParagraph"/>
              <w:spacing w:before="15" w:line="250" w:lineRule="exact"/>
              <w:ind w:right="97"/>
            </w:pPr>
            <w:r>
              <w:t>659</w:t>
            </w:r>
          </w:p>
        </w:tc>
        <w:tc>
          <w:tcPr>
            <w:tcW w:w="2411" w:type="dxa"/>
          </w:tcPr>
          <w:p w:rsidR="007C5447" w:rsidRDefault="00F6308C">
            <w:pPr>
              <w:pStyle w:val="TableParagraph"/>
              <w:spacing w:before="15" w:line="250" w:lineRule="exact"/>
              <w:ind w:right="98"/>
            </w:pPr>
            <w:r>
              <w:t>4.17</w:t>
            </w:r>
          </w:p>
        </w:tc>
        <w:tc>
          <w:tcPr>
            <w:tcW w:w="1703" w:type="dxa"/>
          </w:tcPr>
          <w:p w:rsidR="007C5447" w:rsidRDefault="00F6308C">
            <w:pPr>
              <w:pStyle w:val="TableParagraph"/>
              <w:spacing w:before="15" w:line="250" w:lineRule="exact"/>
              <w:ind w:right="99"/>
            </w:pPr>
            <w:r>
              <w:t>0.90</w:t>
            </w:r>
          </w:p>
        </w:tc>
        <w:tc>
          <w:tcPr>
            <w:tcW w:w="1477" w:type="dxa"/>
          </w:tcPr>
          <w:p w:rsidR="007C5447" w:rsidRDefault="00F6308C">
            <w:pPr>
              <w:pStyle w:val="TableParagraph"/>
              <w:spacing w:before="15" w:line="250" w:lineRule="exact"/>
              <w:ind w:right="97"/>
            </w:pPr>
            <w:r>
              <w:t>5.07</w:t>
            </w:r>
          </w:p>
        </w:tc>
      </w:tr>
      <w:tr w:rsidR="007C5447">
        <w:trPr>
          <w:trHeight w:val="285"/>
        </w:trPr>
        <w:tc>
          <w:tcPr>
            <w:tcW w:w="1417" w:type="dxa"/>
          </w:tcPr>
          <w:p w:rsidR="007C5447" w:rsidRDefault="00F6308C">
            <w:pPr>
              <w:pStyle w:val="TableParagraph"/>
              <w:spacing w:before="15" w:line="250" w:lineRule="exact"/>
              <w:ind w:left="436" w:right="428"/>
              <w:jc w:val="center"/>
            </w:pPr>
            <w:r>
              <w:t>110</w:t>
            </w:r>
          </w:p>
        </w:tc>
        <w:tc>
          <w:tcPr>
            <w:tcW w:w="1136" w:type="dxa"/>
          </w:tcPr>
          <w:p w:rsidR="007C5447" w:rsidRDefault="00F6308C">
            <w:pPr>
              <w:pStyle w:val="TableParagraph"/>
              <w:spacing w:before="15" w:line="250" w:lineRule="exact"/>
              <w:ind w:right="97"/>
            </w:pPr>
            <w:r>
              <w:t>2,804</w:t>
            </w:r>
          </w:p>
        </w:tc>
        <w:tc>
          <w:tcPr>
            <w:tcW w:w="2411" w:type="dxa"/>
          </w:tcPr>
          <w:p w:rsidR="007C5447" w:rsidRDefault="00F6308C">
            <w:pPr>
              <w:pStyle w:val="TableParagraph"/>
              <w:spacing w:before="15" w:line="250" w:lineRule="exact"/>
              <w:ind w:right="98"/>
            </w:pPr>
            <w:r>
              <w:t>4.25</w:t>
            </w:r>
          </w:p>
        </w:tc>
        <w:tc>
          <w:tcPr>
            <w:tcW w:w="1703" w:type="dxa"/>
          </w:tcPr>
          <w:p w:rsidR="007C5447" w:rsidRDefault="00F6308C">
            <w:pPr>
              <w:pStyle w:val="TableParagraph"/>
              <w:spacing w:before="15" w:line="250" w:lineRule="exact"/>
              <w:ind w:right="99"/>
            </w:pPr>
            <w:r>
              <w:t>0.90</w:t>
            </w:r>
          </w:p>
        </w:tc>
        <w:tc>
          <w:tcPr>
            <w:tcW w:w="1477" w:type="dxa"/>
          </w:tcPr>
          <w:p w:rsidR="007C5447" w:rsidRDefault="00F6308C">
            <w:pPr>
              <w:pStyle w:val="TableParagraph"/>
              <w:spacing w:before="15" w:line="250" w:lineRule="exact"/>
              <w:ind w:right="97"/>
            </w:pPr>
            <w:r>
              <w:t>5.15</w:t>
            </w:r>
          </w:p>
        </w:tc>
      </w:tr>
      <w:tr w:rsidR="007C5447">
        <w:trPr>
          <w:trHeight w:val="285"/>
        </w:trPr>
        <w:tc>
          <w:tcPr>
            <w:tcW w:w="1417" w:type="dxa"/>
          </w:tcPr>
          <w:p w:rsidR="007C5447" w:rsidRDefault="00F6308C">
            <w:pPr>
              <w:pStyle w:val="TableParagraph"/>
              <w:spacing w:before="15" w:line="250" w:lineRule="exact"/>
              <w:ind w:left="436" w:right="428"/>
              <w:jc w:val="center"/>
            </w:pPr>
            <w:r>
              <w:t>33</w:t>
            </w:r>
          </w:p>
        </w:tc>
        <w:tc>
          <w:tcPr>
            <w:tcW w:w="1136" w:type="dxa"/>
          </w:tcPr>
          <w:p w:rsidR="007C5447" w:rsidRDefault="00F6308C">
            <w:pPr>
              <w:pStyle w:val="TableParagraph"/>
              <w:spacing w:before="15" w:line="250" w:lineRule="exact"/>
              <w:ind w:right="97"/>
            </w:pPr>
            <w:r>
              <w:t>1,646</w:t>
            </w:r>
          </w:p>
        </w:tc>
        <w:tc>
          <w:tcPr>
            <w:tcW w:w="2411" w:type="dxa"/>
          </w:tcPr>
          <w:p w:rsidR="007C5447" w:rsidRDefault="00F6308C">
            <w:pPr>
              <w:pStyle w:val="TableParagraph"/>
              <w:spacing w:before="15" w:line="250" w:lineRule="exact"/>
              <w:ind w:right="98"/>
            </w:pPr>
            <w:r>
              <w:t>4.28</w:t>
            </w:r>
          </w:p>
        </w:tc>
        <w:tc>
          <w:tcPr>
            <w:tcW w:w="1703" w:type="dxa"/>
          </w:tcPr>
          <w:p w:rsidR="007C5447" w:rsidRDefault="00F6308C">
            <w:pPr>
              <w:pStyle w:val="TableParagraph"/>
              <w:spacing w:before="15" w:line="250" w:lineRule="exact"/>
              <w:ind w:right="99"/>
            </w:pPr>
            <w:r>
              <w:t>0.90</w:t>
            </w:r>
          </w:p>
        </w:tc>
        <w:tc>
          <w:tcPr>
            <w:tcW w:w="1477" w:type="dxa"/>
          </w:tcPr>
          <w:p w:rsidR="007C5447" w:rsidRDefault="00F6308C">
            <w:pPr>
              <w:pStyle w:val="TableParagraph"/>
              <w:spacing w:before="15" w:line="250" w:lineRule="exact"/>
              <w:ind w:right="97"/>
            </w:pPr>
            <w:r>
              <w:t>5.17</w:t>
            </w:r>
          </w:p>
        </w:tc>
      </w:tr>
      <w:tr w:rsidR="007C5447">
        <w:trPr>
          <w:trHeight w:val="285"/>
        </w:trPr>
        <w:tc>
          <w:tcPr>
            <w:tcW w:w="1417" w:type="dxa"/>
          </w:tcPr>
          <w:p w:rsidR="007C5447" w:rsidRDefault="00F6308C">
            <w:pPr>
              <w:pStyle w:val="TableParagraph"/>
              <w:spacing w:before="16" w:line="250" w:lineRule="exact"/>
              <w:ind w:left="436" w:right="428"/>
              <w:jc w:val="center"/>
            </w:pPr>
            <w:r>
              <w:t>22</w:t>
            </w:r>
          </w:p>
        </w:tc>
        <w:tc>
          <w:tcPr>
            <w:tcW w:w="1136" w:type="dxa"/>
          </w:tcPr>
          <w:p w:rsidR="007C5447" w:rsidRDefault="00F6308C">
            <w:pPr>
              <w:pStyle w:val="TableParagraph"/>
              <w:spacing w:before="16" w:line="250" w:lineRule="exact"/>
              <w:ind w:right="97"/>
            </w:pPr>
            <w:r>
              <w:t>2,477</w:t>
            </w:r>
          </w:p>
        </w:tc>
        <w:tc>
          <w:tcPr>
            <w:tcW w:w="2411" w:type="dxa"/>
          </w:tcPr>
          <w:p w:rsidR="007C5447" w:rsidRDefault="00F6308C">
            <w:pPr>
              <w:pStyle w:val="TableParagraph"/>
              <w:spacing w:before="16" w:line="250" w:lineRule="exact"/>
              <w:ind w:right="98"/>
            </w:pPr>
            <w:r>
              <w:t>4.39</w:t>
            </w:r>
          </w:p>
        </w:tc>
        <w:tc>
          <w:tcPr>
            <w:tcW w:w="1703" w:type="dxa"/>
          </w:tcPr>
          <w:p w:rsidR="007C5447" w:rsidRDefault="00F6308C">
            <w:pPr>
              <w:pStyle w:val="TableParagraph"/>
              <w:spacing w:before="16" w:line="250" w:lineRule="exact"/>
              <w:ind w:right="99"/>
            </w:pPr>
            <w:r>
              <w:t>0.90</w:t>
            </w:r>
          </w:p>
        </w:tc>
        <w:tc>
          <w:tcPr>
            <w:tcW w:w="1477" w:type="dxa"/>
          </w:tcPr>
          <w:p w:rsidR="007C5447" w:rsidRDefault="00F6308C">
            <w:pPr>
              <w:pStyle w:val="TableParagraph"/>
              <w:spacing w:before="16" w:line="250" w:lineRule="exact"/>
              <w:ind w:right="97"/>
            </w:pPr>
            <w:r>
              <w:t>5.29</w:t>
            </w:r>
          </w:p>
        </w:tc>
      </w:tr>
      <w:tr w:rsidR="007C5447">
        <w:trPr>
          <w:trHeight w:val="285"/>
        </w:trPr>
        <w:tc>
          <w:tcPr>
            <w:tcW w:w="1417" w:type="dxa"/>
          </w:tcPr>
          <w:p w:rsidR="007C5447" w:rsidRDefault="00F6308C">
            <w:pPr>
              <w:pStyle w:val="TableParagraph"/>
              <w:spacing w:before="15" w:line="250" w:lineRule="exact"/>
              <w:ind w:left="436" w:right="428"/>
              <w:jc w:val="center"/>
            </w:pPr>
            <w:r>
              <w:t>11</w:t>
            </w:r>
          </w:p>
        </w:tc>
        <w:tc>
          <w:tcPr>
            <w:tcW w:w="1136" w:type="dxa"/>
          </w:tcPr>
          <w:p w:rsidR="007C5447" w:rsidRDefault="00F6308C">
            <w:pPr>
              <w:pStyle w:val="TableParagraph"/>
              <w:spacing w:before="15" w:line="250" w:lineRule="exact"/>
              <w:ind w:right="97"/>
            </w:pPr>
            <w:r>
              <w:t>7,376</w:t>
            </w:r>
          </w:p>
        </w:tc>
        <w:tc>
          <w:tcPr>
            <w:tcW w:w="2411" w:type="dxa"/>
          </w:tcPr>
          <w:p w:rsidR="007C5447" w:rsidRDefault="00F6308C">
            <w:pPr>
              <w:pStyle w:val="TableParagraph"/>
              <w:spacing w:before="15" w:line="250" w:lineRule="exact"/>
              <w:ind w:right="98"/>
            </w:pPr>
            <w:r>
              <w:t>4.52</w:t>
            </w:r>
          </w:p>
        </w:tc>
        <w:tc>
          <w:tcPr>
            <w:tcW w:w="1703" w:type="dxa"/>
          </w:tcPr>
          <w:p w:rsidR="007C5447" w:rsidRDefault="00F6308C">
            <w:pPr>
              <w:pStyle w:val="TableParagraph"/>
              <w:spacing w:before="15" w:line="250" w:lineRule="exact"/>
              <w:ind w:right="99"/>
            </w:pPr>
            <w:r>
              <w:t>0.90</w:t>
            </w:r>
          </w:p>
        </w:tc>
        <w:tc>
          <w:tcPr>
            <w:tcW w:w="1477" w:type="dxa"/>
          </w:tcPr>
          <w:p w:rsidR="007C5447" w:rsidRDefault="00F6308C">
            <w:pPr>
              <w:pStyle w:val="TableParagraph"/>
              <w:spacing w:before="15" w:line="250" w:lineRule="exact"/>
              <w:ind w:right="97"/>
            </w:pPr>
            <w:r>
              <w:t>5.42</w:t>
            </w:r>
          </w:p>
        </w:tc>
      </w:tr>
      <w:tr w:rsidR="007C5447">
        <w:trPr>
          <w:trHeight w:val="285"/>
        </w:trPr>
        <w:tc>
          <w:tcPr>
            <w:tcW w:w="1417" w:type="dxa"/>
          </w:tcPr>
          <w:p w:rsidR="007C5447" w:rsidRDefault="00F6308C">
            <w:pPr>
              <w:pStyle w:val="TableParagraph"/>
              <w:spacing w:before="15" w:line="250" w:lineRule="exact"/>
              <w:ind w:left="436" w:right="428"/>
              <w:jc w:val="center"/>
            </w:pPr>
            <w:r>
              <w:t>LT</w:t>
            </w:r>
          </w:p>
        </w:tc>
        <w:tc>
          <w:tcPr>
            <w:tcW w:w="1136" w:type="dxa"/>
          </w:tcPr>
          <w:p w:rsidR="007C5447" w:rsidRDefault="00F6308C">
            <w:pPr>
              <w:pStyle w:val="TableParagraph"/>
              <w:spacing w:before="15" w:line="250" w:lineRule="exact"/>
              <w:ind w:right="97"/>
            </w:pPr>
            <w:r>
              <w:t>49,881</w:t>
            </w:r>
          </w:p>
        </w:tc>
        <w:tc>
          <w:tcPr>
            <w:tcW w:w="2411" w:type="dxa"/>
          </w:tcPr>
          <w:p w:rsidR="007C5447" w:rsidRDefault="00F6308C">
            <w:pPr>
              <w:pStyle w:val="TableParagraph"/>
              <w:spacing w:before="15" w:line="250" w:lineRule="exact"/>
              <w:ind w:right="98"/>
            </w:pPr>
            <w:r>
              <w:t>5.02</w:t>
            </w:r>
          </w:p>
        </w:tc>
        <w:tc>
          <w:tcPr>
            <w:tcW w:w="1703" w:type="dxa"/>
          </w:tcPr>
          <w:p w:rsidR="007C5447" w:rsidRDefault="00F6308C">
            <w:pPr>
              <w:pStyle w:val="TableParagraph"/>
              <w:spacing w:before="15" w:line="250" w:lineRule="exact"/>
              <w:ind w:right="99"/>
            </w:pPr>
            <w:r>
              <w:t>0.90</w:t>
            </w:r>
          </w:p>
        </w:tc>
        <w:tc>
          <w:tcPr>
            <w:tcW w:w="1477" w:type="dxa"/>
          </w:tcPr>
          <w:p w:rsidR="007C5447" w:rsidRDefault="00F6308C">
            <w:pPr>
              <w:pStyle w:val="TableParagraph"/>
              <w:spacing w:before="15" w:line="250" w:lineRule="exact"/>
              <w:ind w:right="97"/>
            </w:pPr>
            <w:r>
              <w:t>5.91</w:t>
            </w:r>
          </w:p>
        </w:tc>
      </w:tr>
      <w:tr w:rsidR="007C5447">
        <w:trPr>
          <w:trHeight w:val="285"/>
        </w:trPr>
        <w:tc>
          <w:tcPr>
            <w:tcW w:w="1417" w:type="dxa"/>
          </w:tcPr>
          <w:p w:rsidR="007C5447" w:rsidRDefault="00F6308C">
            <w:pPr>
              <w:pStyle w:val="TableParagraph"/>
              <w:spacing w:before="15" w:line="250" w:lineRule="exact"/>
              <w:ind w:left="436" w:right="429"/>
              <w:jc w:val="center"/>
              <w:rPr>
                <w:b/>
              </w:rPr>
            </w:pPr>
            <w:r>
              <w:rPr>
                <w:b/>
              </w:rPr>
              <w:t>Total</w:t>
            </w:r>
          </w:p>
        </w:tc>
        <w:tc>
          <w:tcPr>
            <w:tcW w:w="1136" w:type="dxa"/>
          </w:tcPr>
          <w:p w:rsidR="007C5447" w:rsidRDefault="00F6308C">
            <w:pPr>
              <w:pStyle w:val="TableParagraph"/>
              <w:spacing w:before="15" w:line="250" w:lineRule="exact"/>
              <w:ind w:right="97"/>
              <w:rPr>
                <w:b/>
              </w:rPr>
            </w:pPr>
            <w:r>
              <w:rPr>
                <w:b/>
              </w:rPr>
              <w:t>64,843</w:t>
            </w:r>
          </w:p>
        </w:tc>
        <w:tc>
          <w:tcPr>
            <w:tcW w:w="2411" w:type="dxa"/>
          </w:tcPr>
          <w:p w:rsidR="007C5447" w:rsidRDefault="00F6308C">
            <w:pPr>
              <w:pStyle w:val="TableParagraph"/>
              <w:spacing w:before="15" w:line="250" w:lineRule="exact"/>
              <w:ind w:right="98"/>
              <w:rPr>
                <w:b/>
              </w:rPr>
            </w:pPr>
            <w:r>
              <w:rPr>
                <w:b/>
              </w:rPr>
              <w:t>4.88</w:t>
            </w:r>
          </w:p>
        </w:tc>
        <w:tc>
          <w:tcPr>
            <w:tcW w:w="1703" w:type="dxa"/>
          </w:tcPr>
          <w:p w:rsidR="007C5447" w:rsidRDefault="00F6308C">
            <w:pPr>
              <w:pStyle w:val="TableParagraph"/>
              <w:spacing w:before="15" w:line="250" w:lineRule="exact"/>
              <w:ind w:right="99"/>
              <w:rPr>
                <w:b/>
              </w:rPr>
            </w:pPr>
            <w:r>
              <w:rPr>
                <w:b/>
              </w:rPr>
              <w:t>0.90</w:t>
            </w:r>
          </w:p>
        </w:tc>
        <w:tc>
          <w:tcPr>
            <w:tcW w:w="1477" w:type="dxa"/>
          </w:tcPr>
          <w:p w:rsidR="007C5447" w:rsidRDefault="00F6308C">
            <w:pPr>
              <w:pStyle w:val="TableParagraph"/>
              <w:spacing w:before="15" w:line="250" w:lineRule="exact"/>
              <w:ind w:right="97"/>
              <w:rPr>
                <w:b/>
              </w:rPr>
            </w:pPr>
            <w:r>
              <w:rPr>
                <w:b/>
              </w:rPr>
              <w:t>5.77</w:t>
            </w:r>
          </w:p>
        </w:tc>
      </w:tr>
    </w:tbl>
    <w:p w:rsidR="007C5447" w:rsidRDefault="007C5447">
      <w:pPr>
        <w:spacing w:line="250" w:lineRule="exact"/>
        <w:sectPr w:rsidR="007C5447">
          <w:pgSz w:w="11910" w:h="16840"/>
          <w:pgMar w:top="1360" w:right="560" w:bottom="1240" w:left="1180" w:header="0" w:footer="1057" w:gutter="0"/>
          <w:cols w:space="720"/>
        </w:sectPr>
      </w:pPr>
    </w:p>
    <w:p w:rsidR="007C5447" w:rsidRDefault="00F6308C">
      <w:pPr>
        <w:spacing w:before="61"/>
        <w:ind w:left="980"/>
        <w:rPr>
          <w:b/>
          <w:sz w:val="24"/>
        </w:rPr>
      </w:pPr>
      <w:r>
        <w:rPr>
          <w:b/>
          <w:sz w:val="24"/>
        </w:rPr>
        <w:lastRenderedPageBreak/>
        <w:t>Table 5-18: Voltage-wise CoS for FY 2015-16 as determined by the</w:t>
      </w:r>
      <w:r>
        <w:rPr>
          <w:b/>
          <w:spacing w:val="-16"/>
          <w:sz w:val="24"/>
        </w:rPr>
        <w:t xml:space="preserve"> </w:t>
      </w:r>
      <w:r>
        <w:rPr>
          <w:b/>
          <w:sz w:val="24"/>
        </w:rPr>
        <w:t>Commission</w:t>
      </w:r>
    </w:p>
    <w:p w:rsidR="007C5447" w:rsidRDefault="007C5447">
      <w:pPr>
        <w:pStyle w:val="BodyText"/>
        <w:spacing w:before="7"/>
        <w:rPr>
          <w:b/>
          <w:sz w:val="17"/>
        </w:rPr>
      </w:pPr>
    </w:p>
    <w:tbl>
      <w:tblPr>
        <w:tblW w:w="0" w:type="auto"/>
        <w:tblInd w:w="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1277"/>
        <w:gridCol w:w="2410"/>
        <w:gridCol w:w="1702"/>
        <w:gridCol w:w="1478"/>
      </w:tblGrid>
      <w:tr w:rsidR="007C5447">
        <w:trPr>
          <w:trHeight w:val="796"/>
        </w:trPr>
        <w:tc>
          <w:tcPr>
            <w:tcW w:w="1560" w:type="dxa"/>
            <w:shd w:val="clear" w:color="auto" w:fill="F7C9AC"/>
          </w:tcPr>
          <w:p w:rsidR="007C5447" w:rsidRDefault="007C5447">
            <w:pPr>
              <w:pStyle w:val="TableParagraph"/>
              <w:spacing w:before="7"/>
              <w:jc w:val="left"/>
              <w:rPr>
                <w:b/>
                <w:sz w:val="23"/>
              </w:rPr>
            </w:pPr>
          </w:p>
          <w:p w:rsidR="007C5447" w:rsidRDefault="00F6308C">
            <w:pPr>
              <w:pStyle w:val="TableParagraph"/>
              <w:ind w:left="113" w:right="105"/>
              <w:jc w:val="center"/>
              <w:rPr>
                <w:b/>
              </w:rPr>
            </w:pPr>
            <w:r>
              <w:rPr>
                <w:b/>
              </w:rPr>
              <w:t>Voltage Level</w:t>
            </w:r>
          </w:p>
        </w:tc>
        <w:tc>
          <w:tcPr>
            <w:tcW w:w="1277" w:type="dxa"/>
            <w:shd w:val="clear" w:color="auto" w:fill="F7C9AC"/>
          </w:tcPr>
          <w:p w:rsidR="007C5447" w:rsidRDefault="007C5447">
            <w:pPr>
              <w:pStyle w:val="TableParagraph"/>
              <w:spacing w:before="7"/>
              <w:jc w:val="left"/>
              <w:rPr>
                <w:b/>
                <w:sz w:val="23"/>
              </w:rPr>
            </w:pPr>
          </w:p>
          <w:p w:rsidR="007C5447" w:rsidRDefault="00F6308C">
            <w:pPr>
              <w:pStyle w:val="TableParagraph"/>
              <w:ind w:left="398"/>
              <w:jc w:val="left"/>
              <w:rPr>
                <w:b/>
              </w:rPr>
            </w:pPr>
            <w:r>
              <w:rPr>
                <w:b/>
              </w:rPr>
              <w:t>Sales</w:t>
            </w:r>
          </w:p>
        </w:tc>
        <w:tc>
          <w:tcPr>
            <w:tcW w:w="2410" w:type="dxa"/>
            <w:shd w:val="clear" w:color="auto" w:fill="F7C9AC"/>
          </w:tcPr>
          <w:p w:rsidR="007C5447" w:rsidRDefault="00F6308C">
            <w:pPr>
              <w:pStyle w:val="TableParagraph"/>
              <w:spacing w:before="145"/>
              <w:ind w:left="487" w:right="114" w:hanging="348"/>
              <w:jc w:val="left"/>
              <w:rPr>
                <w:b/>
              </w:rPr>
            </w:pPr>
            <w:r>
              <w:rPr>
                <w:b/>
              </w:rPr>
              <w:t>Generation and Power Purchase Costs</w:t>
            </w:r>
          </w:p>
        </w:tc>
        <w:tc>
          <w:tcPr>
            <w:tcW w:w="1702" w:type="dxa"/>
            <w:shd w:val="clear" w:color="auto" w:fill="F7C9AC"/>
          </w:tcPr>
          <w:p w:rsidR="007C5447" w:rsidRDefault="007C5447">
            <w:pPr>
              <w:pStyle w:val="TableParagraph"/>
              <w:spacing w:before="7"/>
              <w:jc w:val="left"/>
              <w:rPr>
                <w:b/>
                <w:sz w:val="23"/>
              </w:rPr>
            </w:pPr>
          </w:p>
          <w:p w:rsidR="007C5447" w:rsidRDefault="00F6308C">
            <w:pPr>
              <w:pStyle w:val="TableParagraph"/>
              <w:ind w:right="145"/>
              <w:rPr>
                <w:b/>
              </w:rPr>
            </w:pPr>
            <w:r>
              <w:rPr>
                <w:b/>
              </w:rPr>
              <w:t>Network Costs</w:t>
            </w:r>
          </w:p>
        </w:tc>
        <w:tc>
          <w:tcPr>
            <w:tcW w:w="1478" w:type="dxa"/>
            <w:shd w:val="clear" w:color="auto" w:fill="F7C9AC"/>
          </w:tcPr>
          <w:p w:rsidR="007C5447" w:rsidRDefault="007C5447">
            <w:pPr>
              <w:pStyle w:val="TableParagraph"/>
              <w:spacing w:before="7"/>
              <w:jc w:val="left"/>
              <w:rPr>
                <w:b/>
                <w:sz w:val="23"/>
              </w:rPr>
            </w:pPr>
          </w:p>
          <w:p w:rsidR="007C5447" w:rsidRDefault="00F6308C">
            <w:pPr>
              <w:pStyle w:val="TableParagraph"/>
              <w:ind w:left="204"/>
              <w:jc w:val="left"/>
              <w:rPr>
                <w:b/>
              </w:rPr>
            </w:pPr>
            <w:r>
              <w:rPr>
                <w:b/>
              </w:rPr>
              <w:t>Total Costs</w:t>
            </w:r>
          </w:p>
        </w:tc>
      </w:tr>
      <w:tr w:rsidR="007C5447">
        <w:trPr>
          <w:trHeight w:val="285"/>
        </w:trPr>
        <w:tc>
          <w:tcPr>
            <w:tcW w:w="1560" w:type="dxa"/>
            <w:shd w:val="clear" w:color="auto" w:fill="F7C9AC"/>
          </w:tcPr>
          <w:p w:rsidR="007C5447" w:rsidRDefault="00F6308C">
            <w:pPr>
              <w:pStyle w:val="TableParagraph"/>
              <w:spacing w:before="15" w:line="250" w:lineRule="exact"/>
              <w:ind w:left="113" w:right="106"/>
              <w:jc w:val="center"/>
              <w:rPr>
                <w:b/>
              </w:rPr>
            </w:pPr>
            <w:r>
              <w:rPr>
                <w:b/>
              </w:rPr>
              <w:t>kV</w:t>
            </w:r>
          </w:p>
        </w:tc>
        <w:tc>
          <w:tcPr>
            <w:tcW w:w="1277" w:type="dxa"/>
            <w:shd w:val="clear" w:color="auto" w:fill="F7C9AC"/>
          </w:tcPr>
          <w:p w:rsidR="007C5447" w:rsidRDefault="00F6308C">
            <w:pPr>
              <w:pStyle w:val="TableParagraph"/>
              <w:spacing w:before="15" w:line="250" w:lineRule="exact"/>
              <w:ind w:left="130" w:right="121"/>
              <w:jc w:val="center"/>
              <w:rPr>
                <w:b/>
              </w:rPr>
            </w:pPr>
            <w:r>
              <w:rPr>
                <w:b/>
              </w:rPr>
              <w:t>MU</w:t>
            </w:r>
          </w:p>
        </w:tc>
        <w:tc>
          <w:tcPr>
            <w:tcW w:w="2410" w:type="dxa"/>
            <w:shd w:val="clear" w:color="auto" w:fill="F7C9AC"/>
          </w:tcPr>
          <w:p w:rsidR="007C5447" w:rsidRDefault="00F6308C">
            <w:pPr>
              <w:pStyle w:val="TableParagraph"/>
              <w:spacing w:before="15" w:line="250" w:lineRule="exact"/>
              <w:ind w:left="792"/>
              <w:jc w:val="left"/>
              <w:rPr>
                <w:b/>
              </w:rPr>
            </w:pPr>
            <w:r>
              <w:rPr>
                <w:b/>
              </w:rPr>
              <w:t>Rs./kWh</w:t>
            </w:r>
          </w:p>
        </w:tc>
        <w:tc>
          <w:tcPr>
            <w:tcW w:w="1702" w:type="dxa"/>
            <w:shd w:val="clear" w:color="auto" w:fill="F7C9AC"/>
          </w:tcPr>
          <w:p w:rsidR="007C5447" w:rsidRDefault="00F6308C">
            <w:pPr>
              <w:pStyle w:val="TableParagraph"/>
              <w:spacing w:before="15" w:line="250" w:lineRule="exact"/>
              <w:ind w:left="437"/>
              <w:jc w:val="left"/>
              <w:rPr>
                <w:b/>
              </w:rPr>
            </w:pPr>
            <w:r>
              <w:rPr>
                <w:b/>
              </w:rPr>
              <w:t>Rs./kWh</w:t>
            </w:r>
          </w:p>
        </w:tc>
        <w:tc>
          <w:tcPr>
            <w:tcW w:w="1478" w:type="dxa"/>
            <w:shd w:val="clear" w:color="auto" w:fill="F7C9AC"/>
          </w:tcPr>
          <w:p w:rsidR="007C5447" w:rsidRDefault="00F6308C">
            <w:pPr>
              <w:pStyle w:val="TableParagraph"/>
              <w:spacing w:before="15" w:line="250" w:lineRule="exact"/>
              <w:ind w:left="326"/>
              <w:jc w:val="left"/>
              <w:rPr>
                <w:b/>
              </w:rPr>
            </w:pPr>
            <w:r>
              <w:rPr>
                <w:b/>
              </w:rPr>
              <w:t>Rs./kWh</w:t>
            </w:r>
          </w:p>
        </w:tc>
      </w:tr>
      <w:tr w:rsidR="007C5447">
        <w:trPr>
          <w:trHeight w:val="285"/>
        </w:trPr>
        <w:tc>
          <w:tcPr>
            <w:tcW w:w="1560" w:type="dxa"/>
          </w:tcPr>
          <w:p w:rsidR="007C5447" w:rsidRDefault="00F6308C">
            <w:pPr>
              <w:pStyle w:val="TableParagraph"/>
              <w:spacing w:before="15" w:line="250" w:lineRule="exact"/>
              <w:ind w:left="113" w:right="104"/>
              <w:jc w:val="center"/>
            </w:pPr>
            <w:r>
              <w:t>400</w:t>
            </w:r>
          </w:p>
        </w:tc>
        <w:tc>
          <w:tcPr>
            <w:tcW w:w="1277" w:type="dxa"/>
          </w:tcPr>
          <w:p w:rsidR="007C5447" w:rsidRDefault="00F6308C">
            <w:pPr>
              <w:pStyle w:val="TableParagraph"/>
              <w:spacing w:before="15" w:line="250" w:lineRule="exact"/>
              <w:ind w:right="91"/>
            </w:pPr>
            <w:r>
              <w:t>-</w:t>
            </w:r>
          </w:p>
        </w:tc>
        <w:tc>
          <w:tcPr>
            <w:tcW w:w="2410" w:type="dxa"/>
          </w:tcPr>
          <w:p w:rsidR="007C5447" w:rsidRDefault="00F6308C">
            <w:pPr>
              <w:pStyle w:val="TableParagraph"/>
              <w:spacing w:before="15" w:line="250" w:lineRule="exact"/>
              <w:ind w:right="91"/>
            </w:pPr>
            <w:r>
              <w:t>-</w:t>
            </w:r>
          </w:p>
        </w:tc>
        <w:tc>
          <w:tcPr>
            <w:tcW w:w="1702" w:type="dxa"/>
          </w:tcPr>
          <w:p w:rsidR="007C5447" w:rsidRDefault="00F6308C">
            <w:pPr>
              <w:pStyle w:val="TableParagraph"/>
              <w:spacing w:before="15" w:line="250" w:lineRule="exact"/>
              <w:ind w:right="94"/>
            </w:pPr>
            <w:r>
              <w:t>-</w:t>
            </w:r>
          </w:p>
        </w:tc>
        <w:tc>
          <w:tcPr>
            <w:tcW w:w="1478" w:type="dxa"/>
          </w:tcPr>
          <w:p w:rsidR="007C5447" w:rsidRDefault="00F6308C">
            <w:pPr>
              <w:pStyle w:val="TableParagraph"/>
              <w:spacing w:before="15" w:line="250" w:lineRule="exact"/>
              <w:ind w:right="91"/>
            </w:pPr>
            <w:r>
              <w:t>-</w:t>
            </w:r>
          </w:p>
        </w:tc>
      </w:tr>
      <w:tr w:rsidR="007C5447">
        <w:trPr>
          <w:trHeight w:val="285"/>
        </w:trPr>
        <w:tc>
          <w:tcPr>
            <w:tcW w:w="1560" w:type="dxa"/>
          </w:tcPr>
          <w:p w:rsidR="007C5447" w:rsidRDefault="00F6308C">
            <w:pPr>
              <w:pStyle w:val="TableParagraph"/>
              <w:spacing w:before="15" w:line="250" w:lineRule="exact"/>
              <w:ind w:left="113" w:right="104"/>
              <w:jc w:val="center"/>
            </w:pPr>
            <w:r>
              <w:t>230</w:t>
            </w:r>
          </w:p>
        </w:tc>
        <w:tc>
          <w:tcPr>
            <w:tcW w:w="1277" w:type="dxa"/>
          </w:tcPr>
          <w:p w:rsidR="007C5447" w:rsidRDefault="00F6308C">
            <w:pPr>
              <w:pStyle w:val="TableParagraph"/>
              <w:spacing w:before="15" w:line="250" w:lineRule="exact"/>
              <w:ind w:right="95"/>
            </w:pPr>
            <w:r>
              <w:t>720</w:t>
            </w:r>
          </w:p>
        </w:tc>
        <w:tc>
          <w:tcPr>
            <w:tcW w:w="2410" w:type="dxa"/>
          </w:tcPr>
          <w:p w:rsidR="007C5447" w:rsidRDefault="00F6308C">
            <w:pPr>
              <w:pStyle w:val="TableParagraph"/>
              <w:spacing w:before="15" w:line="250" w:lineRule="exact"/>
              <w:ind w:right="95"/>
            </w:pPr>
            <w:r>
              <w:t>4.72</w:t>
            </w:r>
          </w:p>
        </w:tc>
        <w:tc>
          <w:tcPr>
            <w:tcW w:w="1702" w:type="dxa"/>
          </w:tcPr>
          <w:p w:rsidR="007C5447" w:rsidRDefault="00F6308C">
            <w:pPr>
              <w:pStyle w:val="TableParagraph"/>
              <w:spacing w:before="15" w:line="250" w:lineRule="exact"/>
              <w:ind w:right="98"/>
            </w:pPr>
            <w:r>
              <w:t>0.74</w:t>
            </w:r>
          </w:p>
        </w:tc>
        <w:tc>
          <w:tcPr>
            <w:tcW w:w="1478" w:type="dxa"/>
          </w:tcPr>
          <w:p w:rsidR="007C5447" w:rsidRDefault="00F6308C">
            <w:pPr>
              <w:pStyle w:val="TableParagraph"/>
              <w:spacing w:before="15" w:line="250" w:lineRule="exact"/>
              <w:ind w:right="95"/>
            </w:pPr>
            <w:r>
              <w:t>5.46</w:t>
            </w:r>
          </w:p>
        </w:tc>
      </w:tr>
      <w:tr w:rsidR="007C5447">
        <w:trPr>
          <w:trHeight w:val="285"/>
        </w:trPr>
        <w:tc>
          <w:tcPr>
            <w:tcW w:w="1560" w:type="dxa"/>
          </w:tcPr>
          <w:p w:rsidR="007C5447" w:rsidRDefault="00F6308C">
            <w:pPr>
              <w:pStyle w:val="TableParagraph"/>
              <w:spacing w:before="13" w:line="252" w:lineRule="exact"/>
              <w:ind w:left="113" w:right="104"/>
              <w:jc w:val="center"/>
            </w:pPr>
            <w:r>
              <w:t>110</w:t>
            </w:r>
          </w:p>
        </w:tc>
        <w:tc>
          <w:tcPr>
            <w:tcW w:w="1277" w:type="dxa"/>
          </w:tcPr>
          <w:p w:rsidR="007C5447" w:rsidRDefault="00F6308C">
            <w:pPr>
              <w:pStyle w:val="TableParagraph"/>
              <w:spacing w:before="13" w:line="252" w:lineRule="exact"/>
              <w:ind w:right="95"/>
            </w:pPr>
            <w:r>
              <w:t>2,990</w:t>
            </w:r>
          </w:p>
        </w:tc>
        <w:tc>
          <w:tcPr>
            <w:tcW w:w="2410" w:type="dxa"/>
          </w:tcPr>
          <w:p w:rsidR="007C5447" w:rsidRDefault="00F6308C">
            <w:pPr>
              <w:pStyle w:val="TableParagraph"/>
              <w:spacing w:before="13" w:line="252" w:lineRule="exact"/>
              <w:ind w:right="95"/>
            </w:pPr>
            <w:r>
              <w:t>4.81</w:t>
            </w:r>
          </w:p>
        </w:tc>
        <w:tc>
          <w:tcPr>
            <w:tcW w:w="1702" w:type="dxa"/>
          </w:tcPr>
          <w:p w:rsidR="007C5447" w:rsidRDefault="00F6308C">
            <w:pPr>
              <w:pStyle w:val="TableParagraph"/>
              <w:spacing w:before="13" w:line="252" w:lineRule="exact"/>
              <w:ind w:right="98"/>
            </w:pPr>
            <w:r>
              <w:t>0.74</w:t>
            </w:r>
          </w:p>
        </w:tc>
        <w:tc>
          <w:tcPr>
            <w:tcW w:w="1478" w:type="dxa"/>
          </w:tcPr>
          <w:p w:rsidR="007C5447" w:rsidRDefault="00F6308C">
            <w:pPr>
              <w:pStyle w:val="TableParagraph"/>
              <w:spacing w:before="13" w:line="252" w:lineRule="exact"/>
              <w:ind w:right="95"/>
            </w:pPr>
            <w:r>
              <w:t>5.55</w:t>
            </w:r>
          </w:p>
        </w:tc>
      </w:tr>
      <w:tr w:rsidR="007C5447">
        <w:trPr>
          <w:trHeight w:val="282"/>
        </w:trPr>
        <w:tc>
          <w:tcPr>
            <w:tcW w:w="1560" w:type="dxa"/>
          </w:tcPr>
          <w:p w:rsidR="007C5447" w:rsidRDefault="00F6308C">
            <w:pPr>
              <w:pStyle w:val="TableParagraph"/>
              <w:spacing w:before="13" w:line="250" w:lineRule="exact"/>
              <w:ind w:left="113" w:right="104"/>
              <w:jc w:val="center"/>
            </w:pPr>
            <w:r>
              <w:t>33</w:t>
            </w:r>
          </w:p>
        </w:tc>
        <w:tc>
          <w:tcPr>
            <w:tcW w:w="1277" w:type="dxa"/>
          </w:tcPr>
          <w:p w:rsidR="007C5447" w:rsidRDefault="00F6308C">
            <w:pPr>
              <w:pStyle w:val="TableParagraph"/>
              <w:spacing w:before="13" w:line="250" w:lineRule="exact"/>
              <w:ind w:right="95"/>
            </w:pPr>
            <w:r>
              <w:t>1,942</w:t>
            </w:r>
          </w:p>
        </w:tc>
        <w:tc>
          <w:tcPr>
            <w:tcW w:w="2410" w:type="dxa"/>
          </w:tcPr>
          <w:p w:rsidR="007C5447" w:rsidRDefault="00F6308C">
            <w:pPr>
              <w:pStyle w:val="TableParagraph"/>
              <w:spacing w:before="13" w:line="250" w:lineRule="exact"/>
              <w:ind w:right="95"/>
            </w:pPr>
            <w:r>
              <w:t>4.84</w:t>
            </w:r>
          </w:p>
        </w:tc>
        <w:tc>
          <w:tcPr>
            <w:tcW w:w="1702" w:type="dxa"/>
          </w:tcPr>
          <w:p w:rsidR="007C5447" w:rsidRDefault="00F6308C">
            <w:pPr>
              <w:pStyle w:val="TableParagraph"/>
              <w:spacing w:before="13" w:line="250" w:lineRule="exact"/>
              <w:ind w:right="98"/>
            </w:pPr>
            <w:r>
              <w:t>0.74</w:t>
            </w:r>
          </w:p>
        </w:tc>
        <w:tc>
          <w:tcPr>
            <w:tcW w:w="1478" w:type="dxa"/>
          </w:tcPr>
          <w:p w:rsidR="007C5447" w:rsidRDefault="00F6308C">
            <w:pPr>
              <w:pStyle w:val="TableParagraph"/>
              <w:spacing w:before="13" w:line="250" w:lineRule="exact"/>
              <w:ind w:right="95"/>
            </w:pPr>
            <w:r>
              <w:t>5.58</w:t>
            </w:r>
          </w:p>
        </w:tc>
      </w:tr>
      <w:tr w:rsidR="007C5447">
        <w:trPr>
          <w:trHeight w:val="285"/>
        </w:trPr>
        <w:tc>
          <w:tcPr>
            <w:tcW w:w="1560" w:type="dxa"/>
          </w:tcPr>
          <w:p w:rsidR="007C5447" w:rsidRDefault="00F6308C">
            <w:pPr>
              <w:pStyle w:val="TableParagraph"/>
              <w:spacing w:before="15" w:line="250" w:lineRule="exact"/>
              <w:ind w:left="113" w:right="104"/>
              <w:jc w:val="center"/>
            </w:pPr>
            <w:r>
              <w:t>22</w:t>
            </w:r>
          </w:p>
        </w:tc>
        <w:tc>
          <w:tcPr>
            <w:tcW w:w="1277" w:type="dxa"/>
          </w:tcPr>
          <w:p w:rsidR="007C5447" w:rsidRDefault="00F6308C">
            <w:pPr>
              <w:pStyle w:val="TableParagraph"/>
              <w:spacing w:before="15" w:line="250" w:lineRule="exact"/>
              <w:ind w:right="95"/>
            </w:pPr>
            <w:r>
              <w:t>2,590</w:t>
            </w:r>
          </w:p>
        </w:tc>
        <w:tc>
          <w:tcPr>
            <w:tcW w:w="2410" w:type="dxa"/>
          </w:tcPr>
          <w:p w:rsidR="007C5447" w:rsidRDefault="00F6308C">
            <w:pPr>
              <w:pStyle w:val="TableParagraph"/>
              <w:spacing w:before="15" w:line="250" w:lineRule="exact"/>
              <w:ind w:right="95"/>
            </w:pPr>
            <w:r>
              <w:t>4.97</w:t>
            </w:r>
          </w:p>
        </w:tc>
        <w:tc>
          <w:tcPr>
            <w:tcW w:w="1702" w:type="dxa"/>
          </w:tcPr>
          <w:p w:rsidR="007C5447" w:rsidRDefault="00F6308C">
            <w:pPr>
              <w:pStyle w:val="TableParagraph"/>
              <w:spacing w:before="15" w:line="250" w:lineRule="exact"/>
              <w:ind w:right="98"/>
            </w:pPr>
            <w:r>
              <w:t>0.74</w:t>
            </w:r>
          </w:p>
        </w:tc>
        <w:tc>
          <w:tcPr>
            <w:tcW w:w="1478" w:type="dxa"/>
          </w:tcPr>
          <w:p w:rsidR="007C5447" w:rsidRDefault="00F6308C">
            <w:pPr>
              <w:pStyle w:val="TableParagraph"/>
              <w:spacing w:before="15" w:line="250" w:lineRule="exact"/>
              <w:ind w:right="95"/>
            </w:pPr>
            <w:r>
              <w:t>5.71</w:t>
            </w:r>
          </w:p>
        </w:tc>
      </w:tr>
      <w:tr w:rsidR="007C5447">
        <w:trPr>
          <w:trHeight w:val="285"/>
        </w:trPr>
        <w:tc>
          <w:tcPr>
            <w:tcW w:w="1560" w:type="dxa"/>
          </w:tcPr>
          <w:p w:rsidR="007C5447" w:rsidRDefault="00F6308C">
            <w:pPr>
              <w:pStyle w:val="TableParagraph"/>
              <w:spacing w:before="15" w:line="250" w:lineRule="exact"/>
              <w:ind w:left="113" w:right="104"/>
              <w:jc w:val="center"/>
            </w:pPr>
            <w:r>
              <w:t>11</w:t>
            </w:r>
          </w:p>
        </w:tc>
        <w:tc>
          <w:tcPr>
            <w:tcW w:w="1277" w:type="dxa"/>
          </w:tcPr>
          <w:p w:rsidR="007C5447" w:rsidRDefault="00F6308C">
            <w:pPr>
              <w:pStyle w:val="TableParagraph"/>
              <w:spacing w:before="15" w:line="250" w:lineRule="exact"/>
              <w:ind w:right="95"/>
            </w:pPr>
            <w:r>
              <w:t>7,898</w:t>
            </w:r>
          </w:p>
        </w:tc>
        <w:tc>
          <w:tcPr>
            <w:tcW w:w="2410" w:type="dxa"/>
          </w:tcPr>
          <w:p w:rsidR="007C5447" w:rsidRDefault="00F6308C">
            <w:pPr>
              <w:pStyle w:val="TableParagraph"/>
              <w:spacing w:before="15" w:line="250" w:lineRule="exact"/>
              <w:ind w:right="95"/>
            </w:pPr>
            <w:r>
              <w:t>5.11</w:t>
            </w:r>
          </w:p>
        </w:tc>
        <w:tc>
          <w:tcPr>
            <w:tcW w:w="1702" w:type="dxa"/>
          </w:tcPr>
          <w:p w:rsidR="007C5447" w:rsidRDefault="00F6308C">
            <w:pPr>
              <w:pStyle w:val="TableParagraph"/>
              <w:spacing w:before="15" w:line="250" w:lineRule="exact"/>
              <w:ind w:right="98"/>
            </w:pPr>
            <w:r>
              <w:t>0.74</w:t>
            </w:r>
          </w:p>
        </w:tc>
        <w:tc>
          <w:tcPr>
            <w:tcW w:w="1478" w:type="dxa"/>
          </w:tcPr>
          <w:p w:rsidR="007C5447" w:rsidRDefault="00F6308C">
            <w:pPr>
              <w:pStyle w:val="TableParagraph"/>
              <w:spacing w:before="15" w:line="250" w:lineRule="exact"/>
              <w:ind w:right="95"/>
            </w:pPr>
            <w:r>
              <w:t>5.85</w:t>
            </w:r>
          </w:p>
        </w:tc>
      </w:tr>
      <w:tr w:rsidR="007C5447">
        <w:trPr>
          <w:trHeight w:val="285"/>
        </w:trPr>
        <w:tc>
          <w:tcPr>
            <w:tcW w:w="1560" w:type="dxa"/>
          </w:tcPr>
          <w:p w:rsidR="007C5447" w:rsidRDefault="00F6308C">
            <w:pPr>
              <w:pStyle w:val="TableParagraph"/>
              <w:spacing w:before="15" w:line="250" w:lineRule="exact"/>
              <w:ind w:left="113" w:right="104"/>
              <w:jc w:val="center"/>
            </w:pPr>
            <w:r>
              <w:t>LT</w:t>
            </w:r>
          </w:p>
        </w:tc>
        <w:tc>
          <w:tcPr>
            <w:tcW w:w="1277" w:type="dxa"/>
          </w:tcPr>
          <w:p w:rsidR="007C5447" w:rsidRDefault="00F6308C">
            <w:pPr>
              <w:pStyle w:val="TableParagraph"/>
              <w:spacing w:before="15" w:line="250" w:lineRule="exact"/>
              <w:ind w:right="95"/>
            </w:pPr>
            <w:r>
              <w:t>51,723</w:t>
            </w:r>
          </w:p>
        </w:tc>
        <w:tc>
          <w:tcPr>
            <w:tcW w:w="2410" w:type="dxa"/>
          </w:tcPr>
          <w:p w:rsidR="007C5447" w:rsidRDefault="00F6308C">
            <w:pPr>
              <w:pStyle w:val="TableParagraph"/>
              <w:spacing w:before="15" w:line="250" w:lineRule="exact"/>
              <w:ind w:right="95"/>
            </w:pPr>
            <w:r>
              <w:t>5.65</w:t>
            </w:r>
          </w:p>
        </w:tc>
        <w:tc>
          <w:tcPr>
            <w:tcW w:w="1702" w:type="dxa"/>
          </w:tcPr>
          <w:p w:rsidR="007C5447" w:rsidRDefault="00F6308C">
            <w:pPr>
              <w:pStyle w:val="TableParagraph"/>
              <w:spacing w:before="15" w:line="250" w:lineRule="exact"/>
              <w:ind w:right="98"/>
            </w:pPr>
            <w:r>
              <w:t>0.74</w:t>
            </w:r>
          </w:p>
        </w:tc>
        <w:tc>
          <w:tcPr>
            <w:tcW w:w="1478" w:type="dxa"/>
          </w:tcPr>
          <w:p w:rsidR="007C5447" w:rsidRDefault="00F6308C">
            <w:pPr>
              <w:pStyle w:val="TableParagraph"/>
              <w:spacing w:before="15" w:line="250" w:lineRule="exact"/>
              <w:ind w:right="95"/>
            </w:pPr>
            <w:r>
              <w:t>6.39</w:t>
            </w:r>
          </w:p>
        </w:tc>
      </w:tr>
      <w:tr w:rsidR="007C5447">
        <w:trPr>
          <w:trHeight w:val="285"/>
        </w:trPr>
        <w:tc>
          <w:tcPr>
            <w:tcW w:w="1560" w:type="dxa"/>
          </w:tcPr>
          <w:p w:rsidR="007C5447" w:rsidRDefault="00F6308C">
            <w:pPr>
              <w:pStyle w:val="TableParagraph"/>
              <w:spacing w:before="16" w:line="250" w:lineRule="exact"/>
              <w:ind w:left="113" w:right="105"/>
              <w:jc w:val="center"/>
              <w:rPr>
                <w:b/>
              </w:rPr>
            </w:pPr>
            <w:r>
              <w:rPr>
                <w:b/>
              </w:rPr>
              <w:t>Total</w:t>
            </w:r>
          </w:p>
        </w:tc>
        <w:tc>
          <w:tcPr>
            <w:tcW w:w="1277" w:type="dxa"/>
          </w:tcPr>
          <w:p w:rsidR="007C5447" w:rsidRDefault="00F6308C">
            <w:pPr>
              <w:pStyle w:val="TableParagraph"/>
              <w:spacing w:before="16" w:line="250" w:lineRule="exact"/>
              <w:ind w:right="95"/>
              <w:rPr>
                <w:b/>
              </w:rPr>
            </w:pPr>
            <w:r>
              <w:rPr>
                <w:b/>
              </w:rPr>
              <w:t>67,863</w:t>
            </w:r>
          </w:p>
        </w:tc>
        <w:tc>
          <w:tcPr>
            <w:tcW w:w="2410" w:type="dxa"/>
          </w:tcPr>
          <w:p w:rsidR="007C5447" w:rsidRDefault="00F6308C">
            <w:pPr>
              <w:pStyle w:val="TableParagraph"/>
              <w:spacing w:before="16" w:line="250" w:lineRule="exact"/>
              <w:ind w:right="95"/>
              <w:rPr>
                <w:b/>
              </w:rPr>
            </w:pPr>
            <w:r>
              <w:rPr>
                <w:b/>
              </w:rPr>
              <w:t>5.49</w:t>
            </w:r>
          </w:p>
        </w:tc>
        <w:tc>
          <w:tcPr>
            <w:tcW w:w="1702" w:type="dxa"/>
          </w:tcPr>
          <w:p w:rsidR="007C5447" w:rsidRDefault="00F6308C">
            <w:pPr>
              <w:pStyle w:val="TableParagraph"/>
              <w:spacing w:before="16" w:line="250" w:lineRule="exact"/>
              <w:ind w:right="98"/>
              <w:rPr>
                <w:b/>
              </w:rPr>
            </w:pPr>
            <w:r>
              <w:rPr>
                <w:b/>
              </w:rPr>
              <w:t>0.74</w:t>
            </w:r>
          </w:p>
        </w:tc>
        <w:tc>
          <w:tcPr>
            <w:tcW w:w="1478" w:type="dxa"/>
          </w:tcPr>
          <w:p w:rsidR="007C5447" w:rsidRDefault="00F6308C">
            <w:pPr>
              <w:pStyle w:val="TableParagraph"/>
              <w:spacing w:before="16" w:line="250" w:lineRule="exact"/>
              <w:ind w:right="95"/>
              <w:rPr>
                <w:b/>
              </w:rPr>
            </w:pPr>
            <w:r>
              <w:rPr>
                <w:b/>
              </w:rPr>
              <w:t>6.23</w:t>
            </w:r>
          </w:p>
        </w:tc>
      </w:tr>
    </w:tbl>
    <w:p w:rsidR="007C5447" w:rsidRDefault="007C5447">
      <w:pPr>
        <w:pStyle w:val="BodyText"/>
        <w:spacing w:before="9"/>
        <w:rPr>
          <w:b/>
          <w:sz w:val="20"/>
        </w:rPr>
      </w:pPr>
    </w:p>
    <w:p w:rsidR="007C5447" w:rsidRDefault="00F6308C">
      <w:pPr>
        <w:ind w:left="980"/>
        <w:rPr>
          <w:b/>
          <w:sz w:val="24"/>
        </w:rPr>
      </w:pPr>
      <w:r>
        <w:rPr>
          <w:b/>
          <w:sz w:val="24"/>
        </w:rPr>
        <w:t>Table 5-19: Voltage-wise CoS for FY 2016-17 as determined by the</w:t>
      </w:r>
      <w:r>
        <w:rPr>
          <w:b/>
          <w:spacing w:val="-16"/>
          <w:sz w:val="24"/>
        </w:rPr>
        <w:t xml:space="preserve"> </w:t>
      </w:r>
      <w:r>
        <w:rPr>
          <w:b/>
          <w:sz w:val="24"/>
        </w:rPr>
        <w:t>Commission</w:t>
      </w:r>
    </w:p>
    <w:p w:rsidR="007C5447" w:rsidRDefault="007C5447">
      <w:pPr>
        <w:pStyle w:val="BodyText"/>
        <w:spacing w:before="9"/>
        <w:rPr>
          <w:b/>
          <w:sz w:val="17"/>
        </w:rPr>
      </w:pPr>
    </w:p>
    <w:tbl>
      <w:tblPr>
        <w:tblW w:w="0" w:type="auto"/>
        <w:tblInd w:w="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1277"/>
        <w:gridCol w:w="2410"/>
        <w:gridCol w:w="1702"/>
        <w:gridCol w:w="1478"/>
      </w:tblGrid>
      <w:tr w:rsidR="007C5447">
        <w:trPr>
          <w:trHeight w:val="794"/>
        </w:trPr>
        <w:tc>
          <w:tcPr>
            <w:tcW w:w="1560" w:type="dxa"/>
            <w:shd w:val="clear" w:color="auto" w:fill="F7C9AC"/>
          </w:tcPr>
          <w:p w:rsidR="007C5447" w:rsidRDefault="007C5447">
            <w:pPr>
              <w:pStyle w:val="TableParagraph"/>
              <w:spacing w:before="5"/>
              <w:jc w:val="left"/>
              <w:rPr>
                <w:b/>
                <w:sz w:val="23"/>
              </w:rPr>
            </w:pPr>
          </w:p>
          <w:p w:rsidR="007C5447" w:rsidRDefault="00F6308C">
            <w:pPr>
              <w:pStyle w:val="TableParagraph"/>
              <w:ind w:left="113" w:right="106"/>
              <w:jc w:val="center"/>
              <w:rPr>
                <w:b/>
              </w:rPr>
            </w:pPr>
            <w:r>
              <w:rPr>
                <w:b/>
              </w:rPr>
              <w:t>Voltage Level</w:t>
            </w:r>
          </w:p>
        </w:tc>
        <w:tc>
          <w:tcPr>
            <w:tcW w:w="1277" w:type="dxa"/>
            <w:shd w:val="clear" w:color="auto" w:fill="F7C9AC"/>
          </w:tcPr>
          <w:p w:rsidR="007C5447" w:rsidRDefault="007C5447">
            <w:pPr>
              <w:pStyle w:val="TableParagraph"/>
              <w:spacing w:before="5"/>
              <w:jc w:val="left"/>
              <w:rPr>
                <w:b/>
                <w:sz w:val="23"/>
              </w:rPr>
            </w:pPr>
          </w:p>
          <w:p w:rsidR="007C5447" w:rsidRDefault="00F6308C">
            <w:pPr>
              <w:pStyle w:val="TableParagraph"/>
              <w:ind w:left="398"/>
              <w:jc w:val="left"/>
              <w:rPr>
                <w:b/>
              </w:rPr>
            </w:pPr>
            <w:r>
              <w:rPr>
                <w:b/>
              </w:rPr>
              <w:t>Sales</w:t>
            </w:r>
          </w:p>
        </w:tc>
        <w:tc>
          <w:tcPr>
            <w:tcW w:w="2410" w:type="dxa"/>
            <w:shd w:val="clear" w:color="auto" w:fill="F7C9AC"/>
          </w:tcPr>
          <w:p w:rsidR="007C5447" w:rsidRDefault="00F6308C">
            <w:pPr>
              <w:pStyle w:val="TableParagraph"/>
              <w:spacing w:before="142"/>
              <w:ind w:left="487" w:right="114" w:hanging="348"/>
              <w:jc w:val="left"/>
              <w:rPr>
                <w:b/>
              </w:rPr>
            </w:pPr>
            <w:r>
              <w:rPr>
                <w:b/>
              </w:rPr>
              <w:t>Generation and Power Purchase Costs</w:t>
            </w:r>
          </w:p>
        </w:tc>
        <w:tc>
          <w:tcPr>
            <w:tcW w:w="1702" w:type="dxa"/>
            <w:shd w:val="clear" w:color="auto" w:fill="F7C9AC"/>
          </w:tcPr>
          <w:p w:rsidR="007C5447" w:rsidRDefault="007C5447">
            <w:pPr>
              <w:pStyle w:val="TableParagraph"/>
              <w:spacing w:before="5"/>
              <w:jc w:val="left"/>
              <w:rPr>
                <w:b/>
                <w:sz w:val="23"/>
              </w:rPr>
            </w:pPr>
          </w:p>
          <w:p w:rsidR="007C5447" w:rsidRDefault="00F6308C">
            <w:pPr>
              <w:pStyle w:val="TableParagraph"/>
              <w:ind w:right="145"/>
              <w:rPr>
                <w:b/>
              </w:rPr>
            </w:pPr>
            <w:r>
              <w:rPr>
                <w:b/>
              </w:rPr>
              <w:t>Network Costs</w:t>
            </w:r>
          </w:p>
        </w:tc>
        <w:tc>
          <w:tcPr>
            <w:tcW w:w="1478" w:type="dxa"/>
            <w:shd w:val="clear" w:color="auto" w:fill="F7C9AC"/>
          </w:tcPr>
          <w:p w:rsidR="007C5447" w:rsidRDefault="007C5447">
            <w:pPr>
              <w:pStyle w:val="TableParagraph"/>
              <w:spacing w:before="5"/>
              <w:jc w:val="left"/>
              <w:rPr>
                <w:b/>
                <w:sz w:val="23"/>
              </w:rPr>
            </w:pPr>
          </w:p>
          <w:p w:rsidR="007C5447" w:rsidRDefault="00F6308C">
            <w:pPr>
              <w:pStyle w:val="TableParagraph"/>
              <w:ind w:left="204"/>
              <w:jc w:val="left"/>
              <w:rPr>
                <w:b/>
              </w:rPr>
            </w:pPr>
            <w:r>
              <w:rPr>
                <w:b/>
              </w:rPr>
              <w:t>Total Costs</w:t>
            </w:r>
          </w:p>
        </w:tc>
      </w:tr>
      <w:tr w:rsidR="007C5447">
        <w:trPr>
          <w:trHeight w:val="285"/>
        </w:trPr>
        <w:tc>
          <w:tcPr>
            <w:tcW w:w="1560" w:type="dxa"/>
            <w:shd w:val="clear" w:color="auto" w:fill="F7C9AC"/>
          </w:tcPr>
          <w:p w:rsidR="007C5447" w:rsidRDefault="00F6308C">
            <w:pPr>
              <w:pStyle w:val="TableParagraph"/>
              <w:spacing w:before="15" w:line="250" w:lineRule="exact"/>
              <w:ind w:left="113" w:right="106"/>
              <w:jc w:val="center"/>
              <w:rPr>
                <w:b/>
              </w:rPr>
            </w:pPr>
            <w:r>
              <w:rPr>
                <w:b/>
              </w:rPr>
              <w:t>kV</w:t>
            </w:r>
          </w:p>
        </w:tc>
        <w:tc>
          <w:tcPr>
            <w:tcW w:w="1277" w:type="dxa"/>
            <w:shd w:val="clear" w:color="auto" w:fill="F7C9AC"/>
          </w:tcPr>
          <w:p w:rsidR="007C5447" w:rsidRDefault="00F6308C">
            <w:pPr>
              <w:pStyle w:val="TableParagraph"/>
              <w:spacing w:before="15" w:line="250" w:lineRule="exact"/>
              <w:ind w:left="130" w:right="121"/>
              <w:jc w:val="center"/>
              <w:rPr>
                <w:b/>
              </w:rPr>
            </w:pPr>
            <w:r>
              <w:rPr>
                <w:b/>
              </w:rPr>
              <w:t>MU</w:t>
            </w:r>
          </w:p>
        </w:tc>
        <w:tc>
          <w:tcPr>
            <w:tcW w:w="2410" w:type="dxa"/>
            <w:shd w:val="clear" w:color="auto" w:fill="F7C9AC"/>
          </w:tcPr>
          <w:p w:rsidR="007C5447" w:rsidRDefault="00F6308C">
            <w:pPr>
              <w:pStyle w:val="TableParagraph"/>
              <w:spacing w:before="15" w:line="250" w:lineRule="exact"/>
              <w:ind w:left="792"/>
              <w:jc w:val="left"/>
              <w:rPr>
                <w:b/>
              </w:rPr>
            </w:pPr>
            <w:r>
              <w:rPr>
                <w:b/>
              </w:rPr>
              <w:t>Rs./kWh</w:t>
            </w:r>
          </w:p>
        </w:tc>
        <w:tc>
          <w:tcPr>
            <w:tcW w:w="1702" w:type="dxa"/>
            <w:shd w:val="clear" w:color="auto" w:fill="F7C9AC"/>
          </w:tcPr>
          <w:p w:rsidR="007C5447" w:rsidRDefault="00F6308C">
            <w:pPr>
              <w:pStyle w:val="TableParagraph"/>
              <w:spacing w:before="15" w:line="250" w:lineRule="exact"/>
              <w:ind w:left="437"/>
              <w:jc w:val="left"/>
              <w:rPr>
                <w:b/>
              </w:rPr>
            </w:pPr>
            <w:r>
              <w:rPr>
                <w:b/>
              </w:rPr>
              <w:t>Rs./kWh</w:t>
            </w:r>
          </w:p>
        </w:tc>
        <w:tc>
          <w:tcPr>
            <w:tcW w:w="1478" w:type="dxa"/>
            <w:shd w:val="clear" w:color="auto" w:fill="F7C9AC"/>
          </w:tcPr>
          <w:p w:rsidR="007C5447" w:rsidRDefault="00F6308C">
            <w:pPr>
              <w:pStyle w:val="TableParagraph"/>
              <w:spacing w:before="15" w:line="250" w:lineRule="exact"/>
              <w:ind w:left="326"/>
              <w:jc w:val="left"/>
              <w:rPr>
                <w:b/>
              </w:rPr>
            </w:pPr>
            <w:r>
              <w:rPr>
                <w:b/>
              </w:rPr>
              <w:t>Rs./kWh</w:t>
            </w:r>
          </w:p>
        </w:tc>
      </w:tr>
      <w:tr w:rsidR="007C5447">
        <w:trPr>
          <w:trHeight w:val="285"/>
        </w:trPr>
        <w:tc>
          <w:tcPr>
            <w:tcW w:w="1560" w:type="dxa"/>
          </w:tcPr>
          <w:p w:rsidR="007C5447" w:rsidRDefault="00F6308C">
            <w:pPr>
              <w:pStyle w:val="TableParagraph"/>
              <w:spacing w:before="15" w:line="250" w:lineRule="exact"/>
              <w:ind w:left="113" w:right="104"/>
              <w:jc w:val="center"/>
            </w:pPr>
            <w:r>
              <w:t>400</w:t>
            </w:r>
          </w:p>
        </w:tc>
        <w:tc>
          <w:tcPr>
            <w:tcW w:w="1277" w:type="dxa"/>
          </w:tcPr>
          <w:p w:rsidR="007C5447" w:rsidRDefault="00F6308C">
            <w:pPr>
              <w:pStyle w:val="TableParagraph"/>
              <w:spacing w:before="15" w:line="250" w:lineRule="exact"/>
              <w:ind w:right="91"/>
            </w:pPr>
            <w:r>
              <w:t>-</w:t>
            </w:r>
          </w:p>
        </w:tc>
        <w:tc>
          <w:tcPr>
            <w:tcW w:w="2410" w:type="dxa"/>
          </w:tcPr>
          <w:p w:rsidR="007C5447" w:rsidRDefault="00F6308C">
            <w:pPr>
              <w:pStyle w:val="TableParagraph"/>
              <w:spacing w:before="15" w:line="250" w:lineRule="exact"/>
              <w:ind w:right="91"/>
            </w:pPr>
            <w:r>
              <w:t>-</w:t>
            </w:r>
          </w:p>
        </w:tc>
        <w:tc>
          <w:tcPr>
            <w:tcW w:w="1702" w:type="dxa"/>
          </w:tcPr>
          <w:p w:rsidR="007C5447" w:rsidRDefault="00F6308C">
            <w:pPr>
              <w:pStyle w:val="TableParagraph"/>
              <w:spacing w:before="15" w:line="250" w:lineRule="exact"/>
              <w:ind w:right="94"/>
            </w:pPr>
            <w:r>
              <w:t>-</w:t>
            </w:r>
          </w:p>
        </w:tc>
        <w:tc>
          <w:tcPr>
            <w:tcW w:w="1478" w:type="dxa"/>
          </w:tcPr>
          <w:p w:rsidR="007C5447" w:rsidRDefault="00F6308C">
            <w:pPr>
              <w:pStyle w:val="TableParagraph"/>
              <w:spacing w:before="15" w:line="250" w:lineRule="exact"/>
              <w:ind w:right="91"/>
            </w:pPr>
            <w:r>
              <w:t>-</w:t>
            </w:r>
          </w:p>
        </w:tc>
      </w:tr>
      <w:tr w:rsidR="007C5447">
        <w:trPr>
          <w:trHeight w:val="285"/>
        </w:trPr>
        <w:tc>
          <w:tcPr>
            <w:tcW w:w="1560" w:type="dxa"/>
          </w:tcPr>
          <w:p w:rsidR="007C5447" w:rsidRDefault="00F6308C">
            <w:pPr>
              <w:pStyle w:val="TableParagraph"/>
              <w:spacing w:before="15" w:line="250" w:lineRule="exact"/>
              <w:ind w:left="113" w:right="104"/>
              <w:jc w:val="center"/>
            </w:pPr>
            <w:r>
              <w:t>230</w:t>
            </w:r>
          </w:p>
        </w:tc>
        <w:tc>
          <w:tcPr>
            <w:tcW w:w="1277" w:type="dxa"/>
          </w:tcPr>
          <w:p w:rsidR="007C5447" w:rsidRDefault="00F6308C">
            <w:pPr>
              <w:pStyle w:val="TableParagraph"/>
              <w:spacing w:before="15" w:line="250" w:lineRule="exact"/>
              <w:ind w:right="95"/>
            </w:pPr>
            <w:r>
              <w:t>786</w:t>
            </w:r>
          </w:p>
        </w:tc>
        <w:tc>
          <w:tcPr>
            <w:tcW w:w="2410" w:type="dxa"/>
          </w:tcPr>
          <w:p w:rsidR="007C5447" w:rsidRDefault="00F6308C">
            <w:pPr>
              <w:pStyle w:val="TableParagraph"/>
              <w:spacing w:before="15" w:line="250" w:lineRule="exact"/>
              <w:ind w:right="95"/>
            </w:pPr>
            <w:r>
              <w:t>4.76</w:t>
            </w:r>
          </w:p>
        </w:tc>
        <w:tc>
          <w:tcPr>
            <w:tcW w:w="1702" w:type="dxa"/>
          </w:tcPr>
          <w:p w:rsidR="007C5447" w:rsidRDefault="00F6308C">
            <w:pPr>
              <w:pStyle w:val="TableParagraph"/>
              <w:spacing w:before="15" w:line="250" w:lineRule="exact"/>
              <w:ind w:right="98"/>
            </w:pPr>
            <w:r>
              <w:t>0.94</w:t>
            </w:r>
          </w:p>
        </w:tc>
        <w:tc>
          <w:tcPr>
            <w:tcW w:w="1478" w:type="dxa"/>
          </w:tcPr>
          <w:p w:rsidR="007C5447" w:rsidRDefault="00F6308C">
            <w:pPr>
              <w:pStyle w:val="TableParagraph"/>
              <w:spacing w:before="15" w:line="250" w:lineRule="exact"/>
              <w:ind w:right="95"/>
            </w:pPr>
            <w:r>
              <w:t>5.70</w:t>
            </w:r>
          </w:p>
        </w:tc>
      </w:tr>
      <w:tr w:rsidR="007C5447">
        <w:trPr>
          <w:trHeight w:val="285"/>
        </w:trPr>
        <w:tc>
          <w:tcPr>
            <w:tcW w:w="1560" w:type="dxa"/>
          </w:tcPr>
          <w:p w:rsidR="007C5447" w:rsidRDefault="00F6308C">
            <w:pPr>
              <w:pStyle w:val="TableParagraph"/>
              <w:spacing w:before="15" w:line="250" w:lineRule="exact"/>
              <w:ind w:left="113" w:right="104"/>
              <w:jc w:val="center"/>
            </w:pPr>
            <w:r>
              <w:t>110</w:t>
            </w:r>
          </w:p>
        </w:tc>
        <w:tc>
          <w:tcPr>
            <w:tcW w:w="1277" w:type="dxa"/>
          </w:tcPr>
          <w:p w:rsidR="007C5447" w:rsidRDefault="00F6308C">
            <w:pPr>
              <w:pStyle w:val="TableParagraph"/>
              <w:spacing w:before="15" w:line="250" w:lineRule="exact"/>
              <w:ind w:right="95"/>
            </w:pPr>
            <w:r>
              <w:t>3,271</w:t>
            </w:r>
          </w:p>
        </w:tc>
        <w:tc>
          <w:tcPr>
            <w:tcW w:w="2410" w:type="dxa"/>
          </w:tcPr>
          <w:p w:rsidR="007C5447" w:rsidRDefault="00F6308C">
            <w:pPr>
              <w:pStyle w:val="TableParagraph"/>
              <w:spacing w:before="15" w:line="250" w:lineRule="exact"/>
              <w:ind w:right="95"/>
            </w:pPr>
            <w:r>
              <w:t>4.92</w:t>
            </w:r>
          </w:p>
        </w:tc>
        <w:tc>
          <w:tcPr>
            <w:tcW w:w="1702" w:type="dxa"/>
          </w:tcPr>
          <w:p w:rsidR="007C5447" w:rsidRDefault="00F6308C">
            <w:pPr>
              <w:pStyle w:val="TableParagraph"/>
              <w:spacing w:before="15" w:line="250" w:lineRule="exact"/>
              <w:ind w:right="98"/>
            </w:pPr>
            <w:r>
              <w:t>0.94</w:t>
            </w:r>
          </w:p>
        </w:tc>
        <w:tc>
          <w:tcPr>
            <w:tcW w:w="1478" w:type="dxa"/>
          </w:tcPr>
          <w:p w:rsidR="007C5447" w:rsidRDefault="00F6308C">
            <w:pPr>
              <w:pStyle w:val="TableParagraph"/>
              <w:spacing w:before="15" w:line="250" w:lineRule="exact"/>
              <w:ind w:right="95"/>
            </w:pPr>
            <w:r>
              <w:t>5.86</w:t>
            </w:r>
          </w:p>
        </w:tc>
      </w:tr>
      <w:tr w:rsidR="007C5447">
        <w:trPr>
          <w:trHeight w:val="285"/>
        </w:trPr>
        <w:tc>
          <w:tcPr>
            <w:tcW w:w="1560" w:type="dxa"/>
          </w:tcPr>
          <w:p w:rsidR="007C5447" w:rsidRDefault="00F6308C">
            <w:pPr>
              <w:pStyle w:val="TableParagraph"/>
              <w:spacing w:before="15" w:line="250" w:lineRule="exact"/>
              <w:ind w:left="113" w:right="104"/>
              <w:jc w:val="center"/>
            </w:pPr>
            <w:r>
              <w:t>33</w:t>
            </w:r>
          </w:p>
        </w:tc>
        <w:tc>
          <w:tcPr>
            <w:tcW w:w="1277" w:type="dxa"/>
          </w:tcPr>
          <w:p w:rsidR="007C5447" w:rsidRDefault="00F6308C">
            <w:pPr>
              <w:pStyle w:val="TableParagraph"/>
              <w:spacing w:before="15" w:line="250" w:lineRule="exact"/>
              <w:ind w:right="95"/>
            </w:pPr>
            <w:r>
              <w:t>2,149</w:t>
            </w:r>
          </w:p>
        </w:tc>
        <w:tc>
          <w:tcPr>
            <w:tcW w:w="2410" w:type="dxa"/>
          </w:tcPr>
          <w:p w:rsidR="007C5447" w:rsidRDefault="00F6308C">
            <w:pPr>
              <w:pStyle w:val="TableParagraph"/>
              <w:spacing w:before="15" w:line="250" w:lineRule="exact"/>
              <w:ind w:right="95"/>
            </w:pPr>
            <w:r>
              <w:t>4.99</w:t>
            </w:r>
          </w:p>
        </w:tc>
        <w:tc>
          <w:tcPr>
            <w:tcW w:w="1702" w:type="dxa"/>
          </w:tcPr>
          <w:p w:rsidR="007C5447" w:rsidRDefault="00F6308C">
            <w:pPr>
              <w:pStyle w:val="TableParagraph"/>
              <w:spacing w:before="15" w:line="250" w:lineRule="exact"/>
              <w:ind w:right="98"/>
            </w:pPr>
            <w:r>
              <w:t>0.94</w:t>
            </w:r>
          </w:p>
        </w:tc>
        <w:tc>
          <w:tcPr>
            <w:tcW w:w="1478" w:type="dxa"/>
          </w:tcPr>
          <w:p w:rsidR="007C5447" w:rsidRDefault="00F6308C">
            <w:pPr>
              <w:pStyle w:val="TableParagraph"/>
              <w:spacing w:before="15" w:line="250" w:lineRule="exact"/>
              <w:ind w:right="95"/>
            </w:pPr>
            <w:r>
              <w:t>5.93</w:t>
            </w:r>
          </w:p>
        </w:tc>
      </w:tr>
      <w:tr w:rsidR="007C5447">
        <w:trPr>
          <w:trHeight w:val="285"/>
        </w:trPr>
        <w:tc>
          <w:tcPr>
            <w:tcW w:w="1560" w:type="dxa"/>
          </w:tcPr>
          <w:p w:rsidR="007C5447" w:rsidRDefault="00F6308C">
            <w:pPr>
              <w:pStyle w:val="TableParagraph"/>
              <w:spacing w:before="15" w:line="250" w:lineRule="exact"/>
              <w:ind w:left="113" w:right="104"/>
              <w:jc w:val="center"/>
            </w:pPr>
            <w:r>
              <w:t>22</w:t>
            </w:r>
          </w:p>
        </w:tc>
        <w:tc>
          <w:tcPr>
            <w:tcW w:w="1277" w:type="dxa"/>
          </w:tcPr>
          <w:p w:rsidR="007C5447" w:rsidRDefault="00F6308C">
            <w:pPr>
              <w:pStyle w:val="TableParagraph"/>
              <w:spacing w:before="15" w:line="250" w:lineRule="exact"/>
              <w:ind w:right="95"/>
            </w:pPr>
            <w:r>
              <w:t>2,855</w:t>
            </w:r>
          </w:p>
        </w:tc>
        <w:tc>
          <w:tcPr>
            <w:tcW w:w="2410" w:type="dxa"/>
          </w:tcPr>
          <w:p w:rsidR="007C5447" w:rsidRDefault="00F6308C">
            <w:pPr>
              <w:pStyle w:val="TableParagraph"/>
              <w:spacing w:before="15" w:line="250" w:lineRule="exact"/>
              <w:ind w:right="95"/>
            </w:pPr>
            <w:r>
              <w:t>5.12</w:t>
            </w:r>
          </w:p>
        </w:tc>
        <w:tc>
          <w:tcPr>
            <w:tcW w:w="1702" w:type="dxa"/>
          </w:tcPr>
          <w:p w:rsidR="007C5447" w:rsidRDefault="00F6308C">
            <w:pPr>
              <w:pStyle w:val="TableParagraph"/>
              <w:spacing w:before="15" w:line="250" w:lineRule="exact"/>
              <w:ind w:right="98"/>
            </w:pPr>
            <w:r>
              <w:t>0.94</w:t>
            </w:r>
          </w:p>
        </w:tc>
        <w:tc>
          <w:tcPr>
            <w:tcW w:w="1478" w:type="dxa"/>
          </w:tcPr>
          <w:p w:rsidR="007C5447" w:rsidRDefault="00F6308C">
            <w:pPr>
              <w:pStyle w:val="TableParagraph"/>
              <w:spacing w:before="15" w:line="250" w:lineRule="exact"/>
              <w:ind w:right="95"/>
            </w:pPr>
            <w:r>
              <w:t>6.06</w:t>
            </w:r>
          </w:p>
        </w:tc>
      </w:tr>
      <w:tr w:rsidR="007C5447">
        <w:trPr>
          <w:trHeight w:val="285"/>
        </w:trPr>
        <w:tc>
          <w:tcPr>
            <w:tcW w:w="1560" w:type="dxa"/>
          </w:tcPr>
          <w:p w:rsidR="007C5447" w:rsidRDefault="00F6308C">
            <w:pPr>
              <w:pStyle w:val="TableParagraph"/>
              <w:spacing w:before="15" w:line="250" w:lineRule="exact"/>
              <w:ind w:left="113" w:right="104"/>
              <w:jc w:val="center"/>
            </w:pPr>
            <w:r>
              <w:t>11</w:t>
            </w:r>
          </w:p>
        </w:tc>
        <w:tc>
          <w:tcPr>
            <w:tcW w:w="1277" w:type="dxa"/>
          </w:tcPr>
          <w:p w:rsidR="007C5447" w:rsidRDefault="00F6308C">
            <w:pPr>
              <w:pStyle w:val="TableParagraph"/>
              <w:spacing w:before="15" w:line="250" w:lineRule="exact"/>
              <w:ind w:right="95"/>
            </w:pPr>
            <w:r>
              <w:t>8,747</w:t>
            </w:r>
          </w:p>
        </w:tc>
        <w:tc>
          <w:tcPr>
            <w:tcW w:w="2410" w:type="dxa"/>
          </w:tcPr>
          <w:p w:rsidR="007C5447" w:rsidRDefault="00F6308C">
            <w:pPr>
              <w:pStyle w:val="TableParagraph"/>
              <w:spacing w:before="15" w:line="250" w:lineRule="exact"/>
              <w:ind w:right="95"/>
            </w:pPr>
            <w:r>
              <w:t>5.25</w:t>
            </w:r>
          </w:p>
        </w:tc>
        <w:tc>
          <w:tcPr>
            <w:tcW w:w="1702" w:type="dxa"/>
          </w:tcPr>
          <w:p w:rsidR="007C5447" w:rsidRDefault="00F6308C">
            <w:pPr>
              <w:pStyle w:val="TableParagraph"/>
              <w:spacing w:before="15" w:line="250" w:lineRule="exact"/>
              <w:ind w:right="98"/>
            </w:pPr>
            <w:r>
              <w:t>0.94</w:t>
            </w:r>
          </w:p>
        </w:tc>
        <w:tc>
          <w:tcPr>
            <w:tcW w:w="1478" w:type="dxa"/>
          </w:tcPr>
          <w:p w:rsidR="007C5447" w:rsidRDefault="00F6308C">
            <w:pPr>
              <w:pStyle w:val="TableParagraph"/>
              <w:spacing w:before="15" w:line="250" w:lineRule="exact"/>
              <w:ind w:right="95"/>
            </w:pPr>
            <w:r>
              <w:t>6.19</w:t>
            </w:r>
          </w:p>
        </w:tc>
      </w:tr>
      <w:tr w:rsidR="007C5447">
        <w:trPr>
          <w:trHeight w:val="285"/>
        </w:trPr>
        <w:tc>
          <w:tcPr>
            <w:tcW w:w="1560" w:type="dxa"/>
          </w:tcPr>
          <w:p w:rsidR="007C5447" w:rsidRDefault="00F6308C">
            <w:pPr>
              <w:pStyle w:val="TableParagraph"/>
              <w:spacing w:before="15" w:line="250" w:lineRule="exact"/>
              <w:ind w:left="113" w:right="104"/>
              <w:jc w:val="center"/>
            </w:pPr>
            <w:r>
              <w:t>LT</w:t>
            </w:r>
          </w:p>
        </w:tc>
        <w:tc>
          <w:tcPr>
            <w:tcW w:w="1277" w:type="dxa"/>
          </w:tcPr>
          <w:p w:rsidR="007C5447" w:rsidRDefault="00F6308C">
            <w:pPr>
              <w:pStyle w:val="TableParagraph"/>
              <w:spacing w:before="13" w:line="252" w:lineRule="exact"/>
              <w:ind w:right="95"/>
            </w:pPr>
            <w:r>
              <w:t>56,000</w:t>
            </w:r>
          </w:p>
        </w:tc>
        <w:tc>
          <w:tcPr>
            <w:tcW w:w="2410" w:type="dxa"/>
          </w:tcPr>
          <w:p w:rsidR="007C5447" w:rsidRDefault="00F6308C">
            <w:pPr>
              <w:pStyle w:val="TableParagraph"/>
              <w:spacing w:before="13" w:line="252" w:lineRule="exact"/>
              <w:ind w:right="95"/>
            </w:pPr>
            <w:r>
              <w:t>5.78</w:t>
            </w:r>
          </w:p>
        </w:tc>
        <w:tc>
          <w:tcPr>
            <w:tcW w:w="1702" w:type="dxa"/>
          </w:tcPr>
          <w:p w:rsidR="007C5447" w:rsidRDefault="00F6308C">
            <w:pPr>
              <w:pStyle w:val="TableParagraph"/>
              <w:spacing w:before="13" w:line="252" w:lineRule="exact"/>
              <w:ind w:right="98"/>
            </w:pPr>
            <w:r>
              <w:t>0.94</w:t>
            </w:r>
          </w:p>
        </w:tc>
        <w:tc>
          <w:tcPr>
            <w:tcW w:w="1478" w:type="dxa"/>
          </w:tcPr>
          <w:p w:rsidR="007C5447" w:rsidRDefault="00F6308C">
            <w:pPr>
              <w:pStyle w:val="TableParagraph"/>
              <w:spacing w:before="13" w:line="252" w:lineRule="exact"/>
              <w:ind w:right="95"/>
            </w:pPr>
            <w:r>
              <w:t>6.72</w:t>
            </w:r>
          </w:p>
        </w:tc>
      </w:tr>
      <w:tr w:rsidR="007C5447">
        <w:trPr>
          <w:trHeight w:val="285"/>
        </w:trPr>
        <w:tc>
          <w:tcPr>
            <w:tcW w:w="1560" w:type="dxa"/>
          </w:tcPr>
          <w:p w:rsidR="007C5447" w:rsidRDefault="00F6308C">
            <w:pPr>
              <w:pStyle w:val="TableParagraph"/>
              <w:spacing w:before="15" w:line="250" w:lineRule="exact"/>
              <w:ind w:left="113" w:right="105"/>
              <w:jc w:val="center"/>
              <w:rPr>
                <w:b/>
              </w:rPr>
            </w:pPr>
            <w:r>
              <w:rPr>
                <w:b/>
              </w:rPr>
              <w:t>Total</w:t>
            </w:r>
          </w:p>
        </w:tc>
        <w:tc>
          <w:tcPr>
            <w:tcW w:w="1277" w:type="dxa"/>
          </w:tcPr>
          <w:p w:rsidR="007C5447" w:rsidRDefault="00F6308C">
            <w:pPr>
              <w:pStyle w:val="TableParagraph"/>
              <w:spacing w:before="13" w:line="252" w:lineRule="exact"/>
              <w:ind w:right="95"/>
              <w:rPr>
                <w:b/>
              </w:rPr>
            </w:pPr>
            <w:r>
              <w:rPr>
                <w:b/>
              </w:rPr>
              <w:t>73,809</w:t>
            </w:r>
          </w:p>
        </w:tc>
        <w:tc>
          <w:tcPr>
            <w:tcW w:w="2410" w:type="dxa"/>
          </w:tcPr>
          <w:p w:rsidR="007C5447" w:rsidRDefault="00F6308C">
            <w:pPr>
              <w:pStyle w:val="TableParagraph"/>
              <w:spacing w:before="13" w:line="252" w:lineRule="exact"/>
              <w:ind w:right="95"/>
              <w:rPr>
                <w:b/>
              </w:rPr>
            </w:pPr>
            <w:r>
              <w:rPr>
                <w:b/>
              </w:rPr>
              <w:t>5.15</w:t>
            </w:r>
          </w:p>
        </w:tc>
        <w:tc>
          <w:tcPr>
            <w:tcW w:w="1702" w:type="dxa"/>
          </w:tcPr>
          <w:p w:rsidR="007C5447" w:rsidRDefault="00F6308C">
            <w:pPr>
              <w:pStyle w:val="TableParagraph"/>
              <w:spacing w:before="13" w:line="252" w:lineRule="exact"/>
              <w:ind w:right="98"/>
              <w:rPr>
                <w:b/>
              </w:rPr>
            </w:pPr>
            <w:r>
              <w:rPr>
                <w:b/>
              </w:rPr>
              <w:t>0.94</w:t>
            </w:r>
          </w:p>
        </w:tc>
        <w:tc>
          <w:tcPr>
            <w:tcW w:w="1478" w:type="dxa"/>
          </w:tcPr>
          <w:p w:rsidR="007C5447" w:rsidRDefault="00F6308C">
            <w:pPr>
              <w:pStyle w:val="TableParagraph"/>
              <w:spacing w:before="13" w:line="252" w:lineRule="exact"/>
              <w:ind w:right="95"/>
              <w:rPr>
                <w:b/>
              </w:rPr>
            </w:pPr>
            <w:r>
              <w:rPr>
                <w:b/>
              </w:rPr>
              <w:t>6.09</w:t>
            </w:r>
          </w:p>
        </w:tc>
      </w:tr>
    </w:tbl>
    <w:p w:rsidR="007C5447" w:rsidRDefault="007C5447">
      <w:pPr>
        <w:pStyle w:val="BodyText"/>
        <w:spacing w:before="9"/>
        <w:rPr>
          <w:b/>
          <w:sz w:val="20"/>
        </w:rPr>
      </w:pPr>
    </w:p>
    <w:p w:rsidR="007C5447" w:rsidRDefault="00F6308C">
      <w:pPr>
        <w:ind w:left="980"/>
        <w:rPr>
          <w:b/>
          <w:sz w:val="24"/>
        </w:rPr>
      </w:pPr>
      <w:r>
        <w:rPr>
          <w:b/>
          <w:sz w:val="24"/>
        </w:rPr>
        <w:t>Table 5-20: Voltage-wise CoS for FY 2017-18 as determined by the</w:t>
      </w:r>
      <w:r>
        <w:rPr>
          <w:b/>
          <w:spacing w:val="-16"/>
          <w:sz w:val="24"/>
        </w:rPr>
        <w:t xml:space="preserve"> </w:t>
      </w:r>
      <w:r>
        <w:rPr>
          <w:b/>
          <w:sz w:val="24"/>
        </w:rPr>
        <w:t>Commission</w:t>
      </w:r>
    </w:p>
    <w:p w:rsidR="007C5447" w:rsidRDefault="007C5447">
      <w:pPr>
        <w:pStyle w:val="BodyText"/>
        <w:spacing w:before="7"/>
        <w:rPr>
          <w:b/>
          <w:sz w:val="17"/>
        </w:rPr>
      </w:pPr>
    </w:p>
    <w:tbl>
      <w:tblPr>
        <w:tblW w:w="0" w:type="auto"/>
        <w:tblInd w:w="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1277"/>
        <w:gridCol w:w="2410"/>
        <w:gridCol w:w="1702"/>
        <w:gridCol w:w="1478"/>
      </w:tblGrid>
      <w:tr w:rsidR="007C5447">
        <w:trPr>
          <w:trHeight w:val="796"/>
        </w:trPr>
        <w:tc>
          <w:tcPr>
            <w:tcW w:w="1560" w:type="dxa"/>
            <w:shd w:val="clear" w:color="auto" w:fill="F7C9AC"/>
          </w:tcPr>
          <w:p w:rsidR="007C5447" w:rsidRDefault="007C5447">
            <w:pPr>
              <w:pStyle w:val="TableParagraph"/>
              <w:spacing w:before="5"/>
              <w:jc w:val="left"/>
              <w:rPr>
                <w:b/>
                <w:sz w:val="23"/>
              </w:rPr>
            </w:pPr>
          </w:p>
          <w:p w:rsidR="007C5447" w:rsidRDefault="00F6308C">
            <w:pPr>
              <w:pStyle w:val="TableParagraph"/>
              <w:ind w:left="113" w:right="106"/>
              <w:jc w:val="center"/>
              <w:rPr>
                <w:b/>
              </w:rPr>
            </w:pPr>
            <w:r>
              <w:rPr>
                <w:b/>
              </w:rPr>
              <w:t>Voltage Level</w:t>
            </w:r>
          </w:p>
        </w:tc>
        <w:tc>
          <w:tcPr>
            <w:tcW w:w="1277" w:type="dxa"/>
            <w:shd w:val="clear" w:color="auto" w:fill="F7C9AC"/>
          </w:tcPr>
          <w:p w:rsidR="007C5447" w:rsidRDefault="007C5447">
            <w:pPr>
              <w:pStyle w:val="TableParagraph"/>
              <w:spacing w:before="5"/>
              <w:jc w:val="left"/>
              <w:rPr>
                <w:b/>
                <w:sz w:val="23"/>
              </w:rPr>
            </w:pPr>
          </w:p>
          <w:p w:rsidR="007C5447" w:rsidRDefault="00F6308C">
            <w:pPr>
              <w:pStyle w:val="TableParagraph"/>
              <w:ind w:left="398"/>
              <w:jc w:val="left"/>
              <w:rPr>
                <w:b/>
              </w:rPr>
            </w:pPr>
            <w:r>
              <w:rPr>
                <w:b/>
              </w:rPr>
              <w:t>Sales</w:t>
            </w:r>
          </w:p>
        </w:tc>
        <w:tc>
          <w:tcPr>
            <w:tcW w:w="2410" w:type="dxa"/>
            <w:shd w:val="clear" w:color="auto" w:fill="F7C9AC"/>
          </w:tcPr>
          <w:p w:rsidR="007C5447" w:rsidRDefault="00F6308C">
            <w:pPr>
              <w:pStyle w:val="TableParagraph"/>
              <w:spacing w:before="145"/>
              <w:ind w:left="487" w:right="114" w:hanging="348"/>
              <w:jc w:val="left"/>
              <w:rPr>
                <w:b/>
              </w:rPr>
            </w:pPr>
            <w:r>
              <w:rPr>
                <w:b/>
              </w:rPr>
              <w:t>Generation and Power Purchase Costs</w:t>
            </w:r>
          </w:p>
        </w:tc>
        <w:tc>
          <w:tcPr>
            <w:tcW w:w="1702" w:type="dxa"/>
            <w:shd w:val="clear" w:color="auto" w:fill="F7C9AC"/>
          </w:tcPr>
          <w:p w:rsidR="007C5447" w:rsidRDefault="007C5447">
            <w:pPr>
              <w:pStyle w:val="TableParagraph"/>
              <w:spacing w:before="5"/>
              <w:jc w:val="left"/>
              <w:rPr>
                <w:b/>
                <w:sz w:val="23"/>
              </w:rPr>
            </w:pPr>
          </w:p>
          <w:p w:rsidR="007C5447" w:rsidRDefault="00F6308C">
            <w:pPr>
              <w:pStyle w:val="TableParagraph"/>
              <w:ind w:right="145"/>
              <w:rPr>
                <w:b/>
              </w:rPr>
            </w:pPr>
            <w:r>
              <w:rPr>
                <w:b/>
              </w:rPr>
              <w:t>Network Costs</w:t>
            </w:r>
          </w:p>
        </w:tc>
        <w:tc>
          <w:tcPr>
            <w:tcW w:w="1478" w:type="dxa"/>
            <w:shd w:val="clear" w:color="auto" w:fill="F7C9AC"/>
          </w:tcPr>
          <w:p w:rsidR="007C5447" w:rsidRDefault="007C5447">
            <w:pPr>
              <w:pStyle w:val="TableParagraph"/>
              <w:spacing w:before="5"/>
              <w:jc w:val="left"/>
              <w:rPr>
                <w:b/>
                <w:sz w:val="23"/>
              </w:rPr>
            </w:pPr>
          </w:p>
          <w:p w:rsidR="007C5447" w:rsidRDefault="00F6308C">
            <w:pPr>
              <w:pStyle w:val="TableParagraph"/>
              <w:ind w:left="204"/>
              <w:jc w:val="left"/>
              <w:rPr>
                <w:b/>
              </w:rPr>
            </w:pPr>
            <w:r>
              <w:rPr>
                <w:b/>
              </w:rPr>
              <w:t>Total Costs</w:t>
            </w:r>
          </w:p>
        </w:tc>
      </w:tr>
      <w:tr w:rsidR="007C5447">
        <w:trPr>
          <w:trHeight w:val="282"/>
        </w:trPr>
        <w:tc>
          <w:tcPr>
            <w:tcW w:w="1560" w:type="dxa"/>
            <w:shd w:val="clear" w:color="auto" w:fill="F7C9AC"/>
          </w:tcPr>
          <w:p w:rsidR="007C5447" w:rsidRDefault="00F6308C">
            <w:pPr>
              <w:pStyle w:val="TableParagraph"/>
              <w:spacing w:before="15" w:line="248" w:lineRule="exact"/>
              <w:ind w:left="113" w:right="106"/>
              <w:jc w:val="center"/>
              <w:rPr>
                <w:b/>
              </w:rPr>
            </w:pPr>
            <w:r>
              <w:rPr>
                <w:b/>
              </w:rPr>
              <w:t>kV</w:t>
            </w:r>
          </w:p>
        </w:tc>
        <w:tc>
          <w:tcPr>
            <w:tcW w:w="1277" w:type="dxa"/>
            <w:shd w:val="clear" w:color="auto" w:fill="F7C9AC"/>
          </w:tcPr>
          <w:p w:rsidR="007C5447" w:rsidRDefault="00F6308C">
            <w:pPr>
              <w:pStyle w:val="TableParagraph"/>
              <w:spacing w:before="15" w:line="248" w:lineRule="exact"/>
              <w:ind w:left="130" w:right="121"/>
              <w:jc w:val="center"/>
              <w:rPr>
                <w:b/>
              </w:rPr>
            </w:pPr>
            <w:r>
              <w:rPr>
                <w:b/>
              </w:rPr>
              <w:t>MU</w:t>
            </w:r>
          </w:p>
        </w:tc>
        <w:tc>
          <w:tcPr>
            <w:tcW w:w="2410" w:type="dxa"/>
            <w:shd w:val="clear" w:color="auto" w:fill="F7C9AC"/>
          </w:tcPr>
          <w:p w:rsidR="007C5447" w:rsidRDefault="00F6308C">
            <w:pPr>
              <w:pStyle w:val="TableParagraph"/>
              <w:spacing w:before="15" w:line="248" w:lineRule="exact"/>
              <w:ind w:left="792"/>
              <w:jc w:val="left"/>
              <w:rPr>
                <w:b/>
              </w:rPr>
            </w:pPr>
            <w:r>
              <w:rPr>
                <w:b/>
              </w:rPr>
              <w:t>Rs./kWh</w:t>
            </w:r>
          </w:p>
        </w:tc>
        <w:tc>
          <w:tcPr>
            <w:tcW w:w="1702" w:type="dxa"/>
            <w:shd w:val="clear" w:color="auto" w:fill="F7C9AC"/>
          </w:tcPr>
          <w:p w:rsidR="007C5447" w:rsidRDefault="00F6308C">
            <w:pPr>
              <w:pStyle w:val="TableParagraph"/>
              <w:spacing w:before="15" w:line="248" w:lineRule="exact"/>
              <w:ind w:left="437"/>
              <w:jc w:val="left"/>
              <w:rPr>
                <w:b/>
              </w:rPr>
            </w:pPr>
            <w:r>
              <w:rPr>
                <w:b/>
              </w:rPr>
              <w:t>Rs./kWh</w:t>
            </w:r>
          </w:p>
        </w:tc>
        <w:tc>
          <w:tcPr>
            <w:tcW w:w="1478" w:type="dxa"/>
            <w:shd w:val="clear" w:color="auto" w:fill="F7C9AC"/>
          </w:tcPr>
          <w:p w:rsidR="007C5447" w:rsidRDefault="00F6308C">
            <w:pPr>
              <w:pStyle w:val="TableParagraph"/>
              <w:spacing w:before="15" w:line="248" w:lineRule="exact"/>
              <w:ind w:left="326"/>
              <w:jc w:val="left"/>
              <w:rPr>
                <w:b/>
              </w:rPr>
            </w:pPr>
            <w:r>
              <w:rPr>
                <w:b/>
              </w:rPr>
              <w:t>Rs./kWh</w:t>
            </w:r>
          </w:p>
        </w:tc>
      </w:tr>
      <w:tr w:rsidR="007C5447">
        <w:trPr>
          <w:trHeight w:val="285"/>
        </w:trPr>
        <w:tc>
          <w:tcPr>
            <w:tcW w:w="1560" w:type="dxa"/>
          </w:tcPr>
          <w:p w:rsidR="007C5447" w:rsidRDefault="00F6308C">
            <w:pPr>
              <w:pStyle w:val="TableParagraph"/>
              <w:spacing w:before="15" w:line="250" w:lineRule="exact"/>
              <w:ind w:left="113" w:right="104"/>
              <w:jc w:val="center"/>
            </w:pPr>
            <w:r>
              <w:t>400</w:t>
            </w:r>
          </w:p>
        </w:tc>
        <w:tc>
          <w:tcPr>
            <w:tcW w:w="1277" w:type="dxa"/>
          </w:tcPr>
          <w:p w:rsidR="007C5447" w:rsidRDefault="00F6308C">
            <w:pPr>
              <w:pStyle w:val="TableParagraph"/>
              <w:spacing w:before="15" w:line="250" w:lineRule="exact"/>
              <w:ind w:right="91"/>
            </w:pPr>
            <w:r>
              <w:t>-</w:t>
            </w:r>
          </w:p>
        </w:tc>
        <w:tc>
          <w:tcPr>
            <w:tcW w:w="2410" w:type="dxa"/>
          </w:tcPr>
          <w:p w:rsidR="007C5447" w:rsidRDefault="00F6308C">
            <w:pPr>
              <w:pStyle w:val="TableParagraph"/>
              <w:spacing w:before="15" w:line="250" w:lineRule="exact"/>
              <w:ind w:right="91"/>
            </w:pPr>
            <w:r>
              <w:t>-</w:t>
            </w:r>
          </w:p>
        </w:tc>
        <w:tc>
          <w:tcPr>
            <w:tcW w:w="1702" w:type="dxa"/>
          </w:tcPr>
          <w:p w:rsidR="007C5447" w:rsidRDefault="00F6308C">
            <w:pPr>
              <w:pStyle w:val="TableParagraph"/>
              <w:spacing w:before="15" w:line="250" w:lineRule="exact"/>
              <w:ind w:right="94"/>
            </w:pPr>
            <w:r>
              <w:t>-</w:t>
            </w:r>
          </w:p>
        </w:tc>
        <w:tc>
          <w:tcPr>
            <w:tcW w:w="1478" w:type="dxa"/>
          </w:tcPr>
          <w:p w:rsidR="007C5447" w:rsidRDefault="00F6308C">
            <w:pPr>
              <w:pStyle w:val="TableParagraph"/>
              <w:spacing w:before="15" w:line="250" w:lineRule="exact"/>
              <w:ind w:right="91"/>
            </w:pPr>
            <w:r>
              <w:t>-</w:t>
            </w:r>
          </w:p>
        </w:tc>
      </w:tr>
      <w:tr w:rsidR="007C5447">
        <w:trPr>
          <w:trHeight w:val="285"/>
        </w:trPr>
        <w:tc>
          <w:tcPr>
            <w:tcW w:w="1560" w:type="dxa"/>
          </w:tcPr>
          <w:p w:rsidR="007C5447" w:rsidRDefault="00F6308C">
            <w:pPr>
              <w:pStyle w:val="TableParagraph"/>
              <w:spacing w:before="15" w:line="250" w:lineRule="exact"/>
              <w:ind w:left="113" w:right="104"/>
              <w:jc w:val="center"/>
            </w:pPr>
            <w:r>
              <w:t>230</w:t>
            </w:r>
          </w:p>
        </w:tc>
        <w:tc>
          <w:tcPr>
            <w:tcW w:w="1277" w:type="dxa"/>
          </w:tcPr>
          <w:p w:rsidR="007C5447" w:rsidRDefault="00F6308C">
            <w:pPr>
              <w:pStyle w:val="TableParagraph"/>
              <w:spacing w:before="15" w:line="250" w:lineRule="exact"/>
              <w:ind w:right="95"/>
            </w:pPr>
            <w:r>
              <w:t>924</w:t>
            </w:r>
          </w:p>
        </w:tc>
        <w:tc>
          <w:tcPr>
            <w:tcW w:w="2410" w:type="dxa"/>
          </w:tcPr>
          <w:p w:rsidR="007C5447" w:rsidRDefault="00F6308C">
            <w:pPr>
              <w:pStyle w:val="TableParagraph"/>
              <w:spacing w:before="15" w:line="250" w:lineRule="exact"/>
              <w:ind w:right="95"/>
            </w:pPr>
            <w:r>
              <w:t>4.19</w:t>
            </w:r>
          </w:p>
        </w:tc>
        <w:tc>
          <w:tcPr>
            <w:tcW w:w="1702" w:type="dxa"/>
          </w:tcPr>
          <w:p w:rsidR="007C5447" w:rsidRDefault="00F6308C">
            <w:pPr>
              <w:pStyle w:val="TableParagraph"/>
              <w:spacing w:before="15" w:line="250" w:lineRule="exact"/>
              <w:ind w:right="98"/>
            </w:pPr>
            <w:r>
              <w:t>0.94</w:t>
            </w:r>
          </w:p>
        </w:tc>
        <w:tc>
          <w:tcPr>
            <w:tcW w:w="1478" w:type="dxa"/>
          </w:tcPr>
          <w:p w:rsidR="007C5447" w:rsidRDefault="00F6308C">
            <w:pPr>
              <w:pStyle w:val="TableParagraph"/>
              <w:spacing w:before="15" w:line="250" w:lineRule="exact"/>
              <w:ind w:right="95"/>
            </w:pPr>
            <w:r>
              <w:t>5.13</w:t>
            </w:r>
          </w:p>
        </w:tc>
      </w:tr>
      <w:tr w:rsidR="007C5447">
        <w:trPr>
          <w:trHeight w:val="285"/>
        </w:trPr>
        <w:tc>
          <w:tcPr>
            <w:tcW w:w="1560" w:type="dxa"/>
          </w:tcPr>
          <w:p w:rsidR="007C5447" w:rsidRDefault="00F6308C">
            <w:pPr>
              <w:pStyle w:val="TableParagraph"/>
              <w:spacing w:before="15" w:line="250" w:lineRule="exact"/>
              <w:ind w:left="113" w:right="104"/>
              <w:jc w:val="center"/>
            </w:pPr>
            <w:r>
              <w:t>110</w:t>
            </w:r>
          </w:p>
        </w:tc>
        <w:tc>
          <w:tcPr>
            <w:tcW w:w="1277" w:type="dxa"/>
          </w:tcPr>
          <w:p w:rsidR="007C5447" w:rsidRDefault="00F6308C">
            <w:pPr>
              <w:pStyle w:val="TableParagraph"/>
              <w:spacing w:before="15" w:line="250" w:lineRule="exact"/>
              <w:ind w:right="95"/>
            </w:pPr>
            <w:r>
              <w:t>3,791</w:t>
            </w:r>
          </w:p>
        </w:tc>
        <w:tc>
          <w:tcPr>
            <w:tcW w:w="2410" w:type="dxa"/>
          </w:tcPr>
          <w:p w:rsidR="007C5447" w:rsidRDefault="00F6308C">
            <w:pPr>
              <w:pStyle w:val="TableParagraph"/>
              <w:spacing w:before="15" w:line="250" w:lineRule="exact"/>
              <w:ind w:right="95"/>
            </w:pPr>
            <w:r>
              <w:t>4.33</w:t>
            </w:r>
          </w:p>
        </w:tc>
        <w:tc>
          <w:tcPr>
            <w:tcW w:w="1702" w:type="dxa"/>
          </w:tcPr>
          <w:p w:rsidR="007C5447" w:rsidRDefault="00F6308C">
            <w:pPr>
              <w:pStyle w:val="TableParagraph"/>
              <w:spacing w:before="15" w:line="250" w:lineRule="exact"/>
              <w:ind w:right="98"/>
            </w:pPr>
            <w:r>
              <w:t>0.94</w:t>
            </w:r>
          </w:p>
        </w:tc>
        <w:tc>
          <w:tcPr>
            <w:tcW w:w="1478" w:type="dxa"/>
          </w:tcPr>
          <w:p w:rsidR="007C5447" w:rsidRDefault="00F6308C">
            <w:pPr>
              <w:pStyle w:val="TableParagraph"/>
              <w:spacing w:before="15" w:line="250" w:lineRule="exact"/>
              <w:ind w:right="95"/>
            </w:pPr>
            <w:r>
              <w:t>5.27</w:t>
            </w:r>
          </w:p>
        </w:tc>
      </w:tr>
      <w:tr w:rsidR="007C5447">
        <w:trPr>
          <w:trHeight w:val="285"/>
        </w:trPr>
        <w:tc>
          <w:tcPr>
            <w:tcW w:w="1560" w:type="dxa"/>
          </w:tcPr>
          <w:p w:rsidR="007C5447" w:rsidRDefault="00F6308C">
            <w:pPr>
              <w:pStyle w:val="TableParagraph"/>
              <w:spacing w:before="16" w:line="250" w:lineRule="exact"/>
              <w:ind w:left="113" w:right="104"/>
              <w:jc w:val="center"/>
            </w:pPr>
            <w:r>
              <w:t>33</w:t>
            </w:r>
          </w:p>
        </w:tc>
        <w:tc>
          <w:tcPr>
            <w:tcW w:w="1277" w:type="dxa"/>
          </w:tcPr>
          <w:p w:rsidR="007C5447" w:rsidRDefault="00F6308C">
            <w:pPr>
              <w:pStyle w:val="TableParagraph"/>
              <w:spacing w:before="16" w:line="250" w:lineRule="exact"/>
              <w:ind w:right="95"/>
            </w:pPr>
            <w:r>
              <w:t>2,553</w:t>
            </w:r>
          </w:p>
        </w:tc>
        <w:tc>
          <w:tcPr>
            <w:tcW w:w="2410" w:type="dxa"/>
          </w:tcPr>
          <w:p w:rsidR="007C5447" w:rsidRDefault="00F6308C">
            <w:pPr>
              <w:pStyle w:val="TableParagraph"/>
              <w:spacing w:before="16" w:line="250" w:lineRule="exact"/>
              <w:ind w:right="95"/>
            </w:pPr>
            <w:r>
              <w:t>4.39</w:t>
            </w:r>
          </w:p>
        </w:tc>
        <w:tc>
          <w:tcPr>
            <w:tcW w:w="1702" w:type="dxa"/>
          </w:tcPr>
          <w:p w:rsidR="007C5447" w:rsidRDefault="00F6308C">
            <w:pPr>
              <w:pStyle w:val="TableParagraph"/>
              <w:spacing w:before="16" w:line="250" w:lineRule="exact"/>
              <w:ind w:right="98"/>
            </w:pPr>
            <w:r>
              <w:t>0.94</w:t>
            </w:r>
          </w:p>
        </w:tc>
        <w:tc>
          <w:tcPr>
            <w:tcW w:w="1478" w:type="dxa"/>
          </w:tcPr>
          <w:p w:rsidR="007C5447" w:rsidRDefault="00F6308C">
            <w:pPr>
              <w:pStyle w:val="TableParagraph"/>
              <w:spacing w:before="16" w:line="250" w:lineRule="exact"/>
              <w:ind w:right="95"/>
            </w:pPr>
            <w:r>
              <w:t>5.33</w:t>
            </w:r>
          </w:p>
        </w:tc>
      </w:tr>
      <w:tr w:rsidR="007C5447">
        <w:trPr>
          <w:trHeight w:val="285"/>
        </w:trPr>
        <w:tc>
          <w:tcPr>
            <w:tcW w:w="1560" w:type="dxa"/>
          </w:tcPr>
          <w:p w:rsidR="007C5447" w:rsidRDefault="00F6308C">
            <w:pPr>
              <w:pStyle w:val="TableParagraph"/>
              <w:spacing w:before="15" w:line="250" w:lineRule="exact"/>
              <w:ind w:left="113" w:right="104"/>
              <w:jc w:val="center"/>
            </w:pPr>
            <w:r>
              <w:t>22</w:t>
            </w:r>
          </w:p>
        </w:tc>
        <w:tc>
          <w:tcPr>
            <w:tcW w:w="1277" w:type="dxa"/>
          </w:tcPr>
          <w:p w:rsidR="007C5447" w:rsidRDefault="00F6308C">
            <w:pPr>
              <w:pStyle w:val="TableParagraph"/>
              <w:spacing w:before="15" w:line="250" w:lineRule="exact"/>
              <w:ind w:right="95"/>
            </w:pPr>
            <w:r>
              <w:t>3,388</w:t>
            </w:r>
          </w:p>
        </w:tc>
        <w:tc>
          <w:tcPr>
            <w:tcW w:w="2410" w:type="dxa"/>
          </w:tcPr>
          <w:p w:rsidR="007C5447" w:rsidRDefault="00F6308C">
            <w:pPr>
              <w:pStyle w:val="TableParagraph"/>
              <w:spacing w:before="15" w:line="250" w:lineRule="exact"/>
              <w:ind w:right="95"/>
            </w:pPr>
            <w:r>
              <w:t>4.50</w:t>
            </w:r>
          </w:p>
        </w:tc>
        <w:tc>
          <w:tcPr>
            <w:tcW w:w="1702" w:type="dxa"/>
          </w:tcPr>
          <w:p w:rsidR="007C5447" w:rsidRDefault="00F6308C">
            <w:pPr>
              <w:pStyle w:val="TableParagraph"/>
              <w:spacing w:before="15" w:line="250" w:lineRule="exact"/>
              <w:ind w:right="98"/>
            </w:pPr>
            <w:r>
              <w:t>0.94</w:t>
            </w:r>
          </w:p>
        </w:tc>
        <w:tc>
          <w:tcPr>
            <w:tcW w:w="1478" w:type="dxa"/>
          </w:tcPr>
          <w:p w:rsidR="007C5447" w:rsidRDefault="00F6308C">
            <w:pPr>
              <w:pStyle w:val="TableParagraph"/>
              <w:spacing w:before="15" w:line="250" w:lineRule="exact"/>
              <w:ind w:right="95"/>
            </w:pPr>
            <w:r>
              <w:t>5.44</w:t>
            </w:r>
          </w:p>
        </w:tc>
      </w:tr>
      <w:tr w:rsidR="007C5447">
        <w:trPr>
          <w:trHeight w:val="285"/>
        </w:trPr>
        <w:tc>
          <w:tcPr>
            <w:tcW w:w="1560" w:type="dxa"/>
          </w:tcPr>
          <w:p w:rsidR="007C5447" w:rsidRDefault="00F6308C">
            <w:pPr>
              <w:pStyle w:val="TableParagraph"/>
              <w:spacing w:before="15" w:line="250" w:lineRule="exact"/>
              <w:ind w:left="113" w:right="104"/>
              <w:jc w:val="center"/>
            </w:pPr>
            <w:r>
              <w:t>11</w:t>
            </w:r>
          </w:p>
        </w:tc>
        <w:tc>
          <w:tcPr>
            <w:tcW w:w="1277" w:type="dxa"/>
          </w:tcPr>
          <w:p w:rsidR="007C5447" w:rsidRDefault="00F6308C">
            <w:pPr>
              <w:pStyle w:val="TableParagraph"/>
              <w:spacing w:before="15" w:line="250" w:lineRule="exact"/>
              <w:ind w:right="95"/>
            </w:pPr>
            <w:r>
              <w:t>10,343</w:t>
            </w:r>
          </w:p>
        </w:tc>
        <w:tc>
          <w:tcPr>
            <w:tcW w:w="2410" w:type="dxa"/>
          </w:tcPr>
          <w:p w:rsidR="007C5447" w:rsidRDefault="00F6308C">
            <w:pPr>
              <w:pStyle w:val="TableParagraph"/>
              <w:spacing w:before="15" w:line="250" w:lineRule="exact"/>
              <w:ind w:right="95"/>
            </w:pPr>
            <w:r>
              <w:t>4.61</w:t>
            </w:r>
          </w:p>
        </w:tc>
        <w:tc>
          <w:tcPr>
            <w:tcW w:w="1702" w:type="dxa"/>
          </w:tcPr>
          <w:p w:rsidR="007C5447" w:rsidRDefault="00F6308C">
            <w:pPr>
              <w:pStyle w:val="TableParagraph"/>
              <w:spacing w:before="15" w:line="250" w:lineRule="exact"/>
              <w:ind w:right="98"/>
            </w:pPr>
            <w:r>
              <w:t>0.94</w:t>
            </w:r>
          </w:p>
        </w:tc>
        <w:tc>
          <w:tcPr>
            <w:tcW w:w="1478" w:type="dxa"/>
          </w:tcPr>
          <w:p w:rsidR="007C5447" w:rsidRDefault="00F6308C">
            <w:pPr>
              <w:pStyle w:val="TableParagraph"/>
              <w:spacing w:before="15" w:line="250" w:lineRule="exact"/>
              <w:ind w:right="95"/>
            </w:pPr>
            <w:r>
              <w:t>5.55</w:t>
            </w:r>
          </w:p>
        </w:tc>
      </w:tr>
      <w:tr w:rsidR="007C5447">
        <w:trPr>
          <w:trHeight w:val="285"/>
        </w:trPr>
        <w:tc>
          <w:tcPr>
            <w:tcW w:w="1560" w:type="dxa"/>
          </w:tcPr>
          <w:p w:rsidR="007C5447" w:rsidRDefault="00F6308C">
            <w:pPr>
              <w:pStyle w:val="TableParagraph"/>
              <w:spacing w:before="15" w:line="250" w:lineRule="exact"/>
              <w:ind w:left="113" w:right="104"/>
              <w:jc w:val="center"/>
            </w:pPr>
            <w:r>
              <w:t>LT</w:t>
            </w:r>
          </w:p>
        </w:tc>
        <w:tc>
          <w:tcPr>
            <w:tcW w:w="1277" w:type="dxa"/>
          </w:tcPr>
          <w:p w:rsidR="007C5447" w:rsidRDefault="00F6308C">
            <w:pPr>
              <w:pStyle w:val="TableParagraph"/>
              <w:spacing w:before="15" w:line="250" w:lineRule="exact"/>
              <w:ind w:right="95"/>
            </w:pPr>
            <w:r>
              <w:t>60,717</w:t>
            </w:r>
          </w:p>
        </w:tc>
        <w:tc>
          <w:tcPr>
            <w:tcW w:w="2410" w:type="dxa"/>
          </w:tcPr>
          <w:p w:rsidR="007C5447" w:rsidRDefault="00F6308C">
            <w:pPr>
              <w:pStyle w:val="TableParagraph"/>
              <w:spacing w:before="15" w:line="250" w:lineRule="exact"/>
              <w:ind w:right="95"/>
            </w:pPr>
            <w:r>
              <w:t>5.06</w:t>
            </w:r>
          </w:p>
        </w:tc>
        <w:tc>
          <w:tcPr>
            <w:tcW w:w="1702" w:type="dxa"/>
          </w:tcPr>
          <w:p w:rsidR="007C5447" w:rsidRDefault="00F6308C">
            <w:pPr>
              <w:pStyle w:val="TableParagraph"/>
              <w:spacing w:before="15" w:line="250" w:lineRule="exact"/>
              <w:ind w:right="98"/>
            </w:pPr>
            <w:r>
              <w:t>0.94</w:t>
            </w:r>
          </w:p>
        </w:tc>
        <w:tc>
          <w:tcPr>
            <w:tcW w:w="1478" w:type="dxa"/>
          </w:tcPr>
          <w:p w:rsidR="007C5447" w:rsidRDefault="00F6308C">
            <w:pPr>
              <w:pStyle w:val="TableParagraph"/>
              <w:spacing w:before="15" w:line="250" w:lineRule="exact"/>
              <w:ind w:right="95"/>
            </w:pPr>
            <w:r>
              <w:t>6.00</w:t>
            </w:r>
          </w:p>
        </w:tc>
      </w:tr>
      <w:tr w:rsidR="007C5447">
        <w:trPr>
          <w:trHeight w:val="285"/>
        </w:trPr>
        <w:tc>
          <w:tcPr>
            <w:tcW w:w="1560" w:type="dxa"/>
          </w:tcPr>
          <w:p w:rsidR="007C5447" w:rsidRDefault="00F6308C">
            <w:pPr>
              <w:pStyle w:val="TableParagraph"/>
              <w:spacing w:before="15" w:line="250" w:lineRule="exact"/>
              <w:ind w:left="113" w:right="105"/>
              <w:jc w:val="center"/>
              <w:rPr>
                <w:b/>
              </w:rPr>
            </w:pPr>
            <w:r>
              <w:rPr>
                <w:b/>
              </w:rPr>
              <w:t>Total</w:t>
            </w:r>
          </w:p>
        </w:tc>
        <w:tc>
          <w:tcPr>
            <w:tcW w:w="1277" w:type="dxa"/>
          </w:tcPr>
          <w:p w:rsidR="007C5447" w:rsidRDefault="00F6308C">
            <w:pPr>
              <w:pStyle w:val="TableParagraph"/>
              <w:spacing w:before="15" w:line="250" w:lineRule="exact"/>
              <w:ind w:right="95"/>
              <w:rPr>
                <w:b/>
              </w:rPr>
            </w:pPr>
            <w:r>
              <w:rPr>
                <w:b/>
              </w:rPr>
              <w:t>81,717</w:t>
            </w:r>
          </w:p>
        </w:tc>
        <w:tc>
          <w:tcPr>
            <w:tcW w:w="2410" w:type="dxa"/>
          </w:tcPr>
          <w:p w:rsidR="007C5447" w:rsidRDefault="00F6308C">
            <w:pPr>
              <w:pStyle w:val="TableParagraph"/>
              <w:spacing w:before="15" w:line="250" w:lineRule="exact"/>
              <w:ind w:right="95"/>
              <w:rPr>
                <w:b/>
              </w:rPr>
            </w:pPr>
            <w:r>
              <w:rPr>
                <w:b/>
              </w:rPr>
              <w:t>4.92</w:t>
            </w:r>
          </w:p>
        </w:tc>
        <w:tc>
          <w:tcPr>
            <w:tcW w:w="1702" w:type="dxa"/>
          </w:tcPr>
          <w:p w:rsidR="007C5447" w:rsidRDefault="00F6308C">
            <w:pPr>
              <w:pStyle w:val="TableParagraph"/>
              <w:spacing w:before="15" w:line="250" w:lineRule="exact"/>
              <w:ind w:right="98"/>
              <w:rPr>
                <w:b/>
              </w:rPr>
            </w:pPr>
            <w:r>
              <w:rPr>
                <w:b/>
              </w:rPr>
              <w:t>0.94</w:t>
            </w:r>
          </w:p>
        </w:tc>
        <w:tc>
          <w:tcPr>
            <w:tcW w:w="1478" w:type="dxa"/>
          </w:tcPr>
          <w:p w:rsidR="007C5447" w:rsidRDefault="00F6308C">
            <w:pPr>
              <w:pStyle w:val="TableParagraph"/>
              <w:spacing w:before="15" w:line="250" w:lineRule="exact"/>
              <w:ind w:right="95"/>
              <w:rPr>
                <w:b/>
              </w:rPr>
            </w:pPr>
            <w:r>
              <w:rPr>
                <w:b/>
              </w:rPr>
              <w:t>5.85</w:t>
            </w:r>
          </w:p>
        </w:tc>
      </w:tr>
    </w:tbl>
    <w:p w:rsidR="007C5447" w:rsidRDefault="007C5447">
      <w:pPr>
        <w:pStyle w:val="BodyText"/>
        <w:rPr>
          <w:b/>
          <w:sz w:val="26"/>
        </w:rPr>
      </w:pPr>
    </w:p>
    <w:p w:rsidR="007C5447" w:rsidRDefault="007C5447">
      <w:pPr>
        <w:pStyle w:val="BodyText"/>
        <w:spacing w:before="3"/>
        <w:rPr>
          <w:b/>
          <w:sz w:val="36"/>
        </w:rPr>
      </w:pPr>
    </w:p>
    <w:p w:rsidR="007C5447" w:rsidRDefault="00F6308C">
      <w:pPr>
        <w:pStyle w:val="ListParagraph"/>
        <w:numPr>
          <w:ilvl w:val="2"/>
          <w:numId w:val="40"/>
        </w:numPr>
        <w:tabs>
          <w:tab w:val="left" w:pos="1112"/>
          <w:tab w:val="left" w:pos="1113"/>
        </w:tabs>
        <w:ind w:left="1112" w:hanging="853"/>
        <w:jc w:val="left"/>
        <w:rPr>
          <w:sz w:val="24"/>
        </w:rPr>
      </w:pPr>
      <w:r>
        <w:rPr>
          <w:sz w:val="24"/>
        </w:rPr>
        <w:t>In</w:t>
      </w:r>
      <w:r>
        <w:rPr>
          <w:spacing w:val="10"/>
          <w:sz w:val="24"/>
        </w:rPr>
        <w:t xml:space="preserve"> </w:t>
      </w:r>
      <w:r>
        <w:rPr>
          <w:sz w:val="24"/>
        </w:rPr>
        <w:t>accordance</w:t>
      </w:r>
      <w:r>
        <w:rPr>
          <w:spacing w:val="7"/>
          <w:sz w:val="24"/>
        </w:rPr>
        <w:t xml:space="preserve"> </w:t>
      </w:r>
      <w:r>
        <w:rPr>
          <w:sz w:val="24"/>
        </w:rPr>
        <w:t>with</w:t>
      </w:r>
      <w:r>
        <w:rPr>
          <w:spacing w:val="9"/>
          <w:sz w:val="24"/>
        </w:rPr>
        <w:t xml:space="preserve"> </w:t>
      </w:r>
      <w:r>
        <w:rPr>
          <w:sz w:val="24"/>
        </w:rPr>
        <w:t>the</w:t>
      </w:r>
      <w:r>
        <w:rPr>
          <w:spacing w:val="7"/>
          <w:sz w:val="24"/>
        </w:rPr>
        <w:t xml:space="preserve"> </w:t>
      </w:r>
      <w:r>
        <w:rPr>
          <w:sz w:val="24"/>
        </w:rPr>
        <w:t>direction</w:t>
      </w:r>
      <w:r>
        <w:rPr>
          <w:spacing w:val="11"/>
          <w:sz w:val="24"/>
        </w:rPr>
        <w:t xml:space="preserve"> </w:t>
      </w:r>
      <w:r>
        <w:rPr>
          <w:sz w:val="24"/>
        </w:rPr>
        <w:t>given</w:t>
      </w:r>
      <w:r>
        <w:rPr>
          <w:spacing w:val="7"/>
          <w:sz w:val="24"/>
        </w:rPr>
        <w:t xml:space="preserve"> </w:t>
      </w:r>
      <w:r>
        <w:rPr>
          <w:sz w:val="24"/>
        </w:rPr>
        <w:t>by</w:t>
      </w:r>
      <w:r>
        <w:rPr>
          <w:spacing w:val="4"/>
          <w:sz w:val="24"/>
        </w:rPr>
        <w:t xml:space="preserve"> </w:t>
      </w:r>
      <w:r>
        <w:rPr>
          <w:sz w:val="24"/>
        </w:rPr>
        <w:t>the</w:t>
      </w:r>
      <w:r>
        <w:rPr>
          <w:spacing w:val="7"/>
          <w:sz w:val="24"/>
        </w:rPr>
        <w:t xml:space="preserve"> </w:t>
      </w:r>
      <w:r>
        <w:rPr>
          <w:sz w:val="24"/>
        </w:rPr>
        <w:t>Hon’ble</w:t>
      </w:r>
      <w:r>
        <w:rPr>
          <w:spacing w:val="8"/>
          <w:sz w:val="24"/>
        </w:rPr>
        <w:t xml:space="preserve"> </w:t>
      </w:r>
      <w:r>
        <w:rPr>
          <w:sz w:val="24"/>
        </w:rPr>
        <w:t>APTEL,</w:t>
      </w:r>
      <w:r>
        <w:rPr>
          <w:spacing w:val="13"/>
          <w:sz w:val="24"/>
        </w:rPr>
        <w:t xml:space="preserve"> </w:t>
      </w:r>
      <w:r>
        <w:rPr>
          <w:sz w:val="24"/>
        </w:rPr>
        <w:t>the</w:t>
      </w:r>
      <w:r>
        <w:rPr>
          <w:spacing w:val="7"/>
          <w:sz w:val="24"/>
        </w:rPr>
        <w:t xml:space="preserve"> </w:t>
      </w:r>
      <w:r>
        <w:rPr>
          <w:sz w:val="24"/>
        </w:rPr>
        <w:t>Commission</w:t>
      </w:r>
      <w:r>
        <w:rPr>
          <w:spacing w:val="9"/>
          <w:sz w:val="24"/>
        </w:rPr>
        <w:t xml:space="preserve"> </w:t>
      </w:r>
      <w:r>
        <w:rPr>
          <w:sz w:val="24"/>
        </w:rPr>
        <w:t>has</w:t>
      </w:r>
    </w:p>
    <w:p w:rsidR="007C5447" w:rsidRDefault="007C5447">
      <w:pPr>
        <w:rPr>
          <w:sz w:val="24"/>
        </w:rPr>
        <w:sectPr w:rsidR="007C5447">
          <w:pgSz w:w="11910" w:h="16840"/>
          <w:pgMar w:top="1480" w:right="560" w:bottom="1240" w:left="1180" w:header="0" w:footer="1057" w:gutter="0"/>
          <w:cols w:space="720"/>
        </w:sectPr>
      </w:pPr>
    </w:p>
    <w:p w:rsidR="007C5447" w:rsidRDefault="00F6308C">
      <w:pPr>
        <w:pStyle w:val="BodyText"/>
        <w:spacing w:before="60" w:line="312" w:lineRule="auto"/>
        <w:ind w:left="1112" w:right="875"/>
        <w:jc w:val="both"/>
      </w:pPr>
      <w:r>
        <w:lastRenderedPageBreak/>
        <w:t>computed the VCoS based on certain assumptions, as a starting point. However, due to inaccuracy of voltage-wise distribution loss data, as discussed in the above section, the Commission is of the view that it would not be appropriate to determine tariffs o</w:t>
      </w:r>
      <w:r>
        <w:t xml:space="preserve">n the basis of VCoS at this point in time, and hence, for the purpose of </w:t>
      </w:r>
      <w:r>
        <w:rPr>
          <w:spacing w:val="2"/>
        </w:rPr>
        <w:t xml:space="preserve">this </w:t>
      </w:r>
      <w:r>
        <w:t>Order, the Commission has continued to compute the cross-subsidy with respect to the ACoS. This computation has to be refined further based on more accurate and reliable data. Th</w:t>
      </w:r>
      <w:r>
        <w:t>e category-wise cross subsidy for FY 2017-18 with respect to ACOS as determined by the Commission is shown in the Table</w:t>
      </w:r>
      <w:r>
        <w:rPr>
          <w:spacing w:val="-8"/>
        </w:rPr>
        <w:t xml:space="preserve"> </w:t>
      </w:r>
      <w:r>
        <w:t>below:</w:t>
      </w:r>
    </w:p>
    <w:p w:rsidR="007C5447" w:rsidRDefault="007C5447">
      <w:pPr>
        <w:pStyle w:val="BodyText"/>
        <w:spacing w:before="11"/>
        <w:rPr>
          <w:sz w:val="20"/>
        </w:rPr>
      </w:pPr>
    </w:p>
    <w:p w:rsidR="007C5447" w:rsidRDefault="00F6308C">
      <w:pPr>
        <w:pStyle w:val="Heading2"/>
        <w:ind w:left="524" w:right="427"/>
        <w:jc w:val="center"/>
      </w:pPr>
      <w:r>
        <w:t>Table 5-21: Cross-Subsidy w.r.t. ACOS approved by the Commission</w:t>
      </w:r>
    </w:p>
    <w:p w:rsidR="007C5447" w:rsidRDefault="007C5447">
      <w:pPr>
        <w:pStyle w:val="BodyText"/>
        <w:spacing w:before="7"/>
        <w:rPr>
          <w:b/>
          <w:sz w:val="17"/>
        </w:rPr>
      </w:pPr>
    </w:p>
    <w:tbl>
      <w:tblPr>
        <w:tblW w:w="0" w:type="auto"/>
        <w:tblInd w:w="1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7"/>
        <w:gridCol w:w="708"/>
        <w:gridCol w:w="994"/>
        <w:gridCol w:w="1274"/>
        <w:gridCol w:w="852"/>
        <w:gridCol w:w="849"/>
        <w:gridCol w:w="1276"/>
      </w:tblGrid>
      <w:tr w:rsidR="007C5447">
        <w:trPr>
          <w:trHeight w:val="314"/>
        </w:trPr>
        <w:tc>
          <w:tcPr>
            <w:tcW w:w="2977" w:type="dxa"/>
            <w:vMerge w:val="restart"/>
            <w:shd w:val="clear" w:color="auto" w:fill="FBD4B4"/>
          </w:tcPr>
          <w:p w:rsidR="007C5447" w:rsidRDefault="00F6308C">
            <w:pPr>
              <w:pStyle w:val="TableParagraph"/>
              <w:spacing w:before="89"/>
              <w:ind w:left="107" w:right="895"/>
              <w:jc w:val="left"/>
              <w:rPr>
                <w:b/>
                <w:sz w:val="20"/>
              </w:rPr>
            </w:pPr>
            <w:r>
              <w:rPr>
                <w:b/>
                <w:sz w:val="20"/>
              </w:rPr>
              <w:t>Consumer Category &amp; Consumption Slab</w:t>
            </w:r>
          </w:p>
        </w:tc>
        <w:tc>
          <w:tcPr>
            <w:tcW w:w="2976" w:type="dxa"/>
            <w:gridSpan w:val="3"/>
            <w:shd w:val="clear" w:color="auto" w:fill="FBD4B4"/>
          </w:tcPr>
          <w:p w:rsidR="007C5447" w:rsidRDefault="00F6308C">
            <w:pPr>
              <w:pStyle w:val="TableParagraph"/>
              <w:spacing w:before="43"/>
              <w:ind w:left="856"/>
              <w:jc w:val="left"/>
              <w:rPr>
                <w:b/>
                <w:sz w:val="20"/>
              </w:rPr>
            </w:pPr>
            <w:r>
              <w:rPr>
                <w:b/>
                <w:sz w:val="20"/>
              </w:rPr>
              <w:t>Existing Tariff</w:t>
            </w:r>
          </w:p>
        </w:tc>
        <w:tc>
          <w:tcPr>
            <w:tcW w:w="2977" w:type="dxa"/>
            <w:gridSpan w:val="3"/>
            <w:shd w:val="clear" w:color="auto" w:fill="FBD4B4"/>
          </w:tcPr>
          <w:p w:rsidR="007C5447" w:rsidRDefault="00F6308C">
            <w:pPr>
              <w:pStyle w:val="TableParagraph"/>
              <w:spacing w:before="43"/>
              <w:ind w:left="874"/>
              <w:jc w:val="left"/>
              <w:rPr>
                <w:b/>
                <w:sz w:val="20"/>
              </w:rPr>
            </w:pPr>
            <w:r>
              <w:rPr>
                <w:b/>
                <w:sz w:val="20"/>
              </w:rPr>
              <w:t>Revised Tariff</w:t>
            </w:r>
          </w:p>
        </w:tc>
      </w:tr>
      <w:tr w:rsidR="007C5447">
        <w:trPr>
          <w:trHeight w:val="313"/>
        </w:trPr>
        <w:tc>
          <w:tcPr>
            <w:tcW w:w="2977" w:type="dxa"/>
            <w:vMerge/>
            <w:tcBorders>
              <w:top w:val="nil"/>
            </w:tcBorders>
            <w:shd w:val="clear" w:color="auto" w:fill="FBD4B4"/>
          </w:tcPr>
          <w:p w:rsidR="007C5447" w:rsidRDefault="007C5447">
            <w:pPr>
              <w:rPr>
                <w:sz w:val="2"/>
                <w:szCs w:val="2"/>
              </w:rPr>
            </w:pPr>
          </w:p>
        </w:tc>
        <w:tc>
          <w:tcPr>
            <w:tcW w:w="708" w:type="dxa"/>
            <w:shd w:val="clear" w:color="auto" w:fill="FBD4B4"/>
          </w:tcPr>
          <w:p w:rsidR="007C5447" w:rsidRDefault="00F6308C">
            <w:pPr>
              <w:pStyle w:val="TableParagraph"/>
              <w:spacing w:before="43"/>
              <w:ind w:right="132"/>
              <w:rPr>
                <w:b/>
                <w:sz w:val="20"/>
              </w:rPr>
            </w:pPr>
            <w:r>
              <w:rPr>
                <w:b/>
                <w:w w:val="95"/>
                <w:sz w:val="20"/>
              </w:rPr>
              <w:t>ABR</w:t>
            </w:r>
          </w:p>
        </w:tc>
        <w:tc>
          <w:tcPr>
            <w:tcW w:w="994" w:type="dxa"/>
            <w:shd w:val="clear" w:color="auto" w:fill="FBD4B4"/>
          </w:tcPr>
          <w:p w:rsidR="007C5447" w:rsidRDefault="00F6308C">
            <w:pPr>
              <w:pStyle w:val="TableParagraph"/>
              <w:spacing w:before="43"/>
              <w:ind w:left="217"/>
              <w:jc w:val="left"/>
              <w:rPr>
                <w:b/>
                <w:sz w:val="20"/>
              </w:rPr>
            </w:pPr>
            <w:r>
              <w:rPr>
                <w:b/>
                <w:sz w:val="20"/>
              </w:rPr>
              <w:t>ACOS</w:t>
            </w:r>
          </w:p>
        </w:tc>
        <w:tc>
          <w:tcPr>
            <w:tcW w:w="1274" w:type="dxa"/>
            <w:shd w:val="clear" w:color="auto" w:fill="FBD4B4"/>
          </w:tcPr>
          <w:p w:rsidR="007C5447" w:rsidRDefault="00F6308C">
            <w:pPr>
              <w:pStyle w:val="TableParagraph"/>
              <w:spacing w:before="43"/>
              <w:ind w:right="110"/>
              <w:rPr>
                <w:b/>
                <w:sz w:val="20"/>
              </w:rPr>
            </w:pPr>
            <w:r>
              <w:rPr>
                <w:b/>
                <w:w w:val="95"/>
                <w:sz w:val="20"/>
              </w:rPr>
              <w:t>ABR/ACOS</w:t>
            </w:r>
          </w:p>
        </w:tc>
        <w:tc>
          <w:tcPr>
            <w:tcW w:w="852" w:type="dxa"/>
            <w:shd w:val="clear" w:color="auto" w:fill="FBD4B4"/>
          </w:tcPr>
          <w:p w:rsidR="007C5447" w:rsidRDefault="00F6308C">
            <w:pPr>
              <w:pStyle w:val="TableParagraph"/>
              <w:spacing w:before="43"/>
              <w:ind w:left="213"/>
              <w:jc w:val="left"/>
              <w:rPr>
                <w:b/>
                <w:sz w:val="20"/>
              </w:rPr>
            </w:pPr>
            <w:r>
              <w:rPr>
                <w:b/>
                <w:sz w:val="20"/>
              </w:rPr>
              <w:t>ABR</w:t>
            </w:r>
          </w:p>
        </w:tc>
        <w:tc>
          <w:tcPr>
            <w:tcW w:w="849" w:type="dxa"/>
            <w:shd w:val="clear" w:color="auto" w:fill="FBD4B4"/>
          </w:tcPr>
          <w:p w:rsidR="007C5447" w:rsidRDefault="00F6308C">
            <w:pPr>
              <w:pStyle w:val="TableParagraph"/>
              <w:spacing w:before="43"/>
              <w:ind w:left="146"/>
              <w:jc w:val="left"/>
              <w:rPr>
                <w:b/>
                <w:sz w:val="20"/>
              </w:rPr>
            </w:pPr>
            <w:r>
              <w:rPr>
                <w:b/>
                <w:sz w:val="20"/>
              </w:rPr>
              <w:t>ACOS</w:t>
            </w:r>
          </w:p>
        </w:tc>
        <w:tc>
          <w:tcPr>
            <w:tcW w:w="1276" w:type="dxa"/>
            <w:shd w:val="clear" w:color="auto" w:fill="FBD4B4"/>
          </w:tcPr>
          <w:p w:rsidR="007C5447" w:rsidRDefault="00F6308C">
            <w:pPr>
              <w:pStyle w:val="TableParagraph"/>
              <w:spacing w:before="43"/>
              <w:ind w:right="111"/>
              <w:rPr>
                <w:b/>
                <w:sz w:val="20"/>
              </w:rPr>
            </w:pPr>
            <w:r>
              <w:rPr>
                <w:b/>
                <w:w w:val="95"/>
                <w:sz w:val="20"/>
              </w:rPr>
              <w:t>ABR/ACOS</w:t>
            </w:r>
          </w:p>
        </w:tc>
      </w:tr>
      <w:tr w:rsidR="007C5447">
        <w:trPr>
          <w:trHeight w:val="314"/>
        </w:trPr>
        <w:tc>
          <w:tcPr>
            <w:tcW w:w="8930" w:type="dxa"/>
            <w:gridSpan w:val="7"/>
          </w:tcPr>
          <w:p w:rsidR="007C5447" w:rsidRDefault="00F6308C">
            <w:pPr>
              <w:pStyle w:val="TableParagraph"/>
              <w:spacing w:before="17"/>
              <w:ind w:left="107"/>
              <w:jc w:val="left"/>
              <w:rPr>
                <w:b/>
                <w:sz w:val="20"/>
              </w:rPr>
            </w:pPr>
            <w:r>
              <w:rPr>
                <w:b/>
                <w:sz w:val="20"/>
              </w:rPr>
              <w:t>HT Category</w:t>
            </w:r>
          </w:p>
        </w:tc>
      </w:tr>
      <w:tr w:rsidR="007C5447">
        <w:trPr>
          <w:trHeight w:val="314"/>
        </w:trPr>
        <w:tc>
          <w:tcPr>
            <w:tcW w:w="2977" w:type="dxa"/>
          </w:tcPr>
          <w:p w:rsidR="007C5447" w:rsidRDefault="00F6308C">
            <w:pPr>
              <w:pStyle w:val="TableParagraph"/>
              <w:spacing w:before="17"/>
              <w:ind w:left="107"/>
              <w:jc w:val="left"/>
              <w:rPr>
                <w:sz w:val="20"/>
              </w:rPr>
            </w:pPr>
            <w:r>
              <w:rPr>
                <w:sz w:val="20"/>
              </w:rPr>
              <w:t>HT Industries</w:t>
            </w:r>
          </w:p>
        </w:tc>
        <w:tc>
          <w:tcPr>
            <w:tcW w:w="708" w:type="dxa"/>
          </w:tcPr>
          <w:p w:rsidR="007C5447" w:rsidRDefault="00F6308C">
            <w:pPr>
              <w:pStyle w:val="TableParagraph"/>
              <w:spacing w:before="17"/>
              <w:ind w:right="98"/>
              <w:rPr>
                <w:sz w:val="20"/>
              </w:rPr>
            </w:pPr>
            <w:r>
              <w:rPr>
                <w:sz w:val="20"/>
              </w:rPr>
              <w:t>8.37</w:t>
            </w:r>
          </w:p>
        </w:tc>
        <w:tc>
          <w:tcPr>
            <w:tcW w:w="994" w:type="dxa"/>
          </w:tcPr>
          <w:p w:rsidR="007C5447" w:rsidRDefault="00F6308C">
            <w:pPr>
              <w:pStyle w:val="TableParagraph"/>
              <w:spacing w:before="17"/>
              <w:ind w:right="98"/>
              <w:rPr>
                <w:sz w:val="20"/>
              </w:rPr>
            </w:pPr>
            <w:r>
              <w:rPr>
                <w:sz w:val="20"/>
              </w:rPr>
              <w:t>5.85</w:t>
            </w:r>
          </w:p>
        </w:tc>
        <w:tc>
          <w:tcPr>
            <w:tcW w:w="1274" w:type="dxa"/>
          </w:tcPr>
          <w:p w:rsidR="007C5447" w:rsidRDefault="00F6308C">
            <w:pPr>
              <w:pStyle w:val="TableParagraph"/>
              <w:spacing w:before="17"/>
              <w:ind w:right="92"/>
              <w:rPr>
                <w:sz w:val="20"/>
              </w:rPr>
            </w:pPr>
            <w:r>
              <w:rPr>
                <w:sz w:val="20"/>
              </w:rPr>
              <w:t>143%</w:t>
            </w:r>
          </w:p>
        </w:tc>
        <w:tc>
          <w:tcPr>
            <w:tcW w:w="852" w:type="dxa"/>
          </w:tcPr>
          <w:p w:rsidR="007C5447" w:rsidRDefault="00F6308C">
            <w:pPr>
              <w:pStyle w:val="TableParagraph"/>
              <w:spacing w:before="17"/>
              <w:ind w:right="98"/>
              <w:rPr>
                <w:sz w:val="20"/>
              </w:rPr>
            </w:pPr>
            <w:r>
              <w:rPr>
                <w:sz w:val="20"/>
              </w:rPr>
              <w:t>8.37</w:t>
            </w:r>
          </w:p>
        </w:tc>
        <w:tc>
          <w:tcPr>
            <w:tcW w:w="849" w:type="dxa"/>
          </w:tcPr>
          <w:p w:rsidR="007C5447" w:rsidRDefault="00F6308C">
            <w:pPr>
              <w:pStyle w:val="TableParagraph"/>
              <w:spacing w:before="17"/>
              <w:ind w:right="94"/>
              <w:rPr>
                <w:sz w:val="20"/>
              </w:rPr>
            </w:pPr>
            <w:r>
              <w:rPr>
                <w:sz w:val="20"/>
              </w:rPr>
              <w:t>5.85</w:t>
            </w:r>
          </w:p>
        </w:tc>
        <w:tc>
          <w:tcPr>
            <w:tcW w:w="1276" w:type="dxa"/>
          </w:tcPr>
          <w:p w:rsidR="007C5447" w:rsidRDefault="00F6308C">
            <w:pPr>
              <w:pStyle w:val="TableParagraph"/>
              <w:spacing w:before="17"/>
              <w:ind w:right="90"/>
              <w:rPr>
                <w:sz w:val="20"/>
              </w:rPr>
            </w:pPr>
            <w:r>
              <w:rPr>
                <w:sz w:val="20"/>
              </w:rPr>
              <w:t>143%</w:t>
            </w:r>
          </w:p>
        </w:tc>
      </w:tr>
      <w:tr w:rsidR="007C5447">
        <w:trPr>
          <w:trHeight w:val="313"/>
        </w:trPr>
        <w:tc>
          <w:tcPr>
            <w:tcW w:w="2977" w:type="dxa"/>
          </w:tcPr>
          <w:p w:rsidR="007C5447" w:rsidRDefault="00F6308C">
            <w:pPr>
              <w:pStyle w:val="TableParagraph"/>
              <w:spacing w:before="17"/>
              <w:ind w:left="107"/>
              <w:jc w:val="left"/>
              <w:rPr>
                <w:sz w:val="20"/>
              </w:rPr>
            </w:pPr>
            <w:r>
              <w:rPr>
                <w:sz w:val="20"/>
              </w:rPr>
              <w:t>Railway Traction</w:t>
            </w:r>
          </w:p>
        </w:tc>
        <w:tc>
          <w:tcPr>
            <w:tcW w:w="708" w:type="dxa"/>
          </w:tcPr>
          <w:p w:rsidR="007C5447" w:rsidRDefault="00F6308C">
            <w:pPr>
              <w:pStyle w:val="TableParagraph"/>
              <w:spacing w:before="17"/>
              <w:ind w:right="98"/>
              <w:rPr>
                <w:sz w:val="20"/>
              </w:rPr>
            </w:pPr>
            <w:r>
              <w:rPr>
                <w:sz w:val="20"/>
              </w:rPr>
              <w:t>7.71</w:t>
            </w:r>
          </w:p>
        </w:tc>
        <w:tc>
          <w:tcPr>
            <w:tcW w:w="994" w:type="dxa"/>
          </w:tcPr>
          <w:p w:rsidR="007C5447" w:rsidRDefault="00F6308C">
            <w:pPr>
              <w:pStyle w:val="TableParagraph"/>
              <w:spacing w:before="17"/>
              <w:ind w:right="98"/>
              <w:rPr>
                <w:sz w:val="20"/>
              </w:rPr>
            </w:pPr>
            <w:r>
              <w:rPr>
                <w:sz w:val="20"/>
              </w:rPr>
              <w:t>5.85</w:t>
            </w:r>
          </w:p>
        </w:tc>
        <w:tc>
          <w:tcPr>
            <w:tcW w:w="1274" w:type="dxa"/>
          </w:tcPr>
          <w:p w:rsidR="007C5447" w:rsidRDefault="00F6308C">
            <w:pPr>
              <w:pStyle w:val="TableParagraph"/>
              <w:spacing w:before="17"/>
              <w:ind w:right="92"/>
              <w:rPr>
                <w:sz w:val="20"/>
              </w:rPr>
            </w:pPr>
            <w:r>
              <w:rPr>
                <w:sz w:val="20"/>
              </w:rPr>
              <w:t>132%</w:t>
            </w:r>
          </w:p>
        </w:tc>
        <w:tc>
          <w:tcPr>
            <w:tcW w:w="852" w:type="dxa"/>
          </w:tcPr>
          <w:p w:rsidR="007C5447" w:rsidRDefault="00F6308C">
            <w:pPr>
              <w:pStyle w:val="TableParagraph"/>
              <w:spacing w:before="17"/>
              <w:ind w:right="98"/>
              <w:rPr>
                <w:sz w:val="20"/>
              </w:rPr>
            </w:pPr>
            <w:r>
              <w:rPr>
                <w:sz w:val="20"/>
              </w:rPr>
              <w:t>7.71</w:t>
            </w:r>
          </w:p>
        </w:tc>
        <w:tc>
          <w:tcPr>
            <w:tcW w:w="849" w:type="dxa"/>
          </w:tcPr>
          <w:p w:rsidR="007C5447" w:rsidRDefault="00F6308C">
            <w:pPr>
              <w:pStyle w:val="TableParagraph"/>
              <w:spacing w:before="17"/>
              <w:ind w:right="94"/>
              <w:rPr>
                <w:sz w:val="20"/>
              </w:rPr>
            </w:pPr>
            <w:r>
              <w:rPr>
                <w:sz w:val="20"/>
              </w:rPr>
              <w:t>5.85</w:t>
            </w:r>
          </w:p>
        </w:tc>
        <w:tc>
          <w:tcPr>
            <w:tcW w:w="1276" w:type="dxa"/>
          </w:tcPr>
          <w:p w:rsidR="007C5447" w:rsidRDefault="00F6308C">
            <w:pPr>
              <w:pStyle w:val="TableParagraph"/>
              <w:spacing w:before="17"/>
              <w:ind w:right="90"/>
              <w:rPr>
                <w:sz w:val="20"/>
              </w:rPr>
            </w:pPr>
            <w:r>
              <w:rPr>
                <w:sz w:val="20"/>
              </w:rPr>
              <w:t>132%</w:t>
            </w:r>
          </w:p>
        </w:tc>
      </w:tr>
      <w:tr w:rsidR="007C5447">
        <w:trPr>
          <w:trHeight w:val="491"/>
        </w:trPr>
        <w:tc>
          <w:tcPr>
            <w:tcW w:w="2977" w:type="dxa"/>
          </w:tcPr>
          <w:p w:rsidR="007C5447" w:rsidRDefault="00F6308C">
            <w:pPr>
              <w:pStyle w:val="TableParagraph"/>
              <w:spacing w:before="21" w:line="228" w:lineRule="exact"/>
              <w:ind w:left="107" w:right="52"/>
              <w:jc w:val="left"/>
              <w:rPr>
                <w:sz w:val="20"/>
              </w:rPr>
            </w:pPr>
            <w:r>
              <w:rPr>
                <w:sz w:val="20"/>
              </w:rPr>
              <w:t>Government Educational Institution Etc. (HT)</w:t>
            </w:r>
          </w:p>
        </w:tc>
        <w:tc>
          <w:tcPr>
            <w:tcW w:w="708" w:type="dxa"/>
          </w:tcPr>
          <w:p w:rsidR="007C5447" w:rsidRDefault="00F6308C">
            <w:pPr>
              <w:pStyle w:val="TableParagraph"/>
              <w:spacing w:before="17"/>
              <w:ind w:right="98"/>
              <w:rPr>
                <w:sz w:val="20"/>
              </w:rPr>
            </w:pPr>
            <w:r>
              <w:rPr>
                <w:sz w:val="20"/>
              </w:rPr>
              <w:t>7.58</w:t>
            </w:r>
          </w:p>
        </w:tc>
        <w:tc>
          <w:tcPr>
            <w:tcW w:w="994" w:type="dxa"/>
          </w:tcPr>
          <w:p w:rsidR="007C5447" w:rsidRDefault="00F6308C">
            <w:pPr>
              <w:pStyle w:val="TableParagraph"/>
              <w:spacing w:before="17"/>
              <w:ind w:right="98"/>
              <w:rPr>
                <w:sz w:val="20"/>
              </w:rPr>
            </w:pPr>
            <w:r>
              <w:rPr>
                <w:sz w:val="20"/>
              </w:rPr>
              <w:t>5.85</w:t>
            </w:r>
          </w:p>
        </w:tc>
        <w:tc>
          <w:tcPr>
            <w:tcW w:w="1274" w:type="dxa"/>
          </w:tcPr>
          <w:p w:rsidR="007C5447" w:rsidRDefault="00F6308C">
            <w:pPr>
              <w:pStyle w:val="TableParagraph"/>
              <w:spacing w:before="17"/>
              <w:ind w:right="92"/>
              <w:rPr>
                <w:sz w:val="20"/>
              </w:rPr>
            </w:pPr>
            <w:r>
              <w:rPr>
                <w:sz w:val="20"/>
              </w:rPr>
              <w:t>129%</w:t>
            </w:r>
          </w:p>
        </w:tc>
        <w:tc>
          <w:tcPr>
            <w:tcW w:w="852" w:type="dxa"/>
          </w:tcPr>
          <w:p w:rsidR="007C5447" w:rsidRDefault="00F6308C">
            <w:pPr>
              <w:pStyle w:val="TableParagraph"/>
              <w:spacing w:before="17"/>
              <w:ind w:right="98"/>
              <w:rPr>
                <w:sz w:val="20"/>
              </w:rPr>
            </w:pPr>
            <w:r>
              <w:rPr>
                <w:sz w:val="20"/>
              </w:rPr>
              <w:t>7.58</w:t>
            </w:r>
          </w:p>
        </w:tc>
        <w:tc>
          <w:tcPr>
            <w:tcW w:w="849" w:type="dxa"/>
          </w:tcPr>
          <w:p w:rsidR="007C5447" w:rsidRDefault="00F6308C">
            <w:pPr>
              <w:pStyle w:val="TableParagraph"/>
              <w:spacing w:before="17"/>
              <w:ind w:right="94"/>
              <w:rPr>
                <w:sz w:val="20"/>
              </w:rPr>
            </w:pPr>
            <w:r>
              <w:rPr>
                <w:sz w:val="20"/>
              </w:rPr>
              <w:t>5.85</w:t>
            </w:r>
          </w:p>
        </w:tc>
        <w:tc>
          <w:tcPr>
            <w:tcW w:w="1276" w:type="dxa"/>
          </w:tcPr>
          <w:p w:rsidR="007C5447" w:rsidRDefault="00F6308C">
            <w:pPr>
              <w:pStyle w:val="TableParagraph"/>
              <w:spacing w:before="17"/>
              <w:ind w:right="90"/>
              <w:rPr>
                <w:sz w:val="20"/>
              </w:rPr>
            </w:pPr>
            <w:r>
              <w:rPr>
                <w:sz w:val="20"/>
              </w:rPr>
              <w:t>129%</w:t>
            </w:r>
          </w:p>
        </w:tc>
      </w:tr>
      <w:tr w:rsidR="007C5447">
        <w:trPr>
          <w:trHeight w:val="313"/>
        </w:trPr>
        <w:tc>
          <w:tcPr>
            <w:tcW w:w="2977" w:type="dxa"/>
          </w:tcPr>
          <w:p w:rsidR="007C5447" w:rsidRDefault="00F6308C">
            <w:pPr>
              <w:pStyle w:val="TableParagraph"/>
              <w:spacing w:before="14"/>
              <w:ind w:left="107"/>
              <w:jc w:val="left"/>
              <w:rPr>
                <w:sz w:val="20"/>
              </w:rPr>
            </w:pPr>
            <w:r>
              <w:rPr>
                <w:sz w:val="20"/>
              </w:rPr>
              <w:t>Pvt. Educational Institutions etc.</w:t>
            </w:r>
          </w:p>
        </w:tc>
        <w:tc>
          <w:tcPr>
            <w:tcW w:w="708" w:type="dxa"/>
          </w:tcPr>
          <w:p w:rsidR="007C5447" w:rsidRDefault="00F6308C">
            <w:pPr>
              <w:pStyle w:val="TableParagraph"/>
              <w:spacing w:before="14"/>
              <w:ind w:right="98"/>
              <w:rPr>
                <w:sz w:val="20"/>
              </w:rPr>
            </w:pPr>
            <w:r>
              <w:rPr>
                <w:sz w:val="20"/>
              </w:rPr>
              <w:t>8.05</w:t>
            </w:r>
          </w:p>
        </w:tc>
        <w:tc>
          <w:tcPr>
            <w:tcW w:w="994" w:type="dxa"/>
          </w:tcPr>
          <w:p w:rsidR="007C5447" w:rsidRDefault="00F6308C">
            <w:pPr>
              <w:pStyle w:val="TableParagraph"/>
              <w:spacing w:before="14"/>
              <w:ind w:right="98"/>
              <w:rPr>
                <w:sz w:val="20"/>
              </w:rPr>
            </w:pPr>
            <w:r>
              <w:rPr>
                <w:sz w:val="20"/>
              </w:rPr>
              <w:t>5.85</w:t>
            </w:r>
          </w:p>
        </w:tc>
        <w:tc>
          <w:tcPr>
            <w:tcW w:w="1274" w:type="dxa"/>
          </w:tcPr>
          <w:p w:rsidR="007C5447" w:rsidRDefault="00F6308C">
            <w:pPr>
              <w:pStyle w:val="TableParagraph"/>
              <w:spacing w:before="14"/>
              <w:ind w:right="92"/>
              <w:rPr>
                <w:sz w:val="20"/>
              </w:rPr>
            </w:pPr>
            <w:r>
              <w:rPr>
                <w:sz w:val="20"/>
              </w:rPr>
              <w:t>137%</w:t>
            </w:r>
          </w:p>
        </w:tc>
        <w:tc>
          <w:tcPr>
            <w:tcW w:w="852" w:type="dxa"/>
          </w:tcPr>
          <w:p w:rsidR="007C5447" w:rsidRDefault="00F6308C">
            <w:pPr>
              <w:pStyle w:val="TableParagraph"/>
              <w:spacing w:before="14"/>
              <w:ind w:right="98"/>
              <w:rPr>
                <w:sz w:val="20"/>
              </w:rPr>
            </w:pPr>
            <w:r>
              <w:rPr>
                <w:sz w:val="20"/>
              </w:rPr>
              <w:t>8.05</w:t>
            </w:r>
          </w:p>
        </w:tc>
        <w:tc>
          <w:tcPr>
            <w:tcW w:w="849" w:type="dxa"/>
          </w:tcPr>
          <w:p w:rsidR="007C5447" w:rsidRDefault="00F6308C">
            <w:pPr>
              <w:pStyle w:val="TableParagraph"/>
              <w:spacing w:before="14"/>
              <w:ind w:right="94"/>
              <w:rPr>
                <w:sz w:val="20"/>
              </w:rPr>
            </w:pPr>
            <w:r>
              <w:rPr>
                <w:sz w:val="20"/>
              </w:rPr>
              <w:t>5.85</w:t>
            </w:r>
          </w:p>
        </w:tc>
        <w:tc>
          <w:tcPr>
            <w:tcW w:w="1276" w:type="dxa"/>
          </w:tcPr>
          <w:p w:rsidR="007C5447" w:rsidRDefault="00F6308C">
            <w:pPr>
              <w:pStyle w:val="TableParagraph"/>
              <w:spacing w:before="14"/>
              <w:ind w:right="90"/>
              <w:rPr>
                <w:sz w:val="20"/>
              </w:rPr>
            </w:pPr>
            <w:r>
              <w:rPr>
                <w:sz w:val="20"/>
              </w:rPr>
              <w:t>137%</w:t>
            </w:r>
          </w:p>
        </w:tc>
      </w:tr>
      <w:tr w:rsidR="007C5447">
        <w:trPr>
          <w:trHeight w:val="314"/>
        </w:trPr>
        <w:tc>
          <w:tcPr>
            <w:tcW w:w="2977" w:type="dxa"/>
          </w:tcPr>
          <w:p w:rsidR="007C5447" w:rsidRDefault="00F6308C">
            <w:pPr>
              <w:pStyle w:val="TableParagraph"/>
              <w:spacing w:before="14"/>
              <w:ind w:left="107"/>
              <w:jc w:val="left"/>
              <w:rPr>
                <w:sz w:val="20"/>
              </w:rPr>
            </w:pPr>
            <w:r>
              <w:rPr>
                <w:sz w:val="20"/>
              </w:rPr>
              <w:t>Commercial and other HT</w:t>
            </w:r>
          </w:p>
        </w:tc>
        <w:tc>
          <w:tcPr>
            <w:tcW w:w="708" w:type="dxa"/>
          </w:tcPr>
          <w:p w:rsidR="007C5447" w:rsidRDefault="00F6308C">
            <w:pPr>
              <w:pStyle w:val="TableParagraph"/>
              <w:spacing w:before="14"/>
              <w:ind w:right="98"/>
              <w:rPr>
                <w:sz w:val="20"/>
              </w:rPr>
            </w:pPr>
            <w:r>
              <w:rPr>
                <w:sz w:val="20"/>
              </w:rPr>
              <w:t>9.91</w:t>
            </w:r>
          </w:p>
        </w:tc>
        <w:tc>
          <w:tcPr>
            <w:tcW w:w="994" w:type="dxa"/>
          </w:tcPr>
          <w:p w:rsidR="007C5447" w:rsidRDefault="00F6308C">
            <w:pPr>
              <w:pStyle w:val="TableParagraph"/>
              <w:spacing w:before="14"/>
              <w:ind w:right="98"/>
              <w:rPr>
                <w:sz w:val="20"/>
              </w:rPr>
            </w:pPr>
            <w:r>
              <w:rPr>
                <w:sz w:val="20"/>
              </w:rPr>
              <w:t>5.85</w:t>
            </w:r>
          </w:p>
        </w:tc>
        <w:tc>
          <w:tcPr>
            <w:tcW w:w="1274" w:type="dxa"/>
          </w:tcPr>
          <w:p w:rsidR="007C5447" w:rsidRDefault="00F6308C">
            <w:pPr>
              <w:pStyle w:val="TableParagraph"/>
              <w:spacing w:before="14"/>
              <w:ind w:right="92"/>
              <w:rPr>
                <w:sz w:val="20"/>
              </w:rPr>
            </w:pPr>
            <w:r>
              <w:rPr>
                <w:sz w:val="20"/>
              </w:rPr>
              <w:t>169%</w:t>
            </w:r>
          </w:p>
        </w:tc>
        <w:tc>
          <w:tcPr>
            <w:tcW w:w="852" w:type="dxa"/>
          </w:tcPr>
          <w:p w:rsidR="007C5447" w:rsidRDefault="00F6308C">
            <w:pPr>
              <w:pStyle w:val="TableParagraph"/>
              <w:spacing w:before="14"/>
              <w:ind w:right="98"/>
              <w:rPr>
                <w:sz w:val="20"/>
              </w:rPr>
            </w:pPr>
            <w:r>
              <w:rPr>
                <w:sz w:val="20"/>
              </w:rPr>
              <w:t>9.91</w:t>
            </w:r>
          </w:p>
        </w:tc>
        <w:tc>
          <w:tcPr>
            <w:tcW w:w="849" w:type="dxa"/>
          </w:tcPr>
          <w:p w:rsidR="007C5447" w:rsidRDefault="00F6308C">
            <w:pPr>
              <w:pStyle w:val="TableParagraph"/>
              <w:spacing w:before="14"/>
              <w:ind w:right="94"/>
              <w:rPr>
                <w:sz w:val="20"/>
              </w:rPr>
            </w:pPr>
            <w:r>
              <w:rPr>
                <w:sz w:val="20"/>
              </w:rPr>
              <w:t>5.85</w:t>
            </w:r>
          </w:p>
        </w:tc>
        <w:tc>
          <w:tcPr>
            <w:tcW w:w="1276" w:type="dxa"/>
          </w:tcPr>
          <w:p w:rsidR="007C5447" w:rsidRDefault="00F6308C">
            <w:pPr>
              <w:pStyle w:val="TableParagraph"/>
              <w:spacing w:before="14"/>
              <w:ind w:right="90"/>
              <w:rPr>
                <w:sz w:val="20"/>
              </w:rPr>
            </w:pPr>
            <w:r>
              <w:rPr>
                <w:sz w:val="20"/>
              </w:rPr>
              <w:t>169%</w:t>
            </w:r>
          </w:p>
        </w:tc>
      </w:tr>
      <w:tr w:rsidR="007C5447">
        <w:trPr>
          <w:trHeight w:val="313"/>
        </w:trPr>
        <w:tc>
          <w:tcPr>
            <w:tcW w:w="2977" w:type="dxa"/>
          </w:tcPr>
          <w:p w:rsidR="007C5447" w:rsidRDefault="00F6308C">
            <w:pPr>
              <w:pStyle w:val="TableParagraph"/>
              <w:spacing w:before="14"/>
              <w:ind w:left="107"/>
              <w:jc w:val="left"/>
              <w:rPr>
                <w:sz w:val="20"/>
              </w:rPr>
            </w:pPr>
            <w:r>
              <w:rPr>
                <w:sz w:val="20"/>
              </w:rPr>
              <w:t>Lift Irrigation and co-ops (HT)</w:t>
            </w:r>
          </w:p>
        </w:tc>
        <w:tc>
          <w:tcPr>
            <w:tcW w:w="708" w:type="dxa"/>
          </w:tcPr>
          <w:p w:rsidR="007C5447" w:rsidRDefault="00F6308C">
            <w:pPr>
              <w:pStyle w:val="TableParagraph"/>
              <w:spacing w:before="14"/>
              <w:ind w:right="98"/>
              <w:rPr>
                <w:sz w:val="20"/>
              </w:rPr>
            </w:pPr>
            <w:r>
              <w:rPr>
                <w:sz w:val="20"/>
              </w:rPr>
              <w:t>6.35</w:t>
            </w:r>
          </w:p>
        </w:tc>
        <w:tc>
          <w:tcPr>
            <w:tcW w:w="994" w:type="dxa"/>
          </w:tcPr>
          <w:p w:rsidR="007C5447" w:rsidRDefault="00F6308C">
            <w:pPr>
              <w:pStyle w:val="TableParagraph"/>
              <w:spacing w:before="14"/>
              <w:ind w:right="98"/>
              <w:rPr>
                <w:sz w:val="20"/>
              </w:rPr>
            </w:pPr>
            <w:r>
              <w:rPr>
                <w:sz w:val="20"/>
              </w:rPr>
              <w:t>5.85</w:t>
            </w:r>
          </w:p>
        </w:tc>
        <w:tc>
          <w:tcPr>
            <w:tcW w:w="1274" w:type="dxa"/>
          </w:tcPr>
          <w:p w:rsidR="007C5447" w:rsidRDefault="00F6308C">
            <w:pPr>
              <w:pStyle w:val="TableParagraph"/>
              <w:spacing w:before="14"/>
              <w:ind w:right="92"/>
              <w:rPr>
                <w:sz w:val="20"/>
              </w:rPr>
            </w:pPr>
            <w:r>
              <w:rPr>
                <w:sz w:val="20"/>
              </w:rPr>
              <w:t>108%</w:t>
            </w:r>
          </w:p>
        </w:tc>
        <w:tc>
          <w:tcPr>
            <w:tcW w:w="852" w:type="dxa"/>
          </w:tcPr>
          <w:p w:rsidR="007C5447" w:rsidRDefault="00F6308C">
            <w:pPr>
              <w:pStyle w:val="TableParagraph"/>
              <w:spacing w:before="14"/>
              <w:ind w:right="98"/>
              <w:rPr>
                <w:sz w:val="20"/>
              </w:rPr>
            </w:pPr>
            <w:r>
              <w:rPr>
                <w:sz w:val="20"/>
              </w:rPr>
              <w:t>6.35</w:t>
            </w:r>
          </w:p>
        </w:tc>
        <w:tc>
          <w:tcPr>
            <w:tcW w:w="849" w:type="dxa"/>
          </w:tcPr>
          <w:p w:rsidR="007C5447" w:rsidRDefault="00F6308C">
            <w:pPr>
              <w:pStyle w:val="TableParagraph"/>
              <w:spacing w:before="14"/>
              <w:ind w:right="94"/>
              <w:rPr>
                <w:sz w:val="20"/>
              </w:rPr>
            </w:pPr>
            <w:r>
              <w:rPr>
                <w:sz w:val="20"/>
              </w:rPr>
              <w:t>5.85</w:t>
            </w:r>
          </w:p>
        </w:tc>
        <w:tc>
          <w:tcPr>
            <w:tcW w:w="1276" w:type="dxa"/>
          </w:tcPr>
          <w:p w:rsidR="007C5447" w:rsidRDefault="00F6308C">
            <w:pPr>
              <w:pStyle w:val="TableParagraph"/>
              <w:spacing w:before="14"/>
              <w:ind w:right="90"/>
              <w:rPr>
                <w:sz w:val="20"/>
              </w:rPr>
            </w:pPr>
            <w:r>
              <w:rPr>
                <w:sz w:val="20"/>
              </w:rPr>
              <w:t>108%</w:t>
            </w:r>
          </w:p>
        </w:tc>
      </w:tr>
      <w:tr w:rsidR="007C5447">
        <w:trPr>
          <w:trHeight w:val="313"/>
        </w:trPr>
        <w:tc>
          <w:tcPr>
            <w:tcW w:w="8930" w:type="dxa"/>
            <w:gridSpan w:val="7"/>
          </w:tcPr>
          <w:p w:rsidR="007C5447" w:rsidRDefault="00F6308C">
            <w:pPr>
              <w:pStyle w:val="TableParagraph"/>
              <w:spacing w:before="14"/>
              <w:ind w:left="107"/>
              <w:jc w:val="left"/>
              <w:rPr>
                <w:b/>
                <w:sz w:val="20"/>
              </w:rPr>
            </w:pPr>
            <w:r>
              <w:rPr>
                <w:b/>
                <w:sz w:val="20"/>
              </w:rPr>
              <w:t>LT Category</w:t>
            </w:r>
          </w:p>
        </w:tc>
      </w:tr>
      <w:tr w:rsidR="007C5447">
        <w:trPr>
          <w:trHeight w:val="314"/>
        </w:trPr>
        <w:tc>
          <w:tcPr>
            <w:tcW w:w="2977" w:type="dxa"/>
          </w:tcPr>
          <w:p w:rsidR="007C5447" w:rsidRDefault="00F6308C">
            <w:pPr>
              <w:pStyle w:val="TableParagraph"/>
              <w:spacing w:before="14"/>
              <w:ind w:left="107"/>
              <w:jc w:val="left"/>
              <w:rPr>
                <w:sz w:val="20"/>
              </w:rPr>
            </w:pPr>
            <w:r>
              <w:rPr>
                <w:sz w:val="20"/>
              </w:rPr>
              <w:t>Domestic</w:t>
            </w:r>
          </w:p>
        </w:tc>
        <w:tc>
          <w:tcPr>
            <w:tcW w:w="708" w:type="dxa"/>
          </w:tcPr>
          <w:p w:rsidR="007C5447" w:rsidRDefault="00F6308C">
            <w:pPr>
              <w:pStyle w:val="TableParagraph"/>
              <w:spacing w:before="14"/>
              <w:ind w:right="98"/>
              <w:rPr>
                <w:sz w:val="20"/>
              </w:rPr>
            </w:pPr>
            <w:r>
              <w:rPr>
                <w:sz w:val="20"/>
              </w:rPr>
              <w:t>4.32</w:t>
            </w:r>
          </w:p>
        </w:tc>
        <w:tc>
          <w:tcPr>
            <w:tcW w:w="994" w:type="dxa"/>
          </w:tcPr>
          <w:p w:rsidR="007C5447" w:rsidRDefault="00F6308C">
            <w:pPr>
              <w:pStyle w:val="TableParagraph"/>
              <w:spacing w:before="14"/>
              <w:ind w:right="98"/>
              <w:rPr>
                <w:sz w:val="20"/>
              </w:rPr>
            </w:pPr>
            <w:r>
              <w:rPr>
                <w:sz w:val="20"/>
              </w:rPr>
              <w:t>5.85</w:t>
            </w:r>
          </w:p>
        </w:tc>
        <w:tc>
          <w:tcPr>
            <w:tcW w:w="1274" w:type="dxa"/>
          </w:tcPr>
          <w:p w:rsidR="007C5447" w:rsidRDefault="00F6308C">
            <w:pPr>
              <w:pStyle w:val="TableParagraph"/>
              <w:spacing w:before="14"/>
              <w:ind w:right="94"/>
              <w:rPr>
                <w:sz w:val="20"/>
              </w:rPr>
            </w:pPr>
            <w:r>
              <w:rPr>
                <w:sz w:val="20"/>
              </w:rPr>
              <w:t>74%</w:t>
            </w:r>
          </w:p>
        </w:tc>
        <w:tc>
          <w:tcPr>
            <w:tcW w:w="852" w:type="dxa"/>
          </w:tcPr>
          <w:p w:rsidR="007C5447" w:rsidRDefault="00F6308C">
            <w:pPr>
              <w:pStyle w:val="TableParagraph"/>
              <w:spacing w:before="14"/>
              <w:ind w:right="98"/>
              <w:rPr>
                <w:sz w:val="20"/>
              </w:rPr>
            </w:pPr>
            <w:r>
              <w:rPr>
                <w:sz w:val="20"/>
              </w:rPr>
              <w:t>3.52</w:t>
            </w:r>
          </w:p>
        </w:tc>
        <w:tc>
          <w:tcPr>
            <w:tcW w:w="849" w:type="dxa"/>
          </w:tcPr>
          <w:p w:rsidR="007C5447" w:rsidRDefault="00F6308C">
            <w:pPr>
              <w:pStyle w:val="TableParagraph"/>
              <w:spacing w:before="14"/>
              <w:ind w:right="94"/>
              <w:rPr>
                <w:sz w:val="20"/>
              </w:rPr>
            </w:pPr>
            <w:r>
              <w:rPr>
                <w:sz w:val="20"/>
              </w:rPr>
              <w:t>5.85</w:t>
            </w:r>
          </w:p>
        </w:tc>
        <w:tc>
          <w:tcPr>
            <w:tcW w:w="1276" w:type="dxa"/>
          </w:tcPr>
          <w:p w:rsidR="007C5447" w:rsidRDefault="00F6308C">
            <w:pPr>
              <w:pStyle w:val="TableParagraph"/>
              <w:spacing w:before="14"/>
              <w:ind w:right="92"/>
              <w:rPr>
                <w:sz w:val="20"/>
              </w:rPr>
            </w:pPr>
            <w:r>
              <w:rPr>
                <w:sz w:val="20"/>
              </w:rPr>
              <w:t>60%</w:t>
            </w:r>
          </w:p>
        </w:tc>
      </w:tr>
      <w:tr w:rsidR="007C5447">
        <w:trPr>
          <w:trHeight w:val="314"/>
        </w:trPr>
        <w:tc>
          <w:tcPr>
            <w:tcW w:w="2977" w:type="dxa"/>
          </w:tcPr>
          <w:p w:rsidR="007C5447" w:rsidRDefault="00F6308C">
            <w:pPr>
              <w:pStyle w:val="TableParagraph"/>
              <w:spacing w:before="15"/>
              <w:ind w:left="107"/>
              <w:jc w:val="left"/>
              <w:rPr>
                <w:sz w:val="20"/>
              </w:rPr>
            </w:pPr>
            <w:r>
              <w:rPr>
                <w:sz w:val="20"/>
              </w:rPr>
              <w:t>Huts</w:t>
            </w:r>
          </w:p>
        </w:tc>
        <w:tc>
          <w:tcPr>
            <w:tcW w:w="708" w:type="dxa"/>
          </w:tcPr>
          <w:p w:rsidR="007C5447" w:rsidRDefault="00F6308C">
            <w:pPr>
              <w:pStyle w:val="TableParagraph"/>
              <w:spacing w:before="15"/>
              <w:ind w:right="98"/>
              <w:rPr>
                <w:sz w:val="20"/>
              </w:rPr>
            </w:pPr>
            <w:r>
              <w:rPr>
                <w:sz w:val="20"/>
              </w:rPr>
              <w:t>3.00</w:t>
            </w:r>
          </w:p>
        </w:tc>
        <w:tc>
          <w:tcPr>
            <w:tcW w:w="994" w:type="dxa"/>
          </w:tcPr>
          <w:p w:rsidR="007C5447" w:rsidRDefault="00F6308C">
            <w:pPr>
              <w:pStyle w:val="TableParagraph"/>
              <w:spacing w:before="15"/>
              <w:ind w:right="98"/>
              <w:rPr>
                <w:sz w:val="20"/>
              </w:rPr>
            </w:pPr>
            <w:r>
              <w:rPr>
                <w:sz w:val="20"/>
              </w:rPr>
              <w:t>5.85</w:t>
            </w:r>
          </w:p>
        </w:tc>
        <w:tc>
          <w:tcPr>
            <w:tcW w:w="1274" w:type="dxa"/>
          </w:tcPr>
          <w:p w:rsidR="007C5447" w:rsidRDefault="00F6308C">
            <w:pPr>
              <w:pStyle w:val="TableParagraph"/>
              <w:spacing w:before="15"/>
              <w:ind w:right="95"/>
              <w:rPr>
                <w:sz w:val="20"/>
              </w:rPr>
            </w:pPr>
            <w:r>
              <w:rPr>
                <w:sz w:val="20"/>
              </w:rPr>
              <w:t>51%</w:t>
            </w:r>
          </w:p>
        </w:tc>
        <w:tc>
          <w:tcPr>
            <w:tcW w:w="852" w:type="dxa"/>
          </w:tcPr>
          <w:p w:rsidR="007C5447" w:rsidRDefault="00F6308C">
            <w:pPr>
              <w:pStyle w:val="TableParagraph"/>
              <w:spacing w:before="15"/>
              <w:ind w:right="98"/>
              <w:rPr>
                <w:sz w:val="20"/>
              </w:rPr>
            </w:pPr>
            <w:r>
              <w:rPr>
                <w:sz w:val="20"/>
              </w:rPr>
              <w:t>3.00</w:t>
            </w:r>
          </w:p>
        </w:tc>
        <w:tc>
          <w:tcPr>
            <w:tcW w:w="849" w:type="dxa"/>
          </w:tcPr>
          <w:p w:rsidR="007C5447" w:rsidRDefault="00F6308C">
            <w:pPr>
              <w:pStyle w:val="TableParagraph"/>
              <w:spacing w:before="15"/>
              <w:ind w:right="94"/>
              <w:rPr>
                <w:sz w:val="20"/>
              </w:rPr>
            </w:pPr>
            <w:r>
              <w:rPr>
                <w:sz w:val="20"/>
              </w:rPr>
              <w:t>5.85</w:t>
            </w:r>
          </w:p>
        </w:tc>
        <w:tc>
          <w:tcPr>
            <w:tcW w:w="1276" w:type="dxa"/>
          </w:tcPr>
          <w:p w:rsidR="007C5447" w:rsidRDefault="00F6308C">
            <w:pPr>
              <w:pStyle w:val="TableParagraph"/>
              <w:spacing w:before="15"/>
              <w:ind w:right="92"/>
              <w:rPr>
                <w:sz w:val="20"/>
              </w:rPr>
            </w:pPr>
            <w:r>
              <w:rPr>
                <w:sz w:val="20"/>
              </w:rPr>
              <w:t>51%</w:t>
            </w:r>
          </w:p>
        </w:tc>
      </w:tr>
      <w:tr w:rsidR="007C5447">
        <w:trPr>
          <w:trHeight w:val="313"/>
        </w:trPr>
        <w:tc>
          <w:tcPr>
            <w:tcW w:w="2977" w:type="dxa"/>
          </w:tcPr>
          <w:p w:rsidR="007C5447" w:rsidRDefault="00F6308C">
            <w:pPr>
              <w:pStyle w:val="TableParagraph"/>
              <w:spacing w:before="14"/>
              <w:ind w:left="107"/>
              <w:jc w:val="left"/>
              <w:rPr>
                <w:sz w:val="20"/>
              </w:rPr>
            </w:pPr>
            <w:r>
              <w:rPr>
                <w:sz w:val="20"/>
              </w:rPr>
              <w:t>Bulk supply</w:t>
            </w:r>
          </w:p>
        </w:tc>
        <w:tc>
          <w:tcPr>
            <w:tcW w:w="708" w:type="dxa"/>
          </w:tcPr>
          <w:p w:rsidR="007C5447" w:rsidRDefault="00F6308C">
            <w:pPr>
              <w:pStyle w:val="TableParagraph"/>
              <w:spacing w:before="14"/>
              <w:ind w:right="98"/>
              <w:rPr>
                <w:sz w:val="20"/>
              </w:rPr>
            </w:pPr>
            <w:r>
              <w:rPr>
                <w:sz w:val="20"/>
              </w:rPr>
              <w:t>4.64</w:t>
            </w:r>
          </w:p>
        </w:tc>
        <w:tc>
          <w:tcPr>
            <w:tcW w:w="994" w:type="dxa"/>
          </w:tcPr>
          <w:p w:rsidR="007C5447" w:rsidRDefault="00F6308C">
            <w:pPr>
              <w:pStyle w:val="TableParagraph"/>
              <w:spacing w:before="14"/>
              <w:ind w:right="98"/>
              <w:rPr>
                <w:sz w:val="20"/>
              </w:rPr>
            </w:pPr>
            <w:r>
              <w:rPr>
                <w:sz w:val="20"/>
              </w:rPr>
              <w:t>5.85</w:t>
            </w:r>
          </w:p>
        </w:tc>
        <w:tc>
          <w:tcPr>
            <w:tcW w:w="1274" w:type="dxa"/>
          </w:tcPr>
          <w:p w:rsidR="007C5447" w:rsidRDefault="00F6308C">
            <w:pPr>
              <w:pStyle w:val="TableParagraph"/>
              <w:spacing w:before="14"/>
              <w:ind w:right="94"/>
              <w:rPr>
                <w:sz w:val="20"/>
              </w:rPr>
            </w:pPr>
            <w:r>
              <w:rPr>
                <w:sz w:val="20"/>
              </w:rPr>
              <w:t>79%</w:t>
            </w:r>
          </w:p>
        </w:tc>
        <w:tc>
          <w:tcPr>
            <w:tcW w:w="852" w:type="dxa"/>
          </w:tcPr>
          <w:p w:rsidR="007C5447" w:rsidRDefault="00F6308C">
            <w:pPr>
              <w:pStyle w:val="TableParagraph"/>
              <w:spacing w:before="14"/>
              <w:ind w:right="98"/>
              <w:rPr>
                <w:sz w:val="20"/>
              </w:rPr>
            </w:pPr>
            <w:r>
              <w:rPr>
                <w:sz w:val="20"/>
              </w:rPr>
              <w:t>4.64</w:t>
            </w:r>
          </w:p>
        </w:tc>
        <w:tc>
          <w:tcPr>
            <w:tcW w:w="849" w:type="dxa"/>
          </w:tcPr>
          <w:p w:rsidR="007C5447" w:rsidRDefault="00F6308C">
            <w:pPr>
              <w:pStyle w:val="TableParagraph"/>
              <w:spacing w:before="14"/>
              <w:ind w:right="94"/>
              <w:rPr>
                <w:sz w:val="20"/>
              </w:rPr>
            </w:pPr>
            <w:r>
              <w:rPr>
                <w:sz w:val="20"/>
              </w:rPr>
              <w:t>5.85</w:t>
            </w:r>
          </w:p>
        </w:tc>
        <w:tc>
          <w:tcPr>
            <w:tcW w:w="1276" w:type="dxa"/>
          </w:tcPr>
          <w:p w:rsidR="007C5447" w:rsidRDefault="00F6308C">
            <w:pPr>
              <w:pStyle w:val="TableParagraph"/>
              <w:spacing w:before="14"/>
              <w:ind w:right="92"/>
              <w:rPr>
                <w:sz w:val="20"/>
              </w:rPr>
            </w:pPr>
            <w:r>
              <w:rPr>
                <w:sz w:val="20"/>
              </w:rPr>
              <w:t>79%</w:t>
            </w:r>
          </w:p>
        </w:tc>
      </w:tr>
      <w:tr w:rsidR="007C5447">
        <w:trPr>
          <w:trHeight w:val="313"/>
        </w:trPr>
        <w:tc>
          <w:tcPr>
            <w:tcW w:w="2977" w:type="dxa"/>
          </w:tcPr>
          <w:p w:rsidR="007C5447" w:rsidRDefault="00F6308C">
            <w:pPr>
              <w:pStyle w:val="TableParagraph"/>
              <w:spacing w:before="14"/>
              <w:ind w:left="107"/>
              <w:jc w:val="left"/>
              <w:rPr>
                <w:sz w:val="20"/>
              </w:rPr>
            </w:pPr>
            <w:r>
              <w:rPr>
                <w:sz w:val="20"/>
              </w:rPr>
              <w:t>Public Lighting &amp; Water Works</w:t>
            </w:r>
          </w:p>
        </w:tc>
        <w:tc>
          <w:tcPr>
            <w:tcW w:w="708" w:type="dxa"/>
          </w:tcPr>
          <w:p w:rsidR="007C5447" w:rsidRDefault="00F6308C">
            <w:pPr>
              <w:pStyle w:val="TableParagraph"/>
              <w:spacing w:before="14"/>
              <w:ind w:right="98"/>
              <w:rPr>
                <w:sz w:val="20"/>
              </w:rPr>
            </w:pPr>
            <w:r>
              <w:rPr>
                <w:sz w:val="20"/>
              </w:rPr>
              <w:t>6.90</w:t>
            </w:r>
          </w:p>
        </w:tc>
        <w:tc>
          <w:tcPr>
            <w:tcW w:w="994" w:type="dxa"/>
          </w:tcPr>
          <w:p w:rsidR="007C5447" w:rsidRDefault="00F6308C">
            <w:pPr>
              <w:pStyle w:val="TableParagraph"/>
              <w:spacing w:before="14"/>
              <w:ind w:right="98"/>
              <w:rPr>
                <w:sz w:val="20"/>
              </w:rPr>
            </w:pPr>
            <w:r>
              <w:rPr>
                <w:sz w:val="20"/>
              </w:rPr>
              <w:t>5.85</w:t>
            </w:r>
          </w:p>
        </w:tc>
        <w:tc>
          <w:tcPr>
            <w:tcW w:w="1274" w:type="dxa"/>
          </w:tcPr>
          <w:p w:rsidR="007C5447" w:rsidRDefault="00F6308C">
            <w:pPr>
              <w:pStyle w:val="TableParagraph"/>
              <w:spacing w:before="14"/>
              <w:ind w:right="92"/>
              <w:rPr>
                <w:sz w:val="20"/>
              </w:rPr>
            </w:pPr>
            <w:r>
              <w:rPr>
                <w:sz w:val="20"/>
              </w:rPr>
              <w:t>118%</w:t>
            </w:r>
          </w:p>
        </w:tc>
        <w:tc>
          <w:tcPr>
            <w:tcW w:w="852" w:type="dxa"/>
          </w:tcPr>
          <w:p w:rsidR="007C5447" w:rsidRDefault="00F6308C">
            <w:pPr>
              <w:pStyle w:val="TableParagraph"/>
              <w:spacing w:before="14"/>
              <w:ind w:right="98"/>
              <w:rPr>
                <w:sz w:val="20"/>
              </w:rPr>
            </w:pPr>
            <w:r>
              <w:rPr>
                <w:sz w:val="20"/>
              </w:rPr>
              <w:t>6.90</w:t>
            </w:r>
          </w:p>
        </w:tc>
        <w:tc>
          <w:tcPr>
            <w:tcW w:w="849" w:type="dxa"/>
          </w:tcPr>
          <w:p w:rsidR="007C5447" w:rsidRDefault="00F6308C">
            <w:pPr>
              <w:pStyle w:val="TableParagraph"/>
              <w:spacing w:before="14"/>
              <w:ind w:right="94"/>
              <w:rPr>
                <w:sz w:val="20"/>
              </w:rPr>
            </w:pPr>
            <w:r>
              <w:rPr>
                <w:sz w:val="20"/>
              </w:rPr>
              <w:t>5.85</w:t>
            </w:r>
          </w:p>
        </w:tc>
        <w:tc>
          <w:tcPr>
            <w:tcW w:w="1276" w:type="dxa"/>
          </w:tcPr>
          <w:p w:rsidR="007C5447" w:rsidRDefault="00F6308C">
            <w:pPr>
              <w:pStyle w:val="TableParagraph"/>
              <w:spacing w:before="14"/>
              <w:ind w:right="90"/>
              <w:rPr>
                <w:sz w:val="20"/>
              </w:rPr>
            </w:pPr>
            <w:r>
              <w:rPr>
                <w:sz w:val="20"/>
              </w:rPr>
              <w:t>118%</w:t>
            </w:r>
          </w:p>
        </w:tc>
      </w:tr>
      <w:tr w:rsidR="007C5447">
        <w:trPr>
          <w:trHeight w:val="489"/>
        </w:trPr>
        <w:tc>
          <w:tcPr>
            <w:tcW w:w="2977" w:type="dxa"/>
          </w:tcPr>
          <w:p w:rsidR="007C5447" w:rsidRDefault="00F6308C">
            <w:pPr>
              <w:pStyle w:val="TableParagraph"/>
              <w:spacing w:before="14" w:line="230" w:lineRule="atLeast"/>
              <w:ind w:left="107" w:right="52"/>
              <w:jc w:val="left"/>
              <w:rPr>
                <w:sz w:val="20"/>
              </w:rPr>
            </w:pPr>
            <w:r>
              <w:rPr>
                <w:sz w:val="20"/>
              </w:rPr>
              <w:t>Government Educational Institution</w:t>
            </w:r>
          </w:p>
        </w:tc>
        <w:tc>
          <w:tcPr>
            <w:tcW w:w="708" w:type="dxa"/>
          </w:tcPr>
          <w:p w:rsidR="007C5447" w:rsidRDefault="00F6308C">
            <w:pPr>
              <w:pStyle w:val="TableParagraph"/>
              <w:spacing w:before="14"/>
              <w:ind w:right="98"/>
              <w:rPr>
                <w:sz w:val="20"/>
              </w:rPr>
            </w:pPr>
            <w:r>
              <w:rPr>
                <w:sz w:val="20"/>
              </w:rPr>
              <w:t>6.85</w:t>
            </w:r>
          </w:p>
        </w:tc>
        <w:tc>
          <w:tcPr>
            <w:tcW w:w="994" w:type="dxa"/>
          </w:tcPr>
          <w:p w:rsidR="007C5447" w:rsidRDefault="00F6308C">
            <w:pPr>
              <w:pStyle w:val="TableParagraph"/>
              <w:spacing w:before="14"/>
              <w:ind w:right="98"/>
              <w:rPr>
                <w:sz w:val="20"/>
              </w:rPr>
            </w:pPr>
            <w:r>
              <w:rPr>
                <w:sz w:val="20"/>
              </w:rPr>
              <w:t>5.85</w:t>
            </w:r>
          </w:p>
        </w:tc>
        <w:tc>
          <w:tcPr>
            <w:tcW w:w="1274" w:type="dxa"/>
          </w:tcPr>
          <w:p w:rsidR="007C5447" w:rsidRDefault="00F6308C">
            <w:pPr>
              <w:pStyle w:val="TableParagraph"/>
              <w:spacing w:before="14"/>
              <w:ind w:right="92"/>
              <w:rPr>
                <w:sz w:val="20"/>
              </w:rPr>
            </w:pPr>
            <w:r>
              <w:rPr>
                <w:sz w:val="20"/>
              </w:rPr>
              <w:t>117%</w:t>
            </w:r>
          </w:p>
        </w:tc>
        <w:tc>
          <w:tcPr>
            <w:tcW w:w="852" w:type="dxa"/>
          </w:tcPr>
          <w:p w:rsidR="007C5447" w:rsidRDefault="00F6308C">
            <w:pPr>
              <w:pStyle w:val="TableParagraph"/>
              <w:spacing w:before="14"/>
              <w:ind w:right="98"/>
              <w:rPr>
                <w:sz w:val="20"/>
              </w:rPr>
            </w:pPr>
            <w:r>
              <w:rPr>
                <w:sz w:val="20"/>
              </w:rPr>
              <w:t>6.85</w:t>
            </w:r>
          </w:p>
        </w:tc>
        <w:tc>
          <w:tcPr>
            <w:tcW w:w="849" w:type="dxa"/>
          </w:tcPr>
          <w:p w:rsidR="007C5447" w:rsidRDefault="00F6308C">
            <w:pPr>
              <w:pStyle w:val="TableParagraph"/>
              <w:spacing w:before="14"/>
              <w:ind w:right="94"/>
              <w:rPr>
                <w:sz w:val="20"/>
              </w:rPr>
            </w:pPr>
            <w:r>
              <w:rPr>
                <w:sz w:val="20"/>
              </w:rPr>
              <w:t>5.85</w:t>
            </w:r>
          </w:p>
        </w:tc>
        <w:tc>
          <w:tcPr>
            <w:tcW w:w="1276" w:type="dxa"/>
          </w:tcPr>
          <w:p w:rsidR="007C5447" w:rsidRDefault="00F6308C">
            <w:pPr>
              <w:pStyle w:val="TableParagraph"/>
              <w:spacing w:before="14"/>
              <w:ind w:right="90"/>
              <w:rPr>
                <w:sz w:val="20"/>
              </w:rPr>
            </w:pPr>
            <w:r>
              <w:rPr>
                <w:sz w:val="20"/>
              </w:rPr>
              <w:t>117%</w:t>
            </w:r>
          </w:p>
        </w:tc>
      </w:tr>
      <w:tr w:rsidR="007C5447">
        <w:trPr>
          <w:trHeight w:val="313"/>
        </w:trPr>
        <w:tc>
          <w:tcPr>
            <w:tcW w:w="2977" w:type="dxa"/>
          </w:tcPr>
          <w:p w:rsidR="007C5447" w:rsidRDefault="00F6308C">
            <w:pPr>
              <w:pStyle w:val="TableParagraph"/>
              <w:spacing w:before="14"/>
              <w:ind w:left="107"/>
              <w:jc w:val="left"/>
              <w:rPr>
                <w:sz w:val="20"/>
              </w:rPr>
            </w:pPr>
            <w:r>
              <w:rPr>
                <w:sz w:val="20"/>
              </w:rPr>
              <w:t>Pvt. Educational Institutions</w:t>
            </w:r>
          </w:p>
        </w:tc>
        <w:tc>
          <w:tcPr>
            <w:tcW w:w="708" w:type="dxa"/>
          </w:tcPr>
          <w:p w:rsidR="007C5447" w:rsidRDefault="00F6308C">
            <w:pPr>
              <w:pStyle w:val="TableParagraph"/>
              <w:spacing w:before="14"/>
              <w:ind w:right="98"/>
              <w:rPr>
                <w:sz w:val="20"/>
              </w:rPr>
            </w:pPr>
            <w:r>
              <w:rPr>
                <w:sz w:val="20"/>
              </w:rPr>
              <w:t>8.34</w:t>
            </w:r>
          </w:p>
        </w:tc>
        <w:tc>
          <w:tcPr>
            <w:tcW w:w="994" w:type="dxa"/>
          </w:tcPr>
          <w:p w:rsidR="007C5447" w:rsidRDefault="00F6308C">
            <w:pPr>
              <w:pStyle w:val="TableParagraph"/>
              <w:spacing w:before="14"/>
              <w:ind w:right="98"/>
              <w:rPr>
                <w:sz w:val="20"/>
              </w:rPr>
            </w:pPr>
            <w:r>
              <w:rPr>
                <w:sz w:val="20"/>
              </w:rPr>
              <w:t>5.85</w:t>
            </w:r>
          </w:p>
        </w:tc>
        <w:tc>
          <w:tcPr>
            <w:tcW w:w="1274" w:type="dxa"/>
          </w:tcPr>
          <w:p w:rsidR="007C5447" w:rsidRDefault="00F6308C">
            <w:pPr>
              <w:pStyle w:val="TableParagraph"/>
              <w:spacing w:before="14"/>
              <w:ind w:right="92"/>
              <w:rPr>
                <w:sz w:val="20"/>
              </w:rPr>
            </w:pPr>
            <w:r>
              <w:rPr>
                <w:sz w:val="20"/>
              </w:rPr>
              <w:t>142%</w:t>
            </w:r>
          </w:p>
        </w:tc>
        <w:tc>
          <w:tcPr>
            <w:tcW w:w="852" w:type="dxa"/>
          </w:tcPr>
          <w:p w:rsidR="007C5447" w:rsidRDefault="00F6308C">
            <w:pPr>
              <w:pStyle w:val="TableParagraph"/>
              <w:spacing w:before="14"/>
              <w:ind w:right="98"/>
              <w:rPr>
                <w:sz w:val="20"/>
              </w:rPr>
            </w:pPr>
            <w:r>
              <w:rPr>
                <w:sz w:val="20"/>
              </w:rPr>
              <w:t>8.34</w:t>
            </w:r>
          </w:p>
        </w:tc>
        <w:tc>
          <w:tcPr>
            <w:tcW w:w="849" w:type="dxa"/>
          </w:tcPr>
          <w:p w:rsidR="007C5447" w:rsidRDefault="00F6308C">
            <w:pPr>
              <w:pStyle w:val="TableParagraph"/>
              <w:spacing w:before="14"/>
              <w:ind w:right="94"/>
              <w:rPr>
                <w:sz w:val="20"/>
              </w:rPr>
            </w:pPr>
            <w:r>
              <w:rPr>
                <w:sz w:val="20"/>
              </w:rPr>
              <w:t>5.85</w:t>
            </w:r>
          </w:p>
        </w:tc>
        <w:tc>
          <w:tcPr>
            <w:tcW w:w="1276" w:type="dxa"/>
          </w:tcPr>
          <w:p w:rsidR="007C5447" w:rsidRDefault="00F6308C">
            <w:pPr>
              <w:pStyle w:val="TableParagraph"/>
              <w:spacing w:before="14"/>
              <w:ind w:right="90"/>
              <w:rPr>
                <w:sz w:val="20"/>
              </w:rPr>
            </w:pPr>
            <w:r>
              <w:rPr>
                <w:sz w:val="20"/>
              </w:rPr>
              <w:t>142%</w:t>
            </w:r>
          </w:p>
        </w:tc>
      </w:tr>
      <w:tr w:rsidR="007C5447">
        <w:trPr>
          <w:trHeight w:val="314"/>
        </w:trPr>
        <w:tc>
          <w:tcPr>
            <w:tcW w:w="2977" w:type="dxa"/>
          </w:tcPr>
          <w:p w:rsidR="007C5447" w:rsidRDefault="00F6308C">
            <w:pPr>
              <w:pStyle w:val="TableParagraph"/>
              <w:spacing w:before="14"/>
              <w:ind w:left="107"/>
              <w:jc w:val="left"/>
              <w:rPr>
                <w:sz w:val="20"/>
              </w:rPr>
            </w:pPr>
            <w:r>
              <w:rPr>
                <w:sz w:val="20"/>
              </w:rPr>
              <w:t>Places of Public Worship (LT)</w:t>
            </w:r>
          </w:p>
        </w:tc>
        <w:tc>
          <w:tcPr>
            <w:tcW w:w="708" w:type="dxa"/>
          </w:tcPr>
          <w:p w:rsidR="007C5447" w:rsidRDefault="00F6308C">
            <w:pPr>
              <w:pStyle w:val="TableParagraph"/>
              <w:spacing w:before="14"/>
              <w:ind w:right="98"/>
              <w:rPr>
                <w:sz w:val="20"/>
              </w:rPr>
            </w:pPr>
            <w:r>
              <w:rPr>
                <w:sz w:val="20"/>
              </w:rPr>
              <w:t>6.92</w:t>
            </w:r>
          </w:p>
        </w:tc>
        <w:tc>
          <w:tcPr>
            <w:tcW w:w="994" w:type="dxa"/>
          </w:tcPr>
          <w:p w:rsidR="007C5447" w:rsidRDefault="00F6308C">
            <w:pPr>
              <w:pStyle w:val="TableParagraph"/>
              <w:spacing w:before="14"/>
              <w:ind w:right="98"/>
              <w:rPr>
                <w:sz w:val="20"/>
              </w:rPr>
            </w:pPr>
            <w:r>
              <w:rPr>
                <w:sz w:val="20"/>
              </w:rPr>
              <w:t>5.85</w:t>
            </w:r>
          </w:p>
        </w:tc>
        <w:tc>
          <w:tcPr>
            <w:tcW w:w="1274" w:type="dxa"/>
          </w:tcPr>
          <w:p w:rsidR="007C5447" w:rsidRDefault="00F6308C">
            <w:pPr>
              <w:pStyle w:val="TableParagraph"/>
              <w:spacing w:before="14"/>
              <w:ind w:right="92"/>
              <w:rPr>
                <w:sz w:val="20"/>
              </w:rPr>
            </w:pPr>
            <w:r>
              <w:rPr>
                <w:sz w:val="20"/>
              </w:rPr>
              <w:t>118%</w:t>
            </w:r>
          </w:p>
        </w:tc>
        <w:tc>
          <w:tcPr>
            <w:tcW w:w="852" w:type="dxa"/>
          </w:tcPr>
          <w:p w:rsidR="007C5447" w:rsidRDefault="00F6308C">
            <w:pPr>
              <w:pStyle w:val="TableParagraph"/>
              <w:spacing w:before="14"/>
              <w:ind w:right="98"/>
              <w:rPr>
                <w:sz w:val="20"/>
              </w:rPr>
            </w:pPr>
            <w:r>
              <w:rPr>
                <w:sz w:val="20"/>
              </w:rPr>
              <w:t>6.92</w:t>
            </w:r>
          </w:p>
        </w:tc>
        <w:tc>
          <w:tcPr>
            <w:tcW w:w="849" w:type="dxa"/>
          </w:tcPr>
          <w:p w:rsidR="007C5447" w:rsidRDefault="00F6308C">
            <w:pPr>
              <w:pStyle w:val="TableParagraph"/>
              <w:spacing w:before="14"/>
              <w:ind w:right="94"/>
              <w:rPr>
                <w:sz w:val="20"/>
              </w:rPr>
            </w:pPr>
            <w:r>
              <w:rPr>
                <w:sz w:val="20"/>
              </w:rPr>
              <w:t>5.85</w:t>
            </w:r>
          </w:p>
        </w:tc>
        <w:tc>
          <w:tcPr>
            <w:tcW w:w="1276" w:type="dxa"/>
          </w:tcPr>
          <w:p w:rsidR="007C5447" w:rsidRDefault="00F6308C">
            <w:pPr>
              <w:pStyle w:val="TableParagraph"/>
              <w:spacing w:before="14"/>
              <w:ind w:right="90"/>
              <w:rPr>
                <w:sz w:val="20"/>
              </w:rPr>
            </w:pPr>
            <w:r>
              <w:rPr>
                <w:sz w:val="20"/>
              </w:rPr>
              <w:t>118%</w:t>
            </w:r>
          </w:p>
        </w:tc>
      </w:tr>
      <w:tr w:rsidR="007C5447">
        <w:trPr>
          <w:trHeight w:val="313"/>
        </w:trPr>
        <w:tc>
          <w:tcPr>
            <w:tcW w:w="2977" w:type="dxa"/>
          </w:tcPr>
          <w:p w:rsidR="007C5447" w:rsidRDefault="00F6308C">
            <w:pPr>
              <w:pStyle w:val="TableParagraph"/>
              <w:spacing w:before="14"/>
              <w:ind w:left="107"/>
              <w:jc w:val="left"/>
              <w:rPr>
                <w:sz w:val="20"/>
              </w:rPr>
            </w:pPr>
            <w:r>
              <w:rPr>
                <w:sz w:val="20"/>
              </w:rPr>
              <w:t>Cottage and Tiny Industries</w:t>
            </w:r>
          </w:p>
        </w:tc>
        <w:tc>
          <w:tcPr>
            <w:tcW w:w="708" w:type="dxa"/>
          </w:tcPr>
          <w:p w:rsidR="007C5447" w:rsidRDefault="00F6308C">
            <w:pPr>
              <w:pStyle w:val="TableParagraph"/>
              <w:spacing w:before="14"/>
              <w:ind w:right="98"/>
              <w:rPr>
                <w:sz w:val="20"/>
              </w:rPr>
            </w:pPr>
            <w:r>
              <w:rPr>
                <w:sz w:val="20"/>
              </w:rPr>
              <w:t>5.06</w:t>
            </w:r>
          </w:p>
        </w:tc>
        <w:tc>
          <w:tcPr>
            <w:tcW w:w="994" w:type="dxa"/>
          </w:tcPr>
          <w:p w:rsidR="007C5447" w:rsidRDefault="00F6308C">
            <w:pPr>
              <w:pStyle w:val="TableParagraph"/>
              <w:spacing w:before="14"/>
              <w:ind w:right="98"/>
              <w:rPr>
                <w:sz w:val="20"/>
              </w:rPr>
            </w:pPr>
            <w:r>
              <w:rPr>
                <w:sz w:val="20"/>
              </w:rPr>
              <w:t>5.85</w:t>
            </w:r>
          </w:p>
        </w:tc>
        <w:tc>
          <w:tcPr>
            <w:tcW w:w="1274" w:type="dxa"/>
          </w:tcPr>
          <w:p w:rsidR="007C5447" w:rsidRDefault="00F6308C">
            <w:pPr>
              <w:pStyle w:val="TableParagraph"/>
              <w:spacing w:before="14"/>
              <w:ind w:right="94"/>
              <w:rPr>
                <w:sz w:val="20"/>
              </w:rPr>
            </w:pPr>
            <w:r>
              <w:rPr>
                <w:sz w:val="20"/>
              </w:rPr>
              <w:t>86%</w:t>
            </w:r>
          </w:p>
        </w:tc>
        <w:tc>
          <w:tcPr>
            <w:tcW w:w="852" w:type="dxa"/>
          </w:tcPr>
          <w:p w:rsidR="007C5447" w:rsidRDefault="00F6308C">
            <w:pPr>
              <w:pStyle w:val="TableParagraph"/>
              <w:spacing w:before="14"/>
              <w:ind w:right="98"/>
              <w:rPr>
                <w:sz w:val="20"/>
              </w:rPr>
            </w:pPr>
            <w:r>
              <w:rPr>
                <w:sz w:val="20"/>
              </w:rPr>
              <w:t>5.06</w:t>
            </w:r>
          </w:p>
        </w:tc>
        <w:tc>
          <w:tcPr>
            <w:tcW w:w="849" w:type="dxa"/>
          </w:tcPr>
          <w:p w:rsidR="007C5447" w:rsidRDefault="00F6308C">
            <w:pPr>
              <w:pStyle w:val="TableParagraph"/>
              <w:spacing w:before="14"/>
              <w:ind w:right="94"/>
              <w:rPr>
                <w:sz w:val="20"/>
              </w:rPr>
            </w:pPr>
            <w:r>
              <w:rPr>
                <w:sz w:val="20"/>
              </w:rPr>
              <w:t>5.85</w:t>
            </w:r>
          </w:p>
        </w:tc>
        <w:tc>
          <w:tcPr>
            <w:tcW w:w="1276" w:type="dxa"/>
          </w:tcPr>
          <w:p w:rsidR="007C5447" w:rsidRDefault="00F6308C">
            <w:pPr>
              <w:pStyle w:val="TableParagraph"/>
              <w:spacing w:before="14"/>
              <w:ind w:right="92"/>
              <w:rPr>
                <w:sz w:val="20"/>
              </w:rPr>
            </w:pPr>
            <w:r>
              <w:rPr>
                <w:sz w:val="20"/>
              </w:rPr>
              <w:t>86%</w:t>
            </w:r>
          </w:p>
        </w:tc>
      </w:tr>
      <w:tr w:rsidR="007C5447">
        <w:trPr>
          <w:trHeight w:val="314"/>
        </w:trPr>
        <w:tc>
          <w:tcPr>
            <w:tcW w:w="2977" w:type="dxa"/>
          </w:tcPr>
          <w:p w:rsidR="007C5447" w:rsidRDefault="00F6308C">
            <w:pPr>
              <w:pStyle w:val="TableParagraph"/>
              <w:spacing w:before="14"/>
              <w:ind w:left="107"/>
              <w:jc w:val="left"/>
              <w:rPr>
                <w:sz w:val="20"/>
              </w:rPr>
            </w:pPr>
            <w:r>
              <w:rPr>
                <w:sz w:val="20"/>
              </w:rPr>
              <w:t>Power Loom</w:t>
            </w:r>
          </w:p>
        </w:tc>
        <w:tc>
          <w:tcPr>
            <w:tcW w:w="708" w:type="dxa"/>
          </w:tcPr>
          <w:p w:rsidR="007C5447" w:rsidRDefault="00F6308C">
            <w:pPr>
              <w:pStyle w:val="TableParagraph"/>
              <w:spacing w:before="14"/>
              <w:ind w:right="98"/>
              <w:rPr>
                <w:sz w:val="20"/>
              </w:rPr>
            </w:pPr>
            <w:r>
              <w:rPr>
                <w:sz w:val="20"/>
              </w:rPr>
              <w:t>6.03</w:t>
            </w:r>
          </w:p>
        </w:tc>
        <w:tc>
          <w:tcPr>
            <w:tcW w:w="994" w:type="dxa"/>
          </w:tcPr>
          <w:p w:rsidR="007C5447" w:rsidRDefault="00F6308C">
            <w:pPr>
              <w:pStyle w:val="TableParagraph"/>
              <w:spacing w:before="14"/>
              <w:ind w:right="98"/>
              <w:rPr>
                <w:sz w:val="20"/>
              </w:rPr>
            </w:pPr>
            <w:r>
              <w:rPr>
                <w:sz w:val="20"/>
              </w:rPr>
              <w:t>5.85</w:t>
            </w:r>
          </w:p>
        </w:tc>
        <w:tc>
          <w:tcPr>
            <w:tcW w:w="1274" w:type="dxa"/>
          </w:tcPr>
          <w:p w:rsidR="007C5447" w:rsidRDefault="00F6308C">
            <w:pPr>
              <w:pStyle w:val="TableParagraph"/>
              <w:spacing w:before="14"/>
              <w:ind w:right="92"/>
              <w:rPr>
                <w:sz w:val="20"/>
              </w:rPr>
            </w:pPr>
            <w:r>
              <w:rPr>
                <w:sz w:val="20"/>
              </w:rPr>
              <w:t>103%</w:t>
            </w:r>
          </w:p>
        </w:tc>
        <w:tc>
          <w:tcPr>
            <w:tcW w:w="852" w:type="dxa"/>
          </w:tcPr>
          <w:p w:rsidR="007C5447" w:rsidRDefault="00F6308C">
            <w:pPr>
              <w:pStyle w:val="TableParagraph"/>
              <w:spacing w:before="14"/>
              <w:ind w:right="98"/>
              <w:rPr>
                <w:sz w:val="20"/>
              </w:rPr>
            </w:pPr>
            <w:r>
              <w:rPr>
                <w:sz w:val="20"/>
              </w:rPr>
              <w:t>6.03</w:t>
            </w:r>
          </w:p>
        </w:tc>
        <w:tc>
          <w:tcPr>
            <w:tcW w:w="849" w:type="dxa"/>
          </w:tcPr>
          <w:p w:rsidR="007C5447" w:rsidRDefault="00F6308C">
            <w:pPr>
              <w:pStyle w:val="TableParagraph"/>
              <w:spacing w:before="14"/>
              <w:ind w:right="94"/>
              <w:rPr>
                <w:sz w:val="20"/>
              </w:rPr>
            </w:pPr>
            <w:r>
              <w:rPr>
                <w:sz w:val="20"/>
              </w:rPr>
              <w:t>5.85</w:t>
            </w:r>
          </w:p>
        </w:tc>
        <w:tc>
          <w:tcPr>
            <w:tcW w:w="1276" w:type="dxa"/>
          </w:tcPr>
          <w:p w:rsidR="007C5447" w:rsidRDefault="00F6308C">
            <w:pPr>
              <w:pStyle w:val="TableParagraph"/>
              <w:spacing w:before="14"/>
              <w:ind w:right="90"/>
              <w:rPr>
                <w:sz w:val="20"/>
              </w:rPr>
            </w:pPr>
            <w:r>
              <w:rPr>
                <w:sz w:val="20"/>
              </w:rPr>
              <w:t>103%</w:t>
            </w:r>
          </w:p>
        </w:tc>
      </w:tr>
      <w:tr w:rsidR="007C5447">
        <w:trPr>
          <w:trHeight w:val="314"/>
        </w:trPr>
        <w:tc>
          <w:tcPr>
            <w:tcW w:w="2977" w:type="dxa"/>
          </w:tcPr>
          <w:p w:rsidR="007C5447" w:rsidRDefault="00F6308C">
            <w:pPr>
              <w:pStyle w:val="TableParagraph"/>
              <w:spacing w:before="14"/>
              <w:ind w:left="107"/>
              <w:jc w:val="left"/>
              <w:rPr>
                <w:sz w:val="20"/>
              </w:rPr>
            </w:pPr>
            <w:r>
              <w:rPr>
                <w:sz w:val="20"/>
              </w:rPr>
              <w:t>Industries</w:t>
            </w:r>
          </w:p>
        </w:tc>
        <w:tc>
          <w:tcPr>
            <w:tcW w:w="708" w:type="dxa"/>
          </w:tcPr>
          <w:p w:rsidR="007C5447" w:rsidRDefault="00F6308C">
            <w:pPr>
              <w:pStyle w:val="TableParagraph"/>
              <w:spacing w:before="14"/>
              <w:ind w:right="98"/>
              <w:rPr>
                <w:sz w:val="20"/>
              </w:rPr>
            </w:pPr>
            <w:r>
              <w:rPr>
                <w:sz w:val="20"/>
              </w:rPr>
              <w:t>6.81</w:t>
            </w:r>
          </w:p>
        </w:tc>
        <w:tc>
          <w:tcPr>
            <w:tcW w:w="994" w:type="dxa"/>
          </w:tcPr>
          <w:p w:rsidR="007C5447" w:rsidRDefault="00F6308C">
            <w:pPr>
              <w:pStyle w:val="TableParagraph"/>
              <w:spacing w:before="14"/>
              <w:ind w:right="98"/>
              <w:rPr>
                <w:sz w:val="20"/>
              </w:rPr>
            </w:pPr>
            <w:r>
              <w:rPr>
                <w:sz w:val="20"/>
              </w:rPr>
              <w:t>5.85</w:t>
            </w:r>
          </w:p>
        </w:tc>
        <w:tc>
          <w:tcPr>
            <w:tcW w:w="1274" w:type="dxa"/>
          </w:tcPr>
          <w:p w:rsidR="007C5447" w:rsidRDefault="00F6308C">
            <w:pPr>
              <w:pStyle w:val="TableParagraph"/>
              <w:spacing w:before="14"/>
              <w:ind w:right="92"/>
              <w:rPr>
                <w:sz w:val="20"/>
              </w:rPr>
            </w:pPr>
            <w:r>
              <w:rPr>
                <w:sz w:val="20"/>
              </w:rPr>
              <w:t>116%</w:t>
            </w:r>
          </w:p>
        </w:tc>
        <w:tc>
          <w:tcPr>
            <w:tcW w:w="852" w:type="dxa"/>
          </w:tcPr>
          <w:p w:rsidR="007C5447" w:rsidRDefault="00F6308C">
            <w:pPr>
              <w:pStyle w:val="TableParagraph"/>
              <w:spacing w:before="14"/>
              <w:ind w:right="98"/>
              <w:rPr>
                <w:sz w:val="20"/>
              </w:rPr>
            </w:pPr>
            <w:r>
              <w:rPr>
                <w:sz w:val="20"/>
              </w:rPr>
              <w:t>6.81</w:t>
            </w:r>
          </w:p>
        </w:tc>
        <w:tc>
          <w:tcPr>
            <w:tcW w:w="849" w:type="dxa"/>
          </w:tcPr>
          <w:p w:rsidR="007C5447" w:rsidRDefault="00F6308C">
            <w:pPr>
              <w:pStyle w:val="TableParagraph"/>
              <w:spacing w:before="14"/>
              <w:ind w:right="94"/>
              <w:rPr>
                <w:sz w:val="20"/>
              </w:rPr>
            </w:pPr>
            <w:r>
              <w:rPr>
                <w:sz w:val="20"/>
              </w:rPr>
              <w:t>5.85</w:t>
            </w:r>
          </w:p>
        </w:tc>
        <w:tc>
          <w:tcPr>
            <w:tcW w:w="1276" w:type="dxa"/>
          </w:tcPr>
          <w:p w:rsidR="007C5447" w:rsidRDefault="00F6308C">
            <w:pPr>
              <w:pStyle w:val="TableParagraph"/>
              <w:spacing w:before="14"/>
              <w:ind w:right="90"/>
              <w:rPr>
                <w:sz w:val="20"/>
              </w:rPr>
            </w:pPr>
            <w:r>
              <w:rPr>
                <w:sz w:val="20"/>
              </w:rPr>
              <w:t>116%</w:t>
            </w:r>
          </w:p>
        </w:tc>
      </w:tr>
      <w:tr w:rsidR="007C5447">
        <w:trPr>
          <w:trHeight w:val="489"/>
        </w:trPr>
        <w:tc>
          <w:tcPr>
            <w:tcW w:w="2977" w:type="dxa"/>
          </w:tcPr>
          <w:p w:rsidR="007C5447" w:rsidRDefault="00F6308C">
            <w:pPr>
              <w:pStyle w:val="TableParagraph"/>
              <w:spacing w:before="14" w:line="230" w:lineRule="atLeast"/>
              <w:ind w:left="107"/>
              <w:jc w:val="left"/>
              <w:rPr>
                <w:sz w:val="20"/>
              </w:rPr>
            </w:pPr>
            <w:r>
              <w:rPr>
                <w:sz w:val="20"/>
              </w:rPr>
              <w:t>Agriculture &amp; Government seed farm</w:t>
            </w:r>
          </w:p>
        </w:tc>
        <w:tc>
          <w:tcPr>
            <w:tcW w:w="708" w:type="dxa"/>
          </w:tcPr>
          <w:p w:rsidR="007C5447" w:rsidRDefault="00F6308C">
            <w:pPr>
              <w:pStyle w:val="TableParagraph"/>
              <w:spacing w:before="14"/>
              <w:ind w:right="98"/>
              <w:rPr>
                <w:sz w:val="20"/>
              </w:rPr>
            </w:pPr>
            <w:r>
              <w:rPr>
                <w:sz w:val="20"/>
              </w:rPr>
              <w:t>2.88</w:t>
            </w:r>
          </w:p>
        </w:tc>
        <w:tc>
          <w:tcPr>
            <w:tcW w:w="994" w:type="dxa"/>
          </w:tcPr>
          <w:p w:rsidR="007C5447" w:rsidRDefault="00F6308C">
            <w:pPr>
              <w:pStyle w:val="TableParagraph"/>
              <w:spacing w:before="14"/>
              <w:ind w:right="98"/>
              <w:rPr>
                <w:sz w:val="20"/>
              </w:rPr>
            </w:pPr>
            <w:r>
              <w:rPr>
                <w:sz w:val="20"/>
              </w:rPr>
              <w:t>5.85</w:t>
            </w:r>
          </w:p>
        </w:tc>
        <w:tc>
          <w:tcPr>
            <w:tcW w:w="1274" w:type="dxa"/>
          </w:tcPr>
          <w:p w:rsidR="007C5447" w:rsidRDefault="00F6308C">
            <w:pPr>
              <w:pStyle w:val="TableParagraph"/>
              <w:spacing w:before="14"/>
              <w:ind w:right="94"/>
              <w:rPr>
                <w:sz w:val="20"/>
              </w:rPr>
            </w:pPr>
            <w:r>
              <w:rPr>
                <w:sz w:val="20"/>
              </w:rPr>
              <w:t>49%</w:t>
            </w:r>
          </w:p>
        </w:tc>
        <w:tc>
          <w:tcPr>
            <w:tcW w:w="852" w:type="dxa"/>
          </w:tcPr>
          <w:p w:rsidR="007C5447" w:rsidRDefault="00F6308C">
            <w:pPr>
              <w:pStyle w:val="TableParagraph"/>
              <w:spacing w:before="14"/>
              <w:ind w:right="98"/>
              <w:rPr>
                <w:sz w:val="20"/>
              </w:rPr>
            </w:pPr>
            <w:r>
              <w:rPr>
                <w:sz w:val="20"/>
              </w:rPr>
              <w:t>2.88</w:t>
            </w:r>
          </w:p>
        </w:tc>
        <w:tc>
          <w:tcPr>
            <w:tcW w:w="849" w:type="dxa"/>
          </w:tcPr>
          <w:p w:rsidR="007C5447" w:rsidRDefault="00F6308C">
            <w:pPr>
              <w:pStyle w:val="TableParagraph"/>
              <w:spacing w:before="14"/>
              <w:ind w:right="94"/>
              <w:rPr>
                <w:sz w:val="20"/>
              </w:rPr>
            </w:pPr>
            <w:r>
              <w:rPr>
                <w:sz w:val="20"/>
              </w:rPr>
              <w:t>5.85</w:t>
            </w:r>
          </w:p>
        </w:tc>
        <w:tc>
          <w:tcPr>
            <w:tcW w:w="1276" w:type="dxa"/>
          </w:tcPr>
          <w:p w:rsidR="007C5447" w:rsidRDefault="00F6308C">
            <w:pPr>
              <w:pStyle w:val="TableParagraph"/>
              <w:spacing w:before="14"/>
              <w:ind w:right="92"/>
              <w:rPr>
                <w:sz w:val="20"/>
              </w:rPr>
            </w:pPr>
            <w:r>
              <w:rPr>
                <w:sz w:val="20"/>
              </w:rPr>
              <w:t>49%</w:t>
            </w:r>
          </w:p>
        </w:tc>
      </w:tr>
      <w:tr w:rsidR="007C5447">
        <w:trPr>
          <w:trHeight w:val="314"/>
        </w:trPr>
        <w:tc>
          <w:tcPr>
            <w:tcW w:w="2977" w:type="dxa"/>
          </w:tcPr>
          <w:p w:rsidR="007C5447" w:rsidRDefault="00F6308C">
            <w:pPr>
              <w:pStyle w:val="TableParagraph"/>
              <w:spacing w:before="17"/>
              <w:ind w:left="107"/>
              <w:jc w:val="left"/>
              <w:rPr>
                <w:sz w:val="20"/>
              </w:rPr>
            </w:pPr>
            <w:r>
              <w:rPr>
                <w:sz w:val="20"/>
              </w:rPr>
              <w:t>Commercial and Other</w:t>
            </w:r>
          </w:p>
        </w:tc>
        <w:tc>
          <w:tcPr>
            <w:tcW w:w="708" w:type="dxa"/>
          </w:tcPr>
          <w:p w:rsidR="007C5447" w:rsidRDefault="00F6308C">
            <w:pPr>
              <w:pStyle w:val="TableParagraph"/>
              <w:spacing w:before="17"/>
              <w:ind w:right="98"/>
              <w:rPr>
                <w:sz w:val="20"/>
              </w:rPr>
            </w:pPr>
            <w:r>
              <w:rPr>
                <w:sz w:val="20"/>
              </w:rPr>
              <w:t>8.75</w:t>
            </w:r>
          </w:p>
        </w:tc>
        <w:tc>
          <w:tcPr>
            <w:tcW w:w="994" w:type="dxa"/>
          </w:tcPr>
          <w:p w:rsidR="007C5447" w:rsidRDefault="00F6308C">
            <w:pPr>
              <w:pStyle w:val="TableParagraph"/>
              <w:spacing w:before="17"/>
              <w:ind w:right="98"/>
              <w:rPr>
                <w:sz w:val="20"/>
              </w:rPr>
            </w:pPr>
            <w:r>
              <w:rPr>
                <w:sz w:val="20"/>
              </w:rPr>
              <w:t>5.85</w:t>
            </w:r>
          </w:p>
        </w:tc>
        <w:tc>
          <w:tcPr>
            <w:tcW w:w="1274" w:type="dxa"/>
          </w:tcPr>
          <w:p w:rsidR="007C5447" w:rsidRDefault="00F6308C">
            <w:pPr>
              <w:pStyle w:val="TableParagraph"/>
              <w:spacing w:before="17"/>
              <w:ind w:right="92"/>
              <w:rPr>
                <w:sz w:val="20"/>
              </w:rPr>
            </w:pPr>
            <w:r>
              <w:rPr>
                <w:sz w:val="20"/>
              </w:rPr>
              <w:t>150%</w:t>
            </w:r>
          </w:p>
        </w:tc>
        <w:tc>
          <w:tcPr>
            <w:tcW w:w="852" w:type="dxa"/>
          </w:tcPr>
          <w:p w:rsidR="007C5447" w:rsidRDefault="00F6308C">
            <w:pPr>
              <w:pStyle w:val="TableParagraph"/>
              <w:spacing w:before="17"/>
              <w:ind w:right="98"/>
              <w:rPr>
                <w:sz w:val="20"/>
              </w:rPr>
            </w:pPr>
            <w:r>
              <w:rPr>
                <w:sz w:val="20"/>
              </w:rPr>
              <w:t>8.75</w:t>
            </w:r>
          </w:p>
        </w:tc>
        <w:tc>
          <w:tcPr>
            <w:tcW w:w="849" w:type="dxa"/>
          </w:tcPr>
          <w:p w:rsidR="007C5447" w:rsidRDefault="00F6308C">
            <w:pPr>
              <w:pStyle w:val="TableParagraph"/>
              <w:spacing w:before="17"/>
              <w:ind w:right="94"/>
              <w:rPr>
                <w:sz w:val="20"/>
              </w:rPr>
            </w:pPr>
            <w:r>
              <w:rPr>
                <w:sz w:val="20"/>
              </w:rPr>
              <w:t>5.85</w:t>
            </w:r>
          </w:p>
        </w:tc>
        <w:tc>
          <w:tcPr>
            <w:tcW w:w="1276" w:type="dxa"/>
          </w:tcPr>
          <w:p w:rsidR="007C5447" w:rsidRDefault="00F6308C">
            <w:pPr>
              <w:pStyle w:val="TableParagraph"/>
              <w:spacing w:before="17"/>
              <w:ind w:right="90"/>
              <w:rPr>
                <w:sz w:val="20"/>
              </w:rPr>
            </w:pPr>
            <w:r>
              <w:rPr>
                <w:sz w:val="20"/>
              </w:rPr>
              <w:t>150%</w:t>
            </w:r>
          </w:p>
        </w:tc>
      </w:tr>
    </w:tbl>
    <w:p w:rsidR="007C5447" w:rsidRDefault="007C5447">
      <w:pPr>
        <w:pStyle w:val="BodyText"/>
        <w:rPr>
          <w:b/>
          <w:sz w:val="26"/>
        </w:rPr>
      </w:pPr>
    </w:p>
    <w:p w:rsidR="007C5447" w:rsidRDefault="007C5447">
      <w:pPr>
        <w:pStyle w:val="BodyText"/>
        <w:spacing w:before="6"/>
        <w:rPr>
          <w:b/>
          <w:sz w:val="36"/>
        </w:rPr>
      </w:pPr>
    </w:p>
    <w:p w:rsidR="007C5447" w:rsidRDefault="00F6308C">
      <w:pPr>
        <w:pStyle w:val="ListParagraph"/>
        <w:numPr>
          <w:ilvl w:val="2"/>
          <w:numId w:val="40"/>
        </w:numPr>
        <w:tabs>
          <w:tab w:val="left" w:pos="1113"/>
        </w:tabs>
        <w:spacing w:line="312" w:lineRule="auto"/>
        <w:ind w:left="1112" w:right="876"/>
        <w:jc w:val="both"/>
        <w:rPr>
          <w:sz w:val="24"/>
        </w:rPr>
      </w:pPr>
      <w:r>
        <w:rPr>
          <w:sz w:val="24"/>
        </w:rPr>
        <w:t>The Hon’ble APTEL directed the Commission to determine the voltage-wise cost of supply and corresponding cross subsidy for each category of consumers, in its Order dated April 9, 2013 in Appeal No. 257 of 2012, as reproduced</w:t>
      </w:r>
      <w:r>
        <w:rPr>
          <w:spacing w:val="-1"/>
          <w:sz w:val="24"/>
        </w:rPr>
        <w:t xml:space="preserve"> </w:t>
      </w:r>
      <w:r>
        <w:rPr>
          <w:sz w:val="24"/>
        </w:rPr>
        <w:t>below:</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spacing w:before="60"/>
        <w:ind w:left="1700" w:right="1596"/>
        <w:jc w:val="both"/>
        <w:rPr>
          <w:b/>
          <w:i/>
          <w:sz w:val="24"/>
        </w:rPr>
      </w:pPr>
      <w:r>
        <w:rPr>
          <w:i/>
          <w:sz w:val="24"/>
        </w:rPr>
        <w:lastRenderedPageBreak/>
        <w:t>“V) We</w:t>
      </w:r>
      <w:r>
        <w:rPr>
          <w:i/>
          <w:sz w:val="24"/>
        </w:rPr>
        <w:t xml:space="preserve"> notice that the State Commission has increased tariff of the subsidized categories considerably. The tariff of LT domestic consumer has been increased by 40% and that of agricultural consumer by 593%. The average tariff of the subsidized category has bee </w:t>
      </w:r>
      <w:r>
        <w:rPr>
          <w:i/>
          <w:sz w:val="24"/>
        </w:rPr>
        <w:t>increased by about 73% which is quite substantial. In order to keep the tariff of the Appellant’s category alone within + 20% of the average cost of supply it might require increase in tariff of subsidized LT consumer by about 110% of the pre-revised tarif</w:t>
      </w:r>
      <w:r>
        <w:rPr>
          <w:i/>
          <w:sz w:val="24"/>
        </w:rPr>
        <w:t>f causing greater shock to them. If other subsidizing consumers have to be brought within +20% of the average cost of supply, the required increase in tariff in the subsidized categories would have been much higher. The comparison of change in cross subsid</w:t>
      </w:r>
      <w:r>
        <w:rPr>
          <w:i/>
          <w:sz w:val="24"/>
        </w:rPr>
        <w:t xml:space="preserve">y with the previous tariff order for FY 2010-11 where the large revenue gap was left uncovered in the tariff would not give a correct picture. Accordingly, we are not inclined to interfere in the tariff determined by the State Commission. </w:t>
      </w:r>
      <w:r>
        <w:rPr>
          <w:b/>
          <w:i/>
          <w:sz w:val="24"/>
        </w:rPr>
        <w:t>However, the Stat</w:t>
      </w:r>
      <w:r>
        <w:rPr>
          <w:b/>
          <w:i/>
          <w:sz w:val="24"/>
        </w:rPr>
        <w:t>e Commission is directed to determine the voltage-wise cost of supply and corresponding cross subsidy for each category of consumers in the next tariff order</w:t>
      </w:r>
      <w:r>
        <w:rPr>
          <w:i/>
          <w:sz w:val="24"/>
        </w:rPr>
        <w:t xml:space="preserve">.” </w:t>
      </w:r>
      <w:r>
        <w:rPr>
          <w:b/>
          <w:i/>
          <w:sz w:val="24"/>
        </w:rPr>
        <w:t>(emphasis</w:t>
      </w:r>
      <w:r>
        <w:rPr>
          <w:b/>
          <w:i/>
          <w:spacing w:val="-3"/>
          <w:sz w:val="24"/>
        </w:rPr>
        <w:t xml:space="preserve"> </w:t>
      </w:r>
      <w:r>
        <w:rPr>
          <w:b/>
          <w:i/>
          <w:sz w:val="24"/>
        </w:rPr>
        <w:t>added)</w:t>
      </w:r>
    </w:p>
    <w:p w:rsidR="007C5447" w:rsidRDefault="007C5447">
      <w:pPr>
        <w:pStyle w:val="BodyText"/>
        <w:rPr>
          <w:b/>
          <w:i/>
          <w:sz w:val="26"/>
        </w:rPr>
      </w:pPr>
    </w:p>
    <w:p w:rsidR="007C5447" w:rsidRDefault="007C5447">
      <w:pPr>
        <w:pStyle w:val="BodyText"/>
        <w:spacing w:before="6"/>
        <w:rPr>
          <w:b/>
          <w:i/>
          <w:sz w:val="36"/>
        </w:rPr>
      </w:pPr>
    </w:p>
    <w:p w:rsidR="007C5447" w:rsidRDefault="00F6308C">
      <w:pPr>
        <w:pStyle w:val="ListParagraph"/>
        <w:numPr>
          <w:ilvl w:val="2"/>
          <w:numId w:val="40"/>
        </w:numPr>
        <w:tabs>
          <w:tab w:val="left" w:pos="1112"/>
          <w:tab w:val="left" w:pos="1113"/>
        </w:tabs>
        <w:spacing w:before="1" w:line="312" w:lineRule="auto"/>
        <w:ind w:left="1112" w:right="876"/>
        <w:jc w:val="left"/>
        <w:rPr>
          <w:sz w:val="24"/>
        </w:rPr>
      </w:pPr>
      <w:r>
        <w:rPr>
          <w:sz w:val="24"/>
        </w:rPr>
        <w:t>Accordingly, the category-wise cross subsidy for FY 2017-18 with respect to VCOS as determined by the Commission is shown in the Table</w:t>
      </w:r>
      <w:r>
        <w:rPr>
          <w:spacing w:val="-8"/>
          <w:sz w:val="24"/>
        </w:rPr>
        <w:t xml:space="preserve"> </w:t>
      </w:r>
      <w:r>
        <w:rPr>
          <w:sz w:val="24"/>
        </w:rPr>
        <w:t>below:</w:t>
      </w:r>
    </w:p>
    <w:p w:rsidR="007C5447" w:rsidRDefault="007C5447">
      <w:pPr>
        <w:pStyle w:val="BodyText"/>
        <w:spacing w:before="9"/>
        <w:rPr>
          <w:sz w:val="20"/>
        </w:rPr>
      </w:pPr>
    </w:p>
    <w:p w:rsidR="007C5447" w:rsidRDefault="00F6308C">
      <w:pPr>
        <w:pStyle w:val="Heading2"/>
        <w:spacing w:before="1"/>
        <w:ind w:left="1590"/>
        <w:jc w:val="both"/>
      </w:pPr>
      <w:r>
        <w:t>Table 5-22: Cross-Subsidy w.r.t. VCOS approved by the Commission</w:t>
      </w:r>
    </w:p>
    <w:p w:rsidR="007C5447" w:rsidRDefault="007C5447">
      <w:pPr>
        <w:pStyle w:val="BodyText"/>
        <w:spacing w:before="9"/>
        <w:rPr>
          <w:b/>
          <w:sz w:val="17"/>
        </w:rPr>
      </w:pPr>
    </w:p>
    <w:tbl>
      <w:tblPr>
        <w:tblW w:w="0" w:type="auto"/>
        <w:tblInd w:w="1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0"/>
        <w:gridCol w:w="708"/>
        <w:gridCol w:w="826"/>
        <w:gridCol w:w="1268"/>
        <w:gridCol w:w="884"/>
        <w:gridCol w:w="853"/>
        <w:gridCol w:w="1337"/>
      </w:tblGrid>
      <w:tr w:rsidR="007C5447">
        <w:trPr>
          <w:trHeight w:val="360"/>
        </w:trPr>
        <w:tc>
          <w:tcPr>
            <w:tcW w:w="2410" w:type="dxa"/>
            <w:vMerge w:val="restart"/>
            <w:shd w:val="clear" w:color="auto" w:fill="FBD4B4"/>
          </w:tcPr>
          <w:p w:rsidR="007C5447" w:rsidRDefault="00F6308C">
            <w:pPr>
              <w:pStyle w:val="TableParagraph"/>
              <w:spacing w:before="134"/>
              <w:ind w:left="107" w:right="328"/>
              <w:jc w:val="left"/>
              <w:rPr>
                <w:b/>
                <w:sz w:val="20"/>
              </w:rPr>
            </w:pPr>
            <w:r>
              <w:rPr>
                <w:b/>
                <w:sz w:val="20"/>
              </w:rPr>
              <w:t>Consumer Category &amp; Consumption Slab</w:t>
            </w:r>
          </w:p>
        </w:tc>
        <w:tc>
          <w:tcPr>
            <w:tcW w:w="2802" w:type="dxa"/>
            <w:gridSpan w:val="3"/>
            <w:shd w:val="clear" w:color="auto" w:fill="FBD4B4"/>
          </w:tcPr>
          <w:p w:rsidR="007C5447" w:rsidRDefault="00F6308C">
            <w:pPr>
              <w:pStyle w:val="TableParagraph"/>
              <w:spacing w:before="65"/>
              <w:ind w:left="767"/>
              <w:jc w:val="left"/>
              <w:rPr>
                <w:b/>
                <w:sz w:val="20"/>
              </w:rPr>
            </w:pPr>
            <w:r>
              <w:rPr>
                <w:b/>
                <w:sz w:val="20"/>
              </w:rPr>
              <w:t>Existing T</w:t>
            </w:r>
            <w:r>
              <w:rPr>
                <w:b/>
                <w:sz w:val="20"/>
              </w:rPr>
              <w:t>ariff</w:t>
            </w:r>
          </w:p>
        </w:tc>
        <w:tc>
          <w:tcPr>
            <w:tcW w:w="3074" w:type="dxa"/>
            <w:gridSpan w:val="3"/>
            <w:shd w:val="clear" w:color="auto" w:fill="FBD4B4"/>
          </w:tcPr>
          <w:p w:rsidR="007C5447" w:rsidRDefault="00F6308C">
            <w:pPr>
              <w:pStyle w:val="TableParagraph"/>
              <w:spacing w:before="65"/>
              <w:ind w:left="920"/>
              <w:jc w:val="left"/>
              <w:rPr>
                <w:b/>
                <w:sz w:val="20"/>
              </w:rPr>
            </w:pPr>
            <w:r>
              <w:rPr>
                <w:b/>
                <w:sz w:val="20"/>
              </w:rPr>
              <w:t>Revised Tariff</w:t>
            </w:r>
          </w:p>
        </w:tc>
      </w:tr>
      <w:tr w:rsidR="007C5447">
        <w:trPr>
          <w:trHeight w:val="359"/>
        </w:trPr>
        <w:tc>
          <w:tcPr>
            <w:tcW w:w="2410" w:type="dxa"/>
            <w:vMerge/>
            <w:tcBorders>
              <w:top w:val="nil"/>
            </w:tcBorders>
            <w:shd w:val="clear" w:color="auto" w:fill="FBD4B4"/>
          </w:tcPr>
          <w:p w:rsidR="007C5447" w:rsidRDefault="007C5447">
            <w:pPr>
              <w:rPr>
                <w:sz w:val="2"/>
                <w:szCs w:val="2"/>
              </w:rPr>
            </w:pPr>
          </w:p>
        </w:tc>
        <w:tc>
          <w:tcPr>
            <w:tcW w:w="708" w:type="dxa"/>
            <w:shd w:val="clear" w:color="auto" w:fill="FBD4B4"/>
          </w:tcPr>
          <w:p w:rsidR="007C5447" w:rsidRDefault="00F6308C">
            <w:pPr>
              <w:pStyle w:val="TableParagraph"/>
              <w:spacing w:before="65"/>
              <w:ind w:right="132"/>
              <w:rPr>
                <w:b/>
                <w:sz w:val="20"/>
              </w:rPr>
            </w:pPr>
            <w:r>
              <w:rPr>
                <w:b/>
                <w:w w:val="95"/>
                <w:sz w:val="20"/>
              </w:rPr>
              <w:t>ABR</w:t>
            </w:r>
          </w:p>
        </w:tc>
        <w:tc>
          <w:tcPr>
            <w:tcW w:w="826" w:type="dxa"/>
            <w:shd w:val="clear" w:color="auto" w:fill="FBD4B4"/>
          </w:tcPr>
          <w:p w:rsidR="007C5447" w:rsidRDefault="00F6308C">
            <w:pPr>
              <w:pStyle w:val="TableParagraph"/>
              <w:spacing w:before="65"/>
              <w:ind w:right="125"/>
              <w:rPr>
                <w:b/>
                <w:sz w:val="20"/>
              </w:rPr>
            </w:pPr>
            <w:r>
              <w:rPr>
                <w:b/>
                <w:w w:val="95"/>
                <w:sz w:val="20"/>
              </w:rPr>
              <w:t>VCOS</w:t>
            </w:r>
          </w:p>
        </w:tc>
        <w:tc>
          <w:tcPr>
            <w:tcW w:w="1268" w:type="dxa"/>
            <w:shd w:val="clear" w:color="auto" w:fill="FBD4B4"/>
          </w:tcPr>
          <w:p w:rsidR="007C5447" w:rsidRDefault="00F6308C">
            <w:pPr>
              <w:pStyle w:val="TableParagraph"/>
              <w:spacing w:before="65"/>
              <w:ind w:right="108"/>
              <w:rPr>
                <w:b/>
                <w:sz w:val="20"/>
              </w:rPr>
            </w:pPr>
            <w:r>
              <w:rPr>
                <w:b/>
                <w:w w:val="95"/>
                <w:sz w:val="20"/>
              </w:rPr>
              <w:t>ABR/VCOS</w:t>
            </w:r>
          </w:p>
        </w:tc>
        <w:tc>
          <w:tcPr>
            <w:tcW w:w="884" w:type="dxa"/>
            <w:shd w:val="clear" w:color="auto" w:fill="FBD4B4"/>
          </w:tcPr>
          <w:p w:rsidR="007C5447" w:rsidRDefault="00F6308C">
            <w:pPr>
              <w:pStyle w:val="TableParagraph"/>
              <w:spacing w:before="65"/>
              <w:ind w:left="229"/>
              <w:jc w:val="left"/>
              <w:rPr>
                <w:b/>
                <w:sz w:val="20"/>
              </w:rPr>
            </w:pPr>
            <w:r>
              <w:rPr>
                <w:b/>
                <w:sz w:val="20"/>
              </w:rPr>
              <w:t>ABR</w:t>
            </w:r>
          </w:p>
        </w:tc>
        <w:tc>
          <w:tcPr>
            <w:tcW w:w="853" w:type="dxa"/>
            <w:shd w:val="clear" w:color="auto" w:fill="FBD4B4"/>
          </w:tcPr>
          <w:p w:rsidR="007C5447" w:rsidRDefault="00F6308C">
            <w:pPr>
              <w:pStyle w:val="TableParagraph"/>
              <w:spacing w:before="65"/>
              <w:ind w:right="141"/>
              <w:rPr>
                <w:b/>
                <w:sz w:val="20"/>
              </w:rPr>
            </w:pPr>
            <w:r>
              <w:rPr>
                <w:b/>
                <w:w w:val="95"/>
                <w:sz w:val="20"/>
              </w:rPr>
              <w:t>VCOS</w:t>
            </w:r>
          </w:p>
        </w:tc>
        <w:tc>
          <w:tcPr>
            <w:tcW w:w="1337" w:type="dxa"/>
            <w:shd w:val="clear" w:color="auto" w:fill="FBD4B4"/>
          </w:tcPr>
          <w:p w:rsidR="007C5447" w:rsidRDefault="00F6308C">
            <w:pPr>
              <w:pStyle w:val="TableParagraph"/>
              <w:spacing w:before="65"/>
              <w:ind w:right="143"/>
              <w:rPr>
                <w:b/>
                <w:sz w:val="20"/>
              </w:rPr>
            </w:pPr>
            <w:r>
              <w:rPr>
                <w:b/>
                <w:w w:val="95"/>
                <w:sz w:val="20"/>
              </w:rPr>
              <w:t>ABR/VCOS</w:t>
            </w:r>
          </w:p>
        </w:tc>
      </w:tr>
      <w:tr w:rsidR="007C5447">
        <w:trPr>
          <w:trHeight w:val="359"/>
        </w:trPr>
        <w:tc>
          <w:tcPr>
            <w:tcW w:w="8286" w:type="dxa"/>
            <w:gridSpan w:val="7"/>
          </w:tcPr>
          <w:p w:rsidR="007C5447" w:rsidRDefault="00F6308C">
            <w:pPr>
              <w:pStyle w:val="TableParagraph"/>
              <w:spacing w:before="65"/>
              <w:ind w:left="107"/>
              <w:jc w:val="left"/>
              <w:rPr>
                <w:b/>
                <w:sz w:val="20"/>
              </w:rPr>
            </w:pPr>
            <w:r>
              <w:rPr>
                <w:b/>
                <w:sz w:val="20"/>
              </w:rPr>
              <w:t>HT Category</w:t>
            </w:r>
          </w:p>
        </w:tc>
      </w:tr>
      <w:tr w:rsidR="007C5447">
        <w:trPr>
          <w:trHeight w:val="359"/>
        </w:trPr>
        <w:tc>
          <w:tcPr>
            <w:tcW w:w="2410" w:type="dxa"/>
          </w:tcPr>
          <w:p w:rsidR="007C5447" w:rsidRDefault="00F6308C">
            <w:pPr>
              <w:pStyle w:val="TableParagraph"/>
              <w:spacing w:before="65"/>
              <w:ind w:left="107"/>
              <w:jc w:val="left"/>
              <w:rPr>
                <w:sz w:val="20"/>
              </w:rPr>
            </w:pPr>
            <w:r>
              <w:rPr>
                <w:sz w:val="20"/>
              </w:rPr>
              <w:t>HT Industries</w:t>
            </w:r>
          </w:p>
        </w:tc>
        <w:tc>
          <w:tcPr>
            <w:tcW w:w="708" w:type="dxa"/>
          </w:tcPr>
          <w:p w:rsidR="007C5447" w:rsidRDefault="00F6308C">
            <w:pPr>
              <w:pStyle w:val="TableParagraph"/>
              <w:spacing w:before="65"/>
              <w:ind w:right="97"/>
              <w:rPr>
                <w:sz w:val="20"/>
              </w:rPr>
            </w:pPr>
            <w:r>
              <w:rPr>
                <w:sz w:val="20"/>
              </w:rPr>
              <w:t>8.37</w:t>
            </w:r>
          </w:p>
        </w:tc>
        <w:tc>
          <w:tcPr>
            <w:tcW w:w="826" w:type="dxa"/>
          </w:tcPr>
          <w:p w:rsidR="007C5447" w:rsidRDefault="00F6308C">
            <w:pPr>
              <w:pStyle w:val="TableParagraph"/>
              <w:spacing w:before="65"/>
              <w:ind w:right="98"/>
              <w:rPr>
                <w:sz w:val="20"/>
              </w:rPr>
            </w:pPr>
            <w:r>
              <w:rPr>
                <w:sz w:val="20"/>
              </w:rPr>
              <w:t>5.27</w:t>
            </w:r>
          </w:p>
        </w:tc>
        <w:tc>
          <w:tcPr>
            <w:tcW w:w="1268" w:type="dxa"/>
          </w:tcPr>
          <w:p w:rsidR="007C5447" w:rsidRDefault="00F6308C">
            <w:pPr>
              <w:pStyle w:val="TableParagraph"/>
              <w:spacing w:before="65"/>
              <w:ind w:right="92"/>
              <w:rPr>
                <w:sz w:val="20"/>
              </w:rPr>
            </w:pPr>
            <w:r>
              <w:rPr>
                <w:sz w:val="20"/>
              </w:rPr>
              <w:t>159%</w:t>
            </w:r>
          </w:p>
        </w:tc>
        <w:tc>
          <w:tcPr>
            <w:tcW w:w="884" w:type="dxa"/>
          </w:tcPr>
          <w:p w:rsidR="007C5447" w:rsidRDefault="00F6308C">
            <w:pPr>
              <w:pStyle w:val="TableParagraph"/>
              <w:spacing w:before="65"/>
              <w:ind w:right="99"/>
              <w:rPr>
                <w:sz w:val="20"/>
              </w:rPr>
            </w:pPr>
            <w:r>
              <w:rPr>
                <w:sz w:val="20"/>
              </w:rPr>
              <w:t>8.37</w:t>
            </w:r>
          </w:p>
        </w:tc>
        <w:tc>
          <w:tcPr>
            <w:tcW w:w="853" w:type="dxa"/>
          </w:tcPr>
          <w:p w:rsidR="007C5447" w:rsidRDefault="00F6308C">
            <w:pPr>
              <w:pStyle w:val="TableParagraph"/>
              <w:spacing w:before="65"/>
              <w:ind w:right="100"/>
              <w:rPr>
                <w:sz w:val="20"/>
              </w:rPr>
            </w:pPr>
            <w:r>
              <w:rPr>
                <w:sz w:val="20"/>
              </w:rPr>
              <w:t>5.27</w:t>
            </w:r>
          </w:p>
        </w:tc>
        <w:tc>
          <w:tcPr>
            <w:tcW w:w="1337" w:type="dxa"/>
          </w:tcPr>
          <w:p w:rsidR="007C5447" w:rsidRDefault="00F6308C">
            <w:pPr>
              <w:pStyle w:val="TableParagraph"/>
              <w:spacing w:before="65"/>
              <w:ind w:right="94"/>
              <w:rPr>
                <w:sz w:val="20"/>
              </w:rPr>
            </w:pPr>
            <w:r>
              <w:rPr>
                <w:sz w:val="20"/>
              </w:rPr>
              <w:t>159%</w:t>
            </w:r>
          </w:p>
        </w:tc>
      </w:tr>
      <w:tr w:rsidR="007C5447">
        <w:trPr>
          <w:trHeight w:val="362"/>
        </w:trPr>
        <w:tc>
          <w:tcPr>
            <w:tcW w:w="2410" w:type="dxa"/>
          </w:tcPr>
          <w:p w:rsidR="007C5447" w:rsidRDefault="00F6308C">
            <w:pPr>
              <w:pStyle w:val="TableParagraph"/>
              <w:spacing w:before="67"/>
              <w:ind w:left="107"/>
              <w:jc w:val="left"/>
              <w:rPr>
                <w:sz w:val="20"/>
              </w:rPr>
            </w:pPr>
            <w:r>
              <w:rPr>
                <w:sz w:val="20"/>
              </w:rPr>
              <w:t>Railway Traction</w:t>
            </w:r>
          </w:p>
        </w:tc>
        <w:tc>
          <w:tcPr>
            <w:tcW w:w="708" w:type="dxa"/>
          </w:tcPr>
          <w:p w:rsidR="007C5447" w:rsidRDefault="00F6308C">
            <w:pPr>
              <w:pStyle w:val="TableParagraph"/>
              <w:spacing w:before="67"/>
              <w:ind w:right="97"/>
              <w:rPr>
                <w:sz w:val="20"/>
              </w:rPr>
            </w:pPr>
            <w:r>
              <w:rPr>
                <w:sz w:val="20"/>
              </w:rPr>
              <w:t>7.71</w:t>
            </w:r>
          </w:p>
        </w:tc>
        <w:tc>
          <w:tcPr>
            <w:tcW w:w="826" w:type="dxa"/>
          </w:tcPr>
          <w:p w:rsidR="007C5447" w:rsidRDefault="00F6308C">
            <w:pPr>
              <w:pStyle w:val="TableParagraph"/>
              <w:spacing w:before="67"/>
              <w:ind w:right="95"/>
              <w:rPr>
                <w:sz w:val="20"/>
              </w:rPr>
            </w:pPr>
            <w:r>
              <w:rPr>
                <w:sz w:val="20"/>
              </w:rPr>
              <w:t>5.27</w:t>
            </w:r>
          </w:p>
        </w:tc>
        <w:tc>
          <w:tcPr>
            <w:tcW w:w="1268" w:type="dxa"/>
          </w:tcPr>
          <w:p w:rsidR="007C5447" w:rsidRDefault="00F6308C">
            <w:pPr>
              <w:pStyle w:val="TableParagraph"/>
              <w:spacing w:before="67"/>
              <w:ind w:right="92"/>
              <w:rPr>
                <w:sz w:val="20"/>
              </w:rPr>
            </w:pPr>
            <w:r>
              <w:rPr>
                <w:sz w:val="20"/>
              </w:rPr>
              <w:t>146%</w:t>
            </w:r>
          </w:p>
        </w:tc>
        <w:tc>
          <w:tcPr>
            <w:tcW w:w="884" w:type="dxa"/>
          </w:tcPr>
          <w:p w:rsidR="007C5447" w:rsidRDefault="00F6308C">
            <w:pPr>
              <w:pStyle w:val="TableParagraph"/>
              <w:spacing w:before="67"/>
              <w:ind w:right="99"/>
              <w:rPr>
                <w:sz w:val="20"/>
              </w:rPr>
            </w:pPr>
            <w:r>
              <w:rPr>
                <w:sz w:val="20"/>
              </w:rPr>
              <w:t>7.71</w:t>
            </w:r>
          </w:p>
        </w:tc>
        <w:tc>
          <w:tcPr>
            <w:tcW w:w="853" w:type="dxa"/>
          </w:tcPr>
          <w:p w:rsidR="007C5447" w:rsidRDefault="00F6308C">
            <w:pPr>
              <w:pStyle w:val="TableParagraph"/>
              <w:spacing w:before="67"/>
              <w:ind w:right="100"/>
              <w:rPr>
                <w:sz w:val="20"/>
              </w:rPr>
            </w:pPr>
            <w:r>
              <w:rPr>
                <w:sz w:val="20"/>
              </w:rPr>
              <w:t>5.27</w:t>
            </w:r>
          </w:p>
        </w:tc>
        <w:tc>
          <w:tcPr>
            <w:tcW w:w="1337" w:type="dxa"/>
          </w:tcPr>
          <w:p w:rsidR="007C5447" w:rsidRDefault="00F6308C">
            <w:pPr>
              <w:pStyle w:val="TableParagraph"/>
              <w:spacing w:before="67"/>
              <w:ind w:right="94"/>
              <w:rPr>
                <w:sz w:val="20"/>
              </w:rPr>
            </w:pPr>
            <w:r>
              <w:rPr>
                <w:sz w:val="20"/>
              </w:rPr>
              <w:t>146%</w:t>
            </w:r>
          </w:p>
        </w:tc>
      </w:tr>
      <w:tr w:rsidR="007C5447">
        <w:trPr>
          <w:trHeight w:val="688"/>
        </w:trPr>
        <w:tc>
          <w:tcPr>
            <w:tcW w:w="2410" w:type="dxa"/>
          </w:tcPr>
          <w:p w:rsidR="007C5447" w:rsidRDefault="00F6308C">
            <w:pPr>
              <w:pStyle w:val="TableParagraph"/>
              <w:spacing w:before="115"/>
              <w:ind w:left="107" w:right="114"/>
              <w:jc w:val="left"/>
              <w:rPr>
                <w:sz w:val="20"/>
              </w:rPr>
            </w:pPr>
            <w:r>
              <w:rPr>
                <w:sz w:val="20"/>
              </w:rPr>
              <w:t>Government Educational Institution Etc. (HT)</w:t>
            </w:r>
          </w:p>
        </w:tc>
        <w:tc>
          <w:tcPr>
            <w:tcW w:w="708" w:type="dxa"/>
          </w:tcPr>
          <w:p w:rsidR="007C5447" w:rsidRDefault="007C5447">
            <w:pPr>
              <w:pStyle w:val="TableParagraph"/>
              <w:spacing w:before="9"/>
              <w:jc w:val="left"/>
              <w:rPr>
                <w:b/>
                <w:sz w:val="19"/>
              </w:rPr>
            </w:pPr>
          </w:p>
          <w:p w:rsidR="007C5447" w:rsidRDefault="00F6308C">
            <w:pPr>
              <w:pStyle w:val="TableParagraph"/>
              <w:ind w:right="97"/>
              <w:rPr>
                <w:sz w:val="20"/>
              </w:rPr>
            </w:pPr>
            <w:r>
              <w:rPr>
                <w:sz w:val="20"/>
              </w:rPr>
              <w:t>7.58</w:t>
            </w:r>
          </w:p>
        </w:tc>
        <w:tc>
          <w:tcPr>
            <w:tcW w:w="826" w:type="dxa"/>
          </w:tcPr>
          <w:p w:rsidR="007C5447" w:rsidRDefault="007C5447">
            <w:pPr>
              <w:pStyle w:val="TableParagraph"/>
              <w:spacing w:before="9"/>
              <w:jc w:val="left"/>
              <w:rPr>
                <w:b/>
                <w:sz w:val="19"/>
              </w:rPr>
            </w:pPr>
          </w:p>
          <w:p w:rsidR="007C5447" w:rsidRDefault="00F6308C">
            <w:pPr>
              <w:pStyle w:val="TableParagraph"/>
              <w:ind w:right="98"/>
              <w:rPr>
                <w:sz w:val="20"/>
              </w:rPr>
            </w:pPr>
            <w:r>
              <w:rPr>
                <w:sz w:val="20"/>
              </w:rPr>
              <w:t>5.55</w:t>
            </w:r>
          </w:p>
        </w:tc>
        <w:tc>
          <w:tcPr>
            <w:tcW w:w="1268" w:type="dxa"/>
          </w:tcPr>
          <w:p w:rsidR="007C5447" w:rsidRDefault="007C5447">
            <w:pPr>
              <w:pStyle w:val="TableParagraph"/>
              <w:spacing w:before="9"/>
              <w:jc w:val="left"/>
              <w:rPr>
                <w:b/>
                <w:sz w:val="19"/>
              </w:rPr>
            </w:pPr>
          </w:p>
          <w:p w:rsidR="007C5447" w:rsidRDefault="00F6308C">
            <w:pPr>
              <w:pStyle w:val="TableParagraph"/>
              <w:ind w:right="92"/>
              <w:rPr>
                <w:sz w:val="20"/>
              </w:rPr>
            </w:pPr>
            <w:r>
              <w:rPr>
                <w:sz w:val="20"/>
              </w:rPr>
              <w:t>136%</w:t>
            </w:r>
          </w:p>
        </w:tc>
        <w:tc>
          <w:tcPr>
            <w:tcW w:w="884" w:type="dxa"/>
          </w:tcPr>
          <w:p w:rsidR="007C5447" w:rsidRDefault="007C5447">
            <w:pPr>
              <w:pStyle w:val="TableParagraph"/>
              <w:spacing w:before="9"/>
              <w:jc w:val="left"/>
              <w:rPr>
                <w:b/>
                <w:sz w:val="19"/>
              </w:rPr>
            </w:pPr>
          </w:p>
          <w:p w:rsidR="007C5447" w:rsidRDefault="00F6308C">
            <w:pPr>
              <w:pStyle w:val="TableParagraph"/>
              <w:ind w:right="99"/>
              <w:rPr>
                <w:sz w:val="20"/>
              </w:rPr>
            </w:pPr>
            <w:r>
              <w:rPr>
                <w:sz w:val="20"/>
              </w:rPr>
              <w:t>7.58</w:t>
            </w:r>
          </w:p>
        </w:tc>
        <w:tc>
          <w:tcPr>
            <w:tcW w:w="853" w:type="dxa"/>
          </w:tcPr>
          <w:p w:rsidR="007C5447" w:rsidRDefault="007C5447">
            <w:pPr>
              <w:pStyle w:val="TableParagraph"/>
              <w:spacing w:before="9"/>
              <w:jc w:val="left"/>
              <w:rPr>
                <w:b/>
                <w:sz w:val="19"/>
              </w:rPr>
            </w:pPr>
          </w:p>
          <w:p w:rsidR="007C5447" w:rsidRDefault="00F6308C">
            <w:pPr>
              <w:pStyle w:val="TableParagraph"/>
              <w:ind w:right="100"/>
              <w:rPr>
                <w:sz w:val="20"/>
              </w:rPr>
            </w:pPr>
            <w:r>
              <w:rPr>
                <w:sz w:val="20"/>
              </w:rPr>
              <w:t>5.55</w:t>
            </w:r>
          </w:p>
        </w:tc>
        <w:tc>
          <w:tcPr>
            <w:tcW w:w="1337" w:type="dxa"/>
          </w:tcPr>
          <w:p w:rsidR="007C5447" w:rsidRDefault="007C5447">
            <w:pPr>
              <w:pStyle w:val="TableParagraph"/>
              <w:spacing w:before="9"/>
              <w:jc w:val="left"/>
              <w:rPr>
                <w:b/>
                <w:sz w:val="19"/>
              </w:rPr>
            </w:pPr>
          </w:p>
          <w:p w:rsidR="007C5447" w:rsidRDefault="00F6308C">
            <w:pPr>
              <w:pStyle w:val="TableParagraph"/>
              <w:ind w:right="94"/>
              <w:rPr>
                <w:sz w:val="20"/>
              </w:rPr>
            </w:pPr>
            <w:r>
              <w:rPr>
                <w:sz w:val="20"/>
              </w:rPr>
              <w:t>136%</w:t>
            </w:r>
          </w:p>
        </w:tc>
      </w:tr>
      <w:tr w:rsidR="007C5447">
        <w:trPr>
          <w:trHeight w:val="491"/>
        </w:trPr>
        <w:tc>
          <w:tcPr>
            <w:tcW w:w="2410" w:type="dxa"/>
          </w:tcPr>
          <w:p w:rsidR="007C5447" w:rsidRDefault="00F6308C">
            <w:pPr>
              <w:pStyle w:val="TableParagraph"/>
              <w:spacing w:before="21" w:line="228" w:lineRule="exact"/>
              <w:ind w:left="107" w:right="951"/>
              <w:jc w:val="left"/>
              <w:rPr>
                <w:sz w:val="20"/>
              </w:rPr>
            </w:pPr>
            <w:r>
              <w:rPr>
                <w:sz w:val="20"/>
              </w:rPr>
              <w:t>Pvt. Educational Institutions etc.</w:t>
            </w:r>
          </w:p>
        </w:tc>
        <w:tc>
          <w:tcPr>
            <w:tcW w:w="708" w:type="dxa"/>
          </w:tcPr>
          <w:p w:rsidR="007C5447" w:rsidRDefault="00F6308C">
            <w:pPr>
              <w:pStyle w:val="TableParagraph"/>
              <w:spacing w:before="130"/>
              <w:ind w:right="97"/>
              <w:rPr>
                <w:sz w:val="20"/>
              </w:rPr>
            </w:pPr>
            <w:r>
              <w:rPr>
                <w:sz w:val="20"/>
              </w:rPr>
              <w:t>8.05</w:t>
            </w:r>
          </w:p>
        </w:tc>
        <w:tc>
          <w:tcPr>
            <w:tcW w:w="826" w:type="dxa"/>
          </w:tcPr>
          <w:p w:rsidR="007C5447" w:rsidRDefault="00F6308C">
            <w:pPr>
              <w:pStyle w:val="TableParagraph"/>
              <w:spacing w:before="130"/>
              <w:ind w:right="98"/>
              <w:rPr>
                <w:sz w:val="20"/>
              </w:rPr>
            </w:pPr>
            <w:r>
              <w:rPr>
                <w:sz w:val="20"/>
              </w:rPr>
              <w:t>5.55</w:t>
            </w:r>
          </w:p>
        </w:tc>
        <w:tc>
          <w:tcPr>
            <w:tcW w:w="1268" w:type="dxa"/>
          </w:tcPr>
          <w:p w:rsidR="007C5447" w:rsidRDefault="00F6308C">
            <w:pPr>
              <w:pStyle w:val="TableParagraph"/>
              <w:spacing w:before="130"/>
              <w:ind w:right="92"/>
              <w:rPr>
                <w:sz w:val="20"/>
              </w:rPr>
            </w:pPr>
            <w:r>
              <w:rPr>
                <w:sz w:val="20"/>
              </w:rPr>
              <w:t>145%</w:t>
            </w:r>
          </w:p>
        </w:tc>
        <w:tc>
          <w:tcPr>
            <w:tcW w:w="884" w:type="dxa"/>
          </w:tcPr>
          <w:p w:rsidR="007C5447" w:rsidRDefault="00F6308C">
            <w:pPr>
              <w:pStyle w:val="TableParagraph"/>
              <w:spacing w:before="130"/>
              <w:ind w:right="99"/>
              <w:rPr>
                <w:sz w:val="20"/>
              </w:rPr>
            </w:pPr>
            <w:r>
              <w:rPr>
                <w:sz w:val="20"/>
              </w:rPr>
              <w:t>8.05</w:t>
            </w:r>
          </w:p>
        </w:tc>
        <w:tc>
          <w:tcPr>
            <w:tcW w:w="853" w:type="dxa"/>
          </w:tcPr>
          <w:p w:rsidR="007C5447" w:rsidRDefault="00F6308C">
            <w:pPr>
              <w:pStyle w:val="TableParagraph"/>
              <w:spacing w:before="130"/>
              <w:ind w:right="100"/>
              <w:rPr>
                <w:sz w:val="20"/>
              </w:rPr>
            </w:pPr>
            <w:r>
              <w:rPr>
                <w:sz w:val="20"/>
              </w:rPr>
              <w:t>5.55</w:t>
            </w:r>
          </w:p>
        </w:tc>
        <w:tc>
          <w:tcPr>
            <w:tcW w:w="1337" w:type="dxa"/>
          </w:tcPr>
          <w:p w:rsidR="007C5447" w:rsidRDefault="00F6308C">
            <w:pPr>
              <w:pStyle w:val="TableParagraph"/>
              <w:spacing w:before="130"/>
              <w:ind w:right="94"/>
              <w:rPr>
                <w:sz w:val="20"/>
              </w:rPr>
            </w:pPr>
            <w:r>
              <w:rPr>
                <w:sz w:val="20"/>
              </w:rPr>
              <w:t>145%</w:t>
            </w:r>
          </w:p>
        </w:tc>
      </w:tr>
      <w:tr w:rsidR="007C5447">
        <w:trPr>
          <w:trHeight w:val="359"/>
        </w:trPr>
        <w:tc>
          <w:tcPr>
            <w:tcW w:w="2410" w:type="dxa"/>
          </w:tcPr>
          <w:p w:rsidR="007C5447" w:rsidRDefault="00F6308C">
            <w:pPr>
              <w:pStyle w:val="TableParagraph"/>
              <w:spacing w:before="65"/>
              <w:ind w:left="107"/>
              <w:jc w:val="left"/>
              <w:rPr>
                <w:sz w:val="20"/>
              </w:rPr>
            </w:pPr>
            <w:r>
              <w:rPr>
                <w:sz w:val="20"/>
              </w:rPr>
              <w:t>Commercial and other HT</w:t>
            </w:r>
          </w:p>
        </w:tc>
        <w:tc>
          <w:tcPr>
            <w:tcW w:w="708" w:type="dxa"/>
          </w:tcPr>
          <w:p w:rsidR="007C5447" w:rsidRDefault="00F6308C">
            <w:pPr>
              <w:pStyle w:val="TableParagraph"/>
              <w:spacing w:before="65"/>
              <w:ind w:right="97"/>
              <w:rPr>
                <w:sz w:val="20"/>
              </w:rPr>
            </w:pPr>
            <w:r>
              <w:rPr>
                <w:sz w:val="20"/>
              </w:rPr>
              <w:t>9.91</w:t>
            </w:r>
          </w:p>
        </w:tc>
        <w:tc>
          <w:tcPr>
            <w:tcW w:w="826" w:type="dxa"/>
          </w:tcPr>
          <w:p w:rsidR="007C5447" w:rsidRDefault="00F6308C">
            <w:pPr>
              <w:pStyle w:val="TableParagraph"/>
              <w:spacing w:before="65"/>
              <w:ind w:right="98"/>
              <w:rPr>
                <w:sz w:val="20"/>
              </w:rPr>
            </w:pPr>
            <w:r>
              <w:rPr>
                <w:sz w:val="20"/>
              </w:rPr>
              <w:t>5.55</w:t>
            </w:r>
          </w:p>
        </w:tc>
        <w:tc>
          <w:tcPr>
            <w:tcW w:w="1268" w:type="dxa"/>
          </w:tcPr>
          <w:p w:rsidR="007C5447" w:rsidRDefault="00F6308C">
            <w:pPr>
              <w:pStyle w:val="TableParagraph"/>
              <w:spacing w:before="65"/>
              <w:ind w:right="92"/>
              <w:rPr>
                <w:sz w:val="20"/>
              </w:rPr>
            </w:pPr>
            <w:r>
              <w:rPr>
                <w:sz w:val="20"/>
              </w:rPr>
              <w:t>179%</w:t>
            </w:r>
          </w:p>
        </w:tc>
        <w:tc>
          <w:tcPr>
            <w:tcW w:w="884" w:type="dxa"/>
          </w:tcPr>
          <w:p w:rsidR="007C5447" w:rsidRDefault="00F6308C">
            <w:pPr>
              <w:pStyle w:val="TableParagraph"/>
              <w:spacing w:before="65"/>
              <w:ind w:right="99"/>
              <w:rPr>
                <w:sz w:val="20"/>
              </w:rPr>
            </w:pPr>
            <w:r>
              <w:rPr>
                <w:sz w:val="20"/>
              </w:rPr>
              <w:t>9.91</w:t>
            </w:r>
          </w:p>
        </w:tc>
        <w:tc>
          <w:tcPr>
            <w:tcW w:w="853" w:type="dxa"/>
          </w:tcPr>
          <w:p w:rsidR="007C5447" w:rsidRDefault="00F6308C">
            <w:pPr>
              <w:pStyle w:val="TableParagraph"/>
              <w:spacing w:before="65"/>
              <w:ind w:right="100"/>
              <w:rPr>
                <w:sz w:val="20"/>
              </w:rPr>
            </w:pPr>
            <w:r>
              <w:rPr>
                <w:sz w:val="20"/>
              </w:rPr>
              <w:t>5.55</w:t>
            </w:r>
          </w:p>
        </w:tc>
        <w:tc>
          <w:tcPr>
            <w:tcW w:w="1337" w:type="dxa"/>
          </w:tcPr>
          <w:p w:rsidR="007C5447" w:rsidRDefault="00F6308C">
            <w:pPr>
              <w:pStyle w:val="TableParagraph"/>
              <w:spacing w:before="65"/>
              <w:ind w:right="94"/>
              <w:rPr>
                <w:sz w:val="20"/>
              </w:rPr>
            </w:pPr>
            <w:r>
              <w:rPr>
                <w:sz w:val="20"/>
              </w:rPr>
              <w:t>179%</w:t>
            </w:r>
          </w:p>
        </w:tc>
      </w:tr>
      <w:tr w:rsidR="007C5447">
        <w:trPr>
          <w:trHeight w:val="489"/>
        </w:trPr>
        <w:tc>
          <w:tcPr>
            <w:tcW w:w="2410" w:type="dxa"/>
          </w:tcPr>
          <w:p w:rsidR="007C5447" w:rsidRDefault="00F6308C">
            <w:pPr>
              <w:pStyle w:val="TableParagraph"/>
              <w:spacing w:before="14" w:line="230" w:lineRule="atLeast"/>
              <w:ind w:left="107" w:right="245"/>
              <w:jc w:val="left"/>
              <w:rPr>
                <w:sz w:val="20"/>
              </w:rPr>
            </w:pPr>
            <w:r>
              <w:rPr>
                <w:sz w:val="20"/>
              </w:rPr>
              <w:t>Lift Irrigation and co-ops (HT)</w:t>
            </w:r>
          </w:p>
        </w:tc>
        <w:tc>
          <w:tcPr>
            <w:tcW w:w="708" w:type="dxa"/>
          </w:tcPr>
          <w:p w:rsidR="007C5447" w:rsidRDefault="00F6308C">
            <w:pPr>
              <w:pStyle w:val="TableParagraph"/>
              <w:spacing w:before="130"/>
              <w:ind w:right="97"/>
              <w:rPr>
                <w:sz w:val="20"/>
              </w:rPr>
            </w:pPr>
            <w:r>
              <w:rPr>
                <w:sz w:val="20"/>
              </w:rPr>
              <w:t>6.35</w:t>
            </w:r>
          </w:p>
        </w:tc>
        <w:tc>
          <w:tcPr>
            <w:tcW w:w="826" w:type="dxa"/>
          </w:tcPr>
          <w:p w:rsidR="007C5447" w:rsidRDefault="00F6308C">
            <w:pPr>
              <w:pStyle w:val="TableParagraph"/>
              <w:spacing w:before="130"/>
              <w:ind w:right="98"/>
              <w:rPr>
                <w:sz w:val="20"/>
              </w:rPr>
            </w:pPr>
            <w:r>
              <w:rPr>
                <w:sz w:val="20"/>
              </w:rPr>
              <w:t>5.55</w:t>
            </w:r>
          </w:p>
        </w:tc>
        <w:tc>
          <w:tcPr>
            <w:tcW w:w="1268" w:type="dxa"/>
          </w:tcPr>
          <w:p w:rsidR="007C5447" w:rsidRDefault="00F6308C">
            <w:pPr>
              <w:pStyle w:val="TableParagraph"/>
              <w:spacing w:before="130"/>
              <w:ind w:right="92"/>
              <w:rPr>
                <w:sz w:val="20"/>
              </w:rPr>
            </w:pPr>
            <w:r>
              <w:rPr>
                <w:sz w:val="20"/>
              </w:rPr>
              <w:t>114%</w:t>
            </w:r>
          </w:p>
        </w:tc>
        <w:tc>
          <w:tcPr>
            <w:tcW w:w="884" w:type="dxa"/>
          </w:tcPr>
          <w:p w:rsidR="007C5447" w:rsidRDefault="00F6308C">
            <w:pPr>
              <w:pStyle w:val="TableParagraph"/>
              <w:spacing w:before="130"/>
              <w:ind w:right="99"/>
              <w:rPr>
                <w:sz w:val="20"/>
              </w:rPr>
            </w:pPr>
            <w:r>
              <w:rPr>
                <w:sz w:val="20"/>
              </w:rPr>
              <w:t>6.35</w:t>
            </w:r>
          </w:p>
        </w:tc>
        <w:tc>
          <w:tcPr>
            <w:tcW w:w="853" w:type="dxa"/>
          </w:tcPr>
          <w:p w:rsidR="007C5447" w:rsidRDefault="00F6308C">
            <w:pPr>
              <w:pStyle w:val="TableParagraph"/>
              <w:spacing w:before="130"/>
              <w:ind w:right="100"/>
              <w:rPr>
                <w:sz w:val="20"/>
              </w:rPr>
            </w:pPr>
            <w:r>
              <w:rPr>
                <w:sz w:val="20"/>
              </w:rPr>
              <w:t>5.55</w:t>
            </w:r>
          </w:p>
        </w:tc>
        <w:tc>
          <w:tcPr>
            <w:tcW w:w="1337" w:type="dxa"/>
          </w:tcPr>
          <w:p w:rsidR="007C5447" w:rsidRDefault="00F6308C">
            <w:pPr>
              <w:pStyle w:val="TableParagraph"/>
              <w:spacing w:before="130"/>
              <w:ind w:right="94"/>
              <w:rPr>
                <w:sz w:val="20"/>
              </w:rPr>
            </w:pPr>
            <w:r>
              <w:rPr>
                <w:sz w:val="20"/>
              </w:rPr>
              <w:t>114%</w:t>
            </w:r>
          </w:p>
        </w:tc>
      </w:tr>
      <w:tr w:rsidR="007C5447">
        <w:trPr>
          <w:trHeight w:val="359"/>
        </w:trPr>
        <w:tc>
          <w:tcPr>
            <w:tcW w:w="8286" w:type="dxa"/>
            <w:gridSpan w:val="7"/>
          </w:tcPr>
          <w:p w:rsidR="007C5447" w:rsidRDefault="00F6308C">
            <w:pPr>
              <w:pStyle w:val="TableParagraph"/>
              <w:spacing w:before="65"/>
              <w:ind w:left="107"/>
              <w:jc w:val="left"/>
              <w:rPr>
                <w:b/>
                <w:sz w:val="20"/>
              </w:rPr>
            </w:pPr>
            <w:r>
              <w:rPr>
                <w:b/>
                <w:sz w:val="20"/>
              </w:rPr>
              <w:t>LT Category</w:t>
            </w:r>
          </w:p>
        </w:tc>
      </w:tr>
      <w:tr w:rsidR="007C5447">
        <w:trPr>
          <w:trHeight w:val="359"/>
        </w:trPr>
        <w:tc>
          <w:tcPr>
            <w:tcW w:w="2410" w:type="dxa"/>
          </w:tcPr>
          <w:p w:rsidR="007C5447" w:rsidRDefault="00F6308C">
            <w:pPr>
              <w:pStyle w:val="TableParagraph"/>
              <w:spacing w:before="65"/>
              <w:ind w:left="107"/>
              <w:jc w:val="left"/>
              <w:rPr>
                <w:sz w:val="20"/>
              </w:rPr>
            </w:pPr>
            <w:r>
              <w:rPr>
                <w:sz w:val="20"/>
              </w:rPr>
              <w:t>Domestic</w:t>
            </w:r>
          </w:p>
        </w:tc>
        <w:tc>
          <w:tcPr>
            <w:tcW w:w="708" w:type="dxa"/>
          </w:tcPr>
          <w:p w:rsidR="007C5447" w:rsidRDefault="00F6308C">
            <w:pPr>
              <w:pStyle w:val="TableParagraph"/>
              <w:spacing w:before="65"/>
              <w:ind w:right="97"/>
              <w:rPr>
                <w:sz w:val="20"/>
              </w:rPr>
            </w:pPr>
            <w:r>
              <w:rPr>
                <w:sz w:val="20"/>
              </w:rPr>
              <w:t>4.32</w:t>
            </w:r>
          </w:p>
        </w:tc>
        <w:tc>
          <w:tcPr>
            <w:tcW w:w="826" w:type="dxa"/>
          </w:tcPr>
          <w:p w:rsidR="007C5447" w:rsidRDefault="00F6308C">
            <w:pPr>
              <w:pStyle w:val="TableParagraph"/>
              <w:spacing w:before="65"/>
              <w:ind w:right="98"/>
              <w:rPr>
                <w:sz w:val="20"/>
              </w:rPr>
            </w:pPr>
            <w:r>
              <w:rPr>
                <w:sz w:val="20"/>
              </w:rPr>
              <w:t>6.00</w:t>
            </w:r>
          </w:p>
        </w:tc>
        <w:tc>
          <w:tcPr>
            <w:tcW w:w="1268" w:type="dxa"/>
          </w:tcPr>
          <w:p w:rsidR="007C5447" w:rsidRDefault="00F6308C">
            <w:pPr>
              <w:pStyle w:val="TableParagraph"/>
              <w:spacing w:before="65"/>
              <w:ind w:right="95"/>
              <w:rPr>
                <w:sz w:val="20"/>
              </w:rPr>
            </w:pPr>
            <w:r>
              <w:rPr>
                <w:sz w:val="20"/>
              </w:rPr>
              <w:t>72%</w:t>
            </w:r>
          </w:p>
        </w:tc>
        <w:tc>
          <w:tcPr>
            <w:tcW w:w="884" w:type="dxa"/>
          </w:tcPr>
          <w:p w:rsidR="007C5447" w:rsidRDefault="00F6308C">
            <w:pPr>
              <w:pStyle w:val="TableParagraph"/>
              <w:spacing w:before="65"/>
              <w:ind w:right="99"/>
              <w:rPr>
                <w:sz w:val="20"/>
              </w:rPr>
            </w:pPr>
            <w:r>
              <w:rPr>
                <w:sz w:val="20"/>
              </w:rPr>
              <w:t>3.52</w:t>
            </w:r>
          </w:p>
        </w:tc>
        <w:tc>
          <w:tcPr>
            <w:tcW w:w="853" w:type="dxa"/>
          </w:tcPr>
          <w:p w:rsidR="007C5447" w:rsidRDefault="00F6308C">
            <w:pPr>
              <w:pStyle w:val="TableParagraph"/>
              <w:spacing w:before="65"/>
              <w:ind w:right="100"/>
              <w:rPr>
                <w:sz w:val="20"/>
              </w:rPr>
            </w:pPr>
            <w:r>
              <w:rPr>
                <w:sz w:val="20"/>
              </w:rPr>
              <w:t>6.00</w:t>
            </w:r>
          </w:p>
        </w:tc>
        <w:tc>
          <w:tcPr>
            <w:tcW w:w="1337" w:type="dxa"/>
          </w:tcPr>
          <w:p w:rsidR="007C5447" w:rsidRDefault="00F6308C">
            <w:pPr>
              <w:pStyle w:val="TableParagraph"/>
              <w:spacing w:before="65"/>
              <w:ind w:right="96"/>
              <w:rPr>
                <w:sz w:val="20"/>
              </w:rPr>
            </w:pPr>
            <w:r>
              <w:rPr>
                <w:sz w:val="20"/>
              </w:rPr>
              <w:t>59%</w:t>
            </w:r>
          </w:p>
        </w:tc>
      </w:tr>
      <w:tr w:rsidR="007C5447">
        <w:trPr>
          <w:trHeight w:val="361"/>
        </w:trPr>
        <w:tc>
          <w:tcPr>
            <w:tcW w:w="2410" w:type="dxa"/>
          </w:tcPr>
          <w:p w:rsidR="007C5447" w:rsidRDefault="00F6308C">
            <w:pPr>
              <w:pStyle w:val="TableParagraph"/>
              <w:spacing w:before="65"/>
              <w:ind w:left="107"/>
              <w:jc w:val="left"/>
              <w:rPr>
                <w:sz w:val="20"/>
              </w:rPr>
            </w:pPr>
            <w:r>
              <w:rPr>
                <w:sz w:val="20"/>
              </w:rPr>
              <w:t>Huts</w:t>
            </w:r>
          </w:p>
        </w:tc>
        <w:tc>
          <w:tcPr>
            <w:tcW w:w="708" w:type="dxa"/>
          </w:tcPr>
          <w:p w:rsidR="007C5447" w:rsidRDefault="00F6308C">
            <w:pPr>
              <w:pStyle w:val="TableParagraph"/>
              <w:spacing w:before="65"/>
              <w:ind w:right="97"/>
              <w:rPr>
                <w:sz w:val="20"/>
              </w:rPr>
            </w:pPr>
            <w:r>
              <w:rPr>
                <w:sz w:val="20"/>
              </w:rPr>
              <w:t>3.00</w:t>
            </w:r>
          </w:p>
        </w:tc>
        <w:tc>
          <w:tcPr>
            <w:tcW w:w="826" w:type="dxa"/>
          </w:tcPr>
          <w:p w:rsidR="007C5447" w:rsidRDefault="00F6308C">
            <w:pPr>
              <w:pStyle w:val="TableParagraph"/>
              <w:spacing w:before="65"/>
              <w:ind w:right="98"/>
              <w:rPr>
                <w:sz w:val="20"/>
              </w:rPr>
            </w:pPr>
            <w:r>
              <w:rPr>
                <w:sz w:val="20"/>
              </w:rPr>
              <w:t>6.00</w:t>
            </w:r>
          </w:p>
        </w:tc>
        <w:tc>
          <w:tcPr>
            <w:tcW w:w="1268" w:type="dxa"/>
          </w:tcPr>
          <w:p w:rsidR="007C5447" w:rsidRDefault="00F6308C">
            <w:pPr>
              <w:pStyle w:val="TableParagraph"/>
              <w:spacing w:before="65"/>
              <w:ind w:right="95"/>
              <w:rPr>
                <w:sz w:val="20"/>
              </w:rPr>
            </w:pPr>
            <w:r>
              <w:rPr>
                <w:sz w:val="20"/>
              </w:rPr>
              <w:t>50%</w:t>
            </w:r>
          </w:p>
        </w:tc>
        <w:tc>
          <w:tcPr>
            <w:tcW w:w="884" w:type="dxa"/>
          </w:tcPr>
          <w:p w:rsidR="007C5447" w:rsidRDefault="00F6308C">
            <w:pPr>
              <w:pStyle w:val="TableParagraph"/>
              <w:spacing w:before="65"/>
              <w:ind w:right="99"/>
              <w:rPr>
                <w:sz w:val="20"/>
              </w:rPr>
            </w:pPr>
            <w:r>
              <w:rPr>
                <w:sz w:val="20"/>
              </w:rPr>
              <w:t>3.00</w:t>
            </w:r>
          </w:p>
        </w:tc>
        <w:tc>
          <w:tcPr>
            <w:tcW w:w="853" w:type="dxa"/>
          </w:tcPr>
          <w:p w:rsidR="007C5447" w:rsidRDefault="00F6308C">
            <w:pPr>
              <w:pStyle w:val="TableParagraph"/>
              <w:spacing w:before="65"/>
              <w:ind w:right="100"/>
              <w:rPr>
                <w:sz w:val="20"/>
              </w:rPr>
            </w:pPr>
            <w:r>
              <w:rPr>
                <w:sz w:val="20"/>
              </w:rPr>
              <w:t>6.00</w:t>
            </w:r>
          </w:p>
        </w:tc>
        <w:tc>
          <w:tcPr>
            <w:tcW w:w="1337" w:type="dxa"/>
          </w:tcPr>
          <w:p w:rsidR="007C5447" w:rsidRDefault="00F6308C">
            <w:pPr>
              <w:pStyle w:val="TableParagraph"/>
              <w:spacing w:before="65"/>
              <w:ind w:right="96"/>
              <w:rPr>
                <w:sz w:val="20"/>
              </w:rPr>
            </w:pPr>
            <w:r>
              <w:rPr>
                <w:sz w:val="20"/>
              </w:rPr>
              <w:t>50%</w:t>
            </w:r>
          </w:p>
        </w:tc>
      </w:tr>
      <w:tr w:rsidR="007C5447">
        <w:trPr>
          <w:trHeight w:val="359"/>
        </w:trPr>
        <w:tc>
          <w:tcPr>
            <w:tcW w:w="2410" w:type="dxa"/>
          </w:tcPr>
          <w:p w:rsidR="007C5447" w:rsidRDefault="00F6308C">
            <w:pPr>
              <w:pStyle w:val="TableParagraph"/>
              <w:spacing w:before="65"/>
              <w:ind w:left="107"/>
              <w:jc w:val="left"/>
              <w:rPr>
                <w:sz w:val="20"/>
              </w:rPr>
            </w:pPr>
            <w:r>
              <w:rPr>
                <w:sz w:val="20"/>
              </w:rPr>
              <w:t>Bulk supply</w:t>
            </w:r>
          </w:p>
        </w:tc>
        <w:tc>
          <w:tcPr>
            <w:tcW w:w="708" w:type="dxa"/>
          </w:tcPr>
          <w:p w:rsidR="007C5447" w:rsidRDefault="00F6308C">
            <w:pPr>
              <w:pStyle w:val="TableParagraph"/>
              <w:spacing w:before="65"/>
              <w:ind w:right="97"/>
              <w:rPr>
                <w:sz w:val="20"/>
              </w:rPr>
            </w:pPr>
            <w:r>
              <w:rPr>
                <w:sz w:val="20"/>
              </w:rPr>
              <w:t>4.64</w:t>
            </w:r>
          </w:p>
        </w:tc>
        <w:tc>
          <w:tcPr>
            <w:tcW w:w="826" w:type="dxa"/>
          </w:tcPr>
          <w:p w:rsidR="007C5447" w:rsidRDefault="00F6308C">
            <w:pPr>
              <w:pStyle w:val="TableParagraph"/>
              <w:spacing w:before="65"/>
              <w:ind w:right="98"/>
              <w:rPr>
                <w:sz w:val="20"/>
              </w:rPr>
            </w:pPr>
            <w:r>
              <w:rPr>
                <w:sz w:val="20"/>
              </w:rPr>
              <w:t>6.00</w:t>
            </w:r>
          </w:p>
        </w:tc>
        <w:tc>
          <w:tcPr>
            <w:tcW w:w="1268" w:type="dxa"/>
          </w:tcPr>
          <w:p w:rsidR="007C5447" w:rsidRDefault="00F6308C">
            <w:pPr>
              <w:pStyle w:val="TableParagraph"/>
              <w:spacing w:before="65"/>
              <w:ind w:right="95"/>
              <w:rPr>
                <w:sz w:val="20"/>
              </w:rPr>
            </w:pPr>
            <w:r>
              <w:rPr>
                <w:sz w:val="20"/>
              </w:rPr>
              <w:t>77%</w:t>
            </w:r>
          </w:p>
        </w:tc>
        <w:tc>
          <w:tcPr>
            <w:tcW w:w="884" w:type="dxa"/>
          </w:tcPr>
          <w:p w:rsidR="007C5447" w:rsidRDefault="00F6308C">
            <w:pPr>
              <w:pStyle w:val="TableParagraph"/>
              <w:spacing w:before="65"/>
              <w:ind w:right="99"/>
              <w:rPr>
                <w:sz w:val="20"/>
              </w:rPr>
            </w:pPr>
            <w:r>
              <w:rPr>
                <w:sz w:val="20"/>
              </w:rPr>
              <w:t>4.64</w:t>
            </w:r>
          </w:p>
        </w:tc>
        <w:tc>
          <w:tcPr>
            <w:tcW w:w="853" w:type="dxa"/>
          </w:tcPr>
          <w:p w:rsidR="007C5447" w:rsidRDefault="00F6308C">
            <w:pPr>
              <w:pStyle w:val="TableParagraph"/>
              <w:spacing w:before="65"/>
              <w:ind w:right="100"/>
              <w:rPr>
                <w:sz w:val="20"/>
              </w:rPr>
            </w:pPr>
            <w:r>
              <w:rPr>
                <w:sz w:val="20"/>
              </w:rPr>
              <w:t>6.00</w:t>
            </w:r>
          </w:p>
        </w:tc>
        <w:tc>
          <w:tcPr>
            <w:tcW w:w="1337" w:type="dxa"/>
          </w:tcPr>
          <w:p w:rsidR="007C5447" w:rsidRDefault="00F6308C">
            <w:pPr>
              <w:pStyle w:val="TableParagraph"/>
              <w:spacing w:before="65"/>
              <w:ind w:right="96"/>
              <w:rPr>
                <w:sz w:val="20"/>
              </w:rPr>
            </w:pPr>
            <w:r>
              <w:rPr>
                <w:sz w:val="20"/>
              </w:rPr>
              <w:t>77%</w:t>
            </w:r>
          </w:p>
        </w:tc>
      </w:tr>
      <w:tr w:rsidR="007C5447">
        <w:trPr>
          <w:trHeight w:val="489"/>
        </w:trPr>
        <w:tc>
          <w:tcPr>
            <w:tcW w:w="2410" w:type="dxa"/>
          </w:tcPr>
          <w:p w:rsidR="007C5447" w:rsidRDefault="00F6308C">
            <w:pPr>
              <w:pStyle w:val="TableParagraph"/>
              <w:spacing w:before="14" w:line="230" w:lineRule="atLeast"/>
              <w:ind w:left="107" w:right="114"/>
              <w:jc w:val="left"/>
              <w:rPr>
                <w:sz w:val="20"/>
              </w:rPr>
            </w:pPr>
            <w:r>
              <w:rPr>
                <w:sz w:val="20"/>
              </w:rPr>
              <w:t>Public Lighting &amp; Water Works</w:t>
            </w:r>
          </w:p>
        </w:tc>
        <w:tc>
          <w:tcPr>
            <w:tcW w:w="708" w:type="dxa"/>
          </w:tcPr>
          <w:p w:rsidR="007C5447" w:rsidRDefault="00F6308C">
            <w:pPr>
              <w:pStyle w:val="TableParagraph"/>
              <w:spacing w:before="130"/>
              <w:ind w:right="97"/>
              <w:rPr>
                <w:sz w:val="20"/>
              </w:rPr>
            </w:pPr>
            <w:r>
              <w:rPr>
                <w:sz w:val="20"/>
              </w:rPr>
              <w:t>6.90</w:t>
            </w:r>
          </w:p>
        </w:tc>
        <w:tc>
          <w:tcPr>
            <w:tcW w:w="826" w:type="dxa"/>
          </w:tcPr>
          <w:p w:rsidR="007C5447" w:rsidRDefault="00F6308C">
            <w:pPr>
              <w:pStyle w:val="TableParagraph"/>
              <w:spacing w:before="130"/>
              <w:ind w:right="98"/>
              <w:rPr>
                <w:sz w:val="20"/>
              </w:rPr>
            </w:pPr>
            <w:r>
              <w:rPr>
                <w:sz w:val="20"/>
              </w:rPr>
              <w:t>6.00</w:t>
            </w:r>
          </w:p>
        </w:tc>
        <w:tc>
          <w:tcPr>
            <w:tcW w:w="1268" w:type="dxa"/>
          </w:tcPr>
          <w:p w:rsidR="007C5447" w:rsidRDefault="00F6308C">
            <w:pPr>
              <w:pStyle w:val="TableParagraph"/>
              <w:spacing w:before="130"/>
              <w:ind w:right="92"/>
              <w:rPr>
                <w:sz w:val="20"/>
              </w:rPr>
            </w:pPr>
            <w:r>
              <w:rPr>
                <w:sz w:val="20"/>
              </w:rPr>
              <w:t>115%</w:t>
            </w:r>
          </w:p>
        </w:tc>
        <w:tc>
          <w:tcPr>
            <w:tcW w:w="884" w:type="dxa"/>
          </w:tcPr>
          <w:p w:rsidR="007C5447" w:rsidRDefault="00F6308C">
            <w:pPr>
              <w:pStyle w:val="TableParagraph"/>
              <w:spacing w:before="130"/>
              <w:ind w:right="99"/>
              <w:rPr>
                <w:sz w:val="20"/>
              </w:rPr>
            </w:pPr>
            <w:r>
              <w:rPr>
                <w:sz w:val="20"/>
              </w:rPr>
              <w:t>6.90</w:t>
            </w:r>
          </w:p>
        </w:tc>
        <w:tc>
          <w:tcPr>
            <w:tcW w:w="853" w:type="dxa"/>
          </w:tcPr>
          <w:p w:rsidR="007C5447" w:rsidRDefault="00F6308C">
            <w:pPr>
              <w:pStyle w:val="TableParagraph"/>
              <w:spacing w:before="130"/>
              <w:ind w:right="100"/>
              <w:rPr>
                <w:sz w:val="20"/>
              </w:rPr>
            </w:pPr>
            <w:r>
              <w:rPr>
                <w:sz w:val="20"/>
              </w:rPr>
              <w:t>6.00</w:t>
            </w:r>
          </w:p>
        </w:tc>
        <w:tc>
          <w:tcPr>
            <w:tcW w:w="1337" w:type="dxa"/>
          </w:tcPr>
          <w:p w:rsidR="007C5447" w:rsidRDefault="00F6308C">
            <w:pPr>
              <w:pStyle w:val="TableParagraph"/>
              <w:spacing w:before="130"/>
              <w:ind w:right="94"/>
              <w:rPr>
                <w:sz w:val="20"/>
              </w:rPr>
            </w:pPr>
            <w:r>
              <w:rPr>
                <w:sz w:val="20"/>
              </w:rPr>
              <w:t>115%</w:t>
            </w:r>
          </w:p>
        </w:tc>
      </w:tr>
      <w:tr w:rsidR="007C5447">
        <w:trPr>
          <w:trHeight w:val="359"/>
        </w:trPr>
        <w:tc>
          <w:tcPr>
            <w:tcW w:w="2410" w:type="dxa"/>
          </w:tcPr>
          <w:p w:rsidR="007C5447" w:rsidRDefault="00F6308C">
            <w:pPr>
              <w:pStyle w:val="TableParagraph"/>
              <w:spacing w:before="65"/>
              <w:ind w:left="107"/>
              <w:jc w:val="left"/>
              <w:rPr>
                <w:sz w:val="20"/>
              </w:rPr>
            </w:pPr>
            <w:r>
              <w:rPr>
                <w:sz w:val="20"/>
              </w:rPr>
              <w:t>Government Educational</w:t>
            </w:r>
          </w:p>
        </w:tc>
        <w:tc>
          <w:tcPr>
            <w:tcW w:w="708" w:type="dxa"/>
          </w:tcPr>
          <w:p w:rsidR="007C5447" w:rsidRDefault="00F6308C">
            <w:pPr>
              <w:pStyle w:val="TableParagraph"/>
              <w:spacing w:before="65"/>
              <w:ind w:right="97"/>
              <w:rPr>
                <w:sz w:val="20"/>
              </w:rPr>
            </w:pPr>
            <w:r>
              <w:rPr>
                <w:sz w:val="20"/>
              </w:rPr>
              <w:t>6.85</w:t>
            </w:r>
          </w:p>
        </w:tc>
        <w:tc>
          <w:tcPr>
            <w:tcW w:w="826" w:type="dxa"/>
          </w:tcPr>
          <w:p w:rsidR="007C5447" w:rsidRDefault="00F6308C">
            <w:pPr>
              <w:pStyle w:val="TableParagraph"/>
              <w:spacing w:before="65"/>
              <w:ind w:right="98"/>
              <w:rPr>
                <w:sz w:val="20"/>
              </w:rPr>
            </w:pPr>
            <w:r>
              <w:rPr>
                <w:sz w:val="20"/>
              </w:rPr>
              <w:t>6.00</w:t>
            </w:r>
          </w:p>
        </w:tc>
        <w:tc>
          <w:tcPr>
            <w:tcW w:w="1268" w:type="dxa"/>
          </w:tcPr>
          <w:p w:rsidR="007C5447" w:rsidRDefault="00F6308C">
            <w:pPr>
              <w:pStyle w:val="TableParagraph"/>
              <w:spacing w:before="65"/>
              <w:ind w:right="92"/>
              <w:rPr>
                <w:sz w:val="20"/>
              </w:rPr>
            </w:pPr>
            <w:r>
              <w:rPr>
                <w:sz w:val="20"/>
              </w:rPr>
              <w:t>114%</w:t>
            </w:r>
          </w:p>
        </w:tc>
        <w:tc>
          <w:tcPr>
            <w:tcW w:w="884" w:type="dxa"/>
          </w:tcPr>
          <w:p w:rsidR="007C5447" w:rsidRDefault="00F6308C">
            <w:pPr>
              <w:pStyle w:val="TableParagraph"/>
              <w:spacing w:before="65"/>
              <w:ind w:right="99"/>
              <w:rPr>
                <w:sz w:val="20"/>
              </w:rPr>
            </w:pPr>
            <w:r>
              <w:rPr>
                <w:sz w:val="20"/>
              </w:rPr>
              <w:t>6.85</w:t>
            </w:r>
          </w:p>
        </w:tc>
        <w:tc>
          <w:tcPr>
            <w:tcW w:w="853" w:type="dxa"/>
          </w:tcPr>
          <w:p w:rsidR="007C5447" w:rsidRDefault="00F6308C">
            <w:pPr>
              <w:pStyle w:val="TableParagraph"/>
              <w:spacing w:before="65"/>
              <w:ind w:right="100"/>
              <w:rPr>
                <w:sz w:val="20"/>
              </w:rPr>
            </w:pPr>
            <w:r>
              <w:rPr>
                <w:sz w:val="20"/>
              </w:rPr>
              <w:t>6.00</w:t>
            </w:r>
          </w:p>
        </w:tc>
        <w:tc>
          <w:tcPr>
            <w:tcW w:w="1337" w:type="dxa"/>
          </w:tcPr>
          <w:p w:rsidR="007C5447" w:rsidRDefault="00F6308C">
            <w:pPr>
              <w:pStyle w:val="TableParagraph"/>
              <w:spacing w:before="65"/>
              <w:ind w:right="94"/>
              <w:rPr>
                <w:sz w:val="20"/>
              </w:rPr>
            </w:pPr>
            <w:r>
              <w:rPr>
                <w:sz w:val="20"/>
              </w:rPr>
              <w:t>114%</w:t>
            </w:r>
          </w:p>
        </w:tc>
      </w:tr>
    </w:tbl>
    <w:p w:rsidR="007C5447" w:rsidRDefault="007C5447">
      <w:pPr>
        <w:rPr>
          <w:sz w:val="20"/>
        </w:rPr>
        <w:sectPr w:rsidR="007C5447">
          <w:pgSz w:w="11910" w:h="16840"/>
          <w:pgMar w:top="1360" w:right="560" w:bottom="1240" w:left="1180" w:header="0" w:footer="1057" w:gutter="0"/>
          <w:cols w:space="720"/>
        </w:sectPr>
      </w:pPr>
    </w:p>
    <w:tbl>
      <w:tblPr>
        <w:tblW w:w="0" w:type="auto"/>
        <w:tblInd w:w="1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0"/>
        <w:gridCol w:w="708"/>
        <w:gridCol w:w="826"/>
        <w:gridCol w:w="1268"/>
        <w:gridCol w:w="884"/>
        <w:gridCol w:w="853"/>
        <w:gridCol w:w="1337"/>
      </w:tblGrid>
      <w:tr w:rsidR="007C5447">
        <w:trPr>
          <w:trHeight w:val="360"/>
        </w:trPr>
        <w:tc>
          <w:tcPr>
            <w:tcW w:w="2410" w:type="dxa"/>
            <w:vMerge w:val="restart"/>
            <w:shd w:val="clear" w:color="auto" w:fill="FBD4B4"/>
          </w:tcPr>
          <w:p w:rsidR="007C5447" w:rsidRDefault="00F6308C">
            <w:pPr>
              <w:pStyle w:val="TableParagraph"/>
              <w:spacing w:before="134"/>
              <w:ind w:left="107" w:right="328"/>
              <w:jc w:val="left"/>
              <w:rPr>
                <w:b/>
                <w:sz w:val="20"/>
              </w:rPr>
            </w:pPr>
            <w:r>
              <w:rPr>
                <w:b/>
                <w:sz w:val="20"/>
              </w:rPr>
              <w:lastRenderedPageBreak/>
              <w:t>Consumer Category &amp; Consumption Slab</w:t>
            </w:r>
          </w:p>
        </w:tc>
        <w:tc>
          <w:tcPr>
            <w:tcW w:w="2802" w:type="dxa"/>
            <w:gridSpan w:val="3"/>
            <w:shd w:val="clear" w:color="auto" w:fill="FBD4B4"/>
          </w:tcPr>
          <w:p w:rsidR="007C5447" w:rsidRDefault="00F6308C">
            <w:pPr>
              <w:pStyle w:val="TableParagraph"/>
              <w:spacing w:before="65"/>
              <w:ind w:left="767"/>
              <w:jc w:val="left"/>
              <w:rPr>
                <w:b/>
                <w:sz w:val="20"/>
              </w:rPr>
            </w:pPr>
            <w:r>
              <w:rPr>
                <w:b/>
                <w:sz w:val="20"/>
              </w:rPr>
              <w:t>Existing Tariff</w:t>
            </w:r>
          </w:p>
        </w:tc>
        <w:tc>
          <w:tcPr>
            <w:tcW w:w="3074" w:type="dxa"/>
            <w:gridSpan w:val="3"/>
            <w:shd w:val="clear" w:color="auto" w:fill="FBD4B4"/>
          </w:tcPr>
          <w:p w:rsidR="007C5447" w:rsidRDefault="00F6308C">
            <w:pPr>
              <w:pStyle w:val="TableParagraph"/>
              <w:spacing w:before="65"/>
              <w:ind w:left="920"/>
              <w:jc w:val="left"/>
              <w:rPr>
                <w:b/>
                <w:sz w:val="20"/>
              </w:rPr>
            </w:pPr>
            <w:r>
              <w:rPr>
                <w:b/>
                <w:sz w:val="20"/>
              </w:rPr>
              <w:t>Revised Tariff</w:t>
            </w:r>
          </w:p>
        </w:tc>
      </w:tr>
      <w:tr w:rsidR="007C5447">
        <w:trPr>
          <w:trHeight w:val="359"/>
        </w:trPr>
        <w:tc>
          <w:tcPr>
            <w:tcW w:w="2410" w:type="dxa"/>
            <w:vMerge/>
            <w:tcBorders>
              <w:top w:val="nil"/>
            </w:tcBorders>
            <w:shd w:val="clear" w:color="auto" w:fill="FBD4B4"/>
          </w:tcPr>
          <w:p w:rsidR="007C5447" w:rsidRDefault="007C5447">
            <w:pPr>
              <w:rPr>
                <w:sz w:val="2"/>
                <w:szCs w:val="2"/>
              </w:rPr>
            </w:pPr>
          </w:p>
        </w:tc>
        <w:tc>
          <w:tcPr>
            <w:tcW w:w="708" w:type="dxa"/>
            <w:shd w:val="clear" w:color="auto" w:fill="FBD4B4"/>
          </w:tcPr>
          <w:p w:rsidR="007C5447" w:rsidRDefault="00F6308C">
            <w:pPr>
              <w:pStyle w:val="TableParagraph"/>
              <w:spacing w:before="65"/>
              <w:ind w:right="132"/>
              <w:rPr>
                <w:b/>
                <w:sz w:val="20"/>
              </w:rPr>
            </w:pPr>
            <w:r>
              <w:rPr>
                <w:b/>
                <w:w w:val="95"/>
                <w:sz w:val="20"/>
              </w:rPr>
              <w:t>ABR</w:t>
            </w:r>
          </w:p>
        </w:tc>
        <w:tc>
          <w:tcPr>
            <w:tcW w:w="826" w:type="dxa"/>
            <w:shd w:val="clear" w:color="auto" w:fill="FBD4B4"/>
          </w:tcPr>
          <w:p w:rsidR="007C5447" w:rsidRDefault="00F6308C">
            <w:pPr>
              <w:pStyle w:val="TableParagraph"/>
              <w:spacing w:before="65"/>
              <w:ind w:right="125"/>
              <w:rPr>
                <w:b/>
                <w:sz w:val="20"/>
              </w:rPr>
            </w:pPr>
            <w:r>
              <w:rPr>
                <w:b/>
                <w:w w:val="95"/>
                <w:sz w:val="20"/>
              </w:rPr>
              <w:t>VCOS</w:t>
            </w:r>
          </w:p>
        </w:tc>
        <w:tc>
          <w:tcPr>
            <w:tcW w:w="1268" w:type="dxa"/>
            <w:shd w:val="clear" w:color="auto" w:fill="FBD4B4"/>
          </w:tcPr>
          <w:p w:rsidR="007C5447" w:rsidRDefault="00F6308C">
            <w:pPr>
              <w:pStyle w:val="TableParagraph"/>
              <w:spacing w:before="65"/>
              <w:ind w:right="108"/>
              <w:rPr>
                <w:b/>
                <w:sz w:val="20"/>
              </w:rPr>
            </w:pPr>
            <w:r>
              <w:rPr>
                <w:b/>
                <w:w w:val="95"/>
                <w:sz w:val="20"/>
              </w:rPr>
              <w:t>ABR/VCOS</w:t>
            </w:r>
          </w:p>
        </w:tc>
        <w:tc>
          <w:tcPr>
            <w:tcW w:w="884" w:type="dxa"/>
            <w:shd w:val="clear" w:color="auto" w:fill="FBD4B4"/>
          </w:tcPr>
          <w:p w:rsidR="007C5447" w:rsidRDefault="00F6308C">
            <w:pPr>
              <w:pStyle w:val="TableParagraph"/>
              <w:spacing w:before="65"/>
              <w:ind w:left="229"/>
              <w:jc w:val="left"/>
              <w:rPr>
                <w:b/>
                <w:sz w:val="20"/>
              </w:rPr>
            </w:pPr>
            <w:r>
              <w:rPr>
                <w:b/>
                <w:sz w:val="20"/>
              </w:rPr>
              <w:t>ABR</w:t>
            </w:r>
          </w:p>
        </w:tc>
        <w:tc>
          <w:tcPr>
            <w:tcW w:w="853" w:type="dxa"/>
            <w:shd w:val="clear" w:color="auto" w:fill="FBD4B4"/>
          </w:tcPr>
          <w:p w:rsidR="007C5447" w:rsidRDefault="00F6308C">
            <w:pPr>
              <w:pStyle w:val="TableParagraph"/>
              <w:spacing w:before="65"/>
              <w:ind w:right="141"/>
              <w:rPr>
                <w:b/>
                <w:sz w:val="20"/>
              </w:rPr>
            </w:pPr>
            <w:r>
              <w:rPr>
                <w:b/>
                <w:w w:val="95"/>
                <w:sz w:val="20"/>
              </w:rPr>
              <w:t>VCOS</w:t>
            </w:r>
          </w:p>
        </w:tc>
        <w:tc>
          <w:tcPr>
            <w:tcW w:w="1337" w:type="dxa"/>
            <w:shd w:val="clear" w:color="auto" w:fill="FBD4B4"/>
          </w:tcPr>
          <w:p w:rsidR="007C5447" w:rsidRDefault="00F6308C">
            <w:pPr>
              <w:pStyle w:val="TableParagraph"/>
              <w:spacing w:before="65"/>
              <w:ind w:right="143"/>
              <w:rPr>
                <w:b/>
                <w:sz w:val="20"/>
              </w:rPr>
            </w:pPr>
            <w:r>
              <w:rPr>
                <w:b/>
                <w:w w:val="95"/>
                <w:sz w:val="20"/>
              </w:rPr>
              <w:t>ABR/VCOS</w:t>
            </w:r>
          </w:p>
        </w:tc>
      </w:tr>
      <w:tr w:rsidR="007C5447">
        <w:trPr>
          <w:trHeight w:val="362"/>
        </w:trPr>
        <w:tc>
          <w:tcPr>
            <w:tcW w:w="2410" w:type="dxa"/>
          </w:tcPr>
          <w:p w:rsidR="007C5447" w:rsidRDefault="00F6308C">
            <w:pPr>
              <w:pStyle w:val="TableParagraph"/>
              <w:spacing w:before="17"/>
              <w:ind w:left="107"/>
              <w:jc w:val="left"/>
              <w:rPr>
                <w:sz w:val="20"/>
              </w:rPr>
            </w:pPr>
            <w:r>
              <w:rPr>
                <w:sz w:val="20"/>
              </w:rPr>
              <w:t>Institution</w:t>
            </w:r>
          </w:p>
        </w:tc>
        <w:tc>
          <w:tcPr>
            <w:tcW w:w="708" w:type="dxa"/>
          </w:tcPr>
          <w:p w:rsidR="007C5447" w:rsidRDefault="007C5447">
            <w:pPr>
              <w:pStyle w:val="TableParagraph"/>
              <w:jc w:val="left"/>
            </w:pPr>
          </w:p>
        </w:tc>
        <w:tc>
          <w:tcPr>
            <w:tcW w:w="826" w:type="dxa"/>
          </w:tcPr>
          <w:p w:rsidR="007C5447" w:rsidRDefault="007C5447">
            <w:pPr>
              <w:pStyle w:val="TableParagraph"/>
              <w:jc w:val="left"/>
            </w:pPr>
          </w:p>
        </w:tc>
        <w:tc>
          <w:tcPr>
            <w:tcW w:w="1268" w:type="dxa"/>
          </w:tcPr>
          <w:p w:rsidR="007C5447" w:rsidRDefault="007C5447">
            <w:pPr>
              <w:pStyle w:val="TableParagraph"/>
              <w:jc w:val="left"/>
            </w:pPr>
          </w:p>
        </w:tc>
        <w:tc>
          <w:tcPr>
            <w:tcW w:w="884" w:type="dxa"/>
          </w:tcPr>
          <w:p w:rsidR="007C5447" w:rsidRDefault="007C5447">
            <w:pPr>
              <w:pStyle w:val="TableParagraph"/>
              <w:jc w:val="left"/>
            </w:pPr>
          </w:p>
        </w:tc>
        <w:tc>
          <w:tcPr>
            <w:tcW w:w="853" w:type="dxa"/>
          </w:tcPr>
          <w:p w:rsidR="007C5447" w:rsidRDefault="007C5447">
            <w:pPr>
              <w:pStyle w:val="TableParagraph"/>
              <w:jc w:val="left"/>
            </w:pPr>
          </w:p>
        </w:tc>
        <w:tc>
          <w:tcPr>
            <w:tcW w:w="1337" w:type="dxa"/>
          </w:tcPr>
          <w:p w:rsidR="007C5447" w:rsidRDefault="007C5447">
            <w:pPr>
              <w:pStyle w:val="TableParagraph"/>
              <w:jc w:val="left"/>
            </w:pPr>
          </w:p>
        </w:tc>
      </w:tr>
      <w:tr w:rsidR="007C5447">
        <w:trPr>
          <w:trHeight w:val="489"/>
        </w:trPr>
        <w:tc>
          <w:tcPr>
            <w:tcW w:w="2410" w:type="dxa"/>
          </w:tcPr>
          <w:p w:rsidR="007C5447" w:rsidRDefault="00F6308C">
            <w:pPr>
              <w:pStyle w:val="TableParagraph"/>
              <w:spacing w:before="14" w:line="230" w:lineRule="atLeast"/>
              <w:ind w:left="107" w:right="951"/>
              <w:jc w:val="left"/>
              <w:rPr>
                <w:sz w:val="20"/>
              </w:rPr>
            </w:pPr>
            <w:r>
              <w:rPr>
                <w:sz w:val="20"/>
              </w:rPr>
              <w:t>Pvt. Educational Institutions</w:t>
            </w:r>
          </w:p>
        </w:tc>
        <w:tc>
          <w:tcPr>
            <w:tcW w:w="708" w:type="dxa"/>
          </w:tcPr>
          <w:p w:rsidR="007C5447" w:rsidRDefault="00F6308C">
            <w:pPr>
              <w:pStyle w:val="TableParagraph"/>
              <w:spacing w:before="130"/>
              <w:ind w:right="97"/>
              <w:rPr>
                <w:sz w:val="20"/>
              </w:rPr>
            </w:pPr>
            <w:r>
              <w:rPr>
                <w:sz w:val="20"/>
              </w:rPr>
              <w:t>8.34</w:t>
            </w:r>
          </w:p>
        </w:tc>
        <w:tc>
          <w:tcPr>
            <w:tcW w:w="826" w:type="dxa"/>
          </w:tcPr>
          <w:p w:rsidR="007C5447" w:rsidRDefault="00F6308C">
            <w:pPr>
              <w:pStyle w:val="TableParagraph"/>
              <w:spacing w:before="130"/>
              <w:ind w:right="98"/>
              <w:rPr>
                <w:sz w:val="20"/>
              </w:rPr>
            </w:pPr>
            <w:r>
              <w:rPr>
                <w:sz w:val="20"/>
              </w:rPr>
              <w:t>6.00</w:t>
            </w:r>
          </w:p>
        </w:tc>
        <w:tc>
          <w:tcPr>
            <w:tcW w:w="1268" w:type="dxa"/>
          </w:tcPr>
          <w:p w:rsidR="007C5447" w:rsidRDefault="00F6308C">
            <w:pPr>
              <w:pStyle w:val="TableParagraph"/>
              <w:spacing w:before="130"/>
              <w:ind w:right="92"/>
              <w:rPr>
                <w:sz w:val="20"/>
              </w:rPr>
            </w:pPr>
            <w:r>
              <w:rPr>
                <w:sz w:val="20"/>
              </w:rPr>
              <w:t>139%</w:t>
            </w:r>
          </w:p>
        </w:tc>
        <w:tc>
          <w:tcPr>
            <w:tcW w:w="884" w:type="dxa"/>
          </w:tcPr>
          <w:p w:rsidR="007C5447" w:rsidRDefault="00F6308C">
            <w:pPr>
              <w:pStyle w:val="TableParagraph"/>
              <w:spacing w:before="130"/>
              <w:ind w:right="99"/>
              <w:rPr>
                <w:sz w:val="20"/>
              </w:rPr>
            </w:pPr>
            <w:r>
              <w:rPr>
                <w:sz w:val="20"/>
              </w:rPr>
              <w:t>8.34</w:t>
            </w:r>
          </w:p>
        </w:tc>
        <w:tc>
          <w:tcPr>
            <w:tcW w:w="853" w:type="dxa"/>
          </w:tcPr>
          <w:p w:rsidR="007C5447" w:rsidRDefault="00F6308C">
            <w:pPr>
              <w:pStyle w:val="TableParagraph"/>
              <w:spacing w:before="130"/>
              <w:ind w:right="100"/>
              <w:rPr>
                <w:sz w:val="20"/>
              </w:rPr>
            </w:pPr>
            <w:r>
              <w:rPr>
                <w:sz w:val="20"/>
              </w:rPr>
              <w:t>6.00</w:t>
            </w:r>
          </w:p>
        </w:tc>
        <w:tc>
          <w:tcPr>
            <w:tcW w:w="1337" w:type="dxa"/>
          </w:tcPr>
          <w:p w:rsidR="007C5447" w:rsidRDefault="00F6308C">
            <w:pPr>
              <w:pStyle w:val="TableParagraph"/>
              <w:spacing w:before="130"/>
              <w:ind w:right="94"/>
              <w:rPr>
                <w:sz w:val="20"/>
              </w:rPr>
            </w:pPr>
            <w:r>
              <w:rPr>
                <w:sz w:val="20"/>
              </w:rPr>
              <w:t>139%</w:t>
            </w:r>
          </w:p>
        </w:tc>
      </w:tr>
      <w:tr w:rsidR="007C5447">
        <w:trPr>
          <w:trHeight w:val="489"/>
        </w:trPr>
        <w:tc>
          <w:tcPr>
            <w:tcW w:w="2410" w:type="dxa"/>
          </w:tcPr>
          <w:p w:rsidR="007C5447" w:rsidRDefault="00F6308C">
            <w:pPr>
              <w:pStyle w:val="TableParagraph"/>
              <w:spacing w:before="14" w:line="230" w:lineRule="atLeast"/>
              <w:ind w:left="107" w:right="245"/>
              <w:jc w:val="left"/>
              <w:rPr>
                <w:sz w:val="20"/>
              </w:rPr>
            </w:pPr>
            <w:r>
              <w:rPr>
                <w:sz w:val="20"/>
              </w:rPr>
              <w:t>Places of Public Worship (LT)</w:t>
            </w:r>
          </w:p>
        </w:tc>
        <w:tc>
          <w:tcPr>
            <w:tcW w:w="708" w:type="dxa"/>
          </w:tcPr>
          <w:p w:rsidR="007C5447" w:rsidRDefault="00F6308C">
            <w:pPr>
              <w:pStyle w:val="TableParagraph"/>
              <w:spacing w:before="130"/>
              <w:ind w:right="97"/>
              <w:rPr>
                <w:sz w:val="20"/>
              </w:rPr>
            </w:pPr>
            <w:r>
              <w:rPr>
                <w:sz w:val="20"/>
              </w:rPr>
              <w:t>6.92</w:t>
            </w:r>
          </w:p>
        </w:tc>
        <w:tc>
          <w:tcPr>
            <w:tcW w:w="826" w:type="dxa"/>
          </w:tcPr>
          <w:p w:rsidR="007C5447" w:rsidRDefault="00F6308C">
            <w:pPr>
              <w:pStyle w:val="TableParagraph"/>
              <w:spacing w:before="130"/>
              <w:ind w:right="98"/>
              <w:rPr>
                <w:sz w:val="20"/>
              </w:rPr>
            </w:pPr>
            <w:r>
              <w:rPr>
                <w:sz w:val="20"/>
              </w:rPr>
              <w:t>6.00</w:t>
            </w:r>
          </w:p>
        </w:tc>
        <w:tc>
          <w:tcPr>
            <w:tcW w:w="1268" w:type="dxa"/>
          </w:tcPr>
          <w:p w:rsidR="007C5447" w:rsidRDefault="00F6308C">
            <w:pPr>
              <w:pStyle w:val="TableParagraph"/>
              <w:spacing w:before="130"/>
              <w:ind w:right="92"/>
              <w:rPr>
                <w:sz w:val="20"/>
              </w:rPr>
            </w:pPr>
            <w:r>
              <w:rPr>
                <w:sz w:val="20"/>
              </w:rPr>
              <w:t>115%</w:t>
            </w:r>
          </w:p>
        </w:tc>
        <w:tc>
          <w:tcPr>
            <w:tcW w:w="884" w:type="dxa"/>
          </w:tcPr>
          <w:p w:rsidR="007C5447" w:rsidRDefault="00F6308C">
            <w:pPr>
              <w:pStyle w:val="TableParagraph"/>
              <w:spacing w:before="130"/>
              <w:ind w:right="99"/>
              <w:rPr>
                <w:sz w:val="20"/>
              </w:rPr>
            </w:pPr>
            <w:r>
              <w:rPr>
                <w:sz w:val="20"/>
              </w:rPr>
              <w:t>6.92</w:t>
            </w:r>
          </w:p>
        </w:tc>
        <w:tc>
          <w:tcPr>
            <w:tcW w:w="853" w:type="dxa"/>
          </w:tcPr>
          <w:p w:rsidR="007C5447" w:rsidRDefault="00F6308C">
            <w:pPr>
              <w:pStyle w:val="TableParagraph"/>
              <w:spacing w:before="130"/>
              <w:ind w:right="100"/>
              <w:rPr>
                <w:sz w:val="20"/>
              </w:rPr>
            </w:pPr>
            <w:r>
              <w:rPr>
                <w:sz w:val="20"/>
              </w:rPr>
              <w:t>6.00</w:t>
            </w:r>
          </w:p>
        </w:tc>
        <w:tc>
          <w:tcPr>
            <w:tcW w:w="1337" w:type="dxa"/>
          </w:tcPr>
          <w:p w:rsidR="007C5447" w:rsidRDefault="00F6308C">
            <w:pPr>
              <w:pStyle w:val="TableParagraph"/>
              <w:spacing w:before="130"/>
              <w:ind w:right="94"/>
              <w:rPr>
                <w:sz w:val="20"/>
              </w:rPr>
            </w:pPr>
            <w:r>
              <w:rPr>
                <w:sz w:val="20"/>
              </w:rPr>
              <w:t>115%</w:t>
            </w:r>
          </w:p>
        </w:tc>
      </w:tr>
      <w:tr w:rsidR="007C5447">
        <w:trPr>
          <w:trHeight w:val="489"/>
        </w:trPr>
        <w:tc>
          <w:tcPr>
            <w:tcW w:w="2410" w:type="dxa"/>
          </w:tcPr>
          <w:p w:rsidR="007C5447" w:rsidRDefault="00F6308C">
            <w:pPr>
              <w:pStyle w:val="TableParagraph"/>
              <w:spacing w:before="14" w:line="230" w:lineRule="atLeast"/>
              <w:ind w:left="107" w:right="884"/>
              <w:jc w:val="left"/>
              <w:rPr>
                <w:sz w:val="20"/>
              </w:rPr>
            </w:pPr>
            <w:r>
              <w:rPr>
                <w:sz w:val="20"/>
              </w:rPr>
              <w:t>Cottage and Tiny Industries</w:t>
            </w:r>
          </w:p>
        </w:tc>
        <w:tc>
          <w:tcPr>
            <w:tcW w:w="708" w:type="dxa"/>
          </w:tcPr>
          <w:p w:rsidR="007C5447" w:rsidRDefault="00F6308C">
            <w:pPr>
              <w:pStyle w:val="TableParagraph"/>
              <w:spacing w:before="130"/>
              <w:ind w:right="97"/>
              <w:rPr>
                <w:sz w:val="20"/>
              </w:rPr>
            </w:pPr>
            <w:r>
              <w:rPr>
                <w:sz w:val="20"/>
              </w:rPr>
              <w:t>5.06</w:t>
            </w:r>
          </w:p>
        </w:tc>
        <w:tc>
          <w:tcPr>
            <w:tcW w:w="826" w:type="dxa"/>
          </w:tcPr>
          <w:p w:rsidR="007C5447" w:rsidRDefault="00F6308C">
            <w:pPr>
              <w:pStyle w:val="TableParagraph"/>
              <w:spacing w:before="130"/>
              <w:ind w:right="98"/>
              <w:rPr>
                <w:sz w:val="20"/>
              </w:rPr>
            </w:pPr>
            <w:r>
              <w:rPr>
                <w:sz w:val="20"/>
              </w:rPr>
              <w:t>6.00</w:t>
            </w:r>
          </w:p>
        </w:tc>
        <w:tc>
          <w:tcPr>
            <w:tcW w:w="1268" w:type="dxa"/>
          </w:tcPr>
          <w:p w:rsidR="007C5447" w:rsidRDefault="00F6308C">
            <w:pPr>
              <w:pStyle w:val="TableParagraph"/>
              <w:spacing w:before="130"/>
              <w:ind w:right="95"/>
              <w:rPr>
                <w:sz w:val="20"/>
              </w:rPr>
            </w:pPr>
            <w:r>
              <w:rPr>
                <w:sz w:val="20"/>
              </w:rPr>
              <w:t>84%</w:t>
            </w:r>
          </w:p>
        </w:tc>
        <w:tc>
          <w:tcPr>
            <w:tcW w:w="884" w:type="dxa"/>
          </w:tcPr>
          <w:p w:rsidR="007C5447" w:rsidRDefault="00F6308C">
            <w:pPr>
              <w:pStyle w:val="TableParagraph"/>
              <w:spacing w:before="130"/>
              <w:ind w:right="99"/>
              <w:rPr>
                <w:sz w:val="20"/>
              </w:rPr>
            </w:pPr>
            <w:r>
              <w:rPr>
                <w:sz w:val="20"/>
              </w:rPr>
              <w:t>5.06</w:t>
            </w:r>
          </w:p>
        </w:tc>
        <w:tc>
          <w:tcPr>
            <w:tcW w:w="853" w:type="dxa"/>
          </w:tcPr>
          <w:p w:rsidR="007C5447" w:rsidRDefault="00F6308C">
            <w:pPr>
              <w:pStyle w:val="TableParagraph"/>
              <w:spacing w:before="130"/>
              <w:ind w:right="100"/>
              <w:rPr>
                <w:sz w:val="20"/>
              </w:rPr>
            </w:pPr>
            <w:r>
              <w:rPr>
                <w:sz w:val="20"/>
              </w:rPr>
              <w:t>6.00</w:t>
            </w:r>
          </w:p>
        </w:tc>
        <w:tc>
          <w:tcPr>
            <w:tcW w:w="1337" w:type="dxa"/>
          </w:tcPr>
          <w:p w:rsidR="007C5447" w:rsidRDefault="00F6308C">
            <w:pPr>
              <w:pStyle w:val="TableParagraph"/>
              <w:spacing w:before="130"/>
              <w:ind w:right="96"/>
              <w:rPr>
                <w:sz w:val="20"/>
              </w:rPr>
            </w:pPr>
            <w:r>
              <w:rPr>
                <w:sz w:val="20"/>
              </w:rPr>
              <w:t>84%</w:t>
            </w:r>
          </w:p>
        </w:tc>
      </w:tr>
      <w:tr w:rsidR="007C5447">
        <w:trPr>
          <w:trHeight w:val="361"/>
        </w:trPr>
        <w:tc>
          <w:tcPr>
            <w:tcW w:w="2410" w:type="dxa"/>
          </w:tcPr>
          <w:p w:rsidR="007C5447" w:rsidRDefault="00F6308C">
            <w:pPr>
              <w:pStyle w:val="TableParagraph"/>
              <w:spacing w:before="67"/>
              <w:ind w:left="107"/>
              <w:jc w:val="left"/>
              <w:rPr>
                <w:sz w:val="20"/>
              </w:rPr>
            </w:pPr>
            <w:r>
              <w:rPr>
                <w:sz w:val="20"/>
              </w:rPr>
              <w:t>Power Loom</w:t>
            </w:r>
          </w:p>
        </w:tc>
        <w:tc>
          <w:tcPr>
            <w:tcW w:w="708" w:type="dxa"/>
          </w:tcPr>
          <w:p w:rsidR="007C5447" w:rsidRDefault="00F6308C">
            <w:pPr>
              <w:pStyle w:val="TableParagraph"/>
              <w:spacing w:before="67"/>
              <w:ind w:right="97"/>
              <w:rPr>
                <w:sz w:val="20"/>
              </w:rPr>
            </w:pPr>
            <w:r>
              <w:rPr>
                <w:sz w:val="20"/>
              </w:rPr>
              <w:t>6.03</w:t>
            </w:r>
          </w:p>
        </w:tc>
        <w:tc>
          <w:tcPr>
            <w:tcW w:w="826" w:type="dxa"/>
          </w:tcPr>
          <w:p w:rsidR="007C5447" w:rsidRDefault="00F6308C">
            <w:pPr>
              <w:pStyle w:val="TableParagraph"/>
              <w:spacing w:before="67"/>
              <w:ind w:right="98"/>
              <w:rPr>
                <w:sz w:val="20"/>
              </w:rPr>
            </w:pPr>
            <w:r>
              <w:rPr>
                <w:sz w:val="20"/>
              </w:rPr>
              <w:t>6.00</w:t>
            </w:r>
          </w:p>
        </w:tc>
        <w:tc>
          <w:tcPr>
            <w:tcW w:w="1268" w:type="dxa"/>
          </w:tcPr>
          <w:p w:rsidR="007C5447" w:rsidRDefault="00F6308C">
            <w:pPr>
              <w:pStyle w:val="TableParagraph"/>
              <w:spacing w:before="67"/>
              <w:ind w:right="92"/>
              <w:rPr>
                <w:sz w:val="20"/>
              </w:rPr>
            </w:pPr>
            <w:r>
              <w:rPr>
                <w:sz w:val="20"/>
              </w:rPr>
              <w:t>101%</w:t>
            </w:r>
          </w:p>
        </w:tc>
        <w:tc>
          <w:tcPr>
            <w:tcW w:w="884" w:type="dxa"/>
          </w:tcPr>
          <w:p w:rsidR="007C5447" w:rsidRDefault="00F6308C">
            <w:pPr>
              <w:pStyle w:val="TableParagraph"/>
              <w:spacing w:before="67"/>
              <w:ind w:right="99"/>
              <w:rPr>
                <w:sz w:val="20"/>
              </w:rPr>
            </w:pPr>
            <w:r>
              <w:rPr>
                <w:sz w:val="20"/>
              </w:rPr>
              <w:t>6.03</w:t>
            </w:r>
          </w:p>
        </w:tc>
        <w:tc>
          <w:tcPr>
            <w:tcW w:w="853" w:type="dxa"/>
          </w:tcPr>
          <w:p w:rsidR="007C5447" w:rsidRDefault="00F6308C">
            <w:pPr>
              <w:pStyle w:val="TableParagraph"/>
              <w:spacing w:before="67"/>
              <w:ind w:right="100"/>
              <w:rPr>
                <w:sz w:val="20"/>
              </w:rPr>
            </w:pPr>
            <w:r>
              <w:rPr>
                <w:sz w:val="20"/>
              </w:rPr>
              <w:t>6.00</w:t>
            </w:r>
          </w:p>
        </w:tc>
        <w:tc>
          <w:tcPr>
            <w:tcW w:w="1337" w:type="dxa"/>
          </w:tcPr>
          <w:p w:rsidR="007C5447" w:rsidRDefault="00F6308C">
            <w:pPr>
              <w:pStyle w:val="TableParagraph"/>
              <w:spacing w:before="67"/>
              <w:ind w:right="94"/>
              <w:rPr>
                <w:sz w:val="20"/>
              </w:rPr>
            </w:pPr>
            <w:r>
              <w:rPr>
                <w:sz w:val="20"/>
              </w:rPr>
              <w:t>101%</w:t>
            </w:r>
          </w:p>
        </w:tc>
      </w:tr>
      <w:tr w:rsidR="007C5447">
        <w:trPr>
          <w:trHeight w:val="359"/>
        </w:trPr>
        <w:tc>
          <w:tcPr>
            <w:tcW w:w="2410" w:type="dxa"/>
          </w:tcPr>
          <w:p w:rsidR="007C5447" w:rsidRDefault="00F6308C">
            <w:pPr>
              <w:pStyle w:val="TableParagraph"/>
              <w:spacing w:before="65"/>
              <w:ind w:left="107"/>
              <w:jc w:val="left"/>
              <w:rPr>
                <w:sz w:val="20"/>
              </w:rPr>
            </w:pPr>
            <w:r>
              <w:rPr>
                <w:sz w:val="20"/>
              </w:rPr>
              <w:t>Industries</w:t>
            </w:r>
          </w:p>
        </w:tc>
        <w:tc>
          <w:tcPr>
            <w:tcW w:w="708" w:type="dxa"/>
          </w:tcPr>
          <w:p w:rsidR="007C5447" w:rsidRDefault="00F6308C">
            <w:pPr>
              <w:pStyle w:val="TableParagraph"/>
              <w:spacing w:before="65"/>
              <w:ind w:right="97"/>
              <w:rPr>
                <w:sz w:val="20"/>
              </w:rPr>
            </w:pPr>
            <w:r>
              <w:rPr>
                <w:sz w:val="20"/>
              </w:rPr>
              <w:t>6.81</w:t>
            </w:r>
          </w:p>
        </w:tc>
        <w:tc>
          <w:tcPr>
            <w:tcW w:w="826" w:type="dxa"/>
          </w:tcPr>
          <w:p w:rsidR="007C5447" w:rsidRDefault="00F6308C">
            <w:pPr>
              <w:pStyle w:val="TableParagraph"/>
              <w:spacing w:before="65"/>
              <w:ind w:right="98"/>
              <w:rPr>
                <w:sz w:val="20"/>
              </w:rPr>
            </w:pPr>
            <w:r>
              <w:rPr>
                <w:sz w:val="20"/>
              </w:rPr>
              <w:t>6.00</w:t>
            </w:r>
          </w:p>
        </w:tc>
        <w:tc>
          <w:tcPr>
            <w:tcW w:w="1268" w:type="dxa"/>
          </w:tcPr>
          <w:p w:rsidR="007C5447" w:rsidRDefault="00F6308C">
            <w:pPr>
              <w:pStyle w:val="TableParagraph"/>
              <w:spacing w:before="65"/>
              <w:ind w:right="92"/>
              <w:rPr>
                <w:sz w:val="20"/>
              </w:rPr>
            </w:pPr>
            <w:r>
              <w:rPr>
                <w:sz w:val="20"/>
              </w:rPr>
              <w:t>114%</w:t>
            </w:r>
          </w:p>
        </w:tc>
        <w:tc>
          <w:tcPr>
            <w:tcW w:w="884" w:type="dxa"/>
          </w:tcPr>
          <w:p w:rsidR="007C5447" w:rsidRDefault="00F6308C">
            <w:pPr>
              <w:pStyle w:val="TableParagraph"/>
              <w:spacing w:before="65"/>
              <w:ind w:right="99"/>
              <w:rPr>
                <w:sz w:val="20"/>
              </w:rPr>
            </w:pPr>
            <w:r>
              <w:rPr>
                <w:sz w:val="20"/>
              </w:rPr>
              <w:t>6.81</w:t>
            </w:r>
          </w:p>
        </w:tc>
        <w:tc>
          <w:tcPr>
            <w:tcW w:w="853" w:type="dxa"/>
          </w:tcPr>
          <w:p w:rsidR="007C5447" w:rsidRDefault="00F6308C">
            <w:pPr>
              <w:pStyle w:val="TableParagraph"/>
              <w:spacing w:before="65"/>
              <w:ind w:right="100"/>
              <w:rPr>
                <w:sz w:val="20"/>
              </w:rPr>
            </w:pPr>
            <w:r>
              <w:rPr>
                <w:sz w:val="20"/>
              </w:rPr>
              <w:t>6.00</w:t>
            </w:r>
          </w:p>
        </w:tc>
        <w:tc>
          <w:tcPr>
            <w:tcW w:w="1337" w:type="dxa"/>
          </w:tcPr>
          <w:p w:rsidR="007C5447" w:rsidRDefault="00F6308C">
            <w:pPr>
              <w:pStyle w:val="TableParagraph"/>
              <w:spacing w:before="65"/>
              <w:ind w:right="94"/>
              <w:rPr>
                <w:sz w:val="20"/>
              </w:rPr>
            </w:pPr>
            <w:r>
              <w:rPr>
                <w:sz w:val="20"/>
              </w:rPr>
              <w:t>114%</w:t>
            </w:r>
          </w:p>
        </w:tc>
      </w:tr>
      <w:tr w:rsidR="007C5447">
        <w:trPr>
          <w:trHeight w:val="489"/>
        </w:trPr>
        <w:tc>
          <w:tcPr>
            <w:tcW w:w="2410" w:type="dxa"/>
          </w:tcPr>
          <w:p w:rsidR="007C5447" w:rsidRDefault="00F6308C">
            <w:pPr>
              <w:pStyle w:val="TableParagraph"/>
              <w:spacing w:before="14" w:line="230" w:lineRule="atLeast"/>
              <w:ind w:left="107"/>
              <w:jc w:val="left"/>
              <w:rPr>
                <w:sz w:val="20"/>
              </w:rPr>
            </w:pPr>
            <w:r>
              <w:rPr>
                <w:sz w:val="20"/>
              </w:rPr>
              <w:t>Agriculture &amp; Government seed farm</w:t>
            </w:r>
          </w:p>
        </w:tc>
        <w:tc>
          <w:tcPr>
            <w:tcW w:w="708" w:type="dxa"/>
          </w:tcPr>
          <w:p w:rsidR="007C5447" w:rsidRDefault="00F6308C">
            <w:pPr>
              <w:pStyle w:val="TableParagraph"/>
              <w:spacing w:before="130"/>
              <w:ind w:right="97"/>
              <w:rPr>
                <w:sz w:val="20"/>
              </w:rPr>
            </w:pPr>
            <w:r>
              <w:rPr>
                <w:sz w:val="20"/>
              </w:rPr>
              <w:t>2.88</w:t>
            </w:r>
          </w:p>
        </w:tc>
        <w:tc>
          <w:tcPr>
            <w:tcW w:w="826" w:type="dxa"/>
          </w:tcPr>
          <w:p w:rsidR="007C5447" w:rsidRDefault="00F6308C">
            <w:pPr>
              <w:pStyle w:val="TableParagraph"/>
              <w:spacing w:before="130"/>
              <w:ind w:right="98"/>
              <w:rPr>
                <w:sz w:val="20"/>
              </w:rPr>
            </w:pPr>
            <w:r>
              <w:rPr>
                <w:sz w:val="20"/>
              </w:rPr>
              <w:t>6.00</w:t>
            </w:r>
          </w:p>
        </w:tc>
        <w:tc>
          <w:tcPr>
            <w:tcW w:w="1268" w:type="dxa"/>
          </w:tcPr>
          <w:p w:rsidR="007C5447" w:rsidRDefault="00F6308C">
            <w:pPr>
              <w:pStyle w:val="TableParagraph"/>
              <w:spacing w:before="130"/>
              <w:ind w:right="95"/>
              <w:rPr>
                <w:sz w:val="20"/>
              </w:rPr>
            </w:pPr>
            <w:r>
              <w:rPr>
                <w:sz w:val="20"/>
              </w:rPr>
              <w:t>48%</w:t>
            </w:r>
          </w:p>
        </w:tc>
        <w:tc>
          <w:tcPr>
            <w:tcW w:w="884" w:type="dxa"/>
          </w:tcPr>
          <w:p w:rsidR="007C5447" w:rsidRDefault="00F6308C">
            <w:pPr>
              <w:pStyle w:val="TableParagraph"/>
              <w:spacing w:before="130"/>
              <w:ind w:right="99"/>
              <w:rPr>
                <w:sz w:val="20"/>
              </w:rPr>
            </w:pPr>
            <w:r>
              <w:rPr>
                <w:sz w:val="20"/>
              </w:rPr>
              <w:t>2.88</w:t>
            </w:r>
          </w:p>
        </w:tc>
        <w:tc>
          <w:tcPr>
            <w:tcW w:w="853" w:type="dxa"/>
          </w:tcPr>
          <w:p w:rsidR="007C5447" w:rsidRDefault="00F6308C">
            <w:pPr>
              <w:pStyle w:val="TableParagraph"/>
              <w:spacing w:before="130"/>
              <w:ind w:right="100"/>
              <w:rPr>
                <w:sz w:val="20"/>
              </w:rPr>
            </w:pPr>
            <w:r>
              <w:rPr>
                <w:sz w:val="20"/>
              </w:rPr>
              <w:t>6.00</w:t>
            </w:r>
          </w:p>
        </w:tc>
        <w:tc>
          <w:tcPr>
            <w:tcW w:w="1337" w:type="dxa"/>
          </w:tcPr>
          <w:p w:rsidR="007C5447" w:rsidRDefault="00F6308C">
            <w:pPr>
              <w:pStyle w:val="TableParagraph"/>
              <w:spacing w:before="130"/>
              <w:ind w:right="96"/>
              <w:rPr>
                <w:sz w:val="20"/>
              </w:rPr>
            </w:pPr>
            <w:r>
              <w:rPr>
                <w:sz w:val="20"/>
              </w:rPr>
              <w:t>48%</w:t>
            </w:r>
          </w:p>
        </w:tc>
      </w:tr>
      <w:tr w:rsidR="007C5447">
        <w:trPr>
          <w:trHeight w:val="360"/>
        </w:trPr>
        <w:tc>
          <w:tcPr>
            <w:tcW w:w="2410" w:type="dxa"/>
          </w:tcPr>
          <w:p w:rsidR="007C5447" w:rsidRDefault="00F6308C">
            <w:pPr>
              <w:pStyle w:val="TableParagraph"/>
              <w:spacing w:before="65"/>
              <w:ind w:left="107"/>
              <w:jc w:val="left"/>
              <w:rPr>
                <w:sz w:val="20"/>
              </w:rPr>
            </w:pPr>
            <w:r>
              <w:rPr>
                <w:sz w:val="20"/>
              </w:rPr>
              <w:t>Commercial and Other</w:t>
            </w:r>
          </w:p>
        </w:tc>
        <w:tc>
          <w:tcPr>
            <w:tcW w:w="708" w:type="dxa"/>
          </w:tcPr>
          <w:p w:rsidR="007C5447" w:rsidRDefault="00F6308C">
            <w:pPr>
              <w:pStyle w:val="TableParagraph"/>
              <w:spacing w:before="65"/>
              <w:ind w:right="97"/>
              <w:rPr>
                <w:sz w:val="20"/>
              </w:rPr>
            </w:pPr>
            <w:r>
              <w:rPr>
                <w:sz w:val="20"/>
              </w:rPr>
              <w:t>8.75</w:t>
            </w:r>
          </w:p>
        </w:tc>
        <w:tc>
          <w:tcPr>
            <w:tcW w:w="826" w:type="dxa"/>
          </w:tcPr>
          <w:p w:rsidR="007C5447" w:rsidRDefault="00F6308C">
            <w:pPr>
              <w:pStyle w:val="TableParagraph"/>
              <w:spacing w:before="65"/>
              <w:ind w:right="98"/>
              <w:rPr>
                <w:sz w:val="20"/>
              </w:rPr>
            </w:pPr>
            <w:r>
              <w:rPr>
                <w:sz w:val="20"/>
              </w:rPr>
              <w:t>6.00</w:t>
            </w:r>
          </w:p>
        </w:tc>
        <w:tc>
          <w:tcPr>
            <w:tcW w:w="1268" w:type="dxa"/>
          </w:tcPr>
          <w:p w:rsidR="007C5447" w:rsidRDefault="00F6308C">
            <w:pPr>
              <w:pStyle w:val="TableParagraph"/>
              <w:spacing w:before="65"/>
              <w:ind w:right="92"/>
              <w:rPr>
                <w:sz w:val="20"/>
              </w:rPr>
            </w:pPr>
            <w:r>
              <w:rPr>
                <w:sz w:val="20"/>
              </w:rPr>
              <w:t>146%</w:t>
            </w:r>
          </w:p>
        </w:tc>
        <w:tc>
          <w:tcPr>
            <w:tcW w:w="884" w:type="dxa"/>
          </w:tcPr>
          <w:p w:rsidR="007C5447" w:rsidRDefault="00F6308C">
            <w:pPr>
              <w:pStyle w:val="TableParagraph"/>
              <w:spacing w:before="65"/>
              <w:ind w:right="99"/>
              <w:rPr>
                <w:sz w:val="20"/>
              </w:rPr>
            </w:pPr>
            <w:r>
              <w:rPr>
                <w:sz w:val="20"/>
              </w:rPr>
              <w:t>8.75</w:t>
            </w:r>
          </w:p>
        </w:tc>
        <w:tc>
          <w:tcPr>
            <w:tcW w:w="853" w:type="dxa"/>
          </w:tcPr>
          <w:p w:rsidR="007C5447" w:rsidRDefault="00F6308C">
            <w:pPr>
              <w:pStyle w:val="TableParagraph"/>
              <w:spacing w:before="65"/>
              <w:ind w:right="100"/>
              <w:rPr>
                <w:sz w:val="20"/>
              </w:rPr>
            </w:pPr>
            <w:r>
              <w:rPr>
                <w:sz w:val="20"/>
              </w:rPr>
              <w:t>6.00</w:t>
            </w:r>
          </w:p>
        </w:tc>
        <w:tc>
          <w:tcPr>
            <w:tcW w:w="1337" w:type="dxa"/>
          </w:tcPr>
          <w:p w:rsidR="007C5447" w:rsidRDefault="00F6308C">
            <w:pPr>
              <w:pStyle w:val="TableParagraph"/>
              <w:spacing w:before="65"/>
              <w:ind w:right="94"/>
              <w:rPr>
                <w:sz w:val="20"/>
              </w:rPr>
            </w:pPr>
            <w:r>
              <w:rPr>
                <w:sz w:val="20"/>
              </w:rPr>
              <w:t>146%</w:t>
            </w:r>
          </w:p>
        </w:tc>
      </w:tr>
    </w:tbl>
    <w:p w:rsidR="007C5447" w:rsidRDefault="00F6308C">
      <w:pPr>
        <w:pStyle w:val="BodyText"/>
        <w:spacing w:before="119" w:line="312" w:lineRule="auto"/>
        <w:ind w:left="1112" w:right="916"/>
      </w:pPr>
      <w:r>
        <w:rPr>
          <w:b/>
        </w:rPr>
        <w:t xml:space="preserve">Note: </w:t>
      </w:r>
      <w:r>
        <w:t>VCOS for HT Industries has been assumed at 110 kV, for Railways at 33kV and for remaining HT categories, VCOS assumed at 11 kV</w:t>
      </w:r>
    </w:p>
    <w:p w:rsidR="007C5447" w:rsidRDefault="007C5447">
      <w:pPr>
        <w:pStyle w:val="BodyText"/>
        <w:spacing w:before="10"/>
        <w:rPr>
          <w:sz w:val="20"/>
        </w:rPr>
      </w:pPr>
    </w:p>
    <w:p w:rsidR="007C5447" w:rsidRDefault="00F6308C">
      <w:pPr>
        <w:pStyle w:val="ListParagraph"/>
        <w:numPr>
          <w:ilvl w:val="2"/>
          <w:numId w:val="40"/>
        </w:numPr>
        <w:tabs>
          <w:tab w:val="left" w:pos="1113"/>
        </w:tabs>
        <w:spacing w:line="312" w:lineRule="auto"/>
        <w:ind w:left="1112" w:right="877"/>
        <w:jc w:val="both"/>
        <w:rPr>
          <w:sz w:val="24"/>
        </w:rPr>
      </w:pPr>
      <w:r>
        <w:rPr>
          <w:sz w:val="24"/>
        </w:rPr>
        <w:t>Further, the Hon’ble APTEL, in its Judgment dated October 27, 2014 in Appeal No. 196 of 2013, directed the Commission to formulate the roadmap for reduction of cross-subsidy, as reproduced</w:t>
      </w:r>
      <w:r>
        <w:rPr>
          <w:spacing w:val="1"/>
          <w:sz w:val="24"/>
        </w:rPr>
        <w:t xml:space="preserve"> </w:t>
      </w:r>
      <w:r>
        <w:rPr>
          <w:sz w:val="24"/>
        </w:rPr>
        <w:t>below:</w:t>
      </w:r>
    </w:p>
    <w:p w:rsidR="007C5447" w:rsidRDefault="007C5447">
      <w:pPr>
        <w:pStyle w:val="BodyText"/>
        <w:rPr>
          <w:sz w:val="21"/>
        </w:rPr>
      </w:pPr>
    </w:p>
    <w:p w:rsidR="007C5447" w:rsidRDefault="00F6308C">
      <w:pPr>
        <w:ind w:left="1700"/>
        <w:jc w:val="both"/>
        <w:rPr>
          <w:i/>
          <w:sz w:val="24"/>
        </w:rPr>
      </w:pPr>
      <w:r>
        <w:rPr>
          <w:i/>
          <w:sz w:val="24"/>
        </w:rPr>
        <w:t>“</w:t>
      </w:r>
      <w:r>
        <w:rPr>
          <w:i/>
          <w:sz w:val="24"/>
          <w:u w:val="single"/>
        </w:rPr>
        <w:t>ix) Road Map for reduction of Cross</w:t>
      </w:r>
      <w:r>
        <w:rPr>
          <w:i/>
          <w:spacing w:val="-6"/>
          <w:sz w:val="24"/>
          <w:u w:val="single"/>
        </w:rPr>
        <w:t xml:space="preserve"> </w:t>
      </w:r>
      <w:r>
        <w:rPr>
          <w:i/>
          <w:sz w:val="24"/>
          <w:u w:val="single"/>
        </w:rPr>
        <w:t>Subsidy:</w:t>
      </w:r>
    </w:p>
    <w:p w:rsidR="007C5447" w:rsidRDefault="007C5447">
      <w:pPr>
        <w:pStyle w:val="BodyText"/>
        <w:spacing w:before="10"/>
        <w:rPr>
          <w:i/>
          <w:sz w:val="20"/>
        </w:rPr>
      </w:pPr>
    </w:p>
    <w:p w:rsidR="007C5447" w:rsidRDefault="00F6308C">
      <w:pPr>
        <w:ind w:left="1700" w:right="1597"/>
        <w:jc w:val="both"/>
        <w:rPr>
          <w:i/>
          <w:sz w:val="24"/>
        </w:rPr>
      </w:pPr>
      <w:r>
        <w:rPr>
          <w:i/>
          <w:sz w:val="24"/>
        </w:rPr>
        <w:t>The State Co</w:t>
      </w:r>
      <w:r>
        <w:rPr>
          <w:i/>
          <w:sz w:val="24"/>
        </w:rPr>
        <w:t>mmission is directed to notify road map for reduction of cross subsidy as per the Tariff Policy after following due process of law which should be undertaken</w:t>
      </w:r>
      <w:r>
        <w:rPr>
          <w:i/>
          <w:spacing w:val="-3"/>
          <w:sz w:val="24"/>
        </w:rPr>
        <w:t xml:space="preserve"> </w:t>
      </w:r>
      <w:r>
        <w:rPr>
          <w:i/>
          <w:sz w:val="24"/>
        </w:rPr>
        <w:t>immediately.”</w:t>
      </w:r>
    </w:p>
    <w:p w:rsidR="007C5447" w:rsidRDefault="00F6308C">
      <w:pPr>
        <w:pStyle w:val="ListParagraph"/>
        <w:numPr>
          <w:ilvl w:val="2"/>
          <w:numId w:val="40"/>
        </w:numPr>
        <w:tabs>
          <w:tab w:val="left" w:pos="1113"/>
        </w:tabs>
        <w:spacing w:before="120" w:line="312" w:lineRule="auto"/>
        <w:ind w:left="1112" w:right="882"/>
        <w:jc w:val="both"/>
        <w:rPr>
          <w:sz w:val="24"/>
        </w:rPr>
      </w:pPr>
      <w:r>
        <w:rPr>
          <w:sz w:val="24"/>
        </w:rPr>
        <w:t>The Tariff Policy notified by the Govt. of India vide Gazette notification dated January 28, 2016, states that the road map for reduction of cross subsidy shall be with reference to the average cost of supply, as reproduced</w:t>
      </w:r>
      <w:r>
        <w:rPr>
          <w:spacing w:val="-3"/>
          <w:sz w:val="24"/>
        </w:rPr>
        <w:t xml:space="preserve"> </w:t>
      </w:r>
      <w:r>
        <w:rPr>
          <w:sz w:val="24"/>
        </w:rPr>
        <w:t>below:</w:t>
      </w:r>
    </w:p>
    <w:p w:rsidR="007C5447" w:rsidRDefault="007C5447">
      <w:pPr>
        <w:pStyle w:val="BodyText"/>
        <w:spacing w:before="9"/>
        <w:rPr>
          <w:sz w:val="20"/>
        </w:rPr>
      </w:pPr>
    </w:p>
    <w:p w:rsidR="007C5447" w:rsidRDefault="00F6308C">
      <w:pPr>
        <w:pStyle w:val="Heading3"/>
        <w:ind w:left="1700"/>
        <w:jc w:val="both"/>
      </w:pPr>
      <w:r>
        <w:t>“8.3 Tariff design: Link</w:t>
      </w:r>
      <w:r>
        <w:t>age of tariffs to cost of service</w:t>
      </w:r>
    </w:p>
    <w:p w:rsidR="007C5447" w:rsidRDefault="007C5447">
      <w:pPr>
        <w:pStyle w:val="BodyText"/>
        <w:spacing w:before="10"/>
        <w:rPr>
          <w:b/>
          <w:i/>
          <w:sz w:val="20"/>
        </w:rPr>
      </w:pPr>
    </w:p>
    <w:p w:rsidR="007C5447" w:rsidRDefault="00F6308C">
      <w:pPr>
        <w:ind w:left="1700"/>
        <w:rPr>
          <w:i/>
          <w:sz w:val="24"/>
        </w:rPr>
      </w:pPr>
      <w:r>
        <w:rPr>
          <w:i/>
          <w:sz w:val="24"/>
        </w:rPr>
        <w:t>…</w:t>
      </w:r>
    </w:p>
    <w:p w:rsidR="007C5447" w:rsidRDefault="007C5447">
      <w:pPr>
        <w:pStyle w:val="BodyText"/>
        <w:spacing w:before="10"/>
        <w:rPr>
          <w:i/>
          <w:sz w:val="20"/>
        </w:rPr>
      </w:pPr>
    </w:p>
    <w:p w:rsidR="007C5447" w:rsidRDefault="00F6308C">
      <w:pPr>
        <w:ind w:left="1700"/>
        <w:rPr>
          <w:i/>
          <w:sz w:val="24"/>
        </w:rPr>
      </w:pPr>
      <w:r>
        <w:rPr>
          <w:i/>
          <w:sz w:val="24"/>
        </w:rPr>
        <w:t>Accordingly, the following principles would be adopted:</w:t>
      </w:r>
    </w:p>
    <w:p w:rsidR="007C5447" w:rsidRDefault="007C5447">
      <w:pPr>
        <w:pStyle w:val="BodyText"/>
        <w:spacing w:before="11"/>
        <w:rPr>
          <w:i/>
          <w:sz w:val="20"/>
        </w:rPr>
      </w:pPr>
    </w:p>
    <w:p w:rsidR="007C5447" w:rsidRDefault="00F6308C">
      <w:pPr>
        <w:ind w:left="1700"/>
        <w:rPr>
          <w:i/>
          <w:sz w:val="24"/>
        </w:rPr>
      </w:pPr>
      <w:r>
        <w:rPr>
          <w:i/>
          <w:sz w:val="24"/>
        </w:rPr>
        <w:t>…</w:t>
      </w:r>
    </w:p>
    <w:p w:rsidR="007C5447" w:rsidRDefault="007C5447">
      <w:pPr>
        <w:pStyle w:val="BodyText"/>
        <w:spacing w:before="10"/>
        <w:rPr>
          <w:i/>
          <w:sz w:val="20"/>
        </w:rPr>
      </w:pPr>
    </w:p>
    <w:p w:rsidR="007C5447" w:rsidRDefault="00F6308C">
      <w:pPr>
        <w:ind w:left="1700" w:right="1596"/>
        <w:jc w:val="both"/>
        <w:rPr>
          <w:b/>
          <w:i/>
          <w:sz w:val="24"/>
        </w:rPr>
      </w:pPr>
      <w:r>
        <w:rPr>
          <w:i/>
          <w:sz w:val="24"/>
        </w:rPr>
        <w:t xml:space="preserve">2. For achieving the objective that the tariff progressively reflects the cost of supply of electricity, </w:t>
      </w:r>
      <w:r>
        <w:rPr>
          <w:b/>
          <w:i/>
          <w:sz w:val="24"/>
        </w:rPr>
        <w:t>the Appropriate Commission would notify a roadmap suc</w:t>
      </w:r>
      <w:r>
        <w:rPr>
          <w:b/>
          <w:i/>
          <w:sz w:val="24"/>
        </w:rPr>
        <w:t>h that tariffs are brought within ±20% of the average cost of supply</w:t>
      </w:r>
      <w:r>
        <w:rPr>
          <w:i/>
          <w:sz w:val="24"/>
        </w:rPr>
        <w:t xml:space="preserve">. The road map would also have intermediate milestones, based on the approach of a gradual reduction in cross subsidy.” </w:t>
      </w:r>
      <w:r>
        <w:rPr>
          <w:b/>
          <w:i/>
          <w:sz w:val="24"/>
        </w:rPr>
        <w:t>(emphasis added)</w:t>
      </w:r>
    </w:p>
    <w:p w:rsidR="007C5447" w:rsidRDefault="007C5447">
      <w:pPr>
        <w:jc w:val="both"/>
        <w:rPr>
          <w:sz w:val="24"/>
        </w:rPr>
        <w:sectPr w:rsidR="007C5447">
          <w:pgSz w:w="11910" w:h="16840"/>
          <w:pgMar w:top="1420" w:right="560" w:bottom="1240" w:left="1180" w:header="0" w:footer="1057" w:gutter="0"/>
          <w:cols w:space="720"/>
        </w:sectPr>
      </w:pPr>
    </w:p>
    <w:p w:rsidR="007C5447" w:rsidRDefault="00F6308C">
      <w:pPr>
        <w:pStyle w:val="ListParagraph"/>
        <w:numPr>
          <w:ilvl w:val="2"/>
          <w:numId w:val="40"/>
        </w:numPr>
        <w:tabs>
          <w:tab w:val="left" w:pos="1113"/>
        </w:tabs>
        <w:spacing w:before="60" w:line="312" w:lineRule="auto"/>
        <w:ind w:left="1112" w:right="882"/>
        <w:jc w:val="both"/>
        <w:rPr>
          <w:sz w:val="24"/>
        </w:rPr>
      </w:pPr>
      <w:r>
        <w:rPr>
          <w:sz w:val="24"/>
        </w:rPr>
        <w:lastRenderedPageBreak/>
        <w:t>Therefore, in order to comply with the direction of the Hon’ble APTEL, the Commission has determined cross subsidy on the basis of VCOS. However, for the purpose of formulating a roadmap for reduction of cross subsidy, it has relied on average cost of supp</w:t>
      </w:r>
      <w:r>
        <w:rPr>
          <w:sz w:val="24"/>
        </w:rPr>
        <w:t>ly in accordance with the Tariff</w:t>
      </w:r>
      <w:r>
        <w:rPr>
          <w:spacing w:val="-8"/>
          <w:sz w:val="24"/>
        </w:rPr>
        <w:t xml:space="preserve"> </w:t>
      </w:r>
      <w:r>
        <w:rPr>
          <w:sz w:val="24"/>
        </w:rPr>
        <w:t>Policy.</w:t>
      </w:r>
    </w:p>
    <w:p w:rsidR="007C5447" w:rsidRDefault="007C5447">
      <w:pPr>
        <w:pStyle w:val="BodyText"/>
        <w:spacing w:before="11"/>
        <w:rPr>
          <w:sz w:val="20"/>
        </w:rPr>
      </w:pPr>
    </w:p>
    <w:p w:rsidR="007C5447" w:rsidRDefault="00F6308C">
      <w:pPr>
        <w:pStyle w:val="ListParagraph"/>
        <w:numPr>
          <w:ilvl w:val="2"/>
          <w:numId w:val="40"/>
        </w:numPr>
        <w:tabs>
          <w:tab w:val="left" w:pos="1113"/>
        </w:tabs>
        <w:spacing w:line="312" w:lineRule="auto"/>
        <w:ind w:left="1112" w:right="876"/>
        <w:jc w:val="both"/>
        <w:rPr>
          <w:sz w:val="24"/>
        </w:rPr>
      </w:pPr>
      <w:r>
        <w:rPr>
          <w:sz w:val="24"/>
        </w:rPr>
        <w:t>Accordingly, the cross-subsidy levels approved above for FY 2017-18 have been considered as the opening cross-subsidy level. Given the existing level of cross- subsidy, it looks difficult to reduce the cross-subsid</w:t>
      </w:r>
      <w:r>
        <w:rPr>
          <w:sz w:val="24"/>
        </w:rPr>
        <w:t xml:space="preserve">y to </w:t>
      </w:r>
      <w:r>
        <w:rPr>
          <w:sz w:val="24"/>
          <w:u w:val="single"/>
        </w:rPr>
        <w:t>+</w:t>
      </w:r>
      <w:r>
        <w:rPr>
          <w:sz w:val="24"/>
        </w:rPr>
        <w:t>20% of the ACOS for all categories within a short span of time, and hence, the Commission has formulated the roadmap for reduction of cross-subsidy, considering the timeframe of 10 years from FY 2017-18, as shown in the Table</w:t>
      </w:r>
      <w:r>
        <w:rPr>
          <w:spacing w:val="-1"/>
          <w:sz w:val="24"/>
        </w:rPr>
        <w:t xml:space="preserve"> </w:t>
      </w:r>
      <w:r>
        <w:rPr>
          <w:sz w:val="24"/>
        </w:rPr>
        <w:t>below:</w:t>
      </w:r>
    </w:p>
    <w:p w:rsidR="007C5447" w:rsidRDefault="007C5447">
      <w:pPr>
        <w:pStyle w:val="BodyText"/>
        <w:spacing w:before="11"/>
        <w:rPr>
          <w:sz w:val="20"/>
        </w:rPr>
      </w:pPr>
    </w:p>
    <w:p w:rsidR="007C5447" w:rsidRDefault="00F6308C">
      <w:pPr>
        <w:pStyle w:val="Heading2"/>
        <w:ind w:left="524" w:right="430"/>
        <w:jc w:val="center"/>
      </w:pPr>
      <w:r>
        <w:t>Table 5-23: Appr</w:t>
      </w:r>
      <w:r>
        <w:t>oved Cross-Subsidy Reduction Trajectory w.r.t. ACOS</w:t>
      </w:r>
    </w:p>
    <w:p w:rsidR="007C5447" w:rsidRDefault="007C5447">
      <w:pPr>
        <w:pStyle w:val="BodyText"/>
        <w:spacing w:before="7"/>
        <w:rPr>
          <w:b/>
          <w:sz w:val="17"/>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1278"/>
        <w:gridCol w:w="1138"/>
        <w:gridCol w:w="1160"/>
        <w:gridCol w:w="1157"/>
        <w:gridCol w:w="1160"/>
        <w:gridCol w:w="1080"/>
      </w:tblGrid>
      <w:tr w:rsidR="007C5447">
        <w:trPr>
          <w:trHeight w:val="491"/>
        </w:trPr>
        <w:tc>
          <w:tcPr>
            <w:tcW w:w="2122" w:type="dxa"/>
            <w:vMerge w:val="restart"/>
            <w:shd w:val="clear" w:color="auto" w:fill="FBD4B4"/>
          </w:tcPr>
          <w:p w:rsidR="007C5447" w:rsidRDefault="007C5447">
            <w:pPr>
              <w:pStyle w:val="TableParagraph"/>
              <w:spacing w:before="2"/>
              <w:jc w:val="left"/>
              <w:rPr>
                <w:b/>
                <w:sz w:val="23"/>
              </w:rPr>
            </w:pPr>
          </w:p>
          <w:p w:rsidR="007C5447" w:rsidRDefault="00F6308C">
            <w:pPr>
              <w:pStyle w:val="TableParagraph"/>
              <w:ind w:left="107" w:right="130"/>
              <w:jc w:val="left"/>
              <w:rPr>
                <w:b/>
                <w:sz w:val="20"/>
              </w:rPr>
            </w:pPr>
            <w:r>
              <w:rPr>
                <w:b/>
                <w:sz w:val="20"/>
              </w:rPr>
              <w:t>Consumer Category &amp; Consumption Slab</w:t>
            </w:r>
          </w:p>
        </w:tc>
        <w:tc>
          <w:tcPr>
            <w:tcW w:w="1278" w:type="dxa"/>
            <w:shd w:val="clear" w:color="auto" w:fill="FBD4B4"/>
          </w:tcPr>
          <w:p w:rsidR="007C5447" w:rsidRDefault="00F6308C">
            <w:pPr>
              <w:pStyle w:val="TableParagraph"/>
              <w:spacing w:before="21" w:line="228" w:lineRule="exact"/>
              <w:ind w:left="381" w:right="278" w:hanging="78"/>
              <w:jc w:val="left"/>
              <w:rPr>
                <w:b/>
                <w:sz w:val="20"/>
              </w:rPr>
            </w:pPr>
            <w:r>
              <w:rPr>
                <w:b/>
                <w:sz w:val="20"/>
              </w:rPr>
              <w:t>Revised</w:t>
            </w:r>
            <w:r>
              <w:rPr>
                <w:b/>
                <w:w w:val="99"/>
                <w:sz w:val="20"/>
              </w:rPr>
              <w:t xml:space="preserve"> </w:t>
            </w:r>
            <w:r>
              <w:rPr>
                <w:b/>
                <w:sz w:val="20"/>
              </w:rPr>
              <w:t>Tariff</w:t>
            </w:r>
          </w:p>
        </w:tc>
        <w:tc>
          <w:tcPr>
            <w:tcW w:w="5695" w:type="dxa"/>
            <w:gridSpan w:val="5"/>
            <w:shd w:val="clear" w:color="auto" w:fill="FBD4B4"/>
          </w:tcPr>
          <w:p w:rsidR="007C5447" w:rsidRDefault="00F6308C">
            <w:pPr>
              <w:pStyle w:val="TableParagraph"/>
              <w:spacing w:before="17"/>
              <w:ind w:left="1808"/>
              <w:jc w:val="left"/>
              <w:rPr>
                <w:b/>
                <w:sz w:val="20"/>
              </w:rPr>
            </w:pPr>
            <w:r>
              <w:rPr>
                <w:b/>
                <w:sz w:val="20"/>
              </w:rPr>
              <w:t>Intermediate Milestones</w:t>
            </w:r>
          </w:p>
        </w:tc>
      </w:tr>
      <w:tr w:rsidR="007C5447">
        <w:trPr>
          <w:trHeight w:val="489"/>
        </w:trPr>
        <w:tc>
          <w:tcPr>
            <w:tcW w:w="2122" w:type="dxa"/>
            <w:vMerge/>
            <w:tcBorders>
              <w:top w:val="nil"/>
            </w:tcBorders>
            <w:shd w:val="clear" w:color="auto" w:fill="FBD4B4"/>
          </w:tcPr>
          <w:p w:rsidR="007C5447" w:rsidRDefault="007C5447">
            <w:pPr>
              <w:rPr>
                <w:sz w:val="2"/>
                <w:szCs w:val="2"/>
              </w:rPr>
            </w:pPr>
          </w:p>
        </w:tc>
        <w:tc>
          <w:tcPr>
            <w:tcW w:w="1278" w:type="dxa"/>
            <w:shd w:val="clear" w:color="auto" w:fill="FBD4B4"/>
          </w:tcPr>
          <w:p w:rsidR="007C5447" w:rsidRDefault="00F6308C">
            <w:pPr>
              <w:pStyle w:val="TableParagraph"/>
              <w:spacing w:before="130"/>
              <w:ind w:right="133"/>
              <w:rPr>
                <w:b/>
                <w:sz w:val="20"/>
              </w:rPr>
            </w:pPr>
            <w:r>
              <w:rPr>
                <w:b/>
                <w:sz w:val="20"/>
              </w:rPr>
              <w:t>FY 2017-18</w:t>
            </w:r>
          </w:p>
        </w:tc>
        <w:tc>
          <w:tcPr>
            <w:tcW w:w="1138" w:type="dxa"/>
            <w:shd w:val="clear" w:color="auto" w:fill="FBD4B4"/>
          </w:tcPr>
          <w:p w:rsidR="007C5447" w:rsidRDefault="00F6308C">
            <w:pPr>
              <w:pStyle w:val="TableParagraph"/>
              <w:spacing w:before="14"/>
              <w:ind w:left="156" w:right="148"/>
              <w:jc w:val="center"/>
              <w:rPr>
                <w:b/>
                <w:sz w:val="20"/>
              </w:rPr>
            </w:pPr>
            <w:r>
              <w:rPr>
                <w:b/>
                <w:sz w:val="20"/>
              </w:rPr>
              <w:t>FY 2019-</w:t>
            </w:r>
          </w:p>
          <w:p w:rsidR="007C5447" w:rsidRDefault="00F6308C">
            <w:pPr>
              <w:pStyle w:val="TableParagraph"/>
              <w:spacing w:before="1" w:line="224" w:lineRule="exact"/>
              <w:ind w:left="156" w:right="145"/>
              <w:jc w:val="center"/>
              <w:rPr>
                <w:b/>
                <w:sz w:val="20"/>
              </w:rPr>
            </w:pPr>
            <w:r>
              <w:rPr>
                <w:b/>
                <w:sz w:val="20"/>
              </w:rPr>
              <w:t>20</w:t>
            </w:r>
          </w:p>
        </w:tc>
        <w:tc>
          <w:tcPr>
            <w:tcW w:w="1160" w:type="dxa"/>
            <w:shd w:val="clear" w:color="auto" w:fill="FBD4B4"/>
          </w:tcPr>
          <w:p w:rsidR="007C5447" w:rsidRDefault="00F6308C">
            <w:pPr>
              <w:pStyle w:val="TableParagraph"/>
              <w:spacing w:before="14"/>
              <w:ind w:left="165" w:right="160"/>
              <w:jc w:val="center"/>
              <w:rPr>
                <w:b/>
                <w:sz w:val="20"/>
              </w:rPr>
            </w:pPr>
            <w:r>
              <w:rPr>
                <w:b/>
                <w:sz w:val="20"/>
              </w:rPr>
              <w:t>FY 2021-</w:t>
            </w:r>
          </w:p>
          <w:p w:rsidR="007C5447" w:rsidRDefault="00F6308C">
            <w:pPr>
              <w:pStyle w:val="TableParagraph"/>
              <w:spacing w:before="1" w:line="224" w:lineRule="exact"/>
              <w:ind w:left="165" w:right="156"/>
              <w:jc w:val="center"/>
              <w:rPr>
                <w:b/>
                <w:sz w:val="20"/>
              </w:rPr>
            </w:pPr>
            <w:r>
              <w:rPr>
                <w:b/>
                <w:sz w:val="20"/>
              </w:rPr>
              <w:t>22</w:t>
            </w:r>
          </w:p>
        </w:tc>
        <w:tc>
          <w:tcPr>
            <w:tcW w:w="1157" w:type="dxa"/>
            <w:shd w:val="clear" w:color="auto" w:fill="FBD4B4"/>
          </w:tcPr>
          <w:p w:rsidR="007C5447" w:rsidRDefault="00F6308C">
            <w:pPr>
              <w:pStyle w:val="TableParagraph"/>
              <w:spacing w:before="14"/>
              <w:ind w:left="165" w:right="158"/>
              <w:jc w:val="center"/>
              <w:rPr>
                <w:b/>
                <w:sz w:val="20"/>
              </w:rPr>
            </w:pPr>
            <w:r>
              <w:rPr>
                <w:b/>
                <w:sz w:val="20"/>
              </w:rPr>
              <w:t>FY 2023-</w:t>
            </w:r>
          </w:p>
          <w:p w:rsidR="007C5447" w:rsidRDefault="00F6308C">
            <w:pPr>
              <w:pStyle w:val="TableParagraph"/>
              <w:spacing w:before="1" w:line="224" w:lineRule="exact"/>
              <w:ind w:left="165" w:right="155"/>
              <w:jc w:val="center"/>
              <w:rPr>
                <w:b/>
                <w:sz w:val="20"/>
              </w:rPr>
            </w:pPr>
            <w:r>
              <w:rPr>
                <w:b/>
                <w:sz w:val="20"/>
              </w:rPr>
              <w:t>24</w:t>
            </w:r>
          </w:p>
        </w:tc>
        <w:tc>
          <w:tcPr>
            <w:tcW w:w="1160" w:type="dxa"/>
            <w:shd w:val="clear" w:color="auto" w:fill="FBD4B4"/>
          </w:tcPr>
          <w:p w:rsidR="007C5447" w:rsidRDefault="00F6308C">
            <w:pPr>
              <w:pStyle w:val="TableParagraph"/>
              <w:spacing w:before="14"/>
              <w:ind w:left="164" w:right="160"/>
              <w:jc w:val="center"/>
              <w:rPr>
                <w:b/>
                <w:sz w:val="20"/>
              </w:rPr>
            </w:pPr>
            <w:r>
              <w:rPr>
                <w:b/>
                <w:sz w:val="20"/>
              </w:rPr>
              <w:t>FY 2025-</w:t>
            </w:r>
          </w:p>
          <w:p w:rsidR="007C5447" w:rsidRDefault="00F6308C">
            <w:pPr>
              <w:pStyle w:val="TableParagraph"/>
              <w:spacing w:before="1" w:line="224" w:lineRule="exact"/>
              <w:ind w:left="165" w:right="158"/>
              <w:jc w:val="center"/>
              <w:rPr>
                <w:b/>
                <w:sz w:val="20"/>
              </w:rPr>
            </w:pPr>
            <w:r>
              <w:rPr>
                <w:b/>
                <w:sz w:val="20"/>
              </w:rPr>
              <w:t>26</w:t>
            </w:r>
          </w:p>
        </w:tc>
        <w:tc>
          <w:tcPr>
            <w:tcW w:w="1080" w:type="dxa"/>
            <w:shd w:val="clear" w:color="auto" w:fill="FBD4B4"/>
          </w:tcPr>
          <w:p w:rsidR="007C5447" w:rsidRDefault="00F6308C">
            <w:pPr>
              <w:pStyle w:val="TableParagraph"/>
              <w:spacing w:before="14"/>
              <w:ind w:left="126" w:right="120"/>
              <w:jc w:val="center"/>
              <w:rPr>
                <w:b/>
                <w:sz w:val="20"/>
              </w:rPr>
            </w:pPr>
            <w:r>
              <w:rPr>
                <w:b/>
                <w:sz w:val="20"/>
              </w:rPr>
              <w:t>FY 2027-</w:t>
            </w:r>
          </w:p>
          <w:p w:rsidR="007C5447" w:rsidRDefault="00F6308C">
            <w:pPr>
              <w:pStyle w:val="TableParagraph"/>
              <w:spacing w:before="1" w:line="224" w:lineRule="exact"/>
              <w:ind w:left="125" w:right="120"/>
              <w:jc w:val="center"/>
              <w:rPr>
                <w:b/>
                <w:sz w:val="20"/>
              </w:rPr>
            </w:pPr>
            <w:r>
              <w:rPr>
                <w:b/>
                <w:sz w:val="20"/>
              </w:rPr>
              <w:t>28</w:t>
            </w:r>
          </w:p>
        </w:tc>
      </w:tr>
      <w:tr w:rsidR="007C5447">
        <w:trPr>
          <w:trHeight w:val="359"/>
        </w:trPr>
        <w:tc>
          <w:tcPr>
            <w:tcW w:w="2122" w:type="dxa"/>
          </w:tcPr>
          <w:p w:rsidR="007C5447" w:rsidRDefault="00F6308C">
            <w:pPr>
              <w:pStyle w:val="TableParagraph"/>
              <w:spacing w:before="65"/>
              <w:ind w:left="107"/>
              <w:jc w:val="left"/>
              <w:rPr>
                <w:b/>
                <w:sz w:val="20"/>
              </w:rPr>
            </w:pPr>
            <w:r>
              <w:rPr>
                <w:b/>
                <w:sz w:val="20"/>
              </w:rPr>
              <w:t>HT Category</w:t>
            </w:r>
          </w:p>
        </w:tc>
        <w:tc>
          <w:tcPr>
            <w:tcW w:w="1278" w:type="dxa"/>
          </w:tcPr>
          <w:p w:rsidR="007C5447" w:rsidRDefault="007C5447">
            <w:pPr>
              <w:pStyle w:val="TableParagraph"/>
              <w:jc w:val="left"/>
            </w:pPr>
          </w:p>
        </w:tc>
        <w:tc>
          <w:tcPr>
            <w:tcW w:w="1138" w:type="dxa"/>
          </w:tcPr>
          <w:p w:rsidR="007C5447" w:rsidRDefault="007C5447">
            <w:pPr>
              <w:pStyle w:val="TableParagraph"/>
              <w:jc w:val="left"/>
            </w:pPr>
          </w:p>
        </w:tc>
        <w:tc>
          <w:tcPr>
            <w:tcW w:w="1160" w:type="dxa"/>
          </w:tcPr>
          <w:p w:rsidR="007C5447" w:rsidRDefault="007C5447">
            <w:pPr>
              <w:pStyle w:val="TableParagraph"/>
              <w:jc w:val="left"/>
            </w:pPr>
          </w:p>
        </w:tc>
        <w:tc>
          <w:tcPr>
            <w:tcW w:w="1157" w:type="dxa"/>
          </w:tcPr>
          <w:p w:rsidR="007C5447" w:rsidRDefault="007C5447">
            <w:pPr>
              <w:pStyle w:val="TableParagraph"/>
              <w:jc w:val="left"/>
            </w:pPr>
          </w:p>
        </w:tc>
        <w:tc>
          <w:tcPr>
            <w:tcW w:w="1160" w:type="dxa"/>
          </w:tcPr>
          <w:p w:rsidR="007C5447" w:rsidRDefault="007C5447">
            <w:pPr>
              <w:pStyle w:val="TableParagraph"/>
              <w:jc w:val="left"/>
            </w:pPr>
          </w:p>
        </w:tc>
        <w:tc>
          <w:tcPr>
            <w:tcW w:w="1080" w:type="dxa"/>
          </w:tcPr>
          <w:p w:rsidR="007C5447" w:rsidRDefault="007C5447">
            <w:pPr>
              <w:pStyle w:val="TableParagraph"/>
              <w:jc w:val="left"/>
            </w:pPr>
          </w:p>
        </w:tc>
      </w:tr>
      <w:tr w:rsidR="007C5447">
        <w:trPr>
          <w:trHeight w:val="359"/>
        </w:trPr>
        <w:tc>
          <w:tcPr>
            <w:tcW w:w="2122" w:type="dxa"/>
          </w:tcPr>
          <w:p w:rsidR="007C5447" w:rsidRDefault="00F6308C">
            <w:pPr>
              <w:pStyle w:val="TableParagraph"/>
              <w:spacing w:before="65"/>
              <w:ind w:left="107"/>
              <w:jc w:val="left"/>
              <w:rPr>
                <w:sz w:val="20"/>
              </w:rPr>
            </w:pPr>
            <w:r>
              <w:rPr>
                <w:sz w:val="20"/>
              </w:rPr>
              <w:t>HT Industries</w:t>
            </w:r>
          </w:p>
        </w:tc>
        <w:tc>
          <w:tcPr>
            <w:tcW w:w="1278" w:type="dxa"/>
          </w:tcPr>
          <w:p w:rsidR="007C5447" w:rsidRDefault="00F6308C">
            <w:pPr>
              <w:pStyle w:val="TableParagraph"/>
              <w:spacing w:before="65"/>
              <w:ind w:right="93"/>
              <w:rPr>
                <w:sz w:val="20"/>
              </w:rPr>
            </w:pPr>
            <w:r>
              <w:rPr>
                <w:sz w:val="20"/>
              </w:rPr>
              <w:t>143%</w:t>
            </w:r>
          </w:p>
        </w:tc>
        <w:tc>
          <w:tcPr>
            <w:tcW w:w="1138" w:type="dxa"/>
          </w:tcPr>
          <w:p w:rsidR="007C5447" w:rsidRDefault="00F6308C">
            <w:pPr>
              <w:pStyle w:val="TableParagraph"/>
              <w:spacing w:before="65"/>
              <w:ind w:right="91"/>
              <w:rPr>
                <w:sz w:val="20"/>
              </w:rPr>
            </w:pPr>
            <w:r>
              <w:rPr>
                <w:sz w:val="20"/>
              </w:rPr>
              <w:t>136%</w:t>
            </w:r>
          </w:p>
        </w:tc>
        <w:tc>
          <w:tcPr>
            <w:tcW w:w="1160" w:type="dxa"/>
          </w:tcPr>
          <w:p w:rsidR="007C5447" w:rsidRDefault="00F6308C">
            <w:pPr>
              <w:pStyle w:val="TableParagraph"/>
              <w:spacing w:before="65"/>
              <w:ind w:right="94"/>
              <w:rPr>
                <w:sz w:val="20"/>
              </w:rPr>
            </w:pPr>
            <w:r>
              <w:rPr>
                <w:sz w:val="20"/>
              </w:rPr>
              <w:t>132%</w:t>
            </w:r>
          </w:p>
        </w:tc>
        <w:tc>
          <w:tcPr>
            <w:tcW w:w="1157" w:type="dxa"/>
          </w:tcPr>
          <w:p w:rsidR="007C5447" w:rsidRDefault="00F6308C">
            <w:pPr>
              <w:pStyle w:val="TableParagraph"/>
              <w:spacing w:before="65"/>
              <w:ind w:right="91"/>
              <w:rPr>
                <w:sz w:val="20"/>
              </w:rPr>
            </w:pPr>
            <w:r>
              <w:rPr>
                <w:sz w:val="20"/>
              </w:rPr>
              <w:t>128%</w:t>
            </w:r>
          </w:p>
        </w:tc>
        <w:tc>
          <w:tcPr>
            <w:tcW w:w="1160" w:type="dxa"/>
          </w:tcPr>
          <w:p w:rsidR="007C5447" w:rsidRDefault="00F6308C">
            <w:pPr>
              <w:pStyle w:val="TableParagraph"/>
              <w:spacing w:before="65"/>
              <w:ind w:right="95"/>
              <w:rPr>
                <w:sz w:val="20"/>
              </w:rPr>
            </w:pPr>
            <w:r>
              <w:rPr>
                <w:sz w:val="20"/>
              </w:rPr>
              <w:t>124%</w:t>
            </w:r>
          </w:p>
        </w:tc>
        <w:tc>
          <w:tcPr>
            <w:tcW w:w="1080" w:type="dxa"/>
          </w:tcPr>
          <w:p w:rsidR="007C5447" w:rsidRDefault="00F6308C">
            <w:pPr>
              <w:pStyle w:val="TableParagraph"/>
              <w:spacing w:before="65"/>
              <w:ind w:right="94"/>
              <w:rPr>
                <w:sz w:val="20"/>
              </w:rPr>
            </w:pPr>
            <w:r>
              <w:rPr>
                <w:sz w:val="20"/>
              </w:rPr>
              <w:t>120%</w:t>
            </w:r>
          </w:p>
        </w:tc>
      </w:tr>
      <w:tr w:rsidR="007C5447">
        <w:trPr>
          <w:trHeight w:val="359"/>
        </w:trPr>
        <w:tc>
          <w:tcPr>
            <w:tcW w:w="2122" w:type="dxa"/>
          </w:tcPr>
          <w:p w:rsidR="007C5447" w:rsidRDefault="00F6308C">
            <w:pPr>
              <w:pStyle w:val="TableParagraph"/>
              <w:spacing w:before="65"/>
              <w:ind w:left="107"/>
              <w:jc w:val="left"/>
              <w:rPr>
                <w:sz w:val="20"/>
              </w:rPr>
            </w:pPr>
            <w:r>
              <w:rPr>
                <w:sz w:val="20"/>
              </w:rPr>
              <w:t>Railway Traction</w:t>
            </w:r>
          </w:p>
        </w:tc>
        <w:tc>
          <w:tcPr>
            <w:tcW w:w="1278" w:type="dxa"/>
          </w:tcPr>
          <w:p w:rsidR="007C5447" w:rsidRDefault="00F6308C">
            <w:pPr>
              <w:pStyle w:val="TableParagraph"/>
              <w:spacing w:before="65"/>
              <w:ind w:right="93"/>
              <w:rPr>
                <w:sz w:val="20"/>
              </w:rPr>
            </w:pPr>
            <w:r>
              <w:rPr>
                <w:sz w:val="20"/>
              </w:rPr>
              <w:t>132%</w:t>
            </w:r>
          </w:p>
        </w:tc>
        <w:tc>
          <w:tcPr>
            <w:tcW w:w="1138" w:type="dxa"/>
          </w:tcPr>
          <w:p w:rsidR="007C5447" w:rsidRDefault="00F6308C">
            <w:pPr>
              <w:pStyle w:val="TableParagraph"/>
              <w:spacing w:before="65"/>
              <w:ind w:right="91"/>
              <w:rPr>
                <w:sz w:val="20"/>
              </w:rPr>
            </w:pPr>
            <w:r>
              <w:rPr>
                <w:sz w:val="20"/>
              </w:rPr>
              <w:t>126%</w:t>
            </w:r>
          </w:p>
        </w:tc>
        <w:tc>
          <w:tcPr>
            <w:tcW w:w="1160" w:type="dxa"/>
          </w:tcPr>
          <w:p w:rsidR="007C5447" w:rsidRDefault="00F6308C">
            <w:pPr>
              <w:pStyle w:val="TableParagraph"/>
              <w:spacing w:before="65"/>
              <w:ind w:right="94"/>
              <w:rPr>
                <w:sz w:val="20"/>
              </w:rPr>
            </w:pPr>
            <w:r>
              <w:rPr>
                <w:sz w:val="20"/>
              </w:rPr>
              <w:t>123%</w:t>
            </w:r>
          </w:p>
        </w:tc>
        <w:tc>
          <w:tcPr>
            <w:tcW w:w="1157" w:type="dxa"/>
          </w:tcPr>
          <w:p w:rsidR="007C5447" w:rsidRDefault="00F6308C">
            <w:pPr>
              <w:pStyle w:val="TableParagraph"/>
              <w:spacing w:before="65"/>
              <w:ind w:right="91"/>
              <w:rPr>
                <w:sz w:val="20"/>
              </w:rPr>
            </w:pPr>
            <w:r>
              <w:rPr>
                <w:sz w:val="20"/>
              </w:rPr>
              <w:t>120%</w:t>
            </w:r>
          </w:p>
        </w:tc>
        <w:tc>
          <w:tcPr>
            <w:tcW w:w="1160" w:type="dxa"/>
          </w:tcPr>
          <w:p w:rsidR="007C5447" w:rsidRDefault="007C5447">
            <w:pPr>
              <w:pStyle w:val="TableParagraph"/>
              <w:jc w:val="left"/>
            </w:pPr>
          </w:p>
        </w:tc>
        <w:tc>
          <w:tcPr>
            <w:tcW w:w="1080" w:type="dxa"/>
          </w:tcPr>
          <w:p w:rsidR="007C5447" w:rsidRDefault="007C5447">
            <w:pPr>
              <w:pStyle w:val="TableParagraph"/>
              <w:jc w:val="left"/>
            </w:pPr>
          </w:p>
        </w:tc>
      </w:tr>
      <w:tr w:rsidR="007C5447">
        <w:trPr>
          <w:trHeight w:val="721"/>
        </w:trPr>
        <w:tc>
          <w:tcPr>
            <w:tcW w:w="2122" w:type="dxa"/>
          </w:tcPr>
          <w:p w:rsidR="007C5447" w:rsidRDefault="00F6308C">
            <w:pPr>
              <w:pStyle w:val="TableParagraph"/>
              <w:spacing w:before="17"/>
              <w:ind w:left="107"/>
              <w:jc w:val="left"/>
              <w:rPr>
                <w:sz w:val="20"/>
              </w:rPr>
            </w:pPr>
            <w:r>
              <w:rPr>
                <w:sz w:val="20"/>
              </w:rPr>
              <w:t>Government</w:t>
            </w:r>
          </w:p>
          <w:p w:rsidR="007C5447" w:rsidRDefault="00F6308C">
            <w:pPr>
              <w:pStyle w:val="TableParagraph"/>
              <w:spacing w:before="5" w:line="228" w:lineRule="exact"/>
              <w:ind w:left="107" w:right="130"/>
              <w:jc w:val="left"/>
              <w:rPr>
                <w:sz w:val="20"/>
              </w:rPr>
            </w:pPr>
            <w:r>
              <w:rPr>
                <w:sz w:val="20"/>
              </w:rPr>
              <w:t>Educational Institution Etc. (HT)</w:t>
            </w:r>
          </w:p>
        </w:tc>
        <w:tc>
          <w:tcPr>
            <w:tcW w:w="1278" w:type="dxa"/>
          </w:tcPr>
          <w:p w:rsidR="007C5447" w:rsidRDefault="007C5447">
            <w:pPr>
              <w:pStyle w:val="TableParagraph"/>
              <w:spacing w:before="6"/>
              <w:jc w:val="left"/>
              <w:rPr>
                <w:b/>
                <w:sz w:val="21"/>
              </w:rPr>
            </w:pPr>
          </w:p>
          <w:p w:rsidR="007C5447" w:rsidRDefault="00F6308C">
            <w:pPr>
              <w:pStyle w:val="TableParagraph"/>
              <w:ind w:right="93"/>
              <w:rPr>
                <w:sz w:val="20"/>
              </w:rPr>
            </w:pPr>
            <w:r>
              <w:rPr>
                <w:sz w:val="20"/>
              </w:rPr>
              <w:t>129%</w:t>
            </w:r>
          </w:p>
        </w:tc>
        <w:tc>
          <w:tcPr>
            <w:tcW w:w="1138" w:type="dxa"/>
          </w:tcPr>
          <w:p w:rsidR="007C5447" w:rsidRDefault="007C5447">
            <w:pPr>
              <w:pStyle w:val="TableParagraph"/>
              <w:spacing w:before="6"/>
              <w:jc w:val="left"/>
              <w:rPr>
                <w:b/>
                <w:sz w:val="21"/>
              </w:rPr>
            </w:pPr>
          </w:p>
          <w:p w:rsidR="007C5447" w:rsidRDefault="00F6308C">
            <w:pPr>
              <w:pStyle w:val="TableParagraph"/>
              <w:ind w:right="91"/>
              <w:rPr>
                <w:sz w:val="20"/>
              </w:rPr>
            </w:pPr>
            <w:r>
              <w:rPr>
                <w:sz w:val="20"/>
              </w:rPr>
              <w:t>123%</w:t>
            </w:r>
          </w:p>
        </w:tc>
        <w:tc>
          <w:tcPr>
            <w:tcW w:w="1160" w:type="dxa"/>
          </w:tcPr>
          <w:p w:rsidR="007C5447" w:rsidRDefault="007C5447">
            <w:pPr>
              <w:pStyle w:val="TableParagraph"/>
              <w:spacing w:before="6"/>
              <w:jc w:val="left"/>
              <w:rPr>
                <w:b/>
                <w:sz w:val="21"/>
              </w:rPr>
            </w:pPr>
          </w:p>
          <w:p w:rsidR="007C5447" w:rsidRDefault="00F6308C">
            <w:pPr>
              <w:pStyle w:val="TableParagraph"/>
              <w:ind w:right="94"/>
              <w:rPr>
                <w:sz w:val="20"/>
              </w:rPr>
            </w:pPr>
            <w:r>
              <w:rPr>
                <w:sz w:val="20"/>
              </w:rPr>
              <w:t>120%</w:t>
            </w:r>
          </w:p>
        </w:tc>
        <w:tc>
          <w:tcPr>
            <w:tcW w:w="1157" w:type="dxa"/>
          </w:tcPr>
          <w:p w:rsidR="007C5447" w:rsidRDefault="007C5447">
            <w:pPr>
              <w:pStyle w:val="TableParagraph"/>
              <w:jc w:val="left"/>
            </w:pPr>
          </w:p>
        </w:tc>
        <w:tc>
          <w:tcPr>
            <w:tcW w:w="1160" w:type="dxa"/>
          </w:tcPr>
          <w:p w:rsidR="007C5447" w:rsidRDefault="007C5447">
            <w:pPr>
              <w:pStyle w:val="TableParagraph"/>
              <w:jc w:val="left"/>
            </w:pPr>
          </w:p>
        </w:tc>
        <w:tc>
          <w:tcPr>
            <w:tcW w:w="1080" w:type="dxa"/>
          </w:tcPr>
          <w:p w:rsidR="007C5447" w:rsidRDefault="007C5447">
            <w:pPr>
              <w:pStyle w:val="TableParagraph"/>
              <w:jc w:val="left"/>
            </w:pPr>
          </w:p>
        </w:tc>
      </w:tr>
      <w:tr w:rsidR="007C5447">
        <w:trPr>
          <w:trHeight w:val="489"/>
        </w:trPr>
        <w:tc>
          <w:tcPr>
            <w:tcW w:w="2122" w:type="dxa"/>
          </w:tcPr>
          <w:p w:rsidR="007C5447" w:rsidRDefault="00F6308C">
            <w:pPr>
              <w:pStyle w:val="TableParagraph"/>
              <w:spacing w:before="15" w:line="230" w:lineRule="atLeast"/>
              <w:ind w:left="107" w:right="663"/>
              <w:jc w:val="left"/>
              <w:rPr>
                <w:sz w:val="20"/>
              </w:rPr>
            </w:pPr>
            <w:r>
              <w:rPr>
                <w:sz w:val="20"/>
              </w:rPr>
              <w:t>Pvt. Educational Institutions, etc.</w:t>
            </w:r>
          </w:p>
        </w:tc>
        <w:tc>
          <w:tcPr>
            <w:tcW w:w="1278" w:type="dxa"/>
          </w:tcPr>
          <w:p w:rsidR="007C5447" w:rsidRDefault="00F6308C">
            <w:pPr>
              <w:pStyle w:val="TableParagraph"/>
              <w:spacing w:before="130"/>
              <w:ind w:right="93"/>
              <w:rPr>
                <w:sz w:val="20"/>
              </w:rPr>
            </w:pPr>
            <w:r>
              <w:rPr>
                <w:sz w:val="20"/>
              </w:rPr>
              <w:t>137%</w:t>
            </w:r>
          </w:p>
        </w:tc>
        <w:tc>
          <w:tcPr>
            <w:tcW w:w="1138" w:type="dxa"/>
          </w:tcPr>
          <w:p w:rsidR="007C5447" w:rsidRDefault="00F6308C">
            <w:pPr>
              <w:pStyle w:val="TableParagraph"/>
              <w:spacing w:before="130"/>
              <w:ind w:right="91"/>
              <w:rPr>
                <w:sz w:val="20"/>
              </w:rPr>
            </w:pPr>
            <w:r>
              <w:rPr>
                <w:sz w:val="20"/>
              </w:rPr>
              <w:t>131%</w:t>
            </w:r>
          </w:p>
        </w:tc>
        <w:tc>
          <w:tcPr>
            <w:tcW w:w="1160" w:type="dxa"/>
          </w:tcPr>
          <w:p w:rsidR="007C5447" w:rsidRDefault="00F6308C">
            <w:pPr>
              <w:pStyle w:val="TableParagraph"/>
              <w:spacing w:before="130"/>
              <w:ind w:right="94"/>
              <w:rPr>
                <w:sz w:val="20"/>
              </w:rPr>
            </w:pPr>
            <w:r>
              <w:rPr>
                <w:sz w:val="20"/>
              </w:rPr>
              <w:t>128%</w:t>
            </w:r>
          </w:p>
        </w:tc>
        <w:tc>
          <w:tcPr>
            <w:tcW w:w="1157" w:type="dxa"/>
          </w:tcPr>
          <w:p w:rsidR="007C5447" w:rsidRDefault="00F6308C">
            <w:pPr>
              <w:pStyle w:val="TableParagraph"/>
              <w:spacing w:before="130"/>
              <w:ind w:right="91"/>
              <w:rPr>
                <w:sz w:val="20"/>
              </w:rPr>
            </w:pPr>
            <w:r>
              <w:rPr>
                <w:sz w:val="20"/>
              </w:rPr>
              <w:t>125%</w:t>
            </w:r>
          </w:p>
        </w:tc>
        <w:tc>
          <w:tcPr>
            <w:tcW w:w="1160" w:type="dxa"/>
          </w:tcPr>
          <w:p w:rsidR="007C5447" w:rsidRDefault="00F6308C">
            <w:pPr>
              <w:pStyle w:val="TableParagraph"/>
              <w:spacing w:before="130"/>
              <w:ind w:right="95"/>
              <w:rPr>
                <w:sz w:val="20"/>
              </w:rPr>
            </w:pPr>
            <w:r>
              <w:rPr>
                <w:sz w:val="20"/>
              </w:rPr>
              <w:t>122%</w:t>
            </w:r>
          </w:p>
        </w:tc>
        <w:tc>
          <w:tcPr>
            <w:tcW w:w="1080" w:type="dxa"/>
          </w:tcPr>
          <w:p w:rsidR="007C5447" w:rsidRDefault="00F6308C">
            <w:pPr>
              <w:pStyle w:val="TableParagraph"/>
              <w:spacing w:before="130"/>
              <w:ind w:right="94"/>
              <w:rPr>
                <w:sz w:val="20"/>
              </w:rPr>
            </w:pPr>
            <w:r>
              <w:rPr>
                <w:sz w:val="20"/>
              </w:rPr>
              <w:t>120%</w:t>
            </w:r>
          </w:p>
        </w:tc>
      </w:tr>
      <w:tr w:rsidR="007C5447">
        <w:trPr>
          <w:trHeight w:val="489"/>
        </w:trPr>
        <w:tc>
          <w:tcPr>
            <w:tcW w:w="2122" w:type="dxa"/>
          </w:tcPr>
          <w:p w:rsidR="007C5447" w:rsidRDefault="00F6308C">
            <w:pPr>
              <w:pStyle w:val="TableParagraph"/>
              <w:spacing w:before="14" w:line="230" w:lineRule="atLeast"/>
              <w:ind w:left="107" w:right="130"/>
              <w:jc w:val="left"/>
              <w:rPr>
                <w:sz w:val="20"/>
              </w:rPr>
            </w:pPr>
            <w:r>
              <w:rPr>
                <w:sz w:val="20"/>
              </w:rPr>
              <w:t>Commercial and other HT</w:t>
            </w:r>
          </w:p>
        </w:tc>
        <w:tc>
          <w:tcPr>
            <w:tcW w:w="1278" w:type="dxa"/>
          </w:tcPr>
          <w:p w:rsidR="007C5447" w:rsidRDefault="00F6308C">
            <w:pPr>
              <w:pStyle w:val="TableParagraph"/>
              <w:spacing w:before="130"/>
              <w:ind w:right="93"/>
              <w:rPr>
                <w:sz w:val="20"/>
              </w:rPr>
            </w:pPr>
            <w:r>
              <w:rPr>
                <w:sz w:val="20"/>
              </w:rPr>
              <w:t>169%</w:t>
            </w:r>
          </w:p>
        </w:tc>
        <w:tc>
          <w:tcPr>
            <w:tcW w:w="1138" w:type="dxa"/>
          </w:tcPr>
          <w:p w:rsidR="007C5447" w:rsidRDefault="00F6308C">
            <w:pPr>
              <w:pStyle w:val="TableParagraph"/>
              <w:spacing w:before="130"/>
              <w:ind w:right="91"/>
              <w:rPr>
                <w:sz w:val="20"/>
              </w:rPr>
            </w:pPr>
            <w:r>
              <w:rPr>
                <w:sz w:val="20"/>
              </w:rPr>
              <w:t>160%</w:t>
            </w:r>
          </w:p>
        </w:tc>
        <w:tc>
          <w:tcPr>
            <w:tcW w:w="1160" w:type="dxa"/>
          </w:tcPr>
          <w:p w:rsidR="007C5447" w:rsidRDefault="00F6308C">
            <w:pPr>
              <w:pStyle w:val="TableParagraph"/>
              <w:spacing w:before="130"/>
              <w:ind w:right="94"/>
              <w:rPr>
                <w:sz w:val="20"/>
              </w:rPr>
            </w:pPr>
            <w:r>
              <w:rPr>
                <w:sz w:val="20"/>
              </w:rPr>
              <w:t>155%</w:t>
            </w:r>
          </w:p>
        </w:tc>
        <w:tc>
          <w:tcPr>
            <w:tcW w:w="1157" w:type="dxa"/>
          </w:tcPr>
          <w:p w:rsidR="007C5447" w:rsidRDefault="00F6308C">
            <w:pPr>
              <w:pStyle w:val="TableParagraph"/>
              <w:spacing w:before="130"/>
              <w:ind w:right="91"/>
              <w:rPr>
                <w:sz w:val="20"/>
              </w:rPr>
            </w:pPr>
            <w:r>
              <w:rPr>
                <w:sz w:val="20"/>
              </w:rPr>
              <w:t>150%</w:t>
            </w:r>
          </w:p>
        </w:tc>
        <w:tc>
          <w:tcPr>
            <w:tcW w:w="1160" w:type="dxa"/>
          </w:tcPr>
          <w:p w:rsidR="007C5447" w:rsidRDefault="00F6308C">
            <w:pPr>
              <w:pStyle w:val="TableParagraph"/>
              <w:spacing w:before="130"/>
              <w:ind w:right="95"/>
              <w:rPr>
                <w:sz w:val="20"/>
              </w:rPr>
            </w:pPr>
            <w:r>
              <w:rPr>
                <w:sz w:val="20"/>
              </w:rPr>
              <w:t>145%</w:t>
            </w:r>
          </w:p>
        </w:tc>
        <w:tc>
          <w:tcPr>
            <w:tcW w:w="1080" w:type="dxa"/>
          </w:tcPr>
          <w:p w:rsidR="007C5447" w:rsidRDefault="00F6308C">
            <w:pPr>
              <w:pStyle w:val="TableParagraph"/>
              <w:spacing w:before="130"/>
              <w:ind w:right="94"/>
              <w:rPr>
                <w:sz w:val="20"/>
              </w:rPr>
            </w:pPr>
            <w:r>
              <w:rPr>
                <w:sz w:val="20"/>
              </w:rPr>
              <w:t>140%</w:t>
            </w:r>
          </w:p>
        </w:tc>
      </w:tr>
      <w:tr w:rsidR="007C5447">
        <w:trPr>
          <w:trHeight w:val="491"/>
        </w:trPr>
        <w:tc>
          <w:tcPr>
            <w:tcW w:w="2122" w:type="dxa"/>
          </w:tcPr>
          <w:p w:rsidR="007C5447" w:rsidRDefault="00F6308C">
            <w:pPr>
              <w:pStyle w:val="TableParagraph"/>
              <w:spacing w:before="21" w:line="228" w:lineRule="exact"/>
              <w:ind w:left="107" w:right="235"/>
              <w:jc w:val="left"/>
              <w:rPr>
                <w:sz w:val="20"/>
              </w:rPr>
            </w:pPr>
            <w:r>
              <w:rPr>
                <w:sz w:val="20"/>
              </w:rPr>
              <w:t>Lift Irrigation and co- ops (HT)</w:t>
            </w:r>
          </w:p>
        </w:tc>
        <w:tc>
          <w:tcPr>
            <w:tcW w:w="1278" w:type="dxa"/>
          </w:tcPr>
          <w:p w:rsidR="007C5447" w:rsidRDefault="00F6308C">
            <w:pPr>
              <w:pStyle w:val="TableParagraph"/>
              <w:spacing w:before="130"/>
              <w:ind w:right="93"/>
              <w:rPr>
                <w:sz w:val="20"/>
              </w:rPr>
            </w:pPr>
            <w:r>
              <w:rPr>
                <w:sz w:val="20"/>
              </w:rPr>
              <w:t>108%</w:t>
            </w:r>
          </w:p>
        </w:tc>
        <w:tc>
          <w:tcPr>
            <w:tcW w:w="1138" w:type="dxa"/>
          </w:tcPr>
          <w:p w:rsidR="007C5447" w:rsidRDefault="00F6308C">
            <w:pPr>
              <w:pStyle w:val="TableParagraph"/>
              <w:spacing w:before="130"/>
              <w:ind w:right="91"/>
              <w:rPr>
                <w:sz w:val="20"/>
              </w:rPr>
            </w:pPr>
            <w:r>
              <w:rPr>
                <w:sz w:val="20"/>
              </w:rPr>
              <w:t>106%</w:t>
            </w:r>
          </w:p>
        </w:tc>
        <w:tc>
          <w:tcPr>
            <w:tcW w:w="1160" w:type="dxa"/>
          </w:tcPr>
          <w:p w:rsidR="007C5447" w:rsidRDefault="00F6308C">
            <w:pPr>
              <w:pStyle w:val="TableParagraph"/>
              <w:spacing w:before="130"/>
              <w:ind w:right="94"/>
              <w:rPr>
                <w:sz w:val="20"/>
              </w:rPr>
            </w:pPr>
            <w:r>
              <w:rPr>
                <w:sz w:val="20"/>
              </w:rPr>
              <w:t>106%</w:t>
            </w:r>
          </w:p>
        </w:tc>
        <w:tc>
          <w:tcPr>
            <w:tcW w:w="1157" w:type="dxa"/>
          </w:tcPr>
          <w:p w:rsidR="007C5447" w:rsidRDefault="00F6308C">
            <w:pPr>
              <w:pStyle w:val="TableParagraph"/>
              <w:spacing w:before="130"/>
              <w:ind w:right="91"/>
              <w:rPr>
                <w:sz w:val="20"/>
              </w:rPr>
            </w:pPr>
            <w:r>
              <w:rPr>
                <w:sz w:val="20"/>
              </w:rPr>
              <w:t>106%</w:t>
            </w:r>
          </w:p>
        </w:tc>
        <w:tc>
          <w:tcPr>
            <w:tcW w:w="1160" w:type="dxa"/>
          </w:tcPr>
          <w:p w:rsidR="007C5447" w:rsidRDefault="00F6308C">
            <w:pPr>
              <w:pStyle w:val="TableParagraph"/>
              <w:spacing w:before="130"/>
              <w:ind w:right="95"/>
              <w:rPr>
                <w:sz w:val="20"/>
              </w:rPr>
            </w:pPr>
            <w:r>
              <w:rPr>
                <w:sz w:val="20"/>
              </w:rPr>
              <w:t>106%</w:t>
            </w:r>
          </w:p>
        </w:tc>
        <w:tc>
          <w:tcPr>
            <w:tcW w:w="1080" w:type="dxa"/>
          </w:tcPr>
          <w:p w:rsidR="007C5447" w:rsidRDefault="00F6308C">
            <w:pPr>
              <w:pStyle w:val="TableParagraph"/>
              <w:spacing w:before="130"/>
              <w:ind w:right="94"/>
              <w:rPr>
                <w:sz w:val="20"/>
              </w:rPr>
            </w:pPr>
            <w:r>
              <w:rPr>
                <w:sz w:val="20"/>
              </w:rPr>
              <w:t>106%</w:t>
            </w:r>
          </w:p>
        </w:tc>
      </w:tr>
      <w:tr w:rsidR="007C5447">
        <w:trPr>
          <w:trHeight w:val="359"/>
        </w:trPr>
        <w:tc>
          <w:tcPr>
            <w:tcW w:w="2122" w:type="dxa"/>
          </w:tcPr>
          <w:p w:rsidR="007C5447" w:rsidRDefault="00F6308C">
            <w:pPr>
              <w:pStyle w:val="TableParagraph"/>
              <w:spacing w:before="65"/>
              <w:ind w:left="107"/>
              <w:jc w:val="left"/>
              <w:rPr>
                <w:b/>
                <w:sz w:val="20"/>
              </w:rPr>
            </w:pPr>
            <w:r>
              <w:rPr>
                <w:b/>
                <w:sz w:val="20"/>
              </w:rPr>
              <w:t>LT Category</w:t>
            </w:r>
          </w:p>
        </w:tc>
        <w:tc>
          <w:tcPr>
            <w:tcW w:w="1278" w:type="dxa"/>
          </w:tcPr>
          <w:p w:rsidR="007C5447" w:rsidRDefault="007C5447">
            <w:pPr>
              <w:pStyle w:val="TableParagraph"/>
              <w:jc w:val="left"/>
            </w:pPr>
          </w:p>
        </w:tc>
        <w:tc>
          <w:tcPr>
            <w:tcW w:w="1138" w:type="dxa"/>
          </w:tcPr>
          <w:p w:rsidR="007C5447" w:rsidRDefault="007C5447">
            <w:pPr>
              <w:pStyle w:val="TableParagraph"/>
              <w:jc w:val="left"/>
            </w:pPr>
          </w:p>
        </w:tc>
        <w:tc>
          <w:tcPr>
            <w:tcW w:w="1160" w:type="dxa"/>
          </w:tcPr>
          <w:p w:rsidR="007C5447" w:rsidRDefault="007C5447">
            <w:pPr>
              <w:pStyle w:val="TableParagraph"/>
              <w:jc w:val="left"/>
            </w:pPr>
          </w:p>
        </w:tc>
        <w:tc>
          <w:tcPr>
            <w:tcW w:w="1157" w:type="dxa"/>
          </w:tcPr>
          <w:p w:rsidR="007C5447" w:rsidRDefault="007C5447">
            <w:pPr>
              <w:pStyle w:val="TableParagraph"/>
              <w:jc w:val="left"/>
            </w:pPr>
          </w:p>
        </w:tc>
        <w:tc>
          <w:tcPr>
            <w:tcW w:w="1160" w:type="dxa"/>
          </w:tcPr>
          <w:p w:rsidR="007C5447" w:rsidRDefault="007C5447">
            <w:pPr>
              <w:pStyle w:val="TableParagraph"/>
              <w:jc w:val="left"/>
            </w:pPr>
          </w:p>
        </w:tc>
        <w:tc>
          <w:tcPr>
            <w:tcW w:w="1080" w:type="dxa"/>
          </w:tcPr>
          <w:p w:rsidR="007C5447" w:rsidRDefault="007C5447">
            <w:pPr>
              <w:pStyle w:val="TableParagraph"/>
              <w:jc w:val="left"/>
            </w:pPr>
          </w:p>
        </w:tc>
      </w:tr>
      <w:tr w:rsidR="007C5447">
        <w:trPr>
          <w:trHeight w:val="359"/>
        </w:trPr>
        <w:tc>
          <w:tcPr>
            <w:tcW w:w="2122" w:type="dxa"/>
          </w:tcPr>
          <w:p w:rsidR="007C5447" w:rsidRDefault="00F6308C">
            <w:pPr>
              <w:pStyle w:val="TableParagraph"/>
              <w:spacing w:before="65"/>
              <w:ind w:left="107"/>
              <w:jc w:val="left"/>
              <w:rPr>
                <w:sz w:val="20"/>
              </w:rPr>
            </w:pPr>
            <w:r>
              <w:rPr>
                <w:sz w:val="20"/>
              </w:rPr>
              <w:t>Domestic</w:t>
            </w:r>
          </w:p>
        </w:tc>
        <w:tc>
          <w:tcPr>
            <w:tcW w:w="1278" w:type="dxa"/>
          </w:tcPr>
          <w:p w:rsidR="007C5447" w:rsidRDefault="00F6308C">
            <w:pPr>
              <w:pStyle w:val="TableParagraph"/>
              <w:spacing w:before="65"/>
              <w:ind w:right="95"/>
              <w:rPr>
                <w:sz w:val="20"/>
              </w:rPr>
            </w:pPr>
            <w:r>
              <w:rPr>
                <w:sz w:val="20"/>
              </w:rPr>
              <w:t>60%</w:t>
            </w:r>
          </w:p>
        </w:tc>
        <w:tc>
          <w:tcPr>
            <w:tcW w:w="1138" w:type="dxa"/>
          </w:tcPr>
          <w:p w:rsidR="007C5447" w:rsidRDefault="00F6308C">
            <w:pPr>
              <w:pStyle w:val="TableParagraph"/>
              <w:spacing w:before="65"/>
              <w:ind w:right="93"/>
              <w:rPr>
                <w:sz w:val="20"/>
              </w:rPr>
            </w:pPr>
            <w:r>
              <w:rPr>
                <w:sz w:val="20"/>
              </w:rPr>
              <w:t>60%</w:t>
            </w:r>
          </w:p>
        </w:tc>
        <w:tc>
          <w:tcPr>
            <w:tcW w:w="1160" w:type="dxa"/>
          </w:tcPr>
          <w:p w:rsidR="007C5447" w:rsidRDefault="00F6308C">
            <w:pPr>
              <w:pStyle w:val="TableParagraph"/>
              <w:spacing w:before="65"/>
              <w:ind w:right="96"/>
              <w:rPr>
                <w:sz w:val="20"/>
              </w:rPr>
            </w:pPr>
            <w:r>
              <w:rPr>
                <w:sz w:val="20"/>
              </w:rPr>
              <w:t>65%</w:t>
            </w:r>
          </w:p>
        </w:tc>
        <w:tc>
          <w:tcPr>
            <w:tcW w:w="1157" w:type="dxa"/>
          </w:tcPr>
          <w:p w:rsidR="007C5447" w:rsidRDefault="00F6308C">
            <w:pPr>
              <w:pStyle w:val="TableParagraph"/>
              <w:spacing w:before="65"/>
              <w:ind w:right="94"/>
              <w:rPr>
                <w:sz w:val="20"/>
              </w:rPr>
            </w:pPr>
            <w:r>
              <w:rPr>
                <w:sz w:val="20"/>
              </w:rPr>
              <w:t>70%</w:t>
            </w:r>
          </w:p>
        </w:tc>
        <w:tc>
          <w:tcPr>
            <w:tcW w:w="1160" w:type="dxa"/>
          </w:tcPr>
          <w:p w:rsidR="007C5447" w:rsidRDefault="00F6308C">
            <w:pPr>
              <w:pStyle w:val="TableParagraph"/>
              <w:spacing w:before="65"/>
              <w:ind w:right="96"/>
              <w:rPr>
                <w:sz w:val="20"/>
              </w:rPr>
            </w:pPr>
            <w:r>
              <w:rPr>
                <w:sz w:val="20"/>
              </w:rPr>
              <w:t>75%</w:t>
            </w:r>
          </w:p>
        </w:tc>
        <w:tc>
          <w:tcPr>
            <w:tcW w:w="1080" w:type="dxa"/>
          </w:tcPr>
          <w:p w:rsidR="007C5447" w:rsidRDefault="00F6308C">
            <w:pPr>
              <w:pStyle w:val="TableParagraph"/>
              <w:spacing w:before="65"/>
              <w:ind w:right="96"/>
              <w:rPr>
                <w:sz w:val="20"/>
              </w:rPr>
            </w:pPr>
            <w:r>
              <w:rPr>
                <w:sz w:val="20"/>
              </w:rPr>
              <w:t>80%</w:t>
            </w:r>
          </w:p>
        </w:tc>
      </w:tr>
      <w:tr w:rsidR="007C5447">
        <w:trPr>
          <w:trHeight w:val="359"/>
        </w:trPr>
        <w:tc>
          <w:tcPr>
            <w:tcW w:w="2122" w:type="dxa"/>
          </w:tcPr>
          <w:p w:rsidR="007C5447" w:rsidRDefault="00F6308C">
            <w:pPr>
              <w:pStyle w:val="TableParagraph"/>
              <w:spacing w:before="65"/>
              <w:ind w:left="107"/>
              <w:jc w:val="left"/>
              <w:rPr>
                <w:sz w:val="20"/>
              </w:rPr>
            </w:pPr>
            <w:r>
              <w:rPr>
                <w:sz w:val="20"/>
              </w:rPr>
              <w:t>Huts</w:t>
            </w:r>
          </w:p>
        </w:tc>
        <w:tc>
          <w:tcPr>
            <w:tcW w:w="1278" w:type="dxa"/>
          </w:tcPr>
          <w:p w:rsidR="007C5447" w:rsidRDefault="00F6308C">
            <w:pPr>
              <w:pStyle w:val="TableParagraph"/>
              <w:spacing w:before="65"/>
              <w:ind w:right="95"/>
              <w:rPr>
                <w:sz w:val="20"/>
              </w:rPr>
            </w:pPr>
            <w:r>
              <w:rPr>
                <w:sz w:val="20"/>
              </w:rPr>
              <w:t>51%</w:t>
            </w:r>
          </w:p>
        </w:tc>
        <w:tc>
          <w:tcPr>
            <w:tcW w:w="1138" w:type="dxa"/>
          </w:tcPr>
          <w:p w:rsidR="007C5447" w:rsidRDefault="00F6308C">
            <w:pPr>
              <w:pStyle w:val="TableParagraph"/>
              <w:spacing w:before="65"/>
              <w:ind w:right="93"/>
              <w:rPr>
                <w:sz w:val="20"/>
              </w:rPr>
            </w:pPr>
            <w:r>
              <w:rPr>
                <w:sz w:val="20"/>
              </w:rPr>
              <w:t>55%</w:t>
            </w:r>
          </w:p>
        </w:tc>
        <w:tc>
          <w:tcPr>
            <w:tcW w:w="1160" w:type="dxa"/>
          </w:tcPr>
          <w:p w:rsidR="007C5447" w:rsidRDefault="00F6308C">
            <w:pPr>
              <w:pStyle w:val="TableParagraph"/>
              <w:spacing w:before="65"/>
              <w:ind w:right="96"/>
              <w:rPr>
                <w:sz w:val="20"/>
              </w:rPr>
            </w:pPr>
            <w:r>
              <w:rPr>
                <w:sz w:val="20"/>
              </w:rPr>
              <w:t>60%</w:t>
            </w:r>
          </w:p>
        </w:tc>
        <w:tc>
          <w:tcPr>
            <w:tcW w:w="1157" w:type="dxa"/>
          </w:tcPr>
          <w:p w:rsidR="007C5447" w:rsidRDefault="00F6308C">
            <w:pPr>
              <w:pStyle w:val="TableParagraph"/>
              <w:spacing w:before="65"/>
              <w:ind w:right="94"/>
              <w:rPr>
                <w:sz w:val="20"/>
              </w:rPr>
            </w:pPr>
            <w:r>
              <w:rPr>
                <w:sz w:val="20"/>
              </w:rPr>
              <w:t>65%</w:t>
            </w:r>
          </w:p>
        </w:tc>
        <w:tc>
          <w:tcPr>
            <w:tcW w:w="1160" w:type="dxa"/>
          </w:tcPr>
          <w:p w:rsidR="007C5447" w:rsidRDefault="00F6308C">
            <w:pPr>
              <w:pStyle w:val="TableParagraph"/>
              <w:spacing w:before="65"/>
              <w:ind w:right="96"/>
              <w:rPr>
                <w:sz w:val="20"/>
              </w:rPr>
            </w:pPr>
            <w:r>
              <w:rPr>
                <w:sz w:val="20"/>
              </w:rPr>
              <w:t>70%</w:t>
            </w:r>
          </w:p>
        </w:tc>
        <w:tc>
          <w:tcPr>
            <w:tcW w:w="1080" w:type="dxa"/>
          </w:tcPr>
          <w:p w:rsidR="007C5447" w:rsidRDefault="00F6308C">
            <w:pPr>
              <w:pStyle w:val="TableParagraph"/>
              <w:spacing w:before="65"/>
              <w:ind w:right="96"/>
              <w:rPr>
                <w:sz w:val="20"/>
              </w:rPr>
            </w:pPr>
            <w:r>
              <w:rPr>
                <w:sz w:val="20"/>
              </w:rPr>
              <w:t>75%</w:t>
            </w:r>
          </w:p>
        </w:tc>
      </w:tr>
      <w:tr w:rsidR="007C5447">
        <w:trPr>
          <w:trHeight w:val="359"/>
        </w:trPr>
        <w:tc>
          <w:tcPr>
            <w:tcW w:w="2122" w:type="dxa"/>
          </w:tcPr>
          <w:p w:rsidR="007C5447" w:rsidRDefault="00F6308C">
            <w:pPr>
              <w:pStyle w:val="TableParagraph"/>
              <w:spacing w:before="65"/>
              <w:ind w:left="107"/>
              <w:jc w:val="left"/>
              <w:rPr>
                <w:sz w:val="20"/>
              </w:rPr>
            </w:pPr>
            <w:r>
              <w:rPr>
                <w:sz w:val="20"/>
              </w:rPr>
              <w:t>Bulk supply</w:t>
            </w:r>
          </w:p>
        </w:tc>
        <w:tc>
          <w:tcPr>
            <w:tcW w:w="1278" w:type="dxa"/>
          </w:tcPr>
          <w:p w:rsidR="007C5447" w:rsidRDefault="00F6308C">
            <w:pPr>
              <w:pStyle w:val="TableParagraph"/>
              <w:spacing w:before="65"/>
              <w:ind w:right="95"/>
              <w:rPr>
                <w:sz w:val="20"/>
              </w:rPr>
            </w:pPr>
            <w:r>
              <w:rPr>
                <w:sz w:val="20"/>
              </w:rPr>
              <w:t>79%</w:t>
            </w:r>
          </w:p>
        </w:tc>
        <w:tc>
          <w:tcPr>
            <w:tcW w:w="1138" w:type="dxa"/>
          </w:tcPr>
          <w:p w:rsidR="007C5447" w:rsidRDefault="00F6308C">
            <w:pPr>
              <w:pStyle w:val="TableParagraph"/>
              <w:spacing w:before="65"/>
              <w:ind w:right="93"/>
              <w:rPr>
                <w:sz w:val="20"/>
              </w:rPr>
            </w:pPr>
            <w:r>
              <w:rPr>
                <w:sz w:val="20"/>
              </w:rPr>
              <w:t>78%</w:t>
            </w:r>
          </w:p>
        </w:tc>
        <w:tc>
          <w:tcPr>
            <w:tcW w:w="1160" w:type="dxa"/>
          </w:tcPr>
          <w:p w:rsidR="007C5447" w:rsidRDefault="00F6308C">
            <w:pPr>
              <w:pStyle w:val="TableParagraph"/>
              <w:spacing w:before="65"/>
              <w:ind w:right="96"/>
              <w:rPr>
                <w:sz w:val="20"/>
              </w:rPr>
            </w:pPr>
            <w:r>
              <w:rPr>
                <w:sz w:val="20"/>
              </w:rPr>
              <w:t>80%</w:t>
            </w:r>
          </w:p>
        </w:tc>
        <w:tc>
          <w:tcPr>
            <w:tcW w:w="1157" w:type="dxa"/>
          </w:tcPr>
          <w:p w:rsidR="007C5447" w:rsidRDefault="00F6308C">
            <w:pPr>
              <w:pStyle w:val="TableParagraph"/>
              <w:spacing w:before="65"/>
              <w:ind w:right="94"/>
              <w:rPr>
                <w:sz w:val="20"/>
              </w:rPr>
            </w:pPr>
            <w:r>
              <w:rPr>
                <w:sz w:val="20"/>
              </w:rPr>
              <w:t>82%</w:t>
            </w:r>
          </w:p>
        </w:tc>
        <w:tc>
          <w:tcPr>
            <w:tcW w:w="1160" w:type="dxa"/>
          </w:tcPr>
          <w:p w:rsidR="007C5447" w:rsidRDefault="00F6308C">
            <w:pPr>
              <w:pStyle w:val="TableParagraph"/>
              <w:spacing w:before="65"/>
              <w:ind w:right="96"/>
              <w:rPr>
                <w:sz w:val="20"/>
              </w:rPr>
            </w:pPr>
            <w:r>
              <w:rPr>
                <w:sz w:val="20"/>
              </w:rPr>
              <w:t>84%</w:t>
            </w:r>
          </w:p>
        </w:tc>
        <w:tc>
          <w:tcPr>
            <w:tcW w:w="1080" w:type="dxa"/>
          </w:tcPr>
          <w:p w:rsidR="007C5447" w:rsidRDefault="00F6308C">
            <w:pPr>
              <w:pStyle w:val="TableParagraph"/>
              <w:spacing w:before="65"/>
              <w:ind w:right="96"/>
              <w:rPr>
                <w:sz w:val="20"/>
              </w:rPr>
            </w:pPr>
            <w:r>
              <w:rPr>
                <w:sz w:val="20"/>
              </w:rPr>
              <w:t>86%</w:t>
            </w:r>
          </w:p>
        </w:tc>
      </w:tr>
      <w:tr w:rsidR="007C5447">
        <w:trPr>
          <w:trHeight w:val="491"/>
        </w:trPr>
        <w:tc>
          <w:tcPr>
            <w:tcW w:w="2122" w:type="dxa"/>
          </w:tcPr>
          <w:p w:rsidR="007C5447" w:rsidRDefault="00F6308C">
            <w:pPr>
              <w:pStyle w:val="TableParagraph"/>
              <w:spacing w:before="14" w:line="230" w:lineRule="atLeast"/>
              <w:ind w:left="107" w:right="529"/>
              <w:jc w:val="left"/>
              <w:rPr>
                <w:sz w:val="20"/>
              </w:rPr>
            </w:pPr>
            <w:r>
              <w:rPr>
                <w:sz w:val="20"/>
              </w:rPr>
              <w:t>Public Lighting &amp; Water Works</w:t>
            </w:r>
          </w:p>
        </w:tc>
        <w:tc>
          <w:tcPr>
            <w:tcW w:w="1278" w:type="dxa"/>
          </w:tcPr>
          <w:p w:rsidR="007C5447" w:rsidRDefault="00F6308C">
            <w:pPr>
              <w:pStyle w:val="TableParagraph"/>
              <w:spacing w:before="130"/>
              <w:ind w:right="93"/>
              <w:rPr>
                <w:sz w:val="20"/>
              </w:rPr>
            </w:pPr>
            <w:r>
              <w:rPr>
                <w:sz w:val="20"/>
              </w:rPr>
              <w:t>118%</w:t>
            </w:r>
          </w:p>
        </w:tc>
        <w:tc>
          <w:tcPr>
            <w:tcW w:w="1138" w:type="dxa"/>
          </w:tcPr>
          <w:p w:rsidR="007C5447" w:rsidRDefault="00F6308C">
            <w:pPr>
              <w:pStyle w:val="TableParagraph"/>
              <w:spacing w:before="130"/>
              <w:ind w:right="91"/>
              <w:rPr>
                <w:sz w:val="20"/>
              </w:rPr>
            </w:pPr>
            <w:r>
              <w:rPr>
                <w:sz w:val="20"/>
              </w:rPr>
              <w:t>114%</w:t>
            </w:r>
          </w:p>
        </w:tc>
        <w:tc>
          <w:tcPr>
            <w:tcW w:w="1160" w:type="dxa"/>
          </w:tcPr>
          <w:p w:rsidR="007C5447" w:rsidRDefault="00F6308C">
            <w:pPr>
              <w:pStyle w:val="TableParagraph"/>
              <w:spacing w:before="130"/>
              <w:ind w:right="94"/>
              <w:rPr>
                <w:sz w:val="20"/>
              </w:rPr>
            </w:pPr>
            <w:r>
              <w:rPr>
                <w:sz w:val="20"/>
              </w:rPr>
              <w:t>113%</w:t>
            </w:r>
          </w:p>
        </w:tc>
        <w:tc>
          <w:tcPr>
            <w:tcW w:w="1157" w:type="dxa"/>
          </w:tcPr>
          <w:p w:rsidR="007C5447" w:rsidRDefault="00F6308C">
            <w:pPr>
              <w:pStyle w:val="TableParagraph"/>
              <w:spacing w:before="130"/>
              <w:ind w:right="91"/>
              <w:rPr>
                <w:sz w:val="20"/>
              </w:rPr>
            </w:pPr>
            <w:r>
              <w:rPr>
                <w:sz w:val="20"/>
              </w:rPr>
              <w:t>112%</w:t>
            </w:r>
          </w:p>
        </w:tc>
        <w:tc>
          <w:tcPr>
            <w:tcW w:w="1160" w:type="dxa"/>
          </w:tcPr>
          <w:p w:rsidR="007C5447" w:rsidRDefault="00F6308C">
            <w:pPr>
              <w:pStyle w:val="TableParagraph"/>
              <w:spacing w:before="130"/>
              <w:ind w:right="95"/>
              <w:rPr>
                <w:sz w:val="20"/>
              </w:rPr>
            </w:pPr>
            <w:r>
              <w:rPr>
                <w:sz w:val="20"/>
              </w:rPr>
              <w:t>111%</w:t>
            </w:r>
          </w:p>
        </w:tc>
        <w:tc>
          <w:tcPr>
            <w:tcW w:w="1080" w:type="dxa"/>
          </w:tcPr>
          <w:p w:rsidR="007C5447" w:rsidRDefault="00F6308C">
            <w:pPr>
              <w:pStyle w:val="TableParagraph"/>
              <w:spacing w:before="130"/>
              <w:ind w:right="94"/>
              <w:rPr>
                <w:sz w:val="20"/>
              </w:rPr>
            </w:pPr>
            <w:r>
              <w:rPr>
                <w:sz w:val="20"/>
              </w:rPr>
              <w:t>110%</w:t>
            </w:r>
          </w:p>
        </w:tc>
      </w:tr>
      <w:tr w:rsidR="007C5447">
        <w:trPr>
          <w:trHeight w:val="489"/>
        </w:trPr>
        <w:tc>
          <w:tcPr>
            <w:tcW w:w="2122" w:type="dxa"/>
          </w:tcPr>
          <w:p w:rsidR="007C5447" w:rsidRDefault="00F6308C">
            <w:pPr>
              <w:pStyle w:val="TableParagraph"/>
              <w:spacing w:before="15" w:line="230" w:lineRule="atLeast"/>
              <w:ind w:left="107" w:right="130"/>
              <w:jc w:val="left"/>
              <w:rPr>
                <w:sz w:val="20"/>
              </w:rPr>
            </w:pPr>
            <w:r>
              <w:rPr>
                <w:sz w:val="20"/>
              </w:rPr>
              <w:t>Government Educational Institution</w:t>
            </w:r>
          </w:p>
        </w:tc>
        <w:tc>
          <w:tcPr>
            <w:tcW w:w="1278" w:type="dxa"/>
          </w:tcPr>
          <w:p w:rsidR="007C5447" w:rsidRDefault="00F6308C">
            <w:pPr>
              <w:pStyle w:val="TableParagraph"/>
              <w:spacing w:before="130"/>
              <w:ind w:right="93"/>
              <w:rPr>
                <w:sz w:val="20"/>
              </w:rPr>
            </w:pPr>
            <w:r>
              <w:rPr>
                <w:sz w:val="20"/>
              </w:rPr>
              <w:t>117%</w:t>
            </w:r>
          </w:p>
        </w:tc>
        <w:tc>
          <w:tcPr>
            <w:tcW w:w="1138" w:type="dxa"/>
          </w:tcPr>
          <w:p w:rsidR="007C5447" w:rsidRDefault="00F6308C">
            <w:pPr>
              <w:pStyle w:val="TableParagraph"/>
              <w:spacing w:before="130"/>
              <w:ind w:right="91"/>
              <w:rPr>
                <w:sz w:val="20"/>
              </w:rPr>
            </w:pPr>
            <w:r>
              <w:rPr>
                <w:sz w:val="20"/>
              </w:rPr>
              <w:t>113%</w:t>
            </w:r>
          </w:p>
        </w:tc>
        <w:tc>
          <w:tcPr>
            <w:tcW w:w="1160" w:type="dxa"/>
          </w:tcPr>
          <w:p w:rsidR="007C5447" w:rsidRDefault="00F6308C">
            <w:pPr>
              <w:pStyle w:val="TableParagraph"/>
              <w:spacing w:before="130"/>
              <w:ind w:right="94"/>
              <w:rPr>
                <w:sz w:val="20"/>
              </w:rPr>
            </w:pPr>
            <w:r>
              <w:rPr>
                <w:sz w:val="20"/>
              </w:rPr>
              <w:t>112%</w:t>
            </w:r>
          </w:p>
        </w:tc>
        <w:tc>
          <w:tcPr>
            <w:tcW w:w="1157" w:type="dxa"/>
          </w:tcPr>
          <w:p w:rsidR="007C5447" w:rsidRDefault="00F6308C">
            <w:pPr>
              <w:pStyle w:val="TableParagraph"/>
              <w:spacing w:before="130"/>
              <w:ind w:right="91"/>
              <w:rPr>
                <w:sz w:val="20"/>
              </w:rPr>
            </w:pPr>
            <w:r>
              <w:rPr>
                <w:sz w:val="20"/>
              </w:rPr>
              <w:t>111%</w:t>
            </w:r>
          </w:p>
        </w:tc>
        <w:tc>
          <w:tcPr>
            <w:tcW w:w="1160" w:type="dxa"/>
          </w:tcPr>
          <w:p w:rsidR="007C5447" w:rsidRDefault="00F6308C">
            <w:pPr>
              <w:pStyle w:val="TableParagraph"/>
              <w:spacing w:before="130"/>
              <w:ind w:right="95"/>
              <w:rPr>
                <w:sz w:val="20"/>
              </w:rPr>
            </w:pPr>
            <w:r>
              <w:rPr>
                <w:sz w:val="20"/>
              </w:rPr>
              <w:t>110%</w:t>
            </w:r>
          </w:p>
        </w:tc>
        <w:tc>
          <w:tcPr>
            <w:tcW w:w="1080" w:type="dxa"/>
          </w:tcPr>
          <w:p w:rsidR="007C5447" w:rsidRDefault="007C5447">
            <w:pPr>
              <w:pStyle w:val="TableParagraph"/>
              <w:jc w:val="left"/>
            </w:pPr>
          </w:p>
        </w:tc>
      </w:tr>
      <w:tr w:rsidR="007C5447">
        <w:trPr>
          <w:trHeight w:val="489"/>
        </w:trPr>
        <w:tc>
          <w:tcPr>
            <w:tcW w:w="2122" w:type="dxa"/>
          </w:tcPr>
          <w:p w:rsidR="007C5447" w:rsidRDefault="00F6308C">
            <w:pPr>
              <w:pStyle w:val="TableParagraph"/>
              <w:spacing w:before="14" w:line="230" w:lineRule="atLeast"/>
              <w:ind w:left="107" w:right="663"/>
              <w:jc w:val="left"/>
              <w:rPr>
                <w:sz w:val="20"/>
              </w:rPr>
            </w:pPr>
            <w:r>
              <w:rPr>
                <w:sz w:val="20"/>
              </w:rPr>
              <w:t>Pvt. Educational Institutions</w:t>
            </w:r>
          </w:p>
        </w:tc>
        <w:tc>
          <w:tcPr>
            <w:tcW w:w="1278" w:type="dxa"/>
          </w:tcPr>
          <w:p w:rsidR="007C5447" w:rsidRDefault="00F6308C">
            <w:pPr>
              <w:pStyle w:val="TableParagraph"/>
              <w:spacing w:before="130"/>
              <w:ind w:right="93"/>
              <w:rPr>
                <w:sz w:val="20"/>
              </w:rPr>
            </w:pPr>
            <w:r>
              <w:rPr>
                <w:sz w:val="20"/>
              </w:rPr>
              <w:t>142%</w:t>
            </w:r>
          </w:p>
        </w:tc>
        <w:tc>
          <w:tcPr>
            <w:tcW w:w="1138" w:type="dxa"/>
          </w:tcPr>
          <w:p w:rsidR="007C5447" w:rsidRDefault="00F6308C">
            <w:pPr>
              <w:pStyle w:val="TableParagraph"/>
              <w:spacing w:before="130"/>
              <w:ind w:right="91"/>
              <w:rPr>
                <w:sz w:val="20"/>
              </w:rPr>
            </w:pPr>
            <w:r>
              <w:rPr>
                <w:sz w:val="20"/>
              </w:rPr>
              <w:t>135%</w:t>
            </w:r>
          </w:p>
        </w:tc>
        <w:tc>
          <w:tcPr>
            <w:tcW w:w="1160" w:type="dxa"/>
          </w:tcPr>
          <w:p w:rsidR="007C5447" w:rsidRDefault="00F6308C">
            <w:pPr>
              <w:pStyle w:val="TableParagraph"/>
              <w:spacing w:before="130"/>
              <w:ind w:right="94"/>
              <w:rPr>
                <w:sz w:val="20"/>
              </w:rPr>
            </w:pPr>
            <w:r>
              <w:rPr>
                <w:sz w:val="20"/>
              </w:rPr>
              <w:t>130%</w:t>
            </w:r>
          </w:p>
        </w:tc>
        <w:tc>
          <w:tcPr>
            <w:tcW w:w="1157" w:type="dxa"/>
          </w:tcPr>
          <w:p w:rsidR="007C5447" w:rsidRDefault="00F6308C">
            <w:pPr>
              <w:pStyle w:val="TableParagraph"/>
              <w:spacing w:before="130"/>
              <w:ind w:right="91"/>
              <w:rPr>
                <w:sz w:val="20"/>
              </w:rPr>
            </w:pPr>
            <w:r>
              <w:rPr>
                <w:sz w:val="20"/>
              </w:rPr>
              <w:t>125%</w:t>
            </w:r>
          </w:p>
        </w:tc>
        <w:tc>
          <w:tcPr>
            <w:tcW w:w="1160" w:type="dxa"/>
          </w:tcPr>
          <w:p w:rsidR="007C5447" w:rsidRDefault="00F6308C">
            <w:pPr>
              <w:pStyle w:val="TableParagraph"/>
              <w:spacing w:before="130"/>
              <w:ind w:right="95"/>
              <w:rPr>
                <w:sz w:val="20"/>
              </w:rPr>
            </w:pPr>
            <w:r>
              <w:rPr>
                <w:sz w:val="20"/>
              </w:rPr>
              <w:t>120%</w:t>
            </w:r>
          </w:p>
        </w:tc>
        <w:tc>
          <w:tcPr>
            <w:tcW w:w="1080" w:type="dxa"/>
          </w:tcPr>
          <w:p w:rsidR="007C5447" w:rsidRDefault="007C5447">
            <w:pPr>
              <w:pStyle w:val="TableParagraph"/>
              <w:jc w:val="left"/>
            </w:pPr>
          </w:p>
        </w:tc>
      </w:tr>
      <w:tr w:rsidR="007C5447">
        <w:trPr>
          <w:trHeight w:val="491"/>
        </w:trPr>
        <w:tc>
          <w:tcPr>
            <w:tcW w:w="2122" w:type="dxa"/>
          </w:tcPr>
          <w:p w:rsidR="007C5447" w:rsidRDefault="00F6308C">
            <w:pPr>
              <w:pStyle w:val="TableParagraph"/>
              <w:spacing w:before="14" w:line="230" w:lineRule="atLeast"/>
              <w:ind w:left="107" w:right="696"/>
              <w:jc w:val="left"/>
              <w:rPr>
                <w:sz w:val="20"/>
              </w:rPr>
            </w:pPr>
            <w:r>
              <w:rPr>
                <w:sz w:val="20"/>
              </w:rPr>
              <w:t>Places of Public Worship (LT)</w:t>
            </w:r>
          </w:p>
        </w:tc>
        <w:tc>
          <w:tcPr>
            <w:tcW w:w="1278" w:type="dxa"/>
          </w:tcPr>
          <w:p w:rsidR="007C5447" w:rsidRDefault="00F6308C">
            <w:pPr>
              <w:pStyle w:val="TableParagraph"/>
              <w:spacing w:before="130"/>
              <w:ind w:right="93"/>
              <w:rPr>
                <w:sz w:val="20"/>
              </w:rPr>
            </w:pPr>
            <w:r>
              <w:rPr>
                <w:sz w:val="20"/>
              </w:rPr>
              <w:t>118%</w:t>
            </w:r>
          </w:p>
        </w:tc>
        <w:tc>
          <w:tcPr>
            <w:tcW w:w="1138" w:type="dxa"/>
          </w:tcPr>
          <w:p w:rsidR="007C5447" w:rsidRDefault="00F6308C">
            <w:pPr>
              <w:pStyle w:val="TableParagraph"/>
              <w:spacing w:before="130"/>
              <w:ind w:right="91"/>
              <w:rPr>
                <w:sz w:val="20"/>
              </w:rPr>
            </w:pPr>
            <w:r>
              <w:rPr>
                <w:sz w:val="20"/>
              </w:rPr>
              <w:t>114%</w:t>
            </w:r>
          </w:p>
        </w:tc>
        <w:tc>
          <w:tcPr>
            <w:tcW w:w="1160" w:type="dxa"/>
          </w:tcPr>
          <w:p w:rsidR="007C5447" w:rsidRDefault="00F6308C">
            <w:pPr>
              <w:pStyle w:val="TableParagraph"/>
              <w:spacing w:before="130"/>
              <w:ind w:right="94"/>
              <w:rPr>
                <w:sz w:val="20"/>
              </w:rPr>
            </w:pPr>
            <w:r>
              <w:rPr>
                <w:sz w:val="20"/>
              </w:rPr>
              <w:t>113%</w:t>
            </w:r>
          </w:p>
        </w:tc>
        <w:tc>
          <w:tcPr>
            <w:tcW w:w="1157" w:type="dxa"/>
          </w:tcPr>
          <w:p w:rsidR="007C5447" w:rsidRDefault="00F6308C">
            <w:pPr>
              <w:pStyle w:val="TableParagraph"/>
              <w:spacing w:before="130"/>
              <w:ind w:right="91"/>
              <w:rPr>
                <w:sz w:val="20"/>
              </w:rPr>
            </w:pPr>
            <w:r>
              <w:rPr>
                <w:sz w:val="20"/>
              </w:rPr>
              <w:t>112%</w:t>
            </w:r>
          </w:p>
        </w:tc>
        <w:tc>
          <w:tcPr>
            <w:tcW w:w="1160" w:type="dxa"/>
          </w:tcPr>
          <w:p w:rsidR="007C5447" w:rsidRDefault="00F6308C">
            <w:pPr>
              <w:pStyle w:val="TableParagraph"/>
              <w:spacing w:before="130"/>
              <w:ind w:right="95"/>
              <w:rPr>
                <w:sz w:val="20"/>
              </w:rPr>
            </w:pPr>
            <w:r>
              <w:rPr>
                <w:sz w:val="20"/>
              </w:rPr>
              <w:t>111%</w:t>
            </w:r>
          </w:p>
        </w:tc>
        <w:tc>
          <w:tcPr>
            <w:tcW w:w="1080" w:type="dxa"/>
          </w:tcPr>
          <w:p w:rsidR="007C5447" w:rsidRDefault="00F6308C">
            <w:pPr>
              <w:pStyle w:val="TableParagraph"/>
              <w:spacing w:before="130"/>
              <w:ind w:right="94"/>
              <w:rPr>
                <w:sz w:val="20"/>
              </w:rPr>
            </w:pPr>
            <w:r>
              <w:rPr>
                <w:sz w:val="20"/>
              </w:rPr>
              <w:t>110%</w:t>
            </w:r>
          </w:p>
        </w:tc>
      </w:tr>
      <w:tr w:rsidR="007C5447">
        <w:trPr>
          <w:trHeight w:val="489"/>
        </w:trPr>
        <w:tc>
          <w:tcPr>
            <w:tcW w:w="2122" w:type="dxa"/>
          </w:tcPr>
          <w:p w:rsidR="007C5447" w:rsidRDefault="00F6308C">
            <w:pPr>
              <w:pStyle w:val="TableParagraph"/>
              <w:spacing w:before="14" w:line="230" w:lineRule="atLeast"/>
              <w:ind w:left="107" w:right="596"/>
              <w:jc w:val="left"/>
              <w:rPr>
                <w:sz w:val="20"/>
              </w:rPr>
            </w:pPr>
            <w:r>
              <w:rPr>
                <w:sz w:val="20"/>
              </w:rPr>
              <w:t>Cottage and Tiny Industries</w:t>
            </w:r>
          </w:p>
        </w:tc>
        <w:tc>
          <w:tcPr>
            <w:tcW w:w="1278" w:type="dxa"/>
          </w:tcPr>
          <w:p w:rsidR="007C5447" w:rsidRDefault="00F6308C">
            <w:pPr>
              <w:pStyle w:val="TableParagraph"/>
              <w:spacing w:before="130"/>
              <w:ind w:right="95"/>
              <w:rPr>
                <w:sz w:val="20"/>
              </w:rPr>
            </w:pPr>
            <w:r>
              <w:rPr>
                <w:sz w:val="20"/>
              </w:rPr>
              <w:t>86%</w:t>
            </w:r>
          </w:p>
        </w:tc>
        <w:tc>
          <w:tcPr>
            <w:tcW w:w="1138" w:type="dxa"/>
          </w:tcPr>
          <w:p w:rsidR="007C5447" w:rsidRDefault="00F6308C">
            <w:pPr>
              <w:pStyle w:val="TableParagraph"/>
              <w:spacing w:before="130"/>
              <w:ind w:right="93"/>
              <w:rPr>
                <w:sz w:val="20"/>
              </w:rPr>
            </w:pPr>
            <w:r>
              <w:rPr>
                <w:sz w:val="20"/>
              </w:rPr>
              <w:t>85%</w:t>
            </w:r>
          </w:p>
        </w:tc>
        <w:tc>
          <w:tcPr>
            <w:tcW w:w="1160" w:type="dxa"/>
          </w:tcPr>
          <w:p w:rsidR="007C5447" w:rsidRDefault="00F6308C">
            <w:pPr>
              <w:pStyle w:val="TableParagraph"/>
              <w:spacing w:before="130"/>
              <w:ind w:right="96"/>
              <w:rPr>
                <w:sz w:val="20"/>
              </w:rPr>
            </w:pPr>
            <w:r>
              <w:rPr>
                <w:sz w:val="20"/>
              </w:rPr>
              <w:t>86%</w:t>
            </w:r>
          </w:p>
        </w:tc>
        <w:tc>
          <w:tcPr>
            <w:tcW w:w="1157" w:type="dxa"/>
          </w:tcPr>
          <w:p w:rsidR="007C5447" w:rsidRDefault="00F6308C">
            <w:pPr>
              <w:pStyle w:val="TableParagraph"/>
              <w:spacing w:before="130"/>
              <w:ind w:right="94"/>
              <w:rPr>
                <w:sz w:val="20"/>
              </w:rPr>
            </w:pPr>
            <w:r>
              <w:rPr>
                <w:sz w:val="20"/>
              </w:rPr>
              <w:t>87%</w:t>
            </w:r>
          </w:p>
        </w:tc>
        <w:tc>
          <w:tcPr>
            <w:tcW w:w="1160" w:type="dxa"/>
          </w:tcPr>
          <w:p w:rsidR="007C5447" w:rsidRDefault="00F6308C">
            <w:pPr>
              <w:pStyle w:val="TableParagraph"/>
              <w:spacing w:before="130"/>
              <w:ind w:right="96"/>
              <w:rPr>
                <w:sz w:val="20"/>
              </w:rPr>
            </w:pPr>
            <w:r>
              <w:rPr>
                <w:sz w:val="20"/>
              </w:rPr>
              <w:t>88%</w:t>
            </w:r>
          </w:p>
        </w:tc>
        <w:tc>
          <w:tcPr>
            <w:tcW w:w="1080" w:type="dxa"/>
          </w:tcPr>
          <w:p w:rsidR="007C5447" w:rsidRDefault="00F6308C">
            <w:pPr>
              <w:pStyle w:val="TableParagraph"/>
              <w:spacing w:before="130"/>
              <w:ind w:right="96"/>
              <w:rPr>
                <w:sz w:val="20"/>
              </w:rPr>
            </w:pPr>
            <w:r>
              <w:rPr>
                <w:sz w:val="20"/>
              </w:rPr>
              <w:t>89%</w:t>
            </w:r>
          </w:p>
        </w:tc>
      </w:tr>
      <w:tr w:rsidR="007C5447">
        <w:trPr>
          <w:trHeight w:val="359"/>
        </w:trPr>
        <w:tc>
          <w:tcPr>
            <w:tcW w:w="2122" w:type="dxa"/>
          </w:tcPr>
          <w:p w:rsidR="007C5447" w:rsidRDefault="00F6308C">
            <w:pPr>
              <w:pStyle w:val="TableParagraph"/>
              <w:spacing w:before="65"/>
              <w:ind w:left="107"/>
              <w:jc w:val="left"/>
              <w:rPr>
                <w:sz w:val="20"/>
              </w:rPr>
            </w:pPr>
            <w:r>
              <w:rPr>
                <w:sz w:val="20"/>
              </w:rPr>
              <w:t>Power Loom</w:t>
            </w:r>
          </w:p>
        </w:tc>
        <w:tc>
          <w:tcPr>
            <w:tcW w:w="1278" w:type="dxa"/>
          </w:tcPr>
          <w:p w:rsidR="007C5447" w:rsidRDefault="00F6308C">
            <w:pPr>
              <w:pStyle w:val="TableParagraph"/>
              <w:spacing w:before="65"/>
              <w:ind w:right="93"/>
              <w:rPr>
                <w:sz w:val="20"/>
              </w:rPr>
            </w:pPr>
            <w:r>
              <w:rPr>
                <w:sz w:val="20"/>
              </w:rPr>
              <w:t>103%</w:t>
            </w:r>
          </w:p>
        </w:tc>
        <w:tc>
          <w:tcPr>
            <w:tcW w:w="1138" w:type="dxa"/>
          </w:tcPr>
          <w:p w:rsidR="007C5447" w:rsidRDefault="00F6308C">
            <w:pPr>
              <w:pStyle w:val="TableParagraph"/>
              <w:spacing w:before="65"/>
              <w:ind w:right="91"/>
              <w:rPr>
                <w:sz w:val="20"/>
              </w:rPr>
            </w:pPr>
            <w:r>
              <w:rPr>
                <w:sz w:val="20"/>
              </w:rPr>
              <w:t>102%</w:t>
            </w:r>
          </w:p>
        </w:tc>
        <w:tc>
          <w:tcPr>
            <w:tcW w:w="1160" w:type="dxa"/>
          </w:tcPr>
          <w:p w:rsidR="007C5447" w:rsidRDefault="00F6308C">
            <w:pPr>
              <w:pStyle w:val="TableParagraph"/>
              <w:spacing w:before="65"/>
              <w:ind w:right="94"/>
              <w:rPr>
                <w:sz w:val="20"/>
              </w:rPr>
            </w:pPr>
            <w:r>
              <w:rPr>
                <w:sz w:val="20"/>
              </w:rPr>
              <w:t>103%</w:t>
            </w:r>
          </w:p>
        </w:tc>
        <w:tc>
          <w:tcPr>
            <w:tcW w:w="1157" w:type="dxa"/>
          </w:tcPr>
          <w:p w:rsidR="007C5447" w:rsidRDefault="00F6308C">
            <w:pPr>
              <w:pStyle w:val="TableParagraph"/>
              <w:spacing w:before="65"/>
              <w:ind w:right="91"/>
              <w:rPr>
                <w:sz w:val="20"/>
              </w:rPr>
            </w:pPr>
            <w:r>
              <w:rPr>
                <w:sz w:val="20"/>
              </w:rPr>
              <w:t>104%</w:t>
            </w:r>
          </w:p>
        </w:tc>
        <w:tc>
          <w:tcPr>
            <w:tcW w:w="1160" w:type="dxa"/>
          </w:tcPr>
          <w:p w:rsidR="007C5447" w:rsidRDefault="00F6308C">
            <w:pPr>
              <w:pStyle w:val="TableParagraph"/>
              <w:spacing w:before="65"/>
              <w:ind w:right="95"/>
              <w:rPr>
                <w:sz w:val="20"/>
              </w:rPr>
            </w:pPr>
            <w:r>
              <w:rPr>
                <w:sz w:val="20"/>
              </w:rPr>
              <w:t>105%</w:t>
            </w:r>
          </w:p>
        </w:tc>
        <w:tc>
          <w:tcPr>
            <w:tcW w:w="1080" w:type="dxa"/>
          </w:tcPr>
          <w:p w:rsidR="007C5447" w:rsidRDefault="00F6308C">
            <w:pPr>
              <w:pStyle w:val="TableParagraph"/>
              <w:spacing w:before="65"/>
              <w:ind w:right="94"/>
              <w:rPr>
                <w:sz w:val="20"/>
              </w:rPr>
            </w:pPr>
            <w:r>
              <w:rPr>
                <w:sz w:val="20"/>
              </w:rPr>
              <w:t>106%</w:t>
            </w:r>
          </w:p>
        </w:tc>
      </w:tr>
    </w:tbl>
    <w:p w:rsidR="007C5447" w:rsidRDefault="007C5447">
      <w:pPr>
        <w:rPr>
          <w:sz w:val="20"/>
        </w:rPr>
        <w:sectPr w:rsidR="007C5447">
          <w:pgSz w:w="11910" w:h="16840"/>
          <w:pgMar w:top="1360" w:right="560" w:bottom="1240" w:left="1180" w:header="0" w:footer="1057" w:gutter="0"/>
          <w:cols w:space="720"/>
        </w:sect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1278"/>
        <w:gridCol w:w="1138"/>
        <w:gridCol w:w="1160"/>
        <w:gridCol w:w="1157"/>
        <w:gridCol w:w="1160"/>
        <w:gridCol w:w="1080"/>
      </w:tblGrid>
      <w:tr w:rsidR="007C5447">
        <w:trPr>
          <w:trHeight w:val="489"/>
        </w:trPr>
        <w:tc>
          <w:tcPr>
            <w:tcW w:w="2122" w:type="dxa"/>
            <w:vMerge w:val="restart"/>
            <w:shd w:val="clear" w:color="auto" w:fill="FBD4B4"/>
          </w:tcPr>
          <w:p w:rsidR="007C5447" w:rsidRDefault="007C5447">
            <w:pPr>
              <w:pStyle w:val="TableParagraph"/>
              <w:jc w:val="left"/>
              <w:rPr>
                <w:b/>
                <w:sz w:val="23"/>
              </w:rPr>
            </w:pPr>
          </w:p>
          <w:p w:rsidR="007C5447" w:rsidRDefault="00F6308C">
            <w:pPr>
              <w:pStyle w:val="TableParagraph"/>
              <w:ind w:left="107" w:right="130"/>
              <w:jc w:val="left"/>
              <w:rPr>
                <w:b/>
                <w:sz w:val="20"/>
              </w:rPr>
            </w:pPr>
            <w:r>
              <w:rPr>
                <w:b/>
                <w:sz w:val="20"/>
              </w:rPr>
              <w:t>Consumer Category &amp; Consumption Slab</w:t>
            </w:r>
          </w:p>
        </w:tc>
        <w:tc>
          <w:tcPr>
            <w:tcW w:w="1278" w:type="dxa"/>
            <w:shd w:val="clear" w:color="auto" w:fill="FBD4B4"/>
          </w:tcPr>
          <w:p w:rsidR="007C5447" w:rsidRDefault="00F6308C">
            <w:pPr>
              <w:pStyle w:val="TableParagraph"/>
              <w:spacing w:before="14" w:line="230" w:lineRule="atLeast"/>
              <w:ind w:left="381" w:right="278" w:hanging="78"/>
              <w:jc w:val="left"/>
              <w:rPr>
                <w:b/>
                <w:sz w:val="20"/>
              </w:rPr>
            </w:pPr>
            <w:r>
              <w:rPr>
                <w:b/>
                <w:sz w:val="20"/>
              </w:rPr>
              <w:t>Revised</w:t>
            </w:r>
            <w:r>
              <w:rPr>
                <w:b/>
                <w:w w:val="99"/>
                <w:sz w:val="20"/>
              </w:rPr>
              <w:t xml:space="preserve"> </w:t>
            </w:r>
            <w:r>
              <w:rPr>
                <w:b/>
                <w:sz w:val="20"/>
              </w:rPr>
              <w:t>Tariff</w:t>
            </w:r>
          </w:p>
        </w:tc>
        <w:tc>
          <w:tcPr>
            <w:tcW w:w="5695" w:type="dxa"/>
            <w:gridSpan w:val="5"/>
            <w:shd w:val="clear" w:color="auto" w:fill="FBD4B4"/>
          </w:tcPr>
          <w:p w:rsidR="007C5447" w:rsidRDefault="00F6308C">
            <w:pPr>
              <w:pStyle w:val="TableParagraph"/>
              <w:spacing w:before="14"/>
              <w:ind w:left="1808"/>
              <w:jc w:val="left"/>
              <w:rPr>
                <w:b/>
                <w:sz w:val="20"/>
              </w:rPr>
            </w:pPr>
            <w:r>
              <w:rPr>
                <w:b/>
                <w:sz w:val="20"/>
              </w:rPr>
              <w:t>Intermediate Milestones</w:t>
            </w:r>
          </w:p>
        </w:tc>
      </w:tr>
      <w:tr w:rsidR="007C5447">
        <w:trPr>
          <w:trHeight w:val="491"/>
        </w:trPr>
        <w:tc>
          <w:tcPr>
            <w:tcW w:w="2122" w:type="dxa"/>
            <w:vMerge/>
            <w:tcBorders>
              <w:top w:val="nil"/>
            </w:tcBorders>
            <w:shd w:val="clear" w:color="auto" w:fill="FBD4B4"/>
          </w:tcPr>
          <w:p w:rsidR="007C5447" w:rsidRDefault="007C5447">
            <w:pPr>
              <w:rPr>
                <w:sz w:val="2"/>
                <w:szCs w:val="2"/>
              </w:rPr>
            </w:pPr>
          </w:p>
        </w:tc>
        <w:tc>
          <w:tcPr>
            <w:tcW w:w="1278" w:type="dxa"/>
            <w:shd w:val="clear" w:color="auto" w:fill="FBD4B4"/>
          </w:tcPr>
          <w:p w:rsidR="007C5447" w:rsidRDefault="00F6308C">
            <w:pPr>
              <w:pStyle w:val="TableParagraph"/>
              <w:spacing w:before="130"/>
              <w:ind w:right="133"/>
              <w:rPr>
                <w:b/>
                <w:sz w:val="20"/>
              </w:rPr>
            </w:pPr>
            <w:r>
              <w:rPr>
                <w:b/>
                <w:sz w:val="20"/>
              </w:rPr>
              <w:t>FY 2017-18</w:t>
            </w:r>
          </w:p>
        </w:tc>
        <w:tc>
          <w:tcPr>
            <w:tcW w:w="1138" w:type="dxa"/>
            <w:shd w:val="clear" w:color="auto" w:fill="FBD4B4"/>
          </w:tcPr>
          <w:p w:rsidR="007C5447" w:rsidRDefault="00F6308C">
            <w:pPr>
              <w:pStyle w:val="TableParagraph"/>
              <w:spacing w:before="17" w:line="229" w:lineRule="exact"/>
              <w:ind w:left="156" w:right="148"/>
              <w:jc w:val="center"/>
              <w:rPr>
                <w:b/>
                <w:sz w:val="20"/>
              </w:rPr>
            </w:pPr>
            <w:r>
              <w:rPr>
                <w:b/>
                <w:sz w:val="20"/>
              </w:rPr>
              <w:t>FY 2019-</w:t>
            </w:r>
          </w:p>
          <w:p w:rsidR="007C5447" w:rsidRDefault="00F6308C">
            <w:pPr>
              <w:pStyle w:val="TableParagraph"/>
              <w:spacing w:line="226" w:lineRule="exact"/>
              <w:ind w:left="156" w:right="145"/>
              <w:jc w:val="center"/>
              <w:rPr>
                <w:b/>
                <w:sz w:val="20"/>
              </w:rPr>
            </w:pPr>
            <w:r>
              <w:rPr>
                <w:b/>
                <w:sz w:val="20"/>
              </w:rPr>
              <w:t>20</w:t>
            </w:r>
          </w:p>
        </w:tc>
        <w:tc>
          <w:tcPr>
            <w:tcW w:w="1160" w:type="dxa"/>
            <w:shd w:val="clear" w:color="auto" w:fill="FBD4B4"/>
          </w:tcPr>
          <w:p w:rsidR="007C5447" w:rsidRDefault="00F6308C">
            <w:pPr>
              <w:pStyle w:val="TableParagraph"/>
              <w:spacing w:before="17" w:line="229" w:lineRule="exact"/>
              <w:ind w:left="165" w:right="160"/>
              <w:jc w:val="center"/>
              <w:rPr>
                <w:b/>
                <w:sz w:val="20"/>
              </w:rPr>
            </w:pPr>
            <w:r>
              <w:rPr>
                <w:b/>
                <w:sz w:val="20"/>
              </w:rPr>
              <w:t>FY 2021-</w:t>
            </w:r>
          </w:p>
          <w:p w:rsidR="007C5447" w:rsidRDefault="00F6308C">
            <w:pPr>
              <w:pStyle w:val="TableParagraph"/>
              <w:spacing w:line="226" w:lineRule="exact"/>
              <w:ind w:left="165" w:right="156"/>
              <w:jc w:val="center"/>
              <w:rPr>
                <w:b/>
                <w:sz w:val="20"/>
              </w:rPr>
            </w:pPr>
            <w:r>
              <w:rPr>
                <w:b/>
                <w:sz w:val="20"/>
              </w:rPr>
              <w:t>22</w:t>
            </w:r>
          </w:p>
        </w:tc>
        <w:tc>
          <w:tcPr>
            <w:tcW w:w="1157" w:type="dxa"/>
            <w:shd w:val="clear" w:color="auto" w:fill="FBD4B4"/>
          </w:tcPr>
          <w:p w:rsidR="007C5447" w:rsidRDefault="00F6308C">
            <w:pPr>
              <w:pStyle w:val="TableParagraph"/>
              <w:spacing w:before="17" w:line="229" w:lineRule="exact"/>
              <w:ind w:left="165" w:right="158"/>
              <w:jc w:val="center"/>
              <w:rPr>
                <w:b/>
                <w:sz w:val="20"/>
              </w:rPr>
            </w:pPr>
            <w:r>
              <w:rPr>
                <w:b/>
                <w:sz w:val="20"/>
              </w:rPr>
              <w:t>FY 2023-</w:t>
            </w:r>
          </w:p>
          <w:p w:rsidR="007C5447" w:rsidRDefault="00F6308C">
            <w:pPr>
              <w:pStyle w:val="TableParagraph"/>
              <w:spacing w:line="226" w:lineRule="exact"/>
              <w:ind w:left="165" w:right="155"/>
              <w:jc w:val="center"/>
              <w:rPr>
                <w:b/>
                <w:sz w:val="20"/>
              </w:rPr>
            </w:pPr>
            <w:r>
              <w:rPr>
                <w:b/>
                <w:sz w:val="20"/>
              </w:rPr>
              <w:t>24</w:t>
            </w:r>
          </w:p>
        </w:tc>
        <w:tc>
          <w:tcPr>
            <w:tcW w:w="1160" w:type="dxa"/>
            <w:shd w:val="clear" w:color="auto" w:fill="FBD4B4"/>
          </w:tcPr>
          <w:p w:rsidR="007C5447" w:rsidRDefault="00F6308C">
            <w:pPr>
              <w:pStyle w:val="TableParagraph"/>
              <w:spacing w:before="17" w:line="229" w:lineRule="exact"/>
              <w:ind w:left="164" w:right="160"/>
              <w:jc w:val="center"/>
              <w:rPr>
                <w:b/>
                <w:sz w:val="20"/>
              </w:rPr>
            </w:pPr>
            <w:r>
              <w:rPr>
                <w:b/>
                <w:sz w:val="20"/>
              </w:rPr>
              <w:t>FY 2025-</w:t>
            </w:r>
          </w:p>
          <w:p w:rsidR="007C5447" w:rsidRDefault="00F6308C">
            <w:pPr>
              <w:pStyle w:val="TableParagraph"/>
              <w:spacing w:line="226" w:lineRule="exact"/>
              <w:ind w:left="165" w:right="158"/>
              <w:jc w:val="center"/>
              <w:rPr>
                <w:b/>
                <w:sz w:val="20"/>
              </w:rPr>
            </w:pPr>
            <w:r>
              <w:rPr>
                <w:b/>
                <w:sz w:val="20"/>
              </w:rPr>
              <w:t>26</w:t>
            </w:r>
          </w:p>
        </w:tc>
        <w:tc>
          <w:tcPr>
            <w:tcW w:w="1080" w:type="dxa"/>
            <w:shd w:val="clear" w:color="auto" w:fill="FBD4B4"/>
          </w:tcPr>
          <w:p w:rsidR="007C5447" w:rsidRDefault="00F6308C">
            <w:pPr>
              <w:pStyle w:val="TableParagraph"/>
              <w:spacing w:before="17" w:line="229" w:lineRule="exact"/>
              <w:ind w:left="126" w:right="120"/>
              <w:jc w:val="center"/>
              <w:rPr>
                <w:b/>
                <w:sz w:val="20"/>
              </w:rPr>
            </w:pPr>
            <w:r>
              <w:rPr>
                <w:b/>
                <w:sz w:val="20"/>
              </w:rPr>
              <w:t>FY 2027-</w:t>
            </w:r>
          </w:p>
          <w:p w:rsidR="007C5447" w:rsidRDefault="00F6308C">
            <w:pPr>
              <w:pStyle w:val="TableParagraph"/>
              <w:spacing w:line="226" w:lineRule="exact"/>
              <w:ind w:left="125" w:right="120"/>
              <w:jc w:val="center"/>
              <w:rPr>
                <w:b/>
                <w:sz w:val="20"/>
              </w:rPr>
            </w:pPr>
            <w:r>
              <w:rPr>
                <w:b/>
                <w:sz w:val="20"/>
              </w:rPr>
              <w:t>28</w:t>
            </w:r>
          </w:p>
        </w:tc>
      </w:tr>
      <w:tr w:rsidR="007C5447">
        <w:trPr>
          <w:trHeight w:val="359"/>
        </w:trPr>
        <w:tc>
          <w:tcPr>
            <w:tcW w:w="2122" w:type="dxa"/>
          </w:tcPr>
          <w:p w:rsidR="007C5447" w:rsidRDefault="00F6308C">
            <w:pPr>
              <w:pStyle w:val="TableParagraph"/>
              <w:spacing w:before="65"/>
              <w:ind w:left="107"/>
              <w:jc w:val="left"/>
              <w:rPr>
                <w:sz w:val="20"/>
              </w:rPr>
            </w:pPr>
            <w:r>
              <w:rPr>
                <w:sz w:val="20"/>
              </w:rPr>
              <w:t>Industries</w:t>
            </w:r>
          </w:p>
        </w:tc>
        <w:tc>
          <w:tcPr>
            <w:tcW w:w="1278" w:type="dxa"/>
          </w:tcPr>
          <w:p w:rsidR="007C5447" w:rsidRDefault="00F6308C">
            <w:pPr>
              <w:pStyle w:val="TableParagraph"/>
              <w:spacing w:before="65"/>
              <w:ind w:right="93"/>
              <w:rPr>
                <w:sz w:val="20"/>
              </w:rPr>
            </w:pPr>
            <w:r>
              <w:rPr>
                <w:sz w:val="20"/>
              </w:rPr>
              <w:t>116%</w:t>
            </w:r>
          </w:p>
        </w:tc>
        <w:tc>
          <w:tcPr>
            <w:tcW w:w="1138" w:type="dxa"/>
          </w:tcPr>
          <w:p w:rsidR="007C5447" w:rsidRDefault="00F6308C">
            <w:pPr>
              <w:pStyle w:val="TableParagraph"/>
              <w:spacing w:before="65"/>
              <w:ind w:right="91"/>
              <w:rPr>
                <w:sz w:val="20"/>
              </w:rPr>
            </w:pPr>
            <w:r>
              <w:rPr>
                <w:sz w:val="20"/>
              </w:rPr>
              <w:t>113%</w:t>
            </w:r>
          </w:p>
        </w:tc>
        <w:tc>
          <w:tcPr>
            <w:tcW w:w="1160" w:type="dxa"/>
          </w:tcPr>
          <w:p w:rsidR="007C5447" w:rsidRDefault="00F6308C">
            <w:pPr>
              <w:pStyle w:val="TableParagraph"/>
              <w:spacing w:before="65"/>
              <w:ind w:right="94"/>
              <w:rPr>
                <w:sz w:val="20"/>
              </w:rPr>
            </w:pPr>
            <w:r>
              <w:rPr>
                <w:sz w:val="20"/>
              </w:rPr>
              <w:t>112%</w:t>
            </w:r>
          </w:p>
        </w:tc>
        <w:tc>
          <w:tcPr>
            <w:tcW w:w="1157" w:type="dxa"/>
          </w:tcPr>
          <w:p w:rsidR="007C5447" w:rsidRDefault="00F6308C">
            <w:pPr>
              <w:pStyle w:val="TableParagraph"/>
              <w:spacing w:before="65"/>
              <w:ind w:right="91"/>
              <w:rPr>
                <w:sz w:val="20"/>
              </w:rPr>
            </w:pPr>
            <w:r>
              <w:rPr>
                <w:sz w:val="20"/>
              </w:rPr>
              <w:t>111%</w:t>
            </w:r>
          </w:p>
        </w:tc>
        <w:tc>
          <w:tcPr>
            <w:tcW w:w="1160" w:type="dxa"/>
          </w:tcPr>
          <w:p w:rsidR="007C5447" w:rsidRDefault="00F6308C">
            <w:pPr>
              <w:pStyle w:val="TableParagraph"/>
              <w:spacing w:before="65"/>
              <w:ind w:right="95"/>
              <w:rPr>
                <w:sz w:val="20"/>
              </w:rPr>
            </w:pPr>
            <w:r>
              <w:rPr>
                <w:sz w:val="20"/>
              </w:rPr>
              <w:t>110%</w:t>
            </w:r>
          </w:p>
        </w:tc>
        <w:tc>
          <w:tcPr>
            <w:tcW w:w="1080" w:type="dxa"/>
          </w:tcPr>
          <w:p w:rsidR="007C5447" w:rsidRDefault="007C5447">
            <w:pPr>
              <w:pStyle w:val="TableParagraph"/>
              <w:jc w:val="left"/>
            </w:pPr>
          </w:p>
        </w:tc>
      </w:tr>
      <w:tr w:rsidR="007C5447">
        <w:trPr>
          <w:trHeight w:val="489"/>
        </w:trPr>
        <w:tc>
          <w:tcPr>
            <w:tcW w:w="2122" w:type="dxa"/>
          </w:tcPr>
          <w:p w:rsidR="007C5447" w:rsidRDefault="00F6308C">
            <w:pPr>
              <w:pStyle w:val="TableParagraph"/>
              <w:spacing w:before="14" w:line="230" w:lineRule="atLeast"/>
              <w:ind w:left="107" w:right="152"/>
              <w:jc w:val="left"/>
              <w:rPr>
                <w:sz w:val="20"/>
              </w:rPr>
            </w:pPr>
            <w:r>
              <w:rPr>
                <w:sz w:val="20"/>
              </w:rPr>
              <w:t>Agriculture &amp; Government seed farm</w:t>
            </w:r>
          </w:p>
        </w:tc>
        <w:tc>
          <w:tcPr>
            <w:tcW w:w="1278" w:type="dxa"/>
          </w:tcPr>
          <w:p w:rsidR="007C5447" w:rsidRDefault="00F6308C">
            <w:pPr>
              <w:pStyle w:val="TableParagraph"/>
              <w:spacing w:before="130"/>
              <w:ind w:right="95"/>
              <w:rPr>
                <w:sz w:val="20"/>
              </w:rPr>
            </w:pPr>
            <w:r>
              <w:rPr>
                <w:sz w:val="20"/>
              </w:rPr>
              <w:t>49%</w:t>
            </w:r>
          </w:p>
        </w:tc>
        <w:tc>
          <w:tcPr>
            <w:tcW w:w="1138" w:type="dxa"/>
          </w:tcPr>
          <w:p w:rsidR="007C5447" w:rsidRDefault="00F6308C">
            <w:pPr>
              <w:pStyle w:val="TableParagraph"/>
              <w:spacing w:before="130"/>
              <w:ind w:right="93"/>
              <w:rPr>
                <w:sz w:val="20"/>
              </w:rPr>
            </w:pPr>
            <w:r>
              <w:rPr>
                <w:sz w:val="20"/>
              </w:rPr>
              <w:t>50%</w:t>
            </w:r>
          </w:p>
        </w:tc>
        <w:tc>
          <w:tcPr>
            <w:tcW w:w="1160" w:type="dxa"/>
          </w:tcPr>
          <w:p w:rsidR="007C5447" w:rsidRDefault="00F6308C">
            <w:pPr>
              <w:pStyle w:val="TableParagraph"/>
              <w:spacing w:before="130"/>
              <w:ind w:right="96"/>
              <w:rPr>
                <w:sz w:val="20"/>
              </w:rPr>
            </w:pPr>
            <w:r>
              <w:rPr>
                <w:sz w:val="20"/>
              </w:rPr>
              <w:t>55%</w:t>
            </w:r>
          </w:p>
        </w:tc>
        <w:tc>
          <w:tcPr>
            <w:tcW w:w="1157" w:type="dxa"/>
          </w:tcPr>
          <w:p w:rsidR="007C5447" w:rsidRDefault="00F6308C">
            <w:pPr>
              <w:pStyle w:val="TableParagraph"/>
              <w:spacing w:before="130"/>
              <w:ind w:right="94"/>
              <w:rPr>
                <w:sz w:val="20"/>
              </w:rPr>
            </w:pPr>
            <w:r>
              <w:rPr>
                <w:sz w:val="20"/>
              </w:rPr>
              <w:t>60%</w:t>
            </w:r>
          </w:p>
        </w:tc>
        <w:tc>
          <w:tcPr>
            <w:tcW w:w="1160" w:type="dxa"/>
          </w:tcPr>
          <w:p w:rsidR="007C5447" w:rsidRDefault="00F6308C">
            <w:pPr>
              <w:pStyle w:val="TableParagraph"/>
              <w:spacing w:before="130"/>
              <w:ind w:right="96"/>
              <w:rPr>
                <w:sz w:val="20"/>
              </w:rPr>
            </w:pPr>
            <w:r>
              <w:rPr>
                <w:sz w:val="20"/>
              </w:rPr>
              <w:t>65%</w:t>
            </w:r>
          </w:p>
        </w:tc>
        <w:tc>
          <w:tcPr>
            <w:tcW w:w="1080" w:type="dxa"/>
          </w:tcPr>
          <w:p w:rsidR="007C5447" w:rsidRDefault="00F6308C">
            <w:pPr>
              <w:pStyle w:val="TableParagraph"/>
              <w:spacing w:before="130"/>
              <w:ind w:right="96"/>
              <w:rPr>
                <w:sz w:val="20"/>
              </w:rPr>
            </w:pPr>
            <w:r>
              <w:rPr>
                <w:sz w:val="20"/>
              </w:rPr>
              <w:t>70%</w:t>
            </w:r>
          </w:p>
        </w:tc>
      </w:tr>
      <w:tr w:rsidR="007C5447">
        <w:trPr>
          <w:trHeight w:val="359"/>
        </w:trPr>
        <w:tc>
          <w:tcPr>
            <w:tcW w:w="2122" w:type="dxa"/>
          </w:tcPr>
          <w:p w:rsidR="007C5447" w:rsidRDefault="00F6308C">
            <w:pPr>
              <w:pStyle w:val="TableParagraph"/>
              <w:spacing w:before="65"/>
              <w:ind w:left="107"/>
              <w:jc w:val="left"/>
              <w:rPr>
                <w:sz w:val="20"/>
              </w:rPr>
            </w:pPr>
            <w:r>
              <w:rPr>
                <w:sz w:val="20"/>
              </w:rPr>
              <w:t>Commercial and Other</w:t>
            </w:r>
          </w:p>
        </w:tc>
        <w:tc>
          <w:tcPr>
            <w:tcW w:w="1278" w:type="dxa"/>
          </w:tcPr>
          <w:p w:rsidR="007C5447" w:rsidRDefault="00F6308C">
            <w:pPr>
              <w:pStyle w:val="TableParagraph"/>
              <w:spacing w:before="65"/>
              <w:ind w:right="93"/>
              <w:rPr>
                <w:sz w:val="20"/>
              </w:rPr>
            </w:pPr>
            <w:r>
              <w:rPr>
                <w:sz w:val="20"/>
              </w:rPr>
              <w:t>150%</w:t>
            </w:r>
          </w:p>
        </w:tc>
        <w:tc>
          <w:tcPr>
            <w:tcW w:w="1138" w:type="dxa"/>
          </w:tcPr>
          <w:p w:rsidR="007C5447" w:rsidRDefault="00F6308C">
            <w:pPr>
              <w:pStyle w:val="TableParagraph"/>
              <w:spacing w:before="65"/>
              <w:ind w:right="91"/>
              <w:rPr>
                <w:sz w:val="20"/>
              </w:rPr>
            </w:pPr>
            <w:r>
              <w:rPr>
                <w:sz w:val="20"/>
              </w:rPr>
              <w:t>143%</w:t>
            </w:r>
          </w:p>
        </w:tc>
        <w:tc>
          <w:tcPr>
            <w:tcW w:w="1160" w:type="dxa"/>
          </w:tcPr>
          <w:p w:rsidR="007C5447" w:rsidRDefault="00F6308C">
            <w:pPr>
              <w:pStyle w:val="TableParagraph"/>
              <w:spacing w:before="65"/>
              <w:ind w:right="94"/>
              <w:rPr>
                <w:sz w:val="20"/>
              </w:rPr>
            </w:pPr>
            <w:r>
              <w:rPr>
                <w:sz w:val="20"/>
              </w:rPr>
              <w:t>140%</w:t>
            </w:r>
          </w:p>
        </w:tc>
        <w:tc>
          <w:tcPr>
            <w:tcW w:w="1157" w:type="dxa"/>
          </w:tcPr>
          <w:p w:rsidR="007C5447" w:rsidRDefault="00F6308C">
            <w:pPr>
              <w:pStyle w:val="TableParagraph"/>
              <w:spacing w:before="65"/>
              <w:ind w:right="91"/>
              <w:rPr>
                <w:sz w:val="20"/>
              </w:rPr>
            </w:pPr>
            <w:r>
              <w:rPr>
                <w:sz w:val="20"/>
              </w:rPr>
              <w:t>137%</w:t>
            </w:r>
          </w:p>
        </w:tc>
        <w:tc>
          <w:tcPr>
            <w:tcW w:w="1160" w:type="dxa"/>
          </w:tcPr>
          <w:p w:rsidR="007C5447" w:rsidRDefault="00F6308C">
            <w:pPr>
              <w:pStyle w:val="TableParagraph"/>
              <w:spacing w:before="65"/>
              <w:ind w:right="95"/>
              <w:rPr>
                <w:sz w:val="20"/>
              </w:rPr>
            </w:pPr>
            <w:r>
              <w:rPr>
                <w:sz w:val="20"/>
              </w:rPr>
              <w:t>134%</w:t>
            </w:r>
          </w:p>
        </w:tc>
        <w:tc>
          <w:tcPr>
            <w:tcW w:w="1080" w:type="dxa"/>
          </w:tcPr>
          <w:p w:rsidR="007C5447" w:rsidRDefault="00F6308C">
            <w:pPr>
              <w:pStyle w:val="TableParagraph"/>
              <w:spacing w:before="65"/>
              <w:ind w:right="94"/>
              <w:rPr>
                <w:sz w:val="20"/>
              </w:rPr>
            </w:pPr>
            <w:r>
              <w:rPr>
                <w:sz w:val="20"/>
              </w:rPr>
              <w:t>130%</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6"/>
        <w:rPr>
          <w:b/>
          <w:sz w:val="22"/>
        </w:rPr>
      </w:pPr>
    </w:p>
    <w:p w:rsidR="007C5447" w:rsidRDefault="00F6308C">
      <w:pPr>
        <w:pStyle w:val="ListParagraph"/>
        <w:numPr>
          <w:ilvl w:val="2"/>
          <w:numId w:val="40"/>
        </w:numPr>
        <w:tabs>
          <w:tab w:val="left" w:pos="1113"/>
        </w:tabs>
        <w:spacing w:line="312" w:lineRule="auto"/>
        <w:ind w:left="1112" w:right="871"/>
        <w:jc w:val="both"/>
        <w:rPr>
          <w:sz w:val="24"/>
        </w:rPr>
      </w:pPr>
      <w:r>
        <w:rPr>
          <w:sz w:val="24"/>
        </w:rPr>
        <w:t xml:space="preserve">It needs to be noted that the above approved trajectory for reduction of cross-subsidy is subject to certain variables like overall sales, sales mix, cost structure, ACOS, etc. The Commission will endeavour to ensure that the above approved trajectory for </w:t>
      </w:r>
      <w:r>
        <w:rPr>
          <w:sz w:val="24"/>
        </w:rPr>
        <w:t>reduction of cross-subsidy is adhered to the extent possible, subject to the above constraints, as no consumer category can be subject to a tariff shock, on account of reduction of</w:t>
      </w:r>
      <w:r>
        <w:rPr>
          <w:spacing w:val="-2"/>
          <w:sz w:val="24"/>
        </w:rPr>
        <w:t xml:space="preserve"> </w:t>
      </w:r>
      <w:r>
        <w:rPr>
          <w:sz w:val="24"/>
        </w:rPr>
        <w:t>cross-subsidy.</w:t>
      </w:r>
    </w:p>
    <w:p w:rsidR="007C5447" w:rsidRDefault="007C5447">
      <w:pPr>
        <w:pStyle w:val="BodyText"/>
        <w:rPr>
          <w:sz w:val="26"/>
        </w:rPr>
      </w:pPr>
    </w:p>
    <w:p w:rsidR="007C5447" w:rsidRDefault="007C5447">
      <w:pPr>
        <w:pStyle w:val="BodyText"/>
        <w:rPr>
          <w:sz w:val="26"/>
        </w:rPr>
      </w:pPr>
    </w:p>
    <w:p w:rsidR="007C5447" w:rsidRDefault="007C5447">
      <w:pPr>
        <w:pStyle w:val="BodyText"/>
        <w:spacing w:before="10"/>
        <w:rPr>
          <w:sz w:val="20"/>
        </w:rPr>
      </w:pPr>
    </w:p>
    <w:p w:rsidR="007C5447" w:rsidRDefault="00F6308C">
      <w:pPr>
        <w:pStyle w:val="Heading2"/>
        <w:numPr>
          <w:ilvl w:val="1"/>
          <w:numId w:val="40"/>
        </w:numPr>
        <w:tabs>
          <w:tab w:val="left" w:pos="826"/>
          <w:tab w:val="left" w:pos="827"/>
        </w:tabs>
        <w:ind w:left="826"/>
        <w:jc w:val="left"/>
      </w:pPr>
      <w:bookmarkStart w:id="84" w:name="_bookmark84"/>
      <w:bookmarkEnd w:id="84"/>
      <w:r>
        <w:t>Wheeling</w:t>
      </w:r>
      <w:r>
        <w:rPr>
          <w:spacing w:val="-1"/>
        </w:rPr>
        <w:t xml:space="preserve"> </w:t>
      </w:r>
      <w:r>
        <w:t>Charges</w:t>
      </w:r>
    </w:p>
    <w:p w:rsidR="007C5447" w:rsidRDefault="007C5447">
      <w:pPr>
        <w:pStyle w:val="BodyText"/>
        <w:spacing w:before="2"/>
        <w:rPr>
          <w:b/>
          <w:sz w:val="28"/>
        </w:rPr>
      </w:pPr>
    </w:p>
    <w:p w:rsidR="007C5447" w:rsidRDefault="00F6308C">
      <w:pPr>
        <w:pStyle w:val="ListParagraph"/>
        <w:numPr>
          <w:ilvl w:val="2"/>
          <w:numId w:val="40"/>
        </w:numPr>
        <w:tabs>
          <w:tab w:val="left" w:pos="1113"/>
        </w:tabs>
        <w:spacing w:line="312" w:lineRule="auto"/>
        <w:ind w:left="1112" w:right="876"/>
        <w:jc w:val="both"/>
        <w:rPr>
          <w:sz w:val="24"/>
        </w:rPr>
      </w:pPr>
      <w:r>
        <w:rPr>
          <w:sz w:val="24"/>
        </w:rPr>
        <w:t>TANGEDCO submitted that it has considered O&amp;M Expenses, Interest on Loan, Depreciation, RoE and Other Debits of Distribution function for calculation of Wheeling</w:t>
      </w:r>
      <w:r>
        <w:rPr>
          <w:spacing w:val="-4"/>
          <w:sz w:val="24"/>
        </w:rPr>
        <w:t xml:space="preserve"> </w:t>
      </w:r>
      <w:r>
        <w:rPr>
          <w:sz w:val="24"/>
        </w:rPr>
        <w:t>Charges.</w:t>
      </w:r>
    </w:p>
    <w:p w:rsidR="007C5447" w:rsidRDefault="007C5447">
      <w:pPr>
        <w:pStyle w:val="BodyText"/>
        <w:spacing w:before="10"/>
        <w:rPr>
          <w:sz w:val="20"/>
        </w:rPr>
      </w:pPr>
    </w:p>
    <w:p w:rsidR="007C5447" w:rsidRDefault="00F6308C">
      <w:pPr>
        <w:pStyle w:val="Heading2"/>
        <w:spacing w:line="312" w:lineRule="auto"/>
        <w:ind w:left="3829" w:right="1271" w:hanging="2444"/>
      </w:pPr>
      <w:r>
        <w:t>Table 5-24: Annual Distribution Charges for FY 2017-18 as submitted by TANGEDCO (Rs. Crore)</w:t>
      </w:r>
    </w:p>
    <w:p w:rsidR="007C5447" w:rsidRDefault="007C5447">
      <w:pPr>
        <w:pStyle w:val="BodyText"/>
        <w:spacing w:before="5" w:after="1"/>
        <w:rPr>
          <w:b/>
          <w:sz w:val="10"/>
        </w:rPr>
      </w:pPr>
    </w:p>
    <w:tbl>
      <w:tblPr>
        <w:tblW w:w="0" w:type="auto"/>
        <w:tblInd w:w="18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6"/>
        <w:gridCol w:w="4244"/>
        <w:gridCol w:w="1133"/>
      </w:tblGrid>
      <w:tr w:rsidR="007C5447">
        <w:trPr>
          <w:trHeight w:val="345"/>
        </w:trPr>
        <w:tc>
          <w:tcPr>
            <w:tcW w:w="456" w:type="dxa"/>
            <w:shd w:val="clear" w:color="auto" w:fill="F7C9AC"/>
          </w:tcPr>
          <w:p w:rsidR="007C5447" w:rsidRDefault="00F6308C">
            <w:pPr>
              <w:pStyle w:val="TableParagraph"/>
              <w:spacing w:before="44"/>
              <w:ind w:left="87" w:right="79"/>
              <w:jc w:val="center"/>
              <w:rPr>
                <w:b/>
              </w:rPr>
            </w:pPr>
            <w:r>
              <w:rPr>
                <w:b/>
              </w:rPr>
              <w:t>Sl.</w:t>
            </w:r>
          </w:p>
        </w:tc>
        <w:tc>
          <w:tcPr>
            <w:tcW w:w="4244" w:type="dxa"/>
            <w:shd w:val="clear" w:color="auto" w:fill="F7C9AC"/>
          </w:tcPr>
          <w:p w:rsidR="007C5447" w:rsidRDefault="00F6308C">
            <w:pPr>
              <w:pStyle w:val="TableParagraph"/>
              <w:spacing w:before="44"/>
              <w:ind w:left="1577" w:right="1566"/>
              <w:jc w:val="center"/>
              <w:rPr>
                <w:b/>
              </w:rPr>
            </w:pPr>
            <w:r>
              <w:rPr>
                <w:b/>
              </w:rPr>
              <w:t>Particulars</w:t>
            </w:r>
          </w:p>
        </w:tc>
        <w:tc>
          <w:tcPr>
            <w:tcW w:w="1133" w:type="dxa"/>
            <w:shd w:val="clear" w:color="auto" w:fill="F7C9AC"/>
          </w:tcPr>
          <w:p w:rsidR="007C5447" w:rsidRDefault="00F6308C">
            <w:pPr>
              <w:pStyle w:val="TableParagraph"/>
              <w:spacing w:before="44"/>
              <w:ind w:right="94"/>
              <w:rPr>
                <w:b/>
              </w:rPr>
            </w:pPr>
            <w:r>
              <w:rPr>
                <w:b/>
              </w:rPr>
              <w:t>Rs. Crore</w:t>
            </w:r>
          </w:p>
        </w:tc>
      </w:tr>
      <w:tr w:rsidR="007C5447">
        <w:trPr>
          <w:trHeight w:val="345"/>
        </w:trPr>
        <w:tc>
          <w:tcPr>
            <w:tcW w:w="456" w:type="dxa"/>
          </w:tcPr>
          <w:p w:rsidR="007C5447" w:rsidRDefault="00F6308C">
            <w:pPr>
              <w:pStyle w:val="TableParagraph"/>
              <w:spacing w:before="44"/>
              <w:ind w:left="9"/>
              <w:jc w:val="center"/>
            </w:pPr>
            <w:r>
              <w:t>1</w:t>
            </w:r>
          </w:p>
        </w:tc>
        <w:tc>
          <w:tcPr>
            <w:tcW w:w="4244" w:type="dxa"/>
          </w:tcPr>
          <w:p w:rsidR="007C5447" w:rsidRDefault="00F6308C">
            <w:pPr>
              <w:pStyle w:val="TableParagraph"/>
              <w:spacing w:before="44"/>
              <w:ind w:left="107"/>
              <w:jc w:val="left"/>
            </w:pPr>
            <w:r>
              <w:t>Net O&amp;M expenses</w:t>
            </w:r>
          </w:p>
        </w:tc>
        <w:tc>
          <w:tcPr>
            <w:tcW w:w="1133" w:type="dxa"/>
          </w:tcPr>
          <w:p w:rsidR="007C5447" w:rsidRDefault="00F6308C">
            <w:pPr>
              <w:pStyle w:val="TableParagraph"/>
              <w:spacing w:before="44"/>
              <w:ind w:right="93"/>
            </w:pPr>
            <w:r>
              <w:t>5,534</w:t>
            </w:r>
          </w:p>
        </w:tc>
      </w:tr>
      <w:tr w:rsidR="007C5447">
        <w:trPr>
          <w:trHeight w:val="345"/>
        </w:trPr>
        <w:tc>
          <w:tcPr>
            <w:tcW w:w="456" w:type="dxa"/>
          </w:tcPr>
          <w:p w:rsidR="007C5447" w:rsidRDefault="00F6308C">
            <w:pPr>
              <w:pStyle w:val="TableParagraph"/>
              <w:spacing w:before="44"/>
              <w:ind w:left="9"/>
              <w:jc w:val="center"/>
            </w:pPr>
            <w:r>
              <w:t>2</w:t>
            </w:r>
          </w:p>
        </w:tc>
        <w:tc>
          <w:tcPr>
            <w:tcW w:w="4244" w:type="dxa"/>
          </w:tcPr>
          <w:p w:rsidR="007C5447" w:rsidRDefault="00F6308C">
            <w:pPr>
              <w:pStyle w:val="TableParagraph"/>
              <w:spacing w:before="44"/>
              <w:ind w:left="107"/>
              <w:jc w:val="left"/>
            </w:pPr>
            <w:r>
              <w:t>Interest on Loan and Finance Charges</w:t>
            </w:r>
          </w:p>
        </w:tc>
        <w:tc>
          <w:tcPr>
            <w:tcW w:w="1133" w:type="dxa"/>
          </w:tcPr>
          <w:p w:rsidR="007C5447" w:rsidRDefault="00F6308C">
            <w:pPr>
              <w:pStyle w:val="TableParagraph"/>
              <w:spacing w:before="44"/>
              <w:ind w:right="93"/>
            </w:pPr>
            <w:r>
              <w:t>3,346</w:t>
            </w:r>
          </w:p>
        </w:tc>
      </w:tr>
      <w:tr w:rsidR="007C5447">
        <w:trPr>
          <w:trHeight w:val="345"/>
        </w:trPr>
        <w:tc>
          <w:tcPr>
            <w:tcW w:w="456" w:type="dxa"/>
          </w:tcPr>
          <w:p w:rsidR="007C5447" w:rsidRDefault="00F6308C">
            <w:pPr>
              <w:pStyle w:val="TableParagraph"/>
              <w:spacing w:before="44"/>
              <w:ind w:left="9"/>
              <w:jc w:val="center"/>
            </w:pPr>
            <w:r>
              <w:t>3</w:t>
            </w:r>
          </w:p>
        </w:tc>
        <w:tc>
          <w:tcPr>
            <w:tcW w:w="4244" w:type="dxa"/>
          </w:tcPr>
          <w:p w:rsidR="007C5447" w:rsidRDefault="00F6308C">
            <w:pPr>
              <w:pStyle w:val="TableParagraph"/>
              <w:spacing w:before="44"/>
              <w:ind w:left="107"/>
              <w:jc w:val="left"/>
            </w:pPr>
            <w:r>
              <w:t>Interest on Working Capital</w:t>
            </w:r>
          </w:p>
        </w:tc>
        <w:tc>
          <w:tcPr>
            <w:tcW w:w="1133" w:type="dxa"/>
          </w:tcPr>
          <w:p w:rsidR="007C5447" w:rsidRDefault="00F6308C">
            <w:pPr>
              <w:pStyle w:val="TableParagraph"/>
              <w:spacing w:before="44"/>
              <w:ind w:right="96"/>
            </w:pPr>
            <w:r>
              <w:t>235</w:t>
            </w:r>
          </w:p>
        </w:tc>
      </w:tr>
      <w:tr w:rsidR="007C5447">
        <w:trPr>
          <w:trHeight w:val="345"/>
        </w:trPr>
        <w:tc>
          <w:tcPr>
            <w:tcW w:w="456" w:type="dxa"/>
          </w:tcPr>
          <w:p w:rsidR="007C5447" w:rsidRDefault="00F6308C">
            <w:pPr>
              <w:pStyle w:val="TableParagraph"/>
              <w:spacing w:before="44"/>
              <w:ind w:left="9"/>
              <w:jc w:val="center"/>
            </w:pPr>
            <w:r>
              <w:t>4</w:t>
            </w:r>
          </w:p>
        </w:tc>
        <w:tc>
          <w:tcPr>
            <w:tcW w:w="4244" w:type="dxa"/>
          </w:tcPr>
          <w:p w:rsidR="007C5447" w:rsidRDefault="00F6308C">
            <w:pPr>
              <w:pStyle w:val="TableParagraph"/>
              <w:spacing w:before="44"/>
              <w:ind w:left="107"/>
              <w:jc w:val="left"/>
            </w:pPr>
            <w:r>
              <w:t>Depreciation</w:t>
            </w:r>
          </w:p>
        </w:tc>
        <w:tc>
          <w:tcPr>
            <w:tcW w:w="1133" w:type="dxa"/>
          </w:tcPr>
          <w:p w:rsidR="007C5447" w:rsidRDefault="00F6308C">
            <w:pPr>
              <w:pStyle w:val="TableParagraph"/>
              <w:spacing w:before="44"/>
              <w:ind w:right="96"/>
            </w:pPr>
            <w:r>
              <w:t>484</w:t>
            </w:r>
          </w:p>
        </w:tc>
      </w:tr>
      <w:tr w:rsidR="007C5447">
        <w:trPr>
          <w:trHeight w:val="345"/>
        </w:trPr>
        <w:tc>
          <w:tcPr>
            <w:tcW w:w="456" w:type="dxa"/>
          </w:tcPr>
          <w:p w:rsidR="007C5447" w:rsidRDefault="00F6308C">
            <w:pPr>
              <w:pStyle w:val="TableParagraph"/>
              <w:spacing w:before="44"/>
              <w:ind w:left="9"/>
              <w:jc w:val="center"/>
            </w:pPr>
            <w:r>
              <w:t>5</w:t>
            </w:r>
          </w:p>
        </w:tc>
        <w:tc>
          <w:tcPr>
            <w:tcW w:w="4244" w:type="dxa"/>
          </w:tcPr>
          <w:p w:rsidR="007C5447" w:rsidRDefault="00F6308C">
            <w:pPr>
              <w:pStyle w:val="TableParagraph"/>
              <w:spacing w:before="44"/>
              <w:ind w:left="107"/>
              <w:jc w:val="left"/>
            </w:pPr>
            <w:r>
              <w:t>Return on Equity</w:t>
            </w:r>
          </w:p>
        </w:tc>
        <w:tc>
          <w:tcPr>
            <w:tcW w:w="1133" w:type="dxa"/>
          </w:tcPr>
          <w:p w:rsidR="007C5447" w:rsidRDefault="00F6308C">
            <w:pPr>
              <w:pStyle w:val="TableParagraph"/>
              <w:spacing w:before="44"/>
              <w:ind w:right="96"/>
            </w:pPr>
            <w:r>
              <w:t>610</w:t>
            </w:r>
          </w:p>
        </w:tc>
      </w:tr>
      <w:tr w:rsidR="007C5447">
        <w:trPr>
          <w:trHeight w:val="345"/>
        </w:trPr>
        <w:tc>
          <w:tcPr>
            <w:tcW w:w="456" w:type="dxa"/>
          </w:tcPr>
          <w:p w:rsidR="007C5447" w:rsidRDefault="00F6308C">
            <w:pPr>
              <w:pStyle w:val="TableParagraph"/>
              <w:spacing w:before="44"/>
              <w:ind w:left="9"/>
              <w:jc w:val="center"/>
            </w:pPr>
            <w:r>
              <w:t>6</w:t>
            </w:r>
          </w:p>
        </w:tc>
        <w:tc>
          <w:tcPr>
            <w:tcW w:w="4244" w:type="dxa"/>
          </w:tcPr>
          <w:p w:rsidR="007C5447" w:rsidRDefault="00F6308C">
            <w:pPr>
              <w:pStyle w:val="TableParagraph"/>
              <w:spacing w:before="44"/>
              <w:ind w:left="107"/>
              <w:jc w:val="left"/>
            </w:pPr>
            <w:r>
              <w:t>Other Debits</w:t>
            </w:r>
          </w:p>
        </w:tc>
        <w:tc>
          <w:tcPr>
            <w:tcW w:w="1133" w:type="dxa"/>
          </w:tcPr>
          <w:p w:rsidR="007C5447" w:rsidRDefault="00F6308C">
            <w:pPr>
              <w:pStyle w:val="TableParagraph"/>
              <w:spacing w:before="44"/>
              <w:ind w:right="96"/>
            </w:pPr>
            <w:r>
              <w:t>13</w:t>
            </w:r>
          </w:p>
        </w:tc>
      </w:tr>
      <w:tr w:rsidR="007C5447">
        <w:trPr>
          <w:trHeight w:val="342"/>
        </w:trPr>
        <w:tc>
          <w:tcPr>
            <w:tcW w:w="456" w:type="dxa"/>
          </w:tcPr>
          <w:p w:rsidR="007C5447" w:rsidRDefault="00F6308C">
            <w:pPr>
              <w:pStyle w:val="TableParagraph"/>
              <w:spacing w:before="44"/>
              <w:ind w:left="9"/>
              <w:jc w:val="center"/>
            </w:pPr>
            <w:r>
              <w:t>7</w:t>
            </w:r>
          </w:p>
        </w:tc>
        <w:tc>
          <w:tcPr>
            <w:tcW w:w="4244" w:type="dxa"/>
          </w:tcPr>
          <w:p w:rsidR="007C5447" w:rsidRDefault="00F6308C">
            <w:pPr>
              <w:pStyle w:val="TableParagraph"/>
              <w:spacing w:before="44"/>
              <w:ind w:left="107"/>
              <w:jc w:val="left"/>
            </w:pPr>
            <w:r>
              <w:t>Annual Wheeling Charges</w:t>
            </w:r>
          </w:p>
        </w:tc>
        <w:tc>
          <w:tcPr>
            <w:tcW w:w="1133" w:type="dxa"/>
          </w:tcPr>
          <w:p w:rsidR="007C5447" w:rsidRDefault="00F6308C">
            <w:pPr>
              <w:pStyle w:val="TableParagraph"/>
              <w:spacing w:before="44"/>
              <w:ind w:right="93"/>
            </w:pPr>
            <w:r>
              <w:t>10,222</w:t>
            </w:r>
          </w:p>
        </w:tc>
      </w:tr>
      <w:tr w:rsidR="007C5447">
        <w:trPr>
          <w:trHeight w:val="345"/>
        </w:trPr>
        <w:tc>
          <w:tcPr>
            <w:tcW w:w="456" w:type="dxa"/>
          </w:tcPr>
          <w:p w:rsidR="007C5447" w:rsidRDefault="00F6308C">
            <w:pPr>
              <w:pStyle w:val="TableParagraph"/>
              <w:spacing w:before="46"/>
              <w:ind w:left="9"/>
              <w:jc w:val="center"/>
            </w:pPr>
            <w:r>
              <w:t>8</w:t>
            </w:r>
          </w:p>
        </w:tc>
        <w:tc>
          <w:tcPr>
            <w:tcW w:w="4244" w:type="dxa"/>
          </w:tcPr>
          <w:p w:rsidR="007C5447" w:rsidRDefault="00F6308C">
            <w:pPr>
              <w:pStyle w:val="TableParagraph"/>
              <w:spacing w:before="46"/>
              <w:ind w:left="107"/>
              <w:jc w:val="left"/>
            </w:pPr>
            <w:r>
              <w:t>Less: Interest on Consumer Security Deposits</w:t>
            </w:r>
          </w:p>
        </w:tc>
        <w:tc>
          <w:tcPr>
            <w:tcW w:w="1133" w:type="dxa"/>
          </w:tcPr>
          <w:p w:rsidR="007C5447" w:rsidRDefault="00F6308C">
            <w:pPr>
              <w:pStyle w:val="TableParagraph"/>
              <w:spacing w:before="46"/>
              <w:ind w:right="96"/>
            </w:pPr>
            <w:r>
              <w:t>542</w:t>
            </w:r>
          </w:p>
        </w:tc>
      </w:tr>
      <w:tr w:rsidR="007C5447">
        <w:trPr>
          <w:trHeight w:val="345"/>
        </w:trPr>
        <w:tc>
          <w:tcPr>
            <w:tcW w:w="456" w:type="dxa"/>
          </w:tcPr>
          <w:p w:rsidR="007C5447" w:rsidRDefault="00F6308C">
            <w:pPr>
              <w:pStyle w:val="TableParagraph"/>
              <w:spacing w:before="46"/>
              <w:ind w:left="9"/>
              <w:jc w:val="center"/>
            </w:pPr>
            <w:r>
              <w:t>9</w:t>
            </w:r>
          </w:p>
        </w:tc>
        <w:tc>
          <w:tcPr>
            <w:tcW w:w="4244" w:type="dxa"/>
          </w:tcPr>
          <w:p w:rsidR="007C5447" w:rsidRDefault="00F6308C">
            <w:pPr>
              <w:pStyle w:val="TableParagraph"/>
              <w:spacing w:before="46"/>
              <w:ind w:left="107"/>
              <w:jc w:val="left"/>
              <w:rPr>
                <w:b/>
              </w:rPr>
            </w:pPr>
            <w:r>
              <w:rPr>
                <w:b/>
              </w:rPr>
              <w:t>Net Annual Distribution Charges</w:t>
            </w:r>
          </w:p>
        </w:tc>
        <w:tc>
          <w:tcPr>
            <w:tcW w:w="1133" w:type="dxa"/>
          </w:tcPr>
          <w:p w:rsidR="007C5447" w:rsidRDefault="00F6308C">
            <w:pPr>
              <w:pStyle w:val="TableParagraph"/>
              <w:spacing w:before="46"/>
              <w:ind w:right="93"/>
              <w:rPr>
                <w:b/>
              </w:rPr>
            </w:pPr>
            <w:r>
              <w:rPr>
                <w:b/>
              </w:rPr>
              <w:t>9,680</w:t>
            </w:r>
          </w:p>
        </w:tc>
      </w:tr>
    </w:tbl>
    <w:p w:rsidR="007C5447" w:rsidRDefault="007C5447">
      <w:pPr>
        <w:pStyle w:val="BodyText"/>
        <w:rPr>
          <w:b/>
          <w:sz w:val="26"/>
        </w:rPr>
      </w:pPr>
    </w:p>
    <w:p w:rsidR="007C5447" w:rsidRDefault="007C5447">
      <w:pPr>
        <w:pStyle w:val="BodyText"/>
        <w:spacing w:before="6"/>
        <w:rPr>
          <w:b/>
          <w:sz w:val="36"/>
        </w:rPr>
      </w:pPr>
    </w:p>
    <w:p w:rsidR="007C5447" w:rsidRDefault="00F6308C">
      <w:pPr>
        <w:pStyle w:val="ListParagraph"/>
        <w:numPr>
          <w:ilvl w:val="2"/>
          <w:numId w:val="40"/>
        </w:numPr>
        <w:tabs>
          <w:tab w:val="left" w:pos="1112"/>
          <w:tab w:val="left" w:pos="1113"/>
        </w:tabs>
        <w:ind w:left="1112" w:hanging="853"/>
        <w:jc w:val="left"/>
        <w:rPr>
          <w:sz w:val="24"/>
        </w:rPr>
      </w:pPr>
      <w:r>
        <w:rPr>
          <w:sz w:val="24"/>
        </w:rPr>
        <w:t>TANGEDCO submitted that as Open Access is allowed to HT consumers,</w:t>
      </w:r>
      <w:r>
        <w:rPr>
          <w:spacing w:val="9"/>
          <w:sz w:val="24"/>
        </w:rPr>
        <w:t xml:space="preserve"> </w:t>
      </w:r>
      <w:r>
        <w:rPr>
          <w:sz w:val="24"/>
        </w:rPr>
        <w:t>the</w:t>
      </w:r>
    </w:p>
    <w:p w:rsidR="007C5447" w:rsidRDefault="007C5447">
      <w:pPr>
        <w:rPr>
          <w:sz w:val="24"/>
        </w:rPr>
        <w:sectPr w:rsidR="007C5447">
          <w:pgSz w:w="11910" w:h="16840"/>
          <w:pgMar w:top="1420" w:right="560" w:bottom="1240" w:left="1180" w:header="0" w:footer="1057" w:gutter="0"/>
          <w:cols w:space="720"/>
        </w:sectPr>
      </w:pPr>
    </w:p>
    <w:p w:rsidR="007C5447" w:rsidRDefault="00F6308C">
      <w:pPr>
        <w:pStyle w:val="BodyText"/>
        <w:spacing w:before="60" w:line="312" w:lineRule="auto"/>
        <w:ind w:left="1112" w:right="880"/>
        <w:jc w:val="both"/>
      </w:pPr>
      <w:r>
        <w:lastRenderedPageBreak/>
        <w:t>Wheeling Charges have to be determined based on the cost of HT distribution network. Hence, the annual Wheeling Charges are required to be allocated between HT and LT in the ratio of HT and LT networks. As on March 31, 2016, the length of HT and LT lines w</w:t>
      </w:r>
      <w:r>
        <w:t>as in the ratio of 22:78 (1.70 lakh ckt km : 6.11 lakh ckt km). Thus, the annual Wheeling Charges as allocated between HT and LT category by TANGEDCO is shown in the Table below:</w:t>
      </w:r>
    </w:p>
    <w:p w:rsidR="007C5447" w:rsidRDefault="007C5447">
      <w:pPr>
        <w:pStyle w:val="BodyText"/>
        <w:spacing w:before="11"/>
        <w:rPr>
          <w:sz w:val="20"/>
        </w:rPr>
      </w:pPr>
    </w:p>
    <w:p w:rsidR="007C5447" w:rsidRDefault="00F6308C">
      <w:pPr>
        <w:pStyle w:val="Heading2"/>
        <w:spacing w:line="312" w:lineRule="auto"/>
        <w:ind w:left="1096" w:right="999"/>
        <w:jc w:val="center"/>
      </w:pPr>
      <w:r>
        <w:t>Table 5-25: Allocation of Wheeling Charges into LT and HT Category by TANGED</w:t>
      </w:r>
      <w:r>
        <w:t>CO</w:t>
      </w:r>
    </w:p>
    <w:p w:rsidR="007C5447" w:rsidRDefault="007C5447">
      <w:pPr>
        <w:pStyle w:val="BodyText"/>
        <w:spacing w:before="6"/>
        <w:rPr>
          <w:b/>
          <w:sz w:val="10"/>
        </w:rPr>
      </w:pPr>
    </w:p>
    <w:tbl>
      <w:tblPr>
        <w:tblW w:w="0" w:type="auto"/>
        <w:tblInd w:w="2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626"/>
        <w:gridCol w:w="1039"/>
      </w:tblGrid>
      <w:tr w:rsidR="007C5447">
        <w:trPr>
          <w:trHeight w:val="345"/>
        </w:trPr>
        <w:tc>
          <w:tcPr>
            <w:tcW w:w="2465" w:type="dxa"/>
            <w:shd w:val="clear" w:color="auto" w:fill="F7C9AC"/>
          </w:tcPr>
          <w:p w:rsidR="007C5447" w:rsidRDefault="00F6308C">
            <w:pPr>
              <w:pStyle w:val="TableParagraph"/>
              <w:spacing w:before="44"/>
              <w:ind w:left="705"/>
              <w:jc w:val="left"/>
              <w:rPr>
                <w:b/>
              </w:rPr>
            </w:pPr>
            <w:r>
              <w:rPr>
                <w:b/>
              </w:rPr>
              <w:t>Particulars</w:t>
            </w:r>
          </w:p>
        </w:tc>
        <w:tc>
          <w:tcPr>
            <w:tcW w:w="626" w:type="dxa"/>
            <w:shd w:val="clear" w:color="auto" w:fill="F7C9AC"/>
          </w:tcPr>
          <w:p w:rsidR="007C5447" w:rsidRDefault="00F6308C">
            <w:pPr>
              <w:pStyle w:val="TableParagraph"/>
              <w:spacing w:before="44"/>
              <w:ind w:right="96"/>
              <w:rPr>
                <w:b/>
              </w:rPr>
            </w:pPr>
            <w:r>
              <w:rPr>
                <w:b/>
              </w:rPr>
              <w:t>Nos.</w:t>
            </w:r>
          </w:p>
        </w:tc>
        <w:tc>
          <w:tcPr>
            <w:tcW w:w="1039" w:type="dxa"/>
            <w:shd w:val="clear" w:color="auto" w:fill="F7C9AC"/>
          </w:tcPr>
          <w:p w:rsidR="007C5447" w:rsidRDefault="00F6308C">
            <w:pPr>
              <w:pStyle w:val="TableParagraph"/>
              <w:spacing w:before="44"/>
              <w:ind w:left="262"/>
              <w:jc w:val="left"/>
              <w:rPr>
                <w:b/>
              </w:rPr>
            </w:pPr>
            <w:r>
              <w:rPr>
                <w:b/>
              </w:rPr>
              <w:t>Ratio</w:t>
            </w:r>
          </w:p>
        </w:tc>
      </w:tr>
      <w:tr w:rsidR="007C5447">
        <w:trPr>
          <w:trHeight w:val="345"/>
        </w:trPr>
        <w:tc>
          <w:tcPr>
            <w:tcW w:w="2465" w:type="dxa"/>
          </w:tcPr>
          <w:p w:rsidR="007C5447" w:rsidRDefault="00F6308C">
            <w:pPr>
              <w:pStyle w:val="TableParagraph"/>
              <w:spacing w:before="44"/>
              <w:ind w:left="107"/>
              <w:jc w:val="left"/>
            </w:pPr>
            <w:r>
              <w:t>HT Lines (Lakh Ckt Km)</w:t>
            </w:r>
          </w:p>
        </w:tc>
        <w:tc>
          <w:tcPr>
            <w:tcW w:w="626" w:type="dxa"/>
          </w:tcPr>
          <w:p w:rsidR="007C5447" w:rsidRDefault="00F6308C">
            <w:pPr>
              <w:pStyle w:val="TableParagraph"/>
              <w:spacing w:before="44"/>
              <w:ind w:right="93"/>
            </w:pPr>
            <w:r>
              <w:t>1.70</w:t>
            </w:r>
          </w:p>
        </w:tc>
        <w:tc>
          <w:tcPr>
            <w:tcW w:w="1039" w:type="dxa"/>
          </w:tcPr>
          <w:p w:rsidR="007C5447" w:rsidRDefault="00F6308C">
            <w:pPr>
              <w:pStyle w:val="TableParagraph"/>
              <w:spacing w:before="44"/>
              <w:ind w:right="93"/>
            </w:pPr>
            <w:r>
              <w:t>21.77%</w:t>
            </w:r>
          </w:p>
        </w:tc>
      </w:tr>
      <w:tr w:rsidR="007C5447">
        <w:trPr>
          <w:trHeight w:val="345"/>
        </w:trPr>
        <w:tc>
          <w:tcPr>
            <w:tcW w:w="2465" w:type="dxa"/>
          </w:tcPr>
          <w:p w:rsidR="007C5447" w:rsidRDefault="00F6308C">
            <w:pPr>
              <w:pStyle w:val="TableParagraph"/>
              <w:spacing w:before="44"/>
              <w:ind w:left="107"/>
              <w:jc w:val="left"/>
            </w:pPr>
            <w:r>
              <w:t>LT Lines (Lakh Ckt Km)</w:t>
            </w:r>
          </w:p>
        </w:tc>
        <w:tc>
          <w:tcPr>
            <w:tcW w:w="626" w:type="dxa"/>
          </w:tcPr>
          <w:p w:rsidR="007C5447" w:rsidRDefault="00F6308C">
            <w:pPr>
              <w:pStyle w:val="TableParagraph"/>
              <w:spacing w:before="44"/>
              <w:ind w:right="93"/>
            </w:pPr>
            <w:r>
              <w:t>6.11</w:t>
            </w:r>
          </w:p>
        </w:tc>
        <w:tc>
          <w:tcPr>
            <w:tcW w:w="1039" w:type="dxa"/>
          </w:tcPr>
          <w:p w:rsidR="007C5447" w:rsidRDefault="00F6308C">
            <w:pPr>
              <w:pStyle w:val="TableParagraph"/>
              <w:spacing w:before="44"/>
              <w:ind w:right="93"/>
            </w:pPr>
            <w:r>
              <w:t>78.23%</w:t>
            </w:r>
          </w:p>
        </w:tc>
      </w:tr>
      <w:tr w:rsidR="007C5447">
        <w:trPr>
          <w:trHeight w:val="345"/>
        </w:trPr>
        <w:tc>
          <w:tcPr>
            <w:tcW w:w="2465" w:type="dxa"/>
          </w:tcPr>
          <w:p w:rsidR="007C5447" w:rsidRDefault="00F6308C">
            <w:pPr>
              <w:pStyle w:val="TableParagraph"/>
              <w:spacing w:before="44"/>
              <w:ind w:left="107"/>
              <w:jc w:val="left"/>
              <w:rPr>
                <w:b/>
              </w:rPr>
            </w:pPr>
            <w:r>
              <w:rPr>
                <w:b/>
              </w:rPr>
              <w:t>Total</w:t>
            </w:r>
          </w:p>
        </w:tc>
        <w:tc>
          <w:tcPr>
            <w:tcW w:w="626" w:type="dxa"/>
          </w:tcPr>
          <w:p w:rsidR="007C5447" w:rsidRDefault="00F6308C">
            <w:pPr>
              <w:pStyle w:val="TableParagraph"/>
              <w:spacing w:before="44"/>
              <w:ind w:right="93"/>
              <w:rPr>
                <w:b/>
              </w:rPr>
            </w:pPr>
            <w:r>
              <w:rPr>
                <w:b/>
              </w:rPr>
              <w:t>7.81</w:t>
            </w:r>
          </w:p>
        </w:tc>
        <w:tc>
          <w:tcPr>
            <w:tcW w:w="1039" w:type="dxa"/>
          </w:tcPr>
          <w:p w:rsidR="007C5447" w:rsidRDefault="00F6308C">
            <w:pPr>
              <w:pStyle w:val="TableParagraph"/>
              <w:spacing w:before="44"/>
              <w:ind w:right="94"/>
              <w:rPr>
                <w:b/>
              </w:rPr>
            </w:pPr>
            <w:r>
              <w:rPr>
                <w:b/>
              </w:rPr>
              <w:t>100.00%</w:t>
            </w:r>
          </w:p>
        </w:tc>
      </w:tr>
    </w:tbl>
    <w:p w:rsidR="007C5447" w:rsidRDefault="007C5447">
      <w:pPr>
        <w:pStyle w:val="BodyText"/>
        <w:rPr>
          <w:b/>
          <w:sz w:val="26"/>
        </w:rPr>
      </w:pPr>
    </w:p>
    <w:p w:rsidR="007C5447" w:rsidRDefault="007C5447">
      <w:pPr>
        <w:pStyle w:val="BodyText"/>
        <w:spacing w:before="3"/>
        <w:rPr>
          <w:b/>
          <w:sz w:val="36"/>
        </w:rPr>
      </w:pPr>
    </w:p>
    <w:p w:rsidR="007C5447" w:rsidRDefault="00F6308C">
      <w:pPr>
        <w:pStyle w:val="ListParagraph"/>
        <w:numPr>
          <w:ilvl w:val="2"/>
          <w:numId w:val="40"/>
        </w:numPr>
        <w:tabs>
          <w:tab w:val="left" w:pos="1112"/>
          <w:tab w:val="left" w:pos="1113"/>
        </w:tabs>
        <w:spacing w:line="312" w:lineRule="auto"/>
        <w:ind w:left="1112" w:right="883"/>
        <w:jc w:val="left"/>
        <w:rPr>
          <w:sz w:val="24"/>
        </w:rPr>
      </w:pPr>
      <w:r>
        <w:rPr>
          <w:sz w:val="24"/>
        </w:rPr>
        <w:t>The projected units sold through the distribution system and the Wheeling Charges for FY 2017-18 as submitted by TANGEDCO is shown in the Table</w:t>
      </w:r>
      <w:r>
        <w:rPr>
          <w:spacing w:val="-9"/>
          <w:sz w:val="24"/>
        </w:rPr>
        <w:t xml:space="preserve"> </w:t>
      </w:r>
      <w:r>
        <w:rPr>
          <w:sz w:val="24"/>
        </w:rPr>
        <w:t>below:</w:t>
      </w:r>
    </w:p>
    <w:p w:rsidR="007C5447" w:rsidRDefault="007C5447">
      <w:pPr>
        <w:pStyle w:val="BodyText"/>
        <w:spacing w:before="10"/>
        <w:rPr>
          <w:sz w:val="20"/>
        </w:rPr>
      </w:pPr>
    </w:p>
    <w:p w:rsidR="007C5447" w:rsidRDefault="00F6308C">
      <w:pPr>
        <w:pStyle w:val="Heading2"/>
        <w:spacing w:before="1"/>
        <w:ind w:left="524" w:right="426"/>
        <w:jc w:val="center"/>
      </w:pPr>
      <w:r>
        <w:t>Table 5-26: Wheeling Charges per Unit as submitted by TANGEDCO</w:t>
      </w:r>
    </w:p>
    <w:p w:rsidR="007C5447" w:rsidRDefault="007C5447">
      <w:pPr>
        <w:pStyle w:val="BodyText"/>
        <w:spacing w:before="9"/>
        <w:rPr>
          <w:b/>
          <w:sz w:val="17"/>
        </w:rPr>
      </w:pPr>
    </w:p>
    <w:tbl>
      <w:tblPr>
        <w:tblW w:w="0" w:type="auto"/>
        <w:tblInd w:w="14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4"/>
        <w:gridCol w:w="3769"/>
        <w:gridCol w:w="1058"/>
        <w:gridCol w:w="1299"/>
      </w:tblGrid>
      <w:tr w:rsidR="007C5447">
        <w:trPr>
          <w:trHeight w:val="345"/>
        </w:trPr>
        <w:tc>
          <w:tcPr>
            <w:tcW w:w="454" w:type="dxa"/>
            <w:shd w:val="clear" w:color="auto" w:fill="F7C9AC"/>
          </w:tcPr>
          <w:p w:rsidR="007C5447" w:rsidRDefault="00F6308C">
            <w:pPr>
              <w:pStyle w:val="TableParagraph"/>
              <w:spacing w:before="44"/>
              <w:ind w:left="107"/>
              <w:jc w:val="left"/>
              <w:rPr>
                <w:b/>
              </w:rPr>
            </w:pPr>
            <w:r>
              <w:rPr>
                <w:b/>
              </w:rPr>
              <w:t>Sl.</w:t>
            </w:r>
          </w:p>
        </w:tc>
        <w:tc>
          <w:tcPr>
            <w:tcW w:w="3769" w:type="dxa"/>
            <w:shd w:val="clear" w:color="auto" w:fill="F7C9AC"/>
          </w:tcPr>
          <w:p w:rsidR="007C5447" w:rsidRDefault="00F6308C">
            <w:pPr>
              <w:pStyle w:val="TableParagraph"/>
              <w:spacing w:before="44"/>
              <w:ind w:left="1339" w:right="1329"/>
              <w:jc w:val="center"/>
              <w:rPr>
                <w:b/>
              </w:rPr>
            </w:pPr>
            <w:r>
              <w:rPr>
                <w:b/>
              </w:rPr>
              <w:t>Particulars</w:t>
            </w:r>
          </w:p>
        </w:tc>
        <w:tc>
          <w:tcPr>
            <w:tcW w:w="1058" w:type="dxa"/>
            <w:shd w:val="clear" w:color="auto" w:fill="F7C9AC"/>
          </w:tcPr>
          <w:p w:rsidR="007C5447" w:rsidRDefault="00F6308C">
            <w:pPr>
              <w:pStyle w:val="TableParagraph"/>
              <w:spacing w:before="44"/>
              <w:ind w:left="86" w:right="76"/>
              <w:jc w:val="center"/>
              <w:rPr>
                <w:b/>
              </w:rPr>
            </w:pPr>
            <w:r>
              <w:rPr>
                <w:b/>
              </w:rPr>
              <w:t>Units</w:t>
            </w:r>
          </w:p>
        </w:tc>
        <w:tc>
          <w:tcPr>
            <w:tcW w:w="1299" w:type="dxa"/>
            <w:shd w:val="clear" w:color="auto" w:fill="F7C9AC"/>
          </w:tcPr>
          <w:p w:rsidR="007C5447" w:rsidRDefault="00F6308C">
            <w:pPr>
              <w:pStyle w:val="TableParagraph"/>
              <w:spacing w:before="44"/>
              <w:ind w:right="93"/>
              <w:rPr>
                <w:b/>
              </w:rPr>
            </w:pPr>
            <w:r>
              <w:rPr>
                <w:b/>
              </w:rPr>
              <w:t>FY 2017-18</w:t>
            </w:r>
          </w:p>
        </w:tc>
      </w:tr>
      <w:tr w:rsidR="007C5447">
        <w:trPr>
          <w:trHeight w:val="345"/>
        </w:trPr>
        <w:tc>
          <w:tcPr>
            <w:tcW w:w="454" w:type="dxa"/>
          </w:tcPr>
          <w:p w:rsidR="007C5447" w:rsidRDefault="00F6308C">
            <w:pPr>
              <w:pStyle w:val="TableParagraph"/>
              <w:spacing w:before="44"/>
              <w:ind w:left="172"/>
              <w:jc w:val="left"/>
            </w:pPr>
            <w:r>
              <w:t>1</w:t>
            </w:r>
          </w:p>
        </w:tc>
        <w:tc>
          <w:tcPr>
            <w:tcW w:w="3769" w:type="dxa"/>
          </w:tcPr>
          <w:p w:rsidR="007C5447" w:rsidRDefault="00F6308C">
            <w:pPr>
              <w:pStyle w:val="TableParagraph"/>
              <w:spacing w:before="44"/>
              <w:ind w:left="107"/>
              <w:jc w:val="left"/>
            </w:pPr>
            <w:r>
              <w:t>Projected Energy Fed into the Grid</w:t>
            </w:r>
          </w:p>
        </w:tc>
        <w:tc>
          <w:tcPr>
            <w:tcW w:w="1058" w:type="dxa"/>
          </w:tcPr>
          <w:p w:rsidR="007C5447" w:rsidRDefault="00F6308C">
            <w:pPr>
              <w:pStyle w:val="TableParagraph"/>
              <w:spacing w:before="44"/>
              <w:ind w:left="87" w:right="74"/>
              <w:jc w:val="center"/>
            </w:pPr>
            <w:r>
              <w:t>MU</w:t>
            </w:r>
          </w:p>
        </w:tc>
        <w:tc>
          <w:tcPr>
            <w:tcW w:w="1299" w:type="dxa"/>
          </w:tcPr>
          <w:p w:rsidR="007C5447" w:rsidRDefault="00F6308C">
            <w:pPr>
              <w:pStyle w:val="TableParagraph"/>
              <w:spacing w:before="44"/>
              <w:ind w:right="94"/>
            </w:pPr>
            <w:r>
              <w:t>101,544.55</w:t>
            </w:r>
          </w:p>
        </w:tc>
      </w:tr>
      <w:tr w:rsidR="007C5447">
        <w:trPr>
          <w:trHeight w:val="342"/>
        </w:trPr>
        <w:tc>
          <w:tcPr>
            <w:tcW w:w="454" w:type="dxa"/>
          </w:tcPr>
          <w:p w:rsidR="007C5447" w:rsidRDefault="00F6308C">
            <w:pPr>
              <w:pStyle w:val="TableParagraph"/>
              <w:spacing w:before="44"/>
              <w:ind w:left="172"/>
              <w:jc w:val="left"/>
            </w:pPr>
            <w:r>
              <w:t>2</w:t>
            </w:r>
          </w:p>
        </w:tc>
        <w:tc>
          <w:tcPr>
            <w:tcW w:w="3769" w:type="dxa"/>
          </w:tcPr>
          <w:p w:rsidR="007C5447" w:rsidRDefault="00F6308C">
            <w:pPr>
              <w:pStyle w:val="TableParagraph"/>
              <w:spacing w:before="44"/>
              <w:ind w:left="107"/>
              <w:jc w:val="left"/>
            </w:pPr>
            <w:r>
              <w:t>Transmission Loss upto 110kV</w:t>
            </w:r>
          </w:p>
        </w:tc>
        <w:tc>
          <w:tcPr>
            <w:tcW w:w="1058" w:type="dxa"/>
          </w:tcPr>
          <w:p w:rsidR="007C5447" w:rsidRDefault="00F6308C">
            <w:pPr>
              <w:pStyle w:val="TableParagraph"/>
              <w:spacing w:before="44"/>
              <w:ind w:left="13"/>
              <w:jc w:val="center"/>
            </w:pPr>
            <w:r>
              <w:t>%</w:t>
            </w:r>
          </w:p>
        </w:tc>
        <w:tc>
          <w:tcPr>
            <w:tcW w:w="1299" w:type="dxa"/>
          </w:tcPr>
          <w:p w:rsidR="007C5447" w:rsidRDefault="00F6308C">
            <w:pPr>
              <w:pStyle w:val="TableParagraph"/>
              <w:spacing w:before="44"/>
              <w:ind w:right="95"/>
            </w:pPr>
            <w:r>
              <w:t>1.94%</w:t>
            </w:r>
          </w:p>
        </w:tc>
      </w:tr>
      <w:tr w:rsidR="007C5447">
        <w:trPr>
          <w:trHeight w:val="345"/>
        </w:trPr>
        <w:tc>
          <w:tcPr>
            <w:tcW w:w="454" w:type="dxa"/>
          </w:tcPr>
          <w:p w:rsidR="007C5447" w:rsidRDefault="00F6308C">
            <w:pPr>
              <w:pStyle w:val="TableParagraph"/>
              <w:spacing w:before="46"/>
              <w:ind w:left="172"/>
              <w:jc w:val="left"/>
            </w:pPr>
            <w:r>
              <w:t>3</w:t>
            </w:r>
          </w:p>
        </w:tc>
        <w:tc>
          <w:tcPr>
            <w:tcW w:w="3769" w:type="dxa"/>
          </w:tcPr>
          <w:p w:rsidR="007C5447" w:rsidRDefault="00F6308C">
            <w:pPr>
              <w:pStyle w:val="TableParagraph"/>
              <w:spacing w:before="46"/>
              <w:ind w:left="107"/>
              <w:jc w:val="left"/>
            </w:pPr>
            <w:r>
              <w:t>Energy sent out in Distribution Network</w:t>
            </w:r>
          </w:p>
        </w:tc>
        <w:tc>
          <w:tcPr>
            <w:tcW w:w="1058" w:type="dxa"/>
          </w:tcPr>
          <w:p w:rsidR="007C5447" w:rsidRDefault="00F6308C">
            <w:pPr>
              <w:pStyle w:val="TableParagraph"/>
              <w:spacing w:before="46"/>
              <w:ind w:left="87" w:right="74"/>
              <w:jc w:val="center"/>
            </w:pPr>
            <w:r>
              <w:t>MU</w:t>
            </w:r>
          </w:p>
        </w:tc>
        <w:tc>
          <w:tcPr>
            <w:tcW w:w="1299" w:type="dxa"/>
          </w:tcPr>
          <w:p w:rsidR="007C5447" w:rsidRDefault="00F6308C">
            <w:pPr>
              <w:pStyle w:val="TableParagraph"/>
              <w:spacing w:before="46"/>
              <w:ind w:right="94"/>
            </w:pPr>
            <w:r>
              <w:t>99,574.58</w:t>
            </w:r>
          </w:p>
        </w:tc>
      </w:tr>
      <w:tr w:rsidR="007C5447">
        <w:trPr>
          <w:trHeight w:val="345"/>
        </w:trPr>
        <w:tc>
          <w:tcPr>
            <w:tcW w:w="454" w:type="dxa"/>
          </w:tcPr>
          <w:p w:rsidR="007C5447" w:rsidRDefault="00F6308C">
            <w:pPr>
              <w:pStyle w:val="TableParagraph"/>
              <w:spacing w:before="46"/>
              <w:ind w:left="172"/>
              <w:jc w:val="left"/>
            </w:pPr>
            <w:r>
              <w:t>4</w:t>
            </w:r>
          </w:p>
        </w:tc>
        <w:tc>
          <w:tcPr>
            <w:tcW w:w="3769" w:type="dxa"/>
          </w:tcPr>
          <w:p w:rsidR="007C5447" w:rsidRDefault="00F6308C">
            <w:pPr>
              <w:pStyle w:val="TableParagraph"/>
              <w:spacing w:before="46"/>
              <w:ind w:left="107"/>
              <w:jc w:val="left"/>
            </w:pPr>
            <w:r>
              <w:t>Less: Energy Consumed at 110kV</w:t>
            </w:r>
          </w:p>
        </w:tc>
        <w:tc>
          <w:tcPr>
            <w:tcW w:w="1058" w:type="dxa"/>
          </w:tcPr>
          <w:p w:rsidR="007C5447" w:rsidRDefault="00F6308C">
            <w:pPr>
              <w:pStyle w:val="TableParagraph"/>
              <w:spacing w:before="46"/>
              <w:ind w:left="87" w:right="74"/>
              <w:jc w:val="center"/>
            </w:pPr>
            <w:r>
              <w:t>MU</w:t>
            </w:r>
          </w:p>
        </w:tc>
        <w:tc>
          <w:tcPr>
            <w:tcW w:w="1299" w:type="dxa"/>
          </w:tcPr>
          <w:p w:rsidR="007C5447" w:rsidRDefault="00F6308C">
            <w:pPr>
              <w:pStyle w:val="TableParagraph"/>
              <w:spacing w:before="46"/>
              <w:ind w:right="94"/>
            </w:pPr>
            <w:r>
              <w:t>6,522.14</w:t>
            </w:r>
          </w:p>
        </w:tc>
      </w:tr>
      <w:tr w:rsidR="007C5447">
        <w:trPr>
          <w:trHeight w:val="345"/>
        </w:trPr>
        <w:tc>
          <w:tcPr>
            <w:tcW w:w="454" w:type="dxa"/>
          </w:tcPr>
          <w:p w:rsidR="007C5447" w:rsidRDefault="00F6308C">
            <w:pPr>
              <w:pStyle w:val="TableParagraph"/>
              <w:spacing w:before="46"/>
              <w:ind w:left="172"/>
              <w:jc w:val="left"/>
            </w:pPr>
            <w:r>
              <w:t>5</w:t>
            </w:r>
          </w:p>
        </w:tc>
        <w:tc>
          <w:tcPr>
            <w:tcW w:w="3769" w:type="dxa"/>
          </w:tcPr>
          <w:p w:rsidR="007C5447" w:rsidRDefault="00F6308C">
            <w:pPr>
              <w:pStyle w:val="TableParagraph"/>
              <w:spacing w:before="46"/>
              <w:ind w:left="107"/>
              <w:jc w:val="left"/>
            </w:pPr>
            <w:r>
              <w:t>Less: Loss upto 33kV network</w:t>
            </w:r>
          </w:p>
        </w:tc>
        <w:tc>
          <w:tcPr>
            <w:tcW w:w="1058" w:type="dxa"/>
          </w:tcPr>
          <w:p w:rsidR="007C5447" w:rsidRDefault="00F6308C">
            <w:pPr>
              <w:pStyle w:val="TableParagraph"/>
              <w:spacing w:before="46"/>
              <w:ind w:left="13"/>
              <w:jc w:val="center"/>
            </w:pPr>
            <w:r>
              <w:t>%</w:t>
            </w:r>
          </w:p>
        </w:tc>
        <w:tc>
          <w:tcPr>
            <w:tcW w:w="1299" w:type="dxa"/>
          </w:tcPr>
          <w:p w:rsidR="007C5447" w:rsidRDefault="00F6308C">
            <w:pPr>
              <w:pStyle w:val="TableParagraph"/>
              <w:spacing w:before="46"/>
              <w:ind w:right="95"/>
            </w:pPr>
            <w:r>
              <w:t>6.55%</w:t>
            </w:r>
          </w:p>
        </w:tc>
      </w:tr>
      <w:tr w:rsidR="007C5447">
        <w:trPr>
          <w:trHeight w:val="345"/>
        </w:trPr>
        <w:tc>
          <w:tcPr>
            <w:tcW w:w="454" w:type="dxa"/>
          </w:tcPr>
          <w:p w:rsidR="007C5447" w:rsidRDefault="00F6308C">
            <w:pPr>
              <w:pStyle w:val="TableParagraph"/>
              <w:spacing w:before="46"/>
              <w:ind w:left="172"/>
              <w:jc w:val="left"/>
            </w:pPr>
            <w:r>
              <w:t>6</w:t>
            </w:r>
          </w:p>
        </w:tc>
        <w:tc>
          <w:tcPr>
            <w:tcW w:w="3769" w:type="dxa"/>
          </w:tcPr>
          <w:p w:rsidR="007C5447" w:rsidRDefault="00F6308C">
            <w:pPr>
              <w:pStyle w:val="TableParagraph"/>
              <w:spacing w:before="46"/>
              <w:ind w:left="107"/>
              <w:jc w:val="left"/>
            </w:pPr>
            <w:r>
              <w:t>Energy fed into 33kV and below</w:t>
            </w:r>
          </w:p>
        </w:tc>
        <w:tc>
          <w:tcPr>
            <w:tcW w:w="1058" w:type="dxa"/>
          </w:tcPr>
          <w:p w:rsidR="007C5447" w:rsidRDefault="00F6308C">
            <w:pPr>
              <w:pStyle w:val="TableParagraph"/>
              <w:spacing w:before="46"/>
              <w:ind w:left="87" w:right="74"/>
              <w:jc w:val="center"/>
            </w:pPr>
            <w:r>
              <w:t>MU</w:t>
            </w:r>
          </w:p>
        </w:tc>
        <w:tc>
          <w:tcPr>
            <w:tcW w:w="1299" w:type="dxa"/>
          </w:tcPr>
          <w:p w:rsidR="007C5447" w:rsidRDefault="00F6308C">
            <w:pPr>
              <w:pStyle w:val="TableParagraph"/>
              <w:spacing w:before="46"/>
              <w:ind w:right="94"/>
            </w:pPr>
            <w:r>
              <w:t>93,052.45</w:t>
            </w:r>
          </w:p>
        </w:tc>
      </w:tr>
      <w:tr w:rsidR="007C5447">
        <w:trPr>
          <w:trHeight w:val="345"/>
        </w:trPr>
        <w:tc>
          <w:tcPr>
            <w:tcW w:w="454" w:type="dxa"/>
          </w:tcPr>
          <w:p w:rsidR="007C5447" w:rsidRDefault="00F6308C">
            <w:pPr>
              <w:pStyle w:val="TableParagraph"/>
              <w:spacing w:before="44"/>
              <w:ind w:left="172"/>
              <w:jc w:val="left"/>
            </w:pPr>
            <w:r>
              <w:t>7</w:t>
            </w:r>
          </w:p>
        </w:tc>
        <w:tc>
          <w:tcPr>
            <w:tcW w:w="3769" w:type="dxa"/>
          </w:tcPr>
          <w:p w:rsidR="007C5447" w:rsidRDefault="00F6308C">
            <w:pPr>
              <w:pStyle w:val="TableParagraph"/>
              <w:spacing w:before="44"/>
              <w:ind w:left="107"/>
              <w:jc w:val="left"/>
            </w:pPr>
            <w:r>
              <w:t>Annual Wheeling Charges</w:t>
            </w:r>
          </w:p>
        </w:tc>
        <w:tc>
          <w:tcPr>
            <w:tcW w:w="1058" w:type="dxa"/>
          </w:tcPr>
          <w:p w:rsidR="007C5447" w:rsidRDefault="00F6308C">
            <w:pPr>
              <w:pStyle w:val="TableParagraph"/>
              <w:spacing w:before="44"/>
              <w:ind w:left="87" w:right="76"/>
              <w:jc w:val="center"/>
            </w:pPr>
            <w:r>
              <w:t>Rs. Crore</w:t>
            </w:r>
          </w:p>
        </w:tc>
        <w:tc>
          <w:tcPr>
            <w:tcW w:w="1299" w:type="dxa"/>
          </w:tcPr>
          <w:p w:rsidR="007C5447" w:rsidRDefault="00F6308C">
            <w:pPr>
              <w:pStyle w:val="TableParagraph"/>
              <w:spacing w:before="44"/>
              <w:ind w:right="94"/>
            </w:pPr>
            <w:r>
              <w:t>2,107</w:t>
            </w:r>
          </w:p>
        </w:tc>
      </w:tr>
      <w:tr w:rsidR="007C5447">
        <w:trPr>
          <w:trHeight w:val="345"/>
        </w:trPr>
        <w:tc>
          <w:tcPr>
            <w:tcW w:w="454" w:type="dxa"/>
          </w:tcPr>
          <w:p w:rsidR="007C5447" w:rsidRDefault="00F6308C">
            <w:pPr>
              <w:pStyle w:val="TableParagraph"/>
              <w:spacing w:before="44"/>
              <w:ind w:left="172"/>
              <w:jc w:val="left"/>
            </w:pPr>
            <w:r>
              <w:t>8</w:t>
            </w:r>
          </w:p>
        </w:tc>
        <w:tc>
          <w:tcPr>
            <w:tcW w:w="3769" w:type="dxa"/>
          </w:tcPr>
          <w:p w:rsidR="007C5447" w:rsidRDefault="00F6308C">
            <w:pPr>
              <w:pStyle w:val="TableParagraph"/>
              <w:spacing w:before="44"/>
              <w:ind w:left="107"/>
              <w:jc w:val="left"/>
              <w:rPr>
                <w:b/>
              </w:rPr>
            </w:pPr>
            <w:r>
              <w:rPr>
                <w:b/>
              </w:rPr>
              <w:t>Wheeling Charges per Unit</w:t>
            </w:r>
          </w:p>
        </w:tc>
        <w:tc>
          <w:tcPr>
            <w:tcW w:w="1058" w:type="dxa"/>
          </w:tcPr>
          <w:p w:rsidR="007C5447" w:rsidRDefault="00F6308C">
            <w:pPr>
              <w:pStyle w:val="TableParagraph"/>
              <w:spacing w:before="44"/>
              <w:ind w:left="87" w:right="73"/>
              <w:jc w:val="center"/>
              <w:rPr>
                <w:b/>
              </w:rPr>
            </w:pPr>
            <w:r>
              <w:rPr>
                <w:b/>
              </w:rPr>
              <w:t>Ps./kWh</w:t>
            </w:r>
          </w:p>
        </w:tc>
        <w:tc>
          <w:tcPr>
            <w:tcW w:w="1299" w:type="dxa"/>
          </w:tcPr>
          <w:p w:rsidR="007C5447" w:rsidRDefault="00F6308C">
            <w:pPr>
              <w:pStyle w:val="TableParagraph"/>
              <w:spacing w:before="44"/>
              <w:ind w:right="94"/>
              <w:rPr>
                <w:b/>
              </w:rPr>
            </w:pPr>
            <w:r>
              <w:rPr>
                <w:b/>
              </w:rPr>
              <w:t>22.64</w:t>
            </w:r>
          </w:p>
        </w:tc>
      </w:tr>
    </w:tbl>
    <w:p w:rsidR="007C5447" w:rsidRDefault="007C5447">
      <w:pPr>
        <w:pStyle w:val="BodyText"/>
        <w:rPr>
          <w:b/>
          <w:sz w:val="26"/>
        </w:rPr>
      </w:pPr>
    </w:p>
    <w:p w:rsidR="007C5447" w:rsidRDefault="007C5447">
      <w:pPr>
        <w:pStyle w:val="BodyText"/>
        <w:rPr>
          <w:b/>
          <w:sz w:val="26"/>
        </w:rPr>
      </w:pPr>
    </w:p>
    <w:p w:rsidR="007C5447" w:rsidRDefault="007C5447">
      <w:pPr>
        <w:pStyle w:val="BodyText"/>
        <w:rPr>
          <w:b/>
          <w:sz w:val="21"/>
        </w:rPr>
      </w:pPr>
    </w:p>
    <w:p w:rsidR="007C5447" w:rsidRDefault="00F6308C">
      <w:pPr>
        <w:ind w:left="1112"/>
        <w:jc w:val="both"/>
        <w:rPr>
          <w:b/>
          <w:sz w:val="24"/>
        </w:rPr>
      </w:pPr>
      <w:r>
        <w:rPr>
          <w:b/>
          <w:sz w:val="24"/>
        </w:rPr>
        <w:t>Commission’s Views</w:t>
      </w:r>
    </w:p>
    <w:p w:rsidR="007C5447" w:rsidRDefault="00F6308C">
      <w:pPr>
        <w:pStyle w:val="ListParagraph"/>
        <w:numPr>
          <w:ilvl w:val="2"/>
          <w:numId w:val="40"/>
        </w:numPr>
        <w:tabs>
          <w:tab w:val="left" w:pos="1112"/>
          <w:tab w:val="left" w:pos="1113"/>
        </w:tabs>
        <w:spacing w:before="202" w:line="312" w:lineRule="auto"/>
        <w:ind w:left="1112" w:right="884"/>
        <w:jc w:val="left"/>
        <w:rPr>
          <w:sz w:val="24"/>
        </w:rPr>
      </w:pPr>
      <w:r>
        <w:rPr>
          <w:sz w:val="24"/>
        </w:rPr>
        <w:t>The Commission has approved the Wheeling Charges in accordance with the Tariff Regulations, which specifies as</w:t>
      </w:r>
      <w:r>
        <w:rPr>
          <w:spacing w:val="-1"/>
          <w:sz w:val="24"/>
        </w:rPr>
        <w:t xml:space="preserve"> </w:t>
      </w:r>
      <w:r>
        <w:rPr>
          <w:sz w:val="24"/>
        </w:rPr>
        <w:t>under:</w:t>
      </w:r>
    </w:p>
    <w:p w:rsidR="007C5447" w:rsidRDefault="007C5447">
      <w:pPr>
        <w:pStyle w:val="BodyText"/>
        <w:spacing w:before="10"/>
        <w:rPr>
          <w:sz w:val="20"/>
        </w:rPr>
      </w:pPr>
    </w:p>
    <w:p w:rsidR="007C5447" w:rsidRDefault="00F6308C">
      <w:pPr>
        <w:pStyle w:val="Heading3"/>
        <w:ind w:left="1760"/>
      </w:pPr>
      <w:r>
        <w:t>“86. Wheeling Charges for Open Access Customers</w:t>
      </w:r>
    </w:p>
    <w:p w:rsidR="007C5447" w:rsidRDefault="00F6308C">
      <w:pPr>
        <w:pStyle w:val="ListParagraph"/>
        <w:numPr>
          <w:ilvl w:val="0"/>
          <w:numId w:val="37"/>
        </w:numPr>
        <w:tabs>
          <w:tab w:val="left" w:pos="2386"/>
          <w:tab w:val="left" w:pos="2387"/>
        </w:tabs>
        <w:spacing w:line="312" w:lineRule="auto"/>
        <w:ind w:right="881"/>
        <w:rPr>
          <w:i/>
          <w:sz w:val="24"/>
        </w:rPr>
      </w:pPr>
      <w:r>
        <w:rPr>
          <w:i/>
          <w:sz w:val="24"/>
        </w:rPr>
        <w:t>The Distribution licensee shall provide open access to any consumer within the area of hi</w:t>
      </w:r>
      <w:r>
        <w:rPr>
          <w:i/>
          <w:sz w:val="24"/>
        </w:rPr>
        <w:t>s supply on payment of wheeling</w:t>
      </w:r>
      <w:r>
        <w:rPr>
          <w:i/>
          <w:spacing w:val="-5"/>
          <w:sz w:val="24"/>
        </w:rPr>
        <w:t xml:space="preserve"> </w:t>
      </w:r>
      <w:r>
        <w:rPr>
          <w:i/>
          <w:sz w:val="24"/>
        </w:rPr>
        <w:t>charges.</w:t>
      </w:r>
    </w:p>
    <w:p w:rsidR="007C5447" w:rsidRDefault="007C5447">
      <w:pPr>
        <w:spacing w:line="312" w:lineRule="auto"/>
        <w:rPr>
          <w:sz w:val="24"/>
        </w:rPr>
        <w:sectPr w:rsidR="007C5447">
          <w:pgSz w:w="11910" w:h="16840"/>
          <w:pgMar w:top="1360" w:right="560" w:bottom="1240" w:left="1180" w:header="0" w:footer="1057" w:gutter="0"/>
          <w:cols w:space="720"/>
        </w:sectPr>
      </w:pPr>
    </w:p>
    <w:p w:rsidR="007C5447" w:rsidRDefault="00F6308C">
      <w:pPr>
        <w:pStyle w:val="ListParagraph"/>
        <w:numPr>
          <w:ilvl w:val="0"/>
          <w:numId w:val="37"/>
        </w:numPr>
        <w:tabs>
          <w:tab w:val="left" w:pos="2387"/>
        </w:tabs>
        <w:spacing w:before="60" w:line="312" w:lineRule="auto"/>
        <w:ind w:right="879"/>
        <w:jc w:val="both"/>
        <w:rPr>
          <w:i/>
          <w:sz w:val="24"/>
        </w:rPr>
      </w:pPr>
      <w:r>
        <w:rPr>
          <w:i/>
          <w:sz w:val="24"/>
        </w:rPr>
        <w:lastRenderedPageBreak/>
        <w:t>The wheeling charges for a consumer category shall be based on costs of Distribution licensee for its pure “wire business”. Thus all items of revenue requirement of the Distribution licensee exclud</w:t>
      </w:r>
      <w:r>
        <w:rPr>
          <w:i/>
          <w:sz w:val="24"/>
        </w:rPr>
        <w:t>ing cost of power purchase and interest on Security Deposit from consumers shall be the cost of Distribution licensee for his wire</w:t>
      </w:r>
      <w:r>
        <w:rPr>
          <w:i/>
          <w:spacing w:val="-4"/>
          <w:sz w:val="24"/>
        </w:rPr>
        <w:t xml:space="preserve"> </w:t>
      </w:r>
      <w:r>
        <w:rPr>
          <w:i/>
          <w:sz w:val="24"/>
        </w:rPr>
        <w:t>business.</w:t>
      </w:r>
    </w:p>
    <w:p w:rsidR="007C5447" w:rsidRDefault="00F6308C">
      <w:pPr>
        <w:pStyle w:val="ListParagraph"/>
        <w:numPr>
          <w:ilvl w:val="0"/>
          <w:numId w:val="37"/>
        </w:numPr>
        <w:tabs>
          <w:tab w:val="left" w:pos="2387"/>
        </w:tabs>
        <w:spacing w:line="312" w:lineRule="auto"/>
        <w:ind w:right="883"/>
        <w:jc w:val="both"/>
        <w:rPr>
          <w:i/>
          <w:sz w:val="24"/>
        </w:rPr>
      </w:pPr>
      <w:r>
        <w:rPr>
          <w:i/>
          <w:sz w:val="24"/>
        </w:rPr>
        <w:t>The wheeling charges shall be computed taking into account the projected units sold and wheeled through Distributio</w:t>
      </w:r>
      <w:r>
        <w:rPr>
          <w:i/>
          <w:sz w:val="24"/>
        </w:rPr>
        <w:t>n System and within the ensuing tariff</w:t>
      </w:r>
      <w:r>
        <w:rPr>
          <w:i/>
          <w:spacing w:val="-4"/>
          <w:sz w:val="24"/>
        </w:rPr>
        <w:t xml:space="preserve"> </w:t>
      </w:r>
      <w:r>
        <w:rPr>
          <w:i/>
          <w:sz w:val="24"/>
        </w:rPr>
        <w:t>period.</w:t>
      </w:r>
    </w:p>
    <w:p w:rsidR="007C5447" w:rsidRDefault="00F6308C">
      <w:pPr>
        <w:pStyle w:val="ListParagraph"/>
        <w:numPr>
          <w:ilvl w:val="0"/>
          <w:numId w:val="37"/>
        </w:numPr>
        <w:tabs>
          <w:tab w:val="left" w:pos="2387"/>
        </w:tabs>
        <w:spacing w:before="1" w:line="312" w:lineRule="auto"/>
        <w:ind w:right="877"/>
        <w:jc w:val="both"/>
        <w:rPr>
          <w:i/>
          <w:sz w:val="24"/>
        </w:rPr>
      </w:pPr>
      <w:r>
        <w:rPr>
          <w:i/>
          <w:sz w:val="24"/>
        </w:rPr>
        <w:t xml:space="preserve">The normative distribution system loss at the voltage at which the open </w:t>
      </w:r>
      <w:r>
        <w:rPr>
          <w:i/>
          <w:sz w:val="24"/>
        </w:rPr>
        <w:t>access transaction is undertaken shall be borne by the consumer in kind.”</w:t>
      </w:r>
    </w:p>
    <w:p w:rsidR="007C5447" w:rsidRDefault="00F6308C">
      <w:pPr>
        <w:pStyle w:val="ListParagraph"/>
        <w:numPr>
          <w:ilvl w:val="2"/>
          <w:numId w:val="40"/>
        </w:numPr>
        <w:tabs>
          <w:tab w:val="left" w:pos="1113"/>
        </w:tabs>
        <w:spacing w:before="120" w:line="312" w:lineRule="auto"/>
        <w:ind w:left="1112" w:right="881"/>
        <w:jc w:val="both"/>
        <w:rPr>
          <w:sz w:val="24"/>
        </w:rPr>
      </w:pPr>
      <w:r>
        <w:rPr>
          <w:sz w:val="24"/>
        </w:rPr>
        <w:t>The annual distribution charges for FY 2017-18 (excluding power purchase) as approved in Chapter 4 is shown in the Table</w:t>
      </w:r>
      <w:r>
        <w:rPr>
          <w:spacing w:val="-1"/>
          <w:sz w:val="24"/>
        </w:rPr>
        <w:t xml:space="preserve"> </w:t>
      </w:r>
      <w:r>
        <w:rPr>
          <w:sz w:val="24"/>
        </w:rPr>
        <w:t>below:</w:t>
      </w:r>
    </w:p>
    <w:p w:rsidR="007C5447" w:rsidRDefault="007C5447">
      <w:pPr>
        <w:pStyle w:val="BodyText"/>
        <w:spacing w:before="9"/>
        <w:rPr>
          <w:sz w:val="20"/>
        </w:rPr>
      </w:pPr>
    </w:p>
    <w:p w:rsidR="007C5447" w:rsidRDefault="00F6308C">
      <w:pPr>
        <w:pStyle w:val="Heading2"/>
        <w:spacing w:before="1"/>
        <w:ind w:left="709"/>
      </w:pPr>
      <w:r>
        <w:t xml:space="preserve">Table 5-27: Approved Annual Distribution Charges for </w:t>
      </w:r>
      <w:r>
        <w:t>FY 2017-18 (Rs. Crore)</w:t>
      </w:r>
    </w:p>
    <w:p w:rsidR="007C5447" w:rsidRDefault="007C5447">
      <w:pPr>
        <w:pStyle w:val="BodyText"/>
        <w:spacing w:before="9"/>
        <w:rPr>
          <w:b/>
          <w:sz w:val="17"/>
        </w:rPr>
      </w:pPr>
    </w:p>
    <w:tbl>
      <w:tblPr>
        <w:tblW w:w="0" w:type="auto"/>
        <w:tblInd w:w="18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6"/>
        <w:gridCol w:w="4244"/>
        <w:gridCol w:w="1133"/>
      </w:tblGrid>
      <w:tr w:rsidR="007C5447">
        <w:trPr>
          <w:trHeight w:val="345"/>
        </w:trPr>
        <w:tc>
          <w:tcPr>
            <w:tcW w:w="456" w:type="dxa"/>
            <w:shd w:val="clear" w:color="auto" w:fill="F7C9AC"/>
          </w:tcPr>
          <w:p w:rsidR="007C5447" w:rsidRDefault="00F6308C">
            <w:pPr>
              <w:pStyle w:val="TableParagraph"/>
              <w:spacing w:before="44"/>
              <w:ind w:left="87" w:right="79"/>
              <w:jc w:val="center"/>
              <w:rPr>
                <w:b/>
              </w:rPr>
            </w:pPr>
            <w:r>
              <w:rPr>
                <w:b/>
              </w:rPr>
              <w:t>Sl.</w:t>
            </w:r>
          </w:p>
        </w:tc>
        <w:tc>
          <w:tcPr>
            <w:tcW w:w="4244" w:type="dxa"/>
            <w:shd w:val="clear" w:color="auto" w:fill="F7C9AC"/>
          </w:tcPr>
          <w:p w:rsidR="007C5447" w:rsidRDefault="00F6308C">
            <w:pPr>
              <w:pStyle w:val="TableParagraph"/>
              <w:spacing w:before="44"/>
              <w:ind w:left="1577" w:right="1566"/>
              <w:jc w:val="center"/>
              <w:rPr>
                <w:b/>
              </w:rPr>
            </w:pPr>
            <w:r>
              <w:rPr>
                <w:b/>
              </w:rPr>
              <w:t>Particulars</w:t>
            </w:r>
          </w:p>
        </w:tc>
        <w:tc>
          <w:tcPr>
            <w:tcW w:w="1133" w:type="dxa"/>
            <w:shd w:val="clear" w:color="auto" w:fill="F7C9AC"/>
          </w:tcPr>
          <w:p w:rsidR="007C5447" w:rsidRDefault="00F6308C">
            <w:pPr>
              <w:pStyle w:val="TableParagraph"/>
              <w:spacing w:before="44"/>
              <w:ind w:right="94"/>
              <w:rPr>
                <w:b/>
              </w:rPr>
            </w:pPr>
            <w:r>
              <w:rPr>
                <w:b/>
              </w:rPr>
              <w:t>Rs. Crore</w:t>
            </w:r>
          </w:p>
        </w:tc>
      </w:tr>
      <w:tr w:rsidR="007C5447">
        <w:trPr>
          <w:trHeight w:val="345"/>
        </w:trPr>
        <w:tc>
          <w:tcPr>
            <w:tcW w:w="456" w:type="dxa"/>
          </w:tcPr>
          <w:p w:rsidR="007C5447" w:rsidRDefault="00F6308C">
            <w:pPr>
              <w:pStyle w:val="TableParagraph"/>
              <w:spacing w:before="44"/>
              <w:ind w:left="9"/>
              <w:jc w:val="center"/>
            </w:pPr>
            <w:r>
              <w:t>1</w:t>
            </w:r>
          </w:p>
        </w:tc>
        <w:tc>
          <w:tcPr>
            <w:tcW w:w="4244" w:type="dxa"/>
          </w:tcPr>
          <w:p w:rsidR="007C5447" w:rsidRDefault="00F6308C">
            <w:pPr>
              <w:pStyle w:val="TableParagraph"/>
              <w:spacing w:before="44"/>
              <w:ind w:left="107"/>
              <w:jc w:val="left"/>
            </w:pPr>
            <w:r>
              <w:t>Net O&amp;M expenses</w:t>
            </w:r>
          </w:p>
        </w:tc>
        <w:tc>
          <w:tcPr>
            <w:tcW w:w="1133" w:type="dxa"/>
          </w:tcPr>
          <w:p w:rsidR="007C5447" w:rsidRDefault="00F6308C">
            <w:pPr>
              <w:pStyle w:val="TableParagraph"/>
              <w:spacing w:before="75" w:line="250" w:lineRule="exact"/>
              <w:ind w:right="93"/>
            </w:pPr>
            <w:r>
              <w:t>5394</w:t>
            </w:r>
          </w:p>
        </w:tc>
      </w:tr>
      <w:tr w:rsidR="007C5447">
        <w:trPr>
          <w:trHeight w:val="345"/>
        </w:trPr>
        <w:tc>
          <w:tcPr>
            <w:tcW w:w="456" w:type="dxa"/>
          </w:tcPr>
          <w:p w:rsidR="007C5447" w:rsidRDefault="00F6308C">
            <w:pPr>
              <w:pStyle w:val="TableParagraph"/>
              <w:spacing w:before="44"/>
              <w:ind w:left="9"/>
              <w:jc w:val="center"/>
            </w:pPr>
            <w:r>
              <w:t>2</w:t>
            </w:r>
          </w:p>
        </w:tc>
        <w:tc>
          <w:tcPr>
            <w:tcW w:w="4244" w:type="dxa"/>
          </w:tcPr>
          <w:p w:rsidR="007C5447" w:rsidRDefault="00F6308C">
            <w:pPr>
              <w:pStyle w:val="TableParagraph"/>
              <w:spacing w:before="44"/>
              <w:ind w:left="107"/>
              <w:jc w:val="left"/>
            </w:pPr>
            <w:r>
              <w:t>Interest on Loan and Finance Charges</w:t>
            </w:r>
          </w:p>
        </w:tc>
        <w:tc>
          <w:tcPr>
            <w:tcW w:w="1133" w:type="dxa"/>
          </w:tcPr>
          <w:p w:rsidR="007C5447" w:rsidRDefault="00F6308C">
            <w:pPr>
              <w:pStyle w:val="TableParagraph"/>
              <w:spacing w:before="75" w:line="250" w:lineRule="exact"/>
              <w:ind w:right="93"/>
            </w:pPr>
            <w:r>
              <w:t>2555</w:t>
            </w:r>
          </w:p>
        </w:tc>
      </w:tr>
      <w:tr w:rsidR="007C5447">
        <w:trPr>
          <w:trHeight w:val="342"/>
        </w:trPr>
        <w:tc>
          <w:tcPr>
            <w:tcW w:w="456" w:type="dxa"/>
          </w:tcPr>
          <w:p w:rsidR="007C5447" w:rsidRDefault="00F6308C">
            <w:pPr>
              <w:pStyle w:val="TableParagraph"/>
              <w:spacing w:before="44"/>
              <w:ind w:left="9"/>
              <w:jc w:val="center"/>
            </w:pPr>
            <w:r>
              <w:t>3</w:t>
            </w:r>
          </w:p>
        </w:tc>
        <w:tc>
          <w:tcPr>
            <w:tcW w:w="4244" w:type="dxa"/>
          </w:tcPr>
          <w:p w:rsidR="007C5447" w:rsidRDefault="00F6308C">
            <w:pPr>
              <w:pStyle w:val="TableParagraph"/>
              <w:spacing w:before="44"/>
              <w:ind w:left="107"/>
              <w:jc w:val="left"/>
            </w:pPr>
            <w:r>
              <w:t>Interest on Working Capital</w:t>
            </w:r>
          </w:p>
        </w:tc>
        <w:tc>
          <w:tcPr>
            <w:tcW w:w="1133" w:type="dxa"/>
          </w:tcPr>
          <w:p w:rsidR="007C5447" w:rsidRDefault="00F6308C">
            <w:pPr>
              <w:pStyle w:val="TableParagraph"/>
              <w:spacing w:before="75" w:line="248" w:lineRule="exact"/>
              <w:ind w:right="96"/>
            </w:pPr>
            <w:r>
              <w:t>0</w:t>
            </w:r>
          </w:p>
        </w:tc>
      </w:tr>
      <w:tr w:rsidR="007C5447">
        <w:trPr>
          <w:trHeight w:val="345"/>
        </w:trPr>
        <w:tc>
          <w:tcPr>
            <w:tcW w:w="456" w:type="dxa"/>
          </w:tcPr>
          <w:p w:rsidR="007C5447" w:rsidRDefault="00F6308C">
            <w:pPr>
              <w:pStyle w:val="TableParagraph"/>
              <w:spacing w:before="46"/>
              <w:ind w:left="9"/>
              <w:jc w:val="center"/>
            </w:pPr>
            <w:r>
              <w:t>4</w:t>
            </w:r>
          </w:p>
        </w:tc>
        <w:tc>
          <w:tcPr>
            <w:tcW w:w="4244" w:type="dxa"/>
          </w:tcPr>
          <w:p w:rsidR="007C5447" w:rsidRDefault="00F6308C">
            <w:pPr>
              <w:pStyle w:val="TableParagraph"/>
              <w:spacing w:before="46"/>
              <w:ind w:left="107"/>
              <w:jc w:val="left"/>
            </w:pPr>
            <w:r>
              <w:t>Depreciation</w:t>
            </w:r>
          </w:p>
        </w:tc>
        <w:tc>
          <w:tcPr>
            <w:tcW w:w="1133" w:type="dxa"/>
          </w:tcPr>
          <w:p w:rsidR="007C5447" w:rsidRDefault="00F6308C">
            <w:pPr>
              <w:pStyle w:val="TableParagraph"/>
              <w:spacing w:before="77" w:line="248" w:lineRule="exact"/>
              <w:ind w:right="93"/>
            </w:pPr>
            <w:r>
              <w:t>1173</w:t>
            </w:r>
          </w:p>
        </w:tc>
      </w:tr>
      <w:tr w:rsidR="007C5447">
        <w:trPr>
          <w:trHeight w:val="345"/>
        </w:trPr>
        <w:tc>
          <w:tcPr>
            <w:tcW w:w="456" w:type="dxa"/>
          </w:tcPr>
          <w:p w:rsidR="007C5447" w:rsidRDefault="00F6308C">
            <w:pPr>
              <w:pStyle w:val="TableParagraph"/>
              <w:spacing w:before="47"/>
              <w:ind w:left="9"/>
              <w:jc w:val="center"/>
            </w:pPr>
            <w:r>
              <w:t>5</w:t>
            </w:r>
          </w:p>
        </w:tc>
        <w:tc>
          <w:tcPr>
            <w:tcW w:w="4244" w:type="dxa"/>
          </w:tcPr>
          <w:p w:rsidR="007C5447" w:rsidRDefault="00F6308C">
            <w:pPr>
              <w:pStyle w:val="TableParagraph"/>
              <w:spacing w:before="47"/>
              <w:ind w:left="107"/>
              <w:jc w:val="left"/>
            </w:pPr>
            <w:r>
              <w:t>Return on Equity</w:t>
            </w:r>
          </w:p>
        </w:tc>
        <w:tc>
          <w:tcPr>
            <w:tcW w:w="1133" w:type="dxa"/>
          </w:tcPr>
          <w:p w:rsidR="007C5447" w:rsidRDefault="00F6308C">
            <w:pPr>
              <w:pStyle w:val="TableParagraph"/>
              <w:spacing w:before="78" w:line="248" w:lineRule="exact"/>
              <w:ind w:right="96"/>
            </w:pPr>
            <w:r>
              <w:t>0</w:t>
            </w:r>
          </w:p>
        </w:tc>
      </w:tr>
      <w:tr w:rsidR="007C5447">
        <w:trPr>
          <w:trHeight w:val="345"/>
        </w:trPr>
        <w:tc>
          <w:tcPr>
            <w:tcW w:w="456" w:type="dxa"/>
          </w:tcPr>
          <w:p w:rsidR="007C5447" w:rsidRDefault="00F6308C">
            <w:pPr>
              <w:pStyle w:val="TableParagraph"/>
              <w:spacing w:before="46"/>
              <w:ind w:left="9"/>
              <w:jc w:val="center"/>
            </w:pPr>
            <w:r>
              <w:t>6</w:t>
            </w:r>
          </w:p>
        </w:tc>
        <w:tc>
          <w:tcPr>
            <w:tcW w:w="4244" w:type="dxa"/>
          </w:tcPr>
          <w:p w:rsidR="007C5447" w:rsidRDefault="00F6308C">
            <w:pPr>
              <w:pStyle w:val="TableParagraph"/>
              <w:spacing w:before="46"/>
              <w:ind w:left="107"/>
              <w:jc w:val="left"/>
            </w:pPr>
            <w:r>
              <w:t>Other Debits</w:t>
            </w:r>
          </w:p>
        </w:tc>
        <w:tc>
          <w:tcPr>
            <w:tcW w:w="1133" w:type="dxa"/>
          </w:tcPr>
          <w:p w:rsidR="007C5447" w:rsidRDefault="00F6308C">
            <w:pPr>
              <w:pStyle w:val="TableParagraph"/>
              <w:spacing w:before="77" w:line="248" w:lineRule="exact"/>
              <w:ind w:right="96"/>
            </w:pPr>
            <w:r>
              <w:t>0</w:t>
            </w:r>
          </w:p>
        </w:tc>
      </w:tr>
      <w:tr w:rsidR="007C5447">
        <w:trPr>
          <w:trHeight w:val="345"/>
        </w:trPr>
        <w:tc>
          <w:tcPr>
            <w:tcW w:w="456" w:type="dxa"/>
          </w:tcPr>
          <w:p w:rsidR="007C5447" w:rsidRDefault="00F6308C">
            <w:pPr>
              <w:pStyle w:val="TableParagraph"/>
              <w:spacing w:before="46"/>
              <w:ind w:left="9"/>
              <w:jc w:val="center"/>
              <w:rPr>
                <w:b/>
              </w:rPr>
            </w:pPr>
            <w:r>
              <w:rPr>
                <w:b/>
              </w:rPr>
              <w:t>7</w:t>
            </w:r>
          </w:p>
        </w:tc>
        <w:tc>
          <w:tcPr>
            <w:tcW w:w="4244" w:type="dxa"/>
          </w:tcPr>
          <w:p w:rsidR="007C5447" w:rsidRDefault="00F6308C">
            <w:pPr>
              <w:pStyle w:val="TableParagraph"/>
              <w:spacing w:before="46"/>
              <w:ind w:left="107"/>
              <w:jc w:val="left"/>
              <w:rPr>
                <w:b/>
              </w:rPr>
            </w:pPr>
            <w:r>
              <w:rPr>
                <w:b/>
              </w:rPr>
              <w:t>Annual Distribution Charges</w:t>
            </w:r>
          </w:p>
        </w:tc>
        <w:tc>
          <w:tcPr>
            <w:tcW w:w="1133" w:type="dxa"/>
          </w:tcPr>
          <w:p w:rsidR="007C5447" w:rsidRDefault="00F6308C">
            <w:pPr>
              <w:pStyle w:val="TableParagraph"/>
              <w:spacing w:before="75" w:line="250" w:lineRule="exact"/>
              <w:ind w:right="93"/>
              <w:rPr>
                <w:b/>
              </w:rPr>
            </w:pPr>
            <w:r>
              <w:rPr>
                <w:b/>
              </w:rPr>
              <w:t>9122</w:t>
            </w:r>
          </w:p>
        </w:tc>
      </w:tr>
      <w:tr w:rsidR="007C5447">
        <w:trPr>
          <w:trHeight w:val="345"/>
        </w:trPr>
        <w:tc>
          <w:tcPr>
            <w:tcW w:w="456" w:type="dxa"/>
          </w:tcPr>
          <w:p w:rsidR="007C5447" w:rsidRDefault="00F6308C">
            <w:pPr>
              <w:pStyle w:val="TableParagraph"/>
              <w:spacing w:before="44"/>
              <w:ind w:left="9"/>
              <w:jc w:val="center"/>
            </w:pPr>
            <w:r>
              <w:t>8</w:t>
            </w:r>
          </w:p>
        </w:tc>
        <w:tc>
          <w:tcPr>
            <w:tcW w:w="4244" w:type="dxa"/>
          </w:tcPr>
          <w:p w:rsidR="007C5447" w:rsidRDefault="00F6308C">
            <w:pPr>
              <w:pStyle w:val="TableParagraph"/>
              <w:spacing w:before="44"/>
              <w:ind w:left="107"/>
              <w:jc w:val="left"/>
            </w:pPr>
            <w:r>
              <w:t>Less: Interest on Consumer Security Deposits</w:t>
            </w:r>
          </w:p>
        </w:tc>
        <w:tc>
          <w:tcPr>
            <w:tcW w:w="1133" w:type="dxa"/>
          </w:tcPr>
          <w:p w:rsidR="007C5447" w:rsidRDefault="00F6308C">
            <w:pPr>
              <w:pStyle w:val="TableParagraph"/>
              <w:spacing w:before="75" w:line="250" w:lineRule="exact"/>
              <w:ind w:right="96"/>
            </w:pPr>
            <w:r>
              <w:t>613</w:t>
            </w:r>
          </w:p>
        </w:tc>
      </w:tr>
      <w:tr w:rsidR="007C5447">
        <w:trPr>
          <w:trHeight w:val="345"/>
        </w:trPr>
        <w:tc>
          <w:tcPr>
            <w:tcW w:w="456" w:type="dxa"/>
          </w:tcPr>
          <w:p w:rsidR="007C5447" w:rsidRDefault="00F6308C">
            <w:pPr>
              <w:pStyle w:val="TableParagraph"/>
              <w:spacing w:before="44"/>
              <w:ind w:left="9"/>
              <w:jc w:val="center"/>
            </w:pPr>
            <w:r>
              <w:t>9</w:t>
            </w:r>
          </w:p>
        </w:tc>
        <w:tc>
          <w:tcPr>
            <w:tcW w:w="4244" w:type="dxa"/>
          </w:tcPr>
          <w:p w:rsidR="007C5447" w:rsidRDefault="00F6308C">
            <w:pPr>
              <w:pStyle w:val="TableParagraph"/>
              <w:spacing w:before="44"/>
              <w:ind w:left="107"/>
              <w:jc w:val="left"/>
              <w:rPr>
                <w:b/>
              </w:rPr>
            </w:pPr>
            <w:r>
              <w:rPr>
                <w:b/>
              </w:rPr>
              <w:t>Net Annual Distribution Charges</w:t>
            </w:r>
          </w:p>
        </w:tc>
        <w:tc>
          <w:tcPr>
            <w:tcW w:w="1133" w:type="dxa"/>
          </w:tcPr>
          <w:p w:rsidR="007C5447" w:rsidRDefault="00F6308C">
            <w:pPr>
              <w:pStyle w:val="TableParagraph"/>
              <w:spacing w:before="75" w:line="250" w:lineRule="exact"/>
              <w:ind w:right="93"/>
              <w:rPr>
                <w:b/>
              </w:rPr>
            </w:pPr>
            <w:r>
              <w:rPr>
                <w:b/>
              </w:rPr>
              <w:t>8509</w:t>
            </w:r>
          </w:p>
        </w:tc>
      </w:tr>
    </w:tbl>
    <w:p w:rsidR="007C5447" w:rsidRDefault="007C5447">
      <w:pPr>
        <w:pStyle w:val="BodyText"/>
        <w:rPr>
          <w:b/>
          <w:sz w:val="26"/>
        </w:rPr>
      </w:pPr>
    </w:p>
    <w:p w:rsidR="007C5447" w:rsidRDefault="007C5447">
      <w:pPr>
        <w:pStyle w:val="BodyText"/>
        <w:spacing w:before="6"/>
        <w:rPr>
          <w:b/>
          <w:sz w:val="36"/>
        </w:rPr>
      </w:pPr>
    </w:p>
    <w:p w:rsidR="007C5447" w:rsidRDefault="00F6308C">
      <w:pPr>
        <w:pStyle w:val="ListParagraph"/>
        <w:numPr>
          <w:ilvl w:val="2"/>
          <w:numId w:val="40"/>
        </w:numPr>
        <w:tabs>
          <w:tab w:val="left" w:pos="1113"/>
        </w:tabs>
        <w:spacing w:line="312" w:lineRule="auto"/>
        <w:ind w:left="1112" w:right="880"/>
        <w:jc w:val="both"/>
        <w:rPr>
          <w:sz w:val="24"/>
        </w:rPr>
      </w:pPr>
      <w:r>
        <w:rPr>
          <w:sz w:val="24"/>
        </w:rPr>
        <w:t xml:space="preserve">As HT consumers are eligible for Open Access, the above Annual Distribution charges have been allocated to them in the ratio of the HT distribution network to  the total of HT and </w:t>
      </w:r>
      <w:r>
        <w:rPr>
          <w:spacing w:val="-3"/>
          <w:sz w:val="24"/>
        </w:rPr>
        <w:t xml:space="preserve">LT </w:t>
      </w:r>
      <w:r>
        <w:rPr>
          <w:sz w:val="24"/>
        </w:rPr>
        <w:t>distribution network. The allocation has been done in the same ratio as s</w:t>
      </w:r>
      <w:r>
        <w:rPr>
          <w:sz w:val="24"/>
        </w:rPr>
        <w:t>ubmitted by</w:t>
      </w:r>
      <w:r>
        <w:rPr>
          <w:spacing w:val="-4"/>
          <w:sz w:val="24"/>
        </w:rPr>
        <w:t xml:space="preserve"> </w:t>
      </w:r>
      <w:r>
        <w:rPr>
          <w:sz w:val="24"/>
        </w:rPr>
        <w:t>TANGEDCO.</w:t>
      </w:r>
    </w:p>
    <w:p w:rsidR="007C5447" w:rsidRDefault="007C5447">
      <w:pPr>
        <w:pStyle w:val="BodyText"/>
        <w:spacing w:before="10"/>
        <w:rPr>
          <w:sz w:val="20"/>
        </w:rPr>
      </w:pPr>
    </w:p>
    <w:p w:rsidR="007C5447" w:rsidRDefault="00F6308C">
      <w:pPr>
        <w:pStyle w:val="ListParagraph"/>
        <w:numPr>
          <w:ilvl w:val="2"/>
          <w:numId w:val="40"/>
        </w:numPr>
        <w:tabs>
          <w:tab w:val="left" w:pos="1113"/>
        </w:tabs>
        <w:spacing w:before="1" w:line="312" w:lineRule="auto"/>
        <w:ind w:left="1112" w:right="884"/>
        <w:jc w:val="both"/>
        <w:rPr>
          <w:sz w:val="24"/>
        </w:rPr>
      </w:pPr>
      <w:r>
        <w:rPr>
          <w:sz w:val="24"/>
        </w:rPr>
        <w:t>Based on the above ratio and the approved Annual Distribution Charges, the approved Wheeling Charges per unit for FY 2017-18 is shown in the Table</w:t>
      </w:r>
      <w:r>
        <w:rPr>
          <w:spacing w:val="-11"/>
          <w:sz w:val="24"/>
        </w:rPr>
        <w:t xml:space="preserve"> </w:t>
      </w:r>
      <w:r>
        <w:rPr>
          <w:sz w:val="24"/>
        </w:rPr>
        <w:t>below:</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Heading2"/>
        <w:spacing w:before="60"/>
        <w:ind w:left="378" w:right="999"/>
        <w:jc w:val="center"/>
      </w:pPr>
      <w:r>
        <w:lastRenderedPageBreak/>
        <w:t>Table 5-28: Approved Wheeling Charges for FY 2017-18</w:t>
      </w:r>
    </w:p>
    <w:p w:rsidR="007C5447" w:rsidRDefault="007C5447">
      <w:pPr>
        <w:pStyle w:val="BodyText"/>
        <w:spacing w:before="8"/>
        <w:rPr>
          <w:b/>
          <w:sz w:val="17"/>
        </w:rPr>
      </w:pPr>
    </w:p>
    <w:tbl>
      <w:tblPr>
        <w:tblW w:w="0" w:type="auto"/>
        <w:tblInd w:w="1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36"/>
        <w:gridCol w:w="1844"/>
      </w:tblGrid>
      <w:tr w:rsidR="007C5447">
        <w:trPr>
          <w:trHeight w:val="340"/>
        </w:trPr>
        <w:tc>
          <w:tcPr>
            <w:tcW w:w="6236" w:type="dxa"/>
            <w:shd w:val="clear" w:color="auto" w:fill="FBD4B4"/>
          </w:tcPr>
          <w:p w:rsidR="007C5447" w:rsidRDefault="00F6308C">
            <w:pPr>
              <w:pStyle w:val="TableParagraph"/>
              <w:spacing w:before="44"/>
              <w:ind w:left="2232" w:right="2224"/>
              <w:jc w:val="center"/>
              <w:rPr>
                <w:b/>
              </w:rPr>
            </w:pPr>
            <w:r>
              <w:rPr>
                <w:b/>
              </w:rPr>
              <w:t>Wheelin</w:t>
            </w:r>
            <w:r>
              <w:rPr>
                <w:b/>
              </w:rPr>
              <w:t>g Charges</w:t>
            </w:r>
          </w:p>
        </w:tc>
        <w:tc>
          <w:tcPr>
            <w:tcW w:w="1844" w:type="dxa"/>
            <w:shd w:val="clear" w:color="auto" w:fill="FBD4B4"/>
          </w:tcPr>
          <w:p w:rsidR="007C5447" w:rsidRDefault="00F6308C">
            <w:pPr>
              <w:pStyle w:val="TableParagraph"/>
              <w:spacing w:before="44"/>
              <w:ind w:left="341"/>
              <w:jc w:val="left"/>
              <w:rPr>
                <w:b/>
              </w:rPr>
            </w:pPr>
            <w:r>
              <w:rPr>
                <w:b/>
              </w:rPr>
              <w:t>Commission</w:t>
            </w:r>
          </w:p>
        </w:tc>
      </w:tr>
      <w:tr w:rsidR="007C5447">
        <w:trPr>
          <w:trHeight w:val="337"/>
        </w:trPr>
        <w:tc>
          <w:tcPr>
            <w:tcW w:w="6236" w:type="dxa"/>
          </w:tcPr>
          <w:p w:rsidR="007C5447" w:rsidRDefault="00F6308C">
            <w:pPr>
              <w:pStyle w:val="TableParagraph"/>
              <w:spacing w:before="41"/>
              <w:ind w:left="107"/>
              <w:jc w:val="left"/>
            </w:pPr>
            <w:r>
              <w:t>Energy fed into Grid (in MU)</w:t>
            </w:r>
          </w:p>
        </w:tc>
        <w:tc>
          <w:tcPr>
            <w:tcW w:w="1844" w:type="dxa"/>
          </w:tcPr>
          <w:p w:rsidR="007C5447" w:rsidRDefault="00F6308C">
            <w:pPr>
              <w:pStyle w:val="TableParagraph"/>
              <w:spacing w:before="41"/>
              <w:ind w:right="93"/>
            </w:pPr>
            <w:r>
              <w:t>97,903.15</w:t>
            </w:r>
          </w:p>
        </w:tc>
      </w:tr>
      <w:tr w:rsidR="007C5447">
        <w:trPr>
          <w:trHeight w:val="340"/>
        </w:trPr>
        <w:tc>
          <w:tcPr>
            <w:tcW w:w="6236" w:type="dxa"/>
          </w:tcPr>
          <w:p w:rsidR="007C5447" w:rsidRDefault="00F6308C">
            <w:pPr>
              <w:pStyle w:val="TableParagraph"/>
              <w:spacing w:before="41"/>
              <w:ind w:left="107"/>
              <w:jc w:val="left"/>
            </w:pPr>
            <w:r>
              <w:t>Transmission Loss upto 110 kV</w:t>
            </w:r>
          </w:p>
        </w:tc>
        <w:tc>
          <w:tcPr>
            <w:tcW w:w="1844" w:type="dxa"/>
          </w:tcPr>
          <w:p w:rsidR="007C5447" w:rsidRDefault="00F6308C">
            <w:pPr>
              <w:pStyle w:val="TableParagraph"/>
              <w:spacing w:before="41"/>
              <w:ind w:right="94"/>
            </w:pPr>
            <w:r>
              <w:t>3.91%</w:t>
            </w:r>
          </w:p>
        </w:tc>
      </w:tr>
      <w:tr w:rsidR="007C5447">
        <w:trPr>
          <w:trHeight w:val="338"/>
        </w:trPr>
        <w:tc>
          <w:tcPr>
            <w:tcW w:w="6236" w:type="dxa"/>
          </w:tcPr>
          <w:p w:rsidR="007C5447" w:rsidRDefault="00F6308C">
            <w:pPr>
              <w:pStyle w:val="TableParagraph"/>
              <w:spacing w:before="41"/>
              <w:ind w:left="163"/>
              <w:jc w:val="left"/>
            </w:pPr>
            <w:r>
              <w:t>Less: Energy consumed at 230 kV and 110 kV</w:t>
            </w:r>
          </w:p>
        </w:tc>
        <w:tc>
          <w:tcPr>
            <w:tcW w:w="1844" w:type="dxa"/>
          </w:tcPr>
          <w:p w:rsidR="007C5447" w:rsidRDefault="00F6308C">
            <w:pPr>
              <w:pStyle w:val="TableParagraph"/>
              <w:spacing w:before="41"/>
              <w:ind w:right="93"/>
            </w:pPr>
            <w:r>
              <w:t>4,714.95</w:t>
            </w:r>
          </w:p>
        </w:tc>
      </w:tr>
      <w:tr w:rsidR="007C5447">
        <w:trPr>
          <w:trHeight w:val="340"/>
        </w:trPr>
        <w:tc>
          <w:tcPr>
            <w:tcW w:w="6236" w:type="dxa"/>
          </w:tcPr>
          <w:p w:rsidR="007C5447" w:rsidRDefault="00F6308C">
            <w:pPr>
              <w:pStyle w:val="TableParagraph"/>
              <w:spacing w:before="41"/>
              <w:ind w:left="107"/>
              <w:jc w:val="left"/>
            </w:pPr>
            <w:r>
              <w:t>Energy sent out to Distribution Network</w:t>
            </w:r>
          </w:p>
        </w:tc>
        <w:tc>
          <w:tcPr>
            <w:tcW w:w="1844" w:type="dxa"/>
          </w:tcPr>
          <w:p w:rsidR="007C5447" w:rsidRDefault="00F6308C">
            <w:pPr>
              <w:pStyle w:val="TableParagraph"/>
              <w:spacing w:before="41"/>
              <w:ind w:right="93"/>
            </w:pPr>
            <w:r>
              <w:t>89,360.19</w:t>
            </w:r>
          </w:p>
        </w:tc>
      </w:tr>
      <w:tr w:rsidR="007C5447">
        <w:trPr>
          <w:trHeight w:val="337"/>
        </w:trPr>
        <w:tc>
          <w:tcPr>
            <w:tcW w:w="6236" w:type="dxa"/>
          </w:tcPr>
          <w:p w:rsidR="007C5447" w:rsidRDefault="00F6308C">
            <w:pPr>
              <w:pStyle w:val="TableParagraph"/>
              <w:spacing w:before="41"/>
              <w:ind w:left="107"/>
              <w:jc w:val="left"/>
            </w:pPr>
            <w:r>
              <w:t>Less: Loss upto 33kV network</w:t>
            </w:r>
          </w:p>
        </w:tc>
        <w:tc>
          <w:tcPr>
            <w:tcW w:w="1844" w:type="dxa"/>
          </w:tcPr>
          <w:p w:rsidR="007C5447" w:rsidRDefault="00F6308C">
            <w:pPr>
              <w:pStyle w:val="TableParagraph"/>
              <w:spacing w:before="41"/>
              <w:ind w:right="94"/>
            </w:pPr>
            <w:r>
              <w:t>1.52%</w:t>
            </w:r>
          </w:p>
        </w:tc>
      </w:tr>
      <w:tr w:rsidR="007C5447">
        <w:trPr>
          <w:trHeight w:val="337"/>
        </w:trPr>
        <w:tc>
          <w:tcPr>
            <w:tcW w:w="6236" w:type="dxa"/>
          </w:tcPr>
          <w:p w:rsidR="007C5447" w:rsidRDefault="00F6308C">
            <w:pPr>
              <w:pStyle w:val="TableParagraph"/>
              <w:spacing w:before="41"/>
              <w:ind w:left="107"/>
              <w:jc w:val="left"/>
            </w:pPr>
            <w:r>
              <w:t>Energy fed into 33kV and below</w:t>
            </w:r>
          </w:p>
        </w:tc>
        <w:tc>
          <w:tcPr>
            <w:tcW w:w="1844" w:type="dxa"/>
          </w:tcPr>
          <w:p w:rsidR="007C5447" w:rsidRDefault="00F6308C">
            <w:pPr>
              <w:pStyle w:val="TableParagraph"/>
              <w:spacing w:before="41"/>
              <w:ind w:right="93"/>
            </w:pPr>
            <w:r>
              <w:t>88,001.91</w:t>
            </w:r>
          </w:p>
        </w:tc>
      </w:tr>
      <w:tr w:rsidR="007C5447">
        <w:trPr>
          <w:trHeight w:val="340"/>
        </w:trPr>
        <w:tc>
          <w:tcPr>
            <w:tcW w:w="6236" w:type="dxa"/>
          </w:tcPr>
          <w:p w:rsidR="007C5447" w:rsidRDefault="00F6308C">
            <w:pPr>
              <w:pStyle w:val="TableParagraph"/>
              <w:spacing w:before="41"/>
              <w:ind w:left="107"/>
              <w:jc w:val="left"/>
            </w:pPr>
            <w:r>
              <w:t>Total Annual Wheeling Charges (Rs. Crore)</w:t>
            </w:r>
          </w:p>
        </w:tc>
        <w:tc>
          <w:tcPr>
            <w:tcW w:w="1844" w:type="dxa"/>
          </w:tcPr>
          <w:p w:rsidR="007C5447" w:rsidRDefault="00F6308C">
            <w:pPr>
              <w:pStyle w:val="TableParagraph"/>
              <w:spacing w:before="41"/>
              <w:ind w:right="93"/>
            </w:pPr>
            <w:r>
              <w:t>1852.36</w:t>
            </w:r>
          </w:p>
        </w:tc>
      </w:tr>
      <w:tr w:rsidR="007C5447">
        <w:trPr>
          <w:trHeight w:val="337"/>
        </w:trPr>
        <w:tc>
          <w:tcPr>
            <w:tcW w:w="6236" w:type="dxa"/>
          </w:tcPr>
          <w:p w:rsidR="007C5447" w:rsidRDefault="00F6308C">
            <w:pPr>
              <w:pStyle w:val="TableParagraph"/>
              <w:spacing w:before="41"/>
              <w:ind w:left="107"/>
              <w:jc w:val="left"/>
              <w:rPr>
                <w:b/>
              </w:rPr>
            </w:pPr>
            <w:r>
              <w:rPr>
                <w:b/>
              </w:rPr>
              <w:t>Wheeling charges for Open Access Customer (Paisa/ unit)</w:t>
            </w:r>
          </w:p>
        </w:tc>
        <w:tc>
          <w:tcPr>
            <w:tcW w:w="1844" w:type="dxa"/>
          </w:tcPr>
          <w:p w:rsidR="007C5447" w:rsidRDefault="00F6308C">
            <w:pPr>
              <w:pStyle w:val="TableParagraph"/>
              <w:spacing w:before="41"/>
              <w:ind w:right="93"/>
              <w:rPr>
                <w:b/>
              </w:rPr>
            </w:pPr>
            <w:r>
              <w:rPr>
                <w:b/>
              </w:rPr>
              <w:t>21.05</w:t>
            </w:r>
          </w:p>
        </w:tc>
      </w:tr>
    </w:tbl>
    <w:p w:rsidR="007C5447" w:rsidRDefault="007C5447">
      <w:pPr>
        <w:pStyle w:val="BodyText"/>
        <w:rPr>
          <w:b/>
          <w:sz w:val="26"/>
        </w:rPr>
      </w:pPr>
    </w:p>
    <w:p w:rsidR="007C5447" w:rsidRDefault="007C5447">
      <w:pPr>
        <w:pStyle w:val="BodyText"/>
        <w:rPr>
          <w:b/>
          <w:sz w:val="26"/>
        </w:rPr>
      </w:pPr>
    </w:p>
    <w:p w:rsidR="007C5447" w:rsidRDefault="007C5447">
      <w:pPr>
        <w:pStyle w:val="BodyText"/>
        <w:rPr>
          <w:b/>
          <w:sz w:val="21"/>
        </w:rPr>
      </w:pPr>
    </w:p>
    <w:p w:rsidR="007C5447" w:rsidRDefault="00F6308C">
      <w:pPr>
        <w:pStyle w:val="Heading2"/>
        <w:numPr>
          <w:ilvl w:val="1"/>
          <w:numId w:val="40"/>
        </w:numPr>
        <w:tabs>
          <w:tab w:val="left" w:pos="826"/>
          <w:tab w:val="left" w:pos="827"/>
        </w:tabs>
        <w:ind w:left="826"/>
        <w:jc w:val="left"/>
      </w:pPr>
      <w:bookmarkStart w:id="85" w:name="_bookmark85"/>
      <w:bookmarkEnd w:id="85"/>
      <w:r>
        <w:t>Losses Applicable for Open Access</w:t>
      </w:r>
      <w:r>
        <w:rPr>
          <w:spacing w:val="-6"/>
        </w:rPr>
        <w:t xml:space="preserve"> </w:t>
      </w:r>
      <w:r>
        <w:t>transactions</w:t>
      </w:r>
    </w:p>
    <w:p w:rsidR="007C5447" w:rsidRDefault="007C5447">
      <w:pPr>
        <w:pStyle w:val="BodyText"/>
        <w:spacing w:before="11"/>
        <w:rPr>
          <w:b/>
          <w:sz w:val="27"/>
        </w:rPr>
      </w:pPr>
    </w:p>
    <w:p w:rsidR="007C5447" w:rsidRDefault="00F6308C">
      <w:pPr>
        <w:pStyle w:val="ListParagraph"/>
        <w:numPr>
          <w:ilvl w:val="2"/>
          <w:numId w:val="40"/>
        </w:numPr>
        <w:tabs>
          <w:tab w:val="left" w:pos="1112"/>
          <w:tab w:val="left" w:pos="1113"/>
        </w:tabs>
        <w:spacing w:line="312" w:lineRule="auto"/>
        <w:ind w:left="1112" w:right="883"/>
        <w:jc w:val="left"/>
        <w:rPr>
          <w:sz w:val="24"/>
        </w:rPr>
      </w:pPr>
      <w:r>
        <w:rPr>
          <w:sz w:val="24"/>
        </w:rPr>
        <w:t>The applicable losses for Open Access transactions, depending on the voltage of injection and drawal are given in the Table</w:t>
      </w:r>
      <w:r>
        <w:rPr>
          <w:spacing w:val="-1"/>
          <w:sz w:val="24"/>
        </w:rPr>
        <w:t xml:space="preserve"> </w:t>
      </w:r>
      <w:r>
        <w:rPr>
          <w:sz w:val="24"/>
        </w:rPr>
        <w:t>below:</w:t>
      </w:r>
    </w:p>
    <w:p w:rsidR="007C5447" w:rsidRDefault="007C5447">
      <w:pPr>
        <w:pStyle w:val="BodyText"/>
        <w:spacing w:before="10"/>
        <w:rPr>
          <w:sz w:val="20"/>
        </w:rPr>
      </w:pPr>
    </w:p>
    <w:p w:rsidR="007C5447" w:rsidRDefault="00F6308C">
      <w:pPr>
        <w:pStyle w:val="Heading2"/>
        <w:ind w:left="381" w:right="999"/>
        <w:jc w:val="center"/>
      </w:pPr>
      <w:r>
        <w:t>Table 5-29: Applicable losses for Open Access transactions for FY 2017-18</w:t>
      </w:r>
    </w:p>
    <w:p w:rsidR="007C5447" w:rsidRDefault="007C5447">
      <w:pPr>
        <w:pStyle w:val="BodyText"/>
        <w:spacing w:before="9" w:after="1"/>
        <w:rPr>
          <w:b/>
          <w:sz w:val="17"/>
        </w:rPr>
      </w:pPr>
    </w:p>
    <w:tbl>
      <w:tblPr>
        <w:tblW w:w="0" w:type="auto"/>
        <w:tblInd w:w="1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61"/>
        <w:gridCol w:w="1810"/>
        <w:gridCol w:w="3544"/>
      </w:tblGrid>
      <w:tr w:rsidR="007C5447">
        <w:trPr>
          <w:trHeight w:val="551"/>
        </w:trPr>
        <w:tc>
          <w:tcPr>
            <w:tcW w:w="2161" w:type="dxa"/>
            <w:shd w:val="clear" w:color="auto" w:fill="FBD4B4"/>
          </w:tcPr>
          <w:p w:rsidR="007C5447" w:rsidRDefault="00F6308C">
            <w:pPr>
              <w:pStyle w:val="TableParagraph"/>
              <w:spacing w:before="2" w:line="276" w:lineRule="exact"/>
              <w:ind w:left="846" w:right="159" w:hanging="651"/>
              <w:jc w:val="left"/>
              <w:rPr>
                <w:b/>
                <w:sz w:val="24"/>
              </w:rPr>
            </w:pPr>
            <w:r>
              <w:rPr>
                <w:b/>
                <w:sz w:val="24"/>
              </w:rPr>
              <w:t>Injection Voltage (kV)</w:t>
            </w:r>
          </w:p>
        </w:tc>
        <w:tc>
          <w:tcPr>
            <w:tcW w:w="1810" w:type="dxa"/>
            <w:shd w:val="clear" w:color="auto" w:fill="FBD4B4"/>
          </w:tcPr>
          <w:p w:rsidR="007C5447" w:rsidRDefault="00F6308C">
            <w:pPr>
              <w:pStyle w:val="TableParagraph"/>
              <w:spacing w:before="2" w:line="276" w:lineRule="exact"/>
              <w:ind w:left="246" w:right="210" w:firstLine="276"/>
              <w:jc w:val="left"/>
              <w:rPr>
                <w:b/>
                <w:sz w:val="24"/>
              </w:rPr>
            </w:pPr>
            <w:r>
              <w:rPr>
                <w:b/>
                <w:sz w:val="24"/>
              </w:rPr>
              <w:t>Drawal Voltage (kV)</w:t>
            </w:r>
          </w:p>
        </w:tc>
        <w:tc>
          <w:tcPr>
            <w:tcW w:w="3544" w:type="dxa"/>
            <w:shd w:val="clear" w:color="auto" w:fill="FBD4B4"/>
          </w:tcPr>
          <w:p w:rsidR="007C5447" w:rsidRDefault="00F6308C">
            <w:pPr>
              <w:pStyle w:val="TableParagraph"/>
              <w:spacing w:before="2" w:line="276" w:lineRule="exact"/>
              <w:ind w:left="543" w:right="371" w:hanging="137"/>
              <w:jc w:val="left"/>
              <w:rPr>
                <w:b/>
                <w:sz w:val="24"/>
              </w:rPr>
            </w:pPr>
            <w:r>
              <w:rPr>
                <w:b/>
                <w:sz w:val="24"/>
              </w:rPr>
              <w:t>Applicable losses for Open Access transactions (%)</w:t>
            </w:r>
          </w:p>
        </w:tc>
      </w:tr>
      <w:tr w:rsidR="007C5447">
        <w:trPr>
          <w:trHeight w:val="356"/>
        </w:trPr>
        <w:tc>
          <w:tcPr>
            <w:tcW w:w="2161" w:type="dxa"/>
            <w:vMerge w:val="restart"/>
          </w:tcPr>
          <w:p w:rsidR="007C5447" w:rsidRDefault="007C5447">
            <w:pPr>
              <w:pStyle w:val="TableParagraph"/>
              <w:jc w:val="left"/>
              <w:rPr>
                <w:b/>
                <w:sz w:val="26"/>
              </w:rPr>
            </w:pPr>
          </w:p>
          <w:p w:rsidR="007C5447" w:rsidRDefault="007C5447">
            <w:pPr>
              <w:pStyle w:val="TableParagraph"/>
              <w:jc w:val="left"/>
              <w:rPr>
                <w:b/>
                <w:sz w:val="26"/>
              </w:rPr>
            </w:pPr>
          </w:p>
          <w:p w:rsidR="007C5447" w:rsidRDefault="00F6308C">
            <w:pPr>
              <w:pStyle w:val="TableParagraph"/>
              <w:spacing w:before="156"/>
              <w:ind w:left="879" w:right="861"/>
              <w:jc w:val="center"/>
              <w:rPr>
                <w:sz w:val="24"/>
              </w:rPr>
            </w:pPr>
            <w:r>
              <w:rPr>
                <w:sz w:val="24"/>
              </w:rPr>
              <w:t>230</w:t>
            </w:r>
          </w:p>
        </w:tc>
        <w:tc>
          <w:tcPr>
            <w:tcW w:w="1810" w:type="dxa"/>
          </w:tcPr>
          <w:p w:rsidR="007C5447" w:rsidRDefault="00F6308C">
            <w:pPr>
              <w:pStyle w:val="TableParagraph"/>
              <w:spacing w:line="272" w:lineRule="exact"/>
              <w:ind w:right="720"/>
              <w:rPr>
                <w:sz w:val="24"/>
              </w:rPr>
            </w:pPr>
            <w:r>
              <w:rPr>
                <w:sz w:val="24"/>
              </w:rPr>
              <w:t>230</w:t>
            </w:r>
          </w:p>
        </w:tc>
        <w:tc>
          <w:tcPr>
            <w:tcW w:w="3544" w:type="dxa"/>
          </w:tcPr>
          <w:p w:rsidR="007C5447" w:rsidRDefault="00F6308C">
            <w:pPr>
              <w:pStyle w:val="TableParagraph"/>
              <w:spacing w:line="272" w:lineRule="exact"/>
              <w:ind w:left="1440" w:right="1423"/>
              <w:jc w:val="center"/>
              <w:rPr>
                <w:sz w:val="24"/>
              </w:rPr>
            </w:pPr>
            <w:r>
              <w:rPr>
                <w:sz w:val="24"/>
              </w:rPr>
              <w:t>0.77%</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line="275" w:lineRule="exact"/>
              <w:ind w:right="720"/>
              <w:rPr>
                <w:sz w:val="24"/>
              </w:rPr>
            </w:pPr>
            <w:r>
              <w:rPr>
                <w:sz w:val="24"/>
              </w:rPr>
              <w:t>110</w:t>
            </w:r>
          </w:p>
        </w:tc>
        <w:tc>
          <w:tcPr>
            <w:tcW w:w="3544" w:type="dxa"/>
          </w:tcPr>
          <w:p w:rsidR="007C5447" w:rsidRDefault="00F6308C">
            <w:pPr>
              <w:pStyle w:val="TableParagraph"/>
              <w:spacing w:line="275" w:lineRule="exact"/>
              <w:ind w:left="1440" w:right="1423"/>
              <w:jc w:val="center"/>
              <w:rPr>
                <w:sz w:val="24"/>
              </w:rPr>
            </w:pPr>
            <w:r>
              <w:rPr>
                <w:sz w:val="24"/>
              </w:rPr>
              <w:t>3.89%</w:t>
            </w:r>
          </w:p>
        </w:tc>
      </w:tr>
      <w:tr w:rsidR="007C5447">
        <w:trPr>
          <w:trHeight w:val="356"/>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line="275" w:lineRule="exact"/>
              <w:ind w:right="720"/>
              <w:rPr>
                <w:sz w:val="24"/>
              </w:rPr>
            </w:pPr>
            <w:r>
              <w:rPr>
                <w:sz w:val="24"/>
              </w:rPr>
              <w:t>33</w:t>
            </w:r>
          </w:p>
        </w:tc>
        <w:tc>
          <w:tcPr>
            <w:tcW w:w="3544" w:type="dxa"/>
          </w:tcPr>
          <w:p w:rsidR="007C5447" w:rsidRDefault="00F6308C">
            <w:pPr>
              <w:pStyle w:val="TableParagraph"/>
              <w:spacing w:line="275" w:lineRule="exact"/>
              <w:ind w:left="1440" w:right="1423"/>
              <w:jc w:val="center"/>
              <w:rPr>
                <w:sz w:val="24"/>
              </w:rPr>
            </w:pPr>
            <w:r>
              <w:rPr>
                <w:sz w:val="24"/>
              </w:rPr>
              <w:t>5.27%</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before="1"/>
              <w:ind w:right="720"/>
              <w:rPr>
                <w:sz w:val="24"/>
              </w:rPr>
            </w:pPr>
            <w:r>
              <w:rPr>
                <w:sz w:val="24"/>
              </w:rPr>
              <w:t>22</w:t>
            </w:r>
          </w:p>
        </w:tc>
        <w:tc>
          <w:tcPr>
            <w:tcW w:w="3544" w:type="dxa"/>
          </w:tcPr>
          <w:p w:rsidR="007C5447" w:rsidRDefault="00F6308C">
            <w:pPr>
              <w:pStyle w:val="TableParagraph"/>
              <w:spacing w:before="1"/>
              <w:ind w:left="1440" w:right="1423"/>
              <w:jc w:val="center"/>
              <w:rPr>
                <w:sz w:val="24"/>
              </w:rPr>
            </w:pPr>
            <w:r>
              <w:rPr>
                <w:sz w:val="24"/>
              </w:rPr>
              <w:t>7.50%</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before="1"/>
              <w:ind w:right="720"/>
              <w:rPr>
                <w:sz w:val="24"/>
              </w:rPr>
            </w:pPr>
            <w:r>
              <w:rPr>
                <w:sz w:val="24"/>
              </w:rPr>
              <w:t>11</w:t>
            </w:r>
          </w:p>
        </w:tc>
        <w:tc>
          <w:tcPr>
            <w:tcW w:w="3544" w:type="dxa"/>
          </w:tcPr>
          <w:p w:rsidR="007C5447" w:rsidRDefault="00F6308C">
            <w:pPr>
              <w:pStyle w:val="TableParagraph"/>
              <w:spacing w:before="1"/>
              <w:ind w:left="1440" w:right="1423"/>
              <w:jc w:val="center"/>
              <w:rPr>
                <w:sz w:val="24"/>
              </w:rPr>
            </w:pPr>
            <w:r>
              <w:rPr>
                <w:sz w:val="24"/>
              </w:rPr>
              <w:t>9.76%</w:t>
            </w:r>
          </w:p>
        </w:tc>
      </w:tr>
      <w:tr w:rsidR="007C5447">
        <w:trPr>
          <w:trHeight w:val="359"/>
        </w:trPr>
        <w:tc>
          <w:tcPr>
            <w:tcW w:w="2161" w:type="dxa"/>
            <w:vMerge w:val="restart"/>
          </w:tcPr>
          <w:p w:rsidR="007C5447" w:rsidRDefault="007C5447">
            <w:pPr>
              <w:pStyle w:val="TableParagraph"/>
              <w:jc w:val="left"/>
              <w:rPr>
                <w:b/>
                <w:sz w:val="26"/>
              </w:rPr>
            </w:pPr>
          </w:p>
          <w:p w:rsidR="007C5447" w:rsidRDefault="007C5447">
            <w:pPr>
              <w:pStyle w:val="TableParagraph"/>
              <w:jc w:val="left"/>
              <w:rPr>
                <w:b/>
                <w:sz w:val="26"/>
              </w:rPr>
            </w:pPr>
          </w:p>
          <w:p w:rsidR="007C5447" w:rsidRDefault="00F6308C">
            <w:pPr>
              <w:pStyle w:val="TableParagraph"/>
              <w:spacing w:before="216"/>
              <w:ind w:left="879" w:right="861"/>
              <w:jc w:val="center"/>
              <w:rPr>
                <w:sz w:val="24"/>
              </w:rPr>
            </w:pPr>
            <w:r>
              <w:rPr>
                <w:sz w:val="24"/>
              </w:rPr>
              <w:t>110</w:t>
            </w:r>
          </w:p>
        </w:tc>
        <w:tc>
          <w:tcPr>
            <w:tcW w:w="1810" w:type="dxa"/>
          </w:tcPr>
          <w:p w:rsidR="007C5447" w:rsidRDefault="00F6308C">
            <w:pPr>
              <w:pStyle w:val="TableParagraph"/>
              <w:spacing w:line="275" w:lineRule="exact"/>
              <w:ind w:right="720"/>
              <w:rPr>
                <w:sz w:val="24"/>
              </w:rPr>
            </w:pPr>
            <w:r>
              <w:rPr>
                <w:sz w:val="24"/>
              </w:rPr>
              <w:t>230</w:t>
            </w:r>
          </w:p>
        </w:tc>
        <w:tc>
          <w:tcPr>
            <w:tcW w:w="3544" w:type="dxa"/>
          </w:tcPr>
          <w:p w:rsidR="007C5447" w:rsidRDefault="00F6308C">
            <w:pPr>
              <w:pStyle w:val="TableParagraph"/>
              <w:spacing w:line="275" w:lineRule="exact"/>
              <w:ind w:left="1440" w:right="1423"/>
              <w:jc w:val="center"/>
              <w:rPr>
                <w:sz w:val="24"/>
              </w:rPr>
            </w:pPr>
            <w:r>
              <w:rPr>
                <w:sz w:val="24"/>
              </w:rPr>
              <w:t>3.89%</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line="275" w:lineRule="exact"/>
              <w:ind w:right="720"/>
              <w:rPr>
                <w:sz w:val="24"/>
              </w:rPr>
            </w:pPr>
            <w:r>
              <w:rPr>
                <w:sz w:val="24"/>
              </w:rPr>
              <w:t>110</w:t>
            </w:r>
          </w:p>
        </w:tc>
        <w:tc>
          <w:tcPr>
            <w:tcW w:w="3544" w:type="dxa"/>
          </w:tcPr>
          <w:p w:rsidR="007C5447" w:rsidRDefault="00F6308C">
            <w:pPr>
              <w:pStyle w:val="TableParagraph"/>
              <w:spacing w:line="275" w:lineRule="exact"/>
              <w:ind w:left="1440" w:right="1423"/>
              <w:jc w:val="center"/>
              <w:rPr>
                <w:sz w:val="24"/>
              </w:rPr>
            </w:pPr>
            <w:r>
              <w:rPr>
                <w:sz w:val="24"/>
              </w:rPr>
              <w:t>3.14%</w:t>
            </w:r>
          </w:p>
        </w:tc>
      </w:tr>
      <w:tr w:rsidR="007C5447">
        <w:trPr>
          <w:trHeight w:val="471"/>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before="56"/>
              <w:ind w:right="720"/>
              <w:rPr>
                <w:sz w:val="24"/>
              </w:rPr>
            </w:pPr>
            <w:r>
              <w:rPr>
                <w:sz w:val="24"/>
              </w:rPr>
              <w:t>33</w:t>
            </w:r>
          </w:p>
        </w:tc>
        <w:tc>
          <w:tcPr>
            <w:tcW w:w="3544" w:type="dxa"/>
          </w:tcPr>
          <w:p w:rsidR="007C5447" w:rsidRDefault="00F6308C">
            <w:pPr>
              <w:pStyle w:val="TableParagraph"/>
              <w:spacing w:before="56"/>
              <w:ind w:left="1440" w:right="1423"/>
              <w:jc w:val="center"/>
              <w:rPr>
                <w:sz w:val="24"/>
              </w:rPr>
            </w:pPr>
            <w:r>
              <w:rPr>
                <w:sz w:val="24"/>
              </w:rPr>
              <w:t>4.53%</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before="1"/>
              <w:ind w:right="720"/>
              <w:rPr>
                <w:sz w:val="24"/>
              </w:rPr>
            </w:pPr>
            <w:r>
              <w:rPr>
                <w:sz w:val="24"/>
              </w:rPr>
              <w:t>22</w:t>
            </w:r>
          </w:p>
        </w:tc>
        <w:tc>
          <w:tcPr>
            <w:tcW w:w="3544" w:type="dxa"/>
          </w:tcPr>
          <w:p w:rsidR="007C5447" w:rsidRDefault="00F6308C">
            <w:pPr>
              <w:pStyle w:val="TableParagraph"/>
              <w:spacing w:before="1"/>
              <w:ind w:left="1440" w:right="1423"/>
              <w:jc w:val="center"/>
              <w:rPr>
                <w:sz w:val="24"/>
              </w:rPr>
            </w:pPr>
            <w:r>
              <w:rPr>
                <w:sz w:val="24"/>
              </w:rPr>
              <w:t>6.78%</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line="275" w:lineRule="exact"/>
              <w:ind w:right="720"/>
              <w:rPr>
                <w:sz w:val="24"/>
              </w:rPr>
            </w:pPr>
            <w:r>
              <w:rPr>
                <w:sz w:val="24"/>
              </w:rPr>
              <w:t>11</w:t>
            </w:r>
          </w:p>
        </w:tc>
        <w:tc>
          <w:tcPr>
            <w:tcW w:w="3544" w:type="dxa"/>
          </w:tcPr>
          <w:p w:rsidR="007C5447" w:rsidRDefault="00F6308C">
            <w:pPr>
              <w:pStyle w:val="TableParagraph"/>
              <w:spacing w:line="275" w:lineRule="exact"/>
              <w:ind w:left="1440" w:right="1423"/>
              <w:jc w:val="center"/>
              <w:rPr>
                <w:sz w:val="24"/>
              </w:rPr>
            </w:pPr>
            <w:r>
              <w:rPr>
                <w:sz w:val="24"/>
              </w:rPr>
              <w:t>9.06%</w:t>
            </w:r>
          </w:p>
        </w:tc>
      </w:tr>
      <w:tr w:rsidR="007C5447">
        <w:trPr>
          <w:trHeight w:val="359"/>
        </w:trPr>
        <w:tc>
          <w:tcPr>
            <w:tcW w:w="2161" w:type="dxa"/>
            <w:vMerge w:val="restart"/>
          </w:tcPr>
          <w:p w:rsidR="007C5447" w:rsidRDefault="007C5447">
            <w:pPr>
              <w:pStyle w:val="TableParagraph"/>
              <w:jc w:val="left"/>
              <w:rPr>
                <w:b/>
                <w:sz w:val="26"/>
              </w:rPr>
            </w:pPr>
          </w:p>
          <w:p w:rsidR="007C5447" w:rsidRDefault="007C5447">
            <w:pPr>
              <w:pStyle w:val="TableParagraph"/>
              <w:jc w:val="left"/>
              <w:rPr>
                <w:b/>
                <w:sz w:val="26"/>
              </w:rPr>
            </w:pPr>
          </w:p>
          <w:p w:rsidR="007C5447" w:rsidRDefault="00F6308C">
            <w:pPr>
              <w:pStyle w:val="TableParagraph"/>
              <w:spacing w:before="159"/>
              <w:ind w:left="879" w:right="861"/>
              <w:jc w:val="center"/>
              <w:rPr>
                <w:sz w:val="24"/>
              </w:rPr>
            </w:pPr>
            <w:r>
              <w:rPr>
                <w:sz w:val="24"/>
              </w:rPr>
              <w:t>33</w:t>
            </w:r>
          </w:p>
        </w:tc>
        <w:tc>
          <w:tcPr>
            <w:tcW w:w="1810" w:type="dxa"/>
          </w:tcPr>
          <w:p w:rsidR="007C5447" w:rsidRDefault="00F6308C">
            <w:pPr>
              <w:pStyle w:val="TableParagraph"/>
              <w:spacing w:line="275" w:lineRule="exact"/>
              <w:ind w:right="720"/>
              <w:rPr>
                <w:sz w:val="24"/>
              </w:rPr>
            </w:pPr>
            <w:r>
              <w:rPr>
                <w:sz w:val="24"/>
              </w:rPr>
              <w:t>230</w:t>
            </w:r>
          </w:p>
        </w:tc>
        <w:tc>
          <w:tcPr>
            <w:tcW w:w="3544" w:type="dxa"/>
          </w:tcPr>
          <w:p w:rsidR="007C5447" w:rsidRDefault="00F6308C">
            <w:pPr>
              <w:pStyle w:val="TableParagraph"/>
              <w:spacing w:line="275" w:lineRule="exact"/>
              <w:ind w:left="1440" w:right="1423"/>
              <w:jc w:val="center"/>
              <w:rPr>
                <w:sz w:val="24"/>
              </w:rPr>
            </w:pPr>
            <w:r>
              <w:rPr>
                <w:sz w:val="24"/>
              </w:rPr>
              <w:t>5.27%</w:t>
            </w:r>
          </w:p>
        </w:tc>
      </w:tr>
      <w:tr w:rsidR="007C5447">
        <w:trPr>
          <w:trHeight w:val="356"/>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line="275" w:lineRule="exact"/>
              <w:ind w:right="720"/>
              <w:rPr>
                <w:sz w:val="24"/>
              </w:rPr>
            </w:pPr>
            <w:r>
              <w:rPr>
                <w:sz w:val="24"/>
              </w:rPr>
              <w:t>110</w:t>
            </w:r>
          </w:p>
        </w:tc>
        <w:tc>
          <w:tcPr>
            <w:tcW w:w="3544" w:type="dxa"/>
          </w:tcPr>
          <w:p w:rsidR="007C5447" w:rsidRDefault="00F6308C">
            <w:pPr>
              <w:pStyle w:val="TableParagraph"/>
              <w:spacing w:line="275" w:lineRule="exact"/>
              <w:ind w:left="1440" w:right="1423"/>
              <w:jc w:val="center"/>
              <w:rPr>
                <w:sz w:val="24"/>
              </w:rPr>
            </w:pPr>
            <w:r>
              <w:rPr>
                <w:sz w:val="24"/>
              </w:rPr>
              <w:t>4.53%</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before="1"/>
              <w:ind w:right="720"/>
              <w:rPr>
                <w:sz w:val="24"/>
              </w:rPr>
            </w:pPr>
            <w:r>
              <w:rPr>
                <w:sz w:val="24"/>
              </w:rPr>
              <w:t>33</w:t>
            </w:r>
          </w:p>
        </w:tc>
        <w:tc>
          <w:tcPr>
            <w:tcW w:w="3544" w:type="dxa"/>
          </w:tcPr>
          <w:p w:rsidR="007C5447" w:rsidRDefault="00F6308C">
            <w:pPr>
              <w:pStyle w:val="TableParagraph"/>
              <w:spacing w:before="1"/>
              <w:ind w:left="1440" w:right="1423"/>
              <w:jc w:val="center"/>
              <w:rPr>
                <w:sz w:val="24"/>
              </w:rPr>
            </w:pPr>
            <w:r>
              <w:rPr>
                <w:sz w:val="24"/>
              </w:rPr>
              <w:t>1.44%</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before="1"/>
              <w:ind w:right="720"/>
              <w:rPr>
                <w:sz w:val="24"/>
              </w:rPr>
            </w:pPr>
            <w:r>
              <w:rPr>
                <w:sz w:val="24"/>
              </w:rPr>
              <w:t>22</w:t>
            </w:r>
          </w:p>
        </w:tc>
        <w:tc>
          <w:tcPr>
            <w:tcW w:w="3544" w:type="dxa"/>
          </w:tcPr>
          <w:p w:rsidR="007C5447" w:rsidRDefault="00F6308C">
            <w:pPr>
              <w:pStyle w:val="TableParagraph"/>
              <w:spacing w:before="1"/>
              <w:ind w:left="1440" w:right="1423"/>
              <w:jc w:val="center"/>
              <w:rPr>
                <w:sz w:val="24"/>
              </w:rPr>
            </w:pPr>
            <w:r>
              <w:rPr>
                <w:sz w:val="24"/>
              </w:rPr>
              <w:t>3.76%</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line="275" w:lineRule="exact"/>
              <w:ind w:right="720"/>
              <w:rPr>
                <w:sz w:val="24"/>
              </w:rPr>
            </w:pPr>
            <w:r>
              <w:rPr>
                <w:sz w:val="24"/>
              </w:rPr>
              <w:t>11</w:t>
            </w:r>
          </w:p>
        </w:tc>
        <w:tc>
          <w:tcPr>
            <w:tcW w:w="3544" w:type="dxa"/>
          </w:tcPr>
          <w:p w:rsidR="007C5447" w:rsidRDefault="00F6308C">
            <w:pPr>
              <w:pStyle w:val="TableParagraph"/>
              <w:spacing w:line="275" w:lineRule="exact"/>
              <w:ind w:left="1440" w:right="1423"/>
              <w:jc w:val="center"/>
              <w:rPr>
                <w:sz w:val="24"/>
              </w:rPr>
            </w:pPr>
            <w:r>
              <w:rPr>
                <w:sz w:val="24"/>
              </w:rPr>
              <w:t>6.11%</w:t>
            </w:r>
          </w:p>
        </w:tc>
      </w:tr>
      <w:tr w:rsidR="007C5447">
        <w:trPr>
          <w:trHeight w:val="359"/>
        </w:trPr>
        <w:tc>
          <w:tcPr>
            <w:tcW w:w="2161" w:type="dxa"/>
            <w:tcBorders>
              <w:bottom w:val="nil"/>
            </w:tcBorders>
          </w:tcPr>
          <w:p w:rsidR="007C5447" w:rsidRDefault="00F6308C">
            <w:pPr>
              <w:pStyle w:val="TableParagraph"/>
              <w:spacing w:line="275" w:lineRule="exact"/>
              <w:ind w:left="879" w:right="861"/>
              <w:jc w:val="center"/>
              <w:rPr>
                <w:sz w:val="24"/>
              </w:rPr>
            </w:pPr>
            <w:r>
              <w:rPr>
                <w:sz w:val="24"/>
              </w:rPr>
              <w:t>22</w:t>
            </w:r>
          </w:p>
        </w:tc>
        <w:tc>
          <w:tcPr>
            <w:tcW w:w="1810" w:type="dxa"/>
          </w:tcPr>
          <w:p w:rsidR="007C5447" w:rsidRDefault="00F6308C">
            <w:pPr>
              <w:pStyle w:val="TableParagraph"/>
              <w:spacing w:line="275" w:lineRule="exact"/>
              <w:ind w:right="720"/>
              <w:rPr>
                <w:sz w:val="24"/>
              </w:rPr>
            </w:pPr>
            <w:r>
              <w:rPr>
                <w:sz w:val="24"/>
              </w:rPr>
              <w:t>230</w:t>
            </w:r>
          </w:p>
        </w:tc>
        <w:tc>
          <w:tcPr>
            <w:tcW w:w="3544" w:type="dxa"/>
          </w:tcPr>
          <w:p w:rsidR="007C5447" w:rsidRDefault="00F6308C">
            <w:pPr>
              <w:pStyle w:val="TableParagraph"/>
              <w:spacing w:line="275" w:lineRule="exact"/>
              <w:ind w:left="1440" w:right="1423"/>
              <w:jc w:val="center"/>
              <w:rPr>
                <w:sz w:val="24"/>
              </w:rPr>
            </w:pPr>
            <w:r>
              <w:rPr>
                <w:sz w:val="24"/>
              </w:rPr>
              <w:t>7.50%</w:t>
            </w:r>
          </w:p>
        </w:tc>
      </w:tr>
    </w:tbl>
    <w:p w:rsidR="007C5447" w:rsidRDefault="007C5447">
      <w:pPr>
        <w:spacing w:line="275" w:lineRule="exact"/>
        <w:jc w:val="center"/>
        <w:rPr>
          <w:sz w:val="24"/>
        </w:rPr>
        <w:sectPr w:rsidR="007C5447">
          <w:pgSz w:w="11910" w:h="16840"/>
          <w:pgMar w:top="1360" w:right="560" w:bottom="1240" w:left="1180" w:header="0" w:footer="1057" w:gutter="0"/>
          <w:cols w:space="720"/>
        </w:sectPr>
      </w:pPr>
    </w:p>
    <w:tbl>
      <w:tblPr>
        <w:tblW w:w="0" w:type="auto"/>
        <w:tblInd w:w="1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61"/>
        <w:gridCol w:w="1810"/>
        <w:gridCol w:w="3544"/>
      </w:tblGrid>
      <w:tr w:rsidR="007C5447">
        <w:trPr>
          <w:trHeight w:val="551"/>
        </w:trPr>
        <w:tc>
          <w:tcPr>
            <w:tcW w:w="2161" w:type="dxa"/>
            <w:shd w:val="clear" w:color="auto" w:fill="FBD4B4"/>
          </w:tcPr>
          <w:p w:rsidR="007C5447" w:rsidRDefault="00F6308C">
            <w:pPr>
              <w:pStyle w:val="TableParagraph"/>
              <w:spacing w:before="2" w:line="276" w:lineRule="exact"/>
              <w:ind w:left="846" w:right="159" w:hanging="651"/>
              <w:jc w:val="left"/>
              <w:rPr>
                <w:b/>
                <w:sz w:val="24"/>
              </w:rPr>
            </w:pPr>
            <w:r>
              <w:rPr>
                <w:b/>
                <w:sz w:val="24"/>
              </w:rPr>
              <w:lastRenderedPageBreak/>
              <w:t>Injection Voltage (kV)</w:t>
            </w:r>
          </w:p>
        </w:tc>
        <w:tc>
          <w:tcPr>
            <w:tcW w:w="1810" w:type="dxa"/>
            <w:shd w:val="clear" w:color="auto" w:fill="FBD4B4"/>
          </w:tcPr>
          <w:p w:rsidR="007C5447" w:rsidRDefault="00F6308C">
            <w:pPr>
              <w:pStyle w:val="TableParagraph"/>
              <w:spacing w:before="2" w:line="276" w:lineRule="exact"/>
              <w:ind w:left="246" w:right="210" w:firstLine="276"/>
              <w:jc w:val="left"/>
              <w:rPr>
                <w:b/>
                <w:sz w:val="24"/>
              </w:rPr>
            </w:pPr>
            <w:r>
              <w:rPr>
                <w:b/>
                <w:sz w:val="24"/>
              </w:rPr>
              <w:t>Drawal Voltage (kV)</w:t>
            </w:r>
          </w:p>
        </w:tc>
        <w:tc>
          <w:tcPr>
            <w:tcW w:w="3544" w:type="dxa"/>
            <w:shd w:val="clear" w:color="auto" w:fill="FBD4B4"/>
          </w:tcPr>
          <w:p w:rsidR="007C5447" w:rsidRDefault="00F6308C">
            <w:pPr>
              <w:pStyle w:val="TableParagraph"/>
              <w:spacing w:before="2" w:line="276" w:lineRule="exact"/>
              <w:ind w:left="543" w:right="371" w:hanging="137"/>
              <w:jc w:val="left"/>
              <w:rPr>
                <w:b/>
                <w:sz w:val="24"/>
              </w:rPr>
            </w:pPr>
            <w:r>
              <w:rPr>
                <w:b/>
                <w:sz w:val="24"/>
              </w:rPr>
              <w:t>Applicable losses for Open Access transactions (%)</w:t>
            </w:r>
          </w:p>
        </w:tc>
      </w:tr>
      <w:tr w:rsidR="007C5447">
        <w:trPr>
          <w:trHeight w:val="357"/>
        </w:trPr>
        <w:tc>
          <w:tcPr>
            <w:tcW w:w="2161" w:type="dxa"/>
            <w:vMerge w:val="restart"/>
          </w:tcPr>
          <w:p w:rsidR="007C5447" w:rsidRDefault="007C5447">
            <w:pPr>
              <w:pStyle w:val="TableParagraph"/>
              <w:jc w:val="left"/>
              <w:rPr>
                <w:sz w:val="24"/>
              </w:rPr>
            </w:pPr>
          </w:p>
        </w:tc>
        <w:tc>
          <w:tcPr>
            <w:tcW w:w="1810" w:type="dxa"/>
          </w:tcPr>
          <w:p w:rsidR="007C5447" w:rsidRDefault="00F6308C">
            <w:pPr>
              <w:pStyle w:val="TableParagraph"/>
              <w:spacing w:line="275" w:lineRule="exact"/>
              <w:ind w:right="720"/>
              <w:rPr>
                <w:sz w:val="24"/>
              </w:rPr>
            </w:pPr>
            <w:r>
              <w:rPr>
                <w:sz w:val="24"/>
              </w:rPr>
              <w:t>110</w:t>
            </w:r>
          </w:p>
        </w:tc>
        <w:tc>
          <w:tcPr>
            <w:tcW w:w="3544" w:type="dxa"/>
          </w:tcPr>
          <w:p w:rsidR="007C5447" w:rsidRDefault="00F6308C">
            <w:pPr>
              <w:pStyle w:val="TableParagraph"/>
              <w:spacing w:line="275" w:lineRule="exact"/>
              <w:ind w:left="1440" w:right="1423"/>
              <w:jc w:val="center"/>
              <w:rPr>
                <w:sz w:val="24"/>
              </w:rPr>
            </w:pPr>
            <w:r>
              <w:rPr>
                <w:sz w:val="24"/>
              </w:rPr>
              <w:t>6.78%</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line="275" w:lineRule="exact"/>
              <w:ind w:right="720"/>
              <w:rPr>
                <w:sz w:val="24"/>
              </w:rPr>
            </w:pPr>
            <w:r>
              <w:rPr>
                <w:sz w:val="24"/>
              </w:rPr>
              <w:t>33</w:t>
            </w:r>
          </w:p>
        </w:tc>
        <w:tc>
          <w:tcPr>
            <w:tcW w:w="3544" w:type="dxa"/>
          </w:tcPr>
          <w:p w:rsidR="007C5447" w:rsidRDefault="00F6308C">
            <w:pPr>
              <w:pStyle w:val="TableParagraph"/>
              <w:spacing w:line="275" w:lineRule="exact"/>
              <w:ind w:left="1440" w:right="1423"/>
              <w:jc w:val="center"/>
              <w:rPr>
                <w:sz w:val="24"/>
              </w:rPr>
            </w:pPr>
            <w:r>
              <w:rPr>
                <w:sz w:val="24"/>
              </w:rPr>
              <w:t>3.76%</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line="275" w:lineRule="exact"/>
              <w:ind w:right="720"/>
              <w:rPr>
                <w:sz w:val="24"/>
              </w:rPr>
            </w:pPr>
            <w:r>
              <w:rPr>
                <w:sz w:val="24"/>
              </w:rPr>
              <w:t>22</w:t>
            </w:r>
          </w:p>
        </w:tc>
        <w:tc>
          <w:tcPr>
            <w:tcW w:w="3544" w:type="dxa"/>
          </w:tcPr>
          <w:p w:rsidR="007C5447" w:rsidRDefault="00F6308C">
            <w:pPr>
              <w:pStyle w:val="TableParagraph"/>
              <w:spacing w:line="275" w:lineRule="exact"/>
              <w:ind w:left="1440" w:right="1423"/>
              <w:jc w:val="center"/>
              <w:rPr>
                <w:sz w:val="24"/>
              </w:rPr>
            </w:pPr>
            <w:r>
              <w:rPr>
                <w:sz w:val="24"/>
              </w:rPr>
              <w:t>2.35%</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line="275" w:lineRule="exact"/>
              <w:ind w:right="720"/>
              <w:rPr>
                <w:sz w:val="24"/>
              </w:rPr>
            </w:pPr>
            <w:r>
              <w:rPr>
                <w:sz w:val="24"/>
              </w:rPr>
              <w:t>11</w:t>
            </w:r>
          </w:p>
        </w:tc>
        <w:tc>
          <w:tcPr>
            <w:tcW w:w="3544" w:type="dxa"/>
          </w:tcPr>
          <w:p w:rsidR="007C5447" w:rsidRDefault="00F6308C">
            <w:pPr>
              <w:pStyle w:val="TableParagraph"/>
              <w:spacing w:line="275" w:lineRule="exact"/>
              <w:ind w:left="1440" w:right="1423"/>
              <w:jc w:val="center"/>
              <w:rPr>
                <w:sz w:val="24"/>
              </w:rPr>
            </w:pPr>
            <w:r>
              <w:rPr>
                <w:sz w:val="24"/>
              </w:rPr>
              <w:t>4.74%</w:t>
            </w:r>
          </w:p>
        </w:tc>
      </w:tr>
      <w:tr w:rsidR="007C5447">
        <w:trPr>
          <w:trHeight w:val="356"/>
        </w:trPr>
        <w:tc>
          <w:tcPr>
            <w:tcW w:w="2161" w:type="dxa"/>
            <w:vMerge w:val="restart"/>
          </w:tcPr>
          <w:p w:rsidR="007C5447" w:rsidRDefault="007C5447">
            <w:pPr>
              <w:pStyle w:val="TableParagraph"/>
              <w:jc w:val="left"/>
              <w:rPr>
                <w:b/>
                <w:sz w:val="26"/>
              </w:rPr>
            </w:pPr>
          </w:p>
          <w:p w:rsidR="007C5447" w:rsidRDefault="007C5447">
            <w:pPr>
              <w:pStyle w:val="TableParagraph"/>
              <w:jc w:val="left"/>
              <w:rPr>
                <w:b/>
                <w:sz w:val="26"/>
              </w:rPr>
            </w:pPr>
          </w:p>
          <w:p w:rsidR="007C5447" w:rsidRDefault="00F6308C">
            <w:pPr>
              <w:pStyle w:val="TableParagraph"/>
              <w:spacing w:before="159"/>
              <w:ind w:left="879" w:right="861"/>
              <w:jc w:val="center"/>
              <w:rPr>
                <w:sz w:val="24"/>
              </w:rPr>
            </w:pPr>
            <w:r>
              <w:rPr>
                <w:sz w:val="24"/>
              </w:rPr>
              <w:t>11</w:t>
            </w:r>
          </w:p>
        </w:tc>
        <w:tc>
          <w:tcPr>
            <w:tcW w:w="1810" w:type="dxa"/>
          </w:tcPr>
          <w:p w:rsidR="007C5447" w:rsidRDefault="00F6308C">
            <w:pPr>
              <w:pStyle w:val="TableParagraph"/>
              <w:spacing w:line="275" w:lineRule="exact"/>
              <w:ind w:right="720"/>
              <w:rPr>
                <w:sz w:val="24"/>
              </w:rPr>
            </w:pPr>
            <w:r>
              <w:rPr>
                <w:sz w:val="24"/>
              </w:rPr>
              <w:t>230</w:t>
            </w:r>
          </w:p>
        </w:tc>
        <w:tc>
          <w:tcPr>
            <w:tcW w:w="3544" w:type="dxa"/>
          </w:tcPr>
          <w:p w:rsidR="007C5447" w:rsidRDefault="00F6308C">
            <w:pPr>
              <w:pStyle w:val="TableParagraph"/>
              <w:spacing w:line="275" w:lineRule="exact"/>
              <w:ind w:left="1440" w:right="1423"/>
              <w:jc w:val="center"/>
              <w:rPr>
                <w:sz w:val="24"/>
              </w:rPr>
            </w:pPr>
            <w:r>
              <w:rPr>
                <w:sz w:val="24"/>
              </w:rPr>
              <w:t>9.76%</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before="1"/>
              <w:ind w:right="720"/>
              <w:rPr>
                <w:sz w:val="24"/>
              </w:rPr>
            </w:pPr>
            <w:r>
              <w:rPr>
                <w:sz w:val="24"/>
              </w:rPr>
              <w:t>110</w:t>
            </w:r>
          </w:p>
        </w:tc>
        <w:tc>
          <w:tcPr>
            <w:tcW w:w="3544" w:type="dxa"/>
          </w:tcPr>
          <w:p w:rsidR="007C5447" w:rsidRDefault="00F6308C">
            <w:pPr>
              <w:pStyle w:val="TableParagraph"/>
              <w:spacing w:before="1"/>
              <w:ind w:left="1440" w:right="1423"/>
              <w:jc w:val="center"/>
              <w:rPr>
                <w:sz w:val="24"/>
              </w:rPr>
            </w:pPr>
            <w:r>
              <w:rPr>
                <w:sz w:val="24"/>
              </w:rPr>
              <w:t>9.06%</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before="1"/>
              <w:ind w:right="720"/>
              <w:rPr>
                <w:sz w:val="24"/>
              </w:rPr>
            </w:pPr>
            <w:r>
              <w:rPr>
                <w:sz w:val="24"/>
              </w:rPr>
              <w:t>33</w:t>
            </w:r>
          </w:p>
        </w:tc>
        <w:tc>
          <w:tcPr>
            <w:tcW w:w="3544" w:type="dxa"/>
          </w:tcPr>
          <w:p w:rsidR="007C5447" w:rsidRDefault="00F6308C">
            <w:pPr>
              <w:pStyle w:val="TableParagraph"/>
              <w:spacing w:before="1"/>
              <w:ind w:left="1440" w:right="1423"/>
              <w:jc w:val="center"/>
              <w:rPr>
                <w:sz w:val="24"/>
              </w:rPr>
            </w:pPr>
            <w:r>
              <w:rPr>
                <w:sz w:val="24"/>
              </w:rPr>
              <w:t>6.11%</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line="275" w:lineRule="exact"/>
              <w:ind w:right="720"/>
              <w:rPr>
                <w:sz w:val="24"/>
              </w:rPr>
            </w:pPr>
            <w:r>
              <w:rPr>
                <w:sz w:val="24"/>
              </w:rPr>
              <w:t>22</w:t>
            </w:r>
          </w:p>
        </w:tc>
        <w:tc>
          <w:tcPr>
            <w:tcW w:w="3544" w:type="dxa"/>
          </w:tcPr>
          <w:p w:rsidR="007C5447" w:rsidRDefault="00F6308C">
            <w:pPr>
              <w:pStyle w:val="TableParagraph"/>
              <w:spacing w:line="275" w:lineRule="exact"/>
              <w:ind w:left="1440" w:right="1423"/>
              <w:jc w:val="center"/>
              <w:rPr>
                <w:sz w:val="24"/>
              </w:rPr>
            </w:pPr>
            <w:r>
              <w:rPr>
                <w:sz w:val="24"/>
              </w:rPr>
              <w:t>4.74%</w:t>
            </w:r>
          </w:p>
        </w:tc>
      </w:tr>
      <w:tr w:rsidR="007C5447">
        <w:trPr>
          <w:trHeight w:val="359"/>
        </w:trPr>
        <w:tc>
          <w:tcPr>
            <w:tcW w:w="2161" w:type="dxa"/>
            <w:vMerge/>
            <w:tcBorders>
              <w:top w:val="nil"/>
            </w:tcBorders>
          </w:tcPr>
          <w:p w:rsidR="007C5447" w:rsidRDefault="007C5447">
            <w:pPr>
              <w:rPr>
                <w:sz w:val="2"/>
                <w:szCs w:val="2"/>
              </w:rPr>
            </w:pPr>
          </w:p>
        </w:tc>
        <w:tc>
          <w:tcPr>
            <w:tcW w:w="1810" w:type="dxa"/>
          </w:tcPr>
          <w:p w:rsidR="007C5447" w:rsidRDefault="00F6308C">
            <w:pPr>
              <w:pStyle w:val="TableParagraph"/>
              <w:spacing w:line="275" w:lineRule="exact"/>
              <w:ind w:right="720"/>
              <w:rPr>
                <w:sz w:val="24"/>
              </w:rPr>
            </w:pPr>
            <w:r>
              <w:rPr>
                <w:sz w:val="24"/>
              </w:rPr>
              <w:t>11</w:t>
            </w:r>
          </w:p>
        </w:tc>
        <w:tc>
          <w:tcPr>
            <w:tcW w:w="3544" w:type="dxa"/>
          </w:tcPr>
          <w:p w:rsidR="007C5447" w:rsidRDefault="00F6308C">
            <w:pPr>
              <w:pStyle w:val="TableParagraph"/>
              <w:spacing w:line="275" w:lineRule="exact"/>
              <w:ind w:left="1440" w:right="1423"/>
              <w:jc w:val="center"/>
              <w:rPr>
                <w:sz w:val="24"/>
              </w:rPr>
            </w:pPr>
            <w:r>
              <w:rPr>
                <w:sz w:val="24"/>
              </w:rPr>
              <w:t>2.45%</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1"/>
        <w:rPr>
          <w:b/>
          <w:sz w:val="25"/>
        </w:rPr>
      </w:pPr>
    </w:p>
    <w:p w:rsidR="007C5447" w:rsidRDefault="00F6308C">
      <w:pPr>
        <w:pStyle w:val="Heading2"/>
        <w:numPr>
          <w:ilvl w:val="1"/>
          <w:numId w:val="40"/>
        </w:numPr>
        <w:tabs>
          <w:tab w:val="left" w:pos="827"/>
        </w:tabs>
        <w:spacing w:before="90"/>
        <w:ind w:left="826"/>
        <w:jc w:val="both"/>
      </w:pPr>
      <w:bookmarkStart w:id="86" w:name="_bookmark86"/>
      <w:bookmarkEnd w:id="86"/>
      <w:r>
        <w:t>Cross-Subsidy</w:t>
      </w:r>
      <w:r>
        <w:rPr>
          <w:spacing w:val="-4"/>
        </w:rPr>
        <w:t xml:space="preserve"> </w:t>
      </w:r>
      <w:r>
        <w:t>Surcharge</w:t>
      </w:r>
    </w:p>
    <w:p w:rsidR="007C5447" w:rsidRDefault="007C5447">
      <w:pPr>
        <w:pStyle w:val="BodyText"/>
        <w:rPr>
          <w:b/>
          <w:sz w:val="28"/>
        </w:rPr>
      </w:pPr>
    </w:p>
    <w:p w:rsidR="007C5447" w:rsidRDefault="00F6308C">
      <w:pPr>
        <w:pStyle w:val="ListParagraph"/>
        <w:numPr>
          <w:ilvl w:val="2"/>
          <w:numId w:val="40"/>
        </w:numPr>
        <w:tabs>
          <w:tab w:val="left" w:pos="1113"/>
        </w:tabs>
        <w:spacing w:line="312" w:lineRule="auto"/>
        <w:ind w:left="1112" w:right="883"/>
        <w:jc w:val="both"/>
        <w:rPr>
          <w:sz w:val="24"/>
        </w:rPr>
      </w:pPr>
      <w:r>
        <w:rPr>
          <w:sz w:val="24"/>
        </w:rPr>
        <w:t>The EA 2003 stipulates the surcharge recoverable by the Distribution Licensee for allowing open access. The relevant extract of the provisions to Section 42 (2) of the Electricity Act 2003 is reproduced</w:t>
      </w:r>
      <w:r>
        <w:rPr>
          <w:spacing w:val="-4"/>
          <w:sz w:val="24"/>
        </w:rPr>
        <w:t xml:space="preserve"> </w:t>
      </w:r>
      <w:r>
        <w:rPr>
          <w:sz w:val="24"/>
        </w:rPr>
        <w:t>below:</w:t>
      </w:r>
    </w:p>
    <w:p w:rsidR="007C5447" w:rsidRDefault="007C5447">
      <w:pPr>
        <w:pStyle w:val="BodyText"/>
        <w:spacing w:before="9"/>
        <w:rPr>
          <w:sz w:val="20"/>
        </w:rPr>
      </w:pPr>
    </w:p>
    <w:p w:rsidR="007C5447" w:rsidRDefault="00F6308C">
      <w:pPr>
        <w:ind w:left="1700" w:right="1595"/>
        <w:jc w:val="both"/>
        <w:rPr>
          <w:b/>
          <w:i/>
          <w:sz w:val="24"/>
        </w:rPr>
      </w:pPr>
      <w:r>
        <w:rPr>
          <w:i/>
          <w:sz w:val="24"/>
        </w:rPr>
        <w:t>“Provided that such Open Access shall be allo</w:t>
      </w:r>
      <w:r>
        <w:rPr>
          <w:i/>
          <w:sz w:val="24"/>
        </w:rPr>
        <w:t xml:space="preserve">wed </w:t>
      </w:r>
      <w:r>
        <w:rPr>
          <w:b/>
          <w:i/>
          <w:sz w:val="24"/>
        </w:rPr>
        <w:t>on payment of a surcharge in addition to the charges for wheeling as may be determined by the State Commission</w:t>
      </w:r>
    </w:p>
    <w:p w:rsidR="007C5447" w:rsidRDefault="007C5447">
      <w:pPr>
        <w:pStyle w:val="BodyText"/>
        <w:spacing w:before="10"/>
        <w:rPr>
          <w:b/>
          <w:i/>
          <w:sz w:val="20"/>
        </w:rPr>
      </w:pPr>
    </w:p>
    <w:p w:rsidR="007C5447" w:rsidRDefault="00F6308C">
      <w:pPr>
        <w:ind w:left="1700" w:right="1597"/>
        <w:jc w:val="both"/>
        <w:rPr>
          <w:i/>
          <w:sz w:val="24"/>
        </w:rPr>
      </w:pPr>
      <w:r>
        <w:rPr>
          <w:i/>
          <w:sz w:val="24"/>
        </w:rPr>
        <w:t xml:space="preserve">Provided further that such surcharge shall be utilized to meet the requirements of current level of cross-subsidy within the area of supply </w:t>
      </w:r>
      <w:r>
        <w:rPr>
          <w:i/>
          <w:sz w:val="24"/>
        </w:rPr>
        <w:t>of the distribution licensee” (</w:t>
      </w:r>
      <w:r>
        <w:rPr>
          <w:b/>
          <w:i/>
          <w:sz w:val="24"/>
        </w:rPr>
        <w:t>emphasis added</w:t>
      </w:r>
      <w:r>
        <w:rPr>
          <w:i/>
          <w:sz w:val="24"/>
        </w:rPr>
        <w:t>)</w:t>
      </w:r>
    </w:p>
    <w:p w:rsidR="007C5447" w:rsidRDefault="00F6308C">
      <w:pPr>
        <w:pStyle w:val="ListParagraph"/>
        <w:numPr>
          <w:ilvl w:val="2"/>
          <w:numId w:val="40"/>
        </w:numPr>
        <w:tabs>
          <w:tab w:val="left" w:pos="1113"/>
        </w:tabs>
        <w:spacing w:before="121"/>
        <w:ind w:left="1112" w:hanging="853"/>
        <w:jc w:val="both"/>
        <w:rPr>
          <w:sz w:val="24"/>
        </w:rPr>
      </w:pPr>
      <w:r>
        <w:rPr>
          <w:sz w:val="24"/>
        </w:rPr>
        <w:t>Regulation 3 of the Tariff Regulations specifies as</w:t>
      </w:r>
      <w:r>
        <w:rPr>
          <w:spacing w:val="-1"/>
          <w:sz w:val="24"/>
        </w:rPr>
        <w:t xml:space="preserve"> </w:t>
      </w:r>
      <w:r>
        <w:rPr>
          <w:sz w:val="24"/>
        </w:rPr>
        <w:t>under:</w:t>
      </w:r>
    </w:p>
    <w:p w:rsidR="007C5447" w:rsidRDefault="007C5447">
      <w:pPr>
        <w:pStyle w:val="BodyText"/>
        <w:spacing w:before="1"/>
        <w:rPr>
          <w:sz w:val="28"/>
        </w:rPr>
      </w:pPr>
    </w:p>
    <w:p w:rsidR="007C5447" w:rsidRDefault="00F6308C">
      <w:pPr>
        <w:spacing w:before="1"/>
        <w:ind w:left="1700"/>
        <w:jc w:val="both"/>
        <w:rPr>
          <w:i/>
          <w:sz w:val="24"/>
        </w:rPr>
      </w:pPr>
      <w:r>
        <w:rPr>
          <w:i/>
          <w:sz w:val="24"/>
        </w:rPr>
        <w:t>“3. Power to determine Tariff</w:t>
      </w:r>
    </w:p>
    <w:p w:rsidR="007C5447" w:rsidRDefault="007C5447">
      <w:pPr>
        <w:pStyle w:val="BodyText"/>
        <w:spacing w:before="9"/>
        <w:rPr>
          <w:i/>
          <w:sz w:val="20"/>
        </w:rPr>
      </w:pPr>
    </w:p>
    <w:p w:rsidR="007C5447" w:rsidRDefault="00F6308C">
      <w:pPr>
        <w:pStyle w:val="ListParagraph"/>
        <w:numPr>
          <w:ilvl w:val="3"/>
          <w:numId w:val="40"/>
        </w:numPr>
        <w:tabs>
          <w:tab w:val="left" w:pos="2048"/>
        </w:tabs>
        <w:spacing w:before="1"/>
        <w:ind w:right="1594" w:firstLine="0"/>
        <w:jc w:val="both"/>
        <w:rPr>
          <w:i/>
          <w:sz w:val="24"/>
        </w:rPr>
      </w:pPr>
      <w:r>
        <w:rPr>
          <w:i/>
          <w:sz w:val="24"/>
        </w:rPr>
        <w:t>Under Section 62 of the Act, the Commission shall determine tariff and terms and conditions therefor in the following</w:t>
      </w:r>
      <w:r>
        <w:rPr>
          <w:i/>
          <w:spacing w:val="-4"/>
          <w:sz w:val="24"/>
        </w:rPr>
        <w:t xml:space="preserve"> </w:t>
      </w:r>
      <w:r>
        <w:rPr>
          <w:i/>
          <w:sz w:val="24"/>
        </w:rPr>
        <w:t>cases:</w:t>
      </w:r>
    </w:p>
    <w:p w:rsidR="007C5447" w:rsidRDefault="007C5447">
      <w:pPr>
        <w:pStyle w:val="BodyText"/>
        <w:spacing w:before="9"/>
        <w:rPr>
          <w:i/>
          <w:sz w:val="20"/>
        </w:rPr>
      </w:pPr>
    </w:p>
    <w:p w:rsidR="007C5447" w:rsidRDefault="00F6308C">
      <w:pPr>
        <w:spacing w:before="1"/>
        <w:ind w:left="1700"/>
        <w:rPr>
          <w:i/>
          <w:sz w:val="24"/>
        </w:rPr>
      </w:pPr>
      <w:r>
        <w:rPr>
          <w:i/>
          <w:sz w:val="24"/>
        </w:rPr>
        <w:t>...</w:t>
      </w:r>
    </w:p>
    <w:p w:rsidR="007C5447" w:rsidRDefault="007C5447">
      <w:pPr>
        <w:pStyle w:val="BodyText"/>
        <w:spacing w:before="10"/>
        <w:rPr>
          <w:i/>
          <w:sz w:val="20"/>
        </w:rPr>
      </w:pPr>
    </w:p>
    <w:p w:rsidR="007C5447" w:rsidRDefault="00F6308C">
      <w:pPr>
        <w:ind w:left="1700" w:right="1597"/>
        <w:jc w:val="both"/>
        <w:rPr>
          <w:i/>
          <w:sz w:val="24"/>
        </w:rPr>
      </w:pPr>
      <w:r>
        <w:rPr>
          <w:i/>
          <w:sz w:val="24"/>
        </w:rPr>
        <w:t xml:space="preserve">(vi) </w:t>
      </w:r>
      <w:r>
        <w:rPr>
          <w:b/>
          <w:i/>
          <w:sz w:val="24"/>
        </w:rPr>
        <w:t xml:space="preserve">Surcharge payable by the consumer who is allowed open access </w:t>
      </w:r>
      <w:r>
        <w:rPr>
          <w:i/>
          <w:sz w:val="24"/>
        </w:rPr>
        <w:t xml:space="preserve">in addition to the charges for wheeling under the first proviso to sub- </w:t>
      </w:r>
      <w:r>
        <w:rPr>
          <w:i/>
          <w:sz w:val="24"/>
        </w:rPr>
        <w:t>section (2) of section 42 of the Act and in accordance with the TNERC Open Access Regulations.” (</w:t>
      </w:r>
      <w:r>
        <w:rPr>
          <w:b/>
          <w:i/>
          <w:sz w:val="24"/>
        </w:rPr>
        <w:t>emphasis</w:t>
      </w:r>
      <w:r>
        <w:rPr>
          <w:b/>
          <w:i/>
          <w:spacing w:val="-1"/>
          <w:sz w:val="24"/>
        </w:rPr>
        <w:t xml:space="preserve"> </w:t>
      </w:r>
      <w:r>
        <w:rPr>
          <w:b/>
          <w:i/>
          <w:sz w:val="24"/>
        </w:rPr>
        <w:t>added</w:t>
      </w:r>
      <w:r>
        <w:rPr>
          <w:i/>
          <w:sz w:val="24"/>
        </w:rPr>
        <w:t>)</w:t>
      </w:r>
    </w:p>
    <w:p w:rsidR="007C5447" w:rsidRDefault="00F6308C">
      <w:pPr>
        <w:pStyle w:val="ListParagraph"/>
        <w:numPr>
          <w:ilvl w:val="2"/>
          <w:numId w:val="40"/>
        </w:numPr>
        <w:tabs>
          <w:tab w:val="left" w:pos="1113"/>
        </w:tabs>
        <w:spacing w:before="120"/>
        <w:ind w:left="1112" w:hanging="853"/>
        <w:jc w:val="both"/>
        <w:rPr>
          <w:sz w:val="24"/>
        </w:rPr>
      </w:pPr>
      <w:r>
        <w:rPr>
          <w:sz w:val="24"/>
        </w:rPr>
        <w:t>The Commission has determined the Cross-Subsidy Surcharge (CSS) for FY</w:t>
      </w:r>
      <w:r>
        <w:rPr>
          <w:spacing w:val="-5"/>
          <w:sz w:val="24"/>
        </w:rPr>
        <w:t xml:space="preserve"> </w:t>
      </w:r>
      <w:r>
        <w:rPr>
          <w:sz w:val="24"/>
        </w:rPr>
        <w:t>2017-</w:t>
      </w:r>
    </w:p>
    <w:p w:rsidR="007C5447" w:rsidRDefault="00F6308C">
      <w:pPr>
        <w:pStyle w:val="BodyText"/>
        <w:spacing w:before="82" w:line="312" w:lineRule="auto"/>
        <w:ind w:left="1112" w:right="884"/>
        <w:jc w:val="both"/>
      </w:pPr>
      <w:r>
        <w:t>18 in accordance with the formula prescribed by the Tariff Policy, 2016, as reproduced below:</w:t>
      </w:r>
    </w:p>
    <w:p w:rsidR="007C5447" w:rsidRDefault="007C5447">
      <w:pPr>
        <w:spacing w:line="312" w:lineRule="auto"/>
        <w:jc w:val="both"/>
        <w:sectPr w:rsidR="007C5447">
          <w:pgSz w:w="11910" w:h="16840"/>
          <w:pgMar w:top="1420" w:right="560" w:bottom="1240" w:left="1180" w:header="0" w:footer="1057" w:gutter="0"/>
          <w:cols w:space="720"/>
        </w:sectPr>
      </w:pPr>
    </w:p>
    <w:p w:rsidR="007C5447" w:rsidRDefault="00F6308C">
      <w:pPr>
        <w:pStyle w:val="Heading3"/>
        <w:spacing w:before="60"/>
        <w:ind w:left="1700"/>
      </w:pPr>
      <w:r>
        <w:lastRenderedPageBreak/>
        <w:t>“Surcharge formula:</w:t>
      </w:r>
    </w:p>
    <w:p w:rsidR="007C5447" w:rsidRDefault="007C5447">
      <w:pPr>
        <w:pStyle w:val="BodyText"/>
        <w:spacing w:before="11"/>
        <w:rPr>
          <w:b/>
          <w:i/>
          <w:sz w:val="20"/>
        </w:rPr>
      </w:pPr>
    </w:p>
    <w:p w:rsidR="007C5447" w:rsidRDefault="00F6308C">
      <w:pPr>
        <w:ind w:left="1700"/>
        <w:rPr>
          <w:i/>
          <w:sz w:val="24"/>
        </w:rPr>
      </w:pPr>
      <w:r>
        <w:rPr>
          <w:i/>
          <w:sz w:val="24"/>
        </w:rPr>
        <w:t>S= T – [C/ (1-L/100) + D+ R]</w:t>
      </w:r>
    </w:p>
    <w:p w:rsidR="007C5447" w:rsidRDefault="007C5447">
      <w:pPr>
        <w:pStyle w:val="BodyText"/>
        <w:spacing w:before="10"/>
        <w:rPr>
          <w:i/>
          <w:sz w:val="20"/>
        </w:rPr>
      </w:pPr>
    </w:p>
    <w:p w:rsidR="007C5447" w:rsidRDefault="00F6308C">
      <w:pPr>
        <w:ind w:left="1700"/>
        <w:rPr>
          <w:i/>
          <w:sz w:val="24"/>
        </w:rPr>
      </w:pPr>
      <w:r>
        <w:rPr>
          <w:i/>
          <w:sz w:val="24"/>
        </w:rPr>
        <w:t>Where</w:t>
      </w:r>
    </w:p>
    <w:p w:rsidR="007C5447" w:rsidRDefault="007C5447">
      <w:pPr>
        <w:pStyle w:val="BodyText"/>
        <w:spacing w:before="10"/>
        <w:rPr>
          <w:i/>
          <w:sz w:val="20"/>
        </w:rPr>
      </w:pPr>
    </w:p>
    <w:p w:rsidR="007C5447" w:rsidRDefault="00F6308C">
      <w:pPr>
        <w:ind w:left="1700"/>
        <w:rPr>
          <w:i/>
          <w:sz w:val="24"/>
        </w:rPr>
      </w:pPr>
      <w:r>
        <w:rPr>
          <w:i/>
          <w:sz w:val="24"/>
        </w:rPr>
        <w:t>S is the surcharge</w:t>
      </w:r>
    </w:p>
    <w:p w:rsidR="007C5447" w:rsidRDefault="007C5447">
      <w:pPr>
        <w:pStyle w:val="BodyText"/>
        <w:spacing w:before="10"/>
        <w:rPr>
          <w:i/>
          <w:sz w:val="20"/>
        </w:rPr>
      </w:pPr>
    </w:p>
    <w:p w:rsidR="007C5447" w:rsidRDefault="00F6308C">
      <w:pPr>
        <w:ind w:left="1700" w:right="916"/>
        <w:rPr>
          <w:i/>
          <w:sz w:val="24"/>
        </w:rPr>
      </w:pPr>
      <w:r>
        <w:rPr>
          <w:i/>
          <w:sz w:val="24"/>
        </w:rPr>
        <w:t>T is the tariff payable by the relevant category of consumers, inc</w:t>
      </w:r>
      <w:r>
        <w:rPr>
          <w:i/>
          <w:sz w:val="24"/>
        </w:rPr>
        <w:t>luding reflecting the Renewable Purchase Obligation</w:t>
      </w:r>
    </w:p>
    <w:p w:rsidR="007C5447" w:rsidRDefault="007C5447">
      <w:pPr>
        <w:pStyle w:val="BodyText"/>
        <w:spacing w:before="10"/>
        <w:rPr>
          <w:i/>
          <w:sz w:val="20"/>
        </w:rPr>
      </w:pPr>
    </w:p>
    <w:p w:rsidR="007C5447" w:rsidRDefault="00F6308C">
      <w:pPr>
        <w:ind w:left="1700" w:right="1351"/>
        <w:rPr>
          <w:i/>
          <w:sz w:val="24"/>
        </w:rPr>
      </w:pPr>
      <w:r>
        <w:rPr>
          <w:i/>
          <w:sz w:val="24"/>
        </w:rPr>
        <w:t>C is the per unit weighted average cost of power purchase by the Licensee, including meeting the Renewable Purchase Obligation</w:t>
      </w:r>
    </w:p>
    <w:p w:rsidR="007C5447" w:rsidRDefault="007C5447">
      <w:pPr>
        <w:pStyle w:val="BodyText"/>
        <w:spacing w:before="10"/>
        <w:rPr>
          <w:i/>
          <w:sz w:val="20"/>
        </w:rPr>
      </w:pPr>
    </w:p>
    <w:p w:rsidR="007C5447" w:rsidRDefault="00F6308C">
      <w:pPr>
        <w:ind w:left="1700" w:right="916"/>
        <w:rPr>
          <w:i/>
          <w:sz w:val="24"/>
        </w:rPr>
      </w:pPr>
      <w:r>
        <w:rPr>
          <w:i/>
          <w:sz w:val="24"/>
        </w:rPr>
        <w:t>D is the aggregate of transmission, distribution and wheeling charge applic</w:t>
      </w:r>
      <w:r>
        <w:rPr>
          <w:i/>
          <w:sz w:val="24"/>
        </w:rPr>
        <w:t>able to the relevant voltage level</w:t>
      </w:r>
    </w:p>
    <w:p w:rsidR="007C5447" w:rsidRDefault="007C5447">
      <w:pPr>
        <w:pStyle w:val="BodyText"/>
        <w:spacing w:before="11"/>
        <w:rPr>
          <w:i/>
          <w:sz w:val="20"/>
        </w:rPr>
      </w:pPr>
    </w:p>
    <w:p w:rsidR="007C5447" w:rsidRDefault="00F6308C">
      <w:pPr>
        <w:ind w:left="1700" w:right="916"/>
        <w:rPr>
          <w:i/>
          <w:sz w:val="24"/>
        </w:rPr>
      </w:pPr>
      <w:r>
        <w:rPr>
          <w:i/>
          <w:sz w:val="24"/>
        </w:rPr>
        <w:t>L is the aggregate of transmission, distribution and commercial losses, expressed as a percentage applicable to the relevant voltage level</w:t>
      </w:r>
    </w:p>
    <w:p w:rsidR="007C5447" w:rsidRDefault="007C5447">
      <w:pPr>
        <w:pStyle w:val="BodyText"/>
        <w:spacing w:before="10"/>
        <w:rPr>
          <w:i/>
          <w:sz w:val="20"/>
        </w:rPr>
      </w:pPr>
    </w:p>
    <w:p w:rsidR="007C5447" w:rsidRDefault="00F6308C">
      <w:pPr>
        <w:ind w:left="1700"/>
        <w:rPr>
          <w:i/>
          <w:sz w:val="24"/>
        </w:rPr>
      </w:pPr>
      <w:r>
        <w:rPr>
          <w:i/>
          <w:sz w:val="24"/>
        </w:rPr>
        <w:t>R is the per unit cost of carrying regulatory assets.”</w:t>
      </w:r>
    </w:p>
    <w:p w:rsidR="007C5447" w:rsidRDefault="007C5447">
      <w:pPr>
        <w:pStyle w:val="BodyText"/>
        <w:rPr>
          <w:i/>
          <w:sz w:val="26"/>
        </w:rPr>
      </w:pPr>
    </w:p>
    <w:p w:rsidR="007C5447" w:rsidRDefault="007C5447">
      <w:pPr>
        <w:pStyle w:val="BodyText"/>
        <w:spacing w:before="4"/>
        <w:rPr>
          <w:i/>
          <w:sz w:val="36"/>
        </w:rPr>
      </w:pPr>
    </w:p>
    <w:p w:rsidR="007C5447" w:rsidRDefault="00F6308C">
      <w:pPr>
        <w:pStyle w:val="ListParagraph"/>
        <w:numPr>
          <w:ilvl w:val="2"/>
          <w:numId w:val="40"/>
        </w:numPr>
        <w:tabs>
          <w:tab w:val="left" w:pos="1113"/>
        </w:tabs>
        <w:spacing w:before="1" w:line="312" w:lineRule="auto"/>
        <w:ind w:left="1112" w:right="878"/>
        <w:jc w:val="both"/>
        <w:rPr>
          <w:sz w:val="24"/>
        </w:rPr>
      </w:pPr>
      <w:r>
        <w:rPr>
          <w:sz w:val="24"/>
        </w:rPr>
        <w:t>Category-wise tariff payable has been considered based on sales and revenue projected for FY 2017-18. Weighted average cost of power purchase has been determined based on total power purchase quantum</w:t>
      </w:r>
      <w:r>
        <w:rPr>
          <w:sz w:val="24"/>
        </w:rPr>
        <w:t xml:space="preserve"> and cost determined for FY 2017-18 in Chapter 5. The Distribution Loss at HT level and Transmission Loss for FY 2017-18 has been considered at 1.52% and 3.91%, respectively. The value of R has been determined based on projected sales for FY 2017-18 and ag</w:t>
      </w:r>
      <w:r>
        <w:rPr>
          <w:sz w:val="24"/>
        </w:rPr>
        <w:t>gregate of carrying cost to be paid on Revenue Gap determined for FY 2011-12 to FY 2015-16 in Chapter 5. As no past gaps have been allowed to be passed through, the value of  R has been considered as</w:t>
      </w:r>
      <w:r>
        <w:rPr>
          <w:spacing w:val="1"/>
          <w:sz w:val="24"/>
        </w:rPr>
        <w:t xml:space="preserve"> </w:t>
      </w:r>
      <w:r>
        <w:rPr>
          <w:sz w:val="24"/>
        </w:rPr>
        <w:t>zero.</w:t>
      </w:r>
    </w:p>
    <w:p w:rsidR="007C5447" w:rsidRDefault="007C5447">
      <w:pPr>
        <w:pStyle w:val="BodyText"/>
        <w:rPr>
          <w:sz w:val="21"/>
        </w:rPr>
      </w:pPr>
    </w:p>
    <w:p w:rsidR="007C5447" w:rsidRDefault="00F6308C">
      <w:pPr>
        <w:pStyle w:val="Heading2"/>
        <w:ind w:left="1035"/>
      </w:pPr>
      <w:r>
        <w:t>Table 5-30: Values of various components consider</w:t>
      </w:r>
      <w:r>
        <w:t>ed by the Commission</w:t>
      </w:r>
    </w:p>
    <w:p w:rsidR="007C5447" w:rsidRDefault="007C5447">
      <w:pPr>
        <w:pStyle w:val="BodyText"/>
        <w:spacing w:before="7"/>
        <w:rPr>
          <w:b/>
          <w:sz w:val="17"/>
        </w:rPr>
      </w:pPr>
    </w:p>
    <w:tbl>
      <w:tblPr>
        <w:tblW w:w="0" w:type="auto"/>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9"/>
        <w:gridCol w:w="2059"/>
      </w:tblGrid>
      <w:tr w:rsidR="007C5447">
        <w:trPr>
          <w:trHeight w:val="282"/>
        </w:trPr>
        <w:tc>
          <w:tcPr>
            <w:tcW w:w="3829" w:type="dxa"/>
            <w:shd w:val="clear" w:color="auto" w:fill="F7C9AC"/>
          </w:tcPr>
          <w:p w:rsidR="007C5447" w:rsidRDefault="00F6308C">
            <w:pPr>
              <w:pStyle w:val="TableParagraph"/>
              <w:spacing w:before="15" w:line="248" w:lineRule="exact"/>
              <w:ind w:left="105"/>
              <w:jc w:val="left"/>
              <w:rPr>
                <w:b/>
              </w:rPr>
            </w:pPr>
            <w:r>
              <w:rPr>
                <w:b/>
              </w:rPr>
              <w:t>Particulars</w:t>
            </w:r>
          </w:p>
        </w:tc>
        <w:tc>
          <w:tcPr>
            <w:tcW w:w="2059" w:type="dxa"/>
            <w:shd w:val="clear" w:color="auto" w:fill="F7C9AC"/>
          </w:tcPr>
          <w:p w:rsidR="007C5447" w:rsidRDefault="00F6308C">
            <w:pPr>
              <w:pStyle w:val="TableParagraph"/>
              <w:spacing w:before="15" w:line="248" w:lineRule="exact"/>
              <w:ind w:right="93"/>
              <w:rPr>
                <w:b/>
              </w:rPr>
            </w:pPr>
            <w:r>
              <w:rPr>
                <w:b/>
              </w:rPr>
              <w:t>FY 2017-18</w:t>
            </w:r>
          </w:p>
        </w:tc>
      </w:tr>
      <w:tr w:rsidR="007C5447">
        <w:trPr>
          <w:trHeight w:val="282"/>
        </w:trPr>
        <w:tc>
          <w:tcPr>
            <w:tcW w:w="3829" w:type="dxa"/>
          </w:tcPr>
          <w:p w:rsidR="007C5447" w:rsidRDefault="00F6308C">
            <w:pPr>
              <w:pStyle w:val="TableParagraph"/>
              <w:spacing w:before="15" w:line="248" w:lineRule="exact"/>
              <w:ind w:left="105"/>
              <w:jc w:val="left"/>
            </w:pPr>
            <w:r>
              <w:t>HT (33 kV) Loss</w:t>
            </w:r>
          </w:p>
        </w:tc>
        <w:tc>
          <w:tcPr>
            <w:tcW w:w="2059" w:type="dxa"/>
          </w:tcPr>
          <w:p w:rsidR="007C5447" w:rsidRDefault="00F6308C">
            <w:pPr>
              <w:pStyle w:val="TableParagraph"/>
              <w:spacing w:before="15" w:line="248" w:lineRule="exact"/>
              <w:ind w:right="94"/>
            </w:pPr>
            <w:r>
              <w:t>1.52%</w:t>
            </w:r>
          </w:p>
        </w:tc>
      </w:tr>
      <w:tr w:rsidR="007C5447">
        <w:trPr>
          <w:trHeight w:val="283"/>
        </w:trPr>
        <w:tc>
          <w:tcPr>
            <w:tcW w:w="3829" w:type="dxa"/>
          </w:tcPr>
          <w:p w:rsidR="007C5447" w:rsidRDefault="00F6308C">
            <w:pPr>
              <w:pStyle w:val="TableParagraph"/>
              <w:spacing w:before="15" w:line="248" w:lineRule="exact"/>
              <w:ind w:left="105"/>
              <w:jc w:val="left"/>
            </w:pPr>
            <w:r>
              <w:t>Transmission Loss</w:t>
            </w:r>
          </w:p>
        </w:tc>
        <w:tc>
          <w:tcPr>
            <w:tcW w:w="2059" w:type="dxa"/>
          </w:tcPr>
          <w:p w:rsidR="007C5447" w:rsidRDefault="00F6308C">
            <w:pPr>
              <w:pStyle w:val="TableParagraph"/>
              <w:spacing w:before="15" w:line="248" w:lineRule="exact"/>
              <w:ind w:right="94"/>
            </w:pPr>
            <w:r>
              <w:t>3.91%</w:t>
            </w:r>
          </w:p>
        </w:tc>
      </w:tr>
      <w:tr w:rsidR="007C5447">
        <w:trPr>
          <w:trHeight w:val="285"/>
        </w:trPr>
        <w:tc>
          <w:tcPr>
            <w:tcW w:w="3829" w:type="dxa"/>
          </w:tcPr>
          <w:p w:rsidR="007C5447" w:rsidRDefault="00F6308C">
            <w:pPr>
              <w:pStyle w:val="TableParagraph"/>
              <w:spacing w:before="15" w:line="250" w:lineRule="exact"/>
              <w:ind w:left="105"/>
              <w:jc w:val="left"/>
            </w:pPr>
            <w:r>
              <w:t>Transmission Charge (Rs. Crore)</w:t>
            </w:r>
          </w:p>
        </w:tc>
        <w:tc>
          <w:tcPr>
            <w:tcW w:w="2059" w:type="dxa"/>
          </w:tcPr>
          <w:p w:rsidR="007C5447" w:rsidRDefault="00F6308C">
            <w:pPr>
              <w:pStyle w:val="TableParagraph"/>
              <w:spacing w:before="15" w:line="250" w:lineRule="exact"/>
              <w:ind w:right="93"/>
            </w:pPr>
            <w:r>
              <w:t>2,152.94</w:t>
            </w:r>
          </w:p>
        </w:tc>
      </w:tr>
      <w:tr w:rsidR="007C5447">
        <w:trPr>
          <w:trHeight w:val="282"/>
        </w:trPr>
        <w:tc>
          <w:tcPr>
            <w:tcW w:w="3829" w:type="dxa"/>
          </w:tcPr>
          <w:p w:rsidR="007C5447" w:rsidRDefault="00F6308C">
            <w:pPr>
              <w:pStyle w:val="TableParagraph"/>
              <w:spacing w:before="13" w:line="250" w:lineRule="exact"/>
              <w:ind w:left="105"/>
              <w:jc w:val="left"/>
            </w:pPr>
            <w:r>
              <w:t>Carrying Cost (Rs. Crore)</w:t>
            </w:r>
          </w:p>
        </w:tc>
        <w:tc>
          <w:tcPr>
            <w:tcW w:w="2059" w:type="dxa"/>
          </w:tcPr>
          <w:p w:rsidR="007C5447" w:rsidRDefault="00F6308C">
            <w:pPr>
              <w:pStyle w:val="TableParagraph"/>
              <w:spacing w:before="13" w:line="250" w:lineRule="exact"/>
              <w:ind w:right="92"/>
            </w:pPr>
            <w:r>
              <w:t>-</w:t>
            </w:r>
          </w:p>
        </w:tc>
      </w:tr>
      <w:tr w:rsidR="007C5447">
        <w:trPr>
          <w:trHeight w:val="282"/>
        </w:trPr>
        <w:tc>
          <w:tcPr>
            <w:tcW w:w="3829" w:type="dxa"/>
          </w:tcPr>
          <w:p w:rsidR="007C5447" w:rsidRDefault="00F6308C">
            <w:pPr>
              <w:pStyle w:val="TableParagraph"/>
              <w:spacing w:before="13" w:line="250" w:lineRule="exact"/>
              <w:ind w:left="105"/>
              <w:jc w:val="left"/>
            </w:pPr>
            <w:r>
              <w:t>Own Sales (MU)</w:t>
            </w:r>
          </w:p>
        </w:tc>
        <w:tc>
          <w:tcPr>
            <w:tcW w:w="2059" w:type="dxa"/>
          </w:tcPr>
          <w:p w:rsidR="007C5447" w:rsidRDefault="00F6308C">
            <w:pPr>
              <w:pStyle w:val="TableParagraph"/>
              <w:spacing w:before="13" w:line="250" w:lineRule="exact"/>
              <w:ind w:right="93"/>
            </w:pPr>
            <w:r>
              <w:t>81,716.63</w:t>
            </w:r>
          </w:p>
        </w:tc>
      </w:tr>
    </w:tbl>
    <w:p w:rsidR="007C5447" w:rsidRDefault="007C5447">
      <w:pPr>
        <w:pStyle w:val="BodyText"/>
        <w:rPr>
          <w:b/>
          <w:sz w:val="26"/>
        </w:rPr>
      </w:pPr>
    </w:p>
    <w:p w:rsidR="007C5447" w:rsidRDefault="007C5447">
      <w:pPr>
        <w:pStyle w:val="BodyText"/>
        <w:spacing w:before="3"/>
        <w:rPr>
          <w:b/>
          <w:sz w:val="36"/>
        </w:rPr>
      </w:pPr>
    </w:p>
    <w:p w:rsidR="007C5447" w:rsidRDefault="00F6308C">
      <w:pPr>
        <w:pStyle w:val="ListParagraph"/>
        <w:numPr>
          <w:ilvl w:val="2"/>
          <w:numId w:val="40"/>
        </w:numPr>
        <w:tabs>
          <w:tab w:val="left" w:pos="1113"/>
        </w:tabs>
        <w:spacing w:line="312" w:lineRule="auto"/>
        <w:ind w:left="1112" w:right="877"/>
        <w:jc w:val="both"/>
        <w:rPr>
          <w:sz w:val="24"/>
        </w:rPr>
      </w:pPr>
      <w:r>
        <w:rPr>
          <w:sz w:val="24"/>
        </w:rPr>
        <w:t>Based on the above, the category-wise CSS for FY 2017-18 as determined by the Commission is shown in the table</w:t>
      </w:r>
      <w:r>
        <w:rPr>
          <w:spacing w:val="-6"/>
          <w:sz w:val="24"/>
        </w:rPr>
        <w:t xml:space="preserve"> </w:t>
      </w:r>
      <w:r>
        <w:rPr>
          <w:sz w:val="24"/>
        </w:rPr>
        <w:t>below:</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Heading2"/>
        <w:spacing w:before="60"/>
        <w:ind w:left="2593"/>
      </w:pPr>
      <w:r>
        <w:lastRenderedPageBreak/>
        <w:t>Table 5-31: Approved CSS for FY 2017-18</w:t>
      </w:r>
    </w:p>
    <w:p w:rsidR="007C5447" w:rsidRDefault="007C5447">
      <w:pPr>
        <w:pStyle w:val="BodyText"/>
        <w:spacing w:before="8"/>
        <w:rPr>
          <w:b/>
          <w:sz w:val="17"/>
        </w:rPr>
      </w:pP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15"/>
        <w:gridCol w:w="989"/>
        <w:gridCol w:w="987"/>
        <w:gridCol w:w="989"/>
        <w:gridCol w:w="989"/>
        <w:gridCol w:w="990"/>
        <w:gridCol w:w="987"/>
      </w:tblGrid>
      <w:tr w:rsidR="007C5447">
        <w:trPr>
          <w:trHeight w:val="856"/>
        </w:trPr>
        <w:tc>
          <w:tcPr>
            <w:tcW w:w="3315" w:type="dxa"/>
            <w:vMerge w:val="restart"/>
            <w:shd w:val="clear" w:color="auto" w:fill="F7C9AC"/>
          </w:tcPr>
          <w:p w:rsidR="007C5447" w:rsidRDefault="007C5447">
            <w:pPr>
              <w:pStyle w:val="TableParagraph"/>
              <w:jc w:val="left"/>
              <w:rPr>
                <w:b/>
                <w:sz w:val="24"/>
              </w:rPr>
            </w:pPr>
          </w:p>
          <w:p w:rsidR="007C5447" w:rsidRDefault="00F6308C">
            <w:pPr>
              <w:pStyle w:val="TableParagraph"/>
              <w:spacing w:before="195"/>
              <w:ind w:left="1110" w:right="1103"/>
              <w:jc w:val="center"/>
              <w:rPr>
                <w:b/>
              </w:rPr>
            </w:pPr>
            <w:r>
              <w:rPr>
                <w:b/>
              </w:rPr>
              <w:t>Particulars</w:t>
            </w:r>
          </w:p>
        </w:tc>
        <w:tc>
          <w:tcPr>
            <w:tcW w:w="989" w:type="dxa"/>
            <w:shd w:val="clear" w:color="auto" w:fill="F7C9AC"/>
          </w:tcPr>
          <w:p w:rsidR="007C5447" w:rsidRDefault="007C5447">
            <w:pPr>
              <w:pStyle w:val="TableParagraph"/>
              <w:spacing w:before="1"/>
              <w:jc w:val="left"/>
              <w:rPr>
                <w:b/>
                <w:sz w:val="26"/>
              </w:rPr>
            </w:pPr>
          </w:p>
          <w:p w:rsidR="007C5447" w:rsidRDefault="00F6308C">
            <w:pPr>
              <w:pStyle w:val="TableParagraph"/>
              <w:spacing w:before="1"/>
              <w:ind w:left="261"/>
              <w:jc w:val="left"/>
              <w:rPr>
                <w:b/>
              </w:rPr>
            </w:pPr>
            <w:r>
              <w:rPr>
                <w:b/>
              </w:rPr>
              <w:t>ABR</w:t>
            </w:r>
          </w:p>
        </w:tc>
        <w:tc>
          <w:tcPr>
            <w:tcW w:w="987" w:type="dxa"/>
            <w:shd w:val="clear" w:color="auto" w:fill="F7C9AC"/>
          </w:tcPr>
          <w:p w:rsidR="007C5447" w:rsidRDefault="007C5447">
            <w:pPr>
              <w:pStyle w:val="TableParagraph"/>
              <w:spacing w:before="1"/>
              <w:jc w:val="left"/>
              <w:rPr>
                <w:b/>
                <w:sz w:val="26"/>
              </w:rPr>
            </w:pPr>
          </w:p>
          <w:p w:rsidR="007C5447" w:rsidRDefault="00F6308C">
            <w:pPr>
              <w:pStyle w:val="TableParagraph"/>
              <w:spacing w:before="1"/>
              <w:ind w:left="7"/>
              <w:jc w:val="center"/>
              <w:rPr>
                <w:b/>
              </w:rPr>
            </w:pPr>
            <w:r>
              <w:rPr>
                <w:b/>
              </w:rPr>
              <w:t>C</w:t>
            </w:r>
          </w:p>
        </w:tc>
        <w:tc>
          <w:tcPr>
            <w:tcW w:w="989" w:type="dxa"/>
            <w:shd w:val="clear" w:color="auto" w:fill="F7C9AC"/>
          </w:tcPr>
          <w:p w:rsidR="007C5447" w:rsidRDefault="00F6308C">
            <w:pPr>
              <w:pStyle w:val="TableParagraph"/>
              <w:spacing w:before="173"/>
              <w:ind w:left="145" w:right="133" w:firstLine="208"/>
              <w:jc w:val="left"/>
              <w:rPr>
                <w:b/>
              </w:rPr>
            </w:pPr>
            <w:r>
              <w:rPr>
                <w:b/>
              </w:rPr>
              <w:t>C / (1-L%)</w:t>
            </w:r>
          </w:p>
        </w:tc>
        <w:tc>
          <w:tcPr>
            <w:tcW w:w="989" w:type="dxa"/>
            <w:shd w:val="clear" w:color="auto" w:fill="F7C9AC"/>
          </w:tcPr>
          <w:p w:rsidR="007C5447" w:rsidRDefault="007C5447">
            <w:pPr>
              <w:pStyle w:val="TableParagraph"/>
              <w:spacing w:before="1"/>
              <w:jc w:val="left"/>
              <w:rPr>
                <w:b/>
                <w:sz w:val="26"/>
              </w:rPr>
            </w:pPr>
          </w:p>
          <w:p w:rsidR="007C5447" w:rsidRDefault="00F6308C">
            <w:pPr>
              <w:pStyle w:val="TableParagraph"/>
              <w:spacing w:before="1"/>
              <w:ind w:left="9"/>
              <w:jc w:val="center"/>
              <w:rPr>
                <w:b/>
              </w:rPr>
            </w:pPr>
            <w:r>
              <w:rPr>
                <w:b/>
              </w:rPr>
              <w:t>D</w:t>
            </w:r>
          </w:p>
        </w:tc>
        <w:tc>
          <w:tcPr>
            <w:tcW w:w="990" w:type="dxa"/>
            <w:shd w:val="clear" w:color="auto" w:fill="F7C9AC"/>
          </w:tcPr>
          <w:p w:rsidR="007C5447" w:rsidRDefault="007C5447">
            <w:pPr>
              <w:pStyle w:val="TableParagraph"/>
              <w:spacing w:before="1"/>
              <w:jc w:val="left"/>
              <w:rPr>
                <w:b/>
                <w:sz w:val="26"/>
              </w:rPr>
            </w:pPr>
          </w:p>
          <w:p w:rsidR="007C5447" w:rsidRDefault="00F6308C">
            <w:pPr>
              <w:pStyle w:val="TableParagraph"/>
              <w:spacing w:before="1"/>
              <w:ind w:left="4"/>
              <w:jc w:val="center"/>
              <w:rPr>
                <w:b/>
              </w:rPr>
            </w:pPr>
            <w:r>
              <w:rPr>
                <w:b/>
              </w:rPr>
              <w:t>R</w:t>
            </w:r>
          </w:p>
        </w:tc>
        <w:tc>
          <w:tcPr>
            <w:tcW w:w="987" w:type="dxa"/>
            <w:shd w:val="clear" w:color="auto" w:fill="F7C9AC"/>
          </w:tcPr>
          <w:p w:rsidR="007C5447" w:rsidRDefault="007C5447">
            <w:pPr>
              <w:pStyle w:val="TableParagraph"/>
              <w:spacing w:before="1"/>
              <w:jc w:val="left"/>
              <w:rPr>
                <w:b/>
                <w:sz w:val="26"/>
              </w:rPr>
            </w:pPr>
          </w:p>
          <w:p w:rsidR="007C5447" w:rsidRDefault="00F6308C">
            <w:pPr>
              <w:pStyle w:val="TableParagraph"/>
              <w:spacing w:before="1"/>
              <w:ind w:left="288"/>
              <w:jc w:val="left"/>
              <w:rPr>
                <w:b/>
              </w:rPr>
            </w:pPr>
            <w:r>
              <w:rPr>
                <w:b/>
              </w:rPr>
              <w:t>CSS</w:t>
            </w:r>
          </w:p>
        </w:tc>
      </w:tr>
      <w:tr w:rsidR="007C5447">
        <w:trPr>
          <w:trHeight w:val="330"/>
        </w:trPr>
        <w:tc>
          <w:tcPr>
            <w:tcW w:w="3315" w:type="dxa"/>
            <w:vMerge/>
            <w:tcBorders>
              <w:top w:val="nil"/>
            </w:tcBorders>
            <w:shd w:val="clear" w:color="auto" w:fill="F7C9AC"/>
          </w:tcPr>
          <w:p w:rsidR="007C5447" w:rsidRDefault="007C5447">
            <w:pPr>
              <w:rPr>
                <w:sz w:val="2"/>
                <w:szCs w:val="2"/>
              </w:rPr>
            </w:pPr>
          </w:p>
        </w:tc>
        <w:tc>
          <w:tcPr>
            <w:tcW w:w="989" w:type="dxa"/>
            <w:shd w:val="clear" w:color="auto" w:fill="F7C9AC"/>
          </w:tcPr>
          <w:p w:rsidR="007C5447" w:rsidRDefault="00F6308C">
            <w:pPr>
              <w:pStyle w:val="TableParagraph"/>
              <w:spacing w:before="37"/>
              <w:ind w:right="96"/>
              <w:rPr>
                <w:b/>
              </w:rPr>
            </w:pPr>
            <w:r>
              <w:rPr>
                <w:b/>
              </w:rPr>
              <w:t>Rs/kWh</w:t>
            </w:r>
          </w:p>
        </w:tc>
        <w:tc>
          <w:tcPr>
            <w:tcW w:w="987" w:type="dxa"/>
            <w:shd w:val="clear" w:color="auto" w:fill="F7C9AC"/>
          </w:tcPr>
          <w:p w:rsidR="007C5447" w:rsidRDefault="00F6308C">
            <w:pPr>
              <w:pStyle w:val="TableParagraph"/>
              <w:spacing w:before="37"/>
              <w:ind w:right="96"/>
              <w:rPr>
                <w:b/>
              </w:rPr>
            </w:pPr>
            <w:r>
              <w:rPr>
                <w:b/>
              </w:rPr>
              <w:t>Rs/kWh</w:t>
            </w:r>
          </w:p>
        </w:tc>
        <w:tc>
          <w:tcPr>
            <w:tcW w:w="989" w:type="dxa"/>
            <w:shd w:val="clear" w:color="auto" w:fill="F7C9AC"/>
          </w:tcPr>
          <w:p w:rsidR="007C5447" w:rsidRDefault="00F6308C">
            <w:pPr>
              <w:pStyle w:val="TableParagraph"/>
              <w:spacing w:before="37"/>
              <w:ind w:right="96"/>
              <w:rPr>
                <w:b/>
              </w:rPr>
            </w:pPr>
            <w:r>
              <w:rPr>
                <w:b/>
              </w:rPr>
              <w:t>Rs/kWh</w:t>
            </w:r>
          </w:p>
        </w:tc>
        <w:tc>
          <w:tcPr>
            <w:tcW w:w="989" w:type="dxa"/>
            <w:shd w:val="clear" w:color="auto" w:fill="F7C9AC"/>
          </w:tcPr>
          <w:p w:rsidR="007C5447" w:rsidRDefault="00F6308C">
            <w:pPr>
              <w:pStyle w:val="TableParagraph"/>
              <w:spacing w:before="37"/>
              <w:ind w:right="96"/>
              <w:rPr>
                <w:b/>
              </w:rPr>
            </w:pPr>
            <w:r>
              <w:rPr>
                <w:b/>
              </w:rPr>
              <w:t>Rs/kWh</w:t>
            </w:r>
          </w:p>
        </w:tc>
        <w:tc>
          <w:tcPr>
            <w:tcW w:w="990" w:type="dxa"/>
            <w:shd w:val="clear" w:color="auto" w:fill="F7C9AC"/>
          </w:tcPr>
          <w:p w:rsidR="007C5447" w:rsidRDefault="00F6308C">
            <w:pPr>
              <w:pStyle w:val="TableParagraph"/>
              <w:spacing w:before="37"/>
              <w:ind w:right="100"/>
              <w:rPr>
                <w:b/>
              </w:rPr>
            </w:pPr>
            <w:r>
              <w:rPr>
                <w:b/>
              </w:rPr>
              <w:t>Rs/kWh</w:t>
            </w:r>
          </w:p>
        </w:tc>
        <w:tc>
          <w:tcPr>
            <w:tcW w:w="987" w:type="dxa"/>
            <w:shd w:val="clear" w:color="auto" w:fill="F7C9AC"/>
          </w:tcPr>
          <w:p w:rsidR="007C5447" w:rsidRDefault="00F6308C">
            <w:pPr>
              <w:pStyle w:val="TableParagraph"/>
              <w:spacing w:before="37"/>
              <w:ind w:right="95"/>
              <w:rPr>
                <w:b/>
              </w:rPr>
            </w:pPr>
            <w:r>
              <w:rPr>
                <w:b/>
              </w:rPr>
              <w:t>Rs/kWh</w:t>
            </w:r>
          </w:p>
        </w:tc>
      </w:tr>
      <w:tr w:rsidR="007C5447">
        <w:trPr>
          <w:trHeight w:val="313"/>
        </w:trPr>
        <w:tc>
          <w:tcPr>
            <w:tcW w:w="3315" w:type="dxa"/>
          </w:tcPr>
          <w:p w:rsidR="007C5447" w:rsidRDefault="00F6308C">
            <w:pPr>
              <w:pStyle w:val="TableParagraph"/>
              <w:spacing w:before="29"/>
              <w:ind w:left="107"/>
              <w:jc w:val="left"/>
              <w:rPr>
                <w:b/>
              </w:rPr>
            </w:pPr>
            <w:r>
              <w:rPr>
                <w:b/>
              </w:rPr>
              <w:t>HT Sales</w:t>
            </w:r>
          </w:p>
        </w:tc>
        <w:tc>
          <w:tcPr>
            <w:tcW w:w="989" w:type="dxa"/>
          </w:tcPr>
          <w:p w:rsidR="007C5447" w:rsidRDefault="007C5447">
            <w:pPr>
              <w:pStyle w:val="TableParagraph"/>
              <w:jc w:val="left"/>
            </w:pPr>
          </w:p>
        </w:tc>
        <w:tc>
          <w:tcPr>
            <w:tcW w:w="987" w:type="dxa"/>
          </w:tcPr>
          <w:p w:rsidR="007C5447" w:rsidRDefault="007C5447">
            <w:pPr>
              <w:pStyle w:val="TableParagraph"/>
              <w:jc w:val="left"/>
            </w:pPr>
          </w:p>
        </w:tc>
        <w:tc>
          <w:tcPr>
            <w:tcW w:w="989" w:type="dxa"/>
          </w:tcPr>
          <w:p w:rsidR="007C5447" w:rsidRDefault="007C5447">
            <w:pPr>
              <w:pStyle w:val="TableParagraph"/>
              <w:jc w:val="left"/>
            </w:pPr>
          </w:p>
        </w:tc>
        <w:tc>
          <w:tcPr>
            <w:tcW w:w="989" w:type="dxa"/>
          </w:tcPr>
          <w:p w:rsidR="007C5447" w:rsidRDefault="007C5447">
            <w:pPr>
              <w:pStyle w:val="TableParagraph"/>
              <w:jc w:val="left"/>
            </w:pPr>
          </w:p>
        </w:tc>
        <w:tc>
          <w:tcPr>
            <w:tcW w:w="990" w:type="dxa"/>
          </w:tcPr>
          <w:p w:rsidR="007C5447" w:rsidRDefault="007C5447">
            <w:pPr>
              <w:pStyle w:val="TableParagraph"/>
              <w:jc w:val="left"/>
            </w:pPr>
          </w:p>
        </w:tc>
        <w:tc>
          <w:tcPr>
            <w:tcW w:w="987" w:type="dxa"/>
          </w:tcPr>
          <w:p w:rsidR="007C5447" w:rsidRDefault="007C5447">
            <w:pPr>
              <w:pStyle w:val="TableParagraph"/>
              <w:jc w:val="left"/>
            </w:pPr>
          </w:p>
        </w:tc>
      </w:tr>
      <w:tr w:rsidR="007C5447">
        <w:trPr>
          <w:trHeight w:val="330"/>
        </w:trPr>
        <w:tc>
          <w:tcPr>
            <w:tcW w:w="3315" w:type="dxa"/>
          </w:tcPr>
          <w:p w:rsidR="007C5447" w:rsidRDefault="00F6308C">
            <w:pPr>
              <w:pStyle w:val="TableParagraph"/>
              <w:spacing w:before="37"/>
              <w:ind w:left="107"/>
              <w:jc w:val="left"/>
            </w:pPr>
            <w:r>
              <w:t>HT IA: HT-Industry</w:t>
            </w:r>
          </w:p>
        </w:tc>
        <w:tc>
          <w:tcPr>
            <w:tcW w:w="989" w:type="dxa"/>
          </w:tcPr>
          <w:p w:rsidR="007C5447" w:rsidRDefault="00F6308C">
            <w:pPr>
              <w:pStyle w:val="TableParagraph"/>
              <w:spacing w:before="37"/>
              <w:ind w:right="96"/>
            </w:pPr>
            <w:r>
              <w:t>8.37</w:t>
            </w:r>
          </w:p>
        </w:tc>
        <w:tc>
          <w:tcPr>
            <w:tcW w:w="987" w:type="dxa"/>
          </w:tcPr>
          <w:p w:rsidR="007C5447" w:rsidRDefault="00F6308C">
            <w:pPr>
              <w:pStyle w:val="TableParagraph"/>
              <w:spacing w:before="37"/>
              <w:ind w:right="97"/>
            </w:pPr>
            <w:r>
              <w:t>4.09</w:t>
            </w:r>
          </w:p>
        </w:tc>
        <w:tc>
          <w:tcPr>
            <w:tcW w:w="989" w:type="dxa"/>
          </w:tcPr>
          <w:p w:rsidR="007C5447" w:rsidRDefault="00F6308C">
            <w:pPr>
              <w:pStyle w:val="TableParagraph"/>
              <w:spacing w:before="37"/>
              <w:ind w:right="96"/>
            </w:pPr>
            <w:r>
              <w:t>4.32</w:t>
            </w:r>
          </w:p>
        </w:tc>
        <w:tc>
          <w:tcPr>
            <w:tcW w:w="989" w:type="dxa"/>
          </w:tcPr>
          <w:p w:rsidR="007C5447" w:rsidRDefault="00F6308C">
            <w:pPr>
              <w:pStyle w:val="TableParagraph"/>
              <w:spacing w:before="37"/>
              <w:ind w:right="97"/>
            </w:pPr>
            <w:r>
              <w:t>0.43</w:t>
            </w:r>
          </w:p>
        </w:tc>
        <w:tc>
          <w:tcPr>
            <w:tcW w:w="990" w:type="dxa"/>
          </w:tcPr>
          <w:p w:rsidR="007C5447" w:rsidRDefault="00F6308C">
            <w:pPr>
              <w:pStyle w:val="TableParagraph"/>
              <w:spacing w:before="37"/>
              <w:ind w:right="96"/>
            </w:pPr>
            <w:r>
              <w:t>-</w:t>
            </w:r>
          </w:p>
        </w:tc>
        <w:tc>
          <w:tcPr>
            <w:tcW w:w="987" w:type="dxa"/>
          </w:tcPr>
          <w:p w:rsidR="007C5447" w:rsidRDefault="00F6308C">
            <w:pPr>
              <w:pStyle w:val="TableParagraph"/>
              <w:spacing w:before="37"/>
              <w:ind w:right="98"/>
              <w:rPr>
                <w:b/>
              </w:rPr>
            </w:pPr>
            <w:r>
              <w:rPr>
                <w:b/>
              </w:rPr>
              <w:t>1.67</w:t>
            </w:r>
          </w:p>
        </w:tc>
      </w:tr>
      <w:tr w:rsidR="007C5447">
        <w:trPr>
          <w:trHeight w:val="328"/>
        </w:trPr>
        <w:tc>
          <w:tcPr>
            <w:tcW w:w="3315" w:type="dxa"/>
          </w:tcPr>
          <w:p w:rsidR="007C5447" w:rsidRDefault="00F6308C">
            <w:pPr>
              <w:pStyle w:val="TableParagraph"/>
              <w:spacing w:before="37"/>
              <w:ind w:left="107"/>
              <w:jc w:val="left"/>
            </w:pPr>
            <w:r>
              <w:t>HT IB: Railway Traction</w:t>
            </w:r>
          </w:p>
        </w:tc>
        <w:tc>
          <w:tcPr>
            <w:tcW w:w="989" w:type="dxa"/>
          </w:tcPr>
          <w:p w:rsidR="007C5447" w:rsidRDefault="00F6308C">
            <w:pPr>
              <w:pStyle w:val="TableParagraph"/>
              <w:spacing w:before="37"/>
              <w:ind w:right="96"/>
            </w:pPr>
            <w:r>
              <w:t>7.71</w:t>
            </w:r>
          </w:p>
        </w:tc>
        <w:tc>
          <w:tcPr>
            <w:tcW w:w="987" w:type="dxa"/>
          </w:tcPr>
          <w:p w:rsidR="007C5447" w:rsidRDefault="00F6308C">
            <w:pPr>
              <w:pStyle w:val="TableParagraph"/>
              <w:spacing w:before="37"/>
              <w:ind w:right="97"/>
            </w:pPr>
            <w:r>
              <w:t>4.09</w:t>
            </w:r>
          </w:p>
        </w:tc>
        <w:tc>
          <w:tcPr>
            <w:tcW w:w="989" w:type="dxa"/>
          </w:tcPr>
          <w:p w:rsidR="007C5447" w:rsidRDefault="00F6308C">
            <w:pPr>
              <w:pStyle w:val="TableParagraph"/>
              <w:spacing w:before="37"/>
              <w:ind w:right="96"/>
            </w:pPr>
            <w:r>
              <w:t>4.32</w:t>
            </w:r>
          </w:p>
        </w:tc>
        <w:tc>
          <w:tcPr>
            <w:tcW w:w="989" w:type="dxa"/>
          </w:tcPr>
          <w:p w:rsidR="007C5447" w:rsidRDefault="00F6308C">
            <w:pPr>
              <w:pStyle w:val="TableParagraph"/>
              <w:spacing w:before="37"/>
              <w:ind w:right="97"/>
            </w:pPr>
            <w:r>
              <w:t>0.43</w:t>
            </w:r>
          </w:p>
        </w:tc>
        <w:tc>
          <w:tcPr>
            <w:tcW w:w="990" w:type="dxa"/>
          </w:tcPr>
          <w:p w:rsidR="007C5447" w:rsidRDefault="00F6308C">
            <w:pPr>
              <w:pStyle w:val="TableParagraph"/>
              <w:spacing w:before="37"/>
              <w:ind w:right="96"/>
            </w:pPr>
            <w:r>
              <w:t>-</w:t>
            </w:r>
          </w:p>
        </w:tc>
        <w:tc>
          <w:tcPr>
            <w:tcW w:w="987" w:type="dxa"/>
          </w:tcPr>
          <w:p w:rsidR="007C5447" w:rsidRDefault="00F6308C">
            <w:pPr>
              <w:pStyle w:val="TableParagraph"/>
              <w:spacing w:before="37"/>
              <w:ind w:right="98"/>
              <w:rPr>
                <w:b/>
              </w:rPr>
            </w:pPr>
            <w:r>
              <w:rPr>
                <w:b/>
              </w:rPr>
              <w:t>1.54</w:t>
            </w:r>
          </w:p>
        </w:tc>
      </w:tr>
      <w:tr w:rsidR="007C5447">
        <w:trPr>
          <w:trHeight w:val="330"/>
        </w:trPr>
        <w:tc>
          <w:tcPr>
            <w:tcW w:w="3315" w:type="dxa"/>
          </w:tcPr>
          <w:p w:rsidR="007C5447" w:rsidRDefault="00F6308C">
            <w:pPr>
              <w:pStyle w:val="TableParagraph"/>
              <w:spacing w:before="39"/>
              <w:ind w:left="107"/>
              <w:jc w:val="left"/>
            </w:pPr>
            <w:r>
              <w:t>HT IIA: Govt. educational institute</w:t>
            </w:r>
          </w:p>
        </w:tc>
        <w:tc>
          <w:tcPr>
            <w:tcW w:w="989" w:type="dxa"/>
          </w:tcPr>
          <w:p w:rsidR="007C5447" w:rsidRDefault="00F6308C">
            <w:pPr>
              <w:pStyle w:val="TableParagraph"/>
              <w:spacing w:before="39"/>
              <w:ind w:right="96"/>
            </w:pPr>
            <w:r>
              <w:t>7.58</w:t>
            </w:r>
          </w:p>
        </w:tc>
        <w:tc>
          <w:tcPr>
            <w:tcW w:w="987" w:type="dxa"/>
          </w:tcPr>
          <w:p w:rsidR="007C5447" w:rsidRDefault="00F6308C">
            <w:pPr>
              <w:pStyle w:val="TableParagraph"/>
              <w:spacing w:before="39"/>
              <w:ind w:right="97"/>
            </w:pPr>
            <w:r>
              <w:t>4.09</w:t>
            </w:r>
          </w:p>
        </w:tc>
        <w:tc>
          <w:tcPr>
            <w:tcW w:w="989" w:type="dxa"/>
          </w:tcPr>
          <w:p w:rsidR="007C5447" w:rsidRDefault="00F6308C">
            <w:pPr>
              <w:pStyle w:val="TableParagraph"/>
              <w:spacing w:before="39"/>
              <w:ind w:right="96"/>
            </w:pPr>
            <w:r>
              <w:t>4.32</w:t>
            </w:r>
          </w:p>
        </w:tc>
        <w:tc>
          <w:tcPr>
            <w:tcW w:w="989" w:type="dxa"/>
          </w:tcPr>
          <w:p w:rsidR="007C5447" w:rsidRDefault="00F6308C">
            <w:pPr>
              <w:pStyle w:val="TableParagraph"/>
              <w:spacing w:before="39"/>
              <w:ind w:right="97"/>
            </w:pPr>
            <w:r>
              <w:t>0.43</w:t>
            </w:r>
          </w:p>
        </w:tc>
        <w:tc>
          <w:tcPr>
            <w:tcW w:w="990" w:type="dxa"/>
          </w:tcPr>
          <w:p w:rsidR="007C5447" w:rsidRDefault="00F6308C">
            <w:pPr>
              <w:pStyle w:val="TableParagraph"/>
              <w:spacing w:before="39"/>
              <w:ind w:right="96"/>
            </w:pPr>
            <w:r>
              <w:t>-</w:t>
            </w:r>
          </w:p>
        </w:tc>
        <w:tc>
          <w:tcPr>
            <w:tcW w:w="987" w:type="dxa"/>
          </w:tcPr>
          <w:p w:rsidR="007C5447" w:rsidRDefault="00F6308C">
            <w:pPr>
              <w:pStyle w:val="TableParagraph"/>
              <w:spacing w:before="39"/>
              <w:ind w:right="98"/>
              <w:rPr>
                <w:b/>
              </w:rPr>
            </w:pPr>
            <w:r>
              <w:rPr>
                <w:b/>
              </w:rPr>
              <w:t>1.52</w:t>
            </w:r>
          </w:p>
        </w:tc>
      </w:tr>
      <w:tr w:rsidR="007C5447">
        <w:trPr>
          <w:trHeight w:val="330"/>
        </w:trPr>
        <w:tc>
          <w:tcPr>
            <w:tcW w:w="3315" w:type="dxa"/>
          </w:tcPr>
          <w:p w:rsidR="007C5447" w:rsidRDefault="00F6308C">
            <w:pPr>
              <w:pStyle w:val="TableParagraph"/>
              <w:spacing w:before="37"/>
              <w:ind w:left="107"/>
              <w:jc w:val="left"/>
            </w:pPr>
            <w:r>
              <w:t>HT IIB: Pvt Educational Institute</w:t>
            </w:r>
          </w:p>
        </w:tc>
        <w:tc>
          <w:tcPr>
            <w:tcW w:w="989" w:type="dxa"/>
          </w:tcPr>
          <w:p w:rsidR="007C5447" w:rsidRDefault="00F6308C">
            <w:pPr>
              <w:pStyle w:val="TableParagraph"/>
              <w:spacing w:before="37"/>
              <w:ind w:right="96"/>
            </w:pPr>
            <w:r>
              <w:t>8.05</w:t>
            </w:r>
          </w:p>
        </w:tc>
        <w:tc>
          <w:tcPr>
            <w:tcW w:w="987" w:type="dxa"/>
          </w:tcPr>
          <w:p w:rsidR="007C5447" w:rsidRDefault="00F6308C">
            <w:pPr>
              <w:pStyle w:val="TableParagraph"/>
              <w:spacing w:before="37"/>
              <w:ind w:right="97"/>
            </w:pPr>
            <w:r>
              <w:t>4.09</w:t>
            </w:r>
          </w:p>
        </w:tc>
        <w:tc>
          <w:tcPr>
            <w:tcW w:w="989" w:type="dxa"/>
          </w:tcPr>
          <w:p w:rsidR="007C5447" w:rsidRDefault="00F6308C">
            <w:pPr>
              <w:pStyle w:val="TableParagraph"/>
              <w:spacing w:before="37"/>
              <w:ind w:right="96"/>
            </w:pPr>
            <w:r>
              <w:t>4.32</w:t>
            </w:r>
          </w:p>
        </w:tc>
        <w:tc>
          <w:tcPr>
            <w:tcW w:w="989" w:type="dxa"/>
          </w:tcPr>
          <w:p w:rsidR="007C5447" w:rsidRDefault="00F6308C">
            <w:pPr>
              <w:pStyle w:val="TableParagraph"/>
              <w:spacing w:before="37"/>
              <w:ind w:right="97"/>
            </w:pPr>
            <w:r>
              <w:t>0.43</w:t>
            </w:r>
          </w:p>
        </w:tc>
        <w:tc>
          <w:tcPr>
            <w:tcW w:w="990" w:type="dxa"/>
          </w:tcPr>
          <w:p w:rsidR="007C5447" w:rsidRDefault="00F6308C">
            <w:pPr>
              <w:pStyle w:val="TableParagraph"/>
              <w:spacing w:before="37"/>
              <w:ind w:right="96"/>
            </w:pPr>
            <w:r>
              <w:t>-</w:t>
            </w:r>
          </w:p>
        </w:tc>
        <w:tc>
          <w:tcPr>
            <w:tcW w:w="987" w:type="dxa"/>
          </w:tcPr>
          <w:p w:rsidR="007C5447" w:rsidRDefault="00F6308C">
            <w:pPr>
              <w:pStyle w:val="TableParagraph"/>
              <w:spacing w:before="37"/>
              <w:ind w:right="98"/>
              <w:rPr>
                <w:b/>
              </w:rPr>
            </w:pPr>
            <w:r>
              <w:rPr>
                <w:b/>
              </w:rPr>
              <w:t>1.61</w:t>
            </w:r>
          </w:p>
        </w:tc>
      </w:tr>
      <w:tr w:rsidR="007C5447">
        <w:trPr>
          <w:trHeight w:val="328"/>
        </w:trPr>
        <w:tc>
          <w:tcPr>
            <w:tcW w:w="3315" w:type="dxa"/>
          </w:tcPr>
          <w:p w:rsidR="007C5447" w:rsidRDefault="00F6308C">
            <w:pPr>
              <w:pStyle w:val="TableParagraph"/>
              <w:spacing w:before="37"/>
              <w:ind w:left="107"/>
              <w:jc w:val="left"/>
            </w:pPr>
            <w:r>
              <w:t>HT III - HT commercial</w:t>
            </w:r>
          </w:p>
        </w:tc>
        <w:tc>
          <w:tcPr>
            <w:tcW w:w="989" w:type="dxa"/>
          </w:tcPr>
          <w:p w:rsidR="007C5447" w:rsidRDefault="00F6308C">
            <w:pPr>
              <w:pStyle w:val="TableParagraph"/>
              <w:spacing w:before="37"/>
              <w:ind w:right="96"/>
            </w:pPr>
            <w:r>
              <w:t>9.91</w:t>
            </w:r>
          </w:p>
        </w:tc>
        <w:tc>
          <w:tcPr>
            <w:tcW w:w="987" w:type="dxa"/>
          </w:tcPr>
          <w:p w:rsidR="007C5447" w:rsidRDefault="00F6308C">
            <w:pPr>
              <w:pStyle w:val="TableParagraph"/>
              <w:spacing w:before="37"/>
              <w:ind w:right="97"/>
            </w:pPr>
            <w:r>
              <w:t>4.09</w:t>
            </w:r>
          </w:p>
        </w:tc>
        <w:tc>
          <w:tcPr>
            <w:tcW w:w="989" w:type="dxa"/>
          </w:tcPr>
          <w:p w:rsidR="007C5447" w:rsidRDefault="00F6308C">
            <w:pPr>
              <w:pStyle w:val="TableParagraph"/>
              <w:spacing w:before="37"/>
              <w:ind w:right="96"/>
            </w:pPr>
            <w:r>
              <w:t>4.32</w:t>
            </w:r>
          </w:p>
        </w:tc>
        <w:tc>
          <w:tcPr>
            <w:tcW w:w="989" w:type="dxa"/>
          </w:tcPr>
          <w:p w:rsidR="007C5447" w:rsidRDefault="00F6308C">
            <w:pPr>
              <w:pStyle w:val="TableParagraph"/>
              <w:spacing w:before="37"/>
              <w:ind w:right="97"/>
            </w:pPr>
            <w:r>
              <w:t>0.43</w:t>
            </w:r>
          </w:p>
        </w:tc>
        <w:tc>
          <w:tcPr>
            <w:tcW w:w="990" w:type="dxa"/>
          </w:tcPr>
          <w:p w:rsidR="007C5447" w:rsidRDefault="00F6308C">
            <w:pPr>
              <w:pStyle w:val="TableParagraph"/>
              <w:spacing w:before="37"/>
              <w:ind w:right="96"/>
            </w:pPr>
            <w:r>
              <w:t>-</w:t>
            </w:r>
          </w:p>
        </w:tc>
        <w:tc>
          <w:tcPr>
            <w:tcW w:w="987" w:type="dxa"/>
          </w:tcPr>
          <w:p w:rsidR="007C5447" w:rsidRDefault="00F6308C">
            <w:pPr>
              <w:pStyle w:val="TableParagraph"/>
              <w:spacing w:before="37"/>
              <w:ind w:right="98"/>
              <w:rPr>
                <w:b/>
              </w:rPr>
            </w:pPr>
            <w:r>
              <w:rPr>
                <w:b/>
              </w:rPr>
              <w:t>1.98</w:t>
            </w:r>
          </w:p>
        </w:tc>
      </w:tr>
      <w:tr w:rsidR="007C5447">
        <w:trPr>
          <w:trHeight w:val="331"/>
        </w:trPr>
        <w:tc>
          <w:tcPr>
            <w:tcW w:w="3315" w:type="dxa"/>
          </w:tcPr>
          <w:p w:rsidR="007C5447" w:rsidRDefault="00F6308C">
            <w:pPr>
              <w:pStyle w:val="TableParagraph"/>
              <w:spacing w:before="40"/>
              <w:ind w:left="107"/>
              <w:jc w:val="left"/>
            </w:pPr>
            <w:r>
              <w:t>HT IV- Lift Irrigation societies</w:t>
            </w:r>
          </w:p>
        </w:tc>
        <w:tc>
          <w:tcPr>
            <w:tcW w:w="989" w:type="dxa"/>
          </w:tcPr>
          <w:p w:rsidR="007C5447" w:rsidRDefault="00F6308C">
            <w:pPr>
              <w:pStyle w:val="TableParagraph"/>
              <w:spacing w:before="40"/>
              <w:ind w:right="96"/>
            </w:pPr>
            <w:r>
              <w:t>6.35</w:t>
            </w:r>
          </w:p>
        </w:tc>
        <w:tc>
          <w:tcPr>
            <w:tcW w:w="987" w:type="dxa"/>
          </w:tcPr>
          <w:p w:rsidR="007C5447" w:rsidRDefault="00F6308C">
            <w:pPr>
              <w:pStyle w:val="TableParagraph"/>
              <w:spacing w:before="40"/>
              <w:ind w:right="97"/>
            </w:pPr>
            <w:r>
              <w:t>4.09</w:t>
            </w:r>
          </w:p>
        </w:tc>
        <w:tc>
          <w:tcPr>
            <w:tcW w:w="989" w:type="dxa"/>
          </w:tcPr>
          <w:p w:rsidR="007C5447" w:rsidRDefault="00F6308C">
            <w:pPr>
              <w:pStyle w:val="TableParagraph"/>
              <w:spacing w:before="40"/>
              <w:ind w:right="96"/>
            </w:pPr>
            <w:r>
              <w:t>4.32</w:t>
            </w:r>
          </w:p>
        </w:tc>
        <w:tc>
          <w:tcPr>
            <w:tcW w:w="989" w:type="dxa"/>
          </w:tcPr>
          <w:p w:rsidR="007C5447" w:rsidRDefault="00F6308C">
            <w:pPr>
              <w:pStyle w:val="TableParagraph"/>
              <w:spacing w:before="40"/>
              <w:ind w:right="97"/>
            </w:pPr>
            <w:r>
              <w:t>0.43</w:t>
            </w:r>
          </w:p>
        </w:tc>
        <w:tc>
          <w:tcPr>
            <w:tcW w:w="990" w:type="dxa"/>
          </w:tcPr>
          <w:p w:rsidR="007C5447" w:rsidRDefault="00F6308C">
            <w:pPr>
              <w:pStyle w:val="TableParagraph"/>
              <w:spacing w:before="40"/>
              <w:ind w:right="96"/>
            </w:pPr>
            <w:r>
              <w:t>-</w:t>
            </w:r>
          </w:p>
        </w:tc>
        <w:tc>
          <w:tcPr>
            <w:tcW w:w="987" w:type="dxa"/>
          </w:tcPr>
          <w:p w:rsidR="007C5447" w:rsidRDefault="00F6308C">
            <w:pPr>
              <w:pStyle w:val="TableParagraph"/>
              <w:spacing w:before="40"/>
              <w:ind w:right="98"/>
              <w:rPr>
                <w:b/>
              </w:rPr>
            </w:pPr>
            <w:r>
              <w:rPr>
                <w:b/>
              </w:rPr>
              <w:t>1.27</w:t>
            </w:r>
          </w:p>
        </w:tc>
      </w:tr>
      <w:tr w:rsidR="007C5447">
        <w:trPr>
          <w:trHeight w:val="330"/>
        </w:trPr>
        <w:tc>
          <w:tcPr>
            <w:tcW w:w="3315" w:type="dxa"/>
          </w:tcPr>
          <w:p w:rsidR="007C5447" w:rsidRDefault="00F6308C">
            <w:pPr>
              <w:pStyle w:val="TableParagraph"/>
              <w:spacing w:before="37"/>
              <w:ind w:left="107"/>
              <w:jc w:val="left"/>
            </w:pPr>
            <w:r>
              <w:t>HT V - Temporary Supply</w:t>
            </w:r>
          </w:p>
        </w:tc>
        <w:tc>
          <w:tcPr>
            <w:tcW w:w="989" w:type="dxa"/>
          </w:tcPr>
          <w:p w:rsidR="007C5447" w:rsidRDefault="00F6308C">
            <w:pPr>
              <w:pStyle w:val="TableParagraph"/>
              <w:spacing w:before="37"/>
              <w:ind w:right="96"/>
            </w:pPr>
            <w:r>
              <w:t>11.30</w:t>
            </w:r>
          </w:p>
        </w:tc>
        <w:tc>
          <w:tcPr>
            <w:tcW w:w="987" w:type="dxa"/>
          </w:tcPr>
          <w:p w:rsidR="007C5447" w:rsidRDefault="00F6308C">
            <w:pPr>
              <w:pStyle w:val="TableParagraph"/>
              <w:spacing w:before="37"/>
              <w:ind w:right="97"/>
            </w:pPr>
            <w:r>
              <w:t>4.09</w:t>
            </w:r>
          </w:p>
        </w:tc>
        <w:tc>
          <w:tcPr>
            <w:tcW w:w="989" w:type="dxa"/>
          </w:tcPr>
          <w:p w:rsidR="007C5447" w:rsidRDefault="00F6308C">
            <w:pPr>
              <w:pStyle w:val="TableParagraph"/>
              <w:spacing w:before="37"/>
              <w:ind w:right="96"/>
            </w:pPr>
            <w:r>
              <w:t>4.32</w:t>
            </w:r>
          </w:p>
        </w:tc>
        <w:tc>
          <w:tcPr>
            <w:tcW w:w="989" w:type="dxa"/>
          </w:tcPr>
          <w:p w:rsidR="007C5447" w:rsidRDefault="00F6308C">
            <w:pPr>
              <w:pStyle w:val="TableParagraph"/>
              <w:spacing w:before="37"/>
              <w:ind w:right="97"/>
            </w:pPr>
            <w:r>
              <w:t>0.43</w:t>
            </w:r>
          </w:p>
        </w:tc>
        <w:tc>
          <w:tcPr>
            <w:tcW w:w="990" w:type="dxa"/>
          </w:tcPr>
          <w:p w:rsidR="007C5447" w:rsidRDefault="00F6308C">
            <w:pPr>
              <w:pStyle w:val="TableParagraph"/>
              <w:spacing w:before="37"/>
              <w:ind w:right="96"/>
            </w:pPr>
            <w:r>
              <w:t>-</w:t>
            </w:r>
          </w:p>
        </w:tc>
        <w:tc>
          <w:tcPr>
            <w:tcW w:w="987" w:type="dxa"/>
          </w:tcPr>
          <w:p w:rsidR="007C5447" w:rsidRDefault="00F6308C">
            <w:pPr>
              <w:pStyle w:val="TableParagraph"/>
              <w:spacing w:before="37"/>
              <w:ind w:right="98"/>
              <w:rPr>
                <w:b/>
              </w:rPr>
            </w:pPr>
            <w:r>
              <w:rPr>
                <w:b/>
              </w:rPr>
              <w:t>2.26</w:t>
            </w:r>
          </w:p>
        </w:tc>
      </w:tr>
    </w:tbl>
    <w:p w:rsidR="007C5447" w:rsidRDefault="007C5447">
      <w:pPr>
        <w:pStyle w:val="BodyText"/>
        <w:spacing w:before="9"/>
        <w:rPr>
          <w:b/>
          <w:sz w:val="20"/>
        </w:rPr>
      </w:pPr>
    </w:p>
    <w:p w:rsidR="007C5447" w:rsidRDefault="00F6308C">
      <w:pPr>
        <w:pStyle w:val="BodyText"/>
        <w:spacing w:line="312" w:lineRule="auto"/>
        <w:ind w:left="260" w:right="885"/>
        <w:jc w:val="both"/>
      </w:pPr>
      <w:r>
        <w:rPr>
          <w:b/>
        </w:rPr>
        <w:t>Note</w:t>
      </w:r>
      <w:r>
        <w:t>: The above-determined CSS for each category shall remain the same, irrespective of the drawal and injection voltage, on account of capping of the CSS at 20% of the Tariff as per Tariff Policy formula</w:t>
      </w:r>
    </w:p>
    <w:p w:rsidR="007C5447" w:rsidRDefault="007C5447">
      <w:pPr>
        <w:pStyle w:val="BodyText"/>
        <w:rPr>
          <w:sz w:val="26"/>
        </w:rPr>
      </w:pPr>
    </w:p>
    <w:p w:rsidR="007C5447" w:rsidRDefault="007C5447">
      <w:pPr>
        <w:pStyle w:val="BodyText"/>
        <w:rPr>
          <w:sz w:val="26"/>
        </w:rPr>
      </w:pPr>
    </w:p>
    <w:p w:rsidR="007C5447" w:rsidRDefault="007C5447">
      <w:pPr>
        <w:pStyle w:val="BodyText"/>
        <w:spacing w:before="11"/>
        <w:rPr>
          <w:sz w:val="20"/>
        </w:rPr>
      </w:pPr>
    </w:p>
    <w:p w:rsidR="007C5447" w:rsidRDefault="00F6308C">
      <w:pPr>
        <w:pStyle w:val="Heading2"/>
        <w:numPr>
          <w:ilvl w:val="1"/>
          <w:numId w:val="40"/>
        </w:numPr>
        <w:tabs>
          <w:tab w:val="left" w:pos="827"/>
        </w:tabs>
        <w:ind w:left="826"/>
        <w:jc w:val="left"/>
      </w:pPr>
      <w:bookmarkStart w:id="87" w:name="_bookmark87"/>
      <w:bookmarkEnd w:id="87"/>
      <w:r>
        <w:t>Additional</w:t>
      </w:r>
      <w:r>
        <w:rPr>
          <w:spacing w:val="-3"/>
        </w:rPr>
        <w:t xml:space="preserve"> </w:t>
      </w:r>
      <w:r>
        <w:t>Surcharge</w:t>
      </w:r>
    </w:p>
    <w:p w:rsidR="007C5447" w:rsidRDefault="007C5447">
      <w:pPr>
        <w:pStyle w:val="BodyText"/>
        <w:spacing w:before="11"/>
        <w:rPr>
          <w:b/>
          <w:sz w:val="27"/>
        </w:rPr>
      </w:pPr>
    </w:p>
    <w:p w:rsidR="007C5447" w:rsidRDefault="00F6308C">
      <w:pPr>
        <w:pStyle w:val="ListParagraph"/>
        <w:numPr>
          <w:ilvl w:val="2"/>
          <w:numId w:val="40"/>
        </w:numPr>
        <w:tabs>
          <w:tab w:val="left" w:pos="1113"/>
        </w:tabs>
        <w:spacing w:line="312" w:lineRule="auto"/>
        <w:ind w:left="1112" w:right="877"/>
        <w:jc w:val="both"/>
        <w:rPr>
          <w:sz w:val="24"/>
        </w:rPr>
      </w:pPr>
      <w:r>
        <w:rPr>
          <w:sz w:val="24"/>
        </w:rPr>
        <w:t>TANGEDCO submitted that as per the Tariff Policy, 2016, the Additional Surcharge shall become applicable only if it is conclusively demonstrated that the obligation of a Licensee, in terms of existing power purchase commitments, has been and continues to b</w:t>
      </w:r>
      <w:r>
        <w:rPr>
          <w:sz w:val="24"/>
        </w:rPr>
        <w:t>e stranded, or there is an unavoidable obligation and incidence to bear Fixed Costs consequent to such a contract. TANGEDCO has not proposed to claim the Additional Surcharge at present.</w:t>
      </w:r>
    </w:p>
    <w:p w:rsidR="007C5447" w:rsidRDefault="007C5447">
      <w:pPr>
        <w:pStyle w:val="BodyText"/>
        <w:spacing w:before="10"/>
        <w:rPr>
          <w:sz w:val="20"/>
        </w:rPr>
      </w:pPr>
    </w:p>
    <w:p w:rsidR="007C5447" w:rsidRDefault="00F6308C">
      <w:pPr>
        <w:pStyle w:val="Heading2"/>
        <w:spacing w:before="1"/>
        <w:ind w:left="1112"/>
      </w:pPr>
      <w:r>
        <w:t>Commission’s Views</w:t>
      </w:r>
    </w:p>
    <w:p w:rsidR="007C5447" w:rsidRDefault="00F6308C">
      <w:pPr>
        <w:pStyle w:val="ListParagraph"/>
        <w:numPr>
          <w:ilvl w:val="2"/>
          <w:numId w:val="40"/>
        </w:numPr>
        <w:tabs>
          <w:tab w:val="left" w:pos="1113"/>
        </w:tabs>
        <w:spacing w:before="204" w:line="312" w:lineRule="auto"/>
        <w:ind w:left="1112" w:right="876"/>
        <w:jc w:val="both"/>
        <w:rPr>
          <w:sz w:val="24"/>
        </w:rPr>
      </w:pPr>
      <w:r>
        <w:rPr>
          <w:sz w:val="24"/>
        </w:rPr>
        <w:t>As TANGEDCO has not proposed to levy Additional S</w:t>
      </w:r>
      <w:r>
        <w:rPr>
          <w:sz w:val="24"/>
        </w:rPr>
        <w:t>urcharge, the Commission has not approved any Additional</w:t>
      </w:r>
      <w:r>
        <w:rPr>
          <w:spacing w:val="-4"/>
          <w:sz w:val="24"/>
        </w:rPr>
        <w:t xml:space="preserve"> </w:t>
      </w:r>
      <w:r>
        <w:rPr>
          <w:sz w:val="24"/>
        </w:rPr>
        <w:t>Surcharge.</w:t>
      </w:r>
    </w:p>
    <w:p w:rsidR="007C5447" w:rsidRDefault="007C5447">
      <w:pPr>
        <w:pStyle w:val="BodyText"/>
        <w:rPr>
          <w:sz w:val="26"/>
        </w:rPr>
      </w:pPr>
    </w:p>
    <w:p w:rsidR="007C5447" w:rsidRDefault="007C5447">
      <w:pPr>
        <w:pStyle w:val="BodyText"/>
        <w:rPr>
          <w:sz w:val="26"/>
        </w:rPr>
      </w:pPr>
    </w:p>
    <w:p w:rsidR="007C5447" w:rsidRDefault="007C5447">
      <w:pPr>
        <w:pStyle w:val="BodyText"/>
        <w:spacing w:before="10"/>
        <w:rPr>
          <w:sz w:val="20"/>
        </w:rPr>
      </w:pPr>
    </w:p>
    <w:p w:rsidR="007C5447" w:rsidRDefault="00F6308C">
      <w:pPr>
        <w:pStyle w:val="Heading2"/>
        <w:numPr>
          <w:ilvl w:val="1"/>
          <w:numId w:val="40"/>
        </w:numPr>
        <w:tabs>
          <w:tab w:val="left" w:pos="827"/>
        </w:tabs>
        <w:ind w:left="826"/>
        <w:jc w:val="left"/>
      </w:pPr>
      <w:bookmarkStart w:id="88" w:name="_bookmark88"/>
      <w:bookmarkEnd w:id="88"/>
      <w:r>
        <w:t>Grid Availability Charges</w:t>
      </w:r>
    </w:p>
    <w:p w:rsidR="007C5447" w:rsidRDefault="007C5447">
      <w:pPr>
        <w:pStyle w:val="BodyText"/>
        <w:spacing w:before="11"/>
        <w:rPr>
          <w:b/>
          <w:sz w:val="27"/>
        </w:rPr>
      </w:pPr>
    </w:p>
    <w:p w:rsidR="007C5447" w:rsidRDefault="00F6308C">
      <w:pPr>
        <w:pStyle w:val="ListParagraph"/>
        <w:numPr>
          <w:ilvl w:val="2"/>
          <w:numId w:val="40"/>
        </w:numPr>
        <w:tabs>
          <w:tab w:val="left" w:pos="1113"/>
        </w:tabs>
        <w:spacing w:line="312" w:lineRule="auto"/>
        <w:ind w:left="1112" w:right="878"/>
        <w:jc w:val="both"/>
        <w:rPr>
          <w:sz w:val="24"/>
        </w:rPr>
      </w:pPr>
      <w:r>
        <w:rPr>
          <w:sz w:val="24"/>
        </w:rPr>
        <w:t>TANGEDCO submitted a proposal for approval of Energy Charges plus the Energy Equated Demand Charges applicable to HT Temporary Tariff as Grid Availability Cha</w:t>
      </w:r>
      <w:r>
        <w:rPr>
          <w:sz w:val="24"/>
        </w:rPr>
        <w:t>rges. TANGEDCO further submitted that the Grid Availability Charges</w:t>
      </w:r>
      <w:r>
        <w:rPr>
          <w:spacing w:val="52"/>
          <w:sz w:val="24"/>
        </w:rPr>
        <w:t xml:space="preserve"> </w:t>
      </w:r>
      <w:r>
        <w:rPr>
          <w:sz w:val="24"/>
        </w:rPr>
        <w:t>are</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BodyText"/>
        <w:spacing w:before="60" w:line="312" w:lineRule="auto"/>
        <w:ind w:left="1112" w:right="916"/>
      </w:pPr>
      <w:r>
        <w:lastRenderedPageBreak/>
        <w:t>basically for providing standby arrangements to Open Access customers in the following</w:t>
      </w:r>
      <w:r>
        <w:rPr>
          <w:spacing w:val="-3"/>
        </w:rPr>
        <w:t xml:space="preserve"> </w:t>
      </w:r>
      <w:r>
        <w:t>cases:</w:t>
      </w:r>
    </w:p>
    <w:p w:rsidR="007C5447" w:rsidRDefault="007C5447">
      <w:pPr>
        <w:pStyle w:val="BodyText"/>
        <w:spacing w:before="11"/>
        <w:rPr>
          <w:sz w:val="20"/>
        </w:rPr>
      </w:pPr>
    </w:p>
    <w:p w:rsidR="007C5447" w:rsidRDefault="00F6308C">
      <w:pPr>
        <w:pStyle w:val="ListParagraph"/>
        <w:numPr>
          <w:ilvl w:val="0"/>
          <w:numId w:val="36"/>
        </w:numPr>
        <w:tabs>
          <w:tab w:val="left" w:pos="1678"/>
          <w:tab w:val="left" w:pos="1679"/>
        </w:tabs>
        <w:jc w:val="left"/>
        <w:rPr>
          <w:sz w:val="24"/>
        </w:rPr>
      </w:pPr>
      <w:r>
        <w:rPr>
          <w:sz w:val="24"/>
        </w:rPr>
        <w:t>In case of outages of Generator supplying to an Open Access</w:t>
      </w:r>
      <w:r>
        <w:rPr>
          <w:spacing w:val="-14"/>
          <w:sz w:val="24"/>
        </w:rPr>
        <w:t xml:space="preserve"> </w:t>
      </w:r>
      <w:r>
        <w:rPr>
          <w:sz w:val="24"/>
        </w:rPr>
        <w:t>consumer.</w:t>
      </w:r>
    </w:p>
    <w:p w:rsidR="007C5447" w:rsidRDefault="00F6308C">
      <w:pPr>
        <w:pStyle w:val="ListParagraph"/>
        <w:numPr>
          <w:ilvl w:val="0"/>
          <w:numId w:val="36"/>
        </w:numPr>
        <w:tabs>
          <w:tab w:val="left" w:pos="1678"/>
          <w:tab w:val="left" w:pos="1679"/>
        </w:tabs>
        <w:spacing w:before="202"/>
        <w:ind w:hanging="555"/>
        <w:jc w:val="left"/>
        <w:rPr>
          <w:sz w:val="24"/>
        </w:rPr>
      </w:pPr>
      <w:r>
        <w:rPr>
          <w:sz w:val="24"/>
        </w:rPr>
        <w:t>For start-up power by</w:t>
      </w:r>
      <w:r>
        <w:rPr>
          <w:spacing w:val="-4"/>
          <w:sz w:val="24"/>
        </w:rPr>
        <w:t xml:space="preserve"> </w:t>
      </w:r>
      <w:r>
        <w:rPr>
          <w:sz w:val="24"/>
        </w:rPr>
        <w:t>Generator.</w:t>
      </w:r>
    </w:p>
    <w:p w:rsidR="007C5447" w:rsidRDefault="00F6308C">
      <w:pPr>
        <w:pStyle w:val="ListParagraph"/>
        <w:numPr>
          <w:ilvl w:val="0"/>
          <w:numId w:val="36"/>
        </w:numPr>
        <w:tabs>
          <w:tab w:val="left" w:pos="1679"/>
        </w:tabs>
        <w:spacing w:before="204" w:line="312" w:lineRule="auto"/>
        <w:ind w:right="877" w:hanging="622"/>
        <w:jc w:val="both"/>
        <w:rPr>
          <w:sz w:val="24"/>
        </w:rPr>
      </w:pPr>
      <w:r>
        <w:rPr>
          <w:sz w:val="24"/>
        </w:rPr>
        <w:t xml:space="preserve">When the generation as per schedule is not maintained and </w:t>
      </w:r>
      <w:r>
        <w:rPr>
          <w:sz w:val="24"/>
        </w:rPr>
        <w:t>when the drawal by the Open Access consumer is in excess of the</w:t>
      </w:r>
      <w:r>
        <w:rPr>
          <w:spacing w:val="-2"/>
          <w:sz w:val="24"/>
        </w:rPr>
        <w:t xml:space="preserve"> </w:t>
      </w:r>
      <w:r>
        <w:rPr>
          <w:sz w:val="24"/>
        </w:rPr>
        <w:t>schedule.</w:t>
      </w:r>
    </w:p>
    <w:p w:rsidR="007C5447" w:rsidRDefault="00F6308C">
      <w:pPr>
        <w:pStyle w:val="ListParagraph"/>
        <w:numPr>
          <w:ilvl w:val="2"/>
          <w:numId w:val="40"/>
        </w:numPr>
        <w:tabs>
          <w:tab w:val="left" w:pos="1113"/>
        </w:tabs>
        <w:spacing w:before="120" w:line="312" w:lineRule="auto"/>
        <w:ind w:left="1112" w:right="875"/>
        <w:jc w:val="both"/>
        <w:rPr>
          <w:sz w:val="24"/>
        </w:rPr>
      </w:pPr>
      <w:r>
        <w:rPr>
          <w:sz w:val="24"/>
        </w:rPr>
        <w:t>TANGEDCO submitted that it is facilitating standby power supply arrangement for Open Access consumers. As per Clause 8.5.6 of the Tariff Policy, a standby arrangement needs to be pro</w:t>
      </w:r>
      <w:r>
        <w:rPr>
          <w:sz w:val="24"/>
        </w:rPr>
        <w:t>vided to Open Access consumers to safeguard their supply in case of outages of the Generator. However, such consumer will be charged a Tariff relevant to Temporary Connection as such standby support will be for a temporary period of</w:t>
      </w:r>
      <w:r>
        <w:rPr>
          <w:spacing w:val="-6"/>
          <w:sz w:val="24"/>
        </w:rPr>
        <w:t xml:space="preserve"> </w:t>
      </w:r>
      <w:r>
        <w:rPr>
          <w:sz w:val="24"/>
        </w:rPr>
        <w:t>time.</w:t>
      </w:r>
    </w:p>
    <w:p w:rsidR="007C5447" w:rsidRDefault="007C5447">
      <w:pPr>
        <w:pStyle w:val="BodyText"/>
        <w:spacing w:before="10"/>
        <w:rPr>
          <w:sz w:val="20"/>
        </w:rPr>
      </w:pPr>
    </w:p>
    <w:p w:rsidR="007C5447" w:rsidRDefault="00F6308C">
      <w:pPr>
        <w:ind w:left="1700" w:right="1596"/>
        <w:jc w:val="both"/>
        <w:rPr>
          <w:i/>
          <w:sz w:val="24"/>
        </w:rPr>
      </w:pPr>
      <w:r>
        <w:rPr>
          <w:i/>
          <w:sz w:val="24"/>
        </w:rPr>
        <w:t>“8.5.6 In case o</w:t>
      </w:r>
      <w:r>
        <w:rPr>
          <w:i/>
          <w:sz w:val="24"/>
        </w:rPr>
        <w:t>f outages of generator supplying to a consumer on open access, standby arrangements should be provided by the licensee on the payment of tariff for temporary connection to that consumer category as specified by the Appropriate</w:t>
      </w:r>
      <w:r>
        <w:rPr>
          <w:i/>
          <w:spacing w:val="-5"/>
          <w:sz w:val="24"/>
        </w:rPr>
        <w:t xml:space="preserve"> </w:t>
      </w:r>
      <w:r>
        <w:rPr>
          <w:i/>
          <w:sz w:val="24"/>
        </w:rPr>
        <w:t>Commission.”</w:t>
      </w:r>
    </w:p>
    <w:p w:rsidR="007C5447" w:rsidRDefault="00F6308C">
      <w:pPr>
        <w:pStyle w:val="ListParagraph"/>
        <w:numPr>
          <w:ilvl w:val="2"/>
          <w:numId w:val="40"/>
        </w:numPr>
        <w:tabs>
          <w:tab w:val="left" w:pos="1113"/>
        </w:tabs>
        <w:spacing w:before="121" w:line="312" w:lineRule="auto"/>
        <w:ind w:left="1112" w:right="881"/>
        <w:jc w:val="both"/>
        <w:rPr>
          <w:sz w:val="24"/>
        </w:rPr>
      </w:pPr>
      <w:r>
        <w:rPr>
          <w:sz w:val="24"/>
        </w:rPr>
        <w:t>In an interconne</w:t>
      </w:r>
      <w:r>
        <w:rPr>
          <w:sz w:val="24"/>
        </w:rPr>
        <w:t>ction (integrated A.C. Grid), since MW deviations from schedule of an entity are met from the entire Grid, the temporary standby support will result into deviation in the drawal by Licensee resulting in UI</w:t>
      </w:r>
      <w:r>
        <w:rPr>
          <w:spacing w:val="-6"/>
          <w:sz w:val="24"/>
        </w:rPr>
        <w:t xml:space="preserve"> </w:t>
      </w:r>
      <w:r>
        <w:rPr>
          <w:sz w:val="24"/>
        </w:rPr>
        <w:t>applicability.</w:t>
      </w:r>
    </w:p>
    <w:p w:rsidR="007C5447" w:rsidRDefault="007C5447">
      <w:pPr>
        <w:pStyle w:val="BodyText"/>
        <w:spacing w:before="9"/>
        <w:rPr>
          <w:sz w:val="20"/>
        </w:rPr>
      </w:pPr>
    </w:p>
    <w:p w:rsidR="007C5447" w:rsidRDefault="00F6308C">
      <w:pPr>
        <w:pStyle w:val="ListParagraph"/>
        <w:numPr>
          <w:ilvl w:val="2"/>
          <w:numId w:val="40"/>
        </w:numPr>
        <w:tabs>
          <w:tab w:val="left" w:pos="1113"/>
        </w:tabs>
        <w:spacing w:line="312" w:lineRule="auto"/>
        <w:ind w:left="1112" w:right="878"/>
        <w:jc w:val="both"/>
        <w:rPr>
          <w:sz w:val="24"/>
        </w:rPr>
      </w:pPr>
      <w:r>
        <w:rPr>
          <w:sz w:val="24"/>
        </w:rPr>
        <w:t xml:space="preserve">TANGEDCO submitted that the Commission in SMT Order dated December 11, 2014 approved a separate Tariff category for HT temporary supply and hence, it is prayed to fix the Tariff of Grid Availability Charges equivalent to Energy Charges plus Energy Equated </w:t>
      </w:r>
      <w:r>
        <w:rPr>
          <w:sz w:val="24"/>
        </w:rPr>
        <w:t>Demand Charges applicable to HT Temporary</w:t>
      </w:r>
      <w:r>
        <w:rPr>
          <w:spacing w:val="-10"/>
          <w:sz w:val="24"/>
        </w:rPr>
        <w:t xml:space="preserve"> </w:t>
      </w:r>
      <w:r>
        <w:rPr>
          <w:sz w:val="24"/>
        </w:rPr>
        <w:t>supply.</w:t>
      </w:r>
    </w:p>
    <w:p w:rsidR="007C5447" w:rsidRDefault="007C5447">
      <w:pPr>
        <w:pStyle w:val="BodyText"/>
        <w:spacing w:before="10"/>
        <w:rPr>
          <w:sz w:val="20"/>
        </w:rPr>
      </w:pPr>
    </w:p>
    <w:p w:rsidR="007C5447" w:rsidRDefault="00F6308C">
      <w:pPr>
        <w:pStyle w:val="Heading2"/>
        <w:ind w:left="1112"/>
      </w:pPr>
      <w:r>
        <w:t>Commission’s Views</w:t>
      </w:r>
    </w:p>
    <w:p w:rsidR="007C5447" w:rsidRDefault="00F6308C">
      <w:pPr>
        <w:pStyle w:val="ListParagraph"/>
        <w:numPr>
          <w:ilvl w:val="2"/>
          <w:numId w:val="40"/>
        </w:numPr>
        <w:tabs>
          <w:tab w:val="left" w:pos="1113"/>
        </w:tabs>
        <w:spacing w:before="204" w:line="312" w:lineRule="auto"/>
        <w:ind w:left="1112" w:right="883"/>
        <w:jc w:val="both"/>
        <w:rPr>
          <w:sz w:val="24"/>
        </w:rPr>
      </w:pPr>
      <w:r>
        <w:rPr>
          <w:sz w:val="24"/>
        </w:rPr>
        <w:t>The Commission has already clarified in the Order dated December 11, 2014, that the Grid Availability Charges shall be levied for the following</w:t>
      </w:r>
      <w:r>
        <w:rPr>
          <w:spacing w:val="-8"/>
          <w:sz w:val="24"/>
        </w:rPr>
        <w:t xml:space="preserve"> </w:t>
      </w:r>
      <w:r>
        <w:rPr>
          <w:sz w:val="24"/>
        </w:rPr>
        <w:t>conditions:</w:t>
      </w:r>
    </w:p>
    <w:p w:rsidR="007C5447" w:rsidRDefault="007C5447">
      <w:pPr>
        <w:pStyle w:val="BodyText"/>
        <w:spacing w:before="1"/>
        <w:rPr>
          <w:sz w:val="21"/>
        </w:rPr>
      </w:pPr>
    </w:p>
    <w:p w:rsidR="007C5447" w:rsidRDefault="00F6308C">
      <w:pPr>
        <w:pStyle w:val="ListParagraph"/>
        <w:numPr>
          <w:ilvl w:val="0"/>
          <w:numId w:val="35"/>
        </w:numPr>
        <w:tabs>
          <w:tab w:val="left" w:pos="1701"/>
        </w:tabs>
        <w:ind w:left="1700" w:hanging="289"/>
        <w:jc w:val="left"/>
        <w:rPr>
          <w:sz w:val="24"/>
        </w:rPr>
      </w:pPr>
      <w:r>
        <w:rPr>
          <w:sz w:val="24"/>
        </w:rPr>
        <w:t>In case of outages of generator supplying to an Open Access</w:t>
      </w:r>
      <w:r>
        <w:rPr>
          <w:spacing w:val="-5"/>
          <w:sz w:val="24"/>
        </w:rPr>
        <w:t xml:space="preserve"> </w:t>
      </w:r>
      <w:r>
        <w:rPr>
          <w:sz w:val="24"/>
        </w:rPr>
        <w:t>consumer</w:t>
      </w:r>
    </w:p>
    <w:p w:rsidR="007C5447" w:rsidRDefault="00F6308C">
      <w:pPr>
        <w:pStyle w:val="ListParagraph"/>
        <w:numPr>
          <w:ilvl w:val="0"/>
          <w:numId w:val="35"/>
        </w:numPr>
        <w:tabs>
          <w:tab w:val="left" w:pos="1701"/>
        </w:tabs>
        <w:spacing w:before="81"/>
        <w:ind w:left="1700" w:hanging="289"/>
        <w:jc w:val="left"/>
        <w:rPr>
          <w:sz w:val="24"/>
        </w:rPr>
      </w:pPr>
      <w:r>
        <w:rPr>
          <w:sz w:val="24"/>
        </w:rPr>
        <w:t>For start-up power by</w:t>
      </w:r>
      <w:r>
        <w:rPr>
          <w:spacing w:val="-4"/>
          <w:sz w:val="24"/>
        </w:rPr>
        <w:t xml:space="preserve"> </w:t>
      </w:r>
      <w:r>
        <w:rPr>
          <w:sz w:val="24"/>
        </w:rPr>
        <w:t>generator</w:t>
      </w:r>
    </w:p>
    <w:p w:rsidR="007C5447" w:rsidRDefault="00F6308C">
      <w:pPr>
        <w:pStyle w:val="ListParagraph"/>
        <w:numPr>
          <w:ilvl w:val="0"/>
          <w:numId w:val="35"/>
        </w:numPr>
        <w:tabs>
          <w:tab w:val="left" w:pos="1701"/>
        </w:tabs>
        <w:spacing w:before="82" w:line="304" w:lineRule="auto"/>
        <w:ind w:right="880" w:hanging="360"/>
        <w:jc w:val="left"/>
        <w:rPr>
          <w:sz w:val="24"/>
        </w:rPr>
      </w:pPr>
      <w:r>
        <w:rPr>
          <w:sz w:val="24"/>
        </w:rPr>
        <w:t>When the generator as per schedule is not maintained and when the drawal by the open access consumer is in excess of the</w:t>
      </w:r>
      <w:r>
        <w:rPr>
          <w:spacing w:val="-1"/>
          <w:sz w:val="24"/>
        </w:rPr>
        <w:t xml:space="preserve"> </w:t>
      </w:r>
      <w:r>
        <w:rPr>
          <w:sz w:val="24"/>
        </w:rPr>
        <w:t>schedule.</w:t>
      </w:r>
    </w:p>
    <w:p w:rsidR="007C5447" w:rsidRDefault="007C5447">
      <w:pPr>
        <w:pStyle w:val="BodyText"/>
        <w:spacing w:before="7"/>
        <w:rPr>
          <w:sz w:val="21"/>
        </w:rPr>
      </w:pPr>
    </w:p>
    <w:p w:rsidR="007C5447" w:rsidRDefault="00F6308C">
      <w:pPr>
        <w:pStyle w:val="ListParagraph"/>
        <w:numPr>
          <w:ilvl w:val="2"/>
          <w:numId w:val="40"/>
        </w:numPr>
        <w:tabs>
          <w:tab w:val="left" w:pos="1113"/>
        </w:tabs>
        <w:spacing w:line="312" w:lineRule="auto"/>
        <w:ind w:left="1112" w:right="878"/>
        <w:jc w:val="both"/>
        <w:rPr>
          <w:sz w:val="24"/>
        </w:rPr>
      </w:pPr>
      <w:r>
        <w:rPr>
          <w:sz w:val="24"/>
        </w:rPr>
        <w:t>The Grid Availability C</w:t>
      </w:r>
      <w:r>
        <w:rPr>
          <w:sz w:val="24"/>
        </w:rPr>
        <w:t>harges for Open Access consumers shall be applicable as under:</w:t>
      </w:r>
    </w:p>
    <w:p w:rsidR="007C5447" w:rsidRDefault="007C5447">
      <w:pPr>
        <w:spacing w:line="312" w:lineRule="auto"/>
        <w:jc w:val="both"/>
        <w:rPr>
          <w:sz w:val="24"/>
        </w:rPr>
        <w:sectPr w:rsidR="007C5447">
          <w:footerReference w:type="default" r:id="rId72"/>
          <w:pgSz w:w="11910" w:h="16840"/>
          <w:pgMar w:top="1360" w:right="560" w:bottom="1240" w:left="1180" w:header="0" w:footer="1057" w:gutter="0"/>
          <w:cols w:space="720"/>
        </w:sectPr>
      </w:pPr>
    </w:p>
    <w:p w:rsidR="007C5447" w:rsidRDefault="00F6308C">
      <w:pPr>
        <w:pStyle w:val="ListParagraph"/>
        <w:numPr>
          <w:ilvl w:val="0"/>
          <w:numId w:val="34"/>
        </w:numPr>
        <w:tabs>
          <w:tab w:val="left" w:pos="1538"/>
        </w:tabs>
        <w:spacing w:before="60" w:line="312" w:lineRule="auto"/>
        <w:ind w:right="877"/>
        <w:jc w:val="both"/>
        <w:rPr>
          <w:sz w:val="24"/>
        </w:rPr>
      </w:pPr>
      <w:r>
        <w:rPr>
          <w:sz w:val="24"/>
        </w:rPr>
        <w:lastRenderedPageBreak/>
        <w:t>Scheduling of all transactions pursuant to grant of long-term open access or medium-term open access or short-term open access shall be carried out on day- ahead basis in accordance with the relevant provisions of IEGC/CERC Open Access Regulations for inte</w:t>
      </w:r>
      <w:r>
        <w:rPr>
          <w:sz w:val="24"/>
        </w:rPr>
        <w:t>r-State transactions and in accordance with State Grid Code/Commission’s Regulations / orders for intra-State</w:t>
      </w:r>
      <w:r>
        <w:rPr>
          <w:spacing w:val="-6"/>
          <w:sz w:val="24"/>
        </w:rPr>
        <w:t xml:space="preserve"> </w:t>
      </w:r>
      <w:r>
        <w:rPr>
          <w:sz w:val="24"/>
        </w:rPr>
        <w:t>transactions.</w:t>
      </w:r>
    </w:p>
    <w:p w:rsidR="007C5447" w:rsidRDefault="00F6308C">
      <w:pPr>
        <w:pStyle w:val="ListParagraph"/>
        <w:numPr>
          <w:ilvl w:val="0"/>
          <w:numId w:val="34"/>
        </w:numPr>
        <w:tabs>
          <w:tab w:val="left" w:pos="1538"/>
        </w:tabs>
        <w:spacing w:before="120" w:line="312" w:lineRule="auto"/>
        <w:ind w:right="876"/>
        <w:jc w:val="both"/>
        <w:rPr>
          <w:sz w:val="24"/>
        </w:rPr>
      </w:pPr>
      <w:r>
        <w:rPr>
          <w:sz w:val="24"/>
        </w:rPr>
        <w:t>Deviations between the schedule and the actual injection/drawal in respect of a open access customer who is not a consumer of the di</w:t>
      </w:r>
      <w:r>
        <w:rPr>
          <w:sz w:val="24"/>
        </w:rPr>
        <w:t>stribution licensee and the Generating Stations, shall come under the purview of the intra-state ABT, as notified by the Commission and shall be settled based on the composite accounts for imbalance transactions issued by SLDC on a weekly cycle in accordan</w:t>
      </w:r>
      <w:r>
        <w:rPr>
          <w:sz w:val="24"/>
        </w:rPr>
        <w:t>ce with the UI charges specified by the Commission. Billing, collection and disbursement of any amounts under the above transactions shall be in accordance with the Commission’s orders on Intra-state ABT, as may be applicable from time to time. Till the im</w:t>
      </w:r>
      <w:r>
        <w:rPr>
          <w:sz w:val="24"/>
        </w:rPr>
        <w:t>plementation of Intra-State ABT, the imbalance charge shall be at the rate of applicable temporary supply</w:t>
      </w:r>
      <w:r>
        <w:rPr>
          <w:spacing w:val="-16"/>
          <w:sz w:val="24"/>
        </w:rPr>
        <w:t xml:space="preserve"> </w:t>
      </w:r>
      <w:r>
        <w:rPr>
          <w:sz w:val="24"/>
        </w:rPr>
        <w:t>tariff.</w:t>
      </w:r>
    </w:p>
    <w:p w:rsidR="007C5447" w:rsidRDefault="00F6308C">
      <w:pPr>
        <w:pStyle w:val="ListParagraph"/>
        <w:numPr>
          <w:ilvl w:val="0"/>
          <w:numId w:val="34"/>
        </w:numPr>
        <w:tabs>
          <w:tab w:val="left" w:pos="1538"/>
        </w:tabs>
        <w:spacing w:before="121" w:line="312" w:lineRule="auto"/>
        <w:ind w:right="882"/>
        <w:jc w:val="both"/>
        <w:rPr>
          <w:sz w:val="24"/>
        </w:rPr>
      </w:pPr>
      <w:r>
        <w:rPr>
          <w:sz w:val="24"/>
        </w:rPr>
        <w:t xml:space="preserve">In case of deviation by Open Access Customer who is also a consumer of distribution licensee, the difference between the applicable scheduled </w:t>
      </w:r>
      <w:r>
        <w:rPr>
          <w:sz w:val="24"/>
        </w:rPr>
        <w:t>open access load and actual drawl shall be accounted Block wise and shall be settled in accordance with the</w:t>
      </w:r>
      <w:r>
        <w:rPr>
          <w:spacing w:val="-1"/>
          <w:sz w:val="24"/>
        </w:rPr>
        <w:t xml:space="preserve"> </w:t>
      </w:r>
      <w:r>
        <w:rPr>
          <w:sz w:val="24"/>
        </w:rPr>
        <w:t>following:</w:t>
      </w:r>
    </w:p>
    <w:p w:rsidR="007C5447" w:rsidRDefault="00F6308C">
      <w:pPr>
        <w:pStyle w:val="ListParagraph"/>
        <w:numPr>
          <w:ilvl w:val="1"/>
          <w:numId w:val="34"/>
        </w:numPr>
        <w:tabs>
          <w:tab w:val="left" w:pos="2104"/>
        </w:tabs>
        <w:spacing w:before="120" w:line="314" w:lineRule="auto"/>
        <w:ind w:right="878"/>
        <w:jc w:val="both"/>
        <w:rPr>
          <w:sz w:val="24"/>
        </w:rPr>
      </w:pPr>
      <w:r>
        <w:rPr>
          <w:sz w:val="24"/>
        </w:rPr>
        <w:t>The energy consumption of such customer shall be recorded in 15 minutes time block.</w:t>
      </w:r>
    </w:p>
    <w:p w:rsidR="007C5447" w:rsidRDefault="00F6308C">
      <w:pPr>
        <w:pStyle w:val="ListParagraph"/>
        <w:numPr>
          <w:ilvl w:val="1"/>
          <w:numId w:val="34"/>
        </w:numPr>
        <w:tabs>
          <w:tab w:val="left" w:pos="2104"/>
        </w:tabs>
        <w:spacing w:before="115" w:line="312" w:lineRule="auto"/>
        <w:ind w:right="878"/>
        <w:jc w:val="both"/>
        <w:rPr>
          <w:sz w:val="24"/>
        </w:rPr>
      </w:pPr>
      <w:r>
        <w:rPr>
          <w:sz w:val="24"/>
        </w:rPr>
        <w:t>Deviations between the schedule and the actual inject</w:t>
      </w:r>
      <w:r>
        <w:rPr>
          <w:sz w:val="24"/>
        </w:rPr>
        <w:t>ion/drawal shall come under the purview of the intra-state ABT, as notified by the Commission and shall be settled based on the composite accounts for imbalance transactions issued by SLDC on a weekly cycle in accordance with the UI charges specified by th</w:t>
      </w:r>
      <w:r>
        <w:rPr>
          <w:sz w:val="24"/>
        </w:rPr>
        <w:t>e Commission. Billing, collection and disbursement of any amounts under the above transactions shall be in accordance with the Commission’s orders on Intra-state ABT, as may be applicable from time to time. Till the implementation of Intra-State ABT, the i</w:t>
      </w:r>
      <w:r>
        <w:rPr>
          <w:sz w:val="24"/>
        </w:rPr>
        <w:t>mbalance charge shall be regulated as</w:t>
      </w:r>
      <w:r>
        <w:rPr>
          <w:spacing w:val="-4"/>
          <w:sz w:val="24"/>
        </w:rPr>
        <w:t xml:space="preserve"> </w:t>
      </w:r>
      <w:r>
        <w:rPr>
          <w:sz w:val="24"/>
        </w:rPr>
        <w:t>below:</w:t>
      </w:r>
    </w:p>
    <w:p w:rsidR="007C5447" w:rsidRDefault="00F6308C">
      <w:pPr>
        <w:pStyle w:val="ListParagraph"/>
        <w:numPr>
          <w:ilvl w:val="2"/>
          <w:numId w:val="34"/>
        </w:numPr>
        <w:tabs>
          <w:tab w:val="left" w:pos="2387"/>
        </w:tabs>
        <w:spacing w:before="122" w:line="312" w:lineRule="auto"/>
        <w:ind w:right="879"/>
        <w:jc w:val="both"/>
        <w:rPr>
          <w:sz w:val="24"/>
        </w:rPr>
      </w:pPr>
      <w:r>
        <w:rPr>
          <w:sz w:val="24"/>
        </w:rPr>
        <w:t>In case of actual energy/demand drawal is more than the scheduled energy/demand but within the permitted energy/demand (based on contracted load and energy or quota demand and energy as applicable), customer sha</w:t>
      </w:r>
      <w:r>
        <w:rPr>
          <w:sz w:val="24"/>
        </w:rPr>
        <w:t>ll be liable to pay for such over drawal at the applicable tariff rates of that category of consumer as determined by the Commission from time to</w:t>
      </w:r>
      <w:r>
        <w:rPr>
          <w:spacing w:val="-1"/>
          <w:sz w:val="24"/>
        </w:rPr>
        <w:t xml:space="preserve"> </w:t>
      </w:r>
      <w:r>
        <w:rPr>
          <w:sz w:val="24"/>
        </w:rPr>
        <w:t>time.</w:t>
      </w:r>
    </w:p>
    <w:p w:rsidR="007C5447" w:rsidRDefault="007C5447">
      <w:pPr>
        <w:spacing w:line="312" w:lineRule="auto"/>
        <w:jc w:val="both"/>
        <w:rPr>
          <w:sz w:val="24"/>
        </w:rPr>
        <w:sectPr w:rsidR="007C5447">
          <w:footerReference w:type="default" r:id="rId73"/>
          <w:pgSz w:w="11910" w:h="16840"/>
          <w:pgMar w:top="1360" w:right="560" w:bottom="1240" w:left="1180" w:header="0" w:footer="1057" w:gutter="0"/>
          <w:pgNumType w:start="311"/>
          <w:cols w:space="720"/>
        </w:sectPr>
      </w:pPr>
    </w:p>
    <w:p w:rsidR="007C5447" w:rsidRDefault="00F6308C">
      <w:pPr>
        <w:pStyle w:val="ListParagraph"/>
        <w:numPr>
          <w:ilvl w:val="2"/>
          <w:numId w:val="34"/>
        </w:numPr>
        <w:tabs>
          <w:tab w:val="left" w:pos="2387"/>
        </w:tabs>
        <w:spacing w:before="60" w:line="312" w:lineRule="auto"/>
        <w:ind w:right="879" w:hanging="478"/>
        <w:jc w:val="both"/>
        <w:rPr>
          <w:sz w:val="24"/>
        </w:rPr>
      </w:pPr>
      <w:r>
        <w:rPr>
          <w:sz w:val="24"/>
        </w:rPr>
        <w:lastRenderedPageBreak/>
        <w:t xml:space="preserve">In case of actual energy/demand drawal is more than the scheduled energy/demand drawal and also more than the </w:t>
      </w:r>
      <w:r>
        <w:rPr>
          <w:spacing w:val="-3"/>
          <w:sz w:val="24"/>
        </w:rPr>
        <w:t xml:space="preserve">permitted </w:t>
      </w:r>
      <w:r>
        <w:rPr>
          <w:sz w:val="24"/>
        </w:rPr>
        <w:t>energy/demand (based on contracted load and energy or quota demand and energy as applicable), payment for the capacity above the contrac</w:t>
      </w:r>
      <w:r>
        <w:rPr>
          <w:sz w:val="24"/>
        </w:rPr>
        <w:t>t demand shall have to be made at the excess demand/energy charges as specified by the Commission for such categories of customers in the Regulations/Order.</w:t>
      </w:r>
    </w:p>
    <w:p w:rsidR="007C5447" w:rsidRDefault="00F6308C">
      <w:pPr>
        <w:pStyle w:val="ListParagraph"/>
        <w:numPr>
          <w:ilvl w:val="2"/>
          <w:numId w:val="40"/>
        </w:numPr>
        <w:tabs>
          <w:tab w:val="left" w:pos="1113"/>
        </w:tabs>
        <w:spacing w:before="120" w:line="312" w:lineRule="auto"/>
        <w:ind w:left="1112" w:right="880"/>
        <w:jc w:val="both"/>
        <w:rPr>
          <w:sz w:val="24"/>
        </w:rPr>
      </w:pPr>
      <w:r>
        <w:rPr>
          <w:sz w:val="24"/>
        </w:rPr>
        <w:t>Further, in the recently issued Order dated 31.07.2017 in I.A. No. 1 of 2015 in M.P. No. 10 of 2015</w:t>
      </w:r>
      <w:r>
        <w:rPr>
          <w:sz w:val="24"/>
        </w:rPr>
        <w:t xml:space="preserve"> and M.P. No.10 of 2015, the Commission has clarified as</w:t>
      </w:r>
      <w:r>
        <w:rPr>
          <w:spacing w:val="-5"/>
          <w:sz w:val="24"/>
        </w:rPr>
        <w:t xml:space="preserve"> </w:t>
      </w:r>
      <w:r>
        <w:rPr>
          <w:sz w:val="24"/>
        </w:rPr>
        <w:t>under:</w:t>
      </w:r>
    </w:p>
    <w:p w:rsidR="007C5447" w:rsidRDefault="007C5447">
      <w:pPr>
        <w:pStyle w:val="BodyText"/>
        <w:spacing w:before="10"/>
        <w:rPr>
          <w:sz w:val="20"/>
        </w:rPr>
      </w:pPr>
    </w:p>
    <w:p w:rsidR="007C5447" w:rsidRDefault="00F6308C">
      <w:pPr>
        <w:ind w:left="1700" w:right="1600"/>
        <w:jc w:val="both"/>
        <w:rPr>
          <w:i/>
          <w:sz w:val="24"/>
        </w:rPr>
      </w:pPr>
      <w:r>
        <w:rPr>
          <w:i/>
          <w:sz w:val="24"/>
        </w:rPr>
        <w:t>“6.8. This Commission accordingly clarifies that in case of outage of generator supplying to an open access consumer, the open access consumer is liable to pay the grid support charges at the</w:t>
      </w:r>
      <w:r>
        <w:rPr>
          <w:i/>
          <w:sz w:val="24"/>
        </w:rPr>
        <w:t xml:space="preserve"> applicable tariff rates of that category of Consumer considering it as deviation from the schedule.”</w:t>
      </w:r>
    </w:p>
    <w:p w:rsidR="007C5447" w:rsidRDefault="007C5447">
      <w:pPr>
        <w:pStyle w:val="BodyText"/>
        <w:rPr>
          <w:i/>
          <w:sz w:val="26"/>
        </w:rPr>
      </w:pPr>
    </w:p>
    <w:p w:rsidR="007C5447" w:rsidRDefault="007C5447">
      <w:pPr>
        <w:pStyle w:val="BodyText"/>
        <w:spacing w:before="10"/>
        <w:rPr>
          <w:i/>
          <w:sz w:val="22"/>
        </w:rPr>
      </w:pPr>
    </w:p>
    <w:p w:rsidR="007C5447" w:rsidRDefault="00F6308C">
      <w:pPr>
        <w:pStyle w:val="ListParagraph"/>
        <w:numPr>
          <w:ilvl w:val="2"/>
          <w:numId w:val="40"/>
        </w:numPr>
        <w:tabs>
          <w:tab w:val="left" w:pos="1113"/>
        </w:tabs>
        <w:spacing w:line="312" w:lineRule="auto"/>
        <w:ind w:left="1112" w:right="876"/>
        <w:jc w:val="both"/>
        <w:rPr>
          <w:sz w:val="24"/>
        </w:rPr>
      </w:pPr>
      <w:r>
        <w:rPr>
          <w:sz w:val="24"/>
        </w:rPr>
        <w:t>The Parallel Operation Charges shall be collected only from the captive generators on the net capacity, i.e., the capacity being utilised for self-consu</w:t>
      </w:r>
      <w:r>
        <w:rPr>
          <w:sz w:val="24"/>
        </w:rPr>
        <w:t>mption, for extending the facility of grid</w:t>
      </w:r>
      <w:r>
        <w:rPr>
          <w:spacing w:val="-7"/>
          <w:sz w:val="24"/>
        </w:rPr>
        <w:t xml:space="preserve"> </w:t>
      </w:r>
      <w:r>
        <w:rPr>
          <w:sz w:val="24"/>
        </w:rPr>
        <w:t>support.</w:t>
      </w:r>
    </w:p>
    <w:p w:rsidR="007C5447" w:rsidRDefault="007C5447">
      <w:pPr>
        <w:pStyle w:val="BodyText"/>
        <w:rPr>
          <w:sz w:val="21"/>
        </w:rPr>
      </w:pPr>
    </w:p>
    <w:p w:rsidR="007C5447" w:rsidRDefault="00F6308C">
      <w:pPr>
        <w:pStyle w:val="ListParagraph"/>
        <w:numPr>
          <w:ilvl w:val="2"/>
          <w:numId w:val="40"/>
        </w:numPr>
        <w:tabs>
          <w:tab w:val="left" w:pos="1113"/>
        </w:tabs>
        <w:spacing w:line="312" w:lineRule="auto"/>
        <w:ind w:left="1112" w:right="878"/>
        <w:jc w:val="both"/>
        <w:rPr>
          <w:sz w:val="24"/>
        </w:rPr>
      </w:pPr>
      <w:r>
        <w:rPr>
          <w:sz w:val="24"/>
        </w:rPr>
        <w:t>The dispensation for Start-up power has already been elaborated separately in earlier sections of this</w:t>
      </w:r>
      <w:r>
        <w:rPr>
          <w:spacing w:val="-1"/>
          <w:sz w:val="24"/>
        </w:rPr>
        <w:t xml:space="preserve"> </w:t>
      </w:r>
      <w:r>
        <w:rPr>
          <w:sz w:val="24"/>
        </w:rPr>
        <w:t>Order.</w:t>
      </w:r>
    </w:p>
    <w:p w:rsidR="007C5447" w:rsidRDefault="007C5447">
      <w:pPr>
        <w:pStyle w:val="BodyText"/>
        <w:rPr>
          <w:sz w:val="26"/>
        </w:rPr>
      </w:pPr>
    </w:p>
    <w:p w:rsidR="007C5447" w:rsidRDefault="007C5447">
      <w:pPr>
        <w:pStyle w:val="BodyText"/>
        <w:rPr>
          <w:sz w:val="26"/>
        </w:rPr>
      </w:pPr>
    </w:p>
    <w:p w:rsidR="007C5447" w:rsidRDefault="007C5447">
      <w:pPr>
        <w:pStyle w:val="BodyText"/>
        <w:spacing w:before="10"/>
        <w:rPr>
          <w:sz w:val="20"/>
        </w:rPr>
      </w:pPr>
    </w:p>
    <w:p w:rsidR="007C5447" w:rsidRDefault="00F6308C">
      <w:pPr>
        <w:pStyle w:val="Heading2"/>
        <w:numPr>
          <w:ilvl w:val="1"/>
          <w:numId w:val="40"/>
        </w:numPr>
        <w:tabs>
          <w:tab w:val="left" w:pos="827"/>
        </w:tabs>
        <w:ind w:left="826"/>
        <w:jc w:val="left"/>
      </w:pPr>
      <w:bookmarkStart w:id="89" w:name="_bookmark89"/>
      <w:bookmarkEnd w:id="89"/>
      <w:r>
        <w:t>Time of Day Tariff</w:t>
      </w:r>
      <w:r>
        <w:rPr>
          <w:spacing w:val="-1"/>
        </w:rPr>
        <w:t xml:space="preserve"> </w:t>
      </w:r>
      <w:r>
        <w:t>(ToD)</w:t>
      </w:r>
    </w:p>
    <w:p w:rsidR="007C5447" w:rsidRDefault="007C5447">
      <w:pPr>
        <w:pStyle w:val="BodyText"/>
        <w:spacing w:before="2"/>
        <w:rPr>
          <w:b/>
          <w:sz w:val="28"/>
        </w:rPr>
      </w:pPr>
    </w:p>
    <w:p w:rsidR="007C5447" w:rsidRDefault="00F6308C">
      <w:pPr>
        <w:pStyle w:val="ListParagraph"/>
        <w:numPr>
          <w:ilvl w:val="2"/>
          <w:numId w:val="40"/>
        </w:numPr>
        <w:tabs>
          <w:tab w:val="left" w:pos="1113"/>
        </w:tabs>
        <w:spacing w:line="312" w:lineRule="auto"/>
        <w:ind w:left="1112" w:right="878"/>
        <w:jc w:val="both"/>
        <w:rPr>
          <w:sz w:val="24"/>
        </w:rPr>
      </w:pPr>
      <w:r>
        <w:rPr>
          <w:sz w:val="24"/>
        </w:rPr>
        <w:t>TANGEDCO submitted that presently under ToD billing, HT IA consumers are billed 20% extra on the energy charges for t</w:t>
      </w:r>
      <w:r>
        <w:rPr>
          <w:sz w:val="24"/>
        </w:rPr>
        <w:t xml:space="preserve">he energy recorded during peak hours. The duration of peak hours is 06:00 hrs to 09:00 hrs and 18:00 hrs to 21:00 hrs. In the R&amp;C period, the duration of 21:00 hrs to 22:00 hrs was also considered as peak hours. In practice, the load in the system is very </w:t>
      </w:r>
      <w:r>
        <w:rPr>
          <w:sz w:val="24"/>
        </w:rPr>
        <w:t>high between 21:00 hrs to 22:00 hrs. CERC has considered time duration from 21:00 hrs to 23:00 hrs also as peak hours. In order to avoid ambiguities, difficulties in billing and to reduce demand during this period, TANGEDCO submitted that the peak hour dur</w:t>
      </w:r>
      <w:r>
        <w:rPr>
          <w:sz w:val="24"/>
        </w:rPr>
        <w:t>ation may be modified as 06:00 hrs to 09:00 hrs and 18:00 hrs to 22:00</w:t>
      </w:r>
      <w:r>
        <w:rPr>
          <w:spacing w:val="-1"/>
          <w:sz w:val="24"/>
        </w:rPr>
        <w:t xml:space="preserve"> </w:t>
      </w:r>
      <w:r>
        <w:rPr>
          <w:sz w:val="24"/>
        </w:rPr>
        <w:t>hrs.</w:t>
      </w:r>
    </w:p>
    <w:p w:rsidR="007C5447" w:rsidRDefault="007C5447">
      <w:pPr>
        <w:pStyle w:val="BodyText"/>
        <w:spacing w:before="10"/>
        <w:rPr>
          <w:sz w:val="20"/>
        </w:rPr>
      </w:pPr>
    </w:p>
    <w:p w:rsidR="007C5447" w:rsidRDefault="00F6308C">
      <w:pPr>
        <w:pStyle w:val="Heading2"/>
        <w:ind w:left="1112"/>
      </w:pPr>
      <w:r>
        <w:t>Commission’s Views</w:t>
      </w:r>
    </w:p>
    <w:p w:rsidR="007C5447" w:rsidRDefault="00F6308C">
      <w:pPr>
        <w:pStyle w:val="ListParagraph"/>
        <w:numPr>
          <w:ilvl w:val="2"/>
          <w:numId w:val="40"/>
        </w:numPr>
        <w:tabs>
          <w:tab w:val="left" w:pos="1112"/>
          <w:tab w:val="left" w:pos="1113"/>
        </w:tabs>
        <w:spacing w:before="204"/>
        <w:ind w:left="1112" w:hanging="853"/>
        <w:jc w:val="left"/>
        <w:rPr>
          <w:sz w:val="24"/>
        </w:rPr>
      </w:pPr>
      <w:r>
        <w:rPr>
          <w:sz w:val="24"/>
        </w:rPr>
        <w:t>The Peak Hour Charges or Time of Day (ToD) tariff is widely-accepted as</w:t>
      </w:r>
      <w:r>
        <w:rPr>
          <w:spacing w:val="-4"/>
          <w:sz w:val="24"/>
        </w:rPr>
        <w:t xml:space="preserve"> </w:t>
      </w:r>
      <w:r>
        <w:rPr>
          <w:sz w:val="24"/>
        </w:rPr>
        <w:t>an</w:t>
      </w:r>
    </w:p>
    <w:p w:rsidR="007C5447" w:rsidRDefault="007C5447">
      <w:pPr>
        <w:rPr>
          <w:sz w:val="24"/>
        </w:rPr>
        <w:sectPr w:rsidR="007C5447">
          <w:pgSz w:w="11910" w:h="16840"/>
          <w:pgMar w:top="1360" w:right="560" w:bottom="1240" w:left="1180" w:header="0" w:footer="1057" w:gutter="0"/>
          <w:cols w:space="720"/>
        </w:sectPr>
      </w:pPr>
    </w:p>
    <w:p w:rsidR="007C5447" w:rsidRDefault="00F6308C">
      <w:pPr>
        <w:pStyle w:val="BodyText"/>
        <w:spacing w:before="60" w:line="312" w:lineRule="auto"/>
        <w:ind w:left="1112" w:right="877"/>
        <w:jc w:val="both"/>
      </w:pPr>
      <w:r>
        <w:lastRenderedPageBreak/>
        <w:t>effective tool for Demand Side Management (DSM). This economic-regu</w:t>
      </w:r>
      <w:r>
        <w:t>latory tool facilitates separate peak and off-peak tariffs, which would help in reducing consumption during peak hours where power demand and cost of power is high, by shifting the consumption to off-peak hours where power demand and cost of power is relat</w:t>
      </w:r>
      <w:r>
        <w:t>ively</w:t>
      </w:r>
      <w:r>
        <w:rPr>
          <w:spacing w:val="-5"/>
        </w:rPr>
        <w:t xml:space="preserve"> </w:t>
      </w:r>
      <w:r>
        <w:t>lower.</w:t>
      </w:r>
    </w:p>
    <w:p w:rsidR="007C5447" w:rsidRDefault="007C5447">
      <w:pPr>
        <w:pStyle w:val="BodyText"/>
        <w:spacing w:before="10"/>
        <w:rPr>
          <w:sz w:val="20"/>
        </w:rPr>
      </w:pPr>
    </w:p>
    <w:p w:rsidR="007C5447" w:rsidRDefault="00F6308C">
      <w:pPr>
        <w:pStyle w:val="ListParagraph"/>
        <w:numPr>
          <w:ilvl w:val="2"/>
          <w:numId w:val="40"/>
        </w:numPr>
        <w:tabs>
          <w:tab w:val="left" w:pos="1113"/>
        </w:tabs>
        <w:spacing w:line="312" w:lineRule="auto"/>
        <w:ind w:left="1112" w:right="877"/>
        <w:jc w:val="both"/>
        <w:rPr>
          <w:sz w:val="24"/>
        </w:rPr>
      </w:pPr>
      <w:r>
        <w:rPr>
          <w:sz w:val="24"/>
        </w:rPr>
        <w:t>The aim of providing differential tariff for peak and off-peak hours is to shift load from peak to off-peak hours with a view to optimize the generation capacity and minimize the cost of power procurement for the Distribution Licensee. Hence,</w:t>
      </w:r>
      <w:r>
        <w:rPr>
          <w:sz w:val="24"/>
        </w:rPr>
        <w:t xml:space="preserve"> ToD tariff assumes importance in the context of propagating and implementing DSM and achieving energy efficiency. The intention of levying such additional charges/rebates is to incentivise consumers to shift their consumption from peak to off peak hours, </w:t>
      </w:r>
      <w:r>
        <w:rPr>
          <w:sz w:val="24"/>
        </w:rPr>
        <w:t>thereby helping to flatten the load curve, and in case the consumption cannot be shifted, then levy of such additional charges/rebates should enable recovery of the additional cost incurred to meet the demand during such</w:t>
      </w:r>
      <w:r>
        <w:rPr>
          <w:spacing w:val="-6"/>
          <w:sz w:val="24"/>
        </w:rPr>
        <w:t xml:space="preserve"> </w:t>
      </w:r>
      <w:r>
        <w:rPr>
          <w:sz w:val="24"/>
        </w:rPr>
        <w:t>hours.</w:t>
      </w:r>
    </w:p>
    <w:p w:rsidR="007C5447" w:rsidRDefault="007C5447">
      <w:pPr>
        <w:pStyle w:val="BodyText"/>
        <w:rPr>
          <w:sz w:val="21"/>
        </w:rPr>
      </w:pPr>
    </w:p>
    <w:p w:rsidR="007C5447" w:rsidRDefault="00F6308C">
      <w:pPr>
        <w:pStyle w:val="ListParagraph"/>
        <w:numPr>
          <w:ilvl w:val="2"/>
          <w:numId w:val="40"/>
        </w:numPr>
        <w:tabs>
          <w:tab w:val="left" w:pos="1113"/>
        </w:tabs>
        <w:spacing w:line="312" w:lineRule="auto"/>
        <w:ind w:left="1112" w:right="876"/>
        <w:jc w:val="both"/>
        <w:rPr>
          <w:sz w:val="24"/>
        </w:rPr>
      </w:pPr>
      <w:r>
        <w:rPr>
          <w:sz w:val="24"/>
        </w:rPr>
        <w:t>Levy of ToD tariff is supported by the applicable Legal, Policy and Regulatory Framework as discussed</w:t>
      </w:r>
      <w:r>
        <w:rPr>
          <w:spacing w:val="1"/>
          <w:sz w:val="24"/>
        </w:rPr>
        <w:t xml:space="preserve"> </w:t>
      </w:r>
      <w:r>
        <w:rPr>
          <w:sz w:val="24"/>
        </w:rPr>
        <w:t>below:</w:t>
      </w:r>
    </w:p>
    <w:p w:rsidR="007C5447" w:rsidRDefault="007C5447">
      <w:pPr>
        <w:pStyle w:val="BodyText"/>
        <w:spacing w:before="10"/>
        <w:rPr>
          <w:sz w:val="20"/>
        </w:rPr>
      </w:pPr>
    </w:p>
    <w:p w:rsidR="007C5447" w:rsidRDefault="00F6308C">
      <w:pPr>
        <w:pStyle w:val="ListParagraph"/>
        <w:numPr>
          <w:ilvl w:val="2"/>
          <w:numId w:val="40"/>
        </w:numPr>
        <w:tabs>
          <w:tab w:val="left" w:pos="1113"/>
        </w:tabs>
        <w:spacing w:line="312" w:lineRule="auto"/>
        <w:ind w:left="1112" w:right="885"/>
        <w:jc w:val="both"/>
        <w:rPr>
          <w:sz w:val="24"/>
        </w:rPr>
      </w:pPr>
      <w:r>
        <w:rPr>
          <w:sz w:val="24"/>
        </w:rPr>
        <w:t>The Commission can determine TOD tariff as per the provisions of Section 62(3) of the Act, as reproduced</w:t>
      </w:r>
      <w:r>
        <w:rPr>
          <w:spacing w:val="-1"/>
          <w:sz w:val="24"/>
        </w:rPr>
        <w:t xml:space="preserve"> </w:t>
      </w:r>
      <w:r>
        <w:rPr>
          <w:sz w:val="24"/>
        </w:rPr>
        <w:t>below:</w:t>
      </w:r>
    </w:p>
    <w:p w:rsidR="007C5447" w:rsidRDefault="007C5447">
      <w:pPr>
        <w:pStyle w:val="BodyText"/>
        <w:spacing w:before="11"/>
        <w:rPr>
          <w:sz w:val="20"/>
        </w:rPr>
      </w:pPr>
    </w:p>
    <w:p w:rsidR="007C5447" w:rsidRDefault="00F6308C">
      <w:pPr>
        <w:ind w:left="1700" w:right="1595"/>
        <w:jc w:val="both"/>
        <w:rPr>
          <w:b/>
          <w:i/>
          <w:sz w:val="24"/>
        </w:rPr>
      </w:pPr>
      <w:r>
        <w:rPr>
          <w:i/>
          <w:sz w:val="24"/>
        </w:rPr>
        <w:t>“The Appropriate Commission shall not, while determining the tariff under this Act, show undue preference to any consumer of electricity but ma</w:t>
      </w:r>
      <w:r>
        <w:rPr>
          <w:i/>
          <w:sz w:val="24"/>
        </w:rPr>
        <w:t xml:space="preserve">y differentiate according to the consumer's load factor, power factor, voltage, total consumption of electricity during any specified period or </w:t>
      </w:r>
      <w:r>
        <w:rPr>
          <w:b/>
          <w:i/>
          <w:sz w:val="24"/>
        </w:rPr>
        <w:t>the time at which the supply is required or the geographical position of any area</w:t>
      </w:r>
      <w:r>
        <w:rPr>
          <w:i/>
          <w:sz w:val="24"/>
        </w:rPr>
        <w:t xml:space="preserve">, the nature of supply and the </w:t>
      </w:r>
      <w:r>
        <w:rPr>
          <w:i/>
          <w:sz w:val="24"/>
        </w:rPr>
        <w:t xml:space="preserve">purpose for which the supply is required.” </w:t>
      </w:r>
      <w:r>
        <w:rPr>
          <w:b/>
          <w:i/>
          <w:sz w:val="24"/>
        </w:rPr>
        <w:t>(emphasis</w:t>
      </w:r>
      <w:r>
        <w:rPr>
          <w:b/>
          <w:i/>
          <w:spacing w:val="-1"/>
          <w:sz w:val="24"/>
        </w:rPr>
        <w:t xml:space="preserve"> </w:t>
      </w:r>
      <w:r>
        <w:rPr>
          <w:b/>
          <w:i/>
          <w:sz w:val="24"/>
        </w:rPr>
        <w:t>added)</w:t>
      </w:r>
    </w:p>
    <w:p w:rsidR="007C5447" w:rsidRDefault="00F6308C">
      <w:pPr>
        <w:pStyle w:val="ListParagraph"/>
        <w:numPr>
          <w:ilvl w:val="2"/>
          <w:numId w:val="40"/>
        </w:numPr>
        <w:tabs>
          <w:tab w:val="left" w:pos="1113"/>
        </w:tabs>
        <w:spacing w:before="120"/>
        <w:ind w:left="1112" w:hanging="853"/>
        <w:jc w:val="both"/>
        <w:rPr>
          <w:sz w:val="24"/>
        </w:rPr>
      </w:pPr>
      <w:r>
        <w:rPr>
          <w:sz w:val="24"/>
        </w:rPr>
        <w:t>The relevant provisions of the Tariff Policy, 2016 are reproduced</w:t>
      </w:r>
      <w:r>
        <w:rPr>
          <w:spacing w:val="-5"/>
          <w:sz w:val="24"/>
        </w:rPr>
        <w:t xml:space="preserve"> </w:t>
      </w:r>
      <w:r>
        <w:rPr>
          <w:sz w:val="24"/>
        </w:rPr>
        <w:t>below:</w:t>
      </w:r>
    </w:p>
    <w:p w:rsidR="007C5447" w:rsidRDefault="007C5447">
      <w:pPr>
        <w:pStyle w:val="BodyText"/>
        <w:rPr>
          <w:sz w:val="28"/>
        </w:rPr>
      </w:pPr>
    </w:p>
    <w:p w:rsidR="007C5447" w:rsidRDefault="00F6308C">
      <w:pPr>
        <w:pStyle w:val="Heading3"/>
        <w:ind w:left="1760"/>
        <w:jc w:val="both"/>
      </w:pPr>
      <w:r>
        <w:t>“8.4 Definition of tariff components and their applicability</w:t>
      </w:r>
    </w:p>
    <w:p w:rsidR="007C5447" w:rsidRDefault="007C5447">
      <w:pPr>
        <w:pStyle w:val="BodyText"/>
        <w:spacing w:before="10"/>
        <w:rPr>
          <w:b/>
          <w:i/>
          <w:sz w:val="20"/>
        </w:rPr>
      </w:pPr>
    </w:p>
    <w:p w:rsidR="007C5447" w:rsidRDefault="00F6308C">
      <w:pPr>
        <w:ind w:left="1700" w:right="1597"/>
        <w:jc w:val="both"/>
        <w:rPr>
          <w:i/>
          <w:sz w:val="24"/>
        </w:rPr>
      </w:pPr>
      <w:r>
        <w:rPr>
          <w:i/>
          <w:sz w:val="24"/>
        </w:rPr>
        <w:t>1. Two-part tariffs featuring separate fixed and variable ch</w:t>
      </w:r>
      <w:r>
        <w:rPr>
          <w:i/>
          <w:sz w:val="24"/>
        </w:rPr>
        <w:t>arges and Time differentiated tariff shall be introduced on priority for large consumers (say, consumers with demand exceeding 1 MW) within one year. This would also help in flattening the peak and implementing various energy conservation measures.”</w:t>
      </w:r>
    </w:p>
    <w:p w:rsidR="007C5447" w:rsidRDefault="00F6308C">
      <w:pPr>
        <w:pStyle w:val="ListParagraph"/>
        <w:numPr>
          <w:ilvl w:val="2"/>
          <w:numId w:val="40"/>
        </w:numPr>
        <w:tabs>
          <w:tab w:val="left" w:pos="1113"/>
        </w:tabs>
        <w:spacing w:before="121" w:line="312" w:lineRule="auto"/>
        <w:ind w:left="1112" w:right="883"/>
        <w:jc w:val="both"/>
        <w:rPr>
          <w:sz w:val="24"/>
        </w:rPr>
      </w:pPr>
      <w:r>
        <w:rPr>
          <w:sz w:val="24"/>
        </w:rPr>
        <w:t>The re</w:t>
      </w:r>
      <w:r>
        <w:rPr>
          <w:sz w:val="24"/>
        </w:rPr>
        <w:t>levant provision of the National Electricity Policy with respect to encouraging metering for TOD is reproduced</w:t>
      </w:r>
      <w:r>
        <w:rPr>
          <w:spacing w:val="-3"/>
          <w:sz w:val="24"/>
        </w:rPr>
        <w:t xml:space="preserve"> </w:t>
      </w:r>
      <w:r>
        <w:rPr>
          <w:sz w:val="24"/>
        </w:rPr>
        <w:t>below:</w:t>
      </w:r>
    </w:p>
    <w:p w:rsidR="007C5447" w:rsidRDefault="007C5447">
      <w:pPr>
        <w:pStyle w:val="BodyText"/>
        <w:spacing w:before="9"/>
        <w:rPr>
          <w:sz w:val="20"/>
        </w:rPr>
      </w:pPr>
    </w:p>
    <w:p w:rsidR="007C5447" w:rsidRDefault="00F6308C">
      <w:pPr>
        <w:spacing w:before="1"/>
        <w:ind w:left="1700"/>
        <w:jc w:val="both"/>
        <w:rPr>
          <w:i/>
          <w:sz w:val="24"/>
        </w:rPr>
      </w:pPr>
      <w:r>
        <w:rPr>
          <w:i/>
          <w:sz w:val="24"/>
        </w:rPr>
        <w:t>“5.4.9 The Act requires all consumers to be metered within two years.</w:t>
      </w:r>
    </w:p>
    <w:p w:rsidR="007C5447" w:rsidRDefault="007C5447">
      <w:pPr>
        <w:jc w:val="both"/>
        <w:rPr>
          <w:sz w:val="24"/>
        </w:rPr>
        <w:sectPr w:rsidR="007C5447">
          <w:pgSz w:w="11910" w:h="16840"/>
          <w:pgMar w:top="1360" w:right="560" w:bottom="1240" w:left="1180" w:header="0" w:footer="1057" w:gutter="0"/>
          <w:cols w:space="720"/>
        </w:sectPr>
      </w:pPr>
    </w:p>
    <w:p w:rsidR="007C5447" w:rsidRDefault="00F6308C">
      <w:pPr>
        <w:spacing w:before="60"/>
        <w:ind w:left="1700" w:right="1596"/>
        <w:jc w:val="both"/>
        <w:rPr>
          <w:i/>
          <w:sz w:val="24"/>
        </w:rPr>
      </w:pPr>
      <w:r>
        <w:rPr>
          <w:i/>
          <w:sz w:val="24"/>
        </w:rPr>
        <w:lastRenderedPageBreak/>
        <w:t>The SERCs may obtain from the Distribution Licenses their metering plans, approve these, and monitor the same. The SERCs should encourage use of pre-paid meters. In the</w:t>
      </w:r>
      <w:r>
        <w:rPr>
          <w:i/>
          <w:sz w:val="24"/>
        </w:rPr>
        <w:t xml:space="preserve"> first instance, TOD meters for large consumers with a minimum load of one MVA are also to be encouraged. The SERCs should also put in place independent third- party meter testing arrangements”.</w:t>
      </w:r>
    </w:p>
    <w:p w:rsidR="007C5447" w:rsidRDefault="00F6308C">
      <w:pPr>
        <w:pStyle w:val="ListParagraph"/>
        <w:numPr>
          <w:ilvl w:val="2"/>
          <w:numId w:val="40"/>
        </w:numPr>
        <w:tabs>
          <w:tab w:val="left" w:pos="1113"/>
        </w:tabs>
        <w:spacing w:before="121" w:line="312" w:lineRule="auto"/>
        <w:ind w:left="1112" w:right="880"/>
        <w:jc w:val="both"/>
        <w:rPr>
          <w:sz w:val="24"/>
        </w:rPr>
      </w:pPr>
      <w:r>
        <w:rPr>
          <w:sz w:val="24"/>
        </w:rPr>
        <w:t>The Forum of Regulators (FOR) has given the following recomme</w:t>
      </w:r>
      <w:r>
        <w:rPr>
          <w:sz w:val="24"/>
        </w:rPr>
        <w:t>ndations in its Working Group Report on “Metering</w:t>
      </w:r>
      <w:r>
        <w:rPr>
          <w:spacing w:val="-5"/>
          <w:sz w:val="24"/>
        </w:rPr>
        <w:t xml:space="preserve"> </w:t>
      </w:r>
      <w:r>
        <w:rPr>
          <w:sz w:val="24"/>
        </w:rPr>
        <w:t>Issues”:</w:t>
      </w:r>
    </w:p>
    <w:p w:rsidR="007C5447" w:rsidRDefault="007C5447">
      <w:pPr>
        <w:pStyle w:val="BodyText"/>
        <w:spacing w:before="10"/>
        <w:rPr>
          <w:sz w:val="20"/>
        </w:rPr>
      </w:pPr>
    </w:p>
    <w:p w:rsidR="007C5447" w:rsidRDefault="00F6308C">
      <w:pPr>
        <w:ind w:left="1700" w:right="1596"/>
        <w:jc w:val="both"/>
        <w:rPr>
          <w:i/>
          <w:sz w:val="24"/>
        </w:rPr>
      </w:pPr>
      <w:r>
        <w:rPr>
          <w:i/>
          <w:sz w:val="24"/>
        </w:rPr>
        <w:t>“Time of the day metering is important while propagating and implementing Demand Side Management (DSM) and achieving energy efficiency. Hence, TOD metering and automatic meter reading system shoul</w:t>
      </w:r>
      <w:r>
        <w:rPr>
          <w:i/>
          <w:sz w:val="24"/>
        </w:rPr>
        <w:t>d be introduced wherever it has not already been done. High-end consumers with the connected load of 25KW and above should be covered under TOD metering.”</w:t>
      </w:r>
    </w:p>
    <w:p w:rsidR="007C5447" w:rsidRDefault="00F6308C">
      <w:pPr>
        <w:pStyle w:val="ListParagraph"/>
        <w:numPr>
          <w:ilvl w:val="2"/>
          <w:numId w:val="40"/>
        </w:numPr>
        <w:tabs>
          <w:tab w:val="left" w:pos="1113"/>
        </w:tabs>
        <w:spacing w:before="121" w:line="312" w:lineRule="auto"/>
        <w:ind w:left="1112" w:right="887"/>
        <w:jc w:val="both"/>
        <w:rPr>
          <w:sz w:val="24"/>
        </w:rPr>
      </w:pPr>
      <w:r>
        <w:rPr>
          <w:sz w:val="24"/>
        </w:rPr>
        <w:t>As per SMT Order No 9 of 2014, the ToD tariff applicable to the HT IA Category is reproduced</w:t>
      </w:r>
      <w:r>
        <w:rPr>
          <w:spacing w:val="-1"/>
          <w:sz w:val="24"/>
        </w:rPr>
        <w:t xml:space="preserve"> </w:t>
      </w:r>
      <w:r>
        <w:rPr>
          <w:sz w:val="24"/>
        </w:rPr>
        <w:t>below:</w:t>
      </w:r>
    </w:p>
    <w:p w:rsidR="007C5447" w:rsidRDefault="007C5447">
      <w:pPr>
        <w:pStyle w:val="BodyText"/>
        <w:spacing w:before="10"/>
        <w:rPr>
          <w:sz w:val="20"/>
        </w:rPr>
      </w:pPr>
    </w:p>
    <w:p w:rsidR="007C5447" w:rsidRDefault="00F6308C">
      <w:pPr>
        <w:ind w:left="1700"/>
        <w:rPr>
          <w:i/>
          <w:sz w:val="24"/>
        </w:rPr>
      </w:pPr>
      <w:r>
        <w:rPr>
          <w:i/>
          <w:sz w:val="24"/>
        </w:rPr>
        <w:t>“…</w:t>
      </w:r>
    </w:p>
    <w:p w:rsidR="007C5447" w:rsidRDefault="007C5447">
      <w:pPr>
        <w:pStyle w:val="BodyText"/>
        <w:spacing w:before="10"/>
        <w:rPr>
          <w:i/>
          <w:sz w:val="20"/>
        </w:rPr>
      </w:pPr>
    </w:p>
    <w:p w:rsidR="007C5447" w:rsidRDefault="00F6308C">
      <w:pPr>
        <w:pStyle w:val="ListParagraph"/>
        <w:numPr>
          <w:ilvl w:val="2"/>
          <w:numId w:val="34"/>
        </w:numPr>
        <w:tabs>
          <w:tab w:val="left" w:pos="2039"/>
        </w:tabs>
        <w:ind w:left="1700" w:right="1600" w:firstLine="0"/>
        <w:jc w:val="both"/>
        <w:rPr>
          <w:i/>
          <w:sz w:val="24"/>
        </w:rPr>
      </w:pPr>
      <w:r>
        <w:rPr>
          <w:i/>
          <w:sz w:val="24"/>
        </w:rPr>
        <w:t>The HT Industrial consumers (HT IA) shall be billed at 20% extra on the energy charges for the energy recorded during peak hours. The duration</w:t>
      </w:r>
      <w:r>
        <w:rPr>
          <w:i/>
          <w:spacing w:val="7"/>
          <w:sz w:val="24"/>
        </w:rPr>
        <w:t xml:space="preserve"> </w:t>
      </w:r>
      <w:r>
        <w:rPr>
          <w:i/>
          <w:sz w:val="24"/>
        </w:rPr>
        <w:t>of</w:t>
      </w:r>
      <w:r>
        <w:rPr>
          <w:i/>
          <w:spacing w:val="7"/>
          <w:sz w:val="24"/>
        </w:rPr>
        <w:t xml:space="preserve"> </w:t>
      </w:r>
      <w:r>
        <w:rPr>
          <w:i/>
          <w:sz w:val="24"/>
        </w:rPr>
        <w:t>peak</w:t>
      </w:r>
      <w:r>
        <w:rPr>
          <w:i/>
          <w:spacing w:val="6"/>
          <w:sz w:val="24"/>
        </w:rPr>
        <w:t xml:space="preserve"> </w:t>
      </w:r>
      <w:r>
        <w:rPr>
          <w:i/>
          <w:sz w:val="24"/>
        </w:rPr>
        <w:t>hours</w:t>
      </w:r>
      <w:r>
        <w:rPr>
          <w:i/>
          <w:spacing w:val="7"/>
          <w:sz w:val="24"/>
        </w:rPr>
        <w:t xml:space="preserve"> </w:t>
      </w:r>
      <w:r>
        <w:rPr>
          <w:i/>
          <w:sz w:val="24"/>
        </w:rPr>
        <w:t>shall</w:t>
      </w:r>
      <w:r>
        <w:rPr>
          <w:i/>
          <w:spacing w:val="7"/>
          <w:sz w:val="24"/>
        </w:rPr>
        <w:t xml:space="preserve"> </w:t>
      </w:r>
      <w:r>
        <w:rPr>
          <w:i/>
          <w:sz w:val="24"/>
        </w:rPr>
        <w:t>be</w:t>
      </w:r>
      <w:r>
        <w:rPr>
          <w:i/>
          <w:spacing w:val="6"/>
          <w:sz w:val="24"/>
        </w:rPr>
        <w:t xml:space="preserve"> </w:t>
      </w:r>
      <w:r>
        <w:rPr>
          <w:i/>
          <w:sz w:val="24"/>
        </w:rPr>
        <w:t>6.00</w:t>
      </w:r>
      <w:r>
        <w:rPr>
          <w:i/>
          <w:spacing w:val="6"/>
          <w:sz w:val="24"/>
        </w:rPr>
        <w:t xml:space="preserve"> </w:t>
      </w:r>
      <w:r>
        <w:rPr>
          <w:i/>
          <w:sz w:val="24"/>
        </w:rPr>
        <w:t>A.M</w:t>
      </w:r>
      <w:r>
        <w:rPr>
          <w:i/>
          <w:spacing w:val="6"/>
          <w:sz w:val="24"/>
        </w:rPr>
        <w:t xml:space="preserve"> </w:t>
      </w:r>
      <w:r>
        <w:rPr>
          <w:i/>
          <w:sz w:val="24"/>
        </w:rPr>
        <w:t>to</w:t>
      </w:r>
      <w:r>
        <w:rPr>
          <w:i/>
          <w:spacing w:val="7"/>
          <w:sz w:val="24"/>
        </w:rPr>
        <w:t xml:space="preserve"> </w:t>
      </w:r>
      <w:r>
        <w:rPr>
          <w:i/>
          <w:sz w:val="24"/>
        </w:rPr>
        <w:t>9.00</w:t>
      </w:r>
      <w:r>
        <w:rPr>
          <w:i/>
          <w:spacing w:val="9"/>
          <w:sz w:val="24"/>
        </w:rPr>
        <w:t xml:space="preserve"> </w:t>
      </w:r>
      <w:r>
        <w:rPr>
          <w:i/>
          <w:sz w:val="24"/>
        </w:rPr>
        <w:t>A.M</w:t>
      </w:r>
      <w:r>
        <w:rPr>
          <w:i/>
          <w:spacing w:val="6"/>
          <w:sz w:val="24"/>
        </w:rPr>
        <w:t xml:space="preserve"> </w:t>
      </w:r>
      <w:r>
        <w:rPr>
          <w:i/>
          <w:sz w:val="24"/>
        </w:rPr>
        <w:t>and</w:t>
      </w:r>
      <w:r>
        <w:rPr>
          <w:i/>
          <w:spacing w:val="6"/>
          <w:sz w:val="24"/>
        </w:rPr>
        <w:t xml:space="preserve"> </w:t>
      </w:r>
      <w:r>
        <w:rPr>
          <w:i/>
          <w:sz w:val="24"/>
        </w:rPr>
        <w:t>6.00</w:t>
      </w:r>
      <w:r>
        <w:rPr>
          <w:i/>
          <w:spacing w:val="6"/>
          <w:sz w:val="24"/>
        </w:rPr>
        <w:t xml:space="preserve"> </w:t>
      </w:r>
      <w:r>
        <w:rPr>
          <w:i/>
          <w:sz w:val="24"/>
        </w:rPr>
        <w:t>P.M</w:t>
      </w:r>
      <w:r>
        <w:rPr>
          <w:i/>
          <w:spacing w:val="8"/>
          <w:sz w:val="24"/>
        </w:rPr>
        <w:t xml:space="preserve"> </w:t>
      </w:r>
      <w:r>
        <w:rPr>
          <w:i/>
          <w:sz w:val="24"/>
        </w:rPr>
        <w:t>to</w:t>
      </w:r>
    </w:p>
    <w:p w:rsidR="007C5447" w:rsidRDefault="00F6308C">
      <w:pPr>
        <w:ind w:left="1700"/>
        <w:jc w:val="both"/>
        <w:rPr>
          <w:i/>
          <w:sz w:val="24"/>
        </w:rPr>
      </w:pPr>
      <w:r>
        <w:rPr>
          <w:i/>
          <w:sz w:val="24"/>
        </w:rPr>
        <w:t>9.00 P.M.</w:t>
      </w:r>
    </w:p>
    <w:p w:rsidR="007C5447" w:rsidRDefault="007C5447">
      <w:pPr>
        <w:pStyle w:val="BodyText"/>
        <w:spacing w:before="10"/>
        <w:rPr>
          <w:i/>
          <w:sz w:val="20"/>
        </w:rPr>
      </w:pPr>
    </w:p>
    <w:p w:rsidR="007C5447" w:rsidRDefault="00F6308C">
      <w:pPr>
        <w:ind w:left="1700" w:right="1599"/>
        <w:jc w:val="both"/>
        <w:rPr>
          <w:i/>
          <w:sz w:val="24"/>
        </w:rPr>
      </w:pPr>
      <w:r>
        <w:rPr>
          <w:i/>
          <w:sz w:val="24"/>
        </w:rPr>
        <w:t>iv. The HT Industrial Consumers (HT I A) shall be allowed a reduction of 5% on the energy charges for the consumption recorded during</w:t>
      </w:r>
    </w:p>
    <w:p w:rsidR="007C5447" w:rsidRDefault="00F6308C">
      <w:pPr>
        <w:ind w:left="1700"/>
        <w:jc w:val="both"/>
        <w:rPr>
          <w:i/>
          <w:sz w:val="24"/>
        </w:rPr>
      </w:pPr>
      <w:r>
        <w:rPr>
          <w:i/>
          <w:sz w:val="24"/>
        </w:rPr>
        <w:t>10.00 P.M to 5.00 A.M as an incentive for night consumption.</w:t>
      </w:r>
    </w:p>
    <w:p w:rsidR="007C5447" w:rsidRDefault="007C5447">
      <w:pPr>
        <w:pStyle w:val="BodyText"/>
        <w:spacing w:before="10"/>
        <w:rPr>
          <w:i/>
          <w:sz w:val="20"/>
        </w:rPr>
      </w:pPr>
    </w:p>
    <w:p w:rsidR="007C5447" w:rsidRDefault="00F6308C">
      <w:pPr>
        <w:spacing w:before="1"/>
        <w:ind w:left="1700"/>
        <w:rPr>
          <w:i/>
          <w:sz w:val="24"/>
        </w:rPr>
      </w:pPr>
      <w:r>
        <w:rPr>
          <w:i/>
          <w:sz w:val="24"/>
        </w:rPr>
        <w:t>…”</w:t>
      </w:r>
    </w:p>
    <w:p w:rsidR="007C5447" w:rsidRDefault="00F6308C">
      <w:pPr>
        <w:pStyle w:val="ListParagraph"/>
        <w:numPr>
          <w:ilvl w:val="2"/>
          <w:numId w:val="33"/>
        </w:numPr>
        <w:tabs>
          <w:tab w:val="left" w:pos="1113"/>
        </w:tabs>
        <w:spacing w:before="120" w:line="312" w:lineRule="auto"/>
        <w:ind w:right="877"/>
        <w:jc w:val="both"/>
        <w:rPr>
          <w:sz w:val="24"/>
        </w:rPr>
      </w:pPr>
      <w:r>
        <w:rPr>
          <w:sz w:val="24"/>
        </w:rPr>
        <w:t>Thus, the ToD charges are levied on HT IA Industrial cons</w:t>
      </w:r>
      <w:r>
        <w:rPr>
          <w:sz w:val="24"/>
        </w:rPr>
        <w:t xml:space="preserve">umers in the form of 20% additional charge on energy charges for power consumed during the peak hours (from 06:00 hrs to 09:00 hrs and from 18:00 hrs to 21:00 hrs) and 5% rebate on energy charges for power consumed during off-peak hours (from 22:00 hrs to </w:t>
      </w:r>
      <w:r>
        <w:rPr>
          <w:sz w:val="24"/>
        </w:rPr>
        <w:t>05:00 hrs) presently. As per the directions of the Hon’ble APTEL, the ToD charges are to be reconsidered based on the relevant and updated demand and load data submitted by</w:t>
      </w:r>
      <w:r>
        <w:rPr>
          <w:spacing w:val="-5"/>
          <w:sz w:val="24"/>
        </w:rPr>
        <w:t xml:space="preserve"> </w:t>
      </w:r>
      <w:r>
        <w:rPr>
          <w:sz w:val="24"/>
        </w:rPr>
        <w:t>TANGEDCO.</w:t>
      </w:r>
    </w:p>
    <w:p w:rsidR="007C5447" w:rsidRDefault="007C5447">
      <w:pPr>
        <w:pStyle w:val="BodyText"/>
        <w:spacing w:before="9"/>
        <w:rPr>
          <w:sz w:val="20"/>
        </w:rPr>
      </w:pPr>
    </w:p>
    <w:p w:rsidR="007C5447" w:rsidRDefault="00F6308C">
      <w:pPr>
        <w:pStyle w:val="ListParagraph"/>
        <w:numPr>
          <w:ilvl w:val="2"/>
          <w:numId w:val="33"/>
        </w:numPr>
        <w:tabs>
          <w:tab w:val="left" w:pos="1113"/>
        </w:tabs>
        <w:spacing w:line="312" w:lineRule="auto"/>
        <w:ind w:right="877"/>
        <w:jc w:val="both"/>
        <w:rPr>
          <w:sz w:val="24"/>
        </w:rPr>
      </w:pPr>
      <w:r>
        <w:rPr>
          <w:sz w:val="24"/>
        </w:rPr>
        <w:t>The Commission has studied the Report on ToD charges submitted by TANGED</w:t>
      </w:r>
      <w:r>
        <w:rPr>
          <w:sz w:val="24"/>
        </w:rPr>
        <w:t>CO, justifying the additional charges applicable to HT IA industrial consumers, in line with the directions given by the Commission in Tariff Order dated June 20, 2013. The Report submitted by TANGEDCO was based on the consumption details for FY 2013-14. H</w:t>
      </w:r>
      <w:r>
        <w:rPr>
          <w:sz w:val="24"/>
        </w:rPr>
        <w:t>owever, as the revised ToD tariffs are to</w:t>
      </w:r>
      <w:r>
        <w:rPr>
          <w:spacing w:val="44"/>
          <w:sz w:val="24"/>
        </w:rPr>
        <w:t xml:space="preserve"> </w:t>
      </w:r>
      <w:r>
        <w:rPr>
          <w:sz w:val="24"/>
        </w:rPr>
        <w:t>be</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BodyText"/>
        <w:spacing w:before="60" w:line="312" w:lineRule="auto"/>
        <w:ind w:left="1112" w:right="871"/>
        <w:jc w:val="both"/>
      </w:pPr>
      <w:r>
        <w:lastRenderedPageBreak/>
        <w:t>levied in FY 2017-18 and there have been significant changes in the demand-supply equation over the last 2-3 years, the Commission directed TANGEDCO to submit the latest available hourly demand</w:t>
      </w:r>
      <w:r>
        <w:t>-supply</w:t>
      </w:r>
      <w:r>
        <w:rPr>
          <w:spacing w:val="-8"/>
        </w:rPr>
        <w:t xml:space="preserve"> </w:t>
      </w:r>
      <w:r>
        <w:t>data.</w:t>
      </w:r>
    </w:p>
    <w:p w:rsidR="007C5447" w:rsidRDefault="007C5447">
      <w:pPr>
        <w:pStyle w:val="BodyText"/>
        <w:spacing w:before="10"/>
        <w:rPr>
          <w:sz w:val="20"/>
        </w:rPr>
      </w:pPr>
    </w:p>
    <w:p w:rsidR="007C5447" w:rsidRDefault="00F6308C">
      <w:pPr>
        <w:pStyle w:val="ListParagraph"/>
        <w:numPr>
          <w:ilvl w:val="2"/>
          <w:numId w:val="33"/>
        </w:numPr>
        <w:tabs>
          <w:tab w:val="left" w:pos="1113"/>
        </w:tabs>
        <w:ind w:hanging="853"/>
        <w:jc w:val="both"/>
        <w:rPr>
          <w:sz w:val="24"/>
        </w:rPr>
      </w:pPr>
      <w:r>
        <w:rPr>
          <w:sz w:val="24"/>
        </w:rPr>
        <w:t>TANGEDCO submitted the Load Generation Balance Report (LGBR) for</w:t>
      </w:r>
      <w:r>
        <w:rPr>
          <w:spacing w:val="12"/>
          <w:sz w:val="24"/>
        </w:rPr>
        <w:t xml:space="preserve"> </w:t>
      </w:r>
      <w:r>
        <w:rPr>
          <w:sz w:val="24"/>
        </w:rPr>
        <w:t>FY 2015-</w:t>
      </w:r>
    </w:p>
    <w:p w:rsidR="007C5447" w:rsidRDefault="00F6308C">
      <w:pPr>
        <w:pStyle w:val="ListParagraph"/>
        <w:numPr>
          <w:ilvl w:val="0"/>
          <w:numId w:val="32"/>
        </w:numPr>
        <w:tabs>
          <w:tab w:val="left" w:pos="1523"/>
        </w:tabs>
        <w:spacing w:before="84" w:line="312" w:lineRule="auto"/>
        <w:ind w:right="876" w:firstLine="0"/>
        <w:jc w:val="both"/>
        <w:rPr>
          <w:sz w:val="24"/>
        </w:rPr>
      </w:pPr>
      <w:r>
        <w:rPr>
          <w:sz w:val="24"/>
        </w:rPr>
        <w:t>The Commission notes that during FY 2015-16, the Restriction and Control (R&amp;C) measures were implemented. Hence, the Commission sought the LGBR for FY</w:t>
      </w:r>
      <w:r>
        <w:rPr>
          <w:spacing w:val="5"/>
          <w:sz w:val="24"/>
        </w:rPr>
        <w:t xml:space="preserve"> </w:t>
      </w:r>
      <w:r>
        <w:rPr>
          <w:sz w:val="24"/>
        </w:rPr>
        <w:t>2016-17.</w:t>
      </w:r>
      <w:r>
        <w:rPr>
          <w:spacing w:val="6"/>
          <w:sz w:val="24"/>
        </w:rPr>
        <w:t xml:space="preserve"> </w:t>
      </w:r>
      <w:r>
        <w:rPr>
          <w:sz w:val="24"/>
        </w:rPr>
        <w:t>However</w:t>
      </w:r>
      <w:r>
        <w:rPr>
          <w:sz w:val="24"/>
        </w:rPr>
        <w:t>,</w:t>
      </w:r>
      <w:r>
        <w:rPr>
          <w:spacing w:val="9"/>
          <w:sz w:val="24"/>
        </w:rPr>
        <w:t xml:space="preserve"> </w:t>
      </w:r>
      <w:r>
        <w:rPr>
          <w:sz w:val="24"/>
        </w:rPr>
        <w:t>TANGEDCO</w:t>
      </w:r>
      <w:r>
        <w:rPr>
          <w:spacing w:val="8"/>
          <w:sz w:val="24"/>
        </w:rPr>
        <w:t xml:space="preserve"> </w:t>
      </w:r>
      <w:r>
        <w:rPr>
          <w:sz w:val="24"/>
        </w:rPr>
        <w:t>was</w:t>
      </w:r>
      <w:r>
        <w:rPr>
          <w:spacing w:val="7"/>
          <w:sz w:val="24"/>
        </w:rPr>
        <w:t xml:space="preserve"> </w:t>
      </w:r>
      <w:r>
        <w:rPr>
          <w:sz w:val="24"/>
        </w:rPr>
        <w:t>unable</w:t>
      </w:r>
      <w:r>
        <w:rPr>
          <w:spacing w:val="5"/>
          <w:sz w:val="24"/>
        </w:rPr>
        <w:t xml:space="preserve"> </w:t>
      </w:r>
      <w:r>
        <w:rPr>
          <w:sz w:val="24"/>
        </w:rPr>
        <w:t>to</w:t>
      </w:r>
      <w:r>
        <w:rPr>
          <w:spacing w:val="7"/>
          <w:sz w:val="24"/>
        </w:rPr>
        <w:t xml:space="preserve"> </w:t>
      </w:r>
      <w:r>
        <w:rPr>
          <w:sz w:val="24"/>
        </w:rPr>
        <w:t>submit</w:t>
      </w:r>
      <w:r>
        <w:rPr>
          <w:spacing w:val="7"/>
          <w:sz w:val="24"/>
        </w:rPr>
        <w:t xml:space="preserve"> </w:t>
      </w:r>
      <w:r>
        <w:rPr>
          <w:sz w:val="24"/>
        </w:rPr>
        <w:t>the</w:t>
      </w:r>
      <w:r>
        <w:rPr>
          <w:spacing w:val="7"/>
          <w:sz w:val="24"/>
        </w:rPr>
        <w:t xml:space="preserve"> </w:t>
      </w:r>
      <w:r>
        <w:rPr>
          <w:sz w:val="24"/>
        </w:rPr>
        <w:t>LGBR</w:t>
      </w:r>
      <w:r>
        <w:rPr>
          <w:spacing w:val="7"/>
          <w:sz w:val="24"/>
        </w:rPr>
        <w:t xml:space="preserve"> </w:t>
      </w:r>
      <w:r>
        <w:rPr>
          <w:sz w:val="24"/>
        </w:rPr>
        <w:t>for</w:t>
      </w:r>
      <w:r>
        <w:rPr>
          <w:spacing w:val="5"/>
          <w:sz w:val="24"/>
        </w:rPr>
        <w:t xml:space="preserve"> </w:t>
      </w:r>
      <w:r>
        <w:rPr>
          <w:sz w:val="24"/>
        </w:rPr>
        <w:t>FY</w:t>
      </w:r>
      <w:r>
        <w:rPr>
          <w:spacing w:val="8"/>
          <w:sz w:val="24"/>
        </w:rPr>
        <w:t xml:space="preserve"> </w:t>
      </w:r>
      <w:r>
        <w:rPr>
          <w:sz w:val="24"/>
        </w:rPr>
        <w:t>2016-</w:t>
      </w:r>
    </w:p>
    <w:p w:rsidR="007C5447" w:rsidRDefault="00F6308C">
      <w:pPr>
        <w:pStyle w:val="ListParagraph"/>
        <w:numPr>
          <w:ilvl w:val="0"/>
          <w:numId w:val="32"/>
        </w:numPr>
        <w:tabs>
          <w:tab w:val="left" w:pos="1477"/>
        </w:tabs>
        <w:spacing w:line="312" w:lineRule="auto"/>
        <w:ind w:right="873" w:firstLine="0"/>
        <w:jc w:val="both"/>
        <w:rPr>
          <w:sz w:val="24"/>
        </w:rPr>
      </w:pPr>
      <w:r>
        <w:rPr>
          <w:sz w:val="24"/>
        </w:rPr>
        <w:t xml:space="preserve">Hence, the Commission has carried out its analysis on the basis of LGBR </w:t>
      </w:r>
      <w:r>
        <w:rPr>
          <w:spacing w:val="2"/>
          <w:sz w:val="24"/>
        </w:rPr>
        <w:t xml:space="preserve">for </w:t>
      </w:r>
      <w:r>
        <w:rPr>
          <w:sz w:val="24"/>
        </w:rPr>
        <w:t>FY 2015-16, and approved the ToD tariffs for FY 2017-18, as detailed</w:t>
      </w:r>
      <w:r>
        <w:rPr>
          <w:spacing w:val="-4"/>
          <w:sz w:val="24"/>
        </w:rPr>
        <w:t xml:space="preserve"> </w:t>
      </w:r>
      <w:r>
        <w:rPr>
          <w:sz w:val="24"/>
        </w:rPr>
        <w:t>below.</w:t>
      </w:r>
    </w:p>
    <w:p w:rsidR="007C5447" w:rsidRDefault="007C5447">
      <w:pPr>
        <w:pStyle w:val="BodyText"/>
        <w:spacing w:before="9"/>
        <w:rPr>
          <w:sz w:val="20"/>
        </w:rPr>
      </w:pPr>
    </w:p>
    <w:p w:rsidR="007C5447" w:rsidRDefault="00F6308C">
      <w:pPr>
        <w:pStyle w:val="ListParagraph"/>
        <w:numPr>
          <w:ilvl w:val="2"/>
          <w:numId w:val="33"/>
        </w:numPr>
        <w:tabs>
          <w:tab w:val="left" w:pos="1113"/>
        </w:tabs>
        <w:spacing w:line="312" w:lineRule="auto"/>
        <w:ind w:right="875"/>
        <w:jc w:val="both"/>
        <w:rPr>
          <w:sz w:val="24"/>
        </w:rPr>
      </w:pPr>
      <w:r>
        <w:rPr>
          <w:sz w:val="24"/>
        </w:rPr>
        <w:t>In line with the directives of the Hon’ble APTEL to determine the differential pricing for peak hours and off-peak hours, the Commission has undertaken the study in two steps:</w:t>
      </w:r>
    </w:p>
    <w:p w:rsidR="007C5447" w:rsidRDefault="007C5447">
      <w:pPr>
        <w:pStyle w:val="BodyText"/>
        <w:rPr>
          <w:sz w:val="21"/>
        </w:rPr>
      </w:pPr>
    </w:p>
    <w:p w:rsidR="007C5447" w:rsidRDefault="00F6308C">
      <w:pPr>
        <w:pStyle w:val="ListParagraph"/>
        <w:numPr>
          <w:ilvl w:val="3"/>
          <w:numId w:val="33"/>
        </w:numPr>
        <w:tabs>
          <w:tab w:val="left" w:pos="1679"/>
        </w:tabs>
        <w:ind w:right="880"/>
        <w:jc w:val="both"/>
        <w:rPr>
          <w:sz w:val="24"/>
        </w:rPr>
      </w:pPr>
      <w:r>
        <w:rPr>
          <w:sz w:val="24"/>
        </w:rPr>
        <w:t>De</w:t>
      </w:r>
      <w:r>
        <w:rPr>
          <w:sz w:val="24"/>
        </w:rPr>
        <w:t>termination of the peak hours and off-peak hours based on latest available load</w:t>
      </w:r>
      <w:r>
        <w:rPr>
          <w:spacing w:val="-1"/>
          <w:sz w:val="24"/>
        </w:rPr>
        <w:t xml:space="preserve"> </w:t>
      </w:r>
      <w:r>
        <w:rPr>
          <w:sz w:val="24"/>
        </w:rPr>
        <w:t>curve</w:t>
      </w:r>
    </w:p>
    <w:p w:rsidR="007C5447" w:rsidRDefault="00F6308C">
      <w:pPr>
        <w:pStyle w:val="ListParagraph"/>
        <w:numPr>
          <w:ilvl w:val="3"/>
          <w:numId w:val="33"/>
        </w:numPr>
        <w:tabs>
          <w:tab w:val="left" w:pos="1679"/>
        </w:tabs>
        <w:jc w:val="both"/>
        <w:rPr>
          <w:sz w:val="24"/>
        </w:rPr>
      </w:pPr>
      <w:r>
        <w:rPr>
          <w:sz w:val="24"/>
        </w:rPr>
        <w:t>Determination of Differential price for peak and off-peak</w:t>
      </w:r>
      <w:r>
        <w:rPr>
          <w:spacing w:val="-5"/>
          <w:sz w:val="24"/>
        </w:rPr>
        <w:t xml:space="preserve"> </w:t>
      </w:r>
      <w:r>
        <w:rPr>
          <w:sz w:val="24"/>
        </w:rPr>
        <w:t>hours</w:t>
      </w:r>
    </w:p>
    <w:p w:rsidR="007C5447" w:rsidRDefault="00F6308C">
      <w:pPr>
        <w:pStyle w:val="ListParagraph"/>
        <w:numPr>
          <w:ilvl w:val="2"/>
          <w:numId w:val="33"/>
        </w:numPr>
        <w:tabs>
          <w:tab w:val="left" w:pos="1113"/>
        </w:tabs>
        <w:spacing w:before="120" w:line="312" w:lineRule="auto"/>
        <w:ind w:right="877"/>
        <w:jc w:val="both"/>
        <w:rPr>
          <w:sz w:val="24"/>
        </w:rPr>
      </w:pPr>
      <w:r>
        <w:rPr>
          <w:sz w:val="24"/>
        </w:rPr>
        <w:t>A detailed analysis was conducted by the Commission on the demand met by the Licensee based on the details</w:t>
      </w:r>
      <w:r>
        <w:rPr>
          <w:sz w:val="24"/>
        </w:rPr>
        <w:t xml:space="preserve"> submitted by TANGEDCO. The hourly data for Demand, Load met, own generation sources utilised (including hydro power), wind power purchased, power purchased from CGS, power purchased from LTOA sources and MTOA sources, power purchased from CPPs, Biomass an</w:t>
      </w:r>
      <w:r>
        <w:rPr>
          <w:sz w:val="24"/>
        </w:rPr>
        <w:t>d Co- generation power plants and power purchased from Exchanges and UI were provided by the</w:t>
      </w:r>
      <w:r>
        <w:rPr>
          <w:spacing w:val="-5"/>
          <w:sz w:val="24"/>
        </w:rPr>
        <w:t xml:space="preserve"> </w:t>
      </w:r>
      <w:r>
        <w:rPr>
          <w:sz w:val="24"/>
        </w:rPr>
        <w:t>Licensee.</w:t>
      </w:r>
    </w:p>
    <w:p w:rsidR="007C5447" w:rsidRDefault="007C5447">
      <w:pPr>
        <w:pStyle w:val="BodyText"/>
        <w:spacing w:before="9"/>
        <w:rPr>
          <w:sz w:val="20"/>
        </w:rPr>
      </w:pPr>
    </w:p>
    <w:p w:rsidR="007C5447" w:rsidRDefault="00F6308C">
      <w:pPr>
        <w:pStyle w:val="ListParagraph"/>
        <w:numPr>
          <w:ilvl w:val="2"/>
          <w:numId w:val="33"/>
        </w:numPr>
        <w:tabs>
          <w:tab w:val="left" w:pos="1113"/>
        </w:tabs>
        <w:spacing w:before="1" w:line="312" w:lineRule="auto"/>
        <w:ind w:right="875"/>
        <w:jc w:val="both"/>
        <w:rPr>
          <w:sz w:val="24"/>
        </w:rPr>
      </w:pPr>
      <w:r>
        <w:rPr>
          <w:sz w:val="24"/>
        </w:rPr>
        <w:t xml:space="preserve">The Commission has considered the hourly data for every month of FY 2015-16 (8784 data points) and assessed the load met by the Licensee for every hour </w:t>
      </w:r>
      <w:r>
        <w:rPr>
          <w:sz w:val="24"/>
        </w:rPr>
        <w:t>of the day for each month. The load curves were then plotted based on the demand met by the Licensee for every one-hour interval. A load curve was also plotted for analysis of how the load curve varied throughout the 24-hour window over the</w:t>
      </w:r>
      <w:r>
        <w:rPr>
          <w:spacing w:val="-5"/>
          <w:sz w:val="24"/>
        </w:rPr>
        <w:t xml:space="preserve"> </w:t>
      </w:r>
      <w:r>
        <w:rPr>
          <w:sz w:val="24"/>
        </w:rPr>
        <w:t>year.</w:t>
      </w:r>
    </w:p>
    <w:p w:rsidR="007C5447" w:rsidRDefault="007C5447">
      <w:pPr>
        <w:pStyle w:val="BodyText"/>
        <w:spacing w:before="11"/>
        <w:rPr>
          <w:sz w:val="20"/>
        </w:rPr>
      </w:pPr>
    </w:p>
    <w:p w:rsidR="007C5447" w:rsidRDefault="00F6308C">
      <w:pPr>
        <w:pStyle w:val="ListParagraph"/>
        <w:numPr>
          <w:ilvl w:val="2"/>
          <w:numId w:val="33"/>
        </w:numPr>
        <w:tabs>
          <w:tab w:val="left" w:pos="1113"/>
        </w:tabs>
        <w:spacing w:line="312" w:lineRule="auto"/>
        <w:ind w:right="877"/>
        <w:jc w:val="both"/>
        <w:rPr>
          <w:sz w:val="24"/>
        </w:rPr>
      </w:pPr>
      <w:r>
        <w:rPr>
          <w:sz w:val="24"/>
        </w:rPr>
        <w:t>The Comm</w:t>
      </w:r>
      <w:r>
        <w:rPr>
          <w:sz w:val="24"/>
        </w:rPr>
        <w:t>ission has observed the daily variation and seasonal variation in the demand met by the Licensee. From the hourly data for each month, it is observed that Maximum Demand for FY 2015-16 was 14,484 MW, which occurred on March 17, 2016 at 1900 hours and March</w:t>
      </w:r>
      <w:r>
        <w:rPr>
          <w:sz w:val="24"/>
        </w:rPr>
        <w:t xml:space="preserve"> 28, 2016 at 1900 hours. However, Minimum Demand of 4,791 MW was recorded on November 10, 2015 at 0400 hours. At the outset, it is noted that the difference between Maximum Demand and Minimum Demand</w:t>
      </w:r>
      <w:r>
        <w:rPr>
          <w:spacing w:val="27"/>
          <w:sz w:val="24"/>
        </w:rPr>
        <w:t xml:space="preserve"> </w:t>
      </w:r>
      <w:r>
        <w:rPr>
          <w:sz w:val="24"/>
        </w:rPr>
        <w:t>is</w:t>
      </w:r>
      <w:r>
        <w:rPr>
          <w:spacing w:val="29"/>
          <w:sz w:val="24"/>
        </w:rPr>
        <w:t xml:space="preserve"> </w:t>
      </w:r>
      <w:r>
        <w:rPr>
          <w:sz w:val="24"/>
        </w:rPr>
        <w:t>very</w:t>
      </w:r>
      <w:r>
        <w:rPr>
          <w:spacing w:val="23"/>
          <w:sz w:val="24"/>
        </w:rPr>
        <w:t xml:space="preserve"> </w:t>
      </w:r>
      <w:r>
        <w:rPr>
          <w:sz w:val="24"/>
        </w:rPr>
        <w:t>large.</w:t>
      </w:r>
      <w:r>
        <w:rPr>
          <w:spacing w:val="30"/>
          <w:sz w:val="24"/>
        </w:rPr>
        <w:t xml:space="preserve"> </w:t>
      </w:r>
      <w:r>
        <w:rPr>
          <w:sz w:val="24"/>
        </w:rPr>
        <w:t>However,</w:t>
      </w:r>
      <w:r>
        <w:rPr>
          <w:spacing w:val="27"/>
          <w:sz w:val="24"/>
        </w:rPr>
        <w:t xml:space="preserve"> </w:t>
      </w:r>
      <w:r>
        <w:rPr>
          <w:sz w:val="24"/>
        </w:rPr>
        <w:t>this</w:t>
      </w:r>
      <w:r>
        <w:rPr>
          <w:spacing w:val="28"/>
          <w:sz w:val="24"/>
        </w:rPr>
        <w:t xml:space="preserve"> </w:t>
      </w:r>
      <w:r>
        <w:rPr>
          <w:sz w:val="24"/>
        </w:rPr>
        <w:t>difference</w:t>
      </w:r>
      <w:r>
        <w:rPr>
          <w:spacing w:val="29"/>
          <w:sz w:val="24"/>
        </w:rPr>
        <w:t xml:space="preserve"> </w:t>
      </w:r>
      <w:r>
        <w:rPr>
          <w:sz w:val="24"/>
        </w:rPr>
        <w:t>is</w:t>
      </w:r>
      <w:r>
        <w:rPr>
          <w:spacing w:val="29"/>
          <w:sz w:val="24"/>
        </w:rPr>
        <w:t xml:space="preserve"> </w:t>
      </w:r>
      <w:r>
        <w:rPr>
          <w:sz w:val="24"/>
        </w:rPr>
        <w:t>the</w:t>
      </w:r>
      <w:r>
        <w:rPr>
          <w:spacing w:val="28"/>
          <w:sz w:val="24"/>
        </w:rPr>
        <w:t xml:space="preserve"> </w:t>
      </w:r>
      <w:r>
        <w:rPr>
          <w:sz w:val="24"/>
        </w:rPr>
        <w:t>result</w:t>
      </w:r>
      <w:r>
        <w:rPr>
          <w:spacing w:val="29"/>
          <w:sz w:val="24"/>
        </w:rPr>
        <w:t xml:space="preserve"> </w:t>
      </w:r>
      <w:r>
        <w:rPr>
          <w:sz w:val="24"/>
        </w:rPr>
        <w:t>of</w:t>
      </w:r>
      <w:r>
        <w:rPr>
          <w:spacing w:val="26"/>
          <w:sz w:val="24"/>
        </w:rPr>
        <w:t xml:space="preserve"> </w:t>
      </w:r>
      <w:r>
        <w:rPr>
          <w:spacing w:val="2"/>
          <w:sz w:val="24"/>
        </w:rPr>
        <w:t>the</w:t>
      </w:r>
      <w:r>
        <w:rPr>
          <w:spacing w:val="27"/>
          <w:sz w:val="24"/>
        </w:rPr>
        <w:t xml:space="preserve"> </w:t>
      </w:r>
      <w:r>
        <w:rPr>
          <w:sz w:val="24"/>
        </w:rPr>
        <w:t>daily</w:t>
      </w:r>
      <w:r>
        <w:rPr>
          <w:spacing w:val="26"/>
          <w:sz w:val="24"/>
        </w:rPr>
        <w:t xml:space="preserve"> </w:t>
      </w:r>
      <w:r>
        <w:rPr>
          <w:sz w:val="24"/>
        </w:rPr>
        <w:t>variation</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BodyText"/>
        <w:spacing w:before="60" w:line="312" w:lineRule="auto"/>
        <w:ind w:left="1112" w:right="882"/>
        <w:jc w:val="both"/>
      </w:pPr>
      <w:r>
        <w:lastRenderedPageBreak/>
        <w:t>and seasonal variation. Such Maximum Demand and Minimum Demand has been recorded for a very small duration, as can be seen from the Load Duration Curve of TANGEDCO for FY 2015-16, as shown in the following Figure:</w:t>
      </w:r>
    </w:p>
    <w:p w:rsidR="007C5447" w:rsidRDefault="007C5447">
      <w:pPr>
        <w:pStyle w:val="BodyText"/>
        <w:spacing w:before="10"/>
        <w:rPr>
          <w:sz w:val="20"/>
        </w:rPr>
      </w:pPr>
    </w:p>
    <w:p w:rsidR="007C5447" w:rsidRDefault="00F6308C">
      <w:pPr>
        <w:pStyle w:val="Heading2"/>
        <w:ind w:left="2590"/>
      </w:pPr>
      <w:r>
        <w:t>Figure 5-32: Annual Load Duration Curve</w:t>
      </w:r>
    </w:p>
    <w:p w:rsidR="007C5447" w:rsidRDefault="007C5447">
      <w:pPr>
        <w:pStyle w:val="BodyText"/>
        <w:rPr>
          <w:b/>
          <w:sz w:val="20"/>
        </w:rPr>
      </w:pPr>
    </w:p>
    <w:p w:rsidR="007C5447" w:rsidRDefault="00F6308C">
      <w:pPr>
        <w:pStyle w:val="BodyText"/>
        <w:spacing w:before="5"/>
        <w:rPr>
          <w:b/>
          <w:sz w:val="25"/>
        </w:rPr>
      </w:pPr>
      <w:r>
        <w:rPr>
          <w:noProof/>
        </w:rPr>
        <w:drawing>
          <wp:anchor distT="0" distB="0" distL="0" distR="0" simplePos="0" relativeHeight="18" behindDoc="0" locked="0" layoutInCell="1" allowOverlap="1">
            <wp:simplePos x="0" y="0"/>
            <wp:positionH relativeFrom="page">
              <wp:posOffset>1523558</wp:posOffset>
            </wp:positionH>
            <wp:positionV relativeFrom="paragraph">
              <wp:posOffset>210953</wp:posOffset>
            </wp:positionV>
            <wp:extent cx="4964385" cy="2592324"/>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4" cstate="print"/>
                    <a:stretch>
                      <a:fillRect/>
                    </a:stretch>
                  </pic:blipFill>
                  <pic:spPr>
                    <a:xfrm>
                      <a:off x="0" y="0"/>
                      <a:ext cx="4964385" cy="2592324"/>
                    </a:xfrm>
                    <a:prstGeom prst="rect">
                      <a:avLst/>
                    </a:prstGeom>
                  </pic:spPr>
                </pic:pic>
              </a:graphicData>
            </a:graphic>
          </wp:anchor>
        </w:drawing>
      </w:r>
    </w:p>
    <w:p w:rsidR="007C5447" w:rsidRDefault="007C5447">
      <w:pPr>
        <w:pStyle w:val="BodyText"/>
        <w:rPr>
          <w:b/>
          <w:sz w:val="20"/>
        </w:rPr>
      </w:pPr>
    </w:p>
    <w:p w:rsidR="007C5447" w:rsidRDefault="007C5447">
      <w:pPr>
        <w:pStyle w:val="BodyText"/>
        <w:spacing w:before="9"/>
        <w:rPr>
          <w:b/>
          <w:sz w:val="15"/>
        </w:rPr>
      </w:pPr>
    </w:p>
    <w:p w:rsidR="007C5447" w:rsidRDefault="00F6308C">
      <w:pPr>
        <w:pStyle w:val="ListParagraph"/>
        <w:numPr>
          <w:ilvl w:val="2"/>
          <w:numId w:val="33"/>
        </w:numPr>
        <w:tabs>
          <w:tab w:val="left" w:pos="1113"/>
        </w:tabs>
        <w:spacing w:before="90"/>
        <w:ind w:hanging="853"/>
        <w:rPr>
          <w:sz w:val="24"/>
        </w:rPr>
      </w:pPr>
      <w:r>
        <w:rPr>
          <w:sz w:val="24"/>
        </w:rPr>
        <w:t>From the yearly Load Duration Curve, it is observed</w:t>
      </w:r>
      <w:r>
        <w:rPr>
          <w:spacing w:val="-2"/>
          <w:sz w:val="24"/>
        </w:rPr>
        <w:t xml:space="preserve"> </w:t>
      </w:r>
      <w:r>
        <w:rPr>
          <w:sz w:val="24"/>
        </w:rPr>
        <w:t>that:</w:t>
      </w:r>
    </w:p>
    <w:p w:rsidR="007C5447" w:rsidRDefault="007C5447">
      <w:pPr>
        <w:pStyle w:val="BodyText"/>
        <w:spacing w:before="2"/>
        <w:rPr>
          <w:sz w:val="28"/>
        </w:rPr>
      </w:pPr>
    </w:p>
    <w:p w:rsidR="007C5447" w:rsidRDefault="00F6308C">
      <w:pPr>
        <w:pStyle w:val="ListParagraph"/>
        <w:numPr>
          <w:ilvl w:val="3"/>
          <w:numId w:val="33"/>
        </w:numPr>
        <w:tabs>
          <w:tab w:val="left" w:pos="1679"/>
        </w:tabs>
        <w:jc w:val="both"/>
        <w:rPr>
          <w:sz w:val="24"/>
        </w:rPr>
      </w:pPr>
      <w:r>
        <w:rPr>
          <w:sz w:val="24"/>
        </w:rPr>
        <w:t>The Maximum Demand for FY 2015-16 was 14,484</w:t>
      </w:r>
      <w:r>
        <w:rPr>
          <w:spacing w:val="-1"/>
          <w:sz w:val="24"/>
        </w:rPr>
        <w:t xml:space="preserve"> </w:t>
      </w:r>
      <w:r>
        <w:rPr>
          <w:sz w:val="24"/>
        </w:rPr>
        <w:t>MW.</w:t>
      </w:r>
    </w:p>
    <w:p w:rsidR="007C5447" w:rsidRDefault="00F6308C">
      <w:pPr>
        <w:pStyle w:val="ListParagraph"/>
        <w:numPr>
          <w:ilvl w:val="3"/>
          <w:numId w:val="33"/>
        </w:numPr>
        <w:tabs>
          <w:tab w:val="left" w:pos="1679"/>
        </w:tabs>
        <w:spacing w:before="82" w:line="312" w:lineRule="auto"/>
        <w:ind w:right="879"/>
        <w:jc w:val="both"/>
        <w:rPr>
          <w:sz w:val="24"/>
        </w:rPr>
      </w:pPr>
      <w:r>
        <w:rPr>
          <w:sz w:val="24"/>
        </w:rPr>
        <w:t>Average demand for the year is 11,094 MW, which was recorded for 55.02% of time.</w:t>
      </w:r>
    </w:p>
    <w:p w:rsidR="007C5447" w:rsidRDefault="00F6308C">
      <w:pPr>
        <w:pStyle w:val="ListParagraph"/>
        <w:numPr>
          <w:ilvl w:val="3"/>
          <w:numId w:val="33"/>
        </w:numPr>
        <w:tabs>
          <w:tab w:val="left" w:pos="1679"/>
        </w:tabs>
        <w:spacing w:line="312" w:lineRule="auto"/>
        <w:ind w:right="874"/>
        <w:jc w:val="both"/>
        <w:rPr>
          <w:sz w:val="24"/>
        </w:rPr>
      </w:pPr>
      <w:r>
        <w:rPr>
          <w:sz w:val="24"/>
        </w:rPr>
        <w:t>The variation in Maximum Demand is 3,390 MW (14,484 – 11,094 MW</w:t>
      </w:r>
      <w:r>
        <w:rPr>
          <w:sz w:val="24"/>
        </w:rPr>
        <w:t>) and variation in Minimum Demand is 6,303 MW (11,094 – 4,791</w:t>
      </w:r>
      <w:r>
        <w:rPr>
          <w:spacing w:val="1"/>
          <w:sz w:val="24"/>
        </w:rPr>
        <w:t xml:space="preserve"> </w:t>
      </w:r>
      <w:r>
        <w:rPr>
          <w:sz w:val="24"/>
        </w:rPr>
        <w:t>MW).</w:t>
      </w:r>
    </w:p>
    <w:p w:rsidR="007C5447" w:rsidRDefault="00F6308C">
      <w:pPr>
        <w:pStyle w:val="ListParagraph"/>
        <w:numPr>
          <w:ilvl w:val="3"/>
          <w:numId w:val="33"/>
        </w:numPr>
        <w:tabs>
          <w:tab w:val="left" w:pos="1679"/>
        </w:tabs>
        <w:spacing w:line="312" w:lineRule="auto"/>
        <w:ind w:right="882"/>
        <w:jc w:val="both"/>
        <w:rPr>
          <w:sz w:val="24"/>
        </w:rPr>
      </w:pPr>
      <w:r>
        <w:rPr>
          <w:sz w:val="24"/>
        </w:rPr>
        <w:t>There is sudden decrease in the demand for shorter period of time at the lower end of curve. These data points need to be considered as</w:t>
      </w:r>
      <w:r>
        <w:rPr>
          <w:spacing w:val="-4"/>
          <w:sz w:val="24"/>
        </w:rPr>
        <w:t xml:space="preserve"> </w:t>
      </w:r>
      <w:r>
        <w:rPr>
          <w:sz w:val="24"/>
        </w:rPr>
        <w:t>outliers.</w:t>
      </w:r>
    </w:p>
    <w:p w:rsidR="007C5447" w:rsidRDefault="00F6308C">
      <w:pPr>
        <w:pStyle w:val="ListParagraph"/>
        <w:numPr>
          <w:ilvl w:val="3"/>
          <w:numId w:val="33"/>
        </w:numPr>
        <w:tabs>
          <w:tab w:val="left" w:pos="1679"/>
        </w:tabs>
        <w:spacing w:line="312" w:lineRule="auto"/>
        <w:ind w:right="881"/>
        <w:jc w:val="both"/>
        <w:rPr>
          <w:sz w:val="24"/>
        </w:rPr>
      </w:pPr>
      <w:r>
        <w:rPr>
          <w:sz w:val="24"/>
        </w:rPr>
        <w:t>The Base Load for the Distribution Licensee has been derived by excluding  the outliers and considering the equal spread from the average demand for the year. The Base Load has been computed as 7,700 MW, which was recorded for 97% of the</w:t>
      </w:r>
      <w:r>
        <w:rPr>
          <w:spacing w:val="-4"/>
          <w:sz w:val="24"/>
        </w:rPr>
        <w:t xml:space="preserve"> </w:t>
      </w:r>
      <w:r>
        <w:rPr>
          <w:sz w:val="24"/>
        </w:rPr>
        <w:t>time.</w:t>
      </w:r>
    </w:p>
    <w:p w:rsidR="007C5447" w:rsidRDefault="00F6308C">
      <w:pPr>
        <w:pStyle w:val="ListParagraph"/>
        <w:numPr>
          <w:ilvl w:val="2"/>
          <w:numId w:val="33"/>
        </w:numPr>
        <w:tabs>
          <w:tab w:val="left" w:pos="1113"/>
        </w:tabs>
        <w:spacing w:before="121" w:line="312" w:lineRule="auto"/>
        <w:ind w:right="880"/>
        <w:jc w:val="both"/>
        <w:rPr>
          <w:sz w:val="24"/>
        </w:rPr>
      </w:pPr>
      <w:r>
        <w:rPr>
          <w:sz w:val="24"/>
        </w:rPr>
        <w:t>For assessin</w:t>
      </w:r>
      <w:r>
        <w:rPr>
          <w:sz w:val="24"/>
        </w:rPr>
        <w:t>g the peak hours and off-peak hours, the Commission has considered the daily load curve of the particular day of the month on which the Maximum Demand in that month has occurred. The Peak hours and off-peak hours for each month have been derived by study o</w:t>
      </w:r>
      <w:r>
        <w:rPr>
          <w:sz w:val="24"/>
        </w:rPr>
        <w:t>f the representative monthly load curves as shown in the Figure</w:t>
      </w:r>
      <w:r>
        <w:rPr>
          <w:spacing w:val="-2"/>
          <w:sz w:val="24"/>
        </w:rPr>
        <w:t xml:space="preserve"> </w:t>
      </w:r>
      <w:r>
        <w:rPr>
          <w:sz w:val="24"/>
        </w:rPr>
        <w:t>below:</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Heading2"/>
        <w:spacing w:before="60"/>
        <w:ind w:left="2384"/>
      </w:pPr>
      <w:r>
        <w:lastRenderedPageBreak/>
        <w:t>Figure 5-33: Daily Load Curve for each month</w:t>
      </w:r>
    </w:p>
    <w:p w:rsidR="007C5447" w:rsidRDefault="00F6308C">
      <w:pPr>
        <w:pStyle w:val="BodyText"/>
        <w:spacing w:before="8"/>
        <w:rPr>
          <w:b/>
        </w:rPr>
      </w:pPr>
      <w:r>
        <w:rPr>
          <w:noProof/>
        </w:rPr>
        <w:drawing>
          <wp:anchor distT="0" distB="0" distL="0" distR="0" simplePos="0" relativeHeight="19" behindDoc="0" locked="0" layoutInCell="1" allowOverlap="1">
            <wp:simplePos x="0" y="0"/>
            <wp:positionH relativeFrom="page">
              <wp:posOffset>914400</wp:posOffset>
            </wp:positionH>
            <wp:positionV relativeFrom="paragraph">
              <wp:posOffset>205500</wp:posOffset>
            </wp:positionV>
            <wp:extent cx="5728963" cy="285750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75" cstate="print"/>
                    <a:stretch>
                      <a:fillRect/>
                    </a:stretch>
                  </pic:blipFill>
                  <pic:spPr>
                    <a:xfrm>
                      <a:off x="0" y="0"/>
                      <a:ext cx="5728963" cy="2857500"/>
                    </a:xfrm>
                    <a:prstGeom prst="rect">
                      <a:avLst/>
                    </a:prstGeom>
                  </pic:spPr>
                </pic:pic>
              </a:graphicData>
            </a:graphic>
          </wp:anchor>
        </w:drawing>
      </w:r>
    </w:p>
    <w:p w:rsidR="007C5447" w:rsidRDefault="00F6308C">
      <w:pPr>
        <w:pStyle w:val="ListParagraph"/>
        <w:numPr>
          <w:ilvl w:val="2"/>
          <w:numId w:val="33"/>
        </w:numPr>
        <w:tabs>
          <w:tab w:val="left" w:pos="1113"/>
        </w:tabs>
        <w:spacing w:before="177" w:line="312" w:lineRule="auto"/>
        <w:ind w:right="878"/>
        <w:jc w:val="both"/>
        <w:rPr>
          <w:sz w:val="24"/>
        </w:rPr>
      </w:pPr>
      <w:r>
        <w:rPr>
          <w:sz w:val="24"/>
        </w:rPr>
        <w:t>From the above figure, the peak hours, off-peak hours, and normal hours can be observed as</w:t>
      </w:r>
      <w:r>
        <w:rPr>
          <w:spacing w:val="-1"/>
          <w:sz w:val="24"/>
        </w:rPr>
        <w:t xml:space="preserve"> </w:t>
      </w:r>
      <w:r>
        <w:rPr>
          <w:sz w:val="24"/>
        </w:rPr>
        <w:t>under:</w:t>
      </w:r>
    </w:p>
    <w:p w:rsidR="007C5447" w:rsidRDefault="007C5447">
      <w:pPr>
        <w:pStyle w:val="BodyText"/>
        <w:spacing w:before="10"/>
        <w:rPr>
          <w:sz w:val="20"/>
        </w:rPr>
      </w:pPr>
    </w:p>
    <w:p w:rsidR="007C5447" w:rsidRDefault="00F6308C">
      <w:pPr>
        <w:pStyle w:val="ListParagraph"/>
        <w:numPr>
          <w:ilvl w:val="0"/>
          <w:numId w:val="31"/>
        </w:numPr>
        <w:tabs>
          <w:tab w:val="left" w:pos="1341"/>
        </w:tabs>
        <w:ind w:hanging="361"/>
        <w:rPr>
          <w:sz w:val="24"/>
        </w:rPr>
      </w:pPr>
      <w:r>
        <w:rPr>
          <w:sz w:val="24"/>
        </w:rPr>
        <w:t xml:space="preserve">Morning Peak hours - </w:t>
      </w:r>
      <w:r>
        <w:rPr>
          <w:sz w:val="24"/>
        </w:rPr>
        <w:t>0600 hours to 0900</w:t>
      </w:r>
      <w:r>
        <w:rPr>
          <w:spacing w:val="-5"/>
          <w:sz w:val="24"/>
        </w:rPr>
        <w:t xml:space="preserve"> </w:t>
      </w:r>
      <w:r>
        <w:rPr>
          <w:sz w:val="24"/>
        </w:rPr>
        <w:t>hours</w:t>
      </w:r>
    </w:p>
    <w:p w:rsidR="007C5447" w:rsidRDefault="00F6308C">
      <w:pPr>
        <w:pStyle w:val="ListParagraph"/>
        <w:numPr>
          <w:ilvl w:val="0"/>
          <w:numId w:val="31"/>
        </w:numPr>
        <w:tabs>
          <w:tab w:val="left" w:pos="1341"/>
        </w:tabs>
        <w:spacing w:before="82"/>
        <w:ind w:hanging="361"/>
        <w:rPr>
          <w:sz w:val="24"/>
        </w:rPr>
      </w:pPr>
      <w:r>
        <w:rPr>
          <w:sz w:val="24"/>
        </w:rPr>
        <w:t>Evening Peak hours – 1800 hours to 2100</w:t>
      </w:r>
      <w:r>
        <w:rPr>
          <w:spacing w:val="-5"/>
          <w:sz w:val="24"/>
        </w:rPr>
        <w:t xml:space="preserve"> </w:t>
      </w:r>
      <w:r>
        <w:rPr>
          <w:sz w:val="24"/>
        </w:rPr>
        <w:t>hours</w:t>
      </w:r>
    </w:p>
    <w:p w:rsidR="007C5447" w:rsidRDefault="00F6308C">
      <w:pPr>
        <w:pStyle w:val="ListParagraph"/>
        <w:numPr>
          <w:ilvl w:val="0"/>
          <w:numId w:val="31"/>
        </w:numPr>
        <w:tabs>
          <w:tab w:val="left" w:pos="1341"/>
        </w:tabs>
        <w:spacing w:before="84"/>
        <w:ind w:hanging="361"/>
        <w:rPr>
          <w:sz w:val="24"/>
        </w:rPr>
      </w:pPr>
      <w:r>
        <w:rPr>
          <w:sz w:val="24"/>
        </w:rPr>
        <w:t>Off-peak hours – 2200 hours to 0500 hours</w:t>
      </w:r>
    </w:p>
    <w:p w:rsidR="007C5447" w:rsidRDefault="00F6308C">
      <w:pPr>
        <w:pStyle w:val="ListParagraph"/>
        <w:numPr>
          <w:ilvl w:val="0"/>
          <w:numId w:val="31"/>
        </w:numPr>
        <w:tabs>
          <w:tab w:val="left" w:pos="1341"/>
        </w:tabs>
        <w:spacing w:before="82" w:line="312" w:lineRule="auto"/>
        <w:ind w:right="880"/>
        <w:rPr>
          <w:sz w:val="24"/>
        </w:rPr>
      </w:pPr>
      <w:r>
        <w:rPr>
          <w:sz w:val="24"/>
        </w:rPr>
        <w:t>Normal hours – 0500 to 0600 hours, 2100 to 2200 hours, and 0900 hours to 1800 hours</w:t>
      </w:r>
    </w:p>
    <w:p w:rsidR="007C5447" w:rsidRDefault="00F6308C">
      <w:pPr>
        <w:pStyle w:val="ListParagraph"/>
        <w:numPr>
          <w:ilvl w:val="2"/>
          <w:numId w:val="33"/>
        </w:numPr>
        <w:tabs>
          <w:tab w:val="left" w:pos="1113"/>
        </w:tabs>
        <w:spacing w:before="120" w:line="312" w:lineRule="auto"/>
        <w:ind w:right="877"/>
        <w:jc w:val="both"/>
        <w:rPr>
          <w:sz w:val="24"/>
        </w:rPr>
      </w:pPr>
      <w:r>
        <w:rPr>
          <w:sz w:val="24"/>
        </w:rPr>
        <w:t>It is seen that the above time-slots are same as the prevailing time-slots for peak, off- peak and normal hours. In view of the above, the Commission has retained the above time slots for the applicability of the peak hour charges/ToD</w:t>
      </w:r>
      <w:r>
        <w:rPr>
          <w:spacing w:val="-12"/>
          <w:sz w:val="24"/>
        </w:rPr>
        <w:t xml:space="preserve"> </w:t>
      </w:r>
      <w:r>
        <w:rPr>
          <w:sz w:val="24"/>
        </w:rPr>
        <w:t>tariff.</w:t>
      </w:r>
    </w:p>
    <w:p w:rsidR="007C5447" w:rsidRDefault="007C5447">
      <w:pPr>
        <w:pStyle w:val="BodyText"/>
        <w:spacing w:before="11"/>
        <w:rPr>
          <w:sz w:val="20"/>
        </w:rPr>
      </w:pPr>
    </w:p>
    <w:p w:rsidR="007C5447" w:rsidRDefault="00F6308C">
      <w:pPr>
        <w:pStyle w:val="ListParagraph"/>
        <w:numPr>
          <w:ilvl w:val="2"/>
          <w:numId w:val="33"/>
        </w:numPr>
        <w:tabs>
          <w:tab w:val="left" w:pos="1113"/>
        </w:tabs>
        <w:spacing w:line="312" w:lineRule="auto"/>
        <w:ind w:right="878"/>
        <w:jc w:val="both"/>
        <w:rPr>
          <w:sz w:val="24"/>
        </w:rPr>
      </w:pPr>
      <w:r>
        <w:rPr>
          <w:sz w:val="24"/>
        </w:rPr>
        <w:t>The Commissi</w:t>
      </w:r>
      <w:r>
        <w:rPr>
          <w:sz w:val="24"/>
        </w:rPr>
        <w:t xml:space="preserve">on notes that TANGEDCO has contracted power with various sources to meet its load. However, some of the sources are used to meet its Base load and rest of the sources for meeting peak load. The actual LGBR, power purchase quantum and cost is available for </w:t>
      </w:r>
      <w:r>
        <w:rPr>
          <w:sz w:val="24"/>
        </w:rPr>
        <w:t>FY 2015-16. The month-wise Base Load has been computed for FY 2015-16, based on which, the Commission has computed the quantum of energy required and differential price for meeting the load over and above the Base Load.</w:t>
      </w:r>
    </w:p>
    <w:p w:rsidR="007C5447" w:rsidRDefault="007C5447">
      <w:pPr>
        <w:pStyle w:val="BodyText"/>
        <w:spacing w:before="9"/>
        <w:rPr>
          <w:sz w:val="20"/>
        </w:rPr>
      </w:pPr>
    </w:p>
    <w:p w:rsidR="007C5447" w:rsidRDefault="00F6308C">
      <w:pPr>
        <w:pStyle w:val="ListParagraph"/>
        <w:numPr>
          <w:ilvl w:val="2"/>
          <w:numId w:val="33"/>
        </w:numPr>
        <w:tabs>
          <w:tab w:val="left" w:pos="1113"/>
        </w:tabs>
        <w:spacing w:before="1" w:line="312" w:lineRule="auto"/>
        <w:ind w:right="876"/>
        <w:jc w:val="both"/>
        <w:rPr>
          <w:sz w:val="24"/>
        </w:rPr>
      </w:pPr>
      <w:r>
        <w:rPr>
          <w:sz w:val="24"/>
        </w:rPr>
        <w:t>The Commission has considered the B</w:t>
      </w:r>
      <w:r>
        <w:rPr>
          <w:sz w:val="24"/>
        </w:rPr>
        <w:t>ase Load as 7700 MW for FY 2015-16. Based on month-wise Base Load, the Commission has computed the quantum of energy required and differential price for meeting the load over and above the Base Load</w:t>
      </w:r>
      <w:r>
        <w:rPr>
          <w:spacing w:val="2"/>
          <w:sz w:val="24"/>
        </w:rPr>
        <w:t xml:space="preserve"> </w:t>
      </w:r>
      <w:r>
        <w:rPr>
          <w:sz w:val="24"/>
        </w:rPr>
        <w:t>as</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BodyText"/>
        <w:spacing w:before="60"/>
        <w:ind w:left="1112"/>
      </w:pPr>
      <w:r>
        <w:lastRenderedPageBreak/>
        <w:t>under:</w:t>
      </w:r>
    </w:p>
    <w:p w:rsidR="007C5447" w:rsidRDefault="007C5447">
      <w:pPr>
        <w:pStyle w:val="BodyText"/>
        <w:rPr>
          <w:sz w:val="28"/>
        </w:rPr>
      </w:pPr>
    </w:p>
    <w:p w:rsidR="007C5447" w:rsidRDefault="00F6308C">
      <w:pPr>
        <w:pStyle w:val="ListParagraph"/>
        <w:numPr>
          <w:ilvl w:val="0"/>
          <w:numId w:val="30"/>
        </w:numPr>
        <w:tabs>
          <w:tab w:val="left" w:pos="1533"/>
        </w:tabs>
        <w:spacing w:line="312" w:lineRule="auto"/>
        <w:ind w:right="873" w:hanging="360"/>
        <w:jc w:val="both"/>
        <w:rPr>
          <w:sz w:val="24"/>
        </w:rPr>
      </w:pPr>
      <w:r>
        <w:tab/>
      </w:r>
      <w:r>
        <w:rPr>
          <w:sz w:val="24"/>
        </w:rPr>
        <w:t>The hourly (8784 data point</w:t>
      </w:r>
      <w:r>
        <w:rPr>
          <w:sz w:val="24"/>
        </w:rPr>
        <w:t>s) contracted power has been considered including the power from TANGEDCO’s own generating stations, Central Generating Stations, IPPs, CPPs, Biomass and Co-generation plants.</w:t>
      </w:r>
    </w:p>
    <w:p w:rsidR="007C5447" w:rsidRDefault="007C5447">
      <w:pPr>
        <w:pStyle w:val="BodyText"/>
        <w:rPr>
          <w:sz w:val="21"/>
        </w:rPr>
      </w:pPr>
    </w:p>
    <w:p w:rsidR="007C5447" w:rsidRDefault="00F6308C">
      <w:pPr>
        <w:pStyle w:val="ListParagraph"/>
        <w:numPr>
          <w:ilvl w:val="0"/>
          <w:numId w:val="30"/>
        </w:numPr>
        <w:tabs>
          <w:tab w:val="left" w:pos="1473"/>
        </w:tabs>
        <w:spacing w:line="312" w:lineRule="auto"/>
        <w:ind w:right="878" w:hanging="360"/>
        <w:jc w:val="both"/>
        <w:rPr>
          <w:sz w:val="24"/>
        </w:rPr>
      </w:pPr>
      <w:r>
        <w:rPr>
          <w:sz w:val="24"/>
        </w:rPr>
        <w:t>The power available from these sources after meeting the Base Load for the part</w:t>
      </w:r>
      <w:r>
        <w:rPr>
          <w:sz w:val="24"/>
        </w:rPr>
        <w:t>icular month has been considered against the quantum of power required over and above the Base Load.</w:t>
      </w:r>
    </w:p>
    <w:p w:rsidR="007C5447" w:rsidRDefault="007C5447">
      <w:pPr>
        <w:pStyle w:val="BodyText"/>
        <w:spacing w:before="9"/>
        <w:rPr>
          <w:sz w:val="20"/>
        </w:rPr>
      </w:pPr>
    </w:p>
    <w:p w:rsidR="007C5447" w:rsidRDefault="00F6308C">
      <w:pPr>
        <w:pStyle w:val="ListParagraph"/>
        <w:numPr>
          <w:ilvl w:val="0"/>
          <w:numId w:val="30"/>
        </w:numPr>
        <w:tabs>
          <w:tab w:val="left" w:pos="1473"/>
        </w:tabs>
        <w:spacing w:line="312" w:lineRule="auto"/>
        <w:ind w:right="877" w:hanging="360"/>
        <w:jc w:val="both"/>
        <w:rPr>
          <w:sz w:val="24"/>
        </w:rPr>
      </w:pPr>
      <w:r>
        <w:rPr>
          <w:sz w:val="24"/>
        </w:rPr>
        <w:t>Accordingly, the total round the clock Peak energy requirement has been computed for 8784 data points as 20,590.95 MU for FY 2015-16. Out of this, the peak energy requirement of 2,304 MU is pertaining towards Peak period defined under Time of Day</w:t>
      </w:r>
      <w:r>
        <w:rPr>
          <w:spacing w:val="-7"/>
          <w:sz w:val="24"/>
        </w:rPr>
        <w:t xml:space="preserve"> </w:t>
      </w:r>
      <w:r>
        <w:rPr>
          <w:sz w:val="24"/>
        </w:rPr>
        <w:t>framework</w:t>
      </w:r>
      <w:r>
        <w:rPr>
          <w:sz w:val="24"/>
        </w:rPr>
        <w:t>.</w:t>
      </w:r>
    </w:p>
    <w:p w:rsidR="007C5447" w:rsidRDefault="007C5447">
      <w:pPr>
        <w:pStyle w:val="BodyText"/>
        <w:spacing w:before="11"/>
        <w:rPr>
          <w:sz w:val="20"/>
        </w:rPr>
      </w:pPr>
    </w:p>
    <w:p w:rsidR="007C5447" w:rsidRDefault="00F6308C">
      <w:pPr>
        <w:pStyle w:val="ListParagraph"/>
        <w:numPr>
          <w:ilvl w:val="0"/>
          <w:numId w:val="30"/>
        </w:numPr>
        <w:tabs>
          <w:tab w:val="left" w:pos="1473"/>
        </w:tabs>
        <w:spacing w:line="312" w:lineRule="auto"/>
        <w:ind w:right="883" w:hanging="360"/>
        <w:jc w:val="both"/>
        <w:rPr>
          <w:sz w:val="24"/>
        </w:rPr>
      </w:pPr>
      <w:r>
        <w:rPr>
          <w:sz w:val="24"/>
        </w:rPr>
        <w:t>For meeting this energy, the sources of power have been considered from the highest rank in the Merit Order stack in descending order, as approved by the Commission for FY 2015-16 after Truing</w:t>
      </w:r>
      <w:r>
        <w:rPr>
          <w:spacing w:val="-4"/>
          <w:sz w:val="24"/>
        </w:rPr>
        <w:t xml:space="preserve"> </w:t>
      </w:r>
      <w:r>
        <w:rPr>
          <w:sz w:val="24"/>
        </w:rPr>
        <w:t>up</w:t>
      </w:r>
    </w:p>
    <w:p w:rsidR="007C5447" w:rsidRDefault="007C5447">
      <w:pPr>
        <w:pStyle w:val="BodyText"/>
        <w:rPr>
          <w:sz w:val="21"/>
        </w:rPr>
      </w:pPr>
    </w:p>
    <w:p w:rsidR="007C5447" w:rsidRDefault="00F6308C">
      <w:pPr>
        <w:pStyle w:val="ListParagraph"/>
        <w:numPr>
          <w:ilvl w:val="0"/>
          <w:numId w:val="30"/>
        </w:numPr>
        <w:tabs>
          <w:tab w:val="left" w:pos="1473"/>
        </w:tabs>
        <w:spacing w:line="312" w:lineRule="auto"/>
        <w:ind w:right="876" w:hanging="360"/>
        <w:jc w:val="both"/>
        <w:rPr>
          <w:sz w:val="24"/>
        </w:rPr>
      </w:pPr>
      <w:r>
        <w:rPr>
          <w:sz w:val="24"/>
        </w:rPr>
        <w:t>The energy requirement of 2,304 MU has met by sources as</w:t>
      </w:r>
      <w:r>
        <w:rPr>
          <w:sz w:val="24"/>
        </w:rPr>
        <w:t xml:space="preserve"> shown in the following</w:t>
      </w:r>
      <w:r>
        <w:rPr>
          <w:spacing w:val="-3"/>
          <w:sz w:val="24"/>
        </w:rPr>
        <w:t xml:space="preserve"> </w:t>
      </w:r>
      <w:r>
        <w:rPr>
          <w:sz w:val="24"/>
        </w:rPr>
        <w:t>Table:</w:t>
      </w:r>
    </w:p>
    <w:p w:rsidR="007C5447" w:rsidRDefault="007C5447">
      <w:pPr>
        <w:pStyle w:val="BodyText"/>
        <w:spacing w:before="10"/>
        <w:rPr>
          <w:sz w:val="20"/>
        </w:rPr>
      </w:pPr>
    </w:p>
    <w:p w:rsidR="007C5447" w:rsidRDefault="00F6308C">
      <w:pPr>
        <w:pStyle w:val="Heading2"/>
        <w:ind w:left="2713"/>
      </w:pPr>
      <w:r>
        <w:t>Table 5-34: Computation of Differential price for FY 2015-16</w:t>
      </w:r>
    </w:p>
    <w:p w:rsidR="007C5447" w:rsidRDefault="007C5447">
      <w:pPr>
        <w:pStyle w:val="BodyText"/>
        <w:spacing w:before="7"/>
        <w:rPr>
          <w:b/>
          <w:sz w:val="17"/>
        </w:rPr>
      </w:pPr>
    </w:p>
    <w:tbl>
      <w:tblPr>
        <w:tblW w:w="0" w:type="auto"/>
        <w:tblInd w:w="8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3"/>
        <w:gridCol w:w="2396"/>
        <w:gridCol w:w="1825"/>
        <w:gridCol w:w="1707"/>
        <w:gridCol w:w="1962"/>
      </w:tblGrid>
      <w:tr w:rsidR="007C5447">
        <w:trPr>
          <w:trHeight w:val="1103"/>
        </w:trPr>
        <w:tc>
          <w:tcPr>
            <w:tcW w:w="653" w:type="dxa"/>
            <w:shd w:val="clear" w:color="auto" w:fill="F7C9AC"/>
          </w:tcPr>
          <w:p w:rsidR="007C5447" w:rsidRDefault="007C5447">
            <w:pPr>
              <w:pStyle w:val="TableParagraph"/>
              <w:spacing w:before="10"/>
              <w:jc w:val="left"/>
              <w:rPr>
                <w:b/>
                <w:sz w:val="23"/>
              </w:rPr>
            </w:pPr>
          </w:p>
          <w:p w:rsidR="007C5447" w:rsidRDefault="00F6308C">
            <w:pPr>
              <w:pStyle w:val="TableParagraph"/>
              <w:ind w:left="107"/>
              <w:jc w:val="left"/>
              <w:rPr>
                <w:b/>
                <w:sz w:val="24"/>
              </w:rPr>
            </w:pPr>
            <w:r>
              <w:rPr>
                <w:b/>
                <w:sz w:val="24"/>
              </w:rPr>
              <w:t>Sr.</w:t>
            </w:r>
          </w:p>
          <w:p w:rsidR="007C5447" w:rsidRDefault="00F6308C">
            <w:pPr>
              <w:pStyle w:val="TableParagraph"/>
              <w:ind w:left="107"/>
              <w:jc w:val="left"/>
              <w:rPr>
                <w:b/>
                <w:sz w:val="24"/>
              </w:rPr>
            </w:pPr>
            <w:r>
              <w:rPr>
                <w:b/>
                <w:sz w:val="24"/>
              </w:rPr>
              <w:t>No.</w:t>
            </w:r>
          </w:p>
        </w:tc>
        <w:tc>
          <w:tcPr>
            <w:tcW w:w="2396" w:type="dxa"/>
            <w:shd w:val="clear" w:color="auto" w:fill="F7C9AC"/>
          </w:tcPr>
          <w:p w:rsidR="007C5447" w:rsidRDefault="007C5447">
            <w:pPr>
              <w:pStyle w:val="TableParagraph"/>
              <w:jc w:val="left"/>
              <w:rPr>
                <w:b/>
                <w:sz w:val="36"/>
              </w:rPr>
            </w:pPr>
          </w:p>
          <w:p w:rsidR="007C5447" w:rsidRDefault="00F6308C">
            <w:pPr>
              <w:pStyle w:val="TableParagraph"/>
              <w:ind w:left="107"/>
              <w:jc w:val="left"/>
              <w:rPr>
                <w:b/>
                <w:sz w:val="24"/>
              </w:rPr>
            </w:pPr>
            <w:r>
              <w:rPr>
                <w:b/>
                <w:sz w:val="24"/>
              </w:rPr>
              <w:t>Source of Power</w:t>
            </w:r>
          </w:p>
        </w:tc>
        <w:tc>
          <w:tcPr>
            <w:tcW w:w="1825" w:type="dxa"/>
            <w:shd w:val="clear" w:color="auto" w:fill="F7C9AC"/>
          </w:tcPr>
          <w:p w:rsidR="007C5447" w:rsidRDefault="00F6308C">
            <w:pPr>
              <w:pStyle w:val="TableParagraph"/>
              <w:spacing w:before="138"/>
              <w:ind w:left="376" w:right="370" w:firstLine="1"/>
              <w:jc w:val="center"/>
              <w:rPr>
                <w:b/>
                <w:sz w:val="24"/>
              </w:rPr>
            </w:pPr>
            <w:r>
              <w:rPr>
                <w:b/>
                <w:sz w:val="24"/>
              </w:rPr>
              <w:t>Energy purchased (MU)</w:t>
            </w:r>
          </w:p>
        </w:tc>
        <w:tc>
          <w:tcPr>
            <w:tcW w:w="1707" w:type="dxa"/>
            <w:shd w:val="clear" w:color="auto" w:fill="F7C9AC"/>
          </w:tcPr>
          <w:p w:rsidR="007C5447" w:rsidRDefault="00F6308C">
            <w:pPr>
              <w:pStyle w:val="TableParagraph"/>
              <w:spacing w:before="2" w:line="276" w:lineRule="exact"/>
              <w:ind w:left="154" w:right="149" w:hanging="2"/>
              <w:jc w:val="center"/>
              <w:rPr>
                <w:b/>
                <w:sz w:val="24"/>
              </w:rPr>
            </w:pPr>
            <w:r>
              <w:rPr>
                <w:b/>
                <w:sz w:val="24"/>
              </w:rPr>
              <w:t>Energy purchased towards Peak period (MU)</w:t>
            </w:r>
          </w:p>
        </w:tc>
        <w:tc>
          <w:tcPr>
            <w:tcW w:w="1962" w:type="dxa"/>
            <w:shd w:val="clear" w:color="auto" w:fill="F7C9AC"/>
          </w:tcPr>
          <w:p w:rsidR="007C5447" w:rsidRDefault="007C5447">
            <w:pPr>
              <w:pStyle w:val="TableParagraph"/>
              <w:spacing w:before="10"/>
              <w:jc w:val="left"/>
              <w:rPr>
                <w:b/>
                <w:sz w:val="23"/>
              </w:rPr>
            </w:pPr>
          </w:p>
          <w:p w:rsidR="007C5447" w:rsidRDefault="00F6308C">
            <w:pPr>
              <w:pStyle w:val="TableParagraph"/>
              <w:ind w:left="418" w:right="124" w:hanging="270"/>
              <w:jc w:val="left"/>
              <w:rPr>
                <w:b/>
                <w:sz w:val="24"/>
              </w:rPr>
            </w:pPr>
            <w:r>
              <w:rPr>
                <w:b/>
                <w:sz w:val="24"/>
              </w:rPr>
              <w:t>Energy Charges (Rs. /kWh)</w:t>
            </w:r>
          </w:p>
        </w:tc>
      </w:tr>
      <w:tr w:rsidR="007C5447">
        <w:trPr>
          <w:trHeight w:val="552"/>
        </w:trPr>
        <w:tc>
          <w:tcPr>
            <w:tcW w:w="653" w:type="dxa"/>
          </w:tcPr>
          <w:p w:rsidR="007C5447" w:rsidRDefault="00F6308C">
            <w:pPr>
              <w:pStyle w:val="TableParagraph"/>
              <w:spacing w:before="135"/>
              <w:ind w:left="107"/>
              <w:jc w:val="left"/>
              <w:rPr>
                <w:sz w:val="24"/>
              </w:rPr>
            </w:pPr>
            <w:r>
              <w:rPr>
                <w:sz w:val="24"/>
              </w:rPr>
              <w:t>1</w:t>
            </w:r>
          </w:p>
        </w:tc>
        <w:tc>
          <w:tcPr>
            <w:tcW w:w="2396" w:type="dxa"/>
          </w:tcPr>
          <w:p w:rsidR="007C5447" w:rsidRDefault="00F6308C">
            <w:pPr>
              <w:pStyle w:val="TableParagraph"/>
              <w:spacing w:before="2" w:line="276" w:lineRule="exact"/>
              <w:ind w:left="107" w:right="432"/>
              <w:jc w:val="left"/>
              <w:rPr>
                <w:sz w:val="24"/>
              </w:rPr>
            </w:pPr>
            <w:r>
              <w:rPr>
                <w:sz w:val="24"/>
              </w:rPr>
              <w:t>Trading – Bilateral and Exchange</w:t>
            </w:r>
          </w:p>
        </w:tc>
        <w:tc>
          <w:tcPr>
            <w:tcW w:w="1825" w:type="dxa"/>
          </w:tcPr>
          <w:p w:rsidR="007C5447" w:rsidRDefault="00F6308C">
            <w:pPr>
              <w:pStyle w:val="TableParagraph"/>
              <w:spacing w:before="135"/>
              <w:ind w:right="385"/>
              <w:rPr>
                <w:sz w:val="24"/>
              </w:rPr>
            </w:pPr>
            <w:r>
              <w:rPr>
                <w:sz w:val="24"/>
              </w:rPr>
              <w:t>14,184</w:t>
            </w:r>
          </w:p>
        </w:tc>
        <w:tc>
          <w:tcPr>
            <w:tcW w:w="1707" w:type="dxa"/>
          </w:tcPr>
          <w:p w:rsidR="007C5447" w:rsidRDefault="00F6308C">
            <w:pPr>
              <w:pStyle w:val="TableParagraph"/>
              <w:spacing w:before="135"/>
              <w:ind w:right="388"/>
              <w:rPr>
                <w:sz w:val="24"/>
              </w:rPr>
            </w:pPr>
            <w:r>
              <w:rPr>
                <w:sz w:val="24"/>
              </w:rPr>
              <w:t>2,304</w:t>
            </w:r>
          </w:p>
        </w:tc>
        <w:tc>
          <w:tcPr>
            <w:tcW w:w="1962" w:type="dxa"/>
          </w:tcPr>
          <w:p w:rsidR="007C5447" w:rsidRDefault="00F6308C">
            <w:pPr>
              <w:pStyle w:val="TableParagraph"/>
              <w:spacing w:before="135"/>
              <w:ind w:right="652"/>
              <w:rPr>
                <w:sz w:val="24"/>
              </w:rPr>
            </w:pPr>
            <w:r>
              <w:rPr>
                <w:sz w:val="24"/>
              </w:rPr>
              <w:t>5.14</w:t>
            </w:r>
          </w:p>
        </w:tc>
      </w:tr>
      <w:tr w:rsidR="007C5447">
        <w:trPr>
          <w:trHeight w:val="338"/>
        </w:trPr>
        <w:tc>
          <w:tcPr>
            <w:tcW w:w="653" w:type="dxa"/>
          </w:tcPr>
          <w:p w:rsidR="007C5447" w:rsidRDefault="00F6308C">
            <w:pPr>
              <w:pStyle w:val="TableParagraph"/>
              <w:spacing w:before="27"/>
              <w:ind w:left="107"/>
              <w:jc w:val="left"/>
              <w:rPr>
                <w:b/>
                <w:sz w:val="24"/>
              </w:rPr>
            </w:pPr>
            <w:r>
              <w:rPr>
                <w:b/>
                <w:sz w:val="24"/>
              </w:rPr>
              <w:t>2</w:t>
            </w:r>
          </w:p>
        </w:tc>
        <w:tc>
          <w:tcPr>
            <w:tcW w:w="2396" w:type="dxa"/>
          </w:tcPr>
          <w:p w:rsidR="007C5447" w:rsidRDefault="00F6308C">
            <w:pPr>
              <w:pStyle w:val="TableParagraph"/>
              <w:spacing w:before="27"/>
              <w:ind w:left="107"/>
              <w:jc w:val="left"/>
              <w:rPr>
                <w:b/>
                <w:sz w:val="24"/>
              </w:rPr>
            </w:pPr>
            <w:r>
              <w:rPr>
                <w:b/>
                <w:sz w:val="24"/>
              </w:rPr>
              <w:t>Total</w:t>
            </w:r>
          </w:p>
        </w:tc>
        <w:tc>
          <w:tcPr>
            <w:tcW w:w="1825" w:type="dxa"/>
          </w:tcPr>
          <w:p w:rsidR="007C5447" w:rsidRDefault="00F6308C">
            <w:pPr>
              <w:pStyle w:val="TableParagraph"/>
              <w:spacing w:before="27"/>
              <w:ind w:right="385"/>
              <w:rPr>
                <w:b/>
                <w:sz w:val="24"/>
              </w:rPr>
            </w:pPr>
            <w:r>
              <w:rPr>
                <w:b/>
                <w:sz w:val="24"/>
              </w:rPr>
              <w:t>14,184</w:t>
            </w:r>
          </w:p>
        </w:tc>
        <w:tc>
          <w:tcPr>
            <w:tcW w:w="1707" w:type="dxa"/>
          </w:tcPr>
          <w:p w:rsidR="007C5447" w:rsidRDefault="00F6308C">
            <w:pPr>
              <w:pStyle w:val="TableParagraph"/>
              <w:spacing w:before="27"/>
              <w:ind w:right="388"/>
              <w:rPr>
                <w:b/>
                <w:sz w:val="24"/>
              </w:rPr>
            </w:pPr>
            <w:r>
              <w:rPr>
                <w:b/>
                <w:sz w:val="24"/>
              </w:rPr>
              <w:t>2,304</w:t>
            </w:r>
          </w:p>
        </w:tc>
        <w:tc>
          <w:tcPr>
            <w:tcW w:w="1962" w:type="dxa"/>
          </w:tcPr>
          <w:p w:rsidR="007C5447" w:rsidRDefault="00F6308C">
            <w:pPr>
              <w:pStyle w:val="TableParagraph"/>
              <w:spacing w:before="27"/>
              <w:ind w:right="652"/>
              <w:rPr>
                <w:b/>
                <w:sz w:val="24"/>
              </w:rPr>
            </w:pPr>
            <w:r>
              <w:rPr>
                <w:b/>
                <w:sz w:val="24"/>
              </w:rPr>
              <w:t>5.14</w:t>
            </w:r>
          </w:p>
        </w:tc>
      </w:tr>
    </w:tbl>
    <w:p w:rsidR="007C5447" w:rsidRDefault="007C5447">
      <w:pPr>
        <w:pStyle w:val="BodyText"/>
        <w:spacing w:before="9"/>
        <w:rPr>
          <w:b/>
          <w:sz w:val="20"/>
        </w:rPr>
      </w:pPr>
    </w:p>
    <w:p w:rsidR="007C5447" w:rsidRDefault="00F6308C">
      <w:pPr>
        <w:pStyle w:val="ListParagraph"/>
        <w:numPr>
          <w:ilvl w:val="0"/>
          <w:numId w:val="30"/>
        </w:numPr>
        <w:tabs>
          <w:tab w:val="left" w:pos="1473"/>
        </w:tabs>
        <w:spacing w:line="312" w:lineRule="auto"/>
        <w:ind w:right="875" w:hanging="360"/>
        <w:jc w:val="both"/>
        <w:rPr>
          <w:sz w:val="24"/>
        </w:rPr>
      </w:pPr>
      <w:r>
        <w:rPr>
          <w:sz w:val="24"/>
        </w:rPr>
        <w:t xml:space="preserve">The weighted average rate of power purchase for meeting peak period energy  has thus been computed as </w:t>
      </w:r>
      <w:r>
        <w:rPr>
          <w:b/>
          <w:sz w:val="24"/>
        </w:rPr>
        <w:t xml:space="preserve">Rs. 5.14/kWh </w:t>
      </w:r>
      <w:r>
        <w:rPr>
          <w:sz w:val="24"/>
        </w:rPr>
        <w:t xml:space="preserve">for FY 2015-16. The average power purchase cost computed for FY 2015-16 as Rs. 4.22/kWh. The weighted average energy charges computed for FY </w:t>
      </w:r>
      <w:r>
        <w:rPr>
          <w:sz w:val="24"/>
        </w:rPr>
        <w:t xml:space="preserve">2015-16 as </w:t>
      </w:r>
      <w:r>
        <w:rPr>
          <w:b/>
          <w:sz w:val="24"/>
        </w:rPr>
        <w:t>Rs. 3.18 /kWh</w:t>
      </w:r>
      <w:r>
        <w:rPr>
          <w:sz w:val="24"/>
        </w:rPr>
        <w:t>. Hence, the price for procurement of additional energy for peak period is definitely higher than 20% of the weighted average energy charges for FY 2015-16. Hence, the Commission has decided to continue the same level of extra charg</w:t>
      </w:r>
      <w:r>
        <w:rPr>
          <w:sz w:val="24"/>
        </w:rPr>
        <w:t>es for peak hour consumption.</w:t>
      </w:r>
    </w:p>
    <w:p w:rsidR="007C5447" w:rsidRDefault="00F6308C">
      <w:pPr>
        <w:pStyle w:val="ListParagraph"/>
        <w:numPr>
          <w:ilvl w:val="2"/>
          <w:numId w:val="33"/>
        </w:numPr>
        <w:tabs>
          <w:tab w:val="left" w:pos="1113"/>
        </w:tabs>
        <w:spacing w:before="118"/>
        <w:ind w:hanging="853"/>
        <w:jc w:val="both"/>
        <w:rPr>
          <w:sz w:val="24"/>
        </w:rPr>
      </w:pPr>
      <w:r>
        <w:rPr>
          <w:sz w:val="24"/>
        </w:rPr>
        <w:t>The</w:t>
      </w:r>
      <w:r>
        <w:rPr>
          <w:spacing w:val="4"/>
          <w:sz w:val="24"/>
        </w:rPr>
        <w:t xml:space="preserve"> </w:t>
      </w:r>
      <w:r>
        <w:rPr>
          <w:sz w:val="24"/>
        </w:rPr>
        <w:t>break-up</w:t>
      </w:r>
      <w:r>
        <w:rPr>
          <w:spacing w:val="6"/>
          <w:sz w:val="24"/>
        </w:rPr>
        <w:t xml:space="preserve"> </w:t>
      </w:r>
      <w:r>
        <w:rPr>
          <w:sz w:val="24"/>
        </w:rPr>
        <w:t>of</w:t>
      </w:r>
      <w:r>
        <w:rPr>
          <w:spacing w:val="6"/>
          <w:sz w:val="24"/>
        </w:rPr>
        <w:t xml:space="preserve"> </w:t>
      </w:r>
      <w:r>
        <w:rPr>
          <w:sz w:val="24"/>
        </w:rPr>
        <w:t>the</w:t>
      </w:r>
      <w:r>
        <w:rPr>
          <w:spacing w:val="6"/>
          <w:sz w:val="24"/>
        </w:rPr>
        <w:t xml:space="preserve"> </w:t>
      </w:r>
      <w:r>
        <w:rPr>
          <w:sz w:val="24"/>
        </w:rPr>
        <w:t>hours</w:t>
      </w:r>
      <w:r>
        <w:rPr>
          <w:spacing w:val="7"/>
          <w:sz w:val="24"/>
        </w:rPr>
        <w:t xml:space="preserve"> </w:t>
      </w:r>
      <w:r>
        <w:rPr>
          <w:sz w:val="24"/>
        </w:rPr>
        <w:t>into</w:t>
      </w:r>
      <w:r>
        <w:rPr>
          <w:spacing w:val="6"/>
          <w:sz w:val="24"/>
        </w:rPr>
        <w:t xml:space="preserve"> </w:t>
      </w:r>
      <w:r>
        <w:rPr>
          <w:sz w:val="24"/>
        </w:rPr>
        <w:t>peak</w:t>
      </w:r>
      <w:r>
        <w:rPr>
          <w:spacing w:val="6"/>
          <w:sz w:val="24"/>
        </w:rPr>
        <w:t xml:space="preserve"> </w:t>
      </w:r>
      <w:r>
        <w:rPr>
          <w:sz w:val="24"/>
        </w:rPr>
        <w:t>period,</w:t>
      </w:r>
      <w:r>
        <w:rPr>
          <w:spacing w:val="6"/>
          <w:sz w:val="24"/>
        </w:rPr>
        <w:t xml:space="preserve"> </w:t>
      </w:r>
      <w:r>
        <w:rPr>
          <w:sz w:val="24"/>
        </w:rPr>
        <w:t>off-peak</w:t>
      </w:r>
      <w:r>
        <w:rPr>
          <w:spacing w:val="6"/>
          <w:sz w:val="24"/>
        </w:rPr>
        <w:t xml:space="preserve"> </w:t>
      </w:r>
      <w:r>
        <w:rPr>
          <w:sz w:val="24"/>
        </w:rPr>
        <w:t>period,</w:t>
      </w:r>
      <w:r>
        <w:rPr>
          <w:spacing w:val="6"/>
          <w:sz w:val="24"/>
        </w:rPr>
        <w:t xml:space="preserve"> </w:t>
      </w:r>
      <w:r>
        <w:rPr>
          <w:sz w:val="24"/>
        </w:rPr>
        <w:t>and</w:t>
      </w:r>
      <w:r>
        <w:rPr>
          <w:spacing w:val="6"/>
          <w:sz w:val="24"/>
        </w:rPr>
        <w:t xml:space="preserve"> </w:t>
      </w:r>
      <w:r>
        <w:rPr>
          <w:sz w:val="24"/>
        </w:rPr>
        <w:t>normal</w:t>
      </w:r>
      <w:r>
        <w:rPr>
          <w:spacing w:val="7"/>
          <w:sz w:val="24"/>
        </w:rPr>
        <w:t xml:space="preserve"> </w:t>
      </w:r>
      <w:r>
        <w:rPr>
          <w:sz w:val="24"/>
        </w:rPr>
        <w:t>period</w:t>
      </w:r>
      <w:r>
        <w:rPr>
          <w:spacing w:val="6"/>
          <w:sz w:val="24"/>
        </w:rPr>
        <w:t xml:space="preserve"> </w:t>
      </w:r>
      <w:r>
        <w:rPr>
          <w:sz w:val="24"/>
        </w:rPr>
        <w:t>is</w:t>
      </w:r>
      <w:r>
        <w:rPr>
          <w:spacing w:val="6"/>
          <w:sz w:val="24"/>
        </w:rPr>
        <w:t xml:space="preserve"> </w:t>
      </w:r>
      <w:r>
        <w:rPr>
          <w:sz w:val="24"/>
        </w:rPr>
        <w:t>as</w:t>
      </w:r>
    </w:p>
    <w:p w:rsidR="007C5447" w:rsidRDefault="007C5447">
      <w:pPr>
        <w:jc w:val="both"/>
        <w:rPr>
          <w:sz w:val="24"/>
        </w:rPr>
        <w:sectPr w:rsidR="007C5447">
          <w:pgSz w:w="11910" w:h="16840"/>
          <w:pgMar w:top="1360" w:right="560" w:bottom="1240" w:left="1180" w:header="0" w:footer="1057" w:gutter="0"/>
          <w:cols w:space="720"/>
        </w:sectPr>
      </w:pPr>
    </w:p>
    <w:p w:rsidR="007C5447" w:rsidRDefault="00F6308C">
      <w:pPr>
        <w:pStyle w:val="BodyText"/>
        <w:spacing w:before="60"/>
        <w:ind w:left="1112"/>
      </w:pPr>
      <w:r>
        <w:lastRenderedPageBreak/>
        <w:t>under:</w:t>
      </w:r>
    </w:p>
    <w:p w:rsidR="007C5447" w:rsidRDefault="007C5447">
      <w:pPr>
        <w:pStyle w:val="BodyText"/>
        <w:rPr>
          <w:sz w:val="28"/>
        </w:rPr>
      </w:pPr>
    </w:p>
    <w:p w:rsidR="007C5447" w:rsidRDefault="00F6308C">
      <w:pPr>
        <w:pStyle w:val="ListParagraph"/>
        <w:numPr>
          <w:ilvl w:val="0"/>
          <w:numId w:val="29"/>
        </w:numPr>
        <w:tabs>
          <w:tab w:val="left" w:pos="1473"/>
        </w:tabs>
        <w:ind w:hanging="361"/>
        <w:rPr>
          <w:sz w:val="24"/>
        </w:rPr>
      </w:pPr>
      <w:r>
        <w:rPr>
          <w:sz w:val="24"/>
        </w:rPr>
        <w:t>Morning Peak hours - 0600 hours to 0900</w:t>
      </w:r>
      <w:r>
        <w:rPr>
          <w:spacing w:val="-5"/>
          <w:sz w:val="24"/>
        </w:rPr>
        <w:t xml:space="preserve"> </w:t>
      </w:r>
      <w:r>
        <w:rPr>
          <w:sz w:val="24"/>
        </w:rPr>
        <w:t>hours</w:t>
      </w:r>
    </w:p>
    <w:p w:rsidR="007C5447" w:rsidRDefault="00F6308C">
      <w:pPr>
        <w:pStyle w:val="ListParagraph"/>
        <w:numPr>
          <w:ilvl w:val="0"/>
          <w:numId w:val="29"/>
        </w:numPr>
        <w:tabs>
          <w:tab w:val="left" w:pos="1473"/>
        </w:tabs>
        <w:spacing w:before="85"/>
        <w:ind w:hanging="361"/>
        <w:rPr>
          <w:sz w:val="24"/>
        </w:rPr>
      </w:pPr>
      <w:r>
        <w:rPr>
          <w:sz w:val="24"/>
        </w:rPr>
        <w:t>Evening Peak hours – 1800 hours to 2100</w:t>
      </w:r>
      <w:r>
        <w:rPr>
          <w:spacing w:val="-5"/>
          <w:sz w:val="24"/>
        </w:rPr>
        <w:t xml:space="preserve"> </w:t>
      </w:r>
      <w:r>
        <w:rPr>
          <w:sz w:val="24"/>
        </w:rPr>
        <w:t>hours</w:t>
      </w:r>
    </w:p>
    <w:p w:rsidR="007C5447" w:rsidRDefault="00F6308C">
      <w:pPr>
        <w:pStyle w:val="ListParagraph"/>
        <w:numPr>
          <w:ilvl w:val="0"/>
          <w:numId w:val="29"/>
        </w:numPr>
        <w:tabs>
          <w:tab w:val="left" w:pos="1473"/>
        </w:tabs>
        <w:spacing w:before="81"/>
        <w:ind w:hanging="361"/>
        <w:rPr>
          <w:sz w:val="24"/>
        </w:rPr>
      </w:pPr>
      <w:r>
        <w:rPr>
          <w:sz w:val="24"/>
        </w:rPr>
        <w:t>Off-peak hours – 2200 hours to 0500 hours</w:t>
      </w:r>
    </w:p>
    <w:p w:rsidR="007C5447" w:rsidRDefault="00F6308C">
      <w:pPr>
        <w:pStyle w:val="ListParagraph"/>
        <w:numPr>
          <w:ilvl w:val="0"/>
          <w:numId w:val="29"/>
        </w:numPr>
        <w:tabs>
          <w:tab w:val="left" w:pos="1473"/>
        </w:tabs>
        <w:spacing w:before="84" w:line="312" w:lineRule="auto"/>
        <w:ind w:right="877"/>
        <w:rPr>
          <w:sz w:val="24"/>
        </w:rPr>
      </w:pPr>
      <w:r>
        <w:rPr>
          <w:sz w:val="24"/>
        </w:rPr>
        <w:t>Normal hours – 0500 to 0600 hours, 2100 to 2200 hours, and 0900 hours to 1800 hours</w:t>
      </w:r>
    </w:p>
    <w:p w:rsidR="007C5447" w:rsidRDefault="00F6308C">
      <w:pPr>
        <w:pStyle w:val="Heading2"/>
        <w:numPr>
          <w:ilvl w:val="2"/>
          <w:numId w:val="33"/>
        </w:numPr>
        <w:tabs>
          <w:tab w:val="left" w:pos="1113"/>
        </w:tabs>
        <w:spacing w:before="120" w:line="312" w:lineRule="auto"/>
        <w:ind w:right="877"/>
        <w:jc w:val="both"/>
      </w:pPr>
      <w:r>
        <w:t>Thus, the Commission approves levy of extra charge of 20% on energy charges for powe</w:t>
      </w:r>
      <w:r>
        <w:t>r consumption during peak hours from 0600 hours to 0900 hours and 1800 hrs to 2100 hrs, and a rebate of 5% on energy charges for power consumption during off-peak hours from 2200 hrs to 0500 hrs for HT IA category</w:t>
      </w:r>
      <w:r>
        <w:rPr>
          <w:spacing w:val="1"/>
        </w:rPr>
        <w:t xml:space="preserve"> </w:t>
      </w:r>
      <w:r>
        <w:t>consumers.</w:t>
      </w:r>
    </w:p>
    <w:p w:rsidR="007C5447" w:rsidRDefault="007C5447">
      <w:pPr>
        <w:pStyle w:val="BodyText"/>
        <w:spacing w:before="10"/>
        <w:rPr>
          <w:b/>
          <w:sz w:val="20"/>
        </w:rPr>
      </w:pPr>
    </w:p>
    <w:p w:rsidR="007C5447" w:rsidRDefault="00F6308C">
      <w:pPr>
        <w:pStyle w:val="ListParagraph"/>
        <w:numPr>
          <w:ilvl w:val="2"/>
          <w:numId w:val="33"/>
        </w:numPr>
        <w:tabs>
          <w:tab w:val="left" w:pos="1113"/>
        </w:tabs>
        <w:spacing w:line="312" w:lineRule="auto"/>
        <w:ind w:right="875"/>
        <w:jc w:val="both"/>
        <w:rPr>
          <w:sz w:val="24"/>
        </w:rPr>
      </w:pPr>
      <w:r>
        <w:rPr>
          <w:sz w:val="24"/>
        </w:rPr>
        <w:t xml:space="preserve">Further, the Tariff Policy stipulates that ToD tariffs should be eventually introduced for all consumers including Residential category consuming above identified consumption levels. However, at present, the available data is not sufficient to even modify </w:t>
      </w:r>
      <w:r>
        <w:rPr>
          <w:sz w:val="24"/>
        </w:rPr>
        <w:t>the existing ToD dispensation, which is applicable for HT IA Industrial category. TANGEDCO is directed to undertake a detailed study of hourly consumption patterns of HT IA category as well as other HT consumer categories, based on ABT metering data, to id</w:t>
      </w:r>
      <w:r>
        <w:rPr>
          <w:sz w:val="24"/>
        </w:rPr>
        <w:t xml:space="preserve">entify which category is contributing how much to the peak consumption, which category can shift its consumption to off-peak hours, seasonal variation in the peak and off-peak consumption levels. Based on this study, TANGEDCO should submit a comprehensive </w:t>
      </w:r>
      <w:r>
        <w:rPr>
          <w:sz w:val="24"/>
        </w:rPr>
        <w:t xml:space="preserve">proposal to modify/upgrade the ToD tariff dispensation, along with its next Tariff Petition. While doing so, TANGEDCO should bear in mind that the objective of the ToD tariff is to facilitate and encourage shift of consumption from peak to off-peak hours, </w:t>
      </w:r>
      <w:r>
        <w:rPr>
          <w:sz w:val="24"/>
        </w:rPr>
        <w:t>as well as to recover the additional power purchase cost incurred during peak</w:t>
      </w:r>
      <w:r>
        <w:rPr>
          <w:spacing w:val="-5"/>
          <w:sz w:val="24"/>
        </w:rPr>
        <w:t xml:space="preserve"> </w:t>
      </w:r>
      <w:r>
        <w:rPr>
          <w:sz w:val="24"/>
        </w:rPr>
        <w:t>hours.</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Heading1"/>
        <w:numPr>
          <w:ilvl w:val="0"/>
          <w:numId w:val="114"/>
        </w:numPr>
        <w:tabs>
          <w:tab w:val="left" w:pos="692"/>
          <w:tab w:val="left" w:pos="693"/>
        </w:tabs>
        <w:ind w:left="692" w:hanging="433"/>
        <w:jc w:val="left"/>
      </w:pPr>
      <w:bookmarkStart w:id="90" w:name="_bookmark90"/>
      <w:bookmarkEnd w:id="90"/>
      <w:r>
        <w:lastRenderedPageBreak/>
        <w:t>TARIFF SCHEDULE</w:t>
      </w:r>
    </w:p>
    <w:p w:rsidR="007C5447" w:rsidRDefault="00F6308C">
      <w:pPr>
        <w:pStyle w:val="BodyText"/>
        <w:spacing w:before="1"/>
        <w:rPr>
          <w:b/>
          <w:sz w:val="16"/>
        </w:rPr>
      </w:pPr>
      <w:r>
        <w:pict>
          <v:line id="_x0000_s1048" style="position:absolute;z-index:-251637760;mso-wrap-distance-left:0;mso-wrap-distance-right:0;mso-position-horizontal-relative:page" from="70.6pt,11.45pt" to="524.85pt,11.45pt" strokeweight=".48pt">
            <w10:wrap type="topAndBottom" anchorx="page"/>
          </v:line>
        </w:pict>
      </w:r>
    </w:p>
    <w:p w:rsidR="007C5447" w:rsidRDefault="007C5447">
      <w:pPr>
        <w:pStyle w:val="BodyText"/>
        <w:spacing w:before="7"/>
        <w:rPr>
          <w:b/>
          <w:sz w:val="10"/>
        </w:rPr>
      </w:pPr>
    </w:p>
    <w:p w:rsidR="007C5447" w:rsidRDefault="00F6308C">
      <w:pPr>
        <w:pStyle w:val="Heading2"/>
        <w:numPr>
          <w:ilvl w:val="1"/>
          <w:numId w:val="114"/>
        </w:numPr>
        <w:tabs>
          <w:tab w:val="left" w:pos="826"/>
          <w:tab w:val="left" w:pos="827"/>
        </w:tabs>
        <w:spacing w:before="90"/>
      </w:pPr>
      <w:bookmarkStart w:id="91" w:name="_bookmark91"/>
      <w:bookmarkEnd w:id="91"/>
      <w:r>
        <w:t>Tariff for High Tension Supply</w:t>
      </w:r>
      <w:r>
        <w:rPr>
          <w:spacing w:val="-6"/>
        </w:rPr>
        <w:t xml:space="preserve"> </w:t>
      </w:r>
      <w:r>
        <w:t>Consumers</w:t>
      </w:r>
    </w:p>
    <w:p w:rsidR="007C5447" w:rsidRDefault="007C5447">
      <w:pPr>
        <w:pStyle w:val="BodyText"/>
        <w:spacing w:before="2"/>
        <w:rPr>
          <w:b/>
          <w:sz w:val="28"/>
        </w:rPr>
      </w:pPr>
    </w:p>
    <w:p w:rsidR="007C5447" w:rsidRDefault="00F6308C">
      <w:pPr>
        <w:pStyle w:val="ListParagraph"/>
        <w:numPr>
          <w:ilvl w:val="2"/>
          <w:numId w:val="114"/>
        </w:numPr>
        <w:tabs>
          <w:tab w:val="left" w:pos="1112"/>
          <w:tab w:val="left" w:pos="1113"/>
        </w:tabs>
        <w:ind w:left="1112" w:hanging="853"/>
        <w:rPr>
          <w:b/>
          <w:sz w:val="24"/>
        </w:rPr>
      </w:pPr>
      <w:r>
        <w:rPr>
          <w:b/>
          <w:sz w:val="24"/>
        </w:rPr>
        <w:t>General Provisions applicable for High Tension</w:t>
      </w:r>
      <w:r>
        <w:rPr>
          <w:b/>
          <w:spacing w:val="-5"/>
          <w:sz w:val="24"/>
        </w:rPr>
        <w:t xml:space="preserve"> </w:t>
      </w:r>
      <w:r>
        <w:rPr>
          <w:b/>
          <w:sz w:val="24"/>
        </w:rPr>
        <w:t>Supply</w:t>
      </w:r>
    </w:p>
    <w:p w:rsidR="007C5447" w:rsidRDefault="007C5447">
      <w:pPr>
        <w:pStyle w:val="BodyText"/>
        <w:rPr>
          <w:b/>
          <w:sz w:val="28"/>
        </w:rPr>
      </w:pPr>
    </w:p>
    <w:p w:rsidR="007C5447" w:rsidRDefault="00F6308C">
      <w:pPr>
        <w:pStyle w:val="ListParagraph"/>
        <w:numPr>
          <w:ilvl w:val="3"/>
          <w:numId w:val="28"/>
        </w:numPr>
        <w:tabs>
          <w:tab w:val="left" w:pos="1226"/>
        </w:tabs>
        <w:spacing w:line="312" w:lineRule="auto"/>
        <w:ind w:right="880"/>
        <w:jc w:val="both"/>
        <w:rPr>
          <w:sz w:val="24"/>
        </w:rPr>
      </w:pPr>
      <w:r>
        <w:rPr>
          <w:b/>
          <w:sz w:val="24"/>
        </w:rPr>
        <w:t xml:space="preserve">Categories of supply: </w:t>
      </w:r>
      <w:r>
        <w:rPr>
          <w:sz w:val="24"/>
        </w:rPr>
        <w:t>The categories of supply are as specified in the Tamil Nadu Electricity Distribution Code and Tamil Nadu Electricity Supply Code. The HT tariff specified for different categories of HT consumers are also applicable to the consumers wh</w:t>
      </w:r>
      <w:r>
        <w:rPr>
          <w:sz w:val="24"/>
        </w:rPr>
        <w:t>o are supplied at EHT level in accordance with above said</w:t>
      </w:r>
      <w:r>
        <w:rPr>
          <w:spacing w:val="-7"/>
          <w:sz w:val="24"/>
        </w:rPr>
        <w:t xml:space="preserve"> </w:t>
      </w:r>
      <w:r>
        <w:rPr>
          <w:sz w:val="24"/>
        </w:rPr>
        <w:t>Codes.</w:t>
      </w:r>
    </w:p>
    <w:p w:rsidR="007C5447" w:rsidRDefault="007C5447">
      <w:pPr>
        <w:pStyle w:val="BodyText"/>
        <w:spacing w:before="10"/>
        <w:rPr>
          <w:sz w:val="20"/>
        </w:rPr>
      </w:pPr>
    </w:p>
    <w:p w:rsidR="007C5447" w:rsidRDefault="00F6308C">
      <w:pPr>
        <w:pStyle w:val="ListParagraph"/>
        <w:numPr>
          <w:ilvl w:val="3"/>
          <w:numId w:val="28"/>
        </w:numPr>
        <w:tabs>
          <w:tab w:val="left" w:pos="1225"/>
          <w:tab w:val="left" w:pos="1226"/>
        </w:tabs>
        <w:ind w:hanging="966"/>
        <w:rPr>
          <w:sz w:val="24"/>
        </w:rPr>
      </w:pPr>
      <w:r>
        <w:rPr>
          <w:sz w:val="24"/>
        </w:rPr>
        <w:t>Harmonics:</w:t>
      </w:r>
    </w:p>
    <w:p w:rsidR="007C5447" w:rsidRDefault="007C5447">
      <w:pPr>
        <w:pStyle w:val="BodyText"/>
        <w:spacing w:before="2"/>
        <w:rPr>
          <w:sz w:val="28"/>
        </w:rPr>
      </w:pPr>
    </w:p>
    <w:p w:rsidR="007C5447" w:rsidRDefault="00F6308C">
      <w:pPr>
        <w:pStyle w:val="ListParagraph"/>
        <w:numPr>
          <w:ilvl w:val="4"/>
          <w:numId w:val="28"/>
        </w:numPr>
        <w:tabs>
          <w:tab w:val="left" w:pos="1521"/>
        </w:tabs>
        <w:spacing w:before="1" w:line="312" w:lineRule="auto"/>
        <w:ind w:right="877"/>
        <w:jc w:val="both"/>
        <w:rPr>
          <w:sz w:val="24"/>
        </w:rPr>
      </w:pPr>
      <w:r>
        <w:rPr>
          <w:sz w:val="24"/>
        </w:rPr>
        <w:t>As specified in the Supply Code, when the consumer fails to provide adequate harmonic filtering equipment to avoid dumping of harmonics into Licensee’s network beyond the permiss</w:t>
      </w:r>
      <w:r>
        <w:rPr>
          <w:sz w:val="24"/>
        </w:rPr>
        <w:t>ible limits as specified by CEA regulations, the consumer is liable to pay compensation at 15% of the respective tariff. The measurement of harmonics shall be done by the Distribution Licensee using standard meters/equipment in the presence of consumers or</w:t>
      </w:r>
      <w:r>
        <w:rPr>
          <w:sz w:val="24"/>
        </w:rPr>
        <w:t xml:space="preserve"> their representatives. This compensation charges is applicable to all HT categories of consumers except HT tariff IV (Lift</w:t>
      </w:r>
      <w:r>
        <w:rPr>
          <w:spacing w:val="3"/>
          <w:sz w:val="24"/>
        </w:rPr>
        <w:t xml:space="preserve"> </w:t>
      </w:r>
      <w:r>
        <w:rPr>
          <w:sz w:val="24"/>
        </w:rPr>
        <w:t>Irrigation).</w:t>
      </w:r>
    </w:p>
    <w:p w:rsidR="007C5447" w:rsidRDefault="00F6308C">
      <w:pPr>
        <w:pStyle w:val="ListParagraph"/>
        <w:numPr>
          <w:ilvl w:val="4"/>
          <w:numId w:val="28"/>
        </w:numPr>
        <w:tabs>
          <w:tab w:val="left" w:pos="1521"/>
        </w:tabs>
        <w:spacing w:before="118" w:line="312" w:lineRule="auto"/>
        <w:ind w:right="878"/>
        <w:jc w:val="both"/>
        <w:rPr>
          <w:sz w:val="24"/>
        </w:rPr>
      </w:pPr>
      <w:r>
        <w:rPr>
          <w:sz w:val="24"/>
        </w:rPr>
        <w:t>It shall not be applicable for all HT consumers connected at 11 kV and 22 kV until the CEA prescribes any standard of h</w:t>
      </w:r>
      <w:r>
        <w:rPr>
          <w:sz w:val="24"/>
        </w:rPr>
        <w:t>armonics for 11 kV/22kV supply line consumers and makes them also obligatory for harmonic</w:t>
      </w:r>
      <w:r>
        <w:rPr>
          <w:spacing w:val="-7"/>
          <w:sz w:val="24"/>
        </w:rPr>
        <w:t xml:space="preserve"> </w:t>
      </w:r>
      <w:r>
        <w:rPr>
          <w:sz w:val="24"/>
        </w:rPr>
        <w:t>controls.</w:t>
      </w:r>
    </w:p>
    <w:p w:rsidR="007C5447" w:rsidRDefault="00F6308C">
      <w:pPr>
        <w:pStyle w:val="ListParagraph"/>
        <w:numPr>
          <w:ilvl w:val="4"/>
          <w:numId w:val="28"/>
        </w:numPr>
        <w:tabs>
          <w:tab w:val="left" w:pos="1521"/>
        </w:tabs>
        <w:spacing w:before="121" w:line="312" w:lineRule="auto"/>
        <w:ind w:right="876"/>
        <w:jc w:val="both"/>
        <w:rPr>
          <w:sz w:val="24"/>
        </w:rPr>
      </w:pPr>
      <w:r>
        <w:rPr>
          <w:sz w:val="24"/>
        </w:rPr>
        <w:t>The TANGEDCO shall give three months’ clear notice to all consumers under the above categories stating that they shall pay 15% compensation charges if the h</w:t>
      </w:r>
      <w:r>
        <w:rPr>
          <w:sz w:val="24"/>
        </w:rPr>
        <w:t>armonics introduced by their load is not within the permissible limits set by CEA. The penal charges shall be due from the date of completion of three months’ notice period unless the harmonics is brought within the permissible limit. As and when the consu</w:t>
      </w:r>
      <w:r>
        <w:rPr>
          <w:sz w:val="24"/>
        </w:rPr>
        <w:t>mer brings down the harmonics within the permissible limit, compensation charges shall be</w:t>
      </w:r>
      <w:r>
        <w:rPr>
          <w:spacing w:val="-2"/>
          <w:sz w:val="24"/>
        </w:rPr>
        <w:t xml:space="preserve"> </w:t>
      </w:r>
      <w:r>
        <w:rPr>
          <w:sz w:val="24"/>
        </w:rPr>
        <w:t>withdrawn.</w:t>
      </w:r>
    </w:p>
    <w:p w:rsidR="007C5447" w:rsidRDefault="007C5447">
      <w:pPr>
        <w:pStyle w:val="BodyText"/>
        <w:spacing w:before="10"/>
        <w:rPr>
          <w:sz w:val="20"/>
        </w:rPr>
      </w:pPr>
    </w:p>
    <w:p w:rsidR="007C5447" w:rsidRDefault="00F6308C">
      <w:pPr>
        <w:pStyle w:val="ListParagraph"/>
        <w:numPr>
          <w:ilvl w:val="3"/>
          <w:numId w:val="28"/>
        </w:numPr>
        <w:tabs>
          <w:tab w:val="left" w:pos="1226"/>
        </w:tabs>
        <w:spacing w:line="312" w:lineRule="auto"/>
        <w:ind w:right="874"/>
        <w:jc w:val="both"/>
        <w:rPr>
          <w:sz w:val="24"/>
        </w:rPr>
      </w:pPr>
      <w:r>
        <w:rPr>
          <w:sz w:val="24"/>
        </w:rPr>
        <w:t>In case of supply under HT Tariff, except for HT tariff-IV and HT tariff- V, supply used for creating facilities for the compliance of Acts/Laws or for th</w:t>
      </w:r>
      <w:r>
        <w:rPr>
          <w:sz w:val="24"/>
        </w:rPr>
        <w:t>e facilities incidental to the main purpose of the establishment of the consumer, such as facilities extended to their employees/students/patients/residents as the case may be,</w:t>
      </w:r>
      <w:r>
        <w:rPr>
          <w:spacing w:val="8"/>
          <w:sz w:val="24"/>
        </w:rPr>
        <w:t xml:space="preserve"> </w:t>
      </w:r>
      <w:r>
        <w:rPr>
          <w:sz w:val="24"/>
        </w:rPr>
        <w:t>within</w:t>
      </w:r>
      <w:r>
        <w:rPr>
          <w:spacing w:val="9"/>
          <w:sz w:val="24"/>
        </w:rPr>
        <w:t xml:space="preserve"> </w:t>
      </w:r>
      <w:r>
        <w:rPr>
          <w:sz w:val="24"/>
        </w:rPr>
        <w:t>the</w:t>
      </w:r>
      <w:r>
        <w:rPr>
          <w:spacing w:val="7"/>
          <w:sz w:val="24"/>
        </w:rPr>
        <w:t xml:space="preserve"> </w:t>
      </w:r>
      <w:r>
        <w:rPr>
          <w:sz w:val="24"/>
        </w:rPr>
        <w:t>premises</w:t>
      </w:r>
      <w:r>
        <w:rPr>
          <w:spacing w:val="10"/>
          <w:sz w:val="24"/>
        </w:rPr>
        <w:t xml:space="preserve"> </w:t>
      </w:r>
      <w:r>
        <w:rPr>
          <w:sz w:val="24"/>
        </w:rPr>
        <w:t>of</w:t>
      </w:r>
      <w:r>
        <w:rPr>
          <w:spacing w:val="8"/>
          <w:sz w:val="24"/>
        </w:rPr>
        <w:t xml:space="preserve"> </w:t>
      </w:r>
      <w:r>
        <w:rPr>
          <w:sz w:val="24"/>
        </w:rPr>
        <w:t>the</w:t>
      </w:r>
      <w:r>
        <w:rPr>
          <w:spacing w:val="8"/>
          <w:sz w:val="24"/>
        </w:rPr>
        <w:t xml:space="preserve"> </w:t>
      </w:r>
      <w:r>
        <w:rPr>
          <w:sz w:val="24"/>
        </w:rPr>
        <w:t>consumer,</w:t>
      </w:r>
      <w:r>
        <w:rPr>
          <w:spacing w:val="7"/>
          <w:sz w:val="24"/>
        </w:rPr>
        <w:t xml:space="preserve"> </w:t>
      </w:r>
      <w:r>
        <w:rPr>
          <w:sz w:val="24"/>
        </w:rPr>
        <w:t>shall</w:t>
      </w:r>
      <w:r>
        <w:rPr>
          <w:spacing w:val="9"/>
          <w:sz w:val="24"/>
        </w:rPr>
        <w:t xml:space="preserve"> </w:t>
      </w:r>
      <w:r>
        <w:rPr>
          <w:sz w:val="24"/>
        </w:rPr>
        <w:t>be</w:t>
      </w:r>
      <w:r>
        <w:rPr>
          <w:spacing w:val="7"/>
          <w:sz w:val="24"/>
        </w:rPr>
        <w:t xml:space="preserve"> </w:t>
      </w:r>
      <w:r>
        <w:rPr>
          <w:sz w:val="24"/>
        </w:rPr>
        <w:t>considered</w:t>
      </w:r>
      <w:r>
        <w:rPr>
          <w:spacing w:val="9"/>
          <w:sz w:val="24"/>
        </w:rPr>
        <w:t xml:space="preserve"> </w:t>
      </w:r>
      <w:r>
        <w:rPr>
          <w:sz w:val="24"/>
        </w:rPr>
        <w:t>to</w:t>
      </w:r>
      <w:r>
        <w:rPr>
          <w:spacing w:val="8"/>
          <w:sz w:val="24"/>
        </w:rPr>
        <w:t xml:space="preserve"> </w:t>
      </w:r>
      <w:r>
        <w:rPr>
          <w:sz w:val="24"/>
        </w:rPr>
        <w:t>be</w:t>
      </w:r>
      <w:r>
        <w:rPr>
          <w:spacing w:val="9"/>
          <w:sz w:val="24"/>
        </w:rPr>
        <w:t xml:space="preserve"> </w:t>
      </w:r>
      <w:r>
        <w:rPr>
          <w:sz w:val="24"/>
        </w:rPr>
        <w:t>bonafide</w:t>
      </w:r>
    </w:p>
    <w:p w:rsidR="007C5447" w:rsidRDefault="007C5447">
      <w:pPr>
        <w:spacing w:line="312" w:lineRule="auto"/>
        <w:jc w:val="both"/>
        <w:rPr>
          <w:sz w:val="24"/>
        </w:rPr>
        <w:sectPr w:rsidR="007C5447">
          <w:footerReference w:type="default" r:id="rId76"/>
          <w:pgSz w:w="11910" w:h="16840"/>
          <w:pgMar w:top="1480" w:right="560" w:bottom="1240" w:left="1180" w:header="0" w:footer="1057" w:gutter="0"/>
          <w:cols w:space="720"/>
        </w:sectPr>
      </w:pPr>
    </w:p>
    <w:p w:rsidR="007C5447" w:rsidRDefault="00F6308C">
      <w:pPr>
        <w:pStyle w:val="BodyText"/>
        <w:spacing w:before="60" w:line="312" w:lineRule="auto"/>
        <w:ind w:left="1225" w:right="876"/>
        <w:jc w:val="both"/>
      </w:pPr>
      <w:r>
        <w:lastRenderedPageBreak/>
        <w:t>purpose, irrespective of whether they are outsourced to a third party or provided by the consumer himself. However, if such facilities are extended to the public, or if part/full p</w:t>
      </w:r>
      <w:r>
        <w:t>remises are leased/rented out to a service provider like food outlets present in food court, which provide service in their own name, the energy consumption to such facilities shall be metered by the licensee separately and only the energy charged under ap</w:t>
      </w:r>
      <w:r>
        <w:t>propriate LT tariff. Such metered energy consumption shall be deducted from the total energy consumption registered in the main meter of the HT/EHT supply for billing.</w:t>
      </w:r>
    </w:p>
    <w:p w:rsidR="007C5447" w:rsidRDefault="007C5447">
      <w:pPr>
        <w:pStyle w:val="BodyText"/>
        <w:spacing w:before="11"/>
        <w:rPr>
          <w:sz w:val="20"/>
        </w:rPr>
      </w:pPr>
    </w:p>
    <w:p w:rsidR="007C5447" w:rsidRDefault="00F6308C">
      <w:pPr>
        <w:pStyle w:val="ListParagraph"/>
        <w:numPr>
          <w:ilvl w:val="3"/>
          <w:numId w:val="28"/>
        </w:numPr>
        <w:tabs>
          <w:tab w:val="left" w:pos="1226"/>
        </w:tabs>
        <w:spacing w:line="312" w:lineRule="auto"/>
        <w:ind w:right="882"/>
        <w:jc w:val="both"/>
        <w:rPr>
          <w:sz w:val="24"/>
        </w:rPr>
      </w:pPr>
      <w:r>
        <w:rPr>
          <w:sz w:val="24"/>
        </w:rPr>
        <w:t>In case of supply under HT Tariff IA, IIA, II B and III, the use of electricity for res</w:t>
      </w:r>
      <w:r>
        <w:rPr>
          <w:sz w:val="24"/>
        </w:rPr>
        <w:t>idential quarters, within the premises, shall be metered separately by the licensee if opted by the consumer and only the energy shall be charged under LT Tariff IC. Such metered consumption shall be deducted from the total consumption registered in the ma</w:t>
      </w:r>
      <w:r>
        <w:rPr>
          <w:sz w:val="24"/>
        </w:rPr>
        <w:t>in meter of the HT/EHT supply for</w:t>
      </w:r>
      <w:r>
        <w:rPr>
          <w:spacing w:val="-8"/>
          <w:sz w:val="24"/>
        </w:rPr>
        <w:t xml:space="preserve"> </w:t>
      </w:r>
      <w:r>
        <w:rPr>
          <w:sz w:val="24"/>
        </w:rPr>
        <w:t>billing.</w:t>
      </w:r>
    </w:p>
    <w:p w:rsidR="007C5447" w:rsidRDefault="007C5447">
      <w:pPr>
        <w:pStyle w:val="BodyText"/>
        <w:spacing w:before="9"/>
        <w:rPr>
          <w:sz w:val="20"/>
        </w:rPr>
      </w:pPr>
    </w:p>
    <w:p w:rsidR="007C5447" w:rsidRDefault="00F6308C">
      <w:pPr>
        <w:pStyle w:val="ListParagraph"/>
        <w:numPr>
          <w:ilvl w:val="3"/>
          <w:numId w:val="28"/>
        </w:numPr>
        <w:tabs>
          <w:tab w:val="left" w:pos="1226"/>
        </w:tabs>
        <w:spacing w:before="1" w:line="312" w:lineRule="auto"/>
        <w:ind w:right="875"/>
        <w:jc w:val="both"/>
        <w:rPr>
          <w:sz w:val="24"/>
        </w:rPr>
      </w:pPr>
      <w:r>
        <w:rPr>
          <w:sz w:val="24"/>
        </w:rPr>
        <w:t>In case of HT supply under IA, IIA, IIB, III, the supply used for any additional construction of building within the consumer’s premises not exceeding 2000 square feet may be allowed from the existing service and</w:t>
      </w:r>
      <w:r>
        <w:rPr>
          <w:sz w:val="24"/>
        </w:rPr>
        <w:t xml:space="preserve"> charged under the existing tariff. The use of electricity for the additional construction beyond 2000 square feet and lavish illumination (as defined under LT tariff VI) shall be metered separately by the licensee and only the energy shall be charged unde</w:t>
      </w:r>
      <w:r>
        <w:rPr>
          <w:sz w:val="24"/>
        </w:rPr>
        <w:t>r LT Tariff VI. Such  metered energy consumption shall be deducted from the total consumption registered in the main meter of the HT/EHT supply for</w:t>
      </w:r>
      <w:r>
        <w:rPr>
          <w:spacing w:val="-10"/>
          <w:sz w:val="24"/>
        </w:rPr>
        <w:t xml:space="preserve"> </w:t>
      </w:r>
      <w:r>
        <w:rPr>
          <w:sz w:val="24"/>
        </w:rPr>
        <w:t>billing.</w:t>
      </w:r>
    </w:p>
    <w:p w:rsidR="007C5447" w:rsidRDefault="007C5447">
      <w:pPr>
        <w:pStyle w:val="BodyText"/>
        <w:spacing w:before="10"/>
        <w:rPr>
          <w:sz w:val="20"/>
        </w:rPr>
      </w:pPr>
    </w:p>
    <w:p w:rsidR="007C5447" w:rsidRDefault="00F6308C">
      <w:pPr>
        <w:pStyle w:val="ListParagraph"/>
        <w:numPr>
          <w:ilvl w:val="3"/>
          <w:numId w:val="28"/>
        </w:numPr>
        <w:tabs>
          <w:tab w:val="left" w:pos="1226"/>
        </w:tabs>
        <w:spacing w:line="312" w:lineRule="auto"/>
        <w:ind w:right="879"/>
        <w:jc w:val="both"/>
        <w:rPr>
          <w:sz w:val="24"/>
        </w:rPr>
      </w:pPr>
      <w:r>
        <w:rPr>
          <w:b/>
          <w:sz w:val="24"/>
        </w:rPr>
        <w:t xml:space="preserve">Low Power Factor Compensation: </w:t>
      </w:r>
      <w:r>
        <w:rPr>
          <w:spacing w:val="-3"/>
          <w:sz w:val="24"/>
        </w:rPr>
        <w:t xml:space="preserve">In </w:t>
      </w:r>
      <w:r>
        <w:rPr>
          <w:sz w:val="24"/>
        </w:rPr>
        <w:t>respect of High Tension service connections the average power fa</w:t>
      </w:r>
      <w:r>
        <w:rPr>
          <w:sz w:val="24"/>
        </w:rPr>
        <w:t>ctor of the consumers installation shall not be less than 0.90. Where the average power factor of High Tension service connection is less than the stipulated limit of 0.90, the following compensation charges will be levied.</w:t>
      </w:r>
    </w:p>
    <w:p w:rsidR="007C5447" w:rsidRDefault="007C5447">
      <w:pPr>
        <w:pStyle w:val="BodyText"/>
        <w:spacing w:before="7" w:after="1"/>
        <w:rPr>
          <w:sz w:val="10"/>
        </w:rPr>
      </w:pPr>
    </w:p>
    <w:tbl>
      <w:tblPr>
        <w:tblW w:w="0" w:type="auto"/>
        <w:tblInd w:w="12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0"/>
        <w:gridCol w:w="5528"/>
      </w:tblGrid>
      <w:tr w:rsidR="007C5447">
        <w:trPr>
          <w:trHeight w:val="297"/>
        </w:trPr>
        <w:tc>
          <w:tcPr>
            <w:tcW w:w="2410" w:type="dxa"/>
            <w:shd w:val="clear" w:color="auto" w:fill="F7C9AC"/>
          </w:tcPr>
          <w:p w:rsidR="007C5447" w:rsidRDefault="00F6308C">
            <w:pPr>
              <w:pStyle w:val="TableParagraph"/>
              <w:ind w:left="566"/>
              <w:jc w:val="left"/>
              <w:rPr>
                <w:b/>
                <w:sz w:val="20"/>
              </w:rPr>
            </w:pPr>
            <w:r>
              <w:rPr>
                <w:b/>
                <w:sz w:val="20"/>
              </w:rPr>
              <w:t>Particulars</w:t>
            </w:r>
          </w:p>
        </w:tc>
        <w:tc>
          <w:tcPr>
            <w:tcW w:w="5528" w:type="dxa"/>
            <w:shd w:val="clear" w:color="auto" w:fill="F7C9AC"/>
          </w:tcPr>
          <w:p w:rsidR="007C5447" w:rsidRDefault="00F6308C">
            <w:pPr>
              <w:pStyle w:val="TableParagraph"/>
              <w:ind w:left="108"/>
              <w:jc w:val="left"/>
              <w:rPr>
                <w:b/>
                <w:sz w:val="20"/>
              </w:rPr>
            </w:pPr>
            <w:r>
              <w:rPr>
                <w:b/>
                <w:sz w:val="20"/>
              </w:rPr>
              <w:t>Dispensation of Power Factor compensation</w:t>
            </w:r>
          </w:p>
        </w:tc>
      </w:tr>
      <w:tr w:rsidR="007C5447">
        <w:trPr>
          <w:trHeight w:val="600"/>
        </w:trPr>
        <w:tc>
          <w:tcPr>
            <w:tcW w:w="2410" w:type="dxa"/>
          </w:tcPr>
          <w:p w:rsidR="007C5447" w:rsidRDefault="00F6308C">
            <w:pPr>
              <w:pStyle w:val="TableParagraph"/>
              <w:spacing w:before="2"/>
              <w:ind w:left="107"/>
              <w:jc w:val="left"/>
              <w:rPr>
                <w:sz w:val="20"/>
              </w:rPr>
            </w:pPr>
            <w:r>
              <w:rPr>
                <w:sz w:val="20"/>
              </w:rPr>
              <w:t>Below 0.90 and up to 0.85</w:t>
            </w:r>
          </w:p>
        </w:tc>
        <w:tc>
          <w:tcPr>
            <w:tcW w:w="5528" w:type="dxa"/>
          </w:tcPr>
          <w:p w:rsidR="007C5447" w:rsidRDefault="00F6308C">
            <w:pPr>
              <w:pStyle w:val="TableParagraph"/>
              <w:spacing w:before="2"/>
              <w:ind w:left="108"/>
              <w:jc w:val="left"/>
              <w:rPr>
                <w:sz w:val="20"/>
              </w:rPr>
            </w:pPr>
            <w:r>
              <w:rPr>
                <w:sz w:val="20"/>
              </w:rPr>
              <w:t>One per cent of the current consumption charges for every</w:t>
            </w:r>
          </w:p>
          <w:p w:rsidR="007C5447" w:rsidRDefault="00F6308C">
            <w:pPr>
              <w:pStyle w:val="TableParagraph"/>
              <w:spacing w:before="68"/>
              <w:ind w:left="108"/>
              <w:jc w:val="left"/>
              <w:rPr>
                <w:sz w:val="20"/>
              </w:rPr>
            </w:pPr>
            <w:r>
              <w:rPr>
                <w:sz w:val="20"/>
              </w:rPr>
              <w:t>reduction of 0.01 in power factor from 0.90</w:t>
            </w:r>
          </w:p>
        </w:tc>
      </w:tr>
      <w:tr w:rsidR="007C5447">
        <w:trPr>
          <w:trHeight w:val="597"/>
        </w:trPr>
        <w:tc>
          <w:tcPr>
            <w:tcW w:w="2410" w:type="dxa"/>
          </w:tcPr>
          <w:p w:rsidR="007C5447" w:rsidRDefault="00F6308C">
            <w:pPr>
              <w:pStyle w:val="TableParagraph"/>
              <w:ind w:left="107"/>
              <w:jc w:val="left"/>
              <w:rPr>
                <w:sz w:val="20"/>
              </w:rPr>
            </w:pPr>
            <w:r>
              <w:rPr>
                <w:sz w:val="20"/>
              </w:rPr>
              <w:t>Below 0.85 to 0.75</w:t>
            </w:r>
          </w:p>
        </w:tc>
        <w:tc>
          <w:tcPr>
            <w:tcW w:w="5528" w:type="dxa"/>
          </w:tcPr>
          <w:p w:rsidR="007C5447" w:rsidRDefault="00F6308C">
            <w:pPr>
              <w:pStyle w:val="TableParagraph"/>
              <w:ind w:left="108"/>
              <w:jc w:val="left"/>
              <w:rPr>
                <w:sz w:val="20"/>
              </w:rPr>
            </w:pPr>
            <w:r>
              <w:rPr>
                <w:sz w:val="20"/>
              </w:rPr>
              <w:t>One and half per cent of the current consumption charges for</w:t>
            </w:r>
          </w:p>
          <w:p w:rsidR="007C5447" w:rsidRDefault="00F6308C">
            <w:pPr>
              <w:pStyle w:val="TableParagraph"/>
              <w:spacing w:before="68"/>
              <w:ind w:left="108"/>
              <w:jc w:val="left"/>
              <w:rPr>
                <w:sz w:val="20"/>
              </w:rPr>
            </w:pPr>
            <w:r>
              <w:rPr>
                <w:sz w:val="20"/>
              </w:rPr>
              <w:t>every reduction of 0.01 in power factor from 0.90</w:t>
            </w:r>
          </w:p>
        </w:tc>
      </w:tr>
      <w:tr w:rsidR="007C5447">
        <w:trPr>
          <w:trHeight w:val="599"/>
        </w:trPr>
        <w:tc>
          <w:tcPr>
            <w:tcW w:w="2410" w:type="dxa"/>
          </w:tcPr>
          <w:p w:rsidR="007C5447" w:rsidRDefault="00F6308C">
            <w:pPr>
              <w:pStyle w:val="TableParagraph"/>
              <w:ind w:left="107"/>
              <w:jc w:val="left"/>
              <w:rPr>
                <w:sz w:val="20"/>
              </w:rPr>
            </w:pPr>
            <w:r>
              <w:rPr>
                <w:sz w:val="20"/>
              </w:rPr>
              <w:t>Below 0.75</w:t>
            </w:r>
          </w:p>
        </w:tc>
        <w:tc>
          <w:tcPr>
            <w:tcW w:w="5528" w:type="dxa"/>
          </w:tcPr>
          <w:p w:rsidR="007C5447" w:rsidRDefault="00F6308C">
            <w:pPr>
              <w:pStyle w:val="TableParagraph"/>
              <w:ind w:left="108"/>
              <w:jc w:val="left"/>
              <w:rPr>
                <w:sz w:val="20"/>
              </w:rPr>
            </w:pPr>
            <w:r>
              <w:rPr>
                <w:sz w:val="20"/>
              </w:rPr>
              <w:t>Two per cent of the current consumption charges for every</w:t>
            </w:r>
          </w:p>
          <w:p w:rsidR="007C5447" w:rsidRDefault="00F6308C">
            <w:pPr>
              <w:pStyle w:val="TableParagraph"/>
              <w:spacing w:before="70"/>
              <w:ind w:left="108"/>
              <w:jc w:val="left"/>
              <w:rPr>
                <w:sz w:val="20"/>
              </w:rPr>
            </w:pPr>
            <w:r>
              <w:rPr>
                <w:sz w:val="20"/>
              </w:rPr>
              <w:t>reduction of 0.01 in power factor from 0.90</w:t>
            </w:r>
          </w:p>
        </w:tc>
      </w:tr>
    </w:tbl>
    <w:p w:rsidR="007C5447" w:rsidRDefault="007C5447">
      <w:pPr>
        <w:pStyle w:val="BodyText"/>
        <w:spacing w:before="9"/>
        <w:rPr>
          <w:sz w:val="20"/>
        </w:rPr>
      </w:pPr>
    </w:p>
    <w:p w:rsidR="007C5447" w:rsidRDefault="00F6308C">
      <w:pPr>
        <w:pStyle w:val="ListParagraph"/>
        <w:numPr>
          <w:ilvl w:val="3"/>
          <w:numId w:val="28"/>
        </w:numPr>
        <w:tabs>
          <w:tab w:val="left" w:pos="1226"/>
        </w:tabs>
        <w:spacing w:line="312" w:lineRule="auto"/>
        <w:ind w:right="877"/>
        <w:jc w:val="both"/>
        <w:rPr>
          <w:sz w:val="24"/>
        </w:rPr>
      </w:pPr>
      <w:r>
        <w:rPr>
          <w:b/>
          <w:sz w:val="24"/>
        </w:rPr>
        <w:t xml:space="preserve">Billable Demand: </w:t>
      </w:r>
      <w:r>
        <w:rPr>
          <w:sz w:val="24"/>
        </w:rPr>
        <w:t>In case of HT Consumers, maximum Demand Charges for any month will be levied on the kVA demand actually recorded in that month or 90%</w:t>
      </w:r>
      <w:r>
        <w:rPr>
          <w:spacing w:val="-9"/>
          <w:sz w:val="24"/>
        </w:rPr>
        <w:t xml:space="preserve"> </w:t>
      </w:r>
      <w:r>
        <w:rPr>
          <w:sz w:val="24"/>
        </w:rPr>
        <w:t>of</w:t>
      </w:r>
    </w:p>
    <w:p w:rsidR="007C5447" w:rsidRDefault="007C5447">
      <w:pPr>
        <w:spacing w:line="312" w:lineRule="auto"/>
        <w:jc w:val="both"/>
        <w:rPr>
          <w:sz w:val="24"/>
        </w:rPr>
        <w:sectPr w:rsidR="007C5447">
          <w:footerReference w:type="default" r:id="rId77"/>
          <w:pgSz w:w="11910" w:h="16840"/>
          <w:pgMar w:top="1360" w:right="560" w:bottom="1240" w:left="1180" w:header="0" w:footer="1057" w:gutter="0"/>
          <w:pgNumType w:start="321"/>
          <w:cols w:space="720"/>
        </w:sectPr>
      </w:pPr>
    </w:p>
    <w:p w:rsidR="007C5447" w:rsidRDefault="00F6308C">
      <w:pPr>
        <w:pStyle w:val="BodyText"/>
        <w:spacing w:before="60"/>
        <w:ind w:left="1225"/>
        <w:jc w:val="both"/>
      </w:pPr>
      <w:r>
        <w:lastRenderedPageBreak/>
        <w:t>the contracted demand, whichever is higher.</w:t>
      </w:r>
    </w:p>
    <w:p w:rsidR="007C5447" w:rsidRDefault="007C5447">
      <w:pPr>
        <w:pStyle w:val="BodyText"/>
        <w:rPr>
          <w:sz w:val="28"/>
        </w:rPr>
      </w:pPr>
    </w:p>
    <w:p w:rsidR="007C5447" w:rsidRDefault="00F6308C">
      <w:pPr>
        <w:pStyle w:val="BodyText"/>
        <w:spacing w:line="312" w:lineRule="auto"/>
        <w:ind w:left="1124" w:right="882"/>
        <w:jc w:val="both"/>
      </w:pPr>
      <w:r>
        <w:t>Provided, that whenever the restriction and control measures are in force, the billable demand in case of two-part tariff for any month will be the actual recorded max</w:t>
      </w:r>
      <w:r>
        <w:t>imum demand or 90% of demand quota, as fixed from time to time through restriction and control measures, whichever is</w:t>
      </w:r>
      <w:r>
        <w:rPr>
          <w:spacing w:val="1"/>
        </w:rPr>
        <w:t xml:space="preserve"> </w:t>
      </w:r>
      <w:r>
        <w:t>higher.</w:t>
      </w:r>
    </w:p>
    <w:p w:rsidR="007C5447" w:rsidRDefault="007C5447">
      <w:pPr>
        <w:pStyle w:val="BodyText"/>
        <w:spacing w:before="10"/>
        <w:rPr>
          <w:sz w:val="20"/>
        </w:rPr>
      </w:pPr>
    </w:p>
    <w:p w:rsidR="007C5447" w:rsidRDefault="00F6308C">
      <w:pPr>
        <w:pStyle w:val="ListParagraph"/>
        <w:numPr>
          <w:ilvl w:val="3"/>
          <w:numId w:val="28"/>
        </w:numPr>
        <w:tabs>
          <w:tab w:val="left" w:pos="1226"/>
        </w:tabs>
        <w:spacing w:before="1" w:line="312" w:lineRule="auto"/>
        <w:ind w:right="881"/>
        <w:jc w:val="both"/>
        <w:rPr>
          <w:sz w:val="24"/>
        </w:rPr>
      </w:pPr>
      <w:r>
        <w:rPr>
          <w:sz w:val="24"/>
        </w:rPr>
        <w:t>In case of all HT consumers, the integration period for arriving at the maximum demand in a month will be fifteen</w:t>
      </w:r>
      <w:r>
        <w:rPr>
          <w:spacing w:val="-3"/>
          <w:sz w:val="24"/>
        </w:rPr>
        <w:t xml:space="preserve"> </w:t>
      </w:r>
      <w:r>
        <w:rPr>
          <w:sz w:val="24"/>
        </w:rPr>
        <w:t>minutes.</w:t>
      </w:r>
    </w:p>
    <w:p w:rsidR="007C5447" w:rsidRDefault="007C5447">
      <w:pPr>
        <w:pStyle w:val="BodyText"/>
        <w:rPr>
          <w:sz w:val="26"/>
        </w:rPr>
      </w:pPr>
    </w:p>
    <w:p w:rsidR="007C5447" w:rsidRDefault="007C5447">
      <w:pPr>
        <w:pStyle w:val="BodyText"/>
        <w:spacing w:before="7"/>
        <w:rPr>
          <w:sz w:val="36"/>
        </w:rPr>
      </w:pPr>
    </w:p>
    <w:p w:rsidR="007C5447" w:rsidRDefault="00F6308C">
      <w:pPr>
        <w:pStyle w:val="Heading2"/>
        <w:numPr>
          <w:ilvl w:val="2"/>
          <w:numId w:val="114"/>
        </w:numPr>
        <w:tabs>
          <w:tab w:val="left" w:pos="1112"/>
          <w:tab w:val="left" w:pos="1113"/>
        </w:tabs>
        <w:ind w:left="1112" w:hanging="853"/>
      </w:pPr>
      <w:r>
        <w:t>High</w:t>
      </w:r>
      <w:r>
        <w:t xml:space="preserve"> Tension Tariff I A:</w:t>
      </w:r>
    </w:p>
    <w:p w:rsidR="007C5447" w:rsidRDefault="007C5447">
      <w:pPr>
        <w:pStyle w:val="BodyText"/>
        <w:spacing w:before="1"/>
        <w:rPr>
          <w:b/>
          <w:sz w:val="28"/>
        </w:rPr>
      </w:pPr>
    </w:p>
    <w:tbl>
      <w:tblPr>
        <w:tblW w:w="0" w:type="auto"/>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5"/>
        <w:gridCol w:w="1849"/>
        <w:gridCol w:w="2413"/>
      </w:tblGrid>
      <w:tr w:rsidR="007C5447">
        <w:trPr>
          <w:trHeight w:val="306"/>
        </w:trPr>
        <w:tc>
          <w:tcPr>
            <w:tcW w:w="2545" w:type="dxa"/>
            <w:vMerge w:val="restart"/>
            <w:shd w:val="clear" w:color="auto" w:fill="F7C9AC"/>
          </w:tcPr>
          <w:p w:rsidR="007C5447" w:rsidRDefault="00F6308C">
            <w:pPr>
              <w:pStyle w:val="TableParagraph"/>
              <w:spacing w:before="2"/>
              <w:ind w:left="105"/>
              <w:jc w:val="left"/>
              <w:rPr>
                <w:b/>
                <w:sz w:val="20"/>
              </w:rPr>
            </w:pPr>
            <w:r>
              <w:rPr>
                <w:b/>
                <w:sz w:val="20"/>
              </w:rPr>
              <w:t>Tariff category</w:t>
            </w:r>
          </w:p>
        </w:tc>
        <w:tc>
          <w:tcPr>
            <w:tcW w:w="4262" w:type="dxa"/>
            <w:gridSpan w:val="2"/>
            <w:shd w:val="clear" w:color="auto" w:fill="F7C9AC"/>
          </w:tcPr>
          <w:p w:rsidR="007C5447" w:rsidRDefault="00F6308C">
            <w:pPr>
              <w:pStyle w:val="TableParagraph"/>
              <w:spacing w:before="2"/>
              <w:ind w:left="789"/>
              <w:jc w:val="left"/>
              <w:rPr>
                <w:b/>
                <w:sz w:val="20"/>
              </w:rPr>
            </w:pPr>
            <w:r>
              <w:rPr>
                <w:b/>
                <w:sz w:val="20"/>
              </w:rPr>
              <w:t>Commission Determined Tariff</w:t>
            </w:r>
          </w:p>
        </w:tc>
      </w:tr>
      <w:tr w:rsidR="007C5447">
        <w:trPr>
          <w:trHeight w:val="597"/>
        </w:trPr>
        <w:tc>
          <w:tcPr>
            <w:tcW w:w="2545" w:type="dxa"/>
            <w:vMerge/>
            <w:tcBorders>
              <w:top w:val="nil"/>
            </w:tcBorders>
            <w:shd w:val="clear" w:color="auto" w:fill="F7C9AC"/>
          </w:tcPr>
          <w:p w:rsidR="007C5447" w:rsidRDefault="007C5447">
            <w:pPr>
              <w:rPr>
                <w:sz w:val="2"/>
                <w:szCs w:val="2"/>
              </w:rPr>
            </w:pPr>
          </w:p>
        </w:tc>
        <w:tc>
          <w:tcPr>
            <w:tcW w:w="1849" w:type="dxa"/>
            <w:shd w:val="clear" w:color="auto" w:fill="F7C9AC"/>
          </w:tcPr>
          <w:p w:rsidR="007C5447" w:rsidRDefault="00F6308C">
            <w:pPr>
              <w:pStyle w:val="TableParagraph"/>
              <w:ind w:left="220"/>
              <w:jc w:val="left"/>
              <w:rPr>
                <w:b/>
                <w:sz w:val="20"/>
              </w:rPr>
            </w:pPr>
            <w:r>
              <w:rPr>
                <w:b/>
                <w:sz w:val="20"/>
              </w:rPr>
              <w:t>Demand Charge</w:t>
            </w:r>
          </w:p>
          <w:p w:rsidR="007C5447" w:rsidRDefault="00F6308C">
            <w:pPr>
              <w:pStyle w:val="TableParagraph"/>
              <w:spacing w:before="68"/>
              <w:ind w:left="145"/>
              <w:jc w:val="left"/>
              <w:rPr>
                <w:b/>
                <w:sz w:val="20"/>
              </w:rPr>
            </w:pPr>
            <w:r>
              <w:rPr>
                <w:b/>
                <w:sz w:val="20"/>
              </w:rPr>
              <w:t>in Rs/kVA/ month</w:t>
            </w:r>
          </w:p>
        </w:tc>
        <w:tc>
          <w:tcPr>
            <w:tcW w:w="2413" w:type="dxa"/>
            <w:shd w:val="clear" w:color="auto" w:fill="F7C9AC"/>
          </w:tcPr>
          <w:p w:rsidR="007C5447" w:rsidRDefault="00F6308C">
            <w:pPr>
              <w:pStyle w:val="TableParagraph"/>
              <w:ind w:left="164" w:right="163"/>
              <w:jc w:val="center"/>
              <w:rPr>
                <w:b/>
                <w:sz w:val="20"/>
              </w:rPr>
            </w:pPr>
            <w:r>
              <w:rPr>
                <w:b/>
                <w:sz w:val="20"/>
              </w:rPr>
              <w:t>Energy charge</w:t>
            </w:r>
          </w:p>
          <w:p w:rsidR="007C5447" w:rsidRDefault="00F6308C">
            <w:pPr>
              <w:pStyle w:val="TableParagraph"/>
              <w:spacing w:before="68"/>
              <w:ind w:left="164" w:right="164"/>
              <w:jc w:val="center"/>
              <w:rPr>
                <w:b/>
                <w:sz w:val="20"/>
              </w:rPr>
            </w:pPr>
            <w:r>
              <w:rPr>
                <w:b/>
                <w:sz w:val="20"/>
              </w:rPr>
              <w:t>in Paise per kWh (Unit)</w:t>
            </w:r>
          </w:p>
        </w:tc>
      </w:tr>
      <w:tr w:rsidR="007C5447">
        <w:trPr>
          <w:trHeight w:val="345"/>
        </w:trPr>
        <w:tc>
          <w:tcPr>
            <w:tcW w:w="2545" w:type="dxa"/>
          </w:tcPr>
          <w:p w:rsidR="007C5447" w:rsidRDefault="00F6308C">
            <w:pPr>
              <w:pStyle w:val="TableParagraph"/>
              <w:ind w:left="105"/>
              <w:jc w:val="left"/>
              <w:rPr>
                <w:sz w:val="20"/>
              </w:rPr>
            </w:pPr>
            <w:r>
              <w:rPr>
                <w:sz w:val="20"/>
              </w:rPr>
              <w:t>High Tension Tariff I A</w:t>
            </w:r>
          </w:p>
        </w:tc>
        <w:tc>
          <w:tcPr>
            <w:tcW w:w="1849" w:type="dxa"/>
          </w:tcPr>
          <w:p w:rsidR="007C5447" w:rsidRDefault="00F6308C">
            <w:pPr>
              <w:pStyle w:val="TableParagraph"/>
              <w:ind w:left="753" w:right="746"/>
              <w:jc w:val="center"/>
              <w:rPr>
                <w:sz w:val="20"/>
              </w:rPr>
            </w:pPr>
            <w:r>
              <w:rPr>
                <w:sz w:val="20"/>
              </w:rPr>
              <w:t>350</w:t>
            </w:r>
          </w:p>
        </w:tc>
        <w:tc>
          <w:tcPr>
            <w:tcW w:w="2413" w:type="dxa"/>
          </w:tcPr>
          <w:p w:rsidR="007C5447" w:rsidRDefault="00F6308C">
            <w:pPr>
              <w:pStyle w:val="TableParagraph"/>
              <w:ind w:left="164" w:right="160"/>
              <w:jc w:val="center"/>
              <w:rPr>
                <w:sz w:val="20"/>
              </w:rPr>
            </w:pPr>
            <w:r>
              <w:rPr>
                <w:sz w:val="20"/>
              </w:rPr>
              <w:t>635</w:t>
            </w:r>
          </w:p>
        </w:tc>
      </w:tr>
    </w:tbl>
    <w:p w:rsidR="007C5447" w:rsidRDefault="007C5447">
      <w:pPr>
        <w:pStyle w:val="BodyText"/>
        <w:rPr>
          <w:b/>
          <w:sz w:val="26"/>
        </w:rPr>
      </w:pPr>
    </w:p>
    <w:p w:rsidR="007C5447" w:rsidRDefault="007C5447">
      <w:pPr>
        <w:pStyle w:val="BodyText"/>
        <w:spacing w:before="11"/>
        <w:rPr>
          <w:b/>
          <w:sz w:val="22"/>
        </w:rPr>
      </w:pPr>
    </w:p>
    <w:p w:rsidR="007C5447" w:rsidRDefault="00F6308C">
      <w:pPr>
        <w:pStyle w:val="ListParagraph"/>
        <w:numPr>
          <w:ilvl w:val="3"/>
          <w:numId w:val="27"/>
        </w:numPr>
        <w:tabs>
          <w:tab w:val="left" w:pos="1225"/>
          <w:tab w:val="left" w:pos="1226"/>
        </w:tabs>
        <w:ind w:hanging="966"/>
        <w:rPr>
          <w:sz w:val="24"/>
        </w:rPr>
      </w:pPr>
      <w:r>
        <w:rPr>
          <w:sz w:val="24"/>
        </w:rPr>
        <w:t>This Tariff is applicable</w:t>
      </w:r>
      <w:r>
        <w:rPr>
          <w:spacing w:val="-2"/>
          <w:sz w:val="24"/>
        </w:rPr>
        <w:t xml:space="preserve"> </w:t>
      </w:r>
      <w:r>
        <w:rPr>
          <w:sz w:val="24"/>
        </w:rPr>
        <w:t>to:</w:t>
      </w:r>
    </w:p>
    <w:p w:rsidR="007C5447" w:rsidRDefault="00F6308C">
      <w:pPr>
        <w:pStyle w:val="ListParagraph"/>
        <w:numPr>
          <w:ilvl w:val="4"/>
          <w:numId w:val="27"/>
        </w:numPr>
        <w:tabs>
          <w:tab w:val="left" w:pos="1821"/>
        </w:tabs>
        <w:spacing w:before="202" w:line="312" w:lineRule="auto"/>
        <w:ind w:right="880" w:hanging="591"/>
        <w:jc w:val="both"/>
        <w:rPr>
          <w:sz w:val="24"/>
        </w:rPr>
      </w:pPr>
      <w:r>
        <w:rPr>
          <w:sz w:val="24"/>
        </w:rPr>
        <w:t>All manufacturing and industrial establishments and registered factories including Tea Estates, Textiles, Fertilizer Plants, Steel Plants, Heavy Water Plants, Chemical plants. However, registered factories such as LPG bottling Units which are of non-manufa</w:t>
      </w:r>
      <w:r>
        <w:rPr>
          <w:sz w:val="24"/>
        </w:rPr>
        <w:t>cturing nature are not to be included in this tariff</w:t>
      </w:r>
      <w:r>
        <w:rPr>
          <w:spacing w:val="-2"/>
          <w:sz w:val="24"/>
        </w:rPr>
        <w:t xml:space="preserve"> </w:t>
      </w:r>
      <w:r>
        <w:rPr>
          <w:sz w:val="24"/>
        </w:rPr>
        <w:t>category.</w:t>
      </w:r>
    </w:p>
    <w:p w:rsidR="007C5447" w:rsidRDefault="00F6308C">
      <w:pPr>
        <w:pStyle w:val="ListParagraph"/>
        <w:numPr>
          <w:ilvl w:val="4"/>
          <w:numId w:val="27"/>
        </w:numPr>
        <w:tabs>
          <w:tab w:val="left" w:pos="1821"/>
        </w:tabs>
        <w:spacing w:before="121" w:line="312" w:lineRule="auto"/>
        <w:ind w:right="879" w:hanging="591"/>
        <w:jc w:val="both"/>
        <w:rPr>
          <w:sz w:val="24"/>
        </w:rPr>
      </w:pPr>
      <w:r>
        <w:rPr>
          <w:sz w:val="24"/>
        </w:rPr>
        <w:t>Common effluent treatment plants, Industrial estate’s water treatment/supply works,</w:t>
      </w:r>
    </w:p>
    <w:p w:rsidR="007C5447" w:rsidRDefault="00F6308C">
      <w:pPr>
        <w:pStyle w:val="ListParagraph"/>
        <w:numPr>
          <w:ilvl w:val="4"/>
          <w:numId w:val="27"/>
        </w:numPr>
        <w:tabs>
          <w:tab w:val="left" w:pos="1821"/>
        </w:tabs>
        <w:spacing w:before="120"/>
        <w:ind w:left="1820"/>
        <w:jc w:val="both"/>
        <w:rPr>
          <w:sz w:val="24"/>
        </w:rPr>
      </w:pPr>
      <w:r>
        <w:rPr>
          <w:sz w:val="24"/>
        </w:rPr>
        <w:t>Cold storage</w:t>
      </w:r>
      <w:r>
        <w:rPr>
          <w:spacing w:val="-2"/>
          <w:sz w:val="24"/>
        </w:rPr>
        <w:t xml:space="preserve"> </w:t>
      </w:r>
      <w:r>
        <w:rPr>
          <w:sz w:val="24"/>
        </w:rPr>
        <w:t>units</w:t>
      </w:r>
    </w:p>
    <w:p w:rsidR="007C5447" w:rsidRDefault="007C5447">
      <w:pPr>
        <w:pStyle w:val="BodyText"/>
        <w:rPr>
          <w:sz w:val="28"/>
        </w:rPr>
      </w:pPr>
    </w:p>
    <w:p w:rsidR="007C5447" w:rsidRDefault="00F6308C">
      <w:pPr>
        <w:pStyle w:val="ListParagraph"/>
        <w:numPr>
          <w:ilvl w:val="3"/>
          <w:numId w:val="27"/>
        </w:numPr>
        <w:tabs>
          <w:tab w:val="left" w:pos="1226"/>
        </w:tabs>
        <w:spacing w:line="312" w:lineRule="auto"/>
        <w:ind w:right="879"/>
        <w:jc w:val="both"/>
        <w:rPr>
          <w:sz w:val="24"/>
        </w:rPr>
      </w:pPr>
      <w:r>
        <w:rPr>
          <w:sz w:val="24"/>
        </w:rPr>
        <w:t>This tariff is also applicable to Information Technology services as defined in the ICT Policy 2008 of Government of Tamil Nadu. The definition is reproduced below:</w:t>
      </w:r>
    </w:p>
    <w:p w:rsidR="007C5447" w:rsidRDefault="007C5447">
      <w:pPr>
        <w:pStyle w:val="BodyText"/>
        <w:rPr>
          <w:sz w:val="21"/>
        </w:rPr>
      </w:pPr>
    </w:p>
    <w:p w:rsidR="007C5447" w:rsidRDefault="00F6308C">
      <w:pPr>
        <w:ind w:left="1844" w:right="882"/>
        <w:jc w:val="both"/>
        <w:rPr>
          <w:i/>
          <w:sz w:val="24"/>
        </w:rPr>
      </w:pPr>
      <w:r>
        <w:rPr>
          <w:i/>
          <w:sz w:val="24"/>
        </w:rPr>
        <w:t xml:space="preserve">“IT services are broadly defined as systems integration, processing services, information </w:t>
      </w:r>
      <w:r>
        <w:rPr>
          <w:i/>
          <w:sz w:val="24"/>
        </w:rPr>
        <w:t>services outsourcing, packaged software support and installation, hardware support and installation.”</w:t>
      </w:r>
    </w:p>
    <w:p w:rsidR="007C5447" w:rsidRDefault="007C5447">
      <w:pPr>
        <w:pStyle w:val="BodyText"/>
        <w:spacing w:before="1"/>
        <w:rPr>
          <w:i/>
          <w:sz w:val="25"/>
        </w:rPr>
      </w:pPr>
    </w:p>
    <w:p w:rsidR="007C5447" w:rsidRDefault="00F6308C">
      <w:pPr>
        <w:pStyle w:val="BodyText"/>
        <w:ind w:left="1225"/>
        <w:jc w:val="both"/>
      </w:pPr>
      <w:r>
        <w:t>Information Technology Services includes:</w:t>
      </w:r>
    </w:p>
    <w:p w:rsidR="007C5447" w:rsidRDefault="00F6308C">
      <w:pPr>
        <w:pStyle w:val="Heading2"/>
        <w:numPr>
          <w:ilvl w:val="0"/>
          <w:numId w:val="26"/>
        </w:numPr>
        <w:tabs>
          <w:tab w:val="left" w:pos="1679"/>
        </w:tabs>
        <w:spacing w:before="202"/>
        <w:jc w:val="both"/>
        <w:rPr>
          <w:b w:val="0"/>
        </w:rPr>
      </w:pPr>
      <w:r>
        <w:t>Systems integration</w:t>
      </w:r>
      <w:r>
        <w:rPr>
          <w:spacing w:val="-1"/>
        </w:rPr>
        <w:t xml:space="preserve"> </w:t>
      </w:r>
      <w:r>
        <w:t>includes</w:t>
      </w:r>
      <w:r>
        <w:rPr>
          <w:b w:val="0"/>
        </w:rPr>
        <w:t>:</w:t>
      </w:r>
    </w:p>
    <w:p w:rsidR="007C5447" w:rsidRDefault="007C5447">
      <w:pPr>
        <w:jc w:val="both"/>
        <w:sectPr w:rsidR="007C5447">
          <w:pgSz w:w="11910" w:h="16840"/>
          <w:pgMar w:top="1360" w:right="560" w:bottom="1240" w:left="1180" w:header="0" w:footer="1057" w:gutter="0"/>
          <w:cols w:space="720"/>
        </w:sectPr>
      </w:pPr>
    </w:p>
    <w:p w:rsidR="007C5447" w:rsidRDefault="00F6308C">
      <w:pPr>
        <w:pStyle w:val="ListParagraph"/>
        <w:numPr>
          <w:ilvl w:val="1"/>
          <w:numId w:val="26"/>
        </w:numPr>
        <w:tabs>
          <w:tab w:val="left" w:pos="2421"/>
        </w:tabs>
        <w:spacing w:before="60"/>
        <w:jc w:val="left"/>
        <w:rPr>
          <w:sz w:val="24"/>
        </w:rPr>
      </w:pPr>
      <w:r>
        <w:rPr>
          <w:sz w:val="24"/>
        </w:rPr>
        <w:lastRenderedPageBreak/>
        <w:t>Network Management</w:t>
      </w:r>
      <w:r>
        <w:rPr>
          <w:spacing w:val="-2"/>
          <w:sz w:val="24"/>
        </w:rPr>
        <w:t xml:space="preserve"> </w:t>
      </w:r>
      <w:r>
        <w:rPr>
          <w:sz w:val="24"/>
        </w:rPr>
        <w:t>Services</w:t>
      </w:r>
    </w:p>
    <w:p w:rsidR="007C5447" w:rsidRDefault="00F6308C">
      <w:pPr>
        <w:pStyle w:val="ListParagraph"/>
        <w:numPr>
          <w:ilvl w:val="1"/>
          <w:numId w:val="26"/>
        </w:numPr>
        <w:tabs>
          <w:tab w:val="left" w:pos="2421"/>
        </w:tabs>
        <w:spacing w:before="202"/>
        <w:ind w:hanging="375"/>
        <w:jc w:val="left"/>
        <w:rPr>
          <w:sz w:val="24"/>
        </w:rPr>
      </w:pPr>
      <w:r>
        <w:rPr>
          <w:sz w:val="24"/>
        </w:rPr>
        <w:t>Applications</w:t>
      </w:r>
      <w:r>
        <w:rPr>
          <w:spacing w:val="1"/>
          <w:sz w:val="24"/>
        </w:rPr>
        <w:t xml:space="preserve"> </w:t>
      </w:r>
      <w:r>
        <w:rPr>
          <w:sz w:val="24"/>
        </w:rPr>
        <w:t>Integration</w:t>
      </w:r>
    </w:p>
    <w:p w:rsidR="007C5447" w:rsidRDefault="00F6308C">
      <w:pPr>
        <w:pStyle w:val="Heading2"/>
        <w:numPr>
          <w:ilvl w:val="0"/>
          <w:numId w:val="26"/>
        </w:numPr>
        <w:tabs>
          <w:tab w:val="left" w:pos="1679"/>
        </w:tabs>
        <w:spacing w:before="204"/>
      </w:pPr>
      <w:r>
        <w:t>Processing services</w:t>
      </w:r>
      <w:r>
        <w:rPr>
          <w:spacing w:val="-1"/>
        </w:rPr>
        <w:t xml:space="preserve"> </w:t>
      </w:r>
      <w:r>
        <w:t>includes:</w:t>
      </w:r>
    </w:p>
    <w:p w:rsidR="007C5447" w:rsidRDefault="00F6308C">
      <w:pPr>
        <w:pStyle w:val="ListParagraph"/>
        <w:numPr>
          <w:ilvl w:val="1"/>
          <w:numId w:val="26"/>
        </w:numPr>
        <w:tabs>
          <w:tab w:val="left" w:pos="2421"/>
        </w:tabs>
        <w:spacing w:before="202" w:line="312" w:lineRule="auto"/>
        <w:ind w:right="882"/>
        <w:jc w:val="left"/>
        <w:rPr>
          <w:sz w:val="24"/>
        </w:rPr>
      </w:pPr>
      <w:r>
        <w:rPr>
          <w:sz w:val="24"/>
        </w:rPr>
        <w:t>Outsourced Services in Banking, HR, finance, Technology and other areas</w:t>
      </w:r>
    </w:p>
    <w:p w:rsidR="007C5447" w:rsidRDefault="00F6308C">
      <w:pPr>
        <w:pStyle w:val="ListParagraph"/>
        <w:numPr>
          <w:ilvl w:val="1"/>
          <w:numId w:val="26"/>
        </w:numPr>
        <w:tabs>
          <w:tab w:val="left" w:pos="2421"/>
        </w:tabs>
        <w:spacing w:before="120" w:line="312" w:lineRule="auto"/>
        <w:ind w:right="882" w:hanging="375"/>
        <w:jc w:val="left"/>
        <w:rPr>
          <w:sz w:val="24"/>
        </w:rPr>
      </w:pPr>
      <w:r>
        <w:rPr>
          <w:sz w:val="24"/>
        </w:rPr>
        <w:t>Outsourced Back office support or Business transformation and Process Consulting</w:t>
      </w:r>
      <w:r>
        <w:rPr>
          <w:spacing w:val="-4"/>
          <w:sz w:val="24"/>
        </w:rPr>
        <w:t xml:space="preserve"> </w:t>
      </w:r>
      <w:r>
        <w:rPr>
          <w:sz w:val="24"/>
        </w:rPr>
        <w:t>Services.</w:t>
      </w:r>
    </w:p>
    <w:p w:rsidR="007C5447" w:rsidRDefault="00F6308C">
      <w:pPr>
        <w:pStyle w:val="Heading2"/>
        <w:numPr>
          <w:ilvl w:val="0"/>
          <w:numId w:val="26"/>
        </w:numPr>
        <w:tabs>
          <w:tab w:val="left" w:pos="1679"/>
        </w:tabs>
        <w:spacing w:before="120"/>
      </w:pPr>
      <w:r>
        <w:t>Information Services Outsourcing</w:t>
      </w:r>
      <w:r>
        <w:rPr>
          <w:spacing w:val="-1"/>
        </w:rPr>
        <w:t xml:space="preserve"> </w:t>
      </w:r>
      <w:r>
        <w:t>includes:</w:t>
      </w:r>
    </w:p>
    <w:p w:rsidR="007C5447" w:rsidRDefault="00F6308C">
      <w:pPr>
        <w:pStyle w:val="ListParagraph"/>
        <w:numPr>
          <w:ilvl w:val="1"/>
          <w:numId w:val="26"/>
        </w:numPr>
        <w:tabs>
          <w:tab w:val="left" w:pos="2421"/>
        </w:tabs>
        <w:spacing w:before="204"/>
        <w:jc w:val="left"/>
        <w:rPr>
          <w:sz w:val="24"/>
        </w:rPr>
      </w:pPr>
      <w:r>
        <w:rPr>
          <w:sz w:val="24"/>
        </w:rPr>
        <w:t>Outsourced Global Information Support</w:t>
      </w:r>
      <w:r>
        <w:rPr>
          <w:spacing w:val="4"/>
          <w:sz w:val="24"/>
        </w:rPr>
        <w:t xml:space="preserve"> </w:t>
      </w:r>
      <w:r>
        <w:rPr>
          <w:sz w:val="24"/>
        </w:rPr>
        <w:t>Services</w:t>
      </w:r>
    </w:p>
    <w:p w:rsidR="007C5447" w:rsidRDefault="00F6308C">
      <w:pPr>
        <w:pStyle w:val="ListParagraph"/>
        <w:numPr>
          <w:ilvl w:val="1"/>
          <w:numId w:val="26"/>
        </w:numPr>
        <w:tabs>
          <w:tab w:val="left" w:pos="2421"/>
        </w:tabs>
        <w:spacing w:before="202"/>
        <w:ind w:hanging="375"/>
        <w:jc w:val="left"/>
        <w:rPr>
          <w:sz w:val="24"/>
        </w:rPr>
      </w:pPr>
      <w:r>
        <w:rPr>
          <w:sz w:val="24"/>
        </w:rPr>
        <w:t>Knowledge Process</w:t>
      </w:r>
      <w:r>
        <w:rPr>
          <w:spacing w:val="-2"/>
          <w:sz w:val="24"/>
        </w:rPr>
        <w:t xml:space="preserve"> </w:t>
      </w:r>
      <w:r>
        <w:rPr>
          <w:sz w:val="24"/>
        </w:rPr>
        <w:t>Outsourcing</w:t>
      </w:r>
    </w:p>
    <w:p w:rsidR="007C5447" w:rsidRDefault="00F6308C">
      <w:pPr>
        <w:pStyle w:val="ListParagraph"/>
        <w:numPr>
          <w:ilvl w:val="1"/>
          <w:numId w:val="26"/>
        </w:numPr>
        <w:tabs>
          <w:tab w:val="left" w:pos="2421"/>
        </w:tabs>
        <w:spacing w:before="205"/>
        <w:ind w:hanging="440"/>
        <w:jc w:val="left"/>
        <w:rPr>
          <w:sz w:val="24"/>
        </w:rPr>
      </w:pPr>
      <w:r>
        <w:rPr>
          <w:sz w:val="24"/>
        </w:rPr>
        <w:t>Outsourced Global Contact Centre</w:t>
      </w:r>
      <w:r>
        <w:rPr>
          <w:spacing w:val="-3"/>
          <w:sz w:val="24"/>
        </w:rPr>
        <w:t xml:space="preserve"> </w:t>
      </w:r>
      <w:r>
        <w:rPr>
          <w:sz w:val="24"/>
        </w:rPr>
        <w:t>Operations</w:t>
      </w:r>
    </w:p>
    <w:p w:rsidR="007C5447" w:rsidRDefault="00F6308C">
      <w:pPr>
        <w:pStyle w:val="ListParagraph"/>
        <w:numPr>
          <w:ilvl w:val="1"/>
          <w:numId w:val="26"/>
        </w:numPr>
        <w:tabs>
          <w:tab w:val="left" w:pos="2421"/>
        </w:tabs>
        <w:spacing w:before="201"/>
        <w:ind w:hanging="428"/>
        <w:jc w:val="left"/>
        <w:rPr>
          <w:sz w:val="24"/>
        </w:rPr>
      </w:pPr>
      <w:r>
        <w:rPr>
          <w:sz w:val="24"/>
        </w:rPr>
        <w:t>O</w:t>
      </w:r>
      <w:r>
        <w:rPr>
          <w:sz w:val="24"/>
        </w:rPr>
        <w:t>utsourced Process Consulting</w:t>
      </w:r>
      <w:r>
        <w:rPr>
          <w:spacing w:val="-12"/>
          <w:sz w:val="24"/>
        </w:rPr>
        <w:t xml:space="preserve"> </w:t>
      </w:r>
      <w:r>
        <w:rPr>
          <w:sz w:val="24"/>
        </w:rPr>
        <w:t>Services.</w:t>
      </w:r>
    </w:p>
    <w:p w:rsidR="007C5447" w:rsidRDefault="00F6308C">
      <w:pPr>
        <w:pStyle w:val="Heading2"/>
        <w:numPr>
          <w:ilvl w:val="0"/>
          <w:numId w:val="26"/>
        </w:numPr>
        <w:tabs>
          <w:tab w:val="left" w:pos="1679"/>
        </w:tabs>
        <w:spacing w:before="204"/>
      </w:pPr>
      <w:r>
        <w:t>Packaged Software Support and Installation</w:t>
      </w:r>
      <w:r>
        <w:rPr>
          <w:spacing w:val="-14"/>
        </w:rPr>
        <w:t xml:space="preserve"> </w:t>
      </w:r>
      <w:r>
        <w:t>includes:</w:t>
      </w:r>
    </w:p>
    <w:p w:rsidR="007C5447" w:rsidRDefault="00F6308C">
      <w:pPr>
        <w:pStyle w:val="ListParagraph"/>
        <w:numPr>
          <w:ilvl w:val="1"/>
          <w:numId w:val="26"/>
        </w:numPr>
        <w:tabs>
          <w:tab w:val="left" w:pos="2421"/>
        </w:tabs>
        <w:spacing w:before="202"/>
        <w:jc w:val="left"/>
        <w:rPr>
          <w:sz w:val="24"/>
        </w:rPr>
      </w:pPr>
      <w:r>
        <w:rPr>
          <w:sz w:val="24"/>
        </w:rPr>
        <w:t>Software Design and Development, Support and</w:t>
      </w:r>
      <w:r>
        <w:rPr>
          <w:spacing w:val="-3"/>
          <w:sz w:val="24"/>
        </w:rPr>
        <w:t xml:space="preserve"> </w:t>
      </w:r>
      <w:r>
        <w:rPr>
          <w:sz w:val="24"/>
        </w:rPr>
        <w:t>Maintenance</w:t>
      </w:r>
    </w:p>
    <w:p w:rsidR="007C5447" w:rsidRDefault="00F6308C">
      <w:pPr>
        <w:pStyle w:val="ListParagraph"/>
        <w:numPr>
          <w:ilvl w:val="1"/>
          <w:numId w:val="26"/>
        </w:numPr>
        <w:tabs>
          <w:tab w:val="left" w:pos="2421"/>
        </w:tabs>
        <w:spacing w:before="204"/>
        <w:ind w:hanging="375"/>
        <w:jc w:val="left"/>
        <w:rPr>
          <w:sz w:val="24"/>
        </w:rPr>
      </w:pPr>
      <w:r>
        <w:rPr>
          <w:sz w:val="24"/>
        </w:rPr>
        <w:t>Application installation, support and</w:t>
      </w:r>
      <w:r>
        <w:rPr>
          <w:spacing w:val="-1"/>
          <w:sz w:val="24"/>
        </w:rPr>
        <w:t xml:space="preserve"> </w:t>
      </w:r>
      <w:r>
        <w:rPr>
          <w:sz w:val="24"/>
        </w:rPr>
        <w:t>maintenance</w:t>
      </w:r>
    </w:p>
    <w:p w:rsidR="007C5447" w:rsidRDefault="00F6308C">
      <w:pPr>
        <w:pStyle w:val="ListParagraph"/>
        <w:numPr>
          <w:ilvl w:val="1"/>
          <w:numId w:val="26"/>
        </w:numPr>
        <w:tabs>
          <w:tab w:val="left" w:pos="2421"/>
        </w:tabs>
        <w:spacing w:before="201"/>
        <w:ind w:hanging="440"/>
        <w:jc w:val="left"/>
        <w:rPr>
          <w:sz w:val="24"/>
        </w:rPr>
      </w:pPr>
      <w:r>
        <w:rPr>
          <w:sz w:val="24"/>
        </w:rPr>
        <w:t>Application</w:t>
      </w:r>
      <w:r>
        <w:rPr>
          <w:spacing w:val="-1"/>
          <w:sz w:val="24"/>
        </w:rPr>
        <w:t xml:space="preserve"> </w:t>
      </w:r>
      <w:r>
        <w:rPr>
          <w:sz w:val="24"/>
        </w:rPr>
        <w:t>testing.</w:t>
      </w:r>
    </w:p>
    <w:p w:rsidR="007C5447" w:rsidRDefault="00F6308C">
      <w:pPr>
        <w:pStyle w:val="Heading2"/>
        <w:numPr>
          <w:ilvl w:val="0"/>
          <w:numId w:val="26"/>
        </w:numPr>
        <w:tabs>
          <w:tab w:val="left" w:pos="1679"/>
        </w:tabs>
        <w:spacing w:before="205"/>
      </w:pPr>
      <w:r>
        <w:t>Hardware Support and Installation</w:t>
      </w:r>
      <w:r>
        <w:rPr>
          <w:spacing w:val="-4"/>
        </w:rPr>
        <w:t xml:space="preserve"> </w:t>
      </w:r>
      <w:r>
        <w:t>includes:</w:t>
      </w:r>
    </w:p>
    <w:p w:rsidR="007C5447" w:rsidRDefault="00F6308C">
      <w:pPr>
        <w:pStyle w:val="ListParagraph"/>
        <w:numPr>
          <w:ilvl w:val="1"/>
          <w:numId w:val="26"/>
        </w:numPr>
        <w:tabs>
          <w:tab w:val="left" w:pos="2421"/>
        </w:tabs>
        <w:spacing w:before="201"/>
        <w:jc w:val="left"/>
        <w:rPr>
          <w:sz w:val="24"/>
        </w:rPr>
      </w:pPr>
      <w:r>
        <w:rPr>
          <w:sz w:val="24"/>
        </w:rPr>
        <w:t>Technical and network operations support</w:t>
      </w:r>
    </w:p>
    <w:p w:rsidR="007C5447" w:rsidRDefault="00F6308C">
      <w:pPr>
        <w:pStyle w:val="ListParagraph"/>
        <w:numPr>
          <w:ilvl w:val="1"/>
          <w:numId w:val="26"/>
        </w:numPr>
        <w:tabs>
          <w:tab w:val="left" w:pos="2421"/>
        </w:tabs>
        <w:spacing w:before="204"/>
        <w:ind w:hanging="375"/>
        <w:jc w:val="left"/>
        <w:rPr>
          <w:sz w:val="24"/>
        </w:rPr>
      </w:pPr>
      <w:r>
        <w:rPr>
          <w:sz w:val="24"/>
        </w:rPr>
        <w:t>Hardware installation, administration and</w:t>
      </w:r>
      <w:r>
        <w:rPr>
          <w:spacing w:val="-3"/>
          <w:sz w:val="24"/>
        </w:rPr>
        <w:t xml:space="preserve"> </w:t>
      </w:r>
      <w:r>
        <w:rPr>
          <w:sz w:val="24"/>
        </w:rPr>
        <w:t>management</w:t>
      </w:r>
    </w:p>
    <w:p w:rsidR="007C5447" w:rsidRDefault="00F6308C">
      <w:pPr>
        <w:pStyle w:val="ListParagraph"/>
        <w:numPr>
          <w:ilvl w:val="1"/>
          <w:numId w:val="26"/>
        </w:numPr>
        <w:tabs>
          <w:tab w:val="left" w:pos="2421"/>
        </w:tabs>
        <w:spacing w:before="202"/>
        <w:ind w:hanging="440"/>
        <w:jc w:val="left"/>
        <w:rPr>
          <w:sz w:val="24"/>
        </w:rPr>
      </w:pPr>
      <w:r>
        <w:rPr>
          <w:sz w:val="24"/>
        </w:rPr>
        <w:t>Hardware infrastructure maintenance and</w:t>
      </w:r>
      <w:r>
        <w:rPr>
          <w:spacing w:val="-1"/>
          <w:sz w:val="24"/>
        </w:rPr>
        <w:t xml:space="preserve"> </w:t>
      </w:r>
      <w:r>
        <w:rPr>
          <w:sz w:val="24"/>
        </w:rPr>
        <w:t>support</w:t>
      </w:r>
    </w:p>
    <w:p w:rsidR="007C5447" w:rsidRDefault="00F6308C">
      <w:pPr>
        <w:pStyle w:val="ListParagraph"/>
        <w:numPr>
          <w:ilvl w:val="0"/>
          <w:numId w:val="26"/>
        </w:numPr>
        <w:tabs>
          <w:tab w:val="left" w:pos="1679"/>
        </w:tabs>
        <w:spacing w:before="204" w:line="312" w:lineRule="auto"/>
        <w:ind w:left="1820" w:right="878" w:hanging="567"/>
        <w:jc w:val="both"/>
        <w:rPr>
          <w:sz w:val="24"/>
        </w:rPr>
      </w:pPr>
      <w:r>
        <w:rPr>
          <w:sz w:val="24"/>
        </w:rPr>
        <w:t>This tariff is also applicable to Aeronautical services provided by th</w:t>
      </w:r>
      <w:r>
        <w:rPr>
          <w:sz w:val="24"/>
        </w:rPr>
        <w:t>e Airports under Airports Authority of India. The Non-Aeronautical services provided shall be categorised under HT III Commercial / Miscellaneous</w:t>
      </w:r>
      <w:r>
        <w:rPr>
          <w:spacing w:val="-12"/>
          <w:sz w:val="24"/>
        </w:rPr>
        <w:t xml:space="preserve"> </w:t>
      </w:r>
      <w:r>
        <w:rPr>
          <w:sz w:val="24"/>
        </w:rPr>
        <w:t>category.</w:t>
      </w:r>
    </w:p>
    <w:p w:rsidR="007C5447" w:rsidRDefault="00F6308C">
      <w:pPr>
        <w:pStyle w:val="ListParagraph"/>
        <w:numPr>
          <w:ilvl w:val="0"/>
          <w:numId w:val="26"/>
        </w:numPr>
        <w:tabs>
          <w:tab w:val="left" w:pos="1821"/>
        </w:tabs>
        <w:spacing w:before="119" w:line="312" w:lineRule="auto"/>
        <w:ind w:left="1820" w:right="874" w:hanging="567"/>
        <w:jc w:val="both"/>
        <w:rPr>
          <w:sz w:val="24"/>
        </w:rPr>
      </w:pPr>
      <w:r>
        <w:rPr>
          <w:sz w:val="24"/>
        </w:rPr>
        <w:t>This tariff is also applicable to start-up power provided to generators. The generators are eligible</w:t>
      </w:r>
      <w:r>
        <w:rPr>
          <w:sz w:val="24"/>
        </w:rPr>
        <w:t xml:space="preserve"> to get start-up power under this tariff after declaration of CoD. The demand shall be limited to 10% of the highest capacity of the generating unit of the generating station or the percentage auxiliary consumption as specified in the Tariff Regulations, w</w:t>
      </w:r>
      <w:r>
        <w:rPr>
          <w:sz w:val="24"/>
        </w:rPr>
        <w:t>hichever is less. The supply shall be restricted to 42 days in a year. Drawal of power for a day or part thereof shall be accounted as a day for this purpose. Power factor compensation charges are not applicable for start-up</w:t>
      </w:r>
      <w:r>
        <w:rPr>
          <w:spacing w:val="-3"/>
          <w:sz w:val="24"/>
        </w:rPr>
        <w:t xml:space="preserve"> </w:t>
      </w:r>
      <w:r>
        <w:rPr>
          <w:sz w:val="24"/>
        </w:rPr>
        <w:t>power.</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ListParagraph"/>
        <w:numPr>
          <w:ilvl w:val="0"/>
          <w:numId w:val="26"/>
        </w:numPr>
        <w:tabs>
          <w:tab w:val="left" w:pos="1821"/>
        </w:tabs>
        <w:spacing w:before="60" w:line="312" w:lineRule="auto"/>
        <w:ind w:left="1820" w:right="882" w:hanging="567"/>
        <w:jc w:val="both"/>
        <w:rPr>
          <w:sz w:val="24"/>
        </w:rPr>
      </w:pPr>
      <w:r>
        <w:rPr>
          <w:sz w:val="24"/>
        </w:rPr>
        <w:lastRenderedPageBreak/>
        <w:t>The HT</w:t>
      </w:r>
      <w:r>
        <w:rPr>
          <w:sz w:val="24"/>
        </w:rPr>
        <w:t xml:space="preserve"> Industrial consumers (HT IA) shall be billed at 20% extra on the energy charges for the energy recorded during peak hours. The duration of peak hours shall be 6.00 A.M to 9.00 A.M and 6.00 P.M to 9.00</w:t>
      </w:r>
      <w:r>
        <w:rPr>
          <w:spacing w:val="-1"/>
          <w:sz w:val="24"/>
        </w:rPr>
        <w:t xml:space="preserve"> </w:t>
      </w:r>
      <w:r>
        <w:rPr>
          <w:sz w:val="24"/>
        </w:rPr>
        <w:t>P.M.</w:t>
      </w:r>
    </w:p>
    <w:p w:rsidR="007C5447" w:rsidRDefault="00F6308C">
      <w:pPr>
        <w:pStyle w:val="ListParagraph"/>
        <w:numPr>
          <w:ilvl w:val="0"/>
          <w:numId w:val="26"/>
        </w:numPr>
        <w:tabs>
          <w:tab w:val="left" w:pos="1821"/>
        </w:tabs>
        <w:spacing w:before="120" w:line="312" w:lineRule="auto"/>
        <w:ind w:left="1820" w:right="883" w:hanging="567"/>
        <w:jc w:val="both"/>
        <w:rPr>
          <w:sz w:val="24"/>
        </w:rPr>
      </w:pPr>
      <w:r>
        <w:rPr>
          <w:sz w:val="24"/>
        </w:rPr>
        <w:t>The HT Industrial Consumers (HT I A) shall be allowed a reduction of 5% on</w:t>
      </w:r>
      <w:r>
        <w:rPr>
          <w:spacing w:val="41"/>
          <w:sz w:val="24"/>
        </w:rPr>
        <w:t xml:space="preserve"> </w:t>
      </w:r>
      <w:r>
        <w:rPr>
          <w:sz w:val="24"/>
        </w:rPr>
        <w:t>the</w:t>
      </w:r>
      <w:r>
        <w:rPr>
          <w:spacing w:val="42"/>
          <w:sz w:val="24"/>
        </w:rPr>
        <w:t xml:space="preserve"> </w:t>
      </w:r>
      <w:r>
        <w:rPr>
          <w:sz w:val="24"/>
        </w:rPr>
        <w:t>energy</w:t>
      </w:r>
      <w:r>
        <w:rPr>
          <w:spacing w:val="40"/>
          <w:sz w:val="24"/>
        </w:rPr>
        <w:t xml:space="preserve"> </w:t>
      </w:r>
      <w:r>
        <w:rPr>
          <w:sz w:val="24"/>
        </w:rPr>
        <w:t>charges</w:t>
      </w:r>
      <w:r>
        <w:rPr>
          <w:spacing w:val="42"/>
          <w:sz w:val="24"/>
        </w:rPr>
        <w:t xml:space="preserve"> </w:t>
      </w:r>
      <w:r>
        <w:rPr>
          <w:sz w:val="24"/>
        </w:rPr>
        <w:t>for</w:t>
      </w:r>
      <w:r>
        <w:rPr>
          <w:spacing w:val="42"/>
          <w:sz w:val="24"/>
        </w:rPr>
        <w:t xml:space="preserve"> </w:t>
      </w:r>
      <w:r>
        <w:rPr>
          <w:sz w:val="24"/>
        </w:rPr>
        <w:t>the</w:t>
      </w:r>
      <w:r>
        <w:rPr>
          <w:spacing w:val="42"/>
          <w:sz w:val="24"/>
        </w:rPr>
        <w:t xml:space="preserve"> </w:t>
      </w:r>
      <w:r>
        <w:rPr>
          <w:sz w:val="24"/>
        </w:rPr>
        <w:t>consumption</w:t>
      </w:r>
      <w:r>
        <w:rPr>
          <w:spacing w:val="42"/>
          <w:sz w:val="24"/>
        </w:rPr>
        <w:t xml:space="preserve"> </w:t>
      </w:r>
      <w:r>
        <w:rPr>
          <w:sz w:val="24"/>
        </w:rPr>
        <w:t>recorded</w:t>
      </w:r>
      <w:r>
        <w:rPr>
          <w:spacing w:val="41"/>
          <w:sz w:val="24"/>
        </w:rPr>
        <w:t xml:space="preserve"> </w:t>
      </w:r>
      <w:r>
        <w:rPr>
          <w:sz w:val="24"/>
        </w:rPr>
        <w:t>during</w:t>
      </w:r>
      <w:r>
        <w:rPr>
          <w:spacing w:val="40"/>
          <w:sz w:val="24"/>
        </w:rPr>
        <w:t xml:space="preserve"> </w:t>
      </w:r>
      <w:r>
        <w:rPr>
          <w:sz w:val="24"/>
        </w:rPr>
        <w:t>10.00</w:t>
      </w:r>
      <w:r>
        <w:rPr>
          <w:spacing w:val="42"/>
          <w:sz w:val="24"/>
        </w:rPr>
        <w:t xml:space="preserve"> </w:t>
      </w:r>
      <w:r>
        <w:rPr>
          <w:sz w:val="24"/>
        </w:rPr>
        <w:t>P.M</w:t>
      </w:r>
      <w:r>
        <w:rPr>
          <w:spacing w:val="42"/>
          <w:sz w:val="24"/>
        </w:rPr>
        <w:t xml:space="preserve"> </w:t>
      </w:r>
      <w:r>
        <w:rPr>
          <w:sz w:val="24"/>
        </w:rPr>
        <w:t>to</w:t>
      </w:r>
    </w:p>
    <w:p w:rsidR="007C5447" w:rsidRDefault="00F6308C">
      <w:pPr>
        <w:pStyle w:val="BodyText"/>
        <w:ind w:left="1820"/>
        <w:jc w:val="both"/>
      </w:pPr>
      <w:r>
        <w:t>5.00 A.M as an incentive for night consumption.</w:t>
      </w:r>
    </w:p>
    <w:p w:rsidR="007C5447" w:rsidRDefault="007C5447">
      <w:pPr>
        <w:pStyle w:val="BodyText"/>
        <w:rPr>
          <w:sz w:val="26"/>
        </w:rPr>
      </w:pPr>
    </w:p>
    <w:p w:rsidR="007C5447" w:rsidRDefault="007C5447">
      <w:pPr>
        <w:pStyle w:val="BodyText"/>
        <w:rPr>
          <w:sz w:val="26"/>
        </w:rPr>
      </w:pPr>
    </w:p>
    <w:p w:rsidR="007C5447" w:rsidRDefault="00F6308C">
      <w:pPr>
        <w:pStyle w:val="Heading2"/>
        <w:numPr>
          <w:ilvl w:val="2"/>
          <w:numId w:val="114"/>
        </w:numPr>
        <w:tabs>
          <w:tab w:val="left" w:pos="1112"/>
          <w:tab w:val="left" w:pos="1113"/>
        </w:tabs>
        <w:spacing w:before="203"/>
        <w:ind w:left="1112" w:hanging="853"/>
      </w:pPr>
      <w:r>
        <w:t>High Tension Tariff I</w:t>
      </w:r>
      <w:r>
        <w:rPr>
          <w:spacing w:val="-10"/>
        </w:rPr>
        <w:t xml:space="preserve"> </w:t>
      </w:r>
      <w:r>
        <w:t>B:</w:t>
      </w:r>
    </w:p>
    <w:p w:rsidR="007C5447" w:rsidRDefault="007C5447">
      <w:pPr>
        <w:pStyle w:val="BodyText"/>
        <w:spacing w:before="3"/>
        <w:rPr>
          <w:b/>
          <w:sz w:val="28"/>
        </w:rPr>
      </w:pPr>
    </w:p>
    <w:tbl>
      <w:tblPr>
        <w:tblW w:w="0" w:type="auto"/>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5"/>
        <w:gridCol w:w="1849"/>
        <w:gridCol w:w="2413"/>
      </w:tblGrid>
      <w:tr w:rsidR="007C5447">
        <w:trPr>
          <w:trHeight w:val="302"/>
        </w:trPr>
        <w:tc>
          <w:tcPr>
            <w:tcW w:w="2545" w:type="dxa"/>
            <w:vMerge w:val="restart"/>
            <w:shd w:val="clear" w:color="auto" w:fill="F7C9AC"/>
          </w:tcPr>
          <w:p w:rsidR="007C5447" w:rsidRDefault="00F6308C">
            <w:pPr>
              <w:pStyle w:val="TableParagraph"/>
              <w:ind w:left="105"/>
              <w:jc w:val="left"/>
              <w:rPr>
                <w:b/>
                <w:sz w:val="20"/>
              </w:rPr>
            </w:pPr>
            <w:r>
              <w:rPr>
                <w:b/>
                <w:sz w:val="20"/>
              </w:rPr>
              <w:t>Tariff category</w:t>
            </w:r>
          </w:p>
        </w:tc>
        <w:tc>
          <w:tcPr>
            <w:tcW w:w="4262" w:type="dxa"/>
            <w:gridSpan w:val="2"/>
            <w:tcBorders>
              <w:bottom w:val="single" w:sz="6" w:space="0" w:color="000000"/>
            </w:tcBorders>
            <w:shd w:val="clear" w:color="auto" w:fill="F7C9AC"/>
          </w:tcPr>
          <w:p w:rsidR="007C5447" w:rsidRDefault="00F6308C">
            <w:pPr>
              <w:pStyle w:val="TableParagraph"/>
              <w:ind w:left="789"/>
              <w:jc w:val="left"/>
              <w:rPr>
                <w:b/>
                <w:sz w:val="20"/>
              </w:rPr>
            </w:pPr>
            <w:r>
              <w:rPr>
                <w:b/>
                <w:sz w:val="20"/>
              </w:rPr>
              <w:t>Commission Determined Tariff</w:t>
            </w:r>
          </w:p>
        </w:tc>
      </w:tr>
      <w:tr w:rsidR="007C5447">
        <w:trPr>
          <w:trHeight w:val="594"/>
        </w:trPr>
        <w:tc>
          <w:tcPr>
            <w:tcW w:w="2545" w:type="dxa"/>
            <w:vMerge/>
            <w:tcBorders>
              <w:top w:val="nil"/>
            </w:tcBorders>
            <w:shd w:val="clear" w:color="auto" w:fill="F7C9AC"/>
          </w:tcPr>
          <w:p w:rsidR="007C5447" w:rsidRDefault="007C5447">
            <w:pPr>
              <w:rPr>
                <w:sz w:val="2"/>
                <w:szCs w:val="2"/>
              </w:rPr>
            </w:pPr>
          </w:p>
        </w:tc>
        <w:tc>
          <w:tcPr>
            <w:tcW w:w="1849" w:type="dxa"/>
            <w:tcBorders>
              <w:top w:val="single" w:sz="6" w:space="0" w:color="000000"/>
            </w:tcBorders>
            <w:shd w:val="clear" w:color="auto" w:fill="F7C9AC"/>
          </w:tcPr>
          <w:p w:rsidR="007C5447" w:rsidRDefault="00F6308C">
            <w:pPr>
              <w:pStyle w:val="TableParagraph"/>
              <w:spacing w:line="228" w:lineRule="exact"/>
              <w:ind w:left="220"/>
              <w:jc w:val="left"/>
              <w:rPr>
                <w:b/>
                <w:sz w:val="20"/>
              </w:rPr>
            </w:pPr>
            <w:r>
              <w:rPr>
                <w:b/>
                <w:sz w:val="20"/>
              </w:rPr>
              <w:t>Demand Charge</w:t>
            </w:r>
          </w:p>
          <w:p w:rsidR="007C5447" w:rsidRDefault="00F6308C">
            <w:pPr>
              <w:pStyle w:val="TableParagraph"/>
              <w:spacing w:before="70"/>
              <w:ind w:left="145"/>
              <w:jc w:val="left"/>
              <w:rPr>
                <w:b/>
                <w:sz w:val="20"/>
              </w:rPr>
            </w:pPr>
            <w:r>
              <w:rPr>
                <w:b/>
                <w:sz w:val="20"/>
              </w:rPr>
              <w:t>in Rs/kVA/ month</w:t>
            </w:r>
          </w:p>
        </w:tc>
        <w:tc>
          <w:tcPr>
            <w:tcW w:w="2413" w:type="dxa"/>
            <w:tcBorders>
              <w:top w:val="single" w:sz="6" w:space="0" w:color="000000"/>
            </w:tcBorders>
            <w:shd w:val="clear" w:color="auto" w:fill="F7C9AC"/>
          </w:tcPr>
          <w:p w:rsidR="007C5447" w:rsidRDefault="00F6308C">
            <w:pPr>
              <w:pStyle w:val="TableParagraph"/>
              <w:spacing w:line="228" w:lineRule="exact"/>
              <w:ind w:left="164" w:right="164"/>
              <w:jc w:val="center"/>
              <w:rPr>
                <w:b/>
                <w:sz w:val="20"/>
              </w:rPr>
            </w:pPr>
            <w:r>
              <w:rPr>
                <w:b/>
                <w:sz w:val="20"/>
              </w:rPr>
              <w:t>Energy charge</w:t>
            </w:r>
          </w:p>
          <w:p w:rsidR="007C5447" w:rsidRDefault="00F6308C">
            <w:pPr>
              <w:pStyle w:val="TableParagraph"/>
              <w:spacing w:before="70"/>
              <w:ind w:left="164" w:right="164"/>
              <w:jc w:val="center"/>
              <w:rPr>
                <w:b/>
                <w:sz w:val="20"/>
              </w:rPr>
            </w:pPr>
            <w:r>
              <w:rPr>
                <w:b/>
                <w:sz w:val="20"/>
              </w:rPr>
              <w:t>in Paise per kWh (Unit)</w:t>
            </w:r>
          </w:p>
        </w:tc>
      </w:tr>
      <w:tr w:rsidR="007C5447">
        <w:trPr>
          <w:trHeight w:val="347"/>
        </w:trPr>
        <w:tc>
          <w:tcPr>
            <w:tcW w:w="2545" w:type="dxa"/>
          </w:tcPr>
          <w:p w:rsidR="007C5447" w:rsidRDefault="00F6308C">
            <w:pPr>
              <w:pStyle w:val="TableParagraph"/>
              <w:spacing w:before="24"/>
              <w:ind w:left="105"/>
              <w:jc w:val="left"/>
              <w:rPr>
                <w:sz w:val="20"/>
              </w:rPr>
            </w:pPr>
            <w:r>
              <w:rPr>
                <w:sz w:val="20"/>
              </w:rPr>
              <w:t>High Tension Tariff I B</w:t>
            </w:r>
          </w:p>
        </w:tc>
        <w:tc>
          <w:tcPr>
            <w:tcW w:w="1849" w:type="dxa"/>
          </w:tcPr>
          <w:p w:rsidR="007C5447" w:rsidRDefault="00F6308C">
            <w:pPr>
              <w:pStyle w:val="TableParagraph"/>
              <w:spacing w:before="2"/>
              <w:ind w:left="753" w:right="746"/>
              <w:jc w:val="center"/>
              <w:rPr>
                <w:sz w:val="20"/>
              </w:rPr>
            </w:pPr>
            <w:r>
              <w:rPr>
                <w:sz w:val="20"/>
              </w:rPr>
              <w:t>300</w:t>
            </w:r>
          </w:p>
        </w:tc>
        <w:tc>
          <w:tcPr>
            <w:tcW w:w="2413" w:type="dxa"/>
          </w:tcPr>
          <w:p w:rsidR="007C5447" w:rsidRDefault="00F6308C">
            <w:pPr>
              <w:pStyle w:val="TableParagraph"/>
              <w:spacing w:before="2"/>
              <w:ind w:left="164" w:right="160"/>
              <w:jc w:val="center"/>
              <w:rPr>
                <w:sz w:val="20"/>
              </w:rPr>
            </w:pPr>
            <w:r>
              <w:rPr>
                <w:sz w:val="20"/>
              </w:rPr>
              <w:t>635</w:t>
            </w:r>
          </w:p>
        </w:tc>
      </w:tr>
    </w:tbl>
    <w:p w:rsidR="007C5447" w:rsidRDefault="007C5447">
      <w:pPr>
        <w:pStyle w:val="BodyText"/>
        <w:spacing w:before="9"/>
        <w:rPr>
          <w:b/>
          <w:sz w:val="20"/>
        </w:rPr>
      </w:pPr>
    </w:p>
    <w:p w:rsidR="007C5447" w:rsidRDefault="00F6308C">
      <w:pPr>
        <w:pStyle w:val="ListParagraph"/>
        <w:numPr>
          <w:ilvl w:val="3"/>
          <w:numId w:val="25"/>
        </w:numPr>
        <w:tabs>
          <w:tab w:val="left" w:pos="1225"/>
          <w:tab w:val="left" w:pos="1226"/>
        </w:tabs>
        <w:ind w:hanging="966"/>
        <w:rPr>
          <w:sz w:val="24"/>
        </w:rPr>
      </w:pPr>
      <w:r>
        <w:rPr>
          <w:sz w:val="24"/>
        </w:rPr>
        <w:t>This tariff is applicable</w:t>
      </w:r>
      <w:r>
        <w:rPr>
          <w:spacing w:val="-3"/>
          <w:sz w:val="24"/>
        </w:rPr>
        <w:t xml:space="preserve"> </w:t>
      </w:r>
      <w:r>
        <w:rPr>
          <w:sz w:val="24"/>
        </w:rPr>
        <w:t>to:</w:t>
      </w:r>
    </w:p>
    <w:p w:rsidR="007C5447" w:rsidRDefault="00F6308C">
      <w:pPr>
        <w:pStyle w:val="ListParagraph"/>
        <w:numPr>
          <w:ilvl w:val="4"/>
          <w:numId w:val="25"/>
        </w:numPr>
        <w:tabs>
          <w:tab w:val="left" w:pos="1820"/>
          <w:tab w:val="left" w:pos="1821"/>
        </w:tabs>
        <w:spacing w:before="201"/>
        <w:rPr>
          <w:sz w:val="24"/>
        </w:rPr>
      </w:pPr>
      <w:r>
        <w:rPr>
          <w:sz w:val="24"/>
        </w:rPr>
        <w:t>Railway</w:t>
      </w:r>
      <w:r>
        <w:rPr>
          <w:spacing w:val="-6"/>
          <w:sz w:val="24"/>
        </w:rPr>
        <w:t xml:space="preserve"> </w:t>
      </w:r>
      <w:r>
        <w:rPr>
          <w:sz w:val="24"/>
        </w:rPr>
        <w:t>traction</w:t>
      </w:r>
    </w:p>
    <w:p w:rsidR="007C5447" w:rsidRDefault="00F6308C">
      <w:pPr>
        <w:pStyle w:val="ListParagraph"/>
        <w:numPr>
          <w:ilvl w:val="4"/>
          <w:numId w:val="25"/>
        </w:numPr>
        <w:tabs>
          <w:tab w:val="left" w:pos="1821"/>
        </w:tabs>
        <w:spacing w:before="205" w:line="312" w:lineRule="auto"/>
        <w:ind w:right="880"/>
        <w:jc w:val="both"/>
        <w:rPr>
          <w:sz w:val="24"/>
        </w:rPr>
      </w:pPr>
      <w:r>
        <w:rPr>
          <w:sz w:val="24"/>
        </w:rPr>
        <w:t>All the connected loads of CMRL. Other loads like ATM, Kiosks, stalls, hotels, etc. shall be separately metered and charged under miscellaneous category and the above consumption shall be deducted from the main energy consumption metered at the CMRL’s poin</w:t>
      </w:r>
      <w:r>
        <w:rPr>
          <w:sz w:val="24"/>
        </w:rPr>
        <w:t>t of</w:t>
      </w:r>
      <w:r>
        <w:rPr>
          <w:spacing w:val="-3"/>
          <w:sz w:val="24"/>
        </w:rPr>
        <w:t xml:space="preserve"> </w:t>
      </w:r>
      <w:r>
        <w:rPr>
          <w:sz w:val="24"/>
        </w:rPr>
        <w:t>supply.</w:t>
      </w:r>
    </w:p>
    <w:p w:rsidR="007C5447" w:rsidRDefault="007C5447">
      <w:pPr>
        <w:pStyle w:val="BodyText"/>
        <w:rPr>
          <w:sz w:val="26"/>
        </w:rPr>
      </w:pPr>
    </w:p>
    <w:p w:rsidR="007C5447" w:rsidRDefault="007C5447">
      <w:pPr>
        <w:pStyle w:val="BodyText"/>
        <w:rPr>
          <w:sz w:val="26"/>
        </w:rPr>
      </w:pPr>
    </w:p>
    <w:p w:rsidR="007C5447" w:rsidRDefault="00F6308C">
      <w:pPr>
        <w:pStyle w:val="Heading2"/>
        <w:numPr>
          <w:ilvl w:val="2"/>
          <w:numId w:val="114"/>
        </w:numPr>
        <w:tabs>
          <w:tab w:val="left" w:pos="1112"/>
          <w:tab w:val="left" w:pos="1113"/>
        </w:tabs>
        <w:spacing w:before="204"/>
        <w:ind w:left="1112" w:hanging="853"/>
      </w:pPr>
      <w:r>
        <w:t>High Tension Tariff II-A</w:t>
      </w:r>
    </w:p>
    <w:p w:rsidR="007C5447" w:rsidRDefault="007C5447">
      <w:pPr>
        <w:pStyle w:val="BodyText"/>
        <w:spacing w:before="2" w:after="1"/>
        <w:rPr>
          <w:b/>
          <w:sz w:val="28"/>
        </w:rPr>
      </w:pPr>
    </w:p>
    <w:tbl>
      <w:tblPr>
        <w:tblW w:w="0" w:type="auto"/>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5"/>
        <w:gridCol w:w="1849"/>
        <w:gridCol w:w="2413"/>
      </w:tblGrid>
      <w:tr w:rsidR="007C5447">
        <w:trPr>
          <w:trHeight w:val="304"/>
        </w:trPr>
        <w:tc>
          <w:tcPr>
            <w:tcW w:w="2545" w:type="dxa"/>
            <w:vMerge w:val="restart"/>
            <w:shd w:val="clear" w:color="auto" w:fill="F7C9AC"/>
          </w:tcPr>
          <w:p w:rsidR="007C5447" w:rsidRDefault="00F6308C">
            <w:pPr>
              <w:pStyle w:val="TableParagraph"/>
              <w:ind w:left="105"/>
              <w:jc w:val="left"/>
              <w:rPr>
                <w:b/>
                <w:sz w:val="20"/>
              </w:rPr>
            </w:pPr>
            <w:r>
              <w:rPr>
                <w:b/>
                <w:sz w:val="20"/>
              </w:rPr>
              <w:t>Tariff category</w:t>
            </w:r>
          </w:p>
        </w:tc>
        <w:tc>
          <w:tcPr>
            <w:tcW w:w="4262" w:type="dxa"/>
            <w:gridSpan w:val="2"/>
            <w:shd w:val="clear" w:color="auto" w:fill="F7C9AC"/>
          </w:tcPr>
          <w:p w:rsidR="007C5447" w:rsidRDefault="00F6308C">
            <w:pPr>
              <w:pStyle w:val="TableParagraph"/>
              <w:ind w:left="789"/>
              <w:jc w:val="left"/>
              <w:rPr>
                <w:b/>
                <w:sz w:val="20"/>
              </w:rPr>
            </w:pPr>
            <w:r>
              <w:rPr>
                <w:b/>
                <w:sz w:val="20"/>
              </w:rPr>
              <w:t>Commission Determined Tariff</w:t>
            </w:r>
          </w:p>
        </w:tc>
      </w:tr>
      <w:tr w:rsidR="007C5447">
        <w:trPr>
          <w:trHeight w:val="597"/>
        </w:trPr>
        <w:tc>
          <w:tcPr>
            <w:tcW w:w="2545" w:type="dxa"/>
            <w:vMerge/>
            <w:tcBorders>
              <w:top w:val="nil"/>
            </w:tcBorders>
            <w:shd w:val="clear" w:color="auto" w:fill="F7C9AC"/>
          </w:tcPr>
          <w:p w:rsidR="007C5447" w:rsidRDefault="007C5447">
            <w:pPr>
              <w:rPr>
                <w:sz w:val="2"/>
                <w:szCs w:val="2"/>
              </w:rPr>
            </w:pPr>
          </w:p>
        </w:tc>
        <w:tc>
          <w:tcPr>
            <w:tcW w:w="1849" w:type="dxa"/>
            <w:shd w:val="clear" w:color="auto" w:fill="F7C9AC"/>
          </w:tcPr>
          <w:p w:rsidR="007C5447" w:rsidRDefault="00F6308C">
            <w:pPr>
              <w:pStyle w:val="TableParagraph"/>
              <w:ind w:left="220"/>
              <w:jc w:val="left"/>
              <w:rPr>
                <w:b/>
                <w:sz w:val="20"/>
              </w:rPr>
            </w:pPr>
            <w:r>
              <w:rPr>
                <w:b/>
                <w:sz w:val="20"/>
              </w:rPr>
              <w:t>Demand Charge</w:t>
            </w:r>
          </w:p>
          <w:p w:rsidR="007C5447" w:rsidRDefault="00F6308C">
            <w:pPr>
              <w:pStyle w:val="TableParagraph"/>
              <w:spacing w:before="70"/>
              <w:ind w:left="145"/>
              <w:jc w:val="left"/>
              <w:rPr>
                <w:b/>
                <w:sz w:val="20"/>
              </w:rPr>
            </w:pPr>
            <w:r>
              <w:rPr>
                <w:b/>
                <w:sz w:val="20"/>
              </w:rPr>
              <w:t>in Rs/kVA/ month</w:t>
            </w:r>
          </w:p>
        </w:tc>
        <w:tc>
          <w:tcPr>
            <w:tcW w:w="2413" w:type="dxa"/>
            <w:shd w:val="clear" w:color="auto" w:fill="F7C9AC"/>
          </w:tcPr>
          <w:p w:rsidR="007C5447" w:rsidRDefault="00F6308C">
            <w:pPr>
              <w:pStyle w:val="TableParagraph"/>
              <w:ind w:left="164" w:right="164"/>
              <w:jc w:val="center"/>
              <w:rPr>
                <w:b/>
                <w:sz w:val="20"/>
              </w:rPr>
            </w:pPr>
            <w:r>
              <w:rPr>
                <w:b/>
                <w:sz w:val="20"/>
              </w:rPr>
              <w:t>Energy charge</w:t>
            </w:r>
          </w:p>
          <w:p w:rsidR="007C5447" w:rsidRDefault="00F6308C">
            <w:pPr>
              <w:pStyle w:val="TableParagraph"/>
              <w:spacing w:before="70"/>
              <w:ind w:left="164" w:right="164"/>
              <w:jc w:val="center"/>
              <w:rPr>
                <w:b/>
                <w:sz w:val="20"/>
              </w:rPr>
            </w:pPr>
            <w:r>
              <w:rPr>
                <w:b/>
                <w:sz w:val="20"/>
              </w:rPr>
              <w:t>in Paise per kWh (Unit)</w:t>
            </w:r>
          </w:p>
        </w:tc>
      </w:tr>
      <w:tr w:rsidR="007C5447">
        <w:trPr>
          <w:trHeight w:val="347"/>
        </w:trPr>
        <w:tc>
          <w:tcPr>
            <w:tcW w:w="2545" w:type="dxa"/>
          </w:tcPr>
          <w:p w:rsidR="007C5447" w:rsidRDefault="00F6308C">
            <w:pPr>
              <w:pStyle w:val="TableParagraph"/>
              <w:spacing w:before="24"/>
              <w:ind w:left="105"/>
              <w:jc w:val="left"/>
              <w:rPr>
                <w:sz w:val="20"/>
              </w:rPr>
            </w:pPr>
            <w:r>
              <w:rPr>
                <w:sz w:val="20"/>
              </w:rPr>
              <w:t>High Tension Tariff II A</w:t>
            </w:r>
          </w:p>
        </w:tc>
        <w:tc>
          <w:tcPr>
            <w:tcW w:w="1849" w:type="dxa"/>
          </w:tcPr>
          <w:p w:rsidR="007C5447" w:rsidRDefault="00F6308C">
            <w:pPr>
              <w:pStyle w:val="TableParagraph"/>
              <w:spacing w:before="2"/>
              <w:ind w:left="753" w:right="746"/>
              <w:jc w:val="center"/>
              <w:rPr>
                <w:sz w:val="20"/>
              </w:rPr>
            </w:pPr>
            <w:r>
              <w:rPr>
                <w:sz w:val="20"/>
              </w:rPr>
              <w:t>350</w:t>
            </w:r>
          </w:p>
        </w:tc>
        <w:tc>
          <w:tcPr>
            <w:tcW w:w="2413" w:type="dxa"/>
          </w:tcPr>
          <w:p w:rsidR="007C5447" w:rsidRDefault="00F6308C">
            <w:pPr>
              <w:pStyle w:val="TableParagraph"/>
              <w:spacing w:before="2"/>
              <w:ind w:left="164" w:right="160"/>
              <w:jc w:val="center"/>
              <w:rPr>
                <w:sz w:val="20"/>
              </w:rPr>
            </w:pPr>
            <w:r>
              <w:rPr>
                <w:sz w:val="20"/>
              </w:rPr>
              <w:t>635</w:t>
            </w:r>
          </w:p>
        </w:tc>
      </w:tr>
    </w:tbl>
    <w:p w:rsidR="007C5447" w:rsidRDefault="007C5447">
      <w:pPr>
        <w:pStyle w:val="BodyText"/>
        <w:spacing w:before="9"/>
        <w:rPr>
          <w:b/>
          <w:sz w:val="20"/>
        </w:rPr>
      </w:pPr>
    </w:p>
    <w:p w:rsidR="007C5447" w:rsidRDefault="00F6308C">
      <w:pPr>
        <w:pStyle w:val="ListParagraph"/>
        <w:numPr>
          <w:ilvl w:val="3"/>
          <w:numId w:val="24"/>
        </w:numPr>
        <w:tabs>
          <w:tab w:val="left" w:pos="1225"/>
          <w:tab w:val="left" w:pos="1226"/>
        </w:tabs>
        <w:spacing w:line="312" w:lineRule="auto"/>
        <w:ind w:right="880" w:hanging="864"/>
        <w:rPr>
          <w:sz w:val="24"/>
        </w:rPr>
      </w:pPr>
      <w:r>
        <w:tab/>
      </w:r>
      <w:r>
        <w:rPr>
          <w:sz w:val="24"/>
        </w:rPr>
        <w:t>This tariff is applicable for the following services under the control of Central/State Governments /Local Bodies/TWAD Board/CMWSSB:</w:t>
      </w:r>
    </w:p>
    <w:p w:rsidR="007C5447" w:rsidRDefault="007C5447">
      <w:pPr>
        <w:pStyle w:val="BodyText"/>
        <w:spacing w:before="10"/>
        <w:rPr>
          <w:sz w:val="20"/>
        </w:rPr>
      </w:pPr>
    </w:p>
    <w:p w:rsidR="007C5447" w:rsidRDefault="00F6308C">
      <w:pPr>
        <w:pStyle w:val="ListParagraph"/>
        <w:numPr>
          <w:ilvl w:val="4"/>
          <w:numId w:val="24"/>
        </w:numPr>
        <w:tabs>
          <w:tab w:val="left" w:pos="1538"/>
        </w:tabs>
        <w:spacing w:before="1" w:line="312" w:lineRule="auto"/>
        <w:ind w:right="880"/>
        <w:rPr>
          <w:sz w:val="24"/>
        </w:rPr>
      </w:pPr>
      <w:r>
        <w:rPr>
          <w:sz w:val="24"/>
        </w:rPr>
        <w:t>Educational institutions including government aided educational institutions and Hostels.</w:t>
      </w:r>
    </w:p>
    <w:p w:rsidR="007C5447" w:rsidRDefault="007C5447">
      <w:pPr>
        <w:pStyle w:val="BodyText"/>
        <w:spacing w:before="9"/>
        <w:rPr>
          <w:sz w:val="20"/>
        </w:rPr>
      </w:pPr>
    </w:p>
    <w:p w:rsidR="007C5447" w:rsidRDefault="00F6308C">
      <w:pPr>
        <w:pStyle w:val="ListParagraph"/>
        <w:numPr>
          <w:ilvl w:val="4"/>
          <w:numId w:val="24"/>
        </w:numPr>
        <w:tabs>
          <w:tab w:val="left" w:pos="1598"/>
        </w:tabs>
        <w:spacing w:before="1" w:line="312" w:lineRule="auto"/>
        <w:ind w:right="879"/>
        <w:rPr>
          <w:sz w:val="24"/>
        </w:rPr>
      </w:pPr>
      <w:r>
        <w:tab/>
      </w:r>
      <w:r>
        <w:rPr>
          <w:sz w:val="24"/>
        </w:rPr>
        <w:t>Teaching and Training institut</w:t>
      </w:r>
      <w:r>
        <w:rPr>
          <w:sz w:val="24"/>
        </w:rPr>
        <w:t>ions of Ministry of Defence and CRPF establishments,</w:t>
      </w:r>
    </w:p>
    <w:p w:rsidR="007C5447" w:rsidRDefault="007C5447">
      <w:pPr>
        <w:spacing w:line="312" w:lineRule="auto"/>
        <w:rPr>
          <w:sz w:val="24"/>
        </w:rPr>
        <w:sectPr w:rsidR="007C5447">
          <w:pgSz w:w="11910" w:h="16840"/>
          <w:pgMar w:top="1360" w:right="560" w:bottom="1240" w:left="1180" w:header="0" w:footer="1057" w:gutter="0"/>
          <w:cols w:space="720"/>
        </w:sectPr>
      </w:pPr>
    </w:p>
    <w:p w:rsidR="007C5447" w:rsidRDefault="00F6308C">
      <w:pPr>
        <w:pStyle w:val="ListParagraph"/>
        <w:numPr>
          <w:ilvl w:val="4"/>
          <w:numId w:val="24"/>
        </w:numPr>
        <w:tabs>
          <w:tab w:val="left" w:pos="1538"/>
        </w:tabs>
        <w:spacing w:before="60" w:line="312" w:lineRule="auto"/>
        <w:ind w:right="875"/>
        <w:jc w:val="both"/>
        <w:rPr>
          <w:sz w:val="24"/>
        </w:rPr>
      </w:pPr>
      <w:r>
        <w:rPr>
          <w:sz w:val="24"/>
        </w:rPr>
        <w:lastRenderedPageBreak/>
        <w:t>Hospitals, Primary Health Centres and Health Sub-Centres, Veterinary Hospitals, Leprosy Centres and</w:t>
      </w:r>
      <w:r>
        <w:rPr>
          <w:spacing w:val="-4"/>
          <w:sz w:val="24"/>
        </w:rPr>
        <w:t xml:space="preserve"> </w:t>
      </w:r>
      <w:r>
        <w:rPr>
          <w:sz w:val="24"/>
        </w:rPr>
        <w:t>Sub-Centres.</w:t>
      </w:r>
    </w:p>
    <w:p w:rsidR="007C5447" w:rsidRDefault="007C5447">
      <w:pPr>
        <w:pStyle w:val="BodyText"/>
        <w:spacing w:before="11"/>
        <w:rPr>
          <w:sz w:val="20"/>
        </w:rPr>
      </w:pPr>
    </w:p>
    <w:p w:rsidR="007C5447" w:rsidRDefault="00F6308C">
      <w:pPr>
        <w:pStyle w:val="ListParagraph"/>
        <w:numPr>
          <w:ilvl w:val="4"/>
          <w:numId w:val="24"/>
        </w:numPr>
        <w:tabs>
          <w:tab w:val="left" w:pos="1538"/>
        </w:tabs>
        <w:ind w:hanging="361"/>
        <w:rPr>
          <w:sz w:val="24"/>
        </w:rPr>
      </w:pPr>
      <w:r>
        <w:rPr>
          <w:sz w:val="24"/>
        </w:rPr>
        <w:t>Public Water Works and sewerage works and Desalination</w:t>
      </w:r>
      <w:r>
        <w:rPr>
          <w:spacing w:val="-6"/>
          <w:sz w:val="24"/>
        </w:rPr>
        <w:t xml:space="preserve"> </w:t>
      </w:r>
      <w:r>
        <w:rPr>
          <w:sz w:val="24"/>
        </w:rPr>
        <w:t>plants.</w:t>
      </w:r>
    </w:p>
    <w:p w:rsidR="007C5447" w:rsidRDefault="007C5447">
      <w:pPr>
        <w:pStyle w:val="BodyText"/>
        <w:spacing w:before="11"/>
        <w:rPr>
          <w:sz w:val="27"/>
        </w:rPr>
      </w:pPr>
    </w:p>
    <w:p w:rsidR="007C5447" w:rsidRDefault="00F6308C">
      <w:pPr>
        <w:pStyle w:val="ListParagraph"/>
        <w:numPr>
          <w:ilvl w:val="4"/>
          <w:numId w:val="24"/>
        </w:numPr>
        <w:tabs>
          <w:tab w:val="left" w:pos="1538"/>
        </w:tabs>
        <w:ind w:hanging="361"/>
        <w:rPr>
          <w:sz w:val="24"/>
        </w:rPr>
      </w:pPr>
      <w:r>
        <w:rPr>
          <w:sz w:val="24"/>
        </w:rPr>
        <w:t>Central Prisons and other Prisons of the State</w:t>
      </w:r>
      <w:r>
        <w:rPr>
          <w:spacing w:val="-3"/>
          <w:sz w:val="24"/>
        </w:rPr>
        <w:t xml:space="preserve"> </w:t>
      </w:r>
      <w:r>
        <w:rPr>
          <w:sz w:val="24"/>
        </w:rPr>
        <w:t>Government.</w:t>
      </w:r>
    </w:p>
    <w:p w:rsidR="007C5447" w:rsidRDefault="007C5447">
      <w:pPr>
        <w:pStyle w:val="BodyText"/>
        <w:spacing w:before="2"/>
        <w:rPr>
          <w:sz w:val="28"/>
        </w:rPr>
      </w:pPr>
    </w:p>
    <w:p w:rsidR="007C5447" w:rsidRDefault="00F6308C">
      <w:pPr>
        <w:pStyle w:val="ListParagraph"/>
        <w:numPr>
          <w:ilvl w:val="4"/>
          <w:numId w:val="24"/>
        </w:numPr>
        <w:tabs>
          <w:tab w:val="left" w:pos="1538"/>
        </w:tabs>
        <w:ind w:hanging="361"/>
        <w:rPr>
          <w:sz w:val="24"/>
        </w:rPr>
      </w:pPr>
      <w:r>
        <w:rPr>
          <w:sz w:val="24"/>
        </w:rPr>
        <w:t>Public Lighting and Electric</w:t>
      </w:r>
      <w:r>
        <w:rPr>
          <w:spacing w:val="-2"/>
          <w:sz w:val="24"/>
        </w:rPr>
        <w:t xml:space="preserve"> </w:t>
      </w:r>
      <w:r>
        <w:rPr>
          <w:sz w:val="24"/>
        </w:rPr>
        <w:t>crematorium.</w:t>
      </w:r>
    </w:p>
    <w:p w:rsidR="007C5447" w:rsidRDefault="007C5447">
      <w:pPr>
        <w:pStyle w:val="BodyText"/>
        <w:rPr>
          <w:sz w:val="28"/>
        </w:rPr>
      </w:pPr>
    </w:p>
    <w:p w:rsidR="007C5447" w:rsidRDefault="00F6308C">
      <w:pPr>
        <w:pStyle w:val="ListParagraph"/>
        <w:numPr>
          <w:ilvl w:val="4"/>
          <w:numId w:val="24"/>
        </w:numPr>
        <w:tabs>
          <w:tab w:val="left" w:pos="1538"/>
        </w:tabs>
        <w:ind w:hanging="361"/>
        <w:rPr>
          <w:sz w:val="24"/>
        </w:rPr>
      </w:pPr>
      <w:r>
        <w:rPr>
          <w:sz w:val="24"/>
        </w:rPr>
        <w:t>Public Libraries, Art Galleries and Museums.</w:t>
      </w:r>
    </w:p>
    <w:p w:rsidR="007C5447" w:rsidRDefault="007C5447">
      <w:pPr>
        <w:pStyle w:val="BodyText"/>
        <w:spacing w:before="2"/>
        <w:rPr>
          <w:sz w:val="28"/>
        </w:rPr>
      </w:pPr>
    </w:p>
    <w:p w:rsidR="007C5447" w:rsidRDefault="00F6308C">
      <w:pPr>
        <w:pStyle w:val="ListParagraph"/>
        <w:numPr>
          <w:ilvl w:val="4"/>
          <w:numId w:val="24"/>
        </w:numPr>
        <w:tabs>
          <w:tab w:val="left" w:pos="1538"/>
        </w:tabs>
        <w:ind w:hanging="361"/>
        <w:rPr>
          <w:sz w:val="24"/>
        </w:rPr>
      </w:pPr>
      <w:r>
        <w:rPr>
          <w:sz w:val="24"/>
        </w:rPr>
        <w:t>Research Laboratories and</w:t>
      </w:r>
      <w:r>
        <w:rPr>
          <w:spacing w:val="3"/>
          <w:sz w:val="24"/>
        </w:rPr>
        <w:t xml:space="preserve"> </w:t>
      </w:r>
      <w:r>
        <w:rPr>
          <w:sz w:val="24"/>
        </w:rPr>
        <w:t>institutions</w:t>
      </w:r>
    </w:p>
    <w:p w:rsidR="007C5447" w:rsidRDefault="007C5447">
      <w:pPr>
        <w:pStyle w:val="BodyText"/>
        <w:rPr>
          <w:sz w:val="28"/>
        </w:rPr>
      </w:pPr>
    </w:p>
    <w:p w:rsidR="007C5447" w:rsidRDefault="00F6308C">
      <w:pPr>
        <w:pStyle w:val="ListParagraph"/>
        <w:numPr>
          <w:ilvl w:val="4"/>
          <w:numId w:val="24"/>
        </w:numPr>
        <w:tabs>
          <w:tab w:val="left" w:pos="1538"/>
        </w:tabs>
        <w:ind w:hanging="361"/>
        <w:rPr>
          <w:sz w:val="24"/>
        </w:rPr>
      </w:pPr>
      <w:r>
        <w:rPr>
          <w:sz w:val="24"/>
        </w:rPr>
        <w:t>Dai</w:t>
      </w:r>
      <w:r>
        <w:rPr>
          <w:sz w:val="24"/>
        </w:rPr>
        <w:t>ry</w:t>
      </w:r>
      <w:r>
        <w:rPr>
          <w:spacing w:val="-5"/>
          <w:sz w:val="24"/>
        </w:rPr>
        <w:t xml:space="preserve"> </w:t>
      </w:r>
      <w:r>
        <w:rPr>
          <w:sz w:val="24"/>
        </w:rPr>
        <w:t>units</w:t>
      </w:r>
    </w:p>
    <w:p w:rsidR="007C5447" w:rsidRDefault="007C5447">
      <w:pPr>
        <w:pStyle w:val="BodyText"/>
        <w:spacing w:before="2"/>
        <w:rPr>
          <w:sz w:val="28"/>
        </w:rPr>
      </w:pPr>
    </w:p>
    <w:p w:rsidR="007C5447" w:rsidRDefault="00F6308C">
      <w:pPr>
        <w:pStyle w:val="ListParagraph"/>
        <w:numPr>
          <w:ilvl w:val="3"/>
          <w:numId w:val="24"/>
        </w:numPr>
        <w:tabs>
          <w:tab w:val="left" w:pos="1225"/>
          <w:tab w:val="left" w:pos="1226"/>
        </w:tabs>
        <w:ind w:left="1225" w:hanging="966"/>
        <w:rPr>
          <w:sz w:val="24"/>
        </w:rPr>
      </w:pPr>
      <w:r>
        <w:rPr>
          <w:sz w:val="24"/>
        </w:rPr>
        <w:t>This tariff is also applicable to the</w:t>
      </w:r>
      <w:r>
        <w:rPr>
          <w:spacing w:val="-1"/>
          <w:sz w:val="24"/>
        </w:rPr>
        <w:t xml:space="preserve"> </w:t>
      </w:r>
      <w:r>
        <w:rPr>
          <w:sz w:val="24"/>
        </w:rPr>
        <w:t>following</w:t>
      </w:r>
    </w:p>
    <w:p w:rsidR="007C5447" w:rsidRDefault="007C5447">
      <w:pPr>
        <w:pStyle w:val="BodyText"/>
        <w:rPr>
          <w:sz w:val="28"/>
        </w:rPr>
      </w:pPr>
    </w:p>
    <w:p w:rsidR="007C5447" w:rsidRDefault="00F6308C">
      <w:pPr>
        <w:pStyle w:val="ListParagraph"/>
        <w:numPr>
          <w:ilvl w:val="4"/>
          <w:numId w:val="24"/>
        </w:numPr>
        <w:tabs>
          <w:tab w:val="left" w:pos="1538"/>
        </w:tabs>
        <w:spacing w:line="312" w:lineRule="auto"/>
        <w:ind w:right="879"/>
        <w:jc w:val="both"/>
        <w:rPr>
          <w:sz w:val="24"/>
        </w:rPr>
      </w:pPr>
      <w:r>
        <w:rPr>
          <w:sz w:val="24"/>
        </w:rPr>
        <w:t>Residential colonies and Housing complexes, Senior citizen communities, Old Age Homes, Orphanages and its common supply used for common lighting, water supply,</w:t>
      </w:r>
      <w:r>
        <w:rPr>
          <w:spacing w:val="-3"/>
          <w:sz w:val="24"/>
        </w:rPr>
        <w:t xml:space="preserve"> </w:t>
      </w:r>
      <w:r>
        <w:rPr>
          <w:sz w:val="24"/>
        </w:rPr>
        <w:t>lift.</w:t>
      </w:r>
    </w:p>
    <w:p w:rsidR="007C5447" w:rsidRDefault="007C5447">
      <w:pPr>
        <w:pStyle w:val="BodyText"/>
        <w:spacing w:before="11"/>
        <w:rPr>
          <w:sz w:val="20"/>
        </w:rPr>
      </w:pPr>
    </w:p>
    <w:p w:rsidR="007C5447" w:rsidRDefault="00F6308C">
      <w:pPr>
        <w:pStyle w:val="ListParagraph"/>
        <w:numPr>
          <w:ilvl w:val="4"/>
          <w:numId w:val="24"/>
        </w:numPr>
        <w:tabs>
          <w:tab w:val="left" w:pos="1538"/>
        </w:tabs>
        <w:spacing w:line="312" w:lineRule="auto"/>
        <w:ind w:right="879"/>
        <w:jc w:val="both"/>
        <w:rPr>
          <w:sz w:val="24"/>
        </w:rPr>
      </w:pPr>
      <w:r>
        <w:rPr>
          <w:sz w:val="24"/>
        </w:rPr>
        <w:t xml:space="preserve">Hospitals and Rehabilitation Centres, Rehabilitation and Training Centres, Old Age Homes </w:t>
      </w:r>
      <w:r>
        <w:rPr>
          <w:sz w:val="24"/>
        </w:rPr>
        <w:t>and Orphanages run by charitable trusts which offer totally free treatment/services for all categories of patients/inmates on par with Government hospitals and</w:t>
      </w:r>
      <w:r>
        <w:rPr>
          <w:spacing w:val="-1"/>
          <w:sz w:val="24"/>
        </w:rPr>
        <w:t xml:space="preserve"> </w:t>
      </w:r>
      <w:r>
        <w:rPr>
          <w:sz w:val="24"/>
        </w:rPr>
        <w:t>institutions.</w:t>
      </w:r>
    </w:p>
    <w:p w:rsidR="007C5447" w:rsidRDefault="007C5447">
      <w:pPr>
        <w:pStyle w:val="BodyText"/>
        <w:spacing w:before="10"/>
        <w:rPr>
          <w:sz w:val="20"/>
        </w:rPr>
      </w:pPr>
    </w:p>
    <w:p w:rsidR="007C5447" w:rsidRDefault="00F6308C">
      <w:pPr>
        <w:pStyle w:val="ListParagraph"/>
        <w:numPr>
          <w:ilvl w:val="4"/>
          <w:numId w:val="24"/>
        </w:numPr>
        <w:tabs>
          <w:tab w:val="left" w:pos="1538"/>
        </w:tabs>
        <w:spacing w:before="1" w:line="312" w:lineRule="auto"/>
        <w:ind w:right="882"/>
        <w:jc w:val="both"/>
        <w:rPr>
          <w:sz w:val="24"/>
        </w:rPr>
      </w:pPr>
      <w:r>
        <w:rPr>
          <w:sz w:val="24"/>
        </w:rPr>
        <w:t>Desalination plant at Kudankulam Nuclear Power Plant and Minjur Desalination plant of Chennai Water Desalination Ltd., Water Supply Works by new Tirupur Area Development Corporation as long as they supply drinking water predominantly to local</w:t>
      </w:r>
      <w:r>
        <w:rPr>
          <w:spacing w:val="-6"/>
          <w:sz w:val="24"/>
        </w:rPr>
        <w:t xml:space="preserve"> </w:t>
      </w:r>
      <w:r>
        <w:rPr>
          <w:sz w:val="24"/>
        </w:rPr>
        <w:t>bodies/public</w:t>
      </w:r>
      <w:r>
        <w:rPr>
          <w:sz w:val="24"/>
        </w:rPr>
        <w:t>.</w:t>
      </w:r>
    </w:p>
    <w:p w:rsidR="007C5447" w:rsidRDefault="007C5447">
      <w:pPr>
        <w:pStyle w:val="BodyText"/>
        <w:spacing w:before="10"/>
        <w:rPr>
          <w:sz w:val="20"/>
        </w:rPr>
      </w:pPr>
    </w:p>
    <w:p w:rsidR="007C5447" w:rsidRDefault="00F6308C">
      <w:pPr>
        <w:pStyle w:val="ListParagraph"/>
        <w:numPr>
          <w:ilvl w:val="4"/>
          <w:numId w:val="24"/>
        </w:numPr>
        <w:tabs>
          <w:tab w:val="left" w:pos="1538"/>
        </w:tabs>
        <w:spacing w:line="312" w:lineRule="auto"/>
        <w:ind w:right="881"/>
        <w:jc w:val="both"/>
        <w:rPr>
          <w:sz w:val="24"/>
        </w:rPr>
      </w:pPr>
      <w:r>
        <w:rPr>
          <w:sz w:val="24"/>
        </w:rPr>
        <w:t>Single point supply to Cooperative group housing society and for the residential purpose of the employees as specified in “The Electricity (Removal of difficulties) Eighth Order</w:t>
      </w:r>
      <w:r>
        <w:rPr>
          <w:spacing w:val="-1"/>
          <w:sz w:val="24"/>
        </w:rPr>
        <w:t xml:space="preserve"> </w:t>
      </w:r>
      <w:r>
        <w:rPr>
          <w:sz w:val="24"/>
        </w:rPr>
        <w:t>2005”.</w:t>
      </w:r>
    </w:p>
    <w:p w:rsidR="007C5447" w:rsidRDefault="007C5447">
      <w:pPr>
        <w:pStyle w:val="BodyText"/>
        <w:spacing w:before="9"/>
        <w:rPr>
          <w:sz w:val="20"/>
        </w:rPr>
      </w:pPr>
    </w:p>
    <w:p w:rsidR="007C5447" w:rsidRDefault="00F6308C">
      <w:pPr>
        <w:pStyle w:val="ListParagraph"/>
        <w:numPr>
          <w:ilvl w:val="4"/>
          <w:numId w:val="24"/>
        </w:numPr>
        <w:tabs>
          <w:tab w:val="left" w:pos="1538"/>
        </w:tabs>
        <w:ind w:hanging="361"/>
        <w:rPr>
          <w:sz w:val="24"/>
        </w:rPr>
      </w:pPr>
      <w:r>
        <w:rPr>
          <w:sz w:val="24"/>
        </w:rPr>
        <w:t>Actual places of public</w:t>
      </w:r>
      <w:r>
        <w:rPr>
          <w:spacing w:val="-1"/>
          <w:sz w:val="24"/>
        </w:rPr>
        <w:t xml:space="preserve"> </w:t>
      </w:r>
      <w:r>
        <w:rPr>
          <w:sz w:val="24"/>
        </w:rPr>
        <w:t>worship.</w:t>
      </w:r>
    </w:p>
    <w:p w:rsidR="007C5447" w:rsidRDefault="007C5447">
      <w:pPr>
        <w:pStyle w:val="BodyText"/>
        <w:rPr>
          <w:sz w:val="26"/>
        </w:rPr>
      </w:pPr>
    </w:p>
    <w:p w:rsidR="007C5447" w:rsidRDefault="007C5447">
      <w:pPr>
        <w:pStyle w:val="BodyText"/>
        <w:rPr>
          <w:sz w:val="26"/>
        </w:rPr>
      </w:pPr>
    </w:p>
    <w:p w:rsidR="007C5447" w:rsidRDefault="00F6308C">
      <w:pPr>
        <w:pStyle w:val="Heading2"/>
        <w:numPr>
          <w:ilvl w:val="2"/>
          <w:numId w:val="114"/>
        </w:numPr>
        <w:tabs>
          <w:tab w:val="left" w:pos="1112"/>
          <w:tab w:val="left" w:pos="1113"/>
        </w:tabs>
        <w:spacing w:before="204"/>
        <w:ind w:left="1112" w:hanging="853"/>
      </w:pPr>
      <w:r>
        <w:pict>
          <v:shapetype id="_x0000_t202" coordsize="21600,21600" o:spt="202" path="m,l,21600r21600,l21600,xe">
            <v:stroke joinstyle="miter"/>
            <v:path gradientshapeok="t" o:connecttype="rect"/>
          </v:shapetype>
          <v:shape id="_x0000_s1047" type="#_x0000_t202" style="position:absolute;left:0;text-align:left;margin-left:128.8pt;margin-top:40.5pt;width:127.25pt;height:15.75pt;z-index:251680768;mso-position-horizontal-relative:page" fillcolor="#f7c9ac" strokeweight=".48pt">
            <v:textbox inset="0,0,0,0">
              <w:txbxContent>
                <w:p w:rsidR="007C5447" w:rsidRDefault="00F6308C">
                  <w:pPr>
                    <w:ind w:left="100"/>
                    <w:rPr>
                      <w:b/>
                      <w:sz w:val="20"/>
                    </w:rPr>
                  </w:pPr>
                  <w:r>
                    <w:rPr>
                      <w:b/>
                      <w:sz w:val="20"/>
                    </w:rPr>
                    <w:t>Tariff category</w:t>
                  </w:r>
                </w:p>
              </w:txbxContent>
            </v:textbox>
            <w10:wrap anchorx="page"/>
          </v:shape>
        </w:pict>
      </w:r>
      <w:r>
        <w:t>High Tension</w:t>
      </w:r>
      <w:r>
        <w:t xml:space="preserve"> Tariff II – B :</w:t>
      </w:r>
    </w:p>
    <w:p w:rsidR="007C5447" w:rsidRDefault="00F6308C">
      <w:pPr>
        <w:pStyle w:val="BodyText"/>
        <w:spacing w:before="9"/>
        <w:rPr>
          <w:b/>
        </w:rPr>
      </w:pPr>
      <w:r>
        <w:pict>
          <v:shape id="_x0000_s1046" type="#_x0000_t202" style="position:absolute;margin-left:256pt;margin-top:16.5pt;width:213.05pt;height:15.75pt;z-index:-251636736;mso-wrap-distance-left:0;mso-wrap-distance-right:0;mso-position-horizontal-relative:page" fillcolor="#f7c9ac" strokeweight=".48pt">
            <v:textbox inset="0,0,0,0">
              <w:txbxContent>
                <w:p w:rsidR="007C5447" w:rsidRDefault="00F6308C">
                  <w:pPr>
                    <w:ind w:left="784"/>
                    <w:rPr>
                      <w:b/>
                      <w:sz w:val="20"/>
                    </w:rPr>
                  </w:pPr>
                  <w:r>
                    <w:rPr>
                      <w:b/>
                      <w:sz w:val="20"/>
                    </w:rPr>
                    <w:t>Commission Determined Tariff</w:t>
                  </w:r>
                </w:p>
              </w:txbxContent>
            </v:textbox>
            <w10:wrap type="topAndBottom" anchorx="page"/>
          </v:shape>
        </w:pict>
      </w:r>
    </w:p>
    <w:p w:rsidR="007C5447" w:rsidRDefault="007C5447">
      <w:pPr>
        <w:sectPr w:rsidR="007C5447">
          <w:pgSz w:w="11910" w:h="16840"/>
          <w:pgMar w:top="1360" w:right="560" w:bottom="1240" w:left="1180" w:header="0" w:footer="1057" w:gutter="0"/>
          <w:cols w:space="720"/>
        </w:sectPr>
      </w:pPr>
    </w:p>
    <w:tbl>
      <w:tblPr>
        <w:tblW w:w="0" w:type="auto"/>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5"/>
        <w:gridCol w:w="1849"/>
        <w:gridCol w:w="2413"/>
      </w:tblGrid>
      <w:tr w:rsidR="007C5447">
        <w:trPr>
          <w:trHeight w:val="597"/>
        </w:trPr>
        <w:tc>
          <w:tcPr>
            <w:tcW w:w="2545" w:type="dxa"/>
            <w:shd w:val="clear" w:color="auto" w:fill="F7C9AC"/>
          </w:tcPr>
          <w:p w:rsidR="007C5447" w:rsidRDefault="007C5447">
            <w:pPr>
              <w:pStyle w:val="TableParagraph"/>
              <w:jc w:val="left"/>
            </w:pPr>
          </w:p>
        </w:tc>
        <w:tc>
          <w:tcPr>
            <w:tcW w:w="1849" w:type="dxa"/>
            <w:shd w:val="clear" w:color="auto" w:fill="F7C9AC"/>
          </w:tcPr>
          <w:p w:rsidR="007C5447" w:rsidRDefault="00F6308C">
            <w:pPr>
              <w:pStyle w:val="TableParagraph"/>
              <w:ind w:left="220"/>
              <w:jc w:val="left"/>
              <w:rPr>
                <w:b/>
                <w:sz w:val="20"/>
              </w:rPr>
            </w:pPr>
            <w:r>
              <w:rPr>
                <w:b/>
                <w:sz w:val="20"/>
              </w:rPr>
              <w:t>Demand Charge</w:t>
            </w:r>
          </w:p>
          <w:p w:rsidR="007C5447" w:rsidRDefault="00F6308C">
            <w:pPr>
              <w:pStyle w:val="TableParagraph"/>
              <w:spacing w:before="70"/>
              <w:ind w:left="145"/>
              <w:jc w:val="left"/>
              <w:rPr>
                <w:b/>
                <w:sz w:val="20"/>
              </w:rPr>
            </w:pPr>
            <w:r>
              <w:rPr>
                <w:b/>
                <w:sz w:val="20"/>
              </w:rPr>
              <w:t>in Rs/kVA/ month</w:t>
            </w:r>
          </w:p>
        </w:tc>
        <w:tc>
          <w:tcPr>
            <w:tcW w:w="2413" w:type="dxa"/>
            <w:shd w:val="clear" w:color="auto" w:fill="F7C9AC"/>
          </w:tcPr>
          <w:p w:rsidR="007C5447" w:rsidRDefault="00F6308C">
            <w:pPr>
              <w:pStyle w:val="TableParagraph"/>
              <w:ind w:left="164" w:right="164"/>
              <w:jc w:val="center"/>
              <w:rPr>
                <w:b/>
                <w:sz w:val="20"/>
              </w:rPr>
            </w:pPr>
            <w:r>
              <w:rPr>
                <w:b/>
                <w:sz w:val="20"/>
              </w:rPr>
              <w:t>Energy charge</w:t>
            </w:r>
          </w:p>
          <w:p w:rsidR="007C5447" w:rsidRDefault="00F6308C">
            <w:pPr>
              <w:pStyle w:val="TableParagraph"/>
              <w:spacing w:before="70"/>
              <w:ind w:left="164" w:right="164"/>
              <w:jc w:val="center"/>
              <w:rPr>
                <w:b/>
                <w:sz w:val="20"/>
              </w:rPr>
            </w:pPr>
            <w:r>
              <w:rPr>
                <w:b/>
                <w:sz w:val="20"/>
              </w:rPr>
              <w:t>in Paise per kWh (Unit)</w:t>
            </w:r>
          </w:p>
        </w:tc>
      </w:tr>
      <w:tr w:rsidR="007C5447">
        <w:trPr>
          <w:trHeight w:val="345"/>
        </w:trPr>
        <w:tc>
          <w:tcPr>
            <w:tcW w:w="2545" w:type="dxa"/>
          </w:tcPr>
          <w:p w:rsidR="007C5447" w:rsidRDefault="00F6308C">
            <w:pPr>
              <w:pStyle w:val="TableParagraph"/>
              <w:spacing w:before="24"/>
              <w:ind w:left="105"/>
              <w:jc w:val="left"/>
              <w:rPr>
                <w:sz w:val="20"/>
              </w:rPr>
            </w:pPr>
            <w:r>
              <w:rPr>
                <w:sz w:val="20"/>
              </w:rPr>
              <w:t>High Tension Tariff II A</w:t>
            </w:r>
          </w:p>
        </w:tc>
        <w:tc>
          <w:tcPr>
            <w:tcW w:w="1849" w:type="dxa"/>
          </w:tcPr>
          <w:p w:rsidR="007C5447" w:rsidRDefault="00F6308C">
            <w:pPr>
              <w:pStyle w:val="TableParagraph"/>
              <w:ind w:left="753" w:right="746"/>
              <w:jc w:val="center"/>
              <w:rPr>
                <w:sz w:val="20"/>
              </w:rPr>
            </w:pPr>
            <w:r>
              <w:rPr>
                <w:sz w:val="20"/>
              </w:rPr>
              <w:t>350</w:t>
            </w:r>
          </w:p>
        </w:tc>
        <w:tc>
          <w:tcPr>
            <w:tcW w:w="2413" w:type="dxa"/>
          </w:tcPr>
          <w:p w:rsidR="007C5447" w:rsidRDefault="00F6308C">
            <w:pPr>
              <w:pStyle w:val="TableParagraph"/>
              <w:ind w:left="164" w:right="160"/>
              <w:jc w:val="center"/>
              <w:rPr>
                <w:sz w:val="20"/>
              </w:rPr>
            </w:pPr>
            <w:r>
              <w:rPr>
                <w:sz w:val="20"/>
              </w:rPr>
              <w:t>635</w:t>
            </w:r>
          </w:p>
        </w:tc>
      </w:tr>
    </w:tbl>
    <w:p w:rsidR="007C5447" w:rsidRDefault="007C5447">
      <w:pPr>
        <w:pStyle w:val="BodyText"/>
        <w:spacing w:before="11"/>
        <w:rPr>
          <w:b/>
          <w:sz w:val="12"/>
        </w:rPr>
      </w:pPr>
    </w:p>
    <w:p w:rsidR="007C5447" w:rsidRDefault="00F6308C">
      <w:pPr>
        <w:pStyle w:val="BodyText"/>
        <w:spacing w:before="90" w:line="312" w:lineRule="auto"/>
        <w:ind w:left="1225" w:right="916"/>
      </w:pPr>
      <w:r>
        <w:t>The tariff is applicable to all Private educational institutions and hostels run by them.</w:t>
      </w:r>
    </w:p>
    <w:p w:rsidR="007C5447" w:rsidRDefault="007C5447">
      <w:pPr>
        <w:pStyle w:val="BodyText"/>
        <w:rPr>
          <w:sz w:val="26"/>
        </w:rPr>
      </w:pPr>
    </w:p>
    <w:p w:rsidR="007C5447" w:rsidRDefault="007C5447">
      <w:pPr>
        <w:pStyle w:val="BodyText"/>
        <w:spacing w:before="7"/>
        <w:rPr>
          <w:sz w:val="36"/>
        </w:rPr>
      </w:pPr>
    </w:p>
    <w:p w:rsidR="007C5447" w:rsidRDefault="00F6308C">
      <w:pPr>
        <w:pStyle w:val="Heading2"/>
        <w:numPr>
          <w:ilvl w:val="2"/>
          <w:numId w:val="114"/>
        </w:numPr>
        <w:tabs>
          <w:tab w:val="left" w:pos="1112"/>
          <w:tab w:val="left" w:pos="1113"/>
        </w:tabs>
        <w:ind w:left="1112" w:hanging="853"/>
      </w:pPr>
      <w:r>
        <w:t>High Tension Tariff III</w:t>
      </w:r>
      <w:r>
        <w:rPr>
          <w:spacing w:val="-3"/>
        </w:rPr>
        <w:t xml:space="preserve"> </w:t>
      </w:r>
      <w:r>
        <w:t>:</w:t>
      </w:r>
    </w:p>
    <w:p w:rsidR="007C5447" w:rsidRDefault="007C5447">
      <w:pPr>
        <w:pStyle w:val="BodyText"/>
        <w:rPr>
          <w:b/>
          <w:sz w:val="28"/>
        </w:rPr>
      </w:pPr>
    </w:p>
    <w:tbl>
      <w:tblPr>
        <w:tblW w:w="0" w:type="auto"/>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5"/>
        <w:gridCol w:w="1849"/>
        <w:gridCol w:w="2413"/>
      </w:tblGrid>
      <w:tr w:rsidR="007C5447">
        <w:trPr>
          <w:trHeight w:val="306"/>
        </w:trPr>
        <w:tc>
          <w:tcPr>
            <w:tcW w:w="2545" w:type="dxa"/>
            <w:vMerge w:val="restart"/>
            <w:shd w:val="clear" w:color="auto" w:fill="F7C9AC"/>
          </w:tcPr>
          <w:p w:rsidR="007C5447" w:rsidRDefault="00F6308C">
            <w:pPr>
              <w:pStyle w:val="TableParagraph"/>
              <w:ind w:left="105"/>
              <w:jc w:val="left"/>
              <w:rPr>
                <w:b/>
                <w:sz w:val="20"/>
              </w:rPr>
            </w:pPr>
            <w:r>
              <w:rPr>
                <w:b/>
                <w:sz w:val="20"/>
              </w:rPr>
              <w:t>Tariff category</w:t>
            </w:r>
          </w:p>
        </w:tc>
        <w:tc>
          <w:tcPr>
            <w:tcW w:w="4262" w:type="dxa"/>
            <w:gridSpan w:val="2"/>
            <w:shd w:val="clear" w:color="auto" w:fill="F7C9AC"/>
          </w:tcPr>
          <w:p w:rsidR="007C5447" w:rsidRDefault="00F6308C">
            <w:pPr>
              <w:pStyle w:val="TableParagraph"/>
              <w:ind w:left="789"/>
              <w:jc w:val="left"/>
              <w:rPr>
                <w:b/>
                <w:sz w:val="20"/>
              </w:rPr>
            </w:pPr>
            <w:r>
              <w:rPr>
                <w:b/>
                <w:sz w:val="20"/>
              </w:rPr>
              <w:t>Commission Determined Tariff</w:t>
            </w:r>
          </w:p>
        </w:tc>
      </w:tr>
      <w:tr w:rsidR="007C5447">
        <w:trPr>
          <w:trHeight w:val="597"/>
        </w:trPr>
        <w:tc>
          <w:tcPr>
            <w:tcW w:w="2545" w:type="dxa"/>
            <w:vMerge/>
            <w:tcBorders>
              <w:top w:val="nil"/>
            </w:tcBorders>
            <w:shd w:val="clear" w:color="auto" w:fill="F7C9AC"/>
          </w:tcPr>
          <w:p w:rsidR="007C5447" w:rsidRDefault="007C5447">
            <w:pPr>
              <w:rPr>
                <w:sz w:val="2"/>
                <w:szCs w:val="2"/>
              </w:rPr>
            </w:pPr>
          </w:p>
        </w:tc>
        <w:tc>
          <w:tcPr>
            <w:tcW w:w="1849" w:type="dxa"/>
            <w:shd w:val="clear" w:color="auto" w:fill="F7C9AC"/>
          </w:tcPr>
          <w:p w:rsidR="007C5447" w:rsidRDefault="00F6308C">
            <w:pPr>
              <w:pStyle w:val="TableParagraph"/>
              <w:ind w:left="220"/>
              <w:jc w:val="left"/>
              <w:rPr>
                <w:b/>
                <w:sz w:val="20"/>
              </w:rPr>
            </w:pPr>
            <w:r>
              <w:rPr>
                <w:b/>
                <w:sz w:val="20"/>
              </w:rPr>
              <w:t>Demand Charge</w:t>
            </w:r>
          </w:p>
          <w:p w:rsidR="007C5447" w:rsidRDefault="00F6308C">
            <w:pPr>
              <w:pStyle w:val="TableParagraph"/>
              <w:spacing w:before="68"/>
              <w:ind w:left="145"/>
              <w:jc w:val="left"/>
              <w:rPr>
                <w:b/>
                <w:sz w:val="20"/>
              </w:rPr>
            </w:pPr>
            <w:r>
              <w:rPr>
                <w:b/>
                <w:sz w:val="20"/>
              </w:rPr>
              <w:t>in Rs/kVA/ month</w:t>
            </w:r>
          </w:p>
        </w:tc>
        <w:tc>
          <w:tcPr>
            <w:tcW w:w="2413" w:type="dxa"/>
            <w:shd w:val="clear" w:color="auto" w:fill="F7C9AC"/>
          </w:tcPr>
          <w:p w:rsidR="007C5447" w:rsidRDefault="00F6308C">
            <w:pPr>
              <w:pStyle w:val="TableParagraph"/>
              <w:ind w:left="164" w:right="164"/>
              <w:jc w:val="center"/>
              <w:rPr>
                <w:b/>
                <w:sz w:val="20"/>
              </w:rPr>
            </w:pPr>
            <w:r>
              <w:rPr>
                <w:b/>
                <w:sz w:val="20"/>
              </w:rPr>
              <w:t>Energy charge</w:t>
            </w:r>
          </w:p>
          <w:p w:rsidR="007C5447" w:rsidRDefault="00F6308C">
            <w:pPr>
              <w:pStyle w:val="TableParagraph"/>
              <w:spacing w:before="68"/>
              <w:ind w:left="164" w:right="164"/>
              <w:jc w:val="center"/>
              <w:rPr>
                <w:b/>
                <w:sz w:val="20"/>
              </w:rPr>
            </w:pPr>
            <w:r>
              <w:rPr>
                <w:b/>
                <w:sz w:val="20"/>
              </w:rPr>
              <w:t>in Paise per kWh (Unit)</w:t>
            </w:r>
          </w:p>
        </w:tc>
      </w:tr>
      <w:tr w:rsidR="007C5447">
        <w:trPr>
          <w:trHeight w:val="345"/>
        </w:trPr>
        <w:tc>
          <w:tcPr>
            <w:tcW w:w="2545" w:type="dxa"/>
          </w:tcPr>
          <w:p w:rsidR="007C5447" w:rsidRDefault="00F6308C">
            <w:pPr>
              <w:pStyle w:val="TableParagraph"/>
              <w:spacing w:before="24"/>
              <w:ind w:left="105"/>
              <w:jc w:val="left"/>
              <w:rPr>
                <w:sz w:val="20"/>
              </w:rPr>
            </w:pPr>
            <w:r>
              <w:rPr>
                <w:sz w:val="20"/>
              </w:rPr>
              <w:t>High Tension Tariff III</w:t>
            </w:r>
          </w:p>
        </w:tc>
        <w:tc>
          <w:tcPr>
            <w:tcW w:w="1849" w:type="dxa"/>
          </w:tcPr>
          <w:p w:rsidR="007C5447" w:rsidRDefault="00F6308C">
            <w:pPr>
              <w:pStyle w:val="TableParagraph"/>
              <w:ind w:left="753" w:right="746"/>
              <w:jc w:val="center"/>
              <w:rPr>
                <w:sz w:val="20"/>
              </w:rPr>
            </w:pPr>
            <w:r>
              <w:rPr>
                <w:sz w:val="20"/>
              </w:rPr>
              <w:t>350</w:t>
            </w:r>
          </w:p>
        </w:tc>
        <w:tc>
          <w:tcPr>
            <w:tcW w:w="2413" w:type="dxa"/>
          </w:tcPr>
          <w:p w:rsidR="007C5447" w:rsidRDefault="00F6308C">
            <w:pPr>
              <w:pStyle w:val="TableParagraph"/>
              <w:ind w:left="164" w:right="160"/>
              <w:jc w:val="center"/>
              <w:rPr>
                <w:sz w:val="20"/>
              </w:rPr>
            </w:pPr>
            <w:r>
              <w:rPr>
                <w:sz w:val="20"/>
              </w:rPr>
              <w:t>800</w:t>
            </w:r>
          </w:p>
        </w:tc>
      </w:tr>
    </w:tbl>
    <w:p w:rsidR="007C5447" w:rsidRDefault="007C5447">
      <w:pPr>
        <w:pStyle w:val="BodyText"/>
        <w:spacing w:before="9"/>
        <w:rPr>
          <w:b/>
          <w:sz w:val="20"/>
        </w:rPr>
      </w:pPr>
    </w:p>
    <w:p w:rsidR="007C5447" w:rsidRDefault="00F6308C">
      <w:pPr>
        <w:pStyle w:val="BodyText"/>
        <w:spacing w:line="312" w:lineRule="auto"/>
        <w:ind w:left="1225" w:right="881"/>
      </w:pPr>
      <w:r>
        <w:t>This tariff is applicable to all other categories of consumers not covered under High Tension Tariff IA, IB, IIA, IIB, IV and V.</w:t>
      </w:r>
    </w:p>
    <w:p w:rsidR="007C5447" w:rsidRDefault="007C5447">
      <w:pPr>
        <w:pStyle w:val="BodyText"/>
        <w:rPr>
          <w:sz w:val="26"/>
        </w:rPr>
      </w:pPr>
    </w:p>
    <w:p w:rsidR="007C5447" w:rsidRDefault="007C5447">
      <w:pPr>
        <w:pStyle w:val="BodyText"/>
        <w:rPr>
          <w:sz w:val="26"/>
        </w:rPr>
      </w:pPr>
    </w:p>
    <w:p w:rsidR="007C5447" w:rsidRDefault="00F6308C">
      <w:pPr>
        <w:pStyle w:val="Heading2"/>
        <w:numPr>
          <w:ilvl w:val="2"/>
          <w:numId w:val="114"/>
        </w:numPr>
        <w:tabs>
          <w:tab w:val="left" w:pos="1112"/>
          <w:tab w:val="left" w:pos="1113"/>
        </w:tabs>
        <w:spacing w:before="206"/>
        <w:ind w:left="1112" w:hanging="853"/>
      </w:pPr>
      <w:r>
        <w:t>High Tension Tariff IV</w:t>
      </w:r>
      <w:r>
        <w:rPr>
          <w:spacing w:val="-3"/>
        </w:rPr>
        <w:t xml:space="preserve"> </w:t>
      </w:r>
      <w:r>
        <w:t>:</w:t>
      </w:r>
    </w:p>
    <w:p w:rsidR="007C5447" w:rsidRDefault="007C5447">
      <w:pPr>
        <w:pStyle w:val="BodyText"/>
        <w:rPr>
          <w:b/>
          <w:sz w:val="28"/>
        </w:rPr>
      </w:pPr>
    </w:p>
    <w:tbl>
      <w:tblPr>
        <w:tblW w:w="0" w:type="auto"/>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5"/>
        <w:gridCol w:w="1849"/>
        <w:gridCol w:w="2413"/>
      </w:tblGrid>
      <w:tr w:rsidR="007C5447">
        <w:trPr>
          <w:trHeight w:val="306"/>
        </w:trPr>
        <w:tc>
          <w:tcPr>
            <w:tcW w:w="2545" w:type="dxa"/>
            <w:vMerge w:val="restart"/>
            <w:shd w:val="clear" w:color="auto" w:fill="F7C9AC"/>
          </w:tcPr>
          <w:p w:rsidR="007C5447" w:rsidRDefault="00F6308C">
            <w:pPr>
              <w:pStyle w:val="TableParagraph"/>
              <w:spacing w:before="2"/>
              <w:ind w:left="105"/>
              <w:jc w:val="left"/>
              <w:rPr>
                <w:b/>
                <w:sz w:val="20"/>
              </w:rPr>
            </w:pPr>
            <w:r>
              <w:rPr>
                <w:b/>
                <w:sz w:val="20"/>
              </w:rPr>
              <w:t>Tariff category</w:t>
            </w:r>
          </w:p>
        </w:tc>
        <w:tc>
          <w:tcPr>
            <w:tcW w:w="4262" w:type="dxa"/>
            <w:gridSpan w:val="2"/>
            <w:shd w:val="clear" w:color="auto" w:fill="F7C9AC"/>
          </w:tcPr>
          <w:p w:rsidR="007C5447" w:rsidRDefault="00F6308C">
            <w:pPr>
              <w:pStyle w:val="TableParagraph"/>
              <w:spacing w:before="2"/>
              <w:ind w:left="789"/>
              <w:jc w:val="left"/>
              <w:rPr>
                <w:b/>
                <w:sz w:val="20"/>
              </w:rPr>
            </w:pPr>
            <w:r>
              <w:rPr>
                <w:b/>
                <w:sz w:val="20"/>
              </w:rPr>
              <w:t>Commission Determined Tariff</w:t>
            </w:r>
          </w:p>
        </w:tc>
      </w:tr>
      <w:tr w:rsidR="007C5447">
        <w:trPr>
          <w:trHeight w:val="597"/>
        </w:trPr>
        <w:tc>
          <w:tcPr>
            <w:tcW w:w="2545" w:type="dxa"/>
            <w:vMerge/>
            <w:tcBorders>
              <w:top w:val="nil"/>
            </w:tcBorders>
            <w:shd w:val="clear" w:color="auto" w:fill="F7C9AC"/>
          </w:tcPr>
          <w:p w:rsidR="007C5447" w:rsidRDefault="007C5447">
            <w:pPr>
              <w:rPr>
                <w:sz w:val="2"/>
                <w:szCs w:val="2"/>
              </w:rPr>
            </w:pPr>
          </w:p>
        </w:tc>
        <w:tc>
          <w:tcPr>
            <w:tcW w:w="1849" w:type="dxa"/>
            <w:shd w:val="clear" w:color="auto" w:fill="F7C9AC"/>
          </w:tcPr>
          <w:p w:rsidR="007C5447" w:rsidRDefault="00F6308C">
            <w:pPr>
              <w:pStyle w:val="TableParagraph"/>
              <w:ind w:left="220"/>
              <w:jc w:val="left"/>
              <w:rPr>
                <w:b/>
                <w:sz w:val="20"/>
              </w:rPr>
            </w:pPr>
            <w:r>
              <w:rPr>
                <w:b/>
                <w:sz w:val="20"/>
              </w:rPr>
              <w:t>Demand Charge</w:t>
            </w:r>
          </w:p>
          <w:p w:rsidR="007C5447" w:rsidRDefault="00F6308C">
            <w:pPr>
              <w:pStyle w:val="TableParagraph"/>
              <w:spacing w:before="68"/>
              <w:ind w:left="145"/>
              <w:jc w:val="left"/>
              <w:rPr>
                <w:b/>
                <w:sz w:val="20"/>
              </w:rPr>
            </w:pPr>
            <w:r>
              <w:rPr>
                <w:b/>
                <w:sz w:val="20"/>
              </w:rPr>
              <w:t>in Rs/kVA/ month</w:t>
            </w:r>
          </w:p>
        </w:tc>
        <w:tc>
          <w:tcPr>
            <w:tcW w:w="2413" w:type="dxa"/>
            <w:shd w:val="clear" w:color="auto" w:fill="F7C9AC"/>
          </w:tcPr>
          <w:p w:rsidR="007C5447" w:rsidRDefault="00F6308C">
            <w:pPr>
              <w:pStyle w:val="TableParagraph"/>
              <w:ind w:left="164" w:right="164"/>
              <w:jc w:val="center"/>
              <w:rPr>
                <w:b/>
                <w:sz w:val="20"/>
              </w:rPr>
            </w:pPr>
            <w:r>
              <w:rPr>
                <w:b/>
                <w:sz w:val="20"/>
              </w:rPr>
              <w:t>Energy charge</w:t>
            </w:r>
          </w:p>
          <w:p w:rsidR="007C5447" w:rsidRDefault="00F6308C">
            <w:pPr>
              <w:pStyle w:val="TableParagraph"/>
              <w:spacing w:before="68"/>
              <w:ind w:left="164" w:right="164"/>
              <w:jc w:val="center"/>
              <w:rPr>
                <w:b/>
                <w:sz w:val="20"/>
              </w:rPr>
            </w:pPr>
            <w:r>
              <w:rPr>
                <w:b/>
                <w:sz w:val="20"/>
              </w:rPr>
              <w:t>in Paise per kWh (Unit)</w:t>
            </w:r>
          </w:p>
        </w:tc>
      </w:tr>
      <w:tr w:rsidR="007C5447">
        <w:trPr>
          <w:trHeight w:val="304"/>
        </w:trPr>
        <w:tc>
          <w:tcPr>
            <w:tcW w:w="2545" w:type="dxa"/>
          </w:tcPr>
          <w:p w:rsidR="007C5447" w:rsidRDefault="00F6308C">
            <w:pPr>
              <w:pStyle w:val="TableParagraph"/>
              <w:spacing w:before="2"/>
              <w:ind w:left="105"/>
              <w:jc w:val="left"/>
              <w:rPr>
                <w:sz w:val="20"/>
              </w:rPr>
            </w:pPr>
            <w:r>
              <w:rPr>
                <w:sz w:val="20"/>
              </w:rPr>
              <w:t>High Tension Tariff IV</w:t>
            </w:r>
          </w:p>
        </w:tc>
        <w:tc>
          <w:tcPr>
            <w:tcW w:w="1849" w:type="dxa"/>
          </w:tcPr>
          <w:p w:rsidR="007C5447" w:rsidRDefault="00F6308C">
            <w:pPr>
              <w:pStyle w:val="TableParagraph"/>
              <w:spacing w:before="2"/>
              <w:ind w:left="753" w:right="746"/>
              <w:jc w:val="center"/>
              <w:rPr>
                <w:sz w:val="20"/>
              </w:rPr>
            </w:pPr>
            <w:r>
              <w:rPr>
                <w:sz w:val="20"/>
              </w:rPr>
              <w:t>Nil</w:t>
            </w:r>
          </w:p>
        </w:tc>
        <w:tc>
          <w:tcPr>
            <w:tcW w:w="2413" w:type="dxa"/>
          </w:tcPr>
          <w:p w:rsidR="007C5447" w:rsidRDefault="00F6308C">
            <w:pPr>
              <w:pStyle w:val="TableParagraph"/>
              <w:spacing w:before="2"/>
              <w:ind w:left="164" w:right="160"/>
              <w:jc w:val="center"/>
              <w:rPr>
                <w:sz w:val="20"/>
              </w:rPr>
            </w:pPr>
            <w:r>
              <w:rPr>
                <w:sz w:val="20"/>
              </w:rPr>
              <w:t>635</w:t>
            </w:r>
          </w:p>
        </w:tc>
      </w:tr>
    </w:tbl>
    <w:p w:rsidR="007C5447" w:rsidRDefault="00F6308C">
      <w:pPr>
        <w:ind w:left="1433"/>
        <w:rPr>
          <w:sz w:val="18"/>
        </w:rPr>
      </w:pPr>
      <w:r>
        <w:rPr>
          <w:sz w:val="18"/>
        </w:rPr>
        <w:t>*Category to be fully subsidised by the Government</w:t>
      </w:r>
    </w:p>
    <w:p w:rsidR="007C5447" w:rsidRDefault="007C5447">
      <w:pPr>
        <w:pStyle w:val="BodyText"/>
        <w:spacing w:before="10"/>
        <w:rPr>
          <w:sz w:val="20"/>
        </w:rPr>
      </w:pPr>
    </w:p>
    <w:p w:rsidR="007C5447" w:rsidRDefault="00F6308C">
      <w:pPr>
        <w:pStyle w:val="BodyText"/>
        <w:spacing w:before="1" w:line="312" w:lineRule="auto"/>
        <w:ind w:left="1225" w:right="916"/>
      </w:pPr>
      <w:r>
        <w:t>This tariff is applicable to the Lift Irrigation Societies for Agriculture registered under Co-operative Societies Act or under any other Act.</w:t>
      </w:r>
    </w:p>
    <w:p w:rsidR="007C5447" w:rsidRDefault="007C5447">
      <w:pPr>
        <w:pStyle w:val="BodyText"/>
        <w:rPr>
          <w:sz w:val="26"/>
        </w:rPr>
      </w:pPr>
    </w:p>
    <w:p w:rsidR="007C5447" w:rsidRDefault="007C5447">
      <w:pPr>
        <w:pStyle w:val="BodyText"/>
        <w:spacing w:before="4"/>
        <w:rPr>
          <w:sz w:val="36"/>
        </w:rPr>
      </w:pPr>
    </w:p>
    <w:p w:rsidR="007C5447" w:rsidRDefault="00F6308C">
      <w:pPr>
        <w:pStyle w:val="Heading2"/>
        <w:numPr>
          <w:ilvl w:val="2"/>
          <w:numId w:val="114"/>
        </w:numPr>
        <w:tabs>
          <w:tab w:val="left" w:pos="1112"/>
          <w:tab w:val="left" w:pos="1113"/>
        </w:tabs>
        <w:ind w:left="1112" w:hanging="853"/>
      </w:pPr>
      <w:r>
        <w:t>High Tension Tariff V</w:t>
      </w:r>
    </w:p>
    <w:p w:rsidR="007C5447" w:rsidRDefault="007C5447">
      <w:pPr>
        <w:pStyle w:val="BodyText"/>
        <w:spacing w:before="3"/>
        <w:rPr>
          <w:b/>
          <w:sz w:val="28"/>
        </w:rPr>
      </w:pPr>
    </w:p>
    <w:tbl>
      <w:tblPr>
        <w:tblW w:w="0" w:type="auto"/>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5"/>
        <w:gridCol w:w="1849"/>
        <w:gridCol w:w="2413"/>
      </w:tblGrid>
      <w:tr w:rsidR="007C5447">
        <w:trPr>
          <w:trHeight w:val="304"/>
        </w:trPr>
        <w:tc>
          <w:tcPr>
            <w:tcW w:w="2545" w:type="dxa"/>
            <w:vMerge w:val="restart"/>
            <w:shd w:val="clear" w:color="auto" w:fill="F7C9AC"/>
          </w:tcPr>
          <w:p w:rsidR="007C5447" w:rsidRDefault="00F6308C">
            <w:pPr>
              <w:pStyle w:val="TableParagraph"/>
              <w:ind w:left="105"/>
              <w:jc w:val="left"/>
              <w:rPr>
                <w:b/>
                <w:sz w:val="20"/>
              </w:rPr>
            </w:pPr>
            <w:r>
              <w:rPr>
                <w:b/>
                <w:sz w:val="20"/>
              </w:rPr>
              <w:t>Tariff category</w:t>
            </w:r>
          </w:p>
        </w:tc>
        <w:tc>
          <w:tcPr>
            <w:tcW w:w="4262" w:type="dxa"/>
            <w:gridSpan w:val="2"/>
            <w:shd w:val="clear" w:color="auto" w:fill="F7C9AC"/>
          </w:tcPr>
          <w:p w:rsidR="007C5447" w:rsidRDefault="00F6308C">
            <w:pPr>
              <w:pStyle w:val="TableParagraph"/>
              <w:ind w:left="789"/>
              <w:jc w:val="left"/>
              <w:rPr>
                <w:b/>
                <w:sz w:val="20"/>
              </w:rPr>
            </w:pPr>
            <w:r>
              <w:rPr>
                <w:b/>
                <w:sz w:val="20"/>
              </w:rPr>
              <w:t>Commission Determined Tariff</w:t>
            </w:r>
          </w:p>
        </w:tc>
      </w:tr>
      <w:tr w:rsidR="007C5447">
        <w:trPr>
          <w:trHeight w:val="597"/>
        </w:trPr>
        <w:tc>
          <w:tcPr>
            <w:tcW w:w="2545" w:type="dxa"/>
            <w:vMerge/>
            <w:tcBorders>
              <w:top w:val="nil"/>
            </w:tcBorders>
            <w:shd w:val="clear" w:color="auto" w:fill="F7C9AC"/>
          </w:tcPr>
          <w:p w:rsidR="007C5447" w:rsidRDefault="007C5447">
            <w:pPr>
              <w:rPr>
                <w:sz w:val="2"/>
                <w:szCs w:val="2"/>
              </w:rPr>
            </w:pPr>
          </w:p>
        </w:tc>
        <w:tc>
          <w:tcPr>
            <w:tcW w:w="1849" w:type="dxa"/>
            <w:shd w:val="clear" w:color="auto" w:fill="F7C9AC"/>
          </w:tcPr>
          <w:p w:rsidR="007C5447" w:rsidRDefault="00F6308C">
            <w:pPr>
              <w:pStyle w:val="TableParagraph"/>
              <w:spacing w:before="1"/>
              <w:ind w:left="220"/>
              <w:jc w:val="left"/>
              <w:rPr>
                <w:b/>
                <w:sz w:val="20"/>
              </w:rPr>
            </w:pPr>
            <w:r>
              <w:rPr>
                <w:b/>
                <w:sz w:val="20"/>
              </w:rPr>
              <w:t>Demand Charge</w:t>
            </w:r>
          </w:p>
          <w:p w:rsidR="007C5447" w:rsidRDefault="00F6308C">
            <w:pPr>
              <w:pStyle w:val="TableParagraph"/>
              <w:spacing w:before="70"/>
              <w:ind w:left="145"/>
              <w:jc w:val="left"/>
              <w:rPr>
                <w:b/>
                <w:sz w:val="20"/>
              </w:rPr>
            </w:pPr>
            <w:r>
              <w:rPr>
                <w:b/>
                <w:sz w:val="20"/>
              </w:rPr>
              <w:t>in Rs/kVA/ month</w:t>
            </w:r>
          </w:p>
        </w:tc>
        <w:tc>
          <w:tcPr>
            <w:tcW w:w="2413" w:type="dxa"/>
            <w:shd w:val="clear" w:color="auto" w:fill="F7C9AC"/>
          </w:tcPr>
          <w:p w:rsidR="007C5447" w:rsidRDefault="00F6308C">
            <w:pPr>
              <w:pStyle w:val="TableParagraph"/>
              <w:spacing w:before="1"/>
              <w:ind w:left="164" w:right="164"/>
              <w:jc w:val="center"/>
              <w:rPr>
                <w:b/>
                <w:sz w:val="20"/>
              </w:rPr>
            </w:pPr>
            <w:r>
              <w:rPr>
                <w:b/>
                <w:sz w:val="20"/>
              </w:rPr>
              <w:t>Energy charge</w:t>
            </w:r>
          </w:p>
          <w:p w:rsidR="007C5447" w:rsidRDefault="00F6308C">
            <w:pPr>
              <w:pStyle w:val="TableParagraph"/>
              <w:spacing w:before="70"/>
              <w:ind w:left="164" w:right="164"/>
              <w:jc w:val="center"/>
              <w:rPr>
                <w:b/>
                <w:sz w:val="20"/>
              </w:rPr>
            </w:pPr>
            <w:r>
              <w:rPr>
                <w:b/>
                <w:sz w:val="20"/>
              </w:rPr>
              <w:t>in Paise per kWh (Unit)</w:t>
            </w:r>
          </w:p>
        </w:tc>
      </w:tr>
      <w:tr w:rsidR="007C5447">
        <w:trPr>
          <w:trHeight w:val="345"/>
        </w:trPr>
        <w:tc>
          <w:tcPr>
            <w:tcW w:w="2545" w:type="dxa"/>
          </w:tcPr>
          <w:p w:rsidR="007C5447" w:rsidRDefault="00F6308C">
            <w:pPr>
              <w:pStyle w:val="TableParagraph"/>
              <w:ind w:left="105"/>
              <w:jc w:val="left"/>
              <w:rPr>
                <w:sz w:val="20"/>
              </w:rPr>
            </w:pPr>
            <w:r>
              <w:rPr>
                <w:sz w:val="20"/>
              </w:rPr>
              <w:t>High Tension Tariff V</w:t>
            </w:r>
          </w:p>
        </w:tc>
        <w:tc>
          <w:tcPr>
            <w:tcW w:w="1849" w:type="dxa"/>
          </w:tcPr>
          <w:p w:rsidR="007C5447" w:rsidRDefault="00F6308C">
            <w:pPr>
              <w:pStyle w:val="TableParagraph"/>
              <w:ind w:left="753" w:right="746"/>
              <w:jc w:val="center"/>
              <w:rPr>
                <w:sz w:val="20"/>
              </w:rPr>
            </w:pPr>
            <w:r>
              <w:rPr>
                <w:sz w:val="20"/>
              </w:rPr>
              <w:t>350</w:t>
            </w:r>
          </w:p>
        </w:tc>
        <w:tc>
          <w:tcPr>
            <w:tcW w:w="2413" w:type="dxa"/>
          </w:tcPr>
          <w:p w:rsidR="007C5447" w:rsidRDefault="00F6308C">
            <w:pPr>
              <w:pStyle w:val="TableParagraph"/>
              <w:ind w:left="164" w:right="160"/>
              <w:jc w:val="center"/>
              <w:rPr>
                <w:sz w:val="20"/>
              </w:rPr>
            </w:pPr>
            <w:r>
              <w:rPr>
                <w:sz w:val="20"/>
              </w:rPr>
              <w:t>1100</w:t>
            </w:r>
          </w:p>
        </w:tc>
      </w:tr>
    </w:tbl>
    <w:p w:rsidR="007C5447" w:rsidRDefault="007C5447">
      <w:pPr>
        <w:pStyle w:val="BodyText"/>
        <w:spacing w:before="9"/>
        <w:rPr>
          <w:b/>
          <w:sz w:val="20"/>
        </w:rPr>
      </w:pPr>
    </w:p>
    <w:p w:rsidR="007C5447" w:rsidRDefault="00F6308C">
      <w:pPr>
        <w:pStyle w:val="ListParagraph"/>
        <w:numPr>
          <w:ilvl w:val="3"/>
          <w:numId w:val="23"/>
        </w:numPr>
        <w:tabs>
          <w:tab w:val="left" w:pos="1225"/>
          <w:tab w:val="left" w:pos="1226"/>
        </w:tabs>
        <w:spacing w:line="312" w:lineRule="auto"/>
        <w:ind w:right="881" w:hanging="864"/>
        <w:rPr>
          <w:sz w:val="24"/>
        </w:rPr>
      </w:pPr>
      <w:r>
        <w:tab/>
      </w:r>
      <w:r>
        <w:rPr>
          <w:sz w:val="24"/>
        </w:rPr>
        <w:t>This tariff is applicable to Temporary supply for construction and for other temporary</w:t>
      </w:r>
      <w:r>
        <w:rPr>
          <w:spacing w:val="-5"/>
          <w:sz w:val="24"/>
        </w:rPr>
        <w:t xml:space="preserve"> </w:t>
      </w:r>
      <w:r>
        <w:rPr>
          <w:sz w:val="24"/>
        </w:rPr>
        <w:t>purposes.</w:t>
      </w:r>
    </w:p>
    <w:p w:rsidR="007C5447" w:rsidRDefault="007C5447">
      <w:pPr>
        <w:pStyle w:val="BodyText"/>
        <w:spacing w:before="10"/>
        <w:rPr>
          <w:sz w:val="20"/>
        </w:rPr>
      </w:pPr>
    </w:p>
    <w:p w:rsidR="007C5447" w:rsidRDefault="00F6308C">
      <w:pPr>
        <w:pStyle w:val="ListParagraph"/>
        <w:numPr>
          <w:ilvl w:val="4"/>
          <w:numId w:val="23"/>
        </w:numPr>
        <w:tabs>
          <w:tab w:val="left" w:pos="1679"/>
        </w:tabs>
        <w:rPr>
          <w:sz w:val="24"/>
        </w:rPr>
      </w:pPr>
      <w:r>
        <w:rPr>
          <w:sz w:val="24"/>
        </w:rPr>
        <w:t>For this category of supply, the initial/in-principle approval for</w:t>
      </w:r>
      <w:r>
        <w:rPr>
          <w:spacing w:val="27"/>
          <w:sz w:val="24"/>
        </w:rPr>
        <w:t xml:space="preserve"> </w:t>
      </w:r>
      <w:r>
        <w:rPr>
          <w:sz w:val="24"/>
        </w:rPr>
        <w:t>such</w:t>
      </w:r>
    </w:p>
    <w:p w:rsidR="007C5447" w:rsidRDefault="007C5447">
      <w:pPr>
        <w:rPr>
          <w:sz w:val="24"/>
        </w:rPr>
        <w:sectPr w:rsidR="007C5447">
          <w:pgSz w:w="11910" w:h="16840"/>
          <w:pgMar w:top="1420" w:right="560" w:bottom="1240" w:left="1180" w:header="0" w:footer="1057" w:gutter="0"/>
          <w:cols w:space="720"/>
        </w:sectPr>
      </w:pPr>
    </w:p>
    <w:p w:rsidR="007C5447" w:rsidRDefault="00F6308C">
      <w:pPr>
        <w:pStyle w:val="BodyText"/>
        <w:spacing w:before="60" w:line="312" w:lineRule="auto"/>
        <w:ind w:left="1678" w:right="881"/>
        <w:jc w:val="both"/>
      </w:pPr>
      <w:r>
        <w:lastRenderedPageBreak/>
        <w:t>construction or to conduct such temporary activity obtained by the a</w:t>
      </w:r>
      <w:r>
        <w:t>pplicant from the appropriate authority, wherever necessary, is adequate to effect the supply.</w:t>
      </w:r>
    </w:p>
    <w:p w:rsidR="007C5447" w:rsidRDefault="007C5447">
      <w:pPr>
        <w:pStyle w:val="BodyText"/>
        <w:spacing w:before="10"/>
        <w:rPr>
          <w:sz w:val="20"/>
        </w:rPr>
      </w:pPr>
    </w:p>
    <w:p w:rsidR="007C5447" w:rsidRDefault="00F6308C">
      <w:pPr>
        <w:pStyle w:val="ListParagraph"/>
        <w:numPr>
          <w:ilvl w:val="4"/>
          <w:numId w:val="23"/>
        </w:numPr>
        <w:tabs>
          <w:tab w:val="left" w:pos="1679"/>
        </w:tabs>
        <w:spacing w:line="312" w:lineRule="auto"/>
        <w:ind w:right="885"/>
        <w:rPr>
          <w:sz w:val="24"/>
        </w:rPr>
      </w:pPr>
      <w:r>
        <w:rPr>
          <w:sz w:val="24"/>
        </w:rPr>
        <w:t>In case of conversion of temporary supply into applicable permanent supply, the same shall be done subject to compliance of</w:t>
      </w:r>
      <w:r>
        <w:rPr>
          <w:spacing w:val="-7"/>
          <w:sz w:val="24"/>
        </w:rPr>
        <w:t xml:space="preserve"> </w:t>
      </w:r>
      <w:r>
        <w:rPr>
          <w:sz w:val="24"/>
        </w:rPr>
        <w:t>codes/regulations/orders.</w:t>
      </w:r>
    </w:p>
    <w:p w:rsidR="007C5447" w:rsidRDefault="007C5447">
      <w:pPr>
        <w:pStyle w:val="BodyText"/>
        <w:rPr>
          <w:sz w:val="26"/>
        </w:rPr>
      </w:pPr>
    </w:p>
    <w:p w:rsidR="007C5447" w:rsidRDefault="007C5447">
      <w:pPr>
        <w:pStyle w:val="BodyText"/>
        <w:rPr>
          <w:sz w:val="26"/>
        </w:rPr>
      </w:pPr>
    </w:p>
    <w:p w:rsidR="007C5447" w:rsidRDefault="00F6308C">
      <w:pPr>
        <w:pStyle w:val="Heading2"/>
        <w:numPr>
          <w:ilvl w:val="1"/>
          <w:numId w:val="22"/>
        </w:numPr>
        <w:tabs>
          <w:tab w:val="left" w:pos="826"/>
          <w:tab w:val="left" w:pos="827"/>
        </w:tabs>
        <w:spacing w:before="206"/>
      </w:pPr>
      <w:bookmarkStart w:id="92" w:name="_bookmark92"/>
      <w:bookmarkEnd w:id="92"/>
      <w:r>
        <w:t>Tariff for Low Tension Supply</w:t>
      </w:r>
      <w:r>
        <w:rPr>
          <w:spacing w:val="-4"/>
        </w:rPr>
        <w:t xml:space="preserve"> </w:t>
      </w:r>
      <w:r>
        <w:t>Consumers</w:t>
      </w:r>
    </w:p>
    <w:p w:rsidR="007C5447" w:rsidRDefault="007C5447">
      <w:pPr>
        <w:pStyle w:val="BodyText"/>
        <w:spacing w:before="2"/>
        <w:rPr>
          <w:b/>
          <w:sz w:val="28"/>
        </w:rPr>
      </w:pPr>
    </w:p>
    <w:p w:rsidR="007C5447" w:rsidRDefault="00F6308C">
      <w:pPr>
        <w:pStyle w:val="ListParagraph"/>
        <w:numPr>
          <w:ilvl w:val="2"/>
          <w:numId w:val="22"/>
        </w:numPr>
        <w:tabs>
          <w:tab w:val="left" w:pos="1112"/>
          <w:tab w:val="left" w:pos="1113"/>
        </w:tabs>
        <w:ind w:hanging="853"/>
        <w:rPr>
          <w:b/>
          <w:sz w:val="24"/>
        </w:rPr>
      </w:pPr>
      <w:r>
        <w:rPr>
          <w:b/>
          <w:sz w:val="24"/>
        </w:rPr>
        <w:t>General Provisions applicable for Low Tension</w:t>
      </w:r>
      <w:r>
        <w:rPr>
          <w:b/>
          <w:spacing w:val="-4"/>
          <w:sz w:val="24"/>
        </w:rPr>
        <w:t xml:space="preserve"> </w:t>
      </w:r>
      <w:r>
        <w:rPr>
          <w:b/>
          <w:sz w:val="24"/>
        </w:rPr>
        <w:t>Supply</w:t>
      </w:r>
    </w:p>
    <w:p w:rsidR="007C5447" w:rsidRDefault="007C5447">
      <w:pPr>
        <w:pStyle w:val="BodyText"/>
        <w:rPr>
          <w:b/>
          <w:sz w:val="28"/>
        </w:rPr>
      </w:pPr>
    </w:p>
    <w:p w:rsidR="007C5447" w:rsidRDefault="00F6308C">
      <w:pPr>
        <w:pStyle w:val="ListParagraph"/>
        <w:numPr>
          <w:ilvl w:val="3"/>
          <w:numId w:val="22"/>
        </w:numPr>
        <w:tabs>
          <w:tab w:val="left" w:pos="1679"/>
        </w:tabs>
        <w:spacing w:line="312" w:lineRule="auto"/>
        <w:ind w:right="875"/>
        <w:jc w:val="both"/>
        <w:rPr>
          <w:sz w:val="24"/>
        </w:rPr>
      </w:pPr>
      <w:r>
        <w:rPr>
          <w:sz w:val="24"/>
        </w:rPr>
        <w:t>All motor</w:t>
      </w:r>
      <w:r>
        <w:rPr>
          <w:sz w:val="24"/>
        </w:rPr>
        <w:t>s/pump sets connected in this category of supply shall be certified / approved by BIS/BEE and motors/pump sets of 3 HP and above shall be provided with adequate BIS certified capacitors. Non-compliance shall invite compensation charges as specified in the</w:t>
      </w:r>
      <w:r>
        <w:rPr>
          <w:spacing w:val="-2"/>
          <w:sz w:val="24"/>
        </w:rPr>
        <w:t xml:space="preserve"> </w:t>
      </w:r>
      <w:r>
        <w:rPr>
          <w:sz w:val="24"/>
        </w:rPr>
        <w:t>Codes/regulations.</w:t>
      </w:r>
    </w:p>
    <w:p w:rsidR="007C5447" w:rsidRDefault="007C5447">
      <w:pPr>
        <w:pStyle w:val="BodyText"/>
        <w:spacing w:before="10"/>
        <w:rPr>
          <w:sz w:val="20"/>
        </w:rPr>
      </w:pPr>
    </w:p>
    <w:p w:rsidR="007C5447" w:rsidRDefault="00F6308C">
      <w:pPr>
        <w:pStyle w:val="ListParagraph"/>
        <w:numPr>
          <w:ilvl w:val="3"/>
          <w:numId w:val="22"/>
        </w:numPr>
        <w:tabs>
          <w:tab w:val="left" w:pos="1679"/>
        </w:tabs>
        <w:spacing w:line="312" w:lineRule="auto"/>
        <w:ind w:right="875"/>
        <w:jc w:val="both"/>
        <w:rPr>
          <w:sz w:val="24"/>
        </w:rPr>
      </w:pPr>
      <w:r>
        <w:rPr>
          <w:sz w:val="24"/>
        </w:rPr>
        <w:t xml:space="preserve">In case of </w:t>
      </w:r>
      <w:r>
        <w:rPr>
          <w:spacing w:val="-3"/>
          <w:sz w:val="24"/>
        </w:rPr>
        <w:t xml:space="preserve">LT </w:t>
      </w:r>
      <w:r>
        <w:rPr>
          <w:sz w:val="24"/>
        </w:rPr>
        <w:t>Tariff III-B and LT Tariff V, all services with a connected load of</w:t>
      </w:r>
      <w:r>
        <w:rPr>
          <w:spacing w:val="2"/>
          <w:sz w:val="24"/>
        </w:rPr>
        <w:t xml:space="preserve"> </w:t>
      </w:r>
      <w:r>
        <w:rPr>
          <w:sz w:val="24"/>
        </w:rPr>
        <w:t>18.6</w:t>
      </w:r>
      <w:r>
        <w:rPr>
          <w:spacing w:val="4"/>
          <w:sz w:val="24"/>
        </w:rPr>
        <w:t xml:space="preserve"> </w:t>
      </w:r>
      <w:r>
        <w:rPr>
          <w:sz w:val="24"/>
        </w:rPr>
        <w:t>kW</w:t>
      </w:r>
      <w:r>
        <w:rPr>
          <w:spacing w:val="8"/>
          <w:sz w:val="24"/>
        </w:rPr>
        <w:t xml:space="preserve"> </w:t>
      </w:r>
      <w:r>
        <w:rPr>
          <w:sz w:val="24"/>
        </w:rPr>
        <w:t>(25</w:t>
      </w:r>
      <w:r>
        <w:rPr>
          <w:spacing w:val="2"/>
          <w:sz w:val="24"/>
        </w:rPr>
        <w:t xml:space="preserve"> </w:t>
      </w:r>
      <w:r>
        <w:rPr>
          <w:sz w:val="24"/>
        </w:rPr>
        <w:t>HP)</w:t>
      </w:r>
      <w:r>
        <w:rPr>
          <w:spacing w:val="6"/>
          <w:sz w:val="24"/>
        </w:rPr>
        <w:t xml:space="preserve"> </w:t>
      </w:r>
      <w:r>
        <w:rPr>
          <w:sz w:val="24"/>
        </w:rPr>
        <w:t>and</w:t>
      </w:r>
      <w:r>
        <w:rPr>
          <w:spacing w:val="8"/>
          <w:sz w:val="24"/>
        </w:rPr>
        <w:t xml:space="preserve"> </w:t>
      </w:r>
      <w:r>
        <w:rPr>
          <w:sz w:val="24"/>
        </w:rPr>
        <w:t>above</w:t>
      </w:r>
      <w:r>
        <w:rPr>
          <w:spacing w:val="6"/>
          <w:sz w:val="24"/>
        </w:rPr>
        <w:t xml:space="preserve"> </w:t>
      </w:r>
      <w:r>
        <w:rPr>
          <w:sz w:val="24"/>
        </w:rPr>
        <w:t>should</w:t>
      </w:r>
      <w:r>
        <w:rPr>
          <w:spacing w:val="6"/>
          <w:sz w:val="24"/>
        </w:rPr>
        <w:t xml:space="preserve"> </w:t>
      </w:r>
      <w:r>
        <w:rPr>
          <w:sz w:val="24"/>
        </w:rPr>
        <w:t>maintain</w:t>
      </w:r>
      <w:r>
        <w:rPr>
          <w:spacing w:val="3"/>
          <w:sz w:val="24"/>
        </w:rPr>
        <w:t xml:space="preserve"> </w:t>
      </w:r>
      <w:r>
        <w:rPr>
          <w:sz w:val="24"/>
        </w:rPr>
        <w:t>a</w:t>
      </w:r>
      <w:r>
        <w:rPr>
          <w:spacing w:val="8"/>
          <w:sz w:val="24"/>
        </w:rPr>
        <w:t xml:space="preserve"> </w:t>
      </w:r>
      <w:r>
        <w:rPr>
          <w:sz w:val="24"/>
        </w:rPr>
        <w:t>power</w:t>
      </w:r>
      <w:r>
        <w:rPr>
          <w:spacing w:val="6"/>
          <w:sz w:val="24"/>
        </w:rPr>
        <w:t xml:space="preserve"> </w:t>
      </w:r>
      <w:r>
        <w:rPr>
          <w:sz w:val="24"/>
        </w:rPr>
        <w:t>factor</w:t>
      </w:r>
      <w:r>
        <w:rPr>
          <w:spacing w:val="2"/>
          <w:sz w:val="24"/>
        </w:rPr>
        <w:t xml:space="preserve"> </w:t>
      </w:r>
      <w:r>
        <w:rPr>
          <w:sz w:val="24"/>
        </w:rPr>
        <w:t>of</w:t>
      </w:r>
      <w:r>
        <w:rPr>
          <w:spacing w:val="6"/>
          <w:sz w:val="24"/>
        </w:rPr>
        <w:t xml:space="preserve"> </w:t>
      </w:r>
      <w:r>
        <w:rPr>
          <w:sz w:val="24"/>
        </w:rPr>
        <w:t>not</w:t>
      </w:r>
      <w:r>
        <w:rPr>
          <w:spacing w:val="5"/>
          <w:sz w:val="24"/>
        </w:rPr>
        <w:t xml:space="preserve"> </w:t>
      </w:r>
      <w:r>
        <w:rPr>
          <w:sz w:val="24"/>
        </w:rPr>
        <w:t>less</w:t>
      </w:r>
      <w:r>
        <w:rPr>
          <w:spacing w:val="5"/>
          <w:sz w:val="24"/>
        </w:rPr>
        <w:t xml:space="preserve"> </w:t>
      </w:r>
      <w:r>
        <w:rPr>
          <w:sz w:val="24"/>
        </w:rPr>
        <w:t>than</w:t>
      </w:r>
    </w:p>
    <w:p w:rsidR="007C5447" w:rsidRDefault="00F6308C">
      <w:pPr>
        <w:pStyle w:val="BodyText"/>
        <w:spacing w:line="312" w:lineRule="auto"/>
        <w:ind w:left="1678" w:right="879"/>
        <w:jc w:val="both"/>
      </w:pPr>
      <w:r>
        <w:t>0.85. Where the average power factor of above Low Tension Service connections is less than the stipulated limit of 0.85 the following compensation charges will be levied.</w:t>
      </w:r>
    </w:p>
    <w:p w:rsidR="007C5447" w:rsidRDefault="007C5447">
      <w:pPr>
        <w:pStyle w:val="BodyText"/>
        <w:spacing w:before="8"/>
        <w:rPr>
          <w:sz w:val="10"/>
        </w:rPr>
      </w:pPr>
    </w:p>
    <w:tbl>
      <w:tblPr>
        <w:tblW w:w="0" w:type="auto"/>
        <w:tblInd w:w="18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3"/>
        <w:gridCol w:w="5103"/>
      </w:tblGrid>
      <w:tr w:rsidR="007C5447">
        <w:trPr>
          <w:trHeight w:val="345"/>
        </w:trPr>
        <w:tc>
          <w:tcPr>
            <w:tcW w:w="2283" w:type="dxa"/>
            <w:shd w:val="clear" w:color="auto" w:fill="F7C9AC"/>
          </w:tcPr>
          <w:p w:rsidR="007C5447" w:rsidRDefault="00F6308C">
            <w:pPr>
              <w:pStyle w:val="TableParagraph"/>
              <w:ind w:left="558"/>
              <w:jc w:val="left"/>
              <w:rPr>
                <w:b/>
                <w:sz w:val="20"/>
              </w:rPr>
            </w:pPr>
            <w:r>
              <w:rPr>
                <w:b/>
                <w:sz w:val="20"/>
              </w:rPr>
              <w:t>Power Factor</w:t>
            </w:r>
          </w:p>
        </w:tc>
        <w:tc>
          <w:tcPr>
            <w:tcW w:w="5103" w:type="dxa"/>
            <w:shd w:val="clear" w:color="auto" w:fill="F7C9AC"/>
          </w:tcPr>
          <w:p w:rsidR="007C5447" w:rsidRDefault="00F6308C">
            <w:pPr>
              <w:pStyle w:val="TableParagraph"/>
              <w:ind w:left="107"/>
              <w:jc w:val="left"/>
              <w:rPr>
                <w:b/>
                <w:sz w:val="20"/>
              </w:rPr>
            </w:pPr>
            <w:r>
              <w:rPr>
                <w:b/>
                <w:sz w:val="20"/>
              </w:rPr>
              <w:t>Dispensation of Power Factor compensation</w:t>
            </w:r>
          </w:p>
        </w:tc>
      </w:tr>
      <w:tr w:rsidR="007C5447">
        <w:trPr>
          <w:trHeight w:val="597"/>
        </w:trPr>
        <w:tc>
          <w:tcPr>
            <w:tcW w:w="2283" w:type="dxa"/>
          </w:tcPr>
          <w:p w:rsidR="007C5447" w:rsidRDefault="00F6308C">
            <w:pPr>
              <w:pStyle w:val="TableParagraph"/>
              <w:ind w:left="107"/>
              <w:jc w:val="left"/>
              <w:rPr>
                <w:sz w:val="20"/>
              </w:rPr>
            </w:pPr>
            <w:r>
              <w:rPr>
                <w:sz w:val="20"/>
              </w:rPr>
              <w:t>Below 0.85 and upto 0.75</w:t>
            </w:r>
          </w:p>
        </w:tc>
        <w:tc>
          <w:tcPr>
            <w:tcW w:w="5103" w:type="dxa"/>
          </w:tcPr>
          <w:p w:rsidR="007C5447" w:rsidRDefault="00F6308C">
            <w:pPr>
              <w:pStyle w:val="TableParagraph"/>
              <w:ind w:left="107"/>
              <w:jc w:val="left"/>
              <w:rPr>
                <w:sz w:val="20"/>
              </w:rPr>
            </w:pPr>
            <w:r>
              <w:rPr>
                <w:sz w:val="20"/>
              </w:rPr>
              <w:t>One per cent of the current consumption charges for every</w:t>
            </w:r>
          </w:p>
          <w:p w:rsidR="007C5447" w:rsidRDefault="00F6308C">
            <w:pPr>
              <w:pStyle w:val="TableParagraph"/>
              <w:spacing w:before="68"/>
              <w:ind w:left="107"/>
              <w:jc w:val="left"/>
              <w:rPr>
                <w:sz w:val="20"/>
              </w:rPr>
            </w:pPr>
            <w:r>
              <w:rPr>
                <w:sz w:val="20"/>
              </w:rPr>
              <w:t>reduction of 0.01 in power factor from 0.85.</w:t>
            </w:r>
          </w:p>
        </w:tc>
      </w:tr>
      <w:tr w:rsidR="007C5447">
        <w:trPr>
          <w:trHeight w:val="597"/>
        </w:trPr>
        <w:tc>
          <w:tcPr>
            <w:tcW w:w="2283" w:type="dxa"/>
          </w:tcPr>
          <w:p w:rsidR="007C5447" w:rsidRDefault="00F6308C">
            <w:pPr>
              <w:pStyle w:val="TableParagraph"/>
              <w:ind w:left="107"/>
              <w:jc w:val="left"/>
              <w:rPr>
                <w:sz w:val="20"/>
              </w:rPr>
            </w:pPr>
            <w:r>
              <w:rPr>
                <w:sz w:val="20"/>
              </w:rPr>
              <w:t>Below 0.75</w:t>
            </w:r>
          </w:p>
        </w:tc>
        <w:tc>
          <w:tcPr>
            <w:tcW w:w="5103" w:type="dxa"/>
          </w:tcPr>
          <w:p w:rsidR="007C5447" w:rsidRDefault="00F6308C">
            <w:pPr>
              <w:pStyle w:val="TableParagraph"/>
              <w:ind w:left="107"/>
              <w:jc w:val="left"/>
              <w:rPr>
                <w:sz w:val="20"/>
              </w:rPr>
            </w:pPr>
            <w:r>
              <w:rPr>
                <w:sz w:val="20"/>
              </w:rPr>
              <w:t>One and half per cent of the current consumption charges for</w:t>
            </w:r>
          </w:p>
          <w:p w:rsidR="007C5447" w:rsidRDefault="00F6308C">
            <w:pPr>
              <w:pStyle w:val="TableParagraph"/>
              <w:spacing w:before="70"/>
              <w:ind w:left="107"/>
              <w:jc w:val="left"/>
              <w:rPr>
                <w:sz w:val="20"/>
              </w:rPr>
            </w:pPr>
            <w:r>
              <w:rPr>
                <w:sz w:val="20"/>
              </w:rPr>
              <w:t>every reduction of 0.01 in power factor from 0.85</w:t>
            </w:r>
          </w:p>
        </w:tc>
      </w:tr>
    </w:tbl>
    <w:p w:rsidR="007C5447" w:rsidRDefault="007C5447">
      <w:pPr>
        <w:pStyle w:val="BodyText"/>
        <w:rPr>
          <w:sz w:val="26"/>
        </w:rPr>
      </w:pPr>
    </w:p>
    <w:p w:rsidR="007C5447" w:rsidRDefault="007C5447">
      <w:pPr>
        <w:pStyle w:val="BodyText"/>
        <w:spacing w:before="11"/>
        <w:rPr>
          <w:sz w:val="22"/>
        </w:rPr>
      </w:pPr>
    </w:p>
    <w:p w:rsidR="007C5447" w:rsidRDefault="00F6308C">
      <w:pPr>
        <w:pStyle w:val="ListParagraph"/>
        <w:numPr>
          <w:ilvl w:val="3"/>
          <w:numId w:val="22"/>
        </w:numPr>
        <w:tabs>
          <w:tab w:val="left" w:pos="1679"/>
        </w:tabs>
        <w:spacing w:line="312" w:lineRule="auto"/>
        <w:ind w:right="880"/>
        <w:jc w:val="both"/>
        <w:rPr>
          <w:sz w:val="24"/>
        </w:rPr>
      </w:pPr>
      <w:r>
        <w:rPr>
          <w:sz w:val="24"/>
        </w:rPr>
        <w:t>In the event of disconnection of services, the consumers shall be liable to pay the fixed charges applicable for the respective category during the disconnection</w:t>
      </w:r>
      <w:r>
        <w:rPr>
          <w:spacing w:val="-1"/>
          <w:sz w:val="24"/>
        </w:rPr>
        <w:t xml:space="preserve"> </w:t>
      </w:r>
      <w:r>
        <w:rPr>
          <w:sz w:val="24"/>
        </w:rPr>
        <w:t>period.</w:t>
      </w:r>
    </w:p>
    <w:p w:rsidR="007C5447" w:rsidRDefault="007C5447">
      <w:pPr>
        <w:pStyle w:val="BodyText"/>
        <w:rPr>
          <w:sz w:val="21"/>
        </w:rPr>
      </w:pPr>
    </w:p>
    <w:p w:rsidR="007C5447" w:rsidRDefault="00F6308C">
      <w:pPr>
        <w:pStyle w:val="ListParagraph"/>
        <w:numPr>
          <w:ilvl w:val="3"/>
          <w:numId w:val="22"/>
        </w:numPr>
        <w:tabs>
          <w:tab w:val="left" w:pos="1679"/>
        </w:tabs>
        <w:spacing w:line="312" w:lineRule="auto"/>
        <w:ind w:right="874"/>
        <w:jc w:val="both"/>
        <w:rPr>
          <w:sz w:val="24"/>
        </w:rPr>
      </w:pPr>
      <w:r>
        <w:rPr>
          <w:sz w:val="24"/>
        </w:rPr>
        <w:t>In case of LT Tariff IIB 1, II B</w:t>
      </w:r>
      <w:r>
        <w:rPr>
          <w:sz w:val="24"/>
        </w:rPr>
        <w:t>2, IIC, IIIA 1, IIIA2, IIIB, V and VI, the fixed charges shall be calculated on the basis of the contracted demand. The  monthly fixed charges shall be calculated on the basis of per kW or part thereof.</w:t>
      </w:r>
    </w:p>
    <w:p w:rsidR="007C5447" w:rsidRDefault="007C5447">
      <w:pPr>
        <w:pStyle w:val="BodyText"/>
        <w:spacing w:before="10"/>
        <w:rPr>
          <w:sz w:val="20"/>
        </w:rPr>
      </w:pPr>
    </w:p>
    <w:p w:rsidR="007C5447" w:rsidRDefault="00F6308C">
      <w:pPr>
        <w:pStyle w:val="ListParagraph"/>
        <w:numPr>
          <w:ilvl w:val="3"/>
          <w:numId w:val="22"/>
        </w:numPr>
        <w:tabs>
          <w:tab w:val="left" w:pos="1679"/>
        </w:tabs>
        <w:spacing w:line="312" w:lineRule="auto"/>
        <w:ind w:right="887"/>
        <w:jc w:val="both"/>
        <w:rPr>
          <w:sz w:val="24"/>
        </w:rPr>
      </w:pPr>
      <w:r>
        <w:rPr>
          <w:sz w:val="24"/>
        </w:rPr>
        <w:t>Supply to welding sets shall be charged 15% extra ir</w:t>
      </w:r>
      <w:r>
        <w:rPr>
          <w:sz w:val="24"/>
        </w:rPr>
        <w:t>respective of category and capacity.</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ListParagraph"/>
        <w:numPr>
          <w:ilvl w:val="3"/>
          <w:numId w:val="22"/>
        </w:numPr>
        <w:tabs>
          <w:tab w:val="left" w:pos="1679"/>
        </w:tabs>
        <w:spacing w:before="60" w:line="312" w:lineRule="auto"/>
        <w:ind w:right="877"/>
        <w:jc w:val="both"/>
        <w:rPr>
          <w:sz w:val="24"/>
        </w:rPr>
      </w:pPr>
      <w:r>
        <w:rPr>
          <w:sz w:val="24"/>
        </w:rPr>
        <w:lastRenderedPageBreak/>
        <w:t>Supply used for any additional construction of building not exceeding 2000 square feet within the consumer’s premises shall be charged under the respective existing tariff except in case of LT tariff I-B and IV. The use of electricity for the additional co</w:t>
      </w:r>
      <w:r>
        <w:rPr>
          <w:sz w:val="24"/>
        </w:rPr>
        <w:t>nstruction purposes beyond 2000 square feet shall be provided with a separate service connection by the licensee and charged under LT Tariff</w:t>
      </w:r>
      <w:r>
        <w:rPr>
          <w:spacing w:val="1"/>
          <w:sz w:val="24"/>
        </w:rPr>
        <w:t xml:space="preserve"> </w:t>
      </w:r>
      <w:r>
        <w:rPr>
          <w:sz w:val="24"/>
        </w:rPr>
        <w:t>VI.</w:t>
      </w:r>
    </w:p>
    <w:p w:rsidR="007C5447" w:rsidRDefault="007C5447">
      <w:pPr>
        <w:pStyle w:val="BodyText"/>
        <w:spacing w:before="11"/>
        <w:rPr>
          <w:sz w:val="20"/>
        </w:rPr>
      </w:pPr>
    </w:p>
    <w:p w:rsidR="007C5447" w:rsidRDefault="00F6308C">
      <w:pPr>
        <w:pStyle w:val="ListParagraph"/>
        <w:numPr>
          <w:ilvl w:val="3"/>
          <w:numId w:val="22"/>
        </w:numPr>
        <w:tabs>
          <w:tab w:val="left" w:pos="1679"/>
        </w:tabs>
        <w:spacing w:line="312" w:lineRule="auto"/>
        <w:ind w:right="874"/>
        <w:jc w:val="both"/>
        <w:rPr>
          <w:sz w:val="24"/>
        </w:rPr>
      </w:pPr>
      <w:r>
        <w:rPr>
          <w:sz w:val="24"/>
        </w:rPr>
        <w:t xml:space="preserve">In case of supply under </w:t>
      </w:r>
      <w:r>
        <w:rPr>
          <w:spacing w:val="-3"/>
          <w:sz w:val="24"/>
        </w:rPr>
        <w:t xml:space="preserve">LT </w:t>
      </w:r>
      <w:r>
        <w:rPr>
          <w:sz w:val="24"/>
        </w:rPr>
        <w:t>Tariff II-B (1), II-B(2), III-B, supply used for creating facilities for the compliance of Acts/Laws or for the facilities incidental to the main purpose of the establishment of the consumer, such as facilities extended to their employees/students/patients</w:t>
      </w:r>
      <w:r>
        <w:rPr>
          <w:sz w:val="24"/>
        </w:rPr>
        <w:t>/residents as the case may be, within the premises of the consumer, shall be considered to be bonafide purpose, irrespective of whether they are outsourced to a third party or provided by the consumer himself. However, if such facilities are extended to th</w:t>
      </w:r>
      <w:r>
        <w:rPr>
          <w:sz w:val="24"/>
        </w:rPr>
        <w:t xml:space="preserve">e public, or if part/full premises are leased/rented out to a service provider like food outlets present in food court, which provide service in their own name, the energy consumption to such facilities shall be metered by the licensee separately and only </w:t>
      </w:r>
      <w:r>
        <w:rPr>
          <w:sz w:val="24"/>
        </w:rPr>
        <w:t>the energy charged under appropriate LT tariff. Such metered energy consumption shall be deducted from the total energy consumption registered in the main meter of the LT supply for</w:t>
      </w:r>
      <w:r>
        <w:rPr>
          <w:spacing w:val="-12"/>
          <w:sz w:val="24"/>
        </w:rPr>
        <w:t xml:space="preserve"> </w:t>
      </w:r>
      <w:r>
        <w:rPr>
          <w:sz w:val="24"/>
        </w:rPr>
        <w:t>billing.</w:t>
      </w:r>
    </w:p>
    <w:p w:rsidR="007C5447" w:rsidRDefault="007C5447">
      <w:pPr>
        <w:pStyle w:val="BodyText"/>
        <w:rPr>
          <w:sz w:val="26"/>
        </w:rPr>
      </w:pPr>
    </w:p>
    <w:p w:rsidR="007C5447" w:rsidRDefault="007C5447">
      <w:pPr>
        <w:pStyle w:val="BodyText"/>
        <w:spacing w:before="2"/>
        <w:rPr>
          <w:sz w:val="26"/>
        </w:rPr>
      </w:pPr>
    </w:p>
    <w:p w:rsidR="007C5447" w:rsidRDefault="00F6308C">
      <w:pPr>
        <w:pStyle w:val="Heading2"/>
        <w:numPr>
          <w:ilvl w:val="2"/>
          <w:numId w:val="22"/>
        </w:numPr>
        <w:tabs>
          <w:tab w:val="left" w:pos="1112"/>
          <w:tab w:val="left" w:pos="1113"/>
        </w:tabs>
        <w:ind w:hanging="853"/>
      </w:pPr>
      <w:r>
        <w:t>Low Tension Tariff I-A</w:t>
      </w:r>
      <w:r>
        <w:rPr>
          <w:spacing w:val="1"/>
        </w:rPr>
        <w:t xml:space="preserve"> </w:t>
      </w:r>
      <w:r>
        <w:t>:</w:t>
      </w:r>
    </w:p>
    <w:p w:rsidR="007C5447" w:rsidRDefault="007C5447">
      <w:pPr>
        <w:pStyle w:val="BodyText"/>
        <w:spacing w:before="1"/>
        <w:rPr>
          <w:b/>
          <w:sz w:val="28"/>
        </w:rPr>
      </w:pPr>
    </w:p>
    <w:tbl>
      <w:tblPr>
        <w:tblW w:w="0" w:type="auto"/>
        <w:tblInd w:w="1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0"/>
        <w:gridCol w:w="2115"/>
        <w:gridCol w:w="2031"/>
        <w:gridCol w:w="2194"/>
      </w:tblGrid>
      <w:tr w:rsidR="007C5447">
        <w:trPr>
          <w:trHeight w:val="556"/>
        </w:trPr>
        <w:tc>
          <w:tcPr>
            <w:tcW w:w="1100" w:type="dxa"/>
            <w:vMerge w:val="restart"/>
            <w:shd w:val="clear" w:color="auto" w:fill="F7C9AC"/>
          </w:tcPr>
          <w:p w:rsidR="007C5447" w:rsidRDefault="007C5447">
            <w:pPr>
              <w:pStyle w:val="TableParagraph"/>
              <w:jc w:val="left"/>
              <w:rPr>
                <w:b/>
              </w:rPr>
            </w:pPr>
          </w:p>
          <w:p w:rsidR="007C5447" w:rsidRDefault="007C5447">
            <w:pPr>
              <w:pStyle w:val="TableParagraph"/>
              <w:jc w:val="left"/>
              <w:rPr>
                <w:b/>
              </w:rPr>
            </w:pPr>
          </w:p>
          <w:p w:rsidR="007C5447" w:rsidRDefault="007C5447">
            <w:pPr>
              <w:pStyle w:val="TableParagraph"/>
              <w:spacing w:before="1"/>
              <w:jc w:val="left"/>
              <w:rPr>
                <w:b/>
                <w:sz w:val="25"/>
              </w:rPr>
            </w:pPr>
          </w:p>
          <w:p w:rsidR="007C5447" w:rsidRDefault="00F6308C">
            <w:pPr>
              <w:pStyle w:val="TableParagraph"/>
              <w:ind w:left="292"/>
              <w:jc w:val="left"/>
              <w:rPr>
                <w:b/>
                <w:sz w:val="20"/>
              </w:rPr>
            </w:pPr>
            <w:r>
              <w:rPr>
                <w:b/>
                <w:sz w:val="20"/>
              </w:rPr>
              <w:t>Tariff</w:t>
            </w:r>
          </w:p>
        </w:tc>
        <w:tc>
          <w:tcPr>
            <w:tcW w:w="2115" w:type="dxa"/>
            <w:vMerge w:val="restart"/>
            <w:shd w:val="clear" w:color="auto" w:fill="F7C9AC"/>
          </w:tcPr>
          <w:p w:rsidR="007C5447" w:rsidRDefault="00F6308C">
            <w:pPr>
              <w:pStyle w:val="TableParagraph"/>
              <w:spacing w:line="276" w:lineRule="auto"/>
              <w:ind w:left="162" w:right="153"/>
              <w:jc w:val="center"/>
              <w:rPr>
                <w:b/>
                <w:sz w:val="20"/>
              </w:rPr>
            </w:pPr>
            <w:r>
              <w:rPr>
                <w:b/>
                <w:sz w:val="20"/>
              </w:rPr>
              <w:t>Consumption slabs – Range i</w:t>
            </w:r>
            <w:r>
              <w:rPr>
                <w:b/>
                <w:sz w:val="20"/>
              </w:rPr>
              <w:t>n kWh(units) and billing period (one or two months)</w:t>
            </w:r>
          </w:p>
        </w:tc>
        <w:tc>
          <w:tcPr>
            <w:tcW w:w="4225" w:type="dxa"/>
            <w:gridSpan w:val="2"/>
            <w:shd w:val="clear" w:color="auto" w:fill="F7C9AC"/>
          </w:tcPr>
          <w:p w:rsidR="007C5447" w:rsidRDefault="00F6308C">
            <w:pPr>
              <w:pStyle w:val="TableParagraph"/>
              <w:ind w:left="772"/>
              <w:jc w:val="left"/>
              <w:rPr>
                <w:b/>
                <w:sz w:val="20"/>
              </w:rPr>
            </w:pPr>
            <w:r>
              <w:rPr>
                <w:b/>
                <w:sz w:val="20"/>
              </w:rPr>
              <w:t>Commission Determined Tariff</w:t>
            </w:r>
          </w:p>
        </w:tc>
      </w:tr>
      <w:tr w:rsidR="007C5447">
        <w:trPr>
          <w:trHeight w:val="530"/>
        </w:trPr>
        <w:tc>
          <w:tcPr>
            <w:tcW w:w="1100" w:type="dxa"/>
            <w:vMerge/>
            <w:tcBorders>
              <w:top w:val="nil"/>
            </w:tcBorders>
            <w:shd w:val="clear" w:color="auto" w:fill="F7C9AC"/>
          </w:tcPr>
          <w:p w:rsidR="007C5447" w:rsidRDefault="007C5447">
            <w:pPr>
              <w:rPr>
                <w:sz w:val="2"/>
                <w:szCs w:val="2"/>
              </w:rPr>
            </w:pPr>
          </w:p>
        </w:tc>
        <w:tc>
          <w:tcPr>
            <w:tcW w:w="2115" w:type="dxa"/>
            <w:vMerge/>
            <w:tcBorders>
              <w:top w:val="nil"/>
            </w:tcBorders>
            <w:shd w:val="clear" w:color="auto" w:fill="F7C9AC"/>
          </w:tcPr>
          <w:p w:rsidR="007C5447" w:rsidRDefault="007C5447">
            <w:pPr>
              <w:rPr>
                <w:sz w:val="2"/>
                <w:szCs w:val="2"/>
              </w:rPr>
            </w:pPr>
          </w:p>
        </w:tc>
        <w:tc>
          <w:tcPr>
            <w:tcW w:w="2031" w:type="dxa"/>
            <w:shd w:val="clear" w:color="auto" w:fill="F7C9AC"/>
          </w:tcPr>
          <w:p w:rsidR="007C5447" w:rsidRDefault="00F6308C">
            <w:pPr>
              <w:pStyle w:val="TableParagraph"/>
              <w:spacing w:before="2"/>
              <w:ind w:left="143" w:right="135"/>
              <w:jc w:val="center"/>
              <w:rPr>
                <w:b/>
                <w:sz w:val="20"/>
              </w:rPr>
            </w:pPr>
            <w:r>
              <w:rPr>
                <w:b/>
                <w:sz w:val="20"/>
              </w:rPr>
              <w:t>Fixed charges</w:t>
            </w:r>
          </w:p>
          <w:p w:rsidR="007C5447" w:rsidRDefault="00F6308C">
            <w:pPr>
              <w:pStyle w:val="TableParagraph"/>
              <w:spacing w:before="34"/>
              <w:ind w:left="143" w:right="138"/>
              <w:jc w:val="center"/>
              <w:rPr>
                <w:b/>
                <w:sz w:val="20"/>
              </w:rPr>
            </w:pPr>
            <w:r>
              <w:rPr>
                <w:b/>
                <w:sz w:val="20"/>
              </w:rPr>
              <w:t>(Rupees per month)</w:t>
            </w:r>
          </w:p>
        </w:tc>
        <w:tc>
          <w:tcPr>
            <w:tcW w:w="2194" w:type="dxa"/>
            <w:shd w:val="clear" w:color="auto" w:fill="F7C9AC"/>
          </w:tcPr>
          <w:p w:rsidR="007C5447" w:rsidRDefault="00F6308C">
            <w:pPr>
              <w:pStyle w:val="TableParagraph"/>
              <w:spacing w:before="2"/>
              <w:ind w:left="301" w:right="297"/>
              <w:jc w:val="center"/>
              <w:rPr>
                <w:b/>
                <w:sz w:val="20"/>
              </w:rPr>
            </w:pPr>
            <w:r>
              <w:rPr>
                <w:b/>
                <w:sz w:val="20"/>
              </w:rPr>
              <w:t>Energy charges in</w:t>
            </w:r>
          </w:p>
          <w:p w:rsidR="007C5447" w:rsidRDefault="00F6308C">
            <w:pPr>
              <w:pStyle w:val="TableParagraph"/>
              <w:spacing w:before="34"/>
              <w:ind w:left="299" w:right="297"/>
              <w:jc w:val="center"/>
              <w:rPr>
                <w:b/>
                <w:sz w:val="20"/>
              </w:rPr>
            </w:pPr>
            <w:r>
              <w:rPr>
                <w:b/>
                <w:sz w:val="20"/>
              </w:rPr>
              <w:t>paise / kWh</w:t>
            </w:r>
          </w:p>
        </w:tc>
      </w:tr>
      <w:tr w:rsidR="007C5447">
        <w:trPr>
          <w:trHeight w:val="530"/>
        </w:trPr>
        <w:tc>
          <w:tcPr>
            <w:tcW w:w="1100" w:type="dxa"/>
            <w:vMerge w:val="restart"/>
          </w:tcPr>
          <w:p w:rsidR="007C5447" w:rsidRDefault="007C5447">
            <w:pPr>
              <w:pStyle w:val="TableParagraph"/>
              <w:jc w:val="left"/>
              <w:rPr>
                <w:b/>
              </w:rPr>
            </w:pPr>
          </w:p>
          <w:p w:rsidR="007C5447" w:rsidRDefault="007C5447">
            <w:pPr>
              <w:pStyle w:val="TableParagraph"/>
              <w:jc w:val="left"/>
              <w:rPr>
                <w:b/>
              </w:rPr>
            </w:pPr>
          </w:p>
          <w:p w:rsidR="007C5447" w:rsidRDefault="007C5447">
            <w:pPr>
              <w:pStyle w:val="TableParagraph"/>
              <w:jc w:val="left"/>
              <w:rPr>
                <w:b/>
              </w:rPr>
            </w:pPr>
          </w:p>
          <w:p w:rsidR="007C5447" w:rsidRDefault="007C5447">
            <w:pPr>
              <w:pStyle w:val="TableParagraph"/>
              <w:jc w:val="left"/>
              <w:rPr>
                <w:b/>
              </w:rPr>
            </w:pPr>
          </w:p>
          <w:p w:rsidR="007C5447" w:rsidRDefault="007C5447">
            <w:pPr>
              <w:pStyle w:val="TableParagraph"/>
              <w:jc w:val="left"/>
              <w:rPr>
                <w:b/>
              </w:rPr>
            </w:pPr>
          </w:p>
          <w:p w:rsidR="007C5447" w:rsidRDefault="007C5447">
            <w:pPr>
              <w:pStyle w:val="TableParagraph"/>
              <w:jc w:val="left"/>
              <w:rPr>
                <w:b/>
              </w:rPr>
            </w:pPr>
          </w:p>
          <w:p w:rsidR="007C5447" w:rsidRDefault="007C5447">
            <w:pPr>
              <w:pStyle w:val="TableParagraph"/>
              <w:jc w:val="left"/>
              <w:rPr>
                <w:b/>
              </w:rPr>
            </w:pPr>
          </w:p>
          <w:p w:rsidR="007C5447" w:rsidRDefault="007C5447">
            <w:pPr>
              <w:pStyle w:val="TableParagraph"/>
              <w:jc w:val="left"/>
              <w:rPr>
                <w:b/>
              </w:rPr>
            </w:pPr>
          </w:p>
          <w:p w:rsidR="007C5447" w:rsidRDefault="007C5447">
            <w:pPr>
              <w:pStyle w:val="TableParagraph"/>
              <w:spacing w:before="1"/>
              <w:jc w:val="left"/>
              <w:rPr>
                <w:b/>
                <w:sz w:val="31"/>
              </w:rPr>
            </w:pPr>
          </w:p>
          <w:p w:rsidR="007C5447" w:rsidRDefault="00F6308C">
            <w:pPr>
              <w:pStyle w:val="TableParagraph"/>
              <w:spacing w:line="276" w:lineRule="auto"/>
              <w:ind w:left="124" w:right="113" w:hanging="3"/>
              <w:jc w:val="center"/>
              <w:rPr>
                <w:b/>
                <w:sz w:val="20"/>
              </w:rPr>
            </w:pPr>
            <w:r>
              <w:rPr>
                <w:b/>
                <w:sz w:val="20"/>
              </w:rPr>
              <w:t>Low Tension Tariff I-A</w:t>
            </w:r>
          </w:p>
        </w:tc>
        <w:tc>
          <w:tcPr>
            <w:tcW w:w="6340" w:type="dxa"/>
            <w:gridSpan w:val="3"/>
          </w:tcPr>
          <w:p w:rsidR="007C5447" w:rsidRDefault="00F6308C">
            <w:pPr>
              <w:pStyle w:val="TableParagraph"/>
              <w:ind w:left="107"/>
              <w:jc w:val="left"/>
              <w:rPr>
                <w:sz w:val="20"/>
              </w:rPr>
            </w:pPr>
            <w:r>
              <w:rPr>
                <w:sz w:val="20"/>
              </w:rPr>
              <w:t>For consumers who consume upto 50 units per month or 100 units for two</w:t>
            </w:r>
          </w:p>
          <w:p w:rsidR="007C5447" w:rsidRDefault="00F6308C">
            <w:pPr>
              <w:pStyle w:val="TableParagraph"/>
              <w:spacing w:before="34"/>
              <w:ind w:left="107"/>
              <w:jc w:val="left"/>
              <w:rPr>
                <w:sz w:val="20"/>
              </w:rPr>
            </w:pPr>
            <w:r>
              <w:rPr>
                <w:sz w:val="20"/>
              </w:rPr>
              <w:t>months *</w:t>
            </w:r>
          </w:p>
        </w:tc>
      </w:tr>
      <w:tr w:rsidR="007C5447">
        <w:trPr>
          <w:trHeight w:val="791"/>
        </w:trPr>
        <w:tc>
          <w:tcPr>
            <w:tcW w:w="1100" w:type="dxa"/>
            <w:vMerge/>
            <w:tcBorders>
              <w:top w:val="nil"/>
            </w:tcBorders>
          </w:tcPr>
          <w:p w:rsidR="007C5447" w:rsidRDefault="007C5447">
            <w:pPr>
              <w:rPr>
                <w:sz w:val="2"/>
                <w:szCs w:val="2"/>
              </w:rPr>
            </w:pPr>
          </w:p>
        </w:tc>
        <w:tc>
          <w:tcPr>
            <w:tcW w:w="2115" w:type="dxa"/>
          </w:tcPr>
          <w:p w:rsidR="007C5447" w:rsidRDefault="00F6308C">
            <w:pPr>
              <w:pStyle w:val="TableParagraph"/>
              <w:ind w:left="107"/>
              <w:jc w:val="left"/>
              <w:rPr>
                <w:sz w:val="20"/>
              </w:rPr>
            </w:pPr>
            <w:r>
              <w:rPr>
                <w:sz w:val="20"/>
              </w:rPr>
              <w:t>From 0 to 50 units per</w:t>
            </w:r>
          </w:p>
          <w:p w:rsidR="007C5447" w:rsidRDefault="00F6308C">
            <w:pPr>
              <w:pStyle w:val="TableParagraph"/>
              <w:spacing w:before="4" w:line="260" w:lineRule="atLeast"/>
              <w:ind w:left="107" w:right="84"/>
              <w:jc w:val="left"/>
              <w:rPr>
                <w:sz w:val="20"/>
              </w:rPr>
            </w:pPr>
            <w:r>
              <w:rPr>
                <w:sz w:val="20"/>
              </w:rPr>
              <w:t>month (or) 0 to 100 units for two months</w:t>
            </w:r>
          </w:p>
        </w:tc>
        <w:tc>
          <w:tcPr>
            <w:tcW w:w="2031" w:type="dxa"/>
          </w:tcPr>
          <w:p w:rsidR="007C5447" w:rsidRDefault="007C5447">
            <w:pPr>
              <w:pStyle w:val="TableParagraph"/>
              <w:spacing w:before="11"/>
              <w:jc w:val="left"/>
              <w:rPr>
                <w:b/>
              </w:rPr>
            </w:pPr>
          </w:p>
          <w:p w:rsidR="007C5447" w:rsidRDefault="00F6308C">
            <w:pPr>
              <w:pStyle w:val="TableParagraph"/>
              <w:ind w:left="143" w:right="135"/>
              <w:jc w:val="center"/>
              <w:rPr>
                <w:sz w:val="20"/>
              </w:rPr>
            </w:pPr>
            <w:r>
              <w:rPr>
                <w:sz w:val="20"/>
              </w:rPr>
              <w:t>15</w:t>
            </w:r>
          </w:p>
        </w:tc>
        <w:tc>
          <w:tcPr>
            <w:tcW w:w="2194" w:type="dxa"/>
          </w:tcPr>
          <w:p w:rsidR="007C5447" w:rsidRDefault="007C5447">
            <w:pPr>
              <w:pStyle w:val="TableParagraph"/>
              <w:spacing w:before="11"/>
              <w:jc w:val="left"/>
              <w:rPr>
                <w:b/>
              </w:rPr>
            </w:pPr>
          </w:p>
          <w:p w:rsidR="007C5447" w:rsidRDefault="00F6308C">
            <w:pPr>
              <w:pStyle w:val="TableParagraph"/>
              <w:ind w:left="945"/>
              <w:jc w:val="left"/>
              <w:rPr>
                <w:sz w:val="20"/>
              </w:rPr>
            </w:pPr>
            <w:r>
              <w:rPr>
                <w:sz w:val="20"/>
              </w:rPr>
              <w:t>250</w:t>
            </w:r>
          </w:p>
        </w:tc>
      </w:tr>
      <w:tr w:rsidR="007C5447">
        <w:trPr>
          <w:trHeight w:val="530"/>
        </w:trPr>
        <w:tc>
          <w:tcPr>
            <w:tcW w:w="1100" w:type="dxa"/>
            <w:vMerge/>
            <w:tcBorders>
              <w:top w:val="nil"/>
            </w:tcBorders>
          </w:tcPr>
          <w:p w:rsidR="007C5447" w:rsidRDefault="007C5447">
            <w:pPr>
              <w:rPr>
                <w:sz w:val="2"/>
                <w:szCs w:val="2"/>
              </w:rPr>
            </w:pPr>
          </w:p>
        </w:tc>
        <w:tc>
          <w:tcPr>
            <w:tcW w:w="6340" w:type="dxa"/>
            <w:gridSpan w:val="3"/>
          </w:tcPr>
          <w:p w:rsidR="007C5447" w:rsidRDefault="00F6308C">
            <w:pPr>
              <w:pStyle w:val="TableParagraph"/>
              <w:spacing w:before="2"/>
              <w:ind w:left="107"/>
              <w:jc w:val="left"/>
              <w:rPr>
                <w:sz w:val="20"/>
              </w:rPr>
            </w:pPr>
            <w:r>
              <w:rPr>
                <w:sz w:val="20"/>
              </w:rPr>
              <w:t>For consumers who consume from 51 units to 100 units per month (or) 101</w:t>
            </w:r>
          </w:p>
          <w:p w:rsidR="007C5447" w:rsidRDefault="00F6308C">
            <w:pPr>
              <w:pStyle w:val="TableParagraph"/>
              <w:spacing w:before="35"/>
              <w:ind w:left="107"/>
              <w:jc w:val="left"/>
              <w:rPr>
                <w:sz w:val="20"/>
              </w:rPr>
            </w:pPr>
            <w:r>
              <w:rPr>
                <w:sz w:val="20"/>
              </w:rPr>
              <w:t>to 200 units for two months</w:t>
            </w:r>
          </w:p>
        </w:tc>
      </w:tr>
      <w:tr w:rsidR="007C5447">
        <w:trPr>
          <w:trHeight w:val="793"/>
        </w:trPr>
        <w:tc>
          <w:tcPr>
            <w:tcW w:w="1100" w:type="dxa"/>
            <w:vMerge/>
            <w:tcBorders>
              <w:top w:val="nil"/>
            </w:tcBorders>
          </w:tcPr>
          <w:p w:rsidR="007C5447" w:rsidRDefault="007C5447">
            <w:pPr>
              <w:rPr>
                <w:sz w:val="2"/>
                <w:szCs w:val="2"/>
              </w:rPr>
            </w:pPr>
          </w:p>
        </w:tc>
        <w:tc>
          <w:tcPr>
            <w:tcW w:w="2115" w:type="dxa"/>
          </w:tcPr>
          <w:p w:rsidR="007C5447" w:rsidRDefault="00F6308C">
            <w:pPr>
              <w:pStyle w:val="TableParagraph"/>
              <w:ind w:left="107"/>
              <w:jc w:val="left"/>
              <w:rPr>
                <w:sz w:val="20"/>
              </w:rPr>
            </w:pPr>
            <w:r>
              <w:rPr>
                <w:sz w:val="20"/>
              </w:rPr>
              <w:t>From 0 to 50 units per</w:t>
            </w:r>
          </w:p>
          <w:p w:rsidR="007C5447" w:rsidRDefault="00F6308C">
            <w:pPr>
              <w:pStyle w:val="TableParagraph"/>
              <w:spacing w:before="8" w:line="266" w:lineRule="exact"/>
              <w:ind w:left="107" w:right="84"/>
              <w:jc w:val="left"/>
              <w:rPr>
                <w:sz w:val="20"/>
              </w:rPr>
            </w:pPr>
            <w:r>
              <w:rPr>
                <w:sz w:val="20"/>
              </w:rPr>
              <w:t>month (or) 0 to 100 units for two months*</w:t>
            </w:r>
          </w:p>
        </w:tc>
        <w:tc>
          <w:tcPr>
            <w:tcW w:w="2031" w:type="dxa"/>
          </w:tcPr>
          <w:p w:rsidR="007C5447" w:rsidRDefault="00F6308C">
            <w:pPr>
              <w:pStyle w:val="TableParagraph"/>
              <w:ind w:left="143" w:right="135"/>
              <w:jc w:val="center"/>
              <w:rPr>
                <w:sz w:val="20"/>
              </w:rPr>
            </w:pPr>
            <w:r>
              <w:rPr>
                <w:sz w:val="20"/>
              </w:rPr>
              <w:t>15</w:t>
            </w:r>
          </w:p>
        </w:tc>
        <w:tc>
          <w:tcPr>
            <w:tcW w:w="2194" w:type="dxa"/>
          </w:tcPr>
          <w:p w:rsidR="007C5447" w:rsidRDefault="00F6308C">
            <w:pPr>
              <w:pStyle w:val="TableParagraph"/>
              <w:ind w:left="945"/>
              <w:jc w:val="left"/>
              <w:rPr>
                <w:sz w:val="20"/>
              </w:rPr>
            </w:pPr>
            <w:r>
              <w:rPr>
                <w:sz w:val="20"/>
              </w:rPr>
              <w:t>250</w:t>
            </w:r>
          </w:p>
        </w:tc>
      </w:tr>
      <w:tr w:rsidR="007C5447">
        <w:trPr>
          <w:trHeight w:val="1058"/>
        </w:trPr>
        <w:tc>
          <w:tcPr>
            <w:tcW w:w="1100" w:type="dxa"/>
            <w:vMerge/>
            <w:tcBorders>
              <w:top w:val="nil"/>
            </w:tcBorders>
          </w:tcPr>
          <w:p w:rsidR="007C5447" w:rsidRDefault="007C5447">
            <w:pPr>
              <w:rPr>
                <w:sz w:val="2"/>
                <w:szCs w:val="2"/>
              </w:rPr>
            </w:pPr>
          </w:p>
        </w:tc>
        <w:tc>
          <w:tcPr>
            <w:tcW w:w="2115" w:type="dxa"/>
          </w:tcPr>
          <w:p w:rsidR="007C5447" w:rsidRDefault="00F6308C">
            <w:pPr>
              <w:pStyle w:val="TableParagraph"/>
              <w:spacing w:line="276" w:lineRule="auto"/>
              <w:ind w:left="107" w:right="84"/>
              <w:jc w:val="left"/>
              <w:rPr>
                <w:sz w:val="20"/>
              </w:rPr>
            </w:pPr>
            <w:r>
              <w:rPr>
                <w:sz w:val="20"/>
              </w:rPr>
              <w:t>From 51 to 100 units per   month   (or)101</w:t>
            </w:r>
            <w:r>
              <w:rPr>
                <w:spacing w:val="23"/>
                <w:sz w:val="20"/>
              </w:rPr>
              <w:t xml:space="preserve"> </w:t>
            </w:r>
            <w:r>
              <w:rPr>
                <w:spacing w:val="-6"/>
                <w:sz w:val="20"/>
              </w:rPr>
              <w:t>to</w:t>
            </w:r>
          </w:p>
          <w:p w:rsidR="007C5447" w:rsidRDefault="00F6308C">
            <w:pPr>
              <w:pStyle w:val="TableParagraph"/>
              <w:tabs>
                <w:tab w:val="left" w:pos="634"/>
                <w:tab w:val="left" w:pos="1246"/>
                <w:tab w:val="left" w:pos="1704"/>
              </w:tabs>
              <w:spacing w:line="229" w:lineRule="exact"/>
              <w:ind w:left="107"/>
              <w:jc w:val="left"/>
              <w:rPr>
                <w:sz w:val="20"/>
              </w:rPr>
            </w:pPr>
            <w:r>
              <w:rPr>
                <w:sz w:val="20"/>
              </w:rPr>
              <w:t>200</w:t>
            </w:r>
            <w:r>
              <w:rPr>
                <w:sz w:val="20"/>
              </w:rPr>
              <w:tab/>
              <w:t>units</w:t>
            </w:r>
            <w:r>
              <w:rPr>
                <w:sz w:val="20"/>
              </w:rPr>
              <w:tab/>
              <w:t>for</w:t>
            </w:r>
            <w:r>
              <w:rPr>
                <w:sz w:val="20"/>
              </w:rPr>
              <w:tab/>
              <w:t>two</w:t>
            </w:r>
          </w:p>
          <w:p w:rsidR="007C5447" w:rsidRDefault="00F6308C">
            <w:pPr>
              <w:pStyle w:val="TableParagraph"/>
              <w:spacing w:before="34"/>
              <w:ind w:left="107"/>
              <w:jc w:val="left"/>
              <w:rPr>
                <w:sz w:val="20"/>
              </w:rPr>
            </w:pPr>
            <w:r>
              <w:rPr>
                <w:sz w:val="20"/>
              </w:rPr>
              <w:t>months</w:t>
            </w:r>
          </w:p>
        </w:tc>
        <w:tc>
          <w:tcPr>
            <w:tcW w:w="2031" w:type="dxa"/>
          </w:tcPr>
          <w:p w:rsidR="007C5447" w:rsidRDefault="007C5447">
            <w:pPr>
              <w:pStyle w:val="TableParagraph"/>
              <w:spacing w:before="11"/>
              <w:jc w:val="left"/>
              <w:rPr>
                <w:b/>
              </w:rPr>
            </w:pPr>
          </w:p>
          <w:p w:rsidR="007C5447" w:rsidRDefault="00F6308C">
            <w:pPr>
              <w:pStyle w:val="TableParagraph"/>
              <w:ind w:left="143" w:right="135"/>
              <w:jc w:val="center"/>
              <w:rPr>
                <w:sz w:val="20"/>
              </w:rPr>
            </w:pPr>
            <w:r>
              <w:rPr>
                <w:sz w:val="20"/>
              </w:rPr>
              <w:t>15</w:t>
            </w:r>
          </w:p>
        </w:tc>
        <w:tc>
          <w:tcPr>
            <w:tcW w:w="2194" w:type="dxa"/>
          </w:tcPr>
          <w:p w:rsidR="007C5447" w:rsidRDefault="007C5447">
            <w:pPr>
              <w:pStyle w:val="TableParagraph"/>
              <w:spacing w:before="11"/>
              <w:jc w:val="left"/>
              <w:rPr>
                <w:b/>
              </w:rPr>
            </w:pPr>
          </w:p>
          <w:p w:rsidR="007C5447" w:rsidRDefault="00F6308C">
            <w:pPr>
              <w:pStyle w:val="TableParagraph"/>
              <w:ind w:left="945"/>
              <w:jc w:val="left"/>
              <w:rPr>
                <w:sz w:val="20"/>
              </w:rPr>
            </w:pPr>
            <w:r>
              <w:rPr>
                <w:sz w:val="20"/>
              </w:rPr>
              <w:t>250</w:t>
            </w:r>
          </w:p>
        </w:tc>
      </w:tr>
      <w:tr w:rsidR="007C5447">
        <w:trPr>
          <w:trHeight w:val="263"/>
        </w:trPr>
        <w:tc>
          <w:tcPr>
            <w:tcW w:w="1100" w:type="dxa"/>
            <w:vMerge/>
            <w:tcBorders>
              <w:top w:val="nil"/>
            </w:tcBorders>
          </w:tcPr>
          <w:p w:rsidR="007C5447" w:rsidRDefault="007C5447">
            <w:pPr>
              <w:rPr>
                <w:sz w:val="2"/>
                <w:szCs w:val="2"/>
              </w:rPr>
            </w:pPr>
          </w:p>
        </w:tc>
        <w:tc>
          <w:tcPr>
            <w:tcW w:w="6340" w:type="dxa"/>
            <w:gridSpan w:val="3"/>
          </w:tcPr>
          <w:p w:rsidR="007C5447" w:rsidRDefault="00F6308C">
            <w:pPr>
              <w:pStyle w:val="TableParagraph"/>
              <w:ind w:left="107"/>
              <w:jc w:val="left"/>
              <w:rPr>
                <w:sz w:val="20"/>
              </w:rPr>
            </w:pPr>
            <w:r>
              <w:rPr>
                <w:sz w:val="20"/>
              </w:rPr>
              <w:t>For consumers who consume from 101 units to 250 units per month (or)</w:t>
            </w:r>
          </w:p>
        </w:tc>
      </w:tr>
    </w:tbl>
    <w:p w:rsidR="007C5447" w:rsidRDefault="007C5447">
      <w:pPr>
        <w:rPr>
          <w:sz w:val="20"/>
        </w:rPr>
        <w:sectPr w:rsidR="007C5447">
          <w:pgSz w:w="11910" w:h="16840"/>
          <w:pgMar w:top="1360" w:right="560" w:bottom="1240" w:left="1180" w:header="0" w:footer="1057" w:gutter="0"/>
          <w:cols w:space="720"/>
        </w:sectPr>
      </w:pPr>
    </w:p>
    <w:tbl>
      <w:tblPr>
        <w:tblW w:w="0" w:type="auto"/>
        <w:tblInd w:w="1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0"/>
        <w:gridCol w:w="2115"/>
        <w:gridCol w:w="2031"/>
        <w:gridCol w:w="2194"/>
      </w:tblGrid>
      <w:tr w:rsidR="007C5447">
        <w:trPr>
          <w:trHeight w:val="556"/>
        </w:trPr>
        <w:tc>
          <w:tcPr>
            <w:tcW w:w="1100" w:type="dxa"/>
            <w:vMerge w:val="restart"/>
            <w:tcBorders>
              <w:bottom w:val="nil"/>
            </w:tcBorders>
            <w:shd w:val="clear" w:color="auto" w:fill="F7C9AC"/>
          </w:tcPr>
          <w:p w:rsidR="007C5447" w:rsidRDefault="007C5447">
            <w:pPr>
              <w:pStyle w:val="TableParagraph"/>
              <w:jc w:val="left"/>
              <w:rPr>
                <w:b/>
              </w:rPr>
            </w:pPr>
          </w:p>
          <w:p w:rsidR="007C5447" w:rsidRDefault="007C5447">
            <w:pPr>
              <w:pStyle w:val="TableParagraph"/>
              <w:jc w:val="left"/>
              <w:rPr>
                <w:b/>
              </w:rPr>
            </w:pPr>
          </w:p>
          <w:p w:rsidR="007C5447" w:rsidRDefault="007C5447">
            <w:pPr>
              <w:pStyle w:val="TableParagraph"/>
              <w:spacing w:before="1"/>
              <w:jc w:val="left"/>
              <w:rPr>
                <w:b/>
                <w:sz w:val="25"/>
              </w:rPr>
            </w:pPr>
          </w:p>
          <w:p w:rsidR="007C5447" w:rsidRDefault="00F6308C">
            <w:pPr>
              <w:pStyle w:val="TableParagraph"/>
              <w:ind w:left="292"/>
              <w:jc w:val="left"/>
              <w:rPr>
                <w:b/>
                <w:sz w:val="20"/>
              </w:rPr>
            </w:pPr>
            <w:r>
              <w:rPr>
                <w:b/>
                <w:sz w:val="20"/>
              </w:rPr>
              <w:t>Tariff</w:t>
            </w:r>
          </w:p>
        </w:tc>
        <w:tc>
          <w:tcPr>
            <w:tcW w:w="2115" w:type="dxa"/>
            <w:vMerge w:val="restart"/>
            <w:shd w:val="clear" w:color="auto" w:fill="F7C9AC"/>
          </w:tcPr>
          <w:p w:rsidR="007C5447" w:rsidRDefault="00F6308C">
            <w:pPr>
              <w:pStyle w:val="TableParagraph"/>
              <w:spacing w:line="276" w:lineRule="auto"/>
              <w:ind w:left="162" w:right="153"/>
              <w:jc w:val="center"/>
              <w:rPr>
                <w:b/>
                <w:sz w:val="20"/>
              </w:rPr>
            </w:pPr>
            <w:r>
              <w:rPr>
                <w:b/>
                <w:sz w:val="20"/>
              </w:rPr>
              <w:t>Consumption slabs – Range in kWh(units) and billing period (one or two months)</w:t>
            </w:r>
          </w:p>
        </w:tc>
        <w:tc>
          <w:tcPr>
            <w:tcW w:w="4225" w:type="dxa"/>
            <w:gridSpan w:val="2"/>
            <w:shd w:val="clear" w:color="auto" w:fill="F7C9AC"/>
          </w:tcPr>
          <w:p w:rsidR="007C5447" w:rsidRDefault="00F6308C">
            <w:pPr>
              <w:pStyle w:val="TableParagraph"/>
              <w:ind w:left="772"/>
              <w:jc w:val="left"/>
              <w:rPr>
                <w:b/>
                <w:sz w:val="20"/>
              </w:rPr>
            </w:pPr>
            <w:r>
              <w:rPr>
                <w:b/>
                <w:sz w:val="20"/>
              </w:rPr>
              <w:t>Commission Determined Tariff</w:t>
            </w:r>
          </w:p>
        </w:tc>
      </w:tr>
      <w:tr w:rsidR="007C5447">
        <w:trPr>
          <w:trHeight w:val="530"/>
        </w:trPr>
        <w:tc>
          <w:tcPr>
            <w:tcW w:w="1100" w:type="dxa"/>
            <w:vMerge/>
            <w:tcBorders>
              <w:top w:val="nil"/>
              <w:bottom w:val="nil"/>
            </w:tcBorders>
            <w:shd w:val="clear" w:color="auto" w:fill="F7C9AC"/>
          </w:tcPr>
          <w:p w:rsidR="007C5447" w:rsidRDefault="007C5447">
            <w:pPr>
              <w:rPr>
                <w:sz w:val="2"/>
                <w:szCs w:val="2"/>
              </w:rPr>
            </w:pPr>
          </w:p>
        </w:tc>
        <w:tc>
          <w:tcPr>
            <w:tcW w:w="2115" w:type="dxa"/>
            <w:vMerge/>
            <w:tcBorders>
              <w:top w:val="nil"/>
            </w:tcBorders>
            <w:shd w:val="clear" w:color="auto" w:fill="F7C9AC"/>
          </w:tcPr>
          <w:p w:rsidR="007C5447" w:rsidRDefault="007C5447">
            <w:pPr>
              <w:rPr>
                <w:sz w:val="2"/>
                <w:szCs w:val="2"/>
              </w:rPr>
            </w:pPr>
          </w:p>
        </w:tc>
        <w:tc>
          <w:tcPr>
            <w:tcW w:w="2031" w:type="dxa"/>
            <w:shd w:val="clear" w:color="auto" w:fill="F7C9AC"/>
          </w:tcPr>
          <w:p w:rsidR="007C5447" w:rsidRDefault="00F6308C">
            <w:pPr>
              <w:pStyle w:val="TableParagraph"/>
              <w:ind w:left="143" w:right="135"/>
              <w:jc w:val="center"/>
              <w:rPr>
                <w:b/>
                <w:sz w:val="20"/>
              </w:rPr>
            </w:pPr>
            <w:r>
              <w:rPr>
                <w:b/>
                <w:sz w:val="20"/>
              </w:rPr>
              <w:t>Fixed charges</w:t>
            </w:r>
          </w:p>
          <w:p w:rsidR="007C5447" w:rsidRDefault="00F6308C">
            <w:pPr>
              <w:pStyle w:val="TableParagraph"/>
              <w:spacing w:before="36"/>
              <w:ind w:left="143" w:right="138"/>
              <w:jc w:val="center"/>
              <w:rPr>
                <w:b/>
                <w:sz w:val="20"/>
              </w:rPr>
            </w:pPr>
            <w:r>
              <w:rPr>
                <w:b/>
                <w:sz w:val="20"/>
              </w:rPr>
              <w:t>(Rupees per month)</w:t>
            </w:r>
          </w:p>
        </w:tc>
        <w:tc>
          <w:tcPr>
            <w:tcW w:w="2194" w:type="dxa"/>
            <w:shd w:val="clear" w:color="auto" w:fill="F7C9AC"/>
          </w:tcPr>
          <w:p w:rsidR="007C5447" w:rsidRDefault="00F6308C">
            <w:pPr>
              <w:pStyle w:val="TableParagraph"/>
              <w:ind w:left="301" w:right="297"/>
              <w:jc w:val="center"/>
              <w:rPr>
                <w:b/>
                <w:sz w:val="20"/>
              </w:rPr>
            </w:pPr>
            <w:r>
              <w:rPr>
                <w:b/>
                <w:sz w:val="20"/>
              </w:rPr>
              <w:t>Energy charges in</w:t>
            </w:r>
          </w:p>
          <w:p w:rsidR="007C5447" w:rsidRDefault="00F6308C">
            <w:pPr>
              <w:pStyle w:val="TableParagraph"/>
              <w:spacing w:before="36"/>
              <w:ind w:left="299" w:right="297"/>
              <w:jc w:val="center"/>
              <w:rPr>
                <w:b/>
                <w:sz w:val="20"/>
              </w:rPr>
            </w:pPr>
            <w:r>
              <w:rPr>
                <w:b/>
                <w:sz w:val="20"/>
              </w:rPr>
              <w:t>paise / kWh</w:t>
            </w:r>
          </w:p>
        </w:tc>
      </w:tr>
      <w:tr w:rsidR="007C5447">
        <w:trPr>
          <w:trHeight w:val="263"/>
        </w:trPr>
        <w:tc>
          <w:tcPr>
            <w:tcW w:w="1100" w:type="dxa"/>
            <w:vMerge w:val="restart"/>
            <w:tcBorders>
              <w:top w:val="nil"/>
            </w:tcBorders>
          </w:tcPr>
          <w:p w:rsidR="007C5447" w:rsidRDefault="007C5447">
            <w:pPr>
              <w:pStyle w:val="TableParagraph"/>
              <w:jc w:val="left"/>
              <w:rPr>
                <w:sz w:val="20"/>
              </w:rPr>
            </w:pPr>
          </w:p>
        </w:tc>
        <w:tc>
          <w:tcPr>
            <w:tcW w:w="6340" w:type="dxa"/>
            <w:gridSpan w:val="3"/>
          </w:tcPr>
          <w:p w:rsidR="007C5447" w:rsidRDefault="00F6308C">
            <w:pPr>
              <w:pStyle w:val="TableParagraph"/>
              <w:ind w:left="107"/>
              <w:jc w:val="left"/>
              <w:rPr>
                <w:sz w:val="20"/>
              </w:rPr>
            </w:pPr>
            <w:r>
              <w:rPr>
                <w:sz w:val="20"/>
              </w:rPr>
              <w:t>201 units to 500 units for two months</w:t>
            </w:r>
          </w:p>
        </w:tc>
      </w:tr>
      <w:tr w:rsidR="007C5447">
        <w:trPr>
          <w:trHeight w:val="793"/>
        </w:trPr>
        <w:tc>
          <w:tcPr>
            <w:tcW w:w="1100" w:type="dxa"/>
            <w:vMerge/>
            <w:tcBorders>
              <w:top w:val="nil"/>
            </w:tcBorders>
          </w:tcPr>
          <w:p w:rsidR="007C5447" w:rsidRDefault="007C5447">
            <w:pPr>
              <w:rPr>
                <w:sz w:val="2"/>
                <w:szCs w:val="2"/>
              </w:rPr>
            </w:pPr>
          </w:p>
        </w:tc>
        <w:tc>
          <w:tcPr>
            <w:tcW w:w="2115" w:type="dxa"/>
          </w:tcPr>
          <w:p w:rsidR="007C5447" w:rsidRDefault="00F6308C">
            <w:pPr>
              <w:pStyle w:val="TableParagraph"/>
              <w:ind w:left="107"/>
              <w:jc w:val="left"/>
              <w:rPr>
                <w:sz w:val="20"/>
              </w:rPr>
            </w:pPr>
            <w:r>
              <w:rPr>
                <w:sz w:val="20"/>
              </w:rPr>
              <w:t>From 0 to 50 units per</w:t>
            </w:r>
          </w:p>
          <w:p w:rsidR="007C5447" w:rsidRDefault="00F6308C">
            <w:pPr>
              <w:pStyle w:val="TableParagraph"/>
              <w:tabs>
                <w:tab w:val="left" w:pos="1238"/>
              </w:tabs>
              <w:spacing w:before="6" w:line="260" w:lineRule="atLeast"/>
              <w:ind w:left="107" w:right="96"/>
              <w:jc w:val="left"/>
              <w:rPr>
                <w:sz w:val="20"/>
              </w:rPr>
            </w:pPr>
            <w:r>
              <w:rPr>
                <w:sz w:val="20"/>
              </w:rPr>
              <w:t xml:space="preserve">month </w:t>
            </w:r>
            <w:r>
              <w:rPr>
                <w:spacing w:val="4"/>
                <w:sz w:val="20"/>
              </w:rPr>
              <w:t xml:space="preserve"> </w:t>
            </w:r>
            <w:r>
              <w:rPr>
                <w:sz w:val="20"/>
              </w:rPr>
              <w:t>(or)</w:t>
            </w:r>
            <w:r>
              <w:rPr>
                <w:sz w:val="20"/>
              </w:rPr>
              <w:tab/>
              <w:t xml:space="preserve">0 to </w:t>
            </w:r>
            <w:r>
              <w:rPr>
                <w:spacing w:val="-6"/>
                <w:sz w:val="20"/>
              </w:rPr>
              <w:t xml:space="preserve">100 </w:t>
            </w:r>
            <w:r>
              <w:rPr>
                <w:sz w:val="20"/>
              </w:rPr>
              <w:t>units for two</w:t>
            </w:r>
            <w:r>
              <w:rPr>
                <w:spacing w:val="-4"/>
                <w:sz w:val="20"/>
              </w:rPr>
              <w:t xml:space="preserve"> </w:t>
            </w:r>
            <w:r>
              <w:rPr>
                <w:sz w:val="20"/>
              </w:rPr>
              <w:t>months*</w:t>
            </w:r>
          </w:p>
        </w:tc>
        <w:tc>
          <w:tcPr>
            <w:tcW w:w="2031" w:type="dxa"/>
            <w:vMerge w:val="restart"/>
          </w:tcPr>
          <w:p w:rsidR="007C5447" w:rsidRDefault="00F6308C">
            <w:pPr>
              <w:pStyle w:val="TableParagraph"/>
              <w:ind w:left="143" w:right="135"/>
              <w:jc w:val="center"/>
              <w:rPr>
                <w:sz w:val="20"/>
              </w:rPr>
            </w:pPr>
            <w:r>
              <w:rPr>
                <w:sz w:val="20"/>
              </w:rPr>
              <w:t>20</w:t>
            </w:r>
          </w:p>
        </w:tc>
        <w:tc>
          <w:tcPr>
            <w:tcW w:w="2194" w:type="dxa"/>
          </w:tcPr>
          <w:p w:rsidR="007C5447" w:rsidRDefault="00F6308C">
            <w:pPr>
              <w:pStyle w:val="TableParagraph"/>
              <w:ind w:left="945"/>
              <w:jc w:val="left"/>
              <w:rPr>
                <w:sz w:val="20"/>
              </w:rPr>
            </w:pPr>
            <w:r>
              <w:rPr>
                <w:sz w:val="20"/>
              </w:rPr>
              <w:t>250</w:t>
            </w:r>
          </w:p>
        </w:tc>
      </w:tr>
      <w:tr w:rsidR="007C5447">
        <w:trPr>
          <w:trHeight w:val="1057"/>
        </w:trPr>
        <w:tc>
          <w:tcPr>
            <w:tcW w:w="1100" w:type="dxa"/>
            <w:vMerge/>
            <w:tcBorders>
              <w:top w:val="nil"/>
            </w:tcBorders>
          </w:tcPr>
          <w:p w:rsidR="007C5447" w:rsidRDefault="007C5447">
            <w:pPr>
              <w:rPr>
                <w:sz w:val="2"/>
                <w:szCs w:val="2"/>
              </w:rPr>
            </w:pPr>
          </w:p>
        </w:tc>
        <w:tc>
          <w:tcPr>
            <w:tcW w:w="2115" w:type="dxa"/>
          </w:tcPr>
          <w:p w:rsidR="007C5447" w:rsidRDefault="00F6308C">
            <w:pPr>
              <w:pStyle w:val="TableParagraph"/>
              <w:spacing w:line="276" w:lineRule="auto"/>
              <w:ind w:left="107" w:right="96"/>
              <w:jc w:val="left"/>
              <w:rPr>
                <w:sz w:val="20"/>
              </w:rPr>
            </w:pPr>
            <w:r>
              <w:rPr>
                <w:sz w:val="20"/>
              </w:rPr>
              <w:t xml:space="preserve">From 51 to 100 </w:t>
            </w:r>
            <w:r>
              <w:rPr>
                <w:spacing w:val="-4"/>
                <w:sz w:val="20"/>
              </w:rPr>
              <w:t xml:space="preserve">units </w:t>
            </w:r>
            <w:r>
              <w:rPr>
                <w:sz w:val="20"/>
              </w:rPr>
              <w:t xml:space="preserve">per month (or)   101 </w:t>
            </w:r>
            <w:r>
              <w:rPr>
                <w:spacing w:val="22"/>
                <w:sz w:val="20"/>
              </w:rPr>
              <w:t xml:space="preserve"> </w:t>
            </w:r>
            <w:r>
              <w:rPr>
                <w:spacing w:val="-6"/>
                <w:sz w:val="20"/>
              </w:rPr>
              <w:t>to</w:t>
            </w:r>
          </w:p>
          <w:p w:rsidR="007C5447" w:rsidRDefault="00F6308C">
            <w:pPr>
              <w:pStyle w:val="TableParagraph"/>
              <w:tabs>
                <w:tab w:val="left" w:pos="634"/>
                <w:tab w:val="left" w:pos="1246"/>
                <w:tab w:val="left" w:pos="1704"/>
              </w:tabs>
              <w:spacing w:before="1"/>
              <w:ind w:left="107"/>
              <w:jc w:val="left"/>
              <w:rPr>
                <w:sz w:val="20"/>
              </w:rPr>
            </w:pPr>
            <w:r>
              <w:rPr>
                <w:sz w:val="20"/>
              </w:rPr>
              <w:t>200</w:t>
            </w:r>
            <w:r>
              <w:rPr>
                <w:sz w:val="20"/>
              </w:rPr>
              <w:tab/>
              <w:t>units</w:t>
            </w:r>
            <w:r>
              <w:rPr>
                <w:sz w:val="20"/>
              </w:rPr>
              <w:tab/>
              <w:t>for</w:t>
            </w:r>
            <w:r>
              <w:rPr>
                <w:sz w:val="20"/>
              </w:rPr>
              <w:tab/>
              <w:t>two</w:t>
            </w:r>
          </w:p>
          <w:p w:rsidR="007C5447" w:rsidRDefault="00F6308C">
            <w:pPr>
              <w:pStyle w:val="TableParagraph"/>
              <w:spacing w:before="34"/>
              <w:ind w:left="107"/>
              <w:jc w:val="left"/>
              <w:rPr>
                <w:sz w:val="20"/>
              </w:rPr>
            </w:pPr>
            <w:r>
              <w:rPr>
                <w:sz w:val="20"/>
              </w:rPr>
              <w:t>months</w:t>
            </w:r>
          </w:p>
        </w:tc>
        <w:tc>
          <w:tcPr>
            <w:tcW w:w="2031" w:type="dxa"/>
            <w:vMerge/>
            <w:tcBorders>
              <w:top w:val="nil"/>
            </w:tcBorders>
          </w:tcPr>
          <w:p w:rsidR="007C5447" w:rsidRDefault="007C5447">
            <w:pPr>
              <w:rPr>
                <w:sz w:val="2"/>
                <w:szCs w:val="2"/>
              </w:rPr>
            </w:pPr>
          </w:p>
        </w:tc>
        <w:tc>
          <w:tcPr>
            <w:tcW w:w="2194" w:type="dxa"/>
          </w:tcPr>
          <w:p w:rsidR="007C5447" w:rsidRDefault="00F6308C">
            <w:pPr>
              <w:pStyle w:val="TableParagraph"/>
              <w:ind w:left="945"/>
              <w:jc w:val="left"/>
              <w:rPr>
                <w:sz w:val="20"/>
              </w:rPr>
            </w:pPr>
            <w:r>
              <w:rPr>
                <w:sz w:val="20"/>
              </w:rPr>
              <w:t>250</w:t>
            </w:r>
          </w:p>
        </w:tc>
      </w:tr>
      <w:tr w:rsidR="007C5447">
        <w:trPr>
          <w:trHeight w:val="1058"/>
        </w:trPr>
        <w:tc>
          <w:tcPr>
            <w:tcW w:w="1100" w:type="dxa"/>
            <w:vMerge/>
            <w:tcBorders>
              <w:top w:val="nil"/>
            </w:tcBorders>
          </w:tcPr>
          <w:p w:rsidR="007C5447" w:rsidRDefault="007C5447">
            <w:pPr>
              <w:rPr>
                <w:sz w:val="2"/>
                <w:szCs w:val="2"/>
              </w:rPr>
            </w:pPr>
          </w:p>
        </w:tc>
        <w:tc>
          <w:tcPr>
            <w:tcW w:w="2115" w:type="dxa"/>
          </w:tcPr>
          <w:p w:rsidR="007C5447" w:rsidRDefault="00F6308C">
            <w:pPr>
              <w:pStyle w:val="TableParagraph"/>
              <w:spacing w:line="276" w:lineRule="auto"/>
              <w:ind w:left="107"/>
              <w:jc w:val="left"/>
              <w:rPr>
                <w:sz w:val="20"/>
              </w:rPr>
            </w:pPr>
            <w:r>
              <w:rPr>
                <w:sz w:val="20"/>
              </w:rPr>
              <w:t>From 101 to 250 units per  month  (or)  201</w:t>
            </w:r>
            <w:r>
              <w:rPr>
                <w:spacing w:val="24"/>
                <w:sz w:val="20"/>
              </w:rPr>
              <w:t xml:space="preserve"> </w:t>
            </w:r>
            <w:r>
              <w:rPr>
                <w:spacing w:val="-7"/>
                <w:sz w:val="20"/>
              </w:rPr>
              <w:t>to</w:t>
            </w:r>
          </w:p>
          <w:p w:rsidR="007C5447" w:rsidRDefault="00F6308C">
            <w:pPr>
              <w:pStyle w:val="TableParagraph"/>
              <w:tabs>
                <w:tab w:val="left" w:pos="634"/>
                <w:tab w:val="left" w:pos="1246"/>
                <w:tab w:val="left" w:pos="1704"/>
              </w:tabs>
              <w:spacing w:line="230" w:lineRule="exact"/>
              <w:ind w:left="107"/>
              <w:jc w:val="left"/>
              <w:rPr>
                <w:sz w:val="20"/>
              </w:rPr>
            </w:pPr>
            <w:r>
              <w:rPr>
                <w:sz w:val="20"/>
              </w:rPr>
              <w:t>500</w:t>
            </w:r>
            <w:r>
              <w:rPr>
                <w:sz w:val="20"/>
              </w:rPr>
              <w:tab/>
              <w:t>units</w:t>
            </w:r>
            <w:r>
              <w:rPr>
                <w:sz w:val="20"/>
              </w:rPr>
              <w:tab/>
              <w:t>for</w:t>
            </w:r>
            <w:r>
              <w:rPr>
                <w:sz w:val="20"/>
              </w:rPr>
              <w:tab/>
              <w:t>two</w:t>
            </w:r>
          </w:p>
          <w:p w:rsidR="007C5447" w:rsidRDefault="00F6308C">
            <w:pPr>
              <w:pStyle w:val="TableParagraph"/>
              <w:spacing w:before="36"/>
              <w:ind w:left="107"/>
              <w:jc w:val="left"/>
              <w:rPr>
                <w:sz w:val="20"/>
              </w:rPr>
            </w:pPr>
            <w:r>
              <w:rPr>
                <w:sz w:val="20"/>
              </w:rPr>
              <w:t>months</w:t>
            </w:r>
          </w:p>
        </w:tc>
        <w:tc>
          <w:tcPr>
            <w:tcW w:w="2031" w:type="dxa"/>
            <w:vMerge/>
            <w:tcBorders>
              <w:top w:val="nil"/>
            </w:tcBorders>
          </w:tcPr>
          <w:p w:rsidR="007C5447" w:rsidRDefault="007C5447">
            <w:pPr>
              <w:rPr>
                <w:sz w:val="2"/>
                <w:szCs w:val="2"/>
              </w:rPr>
            </w:pPr>
          </w:p>
        </w:tc>
        <w:tc>
          <w:tcPr>
            <w:tcW w:w="2194" w:type="dxa"/>
          </w:tcPr>
          <w:p w:rsidR="007C5447" w:rsidRDefault="00F6308C">
            <w:pPr>
              <w:pStyle w:val="TableParagraph"/>
              <w:ind w:left="945"/>
              <w:jc w:val="left"/>
              <w:rPr>
                <w:sz w:val="20"/>
              </w:rPr>
            </w:pPr>
            <w:r>
              <w:rPr>
                <w:sz w:val="20"/>
              </w:rPr>
              <w:t>300</w:t>
            </w:r>
          </w:p>
        </w:tc>
      </w:tr>
      <w:tr w:rsidR="007C5447">
        <w:trPr>
          <w:trHeight w:val="527"/>
        </w:trPr>
        <w:tc>
          <w:tcPr>
            <w:tcW w:w="1100" w:type="dxa"/>
            <w:vMerge/>
            <w:tcBorders>
              <w:top w:val="nil"/>
            </w:tcBorders>
          </w:tcPr>
          <w:p w:rsidR="007C5447" w:rsidRDefault="007C5447">
            <w:pPr>
              <w:rPr>
                <w:sz w:val="2"/>
                <w:szCs w:val="2"/>
              </w:rPr>
            </w:pPr>
          </w:p>
        </w:tc>
        <w:tc>
          <w:tcPr>
            <w:tcW w:w="6340" w:type="dxa"/>
            <w:gridSpan w:val="3"/>
          </w:tcPr>
          <w:p w:rsidR="007C5447" w:rsidRDefault="00F6308C">
            <w:pPr>
              <w:pStyle w:val="TableParagraph"/>
              <w:ind w:left="107"/>
              <w:jc w:val="left"/>
              <w:rPr>
                <w:sz w:val="20"/>
              </w:rPr>
            </w:pPr>
            <w:r>
              <w:rPr>
                <w:sz w:val="20"/>
              </w:rPr>
              <w:t>For consumers who consume 251 units and above per month (or) 501 units</w:t>
            </w:r>
          </w:p>
          <w:p w:rsidR="007C5447" w:rsidRDefault="00F6308C">
            <w:pPr>
              <w:pStyle w:val="TableParagraph"/>
              <w:spacing w:before="34"/>
              <w:ind w:left="107"/>
              <w:jc w:val="left"/>
              <w:rPr>
                <w:sz w:val="20"/>
              </w:rPr>
            </w:pPr>
            <w:r>
              <w:rPr>
                <w:sz w:val="20"/>
              </w:rPr>
              <w:t>and above for two months</w:t>
            </w:r>
          </w:p>
        </w:tc>
      </w:tr>
      <w:tr w:rsidR="007C5447">
        <w:trPr>
          <w:trHeight w:val="793"/>
        </w:trPr>
        <w:tc>
          <w:tcPr>
            <w:tcW w:w="1100" w:type="dxa"/>
            <w:vMerge/>
            <w:tcBorders>
              <w:top w:val="nil"/>
            </w:tcBorders>
          </w:tcPr>
          <w:p w:rsidR="007C5447" w:rsidRDefault="007C5447">
            <w:pPr>
              <w:rPr>
                <w:sz w:val="2"/>
                <w:szCs w:val="2"/>
              </w:rPr>
            </w:pPr>
          </w:p>
        </w:tc>
        <w:tc>
          <w:tcPr>
            <w:tcW w:w="2115" w:type="dxa"/>
          </w:tcPr>
          <w:p w:rsidR="007C5447" w:rsidRDefault="00F6308C">
            <w:pPr>
              <w:pStyle w:val="TableParagraph"/>
              <w:spacing w:before="2"/>
              <w:ind w:left="107"/>
              <w:jc w:val="left"/>
              <w:rPr>
                <w:sz w:val="20"/>
              </w:rPr>
            </w:pPr>
            <w:r>
              <w:rPr>
                <w:sz w:val="20"/>
              </w:rPr>
              <w:t>From 0 to 50 units per</w:t>
            </w:r>
          </w:p>
          <w:p w:rsidR="007C5447" w:rsidRDefault="00F6308C">
            <w:pPr>
              <w:pStyle w:val="TableParagraph"/>
              <w:tabs>
                <w:tab w:val="left" w:pos="1238"/>
              </w:tabs>
              <w:spacing w:before="4" w:line="260" w:lineRule="atLeast"/>
              <w:ind w:left="107" w:right="96"/>
              <w:jc w:val="left"/>
              <w:rPr>
                <w:sz w:val="20"/>
              </w:rPr>
            </w:pPr>
            <w:r>
              <w:rPr>
                <w:sz w:val="20"/>
              </w:rPr>
              <w:t xml:space="preserve">month </w:t>
            </w:r>
            <w:r>
              <w:rPr>
                <w:spacing w:val="4"/>
                <w:sz w:val="20"/>
              </w:rPr>
              <w:t xml:space="preserve"> </w:t>
            </w:r>
            <w:r>
              <w:rPr>
                <w:sz w:val="20"/>
              </w:rPr>
              <w:t>(or)</w:t>
            </w:r>
            <w:r>
              <w:rPr>
                <w:sz w:val="20"/>
              </w:rPr>
              <w:tab/>
              <w:t xml:space="preserve">0 to </w:t>
            </w:r>
            <w:r>
              <w:rPr>
                <w:spacing w:val="-6"/>
                <w:sz w:val="20"/>
              </w:rPr>
              <w:t xml:space="preserve">100 </w:t>
            </w:r>
            <w:r>
              <w:rPr>
                <w:sz w:val="20"/>
              </w:rPr>
              <w:t>units for two</w:t>
            </w:r>
            <w:r>
              <w:rPr>
                <w:spacing w:val="-4"/>
                <w:sz w:val="20"/>
              </w:rPr>
              <w:t xml:space="preserve"> </w:t>
            </w:r>
            <w:r>
              <w:rPr>
                <w:sz w:val="20"/>
              </w:rPr>
              <w:t>months*</w:t>
            </w:r>
          </w:p>
        </w:tc>
        <w:tc>
          <w:tcPr>
            <w:tcW w:w="2031" w:type="dxa"/>
            <w:vMerge w:val="restart"/>
          </w:tcPr>
          <w:p w:rsidR="007C5447" w:rsidRDefault="007C5447">
            <w:pPr>
              <w:pStyle w:val="TableParagraph"/>
              <w:jc w:val="left"/>
              <w:rPr>
                <w:b/>
              </w:rPr>
            </w:pPr>
          </w:p>
          <w:p w:rsidR="007C5447" w:rsidRDefault="007C5447">
            <w:pPr>
              <w:pStyle w:val="TableParagraph"/>
              <w:jc w:val="left"/>
              <w:rPr>
                <w:b/>
              </w:rPr>
            </w:pPr>
          </w:p>
          <w:p w:rsidR="007C5447" w:rsidRDefault="007C5447">
            <w:pPr>
              <w:pStyle w:val="TableParagraph"/>
              <w:jc w:val="left"/>
              <w:rPr>
                <w:b/>
              </w:rPr>
            </w:pPr>
          </w:p>
          <w:p w:rsidR="007C5447" w:rsidRDefault="007C5447">
            <w:pPr>
              <w:pStyle w:val="TableParagraph"/>
              <w:jc w:val="left"/>
              <w:rPr>
                <w:b/>
              </w:rPr>
            </w:pPr>
          </w:p>
          <w:p w:rsidR="007C5447" w:rsidRDefault="007C5447">
            <w:pPr>
              <w:pStyle w:val="TableParagraph"/>
              <w:spacing w:before="2"/>
              <w:jc w:val="left"/>
              <w:rPr>
                <w:b/>
                <w:sz w:val="27"/>
              </w:rPr>
            </w:pPr>
          </w:p>
          <w:p w:rsidR="007C5447" w:rsidRDefault="00F6308C">
            <w:pPr>
              <w:pStyle w:val="TableParagraph"/>
              <w:ind w:left="143" w:right="135"/>
              <w:jc w:val="center"/>
              <w:rPr>
                <w:sz w:val="20"/>
              </w:rPr>
            </w:pPr>
            <w:r>
              <w:rPr>
                <w:sz w:val="20"/>
              </w:rPr>
              <w:t>25</w:t>
            </w:r>
          </w:p>
        </w:tc>
        <w:tc>
          <w:tcPr>
            <w:tcW w:w="2194" w:type="dxa"/>
          </w:tcPr>
          <w:p w:rsidR="007C5447" w:rsidRDefault="00F6308C">
            <w:pPr>
              <w:pStyle w:val="TableParagraph"/>
              <w:spacing w:before="2"/>
              <w:ind w:left="945"/>
              <w:jc w:val="left"/>
              <w:rPr>
                <w:sz w:val="20"/>
              </w:rPr>
            </w:pPr>
            <w:r>
              <w:rPr>
                <w:sz w:val="20"/>
              </w:rPr>
              <w:t>250</w:t>
            </w:r>
          </w:p>
        </w:tc>
      </w:tr>
      <w:tr w:rsidR="007C5447">
        <w:trPr>
          <w:trHeight w:val="1058"/>
        </w:trPr>
        <w:tc>
          <w:tcPr>
            <w:tcW w:w="1100" w:type="dxa"/>
            <w:vMerge/>
            <w:tcBorders>
              <w:top w:val="nil"/>
            </w:tcBorders>
          </w:tcPr>
          <w:p w:rsidR="007C5447" w:rsidRDefault="007C5447">
            <w:pPr>
              <w:rPr>
                <w:sz w:val="2"/>
                <w:szCs w:val="2"/>
              </w:rPr>
            </w:pPr>
          </w:p>
        </w:tc>
        <w:tc>
          <w:tcPr>
            <w:tcW w:w="2115" w:type="dxa"/>
          </w:tcPr>
          <w:p w:rsidR="007C5447" w:rsidRDefault="00F6308C">
            <w:pPr>
              <w:pStyle w:val="TableParagraph"/>
              <w:spacing w:line="278" w:lineRule="auto"/>
              <w:ind w:left="107" w:right="96"/>
              <w:jc w:val="left"/>
              <w:rPr>
                <w:sz w:val="20"/>
              </w:rPr>
            </w:pPr>
            <w:r>
              <w:rPr>
                <w:sz w:val="20"/>
              </w:rPr>
              <w:t xml:space="preserve">From 51 to 100 </w:t>
            </w:r>
            <w:r>
              <w:rPr>
                <w:spacing w:val="-4"/>
                <w:sz w:val="20"/>
              </w:rPr>
              <w:t xml:space="preserve">units </w:t>
            </w:r>
            <w:r>
              <w:rPr>
                <w:sz w:val="20"/>
              </w:rPr>
              <w:t>per  month  (or)  101</w:t>
            </w:r>
            <w:r>
              <w:rPr>
                <w:spacing w:val="24"/>
                <w:sz w:val="20"/>
              </w:rPr>
              <w:t xml:space="preserve"> </w:t>
            </w:r>
            <w:r>
              <w:rPr>
                <w:spacing w:val="-7"/>
                <w:sz w:val="20"/>
              </w:rPr>
              <w:t>to</w:t>
            </w:r>
          </w:p>
          <w:p w:rsidR="007C5447" w:rsidRDefault="00F6308C">
            <w:pPr>
              <w:pStyle w:val="TableParagraph"/>
              <w:tabs>
                <w:tab w:val="left" w:pos="634"/>
                <w:tab w:val="left" w:pos="1246"/>
                <w:tab w:val="left" w:pos="1704"/>
              </w:tabs>
              <w:spacing w:line="227" w:lineRule="exact"/>
              <w:ind w:left="107"/>
              <w:jc w:val="left"/>
              <w:rPr>
                <w:sz w:val="20"/>
              </w:rPr>
            </w:pPr>
            <w:r>
              <w:rPr>
                <w:sz w:val="20"/>
              </w:rPr>
              <w:t>200</w:t>
            </w:r>
            <w:r>
              <w:rPr>
                <w:sz w:val="20"/>
              </w:rPr>
              <w:tab/>
              <w:t>units</w:t>
            </w:r>
            <w:r>
              <w:rPr>
                <w:sz w:val="20"/>
              </w:rPr>
              <w:tab/>
              <w:t>for</w:t>
            </w:r>
            <w:r>
              <w:rPr>
                <w:sz w:val="20"/>
              </w:rPr>
              <w:tab/>
              <w:t>two</w:t>
            </w:r>
          </w:p>
          <w:p w:rsidR="007C5447" w:rsidRDefault="00F6308C">
            <w:pPr>
              <w:pStyle w:val="TableParagraph"/>
              <w:spacing w:before="34"/>
              <w:ind w:left="107"/>
              <w:jc w:val="left"/>
              <w:rPr>
                <w:sz w:val="20"/>
              </w:rPr>
            </w:pPr>
            <w:r>
              <w:rPr>
                <w:sz w:val="20"/>
              </w:rPr>
              <w:t>months</w:t>
            </w:r>
          </w:p>
        </w:tc>
        <w:tc>
          <w:tcPr>
            <w:tcW w:w="2031" w:type="dxa"/>
            <w:vMerge/>
            <w:tcBorders>
              <w:top w:val="nil"/>
            </w:tcBorders>
          </w:tcPr>
          <w:p w:rsidR="007C5447" w:rsidRDefault="007C5447">
            <w:pPr>
              <w:rPr>
                <w:sz w:val="2"/>
                <w:szCs w:val="2"/>
              </w:rPr>
            </w:pPr>
          </w:p>
        </w:tc>
        <w:tc>
          <w:tcPr>
            <w:tcW w:w="2194" w:type="dxa"/>
          </w:tcPr>
          <w:p w:rsidR="007C5447" w:rsidRDefault="00F6308C">
            <w:pPr>
              <w:pStyle w:val="TableParagraph"/>
              <w:ind w:left="945"/>
              <w:jc w:val="left"/>
              <w:rPr>
                <w:sz w:val="20"/>
              </w:rPr>
            </w:pPr>
            <w:r>
              <w:rPr>
                <w:sz w:val="20"/>
              </w:rPr>
              <w:t>350</w:t>
            </w:r>
          </w:p>
        </w:tc>
      </w:tr>
      <w:tr w:rsidR="007C5447">
        <w:trPr>
          <w:trHeight w:val="1058"/>
        </w:trPr>
        <w:tc>
          <w:tcPr>
            <w:tcW w:w="1100" w:type="dxa"/>
            <w:vMerge/>
            <w:tcBorders>
              <w:top w:val="nil"/>
            </w:tcBorders>
          </w:tcPr>
          <w:p w:rsidR="007C5447" w:rsidRDefault="007C5447">
            <w:pPr>
              <w:rPr>
                <w:sz w:val="2"/>
                <w:szCs w:val="2"/>
              </w:rPr>
            </w:pPr>
          </w:p>
        </w:tc>
        <w:tc>
          <w:tcPr>
            <w:tcW w:w="2115" w:type="dxa"/>
          </w:tcPr>
          <w:p w:rsidR="007C5447" w:rsidRDefault="00F6308C">
            <w:pPr>
              <w:pStyle w:val="TableParagraph"/>
              <w:spacing w:line="278" w:lineRule="auto"/>
              <w:ind w:left="107" w:right="84"/>
              <w:jc w:val="left"/>
              <w:rPr>
                <w:sz w:val="20"/>
              </w:rPr>
            </w:pPr>
            <w:r>
              <w:rPr>
                <w:sz w:val="20"/>
              </w:rPr>
              <w:t xml:space="preserve">From 101 to 250 </w:t>
            </w:r>
            <w:r>
              <w:rPr>
                <w:spacing w:val="-4"/>
                <w:sz w:val="20"/>
              </w:rPr>
              <w:t xml:space="preserve">units </w:t>
            </w:r>
            <w:r>
              <w:rPr>
                <w:sz w:val="20"/>
              </w:rPr>
              <w:t xml:space="preserve">per month (or)   201 </w:t>
            </w:r>
            <w:r>
              <w:rPr>
                <w:spacing w:val="22"/>
                <w:sz w:val="20"/>
              </w:rPr>
              <w:t xml:space="preserve"> </w:t>
            </w:r>
            <w:r>
              <w:rPr>
                <w:spacing w:val="-6"/>
                <w:sz w:val="20"/>
              </w:rPr>
              <w:t>to</w:t>
            </w:r>
          </w:p>
          <w:p w:rsidR="007C5447" w:rsidRDefault="00F6308C">
            <w:pPr>
              <w:pStyle w:val="TableParagraph"/>
              <w:tabs>
                <w:tab w:val="left" w:pos="634"/>
                <w:tab w:val="left" w:pos="1246"/>
                <w:tab w:val="left" w:pos="1704"/>
              </w:tabs>
              <w:spacing w:line="227" w:lineRule="exact"/>
              <w:ind w:left="107"/>
              <w:jc w:val="left"/>
              <w:rPr>
                <w:sz w:val="20"/>
              </w:rPr>
            </w:pPr>
            <w:r>
              <w:rPr>
                <w:sz w:val="20"/>
              </w:rPr>
              <w:t>500</w:t>
            </w:r>
            <w:r>
              <w:rPr>
                <w:sz w:val="20"/>
              </w:rPr>
              <w:tab/>
              <w:t>units</w:t>
            </w:r>
            <w:r>
              <w:rPr>
                <w:sz w:val="20"/>
              </w:rPr>
              <w:tab/>
              <w:t>for</w:t>
            </w:r>
            <w:r>
              <w:rPr>
                <w:sz w:val="20"/>
              </w:rPr>
              <w:tab/>
              <w:t>two</w:t>
            </w:r>
          </w:p>
          <w:p w:rsidR="007C5447" w:rsidRDefault="00F6308C">
            <w:pPr>
              <w:pStyle w:val="TableParagraph"/>
              <w:spacing w:before="34"/>
              <w:ind w:left="107"/>
              <w:jc w:val="left"/>
              <w:rPr>
                <w:sz w:val="20"/>
              </w:rPr>
            </w:pPr>
            <w:r>
              <w:rPr>
                <w:sz w:val="20"/>
              </w:rPr>
              <w:t>months</w:t>
            </w:r>
          </w:p>
        </w:tc>
        <w:tc>
          <w:tcPr>
            <w:tcW w:w="2031" w:type="dxa"/>
            <w:vMerge/>
            <w:tcBorders>
              <w:top w:val="nil"/>
            </w:tcBorders>
          </w:tcPr>
          <w:p w:rsidR="007C5447" w:rsidRDefault="007C5447">
            <w:pPr>
              <w:rPr>
                <w:sz w:val="2"/>
                <w:szCs w:val="2"/>
              </w:rPr>
            </w:pPr>
          </w:p>
        </w:tc>
        <w:tc>
          <w:tcPr>
            <w:tcW w:w="2194" w:type="dxa"/>
          </w:tcPr>
          <w:p w:rsidR="007C5447" w:rsidRDefault="00F6308C">
            <w:pPr>
              <w:pStyle w:val="TableParagraph"/>
              <w:ind w:left="945"/>
              <w:jc w:val="left"/>
              <w:rPr>
                <w:sz w:val="20"/>
              </w:rPr>
            </w:pPr>
            <w:r>
              <w:rPr>
                <w:sz w:val="20"/>
              </w:rPr>
              <w:t>460</w:t>
            </w:r>
          </w:p>
        </w:tc>
      </w:tr>
      <w:tr w:rsidR="007C5447">
        <w:trPr>
          <w:trHeight w:val="1057"/>
        </w:trPr>
        <w:tc>
          <w:tcPr>
            <w:tcW w:w="1100" w:type="dxa"/>
            <w:vMerge/>
            <w:tcBorders>
              <w:top w:val="nil"/>
            </w:tcBorders>
          </w:tcPr>
          <w:p w:rsidR="007C5447" w:rsidRDefault="007C5447">
            <w:pPr>
              <w:rPr>
                <w:sz w:val="2"/>
                <w:szCs w:val="2"/>
              </w:rPr>
            </w:pPr>
          </w:p>
        </w:tc>
        <w:tc>
          <w:tcPr>
            <w:tcW w:w="2115" w:type="dxa"/>
          </w:tcPr>
          <w:p w:rsidR="007C5447" w:rsidRDefault="00F6308C">
            <w:pPr>
              <w:pStyle w:val="TableParagraph"/>
              <w:spacing w:line="276" w:lineRule="auto"/>
              <w:ind w:left="107" w:right="97"/>
              <w:jc w:val="both"/>
              <w:rPr>
                <w:sz w:val="20"/>
              </w:rPr>
            </w:pPr>
            <w:r>
              <w:rPr>
                <w:sz w:val="20"/>
              </w:rPr>
              <w:t>From 251units and above per month (or) 501 units and above for</w:t>
            </w:r>
          </w:p>
          <w:p w:rsidR="007C5447" w:rsidRDefault="00F6308C">
            <w:pPr>
              <w:pStyle w:val="TableParagraph"/>
              <w:spacing w:before="1"/>
              <w:ind w:left="107"/>
              <w:jc w:val="both"/>
              <w:rPr>
                <w:sz w:val="20"/>
              </w:rPr>
            </w:pPr>
            <w:r>
              <w:rPr>
                <w:sz w:val="20"/>
              </w:rPr>
              <w:t>two months</w:t>
            </w:r>
          </w:p>
        </w:tc>
        <w:tc>
          <w:tcPr>
            <w:tcW w:w="2031" w:type="dxa"/>
            <w:vMerge/>
            <w:tcBorders>
              <w:top w:val="nil"/>
            </w:tcBorders>
          </w:tcPr>
          <w:p w:rsidR="007C5447" w:rsidRDefault="007C5447">
            <w:pPr>
              <w:rPr>
                <w:sz w:val="2"/>
                <w:szCs w:val="2"/>
              </w:rPr>
            </w:pPr>
          </w:p>
        </w:tc>
        <w:tc>
          <w:tcPr>
            <w:tcW w:w="2194" w:type="dxa"/>
          </w:tcPr>
          <w:p w:rsidR="007C5447" w:rsidRDefault="00F6308C">
            <w:pPr>
              <w:pStyle w:val="TableParagraph"/>
              <w:ind w:left="945"/>
              <w:jc w:val="left"/>
              <w:rPr>
                <w:sz w:val="20"/>
              </w:rPr>
            </w:pPr>
            <w:r>
              <w:rPr>
                <w:sz w:val="20"/>
              </w:rPr>
              <w:t>660</w:t>
            </w:r>
          </w:p>
        </w:tc>
      </w:tr>
    </w:tbl>
    <w:p w:rsidR="007C5447" w:rsidRDefault="00F6308C">
      <w:pPr>
        <w:ind w:left="1844"/>
        <w:rPr>
          <w:sz w:val="18"/>
        </w:rPr>
      </w:pPr>
      <w:r>
        <w:rPr>
          <w:sz w:val="18"/>
        </w:rPr>
        <w:t>* to be subsidised by the Government</w:t>
      </w:r>
    </w:p>
    <w:p w:rsidR="007C5447" w:rsidRDefault="007C5447">
      <w:pPr>
        <w:pStyle w:val="BodyText"/>
        <w:spacing w:before="8"/>
        <w:rPr>
          <w:sz w:val="20"/>
        </w:rPr>
      </w:pPr>
    </w:p>
    <w:p w:rsidR="007C5447" w:rsidRDefault="00F6308C">
      <w:pPr>
        <w:pStyle w:val="ListParagraph"/>
        <w:numPr>
          <w:ilvl w:val="3"/>
          <w:numId w:val="21"/>
        </w:numPr>
        <w:tabs>
          <w:tab w:val="left" w:pos="1225"/>
          <w:tab w:val="left" w:pos="1226"/>
        </w:tabs>
        <w:ind w:hanging="966"/>
        <w:rPr>
          <w:sz w:val="24"/>
        </w:rPr>
      </w:pPr>
      <w:r>
        <w:rPr>
          <w:sz w:val="24"/>
        </w:rPr>
        <w:t>This tariff is applicable to the</w:t>
      </w:r>
      <w:r>
        <w:rPr>
          <w:spacing w:val="-1"/>
          <w:sz w:val="24"/>
        </w:rPr>
        <w:t xml:space="preserve"> </w:t>
      </w:r>
      <w:r>
        <w:rPr>
          <w:sz w:val="24"/>
        </w:rPr>
        <w:t>following:</w:t>
      </w:r>
    </w:p>
    <w:p w:rsidR="007C5447" w:rsidRDefault="007C5447">
      <w:pPr>
        <w:pStyle w:val="BodyText"/>
        <w:spacing w:before="2"/>
        <w:rPr>
          <w:sz w:val="28"/>
        </w:rPr>
      </w:pPr>
    </w:p>
    <w:p w:rsidR="007C5447" w:rsidRDefault="00F6308C">
      <w:pPr>
        <w:pStyle w:val="ListParagraph"/>
        <w:numPr>
          <w:ilvl w:val="4"/>
          <w:numId w:val="21"/>
        </w:numPr>
        <w:tabs>
          <w:tab w:val="left" w:pos="1679"/>
        </w:tabs>
        <w:spacing w:line="312" w:lineRule="auto"/>
        <w:ind w:right="883"/>
        <w:rPr>
          <w:sz w:val="24"/>
        </w:rPr>
      </w:pPr>
      <w:r>
        <w:rPr>
          <w:sz w:val="24"/>
        </w:rPr>
        <w:t>Domestic/Residential purposes of lights, fans, Air conditioners, radio/TV and all other home</w:t>
      </w:r>
      <w:r>
        <w:rPr>
          <w:spacing w:val="-3"/>
          <w:sz w:val="24"/>
        </w:rPr>
        <w:t xml:space="preserve"> </w:t>
      </w:r>
      <w:r>
        <w:rPr>
          <w:sz w:val="24"/>
        </w:rPr>
        <w:t>appliances.</w:t>
      </w:r>
    </w:p>
    <w:p w:rsidR="007C5447" w:rsidRDefault="007C5447">
      <w:pPr>
        <w:pStyle w:val="BodyText"/>
        <w:spacing w:before="11"/>
        <w:rPr>
          <w:sz w:val="20"/>
        </w:rPr>
      </w:pPr>
    </w:p>
    <w:p w:rsidR="007C5447" w:rsidRDefault="00F6308C">
      <w:pPr>
        <w:pStyle w:val="ListParagraph"/>
        <w:numPr>
          <w:ilvl w:val="4"/>
          <w:numId w:val="21"/>
        </w:numPr>
        <w:tabs>
          <w:tab w:val="left" w:pos="1679"/>
        </w:tabs>
        <w:spacing w:line="312" w:lineRule="auto"/>
        <w:ind w:right="878"/>
        <w:rPr>
          <w:sz w:val="24"/>
        </w:rPr>
      </w:pPr>
      <w:r>
        <w:rPr>
          <w:sz w:val="24"/>
        </w:rPr>
        <w:t>Supply used in the house/residence/premises for the following purpose with a total contracted load not ex</w:t>
      </w:r>
      <w:r>
        <w:rPr>
          <w:sz w:val="24"/>
        </w:rPr>
        <w:t>ceeding 2</w:t>
      </w:r>
      <w:r>
        <w:rPr>
          <w:spacing w:val="-1"/>
          <w:sz w:val="24"/>
        </w:rPr>
        <w:t xml:space="preserve"> </w:t>
      </w:r>
      <w:r>
        <w:rPr>
          <w:sz w:val="24"/>
        </w:rPr>
        <w:t>kW.</w:t>
      </w:r>
    </w:p>
    <w:p w:rsidR="007C5447" w:rsidRDefault="007C5447">
      <w:pPr>
        <w:pStyle w:val="BodyText"/>
        <w:spacing w:before="10"/>
        <w:rPr>
          <w:sz w:val="20"/>
        </w:rPr>
      </w:pPr>
    </w:p>
    <w:p w:rsidR="007C5447" w:rsidRDefault="00F6308C">
      <w:pPr>
        <w:pStyle w:val="ListParagraph"/>
        <w:numPr>
          <w:ilvl w:val="5"/>
          <w:numId w:val="21"/>
        </w:numPr>
        <w:tabs>
          <w:tab w:val="left" w:pos="2421"/>
        </w:tabs>
        <w:spacing w:line="312" w:lineRule="auto"/>
        <w:ind w:right="885"/>
        <w:jc w:val="left"/>
        <w:rPr>
          <w:sz w:val="24"/>
        </w:rPr>
      </w:pPr>
      <w:r>
        <w:rPr>
          <w:sz w:val="24"/>
        </w:rPr>
        <w:t>To provide lighting, water and other facilities to domestic animals/pets including chaff cutting, milking</w:t>
      </w:r>
      <w:r>
        <w:rPr>
          <w:spacing w:val="-4"/>
          <w:sz w:val="24"/>
        </w:rPr>
        <w:t xml:space="preserve"> </w:t>
      </w:r>
      <w:r>
        <w:rPr>
          <w:sz w:val="24"/>
        </w:rPr>
        <w:t>etc.</w:t>
      </w:r>
    </w:p>
    <w:p w:rsidR="007C5447" w:rsidRDefault="007C5447">
      <w:pPr>
        <w:pStyle w:val="BodyText"/>
        <w:spacing w:before="10"/>
        <w:rPr>
          <w:sz w:val="20"/>
        </w:rPr>
      </w:pPr>
    </w:p>
    <w:p w:rsidR="007C5447" w:rsidRDefault="00F6308C">
      <w:pPr>
        <w:pStyle w:val="ListParagraph"/>
        <w:numPr>
          <w:ilvl w:val="5"/>
          <w:numId w:val="21"/>
        </w:numPr>
        <w:tabs>
          <w:tab w:val="left" w:pos="2421"/>
        </w:tabs>
        <w:spacing w:line="312" w:lineRule="auto"/>
        <w:ind w:right="882" w:hanging="375"/>
        <w:jc w:val="left"/>
        <w:rPr>
          <w:sz w:val="24"/>
        </w:rPr>
      </w:pPr>
      <w:r>
        <w:rPr>
          <w:sz w:val="24"/>
        </w:rPr>
        <w:t>Watering for gardening including growing of trees in and around residential</w:t>
      </w:r>
      <w:r>
        <w:rPr>
          <w:spacing w:val="-1"/>
          <w:sz w:val="24"/>
        </w:rPr>
        <w:t xml:space="preserve"> </w:t>
      </w:r>
      <w:r>
        <w:rPr>
          <w:sz w:val="24"/>
        </w:rPr>
        <w:t>houses/buildings.</w:t>
      </w:r>
    </w:p>
    <w:p w:rsidR="007C5447" w:rsidRDefault="007C5447">
      <w:pPr>
        <w:spacing w:line="312" w:lineRule="auto"/>
        <w:rPr>
          <w:sz w:val="24"/>
        </w:rPr>
        <w:sectPr w:rsidR="007C5447">
          <w:pgSz w:w="11910" w:h="16840"/>
          <w:pgMar w:top="1420" w:right="560" w:bottom="1240" w:left="1180" w:header="0" w:footer="1057" w:gutter="0"/>
          <w:cols w:space="720"/>
        </w:sectPr>
      </w:pPr>
    </w:p>
    <w:p w:rsidR="007C5447" w:rsidRDefault="00F6308C">
      <w:pPr>
        <w:pStyle w:val="ListParagraph"/>
        <w:numPr>
          <w:ilvl w:val="4"/>
          <w:numId w:val="21"/>
        </w:numPr>
        <w:tabs>
          <w:tab w:val="left" w:pos="1679"/>
        </w:tabs>
        <w:spacing w:before="60" w:line="312" w:lineRule="auto"/>
        <w:ind w:right="877"/>
        <w:jc w:val="both"/>
        <w:rPr>
          <w:sz w:val="24"/>
        </w:rPr>
      </w:pPr>
      <w:r>
        <w:rPr>
          <w:sz w:val="24"/>
        </w:rPr>
        <w:lastRenderedPageBreak/>
        <w:t>Handlooms in resi</w:t>
      </w:r>
      <w:r>
        <w:rPr>
          <w:sz w:val="24"/>
        </w:rPr>
        <w:t>dences of handloom weavers and handlooms in sheds regardless of use of outside labour and where energy is availed only for lighting, fans and all other residential</w:t>
      </w:r>
      <w:r>
        <w:rPr>
          <w:spacing w:val="-2"/>
          <w:sz w:val="24"/>
        </w:rPr>
        <w:t xml:space="preserve"> </w:t>
      </w:r>
      <w:r>
        <w:rPr>
          <w:sz w:val="24"/>
        </w:rPr>
        <w:t>uses.</w:t>
      </w:r>
    </w:p>
    <w:p w:rsidR="007C5447" w:rsidRDefault="007C5447">
      <w:pPr>
        <w:pStyle w:val="BodyText"/>
        <w:spacing w:before="10"/>
        <w:rPr>
          <w:sz w:val="20"/>
        </w:rPr>
      </w:pPr>
    </w:p>
    <w:p w:rsidR="007C5447" w:rsidRDefault="00F6308C">
      <w:pPr>
        <w:pStyle w:val="ListParagraph"/>
        <w:numPr>
          <w:ilvl w:val="4"/>
          <w:numId w:val="21"/>
        </w:numPr>
        <w:tabs>
          <w:tab w:val="left" w:pos="1679"/>
        </w:tabs>
        <w:rPr>
          <w:sz w:val="24"/>
        </w:rPr>
      </w:pPr>
      <w:r>
        <w:rPr>
          <w:sz w:val="24"/>
        </w:rPr>
        <w:t>Public conveniences and Integrated woman sanitary</w:t>
      </w:r>
      <w:r>
        <w:rPr>
          <w:spacing w:val="-1"/>
          <w:sz w:val="24"/>
        </w:rPr>
        <w:t xml:space="preserve"> </w:t>
      </w:r>
      <w:r>
        <w:rPr>
          <w:sz w:val="24"/>
        </w:rPr>
        <w:t>Complexes.</w:t>
      </w:r>
    </w:p>
    <w:p w:rsidR="007C5447" w:rsidRDefault="007C5447">
      <w:pPr>
        <w:pStyle w:val="BodyText"/>
        <w:spacing w:before="2"/>
        <w:rPr>
          <w:sz w:val="28"/>
        </w:rPr>
      </w:pPr>
    </w:p>
    <w:p w:rsidR="007C5447" w:rsidRDefault="00F6308C">
      <w:pPr>
        <w:pStyle w:val="ListParagraph"/>
        <w:numPr>
          <w:ilvl w:val="4"/>
          <w:numId w:val="21"/>
        </w:numPr>
        <w:tabs>
          <w:tab w:val="left" w:pos="1679"/>
        </w:tabs>
        <w:spacing w:line="312" w:lineRule="auto"/>
        <w:ind w:right="878"/>
        <w:jc w:val="both"/>
        <w:rPr>
          <w:sz w:val="24"/>
        </w:rPr>
      </w:pPr>
      <w:r>
        <w:rPr>
          <w:sz w:val="24"/>
        </w:rPr>
        <w:t>Community Nutrition Centres, Anganwadi Centres and Nutritious Meal Centres.</w:t>
      </w:r>
    </w:p>
    <w:p w:rsidR="007C5447" w:rsidRDefault="007C5447">
      <w:pPr>
        <w:pStyle w:val="BodyText"/>
        <w:spacing w:before="10"/>
        <w:rPr>
          <w:sz w:val="20"/>
        </w:rPr>
      </w:pPr>
    </w:p>
    <w:p w:rsidR="007C5447" w:rsidRDefault="00F6308C">
      <w:pPr>
        <w:pStyle w:val="ListParagraph"/>
        <w:numPr>
          <w:ilvl w:val="4"/>
          <w:numId w:val="21"/>
        </w:numPr>
        <w:tabs>
          <w:tab w:val="left" w:pos="1679"/>
        </w:tabs>
        <w:spacing w:line="312" w:lineRule="auto"/>
        <w:ind w:right="881"/>
        <w:jc w:val="both"/>
        <w:rPr>
          <w:sz w:val="24"/>
        </w:rPr>
      </w:pPr>
      <w:r>
        <w:rPr>
          <w:sz w:val="24"/>
        </w:rPr>
        <w:t>Old Age Homes, Leprosy Centres and sub centres. Orphanages, Homes for destitute run by Government/Local bodies/Charitable Institutions rendering totally free</w:t>
      </w:r>
      <w:r>
        <w:rPr>
          <w:spacing w:val="-7"/>
          <w:sz w:val="24"/>
        </w:rPr>
        <w:t xml:space="preserve"> </w:t>
      </w:r>
      <w:r>
        <w:rPr>
          <w:sz w:val="24"/>
        </w:rPr>
        <w:t>services.</w:t>
      </w:r>
    </w:p>
    <w:p w:rsidR="007C5447" w:rsidRDefault="007C5447">
      <w:pPr>
        <w:pStyle w:val="BodyText"/>
        <w:spacing w:before="9"/>
        <w:rPr>
          <w:sz w:val="20"/>
        </w:rPr>
      </w:pPr>
    </w:p>
    <w:p w:rsidR="007C5447" w:rsidRDefault="00F6308C">
      <w:pPr>
        <w:pStyle w:val="ListParagraph"/>
        <w:numPr>
          <w:ilvl w:val="4"/>
          <w:numId w:val="21"/>
        </w:numPr>
        <w:tabs>
          <w:tab w:val="left" w:pos="1679"/>
        </w:tabs>
        <w:spacing w:line="312" w:lineRule="auto"/>
        <w:ind w:right="879"/>
        <w:jc w:val="both"/>
        <w:rPr>
          <w:sz w:val="24"/>
        </w:rPr>
      </w:pPr>
      <w:r>
        <w:rPr>
          <w:sz w:val="24"/>
        </w:rPr>
        <w:t>Consulting</w:t>
      </w:r>
      <w:r>
        <w:rPr>
          <w:sz w:val="24"/>
        </w:rPr>
        <w:t xml:space="preserve"> rooms of size limited to 200 square feet of any professionals attached to the residence of such professionals. This facility is extended exclusively to take advantage of using the residence by the</w:t>
      </w:r>
      <w:r>
        <w:rPr>
          <w:spacing w:val="-18"/>
          <w:sz w:val="24"/>
        </w:rPr>
        <w:t xml:space="preserve"> </w:t>
      </w:r>
      <w:r>
        <w:rPr>
          <w:sz w:val="24"/>
        </w:rPr>
        <w:t>professionals.</w:t>
      </w:r>
    </w:p>
    <w:p w:rsidR="007C5447" w:rsidRDefault="007C5447">
      <w:pPr>
        <w:pStyle w:val="BodyText"/>
        <w:rPr>
          <w:sz w:val="21"/>
        </w:rPr>
      </w:pPr>
    </w:p>
    <w:p w:rsidR="007C5447" w:rsidRDefault="00F6308C">
      <w:pPr>
        <w:pStyle w:val="ListParagraph"/>
        <w:numPr>
          <w:ilvl w:val="4"/>
          <w:numId w:val="21"/>
        </w:numPr>
        <w:tabs>
          <w:tab w:val="left" w:pos="1679"/>
        </w:tabs>
        <w:spacing w:line="312" w:lineRule="auto"/>
        <w:ind w:right="881"/>
        <w:jc w:val="both"/>
        <w:rPr>
          <w:sz w:val="24"/>
        </w:rPr>
      </w:pPr>
      <w:r>
        <w:rPr>
          <w:sz w:val="24"/>
        </w:rPr>
        <w:t xml:space="preserve">In respect of multi tenements/residential </w:t>
      </w:r>
      <w:r>
        <w:rPr>
          <w:sz w:val="24"/>
        </w:rPr>
        <w:t>complexes supply used for common lighting, water supply, lift provided only to the residents alone shall be given a separate connection and in case of more than one block in a premise, only one service shall be given for each block for common lighting, wat</w:t>
      </w:r>
      <w:r>
        <w:rPr>
          <w:sz w:val="24"/>
        </w:rPr>
        <w:t>er supply and lift provided only to the</w:t>
      </w:r>
      <w:r>
        <w:rPr>
          <w:spacing w:val="-4"/>
          <w:sz w:val="24"/>
        </w:rPr>
        <w:t xml:space="preserve"> </w:t>
      </w:r>
      <w:r>
        <w:rPr>
          <w:sz w:val="24"/>
        </w:rPr>
        <w:t>residents.</w:t>
      </w:r>
    </w:p>
    <w:p w:rsidR="007C5447" w:rsidRDefault="007C5447">
      <w:pPr>
        <w:pStyle w:val="BodyText"/>
        <w:spacing w:before="9"/>
        <w:rPr>
          <w:sz w:val="20"/>
        </w:rPr>
      </w:pPr>
    </w:p>
    <w:p w:rsidR="007C5447" w:rsidRDefault="00F6308C">
      <w:pPr>
        <w:pStyle w:val="ListParagraph"/>
        <w:numPr>
          <w:ilvl w:val="4"/>
          <w:numId w:val="21"/>
        </w:numPr>
        <w:tabs>
          <w:tab w:val="left" w:pos="1679"/>
        </w:tabs>
        <w:spacing w:before="1" w:line="312" w:lineRule="auto"/>
        <w:ind w:right="879"/>
        <w:jc w:val="both"/>
        <w:rPr>
          <w:sz w:val="24"/>
        </w:rPr>
      </w:pPr>
      <w:r>
        <w:rPr>
          <w:sz w:val="24"/>
        </w:rPr>
        <w:t>In respect of multi tenements/multi-storey flats/residential complexes having both domestic and non-domestic utilities, common facilities such as common lighting, common water supply, lift will be charged</w:t>
      </w:r>
      <w:r>
        <w:rPr>
          <w:sz w:val="24"/>
        </w:rPr>
        <w:t xml:space="preserve"> under this tariff only if the non-residential built up area does not exceed 25% of the total built up</w:t>
      </w:r>
      <w:r>
        <w:rPr>
          <w:spacing w:val="-9"/>
          <w:sz w:val="24"/>
        </w:rPr>
        <w:t xml:space="preserve"> </w:t>
      </w:r>
      <w:r>
        <w:rPr>
          <w:sz w:val="24"/>
        </w:rPr>
        <w:t>area.</w:t>
      </w:r>
    </w:p>
    <w:p w:rsidR="007C5447" w:rsidRDefault="007C5447">
      <w:pPr>
        <w:pStyle w:val="BodyText"/>
        <w:spacing w:before="10"/>
        <w:rPr>
          <w:sz w:val="20"/>
        </w:rPr>
      </w:pPr>
    </w:p>
    <w:p w:rsidR="007C5447" w:rsidRDefault="00F6308C">
      <w:pPr>
        <w:pStyle w:val="ListParagraph"/>
        <w:numPr>
          <w:ilvl w:val="4"/>
          <w:numId w:val="21"/>
        </w:numPr>
        <w:tabs>
          <w:tab w:val="left" w:pos="1679"/>
        </w:tabs>
        <w:spacing w:line="312" w:lineRule="auto"/>
        <w:ind w:right="878"/>
        <w:jc w:val="both"/>
        <w:rPr>
          <w:sz w:val="24"/>
        </w:rPr>
      </w:pPr>
      <w:r>
        <w:rPr>
          <w:sz w:val="24"/>
        </w:rPr>
        <w:t xml:space="preserve">In multi tenements residential buildings/Group Houses, the additional service connections requested by the owners/tenants shall be given. If only </w:t>
      </w:r>
      <w:r>
        <w:rPr>
          <w:sz w:val="24"/>
        </w:rPr>
        <w:t>a meter is required to effect the additional service connection, service line charges shall not be</w:t>
      </w:r>
      <w:r>
        <w:rPr>
          <w:spacing w:val="-1"/>
          <w:sz w:val="24"/>
        </w:rPr>
        <w:t xml:space="preserve"> </w:t>
      </w:r>
      <w:r>
        <w:rPr>
          <w:sz w:val="24"/>
        </w:rPr>
        <w:t>collected.</w:t>
      </w:r>
    </w:p>
    <w:p w:rsidR="007C5447" w:rsidRDefault="007C5447">
      <w:pPr>
        <w:pStyle w:val="BodyText"/>
        <w:spacing w:before="10"/>
        <w:rPr>
          <w:sz w:val="20"/>
        </w:rPr>
      </w:pPr>
    </w:p>
    <w:p w:rsidR="007C5447" w:rsidRDefault="00F6308C">
      <w:pPr>
        <w:pStyle w:val="ListParagraph"/>
        <w:numPr>
          <w:ilvl w:val="4"/>
          <w:numId w:val="21"/>
        </w:numPr>
        <w:tabs>
          <w:tab w:val="left" w:pos="1679"/>
        </w:tabs>
        <w:rPr>
          <w:sz w:val="24"/>
        </w:rPr>
      </w:pPr>
      <w:r>
        <w:rPr>
          <w:sz w:val="24"/>
        </w:rPr>
        <w:t>Electric crematorium of local</w:t>
      </w:r>
      <w:r>
        <w:rPr>
          <w:spacing w:val="-2"/>
          <w:sz w:val="24"/>
        </w:rPr>
        <w:t xml:space="preserve"> </w:t>
      </w:r>
      <w:r>
        <w:rPr>
          <w:sz w:val="24"/>
        </w:rPr>
        <w:t>bodies.</w:t>
      </w:r>
    </w:p>
    <w:p w:rsidR="007C5447" w:rsidRDefault="007C5447">
      <w:pPr>
        <w:pStyle w:val="BodyText"/>
        <w:spacing w:before="2"/>
        <w:rPr>
          <w:sz w:val="28"/>
        </w:rPr>
      </w:pPr>
    </w:p>
    <w:p w:rsidR="007C5447" w:rsidRDefault="00F6308C">
      <w:pPr>
        <w:pStyle w:val="ListParagraph"/>
        <w:numPr>
          <w:ilvl w:val="4"/>
          <w:numId w:val="21"/>
        </w:numPr>
        <w:tabs>
          <w:tab w:val="left" w:pos="1679"/>
        </w:tabs>
        <w:spacing w:before="1" w:line="312" w:lineRule="auto"/>
        <w:ind w:right="875"/>
        <w:jc w:val="both"/>
        <w:rPr>
          <w:sz w:val="24"/>
        </w:rPr>
      </w:pPr>
      <w:r>
        <w:rPr>
          <w:sz w:val="24"/>
        </w:rPr>
        <w:t>Handicraft/Artisan works carried out by Potters, Goldsmiths, etc. attached to the residence, done predominantly by self or family members using a connected load not exceeding 1 kW. This facility is extended exclusively to take advantage of utilizing the sp</w:t>
      </w:r>
      <w:r>
        <w:rPr>
          <w:sz w:val="24"/>
        </w:rPr>
        <w:t>ace in and around the residence and participation of family members in the small scale</w:t>
      </w:r>
      <w:r>
        <w:rPr>
          <w:spacing w:val="-6"/>
          <w:sz w:val="24"/>
        </w:rPr>
        <w:t xml:space="preserve"> </w:t>
      </w:r>
      <w:r>
        <w:rPr>
          <w:sz w:val="24"/>
        </w:rPr>
        <w:t>production.</w:t>
      </w:r>
    </w:p>
    <w:p w:rsidR="007C5447" w:rsidRDefault="007C5447">
      <w:pPr>
        <w:spacing w:line="312" w:lineRule="auto"/>
        <w:jc w:val="both"/>
        <w:rPr>
          <w:sz w:val="24"/>
        </w:rPr>
        <w:sectPr w:rsidR="007C5447">
          <w:footerReference w:type="default" r:id="rId78"/>
          <w:pgSz w:w="11910" w:h="16840"/>
          <w:pgMar w:top="1360" w:right="560" w:bottom="1240" w:left="1180" w:header="0" w:footer="1057" w:gutter="0"/>
          <w:cols w:space="720"/>
        </w:sectPr>
      </w:pPr>
    </w:p>
    <w:p w:rsidR="007C5447" w:rsidRDefault="00F6308C">
      <w:pPr>
        <w:pStyle w:val="ListParagraph"/>
        <w:numPr>
          <w:ilvl w:val="4"/>
          <w:numId w:val="21"/>
        </w:numPr>
        <w:tabs>
          <w:tab w:val="left" w:pos="1679"/>
        </w:tabs>
        <w:spacing w:before="60" w:line="312" w:lineRule="auto"/>
        <w:ind w:right="876"/>
        <w:jc w:val="both"/>
        <w:rPr>
          <w:sz w:val="24"/>
        </w:rPr>
      </w:pPr>
      <w:r>
        <w:rPr>
          <w:sz w:val="24"/>
        </w:rPr>
        <w:lastRenderedPageBreak/>
        <w:t xml:space="preserve">Any additional lights, serial lights, etc. used in the pandals/shamiana and </w:t>
      </w:r>
      <w:r>
        <w:rPr>
          <w:sz w:val="24"/>
        </w:rPr>
        <w:t>in the premises of the existing domestic/residential service connection of the consumer for a period not exceeding one week at a time, with a connected load not exceeding 3 kW for the family</w:t>
      </w:r>
      <w:r>
        <w:rPr>
          <w:spacing w:val="-8"/>
          <w:sz w:val="24"/>
        </w:rPr>
        <w:t xml:space="preserve"> </w:t>
      </w:r>
      <w:r>
        <w:rPr>
          <w:sz w:val="24"/>
        </w:rPr>
        <w:t>functions/occasions.</w:t>
      </w:r>
    </w:p>
    <w:p w:rsidR="007C5447" w:rsidRDefault="007C5447">
      <w:pPr>
        <w:pStyle w:val="BodyText"/>
        <w:rPr>
          <w:sz w:val="26"/>
        </w:rPr>
      </w:pPr>
    </w:p>
    <w:p w:rsidR="007C5447" w:rsidRDefault="007C5447">
      <w:pPr>
        <w:pStyle w:val="BodyText"/>
        <w:spacing w:before="5"/>
        <w:rPr>
          <w:sz w:val="36"/>
        </w:rPr>
      </w:pPr>
    </w:p>
    <w:p w:rsidR="007C5447" w:rsidRDefault="00F6308C">
      <w:pPr>
        <w:pStyle w:val="Heading2"/>
        <w:numPr>
          <w:ilvl w:val="2"/>
          <w:numId w:val="22"/>
        </w:numPr>
        <w:tabs>
          <w:tab w:val="left" w:pos="1112"/>
          <w:tab w:val="left" w:pos="1113"/>
        </w:tabs>
        <w:spacing w:before="1"/>
        <w:ind w:hanging="853"/>
      </w:pPr>
      <w:r>
        <w:t>Low Tension Tariff</w:t>
      </w:r>
      <w:r>
        <w:rPr>
          <w:spacing w:val="1"/>
        </w:rPr>
        <w:t xml:space="preserve"> </w:t>
      </w:r>
      <w:r>
        <w:t>I-B:</w:t>
      </w:r>
    </w:p>
    <w:p w:rsidR="007C5447" w:rsidRDefault="007C5447">
      <w:pPr>
        <w:pStyle w:val="BodyText"/>
        <w:spacing w:before="2" w:after="1"/>
        <w:rPr>
          <w:b/>
          <w:sz w:val="28"/>
        </w:rPr>
      </w:pPr>
    </w:p>
    <w:tbl>
      <w:tblPr>
        <w:tblW w:w="0" w:type="auto"/>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1"/>
        <w:gridCol w:w="2902"/>
        <w:gridCol w:w="1841"/>
        <w:gridCol w:w="1560"/>
      </w:tblGrid>
      <w:tr w:rsidR="007C5447">
        <w:trPr>
          <w:trHeight w:val="580"/>
        </w:trPr>
        <w:tc>
          <w:tcPr>
            <w:tcW w:w="1361" w:type="dxa"/>
            <w:vMerge w:val="restart"/>
            <w:shd w:val="clear" w:color="auto" w:fill="F7C9AC"/>
          </w:tcPr>
          <w:p w:rsidR="007C5447" w:rsidRDefault="007C5447">
            <w:pPr>
              <w:pStyle w:val="TableParagraph"/>
              <w:jc w:val="left"/>
              <w:rPr>
                <w:b/>
              </w:rPr>
            </w:pPr>
          </w:p>
          <w:p w:rsidR="007C5447" w:rsidRDefault="007C5447">
            <w:pPr>
              <w:pStyle w:val="TableParagraph"/>
              <w:spacing w:before="9"/>
              <w:jc w:val="left"/>
              <w:rPr>
                <w:b/>
                <w:sz w:val="20"/>
              </w:rPr>
            </w:pPr>
          </w:p>
          <w:p w:rsidR="007C5447" w:rsidRDefault="00F6308C">
            <w:pPr>
              <w:pStyle w:val="TableParagraph"/>
              <w:ind w:left="424"/>
              <w:jc w:val="left"/>
              <w:rPr>
                <w:b/>
                <w:sz w:val="20"/>
              </w:rPr>
            </w:pPr>
            <w:r>
              <w:rPr>
                <w:b/>
                <w:sz w:val="20"/>
              </w:rPr>
              <w:t>Tariff</w:t>
            </w:r>
          </w:p>
        </w:tc>
        <w:tc>
          <w:tcPr>
            <w:tcW w:w="2902" w:type="dxa"/>
            <w:vMerge w:val="restart"/>
            <w:shd w:val="clear" w:color="auto" w:fill="F7C9AC"/>
          </w:tcPr>
          <w:p w:rsidR="007C5447" w:rsidRDefault="007C5447">
            <w:pPr>
              <w:pStyle w:val="TableParagraph"/>
              <w:jc w:val="left"/>
              <w:rPr>
                <w:b/>
              </w:rPr>
            </w:pPr>
          </w:p>
          <w:p w:rsidR="007C5447" w:rsidRDefault="007C5447">
            <w:pPr>
              <w:pStyle w:val="TableParagraph"/>
              <w:spacing w:before="9"/>
              <w:jc w:val="left"/>
              <w:rPr>
                <w:b/>
                <w:sz w:val="20"/>
              </w:rPr>
            </w:pPr>
          </w:p>
          <w:p w:rsidR="007C5447" w:rsidRDefault="00F6308C">
            <w:pPr>
              <w:pStyle w:val="TableParagraph"/>
              <w:ind w:left="955"/>
              <w:jc w:val="left"/>
              <w:rPr>
                <w:b/>
                <w:sz w:val="20"/>
              </w:rPr>
            </w:pPr>
            <w:r>
              <w:rPr>
                <w:b/>
                <w:sz w:val="20"/>
              </w:rPr>
              <w:t>Description</w:t>
            </w:r>
          </w:p>
        </w:tc>
        <w:tc>
          <w:tcPr>
            <w:tcW w:w="3401" w:type="dxa"/>
            <w:gridSpan w:val="2"/>
            <w:shd w:val="clear" w:color="auto" w:fill="F7C9AC"/>
          </w:tcPr>
          <w:p w:rsidR="007C5447" w:rsidRDefault="00F6308C">
            <w:pPr>
              <w:pStyle w:val="TableParagraph"/>
              <w:spacing w:before="142"/>
              <w:ind w:left="288"/>
              <w:jc w:val="left"/>
              <w:rPr>
                <w:b/>
                <w:sz w:val="20"/>
              </w:rPr>
            </w:pPr>
            <w:r>
              <w:rPr>
                <w:b/>
                <w:sz w:val="20"/>
              </w:rPr>
              <w:t>Commission Determined Tariff *</w:t>
            </w:r>
          </w:p>
        </w:tc>
      </w:tr>
      <w:tr w:rsidR="007C5447">
        <w:trPr>
          <w:trHeight w:val="693"/>
        </w:trPr>
        <w:tc>
          <w:tcPr>
            <w:tcW w:w="1361" w:type="dxa"/>
            <w:vMerge/>
            <w:tcBorders>
              <w:top w:val="nil"/>
            </w:tcBorders>
            <w:shd w:val="clear" w:color="auto" w:fill="F7C9AC"/>
          </w:tcPr>
          <w:p w:rsidR="007C5447" w:rsidRDefault="007C5447">
            <w:pPr>
              <w:rPr>
                <w:sz w:val="2"/>
                <w:szCs w:val="2"/>
              </w:rPr>
            </w:pPr>
          </w:p>
        </w:tc>
        <w:tc>
          <w:tcPr>
            <w:tcW w:w="2902" w:type="dxa"/>
            <w:vMerge/>
            <w:tcBorders>
              <w:top w:val="nil"/>
            </w:tcBorders>
            <w:shd w:val="clear" w:color="auto" w:fill="F7C9AC"/>
          </w:tcPr>
          <w:p w:rsidR="007C5447" w:rsidRDefault="007C5447">
            <w:pPr>
              <w:rPr>
                <w:sz w:val="2"/>
                <w:szCs w:val="2"/>
              </w:rPr>
            </w:pPr>
          </w:p>
        </w:tc>
        <w:tc>
          <w:tcPr>
            <w:tcW w:w="1841" w:type="dxa"/>
            <w:tcBorders>
              <w:right w:val="single" w:sz="6" w:space="0" w:color="000000"/>
            </w:tcBorders>
            <w:shd w:val="clear" w:color="auto" w:fill="F7C9AC"/>
          </w:tcPr>
          <w:p w:rsidR="007C5447" w:rsidRDefault="00F6308C">
            <w:pPr>
              <w:pStyle w:val="TableParagraph"/>
              <w:spacing w:before="48" w:line="312" w:lineRule="auto"/>
              <w:ind w:left="177" w:right="142" w:firstLine="153"/>
              <w:jc w:val="left"/>
              <w:rPr>
                <w:b/>
                <w:sz w:val="20"/>
              </w:rPr>
            </w:pPr>
            <w:r>
              <w:rPr>
                <w:b/>
                <w:sz w:val="20"/>
              </w:rPr>
              <w:t>Fixed charges (Rupees / Month)</w:t>
            </w:r>
          </w:p>
        </w:tc>
        <w:tc>
          <w:tcPr>
            <w:tcW w:w="1560" w:type="dxa"/>
            <w:tcBorders>
              <w:left w:val="single" w:sz="6" w:space="0" w:color="000000"/>
            </w:tcBorders>
            <w:shd w:val="clear" w:color="auto" w:fill="F7C9AC"/>
          </w:tcPr>
          <w:p w:rsidR="007C5447" w:rsidRDefault="00F6308C">
            <w:pPr>
              <w:pStyle w:val="TableParagraph"/>
              <w:spacing w:before="48" w:line="312" w:lineRule="auto"/>
              <w:ind w:left="158" w:right="87" w:hanging="46"/>
              <w:jc w:val="left"/>
              <w:rPr>
                <w:b/>
                <w:sz w:val="20"/>
              </w:rPr>
            </w:pPr>
            <w:r>
              <w:rPr>
                <w:b/>
                <w:sz w:val="20"/>
              </w:rPr>
              <w:t>Energy charges in Paise / kWh</w:t>
            </w:r>
          </w:p>
        </w:tc>
      </w:tr>
      <w:tr w:rsidR="007C5447">
        <w:trPr>
          <w:trHeight w:val="659"/>
        </w:trPr>
        <w:tc>
          <w:tcPr>
            <w:tcW w:w="1361" w:type="dxa"/>
            <w:vMerge w:val="restart"/>
          </w:tcPr>
          <w:p w:rsidR="007C5447" w:rsidRDefault="00F6308C">
            <w:pPr>
              <w:pStyle w:val="TableParagraph"/>
              <w:spacing w:line="309" w:lineRule="auto"/>
              <w:ind w:left="127" w:right="118"/>
              <w:jc w:val="center"/>
              <w:rPr>
                <w:b/>
                <w:sz w:val="20"/>
              </w:rPr>
            </w:pPr>
            <w:r>
              <w:rPr>
                <w:b/>
                <w:sz w:val="20"/>
              </w:rPr>
              <w:t>Low Tension Tariff</w:t>
            </w:r>
          </w:p>
          <w:p w:rsidR="007C5447" w:rsidRDefault="00F6308C">
            <w:pPr>
              <w:pStyle w:val="TableParagraph"/>
              <w:spacing w:before="4"/>
              <w:ind w:left="123" w:right="118"/>
              <w:jc w:val="center"/>
              <w:rPr>
                <w:b/>
                <w:sz w:val="20"/>
              </w:rPr>
            </w:pPr>
            <w:r>
              <w:rPr>
                <w:b/>
                <w:sz w:val="20"/>
              </w:rPr>
              <w:t>I-B</w:t>
            </w:r>
          </w:p>
        </w:tc>
        <w:tc>
          <w:tcPr>
            <w:tcW w:w="2902" w:type="dxa"/>
          </w:tcPr>
          <w:p w:rsidR="007C5447" w:rsidRDefault="00F6308C">
            <w:pPr>
              <w:pStyle w:val="TableParagraph"/>
              <w:ind w:left="108"/>
              <w:jc w:val="left"/>
              <w:rPr>
                <w:sz w:val="20"/>
              </w:rPr>
            </w:pPr>
            <w:r>
              <w:rPr>
                <w:sz w:val="20"/>
              </w:rPr>
              <w:t>Till installation of Energy Meter</w:t>
            </w:r>
          </w:p>
        </w:tc>
        <w:tc>
          <w:tcPr>
            <w:tcW w:w="1841" w:type="dxa"/>
            <w:tcBorders>
              <w:right w:val="single" w:sz="6" w:space="0" w:color="000000"/>
            </w:tcBorders>
          </w:tcPr>
          <w:p w:rsidR="007C5447" w:rsidRDefault="00F6308C">
            <w:pPr>
              <w:pStyle w:val="TableParagraph"/>
              <w:ind w:left="751" w:right="736"/>
              <w:jc w:val="center"/>
              <w:rPr>
                <w:sz w:val="20"/>
              </w:rPr>
            </w:pPr>
            <w:r>
              <w:rPr>
                <w:sz w:val="20"/>
              </w:rPr>
              <w:t>145</w:t>
            </w:r>
          </w:p>
        </w:tc>
        <w:tc>
          <w:tcPr>
            <w:tcW w:w="1560" w:type="dxa"/>
            <w:tcBorders>
              <w:left w:val="single" w:sz="6" w:space="0" w:color="000000"/>
            </w:tcBorders>
          </w:tcPr>
          <w:p w:rsidR="007C5447" w:rsidRDefault="00F6308C">
            <w:pPr>
              <w:pStyle w:val="TableParagraph"/>
              <w:ind w:left="650"/>
              <w:jc w:val="left"/>
              <w:rPr>
                <w:sz w:val="20"/>
              </w:rPr>
            </w:pPr>
            <w:r>
              <w:rPr>
                <w:sz w:val="20"/>
              </w:rPr>
              <w:t>Nil</w:t>
            </w:r>
          </w:p>
        </w:tc>
      </w:tr>
      <w:tr w:rsidR="007C5447">
        <w:trPr>
          <w:trHeight w:val="688"/>
        </w:trPr>
        <w:tc>
          <w:tcPr>
            <w:tcW w:w="1361" w:type="dxa"/>
            <w:vMerge/>
            <w:tcBorders>
              <w:top w:val="nil"/>
            </w:tcBorders>
          </w:tcPr>
          <w:p w:rsidR="007C5447" w:rsidRDefault="007C5447">
            <w:pPr>
              <w:rPr>
                <w:sz w:val="2"/>
                <w:szCs w:val="2"/>
              </w:rPr>
            </w:pPr>
          </w:p>
        </w:tc>
        <w:tc>
          <w:tcPr>
            <w:tcW w:w="2902" w:type="dxa"/>
          </w:tcPr>
          <w:p w:rsidR="007C5447" w:rsidRDefault="00F6308C">
            <w:pPr>
              <w:pStyle w:val="TableParagraph"/>
              <w:ind w:left="108"/>
              <w:jc w:val="left"/>
              <w:rPr>
                <w:sz w:val="20"/>
              </w:rPr>
            </w:pPr>
            <w:r>
              <w:rPr>
                <w:sz w:val="20"/>
              </w:rPr>
              <w:t>On Installation of Energy Meter</w:t>
            </w:r>
          </w:p>
        </w:tc>
        <w:tc>
          <w:tcPr>
            <w:tcW w:w="1841" w:type="dxa"/>
            <w:tcBorders>
              <w:right w:val="single" w:sz="6" w:space="0" w:color="000000"/>
            </w:tcBorders>
          </w:tcPr>
          <w:p w:rsidR="007C5447" w:rsidRDefault="00F6308C">
            <w:pPr>
              <w:pStyle w:val="TableParagraph"/>
              <w:ind w:left="751" w:right="736"/>
              <w:jc w:val="center"/>
              <w:rPr>
                <w:sz w:val="20"/>
              </w:rPr>
            </w:pPr>
            <w:r>
              <w:rPr>
                <w:sz w:val="20"/>
              </w:rPr>
              <w:t>Nil</w:t>
            </w:r>
          </w:p>
        </w:tc>
        <w:tc>
          <w:tcPr>
            <w:tcW w:w="1560" w:type="dxa"/>
            <w:tcBorders>
              <w:left w:val="single" w:sz="6" w:space="0" w:color="000000"/>
            </w:tcBorders>
          </w:tcPr>
          <w:p w:rsidR="007C5447" w:rsidRDefault="00F6308C">
            <w:pPr>
              <w:pStyle w:val="TableParagraph"/>
              <w:ind w:left="626"/>
              <w:jc w:val="left"/>
              <w:rPr>
                <w:sz w:val="20"/>
              </w:rPr>
            </w:pPr>
            <w:r>
              <w:rPr>
                <w:sz w:val="20"/>
              </w:rPr>
              <w:t>495</w:t>
            </w:r>
          </w:p>
        </w:tc>
      </w:tr>
    </w:tbl>
    <w:p w:rsidR="007C5447" w:rsidRDefault="00F6308C">
      <w:pPr>
        <w:ind w:left="1844"/>
        <w:rPr>
          <w:sz w:val="18"/>
        </w:rPr>
      </w:pPr>
      <w:r>
        <w:rPr>
          <w:sz w:val="18"/>
        </w:rPr>
        <w:t>*Category to be fully subsidised by the Government</w:t>
      </w:r>
    </w:p>
    <w:p w:rsidR="007C5447" w:rsidRDefault="007C5447">
      <w:pPr>
        <w:pStyle w:val="BodyText"/>
        <w:spacing w:before="8"/>
        <w:rPr>
          <w:sz w:val="20"/>
        </w:rPr>
      </w:pPr>
    </w:p>
    <w:p w:rsidR="007C5447" w:rsidRDefault="00F6308C">
      <w:pPr>
        <w:pStyle w:val="ListParagraph"/>
        <w:numPr>
          <w:ilvl w:val="3"/>
          <w:numId w:val="20"/>
        </w:numPr>
        <w:tabs>
          <w:tab w:val="left" w:pos="1226"/>
        </w:tabs>
        <w:spacing w:line="312" w:lineRule="auto"/>
        <w:ind w:right="877"/>
        <w:jc w:val="both"/>
        <w:rPr>
          <w:sz w:val="24"/>
        </w:rPr>
      </w:pPr>
      <w:r>
        <w:rPr>
          <w:sz w:val="24"/>
        </w:rPr>
        <w:t>This tariff is applicable to huts in Village Panchayats and Town Panchayats, houses constructed under Jawahar Velai Vaiippu Thittam, TAHDCO Kamarajar Adi Dravidar housing schemes, huts in Nilgiris Distric</w:t>
      </w:r>
      <w:r>
        <w:rPr>
          <w:sz w:val="24"/>
        </w:rPr>
        <w:t>t and huts with concrete wall in the schemes of State and Central Governments. This tariff is applicable subject to following</w:t>
      </w:r>
      <w:r>
        <w:rPr>
          <w:spacing w:val="-3"/>
          <w:sz w:val="24"/>
        </w:rPr>
        <w:t xml:space="preserve"> </w:t>
      </w:r>
      <w:r>
        <w:rPr>
          <w:sz w:val="24"/>
        </w:rPr>
        <w:t>conditions:</w:t>
      </w:r>
    </w:p>
    <w:p w:rsidR="007C5447" w:rsidRDefault="007C5447">
      <w:pPr>
        <w:pStyle w:val="BodyText"/>
        <w:rPr>
          <w:sz w:val="21"/>
        </w:rPr>
      </w:pPr>
    </w:p>
    <w:p w:rsidR="007C5447" w:rsidRDefault="00F6308C">
      <w:pPr>
        <w:pStyle w:val="ListParagraph"/>
        <w:numPr>
          <w:ilvl w:val="4"/>
          <w:numId w:val="20"/>
        </w:numPr>
        <w:tabs>
          <w:tab w:val="left" w:pos="1679"/>
        </w:tabs>
        <w:spacing w:before="1" w:line="312" w:lineRule="auto"/>
        <w:ind w:right="877"/>
        <w:jc w:val="both"/>
        <w:rPr>
          <w:sz w:val="24"/>
        </w:rPr>
      </w:pPr>
      <w:r>
        <w:rPr>
          <w:sz w:val="24"/>
        </w:rPr>
        <w:t xml:space="preserve">Hut means a living place not exceeding 250 square feet area with mud wall and the thatched roof / tiles / asbestos / </w:t>
      </w:r>
      <w:r>
        <w:rPr>
          <w:sz w:val="24"/>
        </w:rPr>
        <w:t>metal sheets like corrugated G.I. sheets for roofing/ concrete Roof and concrete wall with specification of square feet as approved in the schemes of State/ Central</w:t>
      </w:r>
      <w:r>
        <w:rPr>
          <w:spacing w:val="-3"/>
          <w:sz w:val="24"/>
        </w:rPr>
        <w:t xml:space="preserve"> </w:t>
      </w:r>
      <w:r>
        <w:rPr>
          <w:sz w:val="24"/>
        </w:rPr>
        <w:t>Government.</w:t>
      </w:r>
    </w:p>
    <w:p w:rsidR="007C5447" w:rsidRDefault="007C5447">
      <w:pPr>
        <w:pStyle w:val="BodyText"/>
        <w:spacing w:before="7"/>
        <w:rPr>
          <w:sz w:val="20"/>
        </w:rPr>
      </w:pPr>
    </w:p>
    <w:p w:rsidR="007C5447" w:rsidRDefault="00F6308C">
      <w:pPr>
        <w:pStyle w:val="ListParagraph"/>
        <w:numPr>
          <w:ilvl w:val="4"/>
          <w:numId w:val="20"/>
        </w:numPr>
        <w:tabs>
          <w:tab w:val="left" w:pos="1679"/>
        </w:tabs>
        <w:rPr>
          <w:sz w:val="24"/>
        </w:rPr>
      </w:pPr>
      <w:r>
        <w:rPr>
          <w:sz w:val="24"/>
        </w:rPr>
        <w:t>Only one light not exceeding 40 watts shall be permitted per</w:t>
      </w:r>
      <w:r>
        <w:rPr>
          <w:spacing w:val="-9"/>
          <w:sz w:val="24"/>
        </w:rPr>
        <w:t xml:space="preserve"> </w:t>
      </w:r>
      <w:r>
        <w:rPr>
          <w:sz w:val="24"/>
        </w:rPr>
        <w:t>hut.</w:t>
      </w:r>
    </w:p>
    <w:p w:rsidR="007C5447" w:rsidRDefault="007C5447">
      <w:pPr>
        <w:pStyle w:val="BodyText"/>
        <w:spacing w:before="2"/>
        <w:rPr>
          <w:sz w:val="28"/>
        </w:rPr>
      </w:pPr>
    </w:p>
    <w:p w:rsidR="007C5447" w:rsidRDefault="00F6308C">
      <w:pPr>
        <w:pStyle w:val="ListParagraph"/>
        <w:numPr>
          <w:ilvl w:val="4"/>
          <w:numId w:val="20"/>
        </w:numPr>
        <w:tabs>
          <w:tab w:val="left" w:pos="1679"/>
        </w:tabs>
        <w:spacing w:line="312" w:lineRule="auto"/>
        <w:ind w:right="880"/>
        <w:jc w:val="both"/>
        <w:rPr>
          <w:sz w:val="24"/>
        </w:rPr>
      </w:pPr>
      <w:r>
        <w:rPr>
          <w:sz w:val="24"/>
        </w:rPr>
        <w:t>As and when the Government provides other appliances such as Colour TV, fan, Mixie, Grinder and Laptops to these hut dwellers, the usage of appropriate additional load may be</w:t>
      </w:r>
      <w:r>
        <w:rPr>
          <w:spacing w:val="-6"/>
          <w:sz w:val="24"/>
        </w:rPr>
        <w:t xml:space="preserve"> </w:t>
      </w:r>
      <w:r>
        <w:rPr>
          <w:sz w:val="24"/>
        </w:rPr>
        <w:t>permitted.</w:t>
      </w:r>
    </w:p>
    <w:p w:rsidR="007C5447" w:rsidRDefault="007C5447">
      <w:pPr>
        <w:pStyle w:val="BodyText"/>
        <w:spacing w:before="10"/>
        <w:rPr>
          <w:sz w:val="20"/>
        </w:rPr>
      </w:pPr>
    </w:p>
    <w:p w:rsidR="007C5447" w:rsidRDefault="00F6308C">
      <w:pPr>
        <w:pStyle w:val="ListParagraph"/>
        <w:numPr>
          <w:ilvl w:val="3"/>
          <w:numId w:val="20"/>
        </w:numPr>
        <w:tabs>
          <w:tab w:val="left" w:pos="1226"/>
        </w:tabs>
        <w:spacing w:line="312" w:lineRule="auto"/>
        <w:ind w:right="881"/>
        <w:jc w:val="both"/>
        <w:rPr>
          <w:sz w:val="24"/>
        </w:rPr>
      </w:pPr>
      <w:r>
        <w:rPr>
          <w:sz w:val="24"/>
        </w:rPr>
        <w:t>Whenever the norms prescribed in (a) to (c) above is violated, the se</w:t>
      </w:r>
      <w:r>
        <w:rPr>
          <w:sz w:val="24"/>
        </w:rPr>
        <w:t>rvice category shall be immediately brought under Low Tension Tariff I-A and billed</w:t>
      </w:r>
      <w:r>
        <w:rPr>
          <w:spacing w:val="-15"/>
          <w:sz w:val="24"/>
        </w:rPr>
        <w:t xml:space="preserve"> </w:t>
      </w:r>
      <w:r>
        <w:rPr>
          <w:sz w:val="24"/>
        </w:rPr>
        <w:t>accordingly.</w:t>
      </w:r>
    </w:p>
    <w:p w:rsidR="007C5447" w:rsidRDefault="007C5447">
      <w:pPr>
        <w:spacing w:line="312" w:lineRule="auto"/>
        <w:jc w:val="both"/>
        <w:rPr>
          <w:sz w:val="24"/>
        </w:rPr>
        <w:sectPr w:rsidR="007C5447">
          <w:footerReference w:type="default" r:id="rId79"/>
          <w:pgSz w:w="11910" w:h="16840"/>
          <w:pgMar w:top="1360" w:right="560" w:bottom="1240" w:left="1180" w:header="0" w:footer="1057" w:gutter="0"/>
          <w:pgNumType w:start="331"/>
          <w:cols w:space="720"/>
        </w:sectPr>
      </w:pPr>
    </w:p>
    <w:p w:rsidR="007C5447" w:rsidRDefault="00F6308C">
      <w:pPr>
        <w:pStyle w:val="Heading2"/>
        <w:numPr>
          <w:ilvl w:val="2"/>
          <w:numId w:val="22"/>
        </w:numPr>
        <w:tabs>
          <w:tab w:val="left" w:pos="1112"/>
          <w:tab w:val="left" w:pos="1113"/>
        </w:tabs>
        <w:spacing w:before="60"/>
        <w:ind w:hanging="853"/>
      </w:pPr>
      <w:r>
        <w:lastRenderedPageBreak/>
        <w:t>Low Tension Tariff</w:t>
      </w:r>
      <w:r>
        <w:rPr>
          <w:spacing w:val="1"/>
        </w:rPr>
        <w:t xml:space="preserve"> </w:t>
      </w:r>
      <w:r>
        <w:t>I-C:</w:t>
      </w:r>
    </w:p>
    <w:p w:rsidR="007C5447" w:rsidRDefault="007C5447">
      <w:pPr>
        <w:pStyle w:val="BodyText"/>
        <w:spacing w:before="1"/>
        <w:rPr>
          <w:b/>
          <w:sz w:val="28"/>
        </w:rPr>
      </w:pPr>
    </w:p>
    <w:tbl>
      <w:tblPr>
        <w:tblW w:w="0" w:type="auto"/>
        <w:tblInd w:w="1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24"/>
        <w:gridCol w:w="2127"/>
        <w:gridCol w:w="1986"/>
      </w:tblGrid>
      <w:tr w:rsidR="007C5447">
        <w:trPr>
          <w:trHeight w:val="457"/>
        </w:trPr>
        <w:tc>
          <w:tcPr>
            <w:tcW w:w="3524" w:type="dxa"/>
            <w:vMerge w:val="restart"/>
            <w:shd w:val="clear" w:color="auto" w:fill="F7C9AC"/>
          </w:tcPr>
          <w:p w:rsidR="007C5447" w:rsidRDefault="007C5447">
            <w:pPr>
              <w:pStyle w:val="TableParagraph"/>
              <w:jc w:val="left"/>
              <w:rPr>
                <w:b/>
              </w:rPr>
            </w:pPr>
          </w:p>
          <w:p w:rsidR="007C5447" w:rsidRDefault="00F6308C">
            <w:pPr>
              <w:pStyle w:val="TableParagraph"/>
              <w:spacing w:before="189"/>
              <w:ind w:left="107"/>
              <w:jc w:val="left"/>
              <w:rPr>
                <w:b/>
                <w:sz w:val="20"/>
              </w:rPr>
            </w:pPr>
            <w:r>
              <w:rPr>
                <w:b/>
                <w:sz w:val="20"/>
              </w:rPr>
              <w:t>Tariff</w:t>
            </w:r>
          </w:p>
        </w:tc>
        <w:tc>
          <w:tcPr>
            <w:tcW w:w="4113" w:type="dxa"/>
            <w:gridSpan w:val="2"/>
            <w:shd w:val="clear" w:color="auto" w:fill="F7C9AC"/>
          </w:tcPr>
          <w:p w:rsidR="007C5447" w:rsidRDefault="00F6308C">
            <w:pPr>
              <w:pStyle w:val="TableParagraph"/>
              <w:spacing w:before="82"/>
              <w:ind w:left="107"/>
              <w:jc w:val="left"/>
              <w:rPr>
                <w:b/>
                <w:sz w:val="20"/>
              </w:rPr>
            </w:pPr>
            <w:r>
              <w:rPr>
                <w:b/>
                <w:sz w:val="20"/>
              </w:rPr>
              <w:t>Commission Determined Tariff</w:t>
            </w:r>
          </w:p>
        </w:tc>
      </w:tr>
      <w:tr w:rsidR="007C5447">
        <w:trPr>
          <w:trHeight w:val="710"/>
        </w:trPr>
        <w:tc>
          <w:tcPr>
            <w:tcW w:w="3524" w:type="dxa"/>
            <w:vMerge/>
            <w:tcBorders>
              <w:top w:val="nil"/>
            </w:tcBorders>
            <w:shd w:val="clear" w:color="auto" w:fill="F7C9AC"/>
          </w:tcPr>
          <w:p w:rsidR="007C5447" w:rsidRDefault="007C5447">
            <w:pPr>
              <w:rPr>
                <w:sz w:val="2"/>
                <w:szCs w:val="2"/>
              </w:rPr>
            </w:pPr>
          </w:p>
        </w:tc>
        <w:tc>
          <w:tcPr>
            <w:tcW w:w="2127" w:type="dxa"/>
            <w:shd w:val="clear" w:color="auto" w:fill="F7C9AC"/>
          </w:tcPr>
          <w:p w:rsidR="007C5447" w:rsidRDefault="00F6308C">
            <w:pPr>
              <w:pStyle w:val="TableParagraph"/>
              <w:spacing w:before="58" w:line="312" w:lineRule="auto"/>
              <w:ind w:left="107" w:right="501"/>
              <w:jc w:val="left"/>
              <w:rPr>
                <w:b/>
                <w:sz w:val="20"/>
              </w:rPr>
            </w:pPr>
            <w:r>
              <w:rPr>
                <w:b/>
                <w:sz w:val="20"/>
              </w:rPr>
              <w:t>Fixed charges (Rupees / Month)</w:t>
            </w:r>
          </w:p>
        </w:tc>
        <w:tc>
          <w:tcPr>
            <w:tcW w:w="1986" w:type="dxa"/>
            <w:shd w:val="clear" w:color="auto" w:fill="F7C9AC"/>
          </w:tcPr>
          <w:p w:rsidR="007C5447" w:rsidRDefault="00F6308C">
            <w:pPr>
              <w:pStyle w:val="TableParagraph"/>
              <w:spacing w:before="58" w:line="312" w:lineRule="auto"/>
              <w:ind w:left="107" w:right="304"/>
              <w:jc w:val="left"/>
              <w:rPr>
                <w:b/>
                <w:sz w:val="20"/>
              </w:rPr>
            </w:pPr>
            <w:r>
              <w:rPr>
                <w:b/>
                <w:sz w:val="20"/>
              </w:rPr>
              <w:t>Energy charges in paise / kWh</w:t>
            </w:r>
          </w:p>
        </w:tc>
      </w:tr>
      <w:tr w:rsidR="007C5447">
        <w:trPr>
          <w:trHeight w:val="299"/>
        </w:trPr>
        <w:tc>
          <w:tcPr>
            <w:tcW w:w="3524" w:type="dxa"/>
          </w:tcPr>
          <w:p w:rsidR="007C5447" w:rsidRDefault="00F6308C">
            <w:pPr>
              <w:pStyle w:val="TableParagraph"/>
              <w:spacing w:before="2"/>
              <w:ind w:left="107"/>
              <w:jc w:val="left"/>
              <w:rPr>
                <w:sz w:val="20"/>
              </w:rPr>
            </w:pPr>
            <w:r>
              <w:rPr>
                <w:sz w:val="20"/>
              </w:rPr>
              <w:t>Low Tension Tariff I-C</w:t>
            </w:r>
          </w:p>
        </w:tc>
        <w:tc>
          <w:tcPr>
            <w:tcW w:w="2127" w:type="dxa"/>
          </w:tcPr>
          <w:p w:rsidR="007C5447" w:rsidRDefault="00F6308C">
            <w:pPr>
              <w:pStyle w:val="TableParagraph"/>
              <w:spacing w:before="2"/>
              <w:ind w:left="177" w:right="168"/>
              <w:jc w:val="center"/>
              <w:rPr>
                <w:sz w:val="20"/>
              </w:rPr>
            </w:pPr>
            <w:r>
              <w:rPr>
                <w:sz w:val="20"/>
              </w:rPr>
              <w:t>60</w:t>
            </w:r>
          </w:p>
        </w:tc>
        <w:tc>
          <w:tcPr>
            <w:tcW w:w="1986" w:type="dxa"/>
          </w:tcPr>
          <w:p w:rsidR="007C5447" w:rsidRDefault="00F6308C">
            <w:pPr>
              <w:pStyle w:val="TableParagraph"/>
              <w:spacing w:before="2"/>
              <w:ind w:left="665" w:right="654"/>
              <w:jc w:val="center"/>
              <w:rPr>
                <w:sz w:val="20"/>
              </w:rPr>
            </w:pPr>
            <w:r>
              <w:rPr>
                <w:sz w:val="20"/>
              </w:rPr>
              <w:t>460</w:t>
            </w:r>
          </w:p>
        </w:tc>
      </w:tr>
    </w:tbl>
    <w:p w:rsidR="007C5447" w:rsidRDefault="007C5447">
      <w:pPr>
        <w:pStyle w:val="BodyText"/>
        <w:spacing w:before="9"/>
        <w:rPr>
          <w:b/>
          <w:sz w:val="20"/>
        </w:rPr>
      </w:pPr>
    </w:p>
    <w:p w:rsidR="007C5447" w:rsidRDefault="00F6308C">
      <w:pPr>
        <w:pStyle w:val="ListParagraph"/>
        <w:numPr>
          <w:ilvl w:val="3"/>
          <w:numId w:val="19"/>
        </w:numPr>
        <w:tabs>
          <w:tab w:val="left" w:pos="1226"/>
        </w:tabs>
        <w:spacing w:line="312" w:lineRule="auto"/>
        <w:ind w:right="879"/>
        <w:jc w:val="both"/>
        <w:rPr>
          <w:sz w:val="24"/>
        </w:rPr>
      </w:pPr>
      <w:r>
        <w:rPr>
          <w:sz w:val="24"/>
        </w:rPr>
        <w:t>This tariff is applicable to LT bulk supply for residential colonies of employees such as railway colonies, plantation worker colonies, defence colonies, Police Quarters, Residential quarters of Kudankulam Nuclear power project</w:t>
      </w:r>
      <w:r>
        <w:rPr>
          <w:spacing w:val="-6"/>
          <w:sz w:val="24"/>
        </w:rPr>
        <w:t xml:space="preserve"> </w:t>
      </w:r>
      <w:r>
        <w:rPr>
          <w:sz w:val="24"/>
        </w:rPr>
        <w:t>etc.</w:t>
      </w:r>
    </w:p>
    <w:p w:rsidR="007C5447" w:rsidRDefault="007C5447">
      <w:pPr>
        <w:pStyle w:val="BodyText"/>
        <w:spacing w:before="11"/>
        <w:rPr>
          <w:sz w:val="20"/>
        </w:rPr>
      </w:pPr>
    </w:p>
    <w:p w:rsidR="007C5447" w:rsidRDefault="00F6308C">
      <w:pPr>
        <w:pStyle w:val="ListParagraph"/>
        <w:numPr>
          <w:ilvl w:val="3"/>
          <w:numId w:val="19"/>
        </w:numPr>
        <w:tabs>
          <w:tab w:val="left" w:pos="1226"/>
        </w:tabs>
        <w:spacing w:line="312" w:lineRule="auto"/>
        <w:ind w:right="880"/>
        <w:jc w:val="both"/>
        <w:rPr>
          <w:sz w:val="24"/>
        </w:rPr>
      </w:pPr>
      <w:r>
        <w:rPr>
          <w:sz w:val="24"/>
        </w:rPr>
        <w:t>The energy charge of t</w:t>
      </w:r>
      <w:r>
        <w:rPr>
          <w:sz w:val="24"/>
        </w:rPr>
        <w:t>his tariff is also applicable for the HT/EHT consumers who opt for extending supply under this category for their residential colonies /</w:t>
      </w:r>
      <w:r>
        <w:rPr>
          <w:spacing w:val="-14"/>
          <w:sz w:val="24"/>
        </w:rPr>
        <w:t xml:space="preserve"> </w:t>
      </w:r>
      <w:r>
        <w:rPr>
          <w:sz w:val="24"/>
        </w:rPr>
        <w:t>quarters.</w:t>
      </w:r>
    </w:p>
    <w:p w:rsidR="007C5447" w:rsidRDefault="007C5447">
      <w:pPr>
        <w:pStyle w:val="BodyText"/>
        <w:spacing w:before="11"/>
        <w:rPr>
          <w:sz w:val="20"/>
        </w:rPr>
      </w:pPr>
    </w:p>
    <w:p w:rsidR="007C5447" w:rsidRDefault="00F6308C">
      <w:pPr>
        <w:pStyle w:val="ListParagraph"/>
        <w:numPr>
          <w:ilvl w:val="3"/>
          <w:numId w:val="19"/>
        </w:numPr>
        <w:tabs>
          <w:tab w:val="left" w:pos="1226"/>
        </w:tabs>
        <w:spacing w:line="312" w:lineRule="auto"/>
        <w:ind w:right="876"/>
        <w:jc w:val="both"/>
        <w:rPr>
          <w:sz w:val="24"/>
        </w:rPr>
      </w:pPr>
      <w:r>
        <w:rPr>
          <w:sz w:val="24"/>
        </w:rPr>
        <w:t>Single point supply to Cooperative group housing society and for the residential purpose of the employees as</w:t>
      </w:r>
      <w:r>
        <w:rPr>
          <w:sz w:val="24"/>
        </w:rPr>
        <w:t xml:space="preserve"> specified in “The Electricity (Removal of difficulties) Eighth Order</w:t>
      </w:r>
      <w:r>
        <w:rPr>
          <w:spacing w:val="-1"/>
          <w:sz w:val="24"/>
        </w:rPr>
        <w:t xml:space="preserve"> </w:t>
      </w:r>
      <w:r>
        <w:rPr>
          <w:sz w:val="24"/>
        </w:rPr>
        <w:t>2005”.</w:t>
      </w:r>
    </w:p>
    <w:p w:rsidR="007C5447" w:rsidRDefault="007C5447">
      <w:pPr>
        <w:pStyle w:val="BodyText"/>
        <w:rPr>
          <w:sz w:val="26"/>
        </w:rPr>
      </w:pPr>
    </w:p>
    <w:p w:rsidR="007C5447" w:rsidRDefault="007C5447">
      <w:pPr>
        <w:pStyle w:val="BodyText"/>
        <w:spacing w:before="6"/>
        <w:rPr>
          <w:sz w:val="36"/>
        </w:rPr>
      </w:pPr>
    </w:p>
    <w:p w:rsidR="007C5447" w:rsidRDefault="00F6308C">
      <w:pPr>
        <w:pStyle w:val="Heading2"/>
        <w:numPr>
          <w:ilvl w:val="2"/>
          <w:numId w:val="22"/>
        </w:numPr>
        <w:tabs>
          <w:tab w:val="left" w:pos="1112"/>
          <w:tab w:val="left" w:pos="1113"/>
        </w:tabs>
        <w:ind w:hanging="853"/>
      </w:pPr>
      <w:r>
        <w:t>Low Tension Tariff</w:t>
      </w:r>
      <w:r>
        <w:rPr>
          <w:spacing w:val="1"/>
        </w:rPr>
        <w:t xml:space="preserve"> </w:t>
      </w:r>
      <w:r>
        <w:t>II-A:</w:t>
      </w:r>
    </w:p>
    <w:p w:rsidR="007C5447" w:rsidRDefault="007C5447">
      <w:pPr>
        <w:pStyle w:val="BodyText"/>
        <w:rPr>
          <w:b/>
          <w:sz w:val="28"/>
        </w:rPr>
      </w:pPr>
    </w:p>
    <w:tbl>
      <w:tblPr>
        <w:tblW w:w="0" w:type="auto"/>
        <w:tblInd w:w="1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24"/>
        <w:gridCol w:w="2127"/>
        <w:gridCol w:w="1986"/>
      </w:tblGrid>
      <w:tr w:rsidR="007C5447">
        <w:trPr>
          <w:trHeight w:val="458"/>
        </w:trPr>
        <w:tc>
          <w:tcPr>
            <w:tcW w:w="3524" w:type="dxa"/>
            <w:vMerge w:val="restart"/>
            <w:shd w:val="clear" w:color="auto" w:fill="F7C9AC"/>
          </w:tcPr>
          <w:p w:rsidR="007C5447" w:rsidRDefault="007C5447">
            <w:pPr>
              <w:pStyle w:val="TableParagraph"/>
              <w:jc w:val="left"/>
              <w:rPr>
                <w:b/>
              </w:rPr>
            </w:pPr>
          </w:p>
          <w:p w:rsidR="007C5447" w:rsidRDefault="00F6308C">
            <w:pPr>
              <w:pStyle w:val="TableParagraph"/>
              <w:spacing w:before="189"/>
              <w:ind w:left="107"/>
              <w:jc w:val="left"/>
              <w:rPr>
                <w:b/>
                <w:sz w:val="20"/>
              </w:rPr>
            </w:pPr>
            <w:r>
              <w:rPr>
                <w:b/>
                <w:sz w:val="20"/>
              </w:rPr>
              <w:t>Tariff</w:t>
            </w:r>
          </w:p>
        </w:tc>
        <w:tc>
          <w:tcPr>
            <w:tcW w:w="4113" w:type="dxa"/>
            <w:gridSpan w:val="2"/>
            <w:shd w:val="clear" w:color="auto" w:fill="F7C9AC"/>
          </w:tcPr>
          <w:p w:rsidR="007C5447" w:rsidRDefault="00F6308C">
            <w:pPr>
              <w:pStyle w:val="TableParagraph"/>
              <w:spacing w:before="82"/>
              <w:ind w:left="107"/>
              <w:jc w:val="left"/>
              <w:rPr>
                <w:b/>
                <w:sz w:val="20"/>
              </w:rPr>
            </w:pPr>
            <w:r>
              <w:rPr>
                <w:b/>
                <w:sz w:val="20"/>
              </w:rPr>
              <w:t>Commission Determined Tariff</w:t>
            </w:r>
          </w:p>
        </w:tc>
      </w:tr>
      <w:tr w:rsidR="007C5447">
        <w:trPr>
          <w:trHeight w:val="710"/>
        </w:trPr>
        <w:tc>
          <w:tcPr>
            <w:tcW w:w="3524" w:type="dxa"/>
            <w:vMerge/>
            <w:tcBorders>
              <w:top w:val="nil"/>
            </w:tcBorders>
            <w:shd w:val="clear" w:color="auto" w:fill="F7C9AC"/>
          </w:tcPr>
          <w:p w:rsidR="007C5447" w:rsidRDefault="007C5447">
            <w:pPr>
              <w:rPr>
                <w:sz w:val="2"/>
                <w:szCs w:val="2"/>
              </w:rPr>
            </w:pPr>
          </w:p>
        </w:tc>
        <w:tc>
          <w:tcPr>
            <w:tcW w:w="2127" w:type="dxa"/>
            <w:shd w:val="clear" w:color="auto" w:fill="F7C9AC"/>
          </w:tcPr>
          <w:p w:rsidR="007C5447" w:rsidRDefault="00F6308C">
            <w:pPr>
              <w:pStyle w:val="TableParagraph"/>
              <w:spacing w:before="58" w:line="309" w:lineRule="auto"/>
              <w:ind w:left="107" w:right="134"/>
              <w:jc w:val="left"/>
              <w:rPr>
                <w:b/>
                <w:sz w:val="20"/>
              </w:rPr>
            </w:pPr>
            <w:r>
              <w:rPr>
                <w:b/>
                <w:sz w:val="20"/>
              </w:rPr>
              <w:t>Fixed charges (Rupees/kW / Month)</w:t>
            </w:r>
          </w:p>
        </w:tc>
        <w:tc>
          <w:tcPr>
            <w:tcW w:w="1986" w:type="dxa"/>
            <w:shd w:val="clear" w:color="auto" w:fill="F7C9AC"/>
          </w:tcPr>
          <w:p w:rsidR="007C5447" w:rsidRDefault="00F6308C">
            <w:pPr>
              <w:pStyle w:val="TableParagraph"/>
              <w:spacing w:before="58" w:line="309" w:lineRule="auto"/>
              <w:ind w:left="107" w:right="304"/>
              <w:jc w:val="left"/>
              <w:rPr>
                <w:b/>
                <w:sz w:val="20"/>
              </w:rPr>
            </w:pPr>
            <w:r>
              <w:rPr>
                <w:b/>
                <w:sz w:val="20"/>
              </w:rPr>
              <w:t>Energy charges in paise / kWh</w:t>
            </w:r>
          </w:p>
        </w:tc>
      </w:tr>
      <w:tr w:rsidR="007C5447">
        <w:trPr>
          <w:trHeight w:val="299"/>
        </w:trPr>
        <w:tc>
          <w:tcPr>
            <w:tcW w:w="3524" w:type="dxa"/>
          </w:tcPr>
          <w:p w:rsidR="007C5447" w:rsidRDefault="00F6308C">
            <w:pPr>
              <w:pStyle w:val="TableParagraph"/>
              <w:ind w:left="107"/>
              <w:jc w:val="left"/>
              <w:rPr>
                <w:sz w:val="20"/>
              </w:rPr>
            </w:pPr>
            <w:r>
              <w:rPr>
                <w:sz w:val="20"/>
              </w:rPr>
              <w:t>Low Tension Tariff II-A</w:t>
            </w:r>
          </w:p>
        </w:tc>
        <w:tc>
          <w:tcPr>
            <w:tcW w:w="2127" w:type="dxa"/>
          </w:tcPr>
          <w:p w:rsidR="007C5447" w:rsidRDefault="00F6308C">
            <w:pPr>
              <w:pStyle w:val="TableParagraph"/>
              <w:ind w:left="177" w:right="168"/>
              <w:jc w:val="center"/>
              <w:rPr>
                <w:sz w:val="20"/>
              </w:rPr>
            </w:pPr>
            <w:r>
              <w:rPr>
                <w:sz w:val="20"/>
              </w:rPr>
              <w:t>60</w:t>
            </w:r>
          </w:p>
        </w:tc>
        <w:tc>
          <w:tcPr>
            <w:tcW w:w="1986" w:type="dxa"/>
          </w:tcPr>
          <w:p w:rsidR="007C5447" w:rsidRDefault="00F6308C">
            <w:pPr>
              <w:pStyle w:val="TableParagraph"/>
              <w:ind w:left="665" w:right="654"/>
              <w:jc w:val="center"/>
              <w:rPr>
                <w:sz w:val="20"/>
              </w:rPr>
            </w:pPr>
            <w:r>
              <w:rPr>
                <w:sz w:val="20"/>
              </w:rPr>
              <w:t>635</w:t>
            </w:r>
          </w:p>
        </w:tc>
      </w:tr>
    </w:tbl>
    <w:p w:rsidR="007C5447" w:rsidRDefault="007C5447">
      <w:pPr>
        <w:pStyle w:val="BodyText"/>
        <w:spacing w:before="9"/>
        <w:rPr>
          <w:b/>
          <w:sz w:val="20"/>
        </w:rPr>
      </w:pPr>
    </w:p>
    <w:p w:rsidR="007C5447" w:rsidRDefault="00F6308C">
      <w:pPr>
        <w:pStyle w:val="ListParagraph"/>
        <w:numPr>
          <w:ilvl w:val="3"/>
          <w:numId w:val="18"/>
        </w:numPr>
        <w:tabs>
          <w:tab w:val="left" w:pos="1226"/>
        </w:tabs>
        <w:spacing w:line="312" w:lineRule="auto"/>
        <w:ind w:right="875"/>
        <w:jc w:val="both"/>
        <w:rPr>
          <w:sz w:val="24"/>
        </w:rPr>
      </w:pPr>
      <w:r>
        <w:rPr>
          <w:sz w:val="24"/>
        </w:rPr>
        <w:t>This tariff is applicable to Public Lighting by Government/Local Bodies and Public Water Supply &amp; Public Sewerage System by Government/Local Bodies /TWAD Board/CMWSSB.</w:t>
      </w:r>
    </w:p>
    <w:p w:rsidR="007C5447" w:rsidRDefault="007C5447">
      <w:pPr>
        <w:pStyle w:val="BodyText"/>
        <w:spacing w:before="11"/>
        <w:rPr>
          <w:sz w:val="20"/>
        </w:rPr>
      </w:pPr>
    </w:p>
    <w:p w:rsidR="007C5447" w:rsidRDefault="00F6308C">
      <w:pPr>
        <w:pStyle w:val="ListParagraph"/>
        <w:numPr>
          <w:ilvl w:val="3"/>
          <w:numId w:val="18"/>
        </w:numPr>
        <w:tabs>
          <w:tab w:val="left" w:pos="1226"/>
        </w:tabs>
        <w:spacing w:line="312" w:lineRule="auto"/>
        <w:ind w:right="885"/>
        <w:jc w:val="both"/>
        <w:rPr>
          <w:sz w:val="24"/>
        </w:rPr>
      </w:pPr>
      <w:r>
        <w:rPr>
          <w:sz w:val="24"/>
        </w:rPr>
        <w:t>Private agriculture wells/private wells hired by Government/Local bodies/CMWSSB/TWAD Bo</w:t>
      </w:r>
      <w:r>
        <w:rPr>
          <w:sz w:val="24"/>
        </w:rPr>
        <w:t>ard/ to draw water for public</w:t>
      </w:r>
      <w:r>
        <w:rPr>
          <w:spacing w:val="-4"/>
          <w:sz w:val="24"/>
        </w:rPr>
        <w:t xml:space="preserve"> </w:t>
      </w:r>
      <w:r>
        <w:rPr>
          <w:sz w:val="24"/>
        </w:rPr>
        <w:t>distribution.</w:t>
      </w:r>
    </w:p>
    <w:p w:rsidR="007C5447" w:rsidRDefault="007C5447">
      <w:pPr>
        <w:pStyle w:val="BodyText"/>
        <w:spacing w:before="11"/>
        <w:rPr>
          <w:sz w:val="20"/>
        </w:rPr>
      </w:pPr>
    </w:p>
    <w:p w:rsidR="007C5447" w:rsidRDefault="00F6308C">
      <w:pPr>
        <w:pStyle w:val="ListParagraph"/>
        <w:numPr>
          <w:ilvl w:val="3"/>
          <w:numId w:val="18"/>
        </w:numPr>
        <w:tabs>
          <w:tab w:val="left" w:pos="1226"/>
        </w:tabs>
        <w:spacing w:line="312" w:lineRule="auto"/>
        <w:ind w:right="880"/>
        <w:jc w:val="both"/>
        <w:rPr>
          <w:sz w:val="24"/>
        </w:rPr>
      </w:pPr>
      <w:r>
        <w:rPr>
          <w:sz w:val="24"/>
        </w:rPr>
        <w:t>Public Water Supply by New Tirupur Area Development Corporation as long as they supply drinking water predominantly to local bodies/public and Public Water Supply in plantation</w:t>
      </w:r>
      <w:r>
        <w:rPr>
          <w:spacing w:val="-8"/>
          <w:sz w:val="24"/>
        </w:rPr>
        <w:t xml:space="preserve"> </w:t>
      </w:r>
      <w:r>
        <w:rPr>
          <w:sz w:val="24"/>
        </w:rPr>
        <w:t>colonies.</w:t>
      </w:r>
    </w:p>
    <w:p w:rsidR="007C5447" w:rsidRDefault="007C5447">
      <w:pPr>
        <w:pStyle w:val="BodyText"/>
        <w:spacing w:before="9"/>
        <w:rPr>
          <w:sz w:val="20"/>
        </w:rPr>
      </w:pPr>
    </w:p>
    <w:p w:rsidR="007C5447" w:rsidRDefault="00F6308C">
      <w:pPr>
        <w:pStyle w:val="ListParagraph"/>
        <w:numPr>
          <w:ilvl w:val="3"/>
          <w:numId w:val="18"/>
        </w:numPr>
        <w:tabs>
          <w:tab w:val="left" w:pos="1226"/>
        </w:tabs>
        <w:spacing w:line="312" w:lineRule="auto"/>
        <w:ind w:right="877"/>
        <w:jc w:val="both"/>
        <w:rPr>
          <w:sz w:val="24"/>
        </w:rPr>
      </w:pPr>
      <w:r>
        <w:rPr>
          <w:sz w:val="24"/>
        </w:rPr>
        <w:t>Separate service connec</w:t>
      </w:r>
      <w:r>
        <w:rPr>
          <w:sz w:val="24"/>
        </w:rPr>
        <w:t>tions for street lights for SIDCO and other Industrial Estates.</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ListParagraph"/>
        <w:numPr>
          <w:ilvl w:val="3"/>
          <w:numId w:val="18"/>
        </w:numPr>
        <w:tabs>
          <w:tab w:val="left" w:pos="1225"/>
          <w:tab w:val="left" w:pos="1226"/>
        </w:tabs>
        <w:spacing w:before="60"/>
        <w:ind w:hanging="966"/>
        <w:rPr>
          <w:sz w:val="24"/>
        </w:rPr>
      </w:pPr>
      <w:r>
        <w:rPr>
          <w:sz w:val="24"/>
        </w:rPr>
        <w:lastRenderedPageBreak/>
        <w:t>Supply to Railway level</w:t>
      </w:r>
      <w:r>
        <w:rPr>
          <w:spacing w:val="-11"/>
          <w:sz w:val="24"/>
        </w:rPr>
        <w:t xml:space="preserve"> </w:t>
      </w:r>
      <w:r>
        <w:rPr>
          <w:sz w:val="24"/>
        </w:rPr>
        <w:t>crossings.</w:t>
      </w:r>
    </w:p>
    <w:p w:rsidR="007C5447" w:rsidRDefault="00F6308C">
      <w:pPr>
        <w:pStyle w:val="Heading2"/>
        <w:numPr>
          <w:ilvl w:val="2"/>
          <w:numId w:val="22"/>
        </w:numPr>
        <w:tabs>
          <w:tab w:val="left" w:pos="1112"/>
          <w:tab w:val="left" w:pos="1113"/>
        </w:tabs>
        <w:spacing w:before="202"/>
        <w:ind w:hanging="853"/>
      </w:pPr>
      <w:r>
        <w:t>Low Tension Tariff II-B</w:t>
      </w:r>
      <w:r>
        <w:rPr>
          <w:spacing w:val="1"/>
        </w:rPr>
        <w:t xml:space="preserve"> </w:t>
      </w:r>
      <w:r>
        <w:t>(1)</w:t>
      </w:r>
    </w:p>
    <w:p w:rsidR="007C5447" w:rsidRDefault="007C5447">
      <w:pPr>
        <w:pStyle w:val="BodyText"/>
        <w:spacing w:before="3"/>
        <w:rPr>
          <w:b/>
          <w:sz w:val="28"/>
        </w:rPr>
      </w:pPr>
    </w:p>
    <w:tbl>
      <w:tblPr>
        <w:tblW w:w="0" w:type="auto"/>
        <w:tblInd w:w="1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24"/>
        <w:gridCol w:w="2127"/>
        <w:gridCol w:w="1986"/>
      </w:tblGrid>
      <w:tr w:rsidR="007C5447">
        <w:trPr>
          <w:trHeight w:val="457"/>
        </w:trPr>
        <w:tc>
          <w:tcPr>
            <w:tcW w:w="3524" w:type="dxa"/>
            <w:vMerge w:val="restart"/>
            <w:shd w:val="clear" w:color="auto" w:fill="F7C9AC"/>
          </w:tcPr>
          <w:p w:rsidR="007C5447" w:rsidRDefault="007C5447">
            <w:pPr>
              <w:pStyle w:val="TableParagraph"/>
              <w:jc w:val="left"/>
              <w:rPr>
                <w:b/>
              </w:rPr>
            </w:pPr>
          </w:p>
          <w:p w:rsidR="007C5447" w:rsidRDefault="00F6308C">
            <w:pPr>
              <w:pStyle w:val="TableParagraph"/>
              <w:spacing w:before="186"/>
              <w:ind w:left="107"/>
              <w:jc w:val="left"/>
              <w:rPr>
                <w:b/>
                <w:sz w:val="20"/>
              </w:rPr>
            </w:pPr>
            <w:r>
              <w:rPr>
                <w:b/>
                <w:sz w:val="20"/>
              </w:rPr>
              <w:t>Tariff</w:t>
            </w:r>
          </w:p>
        </w:tc>
        <w:tc>
          <w:tcPr>
            <w:tcW w:w="4113" w:type="dxa"/>
            <w:gridSpan w:val="2"/>
            <w:shd w:val="clear" w:color="auto" w:fill="F7C9AC"/>
          </w:tcPr>
          <w:p w:rsidR="007C5447" w:rsidRDefault="00F6308C">
            <w:pPr>
              <w:pStyle w:val="TableParagraph"/>
              <w:spacing w:before="79"/>
              <w:ind w:left="107"/>
              <w:jc w:val="left"/>
              <w:rPr>
                <w:b/>
                <w:sz w:val="20"/>
              </w:rPr>
            </w:pPr>
            <w:r>
              <w:rPr>
                <w:b/>
                <w:sz w:val="20"/>
              </w:rPr>
              <w:t>Commission Determined Tariff</w:t>
            </w:r>
          </w:p>
        </w:tc>
      </w:tr>
      <w:tr w:rsidR="007C5447">
        <w:trPr>
          <w:trHeight w:val="710"/>
        </w:trPr>
        <w:tc>
          <w:tcPr>
            <w:tcW w:w="3524" w:type="dxa"/>
            <w:vMerge/>
            <w:tcBorders>
              <w:top w:val="nil"/>
            </w:tcBorders>
            <w:shd w:val="clear" w:color="auto" w:fill="F7C9AC"/>
          </w:tcPr>
          <w:p w:rsidR="007C5447" w:rsidRDefault="007C5447">
            <w:pPr>
              <w:rPr>
                <w:sz w:val="2"/>
                <w:szCs w:val="2"/>
              </w:rPr>
            </w:pPr>
          </w:p>
        </w:tc>
        <w:tc>
          <w:tcPr>
            <w:tcW w:w="2127" w:type="dxa"/>
            <w:shd w:val="clear" w:color="auto" w:fill="F7C9AC"/>
          </w:tcPr>
          <w:p w:rsidR="007C5447" w:rsidRDefault="00F6308C">
            <w:pPr>
              <w:pStyle w:val="TableParagraph"/>
              <w:spacing w:before="55" w:line="312" w:lineRule="auto"/>
              <w:ind w:left="107" w:right="134"/>
              <w:jc w:val="left"/>
              <w:rPr>
                <w:b/>
                <w:sz w:val="20"/>
              </w:rPr>
            </w:pPr>
            <w:r>
              <w:rPr>
                <w:b/>
                <w:sz w:val="20"/>
              </w:rPr>
              <w:t>Fixed charges (Rupees/kW / Month)</w:t>
            </w:r>
          </w:p>
        </w:tc>
        <w:tc>
          <w:tcPr>
            <w:tcW w:w="1986" w:type="dxa"/>
            <w:shd w:val="clear" w:color="auto" w:fill="F7C9AC"/>
          </w:tcPr>
          <w:p w:rsidR="007C5447" w:rsidRDefault="00F6308C">
            <w:pPr>
              <w:pStyle w:val="TableParagraph"/>
              <w:spacing w:before="55" w:line="312" w:lineRule="auto"/>
              <w:ind w:left="107" w:right="304"/>
              <w:jc w:val="left"/>
              <w:rPr>
                <w:b/>
                <w:sz w:val="20"/>
              </w:rPr>
            </w:pPr>
            <w:r>
              <w:rPr>
                <w:b/>
                <w:sz w:val="20"/>
              </w:rPr>
              <w:t>Energy charges in paise / kWh</w:t>
            </w:r>
          </w:p>
        </w:tc>
      </w:tr>
      <w:tr w:rsidR="007C5447">
        <w:trPr>
          <w:trHeight w:val="299"/>
        </w:trPr>
        <w:tc>
          <w:tcPr>
            <w:tcW w:w="3524" w:type="dxa"/>
          </w:tcPr>
          <w:p w:rsidR="007C5447" w:rsidRDefault="00F6308C">
            <w:pPr>
              <w:pStyle w:val="TableParagraph"/>
              <w:ind w:left="107"/>
              <w:jc w:val="left"/>
              <w:rPr>
                <w:sz w:val="20"/>
              </w:rPr>
            </w:pPr>
            <w:r>
              <w:rPr>
                <w:sz w:val="20"/>
              </w:rPr>
              <w:t>Low Tension Tariff II-B (1)</w:t>
            </w:r>
          </w:p>
        </w:tc>
        <w:tc>
          <w:tcPr>
            <w:tcW w:w="2127" w:type="dxa"/>
          </w:tcPr>
          <w:p w:rsidR="007C5447" w:rsidRDefault="00F6308C">
            <w:pPr>
              <w:pStyle w:val="TableParagraph"/>
              <w:ind w:left="177" w:right="168"/>
              <w:jc w:val="center"/>
              <w:rPr>
                <w:sz w:val="20"/>
              </w:rPr>
            </w:pPr>
            <w:r>
              <w:rPr>
                <w:sz w:val="20"/>
              </w:rPr>
              <w:t>60</w:t>
            </w:r>
          </w:p>
        </w:tc>
        <w:tc>
          <w:tcPr>
            <w:tcW w:w="1986" w:type="dxa"/>
          </w:tcPr>
          <w:p w:rsidR="007C5447" w:rsidRDefault="00F6308C">
            <w:pPr>
              <w:pStyle w:val="TableParagraph"/>
              <w:ind w:left="665" w:right="654"/>
              <w:jc w:val="center"/>
              <w:rPr>
                <w:sz w:val="20"/>
              </w:rPr>
            </w:pPr>
            <w:r>
              <w:rPr>
                <w:sz w:val="20"/>
              </w:rPr>
              <w:t>575</w:t>
            </w:r>
          </w:p>
        </w:tc>
      </w:tr>
    </w:tbl>
    <w:p w:rsidR="007C5447" w:rsidRDefault="007C5447">
      <w:pPr>
        <w:pStyle w:val="BodyText"/>
        <w:spacing w:before="9"/>
        <w:rPr>
          <w:b/>
          <w:sz w:val="20"/>
        </w:rPr>
      </w:pPr>
    </w:p>
    <w:p w:rsidR="007C5447" w:rsidRDefault="00F6308C">
      <w:pPr>
        <w:pStyle w:val="ListParagraph"/>
        <w:numPr>
          <w:ilvl w:val="3"/>
          <w:numId w:val="17"/>
        </w:numPr>
        <w:tabs>
          <w:tab w:val="left" w:pos="1225"/>
          <w:tab w:val="left" w:pos="1226"/>
        </w:tabs>
        <w:spacing w:line="312" w:lineRule="auto"/>
        <w:ind w:right="881"/>
        <w:rPr>
          <w:sz w:val="24"/>
        </w:rPr>
      </w:pPr>
      <w:r>
        <w:rPr>
          <w:sz w:val="24"/>
        </w:rPr>
        <w:t>This tariff is applicable to the following entities owned or aided by the Government/Government Agencies/Local</w:t>
      </w:r>
      <w:r>
        <w:rPr>
          <w:spacing w:val="-1"/>
          <w:sz w:val="24"/>
        </w:rPr>
        <w:t xml:space="preserve"> </w:t>
      </w:r>
      <w:r>
        <w:rPr>
          <w:sz w:val="24"/>
        </w:rPr>
        <w:t>Bodies:</w:t>
      </w:r>
    </w:p>
    <w:p w:rsidR="007C5447" w:rsidRDefault="007C5447">
      <w:pPr>
        <w:pStyle w:val="BodyText"/>
        <w:spacing w:before="10"/>
        <w:rPr>
          <w:sz w:val="20"/>
        </w:rPr>
      </w:pPr>
    </w:p>
    <w:p w:rsidR="007C5447" w:rsidRDefault="00F6308C">
      <w:pPr>
        <w:pStyle w:val="ListParagraph"/>
        <w:numPr>
          <w:ilvl w:val="4"/>
          <w:numId w:val="17"/>
        </w:numPr>
        <w:tabs>
          <w:tab w:val="left" w:pos="1679"/>
        </w:tabs>
        <w:spacing w:before="1" w:line="312" w:lineRule="auto"/>
        <w:ind w:right="882"/>
        <w:jc w:val="both"/>
        <w:rPr>
          <w:sz w:val="24"/>
        </w:rPr>
      </w:pPr>
      <w:r>
        <w:rPr>
          <w:sz w:val="24"/>
        </w:rPr>
        <w:t>Educational/Welfare institutions and Hostels run by such institutions, other Hostels, Youth/Student Hostels and Scouts</w:t>
      </w:r>
      <w:r>
        <w:rPr>
          <w:spacing w:val="-4"/>
          <w:sz w:val="24"/>
        </w:rPr>
        <w:t xml:space="preserve"> </w:t>
      </w:r>
      <w:r>
        <w:rPr>
          <w:sz w:val="24"/>
        </w:rPr>
        <w:t>camps.</w:t>
      </w:r>
    </w:p>
    <w:p w:rsidR="007C5447" w:rsidRDefault="007C5447">
      <w:pPr>
        <w:pStyle w:val="BodyText"/>
        <w:spacing w:before="9"/>
        <w:rPr>
          <w:sz w:val="20"/>
        </w:rPr>
      </w:pPr>
    </w:p>
    <w:p w:rsidR="007C5447" w:rsidRDefault="00F6308C">
      <w:pPr>
        <w:pStyle w:val="ListParagraph"/>
        <w:numPr>
          <w:ilvl w:val="4"/>
          <w:numId w:val="17"/>
        </w:numPr>
        <w:tabs>
          <w:tab w:val="left" w:pos="1679"/>
        </w:tabs>
        <w:spacing w:before="1" w:line="312" w:lineRule="auto"/>
        <w:ind w:right="875"/>
        <w:jc w:val="both"/>
        <w:rPr>
          <w:sz w:val="24"/>
        </w:rPr>
      </w:pPr>
      <w:r>
        <w:rPr>
          <w:sz w:val="24"/>
        </w:rPr>
        <w:t>Hospitals, Dispensaries, Primary Health Centres &amp; sub-centres and Veterinary Hospitals.</w:t>
      </w:r>
    </w:p>
    <w:p w:rsidR="007C5447" w:rsidRDefault="007C5447">
      <w:pPr>
        <w:pStyle w:val="BodyText"/>
        <w:spacing w:before="10"/>
        <w:rPr>
          <w:sz w:val="20"/>
        </w:rPr>
      </w:pPr>
    </w:p>
    <w:p w:rsidR="007C5447" w:rsidRDefault="00F6308C">
      <w:pPr>
        <w:pStyle w:val="ListParagraph"/>
        <w:numPr>
          <w:ilvl w:val="4"/>
          <w:numId w:val="17"/>
        </w:numPr>
        <w:tabs>
          <w:tab w:val="left" w:pos="1679"/>
        </w:tabs>
        <w:rPr>
          <w:sz w:val="24"/>
        </w:rPr>
      </w:pPr>
      <w:r>
        <w:rPr>
          <w:sz w:val="24"/>
        </w:rPr>
        <w:t>Central Prisons and other Prisons of the State</w:t>
      </w:r>
      <w:r>
        <w:rPr>
          <w:spacing w:val="-4"/>
          <w:sz w:val="24"/>
        </w:rPr>
        <w:t xml:space="preserve"> </w:t>
      </w:r>
      <w:r>
        <w:rPr>
          <w:sz w:val="24"/>
        </w:rPr>
        <w:t>Government.</w:t>
      </w:r>
    </w:p>
    <w:p w:rsidR="007C5447" w:rsidRDefault="007C5447">
      <w:pPr>
        <w:pStyle w:val="BodyText"/>
        <w:spacing w:before="11"/>
        <w:rPr>
          <w:sz w:val="27"/>
        </w:rPr>
      </w:pPr>
    </w:p>
    <w:p w:rsidR="007C5447" w:rsidRDefault="00F6308C">
      <w:pPr>
        <w:pStyle w:val="ListParagraph"/>
        <w:numPr>
          <w:ilvl w:val="4"/>
          <w:numId w:val="17"/>
        </w:numPr>
        <w:tabs>
          <w:tab w:val="left" w:pos="1679"/>
        </w:tabs>
        <w:rPr>
          <w:sz w:val="24"/>
        </w:rPr>
      </w:pPr>
      <w:r>
        <w:rPr>
          <w:sz w:val="24"/>
        </w:rPr>
        <w:t>Research</w:t>
      </w:r>
      <w:r>
        <w:rPr>
          <w:spacing w:val="3"/>
          <w:sz w:val="24"/>
        </w:rPr>
        <w:t xml:space="preserve"> </w:t>
      </w:r>
      <w:r>
        <w:rPr>
          <w:sz w:val="24"/>
        </w:rPr>
        <w:t>Laboratories/Institute.</w:t>
      </w:r>
    </w:p>
    <w:p w:rsidR="007C5447" w:rsidRDefault="007C5447">
      <w:pPr>
        <w:pStyle w:val="BodyText"/>
        <w:spacing w:before="2"/>
        <w:rPr>
          <w:sz w:val="28"/>
        </w:rPr>
      </w:pPr>
    </w:p>
    <w:p w:rsidR="007C5447" w:rsidRDefault="00F6308C">
      <w:pPr>
        <w:pStyle w:val="ListParagraph"/>
        <w:numPr>
          <w:ilvl w:val="4"/>
          <w:numId w:val="17"/>
        </w:numPr>
        <w:tabs>
          <w:tab w:val="left" w:pos="1679"/>
        </w:tabs>
        <w:rPr>
          <w:sz w:val="24"/>
        </w:rPr>
      </w:pPr>
      <w:r>
        <w:rPr>
          <w:sz w:val="24"/>
        </w:rPr>
        <w:t>Elephant Health</w:t>
      </w:r>
      <w:r>
        <w:rPr>
          <w:spacing w:val="-1"/>
          <w:sz w:val="24"/>
        </w:rPr>
        <w:t xml:space="preserve"> </w:t>
      </w:r>
      <w:r>
        <w:rPr>
          <w:sz w:val="24"/>
        </w:rPr>
        <w:t>camp</w:t>
      </w:r>
    </w:p>
    <w:p w:rsidR="007C5447" w:rsidRDefault="007C5447">
      <w:pPr>
        <w:pStyle w:val="BodyText"/>
        <w:rPr>
          <w:sz w:val="28"/>
        </w:rPr>
      </w:pPr>
    </w:p>
    <w:p w:rsidR="007C5447" w:rsidRDefault="00F6308C">
      <w:pPr>
        <w:pStyle w:val="ListParagraph"/>
        <w:numPr>
          <w:ilvl w:val="4"/>
          <w:numId w:val="17"/>
        </w:numPr>
        <w:tabs>
          <w:tab w:val="left" w:pos="1679"/>
        </w:tabs>
        <w:rPr>
          <w:sz w:val="24"/>
        </w:rPr>
      </w:pPr>
      <w:r>
        <w:rPr>
          <w:sz w:val="24"/>
        </w:rPr>
        <w:t>State Legal Udhavi Maiyam.</w:t>
      </w:r>
    </w:p>
    <w:p w:rsidR="007C5447" w:rsidRDefault="007C5447">
      <w:pPr>
        <w:pStyle w:val="BodyText"/>
        <w:spacing w:before="2"/>
        <w:rPr>
          <w:sz w:val="28"/>
        </w:rPr>
      </w:pPr>
    </w:p>
    <w:p w:rsidR="007C5447" w:rsidRDefault="00F6308C">
      <w:pPr>
        <w:pStyle w:val="ListParagraph"/>
        <w:numPr>
          <w:ilvl w:val="4"/>
          <w:numId w:val="17"/>
        </w:numPr>
        <w:tabs>
          <w:tab w:val="left" w:pos="1679"/>
        </w:tabs>
        <w:rPr>
          <w:sz w:val="24"/>
        </w:rPr>
      </w:pPr>
      <w:r>
        <w:rPr>
          <w:sz w:val="24"/>
        </w:rPr>
        <w:t>Art Galleries and</w:t>
      </w:r>
      <w:r>
        <w:rPr>
          <w:spacing w:val="1"/>
          <w:sz w:val="24"/>
        </w:rPr>
        <w:t xml:space="preserve"> </w:t>
      </w:r>
      <w:r>
        <w:rPr>
          <w:sz w:val="24"/>
        </w:rPr>
        <w:t>Museums.</w:t>
      </w:r>
    </w:p>
    <w:p w:rsidR="007C5447" w:rsidRDefault="007C5447">
      <w:pPr>
        <w:pStyle w:val="BodyText"/>
        <w:spacing w:before="11"/>
        <w:rPr>
          <w:sz w:val="27"/>
        </w:rPr>
      </w:pPr>
    </w:p>
    <w:p w:rsidR="007C5447" w:rsidRDefault="00F6308C">
      <w:pPr>
        <w:pStyle w:val="ListParagraph"/>
        <w:numPr>
          <w:ilvl w:val="4"/>
          <w:numId w:val="17"/>
        </w:numPr>
        <w:tabs>
          <w:tab w:val="left" w:pos="1679"/>
        </w:tabs>
        <w:rPr>
          <w:sz w:val="24"/>
        </w:rPr>
      </w:pPr>
      <w:r>
        <w:rPr>
          <w:sz w:val="24"/>
        </w:rPr>
        <w:t>Public</w:t>
      </w:r>
      <w:r>
        <w:rPr>
          <w:spacing w:val="-2"/>
          <w:sz w:val="24"/>
        </w:rPr>
        <w:t xml:space="preserve"> </w:t>
      </w:r>
      <w:r>
        <w:rPr>
          <w:sz w:val="24"/>
        </w:rPr>
        <w:t>libraries.</w:t>
      </w:r>
    </w:p>
    <w:p w:rsidR="007C5447" w:rsidRDefault="007C5447">
      <w:pPr>
        <w:pStyle w:val="BodyText"/>
        <w:spacing w:before="2"/>
        <w:rPr>
          <w:sz w:val="28"/>
        </w:rPr>
      </w:pPr>
    </w:p>
    <w:p w:rsidR="007C5447" w:rsidRDefault="00F6308C">
      <w:pPr>
        <w:pStyle w:val="ListParagraph"/>
        <w:numPr>
          <w:ilvl w:val="3"/>
          <w:numId w:val="17"/>
        </w:numPr>
        <w:tabs>
          <w:tab w:val="left" w:pos="1225"/>
          <w:tab w:val="left" w:pos="1226"/>
        </w:tabs>
        <w:ind w:hanging="966"/>
        <w:rPr>
          <w:sz w:val="24"/>
        </w:rPr>
      </w:pPr>
      <w:r>
        <w:rPr>
          <w:sz w:val="24"/>
        </w:rPr>
        <w:t>This tariff is applicable to the following entities which offer totally free</w:t>
      </w:r>
      <w:r>
        <w:rPr>
          <w:spacing w:val="-12"/>
          <w:sz w:val="24"/>
        </w:rPr>
        <w:t xml:space="preserve"> </w:t>
      </w:r>
      <w:r>
        <w:rPr>
          <w:sz w:val="24"/>
        </w:rPr>
        <w:t>services.</w:t>
      </w:r>
    </w:p>
    <w:p w:rsidR="007C5447" w:rsidRDefault="007C5447">
      <w:pPr>
        <w:pStyle w:val="BodyText"/>
        <w:rPr>
          <w:sz w:val="28"/>
        </w:rPr>
      </w:pPr>
    </w:p>
    <w:p w:rsidR="007C5447" w:rsidRDefault="00F6308C">
      <w:pPr>
        <w:pStyle w:val="ListParagraph"/>
        <w:numPr>
          <w:ilvl w:val="4"/>
          <w:numId w:val="17"/>
        </w:numPr>
        <w:tabs>
          <w:tab w:val="left" w:pos="1679"/>
        </w:tabs>
        <w:rPr>
          <w:sz w:val="24"/>
        </w:rPr>
      </w:pPr>
      <w:r>
        <w:rPr>
          <w:sz w:val="24"/>
        </w:rPr>
        <w:t>Dispensaries, Creches and Recreation</w:t>
      </w:r>
      <w:r>
        <w:rPr>
          <w:spacing w:val="1"/>
          <w:sz w:val="24"/>
        </w:rPr>
        <w:t xml:space="preserve"> </w:t>
      </w:r>
      <w:r>
        <w:rPr>
          <w:sz w:val="24"/>
        </w:rPr>
        <w:t>centres.</w:t>
      </w:r>
    </w:p>
    <w:p w:rsidR="007C5447" w:rsidRDefault="007C5447">
      <w:pPr>
        <w:pStyle w:val="BodyText"/>
        <w:spacing w:before="2"/>
        <w:rPr>
          <w:sz w:val="28"/>
        </w:rPr>
      </w:pPr>
    </w:p>
    <w:p w:rsidR="007C5447" w:rsidRDefault="00F6308C">
      <w:pPr>
        <w:pStyle w:val="ListParagraph"/>
        <w:numPr>
          <w:ilvl w:val="4"/>
          <w:numId w:val="17"/>
        </w:numPr>
        <w:tabs>
          <w:tab w:val="left" w:pos="1679"/>
        </w:tabs>
        <w:rPr>
          <w:sz w:val="24"/>
        </w:rPr>
      </w:pPr>
      <w:r>
        <w:rPr>
          <w:sz w:val="24"/>
        </w:rPr>
        <w:t>Libraries.</w:t>
      </w:r>
    </w:p>
    <w:p w:rsidR="007C5447" w:rsidRDefault="007C5447">
      <w:pPr>
        <w:pStyle w:val="BodyText"/>
        <w:rPr>
          <w:sz w:val="28"/>
        </w:rPr>
      </w:pPr>
    </w:p>
    <w:p w:rsidR="007C5447" w:rsidRDefault="00F6308C">
      <w:pPr>
        <w:pStyle w:val="ListParagraph"/>
        <w:numPr>
          <w:ilvl w:val="4"/>
          <w:numId w:val="17"/>
        </w:numPr>
        <w:tabs>
          <w:tab w:val="left" w:pos="1679"/>
        </w:tabs>
        <w:spacing w:line="312" w:lineRule="auto"/>
        <w:ind w:right="878"/>
        <w:jc w:val="both"/>
        <w:rPr>
          <w:sz w:val="24"/>
        </w:rPr>
      </w:pPr>
      <w:r>
        <w:rPr>
          <w:sz w:val="24"/>
        </w:rPr>
        <w:t>Emergency Accident Relief Centres on highways, Hospitals and Rehabilitation Centres for mentally ill &amp; blind and others, Terminal Cancer Care Centre and Hospital in Tribal</w:t>
      </w:r>
      <w:r>
        <w:rPr>
          <w:spacing w:val="-1"/>
          <w:sz w:val="24"/>
        </w:rPr>
        <w:t xml:space="preserve"> </w:t>
      </w:r>
      <w:r>
        <w:rPr>
          <w:sz w:val="24"/>
        </w:rPr>
        <w:t>areas.</w:t>
      </w:r>
    </w:p>
    <w:p w:rsidR="007C5447" w:rsidRDefault="007C5447">
      <w:pPr>
        <w:pStyle w:val="BodyText"/>
        <w:rPr>
          <w:sz w:val="21"/>
        </w:rPr>
      </w:pPr>
    </w:p>
    <w:p w:rsidR="007C5447" w:rsidRDefault="00F6308C">
      <w:pPr>
        <w:pStyle w:val="ListParagraph"/>
        <w:numPr>
          <w:ilvl w:val="4"/>
          <w:numId w:val="17"/>
        </w:numPr>
        <w:tabs>
          <w:tab w:val="left" w:pos="1679"/>
        </w:tabs>
        <w:rPr>
          <w:sz w:val="24"/>
        </w:rPr>
      </w:pPr>
      <w:r>
        <w:rPr>
          <w:sz w:val="24"/>
        </w:rPr>
        <w:t>Institutes run for /by the physically</w:t>
      </w:r>
      <w:r>
        <w:rPr>
          <w:spacing w:val="-10"/>
          <w:sz w:val="24"/>
        </w:rPr>
        <w:t xml:space="preserve"> </w:t>
      </w:r>
      <w:r>
        <w:rPr>
          <w:sz w:val="24"/>
        </w:rPr>
        <w:t>challenged.</w:t>
      </w:r>
    </w:p>
    <w:p w:rsidR="007C5447" w:rsidRDefault="007C5447">
      <w:pPr>
        <w:pStyle w:val="BodyText"/>
        <w:spacing w:before="11"/>
        <w:rPr>
          <w:sz w:val="27"/>
        </w:rPr>
      </w:pPr>
    </w:p>
    <w:p w:rsidR="007C5447" w:rsidRDefault="00F6308C">
      <w:pPr>
        <w:pStyle w:val="ListParagraph"/>
        <w:numPr>
          <w:ilvl w:val="4"/>
          <w:numId w:val="17"/>
        </w:numPr>
        <w:tabs>
          <w:tab w:val="left" w:pos="1738"/>
          <w:tab w:val="left" w:pos="1739"/>
        </w:tabs>
        <w:ind w:left="1738" w:hanging="485"/>
        <w:rPr>
          <w:sz w:val="24"/>
        </w:rPr>
      </w:pPr>
      <w:r>
        <w:rPr>
          <w:sz w:val="24"/>
        </w:rPr>
        <w:t>Rehabilitation and Traini</w:t>
      </w:r>
      <w:r>
        <w:rPr>
          <w:sz w:val="24"/>
        </w:rPr>
        <w:t>ng</w:t>
      </w:r>
      <w:r>
        <w:rPr>
          <w:spacing w:val="-3"/>
          <w:sz w:val="24"/>
        </w:rPr>
        <w:t xml:space="preserve"> </w:t>
      </w:r>
      <w:r>
        <w:rPr>
          <w:sz w:val="24"/>
        </w:rPr>
        <w:t>centres.</w:t>
      </w:r>
    </w:p>
    <w:p w:rsidR="007C5447" w:rsidRDefault="007C5447">
      <w:pPr>
        <w:rPr>
          <w:sz w:val="24"/>
        </w:rPr>
        <w:sectPr w:rsidR="007C5447">
          <w:pgSz w:w="11910" w:h="16840"/>
          <w:pgMar w:top="1360" w:right="560" w:bottom="1240" w:left="1180" w:header="0" w:footer="1057" w:gutter="0"/>
          <w:cols w:space="720"/>
        </w:sectPr>
      </w:pPr>
    </w:p>
    <w:p w:rsidR="007C5447" w:rsidRDefault="00F6308C">
      <w:pPr>
        <w:pStyle w:val="ListParagraph"/>
        <w:numPr>
          <w:ilvl w:val="4"/>
          <w:numId w:val="17"/>
        </w:numPr>
        <w:tabs>
          <w:tab w:val="left" w:pos="1679"/>
        </w:tabs>
        <w:spacing w:before="60"/>
        <w:rPr>
          <w:sz w:val="24"/>
        </w:rPr>
      </w:pPr>
      <w:r>
        <w:rPr>
          <w:sz w:val="24"/>
        </w:rPr>
        <w:lastRenderedPageBreak/>
        <w:t>Student Hostel.</w:t>
      </w:r>
    </w:p>
    <w:p w:rsidR="007C5447" w:rsidRDefault="007C5447">
      <w:pPr>
        <w:pStyle w:val="BodyText"/>
        <w:rPr>
          <w:sz w:val="28"/>
        </w:rPr>
      </w:pPr>
    </w:p>
    <w:p w:rsidR="007C5447" w:rsidRDefault="00F6308C">
      <w:pPr>
        <w:pStyle w:val="ListParagraph"/>
        <w:numPr>
          <w:ilvl w:val="4"/>
          <w:numId w:val="17"/>
        </w:numPr>
        <w:tabs>
          <w:tab w:val="left" w:pos="1679"/>
        </w:tabs>
        <w:rPr>
          <w:sz w:val="24"/>
        </w:rPr>
      </w:pPr>
      <w:r>
        <w:rPr>
          <w:sz w:val="24"/>
        </w:rPr>
        <w:t>Blood</w:t>
      </w:r>
      <w:r>
        <w:rPr>
          <w:spacing w:val="-1"/>
          <w:sz w:val="24"/>
        </w:rPr>
        <w:t xml:space="preserve"> </w:t>
      </w:r>
      <w:r>
        <w:rPr>
          <w:sz w:val="24"/>
        </w:rPr>
        <w:t>Banks.</w:t>
      </w:r>
    </w:p>
    <w:p w:rsidR="007C5447" w:rsidRDefault="007C5447">
      <w:pPr>
        <w:pStyle w:val="BodyText"/>
        <w:spacing w:before="2"/>
        <w:rPr>
          <w:sz w:val="28"/>
        </w:rPr>
      </w:pPr>
    </w:p>
    <w:p w:rsidR="007C5447" w:rsidRDefault="00F6308C">
      <w:pPr>
        <w:pStyle w:val="ListParagraph"/>
        <w:numPr>
          <w:ilvl w:val="3"/>
          <w:numId w:val="17"/>
        </w:numPr>
        <w:tabs>
          <w:tab w:val="left" w:pos="1226"/>
        </w:tabs>
        <w:spacing w:before="1" w:line="312" w:lineRule="auto"/>
        <w:ind w:right="881"/>
        <w:jc w:val="both"/>
        <w:rPr>
          <w:sz w:val="24"/>
        </w:rPr>
      </w:pPr>
      <w:r>
        <w:rPr>
          <w:sz w:val="24"/>
        </w:rPr>
        <w:t>This tariff is also applicable to Private Art Galleries and Museums run with service motive.</w:t>
      </w:r>
    </w:p>
    <w:p w:rsidR="007C5447" w:rsidRDefault="007C5447">
      <w:pPr>
        <w:pStyle w:val="BodyText"/>
        <w:rPr>
          <w:sz w:val="26"/>
        </w:rPr>
      </w:pPr>
    </w:p>
    <w:p w:rsidR="007C5447" w:rsidRDefault="007C5447">
      <w:pPr>
        <w:pStyle w:val="BodyText"/>
        <w:rPr>
          <w:sz w:val="26"/>
        </w:rPr>
      </w:pPr>
    </w:p>
    <w:p w:rsidR="007C5447" w:rsidRDefault="00F6308C">
      <w:pPr>
        <w:pStyle w:val="Heading2"/>
        <w:numPr>
          <w:ilvl w:val="2"/>
          <w:numId w:val="22"/>
        </w:numPr>
        <w:tabs>
          <w:tab w:val="left" w:pos="1112"/>
          <w:tab w:val="left" w:pos="1113"/>
        </w:tabs>
        <w:spacing w:before="206"/>
        <w:ind w:hanging="853"/>
      </w:pPr>
      <w:r>
        <w:t>Low Tension Tariff II-B</w:t>
      </w:r>
      <w:r>
        <w:rPr>
          <w:spacing w:val="1"/>
        </w:rPr>
        <w:t xml:space="preserve"> </w:t>
      </w:r>
      <w:r>
        <w:t>(2)</w:t>
      </w:r>
    </w:p>
    <w:p w:rsidR="007C5447" w:rsidRDefault="007C5447">
      <w:pPr>
        <w:pStyle w:val="BodyText"/>
        <w:rPr>
          <w:b/>
          <w:sz w:val="28"/>
        </w:rPr>
      </w:pPr>
    </w:p>
    <w:tbl>
      <w:tblPr>
        <w:tblW w:w="0" w:type="auto"/>
        <w:tblInd w:w="1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24"/>
        <w:gridCol w:w="2127"/>
        <w:gridCol w:w="1986"/>
      </w:tblGrid>
      <w:tr w:rsidR="007C5447">
        <w:trPr>
          <w:trHeight w:val="458"/>
        </w:trPr>
        <w:tc>
          <w:tcPr>
            <w:tcW w:w="3524" w:type="dxa"/>
            <w:vMerge w:val="restart"/>
            <w:shd w:val="clear" w:color="auto" w:fill="F7C9AC"/>
          </w:tcPr>
          <w:p w:rsidR="007C5447" w:rsidRDefault="007C5447">
            <w:pPr>
              <w:pStyle w:val="TableParagraph"/>
              <w:jc w:val="left"/>
              <w:rPr>
                <w:b/>
              </w:rPr>
            </w:pPr>
          </w:p>
          <w:p w:rsidR="007C5447" w:rsidRDefault="00F6308C">
            <w:pPr>
              <w:pStyle w:val="TableParagraph"/>
              <w:spacing w:before="189"/>
              <w:ind w:left="107"/>
              <w:jc w:val="left"/>
              <w:rPr>
                <w:b/>
                <w:sz w:val="20"/>
              </w:rPr>
            </w:pPr>
            <w:r>
              <w:rPr>
                <w:b/>
                <w:sz w:val="20"/>
              </w:rPr>
              <w:t>Tariff</w:t>
            </w:r>
          </w:p>
        </w:tc>
        <w:tc>
          <w:tcPr>
            <w:tcW w:w="4113" w:type="dxa"/>
            <w:gridSpan w:val="2"/>
            <w:shd w:val="clear" w:color="auto" w:fill="F7C9AC"/>
          </w:tcPr>
          <w:p w:rsidR="007C5447" w:rsidRDefault="00F6308C">
            <w:pPr>
              <w:pStyle w:val="TableParagraph"/>
              <w:spacing w:before="82"/>
              <w:ind w:left="107"/>
              <w:jc w:val="left"/>
              <w:rPr>
                <w:b/>
                <w:sz w:val="20"/>
              </w:rPr>
            </w:pPr>
            <w:r>
              <w:rPr>
                <w:b/>
                <w:sz w:val="20"/>
              </w:rPr>
              <w:t>Commission Determined Tariff</w:t>
            </w:r>
          </w:p>
        </w:tc>
      </w:tr>
      <w:tr w:rsidR="007C5447">
        <w:trPr>
          <w:trHeight w:val="710"/>
        </w:trPr>
        <w:tc>
          <w:tcPr>
            <w:tcW w:w="3524" w:type="dxa"/>
            <w:vMerge/>
            <w:tcBorders>
              <w:top w:val="nil"/>
            </w:tcBorders>
            <w:shd w:val="clear" w:color="auto" w:fill="F7C9AC"/>
          </w:tcPr>
          <w:p w:rsidR="007C5447" w:rsidRDefault="007C5447">
            <w:pPr>
              <w:rPr>
                <w:sz w:val="2"/>
                <w:szCs w:val="2"/>
              </w:rPr>
            </w:pPr>
          </w:p>
        </w:tc>
        <w:tc>
          <w:tcPr>
            <w:tcW w:w="2127" w:type="dxa"/>
            <w:shd w:val="clear" w:color="auto" w:fill="F7C9AC"/>
          </w:tcPr>
          <w:p w:rsidR="007C5447" w:rsidRDefault="00F6308C">
            <w:pPr>
              <w:pStyle w:val="TableParagraph"/>
              <w:spacing w:before="58" w:line="312" w:lineRule="auto"/>
              <w:ind w:left="107" w:right="134"/>
              <w:jc w:val="left"/>
              <w:rPr>
                <w:b/>
                <w:sz w:val="20"/>
              </w:rPr>
            </w:pPr>
            <w:r>
              <w:rPr>
                <w:b/>
                <w:sz w:val="20"/>
              </w:rPr>
              <w:t>Fixed charges (Rupees/kW / Month)</w:t>
            </w:r>
          </w:p>
        </w:tc>
        <w:tc>
          <w:tcPr>
            <w:tcW w:w="1986" w:type="dxa"/>
            <w:shd w:val="clear" w:color="auto" w:fill="F7C9AC"/>
          </w:tcPr>
          <w:p w:rsidR="007C5447" w:rsidRDefault="00F6308C">
            <w:pPr>
              <w:pStyle w:val="TableParagraph"/>
              <w:spacing w:before="58" w:line="312" w:lineRule="auto"/>
              <w:ind w:left="107" w:right="304"/>
              <w:jc w:val="left"/>
              <w:rPr>
                <w:b/>
                <w:sz w:val="20"/>
              </w:rPr>
            </w:pPr>
            <w:r>
              <w:rPr>
                <w:b/>
                <w:sz w:val="20"/>
              </w:rPr>
              <w:t>Energy charges in paise / kWh</w:t>
            </w:r>
          </w:p>
        </w:tc>
      </w:tr>
      <w:tr w:rsidR="007C5447">
        <w:trPr>
          <w:trHeight w:val="299"/>
        </w:trPr>
        <w:tc>
          <w:tcPr>
            <w:tcW w:w="3524" w:type="dxa"/>
          </w:tcPr>
          <w:p w:rsidR="007C5447" w:rsidRDefault="00F6308C">
            <w:pPr>
              <w:pStyle w:val="TableParagraph"/>
              <w:spacing w:before="2"/>
              <w:ind w:left="107"/>
              <w:jc w:val="left"/>
              <w:rPr>
                <w:sz w:val="20"/>
              </w:rPr>
            </w:pPr>
            <w:r>
              <w:rPr>
                <w:sz w:val="20"/>
              </w:rPr>
              <w:t>Low Tension Tariff II-B (2)</w:t>
            </w:r>
          </w:p>
        </w:tc>
        <w:tc>
          <w:tcPr>
            <w:tcW w:w="2127" w:type="dxa"/>
          </w:tcPr>
          <w:p w:rsidR="007C5447" w:rsidRDefault="00F6308C">
            <w:pPr>
              <w:pStyle w:val="TableParagraph"/>
              <w:spacing w:before="2"/>
              <w:ind w:left="177" w:right="168"/>
              <w:jc w:val="center"/>
              <w:rPr>
                <w:sz w:val="20"/>
              </w:rPr>
            </w:pPr>
            <w:r>
              <w:rPr>
                <w:sz w:val="20"/>
              </w:rPr>
              <w:t>60</w:t>
            </w:r>
          </w:p>
        </w:tc>
        <w:tc>
          <w:tcPr>
            <w:tcW w:w="1986" w:type="dxa"/>
          </w:tcPr>
          <w:p w:rsidR="007C5447" w:rsidRDefault="00F6308C">
            <w:pPr>
              <w:pStyle w:val="TableParagraph"/>
              <w:spacing w:before="2"/>
              <w:ind w:left="665" w:right="654"/>
              <w:jc w:val="center"/>
              <w:rPr>
                <w:sz w:val="20"/>
              </w:rPr>
            </w:pPr>
            <w:r>
              <w:rPr>
                <w:sz w:val="20"/>
              </w:rPr>
              <w:t>750</w:t>
            </w:r>
          </w:p>
        </w:tc>
      </w:tr>
    </w:tbl>
    <w:p w:rsidR="007C5447" w:rsidRDefault="007C5447">
      <w:pPr>
        <w:pStyle w:val="BodyText"/>
        <w:spacing w:before="9"/>
        <w:rPr>
          <w:b/>
          <w:sz w:val="20"/>
        </w:rPr>
      </w:pPr>
    </w:p>
    <w:p w:rsidR="007C5447" w:rsidRDefault="00F6308C">
      <w:pPr>
        <w:pStyle w:val="BodyText"/>
        <w:ind w:left="524" w:right="319"/>
        <w:jc w:val="center"/>
      </w:pPr>
      <w:r>
        <w:t>This tariff is applicable to Private educational institutions and hostels run by them.</w:t>
      </w:r>
    </w:p>
    <w:p w:rsidR="007C5447" w:rsidRDefault="007C5447">
      <w:pPr>
        <w:pStyle w:val="BodyText"/>
        <w:rPr>
          <w:sz w:val="26"/>
        </w:rPr>
      </w:pPr>
    </w:p>
    <w:p w:rsidR="007C5447" w:rsidRDefault="007C5447">
      <w:pPr>
        <w:pStyle w:val="BodyText"/>
        <w:rPr>
          <w:sz w:val="26"/>
        </w:rPr>
      </w:pPr>
    </w:p>
    <w:p w:rsidR="007C5447" w:rsidRDefault="007C5447">
      <w:pPr>
        <w:pStyle w:val="BodyText"/>
        <w:spacing w:before="2"/>
        <w:rPr>
          <w:sz w:val="25"/>
        </w:rPr>
      </w:pPr>
    </w:p>
    <w:p w:rsidR="007C5447" w:rsidRDefault="00F6308C">
      <w:pPr>
        <w:pStyle w:val="Heading2"/>
        <w:numPr>
          <w:ilvl w:val="2"/>
          <w:numId w:val="22"/>
        </w:numPr>
        <w:tabs>
          <w:tab w:val="left" w:pos="1112"/>
          <w:tab w:val="left" w:pos="1113"/>
        </w:tabs>
        <w:ind w:hanging="853"/>
      </w:pPr>
      <w:r>
        <w:t>Low Tension Tariff</w:t>
      </w:r>
      <w:r>
        <w:rPr>
          <w:spacing w:val="1"/>
        </w:rPr>
        <w:t xml:space="preserve"> </w:t>
      </w:r>
      <w:r>
        <w:t>II-C:</w:t>
      </w:r>
    </w:p>
    <w:p w:rsidR="007C5447" w:rsidRDefault="007C5447">
      <w:pPr>
        <w:pStyle w:val="BodyText"/>
        <w:spacing w:before="1"/>
        <w:rPr>
          <w:b/>
          <w:sz w:val="28"/>
        </w:rPr>
      </w:pPr>
    </w:p>
    <w:tbl>
      <w:tblPr>
        <w:tblW w:w="0" w:type="auto"/>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7"/>
        <w:gridCol w:w="2187"/>
        <w:gridCol w:w="2127"/>
        <w:gridCol w:w="1986"/>
      </w:tblGrid>
      <w:tr w:rsidR="007C5447">
        <w:trPr>
          <w:trHeight w:val="477"/>
        </w:trPr>
        <w:tc>
          <w:tcPr>
            <w:tcW w:w="1357" w:type="dxa"/>
            <w:vMerge w:val="restart"/>
            <w:shd w:val="clear" w:color="auto" w:fill="F7C9AC"/>
          </w:tcPr>
          <w:p w:rsidR="007C5447" w:rsidRDefault="00F6308C">
            <w:pPr>
              <w:pStyle w:val="TableParagraph"/>
              <w:ind w:left="419"/>
              <w:jc w:val="left"/>
              <w:rPr>
                <w:b/>
                <w:sz w:val="20"/>
              </w:rPr>
            </w:pPr>
            <w:r>
              <w:rPr>
                <w:b/>
                <w:sz w:val="20"/>
              </w:rPr>
              <w:t>Tariff</w:t>
            </w:r>
          </w:p>
        </w:tc>
        <w:tc>
          <w:tcPr>
            <w:tcW w:w="2187" w:type="dxa"/>
            <w:vMerge w:val="restart"/>
            <w:shd w:val="clear" w:color="auto" w:fill="F7C9AC"/>
          </w:tcPr>
          <w:p w:rsidR="007C5447" w:rsidRDefault="00F6308C">
            <w:pPr>
              <w:pStyle w:val="TableParagraph"/>
              <w:spacing w:line="314" w:lineRule="auto"/>
              <w:ind w:left="201" w:right="196"/>
              <w:jc w:val="center"/>
              <w:rPr>
                <w:b/>
                <w:sz w:val="20"/>
              </w:rPr>
            </w:pPr>
            <w:r>
              <w:rPr>
                <w:b/>
                <w:sz w:val="20"/>
              </w:rPr>
              <w:t>Consumption slabs – Range in kWh and billing period</w:t>
            </w:r>
          </w:p>
        </w:tc>
        <w:tc>
          <w:tcPr>
            <w:tcW w:w="4113" w:type="dxa"/>
            <w:gridSpan w:val="2"/>
            <w:shd w:val="clear" w:color="auto" w:fill="F7C9AC"/>
          </w:tcPr>
          <w:p w:rsidR="007C5447" w:rsidRDefault="00F6308C">
            <w:pPr>
              <w:pStyle w:val="TableParagraph"/>
              <w:ind w:left="664"/>
              <w:jc w:val="left"/>
              <w:rPr>
                <w:b/>
                <w:sz w:val="20"/>
              </w:rPr>
            </w:pPr>
            <w:r>
              <w:rPr>
                <w:b/>
                <w:sz w:val="20"/>
              </w:rPr>
              <w:t>Commission Determined Tariff*</w:t>
            </w:r>
          </w:p>
        </w:tc>
      </w:tr>
      <w:tr w:rsidR="007C5447">
        <w:trPr>
          <w:trHeight w:val="897"/>
        </w:trPr>
        <w:tc>
          <w:tcPr>
            <w:tcW w:w="1357" w:type="dxa"/>
            <w:vMerge/>
            <w:tcBorders>
              <w:top w:val="nil"/>
            </w:tcBorders>
            <w:shd w:val="clear" w:color="auto" w:fill="F7C9AC"/>
          </w:tcPr>
          <w:p w:rsidR="007C5447" w:rsidRDefault="007C5447">
            <w:pPr>
              <w:rPr>
                <w:sz w:val="2"/>
                <w:szCs w:val="2"/>
              </w:rPr>
            </w:pPr>
          </w:p>
        </w:tc>
        <w:tc>
          <w:tcPr>
            <w:tcW w:w="2187" w:type="dxa"/>
            <w:vMerge/>
            <w:tcBorders>
              <w:top w:val="nil"/>
            </w:tcBorders>
            <w:shd w:val="clear" w:color="auto" w:fill="F7C9AC"/>
          </w:tcPr>
          <w:p w:rsidR="007C5447" w:rsidRDefault="007C5447">
            <w:pPr>
              <w:rPr>
                <w:sz w:val="2"/>
                <w:szCs w:val="2"/>
              </w:rPr>
            </w:pPr>
          </w:p>
        </w:tc>
        <w:tc>
          <w:tcPr>
            <w:tcW w:w="2127" w:type="dxa"/>
            <w:shd w:val="clear" w:color="auto" w:fill="F7C9AC"/>
          </w:tcPr>
          <w:p w:rsidR="007C5447" w:rsidRDefault="00F6308C">
            <w:pPr>
              <w:pStyle w:val="TableParagraph"/>
              <w:ind w:left="175" w:right="171"/>
              <w:jc w:val="center"/>
              <w:rPr>
                <w:b/>
                <w:sz w:val="20"/>
              </w:rPr>
            </w:pPr>
            <w:r>
              <w:rPr>
                <w:b/>
                <w:sz w:val="20"/>
              </w:rPr>
              <w:t>Fixed Charges</w:t>
            </w:r>
          </w:p>
          <w:p w:rsidR="007C5447" w:rsidRDefault="00F6308C">
            <w:pPr>
              <w:pStyle w:val="TableParagraph"/>
              <w:spacing w:before="10" w:line="290" w:lineRule="atLeast"/>
              <w:ind w:left="177" w:right="171"/>
              <w:jc w:val="center"/>
              <w:rPr>
                <w:b/>
                <w:sz w:val="20"/>
              </w:rPr>
            </w:pPr>
            <w:r>
              <w:rPr>
                <w:b/>
                <w:sz w:val="20"/>
              </w:rPr>
              <w:t>(Rupees per kW per month)</w:t>
            </w:r>
          </w:p>
        </w:tc>
        <w:tc>
          <w:tcPr>
            <w:tcW w:w="1986" w:type="dxa"/>
            <w:shd w:val="clear" w:color="auto" w:fill="F7C9AC"/>
          </w:tcPr>
          <w:p w:rsidR="007C5447" w:rsidRDefault="00F6308C">
            <w:pPr>
              <w:pStyle w:val="TableParagraph"/>
              <w:spacing w:line="312" w:lineRule="auto"/>
              <w:ind w:left="363" w:right="166" w:hanging="173"/>
              <w:jc w:val="left"/>
              <w:rPr>
                <w:b/>
                <w:sz w:val="20"/>
              </w:rPr>
            </w:pPr>
            <w:r>
              <w:rPr>
                <w:b/>
                <w:sz w:val="20"/>
              </w:rPr>
              <w:t>Energy Charges in Paise per kWh</w:t>
            </w:r>
          </w:p>
        </w:tc>
      </w:tr>
      <w:tr w:rsidR="007C5447">
        <w:trPr>
          <w:trHeight w:val="897"/>
        </w:trPr>
        <w:tc>
          <w:tcPr>
            <w:tcW w:w="1357" w:type="dxa"/>
            <w:vMerge w:val="restart"/>
          </w:tcPr>
          <w:p w:rsidR="007C5447" w:rsidRDefault="00F6308C">
            <w:pPr>
              <w:pStyle w:val="TableParagraph"/>
              <w:spacing w:line="309" w:lineRule="auto"/>
              <w:ind w:left="105"/>
              <w:jc w:val="left"/>
              <w:rPr>
                <w:sz w:val="20"/>
              </w:rPr>
            </w:pPr>
            <w:r>
              <w:rPr>
                <w:sz w:val="20"/>
              </w:rPr>
              <w:t>Low Tension Tariff II-C</w:t>
            </w:r>
          </w:p>
        </w:tc>
        <w:tc>
          <w:tcPr>
            <w:tcW w:w="2187" w:type="dxa"/>
          </w:tcPr>
          <w:p w:rsidR="007C5447" w:rsidRDefault="00F6308C">
            <w:pPr>
              <w:pStyle w:val="TableParagraph"/>
              <w:ind w:left="105"/>
              <w:jc w:val="left"/>
              <w:rPr>
                <w:sz w:val="20"/>
              </w:rPr>
            </w:pPr>
            <w:r>
              <w:rPr>
                <w:sz w:val="20"/>
              </w:rPr>
              <w:t>0 to 60 units per month</w:t>
            </w:r>
          </w:p>
          <w:p w:rsidR="007C5447" w:rsidRDefault="00F6308C">
            <w:pPr>
              <w:pStyle w:val="TableParagraph"/>
              <w:spacing w:before="14" w:line="300" w:lineRule="exact"/>
              <w:ind w:left="105" w:right="740"/>
              <w:jc w:val="left"/>
              <w:rPr>
                <w:sz w:val="20"/>
              </w:rPr>
            </w:pPr>
            <w:r>
              <w:rPr>
                <w:sz w:val="20"/>
              </w:rPr>
              <w:t>or 0 to 120 units bimonthly</w:t>
            </w:r>
          </w:p>
        </w:tc>
        <w:tc>
          <w:tcPr>
            <w:tcW w:w="2127" w:type="dxa"/>
            <w:vMerge w:val="restart"/>
          </w:tcPr>
          <w:p w:rsidR="007C5447" w:rsidRDefault="00F6308C">
            <w:pPr>
              <w:pStyle w:val="TableParagraph"/>
              <w:ind w:left="177" w:right="170"/>
              <w:jc w:val="center"/>
              <w:rPr>
                <w:sz w:val="20"/>
              </w:rPr>
            </w:pPr>
            <w:r>
              <w:rPr>
                <w:sz w:val="20"/>
              </w:rPr>
              <w:t>60</w:t>
            </w:r>
          </w:p>
        </w:tc>
        <w:tc>
          <w:tcPr>
            <w:tcW w:w="1986" w:type="dxa"/>
          </w:tcPr>
          <w:p w:rsidR="007C5447" w:rsidRDefault="00F6308C">
            <w:pPr>
              <w:pStyle w:val="TableParagraph"/>
              <w:ind w:left="665" w:right="656"/>
              <w:jc w:val="center"/>
              <w:rPr>
                <w:sz w:val="20"/>
              </w:rPr>
            </w:pPr>
            <w:r>
              <w:rPr>
                <w:sz w:val="20"/>
              </w:rPr>
              <w:t>575</w:t>
            </w:r>
          </w:p>
        </w:tc>
      </w:tr>
      <w:tr w:rsidR="007C5447">
        <w:trPr>
          <w:trHeight w:val="1036"/>
        </w:trPr>
        <w:tc>
          <w:tcPr>
            <w:tcW w:w="1357" w:type="dxa"/>
            <w:vMerge/>
            <w:tcBorders>
              <w:top w:val="nil"/>
            </w:tcBorders>
          </w:tcPr>
          <w:p w:rsidR="007C5447" w:rsidRDefault="007C5447">
            <w:pPr>
              <w:rPr>
                <w:sz w:val="2"/>
                <w:szCs w:val="2"/>
              </w:rPr>
            </w:pPr>
          </w:p>
        </w:tc>
        <w:tc>
          <w:tcPr>
            <w:tcW w:w="2187" w:type="dxa"/>
          </w:tcPr>
          <w:p w:rsidR="007C5447" w:rsidRDefault="00F6308C">
            <w:pPr>
              <w:pStyle w:val="TableParagraph"/>
              <w:spacing w:line="312" w:lineRule="auto"/>
              <w:ind w:left="105" w:right="446"/>
              <w:jc w:val="left"/>
              <w:rPr>
                <w:sz w:val="20"/>
              </w:rPr>
            </w:pPr>
            <w:r>
              <w:rPr>
                <w:sz w:val="20"/>
              </w:rPr>
              <w:t>Above 60 units per month or above 120 units bimonthly</w:t>
            </w:r>
          </w:p>
        </w:tc>
        <w:tc>
          <w:tcPr>
            <w:tcW w:w="2127" w:type="dxa"/>
            <w:vMerge/>
            <w:tcBorders>
              <w:top w:val="nil"/>
            </w:tcBorders>
          </w:tcPr>
          <w:p w:rsidR="007C5447" w:rsidRDefault="007C5447">
            <w:pPr>
              <w:rPr>
                <w:sz w:val="2"/>
                <w:szCs w:val="2"/>
              </w:rPr>
            </w:pPr>
          </w:p>
        </w:tc>
        <w:tc>
          <w:tcPr>
            <w:tcW w:w="1986" w:type="dxa"/>
          </w:tcPr>
          <w:p w:rsidR="007C5447" w:rsidRDefault="00F6308C">
            <w:pPr>
              <w:pStyle w:val="TableParagraph"/>
              <w:ind w:left="665" w:right="656"/>
              <w:jc w:val="center"/>
              <w:rPr>
                <w:sz w:val="20"/>
              </w:rPr>
            </w:pPr>
            <w:r>
              <w:rPr>
                <w:sz w:val="20"/>
              </w:rPr>
              <w:t>575</w:t>
            </w:r>
          </w:p>
        </w:tc>
      </w:tr>
    </w:tbl>
    <w:p w:rsidR="007C5447" w:rsidRDefault="00F6308C">
      <w:pPr>
        <w:ind w:left="1844"/>
        <w:rPr>
          <w:sz w:val="18"/>
        </w:rPr>
      </w:pPr>
      <w:r>
        <w:rPr>
          <w:sz w:val="18"/>
        </w:rPr>
        <w:t>*Category to be subsidised by the Government</w:t>
      </w: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F6308C">
      <w:pPr>
        <w:pStyle w:val="ListParagraph"/>
        <w:numPr>
          <w:ilvl w:val="3"/>
          <w:numId w:val="16"/>
        </w:numPr>
        <w:tabs>
          <w:tab w:val="left" w:pos="1226"/>
        </w:tabs>
        <w:spacing w:before="147" w:line="312" w:lineRule="auto"/>
        <w:ind w:right="877"/>
        <w:jc w:val="both"/>
        <w:rPr>
          <w:sz w:val="24"/>
        </w:rPr>
      </w:pPr>
      <w:r>
        <w:rPr>
          <w:sz w:val="24"/>
        </w:rPr>
        <w:t>This tariff is applicable to actual places of public worship including Trichy Rockfort temple, its environs and for the road and path ways leading to the</w:t>
      </w:r>
      <w:r>
        <w:rPr>
          <w:spacing w:val="-9"/>
          <w:sz w:val="24"/>
        </w:rPr>
        <w:t xml:space="preserve"> </w:t>
      </w:r>
      <w:r>
        <w:rPr>
          <w:sz w:val="24"/>
        </w:rPr>
        <w:t>temple.</w:t>
      </w:r>
    </w:p>
    <w:p w:rsidR="007C5447" w:rsidRDefault="007C5447">
      <w:pPr>
        <w:pStyle w:val="BodyText"/>
        <w:spacing w:before="9"/>
        <w:rPr>
          <w:sz w:val="20"/>
        </w:rPr>
      </w:pPr>
    </w:p>
    <w:p w:rsidR="007C5447" w:rsidRDefault="00F6308C">
      <w:pPr>
        <w:pStyle w:val="ListParagraph"/>
        <w:numPr>
          <w:ilvl w:val="3"/>
          <w:numId w:val="16"/>
        </w:numPr>
        <w:tabs>
          <w:tab w:val="left" w:pos="1226"/>
        </w:tabs>
        <w:spacing w:before="1" w:line="312" w:lineRule="auto"/>
        <w:ind w:right="878"/>
        <w:jc w:val="both"/>
        <w:rPr>
          <w:sz w:val="24"/>
        </w:rPr>
      </w:pPr>
      <w:r>
        <w:rPr>
          <w:sz w:val="24"/>
        </w:rPr>
        <w:t>The existing concessions to the actual places of worship as already notified by GoTN having annual income less than Rs. 1000 shall be continued under the same terms and conditions, until further Order of the</w:t>
      </w:r>
      <w:r>
        <w:rPr>
          <w:spacing w:val="-5"/>
          <w:sz w:val="24"/>
        </w:rPr>
        <w:t xml:space="preserve"> </w:t>
      </w:r>
      <w:r>
        <w:rPr>
          <w:sz w:val="24"/>
        </w:rPr>
        <w:t>Commission.</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Heading2"/>
        <w:numPr>
          <w:ilvl w:val="2"/>
          <w:numId w:val="22"/>
        </w:numPr>
        <w:tabs>
          <w:tab w:val="left" w:pos="1112"/>
          <w:tab w:val="left" w:pos="1113"/>
        </w:tabs>
        <w:spacing w:before="60"/>
        <w:ind w:hanging="853"/>
      </w:pPr>
      <w:r>
        <w:lastRenderedPageBreak/>
        <w:t>Low Tension Tariff</w:t>
      </w:r>
      <w:r>
        <w:t xml:space="preserve"> III-A</w:t>
      </w:r>
      <w:r>
        <w:rPr>
          <w:spacing w:val="1"/>
        </w:rPr>
        <w:t xml:space="preserve"> </w:t>
      </w:r>
      <w:r>
        <w:t>(1):</w:t>
      </w:r>
    </w:p>
    <w:p w:rsidR="007C5447" w:rsidRDefault="007C5447">
      <w:pPr>
        <w:pStyle w:val="BodyText"/>
        <w:spacing w:before="1"/>
        <w:rPr>
          <w:b/>
          <w:sz w:val="28"/>
        </w:rPr>
      </w:pPr>
    </w:p>
    <w:tbl>
      <w:tblPr>
        <w:tblW w:w="0" w:type="auto"/>
        <w:tblInd w:w="1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3"/>
        <w:gridCol w:w="2268"/>
        <w:gridCol w:w="1843"/>
        <w:gridCol w:w="1832"/>
      </w:tblGrid>
      <w:tr w:rsidR="007C5447">
        <w:trPr>
          <w:trHeight w:val="414"/>
        </w:trPr>
        <w:tc>
          <w:tcPr>
            <w:tcW w:w="1983" w:type="dxa"/>
            <w:vMerge w:val="restart"/>
            <w:shd w:val="clear" w:color="auto" w:fill="F7C9AC"/>
          </w:tcPr>
          <w:p w:rsidR="007C5447" w:rsidRDefault="007C5447">
            <w:pPr>
              <w:pStyle w:val="TableParagraph"/>
              <w:jc w:val="left"/>
              <w:rPr>
                <w:b/>
              </w:rPr>
            </w:pPr>
          </w:p>
          <w:p w:rsidR="007C5447" w:rsidRDefault="007C5447">
            <w:pPr>
              <w:pStyle w:val="TableParagraph"/>
              <w:spacing w:before="6"/>
              <w:jc w:val="left"/>
              <w:rPr>
                <w:b/>
                <w:sz w:val="19"/>
              </w:rPr>
            </w:pPr>
          </w:p>
          <w:p w:rsidR="007C5447" w:rsidRDefault="00F6308C">
            <w:pPr>
              <w:pStyle w:val="TableParagraph"/>
              <w:ind w:left="716" w:right="706"/>
              <w:jc w:val="center"/>
              <w:rPr>
                <w:b/>
                <w:sz w:val="20"/>
              </w:rPr>
            </w:pPr>
            <w:r>
              <w:rPr>
                <w:b/>
                <w:sz w:val="20"/>
              </w:rPr>
              <w:t>Tariff</w:t>
            </w:r>
          </w:p>
        </w:tc>
        <w:tc>
          <w:tcPr>
            <w:tcW w:w="2268" w:type="dxa"/>
            <w:vMerge w:val="restart"/>
            <w:shd w:val="clear" w:color="auto" w:fill="F7C9AC"/>
          </w:tcPr>
          <w:p w:rsidR="007C5447" w:rsidRDefault="007C5447">
            <w:pPr>
              <w:pStyle w:val="TableParagraph"/>
              <w:spacing w:before="6"/>
              <w:jc w:val="left"/>
              <w:rPr>
                <w:b/>
                <w:sz w:val="18"/>
              </w:rPr>
            </w:pPr>
          </w:p>
          <w:p w:rsidR="007C5447" w:rsidRDefault="00F6308C">
            <w:pPr>
              <w:pStyle w:val="TableParagraph"/>
              <w:spacing w:before="1" w:line="276" w:lineRule="auto"/>
              <w:ind w:left="124" w:right="114"/>
              <w:jc w:val="center"/>
              <w:rPr>
                <w:b/>
                <w:sz w:val="20"/>
              </w:rPr>
            </w:pPr>
            <w:r>
              <w:rPr>
                <w:b/>
                <w:sz w:val="20"/>
              </w:rPr>
              <w:t>Consumption slabs – Range in kWh and billing period</w:t>
            </w:r>
          </w:p>
        </w:tc>
        <w:tc>
          <w:tcPr>
            <w:tcW w:w="3675" w:type="dxa"/>
            <w:gridSpan w:val="2"/>
            <w:shd w:val="clear" w:color="auto" w:fill="F7C9AC"/>
          </w:tcPr>
          <w:p w:rsidR="007C5447" w:rsidRDefault="00F6308C">
            <w:pPr>
              <w:pStyle w:val="TableParagraph"/>
              <w:spacing w:before="77"/>
              <w:ind w:left="496"/>
              <w:jc w:val="left"/>
              <w:rPr>
                <w:b/>
                <w:sz w:val="20"/>
              </w:rPr>
            </w:pPr>
            <w:r>
              <w:rPr>
                <w:b/>
                <w:sz w:val="20"/>
              </w:rPr>
              <w:t>Commission Determined Tariff</w:t>
            </w:r>
          </w:p>
        </w:tc>
      </w:tr>
      <w:tr w:rsidR="007C5447">
        <w:trPr>
          <w:trHeight w:val="793"/>
        </w:trPr>
        <w:tc>
          <w:tcPr>
            <w:tcW w:w="1983" w:type="dxa"/>
            <w:vMerge/>
            <w:tcBorders>
              <w:top w:val="nil"/>
            </w:tcBorders>
            <w:shd w:val="clear" w:color="auto" w:fill="F7C9AC"/>
          </w:tcPr>
          <w:p w:rsidR="007C5447" w:rsidRDefault="007C5447">
            <w:pPr>
              <w:rPr>
                <w:sz w:val="2"/>
                <w:szCs w:val="2"/>
              </w:rPr>
            </w:pPr>
          </w:p>
        </w:tc>
        <w:tc>
          <w:tcPr>
            <w:tcW w:w="2268" w:type="dxa"/>
            <w:vMerge/>
            <w:tcBorders>
              <w:top w:val="nil"/>
            </w:tcBorders>
            <w:shd w:val="clear" w:color="auto" w:fill="F7C9AC"/>
          </w:tcPr>
          <w:p w:rsidR="007C5447" w:rsidRDefault="007C5447">
            <w:pPr>
              <w:rPr>
                <w:sz w:val="2"/>
                <w:szCs w:val="2"/>
              </w:rPr>
            </w:pPr>
          </w:p>
        </w:tc>
        <w:tc>
          <w:tcPr>
            <w:tcW w:w="1843" w:type="dxa"/>
            <w:shd w:val="clear" w:color="auto" w:fill="F7C9AC"/>
          </w:tcPr>
          <w:p w:rsidR="007C5447" w:rsidRDefault="00F6308C">
            <w:pPr>
              <w:pStyle w:val="TableParagraph"/>
              <w:spacing w:line="276" w:lineRule="auto"/>
              <w:ind w:left="228" w:right="215" w:hanging="3"/>
              <w:jc w:val="center"/>
              <w:rPr>
                <w:b/>
                <w:sz w:val="20"/>
              </w:rPr>
            </w:pPr>
            <w:r>
              <w:rPr>
                <w:b/>
                <w:sz w:val="20"/>
              </w:rPr>
              <w:t>Fixed Charges (Rupees per kW</w:t>
            </w:r>
          </w:p>
          <w:p w:rsidR="007C5447" w:rsidRDefault="00F6308C">
            <w:pPr>
              <w:pStyle w:val="TableParagraph"/>
              <w:spacing w:line="229" w:lineRule="exact"/>
              <w:ind w:left="99" w:right="90"/>
              <w:jc w:val="center"/>
              <w:rPr>
                <w:b/>
                <w:sz w:val="20"/>
              </w:rPr>
            </w:pPr>
            <w:r>
              <w:rPr>
                <w:b/>
                <w:sz w:val="20"/>
              </w:rPr>
              <w:t>per month)</w:t>
            </w:r>
          </w:p>
        </w:tc>
        <w:tc>
          <w:tcPr>
            <w:tcW w:w="1832" w:type="dxa"/>
            <w:shd w:val="clear" w:color="auto" w:fill="F7C9AC"/>
          </w:tcPr>
          <w:p w:rsidR="007C5447" w:rsidRDefault="00F6308C">
            <w:pPr>
              <w:pStyle w:val="TableParagraph"/>
              <w:spacing w:before="132" w:line="276" w:lineRule="auto"/>
              <w:ind w:left="285" w:right="88" w:hanging="171"/>
              <w:jc w:val="left"/>
              <w:rPr>
                <w:b/>
                <w:sz w:val="20"/>
              </w:rPr>
            </w:pPr>
            <w:r>
              <w:rPr>
                <w:b/>
                <w:sz w:val="20"/>
              </w:rPr>
              <w:t>Energy Charges in Paise per kWh</w:t>
            </w:r>
          </w:p>
        </w:tc>
      </w:tr>
      <w:tr w:rsidR="007C5447">
        <w:trPr>
          <w:trHeight w:val="791"/>
        </w:trPr>
        <w:tc>
          <w:tcPr>
            <w:tcW w:w="1983" w:type="dxa"/>
            <w:vMerge w:val="restart"/>
          </w:tcPr>
          <w:p w:rsidR="007C5447" w:rsidRDefault="00F6308C">
            <w:pPr>
              <w:pStyle w:val="TableParagraph"/>
              <w:spacing w:line="276" w:lineRule="auto"/>
              <w:ind w:left="107" w:right="288"/>
              <w:jc w:val="left"/>
              <w:rPr>
                <w:sz w:val="20"/>
              </w:rPr>
            </w:pPr>
            <w:r>
              <w:rPr>
                <w:sz w:val="20"/>
              </w:rPr>
              <w:t>Low Tension Tariff III-A(1)</w:t>
            </w:r>
          </w:p>
        </w:tc>
        <w:tc>
          <w:tcPr>
            <w:tcW w:w="2268" w:type="dxa"/>
          </w:tcPr>
          <w:p w:rsidR="007C5447" w:rsidRDefault="00F6308C">
            <w:pPr>
              <w:pStyle w:val="TableParagraph"/>
              <w:spacing w:line="276" w:lineRule="auto"/>
              <w:ind w:left="107" w:right="120"/>
              <w:jc w:val="left"/>
              <w:rPr>
                <w:sz w:val="20"/>
              </w:rPr>
            </w:pPr>
            <w:r>
              <w:rPr>
                <w:sz w:val="20"/>
              </w:rPr>
              <w:t>0 to 250 units per month or</w:t>
            </w:r>
          </w:p>
          <w:p w:rsidR="007C5447" w:rsidRDefault="00F6308C">
            <w:pPr>
              <w:pStyle w:val="TableParagraph"/>
              <w:spacing w:line="229" w:lineRule="exact"/>
              <w:ind w:left="107"/>
              <w:jc w:val="left"/>
              <w:rPr>
                <w:sz w:val="20"/>
              </w:rPr>
            </w:pPr>
            <w:r>
              <w:rPr>
                <w:sz w:val="20"/>
              </w:rPr>
              <w:t>0 to 500 units bimonthly</w:t>
            </w:r>
          </w:p>
        </w:tc>
        <w:tc>
          <w:tcPr>
            <w:tcW w:w="1843" w:type="dxa"/>
            <w:vMerge w:val="restart"/>
          </w:tcPr>
          <w:p w:rsidR="007C5447" w:rsidRDefault="007C5447">
            <w:pPr>
              <w:pStyle w:val="TableParagraph"/>
              <w:spacing w:before="11"/>
              <w:jc w:val="left"/>
              <w:rPr>
                <w:b/>
              </w:rPr>
            </w:pPr>
          </w:p>
          <w:p w:rsidR="007C5447" w:rsidRDefault="00F6308C">
            <w:pPr>
              <w:pStyle w:val="TableParagraph"/>
              <w:ind w:left="100" w:right="90"/>
              <w:jc w:val="center"/>
              <w:rPr>
                <w:sz w:val="20"/>
              </w:rPr>
            </w:pPr>
            <w:r>
              <w:rPr>
                <w:sz w:val="20"/>
              </w:rPr>
              <w:t>20</w:t>
            </w:r>
          </w:p>
        </w:tc>
        <w:tc>
          <w:tcPr>
            <w:tcW w:w="1832" w:type="dxa"/>
          </w:tcPr>
          <w:p w:rsidR="007C5447" w:rsidRDefault="00F6308C">
            <w:pPr>
              <w:pStyle w:val="TableParagraph"/>
              <w:ind w:left="764"/>
              <w:jc w:val="left"/>
              <w:rPr>
                <w:sz w:val="20"/>
              </w:rPr>
            </w:pPr>
            <w:r>
              <w:rPr>
                <w:sz w:val="20"/>
              </w:rPr>
              <w:t>400</w:t>
            </w:r>
          </w:p>
        </w:tc>
      </w:tr>
      <w:tr w:rsidR="007C5447">
        <w:trPr>
          <w:trHeight w:val="1057"/>
        </w:trPr>
        <w:tc>
          <w:tcPr>
            <w:tcW w:w="1983" w:type="dxa"/>
            <w:vMerge/>
            <w:tcBorders>
              <w:top w:val="nil"/>
            </w:tcBorders>
          </w:tcPr>
          <w:p w:rsidR="007C5447" w:rsidRDefault="007C5447">
            <w:pPr>
              <w:rPr>
                <w:sz w:val="2"/>
                <w:szCs w:val="2"/>
              </w:rPr>
            </w:pPr>
          </w:p>
        </w:tc>
        <w:tc>
          <w:tcPr>
            <w:tcW w:w="2268" w:type="dxa"/>
          </w:tcPr>
          <w:p w:rsidR="007C5447" w:rsidRDefault="00F6308C">
            <w:pPr>
              <w:pStyle w:val="TableParagraph"/>
              <w:tabs>
                <w:tab w:val="left" w:pos="752"/>
                <w:tab w:val="left" w:pos="1268"/>
                <w:tab w:val="left" w:pos="1867"/>
              </w:tabs>
              <w:spacing w:line="278" w:lineRule="auto"/>
              <w:ind w:left="107" w:right="99"/>
              <w:jc w:val="left"/>
              <w:rPr>
                <w:sz w:val="20"/>
              </w:rPr>
            </w:pPr>
            <w:r>
              <w:rPr>
                <w:sz w:val="20"/>
              </w:rPr>
              <w:t>From</w:t>
            </w:r>
            <w:r>
              <w:rPr>
                <w:sz w:val="20"/>
              </w:rPr>
              <w:tab/>
              <w:t>251</w:t>
            </w:r>
            <w:r>
              <w:rPr>
                <w:sz w:val="20"/>
              </w:rPr>
              <w:tab/>
              <w:t>units</w:t>
            </w:r>
            <w:r>
              <w:rPr>
                <w:sz w:val="20"/>
              </w:rPr>
              <w:tab/>
            </w:r>
            <w:r>
              <w:rPr>
                <w:spacing w:val="-6"/>
                <w:sz w:val="20"/>
              </w:rPr>
              <w:t xml:space="preserve">and </w:t>
            </w:r>
            <w:r>
              <w:rPr>
                <w:sz w:val="20"/>
              </w:rPr>
              <w:t>above units per month</w:t>
            </w:r>
            <w:r>
              <w:rPr>
                <w:spacing w:val="44"/>
                <w:sz w:val="20"/>
              </w:rPr>
              <w:t xml:space="preserve"> </w:t>
            </w:r>
            <w:r>
              <w:rPr>
                <w:spacing w:val="-6"/>
                <w:sz w:val="20"/>
              </w:rPr>
              <w:t>or</w:t>
            </w:r>
          </w:p>
          <w:p w:rsidR="007C5447" w:rsidRDefault="00F6308C">
            <w:pPr>
              <w:pStyle w:val="TableParagraph"/>
              <w:spacing w:line="227" w:lineRule="exact"/>
              <w:ind w:left="107"/>
              <w:jc w:val="left"/>
              <w:rPr>
                <w:sz w:val="20"/>
              </w:rPr>
            </w:pPr>
            <w:r>
              <w:rPr>
                <w:sz w:val="20"/>
              </w:rPr>
              <w:t xml:space="preserve">501    units    and  </w:t>
            </w:r>
            <w:r>
              <w:rPr>
                <w:spacing w:val="40"/>
                <w:sz w:val="20"/>
              </w:rPr>
              <w:t xml:space="preserve"> </w:t>
            </w:r>
            <w:r>
              <w:rPr>
                <w:sz w:val="20"/>
              </w:rPr>
              <w:t>above</w:t>
            </w:r>
          </w:p>
          <w:p w:rsidR="007C5447" w:rsidRDefault="00F6308C">
            <w:pPr>
              <w:pStyle w:val="TableParagraph"/>
              <w:spacing w:before="34"/>
              <w:ind w:left="107"/>
              <w:jc w:val="left"/>
              <w:rPr>
                <w:sz w:val="20"/>
              </w:rPr>
            </w:pPr>
            <w:r>
              <w:rPr>
                <w:sz w:val="20"/>
              </w:rPr>
              <w:t>bimonthly</w:t>
            </w:r>
          </w:p>
        </w:tc>
        <w:tc>
          <w:tcPr>
            <w:tcW w:w="1843" w:type="dxa"/>
            <w:vMerge/>
            <w:tcBorders>
              <w:top w:val="nil"/>
            </w:tcBorders>
          </w:tcPr>
          <w:p w:rsidR="007C5447" w:rsidRDefault="007C5447">
            <w:pPr>
              <w:rPr>
                <w:sz w:val="2"/>
                <w:szCs w:val="2"/>
              </w:rPr>
            </w:pPr>
          </w:p>
        </w:tc>
        <w:tc>
          <w:tcPr>
            <w:tcW w:w="1832" w:type="dxa"/>
          </w:tcPr>
          <w:p w:rsidR="007C5447" w:rsidRDefault="00F6308C">
            <w:pPr>
              <w:pStyle w:val="TableParagraph"/>
              <w:ind w:left="764"/>
              <w:jc w:val="left"/>
              <w:rPr>
                <w:sz w:val="20"/>
              </w:rPr>
            </w:pPr>
            <w:r>
              <w:rPr>
                <w:sz w:val="20"/>
              </w:rPr>
              <w:t>460</w:t>
            </w:r>
          </w:p>
        </w:tc>
      </w:tr>
    </w:tbl>
    <w:p w:rsidR="007C5447" w:rsidRDefault="007C5447">
      <w:pPr>
        <w:pStyle w:val="BodyText"/>
        <w:spacing w:before="9"/>
        <w:rPr>
          <w:b/>
          <w:sz w:val="20"/>
        </w:rPr>
      </w:pPr>
    </w:p>
    <w:p w:rsidR="007C5447" w:rsidRDefault="00F6308C">
      <w:pPr>
        <w:pStyle w:val="ListParagraph"/>
        <w:numPr>
          <w:ilvl w:val="3"/>
          <w:numId w:val="15"/>
        </w:numPr>
        <w:tabs>
          <w:tab w:val="left" w:pos="1225"/>
          <w:tab w:val="left" w:pos="1226"/>
        </w:tabs>
        <w:ind w:hanging="966"/>
        <w:rPr>
          <w:sz w:val="24"/>
        </w:rPr>
      </w:pPr>
      <w:r>
        <w:rPr>
          <w:sz w:val="24"/>
        </w:rPr>
        <w:t>The contracted load for supply under this tariff category shall not exceed 12</w:t>
      </w:r>
      <w:r>
        <w:rPr>
          <w:spacing w:val="-11"/>
          <w:sz w:val="24"/>
        </w:rPr>
        <w:t xml:space="preserve"> </w:t>
      </w:r>
      <w:r>
        <w:rPr>
          <w:sz w:val="24"/>
        </w:rPr>
        <w:t>kW.</w:t>
      </w:r>
    </w:p>
    <w:p w:rsidR="007C5447" w:rsidRDefault="007C5447">
      <w:pPr>
        <w:pStyle w:val="BodyText"/>
        <w:spacing w:before="2"/>
        <w:rPr>
          <w:sz w:val="28"/>
        </w:rPr>
      </w:pPr>
    </w:p>
    <w:p w:rsidR="007C5447" w:rsidRDefault="00F6308C">
      <w:pPr>
        <w:pStyle w:val="ListParagraph"/>
        <w:numPr>
          <w:ilvl w:val="3"/>
          <w:numId w:val="15"/>
        </w:numPr>
        <w:tabs>
          <w:tab w:val="left" w:pos="1226"/>
        </w:tabs>
        <w:spacing w:before="1" w:line="312" w:lineRule="auto"/>
        <w:ind w:right="878"/>
        <w:jc w:val="both"/>
        <w:rPr>
          <w:sz w:val="24"/>
        </w:rPr>
      </w:pPr>
      <w:r>
        <w:rPr>
          <w:sz w:val="24"/>
        </w:rPr>
        <w:t xml:space="preserve">This tariff is applicable to Cottage and tiny industries, Micro enterprises engaged in the manufacture or production of goods pertaining to any industries specified in the first schedule to Industries (Development and Regulations) Act 1951 (Central Act 65 </w:t>
      </w:r>
      <w:r>
        <w:rPr>
          <w:sz w:val="24"/>
        </w:rPr>
        <w:t>of</w:t>
      </w:r>
      <w:r>
        <w:rPr>
          <w:spacing w:val="-2"/>
          <w:sz w:val="24"/>
        </w:rPr>
        <w:t xml:space="preserve"> </w:t>
      </w:r>
      <w:r>
        <w:rPr>
          <w:sz w:val="24"/>
        </w:rPr>
        <w:t>1951).</w:t>
      </w:r>
    </w:p>
    <w:p w:rsidR="007C5447" w:rsidRDefault="007C5447">
      <w:pPr>
        <w:pStyle w:val="BodyText"/>
        <w:spacing w:before="9"/>
        <w:rPr>
          <w:sz w:val="20"/>
        </w:rPr>
      </w:pPr>
    </w:p>
    <w:p w:rsidR="007C5447" w:rsidRDefault="00F6308C">
      <w:pPr>
        <w:pStyle w:val="ListParagraph"/>
        <w:numPr>
          <w:ilvl w:val="3"/>
          <w:numId w:val="15"/>
        </w:numPr>
        <w:tabs>
          <w:tab w:val="left" w:pos="1226"/>
        </w:tabs>
        <w:spacing w:before="1" w:line="312" w:lineRule="auto"/>
        <w:ind w:right="876"/>
        <w:jc w:val="both"/>
        <w:rPr>
          <w:sz w:val="24"/>
        </w:rPr>
      </w:pPr>
      <w:r>
        <w:rPr>
          <w:sz w:val="24"/>
        </w:rPr>
        <w:t>The intending consumers applying for service connection under LT Tariff III A (1) claiming to have established the micro enterprise engaged in the manufacture or production of goods shall produce the cottage industries certificates from the indu</w:t>
      </w:r>
      <w:r>
        <w:rPr>
          <w:sz w:val="24"/>
        </w:rPr>
        <w:t>strial department /acknowledgement issued by the District Industries Centre under the Micro Small and Medium Enterprises Development Act, 2006 (Act 27 of 2006 ) as proof for having filed Entrepreneurs Memorandum for setting up of Micro Enterprises for manu</w:t>
      </w:r>
      <w:r>
        <w:rPr>
          <w:sz w:val="24"/>
        </w:rPr>
        <w:t>facture or production of goods with District Industries Centre under whose jurisdiction the Enterprise is</w:t>
      </w:r>
      <w:r>
        <w:rPr>
          <w:spacing w:val="-5"/>
          <w:sz w:val="24"/>
        </w:rPr>
        <w:t xml:space="preserve"> </w:t>
      </w:r>
      <w:r>
        <w:rPr>
          <w:sz w:val="24"/>
        </w:rPr>
        <w:t>located.</w:t>
      </w:r>
    </w:p>
    <w:p w:rsidR="007C5447" w:rsidRDefault="007C5447">
      <w:pPr>
        <w:pStyle w:val="BodyText"/>
        <w:spacing w:before="10"/>
        <w:rPr>
          <w:sz w:val="20"/>
        </w:rPr>
      </w:pPr>
    </w:p>
    <w:p w:rsidR="007C5447" w:rsidRDefault="00F6308C">
      <w:pPr>
        <w:pStyle w:val="ListParagraph"/>
        <w:numPr>
          <w:ilvl w:val="3"/>
          <w:numId w:val="15"/>
        </w:numPr>
        <w:tabs>
          <w:tab w:val="left" w:pos="1226"/>
        </w:tabs>
        <w:spacing w:line="312" w:lineRule="auto"/>
        <w:ind w:right="883"/>
        <w:jc w:val="both"/>
        <w:rPr>
          <w:sz w:val="24"/>
        </w:rPr>
      </w:pPr>
      <w:r>
        <w:rPr>
          <w:sz w:val="24"/>
        </w:rPr>
        <w:t xml:space="preserve">The existing consumers who are classified under </w:t>
      </w:r>
      <w:r>
        <w:rPr>
          <w:spacing w:val="-3"/>
          <w:sz w:val="24"/>
        </w:rPr>
        <w:t xml:space="preserve">LT </w:t>
      </w:r>
      <w:r>
        <w:rPr>
          <w:sz w:val="24"/>
        </w:rPr>
        <w:t>Tariff III A (1) based on the SSI / Tiny Industries Certificate may be continued to be ch</w:t>
      </w:r>
      <w:r>
        <w:rPr>
          <w:sz w:val="24"/>
        </w:rPr>
        <w:t>arged under the same tariff</w:t>
      </w:r>
    </w:p>
    <w:p w:rsidR="007C5447" w:rsidRDefault="007C5447">
      <w:pPr>
        <w:pStyle w:val="BodyText"/>
        <w:spacing w:before="9"/>
        <w:rPr>
          <w:sz w:val="20"/>
        </w:rPr>
      </w:pPr>
    </w:p>
    <w:p w:rsidR="007C5447" w:rsidRDefault="00F6308C">
      <w:pPr>
        <w:pStyle w:val="ListParagraph"/>
        <w:numPr>
          <w:ilvl w:val="3"/>
          <w:numId w:val="15"/>
        </w:numPr>
        <w:tabs>
          <w:tab w:val="left" w:pos="1226"/>
        </w:tabs>
        <w:spacing w:line="314" w:lineRule="auto"/>
        <w:ind w:right="880"/>
        <w:jc w:val="both"/>
        <w:rPr>
          <w:sz w:val="24"/>
        </w:rPr>
      </w:pPr>
      <w:r>
        <w:rPr>
          <w:sz w:val="24"/>
        </w:rPr>
        <w:t>This tariff is applicable to Small Gem cutting units, Waste land development, laundry works and Common effluent treatment</w:t>
      </w:r>
      <w:r>
        <w:rPr>
          <w:spacing w:val="-4"/>
          <w:sz w:val="24"/>
        </w:rPr>
        <w:t xml:space="preserve"> </w:t>
      </w:r>
      <w:r>
        <w:rPr>
          <w:sz w:val="24"/>
        </w:rPr>
        <w:t>plants.</w:t>
      </w:r>
    </w:p>
    <w:p w:rsidR="007C5447" w:rsidRDefault="007C5447">
      <w:pPr>
        <w:pStyle w:val="BodyText"/>
        <w:spacing w:before="5"/>
        <w:rPr>
          <w:sz w:val="20"/>
        </w:rPr>
      </w:pPr>
    </w:p>
    <w:p w:rsidR="007C5447" w:rsidRDefault="00F6308C">
      <w:pPr>
        <w:pStyle w:val="ListParagraph"/>
        <w:numPr>
          <w:ilvl w:val="3"/>
          <w:numId w:val="15"/>
        </w:numPr>
        <w:tabs>
          <w:tab w:val="left" w:pos="1226"/>
        </w:tabs>
        <w:spacing w:line="312" w:lineRule="auto"/>
        <w:ind w:right="881"/>
        <w:jc w:val="both"/>
        <w:rPr>
          <w:sz w:val="24"/>
        </w:rPr>
      </w:pPr>
      <w:r>
        <w:rPr>
          <w:sz w:val="24"/>
        </w:rPr>
        <w:t>This tariff is also applicable to Coffee grinding, Ice factory, Vehicle Body building units, saw</w:t>
      </w:r>
      <w:r>
        <w:rPr>
          <w:sz w:val="24"/>
        </w:rPr>
        <w:t xml:space="preserve"> mills, rice mills, flour Mills, battery charging units and Dairy</w:t>
      </w:r>
      <w:r>
        <w:rPr>
          <w:spacing w:val="-12"/>
          <w:sz w:val="24"/>
        </w:rPr>
        <w:t xml:space="preserve"> </w:t>
      </w:r>
      <w:r>
        <w:rPr>
          <w:sz w:val="24"/>
        </w:rPr>
        <w:t>units.</w:t>
      </w:r>
    </w:p>
    <w:p w:rsidR="007C5447" w:rsidRDefault="007C5447">
      <w:pPr>
        <w:pStyle w:val="BodyText"/>
        <w:spacing w:before="10"/>
        <w:rPr>
          <w:sz w:val="20"/>
        </w:rPr>
      </w:pPr>
    </w:p>
    <w:p w:rsidR="007C5447" w:rsidRDefault="00F6308C">
      <w:pPr>
        <w:pStyle w:val="ListParagraph"/>
        <w:numPr>
          <w:ilvl w:val="3"/>
          <w:numId w:val="15"/>
        </w:numPr>
        <w:tabs>
          <w:tab w:val="left" w:pos="1226"/>
        </w:tabs>
        <w:spacing w:line="312" w:lineRule="auto"/>
        <w:ind w:right="881"/>
        <w:jc w:val="both"/>
        <w:rPr>
          <w:sz w:val="24"/>
        </w:rPr>
      </w:pPr>
      <w:r>
        <w:rPr>
          <w:sz w:val="24"/>
        </w:rPr>
        <w:t>This tariff is also applicable for sericulture, floriculture, horticulture, mushroom cultivation, cattle farming, poultry &amp; bird farming and fish/prawn</w:t>
      </w:r>
      <w:r>
        <w:rPr>
          <w:spacing w:val="-8"/>
          <w:sz w:val="24"/>
        </w:rPr>
        <w:t xml:space="preserve"> </w:t>
      </w:r>
      <w:r>
        <w:rPr>
          <w:sz w:val="24"/>
        </w:rPr>
        <w:t>culture.</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ListParagraph"/>
        <w:numPr>
          <w:ilvl w:val="3"/>
          <w:numId w:val="15"/>
        </w:numPr>
        <w:tabs>
          <w:tab w:val="left" w:pos="1226"/>
        </w:tabs>
        <w:spacing w:before="60" w:line="312" w:lineRule="auto"/>
        <w:ind w:right="877"/>
        <w:jc w:val="both"/>
        <w:rPr>
          <w:sz w:val="24"/>
        </w:rPr>
      </w:pPr>
      <w:r>
        <w:rPr>
          <w:sz w:val="24"/>
        </w:rPr>
        <w:lastRenderedPageBreak/>
        <w:t>Thi</w:t>
      </w:r>
      <w:r>
        <w:rPr>
          <w:sz w:val="24"/>
        </w:rPr>
        <w:t xml:space="preserve">s tariff is also applicable for pumping of water/supply of water for the purpose of “agriculture and allied activities” as specified in </w:t>
      </w:r>
      <w:r>
        <w:rPr>
          <w:spacing w:val="-3"/>
          <w:sz w:val="24"/>
        </w:rPr>
        <w:t xml:space="preserve">LT </w:t>
      </w:r>
      <w:r>
        <w:rPr>
          <w:sz w:val="24"/>
        </w:rPr>
        <w:t>Tariff IV provided that the applicant is unable to get supply under LT tariff IV as per the seniority maintained spec</w:t>
      </w:r>
      <w:r>
        <w:rPr>
          <w:sz w:val="24"/>
        </w:rPr>
        <w:t>ifically for the purpose of providing supply to Agriculture under LT tariff IV. As and when such applicant becomes eligible to get regular supply under LT Tariff IV(Normal Category) as per the specific seniority maintained for that purpose by the licensee,</w:t>
      </w:r>
      <w:r>
        <w:rPr>
          <w:sz w:val="24"/>
        </w:rPr>
        <w:t xml:space="preserve"> the supply obtained under LT Tariff III-A(1) for the specific purpose mentioned in this sub clause shall be converted into </w:t>
      </w:r>
      <w:r>
        <w:rPr>
          <w:spacing w:val="-3"/>
          <w:sz w:val="24"/>
        </w:rPr>
        <w:t xml:space="preserve">LT </w:t>
      </w:r>
      <w:r>
        <w:rPr>
          <w:sz w:val="24"/>
        </w:rPr>
        <w:t xml:space="preserve">tariff IV(Normal Category). Thereafter, the terms and conditions of </w:t>
      </w:r>
      <w:r>
        <w:rPr>
          <w:spacing w:val="-3"/>
          <w:sz w:val="24"/>
        </w:rPr>
        <w:t xml:space="preserve">LT </w:t>
      </w:r>
      <w:r>
        <w:rPr>
          <w:sz w:val="24"/>
        </w:rPr>
        <w:t>Tariff IV only will</w:t>
      </w:r>
      <w:r>
        <w:rPr>
          <w:spacing w:val="-3"/>
          <w:sz w:val="24"/>
        </w:rPr>
        <w:t xml:space="preserve"> </w:t>
      </w:r>
      <w:r>
        <w:rPr>
          <w:sz w:val="24"/>
        </w:rPr>
        <w:t>apply.</w:t>
      </w:r>
    </w:p>
    <w:p w:rsidR="007C5447" w:rsidRDefault="007C5447">
      <w:pPr>
        <w:pStyle w:val="BodyText"/>
        <w:rPr>
          <w:sz w:val="26"/>
        </w:rPr>
      </w:pPr>
    </w:p>
    <w:p w:rsidR="007C5447" w:rsidRDefault="007C5447">
      <w:pPr>
        <w:pStyle w:val="BodyText"/>
        <w:spacing w:before="7"/>
        <w:rPr>
          <w:sz w:val="36"/>
        </w:rPr>
      </w:pPr>
    </w:p>
    <w:p w:rsidR="007C5447" w:rsidRDefault="00F6308C">
      <w:pPr>
        <w:pStyle w:val="Heading2"/>
        <w:numPr>
          <w:ilvl w:val="2"/>
          <w:numId w:val="22"/>
        </w:numPr>
        <w:tabs>
          <w:tab w:val="left" w:pos="1112"/>
          <w:tab w:val="left" w:pos="1113"/>
        </w:tabs>
        <w:spacing w:before="1"/>
        <w:ind w:hanging="853"/>
      </w:pPr>
      <w:r>
        <w:t>Low Tension Tariff III-A</w:t>
      </w:r>
      <w:r>
        <w:rPr>
          <w:spacing w:val="-6"/>
        </w:rPr>
        <w:t xml:space="preserve"> </w:t>
      </w:r>
      <w:r>
        <w:t>(2):</w:t>
      </w:r>
    </w:p>
    <w:p w:rsidR="007C5447" w:rsidRDefault="007C5447">
      <w:pPr>
        <w:pStyle w:val="BodyText"/>
        <w:rPr>
          <w:b/>
          <w:sz w:val="28"/>
        </w:rPr>
      </w:pPr>
    </w:p>
    <w:tbl>
      <w:tblPr>
        <w:tblW w:w="0" w:type="auto"/>
        <w:tblInd w:w="12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4"/>
        <w:gridCol w:w="2551"/>
        <w:gridCol w:w="2268"/>
        <w:gridCol w:w="1843"/>
      </w:tblGrid>
      <w:tr w:rsidR="007C5447">
        <w:trPr>
          <w:trHeight w:val="302"/>
        </w:trPr>
        <w:tc>
          <w:tcPr>
            <w:tcW w:w="1274" w:type="dxa"/>
            <w:vMerge w:val="restart"/>
            <w:shd w:val="clear" w:color="auto" w:fill="F7C9AC"/>
          </w:tcPr>
          <w:p w:rsidR="007C5447" w:rsidRDefault="007C5447">
            <w:pPr>
              <w:pStyle w:val="TableParagraph"/>
              <w:spacing w:before="8"/>
              <w:jc w:val="left"/>
              <w:rPr>
                <w:b/>
                <w:sz w:val="26"/>
              </w:rPr>
            </w:pPr>
          </w:p>
          <w:p w:rsidR="007C5447" w:rsidRDefault="00F6308C">
            <w:pPr>
              <w:pStyle w:val="TableParagraph"/>
              <w:ind w:left="381"/>
              <w:jc w:val="left"/>
              <w:rPr>
                <w:b/>
                <w:sz w:val="20"/>
              </w:rPr>
            </w:pPr>
            <w:r>
              <w:rPr>
                <w:b/>
                <w:sz w:val="20"/>
              </w:rPr>
              <w:t>Tariff</w:t>
            </w:r>
          </w:p>
        </w:tc>
        <w:tc>
          <w:tcPr>
            <w:tcW w:w="2551" w:type="dxa"/>
            <w:vMerge w:val="restart"/>
            <w:shd w:val="clear" w:color="auto" w:fill="F7C9AC"/>
          </w:tcPr>
          <w:p w:rsidR="007C5447" w:rsidRDefault="00F6308C">
            <w:pPr>
              <w:pStyle w:val="TableParagraph"/>
              <w:spacing w:before="7"/>
              <w:ind w:left="152" w:right="146"/>
              <w:jc w:val="center"/>
              <w:rPr>
                <w:b/>
                <w:sz w:val="20"/>
              </w:rPr>
            </w:pPr>
            <w:r>
              <w:rPr>
                <w:b/>
                <w:sz w:val="20"/>
              </w:rPr>
              <w:t>Consumption slabs –</w:t>
            </w:r>
          </w:p>
          <w:p w:rsidR="007C5447" w:rsidRDefault="00F6308C">
            <w:pPr>
              <w:pStyle w:val="TableParagraph"/>
              <w:spacing w:before="10" w:line="290" w:lineRule="atLeast"/>
              <w:ind w:left="155" w:right="146"/>
              <w:jc w:val="center"/>
              <w:rPr>
                <w:b/>
                <w:sz w:val="20"/>
              </w:rPr>
            </w:pPr>
            <w:r>
              <w:rPr>
                <w:b/>
                <w:sz w:val="20"/>
              </w:rPr>
              <w:t>Range in kWh and billing period</w:t>
            </w:r>
          </w:p>
        </w:tc>
        <w:tc>
          <w:tcPr>
            <w:tcW w:w="4111" w:type="dxa"/>
            <w:gridSpan w:val="2"/>
            <w:shd w:val="clear" w:color="auto" w:fill="F7C9AC"/>
          </w:tcPr>
          <w:p w:rsidR="007C5447" w:rsidRDefault="00F6308C">
            <w:pPr>
              <w:pStyle w:val="TableParagraph"/>
              <w:spacing w:before="2"/>
              <w:ind w:left="716"/>
              <w:jc w:val="left"/>
              <w:rPr>
                <w:b/>
                <w:sz w:val="20"/>
              </w:rPr>
            </w:pPr>
            <w:r>
              <w:rPr>
                <w:b/>
                <w:sz w:val="20"/>
              </w:rPr>
              <w:t>Commission Determined Tariff</w:t>
            </w:r>
          </w:p>
        </w:tc>
      </w:tr>
      <w:tr w:rsidR="007C5447">
        <w:trPr>
          <w:trHeight w:val="597"/>
        </w:trPr>
        <w:tc>
          <w:tcPr>
            <w:tcW w:w="1274" w:type="dxa"/>
            <w:vMerge/>
            <w:tcBorders>
              <w:top w:val="nil"/>
            </w:tcBorders>
            <w:shd w:val="clear" w:color="auto" w:fill="F7C9AC"/>
          </w:tcPr>
          <w:p w:rsidR="007C5447" w:rsidRDefault="007C5447">
            <w:pPr>
              <w:rPr>
                <w:sz w:val="2"/>
                <w:szCs w:val="2"/>
              </w:rPr>
            </w:pPr>
          </w:p>
        </w:tc>
        <w:tc>
          <w:tcPr>
            <w:tcW w:w="2551" w:type="dxa"/>
            <w:vMerge/>
            <w:tcBorders>
              <w:top w:val="nil"/>
            </w:tcBorders>
            <w:shd w:val="clear" w:color="auto" w:fill="F7C9AC"/>
          </w:tcPr>
          <w:p w:rsidR="007C5447" w:rsidRDefault="007C5447">
            <w:pPr>
              <w:rPr>
                <w:sz w:val="2"/>
                <w:szCs w:val="2"/>
              </w:rPr>
            </w:pPr>
          </w:p>
        </w:tc>
        <w:tc>
          <w:tcPr>
            <w:tcW w:w="2268" w:type="dxa"/>
            <w:shd w:val="clear" w:color="auto" w:fill="F7C9AC"/>
          </w:tcPr>
          <w:p w:rsidR="007C5447" w:rsidRDefault="00F6308C">
            <w:pPr>
              <w:pStyle w:val="TableParagraph"/>
              <w:ind w:left="125" w:right="114"/>
              <w:jc w:val="center"/>
              <w:rPr>
                <w:b/>
                <w:sz w:val="20"/>
              </w:rPr>
            </w:pPr>
            <w:r>
              <w:rPr>
                <w:b/>
                <w:sz w:val="20"/>
              </w:rPr>
              <w:t>Fixed Charges (Rupees</w:t>
            </w:r>
          </w:p>
          <w:p w:rsidR="007C5447" w:rsidRDefault="00F6308C">
            <w:pPr>
              <w:pStyle w:val="TableParagraph"/>
              <w:spacing w:before="70"/>
              <w:ind w:left="120" w:right="114"/>
              <w:jc w:val="center"/>
              <w:rPr>
                <w:b/>
                <w:sz w:val="20"/>
              </w:rPr>
            </w:pPr>
            <w:r>
              <w:rPr>
                <w:b/>
                <w:sz w:val="20"/>
              </w:rPr>
              <w:t>per kW per month)</w:t>
            </w:r>
          </w:p>
        </w:tc>
        <w:tc>
          <w:tcPr>
            <w:tcW w:w="1843" w:type="dxa"/>
            <w:shd w:val="clear" w:color="auto" w:fill="F7C9AC"/>
          </w:tcPr>
          <w:p w:rsidR="007C5447" w:rsidRDefault="00F6308C">
            <w:pPr>
              <w:pStyle w:val="TableParagraph"/>
              <w:ind w:left="102" w:right="90"/>
              <w:jc w:val="center"/>
              <w:rPr>
                <w:b/>
                <w:sz w:val="20"/>
              </w:rPr>
            </w:pPr>
            <w:r>
              <w:rPr>
                <w:b/>
                <w:sz w:val="20"/>
              </w:rPr>
              <w:t>Energy Charges in</w:t>
            </w:r>
          </w:p>
          <w:p w:rsidR="007C5447" w:rsidRDefault="00F6308C">
            <w:pPr>
              <w:pStyle w:val="TableParagraph"/>
              <w:spacing w:before="70"/>
              <w:ind w:left="98" w:right="90"/>
              <w:jc w:val="center"/>
              <w:rPr>
                <w:b/>
                <w:sz w:val="20"/>
              </w:rPr>
            </w:pPr>
            <w:r>
              <w:rPr>
                <w:b/>
                <w:sz w:val="20"/>
              </w:rPr>
              <w:t>Paise per kWh</w:t>
            </w:r>
          </w:p>
        </w:tc>
      </w:tr>
      <w:tr w:rsidR="007C5447">
        <w:trPr>
          <w:trHeight w:val="599"/>
        </w:trPr>
        <w:tc>
          <w:tcPr>
            <w:tcW w:w="1274" w:type="dxa"/>
          </w:tcPr>
          <w:p w:rsidR="007C5447" w:rsidRDefault="007C5447">
            <w:pPr>
              <w:pStyle w:val="TableParagraph"/>
              <w:jc w:val="left"/>
            </w:pPr>
          </w:p>
        </w:tc>
        <w:tc>
          <w:tcPr>
            <w:tcW w:w="6662" w:type="dxa"/>
            <w:gridSpan w:val="3"/>
          </w:tcPr>
          <w:p w:rsidR="007C5447" w:rsidRDefault="00F6308C">
            <w:pPr>
              <w:pStyle w:val="TableParagraph"/>
              <w:ind w:left="108"/>
              <w:jc w:val="left"/>
              <w:rPr>
                <w:b/>
                <w:sz w:val="20"/>
              </w:rPr>
            </w:pPr>
            <w:r>
              <w:rPr>
                <w:b/>
                <w:sz w:val="20"/>
              </w:rPr>
              <w:t>(i) For consumer who consume up to 250 units per month (or) 500 units for</w:t>
            </w:r>
          </w:p>
          <w:p w:rsidR="007C5447" w:rsidRDefault="00F6308C">
            <w:pPr>
              <w:pStyle w:val="TableParagraph"/>
              <w:spacing w:before="70"/>
              <w:ind w:left="108"/>
              <w:jc w:val="left"/>
              <w:rPr>
                <w:b/>
                <w:sz w:val="20"/>
              </w:rPr>
            </w:pPr>
            <w:r>
              <w:rPr>
                <w:b/>
                <w:sz w:val="20"/>
              </w:rPr>
              <w:t>two months</w:t>
            </w:r>
          </w:p>
        </w:tc>
      </w:tr>
      <w:tr w:rsidR="007C5447">
        <w:trPr>
          <w:trHeight w:val="674"/>
        </w:trPr>
        <w:tc>
          <w:tcPr>
            <w:tcW w:w="1274" w:type="dxa"/>
            <w:vMerge w:val="restart"/>
          </w:tcPr>
          <w:p w:rsidR="007C5447" w:rsidRDefault="00F6308C">
            <w:pPr>
              <w:pStyle w:val="TableParagraph"/>
              <w:spacing w:line="312" w:lineRule="auto"/>
              <w:ind w:left="107" w:right="462"/>
              <w:jc w:val="left"/>
              <w:rPr>
                <w:sz w:val="20"/>
              </w:rPr>
            </w:pPr>
            <w:r>
              <w:rPr>
                <w:sz w:val="20"/>
              </w:rPr>
              <w:t>Low Tension Tariff III-A (2)</w:t>
            </w:r>
          </w:p>
        </w:tc>
        <w:tc>
          <w:tcPr>
            <w:tcW w:w="2551" w:type="dxa"/>
          </w:tcPr>
          <w:p w:rsidR="007C5447" w:rsidRDefault="00F6308C">
            <w:pPr>
              <w:pStyle w:val="TableParagraph"/>
              <w:spacing w:line="309" w:lineRule="auto"/>
              <w:ind w:left="108" w:right="167"/>
              <w:jc w:val="left"/>
              <w:rPr>
                <w:sz w:val="20"/>
              </w:rPr>
            </w:pPr>
            <w:r>
              <w:rPr>
                <w:sz w:val="20"/>
              </w:rPr>
              <w:t xml:space="preserve">0 to 250 units per month </w:t>
            </w:r>
            <w:r>
              <w:rPr>
                <w:spacing w:val="-6"/>
                <w:sz w:val="20"/>
              </w:rPr>
              <w:t xml:space="preserve">or  </w:t>
            </w:r>
            <w:r>
              <w:rPr>
                <w:sz w:val="20"/>
              </w:rPr>
              <w:t>0 to 500 units</w:t>
            </w:r>
            <w:r>
              <w:rPr>
                <w:spacing w:val="-2"/>
                <w:sz w:val="20"/>
              </w:rPr>
              <w:t xml:space="preserve"> </w:t>
            </w:r>
            <w:r>
              <w:rPr>
                <w:sz w:val="20"/>
              </w:rPr>
              <w:t>bimonthly</w:t>
            </w:r>
          </w:p>
        </w:tc>
        <w:tc>
          <w:tcPr>
            <w:tcW w:w="2268" w:type="dxa"/>
          </w:tcPr>
          <w:p w:rsidR="007C5447" w:rsidRDefault="00F6308C">
            <w:pPr>
              <w:pStyle w:val="TableParagraph"/>
              <w:ind w:left="125" w:right="110"/>
              <w:jc w:val="center"/>
              <w:rPr>
                <w:sz w:val="20"/>
              </w:rPr>
            </w:pPr>
            <w:r>
              <w:rPr>
                <w:sz w:val="20"/>
              </w:rPr>
              <w:t>60</w:t>
            </w:r>
          </w:p>
        </w:tc>
        <w:tc>
          <w:tcPr>
            <w:tcW w:w="1843" w:type="dxa"/>
          </w:tcPr>
          <w:p w:rsidR="007C5447" w:rsidRDefault="00F6308C">
            <w:pPr>
              <w:pStyle w:val="TableParagraph"/>
              <w:ind w:left="772"/>
              <w:jc w:val="left"/>
              <w:rPr>
                <w:sz w:val="20"/>
              </w:rPr>
            </w:pPr>
            <w:r>
              <w:rPr>
                <w:sz w:val="20"/>
              </w:rPr>
              <w:t>520</w:t>
            </w:r>
          </w:p>
        </w:tc>
      </w:tr>
      <w:tr w:rsidR="007C5447">
        <w:trPr>
          <w:trHeight w:val="597"/>
        </w:trPr>
        <w:tc>
          <w:tcPr>
            <w:tcW w:w="1274" w:type="dxa"/>
            <w:vMerge/>
            <w:tcBorders>
              <w:top w:val="nil"/>
            </w:tcBorders>
          </w:tcPr>
          <w:p w:rsidR="007C5447" w:rsidRDefault="007C5447">
            <w:pPr>
              <w:rPr>
                <w:sz w:val="2"/>
                <w:szCs w:val="2"/>
              </w:rPr>
            </w:pPr>
          </w:p>
        </w:tc>
        <w:tc>
          <w:tcPr>
            <w:tcW w:w="6662" w:type="dxa"/>
            <w:gridSpan w:val="3"/>
          </w:tcPr>
          <w:p w:rsidR="007C5447" w:rsidRDefault="00F6308C">
            <w:pPr>
              <w:pStyle w:val="TableParagraph"/>
              <w:ind w:left="108"/>
              <w:jc w:val="left"/>
              <w:rPr>
                <w:b/>
                <w:sz w:val="20"/>
              </w:rPr>
            </w:pPr>
            <w:r>
              <w:rPr>
                <w:b/>
                <w:sz w:val="20"/>
              </w:rPr>
              <w:t>ii) For consumers who consume 251 units and above per month (or) 501</w:t>
            </w:r>
          </w:p>
          <w:p w:rsidR="007C5447" w:rsidRDefault="00F6308C">
            <w:pPr>
              <w:pStyle w:val="TableParagraph"/>
              <w:spacing w:before="70"/>
              <w:ind w:left="108"/>
              <w:jc w:val="left"/>
              <w:rPr>
                <w:b/>
                <w:sz w:val="20"/>
              </w:rPr>
            </w:pPr>
            <w:r>
              <w:rPr>
                <w:b/>
                <w:sz w:val="20"/>
              </w:rPr>
              <w:t>units and above for two months</w:t>
            </w:r>
          </w:p>
        </w:tc>
      </w:tr>
      <w:tr w:rsidR="007C5447">
        <w:trPr>
          <w:trHeight w:val="612"/>
        </w:trPr>
        <w:tc>
          <w:tcPr>
            <w:tcW w:w="1274" w:type="dxa"/>
            <w:vMerge/>
            <w:tcBorders>
              <w:top w:val="nil"/>
            </w:tcBorders>
          </w:tcPr>
          <w:p w:rsidR="007C5447" w:rsidRDefault="007C5447">
            <w:pPr>
              <w:rPr>
                <w:sz w:val="2"/>
                <w:szCs w:val="2"/>
              </w:rPr>
            </w:pPr>
          </w:p>
        </w:tc>
        <w:tc>
          <w:tcPr>
            <w:tcW w:w="2551" w:type="dxa"/>
          </w:tcPr>
          <w:p w:rsidR="007C5447" w:rsidRDefault="00F6308C">
            <w:pPr>
              <w:pStyle w:val="TableParagraph"/>
              <w:ind w:left="108"/>
              <w:jc w:val="left"/>
              <w:rPr>
                <w:sz w:val="20"/>
              </w:rPr>
            </w:pPr>
            <w:r>
              <w:rPr>
                <w:sz w:val="20"/>
              </w:rPr>
              <w:t>0 to 250 units per month or 0</w:t>
            </w:r>
          </w:p>
          <w:p w:rsidR="007C5447" w:rsidRDefault="00F6308C">
            <w:pPr>
              <w:pStyle w:val="TableParagraph"/>
              <w:spacing w:before="70"/>
              <w:ind w:left="108"/>
              <w:jc w:val="left"/>
              <w:rPr>
                <w:sz w:val="20"/>
              </w:rPr>
            </w:pPr>
            <w:r>
              <w:rPr>
                <w:sz w:val="20"/>
              </w:rPr>
              <w:t>to 500 units bimonthly</w:t>
            </w:r>
          </w:p>
        </w:tc>
        <w:tc>
          <w:tcPr>
            <w:tcW w:w="2268" w:type="dxa"/>
            <w:vMerge w:val="restart"/>
          </w:tcPr>
          <w:p w:rsidR="007C5447" w:rsidRDefault="00F6308C">
            <w:pPr>
              <w:pStyle w:val="TableParagraph"/>
              <w:ind w:left="125" w:right="110"/>
              <w:jc w:val="center"/>
              <w:rPr>
                <w:sz w:val="20"/>
              </w:rPr>
            </w:pPr>
            <w:r>
              <w:rPr>
                <w:sz w:val="20"/>
              </w:rPr>
              <w:t>60</w:t>
            </w:r>
          </w:p>
        </w:tc>
        <w:tc>
          <w:tcPr>
            <w:tcW w:w="1843" w:type="dxa"/>
          </w:tcPr>
          <w:p w:rsidR="007C5447" w:rsidRDefault="00F6308C">
            <w:pPr>
              <w:pStyle w:val="TableParagraph"/>
              <w:ind w:left="772"/>
              <w:jc w:val="left"/>
              <w:rPr>
                <w:sz w:val="20"/>
              </w:rPr>
            </w:pPr>
            <w:r>
              <w:rPr>
                <w:sz w:val="20"/>
              </w:rPr>
              <w:t>520</w:t>
            </w:r>
          </w:p>
        </w:tc>
      </w:tr>
      <w:tr w:rsidR="007C5447">
        <w:trPr>
          <w:trHeight w:val="897"/>
        </w:trPr>
        <w:tc>
          <w:tcPr>
            <w:tcW w:w="1274" w:type="dxa"/>
            <w:vMerge/>
            <w:tcBorders>
              <w:top w:val="nil"/>
            </w:tcBorders>
          </w:tcPr>
          <w:p w:rsidR="007C5447" w:rsidRDefault="007C5447">
            <w:pPr>
              <w:rPr>
                <w:sz w:val="2"/>
                <w:szCs w:val="2"/>
              </w:rPr>
            </w:pPr>
          </w:p>
        </w:tc>
        <w:tc>
          <w:tcPr>
            <w:tcW w:w="2551" w:type="dxa"/>
          </w:tcPr>
          <w:p w:rsidR="007C5447" w:rsidRDefault="00F6308C">
            <w:pPr>
              <w:pStyle w:val="TableParagraph"/>
              <w:spacing w:before="2" w:line="309" w:lineRule="auto"/>
              <w:ind w:left="108" w:right="167"/>
              <w:jc w:val="left"/>
              <w:rPr>
                <w:sz w:val="20"/>
              </w:rPr>
            </w:pPr>
            <w:r>
              <w:rPr>
                <w:sz w:val="20"/>
              </w:rPr>
              <w:t xml:space="preserve">251 to 500 units per </w:t>
            </w:r>
            <w:r>
              <w:rPr>
                <w:spacing w:val="-4"/>
                <w:sz w:val="20"/>
              </w:rPr>
              <w:t xml:space="preserve">month </w:t>
            </w:r>
            <w:r>
              <w:rPr>
                <w:sz w:val="20"/>
              </w:rPr>
              <w:t>or</w:t>
            </w:r>
          </w:p>
          <w:p w:rsidR="007C5447" w:rsidRDefault="00F6308C">
            <w:pPr>
              <w:pStyle w:val="TableParagraph"/>
              <w:spacing w:before="5"/>
              <w:ind w:left="108"/>
              <w:jc w:val="left"/>
              <w:rPr>
                <w:sz w:val="20"/>
              </w:rPr>
            </w:pPr>
            <w:r>
              <w:rPr>
                <w:sz w:val="20"/>
              </w:rPr>
              <w:t>501 to 1000 units bimonthly</w:t>
            </w:r>
          </w:p>
        </w:tc>
        <w:tc>
          <w:tcPr>
            <w:tcW w:w="2268" w:type="dxa"/>
            <w:vMerge/>
            <w:tcBorders>
              <w:top w:val="nil"/>
            </w:tcBorders>
          </w:tcPr>
          <w:p w:rsidR="007C5447" w:rsidRDefault="007C5447">
            <w:pPr>
              <w:rPr>
                <w:sz w:val="2"/>
                <w:szCs w:val="2"/>
              </w:rPr>
            </w:pPr>
          </w:p>
        </w:tc>
        <w:tc>
          <w:tcPr>
            <w:tcW w:w="1843" w:type="dxa"/>
          </w:tcPr>
          <w:p w:rsidR="007C5447" w:rsidRDefault="00F6308C">
            <w:pPr>
              <w:pStyle w:val="TableParagraph"/>
              <w:spacing w:before="2"/>
              <w:ind w:left="772"/>
              <w:jc w:val="left"/>
              <w:rPr>
                <w:sz w:val="20"/>
              </w:rPr>
            </w:pPr>
            <w:r>
              <w:rPr>
                <w:sz w:val="20"/>
              </w:rPr>
              <w:t>575</w:t>
            </w:r>
          </w:p>
        </w:tc>
      </w:tr>
      <w:tr w:rsidR="007C5447">
        <w:trPr>
          <w:trHeight w:val="897"/>
        </w:trPr>
        <w:tc>
          <w:tcPr>
            <w:tcW w:w="1274" w:type="dxa"/>
            <w:vMerge/>
            <w:tcBorders>
              <w:top w:val="nil"/>
            </w:tcBorders>
          </w:tcPr>
          <w:p w:rsidR="007C5447" w:rsidRDefault="007C5447">
            <w:pPr>
              <w:rPr>
                <w:sz w:val="2"/>
                <w:szCs w:val="2"/>
              </w:rPr>
            </w:pPr>
          </w:p>
        </w:tc>
        <w:tc>
          <w:tcPr>
            <w:tcW w:w="2551" w:type="dxa"/>
          </w:tcPr>
          <w:p w:rsidR="007C5447" w:rsidRDefault="00F6308C">
            <w:pPr>
              <w:pStyle w:val="TableParagraph"/>
              <w:spacing w:before="2"/>
              <w:ind w:left="108"/>
              <w:jc w:val="left"/>
              <w:rPr>
                <w:sz w:val="20"/>
              </w:rPr>
            </w:pPr>
            <w:r>
              <w:rPr>
                <w:sz w:val="20"/>
              </w:rPr>
              <w:t>501 to 750 units per month</w:t>
            </w:r>
          </w:p>
          <w:p w:rsidR="007C5447" w:rsidRDefault="00F6308C">
            <w:pPr>
              <w:pStyle w:val="TableParagraph"/>
              <w:tabs>
                <w:tab w:val="left" w:pos="482"/>
                <w:tab w:val="left" w:pos="1088"/>
                <w:tab w:val="left" w:pos="1448"/>
                <w:tab w:val="left" w:pos="2054"/>
              </w:tabs>
              <w:spacing w:before="15" w:line="300" w:lineRule="exact"/>
              <w:ind w:left="108" w:right="99"/>
              <w:jc w:val="left"/>
              <w:rPr>
                <w:sz w:val="20"/>
              </w:rPr>
            </w:pPr>
            <w:r>
              <w:rPr>
                <w:sz w:val="20"/>
              </w:rPr>
              <w:t>or</w:t>
            </w:r>
            <w:r>
              <w:rPr>
                <w:sz w:val="20"/>
              </w:rPr>
              <w:tab/>
              <w:t>1001</w:t>
            </w:r>
            <w:r>
              <w:rPr>
                <w:sz w:val="20"/>
              </w:rPr>
              <w:tab/>
              <w:t>to</w:t>
            </w:r>
            <w:r>
              <w:rPr>
                <w:sz w:val="20"/>
              </w:rPr>
              <w:tab/>
              <w:t>1500</w:t>
            </w:r>
            <w:r>
              <w:rPr>
                <w:sz w:val="20"/>
              </w:rPr>
              <w:tab/>
            </w:r>
            <w:r>
              <w:rPr>
                <w:spacing w:val="-5"/>
                <w:sz w:val="20"/>
              </w:rPr>
              <w:t xml:space="preserve">units </w:t>
            </w:r>
            <w:r>
              <w:rPr>
                <w:sz w:val="20"/>
              </w:rPr>
              <w:t>bimonthly</w:t>
            </w:r>
          </w:p>
        </w:tc>
        <w:tc>
          <w:tcPr>
            <w:tcW w:w="2268" w:type="dxa"/>
            <w:vMerge/>
            <w:tcBorders>
              <w:top w:val="nil"/>
            </w:tcBorders>
          </w:tcPr>
          <w:p w:rsidR="007C5447" w:rsidRDefault="007C5447">
            <w:pPr>
              <w:rPr>
                <w:sz w:val="2"/>
                <w:szCs w:val="2"/>
              </w:rPr>
            </w:pPr>
          </w:p>
        </w:tc>
        <w:tc>
          <w:tcPr>
            <w:tcW w:w="1843" w:type="dxa"/>
          </w:tcPr>
          <w:p w:rsidR="007C5447" w:rsidRDefault="00F6308C">
            <w:pPr>
              <w:pStyle w:val="TableParagraph"/>
              <w:spacing w:before="2"/>
              <w:ind w:left="772"/>
              <w:jc w:val="left"/>
              <w:rPr>
                <w:sz w:val="20"/>
              </w:rPr>
            </w:pPr>
            <w:r>
              <w:rPr>
                <w:sz w:val="20"/>
              </w:rPr>
              <w:t>575</w:t>
            </w:r>
          </w:p>
        </w:tc>
      </w:tr>
      <w:tr w:rsidR="007C5447">
        <w:trPr>
          <w:trHeight w:val="897"/>
        </w:trPr>
        <w:tc>
          <w:tcPr>
            <w:tcW w:w="1274" w:type="dxa"/>
            <w:vMerge/>
            <w:tcBorders>
              <w:top w:val="nil"/>
            </w:tcBorders>
          </w:tcPr>
          <w:p w:rsidR="007C5447" w:rsidRDefault="007C5447">
            <w:pPr>
              <w:rPr>
                <w:sz w:val="2"/>
                <w:szCs w:val="2"/>
              </w:rPr>
            </w:pPr>
          </w:p>
        </w:tc>
        <w:tc>
          <w:tcPr>
            <w:tcW w:w="2551" w:type="dxa"/>
          </w:tcPr>
          <w:p w:rsidR="007C5447" w:rsidRDefault="00F6308C">
            <w:pPr>
              <w:pStyle w:val="TableParagraph"/>
              <w:tabs>
                <w:tab w:val="left" w:pos="1553"/>
              </w:tabs>
              <w:spacing w:line="312" w:lineRule="auto"/>
              <w:ind w:left="108" w:right="97"/>
              <w:jc w:val="left"/>
              <w:rPr>
                <w:sz w:val="20"/>
              </w:rPr>
            </w:pPr>
            <w:r>
              <w:rPr>
                <w:sz w:val="20"/>
              </w:rPr>
              <w:t xml:space="preserve">From 751 units and </w:t>
            </w:r>
            <w:r>
              <w:rPr>
                <w:spacing w:val="-3"/>
                <w:sz w:val="20"/>
              </w:rPr>
              <w:t xml:space="preserve">above </w:t>
            </w:r>
            <w:r>
              <w:rPr>
                <w:sz w:val="20"/>
              </w:rPr>
              <w:t xml:space="preserve">per </w:t>
            </w:r>
            <w:r>
              <w:rPr>
                <w:spacing w:val="2"/>
                <w:sz w:val="20"/>
              </w:rPr>
              <w:t xml:space="preserve"> </w:t>
            </w:r>
            <w:r>
              <w:rPr>
                <w:sz w:val="20"/>
              </w:rPr>
              <w:t>month</w:t>
            </w:r>
            <w:r>
              <w:rPr>
                <w:spacing w:val="49"/>
                <w:sz w:val="20"/>
              </w:rPr>
              <w:t xml:space="preserve"> </w:t>
            </w:r>
            <w:r>
              <w:rPr>
                <w:sz w:val="20"/>
              </w:rPr>
              <w:t>or</w:t>
            </w:r>
            <w:r>
              <w:rPr>
                <w:sz w:val="20"/>
              </w:rPr>
              <w:tab/>
              <w:t>1501</w:t>
            </w:r>
            <w:r>
              <w:rPr>
                <w:spacing w:val="2"/>
                <w:sz w:val="20"/>
              </w:rPr>
              <w:t xml:space="preserve"> </w:t>
            </w:r>
            <w:r>
              <w:rPr>
                <w:spacing w:val="-4"/>
                <w:sz w:val="20"/>
              </w:rPr>
              <w:t>units</w:t>
            </w:r>
          </w:p>
          <w:p w:rsidR="007C5447" w:rsidRDefault="00F6308C">
            <w:pPr>
              <w:pStyle w:val="TableParagraph"/>
              <w:spacing w:before="2"/>
              <w:ind w:left="108"/>
              <w:jc w:val="left"/>
              <w:rPr>
                <w:sz w:val="20"/>
              </w:rPr>
            </w:pPr>
            <w:r>
              <w:rPr>
                <w:sz w:val="20"/>
              </w:rPr>
              <w:t>and above bimonthly</w:t>
            </w:r>
          </w:p>
        </w:tc>
        <w:tc>
          <w:tcPr>
            <w:tcW w:w="2268" w:type="dxa"/>
            <w:vMerge/>
            <w:tcBorders>
              <w:top w:val="nil"/>
            </w:tcBorders>
          </w:tcPr>
          <w:p w:rsidR="007C5447" w:rsidRDefault="007C5447">
            <w:pPr>
              <w:rPr>
                <w:sz w:val="2"/>
                <w:szCs w:val="2"/>
              </w:rPr>
            </w:pPr>
          </w:p>
        </w:tc>
        <w:tc>
          <w:tcPr>
            <w:tcW w:w="1843" w:type="dxa"/>
          </w:tcPr>
          <w:p w:rsidR="007C5447" w:rsidRDefault="00F6308C">
            <w:pPr>
              <w:pStyle w:val="TableParagraph"/>
              <w:ind w:left="772"/>
              <w:jc w:val="left"/>
              <w:rPr>
                <w:sz w:val="20"/>
              </w:rPr>
            </w:pPr>
            <w:r>
              <w:rPr>
                <w:sz w:val="20"/>
              </w:rPr>
              <w:t>575</w:t>
            </w:r>
          </w:p>
        </w:tc>
      </w:tr>
    </w:tbl>
    <w:p w:rsidR="007C5447" w:rsidRDefault="00F6308C">
      <w:pPr>
        <w:ind w:left="1844"/>
        <w:rPr>
          <w:sz w:val="18"/>
        </w:rPr>
      </w:pPr>
      <w:r>
        <w:rPr>
          <w:sz w:val="18"/>
        </w:rPr>
        <w:t>*Category to be subsidised by the</w:t>
      </w:r>
      <w:r>
        <w:rPr>
          <w:spacing w:val="-16"/>
          <w:sz w:val="18"/>
        </w:rPr>
        <w:t xml:space="preserve"> </w:t>
      </w:r>
      <w:r>
        <w:rPr>
          <w:sz w:val="18"/>
        </w:rPr>
        <w:t>Government</w:t>
      </w: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spacing w:before="1"/>
        <w:rPr>
          <w:sz w:val="17"/>
        </w:rPr>
      </w:pPr>
    </w:p>
    <w:p w:rsidR="007C5447" w:rsidRDefault="00F6308C">
      <w:pPr>
        <w:pStyle w:val="ListParagraph"/>
        <w:numPr>
          <w:ilvl w:val="3"/>
          <w:numId w:val="14"/>
        </w:numPr>
        <w:tabs>
          <w:tab w:val="left" w:pos="1226"/>
        </w:tabs>
        <w:ind w:hanging="966"/>
        <w:rPr>
          <w:sz w:val="24"/>
        </w:rPr>
      </w:pPr>
      <w:r>
        <w:rPr>
          <w:sz w:val="24"/>
        </w:rPr>
        <w:t>The contracted load shall not exceed 12 kW under this</w:t>
      </w:r>
      <w:r>
        <w:rPr>
          <w:spacing w:val="-1"/>
          <w:sz w:val="24"/>
        </w:rPr>
        <w:t xml:space="preserve"> </w:t>
      </w:r>
      <w:r>
        <w:rPr>
          <w:sz w:val="24"/>
        </w:rPr>
        <w:t>category.</w:t>
      </w:r>
    </w:p>
    <w:p w:rsidR="007C5447" w:rsidRDefault="007C5447">
      <w:pPr>
        <w:pStyle w:val="BodyText"/>
        <w:spacing w:before="2"/>
        <w:rPr>
          <w:sz w:val="28"/>
        </w:rPr>
      </w:pPr>
    </w:p>
    <w:p w:rsidR="007C5447" w:rsidRDefault="00F6308C">
      <w:pPr>
        <w:pStyle w:val="ListParagraph"/>
        <w:numPr>
          <w:ilvl w:val="3"/>
          <w:numId w:val="14"/>
        </w:numPr>
        <w:tabs>
          <w:tab w:val="left" w:pos="1226"/>
        </w:tabs>
        <w:spacing w:line="312" w:lineRule="auto"/>
        <w:ind w:right="882"/>
        <w:jc w:val="both"/>
        <w:rPr>
          <w:sz w:val="24"/>
        </w:rPr>
      </w:pPr>
      <w:r>
        <w:rPr>
          <w:sz w:val="24"/>
        </w:rPr>
        <w:t>The tariff is applicable to Power looms, Braided Cords Manufacturing and related ancillary tiny industries engaged in warping, twisting, and</w:t>
      </w:r>
      <w:r>
        <w:rPr>
          <w:spacing w:val="-6"/>
          <w:sz w:val="24"/>
        </w:rPr>
        <w:t xml:space="preserve"> </w:t>
      </w:r>
      <w:r>
        <w:rPr>
          <w:sz w:val="24"/>
        </w:rPr>
        <w:t>winding.</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Heading2"/>
        <w:numPr>
          <w:ilvl w:val="2"/>
          <w:numId w:val="22"/>
        </w:numPr>
        <w:tabs>
          <w:tab w:val="left" w:pos="1112"/>
          <w:tab w:val="left" w:pos="1113"/>
        </w:tabs>
        <w:spacing w:before="60"/>
        <w:ind w:hanging="853"/>
      </w:pPr>
      <w:r>
        <w:lastRenderedPageBreak/>
        <w:t>Low Tension Tariff</w:t>
      </w:r>
      <w:r>
        <w:rPr>
          <w:spacing w:val="1"/>
        </w:rPr>
        <w:t xml:space="preserve"> </w:t>
      </w:r>
      <w:r>
        <w:t>III-</w:t>
      </w:r>
      <w:r>
        <w:t>B:</w:t>
      </w:r>
    </w:p>
    <w:p w:rsidR="007C5447" w:rsidRDefault="007C5447">
      <w:pPr>
        <w:pStyle w:val="BodyText"/>
        <w:spacing w:before="1"/>
        <w:rPr>
          <w:b/>
          <w:sz w:val="28"/>
        </w:rPr>
      </w:pPr>
    </w:p>
    <w:tbl>
      <w:tblPr>
        <w:tblW w:w="0" w:type="auto"/>
        <w:tblInd w:w="1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24"/>
        <w:gridCol w:w="2127"/>
        <w:gridCol w:w="1986"/>
      </w:tblGrid>
      <w:tr w:rsidR="007C5447">
        <w:trPr>
          <w:trHeight w:val="457"/>
        </w:trPr>
        <w:tc>
          <w:tcPr>
            <w:tcW w:w="3524" w:type="dxa"/>
            <w:vMerge w:val="restart"/>
            <w:shd w:val="clear" w:color="auto" w:fill="F7C9AC"/>
          </w:tcPr>
          <w:p w:rsidR="007C5447" w:rsidRDefault="007C5447">
            <w:pPr>
              <w:pStyle w:val="TableParagraph"/>
              <w:jc w:val="left"/>
              <w:rPr>
                <w:b/>
              </w:rPr>
            </w:pPr>
          </w:p>
          <w:p w:rsidR="007C5447" w:rsidRDefault="00F6308C">
            <w:pPr>
              <w:pStyle w:val="TableParagraph"/>
              <w:spacing w:before="189"/>
              <w:ind w:left="107"/>
              <w:jc w:val="left"/>
              <w:rPr>
                <w:b/>
                <w:sz w:val="20"/>
              </w:rPr>
            </w:pPr>
            <w:r>
              <w:rPr>
                <w:b/>
                <w:sz w:val="20"/>
              </w:rPr>
              <w:t>Tariff</w:t>
            </w:r>
          </w:p>
        </w:tc>
        <w:tc>
          <w:tcPr>
            <w:tcW w:w="4113" w:type="dxa"/>
            <w:gridSpan w:val="2"/>
            <w:shd w:val="clear" w:color="auto" w:fill="F7C9AC"/>
          </w:tcPr>
          <w:p w:rsidR="007C5447" w:rsidRDefault="00F6308C">
            <w:pPr>
              <w:pStyle w:val="TableParagraph"/>
              <w:spacing w:before="82"/>
              <w:ind w:left="107"/>
              <w:jc w:val="left"/>
              <w:rPr>
                <w:b/>
                <w:sz w:val="20"/>
              </w:rPr>
            </w:pPr>
            <w:r>
              <w:rPr>
                <w:b/>
                <w:sz w:val="20"/>
              </w:rPr>
              <w:t>Commission Determined Tariff</w:t>
            </w:r>
          </w:p>
        </w:tc>
      </w:tr>
      <w:tr w:rsidR="007C5447">
        <w:trPr>
          <w:trHeight w:val="710"/>
        </w:trPr>
        <w:tc>
          <w:tcPr>
            <w:tcW w:w="3524" w:type="dxa"/>
            <w:vMerge/>
            <w:tcBorders>
              <w:top w:val="nil"/>
            </w:tcBorders>
            <w:shd w:val="clear" w:color="auto" w:fill="F7C9AC"/>
          </w:tcPr>
          <w:p w:rsidR="007C5447" w:rsidRDefault="007C5447">
            <w:pPr>
              <w:rPr>
                <w:sz w:val="2"/>
                <w:szCs w:val="2"/>
              </w:rPr>
            </w:pPr>
          </w:p>
        </w:tc>
        <w:tc>
          <w:tcPr>
            <w:tcW w:w="2127" w:type="dxa"/>
            <w:shd w:val="clear" w:color="auto" w:fill="F7C9AC"/>
          </w:tcPr>
          <w:p w:rsidR="007C5447" w:rsidRDefault="00F6308C">
            <w:pPr>
              <w:pStyle w:val="TableParagraph"/>
              <w:spacing w:before="58" w:line="312" w:lineRule="auto"/>
              <w:ind w:left="107" w:right="134"/>
              <w:jc w:val="left"/>
              <w:rPr>
                <w:b/>
                <w:sz w:val="20"/>
              </w:rPr>
            </w:pPr>
            <w:r>
              <w:rPr>
                <w:b/>
                <w:sz w:val="20"/>
              </w:rPr>
              <w:t>Fixed charges (Rupees/kW / Month)</w:t>
            </w:r>
          </w:p>
        </w:tc>
        <w:tc>
          <w:tcPr>
            <w:tcW w:w="1986" w:type="dxa"/>
            <w:shd w:val="clear" w:color="auto" w:fill="F7C9AC"/>
          </w:tcPr>
          <w:p w:rsidR="007C5447" w:rsidRDefault="00F6308C">
            <w:pPr>
              <w:pStyle w:val="TableParagraph"/>
              <w:spacing w:before="58" w:line="312" w:lineRule="auto"/>
              <w:ind w:left="107" w:right="304"/>
              <w:jc w:val="left"/>
              <w:rPr>
                <w:b/>
                <w:sz w:val="20"/>
              </w:rPr>
            </w:pPr>
            <w:r>
              <w:rPr>
                <w:b/>
                <w:sz w:val="20"/>
              </w:rPr>
              <w:t>Energy charges in paise / kWh</w:t>
            </w:r>
          </w:p>
        </w:tc>
      </w:tr>
      <w:tr w:rsidR="007C5447">
        <w:trPr>
          <w:trHeight w:val="587"/>
        </w:trPr>
        <w:tc>
          <w:tcPr>
            <w:tcW w:w="3524" w:type="dxa"/>
          </w:tcPr>
          <w:p w:rsidR="007C5447" w:rsidRDefault="007C5447">
            <w:pPr>
              <w:pStyle w:val="TableParagraph"/>
              <w:spacing w:before="1"/>
              <w:jc w:val="left"/>
              <w:rPr>
                <w:b/>
                <w:sz w:val="21"/>
              </w:rPr>
            </w:pPr>
          </w:p>
          <w:p w:rsidR="007C5447" w:rsidRDefault="00F6308C">
            <w:pPr>
              <w:pStyle w:val="TableParagraph"/>
              <w:ind w:left="107"/>
              <w:jc w:val="left"/>
              <w:rPr>
                <w:sz w:val="20"/>
              </w:rPr>
            </w:pPr>
            <w:r>
              <w:rPr>
                <w:sz w:val="20"/>
              </w:rPr>
              <w:t>Low Tension Tariff III-B</w:t>
            </w:r>
          </w:p>
        </w:tc>
        <w:tc>
          <w:tcPr>
            <w:tcW w:w="2127" w:type="dxa"/>
          </w:tcPr>
          <w:p w:rsidR="007C5447" w:rsidRDefault="007C5447">
            <w:pPr>
              <w:pStyle w:val="TableParagraph"/>
              <w:spacing w:before="1"/>
              <w:jc w:val="left"/>
              <w:rPr>
                <w:b/>
                <w:sz w:val="21"/>
              </w:rPr>
            </w:pPr>
          </w:p>
          <w:p w:rsidR="007C5447" w:rsidRDefault="00F6308C">
            <w:pPr>
              <w:pStyle w:val="TableParagraph"/>
              <w:ind w:left="177" w:right="168"/>
              <w:jc w:val="center"/>
              <w:rPr>
                <w:sz w:val="20"/>
              </w:rPr>
            </w:pPr>
            <w:r>
              <w:rPr>
                <w:sz w:val="20"/>
              </w:rPr>
              <w:t>35</w:t>
            </w:r>
          </w:p>
        </w:tc>
        <w:tc>
          <w:tcPr>
            <w:tcW w:w="1986" w:type="dxa"/>
          </w:tcPr>
          <w:p w:rsidR="007C5447" w:rsidRDefault="007C5447">
            <w:pPr>
              <w:pStyle w:val="TableParagraph"/>
              <w:spacing w:before="1"/>
              <w:jc w:val="left"/>
              <w:rPr>
                <w:b/>
                <w:sz w:val="21"/>
              </w:rPr>
            </w:pPr>
          </w:p>
          <w:p w:rsidR="007C5447" w:rsidRDefault="00F6308C">
            <w:pPr>
              <w:pStyle w:val="TableParagraph"/>
              <w:ind w:left="665" w:right="654"/>
              <w:jc w:val="center"/>
              <w:rPr>
                <w:sz w:val="20"/>
              </w:rPr>
            </w:pPr>
            <w:r>
              <w:rPr>
                <w:sz w:val="20"/>
              </w:rPr>
              <w:t>635</w:t>
            </w:r>
          </w:p>
        </w:tc>
      </w:tr>
    </w:tbl>
    <w:p w:rsidR="007C5447" w:rsidRDefault="007C5447">
      <w:pPr>
        <w:pStyle w:val="BodyText"/>
        <w:spacing w:before="9"/>
        <w:rPr>
          <w:b/>
          <w:sz w:val="20"/>
        </w:rPr>
      </w:pPr>
    </w:p>
    <w:p w:rsidR="007C5447" w:rsidRDefault="00F6308C">
      <w:pPr>
        <w:pStyle w:val="ListParagraph"/>
        <w:numPr>
          <w:ilvl w:val="3"/>
          <w:numId w:val="13"/>
        </w:numPr>
        <w:tabs>
          <w:tab w:val="left" w:pos="1226"/>
        </w:tabs>
        <w:spacing w:line="312" w:lineRule="auto"/>
        <w:ind w:right="882"/>
        <w:jc w:val="both"/>
        <w:rPr>
          <w:sz w:val="24"/>
        </w:rPr>
      </w:pPr>
      <w:r>
        <w:rPr>
          <w:sz w:val="24"/>
        </w:rPr>
        <w:t>This tariff is applicable to all industries not covered under LT Tariff III A (1) and III-A (2). All industries covered under LT III A(1) and III A(2) shall also falls under this tariff category, if the connected load of such services exceed 12</w:t>
      </w:r>
      <w:r>
        <w:rPr>
          <w:spacing w:val="-4"/>
          <w:sz w:val="24"/>
        </w:rPr>
        <w:t xml:space="preserve"> </w:t>
      </w:r>
      <w:r>
        <w:rPr>
          <w:sz w:val="24"/>
        </w:rPr>
        <w:t>kW.</w:t>
      </w:r>
    </w:p>
    <w:p w:rsidR="007C5447" w:rsidRDefault="007C5447">
      <w:pPr>
        <w:pStyle w:val="BodyText"/>
        <w:spacing w:before="9"/>
        <w:rPr>
          <w:sz w:val="20"/>
        </w:rPr>
      </w:pPr>
    </w:p>
    <w:p w:rsidR="007C5447" w:rsidRDefault="00F6308C">
      <w:pPr>
        <w:pStyle w:val="ListParagraph"/>
        <w:numPr>
          <w:ilvl w:val="3"/>
          <w:numId w:val="13"/>
        </w:numPr>
        <w:tabs>
          <w:tab w:val="left" w:pos="1226"/>
        </w:tabs>
        <w:spacing w:line="312" w:lineRule="auto"/>
        <w:ind w:right="882"/>
        <w:jc w:val="both"/>
        <w:rPr>
          <w:sz w:val="24"/>
        </w:rPr>
      </w:pPr>
      <w:r>
        <w:rPr>
          <w:sz w:val="24"/>
        </w:rPr>
        <w:t>This tariff is applicable to Information Technology services as defined in the ICT Policy 2008 of Government of Tamil Nadu and amended from time to time. The definition is reproduced</w:t>
      </w:r>
      <w:r>
        <w:rPr>
          <w:spacing w:val="1"/>
          <w:sz w:val="24"/>
        </w:rPr>
        <w:t xml:space="preserve"> </w:t>
      </w:r>
      <w:r>
        <w:rPr>
          <w:sz w:val="24"/>
        </w:rPr>
        <w:t>below:</w:t>
      </w:r>
    </w:p>
    <w:p w:rsidR="007C5447" w:rsidRDefault="007C5447">
      <w:pPr>
        <w:pStyle w:val="BodyText"/>
        <w:spacing w:before="9"/>
        <w:rPr>
          <w:sz w:val="20"/>
        </w:rPr>
      </w:pPr>
    </w:p>
    <w:p w:rsidR="007C5447" w:rsidRDefault="00F6308C">
      <w:pPr>
        <w:spacing w:line="312" w:lineRule="auto"/>
        <w:ind w:left="1844" w:right="880"/>
        <w:jc w:val="both"/>
        <w:rPr>
          <w:i/>
          <w:sz w:val="24"/>
        </w:rPr>
      </w:pPr>
      <w:r>
        <w:rPr>
          <w:i/>
          <w:sz w:val="24"/>
        </w:rPr>
        <w:t>“IT services are broadly defined as systems integration, processi</w:t>
      </w:r>
      <w:r>
        <w:rPr>
          <w:i/>
          <w:sz w:val="24"/>
        </w:rPr>
        <w:t>ng services, information services outsourcing, packaged software support and installation, hardware support and</w:t>
      </w:r>
      <w:r>
        <w:rPr>
          <w:i/>
          <w:spacing w:val="-2"/>
          <w:sz w:val="24"/>
        </w:rPr>
        <w:t xml:space="preserve"> </w:t>
      </w:r>
      <w:r>
        <w:rPr>
          <w:i/>
          <w:sz w:val="24"/>
        </w:rPr>
        <w:t>installation.”</w:t>
      </w:r>
    </w:p>
    <w:p w:rsidR="007C5447" w:rsidRDefault="007C5447">
      <w:pPr>
        <w:pStyle w:val="BodyText"/>
        <w:rPr>
          <w:i/>
          <w:sz w:val="21"/>
        </w:rPr>
      </w:pPr>
    </w:p>
    <w:p w:rsidR="007C5447" w:rsidRDefault="00F6308C">
      <w:pPr>
        <w:pStyle w:val="BodyText"/>
        <w:ind w:left="1225"/>
      </w:pPr>
      <w:r>
        <w:t>Information Technology Services includes:</w:t>
      </w:r>
    </w:p>
    <w:p w:rsidR="007C5447" w:rsidRDefault="007C5447">
      <w:pPr>
        <w:pStyle w:val="BodyText"/>
        <w:rPr>
          <w:sz w:val="28"/>
        </w:rPr>
      </w:pPr>
    </w:p>
    <w:p w:rsidR="007C5447" w:rsidRDefault="00F6308C">
      <w:pPr>
        <w:pStyle w:val="Heading2"/>
        <w:numPr>
          <w:ilvl w:val="4"/>
          <w:numId w:val="13"/>
        </w:numPr>
        <w:tabs>
          <w:tab w:val="left" w:pos="1701"/>
        </w:tabs>
      </w:pPr>
      <w:r>
        <w:t>Systems integration includes</w:t>
      </w:r>
      <w:r>
        <w:rPr>
          <w:spacing w:val="-1"/>
        </w:rPr>
        <w:t xml:space="preserve"> </w:t>
      </w:r>
      <w:r>
        <w:t>:</w:t>
      </w:r>
    </w:p>
    <w:p w:rsidR="007C5447" w:rsidRDefault="007C5447">
      <w:pPr>
        <w:pStyle w:val="BodyText"/>
        <w:spacing w:before="2"/>
        <w:rPr>
          <w:b/>
          <w:sz w:val="28"/>
        </w:rPr>
      </w:pPr>
    </w:p>
    <w:p w:rsidR="007C5447" w:rsidRDefault="00F6308C">
      <w:pPr>
        <w:pStyle w:val="ListParagraph"/>
        <w:numPr>
          <w:ilvl w:val="5"/>
          <w:numId w:val="13"/>
        </w:numPr>
        <w:tabs>
          <w:tab w:val="left" w:pos="2421"/>
        </w:tabs>
        <w:jc w:val="left"/>
        <w:rPr>
          <w:sz w:val="24"/>
        </w:rPr>
      </w:pPr>
      <w:r>
        <w:rPr>
          <w:sz w:val="24"/>
        </w:rPr>
        <w:t>Network Management</w:t>
      </w:r>
      <w:r>
        <w:rPr>
          <w:spacing w:val="-1"/>
          <w:sz w:val="24"/>
        </w:rPr>
        <w:t xml:space="preserve"> </w:t>
      </w:r>
      <w:r>
        <w:rPr>
          <w:sz w:val="24"/>
        </w:rPr>
        <w:t>Services</w:t>
      </w:r>
    </w:p>
    <w:p w:rsidR="007C5447" w:rsidRDefault="007C5447">
      <w:pPr>
        <w:pStyle w:val="BodyText"/>
        <w:rPr>
          <w:sz w:val="28"/>
        </w:rPr>
      </w:pPr>
    </w:p>
    <w:p w:rsidR="007C5447" w:rsidRDefault="00F6308C">
      <w:pPr>
        <w:pStyle w:val="ListParagraph"/>
        <w:numPr>
          <w:ilvl w:val="5"/>
          <w:numId w:val="13"/>
        </w:numPr>
        <w:tabs>
          <w:tab w:val="left" w:pos="2421"/>
        </w:tabs>
        <w:ind w:hanging="375"/>
        <w:jc w:val="left"/>
        <w:rPr>
          <w:sz w:val="24"/>
        </w:rPr>
      </w:pPr>
      <w:r>
        <w:rPr>
          <w:sz w:val="24"/>
        </w:rPr>
        <w:t>Applications</w:t>
      </w:r>
      <w:r>
        <w:rPr>
          <w:spacing w:val="1"/>
          <w:sz w:val="24"/>
        </w:rPr>
        <w:t xml:space="preserve"> </w:t>
      </w:r>
      <w:r>
        <w:rPr>
          <w:sz w:val="24"/>
        </w:rPr>
        <w:t>Integration</w:t>
      </w:r>
    </w:p>
    <w:p w:rsidR="007C5447" w:rsidRDefault="007C5447">
      <w:pPr>
        <w:pStyle w:val="BodyText"/>
        <w:spacing w:before="2"/>
        <w:rPr>
          <w:sz w:val="28"/>
        </w:rPr>
      </w:pPr>
    </w:p>
    <w:p w:rsidR="007C5447" w:rsidRDefault="00F6308C">
      <w:pPr>
        <w:pStyle w:val="Heading2"/>
        <w:numPr>
          <w:ilvl w:val="4"/>
          <w:numId w:val="13"/>
        </w:numPr>
        <w:tabs>
          <w:tab w:val="left" w:pos="1701"/>
        </w:tabs>
      </w:pPr>
      <w:r>
        <w:t>Processing services</w:t>
      </w:r>
      <w:r>
        <w:rPr>
          <w:spacing w:val="-1"/>
        </w:rPr>
        <w:t xml:space="preserve"> </w:t>
      </w:r>
      <w:r>
        <w:t>includes:</w:t>
      </w:r>
    </w:p>
    <w:p w:rsidR="007C5447" w:rsidRDefault="007C5447">
      <w:pPr>
        <w:pStyle w:val="BodyText"/>
        <w:spacing w:before="11"/>
        <w:rPr>
          <w:b/>
          <w:sz w:val="27"/>
        </w:rPr>
      </w:pPr>
    </w:p>
    <w:p w:rsidR="007C5447" w:rsidRDefault="00F6308C">
      <w:pPr>
        <w:pStyle w:val="ListParagraph"/>
        <w:numPr>
          <w:ilvl w:val="5"/>
          <w:numId w:val="13"/>
        </w:numPr>
        <w:tabs>
          <w:tab w:val="left" w:pos="2421"/>
        </w:tabs>
        <w:spacing w:line="312" w:lineRule="auto"/>
        <w:ind w:right="882"/>
        <w:jc w:val="left"/>
        <w:rPr>
          <w:sz w:val="24"/>
        </w:rPr>
      </w:pPr>
      <w:r>
        <w:rPr>
          <w:sz w:val="24"/>
        </w:rPr>
        <w:t>Outsourced Services in Banking, HR, finance, Technology and other areas</w:t>
      </w:r>
    </w:p>
    <w:p w:rsidR="007C5447" w:rsidRDefault="007C5447">
      <w:pPr>
        <w:pStyle w:val="BodyText"/>
        <w:spacing w:before="10"/>
        <w:rPr>
          <w:sz w:val="20"/>
        </w:rPr>
      </w:pPr>
    </w:p>
    <w:p w:rsidR="007C5447" w:rsidRDefault="00F6308C">
      <w:pPr>
        <w:pStyle w:val="ListParagraph"/>
        <w:numPr>
          <w:ilvl w:val="5"/>
          <w:numId w:val="13"/>
        </w:numPr>
        <w:tabs>
          <w:tab w:val="left" w:pos="2421"/>
        </w:tabs>
        <w:spacing w:line="314" w:lineRule="auto"/>
        <w:ind w:right="882" w:hanging="375"/>
        <w:jc w:val="left"/>
        <w:rPr>
          <w:sz w:val="24"/>
        </w:rPr>
      </w:pPr>
      <w:r>
        <w:rPr>
          <w:sz w:val="24"/>
        </w:rPr>
        <w:t>Outsourced Back office support or Business transformation and Process Consulting</w:t>
      </w:r>
      <w:r>
        <w:rPr>
          <w:spacing w:val="-4"/>
          <w:sz w:val="24"/>
        </w:rPr>
        <w:t xml:space="preserve"> </w:t>
      </w:r>
      <w:r>
        <w:rPr>
          <w:sz w:val="24"/>
        </w:rPr>
        <w:t>Services.</w:t>
      </w:r>
    </w:p>
    <w:p w:rsidR="007C5447" w:rsidRDefault="007C5447">
      <w:pPr>
        <w:pStyle w:val="BodyText"/>
        <w:spacing w:before="5"/>
        <w:rPr>
          <w:sz w:val="20"/>
        </w:rPr>
      </w:pPr>
    </w:p>
    <w:p w:rsidR="007C5447" w:rsidRDefault="00F6308C">
      <w:pPr>
        <w:pStyle w:val="Heading2"/>
        <w:numPr>
          <w:ilvl w:val="4"/>
          <w:numId w:val="13"/>
        </w:numPr>
        <w:tabs>
          <w:tab w:val="left" w:pos="1701"/>
        </w:tabs>
      </w:pPr>
      <w:r>
        <w:t>Information Services Outsourcing includes:</w:t>
      </w:r>
    </w:p>
    <w:p w:rsidR="007C5447" w:rsidRDefault="007C5447">
      <w:pPr>
        <w:pStyle w:val="BodyText"/>
        <w:spacing w:before="2"/>
        <w:rPr>
          <w:b/>
          <w:sz w:val="28"/>
        </w:rPr>
      </w:pPr>
    </w:p>
    <w:p w:rsidR="007C5447" w:rsidRDefault="00F6308C">
      <w:pPr>
        <w:pStyle w:val="ListParagraph"/>
        <w:numPr>
          <w:ilvl w:val="5"/>
          <w:numId w:val="13"/>
        </w:numPr>
        <w:tabs>
          <w:tab w:val="left" w:pos="2421"/>
        </w:tabs>
        <w:jc w:val="left"/>
        <w:rPr>
          <w:sz w:val="24"/>
        </w:rPr>
      </w:pPr>
      <w:r>
        <w:rPr>
          <w:sz w:val="24"/>
        </w:rPr>
        <w:t>Out</w:t>
      </w:r>
      <w:r>
        <w:rPr>
          <w:sz w:val="24"/>
        </w:rPr>
        <w:t>sourced Global Information Support</w:t>
      </w:r>
      <w:r>
        <w:rPr>
          <w:spacing w:val="4"/>
          <w:sz w:val="24"/>
        </w:rPr>
        <w:t xml:space="preserve"> </w:t>
      </w:r>
      <w:r>
        <w:rPr>
          <w:sz w:val="24"/>
        </w:rPr>
        <w:t>Services</w:t>
      </w:r>
    </w:p>
    <w:p w:rsidR="007C5447" w:rsidRDefault="007C5447">
      <w:pPr>
        <w:pStyle w:val="BodyText"/>
        <w:rPr>
          <w:sz w:val="28"/>
        </w:rPr>
      </w:pPr>
    </w:p>
    <w:p w:rsidR="007C5447" w:rsidRDefault="00F6308C">
      <w:pPr>
        <w:pStyle w:val="ListParagraph"/>
        <w:numPr>
          <w:ilvl w:val="5"/>
          <w:numId w:val="13"/>
        </w:numPr>
        <w:tabs>
          <w:tab w:val="left" w:pos="2421"/>
        </w:tabs>
        <w:ind w:hanging="375"/>
        <w:jc w:val="left"/>
        <w:rPr>
          <w:sz w:val="24"/>
        </w:rPr>
      </w:pPr>
      <w:r>
        <w:rPr>
          <w:sz w:val="24"/>
        </w:rPr>
        <w:t>Knowledge Process</w:t>
      </w:r>
      <w:r>
        <w:rPr>
          <w:spacing w:val="-2"/>
          <w:sz w:val="24"/>
        </w:rPr>
        <w:t xml:space="preserve"> </w:t>
      </w:r>
      <w:r>
        <w:rPr>
          <w:sz w:val="24"/>
        </w:rPr>
        <w:t>Outsourcing</w:t>
      </w:r>
    </w:p>
    <w:p w:rsidR="007C5447" w:rsidRDefault="007C5447">
      <w:pPr>
        <w:rPr>
          <w:sz w:val="24"/>
        </w:rPr>
        <w:sectPr w:rsidR="007C5447">
          <w:pgSz w:w="11910" w:h="16840"/>
          <w:pgMar w:top="1360" w:right="560" w:bottom="1240" w:left="1180" w:header="0" w:footer="1057" w:gutter="0"/>
          <w:cols w:space="720"/>
        </w:sectPr>
      </w:pPr>
    </w:p>
    <w:p w:rsidR="007C5447" w:rsidRDefault="00F6308C">
      <w:pPr>
        <w:pStyle w:val="ListParagraph"/>
        <w:numPr>
          <w:ilvl w:val="5"/>
          <w:numId w:val="13"/>
        </w:numPr>
        <w:tabs>
          <w:tab w:val="left" w:pos="2421"/>
        </w:tabs>
        <w:spacing w:before="60"/>
        <w:ind w:hanging="440"/>
        <w:jc w:val="left"/>
        <w:rPr>
          <w:sz w:val="24"/>
        </w:rPr>
      </w:pPr>
      <w:r>
        <w:rPr>
          <w:sz w:val="24"/>
        </w:rPr>
        <w:lastRenderedPageBreak/>
        <w:t>Outsourced Global Contact Centre</w:t>
      </w:r>
      <w:r>
        <w:rPr>
          <w:spacing w:val="-3"/>
          <w:sz w:val="24"/>
        </w:rPr>
        <w:t xml:space="preserve"> </w:t>
      </w:r>
      <w:r>
        <w:rPr>
          <w:sz w:val="24"/>
        </w:rPr>
        <w:t>Operations</w:t>
      </w:r>
    </w:p>
    <w:p w:rsidR="007C5447" w:rsidRDefault="007C5447">
      <w:pPr>
        <w:pStyle w:val="BodyText"/>
        <w:rPr>
          <w:sz w:val="28"/>
        </w:rPr>
      </w:pPr>
    </w:p>
    <w:p w:rsidR="007C5447" w:rsidRDefault="00F6308C">
      <w:pPr>
        <w:pStyle w:val="ListParagraph"/>
        <w:numPr>
          <w:ilvl w:val="5"/>
          <w:numId w:val="13"/>
        </w:numPr>
        <w:tabs>
          <w:tab w:val="left" w:pos="2421"/>
        </w:tabs>
        <w:ind w:hanging="428"/>
        <w:jc w:val="left"/>
        <w:rPr>
          <w:sz w:val="24"/>
        </w:rPr>
      </w:pPr>
      <w:r>
        <w:rPr>
          <w:sz w:val="24"/>
        </w:rPr>
        <w:t>Outsourced Process Consulting</w:t>
      </w:r>
      <w:r>
        <w:rPr>
          <w:spacing w:val="-4"/>
          <w:sz w:val="24"/>
        </w:rPr>
        <w:t xml:space="preserve"> </w:t>
      </w:r>
      <w:r>
        <w:rPr>
          <w:sz w:val="24"/>
        </w:rPr>
        <w:t>Services.</w:t>
      </w:r>
    </w:p>
    <w:p w:rsidR="007C5447" w:rsidRDefault="007C5447">
      <w:pPr>
        <w:pStyle w:val="BodyText"/>
        <w:spacing w:before="2"/>
        <w:rPr>
          <w:sz w:val="28"/>
        </w:rPr>
      </w:pPr>
    </w:p>
    <w:p w:rsidR="007C5447" w:rsidRDefault="00F6308C">
      <w:pPr>
        <w:pStyle w:val="Heading2"/>
        <w:numPr>
          <w:ilvl w:val="4"/>
          <w:numId w:val="13"/>
        </w:numPr>
        <w:tabs>
          <w:tab w:val="left" w:pos="1701"/>
        </w:tabs>
        <w:spacing w:before="1"/>
        <w:ind w:right="2939" w:hanging="1701"/>
        <w:jc w:val="right"/>
      </w:pPr>
      <w:r>
        <w:t>Packaged Software Support and Installation</w:t>
      </w:r>
      <w:r>
        <w:rPr>
          <w:spacing w:val="-14"/>
        </w:rPr>
        <w:t xml:space="preserve"> </w:t>
      </w:r>
      <w:r>
        <w:t>includes:</w:t>
      </w:r>
    </w:p>
    <w:p w:rsidR="007C5447" w:rsidRDefault="007C5447">
      <w:pPr>
        <w:pStyle w:val="BodyText"/>
        <w:spacing w:before="10"/>
        <w:rPr>
          <w:b/>
          <w:sz w:val="27"/>
        </w:rPr>
      </w:pPr>
    </w:p>
    <w:p w:rsidR="007C5447" w:rsidRDefault="00F6308C">
      <w:pPr>
        <w:pStyle w:val="ListParagraph"/>
        <w:numPr>
          <w:ilvl w:val="5"/>
          <w:numId w:val="13"/>
        </w:numPr>
        <w:tabs>
          <w:tab w:val="left" w:pos="2421"/>
        </w:tabs>
        <w:spacing w:before="1"/>
        <w:jc w:val="left"/>
        <w:rPr>
          <w:sz w:val="24"/>
        </w:rPr>
      </w:pPr>
      <w:r>
        <w:rPr>
          <w:sz w:val="24"/>
        </w:rPr>
        <w:t>Software Design and Development, Support and</w:t>
      </w:r>
      <w:r>
        <w:rPr>
          <w:spacing w:val="-2"/>
          <w:sz w:val="24"/>
        </w:rPr>
        <w:t xml:space="preserve"> </w:t>
      </w:r>
      <w:r>
        <w:rPr>
          <w:sz w:val="24"/>
        </w:rPr>
        <w:t>Maintenance</w:t>
      </w:r>
    </w:p>
    <w:p w:rsidR="007C5447" w:rsidRDefault="007C5447">
      <w:pPr>
        <w:pStyle w:val="BodyText"/>
        <w:spacing w:before="2"/>
        <w:rPr>
          <w:sz w:val="28"/>
        </w:rPr>
      </w:pPr>
    </w:p>
    <w:p w:rsidR="007C5447" w:rsidRDefault="00F6308C">
      <w:pPr>
        <w:pStyle w:val="ListParagraph"/>
        <w:numPr>
          <w:ilvl w:val="5"/>
          <w:numId w:val="13"/>
        </w:numPr>
        <w:tabs>
          <w:tab w:val="left" w:pos="375"/>
        </w:tabs>
        <w:ind w:right="2967" w:hanging="2421"/>
        <w:rPr>
          <w:sz w:val="24"/>
        </w:rPr>
      </w:pPr>
      <w:r>
        <w:rPr>
          <w:sz w:val="24"/>
        </w:rPr>
        <w:t>Application installation, support and</w:t>
      </w:r>
      <w:r>
        <w:rPr>
          <w:spacing w:val="-6"/>
          <w:sz w:val="24"/>
        </w:rPr>
        <w:t xml:space="preserve"> </w:t>
      </w:r>
      <w:r>
        <w:rPr>
          <w:sz w:val="24"/>
        </w:rPr>
        <w:t>maintenance</w:t>
      </w:r>
    </w:p>
    <w:p w:rsidR="007C5447" w:rsidRDefault="007C5447">
      <w:pPr>
        <w:pStyle w:val="BodyText"/>
        <w:spacing w:before="11"/>
        <w:rPr>
          <w:sz w:val="27"/>
        </w:rPr>
      </w:pPr>
    </w:p>
    <w:p w:rsidR="007C5447" w:rsidRDefault="00F6308C">
      <w:pPr>
        <w:pStyle w:val="ListParagraph"/>
        <w:numPr>
          <w:ilvl w:val="5"/>
          <w:numId w:val="13"/>
        </w:numPr>
        <w:tabs>
          <w:tab w:val="left" w:pos="2421"/>
        </w:tabs>
        <w:ind w:hanging="440"/>
        <w:jc w:val="left"/>
        <w:rPr>
          <w:sz w:val="24"/>
        </w:rPr>
      </w:pPr>
      <w:r>
        <w:rPr>
          <w:sz w:val="24"/>
        </w:rPr>
        <w:t>Application</w:t>
      </w:r>
      <w:r>
        <w:rPr>
          <w:spacing w:val="-1"/>
          <w:sz w:val="24"/>
        </w:rPr>
        <w:t xml:space="preserve"> </w:t>
      </w:r>
      <w:r>
        <w:rPr>
          <w:sz w:val="24"/>
        </w:rPr>
        <w:t>testing.</w:t>
      </w:r>
    </w:p>
    <w:p w:rsidR="007C5447" w:rsidRDefault="007C5447">
      <w:pPr>
        <w:pStyle w:val="BodyText"/>
        <w:spacing w:before="2"/>
        <w:rPr>
          <w:sz w:val="28"/>
        </w:rPr>
      </w:pPr>
    </w:p>
    <w:p w:rsidR="007C5447" w:rsidRDefault="00F6308C">
      <w:pPr>
        <w:pStyle w:val="Heading2"/>
        <w:numPr>
          <w:ilvl w:val="4"/>
          <w:numId w:val="13"/>
        </w:numPr>
        <w:tabs>
          <w:tab w:val="left" w:pos="1701"/>
        </w:tabs>
      </w:pPr>
      <w:r>
        <w:t>Hardware Support and Installation</w:t>
      </w:r>
      <w:r>
        <w:rPr>
          <w:spacing w:val="-4"/>
        </w:rPr>
        <w:t xml:space="preserve"> </w:t>
      </w:r>
      <w:r>
        <w:t>includes:</w:t>
      </w:r>
    </w:p>
    <w:p w:rsidR="007C5447" w:rsidRDefault="007C5447">
      <w:pPr>
        <w:pStyle w:val="BodyText"/>
        <w:rPr>
          <w:b/>
          <w:sz w:val="28"/>
        </w:rPr>
      </w:pPr>
    </w:p>
    <w:p w:rsidR="007C5447" w:rsidRDefault="00F6308C">
      <w:pPr>
        <w:pStyle w:val="ListParagraph"/>
        <w:numPr>
          <w:ilvl w:val="5"/>
          <w:numId w:val="13"/>
        </w:numPr>
        <w:tabs>
          <w:tab w:val="left" w:pos="2421"/>
        </w:tabs>
        <w:jc w:val="left"/>
        <w:rPr>
          <w:sz w:val="24"/>
        </w:rPr>
      </w:pPr>
      <w:r>
        <w:rPr>
          <w:sz w:val="24"/>
        </w:rPr>
        <w:t>Technical and network operations support</w:t>
      </w:r>
    </w:p>
    <w:p w:rsidR="007C5447" w:rsidRDefault="007C5447">
      <w:pPr>
        <w:pStyle w:val="BodyText"/>
        <w:spacing w:before="2"/>
        <w:rPr>
          <w:sz w:val="28"/>
        </w:rPr>
      </w:pPr>
    </w:p>
    <w:p w:rsidR="007C5447" w:rsidRDefault="00F6308C">
      <w:pPr>
        <w:pStyle w:val="ListParagraph"/>
        <w:numPr>
          <w:ilvl w:val="5"/>
          <w:numId w:val="13"/>
        </w:numPr>
        <w:tabs>
          <w:tab w:val="left" w:pos="2421"/>
        </w:tabs>
        <w:ind w:hanging="375"/>
        <w:jc w:val="left"/>
        <w:rPr>
          <w:sz w:val="24"/>
        </w:rPr>
      </w:pPr>
      <w:r>
        <w:rPr>
          <w:sz w:val="24"/>
        </w:rPr>
        <w:t>Hardware installation, administration and</w:t>
      </w:r>
      <w:r>
        <w:rPr>
          <w:spacing w:val="-3"/>
          <w:sz w:val="24"/>
        </w:rPr>
        <w:t xml:space="preserve"> </w:t>
      </w:r>
      <w:r>
        <w:rPr>
          <w:sz w:val="24"/>
        </w:rPr>
        <w:t>management</w:t>
      </w:r>
    </w:p>
    <w:p w:rsidR="007C5447" w:rsidRDefault="007C5447">
      <w:pPr>
        <w:pStyle w:val="BodyText"/>
        <w:rPr>
          <w:sz w:val="28"/>
        </w:rPr>
      </w:pPr>
    </w:p>
    <w:p w:rsidR="007C5447" w:rsidRDefault="00F6308C">
      <w:pPr>
        <w:pStyle w:val="ListParagraph"/>
        <w:numPr>
          <w:ilvl w:val="5"/>
          <w:numId w:val="13"/>
        </w:numPr>
        <w:tabs>
          <w:tab w:val="left" w:pos="440"/>
        </w:tabs>
        <w:ind w:right="2926" w:hanging="2421"/>
        <w:rPr>
          <w:sz w:val="24"/>
        </w:rPr>
      </w:pPr>
      <w:r>
        <w:rPr>
          <w:sz w:val="24"/>
        </w:rPr>
        <w:t>Hardware infrastructure maintenance and</w:t>
      </w:r>
      <w:r>
        <w:rPr>
          <w:spacing w:val="-7"/>
          <w:sz w:val="24"/>
        </w:rPr>
        <w:t xml:space="preserve"> </w:t>
      </w:r>
      <w:r>
        <w:rPr>
          <w:sz w:val="24"/>
        </w:rPr>
        <w:t>support.</w:t>
      </w:r>
    </w:p>
    <w:p w:rsidR="007C5447" w:rsidRDefault="007C5447">
      <w:pPr>
        <w:pStyle w:val="BodyText"/>
        <w:spacing w:before="2"/>
        <w:rPr>
          <w:sz w:val="28"/>
        </w:rPr>
      </w:pPr>
    </w:p>
    <w:p w:rsidR="007C5447" w:rsidRDefault="00F6308C">
      <w:pPr>
        <w:pStyle w:val="ListParagraph"/>
        <w:numPr>
          <w:ilvl w:val="3"/>
          <w:numId w:val="13"/>
        </w:numPr>
        <w:tabs>
          <w:tab w:val="left" w:pos="1226"/>
        </w:tabs>
        <w:spacing w:line="312" w:lineRule="auto"/>
        <w:ind w:right="878"/>
        <w:jc w:val="both"/>
        <w:rPr>
          <w:sz w:val="24"/>
        </w:rPr>
      </w:pPr>
      <w:r>
        <w:rPr>
          <w:sz w:val="24"/>
        </w:rPr>
        <w:t>The intending consumers applying for service connection under LT Tariff III B claiming to have established the</w:t>
      </w:r>
      <w:r>
        <w:rPr>
          <w:sz w:val="24"/>
        </w:rPr>
        <w:t xml:space="preserve"> industries engaged in the manufacture or production of goods shall produce Udyog Aadhar Memorandum from the District Industries</w:t>
      </w:r>
      <w:r>
        <w:rPr>
          <w:spacing w:val="-1"/>
          <w:sz w:val="24"/>
        </w:rPr>
        <w:t xml:space="preserve"> </w:t>
      </w:r>
      <w:r>
        <w:rPr>
          <w:sz w:val="24"/>
        </w:rPr>
        <w:t>Centre.</w:t>
      </w:r>
    </w:p>
    <w:p w:rsidR="007C5447" w:rsidRDefault="007C5447">
      <w:pPr>
        <w:pStyle w:val="BodyText"/>
        <w:rPr>
          <w:sz w:val="26"/>
        </w:rPr>
      </w:pPr>
    </w:p>
    <w:p w:rsidR="007C5447" w:rsidRDefault="007C5447">
      <w:pPr>
        <w:pStyle w:val="BodyText"/>
        <w:spacing w:before="5"/>
        <w:rPr>
          <w:sz w:val="36"/>
        </w:rPr>
      </w:pPr>
    </w:p>
    <w:p w:rsidR="007C5447" w:rsidRDefault="00F6308C">
      <w:pPr>
        <w:pStyle w:val="Heading2"/>
        <w:numPr>
          <w:ilvl w:val="2"/>
          <w:numId w:val="22"/>
        </w:numPr>
        <w:tabs>
          <w:tab w:val="left" w:pos="1112"/>
          <w:tab w:val="left" w:pos="1113"/>
        </w:tabs>
        <w:ind w:hanging="853"/>
      </w:pPr>
      <w:r>
        <w:t>Low Tension Tariff</w:t>
      </w:r>
      <w:r>
        <w:rPr>
          <w:spacing w:val="-6"/>
        </w:rPr>
        <w:t xml:space="preserve"> </w:t>
      </w:r>
      <w:r>
        <w:t>IV:</w:t>
      </w:r>
    </w:p>
    <w:p w:rsidR="007C5447" w:rsidRDefault="007C5447">
      <w:pPr>
        <w:pStyle w:val="BodyText"/>
        <w:spacing w:before="3"/>
        <w:rPr>
          <w:b/>
          <w:sz w:val="28"/>
        </w:rPr>
      </w:pPr>
    </w:p>
    <w:tbl>
      <w:tblPr>
        <w:tblW w:w="0" w:type="auto"/>
        <w:tblInd w:w="12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10"/>
        <w:gridCol w:w="3027"/>
        <w:gridCol w:w="1558"/>
        <w:gridCol w:w="1703"/>
      </w:tblGrid>
      <w:tr w:rsidR="007C5447">
        <w:trPr>
          <w:trHeight w:val="273"/>
        </w:trPr>
        <w:tc>
          <w:tcPr>
            <w:tcW w:w="1510" w:type="dxa"/>
            <w:vMerge w:val="restart"/>
            <w:shd w:val="clear" w:color="auto" w:fill="F7C9AC"/>
          </w:tcPr>
          <w:p w:rsidR="007C5447" w:rsidRDefault="00F6308C">
            <w:pPr>
              <w:pStyle w:val="TableParagraph"/>
              <w:ind w:left="499"/>
              <w:jc w:val="left"/>
              <w:rPr>
                <w:b/>
                <w:sz w:val="20"/>
              </w:rPr>
            </w:pPr>
            <w:r>
              <w:rPr>
                <w:b/>
                <w:sz w:val="20"/>
              </w:rPr>
              <w:t>Tariff</w:t>
            </w:r>
          </w:p>
        </w:tc>
        <w:tc>
          <w:tcPr>
            <w:tcW w:w="3027" w:type="dxa"/>
            <w:vMerge w:val="restart"/>
            <w:shd w:val="clear" w:color="auto" w:fill="F7C9AC"/>
          </w:tcPr>
          <w:p w:rsidR="007C5447" w:rsidRDefault="00F6308C">
            <w:pPr>
              <w:pStyle w:val="TableParagraph"/>
              <w:ind w:left="996" w:right="992"/>
              <w:jc w:val="center"/>
              <w:rPr>
                <w:b/>
                <w:sz w:val="20"/>
              </w:rPr>
            </w:pPr>
            <w:r>
              <w:rPr>
                <w:b/>
                <w:sz w:val="20"/>
              </w:rPr>
              <w:t>Description</w:t>
            </w:r>
          </w:p>
        </w:tc>
        <w:tc>
          <w:tcPr>
            <w:tcW w:w="3261" w:type="dxa"/>
            <w:gridSpan w:val="2"/>
            <w:shd w:val="clear" w:color="auto" w:fill="F7C9AC"/>
          </w:tcPr>
          <w:p w:rsidR="007C5447" w:rsidRDefault="00F6308C">
            <w:pPr>
              <w:pStyle w:val="TableParagraph"/>
              <w:ind w:left="215"/>
              <w:jc w:val="left"/>
              <w:rPr>
                <w:b/>
                <w:sz w:val="20"/>
              </w:rPr>
            </w:pPr>
            <w:r>
              <w:rPr>
                <w:b/>
                <w:sz w:val="20"/>
              </w:rPr>
              <w:t>Commission Determined Tariff *</w:t>
            </w:r>
          </w:p>
        </w:tc>
      </w:tr>
      <w:tr w:rsidR="007C5447">
        <w:trPr>
          <w:trHeight w:val="791"/>
        </w:trPr>
        <w:tc>
          <w:tcPr>
            <w:tcW w:w="1510" w:type="dxa"/>
            <w:vMerge/>
            <w:tcBorders>
              <w:top w:val="nil"/>
            </w:tcBorders>
            <w:shd w:val="clear" w:color="auto" w:fill="F7C9AC"/>
          </w:tcPr>
          <w:p w:rsidR="007C5447" w:rsidRDefault="007C5447">
            <w:pPr>
              <w:rPr>
                <w:sz w:val="2"/>
                <w:szCs w:val="2"/>
              </w:rPr>
            </w:pPr>
          </w:p>
        </w:tc>
        <w:tc>
          <w:tcPr>
            <w:tcW w:w="3027" w:type="dxa"/>
            <w:vMerge/>
            <w:tcBorders>
              <w:top w:val="nil"/>
            </w:tcBorders>
            <w:shd w:val="clear" w:color="auto" w:fill="F7C9AC"/>
          </w:tcPr>
          <w:p w:rsidR="007C5447" w:rsidRDefault="007C5447">
            <w:pPr>
              <w:rPr>
                <w:sz w:val="2"/>
                <w:szCs w:val="2"/>
              </w:rPr>
            </w:pPr>
          </w:p>
        </w:tc>
        <w:tc>
          <w:tcPr>
            <w:tcW w:w="1558" w:type="dxa"/>
            <w:shd w:val="clear" w:color="auto" w:fill="F7C9AC"/>
          </w:tcPr>
          <w:p w:rsidR="007C5447" w:rsidRDefault="00F6308C">
            <w:pPr>
              <w:pStyle w:val="TableParagraph"/>
              <w:ind w:left="266" w:hanging="77"/>
              <w:jc w:val="left"/>
              <w:rPr>
                <w:b/>
                <w:sz w:val="20"/>
              </w:rPr>
            </w:pPr>
            <w:r>
              <w:rPr>
                <w:b/>
                <w:sz w:val="20"/>
              </w:rPr>
              <w:t>Fixed charges</w:t>
            </w:r>
          </w:p>
          <w:p w:rsidR="007C5447" w:rsidRDefault="00F6308C">
            <w:pPr>
              <w:pStyle w:val="TableParagraph"/>
              <w:spacing w:before="4" w:line="260" w:lineRule="atLeast"/>
              <w:ind w:left="112" w:firstLine="153"/>
              <w:jc w:val="left"/>
              <w:rPr>
                <w:b/>
                <w:sz w:val="20"/>
              </w:rPr>
            </w:pPr>
            <w:r>
              <w:rPr>
                <w:b/>
                <w:sz w:val="20"/>
              </w:rPr>
              <w:t>(Rupees per HP per annum)</w:t>
            </w:r>
          </w:p>
        </w:tc>
        <w:tc>
          <w:tcPr>
            <w:tcW w:w="1703" w:type="dxa"/>
            <w:shd w:val="clear" w:color="auto" w:fill="F7C9AC"/>
          </w:tcPr>
          <w:p w:rsidR="007C5447" w:rsidRDefault="00F6308C">
            <w:pPr>
              <w:pStyle w:val="TableParagraph"/>
              <w:spacing w:line="276" w:lineRule="auto"/>
              <w:ind w:left="229" w:right="160" w:hanging="44"/>
              <w:jc w:val="left"/>
              <w:rPr>
                <w:b/>
                <w:sz w:val="20"/>
              </w:rPr>
            </w:pPr>
            <w:r>
              <w:rPr>
                <w:b/>
                <w:sz w:val="20"/>
              </w:rPr>
              <w:t>Energy charges in Paise / kWh</w:t>
            </w:r>
          </w:p>
        </w:tc>
      </w:tr>
      <w:tr w:rsidR="007C5447">
        <w:trPr>
          <w:trHeight w:val="614"/>
        </w:trPr>
        <w:tc>
          <w:tcPr>
            <w:tcW w:w="1510" w:type="dxa"/>
            <w:vMerge w:val="restart"/>
          </w:tcPr>
          <w:p w:rsidR="007C5447" w:rsidRDefault="00F6308C">
            <w:pPr>
              <w:pStyle w:val="TableParagraph"/>
              <w:tabs>
                <w:tab w:val="left" w:pos="724"/>
              </w:tabs>
              <w:spacing w:before="2" w:line="276" w:lineRule="auto"/>
              <w:ind w:left="107" w:right="99"/>
              <w:jc w:val="left"/>
              <w:rPr>
                <w:b/>
                <w:sz w:val="20"/>
              </w:rPr>
            </w:pPr>
            <w:r>
              <w:rPr>
                <w:b/>
                <w:sz w:val="20"/>
              </w:rPr>
              <w:t>Low</w:t>
            </w:r>
            <w:r>
              <w:rPr>
                <w:b/>
                <w:sz w:val="20"/>
              </w:rPr>
              <w:tab/>
            </w:r>
            <w:r>
              <w:rPr>
                <w:b/>
                <w:spacing w:val="-4"/>
                <w:sz w:val="20"/>
              </w:rPr>
              <w:t xml:space="preserve">Tension </w:t>
            </w:r>
            <w:r>
              <w:rPr>
                <w:b/>
                <w:sz w:val="20"/>
              </w:rPr>
              <w:t>Tariff</w:t>
            </w:r>
            <w:r>
              <w:rPr>
                <w:b/>
                <w:spacing w:val="-1"/>
                <w:sz w:val="20"/>
              </w:rPr>
              <w:t xml:space="preserve"> </w:t>
            </w:r>
            <w:r>
              <w:rPr>
                <w:b/>
                <w:sz w:val="20"/>
              </w:rPr>
              <w:t>IV</w:t>
            </w:r>
          </w:p>
        </w:tc>
        <w:tc>
          <w:tcPr>
            <w:tcW w:w="3027" w:type="dxa"/>
          </w:tcPr>
          <w:p w:rsidR="007C5447" w:rsidRDefault="00F6308C">
            <w:pPr>
              <w:pStyle w:val="TableParagraph"/>
              <w:spacing w:before="175"/>
              <w:ind w:left="108"/>
              <w:jc w:val="left"/>
              <w:rPr>
                <w:sz w:val="20"/>
              </w:rPr>
            </w:pPr>
            <w:r>
              <w:rPr>
                <w:sz w:val="20"/>
              </w:rPr>
              <w:t>Till installation of Energy Meter</w:t>
            </w:r>
          </w:p>
        </w:tc>
        <w:tc>
          <w:tcPr>
            <w:tcW w:w="1558" w:type="dxa"/>
          </w:tcPr>
          <w:p w:rsidR="007C5447" w:rsidRDefault="00F6308C">
            <w:pPr>
              <w:pStyle w:val="TableParagraph"/>
              <w:spacing w:before="2"/>
              <w:ind w:left="501" w:right="490"/>
              <w:jc w:val="center"/>
              <w:rPr>
                <w:sz w:val="20"/>
              </w:rPr>
            </w:pPr>
            <w:r>
              <w:rPr>
                <w:sz w:val="20"/>
              </w:rPr>
              <w:t>2875</w:t>
            </w:r>
          </w:p>
        </w:tc>
        <w:tc>
          <w:tcPr>
            <w:tcW w:w="1703" w:type="dxa"/>
          </w:tcPr>
          <w:p w:rsidR="007C5447" w:rsidRDefault="00F6308C">
            <w:pPr>
              <w:pStyle w:val="TableParagraph"/>
              <w:spacing w:before="2"/>
              <w:ind w:left="722"/>
              <w:jc w:val="left"/>
              <w:rPr>
                <w:sz w:val="20"/>
              </w:rPr>
            </w:pPr>
            <w:r>
              <w:rPr>
                <w:sz w:val="20"/>
              </w:rPr>
              <w:t>Nil</w:t>
            </w:r>
          </w:p>
        </w:tc>
      </w:tr>
      <w:tr w:rsidR="007C5447">
        <w:trPr>
          <w:trHeight w:val="316"/>
        </w:trPr>
        <w:tc>
          <w:tcPr>
            <w:tcW w:w="1510" w:type="dxa"/>
            <w:vMerge/>
            <w:tcBorders>
              <w:top w:val="nil"/>
            </w:tcBorders>
          </w:tcPr>
          <w:p w:rsidR="007C5447" w:rsidRDefault="007C5447">
            <w:pPr>
              <w:rPr>
                <w:sz w:val="2"/>
                <w:szCs w:val="2"/>
              </w:rPr>
            </w:pPr>
          </w:p>
        </w:tc>
        <w:tc>
          <w:tcPr>
            <w:tcW w:w="3027" w:type="dxa"/>
          </w:tcPr>
          <w:p w:rsidR="007C5447" w:rsidRDefault="00F6308C">
            <w:pPr>
              <w:pStyle w:val="TableParagraph"/>
              <w:spacing w:before="26"/>
              <w:ind w:left="108"/>
              <w:jc w:val="left"/>
              <w:rPr>
                <w:sz w:val="20"/>
              </w:rPr>
            </w:pPr>
            <w:r>
              <w:rPr>
                <w:sz w:val="20"/>
              </w:rPr>
              <w:t>On Installation of Energy Meter</w:t>
            </w:r>
          </w:p>
        </w:tc>
        <w:tc>
          <w:tcPr>
            <w:tcW w:w="1558" w:type="dxa"/>
          </w:tcPr>
          <w:p w:rsidR="007C5447" w:rsidRDefault="00F6308C">
            <w:pPr>
              <w:pStyle w:val="TableParagraph"/>
              <w:ind w:left="501" w:right="490"/>
              <w:jc w:val="center"/>
              <w:rPr>
                <w:sz w:val="20"/>
              </w:rPr>
            </w:pPr>
            <w:r>
              <w:rPr>
                <w:sz w:val="20"/>
              </w:rPr>
              <w:t>Nil</w:t>
            </w:r>
          </w:p>
        </w:tc>
        <w:tc>
          <w:tcPr>
            <w:tcW w:w="1703" w:type="dxa"/>
          </w:tcPr>
          <w:p w:rsidR="007C5447" w:rsidRDefault="00F6308C">
            <w:pPr>
              <w:pStyle w:val="TableParagraph"/>
              <w:ind w:left="700"/>
              <w:jc w:val="left"/>
              <w:rPr>
                <w:sz w:val="20"/>
              </w:rPr>
            </w:pPr>
            <w:r>
              <w:rPr>
                <w:sz w:val="20"/>
              </w:rPr>
              <w:t>322</w:t>
            </w:r>
          </w:p>
        </w:tc>
      </w:tr>
    </w:tbl>
    <w:p w:rsidR="007C5447" w:rsidRDefault="00F6308C">
      <w:pPr>
        <w:ind w:left="1844"/>
        <w:rPr>
          <w:sz w:val="18"/>
        </w:rPr>
      </w:pPr>
      <w:r>
        <w:rPr>
          <w:sz w:val="18"/>
        </w:rPr>
        <w:t>*Category to be fully subsidised by the Government</w:t>
      </w:r>
    </w:p>
    <w:p w:rsidR="007C5447" w:rsidRDefault="007C5447">
      <w:pPr>
        <w:pStyle w:val="BodyText"/>
        <w:spacing w:before="2"/>
        <w:rPr>
          <w:sz w:val="25"/>
        </w:rPr>
      </w:pPr>
    </w:p>
    <w:p w:rsidR="007C5447" w:rsidRDefault="00F6308C">
      <w:pPr>
        <w:pStyle w:val="ListParagraph"/>
        <w:numPr>
          <w:ilvl w:val="3"/>
          <w:numId w:val="12"/>
        </w:numPr>
        <w:tabs>
          <w:tab w:val="left" w:pos="1226"/>
        </w:tabs>
        <w:spacing w:line="312" w:lineRule="auto"/>
        <w:ind w:right="875"/>
        <w:jc w:val="both"/>
        <w:rPr>
          <w:sz w:val="24"/>
        </w:rPr>
      </w:pPr>
      <w:r>
        <w:rPr>
          <w:sz w:val="24"/>
        </w:rPr>
        <w:t>This tariff is applicable for pumping of water/supply of water to all agricultural and allied activities such as cultivation of food crops, vegetables, seeds, trees and other plants. Sericulture, floricul</w:t>
      </w:r>
      <w:r>
        <w:rPr>
          <w:sz w:val="24"/>
        </w:rPr>
        <w:t>ture, horticulture, mushroom cultivation, cattle farming, poultry and other bird farming, fish/prawn culture carried out as allied activities of agriculture shall be construed as agricultural</w:t>
      </w:r>
      <w:r>
        <w:rPr>
          <w:spacing w:val="-3"/>
          <w:sz w:val="24"/>
        </w:rPr>
        <w:t xml:space="preserve"> </w:t>
      </w:r>
      <w:r>
        <w:rPr>
          <w:sz w:val="24"/>
        </w:rPr>
        <w:t>activities.</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ListParagraph"/>
        <w:numPr>
          <w:ilvl w:val="3"/>
          <w:numId w:val="12"/>
        </w:numPr>
        <w:tabs>
          <w:tab w:val="left" w:pos="1226"/>
        </w:tabs>
        <w:spacing w:before="60" w:line="312" w:lineRule="auto"/>
        <w:ind w:right="881"/>
        <w:jc w:val="both"/>
        <w:rPr>
          <w:sz w:val="24"/>
        </w:rPr>
      </w:pPr>
      <w:r>
        <w:rPr>
          <w:sz w:val="24"/>
        </w:rPr>
        <w:lastRenderedPageBreak/>
        <w:t>The services under this tariff sha</w:t>
      </w:r>
      <w:r>
        <w:rPr>
          <w:sz w:val="24"/>
        </w:rPr>
        <w:t>ll be permitted to have lighting loads up to 50 watts per 1000 watts of contracted load subject to a maximum of 150 watts inclusive of wattage of pilot lamps for bonafide</w:t>
      </w:r>
      <w:r>
        <w:rPr>
          <w:spacing w:val="-7"/>
          <w:sz w:val="24"/>
        </w:rPr>
        <w:t xml:space="preserve"> </w:t>
      </w:r>
      <w:r>
        <w:rPr>
          <w:sz w:val="24"/>
        </w:rPr>
        <w:t>use.</w:t>
      </w:r>
    </w:p>
    <w:p w:rsidR="007C5447" w:rsidRDefault="007C5447">
      <w:pPr>
        <w:pStyle w:val="BodyText"/>
        <w:spacing w:before="10"/>
        <w:rPr>
          <w:sz w:val="20"/>
        </w:rPr>
      </w:pPr>
    </w:p>
    <w:p w:rsidR="007C5447" w:rsidRDefault="00F6308C">
      <w:pPr>
        <w:pStyle w:val="ListParagraph"/>
        <w:numPr>
          <w:ilvl w:val="3"/>
          <w:numId w:val="12"/>
        </w:numPr>
        <w:tabs>
          <w:tab w:val="left" w:pos="1226"/>
        </w:tabs>
        <w:spacing w:line="312" w:lineRule="auto"/>
        <w:ind w:right="875"/>
        <w:jc w:val="both"/>
        <w:rPr>
          <w:sz w:val="24"/>
        </w:rPr>
      </w:pPr>
      <w:r>
        <w:rPr>
          <w:sz w:val="24"/>
        </w:rPr>
        <w:t xml:space="preserve">Subject to the limit of contracted load, the supply under this category can be </w:t>
      </w:r>
      <w:r>
        <w:rPr>
          <w:sz w:val="24"/>
        </w:rPr>
        <w:t>utilised for milking, sugar cane crushing, harvesting, stalk/chaff cutting, thrashing and cleaning of agricultural produces, crane used for lifting mud/silt from well by having a changeover switch as approved and sealed by the licensee. The changeover swit</w:t>
      </w:r>
      <w:r>
        <w:rPr>
          <w:sz w:val="24"/>
        </w:rPr>
        <w:t>ch is meant for using the supply either for the pump set or for any one or more of the purposes mentioned in this clause. Using supply both to the pump sets and to the other purpose(s) at the same time is strictly prohibited. The consumer shall abide by th</w:t>
      </w:r>
      <w:r>
        <w:rPr>
          <w:sz w:val="24"/>
        </w:rPr>
        <w:t>e safety norms for any additional wiring for this</w:t>
      </w:r>
      <w:r>
        <w:rPr>
          <w:spacing w:val="-13"/>
          <w:sz w:val="24"/>
        </w:rPr>
        <w:t xml:space="preserve"> </w:t>
      </w:r>
      <w:r>
        <w:rPr>
          <w:sz w:val="24"/>
        </w:rPr>
        <w:t>purpose.</w:t>
      </w:r>
    </w:p>
    <w:p w:rsidR="007C5447" w:rsidRDefault="007C5447">
      <w:pPr>
        <w:pStyle w:val="BodyText"/>
        <w:spacing w:before="10"/>
        <w:rPr>
          <w:sz w:val="20"/>
        </w:rPr>
      </w:pPr>
    </w:p>
    <w:p w:rsidR="007C5447" w:rsidRDefault="00F6308C">
      <w:pPr>
        <w:pStyle w:val="ListParagraph"/>
        <w:numPr>
          <w:ilvl w:val="3"/>
          <w:numId w:val="12"/>
        </w:numPr>
        <w:tabs>
          <w:tab w:val="left" w:pos="1226"/>
        </w:tabs>
        <w:spacing w:before="1" w:line="312" w:lineRule="auto"/>
        <w:ind w:right="880"/>
        <w:jc w:val="both"/>
        <w:rPr>
          <w:sz w:val="24"/>
        </w:rPr>
      </w:pPr>
      <w:r>
        <w:rPr>
          <w:sz w:val="24"/>
        </w:rPr>
        <w:t>This tariff is applicable irrespective of ownership of land if the usage of electricity is for agriculture and its allied</w:t>
      </w:r>
      <w:r>
        <w:rPr>
          <w:spacing w:val="-2"/>
          <w:sz w:val="24"/>
        </w:rPr>
        <w:t xml:space="preserve"> </w:t>
      </w:r>
      <w:r>
        <w:rPr>
          <w:sz w:val="24"/>
        </w:rPr>
        <w:t>activities.</w:t>
      </w:r>
    </w:p>
    <w:p w:rsidR="007C5447" w:rsidRDefault="007C5447">
      <w:pPr>
        <w:pStyle w:val="BodyText"/>
        <w:spacing w:before="10"/>
        <w:rPr>
          <w:sz w:val="20"/>
        </w:rPr>
      </w:pPr>
    </w:p>
    <w:p w:rsidR="007C5447" w:rsidRDefault="00F6308C">
      <w:pPr>
        <w:pStyle w:val="ListParagraph"/>
        <w:numPr>
          <w:ilvl w:val="3"/>
          <w:numId w:val="12"/>
        </w:numPr>
        <w:tabs>
          <w:tab w:val="left" w:pos="1226"/>
        </w:tabs>
        <w:spacing w:line="312" w:lineRule="auto"/>
        <w:ind w:right="880"/>
        <w:jc w:val="both"/>
        <w:rPr>
          <w:sz w:val="24"/>
        </w:rPr>
      </w:pPr>
      <w:r>
        <w:rPr>
          <w:sz w:val="24"/>
        </w:rPr>
        <w:t>Agricultural consumers shall be permitted to use the water pumped from the well for bonafide domestic purposes in the far</w:t>
      </w:r>
      <w:r>
        <w:rPr>
          <w:sz w:val="24"/>
        </w:rPr>
        <w:t>mhouse including for construction of farm house and sheds for allied</w:t>
      </w:r>
      <w:r>
        <w:rPr>
          <w:spacing w:val="-2"/>
          <w:sz w:val="24"/>
        </w:rPr>
        <w:t xml:space="preserve"> </w:t>
      </w:r>
      <w:r>
        <w:rPr>
          <w:sz w:val="24"/>
        </w:rPr>
        <w:t>works.</w:t>
      </w:r>
    </w:p>
    <w:p w:rsidR="007C5447" w:rsidRDefault="007C5447">
      <w:pPr>
        <w:pStyle w:val="BodyText"/>
        <w:spacing w:before="11"/>
        <w:rPr>
          <w:sz w:val="20"/>
        </w:rPr>
      </w:pPr>
    </w:p>
    <w:p w:rsidR="007C5447" w:rsidRDefault="00F6308C">
      <w:pPr>
        <w:pStyle w:val="ListParagraph"/>
        <w:numPr>
          <w:ilvl w:val="3"/>
          <w:numId w:val="12"/>
        </w:numPr>
        <w:tabs>
          <w:tab w:val="left" w:pos="1226"/>
        </w:tabs>
        <w:spacing w:line="312" w:lineRule="auto"/>
        <w:ind w:right="880"/>
        <w:jc w:val="both"/>
        <w:rPr>
          <w:sz w:val="24"/>
        </w:rPr>
      </w:pPr>
      <w:r>
        <w:rPr>
          <w:sz w:val="24"/>
        </w:rPr>
        <w:t>Supply for other purpose exceeding the limit permitted for lighting purpose shall be provided only by separate service connections under appropriate LT Tariff. Service connections</w:t>
      </w:r>
      <w:r>
        <w:rPr>
          <w:sz w:val="24"/>
        </w:rPr>
        <w:t xml:space="preserve"> for water pumping for non-agricultural purpose under appropriate tariff is permitted in the same</w:t>
      </w:r>
      <w:r>
        <w:rPr>
          <w:spacing w:val="-2"/>
          <w:sz w:val="24"/>
        </w:rPr>
        <w:t xml:space="preserve"> </w:t>
      </w:r>
      <w:r>
        <w:rPr>
          <w:sz w:val="24"/>
        </w:rPr>
        <w:t>well.</w:t>
      </w:r>
    </w:p>
    <w:p w:rsidR="007C5447" w:rsidRDefault="007C5447">
      <w:pPr>
        <w:pStyle w:val="BodyText"/>
        <w:spacing w:before="10"/>
        <w:rPr>
          <w:sz w:val="20"/>
        </w:rPr>
      </w:pPr>
    </w:p>
    <w:p w:rsidR="007C5447" w:rsidRDefault="00F6308C">
      <w:pPr>
        <w:pStyle w:val="ListParagraph"/>
        <w:numPr>
          <w:ilvl w:val="3"/>
          <w:numId w:val="12"/>
        </w:numPr>
        <w:tabs>
          <w:tab w:val="left" w:pos="1226"/>
        </w:tabs>
        <w:spacing w:before="1" w:line="312" w:lineRule="auto"/>
        <w:ind w:right="876"/>
        <w:jc w:val="both"/>
        <w:rPr>
          <w:sz w:val="24"/>
        </w:rPr>
      </w:pPr>
      <w:r>
        <w:rPr>
          <w:sz w:val="24"/>
        </w:rPr>
        <w:t>This Tariff is applicable to pump sets of Tamil Nadu Agriculture University and Research centres, Government Seed Farms, pump sets of Tamil Nadu Forest</w:t>
      </w:r>
      <w:r>
        <w:rPr>
          <w:sz w:val="24"/>
        </w:rPr>
        <w:t xml:space="preserve"> department, Pump sets of Government coconut nurseries, Pump sets of  Government oil seed</w:t>
      </w:r>
      <w:r>
        <w:rPr>
          <w:spacing w:val="-1"/>
          <w:sz w:val="24"/>
        </w:rPr>
        <w:t xml:space="preserve"> </w:t>
      </w:r>
      <w:r>
        <w:rPr>
          <w:sz w:val="24"/>
        </w:rPr>
        <w:t>farms.</w:t>
      </w:r>
    </w:p>
    <w:p w:rsidR="007C5447" w:rsidRDefault="007C5447">
      <w:pPr>
        <w:pStyle w:val="BodyText"/>
        <w:spacing w:before="9"/>
        <w:rPr>
          <w:sz w:val="20"/>
        </w:rPr>
      </w:pPr>
    </w:p>
    <w:p w:rsidR="007C5447" w:rsidRDefault="00F6308C">
      <w:pPr>
        <w:pStyle w:val="ListParagraph"/>
        <w:numPr>
          <w:ilvl w:val="3"/>
          <w:numId w:val="12"/>
        </w:numPr>
        <w:tabs>
          <w:tab w:val="left" w:pos="1226"/>
        </w:tabs>
        <w:spacing w:before="1"/>
        <w:ind w:hanging="966"/>
        <w:rPr>
          <w:sz w:val="24"/>
        </w:rPr>
      </w:pPr>
      <w:r>
        <w:rPr>
          <w:sz w:val="24"/>
        </w:rPr>
        <w:t>Pumping and purifying of drainage water for the purpose of agriculture</w:t>
      </w:r>
      <w:r>
        <w:rPr>
          <w:spacing w:val="-15"/>
          <w:sz w:val="24"/>
        </w:rPr>
        <w:t xml:space="preserve"> </w:t>
      </w:r>
      <w:r>
        <w:rPr>
          <w:sz w:val="24"/>
        </w:rPr>
        <w:t>use.</w:t>
      </w:r>
    </w:p>
    <w:p w:rsidR="007C5447" w:rsidRDefault="007C5447">
      <w:pPr>
        <w:rPr>
          <w:sz w:val="24"/>
        </w:rPr>
        <w:sectPr w:rsidR="007C5447">
          <w:pgSz w:w="11910" w:h="16840"/>
          <w:pgMar w:top="1360" w:right="560" w:bottom="1240" w:left="1180" w:header="0" w:footer="1057" w:gutter="0"/>
          <w:cols w:space="720"/>
        </w:sectPr>
      </w:pPr>
    </w:p>
    <w:p w:rsidR="007C5447" w:rsidRDefault="00F6308C">
      <w:pPr>
        <w:pStyle w:val="Heading2"/>
        <w:numPr>
          <w:ilvl w:val="2"/>
          <w:numId w:val="22"/>
        </w:numPr>
        <w:tabs>
          <w:tab w:val="left" w:pos="1112"/>
          <w:tab w:val="left" w:pos="1113"/>
        </w:tabs>
        <w:spacing w:before="60"/>
        <w:ind w:hanging="853"/>
      </w:pPr>
      <w:r>
        <w:lastRenderedPageBreak/>
        <w:t>Low Tension Tariff</w:t>
      </w:r>
      <w:r>
        <w:rPr>
          <w:spacing w:val="1"/>
        </w:rPr>
        <w:t xml:space="preserve"> </w:t>
      </w:r>
      <w:r>
        <w:t>V:</w:t>
      </w:r>
    </w:p>
    <w:p w:rsidR="007C5447" w:rsidRDefault="007C5447">
      <w:pPr>
        <w:pStyle w:val="BodyText"/>
        <w:spacing w:before="1"/>
        <w:rPr>
          <w:b/>
          <w:sz w:val="28"/>
        </w:rPr>
      </w:pPr>
    </w:p>
    <w:tbl>
      <w:tblPr>
        <w:tblW w:w="0" w:type="auto"/>
        <w:tblInd w:w="1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6"/>
        <w:gridCol w:w="3687"/>
        <w:gridCol w:w="1558"/>
        <w:gridCol w:w="1843"/>
      </w:tblGrid>
      <w:tr w:rsidR="007C5447">
        <w:trPr>
          <w:trHeight w:val="333"/>
        </w:trPr>
        <w:tc>
          <w:tcPr>
            <w:tcW w:w="1416" w:type="dxa"/>
            <w:vMerge w:val="restart"/>
            <w:shd w:val="clear" w:color="auto" w:fill="F7C9AC"/>
          </w:tcPr>
          <w:p w:rsidR="007C5447" w:rsidRDefault="00F6308C">
            <w:pPr>
              <w:pStyle w:val="TableParagraph"/>
              <w:spacing w:before="2"/>
              <w:ind w:left="451"/>
              <w:jc w:val="left"/>
              <w:rPr>
                <w:b/>
                <w:sz w:val="20"/>
              </w:rPr>
            </w:pPr>
            <w:r>
              <w:rPr>
                <w:b/>
                <w:sz w:val="20"/>
              </w:rPr>
              <w:t>Tariff</w:t>
            </w:r>
          </w:p>
        </w:tc>
        <w:tc>
          <w:tcPr>
            <w:tcW w:w="7088" w:type="dxa"/>
            <w:gridSpan w:val="3"/>
            <w:shd w:val="clear" w:color="auto" w:fill="F7C9AC"/>
          </w:tcPr>
          <w:p w:rsidR="007C5447" w:rsidRDefault="00F6308C">
            <w:pPr>
              <w:pStyle w:val="TableParagraph"/>
              <w:spacing w:before="2"/>
              <w:ind w:left="2182" w:right="2178"/>
              <w:jc w:val="center"/>
              <w:rPr>
                <w:b/>
                <w:sz w:val="20"/>
              </w:rPr>
            </w:pPr>
            <w:r>
              <w:rPr>
                <w:b/>
                <w:sz w:val="20"/>
              </w:rPr>
              <w:t>Commission Determined Tariff</w:t>
            </w:r>
          </w:p>
        </w:tc>
      </w:tr>
      <w:tr w:rsidR="007C5447">
        <w:trPr>
          <w:trHeight w:val="897"/>
        </w:trPr>
        <w:tc>
          <w:tcPr>
            <w:tcW w:w="1416" w:type="dxa"/>
            <w:vMerge/>
            <w:tcBorders>
              <w:top w:val="nil"/>
            </w:tcBorders>
            <w:shd w:val="clear" w:color="auto" w:fill="F7C9AC"/>
          </w:tcPr>
          <w:p w:rsidR="007C5447" w:rsidRDefault="007C5447">
            <w:pPr>
              <w:rPr>
                <w:sz w:val="2"/>
                <w:szCs w:val="2"/>
              </w:rPr>
            </w:pPr>
          </w:p>
        </w:tc>
        <w:tc>
          <w:tcPr>
            <w:tcW w:w="3687" w:type="dxa"/>
            <w:shd w:val="clear" w:color="auto" w:fill="F7C9AC"/>
          </w:tcPr>
          <w:p w:rsidR="007C5447" w:rsidRDefault="00F6308C">
            <w:pPr>
              <w:pStyle w:val="TableParagraph"/>
              <w:spacing w:line="312" w:lineRule="auto"/>
              <w:ind w:left="1270" w:right="97" w:hanging="1145"/>
              <w:jc w:val="left"/>
              <w:rPr>
                <w:b/>
                <w:sz w:val="20"/>
              </w:rPr>
            </w:pPr>
            <w:r>
              <w:rPr>
                <w:b/>
                <w:sz w:val="20"/>
              </w:rPr>
              <w:t>Consumption slabs – Range in kWh and billing period</w:t>
            </w:r>
          </w:p>
        </w:tc>
        <w:tc>
          <w:tcPr>
            <w:tcW w:w="1558" w:type="dxa"/>
            <w:shd w:val="clear" w:color="auto" w:fill="F7C9AC"/>
          </w:tcPr>
          <w:p w:rsidR="007C5447" w:rsidRDefault="00F6308C">
            <w:pPr>
              <w:pStyle w:val="TableParagraph"/>
              <w:ind w:left="266" w:hanging="106"/>
              <w:jc w:val="left"/>
              <w:rPr>
                <w:b/>
                <w:sz w:val="20"/>
              </w:rPr>
            </w:pPr>
            <w:r>
              <w:rPr>
                <w:b/>
                <w:sz w:val="20"/>
              </w:rPr>
              <w:t>Fixed</w:t>
            </w:r>
            <w:r>
              <w:rPr>
                <w:b/>
                <w:spacing w:val="-6"/>
                <w:sz w:val="20"/>
              </w:rPr>
              <w:t xml:space="preserve"> </w:t>
            </w:r>
            <w:r>
              <w:rPr>
                <w:b/>
                <w:sz w:val="20"/>
              </w:rPr>
              <w:t>Charges</w:t>
            </w:r>
          </w:p>
          <w:p w:rsidR="007C5447" w:rsidRDefault="00F6308C">
            <w:pPr>
              <w:pStyle w:val="TableParagraph"/>
              <w:spacing w:before="10" w:line="290" w:lineRule="atLeast"/>
              <w:ind w:left="117" w:firstLine="148"/>
              <w:jc w:val="left"/>
              <w:rPr>
                <w:b/>
                <w:sz w:val="20"/>
              </w:rPr>
            </w:pPr>
            <w:r>
              <w:rPr>
                <w:b/>
                <w:sz w:val="20"/>
              </w:rPr>
              <w:t>(Rupees per kW per</w:t>
            </w:r>
            <w:r>
              <w:rPr>
                <w:b/>
                <w:spacing w:val="3"/>
                <w:sz w:val="20"/>
              </w:rPr>
              <w:t xml:space="preserve"> </w:t>
            </w:r>
            <w:r>
              <w:rPr>
                <w:b/>
                <w:spacing w:val="-4"/>
                <w:sz w:val="20"/>
              </w:rPr>
              <w:t>month)</w:t>
            </w:r>
          </w:p>
        </w:tc>
        <w:tc>
          <w:tcPr>
            <w:tcW w:w="1843" w:type="dxa"/>
            <w:shd w:val="clear" w:color="auto" w:fill="F7C9AC"/>
          </w:tcPr>
          <w:p w:rsidR="007C5447" w:rsidRDefault="00F6308C">
            <w:pPr>
              <w:pStyle w:val="TableParagraph"/>
              <w:spacing w:line="312" w:lineRule="auto"/>
              <w:ind w:left="185" w:right="155" w:firstLine="45"/>
              <w:jc w:val="left"/>
              <w:rPr>
                <w:b/>
                <w:sz w:val="20"/>
              </w:rPr>
            </w:pPr>
            <w:r>
              <w:rPr>
                <w:b/>
                <w:sz w:val="20"/>
              </w:rPr>
              <w:t>Energy Charges in Paise per kWh</w:t>
            </w:r>
          </w:p>
        </w:tc>
      </w:tr>
      <w:tr w:rsidR="007C5447">
        <w:trPr>
          <w:trHeight w:val="710"/>
        </w:trPr>
        <w:tc>
          <w:tcPr>
            <w:tcW w:w="1416" w:type="dxa"/>
            <w:vMerge w:val="restart"/>
          </w:tcPr>
          <w:p w:rsidR="007C5447" w:rsidRDefault="007C5447">
            <w:pPr>
              <w:pStyle w:val="TableParagraph"/>
              <w:jc w:val="left"/>
              <w:rPr>
                <w:b/>
              </w:rPr>
            </w:pPr>
          </w:p>
          <w:p w:rsidR="007C5447" w:rsidRDefault="007C5447">
            <w:pPr>
              <w:pStyle w:val="TableParagraph"/>
              <w:spacing w:before="3"/>
              <w:jc w:val="left"/>
              <w:rPr>
                <w:b/>
              </w:rPr>
            </w:pPr>
          </w:p>
          <w:p w:rsidR="007C5447" w:rsidRDefault="00F6308C">
            <w:pPr>
              <w:pStyle w:val="TableParagraph"/>
              <w:spacing w:line="312" w:lineRule="auto"/>
              <w:ind w:left="107" w:right="218"/>
              <w:jc w:val="left"/>
              <w:rPr>
                <w:sz w:val="20"/>
              </w:rPr>
            </w:pPr>
            <w:r>
              <w:rPr>
                <w:sz w:val="20"/>
              </w:rPr>
              <w:t>Low Tension Tariff V</w:t>
            </w:r>
          </w:p>
        </w:tc>
        <w:tc>
          <w:tcPr>
            <w:tcW w:w="3687" w:type="dxa"/>
          </w:tcPr>
          <w:p w:rsidR="007C5447" w:rsidRDefault="00F6308C">
            <w:pPr>
              <w:pStyle w:val="TableParagraph"/>
              <w:spacing w:before="55" w:line="312" w:lineRule="auto"/>
              <w:ind w:left="108" w:right="97"/>
              <w:jc w:val="left"/>
              <w:rPr>
                <w:sz w:val="20"/>
              </w:rPr>
            </w:pPr>
            <w:r>
              <w:rPr>
                <w:sz w:val="20"/>
              </w:rPr>
              <w:t>For consumer with consumption 50 units per month or 100 units bimonthly</w:t>
            </w:r>
          </w:p>
        </w:tc>
        <w:tc>
          <w:tcPr>
            <w:tcW w:w="1558" w:type="dxa"/>
            <w:vMerge w:val="restart"/>
          </w:tcPr>
          <w:p w:rsidR="007C5447" w:rsidRDefault="007C5447">
            <w:pPr>
              <w:pStyle w:val="TableParagraph"/>
              <w:jc w:val="left"/>
              <w:rPr>
                <w:b/>
              </w:rPr>
            </w:pPr>
          </w:p>
          <w:p w:rsidR="007C5447" w:rsidRDefault="007C5447">
            <w:pPr>
              <w:pStyle w:val="TableParagraph"/>
              <w:jc w:val="left"/>
              <w:rPr>
                <w:b/>
              </w:rPr>
            </w:pPr>
          </w:p>
          <w:p w:rsidR="007C5447" w:rsidRDefault="00F6308C">
            <w:pPr>
              <w:pStyle w:val="TableParagraph"/>
              <w:spacing w:before="154"/>
              <w:ind w:right="91"/>
              <w:rPr>
                <w:sz w:val="20"/>
              </w:rPr>
            </w:pPr>
            <w:r>
              <w:rPr>
                <w:sz w:val="20"/>
              </w:rPr>
              <w:t>70</w:t>
            </w:r>
          </w:p>
        </w:tc>
        <w:tc>
          <w:tcPr>
            <w:tcW w:w="1843" w:type="dxa"/>
          </w:tcPr>
          <w:p w:rsidR="007C5447" w:rsidRDefault="007C5447">
            <w:pPr>
              <w:pStyle w:val="TableParagraph"/>
              <w:spacing w:before="11"/>
              <w:jc w:val="left"/>
              <w:rPr>
                <w:b/>
                <w:sz w:val="17"/>
              </w:rPr>
            </w:pPr>
          </w:p>
          <w:p w:rsidR="007C5447" w:rsidRDefault="00F6308C">
            <w:pPr>
              <w:pStyle w:val="TableParagraph"/>
              <w:ind w:right="94"/>
              <w:rPr>
                <w:sz w:val="20"/>
              </w:rPr>
            </w:pPr>
            <w:r>
              <w:rPr>
                <w:sz w:val="20"/>
              </w:rPr>
              <w:t>500</w:t>
            </w:r>
          </w:p>
        </w:tc>
      </w:tr>
      <w:tr w:rsidR="007C5447">
        <w:trPr>
          <w:trHeight w:val="897"/>
        </w:trPr>
        <w:tc>
          <w:tcPr>
            <w:tcW w:w="1416" w:type="dxa"/>
            <w:vMerge/>
            <w:tcBorders>
              <w:top w:val="nil"/>
            </w:tcBorders>
          </w:tcPr>
          <w:p w:rsidR="007C5447" w:rsidRDefault="007C5447">
            <w:pPr>
              <w:rPr>
                <w:sz w:val="2"/>
                <w:szCs w:val="2"/>
              </w:rPr>
            </w:pPr>
          </w:p>
        </w:tc>
        <w:tc>
          <w:tcPr>
            <w:tcW w:w="3687" w:type="dxa"/>
          </w:tcPr>
          <w:p w:rsidR="007C5447" w:rsidRDefault="00F6308C">
            <w:pPr>
              <w:pStyle w:val="TableParagraph"/>
              <w:ind w:left="108"/>
              <w:jc w:val="left"/>
              <w:rPr>
                <w:sz w:val="20"/>
              </w:rPr>
            </w:pPr>
            <w:r>
              <w:rPr>
                <w:sz w:val="20"/>
              </w:rPr>
              <w:t>For consumer with consumption above 50</w:t>
            </w:r>
          </w:p>
          <w:p w:rsidR="007C5447" w:rsidRDefault="00F6308C">
            <w:pPr>
              <w:pStyle w:val="TableParagraph"/>
              <w:spacing w:before="10" w:line="290" w:lineRule="atLeast"/>
              <w:ind w:left="108"/>
              <w:jc w:val="left"/>
              <w:rPr>
                <w:sz w:val="20"/>
              </w:rPr>
            </w:pPr>
            <w:r>
              <w:rPr>
                <w:sz w:val="20"/>
              </w:rPr>
              <w:t>units per month or above 100 units bimonthly (For all units)</w:t>
            </w:r>
          </w:p>
        </w:tc>
        <w:tc>
          <w:tcPr>
            <w:tcW w:w="1558" w:type="dxa"/>
            <w:vMerge/>
            <w:tcBorders>
              <w:top w:val="nil"/>
            </w:tcBorders>
          </w:tcPr>
          <w:p w:rsidR="007C5447" w:rsidRDefault="007C5447">
            <w:pPr>
              <w:rPr>
                <w:sz w:val="2"/>
                <w:szCs w:val="2"/>
              </w:rPr>
            </w:pPr>
          </w:p>
        </w:tc>
        <w:tc>
          <w:tcPr>
            <w:tcW w:w="1843" w:type="dxa"/>
          </w:tcPr>
          <w:p w:rsidR="007C5447" w:rsidRDefault="007C5447">
            <w:pPr>
              <w:pStyle w:val="TableParagraph"/>
              <w:spacing w:before="1"/>
              <w:jc w:val="left"/>
              <w:rPr>
                <w:b/>
                <w:sz w:val="26"/>
              </w:rPr>
            </w:pPr>
          </w:p>
          <w:p w:rsidR="007C5447" w:rsidRDefault="00F6308C">
            <w:pPr>
              <w:pStyle w:val="TableParagraph"/>
              <w:ind w:right="94"/>
              <w:rPr>
                <w:sz w:val="20"/>
              </w:rPr>
            </w:pPr>
            <w:r>
              <w:rPr>
                <w:sz w:val="20"/>
              </w:rPr>
              <w:t>805</w:t>
            </w:r>
          </w:p>
        </w:tc>
      </w:tr>
    </w:tbl>
    <w:p w:rsidR="007C5447" w:rsidRDefault="007C5447">
      <w:pPr>
        <w:pStyle w:val="BodyText"/>
        <w:spacing w:before="9"/>
        <w:rPr>
          <w:b/>
          <w:sz w:val="20"/>
        </w:rPr>
      </w:pPr>
    </w:p>
    <w:p w:rsidR="007C5447" w:rsidRDefault="00F6308C">
      <w:pPr>
        <w:pStyle w:val="ListParagraph"/>
        <w:numPr>
          <w:ilvl w:val="3"/>
          <w:numId w:val="11"/>
        </w:numPr>
        <w:tabs>
          <w:tab w:val="left" w:pos="1226"/>
        </w:tabs>
        <w:spacing w:line="312" w:lineRule="auto"/>
        <w:ind w:right="884"/>
        <w:jc w:val="both"/>
        <w:rPr>
          <w:sz w:val="24"/>
        </w:rPr>
      </w:pPr>
      <w:r>
        <w:rPr>
          <w:sz w:val="24"/>
        </w:rPr>
        <w:t xml:space="preserve">This tariff is applicable to consumers not categorized under LT IA, </w:t>
      </w:r>
      <w:r>
        <w:rPr>
          <w:spacing w:val="-2"/>
          <w:sz w:val="24"/>
        </w:rPr>
        <w:t xml:space="preserve">IB, </w:t>
      </w:r>
      <w:r>
        <w:rPr>
          <w:sz w:val="24"/>
        </w:rPr>
        <w:t>IC, IIA, IIB (1), II B (2), IIC, IIIA (I), III A (2), IIIB, IV and</w:t>
      </w:r>
      <w:r>
        <w:rPr>
          <w:spacing w:val="3"/>
          <w:sz w:val="24"/>
        </w:rPr>
        <w:t xml:space="preserve"> </w:t>
      </w:r>
      <w:r>
        <w:rPr>
          <w:sz w:val="24"/>
        </w:rPr>
        <w:t>VI.</w:t>
      </w:r>
    </w:p>
    <w:p w:rsidR="007C5447" w:rsidRDefault="007C5447">
      <w:pPr>
        <w:pStyle w:val="BodyText"/>
        <w:spacing w:before="10"/>
        <w:rPr>
          <w:sz w:val="20"/>
        </w:rPr>
      </w:pPr>
    </w:p>
    <w:p w:rsidR="007C5447" w:rsidRDefault="00F6308C">
      <w:pPr>
        <w:pStyle w:val="ListParagraph"/>
        <w:numPr>
          <w:ilvl w:val="3"/>
          <w:numId w:val="11"/>
        </w:numPr>
        <w:tabs>
          <w:tab w:val="left" w:pos="1226"/>
        </w:tabs>
        <w:spacing w:before="1" w:line="312" w:lineRule="auto"/>
        <w:ind w:right="878"/>
        <w:jc w:val="both"/>
        <w:rPr>
          <w:sz w:val="24"/>
        </w:rPr>
      </w:pPr>
      <w:r>
        <w:rPr>
          <w:sz w:val="24"/>
        </w:rPr>
        <w:t>In respect of multi tenements/multi-storeyed buildings/residential complexes where the number of flats/Tenements</w:t>
      </w:r>
      <w:r>
        <w:rPr>
          <w:sz w:val="24"/>
        </w:rPr>
        <w:t xml:space="preserve"> utilized for commercial and other purposes exceeds 25% of the total built up area, the LT services relating to common utilities such as common lighting, water supply, lift and other facilities shall be charged under this tariff.</w:t>
      </w:r>
    </w:p>
    <w:p w:rsidR="007C5447" w:rsidRDefault="007C5447">
      <w:pPr>
        <w:pStyle w:val="BodyText"/>
        <w:rPr>
          <w:sz w:val="26"/>
        </w:rPr>
      </w:pPr>
    </w:p>
    <w:p w:rsidR="007C5447" w:rsidRDefault="007C5447">
      <w:pPr>
        <w:pStyle w:val="BodyText"/>
        <w:spacing w:before="5"/>
        <w:rPr>
          <w:sz w:val="36"/>
        </w:rPr>
      </w:pPr>
    </w:p>
    <w:p w:rsidR="007C5447" w:rsidRDefault="00F6308C">
      <w:pPr>
        <w:pStyle w:val="Heading2"/>
        <w:numPr>
          <w:ilvl w:val="2"/>
          <w:numId w:val="22"/>
        </w:numPr>
        <w:tabs>
          <w:tab w:val="left" w:pos="1112"/>
          <w:tab w:val="left" w:pos="1113"/>
        </w:tabs>
        <w:spacing w:before="1"/>
        <w:ind w:hanging="853"/>
      </w:pPr>
      <w:r>
        <w:t>Low Tension Tariff</w:t>
      </w:r>
      <w:r>
        <w:rPr>
          <w:spacing w:val="1"/>
        </w:rPr>
        <w:t xml:space="preserve"> </w:t>
      </w:r>
      <w:r>
        <w:t>VI:</w:t>
      </w:r>
    </w:p>
    <w:p w:rsidR="007C5447" w:rsidRDefault="007C5447">
      <w:pPr>
        <w:pStyle w:val="BodyText"/>
        <w:rPr>
          <w:b/>
          <w:sz w:val="28"/>
        </w:rPr>
      </w:pPr>
    </w:p>
    <w:tbl>
      <w:tblPr>
        <w:tblW w:w="0" w:type="auto"/>
        <w:tblInd w:w="12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7"/>
        <w:gridCol w:w="2552"/>
        <w:gridCol w:w="2269"/>
      </w:tblGrid>
      <w:tr w:rsidR="007C5447">
        <w:trPr>
          <w:trHeight w:val="496"/>
        </w:trPr>
        <w:tc>
          <w:tcPr>
            <w:tcW w:w="2977" w:type="dxa"/>
            <w:vMerge w:val="restart"/>
            <w:shd w:val="clear" w:color="auto" w:fill="F7C9AC"/>
          </w:tcPr>
          <w:p w:rsidR="007C5447" w:rsidRDefault="00F6308C">
            <w:pPr>
              <w:pStyle w:val="TableParagraph"/>
              <w:ind w:left="1210" w:right="1206"/>
              <w:jc w:val="center"/>
              <w:rPr>
                <w:b/>
                <w:sz w:val="20"/>
              </w:rPr>
            </w:pPr>
            <w:r>
              <w:rPr>
                <w:b/>
                <w:sz w:val="20"/>
              </w:rPr>
              <w:t>Tariff</w:t>
            </w:r>
          </w:p>
        </w:tc>
        <w:tc>
          <w:tcPr>
            <w:tcW w:w="4821" w:type="dxa"/>
            <w:gridSpan w:val="2"/>
            <w:shd w:val="clear" w:color="auto" w:fill="F7C9AC"/>
          </w:tcPr>
          <w:p w:rsidR="007C5447" w:rsidRDefault="00F6308C">
            <w:pPr>
              <w:pStyle w:val="TableParagraph"/>
              <w:ind w:left="1070"/>
              <w:jc w:val="left"/>
              <w:rPr>
                <w:b/>
                <w:sz w:val="20"/>
              </w:rPr>
            </w:pPr>
            <w:r>
              <w:rPr>
                <w:b/>
                <w:sz w:val="20"/>
              </w:rPr>
              <w:t>Commission Determined Tariff</w:t>
            </w:r>
          </w:p>
        </w:tc>
      </w:tr>
      <w:tr w:rsidR="007C5447">
        <w:trPr>
          <w:trHeight w:val="597"/>
        </w:trPr>
        <w:tc>
          <w:tcPr>
            <w:tcW w:w="2977" w:type="dxa"/>
            <w:vMerge/>
            <w:tcBorders>
              <w:top w:val="nil"/>
            </w:tcBorders>
            <w:shd w:val="clear" w:color="auto" w:fill="F7C9AC"/>
          </w:tcPr>
          <w:p w:rsidR="007C5447" w:rsidRDefault="007C5447">
            <w:pPr>
              <w:rPr>
                <w:sz w:val="2"/>
                <w:szCs w:val="2"/>
              </w:rPr>
            </w:pPr>
          </w:p>
        </w:tc>
        <w:tc>
          <w:tcPr>
            <w:tcW w:w="2552" w:type="dxa"/>
            <w:shd w:val="clear" w:color="auto" w:fill="F7C9AC"/>
          </w:tcPr>
          <w:p w:rsidR="007C5447" w:rsidRDefault="00F6308C">
            <w:pPr>
              <w:pStyle w:val="TableParagraph"/>
              <w:ind w:left="94" w:right="91"/>
              <w:jc w:val="center"/>
              <w:rPr>
                <w:b/>
                <w:sz w:val="20"/>
              </w:rPr>
            </w:pPr>
            <w:r>
              <w:rPr>
                <w:b/>
                <w:sz w:val="20"/>
              </w:rPr>
              <w:t>Fixed Charges (Rupees per</w:t>
            </w:r>
          </w:p>
          <w:p w:rsidR="007C5447" w:rsidRDefault="00F6308C">
            <w:pPr>
              <w:pStyle w:val="TableParagraph"/>
              <w:spacing w:before="68"/>
              <w:ind w:left="94" w:right="91"/>
              <w:jc w:val="center"/>
              <w:rPr>
                <w:b/>
                <w:sz w:val="20"/>
              </w:rPr>
            </w:pPr>
            <w:r>
              <w:rPr>
                <w:b/>
                <w:sz w:val="20"/>
              </w:rPr>
              <w:t>kW per month)</w:t>
            </w:r>
          </w:p>
        </w:tc>
        <w:tc>
          <w:tcPr>
            <w:tcW w:w="2269" w:type="dxa"/>
            <w:shd w:val="clear" w:color="auto" w:fill="F7C9AC"/>
          </w:tcPr>
          <w:p w:rsidR="007C5447" w:rsidRDefault="00F6308C">
            <w:pPr>
              <w:pStyle w:val="TableParagraph"/>
              <w:ind w:left="340" w:right="334"/>
              <w:jc w:val="center"/>
              <w:rPr>
                <w:b/>
                <w:sz w:val="20"/>
              </w:rPr>
            </w:pPr>
            <w:r>
              <w:rPr>
                <w:b/>
                <w:sz w:val="20"/>
              </w:rPr>
              <w:t>Energy charges in</w:t>
            </w:r>
          </w:p>
          <w:p w:rsidR="007C5447" w:rsidRDefault="00F6308C">
            <w:pPr>
              <w:pStyle w:val="TableParagraph"/>
              <w:spacing w:before="68"/>
              <w:ind w:left="335" w:right="334"/>
              <w:jc w:val="center"/>
              <w:rPr>
                <w:b/>
                <w:sz w:val="20"/>
              </w:rPr>
            </w:pPr>
            <w:r>
              <w:rPr>
                <w:b/>
                <w:sz w:val="20"/>
              </w:rPr>
              <w:t>paise/kWh</w:t>
            </w:r>
          </w:p>
        </w:tc>
      </w:tr>
      <w:tr w:rsidR="007C5447">
        <w:trPr>
          <w:trHeight w:val="484"/>
        </w:trPr>
        <w:tc>
          <w:tcPr>
            <w:tcW w:w="2977" w:type="dxa"/>
          </w:tcPr>
          <w:p w:rsidR="007C5447" w:rsidRDefault="00F6308C">
            <w:pPr>
              <w:pStyle w:val="TableParagraph"/>
              <w:ind w:left="107"/>
              <w:jc w:val="left"/>
              <w:rPr>
                <w:sz w:val="20"/>
              </w:rPr>
            </w:pPr>
            <w:r>
              <w:rPr>
                <w:sz w:val="20"/>
              </w:rPr>
              <w:t>Low Tension Tariff VI</w:t>
            </w:r>
          </w:p>
        </w:tc>
        <w:tc>
          <w:tcPr>
            <w:tcW w:w="2552" w:type="dxa"/>
          </w:tcPr>
          <w:p w:rsidR="007C5447" w:rsidRDefault="00F6308C">
            <w:pPr>
              <w:pStyle w:val="TableParagraph"/>
              <w:ind w:left="94" w:right="83"/>
              <w:jc w:val="center"/>
              <w:rPr>
                <w:sz w:val="20"/>
              </w:rPr>
            </w:pPr>
            <w:r>
              <w:rPr>
                <w:sz w:val="20"/>
              </w:rPr>
              <w:t>345</w:t>
            </w:r>
          </w:p>
        </w:tc>
        <w:tc>
          <w:tcPr>
            <w:tcW w:w="2269" w:type="dxa"/>
          </w:tcPr>
          <w:p w:rsidR="007C5447" w:rsidRDefault="00F6308C">
            <w:pPr>
              <w:pStyle w:val="TableParagraph"/>
              <w:ind w:left="107"/>
              <w:jc w:val="left"/>
              <w:rPr>
                <w:sz w:val="20"/>
              </w:rPr>
            </w:pPr>
            <w:r>
              <w:rPr>
                <w:sz w:val="20"/>
              </w:rPr>
              <w:t>1200</w:t>
            </w:r>
          </w:p>
        </w:tc>
      </w:tr>
    </w:tbl>
    <w:p w:rsidR="007C5447" w:rsidRDefault="007C5447">
      <w:pPr>
        <w:pStyle w:val="BodyText"/>
        <w:spacing w:before="9"/>
        <w:rPr>
          <w:b/>
          <w:sz w:val="20"/>
        </w:rPr>
      </w:pPr>
    </w:p>
    <w:p w:rsidR="007C5447" w:rsidRDefault="00F6308C">
      <w:pPr>
        <w:pStyle w:val="ListParagraph"/>
        <w:numPr>
          <w:ilvl w:val="3"/>
          <w:numId w:val="10"/>
        </w:numPr>
        <w:tabs>
          <w:tab w:val="left" w:pos="1226"/>
        </w:tabs>
        <w:spacing w:line="312" w:lineRule="auto"/>
        <w:ind w:right="882"/>
        <w:jc w:val="both"/>
        <w:rPr>
          <w:sz w:val="24"/>
        </w:rPr>
      </w:pPr>
      <w:r>
        <w:rPr>
          <w:sz w:val="24"/>
        </w:rPr>
        <w:t>This tariff is applicable for supply of power for temporary activities, construction of buildings and lavish</w:t>
      </w:r>
      <w:r>
        <w:rPr>
          <w:spacing w:val="-1"/>
          <w:sz w:val="24"/>
        </w:rPr>
        <w:t xml:space="preserve"> </w:t>
      </w:r>
      <w:r>
        <w:rPr>
          <w:sz w:val="24"/>
        </w:rPr>
        <w:t>illumination.</w:t>
      </w:r>
    </w:p>
    <w:p w:rsidR="007C5447" w:rsidRDefault="007C5447">
      <w:pPr>
        <w:pStyle w:val="BodyText"/>
        <w:spacing w:before="10"/>
        <w:rPr>
          <w:sz w:val="20"/>
        </w:rPr>
      </w:pPr>
    </w:p>
    <w:p w:rsidR="007C5447" w:rsidRDefault="00F6308C">
      <w:pPr>
        <w:pStyle w:val="ListParagraph"/>
        <w:numPr>
          <w:ilvl w:val="3"/>
          <w:numId w:val="10"/>
        </w:numPr>
        <w:tabs>
          <w:tab w:val="left" w:pos="1226"/>
        </w:tabs>
        <w:spacing w:line="312" w:lineRule="auto"/>
        <w:ind w:right="879"/>
        <w:jc w:val="both"/>
        <w:rPr>
          <w:sz w:val="24"/>
        </w:rPr>
      </w:pPr>
      <w:r>
        <w:rPr>
          <w:sz w:val="24"/>
        </w:rPr>
        <w:t>The electricity supply for the additional construction beyond 2000 square feet in  the premises of an existing consumer shall be pro</w:t>
      </w:r>
      <w:r>
        <w:rPr>
          <w:sz w:val="24"/>
        </w:rPr>
        <w:t>vided only through a separate service connection and charged under this</w:t>
      </w:r>
      <w:r>
        <w:rPr>
          <w:spacing w:val="1"/>
          <w:sz w:val="24"/>
        </w:rPr>
        <w:t xml:space="preserve"> </w:t>
      </w:r>
      <w:r>
        <w:rPr>
          <w:sz w:val="24"/>
        </w:rPr>
        <w:t>tariff.</w:t>
      </w:r>
    </w:p>
    <w:p w:rsidR="007C5447" w:rsidRDefault="007C5447">
      <w:pPr>
        <w:pStyle w:val="BodyText"/>
        <w:rPr>
          <w:sz w:val="21"/>
        </w:rPr>
      </w:pPr>
    </w:p>
    <w:p w:rsidR="007C5447" w:rsidRDefault="00F6308C">
      <w:pPr>
        <w:pStyle w:val="ListParagraph"/>
        <w:numPr>
          <w:ilvl w:val="3"/>
          <w:numId w:val="10"/>
        </w:numPr>
        <w:tabs>
          <w:tab w:val="left" w:pos="1226"/>
        </w:tabs>
        <w:spacing w:line="312" w:lineRule="auto"/>
        <w:ind w:right="875"/>
        <w:jc w:val="both"/>
        <w:rPr>
          <w:sz w:val="24"/>
        </w:rPr>
      </w:pPr>
      <w:r>
        <w:rPr>
          <w:sz w:val="24"/>
        </w:rPr>
        <w:t>For temporary supply, the initial/in-principle approval for such construction or to conduct such temporary activity obtained by the applicant from the appropriate authority, w</w:t>
      </w:r>
      <w:r>
        <w:rPr>
          <w:sz w:val="24"/>
        </w:rPr>
        <w:t>herever necessary, is adequate to effect the</w:t>
      </w:r>
      <w:r>
        <w:rPr>
          <w:spacing w:val="-5"/>
          <w:sz w:val="24"/>
        </w:rPr>
        <w:t xml:space="preserve"> </w:t>
      </w:r>
      <w:r>
        <w:rPr>
          <w:sz w:val="24"/>
        </w:rPr>
        <w:t>supply.</w:t>
      </w:r>
    </w:p>
    <w:p w:rsidR="007C5447" w:rsidRDefault="007C5447">
      <w:pPr>
        <w:spacing w:line="312" w:lineRule="auto"/>
        <w:jc w:val="both"/>
        <w:rPr>
          <w:sz w:val="24"/>
        </w:rPr>
        <w:sectPr w:rsidR="007C5447">
          <w:footerReference w:type="default" r:id="rId80"/>
          <w:pgSz w:w="11910" w:h="16840"/>
          <w:pgMar w:top="1360" w:right="560" w:bottom="1240" w:left="1180" w:header="0" w:footer="1057" w:gutter="0"/>
          <w:cols w:space="720"/>
        </w:sectPr>
      </w:pPr>
    </w:p>
    <w:p w:rsidR="007C5447" w:rsidRDefault="00F6308C">
      <w:pPr>
        <w:pStyle w:val="ListParagraph"/>
        <w:numPr>
          <w:ilvl w:val="3"/>
          <w:numId w:val="10"/>
        </w:numPr>
        <w:tabs>
          <w:tab w:val="left" w:pos="1226"/>
        </w:tabs>
        <w:spacing w:before="60" w:line="312" w:lineRule="auto"/>
        <w:ind w:right="885"/>
        <w:jc w:val="both"/>
        <w:rPr>
          <w:sz w:val="24"/>
        </w:rPr>
      </w:pPr>
      <w:r>
        <w:rPr>
          <w:sz w:val="24"/>
        </w:rPr>
        <w:lastRenderedPageBreak/>
        <w:t>In case of conversion of temporary supply into applicable permanent supply, the same shall be done subject to compliance of</w:t>
      </w:r>
      <w:r>
        <w:rPr>
          <w:spacing w:val="-6"/>
          <w:sz w:val="24"/>
        </w:rPr>
        <w:t xml:space="preserve"> </w:t>
      </w:r>
      <w:r>
        <w:rPr>
          <w:sz w:val="24"/>
        </w:rPr>
        <w:t>codes/regulations/orders.</w:t>
      </w:r>
    </w:p>
    <w:p w:rsidR="007C5447" w:rsidRDefault="007C5447">
      <w:pPr>
        <w:pStyle w:val="BodyText"/>
        <w:spacing w:before="11"/>
        <w:rPr>
          <w:sz w:val="20"/>
        </w:rPr>
      </w:pPr>
    </w:p>
    <w:p w:rsidR="007C5447" w:rsidRDefault="00F6308C">
      <w:pPr>
        <w:pStyle w:val="ListParagraph"/>
        <w:numPr>
          <w:ilvl w:val="3"/>
          <w:numId w:val="10"/>
        </w:numPr>
        <w:tabs>
          <w:tab w:val="left" w:pos="1288"/>
        </w:tabs>
        <w:spacing w:line="312" w:lineRule="auto"/>
        <w:ind w:right="881"/>
        <w:jc w:val="both"/>
        <w:rPr>
          <w:sz w:val="24"/>
        </w:rPr>
      </w:pPr>
      <w:r>
        <w:tab/>
      </w:r>
      <w:r>
        <w:rPr>
          <w:spacing w:val="-3"/>
          <w:sz w:val="24"/>
        </w:rPr>
        <w:t xml:space="preserve">In </w:t>
      </w:r>
      <w:r>
        <w:rPr>
          <w:sz w:val="24"/>
        </w:rPr>
        <w:t xml:space="preserve">case of lavish illumination, if the illumination is done frequently or permanently, separate regular </w:t>
      </w:r>
      <w:r>
        <w:rPr>
          <w:sz w:val="24"/>
        </w:rPr>
        <w:t>service connection shall be provided for lavish illumination and charged under this</w:t>
      </w:r>
      <w:r>
        <w:rPr>
          <w:spacing w:val="1"/>
          <w:sz w:val="24"/>
        </w:rPr>
        <w:t xml:space="preserve"> </w:t>
      </w:r>
      <w:r>
        <w:rPr>
          <w:sz w:val="24"/>
        </w:rPr>
        <w:t>tariff.</w:t>
      </w:r>
    </w:p>
    <w:p w:rsidR="007C5447" w:rsidRDefault="007C5447">
      <w:pPr>
        <w:pStyle w:val="BodyText"/>
        <w:spacing w:before="9"/>
        <w:rPr>
          <w:sz w:val="20"/>
        </w:rPr>
      </w:pPr>
    </w:p>
    <w:p w:rsidR="007C5447" w:rsidRDefault="00F6308C">
      <w:pPr>
        <w:pStyle w:val="ListParagraph"/>
        <w:numPr>
          <w:ilvl w:val="3"/>
          <w:numId w:val="10"/>
        </w:numPr>
        <w:tabs>
          <w:tab w:val="left" w:pos="1226"/>
        </w:tabs>
        <w:spacing w:line="312" w:lineRule="auto"/>
        <w:ind w:right="880"/>
        <w:jc w:val="both"/>
        <w:rPr>
          <w:sz w:val="24"/>
        </w:rPr>
      </w:pPr>
      <w:r>
        <w:rPr>
          <w:sz w:val="24"/>
        </w:rPr>
        <w:t>If the supply is availed for short duration for the temporary activity/illumination from an existing metered service connection, the computation of energy/fixed ch</w:t>
      </w:r>
      <w:r>
        <w:rPr>
          <w:sz w:val="24"/>
        </w:rPr>
        <w:t>arges for temporary illumination/activity shall be done based on the contracted load and duration of temporary supply. Contracted load shall be accounted in kW or part thereof. Fixed charges shall be for a month or part thereof. Due credit for such compute</w:t>
      </w:r>
      <w:r>
        <w:rPr>
          <w:sz w:val="24"/>
        </w:rPr>
        <w:t>d energy, limited to the meter consumption of the respective billing period, shall be given in the energy recorded by the meter during the respective billing period for the purpose of regular billing of the existing service connection. The consumer shall a</w:t>
      </w:r>
      <w:r>
        <w:rPr>
          <w:sz w:val="24"/>
        </w:rPr>
        <w:t>bide by the safety norms for</w:t>
      </w:r>
      <w:r>
        <w:rPr>
          <w:spacing w:val="-13"/>
          <w:sz w:val="24"/>
        </w:rPr>
        <w:t xml:space="preserve"> </w:t>
      </w:r>
      <w:r>
        <w:rPr>
          <w:sz w:val="24"/>
        </w:rPr>
        <w:t>wiring.</w:t>
      </w:r>
    </w:p>
    <w:p w:rsidR="007C5447" w:rsidRDefault="007C5447">
      <w:pPr>
        <w:pStyle w:val="BodyText"/>
        <w:rPr>
          <w:sz w:val="21"/>
        </w:rPr>
      </w:pPr>
    </w:p>
    <w:p w:rsidR="007C5447" w:rsidRDefault="00F6308C">
      <w:pPr>
        <w:pStyle w:val="ListParagraph"/>
        <w:numPr>
          <w:ilvl w:val="3"/>
          <w:numId w:val="10"/>
        </w:numPr>
        <w:tabs>
          <w:tab w:val="left" w:pos="1226"/>
        </w:tabs>
        <w:ind w:hanging="966"/>
        <w:rPr>
          <w:sz w:val="24"/>
        </w:rPr>
      </w:pPr>
      <w:r>
        <w:rPr>
          <w:sz w:val="24"/>
        </w:rPr>
        <w:t>The following are considered as Lavish</w:t>
      </w:r>
      <w:r>
        <w:rPr>
          <w:spacing w:val="1"/>
          <w:sz w:val="24"/>
        </w:rPr>
        <w:t xml:space="preserve"> </w:t>
      </w:r>
      <w:r>
        <w:rPr>
          <w:sz w:val="24"/>
        </w:rPr>
        <w:t>Illumination.</w:t>
      </w:r>
    </w:p>
    <w:p w:rsidR="007C5447" w:rsidRDefault="007C5447">
      <w:pPr>
        <w:pStyle w:val="BodyText"/>
        <w:rPr>
          <w:sz w:val="28"/>
        </w:rPr>
      </w:pPr>
    </w:p>
    <w:p w:rsidR="007C5447" w:rsidRDefault="00F6308C">
      <w:pPr>
        <w:pStyle w:val="ListParagraph"/>
        <w:numPr>
          <w:ilvl w:val="4"/>
          <w:numId w:val="10"/>
        </w:numPr>
        <w:tabs>
          <w:tab w:val="left" w:pos="1701"/>
        </w:tabs>
        <w:rPr>
          <w:sz w:val="24"/>
        </w:rPr>
      </w:pPr>
      <w:r>
        <w:rPr>
          <w:sz w:val="24"/>
        </w:rPr>
        <w:t>Illumination done for hoardings &amp; advertisement</w:t>
      </w:r>
      <w:r>
        <w:rPr>
          <w:spacing w:val="-1"/>
          <w:sz w:val="24"/>
        </w:rPr>
        <w:t xml:space="preserve"> </w:t>
      </w:r>
      <w:r>
        <w:rPr>
          <w:sz w:val="24"/>
        </w:rPr>
        <w:t>boards.</w:t>
      </w:r>
    </w:p>
    <w:p w:rsidR="007C5447" w:rsidRDefault="007C5447">
      <w:pPr>
        <w:pStyle w:val="BodyText"/>
        <w:spacing w:before="2"/>
        <w:rPr>
          <w:sz w:val="28"/>
        </w:rPr>
      </w:pPr>
    </w:p>
    <w:p w:rsidR="007C5447" w:rsidRDefault="00F6308C">
      <w:pPr>
        <w:pStyle w:val="ListParagraph"/>
        <w:numPr>
          <w:ilvl w:val="4"/>
          <w:numId w:val="10"/>
        </w:numPr>
        <w:tabs>
          <w:tab w:val="left" w:pos="1679"/>
        </w:tabs>
        <w:spacing w:line="312" w:lineRule="auto"/>
        <w:ind w:left="1678" w:right="881" w:hanging="425"/>
        <w:jc w:val="both"/>
        <w:rPr>
          <w:sz w:val="24"/>
        </w:rPr>
      </w:pPr>
      <w:r>
        <w:rPr>
          <w:sz w:val="24"/>
        </w:rPr>
        <w:t>Extra/additional illumination done outside the building and in the open areas for</w:t>
      </w:r>
      <w:r>
        <w:rPr>
          <w:spacing w:val="-3"/>
          <w:sz w:val="24"/>
        </w:rPr>
        <w:t xml:space="preserve"> </w:t>
      </w:r>
      <w:r>
        <w:rPr>
          <w:sz w:val="24"/>
        </w:rPr>
        <w:t>parties/functions/occasions.</w:t>
      </w:r>
    </w:p>
    <w:p w:rsidR="007C5447" w:rsidRDefault="007C5447">
      <w:pPr>
        <w:pStyle w:val="BodyText"/>
        <w:spacing w:before="10"/>
        <w:rPr>
          <w:sz w:val="20"/>
        </w:rPr>
      </w:pPr>
    </w:p>
    <w:p w:rsidR="007C5447" w:rsidRDefault="00F6308C">
      <w:pPr>
        <w:pStyle w:val="ListParagraph"/>
        <w:numPr>
          <w:ilvl w:val="4"/>
          <w:numId w:val="10"/>
        </w:numPr>
        <w:tabs>
          <w:tab w:val="left" w:pos="1679"/>
        </w:tabs>
        <w:spacing w:before="1" w:line="312" w:lineRule="auto"/>
        <w:ind w:left="1678" w:right="880" w:hanging="425"/>
        <w:jc w:val="both"/>
        <w:rPr>
          <w:sz w:val="24"/>
        </w:rPr>
      </w:pPr>
      <w:r>
        <w:rPr>
          <w:sz w:val="24"/>
        </w:rPr>
        <w:t>Illumination done in the outer surface/outside the buildings/shops by display lights, serial lamps, decorative lights, special effect lamps, neo</w:t>
      </w:r>
      <w:r>
        <w:rPr>
          <w:sz w:val="24"/>
        </w:rPr>
        <w:t>n lamps, ornamental lamps, flood lights,</w:t>
      </w:r>
      <w:r>
        <w:rPr>
          <w:spacing w:val="1"/>
          <w:sz w:val="24"/>
        </w:rPr>
        <w:t xml:space="preserve"> </w:t>
      </w:r>
      <w:r>
        <w:rPr>
          <w:sz w:val="24"/>
        </w:rPr>
        <w:t>etc.</w:t>
      </w:r>
    </w:p>
    <w:p w:rsidR="007C5447" w:rsidRDefault="007C5447">
      <w:pPr>
        <w:pStyle w:val="BodyText"/>
        <w:spacing w:before="8"/>
        <w:rPr>
          <w:sz w:val="20"/>
        </w:rPr>
      </w:pPr>
    </w:p>
    <w:p w:rsidR="007C5447" w:rsidRDefault="00F6308C">
      <w:pPr>
        <w:pStyle w:val="ListParagraph"/>
        <w:numPr>
          <w:ilvl w:val="4"/>
          <w:numId w:val="10"/>
        </w:numPr>
        <w:tabs>
          <w:tab w:val="left" w:pos="1679"/>
        </w:tabs>
        <w:spacing w:before="1" w:line="312" w:lineRule="auto"/>
        <w:ind w:left="1678" w:right="882" w:hanging="425"/>
        <w:jc w:val="both"/>
        <w:rPr>
          <w:sz w:val="24"/>
        </w:rPr>
      </w:pPr>
      <w:r>
        <w:rPr>
          <w:sz w:val="24"/>
        </w:rPr>
        <w:t>Temporary Illumination done for public meetings in pandals/shamianas, path ways, streets and roads.</w:t>
      </w:r>
    </w:p>
    <w:p w:rsidR="007C5447" w:rsidRDefault="007C5447">
      <w:pPr>
        <w:pStyle w:val="BodyText"/>
        <w:spacing w:before="9"/>
        <w:rPr>
          <w:sz w:val="20"/>
        </w:rPr>
      </w:pPr>
    </w:p>
    <w:p w:rsidR="007C5447" w:rsidRDefault="00F6308C">
      <w:pPr>
        <w:pStyle w:val="BodyText"/>
        <w:spacing w:before="1" w:line="312" w:lineRule="auto"/>
        <w:ind w:left="1678" w:right="875"/>
        <w:jc w:val="both"/>
      </w:pPr>
      <w:r>
        <w:t>Explanation: The supply used for the purpose of indicating/displaying the name and other details of the shop</w:t>
      </w:r>
      <w:r>
        <w:t>/buildings shall not be considered as lavish illumination.</w:t>
      </w:r>
    </w:p>
    <w:p w:rsidR="007C5447" w:rsidRDefault="007C5447">
      <w:pPr>
        <w:pStyle w:val="BodyText"/>
        <w:rPr>
          <w:sz w:val="21"/>
        </w:rPr>
      </w:pPr>
    </w:p>
    <w:p w:rsidR="007C5447" w:rsidRDefault="00F6308C">
      <w:pPr>
        <w:pStyle w:val="Heading2"/>
        <w:numPr>
          <w:ilvl w:val="1"/>
          <w:numId w:val="9"/>
        </w:numPr>
        <w:tabs>
          <w:tab w:val="left" w:pos="826"/>
          <w:tab w:val="left" w:pos="827"/>
        </w:tabs>
      </w:pPr>
      <w:bookmarkStart w:id="93" w:name="_bookmark93"/>
      <w:bookmarkEnd w:id="93"/>
      <w:r>
        <w:t>Applicability of the Tariff</w:t>
      </w:r>
      <w:r>
        <w:rPr>
          <w:spacing w:val="1"/>
        </w:rPr>
        <w:t xml:space="preserve"> </w:t>
      </w:r>
      <w:r>
        <w:t>Schedule</w:t>
      </w:r>
    </w:p>
    <w:p w:rsidR="007C5447" w:rsidRDefault="007C5447">
      <w:pPr>
        <w:pStyle w:val="BodyText"/>
        <w:spacing w:before="11"/>
        <w:rPr>
          <w:b/>
          <w:sz w:val="27"/>
        </w:rPr>
      </w:pPr>
    </w:p>
    <w:p w:rsidR="007C5447" w:rsidRDefault="00F6308C">
      <w:pPr>
        <w:pStyle w:val="ListParagraph"/>
        <w:numPr>
          <w:ilvl w:val="2"/>
          <w:numId w:val="9"/>
        </w:numPr>
        <w:tabs>
          <w:tab w:val="left" w:pos="1113"/>
        </w:tabs>
        <w:spacing w:line="312" w:lineRule="auto"/>
        <w:ind w:right="880"/>
        <w:jc w:val="both"/>
        <w:rPr>
          <w:sz w:val="24"/>
        </w:rPr>
      </w:pPr>
      <w:r>
        <w:rPr>
          <w:sz w:val="24"/>
        </w:rPr>
        <w:t>The above tariff schedule shall be read with the General Terms and Conditions of Supply Code and Distribution code specified by the</w:t>
      </w:r>
      <w:r>
        <w:rPr>
          <w:spacing w:val="-15"/>
          <w:sz w:val="24"/>
        </w:rPr>
        <w:t xml:space="preserve"> </w:t>
      </w:r>
      <w:r>
        <w:rPr>
          <w:sz w:val="24"/>
        </w:rPr>
        <w:t>Commission.</w:t>
      </w:r>
    </w:p>
    <w:p w:rsidR="007C5447" w:rsidRDefault="007C5447">
      <w:pPr>
        <w:pStyle w:val="BodyText"/>
        <w:spacing w:before="10"/>
        <w:rPr>
          <w:sz w:val="20"/>
        </w:rPr>
      </w:pPr>
    </w:p>
    <w:p w:rsidR="007C5447" w:rsidRDefault="00F6308C">
      <w:pPr>
        <w:pStyle w:val="ListParagraph"/>
        <w:numPr>
          <w:ilvl w:val="2"/>
          <w:numId w:val="9"/>
        </w:numPr>
        <w:tabs>
          <w:tab w:val="left" w:pos="1112"/>
          <w:tab w:val="left" w:pos="1113"/>
        </w:tabs>
        <w:ind w:hanging="853"/>
        <w:rPr>
          <w:sz w:val="24"/>
        </w:rPr>
      </w:pPr>
      <w:r>
        <w:rPr>
          <w:sz w:val="24"/>
        </w:rPr>
        <w:t>Effecting change in tariff category for a consumer in accordance with this order</w:t>
      </w:r>
      <w:r>
        <w:rPr>
          <w:spacing w:val="-6"/>
          <w:sz w:val="24"/>
        </w:rPr>
        <w:t xml:space="preserve"> </w:t>
      </w:r>
      <w:r>
        <w:rPr>
          <w:sz w:val="24"/>
        </w:rPr>
        <w:t>shall</w:t>
      </w:r>
    </w:p>
    <w:p w:rsidR="007C5447" w:rsidRDefault="007C5447">
      <w:pPr>
        <w:rPr>
          <w:sz w:val="24"/>
        </w:rPr>
        <w:sectPr w:rsidR="007C5447">
          <w:footerReference w:type="default" r:id="rId81"/>
          <w:pgSz w:w="11910" w:h="16840"/>
          <w:pgMar w:top="1360" w:right="560" w:bottom="1240" w:left="1180" w:header="0" w:footer="1057" w:gutter="0"/>
          <w:pgNumType w:start="341"/>
          <w:cols w:space="720"/>
        </w:sectPr>
      </w:pPr>
    </w:p>
    <w:p w:rsidR="007C5447" w:rsidRDefault="00F6308C">
      <w:pPr>
        <w:pStyle w:val="BodyText"/>
        <w:spacing w:before="60"/>
        <w:ind w:left="1112"/>
      </w:pPr>
      <w:r>
        <w:lastRenderedPageBreak/>
        <w:t>be the responsibility of TANGEDCO.</w:t>
      </w:r>
    </w:p>
    <w:p w:rsidR="007C5447" w:rsidRDefault="007C5447">
      <w:pPr>
        <w:pStyle w:val="BodyText"/>
        <w:rPr>
          <w:sz w:val="28"/>
        </w:rPr>
      </w:pPr>
    </w:p>
    <w:p w:rsidR="007C5447" w:rsidRDefault="00F6308C">
      <w:pPr>
        <w:pStyle w:val="ListParagraph"/>
        <w:numPr>
          <w:ilvl w:val="2"/>
          <w:numId w:val="9"/>
        </w:numPr>
        <w:tabs>
          <w:tab w:val="left" w:pos="1112"/>
          <w:tab w:val="left" w:pos="1113"/>
        </w:tabs>
        <w:spacing w:line="312" w:lineRule="auto"/>
        <w:ind w:right="882"/>
        <w:rPr>
          <w:sz w:val="24"/>
        </w:rPr>
      </w:pPr>
      <w:r>
        <w:rPr>
          <w:sz w:val="24"/>
        </w:rPr>
        <w:t>The tariff schedule of this order shall be displayed prominently by the licensee in all section and other offices of TANGEDCO as well on its</w:t>
      </w:r>
      <w:r>
        <w:rPr>
          <w:spacing w:val="-1"/>
          <w:sz w:val="24"/>
        </w:rPr>
        <w:t xml:space="preserve"> </w:t>
      </w:r>
      <w:r>
        <w:rPr>
          <w:sz w:val="24"/>
        </w:rPr>
        <w:t>website.</w:t>
      </w:r>
    </w:p>
    <w:p w:rsidR="007C5447" w:rsidRDefault="007C5447">
      <w:pPr>
        <w:spacing w:line="312" w:lineRule="auto"/>
        <w:rPr>
          <w:sz w:val="24"/>
        </w:rPr>
        <w:sectPr w:rsidR="007C5447">
          <w:pgSz w:w="11910" w:h="16840"/>
          <w:pgMar w:top="1360" w:right="560" w:bottom="1240" w:left="1180" w:header="0" w:footer="1057" w:gutter="0"/>
          <w:cols w:space="720"/>
        </w:sectPr>
      </w:pPr>
    </w:p>
    <w:p w:rsidR="007C5447" w:rsidRDefault="00F6308C">
      <w:pPr>
        <w:pStyle w:val="Heading1"/>
        <w:numPr>
          <w:ilvl w:val="0"/>
          <w:numId w:val="114"/>
        </w:numPr>
        <w:tabs>
          <w:tab w:val="left" w:pos="692"/>
          <w:tab w:val="left" w:pos="693"/>
        </w:tabs>
        <w:ind w:left="692" w:hanging="433"/>
        <w:jc w:val="left"/>
      </w:pPr>
      <w:bookmarkStart w:id="94" w:name="_bookmark94"/>
      <w:bookmarkEnd w:id="94"/>
      <w:r>
        <w:lastRenderedPageBreak/>
        <w:t>SUMMARY OF DIRECTIVES</w:t>
      </w:r>
    </w:p>
    <w:p w:rsidR="007C5447" w:rsidRDefault="00F6308C">
      <w:pPr>
        <w:pStyle w:val="BodyText"/>
        <w:spacing w:before="1"/>
        <w:rPr>
          <w:b/>
          <w:sz w:val="16"/>
        </w:rPr>
      </w:pPr>
      <w:r>
        <w:pict>
          <v:line id="_x0000_s1045" style="position:absolute;z-index:-251634688;mso-wrap-distance-left:0;mso-wrap-distance-right:0;mso-position-horizontal-relative:page" from="70.6pt,11.45pt" to="524.85pt,11.45pt" strokeweight=".48pt">
            <w10:wrap type="topAndBottom" anchorx="page"/>
          </v:line>
        </w:pict>
      </w:r>
    </w:p>
    <w:p w:rsidR="007C5447" w:rsidRDefault="007C5447">
      <w:pPr>
        <w:pStyle w:val="BodyText"/>
        <w:spacing w:before="7"/>
        <w:rPr>
          <w:b/>
          <w:sz w:val="10"/>
        </w:rPr>
      </w:pPr>
    </w:p>
    <w:p w:rsidR="007C5447" w:rsidRDefault="00F6308C">
      <w:pPr>
        <w:pStyle w:val="ListParagraph"/>
        <w:numPr>
          <w:ilvl w:val="2"/>
          <w:numId w:val="8"/>
        </w:numPr>
        <w:tabs>
          <w:tab w:val="left" w:pos="1112"/>
          <w:tab w:val="left" w:pos="1113"/>
        </w:tabs>
        <w:spacing w:before="90"/>
        <w:ind w:hanging="853"/>
        <w:rPr>
          <w:sz w:val="24"/>
        </w:rPr>
      </w:pPr>
      <w:r>
        <w:rPr>
          <w:sz w:val="24"/>
        </w:rPr>
        <w:t>The Commission directs</w:t>
      </w:r>
      <w:r>
        <w:rPr>
          <w:spacing w:val="-3"/>
          <w:sz w:val="24"/>
        </w:rPr>
        <w:t xml:space="preserve"> </w:t>
      </w:r>
      <w:r>
        <w:rPr>
          <w:sz w:val="24"/>
        </w:rPr>
        <w:t>TANGEDCO</w:t>
      </w:r>
    </w:p>
    <w:p w:rsidR="007C5447" w:rsidRDefault="007C5447">
      <w:pPr>
        <w:pStyle w:val="BodyText"/>
        <w:spacing w:before="2"/>
        <w:rPr>
          <w:sz w:val="28"/>
        </w:rPr>
      </w:pPr>
    </w:p>
    <w:p w:rsidR="007C5447" w:rsidRDefault="00F6308C">
      <w:pPr>
        <w:pStyle w:val="ListParagraph"/>
        <w:numPr>
          <w:ilvl w:val="3"/>
          <w:numId w:val="8"/>
        </w:numPr>
        <w:tabs>
          <w:tab w:val="left" w:pos="981"/>
        </w:tabs>
        <w:spacing w:line="312" w:lineRule="auto"/>
        <w:ind w:right="886"/>
        <w:jc w:val="both"/>
        <w:rPr>
          <w:sz w:val="24"/>
        </w:rPr>
      </w:pPr>
      <w:r>
        <w:rPr>
          <w:sz w:val="24"/>
        </w:rPr>
        <w:t>To file its Tariff Petition on a timely basis every year, as per TNERC Tariff Regulations.</w:t>
      </w:r>
    </w:p>
    <w:p w:rsidR="007C5447" w:rsidRDefault="007C5447">
      <w:pPr>
        <w:pStyle w:val="BodyText"/>
        <w:spacing w:before="10"/>
        <w:rPr>
          <w:sz w:val="20"/>
        </w:rPr>
      </w:pPr>
    </w:p>
    <w:p w:rsidR="007C5447" w:rsidRDefault="00F6308C">
      <w:pPr>
        <w:pStyle w:val="ListParagraph"/>
        <w:numPr>
          <w:ilvl w:val="3"/>
          <w:numId w:val="8"/>
        </w:numPr>
        <w:tabs>
          <w:tab w:val="left" w:pos="981"/>
        </w:tabs>
        <w:spacing w:line="312" w:lineRule="auto"/>
        <w:ind w:right="880"/>
        <w:jc w:val="both"/>
        <w:rPr>
          <w:sz w:val="24"/>
        </w:rPr>
      </w:pPr>
      <w:r>
        <w:rPr>
          <w:sz w:val="24"/>
        </w:rPr>
        <w:t>To maintain quality of supply as specified in Tamil Nadu Electricity Distribution Standards of Performance Regulations dated July 21,</w:t>
      </w:r>
      <w:r>
        <w:rPr>
          <w:spacing w:val="-10"/>
          <w:sz w:val="24"/>
        </w:rPr>
        <w:t xml:space="preserve"> </w:t>
      </w:r>
      <w:r>
        <w:rPr>
          <w:sz w:val="24"/>
        </w:rPr>
        <w:t>2004.</w:t>
      </w:r>
    </w:p>
    <w:p w:rsidR="007C5447" w:rsidRDefault="007C5447">
      <w:pPr>
        <w:pStyle w:val="BodyText"/>
        <w:spacing w:before="10"/>
        <w:rPr>
          <w:sz w:val="20"/>
        </w:rPr>
      </w:pPr>
    </w:p>
    <w:p w:rsidR="007C5447" w:rsidRDefault="00F6308C">
      <w:pPr>
        <w:pStyle w:val="ListParagraph"/>
        <w:numPr>
          <w:ilvl w:val="3"/>
          <w:numId w:val="8"/>
        </w:numPr>
        <w:tabs>
          <w:tab w:val="left" w:pos="981"/>
        </w:tabs>
        <w:ind w:hanging="361"/>
        <w:rPr>
          <w:sz w:val="24"/>
        </w:rPr>
      </w:pPr>
      <w:r>
        <w:rPr>
          <w:sz w:val="24"/>
        </w:rPr>
        <w:t>To file the progress of</w:t>
      </w:r>
      <w:r>
        <w:rPr>
          <w:sz w:val="24"/>
        </w:rPr>
        <w:t xml:space="preserve"> the capital expenditure and capitalization on a quarterly</w:t>
      </w:r>
      <w:r>
        <w:rPr>
          <w:spacing w:val="-12"/>
          <w:sz w:val="24"/>
        </w:rPr>
        <w:t xml:space="preserve"> </w:t>
      </w:r>
      <w:r>
        <w:rPr>
          <w:sz w:val="24"/>
        </w:rPr>
        <w:t>basis.</w:t>
      </w:r>
    </w:p>
    <w:p w:rsidR="007C5447" w:rsidRDefault="007C5447">
      <w:pPr>
        <w:pStyle w:val="BodyText"/>
        <w:rPr>
          <w:sz w:val="28"/>
        </w:rPr>
      </w:pPr>
    </w:p>
    <w:p w:rsidR="007C5447" w:rsidRDefault="00F6308C">
      <w:pPr>
        <w:pStyle w:val="ListParagraph"/>
        <w:numPr>
          <w:ilvl w:val="3"/>
          <w:numId w:val="8"/>
        </w:numPr>
        <w:tabs>
          <w:tab w:val="left" w:pos="981"/>
        </w:tabs>
        <w:spacing w:before="1" w:line="312" w:lineRule="auto"/>
        <w:ind w:right="884"/>
        <w:jc w:val="both"/>
        <w:rPr>
          <w:sz w:val="24"/>
        </w:rPr>
      </w:pPr>
      <w:r>
        <w:rPr>
          <w:sz w:val="24"/>
        </w:rPr>
        <w:t>To ensure that the amount approved for R&amp;M expenses is not diverted for any other purposes.</w:t>
      </w:r>
    </w:p>
    <w:p w:rsidR="007C5447" w:rsidRDefault="007C5447">
      <w:pPr>
        <w:pStyle w:val="BodyText"/>
        <w:spacing w:before="9"/>
        <w:rPr>
          <w:sz w:val="20"/>
        </w:rPr>
      </w:pPr>
    </w:p>
    <w:p w:rsidR="007C5447" w:rsidRDefault="00F6308C">
      <w:pPr>
        <w:pStyle w:val="ListParagraph"/>
        <w:numPr>
          <w:ilvl w:val="3"/>
          <w:numId w:val="8"/>
        </w:numPr>
        <w:tabs>
          <w:tab w:val="left" w:pos="981"/>
        </w:tabs>
        <w:spacing w:before="1" w:line="312" w:lineRule="auto"/>
        <w:ind w:right="872"/>
        <w:jc w:val="both"/>
        <w:rPr>
          <w:sz w:val="24"/>
        </w:rPr>
      </w:pPr>
      <w:r>
        <w:rPr>
          <w:sz w:val="24"/>
        </w:rPr>
        <w:t>To provide the demand forecast in terms of monthly energy demand and availability and its plan o</w:t>
      </w:r>
      <w:r>
        <w:rPr>
          <w:sz w:val="24"/>
        </w:rPr>
        <w:t>f scheduling power in accordance to MoD on quarterly basis in the revised formats as provided by the</w:t>
      </w:r>
      <w:r>
        <w:rPr>
          <w:spacing w:val="-6"/>
          <w:sz w:val="24"/>
        </w:rPr>
        <w:t xml:space="preserve"> </w:t>
      </w:r>
      <w:r>
        <w:rPr>
          <w:sz w:val="24"/>
        </w:rPr>
        <w:t>Commission.</w:t>
      </w:r>
    </w:p>
    <w:p w:rsidR="007C5447" w:rsidRDefault="007C5447">
      <w:pPr>
        <w:pStyle w:val="BodyText"/>
        <w:spacing w:before="11"/>
        <w:rPr>
          <w:sz w:val="20"/>
        </w:rPr>
      </w:pPr>
    </w:p>
    <w:p w:rsidR="007C5447" w:rsidRDefault="00F6308C">
      <w:pPr>
        <w:pStyle w:val="ListParagraph"/>
        <w:numPr>
          <w:ilvl w:val="3"/>
          <w:numId w:val="8"/>
        </w:numPr>
        <w:tabs>
          <w:tab w:val="left" w:pos="981"/>
        </w:tabs>
        <w:spacing w:line="312" w:lineRule="auto"/>
        <w:ind w:right="876"/>
        <w:jc w:val="both"/>
        <w:rPr>
          <w:sz w:val="24"/>
        </w:rPr>
      </w:pPr>
      <w:r>
        <w:rPr>
          <w:sz w:val="24"/>
        </w:rPr>
        <w:t>To ensure that the unscheduled interchange (UI) and under-drawal at high frequency is minimised, in order to optimise the power purchase</w:t>
      </w:r>
      <w:r>
        <w:rPr>
          <w:spacing w:val="-2"/>
          <w:sz w:val="24"/>
        </w:rPr>
        <w:t xml:space="preserve"> </w:t>
      </w:r>
      <w:r>
        <w:rPr>
          <w:sz w:val="24"/>
        </w:rPr>
        <w:t>costs.</w:t>
      </w:r>
    </w:p>
    <w:p w:rsidR="007C5447" w:rsidRDefault="007C5447">
      <w:pPr>
        <w:pStyle w:val="BodyText"/>
        <w:spacing w:before="10"/>
        <w:rPr>
          <w:sz w:val="20"/>
        </w:rPr>
      </w:pPr>
    </w:p>
    <w:p w:rsidR="007C5447" w:rsidRDefault="00F6308C">
      <w:pPr>
        <w:pStyle w:val="ListParagraph"/>
        <w:numPr>
          <w:ilvl w:val="3"/>
          <w:numId w:val="8"/>
        </w:numPr>
        <w:tabs>
          <w:tab w:val="left" w:pos="981"/>
        </w:tabs>
        <w:spacing w:line="312" w:lineRule="auto"/>
        <w:ind w:right="884"/>
        <w:jc w:val="both"/>
        <w:rPr>
          <w:sz w:val="24"/>
        </w:rPr>
      </w:pPr>
      <w:r>
        <w:rPr>
          <w:sz w:val="24"/>
        </w:rPr>
        <w:t>To take prior approval from the Commission for purchasing energy from unapproved sources.</w:t>
      </w:r>
    </w:p>
    <w:p w:rsidR="007C5447" w:rsidRDefault="007C5447">
      <w:pPr>
        <w:pStyle w:val="BodyText"/>
        <w:spacing w:before="10"/>
        <w:rPr>
          <w:sz w:val="20"/>
        </w:rPr>
      </w:pPr>
    </w:p>
    <w:p w:rsidR="007C5447" w:rsidRDefault="00F6308C">
      <w:pPr>
        <w:pStyle w:val="ListParagraph"/>
        <w:numPr>
          <w:ilvl w:val="3"/>
          <w:numId w:val="8"/>
        </w:numPr>
        <w:tabs>
          <w:tab w:val="left" w:pos="981"/>
        </w:tabs>
        <w:spacing w:line="312" w:lineRule="auto"/>
        <w:ind w:right="876"/>
        <w:jc w:val="both"/>
        <w:rPr>
          <w:sz w:val="24"/>
        </w:rPr>
      </w:pPr>
      <w:r>
        <w:rPr>
          <w:sz w:val="24"/>
        </w:rPr>
        <w:t xml:space="preserve">To submit the MoD stack of actual power purchased from various sources during the month, on a monthly basis. </w:t>
      </w:r>
      <w:r>
        <w:rPr>
          <w:spacing w:val="-3"/>
          <w:sz w:val="24"/>
        </w:rPr>
        <w:t xml:space="preserve">In </w:t>
      </w:r>
      <w:r>
        <w:rPr>
          <w:sz w:val="24"/>
        </w:rPr>
        <w:t>case of any variations from the MoD stack approved by</w:t>
      </w:r>
      <w:r>
        <w:rPr>
          <w:sz w:val="24"/>
        </w:rPr>
        <w:t xml:space="preserve"> the Commission, TANGEDCO should file quarterly Petitions for ratification of such power purchase with proper justification, in the same manner as being done presently for purchase from IPPs outside the MoD</w:t>
      </w:r>
      <w:r>
        <w:rPr>
          <w:spacing w:val="-5"/>
          <w:sz w:val="24"/>
        </w:rPr>
        <w:t xml:space="preserve"> </w:t>
      </w:r>
      <w:r>
        <w:rPr>
          <w:sz w:val="24"/>
        </w:rPr>
        <w:t>stack.</w:t>
      </w:r>
    </w:p>
    <w:p w:rsidR="007C5447" w:rsidRDefault="007C5447">
      <w:pPr>
        <w:pStyle w:val="BodyText"/>
        <w:spacing w:before="9"/>
        <w:rPr>
          <w:sz w:val="20"/>
        </w:rPr>
      </w:pPr>
    </w:p>
    <w:p w:rsidR="007C5447" w:rsidRDefault="00F6308C">
      <w:pPr>
        <w:pStyle w:val="ListParagraph"/>
        <w:numPr>
          <w:ilvl w:val="3"/>
          <w:numId w:val="8"/>
        </w:numPr>
        <w:tabs>
          <w:tab w:val="left" w:pos="981"/>
        </w:tabs>
        <w:spacing w:line="312" w:lineRule="auto"/>
        <w:ind w:right="880"/>
        <w:jc w:val="both"/>
        <w:rPr>
          <w:sz w:val="24"/>
        </w:rPr>
      </w:pPr>
      <w:r>
        <w:rPr>
          <w:sz w:val="24"/>
        </w:rPr>
        <w:t>To pay Transmission Charges determined by</w:t>
      </w:r>
      <w:r>
        <w:rPr>
          <w:sz w:val="24"/>
        </w:rPr>
        <w:t xml:space="preserve"> the Commission to TANTRANSCO based on the allotted transmission capacity for FY</w:t>
      </w:r>
      <w:r>
        <w:rPr>
          <w:spacing w:val="-5"/>
          <w:sz w:val="24"/>
        </w:rPr>
        <w:t xml:space="preserve"> </w:t>
      </w:r>
      <w:r>
        <w:rPr>
          <w:sz w:val="24"/>
        </w:rPr>
        <w:t>2017-18.</w:t>
      </w:r>
    </w:p>
    <w:p w:rsidR="007C5447" w:rsidRDefault="007C5447">
      <w:pPr>
        <w:pStyle w:val="BodyText"/>
        <w:spacing w:before="11"/>
        <w:rPr>
          <w:sz w:val="20"/>
        </w:rPr>
      </w:pPr>
    </w:p>
    <w:p w:rsidR="007C5447" w:rsidRDefault="00F6308C">
      <w:pPr>
        <w:pStyle w:val="ListParagraph"/>
        <w:numPr>
          <w:ilvl w:val="3"/>
          <w:numId w:val="8"/>
        </w:numPr>
        <w:tabs>
          <w:tab w:val="left" w:pos="981"/>
        </w:tabs>
        <w:spacing w:line="312" w:lineRule="auto"/>
        <w:ind w:right="882"/>
        <w:jc w:val="both"/>
        <w:rPr>
          <w:sz w:val="24"/>
        </w:rPr>
      </w:pPr>
      <w:r>
        <w:rPr>
          <w:sz w:val="24"/>
        </w:rPr>
        <w:t>To undertake a study on introduction of kVAh tariffs in lieu of Power Factor compensation and submit the same along with its next Tariff</w:t>
      </w:r>
      <w:r>
        <w:rPr>
          <w:spacing w:val="-5"/>
          <w:sz w:val="24"/>
        </w:rPr>
        <w:t xml:space="preserve"> </w:t>
      </w:r>
      <w:r>
        <w:rPr>
          <w:sz w:val="24"/>
        </w:rPr>
        <w:t>Petition.</w:t>
      </w:r>
    </w:p>
    <w:p w:rsidR="007C5447" w:rsidRDefault="007C5447">
      <w:pPr>
        <w:pStyle w:val="BodyText"/>
        <w:spacing w:before="10"/>
        <w:rPr>
          <w:sz w:val="20"/>
        </w:rPr>
      </w:pPr>
    </w:p>
    <w:p w:rsidR="007C5447" w:rsidRDefault="00F6308C">
      <w:pPr>
        <w:pStyle w:val="ListParagraph"/>
        <w:numPr>
          <w:ilvl w:val="3"/>
          <w:numId w:val="8"/>
        </w:numPr>
        <w:tabs>
          <w:tab w:val="left" w:pos="981"/>
        </w:tabs>
        <w:spacing w:line="312" w:lineRule="auto"/>
        <w:ind w:right="878"/>
        <w:jc w:val="both"/>
        <w:rPr>
          <w:sz w:val="24"/>
        </w:rPr>
      </w:pPr>
      <w:r>
        <w:rPr>
          <w:sz w:val="24"/>
        </w:rPr>
        <w:t>ToD Charges are t</w:t>
      </w:r>
      <w:r>
        <w:rPr>
          <w:sz w:val="24"/>
        </w:rPr>
        <w:t>o be progressively implemented in order to flatten the load curve and to ensure the cost of energy paid by the consumer at any point of time reflects the true cost of supply available at that point of time. TANGEDCO is directed</w:t>
      </w:r>
      <w:r>
        <w:rPr>
          <w:spacing w:val="-7"/>
          <w:sz w:val="24"/>
        </w:rPr>
        <w:t xml:space="preserve"> </w:t>
      </w:r>
      <w:r>
        <w:rPr>
          <w:sz w:val="24"/>
        </w:rPr>
        <w:t>to:</w:t>
      </w:r>
    </w:p>
    <w:p w:rsidR="007C5447" w:rsidRDefault="007C5447">
      <w:pPr>
        <w:spacing w:line="312" w:lineRule="auto"/>
        <w:jc w:val="both"/>
        <w:rPr>
          <w:sz w:val="24"/>
        </w:rPr>
        <w:sectPr w:rsidR="007C5447">
          <w:pgSz w:w="11910" w:h="16840"/>
          <w:pgMar w:top="1480" w:right="560" w:bottom="1240" w:left="1180" w:header="0" w:footer="1057" w:gutter="0"/>
          <w:cols w:space="720"/>
        </w:sectPr>
      </w:pPr>
    </w:p>
    <w:p w:rsidR="007C5447" w:rsidRDefault="00F6308C">
      <w:pPr>
        <w:pStyle w:val="ListParagraph"/>
        <w:numPr>
          <w:ilvl w:val="4"/>
          <w:numId w:val="8"/>
        </w:numPr>
        <w:tabs>
          <w:tab w:val="left" w:pos="1701"/>
        </w:tabs>
        <w:spacing w:before="60" w:line="312" w:lineRule="auto"/>
        <w:ind w:right="881"/>
        <w:jc w:val="both"/>
        <w:rPr>
          <w:sz w:val="24"/>
        </w:rPr>
      </w:pPr>
      <w:r>
        <w:rPr>
          <w:sz w:val="24"/>
        </w:rPr>
        <w:lastRenderedPageBreak/>
        <w:t>Undert</w:t>
      </w:r>
      <w:r>
        <w:rPr>
          <w:sz w:val="24"/>
        </w:rPr>
        <w:t>ake a detailed study of hourly consumption patterns of all HT consumer categories, based on ABT metering</w:t>
      </w:r>
      <w:r>
        <w:rPr>
          <w:spacing w:val="-4"/>
          <w:sz w:val="24"/>
        </w:rPr>
        <w:t xml:space="preserve"> </w:t>
      </w:r>
      <w:r>
        <w:rPr>
          <w:sz w:val="24"/>
        </w:rPr>
        <w:t>data,</w:t>
      </w:r>
    </w:p>
    <w:p w:rsidR="007C5447" w:rsidRDefault="007C5447">
      <w:pPr>
        <w:pStyle w:val="BodyText"/>
        <w:spacing w:before="11"/>
        <w:rPr>
          <w:sz w:val="20"/>
        </w:rPr>
      </w:pPr>
    </w:p>
    <w:p w:rsidR="007C5447" w:rsidRDefault="00F6308C">
      <w:pPr>
        <w:pStyle w:val="ListParagraph"/>
        <w:numPr>
          <w:ilvl w:val="4"/>
          <w:numId w:val="8"/>
        </w:numPr>
        <w:tabs>
          <w:tab w:val="left" w:pos="1701"/>
        </w:tabs>
        <w:spacing w:line="312" w:lineRule="auto"/>
        <w:ind w:right="876" w:hanging="555"/>
        <w:jc w:val="both"/>
        <w:rPr>
          <w:sz w:val="24"/>
        </w:rPr>
      </w:pPr>
      <w:r>
        <w:rPr>
          <w:sz w:val="24"/>
        </w:rPr>
        <w:t>Identify the contribution of each category towards the peak consumption and which category can shift its consumption to off-peak hours, seasonal variation in the peak and off-peak consumption levels.</w:t>
      </w:r>
    </w:p>
    <w:p w:rsidR="007C5447" w:rsidRDefault="007C5447">
      <w:pPr>
        <w:pStyle w:val="BodyText"/>
        <w:spacing w:before="9"/>
        <w:rPr>
          <w:sz w:val="20"/>
        </w:rPr>
      </w:pPr>
    </w:p>
    <w:p w:rsidR="007C5447" w:rsidRDefault="00F6308C">
      <w:pPr>
        <w:pStyle w:val="ListParagraph"/>
        <w:numPr>
          <w:ilvl w:val="4"/>
          <w:numId w:val="8"/>
        </w:numPr>
        <w:tabs>
          <w:tab w:val="left" w:pos="1701"/>
        </w:tabs>
        <w:spacing w:line="312" w:lineRule="auto"/>
        <w:ind w:right="883" w:hanging="620"/>
        <w:jc w:val="both"/>
        <w:rPr>
          <w:sz w:val="24"/>
        </w:rPr>
      </w:pPr>
      <w:r>
        <w:rPr>
          <w:sz w:val="24"/>
        </w:rPr>
        <w:t>Submit a comprehensive proposal to modify/upgrade the T</w:t>
      </w:r>
      <w:r>
        <w:rPr>
          <w:sz w:val="24"/>
        </w:rPr>
        <w:t>oD tariff dispensation, along with its next Tariff</w:t>
      </w:r>
      <w:r>
        <w:rPr>
          <w:spacing w:val="-1"/>
          <w:sz w:val="24"/>
        </w:rPr>
        <w:t xml:space="preserve"> </w:t>
      </w:r>
      <w:r>
        <w:rPr>
          <w:sz w:val="24"/>
        </w:rPr>
        <w:t>Petition.</w:t>
      </w:r>
    </w:p>
    <w:p w:rsidR="007C5447" w:rsidRDefault="007C5447">
      <w:pPr>
        <w:pStyle w:val="BodyText"/>
        <w:spacing w:before="10"/>
        <w:rPr>
          <w:sz w:val="20"/>
        </w:rPr>
      </w:pPr>
    </w:p>
    <w:p w:rsidR="007C5447" w:rsidRDefault="00F6308C">
      <w:pPr>
        <w:pStyle w:val="ListParagraph"/>
        <w:numPr>
          <w:ilvl w:val="3"/>
          <w:numId w:val="8"/>
        </w:numPr>
        <w:tabs>
          <w:tab w:val="left" w:pos="981"/>
        </w:tabs>
        <w:spacing w:line="312" w:lineRule="auto"/>
        <w:ind w:right="878"/>
        <w:jc w:val="both"/>
        <w:rPr>
          <w:sz w:val="24"/>
        </w:rPr>
      </w:pPr>
      <w:r>
        <w:rPr>
          <w:sz w:val="24"/>
        </w:rPr>
        <w:t>To increase the usage of IT enabled services for metering and billing to improve the metering, billing and collection</w:t>
      </w:r>
      <w:r>
        <w:rPr>
          <w:spacing w:val="-4"/>
          <w:sz w:val="24"/>
        </w:rPr>
        <w:t xml:space="preserve"> </w:t>
      </w:r>
      <w:r>
        <w:rPr>
          <w:sz w:val="24"/>
        </w:rPr>
        <w:t>efficiency.</w:t>
      </w:r>
    </w:p>
    <w:p w:rsidR="007C5447" w:rsidRDefault="007C5447">
      <w:pPr>
        <w:pStyle w:val="BodyText"/>
        <w:spacing w:before="10"/>
        <w:rPr>
          <w:sz w:val="20"/>
        </w:rPr>
      </w:pPr>
    </w:p>
    <w:p w:rsidR="007C5447" w:rsidRDefault="00F6308C">
      <w:pPr>
        <w:pStyle w:val="ListParagraph"/>
        <w:numPr>
          <w:ilvl w:val="3"/>
          <w:numId w:val="8"/>
        </w:numPr>
        <w:tabs>
          <w:tab w:val="left" w:pos="981"/>
        </w:tabs>
        <w:spacing w:before="1" w:line="312" w:lineRule="auto"/>
        <w:ind w:right="878"/>
        <w:jc w:val="both"/>
        <w:rPr>
          <w:sz w:val="24"/>
        </w:rPr>
      </w:pPr>
      <w:r>
        <w:rPr>
          <w:sz w:val="24"/>
        </w:rPr>
        <w:t>To install ABT meters with communication facility for all HT co</w:t>
      </w:r>
      <w:r>
        <w:rPr>
          <w:sz w:val="24"/>
        </w:rPr>
        <w:t>nsumers, all Generators, all Feeders, and all Distribution Transformers (DTs) by 30.06.2018 and submit bi-monthly reports on progress of implementation of the</w:t>
      </w:r>
      <w:r>
        <w:rPr>
          <w:spacing w:val="-9"/>
          <w:sz w:val="24"/>
        </w:rPr>
        <w:t xml:space="preserve"> </w:t>
      </w:r>
      <w:r>
        <w:rPr>
          <w:sz w:val="24"/>
        </w:rPr>
        <w:t>same.</w:t>
      </w:r>
    </w:p>
    <w:p w:rsidR="007C5447" w:rsidRDefault="007C5447">
      <w:pPr>
        <w:pStyle w:val="BodyText"/>
        <w:spacing w:before="11"/>
        <w:rPr>
          <w:sz w:val="20"/>
        </w:rPr>
      </w:pPr>
    </w:p>
    <w:p w:rsidR="007C5447" w:rsidRDefault="00F6308C">
      <w:pPr>
        <w:pStyle w:val="ListParagraph"/>
        <w:numPr>
          <w:ilvl w:val="3"/>
          <w:numId w:val="8"/>
        </w:numPr>
        <w:tabs>
          <w:tab w:val="left" w:pos="981"/>
        </w:tabs>
        <w:ind w:hanging="361"/>
        <w:rPr>
          <w:sz w:val="24"/>
        </w:rPr>
      </w:pPr>
      <w:r>
        <w:rPr>
          <w:sz w:val="24"/>
        </w:rPr>
        <w:t>To implement automated meter reading of all HT consumers before</w:t>
      </w:r>
      <w:r>
        <w:rPr>
          <w:spacing w:val="-6"/>
          <w:sz w:val="24"/>
        </w:rPr>
        <w:t xml:space="preserve"> </w:t>
      </w:r>
      <w:r>
        <w:rPr>
          <w:sz w:val="24"/>
        </w:rPr>
        <w:t>31.03.2018.</w:t>
      </w:r>
    </w:p>
    <w:p w:rsidR="007C5447" w:rsidRDefault="007C5447">
      <w:pPr>
        <w:pStyle w:val="BodyText"/>
        <w:spacing w:before="11"/>
        <w:rPr>
          <w:sz w:val="27"/>
        </w:rPr>
      </w:pPr>
    </w:p>
    <w:p w:rsidR="007C5447" w:rsidRDefault="00F6308C">
      <w:pPr>
        <w:pStyle w:val="ListParagraph"/>
        <w:numPr>
          <w:ilvl w:val="3"/>
          <w:numId w:val="8"/>
        </w:numPr>
        <w:tabs>
          <w:tab w:val="left" w:pos="981"/>
        </w:tabs>
        <w:spacing w:line="312" w:lineRule="auto"/>
        <w:ind w:right="879"/>
        <w:jc w:val="both"/>
        <w:rPr>
          <w:sz w:val="24"/>
        </w:rPr>
      </w:pPr>
      <w:r>
        <w:rPr>
          <w:sz w:val="24"/>
        </w:rPr>
        <w:t xml:space="preserve">To implement </w:t>
      </w:r>
      <w:r>
        <w:rPr>
          <w:sz w:val="24"/>
        </w:rPr>
        <w:t>Automated Meter Reading (AMR) technology for LT service connections progressively. Initially, a cluster where consumer density is high may be chosen and AMR may be implemented with suitable communication technology within 3 months of issue of this</w:t>
      </w:r>
      <w:r>
        <w:rPr>
          <w:spacing w:val="-4"/>
          <w:sz w:val="24"/>
        </w:rPr>
        <w:t xml:space="preserve"> </w:t>
      </w:r>
      <w:r>
        <w:rPr>
          <w:sz w:val="24"/>
        </w:rPr>
        <w:t>Order.</w:t>
      </w:r>
    </w:p>
    <w:p w:rsidR="007C5447" w:rsidRDefault="007C5447">
      <w:pPr>
        <w:pStyle w:val="BodyText"/>
        <w:spacing w:before="10"/>
        <w:rPr>
          <w:sz w:val="20"/>
        </w:rPr>
      </w:pPr>
    </w:p>
    <w:p w:rsidR="007C5447" w:rsidRDefault="00F6308C">
      <w:pPr>
        <w:pStyle w:val="ListParagraph"/>
        <w:numPr>
          <w:ilvl w:val="3"/>
          <w:numId w:val="8"/>
        </w:numPr>
        <w:tabs>
          <w:tab w:val="left" w:pos="981"/>
        </w:tabs>
        <w:spacing w:before="1" w:line="312" w:lineRule="auto"/>
        <w:ind w:right="883"/>
        <w:jc w:val="both"/>
        <w:rPr>
          <w:sz w:val="24"/>
        </w:rPr>
      </w:pPr>
      <w:r>
        <w:rPr>
          <w:sz w:val="24"/>
        </w:rPr>
        <w:t>To file a Petition for determination of provisional tariff for new generating stations six months before the expected</w:t>
      </w:r>
      <w:r>
        <w:rPr>
          <w:spacing w:val="-2"/>
          <w:sz w:val="24"/>
        </w:rPr>
        <w:t xml:space="preserve"> </w:t>
      </w:r>
      <w:r>
        <w:rPr>
          <w:sz w:val="24"/>
        </w:rPr>
        <w:t>COD.</w:t>
      </w:r>
    </w:p>
    <w:p w:rsidR="007C5447" w:rsidRDefault="007C5447">
      <w:pPr>
        <w:pStyle w:val="BodyText"/>
        <w:spacing w:before="9"/>
        <w:rPr>
          <w:sz w:val="20"/>
        </w:rPr>
      </w:pPr>
    </w:p>
    <w:p w:rsidR="007C5447" w:rsidRDefault="00F6308C">
      <w:pPr>
        <w:pStyle w:val="ListParagraph"/>
        <w:numPr>
          <w:ilvl w:val="3"/>
          <w:numId w:val="8"/>
        </w:numPr>
        <w:tabs>
          <w:tab w:val="left" w:pos="981"/>
        </w:tabs>
        <w:spacing w:before="1" w:line="312" w:lineRule="auto"/>
        <w:ind w:right="882"/>
        <w:jc w:val="both"/>
        <w:rPr>
          <w:sz w:val="24"/>
        </w:rPr>
      </w:pPr>
      <w:r>
        <w:rPr>
          <w:sz w:val="24"/>
        </w:rPr>
        <w:t>To file a Petition for determination of final tariff for new generating stations within six months after the</w:t>
      </w:r>
      <w:r>
        <w:rPr>
          <w:spacing w:val="-3"/>
          <w:sz w:val="24"/>
        </w:rPr>
        <w:t xml:space="preserve"> </w:t>
      </w:r>
      <w:r>
        <w:rPr>
          <w:sz w:val="24"/>
        </w:rPr>
        <w:t>COD.</w:t>
      </w:r>
    </w:p>
    <w:p w:rsidR="007C5447" w:rsidRDefault="007C5447">
      <w:pPr>
        <w:pStyle w:val="BodyText"/>
        <w:spacing w:before="10"/>
        <w:rPr>
          <w:sz w:val="20"/>
        </w:rPr>
      </w:pPr>
    </w:p>
    <w:p w:rsidR="007C5447" w:rsidRDefault="00F6308C">
      <w:pPr>
        <w:pStyle w:val="ListParagraph"/>
        <w:numPr>
          <w:ilvl w:val="3"/>
          <w:numId w:val="8"/>
        </w:numPr>
        <w:tabs>
          <w:tab w:val="left" w:pos="981"/>
        </w:tabs>
        <w:spacing w:line="312" w:lineRule="auto"/>
        <w:ind w:right="879"/>
        <w:jc w:val="both"/>
        <w:rPr>
          <w:sz w:val="24"/>
        </w:rPr>
      </w:pPr>
      <w:r>
        <w:rPr>
          <w:sz w:val="24"/>
        </w:rPr>
        <w:t>To ensure that fo</w:t>
      </w:r>
      <w:r>
        <w:rPr>
          <w:sz w:val="24"/>
        </w:rPr>
        <w:t>recasting facility for wind generation is available to TANGEDCO. In order to make the forecasting more accurate, suitable in-house forecasting module may also be</w:t>
      </w:r>
      <w:r>
        <w:rPr>
          <w:spacing w:val="-4"/>
          <w:sz w:val="24"/>
        </w:rPr>
        <w:t xml:space="preserve"> </w:t>
      </w:r>
      <w:r>
        <w:rPr>
          <w:sz w:val="24"/>
        </w:rPr>
        <w:t>developed.</w:t>
      </w:r>
    </w:p>
    <w:p w:rsidR="007C5447" w:rsidRDefault="007C5447">
      <w:pPr>
        <w:pStyle w:val="BodyText"/>
        <w:rPr>
          <w:sz w:val="21"/>
        </w:rPr>
      </w:pPr>
    </w:p>
    <w:p w:rsidR="007C5447" w:rsidRDefault="00F6308C">
      <w:pPr>
        <w:pStyle w:val="ListParagraph"/>
        <w:numPr>
          <w:ilvl w:val="3"/>
          <w:numId w:val="8"/>
        </w:numPr>
        <w:tabs>
          <w:tab w:val="left" w:pos="981"/>
        </w:tabs>
        <w:spacing w:line="312" w:lineRule="auto"/>
        <w:ind w:right="875"/>
        <w:jc w:val="both"/>
        <w:rPr>
          <w:sz w:val="24"/>
        </w:rPr>
      </w:pPr>
      <w:r>
        <w:rPr>
          <w:sz w:val="24"/>
        </w:rPr>
        <w:t>To re-programme the meters of all HT consumers to 15-minute time block within 3 months from the date of issue of this Order and start measuring Maximum Demand on 15-minute time block basis and raise bills accordingly after the prescribed time period.</w:t>
      </w:r>
    </w:p>
    <w:p w:rsidR="007C5447" w:rsidRDefault="007C5447">
      <w:pPr>
        <w:pStyle w:val="BodyText"/>
        <w:spacing w:before="10"/>
        <w:rPr>
          <w:sz w:val="20"/>
        </w:rPr>
      </w:pPr>
    </w:p>
    <w:p w:rsidR="007C5447" w:rsidRDefault="00F6308C">
      <w:pPr>
        <w:pStyle w:val="ListParagraph"/>
        <w:numPr>
          <w:ilvl w:val="3"/>
          <w:numId w:val="8"/>
        </w:numPr>
        <w:tabs>
          <w:tab w:val="left" w:pos="981"/>
        </w:tabs>
        <w:spacing w:line="312" w:lineRule="auto"/>
        <w:ind w:right="878"/>
        <w:jc w:val="both"/>
        <w:rPr>
          <w:sz w:val="24"/>
        </w:rPr>
      </w:pPr>
      <w:r>
        <w:rPr>
          <w:sz w:val="24"/>
        </w:rPr>
        <w:t>To i</w:t>
      </w:r>
      <w:r>
        <w:rPr>
          <w:sz w:val="24"/>
        </w:rPr>
        <w:t>mplement separate metering/sub-metering arrangement for facilities such as gymnasium,</w:t>
      </w:r>
      <w:r>
        <w:rPr>
          <w:spacing w:val="28"/>
          <w:sz w:val="24"/>
        </w:rPr>
        <w:t xml:space="preserve"> </w:t>
      </w:r>
      <w:r>
        <w:rPr>
          <w:sz w:val="24"/>
        </w:rPr>
        <w:t>community</w:t>
      </w:r>
      <w:r>
        <w:rPr>
          <w:spacing w:val="27"/>
          <w:sz w:val="24"/>
        </w:rPr>
        <w:t xml:space="preserve"> </w:t>
      </w:r>
      <w:r>
        <w:rPr>
          <w:sz w:val="24"/>
        </w:rPr>
        <w:t>hall,</w:t>
      </w:r>
      <w:r>
        <w:rPr>
          <w:spacing w:val="29"/>
          <w:sz w:val="24"/>
        </w:rPr>
        <w:t xml:space="preserve"> </w:t>
      </w:r>
      <w:r>
        <w:rPr>
          <w:sz w:val="24"/>
        </w:rPr>
        <w:t>amphitheatres,</w:t>
      </w:r>
      <w:r>
        <w:rPr>
          <w:spacing w:val="30"/>
          <w:sz w:val="24"/>
        </w:rPr>
        <w:t xml:space="preserve"> </w:t>
      </w:r>
      <w:r>
        <w:rPr>
          <w:sz w:val="24"/>
        </w:rPr>
        <w:t>etc.,</w:t>
      </w:r>
      <w:r>
        <w:rPr>
          <w:spacing w:val="29"/>
          <w:sz w:val="24"/>
        </w:rPr>
        <w:t xml:space="preserve"> </w:t>
      </w:r>
      <w:r>
        <w:rPr>
          <w:sz w:val="24"/>
        </w:rPr>
        <w:t>inside</w:t>
      </w:r>
      <w:r>
        <w:rPr>
          <w:spacing w:val="29"/>
          <w:sz w:val="24"/>
        </w:rPr>
        <w:t xml:space="preserve"> </w:t>
      </w:r>
      <w:r>
        <w:rPr>
          <w:sz w:val="24"/>
        </w:rPr>
        <w:t>the</w:t>
      </w:r>
      <w:r>
        <w:rPr>
          <w:spacing w:val="29"/>
          <w:sz w:val="24"/>
        </w:rPr>
        <w:t xml:space="preserve"> </w:t>
      </w:r>
      <w:r>
        <w:rPr>
          <w:sz w:val="24"/>
        </w:rPr>
        <w:t>multi-tenement</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BodyText"/>
        <w:spacing w:before="60"/>
        <w:ind w:left="980"/>
      </w:pPr>
      <w:r>
        <w:lastRenderedPageBreak/>
        <w:t>residential complex.</w:t>
      </w:r>
    </w:p>
    <w:p w:rsidR="007C5447" w:rsidRDefault="007C5447">
      <w:pPr>
        <w:pStyle w:val="BodyText"/>
        <w:rPr>
          <w:sz w:val="28"/>
        </w:rPr>
      </w:pPr>
    </w:p>
    <w:p w:rsidR="007C5447" w:rsidRDefault="00F6308C">
      <w:pPr>
        <w:pStyle w:val="ListParagraph"/>
        <w:numPr>
          <w:ilvl w:val="3"/>
          <w:numId w:val="8"/>
        </w:numPr>
        <w:tabs>
          <w:tab w:val="left" w:pos="981"/>
        </w:tabs>
        <w:spacing w:line="312" w:lineRule="auto"/>
        <w:ind w:right="880"/>
        <w:jc w:val="both"/>
        <w:rPr>
          <w:sz w:val="24"/>
        </w:rPr>
      </w:pPr>
      <w:r>
        <w:rPr>
          <w:sz w:val="24"/>
        </w:rPr>
        <w:t xml:space="preserve">To do the needful in collaboration with the Airports under Airports Authority of India, in order to levy HT </w:t>
      </w:r>
      <w:r>
        <w:rPr>
          <w:spacing w:val="-3"/>
          <w:sz w:val="24"/>
        </w:rPr>
        <w:t xml:space="preserve">IA </w:t>
      </w:r>
      <w:r>
        <w:rPr>
          <w:sz w:val="24"/>
        </w:rPr>
        <w:t>tariff to Aeronautical Services and HT III Commercial/Miscellaneous Tariff to Non-Aeronautical</w:t>
      </w:r>
      <w:r>
        <w:rPr>
          <w:spacing w:val="-2"/>
          <w:sz w:val="24"/>
        </w:rPr>
        <w:t xml:space="preserve"> </w:t>
      </w:r>
      <w:r>
        <w:rPr>
          <w:sz w:val="24"/>
        </w:rPr>
        <w:t>services.</w:t>
      </w:r>
    </w:p>
    <w:p w:rsidR="007C5447" w:rsidRDefault="007C5447">
      <w:pPr>
        <w:pStyle w:val="BodyText"/>
        <w:rPr>
          <w:sz w:val="21"/>
        </w:rPr>
      </w:pPr>
    </w:p>
    <w:p w:rsidR="007C5447" w:rsidRDefault="00F6308C">
      <w:pPr>
        <w:pStyle w:val="ListParagraph"/>
        <w:numPr>
          <w:ilvl w:val="3"/>
          <w:numId w:val="8"/>
        </w:numPr>
        <w:tabs>
          <w:tab w:val="left" w:pos="981"/>
        </w:tabs>
        <w:spacing w:line="312" w:lineRule="auto"/>
        <w:ind w:right="881"/>
        <w:jc w:val="both"/>
        <w:rPr>
          <w:sz w:val="24"/>
        </w:rPr>
      </w:pPr>
      <w:r>
        <w:rPr>
          <w:sz w:val="24"/>
        </w:rPr>
        <w:t>To strive towards reducing a part of th</w:t>
      </w:r>
      <w:r>
        <w:rPr>
          <w:sz w:val="24"/>
        </w:rPr>
        <w:t>e Regulatory Assets by way of improving operational parameters as committed under the UDAY</w:t>
      </w:r>
      <w:r>
        <w:rPr>
          <w:spacing w:val="-3"/>
          <w:sz w:val="24"/>
        </w:rPr>
        <w:t xml:space="preserve"> </w:t>
      </w:r>
      <w:r>
        <w:rPr>
          <w:sz w:val="24"/>
        </w:rPr>
        <w:t>MoU.</w:t>
      </w:r>
    </w:p>
    <w:p w:rsidR="007C5447" w:rsidRDefault="007C5447">
      <w:pPr>
        <w:pStyle w:val="BodyText"/>
        <w:spacing w:before="10"/>
        <w:rPr>
          <w:sz w:val="20"/>
        </w:rPr>
      </w:pPr>
    </w:p>
    <w:p w:rsidR="007C5447" w:rsidRDefault="00F6308C">
      <w:pPr>
        <w:pStyle w:val="ListParagraph"/>
        <w:numPr>
          <w:ilvl w:val="3"/>
          <w:numId w:val="8"/>
        </w:numPr>
        <w:tabs>
          <w:tab w:val="left" w:pos="981"/>
        </w:tabs>
        <w:spacing w:line="312" w:lineRule="auto"/>
        <w:ind w:right="879"/>
        <w:jc w:val="both"/>
        <w:rPr>
          <w:sz w:val="24"/>
        </w:rPr>
      </w:pPr>
      <w:r>
        <w:rPr>
          <w:sz w:val="24"/>
        </w:rPr>
        <w:t>To achieve the action-plan with timelines as agreed upon in the UDAY MoU and file quarterly status update regarding the</w:t>
      </w:r>
      <w:r>
        <w:rPr>
          <w:spacing w:val="-8"/>
          <w:sz w:val="24"/>
        </w:rPr>
        <w:t xml:space="preserve"> </w:t>
      </w:r>
      <w:r>
        <w:rPr>
          <w:sz w:val="24"/>
        </w:rPr>
        <w:t>same.</w:t>
      </w:r>
    </w:p>
    <w:p w:rsidR="007C5447" w:rsidRDefault="007C5447">
      <w:pPr>
        <w:spacing w:line="312" w:lineRule="auto"/>
        <w:jc w:val="both"/>
        <w:rPr>
          <w:sz w:val="24"/>
        </w:rPr>
        <w:sectPr w:rsidR="007C5447">
          <w:pgSz w:w="11910" w:h="16840"/>
          <w:pgMar w:top="1360" w:right="560" w:bottom="1240" w:left="1180" w:header="0" w:footer="1057" w:gutter="0"/>
          <w:cols w:space="720"/>
        </w:sectPr>
      </w:pPr>
    </w:p>
    <w:p w:rsidR="007C5447" w:rsidRDefault="00F6308C">
      <w:pPr>
        <w:pStyle w:val="Heading1"/>
        <w:spacing w:before="146"/>
        <w:ind w:firstLine="0"/>
      </w:pPr>
      <w:r>
        <w:lastRenderedPageBreak/>
        <w:pict>
          <v:shape id="_x0000_s1044" type="#_x0000_t202" style="position:absolute;left:0;text-align:left;margin-left:114.6pt;margin-top:51.95pt;width:148pt;height:16.45pt;z-index:251684864;mso-position-horizontal-relative:page" fillcolor="#ffc000" stroked="f">
            <v:textbox inset="0,0,0,0">
              <w:txbxContent>
                <w:p w:rsidR="007C5447" w:rsidRDefault="00F6308C">
                  <w:pPr>
                    <w:spacing w:before="84"/>
                    <w:ind w:left="107"/>
                    <w:rPr>
                      <w:b/>
                      <w:sz w:val="20"/>
                    </w:rPr>
                  </w:pPr>
                  <w:r>
                    <w:rPr>
                      <w:b/>
                      <w:sz w:val="20"/>
                    </w:rPr>
                    <w:t>ETPS</w:t>
                  </w:r>
                </w:p>
              </w:txbxContent>
            </v:textbox>
            <w10:wrap anchorx="page"/>
          </v:shape>
        </w:pict>
      </w:r>
      <w:bookmarkStart w:id="95" w:name="_bookmark95"/>
      <w:bookmarkEnd w:id="95"/>
      <w:r>
        <w:t>APPENDI</w:t>
      </w:r>
      <w:r>
        <w:t>X 1</w:t>
      </w:r>
    </w:p>
    <w:p w:rsidR="007C5447" w:rsidRDefault="00F6308C">
      <w:pPr>
        <w:pStyle w:val="BodyText"/>
        <w:spacing w:before="4"/>
        <w:rPr>
          <w:b/>
          <w:sz w:val="16"/>
        </w:rPr>
      </w:pPr>
      <w:r>
        <w:pict>
          <v:line id="_x0000_s1043" style="position:absolute;z-index:-251633664;mso-wrap-distance-left:0;mso-wrap-distance-right:0;mso-position-horizontal-relative:page" from="92.2pt,11.6pt" to="771.45pt,11.6pt" strokeweight=".48pt">
            <w10:wrap type="topAndBottom" anchorx="page"/>
          </v:line>
        </w:pict>
      </w:r>
    </w:p>
    <w:p w:rsidR="007C5447" w:rsidRDefault="007C5447">
      <w:pPr>
        <w:pStyle w:val="BodyText"/>
        <w:rPr>
          <w:b/>
          <w:sz w:val="20"/>
        </w:rPr>
      </w:pPr>
    </w:p>
    <w:p w:rsidR="007C5447" w:rsidRDefault="007C5447">
      <w:pPr>
        <w:pStyle w:val="BodyText"/>
        <w:spacing w:before="1"/>
        <w:rPr>
          <w:b/>
          <w:sz w:val="2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2959"/>
        <w:gridCol w:w="1320"/>
        <w:gridCol w:w="1521"/>
        <w:gridCol w:w="1519"/>
        <w:gridCol w:w="1519"/>
        <w:gridCol w:w="1522"/>
        <w:gridCol w:w="1519"/>
      </w:tblGrid>
      <w:tr w:rsidR="007C5447">
        <w:trPr>
          <w:trHeight w:val="330"/>
        </w:trPr>
        <w:tc>
          <w:tcPr>
            <w:tcW w:w="960" w:type="dxa"/>
            <w:shd w:val="clear" w:color="auto" w:fill="C8C8C8"/>
          </w:tcPr>
          <w:p w:rsidR="007C5447" w:rsidRDefault="00F6308C">
            <w:pPr>
              <w:pStyle w:val="TableParagraph"/>
              <w:spacing w:before="50"/>
              <w:ind w:left="161" w:right="153"/>
              <w:jc w:val="center"/>
              <w:rPr>
                <w:b/>
                <w:sz w:val="20"/>
              </w:rPr>
            </w:pPr>
            <w:r>
              <w:rPr>
                <w:b/>
                <w:sz w:val="20"/>
              </w:rPr>
              <w:t>Sr. No.</w:t>
            </w:r>
          </w:p>
        </w:tc>
        <w:tc>
          <w:tcPr>
            <w:tcW w:w="2959" w:type="dxa"/>
            <w:shd w:val="clear" w:color="auto" w:fill="C8C8C8"/>
          </w:tcPr>
          <w:p w:rsidR="007C5447" w:rsidRDefault="00F6308C">
            <w:pPr>
              <w:pStyle w:val="TableParagraph"/>
              <w:spacing w:before="50"/>
              <w:ind w:left="1003" w:right="995"/>
              <w:jc w:val="center"/>
              <w:rPr>
                <w:b/>
                <w:sz w:val="20"/>
              </w:rPr>
            </w:pPr>
            <w:bookmarkStart w:id="96" w:name="_GoBack"/>
            <w:bookmarkEnd w:id="96"/>
            <w:r>
              <w:rPr>
                <w:b/>
                <w:sz w:val="20"/>
              </w:rPr>
              <w:t>Parameter</w:t>
            </w:r>
          </w:p>
        </w:tc>
        <w:tc>
          <w:tcPr>
            <w:tcW w:w="1320" w:type="dxa"/>
            <w:shd w:val="clear" w:color="auto" w:fill="C8C8C8"/>
          </w:tcPr>
          <w:p w:rsidR="007C5447" w:rsidRDefault="00F6308C">
            <w:pPr>
              <w:pStyle w:val="TableParagraph"/>
              <w:spacing w:before="50"/>
              <w:ind w:left="450" w:right="441"/>
              <w:jc w:val="center"/>
              <w:rPr>
                <w:b/>
                <w:sz w:val="20"/>
              </w:rPr>
            </w:pPr>
            <w:r>
              <w:rPr>
                <w:b/>
                <w:sz w:val="20"/>
              </w:rPr>
              <w:t>Unit</w:t>
            </w:r>
          </w:p>
        </w:tc>
        <w:tc>
          <w:tcPr>
            <w:tcW w:w="1521" w:type="dxa"/>
            <w:shd w:val="clear" w:color="auto" w:fill="BEBEBE"/>
          </w:tcPr>
          <w:p w:rsidR="007C5447" w:rsidRDefault="00F6308C">
            <w:pPr>
              <w:pStyle w:val="TableParagraph"/>
              <w:spacing w:before="50"/>
              <w:ind w:left="267"/>
              <w:jc w:val="left"/>
              <w:rPr>
                <w:b/>
                <w:sz w:val="20"/>
              </w:rPr>
            </w:pPr>
            <w:r>
              <w:rPr>
                <w:b/>
                <w:sz w:val="20"/>
              </w:rPr>
              <w:t>FY 2011-12</w:t>
            </w:r>
          </w:p>
        </w:tc>
        <w:tc>
          <w:tcPr>
            <w:tcW w:w="1519" w:type="dxa"/>
            <w:shd w:val="clear" w:color="auto" w:fill="BEBEBE"/>
          </w:tcPr>
          <w:p w:rsidR="007C5447" w:rsidRDefault="00F6308C">
            <w:pPr>
              <w:pStyle w:val="TableParagraph"/>
              <w:spacing w:before="50"/>
              <w:ind w:left="268"/>
              <w:jc w:val="left"/>
              <w:rPr>
                <w:b/>
                <w:sz w:val="20"/>
              </w:rPr>
            </w:pPr>
            <w:r>
              <w:rPr>
                <w:b/>
                <w:sz w:val="20"/>
              </w:rPr>
              <w:t>FY 2012-13</w:t>
            </w:r>
          </w:p>
        </w:tc>
        <w:tc>
          <w:tcPr>
            <w:tcW w:w="1519" w:type="dxa"/>
            <w:shd w:val="clear" w:color="auto" w:fill="BEBEBE"/>
          </w:tcPr>
          <w:p w:rsidR="007C5447" w:rsidRDefault="00F6308C">
            <w:pPr>
              <w:pStyle w:val="TableParagraph"/>
              <w:spacing w:before="50"/>
              <w:ind w:left="268"/>
              <w:jc w:val="left"/>
              <w:rPr>
                <w:b/>
                <w:sz w:val="20"/>
              </w:rPr>
            </w:pPr>
            <w:r>
              <w:rPr>
                <w:b/>
                <w:sz w:val="20"/>
              </w:rPr>
              <w:t>FY 2013-14</w:t>
            </w:r>
          </w:p>
        </w:tc>
        <w:tc>
          <w:tcPr>
            <w:tcW w:w="1522" w:type="dxa"/>
            <w:shd w:val="clear" w:color="auto" w:fill="BEBEBE"/>
          </w:tcPr>
          <w:p w:rsidR="007C5447" w:rsidRDefault="00F6308C">
            <w:pPr>
              <w:pStyle w:val="TableParagraph"/>
              <w:spacing w:before="50"/>
              <w:ind w:left="268"/>
              <w:jc w:val="left"/>
              <w:rPr>
                <w:b/>
                <w:sz w:val="20"/>
              </w:rPr>
            </w:pPr>
            <w:r>
              <w:rPr>
                <w:b/>
                <w:sz w:val="20"/>
              </w:rPr>
              <w:t>FY 2014-15</w:t>
            </w:r>
          </w:p>
        </w:tc>
        <w:tc>
          <w:tcPr>
            <w:tcW w:w="1519" w:type="dxa"/>
            <w:shd w:val="clear" w:color="auto" w:fill="BEBEBE"/>
          </w:tcPr>
          <w:p w:rsidR="007C5447" w:rsidRDefault="00F6308C">
            <w:pPr>
              <w:pStyle w:val="TableParagraph"/>
              <w:spacing w:before="50"/>
              <w:ind w:left="268"/>
              <w:jc w:val="left"/>
              <w:rPr>
                <w:b/>
                <w:sz w:val="20"/>
              </w:rPr>
            </w:pPr>
            <w:r>
              <w:rPr>
                <w:b/>
                <w:sz w:val="20"/>
              </w:rPr>
              <w:t>FY 2015-16</w:t>
            </w:r>
          </w:p>
        </w:tc>
      </w:tr>
      <w:tr w:rsidR="007C5447">
        <w:trPr>
          <w:trHeight w:val="299"/>
        </w:trPr>
        <w:tc>
          <w:tcPr>
            <w:tcW w:w="960" w:type="dxa"/>
          </w:tcPr>
          <w:p w:rsidR="007C5447" w:rsidRDefault="00F6308C">
            <w:pPr>
              <w:pStyle w:val="TableParagraph"/>
              <w:spacing w:before="34"/>
              <w:ind w:left="8"/>
              <w:jc w:val="center"/>
              <w:rPr>
                <w:sz w:val="20"/>
              </w:rPr>
            </w:pPr>
            <w:r>
              <w:rPr>
                <w:w w:val="99"/>
                <w:sz w:val="20"/>
              </w:rPr>
              <w:t>1</w:t>
            </w:r>
          </w:p>
        </w:tc>
        <w:tc>
          <w:tcPr>
            <w:tcW w:w="2959" w:type="dxa"/>
          </w:tcPr>
          <w:p w:rsidR="007C5447" w:rsidRDefault="00F6308C">
            <w:pPr>
              <w:pStyle w:val="TableParagraph"/>
              <w:spacing w:before="55" w:line="224" w:lineRule="exact"/>
              <w:ind w:left="108"/>
              <w:jc w:val="left"/>
              <w:rPr>
                <w:sz w:val="20"/>
              </w:rPr>
            </w:pPr>
            <w:r>
              <w:rPr>
                <w:sz w:val="20"/>
              </w:rPr>
              <w:t>Installed Capacity(MW)</w:t>
            </w:r>
          </w:p>
        </w:tc>
        <w:tc>
          <w:tcPr>
            <w:tcW w:w="1320" w:type="dxa"/>
          </w:tcPr>
          <w:p w:rsidR="007C5447" w:rsidRDefault="00F6308C">
            <w:pPr>
              <w:pStyle w:val="TableParagraph"/>
              <w:spacing w:before="55" w:line="224" w:lineRule="exact"/>
              <w:ind w:left="109"/>
              <w:jc w:val="left"/>
              <w:rPr>
                <w:sz w:val="20"/>
              </w:rPr>
            </w:pPr>
            <w:r>
              <w:rPr>
                <w:sz w:val="20"/>
              </w:rPr>
              <w:t>MW</w:t>
            </w:r>
          </w:p>
        </w:tc>
        <w:tc>
          <w:tcPr>
            <w:tcW w:w="1521" w:type="dxa"/>
          </w:tcPr>
          <w:p w:rsidR="007C5447" w:rsidRDefault="00F6308C">
            <w:pPr>
              <w:pStyle w:val="TableParagraph"/>
              <w:spacing w:before="55" w:line="224" w:lineRule="exact"/>
              <w:ind w:right="94"/>
              <w:rPr>
                <w:sz w:val="20"/>
              </w:rPr>
            </w:pPr>
            <w:r>
              <w:rPr>
                <w:sz w:val="20"/>
              </w:rPr>
              <w:t>450</w:t>
            </w:r>
          </w:p>
        </w:tc>
        <w:tc>
          <w:tcPr>
            <w:tcW w:w="1519" w:type="dxa"/>
          </w:tcPr>
          <w:p w:rsidR="007C5447" w:rsidRDefault="00F6308C">
            <w:pPr>
              <w:pStyle w:val="TableParagraph"/>
              <w:spacing w:before="55" w:line="224" w:lineRule="exact"/>
              <w:ind w:right="91"/>
              <w:rPr>
                <w:sz w:val="20"/>
              </w:rPr>
            </w:pPr>
            <w:r>
              <w:rPr>
                <w:sz w:val="20"/>
              </w:rPr>
              <w:t>450</w:t>
            </w:r>
          </w:p>
        </w:tc>
        <w:tc>
          <w:tcPr>
            <w:tcW w:w="1519" w:type="dxa"/>
          </w:tcPr>
          <w:p w:rsidR="007C5447" w:rsidRDefault="00F6308C">
            <w:pPr>
              <w:pStyle w:val="TableParagraph"/>
              <w:spacing w:before="55" w:line="224" w:lineRule="exact"/>
              <w:ind w:right="91"/>
              <w:rPr>
                <w:sz w:val="20"/>
              </w:rPr>
            </w:pPr>
            <w:r>
              <w:rPr>
                <w:sz w:val="20"/>
              </w:rPr>
              <w:t>450</w:t>
            </w:r>
          </w:p>
        </w:tc>
        <w:tc>
          <w:tcPr>
            <w:tcW w:w="1522" w:type="dxa"/>
          </w:tcPr>
          <w:p w:rsidR="007C5447" w:rsidRDefault="00F6308C">
            <w:pPr>
              <w:pStyle w:val="TableParagraph"/>
              <w:spacing w:before="55" w:line="224" w:lineRule="exact"/>
              <w:ind w:right="95"/>
              <w:rPr>
                <w:sz w:val="20"/>
              </w:rPr>
            </w:pPr>
            <w:r>
              <w:rPr>
                <w:sz w:val="20"/>
              </w:rPr>
              <w:t>450</w:t>
            </w:r>
          </w:p>
        </w:tc>
        <w:tc>
          <w:tcPr>
            <w:tcW w:w="1519" w:type="dxa"/>
          </w:tcPr>
          <w:p w:rsidR="007C5447" w:rsidRDefault="00F6308C">
            <w:pPr>
              <w:pStyle w:val="TableParagraph"/>
              <w:spacing w:before="55" w:line="224" w:lineRule="exact"/>
              <w:ind w:right="90"/>
              <w:rPr>
                <w:sz w:val="20"/>
              </w:rPr>
            </w:pPr>
            <w:r>
              <w:rPr>
                <w:sz w:val="20"/>
              </w:rPr>
              <w:t>450</w:t>
            </w:r>
          </w:p>
        </w:tc>
      </w:tr>
      <w:tr w:rsidR="007C5447">
        <w:trPr>
          <w:trHeight w:val="299"/>
        </w:trPr>
        <w:tc>
          <w:tcPr>
            <w:tcW w:w="960" w:type="dxa"/>
          </w:tcPr>
          <w:p w:rsidR="007C5447" w:rsidRDefault="00F6308C">
            <w:pPr>
              <w:pStyle w:val="TableParagraph"/>
              <w:spacing w:before="36"/>
              <w:ind w:left="8"/>
              <w:jc w:val="center"/>
              <w:rPr>
                <w:sz w:val="20"/>
              </w:rPr>
            </w:pPr>
            <w:r>
              <w:rPr>
                <w:w w:val="99"/>
                <w:sz w:val="20"/>
              </w:rPr>
              <w:t>2</w:t>
            </w:r>
          </w:p>
        </w:tc>
        <w:tc>
          <w:tcPr>
            <w:tcW w:w="2959" w:type="dxa"/>
          </w:tcPr>
          <w:p w:rsidR="007C5447" w:rsidRDefault="00F6308C">
            <w:pPr>
              <w:pStyle w:val="TableParagraph"/>
              <w:spacing w:before="55" w:line="224" w:lineRule="exact"/>
              <w:ind w:left="108"/>
              <w:jc w:val="left"/>
              <w:rPr>
                <w:sz w:val="20"/>
              </w:rPr>
            </w:pPr>
            <w:r>
              <w:rPr>
                <w:sz w:val="20"/>
              </w:rPr>
              <w:t>Allocated Capacity</w:t>
            </w:r>
          </w:p>
        </w:tc>
        <w:tc>
          <w:tcPr>
            <w:tcW w:w="1320" w:type="dxa"/>
          </w:tcPr>
          <w:p w:rsidR="007C5447" w:rsidRDefault="00F6308C">
            <w:pPr>
              <w:pStyle w:val="TableParagraph"/>
              <w:spacing w:before="55" w:line="224" w:lineRule="exact"/>
              <w:ind w:left="109"/>
              <w:jc w:val="left"/>
              <w:rPr>
                <w:sz w:val="20"/>
              </w:rPr>
            </w:pPr>
            <w:r>
              <w:rPr>
                <w:sz w:val="20"/>
              </w:rPr>
              <w:t>MW</w:t>
            </w:r>
          </w:p>
        </w:tc>
        <w:tc>
          <w:tcPr>
            <w:tcW w:w="1521" w:type="dxa"/>
          </w:tcPr>
          <w:p w:rsidR="007C5447" w:rsidRDefault="00F6308C">
            <w:pPr>
              <w:pStyle w:val="TableParagraph"/>
              <w:spacing w:before="55" w:line="224" w:lineRule="exact"/>
              <w:ind w:right="94"/>
              <w:rPr>
                <w:sz w:val="20"/>
              </w:rPr>
            </w:pPr>
            <w:r>
              <w:rPr>
                <w:sz w:val="20"/>
              </w:rPr>
              <w:t>450</w:t>
            </w:r>
          </w:p>
        </w:tc>
        <w:tc>
          <w:tcPr>
            <w:tcW w:w="1519" w:type="dxa"/>
          </w:tcPr>
          <w:p w:rsidR="007C5447" w:rsidRDefault="00F6308C">
            <w:pPr>
              <w:pStyle w:val="TableParagraph"/>
              <w:spacing w:before="55" w:line="224" w:lineRule="exact"/>
              <w:ind w:right="91"/>
              <w:rPr>
                <w:sz w:val="20"/>
              </w:rPr>
            </w:pPr>
            <w:r>
              <w:rPr>
                <w:sz w:val="20"/>
              </w:rPr>
              <w:t>450</w:t>
            </w:r>
          </w:p>
        </w:tc>
        <w:tc>
          <w:tcPr>
            <w:tcW w:w="1519" w:type="dxa"/>
          </w:tcPr>
          <w:p w:rsidR="007C5447" w:rsidRDefault="00F6308C">
            <w:pPr>
              <w:pStyle w:val="TableParagraph"/>
              <w:spacing w:before="55" w:line="224" w:lineRule="exact"/>
              <w:ind w:right="91"/>
              <w:rPr>
                <w:sz w:val="20"/>
              </w:rPr>
            </w:pPr>
            <w:r>
              <w:rPr>
                <w:sz w:val="20"/>
              </w:rPr>
              <w:t>450</w:t>
            </w:r>
          </w:p>
        </w:tc>
        <w:tc>
          <w:tcPr>
            <w:tcW w:w="1522" w:type="dxa"/>
          </w:tcPr>
          <w:p w:rsidR="007C5447" w:rsidRDefault="00F6308C">
            <w:pPr>
              <w:pStyle w:val="TableParagraph"/>
              <w:spacing w:before="55" w:line="224" w:lineRule="exact"/>
              <w:ind w:right="95"/>
              <w:rPr>
                <w:sz w:val="20"/>
              </w:rPr>
            </w:pPr>
            <w:r>
              <w:rPr>
                <w:sz w:val="20"/>
              </w:rPr>
              <w:t>450</w:t>
            </w:r>
          </w:p>
        </w:tc>
        <w:tc>
          <w:tcPr>
            <w:tcW w:w="1519" w:type="dxa"/>
          </w:tcPr>
          <w:p w:rsidR="007C5447" w:rsidRDefault="00F6308C">
            <w:pPr>
              <w:pStyle w:val="TableParagraph"/>
              <w:spacing w:before="55" w:line="224" w:lineRule="exact"/>
              <w:ind w:right="90"/>
              <w:rPr>
                <w:sz w:val="20"/>
              </w:rPr>
            </w:pPr>
            <w:r>
              <w:rPr>
                <w:sz w:val="20"/>
              </w:rPr>
              <w:t>450</w:t>
            </w:r>
          </w:p>
        </w:tc>
      </w:tr>
      <w:tr w:rsidR="007C5447">
        <w:trPr>
          <w:trHeight w:val="299"/>
        </w:trPr>
        <w:tc>
          <w:tcPr>
            <w:tcW w:w="960" w:type="dxa"/>
          </w:tcPr>
          <w:p w:rsidR="007C5447" w:rsidRDefault="00F6308C">
            <w:pPr>
              <w:pStyle w:val="TableParagraph"/>
              <w:spacing w:before="36"/>
              <w:ind w:left="8"/>
              <w:jc w:val="center"/>
              <w:rPr>
                <w:sz w:val="20"/>
              </w:rPr>
            </w:pPr>
            <w:r>
              <w:rPr>
                <w:w w:val="99"/>
                <w:sz w:val="20"/>
              </w:rPr>
              <w:t>3</w:t>
            </w:r>
          </w:p>
        </w:tc>
        <w:tc>
          <w:tcPr>
            <w:tcW w:w="2959" w:type="dxa"/>
          </w:tcPr>
          <w:p w:rsidR="007C5447" w:rsidRDefault="00F6308C">
            <w:pPr>
              <w:pStyle w:val="TableParagraph"/>
              <w:spacing w:before="55" w:line="224" w:lineRule="exact"/>
              <w:ind w:left="108"/>
              <w:jc w:val="left"/>
              <w:rPr>
                <w:sz w:val="20"/>
              </w:rPr>
            </w:pPr>
            <w:r>
              <w:rPr>
                <w:sz w:val="20"/>
              </w:rPr>
              <w:t>Days</w:t>
            </w:r>
          </w:p>
        </w:tc>
        <w:tc>
          <w:tcPr>
            <w:tcW w:w="1320" w:type="dxa"/>
          </w:tcPr>
          <w:p w:rsidR="007C5447" w:rsidRDefault="00F6308C">
            <w:pPr>
              <w:pStyle w:val="TableParagraph"/>
              <w:spacing w:before="55" w:line="224" w:lineRule="exact"/>
              <w:ind w:left="109"/>
              <w:jc w:val="left"/>
              <w:rPr>
                <w:sz w:val="20"/>
              </w:rPr>
            </w:pPr>
            <w:r>
              <w:rPr>
                <w:sz w:val="20"/>
              </w:rPr>
              <w:t>Nos.</w:t>
            </w:r>
          </w:p>
        </w:tc>
        <w:tc>
          <w:tcPr>
            <w:tcW w:w="1521" w:type="dxa"/>
          </w:tcPr>
          <w:p w:rsidR="007C5447" w:rsidRDefault="00F6308C">
            <w:pPr>
              <w:pStyle w:val="TableParagraph"/>
              <w:spacing w:before="55" w:line="224" w:lineRule="exact"/>
              <w:ind w:right="94"/>
              <w:rPr>
                <w:sz w:val="20"/>
              </w:rPr>
            </w:pPr>
            <w:r>
              <w:rPr>
                <w:sz w:val="20"/>
              </w:rPr>
              <w:t>366</w:t>
            </w:r>
          </w:p>
        </w:tc>
        <w:tc>
          <w:tcPr>
            <w:tcW w:w="1519" w:type="dxa"/>
          </w:tcPr>
          <w:p w:rsidR="007C5447" w:rsidRDefault="00F6308C">
            <w:pPr>
              <w:pStyle w:val="TableParagraph"/>
              <w:spacing w:before="55" w:line="224" w:lineRule="exact"/>
              <w:ind w:right="91"/>
              <w:rPr>
                <w:sz w:val="20"/>
              </w:rPr>
            </w:pPr>
            <w:r>
              <w:rPr>
                <w:sz w:val="20"/>
              </w:rPr>
              <w:t>365</w:t>
            </w:r>
          </w:p>
        </w:tc>
        <w:tc>
          <w:tcPr>
            <w:tcW w:w="1519" w:type="dxa"/>
          </w:tcPr>
          <w:p w:rsidR="007C5447" w:rsidRDefault="00F6308C">
            <w:pPr>
              <w:pStyle w:val="TableParagraph"/>
              <w:spacing w:before="55" w:line="224" w:lineRule="exact"/>
              <w:ind w:right="91"/>
              <w:rPr>
                <w:sz w:val="20"/>
              </w:rPr>
            </w:pPr>
            <w:r>
              <w:rPr>
                <w:sz w:val="20"/>
              </w:rPr>
              <w:t>365</w:t>
            </w:r>
          </w:p>
        </w:tc>
        <w:tc>
          <w:tcPr>
            <w:tcW w:w="1522" w:type="dxa"/>
          </w:tcPr>
          <w:p w:rsidR="007C5447" w:rsidRDefault="00F6308C">
            <w:pPr>
              <w:pStyle w:val="TableParagraph"/>
              <w:spacing w:before="55" w:line="224" w:lineRule="exact"/>
              <w:ind w:right="95"/>
              <w:rPr>
                <w:sz w:val="20"/>
              </w:rPr>
            </w:pPr>
            <w:r>
              <w:rPr>
                <w:sz w:val="20"/>
              </w:rPr>
              <w:t>365</w:t>
            </w:r>
          </w:p>
        </w:tc>
        <w:tc>
          <w:tcPr>
            <w:tcW w:w="1519" w:type="dxa"/>
          </w:tcPr>
          <w:p w:rsidR="007C5447" w:rsidRDefault="00F6308C">
            <w:pPr>
              <w:pStyle w:val="TableParagraph"/>
              <w:spacing w:before="55" w:line="224" w:lineRule="exact"/>
              <w:ind w:right="90"/>
              <w:rPr>
                <w:sz w:val="20"/>
              </w:rPr>
            </w:pPr>
            <w:r>
              <w:rPr>
                <w:sz w:val="20"/>
              </w:rPr>
              <w:t>366</w:t>
            </w:r>
          </w:p>
        </w:tc>
      </w:tr>
      <w:tr w:rsidR="007C5447">
        <w:trPr>
          <w:trHeight w:val="302"/>
        </w:trPr>
        <w:tc>
          <w:tcPr>
            <w:tcW w:w="960" w:type="dxa"/>
          </w:tcPr>
          <w:p w:rsidR="007C5447" w:rsidRDefault="00F6308C">
            <w:pPr>
              <w:pStyle w:val="TableParagraph"/>
              <w:spacing w:before="37"/>
              <w:ind w:left="8"/>
              <w:jc w:val="center"/>
              <w:rPr>
                <w:sz w:val="20"/>
              </w:rPr>
            </w:pPr>
            <w:r>
              <w:rPr>
                <w:w w:val="99"/>
                <w:sz w:val="20"/>
              </w:rPr>
              <w:t>4</w:t>
            </w:r>
          </w:p>
        </w:tc>
        <w:tc>
          <w:tcPr>
            <w:tcW w:w="2959" w:type="dxa"/>
          </w:tcPr>
          <w:p w:rsidR="007C5447" w:rsidRDefault="00F6308C">
            <w:pPr>
              <w:pStyle w:val="TableParagraph"/>
              <w:spacing w:before="56" w:line="227" w:lineRule="exact"/>
              <w:ind w:left="108"/>
              <w:jc w:val="left"/>
              <w:rPr>
                <w:sz w:val="20"/>
              </w:rPr>
            </w:pPr>
            <w:r>
              <w:rPr>
                <w:sz w:val="20"/>
              </w:rPr>
              <w:t>PLF</w:t>
            </w:r>
          </w:p>
        </w:tc>
        <w:tc>
          <w:tcPr>
            <w:tcW w:w="1320" w:type="dxa"/>
          </w:tcPr>
          <w:p w:rsidR="007C5447" w:rsidRDefault="00F6308C">
            <w:pPr>
              <w:pStyle w:val="TableParagraph"/>
              <w:spacing w:before="56" w:line="227" w:lineRule="exact"/>
              <w:ind w:left="109"/>
              <w:jc w:val="left"/>
              <w:rPr>
                <w:sz w:val="20"/>
              </w:rPr>
            </w:pPr>
            <w:r>
              <w:rPr>
                <w:w w:val="99"/>
                <w:sz w:val="20"/>
              </w:rPr>
              <w:t>%</w:t>
            </w:r>
          </w:p>
        </w:tc>
        <w:tc>
          <w:tcPr>
            <w:tcW w:w="1521" w:type="dxa"/>
          </w:tcPr>
          <w:p w:rsidR="007C5447" w:rsidRDefault="00F6308C">
            <w:pPr>
              <w:pStyle w:val="TableParagraph"/>
              <w:spacing w:before="56" w:line="227" w:lineRule="exact"/>
              <w:ind w:right="95"/>
              <w:rPr>
                <w:sz w:val="20"/>
              </w:rPr>
            </w:pPr>
            <w:r>
              <w:rPr>
                <w:sz w:val="20"/>
              </w:rPr>
              <w:t>22.61%</w:t>
            </w:r>
          </w:p>
        </w:tc>
        <w:tc>
          <w:tcPr>
            <w:tcW w:w="1519" w:type="dxa"/>
          </w:tcPr>
          <w:p w:rsidR="007C5447" w:rsidRDefault="00F6308C">
            <w:pPr>
              <w:pStyle w:val="TableParagraph"/>
              <w:spacing w:before="56" w:line="227" w:lineRule="exact"/>
              <w:ind w:right="92"/>
              <w:rPr>
                <w:sz w:val="20"/>
              </w:rPr>
            </w:pPr>
            <w:r>
              <w:rPr>
                <w:sz w:val="20"/>
              </w:rPr>
              <w:t>18.67%</w:t>
            </w:r>
          </w:p>
        </w:tc>
        <w:tc>
          <w:tcPr>
            <w:tcW w:w="1519" w:type="dxa"/>
          </w:tcPr>
          <w:p w:rsidR="007C5447" w:rsidRDefault="00F6308C">
            <w:pPr>
              <w:pStyle w:val="TableParagraph"/>
              <w:spacing w:before="56" w:line="227" w:lineRule="exact"/>
              <w:ind w:right="91"/>
              <w:rPr>
                <w:sz w:val="20"/>
              </w:rPr>
            </w:pPr>
            <w:r>
              <w:rPr>
                <w:sz w:val="20"/>
              </w:rPr>
              <w:t>30.61%</w:t>
            </w:r>
          </w:p>
        </w:tc>
        <w:tc>
          <w:tcPr>
            <w:tcW w:w="1522" w:type="dxa"/>
          </w:tcPr>
          <w:p w:rsidR="007C5447" w:rsidRDefault="00F6308C">
            <w:pPr>
              <w:pStyle w:val="TableParagraph"/>
              <w:spacing w:before="56" w:line="227" w:lineRule="exact"/>
              <w:ind w:right="94"/>
              <w:rPr>
                <w:sz w:val="20"/>
              </w:rPr>
            </w:pPr>
            <w:r>
              <w:rPr>
                <w:sz w:val="20"/>
              </w:rPr>
              <w:t>20.31%</w:t>
            </w:r>
          </w:p>
        </w:tc>
        <w:tc>
          <w:tcPr>
            <w:tcW w:w="1519" w:type="dxa"/>
          </w:tcPr>
          <w:p w:rsidR="007C5447" w:rsidRDefault="00F6308C">
            <w:pPr>
              <w:pStyle w:val="TableParagraph"/>
              <w:spacing w:before="56" w:line="227" w:lineRule="exact"/>
              <w:ind w:right="91"/>
              <w:rPr>
                <w:sz w:val="20"/>
              </w:rPr>
            </w:pPr>
            <w:r>
              <w:rPr>
                <w:sz w:val="20"/>
              </w:rPr>
              <w:t>31.08%</w:t>
            </w:r>
          </w:p>
        </w:tc>
      </w:tr>
      <w:tr w:rsidR="007C5447">
        <w:trPr>
          <w:trHeight w:val="299"/>
        </w:trPr>
        <w:tc>
          <w:tcPr>
            <w:tcW w:w="960" w:type="dxa"/>
          </w:tcPr>
          <w:p w:rsidR="007C5447" w:rsidRDefault="00F6308C">
            <w:pPr>
              <w:pStyle w:val="TableParagraph"/>
              <w:spacing w:before="34"/>
              <w:ind w:left="8"/>
              <w:jc w:val="center"/>
              <w:rPr>
                <w:sz w:val="20"/>
              </w:rPr>
            </w:pPr>
            <w:r>
              <w:rPr>
                <w:w w:val="99"/>
                <w:sz w:val="20"/>
              </w:rPr>
              <w:t>5</w:t>
            </w:r>
          </w:p>
        </w:tc>
        <w:tc>
          <w:tcPr>
            <w:tcW w:w="2959" w:type="dxa"/>
          </w:tcPr>
          <w:p w:rsidR="007C5447" w:rsidRDefault="00F6308C">
            <w:pPr>
              <w:pStyle w:val="TableParagraph"/>
              <w:spacing w:before="53" w:line="227" w:lineRule="exact"/>
              <w:ind w:left="108"/>
              <w:jc w:val="left"/>
              <w:rPr>
                <w:sz w:val="20"/>
              </w:rPr>
            </w:pPr>
            <w:r>
              <w:rPr>
                <w:sz w:val="20"/>
              </w:rPr>
              <w:t>Gross Generation</w:t>
            </w:r>
          </w:p>
        </w:tc>
        <w:tc>
          <w:tcPr>
            <w:tcW w:w="1320" w:type="dxa"/>
          </w:tcPr>
          <w:p w:rsidR="007C5447" w:rsidRDefault="00F6308C">
            <w:pPr>
              <w:pStyle w:val="TableParagraph"/>
              <w:spacing w:before="53" w:line="227" w:lineRule="exact"/>
              <w:ind w:left="109"/>
              <w:jc w:val="left"/>
              <w:rPr>
                <w:sz w:val="20"/>
              </w:rPr>
            </w:pPr>
            <w:r>
              <w:rPr>
                <w:sz w:val="20"/>
              </w:rPr>
              <w:t>MU</w:t>
            </w:r>
          </w:p>
        </w:tc>
        <w:tc>
          <w:tcPr>
            <w:tcW w:w="1521" w:type="dxa"/>
          </w:tcPr>
          <w:p w:rsidR="007C5447" w:rsidRDefault="00F6308C">
            <w:pPr>
              <w:pStyle w:val="TableParagraph"/>
              <w:spacing w:before="53" w:line="227" w:lineRule="exact"/>
              <w:ind w:right="94"/>
              <w:rPr>
                <w:sz w:val="20"/>
              </w:rPr>
            </w:pPr>
            <w:r>
              <w:rPr>
                <w:sz w:val="20"/>
              </w:rPr>
              <w:t>894</w:t>
            </w:r>
          </w:p>
        </w:tc>
        <w:tc>
          <w:tcPr>
            <w:tcW w:w="1519" w:type="dxa"/>
          </w:tcPr>
          <w:p w:rsidR="007C5447" w:rsidRDefault="00F6308C">
            <w:pPr>
              <w:pStyle w:val="TableParagraph"/>
              <w:spacing w:before="53" w:line="227" w:lineRule="exact"/>
              <w:ind w:right="91"/>
              <w:rPr>
                <w:sz w:val="20"/>
              </w:rPr>
            </w:pPr>
            <w:r>
              <w:rPr>
                <w:sz w:val="20"/>
              </w:rPr>
              <w:t>736</w:t>
            </w:r>
          </w:p>
        </w:tc>
        <w:tc>
          <w:tcPr>
            <w:tcW w:w="1519" w:type="dxa"/>
          </w:tcPr>
          <w:p w:rsidR="007C5447" w:rsidRDefault="00F6308C">
            <w:pPr>
              <w:pStyle w:val="TableParagraph"/>
              <w:spacing w:before="53" w:line="227" w:lineRule="exact"/>
              <w:ind w:right="93"/>
              <w:rPr>
                <w:sz w:val="20"/>
              </w:rPr>
            </w:pPr>
            <w:r>
              <w:rPr>
                <w:sz w:val="20"/>
              </w:rPr>
              <w:t>1,207</w:t>
            </w:r>
          </w:p>
        </w:tc>
        <w:tc>
          <w:tcPr>
            <w:tcW w:w="1522" w:type="dxa"/>
          </w:tcPr>
          <w:p w:rsidR="007C5447" w:rsidRDefault="00F6308C">
            <w:pPr>
              <w:pStyle w:val="TableParagraph"/>
              <w:spacing w:before="53" w:line="227" w:lineRule="exact"/>
              <w:ind w:right="95"/>
              <w:rPr>
                <w:sz w:val="20"/>
              </w:rPr>
            </w:pPr>
            <w:r>
              <w:rPr>
                <w:sz w:val="20"/>
              </w:rPr>
              <w:t>801</w:t>
            </w:r>
          </w:p>
        </w:tc>
        <w:tc>
          <w:tcPr>
            <w:tcW w:w="1519" w:type="dxa"/>
          </w:tcPr>
          <w:p w:rsidR="007C5447" w:rsidRDefault="00F6308C">
            <w:pPr>
              <w:pStyle w:val="TableParagraph"/>
              <w:spacing w:before="53" w:line="227" w:lineRule="exact"/>
              <w:ind w:right="92"/>
              <w:rPr>
                <w:sz w:val="20"/>
              </w:rPr>
            </w:pPr>
            <w:r>
              <w:rPr>
                <w:sz w:val="20"/>
              </w:rPr>
              <w:t>1,229</w:t>
            </w:r>
          </w:p>
        </w:tc>
      </w:tr>
      <w:tr w:rsidR="007C5447">
        <w:trPr>
          <w:trHeight w:val="299"/>
        </w:trPr>
        <w:tc>
          <w:tcPr>
            <w:tcW w:w="960" w:type="dxa"/>
          </w:tcPr>
          <w:p w:rsidR="007C5447" w:rsidRDefault="00F6308C">
            <w:pPr>
              <w:pStyle w:val="TableParagraph"/>
              <w:spacing w:before="34"/>
              <w:ind w:left="8"/>
              <w:jc w:val="center"/>
              <w:rPr>
                <w:sz w:val="20"/>
              </w:rPr>
            </w:pPr>
            <w:r>
              <w:rPr>
                <w:w w:val="99"/>
                <w:sz w:val="20"/>
              </w:rPr>
              <w:t>6</w:t>
            </w:r>
          </w:p>
        </w:tc>
        <w:tc>
          <w:tcPr>
            <w:tcW w:w="2959" w:type="dxa"/>
          </w:tcPr>
          <w:p w:rsidR="007C5447" w:rsidRDefault="00F6308C">
            <w:pPr>
              <w:pStyle w:val="TableParagraph"/>
              <w:spacing w:before="55" w:line="224" w:lineRule="exact"/>
              <w:ind w:left="108"/>
              <w:jc w:val="left"/>
              <w:rPr>
                <w:sz w:val="20"/>
              </w:rPr>
            </w:pPr>
            <w:r>
              <w:rPr>
                <w:sz w:val="20"/>
              </w:rPr>
              <w:t>Auxiliary consumption</w:t>
            </w:r>
          </w:p>
        </w:tc>
        <w:tc>
          <w:tcPr>
            <w:tcW w:w="1320" w:type="dxa"/>
          </w:tcPr>
          <w:p w:rsidR="007C5447" w:rsidRDefault="00F6308C">
            <w:pPr>
              <w:pStyle w:val="TableParagraph"/>
              <w:spacing w:before="55" w:line="224" w:lineRule="exact"/>
              <w:ind w:left="109"/>
              <w:jc w:val="left"/>
              <w:rPr>
                <w:sz w:val="20"/>
              </w:rPr>
            </w:pPr>
            <w:r>
              <w:rPr>
                <w:w w:val="99"/>
                <w:sz w:val="20"/>
              </w:rPr>
              <w:t>%</w:t>
            </w:r>
          </w:p>
        </w:tc>
        <w:tc>
          <w:tcPr>
            <w:tcW w:w="1521" w:type="dxa"/>
          </w:tcPr>
          <w:p w:rsidR="007C5447" w:rsidRDefault="00F6308C">
            <w:pPr>
              <w:pStyle w:val="TableParagraph"/>
              <w:spacing w:before="55" w:line="224" w:lineRule="exact"/>
              <w:ind w:right="94"/>
              <w:rPr>
                <w:sz w:val="20"/>
              </w:rPr>
            </w:pPr>
            <w:r>
              <w:rPr>
                <w:sz w:val="20"/>
              </w:rPr>
              <w:t>16.32%</w:t>
            </w:r>
          </w:p>
        </w:tc>
        <w:tc>
          <w:tcPr>
            <w:tcW w:w="1519" w:type="dxa"/>
          </w:tcPr>
          <w:p w:rsidR="007C5447" w:rsidRDefault="00F6308C">
            <w:pPr>
              <w:pStyle w:val="TableParagraph"/>
              <w:spacing w:before="55" w:line="224" w:lineRule="exact"/>
              <w:ind w:right="92"/>
              <w:rPr>
                <w:sz w:val="20"/>
              </w:rPr>
            </w:pPr>
            <w:r>
              <w:rPr>
                <w:sz w:val="20"/>
              </w:rPr>
              <w:t>15.00%</w:t>
            </w:r>
          </w:p>
        </w:tc>
        <w:tc>
          <w:tcPr>
            <w:tcW w:w="1519" w:type="dxa"/>
          </w:tcPr>
          <w:p w:rsidR="007C5447" w:rsidRDefault="00F6308C">
            <w:pPr>
              <w:pStyle w:val="TableParagraph"/>
              <w:spacing w:before="55" w:line="224" w:lineRule="exact"/>
              <w:ind w:right="91"/>
              <w:rPr>
                <w:sz w:val="20"/>
              </w:rPr>
            </w:pPr>
            <w:r>
              <w:rPr>
                <w:sz w:val="20"/>
              </w:rPr>
              <w:t>15.00%</w:t>
            </w:r>
          </w:p>
        </w:tc>
        <w:tc>
          <w:tcPr>
            <w:tcW w:w="1522" w:type="dxa"/>
          </w:tcPr>
          <w:p w:rsidR="007C5447" w:rsidRDefault="00F6308C">
            <w:pPr>
              <w:pStyle w:val="TableParagraph"/>
              <w:spacing w:before="55" w:line="224" w:lineRule="exact"/>
              <w:ind w:right="94"/>
              <w:rPr>
                <w:sz w:val="20"/>
              </w:rPr>
            </w:pPr>
            <w:r>
              <w:rPr>
                <w:sz w:val="20"/>
              </w:rPr>
              <w:t>15.00%</w:t>
            </w:r>
          </w:p>
        </w:tc>
        <w:tc>
          <w:tcPr>
            <w:tcW w:w="1519" w:type="dxa"/>
          </w:tcPr>
          <w:p w:rsidR="007C5447" w:rsidRDefault="00F6308C">
            <w:pPr>
              <w:pStyle w:val="TableParagraph"/>
              <w:spacing w:before="55" w:line="224" w:lineRule="exact"/>
              <w:ind w:right="91"/>
              <w:rPr>
                <w:sz w:val="20"/>
              </w:rPr>
            </w:pPr>
            <w:r>
              <w:rPr>
                <w:sz w:val="20"/>
              </w:rPr>
              <w:t>15.00%</w:t>
            </w:r>
          </w:p>
        </w:tc>
      </w:tr>
      <w:tr w:rsidR="007C5447">
        <w:trPr>
          <w:trHeight w:val="299"/>
        </w:trPr>
        <w:tc>
          <w:tcPr>
            <w:tcW w:w="960" w:type="dxa"/>
          </w:tcPr>
          <w:p w:rsidR="007C5447" w:rsidRDefault="00F6308C">
            <w:pPr>
              <w:pStyle w:val="TableParagraph"/>
              <w:spacing w:before="34"/>
              <w:ind w:left="8"/>
              <w:jc w:val="center"/>
              <w:rPr>
                <w:sz w:val="20"/>
              </w:rPr>
            </w:pPr>
            <w:r>
              <w:rPr>
                <w:w w:val="99"/>
                <w:sz w:val="20"/>
              </w:rPr>
              <w:t>7</w:t>
            </w:r>
          </w:p>
        </w:tc>
        <w:tc>
          <w:tcPr>
            <w:tcW w:w="2959" w:type="dxa"/>
          </w:tcPr>
          <w:p w:rsidR="007C5447" w:rsidRDefault="00F6308C">
            <w:pPr>
              <w:pStyle w:val="TableParagraph"/>
              <w:spacing w:before="55" w:line="224" w:lineRule="exact"/>
              <w:ind w:left="108"/>
              <w:jc w:val="left"/>
              <w:rPr>
                <w:sz w:val="20"/>
              </w:rPr>
            </w:pPr>
            <w:r>
              <w:rPr>
                <w:sz w:val="20"/>
              </w:rPr>
              <w:t>Net Generation MU</w:t>
            </w:r>
          </w:p>
        </w:tc>
        <w:tc>
          <w:tcPr>
            <w:tcW w:w="1320" w:type="dxa"/>
          </w:tcPr>
          <w:p w:rsidR="007C5447" w:rsidRDefault="00F6308C">
            <w:pPr>
              <w:pStyle w:val="TableParagraph"/>
              <w:spacing w:before="55" w:line="224" w:lineRule="exact"/>
              <w:ind w:left="109"/>
              <w:jc w:val="left"/>
              <w:rPr>
                <w:sz w:val="20"/>
              </w:rPr>
            </w:pPr>
            <w:r>
              <w:rPr>
                <w:sz w:val="20"/>
              </w:rPr>
              <w:t>MU</w:t>
            </w:r>
          </w:p>
        </w:tc>
        <w:tc>
          <w:tcPr>
            <w:tcW w:w="1521" w:type="dxa"/>
          </w:tcPr>
          <w:p w:rsidR="007C5447" w:rsidRDefault="00F6308C">
            <w:pPr>
              <w:pStyle w:val="TableParagraph"/>
              <w:spacing w:before="55" w:line="224" w:lineRule="exact"/>
              <w:ind w:right="94"/>
              <w:rPr>
                <w:sz w:val="20"/>
              </w:rPr>
            </w:pPr>
            <w:r>
              <w:rPr>
                <w:sz w:val="20"/>
              </w:rPr>
              <w:t>748</w:t>
            </w:r>
          </w:p>
        </w:tc>
        <w:tc>
          <w:tcPr>
            <w:tcW w:w="1519" w:type="dxa"/>
          </w:tcPr>
          <w:p w:rsidR="007C5447" w:rsidRDefault="00F6308C">
            <w:pPr>
              <w:pStyle w:val="TableParagraph"/>
              <w:spacing w:before="55" w:line="224" w:lineRule="exact"/>
              <w:ind w:right="91"/>
              <w:rPr>
                <w:sz w:val="20"/>
              </w:rPr>
            </w:pPr>
            <w:r>
              <w:rPr>
                <w:sz w:val="20"/>
              </w:rPr>
              <w:t>625</w:t>
            </w:r>
          </w:p>
        </w:tc>
        <w:tc>
          <w:tcPr>
            <w:tcW w:w="1519" w:type="dxa"/>
          </w:tcPr>
          <w:p w:rsidR="007C5447" w:rsidRDefault="00F6308C">
            <w:pPr>
              <w:pStyle w:val="TableParagraph"/>
              <w:spacing w:before="55" w:line="224" w:lineRule="exact"/>
              <w:ind w:right="93"/>
              <w:rPr>
                <w:sz w:val="20"/>
              </w:rPr>
            </w:pPr>
            <w:r>
              <w:rPr>
                <w:sz w:val="20"/>
              </w:rPr>
              <w:t>1,026</w:t>
            </w:r>
          </w:p>
        </w:tc>
        <w:tc>
          <w:tcPr>
            <w:tcW w:w="1522" w:type="dxa"/>
          </w:tcPr>
          <w:p w:rsidR="007C5447" w:rsidRDefault="00F6308C">
            <w:pPr>
              <w:pStyle w:val="TableParagraph"/>
              <w:spacing w:before="55" w:line="224" w:lineRule="exact"/>
              <w:ind w:right="95"/>
              <w:rPr>
                <w:sz w:val="20"/>
              </w:rPr>
            </w:pPr>
            <w:r>
              <w:rPr>
                <w:sz w:val="20"/>
              </w:rPr>
              <w:t>681</w:t>
            </w:r>
          </w:p>
        </w:tc>
        <w:tc>
          <w:tcPr>
            <w:tcW w:w="1519" w:type="dxa"/>
          </w:tcPr>
          <w:p w:rsidR="007C5447" w:rsidRDefault="00F6308C">
            <w:pPr>
              <w:pStyle w:val="TableParagraph"/>
              <w:spacing w:before="55" w:line="224" w:lineRule="exact"/>
              <w:ind w:right="92"/>
              <w:rPr>
                <w:sz w:val="20"/>
              </w:rPr>
            </w:pPr>
            <w:r>
              <w:rPr>
                <w:sz w:val="20"/>
              </w:rPr>
              <w:t>1,044</w:t>
            </w:r>
          </w:p>
        </w:tc>
      </w:tr>
      <w:tr w:rsidR="007C5447">
        <w:trPr>
          <w:trHeight w:val="330"/>
        </w:trPr>
        <w:tc>
          <w:tcPr>
            <w:tcW w:w="960" w:type="dxa"/>
            <w:shd w:val="clear" w:color="auto" w:fill="ECECEC"/>
          </w:tcPr>
          <w:p w:rsidR="007C5447" w:rsidRDefault="007C5447">
            <w:pPr>
              <w:pStyle w:val="TableParagraph"/>
              <w:jc w:val="left"/>
              <w:rPr>
                <w:sz w:val="20"/>
              </w:rPr>
            </w:pPr>
          </w:p>
        </w:tc>
        <w:tc>
          <w:tcPr>
            <w:tcW w:w="2959" w:type="dxa"/>
            <w:shd w:val="clear" w:color="auto" w:fill="ECECEC"/>
          </w:tcPr>
          <w:p w:rsidR="007C5447" w:rsidRDefault="00F6308C">
            <w:pPr>
              <w:pStyle w:val="TableParagraph"/>
              <w:spacing w:before="84" w:line="227" w:lineRule="exact"/>
              <w:ind w:left="108"/>
              <w:jc w:val="left"/>
              <w:rPr>
                <w:b/>
                <w:sz w:val="20"/>
              </w:rPr>
            </w:pPr>
            <w:r>
              <w:rPr>
                <w:b/>
                <w:sz w:val="20"/>
              </w:rPr>
              <w:t>Variable Cost - Parameters</w:t>
            </w:r>
          </w:p>
        </w:tc>
        <w:tc>
          <w:tcPr>
            <w:tcW w:w="1320" w:type="dxa"/>
            <w:shd w:val="clear" w:color="auto" w:fill="ECECEC"/>
          </w:tcPr>
          <w:p w:rsidR="007C5447" w:rsidRDefault="007C5447">
            <w:pPr>
              <w:pStyle w:val="TableParagraph"/>
              <w:jc w:val="left"/>
              <w:rPr>
                <w:sz w:val="20"/>
              </w:rPr>
            </w:pPr>
          </w:p>
        </w:tc>
        <w:tc>
          <w:tcPr>
            <w:tcW w:w="1521" w:type="dxa"/>
            <w:shd w:val="clear" w:color="auto" w:fill="ECECEC"/>
          </w:tcPr>
          <w:p w:rsidR="007C5447" w:rsidRDefault="007C5447">
            <w:pPr>
              <w:pStyle w:val="TableParagraph"/>
              <w:jc w:val="left"/>
              <w:rPr>
                <w:sz w:val="20"/>
              </w:rPr>
            </w:pPr>
          </w:p>
        </w:tc>
        <w:tc>
          <w:tcPr>
            <w:tcW w:w="1519" w:type="dxa"/>
            <w:shd w:val="clear" w:color="auto" w:fill="ECECEC"/>
          </w:tcPr>
          <w:p w:rsidR="007C5447" w:rsidRDefault="007C5447">
            <w:pPr>
              <w:pStyle w:val="TableParagraph"/>
              <w:jc w:val="left"/>
              <w:rPr>
                <w:sz w:val="20"/>
              </w:rPr>
            </w:pPr>
          </w:p>
        </w:tc>
        <w:tc>
          <w:tcPr>
            <w:tcW w:w="1519" w:type="dxa"/>
            <w:shd w:val="clear" w:color="auto" w:fill="ECECEC"/>
          </w:tcPr>
          <w:p w:rsidR="007C5447" w:rsidRDefault="007C5447">
            <w:pPr>
              <w:pStyle w:val="TableParagraph"/>
              <w:jc w:val="left"/>
              <w:rPr>
                <w:sz w:val="20"/>
              </w:rPr>
            </w:pPr>
          </w:p>
        </w:tc>
        <w:tc>
          <w:tcPr>
            <w:tcW w:w="1522" w:type="dxa"/>
            <w:shd w:val="clear" w:color="auto" w:fill="ECECEC"/>
          </w:tcPr>
          <w:p w:rsidR="007C5447" w:rsidRDefault="007C5447">
            <w:pPr>
              <w:pStyle w:val="TableParagraph"/>
              <w:jc w:val="left"/>
              <w:rPr>
                <w:sz w:val="20"/>
              </w:rPr>
            </w:pPr>
          </w:p>
        </w:tc>
        <w:tc>
          <w:tcPr>
            <w:tcW w:w="1519" w:type="dxa"/>
            <w:shd w:val="clear" w:color="auto" w:fill="ECECEC"/>
          </w:tcPr>
          <w:p w:rsidR="007C5447" w:rsidRDefault="007C5447">
            <w:pPr>
              <w:pStyle w:val="TableParagraph"/>
              <w:jc w:val="left"/>
              <w:rPr>
                <w:sz w:val="20"/>
              </w:rPr>
            </w:pPr>
          </w:p>
        </w:tc>
      </w:tr>
      <w:tr w:rsidR="007C5447">
        <w:trPr>
          <w:trHeight w:val="299"/>
        </w:trPr>
        <w:tc>
          <w:tcPr>
            <w:tcW w:w="960" w:type="dxa"/>
          </w:tcPr>
          <w:p w:rsidR="007C5447" w:rsidRDefault="00F6308C">
            <w:pPr>
              <w:pStyle w:val="TableParagraph"/>
              <w:spacing w:before="34"/>
              <w:ind w:left="8"/>
              <w:jc w:val="center"/>
              <w:rPr>
                <w:sz w:val="20"/>
              </w:rPr>
            </w:pPr>
            <w:r>
              <w:rPr>
                <w:w w:val="99"/>
                <w:sz w:val="20"/>
              </w:rPr>
              <w:t>8</w:t>
            </w:r>
          </w:p>
        </w:tc>
        <w:tc>
          <w:tcPr>
            <w:tcW w:w="2959" w:type="dxa"/>
          </w:tcPr>
          <w:p w:rsidR="007C5447" w:rsidRDefault="00F6308C">
            <w:pPr>
              <w:pStyle w:val="TableParagraph"/>
              <w:spacing w:before="55" w:line="224" w:lineRule="exact"/>
              <w:ind w:left="108"/>
              <w:jc w:val="left"/>
              <w:rPr>
                <w:sz w:val="20"/>
              </w:rPr>
            </w:pPr>
            <w:r>
              <w:rPr>
                <w:sz w:val="20"/>
              </w:rPr>
              <w:t>Station Heat rate</w:t>
            </w:r>
          </w:p>
        </w:tc>
        <w:tc>
          <w:tcPr>
            <w:tcW w:w="1320" w:type="dxa"/>
          </w:tcPr>
          <w:p w:rsidR="007C5447" w:rsidRDefault="00F6308C">
            <w:pPr>
              <w:pStyle w:val="TableParagraph"/>
              <w:spacing w:before="55" w:line="224" w:lineRule="exact"/>
              <w:ind w:left="109"/>
              <w:jc w:val="left"/>
              <w:rPr>
                <w:sz w:val="20"/>
              </w:rPr>
            </w:pPr>
            <w:r>
              <w:rPr>
                <w:sz w:val="20"/>
              </w:rPr>
              <w:t>kCal/kWh</w:t>
            </w:r>
          </w:p>
        </w:tc>
        <w:tc>
          <w:tcPr>
            <w:tcW w:w="1521" w:type="dxa"/>
          </w:tcPr>
          <w:p w:rsidR="007C5447" w:rsidRDefault="00F6308C">
            <w:pPr>
              <w:pStyle w:val="TableParagraph"/>
              <w:spacing w:before="55" w:line="224" w:lineRule="exact"/>
              <w:ind w:right="96"/>
              <w:rPr>
                <w:sz w:val="20"/>
              </w:rPr>
            </w:pPr>
            <w:r>
              <w:rPr>
                <w:sz w:val="20"/>
              </w:rPr>
              <w:t>3,200</w:t>
            </w:r>
          </w:p>
        </w:tc>
        <w:tc>
          <w:tcPr>
            <w:tcW w:w="1519" w:type="dxa"/>
          </w:tcPr>
          <w:p w:rsidR="007C5447" w:rsidRDefault="00F6308C">
            <w:pPr>
              <w:pStyle w:val="TableParagraph"/>
              <w:spacing w:before="55" w:line="224" w:lineRule="exact"/>
              <w:ind w:right="93"/>
              <w:rPr>
                <w:sz w:val="20"/>
              </w:rPr>
            </w:pPr>
            <w:r>
              <w:rPr>
                <w:sz w:val="20"/>
              </w:rPr>
              <w:t>3,200</w:t>
            </w:r>
          </w:p>
        </w:tc>
        <w:tc>
          <w:tcPr>
            <w:tcW w:w="1519" w:type="dxa"/>
          </w:tcPr>
          <w:p w:rsidR="007C5447" w:rsidRDefault="00F6308C">
            <w:pPr>
              <w:pStyle w:val="TableParagraph"/>
              <w:spacing w:before="55" w:line="224" w:lineRule="exact"/>
              <w:ind w:right="93"/>
              <w:rPr>
                <w:sz w:val="20"/>
              </w:rPr>
            </w:pPr>
            <w:r>
              <w:rPr>
                <w:sz w:val="20"/>
              </w:rPr>
              <w:t>3,200</w:t>
            </w:r>
          </w:p>
        </w:tc>
        <w:tc>
          <w:tcPr>
            <w:tcW w:w="1522" w:type="dxa"/>
          </w:tcPr>
          <w:p w:rsidR="007C5447" w:rsidRDefault="00F6308C">
            <w:pPr>
              <w:pStyle w:val="TableParagraph"/>
              <w:spacing w:before="55" w:line="224" w:lineRule="exact"/>
              <w:ind w:right="96"/>
              <w:rPr>
                <w:sz w:val="20"/>
              </w:rPr>
            </w:pPr>
            <w:r>
              <w:rPr>
                <w:sz w:val="20"/>
              </w:rPr>
              <w:t>3,200</w:t>
            </w:r>
          </w:p>
        </w:tc>
        <w:tc>
          <w:tcPr>
            <w:tcW w:w="1519" w:type="dxa"/>
          </w:tcPr>
          <w:p w:rsidR="007C5447" w:rsidRDefault="00F6308C">
            <w:pPr>
              <w:pStyle w:val="TableParagraph"/>
              <w:spacing w:before="55" w:line="224" w:lineRule="exact"/>
              <w:ind w:right="92"/>
              <w:rPr>
                <w:sz w:val="20"/>
              </w:rPr>
            </w:pPr>
            <w:r>
              <w:rPr>
                <w:sz w:val="20"/>
              </w:rPr>
              <w:t>3,200</w:t>
            </w:r>
          </w:p>
        </w:tc>
      </w:tr>
      <w:tr w:rsidR="007C5447">
        <w:trPr>
          <w:trHeight w:val="299"/>
        </w:trPr>
        <w:tc>
          <w:tcPr>
            <w:tcW w:w="960" w:type="dxa"/>
          </w:tcPr>
          <w:p w:rsidR="007C5447" w:rsidRDefault="00F6308C">
            <w:pPr>
              <w:pStyle w:val="TableParagraph"/>
              <w:spacing w:before="34"/>
              <w:ind w:left="8"/>
              <w:jc w:val="center"/>
              <w:rPr>
                <w:sz w:val="20"/>
              </w:rPr>
            </w:pPr>
            <w:r>
              <w:rPr>
                <w:w w:val="99"/>
                <w:sz w:val="20"/>
              </w:rPr>
              <w:t>9</w:t>
            </w:r>
          </w:p>
        </w:tc>
        <w:tc>
          <w:tcPr>
            <w:tcW w:w="2959" w:type="dxa"/>
          </w:tcPr>
          <w:p w:rsidR="007C5447" w:rsidRDefault="00F6308C">
            <w:pPr>
              <w:pStyle w:val="TableParagraph"/>
              <w:spacing w:before="55" w:line="224" w:lineRule="exact"/>
              <w:ind w:left="108"/>
              <w:jc w:val="left"/>
              <w:rPr>
                <w:sz w:val="20"/>
              </w:rPr>
            </w:pPr>
            <w:r>
              <w:rPr>
                <w:sz w:val="20"/>
              </w:rPr>
              <w:t>Fuel Oil Consumption</w:t>
            </w:r>
          </w:p>
        </w:tc>
        <w:tc>
          <w:tcPr>
            <w:tcW w:w="1320" w:type="dxa"/>
          </w:tcPr>
          <w:p w:rsidR="007C5447" w:rsidRDefault="00F6308C">
            <w:pPr>
              <w:pStyle w:val="TableParagraph"/>
              <w:spacing w:before="55" w:line="224" w:lineRule="exact"/>
              <w:ind w:left="109"/>
              <w:jc w:val="left"/>
              <w:rPr>
                <w:sz w:val="20"/>
              </w:rPr>
            </w:pPr>
            <w:r>
              <w:rPr>
                <w:sz w:val="20"/>
              </w:rPr>
              <w:t>ml/kWh</w:t>
            </w:r>
          </w:p>
        </w:tc>
        <w:tc>
          <w:tcPr>
            <w:tcW w:w="1521" w:type="dxa"/>
          </w:tcPr>
          <w:p w:rsidR="007C5447" w:rsidRDefault="00F6308C">
            <w:pPr>
              <w:pStyle w:val="TableParagraph"/>
              <w:spacing w:before="55" w:line="224" w:lineRule="exact"/>
              <w:ind w:right="94"/>
              <w:rPr>
                <w:sz w:val="20"/>
              </w:rPr>
            </w:pPr>
            <w:r>
              <w:rPr>
                <w:sz w:val="20"/>
              </w:rPr>
              <w:t>11</w:t>
            </w:r>
          </w:p>
        </w:tc>
        <w:tc>
          <w:tcPr>
            <w:tcW w:w="1519" w:type="dxa"/>
          </w:tcPr>
          <w:p w:rsidR="007C5447" w:rsidRDefault="00F6308C">
            <w:pPr>
              <w:pStyle w:val="TableParagraph"/>
              <w:spacing w:before="55" w:line="224" w:lineRule="exact"/>
              <w:ind w:right="96"/>
              <w:rPr>
                <w:sz w:val="20"/>
              </w:rPr>
            </w:pPr>
            <w:r>
              <w:rPr>
                <w:w w:val="99"/>
                <w:sz w:val="20"/>
              </w:rPr>
              <w:t>8</w:t>
            </w:r>
          </w:p>
        </w:tc>
        <w:tc>
          <w:tcPr>
            <w:tcW w:w="1519" w:type="dxa"/>
          </w:tcPr>
          <w:p w:rsidR="007C5447" w:rsidRDefault="00F6308C">
            <w:pPr>
              <w:pStyle w:val="TableParagraph"/>
              <w:spacing w:before="55" w:line="224" w:lineRule="exact"/>
              <w:ind w:right="94"/>
              <w:rPr>
                <w:sz w:val="20"/>
              </w:rPr>
            </w:pPr>
            <w:r>
              <w:rPr>
                <w:w w:val="99"/>
                <w:sz w:val="20"/>
              </w:rPr>
              <w:t>6</w:t>
            </w:r>
          </w:p>
        </w:tc>
        <w:tc>
          <w:tcPr>
            <w:tcW w:w="1522" w:type="dxa"/>
          </w:tcPr>
          <w:p w:rsidR="007C5447" w:rsidRDefault="00F6308C">
            <w:pPr>
              <w:pStyle w:val="TableParagraph"/>
              <w:spacing w:before="55" w:line="224" w:lineRule="exact"/>
              <w:ind w:right="95"/>
              <w:rPr>
                <w:sz w:val="20"/>
              </w:rPr>
            </w:pPr>
            <w:r>
              <w:rPr>
                <w:sz w:val="20"/>
              </w:rPr>
              <w:t>10</w:t>
            </w:r>
          </w:p>
        </w:tc>
        <w:tc>
          <w:tcPr>
            <w:tcW w:w="1519" w:type="dxa"/>
          </w:tcPr>
          <w:p w:rsidR="007C5447" w:rsidRDefault="00F6308C">
            <w:pPr>
              <w:pStyle w:val="TableParagraph"/>
              <w:spacing w:before="55" w:line="224" w:lineRule="exact"/>
              <w:ind w:right="90"/>
              <w:rPr>
                <w:sz w:val="20"/>
              </w:rPr>
            </w:pPr>
            <w:r>
              <w:rPr>
                <w:sz w:val="20"/>
              </w:rPr>
              <w:t>12</w:t>
            </w:r>
          </w:p>
        </w:tc>
      </w:tr>
      <w:tr w:rsidR="007C5447">
        <w:trPr>
          <w:trHeight w:val="299"/>
        </w:trPr>
        <w:tc>
          <w:tcPr>
            <w:tcW w:w="960" w:type="dxa"/>
          </w:tcPr>
          <w:p w:rsidR="007C5447" w:rsidRDefault="00F6308C">
            <w:pPr>
              <w:pStyle w:val="TableParagraph"/>
              <w:spacing w:before="36"/>
              <w:ind w:left="161" w:right="152"/>
              <w:jc w:val="center"/>
              <w:rPr>
                <w:sz w:val="20"/>
              </w:rPr>
            </w:pPr>
            <w:r>
              <w:rPr>
                <w:sz w:val="20"/>
              </w:rPr>
              <w:t>10</w:t>
            </w:r>
          </w:p>
        </w:tc>
        <w:tc>
          <w:tcPr>
            <w:tcW w:w="2959" w:type="dxa"/>
          </w:tcPr>
          <w:p w:rsidR="007C5447" w:rsidRDefault="00F6308C">
            <w:pPr>
              <w:pStyle w:val="TableParagraph"/>
              <w:spacing w:before="55" w:line="224" w:lineRule="exact"/>
              <w:ind w:left="108"/>
              <w:jc w:val="left"/>
              <w:rPr>
                <w:sz w:val="20"/>
              </w:rPr>
            </w:pPr>
            <w:r>
              <w:rPr>
                <w:sz w:val="20"/>
              </w:rPr>
              <w:t>GCV of Primary Fuel</w:t>
            </w:r>
          </w:p>
        </w:tc>
        <w:tc>
          <w:tcPr>
            <w:tcW w:w="1320" w:type="dxa"/>
          </w:tcPr>
          <w:p w:rsidR="007C5447" w:rsidRDefault="00F6308C">
            <w:pPr>
              <w:pStyle w:val="TableParagraph"/>
              <w:spacing w:before="55" w:line="224" w:lineRule="exact"/>
              <w:ind w:left="109"/>
              <w:jc w:val="left"/>
              <w:rPr>
                <w:sz w:val="20"/>
              </w:rPr>
            </w:pPr>
            <w:r>
              <w:rPr>
                <w:sz w:val="20"/>
              </w:rPr>
              <w:t>Kcal/kg</w:t>
            </w:r>
          </w:p>
        </w:tc>
        <w:tc>
          <w:tcPr>
            <w:tcW w:w="1521" w:type="dxa"/>
          </w:tcPr>
          <w:p w:rsidR="007C5447" w:rsidRDefault="00F6308C">
            <w:pPr>
              <w:pStyle w:val="TableParagraph"/>
              <w:spacing w:before="55" w:line="224" w:lineRule="exact"/>
              <w:ind w:right="94"/>
              <w:rPr>
                <w:sz w:val="20"/>
              </w:rPr>
            </w:pPr>
            <w:r>
              <w:rPr>
                <w:sz w:val="20"/>
              </w:rPr>
              <w:t>3,203</w:t>
            </w:r>
          </w:p>
        </w:tc>
        <w:tc>
          <w:tcPr>
            <w:tcW w:w="1519" w:type="dxa"/>
          </w:tcPr>
          <w:p w:rsidR="007C5447" w:rsidRDefault="00F6308C">
            <w:pPr>
              <w:pStyle w:val="TableParagraph"/>
              <w:spacing w:before="55" w:line="224" w:lineRule="exact"/>
              <w:ind w:right="93"/>
              <w:rPr>
                <w:sz w:val="20"/>
              </w:rPr>
            </w:pPr>
            <w:r>
              <w:rPr>
                <w:sz w:val="20"/>
              </w:rPr>
              <w:t>3,235</w:t>
            </w:r>
          </w:p>
        </w:tc>
        <w:tc>
          <w:tcPr>
            <w:tcW w:w="1519" w:type="dxa"/>
          </w:tcPr>
          <w:p w:rsidR="007C5447" w:rsidRDefault="00F6308C">
            <w:pPr>
              <w:pStyle w:val="TableParagraph"/>
              <w:spacing w:before="55" w:line="224" w:lineRule="exact"/>
              <w:ind w:right="93"/>
              <w:rPr>
                <w:sz w:val="20"/>
              </w:rPr>
            </w:pPr>
            <w:r>
              <w:rPr>
                <w:sz w:val="20"/>
              </w:rPr>
              <w:t>3,105</w:t>
            </w:r>
          </w:p>
        </w:tc>
        <w:tc>
          <w:tcPr>
            <w:tcW w:w="1522" w:type="dxa"/>
          </w:tcPr>
          <w:p w:rsidR="007C5447" w:rsidRDefault="00F6308C">
            <w:pPr>
              <w:pStyle w:val="TableParagraph"/>
              <w:spacing w:before="55" w:line="224" w:lineRule="exact"/>
              <w:ind w:right="96"/>
              <w:rPr>
                <w:sz w:val="20"/>
              </w:rPr>
            </w:pPr>
            <w:r>
              <w:rPr>
                <w:sz w:val="20"/>
              </w:rPr>
              <w:t>3,154</w:t>
            </w:r>
          </w:p>
        </w:tc>
        <w:tc>
          <w:tcPr>
            <w:tcW w:w="1519" w:type="dxa"/>
          </w:tcPr>
          <w:p w:rsidR="007C5447" w:rsidRDefault="00F6308C">
            <w:pPr>
              <w:pStyle w:val="TableParagraph"/>
              <w:spacing w:before="55" w:line="224" w:lineRule="exact"/>
              <w:ind w:right="92"/>
              <w:rPr>
                <w:sz w:val="20"/>
              </w:rPr>
            </w:pPr>
            <w:r>
              <w:rPr>
                <w:sz w:val="20"/>
              </w:rPr>
              <w:t>3,154</w:t>
            </w:r>
          </w:p>
        </w:tc>
      </w:tr>
      <w:tr w:rsidR="007C5447">
        <w:trPr>
          <w:trHeight w:val="300"/>
        </w:trPr>
        <w:tc>
          <w:tcPr>
            <w:tcW w:w="960" w:type="dxa"/>
          </w:tcPr>
          <w:p w:rsidR="007C5447" w:rsidRDefault="00F6308C">
            <w:pPr>
              <w:pStyle w:val="TableParagraph"/>
              <w:spacing w:before="36"/>
              <w:ind w:left="161" w:right="152"/>
              <w:jc w:val="center"/>
              <w:rPr>
                <w:sz w:val="20"/>
              </w:rPr>
            </w:pPr>
            <w:r>
              <w:rPr>
                <w:sz w:val="20"/>
              </w:rPr>
              <w:t>11</w:t>
            </w:r>
          </w:p>
        </w:tc>
        <w:tc>
          <w:tcPr>
            <w:tcW w:w="2959" w:type="dxa"/>
          </w:tcPr>
          <w:p w:rsidR="007C5447" w:rsidRDefault="00F6308C">
            <w:pPr>
              <w:pStyle w:val="TableParagraph"/>
              <w:spacing w:before="56" w:line="224" w:lineRule="exact"/>
              <w:ind w:left="108"/>
              <w:jc w:val="left"/>
              <w:rPr>
                <w:sz w:val="20"/>
              </w:rPr>
            </w:pPr>
            <w:r>
              <w:rPr>
                <w:sz w:val="20"/>
              </w:rPr>
              <w:t>GCV of Secondary Fuel</w:t>
            </w:r>
          </w:p>
        </w:tc>
        <w:tc>
          <w:tcPr>
            <w:tcW w:w="1320" w:type="dxa"/>
          </w:tcPr>
          <w:p w:rsidR="007C5447" w:rsidRDefault="00F6308C">
            <w:pPr>
              <w:pStyle w:val="TableParagraph"/>
              <w:spacing w:before="56" w:line="224" w:lineRule="exact"/>
              <w:ind w:left="109"/>
              <w:jc w:val="left"/>
              <w:rPr>
                <w:sz w:val="20"/>
              </w:rPr>
            </w:pPr>
            <w:r>
              <w:rPr>
                <w:sz w:val="20"/>
              </w:rPr>
              <w:t>kcal/l</w:t>
            </w:r>
          </w:p>
        </w:tc>
        <w:tc>
          <w:tcPr>
            <w:tcW w:w="1521" w:type="dxa"/>
          </w:tcPr>
          <w:p w:rsidR="007C5447" w:rsidRDefault="00F6308C">
            <w:pPr>
              <w:pStyle w:val="TableParagraph"/>
              <w:spacing w:before="56" w:line="224" w:lineRule="exact"/>
              <w:ind w:right="98"/>
              <w:rPr>
                <w:sz w:val="20"/>
              </w:rPr>
            </w:pPr>
            <w:r>
              <w:rPr>
                <w:w w:val="95"/>
                <w:sz w:val="20"/>
              </w:rPr>
              <w:t>10,484</w:t>
            </w:r>
          </w:p>
        </w:tc>
        <w:tc>
          <w:tcPr>
            <w:tcW w:w="1519" w:type="dxa"/>
          </w:tcPr>
          <w:p w:rsidR="007C5447" w:rsidRDefault="00F6308C">
            <w:pPr>
              <w:pStyle w:val="TableParagraph"/>
              <w:spacing w:before="56" w:line="224" w:lineRule="exact"/>
              <w:ind w:right="95"/>
              <w:rPr>
                <w:sz w:val="20"/>
              </w:rPr>
            </w:pPr>
            <w:r>
              <w:rPr>
                <w:w w:val="95"/>
                <w:sz w:val="20"/>
              </w:rPr>
              <w:t>10,483</w:t>
            </w:r>
          </w:p>
        </w:tc>
        <w:tc>
          <w:tcPr>
            <w:tcW w:w="1519" w:type="dxa"/>
          </w:tcPr>
          <w:p w:rsidR="007C5447" w:rsidRDefault="00F6308C">
            <w:pPr>
              <w:pStyle w:val="TableParagraph"/>
              <w:spacing w:before="56" w:line="224" w:lineRule="exact"/>
              <w:ind w:right="95"/>
              <w:rPr>
                <w:sz w:val="20"/>
              </w:rPr>
            </w:pPr>
            <w:r>
              <w:rPr>
                <w:w w:val="95"/>
                <w:sz w:val="20"/>
              </w:rPr>
              <w:t>10,404</w:t>
            </w:r>
          </w:p>
        </w:tc>
        <w:tc>
          <w:tcPr>
            <w:tcW w:w="1522" w:type="dxa"/>
          </w:tcPr>
          <w:p w:rsidR="007C5447" w:rsidRDefault="00F6308C">
            <w:pPr>
              <w:pStyle w:val="TableParagraph"/>
              <w:spacing w:before="56" w:line="224" w:lineRule="exact"/>
              <w:ind w:right="98"/>
              <w:rPr>
                <w:sz w:val="20"/>
              </w:rPr>
            </w:pPr>
            <w:r>
              <w:rPr>
                <w:w w:val="95"/>
                <w:sz w:val="20"/>
              </w:rPr>
              <w:t>10,397</w:t>
            </w:r>
          </w:p>
        </w:tc>
        <w:tc>
          <w:tcPr>
            <w:tcW w:w="1519" w:type="dxa"/>
          </w:tcPr>
          <w:p w:rsidR="007C5447" w:rsidRDefault="00F6308C">
            <w:pPr>
              <w:pStyle w:val="TableParagraph"/>
              <w:spacing w:before="56" w:line="224" w:lineRule="exact"/>
              <w:ind w:right="95"/>
              <w:rPr>
                <w:sz w:val="20"/>
              </w:rPr>
            </w:pPr>
            <w:r>
              <w:rPr>
                <w:w w:val="95"/>
                <w:sz w:val="20"/>
              </w:rPr>
              <w:t>10,340</w:t>
            </w:r>
          </w:p>
        </w:tc>
      </w:tr>
      <w:tr w:rsidR="007C5447">
        <w:trPr>
          <w:trHeight w:val="302"/>
        </w:trPr>
        <w:tc>
          <w:tcPr>
            <w:tcW w:w="960" w:type="dxa"/>
          </w:tcPr>
          <w:p w:rsidR="007C5447" w:rsidRDefault="00F6308C">
            <w:pPr>
              <w:pStyle w:val="TableParagraph"/>
              <w:spacing w:before="36"/>
              <w:ind w:left="161" w:right="152"/>
              <w:jc w:val="center"/>
              <w:rPr>
                <w:sz w:val="20"/>
              </w:rPr>
            </w:pPr>
            <w:r>
              <w:rPr>
                <w:sz w:val="20"/>
              </w:rPr>
              <w:t>12</w:t>
            </w:r>
          </w:p>
        </w:tc>
        <w:tc>
          <w:tcPr>
            <w:tcW w:w="2959" w:type="dxa"/>
          </w:tcPr>
          <w:p w:rsidR="007C5447" w:rsidRDefault="00F6308C">
            <w:pPr>
              <w:pStyle w:val="TableParagraph"/>
              <w:spacing w:before="55" w:line="227" w:lineRule="exact"/>
              <w:ind w:left="108"/>
              <w:jc w:val="left"/>
              <w:rPr>
                <w:sz w:val="20"/>
              </w:rPr>
            </w:pPr>
            <w:r>
              <w:rPr>
                <w:sz w:val="20"/>
              </w:rPr>
              <w:t>Price of Coal</w:t>
            </w:r>
          </w:p>
        </w:tc>
        <w:tc>
          <w:tcPr>
            <w:tcW w:w="1320" w:type="dxa"/>
          </w:tcPr>
          <w:p w:rsidR="007C5447" w:rsidRDefault="00F6308C">
            <w:pPr>
              <w:pStyle w:val="TableParagraph"/>
              <w:spacing w:before="55" w:line="227" w:lineRule="exact"/>
              <w:ind w:left="109"/>
              <w:jc w:val="left"/>
              <w:rPr>
                <w:sz w:val="20"/>
              </w:rPr>
            </w:pPr>
            <w:r>
              <w:rPr>
                <w:sz w:val="20"/>
              </w:rPr>
              <w:t>Rs/MT</w:t>
            </w:r>
          </w:p>
        </w:tc>
        <w:tc>
          <w:tcPr>
            <w:tcW w:w="1521" w:type="dxa"/>
          </w:tcPr>
          <w:p w:rsidR="007C5447" w:rsidRDefault="00F6308C">
            <w:pPr>
              <w:pStyle w:val="TableParagraph"/>
              <w:spacing w:before="55" w:line="227" w:lineRule="exact"/>
              <w:ind w:right="98"/>
              <w:rPr>
                <w:sz w:val="20"/>
              </w:rPr>
            </w:pPr>
            <w:r>
              <w:rPr>
                <w:w w:val="95"/>
                <w:sz w:val="20"/>
              </w:rPr>
              <w:t>2,508</w:t>
            </w:r>
          </w:p>
        </w:tc>
        <w:tc>
          <w:tcPr>
            <w:tcW w:w="1519" w:type="dxa"/>
          </w:tcPr>
          <w:p w:rsidR="007C5447" w:rsidRDefault="00F6308C">
            <w:pPr>
              <w:pStyle w:val="TableParagraph"/>
              <w:spacing w:before="55" w:line="227" w:lineRule="exact"/>
              <w:ind w:right="95"/>
              <w:rPr>
                <w:sz w:val="20"/>
              </w:rPr>
            </w:pPr>
            <w:r>
              <w:rPr>
                <w:w w:val="95"/>
                <w:sz w:val="20"/>
              </w:rPr>
              <w:t>2,813</w:t>
            </w:r>
          </w:p>
        </w:tc>
        <w:tc>
          <w:tcPr>
            <w:tcW w:w="1519" w:type="dxa"/>
          </w:tcPr>
          <w:p w:rsidR="007C5447" w:rsidRDefault="00F6308C">
            <w:pPr>
              <w:pStyle w:val="TableParagraph"/>
              <w:spacing w:before="55" w:line="227" w:lineRule="exact"/>
              <w:ind w:right="95"/>
              <w:rPr>
                <w:sz w:val="20"/>
              </w:rPr>
            </w:pPr>
            <w:r>
              <w:rPr>
                <w:w w:val="95"/>
                <w:sz w:val="20"/>
              </w:rPr>
              <w:t>2,614</w:t>
            </w:r>
          </w:p>
        </w:tc>
        <w:tc>
          <w:tcPr>
            <w:tcW w:w="1522" w:type="dxa"/>
          </w:tcPr>
          <w:p w:rsidR="007C5447" w:rsidRDefault="00F6308C">
            <w:pPr>
              <w:pStyle w:val="TableParagraph"/>
              <w:spacing w:before="55" w:line="227" w:lineRule="exact"/>
              <w:ind w:right="98"/>
              <w:rPr>
                <w:sz w:val="20"/>
              </w:rPr>
            </w:pPr>
            <w:r>
              <w:rPr>
                <w:w w:val="95"/>
                <w:sz w:val="20"/>
              </w:rPr>
              <w:t>2,872</w:t>
            </w:r>
          </w:p>
        </w:tc>
        <w:tc>
          <w:tcPr>
            <w:tcW w:w="1519" w:type="dxa"/>
          </w:tcPr>
          <w:p w:rsidR="007C5447" w:rsidRDefault="00F6308C">
            <w:pPr>
              <w:pStyle w:val="TableParagraph"/>
              <w:spacing w:before="55" w:line="227" w:lineRule="exact"/>
              <w:ind w:right="95"/>
              <w:rPr>
                <w:sz w:val="20"/>
              </w:rPr>
            </w:pPr>
            <w:r>
              <w:rPr>
                <w:w w:val="95"/>
                <w:sz w:val="20"/>
              </w:rPr>
              <w:t>3,028</w:t>
            </w:r>
          </w:p>
        </w:tc>
      </w:tr>
      <w:tr w:rsidR="007C5447">
        <w:trPr>
          <w:trHeight w:val="299"/>
        </w:trPr>
        <w:tc>
          <w:tcPr>
            <w:tcW w:w="960" w:type="dxa"/>
          </w:tcPr>
          <w:p w:rsidR="007C5447" w:rsidRDefault="00F6308C">
            <w:pPr>
              <w:pStyle w:val="TableParagraph"/>
              <w:spacing w:before="34"/>
              <w:ind w:left="161" w:right="152"/>
              <w:jc w:val="center"/>
              <w:rPr>
                <w:sz w:val="20"/>
              </w:rPr>
            </w:pPr>
            <w:r>
              <w:rPr>
                <w:sz w:val="20"/>
              </w:rPr>
              <w:t>13</w:t>
            </w:r>
          </w:p>
        </w:tc>
        <w:tc>
          <w:tcPr>
            <w:tcW w:w="2959" w:type="dxa"/>
          </w:tcPr>
          <w:p w:rsidR="007C5447" w:rsidRDefault="00F6308C">
            <w:pPr>
              <w:pStyle w:val="TableParagraph"/>
              <w:spacing w:before="53" w:line="227" w:lineRule="exact"/>
              <w:ind w:left="108"/>
              <w:jc w:val="left"/>
              <w:rPr>
                <w:sz w:val="20"/>
              </w:rPr>
            </w:pPr>
            <w:r>
              <w:rPr>
                <w:sz w:val="20"/>
              </w:rPr>
              <w:t>Price of Oil</w:t>
            </w:r>
          </w:p>
        </w:tc>
        <w:tc>
          <w:tcPr>
            <w:tcW w:w="1320" w:type="dxa"/>
          </w:tcPr>
          <w:p w:rsidR="007C5447" w:rsidRDefault="00F6308C">
            <w:pPr>
              <w:pStyle w:val="TableParagraph"/>
              <w:spacing w:before="53" w:line="227" w:lineRule="exact"/>
              <w:ind w:left="109"/>
              <w:jc w:val="left"/>
              <w:rPr>
                <w:sz w:val="20"/>
              </w:rPr>
            </w:pPr>
            <w:r>
              <w:rPr>
                <w:sz w:val="20"/>
              </w:rPr>
              <w:t>Rs/kL</w:t>
            </w:r>
          </w:p>
        </w:tc>
        <w:tc>
          <w:tcPr>
            <w:tcW w:w="1521" w:type="dxa"/>
          </w:tcPr>
          <w:p w:rsidR="007C5447" w:rsidRDefault="00F6308C">
            <w:pPr>
              <w:pStyle w:val="TableParagraph"/>
              <w:spacing w:before="53" w:line="227" w:lineRule="exact"/>
              <w:ind w:right="98"/>
              <w:rPr>
                <w:sz w:val="20"/>
              </w:rPr>
            </w:pPr>
            <w:r>
              <w:rPr>
                <w:w w:val="95"/>
                <w:sz w:val="20"/>
              </w:rPr>
              <w:t>51,278</w:t>
            </w:r>
          </w:p>
        </w:tc>
        <w:tc>
          <w:tcPr>
            <w:tcW w:w="1519" w:type="dxa"/>
          </w:tcPr>
          <w:p w:rsidR="007C5447" w:rsidRDefault="00F6308C">
            <w:pPr>
              <w:pStyle w:val="TableParagraph"/>
              <w:spacing w:before="53" w:line="227" w:lineRule="exact"/>
              <w:ind w:right="95"/>
              <w:rPr>
                <w:sz w:val="20"/>
              </w:rPr>
            </w:pPr>
            <w:r>
              <w:rPr>
                <w:w w:val="95"/>
                <w:sz w:val="20"/>
              </w:rPr>
              <w:t>53,801</w:t>
            </w:r>
          </w:p>
        </w:tc>
        <w:tc>
          <w:tcPr>
            <w:tcW w:w="1519" w:type="dxa"/>
          </w:tcPr>
          <w:p w:rsidR="007C5447" w:rsidRDefault="00F6308C">
            <w:pPr>
              <w:pStyle w:val="TableParagraph"/>
              <w:spacing w:before="53" w:line="227" w:lineRule="exact"/>
              <w:ind w:right="95"/>
              <w:rPr>
                <w:sz w:val="20"/>
              </w:rPr>
            </w:pPr>
            <w:r>
              <w:rPr>
                <w:w w:val="95"/>
                <w:sz w:val="20"/>
              </w:rPr>
              <w:t>51,072</w:t>
            </w:r>
          </w:p>
        </w:tc>
        <w:tc>
          <w:tcPr>
            <w:tcW w:w="1522" w:type="dxa"/>
          </w:tcPr>
          <w:p w:rsidR="007C5447" w:rsidRDefault="00F6308C">
            <w:pPr>
              <w:pStyle w:val="TableParagraph"/>
              <w:spacing w:before="53" w:line="227" w:lineRule="exact"/>
              <w:ind w:right="98"/>
              <w:rPr>
                <w:sz w:val="20"/>
              </w:rPr>
            </w:pPr>
            <w:r>
              <w:rPr>
                <w:w w:val="95"/>
                <w:sz w:val="20"/>
              </w:rPr>
              <w:t>36,100</w:t>
            </w:r>
          </w:p>
        </w:tc>
        <w:tc>
          <w:tcPr>
            <w:tcW w:w="1519" w:type="dxa"/>
          </w:tcPr>
          <w:p w:rsidR="007C5447" w:rsidRDefault="00F6308C">
            <w:pPr>
              <w:pStyle w:val="TableParagraph"/>
              <w:spacing w:before="53" w:line="227" w:lineRule="exact"/>
              <w:ind w:right="95"/>
              <w:rPr>
                <w:sz w:val="20"/>
              </w:rPr>
            </w:pPr>
            <w:r>
              <w:rPr>
                <w:w w:val="95"/>
                <w:sz w:val="20"/>
              </w:rPr>
              <w:t>24,730</w:t>
            </w:r>
          </w:p>
        </w:tc>
      </w:tr>
      <w:tr w:rsidR="007C5447">
        <w:trPr>
          <w:trHeight w:val="328"/>
        </w:trPr>
        <w:tc>
          <w:tcPr>
            <w:tcW w:w="960" w:type="dxa"/>
            <w:shd w:val="clear" w:color="auto" w:fill="ECECEC"/>
          </w:tcPr>
          <w:p w:rsidR="007C5447" w:rsidRDefault="007C5447">
            <w:pPr>
              <w:pStyle w:val="TableParagraph"/>
              <w:jc w:val="left"/>
              <w:rPr>
                <w:sz w:val="20"/>
              </w:rPr>
            </w:pPr>
          </w:p>
        </w:tc>
        <w:tc>
          <w:tcPr>
            <w:tcW w:w="2959" w:type="dxa"/>
            <w:shd w:val="clear" w:color="auto" w:fill="ECECEC"/>
          </w:tcPr>
          <w:p w:rsidR="007C5447" w:rsidRDefault="00F6308C">
            <w:pPr>
              <w:pStyle w:val="TableParagraph"/>
              <w:spacing w:before="84" w:line="224" w:lineRule="exact"/>
              <w:ind w:left="108"/>
              <w:jc w:val="left"/>
              <w:rPr>
                <w:b/>
                <w:sz w:val="20"/>
              </w:rPr>
            </w:pPr>
            <w:r>
              <w:rPr>
                <w:b/>
                <w:sz w:val="20"/>
              </w:rPr>
              <w:t>Calculations</w:t>
            </w:r>
          </w:p>
        </w:tc>
        <w:tc>
          <w:tcPr>
            <w:tcW w:w="1320" w:type="dxa"/>
            <w:shd w:val="clear" w:color="auto" w:fill="ECECEC"/>
          </w:tcPr>
          <w:p w:rsidR="007C5447" w:rsidRDefault="007C5447">
            <w:pPr>
              <w:pStyle w:val="TableParagraph"/>
              <w:jc w:val="left"/>
              <w:rPr>
                <w:sz w:val="20"/>
              </w:rPr>
            </w:pPr>
          </w:p>
        </w:tc>
        <w:tc>
          <w:tcPr>
            <w:tcW w:w="1521" w:type="dxa"/>
            <w:shd w:val="clear" w:color="auto" w:fill="ECECEC"/>
          </w:tcPr>
          <w:p w:rsidR="007C5447" w:rsidRDefault="007C5447">
            <w:pPr>
              <w:pStyle w:val="TableParagraph"/>
              <w:jc w:val="left"/>
              <w:rPr>
                <w:sz w:val="20"/>
              </w:rPr>
            </w:pPr>
          </w:p>
        </w:tc>
        <w:tc>
          <w:tcPr>
            <w:tcW w:w="1519" w:type="dxa"/>
            <w:shd w:val="clear" w:color="auto" w:fill="ECECEC"/>
          </w:tcPr>
          <w:p w:rsidR="007C5447" w:rsidRDefault="007C5447">
            <w:pPr>
              <w:pStyle w:val="TableParagraph"/>
              <w:jc w:val="left"/>
              <w:rPr>
                <w:sz w:val="20"/>
              </w:rPr>
            </w:pPr>
          </w:p>
        </w:tc>
        <w:tc>
          <w:tcPr>
            <w:tcW w:w="1519" w:type="dxa"/>
            <w:shd w:val="clear" w:color="auto" w:fill="ECECEC"/>
          </w:tcPr>
          <w:p w:rsidR="007C5447" w:rsidRDefault="007C5447">
            <w:pPr>
              <w:pStyle w:val="TableParagraph"/>
              <w:jc w:val="left"/>
              <w:rPr>
                <w:sz w:val="20"/>
              </w:rPr>
            </w:pPr>
          </w:p>
        </w:tc>
        <w:tc>
          <w:tcPr>
            <w:tcW w:w="1522" w:type="dxa"/>
            <w:shd w:val="clear" w:color="auto" w:fill="ECECEC"/>
          </w:tcPr>
          <w:p w:rsidR="007C5447" w:rsidRDefault="007C5447">
            <w:pPr>
              <w:pStyle w:val="TableParagraph"/>
              <w:jc w:val="left"/>
              <w:rPr>
                <w:sz w:val="20"/>
              </w:rPr>
            </w:pPr>
          </w:p>
        </w:tc>
        <w:tc>
          <w:tcPr>
            <w:tcW w:w="1519" w:type="dxa"/>
            <w:shd w:val="clear" w:color="auto" w:fill="ECECEC"/>
          </w:tcPr>
          <w:p w:rsidR="007C5447" w:rsidRDefault="007C5447">
            <w:pPr>
              <w:pStyle w:val="TableParagraph"/>
              <w:jc w:val="left"/>
              <w:rPr>
                <w:sz w:val="20"/>
              </w:rPr>
            </w:pPr>
          </w:p>
        </w:tc>
      </w:tr>
      <w:tr w:rsidR="007C5447">
        <w:trPr>
          <w:trHeight w:val="302"/>
        </w:trPr>
        <w:tc>
          <w:tcPr>
            <w:tcW w:w="960" w:type="dxa"/>
          </w:tcPr>
          <w:p w:rsidR="007C5447" w:rsidRDefault="00F6308C">
            <w:pPr>
              <w:pStyle w:val="TableParagraph"/>
              <w:spacing w:before="36"/>
              <w:ind w:left="161" w:right="152"/>
              <w:jc w:val="center"/>
              <w:rPr>
                <w:sz w:val="20"/>
              </w:rPr>
            </w:pPr>
            <w:r>
              <w:rPr>
                <w:sz w:val="20"/>
              </w:rPr>
              <w:t>14</w:t>
            </w:r>
          </w:p>
        </w:tc>
        <w:tc>
          <w:tcPr>
            <w:tcW w:w="2959" w:type="dxa"/>
          </w:tcPr>
          <w:p w:rsidR="007C5447" w:rsidRDefault="00F6308C">
            <w:pPr>
              <w:pStyle w:val="TableParagraph"/>
              <w:spacing w:before="55" w:line="227" w:lineRule="exact"/>
              <w:ind w:left="108"/>
              <w:jc w:val="left"/>
              <w:rPr>
                <w:sz w:val="20"/>
              </w:rPr>
            </w:pPr>
            <w:r>
              <w:rPr>
                <w:sz w:val="20"/>
              </w:rPr>
              <w:t>Total Heat from Coal and Oil</w:t>
            </w:r>
          </w:p>
        </w:tc>
        <w:tc>
          <w:tcPr>
            <w:tcW w:w="1320" w:type="dxa"/>
          </w:tcPr>
          <w:p w:rsidR="007C5447" w:rsidRDefault="00F6308C">
            <w:pPr>
              <w:pStyle w:val="TableParagraph"/>
              <w:spacing w:before="55" w:line="227" w:lineRule="exact"/>
              <w:ind w:left="109"/>
              <w:jc w:val="left"/>
              <w:rPr>
                <w:sz w:val="20"/>
              </w:rPr>
            </w:pPr>
            <w:r>
              <w:rPr>
                <w:sz w:val="20"/>
              </w:rPr>
              <w:t>MKCL</w:t>
            </w:r>
          </w:p>
        </w:tc>
        <w:tc>
          <w:tcPr>
            <w:tcW w:w="1521" w:type="dxa"/>
          </w:tcPr>
          <w:p w:rsidR="007C5447" w:rsidRDefault="00F6308C">
            <w:pPr>
              <w:pStyle w:val="TableParagraph"/>
              <w:spacing w:before="55" w:line="227" w:lineRule="exact"/>
              <w:ind w:right="99"/>
              <w:rPr>
                <w:sz w:val="20"/>
              </w:rPr>
            </w:pPr>
            <w:r>
              <w:rPr>
                <w:w w:val="95"/>
                <w:sz w:val="20"/>
              </w:rPr>
              <w:t>28,59,779</w:t>
            </w:r>
          </w:p>
        </w:tc>
        <w:tc>
          <w:tcPr>
            <w:tcW w:w="1519" w:type="dxa"/>
          </w:tcPr>
          <w:p w:rsidR="007C5447" w:rsidRDefault="00F6308C">
            <w:pPr>
              <w:pStyle w:val="TableParagraph"/>
              <w:spacing w:before="55" w:line="227" w:lineRule="exact"/>
              <w:ind w:right="96"/>
              <w:rPr>
                <w:sz w:val="20"/>
              </w:rPr>
            </w:pPr>
            <w:r>
              <w:rPr>
                <w:w w:val="95"/>
                <w:sz w:val="20"/>
              </w:rPr>
              <w:t>23,54,646</w:t>
            </w:r>
          </w:p>
        </w:tc>
        <w:tc>
          <w:tcPr>
            <w:tcW w:w="1519" w:type="dxa"/>
          </w:tcPr>
          <w:p w:rsidR="007C5447" w:rsidRDefault="00F6308C">
            <w:pPr>
              <w:pStyle w:val="TableParagraph"/>
              <w:spacing w:before="55" w:line="227" w:lineRule="exact"/>
              <w:ind w:right="96"/>
              <w:rPr>
                <w:sz w:val="20"/>
              </w:rPr>
            </w:pPr>
            <w:r>
              <w:rPr>
                <w:w w:val="95"/>
                <w:sz w:val="20"/>
              </w:rPr>
              <w:t>38,60,874</w:t>
            </w:r>
          </w:p>
        </w:tc>
        <w:tc>
          <w:tcPr>
            <w:tcW w:w="1522" w:type="dxa"/>
          </w:tcPr>
          <w:p w:rsidR="007C5447" w:rsidRDefault="00F6308C">
            <w:pPr>
              <w:pStyle w:val="TableParagraph"/>
              <w:spacing w:before="55" w:line="227" w:lineRule="exact"/>
              <w:ind w:right="98"/>
              <w:rPr>
                <w:sz w:val="20"/>
              </w:rPr>
            </w:pPr>
            <w:r>
              <w:rPr>
                <w:w w:val="95"/>
                <w:sz w:val="20"/>
              </w:rPr>
              <w:t>25,62,353</w:t>
            </w:r>
          </w:p>
        </w:tc>
        <w:tc>
          <w:tcPr>
            <w:tcW w:w="1519" w:type="dxa"/>
          </w:tcPr>
          <w:p w:rsidR="007C5447" w:rsidRDefault="00F6308C">
            <w:pPr>
              <w:pStyle w:val="TableParagraph"/>
              <w:spacing w:before="55" w:line="227" w:lineRule="exact"/>
              <w:ind w:right="95"/>
              <w:rPr>
                <w:sz w:val="20"/>
              </w:rPr>
            </w:pPr>
            <w:r>
              <w:rPr>
                <w:w w:val="95"/>
                <w:sz w:val="20"/>
              </w:rPr>
              <w:t>39,31,297</w:t>
            </w:r>
          </w:p>
        </w:tc>
      </w:tr>
      <w:tr w:rsidR="007C5447">
        <w:trPr>
          <w:trHeight w:val="299"/>
        </w:trPr>
        <w:tc>
          <w:tcPr>
            <w:tcW w:w="960" w:type="dxa"/>
          </w:tcPr>
          <w:p w:rsidR="007C5447" w:rsidRDefault="00F6308C">
            <w:pPr>
              <w:pStyle w:val="TableParagraph"/>
              <w:spacing w:before="34"/>
              <w:ind w:left="161" w:right="152"/>
              <w:jc w:val="center"/>
              <w:rPr>
                <w:sz w:val="20"/>
              </w:rPr>
            </w:pPr>
            <w:r>
              <w:rPr>
                <w:sz w:val="20"/>
              </w:rPr>
              <w:t>15</w:t>
            </w:r>
          </w:p>
        </w:tc>
        <w:tc>
          <w:tcPr>
            <w:tcW w:w="2959" w:type="dxa"/>
          </w:tcPr>
          <w:p w:rsidR="007C5447" w:rsidRDefault="00F6308C">
            <w:pPr>
              <w:pStyle w:val="TableParagraph"/>
              <w:spacing w:before="53" w:line="227" w:lineRule="exact"/>
              <w:ind w:left="108"/>
              <w:jc w:val="left"/>
              <w:rPr>
                <w:sz w:val="20"/>
              </w:rPr>
            </w:pPr>
            <w:r>
              <w:rPr>
                <w:sz w:val="20"/>
              </w:rPr>
              <w:t>Heat from Coal</w:t>
            </w:r>
          </w:p>
        </w:tc>
        <w:tc>
          <w:tcPr>
            <w:tcW w:w="1320" w:type="dxa"/>
          </w:tcPr>
          <w:p w:rsidR="007C5447" w:rsidRDefault="00F6308C">
            <w:pPr>
              <w:pStyle w:val="TableParagraph"/>
              <w:spacing w:before="53" w:line="227" w:lineRule="exact"/>
              <w:ind w:left="109"/>
              <w:jc w:val="left"/>
              <w:rPr>
                <w:sz w:val="20"/>
              </w:rPr>
            </w:pPr>
            <w:r>
              <w:rPr>
                <w:sz w:val="20"/>
              </w:rPr>
              <w:t>MKCL</w:t>
            </w:r>
          </w:p>
        </w:tc>
        <w:tc>
          <w:tcPr>
            <w:tcW w:w="1521" w:type="dxa"/>
          </w:tcPr>
          <w:p w:rsidR="007C5447" w:rsidRDefault="00F6308C">
            <w:pPr>
              <w:pStyle w:val="TableParagraph"/>
              <w:spacing w:before="53" w:line="227" w:lineRule="exact"/>
              <w:ind w:right="99"/>
              <w:rPr>
                <w:sz w:val="20"/>
              </w:rPr>
            </w:pPr>
            <w:r>
              <w:rPr>
                <w:w w:val="95"/>
                <w:sz w:val="20"/>
              </w:rPr>
              <w:t>27,61,401</w:t>
            </w:r>
          </w:p>
        </w:tc>
        <w:tc>
          <w:tcPr>
            <w:tcW w:w="1519" w:type="dxa"/>
          </w:tcPr>
          <w:p w:rsidR="007C5447" w:rsidRDefault="00F6308C">
            <w:pPr>
              <w:pStyle w:val="TableParagraph"/>
              <w:spacing w:before="53" w:line="227" w:lineRule="exact"/>
              <w:ind w:right="96"/>
              <w:rPr>
                <w:sz w:val="20"/>
              </w:rPr>
            </w:pPr>
            <w:r>
              <w:rPr>
                <w:w w:val="95"/>
                <w:sz w:val="20"/>
              </w:rPr>
              <w:t>22,93,708</w:t>
            </w:r>
          </w:p>
        </w:tc>
        <w:tc>
          <w:tcPr>
            <w:tcW w:w="1519" w:type="dxa"/>
          </w:tcPr>
          <w:p w:rsidR="007C5447" w:rsidRDefault="00F6308C">
            <w:pPr>
              <w:pStyle w:val="TableParagraph"/>
              <w:spacing w:before="53" w:line="227" w:lineRule="exact"/>
              <w:ind w:right="96"/>
              <w:rPr>
                <w:sz w:val="20"/>
              </w:rPr>
            </w:pPr>
            <w:r>
              <w:rPr>
                <w:w w:val="95"/>
                <w:sz w:val="20"/>
              </w:rPr>
              <w:t>37,85,139</w:t>
            </w:r>
          </w:p>
        </w:tc>
        <w:tc>
          <w:tcPr>
            <w:tcW w:w="1522" w:type="dxa"/>
          </w:tcPr>
          <w:p w:rsidR="007C5447" w:rsidRDefault="00F6308C">
            <w:pPr>
              <w:pStyle w:val="TableParagraph"/>
              <w:spacing w:before="53" w:line="227" w:lineRule="exact"/>
              <w:ind w:right="98"/>
              <w:rPr>
                <w:sz w:val="20"/>
              </w:rPr>
            </w:pPr>
            <w:r>
              <w:rPr>
                <w:w w:val="95"/>
                <w:sz w:val="20"/>
              </w:rPr>
              <w:t>24,78,308</w:t>
            </w:r>
          </w:p>
        </w:tc>
        <w:tc>
          <w:tcPr>
            <w:tcW w:w="1519" w:type="dxa"/>
          </w:tcPr>
          <w:p w:rsidR="007C5447" w:rsidRDefault="00F6308C">
            <w:pPr>
              <w:pStyle w:val="TableParagraph"/>
              <w:spacing w:before="53" w:line="227" w:lineRule="exact"/>
              <w:ind w:right="95"/>
              <w:rPr>
                <w:sz w:val="20"/>
              </w:rPr>
            </w:pPr>
            <w:r>
              <w:rPr>
                <w:w w:val="95"/>
                <w:sz w:val="20"/>
              </w:rPr>
              <w:t>37,78,861</w:t>
            </w:r>
          </w:p>
        </w:tc>
      </w:tr>
      <w:tr w:rsidR="007C5447">
        <w:trPr>
          <w:trHeight w:val="299"/>
        </w:trPr>
        <w:tc>
          <w:tcPr>
            <w:tcW w:w="960" w:type="dxa"/>
          </w:tcPr>
          <w:p w:rsidR="007C5447" w:rsidRDefault="00F6308C">
            <w:pPr>
              <w:pStyle w:val="TableParagraph"/>
              <w:spacing w:before="34"/>
              <w:ind w:left="161" w:right="152"/>
              <w:jc w:val="center"/>
              <w:rPr>
                <w:sz w:val="20"/>
              </w:rPr>
            </w:pPr>
            <w:r>
              <w:rPr>
                <w:sz w:val="20"/>
              </w:rPr>
              <w:t>16</w:t>
            </w:r>
          </w:p>
        </w:tc>
        <w:tc>
          <w:tcPr>
            <w:tcW w:w="2959" w:type="dxa"/>
          </w:tcPr>
          <w:p w:rsidR="007C5447" w:rsidRDefault="00F6308C">
            <w:pPr>
              <w:pStyle w:val="TableParagraph"/>
              <w:spacing w:before="55" w:line="224" w:lineRule="exact"/>
              <w:ind w:left="108"/>
              <w:jc w:val="left"/>
              <w:rPr>
                <w:sz w:val="20"/>
              </w:rPr>
            </w:pPr>
            <w:r>
              <w:rPr>
                <w:sz w:val="20"/>
              </w:rPr>
              <w:t>Heat from Oil</w:t>
            </w:r>
          </w:p>
        </w:tc>
        <w:tc>
          <w:tcPr>
            <w:tcW w:w="1320" w:type="dxa"/>
          </w:tcPr>
          <w:p w:rsidR="007C5447" w:rsidRDefault="00F6308C">
            <w:pPr>
              <w:pStyle w:val="TableParagraph"/>
              <w:spacing w:before="55" w:line="224" w:lineRule="exact"/>
              <w:ind w:left="109"/>
              <w:jc w:val="left"/>
              <w:rPr>
                <w:sz w:val="20"/>
              </w:rPr>
            </w:pPr>
            <w:r>
              <w:rPr>
                <w:sz w:val="20"/>
              </w:rPr>
              <w:t>MKCL</w:t>
            </w:r>
          </w:p>
        </w:tc>
        <w:tc>
          <w:tcPr>
            <w:tcW w:w="1521" w:type="dxa"/>
          </w:tcPr>
          <w:p w:rsidR="007C5447" w:rsidRDefault="00F6308C">
            <w:pPr>
              <w:pStyle w:val="TableParagraph"/>
              <w:spacing w:before="55" w:line="224" w:lineRule="exact"/>
              <w:ind w:right="98"/>
              <w:rPr>
                <w:sz w:val="20"/>
              </w:rPr>
            </w:pPr>
            <w:r>
              <w:rPr>
                <w:w w:val="95"/>
                <w:sz w:val="20"/>
              </w:rPr>
              <w:t>98,378</w:t>
            </w:r>
          </w:p>
        </w:tc>
        <w:tc>
          <w:tcPr>
            <w:tcW w:w="1519" w:type="dxa"/>
          </w:tcPr>
          <w:p w:rsidR="007C5447" w:rsidRDefault="00F6308C">
            <w:pPr>
              <w:pStyle w:val="TableParagraph"/>
              <w:spacing w:before="55" w:line="224" w:lineRule="exact"/>
              <w:ind w:right="95"/>
              <w:rPr>
                <w:sz w:val="20"/>
              </w:rPr>
            </w:pPr>
            <w:r>
              <w:rPr>
                <w:w w:val="95"/>
                <w:sz w:val="20"/>
              </w:rPr>
              <w:t>60,938</w:t>
            </w:r>
          </w:p>
        </w:tc>
        <w:tc>
          <w:tcPr>
            <w:tcW w:w="1519" w:type="dxa"/>
          </w:tcPr>
          <w:p w:rsidR="007C5447" w:rsidRDefault="00F6308C">
            <w:pPr>
              <w:pStyle w:val="TableParagraph"/>
              <w:spacing w:before="55" w:line="224" w:lineRule="exact"/>
              <w:ind w:right="95"/>
              <w:rPr>
                <w:sz w:val="20"/>
              </w:rPr>
            </w:pPr>
            <w:r>
              <w:rPr>
                <w:w w:val="95"/>
                <w:sz w:val="20"/>
              </w:rPr>
              <w:t>75,734</w:t>
            </w:r>
          </w:p>
        </w:tc>
        <w:tc>
          <w:tcPr>
            <w:tcW w:w="1522" w:type="dxa"/>
          </w:tcPr>
          <w:p w:rsidR="007C5447" w:rsidRDefault="00F6308C">
            <w:pPr>
              <w:pStyle w:val="TableParagraph"/>
              <w:spacing w:before="55" w:line="224" w:lineRule="exact"/>
              <w:ind w:right="98"/>
              <w:rPr>
                <w:sz w:val="20"/>
              </w:rPr>
            </w:pPr>
            <w:r>
              <w:rPr>
                <w:w w:val="95"/>
                <w:sz w:val="20"/>
              </w:rPr>
              <w:t>84,045</w:t>
            </w:r>
          </w:p>
        </w:tc>
        <w:tc>
          <w:tcPr>
            <w:tcW w:w="1519" w:type="dxa"/>
          </w:tcPr>
          <w:p w:rsidR="007C5447" w:rsidRDefault="00F6308C">
            <w:pPr>
              <w:pStyle w:val="TableParagraph"/>
              <w:spacing w:before="55" w:line="224" w:lineRule="exact"/>
              <w:ind w:right="93"/>
              <w:rPr>
                <w:sz w:val="20"/>
              </w:rPr>
            </w:pPr>
            <w:r>
              <w:rPr>
                <w:sz w:val="20"/>
              </w:rPr>
              <w:t>1,52,436</w:t>
            </w:r>
          </w:p>
        </w:tc>
      </w:tr>
      <w:tr w:rsidR="007C5447">
        <w:trPr>
          <w:trHeight w:val="299"/>
        </w:trPr>
        <w:tc>
          <w:tcPr>
            <w:tcW w:w="960" w:type="dxa"/>
          </w:tcPr>
          <w:p w:rsidR="007C5447" w:rsidRDefault="00F6308C">
            <w:pPr>
              <w:pStyle w:val="TableParagraph"/>
              <w:spacing w:before="34"/>
              <w:ind w:left="161" w:right="152"/>
              <w:jc w:val="center"/>
              <w:rPr>
                <w:sz w:val="20"/>
              </w:rPr>
            </w:pPr>
            <w:r>
              <w:rPr>
                <w:sz w:val="20"/>
              </w:rPr>
              <w:t>17</w:t>
            </w:r>
          </w:p>
        </w:tc>
        <w:tc>
          <w:tcPr>
            <w:tcW w:w="2959" w:type="dxa"/>
          </w:tcPr>
          <w:p w:rsidR="007C5447" w:rsidRDefault="00F6308C">
            <w:pPr>
              <w:pStyle w:val="TableParagraph"/>
              <w:spacing w:before="55" w:line="224" w:lineRule="exact"/>
              <w:ind w:left="108"/>
              <w:jc w:val="left"/>
              <w:rPr>
                <w:sz w:val="20"/>
              </w:rPr>
            </w:pPr>
            <w:r>
              <w:rPr>
                <w:sz w:val="20"/>
              </w:rPr>
              <w:t>Oil Consumed</w:t>
            </w:r>
          </w:p>
        </w:tc>
        <w:tc>
          <w:tcPr>
            <w:tcW w:w="1320" w:type="dxa"/>
          </w:tcPr>
          <w:p w:rsidR="007C5447" w:rsidRDefault="00F6308C">
            <w:pPr>
              <w:pStyle w:val="TableParagraph"/>
              <w:spacing w:before="55" w:line="224" w:lineRule="exact"/>
              <w:ind w:left="109"/>
              <w:jc w:val="left"/>
              <w:rPr>
                <w:sz w:val="20"/>
              </w:rPr>
            </w:pPr>
            <w:r>
              <w:rPr>
                <w:sz w:val="20"/>
              </w:rPr>
              <w:t>kL</w:t>
            </w:r>
          </w:p>
        </w:tc>
        <w:tc>
          <w:tcPr>
            <w:tcW w:w="1521" w:type="dxa"/>
          </w:tcPr>
          <w:p w:rsidR="007C5447" w:rsidRDefault="00F6308C">
            <w:pPr>
              <w:pStyle w:val="TableParagraph"/>
              <w:spacing w:before="55" w:line="224" w:lineRule="exact"/>
              <w:ind w:right="98"/>
              <w:rPr>
                <w:sz w:val="20"/>
              </w:rPr>
            </w:pPr>
            <w:r>
              <w:rPr>
                <w:w w:val="95"/>
                <w:sz w:val="20"/>
              </w:rPr>
              <w:t>9,384</w:t>
            </w:r>
          </w:p>
        </w:tc>
        <w:tc>
          <w:tcPr>
            <w:tcW w:w="1519" w:type="dxa"/>
          </w:tcPr>
          <w:p w:rsidR="007C5447" w:rsidRDefault="00F6308C">
            <w:pPr>
              <w:pStyle w:val="TableParagraph"/>
              <w:spacing w:before="55" w:line="224" w:lineRule="exact"/>
              <w:ind w:right="95"/>
              <w:rPr>
                <w:sz w:val="20"/>
              </w:rPr>
            </w:pPr>
            <w:r>
              <w:rPr>
                <w:w w:val="95"/>
                <w:sz w:val="20"/>
              </w:rPr>
              <w:t>5,813</w:t>
            </w:r>
          </w:p>
        </w:tc>
        <w:tc>
          <w:tcPr>
            <w:tcW w:w="1519" w:type="dxa"/>
          </w:tcPr>
          <w:p w:rsidR="007C5447" w:rsidRDefault="00F6308C">
            <w:pPr>
              <w:pStyle w:val="TableParagraph"/>
              <w:spacing w:before="55" w:line="224" w:lineRule="exact"/>
              <w:ind w:right="95"/>
              <w:rPr>
                <w:sz w:val="20"/>
              </w:rPr>
            </w:pPr>
            <w:r>
              <w:rPr>
                <w:w w:val="95"/>
                <w:sz w:val="20"/>
              </w:rPr>
              <w:t>7,279</w:t>
            </w:r>
          </w:p>
        </w:tc>
        <w:tc>
          <w:tcPr>
            <w:tcW w:w="1522" w:type="dxa"/>
          </w:tcPr>
          <w:p w:rsidR="007C5447" w:rsidRDefault="00F6308C">
            <w:pPr>
              <w:pStyle w:val="TableParagraph"/>
              <w:spacing w:before="55" w:line="224" w:lineRule="exact"/>
              <w:ind w:right="98"/>
              <w:rPr>
                <w:sz w:val="20"/>
              </w:rPr>
            </w:pPr>
            <w:r>
              <w:rPr>
                <w:w w:val="95"/>
                <w:sz w:val="20"/>
              </w:rPr>
              <w:t>8,084</w:t>
            </w:r>
          </w:p>
        </w:tc>
        <w:tc>
          <w:tcPr>
            <w:tcW w:w="1519" w:type="dxa"/>
          </w:tcPr>
          <w:p w:rsidR="007C5447" w:rsidRDefault="00F6308C">
            <w:pPr>
              <w:pStyle w:val="TableParagraph"/>
              <w:spacing w:before="55" w:line="224" w:lineRule="exact"/>
              <w:ind w:right="95"/>
              <w:rPr>
                <w:sz w:val="20"/>
              </w:rPr>
            </w:pPr>
            <w:r>
              <w:rPr>
                <w:w w:val="95"/>
                <w:sz w:val="20"/>
              </w:rPr>
              <w:t>14,742</w:t>
            </w:r>
          </w:p>
        </w:tc>
      </w:tr>
      <w:tr w:rsidR="007C5447">
        <w:trPr>
          <w:trHeight w:val="300"/>
        </w:trPr>
        <w:tc>
          <w:tcPr>
            <w:tcW w:w="960" w:type="dxa"/>
          </w:tcPr>
          <w:p w:rsidR="007C5447" w:rsidRDefault="00F6308C">
            <w:pPr>
              <w:pStyle w:val="TableParagraph"/>
              <w:spacing w:before="37"/>
              <w:ind w:left="161" w:right="152"/>
              <w:jc w:val="center"/>
              <w:rPr>
                <w:sz w:val="20"/>
              </w:rPr>
            </w:pPr>
            <w:r>
              <w:rPr>
                <w:sz w:val="20"/>
              </w:rPr>
              <w:t>18</w:t>
            </w:r>
          </w:p>
        </w:tc>
        <w:tc>
          <w:tcPr>
            <w:tcW w:w="2959" w:type="dxa"/>
          </w:tcPr>
          <w:p w:rsidR="007C5447" w:rsidRDefault="00F6308C">
            <w:pPr>
              <w:pStyle w:val="TableParagraph"/>
              <w:spacing w:before="56" w:line="224" w:lineRule="exact"/>
              <w:ind w:left="108"/>
              <w:jc w:val="left"/>
              <w:rPr>
                <w:sz w:val="20"/>
              </w:rPr>
            </w:pPr>
            <w:r>
              <w:rPr>
                <w:sz w:val="20"/>
              </w:rPr>
              <w:t>Coal Consumed</w:t>
            </w:r>
          </w:p>
        </w:tc>
        <w:tc>
          <w:tcPr>
            <w:tcW w:w="1320" w:type="dxa"/>
          </w:tcPr>
          <w:p w:rsidR="007C5447" w:rsidRDefault="00F6308C">
            <w:pPr>
              <w:pStyle w:val="TableParagraph"/>
              <w:spacing w:before="56" w:line="224" w:lineRule="exact"/>
              <w:ind w:left="109"/>
              <w:jc w:val="left"/>
              <w:rPr>
                <w:sz w:val="20"/>
              </w:rPr>
            </w:pPr>
            <w:r>
              <w:rPr>
                <w:sz w:val="20"/>
              </w:rPr>
              <w:t>MT</w:t>
            </w:r>
          </w:p>
        </w:tc>
        <w:tc>
          <w:tcPr>
            <w:tcW w:w="1521" w:type="dxa"/>
          </w:tcPr>
          <w:p w:rsidR="007C5447" w:rsidRDefault="00F6308C">
            <w:pPr>
              <w:pStyle w:val="TableParagraph"/>
              <w:spacing w:before="56" w:line="224" w:lineRule="exact"/>
              <w:ind w:right="96"/>
              <w:rPr>
                <w:sz w:val="20"/>
              </w:rPr>
            </w:pPr>
            <w:r>
              <w:rPr>
                <w:sz w:val="20"/>
              </w:rPr>
              <w:t>8,62,130</w:t>
            </w:r>
          </w:p>
        </w:tc>
        <w:tc>
          <w:tcPr>
            <w:tcW w:w="1519" w:type="dxa"/>
          </w:tcPr>
          <w:p w:rsidR="007C5447" w:rsidRDefault="00F6308C">
            <w:pPr>
              <w:pStyle w:val="TableParagraph"/>
              <w:spacing w:before="56" w:line="224" w:lineRule="exact"/>
              <w:ind w:right="94"/>
              <w:rPr>
                <w:sz w:val="20"/>
              </w:rPr>
            </w:pPr>
            <w:r>
              <w:rPr>
                <w:sz w:val="20"/>
              </w:rPr>
              <w:t>7,09,029</w:t>
            </w:r>
          </w:p>
        </w:tc>
        <w:tc>
          <w:tcPr>
            <w:tcW w:w="1519" w:type="dxa"/>
          </w:tcPr>
          <w:p w:rsidR="007C5447" w:rsidRDefault="00F6308C">
            <w:pPr>
              <w:pStyle w:val="TableParagraph"/>
              <w:spacing w:before="56" w:line="224" w:lineRule="exact"/>
              <w:ind w:right="96"/>
              <w:rPr>
                <w:sz w:val="20"/>
              </w:rPr>
            </w:pPr>
            <w:r>
              <w:rPr>
                <w:w w:val="95"/>
                <w:sz w:val="20"/>
              </w:rPr>
              <w:t>12,19,046</w:t>
            </w:r>
          </w:p>
        </w:tc>
        <w:tc>
          <w:tcPr>
            <w:tcW w:w="1522" w:type="dxa"/>
          </w:tcPr>
          <w:p w:rsidR="007C5447" w:rsidRDefault="00F6308C">
            <w:pPr>
              <w:pStyle w:val="TableParagraph"/>
              <w:spacing w:before="56" w:line="224" w:lineRule="exact"/>
              <w:ind w:right="96"/>
              <w:rPr>
                <w:sz w:val="20"/>
              </w:rPr>
            </w:pPr>
            <w:r>
              <w:rPr>
                <w:sz w:val="20"/>
              </w:rPr>
              <w:t>7,85,829</w:t>
            </w:r>
          </w:p>
        </w:tc>
        <w:tc>
          <w:tcPr>
            <w:tcW w:w="1519" w:type="dxa"/>
          </w:tcPr>
          <w:p w:rsidR="007C5447" w:rsidRDefault="00F6308C">
            <w:pPr>
              <w:pStyle w:val="TableParagraph"/>
              <w:spacing w:before="56" w:line="224" w:lineRule="exact"/>
              <w:ind w:right="95"/>
              <w:rPr>
                <w:sz w:val="20"/>
              </w:rPr>
            </w:pPr>
            <w:r>
              <w:rPr>
                <w:w w:val="95"/>
                <w:sz w:val="20"/>
              </w:rPr>
              <w:t>11,98,212</w:t>
            </w:r>
          </w:p>
        </w:tc>
      </w:tr>
      <w:tr w:rsidR="007C5447">
        <w:trPr>
          <w:trHeight w:val="299"/>
        </w:trPr>
        <w:tc>
          <w:tcPr>
            <w:tcW w:w="960" w:type="dxa"/>
          </w:tcPr>
          <w:p w:rsidR="007C5447" w:rsidRDefault="00F6308C">
            <w:pPr>
              <w:pStyle w:val="TableParagraph"/>
              <w:spacing w:before="36"/>
              <w:ind w:left="161" w:right="152"/>
              <w:jc w:val="center"/>
              <w:rPr>
                <w:sz w:val="20"/>
              </w:rPr>
            </w:pPr>
            <w:r>
              <w:rPr>
                <w:sz w:val="20"/>
              </w:rPr>
              <w:t>19</w:t>
            </w:r>
          </w:p>
        </w:tc>
        <w:tc>
          <w:tcPr>
            <w:tcW w:w="2959" w:type="dxa"/>
          </w:tcPr>
          <w:p w:rsidR="007C5447" w:rsidRDefault="00F6308C">
            <w:pPr>
              <w:pStyle w:val="TableParagraph"/>
              <w:spacing w:before="55" w:line="224" w:lineRule="exact"/>
              <w:ind w:left="108"/>
              <w:jc w:val="left"/>
              <w:rPr>
                <w:sz w:val="20"/>
              </w:rPr>
            </w:pPr>
            <w:r>
              <w:rPr>
                <w:sz w:val="20"/>
              </w:rPr>
              <w:t>Total Cost of Coal</w:t>
            </w:r>
          </w:p>
        </w:tc>
        <w:tc>
          <w:tcPr>
            <w:tcW w:w="1320" w:type="dxa"/>
          </w:tcPr>
          <w:p w:rsidR="007C5447" w:rsidRDefault="00F6308C">
            <w:pPr>
              <w:pStyle w:val="TableParagraph"/>
              <w:spacing w:before="55" w:line="224" w:lineRule="exact"/>
              <w:ind w:left="109"/>
              <w:jc w:val="left"/>
              <w:rPr>
                <w:sz w:val="20"/>
              </w:rPr>
            </w:pPr>
            <w:r>
              <w:rPr>
                <w:sz w:val="20"/>
              </w:rPr>
              <w:t>Rs. Crore</w:t>
            </w:r>
          </w:p>
        </w:tc>
        <w:tc>
          <w:tcPr>
            <w:tcW w:w="1521" w:type="dxa"/>
          </w:tcPr>
          <w:p w:rsidR="007C5447" w:rsidRDefault="00F6308C">
            <w:pPr>
              <w:pStyle w:val="TableParagraph"/>
              <w:spacing w:before="55" w:line="224" w:lineRule="exact"/>
              <w:ind w:right="96"/>
              <w:rPr>
                <w:sz w:val="20"/>
              </w:rPr>
            </w:pPr>
            <w:r>
              <w:rPr>
                <w:sz w:val="20"/>
              </w:rPr>
              <w:t>216</w:t>
            </w:r>
          </w:p>
        </w:tc>
        <w:tc>
          <w:tcPr>
            <w:tcW w:w="1519" w:type="dxa"/>
          </w:tcPr>
          <w:p w:rsidR="007C5447" w:rsidRDefault="00F6308C">
            <w:pPr>
              <w:pStyle w:val="TableParagraph"/>
              <w:spacing w:before="55" w:line="224" w:lineRule="exact"/>
              <w:ind w:right="93"/>
              <w:rPr>
                <w:sz w:val="20"/>
              </w:rPr>
            </w:pPr>
            <w:r>
              <w:rPr>
                <w:sz w:val="20"/>
              </w:rPr>
              <w:t>199</w:t>
            </w:r>
          </w:p>
        </w:tc>
        <w:tc>
          <w:tcPr>
            <w:tcW w:w="1519" w:type="dxa"/>
          </w:tcPr>
          <w:p w:rsidR="007C5447" w:rsidRDefault="00F6308C">
            <w:pPr>
              <w:pStyle w:val="TableParagraph"/>
              <w:spacing w:before="55" w:line="224" w:lineRule="exact"/>
              <w:ind w:right="93"/>
              <w:rPr>
                <w:sz w:val="20"/>
              </w:rPr>
            </w:pPr>
            <w:r>
              <w:rPr>
                <w:sz w:val="20"/>
              </w:rPr>
              <w:t>319</w:t>
            </w:r>
          </w:p>
        </w:tc>
        <w:tc>
          <w:tcPr>
            <w:tcW w:w="1522" w:type="dxa"/>
          </w:tcPr>
          <w:p w:rsidR="007C5447" w:rsidRDefault="00F6308C">
            <w:pPr>
              <w:pStyle w:val="TableParagraph"/>
              <w:spacing w:before="55" w:line="224" w:lineRule="exact"/>
              <w:ind w:right="96"/>
              <w:rPr>
                <w:sz w:val="20"/>
              </w:rPr>
            </w:pPr>
            <w:r>
              <w:rPr>
                <w:sz w:val="20"/>
              </w:rPr>
              <w:t>226</w:t>
            </w:r>
          </w:p>
        </w:tc>
        <w:tc>
          <w:tcPr>
            <w:tcW w:w="1519" w:type="dxa"/>
          </w:tcPr>
          <w:p w:rsidR="007C5447" w:rsidRDefault="00F6308C">
            <w:pPr>
              <w:pStyle w:val="TableParagraph"/>
              <w:spacing w:before="55" w:line="224" w:lineRule="exact"/>
              <w:ind w:right="93"/>
              <w:rPr>
                <w:sz w:val="20"/>
              </w:rPr>
            </w:pPr>
            <w:r>
              <w:rPr>
                <w:sz w:val="20"/>
              </w:rPr>
              <w:t>363</w:t>
            </w:r>
          </w:p>
        </w:tc>
      </w:tr>
      <w:tr w:rsidR="007C5447">
        <w:trPr>
          <w:trHeight w:val="302"/>
        </w:trPr>
        <w:tc>
          <w:tcPr>
            <w:tcW w:w="960" w:type="dxa"/>
          </w:tcPr>
          <w:p w:rsidR="007C5447" w:rsidRDefault="00F6308C">
            <w:pPr>
              <w:pStyle w:val="TableParagraph"/>
              <w:spacing w:before="36"/>
              <w:ind w:left="161" w:right="152"/>
              <w:jc w:val="center"/>
              <w:rPr>
                <w:sz w:val="20"/>
              </w:rPr>
            </w:pPr>
            <w:r>
              <w:rPr>
                <w:sz w:val="20"/>
              </w:rPr>
              <w:t>20</w:t>
            </w:r>
          </w:p>
        </w:tc>
        <w:tc>
          <w:tcPr>
            <w:tcW w:w="2959" w:type="dxa"/>
          </w:tcPr>
          <w:p w:rsidR="007C5447" w:rsidRDefault="00F6308C">
            <w:pPr>
              <w:pStyle w:val="TableParagraph"/>
              <w:spacing w:before="55" w:line="227" w:lineRule="exact"/>
              <w:ind w:left="108"/>
              <w:jc w:val="left"/>
              <w:rPr>
                <w:sz w:val="20"/>
              </w:rPr>
            </w:pPr>
            <w:r>
              <w:rPr>
                <w:sz w:val="20"/>
              </w:rPr>
              <w:t>Total Cost of Oil</w:t>
            </w:r>
          </w:p>
        </w:tc>
        <w:tc>
          <w:tcPr>
            <w:tcW w:w="1320" w:type="dxa"/>
          </w:tcPr>
          <w:p w:rsidR="007C5447" w:rsidRDefault="00F6308C">
            <w:pPr>
              <w:pStyle w:val="TableParagraph"/>
              <w:spacing w:before="55" w:line="227" w:lineRule="exact"/>
              <w:ind w:left="109"/>
              <w:jc w:val="left"/>
              <w:rPr>
                <w:sz w:val="20"/>
              </w:rPr>
            </w:pPr>
            <w:r>
              <w:rPr>
                <w:sz w:val="20"/>
              </w:rPr>
              <w:t>Rs. Crore</w:t>
            </w:r>
          </w:p>
        </w:tc>
        <w:tc>
          <w:tcPr>
            <w:tcW w:w="1521" w:type="dxa"/>
          </w:tcPr>
          <w:p w:rsidR="007C5447" w:rsidRDefault="00F6308C">
            <w:pPr>
              <w:pStyle w:val="TableParagraph"/>
              <w:spacing w:before="55" w:line="227" w:lineRule="exact"/>
              <w:ind w:right="96"/>
              <w:rPr>
                <w:sz w:val="20"/>
              </w:rPr>
            </w:pPr>
            <w:r>
              <w:rPr>
                <w:sz w:val="20"/>
              </w:rPr>
              <w:t>48</w:t>
            </w:r>
          </w:p>
        </w:tc>
        <w:tc>
          <w:tcPr>
            <w:tcW w:w="1519" w:type="dxa"/>
          </w:tcPr>
          <w:p w:rsidR="007C5447" w:rsidRDefault="00F6308C">
            <w:pPr>
              <w:pStyle w:val="TableParagraph"/>
              <w:spacing w:before="55" w:line="227" w:lineRule="exact"/>
              <w:ind w:right="93"/>
              <w:rPr>
                <w:sz w:val="20"/>
              </w:rPr>
            </w:pPr>
            <w:r>
              <w:rPr>
                <w:sz w:val="20"/>
              </w:rPr>
              <w:t>31</w:t>
            </w:r>
          </w:p>
        </w:tc>
        <w:tc>
          <w:tcPr>
            <w:tcW w:w="1519" w:type="dxa"/>
          </w:tcPr>
          <w:p w:rsidR="007C5447" w:rsidRDefault="00F6308C">
            <w:pPr>
              <w:pStyle w:val="TableParagraph"/>
              <w:spacing w:before="55" w:line="227" w:lineRule="exact"/>
              <w:ind w:right="93"/>
              <w:rPr>
                <w:sz w:val="20"/>
              </w:rPr>
            </w:pPr>
            <w:r>
              <w:rPr>
                <w:sz w:val="20"/>
              </w:rPr>
              <w:t>37</w:t>
            </w:r>
          </w:p>
        </w:tc>
        <w:tc>
          <w:tcPr>
            <w:tcW w:w="1522" w:type="dxa"/>
          </w:tcPr>
          <w:p w:rsidR="007C5447" w:rsidRDefault="00F6308C">
            <w:pPr>
              <w:pStyle w:val="TableParagraph"/>
              <w:spacing w:before="55" w:line="227" w:lineRule="exact"/>
              <w:ind w:right="96"/>
              <w:rPr>
                <w:sz w:val="20"/>
              </w:rPr>
            </w:pPr>
            <w:r>
              <w:rPr>
                <w:sz w:val="20"/>
              </w:rPr>
              <w:t>29</w:t>
            </w:r>
          </w:p>
        </w:tc>
        <w:tc>
          <w:tcPr>
            <w:tcW w:w="1519" w:type="dxa"/>
          </w:tcPr>
          <w:p w:rsidR="007C5447" w:rsidRDefault="00F6308C">
            <w:pPr>
              <w:pStyle w:val="TableParagraph"/>
              <w:spacing w:before="55" w:line="227" w:lineRule="exact"/>
              <w:ind w:right="93"/>
              <w:rPr>
                <w:sz w:val="20"/>
              </w:rPr>
            </w:pPr>
            <w:r>
              <w:rPr>
                <w:sz w:val="20"/>
              </w:rPr>
              <w:t>36</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F6308C">
      <w:pPr>
        <w:pStyle w:val="BodyText"/>
        <w:spacing w:before="5"/>
        <w:rPr>
          <w:b/>
          <w:sz w:val="11"/>
        </w:rPr>
      </w:pPr>
      <w:r>
        <w:pict>
          <v:line id="_x0000_s1042" style="position:absolute;z-index:-251632640;mso-wrap-distance-left:0;mso-wrap-distance-right:0;mso-position-horizontal-relative:page" from="70.55pt,9.3pt" to="771.45pt,9.3pt" strokeweight="1.44pt">
            <w10:wrap type="topAndBottom" anchorx="page"/>
          </v:line>
        </w:pict>
      </w:r>
    </w:p>
    <w:p w:rsidR="007C5447" w:rsidRDefault="007C5447">
      <w:pPr>
        <w:rPr>
          <w:sz w:val="11"/>
        </w:rPr>
        <w:sectPr w:rsidR="007C5447">
          <w:footerReference w:type="default" r:id="rId82"/>
          <w:pgSz w:w="16840" w:h="11910" w:orient="landscape"/>
          <w:pgMar w:top="1100" w:right="1220" w:bottom="1040" w:left="1220" w:header="0" w:footer="857" w:gutter="0"/>
          <w:cols w:space="720"/>
        </w:sectPr>
      </w:pPr>
    </w:p>
    <w:p w:rsidR="007C5447" w:rsidRDefault="007C5447">
      <w:pPr>
        <w:pStyle w:val="BodyText"/>
        <w:spacing w:before="3"/>
        <w:rPr>
          <w:sz w:val="2"/>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2959"/>
        <w:gridCol w:w="1320"/>
        <w:gridCol w:w="1521"/>
        <w:gridCol w:w="1519"/>
        <w:gridCol w:w="1519"/>
        <w:gridCol w:w="1522"/>
        <w:gridCol w:w="1519"/>
      </w:tblGrid>
      <w:tr w:rsidR="007C5447">
        <w:trPr>
          <w:trHeight w:val="331"/>
        </w:trPr>
        <w:tc>
          <w:tcPr>
            <w:tcW w:w="960" w:type="dxa"/>
            <w:shd w:val="clear" w:color="auto" w:fill="FFFFCC"/>
          </w:tcPr>
          <w:p w:rsidR="007C5447" w:rsidRDefault="00F6308C">
            <w:pPr>
              <w:pStyle w:val="TableParagraph"/>
              <w:spacing w:before="51"/>
              <w:ind w:left="161" w:right="152"/>
              <w:jc w:val="center"/>
              <w:rPr>
                <w:b/>
                <w:sz w:val="20"/>
              </w:rPr>
            </w:pPr>
            <w:r>
              <w:rPr>
                <w:b/>
                <w:sz w:val="20"/>
              </w:rPr>
              <w:t>21</w:t>
            </w:r>
          </w:p>
        </w:tc>
        <w:tc>
          <w:tcPr>
            <w:tcW w:w="2959" w:type="dxa"/>
            <w:shd w:val="clear" w:color="auto" w:fill="FFFFCC"/>
          </w:tcPr>
          <w:p w:rsidR="007C5447" w:rsidRDefault="00F6308C">
            <w:pPr>
              <w:pStyle w:val="TableParagraph"/>
              <w:spacing w:before="87" w:line="224" w:lineRule="exact"/>
              <w:ind w:left="108"/>
              <w:jc w:val="left"/>
              <w:rPr>
                <w:b/>
                <w:sz w:val="20"/>
              </w:rPr>
            </w:pPr>
            <w:r>
              <w:rPr>
                <w:b/>
                <w:sz w:val="20"/>
              </w:rPr>
              <w:t>Total Fuel Cost</w:t>
            </w:r>
          </w:p>
        </w:tc>
        <w:tc>
          <w:tcPr>
            <w:tcW w:w="1320" w:type="dxa"/>
            <w:shd w:val="clear" w:color="auto" w:fill="FFFFCC"/>
          </w:tcPr>
          <w:p w:rsidR="007C5447" w:rsidRDefault="00F6308C">
            <w:pPr>
              <w:pStyle w:val="TableParagraph"/>
              <w:spacing w:before="87" w:line="224" w:lineRule="exact"/>
              <w:ind w:left="109"/>
              <w:jc w:val="left"/>
              <w:rPr>
                <w:b/>
                <w:sz w:val="20"/>
              </w:rPr>
            </w:pPr>
            <w:r>
              <w:rPr>
                <w:b/>
                <w:sz w:val="20"/>
              </w:rPr>
              <w:t>Rs. Crore</w:t>
            </w:r>
          </w:p>
        </w:tc>
        <w:tc>
          <w:tcPr>
            <w:tcW w:w="1521" w:type="dxa"/>
            <w:shd w:val="clear" w:color="auto" w:fill="FFFFCC"/>
          </w:tcPr>
          <w:p w:rsidR="007C5447" w:rsidRDefault="00F6308C">
            <w:pPr>
              <w:pStyle w:val="TableParagraph"/>
              <w:spacing w:before="87" w:line="224" w:lineRule="exact"/>
              <w:ind w:right="96"/>
              <w:rPr>
                <w:b/>
                <w:sz w:val="20"/>
              </w:rPr>
            </w:pPr>
            <w:r>
              <w:rPr>
                <w:b/>
                <w:w w:val="95"/>
                <w:sz w:val="20"/>
              </w:rPr>
              <w:t>264.32</w:t>
            </w:r>
          </w:p>
        </w:tc>
        <w:tc>
          <w:tcPr>
            <w:tcW w:w="1519" w:type="dxa"/>
            <w:shd w:val="clear" w:color="auto" w:fill="FFFFCC"/>
          </w:tcPr>
          <w:p w:rsidR="007C5447" w:rsidRDefault="00F6308C">
            <w:pPr>
              <w:pStyle w:val="TableParagraph"/>
              <w:spacing w:before="87" w:line="224" w:lineRule="exact"/>
              <w:ind w:right="93"/>
              <w:rPr>
                <w:b/>
                <w:sz w:val="20"/>
              </w:rPr>
            </w:pPr>
            <w:r>
              <w:rPr>
                <w:b/>
                <w:w w:val="95"/>
                <w:sz w:val="20"/>
              </w:rPr>
              <w:t>230.74</w:t>
            </w:r>
          </w:p>
        </w:tc>
        <w:tc>
          <w:tcPr>
            <w:tcW w:w="1519" w:type="dxa"/>
            <w:shd w:val="clear" w:color="auto" w:fill="FFFFCC"/>
          </w:tcPr>
          <w:p w:rsidR="007C5447" w:rsidRDefault="00F6308C">
            <w:pPr>
              <w:pStyle w:val="TableParagraph"/>
              <w:spacing w:before="87" w:line="224" w:lineRule="exact"/>
              <w:ind w:right="93"/>
              <w:rPr>
                <w:b/>
                <w:sz w:val="20"/>
              </w:rPr>
            </w:pPr>
            <w:r>
              <w:rPr>
                <w:b/>
                <w:w w:val="95"/>
                <w:sz w:val="20"/>
              </w:rPr>
              <w:t>355.78</w:t>
            </w:r>
          </w:p>
        </w:tc>
        <w:tc>
          <w:tcPr>
            <w:tcW w:w="1522" w:type="dxa"/>
            <w:shd w:val="clear" w:color="auto" w:fill="FFFFCC"/>
          </w:tcPr>
          <w:p w:rsidR="007C5447" w:rsidRDefault="00F6308C">
            <w:pPr>
              <w:pStyle w:val="TableParagraph"/>
              <w:spacing w:before="87" w:line="224" w:lineRule="exact"/>
              <w:ind w:right="96"/>
              <w:rPr>
                <w:b/>
                <w:sz w:val="20"/>
              </w:rPr>
            </w:pPr>
            <w:r>
              <w:rPr>
                <w:b/>
                <w:w w:val="95"/>
                <w:sz w:val="20"/>
              </w:rPr>
              <w:t>254.84</w:t>
            </w:r>
          </w:p>
        </w:tc>
        <w:tc>
          <w:tcPr>
            <w:tcW w:w="1519" w:type="dxa"/>
            <w:shd w:val="clear" w:color="auto" w:fill="FFFFCC"/>
          </w:tcPr>
          <w:p w:rsidR="007C5447" w:rsidRDefault="00F6308C">
            <w:pPr>
              <w:pStyle w:val="TableParagraph"/>
              <w:spacing w:before="87" w:line="224" w:lineRule="exact"/>
              <w:ind w:right="92"/>
              <w:rPr>
                <w:b/>
                <w:sz w:val="20"/>
              </w:rPr>
            </w:pPr>
            <w:r>
              <w:rPr>
                <w:b/>
                <w:w w:val="95"/>
                <w:sz w:val="20"/>
              </w:rPr>
              <w:t>399.26</w:t>
            </w:r>
          </w:p>
        </w:tc>
      </w:tr>
      <w:tr w:rsidR="007C5447">
        <w:trPr>
          <w:trHeight w:val="330"/>
        </w:trPr>
        <w:tc>
          <w:tcPr>
            <w:tcW w:w="960" w:type="dxa"/>
            <w:shd w:val="clear" w:color="auto" w:fill="FFFFCC"/>
          </w:tcPr>
          <w:p w:rsidR="007C5447" w:rsidRDefault="00F6308C">
            <w:pPr>
              <w:pStyle w:val="TableParagraph"/>
              <w:spacing w:before="50"/>
              <w:ind w:left="161" w:right="152"/>
              <w:jc w:val="center"/>
              <w:rPr>
                <w:b/>
                <w:sz w:val="20"/>
              </w:rPr>
            </w:pPr>
            <w:r>
              <w:rPr>
                <w:b/>
                <w:sz w:val="20"/>
              </w:rPr>
              <w:t>22</w:t>
            </w:r>
          </w:p>
        </w:tc>
        <w:tc>
          <w:tcPr>
            <w:tcW w:w="2959" w:type="dxa"/>
            <w:shd w:val="clear" w:color="auto" w:fill="FFFFCC"/>
          </w:tcPr>
          <w:p w:rsidR="007C5447" w:rsidRDefault="00F6308C">
            <w:pPr>
              <w:pStyle w:val="TableParagraph"/>
              <w:spacing w:before="86" w:line="224" w:lineRule="exact"/>
              <w:ind w:left="108"/>
              <w:jc w:val="left"/>
              <w:rPr>
                <w:b/>
                <w:sz w:val="20"/>
              </w:rPr>
            </w:pPr>
            <w:r>
              <w:rPr>
                <w:b/>
                <w:sz w:val="20"/>
              </w:rPr>
              <w:t>Energy Charge</w:t>
            </w:r>
          </w:p>
        </w:tc>
        <w:tc>
          <w:tcPr>
            <w:tcW w:w="1320" w:type="dxa"/>
            <w:shd w:val="clear" w:color="auto" w:fill="FFFFCC"/>
          </w:tcPr>
          <w:p w:rsidR="007C5447" w:rsidRDefault="00F6308C">
            <w:pPr>
              <w:pStyle w:val="TableParagraph"/>
              <w:spacing w:before="86" w:line="224" w:lineRule="exact"/>
              <w:ind w:left="109"/>
              <w:jc w:val="left"/>
              <w:rPr>
                <w:b/>
                <w:sz w:val="20"/>
              </w:rPr>
            </w:pPr>
            <w:r>
              <w:rPr>
                <w:b/>
                <w:sz w:val="20"/>
              </w:rPr>
              <w:t>Rs. /kWh</w:t>
            </w:r>
          </w:p>
        </w:tc>
        <w:tc>
          <w:tcPr>
            <w:tcW w:w="1521" w:type="dxa"/>
            <w:shd w:val="clear" w:color="auto" w:fill="FFFFCC"/>
          </w:tcPr>
          <w:p w:rsidR="007C5447" w:rsidRDefault="00F6308C">
            <w:pPr>
              <w:pStyle w:val="TableParagraph"/>
              <w:spacing w:before="86" w:line="224" w:lineRule="exact"/>
              <w:ind w:right="98"/>
              <w:rPr>
                <w:b/>
                <w:sz w:val="20"/>
              </w:rPr>
            </w:pPr>
            <w:r>
              <w:rPr>
                <w:b/>
                <w:sz w:val="20"/>
              </w:rPr>
              <w:t>3.53</w:t>
            </w:r>
          </w:p>
        </w:tc>
        <w:tc>
          <w:tcPr>
            <w:tcW w:w="1519" w:type="dxa"/>
            <w:shd w:val="clear" w:color="auto" w:fill="FFFFCC"/>
          </w:tcPr>
          <w:p w:rsidR="007C5447" w:rsidRDefault="00F6308C">
            <w:pPr>
              <w:pStyle w:val="TableParagraph"/>
              <w:spacing w:before="86" w:line="224" w:lineRule="exact"/>
              <w:ind w:right="95"/>
              <w:rPr>
                <w:b/>
                <w:sz w:val="20"/>
              </w:rPr>
            </w:pPr>
            <w:r>
              <w:rPr>
                <w:b/>
                <w:sz w:val="20"/>
              </w:rPr>
              <w:t>3.69</w:t>
            </w:r>
          </w:p>
        </w:tc>
        <w:tc>
          <w:tcPr>
            <w:tcW w:w="1519" w:type="dxa"/>
            <w:shd w:val="clear" w:color="auto" w:fill="FFFFCC"/>
          </w:tcPr>
          <w:p w:rsidR="007C5447" w:rsidRDefault="00F6308C">
            <w:pPr>
              <w:pStyle w:val="TableParagraph"/>
              <w:spacing w:before="86" w:line="224" w:lineRule="exact"/>
              <w:ind w:right="95"/>
              <w:rPr>
                <w:b/>
                <w:sz w:val="20"/>
              </w:rPr>
            </w:pPr>
            <w:r>
              <w:rPr>
                <w:b/>
                <w:sz w:val="20"/>
              </w:rPr>
              <w:t>3.47</w:t>
            </w:r>
          </w:p>
        </w:tc>
        <w:tc>
          <w:tcPr>
            <w:tcW w:w="1522" w:type="dxa"/>
            <w:shd w:val="clear" w:color="auto" w:fill="FFFFCC"/>
          </w:tcPr>
          <w:p w:rsidR="007C5447" w:rsidRDefault="00F6308C">
            <w:pPr>
              <w:pStyle w:val="TableParagraph"/>
              <w:spacing w:before="86" w:line="224" w:lineRule="exact"/>
              <w:ind w:right="98"/>
              <w:rPr>
                <w:b/>
                <w:sz w:val="20"/>
              </w:rPr>
            </w:pPr>
            <w:r>
              <w:rPr>
                <w:b/>
                <w:sz w:val="20"/>
              </w:rPr>
              <w:t>3.74</w:t>
            </w:r>
          </w:p>
        </w:tc>
        <w:tc>
          <w:tcPr>
            <w:tcW w:w="1519" w:type="dxa"/>
            <w:shd w:val="clear" w:color="auto" w:fill="FFFFCC"/>
          </w:tcPr>
          <w:p w:rsidR="007C5447" w:rsidRDefault="00F6308C">
            <w:pPr>
              <w:pStyle w:val="TableParagraph"/>
              <w:spacing w:before="86" w:line="224" w:lineRule="exact"/>
              <w:ind w:right="95"/>
              <w:rPr>
                <w:b/>
                <w:sz w:val="20"/>
              </w:rPr>
            </w:pPr>
            <w:r>
              <w:rPr>
                <w:b/>
                <w:sz w:val="20"/>
              </w:rPr>
              <w:t>3.82</w:t>
            </w:r>
          </w:p>
        </w:tc>
      </w:tr>
      <w:tr w:rsidR="007C5447">
        <w:trPr>
          <w:trHeight w:val="318"/>
        </w:trPr>
        <w:tc>
          <w:tcPr>
            <w:tcW w:w="960" w:type="dxa"/>
            <w:tcBorders>
              <w:left w:val="nil"/>
              <w:right w:val="nil"/>
            </w:tcBorders>
          </w:tcPr>
          <w:p w:rsidR="007C5447" w:rsidRDefault="007C5447">
            <w:pPr>
              <w:pStyle w:val="TableParagraph"/>
              <w:jc w:val="left"/>
              <w:rPr>
                <w:sz w:val="20"/>
              </w:rPr>
            </w:pPr>
          </w:p>
        </w:tc>
        <w:tc>
          <w:tcPr>
            <w:tcW w:w="2959" w:type="dxa"/>
            <w:tcBorders>
              <w:left w:val="nil"/>
              <w:right w:val="nil"/>
            </w:tcBorders>
            <w:shd w:val="clear" w:color="auto" w:fill="FFC000"/>
          </w:tcPr>
          <w:p w:rsidR="007C5447" w:rsidRDefault="00F6308C">
            <w:pPr>
              <w:pStyle w:val="TableParagraph"/>
              <w:spacing w:before="74" w:line="224" w:lineRule="exact"/>
              <w:ind w:left="113"/>
              <w:jc w:val="left"/>
              <w:rPr>
                <w:b/>
                <w:sz w:val="20"/>
              </w:rPr>
            </w:pPr>
            <w:r>
              <w:rPr>
                <w:b/>
                <w:sz w:val="20"/>
              </w:rPr>
              <w:t>TTPS</w:t>
            </w:r>
          </w:p>
        </w:tc>
        <w:tc>
          <w:tcPr>
            <w:tcW w:w="8920" w:type="dxa"/>
            <w:gridSpan w:val="6"/>
            <w:tcBorders>
              <w:left w:val="nil"/>
              <w:right w:val="nil"/>
            </w:tcBorders>
          </w:tcPr>
          <w:p w:rsidR="007C5447" w:rsidRDefault="007C5447">
            <w:pPr>
              <w:pStyle w:val="TableParagraph"/>
              <w:jc w:val="left"/>
              <w:rPr>
                <w:sz w:val="20"/>
              </w:rPr>
            </w:pPr>
          </w:p>
        </w:tc>
      </w:tr>
      <w:tr w:rsidR="007C5447">
        <w:trPr>
          <w:trHeight w:val="261"/>
        </w:trPr>
        <w:tc>
          <w:tcPr>
            <w:tcW w:w="960" w:type="dxa"/>
            <w:shd w:val="clear" w:color="auto" w:fill="C8C8C8"/>
          </w:tcPr>
          <w:p w:rsidR="007C5447" w:rsidRDefault="00F6308C">
            <w:pPr>
              <w:pStyle w:val="TableParagraph"/>
              <w:spacing w:before="17" w:line="224" w:lineRule="exact"/>
              <w:ind w:left="161" w:right="153"/>
              <w:jc w:val="center"/>
              <w:rPr>
                <w:b/>
                <w:sz w:val="20"/>
              </w:rPr>
            </w:pPr>
            <w:r>
              <w:rPr>
                <w:b/>
                <w:sz w:val="20"/>
              </w:rPr>
              <w:t>Sr. No.</w:t>
            </w:r>
          </w:p>
        </w:tc>
        <w:tc>
          <w:tcPr>
            <w:tcW w:w="2959" w:type="dxa"/>
            <w:shd w:val="clear" w:color="auto" w:fill="C8C8C8"/>
          </w:tcPr>
          <w:p w:rsidR="007C5447" w:rsidRDefault="00F6308C">
            <w:pPr>
              <w:pStyle w:val="TableParagraph"/>
              <w:spacing w:before="17" w:line="224" w:lineRule="exact"/>
              <w:ind w:left="1003" w:right="995"/>
              <w:jc w:val="center"/>
              <w:rPr>
                <w:b/>
                <w:sz w:val="20"/>
              </w:rPr>
            </w:pPr>
            <w:r>
              <w:rPr>
                <w:b/>
                <w:sz w:val="20"/>
              </w:rPr>
              <w:t>Parameter</w:t>
            </w:r>
          </w:p>
        </w:tc>
        <w:tc>
          <w:tcPr>
            <w:tcW w:w="1320" w:type="dxa"/>
            <w:shd w:val="clear" w:color="auto" w:fill="C8C8C8"/>
          </w:tcPr>
          <w:p w:rsidR="007C5447" w:rsidRDefault="00F6308C">
            <w:pPr>
              <w:pStyle w:val="TableParagraph"/>
              <w:spacing w:before="17" w:line="224" w:lineRule="exact"/>
              <w:ind w:left="450" w:right="441"/>
              <w:jc w:val="center"/>
              <w:rPr>
                <w:b/>
                <w:sz w:val="20"/>
              </w:rPr>
            </w:pPr>
            <w:r>
              <w:rPr>
                <w:b/>
                <w:sz w:val="20"/>
              </w:rPr>
              <w:t>Unit</w:t>
            </w:r>
          </w:p>
        </w:tc>
        <w:tc>
          <w:tcPr>
            <w:tcW w:w="1521" w:type="dxa"/>
            <w:shd w:val="clear" w:color="auto" w:fill="BEBEBE"/>
          </w:tcPr>
          <w:p w:rsidR="007C5447" w:rsidRDefault="00F6308C">
            <w:pPr>
              <w:pStyle w:val="TableParagraph"/>
              <w:spacing w:before="17" w:line="224" w:lineRule="exact"/>
              <w:ind w:left="267"/>
              <w:jc w:val="left"/>
              <w:rPr>
                <w:b/>
                <w:sz w:val="20"/>
              </w:rPr>
            </w:pPr>
            <w:r>
              <w:rPr>
                <w:b/>
                <w:sz w:val="20"/>
              </w:rPr>
              <w:t>FY 2011-12</w:t>
            </w:r>
          </w:p>
        </w:tc>
        <w:tc>
          <w:tcPr>
            <w:tcW w:w="1519" w:type="dxa"/>
            <w:shd w:val="clear" w:color="auto" w:fill="BEBEBE"/>
          </w:tcPr>
          <w:p w:rsidR="007C5447" w:rsidRDefault="00F6308C">
            <w:pPr>
              <w:pStyle w:val="TableParagraph"/>
              <w:spacing w:before="17" w:line="224" w:lineRule="exact"/>
              <w:ind w:left="268"/>
              <w:jc w:val="left"/>
              <w:rPr>
                <w:b/>
                <w:sz w:val="20"/>
              </w:rPr>
            </w:pPr>
            <w:r>
              <w:rPr>
                <w:b/>
                <w:sz w:val="20"/>
              </w:rPr>
              <w:t>FY 2012-13</w:t>
            </w:r>
          </w:p>
        </w:tc>
        <w:tc>
          <w:tcPr>
            <w:tcW w:w="1519" w:type="dxa"/>
            <w:shd w:val="clear" w:color="auto" w:fill="BEBEBE"/>
          </w:tcPr>
          <w:p w:rsidR="007C5447" w:rsidRDefault="00F6308C">
            <w:pPr>
              <w:pStyle w:val="TableParagraph"/>
              <w:spacing w:before="17" w:line="224" w:lineRule="exact"/>
              <w:ind w:left="268"/>
              <w:jc w:val="left"/>
              <w:rPr>
                <w:b/>
                <w:sz w:val="20"/>
              </w:rPr>
            </w:pPr>
            <w:r>
              <w:rPr>
                <w:b/>
                <w:sz w:val="20"/>
              </w:rPr>
              <w:t>FY 2013-14</w:t>
            </w:r>
          </w:p>
        </w:tc>
        <w:tc>
          <w:tcPr>
            <w:tcW w:w="1522" w:type="dxa"/>
            <w:shd w:val="clear" w:color="auto" w:fill="BEBEBE"/>
          </w:tcPr>
          <w:p w:rsidR="007C5447" w:rsidRDefault="00F6308C">
            <w:pPr>
              <w:pStyle w:val="TableParagraph"/>
              <w:spacing w:before="17" w:line="224" w:lineRule="exact"/>
              <w:ind w:left="268"/>
              <w:jc w:val="left"/>
              <w:rPr>
                <w:b/>
                <w:sz w:val="20"/>
              </w:rPr>
            </w:pPr>
            <w:r>
              <w:rPr>
                <w:b/>
                <w:sz w:val="20"/>
              </w:rPr>
              <w:t>FY 2014-15</w:t>
            </w:r>
          </w:p>
        </w:tc>
        <w:tc>
          <w:tcPr>
            <w:tcW w:w="1519" w:type="dxa"/>
            <w:shd w:val="clear" w:color="auto" w:fill="BEBEBE"/>
          </w:tcPr>
          <w:p w:rsidR="007C5447" w:rsidRDefault="00F6308C">
            <w:pPr>
              <w:pStyle w:val="TableParagraph"/>
              <w:spacing w:before="17" w:line="224" w:lineRule="exact"/>
              <w:ind w:left="268"/>
              <w:jc w:val="left"/>
              <w:rPr>
                <w:b/>
                <w:sz w:val="20"/>
              </w:rPr>
            </w:pPr>
            <w:r>
              <w:rPr>
                <w:b/>
                <w:sz w:val="20"/>
              </w:rPr>
              <w:t>FY 2015-16</w:t>
            </w:r>
          </w:p>
        </w:tc>
      </w:tr>
      <w:tr w:rsidR="007C5447">
        <w:trPr>
          <w:trHeight w:val="258"/>
        </w:trPr>
        <w:tc>
          <w:tcPr>
            <w:tcW w:w="960" w:type="dxa"/>
          </w:tcPr>
          <w:p w:rsidR="007C5447" w:rsidRDefault="00F6308C">
            <w:pPr>
              <w:pStyle w:val="TableParagraph"/>
              <w:spacing w:before="14" w:line="224" w:lineRule="exact"/>
              <w:ind w:left="8"/>
              <w:jc w:val="center"/>
              <w:rPr>
                <w:sz w:val="20"/>
              </w:rPr>
            </w:pPr>
            <w:r>
              <w:rPr>
                <w:w w:val="99"/>
                <w:sz w:val="20"/>
              </w:rPr>
              <w:t>1</w:t>
            </w:r>
          </w:p>
        </w:tc>
        <w:tc>
          <w:tcPr>
            <w:tcW w:w="2959" w:type="dxa"/>
          </w:tcPr>
          <w:p w:rsidR="007C5447" w:rsidRDefault="00F6308C">
            <w:pPr>
              <w:pStyle w:val="TableParagraph"/>
              <w:spacing w:before="14" w:line="224" w:lineRule="exact"/>
              <w:ind w:left="108"/>
              <w:jc w:val="left"/>
              <w:rPr>
                <w:sz w:val="20"/>
              </w:rPr>
            </w:pPr>
            <w:r>
              <w:rPr>
                <w:sz w:val="20"/>
              </w:rPr>
              <w:t>Installed Capacity(MW)</w:t>
            </w:r>
          </w:p>
        </w:tc>
        <w:tc>
          <w:tcPr>
            <w:tcW w:w="1320" w:type="dxa"/>
          </w:tcPr>
          <w:p w:rsidR="007C5447" w:rsidRDefault="00F6308C">
            <w:pPr>
              <w:pStyle w:val="TableParagraph"/>
              <w:spacing w:before="14" w:line="224" w:lineRule="exact"/>
              <w:ind w:left="109"/>
              <w:jc w:val="left"/>
              <w:rPr>
                <w:sz w:val="20"/>
              </w:rPr>
            </w:pPr>
            <w:r>
              <w:rPr>
                <w:sz w:val="20"/>
              </w:rPr>
              <w:t>MW</w:t>
            </w:r>
          </w:p>
        </w:tc>
        <w:tc>
          <w:tcPr>
            <w:tcW w:w="1521" w:type="dxa"/>
          </w:tcPr>
          <w:p w:rsidR="007C5447" w:rsidRDefault="00F6308C">
            <w:pPr>
              <w:pStyle w:val="TableParagraph"/>
              <w:spacing w:before="14" w:line="224" w:lineRule="exact"/>
              <w:ind w:right="94"/>
              <w:rPr>
                <w:sz w:val="20"/>
              </w:rPr>
            </w:pPr>
            <w:r>
              <w:rPr>
                <w:sz w:val="20"/>
              </w:rPr>
              <w:t>1050</w:t>
            </w:r>
          </w:p>
        </w:tc>
        <w:tc>
          <w:tcPr>
            <w:tcW w:w="1519" w:type="dxa"/>
          </w:tcPr>
          <w:p w:rsidR="007C5447" w:rsidRDefault="00F6308C">
            <w:pPr>
              <w:pStyle w:val="TableParagraph"/>
              <w:spacing w:before="14" w:line="224" w:lineRule="exact"/>
              <w:ind w:right="91"/>
              <w:rPr>
                <w:sz w:val="20"/>
              </w:rPr>
            </w:pPr>
            <w:r>
              <w:rPr>
                <w:sz w:val="20"/>
              </w:rPr>
              <w:t>1050</w:t>
            </w:r>
          </w:p>
        </w:tc>
        <w:tc>
          <w:tcPr>
            <w:tcW w:w="1519" w:type="dxa"/>
          </w:tcPr>
          <w:p w:rsidR="007C5447" w:rsidRDefault="00F6308C">
            <w:pPr>
              <w:pStyle w:val="TableParagraph"/>
              <w:spacing w:before="14" w:line="224" w:lineRule="exact"/>
              <w:ind w:right="91"/>
              <w:rPr>
                <w:sz w:val="20"/>
              </w:rPr>
            </w:pPr>
            <w:r>
              <w:rPr>
                <w:sz w:val="20"/>
              </w:rPr>
              <w:t>1050</w:t>
            </w:r>
          </w:p>
        </w:tc>
        <w:tc>
          <w:tcPr>
            <w:tcW w:w="1522" w:type="dxa"/>
          </w:tcPr>
          <w:p w:rsidR="007C5447" w:rsidRDefault="00F6308C">
            <w:pPr>
              <w:pStyle w:val="TableParagraph"/>
              <w:spacing w:before="14" w:line="224" w:lineRule="exact"/>
              <w:ind w:right="95"/>
              <w:rPr>
                <w:sz w:val="20"/>
              </w:rPr>
            </w:pPr>
            <w:r>
              <w:rPr>
                <w:sz w:val="20"/>
              </w:rPr>
              <w:t>1050</w:t>
            </w:r>
          </w:p>
        </w:tc>
        <w:tc>
          <w:tcPr>
            <w:tcW w:w="1519" w:type="dxa"/>
          </w:tcPr>
          <w:p w:rsidR="007C5447" w:rsidRDefault="00F6308C">
            <w:pPr>
              <w:pStyle w:val="TableParagraph"/>
              <w:spacing w:before="14" w:line="224" w:lineRule="exact"/>
              <w:ind w:right="90"/>
              <w:rPr>
                <w:sz w:val="20"/>
              </w:rPr>
            </w:pPr>
            <w:r>
              <w:rPr>
                <w:sz w:val="20"/>
              </w:rPr>
              <w:t>1050</w:t>
            </w:r>
          </w:p>
        </w:tc>
      </w:tr>
      <w:tr w:rsidR="007C5447">
        <w:trPr>
          <w:trHeight w:val="261"/>
        </w:trPr>
        <w:tc>
          <w:tcPr>
            <w:tcW w:w="960" w:type="dxa"/>
          </w:tcPr>
          <w:p w:rsidR="007C5447" w:rsidRDefault="00F6308C">
            <w:pPr>
              <w:pStyle w:val="TableParagraph"/>
              <w:spacing w:before="17" w:line="224" w:lineRule="exact"/>
              <w:ind w:left="8"/>
              <w:jc w:val="center"/>
              <w:rPr>
                <w:sz w:val="20"/>
              </w:rPr>
            </w:pPr>
            <w:r>
              <w:rPr>
                <w:w w:val="99"/>
                <w:sz w:val="20"/>
              </w:rPr>
              <w:t>2</w:t>
            </w:r>
          </w:p>
        </w:tc>
        <w:tc>
          <w:tcPr>
            <w:tcW w:w="2959" w:type="dxa"/>
          </w:tcPr>
          <w:p w:rsidR="007C5447" w:rsidRDefault="00F6308C">
            <w:pPr>
              <w:pStyle w:val="TableParagraph"/>
              <w:spacing w:before="17" w:line="224" w:lineRule="exact"/>
              <w:ind w:left="108"/>
              <w:jc w:val="left"/>
              <w:rPr>
                <w:sz w:val="20"/>
              </w:rPr>
            </w:pPr>
            <w:r>
              <w:rPr>
                <w:sz w:val="20"/>
              </w:rPr>
              <w:t>Allocated Capacity</w:t>
            </w:r>
          </w:p>
        </w:tc>
        <w:tc>
          <w:tcPr>
            <w:tcW w:w="1320" w:type="dxa"/>
          </w:tcPr>
          <w:p w:rsidR="007C5447" w:rsidRDefault="00F6308C">
            <w:pPr>
              <w:pStyle w:val="TableParagraph"/>
              <w:spacing w:before="17" w:line="224" w:lineRule="exact"/>
              <w:ind w:left="109"/>
              <w:jc w:val="left"/>
              <w:rPr>
                <w:sz w:val="20"/>
              </w:rPr>
            </w:pPr>
            <w:r>
              <w:rPr>
                <w:sz w:val="20"/>
              </w:rPr>
              <w:t>MW</w:t>
            </w:r>
          </w:p>
        </w:tc>
        <w:tc>
          <w:tcPr>
            <w:tcW w:w="1521" w:type="dxa"/>
          </w:tcPr>
          <w:p w:rsidR="007C5447" w:rsidRDefault="00F6308C">
            <w:pPr>
              <w:pStyle w:val="TableParagraph"/>
              <w:spacing w:before="17" w:line="224" w:lineRule="exact"/>
              <w:ind w:right="94"/>
              <w:rPr>
                <w:sz w:val="20"/>
              </w:rPr>
            </w:pPr>
            <w:r>
              <w:rPr>
                <w:sz w:val="20"/>
              </w:rPr>
              <w:t>1050</w:t>
            </w:r>
          </w:p>
        </w:tc>
        <w:tc>
          <w:tcPr>
            <w:tcW w:w="1519" w:type="dxa"/>
          </w:tcPr>
          <w:p w:rsidR="007C5447" w:rsidRDefault="00F6308C">
            <w:pPr>
              <w:pStyle w:val="TableParagraph"/>
              <w:spacing w:before="17" w:line="224" w:lineRule="exact"/>
              <w:ind w:right="91"/>
              <w:rPr>
                <w:sz w:val="20"/>
              </w:rPr>
            </w:pPr>
            <w:r>
              <w:rPr>
                <w:sz w:val="20"/>
              </w:rPr>
              <w:t>1050</w:t>
            </w:r>
          </w:p>
        </w:tc>
        <w:tc>
          <w:tcPr>
            <w:tcW w:w="1519" w:type="dxa"/>
          </w:tcPr>
          <w:p w:rsidR="007C5447" w:rsidRDefault="00F6308C">
            <w:pPr>
              <w:pStyle w:val="TableParagraph"/>
              <w:spacing w:before="17" w:line="224" w:lineRule="exact"/>
              <w:ind w:right="91"/>
              <w:rPr>
                <w:sz w:val="20"/>
              </w:rPr>
            </w:pPr>
            <w:r>
              <w:rPr>
                <w:sz w:val="20"/>
              </w:rPr>
              <w:t>1050</w:t>
            </w:r>
          </w:p>
        </w:tc>
        <w:tc>
          <w:tcPr>
            <w:tcW w:w="1522" w:type="dxa"/>
          </w:tcPr>
          <w:p w:rsidR="007C5447" w:rsidRDefault="00F6308C">
            <w:pPr>
              <w:pStyle w:val="TableParagraph"/>
              <w:spacing w:before="17" w:line="224" w:lineRule="exact"/>
              <w:ind w:right="95"/>
              <w:rPr>
                <w:sz w:val="20"/>
              </w:rPr>
            </w:pPr>
            <w:r>
              <w:rPr>
                <w:sz w:val="20"/>
              </w:rPr>
              <w:t>1050</w:t>
            </w:r>
          </w:p>
        </w:tc>
        <w:tc>
          <w:tcPr>
            <w:tcW w:w="1519" w:type="dxa"/>
          </w:tcPr>
          <w:p w:rsidR="007C5447" w:rsidRDefault="00F6308C">
            <w:pPr>
              <w:pStyle w:val="TableParagraph"/>
              <w:spacing w:before="17" w:line="224" w:lineRule="exact"/>
              <w:ind w:right="90"/>
              <w:rPr>
                <w:sz w:val="20"/>
              </w:rPr>
            </w:pPr>
            <w:r>
              <w:rPr>
                <w:sz w:val="20"/>
              </w:rPr>
              <w:t>1050</w:t>
            </w:r>
          </w:p>
        </w:tc>
      </w:tr>
      <w:tr w:rsidR="007C5447">
        <w:trPr>
          <w:trHeight w:val="258"/>
        </w:trPr>
        <w:tc>
          <w:tcPr>
            <w:tcW w:w="960" w:type="dxa"/>
          </w:tcPr>
          <w:p w:rsidR="007C5447" w:rsidRDefault="00F6308C">
            <w:pPr>
              <w:pStyle w:val="TableParagraph"/>
              <w:spacing w:before="14" w:line="224" w:lineRule="exact"/>
              <w:ind w:left="8"/>
              <w:jc w:val="center"/>
              <w:rPr>
                <w:sz w:val="20"/>
              </w:rPr>
            </w:pPr>
            <w:r>
              <w:rPr>
                <w:w w:val="99"/>
                <w:sz w:val="20"/>
              </w:rPr>
              <w:t>3</w:t>
            </w:r>
          </w:p>
        </w:tc>
        <w:tc>
          <w:tcPr>
            <w:tcW w:w="2959" w:type="dxa"/>
          </w:tcPr>
          <w:p w:rsidR="007C5447" w:rsidRDefault="00F6308C">
            <w:pPr>
              <w:pStyle w:val="TableParagraph"/>
              <w:spacing w:before="14" w:line="224" w:lineRule="exact"/>
              <w:ind w:left="108"/>
              <w:jc w:val="left"/>
              <w:rPr>
                <w:sz w:val="20"/>
              </w:rPr>
            </w:pPr>
            <w:r>
              <w:rPr>
                <w:sz w:val="20"/>
              </w:rPr>
              <w:t>Days</w:t>
            </w:r>
          </w:p>
        </w:tc>
        <w:tc>
          <w:tcPr>
            <w:tcW w:w="1320" w:type="dxa"/>
          </w:tcPr>
          <w:p w:rsidR="007C5447" w:rsidRDefault="00F6308C">
            <w:pPr>
              <w:pStyle w:val="TableParagraph"/>
              <w:spacing w:before="14" w:line="224" w:lineRule="exact"/>
              <w:ind w:left="109"/>
              <w:jc w:val="left"/>
              <w:rPr>
                <w:sz w:val="20"/>
              </w:rPr>
            </w:pPr>
            <w:r>
              <w:rPr>
                <w:sz w:val="20"/>
              </w:rPr>
              <w:t>Nos.</w:t>
            </w:r>
          </w:p>
        </w:tc>
        <w:tc>
          <w:tcPr>
            <w:tcW w:w="1521" w:type="dxa"/>
          </w:tcPr>
          <w:p w:rsidR="007C5447" w:rsidRDefault="00F6308C">
            <w:pPr>
              <w:pStyle w:val="TableParagraph"/>
              <w:spacing w:before="14" w:line="224" w:lineRule="exact"/>
              <w:ind w:right="94"/>
              <w:rPr>
                <w:sz w:val="20"/>
              </w:rPr>
            </w:pPr>
            <w:r>
              <w:rPr>
                <w:sz w:val="20"/>
              </w:rPr>
              <w:t>366</w:t>
            </w:r>
          </w:p>
        </w:tc>
        <w:tc>
          <w:tcPr>
            <w:tcW w:w="1519" w:type="dxa"/>
          </w:tcPr>
          <w:p w:rsidR="007C5447" w:rsidRDefault="00F6308C">
            <w:pPr>
              <w:pStyle w:val="TableParagraph"/>
              <w:spacing w:before="14" w:line="224" w:lineRule="exact"/>
              <w:ind w:right="91"/>
              <w:rPr>
                <w:sz w:val="20"/>
              </w:rPr>
            </w:pPr>
            <w:r>
              <w:rPr>
                <w:sz w:val="20"/>
              </w:rPr>
              <w:t>365</w:t>
            </w:r>
          </w:p>
        </w:tc>
        <w:tc>
          <w:tcPr>
            <w:tcW w:w="1519" w:type="dxa"/>
          </w:tcPr>
          <w:p w:rsidR="007C5447" w:rsidRDefault="00F6308C">
            <w:pPr>
              <w:pStyle w:val="TableParagraph"/>
              <w:spacing w:before="14" w:line="224" w:lineRule="exact"/>
              <w:ind w:right="91"/>
              <w:rPr>
                <w:sz w:val="20"/>
              </w:rPr>
            </w:pPr>
            <w:r>
              <w:rPr>
                <w:sz w:val="20"/>
              </w:rPr>
              <w:t>365</w:t>
            </w:r>
          </w:p>
        </w:tc>
        <w:tc>
          <w:tcPr>
            <w:tcW w:w="1522" w:type="dxa"/>
          </w:tcPr>
          <w:p w:rsidR="007C5447" w:rsidRDefault="00F6308C">
            <w:pPr>
              <w:pStyle w:val="TableParagraph"/>
              <w:spacing w:before="14" w:line="224" w:lineRule="exact"/>
              <w:ind w:right="95"/>
              <w:rPr>
                <w:sz w:val="20"/>
              </w:rPr>
            </w:pPr>
            <w:r>
              <w:rPr>
                <w:sz w:val="20"/>
              </w:rPr>
              <w:t>365</w:t>
            </w:r>
          </w:p>
        </w:tc>
        <w:tc>
          <w:tcPr>
            <w:tcW w:w="1519" w:type="dxa"/>
          </w:tcPr>
          <w:p w:rsidR="007C5447" w:rsidRDefault="00F6308C">
            <w:pPr>
              <w:pStyle w:val="TableParagraph"/>
              <w:spacing w:before="14" w:line="224" w:lineRule="exact"/>
              <w:ind w:right="90"/>
              <w:rPr>
                <w:sz w:val="20"/>
              </w:rPr>
            </w:pPr>
            <w:r>
              <w:rPr>
                <w:sz w:val="20"/>
              </w:rPr>
              <w:t>366</w:t>
            </w:r>
          </w:p>
        </w:tc>
      </w:tr>
      <w:tr w:rsidR="007C5447">
        <w:trPr>
          <w:trHeight w:val="261"/>
        </w:trPr>
        <w:tc>
          <w:tcPr>
            <w:tcW w:w="960" w:type="dxa"/>
          </w:tcPr>
          <w:p w:rsidR="007C5447" w:rsidRDefault="00F6308C">
            <w:pPr>
              <w:pStyle w:val="TableParagraph"/>
              <w:spacing w:before="17" w:line="224" w:lineRule="exact"/>
              <w:ind w:left="8"/>
              <w:jc w:val="center"/>
              <w:rPr>
                <w:sz w:val="20"/>
              </w:rPr>
            </w:pPr>
            <w:r>
              <w:rPr>
                <w:w w:val="99"/>
                <w:sz w:val="20"/>
              </w:rPr>
              <w:t>4</w:t>
            </w:r>
          </w:p>
        </w:tc>
        <w:tc>
          <w:tcPr>
            <w:tcW w:w="2959" w:type="dxa"/>
          </w:tcPr>
          <w:p w:rsidR="007C5447" w:rsidRDefault="00F6308C">
            <w:pPr>
              <w:pStyle w:val="TableParagraph"/>
              <w:spacing w:before="17" w:line="224" w:lineRule="exact"/>
              <w:ind w:left="108"/>
              <w:jc w:val="left"/>
              <w:rPr>
                <w:sz w:val="20"/>
              </w:rPr>
            </w:pPr>
            <w:r>
              <w:rPr>
                <w:sz w:val="20"/>
              </w:rPr>
              <w:t>PLF</w:t>
            </w:r>
          </w:p>
        </w:tc>
        <w:tc>
          <w:tcPr>
            <w:tcW w:w="1320" w:type="dxa"/>
          </w:tcPr>
          <w:p w:rsidR="007C5447" w:rsidRDefault="00F6308C">
            <w:pPr>
              <w:pStyle w:val="TableParagraph"/>
              <w:spacing w:before="17" w:line="224" w:lineRule="exact"/>
              <w:ind w:left="109"/>
              <w:jc w:val="left"/>
              <w:rPr>
                <w:sz w:val="20"/>
              </w:rPr>
            </w:pPr>
            <w:r>
              <w:rPr>
                <w:w w:val="99"/>
                <w:sz w:val="20"/>
              </w:rPr>
              <w:t>%</w:t>
            </w:r>
          </w:p>
        </w:tc>
        <w:tc>
          <w:tcPr>
            <w:tcW w:w="1521" w:type="dxa"/>
          </w:tcPr>
          <w:p w:rsidR="007C5447" w:rsidRDefault="00F6308C">
            <w:pPr>
              <w:pStyle w:val="TableParagraph"/>
              <w:spacing w:before="17" w:line="224" w:lineRule="exact"/>
              <w:ind w:right="95"/>
              <w:rPr>
                <w:sz w:val="20"/>
              </w:rPr>
            </w:pPr>
            <w:r>
              <w:rPr>
                <w:sz w:val="20"/>
              </w:rPr>
              <w:t>85.60%</w:t>
            </w:r>
          </w:p>
        </w:tc>
        <w:tc>
          <w:tcPr>
            <w:tcW w:w="1519" w:type="dxa"/>
          </w:tcPr>
          <w:p w:rsidR="007C5447" w:rsidRDefault="00F6308C">
            <w:pPr>
              <w:pStyle w:val="TableParagraph"/>
              <w:spacing w:before="17" w:line="224" w:lineRule="exact"/>
              <w:ind w:right="92"/>
              <w:rPr>
                <w:sz w:val="20"/>
              </w:rPr>
            </w:pPr>
            <w:r>
              <w:rPr>
                <w:sz w:val="20"/>
              </w:rPr>
              <w:t>90.04%</w:t>
            </w:r>
          </w:p>
        </w:tc>
        <w:tc>
          <w:tcPr>
            <w:tcW w:w="1519" w:type="dxa"/>
          </w:tcPr>
          <w:p w:rsidR="007C5447" w:rsidRDefault="00F6308C">
            <w:pPr>
              <w:pStyle w:val="TableParagraph"/>
              <w:spacing w:before="17" w:line="224" w:lineRule="exact"/>
              <w:ind w:right="91"/>
              <w:rPr>
                <w:sz w:val="20"/>
              </w:rPr>
            </w:pPr>
            <w:r>
              <w:rPr>
                <w:sz w:val="20"/>
              </w:rPr>
              <w:t>85.80%</w:t>
            </w:r>
          </w:p>
        </w:tc>
        <w:tc>
          <w:tcPr>
            <w:tcW w:w="1522" w:type="dxa"/>
          </w:tcPr>
          <w:p w:rsidR="007C5447" w:rsidRDefault="00F6308C">
            <w:pPr>
              <w:pStyle w:val="TableParagraph"/>
              <w:spacing w:before="17" w:line="224" w:lineRule="exact"/>
              <w:ind w:right="94"/>
              <w:rPr>
                <w:sz w:val="20"/>
              </w:rPr>
            </w:pPr>
            <w:r>
              <w:rPr>
                <w:sz w:val="20"/>
              </w:rPr>
              <w:t>83.42%</w:t>
            </w:r>
          </w:p>
        </w:tc>
        <w:tc>
          <w:tcPr>
            <w:tcW w:w="1519" w:type="dxa"/>
          </w:tcPr>
          <w:p w:rsidR="007C5447" w:rsidRDefault="00F6308C">
            <w:pPr>
              <w:pStyle w:val="TableParagraph"/>
              <w:spacing w:before="17" w:line="224" w:lineRule="exact"/>
              <w:ind w:right="91"/>
              <w:rPr>
                <w:sz w:val="20"/>
              </w:rPr>
            </w:pPr>
            <w:r>
              <w:rPr>
                <w:sz w:val="20"/>
              </w:rPr>
              <w:t>77.00%</w:t>
            </w:r>
          </w:p>
        </w:tc>
      </w:tr>
      <w:tr w:rsidR="007C5447">
        <w:trPr>
          <w:trHeight w:val="258"/>
        </w:trPr>
        <w:tc>
          <w:tcPr>
            <w:tcW w:w="960" w:type="dxa"/>
          </w:tcPr>
          <w:p w:rsidR="007C5447" w:rsidRDefault="00F6308C">
            <w:pPr>
              <w:pStyle w:val="TableParagraph"/>
              <w:spacing w:before="14" w:line="224" w:lineRule="exact"/>
              <w:ind w:left="8"/>
              <w:jc w:val="center"/>
              <w:rPr>
                <w:sz w:val="20"/>
              </w:rPr>
            </w:pPr>
            <w:r>
              <w:rPr>
                <w:w w:val="99"/>
                <w:sz w:val="20"/>
              </w:rPr>
              <w:t>5</w:t>
            </w:r>
          </w:p>
        </w:tc>
        <w:tc>
          <w:tcPr>
            <w:tcW w:w="2959" w:type="dxa"/>
          </w:tcPr>
          <w:p w:rsidR="007C5447" w:rsidRDefault="00F6308C">
            <w:pPr>
              <w:pStyle w:val="TableParagraph"/>
              <w:spacing w:before="14" w:line="224" w:lineRule="exact"/>
              <w:ind w:left="108"/>
              <w:jc w:val="left"/>
              <w:rPr>
                <w:sz w:val="20"/>
              </w:rPr>
            </w:pPr>
            <w:r>
              <w:rPr>
                <w:sz w:val="20"/>
              </w:rPr>
              <w:t>Gross Generation</w:t>
            </w:r>
          </w:p>
        </w:tc>
        <w:tc>
          <w:tcPr>
            <w:tcW w:w="1320" w:type="dxa"/>
          </w:tcPr>
          <w:p w:rsidR="007C5447" w:rsidRDefault="00F6308C">
            <w:pPr>
              <w:pStyle w:val="TableParagraph"/>
              <w:spacing w:before="14" w:line="224" w:lineRule="exact"/>
              <w:ind w:left="109"/>
              <w:jc w:val="left"/>
              <w:rPr>
                <w:sz w:val="20"/>
              </w:rPr>
            </w:pPr>
            <w:r>
              <w:rPr>
                <w:sz w:val="20"/>
              </w:rPr>
              <w:t>MU</w:t>
            </w:r>
          </w:p>
        </w:tc>
        <w:tc>
          <w:tcPr>
            <w:tcW w:w="1521" w:type="dxa"/>
          </w:tcPr>
          <w:p w:rsidR="007C5447" w:rsidRDefault="00F6308C">
            <w:pPr>
              <w:pStyle w:val="TableParagraph"/>
              <w:spacing w:before="14" w:line="224" w:lineRule="exact"/>
              <w:ind w:right="98"/>
              <w:rPr>
                <w:sz w:val="20"/>
              </w:rPr>
            </w:pPr>
            <w:r>
              <w:rPr>
                <w:w w:val="95"/>
                <w:sz w:val="20"/>
              </w:rPr>
              <w:t>7,895</w:t>
            </w:r>
          </w:p>
        </w:tc>
        <w:tc>
          <w:tcPr>
            <w:tcW w:w="1519" w:type="dxa"/>
          </w:tcPr>
          <w:p w:rsidR="007C5447" w:rsidRDefault="00F6308C">
            <w:pPr>
              <w:pStyle w:val="TableParagraph"/>
              <w:spacing w:before="14" w:line="224" w:lineRule="exact"/>
              <w:ind w:right="95"/>
              <w:rPr>
                <w:sz w:val="20"/>
              </w:rPr>
            </w:pPr>
            <w:r>
              <w:rPr>
                <w:w w:val="95"/>
                <w:sz w:val="20"/>
              </w:rPr>
              <w:t>8,282</w:t>
            </w:r>
          </w:p>
        </w:tc>
        <w:tc>
          <w:tcPr>
            <w:tcW w:w="1519" w:type="dxa"/>
          </w:tcPr>
          <w:p w:rsidR="007C5447" w:rsidRDefault="00F6308C">
            <w:pPr>
              <w:pStyle w:val="TableParagraph"/>
              <w:spacing w:before="14" w:line="224" w:lineRule="exact"/>
              <w:ind w:right="95"/>
              <w:rPr>
                <w:sz w:val="20"/>
              </w:rPr>
            </w:pPr>
            <w:r>
              <w:rPr>
                <w:w w:val="95"/>
                <w:sz w:val="20"/>
              </w:rPr>
              <w:t>7,892</w:t>
            </w:r>
          </w:p>
        </w:tc>
        <w:tc>
          <w:tcPr>
            <w:tcW w:w="1522" w:type="dxa"/>
          </w:tcPr>
          <w:p w:rsidR="007C5447" w:rsidRDefault="00F6308C">
            <w:pPr>
              <w:pStyle w:val="TableParagraph"/>
              <w:spacing w:before="14" w:line="224" w:lineRule="exact"/>
              <w:ind w:right="98"/>
              <w:rPr>
                <w:sz w:val="20"/>
              </w:rPr>
            </w:pPr>
            <w:r>
              <w:rPr>
                <w:w w:val="95"/>
                <w:sz w:val="20"/>
              </w:rPr>
              <w:t>7,673</w:t>
            </w:r>
          </w:p>
        </w:tc>
        <w:tc>
          <w:tcPr>
            <w:tcW w:w="1519" w:type="dxa"/>
          </w:tcPr>
          <w:p w:rsidR="007C5447" w:rsidRDefault="00F6308C">
            <w:pPr>
              <w:pStyle w:val="TableParagraph"/>
              <w:spacing w:before="14" w:line="224" w:lineRule="exact"/>
              <w:ind w:right="95"/>
              <w:rPr>
                <w:sz w:val="20"/>
              </w:rPr>
            </w:pPr>
            <w:r>
              <w:rPr>
                <w:w w:val="95"/>
                <w:sz w:val="20"/>
              </w:rPr>
              <w:t>7,102</w:t>
            </w:r>
          </w:p>
        </w:tc>
      </w:tr>
      <w:tr w:rsidR="007C5447">
        <w:trPr>
          <w:trHeight w:val="261"/>
        </w:trPr>
        <w:tc>
          <w:tcPr>
            <w:tcW w:w="960" w:type="dxa"/>
          </w:tcPr>
          <w:p w:rsidR="007C5447" w:rsidRDefault="00F6308C">
            <w:pPr>
              <w:pStyle w:val="TableParagraph"/>
              <w:spacing w:before="17" w:line="224" w:lineRule="exact"/>
              <w:ind w:left="8"/>
              <w:jc w:val="center"/>
              <w:rPr>
                <w:sz w:val="20"/>
              </w:rPr>
            </w:pPr>
            <w:r>
              <w:rPr>
                <w:w w:val="99"/>
                <w:sz w:val="20"/>
              </w:rPr>
              <w:t>6</w:t>
            </w:r>
          </w:p>
        </w:tc>
        <w:tc>
          <w:tcPr>
            <w:tcW w:w="2959" w:type="dxa"/>
          </w:tcPr>
          <w:p w:rsidR="007C5447" w:rsidRDefault="00F6308C">
            <w:pPr>
              <w:pStyle w:val="TableParagraph"/>
              <w:spacing w:before="17" w:line="224" w:lineRule="exact"/>
              <w:ind w:left="108"/>
              <w:jc w:val="left"/>
              <w:rPr>
                <w:sz w:val="20"/>
              </w:rPr>
            </w:pPr>
            <w:r>
              <w:rPr>
                <w:sz w:val="20"/>
              </w:rPr>
              <w:t>Auxiliary consumption</w:t>
            </w:r>
          </w:p>
        </w:tc>
        <w:tc>
          <w:tcPr>
            <w:tcW w:w="1320" w:type="dxa"/>
          </w:tcPr>
          <w:p w:rsidR="007C5447" w:rsidRDefault="00F6308C">
            <w:pPr>
              <w:pStyle w:val="TableParagraph"/>
              <w:spacing w:before="17" w:line="224" w:lineRule="exact"/>
              <w:ind w:left="109"/>
              <w:jc w:val="left"/>
              <w:rPr>
                <w:sz w:val="20"/>
              </w:rPr>
            </w:pPr>
            <w:r>
              <w:rPr>
                <w:w w:val="99"/>
                <w:sz w:val="20"/>
              </w:rPr>
              <w:t>%</w:t>
            </w:r>
          </w:p>
        </w:tc>
        <w:tc>
          <w:tcPr>
            <w:tcW w:w="1521" w:type="dxa"/>
          </w:tcPr>
          <w:p w:rsidR="007C5447" w:rsidRDefault="00F6308C">
            <w:pPr>
              <w:pStyle w:val="TableParagraph"/>
              <w:spacing w:before="17" w:line="224" w:lineRule="exact"/>
              <w:ind w:right="94"/>
              <w:rPr>
                <w:sz w:val="20"/>
              </w:rPr>
            </w:pPr>
            <w:r>
              <w:rPr>
                <w:sz w:val="20"/>
              </w:rPr>
              <w:t>8.50%</w:t>
            </w:r>
          </w:p>
        </w:tc>
        <w:tc>
          <w:tcPr>
            <w:tcW w:w="1519" w:type="dxa"/>
          </w:tcPr>
          <w:p w:rsidR="007C5447" w:rsidRDefault="00F6308C">
            <w:pPr>
              <w:pStyle w:val="TableParagraph"/>
              <w:spacing w:before="17" w:line="224" w:lineRule="exact"/>
              <w:ind w:right="91"/>
              <w:rPr>
                <w:sz w:val="20"/>
              </w:rPr>
            </w:pPr>
            <w:r>
              <w:rPr>
                <w:sz w:val="20"/>
              </w:rPr>
              <w:t>8.50%</w:t>
            </w:r>
          </w:p>
        </w:tc>
        <w:tc>
          <w:tcPr>
            <w:tcW w:w="1519" w:type="dxa"/>
          </w:tcPr>
          <w:p w:rsidR="007C5447" w:rsidRDefault="00F6308C">
            <w:pPr>
              <w:pStyle w:val="TableParagraph"/>
              <w:spacing w:before="17" w:line="224" w:lineRule="exact"/>
              <w:ind w:right="91"/>
              <w:rPr>
                <w:sz w:val="20"/>
              </w:rPr>
            </w:pPr>
            <w:r>
              <w:rPr>
                <w:sz w:val="20"/>
              </w:rPr>
              <w:t>8.50%</w:t>
            </w:r>
          </w:p>
        </w:tc>
        <w:tc>
          <w:tcPr>
            <w:tcW w:w="1522" w:type="dxa"/>
          </w:tcPr>
          <w:p w:rsidR="007C5447" w:rsidRDefault="00F6308C">
            <w:pPr>
              <w:pStyle w:val="TableParagraph"/>
              <w:spacing w:before="17" w:line="224" w:lineRule="exact"/>
              <w:ind w:right="92"/>
              <w:rPr>
                <w:sz w:val="20"/>
              </w:rPr>
            </w:pPr>
            <w:r>
              <w:rPr>
                <w:sz w:val="20"/>
              </w:rPr>
              <w:t>8.50%</w:t>
            </w:r>
          </w:p>
        </w:tc>
        <w:tc>
          <w:tcPr>
            <w:tcW w:w="1519" w:type="dxa"/>
          </w:tcPr>
          <w:p w:rsidR="007C5447" w:rsidRDefault="00F6308C">
            <w:pPr>
              <w:pStyle w:val="TableParagraph"/>
              <w:spacing w:before="17" w:line="224" w:lineRule="exact"/>
              <w:ind w:right="91"/>
              <w:rPr>
                <w:sz w:val="20"/>
              </w:rPr>
            </w:pPr>
            <w:r>
              <w:rPr>
                <w:sz w:val="20"/>
              </w:rPr>
              <w:t>8.50%</w:t>
            </w:r>
          </w:p>
        </w:tc>
      </w:tr>
      <w:tr w:rsidR="007C5447">
        <w:trPr>
          <w:trHeight w:val="258"/>
        </w:trPr>
        <w:tc>
          <w:tcPr>
            <w:tcW w:w="960" w:type="dxa"/>
          </w:tcPr>
          <w:p w:rsidR="007C5447" w:rsidRDefault="00F6308C">
            <w:pPr>
              <w:pStyle w:val="TableParagraph"/>
              <w:spacing w:before="14" w:line="224" w:lineRule="exact"/>
              <w:ind w:left="8"/>
              <w:jc w:val="center"/>
              <w:rPr>
                <w:sz w:val="20"/>
              </w:rPr>
            </w:pPr>
            <w:r>
              <w:rPr>
                <w:w w:val="99"/>
                <w:sz w:val="20"/>
              </w:rPr>
              <w:t>7</w:t>
            </w:r>
          </w:p>
        </w:tc>
        <w:tc>
          <w:tcPr>
            <w:tcW w:w="2959" w:type="dxa"/>
          </w:tcPr>
          <w:p w:rsidR="007C5447" w:rsidRDefault="00F6308C">
            <w:pPr>
              <w:pStyle w:val="TableParagraph"/>
              <w:spacing w:before="14" w:line="224" w:lineRule="exact"/>
              <w:ind w:left="108"/>
              <w:jc w:val="left"/>
              <w:rPr>
                <w:sz w:val="20"/>
              </w:rPr>
            </w:pPr>
            <w:r>
              <w:rPr>
                <w:sz w:val="20"/>
              </w:rPr>
              <w:t>Net Generation MU</w:t>
            </w:r>
          </w:p>
        </w:tc>
        <w:tc>
          <w:tcPr>
            <w:tcW w:w="1320" w:type="dxa"/>
          </w:tcPr>
          <w:p w:rsidR="007C5447" w:rsidRDefault="00F6308C">
            <w:pPr>
              <w:pStyle w:val="TableParagraph"/>
              <w:spacing w:before="14" w:line="224" w:lineRule="exact"/>
              <w:ind w:left="109"/>
              <w:jc w:val="left"/>
              <w:rPr>
                <w:sz w:val="20"/>
              </w:rPr>
            </w:pPr>
            <w:r>
              <w:rPr>
                <w:sz w:val="20"/>
              </w:rPr>
              <w:t>MU</w:t>
            </w:r>
          </w:p>
        </w:tc>
        <w:tc>
          <w:tcPr>
            <w:tcW w:w="1521" w:type="dxa"/>
          </w:tcPr>
          <w:p w:rsidR="007C5447" w:rsidRDefault="00F6308C">
            <w:pPr>
              <w:pStyle w:val="TableParagraph"/>
              <w:spacing w:before="14" w:line="224" w:lineRule="exact"/>
              <w:ind w:right="94"/>
              <w:rPr>
                <w:sz w:val="20"/>
              </w:rPr>
            </w:pPr>
            <w:r>
              <w:rPr>
                <w:sz w:val="20"/>
              </w:rPr>
              <w:t>7224</w:t>
            </w:r>
          </w:p>
        </w:tc>
        <w:tc>
          <w:tcPr>
            <w:tcW w:w="1519" w:type="dxa"/>
          </w:tcPr>
          <w:p w:rsidR="007C5447" w:rsidRDefault="00F6308C">
            <w:pPr>
              <w:pStyle w:val="TableParagraph"/>
              <w:spacing w:before="14" w:line="224" w:lineRule="exact"/>
              <w:ind w:right="91"/>
              <w:rPr>
                <w:sz w:val="20"/>
              </w:rPr>
            </w:pPr>
            <w:r>
              <w:rPr>
                <w:sz w:val="20"/>
              </w:rPr>
              <w:t>7578</w:t>
            </w:r>
          </w:p>
        </w:tc>
        <w:tc>
          <w:tcPr>
            <w:tcW w:w="1519" w:type="dxa"/>
          </w:tcPr>
          <w:p w:rsidR="007C5447" w:rsidRDefault="00F6308C">
            <w:pPr>
              <w:pStyle w:val="TableParagraph"/>
              <w:spacing w:before="14" w:line="224" w:lineRule="exact"/>
              <w:ind w:right="91"/>
              <w:rPr>
                <w:sz w:val="20"/>
              </w:rPr>
            </w:pPr>
            <w:r>
              <w:rPr>
                <w:sz w:val="20"/>
              </w:rPr>
              <w:t>7221</w:t>
            </w:r>
          </w:p>
        </w:tc>
        <w:tc>
          <w:tcPr>
            <w:tcW w:w="1522" w:type="dxa"/>
          </w:tcPr>
          <w:p w:rsidR="007C5447" w:rsidRDefault="00F6308C">
            <w:pPr>
              <w:pStyle w:val="TableParagraph"/>
              <w:spacing w:before="14" w:line="224" w:lineRule="exact"/>
              <w:ind w:right="95"/>
              <w:rPr>
                <w:sz w:val="20"/>
              </w:rPr>
            </w:pPr>
            <w:r>
              <w:rPr>
                <w:sz w:val="20"/>
              </w:rPr>
              <w:t>7021</w:t>
            </w:r>
          </w:p>
        </w:tc>
        <w:tc>
          <w:tcPr>
            <w:tcW w:w="1519" w:type="dxa"/>
          </w:tcPr>
          <w:p w:rsidR="007C5447" w:rsidRDefault="00F6308C">
            <w:pPr>
              <w:pStyle w:val="TableParagraph"/>
              <w:spacing w:before="14" w:line="224" w:lineRule="exact"/>
              <w:ind w:right="90"/>
              <w:rPr>
                <w:sz w:val="20"/>
              </w:rPr>
            </w:pPr>
            <w:r>
              <w:rPr>
                <w:sz w:val="20"/>
              </w:rPr>
              <w:t>6498</w:t>
            </w:r>
          </w:p>
        </w:tc>
      </w:tr>
      <w:tr w:rsidR="007C5447">
        <w:trPr>
          <w:trHeight w:val="261"/>
        </w:trPr>
        <w:tc>
          <w:tcPr>
            <w:tcW w:w="960" w:type="dxa"/>
            <w:shd w:val="clear" w:color="auto" w:fill="ECECEC"/>
          </w:tcPr>
          <w:p w:rsidR="007C5447" w:rsidRDefault="007C5447">
            <w:pPr>
              <w:pStyle w:val="TableParagraph"/>
              <w:jc w:val="left"/>
              <w:rPr>
                <w:sz w:val="18"/>
              </w:rPr>
            </w:pPr>
          </w:p>
        </w:tc>
        <w:tc>
          <w:tcPr>
            <w:tcW w:w="2959" w:type="dxa"/>
            <w:shd w:val="clear" w:color="auto" w:fill="ECECEC"/>
          </w:tcPr>
          <w:p w:rsidR="007C5447" w:rsidRDefault="00F6308C">
            <w:pPr>
              <w:pStyle w:val="TableParagraph"/>
              <w:spacing w:before="17" w:line="224" w:lineRule="exact"/>
              <w:ind w:left="108"/>
              <w:jc w:val="left"/>
              <w:rPr>
                <w:b/>
                <w:sz w:val="20"/>
              </w:rPr>
            </w:pPr>
            <w:r>
              <w:rPr>
                <w:b/>
                <w:sz w:val="20"/>
              </w:rPr>
              <w:t>Variable Cost - Parameters</w:t>
            </w:r>
          </w:p>
        </w:tc>
        <w:tc>
          <w:tcPr>
            <w:tcW w:w="1320" w:type="dxa"/>
            <w:shd w:val="clear" w:color="auto" w:fill="ECECEC"/>
          </w:tcPr>
          <w:p w:rsidR="007C5447" w:rsidRDefault="007C5447">
            <w:pPr>
              <w:pStyle w:val="TableParagraph"/>
              <w:jc w:val="left"/>
              <w:rPr>
                <w:sz w:val="18"/>
              </w:rPr>
            </w:pPr>
          </w:p>
        </w:tc>
        <w:tc>
          <w:tcPr>
            <w:tcW w:w="1521" w:type="dxa"/>
            <w:shd w:val="clear" w:color="auto" w:fill="ECECEC"/>
          </w:tcPr>
          <w:p w:rsidR="007C5447" w:rsidRDefault="007C5447">
            <w:pPr>
              <w:pStyle w:val="TableParagraph"/>
              <w:jc w:val="left"/>
              <w:rPr>
                <w:sz w:val="18"/>
              </w:rPr>
            </w:pPr>
          </w:p>
        </w:tc>
        <w:tc>
          <w:tcPr>
            <w:tcW w:w="1519" w:type="dxa"/>
            <w:shd w:val="clear" w:color="auto" w:fill="ECECEC"/>
          </w:tcPr>
          <w:p w:rsidR="007C5447" w:rsidRDefault="007C5447">
            <w:pPr>
              <w:pStyle w:val="TableParagraph"/>
              <w:jc w:val="left"/>
              <w:rPr>
                <w:sz w:val="18"/>
              </w:rPr>
            </w:pPr>
          </w:p>
        </w:tc>
        <w:tc>
          <w:tcPr>
            <w:tcW w:w="1519" w:type="dxa"/>
            <w:shd w:val="clear" w:color="auto" w:fill="ECECEC"/>
          </w:tcPr>
          <w:p w:rsidR="007C5447" w:rsidRDefault="007C5447">
            <w:pPr>
              <w:pStyle w:val="TableParagraph"/>
              <w:jc w:val="left"/>
              <w:rPr>
                <w:sz w:val="18"/>
              </w:rPr>
            </w:pPr>
          </w:p>
        </w:tc>
        <w:tc>
          <w:tcPr>
            <w:tcW w:w="1522" w:type="dxa"/>
            <w:shd w:val="clear" w:color="auto" w:fill="ECECEC"/>
          </w:tcPr>
          <w:p w:rsidR="007C5447" w:rsidRDefault="007C5447">
            <w:pPr>
              <w:pStyle w:val="TableParagraph"/>
              <w:jc w:val="left"/>
              <w:rPr>
                <w:sz w:val="18"/>
              </w:rPr>
            </w:pPr>
          </w:p>
        </w:tc>
        <w:tc>
          <w:tcPr>
            <w:tcW w:w="1519" w:type="dxa"/>
            <w:shd w:val="clear" w:color="auto" w:fill="ECECEC"/>
          </w:tcPr>
          <w:p w:rsidR="007C5447" w:rsidRDefault="007C5447">
            <w:pPr>
              <w:pStyle w:val="TableParagraph"/>
              <w:jc w:val="left"/>
              <w:rPr>
                <w:sz w:val="18"/>
              </w:rPr>
            </w:pPr>
          </w:p>
        </w:tc>
      </w:tr>
      <w:tr w:rsidR="007C5447">
        <w:trPr>
          <w:trHeight w:val="258"/>
        </w:trPr>
        <w:tc>
          <w:tcPr>
            <w:tcW w:w="960" w:type="dxa"/>
          </w:tcPr>
          <w:p w:rsidR="007C5447" w:rsidRDefault="00F6308C">
            <w:pPr>
              <w:pStyle w:val="TableParagraph"/>
              <w:spacing w:before="14" w:line="224" w:lineRule="exact"/>
              <w:ind w:left="8"/>
              <w:jc w:val="center"/>
              <w:rPr>
                <w:sz w:val="20"/>
              </w:rPr>
            </w:pPr>
            <w:r>
              <w:rPr>
                <w:w w:val="99"/>
                <w:sz w:val="20"/>
              </w:rPr>
              <w:t>8</w:t>
            </w:r>
          </w:p>
        </w:tc>
        <w:tc>
          <w:tcPr>
            <w:tcW w:w="2959" w:type="dxa"/>
          </w:tcPr>
          <w:p w:rsidR="007C5447" w:rsidRDefault="00F6308C">
            <w:pPr>
              <w:pStyle w:val="TableParagraph"/>
              <w:spacing w:before="14" w:line="224" w:lineRule="exact"/>
              <w:ind w:left="108"/>
              <w:jc w:val="left"/>
              <w:rPr>
                <w:sz w:val="20"/>
              </w:rPr>
            </w:pPr>
            <w:r>
              <w:rPr>
                <w:sz w:val="20"/>
              </w:rPr>
              <w:t>Station Heat rate</w:t>
            </w:r>
          </w:p>
        </w:tc>
        <w:tc>
          <w:tcPr>
            <w:tcW w:w="1320" w:type="dxa"/>
          </w:tcPr>
          <w:p w:rsidR="007C5447" w:rsidRDefault="00F6308C">
            <w:pPr>
              <w:pStyle w:val="TableParagraph"/>
              <w:spacing w:before="14" w:line="224" w:lineRule="exact"/>
              <w:ind w:left="109"/>
              <w:jc w:val="left"/>
              <w:rPr>
                <w:sz w:val="20"/>
              </w:rPr>
            </w:pPr>
            <w:r>
              <w:rPr>
                <w:sz w:val="20"/>
              </w:rPr>
              <w:t>kCal/kWh</w:t>
            </w:r>
          </w:p>
        </w:tc>
        <w:tc>
          <w:tcPr>
            <w:tcW w:w="1521" w:type="dxa"/>
          </w:tcPr>
          <w:p w:rsidR="007C5447" w:rsidRDefault="00F6308C">
            <w:pPr>
              <w:pStyle w:val="TableParagraph"/>
              <w:spacing w:before="14" w:line="224" w:lineRule="exact"/>
              <w:ind w:right="94"/>
              <w:rPr>
                <w:sz w:val="20"/>
              </w:rPr>
            </w:pPr>
            <w:r>
              <w:rPr>
                <w:sz w:val="20"/>
              </w:rPr>
              <w:t>2453</w:t>
            </w:r>
          </w:p>
        </w:tc>
        <w:tc>
          <w:tcPr>
            <w:tcW w:w="1519" w:type="dxa"/>
          </w:tcPr>
          <w:p w:rsidR="007C5447" w:rsidRDefault="00F6308C">
            <w:pPr>
              <w:pStyle w:val="TableParagraph"/>
              <w:spacing w:before="14" w:line="224" w:lineRule="exact"/>
              <w:ind w:right="91"/>
              <w:rPr>
                <w:sz w:val="20"/>
              </w:rPr>
            </w:pPr>
            <w:r>
              <w:rPr>
                <w:sz w:val="20"/>
              </w:rPr>
              <w:t>2453</w:t>
            </w:r>
          </w:p>
        </w:tc>
        <w:tc>
          <w:tcPr>
            <w:tcW w:w="1519" w:type="dxa"/>
          </w:tcPr>
          <w:p w:rsidR="007C5447" w:rsidRDefault="00F6308C">
            <w:pPr>
              <w:pStyle w:val="TableParagraph"/>
              <w:spacing w:before="14" w:line="224" w:lineRule="exact"/>
              <w:ind w:right="91"/>
              <w:rPr>
                <w:sz w:val="20"/>
              </w:rPr>
            </w:pPr>
            <w:r>
              <w:rPr>
                <w:sz w:val="20"/>
              </w:rPr>
              <w:t>2453</w:t>
            </w:r>
          </w:p>
        </w:tc>
        <w:tc>
          <w:tcPr>
            <w:tcW w:w="1522" w:type="dxa"/>
          </w:tcPr>
          <w:p w:rsidR="007C5447" w:rsidRDefault="00F6308C">
            <w:pPr>
              <w:pStyle w:val="TableParagraph"/>
              <w:spacing w:before="14" w:line="224" w:lineRule="exact"/>
              <w:ind w:right="95"/>
              <w:rPr>
                <w:sz w:val="20"/>
              </w:rPr>
            </w:pPr>
            <w:r>
              <w:rPr>
                <w:sz w:val="20"/>
              </w:rPr>
              <w:t>2453</w:t>
            </w:r>
          </w:p>
        </w:tc>
        <w:tc>
          <w:tcPr>
            <w:tcW w:w="1519" w:type="dxa"/>
          </w:tcPr>
          <w:p w:rsidR="007C5447" w:rsidRDefault="00F6308C">
            <w:pPr>
              <w:pStyle w:val="TableParagraph"/>
              <w:spacing w:before="14" w:line="224" w:lineRule="exact"/>
              <w:ind w:right="90"/>
              <w:rPr>
                <w:sz w:val="20"/>
              </w:rPr>
            </w:pPr>
            <w:r>
              <w:rPr>
                <w:sz w:val="20"/>
              </w:rPr>
              <w:t>2453</w:t>
            </w:r>
          </w:p>
        </w:tc>
      </w:tr>
      <w:tr w:rsidR="007C5447">
        <w:trPr>
          <w:trHeight w:val="261"/>
        </w:trPr>
        <w:tc>
          <w:tcPr>
            <w:tcW w:w="960" w:type="dxa"/>
          </w:tcPr>
          <w:p w:rsidR="007C5447" w:rsidRDefault="00F6308C">
            <w:pPr>
              <w:pStyle w:val="TableParagraph"/>
              <w:spacing w:before="14" w:line="227" w:lineRule="exact"/>
              <w:ind w:left="8"/>
              <w:jc w:val="center"/>
              <w:rPr>
                <w:sz w:val="20"/>
              </w:rPr>
            </w:pPr>
            <w:r>
              <w:rPr>
                <w:w w:val="99"/>
                <w:sz w:val="20"/>
              </w:rPr>
              <w:t>9</w:t>
            </w:r>
          </w:p>
        </w:tc>
        <w:tc>
          <w:tcPr>
            <w:tcW w:w="2959" w:type="dxa"/>
          </w:tcPr>
          <w:p w:rsidR="007C5447" w:rsidRDefault="00F6308C">
            <w:pPr>
              <w:pStyle w:val="TableParagraph"/>
              <w:spacing w:before="14" w:line="227" w:lineRule="exact"/>
              <w:ind w:left="108"/>
              <w:jc w:val="left"/>
              <w:rPr>
                <w:sz w:val="20"/>
              </w:rPr>
            </w:pPr>
            <w:r>
              <w:rPr>
                <w:sz w:val="20"/>
              </w:rPr>
              <w:t>Fuel Oil Consumption</w:t>
            </w:r>
          </w:p>
        </w:tc>
        <w:tc>
          <w:tcPr>
            <w:tcW w:w="1320" w:type="dxa"/>
          </w:tcPr>
          <w:p w:rsidR="007C5447" w:rsidRDefault="00F6308C">
            <w:pPr>
              <w:pStyle w:val="TableParagraph"/>
              <w:spacing w:before="14" w:line="227" w:lineRule="exact"/>
              <w:ind w:left="109"/>
              <w:jc w:val="left"/>
              <w:rPr>
                <w:sz w:val="20"/>
              </w:rPr>
            </w:pPr>
            <w:r>
              <w:rPr>
                <w:sz w:val="20"/>
              </w:rPr>
              <w:t>ml/kWh</w:t>
            </w:r>
          </w:p>
        </w:tc>
        <w:tc>
          <w:tcPr>
            <w:tcW w:w="1521" w:type="dxa"/>
          </w:tcPr>
          <w:p w:rsidR="007C5447" w:rsidRDefault="00F6308C">
            <w:pPr>
              <w:pStyle w:val="TableParagraph"/>
              <w:spacing w:before="14" w:line="227" w:lineRule="exact"/>
              <w:ind w:right="96"/>
              <w:rPr>
                <w:sz w:val="20"/>
              </w:rPr>
            </w:pPr>
            <w:r>
              <w:rPr>
                <w:sz w:val="20"/>
              </w:rPr>
              <w:t>1.92</w:t>
            </w:r>
          </w:p>
        </w:tc>
        <w:tc>
          <w:tcPr>
            <w:tcW w:w="1519" w:type="dxa"/>
          </w:tcPr>
          <w:p w:rsidR="007C5447" w:rsidRDefault="00F6308C">
            <w:pPr>
              <w:pStyle w:val="TableParagraph"/>
              <w:spacing w:before="14" w:line="227" w:lineRule="exact"/>
              <w:ind w:right="93"/>
              <w:rPr>
                <w:sz w:val="20"/>
              </w:rPr>
            </w:pPr>
            <w:r>
              <w:rPr>
                <w:sz w:val="20"/>
              </w:rPr>
              <w:t>0.90</w:t>
            </w:r>
          </w:p>
        </w:tc>
        <w:tc>
          <w:tcPr>
            <w:tcW w:w="1519" w:type="dxa"/>
          </w:tcPr>
          <w:p w:rsidR="007C5447" w:rsidRDefault="00F6308C">
            <w:pPr>
              <w:pStyle w:val="TableParagraph"/>
              <w:spacing w:before="14" w:line="227" w:lineRule="exact"/>
              <w:ind w:right="93"/>
              <w:rPr>
                <w:sz w:val="20"/>
              </w:rPr>
            </w:pPr>
            <w:r>
              <w:rPr>
                <w:sz w:val="20"/>
              </w:rPr>
              <w:t>0.71</w:t>
            </w:r>
          </w:p>
        </w:tc>
        <w:tc>
          <w:tcPr>
            <w:tcW w:w="1522" w:type="dxa"/>
          </w:tcPr>
          <w:p w:rsidR="007C5447" w:rsidRDefault="00F6308C">
            <w:pPr>
              <w:pStyle w:val="TableParagraph"/>
              <w:spacing w:before="14" w:line="227" w:lineRule="exact"/>
              <w:ind w:right="95"/>
              <w:rPr>
                <w:sz w:val="20"/>
              </w:rPr>
            </w:pPr>
            <w:r>
              <w:rPr>
                <w:sz w:val="20"/>
              </w:rPr>
              <w:t>2.39</w:t>
            </w:r>
          </w:p>
        </w:tc>
        <w:tc>
          <w:tcPr>
            <w:tcW w:w="1519" w:type="dxa"/>
          </w:tcPr>
          <w:p w:rsidR="007C5447" w:rsidRDefault="00F6308C">
            <w:pPr>
              <w:pStyle w:val="TableParagraph"/>
              <w:spacing w:before="14" w:line="227" w:lineRule="exact"/>
              <w:ind w:right="92"/>
              <w:rPr>
                <w:sz w:val="20"/>
              </w:rPr>
            </w:pPr>
            <w:r>
              <w:rPr>
                <w:sz w:val="20"/>
              </w:rPr>
              <w:t>2.39</w:t>
            </w:r>
          </w:p>
        </w:tc>
      </w:tr>
      <w:tr w:rsidR="007C5447">
        <w:trPr>
          <w:trHeight w:val="258"/>
        </w:trPr>
        <w:tc>
          <w:tcPr>
            <w:tcW w:w="960" w:type="dxa"/>
          </w:tcPr>
          <w:p w:rsidR="007C5447" w:rsidRDefault="00F6308C">
            <w:pPr>
              <w:pStyle w:val="TableParagraph"/>
              <w:spacing w:before="14" w:line="224" w:lineRule="exact"/>
              <w:ind w:left="161" w:right="152"/>
              <w:jc w:val="center"/>
              <w:rPr>
                <w:sz w:val="20"/>
              </w:rPr>
            </w:pPr>
            <w:r>
              <w:rPr>
                <w:sz w:val="20"/>
              </w:rPr>
              <w:t>10</w:t>
            </w:r>
          </w:p>
        </w:tc>
        <w:tc>
          <w:tcPr>
            <w:tcW w:w="2959" w:type="dxa"/>
          </w:tcPr>
          <w:p w:rsidR="007C5447" w:rsidRDefault="00F6308C">
            <w:pPr>
              <w:pStyle w:val="TableParagraph"/>
              <w:spacing w:before="14" w:line="224" w:lineRule="exact"/>
              <w:ind w:left="108"/>
              <w:jc w:val="left"/>
              <w:rPr>
                <w:sz w:val="20"/>
              </w:rPr>
            </w:pPr>
            <w:r>
              <w:rPr>
                <w:sz w:val="20"/>
              </w:rPr>
              <w:t>GCV of Primary Fuel</w:t>
            </w:r>
          </w:p>
        </w:tc>
        <w:tc>
          <w:tcPr>
            <w:tcW w:w="1320" w:type="dxa"/>
          </w:tcPr>
          <w:p w:rsidR="007C5447" w:rsidRDefault="00F6308C">
            <w:pPr>
              <w:pStyle w:val="TableParagraph"/>
              <w:spacing w:before="14" w:line="224" w:lineRule="exact"/>
              <w:ind w:left="109"/>
              <w:jc w:val="left"/>
              <w:rPr>
                <w:sz w:val="20"/>
              </w:rPr>
            </w:pPr>
            <w:r>
              <w:rPr>
                <w:sz w:val="20"/>
              </w:rPr>
              <w:t>Kcal/kg</w:t>
            </w:r>
          </w:p>
        </w:tc>
        <w:tc>
          <w:tcPr>
            <w:tcW w:w="1521" w:type="dxa"/>
          </w:tcPr>
          <w:p w:rsidR="007C5447" w:rsidRDefault="00F6308C">
            <w:pPr>
              <w:pStyle w:val="TableParagraph"/>
              <w:spacing w:before="14" w:line="224" w:lineRule="exact"/>
              <w:ind w:right="98"/>
              <w:rPr>
                <w:sz w:val="20"/>
              </w:rPr>
            </w:pPr>
            <w:r>
              <w:rPr>
                <w:w w:val="95"/>
                <w:sz w:val="20"/>
              </w:rPr>
              <w:t>3,505</w:t>
            </w:r>
          </w:p>
        </w:tc>
        <w:tc>
          <w:tcPr>
            <w:tcW w:w="1519" w:type="dxa"/>
          </w:tcPr>
          <w:p w:rsidR="007C5447" w:rsidRDefault="00F6308C">
            <w:pPr>
              <w:pStyle w:val="TableParagraph"/>
              <w:spacing w:before="14" w:line="224" w:lineRule="exact"/>
              <w:ind w:right="95"/>
              <w:rPr>
                <w:sz w:val="20"/>
              </w:rPr>
            </w:pPr>
            <w:r>
              <w:rPr>
                <w:w w:val="95"/>
                <w:sz w:val="20"/>
              </w:rPr>
              <w:t>3,405</w:t>
            </w:r>
          </w:p>
        </w:tc>
        <w:tc>
          <w:tcPr>
            <w:tcW w:w="1519" w:type="dxa"/>
          </w:tcPr>
          <w:p w:rsidR="007C5447" w:rsidRDefault="00F6308C">
            <w:pPr>
              <w:pStyle w:val="TableParagraph"/>
              <w:spacing w:before="14" w:line="224" w:lineRule="exact"/>
              <w:ind w:right="95"/>
              <w:rPr>
                <w:sz w:val="20"/>
              </w:rPr>
            </w:pPr>
            <w:r>
              <w:rPr>
                <w:w w:val="95"/>
                <w:sz w:val="20"/>
              </w:rPr>
              <w:t>3,285</w:t>
            </w:r>
          </w:p>
        </w:tc>
        <w:tc>
          <w:tcPr>
            <w:tcW w:w="1522" w:type="dxa"/>
          </w:tcPr>
          <w:p w:rsidR="007C5447" w:rsidRDefault="00F6308C">
            <w:pPr>
              <w:pStyle w:val="TableParagraph"/>
              <w:spacing w:before="14" w:line="224" w:lineRule="exact"/>
              <w:ind w:right="98"/>
              <w:rPr>
                <w:sz w:val="20"/>
              </w:rPr>
            </w:pPr>
            <w:r>
              <w:rPr>
                <w:w w:val="95"/>
                <w:sz w:val="20"/>
              </w:rPr>
              <w:t>3,200</w:t>
            </w:r>
          </w:p>
        </w:tc>
        <w:tc>
          <w:tcPr>
            <w:tcW w:w="1519" w:type="dxa"/>
          </w:tcPr>
          <w:p w:rsidR="007C5447" w:rsidRDefault="00F6308C">
            <w:pPr>
              <w:pStyle w:val="TableParagraph"/>
              <w:spacing w:before="14" w:line="224" w:lineRule="exact"/>
              <w:ind w:right="95"/>
              <w:rPr>
                <w:sz w:val="20"/>
              </w:rPr>
            </w:pPr>
            <w:r>
              <w:rPr>
                <w:w w:val="95"/>
                <w:sz w:val="20"/>
              </w:rPr>
              <w:t>3,200</w:t>
            </w:r>
          </w:p>
        </w:tc>
      </w:tr>
      <w:tr w:rsidR="007C5447">
        <w:trPr>
          <w:trHeight w:val="261"/>
        </w:trPr>
        <w:tc>
          <w:tcPr>
            <w:tcW w:w="960" w:type="dxa"/>
          </w:tcPr>
          <w:p w:rsidR="007C5447" w:rsidRDefault="00F6308C">
            <w:pPr>
              <w:pStyle w:val="TableParagraph"/>
              <w:spacing w:before="14" w:line="227" w:lineRule="exact"/>
              <w:ind w:left="161" w:right="152"/>
              <w:jc w:val="center"/>
              <w:rPr>
                <w:sz w:val="20"/>
              </w:rPr>
            </w:pPr>
            <w:r>
              <w:rPr>
                <w:sz w:val="20"/>
              </w:rPr>
              <w:t>11</w:t>
            </w:r>
          </w:p>
        </w:tc>
        <w:tc>
          <w:tcPr>
            <w:tcW w:w="2959" w:type="dxa"/>
          </w:tcPr>
          <w:p w:rsidR="007C5447" w:rsidRDefault="00F6308C">
            <w:pPr>
              <w:pStyle w:val="TableParagraph"/>
              <w:spacing w:before="14" w:line="227" w:lineRule="exact"/>
              <w:ind w:left="108"/>
              <w:jc w:val="left"/>
              <w:rPr>
                <w:sz w:val="20"/>
              </w:rPr>
            </w:pPr>
            <w:r>
              <w:rPr>
                <w:sz w:val="20"/>
              </w:rPr>
              <w:t>GCV of Secondary Fuel</w:t>
            </w:r>
          </w:p>
        </w:tc>
        <w:tc>
          <w:tcPr>
            <w:tcW w:w="1320" w:type="dxa"/>
          </w:tcPr>
          <w:p w:rsidR="007C5447" w:rsidRDefault="00F6308C">
            <w:pPr>
              <w:pStyle w:val="TableParagraph"/>
              <w:spacing w:before="14" w:line="227" w:lineRule="exact"/>
              <w:ind w:left="109"/>
              <w:jc w:val="left"/>
              <w:rPr>
                <w:sz w:val="20"/>
              </w:rPr>
            </w:pPr>
            <w:r>
              <w:rPr>
                <w:sz w:val="20"/>
              </w:rPr>
              <w:t>kcal/l</w:t>
            </w:r>
          </w:p>
        </w:tc>
        <w:tc>
          <w:tcPr>
            <w:tcW w:w="1521" w:type="dxa"/>
          </w:tcPr>
          <w:p w:rsidR="007C5447" w:rsidRDefault="00F6308C">
            <w:pPr>
              <w:pStyle w:val="TableParagraph"/>
              <w:spacing w:before="14" w:line="227" w:lineRule="exact"/>
              <w:ind w:right="98"/>
              <w:rPr>
                <w:sz w:val="20"/>
              </w:rPr>
            </w:pPr>
            <w:r>
              <w:rPr>
                <w:w w:val="95"/>
                <w:sz w:val="20"/>
              </w:rPr>
              <w:t>10,560</w:t>
            </w:r>
          </w:p>
        </w:tc>
        <w:tc>
          <w:tcPr>
            <w:tcW w:w="1519" w:type="dxa"/>
          </w:tcPr>
          <w:p w:rsidR="007C5447" w:rsidRDefault="00F6308C">
            <w:pPr>
              <w:pStyle w:val="TableParagraph"/>
              <w:spacing w:before="14" w:line="227" w:lineRule="exact"/>
              <w:ind w:right="95"/>
              <w:rPr>
                <w:sz w:val="20"/>
              </w:rPr>
            </w:pPr>
            <w:r>
              <w:rPr>
                <w:w w:val="95"/>
                <w:sz w:val="20"/>
              </w:rPr>
              <w:t>10,640</w:t>
            </w:r>
          </w:p>
        </w:tc>
        <w:tc>
          <w:tcPr>
            <w:tcW w:w="1519" w:type="dxa"/>
          </w:tcPr>
          <w:p w:rsidR="007C5447" w:rsidRDefault="00F6308C">
            <w:pPr>
              <w:pStyle w:val="TableParagraph"/>
              <w:spacing w:before="14" w:line="227" w:lineRule="exact"/>
              <w:ind w:right="95"/>
              <w:rPr>
                <w:sz w:val="20"/>
              </w:rPr>
            </w:pPr>
            <w:r>
              <w:rPr>
                <w:w w:val="95"/>
                <w:sz w:val="20"/>
              </w:rPr>
              <w:t>10,575</w:t>
            </w:r>
          </w:p>
        </w:tc>
        <w:tc>
          <w:tcPr>
            <w:tcW w:w="1522" w:type="dxa"/>
          </w:tcPr>
          <w:p w:rsidR="007C5447" w:rsidRDefault="00F6308C">
            <w:pPr>
              <w:pStyle w:val="TableParagraph"/>
              <w:spacing w:before="14" w:line="227" w:lineRule="exact"/>
              <w:ind w:right="98"/>
              <w:rPr>
                <w:sz w:val="20"/>
              </w:rPr>
            </w:pPr>
            <w:r>
              <w:rPr>
                <w:w w:val="95"/>
                <w:sz w:val="20"/>
              </w:rPr>
              <w:t>10,565</w:t>
            </w:r>
          </w:p>
        </w:tc>
        <w:tc>
          <w:tcPr>
            <w:tcW w:w="1519" w:type="dxa"/>
          </w:tcPr>
          <w:p w:rsidR="007C5447" w:rsidRDefault="00F6308C">
            <w:pPr>
              <w:pStyle w:val="TableParagraph"/>
              <w:spacing w:before="14" w:line="227" w:lineRule="exact"/>
              <w:ind w:right="95"/>
              <w:rPr>
                <w:sz w:val="20"/>
              </w:rPr>
            </w:pPr>
            <w:r>
              <w:rPr>
                <w:w w:val="95"/>
                <w:sz w:val="20"/>
              </w:rPr>
              <w:t>10,515</w:t>
            </w:r>
          </w:p>
        </w:tc>
      </w:tr>
      <w:tr w:rsidR="007C5447">
        <w:trPr>
          <w:trHeight w:val="258"/>
        </w:trPr>
        <w:tc>
          <w:tcPr>
            <w:tcW w:w="960" w:type="dxa"/>
          </w:tcPr>
          <w:p w:rsidR="007C5447" w:rsidRDefault="00F6308C">
            <w:pPr>
              <w:pStyle w:val="TableParagraph"/>
              <w:spacing w:before="14" w:line="224" w:lineRule="exact"/>
              <w:ind w:left="161" w:right="152"/>
              <w:jc w:val="center"/>
              <w:rPr>
                <w:sz w:val="20"/>
              </w:rPr>
            </w:pPr>
            <w:r>
              <w:rPr>
                <w:sz w:val="20"/>
              </w:rPr>
              <w:t>12</w:t>
            </w:r>
          </w:p>
        </w:tc>
        <w:tc>
          <w:tcPr>
            <w:tcW w:w="2959" w:type="dxa"/>
          </w:tcPr>
          <w:p w:rsidR="007C5447" w:rsidRDefault="00F6308C">
            <w:pPr>
              <w:pStyle w:val="TableParagraph"/>
              <w:spacing w:before="14" w:line="224" w:lineRule="exact"/>
              <w:ind w:left="108"/>
              <w:jc w:val="left"/>
              <w:rPr>
                <w:sz w:val="20"/>
              </w:rPr>
            </w:pPr>
            <w:r>
              <w:rPr>
                <w:sz w:val="20"/>
              </w:rPr>
              <w:t>Price of Coal</w:t>
            </w:r>
          </w:p>
        </w:tc>
        <w:tc>
          <w:tcPr>
            <w:tcW w:w="1320" w:type="dxa"/>
          </w:tcPr>
          <w:p w:rsidR="007C5447" w:rsidRDefault="00F6308C">
            <w:pPr>
              <w:pStyle w:val="TableParagraph"/>
              <w:spacing w:before="14" w:line="224" w:lineRule="exact"/>
              <w:ind w:left="109"/>
              <w:jc w:val="left"/>
              <w:rPr>
                <w:sz w:val="20"/>
              </w:rPr>
            </w:pPr>
            <w:r>
              <w:rPr>
                <w:sz w:val="20"/>
              </w:rPr>
              <w:t>Rs/MT</w:t>
            </w:r>
          </w:p>
        </w:tc>
        <w:tc>
          <w:tcPr>
            <w:tcW w:w="1521" w:type="dxa"/>
          </w:tcPr>
          <w:p w:rsidR="007C5447" w:rsidRDefault="00F6308C">
            <w:pPr>
              <w:pStyle w:val="TableParagraph"/>
              <w:spacing w:before="14" w:line="224" w:lineRule="exact"/>
              <w:ind w:right="98"/>
              <w:rPr>
                <w:sz w:val="20"/>
              </w:rPr>
            </w:pPr>
            <w:r>
              <w:rPr>
                <w:w w:val="95"/>
                <w:sz w:val="20"/>
              </w:rPr>
              <w:t>4,040</w:t>
            </w:r>
          </w:p>
        </w:tc>
        <w:tc>
          <w:tcPr>
            <w:tcW w:w="1519" w:type="dxa"/>
          </w:tcPr>
          <w:p w:rsidR="007C5447" w:rsidRDefault="00F6308C">
            <w:pPr>
              <w:pStyle w:val="TableParagraph"/>
              <w:spacing w:before="14" w:line="224" w:lineRule="exact"/>
              <w:ind w:right="95"/>
              <w:rPr>
                <w:sz w:val="20"/>
              </w:rPr>
            </w:pPr>
            <w:r>
              <w:rPr>
                <w:w w:val="95"/>
                <w:sz w:val="20"/>
              </w:rPr>
              <w:t>3,679</w:t>
            </w:r>
          </w:p>
        </w:tc>
        <w:tc>
          <w:tcPr>
            <w:tcW w:w="1519" w:type="dxa"/>
          </w:tcPr>
          <w:p w:rsidR="007C5447" w:rsidRDefault="00F6308C">
            <w:pPr>
              <w:pStyle w:val="TableParagraph"/>
              <w:spacing w:before="14" w:line="224" w:lineRule="exact"/>
              <w:ind w:right="95"/>
              <w:rPr>
                <w:sz w:val="20"/>
              </w:rPr>
            </w:pPr>
            <w:r>
              <w:rPr>
                <w:w w:val="95"/>
                <w:sz w:val="20"/>
              </w:rPr>
              <w:t>3,805</w:t>
            </w:r>
          </w:p>
        </w:tc>
        <w:tc>
          <w:tcPr>
            <w:tcW w:w="1522" w:type="dxa"/>
          </w:tcPr>
          <w:p w:rsidR="007C5447" w:rsidRDefault="00F6308C">
            <w:pPr>
              <w:pStyle w:val="TableParagraph"/>
              <w:spacing w:before="14" w:line="224" w:lineRule="exact"/>
              <w:ind w:right="98"/>
              <w:rPr>
                <w:sz w:val="20"/>
              </w:rPr>
            </w:pPr>
            <w:r>
              <w:rPr>
                <w:w w:val="95"/>
                <w:sz w:val="20"/>
              </w:rPr>
              <w:t>4,163</w:t>
            </w:r>
          </w:p>
        </w:tc>
        <w:tc>
          <w:tcPr>
            <w:tcW w:w="1519" w:type="dxa"/>
          </w:tcPr>
          <w:p w:rsidR="007C5447" w:rsidRDefault="00F6308C">
            <w:pPr>
              <w:pStyle w:val="TableParagraph"/>
              <w:spacing w:before="14" w:line="224" w:lineRule="exact"/>
              <w:ind w:right="95"/>
              <w:rPr>
                <w:sz w:val="20"/>
              </w:rPr>
            </w:pPr>
            <w:r>
              <w:rPr>
                <w:w w:val="95"/>
                <w:sz w:val="20"/>
              </w:rPr>
              <w:t>3,795</w:t>
            </w:r>
          </w:p>
        </w:tc>
      </w:tr>
      <w:tr w:rsidR="007C5447">
        <w:trPr>
          <w:trHeight w:val="261"/>
        </w:trPr>
        <w:tc>
          <w:tcPr>
            <w:tcW w:w="960" w:type="dxa"/>
          </w:tcPr>
          <w:p w:rsidR="007C5447" w:rsidRDefault="00F6308C">
            <w:pPr>
              <w:pStyle w:val="TableParagraph"/>
              <w:spacing w:before="14" w:line="227" w:lineRule="exact"/>
              <w:ind w:left="161" w:right="152"/>
              <w:jc w:val="center"/>
              <w:rPr>
                <w:sz w:val="20"/>
              </w:rPr>
            </w:pPr>
            <w:r>
              <w:rPr>
                <w:sz w:val="20"/>
              </w:rPr>
              <w:t>13</w:t>
            </w:r>
          </w:p>
        </w:tc>
        <w:tc>
          <w:tcPr>
            <w:tcW w:w="2959" w:type="dxa"/>
          </w:tcPr>
          <w:p w:rsidR="007C5447" w:rsidRDefault="00F6308C">
            <w:pPr>
              <w:pStyle w:val="TableParagraph"/>
              <w:spacing w:before="14" w:line="227" w:lineRule="exact"/>
              <w:ind w:left="108"/>
              <w:jc w:val="left"/>
              <w:rPr>
                <w:sz w:val="20"/>
              </w:rPr>
            </w:pPr>
            <w:r>
              <w:rPr>
                <w:sz w:val="20"/>
              </w:rPr>
              <w:t>Price of Oil</w:t>
            </w:r>
          </w:p>
        </w:tc>
        <w:tc>
          <w:tcPr>
            <w:tcW w:w="1320" w:type="dxa"/>
          </w:tcPr>
          <w:p w:rsidR="007C5447" w:rsidRDefault="00F6308C">
            <w:pPr>
              <w:pStyle w:val="TableParagraph"/>
              <w:spacing w:before="14" w:line="227" w:lineRule="exact"/>
              <w:ind w:left="109"/>
              <w:jc w:val="left"/>
              <w:rPr>
                <w:sz w:val="20"/>
              </w:rPr>
            </w:pPr>
            <w:r>
              <w:rPr>
                <w:sz w:val="20"/>
              </w:rPr>
              <w:t>Rs/kL</w:t>
            </w:r>
          </w:p>
        </w:tc>
        <w:tc>
          <w:tcPr>
            <w:tcW w:w="1521" w:type="dxa"/>
          </w:tcPr>
          <w:p w:rsidR="007C5447" w:rsidRDefault="00F6308C">
            <w:pPr>
              <w:pStyle w:val="TableParagraph"/>
              <w:spacing w:before="14" w:line="227" w:lineRule="exact"/>
              <w:ind w:right="98"/>
              <w:rPr>
                <w:sz w:val="20"/>
              </w:rPr>
            </w:pPr>
            <w:r>
              <w:rPr>
                <w:w w:val="95"/>
                <w:sz w:val="20"/>
              </w:rPr>
              <w:t>40,945</w:t>
            </w:r>
          </w:p>
        </w:tc>
        <w:tc>
          <w:tcPr>
            <w:tcW w:w="1519" w:type="dxa"/>
          </w:tcPr>
          <w:p w:rsidR="007C5447" w:rsidRDefault="00F6308C">
            <w:pPr>
              <w:pStyle w:val="TableParagraph"/>
              <w:spacing w:before="14" w:line="227" w:lineRule="exact"/>
              <w:ind w:right="95"/>
              <w:rPr>
                <w:sz w:val="20"/>
              </w:rPr>
            </w:pPr>
            <w:r>
              <w:rPr>
                <w:w w:val="95"/>
                <w:sz w:val="20"/>
              </w:rPr>
              <w:t>48,180</w:t>
            </w:r>
          </w:p>
        </w:tc>
        <w:tc>
          <w:tcPr>
            <w:tcW w:w="1519" w:type="dxa"/>
          </w:tcPr>
          <w:p w:rsidR="007C5447" w:rsidRDefault="00F6308C">
            <w:pPr>
              <w:pStyle w:val="TableParagraph"/>
              <w:spacing w:before="14" w:line="227" w:lineRule="exact"/>
              <w:ind w:right="95"/>
              <w:rPr>
                <w:sz w:val="20"/>
              </w:rPr>
            </w:pPr>
            <w:r>
              <w:rPr>
                <w:w w:val="95"/>
                <w:sz w:val="20"/>
              </w:rPr>
              <w:t>50,357</w:t>
            </w:r>
          </w:p>
        </w:tc>
        <w:tc>
          <w:tcPr>
            <w:tcW w:w="1522" w:type="dxa"/>
          </w:tcPr>
          <w:p w:rsidR="007C5447" w:rsidRDefault="00F6308C">
            <w:pPr>
              <w:pStyle w:val="TableParagraph"/>
              <w:spacing w:before="14" w:line="227" w:lineRule="exact"/>
              <w:ind w:right="98"/>
              <w:rPr>
                <w:sz w:val="20"/>
              </w:rPr>
            </w:pPr>
            <w:r>
              <w:rPr>
                <w:w w:val="95"/>
                <w:sz w:val="20"/>
              </w:rPr>
              <w:t>40,030</w:t>
            </w:r>
          </w:p>
        </w:tc>
        <w:tc>
          <w:tcPr>
            <w:tcW w:w="1519" w:type="dxa"/>
          </w:tcPr>
          <w:p w:rsidR="007C5447" w:rsidRDefault="00F6308C">
            <w:pPr>
              <w:pStyle w:val="TableParagraph"/>
              <w:spacing w:before="14" w:line="227" w:lineRule="exact"/>
              <w:ind w:right="95"/>
              <w:rPr>
                <w:sz w:val="20"/>
              </w:rPr>
            </w:pPr>
            <w:r>
              <w:rPr>
                <w:w w:val="95"/>
                <w:sz w:val="20"/>
              </w:rPr>
              <w:t>40,030</w:t>
            </w:r>
          </w:p>
        </w:tc>
      </w:tr>
      <w:tr w:rsidR="007C5447">
        <w:trPr>
          <w:trHeight w:val="259"/>
        </w:trPr>
        <w:tc>
          <w:tcPr>
            <w:tcW w:w="960" w:type="dxa"/>
            <w:shd w:val="clear" w:color="auto" w:fill="ECECEC"/>
          </w:tcPr>
          <w:p w:rsidR="007C5447" w:rsidRDefault="007C5447">
            <w:pPr>
              <w:pStyle w:val="TableParagraph"/>
              <w:jc w:val="left"/>
              <w:rPr>
                <w:sz w:val="18"/>
              </w:rPr>
            </w:pPr>
          </w:p>
        </w:tc>
        <w:tc>
          <w:tcPr>
            <w:tcW w:w="2959" w:type="dxa"/>
            <w:shd w:val="clear" w:color="auto" w:fill="ECECEC"/>
          </w:tcPr>
          <w:p w:rsidR="007C5447" w:rsidRDefault="00F6308C">
            <w:pPr>
              <w:pStyle w:val="TableParagraph"/>
              <w:spacing w:before="15" w:line="224" w:lineRule="exact"/>
              <w:ind w:left="108"/>
              <w:jc w:val="left"/>
              <w:rPr>
                <w:b/>
                <w:sz w:val="20"/>
              </w:rPr>
            </w:pPr>
            <w:r>
              <w:rPr>
                <w:b/>
                <w:sz w:val="20"/>
              </w:rPr>
              <w:t>Calculations</w:t>
            </w:r>
          </w:p>
        </w:tc>
        <w:tc>
          <w:tcPr>
            <w:tcW w:w="1320" w:type="dxa"/>
            <w:shd w:val="clear" w:color="auto" w:fill="ECECEC"/>
          </w:tcPr>
          <w:p w:rsidR="007C5447" w:rsidRDefault="007C5447">
            <w:pPr>
              <w:pStyle w:val="TableParagraph"/>
              <w:jc w:val="left"/>
              <w:rPr>
                <w:sz w:val="18"/>
              </w:rPr>
            </w:pPr>
          </w:p>
        </w:tc>
        <w:tc>
          <w:tcPr>
            <w:tcW w:w="1521" w:type="dxa"/>
            <w:shd w:val="clear" w:color="auto" w:fill="ECECEC"/>
          </w:tcPr>
          <w:p w:rsidR="007C5447" w:rsidRDefault="007C5447">
            <w:pPr>
              <w:pStyle w:val="TableParagraph"/>
              <w:jc w:val="left"/>
              <w:rPr>
                <w:sz w:val="18"/>
              </w:rPr>
            </w:pPr>
          </w:p>
        </w:tc>
        <w:tc>
          <w:tcPr>
            <w:tcW w:w="1519" w:type="dxa"/>
            <w:shd w:val="clear" w:color="auto" w:fill="ECECEC"/>
          </w:tcPr>
          <w:p w:rsidR="007C5447" w:rsidRDefault="007C5447">
            <w:pPr>
              <w:pStyle w:val="TableParagraph"/>
              <w:jc w:val="left"/>
              <w:rPr>
                <w:sz w:val="18"/>
              </w:rPr>
            </w:pPr>
          </w:p>
        </w:tc>
        <w:tc>
          <w:tcPr>
            <w:tcW w:w="1519" w:type="dxa"/>
            <w:shd w:val="clear" w:color="auto" w:fill="ECECEC"/>
          </w:tcPr>
          <w:p w:rsidR="007C5447" w:rsidRDefault="007C5447">
            <w:pPr>
              <w:pStyle w:val="TableParagraph"/>
              <w:jc w:val="left"/>
              <w:rPr>
                <w:sz w:val="18"/>
              </w:rPr>
            </w:pPr>
          </w:p>
        </w:tc>
        <w:tc>
          <w:tcPr>
            <w:tcW w:w="1522" w:type="dxa"/>
            <w:shd w:val="clear" w:color="auto" w:fill="ECECEC"/>
          </w:tcPr>
          <w:p w:rsidR="007C5447" w:rsidRDefault="007C5447">
            <w:pPr>
              <w:pStyle w:val="TableParagraph"/>
              <w:jc w:val="left"/>
              <w:rPr>
                <w:sz w:val="18"/>
              </w:rPr>
            </w:pPr>
          </w:p>
        </w:tc>
        <w:tc>
          <w:tcPr>
            <w:tcW w:w="1519" w:type="dxa"/>
            <w:shd w:val="clear" w:color="auto" w:fill="ECECEC"/>
          </w:tcPr>
          <w:p w:rsidR="007C5447" w:rsidRDefault="007C5447">
            <w:pPr>
              <w:pStyle w:val="TableParagraph"/>
              <w:jc w:val="left"/>
              <w:rPr>
                <w:sz w:val="18"/>
              </w:rPr>
            </w:pPr>
          </w:p>
        </w:tc>
      </w:tr>
      <w:tr w:rsidR="007C5447">
        <w:trPr>
          <w:trHeight w:val="261"/>
        </w:trPr>
        <w:tc>
          <w:tcPr>
            <w:tcW w:w="960" w:type="dxa"/>
          </w:tcPr>
          <w:p w:rsidR="007C5447" w:rsidRDefault="00F6308C">
            <w:pPr>
              <w:pStyle w:val="TableParagraph"/>
              <w:spacing w:before="14" w:line="227" w:lineRule="exact"/>
              <w:ind w:left="161" w:right="152"/>
              <w:jc w:val="center"/>
              <w:rPr>
                <w:sz w:val="20"/>
              </w:rPr>
            </w:pPr>
            <w:r>
              <w:rPr>
                <w:sz w:val="20"/>
              </w:rPr>
              <w:t>14</w:t>
            </w:r>
          </w:p>
        </w:tc>
        <w:tc>
          <w:tcPr>
            <w:tcW w:w="2959" w:type="dxa"/>
          </w:tcPr>
          <w:p w:rsidR="007C5447" w:rsidRDefault="00F6308C">
            <w:pPr>
              <w:pStyle w:val="TableParagraph"/>
              <w:spacing w:before="14" w:line="227" w:lineRule="exact"/>
              <w:ind w:left="108"/>
              <w:jc w:val="left"/>
              <w:rPr>
                <w:sz w:val="20"/>
              </w:rPr>
            </w:pPr>
            <w:r>
              <w:rPr>
                <w:sz w:val="20"/>
              </w:rPr>
              <w:t>Total Heat from Coal and Oil</w:t>
            </w:r>
          </w:p>
        </w:tc>
        <w:tc>
          <w:tcPr>
            <w:tcW w:w="1320" w:type="dxa"/>
          </w:tcPr>
          <w:p w:rsidR="007C5447" w:rsidRDefault="00F6308C">
            <w:pPr>
              <w:pStyle w:val="TableParagraph"/>
              <w:spacing w:before="14" w:line="227" w:lineRule="exact"/>
              <w:ind w:left="109"/>
              <w:jc w:val="left"/>
              <w:rPr>
                <w:sz w:val="20"/>
              </w:rPr>
            </w:pPr>
            <w:r>
              <w:rPr>
                <w:sz w:val="20"/>
              </w:rPr>
              <w:t>MKCL</w:t>
            </w:r>
          </w:p>
        </w:tc>
        <w:tc>
          <w:tcPr>
            <w:tcW w:w="1521" w:type="dxa"/>
          </w:tcPr>
          <w:p w:rsidR="007C5447" w:rsidRDefault="00F6308C">
            <w:pPr>
              <w:pStyle w:val="TableParagraph"/>
              <w:spacing w:before="14" w:line="227" w:lineRule="exact"/>
              <w:ind w:right="99"/>
              <w:rPr>
                <w:sz w:val="20"/>
              </w:rPr>
            </w:pPr>
            <w:r>
              <w:rPr>
                <w:w w:val="95"/>
                <w:sz w:val="20"/>
              </w:rPr>
              <w:t>1,93,66,580</w:t>
            </w:r>
          </w:p>
        </w:tc>
        <w:tc>
          <w:tcPr>
            <w:tcW w:w="1519" w:type="dxa"/>
          </w:tcPr>
          <w:p w:rsidR="007C5447" w:rsidRDefault="00F6308C">
            <w:pPr>
              <w:pStyle w:val="TableParagraph"/>
              <w:spacing w:before="14" w:line="227" w:lineRule="exact"/>
              <w:ind w:right="97"/>
              <w:rPr>
                <w:sz w:val="20"/>
              </w:rPr>
            </w:pPr>
            <w:r>
              <w:rPr>
                <w:w w:val="95"/>
                <w:sz w:val="20"/>
              </w:rPr>
              <w:t>2,03,15,450</w:t>
            </w:r>
          </w:p>
        </w:tc>
        <w:tc>
          <w:tcPr>
            <w:tcW w:w="1519" w:type="dxa"/>
          </w:tcPr>
          <w:p w:rsidR="007C5447" w:rsidRDefault="00F6308C">
            <w:pPr>
              <w:pStyle w:val="TableParagraph"/>
              <w:spacing w:before="14" w:line="227" w:lineRule="exact"/>
              <w:ind w:right="96"/>
              <w:rPr>
                <w:sz w:val="20"/>
              </w:rPr>
            </w:pPr>
            <w:r>
              <w:rPr>
                <w:w w:val="95"/>
                <w:sz w:val="20"/>
              </w:rPr>
              <w:t>1,93,58,791</w:t>
            </w:r>
          </w:p>
        </w:tc>
        <w:tc>
          <w:tcPr>
            <w:tcW w:w="1522" w:type="dxa"/>
          </w:tcPr>
          <w:p w:rsidR="007C5447" w:rsidRDefault="00F6308C">
            <w:pPr>
              <w:pStyle w:val="TableParagraph"/>
              <w:spacing w:before="14" w:line="227" w:lineRule="exact"/>
              <w:ind w:right="99"/>
              <w:rPr>
                <w:sz w:val="20"/>
              </w:rPr>
            </w:pPr>
            <w:r>
              <w:rPr>
                <w:w w:val="95"/>
                <w:sz w:val="20"/>
              </w:rPr>
              <w:t>1,88,21,869</w:t>
            </w:r>
          </w:p>
        </w:tc>
        <w:tc>
          <w:tcPr>
            <w:tcW w:w="1519" w:type="dxa"/>
          </w:tcPr>
          <w:p w:rsidR="007C5447" w:rsidRDefault="00F6308C">
            <w:pPr>
              <w:pStyle w:val="TableParagraph"/>
              <w:spacing w:before="14" w:line="227" w:lineRule="exact"/>
              <w:ind w:right="96"/>
              <w:rPr>
                <w:sz w:val="20"/>
              </w:rPr>
            </w:pPr>
            <w:r>
              <w:rPr>
                <w:w w:val="95"/>
                <w:sz w:val="20"/>
              </w:rPr>
              <w:t>1,74,20,897</w:t>
            </w:r>
          </w:p>
        </w:tc>
      </w:tr>
      <w:tr w:rsidR="007C5447">
        <w:trPr>
          <w:trHeight w:val="258"/>
        </w:trPr>
        <w:tc>
          <w:tcPr>
            <w:tcW w:w="960" w:type="dxa"/>
          </w:tcPr>
          <w:p w:rsidR="007C5447" w:rsidRDefault="00F6308C">
            <w:pPr>
              <w:pStyle w:val="TableParagraph"/>
              <w:spacing w:before="14" w:line="224" w:lineRule="exact"/>
              <w:ind w:left="161" w:right="152"/>
              <w:jc w:val="center"/>
              <w:rPr>
                <w:sz w:val="20"/>
              </w:rPr>
            </w:pPr>
            <w:r>
              <w:rPr>
                <w:sz w:val="20"/>
              </w:rPr>
              <w:t>15</w:t>
            </w:r>
          </w:p>
        </w:tc>
        <w:tc>
          <w:tcPr>
            <w:tcW w:w="2959" w:type="dxa"/>
          </w:tcPr>
          <w:p w:rsidR="007C5447" w:rsidRDefault="00F6308C">
            <w:pPr>
              <w:pStyle w:val="TableParagraph"/>
              <w:spacing w:before="14" w:line="224" w:lineRule="exact"/>
              <w:ind w:left="108"/>
              <w:jc w:val="left"/>
              <w:rPr>
                <w:sz w:val="20"/>
              </w:rPr>
            </w:pPr>
            <w:r>
              <w:rPr>
                <w:sz w:val="20"/>
              </w:rPr>
              <w:t>Heat from Coal</w:t>
            </w:r>
          </w:p>
        </w:tc>
        <w:tc>
          <w:tcPr>
            <w:tcW w:w="1320" w:type="dxa"/>
          </w:tcPr>
          <w:p w:rsidR="007C5447" w:rsidRDefault="00F6308C">
            <w:pPr>
              <w:pStyle w:val="TableParagraph"/>
              <w:spacing w:before="14" w:line="224" w:lineRule="exact"/>
              <w:ind w:left="109"/>
              <w:jc w:val="left"/>
              <w:rPr>
                <w:sz w:val="20"/>
              </w:rPr>
            </w:pPr>
            <w:r>
              <w:rPr>
                <w:sz w:val="20"/>
              </w:rPr>
              <w:t>MKCL</w:t>
            </w:r>
          </w:p>
        </w:tc>
        <w:tc>
          <w:tcPr>
            <w:tcW w:w="1521" w:type="dxa"/>
          </w:tcPr>
          <w:p w:rsidR="007C5447" w:rsidRDefault="00F6308C">
            <w:pPr>
              <w:pStyle w:val="TableParagraph"/>
              <w:spacing w:before="14" w:line="224" w:lineRule="exact"/>
              <w:ind w:right="99"/>
              <w:rPr>
                <w:sz w:val="20"/>
              </w:rPr>
            </w:pPr>
            <w:r>
              <w:rPr>
                <w:w w:val="95"/>
                <w:sz w:val="20"/>
              </w:rPr>
              <w:t>1,92,06,506</w:t>
            </w:r>
          </w:p>
        </w:tc>
        <w:tc>
          <w:tcPr>
            <w:tcW w:w="1519" w:type="dxa"/>
          </w:tcPr>
          <w:p w:rsidR="007C5447" w:rsidRDefault="00F6308C">
            <w:pPr>
              <w:pStyle w:val="TableParagraph"/>
              <w:spacing w:before="14" w:line="224" w:lineRule="exact"/>
              <w:ind w:right="97"/>
              <w:rPr>
                <w:sz w:val="20"/>
              </w:rPr>
            </w:pPr>
            <w:r>
              <w:rPr>
                <w:w w:val="95"/>
                <w:sz w:val="20"/>
              </w:rPr>
              <w:t>2,02,36,142</w:t>
            </w:r>
          </w:p>
        </w:tc>
        <w:tc>
          <w:tcPr>
            <w:tcW w:w="1519" w:type="dxa"/>
          </w:tcPr>
          <w:p w:rsidR="007C5447" w:rsidRDefault="00F6308C">
            <w:pPr>
              <w:pStyle w:val="TableParagraph"/>
              <w:spacing w:before="14" w:line="224" w:lineRule="exact"/>
              <w:ind w:right="96"/>
              <w:rPr>
                <w:sz w:val="20"/>
              </w:rPr>
            </w:pPr>
            <w:r>
              <w:rPr>
                <w:w w:val="95"/>
                <w:sz w:val="20"/>
              </w:rPr>
              <w:t>1,92,99,259</w:t>
            </w:r>
          </w:p>
        </w:tc>
        <w:tc>
          <w:tcPr>
            <w:tcW w:w="1522" w:type="dxa"/>
          </w:tcPr>
          <w:p w:rsidR="007C5447" w:rsidRDefault="00F6308C">
            <w:pPr>
              <w:pStyle w:val="TableParagraph"/>
              <w:spacing w:before="14" w:line="224" w:lineRule="exact"/>
              <w:ind w:right="99"/>
              <w:rPr>
                <w:sz w:val="20"/>
              </w:rPr>
            </w:pPr>
            <w:r>
              <w:rPr>
                <w:w w:val="95"/>
                <w:sz w:val="20"/>
              </w:rPr>
              <w:t>1,86,28,123</w:t>
            </w:r>
          </w:p>
        </w:tc>
        <w:tc>
          <w:tcPr>
            <w:tcW w:w="1519" w:type="dxa"/>
          </w:tcPr>
          <w:p w:rsidR="007C5447" w:rsidRDefault="00F6308C">
            <w:pPr>
              <w:pStyle w:val="TableParagraph"/>
              <w:spacing w:before="14" w:line="224" w:lineRule="exact"/>
              <w:ind w:right="96"/>
              <w:rPr>
                <w:sz w:val="20"/>
              </w:rPr>
            </w:pPr>
            <w:r>
              <w:rPr>
                <w:w w:val="95"/>
                <w:sz w:val="20"/>
              </w:rPr>
              <w:t>1,72,42,421</w:t>
            </w:r>
          </w:p>
        </w:tc>
      </w:tr>
      <w:tr w:rsidR="007C5447">
        <w:trPr>
          <w:trHeight w:val="261"/>
        </w:trPr>
        <w:tc>
          <w:tcPr>
            <w:tcW w:w="960" w:type="dxa"/>
          </w:tcPr>
          <w:p w:rsidR="007C5447" w:rsidRDefault="00F6308C">
            <w:pPr>
              <w:pStyle w:val="TableParagraph"/>
              <w:spacing w:before="14" w:line="227" w:lineRule="exact"/>
              <w:ind w:left="161" w:right="152"/>
              <w:jc w:val="center"/>
              <w:rPr>
                <w:sz w:val="20"/>
              </w:rPr>
            </w:pPr>
            <w:r>
              <w:rPr>
                <w:sz w:val="20"/>
              </w:rPr>
              <w:t>16</w:t>
            </w:r>
          </w:p>
        </w:tc>
        <w:tc>
          <w:tcPr>
            <w:tcW w:w="2959" w:type="dxa"/>
          </w:tcPr>
          <w:p w:rsidR="007C5447" w:rsidRDefault="00F6308C">
            <w:pPr>
              <w:pStyle w:val="TableParagraph"/>
              <w:spacing w:before="14" w:line="227" w:lineRule="exact"/>
              <w:ind w:left="108"/>
              <w:jc w:val="left"/>
              <w:rPr>
                <w:sz w:val="20"/>
              </w:rPr>
            </w:pPr>
            <w:r>
              <w:rPr>
                <w:sz w:val="20"/>
              </w:rPr>
              <w:t>Heat from Oil</w:t>
            </w:r>
          </w:p>
        </w:tc>
        <w:tc>
          <w:tcPr>
            <w:tcW w:w="1320" w:type="dxa"/>
          </w:tcPr>
          <w:p w:rsidR="007C5447" w:rsidRDefault="00F6308C">
            <w:pPr>
              <w:pStyle w:val="TableParagraph"/>
              <w:spacing w:before="14" w:line="227" w:lineRule="exact"/>
              <w:ind w:left="109"/>
              <w:jc w:val="left"/>
              <w:rPr>
                <w:sz w:val="20"/>
              </w:rPr>
            </w:pPr>
            <w:r>
              <w:rPr>
                <w:sz w:val="20"/>
              </w:rPr>
              <w:t>MKCL</w:t>
            </w:r>
          </w:p>
        </w:tc>
        <w:tc>
          <w:tcPr>
            <w:tcW w:w="1521" w:type="dxa"/>
          </w:tcPr>
          <w:p w:rsidR="007C5447" w:rsidRDefault="00F6308C">
            <w:pPr>
              <w:pStyle w:val="TableParagraph"/>
              <w:spacing w:before="14" w:line="227" w:lineRule="exact"/>
              <w:ind w:right="96"/>
              <w:rPr>
                <w:sz w:val="20"/>
              </w:rPr>
            </w:pPr>
            <w:r>
              <w:rPr>
                <w:sz w:val="20"/>
              </w:rPr>
              <w:t>1,60,074</w:t>
            </w:r>
          </w:p>
        </w:tc>
        <w:tc>
          <w:tcPr>
            <w:tcW w:w="1519" w:type="dxa"/>
          </w:tcPr>
          <w:p w:rsidR="007C5447" w:rsidRDefault="00F6308C">
            <w:pPr>
              <w:pStyle w:val="TableParagraph"/>
              <w:spacing w:before="14" w:line="227" w:lineRule="exact"/>
              <w:ind w:right="95"/>
              <w:rPr>
                <w:sz w:val="20"/>
              </w:rPr>
            </w:pPr>
            <w:r>
              <w:rPr>
                <w:w w:val="95"/>
                <w:sz w:val="20"/>
              </w:rPr>
              <w:t>79,307</w:t>
            </w:r>
          </w:p>
        </w:tc>
        <w:tc>
          <w:tcPr>
            <w:tcW w:w="1519" w:type="dxa"/>
          </w:tcPr>
          <w:p w:rsidR="007C5447" w:rsidRDefault="00F6308C">
            <w:pPr>
              <w:pStyle w:val="TableParagraph"/>
              <w:spacing w:before="14" w:line="227" w:lineRule="exact"/>
              <w:ind w:right="95"/>
              <w:rPr>
                <w:sz w:val="20"/>
              </w:rPr>
            </w:pPr>
            <w:r>
              <w:rPr>
                <w:w w:val="95"/>
                <w:sz w:val="20"/>
              </w:rPr>
              <w:t>59,532</w:t>
            </w:r>
          </w:p>
        </w:tc>
        <w:tc>
          <w:tcPr>
            <w:tcW w:w="1522" w:type="dxa"/>
          </w:tcPr>
          <w:p w:rsidR="007C5447" w:rsidRDefault="00F6308C">
            <w:pPr>
              <w:pStyle w:val="TableParagraph"/>
              <w:spacing w:before="14" w:line="227" w:lineRule="exact"/>
              <w:ind w:right="95"/>
              <w:rPr>
                <w:sz w:val="20"/>
              </w:rPr>
            </w:pPr>
            <w:r>
              <w:rPr>
                <w:sz w:val="20"/>
              </w:rPr>
              <w:t>1,93,746</w:t>
            </w:r>
          </w:p>
        </w:tc>
        <w:tc>
          <w:tcPr>
            <w:tcW w:w="1519" w:type="dxa"/>
          </w:tcPr>
          <w:p w:rsidR="007C5447" w:rsidRDefault="00F6308C">
            <w:pPr>
              <w:pStyle w:val="TableParagraph"/>
              <w:spacing w:before="14" w:line="227" w:lineRule="exact"/>
              <w:ind w:right="93"/>
              <w:rPr>
                <w:sz w:val="20"/>
              </w:rPr>
            </w:pPr>
            <w:r>
              <w:rPr>
                <w:sz w:val="20"/>
              </w:rPr>
              <w:t>1,78,476</w:t>
            </w:r>
          </w:p>
        </w:tc>
      </w:tr>
      <w:tr w:rsidR="007C5447">
        <w:trPr>
          <w:trHeight w:val="258"/>
        </w:trPr>
        <w:tc>
          <w:tcPr>
            <w:tcW w:w="960" w:type="dxa"/>
          </w:tcPr>
          <w:p w:rsidR="007C5447" w:rsidRDefault="00F6308C">
            <w:pPr>
              <w:pStyle w:val="TableParagraph"/>
              <w:spacing w:before="14" w:line="224" w:lineRule="exact"/>
              <w:ind w:left="161" w:right="152"/>
              <w:jc w:val="center"/>
              <w:rPr>
                <w:sz w:val="20"/>
              </w:rPr>
            </w:pPr>
            <w:r>
              <w:rPr>
                <w:sz w:val="20"/>
              </w:rPr>
              <w:t>17</w:t>
            </w:r>
          </w:p>
        </w:tc>
        <w:tc>
          <w:tcPr>
            <w:tcW w:w="2959" w:type="dxa"/>
          </w:tcPr>
          <w:p w:rsidR="007C5447" w:rsidRDefault="00F6308C">
            <w:pPr>
              <w:pStyle w:val="TableParagraph"/>
              <w:spacing w:before="14" w:line="224" w:lineRule="exact"/>
              <w:ind w:left="108"/>
              <w:jc w:val="left"/>
              <w:rPr>
                <w:sz w:val="20"/>
              </w:rPr>
            </w:pPr>
            <w:r>
              <w:rPr>
                <w:sz w:val="20"/>
              </w:rPr>
              <w:t>Oil Consumed</w:t>
            </w:r>
          </w:p>
        </w:tc>
        <w:tc>
          <w:tcPr>
            <w:tcW w:w="1320" w:type="dxa"/>
          </w:tcPr>
          <w:p w:rsidR="007C5447" w:rsidRDefault="00F6308C">
            <w:pPr>
              <w:pStyle w:val="TableParagraph"/>
              <w:spacing w:before="14" w:line="224" w:lineRule="exact"/>
              <w:ind w:left="109"/>
              <w:jc w:val="left"/>
              <w:rPr>
                <w:sz w:val="20"/>
              </w:rPr>
            </w:pPr>
            <w:r>
              <w:rPr>
                <w:sz w:val="20"/>
              </w:rPr>
              <w:t>kL</w:t>
            </w:r>
          </w:p>
        </w:tc>
        <w:tc>
          <w:tcPr>
            <w:tcW w:w="1521" w:type="dxa"/>
          </w:tcPr>
          <w:p w:rsidR="007C5447" w:rsidRDefault="00F6308C">
            <w:pPr>
              <w:pStyle w:val="TableParagraph"/>
              <w:spacing w:before="14" w:line="224" w:lineRule="exact"/>
              <w:ind w:right="98"/>
              <w:rPr>
                <w:sz w:val="20"/>
              </w:rPr>
            </w:pPr>
            <w:r>
              <w:rPr>
                <w:w w:val="95"/>
                <w:sz w:val="20"/>
              </w:rPr>
              <w:t>15,159</w:t>
            </w:r>
          </w:p>
        </w:tc>
        <w:tc>
          <w:tcPr>
            <w:tcW w:w="1519" w:type="dxa"/>
          </w:tcPr>
          <w:p w:rsidR="007C5447" w:rsidRDefault="00F6308C">
            <w:pPr>
              <w:pStyle w:val="TableParagraph"/>
              <w:spacing w:before="14" w:line="224" w:lineRule="exact"/>
              <w:ind w:right="95"/>
              <w:rPr>
                <w:sz w:val="20"/>
              </w:rPr>
            </w:pPr>
            <w:r>
              <w:rPr>
                <w:w w:val="95"/>
                <w:sz w:val="20"/>
              </w:rPr>
              <w:t>7,454</w:t>
            </w:r>
          </w:p>
        </w:tc>
        <w:tc>
          <w:tcPr>
            <w:tcW w:w="1519" w:type="dxa"/>
          </w:tcPr>
          <w:p w:rsidR="007C5447" w:rsidRDefault="00F6308C">
            <w:pPr>
              <w:pStyle w:val="TableParagraph"/>
              <w:spacing w:before="14" w:line="224" w:lineRule="exact"/>
              <w:ind w:right="95"/>
              <w:rPr>
                <w:sz w:val="20"/>
              </w:rPr>
            </w:pPr>
            <w:r>
              <w:rPr>
                <w:w w:val="95"/>
                <w:sz w:val="20"/>
              </w:rPr>
              <w:t>5,630</w:t>
            </w:r>
          </w:p>
        </w:tc>
        <w:tc>
          <w:tcPr>
            <w:tcW w:w="1522" w:type="dxa"/>
          </w:tcPr>
          <w:p w:rsidR="007C5447" w:rsidRDefault="00F6308C">
            <w:pPr>
              <w:pStyle w:val="TableParagraph"/>
              <w:spacing w:before="14" w:line="224" w:lineRule="exact"/>
              <w:ind w:right="98"/>
              <w:rPr>
                <w:sz w:val="20"/>
              </w:rPr>
            </w:pPr>
            <w:r>
              <w:rPr>
                <w:w w:val="95"/>
                <w:sz w:val="20"/>
              </w:rPr>
              <w:t>18,338</w:t>
            </w:r>
          </w:p>
        </w:tc>
        <w:tc>
          <w:tcPr>
            <w:tcW w:w="1519" w:type="dxa"/>
          </w:tcPr>
          <w:p w:rsidR="007C5447" w:rsidRDefault="00F6308C">
            <w:pPr>
              <w:pStyle w:val="TableParagraph"/>
              <w:spacing w:before="14" w:line="224" w:lineRule="exact"/>
              <w:ind w:right="95"/>
              <w:rPr>
                <w:sz w:val="20"/>
              </w:rPr>
            </w:pPr>
            <w:r>
              <w:rPr>
                <w:w w:val="95"/>
                <w:sz w:val="20"/>
              </w:rPr>
              <w:t>16,973</w:t>
            </w:r>
          </w:p>
        </w:tc>
      </w:tr>
      <w:tr w:rsidR="007C5447">
        <w:trPr>
          <w:trHeight w:val="261"/>
        </w:trPr>
        <w:tc>
          <w:tcPr>
            <w:tcW w:w="960" w:type="dxa"/>
          </w:tcPr>
          <w:p w:rsidR="007C5447" w:rsidRDefault="00F6308C">
            <w:pPr>
              <w:pStyle w:val="TableParagraph"/>
              <w:spacing w:before="14" w:line="227" w:lineRule="exact"/>
              <w:ind w:left="161" w:right="152"/>
              <w:jc w:val="center"/>
              <w:rPr>
                <w:sz w:val="20"/>
              </w:rPr>
            </w:pPr>
            <w:r>
              <w:rPr>
                <w:sz w:val="20"/>
              </w:rPr>
              <w:t>18</w:t>
            </w:r>
          </w:p>
        </w:tc>
        <w:tc>
          <w:tcPr>
            <w:tcW w:w="2959" w:type="dxa"/>
          </w:tcPr>
          <w:p w:rsidR="007C5447" w:rsidRDefault="00F6308C">
            <w:pPr>
              <w:pStyle w:val="TableParagraph"/>
              <w:spacing w:before="14" w:line="227" w:lineRule="exact"/>
              <w:ind w:left="108"/>
              <w:jc w:val="left"/>
              <w:rPr>
                <w:sz w:val="20"/>
              </w:rPr>
            </w:pPr>
            <w:r>
              <w:rPr>
                <w:sz w:val="20"/>
              </w:rPr>
              <w:t>Coal Consumed</w:t>
            </w:r>
          </w:p>
        </w:tc>
        <w:tc>
          <w:tcPr>
            <w:tcW w:w="1320" w:type="dxa"/>
          </w:tcPr>
          <w:p w:rsidR="007C5447" w:rsidRDefault="00F6308C">
            <w:pPr>
              <w:pStyle w:val="TableParagraph"/>
              <w:spacing w:before="14" w:line="227" w:lineRule="exact"/>
              <w:ind w:left="109"/>
              <w:jc w:val="left"/>
              <w:rPr>
                <w:sz w:val="20"/>
              </w:rPr>
            </w:pPr>
            <w:r>
              <w:rPr>
                <w:sz w:val="20"/>
              </w:rPr>
              <w:t>MT</w:t>
            </w:r>
          </w:p>
        </w:tc>
        <w:tc>
          <w:tcPr>
            <w:tcW w:w="1521" w:type="dxa"/>
          </w:tcPr>
          <w:p w:rsidR="007C5447" w:rsidRDefault="00F6308C">
            <w:pPr>
              <w:pStyle w:val="TableParagraph"/>
              <w:spacing w:before="14" w:line="227" w:lineRule="exact"/>
              <w:ind w:right="99"/>
              <w:rPr>
                <w:sz w:val="20"/>
              </w:rPr>
            </w:pPr>
            <w:r>
              <w:rPr>
                <w:w w:val="95"/>
                <w:sz w:val="20"/>
              </w:rPr>
              <w:t>54,79,745</w:t>
            </w:r>
          </w:p>
        </w:tc>
        <w:tc>
          <w:tcPr>
            <w:tcW w:w="1519" w:type="dxa"/>
          </w:tcPr>
          <w:p w:rsidR="007C5447" w:rsidRDefault="00F6308C">
            <w:pPr>
              <w:pStyle w:val="TableParagraph"/>
              <w:spacing w:before="14" w:line="227" w:lineRule="exact"/>
              <w:ind w:right="96"/>
              <w:rPr>
                <w:sz w:val="20"/>
              </w:rPr>
            </w:pPr>
            <w:r>
              <w:rPr>
                <w:w w:val="95"/>
                <w:sz w:val="20"/>
              </w:rPr>
              <w:t>59,43,067</w:t>
            </w:r>
          </w:p>
        </w:tc>
        <w:tc>
          <w:tcPr>
            <w:tcW w:w="1519" w:type="dxa"/>
          </w:tcPr>
          <w:p w:rsidR="007C5447" w:rsidRDefault="00F6308C">
            <w:pPr>
              <w:pStyle w:val="TableParagraph"/>
              <w:spacing w:before="14" w:line="227" w:lineRule="exact"/>
              <w:ind w:right="96"/>
              <w:rPr>
                <w:sz w:val="20"/>
              </w:rPr>
            </w:pPr>
            <w:r>
              <w:rPr>
                <w:w w:val="95"/>
                <w:sz w:val="20"/>
              </w:rPr>
              <w:t>58,74,965</w:t>
            </w:r>
          </w:p>
        </w:tc>
        <w:tc>
          <w:tcPr>
            <w:tcW w:w="1522" w:type="dxa"/>
          </w:tcPr>
          <w:p w:rsidR="007C5447" w:rsidRDefault="00F6308C">
            <w:pPr>
              <w:pStyle w:val="TableParagraph"/>
              <w:spacing w:before="14" w:line="227" w:lineRule="exact"/>
              <w:ind w:right="98"/>
              <w:rPr>
                <w:sz w:val="20"/>
              </w:rPr>
            </w:pPr>
            <w:r>
              <w:rPr>
                <w:w w:val="95"/>
                <w:sz w:val="20"/>
              </w:rPr>
              <w:t>58,21,516</w:t>
            </w:r>
          </w:p>
        </w:tc>
        <w:tc>
          <w:tcPr>
            <w:tcW w:w="1519" w:type="dxa"/>
          </w:tcPr>
          <w:p w:rsidR="007C5447" w:rsidRDefault="00F6308C">
            <w:pPr>
              <w:pStyle w:val="TableParagraph"/>
              <w:spacing w:before="14" w:line="227" w:lineRule="exact"/>
              <w:ind w:right="95"/>
              <w:rPr>
                <w:sz w:val="20"/>
              </w:rPr>
            </w:pPr>
            <w:r>
              <w:rPr>
                <w:w w:val="95"/>
                <w:sz w:val="20"/>
              </w:rPr>
              <w:t>53,88,467</w:t>
            </w:r>
          </w:p>
        </w:tc>
      </w:tr>
      <w:tr w:rsidR="007C5447">
        <w:trPr>
          <w:trHeight w:val="258"/>
        </w:trPr>
        <w:tc>
          <w:tcPr>
            <w:tcW w:w="960" w:type="dxa"/>
          </w:tcPr>
          <w:p w:rsidR="007C5447" w:rsidRDefault="00F6308C">
            <w:pPr>
              <w:pStyle w:val="TableParagraph"/>
              <w:spacing w:before="14" w:line="224" w:lineRule="exact"/>
              <w:ind w:left="161" w:right="152"/>
              <w:jc w:val="center"/>
              <w:rPr>
                <w:sz w:val="20"/>
              </w:rPr>
            </w:pPr>
            <w:r>
              <w:rPr>
                <w:sz w:val="20"/>
              </w:rPr>
              <w:t>19</w:t>
            </w:r>
          </w:p>
        </w:tc>
        <w:tc>
          <w:tcPr>
            <w:tcW w:w="2959" w:type="dxa"/>
          </w:tcPr>
          <w:p w:rsidR="007C5447" w:rsidRDefault="00F6308C">
            <w:pPr>
              <w:pStyle w:val="TableParagraph"/>
              <w:spacing w:before="14" w:line="224" w:lineRule="exact"/>
              <w:ind w:left="108"/>
              <w:jc w:val="left"/>
              <w:rPr>
                <w:sz w:val="20"/>
              </w:rPr>
            </w:pPr>
            <w:r>
              <w:rPr>
                <w:sz w:val="20"/>
              </w:rPr>
              <w:t>Total Cost of Coal</w:t>
            </w:r>
          </w:p>
        </w:tc>
        <w:tc>
          <w:tcPr>
            <w:tcW w:w="1320" w:type="dxa"/>
          </w:tcPr>
          <w:p w:rsidR="007C5447" w:rsidRDefault="00F6308C">
            <w:pPr>
              <w:pStyle w:val="TableParagraph"/>
              <w:spacing w:before="14" w:line="224" w:lineRule="exact"/>
              <w:ind w:left="109"/>
              <w:jc w:val="left"/>
              <w:rPr>
                <w:sz w:val="20"/>
              </w:rPr>
            </w:pPr>
            <w:r>
              <w:rPr>
                <w:sz w:val="20"/>
              </w:rPr>
              <w:t>Rs. Crore</w:t>
            </w:r>
          </w:p>
        </w:tc>
        <w:tc>
          <w:tcPr>
            <w:tcW w:w="1521" w:type="dxa"/>
          </w:tcPr>
          <w:p w:rsidR="007C5447" w:rsidRDefault="00F6308C">
            <w:pPr>
              <w:pStyle w:val="TableParagraph"/>
              <w:spacing w:before="14" w:line="224" w:lineRule="exact"/>
              <w:ind w:right="98"/>
              <w:rPr>
                <w:sz w:val="20"/>
              </w:rPr>
            </w:pPr>
            <w:r>
              <w:rPr>
                <w:w w:val="95"/>
                <w:sz w:val="20"/>
              </w:rPr>
              <w:t>2,214</w:t>
            </w:r>
          </w:p>
        </w:tc>
        <w:tc>
          <w:tcPr>
            <w:tcW w:w="1519" w:type="dxa"/>
          </w:tcPr>
          <w:p w:rsidR="007C5447" w:rsidRDefault="00F6308C">
            <w:pPr>
              <w:pStyle w:val="TableParagraph"/>
              <w:spacing w:before="14" w:line="224" w:lineRule="exact"/>
              <w:ind w:right="95"/>
              <w:rPr>
                <w:sz w:val="20"/>
              </w:rPr>
            </w:pPr>
            <w:r>
              <w:rPr>
                <w:w w:val="95"/>
                <w:sz w:val="20"/>
              </w:rPr>
              <w:t>2,187</w:t>
            </w:r>
          </w:p>
        </w:tc>
        <w:tc>
          <w:tcPr>
            <w:tcW w:w="1519" w:type="dxa"/>
          </w:tcPr>
          <w:p w:rsidR="007C5447" w:rsidRDefault="00F6308C">
            <w:pPr>
              <w:pStyle w:val="TableParagraph"/>
              <w:spacing w:before="14" w:line="224" w:lineRule="exact"/>
              <w:ind w:right="95"/>
              <w:rPr>
                <w:sz w:val="20"/>
              </w:rPr>
            </w:pPr>
            <w:r>
              <w:rPr>
                <w:w w:val="95"/>
                <w:sz w:val="20"/>
              </w:rPr>
              <w:t>2,236</w:t>
            </w:r>
          </w:p>
        </w:tc>
        <w:tc>
          <w:tcPr>
            <w:tcW w:w="1522" w:type="dxa"/>
          </w:tcPr>
          <w:p w:rsidR="007C5447" w:rsidRDefault="00F6308C">
            <w:pPr>
              <w:pStyle w:val="TableParagraph"/>
              <w:spacing w:before="14" w:line="224" w:lineRule="exact"/>
              <w:ind w:right="98"/>
              <w:rPr>
                <w:sz w:val="20"/>
              </w:rPr>
            </w:pPr>
            <w:r>
              <w:rPr>
                <w:w w:val="95"/>
                <w:sz w:val="20"/>
              </w:rPr>
              <w:t>2,423</w:t>
            </w:r>
          </w:p>
        </w:tc>
        <w:tc>
          <w:tcPr>
            <w:tcW w:w="1519" w:type="dxa"/>
          </w:tcPr>
          <w:p w:rsidR="007C5447" w:rsidRDefault="00F6308C">
            <w:pPr>
              <w:pStyle w:val="TableParagraph"/>
              <w:spacing w:before="14" w:line="224" w:lineRule="exact"/>
              <w:ind w:right="95"/>
              <w:rPr>
                <w:sz w:val="20"/>
              </w:rPr>
            </w:pPr>
            <w:r>
              <w:rPr>
                <w:w w:val="95"/>
                <w:sz w:val="20"/>
              </w:rPr>
              <w:t>2,045</w:t>
            </w:r>
          </w:p>
        </w:tc>
      </w:tr>
      <w:tr w:rsidR="007C5447">
        <w:trPr>
          <w:trHeight w:val="261"/>
        </w:trPr>
        <w:tc>
          <w:tcPr>
            <w:tcW w:w="960" w:type="dxa"/>
          </w:tcPr>
          <w:p w:rsidR="007C5447" w:rsidRDefault="00F6308C">
            <w:pPr>
              <w:pStyle w:val="TableParagraph"/>
              <w:spacing w:before="14" w:line="227" w:lineRule="exact"/>
              <w:ind w:left="161" w:right="152"/>
              <w:jc w:val="center"/>
              <w:rPr>
                <w:sz w:val="20"/>
              </w:rPr>
            </w:pPr>
            <w:r>
              <w:rPr>
                <w:sz w:val="20"/>
              </w:rPr>
              <w:t>20</w:t>
            </w:r>
          </w:p>
        </w:tc>
        <w:tc>
          <w:tcPr>
            <w:tcW w:w="2959" w:type="dxa"/>
          </w:tcPr>
          <w:p w:rsidR="007C5447" w:rsidRDefault="00F6308C">
            <w:pPr>
              <w:pStyle w:val="TableParagraph"/>
              <w:spacing w:before="14" w:line="227" w:lineRule="exact"/>
              <w:ind w:left="108"/>
              <w:jc w:val="left"/>
              <w:rPr>
                <w:sz w:val="20"/>
              </w:rPr>
            </w:pPr>
            <w:r>
              <w:rPr>
                <w:sz w:val="20"/>
              </w:rPr>
              <w:t>Total Cost of Oil</w:t>
            </w:r>
          </w:p>
        </w:tc>
        <w:tc>
          <w:tcPr>
            <w:tcW w:w="1320" w:type="dxa"/>
          </w:tcPr>
          <w:p w:rsidR="007C5447" w:rsidRDefault="00F6308C">
            <w:pPr>
              <w:pStyle w:val="TableParagraph"/>
              <w:spacing w:before="14" w:line="227" w:lineRule="exact"/>
              <w:ind w:left="109"/>
              <w:jc w:val="left"/>
              <w:rPr>
                <w:sz w:val="20"/>
              </w:rPr>
            </w:pPr>
            <w:r>
              <w:rPr>
                <w:sz w:val="20"/>
              </w:rPr>
              <w:t>Rs. Crore</w:t>
            </w:r>
          </w:p>
        </w:tc>
        <w:tc>
          <w:tcPr>
            <w:tcW w:w="1521" w:type="dxa"/>
          </w:tcPr>
          <w:p w:rsidR="007C5447" w:rsidRDefault="00F6308C">
            <w:pPr>
              <w:pStyle w:val="TableParagraph"/>
              <w:spacing w:before="14" w:line="227" w:lineRule="exact"/>
              <w:ind w:right="96"/>
              <w:rPr>
                <w:sz w:val="20"/>
              </w:rPr>
            </w:pPr>
            <w:r>
              <w:rPr>
                <w:sz w:val="20"/>
              </w:rPr>
              <w:t>62</w:t>
            </w:r>
          </w:p>
        </w:tc>
        <w:tc>
          <w:tcPr>
            <w:tcW w:w="1519" w:type="dxa"/>
          </w:tcPr>
          <w:p w:rsidR="007C5447" w:rsidRDefault="00F6308C">
            <w:pPr>
              <w:pStyle w:val="TableParagraph"/>
              <w:spacing w:before="14" w:line="227" w:lineRule="exact"/>
              <w:ind w:right="93"/>
              <w:rPr>
                <w:sz w:val="20"/>
              </w:rPr>
            </w:pPr>
            <w:r>
              <w:rPr>
                <w:sz w:val="20"/>
              </w:rPr>
              <w:t>36</w:t>
            </w:r>
          </w:p>
        </w:tc>
        <w:tc>
          <w:tcPr>
            <w:tcW w:w="1519" w:type="dxa"/>
          </w:tcPr>
          <w:p w:rsidR="007C5447" w:rsidRDefault="00F6308C">
            <w:pPr>
              <w:pStyle w:val="TableParagraph"/>
              <w:spacing w:before="14" w:line="227" w:lineRule="exact"/>
              <w:ind w:right="93"/>
              <w:rPr>
                <w:sz w:val="20"/>
              </w:rPr>
            </w:pPr>
            <w:r>
              <w:rPr>
                <w:sz w:val="20"/>
              </w:rPr>
              <w:t>28</w:t>
            </w:r>
          </w:p>
        </w:tc>
        <w:tc>
          <w:tcPr>
            <w:tcW w:w="1522" w:type="dxa"/>
          </w:tcPr>
          <w:p w:rsidR="007C5447" w:rsidRDefault="00F6308C">
            <w:pPr>
              <w:pStyle w:val="TableParagraph"/>
              <w:spacing w:before="14" w:line="227" w:lineRule="exact"/>
              <w:ind w:right="96"/>
              <w:rPr>
                <w:sz w:val="20"/>
              </w:rPr>
            </w:pPr>
            <w:r>
              <w:rPr>
                <w:sz w:val="20"/>
              </w:rPr>
              <w:t>73</w:t>
            </w:r>
          </w:p>
        </w:tc>
        <w:tc>
          <w:tcPr>
            <w:tcW w:w="1519" w:type="dxa"/>
          </w:tcPr>
          <w:p w:rsidR="007C5447" w:rsidRDefault="00F6308C">
            <w:pPr>
              <w:pStyle w:val="TableParagraph"/>
              <w:spacing w:before="14" w:line="227" w:lineRule="exact"/>
              <w:ind w:right="93"/>
              <w:rPr>
                <w:sz w:val="20"/>
              </w:rPr>
            </w:pPr>
            <w:r>
              <w:rPr>
                <w:sz w:val="20"/>
              </w:rPr>
              <w:t>68</w:t>
            </w:r>
          </w:p>
        </w:tc>
      </w:tr>
      <w:tr w:rsidR="007C5447">
        <w:trPr>
          <w:trHeight w:val="258"/>
        </w:trPr>
        <w:tc>
          <w:tcPr>
            <w:tcW w:w="960" w:type="dxa"/>
            <w:shd w:val="clear" w:color="auto" w:fill="FFFFCC"/>
          </w:tcPr>
          <w:p w:rsidR="007C5447" w:rsidRDefault="00F6308C">
            <w:pPr>
              <w:pStyle w:val="TableParagraph"/>
              <w:spacing w:before="14" w:line="224" w:lineRule="exact"/>
              <w:ind w:left="161" w:right="152"/>
              <w:jc w:val="center"/>
              <w:rPr>
                <w:b/>
                <w:sz w:val="20"/>
              </w:rPr>
            </w:pPr>
            <w:r>
              <w:rPr>
                <w:b/>
                <w:sz w:val="20"/>
              </w:rPr>
              <w:t>21</w:t>
            </w:r>
          </w:p>
        </w:tc>
        <w:tc>
          <w:tcPr>
            <w:tcW w:w="2959" w:type="dxa"/>
            <w:shd w:val="clear" w:color="auto" w:fill="FFFFCC"/>
          </w:tcPr>
          <w:p w:rsidR="007C5447" w:rsidRDefault="00F6308C">
            <w:pPr>
              <w:pStyle w:val="TableParagraph"/>
              <w:spacing w:before="14" w:line="224" w:lineRule="exact"/>
              <w:ind w:left="108"/>
              <w:jc w:val="left"/>
              <w:rPr>
                <w:b/>
                <w:sz w:val="20"/>
              </w:rPr>
            </w:pPr>
            <w:r>
              <w:rPr>
                <w:b/>
                <w:sz w:val="20"/>
              </w:rPr>
              <w:t>Total Fuel Cost</w:t>
            </w:r>
          </w:p>
        </w:tc>
        <w:tc>
          <w:tcPr>
            <w:tcW w:w="1320" w:type="dxa"/>
            <w:shd w:val="clear" w:color="auto" w:fill="FFFFCC"/>
          </w:tcPr>
          <w:p w:rsidR="007C5447" w:rsidRDefault="00F6308C">
            <w:pPr>
              <w:pStyle w:val="TableParagraph"/>
              <w:spacing w:before="14" w:line="224" w:lineRule="exact"/>
              <w:ind w:left="109"/>
              <w:jc w:val="left"/>
              <w:rPr>
                <w:b/>
                <w:sz w:val="20"/>
              </w:rPr>
            </w:pPr>
            <w:r>
              <w:rPr>
                <w:b/>
                <w:sz w:val="20"/>
              </w:rPr>
              <w:t>Rs. Crore</w:t>
            </w:r>
          </w:p>
        </w:tc>
        <w:tc>
          <w:tcPr>
            <w:tcW w:w="1521" w:type="dxa"/>
            <w:shd w:val="clear" w:color="auto" w:fill="FFFFCC"/>
          </w:tcPr>
          <w:p w:rsidR="007C5447" w:rsidRDefault="00F6308C">
            <w:pPr>
              <w:pStyle w:val="TableParagraph"/>
              <w:spacing w:before="14" w:line="224" w:lineRule="exact"/>
              <w:ind w:right="96"/>
              <w:rPr>
                <w:b/>
                <w:sz w:val="20"/>
              </w:rPr>
            </w:pPr>
            <w:r>
              <w:rPr>
                <w:b/>
                <w:sz w:val="20"/>
              </w:rPr>
              <w:t>2275.99</w:t>
            </w:r>
          </w:p>
        </w:tc>
        <w:tc>
          <w:tcPr>
            <w:tcW w:w="1519" w:type="dxa"/>
            <w:shd w:val="clear" w:color="auto" w:fill="FFFFCC"/>
          </w:tcPr>
          <w:p w:rsidR="007C5447" w:rsidRDefault="00F6308C">
            <w:pPr>
              <w:pStyle w:val="TableParagraph"/>
              <w:spacing w:before="14" w:line="224" w:lineRule="exact"/>
              <w:ind w:right="94"/>
              <w:rPr>
                <w:b/>
                <w:sz w:val="20"/>
              </w:rPr>
            </w:pPr>
            <w:r>
              <w:rPr>
                <w:b/>
                <w:sz w:val="20"/>
              </w:rPr>
              <w:t>2222.63</w:t>
            </w:r>
          </w:p>
        </w:tc>
        <w:tc>
          <w:tcPr>
            <w:tcW w:w="1519" w:type="dxa"/>
            <w:shd w:val="clear" w:color="auto" w:fill="FFFFCC"/>
          </w:tcPr>
          <w:p w:rsidR="007C5447" w:rsidRDefault="00F6308C">
            <w:pPr>
              <w:pStyle w:val="TableParagraph"/>
              <w:spacing w:before="14" w:line="224" w:lineRule="exact"/>
              <w:ind w:right="93"/>
              <w:rPr>
                <w:b/>
                <w:sz w:val="20"/>
              </w:rPr>
            </w:pPr>
            <w:r>
              <w:rPr>
                <w:b/>
                <w:sz w:val="20"/>
              </w:rPr>
              <w:t>2263.95</w:t>
            </w:r>
          </w:p>
        </w:tc>
        <w:tc>
          <w:tcPr>
            <w:tcW w:w="1522" w:type="dxa"/>
            <w:shd w:val="clear" w:color="auto" w:fill="FFFFCC"/>
          </w:tcPr>
          <w:p w:rsidR="007C5447" w:rsidRDefault="00F6308C">
            <w:pPr>
              <w:pStyle w:val="TableParagraph"/>
              <w:spacing w:before="14" w:line="224" w:lineRule="exact"/>
              <w:ind w:right="96"/>
              <w:rPr>
                <w:b/>
                <w:sz w:val="20"/>
              </w:rPr>
            </w:pPr>
            <w:r>
              <w:rPr>
                <w:b/>
                <w:sz w:val="20"/>
              </w:rPr>
              <w:t>2496.61</w:t>
            </w:r>
          </w:p>
        </w:tc>
        <w:tc>
          <w:tcPr>
            <w:tcW w:w="1519" w:type="dxa"/>
            <w:shd w:val="clear" w:color="auto" w:fill="FFFFCC"/>
          </w:tcPr>
          <w:p w:rsidR="007C5447" w:rsidRDefault="00F6308C">
            <w:pPr>
              <w:pStyle w:val="TableParagraph"/>
              <w:spacing w:before="14" w:line="224" w:lineRule="exact"/>
              <w:ind w:right="93"/>
              <w:rPr>
                <w:b/>
                <w:sz w:val="20"/>
              </w:rPr>
            </w:pPr>
            <w:r>
              <w:rPr>
                <w:b/>
                <w:sz w:val="20"/>
              </w:rPr>
              <w:t>2112.87</w:t>
            </w:r>
          </w:p>
        </w:tc>
      </w:tr>
      <w:tr w:rsidR="007C5447">
        <w:trPr>
          <w:trHeight w:val="261"/>
        </w:trPr>
        <w:tc>
          <w:tcPr>
            <w:tcW w:w="960" w:type="dxa"/>
            <w:shd w:val="clear" w:color="auto" w:fill="FFFFCC"/>
          </w:tcPr>
          <w:p w:rsidR="007C5447" w:rsidRDefault="00F6308C">
            <w:pPr>
              <w:pStyle w:val="TableParagraph"/>
              <w:spacing w:before="15" w:line="227" w:lineRule="exact"/>
              <w:ind w:left="161" w:right="152"/>
              <w:jc w:val="center"/>
              <w:rPr>
                <w:b/>
                <w:sz w:val="20"/>
              </w:rPr>
            </w:pPr>
            <w:r>
              <w:rPr>
                <w:b/>
                <w:sz w:val="20"/>
              </w:rPr>
              <w:t>22</w:t>
            </w:r>
          </w:p>
        </w:tc>
        <w:tc>
          <w:tcPr>
            <w:tcW w:w="2959" w:type="dxa"/>
            <w:shd w:val="clear" w:color="auto" w:fill="FFFFCC"/>
          </w:tcPr>
          <w:p w:rsidR="007C5447" w:rsidRDefault="00F6308C">
            <w:pPr>
              <w:pStyle w:val="TableParagraph"/>
              <w:spacing w:before="15" w:line="227" w:lineRule="exact"/>
              <w:ind w:left="108"/>
              <w:jc w:val="left"/>
              <w:rPr>
                <w:b/>
                <w:sz w:val="20"/>
              </w:rPr>
            </w:pPr>
            <w:r>
              <w:rPr>
                <w:b/>
                <w:sz w:val="20"/>
              </w:rPr>
              <w:t>Energy Charge</w:t>
            </w:r>
          </w:p>
        </w:tc>
        <w:tc>
          <w:tcPr>
            <w:tcW w:w="1320" w:type="dxa"/>
            <w:shd w:val="clear" w:color="auto" w:fill="FFFFCC"/>
          </w:tcPr>
          <w:p w:rsidR="007C5447" w:rsidRDefault="00F6308C">
            <w:pPr>
              <w:pStyle w:val="TableParagraph"/>
              <w:spacing w:before="15" w:line="227" w:lineRule="exact"/>
              <w:ind w:left="109"/>
              <w:jc w:val="left"/>
              <w:rPr>
                <w:b/>
                <w:sz w:val="20"/>
              </w:rPr>
            </w:pPr>
            <w:r>
              <w:rPr>
                <w:b/>
                <w:sz w:val="20"/>
              </w:rPr>
              <w:t>Rs. /kWh</w:t>
            </w:r>
          </w:p>
        </w:tc>
        <w:tc>
          <w:tcPr>
            <w:tcW w:w="1521" w:type="dxa"/>
            <w:shd w:val="clear" w:color="auto" w:fill="FFFFCC"/>
          </w:tcPr>
          <w:p w:rsidR="007C5447" w:rsidRDefault="00F6308C">
            <w:pPr>
              <w:pStyle w:val="TableParagraph"/>
              <w:spacing w:before="15" w:line="227" w:lineRule="exact"/>
              <w:ind w:right="98"/>
              <w:rPr>
                <w:b/>
                <w:sz w:val="20"/>
              </w:rPr>
            </w:pPr>
            <w:r>
              <w:rPr>
                <w:b/>
                <w:sz w:val="20"/>
              </w:rPr>
              <w:t>3.15</w:t>
            </w:r>
          </w:p>
        </w:tc>
        <w:tc>
          <w:tcPr>
            <w:tcW w:w="1519" w:type="dxa"/>
            <w:shd w:val="clear" w:color="auto" w:fill="FFFFCC"/>
          </w:tcPr>
          <w:p w:rsidR="007C5447" w:rsidRDefault="00F6308C">
            <w:pPr>
              <w:pStyle w:val="TableParagraph"/>
              <w:spacing w:before="15" w:line="227" w:lineRule="exact"/>
              <w:ind w:right="95"/>
              <w:rPr>
                <w:b/>
                <w:sz w:val="20"/>
              </w:rPr>
            </w:pPr>
            <w:r>
              <w:rPr>
                <w:b/>
                <w:sz w:val="20"/>
              </w:rPr>
              <w:t>2.93</w:t>
            </w:r>
          </w:p>
        </w:tc>
        <w:tc>
          <w:tcPr>
            <w:tcW w:w="1519" w:type="dxa"/>
            <w:shd w:val="clear" w:color="auto" w:fill="FFFFCC"/>
          </w:tcPr>
          <w:p w:rsidR="007C5447" w:rsidRDefault="00F6308C">
            <w:pPr>
              <w:pStyle w:val="TableParagraph"/>
              <w:spacing w:before="15" w:line="227" w:lineRule="exact"/>
              <w:ind w:right="95"/>
              <w:rPr>
                <w:b/>
                <w:sz w:val="20"/>
              </w:rPr>
            </w:pPr>
            <w:r>
              <w:rPr>
                <w:b/>
                <w:sz w:val="20"/>
              </w:rPr>
              <w:t>3.14</w:t>
            </w:r>
          </w:p>
        </w:tc>
        <w:tc>
          <w:tcPr>
            <w:tcW w:w="1522" w:type="dxa"/>
            <w:shd w:val="clear" w:color="auto" w:fill="FFFFCC"/>
          </w:tcPr>
          <w:p w:rsidR="007C5447" w:rsidRDefault="00F6308C">
            <w:pPr>
              <w:pStyle w:val="TableParagraph"/>
              <w:spacing w:before="15" w:line="227" w:lineRule="exact"/>
              <w:ind w:right="98"/>
              <w:rPr>
                <w:b/>
                <w:sz w:val="20"/>
              </w:rPr>
            </w:pPr>
            <w:r>
              <w:rPr>
                <w:b/>
                <w:sz w:val="20"/>
              </w:rPr>
              <w:t>3.56</w:t>
            </w:r>
          </w:p>
        </w:tc>
        <w:tc>
          <w:tcPr>
            <w:tcW w:w="1519" w:type="dxa"/>
            <w:shd w:val="clear" w:color="auto" w:fill="FFFFCC"/>
          </w:tcPr>
          <w:p w:rsidR="007C5447" w:rsidRDefault="00F6308C">
            <w:pPr>
              <w:pStyle w:val="TableParagraph"/>
              <w:spacing w:before="15" w:line="227" w:lineRule="exact"/>
              <w:ind w:right="95"/>
              <w:rPr>
                <w:b/>
                <w:sz w:val="20"/>
              </w:rPr>
            </w:pPr>
            <w:r>
              <w:rPr>
                <w:b/>
                <w:sz w:val="20"/>
              </w:rPr>
              <w:t>3.25</w:t>
            </w:r>
          </w:p>
        </w:tc>
      </w:tr>
    </w:tbl>
    <w:p w:rsidR="007C5447" w:rsidRDefault="007C5447">
      <w:pPr>
        <w:spacing w:line="227" w:lineRule="exact"/>
        <w:rPr>
          <w:sz w:val="20"/>
        </w:rPr>
        <w:sectPr w:rsidR="007C5447">
          <w:footerReference w:type="default" r:id="rId83"/>
          <w:pgSz w:w="16840" w:h="11910" w:orient="landscape"/>
          <w:pgMar w:top="1100" w:right="1220" w:bottom="960" w:left="1220" w:header="0" w:footer="777" w:gutter="0"/>
          <w:pgNumType w:start="347"/>
          <w:cols w:space="720"/>
        </w:sectPr>
      </w:pPr>
    </w:p>
    <w:p w:rsidR="007C5447" w:rsidRDefault="00F6308C">
      <w:pPr>
        <w:pStyle w:val="BodyText"/>
        <w:spacing w:before="3"/>
        <w:rPr>
          <w:sz w:val="2"/>
        </w:rPr>
      </w:pPr>
      <w:r>
        <w:lastRenderedPageBreak/>
        <w:pict>
          <v:shape id="_x0000_s1041" type="#_x0000_t202" style="position:absolute;margin-left:66.35pt;margin-top:73.2pt;width:642.85pt;height:395.6pt;z-index:251686912;mso-position-horizontal-relative:page;mso-position-vertic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2959"/>
                    <w:gridCol w:w="1320"/>
                    <w:gridCol w:w="1521"/>
                    <w:gridCol w:w="1519"/>
                    <w:gridCol w:w="1519"/>
                    <w:gridCol w:w="1522"/>
                    <w:gridCol w:w="1519"/>
                  </w:tblGrid>
                  <w:tr w:rsidR="007C5447">
                    <w:trPr>
                      <w:trHeight w:val="330"/>
                    </w:trPr>
                    <w:tc>
                      <w:tcPr>
                        <w:tcW w:w="960" w:type="dxa"/>
                        <w:shd w:val="clear" w:color="auto" w:fill="C8C8C8"/>
                      </w:tcPr>
                      <w:p w:rsidR="007C5447" w:rsidRDefault="00F6308C">
                        <w:pPr>
                          <w:pStyle w:val="TableParagraph"/>
                          <w:spacing w:before="50"/>
                          <w:ind w:left="161" w:right="153"/>
                          <w:jc w:val="center"/>
                          <w:rPr>
                            <w:b/>
                            <w:sz w:val="20"/>
                          </w:rPr>
                        </w:pPr>
                        <w:r>
                          <w:rPr>
                            <w:b/>
                            <w:sz w:val="20"/>
                          </w:rPr>
                          <w:t>Sr. No.</w:t>
                        </w:r>
                      </w:p>
                    </w:tc>
                    <w:tc>
                      <w:tcPr>
                        <w:tcW w:w="2959" w:type="dxa"/>
                        <w:shd w:val="clear" w:color="auto" w:fill="C8C8C8"/>
                      </w:tcPr>
                      <w:p w:rsidR="007C5447" w:rsidRDefault="00F6308C">
                        <w:pPr>
                          <w:pStyle w:val="TableParagraph"/>
                          <w:spacing w:before="50"/>
                          <w:ind w:left="1003" w:right="995"/>
                          <w:jc w:val="center"/>
                          <w:rPr>
                            <w:b/>
                            <w:sz w:val="20"/>
                          </w:rPr>
                        </w:pPr>
                        <w:r>
                          <w:rPr>
                            <w:b/>
                            <w:sz w:val="20"/>
                          </w:rPr>
                          <w:t>Parameter</w:t>
                        </w:r>
                      </w:p>
                    </w:tc>
                    <w:tc>
                      <w:tcPr>
                        <w:tcW w:w="1320" w:type="dxa"/>
                        <w:shd w:val="clear" w:color="auto" w:fill="C8C8C8"/>
                      </w:tcPr>
                      <w:p w:rsidR="007C5447" w:rsidRDefault="00F6308C">
                        <w:pPr>
                          <w:pStyle w:val="TableParagraph"/>
                          <w:spacing w:before="50"/>
                          <w:ind w:left="450" w:right="441"/>
                          <w:jc w:val="center"/>
                          <w:rPr>
                            <w:b/>
                            <w:sz w:val="20"/>
                          </w:rPr>
                        </w:pPr>
                        <w:r>
                          <w:rPr>
                            <w:b/>
                            <w:sz w:val="20"/>
                          </w:rPr>
                          <w:t>Unit</w:t>
                        </w:r>
                      </w:p>
                    </w:tc>
                    <w:tc>
                      <w:tcPr>
                        <w:tcW w:w="1521" w:type="dxa"/>
                        <w:shd w:val="clear" w:color="auto" w:fill="BEBEBE"/>
                      </w:tcPr>
                      <w:p w:rsidR="007C5447" w:rsidRDefault="00F6308C">
                        <w:pPr>
                          <w:pStyle w:val="TableParagraph"/>
                          <w:spacing w:before="50"/>
                          <w:ind w:left="267"/>
                          <w:jc w:val="left"/>
                          <w:rPr>
                            <w:b/>
                            <w:sz w:val="20"/>
                          </w:rPr>
                        </w:pPr>
                        <w:r>
                          <w:rPr>
                            <w:b/>
                            <w:sz w:val="20"/>
                          </w:rPr>
                          <w:t>FY 2011-12</w:t>
                        </w:r>
                      </w:p>
                    </w:tc>
                    <w:tc>
                      <w:tcPr>
                        <w:tcW w:w="1519" w:type="dxa"/>
                        <w:shd w:val="clear" w:color="auto" w:fill="BEBEBE"/>
                      </w:tcPr>
                      <w:p w:rsidR="007C5447" w:rsidRDefault="00F6308C">
                        <w:pPr>
                          <w:pStyle w:val="TableParagraph"/>
                          <w:spacing w:before="50"/>
                          <w:ind w:left="268"/>
                          <w:jc w:val="left"/>
                          <w:rPr>
                            <w:b/>
                            <w:sz w:val="20"/>
                          </w:rPr>
                        </w:pPr>
                        <w:r>
                          <w:rPr>
                            <w:b/>
                            <w:sz w:val="20"/>
                          </w:rPr>
                          <w:t>FY 2012-13</w:t>
                        </w:r>
                      </w:p>
                    </w:tc>
                    <w:tc>
                      <w:tcPr>
                        <w:tcW w:w="1519" w:type="dxa"/>
                        <w:shd w:val="clear" w:color="auto" w:fill="BEBEBE"/>
                      </w:tcPr>
                      <w:p w:rsidR="007C5447" w:rsidRDefault="00F6308C">
                        <w:pPr>
                          <w:pStyle w:val="TableParagraph"/>
                          <w:spacing w:before="50"/>
                          <w:ind w:left="268"/>
                          <w:jc w:val="left"/>
                          <w:rPr>
                            <w:b/>
                            <w:sz w:val="20"/>
                          </w:rPr>
                        </w:pPr>
                        <w:r>
                          <w:rPr>
                            <w:b/>
                            <w:sz w:val="20"/>
                          </w:rPr>
                          <w:t>FY 2013-14</w:t>
                        </w:r>
                      </w:p>
                    </w:tc>
                    <w:tc>
                      <w:tcPr>
                        <w:tcW w:w="1522" w:type="dxa"/>
                        <w:shd w:val="clear" w:color="auto" w:fill="BEBEBE"/>
                      </w:tcPr>
                      <w:p w:rsidR="007C5447" w:rsidRDefault="00F6308C">
                        <w:pPr>
                          <w:pStyle w:val="TableParagraph"/>
                          <w:spacing w:before="50"/>
                          <w:ind w:left="268"/>
                          <w:jc w:val="left"/>
                          <w:rPr>
                            <w:b/>
                            <w:sz w:val="20"/>
                          </w:rPr>
                        </w:pPr>
                        <w:r>
                          <w:rPr>
                            <w:b/>
                            <w:sz w:val="20"/>
                          </w:rPr>
                          <w:t>FY 2014-15</w:t>
                        </w:r>
                      </w:p>
                    </w:tc>
                    <w:tc>
                      <w:tcPr>
                        <w:tcW w:w="1519" w:type="dxa"/>
                        <w:shd w:val="clear" w:color="auto" w:fill="BEBEBE"/>
                      </w:tcPr>
                      <w:p w:rsidR="007C5447" w:rsidRDefault="00F6308C">
                        <w:pPr>
                          <w:pStyle w:val="TableParagraph"/>
                          <w:spacing w:before="50"/>
                          <w:ind w:left="268"/>
                          <w:jc w:val="left"/>
                          <w:rPr>
                            <w:b/>
                            <w:sz w:val="20"/>
                          </w:rPr>
                        </w:pPr>
                        <w:r>
                          <w:rPr>
                            <w:b/>
                            <w:sz w:val="20"/>
                          </w:rPr>
                          <w:t>FY 2015-16</w:t>
                        </w:r>
                      </w:p>
                    </w:tc>
                  </w:tr>
                  <w:tr w:rsidR="007C5447">
                    <w:trPr>
                      <w:trHeight w:val="299"/>
                    </w:trPr>
                    <w:tc>
                      <w:tcPr>
                        <w:tcW w:w="960" w:type="dxa"/>
                      </w:tcPr>
                      <w:p w:rsidR="007C5447" w:rsidRDefault="00F6308C">
                        <w:pPr>
                          <w:pStyle w:val="TableParagraph"/>
                          <w:spacing w:before="34"/>
                          <w:ind w:left="8"/>
                          <w:jc w:val="center"/>
                          <w:rPr>
                            <w:sz w:val="20"/>
                          </w:rPr>
                        </w:pPr>
                        <w:r>
                          <w:rPr>
                            <w:w w:val="99"/>
                            <w:sz w:val="20"/>
                          </w:rPr>
                          <w:t>1</w:t>
                        </w:r>
                      </w:p>
                    </w:tc>
                    <w:tc>
                      <w:tcPr>
                        <w:tcW w:w="2959" w:type="dxa"/>
                      </w:tcPr>
                      <w:p w:rsidR="007C5447" w:rsidRDefault="00F6308C">
                        <w:pPr>
                          <w:pStyle w:val="TableParagraph"/>
                          <w:spacing w:before="55" w:line="224" w:lineRule="exact"/>
                          <w:ind w:left="108"/>
                          <w:jc w:val="left"/>
                          <w:rPr>
                            <w:sz w:val="20"/>
                          </w:rPr>
                        </w:pPr>
                        <w:r>
                          <w:rPr>
                            <w:sz w:val="20"/>
                          </w:rPr>
                          <w:t>Installed Capacity(MW)</w:t>
                        </w:r>
                      </w:p>
                    </w:tc>
                    <w:tc>
                      <w:tcPr>
                        <w:tcW w:w="1320" w:type="dxa"/>
                      </w:tcPr>
                      <w:p w:rsidR="007C5447" w:rsidRDefault="00F6308C">
                        <w:pPr>
                          <w:pStyle w:val="TableParagraph"/>
                          <w:spacing w:before="55" w:line="224" w:lineRule="exact"/>
                          <w:ind w:left="109"/>
                          <w:jc w:val="left"/>
                          <w:rPr>
                            <w:sz w:val="20"/>
                          </w:rPr>
                        </w:pPr>
                        <w:r>
                          <w:rPr>
                            <w:sz w:val="20"/>
                          </w:rPr>
                          <w:t>MW</w:t>
                        </w:r>
                      </w:p>
                    </w:tc>
                    <w:tc>
                      <w:tcPr>
                        <w:tcW w:w="1521" w:type="dxa"/>
                      </w:tcPr>
                      <w:p w:rsidR="007C5447" w:rsidRDefault="00F6308C">
                        <w:pPr>
                          <w:pStyle w:val="TableParagraph"/>
                          <w:spacing w:before="55" w:line="224" w:lineRule="exact"/>
                          <w:ind w:right="94"/>
                          <w:rPr>
                            <w:sz w:val="20"/>
                          </w:rPr>
                        </w:pPr>
                        <w:r>
                          <w:rPr>
                            <w:sz w:val="20"/>
                          </w:rPr>
                          <w:t>840</w:t>
                        </w:r>
                      </w:p>
                    </w:tc>
                    <w:tc>
                      <w:tcPr>
                        <w:tcW w:w="1519" w:type="dxa"/>
                      </w:tcPr>
                      <w:p w:rsidR="007C5447" w:rsidRDefault="00F6308C">
                        <w:pPr>
                          <w:pStyle w:val="TableParagraph"/>
                          <w:spacing w:before="55" w:line="224" w:lineRule="exact"/>
                          <w:ind w:right="91"/>
                          <w:rPr>
                            <w:sz w:val="20"/>
                          </w:rPr>
                        </w:pPr>
                        <w:r>
                          <w:rPr>
                            <w:sz w:val="20"/>
                          </w:rPr>
                          <w:t>840</w:t>
                        </w:r>
                      </w:p>
                    </w:tc>
                    <w:tc>
                      <w:tcPr>
                        <w:tcW w:w="1519" w:type="dxa"/>
                      </w:tcPr>
                      <w:p w:rsidR="007C5447" w:rsidRDefault="00F6308C">
                        <w:pPr>
                          <w:pStyle w:val="TableParagraph"/>
                          <w:spacing w:before="55" w:line="224" w:lineRule="exact"/>
                          <w:ind w:right="91"/>
                          <w:rPr>
                            <w:sz w:val="20"/>
                          </w:rPr>
                        </w:pPr>
                        <w:r>
                          <w:rPr>
                            <w:sz w:val="20"/>
                          </w:rPr>
                          <w:t>840</w:t>
                        </w:r>
                      </w:p>
                    </w:tc>
                    <w:tc>
                      <w:tcPr>
                        <w:tcW w:w="1522" w:type="dxa"/>
                      </w:tcPr>
                      <w:p w:rsidR="007C5447" w:rsidRDefault="00F6308C">
                        <w:pPr>
                          <w:pStyle w:val="TableParagraph"/>
                          <w:spacing w:before="55" w:line="224" w:lineRule="exact"/>
                          <w:ind w:right="95"/>
                          <w:rPr>
                            <w:sz w:val="20"/>
                          </w:rPr>
                        </w:pPr>
                        <w:r>
                          <w:rPr>
                            <w:sz w:val="20"/>
                          </w:rPr>
                          <w:t>840</w:t>
                        </w:r>
                      </w:p>
                    </w:tc>
                    <w:tc>
                      <w:tcPr>
                        <w:tcW w:w="1519" w:type="dxa"/>
                      </w:tcPr>
                      <w:p w:rsidR="007C5447" w:rsidRDefault="00F6308C">
                        <w:pPr>
                          <w:pStyle w:val="TableParagraph"/>
                          <w:spacing w:before="55" w:line="224" w:lineRule="exact"/>
                          <w:ind w:right="90"/>
                          <w:rPr>
                            <w:sz w:val="20"/>
                          </w:rPr>
                        </w:pPr>
                        <w:r>
                          <w:rPr>
                            <w:sz w:val="20"/>
                          </w:rPr>
                          <w:t>840</w:t>
                        </w:r>
                      </w:p>
                    </w:tc>
                  </w:tr>
                  <w:tr w:rsidR="007C5447">
                    <w:trPr>
                      <w:trHeight w:val="299"/>
                    </w:trPr>
                    <w:tc>
                      <w:tcPr>
                        <w:tcW w:w="960" w:type="dxa"/>
                      </w:tcPr>
                      <w:p w:rsidR="007C5447" w:rsidRDefault="00F6308C">
                        <w:pPr>
                          <w:pStyle w:val="TableParagraph"/>
                          <w:spacing w:before="34"/>
                          <w:ind w:left="8"/>
                          <w:jc w:val="center"/>
                          <w:rPr>
                            <w:sz w:val="20"/>
                          </w:rPr>
                        </w:pPr>
                        <w:r>
                          <w:rPr>
                            <w:w w:val="99"/>
                            <w:sz w:val="20"/>
                          </w:rPr>
                          <w:t>2</w:t>
                        </w:r>
                      </w:p>
                    </w:tc>
                    <w:tc>
                      <w:tcPr>
                        <w:tcW w:w="2959" w:type="dxa"/>
                      </w:tcPr>
                      <w:p w:rsidR="007C5447" w:rsidRDefault="00F6308C">
                        <w:pPr>
                          <w:pStyle w:val="TableParagraph"/>
                          <w:spacing w:before="55" w:line="224" w:lineRule="exact"/>
                          <w:ind w:left="108"/>
                          <w:jc w:val="left"/>
                          <w:rPr>
                            <w:sz w:val="20"/>
                          </w:rPr>
                        </w:pPr>
                        <w:r>
                          <w:rPr>
                            <w:sz w:val="20"/>
                          </w:rPr>
                          <w:t>Allocated Capacity</w:t>
                        </w:r>
                      </w:p>
                    </w:tc>
                    <w:tc>
                      <w:tcPr>
                        <w:tcW w:w="1320" w:type="dxa"/>
                      </w:tcPr>
                      <w:p w:rsidR="007C5447" w:rsidRDefault="00F6308C">
                        <w:pPr>
                          <w:pStyle w:val="TableParagraph"/>
                          <w:spacing w:before="55" w:line="224" w:lineRule="exact"/>
                          <w:ind w:left="109"/>
                          <w:jc w:val="left"/>
                          <w:rPr>
                            <w:sz w:val="20"/>
                          </w:rPr>
                        </w:pPr>
                        <w:r>
                          <w:rPr>
                            <w:sz w:val="20"/>
                          </w:rPr>
                          <w:t>MW</w:t>
                        </w:r>
                      </w:p>
                    </w:tc>
                    <w:tc>
                      <w:tcPr>
                        <w:tcW w:w="1521" w:type="dxa"/>
                      </w:tcPr>
                      <w:p w:rsidR="007C5447" w:rsidRDefault="00F6308C">
                        <w:pPr>
                          <w:pStyle w:val="TableParagraph"/>
                          <w:spacing w:before="55" w:line="224" w:lineRule="exact"/>
                          <w:ind w:right="94"/>
                          <w:rPr>
                            <w:sz w:val="20"/>
                          </w:rPr>
                        </w:pPr>
                        <w:r>
                          <w:rPr>
                            <w:sz w:val="20"/>
                          </w:rPr>
                          <w:t>840</w:t>
                        </w:r>
                      </w:p>
                    </w:tc>
                    <w:tc>
                      <w:tcPr>
                        <w:tcW w:w="1519" w:type="dxa"/>
                      </w:tcPr>
                      <w:p w:rsidR="007C5447" w:rsidRDefault="00F6308C">
                        <w:pPr>
                          <w:pStyle w:val="TableParagraph"/>
                          <w:spacing w:before="55" w:line="224" w:lineRule="exact"/>
                          <w:ind w:right="91"/>
                          <w:rPr>
                            <w:sz w:val="20"/>
                          </w:rPr>
                        </w:pPr>
                        <w:r>
                          <w:rPr>
                            <w:sz w:val="20"/>
                          </w:rPr>
                          <w:t>840</w:t>
                        </w:r>
                      </w:p>
                    </w:tc>
                    <w:tc>
                      <w:tcPr>
                        <w:tcW w:w="1519" w:type="dxa"/>
                      </w:tcPr>
                      <w:p w:rsidR="007C5447" w:rsidRDefault="00F6308C">
                        <w:pPr>
                          <w:pStyle w:val="TableParagraph"/>
                          <w:spacing w:before="55" w:line="224" w:lineRule="exact"/>
                          <w:ind w:right="91"/>
                          <w:rPr>
                            <w:sz w:val="20"/>
                          </w:rPr>
                        </w:pPr>
                        <w:r>
                          <w:rPr>
                            <w:sz w:val="20"/>
                          </w:rPr>
                          <w:t>840</w:t>
                        </w:r>
                      </w:p>
                    </w:tc>
                    <w:tc>
                      <w:tcPr>
                        <w:tcW w:w="1522" w:type="dxa"/>
                      </w:tcPr>
                      <w:p w:rsidR="007C5447" w:rsidRDefault="00F6308C">
                        <w:pPr>
                          <w:pStyle w:val="TableParagraph"/>
                          <w:spacing w:before="55" w:line="224" w:lineRule="exact"/>
                          <w:ind w:right="95"/>
                          <w:rPr>
                            <w:sz w:val="20"/>
                          </w:rPr>
                        </w:pPr>
                        <w:r>
                          <w:rPr>
                            <w:sz w:val="20"/>
                          </w:rPr>
                          <w:t>840</w:t>
                        </w:r>
                      </w:p>
                    </w:tc>
                    <w:tc>
                      <w:tcPr>
                        <w:tcW w:w="1519" w:type="dxa"/>
                      </w:tcPr>
                      <w:p w:rsidR="007C5447" w:rsidRDefault="00F6308C">
                        <w:pPr>
                          <w:pStyle w:val="TableParagraph"/>
                          <w:spacing w:before="55" w:line="224" w:lineRule="exact"/>
                          <w:ind w:right="90"/>
                          <w:rPr>
                            <w:sz w:val="20"/>
                          </w:rPr>
                        </w:pPr>
                        <w:r>
                          <w:rPr>
                            <w:sz w:val="20"/>
                          </w:rPr>
                          <w:t>840</w:t>
                        </w:r>
                      </w:p>
                    </w:tc>
                  </w:tr>
                  <w:tr w:rsidR="007C5447">
                    <w:trPr>
                      <w:trHeight w:val="299"/>
                    </w:trPr>
                    <w:tc>
                      <w:tcPr>
                        <w:tcW w:w="960" w:type="dxa"/>
                      </w:tcPr>
                      <w:p w:rsidR="007C5447" w:rsidRDefault="00F6308C">
                        <w:pPr>
                          <w:pStyle w:val="TableParagraph"/>
                          <w:spacing w:before="36"/>
                          <w:ind w:left="8"/>
                          <w:jc w:val="center"/>
                          <w:rPr>
                            <w:sz w:val="20"/>
                          </w:rPr>
                        </w:pPr>
                        <w:r>
                          <w:rPr>
                            <w:w w:val="99"/>
                            <w:sz w:val="20"/>
                          </w:rPr>
                          <w:t>3</w:t>
                        </w:r>
                      </w:p>
                    </w:tc>
                    <w:tc>
                      <w:tcPr>
                        <w:tcW w:w="2959" w:type="dxa"/>
                      </w:tcPr>
                      <w:p w:rsidR="007C5447" w:rsidRDefault="00F6308C">
                        <w:pPr>
                          <w:pStyle w:val="TableParagraph"/>
                          <w:spacing w:before="55" w:line="224" w:lineRule="exact"/>
                          <w:ind w:left="108"/>
                          <w:jc w:val="left"/>
                          <w:rPr>
                            <w:sz w:val="20"/>
                          </w:rPr>
                        </w:pPr>
                        <w:r>
                          <w:rPr>
                            <w:sz w:val="20"/>
                          </w:rPr>
                          <w:t>Days</w:t>
                        </w:r>
                      </w:p>
                    </w:tc>
                    <w:tc>
                      <w:tcPr>
                        <w:tcW w:w="1320" w:type="dxa"/>
                      </w:tcPr>
                      <w:p w:rsidR="007C5447" w:rsidRDefault="00F6308C">
                        <w:pPr>
                          <w:pStyle w:val="TableParagraph"/>
                          <w:spacing w:before="55" w:line="224" w:lineRule="exact"/>
                          <w:ind w:left="109"/>
                          <w:jc w:val="left"/>
                          <w:rPr>
                            <w:sz w:val="20"/>
                          </w:rPr>
                        </w:pPr>
                        <w:r>
                          <w:rPr>
                            <w:sz w:val="20"/>
                          </w:rPr>
                          <w:t>Nos.</w:t>
                        </w:r>
                      </w:p>
                    </w:tc>
                    <w:tc>
                      <w:tcPr>
                        <w:tcW w:w="1521" w:type="dxa"/>
                      </w:tcPr>
                      <w:p w:rsidR="007C5447" w:rsidRDefault="00F6308C">
                        <w:pPr>
                          <w:pStyle w:val="TableParagraph"/>
                          <w:spacing w:before="55" w:line="224" w:lineRule="exact"/>
                          <w:ind w:right="94"/>
                          <w:rPr>
                            <w:sz w:val="20"/>
                          </w:rPr>
                        </w:pPr>
                        <w:r>
                          <w:rPr>
                            <w:sz w:val="20"/>
                          </w:rPr>
                          <w:t>366</w:t>
                        </w:r>
                      </w:p>
                    </w:tc>
                    <w:tc>
                      <w:tcPr>
                        <w:tcW w:w="1519" w:type="dxa"/>
                      </w:tcPr>
                      <w:p w:rsidR="007C5447" w:rsidRDefault="00F6308C">
                        <w:pPr>
                          <w:pStyle w:val="TableParagraph"/>
                          <w:spacing w:before="55" w:line="224" w:lineRule="exact"/>
                          <w:ind w:right="91"/>
                          <w:rPr>
                            <w:sz w:val="20"/>
                          </w:rPr>
                        </w:pPr>
                        <w:r>
                          <w:rPr>
                            <w:sz w:val="20"/>
                          </w:rPr>
                          <w:t>365</w:t>
                        </w:r>
                      </w:p>
                    </w:tc>
                    <w:tc>
                      <w:tcPr>
                        <w:tcW w:w="1519" w:type="dxa"/>
                      </w:tcPr>
                      <w:p w:rsidR="007C5447" w:rsidRDefault="00F6308C">
                        <w:pPr>
                          <w:pStyle w:val="TableParagraph"/>
                          <w:spacing w:before="55" w:line="224" w:lineRule="exact"/>
                          <w:ind w:right="91"/>
                          <w:rPr>
                            <w:sz w:val="20"/>
                          </w:rPr>
                        </w:pPr>
                        <w:r>
                          <w:rPr>
                            <w:sz w:val="20"/>
                          </w:rPr>
                          <w:t>365</w:t>
                        </w:r>
                      </w:p>
                    </w:tc>
                    <w:tc>
                      <w:tcPr>
                        <w:tcW w:w="1522" w:type="dxa"/>
                      </w:tcPr>
                      <w:p w:rsidR="007C5447" w:rsidRDefault="00F6308C">
                        <w:pPr>
                          <w:pStyle w:val="TableParagraph"/>
                          <w:spacing w:before="55" w:line="224" w:lineRule="exact"/>
                          <w:ind w:right="95"/>
                          <w:rPr>
                            <w:sz w:val="20"/>
                          </w:rPr>
                        </w:pPr>
                        <w:r>
                          <w:rPr>
                            <w:sz w:val="20"/>
                          </w:rPr>
                          <w:t>365</w:t>
                        </w:r>
                      </w:p>
                    </w:tc>
                    <w:tc>
                      <w:tcPr>
                        <w:tcW w:w="1519" w:type="dxa"/>
                      </w:tcPr>
                      <w:p w:rsidR="007C5447" w:rsidRDefault="00F6308C">
                        <w:pPr>
                          <w:pStyle w:val="TableParagraph"/>
                          <w:spacing w:before="55" w:line="224" w:lineRule="exact"/>
                          <w:ind w:right="90"/>
                          <w:rPr>
                            <w:sz w:val="20"/>
                          </w:rPr>
                        </w:pPr>
                        <w:r>
                          <w:rPr>
                            <w:sz w:val="20"/>
                          </w:rPr>
                          <w:t>366</w:t>
                        </w:r>
                      </w:p>
                    </w:tc>
                  </w:tr>
                  <w:tr w:rsidR="007C5447">
                    <w:trPr>
                      <w:trHeight w:val="299"/>
                    </w:trPr>
                    <w:tc>
                      <w:tcPr>
                        <w:tcW w:w="960" w:type="dxa"/>
                      </w:tcPr>
                      <w:p w:rsidR="007C5447" w:rsidRDefault="00F6308C">
                        <w:pPr>
                          <w:pStyle w:val="TableParagraph"/>
                          <w:spacing w:before="36"/>
                          <w:ind w:left="8"/>
                          <w:jc w:val="center"/>
                          <w:rPr>
                            <w:sz w:val="20"/>
                          </w:rPr>
                        </w:pPr>
                        <w:r>
                          <w:rPr>
                            <w:w w:val="99"/>
                            <w:sz w:val="20"/>
                          </w:rPr>
                          <w:t>4</w:t>
                        </w:r>
                      </w:p>
                    </w:tc>
                    <w:tc>
                      <w:tcPr>
                        <w:tcW w:w="2959" w:type="dxa"/>
                      </w:tcPr>
                      <w:p w:rsidR="007C5447" w:rsidRDefault="00F6308C">
                        <w:pPr>
                          <w:pStyle w:val="TableParagraph"/>
                          <w:spacing w:before="55" w:line="224" w:lineRule="exact"/>
                          <w:ind w:left="108"/>
                          <w:jc w:val="left"/>
                          <w:rPr>
                            <w:sz w:val="20"/>
                          </w:rPr>
                        </w:pPr>
                        <w:r>
                          <w:rPr>
                            <w:sz w:val="20"/>
                          </w:rPr>
                          <w:t>PLF</w:t>
                        </w:r>
                      </w:p>
                    </w:tc>
                    <w:tc>
                      <w:tcPr>
                        <w:tcW w:w="1320" w:type="dxa"/>
                      </w:tcPr>
                      <w:p w:rsidR="007C5447" w:rsidRDefault="00F6308C">
                        <w:pPr>
                          <w:pStyle w:val="TableParagraph"/>
                          <w:spacing w:before="55" w:line="224" w:lineRule="exact"/>
                          <w:ind w:left="109"/>
                          <w:jc w:val="left"/>
                          <w:rPr>
                            <w:sz w:val="20"/>
                          </w:rPr>
                        </w:pPr>
                        <w:r>
                          <w:rPr>
                            <w:w w:val="99"/>
                            <w:sz w:val="20"/>
                          </w:rPr>
                          <w:t>%</w:t>
                        </w:r>
                      </w:p>
                    </w:tc>
                    <w:tc>
                      <w:tcPr>
                        <w:tcW w:w="1521" w:type="dxa"/>
                      </w:tcPr>
                      <w:p w:rsidR="007C5447" w:rsidRDefault="00F6308C">
                        <w:pPr>
                          <w:pStyle w:val="TableParagraph"/>
                          <w:spacing w:before="55" w:line="224" w:lineRule="exact"/>
                          <w:ind w:right="95"/>
                          <w:rPr>
                            <w:sz w:val="20"/>
                          </w:rPr>
                        </w:pPr>
                        <w:r>
                          <w:rPr>
                            <w:sz w:val="20"/>
                          </w:rPr>
                          <w:t>92.77%</w:t>
                        </w:r>
                      </w:p>
                    </w:tc>
                    <w:tc>
                      <w:tcPr>
                        <w:tcW w:w="1519" w:type="dxa"/>
                      </w:tcPr>
                      <w:p w:rsidR="007C5447" w:rsidRDefault="00F6308C">
                        <w:pPr>
                          <w:pStyle w:val="TableParagraph"/>
                          <w:spacing w:before="55" w:line="224" w:lineRule="exact"/>
                          <w:ind w:right="92"/>
                          <w:rPr>
                            <w:sz w:val="20"/>
                          </w:rPr>
                        </w:pPr>
                        <w:r>
                          <w:rPr>
                            <w:sz w:val="20"/>
                          </w:rPr>
                          <w:t>84.26%</w:t>
                        </w:r>
                      </w:p>
                    </w:tc>
                    <w:tc>
                      <w:tcPr>
                        <w:tcW w:w="1519" w:type="dxa"/>
                      </w:tcPr>
                      <w:p w:rsidR="007C5447" w:rsidRDefault="00F6308C">
                        <w:pPr>
                          <w:pStyle w:val="TableParagraph"/>
                          <w:spacing w:before="55" w:line="224" w:lineRule="exact"/>
                          <w:ind w:right="91"/>
                          <w:rPr>
                            <w:sz w:val="20"/>
                          </w:rPr>
                        </w:pPr>
                        <w:r>
                          <w:rPr>
                            <w:sz w:val="20"/>
                          </w:rPr>
                          <w:t>88.04%</w:t>
                        </w:r>
                      </w:p>
                    </w:tc>
                    <w:tc>
                      <w:tcPr>
                        <w:tcW w:w="1522" w:type="dxa"/>
                      </w:tcPr>
                      <w:p w:rsidR="007C5447" w:rsidRDefault="00F6308C">
                        <w:pPr>
                          <w:pStyle w:val="TableParagraph"/>
                          <w:spacing w:before="55" w:line="224" w:lineRule="exact"/>
                          <w:ind w:right="94"/>
                          <w:rPr>
                            <w:sz w:val="20"/>
                          </w:rPr>
                        </w:pPr>
                        <w:r>
                          <w:rPr>
                            <w:sz w:val="20"/>
                          </w:rPr>
                          <w:t>84.71%</w:t>
                        </w:r>
                      </w:p>
                    </w:tc>
                    <w:tc>
                      <w:tcPr>
                        <w:tcW w:w="1519" w:type="dxa"/>
                      </w:tcPr>
                      <w:p w:rsidR="007C5447" w:rsidRDefault="00F6308C">
                        <w:pPr>
                          <w:pStyle w:val="TableParagraph"/>
                          <w:spacing w:before="55" w:line="224" w:lineRule="exact"/>
                          <w:ind w:right="91"/>
                          <w:rPr>
                            <w:sz w:val="20"/>
                          </w:rPr>
                        </w:pPr>
                        <w:r>
                          <w:rPr>
                            <w:sz w:val="20"/>
                          </w:rPr>
                          <w:t>80.25%</w:t>
                        </w:r>
                      </w:p>
                    </w:tc>
                  </w:tr>
                  <w:tr w:rsidR="007C5447">
                    <w:trPr>
                      <w:trHeight w:val="299"/>
                    </w:trPr>
                    <w:tc>
                      <w:tcPr>
                        <w:tcW w:w="960" w:type="dxa"/>
                      </w:tcPr>
                      <w:p w:rsidR="007C5447" w:rsidRDefault="00F6308C">
                        <w:pPr>
                          <w:pStyle w:val="TableParagraph"/>
                          <w:spacing w:before="36"/>
                          <w:ind w:left="8"/>
                          <w:jc w:val="center"/>
                          <w:rPr>
                            <w:sz w:val="20"/>
                          </w:rPr>
                        </w:pPr>
                        <w:r>
                          <w:rPr>
                            <w:w w:val="99"/>
                            <w:sz w:val="20"/>
                          </w:rPr>
                          <w:t>5</w:t>
                        </w:r>
                      </w:p>
                    </w:tc>
                    <w:tc>
                      <w:tcPr>
                        <w:tcW w:w="2959" w:type="dxa"/>
                      </w:tcPr>
                      <w:p w:rsidR="007C5447" w:rsidRDefault="00F6308C">
                        <w:pPr>
                          <w:pStyle w:val="TableParagraph"/>
                          <w:spacing w:before="55" w:line="224" w:lineRule="exact"/>
                          <w:ind w:left="108"/>
                          <w:jc w:val="left"/>
                          <w:rPr>
                            <w:sz w:val="20"/>
                          </w:rPr>
                        </w:pPr>
                        <w:r>
                          <w:rPr>
                            <w:sz w:val="20"/>
                          </w:rPr>
                          <w:t>Gross Generation</w:t>
                        </w:r>
                      </w:p>
                    </w:tc>
                    <w:tc>
                      <w:tcPr>
                        <w:tcW w:w="1320" w:type="dxa"/>
                      </w:tcPr>
                      <w:p w:rsidR="007C5447" w:rsidRDefault="00F6308C">
                        <w:pPr>
                          <w:pStyle w:val="TableParagraph"/>
                          <w:spacing w:before="55" w:line="224" w:lineRule="exact"/>
                          <w:ind w:left="109"/>
                          <w:jc w:val="left"/>
                          <w:rPr>
                            <w:sz w:val="20"/>
                          </w:rPr>
                        </w:pPr>
                        <w:r>
                          <w:rPr>
                            <w:sz w:val="20"/>
                          </w:rPr>
                          <w:t>MU</w:t>
                        </w:r>
                      </w:p>
                    </w:tc>
                    <w:tc>
                      <w:tcPr>
                        <w:tcW w:w="1521" w:type="dxa"/>
                      </w:tcPr>
                      <w:p w:rsidR="007C5447" w:rsidRDefault="00F6308C">
                        <w:pPr>
                          <w:pStyle w:val="TableParagraph"/>
                          <w:spacing w:before="55" w:line="224" w:lineRule="exact"/>
                          <w:ind w:right="98"/>
                          <w:rPr>
                            <w:sz w:val="20"/>
                          </w:rPr>
                        </w:pPr>
                        <w:r>
                          <w:rPr>
                            <w:w w:val="95"/>
                            <w:sz w:val="20"/>
                          </w:rPr>
                          <w:t>6,845</w:t>
                        </w:r>
                      </w:p>
                    </w:tc>
                    <w:tc>
                      <w:tcPr>
                        <w:tcW w:w="1519" w:type="dxa"/>
                      </w:tcPr>
                      <w:p w:rsidR="007C5447" w:rsidRDefault="00F6308C">
                        <w:pPr>
                          <w:pStyle w:val="TableParagraph"/>
                          <w:spacing w:before="55" w:line="224" w:lineRule="exact"/>
                          <w:ind w:right="95"/>
                          <w:rPr>
                            <w:sz w:val="20"/>
                          </w:rPr>
                        </w:pPr>
                        <w:r>
                          <w:rPr>
                            <w:w w:val="95"/>
                            <w:sz w:val="20"/>
                          </w:rPr>
                          <w:t>6,200</w:t>
                        </w:r>
                      </w:p>
                    </w:tc>
                    <w:tc>
                      <w:tcPr>
                        <w:tcW w:w="1519" w:type="dxa"/>
                      </w:tcPr>
                      <w:p w:rsidR="007C5447" w:rsidRDefault="00F6308C">
                        <w:pPr>
                          <w:pStyle w:val="TableParagraph"/>
                          <w:spacing w:before="55" w:line="224" w:lineRule="exact"/>
                          <w:ind w:right="95"/>
                          <w:rPr>
                            <w:sz w:val="20"/>
                          </w:rPr>
                        </w:pPr>
                        <w:r>
                          <w:rPr>
                            <w:w w:val="95"/>
                            <w:sz w:val="20"/>
                          </w:rPr>
                          <w:t>6,479</w:t>
                        </w:r>
                      </w:p>
                    </w:tc>
                    <w:tc>
                      <w:tcPr>
                        <w:tcW w:w="1522" w:type="dxa"/>
                      </w:tcPr>
                      <w:p w:rsidR="007C5447" w:rsidRDefault="00F6308C">
                        <w:pPr>
                          <w:pStyle w:val="TableParagraph"/>
                          <w:spacing w:before="55" w:line="224" w:lineRule="exact"/>
                          <w:ind w:right="98"/>
                          <w:rPr>
                            <w:sz w:val="20"/>
                          </w:rPr>
                        </w:pPr>
                        <w:r>
                          <w:rPr>
                            <w:w w:val="95"/>
                            <w:sz w:val="20"/>
                          </w:rPr>
                          <w:t>6,233</w:t>
                        </w:r>
                      </w:p>
                    </w:tc>
                    <w:tc>
                      <w:tcPr>
                        <w:tcW w:w="1519" w:type="dxa"/>
                      </w:tcPr>
                      <w:p w:rsidR="007C5447" w:rsidRDefault="00F6308C">
                        <w:pPr>
                          <w:pStyle w:val="TableParagraph"/>
                          <w:spacing w:before="55" w:line="224" w:lineRule="exact"/>
                          <w:ind w:right="95"/>
                          <w:rPr>
                            <w:sz w:val="20"/>
                          </w:rPr>
                        </w:pPr>
                        <w:r>
                          <w:rPr>
                            <w:w w:val="95"/>
                            <w:sz w:val="20"/>
                          </w:rPr>
                          <w:t>5,921</w:t>
                        </w:r>
                      </w:p>
                    </w:tc>
                  </w:tr>
                  <w:tr w:rsidR="007C5447">
                    <w:trPr>
                      <w:trHeight w:val="302"/>
                    </w:trPr>
                    <w:tc>
                      <w:tcPr>
                        <w:tcW w:w="960" w:type="dxa"/>
                      </w:tcPr>
                      <w:p w:rsidR="007C5447" w:rsidRDefault="00F6308C">
                        <w:pPr>
                          <w:pStyle w:val="TableParagraph"/>
                          <w:spacing w:before="36"/>
                          <w:ind w:left="8"/>
                          <w:jc w:val="center"/>
                          <w:rPr>
                            <w:sz w:val="20"/>
                          </w:rPr>
                        </w:pPr>
                        <w:r>
                          <w:rPr>
                            <w:w w:val="99"/>
                            <w:sz w:val="20"/>
                          </w:rPr>
                          <w:t>6</w:t>
                        </w:r>
                      </w:p>
                    </w:tc>
                    <w:tc>
                      <w:tcPr>
                        <w:tcW w:w="2959" w:type="dxa"/>
                      </w:tcPr>
                      <w:p w:rsidR="007C5447" w:rsidRDefault="00F6308C">
                        <w:pPr>
                          <w:pStyle w:val="TableParagraph"/>
                          <w:spacing w:before="55" w:line="227" w:lineRule="exact"/>
                          <w:ind w:left="108"/>
                          <w:jc w:val="left"/>
                          <w:rPr>
                            <w:sz w:val="20"/>
                          </w:rPr>
                        </w:pPr>
                        <w:r>
                          <w:rPr>
                            <w:sz w:val="20"/>
                          </w:rPr>
                          <w:t>Auxiliary consumption</w:t>
                        </w:r>
                      </w:p>
                    </w:tc>
                    <w:tc>
                      <w:tcPr>
                        <w:tcW w:w="1320" w:type="dxa"/>
                      </w:tcPr>
                      <w:p w:rsidR="007C5447" w:rsidRDefault="00F6308C">
                        <w:pPr>
                          <w:pStyle w:val="TableParagraph"/>
                          <w:spacing w:before="55" w:line="227" w:lineRule="exact"/>
                          <w:ind w:left="109"/>
                          <w:jc w:val="left"/>
                          <w:rPr>
                            <w:sz w:val="20"/>
                          </w:rPr>
                        </w:pPr>
                        <w:r>
                          <w:rPr>
                            <w:w w:val="99"/>
                            <w:sz w:val="20"/>
                          </w:rPr>
                          <w:t>%</w:t>
                        </w:r>
                      </w:p>
                    </w:tc>
                    <w:tc>
                      <w:tcPr>
                        <w:tcW w:w="1521" w:type="dxa"/>
                      </w:tcPr>
                      <w:p w:rsidR="007C5447" w:rsidRDefault="00F6308C">
                        <w:pPr>
                          <w:pStyle w:val="TableParagraph"/>
                          <w:spacing w:before="55" w:line="227" w:lineRule="exact"/>
                          <w:ind w:right="94"/>
                          <w:rPr>
                            <w:sz w:val="20"/>
                          </w:rPr>
                        </w:pPr>
                        <w:r>
                          <w:rPr>
                            <w:sz w:val="20"/>
                          </w:rPr>
                          <w:t>8.31%</w:t>
                        </w:r>
                      </w:p>
                    </w:tc>
                    <w:tc>
                      <w:tcPr>
                        <w:tcW w:w="1519" w:type="dxa"/>
                      </w:tcPr>
                      <w:p w:rsidR="007C5447" w:rsidRDefault="00F6308C">
                        <w:pPr>
                          <w:pStyle w:val="TableParagraph"/>
                          <w:spacing w:before="55" w:line="227" w:lineRule="exact"/>
                          <w:ind w:right="91"/>
                          <w:rPr>
                            <w:sz w:val="20"/>
                          </w:rPr>
                        </w:pPr>
                        <w:r>
                          <w:rPr>
                            <w:sz w:val="20"/>
                          </w:rPr>
                          <w:t>9.00%</w:t>
                        </w:r>
                      </w:p>
                    </w:tc>
                    <w:tc>
                      <w:tcPr>
                        <w:tcW w:w="1519" w:type="dxa"/>
                      </w:tcPr>
                      <w:p w:rsidR="007C5447" w:rsidRDefault="00F6308C">
                        <w:pPr>
                          <w:pStyle w:val="TableParagraph"/>
                          <w:spacing w:before="55" w:line="227" w:lineRule="exact"/>
                          <w:ind w:right="91"/>
                          <w:rPr>
                            <w:sz w:val="20"/>
                          </w:rPr>
                        </w:pPr>
                        <w:r>
                          <w:rPr>
                            <w:sz w:val="20"/>
                          </w:rPr>
                          <w:t>8.50%</w:t>
                        </w:r>
                      </w:p>
                    </w:tc>
                    <w:tc>
                      <w:tcPr>
                        <w:tcW w:w="1522" w:type="dxa"/>
                      </w:tcPr>
                      <w:p w:rsidR="007C5447" w:rsidRDefault="00F6308C">
                        <w:pPr>
                          <w:pStyle w:val="TableParagraph"/>
                          <w:spacing w:before="55" w:line="227" w:lineRule="exact"/>
                          <w:ind w:right="94"/>
                          <w:rPr>
                            <w:sz w:val="20"/>
                          </w:rPr>
                        </w:pPr>
                        <w:r>
                          <w:rPr>
                            <w:sz w:val="20"/>
                          </w:rPr>
                          <w:t>8.50%</w:t>
                        </w:r>
                      </w:p>
                    </w:tc>
                    <w:tc>
                      <w:tcPr>
                        <w:tcW w:w="1519" w:type="dxa"/>
                      </w:tcPr>
                      <w:p w:rsidR="007C5447" w:rsidRDefault="00F6308C">
                        <w:pPr>
                          <w:pStyle w:val="TableParagraph"/>
                          <w:spacing w:before="55" w:line="227" w:lineRule="exact"/>
                          <w:ind w:right="91"/>
                          <w:rPr>
                            <w:sz w:val="20"/>
                          </w:rPr>
                        </w:pPr>
                        <w:r>
                          <w:rPr>
                            <w:sz w:val="20"/>
                          </w:rPr>
                          <w:t>8.50%</w:t>
                        </w:r>
                      </w:p>
                    </w:tc>
                  </w:tr>
                  <w:tr w:rsidR="007C5447">
                    <w:trPr>
                      <w:trHeight w:val="300"/>
                    </w:trPr>
                    <w:tc>
                      <w:tcPr>
                        <w:tcW w:w="960" w:type="dxa"/>
                      </w:tcPr>
                      <w:p w:rsidR="007C5447" w:rsidRDefault="00F6308C">
                        <w:pPr>
                          <w:pStyle w:val="TableParagraph"/>
                          <w:spacing w:before="34"/>
                          <w:ind w:left="8"/>
                          <w:jc w:val="center"/>
                          <w:rPr>
                            <w:sz w:val="20"/>
                          </w:rPr>
                        </w:pPr>
                        <w:r>
                          <w:rPr>
                            <w:w w:val="99"/>
                            <w:sz w:val="20"/>
                          </w:rPr>
                          <w:t>7</w:t>
                        </w:r>
                      </w:p>
                    </w:tc>
                    <w:tc>
                      <w:tcPr>
                        <w:tcW w:w="2959" w:type="dxa"/>
                      </w:tcPr>
                      <w:p w:rsidR="007C5447" w:rsidRDefault="00F6308C">
                        <w:pPr>
                          <w:pStyle w:val="TableParagraph"/>
                          <w:spacing w:before="56" w:line="224" w:lineRule="exact"/>
                          <w:ind w:left="108"/>
                          <w:jc w:val="left"/>
                          <w:rPr>
                            <w:sz w:val="20"/>
                          </w:rPr>
                        </w:pPr>
                        <w:r>
                          <w:rPr>
                            <w:sz w:val="20"/>
                          </w:rPr>
                          <w:t>Net Generation MU</w:t>
                        </w:r>
                      </w:p>
                    </w:tc>
                    <w:tc>
                      <w:tcPr>
                        <w:tcW w:w="1320" w:type="dxa"/>
                      </w:tcPr>
                      <w:p w:rsidR="007C5447" w:rsidRDefault="00F6308C">
                        <w:pPr>
                          <w:pStyle w:val="TableParagraph"/>
                          <w:spacing w:before="56" w:line="224" w:lineRule="exact"/>
                          <w:ind w:left="109"/>
                          <w:jc w:val="left"/>
                          <w:rPr>
                            <w:sz w:val="20"/>
                          </w:rPr>
                        </w:pPr>
                        <w:r>
                          <w:rPr>
                            <w:sz w:val="20"/>
                          </w:rPr>
                          <w:t>MU</w:t>
                        </w:r>
                      </w:p>
                    </w:tc>
                    <w:tc>
                      <w:tcPr>
                        <w:tcW w:w="1521" w:type="dxa"/>
                      </w:tcPr>
                      <w:p w:rsidR="007C5447" w:rsidRDefault="00F6308C">
                        <w:pPr>
                          <w:pStyle w:val="TableParagraph"/>
                          <w:spacing w:before="56" w:line="224" w:lineRule="exact"/>
                          <w:ind w:right="94"/>
                          <w:rPr>
                            <w:sz w:val="20"/>
                          </w:rPr>
                        </w:pPr>
                        <w:r>
                          <w:rPr>
                            <w:sz w:val="20"/>
                          </w:rPr>
                          <w:t>6276</w:t>
                        </w:r>
                      </w:p>
                    </w:tc>
                    <w:tc>
                      <w:tcPr>
                        <w:tcW w:w="1519" w:type="dxa"/>
                      </w:tcPr>
                      <w:p w:rsidR="007C5447" w:rsidRDefault="00F6308C">
                        <w:pPr>
                          <w:pStyle w:val="TableParagraph"/>
                          <w:spacing w:before="56" w:line="224" w:lineRule="exact"/>
                          <w:ind w:right="91"/>
                          <w:rPr>
                            <w:sz w:val="20"/>
                          </w:rPr>
                        </w:pPr>
                        <w:r>
                          <w:rPr>
                            <w:sz w:val="20"/>
                          </w:rPr>
                          <w:t>5642</w:t>
                        </w:r>
                      </w:p>
                    </w:tc>
                    <w:tc>
                      <w:tcPr>
                        <w:tcW w:w="1519" w:type="dxa"/>
                      </w:tcPr>
                      <w:p w:rsidR="007C5447" w:rsidRDefault="00F6308C">
                        <w:pPr>
                          <w:pStyle w:val="TableParagraph"/>
                          <w:spacing w:before="56" w:line="224" w:lineRule="exact"/>
                          <w:ind w:right="91"/>
                          <w:rPr>
                            <w:sz w:val="20"/>
                          </w:rPr>
                        </w:pPr>
                        <w:r>
                          <w:rPr>
                            <w:sz w:val="20"/>
                          </w:rPr>
                          <w:t>5928</w:t>
                        </w:r>
                      </w:p>
                    </w:tc>
                    <w:tc>
                      <w:tcPr>
                        <w:tcW w:w="1522" w:type="dxa"/>
                      </w:tcPr>
                      <w:p w:rsidR="007C5447" w:rsidRDefault="00F6308C">
                        <w:pPr>
                          <w:pStyle w:val="TableParagraph"/>
                          <w:spacing w:before="56" w:line="224" w:lineRule="exact"/>
                          <w:ind w:right="95"/>
                          <w:rPr>
                            <w:sz w:val="20"/>
                          </w:rPr>
                        </w:pPr>
                        <w:r>
                          <w:rPr>
                            <w:sz w:val="20"/>
                          </w:rPr>
                          <w:t>5703</w:t>
                        </w:r>
                      </w:p>
                    </w:tc>
                    <w:tc>
                      <w:tcPr>
                        <w:tcW w:w="1519" w:type="dxa"/>
                      </w:tcPr>
                      <w:p w:rsidR="007C5447" w:rsidRDefault="00F6308C">
                        <w:pPr>
                          <w:pStyle w:val="TableParagraph"/>
                          <w:spacing w:before="56" w:line="224" w:lineRule="exact"/>
                          <w:ind w:right="90"/>
                          <w:rPr>
                            <w:sz w:val="20"/>
                          </w:rPr>
                        </w:pPr>
                        <w:r>
                          <w:rPr>
                            <w:sz w:val="20"/>
                          </w:rPr>
                          <w:t>5418</w:t>
                        </w:r>
                      </w:p>
                    </w:tc>
                  </w:tr>
                  <w:tr w:rsidR="007C5447">
                    <w:trPr>
                      <w:trHeight w:val="328"/>
                    </w:trPr>
                    <w:tc>
                      <w:tcPr>
                        <w:tcW w:w="960" w:type="dxa"/>
                        <w:shd w:val="clear" w:color="auto" w:fill="ECECEC"/>
                      </w:tcPr>
                      <w:p w:rsidR="007C5447" w:rsidRDefault="007C5447">
                        <w:pPr>
                          <w:pStyle w:val="TableParagraph"/>
                          <w:jc w:val="left"/>
                          <w:rPr>
                            <w:sz w:val="20"/>
                          </w:rPr>
                        </w:pPr>
                      </w:p>
                    </w:tc>
                    <w:tc>
                      <w:tcPr>
                        <w:tcW w:w="2959" w:type="dxa"/>
                        <w:shd w:val="clear" w:color="auto" w:fill="ECECEC"/>
                      </w:tcPr>
                      <w:p w:rsidR="007C5447" w:rsidRDefault="00F6308C">
                        <w:pPr>
                          <w:pStyle w:val="TableParagraph"/>
                          <w:spacing w:before="84" w:line="224" w:lineRule="exact"/>
                          <w:ind w:left="108"/>
                          <w:jc w:val="left"/>
                          <w:rPr>
                            <w:b/>
                            <w:sz w:val="20"/>
                          </w:rPr>
                        </w:pPr>
                        <w:r>
                          <w:rPr>
                            <w:b/>
                            <w:sz w:val="20"/>
                          </w:rPr>
                          <w:t>Variable Cost - Parameters</w:t>
                        </w:r>
                      </w:p>
                    </w:tc>
                    <w:tc>
                      <w:tcPr>
                        <w:tcW w:w="1320" w:type="dxa"/>
                        <w:shd w:val="clear" w:color="auto" w:fill="ECECEC"/>
                      </w:tcPr>
                      <w:p w:rsidR="007C5447" w:rsidRDefault="007C5447">
                        <w:pPr>
                          <w:pStyle w:val="TableParagraph"/>
                          <w:jc w:val="left"/>
                          <w:rPr>
                            <w:sz w:val="20"/>
                          </w:rPr>
                        </w:pPr>
                      </w:p>
                    </w:tc>
                    <w:tc>
                      <w:tcPr>
                        <w:tcW w:w="1521" w:type="dxa"/>
                        <w:shd w:val="clear" w:color="auto" w:fill="ECECEC"/>
                      </w:tcPr>
                      <w:p w:rsidR="007C5447" w:rsidRDefault="007C5447">
                        <w:pPr>
                          <w:pStyle w:val="TableParagraph"/>
                          <w:jc w:val="left"/>
                          <w:rPr>
                            <w:sz w:val="20"/>
                          </w:rPr>
                        </w:pPr>
                      </w:p>
                    </w:tc>
                    <w:tc>
                      <w:tcPr>
                        <w:tcW w:w="1519" w:type="dxa"/>
                        <w:shd w:val="clear" w:color="auto" w:fill="ECECEC"/>
                      </w:tcPr>
                      <w:p w:rsidR="007C5447" w:rsidRDefault="007C5447">
                        <w:pPr>
                          <w:pStyle w:val="TableParagraph"/>
                          <w:jc w:val="left"/>
                          <w:rPr>
                            <w:sz w:val="20"/>
                          </w:rPr>
                        </w:pPr>
                      </w:p>
                    </w:tc>
                    <w:tc>
                      <w:tcPr>
                        <w:tcW w:w="1519" w:type="dxa"/>
                        <w:shd w:val="clear" w:color="auto" w:fill="ECECEC"/>
                      </w:tcPr>
                      <w:p w:rsidR="007C5447" w:rsidRDefault="007C5447">
                        <w:pPr>
                          <w:pStyle w:val="TableParagraph"/>
                          <w:jc w:val="left"/>
                          <w:rPr>
                            <w:sz w:val="20"/>
                          </w:rPr>
                        </w:pPr>
                      </w:p>
                    </w:tc>
                    <w:tc>
                      <w:tcPr>
                        <w:tcW w:w="1522" w:type="dxa"/>
                        <w:shd w:val="clear" w:color="auto" w:fill="ECECEC"/>
                      </w:tcPr>
                      <w:p w:rsidR="007C5447" w:rsidRDefault="007C5447">
                        <w:pPr>
                          <w:pStyle w:val="TableParagraph"/>
                          <w:jc w:val="left"/>
                          <w:rPr>
                            <w:sz w:val="20"/>
                          </w:rPr>
                        </w:pPr>
                      </w:p>
                    </w:tc>
                    <w:tc>
                      <w:tcPr>
                        <w:tcW w:w="1519" w:type="dxa"/>
                        <w:shd w:val="clear" w:color="auto" w:fill="ECECEC"/>
                      </w:tcPr>
                      <w:p w:rsidR="007C5447" w:rsidRDefault="007C5447">
                        <w:pPr>
                          <w:pStyle w:val="TableParagraph"/>
                          <w:jc w:val="left"/>
                          <w:rPr>
                            <w:sz w:val="20"/>
                          </w:rPr>
                        </w:pPr>
                      </w:p>
                    </w:tc>
                  </w:tr>
                  <w:tr w:rsidR="007C5447">
                    <w:trPr>
                      <w:trHeight w:val="301"/>
                    </w:trPr>
                    <w:tc>
                      <w:tcPr>
                        <w:tcW w:w="960" w:type="dxa"/>
                      </w:tcPr>
                      <w:p w:rsidR="007C5447" w:rsidRDefault="00F6308C">
                        <w:pPr>
                          <w:pStyle w:val="TableParagraph"/>
                          <w:spacing w:before="36"/>
                          <w:ind w:left="8"/>
                          <w:jc w:val="center"/>
                          <w:rPr>
                            <w:sz w:val="20"/>
                          </w:rPr>
                        </w:pPr>
                        <w:r>
                          <w:rPr>
                            <w:w w:val="99"/>
                            <w:sz w:val="20"/>
                          </w:rPr>
                          <w:t>8</w:t>
                        </w:r>
                      </w:p>
                    </w:tc>
                    <w:tc>
                      <w:tcPr>
                        <w:tcW w:w="2959" w:type="dxa"/>
                      </w:tcPr>
                      <w:p w:rsidR="007C5447" w:rsidRDefault="00F6308C">
                        <w:pPr>
                          <w:pStyle w:val="TableParagraph"/>
                          <w:spacing w:before="55" w:line="227" w:lineRule="exact"/>
                          <w:ind w:left="108"/>
                          <w:jc w:val="left"/>
                          <w:rPr>
                            <w:sz w:val="20"/>
                          </w:rPr>
                        </w:pPr>
                        <w:r>
                          <w:rPr>
                            <w:sz w:val="20"/>
                          </w:rPr>
                          <w:t>Station Heat rate</w:t>
                        </w:r>
                      </w:p>
                    </w:tc>
                    <w:tc>
                      <w:tcPr>
                        <w:tcW w:w="1320" w:type="dxa"/>
                      </w:tcPr>
                      <w:p w:rsidR="007C5447" w:rsidRDefault="00F6308C">
                        <w:pPr>
                          <w:pStyle w:val="TableParagraph"/>
                          <w:spacing w:before="55" w:line="227" w:lineRule="exact"/>
                          <w:ind w:left="109"/>
                          <w:jc w:val="left"/>
                          <w:rPr>
                            <w:sz w:val="20"/>
                          </w:rPr>
                        </w:pPr>
                        <w:r>
                          <w:rPr>
                            <w:sz w:val="20"/>
                          </w:rPr>
                          <w:t>kCal/kWh</w:t>
                        </w:r>
                      </w:p>
                    </w:tc>
                    <w:tc>
                      <w:tcPr>
                        <w:tcW w:w="1521" w:type="dxa"/>
                      </w:tcPr>
                      <w:p w:rsidR="007C5447" w:rsidRDefault="00F6308C">
                        <w:pPr>
                          <w:pStyle w:val="TableParagraph"/>
                          <w:spacing w:before="55" w:line="227" w:lineRule="exact"/>
                          <w:ind w:right="94"/>
                          <w:rPr>
                            <w:sz w:val="20"/>
                          </w:rPr>
                        </w:pPr>
                        <w:r>
                          <w:rPr>
                            <w:sz w:val="20"/>
                          </w:rPr>
                          <w:t>2500</w:t>
                        </w:r>
                      </w:p>
                    </w:tc>
                    <w:tc>
                      <w:tcPr>
                        <w:tcW w:w="1519" w:type="dxa"/>
                      </w:tcPr>
                      <w:p w:rsidR="007C5447" w:rsidRDefault="00F6308C">
                        <w:pPr>
                          <w:pStyle w:val="TableParagraph"/>
                          <w:spacing w:before="55" w:line="227" w:lineRule="exact"/>
                          <w:ind w:right="91"/>
                          <w:rPr>
                            <w:sz w:val="20"/>
                          </w:rPr>
                        </w:pPr>
                        <w:r>
                          <w:rPr>
                            <w:sz w:val="20"/>
                          </w:rPr>
                          <w:t>2500</w:t>
                        </w:r>
                      </w:p>
                    </w:tc>
                    <w:tc>
                      <w:tcPr>
                        <w:tcW w:w="1519" w:type="dxa"/>
                      </w:tcPr>
                      <w:p w:rsidR="007C5447" w:rsidRDefault="00F6308C">
                        <w:pPr>
                          <w:pStyle w:val="TableParagraph"/>
                          <w:spacing w:before="55" w:line="227" w:lineRule="exact"/>
                          <w:ind w:right="91"/>
                          <w:rPr>
                            <w:sz w:val="20"/>
                          </w:rPr>
                        </w:pPr>
                        <w:r>
                          <w:rPr>
                            <w:sz w:val="20"/>
                          </w:rPr>
                          <w:t>2500</w:t>
                        </w:r>
                      </w:p>
                    </w:tc>
                    <w:tc>
                      <w:tcPr>
                        <w:tcW w:w="1522" w:type="dxa"/>
                      </w:tcPr>
                      <w:p w:rsidR="007C5447" w:rsidRDefault="00F6308C">
                        <w:pPr>
                          <w:pStyle w:val="TableParagraph"/>
                          <w:spacing w:before="55" w:line="227" w:lineRule="exact"/>
                          <w:ind w:right="95"/>
                          <w:rPr>
                            <w:sz w:val="20"/>
                          </w:rPr>
                        </w:pPr>
                        <w:r>
                          <w:rPr>
                            <w:sz w:val="20"/>
                          </w:rPr>
                          <w:t>2500</w:t>
                        </w:r>
                      </w:p>
                    </w:tc>
                    <w:tc>
                      <w:tcPr>
                        <w:tcW w:w="1519" w:type="dxa"/>
                      </w:tcPr>
                      <w:p w:rsidR="007C5447" w:rsidRDefault="00F6308C">
                        <w:pPr>
                          <w:pStyle w:val="TableParagraph"/>
                          <w:spacing w:before="55" w:line="227" w:lineRule="exact"/>
                          <w:ind w:right="90"/>
                          <w:rPr>
                            <w:sz w:val="20"/>
                          </w:rPr>
                        </w:pPr>
                        <w:r>
                          <w:rPr>
                            <w:sz w:val="20"/>
                          </w:rPr>
                          <w:t>2500</w:t>
                        </w:r>
                      </w:p>
                    </w:tc>
                  </w:tr>
                  <w:tr w:rsidR="007C5447">
                    <w:trPr>
                      <w:trHeight w:val="299"/>
                    </w:trPr>
                    <w:tc>
                      <w:tcPr>
                        <w:tcW w:w="960" w:type="dxa"/>
                      </w:tcPr>
                      <w:p w:rsidR="007C5447" w:rsidRDefault="00F6308C">
                        <w:pPr>
                          <w:pStyle w:val="TableParagraph"/>
                          <w:spacing w:before="34"/>
                          <w:ind w:left="8"/>
                          <w:jc w:val="center"/>
                          <w:rPr>
                            <w:sz w:val="20"/>
                          </w:rPr>
                        </w:pPr>
                        <w:r>
                          <w:rPr>
                            <w:w w:val="99"/>
                            <w:sz w:val="20"/>
                          </w:rPr>
                          <w:t>9</w:t>
                        </w:r>
                      </w:p>
                    </w:tc>
                    <w:tc>
                      <w:tcPr>
                        <w:tcW w:w="2959" w:type="dxa"/>
                      </w:tcPr>
                      <w:p w:rsidR="007C5447" w:rsidRDefault="00F6308C">
                        <w:pPr>
                          <w:pStyle w:val="TableParagraph"/>
                          <w:spacing w:before="55" w:line="224" w:lineRule="exact"/>
                          <w:ind w:left="108"/>
                          <w:jc w:val="left"/>
                          <w:rPr>
                            <w:sz w:val="20"/>
                          </w:rPr>
                        </w:pPr>
                        <w:r>
                          <w:rPr>
                            <w:sz w:val="20"/>
                          </w:rPr>
                          <w:t>Fuel Oil Consumption</w:t>
                        </w:r>
                      </w:p>
                    </w:tc>
                    <w:tc>
                      <w:tcPr>
                        <w:tcW w:w="1320" w:type="dxa"/>
                      </w:tcPr>
                      <w:p w:rsidR="007C5447" w:rsidRDefault="00F6308C">
                        <w:pPr>
                          <w:pStyle w:val="TableParagraph"/>
                          <w:spacing w:before="55" w:line="224" w:lineRule="exact"/>
                          <w:ind w:left="109"/>
                          <w:jc w:val="left"/>
                          <w:rPr>
                            <w:sz w:val="20"/>
                          </w:rPr>
                        </w:pPr>
                        <w:r>
                          <w:rPr>
                            <w:sz w:val="20"/>
                          </w:rPr>
                          <w:t>ml/kWh</w:t>
                        </w:r>
                      </w:p>
                    </w:tc>
                    <w:tc>
                      <w:tcPr>
                        <w:tcW w:w="1521" w:type="dxa"/>
                      </w:tcPr>
                      <w:p w:rsidR="007C5447" w:rsidRDefault="00F6308C">
                        <w:pPr>
                          <w:pStyle w:val="TableParagraph"/>
                          <w:spacing w:before="55" w:line="224" w:lineRule="exact"/>
                          <w:ind w:right="96"/>
                          <w:rPr>
                            <w:sz w:val="20"/>
                          </w:rPr>
                        </w:pPr>
                        <w:r>
                          <w:rPr>
                            <w:sz w:val="20"/>
                          </w:rPr>
                          <w:t>0.53</w:t>
                        </w:r>
                      </w:p>
                    </w:tc>
                    <w:tc>
                      <w:tcPr>
                        <w:tcW w:w="1519" w:type="dxa"/>
                      </w:tcPr>
                      <w:p w:rsidR="007C5447" w:rsidRDefault="00F6308C">
                        <w:pPr>
                          <w:pStyle w:val="TableParagraph"/>
                          <w:spacing w:before="55" w:line="224" w:lineRule="exact"/>
                          <w:ind w:right="93"/>
                          <w:rPr>
                            <w:sz w:val="20"/>
                          </w:rPr>
                        </w:pPr>
                        <w:r>
                          <w:rPr>
                            <w:sz w:val="20"/>
                          </w:rPr>
                          <w:t>0.60</w:t>
                        </w:r>
                      </w:p>
                    </w:tc>
                    <w:tc>
                      <w:tcPr>
                        <w:tcW w:w="1519" w:type="dxa"/>
                      </w:tcPr>
                      <w:p w:rsidR="007C5447" w:rsidRDefault="00F6308C">
                        <w:pPr>
                          <w:pStyle w:val="TableParagraph"/>
                          <w:spacing w:before="55" w:line="224" w:lineRule="exact"/>
                          <w:ind w:right="93"/>
                          <w:rPr>
                            <w:sz w:val="20"/>
                          </w:rPr>
                        </w:pPr>
                        <w:r>
                          <w:rPr>
                            <w:sz w:val="20"/>
                          </w:rPr>
                          <w:t>0.51</w:t>
                        </w:r>
                      </w:p>
                    </w:tc>
                    <w:tc>
                      <w:tcPr>
                        <w:tcW w:w="1522" w:type="dxa"/>
                      </w:tcPr>
                      <w:p w:rsidR="007C5447" w:rsidRDefault="00F6308C">
                        <w:pPr>
                          <w:pStyle w:val="TableParagraph"/>
                          <w:spacing w:before="55" w:line="224" w:lineRule="exact"/>
                          <w:ind w:right="95"/>
                          <w:rPr>
                            <w:sz w:val="20"/>
                          </w:rPr>
                        </w:pPr>
                        <w:r>
                          <w:rPr>
                            <w:sz w:val="20"/>
                          </w:rPr>
                          <w:t>1.40</w:t>
                        </w:r>
                      </w:p>
                    </w:tc>
                    <w:tc>
                      <w:tcPr>
                        <w:tcW w:w="1519" w:type="dxa"/>
                      </w:tcPr>
                      <w:p w:rsidR="007C5447" w:rsidRDefault="00F6308C">
                        <w:pPr>
                          <w:pStyle w:val="TableParagraph"/>
                          <w:spacing w:before="55" w:line="224" w:lineRule="exact"/>
                          <w:ind w:right="92"/>
                          <w:rPr>
                            <w:sz w:val="20"/>
                          </w:rPr>
                        </w:pPr>
                        <w:r>
                          <w:rPr>
                            <w:sz w:val="20"/>
                          </w:rPr>
                          <w:t>1.40</w:t>
                        </w:r>
                      </w:p>
                    </w:tc>
                  </w:tr>
                  <w:tr w:rsidR="007C5447">
                    <w:trPr>
                      <w:trHeight w:val="299"/>
                    </w:trPr>
                    <w:tc>
                      <w:tcPr>
                        <w:tcW w:w="960" w:type="dxa"/>
                      </w:tcPr>
                      <w:p w:rsidR="007C5447" w:rsidRDefault="00F6308C">
                        <w:pPr>
                          <w:pStyle w:val="TableParagraph"/>
                          <w:spacing w:before="34"/>
                          <w:ind w:left="161" w:right="152"/>
                          <w:jc w:val="center"/>
                          <w:rPr>
                            <w:sz w:val="20"/>
                          </w:rPr>
                        </w:pPr>
                        <w:r>
                          <w:rPr>
                            <w:sz w:val="20"/>
                          </w:rPr>
                          <w:t>10</w:t>
                        </w:r>
                      </w:p>
                    </w:tc>
                    <w:tc>
                      <w:tcPr>
                        <w:tcW w:w="2959" w:type="dxa"/>
                      </w:tcPr>
                      <w:p w:rsidR="007C5447" w:rsidRDefault="00F6308C">
                        <w:pPr>
                          <w:pStyle w:val="TableParagraph"/>
                          <w:spacing w:before="55" w:line="224" w:lineRule="exact"/>
                          <w:ind w:left="108"/>
                          <w:jc w:val="left"/>
                          <w:rPr>
                            <w:sz w:val="20"/>
                          </w:rPr>
                        </w:pPr>
                        <w:r>
                          <w:rPr>
                            <w:sz w:val="20"/>
                          </w:rPr>
                          <w:t>GCV of Primary Fuel</w:t>
                        </w:r>
                      </w:p>
                    </w:tc>
                    <w:tc>
                      <w:tcPr>
                        <w:tcW w:w="1320" w:type="dxa"/>
                      </w:tcPr>
                      <w:p w:rsidR="007C5447" w:rsidRDefault="00F6308C">
                        <w:pPr>
                          <w:pStyle w:val="TableParagraph"/>
                          <w:spacing w:before="55" w:line="224" w:lineRule="exact"/>
                          <w:ind w:left="109"/>
                          <w:jc w:val="left"/>
                          <w:rPr>
                            <w:sz w:val="20"/>
                          </w:rPr>
                        </w:pPr>
                        <w:r>
                          <w:rPr>
                            <w:sz w:val="20"/>
                          </w:rPr>
                          <w:t>Kcal/kg</w:t>
                        </w:r>
                      </w:p>
                    </w:tc>
                    <w:tc>
                      <w:tcPr>
                        <w:tcW w:w="1521" w:type="dxa"/>
                      </w:tcPr>
                      <w:p w:rsidR="007C5447" w:rsidRDefault="00F6308C">
                        <w:pPr>
                          <w:pStyle w:val="TableParagraph"/>
                          <w:spacing w:before="55" w:line="224" w:lineRule="exact"/>
                          <w:ind w:right="98"/>
                          <w:rPr>
                            <w:sz w:val="20"/>
                          </w:rPr>
                        </w:pPr>
                        <w:r>
                          <w:rPr>
                            <w:w w:val="95"/>
                            <w:sz w:val="20"/>
                          </w:rPr>
                          <w:t>3,562</w:t>
                        </w:r>
                      </w:p>
                    </w:tc>
                    <w:tc>
                      <w:tcPr>
                        <w:tcW w:w="1519" w:type="dxa"/>
                      </w:tcPr>
                      <w:p w:rsidR="007C5447" w:rsidRDefault="00F6308C">
                        <w:pPr>
                          <w:pStyle w:val="TableParagraph"/>
                          <w:spacing w:before="55" w:line="224" w:lineRule="exact"/>
                          <w:ind w:right="95"/>
                          <w:rPr>
                            <w:sz w:val="20"/>
                          </w:rPr>
                        </w:pPr>
                        <w:r>
                          <w:rPr>
                            <w:w w:val="95"/>
                            <w:sz w:val="20"/>
                          </w:rPr>
                          <w:t>3,441</w:t>
                        </w:r>
                      </w:p>
                    </w:tc>
                    <w:tc>
                      <w:tcPr>
                        <w:tcW w:w="1519" w:type="dxa"/>
                      </w:tcPr>
                      <w:p w:rsidR="007C5447" w:rsidRDefault="00F6308C">
                        <w:pPr>
                          <w:pStyle w:val="TableParagraph"/>
                          <w:spacing w:before="55" w:line="224" w:lineRule="exact"/>
                          <w:ind w:right="95"/>
                          <w:rPr>
                            <w:sz w:val="20"/>
                          </w:rPr>
                        </w:pPr>
                        <w:r>
                          <w:rPr>
                            <w:w w:val="95"/>
                            <w:sz w:val="20"/>
                          </w:rPr>
                          <w:t>3,019</w:t>
                        </w:r>
                      </w:p>
                    </w:tc>
                    <w:tc>
                      <w:tcPr>
                        <w:tcW w:w="1522" w:type="dxa"/>
                      </w:tcPr>
                      <w:p w:rsidR="007C5447" w:rsidRDefault="00F6308C">
                        <w:pPr>
                          <w:pStyle w:val="TableParagraph"/>
                          <w:spacing w:before="55" w:line="224" w:lineRule="exact"/>
                          <w:ind w:right="98"/>
                          <w:rPr>
                            <w:sz w:val="20"/>
                          </w:rPr>
                        </w:pPr>
                        <w:r>
                          <w:rPr>
                            <w:w w:val="95"/>
                            <w:sz w:val="20"/>
                          </w:rPr>
                          <w:t>3,045</w:t>
                        </w:r>
                      </w:p>
                    </w:tc>
                    <w:tc>
                      <w:tcPr>
                        <w:tcW w:w="1519" w:type="dxa"/>
                      </w:tcPr>
                      <w:p w:rsidR="007C5447" w:rsidRDefault="00F6308C">
                        <w:pPr>
                          <w:pStyle w:val="TableParagraph"/>
                          <w:spacing w:before="55" w:line="224" w:lineRule="exact"/>
                          <w:ind w:right="95"/>
                          <w:rPr>
                            <w:sz w:val="20"/>
                          </w:rPr>
                        </w:pPr>
                        <w:r>
                          <w:rPr>
                            <w:w w:val="95"/>
                            <w:sz w:val="20"/>
                          </w:rPr>
                          <w:t>3,623</w:t>
                        </w:r>
                      </w:p>
                    </w:tc>
                  </w:tr>
                  <w:tr w:rsidR="007C5447">
                    <w:trPr>
                      <w:trHeight w:val="299"/>
                    </w:trPr>
                    <w:tc>
                      <w:tcPr>
                        <w:tcW w:w="960" w:type="dxa"/>
                      </w:tcPr>
                      <w:p w:rsidR="007C5447" w:rsidRDefault="00F6308C">
                        <w:pPr>
                          <w:pStyle w:val="TableParagraph"/>
                          <w:spacing w:before="36"/>
                          <w:ind w:left="161" w:right="152"/>
                          <w:jc w:val="center"/>
                          <w:rPr>
                            <w:sz w:val="20"/>
                          </w:rPr>
                        </w:pPr>
                        <w:r>
                          <w:rPr>
                            <w:sz w:val="20"/>
                          </w:rPr>
                          <w:t>11</w:t>
                        </w:r>
                      </w:p>
                    </w:tc>
                    <w:tc>
                      <w:tcPr>
                        <w:tcW w:w="2959" w:type="dxa"/>
                      </w:tcPr>
                      <w:p w:rsidR="007C5447" w:rsidRDefault="00F6308C">
                        <w:pPr>
                          <w:pStyle w:val="TableParagraph"/>
                          <w:spacing w:before="55" w:line="224" w:lineRule="exact"/>
                          <w:ind w:left="108"/>
                          <w:jc w:val="left"/>
                          <w:rPr>
                            <w:sz w:val="20"/>
                          </w:rPr>
                        </w:pPr>
                        <w:r>
                          <w:rPr>
                            <w:sz w:val="20"/>
                          </w:rPr>
                          <w:t>GCV of Secondary Fuel</w:t>
                        </w:r>
                      </w:p>
                    </w:tc>
                    <w:tc>
                      <w:tcPr>
                        <w:tcW w:w="1320" w:type="dxa"/>
                      </w:tcPr>
                      <w:p w:rsidR="007C5447" w:rsidRDefault="00F6308C">
                        <w:pPr>
                          <w:pStyle w:val="TableParagraph"/>
                          <w:spacing w:before="55" w:line="224" w:lineRule="exact"/>
                          <w:ind w:left="109"/>
                          <w:jc w:val="left"/>
                          <w:rPr>
                            <w:sz w:val="20"/>
                          </w:rPr>
                        </w:pPr>
                        <w:r>
                          <w:rPr>
                            <w:sz w:val="20"/>
                          </w:rPr>
                          <w:t>kcal/l</w:t>
                        </w:r>
                      </w:p>
                    </w:tc>
                    <w:tc>
                      <w:tcPr>
                        <w:tcW w:w="1521" w:type="dxa"/>
                      </w:tcPr>
                      <w:p w:rsidR="007C5447" w:rsidRDefault="00F6308C">
                        <w:pPr>
                          <w:pStyle w:val="TableParagraph"/>
                          <w:spacing w:before="55" w:line="224" w:lineRule="exact"/>
                          <w:ind w:right="98"/>
                          <w:rPr>
                            <w:sz w:val="20"/>
                          </w:rPr>
                        </w:pPr>
                        <w:r>
                          <w:rPr>
                            <w:w w:val="95"/>
                            <w:sz w:val="20"/>
                          </w:rPr>
                          <w:t>10,507</w:t>
                        </w:r>
                      </w:p>
                    </w:tc>
                    <w:tc>
                      <w:tcPr>
                        <w:tcW w:w="1519" w:type="dxa"/>
                      </w:tcPr>
                      <w:p w:rsidR="007C5447" w:rsidRDefault="00F6308C">
                        <w:pPr>
                          <w:pStyle w:val="TableParagraph"/>
                          <w:spacing w:before="55" w:line="224" w:lineRule="exact"/>
                          <w:ind w:right="95"/>
                          <w:rPr>
                            <w:sz w:val="20"/>
                          </w:rPr>
                        </w:pPr>
                        <w:r>
                          <w:rPr>
                            <w:w w:val="95"/>
                            <w:sz w:val="20"/>
                          </w:rPr>
                          <w:t>10,472</w:t>
                        </w:r>
                      </w:p>
                    </w:tc>
                    <w:tc>
                      <w:tcPr>
                        <w:tcW w:w="1519" w:type="dxa"/>
                      </w:tcPr>
                      <w:p w:rsidR="007C5447" w:rsidRDefault="00F6308C">
                        <w:pPr>
                          <w:pStyle w:val="TableParagraph"/>
                          <w:spacing w:before="55" w:line="224" w:lineRule="exact"/>
                          <w:ind w:right="95"/>
                          <w:rPr>
                            <w:sz w:val="20"/>
                          </w:rPr>
                        </w:pPr>
                        <w:r>
                          <w:rPr>
                            <w:w w:val="95"/>
                            <w:sz w:val="20"/>
                          </w:rPr>
                          <w:t>10,923</w:t>
                        </w:r>
                      </w:p>
                    </w:tc>
                    <w:tc>
                      <w:tcPr>
                        <w:tcW w:w="1522" w:type="dxa"/>
                      </w:tcPr>
                      <w:p w:rsidR="007C5447" w:rsidRDefault="00F6308C">
                        <w:pPr>
                          <w:pStyle w:val="TableParagraph"/>
                          <w:spacing w:before="55" w:line="224" w:lineRule="exact"/>
                          <w:ind w:right="98"/>
                          <w:rPr>
                            <w:sz w:val="20"/>
                          </w:rPr>
                        </w:pPr>
                        <w:r>
                          <w:rPr>
                            <w:w w:val="95"/>
                            <w:sz w:val="20"/>
                          </w:rPr>
                          <w:t>10,892</w:t>
                        </w:r>
                      </w:p>
                    </w:tc>
                    <w:tc>
                      <w:tcPr>
                        <w:tcW w:w="1519" w:type="dxa"/>
                      </w:tcPr>
                      <w:p w:rsidR="007C5447" w:rsidRDefault="00F6308C">
                        <w:pPr>
                          <w:pStyle w:val="TableParagraph"/>
                          <w:spacing w:before="55" w:line="224" w:lineRule="exact"/>
                          <w:ind w:right="95"/>
                          <w:rPr>
                            <w:sz w:val="20"/>
                          </w:rPr>
                        </w:pPr>
                        <w:r>
                          <w:rPr>
                            <w:w w:val="95"/>
                            <w:sz w:val="20"/>
                          </w:rPr>
                          <w:t>10,284</w:t>
                        </w:r>
                      </w:p>
                    </w:tc>
                  </w:tr>
                  <w:tr w:rsidR="007C5447">
                    <w:trPr>
                      <w:trHeight w:val="299"/>
                    </w:trPr>
                    <w:tc>
                      <w:tcPr>
                        <w:tcW w:w="960" w:type="dxa"/>
                      </w:tcPr>
                      <w:p w:rsidR="007C5447" w:rsidRDefault="00F6308C">
                        <w:pPr>
                          <w:pStyle w:val="TableParagraph"/>
                          <w:spacing w:before="36"/>
                          <w:ind w:left="161" w:right="152"/>
                          <w:jc w:val="center"/>
                          <w:rPr>
                            <w:sz w:val="20"/>
                          </w:rPr>
                        </w:pPr>
                        <w:r>
                          <w:rPr>
                            <w:sz w:val="20"/>
                          </w:rPr>
                          <w:t>12</w:t>
                        </w:r>
                      </w:p>
                    </w:tc>
                    <w:tc>
                      <w:tcPr>
                        <w:tcW w:w="2959" w:type="dxa"/>
                      </w:tcPr>
                      <w:p w:rsidR="007C5447" w:rsidRDefault="00F6308C">
                        <w:pPr>
                          <w:pStyle w:val="TableParagraph"/>
                          <w:spacing w:before="55" w:line="224" w:lineRule="exact"/>
                          <w:ind w:left="108"/>
                          <w:jc w:val="left"/>
                          <w:rPr>
                            <w:sz w:val="20"/>
                          </w:rPr>
                        </w:pPr>
                        <w:r>
                          <w:rPr>
                            <w:sz w:val="20"/>
                          </w:rPr>
                          <w:t>Price of Coal</w:t>
                        </w:r>
                      </w:p>
                    </w:tc>
                    <w:tc>
                      <w:tcPr>
                        <w:tcW w:w="1320" w:type="dxa"/>
                      </w:tcPr>
                      <w:p w:rsidR="007C5447" w:rsidRDefault="00F6308C">
                        <w:pPr>
                          <w:pStyle w:val="TableParagraph"/>
                          <w:spacing w:before="55" w:line="224" w:lineRule="exact"/>
                          <w:ind w:left="109"/>
                          <w:jc w:val="left"/>
                          <w:rPr>
                            <w:sz w:val="20"/>
                          </w:rPr>
                        </w:pPr>
                        <w:r>
                          <w:rPr>
                            <w:sz w:val="20"/>
                          </w:rPr>
                          <w:t>Rs/MT</w:t>
                        </w:r>
                      </w:p>
                    </w:tc>
                    <w:tc>
                      <w:tcPr>
                        <w:tcW w:w="1521" w:type="dxa"/>
                      </w:tcPr>
                      <w:p w:rsidR="007C5447" w:rsidRDefault="00F6308C">
                        <w:pPr>
                          <w:pStyle w:val="TableParagraph"/>
                          <w:spacing w:before="55" w:line="224" w:lineRule="exact"/>
                          <w:ind w:right="98"/>
                          <w:rPr>
                            <w:sz w:val="20"/>
                          </w:rPr>
                        </w:pPr>
                        <w:r>
                          <w:rPr>
                            <w:w w:val="95"/>
                            <w:sz w:val="20"/>
                          </w:rPr>
                          <w:t>3,674</w:t>
                        </w:r>
                      </w:p>
                    </w:tc>
                    <w:tc>
                      <w:tcPr>
                        <w:tcW w:w="1519" w:type="dxa"/>
                      </w:tcPr>
                      <w:p w:rsidR="007C5447" w:rsidRDefault="00F6308C">
                        <w:pPr>
                          <w:pStyle w:val="TableParagraph"/>
                          <w:spacing w:before="55" w:line="224" w:lineRule="exact"/>
                          <w:ind w:right="95"/>
                          <w:rPr>
                            <w:sz w:val="20"/>
                          </w:rPr>
                        </w:pPr>
                        <w:r>
                          <w:rPr>
                            <w:w w:val="95"/>
                            <w:sz w:val="20"/>
                          </w:rPr>
                          <w:t>4,203</w:t>
                        </w:r>
                      </w:p>
                    </w:tc>
                    <w:tc>
                      <w:tcPr>
                        <w:tcW w:w="1519" w:type="dxa"/>
                      </w:tcPr>
                      <w:p w:rsidR="007C5447" w:rsidRDefault="00F6308C">
                        <w:pPr>
                          <w:pStyle w:val="TableParagraph"/>
                          <w:spacing w:before="55" w:line="224" w:lineRule="exact"/>
                          <w:ind w:right="95"/>
                          <w:rPr>
                            <w:sz w:val="20"/>
                          </w:rPr>
                        </w:pPr>
                        <w:r>
                          <w:rPr>
                            <w:w w:val="95"/>
                            <w:sz w:val="20"/>
                          </w:rPr>
                          <w:t>4,516</w:t>
                        </w:r>
                      </w:p>
                    </w:tc>
                    <w:tc>
                      <w:tcPr>
                        <w:tcW w:w="1522" w:type="dxa"/>
                      </w:tcPr>
                      <w:p w:rsidR="007C5447" w:rsidRDefault="00F6308C">
                        <w:pPr>
                          <w:pStyle w:val="TableParagraph"/>
                          <w:spacing w:before="55" w:line="224" w:lineRule="exact"/>
                          <w:ind w:right="98"/>
                          <w:rPr>
                            <w:sz w:val="20"/>
                          </w:rPr>
                        </w:pPr>
                        <w:r>
                          <w:rPr>
                            <w:w w:val="95"/>
                            <w:sz w:val="20"/>
                          </w:rPr>
                          <w:t>4,652</w:t>
                        </w:r>
                      </w:p>
                    </w:tc>
                    <w:tc>
                      <w:tcPr>
                        <w:tcW w:w="1519" w:type="dxa"/>
                      </w:tcPr>
                      <w:p w:rsidR="007C5447" w:rsidRDefault="00F6308C">
                        <w:pPr>
                          <w:pStyle w:val="TableParagraph"/>
                          <w:spacing w:before="55" w:line="224" w:lineRule="exact"/>
                          <w:ind w:right="95"/>
                          <w:rPr>
                            <w:sz w:val="20"/>
                          </w:rPr>
                        </w:pPr>
                        <w:r>
                          <w:rPr>
                            <w:w w:val="95"/>
                            <w:sz w:val="20"/>
                          </w:rPr>
                          <w:t>4,515</w:t>
                        </w:r>
                      </w:p>
                    </w:tc>
                  </w:tr>
                  <w:tr w:rsidR="007C5447">
                    <w:trPr>
                      <w:trHeight w:val="299"/>
                    </w:trPr>
                    <w:tc>
                      <w:tcPr>
                        <w:tcW w:w="960" w:type="dxa"/>
                      </w:tcPr>
                      <w:p w:rsidR="007C5447" w:rsidRDefault="00F6308C">
                        <w:pPr>
                          <w:pStyle w:val="TableParagraph"/>
                          <w:spacing w:before="36"/>
                          <w:ind w:left="161" w:right="152"/>
                          <w:jc w:val="center"/>
                          <w:rPr>
                            <w:sz w:val="20"/>
                          </w:rPr>
                        </w:pPr>
                        <w:r>
                          <w:rPr>
                            <w:sz w:val="20"/>
                          </w:rPr>
                          <w:t>13</w:t>
                        </w:r>
                      </w:p>
                    </w:tc>
                    <w:tc>
                      <w:tcPr>
                        <w:tcW w:w="2959" w:type="dxa"/>
                      </w:tcPr>
                      <w:p w:rsidR="007C5447" w:rsidRDefault="00F6308C">
                        <w:pPr>
                          <w:pStyle w:val="TableParagraph"/>
                          <w:spacing w:before="55" w:line="224" w:lineRule="exact"/>
                          <w:ind w:left="108"/>
                          <w:jc w:val="left"/>
                          <w:rPr>
                            <w:sz w:val="20"/>
                          </w:rPr>
                        </w:pPr>
                        <w:r>
                          <w:rPr>
                            <w:sz w:val="20"/>
                          </w:rPr>
                          <w:t>Price of Oil</w:t>
                        </w:r>
                      </w:p>
                    </w:tc>
                    <w:tc>
                      <w:tcPr>
                        <w:tcW w:w="1320" w:type="dxa"/>
                      </w:tcPr>
                      <w:p w:rsidR="007C5447" w:rsidRDefault="00F6308C">
                        <w:pPr>
                          <w:pStyle w:val="TableParagraph"/>
                          <w:spacing w:before="55" w:line="224" w:lineRule="exact"/>
                          <w:ind w:left="109"/>
                          <w:jc w:val="left"/>
                          <w:rPr>
                            <w:sz w:val="20"/>
                          </w:rPr>
                        </w:pPr>
                        <w:r>
                          <w:rPr>
                            <w:sz w:val="20"/>
                          </w:rPr>
                          <w:t>Rs/kL</w:t>
                        </w:r>
                      </w:p>
                    </w:tc>
                    <w:tc>
                      <w:tcPr>
                        <w:tcW w:w="1521" w:type="dxa"/>
                      </w:tcPr>
                      <w:p w:rsidR="007C5447" w:rsidRDefault="00F6308C">
                        <w:pPr>
                          <w:pStyle w:val="TableParagraph"/>
                          <w:spacing w:before="55" w:line="224" w:lineRule="exact"/>
                          <w:ind w:right="98"/>
                          <w:rPr>
                            <w:sz w:val="20"/>
                          </w:rPr>
                        </w:pPr>
                        <w:r>
                          <w:rPr>
                            <w:w w:val="95"/>
                            <w:sz w:val="20"/>
                          </w:rPr>
                          <w:t>42,297</w:t>
                        </w:r>
                      </w:p>
                    </w:tc>
                    <w:tc>
                      <w:tcPr>
                        <w:tcW w:w="1519" w:type="dxa"/>
                      </w:tcPr>
                      <w:p w:rsidR="007C5447" w:rsidRDefault="00F6308C">
                        <w:pPr>
                          <w:pStyle w:val="TableParagraph"/>
                          <w:spacing w:before="55" w:line="224" w:lineRule="exact"/>
                          <w:ind w:right="95"/>
                          <w:rPr>
                            <w:sz w:val="20"/>
                          </w:rPr>
                        </w:pPr>
                        <w:r>
                          <w:rPr>
                            <w:w w:val="95"/>
                            <w:sz w:val="20"/>
                          </w:rPr>
                          <w:t>49,984</w:t>
                        </w:r>
                      </w:p>
                    </w:tc>
                    <w:tc>
                      <w:tcPr>
                        <w:tcW w:w="1519" w:type="dxa"/>
                      </w:tcPr>
                      <w:p w:rsidR="007C5447" w:rsidRDefault="00F6308C">
                        <w:pPr>
                          <w:pStyle w:val="TableParagraph"/>
                          <w:spacing w:before="55" w:line="224" w:lineRule="exact"/>
                          <w:ind w:right="95"/>
                          <w:rPr>
                            <w:sz w:val="20"/>
                          </w:rPr>
                        </w:pPr>
                        <w:r>
                          <w:rPr>
                            <w:w w:val="95"/>
                            <w:sz w:val="20"/>
                          </w:rPr>
                          <w:t>53,734</w:t>
                        </w:r>
                      </w:p>
                    </w:tc>
                    <w:tc>
                      <w:tcPr>
                        <w:tcW w:w="1522" w:type="dxa"/>
                      </w:tcPr>
                      <w:p w:rsidR="007C5447" w:rsidRDefault="00F6308C">
                        <w:pPr>
                          <w:pStyle w:val="TableParagraph"/>
                          <w:spacing w:before="55" w:line="224" w:lineRule="exact"/>
                          <w:ind w:right="98"/>
                          <w:rPr>
                            <w:sz w:val="20"/>
                          </w:rPr>
                        </w:pPr>
                        <w:r>
                          <w:rPr>
                            <w:w w:val="95"/>
                            <w:sz w:val="20"/>
                          </w:rPr>
                          <w:t>39,058</w:t>
                        </w:r>
                      </w:p>
                    </w:tc>
                    <w:tc>
                      <w:tcPr>
                        <w:tcW w:w="1519" w:type="dxa"/>
                      </w:tcPr>
                      <w:p w:rsidR="007C5447" w:rsidRDefault="00F6308C">
                        <w:pPr>
                          <w:pStyle w:val="TableParagraph"/>
                          <w:spacing w:before="55" w:line="224" w:lineRule="exact"/>
                          <w:ind w:right="94"/>
                          <w:rPr>
                            <w:sz w:val="20"/>
                          </w:rPr>
                        </w:pPr>
                        <w:r>
                          <w:rPr>
                            <w:w w:val="95"/>
                            <w:sz w:val="20"/>
                          </w:rPr>
                          <w:t>40,266</w:t>
                        </w:r>
                      </w:p>
                    </w:tc>
                  </w:tr>
                  <w:tr w:rsidR="007C5447">
                    <w:trPr>
                      <w:trHeight w:val="331"/>
                    </w:trPr>
                    <w:tc>
                      <w:tcPr>
                        <w:tcW w:w="960" w:type="dxa"/>
                        <w:shd w:val="clear" w:color="auto" w:fill="ECECEC"/>
                      </w:tcPr>
                      <w:p w:rsidR="007C5447" w:rsidRDefault="007C5447">
                        <w:pPr>
                          <w:pStyle w:val="TableParagraph"/>
                          <w:jc w:val="left"/>
                          <w:rPr>
                            <w:sz w:val="20"/>
                          </w:rPr>
                        </w:pPr>
                      </w:p>
                    </w:tc>
                    <w:tc>
                      <w:tcPr>
                        <w:tcW w:w="2959" w:type="dxa"/>
                        <w:shd w:val="clear" w:color="auto" w:fill="ECECEC"/>
                      </w:tcPr>
                      <w:p w:rsidR="007C5447" w:rsidRDefault="00F6308C">
                        <w:pPr>
                          <w:pStyle w:val="TableParagraph"/>
                          <w:spacing w:before="87" w:line="224" w:lineRule="exact"/>
                          <w:ind w:left="108"/>
                          <w:jc w:val="left"/>
                          <w:rPr>
                            <w:b/>
                            <w:sz w:val="20"/>
                          </w:rPr>
                        </w:pPr>
                        <w:r>
                          <w:rPr>
                            <w:b/>
                            <w:sz w:val="20"/>
                          </w:rPr>
                          <w:t>Calculations</w:t>
                        </w:r>
                      </w:p>
                    </w:tc>
                    <w:tc>
                      <w:tcPr>
                        <w:tcW w:w="1320" w:type="dxa"/>
                        <w:shd w:val="clear" w:color="auto" w:fill="ECECEC"/>
                      </w:tcPr>
                      <w:p w:rsidR="007C5447" w:rsidRDefault="007C5447">
                        <w:pPr>
                          <w:pStyle w:val="TableParagraph"/>
                          <w:jc w:val="left"/>
                          <w:rPr>
                            <w:sz w:val="20"/>
                          </w:rPr>
                        </w:pPr>
                      </w:p>
                    </w:tc>
                    <w:tc>
                      <w:tcPr>
                        <w:tcW w:w="1521" w:type="dxa"/>
                        <w:shd w:val="clear" w:color="auto" w:fill="ECECEC"/>
                      </w:tcPr>
                      <w:p w:rsidR="007C5447" w:rsidRDefault="007C5447">
                        <w:pPr>
                          <w:pStyle w:val="TableParagraph"/>
                          <w:jc w:val="left"/>
                          <w:rPr>
                            <w:sz w:val="20"/>
                          </w:rPr>
                        </w:pPr>
                      </w:p>
                    </w:tc>
                    <w:tc>
                      <w:tcPr>
                        <w:tcW w:w="1519" w:type="dxa"/>
                        <w:shd w:val="clear" w:color="auto" w:fill="ECECEC"/>
                      </w:tcPr>
                      <w:p w:rsidR="007C5447" w:rsidRDefault="007C5447">
                        <w:pPr>
                          <w:pStyle w:val="TableParagraph"/>
                          <w:jc w:val="left"/>
                          <w:rPr>
                            <w:sz w:val="20"/>
                          </w:rPr>
                        </w:pPr>
                      </w:p>
                    </w:tc>
                    <w:tc>
                      <w:tcPr>
                        <w:tcW w:w="1519" w:type="dxa"/>
                        <w:shd w:val="clear" w:color="auto" w:fill="ECECEC"/>
                      </w:tcPr>
                      <w:p w:rsidR="007C5447" w:rsidRDefault="007C5447">
                        <w:pPr>
                          <w:pStyle w:val="TableParagraph"/>
                          <w:jc w:val="left"/>
                          <w:rPr>
                            <w:sz w:val="20"/>
                          </w:rPr>
                        </w:pPr>
                      </w:p>
                    </w:tc>
                    <w:tc>
                      <w:tcPr>
                        <w:tcW w:w="1522" w:type="dxa"/>
                        <w:shd w:val="clear" w:color="auto" w:fill="ECECEC"/>
                      </w:tcPr>
                      <w:p w:rsidR="007C5447" w:rsidRDefault="007C5447">
                        <w:pPr>
                          <w:pStyle w:val="TableParagraph"/>
                          <w:jc w:val="left"/>
                          <w:rPr>
                            <w:sz w:val="20"/>
                          </w:rPr>
                        </w:pPr>
                      </w:p>
                    </w:tc>
                    <w:tc>
                      <w:tcPr>
                        <w:tcW w:w="1519" w:type="dxa"/>
                        <w:shd w:val="clear" w:color="auto" w:fill="ECECEC"/>
                      </w:tcPr>
                      <w:p w:rsidR="007C5447" w:rsidRDefault="007C5447">
                        <w:pPr>
                          <w:pStyle w:val="TableParagraph"/>
                          <w:jc w:val="left"/>
                          <w:rPr>
                            <w:sz w:val="20"/>
                          </w:rPr>
                        </w:pPr>
                      </w:p>
                    </w:tc>
                  </w:tr>
                  <w:tr w:rsidR="007C5447">
                    <w:trPr>
                      <w:trHeight w:val="299"/>
                    </w:trPr>
                    <w:tc>
                      <w:tcPr>
                        <w:tcW w:w="960" w:type="dxa"/>
                      </w:tcPr>
                      <w:p w:rsidR="007C5447" w:rsidRDefault="00F6308C">
                        <w:pPr>
                          <w:pStyle w:val="TableParagraph"/>
                          <w:spacing w:before="36"/>
                          <w:ind w:left="161" w:right="152"/>
                          <w:jc w:val="center"/>
                          <w:rPr>
                            <w:sz w:val="20"/>
                          </w:rPr>
                        </w:pPr>
                        <w:r>
                          <w:rPr>
                            <w:sz w:val="20"/>
                          </w:rPr>
                          <w:t>14</w:t>
                        </w:r>
                      </w:p>
                    </w:tc>
                    <w:tc>
                      <w:tcPr>
                        <w:tcW w:w="2959" w:type="dxa"/>
                      </w:tcPr>
                      <w:p w:rsidR="007C5447" w:rsidRDefault="00F6308C">
                        <w:pPr>
                          <w:pStyle w:val="TableParagraph"/>
                          <w:spacing w:before="55" w:line="224" w:lineRule="exact"/>
                          <w:ind w:left="108"/>
                          <w:jc w:val="left"/>
                          <w:rPr>
                            <w:sz w:val="20"/>
                          </w:rPr>
                        </w:pPr>
                        <w:r>
                          <w:rPr>
                            <w:sz w:val="20"/>
                          </w:rPr>
                          <w:t>Total Heat from Coal and Oil</w:t>
                        </w:r>
                      </w:p>
                    </w:tc>
                    <w:tc>
                      <w:tcPr>
                        <w:tcW w:w="1320" w:type="dxa"/>
                      </w:tcPr>
                      <w:p w:rsidR="007C5447" w:rsidRDefault="00F6308C">
                        <w:pPr>
                          <w:pStyle w:val="TableParagraph"/>
                          <w:spacing w:before="55" w:line="224" w:lineRule="exact"/>
                          <w:ind w:left="109"/>
                          <w:jc w:val="left"/>
                          <w:rPr>
                            <w:sz w:val="20"/>
                          </w:rPr>
                        </w:pPr>
                        <w:r>
                          <w:rPr>
                            <w:sz w:val="20"/>
                          </w:rPr>
                          <w:t>MKCL</w:t>
                        </w:r>
                      </w:p>
                    </w:tc>
                    <w:tc>
                      <w:tcPr>
                        <w:tcW w:w="1521" w:type="dxa"/>
                      </w:tcPr>
                      <w:p w:rsidR="007C5447" w:rsidRDefault="00F6308C">
                        <w:pPr>
                          <w:pStyle w:val="TableParagraph"/>
                          <w:spacing w:before="55" w:line="224" w:lineRule="exact"/>
                          <w:ind w:right="99"/>
                          <w:rPr>
                            <w:sz w:val="20"/>
                          </w:rPr>
                        </w:pPr>
                        <w:r>
                          <w:rPr>
                            <w:w w:val="95"/>
                            <w:sz w:val="20"/>
                          </w:rPr>
                          <w:t>1,71,12,055</w:t>
                        </w:r>
                      </w:p>
                    </w:tc>
                    <w:tc>
                      <w:tcPr>
                        <w:tcW w:w="1519" w:type="dxa"/>
                      </w:tcPr>
                      <w:p w:rsidR="007C5447" w:rsidRDefault="00F6308C">
                        <w:pPr>
                          <w:pStyle w:val="TableParagraph"/>
                          <w:spacing w:before="55" w:line="224" w:lineRule="exact"/>
                          <w:ind w:right="97"/>
                          <w:rPr>
                            <w:sz w:val="20"/>
                          </w:rPr>
                        </w:pPr>
                        <w:r>
                          <w:rPr>
                            <w:w w:val="95"/>
                            <w:sz w:val="20"/>
                          </w:rPr>
                          <w:t>1,55,00,873</w:t>
                        </w:r>
                      </w:p>
                    </w:tc>
                    <w:tc>
                      <w:tcPr>
                        <w:tcW w:w="1519" w:type="dxa"/>
                      </w:tcPr>
                      <w:p w:rsidR="007C5447" w:rsidRDefault="00F6308C">
                        <w:pPr>
                          <w:pStyle w:val="TableParagraph"/>
                          <w:spacing w:before="55" w:line="224" w:lineRule="exact"/>
                          <w:ind w:right="96"/>
                          <w:rPr>
                            <w:sz w:val="20"/>
                          </w:rPr>
                        </w:pPr>
                        <w:r>
                          <w:rPr>
                            <w:w w:val="95"/>
                            <w:sz w:val="20"/>
                          </w:rPr>
                          <w:t>1,61,96,365</w:t>
                        </w:r>
                      </w:p>
                    </w:tc>
                    <w:tc>
                      <w:tcPr>
                        <w:tcW w:w="1522" w:type="dxa"/>
                      </w:tcPr>
                      <w:p w:rsidR="007C5447" w:rsidRDefault="00F6308C">
                        <w:pPr>
                          <w:pStyle w:val="TableParagraph"/>
                          <w:spacing w:before="55" w:line="224" w:lineRule="exact"/>
                          <w:ind w:right="99"/>
                          <w:rPr>
                            <w:sz w:val="20"/>
                          </w:rPr>
                        </w:pPr>
                        <w:r>
                          <w:rPr>
                            <w:w w:val="95"/>
                            <w:sz w:val="20"/>
                          </w:rPr>
                          <w:t>1,55,82,500</w:t>
                        </w:r>
                      </w:p>
                    </w:tc>
                    <w:tc>
                      <w:tcPr>
                        <w:tcW w:w="1519" w:type="dxa"/>
                      </w:tcPr>
                      <w:p w:rsidR="007C5447" w:rsidRDefault="00F6308C">
                        <w:pPr>
                          <w:pStyle w:val="TableParagraph"/>
                          <w:spacing w:before="55" w:line="224" w:lineRule="exact"/>
                          <w:ind w:right="96"/>
                          <w:rPr>
                            <w:sz w:val="20"/>
                          </w:rPr>
                        </w:pPr>
                        <w:r>
                          <w:rPr>
                            <w:w w:val="95"/>
                            <w:sz w:val="20"/>
                          </w:rPr>
                          <w:t>1,48,02,491</w:t>
                        </w:r>
                      </w:p>
                    </w:tc>
                  </w:tr>
                  <w:tr w:rsidR="007C5447">
                    <w:trPr>
                      <w:trHeight w:val="299"/>
                    </w:trPr>
                    <w:tc>
                      <w:tcPr>
                        <w:tcW w:w="960" w:type="dxa"/>
                      </w:tcPr>
                      <w:p w:rsidR="007C5447" w:rsidRDefault="00F6308C">
                        <w:pPr>
                          <w:pStyle w:val="TableParagraph"/>
                          <w:spacing w:before="36"/>
                          <w:ind w:left="161" w:right="152"/>
                          <w:jc w:val="center"/>
                          <w:rPr>
                            <w:sz w:val="20"/>
                          </w:rPr>
                        </w:pPr>
                        <w:r>
                          <w:rPr>
                            <w:sz w:val="20"/>
                          </w:rPr>
                          <w:t>15</w:t>
                        </w:r>
                      </w:p>
                    </w:tc>
                    <w:tc>
                      <w:tcPr>
                        <w:tcW w:w="2959" w:type="dxa"/>
                      </w:tcPr>
                      <w:p w:rsidR="007C5447" w:rsidRDefault="00F6308C">
                        <w:pPr>
                          <w:pStyle w:val="TableParagraph"/>
                          <w:spacing w:before="55" w:line="224" w:lineRule="exact"/>
                          <w:ind w:left="108"/>
                          <w:jc w:val="left"/>
                          <w:rPr>
                            <w:sz w:val="20"/>
                          </w:rPr>
                        </w:pPr>
                        <w:r>
                          <w:rPr>
                            <w:sz w:val="20"/>
                          </w:rPr>
                          <w:t>Heat from Coal</w:t>
                        </w:r>
                      </w:p>
                    </w:tc>
                    <w:tc>
                      <w:tcPr>
                        <w:tcW w:w="1320" w:type="dxa"/>
                      </w:tcPr>
                      <w:p w:rsidR="007C5447" w:rsidRDefault="00F6308C">
                        <w:pPr>
                          <w:pStyle w:val="TableParagraph"/>
                          <w:spacing w:before="55" w:line="224" w:lineRule="exact"/>
                          <w:ind w:left="109"/>
                          <w:jc w:val="left"/>
                          <w:rPr>
                            <w:sz w:val="20"/>
                          </w:rPr>
                        </w:pPr>
                        <w:r>
                          <w:rPr>
                            <w:sz w:val="20"/>
                          </w:rPr>
                          <w:t>MKCL</w:t>
                        </w:r>
                      </w:p>
                    </w:tc>
                    <w:tc>
                      <w:tcPr>
                        <w:tcW w:w="1521" w:type="dxa"/>
                      </w:tcPr>
                      <w:p w:rsidR="007C5447" w:rsidRDefault="00F6308C">
                        <w:pPr>
                          <w:pStyle w:val="TableParagraph"/>
                          <w:spacing w:before="55" w:line="224" w:lineRule="exact"/>
                          <w:ind w:right="99"/>
                          <w:rPr>
                            <w:sz w:val="20"/>
                          </w:rPr>
                        </w:pPr>
                        <w:r>
                          <w:rPr>
                            <w:w w:val="95"/>
                            <w:sz w:val="20"/>
                          </w:rPr>
                          <w:t>1,70,74,226</w:t>
                        </w:r>
                      </w:p>
                    </w:tc>
                    <w:tc>
                      <w:tcPr>
                        <w:tcW w:w="1519" w:type="dxa"/>
                      </w:tcPr>
                      <w:p w:rsidR="007C5447" w:rsidRDefault="00F6308C">
                        <w:pPr>
                          <w:pStyle w:val="TableParagraph"/>
                          <w:spacing w:before="55" w:line="224" w:lineRule="exact"/>
                          <w:ind w:right="97"/>
                          <w:rPr>
                            <w:sz w:val="20"/>
                          </w:rPr>
                        </w:pPr>
                        <w:r>
                          <w:rPr>
                            <w:w w:val="95"/>
                            <w:sz w:val="20"/>
                          </w:rPr>
                          <w:t>1,54,62,174</w:t>
                        </w:r>
                      </w:p>
                    </w:tc>
                    <w:tc>
                      <w:tcPr>
                        <w:tcW w:w="1519" w:type="dxa"/>
                      </w:tcPr>
                      <w:p w:rsidR="007C5447" w:rsidRDefault="00F6308C">
                        <w:pPr>
                          <w:pStyle w:val="TableParagraph"/>
                          <w:spacing w:before="55" w:line="224" w:lineRule="exact"/>
                          <w:ind w:right="96"/>
                          <w:rPr>
                            <w:sz w:val="20"/>
                          </w:rPr>
                        </w:pPr>
                        <w:r>
                          <w:rPr>
                            <w:w w:val="95"/>
                            <w:sz w:val="20"/>
                          </w:rPr>
                          <w:t>1,61,60,051</w:t>
                        </w:r>
                      </w:p>
                    </w:tc>
                    <w:tc>
                      <w:tcPr>
                        <w:tcW w:w="1522" w:type="dxa"/>
                      </w:tcPr>
                      <w:p w:rsidR="007C5447" w:rsidRDefault="00F6308C">
                        <w:pPr>
                          <w:pStyle w:val="TableParagraph"/>
                          <w:spacing w:before="55" w:line="224" w:lineRule="exact"/>
                          <w:ind w:right="99"/>
                          <w:rPr>
                            <w:sz w:val="20"/>
                          </w:rPr>
                        </w:pPr>
                        <w:r>
                          <w:rPr>
                            <w:w w:val="95"/>
                            <w:sz w:val="20"/>
                          </w:rPr>
                          <w:t>1,54,87,415</w:t>
                        </w:r>
                      </w:p>
                    </w:tc>
                    <w:tc>
                      <w:tcPr>
                        <w:tcW w:w="1519" w:type="dxa"/>
                      </w:tcPr>
                      <w:p w:rsidR="007C5447" w:rsidRDefault="00F6308C">
                        <w:pPr>
                          <w:pStyle w:val="TableParagraph"/>
                          <w:spacing w:before="55" w:line="224" w:lineRule="exact"/>
                          <w:ind w:right="96"/>
                          <w:rPr>
                            <w:sz w:val="20"/>
                          </w:rPr>
                        </w:pPr>
                        <w:r>
                          <w:rPr>
                            <w:w w:val="95"/>
                            <w:sz w:val="20"/>
                          </w:rPr>
                          <w:t>1,47,17,208</w:t>
                        </w:r>
                      </w:p>
                    </w:tc>
                  </w:tr>
                  <w:tr w:rsidR="007C5447">
                    <w:trPr>
                      <w:trHeight w:val="302"/>
                    </w:trPr>
                    <w:tc>
                      <w:tcPr>
                        <w:tcW w:w="960" w:type="dxa"/>
                      </w:tcPr>
                      <w:p w:rsidR="007C5447" w:rsidRDefault="00F6308C">
                        <w:pPr>
                          <w:pStyle w:val="TableParagraph"/>
                          <w:spacing w:before="36"/>
                          <w:ind w:left="161" w:right="152"/>
                          <w:jc w:val="center"/>
                          <w:rPr>
                            <w:sz w:val="20"/>
                          </w:rPr>
                        </w:pPr>
                        <w:r>
                          <w:rPr>
                            <w:sz w:val="20"/>
                          </w:rPr>
                          <w:t>16</w:t>
                        </w:r>
                      </w:p>
                    </w:tc>
                    <w:tc>
                      <w:tcPr>
                        <w:tcW w:w="2959" w:type="dxa"/>
                      </w:tcPr>
                      <w:p w:rsidR="007C5447" w:rsidRDefault="00F6308C">
                        <w:pPr>
                          <w:pStyle w:val="TableParagraph"/>
                          <w:spacing w:before="55" w:line="227" w:lineRule="exact"/>
                          <w:ind w:left="108"/>
                          <w:jc w:val="left"/>
                          <w:rPr>
                            <w:sz w:val="20"/>
                          </w:rPr>
                        </w:pPr>
                        <w:r>
                          <w:rPr>
                            <w:sz w:val="20"/>
                          </w:rPr>
                          <w:t>Heat from Oil</w:t>
                        </w:r>
                      </w:p>
                    </w:tc>
                    <w:tc>
                      <w:tcPr>
                        <w:tcW w:w="1320" w:type="dxa"/>
                      </w:tcPr>
                      <w:p w:rsidR="007C5447" w:rsidRDefault="00F6308C">
                        <w:pPr>
                          <w:pStyle w:val="TableParagraph"/>
                          <w:spacing w:before="55" w:line="227" w:lineRule="exact"/>
                          <w:ind w:left="109"/>
                          <w:jc w:val="left"/>
                          <w:rPr>
                            <w:sz w:val="20"/>
                          </w:rPr>
                        </w:pPr>
                        <w:r>
                          <w:rPr>
                            <w:sz w:val="20"/>
                          </w:rPr>
                          <w:t>MKCL</w:t>
                        </w:r>
                      </w:p>
                    </w:tc>
                    <w:tc>
                      <w:tcPr>
                        <w:tcW w:w="1521" w:type="dxa"/>
                      </w:tcPr>
                      <w:p w:rsidR="007C5447" w:rsidRDefault="00F6308C">
                        <w:pPr>
                          <w:pStyle w:val="TableParagraph"/>
                          <w:spacing w:before="55" w:line="227" w:lineRule="exact"/>
                          <w:ind w:right="96"/>
                          <w:rPr>
                            <w:sz w:val="20"/>
                          </w:rPr>
                        </w:pPr>
                        <w:r>
                          <w:rPr>
                            <w:sz w:val="20"/>
                          </w:rPr>
                          <w:t>37,829</w:t>
                        </w:r>
                      </w:p>
                    </w:tc>
                    <w:tc>
                      <w:tcPr>
                        <w:tcW w:w="1519" w:type="dxa"/>
                      </w:tcPr>
                      <w:p w:rsidR="007C5447" w:rsidRDefault="00F6308C">
                        <w:pPr>
                          <w:pStyle w:val="TableParagraph"/>
                          <w:spacing w:before="55" w:line="227" w:lineRule="exact"/>
                          <w:ind w:right="95"/>
                          <w:rPr>
                            <w:sz w:val="20"/>
                          </w:rPr>
                        </w:pPr>
                        <w:r>
                          <w:rPr>
                            <w:w w:val="95"/>
                            <w:sz w:val="20"/>
                          </w:rPr>
                          <w:t>38,698</w:t>
                        </w:r>
                      </w:p>
                    </w:tc>
                    <w:tc>
                      <w:tcPr>
                        <w:tcW w:w="1519" w:type="dxa"/>
                      </w:tcPr>
                      <w:p w:rsidR="007C5447" w:rsidRDefault="00F6308C">
                        <w:pPr>
                          <w:pStyle w:val="TableParagraph"/>
                          <w:spacing w:before="55" w:line="227" w:lineRule="exact"/>
                          <w:ind w:right="95"/>
                          <w:rPr>
                            <w:sz w:val="20"/>
                          </w:rPr>
                        </w:pPr>
                        <w:r>
                          <w:rPr>
                            <w:w w:val="95"/>
                            <w:sz w:val="20"/>
                          </w:rPr>
                          <w:t>36,314</w:t>
                        </w:r>
                      </w:p>
                    </w:tc>
                    <w:tc>
                      <w:tcPr>
                        <w:tcW w:w="1522" w:type="dxa"/>
                      </w:tcPr>
                      <w:p w:rsidR="007C5447" w:rsidRDefault="00F6308C">
                        <w:pPr>
                          <w:pStyle w:val="TableParagraph"/>
                          <w:spacing w:before="55" w:line="227" w:lineRule="exact"/>
                          <w:ind w:right="98"/>
                          <w:rPr>
                            <w:sz w:val="20"/>
                          </w:rPr>
                        </w:pPr>
                        <w:r>
                          <w:rPr>
                            <w:w w:val="95"/>
                            <w:sz w:val="20"/>
                          </w:rPr>
                          <w:t>95,085</w:t>
                        </w:r>
                      </w:p>
                    </w:tc>
                    <w:tc>
                      <w:tcPr>
                        <w:tcW w:w="1519" w:type="dxa"/>
                      </w:tcPr>
                      <w:p w:rsidR="007C5447" w:rsidRDefault="00F6308C">
                        <w:pPr>
                          <w:pStyle w:val="TableParagraph"/>
                          <w:spacing w:before="55" w:line="227" w:lineRule="exact"/>
                          <w:ind w:right="95"/>
                          <w:rPr>
                            <w:sz w:val="20"/>
                          </w:rPr>
                        </w:pPr>
                        <w:r>
                          <w:rPr>
                            <w:w w:val="95"/>
                            <w:sz w:val="20"/>
                          </w:rPr>
                          <w:t>85,283</w:t>
                        </w:r>
                      </w:p>
                    </w:tc>
                  </w:tr>
                  <w:tr w:rsidR="007C5447">
                    <w:trPr>
                      <w:trHeight w:val="299"/>
                    </w:trPr>
                    <w:tc>
                      <w:tcPr>
                        <w:tcW w:w="960" w:type="dxa"/>
                      </w:tcPr>
                      <w:p w:rsidR="007C5447" w:rsidRDefault="00F6308C">
                        <w:pPr>
                          <w:pStyle w:val="TableParagraph"/>
                          <w:spacing w:before="34"/>
                          <w:ind w:left="161" w:right="152"/>
                          <w:jc w:val="center"/>
                          <w:rPr>
                            <w:sz w:val="20"/>
                          </w:rPr>
                        </w:pPr>
                        <w:r>
                          <w:rPr>
                            <w:sz w:val="20"/>
                          </w:rPr>
                          <w:t>17</w:t>
                        </w:r>
                      </w:p>
                    </w:tc>
                    <w:tc>
                      <w:tcPr>
                        <w:tcW w:w="2959" w:type="dxa"/>
                      </w:tcPr>
                      <w:p w:rsidR="007C5447" w:rsidRDefault="00F6308C">
                        <w:pPr>
                          <w:pStyle w:val="TableParagraph"/>
                          <w:spacing w:before="55" w:line="224" w:lineRule="exact"/>
                          <w:ind w:left="108"/>
                          <w:jc w:val="left"/>
                          <w:rPr>
                            <w:sz w:val="20"/>
                          </w:rPr>
                        </w:pPr>
                        <w:r>
                          <w:rPr>
                            <w:sz w:val="20"/>
                          </w:rPr>
                          <w:t>Oil Consumed</w:t>
                        </w:r>
                      </w:p>
                    </w:tc>
                    <w:tc>
                      <w:tcPr>
                        <w:tcW w:w="1320" w:type="dxa"/>
                      </w:tcPr>
                      <w:p w:rsidR="007C5447" w:rsidRDefault="00F6308C">
                        <w:pPr>
                          <w:pStyle w:val="TableParagraph"/>
                          <w:spacing w:before="55" w:line="224" w:lineRule="exact"/>
                          <w:ind w:left="109"/>
                          <w:jc w:val="left"/>
                          <w:rPr>
                            <w:sz w:val="20"/>
                          </w:rPr>
                        </w:pPr>
                        <w:r>
                          <w:rPr>
                            <w:sz w:val="20"/>
                          </w:rPr>
                          <w:t>kL</w:t>
                        </w:r>
                      </w:p>
                    </w:tc>
                    <w:tc>
                      <w:tcPr>
                        <w:tcW w:w="1521" w:type="dxa"/>
                      </w:tcPr>
                      <w:p w:rsidR="007C5447" w:rsidRDefault="00F6308C">
                        <w:pPr>
                          <w:pStyle w:val="TableParagraph"/>
                          <w:spacing w:before="55" w:line="224" w:lineRule="exact"/>
                          <w:ind w:right="98"/>
                          <w:rPr>
                            <w:sz w:val="20"/>
                          </w:rPr>
                        </w:pPr>
                        <w:r>
                          <w:rPr>
                            <w:w w:val="95"/>
                            <w:sz w:val="20"/>
                          </w:rPr>
                          <w:t>3,600</w:t>
                        </w:r>
                      </w:p>
                    </w:tc>
                    <w:tc>
                      <w:tcPr>
                        <w:tcW w:w="1519" w:type="dxa"/>
                      </w:tcPr>
                      <w:p w:rsidR="007C5447" w:rsidRDefault="00F6308C">
                        <w:pPr>
                          <w:pStyle w:val="TableParagraph"/>
                          <w:spacing w:before="55" w:line="224" w:lineRule="exact"/>
                          <w:ind w:right="95"/>
                          <w:rPr>
                            <w:sz w:val="20"/>
                          </w:rPr>
                        </w:pPr>
                        <w:r>
                          <w:rPr>
                            <w:w w:val="95"/>
                            <w:sz w:val="20"/>
                          </w:rPr>
                          <w:t>3,695</w:t>
                        </w:r>
                      </w:p>
                    </w:tc>
                    <w:tc>
                      <w:tcPr>
                        <w:tcW w:w="1519" w:type="dxa"/>
                      </w:tcPr>
                      <w:p w:rsidR="007C5447" w:rsidRDefault="00F6308C">
                        <w:pPr>
                          <w:pStyle w:val="TableParagraph"/>
                          <w:spacing w:before="55" w:line="224" w:lineRule="exact"/>
                          <w:ind w:right="95"/>
                          <w:rPr>
                            <w:sz w:val="20"/>
                          </w:rPr>
                        </w:pPr>
                        <w:r>
                          <w:rPr>
                            <w:w w:val="95"/>
                            <w:sz w:val="20"/>
                          </w:rPr>
                          <w:t>3,325</w:t>
                        </w:r>
                      </w:p>
                    </w:tc>
                    <w:tc>
                      <w:tcPr>
                        <w:tcW w:w="1522" w:type="dxa"/>
                      </w:tcPr>
                      <w:p w:rsidR="007C5447" w:rsidRDefault="00F6308C">
                        <w:pPr>
                          <w:pStyle w:val="TableParagraph"/>
                          <w:spacing w:before="55" w:line="224" w:lineRule="exact"/>
                          <w:ind w:right="98"/>
                          <w:rPr>
                            <w:sz w:val="20"/>
                          </w:rPr>
                        </w:pPr>
                        <w:r>
                          <w:rPr>
                            <w:w w:val="95"/>
                            <w:sz w:val="20"/>
                          </w:rPr>
                          <w:t>8,730</w:t>
                        </w:r>
                      </w:p>
                    </w:tc>
                    <w:tc>
                      <w:tcPr>
                        <w:tcW w:w="1519" w:type="dxa"/>
                      </w:tcPr>
                      <w:p w:rsidR="007C5447" w:rsidRDefault="00F6308C">
                        <w:pPr>
                          <w:pStyle w:val="TableParagraph"/>
                          <w:spacing w:before="55" w:line="224" w:lineRule="exact"/>
                          <w:ind w:right="95"/>
                          <w:rPr>
                            <w:sz w:val="20"/>
                          </w:rPr>
                        </w:pPr>
                        <w:r>
                          <w:rPr>
                            <w:w w:val="95"/>
                            <w:sz w:val="20"/>
                          </w:rPr>
                          <w:t>8,293</w:t>
                        </w:r>
                      </w:p>
                    </w:tc>
                  </w:tr>
                  <w:tr w:rsidR="007C5447">
                    <w:trPr>
                      <w:trHeight w:val="299"/>
                    </w:trPr>
                    <w:tc>
                      <w:tcPr>
                        <w:tcW w:w="960" w:type="dxa"/>
                      </w:tcPr>
                      <w:p w:rsidR="007C5447" w:rsidRDefault="00F6308C">
                        <w:pPr>
                          <w:pStyle w:val="TableParagraph"/>
                          <w:spacing w:before="34"/>
                          <w:ind w:left="161" w:right="152"/>
                          <w:jc w:val="center"/>
                          <w:rPr>
                            <w:sz w:val="20"/>
                          </w:rPr>
                        </w:pPr>
                        <w:r>
                          <w:rPr>
                            <w:sz w:val="20"/>
                          </w:rPr>
                          <w:t>18</w:t>
                        </w:r>
                      </w:p>
                    </w:tc>
                    <w:tc>
                      <w:tcPr>
                        <w:tcW w:w="2959" w:type="dxa"/>
                      </w:tcPr>
                      <w:p w:rsidR="007C5447" w:rsidRDefault="00F6308C">
                        <w:pPr>
                          <w:pStyle w:val="TableParagraph"/>
                          <w:spacing w:before="55" w:line="224" w:lineRule="exact"/>
                          <w:ind w:left="108"/>
                          <w:jc w:val="left"/>
                          <w:rPr>
                            <w:sz w:val="20"/>
                          </w:rPr>
                        </w:pPr>
                        <w:r>
                          <w:rPr>
                            <w:sz w:val="20"/>
                          </w:rPr>
                          <w:t>Coal Consumed</w:t>
                        </w:r>
                      </w:p>
                    </w:tc>
                    <w:tc>
                      <w:tcPr>
                        <w:tcW w:w="1320" w:type="dxa"/>
                      </w:tcPr>
                      <w:p w:rsidR="007C5447" w:rsidRDefault="00F6308C">
                        <w:pPr>
                          <w:pStyle w:val="TableParagraph"/>
                          <w:spacing w:before="55" w:line="224" w:lineRule="exact"/>
                          <w:ind w:left="109"/>
                          <w:jc w:val="left"/>
                          <w:rPr>
                            <w:sz w:val="20"/>
                          </w:rPr>
                        </w:pPr>
                        <w:r>
                          <w:rPr>
                            <w:sz w:val="20"/>
                          </w:rPr>
                          <w:t>MT</w:t>
                        </w:r>
                      </w:p>
                    </w:tc>
                    <w:tc>
                      <w:tcPr>
                        <w:tcW w:w="1521" w:type="dxa"/>
                      </w:tcPr>
                      <w:p w:rsidR="007C5447" w:rsidRDefault="00F6308C">
                        <w:pPr>
                          <w:pStyle w:val="TableParagraph"/>
                          <w:spacing w:before="55" w:line="224" w:lineRule="exact"/>
                          <w:ind w:right="99"/>
                          <w:rPr>
                            <w:sz w:val="20"/>
                          </w:rPr>
                        </w:pPr>
                        <w:r>
                          <w:rPr>
                            <w:w w:val="95"/>
                            <w:sz w:val="20"/>
                          </w:rPr>
                          <w:t>47,93,438</w:t>
                        </w:r>
                      </w:p>
                    </w:tc>
                    <w:tc>
                      <w:tcPr>
                        <w:tcW w:w="1519" w:type="dxa"/>
                      </w:tcPr>
                      <w:p w:rsidR="007C5447" w:rsidRDefault="00F6308C">
                        <w:pPr>
                          <w:pStyle w:val="TableParagraph"/>
                          <w:spacing w:before="55" w:line="224" w:lineRule="exact"/>
                          <w:ind w:right="96"/>
                          <w:rPr>
                            <w:sz w:val="20"/>
                          </w:rPr>
                        </w:pPr>
                        <w:r>
                          <w:rPr>
                            <w:w w:val="95"/>
                            <w:sz w:val="20"/>
                          </w:rPr>
                          <w:t>44,92,990</w:t>
                        </w:r>
                      </w:p>
                    </w:tc>
                    <w:tc>
                      <w:tcPr>
                        <w:tcW w:w="1519" w:type="dxa"/>
                      </w:tcPr>
                      <w:p w:rsidR="007C5447" w:rsidRDefault="00F6308C">
                        <w:pPr>
                          <w:pStyle w:val="TableParagraph"/>
                          <w:spacing w:before="55" w:line="224" w:lineRule="exact"/>
                          <w:ind w:right="96"/>
                          <w:rPr>
                            <w:sz w:val="20"/>
                          </w:rPr>
                        </w:pPr>
                        <w:r>
                          <w:rPr>
                            <w:w w:val="95"/>
                            <w:sz w:val="20"/>
                          </w:rPr>
                          <w:t>53,52,783</w:t>
                        </w:r>
                      </w:p>
                    </w:tc>
                    <w:tc>
                      <w:tcPr>
                        <w:tcW w:w="1522" w:type="dxa"/>
                      </w:tcPr>
                      <w:p w:rsidR="007C5447" w:rsidRDefault="00F6308C">
                        <w:pPr>
                          <w:pStyle w:val="TableParagraph"/>
                          <w:spacing w:before="55" w:line="224" w:lineRule="exact"/>
                          <w:ind w:right="98"/>
                          <w:rPr>
                            <w:sz w:val="20"/>
                          </w:rPr>
                        </w:pPr>
                        <w:r>
                          <w:rPr>
                            <w:w w:val="95"/>
                            <w:sz w:val="20"/>
                          </w:rPr>
                          <w:t>50,86,179</w:t>
                        </w:r>
                      </w:p>
                    </w:tc>
                    <w:tc>
                      <w:tcPr>
                        <w:tcW w:w="1519" w:type="dxa"/>
                      </w:tcPr>
                      <w:p w:rsidR="007C5447" w:rsidRDefault="00F6308C">
                        <w:pPr>
                          <w:pStyle w:val="TableParagraph"/>
                          <w:spacing w:before="55" w:line="224" w:lineRule="exact"/>
                          <w:ind w:right="95"/>
                          <w:rPr>
                            <w:sz w:val="20"/>
                          </w:rPr>
                        </w:pPr>
                        <w:r>
                          <w:rPr>
                            <w:w w:val="95"/>
                            <w:sz w:val="20"/>
                          </w:rPr>
                          <w:t>40,62,067</w:t>
                        </w:r>
                      </w:p>
                    </w:tc>
                  </w:tr>
                  <w:tr w:rsidR="007C5447">
                    <w:trPr>
                      <w:trHeight w:val="299"/>
                    </w:trPr>
                    <w:tc>
                      <w:tcPr>
                        <w:tcW w:w="960" w:type="dxa"/>
                      </w:tcPr>
                      <w:p w:rsidR="007C5447" w:rsidRDefault="00F6308C">
                        <w:pPr>
                          <w:pStyle w:val="TableParagraph"/>
                          <w:spacing w:before="36"/>
                          <w:ind w:left="161" w:right="152"/>
                          <w:jc w:val="center"/>
                          <w:rPr>
                            <w:sz w:val="20"/>
                          </w:rPr>
                        </w:pPr>
                        <w:r>
                          <w:rPr>
                            <w:sz w:val="20"/>
                          </w:rPr>
                          <w:t>19</w:t>
                        </w:r>
                      </w:p>
                    </w:tc>
                    <w:tc>
                      <w:tcPr>
                        <w:tcW w:w="2959" w:type="dxa"/>
                      </w:tcPr>
                      <w:p w:rsidR="007C5447" w:rsidRDefault="00F6308C">
                        <w:pPr>
                          <w:pStyle w:val="TableParagraph"/>
                          <w:spacing w:before="55" w:line="224" w:lineRule="exact"/>
                          <w:ind w:left="108"/>
                          <w:jc w:val="left"/>
                          <w:rPr>
                            <w:sz w:val="20"/>
                          </w:rPr>
                        </w:pPr>
                        <w:r>
                          <w:rPr>
                            <w:sz w:val="20"/>
                          </w:rPr>
                          <w:t>Total Cost of Coal</w:t>
                        </w:r>
                      </w:p>
                    </w:tc>
                    <w:tc>
                      <w:tcPr>
                        <w:tcW w:w="1320" w:type="dxa"/>
                      </w:tcPr>
                      <w:p w:rsidR="007C5447" w:rsidRDefault="00F6308C">
                        <w:pPr>
                          <w:pStyle w:val="TableParagraph"/>
                          <w:spacing w:before="55" w:line="224" w:lineRule="exact"/>
                          <w:ind w:left="109"/>
                          <w:jc w:val="left"/>
                          <w:rPr>
                            <w:sz w:val="20"/>
                          </w:rPr>
                        </w:pPr>
                        <w:r>
                          <w:rPr>
                            <w:sz w:val="20"/>
                          </w:rPr>
                          <w:t>Rs. Crore</w:t>
                        </w:r>
                      </w:p>
                    </w:tc>
                    <w:tc>
                      <w:tcPr>
                        <w:tcW w:w="1521" w:type="dxa"/>
                      </w:tcPr>
                      <w:p w:rsidR="007C5447" w:rsidRDefault="00F6308C">
                        <w:pPr>
                          <w:pStyle w:val="TableParagraph"/>
                          <w:spacing w:before="55" w:line="224" w:lineRule="exact"/>
                          <w:ind w:right="98"/>
                          <w:rPr>
                            <w:sz w:val="20"/>
                          </w:rPr>
                        </w:pPr>
                        <w:r>
                          <w:rPr>
                            <w:w w:val="95"/>
                            <w:sz w:val="20"/>
                          </w:rPr>
                          <w:t>1,761</w:t>
                        </w:r>
                      </w:p>
                    </w:tc>
                    <w:tc>
                      <w:tcPr>
                        <w:tcW w:w="1519" w:type="dxa"/>
                      </w:tcPr>
                      <w:p w:rsidR="007C5447" w:rsidRDefault="00F6308C">
                        <w:pPr>
                          <w:pStyle w:val="TableParagraph"/>
                          <w:spacing w:before="55" w:line="224" w:lineRule="exact"/>
                          <w:ind w:right="95"/>
                          <w:rPr>
                            <w:sz w:val="20"/>
                          </w:rPr>
                        </w:pPr>
                        <w:r>
                          <w:rPr>
                            <w:w w:val="95"/>
                            <w:sz w:val="20"/>
                          </w:rPr>
                          <w:t>1,888</w:t>
                        </w:r>
                      </w:p>
                    </w:tc>
                    <w:tc>
                      <w:tcPr>
                        <w:tcW w:w="1519" w:type="dxa"/>
                      </w:tcPr>
                      <w:p w:rsidR="007C5447" w:rsidRDefault="00F6308C">
                        <w:pPr>
                          <w:pStyle w:val="TableParagraph"/>
                          <w:spacing w:before="55" w:line="224" w:lineRule="exact"/>
                          <w:ind w:right="95"/>
                          <w:rPr>
                            <w:sz w:val="20"/>
                          </w:rPr>
                        </w:pPr>
                        <w:r>
                          <w:rPr>
                            <w:w w:val="95"/>
                            <w:sz w:val="20"/>
                          </w:rPr>
                          <w:t>2,417</w:t>
                        </w:r>
                      </w:p>
                    </w:tc>
                    <w:tc>
                      <w:tcPr>
                        <w:tcW w:w="1522" w:type="dxa"/>
                      </w:tcPr>
                      <w:p w:rsidR="007C5447" w:rsidRDefault="00F6308C">
                        <w:pPr>
                          <w:pStyle w:val="TableParagraph"/>
                          <w:spacing w:before="55" w:line="224" w:lineRule="exact"/>
                          <w:ind w:right="98"/>
                          <w:rPr>
                            <w:sz w:val="20"/>
                          </w:rPr>
                        </w:pPr>
                        <w:r>
                          <w:rPr>
                            <w:w w:val="95"/>
                            <w:sz w:val="20"/>
                          </w:rPr>
                          <w:t>2,366</w:t>
                        </w:r>
                      </w:p>
                    </w:tc>
                    <w:tc>
                      <w:tcPr>
                        <w:tcW w:w="1519" w:type="dxa"/>
                      </w:tcPr>
                      <w:p w:rsidR="007C5447" w:rsidRDefault="00F6308C">
                        <w:pPr>
                          <w:pStyle w:val="TableParagraph"/>
                          <w:spacing w:before="55" w:line="224" w:lineRule="exact"/>
                          <w:ind w:right="95"/>
                          <w:rPr>
                            <w:sz w:val="20"/>
                          </w:rPr>
                        </w:pPr>
                        <w:r>
                          <w:rPr>
                            <w:w w:val="95"/>
                            <w:sz w:val="20"/>
                          </w:rPr>
                          <w:t>1,834</w:t>
                        </w:r>
                      </w:p>
                    </w:tc>
                  </w:tr>
                  <w:tr w:rsidR="007C5447">
                    <w:trPr>
                      <w:trHeight w:val="299"/>
                    </w:trPr>
                    <w:tc>
                      <w:tcPr>
                        <w:tcW w:w="960" w:type="dxa"/>
                      </w:tcPr>
                      <w:p w:rsidR="007C5447" w:rsidRDefault="00F6308C">
                        <w:pPr>
                          <w:pStyle w:val="TableParagraph"/>
                          <w:spacing w:before="36"/>
                          <w:ind w:left="161" w:right="153"/>
                          <w:jc w:val="center"/>
                          <w:rPr>
                            <w:sz w:val="20"/>
                          </w:rPr>
                        </w:pPr>
                        <w:r>
                          <w:rPr>
                            <w:sz w:val="20"/>
                          </w:rPr>
                          <w:t>20</w:t>
                        </w:r>
                      </w:p>
                    </w:tc>
                    <w:tc>
                      <w:tcPr>
                        <w:tcW w:w="2959" w:type="dxa"/>
                      </w:tcPr>
                      <w:p w:rsidR="007C5447" w:rsidRDefault="00F6308C">
                        <w:pPr>
                          <w:pStyle w:val="TableParagraph"/>
                          <w:spacing w:before="55" w:line="224" w:lineRule="exact"/>
                          <w:ind w:left="108"/>
                          <w:jc w:val="left"/>
                          <w:rPr>
                            <w:sz w:val="20"/>
                          </w:rPr>
                        </w:pPr>
                        <w:r>
                          <w:rPr>
                            <w:sz w:val="20"/>
                          </w:rPr>
                          <w:t>Total Cost of Oil</w:t>
                        </w:r>
                      </w:p>
                    </w:tc>
                    <w:tc>
                      <w:tcPr>
                        <w:tcW w:w="1320" w:type="dxa"/>
                      </w:tcPr>
                      <w:p w:rsidR="007C5447" w:rsidRDefault="00F6308C">
                        <w:pPr>
                          <w:pStyle w:val="TableParagraph"/>
                          <w:spacing w:before="55" w:line="224" w:lineRule="exact"/>
                          <w:ind w:left="109"/>
                          <w:jc w:val="left"/>
                          <w:rPr>
                            <w:sz w:val="20"/>
                          </w:rPr>
                        </w:pPr>
                        <w:r>
                          <w:rPr>
                            <w:sz w:val="20"/>
                          </w:rPr>
                          <w:t>Rs. Crore</w:t>
                        </w:r>
                      </w:p>
                    </w:tc>
                    <w:tc>
                      <w:tcPr>
                        <w:tcW w:w="1521" w:type="dxa"/>
                      </w:tcPr>
                      <w:p w:rsidR="007C5447" w:rsidRDefault="00F6308C">
                        <w:pPr>
                          <w:pStyle w:val="TableParagraph"/>
                          <w:spacing w:before="55" w:line="224" w:lineRule="exact"/>
                          <w:ind w:right="96"/>
                          <w:rPr>
                            <w:sz w:val="20"/>
                          </w:rPr>
                        </w:pPr>
                        <w:r>
                          <w:rPr>
                            <w:sz w:val="20"/>
                          </w:rPr>
                          <w:t>15</w:t>
                        </w:r>
                      </w:p>
                    </w:tc>
                    <w:tc>
                      <w:tcPr>
                        <w:tcW w:w="1519" w:type="dxa"/>
                      </w:tcPr>
                      <w:p w:rsidR="007C5447" w:rsidRDefault="00F6308C">
                        <w:pPr>
                          <w:pStyle w:val="TableParagraph"/>
                          <w:spacing w:before="55" w:line="224" w:lineRule="exact"/>
                          <w:ind w:right="93"/>
                          <w:rPr>
                            <w:sz w:val="20"/>
                          </w:rPr>
                        </w:pPr>
                        <w:r>
                          <w:rPr>
                            <w:sz w:val="20"/>
                          </w:rPr>
                          <w:t>18</w:t>
                        </w:r>
                      </w:p>
                    </w:tc>
                    <w:tc>
                      <w:tcPr>
                        <w:tcW w:w="1519" w:type="dxa"/>
                      </w:tcPr>
                      <w:p w:rsidR="007C5447" w:rsidRDefault="00F6308C">
                        <w:pPr>
                          <w:pStyle w:val="TableParagraph"/>
                          <w:spacing w:before="55" w:line="224" w:lineRule="exact"/>
                          <w:ind w:right="93"/>
                          <w:rPr>
                            <w:sz w:val="20"/>
                          </w:rPr>
                        </w:pPr>
                        <w:r>
                          <w:rPr>
                            <w:sz w:val="20"/>
                          </w:rPr>
                          <w:t>18</w:t>
                        </w:r>
                      </w:p>
                    </w:tc>
                    <w:tc>
                      <w:tcPr>
                        <w:tcW w:w="1522" w:type="dxa"/>
                      </w:tcPr>
                      <w:p w:rsidR="007C5447" w:rsidRDefault="00F6308C">
                        <w:pPr>
                          <w:pStyle w:val="TableParagraph"/>
                          <w:spacing w:before="55" w:line="224" w:lineRule="exact"/>
                          <w:ind w:right="96"/>
                          <w:rPr>
                            <w:sz w:val="20"/>
                          </w:rPr>
                        </w:pPr>
                        <w:r>
                          <w:rPr>
                            <w:sz w:val="20"/>
                          </w:rPr>
                          <w:t>34</w:t>
                        </w:r>
                      </w:p>
                    </w:tc>
                    <w:tc>
                      <w:tcPr>
                        <w:tcW w:w="1519" w:type="dxa"/>
                      </w:tcPr>
                      <w:p w:rsidR="007C5447" w:rsidRDefault="00F6308C">
                        <w:pPr>
                          <w:pStyle w:val="TableParagraph"/>
                          <w:spacing w:before="55" w:line="224" w:lineRule="exact"/>
                          <w:ind w:right="93"/>
                          <w:rPr>
                            <w:sz w:val="20"/>
                          </w:rPr>
                        </w:pPr>
                        <w:r>
                          <w:rPr>
                            <w:sz w:val="20"/>
                          </w:rPr>
                          <w:t>33</w:t>
                        </w:r>
                      </w:p>
                    </w:tc>
                  </w:tr>
                  <w:tr w:rsidR="007C5447">
                    <w:trPr>
                      <w:trHeight w:val="331"/>
                    </w:trPr>
                    <w:tc>
                      <w:tcPr>
                        <w:tcW w:w="960" w:type="dxa"/>
                        <w:shd w:val="clear" w:color="auto" w:fill="FFFFCC"/>
                      </w:tcPr>
                      <w:p w:rsidR="007C5447" w:rsidRDefault="00F6308C">
                        <w:pPr>
                          <w:pStyle w:val="TableParagraph"/>
                          <w:spacing w:before="51"/>
                          <w:ind w:left="161" w:right="152"/>
                          <w:jc w:val="center"/>
                          <w:rPr>
                            <w:b/>
                            <w:sz w:val="20"/>
                          </w:rPr>
                        </w:pPr>
                        <w:r>
                          <w:rPr>
                            <w:b/>
                            <w:sz w:val="20"/>
                          </w:rPr>
                          <w:t>21</w:t>
                        </w:r>
                      </w:p>
                    </w:tc>
                    <w:tc>
                      <w:tcPr>
                        <w:tcW w:w="2959" w:type="dxa"/>
                        <w:shd w:val="clear" w:color="auto" w:fill="FFFFCC"/>
                      </w:tcPr>
                      <w:p w:rsidR="007C5447" w:rsidRDefault="00F6308C">
                        <w:pPr>
                          <w:pStyle w:val="TableParagraph"/>
                          <w:spacing w:before="87" w:line="224" w:lineRule="exact"/>
                          <w:ind w:left="108"/>
                          <w:jc w:val="left"/>
                          <w:rPr>
                            <w:b/>
                            <w:sz w:val="20"/>
                          </w:rPr>
                        </w:pPr>
                        <w:r>
                          <w:rPr>
                            <w:b/>
                            <w:sz w:val="20"/>
                          </w:rPr>
                          <w:t>Total Fuel Cost</w:t>
                        </w:r>
                      </w:p>
                    </w:tc>
                    <w:tc>
                      <w:tcPr>
                        <w:tcW w:w="1320" w:type="dxa"/>
                        <w:shd w:val="clear" w:color="auto" w:fill="FFFFCC"/>
                      </w:tcPr>
                      <w:p w:rsidR="007C5447" w:rsidRDefault="00F6308C">
                        <w:pPr>
                          <w:pStyle w:val="TableParagraph"/>
                          <w:spacing w:before="87" w:line="224" w:lineRule="exact"/>
                          <w:ind w:left="109"/>
                          <w:jc w:val="left"/>
                          <w:rPr>
                            <w:b/>
                            <w:sz w:val="20"/>
                          </w:rPr>
                        </w:pPr>
                        <w:r>
                          <w:rPr>
                            <w:b/>
                            <w:sz w:val="20"/>
                          </w:rPr>
                          <w:t>Rs. Crore</w:t>
                        </w:r>
                      </w:p>
                    </w:tc>
                    <w:tc>
                      <w:tcPr>
                        <w:tcW w:w="1521" w:type="dxa"/>
                        <w:shd w:val="clear" w:color="auto" w:fill="FFFFCC"/>
                      </w:tcPr>
                      <w:p w:rsidR="007C5447" w:rsidRDefault="00F6308C">
                        <w:pPr>
                          <w:pStyle w:val="TableParagraph"/>
                          <w:spacing w:before="87" w:line="224" w:lineRule="exact"/>
                          <w:ind w:right="96"/>
                          <w:rPr>
                            <w:b/>
                            <w:sz w:val="20"/>
                          </w:rPr>
                        </w:pPr>
                        <w:r>
                          <w:rPr>
                            <w:b/>
                            <w:sz w:val="20"/>
                          </w:rPr>
                          <w:t>1776.42</w:t>
                        </w:r>
                      </w:p>
                    </w:tc>
                    <w:tc>
                      <w:tcPr>
                        <w:tcW w:w="1519" w:type="dxa"/>
                        <w:shd w:val="clear" w:color="auto" w:fill="FFFFCC"/>
                      </w:tcPr>
                      <w:p w:rsidR="007C5447" w:rsidRDefault="00F6308C">
                        <w:pPr>
                          <w:pStyle w:val="TableParagraph"/>
                          <w:spacing w:before="87" w:line="224" w:lineRule="exact"/>
                          <w:ind w:right="94"/>
                          <w:rPr>
                            <w:b/>
                            <w:sz w:val="20"/>
                          </w:rPr>
                        </w:pPr>
                        <w:r>
                          <w:rPr>
                            <w:b/>
                            <w:sz w:val="20"/>
                          </w:rPr>
                          <w:t>1906.65</w:t>
                        </w:r>
                      </w:p>
                    </w:tc>
                    <w:tc>
                      <w:tcPr>
                        <w:tcW w:w="1519" w:type="dxa"/>
                        <w:shd w:val="clear" w:color="auto" w:fill="FFFFCC"/>
                      </w:tcPr>
                      <w:p w:rsidR="007C5447" w:rsidRDefault="00F6308C">
                        <w:pPr>
                          <w:pStyle w:val="TableParagraph"/>
                          <w:spacing w:before="87" w:line="224" w:lineRule="exact"/>
                          <w:ind w:right="93"/>
                          <w:rPr>
                            <w:b/>
                            <w:sz w:val="20"/>
                          </w:rPr>
                        </w:pPr>
                        <w:r>
                          <w:rPr>
                            <w:b/>
                            <w:sz w:val="20"/>
                          </w:rPr>
                          <w:t>2434.93</w:t>
                        </w:r>
                      </w:p>
                    </w:tc>
                    <w:tc>
                      <w:tcPr>
                        <w:tcW w:w="1522" w:type="dxa"/>
                        <w:shd w:val="clear" w:color="auto" w:fill="FFFFCC"/>
                      </w:tcPr>
                      <w:p w:rsidR="007C5447" w:rsidRDefault="00F6308C">
                        <w:pPr>
                          <w:pStyle w:val="TableParagraph"/>
                          <w:spacing w:before="87" w:line="224" w:lineRule="exact"/>
                          <w:ind w:right="96"/>
                          <w:rPr>
                            <w:b/>
                            <w:sz w:val="20"/>
                          </w:rPr>
                        </w:pPr>
                        <w:r>
                          <w:rPr>
                            <w:b/>
                            <w:sz w:val="20"/>
                          </w:rPr>
                          <w:t>2400.43</w:t>
                        </w:r>
                      </w:p>
                    </w:tc>
                    <w:tc>
                      <w:tcPr>
                        <w:tcW w:w="1519" w:type="dxa"/>
                        <w:shd w:val="clear" w:color="auto" w:fill="FFFFCC"/>
                      </w:tcPr>
                      <w:p w:rsidR="007C5447" w:rsidRDefault="00F6308C">
                        <w:pPr>
                          <w:pStyle w:val="TableParagraph"/>
                          <w:spacing w:before="87" w:line="224" w:lineRule="exact"/>
                          <w:ind w:right="93"/>
                          <w:rPr>
                            <w:b/>
                            <w:sz w:val="20"/>
                          </w:rPr>
                        </w:pPr>
                        <w:r>
                          <w:rPr>
                            <w:b/>
                            <w:sz w:val="20"/>
                          </w:rPr>
                          <w:t>1867.41</w:t>
                        </w:r>
                      </w:p>
                    </w:tc>
                  </w:tr>
                  <w:tr w:rsidR="007C5447">
                    <w:trPr>
                      <w:trHeight w:val="330"/>
                    </w:trPr>
                    <w:tc>
                      <w:tcPr>
                        <w:tcW w:w="960" w:type="dxa"/>
                        <w:shd w:val="clear" w:color="auto" w:fill="FFFFCC"/>
                      </w:tcPr>
                      <w:p w:rsidR="007C5447" w:rsidRDefault="00F6308C">
                        <w:pPr>
                          <w:pStyle w:val="TableParagraph"/>
                          <w:spacing w:before="50"/>
                          <w:ind w:left="161" w:right="152"/>
                          <w:jc w:val="center"/>
                          <w:rPr>
                            <w:b/>
                            <w:sz w:val="20"/>
                          </w:rPr>
                        </w:pPr>
                        <w:r>
                          <w:rPr>
                            <w:b/>
                            <w:sz w:val="20"/>
                          </w:rPr>
                          <w:t>22</w:t>
                        </w:r>
                      </w:p>
                    </w:tc>
                    <w:tc>
                      <w:tcPr>
                        <w:tcW w:w="2959" w:type="dxa"/>
                        <w:shd w:val="clear" w:color="auto" w:fill="FFFFCC"/>
                      </w:tcPr>
                      <w:p w:rsidR="007C5447" w:rsidRDefault="00F6308C">
                        <w:pPr>
                          <w:pStyle w:val="TableParagraph"/>
                          <w:spacing w:before="84" w:line="227" w:lineRule="exact"/>
                          <w:ind w:left="108"/>
                          <w:jc w:val="left"/>
                          <w:rPr>
                            <w:b/>
                            <w:sz w:val="20"/>
                          </w:rPr>
                        </w:pPr>
                        <w:r>
                          <w:rPr>
                            <w:b/>
                            <w:sz w:val="20"/>
                          </w:rPr>
                          <w:t>Energy Charge</w:t>
                        </w:r>
                      </w:p>
                    </w:tc>
                    <w:tc>
                      <w:tcPr>
                        <w:tcW w:w="1320" w:type="dxa"/>
                        <w:shd w:val="clear" w:color="auto" w:fill="FFFFCC"/>
                      </w:tcPr>
                      <w:p w:rsidR="007C5447" w:rsidRDefault="00F6308C">
                        <w:pPr>
                          <w:pStyle w:val="TableParagraph"/>
                          <w:spacing w:before="84" w:line="227" w:lineRule="exact"/>
                          <w:ind w:left="109"/>
                          <w:jc w:val="left"/>
                          <w:rPr>
                            <w:b/>
                            <w:sz w:val="20"/>
                          </w:rPr>
                        </w:pPr>
                        <w:r>
                          <w:rPr>
                            <w:b/>
                            <w:sz w:val="20"/>
                          </w:rPr>
                          <w:t>Rs. /kWh</w:t>
                        </w:r>
                      </w:p>
                    </w:tc>
                    <w:tc>
                      <w:tcPr>
                        <w:tcW w:w="1521" w:type="dxa"/>
                        <w:shd w:val="clear" w:color="auto" w:fill="FFFFCC"/>
                      </w:tcPr>
                      <w:p w:rsidR="007C5447" w:rsidRDefault="00F6308C">
                        <w:pPr>
                          <w:pStyle w:val="TableParagraph"/>
                          <w:spacing w:before="84" w:line="227" w:lineRule="exact"/>
                          <w:ind w:right="98"/>
                          <w:rPr>
                            <w:b/>
                            <w:sz w:val="20"/>
                          </w:rPr>
                        </w:pPr>
                        <w:r>
                          <w:rPr>
                            <w:b/>
                            <w:sz w:val="20"/>
                          </w:rPr>
                          <w:t>2.83</w:t>
                        </w:r>
                      </w:p>
                    </w:tc>
                    <w:tc>
                      <w:tcPr>
                        <w:tcW w:w="1519" w:type="dxa"/>
                        <w:shd w:val="clear" w:color="auto" w:fill="FFFFCC"/>
                      </w:tcPr>
                      <w:p w:rsidR="007C5447" w:rsidRDefault="00F6308C">
                        <w:pPr>
                          <w:pStyle w:val="TableParagraph"/>
                          <w:spacing w:before="84" w:line="227" w:lineRule="exact"/>
                          <w:ind w:right="95"/>
                          <w:rPr>
                            <w:b/>
                            <w:sz w:val="20"/>
                          </w:rPr>
                        </w:pPr>
                        <w:r>
                          <w:rPr>
                            <w:b/>
                            <w:sz w:val="20"/>
                          </w:rPr>
                          <w:t>3.38</w:t>
                        </w:r>
                      </w:p>
                    </w:tc>
                    <w:tc>
                      <w:tcPr>
                        <w:tcW w:w="1519" w:type="dxa"/>
                        <w:shd w:val="clear" w:color="auto" w:fill="FFFFCC"/>
                      </w:tcPr>
                      <w:p w:rsidR="007C5447" w:rsidRDefault="00F6308C">
                        <w:pPr>
                          <w:pStyle w:val="TableParagraph"/>
                          <w:spacing w:before="84" w:line="227" w:lineRule="exact"/>
                          <w:ind w:right="95"/>
                          <w:rPr>
                            <w:b/>
                            <w:sz w:val="20"/>
                          </w:rPr>
                        </w:pPr>
                        <w:r>
                          <w:rPr>
                            <w:b/>
                            <w:sz w:val="20"/>
                          </w:rPr>
                          <w:t>4.11</w:t>
                        </w:r>
                      </w:p>
                    </w:tc>
                    <w:tc>
                      <w:tcPr>
                        <w:tcW w:w="1522" w:type="dxa"/>
                        <w:shd w:val="clear" w:color="auto" w:fill="FFFFCC"/>
                      </w:tcPr>
                      <w:p w:rsidR="007C5447" w:rsidRDefault="00F6308C">
                        <w:pPr>
                          <w:pStyle w:val="TableParagraph"/>
                          <w:spacing w:before="84" w:line="227" w:lineRule="exact"/>
                          <w:ind w:right="98"/>
                          <w:rPr>
                            <w:b/>
                            <w:sz w:val="20"/>
                          </w:rPr>
                        </w:pPr>
                        <w:r>
                          <w:rPr>
                            <w:b/>
                            <w:sz w:val="20"/>
                          </w:rPr>
                          <w:t>4.21</w:t>
                        </w:r>
                      </w:p>
                    </w:tc>
                    <w:tc>
                      <w:tcPr>
                        <w:tcW w:w="1519" w:type="dxa"/>
                        <w:shd w:val="clear" w:color="auto" w:fill="FFFFCC"/>
                      </w:tcPr>
                      <w:p w:rsidR="007C5447" w:rsidRDefault="00F6308C">
                        <w:pPr>
                          <w:pStyle w:val="TableParagraph"/>
                          <w:spacing w:before="84" w:line="227" w:lineRule="exact"/>
                          <w:ind w:right="95"/>
                          <w:rPr>
                            <w:b/>
                            <w:sz w:val="20"/>
                          </w:rPr>
                        </w:pPr>
                        <w:r>
                          <w:rPr>
                            <w:b/>
                            <w:sz w:val="20"/>
                          </w:rPr>
                          <w:t>3.45</w:t>
                        </w:r>
                      </w:p>
                    </w:tc>
                  </w:tr>
                </w:tbl>
                <w:p w:rsidR="007C5447" w:rsidRDefault="007C5447">
                  <w:pPr>
                    <w:pStyle w:val="BodyText"/>
                  </w:pPr>
                </w:p>
              </w:txbxContent>
            </v:textbox>
            <w10:wrap anchorx="page" anchory="page"/>
          </v:shape>
        </w:pict>
      </w:r>
    </w:p>
    <w:p w:rsidR="007C5447" w:rsidRDefault="00F6308C">
      <w:pPr>
        <w:pStyle w:val="BodyText"/>
        <w:ind w:left="1072"/>
        <w:rPr>
          <w:sz w:val="20"/>
        </w:rPr>
      </w:pPr>
      <w:r>
        <w:rPr>
          <w:sz w:val="20"/>
        </w:rPr>
      </w:r>
      <w:r>
        <w:rPr>
          <w:sz w:val="20"/>
        </w:rPr>
        <w:pict>
          <v:shape id="_x0000_s1040" type="#_x0000_t202" style="width:148pt;height:16.6pt;mso-left-percent:-10001;mso-top-percent:-10001;mso-position-horizontal:absolute;mso-position-horizontal-relative:char;mso-position-vertical:absolute;mso-position-vertical-relative:line;mso-left-percent:-10001;mso-top-percent:-10001" fillcolor="#ffc000" stroked="f">
            <v:textbox inset="0,0,0,0">
              <w:txbxContent>
                <w:p w:rsidR="007C5447" w:rsidRDefault="00F6308C">
                  <w:pPr>
                    <w:spacing w:before="87"/>
                    <w:ind w:left="107"/>
                    <w:rPr>
                      <w:b/>
                      <w:sz w:val="20"/>
                    </w:rPr>
                  </w:pPr>
                  <w:r>
                    <w:rPr>
                      <w:b/>
                      <w:sz w:val="20"/>
                    </w:rPr>
                    <w:t>MTPS</w:t>
                  </w:r>
                </w:p>
              </w:txbxContent>
            </v:textbox>
            <w10:anchorlock/>
          </v:shape>
        </w:pict>
      </w:r>
    </w:p>
    <w:p w:rsidR="007C5447" w:rsidRDefault="007C5447">
      <w:pPr>
        <w:rPr>
          <w:sz w:val="20"/>
        </w:rPr>
        <w:sectPr w:rsidR="007C5447">
          <w:pgSz w:w="16840" w:h="11910" w:orient="landscape"/>
          <w:pgMar w:top="1100" w:right="1220" w:bottom="960" w:left="1220" w:header="0" w:footer="777" w:gutter="0"/>
          <w:cols w:space="720"/>
        </w:sectPr>
      </w:pPr>
    </w:p>
    <w:p w:rsidR="007C5447" w:rsidRDefault="00F6308C">
      <w:pPr>
        <w:pStyle w:val="BodyText"/>
        <w:spacing w:before="3"/>
        <w:rPr>
          <w:sz w:val="2"/>
        </w:rPr>
      </w:pPr>
      <w:r>
        <w:lastRenderedPageBreak/>
        <w:pict>
          <v:shape id="_x0000_s1039" type="#_x0000_t202" style="position:absolute;margin-left:119.65pt;margin-top:468.35pt;width:163.5pt;height:16.45pt;z-index:251688960;mso-position-horizontal-relative:page;mso-position-vertical-relative:page" fillcolor="#ffc000" stroked="f">
            <v:textbox inset="0,0,0,0">
              <w:txbxContent>
                <w:p w:rsidR="007C5447" w:rsidRDefault="00F6308C">
                  <w:pPr>
                    <w:spacing w:before="84"/>
                    <w:ind w:left="108"/>
                    <w:rPr>
                      <w:b/>
                      <w:sz w:val="20"/>
                    </w:rPr>
                  </w:pPr>
                  <w:r>
                    <w:rPr>
                      <w:b/>
                      <w:sz w:val="20"/>
                    </w:rPr>
                    <w:t>NCTPS</w:t>
                  </w:r>
                </w:p>
              </w:txbxContent>
            </v:textbox>
            <w10:wrap anchorx="page" anchory="page"/>
          </v:shape>
        </w:pict>
      </w:r>
      <w:r>
        <w:pict>
          <v:shape id="_x0000_s1038" type="#_x0000_t202" style="position:absolute;margin-left:66.35pt;margin-top:73.2pt;width:541.9pt;height:395.6pt;z-index:251689984;mso-position-horizontal-relative:page;mso-position-vertic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1"/>
                    <w:gridCol w:w="3269"/>
                    <w:gridCol w:w="1456"/>
                    <w:gridCol w:w="1677"/>
                    <w:gridCol w:w="1680"/>
                    <w:gridCol w:w="1677"/>
                  </w:tblGrid>
                  <w:tr w:rsidR="007C5447">
                    <w:trPr>
                      <w:trHeight w:val="330"/>
                    </w:trPr>
                    <w:tc>
                      <w:tcPr>
                        <w:tcW w:w="1061" w:type="dxa"/>
                        <w:shd w:val="clear" w:color="auto" w:fill="C8C8C8"/>
                      </w:tcPr>
                      <w:p w:rsidR="007C5447" w:rsidRDefault="00F6308C">
                        <w:pPr>
                          <w:pStyle w:val="TableParagraph"/>
                          <w:spacing w:before="50"/>
                          <w:ind w:left="212" w:right="204"/>
                          <w:jc w:val="center"/>
                          <w:rPr>
                            <w:b/>
                            <w:sz w:val="20"/>
                          </w:rPr>
                        </w:pPr>
                        <w:r>
                          <w:rPr>
                            <w:b/>
                            <w:sz w:val="20"/>
                          </w:rPr>
                          <w:t>Sr. No.</w:t>
                        </w:r>
                      </w:p>
                    </w:tc>
                    <w:tc>
                      <w:tcPr>
                        <w:tcW w:w="3269" w:type="dxa"/>
                        <w:shd w:val="clear" w:color="auto" w:fill="C8C8C8"/>
                      </w:tcPr>
                      <w:p w:rsidR="007C5447" w:rsidRDefault="00F6308C">
                        <w:pPr>
                          <w:pStyle w:val="TableParagraph"/>
                          <w:spacing w:before="50"/>
                          <w:ind w:left="1156" w:right="1151"/>
                          <w:jc w:val="center"/>
                          <w:rPr>
                            <w:b/>
                            <w:sz w:val="20"/>
                          </w:rPr>
                        </w:pPr>
                        <w:r>
                          <w:rPr>
                            <w:b/>
                            <w:sz w:val="20"/>
                          </w:rPr>
                          <w:t>Parameter</w:t>
                        </w:r>
                      </w:p>
                    </w:tc>
                    <w:tc>
                      <w:tcPr>
                        <w:tcW w:w="1456" w:type="dxa"/>
                        <w:shd w:val="clear" w:color="auto" w:fill="C8C8C8"/>
                      </w:tcPr>
                      <w:p w:rsidR="007C5447" w:rsidRDefault="00F6308C">
                        <w:pPr>
                          <w:pStyle w:val="TableParagraph"/>
                          <w:spacing w:before="50"/>
                          <w:ind w:left="519" w:right="508"/>
                          <w:jc w:val="center"/>
                          <w:rPr>
                            <w:b/>
                            <w:sz w:val="20"/>
                          </w:rPr>
                        </w:pPr>
                        <w:r>
                          <w:rPr>
                            <w:b/>
                            <w:sz w:val="20"/>
                          </w:rPr>
                          <w:t>Unit</w:t>
                        </w:r>
                      </w:p>
                    </w:tc>
                    <w:tc>
                      <w:tcPr>
                        <w:tcW w:w="1677" w:type="dxa"/>
                        <w:shd w:val="clear" w:color="auto" w:fill="BEBEBE"/>
                      </w:tcPr>
                      <w:p w:rsidR="007C5447" w:rsidRDefault="00F6308C">
                        <w:pPr>
                          <w:pStyle w:val="TableParagraph"/>
                          <w:spacing w:before="50"/>
                          <w:ind w:left="346"/>
                          <w:jc w:val="left"/>
                          <w:rPr>
                            <w:b/>
                            <w:sz w:val="20"/>
                          </w:rPr>
                        </w:pPr>
                        <w:r>
                          <w:rPr>
                            <w:b/>
                            <w:sz w:val="20"/>
                          </w:rPr>
                          <w:t>FY 2013-14</w:t>
                        </w:r>
                      </w:p>
                    </w:tc>
                    <w:tc>
                      <w:tcPr>
                        <w:tcW w:w="1680" w:type="dxa"/>
                        <w:shd w:val="clear" w:color="auto" w:fill="BEBEBE"/>
                      </w:tcPr>
                      <w:p w:rsidR="007C5447" w:rsidRDefault="00F6308C">
                        <w:pPr>
                          <w:pStyle w:val="TableParagraph"/>
                          <w:spacing w:before="50"/>
                          <w:ind w:left="347"/>
                          <w:jc w:val="left"/>
                          <w:rPr>
                            <w:b/>
                            <w:sz w:val="20"/>
                          </w:rPr>
                        </w:pPr>
                        <w:r>
                          <w:rPr>
                            <w:b/>
                            <w:sz w:val="20"/>
                          </w:rPr>
                          <w:t>FY 2014-15</w:t>
                        </w:r>
                      </w:p>
                    </w:tc>
                    <w:tc>
                      <w:tcPr>
                        <w:tcW w:w="1677" w:type="dxa"/>
                        <w:shd w:val="clear" w:color="auto" w:fill="BEBEBE"/>
                      </w:tcPr>
                      <w:p w:rsidR="007C5447" w:rsidRDefault="00F6308C">
                        <w:pPr>
                          <w:pStyle w:val="TableParagraph"/>
                          <w:spacing w:before="50"/>
                          <w:ind w:left="347"/>
                          <w:jc w:val="left"/>
                          <w:rPr>
                            <w:b/>
                            <w:sz w:val="20"/>
                          </w:rPr>
                        </w:pPr>
                        <w:r>
                          <w:rPr>
                            <w:b/>
                            <w:sz w:val="20"/>
                          </w:rPr>
                          <w:t>FY 2015-16</w:t>
                        </w:r>
                      </w:p>
                    </w:tc>
                  </w:tr>
                  <w:tr w:rsidR="007C5447">
                    <w:trPr>
                      <w:trHeight w:val="299"/>
                    </w:trPr>
                    <w:tc>
                      <w:tcPr>
                        <w:tcW w:w="1061" w:type="dxa"/>
                      </w:tcPr>
                      <w:p w:rsidR="007C5447" w:rsidRDefault="00F6308C">
                        <w:pPr>
                          <w:pStyle w:val="TableParagraph"/>
                          <w:spacing w:before="34"/>
                          <w:ind w:left="9"/>
                          <w:jc w:val="center"/>
                          <w:rPr>
                            <w:sz w:val="20"/>
                          </w:rPr>
                        </w:pPr>
                        <w:r>
                          <w:rPr>
                            <w:w w:val="99"/>
                            <w:sz w:val="20"/>
                          </w:rPr>
                          <w:t>1</w:t>
                        </w:r>
                      </w:p>
                    </w:tc>
                    <w:tc>
                      <w:tcPr>
                        <w:tcW w:w="3269" w:type="dxa"/>
                      </w:tcPr>
                      <w:p w:rsidR="007C5447" w:rsidRDefault="00F6308C">
                        <w:pPr>
                          <w:pStyle w:val="TableParagraph"/>
                          <w:spacing w:before="55" w:line="224" w:lineRule="exact"/>
                          <w:ind w:left="108"/>
                          <w:jc w:val="left"/>
                          <w:rPr>
                            <w:sz w:val="20"/>
                          </w:rPr>
                        </w:pPr>
                        <w:r>
                          <w:rPr>
                            <w:sz w:val="20"/>
                          </w:rPr>
                          <w:t>Installed Capacity(MW)</w:t>
                        </w:r>
                      </w:p>
                    </w:tc>
                    <w:tc>
                      <w:tcPr>
                        <w:tcW w:w="1456" w:type="dxa"/>
                      </w:tcPr>
                      <w:p w:rsidR="007C5447" w:rsidRDefault="00F6308C">
                        <w:pPr>
                          <w:pStyle w:val="TableParagraph"/>
                          <w:spacing w:before="55" w:line="224" w:lineRule="exact"/>
                          <w:ind w:left="108"/>
                          <w:jc w:val="left"/>
                          <w:rPr>
                            <w:sz w:val="20"/>
                          </w:rPr>
                        </w:pPr>
                        <w:r>
                          <w:rPr>
                            <w:sz w:val="20"/>
                          </w:rPr>
                          <w:t>MW</w:t>
                        </w:r>
                      </w:p>
                    </w:tc>
                    <w:tc>
                      <w:tcPr>
                        <w:tcW w:w="1677" w:type="dxa"/>
                      </w:tcPr>
                      <w:p w:rsidR="007C5447" w:rsidRDefault="00F6308C">
                        <w:pPr>
                          <w:pStyle w:val="TableParagraph"/>
                          <w:spacing w:before="55" w:line="224" w:lineRule="exact"/>
                          <w:ind w:right="91"/>
                          <w:rPr>
                            <w:sz w:val="20"/>
                          </w:rPr>
                        </w:pPr>
                        <w:r>
                          <w:rPr>
                            <w:sz w:val="20"/>
                          </w:rPr>
                          <w:t>600</w:t>
                        </w:r>
                      </w:p>
                    </w:tc>
                    <w:tc>
                      <w:tcPr>
                        <w:tcW w:w="1680" w:type="dxa"/>
                      </w:tcPr>
                      <w:p w:rsidR="007C5447" w:rsidRDefault="00F6308C">
                        <w:pPr>
                          <w:pStyle w:val="TableParagraph"/>
                          <w:spacing w:before="55" w:line="224" w:lineRule="exact"/>
                          <w:ind w:right="93"/>
                          <w:rPr>
                            <w:sz w:val="20"/>
                          </w:rPr>
                        </w:pPr>
                        <w:r>
                          <w:rPr>
                            <w:sz w:val="20"/>
                          </w:rPr>
                          <w:t>600</w:t>
                        </w:r>
                      </w:p>
                    </w:tc>
                    <w:tc>
                      <w:tcPr>
                        <w:tcW w:w="1677" w:type="dxa"/>
                      </w:tcPr>
                      <w:p w:rsidR="007C5447" w:rsidRDefault="00F6308C">
                        <w:pPr>
                          <w:pStyle w:val="TableParagraph"/>
                          <w:spacing w:before="55" w:line="224" w:lineRule="exact"/>
                          <w:ind w:right="90"/>
                          <w:rPr>
                            <w:sz w:val="20"/>
                          </w:rPr>
                        </w:pPr>
                        <w:r>
                          <w:rPr>
                            <w:sz w:val="20"/>
                          </w:rPr>
                          <w:t>600</w:t>
                        </w:r>
                      </w:p>
                    </w:tc>
                  </w:tr>
                  <w:tr w:rsidR="007C5447">
                    <w:trPr>
                      <w:trHeight w:val="299"/>
                    </w:trPr>
                    <w:tc>
                      <w:tcPr>
                        <w:tcW w:w="1061" w:type="dxa"/>
                      </w:tcPr>
                      <w:p w:rsidR="007C5447" w:rsidRDefault="00F6308C">
                        <w:pPr>
                          <w:pStyle w:val="TableParagraph"/>
                          <w:spacing w:before="34"/>
                          <w:ind w:left="9"/>
                          <w:jc w:val="center"/>
                          <w:rPr>
                            <w:sz w:val="20"/>
                          </w:rPr>
                        </w:pPr>
                        <w:r>
                          <w:rPr>
                            <w:w w:val="99"/>
                            <w:sz w:val="20"/>
                          </w:rPr>
                          <w:t>2</w:t>
                        </w:r>
                      </w:p>
                    </w:tc>
                    <w:tc>
                      <w:tcPr>
                        <w:tcW w:w="3269" w:type="dxa"/>
                      </w:tcPr>
                      <w:p w:rsidR="007C5447" w:rsidRDefault="00F6308C">
                        <w:pPr>
                          <w:pStyle w:val="TableParagraph"/>
                          <w:spacing w:before="55" w:line="224" w:lineRule="exact"/>
                          <w:ind w:left="108"/>
                          <w:jc w:val="left"/>
                          <w:rPr>
                            <w:sz w:val="20"/>
                          </w:rPr>
                        </w:pPr>
                        <w:r>
                          <w:rPr>
                            <w:sz w:val="20"/>
                          </w:rPr>
                          <w:t>Allocated Capacity</w:t>
                        </w:r>
                      </w:p>
                    </w:tc>
                    <w:tc>
                      <w:tcPr>
                        <w:tcW w:w="1456" w:type="dxa"/>
                      </w:tcPr>
                      <w:p w:rsidR="007C5447" w:rsidRDefault="00F6308C">
                        <w:pPr>
                          <w:pStyle w:val="TableParagraph"/>
                          <w:spacing w:before="55" w:line="224" w:lineRule="exact"/>
                          <w:ind w:left="108"/>
                          <w:jc w:val="left"/>
                          <w:rPr>
                            <w:sz w:val="20"/>
                          </w:rPr>
                        </w:pPr>
                        <w:r>
                          <w:rPr>
                            <w:sz w:val="20"/>
                          </w:rPr>
                          <w:t>MW</w:t>
                        </w:r>
                      </w:p>
                    </w:tc>
                    <w:tc>
                      <w:tcPr>
                        <w:tcW w:w="1677" w:type="dxa"/>
                      </w:tcPr>
                      <w:p w:rsidR="007C5447" w:rsidRDefault="00F6308C">
                        <w:pPr>
                          <w:pStyle w:val="TableParagraph"/>
                          <w:spacing w:before="55" w:line="224" w:lineRule="exact"/>
                          <w:ind w:right="91"/>
                          <w:rPr>
                            <w:sz w:val="20"/>
                          </w:rPr>
                        </w:pPr>
                        <w:r>
                          <w:rPr>
                            <w:sz w:val="20"/>
                          </w:rPr>
                          <w:t>600</w:t>
                        </w:r>
                      </w:p>
                    </w:tc>
                    <w:tc>
                      <w:tcPr>
                        <w:tcW w:w="1680" w:type="dxa"/>
                      </w:tcPr>
                      <w:p w:rsidR="007C5447" w:rsidRDefault="00F6308C">
                        <w:pPr>
                          <w:pStyle w:val="TableParagraph"/>
                          <w:spacing w:before="55" w:line="224" w:lineRule="exact"/>
                          <w:ind w:right="93"/>
                          <w:rPr>
                            <w:sz w:val="20"/>
                          </w:rPr>
                        </w:pPr>
                        <w:r>
                          <w:rPr>
                            <w:sz w:val="20"/>
                          </w:rPr>
                          <w:t>600</w:t>
                        </w:r>
                      </w:p>
                    </w:tc>
                    <w:tc>
                      <w:tcPr>
                        <w:tcW w:w="1677" w:type="dxa"/>
                      </w:tcPr>
                      <w:p w:rsidR="007C5447" w:rsidRDefault="00F6308C">
                        <w:pPr>
                          <w:pStyle w:val="TableParagraph"/>
                          <w:spacing w:before="55" w:line="224" w:lineRule="exact"/>
                          <w:ind w:right="90"/>
                          <w:rPr>
                            <w:sz w:val="20"/>
                          </w:rPr>
                        </w:pPr>
                        <w:r>
                          <w:rPr>
                            <w:sz w:val="20"/>
                          </w:rPr>
                          <w:t>600</w:t>
                        </w:r>
                      </w:p>
                    </w:tc>
                  </w:tr>
                  <w:tr w:rsidR="007C5447">
                    <w:trPr>
                      <w:trHeight w:val="299"/>
                    </w:trPr>
                    <w:tc>
                      <w:tcPr>
                        <w:tcW w:w="1061" w:type="dxa"/>
                      </w:tcPr>
                      <w:p w:rsidR="007C5447" w:rsidRDefault="00F6308C">
                        <w:pPr>
                          <w:pStyle w:val="TableParagraph"/>
                          <w:spacing w:before="36"/>
                          <w:ind w:left="9"/>
                          <w:jc w:val="center"/>
                          <w:rPr>
                            <w:sz w:val="20"/>
                          </w:rPr>
                        </w:pPr>
                        <w:r>
                          <w:rPr>
                            <w:w w:val="99"/>
                            <w:sz w:val="20"/>
                          </w:rPr>
                          <w:t>3</w:t>
                        </w:r>
                      </w:p>
                    </w:tc>
                    <w:tc>
                      <w:tcPr>
                        <w:tcW w:w="3269" w:type="dxa"/>
                      </w:tcPr>
                      <w:p w:rsidR="007C5447" w:rsidRDefault="00F6308C">
                        <w:pPr>
                          <w:pStyle w:val="TableParagraph"/>
                          <w:spacing w:before="55" w:line="224" w:lineRule="exact"/>
                          <w:ind w:left="108"/>
                          <w:jc w:val="left"/>
                          <w:rPr>
                            <w:sz w:val="20"/>
                          </w:rPr>
                        </w:pPr>
                        <w:r>
                          <w:rPr>
                            <w:sz w:val="20"/>
                          </w:rPr>
                          <w:t>Days</w:t>
                        </w:r>
                      </w:p>
                    </w:tc>
                    <w:tc>
                      <w:tcPr>
                        <w:tcW w:w="1456" w:type="dxa"/>
                      </w:tcPr>
                      <w:p w:rsidR="007C5447" w:rsidRDefault="00F6308C">
                        <w:pPr>
                          <w:pStyle w:val="TableParagraph"/>
                          <w:spacing w:before="55" w:line="224" w:lineRule="exact"/>
                          <w:ind w:left="108"/>
                          <w:jc w:val="left"/>
                          <w:rPr>
                            <w:sz w:val="20"/>
                          </w:rPr>
                        </w:pPr>
                        <w:r>
                          <w:rPr>
                            <w:sz w:val="20"/>
                          </w:rPr>
                          <w:t>Nos.</w:t>
                        </w:r>
                      </w:p>
                    </w:tc>
                    <w:tc>
                      <w:tcPr>
                        <w:tcW w:w="1677" w:type="dxa"/>
                      </w:tcPr>
                      <w:p w:rsidR="007C5447" w:rsidRDefault="00F6308C">
                        <w:pPr>
                          <w:pStyle w:val="TableParagraph"/>
                          <w:spacing w:before="55" w:line="224" w:lineRule="exact"/>
                          <w:ind w:right="91"/>
                          <w:rPr>
                            <w:sz w:val="20"/>
                          </w:rPr>
                        </w:pPr>
                        <w:r>
                          <w:rPr>
                            <w:sz w:val="20"/>
                          </w:rPr>
                          <w:t>365</w:t>
                        </w:r>
                      </w:p>
                    </w:tc>
                    <w:tc>
                      <w:tcPr>
                        <w:tcW w:w="1680" w:type="dxa"/>
                      </w:tcPr>
                      <w:p w:rsidR="007C5447" w:rsidRDefault="00F6308C">
                        <w:pPr>
                          <w:pStyle w:val="TableParagraph"/>
                          <w:spacing w:before="55" w:line="224" w:lineRule="exact"/>
                          <w:ind w:right="93"/>
                          <w:rPr>
                            <w:sz w:val="20"/>
                          </w:rPr>
                        </w:pPr>
                        <w:r>
                          <w:rPr>
                            <w:sz w:val="20"/>
                          </w:rPr>
                          <w:t>365</w:t>
                        </w:r>
                      </w:p>
                    </w:tc>
                    <w:tc>
                      <w:tcPr>
                        <w:tcW w:w="1677" w:type="dxa"/>
                      </w:tcPr>
                      <w:p w:rsidR="007C5447" w:rsidRDefault="00F6308C">
                        <w:pPr>
                          <w:pStyle w:val="TableParagraph"/>
                          <w:spacing w:before="55" w:line="224" w:lineRule="exact"/>
                          <w:ind w:right="90"/>
                          <w:rPr>
                            <w:sz w:val="20"/>
                          </w:rPr>
                        </w:pPr>
                        <w:r>
                          <w:rPr>
                            <w:sz w:val="20"/>
                          </w:rPr>
                          <w:t>366</w:t>
                        </w:r>
                      </w:p>
                    </w:tc>
                  </w:tr>
                  <w:tr w:rsidR="007C5447">
                    <w:trPr>
                      <w:trHeight w:val="299"/>
                    </w:trPr>
                    <w:tc>
                      <w:tcPr>
                        <w:tcW w:w="1061" w:type="dxa"/>
                      </w:tcPr>
                      <w:p w:rsidR="007C5447" w:rsidRDefault="00F6308C">
                        <w:pPr>
                          <w:pStyle w:val="TableParagraph"/>
                          <w:spacing w:before="36"/>
                          <w:ind w:left="9"/>
                          <w:jc w:val="center"/>
                          <w:rPr>
                            <w:sz w:val="20"/>
                          </w:rPr>
                        </w:pPr>
                        <w:r>
                          <w:rPr>
                            <w:w w:val="99"/>
                            <w:sz w:val="20"/>
                          </w:rPr>
                          <w:t>4</w:t>
                        </w:r>
                      </w:p>
                    </w:tc>
                    <w:tc>
                      <w:tcPr>
                        <w:tcW w:w="3269" w:type="dxa"/>
                      </w:tcPr>
                      <w:p w:rsidR="007C5447" w:rsidRDefault="00F6308C">
                        <w:pPr>
                          <w:pStyle w:val="TableParagraph"/>
                          <w:spacing w:before="55" w:line="224" w:lineRule="exact"/>
                          <w:ind w:left="108"/>
                          <w:jc w:val="left"/>
                          <w:rPr>
                            <w:sz w:val="20"/>
                          </w:rPr>
                        </w:pPr>
                        <w:r>
                          <w:rPr>
                            <w:sz w:val="20"/>
                          </w:rPr>
                          <w:t>PLF</w:t>
                        </w:r>
                      </w:p>
                    </w:tc>
                    <w:tc>
                      <w:tcPr>
                        <w:tcW w:w="1456" w:type="dxa"/>
                      </w:tcPr>
                      <w:p w:rsidR="007C5447" w:rsidRDefault="00F6308C">
                        <w:pPr>
                          <w:pStyle w:val="TableParagraph"/>
                          <w:spacing w:before="55" w:line="224" w:lineRule="exact"/>
                          <w:ind w:left="108"/>
                          <w:jc w:val="left"/>
                          <w:rPr>
                            <w:sz w:val="20"/>
                          </w:rPr>
                        </w:pPr>
                        <w:r>
                          <w:rPr>
                            <w:w w:val="99"/>
                            <w:sz w:val="20"/>
                          </w:rPr>
                          <w:t>%</w:t>
                        </w:r>
                      </w:p>
                    </w:tc>
                    <w:tc>
                      <w:tcPr>
                        <w:tcW w:w="1677" w:type="dxa"/>
                      </w:tcPr>
                      <w:p w:rsidR="007C5447" w:rsidRDefault="00F6308C">
                        <w:pPr>
                          <w:pStyle w:val="TableParagraph"/>
                          <w:spacing w:before="55" w:line="224" w:lineRule="exact"/>
                          <w:ind w:right="92"/>
                          <w:rPr>
                            <w:sz w:val="20"/>
                          </w:rPr>
                        </w:pPr>
                        <w:r>
                          <w:rPr>
                            <w:sz w:val="20"/>
                          </w:rPr>
                          <w:t>80.00%</w:t>
                        </w:r>
                      </w:p>
                    </w:tc>
                    <w:tc>
                      <w:tcPr>
                        <w:tcW w:w="1680" w:type="dxa"/>
                      </w:tcPr>
                      <w:p w:rsidR="007C5447" w:rsidRDefault="00F6308C">
                        <w:pPr>
                          <w:pStyle w:val="TableParagraph"/>
                          <w:spacing w:before="55" w:line="224" w:lineRule="exact"/>
                          <w:ind w:right="94"/>
                          <w:rPr>
                            <w:sz w:val="20"/>
                          </w:rPr>
                        </w:pPr>
                        <w:r>
                          <w:rPr>
                            <w:sz w:val="20"/>
                          </w:rPr>
                          <w:t>57.50%</w:t>
                        </w:r>
                      </w:p>
                    </w:tc>
                    <w:tc>
                      <w:tcPr>
                        <w:tcW w:w="1677" w:type="dxa"/>
                      </w:tcPr>
                      <w:p w:rsidR="007C5447" w:rsidRDefault="00F6308C">
                        <w:pPr>
                          <w:pStyle w:val="TableParagraph"/>
                          <w:spacing w:before="55" w:line="224" w:lineRule="exact"/>
                          <w:ind w:right="91"/>
                          <w:rPr>
                            <w:sz w:val="20"/>
                          </w:rPr>
                        </w:pPr>
                        <w:r>
                          <w:rPr>
                            <w:sz w:val="20"/>
                          </w:rPr>
                          <w:t>85.00%</w:t>
                        </w:r>
                      </w:p>
                    </w:tc>
                  </w:tr>
                  <w:tr w:rsidR="007C5447">
                    <w:trPr>
                      <w:trHeight w:val="299"/>
                    </w:trPr>
                    <w:tc>
                      <w:tcPr>
                        <w:tcW w:w="1061" w:type="dxa"/>
                      </w:tcPr>
                      <w:p w:rsidR="007C5447" w:rsidRDefault="00F6308C">
                        <w:pPr>
                          <w:pStyle w:val="TableParagraph"/>
                          <w:spacing w:before="36"/>
                          <w:ind w:left="9"/>
                          <w:jc w:val="center"/>
                          <w:rPr>
                            <w:sz w:val="20"/>
                          </w:rPr>
                        </w:pPr>
                        <w:r>
                          <w:rPr>
                            <w:w w:val="99"/>
                            <w:sz w:val="20"/>
                          </w:rPr>
                          <w:t>5</w:t>
                        </w:r>
                      </w:p>
                    </w:tc>
                    <w:tc>
                      <w:tcPr>
                        <w:tcW w:w="3269" w:type="dxa"/>
                      </w:tcPr>
                      <w:p w:rsidR="007C5447" w:rsidRDefault="00F6308C">
                        <w:pPr>
                          <w:pStyle w:val="TableParagraph"/>
                          <w:spacing w:before="55" w:line="224" w:lineRule="exact"/>
                          <w:ind w:left="108"/>
                          <w:jc w:val="left"/>
                          <w:rPr>
                            <w:sz w:val="20"/>
                          </w:rPr>
                        </w:pPr>
                        <w:r>
                          <w:rPr>
                            <w:sz w:val="20"/>
                          </w:rPr>
                          <w:t>Gross Generation</w:t>
                        </w:r>
                      </w:p>
                    </w:tc>
                    <w:tc>
                      <w:tcPr>
                        <w:tcW w:w="1456" w:type="dxa"/>
                      </w:tcPr>
                      <w:p w:rsidR="007C5447" w:rsidRDefault="00F6308C">
                        <w:pPr>
                          <w:pStyle w:val="TableParagraph"/>
                          <w:spacing w:before="55" w:line="224" w:lineRule="exact"/>
                          <w:ind w:left="108"/>
                          <w:jc w:val="left"/>
                          <w:rPr>
                            <w:sz w:val="20"/>
                          </w:rPr>
                        </w:pPr>
                        <w:r>
                          <w:rPr>
                            <w:sz w:val="20"/>
                          </w:rPr>
                          <w:t>MU</w:t>
                        </w:r>
                      </w:p>
                    </w:tc>
                    <w:tc>
                      <w:tcPr>
                        <w:tcW w:w="1677" w:type="dxa"/>
                      </w:tcPr>
                      <w:p w:rsidR="007C5447" w:rsidRDefault="00F6308C">
                        <w:pPr>
                          <w:pStyle w:val="TableParagraph"/>
                          <w:spacing w:before="55" w:line="224" w:lineRule="exact"/>
                          <w:ind w:right="94"/>
                          <w:rPr>
                            <w:sz w:val="20"/>
                          </w:rPr>
                        </w:pPr>
                        <w:r>
                          <w:rPr>
                            <w:w w:val="95"/>
                            <w:sz w:val="20"/>
                          </w:rPr>
                          <w:t>4,204.80</w:t>
                        </w:r>
                      </w:p>
                    </w:tc>
                    <w:tc>
                      <w:tcPr>
                        <w:tcW w:w="1680" w:type="dxa"/>
                      </w:tcPr>
                      <w:p w:rsidR="007C5447" w:rsidRDefault="00F6308C">
                        <w:pPr>
                          <w:pStyle w:val="TableParagraph"/>
                          <w:spacing w:before="55" w:line="224" w:lineRule="exact"/>
                          <w:ind w:right="96"/>
                          <w:rPr>
                            <w:sz w:val="20"/>
                          </w:rPr>
                        </w:pPr>
                        <w:r>
                          <w:rPr>
                            <w:w w:val="95"/>
                            <w:sz w:val="20"/>
                          </w:rPr>
                          <w:t>3,022.00</w:t>
                        </w:r>
                      </w:p>
                    </w:tc>
                    <w:tc>
                      <w:tcPr>
                        <w:tcW w:w="1677" w:type="dxa"/>
                      </w:tcPr>
                      <w:p w:rsidR="007C5447" w:rsidRDefault="00F6308C">
                        <w:pPr>
                          <w:pStyle w:val="TableParagraph"/>
                          <w:spacing w:before="55" w:line="224" w:lineRule="exact"/>
                          <w:ind w:right="93"/>
                          <w:rPr>
                            <w:sz w:val="20"/>
                          </w:rPr>
                        </w:pPr>
                        <w:r>
                          <w:rPr>
                            <w:w w:val="95"/>
                            <w:sz w:val="20"/>
                          </w:rPr>
                          <w:t>4,479.84</w:t>
                        </w:r>
                      </w:p>
                    </w:tc>
                  </w:tr>
                  <w:tr w:rsidR="007C5447">
                    <w:trPr>
                      <w:trHeight w:val="302"/>
                    </w:trPr>
                    <w:tc>
                      <w:tcPr>
                        <w:tcW w:w="1061" w:type="dxa"/>
                      </w:tcPr>
                      <w:p w:rsidR="007C5447" w:rsidRDefault="00F6308C">
                        <w:pPr>
                          <w:pStyle w:val="TableParagraph"/>
                          <w:spacing w:before="36"/>
                          <w:ind w:left="9"/>
                          <w:jc w:val="center"/>
                          <w:rPr>
                            <w:sz w:val="20"/>
                          </w:rPr>
                        </w:pPr>
                        <w:r>
                          <w:rPr>
                            <w:w w:val="99"/>
                            <w:sz w:val="20"/>
                          </w:rPr>
                          <w:t>6</w:t>
                        </w:r>
                      </w:p>
                    </w:tc>
                    <w:tc>
                      <w:tcPr>
                        <w:tcW w:w="3269" w:type="dxa"/>
                      </w:tcPr>
                      <w:p w:rsidR="007C5447" w:rsidRDefault="00F6308C">
                        <w:pPr>
                          <w:pStyle w:val="TableParagraph"/>
                          <w:spacing w:before="55" w:line="227" w:lineRule="exact"/>
                          <w:ind w:left="108"/>
                          <w:jc w:val="left"/>
                          <w:rPr>
                            <w:sz w:val="20"/>
                          </w:rPr>
                        </w:pPr>
                        <w:r>
                          <w:rPr>
                            <w:sz w:val="20"/>
                          </w:rPr>
                          <w:t>Auxiliary consumption</w:t>
                        </w:r>
                      </w:p>
                    </w:tc>
                    <w:tc>
                      <w:tcPr>
                        <w:tcW w:w="1456" w:type="dxa"/>
                      </w:tcPr>
                      <w:p w:rsidR="007C5447" w:rsidRDefault="00F6308C">
                        <w:pPr>
                          <w:pStyle w:val="TableParagraph"/>
                          <w:spacing w:before="55" w:line="227" w:lineRule="exact"/>
                          <w:ind w:left="108"/>
                          <w:jc w:val="left"/>
                          <w:rPr>
                            <w:sz w:val="20"/>
                          </w:rPr>
                        </w:pPr>
                        <w:r>
                          <w:rPr>
                            <w:w w:val="99"/>
                            <w:sz w:val="20"/>
                          </w:rPr>
                          <w:t>%</w:t>
                        </w:r>
                      </w:p>
                    </w:tc>
                    <w:tc>
                      <w:tcPr>
                        <w:tcW w:w="1677" w:type="dxa"/>
                      </w:tcPr>
                      <w:p w:rsidR="007C5447" w:rsidRDefault="00F6308C">
                        <w:pPr>
                          <w:pStyle w:val="TableParagraph"/>
                          <w:spacing w:before="55" w:line="227" w:lineRule="exact"/>
                          <w:ind w:right="92"/>
                          <w:rPr>
                            <w:sz w:val="20"/>
                          </w:rPr>
                        </w:pPr>
                        <w:r>
                          <w:rPr>
                            <w:sz w:val="20"/>
                          </w:rPr>
                          <w:t>8.83%</w:t>
                        </w:r>
                      </w:p>
                    </w:tc>
                    <w:tc>
                      <w:tcPr>
                        <w:tcW w:w="1680" w:type="dxa"/>
                      </w:tcPr>
                      <w:p w:rsidR="007C5447" w:rsidRDefault="00F6308C">
                        <w:pPr>
                          <w:pStyle w:val="TableParagraph"/>
                          <w:spacing w:before="55" w:line="227" w:lineRule="exact"/>
                          <w:ind w:right="94"/>
                          <w:rPr>
                            <w:sz w:val="20"/>
                          </w:rPr>
                        </w:pPr>
                        <w:r>
                          <w:rPr>
                            <w:sz w:val="20"/>
                          </w:rPr>
                          <w:t>8.83%</w:t>
                        </w:r>
                      </w:p>
                    </w:tc>
                    <w:tc>
                      <w:tcPr>
                        <w:tcW w:w="1677" w:type="dxa"/>
                      </w:tcPr>
                      <w:p w:rsidR="007C5447" w:rsidRDefault="00F6308C">
                        <w:pPr>
                          <w:pStyle w:val="TableParagraph"/>
                          <w:spacing w:before="55" w:line="227" w:lineRule="exact"/>
                          <w:ind w:right="91"/>
                          <w:rPr>
                            <w:sz w:val="20"/>
                          </w:rPr>
                        </w:pPr>
                        <w:r>
                          <w:rPr>
                            <w:sz w:val="20"/>
                          </w:rPr>
                          <w:t>8.83%</w:t>
                        </w:r>
                      </w:p>
                    </w:tc>
                  </w:tr>
                  <w:tr w:rsidR="007C5447">
                    <w:trPr>
                      <w:trHeight w:val="300"/>
                    </w:trPr>
                    <w:tc>
                      <w:tcPr>
                        <w:tcW w:w="1061" w:type="dxa"/>
                      </w:tcPr>
                      <w:p w:rsidR="007C5447" w:rsidRDefault="00F6308C">
                        <w:pPr>
                          <w:pStyle w:val="TableParagraph"/>
                          <w:spacing w:before="34"/>
                          <w:ind w:left="9"/>
                          <w:jc w:val="center"/>
                          <w:rPr>
                            <w:sz w:val="20"/>
                          </w:rPr>
                        </w:pPr>
                        <w:r>
                          <w:rPr>
                            <w:w w:val="99"/>
                            <w:sz w:val="20"/>
                          </w:rPr>
                          <w:t>7</w:t>
                        </w:r>
                      </w:p>
                    </w:tc>
                    <w:tc>
                      <w:tcPr>
                        <w:tcW w:w="3269" w:type="dxa"/>
                      </w:tcPr>
                      <w:p w:rsidR="007C5447" w:rsidRDefault="00F6308C">
                        <w:pPr>
                          <w:pStyle w:val="TableParagraph"/>
                          <w:spacing w:before="56" w:line="224" w:lineRule="exact"/>
                          <w:ind w:left="108"/>
                          <w:jc w:val="left"/>
                          <w:rPr>
                            <w:sz w:val="20"/>
                          </w:rPr>
                        </w:pPr>
                        <w:r>
                          <w:rPr>
                            <w:sz w:val="20"/>
                          </w:rPr>
                          <w:t>Net Generation MU</w:t>
                        </w:r>
                      </w:p>
                    </w:tc>
                    <w:tc>
                      <w:tcPr>
                        <w:tcW w:w="1456" w:type="dxa"/>
                      </w:tcPr>
                      <w:p w:rsidR="007C5447" w:rsidRDefault="00F6308C">
                        <w:pPr>
                          <w:pStyle w:val="TableParagraph"/>
                          <w:spacing w:before="56" w:line="224" w:lineRule="exact"/>
                          <w:ind w:left="108"/>
                          <w:jc w:val="left"/>
                          <w:rPr>
                            <w:sz w:val="20"/>
                          </w:rPr>
                        </w:pPr>
                        <w:r>
                          <w:rPr>
                            <w:sz w:val="20"/>
                          </w:rPr>
                          <w:t>MU</w:t>
                        </w:r>
                      </w:p>
                    </w:tc>
                    <w:tc>
                      <w:tcPr>
                        <w:tcW w:w="1677" w:type="dxa"/>
                      </w:tcPr>
                      <w:p w:rsidR="007C5447" w:rsidRDefault="00F6308C">
                        <w:pPr>
                          <w:pStyle w:val="TableParagraph"/>
                          <w:spacing w:before="56" w:line="224" w:lineRule="exact"/>
                          <w:ind w:right="94"/>
                          <w:rPr>
                            <w:sz w:val="20"/>
                          </w:rPr>
                        </w:pPr>
                        <w:r>
                          <w:rPr>
                            <w:sz w:val="20"/>
                          </w:rPr>
                          <w:t>3833.38</w:t>
                        </w:r>
                      </w:p>
                    </w:tc>
                    <w:tc>
                      <w:tcPr>
                        <w:tcW w:w="1680" w:type="dxa"/>
                      </w:tcPr>
                      <w:p w:rsidR="007C5447" w:rsidRDefault="00F6308C">
                        <w:pPr>
                          <w:pStyle w:val="TableParagraph"/>
                          <w:spacing w:before="56" w:line="224" w:lineRule="exact"/>
                          <w:ind w:right="96"/>
                          <w:rPr>
                            <w:sz w:val="20"/>
                          </w:rPr>
                        </w:pPr>
                        <w:r>
                          <w:rPr>
                            <w:sz w:val="20"/>
                          </w:rPr>
                          <w:t>2755.06</w:t>
                        </w:r>
                      </w:p>
                    </w:tc>
                    <w:tc>
                      <w:tcPr>
                        <w:tcW w:w="1677" w:type="dxa"/>
                      </w:tcPr>
                      <w:p w:rsidR="007C5447" w:rsidRDefault="00F6308C">
                        <w:pPr>
                          <w:pStyle w:val="TableParagraph"/>
                          <w:spacing w:before="56" w:line="224" w:lineRule="exact"/>
                          <w:ind w:right="93"/>
                          <w:rPr>
                            <w:sz w:val="20"/>
                          </w:rPr>
                        </w:pPr>
                        <w:r>
                          <w:rPr>
                            <w:sz w:val="20"/>
                          </w:rPr>
                          <w:t>4084.12</w:t>
                        </w:r>
                      </w:p>
                    </w:tc>
                  </w:tr>
                  <w:tr w:rsidR="007C5447">
                    <w:trPr>
                      <w:trHeight w:val="328"/>
                    </w:trPr>
                    <w:tc>
                      <w:tcPr>
                        <w:tcW w:w="1061" w:type="dxa"/>
                        <w:shd w:val="clear" w:color="auto" w:fill="ECECEC"/>
                      </w:tcPr>
                      <w:p w:rsidR="007C5447" w:rsidRDefault="007C5447">
                        <w:pPr>
                          <w:pStyle w:val="TableParagraph"/>
                          <w:jc w:val="left"/>
                          <w:rPr>
                            <w:sz w:val="20"/>
                          </w:rPr>
                        </w:pPr>
                      </w:p>
                    </w:tc>
                    <w:tc>
                      <w:tcPr>
                        <w:tcW w:w="3269" w:type="dxa"/>
                        <w:shd w:val="clear" w:color="auto" w:fill="ECECEC"/>
                      </w:tcPr>
                      <w:p w:rsidR="007C5447" w:rsidRDefault="00F6308C">
                        <w:pPr>
                          <w:pStyle w:val="TableParagraph"/>
                          <w:spacing w:before="84" w:line="224" w:lineRule="exact"/>
                          <w:ind w:left="108"/>
                          <w:jc w:val="left"/>
                          <w:rPr>
                            <w:b/>
                            <w:sz w:val="20"/>
                          </w:rPr>
                        </w:pPr>
                        <w:r>
                          <w:rPr>
                            <w:b/>
                            <w:sz w:val="20"/>
                          </w:rPr>
                          <w:t>Variable Cost - Parameters</w:t>
                        </w:r>
                      </w:p>
                    </w:tc>
                    <w:tc>
                      <w:tcPr>
                        <w:tcW w:w="1456" w:type="dxa"/>
                        <w:shd w:val="clear" w:color="auto" w:fill="ECECEC"/>
                      </w:tcPr>
                      <w:p w:rsidR="007C5447" w:rsidRDefault="007C5447">
                        <w:pPr>
                          <w:pStyle w:val="TableParagraph"/>
                          <w:jc w:val="left"/>
                          <w:rPr>
                            <w:sz w:val="20"/>
                          </w:rPr>
                        </w:pPr>
                      </w:p>
                    </w:tc>
                    <w:tc>
                      <w:tcPr>
                        <w:tcW w:w="1677" w:type="dxa"/>
                        <w:shd w:val="clear" w:color="auto" w:fill="ECECEC"/>
                      </w:tcPr>
                      <w:p w:rsidR="007C5447" w:rsidRDefault="007C5447">
                        <w:pPr>
                          <w:pStyle w:val="TableParagraph"/>
                          <w:jc w:val="left"/>
                          <w:rPr>
                            <w:sz w:val="20"/>
                          </w:rPr>
                        </w:pPr>
                      </w:p>
                    </w:tc>
                    <w:tc>
                      <w:tcPr>
                        <w:tcW w:w="1680" w:type="dxa"/>
                        <w:shd w:val="clear" w:color="auto" w:fill="ECECEC"/>
                      </w:tcPr>
                      <w:p w:rsidR="007C5447" w:rsidRDefault="007C5447">
                        <w:pPr>
                          <w:pStyle w:val="TableParagraph"/>
                          <w:jc w:val="left"/>
                          <w:rPr>
                            <w:sz w:val="20"/>
                          </w:rPr>
                        </w:pPr>
                      </w:p>
                    </w:tc>
                    <w:tc>
                      <w:tcPr>
                        <w:tcW w:w="1677" w:type="dxa"/>
                        <w:shd w:val="clear" w:color="auto" w:fill="ECECEC"/>
                      </w:tcPr>
                      <w:p w:rsidR="007C5447" w:rsidRDefault="007C5447">
                        <w:pPr>
                          <w:pStyle w:val="TableParagraph"/>
                          <w:jc w:val="left"/>
                          <w:rPr>
                            <w:sz w:val="20"/>
                          </w:rPr>
                        </w:pPr>
                      </w:p>
                    </w:tc>
                  </w:tr>
                  <w:tr w:rsidR="007C5447">
                    <w:trPr>
                      <w:trHeight w:val="301"/>
                    </w:trPr>
                    <w:tc>
                      <w:tcPr>
                        <w:tcW w:w="1061" w:type="dxa"/>
                      </w:tcPr>
                      <w:p w:rsidR="007C5447" w:rsidRDefault="00F6308C">
                        <w:pPr>
                          <w:pStyle w:val="TableParagraph"/>
                          <w:spacing w:before="36"/>
                          <w:ind w:left="9"/>
                          <w:jc w:val="center"/>
                          <w:rPr>
                            <w:sz w:val="20"/>
                          </w:rPr>
                        </w:pPr>
                        <w:r>
                          <w:rPr>
                            <w:w w:val="99"/>
                            <w:sz w:val="20"/>
                          </w:rPr>
                          <w:t>8</w:t>
                        </w:r>
                      </w:p>
                    </w:tc>
                    <w:tc>
                      <w:tcPr>
                        <w:tcW w:w="3269" w:type="dxa"/>
                      </w:tcPr>
                      <w:p w:rsidR="007C5447" w:rsidRDefault="00F6308C">
                        <w:pPr>
                          <w:pStyle w:val="TableParagraph"/>
                          <w:spacing w:before="55" w:line="227" w:lineRule="exact"/>
                          <w:ind w:left="108"/>
                          <w:jc w:val="left"/>
                          <w:rPr>
                            <w:sz w:val="20"/>
                          </w:rPr>
                        </w:pPr>
                        <w:r>
                          <w:rPr>
                            <w:sz w:val="20"/>
                          </w:rPr>
                          <w:t>Station Heat rate</w:t>
                        </w:r>
                      </w:p>
                    </w:tc>
                    <w:tc>
                      <w:tcPr>
                        <w:tcW w:w="1456" w:type="dxa"/>
                      </w:tcPr>
                      <w:p w:rsidR="007C5447" w:rsidRDefault="00F6308C">
                        <w:pPr>
                          <w:pStyle w:val="TableParagraph"/>
                          <w:spacing w:before="55" w:line="227" w:lineRule="exact"/>
                          <w:ind w:left="108"/>
                          <w:jc w:val="left"/>
                          <w:rPr>
                            <w:sz w:val="20"/>
                          </w:rPr>
                        </w:pPr>
                        <w:r>
                          <w:rPr>
                            <w:sz w:val="20"/>
                          </w:rPr>
                          <w:t>kCal/kWh</w:t>
                        </w:r>
                      </w:p>
                    </w:tc>
                    <w:tc>
                      <w:tcPr>
                        <w:tcW w:w="1677" w:type="dxa"/>
                      </w:tcPr>
                      <w:p w:rsidR="007C5447" w:rsidRDefault="00F6308C">
                        <w:pPr>
                          <w:pStyle w:val="TableParagraph"/>
                          <w:spacing w:before="55" w:line="227" w:lineRule="exact"/>
                          <w:ind w:right="94"/>
                          <w:rPr>
                            <w:sz w:val="20"/>
                          </w:rPr>
                        </w:pPr>
                        <w:r>
                          <w:rPr>
                            <w:w w:val="95"/>
                            <w:sz w:val="20"/>
                          </w:rPr>
                          <w:t>2,500.00</w:t>
                        </w:r>
                      </w:p>
                    </w:tc>
                    <w:tc>
                      <w:tcPr>
                        <w:tcW w:w="1680" w:type="dxa"/>
                      </w:tcPr>
                      <w:p w:rsidR="007C5447" w:rsidRDefault="00F6308C">
                        <w:pPr>
                          <w:pStyle w:val="TableParagraph"/>
                          <w:spacing w:before="55" w:line="227" w:lineRule="exact"/>
                          <w:ind w:right="93"/>
                          <w:rPr>
                            <w:sz w:val="20"/>
                          </w:rPr>
                        </w:pPr>
                        <w:r>
                          <w:rPr>
                            <w:sz w:val="20"/>
                          </w:rPr>
                          <w:t>2450</w:t>
                        </w:r>
                      </w:p>
                    </w:tc>
                    <w:tc>
                      <w:tcPr>
                        <w:tcW w:w="1677" w:type="dxa"/>
                      </w:tcPr>
                      <w:p w:rsidR="007C5447" w:rsidRDefault="00F6308C">
                        <w:pPr>
                          <w:pStyle w:val="TableParagraph"/>
                          <w:spacing w:before="55" w:line="227" w:lineRule="exact"/>
                          <w:ind w:right="90"/>
                          <w:rPr>
                            <w:sz w:val="20"/>
                          </w:rPr>
                        </w:pPr>
                        <w:r>
                          <w:rPr>
                            <w:sz w:val="20"/>
                          </w:rPr>
                          <w:t>2450</w:t>
                        </w:r>
                      </w:p>
                    </w:tc>
                  </w:tr>
                  <w:tr w:rsidR="007C5447">
                    <w:trPr>
                      <w:trHeight w:val="299"/>
                    </w:trPr>
                    <w:tc>
                      <w:tcPr>
                        <w:tcW w:w="1061" w:type="dxa"/>
                      </w:tcPr>
                      <w:p w:rsidR="007C5447" w:rsidRDefault="00F6308C">
                        <w:pPr>
                          <w:pStyle w:val="TableParagraph"/>
                          <w:spacing w:before="34"/>
                          <w:ind w:left="9"/>
                          <w:jc w:val="center"/>
                          <w:rPr>
                            <w:sz w:val="20"/>
                          </w:rPr>
                        </w:pPr>
                        <w:r>
                          <w:rPr>
                            <w:w w:val="99"/>
                            <w:sz w:val="20"/>
                          </w:rPr>
                          <w:t>9</w:t>
                        </w:r>
                      </w:p>
                    </w:tc>
                    <w:tc>
                      <w:tcPr>
                        <w:tcW w:w="3269" w:type="dxa"/>
                      </w:tcPr>
                      <w:p w:rsidR="007C5447" w:rsidRDefault="00F6308C">
                        <w:pPr>
                          <w:pStyle w:val="TableParagraph"/>
                          <w:spacing w:before="55" w:line="224" w:lineRule="exact"/>
                          <w:ind w:left="108"/>
                          <w:jc w:val="left"/>
                          <w:rPr>
                            <w:sz w:val="20"/>
                          </w:rPr>
                        </w:pPr>
                        <w:r>
                          <w:rPr>
                            <w:sz w:val="20"/>
                          </w:rPr>
                          <w:t>Fuel Oil Consumption</w:t>
                        </w:r>
                      </w:p>
                    </w:tc>
                    <w:tc>
                      <w:tcPr>
                        <w:tcW w:w="1456" w:type="dxa"/>
                      </w:tcPr>
                      <w:p w:rsidR="007C5447" w:rsidRDefault="00F6308C">
                        <w:pPr>
                          <w:pStyle w:val="TableParagraph"/>
                          <w:spacing w:before="55" w:line="224" w:lineRule="exact"/>
                          <w:ind w:left="108"/>
                          <w:jc w:val="left"/>
                          <w:rPr>
                            <w:sz w:val="20"/>
                          </w:rPr>
                        </w:pPr>
                        <w:r>
                          <w:rPr>
                            <w:sz w:val="20"/>
                          </w:rPr>
                          <w:t>ml/kWh</w:t>
                        </w:r>
                      </w:p>
                    </w:tc>
                    <w:tc>
                      <w:tcPr>
                        <w:tcW w:w="1677" w:type="dxa"/>
                      </w:tcPr>
                      <w:p w:rsidR="007C5447" w:rsidRDefault="00F6308C">
                        <w:pPr>
                          <w:pStyle w:val="TableParagraph"/>
                          <w:spacing w:before="55" w:line="224" w:lineRule="exact"/>
                          <w:ind w:right="96"/>
                          <w:rPr>
                            <w:sz w:val="20"/>
                          </w:rPr>
                        </w:pPr>
                        <w:r>
                          <w:rPr>
                            <w:sz w:val="20"/>
                          </w:rPr>
                          <w:t>1.40</w:t>
                        </w:r>
                      </w:p>
                    </w:tc>
                    <w:tc>
                      <w:tcPr>
                        <w:tcW w:w="1680" w:type="dxa"/>
                      </w:tcPr>
                      <w:p w:rsidR="007C5447" w:rsidRDefault="00F6308C">
                        <w:pPr>
                          <w:pStyle w:val="TableParagraph"/>
                          <w:spacing w:before="55" w:line="224" w:lineRule="exact"/>
                          <w:ind w:right="95"/>
                          <w:rPr>
                            <w:sz w:val="20"/>
                          </w:rPr>
                        </w:pPr>
                        <w:r>
                          <w:rPr>
                            <w:sz w:val="20"/>
                          </w:rPr>
                          <w:t>1.47</w:t>
                        </w:r>
                      </w:p>
                    </w:tc>
                    <w:tc>
                      <w:tcPr>
                        <w:tcW w:w="1677" w:type="dxa"/>
                      </w:tcPr>
                      <w:p w:rsidR="007C5447" w:rsidRDefault="00F6308C">
                        <w:pPr>
                          <w:pStyle w:val="TableParagraph"/>
                          <w:spacing w:before="55" w:line="224" w:lineRule="exact"/>
                          <w:ind w:right="92"/>
                          <w:rPr>
                            <w:sz w:val="20"/>
                          </w:rPr>
                        </w:pPr>
                        <w:r>
                          <w:rPr>
                            <w:sz w:val="20"/>
                          </w:rPr>
                          <w:t>1.47</w:t>
                        </w:r>
                      </w:p>
                    </w:tc>
                  </w:tr>
                  <w:tr w:rsidR="007C5447">
                    <w:trPr>
                      <w:trHeight w:val="299"/>
                    </w:trPr>
                    <w:tc>
                      <w:tcPr>
                        <w:tcW w:w="1061" w:type="dxa"/>
                      </w:tcPr>
                      <w:p w:rsidR="007C5447" w:rsidRDefault="00F6308C">
                        <w:pPr>
                          <w:pStyle w:val="TableParagraph"/>
                          <w:spacing w:before="34"/>
                          <w:ind w:left="212" w:right="203"/>
                          <w:jc w:val="center"/>
                          <w:rPr>
                            <w:sz w:val="20"/>
                          </w:rPr>
                        </w:pPr>
                        <w:r>
                          <w:rPr>
                            <w:sz w:val="20"/>
                          </w:rPr>
                          <w:t>10</w:t>
                        </w:r>
                      </w:p>
                    </w:tc>
                    <w:tc>
                      <w:tcPr>
                        <w:tcW w:w="3269" w:type="dxa"/>
                      </w:tcPr>
                      <w:p w:rsidR="007C5447" w:rsidRDefault="00F6308C">
                        <w:pPr>
                          <w:pStyle w:val="TableParagraph"/>
                          <w:spacing w:before="55" w:line="224" w:lineRule="exact"/>
                          <w:ind w:left="108"/>
                          <w:jc w:val="left"/>
                          <w:rPr>
                            <w:sz w:val="20"/>
                          </w:rPr>
                        </w:pPr>
                        <w:r>
                          <w:rPr>
                            <w:sz w:val="20"/>
                          </w:rPr>
                          <w:t>GCV of Primary Fuel</w:t>
                        </w:r>
                      </w:p>
                    </w:tc>
                    <w:tc>
                      <w:tcPr>
                        <w:tcW w:w="1456" w:type="dxa"/>
                      </w:tcPr>
                      <w:p w:rsidR="007C5447" w:rsidRDefault="00F6308C">
                        <w:pPr>
                          <w:pStyle w:val="TableParagraph"/>
                          <w:spacing w:before="55" w:line="224" w:lineRule="exact"/>
                          <w:ind w:left="108"/>
                          <w:jc w:val="left"/>
                          <w:rPr>
                            <w:sz w:val="20"/>
                          </w:rPr>
                        </w:pPr>
                        <w:r>
                          <w:rPr>
                            <w:sz w:val="20"/>
                          </w:rPr>
                          <w:t>Kcal/kg</w:t>
                        </w:r>
                      </w:p>
                    </w:tc>
                    <w:tc>
                      <w:tcPr>
                        <w:tcW w:w="1677" w:type="dxa"/>
                      </w:tcPr>
                      <w:p w:rsidR="007C5447" w:rsidRDefault="00F6308C">
                        <w:pPr>
                          <w:pStyle w:val="TableParagraph"/>
                          <w:spacing w:before="55" w:line="224" w:lineRule="exact"/>
                          <w:ind w:right="94"/>
                          <w:rPr>
                            <w:sz w:val="20"/>
                          </w:rPr>
                        </w:pPr>
                        <w:r>
                          <w:rPr>
                            <w:w w:val="95"/>
                            <w:sz w:val="20"/>
                          </w:rPr>
                          <w:t>3,019.00</w:t>
                        </w:r>
                      </w:p>
                    </w:tc>
                    <w:tc>
                      <w:tcPr>
                        <w:tcW w:w="1680" w:type="dxa"/>
                      </w:tcPr>
                      <w:p w:rsidR="007C5447" w:rsidRDefault="00F6308C">
                        <w:pPr>
                          <w:pStyle w:val="TableParagraph"/>
                          <w:spacing w:before="55" w:line="224" w:lineRule="exact"/>
                          <w:ind w:right="98"/>
                          <w:rPr>
                            <w:sz w:val="20"/>
                          </w:rPr>
                        </w:pPr>
                        <w:r>
                          <w:rPr>
                            <w:w w:val="95"/>
                            <w:sz w:val="20"/>
                          </w:rPr>
                          <w:t>3,045</w:t>
                        </w:r>
                      </w:p>
                    </w:tc>
                    <w:tc>
                      <w:tcPr>
                        <w:tcW w:w="1677" w:type="dxa"/>
                      </w:tcPr>
                      <w:p w:rsidR="007C5447" w:rsidRDefault="00F6308C">
                        <w:pPr>
                          <w:pStyle w:val="TableParagraph"/>
                          <w:spacing w:before="55" w:line="224" w:lineRule="exact"/>
                          <w:ind w:right="95"/>
                          <w:rPr>
                            <w:sz w:val="20"/>
                          </w:rPr>
                        </w:pPr>
                        <w:r>
                          <w:rPr>
                            <w:w w:val="95"/>
                            <w:sz w:val="20"/>
                          </w:rPr>
                          <w:t>2,567</w:t>
                        </w:r>
                      </w:p>
                    </w:tc>
                  </w:tr>
                  <w:tr w:rsidR="007C5447">
                    <w:trPr>
                      <w:trHeight w:val="299"/>
                    </w:trPr>
                    <w:tc>
                      <w:tcPr>
                        <w:tcW w:w="1061" w:type="dxa"/>
                      </w:tcPr>
                      <w:p w:rsidR="007C5447" w:rsidRDefault="00F6308C">
                        <w:pPr>
                          <w:pStyle w:val="TableParagraph"/>
                          <w:spacing w:before="36"/>
                          <w:ind w:left="212" w:right="203"/>
                          <w:jc w:val="center"/>
                          <w:rPr>
                            <w:sz w:val="20"/>
                          </w:rPr>
                        </w:pPr>
                        <w:r>
                          <w:rPr>
                            <w:sz w:val="20"/>
                          </w:rPr>
                          <w:t>11</w:t>
                        </w:r>
                      </w:p>
                    </w:tc>
                    <w:tc>
                      <w:tcPr>
                        <w:tcW w:w="3269" w:type="dxa"/>
                      </w:tcPr>
                      <w:p w:rsidR="007C5447" w:rsidRDefault="00F6308C">
                        <w:pPr>
                          <w:pStyle w:val="TableParagraph"/>
                          <w:spacing w:before="55" w:line="224" w:lineRule="exact"/>
                          <w:ind w:left="108"/>
                          <w:jc w:val="left"/>
                          <w:rPr>
                            <w:sz w:val="20"/>
                          </w:rPr>
                        </w:pPr>
                        <w:r>
                          <w:rPr>
                            <w:sz w:val="20"/>
                          </w:rPr>
                          <w:t>GCV of Secondary Fuel</w:t>
                        </w:r>
                      </w:p>
                    </w:tc>
                    <w:tc>
                      <w:tcPr>
                        <w:tcW w:w="1456" w:type="dxa"/>
                      </w:tcPr>
                      <w:p w:rsidR="007C5447" w:rsidRDefault="00F6308C">
                        <w:pPr>
                          <w:pStyle w:val="TableParagraph"/>
                          <w:spacing w:before="55" w:line="224" w:lineRule="exact"/>
                          <w:ind w:left="108"/>
                          <w:jc w:val="left"/>
                          <w:rPr>
                            <w:sz w:val="20"/>
                          </w:rPr>
                        </w:pPr>
                        <w:r>
                          <w:rPr>
                            <w:sz w:val="20"/>
                          </w:rPr>
                          <w:t>kcal/l</w:t>
                        </w:r>
                      </w:p>
                    </w:tc>
                    <w:tc>
                      <w:tcPr>
                        <w:tcW w:w="1677" w:type="dxa"/>
                      </w:tcPr>
                      <w:p w:rsidR="007C5447" w:rsidRDefault="00F6308C">
                        <w:pPr>
                          <w:pStyle w:val="TableParagraph"/>
                          <w:spacing w:before="55" w:line="224" w:lineRule="exact"/>
                          <w:ind w:right="96"/>
                          <w:rPr>
                            <w:sz w:val="20"/>
                          </w:rPr>
                        </w:pPr>
                        <w:r>
                          <w:rPr>
                            <w:w w:val="95"/>
                            <w:sz w:val="20"/>
                          </w:rPr>
                          <w:t>10,440.00</w:t>
                        </w:r>
                      </w:p>
                    </w:tc>
                    <w:tc>
                      <w:tcPr>
                        <w:tcW w:w="1680" w:type="dxa"/>
                      </w:tcPr>
                      <w:p w:rsidR="007C5447" w:rsidRDefault="00F6308C">
                        <w:pPr>
                          <w:pStyle w:val="TableParagraph"/>
                          <w:spacing w:before="55" w:line="224" w:lineRule="exact"/>
                          <w:ind w:right="98"/>
                          <w:rPr>
                            <w:sz w:val="20"/>
                          </w:rPr>
                        </w:pPr>
                        <w:r>
                          <w:rPr>
                            <w:w w:val="95"/>
                            <w:sz w:val="20"/>
                          </w:rPr>
                          <w:t>10,403</w:t>
                        </w:r>
                      </w:p>
                    </w:tc>
                    <w:tc>
                      <w:tcPr>
                        <w:tcW w:w="1677" w:type="dxa"/>
                      </w:tcPr>
                      <w:p w:rsidR="007C5447" w:rsidRDefault="00F6308C">
                        <w:pPr>
                          <w:pStyle w:val="TableParagraph"/>
                          <w:spacing w:before="55" w:line="224" w:lineRule="exact"/>
                          <w:ind w:right="95"/>
                          <w:rPr>
                            <w:sz w:val="20"/>
                          </w:rPr>
                        </w:pPr>
                        <w:r>
                          <w:rPr>
                            <w:w w:val="95"/>
                            <w:sz w:val="20"/>
                          </w:rPr>
                          <w:t>10,242</w:t>
                        </w:r>
                      </w:p>
                    </w:tc>
                  </w:tr>
                  <w:tr w:rsidR="007C5447">
                    <w:trPr>
                      <w:trHeight w:val="299"/>
                    </w:trPr>
                    <w:tc>
                      <w:tcPr>
                        <w:tcW w:w="1061" w:type="dxa"/>
                      </w:tcPr>
                      <w:p w:rsidR="007C5447" w:rsidRDefault="00F6308C">
                        <w:pPr>
                          <w:pStyle w:val="TableParagraph"/>
                          <w:spacing w:before="36"/>
                          <w:ind w:left="212" w:right="203"/>
                          <w:jc w:val="center"/>
                          <w:rPr>
                            <w:sz w:val="20"/>
                          </w:rPr>
                        </w:pPr>
                        <w:r>
                          <w:rPr>
                            <w:sz w:val="20"/>
                          </w:rPr>
                          <w:t>12</w:t>
                        </w:r>
                      </w:p>
                    </w:tc>
                    <w:tc>
                      <w:tcPr>
                        <w:tcW w:w="3269" w:type="dxa"/>
                      </w:tcPr>
                      <w:p w:rsidR="007C5447" w:rsidRDefault="00F6308C">
                        <w:pPr>
                          <w:pStyle w:val="TableParagraph"/>
                          <w:spacing w:before="55" w:line="224" w:lineRule="exact"/>
                          <w:ind w:left="108"/>
                          <w:jc w:val="left"/>
                          <w:rPr>
                            <w:sz w:val="20"/>
                          </w:rPr>
                        </w:pPr>
                        <w:r>
                          <w:rPr>
                            <w:sz w:val="20"/>
                          </w:rPr>
                          <w:t>Price of Coal</w:t>
                        </w:r>
                      </w:p>
                    </w:tc>
                    <w:tc>
                      <w:tcPr>
                        <w:tcW w:w="1456" w:type="dxa"/>
                      </w:tcPr>
                      <w:p w:rsidR="007C5447" w:rsidRDefault="00F6308C">
                        <w:pPr>
                          <w:pStyle w:val="TableParagraph"/>
                          <w:spacing w:before="55" w:line="224" w:lineRule="exact"/>
                          <w:ind w:left="108"/>
                          <w:jc w:val="left"/>
                          <w:rPr>
                            <w:sz w:val="20"/>
                          </w:rPr>
                        </w:pPr>
                        <w:r>
                          <w:rPr>
                            <w:sz w:val="20"/>
                          </w:rPr>
                          <w:t>Rs/MT</w:t>
                        </w:r>
                      </w:p>
                    </w:tc>
                    <w:tc>
                      <w:tcPr>
                        <w:tcW w:w="1677" w:type="dxa"/>
                      </w:tcPr>
                      <w:p w:rsidR="007C5447" w:rsidRDefault="00F6308C">
                        <w:pPr>
                          <w:pStyle w:val="TableParagraph"/>
                          <w:spacing w:before="55" w:line="224" w:lineRule="exact"/>
                          <w:ind w:right="94"/>
                          <w:rPr>
                            <w:sz w:val="20"/>
                          </w:rPr>
                        </w:pPr>
                        <w:r>
                          <w:rPr>
                            <w:w w:val="95"/>
                            <w:sz w:val="20"/>
                          </w:rPr>
                          <w:t>4,140.00</w:t>
                        </w:r>
                      </w:p>
                    </w:tc>
                    <w:tc>
                      <w:tcPr>
                        <w:tcW w:w="1680" w:type="dxa"/>
                      </w:tcPr>
                      <w:p w:rsidR="007C5447" w:rsidRDefault="00F6308C">
                        <w:pPr>
                          <w:pStyle w:val="TableParagraph"/>
                          <w:spacing w:before="55" w:line="224" w:lineRule="exact"/>
                          <w:ind w:right="98"/>
                          <w:rPr>
                            <w:sz w:val="20"/>
                          </w:rPr>
                        </w:pPr>
                        <w:r>
                          <w:rPr>
                            <w:w w:val="95"/>
                            <w:sz w:val="20"/>
                          </w:rPr>
                          <w:t>4,140</w:t>
                        </w:r>
                      </w:p>
                    </w:tc>
                    <w:tc>
                      <w:tcPr>
                        <w:tcW w:w="1677" w:type="dxa"/>
                      </w:tcPr>
                      <w:p w:rsidR="007C5447" w:rsidRDefault="00F6308C">
                        <w:pPr>
                          <w:pStyle w:val="TableParagraph"/>
                          <w:spacing w:before="55" w:line="224" w:lineRule="exact"/>
                          <w:ind w:right="95"/>
                          <w:rPr>
                            <w:sz w:val="20"/>
                          </w:rPr>
                        </w:pPr>
                        <w:r>
                          <w:rPr>
                            <w:w w:val="95"/>
                            <w:sz w:val="20"/>
                          </w:rPr>
                          <w:t>4,465</w:t>
                        </w:r>
                      </w:p>
                    </w:tc>
                  </w:tr>
                  <w:tr w:rsidR="007C5447">
                    <w:trPr>
                      <w:trHeight w:val="299"/>
                    </w:trPr>
                    <w:tc>
                      <w:tcPr>
                        <w:tcW w:w="1061" w:type="dxa"/>
                      </w:tcPr>
                      <w:p w:rsidR="007C5447" w:rsidRDefault="00F6308C">
                        <w:pPr>
                          <w:pStyle w:val="TableParagraph"/>
                          <w:spacing w:before="36"/>
                          <w:ind w:left="212" w:right="203"/>
                          <w:jc w:val="center"/>
                          <w:rPr>
                            <w:sz w:val="20"/>
                          </w:rPr>
                        </w:pPr>
                        <w:r>
                          <w:rPr>
                            <w:sz w:val="20"/>
                          </w:rPr>
                          <w:t>13</w:t>
                        </w:r>
                      </w:p>
                    </w:tc>
                    <w:tc>
                      <w:tcPr>
                        <w:tcW w:w="3269" w:type="dxa"/>
                      </w:tcPr>
                      <w:p w:rsidR="007C5447" w:rsidRDefault="00F6308C">
                        <w:pPr>
                          <w:pStyle w:val="TableParagraph"/>
                          <w:spacing w:before="55" w:line="224" w:lineRule="exact"/>
                          <w:ind w:left="108"/>
                          <w:jc w:val="left"/>
                          <w:rPr>
                            <w:sz w:val="20"/>
                          </w:rPr>
                        </w:pPr>
                        <w:r>
                          <w:rPr>
                            <w:sz w:val="20"/>
                          </w:rPr>
                          <w:t>Price of Oil</w:t>
                        </w:r>
                      </w:p>
                    </w:tc>
                    <w:tc>
                      <w:tcPr>
                        <w:tcW w:w="1456" w:type="dxa"/>
                      </w:tcPr>
                      <w:p w:rsidR="007C5447" w:rsidRDefault="00F6308C">
                        <w:pPr>
                          <w:pStyle w:val="TableParagraph"/>
                          <w:spacing w:before="55" w:line="224" w:lineRule="exact"/>
                          <w:ind w:left="108"/>
                          <w:jc w:val="left"/>
                          <w:rPr>
                            <w:sz w:val="20"/>
                          </w:rPr>
                        </w:pPr>
                        <w:r>
                          <w:rPr>
                            <w:sz w:val="20"/>
                          </w:rPr>
                          <w:t>Rs/kL</w:t>
                        </w:r>
                      </w:p>
                    </w:tc>
                    <w:tc>
                      <w:tcPr>
                        <w:tcW w:w="1677" w:type="dxa"/>
                      </w:tcPr>
                      <w:p w:rsidR="007C5447" w:rsidRDefault="00F6308C">
                        <w:pPr>
                          <w:pStyle w:val="TableParagraph"/>
                          <w:spacing w:before="55" w:line="224" w:lineRule="exact"/>
                          <w:ind w:right="96"/>
                          <w:rPr>
                            <w:sz w:val="20"/>
                          </w:rPr>
                        </w:pPr>
                        <w:r>
                          <w:rPr>
                            <w:w w:val="95"/>
                            <w:sz w:val="20"/>
                          </w:rPr>
                          <w:t>42,015.00</w:t>
                        </w:r>
                      </w:p>
                    </w:tc>
                    <w:tc>
                      <w:tcPr>
                        <w:tcW w:w="1680" w:type="dxa"/>
                      </w:tcPr>
                      <w:p w:rsidR="007C5447" w:rsidRDefault="00F6308C">
                        <w:pPr>
                          <w:pStyle w:val="TableParagraph"/>
                          <w:spacing w:before="55" w:line="224" w:lineRule="exact"/>
                          <w:ind w:right="98"/>
                          <w:rPr>
                            <w:sz w:val="20"/>
                          </w:rPr>
                        </w:pPr>
                        <w:r>
                          <w:rPr>
                            <w:w w:val="95"/>
                            <w:sz w:val="20"/>
                          </w:rPr>
                          <w:t>42,015</w:t>
                        </w:r>
                      </w:p>
                    </w:tc>
                    <w:tc>
                      <w:tcPr>
                        <w:tcW w:w="1677" w:type="dxa"/>
                      </w:tcPr>
                      <w:p w:rsidR="007C5447" w:rsidRDefault="00F6308C">
                        <w:pPr>
                          <w:pStyle w:val="TableParagraph"/>
                          <w:spacing w:before="55" w:line="224" w:lineRule="exact"/>
                          <w:ind w:right="95"/>
                          <w:rPr>
                            <w:sz w:val="20"/>
                          </w:rPr>
                        </w:pPr>
                        <w:r>
                          <w:rPr>
                            <w:w w:val="95"/>
                            <w:sz w:val="20"/>
                          </w:rPr>
                          <w:t>37,410</w:t>
                        </w:r>
                      </w:p>
                    </w:tc>
                  </w:tr>
                  <w:tr w:rsidR="007C5447">
                    <w:trPr>
                      <w:trHeight w:val="331"/>
                    </w:trPr>
                    <w:tc>
                      <w:tcPr>
                        <w:tcW w:w="1061" w:type="dxa"/>
                        <w:shd w:val="clear" w:color="auto" w:fill="ECECEC"/>
                      </w:tcPr>
                      <w:p w:rsidR="007C5447" w:rsidRDefault="007C5447">
                        <w:pPr>
                          <w:pStyle w:val="TableParagraph"/>
                          <w:jc w:val="left"/>
                          <w:rPr>
                            <w:sz w:val="20"/>
                          </w:rPr>
                        </w:pPr>
                      </w:p>
                    </w:tc>
                    <w:tc>
                      <w:tcPr>
                        <w:tcW w:w="3269" w:type="dxa"/>
                        <w:shd w:val="clear" w:color="auto" w:fill="ECECEC"/>
                      </w:tcPr>
                      <w:p w:rsidR="007C5447" w:rsidRDefault="00F6308C">
                        <w:pPr>
                          <w:pStyle w:val="TableParagraph"/>
                          <w:spacing w:before="87" w:line="224" w:lineRule="exact"/>
                          <w:ind w:left="108"/>
                          <w:jc w:val="left"/>
                          <w:rPr>
                            <w:b/>
                            <w:sz w:val="20"/>
                          </w:rPr>
                        </w:pPr>
                        <w:r>
                          <w:rPr>
                            <w:b/>
                            <w:sz w:val="20"/>
                          </w:rPr>
                          <w:t>Calculations</w:t>
                        </w:r>
                      </w:p>
                    </w:tc>
                    <w:tc>
                      <w:tcPr>
                        <w:tcW w:w="1456" w:type="dxa"/>
                        <w:shd w:val="clear" w:color="auto" w:fill="ECECEC"/>
                      </w:tcPr>
                      <w:p w:rsidR="007C5447" w:rsidRDefault="007C5447">
                        <w:pPr>
                          <w:pStyle w:val="TableParagraph"/>
                          <w:jc w:val="left"/>
                          <w:rPr>
                            <w:sz w:val="20"/>
                          </w:rPr>
                        </w:pPr>
                      </w:p>
                    </w:tc>
                    <w:tc>
                      <w:tcPr>
                        <w:tcW w:w="1677" w:type="dxa"/>
                        <w:shd w:val="clear" w:color="auto" w:fill="ECECEC"/>
                      </w:tcPr>
                      <w:p w:rsidR="007C5447" w:rsidRDefault="007C5447">
                        <w:pPr>
                          <w:pStyle w:val="TableParagraph"/>
                          <w:jc w:val="left"/>
                          <w:rPr>
                            <w:sz w:val="20"/>
                          </w:rPr>
                        </w:pPr>
                      </w:p>
                    </w:tc>
                    <w:tc>
                      <w:tcPr>
                        <w:tcW w:w="1680" w:type="dxa"/>
                        <w:shd w:val="clear" w:color="auto" w:fill="ECECEC"/>
                      </w:tcPr>
                      <w:p w:rsidR="007C5447" w:rsidRDefault="007C5447">
                        <w:pPr>
                          <w:pStyle w:val="TableParagraph"/>
                          <w:jc w:val="left"/>
                          <w:rPr>
                            <w:sz w:val="20"/>
                          </w:rPr>
                        </w:pPr>
                      </w:p>
                    </w:tc>
                    <w:tc>
                      <w:tcPr>
                        <w:tcW w:w="1677" w:type="dxa"/>
                        <w:shd w:val="clear" w:color="auto" w:fill="ECECEC"/>
                      </w:tcPr>
                      <w:p w:rsidR="007C5447" w:rsidRDefault="007C5447">
                        <w:pPr>
                          <w:pStyle w:val="TableParagraph"/>
                          <w:jc w:val="left"/>
                          <w:rPr>
                            <w:sz w:val="20"/>
                          </w:rPr>
                        </w:pPr>
                      </w:p>
                    </w:tc>
                  </w:tr>
                  <w:tr w:rsidR="007C5447">
                    <w:trPr>
                      <w:trHeight w:val="299"/>
                    </w:trPr>
                    <w:tc>
                      <w:tcPr>
                        <w:tcW w:w="1061" w:type="dxa"/>
                      </w:tcPr>
                      <w:p w:rsidR="007C5447" w:rsidRDefault="00F6308C">
                        <w:pPr>
                          <w:pStyle w:val="TableParagraph"/>
                          <w:spacing w:before="36"/>
                          <w:ind w:left="212" w:right="203"/>
                          <w:jc w:val="center"/>
                          <w:rPr>
                            <w:sz w:val="20"/>
                          </w:rPr>
                        </w:pPr>
                        <w:r>
                          <w:rPr>
                            <w:sz w:val="20"/>
                          </w:rPr>
                          <w:t>14</w:t>
                        </w:r>
                      </w:p>
                    </w:tc>
                    <w:tc>
                      <w:tcPr>
                        <w:tcW w:w="3269" w:type="dxa"/>
                      </w:tcPr>
                      <w:p w:rsidR="007C5447" w:rsidRDefault="00F6308C">
                        <w:pPr>
                          <w:pStyle w:val="TableParagraph"/>
                          <w:spacing w:before="55" w:line="224" w:lineRule="exact"/>
                          <w:ind w:left="108"/>
                          <w:jc w:val="left"/>
                          <w:rPr>
                            <w:sz w:val="20"/>
                          </w:rPr>
                        </w:pPr>
                        <w:r>
                          <w:rPr>
                            <w:sz w:val="20"/>
                          </w:rPr>
                          <w:t>Total Heat from Coal and Oil</w:t>
                        </w:r>
                      </w:p>
                    </w:tc>
                    <w:tc>
                      <w:tcPr>
                        <w:tcW w:w="1456" w:type="dxa"/>
                      </w:tcPr>
                      <w:p w:rsidR="007C5447" w:rsidRDefault="00F6308C">
                        <w:pPr>
                          <w:pStyle w:val="TableParagraph"/>
                          <w:spacing w:before="55" w:line="224" w:lineRule="exact"/>
                          <w:ind w:left="108"/>
                          <w:jc w:val="left"/>
                          <w:rPr>
                            <w:sz w:val="20"/>
                          </w:rPr>
                        </w:pPr>
                        <w:r>
                          <w:rPr>
                            <w:sz w:val="20"/>
                          </w:rPr>
                          <w:t>MKCL</w:t>
                        </w:r>
                      </w:p>
                    </w:tc>
                    <w:tc>
                      <w:tcPr>
                        <w:tcW w:w="1677" w:type="dxa"/>
                      </w:tcPr>
                      <w:p w:rsidR="007C5447" w:rsidRDefault="00F6308C">
                        <w:pPr>
                          <w:pStyle w:val="TableParagraph"/>
                          <w:spacing w:before="55" w:line="224" w:lineRule="exact"/>
                          <w:ind w:right="97"/>
                          <w:rPr>
                            <w:sz w:val="20"/>
                          </w:rPr>
                        </w:pPr>
                        <w:r>
                          <w:rPr>
                            <w:w w:val="95"/>
                            <w:sz w:val="20"/>
                          </w:rPr>
                          <w:t>1,05,12,000</w:t>
                        </w:r>
                      </w:p>
                    </w:tc>
                    <w:tc>
                      <w:tcPr>
                        <w:tcW w:w="1680" w:type="dxa"/>
                      </w:tcPr>
                      <w:p w:rsidR="007C5447" w:rsidRDefault="00F6308C">
                        <w:pPr>
                          <w:pStyle w:val="TableParagraph"/>
                          <w:spacing w:before="55" w:line="224" w:lineRule="exact"/>
                          <w:ind w:right="98"/>
                          <w:rPr>
                            <w:sz w:val="20"/>
                          </w:rPr>
                        </w:pPr>
                        <w:r>
                          <w:rPr>
                            <w:w w:val="95"/>
                            <w:sz w:val="20"/>
                          </w:rPr>
                          <w:t>74,03,900</w:t>
                        </w:r>
                      </w:p>
                    </w:tc>
                    <w:tc>
                      <w:tcPr>
                        <w:tcW w:w="1677" w:type="dxa"/>
                      </w:tcPr>
                      <w:p w:rsidR="007C5447" w:rsidRDefault="00F6308C">
                        <w:pPr>
                          <w:pStyle w:val="TableParagraph"/>
                          <w:spacing w:before="55" w:line="224" w:lineRule="exact"/>
                          <w:ind w:right="96"/>
                          <w:rPr>
                            <w:sz w:val="20"/>
                          </w:rPr>
                        </w:pPr>
                        <w:r>
                          <w:rPr>
                            <w:w w:val="95"/>
                            <w:sz w:val="20"/>
                          </w:rPr>
                          <w:t>1,09,75,608</w:t>
                        </w:r>
                      </w:p>
                    </w:tc>
                  </w:tr>
                  <w:tr w:rsidR="007C5447">
                    <w:trPr>
                      <w:trHeight w:val="299"/>
                    </w:trPr>
                    <w:tc>
                      <w:tcPr>
                        <w:tcW w:w="1061" w:type="dxa"/>
                      </w:tcPr>
                      <w:p w:rsidR="007C5447" w:rsidRDefault="00F6308C">
                        <w:pPr>
                          <w:pStyle w:val="TableParagraph"/>
                          <w:spacing w:before="36"/>
                          <w:ind w:left="212" w:right="203"/>
                          <w:jc w:val="center"/>
                          <w:rPr>
                            <w:sz w:val="20"/>
                          </w:rPr>
                        </w:pPr>
                        <w:r>
                          <w:rPr>
                            <w:sz w:val="20"/>
                          </w:rPr>
                          <w:t>15</w:t>
                        </w:r>
                      </w:p>
                    </w:tc>
                    <w:tc>
                      <w:tcPr>
                        <w:tcW w:w="3269" w:type="dxa"/>
                      </w:tcPr>
                      <w:p w:rsidR="007C5447" w:rsidRDefault="00F6308C">
                        <w:pPr>
                          <w:pStyle w:val="TableParagraph"/>
                          <w:spacing w:before="55" w:line="224" w:lineRule="exact"/>
                          <w:ind w:left="108"/>
                          <w:jc w:val="left"/>
                          <w:rPr>
                            <w:sz w:val="20"/>
                          </w:rPr>
                        </w:pPr>
                        <w:r>
                          <w:rPr>
                            <w:sz w:val="20"/>
                          </w:rPr>
                          <w:t>Heat from Coal</w:t>
                        </w:r>
                      </w:p>
                    </w:tc>
                    <w:tc>
                      <w:tcPr>
                        <w:tcW w:w="1456" w:type="dxa"/>
                      </w:tcPr>
                      <w:p w:rsidR="007C5447" w:rsidRDefault="00F6308C">
                        <w:pPr>
                          <w:pStyle w:val="TableParagraph"/>
                          <w:spacing w:before="55" w:line="224" w:lineRule="exact"/>
                          <w:ind w:left="108"/>
                          <w:jc w:val="left"/>
                          <w:rPr>
                            <w:sz w:val="20"/>
                          </w:rPr>
                        </w:pPr>
                        <w:r>
                          <w:rPr>
                            <w:sz w:val="20"/>
                          </w:rPr>
                          <w:t>MKCL</w:t>
                        </w:r>
                      </w:p>
                    </w:tc>
                    <w:tc>
                      <w:tcPr>
                        <w:tcW w:w="1677" w:type="dxa"/>
                      </w:tcPr>
                      <w:p w:rsidR="007C5447" w:rsidRDefault="00F6308C">
                        <w:pPr>
                          <w:pStyle w:val="TableParagraph"/>
                          <w:spacing w:before="55" w:line="224" w:lineRule="exact"/>
                          <w:ind w:right="97"/>
                          <w:rPr>
                            <w:sz w:val="20"/>
                          </w:rPr>
                        </w:pPr>
                        <w:r>
                          <w:rPr>
                            <w:w w:val="95"/>
                            <w:sz w:val="20"/>
                          </w:rPr>
                          <w:t>1,04,50,517</w:t>
                        </w:r>
                      </w:p>
                    </w:tc>
                    <w:tc>
                      <w:tcPr>
                        <w:tcW w:w="1680" w:type="dxa"/>
                      </w:tcPr>
                      <w:p w:rsidR="007C5447" w:rsidRDefault="00F6308C">
                        <w:pPr>
                          <w:pStyle w:val="TableParagraph"/>
                          <w:spacing w:before="55" w:line="224" w:lineRule="exact"/>
                          <w:ind w:right="98"/>
                          <w:rPr>
                            <w:sz w:val="20"/>
                          </w:rPr>
                        </w:pPr>
                        <w:r>
                          <w:rPr>
                            <w:w w:val="95"/>
                            <w:sz w:val="20"/>
                          </w:rPr>
                          <w:t>73,57,667</w:t>
                        </w:r>
                      </w:p>
                    </w:tc>
                    <w:tc>
                      <w:tcPr>
                        <w:tcW w:w="1677" w:type="dxa"/>
                      </w:tcPr>
                      <w:p w:rsidR="007C5447" w:rsidRDefault="00F6308C">
                        <w:pPr>
                          <w:pStyle w:val="TableParagraph"/>
                          <w:spacing w:before="55" w:line="224" w:lineRule="exact"/>
                          <w:ind w:right="96"/>
                          <w:rPr>
                            <w:sz w:val="20"/>
                          </w:rPr>
                        </w:pPr>
                        <w:r>
                          <w:rPr>
                            <w:w w:val="95"/>
                            <w:sz w:val="20"/>
                          </w:rPr>
                          <w:t>1,09,08,133</w:t>
                        </w:r>
                      </w:p>
                    </w:tc>
                  </w:tr>
                  <w:tr w:rsidR="007C5447">
                    <w:trPr>
                      <w:trHeight w:val="302"/>
                    </w:trPr>
                    <w:tc>
                      <w:tcPr>
                        <w:tcW w:w="1061" w:type="dxa"/>
                      </w:tcPr>
                      <w:p w:rsidR="007C5447" w:rsidRDefault="00F6308C">
                        <w:pPr>
                          <w:pStyle w:val="TableParagraph"/>
                          <w:spacing w:before="36"/>
                          <w:ind w:left="212" w:right="203"/>
                          <w:jc w:val="center"/>
                          <w:rPr>
                            <w:sz w:val="20"/>
                          </w:rPr>
                        </w:pPr>
                        <w:r>
                          <w:rPr>
                            <w:sz w:val="20"/>
                          </w:rPr>
                          <w:t>16</w:t>
                        </w:r>
                      </w:p>
                    </w:tc>
                    <w:tc>
                      <w:tcPr>
                        <w:tcW w:w="3269" w:type="dxa"/>
                      </w:tcPr>
                      <w:p w:rsidR="007C5447" w:rsidRDefault="00F6308C">
                        <w:pPr>
                          <w:pStyle w:val="TableParagraph"/>
                          <w:spacing w:before="55" w:line="227" w:lineRule="exact"/>
                          <w:ind w:left="108"/>
                          <w:jc w:val="left"/>
                          <w:rPr>
                            <w:sz w:val="20"/>
                          </w:rPr>
                        </w:pPr>
                        <w:r>
                          <w:rPr>
                            <w:sz w:val="20"/>
                          </w:rPr>
                          <w:t>Heat from Oil</w:t>
                        </w:r>
                      </w:p>
                    </w:tc>
                    <w:tc>
                      <w:tcPr>
                        <w:tcW w:w="1456" w:type="dxa"/>
                      </w:tcPr>
                      <w:p w:rsidR="007C5447" w:rsidRDefault="00F6308C">
                        <w:pPr>
                          <w:pStyle w:val="TableParagraph"/>
                          <w:spacing w:before="55" w:line="227" w:lineRule="exact"/>
                          <w:ind w:left="108"/>
                          <w:jc w:val="left"/>
                          <w:rPr>
                            <w:sz w:val="20"/>
                          </w:rPr>
                        </w:pPr>
                        <w:r>
                          <w:rPr>
                            <w:sz w:val="20"/>
                          </w:rPr>
                          <w:t>MKCL</w:t>
                        </w:r>
                      </w:p>
                    </w:tc>
                    <w:tc>
                      <w:tcPr>
                        <w:tcW w:w="1677" w:type="dxa"/>
                      </w:tcPr>
                      <w:p w:rsidR="007C5447" w:rsidRDefault="00F6308C">
                        <w:pPr>
                          <w:pStyle w:val="TableParagraph"/>
                          <w:spacing w:before="55" w:line="227" w:lineRule="exact"/>
                          <w:ind w:right="96"/>
                          <w:rPr>
                            <w:sz w:val="20"/>
                          </w:rPr>
                        </w:pPr>
                        <w:r>
                          <w:rPr>
                            <w:w w:val="95"/>
                            <w:sz w:val="20"/>
                          </w:rPr>
                          <w:t>61,483</w:t>
                        </w:r>
                      </w:p>
                    </w:tc>
                    <w:tc>
                      <w:tcPr>
                        <w:tcW w:w="1680" w:type="dxa"/>
                      </w:tcPr>
                      <w:p w:rsidR="007C5447" w:rsidRDefault="00F6308C">
                        <w:pPr>
                          <w:pStyle w:val="TableParagraph"/>
                          <w:spacing w:before="55" w:line="227" w:lineRule="exact"/>
                          <w:ind w:right="98"/>
                          <w:rPr>
                            <w:sz w:val="20"/>
                          </w:rPr>
                        </w:pPr>
                        <w:r>
                          <w:rPr>
                            <w:w w:val="95"/>
                            <w:sz w:val="20"/>
                          </w:rPr>
                          <w:t>46,233</w:t>
                        </w:r>
                      </w:p>
                    </w:tc>
                    <w:tc>
                      <w:tcPr>
                        <w:tcW w:w="1677" w:type="dxa"/>
                      </w:tcPr>
                      <w:p w:rsidR="007C5447" w:rsidRDefault="00F6308C">
                        <w:pPr>
                          <w:pStyle w:val="TableParagraph"/>
                          <w:spacing w:before="55" w:line="227" w:lineRule="exact"/>
                          <w:ind w:right="95"/>
                          <w:rPr>
                            <w:sz w:val="20"/>
                          </w:rPr>
                        </w:pPr>
                        <w:r>
                          <w:rPr>
                            <w:w w:val="95"/>
                            <w:sz w:val="20"/>
                          </w:rPr>
                          <w:t>67,475</w:t>
                        </w:r>
                      </w:p>
                    </w:tc>
                  </w:tr>
                  <w:tr w:rsidR="007C5447">
                    <w:trPr>
                      <w:trHeight w:val="299"/>
                    </w:trPr>
                    <w:tc>
                      <w:tcPr>
                        <w:tcW w:w="1061" w:type="dxa"/>
                      </w:tcPr>
                      <w:p w:rsidR="007C5447" w:rsidRDefault="00F6308C">
                        <w:pPr>
                          <w:pStyle w:val="TableParagraph"/>
                          <w:spacing w:before="34"/>
                          <w:ind w:left="212" w:right="203"/>
                          <w:jc w:val="center"/>
                          <w:rPr>
                            <w:sz w:val="20"/>
                          </w:rPr>
                        </w:pPr>
                        <w:r>
                          <w:rPr>
                            <w:sz w:val="20"/>
                          </w:rPr>
                          <w:t>17</w:t>
                        </w:r>
                      </w:p>
                    </w:tc>
                    <w:tc>
                      <w:tcPr>
                        <w:tcW w:w="3269" w:type="dxa"/>
                      </w:tcPr>
                      <w:p w:rsidR="007C5447" w:rsidRDefault="00F6308C">
                        <w:pPr>
                          <w:pStyle w:val="TableParagraph"/>
                          <w:spacing w:before="55" w:line="224" w:lineRule="exact"/>
                          <w:ind w:left="108"/>
                          <w:jc w:val="left"/>
                          <w:rPr>
                            <w:sz w:val="20"/>
                          </w:rPr>
                        </w:pPr>
                        <w:r>
                          <w:rPr>
                            <w:sz w:val="20"/>
                          </w:rPr>
                          <w:t>Oil Consumed</w:t>
                        </w:r>
                      </w:p>
                    </w:tc>
                    <w:tc>
                      <w:tcPr>
                        <w:tcW w:w="1456" w:type="dxa"/>
                      </w:tcPr>
                      <w:p w:rsidR="007C5447" w:rsidRDefault="00F6308C">
                        <w:pPr>
                          <w:pStyle w:val="TableParagraph"/>
                          <w:spacing w:before="55" w:line="224" w:lineRule="exact"/>
                          <w:ind w:left="108"/>
                          <w:jc w:val="left"/>
                          <w:rPr>
                            <w:sz w:val="20"/>
                          </w:rPr>
                        </w:pPr>
                        <w:r>
                          <w:rPr>
                            <w:sz w:val="20"/>
                          </w:rPr>
                          <w:t>kL</w:t>
                        </w:r>
                      </w:p>
                    </w:tc>
                    <w:tc>
                      <w:tcPr>
                        <w:tcW w:w="1677" w:type="dxa"/>
                      </w:tcPr>
                      <w:p w:rsidR="007C5447" w:rsidRDefault="00F6308C">
                        <w:pPr>
                          <w:pStyle w:val="TableParagraph"/>
                          <w:spacing w:before="55" w:line="224" w:lineRule="exact"/>
                          <w:ind w:right="96"/>
                          <w:rPr>
                            <w:sz w:val="20"/>
                          </w:rPr>
                        </w:pPr>
                        <w:r>
                          <w:rPr>
                            <w:w w:val="95"/>
                            <w:sz w:val="20"/>
                          </w:rPr>
                          <w:t>5,889</w:t>
                        </w:r>
                      </w:p>
                    </w:tc>
                    <w:tc>
                      <w:tcPr>
                        <w:tcW w:w="1680" w:type="dxa"/>
                      </w:tcPr>
                      <w:p w:rsidR="007C5447" w:rsidRDefault="00F6308C">
                        <w:pPr>
                          <w:pStyle w:val="TableParagraph"/>
                          <w:spacing w:before="55" w:line="224" w:lineRule="exact"/>
                          <w:ind w:right="98"/>
                          <w:rPr>
                            <w:sz w:val="20"/>
                          </w:rPr>
                        </w:pPr>
                        <w:r>
                          <w:rPr>
                            <w:w w:val="95"/>
                            <w:sz w:val="20"/>
                          </w:rPr>
                          <w:t>4,444</w:t>
                        </w:r>
                      </w:p>
                    </w:tc>
                    <w:tc>
                      <w:tcPr>
                        <w:tcW w:w="1677" w:type="dxa"/>
                      </w:tcPr>
                      <w:p w:rsidR="007C5447" w:rsidRDefault="00F6308C">
                        <w:pPr>
                          <w:pStyle w:val="TableParagraph"/>
                          <w:spacing w:before="55" w:line="224" w:lineRule="exact"/>
                          <w:ind w:right="95"/>
                          <w:rPr>
                            <w:sz w:val="20"/>
                          </w:rPr>
                        </w:pPr>
                        <w:r>
                          <w:rPr>
                            <w:w w:val="95"/>
                            <w:sz w:val="20"/>
                          </w:rPr>
                          <w:t>6,588</w:t>
                        </w:r>
                      </w:p>
                    </w:tc>
                  </w:tr>
                  <w:tr w:rsidR="007C5447">
                    <w:trPr>
                      <w:trHeight w:val="299"/>
                    </w:trPr>
                    <w:tc>
                      <w:tcPr>
                        <w:tcW w:w="1061" w:type="dxa"/>
                      </w:tcPr>
                      <w:p w:rsidR="007C5447" w:rsidRDefault="00F6308C">
                        <w:pPr>
                          <w:pStyle w:val="TableParagraph"/>
                          <w:spacing w:before="34"/>
                          <w:ind w:left="212" w:right="203"/>
                          <w:jc w:val="center"/>
                          <w:rPr>
                            <w:sz w:val="20"/>
                          </w:rPr>
                        </w:pPr>
                        <w:r>
                          <w:rPr>
                            <w:sz w:val="20"/>
                          </w:rPr>
                          <w:t>18</w:t>
                        </w:r>
                      </w:p>
                    </w:tc>
                    <w:tc>
                      <w:tcPr>
                        <w:tcW w:w="3269" w:type="dxa"/>
                      </w:tcPr>
                      <w:p w:rsidR="007C5447" w:rsidRDefault="00F6308C">
                        <w:pPr>
                          <w:pStyle w:val="TableParagraph"/>
                          <w:spacing w:before="55" w:line="224" w:lineRule="exact"/>
                          <w:ind w:left="108"/>
                          <w:jc w:val="left"/>
                          <w:rPr>
                            <w:sz w:val="20"/>
                          </w:rPr>
                        </w:pPr>
                        <w:r>
                          <w:rPr>
                            <w:sz w:val="20"/>
                          </w:rPr>
                          <w:t>Coal Consumed</w:t>
                        </w:r>
                      </w:p>
                    </w:tc>
                    <w:tc>
                      <w:tcPr>
                        <w:tcW w:w="1456" w:type="dxa"/>
                      </w:tcPr>
                      <w:p w:rsidR="007C5447" w:rsidRDefault="00F6308C">
                        <w:pPr>
                          <w:pStyle w:val="TableParagraph"/>
                          <w:spacing w:before="55" w:line="224" w:lineRule="exact"/>
                          <w:ind w:left="108"/>
                          <w:jc w:val="left"/>
                          <w:rPr>
                            <w:sz w:val="20"/>
                          </w:rPr>
                        </w:pPr>
                        <w:r>
                          <w:rPr>
                            <w:sz w:val="20"/>
                          </w:rPr>
                          <w:t>MT</w:t>
                        </w:r>
                      </w:p>
                    </w:tc>
                    <w:tc>
                      <w:tcPr>
                        <w:tcW w:w="1677" w:type="dxa"/>
                      </w:tcPr>
                      <w:p w:rsidR="007C5447" w:rsidRDefault="00F6308C">
                        <w:pPr>
                          <w:pStyle w:val="TableParagraph"/>
                          <w:spacing w:before="55" w:line="224" w:lineRule="exact"/>
                          <w:ind w:right="96"/>
                          <w:rPr>
                            <w:sz w:val="20"/>
                          </w:rPr>
                        </w:pPr>
                        <w:r>
                          <w:rPr>
                            <w:w w:val="95"/>
                            <w:sz w:val="20"/>
                          </w:rPr>
                          <w:t>34,61,582</w:t>
                        </w:r>
                      </w:p>
                    </w:tc>
                    <w:tc>
                      <w:tcPr>
                        <w:tcW w:w="1680" w:type="dxa"/>
                      </w:tcPr>
                      <w:p w:rsidR="007C5447" w:rsidRDefault="00F6308C">
                        <w:pPr>
                          <w:pStyle w:val="TableParagraph"/>
                          <w:spacing w:before="55" w:line="224" w:lineRule="exact"/>
                          <w:ind w:right="98"/>
                          <w:rPr>
                            <w:sz w:val="20"/>
                          </w:rPr>
                        </w:pPr>
                        <w:r>
                          <w:rPr>
                            <w:w w:val="95"/>
                            <w:sz w:val="20"/>
                          </w:rPr>
                          <w:t>24,16,311</w:t>
                        </w:r>
                      </w:p>
                    </w:tc>
                    <w:tc>
                      <w:tcPr>
                        <w:tcW w:w="1677" w:type="dxa"/>
                      </w:tcPr>
                      <w:p w:rsidR="007C5447" w:rsidRDefault="00F6308C">
                        <w:pPr>
                          <w:pStyle w:val="TableParagraph"/>
                          <w:spacing w:before="55" w:line="224" w:lineRule="exact"/>
                          <w:ind w:right="95"/>
                          <w:rPr>
                            <w:sz w:val="20"/>
                          </w:rPr>
                        </w:pPr>
                        <w:r>
                          <w:rPr>
                            <w:w w:val="95"/>
                            <w:sz w:val="20"/>
                          </w:rPr>
                          <w:t>42,49,416</w:t>
                        </w:r>
                      </w:p>
                    </w:tc>
                  </w:tr>
                  <w:tr w:rsidR="007C5447">
                    <w:trPr>
                      <w:trHeight w:val="299"/>
                    </w:trPr>
                    <w:tc>
                      <w:tcPr>
                        <w:tcW w:w="1061" w:type="dxa"/>
                      </w:tcPr>
                      <w:p w:rsidR="007C5447" w:rsidRDefault="00F6308C">
                        <w:pPr>
                          <w:pStyle w:val="TableParagraph"/>
                          <w:spacing w:before="36"/>
                          <w:ind w:left="212" w:right="203"/>
                          <w:jc w:val="center"/>
                          <w:rPr>
                            <w:sz w:val="20"/>
                          </w:rPr>
                        </w:pPr>
                        <w:r>
                          <w:rPr>
                            <w:sz w:val="20"/>
                          </w:rPr>
                          <w:t>19</w:t>
                        </w:r>
                      </w:p>
                    </w:tc>
                    <w:tc>
                      <w:tcPr>
                        <w:tcW w:w="3269" w:type="dxa"/>
                      </w:tcPr>
                      <w:p w:rsidR="007C5447" w:rsidRDefault="00F6308C">
                        <w:pPr>
                          <w:pStyle w:val="TableParagraph"/>
                          <w:spacing w:before="55" w:line="224" w:lineRule="exact"/>
                          <w:ind w:left="108"/>
                          <w:jc w:val="left"/>
                          <w:rPr>
                            <w:sz w:val="20"/>
                          </w:rPr>
                        </w:pPr>
                        <w:r>
                          <w:rPr>
                            <w:sz w:val="20"/>
                          </w:rPr>
                          <w:t>Total Cost of Coal</w:t>
                        </w:r>
                      </w:p>
                    </w:tc>
                    <w:tc>
                      <w:tcPr>
                        <w:tcW w:w="1456" w:type="dxa"/>
                      </w:tcPr>
                      <w:p w:rsidR="007C5447" w:rsidRDefault="00F6308C">
                        <w:pPr>
                          <w:pStyle w:val="TableParagraph"/>
                          <w:spacing w:before="55" w:line="224" w:lineRule="exact"/>
                          <w:ind w:left="108"/>
                          <w:jc w:val="left"/>
                          <w:rPr>
                            <w:sz w:val="20"/>
                          </w:rPr>
                        </w:pPr>
                        <w:r>
                          <w:rPr>
                            <w:sz w:val="20"/>
                          </w:rPr>
                          <w:t>Rs. Crore</w:t>
                        </w:r>
                      </w:p>
                    </w:tc>
                    <w:tc>
                      <w:tcPr>
                        <w:tcW w:w="1677" w:type="dxa"/>
                      </w:tcPr>
                      <w:p w:rsidR="007C5447" w:rsidRDefault="00F6308C">
                        <w:pPr>
                          <w:pStyle w:val="TableParagraph"/>
                          <w:spacing w:before="55" w:line="224" w:lineRule="exact"/>
                          <w:ind w:right="96"/>
                          <w:rPr>
                            <w:sz w:val="20"/>
                          </w:rPr>
                        </w:pPr>
                        <w:r>
                          <w:rPr>
                            <w:w w:val="95"/>
                            <w:sz w:val="20"/>
                          </w:rPr>
                          <w:t>1,433</w:t>
                        </w:r>
                      </w:p>
                    </w:tc>
                    <w:tc>
                      <w:tcPr>
                        <w:tcW w:w="1680" w:type="dxa"/>
                      </w:tcPr>
                      <w:p w:rsidR="007C5447" w:rsidRDefault="00F6308C">
                        <w:pPr>
                          <w:pStyle w:val="TableParagraph"/>
                          <w:spacing w:before="55" w:line="224" w:lineRule="exact"/>
                          <w:ind w:right="96"/>
                          <w:rPr>
                            <w:sz w:val="20"/>
                          </w:rPr>
                        </w:pPr>
                        <w:r>
                          <w:rPr>
                            <w:sz w:val="20"/>
                          </w:rPr>
                          <w:t>1000.35</w:t>
                        </w:r>
                      </w:p>
                    </w:tc>
                    <w:tc>
                      <w:tcPr>
                        <w:tcW w:w="1677" w:type="dxa"/>
                      </w:tcPr>
                      <w:p w:rsidR="007C5447" w:rsidRDefault="00F6308C">
                        <w:pPr>
                          <w:pStyle w:val="TableParagraph"/>
                          <w:spacing w:before="55" w:line="224" w:lineRule="exact"/>
                          <w:ind w:right="93"/>
                          <w:rPr>
                            <w:sz w:val="20"/>
                          </w:rPr>
                        </w:pPr>
                        <w:r>
                          <w:rPr>
                            <w:sz w:val="20"/>
                          </w:rPr>
                          <w:t>1897.36</w:t>
                        </w:r>
                      </w:p>
                    </w:tc>
                  </w:tr>
                  <w:tr w:rsidR="007C5447">
                    <w:trPr>
                      <w:trHeight w:val="299"/>
                    </w:trPr>
                    <w:tc>
                      <w:tcPr>
                        <w:tcW w:w="1061" w:type="dxa"/>
                      </w:tcPr>
                      <w:p w:rsidR="007C5447" w:rsidRDefault="00F6308C">
                        <w:pPr>
                          <w:pStyle w:val="TableParagraph"/>
                          <w:spacing w:before="36"/>
                          <w:ind w:left="212" w:right="203"/>
                          <w:jc w:val="center"/>
                          <w:rPr>
                            <w:sz w:val="20"/>
                          </w:rPr>
                        </w:pPr>
                        <w:r>
                          <w:rPr>
                            <w:sz w:val="20"/>
                          </w:rPr>
                          <w:t>20</w:t>
                        </w:r>
                      </w:p>
                    </w:tc>
                    <w:tc>
                      <w:tcPr>
                        <w:tcW w:w="3269" w:type="dxa"/>
                      </w:tcPr>
                      <w:p w:rsidR="007C5447" w:rsidRDefault="00F6308C">
                        <w:pPr>
                          <w:pStyle w:val="TableParagraph"/>
                          <w:spacing w:before="55" w:line="224" w:lineRule="exact"/>
                          <w:ind w:left="108"/>
                          <w:jc w:val="left"/>
                          <w:rPr>
                            <w:sz w:val="20"/>
                          </w:rPr>
                        </w:pPr>
                        <w:r>
                          <w:rPr>
                            <w:sz w:val="20"/>
                          </w:rPr>
                          <w:t>Total Cost of Oil</w:t>
                        </w:r>
                      </w:p>
                    </w:tc>
                    <w:tc>
                      <w:tcPr>
                        <w:tcW w:w="1456" w:type="dxa"/>
                      </w:tcPr>
                      <w:p w:rsidR="007C5447" w:rsidRDefault="00F6308C">
                        <w:pPr>
                          <w:pStyle w:val="TableParagraph"/>
                          <w:spacing w:before="55" w:line="224" w:lineRule="exact"/>
                          <w:ind w:left="108"/>
                          <w:jc w:val="left"/>
                          <w:rPr>
                            <w:sz w:val="20"/>
                          </w:rPr>
                        </w:pPr>
                        <w:r>
                          <w:rPr>
                            <w:sz w:val="20"/>
                          </w:rPr>
                          <w:t>Rs. Crore</w:t>
                        </w:r>
                      </w:p>
                    </w:tc>
                    <w:tc>
                      <w:tcPr>
                        <w:tcW w:w="1677" w:type="dxa"/>
                      </w:tcPr>
                      <w:p w:rsidR="007C5447" w:rsidRDefault="00F6308C">
                        <w:pPr>
                          <w:pStyle w:val="TableParagraph"/>
                          <w:spacing w:before="55" w:line="224" w:lineRule="exact"/>
                          <w:ind w:right="94"/>
                          <w:rPr>
                            <w:sz w:val="20"/>
                          </w:rPr>
                        </w:pPr>
                        <w:r>
                          <w:rPr>
                            <w:sz w:val="20"/>
                          </w:rPr>
                          <w:t>25</w:t>
                        </w:r>
                      </w:p>
                    </w:tc>
                    <w:tc>
                      <w:tcPr>
                        <w:tcW w:w="1680" w:type="dxa"/>
                      </w:tcPr>
                      <w:p w:rsidR="007C5447" w:rsidRDefault="00F6308C">
                        <w:pPr>
                          <w:pStyle w:val="TableParagraph"/>
                          <w:spacing w:before="55" w:line="224" w:lineRule="exact"/>
                          <w:ind w:right="95"/>
                          <w:rPr>
                            <w:sz w:val="20"/>
                          </w:rPr>
                        </w:pPr>
                        <w:r>
                          <w:rPr>
                            <w:sz w:val="20"/>
                          </w:rPr>
                          <w:t>18.67</w:t>
                        </w:r>
                      </w:p>
                    </w:tc>
                    <w:tc>
                      <w:tcPr>
                        <w:tcW w:w="1677" w:type="dxa"/>
                      </w:tcPr>
                      <w:p w:rsidR="007C5447" w:rsidRDefault="00F6308C">
                        <w:pPr>
                          <w:pStyle w:val="TableParagraph"/>
                          <w:spacing w:before="55" w:line="224" w:lineRule="exact"/>
                          <w:ind w:right="92"/>
                          <w:rPr>
                            <w:sz w:val="20"/>
                          </w:rPr>
                        </w:pPr>
                        <w:r>
                          <w:rPr>
                            <w:sz w:val="20"/>
                          </w:rPr>
                          <w:t>24.65</w:t>
                        </w:r>
                      </w:p>
                    </w:tc>
                  </w:tr>
                  <w:tr w:rsidR="007C5447">
                    <w:trPr>
                      <w:trHeight w:val="331"/>
                    </w:trPr>
                    <w:tc>
                      <w:tcPr>
                        <w:tcW w:w="1061" w:type="dxa"/>
                        <w:shd w:val="clear" w:color="auto" w:fill="FFFFCC"/>
                      </w:tcPr>
                      <w:p w:rsidR="007C5447" w:rsidRDefault="00F6308C">
                        <w:pPr>
                          <w:pStyle w:val="TableParagraph"/>
                          <w:spacing w:before="51"/>
                          <w:ind w:left="212" w:right="203"/>
                          <w:jc w:val="center"/>
                          <w:rPr>
                            <w:b/>
                            <w:sz w:val="20"/>
                          </w:rPr>
                        </w:pPr>
                        <w:r>
                          <w:rPr>
                            <w:b/>
                            <w:sz w:val="20"/>
                          </w:rPr>
                          <w:t>21</w:t>
                        </w:r>
                      </w:p>
                    </w:tc>
                    <w:tc>
                      <w:tcPr>
                        <w:tcW w:w="3269" w:type="dxa"/>
                        <w:shd w:val="clear" w:color="auto" w:fill="FFFFCC"/>
                      </w:tcPr>
                      <w:p w:rsidR="007C5447" w:rsidRDefault="00F6308C">
                        <w:pPr>
                          <w:pStyle w:val="TableParagraph"/>
                          <w:spacing w:before="87" w:line="224" w:lineRule="exact"/>
                          <w:ind w:left="108"/>
                          <w:jc w:val="left"/>
                          <w:rPr>
                            <w:b/>
                            <w:sz w:val="20"/>
                          </w:rPr>
                        </w:pPr>
                        <w:r>
                          <w:rPr>
                            <w:b/>
                            <w:sz w:val="20"/>
                          </w:rPr>
                          <w:t>Total Fuel Cost</w:t>
                        </w:r>
                      </w:p>
                    </w:tc>
                    <w:tc>
                      <w:tcPr>
                        <w:tcW w:w="1456" w:type="dxa"/>
                        <w:shd w:val="clear" w:color="auto" w:fill="FFFFCC"/>
                      </w:tcPr>
                      <w:p w:rsidR="007C5447" w:rsidRDefault="00F6308C">
                        <w:pPr>
                          <w:pStyle w:val="TableParagraph"/>
                          <w:spacing w:before="87" w:line="224" w:lineRule="exact"/>
                          <w:ind w:left="108"/>
                          <w:jc w:val="left"/>
                          <w:rPr>
                            <w:b/>
                            <w:sz w:val="20"/>
                          </w:rPr>
                        </w:pPr>
                        <w:r>
                          <w:rPr>
                            <w:b/>
                            <w:sz w:val="20"/>
                          </w:rPr>
                          <w:t>Rs. Crore</w:t>
                        </w:r>
                      </w:p>
                    </w:tc>
                    <w:tc>
                      <w:tcPr>
                        <w:tcW w:w="1677" w:type="dxa"/>
                        <w:shd w:val="clear" w:color="auto" w:fill="FFFFCC"/>
                      </w:tcPr>
                      <w:p w:rsidR="007C5447" w:rsidRDefault="00F6308C">
                        <w:pPr>
                          <w:pStyle w:val="TableParagraph"/>
                          <w:spacing w:before="87" w:line="224" w:lineRule="exact"/>
                          <w:ind w:right="94"/>
                          <w:rPr>
                            <w:b/>
                            <w:sz w:val="20"/>
                          </w:rPr>
                        </w:pPr>
                        <w:r>
                          <w:rPr>
                            <w:b/>
                            <w:sz w:val="20"/>
                          </w:rPr>
                          <w:t>1457.84</w:t>
                        </w:r>
                      </w:p>
                    </w:tc>
                    <w:tc>
                      <w:tcPr>
                        <w:tcW w:w="1680" w:type="dxa"/>
                        <w:shd w:val="clear" w:color="auto" w:fill="FFFFCC"/>
                      </w:tcPr>
                      <w:p w:rsidR="007C5447" w:rsidRDefault="00F6308C">
                        <w:pPr>
                          <w:pStyle w:val="TableParagraph"/>
                          <w:spacing w:before="87" w:line="224" w:lineRule="exact"/>
                          <w:ind w:right="96"/>
                          <w:rPr>
                            <w:b/>
                            <w:sz w:val="20"/>
                          </w:rPr>
                        </w:pPr>
                        <w:r>
                          <w:rPr>
                            <w:b/>
                            <w:sz w:val="20"/>
                          </w:rPr>
                          <w:t>1019.02</w:t>
                        </w:r>
                      </w:p>
                    </w:tc>
                    <w:tc>
                      <w:tcPr>
                        <w:tcW w:w="1677" w:type="dxa"/>
                        <w:shd w:val="clear" w:color="auto" w:fill="FFFFCC"/>
                      </w:tcPr>
                      <w:p w:rsidR="007C5447" w:rsidRDefault="00F6308C">
                        <w:pPr>
                          <w:pStyle w:val="TableParagraph"/>
                          <w:spacing w:before="87" w:line="224" w:lineRule="exact"/>
                          <w:ind w:right="93"/>
                          <w:rPr>
                            <w:b/>
                            <w:sz w:val="20"/>
                          </w:rPr>
                        </w:pPr>
                        <w:r>
                          <w:rPr>
                            <w:b/>
                            <w:sz w:val="20"/>
                          </w:rPr>
                          <w:t>1922.01</w:t>
                        </w:r>
                      </w:p>
                    </w:tc>
                  </w:tr>
                  <w:tr w:rsidR="007C5447">
                    <w:trPr>
                      <w:trHeight w:val="330"/>
                    </w:trPr>
                    <w:tc>
                      <w:tcPr>
                        <w:tcW w:w="1061" w:type="dxa"/>
                        <w:shd w:val="clear" w:color="auto" w:fill="FFFFCC"/>
                      </w:tcPr>
                      <w:p w:rsidR="007C5447" w:rsidRDefault="00F6308C">
                        <w:pPr>
                          <w:pStyle w:val="TableParagraph"/>
                          <w:spacing w:before="50"/>
                          <w:ind w:left="212" w:right="203"/>
                          <w:jc w:val="center"/>
                          <w:rPr>
                            <w:b/>
                            <w:sz w:val="20"/>
                          </w:rPr>
                        </w:pPr>
                        <w:r>
                          <w:rPr>
                            <w:b/>
                            <w:sz w:val="20"/>
                          </w:rPr>
                          <w:t>22</w:t>
                        </w:r>
                      </w:p>
                    </w:tc>
                    <w:tc>
                      <w:tcPr>
                        <w:tcW w:w="3269" w:type="dxa"/>
                        <w:shd w:val="clear" w:color="auto" w:fill="FFFFCC"/>
                      </w:tcPr>
                      <w:p w:rsidR="007C5447" w:rsidRDefault="00F6308C">
                        <w:pPr>
                          <w:pStyle w:val="TableParagraph"/>
                          <w:spacing w:before="84" w:line="227" w:lineRule="exact"/>
                          <w:ind w:left="108"/>
                          <w:jc w:val="left"/>
                          <w:rPr>
                            <w:b/>
                            <w:sz w:val="20"/>
                          </w:rPr>
                        </w:pPr>
                        <w:r>
                          <w:rPr>
                            <w:b/>
                            <w:sz w:val="20"/>
                          </w:rPr>
                          <w:t>Energy Charge</w:t>
                        </w:r>
                      </w:p>
                    </w:tc>
                    <w:tc>
                      <w:tcPr>
                        <w:tcW w:w="1456" w:type="dxa"/>
                        <w:shd w:val="clear" w:color="auto" w:fill="FFFFCC"/>
                      </w:tcPr>
                      <w:p w:rsidR="007C5447" w:rsidRDefault="00F6308C">
                        <w:pPr>
                          <w:pStyle w:val="TableParagraph"/>
                          <w:spacing w:before="84" w:line="227" w:lineRule="exact"/>
                          <w:ind w:left="108"/>
                          <w:jc w:val="left"/>
                          <w:rPr>
                            <w:b/>
                            <w:sz w:val="20"/>
                          </w:rPr>
                        </w:pPr>
                        <w:r>
                          <w:rPr>
                            <w:b/>
                            <w:sz w:val="20"/>
                          </w:rPr>
                          <w:t>Rs. /kWh</w:t>
                        </w:r>
                      </w:p>
                    </w:tc>
                    <w:tc>
                      <w:tcPr>
                        <w:tcW w:w="1677" w:type="dxa"/>
                        <w:shd w:val="clear" w:color="auto" w:fill="FFFFCC"/>
                      </w:tcPr>
                      <w:p w:rsidR="007C5447" w:rsidRDefault="00F6308C">
                        <w:pPr>
                          <w:pStyle w:val="TableParagraph"/>
                          <w:spacing w:before="84" w:line="227" w:lineRule="exact"/>
                          <w:ind w:right="96"/>
                          <w:rPr>
                            <w:b/>
                            <w:sz w:val="20"/>
                          </w:rPr>
                        </w:pPr>
                        <w:r>
                          <w:rPr>
                            <w:b/>
                            <w:sz w:val="20"/>
                          </w:rPr>
                          <w:t>3.80</w:t>
                        </w:r>
                      </w:p>
                    </w:tc>
                    <w:tc>
                      <w:tcPr>
                        <w:tcW w:w="1680" w:type="dxa"/>
                        <w:shd w:val="clear" w:color="auto" w:fill="FFFFCC"/>
                      </w:tcPr>
                      <w:p w:rsidR="007C5447" w:rsidRDefault="00F6308C">
                        <w:pPr>
                          <w:pStyle w:val="TableParagraph"/>
                          <w:spacing w:before="84" w:line="227" w:lineRule="exact"/>
                          <w:ind w:right="98"/>
                          <w:rPr>
                            <w:b/>
                            <w:sz w:val="20"/>
                          </w:rPr>
                        </w:pPr>
                        <w:r>
                          <w:rPr>
                            <w:b/>
                            <w:sz w:val="20"/>
                          </w:rPr>
                          <w:t>3.70</w:t>
                        </w:r>
                      </w:p>
                    </w:tc>
                    <w:tc>
                      <w:tcPr>
                        <w:tcW w:w="1677" w:type="dxa"/>
                        <w:shd w:val="clear" w:color="auto" w:fill="FFFFCC"/>
                      </w:tcPr>
                      <w:p w:rsidR="007C5447" w:rsidRDefault="00F6308C">
                        <w:pPr>
                          <w:pStyle w:val="TableParagraph"/>
                          <w:spacing w:before="84" w:line="227" w:lineRule="exact"/>
                          <w:ind w:right="95"/>
                          <w:rPr>
                            <w:b/>
                            <w:sz w:val="20"/>
                          </w:rPr>
                        </w:pPr>
                        <w:r>
                          <w:rPr>
                            <w:b/>
                            <w:sz w:val="20"/>
                          </w:rPr>
                          <w:t>4.71</w:t>
                        </w:r>
                      </w:p>
                    </w:tc>
                  </w:tr>
                </w:tbl>
                <w:p w:rsidR="007C5447" w:rsidRDefault="007C5447">
                  <w:pPr>
                    <w:pStyle w:val="BodyText"/>
                  </w:pPr>
                </w:p>
              </w:txbxContent>
            </v:textbox>
            <w10:wrap anchorx="page" anchory="page"/>
          </v:shape>
        </w:pict>
      </w:r>
    </w:p>
    <w:p w:rsidR="007C5447" w:rsidRDefault="00F6308C">
      <w:pPr>
        <w:pStyle w:val="BodyText"/>
        <w:ind w:left="1173"/>
        <w:rPr>
          <w:sz w:val="20"/>
        </w:rPr>
      </w:pPr>
      <w:r>
        <w:rPr>
          <w:sz w:val="20"/>
        </w:rPr>
      </w:r>
      <w:r>
        <w:rPr>
          <w:sz w:val="20"/>
        </w:rPr>
        <w:pict>
          <v:shape id="_x0000_s1037" type="#_x0000_t202" style="width:163.5pt;height:16.6pt;mso-left-percent:-10001;mso-top-percent:-10001;mso-position-horizontal:absolute;mso-position-horizontal-relative:char;mso-position-vertical:absolute;mso-position-vertical-relative:line;mso-left-percent:-10001;mso-top-percent:-10001" fillcolor="#ffc000" stroked="f">
            <v:textbox inset="0,0,0,0">
              <w:txbxContent>
                <w:p w:rsidR="007C5447" w:rsidRDefault="00F6308C">
                  <w:pPr>
                    <w:spacing w:before="87"/>
                    <w:ind w:left="108"/>
                    <w:rPr>
                      <w:b/>
                      <w:sz w:val="20"/>
                    </w:rPr>
                  </w:pPr>
                  <w:r>
                    <w:rPr>
                      <w:b/>
                      <w:sz w:val="20"/>
                    </w:rPr>
                    <w:t>MTPS Stage III</w:t>
                  </w:r>
                </w:p>
              </w:txbxContent>
            </v:textbox>
            <w10:anchorlock/>
          </v:shape>
        </w:pict>
      </w:r>
    </w:p>
    <w:p w:rsidR="007C5447" w:rsidRDefault="007C5447">
      <w:pPr>
        <w:rPr>
          <w:sz w:val="20"/>
        </w:rPr>
        <w:sectPr w:rsidR="007C5447">
          <w:pgSz w:w="16840" w:h="11910" w:orient="landscape"/>
          <w:pgMar w:top="1100" w:right="1220" w:bottom="1240" w:left="1220" w:header="0" w:footer="777" w:gutter="0"/>
          <w:cols w:space="720"/>
        </w:sectPr>
      </w:pPr>
    </w:p>
    <w:p w:rsidR="007C5447" w:rsidRDefault="007C5447">
      <w:pPr>
        <w:pStyle w:val="BodyText"/>
        <w:spacing w:before="3"/>
        <w:rPr>
          <w:sz w:val="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1"/>
        <w:gridCol w:w="3269"/>
        <w:gridCol w:w="1456"/>
        <w:gridCol w:w="1677"/>
        <w:gridCol w:w="1680"/>
        <w:gridCol w:w="1677"/>
        <w:gridCol w:w="1678"/>
        <w:gridCol w:w="1675"/>
      </w:tblGrid>
      <w:tr w:rsidR="007C5447">
        <w:trPr>
          <w:trHeight w:val="331"/>
        </w:trPr>
        <w:tc>
          <w:tcPr>
            <w:tcW w:w="1061" w:type="dxa"/>
            <w:shd w:val="clear" w:color="auto" w:fill="C8C8C8"/>
          </w:tcPr>
          <w:p w:rsidR="007C5447" w:rsidRDefault="00F6308C">
            <w:pPr>
              <w:pStyle w:val="TableParagraph"/>
              <w:spacing w:before="51"/>
              <w:ind w:left="212" w:right="204"/>
              <w:jc w:val="center"/>
              <w:rPr>
                <w:b/>
                <w:sz w:val="20"/>
              </w:rPr>
            </w:pPr>
            <w:r>
              <w:rPr>
                <w:b/>
                <w:sz w:val="20"/>
              </w:rPr>
              <w:t>Sr. No.</w:t>
            </w:r>
          </w:p>
        </w:tc>
        <w:tc>
          <w:tcPr>
            <w:tcW w:w="3269" w:type="dxa"/>
            <w:shd w:val="clear" w:color="auto" w:fill="C8C8C8"/>
          </w:tcPr>
          <w:p w:rsidR="007C5447" w:rsidRDefault="00F6308C">
            <w:pPr>
              <w:pStyle w:val="TableParagraph"/>
              <w:spacing w:before="51"/>
              <w:ind w:left="1156" w:right="1151"/>
              <w:jc w:val="center"/>
              <w:rPr>
                <w:b/>
                <w:sz w:val="20"/>
              </w:rPr>
            </w:pPr>
            <w:r>
              <w:rPr>
                <w:b/>
                <w:sz w:val="20"/>
              </w:rPr>
              <w:t>Parameter</w:t>
            </w:r>
          </w:p>
        </w:tc>
        <w:tc>
          <w:tcPr>
            <w:tcW w:w="1456" w:type="dxa"/>
            <w:shd w:val="clear" w:color="auto" w:fill="C8C8C8"/>
          </w:tcPr>
          <w:p w:rsidR="007C5447" w:rsidRDefault="00F6308C">
            <w:pPr>
              <w:pStyle w:val="TableParagraph"/>
              <w:spacing w:before="51"/>
              <w:ind w:left="519" w:right="508"/>
              <w:jc w:val="center"/>
              <w:rPr>
                <w:b/>
                <w:sz w:val="20"/>
              </w:rPr>
            </w:pPr>
            <w:r>
              <w:rPr>
                <w:b/>
                <w:sz w:val="20"/>
              </w:rPr>
              <w:t>Unit</w:t>
            </w:r>
          </w:p>
        </w:tc>
        <w:tc>
          <w:tcPr>
            <w:tcW w:w="1677" w:type="dxa"/>
            <w:shd w:val="clear" w:color="auto" w:fill="BEBEBE"/>
          </w:tcPr>
          <w:p w:rsidR="007C5447" w:rsidRDefault="00F6308C">
            <w:pPr>
              <w:pStyle w:val="TableParagraph"/>
              <w:spacing w:before="51"/>
              <w:ind w:left="346"/>
              <w:jc w:val="left"/>
              <w:rPr>
                <w:b/>
                <w:sz w:val="20"/>
              </w:rPr>
            </w:pPr>
            <w:r>
              <w:rPr>
                <w:b/>
                <w:sz w:val="20"/>
              </w:rPr>
              <w:t>FY 2011-12</w:t>
            </w:r>
          </w:p>
        </w:tc>
        <w:tc>
          <w:tcPr>
            <w:tcW w:w="1680" w:type="dxa"/>
            <w:shd w:val="clear" w:color="auto" w:fill="BEBEBE"/>
          </w:tcPr>
          <w:p w:rsidR="007C5447" w:rsidRDefault="00F6308C">
            <w:pPr>
              <w:pStyle w:val="TableParagraph"/>
              <w:spacing w:before="51"/>
              <w:ind w:left="347"/>
              <w:jc w:val="left"/>
              <w:rPr>
                <w:b/>
                <w:sz w:val="20"/>
              </w:rPr>
            </w:pPr>
            <w:r>
              <w:rPr>
                <w:b/>
                <w:sz w:val="20"/>
              </w:rPr>
              <w:t>FY 2012-13</w:t>
            </w:r>
          </w:p>
        </w:tc>
        <w:tc>
          <w:tcPr>
            <w:tcW w:w="1677" w:type="dxa"/>
            <w:shd w:val="clear" w:color="auto" w:fill="BEBEBE"/>
          </w:tcPr>
          <w:p w:rsidR="007C5447" w:rsidRDefault="00F6308C">
            <w:pPr>
              <w:pStyle w:val="TableParagraph"/>
              <w:spacing w:before="51"/>
              <w:ind w:left="347"/>
              <w:jc w:val="left"/>
              <w:rPr>
                <w:b/>
                <w:sz w:val="20"/>
              </w:rPr>
            </w:pPr>
            <w:r>
              <w:rPr>
                <w:b/>
                <w:sz w:val="20"/>
              </w:rPr>
              <w:t>FY 2013-14</w:t>
            </w:r>
          </w:p>
        </w:tc>
        <w:tc>
          <w:tcPr>
            <w:tcW w:w="1678" w:type="dxa"/>
            <w:shd w:val="clear" w:color="auto" w:fill="BEBEBE"/>
          </w:tcPr>
          <w:p w:rsidR="007C5447" w:rsidRDefault="00F6308C">
            <w:pPr>
              <w:pStyle w:val="TableParagraph"/>
              <w:spacing w:before="51"/>
              <w:ind w:left="348"/>
              <w:jc w:val="left"/>
              <w:rPr>
                <w:b/>
                <w:sz w:val="20"/>
              </w:rPr>
            </w:pPr>
            <w:r>
              <w:rPr>
                <w:b/>
                <w:sz w:val="20"/>
              </w:rPr>
              <w:t>FY 2014-15</w:t>
            </w:r>
          </w:p>
        </w:tc>
        <w:tc>
          <w:tcPr>
            <w:tcW w:w="1675" w:type="dxa"/>
            <w:shd w:val="clear" w:color="auto" w:fill="BEBEBE"/>
          </w:tcPr>
          <w:p w:rsidR="007C5447" w:rsidRDefault="00F6308C">
            <w:pPr>
              <w:pStyle w:val="TableParagraph"/>
              <w:spacing w:before="51"/>
              <w:ind w:left="348"/>
              <w:jc w:val="left"/>
              <w:rPr>
                <w:b/>
                <w:sz w:val="20"/>
              </w:rPr>
            </w:pPr>
            <w:r>
              <w:rPr>
                <w:b/>
                <w:sz w:val="20"/>
              </w:rPr>
              <w:t>FY 2015-16</w:t>
            </w:r>
          </w:p>
        </w:tc>
      </w:tr>
      <w:tr w:rsidR="007C5447">
        <w:trPr>
          <w:trHeight w:val="299"/>
        </w:trPr>
        <w:tc>
          <w:tcPr>
            <w:tcW w:w="1061" w:type="dxa"/>
          </w:tcPr>
          <w:p w:rsidR="007C5447" w:rsidRDefault="00F6308C">
            <w:pPr>
              <w:pStyle w:val="TableParagraph"/>
              <w:spacing w:before="36"/>
              <w:ind w:left="9"/>
              <w:jc w:val="center"/>
              <w:rPr>
                <w:sz w:val="20"/>
              </w:rPr>
            </w:pPr>
            <w:r>
              <w:rPr>
                <w:w w:val="99"/>
                <w:sz w:val="20"/>
              </w:rPr>
              <w:t>1</w:t>
            </w:r>
          </w:p>
        </w:tc>
        <w:tc>
          <w:tcPr>
            <w:tcW w:w="3269" w:type="dxa"/>
          </w:tcPr>
          <w:p w:rsidR="007C5447" w:rsidRDefault="00F6308C">
            <w:pPr>
              <w:pStyle w:val="TableParagraph"/>
              <w:spacing w:before="55" w:line="224" w:lineRule="exact"/>
              <w:ind w:left="108"/>
              <w:jc w:val="left"/>
              <w:rPr>
                <w:sz w:val="20"/>
              </w:rPr>
            </w:pPr>
            <w:r>
              <w:rPr>
                <w:sz w:val="20"/>
              </w:rPr>
              <w:t>Installed Capacity(MW)</w:t>
            </w:r>
          </w:p>
        </w:tc>
        <w:tc>
          <w:tcPr>
            <w:tcW w:w="1456" w:type="dxa"/>
          </w:tcPr>
          <w:p w:rsidR="007C5447" w:rsidRDefault="00F6308C">
            <w:pPr>
              <w:pStyle w:val="TableParagraph"/>
              <w:spacing w:before="55" w:line="224" w:lineRule="exact"/>
              <w:ind w:left="108"/>
              <w:jc w:val="left"/>
              <w:rPr>
                <w:sz w:val="20"/>
              </w:rPr>
            </w:pPr>
            <w:r>
              <w:rPr>
                <w:sz w:val="20"/>
              </w:rPr>
              <w:t>MW</w:t>
            </w:r>
          </w:p>
        </w:tc>
        <w:tc>
          <w:tcPr>
            <w:tcW w:w="1677" w:type="dxa"/>
          </w:tcPr>
          <w:p w:rsidR="007C5447" w:rsidRDefault="00F6308C">
            <w:pPr>
              <w:pStyle w:val="TableParagraph"/>
              <w:spacing w:before="55" w:line="224" w:lineRule="exact"/>
              <w:ind w:right="91"/>
              <w:rPr>
                <w:sz w:val="20"/>
              </w:rPr>
            </w:pPr>
            <w:r>
              <w:rPr>
                <w:sz w:val="20"/>
              </w:rPr>
              <w:t>630</w:t>
            </w:r>
          </w:p>
        </w:tc>
        <w:tc>
          <w:tcPr>
            <w:tcW w:w="1680" w:type="dxa"/>
          </w:tcPr>
          <w:p w:rsidR="007C5447" w:rsidRDefault="00F6308C">
            <w:pPr>
              <w:pStyle w:val="TableParagraph"/>
              <w:spacing w:before="55" w:line="224" w:lineRule="exact"/>
              <w:ind w:right="93"/>
              <w:rPr>
                <w:sz w:val="20"/>
              </w:rPr>
            </w:pPr>
            <w:r>
              <w:rPr>
                <w:sz w:val="20"/>
              </w:rPr>
              <w:t>630</w:t>
            </w:r>
          </w:p>
        </w:tc>
        <w:tc>
          <w:tcPr>
            <w:tcW w:w="1677" w:type="dxa"/>
          </w:tcPr>
          <w:p w:rsidR="007C5447" w:rsidRDefault="00F6308C">
            <w:pPr>
              <w:pStyle w:val="TableParagraph"/>
              <w:spacing w:before="55" w:line="224" w:lineRule="exact"/>
              <w:ind w:right="90"/>
              <w:rPr>
                <w:sz w:val="20"/>
              </w:rPr>
            </w:pPr>
            <w:r>
              <w:rPr>
                <w:sz w:val="20"/>
              </w:rPr>
              <w:t>630</w:t>
            </w:r>
          </w:p>
        </w:tc>
        <w:tc>
          <w:tcPr>
            <w:tcW w:w="1678" w:type="dxa"/>
          </w:tcPr>
          <w:p w:rsidR="007C5447" w:rsidRDefault="00F6308C">
            <w:pPr>
              <w:pStyle w:val="TableParagraph"/>
              <w:spacing w:before="55" w:line="224" w:lineRule="exact"/>
              <w:ind w:right="90"/>
              <w:rPr>
                <w:sz w:val="20"/>
              </w:rPr>
            </w:pPr>
            <w:r>
              <w:rPr>
                <w:sz w:val="20"/>
              </w:rPr>
              <w:t>630</w:t>
            </w:r>
          </w:p>
        </w:tc>
        <w:tc>
          <w:tcPr>
            <w:tcW w:w="1675" w:type="dxa"/>
          </w:tcPr>
          <w:p w:rsidR="007C5447" w:rsidRDefault="00F6308C">
            <w:pPr>
              <w:pStyle w:val="TableParagraph"/>
              <w:spacing w:before="55" w:line="224" w:lineRule="exact"/>
              <w:ind w:right="90"/>
              <w:rPr>
                <w:sz w:val="20"/>
              </w:rPr>
            </w:pPr>
            <w:r>
              <w:rPr>
                <w:sz w:val="20"/>
              </w:rPr>
              <w:t>630</w:t>
            </w:r>
          </w:p>
        </w:tc>
      </w:tr>
      <w:tr w:rsidR="007C5447">
        <w:trPr>
          <w:trHeight w:val="299"/>
        </w:trPr>
        <w:tc>
          <w:tcPr>
            <w:tcW w:w="1061" w:type="dxa"/>
          </w:tcPr>
          <w:p w:rsidR="007C5447" w:rsidRDefault="00F6308C">
            <w:pPr>
              <w:pStyle w:val="TableParagraph"/>
              <w:spacing w:before="36"/>
              <w:ind w:left="9"/>
              <w:jc w:val="center"/>
              <w:rPr>
                <w:sz w:val="20"/>
              </w:rPr>
            </w:pPr>
            <w:r>
              <w:rPr>
                <w:w w:val="99"/>
                <w:sz w:val="20"/>
              </w:rPr>
              <w:t>2</w:t>
            </w:r>
          </w:p>
        </w:tc>
        <w:tc>
          <w:tcPr>
            <w:tcW w:w="3269" w:type="dxa"/>
          </w:tcPr>
          <w:p w:rsidR="007C5447" w:rsidRDefault="00F6308C">
            <w:pPr>
              <w:pStyle w:val="TableParagraph"/>
              <w:spacing w:before="55" w:line="224" w:lineRule="exact"/>
              <w:ind w:left="108"/>
              <w:jc w:val="left"/>
              <w:rPr>
                <w:sz w:val="20"/>
              </w:rPr>
            </w:pPr>
            <w:r>
              <w:rPr>
                <w:sz w:val="20"/>
              </w:rPr>
              <w:t>Allocated Capacity</w:t>
            </w:r>
          </w:p>
        </w:tc>
        <w:tc>
          <w:tcPr>
            <w:tcW w:w="1456" w:type="dxa"/>
          </w:tcPr>
          <w:p w:rsidR="007C5447" w:rsidRDefault="00F6308C">
            <w:pPr>
              <w:pStyle w:val="TableParagraph"/>
              <w:spacing w:before="55" w:line="224" w:lineRule="exact"/>
              <w:ind w:left="108"/>
              <w:jc w:val="left"/>
              <w:rPr>
                <w:sz w:val="20"/>
              </w:rPr>
            </w:pPr>
            <w:r>
              <w:rPr>
                <w:sz w:val="20"/>
              </w:rPr>
              <w:t>MW</w:t>
            </w:r>
          </w:p>
        </w:tc>
        <w:tc>
          <w:tcPr>
            <w:tcW w:w="1677" w:type="dxa"/>
          </w:tcPr>
          <w:p w:rsidR="007C5447" w:rsidRDefault="00F6308C">
            <w:pPr>
              <w:pStyle w:val="TableParagraph"/>
              <w:spacing w:before="55" w:line="224" w:lineRule="exact"/>
              <w:ind w:right="91"/>
              <w:rPr>
                <w:sz w:val="20"/>
              </w:rPr>
            </w:pPr>
            <w:r>
              <w:rPr>
                <w:sz w:val="20"/>
              </w:rPr>
              <w:t>630</w:t>
            </w:r>
          </w:p>
        </w:tc>
        <w:tc>
          <w:tcPr>
            <w:tcW w:w="1680" w:type="dxa"/>
          </w:tcPr>
          <w:p w:rsidR="007C5447" w:rsidRDefault="00F6308C">
            <w:pPr>
              <w:pStyle w:val="TableParagraph"/>
              <w:spacing w:before="55" w:line="224" w:lineRule="exact"/>
              <w:ind w:right="93"/>
              <w:rPr>
                <w:sz w:val="20"/>
              </w:rPr>
            </w:pPr>
            <w:r>
              <w:rPr>
                <w:sz w:val="20"/>
              </w:rPr>
              <w:t>630</w:t>
            </w:r>
          </w:p>
        </w:tc>
        <w:tc>
          <w:tcPr>
            <w:tcW w:w="1677" w:type="dxa"/>
          </w:tcPr>
          <w:p w:rsidR="007C5447" w:rsidRDefault="00F6308C">
            <w:pPr>
              <w:pStyle w:val="TableParagraph"/>
              <w:spacing w:before="55" w:line="224" w:lineRule="exact"/>
              <w:ind w:right="90"/>
              <w:rPr>
                <w:sz w:val="20"/>
              </w:rPr>
            </w:pPr>
            <w:r>
              <w:rPr>
                <w:sz w:val="20"/>
              </w:rPr>
              <w:t>630</w:t>
            </w:r>
          </w:p>
        </w:tc>
        <w:tc>
          <w:tcPr>
            <w:tcW w:w="1678" w:type="dxa"/>
          </w:tcPr>
          <w:p w:rsidR="007C5447" w:rsidRDefault="00F6308C">
            <w:pPr>
              <w:pStyle w:val="TableParagraph"/>
              <w:spacing w:before="55" w:line="224" w:lineRule="exact"/>
              <w:ind w:right="90"/>
              <w:rPr>
                <w:sz w:val="20"/>
              </w:rPr>
            </w:pPr>
            <w:r>
              <w:rPr>
                <w:sz w:val="20"/>
              </w:rPr>
              <w:t>630</w:t>
            </w:r>
          </w:p>
        </w:tc>
        <w:tc>
          <w:tcPr>
            <w:tcW w:w="1675" w:type="dxa"/>
          </w:tcPr>
          <w:p w:rsidR="007C5447" w:rsidRDefault="00F6308C">
            <w:pPr>
              <w:pStyle w:val="TableParagraph"/>
              <w:spacing w:before="55" w:line="224" w:lineRule="exact"/>
              <w:ind w:right="90"/>
              <w:rPr>
                <w:sz w:val="20"/>
              </w:rPr>
            </w:pPr>
            <w:r>
              <w:rPr>
                <w:sz w:val="20"/>
              </w:rPr>
              <w:t>630</w:t>
            </w:r>
          </w:p>
        </w:tc>
      </w:tr>
      <w:tr w:rsidR="007C5447">
        <w:trPr>
          <w:trHeight w:val="302"/>
        </w:trPr>
        <w:tc>
          <w:tcPr>
            <w:tcW w:w="1061" w:type="dxa"/>
          </w:tcPr>
          <w:p w:rsidR="007C5447" w:rsidRDefault="00F6308C">
            <w:pPr>
              <w:pStyle w:val="TableParagraph"/>
              <w:spacing w:before="36"/>
              <w:ind w:left="9"/>
              <w:jc w:val="center"/>
              <w:rPr>
                <w:sz w:val="20"/>
              </w:rPr>
            </w:pPr>
            <w:r>
              <w:rPr>
                <w:w w:val="99"/>
                <w:sz w:val="20"/>
              </w:rPr>
              <w:t>3</w:t>
            </w:r>
          </w:p>
        </w:tc>
        <w:tc>
          <w:tcPr>
            <w:tcW w:w="3269" w:type="dxa"/>
          </w:tcPr>
          <w:p w:rsidR="007C5447" w:rsidRDefault="00F6308C">
            <w:pPr>
              <w:pStyle w:val="TableParagraph"/>
              <w:spacing w:before="55" w:line="227" w:lineRule="exact"/>
              <w:ind w:left="108"/>
              <w:jc w:val="left"/>
              <w:rPr>
                <w:sz w:val="20"/>
              </w:rPr>
            </w:pPr>
            <w:r>
              <w:rPr>
                <w:sz w:val="20"/>
              </w:rPr>
              <w:t>Days</w:t>
            </w:r>
          </w:p>
        </w:tc>
        <w:tc>
          <w:tcPr>
            <w:tcW w:w="1456" w:type="dxa"/>
          </w:tcPr>
          <w:p w:rsidR="007C5447" w:rsidRDefault="00F6308C">
            <w:pPr>
              <w:pStyle w:val="TableParagraph"/>
              <w:spacing w:before="55" w:line="227" w:lineRule="exact"/>
              <w:ind w:left="108"/>
              <w:jc w:val="left"/>
              <w:rPr>
                <w:sz w:val="20"/>
              </w:rPr>
            </w:pPr>
            <w:r>
              <w:rPr>
                <w:sz w:val="20"/>
              </w:rPr>
              <w:t>Nos.</w:t>
            </w:r>
          </w:p>
        </w:tc>
        <w:tc>
          <w:tcPr>
            <w:tcW w:w="1677" w:type="dxa"/>
          </w:tcPr>
          <w:p w:rsidR="007C5447" w:rsidRDefault="00F6308C">
            <w:pPr>
              <w:pStyle w:val="TableParagraph"/>
              <w:spacing w:before="55" w:line="227" w:lineRule="exact"/>
              <w:ind w:right="91"/>
              <w:rPr>
                <w:sz w:val="20"/>
              </w:rPr>
            </w:pPr>
            <w:r>
              <w:rPr>
                <w:sz w:val="20"/>
              </w:rPr>
              <w:t>366</w:t>
            </w:r>
          </w:p>
        </w:tc>
        <w:tc>
          <w:tcPr>
            <w:tcW w:w="1680" w:type="dxa"/>
          </w:tcPr>
          <w:p w:rsidR="007C5447" w:rsidRDefault="00F6308C">
            <w:pPr>
              <w:pStyle w:val="TableParagraph"/>
              <w:spacing w:before="55" w:line="227" w:lineRule="exact"/>
              <w:ind w:right="93"/>
              <w:rPr>
                <w:sz w:val="20"/>
              </w:rPr>
            </w:pPr>
            <w:r>
              <w:rPr>
                <w:sz w:val="20"/>
              </w:rPr>
              <w:t>365</w:t>
            </w:r>
          </w:p>
        </w:tc>
        <w:tc>
          <w:tcPr>
            <w:tcW w:w="1677" w:type="dxa"/>
          </w:tcPr>
          <w:p w:rsidR="007C5447" w:rsidRDefault="00F6308C">
            <w:pPr>
              <w:pStyle w:val="TableParagraph"/>
              <w:spacing w:before="55" w:line="227" w:lineRule="exact"/>
              <w:ind w:right="90"/>
              <w:rPr>
                <w:sz w:val="20"/>
              </w:rPr>
            </w:pPr>
            <w:r>
              <w:rPr>
                <w:sz w:val="20"/>
              </w:rPr>
              <w:t>365</w:t>
            </w:r>
          </w:p>
        </w:tc>
        <w:tc>
          <w:tcPr>
            <w:tcW w:w="1678" w:type="dxa"/>
          </w:tcPr>
          <w:p w:rsidR="007C5447" w:rsidRDefault="00F6308C">
            <w:pPr>
              <w:pStyle w:val="TableParagraph"/>
              <w:spacing w:before="55" w:line="227" w:lineRule="exact"/>
              <w:ind w:right="90"/>
              <w:rPr>
                <w:sz w:val="20"/>
              </w:rPr>
            </w:pPr>
            <w:r>
              <w:rPr>
                <w:sz w:val="20"/>
              </w:rPr>
              <w:t>365</w:t>
            </w:r>
          </w:p>
        </w:tc>
        <w:tc>
          <w:tcPr>
            <w:tcW w:w="1675" w:type="dxa"/>
          </w:tcPr>
          <w:p w:rsidR="007C5447" w:rsidRDefault="00F6308C">
            <w:pPr>
              <w:pStyle w:val="TableParagraph"/>
              <w:spacing w:before="55" w:line="227" w:lineRule="exact"/>
              <w:ind w:right="90"/>
              <w:rPr>
                <w:sz w:val="20"/>
              </w:rPr>
            </w:pPr>
            <w:r>
              <w:rPr>
                <w:sz w:val="20"/>
              </w:rPr>
              <w:t>366</w:t>
            </w:r>
          </w:p>
        </w:tc>
      </w:tr>
      <w:tr w:rsidR="007C5447">
        <w:trPr>
          <w:trHeight w:val="299"/>
        </w:trPr>
        <w:tc>
          <w:tcPr>
            <w:tcW w:w="1061" w:type="dxa"/>
          </w:tcPr>
          <w:p w:rsidR="007C5447" w:rsidRDefault="00F6308C">
            <w:pPr>
              <w:pStyle w:val="TableParagraph"/>
              <w:spacing w:before="34"/>
              <w:ind w:left="9"/>
              <w:jc w:val="center"/>
              <w:rPr>
                <w:sz w:val="20"/>
              </w:rPr>
            </w:pPr>
            <w:r>
              <w:rPr>
                <w:w w:val="99"/>
                <w:sz w:val="20"/>
              </w:rPr>
              <w:t>4</w:t>
            </w:r>
          </w:p>
        </w:tc>
        <w:tc>
          <w:tcPr>
            <w:tcW w:w="3269" w:type="dxa"/>
          </w:tcPr>
          <w:p w:rsidR="007C5447" w:rsidRDefault="00F6308C">
            <w:pPr>
              <w:pStyle w:val="TableParagraph"/>
              <w:spacing w:before="55" w:line="224" w:lineRule="exact"/>
              <w:ind w:left="108"/>
              <w:jc w:val="left"/>
              <w:rPr>
                <w:sz w:val="20"/>
              </w:rPr>
            </w:pPr>
            <w:r>
              <w:rPr>
                <w:sz w:val="20"/>
              </w:rPr>
              <w:t>PLF</w:t>
            </w:r>
          </w:p>
        </w:tc>
        <w:tc>
          <w:tcPr>
            <w:tcW w:w="1456" w:type="dxa"/>
          </w:tcPr>
          <w:p w:rsidR="007C5447" w:rsidRDefault="00F6308C">
            <w:pPr>
              <w:pStyle w:val="TableParagraph"/>
              <w:spacing w:before="55" w:line="224" w:lineRule="exact"/>
              <w:ind w:left="108"/>
              <w:jc w:val="left"/>
              <w:rPr>
                <w:sz w:val="20"/>
              </w:rPr>
            </w:pPr>
            <w:r>
              <w:rPr>
                <w:w w:val="99"/>
                <w:sz w:val="20"/>
              </w:rPr>
              <w:t>%</w:t>
            </w:r>
          </w:p>
        </w:tc>
        <w:tc>
          <w:tcPr>
            <w:tcW w:w="1677" w:type="dxa"/>
          </w:tcPr>
          <w:p w:rsidR="007C5447" w:rsidRDefault="00F6308C">
            <w:pPr>
              <w:pStyle w:val="TableParagraph"/>
              <w:spacing w:before="55" w:line="224" w:lineRule="exact"/>
              <w:ind w:right="92"/>
              <w:rPr>
                <w:sz w:val="20"/>
              </w:rPr>
            </w:pPr>
            <w:r>
              <w:rPr>
                <w:sz w:val="20"/>
              </w:rPr>
              <w:t>84.81%</w:t>
            </w:r>
          </w:p>
        </w:tc>
        <w:tc>
          <w:tcPr>
            <w:tcW w:w="1680" w:type="dxa"/>
          </w:tcPr>
          <w:p w:rsidR="007C5447" w:rsidRDefault="00F6308C">
            <w:pPr>
              <w:pStyle w:val="TableParagraph"/>
              <w:spacing w:before="55" w:line="224" w:lineRule="exact"/>
              <w:ind w:right="94"/>
              <w:rPr>
                <w:sz w:val="20"/>
              </w:rPr>
            </w:pPr>
            <w:r>
              <w:rPr>
                <w:sz w:val="20"/>
              </w:rPr>
              <w:t>91.68%</w:t>
            </w:r>
          </w:p>
        </w:tc>
        <w:tc>
          <w:tcPr>
            <w:tcW w:w="1677" w:type="dxa"/>
          </w:tcPr>
          <w:p w:rsidR="007C5447" w:rsidRDefault="00F6308C">
            <w:pPr>
              <w:pStyle w:val="TableParagraph"/>
              <w:spacing w:before="55" w:line="224" w:lineRule="exact"/>
              <w:ind w:right="91"/>
              <w:rPr>
                <w:sz w:val="20"/>
              </w:rPr>
            </w:pPr>
            <w:r>
              <w:rPr>
                <w:sz w:val="20"/>
              </w:rPr>
              <w:t>74.33%</w:t>
            </w:r>
          </w:p>
        </w:tc>
        <w:tc>
          <w:tcPr>
            <w:tcW w:w="1678" w:type="dxa"/>
          </w:tcPr>
          <w:p w:rsidR="007C5447" w:rsidRDefault="00F6308C">
            <w:pPr>
              <w:pStyle w:val="TableParagraph"/>
              <w:spacing w:before="55" w:line="224" w:lineRule="exact"/>
              <w:ind w:right="91"/>
              <w:rPr>
                <w:sz w:val="20"/>
              </w:rPr>
            </w:pPr>
            <w:r>
              <w:rPr>
                <w:sz w:val="20"/>
              </w:rPr>
              <w:t>77.21%</w:t>
            </w:r>
          </w:p>
        </w:tc>
        <w:tc>
          <w:tcPr>
            <w:tcW w:w="1675" w:type="dxa"/>
          </w:tcPr>
          <w:p w:rsidR="007C5447" w:rsidRDefault="00F6308C">
            <w:pPr>
              <w:pStyle w:val="TableParagraph"/>
              <w:spacing w:before="55" w:line="224" w:lineRule="exact"/>
              <w:ind w:right="91"/>
              <w:rPr>
                <w:sz w:val="20"/>
              </w:rPr>
            </w:pPr>
            <w:r>
              <w:rPr>
                <w:sz w:val="20"/>
              </w:rPr>
              <w:t>85.00%</w:t>
            </w:r>
          </w:p>
        </w:tc>
      </w:tr>
      <w:tr w:rsidR="007C5447">
        <w:trPr>
          <w:trHeight w:val="299"/>
        </w:trPr>
        <w:tc>
          <w:tcPr>
            <w:tcW w:w="1061" w:type="dxa"/>
          </w:tcPr>
          <w:p w:rsidR="007C5447" w:rsidRDefault="00F6308C">
            <w:pPr>
              <w:pStyle w:val="TableParagraph"/>
              <w:spacing w:before="34"/>
              <w:ind w:left="9"/>
              <w:jc w:val="center"/>
              <w:rPr>
                <w:sz w:val="20"/>
              </w:rPr>
            </w:pPr>
            <w:r>
              <w:rPr>
                <w:w w:val="99"/>
                <w:sz w:val="20"/>
              </w:rPr>
              <w:t>5</w:t>
            </w:r>
          </w:p>
        </w:tc>
        <w:tc>
          <w:tcPr>
            <w:tcW w:w="3269" w:type="dxa"/>
          </w:tcPr>
          <w:p w:rsidR="007C5447" w:rsidRDefault="00F6308C">
            <w:pPr>
              <w:pStyle w:val="TableParagraph"/>
              <w:spacing w:before="55" w:line="224" w:lineRule="exact"/>
              <w:ind w:left="108"/>
              <w:jc w:val="left"/>
              <w:rPr>
                <w:sz w:val="20"/>
              </w:rPr>
            </w:pPr>
            <w:r>
              <w:rPr>
                <w:sz w:val="20"/>
              </w:rPr>
              <w:t>Gross Generation</w:t>
            </w:r>
          </w:p>
        </w:tc>
        <w:tc>
          <w:tcPr>
            <w:tcW w:w="1456" w:type="dxa"/>
          </w:tcPr>
          <w:p w:rsidR="007C5447" w:rsidRDefault="00F6308C">
            <w:pPr>
              <w:pStyle w:val="TableParagraph"/>
              <w:spacing w:before="55" w:line="224" w:lineRule="exact"/>
              <w:ind w:left="108"/>
              <w:jc w:val="left"/>
              <w:rPr>
                <w:sz w:val="20"/>
              </w:rPr>
            </w:pPr>
            <w:r>
              <w:rPr>
                <w:sz w:val="20"/>
              </w:rPr>
              <w:t>MU</w:t>
            </w:r>
          </w:p>
        </w:tc>
        <w:tc>
          <w:tcPr>
            <w:tcW w:w="1677" w:type="dxa"/>
          </w:tcPr>
          <w:p w:rsidR="007C5447" w:rsidRDefault="00F6308C">
            <w:pPr>
              <w:pStyle w:val="TableParagraph"/>
              <w:spacing w:before="55" w:line="224" w:lineRule="exact"/>
              <w:ind w:right="96"/>
              <w:rPr>
                <w:sz w:val="20"/>
              </w:rPr>
            </w:pPr>
            <w:r>
              <w:rPr>
                <w:w w:val="95"/>
                <w:sz w:val="20"/>
              </w:rPr>
              <w:t>4,693</w:t>
            </w:r>
          </w:p>
        </w:tc>
        <w:tc>
          <w:tcPr>
            <w:tcW w:w="1680" w:type="dxa"/>
          </w:tcPr>
          <w:p w:rsidR="007C5447" w:rsidRDefault="00F6308C">
            <w:pPr>
              <w:pStyle w:val="TableParagraph"/>
              <w:spacing w:before="55" w:line="224" w:lineRule="exact"/>
              <w:ind w:right="98"/>
              <w:rPr>
                <w:sz w:val="20"/>
              </w:rPr>
            </w:pPr>
            <w:r>
              <w:rPr>
                <w:w w:val="95"/>
                <w:sz w:val="20"/>
              </w:rPr>
              <w:t>5,059</w:t>
            </w:r>
          </w:p>
        </w:tc>
        <w:tc>
          <w:tcPr>
            <w:tcW w:w="1677" w:type="dxa"/>
          </w:tcPr>
          <w:p w:rsidR="007C5447" w:rsidRDefault="00F6308C">
            <w:pPr>
              <w:pStyle w:val="TableParagraph"/>
              <w:spacing w:before="55" w:line="224" w:lineRule="exact"/>
              <w:ind w:right="95"/>
              <w:rPr>
                <w:sz w:val="20"/>
              </w:rPr>
            </w:pPr>
            <w:r>
              <w:rPr>
                <w:w w:val="95"/>
                <w:sz w:val="20"/>
              </w:rPr>
              <w:t>4,102</w:t>
            </w:r>
          </w:p>
        </w:tc>
        <w:tc>
          <w:tcPr>
            <w:tcW w:w="1678" w:type="dxa"/>
          </w:tcPr>
          <w:p w:rsidR="007C5447" w:rsidRDefault="00F6308C">
            <w:pPr>
              <w:pStyle w:val="TableParagraph"/>
              <w:spacing w:before="55" w:line="224" w:lineRule="exact"/>
              <w:ind w:right="94"/>
              <w:rPr>
                <w:sz w:val="20"/>
              </w:rPr>
            </w:pPr>
            <w:r>
              <w:rPr>
                <w:w w:val="95"/>
                <w:sz w:val="20"/>
              </w:rPr>
              <w:t>4,261</w:t>
            </w:r>
          </w:p>
        </w:tc>
        <w:tc>
          <w:tcPr>
            <w:tcW w:w="1675" w:type="dxa"/>
          </w:tcPr>
          <w:p w:rsidR="007C5447" w:rsidRDefault="00F6308C">
            <w:pPr>
              <w:pStyle w:val="TableParagraph"/>
              <w:spacing w:before="55" w:line="224" w:lineRule="exact"/>
              <w:ind w:right="94"/>
              <w:rPr>
                <w:sz w:val="20"/>
              </w:rPr>
            </w:pPr>
            <w:r>
              <w:rPr>
                <w:w w:val="95"/>
                <w:sz w:val="20"/>
              </w:rPr>
              <w:t>4,704</w:t>
            </w:r>
          </w:p>
        </w:tc>
      </w:tr>
      <w:tr w:rsidR="007C5447">
        <w:trPr>
          <w:trHeight w:val="299"/>
        </w:trPr>
        <w:tc>
          <w:tcPr>
            <w:tcW w:w="1061" w:type="dxa"/>
          </w:tcPr>
          <w:p w:rsidR="007C5447" w:rsidRDefault="00F6308C">
            <w:pPr>
              <w:pStyle w:val="TableParagraph"/>
              <w:spacing w:before="36"/>
              <w:ind w:left="9"/>
              <w:jc w:val="center"/>
              <w:rPr>
                <w:sz w:val="20"/>
              </w:rPr>
            </w:pPr>
            <w:r>
              <w:rPr>
                <w:w w:val="99"/>
                <w:sz w:val="20"/>
              </w:rPr>
              <w:t>6</w:t>
            </w:r>
          </w:p>
        </w:tc>
        <w:tc>
          <w:tcPr>
            <w:tcW w:w="3269" w:type="dxa"/>
          </w:tcPr>
          <w:p w:rsidR="007C5447" w:rsidRDefault="00F6308C">
            <w:pPr>
              <w:pStyle w:val="TableParagraph"/>
              <w:spacing w:before="55" w:line="224" w:lineRule="exact"/>
              <w:ind w:left="108"/>
              <w:jc w:val="left"/>
              <w:rPr>
                <w:sz w:val="20"/>
              </w:rPr>
            </w:pPr>
            <w:r>
              <w:rPr>
                <w:sz w:val="20"/>
              </w:rPr>
              <w:t>Auxiliary consumption</w:t>
            </w:r>
          </w:p>
        </w:tc>
        <w:tc>
          <w:tcPr>
            <w:tcW w:w="1456" w:type="dxa"/>
          </w:tcPr>
          <w:p w:rsidR="007C5447" w:rsidRDefault="00F6308C">
            <w:pPr>
              <w:pStyle w:val="TableParagraph"/>
              <w:spacing w:before="55" w:line="224" w:lineRule="exact"/>
              <w:ind w:left="108"/>
              <w:jc w:val="left"/>
              <w:rPr>
                <w:sz w:val="20"/>
              </w:rPr>
            </w:pPr>
            <w:r>
              <w:rPr>
                <w:w w:val="99"/>
                <w:sz w:val="20"/>
              </w:rPr>
              <w:t>%</w:t>
            </w:r>
          </w:p>
        </w:tc>
        <w:tc>
          <w:tcPr>
            <w:tcW w:w="1677" w:type="dxa"/>
          </w:tcPr>
          <w:p w:rsidR="007C5447" w:rsidRDefault="00F6308C">
            <w:pPr>
              <w:pStyle w:val="TableParagraph"/>
              <w:spacing w:before="55" w:line="224" w:lineRule="exact"/>
              <w:ind w:right="92"/>
              <w:rPr>
                <w:sz w:val="20"/>
              </w:rPr>
            </w:pPr>
            <w:r>
              <w:rPr>
                <w:sz w:val="20"/>
              </w:rPr>
              <w:t>8.50%</w:t>
            </w:r>
          </w:p>
        </w:tc>
        <w:tc>
          <w:tcPr>
            <w:tcW w:w="1680" w:type="dxa"/>
          </w:tcPr>
          <w:p w:rsidR="007C5447" w:rsidRDefault="00F6308C">
            <w:pPr>
              <w:pStyle w:val="TableParagraph"/>
              <w:spacing w:before="55" w:line="224" w:lineRule="exact"/>
              <w:ind w:right="94"/>
              <w:rPr>
                <w:sz w:val="20"/>
              </w:rPr>
            </w:pPr>
            <w:r>
              <w:rPr>
                <w:sz w:val="20"/>
              </w:rPr>
              <w:t>8.50%</w:t>
            </w:r>
          </w:p>
        </w:tc>
        <w:tc>
          <w:tcPr>
            <w:tcW w:w="1677" w:type="dxa"/>
          </w:tcPr>
          <w:p w:rsidR="007C5447" w:rsidRDefault="00F6308C">
            <w:pPr>
              <w:pStyle w:val="TableParagraph"/>
              <w:spacing w:before="55" w:line="224" w:lineRule="exact"/>
              <w:ind w:right="91"/>
              <w:rPr>
                <w:sz w:val="20"/>
              </w:rPr>
            </w:pPr>
            <w:r>
              <w:rPr>
                <w:sz w:val="20"/>
              </w:rPr>
              <w:t>8.50%</w:t>
            </w:r>
          </w:p>
        </w:tc>
        <w:tc>
          <w:tcPr>
            <w:tcW w:w="1678" w:type="dxa"/>
          </w:tcPr>
          <w:p w:rsidR="007C5447" w:rsidRDefault="00F6308C">
            <w:pPr>
              <w:pStyle w:val="TableParagraph"/>
              <w:spacing w:before="55" w:line="224" w:lineRule="exact"/>
              <w:ind w:right="91"/>
              <w:rPr>
                <w:sz w:val="20"/>
              </w:rPr>
            </w:pPr>
            <w:r>
              <w:rPr>
                <w:sz w:val="20"/>
              </w:rPr>
              <w:t>8.50%</w:t>
            </w:r>
          </w:p>
        </w:tc>
        <w:tc>
          <w:tcPr>
            <w:tcW w:w="1675" w:type="dxa"/>
          </w:tcPr>
          <w:p w:rsidR="007C5447" w:rsidRDefault="00F6308C">
            <w:pPr>
              <w:pStyle w:val="TableParagraph"/>
              <w:spacing w:before="55" w:line="224" w:lineRule="exact"/>
              <w:ind w:right="90"/>
              <w:rPr>
                <w:sz w:val="20"/>
              </w:rPr>
            </w:pPr>
            <w:r>
              <w:rPr>
                <w:sz w:val="20"/>
              </w:rPr>
              <w:t>8.50%</w:t>
            </w:r>
          </w:p>
        </w:tc>
      </w:tr>
      <w:tr w:rsidR="007C5447">
        <w:trPr>
          <w:trHeight w:val="299"/>
        </w:trPr>
        <w:tc>
          <w:tcPr>
            <w:tcW w:w="1061" w:type="dxa"/>
          </w:tcPr>
          <w:p w:rsidR="007C5447" w:rsidRDefault="00F6308C">
            <w:pPr>
              <w:pStyle w:val="TableParagraph"/>
              <w:spacing w:before="36"/>
              <w:ind w:left="9"/>
              <w:jc w:val="center"/>
              <w:rPr>
                <w:sz w:val="20"/>
              </w:rPr>
            </w:pPr>
            <w:r>
              <w:rPr>
                <w:w w:val="99"/>
                <w:sz w:val="20"/>
              </w:rPr>
              <w:t>7</w:t>
            </w:r>
          </w:p>
        </w:tc>
        <w:tc>
          <w:tcPr>
            <w:tcW w:w="3269" w:type="dxa"/>
          </w:tcPr>
          <w:p w:rsidR="007C5447" w:rsidRDefault="00F6308C">
            <w:pPr>
              <w:pStyle w:val="TableParagraph"/>
              <w:spacing w:before="55" w:line="224" w:lineRule="exact"/>
              <w:ind w:left="108"/>
              <w:jc w:val="left"/>
              <w:rPr>
                <w:sz w:val="20"/>
              </w:rPr>
            </w:pPr>
            <w:r>
              <w:rPr>
                <w:sz w:val="20"/>
              </w:rPr>
              <w:t>Net Generation MU</w:t>
            </w:r>
          </w:p>
        </w:tc>
        <w:tc>
          <w:tcPr>
            <w:tcW w:w="1456" w:type="dxa"/>
          </w:tcPr>
          <w:p w:rsidR="007C5447" w:rsidRDefault="00F6308C">
            <w:pPr>
              <w:pStyle w:val="TableParagraph"/>
              <w:spacing w:before="55" w:line="224" w:lineRule="exact"/>
              <w:ind w:left="108"/>
              <w:jc w:val="left"/>
              <w:rPr>
                <w:sz w:val="20"/>
              </w:rPr>
            </w:pPr>
            <w:r>
              <w:rPr>
                <w:sz w:val="20"/>
              </w:rPr>
              <w:t>MU</w:t>
            </w:r>
          </w:p>
        </w:tc>
        <w:tc>
          <w:tcPr>
            <w:tcW w:w="1677" w:type="dxa"/>
          </w:tcPr>
          <w:p w:rsidR="007C5447" w:rsidRDefault="00F6308C">
            <w:pPr>
              <w:pStyle w:val="TableParagraph"/>
              <w:spacing w:before="55" w:line="224" w:lineRule="exact"/>
              <w:ind w:right="96"/>
              <w:rPr>
                <w:sz w:val="20"/>
              </w:rPr>
            </w:pPr>
            <w:r>
              <w:rPr>
                <w:w w:val="95"/>
                <w:sz w:val="20"/>
              </w:rPr>
              <w:t>4,294</w:t>
            </w:r>
          </w:p>
        </w:tc>
        <w:tc>
          <w:tcPr>
            <w:tcW w:w="1680" w:type="dxa"/>
          </w:tcPr>
          <w:p w:rsidR="007C5447" w:rsidRDefault="00F6308C">
            <w:pPr>
              <w:pStyle w:val="TableParagraph"/>
              <w:spacing w:before="55" w:line="224" w:lineRule="exact"/>
              <w:ind w:right="98"/>
              <w:rPr>
                <w:sz w:val="20"/>
              </w:rPr>
            </w:pPr>
            <w:r>
              <w:rPr>
                <w:w w:val="95"/>
                <w:sz w:val="20"/>
              </w:rPr>
              <w:t>4,629</w:t>
            </w:r>
          </w:p>
        </w:tc>
        <w:tc>
          <w:tcPr>
            <w:tcW w:w="1677" w:type="dxa"/>
          </w:tcPr>
          <w:p w:rsidR="007C5447" w:rsidRDefault="00F6308C">
            <w:pPr>
              <w:pStyle w:val="TableParagraph"/>
              <w:spacing w:before="55" w:line="224" w:lineRule="exact"/>
              <w:ind w:right="95"/>
              <w:rPr>
                <w:sz w:val="20"/>
              </w:rPr>
            </w:pPr>
            <w:r>
              <w:rPr>
                <w:w w:val="95"/>
                <w:sz w:val="20"/>
              </w:rPr>
              <w:t>3,754</w:t>
            </w:r>
          </w:p>
        </w:tc>
        <w:tc>
          <w:tcPr>
            <w:tcW w:w="1678" w:type="dxa"/>
          </w:tcPr>
          <w:p w:rsidR="007C5447" w:rsidRDefault="00F6308C">
            <w:pPr>
              <w:pStyle w:val="TableParagraph"/>
              <w:spacing w:before="55" w:line="224" w:lineRule="exact"/>
              <w:ind w:right="94"/>
              <w:rPr>
                <w:sz w:val="20"/>
              </w:rPr>
            </w:pPr>
            <w:r>
              <w:rPr>
                <w:w w:val="95"/>
                <w:sz w:val="20"/>
              </w:rPr>
              <w:t>3,899</w:t>
            </w:r>
          </w:p>
        </w:tc>
        <w:tc>
          <w:tcPr>
            <w:tcW w:w="1675" w:type="dxa"/>
          </w:tcPr>
          <w:p w:rsidR="007C5447" w:rsidRDefault="00F6308C">
            <w:pPr>
              <w:pStyle w:val="TableParagraph"/>
              <w:spacing w:before="55" w:line="224" w:lineRule="exact"/>
              <w:ind w:right="94"/>
              <w:rPr>
                <w:sz w:val="20"/>
              </w:rPr>
            </w:pPr>
            <w:r>
              <w:rPr>
                <w:w w:val="95"/>
                <w:sz w:val="20"/>
              </w:rPr>
              <w:t>4,304</w:t>
            </w:r>
          </w:p>
        </w:tc>
      </w:tr>
      <w:tr w:rsidR="007C5447">
        <w:trPr>
          <w:trHeight w:val="331"/>
        </w:trPr>
        <w:tc>
          <w:tcPr>
            <w:tcW w:w="1061" w:type="dxa"/>
            <w:shd w:val="clear" w:color="auto" w:fill="ECECEC"/>
          </w:tcPr>
          <w:p w:rsidR="007C5447" w:rsidRDefault="007C5447">
            <w:pPr>
              <w:pStyle w:val="TableParagraph"/>
              <w:jc w:val="left"/>
              <w:rPr>
                <w:sz w:val="20"/>
              </w:rPr>
            </w:pPr>
          </w:p>
        </w:tc>
        <w:tc>
          <w:tcPr>
            <w:tcW w:w="3269" w:type="dxa"/>
            <w:shd w:val="clear" w:color="auto" w:fill="ECECEC"/>
          </w:tcPr>
          <w:p w:rsidR="007C5447" w:rsidRDefault="00F6308C">
            <w:pPr>
              <w:pStyle w:val="TableParagraph"/>
              <w:spacing w:before="87" w:line="224" w:lineRule="exact"/>
              <w:ind w:left="108"/>
              <w:jc w:val="left"/>
              <w:rPr>
                <w:b/>
                <w:sz w:val="20"/>
              </w:rPr>
            </w:pPr>
            <w:r>
              <w:rPr>
                <w:b/>
                <w:sz w:val="20"/>
              </w:rPr>
              <w:t>Variable Cost - Parameters</w:t>
            </w:r>
          </w:p>
        </w:tc>
        <w:tc>
          <w:tcPr>
            <w:tcW w:w="1456" w:type="dxa"/>
            <w:shd w:val="clear" w:color="auto" w:fill="ECECEC"/>
          </w:tcPr>
          <w:p w:rsidR="007C5447" w:rsidRDefault="007C5447">
            <w:pPr>
              <w:pStyle w:val="TableParagraph"/>
              <w:jc w:val="left"/>
              <w:rPr>
                <w:sz w:val="20"/>
              </w:rPr>
            </w:pPr>
          </w:p>
        </w:tc>
        <w:tc>
          <w:tcPr>
            <w:tcW w:w="1677" w:type="dxa"/>
            <w:shd w:val="clear" w:color="auto" w:fill="ECECEC"/>
          </w:tcPr>
          <w:p w:rsidR="007C5447" w:rsidRDefault="007C5447">
            <w:pPr>
              <w:pStyle w:val="TableParagraph"/>
              <w:jc w:val="left"/>
              <w:rPr>
                <w:sz w:val="20"/>
              </w:rPr>
            </w:pPr>
          </w:p>
        </w:tc>
        <w:tc>
          <w:tcPr>
            <w:tcW w:w="1680" w:type="dxa"/>
            <w:shd w:val="clear" w:color="auto" w:fill="ECECEC"/>
          </w:tcPr>
          <w:p w:rsidR="007C5447" w:rsidRDefault="007C5447">
            <w:pPr>
              <w:pStyle w:val="TableParagraph"/>
              <w:jc w:val="left"/>
              <w:rPr>
                <w:sz w:val="20"/>
              </w:rPr>
            </w:pPr>
          </w:p>
        </w:tc>
        <w:tc>
          <w:tcPr>
            <w:tcW w:w="1677" w:type="dxa"/>
            <w:shd w:val="clear" w:color="auto" w:fill="ECECEC"/>
          </w:tcPr>
          <w:p w:rsidR="007C5447" w:rsidRDefault="007C5447">
            <w:pPr>
              <w:pStyle w:val="TableParagraph"/>
              <w:jc w:val="left"/>
              <w:rPr>
                <w:sz w:val="20"/>
              </w:rPr>
            </w:pPr>
          </w:p>
        </w:tc>
        <w:tc>
          <w:tcPr>
            <w:tcW w:w="1678" w:type="dxa"/>
            <w:shd w:val="clear" w:color="auto" w:fill="ECECEC"/>
          </w:tcPr>
          <w:p w:rsidR="007C5447" w:rsidRDefault="007C5447">
            <w:pPr>
              <w:pStyle w:val="TableParagraph"/>
              <w:jc w:val="left"/>
              <w:rPr>
                <w:sz w:val="20"/>
              </w:rPr>
            </w:pPr>
          </w:p>
        </w:tc>
        <w:tc>
          <w:tcPr>
            <w:tcW w:w="1675" w:type="dxa"/>
            <w:shd w:val="clear" w:color="auto" w:fill="ECECEC"/>
          </w:tcPr>
          <w:p w:rsidR="007C5447" w:rsidRDefault="007C5447">
            <w:pPr>
              <w:pStyle w:val="TableParagraph"/>
              <w:jc w:val="left"/>
              <w:rPr>
                <w:sz w:val="20"/>
              </w:rPr>
            </w:pPr>
          </w:p>
        </w:tc>
      </w:tr>
      <w:tr w:rsidR="007C5447">
        <w:trPr>
          <w:trHeight w:val="299"/>
        </w:trPr>
        <w:tc>
          <w:tcPr>
            <w:tcW w:w="1061" w:type="dxa"/>
          </w:tcPr>
          <w:p w:rsidR="007C5447" w:rsidRDefault="00F6308C">
            <w:pPr>
              <w:pStyle w:val="TableParagraph"/>
              <w:spacing w:before="36"/>
              <w:ind w:left="9"/>
              <w:jc w:val="center"/>
              <w:rPr>
                <w:sz w:val="20"/>
              </w:rPr>
            </w:pPr>
            <w:r>
              <w:rPr>
                <w:w w:val="99"/>
                <w:sz w:val="20"/>
              </w:rPr>
              <w:t>8</w:t>
            </w:r>
          </w:p>
        </w:tc>
        <w:tc>
          <w:tcPr>
            <w:tcW w:w="3269" w:type="dxa"/>
          </w:tcPr>
          <w:p w:rsidR="007C5447" w:rsidRDefault="00F6308C">
            <w:pPr>
              <w:pStyle w:val="TableParagraph"/>
              <w:spacing w:before="55" w:line="224" w:lineRule="exact"/>
              <w:ind w:left="108"/>
              <w:jc w:val="left"/>
              <w:rPr>
                <w:sz w:val="20"/>
              </w:rPr>
            </w:pPr>
            <w:r>
              <w:rPr>
                <w:sz w:val="20"/>
              </w:rPr>
              <w:t>Station Heat rate</w:t>
            </w:r>
          </w:p>
        </w:tc>
        <w:tc>
          <w:tcPr>
            <w:tcW w:w="1456" w:type="dxa"/>
          </w:tcPr>
          <w:p w:rsidR="007C5447" w:rsidRDefault="00F6308C">
            <w:pPr>
              <w:pStyle w:val="TableParagraph"/>
              <w:spacing w:before="55" w:line="224" w:lineRule="exact"/>
              <w:ind w:left="108"/>
              <w:jc w:val="left"/>
              <w:rPr>
                <w:sz w:val="20"/>
              </w:rPr>
            </w:pPr>
            <w:r>
              <w:rPr>
                <w:sz w:val="20"/>
              </w:rPr>
              <w:t>kCal/kWh</w:t>
            </w:r>
          </w:p>
        </w:tc>
        <w:tc>
          <w:tcPr>
            <w:tcW w:w="1677" w:type="dxa"/>
          </w:tcPr>
          <w:p w:rsidR="007C5447" w:rsidRDefault="00F6308C">
            <w:pPr>
              <w:pStyle w:val="TableParagraph"/>
              <w:spacing w:before="55" w:line="224" w:lineRule="exact"/>
              <w:ind w:right="91"/>
              <w:rPr>
                <w:sz w:val="20"/>
              </w:rPr>
            </w:pPr>
            <w:r>
              <w:rPr>
                <w:sz w:val="20"/>
              </w:rPr>
              <w:t>2393</w:t>
            </w:r>
          </w:p>
        </w:tc>
        <w:tc>
          <w:tcPr>
            <w:tcW w:w="1680" w:type="dxa"/>
          </w:tcPr>
          <w:p w:rsidR="007C5447" w:rsidRDefault="00F6308C">
            <w:pPr>
              <w:pStyle w:val="TableParagraph"/>
              <w:spacing w:before="55" w:line="224" w:lineRule="exact"/>
              <w:ind w:right="93"/>
              <w:rPr>
                <w:sz w:val="20"/>
              </w:rPr>
            </w:pPr>
            <w:r>
              <w:rPr>
                <w:sz w:val="20"/>
              </w:rPr>
              <w:t>2393</w:t>
            </w:r>
          </w:p>
        </w:tc>
        <w:tc>
          <w:tcPr>
            <w:tcW w:w="1677" w:type="dxa"/>
          </w:tcPr>
          <w:p w:rsidR="007C5447" w:rsidRDefault="00F6308C">
            <w:pPr>
              <w:pStyle w:val="TableParagraph"/>
              <w:spacing w:before="55" w:line="224" w:lineRule="exact"/>
              <w:ind w:right="90"/>
              <w:rPr>
                <w:sz w:val="20"/>
              </w:rPr>
            </w:pPr>
            <w:r>
              <w:rPr>
                <w:sz w:val="20"/>
              </w:rPr>
              <w:t>2393</w:t>
            </w:r>
          </w:p>
        </w:tc>
        <w:tc>
          <w:tcPr>
            <w:tcW w:w="1678" w:type="dxa"/>
          </w:tcPr>
          <w:p w:rsidR="007C5447" w:rsidRDefault="00F6308C">
            <w:pPr>
              <w:pStyle w:val="TableParagraph"/>
              <w:spacing w:before="55" w:line="224" w:lineRule="exact"/>
              <w:ind w:right="90"/>
              <w:rPr>
                <w:sz w:val="20"/>
              </w:rPr>
            </w:pPr>
            <w:r>
              <w:rPr>
                <w:sz w:val="20"/>
              </w:rPr>
              <w:t>2393</w:t>
            </w:r>
          </w:p>
        </w:tc>
        <w:tc>
          <w:tcPr>
            <w:tcW w:w="1675" w:type="dxa"/>
          </w:tcPr>
          <w:p w:rsidR="007C5447" w:rsidRDefault="00F6308C">
            <w:pPr>
              <w:pStyle w:val="TableParagraph"/>
              <w:spacing w:before="55" w:line="224" w:lineRule="exact"/>
              <w:ind w:right="90"/>
              <w:rPr>
                <w:sz w:val="20"/>
              </w:rPr>
            </w:pPr>
            <w:r>
              <w:rPr>
                <w:sz w:val="20"/>
              </w:rPr>
              <w:t>2393</w:t>
            </w:r>
          </w:p>
        </w:tc>
      </w:tr>
      <w:tr w:rsidR="007C5447">
        <w:trPr>
          <w:trHeight w:val="299"/>
        </w:trPr>
        <w:tc>
          <w:tcPr>
            <w:tcW w:w="1061" w:type="dxa"/>
          </w:tcPr>
          <w:p w:rsidR="007C5447" w:rsidRDefault="00F6308C">
            <w:pPr>
              <w:pStyle w:val="TableParagraph"/>
              <w:spacing w:before="36"/>
              <w:ind w:left="9"/>
              <w:jc w:val="center"/>
              <w:rPr>
                <w:sz w:val="20"/>
              </w:rPr>
            </w:pPr>
            <w:r>
              <w:rPr>
                <w:w w:val="99"/>
                <w:sz w:val="20"/>
              </w:rPr>
              <w:t>9</w:t>
            </w:r>
          </w:p>
        </w:tc>
        <w:tc>
          <w:tcPr>
            <w:tcW w:w="3269" w:type="dxa"/>
          </w:tcPr>
          <w:p w:rsidR="007C5447" w:rsidRDefault="00F6308C">
            <w:pPr>
              <w:pStyle w:val="TableParagraph"/>
              <w:spacing w:before="55" w:line="224" w:lineRule="exact"/>
              <w:ind w:left="108"/>
              <w:jc w:val="left"/>
              <w:rPr>
                <w:sz w:val="20"/>
              </w:rPr>
            </w:pPr>
            <w:r>
              <w:rPr>
                <w:sz w:val="20"/>
              </w:rPr>
              <w:t>Fuel Oil Consumption</w:t>
            </w:r>
          </w:p>
        </w:tc>
        <w:tc>
          <w:tcPr>
            <w:tcW w:w="1456" w:type="dxa"/>
          </w:tcPr>
          <w:p w:rsidR="007C5447" w:rsidRDefault="00F6308C">
            <w:pPr>
              <w:pStyle w:val="TableParagraph"/>
              <w:spacing w:before="55" w:line="224" w:lineRule="exact"/>
              <w:ind w:left="108"/>
              <w:jc w:val="left"/>
              <w:rPr>
                <w:sz w:val="20"/>
              </w:rPr>
            </w:pPr>
            <w:r>
              <w:rPr>
                <w:sz w:val="20"/>
              </w:rPr>
              <w:t>ml/kWh</w:t>
            </w:r>
          </w:p>
        </w:tc>
        <w:tc>
          <w:tcPr>
            <w:tcW w:w="1677" w:type="dxa"/>
          </w:tcPr>
          <w:p w:rsidR="007C5447" w:rsidRDefault="00F6308C">
            <w:pPr>
              <w:pStyle w:val="TableParagraph"/>
              <w:spacing w:before="55" w:line="224" w:lineRule="exact"/>
              <w:ind w:right="93"/>
              <w:rPr>
                <w:sz w:val="20"/>
              </w:rPr>
            </w:pPr>
            <w:r>
              <w:rPr>
                <w:sz w:val="20"/>
              </w:rPr>
              <w:t>0.62</w:t>
            </w:r>
          </w:p>
        </w:tc>
        <w:tc>
          <w:tcPr>
            <w:tcW w:w="1680" w:type="dxa"/>
          </w:tcPr>
          <w:p w:rsidR="007C5447" w:rsidRDefault="00F6308C">
            <w:pPr>
              <w:pStyle w:val="TableParagraph"/>
              <w:spacing w:before="55" w:line="224" w:lineRule="exact"/>
              <w:ind w:right="95"/>
              <w:rPr>
                <w:sz w:val="20"/>
              </w:rPr>
            </w:pPr>
            <w:r>
              <w:rPr>
                <w:sz w:val="20"/>
              </w:rPr>
              <w:t>0.51</w:t>
            </w:r>
          </w:p>
        </w:tc>
        <w:tc>
          <w:tcPr>
            <w:tcW w:w="1677" w:type="dxa"/>
          </w:tcPr>
          <w:p w:rsidR="007C5447" w:rsidRDefault="00F6308C">
            <w:pPr>
              <w:pStyle w:val="TableParagraph"/>
              <w:spacing w:before="55" w:line="224" w:lineRule="exact"/>
              <w:ind w:right="92"/>
              <w:rPr>
                <w:sz w:val="20"/>
              </w:rPr>
            </w:pPr>
            <w:r>
              <w:rPr>
                <w:sz w:val="20"/>
              </w:rPr>
              <w:t>1.87</w:t>
            </w:r>
          </w:p>
        </w:tc>
        <w:tc>
          <w:tcPr>
            <w:tcW w:w="1678" w:type="dxa"/>
          </w:tcPr>
          <w:p w:rsidR="007C5447" w:rsidRDefault="00F6308C">
            <w:pPr>
              <w:pStyle w:val="TableParagraph"/>
              <w:spacing w:before="55" w:line="224" w:lineRule="exact"/>
              <w:ind w:right="92"/>
              <w:rPr>
                <w:sz w:val="20"/>
              </w:rPr>
            </w:pPr>
            <w:r>
              <w:rPr>
                <w:sz w:val="20"/>
              </w:rPr>
              <w:t>1.76</w:t>
            </w:r>
          </w:p>
        </w:tc>
        <w:tc>
          <w:tcPr>
            <w:tcW w:w="1675" w:type="dxa"/>
          </w:tcPr>
          <w:p w:rsidR="007C5447" w:rsidRDefault="00F6308C">
            <w:pPr>
              <w:pStyle w:val="TableParagraph"/>
              <w:spacing w:before="55" w:line="224" w:lineRule="exact"/>
              <w:ind w:right="92"/>
              <w:rPr>
                <w:sz w:val="20"/>
              </w:rPr>
            </w:pPr>
            <w:r>
              <w:rPr>
                <w:sz w:val="20"/>
              </w:rPr>
              <w:t>1.76</w:t>
            </w:r>
          </w:p>
        </w:tc>
      </w:tr>
      <w:tr w:rsidR="007C5447">
        <w:trPr>
          <w:trHeight w:val="299"/>
        </w:trPr>
        <w:tc>
          <w:tcPr>
            <w:tcW w:w="1061" w:type="dxa"/>
          </w:tcPr>
          <w:p w:rsidR="007C5447" w:rsidRDefault="00F6308C">
            <w:pPr>
              <w:pStyle w:val="TableParagraph"/>
              <w:spacing w:before="36"/>
              <w:ind w:left="212" w:right="203"/>
              <w:jc w:val="center"/>
              <w:rPr>
                <w:sz w:val="20"/>
              </w:rPr>
            </w:pPr>
            <w:r>
              <w:rPr>
                <w:sz w:val="20"/>
              </w:rPr>
              <w:t>10</w:t>
            </w:r>
          </w:p>
        </w:tc>
        <w:tc>
          <w:tcPr>
            <w:tcW w:w="3269" w:type="dxa"/>
          </w:tcPr>
          <w:p w:rsidR="007C5447" w:rsidRDefault="00F6308C">
            <w:pPr>
              <w:pStyle w:val="TableParagraph"/>
              <w:spacing w:before="55" w:line="224" w:lineRule="exact"/>
              <w:ind w:left="108"/>
              <w:jc w:val="left"/>
              <w:rPr>
                <w:sz w:val="20"/>
              </w:rPr>
            </w:pPr>
            <w:r>
              <w:rPr>
                <w:sz w:val="20"/>
              </w:rPr>
              <w:t>GCV of Primary Fuel</w:t>
            </w:r>
          </w:p>
        </w:tc>
        <w:tc>
          <w:tcPr>
            <w:tcW w:w="1456" w:type="dxa"/>
          </w:tcPr>
          <w:p w:rsidR="007C5447" w:rsidRDefault="00F6308C">
            <w:pPr>
              <w:pStyle w:val="TableParagraph"/>
              <w:spacing w:before="55" w:line="224" w:lineRule="exact"/>
              <w:ind w:left="108"/>
              <w:jc w:val="left"/>
              <w:rPr>
                <w:sz w:val="20"/>
              </w:rPr>
            </w:pPr>
            <w:r>
              <w:rPr>
                <w:sz w:val="20"/>
              </w:rPr>
              <w:t>Kcal/kg</w:t>
            </w:r>
          </w:p>
        </w:tc>
        <w:tc>
          <w:tcPr>
            <w:tcW w:w="1677" w:type="dxa"/>
          </w:tcPr>
          <w:p w:rsidR="007C5447" w:rsidRDefault="00F6308C">
            <w:pPr>
              <w:pStyle w:val="TableParagraph"/>
              <w:spacing w:before="55" w:line="224" w:lineRule="exact"/>
              <w:ind w:right="96"/>
              <w:rPr>
                <w:sz w:val="20"/>
              </w:rPr>
            </w:pPr>
            <w:r>
              <w:rPr>
                <w:w w:val="95"/>
                <w:sz w:val="20"/>
              </w:rPr>
              <w:t>4,324</w:t>
            </w:r>
          </w:p>
        </w:tc>
        <w:tc>
          <w:tcPr>
            <w:tcW w:w="1680" w:type="dxa"/>
          </w:tcPr>
          <w:p w:rsidR="007C5447" w:rsidRDefault="00F6308C">
            <w:pPr>
              <w:pStyle w:val="TableParagraph"/>
              <w:spacing w:before="55" w:line="224" w:lineRule="exact"/>
              <w:ind w:right="98"/>
              <w:rPr>
                <w:sz w:val="20"/>
              </w:rPr>
            </w:pPr>
            <w:r>
              <w:rPr>
                <w:w w:val="95"/>
                <w:sz w:val="20"/>
              </w:rPr>
              <w:t>4,514</w:t>
            </w:r>
          </w:p>
        </w:tc>
        <w:tc>
          <w:tcPr>
            <w:tcW w:w="1677" w:type="dxa"/>
          </w:tcPr>
          <w:p w:rsidR="007C5447" w:rsidRDefault="00F6308C">
            <w:pPr>
              <w:pStyle w:val="TableParagraph"/>
              <w:spacing w:before="55" w:line="224" w:lineRule="exact"/>
              <w:ind w:right="95"/>
              <w:rPr>
                <w:sz w:val="20"/>
              </w:rPr>
            </w:pPr>
            <w:r>
              <w:rPr>
                <w:w w:val="95"/>
                <w:sz w:val="20"/>
              </w:rPr>
              <w:t>3,621</w:t>
            </w:r>
          </w:p>
        </w:tc>
        <w:tc>
          <w:tcPr>
            <w:tcW w:w="1678" w:type="dxa"/>
          </w:tcPr>
          <w:p w:rsidR="007C5447" w:rsidRDefault="00F6308C">
            <w:pPr>
              <w:pStyle w:val="TableParagraph"/>
              <w:spacing w:before="55" w:line="224" w:lineRule="exact"/>
              <w:ind w:right="94"/>
              <w:rPr>
                <w:sz w:val="20"/>
              </w:rPr>
            </w:pPr>
            <w:r>
              <w:rPr>
                <w:w w:val="95"/>
                <w:sz w:val="20"/>
              </w:rPr>
              <w:t>3,353</w:t>
            </w:r>
          </w:p>
        </w:tc>
        <w:tc>
          <w:tcPr>
            <w:tcW w:w="1675" w:type="dxa"/>
          </w:tcPr>
          <w:p w:rsidR="007C5447" w:rsidRDefault="00F6308C">
            <w:pPr>
              <w:pStyle w:val="TableParagraph"/>
              <w:spacing w:before="55" w:line="224" w:lineRule="exact"/>
              <w:ind w:right="94"/>
              <w:rPr>
                <w:sz w:val="20"/>
              </w:rPr>
            </w:pPr>
            <w:r>
              <w:rPr>
                <w:w w:val="95"/>
                <w:sz w:val="20"/>
              </w:rPr>
              <w:t>4,113</w:t>
            </w:r>
          </w:p>
        </w:tc>
      </w:tr>
      <w:tr w:rsidR="007C5447">
        <w:trPr>
          <w:trHeight w:val="301"/>
        </w:trPr>
        <w:tc>
          <w:tcPr>
            <w:tcW w:w="1061" w:type="dxa"/>
          </w:tcPr>
          <w:p w:rsidR="007C5447" w:rsidRDefault="00F6308C">
            <w:pPr>
              <w:pStyle w:val="TableParagraph"/>
              <w:spacing w:before="36"/>
              <w:ind w:left="212" w:right="203"/>
              <w:jc w:val="center"/>
              <w:rPr>
                <w:sz w:val="20"/>
              </w:rPr>
            </w:pPr>
            <w:r>
              <w:rPr>
                <w:sz w:val="20"/>
              </w:rPr>
              <w:t>11</w:t>
            </w:r>
          </w:p>
        </w:tc>
        <w:tc>
          <w:tcPr>
            <w:tcW w:w="3269" w:type="dxa"/>
          </w:tcPr>
          <w:p w:rsidR="007C5447" w:rsidRDefault="00F6308C">
            <w:pPr>
              <w:pStyle w:val="TableParagraph"/>
              <w:spacing w:before="55" w:line="227" w:lineRule="exact"/>
              <w:ind w:left="108"/>
              <w:jc w:val="left"/>
              <w:rPr>
                <w:sz w:val="20"/>
              </w:rPr>
            </w:pPr>
            <w:r>
              <w:rPr>
                <w:sz w:val="20"/>
              </w:rPr>
              <w:t>GCV of Secondary Fuel</w:t>
            </w:r>
          </w:p>
        </w:tc>
        <w:tc>
          <w:tcPr>
            <w:tcW w:w="1456" w:type="dxa"/>
          </w:tcPr>
          <w:p w:rsidR="007C5447" w:rsidRDefault="00F6308C">
            <w:pPr>
              <w:pStyle w:val="TableParagraph"/>
              <w:spacing w:before="55" w:line="227" w:lineRule="exact"/>
              <w:ind w:left="108"/>
              <w:jc w:val="left"/>
              <w:rPr>
                <w:sz w:val="20"/>
              </w:rPr>
            </w:pPr>
            <w:r>
              <w:rPr>
                <w:sz w:val="20"/>
              </w:rPr>
              <w:t>kcal/l</w:t>
            </w:r>
          </w:p>
        </w:tc>
        <w:tc>
          <w:tcPr>
            <w:tcW w:w="1677" w:type="dxa"/>
          </w:tcPr>
          <w:p w:rsidR="007C5447" w:rsidRDefault="00F6308C">
            <w:pPr>
              <w:pStyle w:val="TableParagraph"/>
              <w:spacing w:before="55" w:line="227" w:lineRule="exact"/>
              <w:ind w:right="96"/>
              <w:rPr>
                <w:sz w:val="20"/>
              </w:rPr>
            </w:pPr>
            <w:r>
              <w:rPr>
                <w:w w:val="95"/>
                <w:sz w:val="20"/>
              </w:rPr>
              <w:t>10,314</w:t>
            </w:r>
          </w:p>
        </w:tc>
        <w:tc>
          <w:tcPr>
            <w:tcW w:w="1680" w:type="dxa"/>
          </w:tcPr>
          <w:p w:rsidR="007C5447" w:rsidRDefault="00F6308C">
            <w:pPr>
              <w:pStyle w:val="TableParagraph"/>
              <w:spacing w:before="55" w:line="227" w:lineRule="exact"/>
              <w:ind w:right="98"/>
              <w:rPr>
                <w:sz w:val="20"/>
              </w:rPr>
            </w:pPr>
            <w:r>
              <w:rPr>
                <w:w w:val="95"/>
                <w:sz w:val="20"/>
              </w:rPr>
              <w:t>10,387</w:t>
            </w:r>
          </w:p>
        </w:tc>
        <w:tc>
          <w:tcPr>
            <w:tcW w:w="1677" w:type="dxa"/>
          </w:tcPr>
          <w:p w:rsidR="007C5447" w:rsidRDefault="00F6308C">
            <w:pPr>
              <w:pStyle w:val="TableParagraph"/>
              <w:spacing w:before="55" w:line="227" w:lineRule="exact"/>
              <w:ind w:right="95"/>
              <w:rPr>
                <w:sz w:val="20"/>
              </w:rPr>
            </w:pPr>
            <w:r>
              <w:rPr>
                <w:w w:val="95"/>
                <w:sz w:val="20"/>
              </w:rPr>
              <w:t>10,357</w:t>
            </w:r>
          </w:p>
        </w:tc>
        <w:tc>
          <w:tcPr>
            <w:tcW w:w="1678" w:type="dxa"/>
          </w:tcPr>
          <w:p w:rsidR="007C5447" w:rsidRDefault="00F6308C">
            <w:pPr>
              <w:pStyle w:val="TableParagraph"/>
              <w:spacing w:before="55" w:line="227" w:lineRule="exact"/>
              <w:ind w:right="95"/>
              <w:rPr>
                <w:sz w:val="20"/>
              </w:rPr>
            </w:pPr>
            <w:r>
              <w:rPr>
                <w:w w:val="95"/>
                <w:sz w:val="20"/>
              </w:rPr>
              <w:t>10,373</w:t>
            </w:r>
          </w:p>
        </w:tc>
        <w:tc>
          <w:tcPr>
            <w:tcW w:w="1675" w:type="dxa"/>
          </w:tcPr>
          <w:p w:rsidR="007C5447" w:rsidRDefault="00F6308C">
            <w:pPr>
              <w:pStyle w:val="TableParagraph"/>
              <w:spacing w:before="55" w:line="227" w:lineRule="exact"/>
              <w:ind w:right="94"/>
              <w:rPr>
                <w:sz w:val="20"/>
              </w:rPr>
            </w:pPr>
            <w:r>
              <w:rPr>
                <w:w w:val="95"/>
                <w:sz w:val="20"/>
              </w:rPr>
              <w:t>10,395</w:t>
            </w:r>
          </w:p>
        </w:tc>
      </w:tr>
      <w:tr w:rsidR="007C5447">
        <w:trPr>
          <w:trHeight w:val="299"/>
        </w:trPr>
        <w:tc>
          <w:tcPr>
            <w:tcW w:w="1061" w:type="dxa"/>
          </w:tcPr>
          <w:p w:rsidR="007C5447" w:rsidRDefault="00F6308C">
            <w:pPr>
              <w:pStyle w:val="TableParagraph"/>
              <w:spacing w:before="34"/>
              <w:ind w:left="212" w:right="203"/>
              <w:jc w:val="center"/>
              <w:rPr>
                <w:sz w:val="20"/>
              </w:rPr>
            </w:pPr>
            <w:r>
              <w:rPr>
                <w:sz w:val="20"/>
              </w:rPr>
              <w:t>12</w:t>
            </w:r>
          </w:p>
        </w:tc>
        <w:tc>
          <w:tcPr>
            <w:tcW w:w="3269" w:type="dxa"/>
          </w:tcPr>
          <w:p w:rsidR="007C5447" w:rsidRDefault="00F6308C">
            <w:pPr>
              <w:pStyle w:val="TableParagraph"/>
              <w:spacing w:before="55" w:line="224" w:lineRule="exact"/>
              <w:ind w:left="108"/>
              <w:jc w:val="left"/>
              <w:rPr>
                <w:sz w:val="20"/>
              </w:rPr>
            </w:pPr>
            <w:r>
              <w:rPr>
                <w:sz w:val="20"/>
              </w:rPr>
              <w:t>Price of Coal</w:t>
            </w:r>
          </w:p>
        </w:tc>
        <w:tc>
          <w:tcPr>
            <w:tcW w:w="1456" w:type="dxa"/>
          </w:tcPr>
          <w:p w:rsidR="007C5447" w:rsidRDefault="00F6308C">
            <w:pPr>
              <w:pStyle w:val="TableParagraph"/>
              <w:spacing w:before="55" w:line="224" w:lineRule="exact"/>
              <w:ind w:left="108"/>
              <w:jc w:val="left"/>
              <w:rPr>
                <w:sz w:val="20"/>
              </w:rPr>
            </w:pPr>
            <w:r>
              <w:rPr>
                <w:sz w:val="20"/>
              </w:rPr>
              <w:t>Rs/MT</w:t>
            </w:r>
          </w:p>
        </w:tc>
        <w:tc>
          <w:tcPr>
            <w:tcW w:w="1677" w:type="dxa"/>
          </w:tcPr>
          <w:p w:rsidR="007C5447" w:rsidRDefault="00F6308C">
            <w:pPr>
              <w:pStyle w:val="TableParagraph"/>
              <w:spacing w:before="55" w:line="224" w:lineRule="exact"/>
              <w:ind w:right="96"/>
              <w:rPr>
                <w:sz w:val="20"/>
              </w:rPr>
            </w:pPr>
            <w:r>
              <w:rPr>
                <w:w w:val="95"/>
                <w:sz w:val="20"/>
              </w:rPr>
              <w:t>4,149</w:t>
            </w:r>
          </w:p>
        </w:tc>
        <w:tc>
          <w:tcPr>
            <w:tcW w:w="1680" w:type="dxa"/>
          </w:tcPr>
          <w:p w:rsidR="007C5447" w:rsidRDefault="00F6308C">
            <w:pPr>
              <w:pStyle w:val="TableParagraph"/>
              <w:spacing w:before="55" w:line="224" w:lineRule="exact"/>
              <w:ind w:right="98"/>
              <w:rPr>
                <w:sz w:val="20"/>
              </w:rPr>
            </w:pPr>
            <w:r>
              <w:rPr>
                <w:w w:val="95"/>
                <w:sz w:val="20"/>
              </w:rPr>
              <w:t>4,899</w:t>
            </w:r>
          </w:p>
        </w:tc>
        <w:tc>
          <w:tcPr>
            <w:tcW w:w="1677" w:type="dxa"/>
          </w:tcPr>
          <w:p w:rsidR="007C5447" w:rsidRDefault="00F6308C">
            <w:pPr>
              <w:pStyle w:val="TableParagraph"/>
              <w:spacing w:before="55" w:line="224" w:lineRule="exact"/>
              <w:ind w:right="95"/>
              <w:rPr>
                <w:sz w:val="20"/>
              </w:rPr>
            </w:pPr>
            <w:r>
              <w:rPr>
                <w:w w:val="95"/>
                <w:sz w:val="20"/>
              </w:rPr>
              <w:t>3,926</w:t>
            </w:r>
          </w:p>
        </w:tc>
        <w:tc>
          <w:tcPr>
            <w:tcW w:w="1678" w:type="dxa"/>
          </w:tcPr>
          <w:p w:rsidR="007C5447" w:rsidRDefault="00F6308C">
            <w:pPr>
              <w:pStyle w:val="TableParagraph"/>
              <w:spacing w:before="55" w:line="224" w:lineRule="exact"/>
              <w:ind w:right="94"/>
              <w:rPr>
                <w:sz w:val="20"/>
              </w:rPr>
            </w:pPr>
            <w:r>
              <w:rPr>
                <w:w w:val="95"/>
                <w:sz w:val="20"/>
              </w:rPr>
              <w:t>3,923</w:t>
            </w:r>
          </w:p>
        </w:tc>
        <w:tc>
          <w:tcPr>
            <w:tcW w:w="1675" w:type="dxa"/>
          </w:tcPr>
          <w:p w:rsidR="007C5447" w:rsidRDefault="00F6308C">
            <w:pPr>
              <w:pStyle w:val="TableParagraph"/>
              <w:spacing w:before="55" w:line="224" w:lineRule="exact"/>
              <w:ind w:right="94"/>
              <w:rPr>
                <w:sz w:val="20"/>
              </w:rPr>
            </w:pPr>
            <w:r>
              <w:rPr>
                <w:w w:val="95"/>
                <w:sz w:val="20"/>
              </w:rPr>
              <w:t>3,673</w:t>
            </w:r>
          </w:p>
        </w:tc>
      </w:tr>
      <w:tr w:rsidR="007C5447">
        <w:trPr>
          <w:trHeight w:val="299"/>
        </w:trPr>
        <w:tc>
          <w:tcPr>
            <w:tcW w:w="1061" w:type="dxa"/>
          </w:tcPr>
          <w:p w:rsidR="007C5447" w:rsidRDefault="00F6308C">
            <w:pPr>
              <w:pStyle w:val="TableParagraph"/>
              <w:spacing w:before="34"/>
              <w:ind w:left="212" w:right="203"/>
              <w:jc w:val="center"/>
              <w:rPr>
                <w:sz w:val="20"/>
              </w:rPr>
            </w:pPr>
            <w:r>
              <w:rPr>
                <w:sz w:val="20"/>
              </w:rPr>
              <w:t>13</w:t>
            </w:r>
          </w:p>
        </w:tc>
        <w:tc>
          <w:tcPr>
            <w:tcW w:w="3269" w:type="dxa"/>
          </w:tcPr>
          <w:p w:rsidR="007C5447" w:rsidRDefault="00F6308C">
            <w:pPr>
              <w:pStyle w:val="TableParagraph"/>
              <w:spacing w:before="55" w:line="224" w:lineRule="exact"/>
              <w:ind w:left="108"/>
              <w:jc w:val="left"/>
              <w:rPr>
                <w:sz w:val="20"/>
              </w:rPr>
            </w:pPr>
            <w:r>
              <w:rPr>
                <w:sz w:val="20"/>
              </w:rPr>
              <w:t>Price of Oil</w:t>
            </w:r>
          </w:p>
        </w:tc>
        <w:tc>
          <w:tcPr>
            <w:tcW w:w="1456" w:type="dxa"/>
          </w:tcPr>
          <w:p w:rsidR="007C5447" w:rsidRDefault="00F6308C">
            <w:pPr>
              <w:pStyle w:val="TableParagraph"/>
              <w:spacing w:before="55" w:line="224" w:lineRule="exact"/>
              <w:ind w:left="108"/>
              <w:jc w:val="left"/>
              <w:rPr>
                <w:sz w:val="20"/>
              </w:rPr>
            </w:pPr>
            <w:r>
              <w:rPr>
                <w:sz w:val="20"/>
              </w:rPr>
              <w:t>Rs/kL</w:t>
            </w:r>
          </w:p>
        </w:tc>
        <w:tc>
          <w:tcPr>
            <w:tcW w:w="1677" w:type="dxa"/>
          </w:tcPr>
          <w:p w:rsidR="007C5447" w:rsidRDefault="00F6308C">
            <w:pPr>
              <w:pStyle w:val="TableParagraph"/>
              <w:spacing w:before="55" w:line="224" w:lineRule="exact"/>
              <w:ind w:right="96"/>
              <w:rPr>
                <w:sz w:val="20"/>
              </w:rPr>
            </w:pPr>
            <w:r>
              <w:rPr>
                <w:w w:val="95"/>
                <w:sz w:val="20"/>
              </w:rPr>
              <w:t>46,177</w:t>
            </w:r>
          </w:p>
        </w:tc>
        <w:tc>
          <w:tcPr>
            <w:tcW w:w="1680" w:type="dxa"/>
          </w:tcPr>
          <w:p w:rsidR="007C5447" w:rsidRDefault="00F6308C">
            <w:pPr>
              <w:pStyle w:val="TableParagraph"/>
              <w:spacing w:before="55" w:line="224" w:lineRule="exact"/>
              <w:ind w:right="98"/>
              <w:rPr>
                <w:sz w:val="20"/>
              </w:rPr>
            </w:pPr>
            <w:r>
              <w:rPr>
                <w:w w:val="95"/>
                <w:sz w:val="20"/>
              </w:rPr>
              <w:t>55,748</w:t>
            </w:r>
          </w:p>
        </w:tc>
        <w:tc>
          <w:tcPr>
            <w:tcW w:w="1677" w:type="dxa"/>
          </w:tcPr>
          <w:p w:rsidR="007C5447" w:rsidRDefault="00F6308C">
            <w:pPr>
              <w:pStyle w:val="TableParagraph"/>
              <w:spacing w:before="55" w:line="224" w:lineRule="exact"/>
              <w:ind w:right="95"/>
              <w:rPr>
                <w:sz w:val="20"/>
              </w:rPr>
            </w:pPr>
            <w:r>
              <w:rPr>
                <w:w w:val="95"/>
                <w:sz w:val="20"/>
              </w:rPr>
              <w:t>52,214</w:t>
            </w:r>
          </w:p>
        </w:tc>
        <w:tc>
          <w:tcPr>
            <w:tcW w:w="1678" w:type="dxa"/>
          </w:tcPr>
          <w:p w:rsidR="007C5447" w:rsidRDefault="00F6308C">
            <w:pPr>
              <w:pStyle w:val="TableParagraph"/>
              <w:spacing w:before="55" w:line="224" w:lineRule="exact"/>
              <w:ind w:right="95"/>
              <w:rPr>
                <w:sz w:val="20"/>
              </w:rPr>
            </w:pPr>
            <w:r>
              <w:rPr>
                <w:w w:val="95"/>
                <w:sz w:val="20"/>
              </w:rPr>
              <w:t>38,162</w:t>
            </w:r>
          </w:p>
        </w:tc>
        <w:tc>
          <w:tcPr>
            <w:tcW w:w="1675" w:type="dxa"/>
          </w:tcPr>
          <w:p w:rsidR="007C5447" w:rsidRDefault="00F6308C">
            <w:pPr>
              <w:pStyle w:val="TableParagraph"/>
              <w:spacing w:before="55" w:line="224" w:lineRule="exact"/>
              <w:ind w:right="94"/>
              <w:rPr>
                <w:sz w:val="20"/>
              </w:rPr>
            </w:pPr>
            <w:r>
              <w:rPr>
                <w:w w:val="95"/>
                <w:sz w:val="20"/>
              </w:rPr>
              <w:t>28,965</w:t>
            </w:r>
          </w:p>
        </w:tc>
      </w:tr>
      <w:tr w:rsidR="007C5447">
        <w:trPr>
          <w:trHeight w:val="330"/>
        </w:trPr>
        <w:tc>
          <w:tcPr>
            <w:tcW w:w="1061" w:type="dxa"/>
            <w:shd w:val="clear" w:color="auto" w:fill="ECECEC"/>
          </w:tcPr>
          <w:p w:rsidR="007C5447" w:rsidRDefault="007C5447">
            <w:pPr>
              <w:pStyle w:val="TableParagraph"/>
              <w:jc w:val="left"/>
              <w:rPr>
                <w:sz w:val="20"/>
              </w:rPr>
            </w:pPr>
          </w:p>
        </w:tc>
        <w:tc>
          <w:tcPr>
            <w:tcW w:w="3269" w:type="dxa"/>
            <w:shd w:val="clear" w:color="auto" w:fill="ECECEC"/>
          </w:tcPr>
          <w:p w:rsidR="007C5447" w:rsidRDefault="00F6308C">
            <w:pPr>
              <w:pStyle w:val="TableParagraph"/>
              <w:spacing w:before="84" w:line="227" w:lineRule="exact"/>
              <w:ind w:left="108"/>
              <w:jc w:val="left"/>
              <w:rPr>
                <w:b/>
                <w:sz w:val="20"/>
              </w:rPr>
            </w:pPr>
            <w:r>
              <w:rPr>
                <w:b/>
                <w:sz w:val="20"/>
              </w:rPr>
              <w:t>Calculations</w:t>
            </w:r>
          </w:p>
        </w:tc>
        <w:tc>
          <w:tcPr>
            <w:tcW w:w="1456" w:type="dxa"/>
            <w:shd w:val="clear" w:color="auto" w:fill="ECECEC"/>
          </w:tcPr>
          <w:p w:rsidR="007C5447" w:rsidRDefault="007C5447">
            <w:pPr>
              <w:pStyle w:val="TableParagraph"/>
              <w:jc w:val="left"/>
              <w:rPr>
                <w:sz w:val="20"/>
              </w:rPr>
            </w:pPr>
          </w:p>
        </w:tc>
        <w:tc>
          <w:tcPr>
            <w:tcW w:w="1677" w:type="dxa"/>
            <w:shd w:val="clear" w:color="auto" w:fill="ECECEC"/>
          </w:tcPr>
          <w:p w:rsidR="007C5447" w:rsidRDefault="007C5447">
            <w:pPr>
              <w:pStyle w:val="TableParagraph"/>
              <w:jc w:val="left"/>
              <w:rPr>
                <w:sz w:val="20"/>
              </w:rPr>
            </w:pPr>
          </w:p>
        </w:tc>
        <w:tc>
          <w:tcPr>
            <w:tcW w:w="1680" w:type="dxa"/>
            <w:shd w:val="clear" w:color="auto" w:fill="ECECEC"/>
          </w:tcPr>
          <w:p w:rsidR="007C5447" w:rsidRDefault="007C5447">
            <w:pPr>
              <w:pStyle w:val="TableParagraph"/>
              <w:jc w:val="left"/>
              <w:rPr>
                <w:sz w:val="20"/>
              </w:rPr>
            </w:pPr>
          </w:p>
        </w:tc>
        <w:tc>
          <w:tcPr>
            <w:tcW w:w="1677" w:type="dxa"/>
            <w:shd w:val="clear" w:color="auto" w:fill="ECECEC"/>
          </w:tcPr>
          <w:p w:rsidR="007C5447" w:rsidRDefault="007C5447">
            <w:pPr>
              <w:pStyle w:val="TableParagraph"/>
              <w:jc w:val="left"/>
              <w:rPr>
                <w:sz w:val="20"/>
              </w:rPr>
            </w:pPr>
          </w:p>
        </w:tc>
        <w:tc>
          <w:tcPr>
            <w:tcW w:w="1678" w:type="dxa"/>
            <w:shd w:val="clear" w:color="auto" w:fill="ECECEC"/>
          </w:tcPr>
          <w:p w:rsidR="007C5447" w:rsidRDefault="007C5447">
            <w:pPr>
              <w:pStyle w:val="TableParagraph"/>
              <w:jc w:val="left"/>
              <w:rPr>
                <w:sz w:val="20"/>
              </w:rPr>
            </w:pPr>
          </w:p>
        </w:tc>
        <w:tc>
          <w:tcPr>
            <w:tcW w:w="1675" w:type="dxa"/>
            <w:shd w:val="clear" w:color="auto" w:fill="ECECEC"/>
          </w:tcPr>
          <w:p w:rsidR="007C5447" w:rsidRDefault="007C5447">
            <w:pPr>
              <w:pStyle w:val="TableParagraph"/>
              <w:jc w:val="left"/>
              <w:rPr>
                <w:sz w:val="20"/>
              </w:rPr>
            </w:pPr>
          </w:p>
        </w:tc>
      </w:tr>
      <w:tr w:rsidR="007C5447">
        <w:trPr>
          <w:trHeight w:val="300"/>
        </w:trPr>
        <w:tc>
          <w:tcPr>
            <w:tcW w:w="1061" w:type="dxa"/>
          </w:tcPr>
          <w:p w:rsidR="007C5447" w:rsidRDefault="00F6308C">
            <w:pPr>
              <w:pStyle w:val="TableParagraph"/>
              <w:spacing w:before="34"/>
              <w:ind w:left="212" w:right="203"/>
              <w:jc w:val="center"/>
              <w:rPr>
                <w:sz w:val="20"/>
              </w:rPr>
            </w:pPr>
            <w:r>
              <w:rPr>
                <w:sz w:val="20"/>
              </w:rPr>
              <w:t>14</w:t>
            </w:r>
          </w:p>
        </w:tc>
        <w:tc>
          <w:tcPr>
            <w:tcW w:w="3269" w:type="dxa"/>
          </w:tcPr>
          <w:p w:rsidR="007C5447" w:rsidRDefault="00F6308C">
            <w:pPr>
              <w:pStyle w:val="TableParagraph"/>
              <w:spacing w:before="56" w:line="224" w:lineRule="exact"/>
              <w:ind w:left="108"/>
              <w:jc w:val="left"/>
              <w:rPr>
                <w:sz w:val="20"/>
              </w:rPr>
            </w:pPr>
            <w:r>
              <w:rPr>
                <w:sz w:val="20"/>
              </w:rPr>
              <w:t>Total Heat from Coal and Oil</w:t>
            </w:r>
          </w:p>
        </w:tc>
        <w:tc>
          <w:tcPr>
            <w:tcW w:w="1456" w:type="dxa"/>
          </w:tcPr>
          <w:p w:rsidR="007C5447" w:rsidRDefault="00F6308C">
            <w:pPr>
              <w:pStyle w:val="TableParagraph"/>
              <w:spacing w:before="56" w:line="224" w:lineRule="exact"/>
              <w:ind w:left="108"/>
              <w:jc w:val="left"/>
              <w:rPr>
                <w:sz w:val="20"/>
              </w:rPr>
            </w:pPr>
            <w:r>
              <w:rPr>
                <w:sz w:val="20"/>
              </w:rPr>
              <w:t>MKCL</w:t>
            </w:r>
          </w:p>
        </w:tc>
        <w:tc>
          <w:tcPr>
            <w:tcW w:w="1677" w:type="dxa"/>
          </w:tcPr>
          <w:p w:rsidR="007C5447" w:rsidRDefault="00F6308C">
            <w:pPr>
              <w:pStyle w:val="TableParagraph"/>
              <w:spacing w:before="56" w:line="224" w:lineRule="exact"/>
              <w:ind w:right="97"/>
              <w:rPr>
                <w:sz w:val="20"/>
              </w:rPr>
            </w:pPr>
            <w:r>
              <w:rPr>
                <w:w w:val="95"/>
                <w:sz w:val="20"/>
              </w:rPr>
              <w:t>1,12,30,823</w:t>
            </w:r>
          </w:p>
        </w:tc>
        <w:tc>
          <w:tcPr>
            <w:tcW w:w="1680" w:type="dxa"/>
          </w:tcPr>
          <w:p w:rsidR="007C5447" w:rsidRDefault="00F6308C">
            <w:pPr>
              <w:pStyle w:val="TableParagraph"/>
              <w:spacing w:before="56" w:line="224" w:lineRule="exact"/>
              <w:ind w:right="99"/>
              <w:rPr>
                <w:sz w:val="20"/>
              </w:rPr>
            </w:pPr>
            <w:r>
              <w:rPr>
                <w:w w:val="95"/>
                <w:sz w:val="20"/>
              </w:rPr>
              <w:t>1,21,07,336</w:t>
            </w:r>
          </w:p>
        </w:tc>
        <w:tc>
          <w:tcPr>
            <w:tcW w:w="1677" w:type="dxa"/>
          </w:tcPr>
          <w:p w:rsidR="007C5447" w:rsidRDefault="00F6308C">
            <w:pPr>
              <w:pStyle w:val="TableParagraph"/>
              <w:spacing w:before="56" w:line="224" w:lineRule="exact"/>
              <w:ind w:right="95"/>
              <w:rPr>
                <w:sz w:val="20"/>
              </w:rPr>
            </w:pPr>
            <w:r>
              <w:rPr>
                <w:w w:val="95"/>
                <w:sz w:val="20"/>
              </w:rPr>
              <w:t>98,16,648</w:t>
            </w:r>
          </w:p>
        </w:tc>
        <w:tc>
          <w:tcPr>
            <w:tcW w:w="1678" w:type="dxa"/>
          </w:tcPr>
          <w:p w:rsidR="007C5447" w:rsidRDefault="00F6308C">
            <w:pPr>
              <w:pStyle w:val="TableParagraph"/>
              <w:spacing w:before="56" w:line="224" w:lineRule="exact"/>
              <w:ind w:right="95"/>
              <w:rPr>
                <w:sz w:val="20"/>
              </w:rPr>
            </w:pPr>
            <w:r>
              <w:rPr>
                <w:w w:val="95"/>
                <w:sz w:val="20"/>
              </w:rPr>
              <w:t>1,01,96,573</w:t>
            </w:r>
          </w:p>
        </w:tc>
        <w:tc>
          <w:tcPr>
            <w:tcW w:w="1675" w:type="dxa"/>
          </w:tcPr>
          <w:p w:rsidR="007C5447" w:rsidRDefault="00F6308C">
            <w:pPr>
              <w:pStyle w:val="TableParagraph"/>
              <w:spacing w:before="56" w:line="224" w:lineRule="exact"/>
              <w:ind w:right="95"/>
              <w:rPr>
                <w:sz w:val="20"/>
              </w:rPr>
            </w:pPr>
            <w:r>
              <w:rPr>
                <w:w w:val="95"/>
                <w:sz w:val="20"/>
              </w:rPr>
              <w:t>1,12,56,270</w:t>
            </w:r>
          </w:p>
        </w:tc>
      </w:tr>
      <w:tr w:rsidR="007C5447">
        <w:trPr>
          <w:trHeight w:val="299"/>
        </w:trPr>
        <w:tc>
          <w:tcPr>
            <w:tcW w:w="1061" w:type="dxa"/>
          </w:tcPr>
          <w:p w:rsidR="007C5447" w:rsidRDefault="00F6308C">
            <w:pPr>
              <w:pStyle w:val="TableParagraph"/>
              <w:spacing w:before="34"/>
              <w:ind w:left="212" w:right="203"/>
              <w:jc w:val="center"/>
              <w:rPr>
                <w:sz w:val="20"/>
              </w:rPr>
            </w:pPr>
            <w:r>
              <w:rPr>
                <w:sz w:val="20"/>
              </w:rPr>
              <w:t>15</w:t>
            </w:r>
          </w:p>
        </w:tc>
        <w:tc>
          <w:tcPr>
            <w:tcW w:w="3269" w:type="dxa"/>
          </w:tcPr>
          <w:p w:rsidR="007C5447" w:rsidRDefault="00F6308C">
            <w:pPr>
              <w:pStyle w:val="TableParagraph"/>
              <w:spacing w:before="55" w:line="224" w:lineRule="exact"/>
              <w:ind w:left="108"/>
              <w:jc w:val="left"/>
              <w:rPr>
                <w:sz w:val="20"/>
              </w:rPr>
            </w:pPr>
            <w:r>
              <w:rPr>
                <w:sz w:val="20"/>
              </w:rPr>
              <w:t>Heat from Coal</w:t>
            </w:r>
          </w:p>
        </w:tc>
        <w:tc>
          <w:tcPr>
            <w:tcW w:w="1456" w:type="dxa"/>
          </w:tcPr>
          <w:p w:rsidR="007C5447" w:rsidRDefault="00F6308C">
            <w:pPr>
              <w:pStyle w:val="TableParagraph"/>
              <w:spacing w:before="55" w:line="224" w:lineRule="exact"/>
              <w:ind w:left="108"/>
              <w:jc w:val="left"/>
              <w:rPr>
                <w:sz w:val="20"/>
              </w:rPr>
            </w:pPr>
            <w:r>
              <w:rPr>
                <w:sz w:val="20"/>
              </w:rPr>
              <w:t>MKCL</w:t>
            </w:r>
          </w:p>
        </w:tc>
        <w:tc>
          <w:tcPr>
            <w:tcW w:w="1677" w:type="dxa"/>
          </w:tcPr>
          <w:p w:rsidR="007C5447" w:rsidRDefault="00F6308C">
            <w:pPr>
              <w:pStyle w:val="TableParagraph"/>
              <w:spacing w:before="55" w:line="224" w:lineRule="exact"/>
              <w:ind w:right="97"/>
              <w:rPr>
                <w:sz w:val="20"/>
              </w:rPr>
            </w:pPr>
            <w:r>
              <w:rPr>
                <w:w w:val="95"/>
                <w:sz w:val="20"/>
              </w:rPr>
              <w:t>1,12,00,811</w:t>
            </w:r>
          </w:p>
        </w:tc>
        <w:tc>
          <w:tcPr>
            <w:tcW w:w="1680" w:type="dxa"/>
          </w:tcPr>
          <w:p w:rsidR="007C5447" w:rsidRDefault="00F6308C">
            <w:pPr>
              <w:pStyle w:val="TableParagraph"/>
              <w:spacing w:before="55" w:line="224" w:lineRule="exact"/>
              <w:ind w:right="99"/>
              <w:rPr>
                <w:sz w:val="20"/>
              </w:rPr>
            </w:pPr>
            <w:r>
              <w:rPr>
                <w:w w:val="95"/>
                <w:sz w:val="20"/>
              </w:rPr>
              <w:t>1,20,80,534</w:t>
            </w:r>
          </w:p>
        </w:tc>
        <w:tc>
          <w:tcPr>
            <w:tcW w:w="1677" w:type="dxa"/>
          </w:tcPr>
          <w:p w:rsidR="007C5447" w:rsidRDefault="00F6308C">
            <w:pPr>
              <w:pStyle w:val="TableParagraph"/>
              <w:spacing w:before="55" w:line="224" w:lineRule="exact"/>
              <w:ind w:right="95"/>
              <w:rPr>
                <w:sz w:val="20"/>
              </w:rPr>
            </w:pPr>
            <w:r>
              <w:rPr>
                <w:w w:val="95"/>
                <w:sz w:val="20"/>
              </w:rPr>
              <w:t>97,37,410</w:t>
            </w:r>
          </w:p>
        </w:tc>
        <w:tc>
          <w:tcPr>
            <w:tcW w:w="1678" w:type="dxa"/>
          </w:tcPr>
          <w:p w:rsidR="007C5447" w:rsidRDefault="00F6308C">
            <w:pPr>
              <w:pStyle w:val="TableParagraph"/>
              <w:spacing w:before="55" w:line="224" w:lineRule="exact"/>
              <w:ind w:right="95"/>
              <w:rPr>
                <w:sz w:val="20"/>
              </w:rPr>
            </w:pPr>
            <w:r>
              <w:rPr>
                <w:w w:val="95"/>
                <w:sz w:val="20"/>
              </w:rPr>
              <w:t>1,01,18,959</w:t>
            </w:r>
          </w:p>
        </w:tc>
        <w:tc>
          <w:tcPr>
            <w:tcW w:w="1675" w:type="dxa"/>
          </w:tcPr>
          <w:p w:rsidR="007C5447" w:rsidRDefault="00F6308C">
            <w:pPr>
              <w:pStyle w:val="TableParagraph"/>
              <w:spacing w:before="55" w:line="224" w:lineRule="exact"/>
              <w:ind w:right="95"/>
              <w:rPr>
                <w:sz w:val="20"/>
              </w:rPr>
            </w:pPr>
            <w:r>
              <w:rPr>
                <w:w w:val="95"/>
                <w:sz w:val="20"/>
              </w:rPr>
              <w:t>1,11,70,408</w:t>
            </w:r>
          </w:p>
        </w:tc>
      </w:tr>
      <w:tr w:rsidR="007C5447">
        <w:trPr>
          <w:trHeight w:val="299"/>
        </w:trPr>
        <w:tc>
          <w:tcPr>
            <w:tcW w:w="1061" w:type="dxa"/>
          </w:tcPr>
          <w:p w:rsidR="007C5447" w:rsidRDefault="00F6308C">
            <w:pPr>
              <w:pStyle w:val="TableParagraph"/>
              <w:spacing w:before="36"/>
              <w:ind w:left="212" w:right="203"/>
              <w:jc w:val="center"/>
              <w:rPr>
                <w:sz w:val="20"/>
              </w:rPr>
            </w:pPr>
            <w:r>
              <w:rPr>
                <w:sz w:val="20"/>
              </w:rPr>
              <w:t>16</w:t>
            </w:r>
          </w:p>
        </w:tc>
        <w:tc>
          <w:tcPr>
            <w:tcW w:w="3269" w:type="dxa"/>
          </w:tcPr>
          <w:p w:rsidR="007C5447" w:rsidRDefault="00F6308C">
            <w:pPr>
              <w:pStyle w:val="TableParagraph"/>
              <w:spacing w:before="55" w:line="224" w:lineRule="exact"/>
              <w:ind w:left="108"/>
              <w:jc w:val="left"/>
              <w:rPr>
                <w:sz w:val="20"/>
              </w:rPr>
            </w:pPr>
            <w:r>
              <w:rPr>
                <w:sz w:val="20"/>
              </w:rPr>
              <w:t>Heat from Oil</w:t>
            </w:r>
          </w:p>
        </w:tc>
        <w:tc>
          <w:tcPr>
            <w:tcW w:w="1456" w:type="dxa"/>
          </w:tcPr>
          <w:p w:rsidR="007C5447" w:rsidRDefault="00F6308C">
            <w:pPr>
              <w:pStyle w:val="TableParagraph"/>
              <w:spacing w:before="55" w:line="224" w:lineRule="exact"/>
              <w:ind w:left="108"/>
              <w:jc w:val="left"/>
              <w:rPr>
                <w:sz w:val="20"/>
              </w:rPr>
            </w:pPr>
            <w:r>
              <w:rPr>
                <w:sz w:val="20"/>
              </w:rPr>
              <w:t>MKCL</w:t>
            </w:r>
          </w:p>
        </w:tc>
        <w:tc>
          <w:tcPr>
            <w:tcW w:w="1677" w:type="dxa"/>
          </w:tcPr>
          <w:p w:rsidR="007C5447" w:rsidRDefault="00F6308C">
            <w:pPr>
              <w:pStyle w:val="TableParagraph"/>
              <w:spacing w:before="55" w:line="224" w:lineRule="exact"/>
              <w:ind w:right="96"/>
              <w:rPr>
                <w:sz w:val="20"/>
              </w:rPr>
            </w:pPr>
            <w:r>
              <w:rPr>
                <w:w w:val="95"/>
                <w:sz w:val="20"/>
              </w:rPr>
              <w:t>30,011</w:t>
            </w:r>
          </w:p>
        </w:tc>
        <w:tc>
          <w:tcPr>
            <w:tcW w:w="1680" w:type="dxa"/>
          </w:tcPr>
          <w:p w:rsidR="007C5447" w:rsidRDefault="00F6308C">
            <w:pPr>
              <w:pStyle w:val="TableParagraph"/>
              <w:spacing w:before="55" w:line="224" w:lineRule="exact"/>
              <w:ind w:right="96"/>
              <w:rPr>
                <w:sz w:val="20"/>
              </w:rPr>
            </w:pPr>
            <w:r>
              <w:rPr>
                <w:sz w:val="20"/>
              </w:rPr>
              <w:t>26,802</w:t>
            </w:r>
          </w:p>
        </w:tc>
        <w:tc>
          <w:tcPr>
            <w:tcW w:w="1677" w:type="dxa"/>
          </w:tcPr>
          <w:p w:rsidR="007C5447" w:rsidRDefault="00F6308C">
            <w:pPr>
              <w:pStyle w:val="TableParagraph"/>
              <w:spacing w:before="55" w:line="224" w:lineRule="exact"/>
              <w:ind w:right="95"/>
              <w:rPr>
                <w:sz w:val="20"/>
              </w:rPr>
            </w:pPr>
            <w:r>
              <w:rPr>
                <w:w w:val="95"/>
                <w:sz w:val="20"/>
              </w:rPr>
              <w:t>79,238</w:t>
            </w:r>
          </w:p>
        </w:tc>
        <w:tc>
          <w:tcPr>
            <w:tcW w:w="1678" w:type="dxa"/>
          </w:tcPr>
          <w:p w:rsidR="007C5447" w:rsidRDefault="00F6308C">
            <w:pPr>
              <w:pStyle w:val="TableParagraph"/>
              <w:spacing w:before="55" w:line="224" w:lineRule="exact"/>
              <w:ind w:right="95"/>
              <w:rPr>
                <w:sz w:val="20"/>
              </w:rPr>
            </w:pPr>
            <w:r>
              <w:rPr>
                <w:w w:val="95"/>
                <w:sz w:val="20"/>
              </w:rPr>
              <w:t>77,614</w:t>
            </w:r>
          </w:p>
        </w:tc>
        <w:tc>
          <w:tcPr>
            <w:tcW w:w="1675" w:type="dxa"/>
          </w:tcPr>
          <w:p w:rsidR="007C5447" w:rsidRDefault="00F6308C">
            <w:pPr>
              <w:pStyle w:val="TableParagraph"/>
              <w:spacing w:before="55" w:line="224" w:lineRule="exact"/>
              <w:ind w:right="94"/>
              <w:rPr>
                <w:sz w:val="20"/>
              </w:rPr>
            </w:pPr>
            <w:r>
              <w:rPr>
                <w:w w:val="95"/>
                <w:sz w:val="20"/>
              </w:rPr>
              <w:t>85,862</w:t>
            </w:r>
          </w:p>
        </w:tc>
      </w:tr>
      <w:tr w:rsidR="007C5447">
        <w:trPr>
          <w:trHeight w:val="299"/>
        </w:trPr>
        <w:tc>
          <w:tcPr>
            <w:tcW w:w="1061" w:type="dxa"/>
          </w:tcPr>
          <w:p w:rsidR="007C5447" w:rsidRDefault="00F6308C">
            <w:pPr>
              <w:pStyle w:val="TableParagraph"/>
              <w:spacing w:before="36"/>
              <w:ind w:left="212" w:right="203"/>
              <w:jc w:val="center"/>
              <w:rPr>
                <w:sz w:val="20"/>
              </w:rPr>
            </w:pPr>
            <w:r>
              <w:rPr>
                <w:sz w:val="20"/>
              </w:rPr>
              <w:t>17</w:t>
            </w:r>
          </w:p>
        </w:tc>
        <w:tc>
          <w:tcPr>
            <w:tcW w:w="3269" w:type="dxa"/>
          </w:tcPr>
          <w:p w:rsidR="007C5447" w:rsidRDefault="00F6308C">
            <w:pPr>
              <w:pStyle w:val="TableParagraph"/>
              <w:spacing w:before="55" w:line="224" w:lineRule="exact"/>
              <w:ind w:left="108"/>
              <w:jc w:val="left"/>
              <w:rPr>
                <w:sz w:val="20"/>
              </w:rPr>
            </w:pPr>
            <w:r>
              <w:rPr>
                <w:sz w:val="20"/>
              </w:rPr>
              <w:t>Oil Consumed</w:t>
            </w:r>
          </w:p>
        </w:tc>
        <w:tc>
          <w:tcPr>
            <w:tcW w:w="1456" w:type="dxa"/>
          </w:tcPr>
          <w:p w:rsidR="007C5447" w:rsidRDefault="00F6308C">
            <w:pPr>
              <w:pStyle w:val="TableParagraph"/>
              <w:spacing w:before="55" w:line="224" w:lineRule="exact"/>
              <w:ind w:left="108"/>
              <w:jc w:val="left"/>
              <w:rPr>
                <w:sz w:val="20"/>
              </w:rPr>
            </w:pPr>
            <w:r>
              <w:rPr>
                <w:sz w:val="20"/>
              </w:rPr>
              <w:t>kL</w:t>
            </w:r>
          </w:p>
        </w:tc>
        <w:tc>
          <w:tcPr>
            <w:tcW w:w="1677" w:type="dxa"/>
          </w:tcPr>
          <w:p w:rsidR="007C5447" w:rsidRDefault="00F6308C">
            <w:pPr>
              <w:pStyle w:val="TableParagraph"/>
              <w:spacing w:before="55" w:line="224" w:lineRule="exact"/>
              <w:ind w:right="96"/>
              <w:rPr>
                <w:sz w:val="20"/>
              </w:rPr>
            </w:pPr>
            <w:r>
              <w:rPr>
                <w:w w:val="95"/>
                <w:sz w:val="20"/>
              </w:rPr>
              <w:t>2,910</w:t>
            </w:r>
          </w:p>
        </w:tc>
        <w:tc>
          <w:tcPr>
            <w:tcW w:w="1680" w:type="dxa"/>
          </w:tcPr>
          <w:p w:rsidR="007C5447" w:rsidRDefault="00F6308C">
            <w:pPr>
              <w:pStyle w:val="TableParagraph"/>
              <w:spacing w:before="55" w:line="224" w:lineRule="exact"/>
              <w:ind w:right="98"/>
              <w:rPr>
                <w:sz w:val="20"/>
              </w:rPr>
            </w:pPr>
            <w:r>
              <w:rPr>
                <w:w w:val="95"/>
                <w:sz w:val="20"/>
              </w:rPr>
              <w:t>2,580</w:t>
            </w:r>
          </w:p>
        </w:tc>
        <w:tc>
          <w:tcPr>
            <w:tcW w:w="1677" w:type="dxa"/>
          </w:tcPr>
          <w:p w:rsidR="007C5447" w:rsidRDefault="00F6308C">
            <w:pPr>
              <w:pStyle w:val="TableParagraph"/>
              <w:spacing w:before="55" w:line="224" w:lineRule="exact"/>
              <w:ind w:right="95"/>
              <w:rPr>
                <w:sz w:val="20"/>
              </w:rPr>
            </w:pPr>
            <w:r>
              <w:rPr>
                <w:w w:val="95"/>
                <w:sz w:val="20"/>
              </w:rPr>
              <w:t>7,651</w:t>
            </w:r>
          </w:p>
        </w:tc>
        <w:tc>
          <w:tcPr>
            <w:tcW w:w="1678" w:type="dxa"/>
          </w:tcPr>
          <w:p w:rsidR="007C5447" w:rsidRDefault="00F6308C">
            <w:pPr>
              <w:pStyle w:val="TableParagraph"/>
              <w:spacing w:before="55" w:line="224" w:lineRule="exact"/>
              <w:ind w:right="94"/>
              <w:rPr>
                <w:sz w:val="20"/>
              </w:rPr>
            </w:pPr>
            <w:r>
              <w:rPr>
                <w:w w:val="95"/>
                <w:sz w:val="20"/>
              </w:rPr>
              <w:t>7,482</w:t>
            </w:r>
          </w:p>
        </w:tc>
        <w:tc>
          <w:tcPr>
            <w:tcW w:w="1675" w:type="dxa"/>
          </w:tcPr>
          <w:p w:rsidR="007C5447" w:rsidRDefault="00F6308C">
            <w:pPr>
              <w:pStyle w:val="TableParagraph"/>
              <w:spacing w:before="55" w:line="224" w:lineRule="exact"/>
              <w:ind w:right="94"/>
              <w:rPr>
                <w:sz w:val="20"/>
              </w:rPr>
            </w:pPr>
            <w:r>
              <w:rPr>
                <w:w w:val="95"/>
                <w:sz w:val="20"/>
              </w:rPr>
              <w:t>8,260</w:t>
            </w:r>
          </w:p>
        </w:tc>
      </w:tr>
      <w:tr w:rsidR="007C5447">
        <w:trPr>
          <w:trHeight w:val="299"/>
        </w:trPr>
        <w:tc>
          <w:tcPr>
            <w:tcW w:w="1061" w:type="dxa"/>
          </w:tcPr>
          <w:p w:rsidR="007C5447" w:rsidRDefault="00F6308C">
            <w:pPr>
              <w:pStyle w:val="TableParagraph"/>
              <w:spacing w:before="36"/>
              <w:ind w:left="212" w:right="203"/>
              <w:jc w:val="center"/>
              <w:rPr>
                <w:sz w:val="20"/>
              </w:rPr>
            </w:pPr>
            <w:r>
              <w:rPr>
                <w:sz w:val="20"/>
              </w:rPr>
              <w:t>18</w:t>
            </w:r>
          </w:p>
        </w:tc>
        <w:tc>
          <w:tcPr>
            <w:tcW w:w="3269" w:type="dxa"/>
          </w:tcPr>
          <w:p w:rsidR="007C5447" w:rsidRDefault="00F6308C">
            <w:pPr>
              <w:pStyle w:val="TableParagraph"/>
              <w:spacing w:before="55" w:line="224" w:lineRule="exact"/>
              <w:ind w:left="108"/>
              <w:jc w:val="left"/>
              <w:rPr>
                <w:sz w:val="20"/>
              </w:rPr>
            </w:pPr>
            <w:r>
              <w:rPr>
                <w:sz w:val="20"/>
              </w:rPr>
              <w:t>Coal Consumed</w:t>
            </w:r>
          </w:p>
        </w:tc>
        <w:tc>
          <w:tcPr>
            <w:tcW w:w="1456" w:type="dxa"/>
          </w:tcPr>
          <w:p w:rsidR="007C5447" w:rsidRDefault="00F6308C">
            <w:pPr>
              <w:pStyle w:val="TableParagraph"/>
              <w:spacing w:before="55" w:line="224" w:lineRule="exact"/>
              <w:ind w:left="108"/>
              <w:jc w:val="left"/>
              <w:rPr>
                <w:sz w:val="20"/>
              </w:rPr>
            </w:pPr>
            <w:r>
              <w:rPr>
                <w:sz w:val="20"/>
              </w:rPr>
              <w:t>MT</w:t>
            </w:r>
          </w:p>
        </w:tc>
        <w:tc>
          <w:tcPr>
            <w:tcW w:w="1677" w:type="dxa"/>
          </w:tcPr>
          <w:p w:rsidR="007C5447" w:rsidRDefault="00F6308C">
            <w:pPr>
              <w:pStyle w:val="TableParagraph"/>
              <w:spacing w:before="55" w:line="224" w:lineRule="exact"/>
              <w:ind w:right="96"/>
              <w:rPr>
                <w:sz w:val="20"/>
              </w:rPr>
            </w:pPr>
            <w:r>
              <w:rPr>
                <w:w w:val="95"/>
                <w:sz w:val="20"/>
              </w:rPr>
              <w:t>25,90,382</w:t>
            </w:r>
          </w:p>
        </w:tc>
        <w:tc>
          <w:tcPr>
            <w:tcW w:w="1680" w:type="dxa"/>
          </w:tcPr>
          <w:p w:rsidR="007C5447" w:rsidRDefault="00F6308C">
            <w:pPr>
              <w:pStyle w:val="TableParagraph"/>
              <w:spacing w:before="55" w:line="224" w:lineRule="exact"/>
              <w:ind w:right="98"/>
              <w:rPr>
                <w:sz w:val="20"/>
              </w:rPr>
            </w:pPr>
            <w:r>
              <w:rPr>
                <w:w w:val="95"/>
                <w:sz w:val="20"/>
              </w:rPr>
              <w:t>26,76,237</w:t>
            </w:r>
          </w:p>
        </w:tc>
        <w:tc>
          <w:tcPr>
            <w:tcW w:w="1677" w:type="dxa"/>
          </w:tcPr>
          <w:p w:rsidR="007C5447" w:rsidRDefault="00F6308C">
            <w:pPr>
              <w:pStyle w:val="TableParagraph"/>
              <w:spacing w:before="55" w:line="224" w:lineRule="exact"/>
              <w:ind w:right="95"/>
              <w:rPr>
                <w:sz w:val="20"/>
              </w:rPr>
            </w:pPr>
            <w:r>
              <w:rPr>
                <w:w w:val="95"/>
                <w:sz w:val="20"/>
              </w:rPr>
              <w:t>26,89,150</w:t>
            </w:r>
          </w:p>
        </w:tc>
        <w:tc>
          <w:tcPr>
            <w:tcW w:w="1678" w:type="dxa"/>
          </w:tcPr>
          <w:p w:rsidR="007C5447" w:rsidRDefault="00F6308C">
            <w:pPr>
              <w:pStyle w:val="TableParagraph"/>
              <w:spacing w:before="55" w:line="224" w:lineRule="exact"/>
              <w:ind w:right="95"/>
              <w:rPr>
                <w:sz w:val="20"/>
              </w:rPr>
            </w:pPr>
            <w:r>
              <w:rPr>
                <w:w w:val="95"/>
                <w:sz w:val="20"/>
              </w:rPr>
              <w:t>30,17,882</w:t>
            </w:r>
          </w:p>
        </w:tc>
        <w:tc>
          <w:tcPr>
            <w:tcW w:w="1675" w:type="dxa"/>
          </w:tcPr>
          <w:p w:rsidR="007C5447" w:rsidRDefault="00F6308C">
            <w:pPr>
              <w:pStyle w:val="TableParagraph"/>
              <w:spacing w:before="55" w:line="224" w:lineRule="exact"/>
              <w:ind w:right="95"/>
              <w:rPr>
                <w:sz w:val="20"/>
              </w:rPr>
            </w:pPr>
            <w:r>
              <w:rPr>
                <w:w w:val="95"/>
                <w:sz w:val="20"/>
              </w:rPr>
              <w:t>27,15,768</w:t>
            </w:r>
          </w:p>
        </w:tc>
      </w:tr>
      <w:tr w:rsidR="007C5447">
        <w:trPr>
          <w:trHeight w:val="302"/>
        </w:trPr>
        <w:tc>
          <w:tcPr>
            <w:tcW w:w="1061" w:type="dxa"/>
          </w:tcPr>
          <w:p w:rsidR="007C5447" w:rsidRDefault="00F6308C">
            <w:pPr>
              <w:pStyle w:val="TableParagraph"/>
              <w:spacing w:before="36"/>
              <w:ind w:left="212" w:right="203"/>
              <w:jc w:val="center"/>
              <w:rPr>
                <w:sz w:val="20"/>
              </w:rPr>
            </w:pPr>
            <w:r>
              <w:rPr>
                <w:sz w:val="20"/>
              </w:rPr>
              <w:t>19</w:t>
            </w:r>
          </w:p>
        </w:tc>
        <w:tc>
          <w:tcPr>
            <w:tcW w:w="3269" w:type="dxa"/>
          </w:tcPr>
          <w:p w:rsidR="007C5447" w:rsidRDefault="00F6308C">
            <w:pPr>
              <w:pStyle w:val="TableParagraph"/>
              <w:spacing w:before="55" w:line="227" w:lineRule="exact"/>
              <w:ind w:left="108"/>
              <w:jc w:val="left"/>
              <w:rPr>
                <w:sz w:val="20"/>
              </w:rPr>
            </w:pPr>
            <w:r>
              <w:rPr>
                <w:sz w:val="20"/>
              </w:rPr>
              <w:t>Total Cost of Coal</w:t>
            </w:r>
          </w:p>
        </w:tc>
        <w:tc>
          <w:tcPr>
            <w:tcW w:w="1456" w:type="dxa"/>
          </w:tcPr>
          <w:p w:rsidR="007C5447" w:rsidRDefault="00F6308C">
            <w:pPr>
              <w:pStyle w:val="TableParagraph"/>
              <w:spacing w:before="55" w:line="227" w:lineRule="exact"/>
              <w:ind w:left="108"/>
              <w:jc w:val="left"/>
              <w:rPr>
                <w:sz w:val="20"/>
              </w:rPr>
            </w:pPr>
            <w:r>
              <w:rPr>
                <w:sz w:val="20"/>
              </w:rPr>
              <w:t>Rs. Crore</w:t>
            </w:r>
          </w:p>
        </w:tc>
        <w:tc>
          <w:tcPr>
            <w:tcW w:w="1677" w:type="dxa"/>
          </w:tcPr>
          <w:p w:rsidR="007C5447" w:rsidRDefault="00F6308C">
            <w:pPr>
              <w:pStyle w:val="TableParagraph"/>
              <w:spacing w:before="55" w:line="227" w:lineRule="exact"/>
              <w:ind w:right="96"/>
              <w:rPr>
                <w:sz w:val="20"/>
              </w:rPr>
            </w:pPr>
            <w:r>
              <w:rPr>
                <w:w w:val="95"/>
                <w:sz w:val="20"/>
              </w:rPr>
              <w:t>1,075</w:t>
            </w:r>
          </w:p>
        </w:tc>
        <w:tc>
          <w:tcPr>
            <w:tcW w:w="1680" w:type="dxa"/>
          </w:tcPr>
          <w:p w:rsidR="007C5447" w:rsidRDefault="00F6308C">
            <w:pPr>
              <w:pStyle w:val="TableParagraph"/>
              <w:spacing w:before="55" w:line="227" w:lineRule="exact"/>
              <w:ind w:right="98"/>
              <w:rPr>
                <w:sz w:val="20"/>
              </w:rPr>
            </w:pPr>
            <w:r>
              <w:rPr>
                <w:w w:val="95"/>
                <w:sz w:val="20"/>
              </w:rPr>
              <w:t>1,311</w:t>
            </w:r>
          </w:p>
        </w:tc>
        <w:tc>
          <w:tcPr>
            <w:tcW w:w="1677" w:type="dxa"/>
          </w:tcPr>
          <w:p w:rsidR="007C5447" w:rsidRDefault="00F6308C">
            <w:pPr>
              <w:pStyle w:val="TableParagraph"/>
              <w:spacing w:before="55" w:line="227" w:lineRule="exact"/>
              <w:ind w:right="95"/>
              <w:rPr>
                <w:sz w:val="20"/>
              </w:rPr>
            </w:pPr>
            <w:r>
              <w:rPr>
                <w:w w:val="95"/>
                <w:sz w:val="20"/>
              </w:rPr>
              <w:t>1,056</w:t>
            </w:r>
          </w:p>
        </w:tc>
        <w:tc>
          <w:tcPr>
            <w:tcW w:w="1678" w:type="dxa"/>
          </w:tcPr>
          <w:p w:rsidR="007C5447" w:rsidRDefault="00F6308C">
            <w:pPr>
              <w:pStyle w:val="TableParagraph"/>
              <w:spacing w:before="55" w:line="227" w:lineRule="exact"/>
              <w:ind w:right="94"/>
              <w:rPr>
                <w:sz w:val="20"/>
              </w:rPr>
            </w:pPr>
            <w:r>
              <w:rPr>
                <w:w w:val="95"/>
                <w:sz w:val="20"/>
              </w:rPr>
              <w:t>1,184</w:t>
            </w:r>
          </w:p>
        </w:tc>
        <w:tc>
          <w:tcPr>
            <w:tcW w:w="1675" w:type="dxa"/>
          </w:tcPr>
          <w:p w:rsidR="007C5447" w:rsidRDefault="00F6308C">
            <w:pPr>
              <w:pStyle w:val="TableParagraph"/>
              <w:spacing w:before="55" w:line="227" w:lineRule="exact"/>
              <w:ind w:right="92"/>
              <w:rPr>
                <w:sz w:val="20"/>
              </w:rPr>
            </w:pPr>
            <w:r>
              <w:rPr>
                <w:sz w:val="20"/>
              </w:rPr>
              <w:t>998</w:t>
            </w:r>
          </w:p>
        </w:tc>
      </w:tr>
      <w:tr w:rsidR="007C5447">
        <w:trPr>
          <w:trHeight w:val="299"/>
        </w:trPr>
        <w:tc>
          <w:tcPr>
            <w:tcW w:w="1061" w:type="dxa"/>
          </w:tcPr>
          <w:p w:rsidR="007C5447" w:rsidRDefault="00F6308C">
            <w:pPr>
              <w:pStyle w:val="TableParagraph"/>
              <w:spacing w:before="34"/>
              <w:ind w:left="212" w:right="203"/>
              <w:jc w:val="center"/>
              <w:rPr>
                <w:sz w:val="20"/>
              </w:rPr>
            </w:pPr>
            <w:r>
              <w:rPr>
                <w:sz w:val="20"/>
              </w:rPr>
              <w:t>20</w:t>
            </w:r>
          </w:p>
        </w:tc>
        <w:tc>
          <w:tcPr>
            <w:tcW w:w="3269" w:type="dxa"/>
          </w:tcPr>
          <w:p w:rsidR="007C5447" w:rsidRDefault="00F6308C">
            <w:pPr>
              <w:pStyle w:val="TableParagraph"/>
              <w:spacing w:before="55" w:line="224" w:lineRule="exact"/>
              <w:ind w:left="108"/>
              <w:jc w:val="left"/>
              <w:rPr>
                <w:sz w:val="20"/>
              </w:rPr>
            </w:pPr>
            <w:r>
              <w:rPr>
                <w:sz w:val="20"/>
              </w:rPr>
              <w:t>Total Cost of Oil</w:t>
            </w:r>
          </w:p>
        </w:tc>
        <w:tc>
          <w:tcPr>
            <w:tcW w:w="1456" w:type="dxa"/>
          </w:tcPr>
          <w:p w:rsidR="007C5447" w:rsidRDefault="00F6308C">
            <w:pPr>
              <w:pStyle w:val="TableParagraph"/>
              <w:spacing w:before="55" w:line="224" w:lineRule="exact"/>
              <w:ind w:left="108"/>
              <w:jc w:val="left"/>
              <w:rPr>
                <w:sz w:val="20"/>
              </w:rPr>
            </w:pPr>
            <w:r>
              <w:rPr>
                <w:sz w:val="20"/>
              </w:rPr>
              <w:t>Rs. Crore</w:t>
            </w:r>
          </w:p>
        </w:tc>
        <w:tc>
          <w:tcPr>
            <w:tcW w:w="1677" w:type="dxa"/>
          </w:tcPr>
          <w:p w:rsidR="007C5447" w:rsidRDefault="00F6308C">
            <w:pPr>
              <w:pStyle w:val="TableParagraph"/>
              <w:spacing w:before="55" w:line="224" w:lineRule="exact"/>
              <w:ind w:right="94"/>
              <w:rPr>
                <w:sz w:val="20"/>
              </w:rPr>
            </w:pPr>
            <w:r>
              <w:rPr>
                <w:sz w:val="20"/>
              </w:rPr>
              <w:t>13</w:t>
            </w:r>
          </w:p>
        </w:tc>
        <w:tc>
          <w:tcPr>
            <w:tcW w:w="1680" w:type="dxa"/>
          </w:tcPr>
          <w:p w:rsidR="007C5447" w:rsidRDefault="00F6308C">
            <w:pPr>
              <w:pStyle w:val="TableParagraph"/>
              <w:spacing w:before="55" w:line="224" w:lineRule="exact"/>
              <w:ind w:right="96"/>
              <w:rPr>
                <w:sz w:val="20"/>
              </w:rPr>
            </w:pPr>
            <w:r>
              <w:rPr>
                <w:sz w:val="20"/>
              </w:rPr>
              <w:t>14</w:t>
            </w:r>
          </w:p>
        </w:tc>
        <w:tc>
          <w:tcPr>
            <w:tcW w:w="1677" w:type="dxa"/>
          </w:tcPr>
          <w:p w:rsidR="007C5447" w:rsidRDefault="00F6308C">
            <w:pPr>
              <w:pStyle w:val="TableParagraph"/>
              <w:spacing w:before="55" w:line="224" w:lineRule="exact"/>
              <w:ind w:right="93"/>
              <w:rPr>
                <w:sz w:val="20"/>
              </w:rPr>
            </w:pPr>
            <w:r>
              <w:rPr>
                <w:sz w:val="20"/>
              </w:rPr>
              <w:t>40</w:t>
            </w:r>
          </w:p>
        </w:tc>
        <w:tc>
          <w:tcPr>
            <w:tcW w:w="1678" w:type="dxa"/>
          </w:tcPr>
          <w:p w:rsidR="007C5447" w:rsidRDefault="00F6308C">
            <w:pPr>
              <w:pStyle w:val="TableParagraph"/>
              <w:spacing w:before="55" w:line="224" w:lineRule="exact"/>
              <w:ind w:right="94"/>
              <w:rPr>
                <w:sz w:val="20"/>
              </w:rPr>
            </w:pPr>
            <w:r>
              <w:rPr>
                <w:sz w:val="20"/>
              </w:rPr>
              <w:t>29</w:t>
            </w:r>
          </w:p>
        </w:tc>
        <w:tc>
          <w:tcPr>
            <w:tcW w:w="1675" w:type="dxa"/>
          </w:tcPr>
          <w:p w:rsidR="007C5447" w:rsidRDefault="00F6308C">
            <w:pPr>
              <w:pStyle w:val="TableParagraph"/>
              <w:spacing w:before="55" w:line="224" w:lineRule="exact"/>
              <w:ind w:right="92"/>
              <w:rPr>
                <w:sz w:val="20"/>
              </w:rPr>
            </w:pPr>
            <w:r>
              <w:rPr>
                <w:sz w:val="20"/>
              </w:rPr>
              <w:t>24</w:t>
            </w:r>
          </w:p>
        </w:tc>
      </w:tr>
      <w:tr w:rsidR="007C5447">
        <w:trPr>
          <w:trHeight w:val="328"/>
        </w:trPr>
        <w:tc>
          <w:tcPr>
            <w:tcW w:w="1061" w:type="dxa"/>
            <w:shd w:val="clear" w:color="auto" w:fill="FFFFCC"/>
          </w:tcPr>
          <w:p w:rsidR="007C5447" w:rsidRDefault="00F6308C">
            <w:pPr>
              <w:pStyle w:val="TableParagraph"/>
              <w:spacing w:before="50"/>
              <w:ind w:left="212" w:right="203"/>
              <w:jc w:val="center"/>
              <w:rPr>
                <w:b/>
                <w:sz w:val="20"/>
              </w:rPr>
            </w:pPr>
            <w:r>
              <w:rPr>
                <w:b/>
                <w:sz w:val="20"/>
              </w:rPr>
              <w:t>21</w:t>
            </w:r>
          </w:p>
        </w:tc>
        <w:tc>
          <w:tcPr>
            <w:tcW w:w="3269" w:type="dxa"/>
            <w:shd w:val="clear" w:color="auto" w:fill="FFFFCC"/>
          </w:tcPr>
          <w:p w:rsidR="007C5447" w:rsidRDefault="00F6308C">
            <w:pPr>
              <w:pStyle w:val="TableParagraph"/>
              <w:spacing w:before="84" w:line="224" w:lineRule="exact"/>
              <w:ind w:left="108"/>
              <w:jc w:val="left"/>
              <w:rPr>
                <w:b/>
                <w:sz w:val="20"/>
              </w:rPr>
            </w:pPr>
            <w:r>
              <w:rPr>
                <w:b/>
                <w:sz w:val="20"/>
              </w:rPr>
              <w:t>Total Fuel Cost</w:t>
            </w:r>
          </w:p>
        </w:tc>
        <w:tc>
          <w:tcPr>
            <w:tcW w:w="1456" w:type="dxa"/>
            <w:shd w:val="clear" w:color="auto" w:fill="FFFFCC"/>
          </w:tcPr>
          <w:p w:rsidR="007C5447" w:rsidRDefault="00F6308C">
            <w:pPr>
              <w:pStyle w:val="TableParagraph"/>
              <w:spacing w:before="84" w:line="224" w:lineRule="exact"/>
              <w:ind w:left="108"/>
              <w:jc w:val="left"/>
              <w:rPr>
                <w:b/>
                <w:sz w:val="20"/>
              </w:rPr>
            </w:pPr>
            <w:r>
              <w:rPr>
                <w:b/>
                <w:sz w:val="20"/>
              </w:rPr>
              <w:t>Rs. Crore</w:t>
            </w:r>
          </w:p>
        </w:tc>
        <w:tc>
          <w:tcPr>
            <w:tcW w:w="1677" w:type="dxa"/>
            <w:shd w:val="clear" w:color="auto" w:fill="FFFFCC"/>
          </w:tcPr>
          <w:p w:rsidR="007C5447" w:rsidRDefault="00F6308C">
            <w:pPr>
              <w:pStyle w:val="TableParagraph"/>
              <w:spacing w:before="84" w:line="224" w:lineRule="exact"/>
              <w:ind w:right="94"/>
              <w:rPr>
                <w:b/>
                <w:sz w:val="20"/>
              </w:rPr>
            </w:pPr>
            <w:r>
              <w:rPr>
                <w:b/>
                <w:sz w:val="20"/>
              </w:rPr>
              <w:t>1088.15</w:t>
            </w:r>
          </w:p>
        </w:tc>
        <w:tc>
          <w:tcPr>
            <w:tcW w:w="1680" w:type="dxa"/>
            <w:shd w:val="clear" w:color="auto" w:fill="FFFFCC"/>
          </w:tcPr>
          <w:p w:rsidR="007C5447" w:rsidRDefault="00F6308C">
            <w:pPr>
              <w:pStyle w:val="TableParagraph"/>
              <w:spacing w:before="84" w:line="224" w:lineRule="exact"/>
              <w:ind w:right="96"/>
              <w:rPr>
                <w:b/>
                <w:sz w:val="20"/>
              </w:rPr>
            </w:pPr>
            <w:r>
              <w:rPr>
                <w:b/>
                <w:sz w:val="20"/>
              </w:rPr>
              <w:t>1325.55</w:t>
            </w:r>
          </w:p>
        </w:tc>
        <w:tc>
          <w:tcPr>
            <w:tcW w:w="1677" w:type="dxa"/>
            <w:shd w:val="clear" w:color="auto" w:fill="FFFFCC"/>
          </w:tcPr>
          <w:p w:rsidR="007C5447" w:rsidRDefault="00F6308C">
            <w:pPr>
              <w:pStyle w:val="TableParagraph"/>
              <w:spacing w:before="84" w:line="224" w:lineRule="exact"/>
              <w:ind w:right="93"/>
              <w:rPr>
                <w:b/>
                <w:sz w:val="20"/>
              </w:rPr>
            </w:pPr>
            <w:r>
              <w:rPr>
                <w:b/>
                <w:sz w:val="20"/>
              </w:rPr>
              <w:t>1095.80</w:t>
            </w:r>
          </w:p>
        </w:tc>
        <w:tc>
          <w:tcPr>
            <w:tcW w:w="1678" w:type="dxa"/>
            <w:shd w:val="clear" w:color="auto" w:fill="FFFFCC"/>
          </w:tcPr>
          <w:p w:rsidR="007C5447" w:rsidRDefault="00F6308C">
            <w:pPr>
              <w:pStyle w:val="TableParagraph"/>
              <w:spacing w:before="84" w:line="224" w:lineRule="exact"/>
              <w:ind w:right="92"/>
              <w:rPr>
                <w:b/>
                <w:sz w:val="20"/>
              </w:rPr>
            </w:pPr>
            <w:r>
              <w:rPr>
                <w:b/>
                <w:sz w:val="20"/>
              </w:rPr>
              <w:t>1212.51</w:t>
            </w:r>
          </w:p>
        </w:tc>
        <w:tc>
          <w:tcPr>
            <w:tcW w:w="1675" w:type="dxa"/>
            <w:shd w:val="clear" w:color="auto" w:fill="FFFFCC"/>
          </w:tcPr>
          <w:p w:rsidR="007C5447" w:rsidRDefault="00F6308C">
            <w:pPr>
              <w:pStyle w:val="TableParagraph"/>
              <w:spacing w:before="84" w:line="224" w:lineRule="exact"/>
              <w:ind w:right="92"/>
              <w:rPr>
                <w:b/>
                <w:sz w:val="20"/>
              </w:rPr>
            </w:pPr>
            <w:r>
              <w:rPr>
                <w:b/>
                <w:sz w:val="20"/>
              </w:rPr>
              <w:t>1021.43</w:t>
            </w:r>
          </w:p>
        </w:tc>
      </w:tr>
      <w:tr w:rsidR="007C5447">
        <w:trPr>
          <w:trHeight w:val="331"/>
        </w:trPr>
        <w:tc>
          <w:tcPr>
            <w:tcW w:w="1061" w:type="dxa"/>
            <w:shd w:val="clear" w:color="auto" w:fill="FFFFCC"/>
          </w:tcPr>
          <w:p w:rsidR="007C5447" w:rsidRDefault="00F6308C">
            <w:pPr>
              <w:pStyle w:val="TableParagraph"/>
              <w:spacing w:before="51"/>
              <w:ind w:left="212" w:right="203"/>
              <w:jc w:val="center"/>
              <w:rPr>
                <w:b/>
                <w:sz w:val="20"/>
              </w:rPr>
            </w:pPr>
            <w:r>
              <w:rPr>
                <w:b/>
                <w:sz w:val="20"/>
              </w:rPr>
              <w:t>22</w:t>
            </w:r>
          </w:p>
        </w:tc>
        <w:tc>
          <w:tcPr>
            <w:tcW w:w="3269" w:type="dxa"/>
            <w:shd w:val="clear" w:color="auto" w:fill="FFFFCC"/>
          </w:tcPr>
          <w:p w:rsidR="007C5447" w:rsidRDefault="00F6308C">
            <w:pPr>
              <w:pStyle w:val="TableParagraph"/>
              <w:spacing w:before="87" w:line="224" w:lineRule="exact"/>
              <w:ind w:left="108"/>
              <w:jc w:val="left"/>
              <w:rPr>
                <w:b/>
                <w:sz w:val="20"/>
              </w:rPr>
            </w:pPr>
            <w:r>
              <w:rPr>
                <w:b/>
                <w:sz w:val="20"/>
              </w:rPr>
              <w:t>Energy Charge</w:t>
            </w:r>
          </w:p>
        </w:tc>
        <w:tc>
          <w:tcPr>
            <w:tcW w:w="1456" w:type="dxa"/>
            <w:shd w:val="clear" w:color="auto" w:fill="FFFFCC"/>
          </w:tcPr>
          <w:p w:rsidR="007C5447" w:rsidRDefault="00F6308C">
            <w:pPr>
              <w:pStyle w:val="TableParagraph"/>
              <w:spacing w:before="87" w:line="224" w:lineRule="exact"/>
              <w:ind w:left="108"/>
              <w:jc w:val="left"/>
              <w:rPr>
                <w:b/>
                <w:sz w:val="20"/>
              </w:rPr>
            </w:pPr>
            <w:r>
              <w:rPr>
                <w:b/>
                <w:sz w:val="20"/>
              </w:rPr>
              <w:t>Rs. /kWh</w:t>
            </w:r>
          </w:p>
        </w:tc>
        <w:tc>
          <w:tcPr>
            <w:tcW w:w="1677" w:type="dxa"/>
            <w:shd w:val="clear" w:color="auto" w:fill="FFFFCC"/>
          </w:tcPr>
          <w:p w:rsidR="007C5447" w:rsidRDefault="00F6308C">
            <w:pPr>
              <w:pStyle w:val="TableParagraph"/>
              <w:spacing w:before="87" w:line="224" w:lineRule="exact"/>
              <w:ind w:right="96"/>
              <w:rPr>
                <w:b/>
                <w:sz w:val="20"/>
              </w:rPr>
            </w:pPr>
            <w:r>
              <w:rPr>
                <w:b/>
                <w:sz w:val="20"/>
              </w:rPr>
              <w:t>2.53</w:t>
            </w:r>
          </w:p>
        </w:tc>
        <w:tc>
          <w:tcPr>
            <w:tcW w:w="1680" w:type="dxa"/>
            <w:shd w:val="clear" w:color="auto" w:fill="FFFFCC"/>
          </w:tcPr>
          <w:p w:rsidR="007C5447" w:rsidRDefault="00F6308C">
            <w:pPr>
              <w:pStyle w:val="TableParagraph"/>
              <w:spacing w:before="87" w:line="224" w:lineRule="exact"/>
              <w:ind w:right="98"/>
              <w:rPr>
                <w:b/>
                <w:sz w:val="20"/>
              </w:rPr>
            </w:pPr>
            <w:r>
              <w:rPr>
                <w:b/>
                <w:sz w:val="20"/>
              </w:rPr>
              <w:t>2.86</w:t>
            </w:r>
          </w:p>
        </w:tc>
        <w:tc>
          <w:tcPr>
            <w:tcW w:w="1677" w:type="dxa"/>
            <w:shd w:val="clear" w:color="auto" w:fill="FFFFCC"/>
          </w:tcPr>
          <w:p w:rsidR="007C5447" w:rsidRDefault="00F6308C">
            <w:pPr>
              <w:pStyle w:val="TableParagraph"/>
              <w:spacing w:before="87" w:line="224" w:lineRule="exact"/>
              <w:ind w:right="95"/>
              <w:rPr>
                <w:b/>
                <w:sz w:val="20"/>
              </w:rPr>
            </w:pPr>
            <w:r>
              <w:rPr>
                <w:b/>
                <w:sz w:val="20"/>
              </w:rPr>
              <w:t>2.92</w:t>
            </w:r>
          </w:p>
        </w:tc>
        <w:tc>
          <w:tcPr>
            <w:tcW w:w="1678" w:type="dxa"/>
            <w:shd w:val="clear" w:color="auto" w:fill="FFFFCC"/>
          </w:tcPr>
          <w:p w:rsidR="007C5447" w:rsidRDefault="00F6308C">
            <w:pPr>
              <w:pStyle w:val="TableParagraph"/>
              <w:spacing w:before="87" w:line="224" w:lineRule="exact"/>
              <w:ind w:right="94"/>
              <w:rPr>
                <w:b/>
                <w:sz w:val="20"/>
              </w:rPr>
            </w:pPr>
            <w:r>
              <w:rPr>
                <w:b/>
                <w:sz w:val="20"/>
              </w:rPr>
              <w:t>3.11</w:t>
            </w:r>
          </w:p>
        </w:tc>
        <w:tc>
          <w:tcPr>
            <w:tcW w:w="1675" w:type="dxa"/>
            <w:shd w:val="clear" w:color="auto" w:fill="FFFFCC"/>
          </w:tcPr>
          <w:p w:rsidR="007C5447" w:rsidRDefault="00F6308C">
            <w:pPr>
              <w:pStyle w:val="TableParagraph"/>
              <w:spacing w:before="87" w:line="224" w:lineRule="exact"/>
              <w:ind w:right="94"/>
              <w:rPr>
                <w:b/>
                <w:sz w:val="20"/>
              </w:rPr>
            </w:pPr>
            <w:r>
              <w:rPr>
                <w:b/>
                <w:sz w:val="20"/>
              </w:rPr>
              <w:t>2.37</w:t>
            </w:r>
          </w:p>
        </w:tc>
      </w:tr>
    </w:tbl>
    <w:p w:rsidR="007C5447" w:rsidRDefault="007C5447">
      <w:pPr>
        <w:spacing w:line="224" w:lineRule="exact"/>
        <w:rPr>
          <w:sz w:val="20"/>
        </w:rPr>
        <w:sectPr w:rsidR="007C5447">
          <w:pgSz w:w="16840" w:h="11910" w:orient="landscape"/>
          <w:pgMar w:top="1100" w:right="1220" w:bottom="960" w:left="1220" w:header="0" w:footer="777" w:gutter="0"/>
          <w:cols w:space="720"/>
        </w:sectPr>
      </w:pPr>
    </w:p>
    <w:p w:rsidR="007C5447" w:rsidRDefault="00F6308C">
      <w:pPr>
        <w:pStyle w:val="BodyText"/>
        <w:spacing w:before="3"/>
        <w:rPr>
          <w:sz w:val="2"/>
        </w:rPr>
      </w:pPr>
      <w:r>
        <w:lastRenderedPageBreak/>
        <w:pict>
          <v:shape id="_x0000_s1036" type="#_x0000_t202" style="position:absolute;margin-left:66.35pt;margin-top:73.2pt;width:709.55pt;height:395.6pt;z-index:251692032;mso-position-horizontal-relative:page;mso-position-vertic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44"/>
                    <w:gridCol w:w="5067"/>
                    <w:gridCol w:w="2261"/>
                    <w:gridCol w:w="2602"/>
                    <w:gridCol w:w="2601"/>
                  </w:tblGrid>
                  <w:tr w:rsidR="007C5447">
                    <w:trPr>
                      <w:trHeight w:val="330"/>
                    </w:trPr>
                    <w:tc>
                      <w:tcPr>
                        <w:tcW w:w="1644" w:type="dxa"/>
                        <w:shd w:val="clear" w:color="auto" w:fill="C8C8C8"/>
                      </w:tcPr>
                      <w:p w:rsidR="007C5447" w:rsidRDefault="00F6308C">
                        <w:pPr>
                          <w:pStyle w:val="TableParagraph"/>
                          <w:spacing w:before="50"/>
                          <w:ind w:left="502" w:right="496"/>
                          <w:jc w:val="center"/>
                          <w:rPr>
                            <w:b/>
                            <w:sz w:val="20"/>
                          </w:rPr>
                        </w:pPr>
                        <w:r>
                          <w:rPr>
                            <w:b/>
                            <w:sz w:val="20"/>
                          </w:rPr>
                          <w:t>Sr. No.</w:t>
                        </w:r>
                      </w:p>
                    </w:tc>
                    <w:tc>
                      <w:tcPr>
                        <w:tcW w:w="5067" w:type="dxa"/>
                        <w:shd w:val="clear" w:color="auto" w:fill="C8C8C8"/>
                      </w:tcPr>
                      <w:p w:rsidR="007C5447" w:rsidRDefault="00F6308C">
                        <w:pPr>
                          <w:pStyle w:val="TableParagraph"/>
                          <w:spacing w:before="50"/>
                          <w:ind w:left="2057" w:right="2049"/>
                          <w:jc w:val="center"/>
                          <w:rPr>
                            <w:b/>
                            <w:sz w:val="20"/>
                          </w:rPr>
                        </w:pPr>
                        <w:r>
                          <w:rPr>
                            <w:b/>
                            <w:sz w:val="20"/>
                          </w:rPr>
                          <w:t>Parameter</w:t>
                        </w:r>
                      </w:p>
                    </w:tc>
                    <w:tc>
                      <w:tcPr>
                        <w:tcW w:w="2261" w:type="dxa"/>
                        <w:shd w:val="clear" w:color="auto" w:fill="C8C8C8"/>
                      </w:tcPr>
                      <w:p w:rsidR="007C5447" w:rsidRDefault="00F6308C">
                        <w:pPr>
                          <w:pStyle w:val="TableParagraph"/>
                          <w:spacing w:before="50"/>
                          <w:ind w:left="920" w:right="912"/>
                          <w:jc w:val="center"/>
                          <w:rPr>
                            <w:b/>
                            <w:sz w:val="20"/>
                          </w:rPr>
                        </w:pPr>
                        <w:r>
                          <w:rPr>
                            <w:b/>
                            <w:sz w:val="20"/>
                          </w:rPr>
                          <w:t>Unit</w:t>
                        </w:r>
                      </w:p>
                    </w:tc>
                    <w:tc>
                      <w:tcPr>
                        <w:tcW w:w="2602" w:type="dxa"/>
                        <w:shd w:val="clear" w:color="auto" w:fill="BEBEBE"/>
                      </w:tcPr>
                      <w:p w:rsidR="007C5447" w:rsidRDefault="00F6308C">
                        <w:pPr>
                          <w:pStyle w:val="TableParagraph"/>
                          <w:spacing w:before="50"/>
                          <w:ind w:left="809"/>
                          <w:jc w:val="left"/>
                          <w:rPr>
                            <w:b/>
                            <w:sz w:val="20"/>
                          </w:rPr>
                        </w:pPr>
                        <w:r>
                          <w:rPr>
                            <w:b/>
                            <w:sz w:val="20"/>
                          </w:rPr>
                          <w:t>FY 2014-15</w:t>
                        </w:r>
                      </w:p>
                    </w:tc>
                    <w:tc>
                      <w:tcPr>
                        <w:tcW w:w="2601" w:type="dxa"/>
                        <w:shd w:val="clear" w:color="auto" w:fill="BEBEBE"/>
                      </w:tcPr>
                      <w:p w:rsidR="007C5447" w:rsidRDefault="00F6308C">
                        <w:pPr>
                          <w:pStyle w:val="TableParagraph"/>
                          <w:spacing w:before="50"/>
                          <w:ind w:left="809"/>
                          <w:jc w:val="left"/>
                          <w:rPr>
                            <w:b/>
                            <w:sz w:val="20"/>
                          </w:rPr>
                        </w:pPr>
                        <w:r>
                          <w:rPr>
                            <w:b/>
                            <w:sz w:val="20"/>
                          </w:rPr>
                          <w:t>FY 2015-16</w:t>
                        </w:r>
                      </w:p>
                    </w:tc>
                  </w:tr>
                  <w:tr w:rsidR="007C5447">
                    <w:trPr>
                      <w:trHeight w:val="299"/>
                    </w:trPr>
                    <w:tc>
                      <w:tcPr>
                        <w:tcW w:w="1644" w:type="dxa"/>
                      </w:tcPr>
                      <w:p w:rsidR="007C5447" w:rsidRDefault="00F6308C">
                        <w:pPr>
                          <w:pStyle w:val="TableParagraph"/>
                          <w:spacing w:before="34"/>
                          <w:ind w:left="6"/>
                          <w:jc w:val="center"/>
                          <w:rPr>
                            <w:sz w:val="20"/>
                          </w:rPr>
                        </w:pPr>
                        <w:r>
                          <w:rPr>
                            <w:w w:val="99"/>
                            <w:sz w:val="20"/>
                          </w:rPr>
                          <w:t>1</w:t>
                        </w:r>
                      </w:p>
                    </w:tc>
                    <w:tc>
                      <w:tcPr>
                        <w:tcW w:w="5067" w:type="dxa"/>
                      </w:tcPr>
                      <w:p w:rsidR="007C5447" w:rsidRDefault="00F6308C">
                        <w:pPr>
                          <w:pStyle w:val="TableParagraph"/>
                          <w:spacing w:before="55" w:line="224" w:lineRule="exact"/>
                          <w:ind w:left="108"/>
                          <w:jc w:val="left"/>
                          <w:rPr>
                            <w:sz w:val="20"/>
                          </w:rPr>
                        </w:pPr>
                        <w:r>
                          <w:rPr>
                            <w:sz w:val="20"/>
                          </w:rPr>
                          <w:t>Installed Capacity(MW)</w:t>
                        </w:r>
                      </w:p>
                    </w:tc>
                    <w:tc>
                      <w:tcPr>
                        <w:tcW w:w="2261" w:type="dxa"/>
                      </w:tcPr>
                      <w:p w:rsidR="007C5447" w:rsidRDefault="00F6308C">
                        <w:pPr>
                          <w:pStyle w:val="TableParagraph"/>
                          <w:spacing w:before="55" w:line="224" w:lineRule="exact"/>
                          <w:ind w:left="108"/>
                          <w:jc w:val="left"/>
                          <w:rPr>
                            <w:sz w:val="20"/>
                          </w:rPr>
                        </w:pPr>
                        <w:r>
                          <w:rPr>
                            <w:sz w:val="20"/>
                          </w:rPr>
                          <w:t>MW</w:t>
                        </w:r>
                      </w:p>
                    </w:tc>
                    <w:tc>
                      <w:tcPr>
                        <w:tcW w:w="2602" w:type="dxa"/>
                      </w:tcPr>
                      <w:p w:rsidR="007C5447" w:rsidRDefault="00F6308C">
                        <w:pPr>
                          <w:pStyle w:val="TableParagraph"/>
                          <w:spacing w:before="55" w:line="224" w:lineRule="exact"/>
                          <w:ind w:right="93"/>
                          <w:rPr>
                            <w:sz w:val="20"/>
                          </w:rPr>
                        </w:pPr>
                        <w:r>
                          <w:rPr>
                            <w:sz w:val="20"/>
                          </w:rPr>
                          <w:t>1200</w:t>
                        </w:r>
                      </w:p>
                    </w:tc>
                    <w:tc>
                      <w:tcPr>
                        <w:tcW w:w="2601" w:type="dxa"/>
                      </w:tcPr>
                      <w:p w:rsidR="007C5447" w:rsidRDefault="00F6308C">
                        <w:pPr>
                          <w:pStyle w:val="TableParagraph"/>
                          <w:spacing w:before="55" w:line="224" w:lineRule="exact"/>
                          <w:ind w:right="92"/>
                          <w:rPr>
                            <w:sz w:val="20"/>
                          </w:rPr>
                        </w:pPr>
                        <w:r>
                          <w:rPr>
                            <w:sz w:val="20"/>
                          </w:rPr>
                          <w:t>1200</w:t>
                        </w:r>
                      </w:p>
                    </w:tc>
                  </w:tr>
                  <w:tr w:rsidR="007C5447">
                    <w:trPr>
                      <w:trHeight w:val="299"/>
                    </w:trPr>
                    <w:tc>
                      <w:tcPr>
                        <w:tcW w:w="1644" w:type="dxa"/>
                      </w:tcPr>
                      <w:p w:rsidR="007C5447" w:rsidRDefault="00F6308C">
                        <w:pPr>
                          <w:pStyle w:val="TableParagraph"/>
                          <w:spacing w:before="34"/>
                          <w:ind w:left="6"/>
                          <w:jc w:val="center"/>
                          <w:rPr>
                            <w:sz w:val="20"/>
                          </w:rPr>
                        </w:pPr>
                        <w:r>
                          <w:rPr>
                            <w:w w:val="99"/>
                            <w:sz w:val="20"/>
                          </w:rPr>
                          <w:t>2</w:t>
                        </w:r>
                      </w:p>
                    </w:tc>
                    <w:tc>
                      <w:tcPr>
                        <w:tcW w:w="5067" w:type="dxa"/>
                      </w:tcPr>
                      <w:p w:rsidR="007C5447" w:rsidRDefault="00F6308C">
                        <w:pPr>
                          <w:pStyle w:val="TableParagraph"/>
                          <w:spacing w:before="55" w:line="224" w:lineRule="exact"/>
                          <w:ind w:left="108"/>
                          <w:jc w:val="left"/>
                          <w:rPr>
                            <w:sz w:val="20"/>
                          </w:rPr>
                        </w:pPr>
                        <w:r>
                          <w:rPr>
                            <w:sz w:val="20"/>
                          </w:rPr>
                          <w:t>Allocated Capacity</w:t>
                        </w:r>
                      </w:p>
                    </w:tc>
                    <w:tc>
                      <w:tcPr>
                        <w:tcW w:w="2261" w:type="dxa"/>
                      </w:tcPr>
                      <w:p w:rsidR="007C5447" w:rsidRDefault="00F6308C">
                        <w:pPr>
                          <w:pStyle w:val="TableParagraph"/>
                          <w:spacing w:before="55" w:line="224" w:lineRule="exact"/>
                          <w:ind w:left="108"/>
                          <w:jc w:val="left"/>
                          <w:rPr>
                            <w:sz w:val="20"/>
                          </w:rPr>
                        </w:pPr>
                        <w:r>
                          <w:rPr>
                            <w:sz w:val="20"/>
                          </w:rPr>
                          <w:t>MW</w:t>
                        </w:r>
                      </w:p>
                    </w:tc>
                    <w:tc>
                      <w:tcPr>
                        <w:tcW w:w="2602" w:type="dxa"/>
                      </w:tcPr>
                      <w:p w:rsidR="007C5447" w:rsidRDefault="00F6308C">
                        <w:pPr>
                          <w:pStyle w:val="TableParagraph"/>
                          <w:spacing w:before="55" w:line="224" w:lineRule="exact"/>
                          <w:ind w:right="93"/>
                          <w:rPr>
                            <w:sz w:val="20"/>
                          </w:rPr>
                        </w:pPr>
                        <w:r>
                          <w:rPr>
                            <w:sz w:val="20"/>
                          </w:rPr>
                          <w:t>1200</w:t>
                        </w:r>
                      </w:p>
                    </w:tc>
                    <w:tc>
                      <w:tcPr>
                        <w:tcW w:w="2601" w:type="dxa"/>
                      </w:tcPr>
                      <w:p w:rsidR="007C5447" w:rsidRDefault="00F6308C">
                        <w:pPr>
                          <w:pStyle w:val="TableParagraph"/>
                          <w:spacing w:before="55" w:line="224" w:lineRule="exact"/>
                          <w:ind w:right="92"/>
                          <w:rPr>
                            <w:sz w:val="20"/>
                          </w:rPr>
                        </w:pPr>
                        <w:r>
                          <w:rPr>
                            <w:sz w:val="20"/>
                          </w:rPr>
                          <w:t>1200</w:t>
                        </w:r>
                      </w:p>
                    </w:tc>
                  </w:tr>
                  <w:tr w:rsidR="007C5447">
                    <w:trPr>
                      <w:trHeight w:val="299"/>
                    </w:trPr>
                    <w:tc>
                      <w:tcPr>
                        <w:tcW w:w="1644" w:type="dxa"/>
                      </w:tcPr>
                      <w:p w:rsidR="007C5447" w:rsidRDefault="00F6308C">
                        <w:pPr>
                          <w:pStyle w:val="TableParagraph"/>
                          <w:spacing w:before="36"/>
                          <w:ind w:left="6"/>
                          <w:jc w:val="center"/>
                          <w:rPr>
                            <w:sz w:val="20"/>
                          </w:rPr>
                        </w:pPr>
                        <w:r>
                          <w:rPr>
                            <w:w w:val="99"/>
                            <w:sz w:val="20"/>
                          </w:rPr>
                          <w:t>3</w:t>
                        </w:r>
                      </w:p>
                    </w:tc>
                    <w:tc>
                      <w:tcPr>
                        <w:tcW w:w="5067" w:type="dxa"/>
                      </w:tcPr>
                      <w:p w:rsidR="007C5447" w:rsidRDefault="00F6308C">
                        <w:pPr>
                          <w:pStyle w:val="TableParagraph"/>
                          <w:spacing w:before="55" w:line="224" w:lineRule="exact"/>
                          <w:ind w:left="108"/>
                          <w:jc w:val="left"/>
                          <w:rPr>
                            <w:sz w:val="20"/>
                          </w:rPr>
                        </w:pPr>
                        <w:r>
                          <w:rPr>
                            <w:sz w:val="20"/>
                          </w:rPr>
                          <w:t>Days</w:t>
                        </w:r>
                      </w:p>
                    </w:tc>
                    <w:tc>
                      <w:tcPr>
                        <w:tcW w:w="2261" w:type="dxa"/>
                      </w:tcPr>
                      <w:p w:rsidR="007C5447" w:rsidRDefault="00F6308C">
                        <w:pPr>
                          <w:pStyle w:val="TableParagraph"/>
                          <w:spacing w:before="55" w:line="224" w:lineRule="exact"/>
                          <w:ind w:left="108"/>
                          <w:jc w:val="left"/>
                          <w:rPr>
                            <w:sz w:val="20"/>
                          </w:rPr>
                        </w:pPr>
                        <w:r>
                          <w:rPr>
                            <w:sz w:val="20"/>
                          </w:rPr>
                          <w:t>Nos.</w:t>
                        </w:r>
                      </w:p>
                    </w:tc>
                    <w:tc>
                      <w:tcPr>
                        <w:tcW w:w="2602" w:type="dxa"/>
                      </w:tcPr>
                      <w:p w:rsidR="007C5447" w:rsidRDefault="00F6308C">
                        <w:pPr>
                          <w:pStyle w:val="TableParagraph"/>
                          <w:spacing w:before="55" w:line="224" w:lineRule="exact"/>
                          <w:ind w:right="94"/>
                          <w:rPr>
                            <w:sz w:val="20"/>
                          </w:rPr>
                        </w:pPr>
                        <w:r>
                          <w:rPr>
                            <w:sz w:val="20"/>
                          </w:rPr>
                          <w:t>365</w:t>
                        </w:r>
                      </w:p>
                    </w:tc>
                    <w:tc>
                      <w:tcPr>
                        <w:tcW w:w="2601" w:type="dxa"/>
                      </w:tcPr>
                      <w:p w:rsidR="007C5447" w:rsidRDefault="00F6308C">
                        <w:pPr>
                          <w:pStyle w:val="TableParagraph"/>
                          <w:spacing w:before="55" w:line="224" w:lineRule="exact"/>
                          <w:ind w:right="92"/>
                          <w:rPr>
                            <w:sz w:val="20"/>
                          </w:rPr>
                        </w:pPr>
                        <w:r>
                          <w:rPr>
                            <w:sz w:val="20"/>
                          </w:rPr>
                          <w:t>366</w:t>
                        </w:r>
                      </w:p>
                    </w:tc>
                  </w:tr>
                  <w:tr w:rsidR="007C5447">
                    <w:trPr>
                      <w:trHeight w:val="299"/>
                    </w:trPr>
                    <w:tc>
                      <w:tcPr>
                        <w:tcW w:w="1644" w:type="dxa"/>
                      </w:tcPr>
                      <w:p w:rsidR="007C5447" w:rsidRDefault="00F6308C">
                        <w:pPr>
                          <w:pStyle w:val="TableParagraph"/>
                          <w:spacing w:before="36"/>
                          <w:ind w:left="6"/>
                          <w:jc w:val="center"/>
                          <w:rPr>
                            <w:sz w:val="20"/>
                          </w:rPr>
                        </w:pPr>
                        <w:r>
                          <w:rPr>
                            <w:w w:val="99"/>
                            <w:sz w:val="20"/>
                          </w:rPr>
                          <w:t>4</w:t>
                        </w:r>
                      </w:p>
                    </w:tc>
                    <w:tc>
                      <w:tcPr>
                        <w:tcW w:w="5067" w:type="dxa"/>
                      </w:tcPr>
                      <w:p w:rsidR="007C5447" w:rsidRDefault="00F6308C">
                        <w:pPr>
                          <w:pStyle w:val="TableParagraph"/>
                          <w:spacing w:before="55" w:line="224" w:lineRule="exact"/>
                          <w:ind w:left="108"/>
                          <w:jc w:val="left"/>
                          <w:rPr>
                            <w:sz w:val="20"/>
                          </w:rPr>
                        </w:pPr>
                        <w:r>
                          <w:rPr>
                            <w:sz w:val="20"/>
                          </w:rPr>
                          <w:t>PLF</w:t>
                        </w:r>
                      </w:p>
                    </w:tc>
                    <w:tc>
                      <w:tcPr>
                        <w:tcW w:w="2261" w:type="dxa"/>
                      </w:tcPr>
                      <w:p w:rsidR="007C5447" w:rsidRDefault="00F6308C">
                        <w:pPr>
                          <w:pStyle w:val="TableParagraph"/>
                          <w:spacing w:before="55" w:line="224" w:lineRule="exact"/>
                          <w:ind w:left="108"/>
                          <w:jc w:val="left"/>
                          <w:rPr>
                            <w:sz w:val="20"/>
                          </w:rPr>
                        </w:pPr>
                        <w:r>
                          <w:rPr>
                            <w:w w:val="99"/>
                            <w:sz w:val="20"/>
                          </w:rPr>
                          <w:t>%</w:t>
                        </w:r>
                      </w:p>
                    </w:tc>
                    <w:tc>
                      <w:tcPr>
                        <w:tcW w:w="2602" w:type="dxa"/>
                      </w:tcPr>
                      <w:p w:rsidR="007C5447" w:rsidRDefault="00F6308C">
                        <w:pPr>
                          <w:pStyle w:val="TableParagraph"/>
                          <w:spacing w:before="55" w:line="224" w:lineRule="exact"/>
                          <w:ind w:right="94"/>
                          <w:rPr>
                            <w:sz w:val="20"/>
                          </w:rPr>
                        </w:pPr>
                        <w:r>
                          <w:rPr>
                            <w:sz w:val="20"/>
                          </w:rPr>
                          <w:t>53.14%</w:t>
                        </w:r>
                      </w:p>
                    </w:tc>
                    <w:tc>
                      <w:tcPr>
                        <w:tcW w:w="2601" w:type="dxa"/>
                      </w:tcPr>
                      <w:p w:rsidR="007C5447" w:rsidRDefault="00F6308C">
                        <w:pPr>
                          <w:pStyle w:val="TableParagraph"/>
                          <w:spacing w:before="55" w:line="224" w:lineRule="exact"/>
                          <w:ind w:right="93"/>
                          <w:rPr>
                            <w:sz w:val="20"/>
                          </w:rPr>
                        </w:pPr>
                        <w:r>
                          <w:rPr>
                            <w:sz w:val="20"/>
                          </w:rPr>
                          <w:t>85.00%</w:t>
                        </w:r>
                      </w:p>
                    </w:tc>
                  </w:tr>
                  <w:tr w:rsidR="007C5447">
                    <w:trPr>
                      <w:trHeight w:val="299"/>
                    </w:trPr>
                    <w:tc>
                      <w:tcPr>
                        <w:tcW w:w="1644" w:type="dxa"/>
                      </w:tcPr>
                      <w:p w:rsidR="007C5447" w:rsidRDefault="00F6308C">
                        <w:pPr>
                          <w:pStyle w:val="TableParagraph"/>
                          <w:spacing w:before="36"/>
                          <w:ind w:left="6"/>
                          <w:jc w:val="center"/>
                          <w:rPr>
                            <w:sz w:val="20"/>
                          </w:rPr>
                        </w:pPr>
                        <w:r>
                          <w:rPr>
                            <w:w w:val="99"/>
                            <w:sz w:val="20"/>
                          </w:rPr>
                          <w:t>5</w:t>
                        </w:r>
                      </w:p>
                    </w:tc>
                    <w:tc>
                      <w:tcPr>
                        <w:tcW w:w="5067" w:type="dxa"/>
                      </w:tcPr>
                      <w:p w:rsidR="007C5447" w:rsidRDefault="00F6308C">
                        <w:pPr>
                          <w:pStyle w:val="TableParagraph"/>
                          <w:spacing w:before="55" w:line="224" w:lineRule="exact"/>
                          <w:ind w:left="108"/>
                          <w:jc w:val="left"/>
                          <w:rPr>
                            <w:sz w:val="20"/>
                          </w:rPr>
                        </w:pPr>
                        <w:r>
                          <w:rPr>
                            <w:sz w:val="20"/>
                          </w:rPr>
                          <w:t>Gross Generation</w:t>
                        </w:r>
                      </w:p>
                    </w:tc>
                    <w:tc>
                      <w:tcPr>
                        <w:tcW w:w="2261" w:type="dxa"/>
                      </w:tcPr>
                      <w:p w:rsidR="007C5447" w:rsidRDefault="00F6308C">
                        <w:pPr>
                          <w:pStyle w:val="TableParagraph"/>
                          <w:spacing w:before="55" w:line="224" w:lineRule="exact"/>
                          <w:ind w:left="108"/>
                          <w:jc w:val="left"/>
                          <w:rPr>
                            <w:sz w:val="20"/>
                          </w:rPr>
                        </w:pPr>
                        <w:r>
                          <w:rPr>
                            <w:sz w:val="20"/>
                          </w:rPr>
                          <w:t>MU</w:t>
                        </w:r>
                      </w:p>
                    </w:tc>
                    <w:tc>
                      <w:tcPr>
                        <w:tcW w:w="2602" w:type="dxa"/>
                      </w:tcPr>
                      <w:p w:rsidR="007C5447" w:rsidRDefault="00F6308C">
                        <w:pPr>
                          <w:pStyle w:val="TableParagraph"/>
                          <w:spacing w:before="55" w:line="224" w:lineRule="exact"/>
                          <w:ind w:right="96"/>
                          <w:rPr>
                            <w:sz w:val="20"/>
                          </w:rPr>
                        </w:pPr>
                        <w:r>
                          <w:rPr>
                            <w:w w:val="95"/>
                            <w:sz w:val="20"/>
                          </w:rPr>
                          <w:t>5,586.00</w:t>
                        </w:r>
                      </w:p>
                    </w:tc>
                    <w:tc>
                      <w:tcPr>
                        <w:tcW w:w="2601" w:type="dxa"/>
                      </w:tcPr>
                      <w:p w:rsidR="007C5447" w:rsidRDefault="00F6308C">
                        <w:pPr>
                          <w:pStyle w:val="TableParagraph"/>
                          <w:spacing w:before="55" w:line="224" w:lineRule="exact"/>
                          <w:ind w:right="94"/>
                          <w:rPr>
                            <w:sz w:val="20"/>
                          </w:rPr>
                        </w:pPr>
                        <w:r>
                          <w:rPr>
                            <w:w w:val="95"/>
                            <w:sz w:val="20"/>
                          </w:rPr>
                          <w:t>8,959.68</w:t>
                        </w:r>
                      </w:p>
                    </w:tc>
                  </w:tr>
                  <w:tr w:rsidR="007C5447">
                    <w:trPr>
                      <w:trHeight w:val="302"/>
                    </w:trPr>
                    <w:tc>
                      <w:tcPr>
                        <w:tcW w:w="1644" w:type="dxa"/>
                      </w:tcPr>
                      <w:p w:rsidR="007C5447" w:rsidRDefault="00F6308C">
                        <w:pPr>
                          <w:pStyle w:val="TableParagraph"/>
                          <w:spacing w:before="36"/>
                          <w:ind w:left="6"/>
                          <w:jc w:val="center"/>
                          <w:rPr>
                            <w:sz w:val="20"/>
                          </w:rPr>
                        </w:pPr>
                        <w:r>
                          <w:rPr>
                            <w:w w:val="99"/>
                            <w:sz w:val="20"/>
                          </w:rPr>
                          <w:t>6</w:t>
                        </w:r>
                      </w:p>
                    </w:tc>
                    <w:tc>
                      <w:tcPr>
                        <w:tcW w:w="5067" w:type="dxa"/>
                      </w:tcPr>
                      <w:p w:rsidR="007C5447" w:rsidRDefault="00F6308C">
                        <w:pPr>
                          <w:pStyle w:val="TableParagraph"/>
                          <w:spacing w:before="55" w:line="227" w:lineRule="exact"/>
                          <w:ind w:left="108"/>
                          <w:jc w:val="left"/>
                          <w:rPr>
                            <w:sz w:val="20"/>
                          </w:rPr>
                        </w:pPr>
                        <w:r>
                          <w:rPr>
                            <w:sz w:val="20"/>
                          </w:rPr>
                          <w:t>Auxiliary consumption</w:t>
                        </w:r>
                      </w:p>
                    </w:tc>
                    <w:tc>
                      <w:tcPr>
                        <w:tcW w:w="2261" w:type="dxa"/>
                      </w:tcPr>
                      <w:p w:rsidR="007C5447" w:rsidRDefault="00F6308C">
                        <w:pPr>
                          <w:pStyle w:val="TableParagraph"/>
                          <w:spacing w:before="55" w:line="227" w:lineRule="exact"/>
                          <w:ind w:left="108"/>
                          <w:jc w:val="left"/>
                          <w:rPr>
                            <w:sz w:val="20"/>
                          </w:rPr>
                        </w:pPr>
                        <w:r>
                          <w:rPr>
                            <w:w w:val="99"/>
                            <w:sz w:val="20"/>
                          </w:rPr>
                          <w:t>%</w:t>
                        </w:r>
                      </w:p>
                    </w:tc>
                    <w:tc>
                      <w:tcPr>
                        <w:tcW w:w="2602" w:type="dxa"/>
                      </w:tcPr>
                      <w:p w:rsidR="007C5447" w:rsidRDefault="00F6308C">
                        <w:pPr>
                          <w:pStyle w:val="TableParagraph"/>
                          <w:spacing w:before="55" w:line="227" w:lineRule="exact"/>
                          <w:ind w:right="94"/>
                          <w:rPr>
                            <w:sz w:val="20"/>
                          </w:rPr>
                        </w:pPr>
                        <w:r>
                          <w:rPr>
                            <w:sz w:val="20"/>
                          </w:rPr>
                          <w:t>8.50%</w:t>
                        </w:r>
                      </w:p>
                    </w:tc>
                    <w:tc>
                      <w:tcPr>
                        <w:tcW w:w="2601" w:type="dxa"/>
                      </w:tcPr>
                      <w:p w:rsidR="007C5447" w:rsidRDefault="00F6308C">
                        <w:pPr>
                          <w:pStyle w:val="TableParagraph"/>
                          <w:spacing w:before="55" w:line="227" w:lineRule="exact"/>
                          <w:ind w:right="92"/>
                          <w:rPr>
                            <w:sz w:val="20"/>
                          </w:rPr>
                        </w:pPr>
                        <w:r>
                          <w:rPr>
                            <w:sz w:val="20"/>
                          </w:rPr>
                          <w:t>8.50%</w:t>
                        </w:r>
                      </w:p>
                    </w:tc>
                  </w:tr>
                  <w:tr w:rsidR="007C5447">
                    <w:trPr>
                      <w:trHeight w:val="300"/>
                    </w:trPr>
                    <w:tc>
                      <w:tcPr>
                        <w:tcW w:w="1644" w:type="dxa"/>
                      </w:tcPr>
                      <w:p w:rsidR="007C5447" w:rsidRDefault="00F6308C">
                        <w:pPr>
                          <w:pStyle w:val="TableParagraph"/>
                          <w:spacing w:before="34"/>
                          <w:ind w:left="6"/>
                          <w:jc w:val="center"/>
                          <w:rPr>
                            <w:sz w:val="20"/>
                          </w:rPr>
                        </w:pPr>
                        <w:r>
                          <w:rPr>
                            <w:w w:val="99"/>
                            <w:sz w:val="20"/>
                          </w:rPr>
                          <w:t>7</w:t>
                        </w:r>
                      </w:p>
                    </w:tc>
                    <w:tc>
                      <w:tcPr>
                        <w:tcW w:w="5067" w:type="dxa"/>
                      </w:tcPr>
                      <w:p w:rsidR="007C5447" w:rsidRDefault="00F6308C">
                        <w:pPr>
                          <w:pStyle w:val="TableParagraph"/>
                          <w:spacing w:before="56" w:line="224" w:lineRule="exact"/>
                          <w:ind w:left="108"/>
                          <w:jc w:val="left"/>
                          <w:rPr>
                            <w:sz w:val="20"/>
                          </w:rPr>
                        </w:pPr>
                        <w:r>
                          <w:rPr>
                            <w:sz w:val="20"/>
                          </w:rPr>
                          <w:t>Net Generation MU</w:t>
                        </w:r>
                      </w:p>
                    </w:tc>
                    <w:tc>
                      <w:tcPr>
                        <w:tcW w:w="2261" w:type="dxa"/>
                      </w:tcPr>
                      <w:p w:rsidR="007C5447" w:rsidRDefault="00F6308C">
                        <w:pPr>
                          <w:pStyle w:val="TableParagraph"/>
                          <w:spacing w:before="56" w:line="224" w:lineRule="exact"/>
                          <w:ind w:left="108"/>
                          <w:jc w:val="left"/>
                          <w:rPr>
                            <w:sz w:val="20"/>
                          </w:rPr>
                        </w:pPr>
                        <w:r>
                          <w:rPr>
                            <w:sz w:val="20"/>
                          </w:rPr>
                          <w:t>MU</w:t>
                        </w:r>
                      </w:p>
                    </w:tc>
                    <w:tc>
                      <w:tcPr>
                        <w:tcW w:w="2602" w:type="dxa"/>
                      </w:tcPr>
                      <w:p w:rsidR="007C5447" w:rsidRDefault="00F6308C">
                        <w:pPr>
                          <w:pStyle w:val="TableParagraph"/>
                          <w:spacing w:before="56" w:line="224" w:lineRule="exact"/>
                          <w:ind w:right="95"/>
                          <w:rPr>
                            <w:sz w:val="20"/>
                          </w:rPr>
                        </w:pPr>
                        <w:r>
                          <w:rPr>
                            <w:sz w:val="20"/>
                          </w:rPr>
                          <w:t>5111.19</w:t>
                        </w:r>
                      </w:p>
                    </w:tc>
                    <w:tc>
                      <w:tcPr>
                        <w:tcW w:w="2601" w:type="dxa"/>
                      </w:tcPr>
                      <w:p w:rsidR="007C5447" w:rsidRDefault="00F6308C">
                        <w:pPr>
                          <w:pStyle w:val="TableParagraph"/>
                          <w:spacing w:before="56" w:line="224" w:lineRule="exact"/>
                          <w:ind w:right="94"/>
                          <w:rPr>
                            <w:sz w:val="20"/>
                          </w:rPr>
                        </w:pPr>
                        <w:r>
                          <w:rPr>
                            <w:sz w:val="20"/>
                          </w:rPr>
                          <w:t>8198.11</w:t>
                        </w:r>
                      </w:p>
                    </w:tc>
                  </w:tr>
                  <w:tr w:rsidR="007C5447">
                    <w:trPr>
                      <w:trHeight w:val="328"/>
                    </w:trPr>
                    <w:tc>
                      <w:tcPr>
                        <w:tcW w:w="1644" w:type="dxa"/>
                        <w:shd w:val="clear" w:color="auto" w:fill="ECECEC"/>
                      </w:tcPr>
                      <w:p w:rsidR="007C5447" w:rsidRDefault="007C5447">
                        <w:pPr>
                          <w:pStyle w:val="TableParagraph"/>
                          <w:jc w:val="left"/>
                          <w:rPr>
                            <w:sz w:val="20"/>
                          </w:rPr>
                        </w:pPr>
                      </w:p>
                    </w:tc>
                    <w:tc>
                      <w:tcPr>
                        <w:tcW w:w="5067" w:type="dxa"/>
                        <w:shd w:val="clear" w:color="auto" w:fill="ECECEC"/>
                      </w:tcPr>
                      <w:p w:rsidR="007C5447" w:rsidRDefault="00F6308C">
                        <w:pPr>
                          <w:pStyle w:val="TableParagraph"/>
                          <w:spacing w:before="84" w:line="224" w:lineRule="exact"/>
                          <w:ind w:left="108"/>
                          <w:jc w:val="left"/>
                          <w:rPr>
                            <w:b/>
                            <w:sz w:val="20"/>
                          </w:rPr>
                        </w:pPr>
                        <w:r>
                          <w:rPr>
                            <w:b/>
                            <w:sz w:val="20"/>
                          </w:rPr>
                          <w:t>Variable Cost - Parameters</w:t>
                        </w:r>
                      </w:p>
                    </w:tc>
                    <w:tc>
                      <w:tcPr>
                        <w:tcW w:w="2261" w:type="dxa"/>
                        <w:shd w:val="clear" w:color="auto" w:fill="ECECEC"/>
                      </w:tcPr>
                      <w:p w:rsidR="007C5447" w:rsidRDefault="007C5447">
                        <w:pPr>
                          <w:pStyle w:val="TableParagraph"/>
                          <w:jc w:val="left"/>
                          <w:rPr>
                            <w:sz w:val="20"/>
                          </w:rPr>
                        </w:pPr>
                      </w:p>
                    </w:tc>
                    <w:tc>
                      <w:tcPr>
                        <w:tcW w:w="2602" w:type="dxa"/>
                        <w:shd w:val="clear" w:color="auto" w:fill="ECECEC"/>
                      </w:tcPr>
                      <w:p w:rsidR="007C5447" w:rsidRDefault="007C5447">
                        <w:pPr>
                          <w:pStyle w:val="TableParagraph"/>
                          <w:jc w:val="left"/>
                          <w:rPr>
                            <w:sz w:val="20"/>
                          </w:rPr>
                        </w:pPr>
                      </w:p>
                    </w:tc>
                    <w:tc>
                      <w:tcPr>
                        <w:tcW w:w="2601" w:type="dxa"/>
                        <w:shd w:val="clear" w:color="auto" w:fill="ECECEC"/>
                      </w:tcPr>
                      <w:p w:rsidR="007C5447" w:rsidRDefault="007C5447">
                        <w:pPr>
                          <w:pStyle w:val="TableParagraph"/>
                          <w:jc w:val="left"/>
                          <w:rPr>
                            <w:sz w:val="20"/>
                          </w:rPr>
                        </w:pPr>
                      </w:p>
                    </w:tc>
                  </w:tr>
                  <w:tr w:rsidR="007C5447">
                    <w:trPr>
                      <w:trHeight w:val="301"/>
                    </w:trPr>
                    <w:tc>
                      <w:tcPr>
                        <w:tcW w:w="1644" w:type="dxa"/>
                      </w:tcPr>
                      <w:p w:rsidR="007C5447" w:rsidRDefault="00F6308C">
                        <w:pPr>
                          <w:pStyle w:val="TableParagraph"/>
                          <w:spacing w:before="36"/>
                          <w:ind w:left="6"/>
                          <w:jc w:val="center"/>
                          <w:rPr>
                            <w:sz w:val="20"/>
                          </w:rPr>
                        </w:pPr>
                        <w:r>
                          <w:rPr>
                            <w:w w:val="99"/>
                            <w:sz w:val="20"/>
                          </w:rPr>
                          <w:t>8</w:t>
                        </w:r>
                      </w:p>
                    </w:tc>
                    <w:tc>
                      <w:tcPr>
                        <w:tcW w:w="5067" w:type="dxa"/>
                      </w:tcPr>
                      <w:p w:rsidR="007C5447" w:rsidRDefault="00F6308C">
                        <w:pPr>
                          <w:pStyle w:val="TableParagraph"/>
                          <w:spacing w:before="55" w:line="227" w:lineRule="exact"/>
                          <w:ind w:left="108"/>
                          <w:jc w:val="left"/>
                          <w:rPr>
                            <w:sz w:val="20"/>
                          </w:rPr>
                        </w:pPr>
                        <w:r>
                          <w:rPr>
                            <w:sz w:val="20"/>
                          </w:rPr>
                          <w:t>Station Heat rate</w:t>
                        </w:r>
                      </w:p>
                    </w:tc>
                    <w:tc>
                      <w:tcPr>
                        <w:tcW w:w="2261" w:type="dxa"/>
                      </w:tcPr>
                      <w:p w:rsidR="007C5447" w:rsidRDefault="00F6308C">
                        <w:pPr>
                          <w:pStyle w:val="TableParagraph"/>
                          <w:spacing w:before="55" w:line="227" w:lineRule="exact"/>
                          <w:ind w:left="108"/>
                          <w:jc w:val="left"/>
                          <w:rPr>
                            <w:sz w:val="20"/>
                          </w:rPr>
                        </w:pPr>
                        <w:r>
                          <w:rPr>
                            <w:sz w:val="20"/>
                          </w:rPr>
                          <w:t>kCal/kWh</w:t>
                        </w:r>
                      </w:p>
                    </w:tc>
                    <w:tc>
                      <w:tcPr>
                        <w:tcW w:w="2602" w:type="dxa"/>
                      </w:tcPr>
                      <w:p w:rsidR="007C5447" w:rsidRDefault="00F6308C">
                        <w:pPr>
                          <w:pStyle w:val="TableParagraph"/>
                          <w:spacing w:before="55" w:line="227" w:lineRule="exact"/>
                          <w:ind w:right="93"/>
                          <w:rPr>
                            <w:sz w:val="20"/>
                          </w:rPr>
                        </w:pPr>
                        <w:r>
                          <w:rPr>
                            <w:sz w:val="20"/>
                          </w:rPr>
                          <w:t>2450</w:t>
                        </w:r>
                      </w:p>
                    </w:tc>
                    <w:tc>
                      <w:tcPr>
                        <w:tcW w:w="2601" w:type="dxa"/>
                      </w:tcPr>
                      <w:p w:rsidR="007C5447" w:rsidRDefault="00F6308C">
                        <w:pPr>
                          <w:pStyle w:val="TableParagraph"/>
                          <w:spacing w:before="55" w:line="227" w:lineRule="exact"/>
                          <w:ind w:right="92"/>
                          <w:rPr>
                            <w:sz w:val="20"/>
                          </w:rPr>
                        </w:pPr>
                        <w:r>
                          <w:rPr>
                            <w:sz w:val="20"/>
                          </w:rPr>
                          <w:t>2450</w:t>
                        </w:r>
                      </w:p>
                    </w:tc>
                  </w:tr>
                  <w:tr w:rsidR="007C5447">
                    <w:trPr>
                      <w:trHeight w:val="299"/>
                    </w:trPr>
                    <w:tc>
                      <w:tcPr>
                        <w:tcW w:w="1644" w:type="dxa"/>
                      </w:tcPr>
                      <w:p w:rsidR="007C5447" w:rsidRDefault="00F6308C">
                        <w:pPr>
                          <w:pStyle w:val="TableParagraph"/>
                          <w:spacing w:before="34"/>
                          <w:ind w:left="6"/>
                          <w:jc w:val="center"/>
                          <w:rPr>
                            <w:sz w:val="20"/>
                          </w:rPr>
                        </w:pPr>
                        <w:r>
                          <w:rPr>
                            <w:w w:val="99"/>
                            <w:sz w:val="20"/>
                          </w:rPr>
                          <w:t>9</w:t>
                        </w:r>
                      </w:p>
                    </w:tc>
                    <w:tc>
                      <w:tcPr>
                        <w:tcW w:w="5067" w:type="dxa"/>
                      </w:tcPr>
                      <w:p w:rsidR="007C5447" w:rsidRDefault="00F6308C">
                        <w:pPr>
                          <w:pStyle w:val="TableParagraph"/>
                          <w:spacing w:before="55" w:line="224" w:lineRule="exact"/>
                          <w:ind w:left="108"/>
                          <w:jc w:val="left"/>
                          <w:rPr>
                            <w:sz w:val="20"/>
                          </w:rPr>
                        </w:pPr>
                        <w:r>
                          <w:rPr>
                            <w:sz w:val="20"/>
                          </w:rPr>
                          <w:t>Fuel Oil Consumption</w:t>
                        </w:r>
                      </w:p>
                    </w:tc>
                    <w:tc>
                      <w:tcPr>
                        <w:tcW w:w="2261" w:type="dxa"/>
                      </w:tcPr>
                      <w:p w:rsidR="007C5447" w:rsidRDefault="00F6308C">
                        <w:pPr>
                          <w:pStyle w:val="TableParagraph"/>
                          <w:spacing w:before="55" w:line="224" w:lineRule="exact"/>
                          <w:ind w:left="108"/>
                          <w:jc w:val="left"/>
                          <w:rPr>
                            <w:sz w:val="20"/>
                          </w:rPr>
                        </w:pPr>
                        <w:r>
                          <w:rPr>
                            <w:sz w:val="20"/>
                          </w:rPr>
                          <w:t>ml/kWh</w:t>
                        </w:r>
                      </w:p>
                    </w:tc>
                    <w:tc>
                      <w:tcPr>
                        <w:tcW w:w="2602" w:type="dxa"/>
                      </w:tcPr>
                      <w:p w:rsidR="007C5447" w:rsidRDefault="00F6308C">
                        <w:pPr>
                          <w:pStyle w:val="TableParagraph"/>
                          <w:spacing w:before="55" w:line="224" w:lineRule="exact"/>
                          <w:ind w:right="95"/>
                          <w:rPr>
                            <w:sz w:val="20"/>
                          </w:rPr>
                        </w:pPr>
                        <w:r>
                          <w:rPr>
                            <w:sz w:val="20"/>
                          </w:rPr>
                          <w:t>1.84</w:t>
                        </w:r>
                      </w:p>
                    </w:tc>
                    <w:tc>
                      <w:tcPr>
                        <w:tcW w:w="2601" w:type="dxa"/>
                      </w:tcPr>
                      <w:p w:rsidR="007C5447" w:rsidRDefault="00F6308C">
                        <w:pPr>
                          <w:pStyle w:val="TableParagraph"/>
                          <w:spacing w:before="55" w:line="224" w:lineRule="exact"/>
                          <w:ind w:right="94"/>
                          <w:rPr>
                            <w:sz w:val="20"/>
                          </w:rPr>
                        </w:pPr>
                        <w:r>
                          <w:rPr>
                            <w:sz w:val="20"/>
                          </w:rPr>
                          <w:t>1.84</w:t>
                        </w:r>
                      </w:p>
                    </w:tc>
                  </w:tr>
                  <w:tr w:rsidR="007C5447">
                    <w:trPr>
                      <w:trHeight w:val="299"/>
                    </w:trPr>
                    <w:tc>
                      <w:tcPr>
                        <w:tcW w:w="1644" w:type="dxa"/>
                      </w:tcPr>
                      <w:p w:rsidR="007C5447" w:rsidRDefault="00F6308C">
                        <w:pPr>
                          <w:pStyle w:val="TableParagraph"/>
                          <w:spacing w:before="34"/>
                          <w:ind w:left="502" w:right="490"/>
                          <w:jc w:val="center"/>
                          <w:rPr>
                            <w:sz w:val="20"/>
                          </w:rPr>
                        </w:pPr>
                        <w:r>
                          <w:rPr>
                            <w:sz w:val="20"/>
                          </w:rPr>
                          <w:t>10</w:t>
                        </w:r>
                      </w:p>
                    </w:tc>
                    <w:tc>
                      <w:tcPr>
                        <w:tcW w:w="5067" w:type="dxa"/>
                      </w:tcPr>
                      <w:p w:rsidR="007C5447" w:rsidRDefault="00F6308C">
                        <w:pPr>
                          <w:pStyle w:val="TableParagraph"/>
                          <w:spacing w:before="55" w:line="224" w:lineRule="exact"/>
                          <w:ind w:left="108"/>
                          <w:jc w:val="left"/>
                          <w:rPr>
                            <w:sz w:val="20"/>
                          </w:rPr>
                        </w:pPr>
                        <w:r>
                          <w:rPr>
                            <w:sz w:val="20"/>
                          </w:rPr>
                          <w:t>GCV of Primary Fuel</w:t>
                        </w:r>
                      </w:p>
                    </w:tc>
                    <w:tc>
                      <w:tcPr>
                        <w:tcW w:w="2261" w:type="dxa"/>
                      </w:tcPr>
                      <w:p w:rsidR="007C5447" w:rsidRDefault="00F6308C">
                        <w:pPr>
                          <w:pStyle w:val="TableParagraph"/>
                          <w:spacing w:before="55" w:line="224" w:lineRule="exact"/>
                          <w:ind w:left="108"/>
                          <w:jc w:val="left"/>
                          <w:rPr>
                            <w:sz w:val="20"/>
                          </w:rPr>
                        </w:pPr>
                        <w:r>
                          <w:rPr>
                            <w:sz w:val="20"/>
                          </w:rPr>
                          <w:t>Kcal/kg</w:t>
                        </w:r>
                      </w:p>
                    </w:tc>
                    <w:tc>
                      <w:tcPr>
                        <w:tcW w:w="2602" w:type="dxa"/>
                      </w:tcPr>
                      <w:p w:rsidR="007C5447" w:rsidRDefault="00F6308C">
                        <w:pPr>
                          <w:pStyle w:val="TableParagraph"/>
                          <w:spacing w:before="55" w:line="224" w:lineRule="exact"/>
                          <w:ind w:right="97"/>
                          <w:rPr>
                            <w:sz w:val="20"/>
                          </w:rPr>
                        </w:pPr>
                        <w:r>
                          <w:rPr>
                            <w:w w:val="95"/>
                            <w:sz w:val="20"/>
                          </w:rPr>
                          <w:t>3,353</w:t>
                        </w:r>
                      </w:p>
                    </w:tc>
                    <w:tc>
                      <w:tcPr>
                        <w:tcW w:w="2601" w:type="dxa"/>
                      </w:tcPr>
                      <w:p w:rsidR="007C5447" w:rsidRDefault="00F6308C">
                        <w:pPr>
                          <w:pStyle w:val="TableParagraph"/>
                          <w:spacing w:before="55" w:line="224" w:lineRule="exact"/>
                          <w:ind w:right="96"/>
                          <w:rPr>
                            <w:sz w:val="20"/>
                          </w:rPr>
                        </w:pPr>
                        <w:r>
                          <w:rPr>
                            <w:w w:val="95"/>
                            <w:sz w:val="20"/>
                          </w:rPr>
                          <w:t>3,954</w:t>
                        </w:r>
                      </w:p>
                    </w:tc>
                  </w:tr>
                  <w:tr w:rsidR="007C5447">
                    <w:trPr>
                      <w:trHeight w:val="299"/>
                    </w:trPr>
                    <w:tc>
                      <w:tcPr>
                        <w:tcW w:w="1644" w:type="dxa"/>
                      </w:tcPr>
                      <w:p w:rsidR="007C5447" w:rsidRDefault="00F6308C">
                        <w:pPr>
                          <w:pStyle w:val="TableParagraph"/>
                          <w:spacing w:before="36"/>
                          <w:ind w:left="502" w:right="490"/>
                          <w:jc w:val="center"/>
                          <w:rPr>
                            <w:sz w:val="20"/>
                          </w:rPr>
                        </w:pPr>
                        <w:r>
                          <w:rPr>
                            <w:sz w:val="20"/>
                          </w:rPr>
                          <w:t>11</w:t>
                        </w:r>
                      </w:p>
                    </w:tc>
                    <w:tc>
                      <w:tcPr>
                        <w:tcW w:w="5067" w:type="dxa"/>
                      </w:tcPr>
                      <w:p w:rsidR="007C5447" w:rsidRDefault="00F6308C">
                        <w:pPr>
                          <w:pStyle w:val="TableParagraph"/>
                          <w:spacing w:before="55" w:line="224" w:lineRule="exact"/>
                          <w:ind w:left="108"/>
                          <w:jc w:val="left"/>
                          <w:rPr>
                            <w:sz w:val="20"/>
                          </w:rPr>
                        </w:pPr>
                        <w:r>
                          <w:rPr>
                            <w:sz w:val="20"/>
                          </w:rPr>
                          <w:t>GCV of Secondary Fuel</w:t>
                        </w:r>
                      </w:p>
                    </w:tc>
                    <w:tc>
                      <w:tcPr>
                        <w:tcW w:w="2261" w:type="dxa"/>
                      </w:tcPr>
                      <w:p w:rsidR="007C5447" w:rsidRDefault="00F6308C">
                        <w:pPr>
                          <w:pStyle w:val="TableParagraph"/>
                          <w:spacing w:before="55" w:line="224" w:lineRule="exact"/>
                          <w:ind w:left="108"/>
                          <w:jc w:val="left"/>
                          <w:rPr>
                            <w:sz w:val="20"/>
                          </w:rPr>
                        </w:pPr>
                        <w:r>
                          <w:rPr>
                            <w:sz w:val="20"/>
                          </w:rPr>
                          <w:t>kcal/l</w:t>
                        </w:r>
                      </w:p>
                    </w:tc>
                    <w:tc>
                      <w:tcPr>
                        <w:tcW w:w="2602" w:type="dxa"/>
                      </w:tcPr>
                      <w:p w:rsidR="007C5447" w:rsidRDefault="00F6308C">
                        <w:pPr>
                          <w:pStyle w:val="TableParagraph"/>
                          <w:spacing w:before="55" w:line="224" w:lineRule="exact"/>
                          <w:ind w:right="98"/>
                          <w:rPr>
                            <w:sz w:val="20"/>
                          </w:rPr>
                        </w:pPr>
                        <w:r>
                          <w:rPr>
                            <w:w w:val="95"/>
                            <w:sz w:val="20"/>
                          </w:rPr>
                          <w:t>10,368</w:t>
                        </w:r>
                      </w:p>
                    </w:tc>
                    <w:tc>
                      <w:tcPr>
                        <w:tcW w:w="2601" w:type="dxa"/>
                      </w:tcPr>
                      <w:p w:rsidR="007C5447" w:rsidRDefault="00F6308C">
                        <w:pPr>
                          <w:pStyle w:val="TableParagraph"/>
                          <w:spacing w:before="55" w:line="224" w:lineRule="exact"/>
                          <w:ind w:right="96"/>
                          <w:rPr>
                            <w:sz w:val="20"/>
                          </w:rPr>
                        </w:pPr>
                        <w:r>
                          <w:rPr>
                            <w:w w:val="95"/>
                            <w:sz w:val="20"/>
                          </w:rPr>
                          <w:t>10,250</w:t>
                        </w:r>
                      </w:p>
                    </w:tc>
                  </w:tr>
                  <w:tr w:rsidR="007C5447">
                    <w:trPr>
                      <w:trHeight w:val="299"/>
                    </w:trPr>
                    <w:tc>
                      <w:tcPr>
                        <w:tcW w:w="1644" w:type="dxa"/>
                      </w:tcPr>
                      <w:p w:rsidR="007C5447" w:rsidRDefault="00F6308C">
                        <w:pPr>
                          <w:pStyle w:val="TableParagraph"/>
                          <w:spacing w:before="36"/>
                          <w:ind w:left="502" w:right="490"/>
                          <w:jc w:val="center"/>
                          <w:rPr>
                            <w:sz w:val="20"/>
                          </w:rPr>
                        </w:pPr>
                        <w:r>
                          <w:rPr>
                            <w:sz w:val="20"/>
                          </w:rPr>
                          <w:t>12</w:t>
                        </w:r>
                      </w:p>
                    </w:tc>
                    <w:tc>
                      <w:tcPr>
                        <w:tcW w:w="5067" w:type="dxa"/>
                      </w:tcPr>
                      <w:p w:rsidR="007C5447" w:rsidRDefault="00F6308C">
                        <w:pPr>
                          <w:pStyle w:val="TableParagraph"/>
                          <w:spacing w:before="55" w:line="224" w:lineRule="exact"/>
                          <w:ind w:left="108"/>
                          <w:jc w:val="left"/>
                          <w:rPr>
                            <w:sz w:val="20"/>
                          </w:rPr>
                        </w:pPr>
                        <w:r>
                          <w:rPr>
                            <w:sz w:val="20"/>
                          </w:rPr>
                          <w:t>Price of Coal</w:t>
                        </w:r>
                      </w:p>
                    </w:tc>
                    <w:tc>
                      <w:tcPr>
                        <w:tcW w:w="2261" w:type="dxa"/>
                      </w:tcPr>
                      <w:p w:rsidR="007C5447" w:rsidRDefault="00F6308C">
                        <w:pPr>
                          <w:pStyle w:val="TableParagraph"/>
                          <w:spacing w:before="55" w:line="224" w:lineRule="exact"/>
                          <w:ind w:left="108"/>
                          <w:jc w:val="left"/>
                          <w:rPr>
                            <w:sz w:val="20"/>
                          </w:rPr>
                        </w:pPr>
                        <w:r>
                          <w:rPr>
                            <w:sz w:val="20"/>
                          </w:rPr>
                          <w:t>Rs/MT</w:t>
                        </w:r>
                      </w:p>
                    </w:tc>
                    <w:tc>
                      <w:tcPr>
                        <w:tcW w:w="2602" w:type="dxa"/>
                      </w:tcPr>
                      <w:p w:rsidR="007C5447" w:rsidRDefault="00F6308C">
                        <w:pPr>
                          <w:pStyle w:val="TableParagraph"/>
                          <w:spacing w:before="55" w:line="224" w:lineRule="exact"/>
                          <w:ind w:right="97"/>
                          <w:rPr>
                            <w:sz w:val="20"/>
                          </w:rPr>
                        </w:pPr>
                        <w:r>
                          <w:rPr>
                            <w:w w:val="95"/>
                            <w:sz w:val="20"/>
                          </w:rPr>
                          <w:t>3,949</w:t>
                        </w:r>
                      </w:p>
                    </w:tc>
                    <w:tc>
                      <w:tcPr>
                        <w:tcW w:w="2601" w:type="dxa"/>
                      </w:tcPr>
                      <w:p w:rsidR="007C5447" w:rsidRDefault="00F6308C">
                        <w:pPr>
                          <w:pStyle w:val="TableParagraph"/>
                          <w:spacing w:before="55" w:line="224" w:lineRule="exact"/>
                          <w:ind w:right="96"/>
                          <w:rPr>
                            <w:sz w:val="20"/>
                          </w:rPr>
                        </w:pPr>
                        <w:r>
                          <w:rPr>
                            <w:w w:val="95"/>
                            <w:sz w:val="20"/>
                          </w:rPr>
                          <w:t>5,167</w:t>
                        </w:r>
                      </w:p>
                    </w:tc>
                  </w:tr>
                  <w:tr w:rsidR="007C5447">
                    <w:trPr>
                      <w:trHeight w:val="299"/>
                    </w:trPr>
                    <w:tc>
                      <w:tcPr>
                        <w:tcW w:w="1644" w:type="dxa"/>
                      </w:tcPr>
                      <w:p w:rsidR="007C5447" w:rsidRDefault="00F6308C">
                        <w:pPr>
                          <w:pStyle w:val="TableParagraph"/>
                          <w:spacing w:before="36"/>
                          <w:ind w:left="502" w:right="490"/>
                          <w:jc w:val="center"/>
                          <w:rPr>
                            <w:sz w:val="20"/>
                          </w:rPr>
                        </w:pPr>
                        <w:r>
                          <w:rPr>
                            <w:sz w:val="20"/>
                          </w:rPr>
                          <w:t>13</w:t>
                        </w:r>
                      </w:p>
                    </w:tc>
                    <w:tc>
                      <w:tcPr>
                        <w:tcW w:w="5067" w:type="dxa"/>
                      </w:tcPr>
                      <w:p w:rsidR="007C5447" w:rsidRDefault="00F6308C">
                        <w:pPr>
                          <w:pStyle w:val="TableParagraph"/>
                          <w:spacing w:before="55" w:line="224" w:lineRule="exact"/>
                          <w:ind w:left="108"/>
                          <w:jc w:val="left"/>
                          <w:rPr>
                            <w:sz w:val="20"/>
                          </w:rPr>
                        </w:pPr>
                        <w:r>
                          <w:rPr>
                            <w:sz w:val="20"/>
                          </w:rPr>
                          <w:t>Price of Oil</w:t>
                        </w:r>
                      </w:p>
                    </w:tc>
                    <w:tc>
                      <w:tcPr>
                        <w:tcW w:w="2261" w:type="dxa"/>
                      </w:tcPr>
                      <w:p w:rsidR="007C5447" w:rsidRDefault="00F6308C">
                        <w:pPr>
                          <w:pStyle w:val="TableParagraph"/>
                          <w:spacing w:before="55" w:line="224" w:lineRule="exact"/>
                          <w:ind w:left="108"/>
                          <w:jc w:val="left"/>
                          <w:rPr>
                            <w:sz w:val="20"/>
                          </w:rPr>
                        </w:pPr>
                        <w:r>
                          <w:rPr>
                            <w:sz w:val="20"/>
                          </w:rPr>
                          <w:t>Rs/kL</w:t>
                        </w:r>
                      </w:p>
                    </w:tc>
                    <w:tc>
                      <w:tcPr>
                        <w:tcW w:w="2602" w:type="dxa"/>
                      </w:tcPr>
                      <w:p w:rsidR="007C5447" w:rsidRDefault="00F6308C">
                        <w:pPr>
                          <w:pStyle w:val="TableParagraph"/>
                          <w:spacing w:before="55" w:line="224" w:lineRule="exact"/>
                          <w:ind w:right="98"/>
                          <w:rPr>
                            <w:sz w:val="20"/>
                          </w:rPr>
                        </w:pPr>
                        <w:r>
                          <w:rPr>
                            <w:w w:val="95"/>
                            <w:sz w:val="20"/>
                          </w:rPr>
                          <w:t>38,162</w:t>
                        </w:r>
                      </w:p>
                    </w:tc>
                    <w:tc>
                      <w:tcPr>
                        <w:tcW w:w="2601" w:type="dxa"/>
                      </w:tcPr>
                      <w:p w:rsidR="007C5447" w:rsidRDefault="00F6308C">
                        <w:pPr>
                          <w:pStyle w:val="TableParagraph"/>
                          <w:spacing w:before="55" w:line="224" w:lineRule="exact"/>
                          <w:ind w:right="96"/>
                          <w:rPr>
                            <w:sz w:val="20"/>
                          </w:rPr>
                        </w:pPr>
                        <w:r>
                          <w:rPr>
                            <w:w w:val="95"/>
                            <w:sz w:val="20"/>
                          </w:rPr>
                          <w:t>31,376</w:t>
                        </w:r>
                      </w:p>
                    </w:tc>
                  </w:tr>
                  <w:tr w:rsidR="007C5447">
                    <w:trPr>
                      <w:trHeight w:val="331"/>
                    </w:trPr>
                    <w:tc>
                      <w:tcPr>
                        <w:tcW w:w="1644" w:type="dxa"/>
                        <w:shd w:val="clear" w:color="auto" w:fill="ECECEC"/>
                      </w:tcPr>
                      <w:p w:rsidR="007C5447" w:rsidRDefault="007C5447">
                        <w:pPr>
                          <w:pStyle w:val="TableParagraph"/>
                          <w:jc w:val="left"/>
                          <w:rPr>
                            <w:sz w:val="20"/>
                          </w:rPr>
                        </w:pPr>
                      </w:p>
                    </w:tc>
                    <w:tc>
                      <w:tcPr>
                        <w:tcW w:w="5067" w:type="dxa"/>
                        <w:shd w:val="clear" w:color="auto" w:fill="ECECEC"/>
                      </w:tcPr>
                      <w:p w:rsidR="007C5447" w:rsidRDefault="00F6308C">
                        <w:pPr>
                          <w:pStyle w:val="TableParagraph"/>
                          <w:spacing w:before="87" w:line="224" w:lineRule="exact"/>
                          <w:ind w:left="108"/>
                          <w:jc w:val="left"/>
                          <w:rPr>
                            <w:b/>
                            <w:sz w:val="20"/>
                          </w:rPr>
                        </w:pPr>
                        <w:r>
                          <w:rPr>
                            <w:b/>
                            <w:sz w:val="20"/>
                          </w:rPr>
                          <w:t>Calculations</w:t>
                        </w:r>
                      </w:p>
                    </w:tc>
                    <w:tc>
                      <w:tcPr>
                        <w:tcW w:w="2261" w:type="dxa"/>
                        <w:shd w:val="clear" w:color="auto" w:fill="ECECEC"/>
                      </w:tcPr>
                      <w:p w:rsidR="007C5447" w:rsidRDefault="007C5447">
                        <w:pPr>
                          <w:pStyle w:val="TableParagraph"/>
                          <w:jc w:val="left"/>
                          <w:rPr>
                            <w:sz w:val="20"/>
                          </w:rPr>
                        </w:pPr>
                      </w:p>
                    </w:tc>
                    <w:tc>
                      <w:tcPr>
                        <w:tcW w:w="2602" w:type="dxa"/>
                        <w:shd w:val="clear" w:color="auto" w:fill="ECECEC"/>
                      </w:tcPr>
                      <w:p w:rsidR="007C5447" w:rsidRDefault="007C5447">
                        <w:pPr>
                          <w:pStyle w:val="TableParagraph"/>
                          <w:jc w:val="left"/>
                          <w:rPr>
                            <w:sz w:val="20"/>
                          </w:rPr>
                        </w:pPr>
                      </w:p>
                    </w:tc>
                    <w:tc>
                      <w:tcPr>
                        <w:tcW w:w="2601" w:type="dxa"/>
                        <w:shd w:val="clear" w:color="auto" w:fill="ECECEC"/>
                      </w:tcPr>
                      <w:p w:rsidR="007C5447" w:rsidRDefault="007C5447">
                        <w:pPr>
                          <w:pStyle w:val="TableParagraph"/>
                          <w:jc w:val="left"/>
                          <w:rPr>
                            <w:sz w:val="20"/>
                          </w:rPr>
                        </w:pPr>
                      </w:p>
                    </w:tc>
                  </w:tr>
                  <w:tr w:rsidR="007C5447">
                    <w:trPr>
                      <w:trHeight w:val="299"/>
                    </w:trPr>
                    <w:tc>
                      <w:tcPr>
                        <w:tcW w:w="1644" w:type="dxa"/>
                      </w:tcPr>
                      <w:p w:rsidR="007C5447" w:rsidRDefault="00F6308C">
                        <w:pPr>
                          <w:pStyle w:val="TableParagraph"/>
                          <w:spacing w:before="36"/>
                          <w:ind w:left="502" w:right="490"/>
                          <w:jc w:val="center"/>
                          <w:rPr>
                            <w:sz w:val="20"/>
                          </w:rPr>
                        </w:pPr>
                        <w:r>
                          <w:rPr>
                            <w:sz w:val="20"/>
                          </w:rPr>
                          <w:t>14</w:t>
                        </w:r>
                      </w:p>
                    </w:tc>
                    <w:tc>
                      <w:tcPr>
                        <w:tcW w:w="5067" w:type="dxa"/>
                      </w:tcPr>
                      <w:p w:rsidR="007C5447" w:rsidRDefault="00F6308C">
                        <w:pPr>
                          <w:pStyle w:val="TableParagraph"/>
                          <w:spacing w:before="55" w:line="224" w:lineRule="exact"/>
                          <w:ind w:left="108"/>
                          <w:jc w:val="left"/>
                          <w:rPr>
                            <w:sz w:val="20"/>
                          </w:rPr>
                        </w:pPr>
                        <w:r>
                          <w:rPr>
                            <w:sz w:val="20"/>
                          </w:rPr>
                          <w:t>Total Heat from Coal and Oil</w:t>
                        </w:r>
                      </w:p>
                    </w:tc>
                    <w:tc>
                      <w:tcPr>
                        <w:tcW w:w="2261" w:type="dxa"/>
                      </w:tcPr>
                      <w:p w:rsidR="007C5447" w:rsidRDefault="00F6308C">
                        <w:pPr>
                          <w:pStyle w:val="TableParagraph"/>
                          <w:spacing w:before="55" w:line="224" w:lineRule="exact"/>
                          <w:ind w:left="108"/>
                          <w:jc w:val="left"/>
                          <w:rPr>
                            <w:sz w:val="20"/>
                          </w:rPr>
                        </w:pPr>
                        <w:r>
                          <w:rPr>
                            <w:sz w:val="20"/>
                          </w:rPr>
                          <w:t>MKCL</w:t>
                        </w:r>
                      </w:p>
                    </w:tc>
                    <w:tc>
                      <w:tcPr>
                        <w:tcW w:w="2602" w:type="dxa"/>
                      </w:tcPr>
                      <w:p w:rsidR="007C5447" w:rsidRDefault="00F6308C">
                        <w:pPr>
                          <w:pStyle w:val="TableParagraph"/>
                          <w:spacing w:before="55" w:line="224" w:lineRule="exact"/>
                          <w:ind w:right="98"/>
                          <w:rPr>
                            <w:sz w:val="20"/>
                          </w:rPr>
                        </w:pPr>
                        <w:r>
                          <w:rPr>
                            <w:w w:val="95"/>
                            <w:sz w:val="20"/>
                          </w:rPr>
                          <w:t>1,36,85,700</w:t>
                        </w:r>
                      </w:p>
                    </w:tc>
                    <w:tc>
                      <w:tcPr>
                        <w:tcW w:w="2601" w:type="dxa"/>
                      </w:tcPr>
                      <w:p w:rsidR="007C5447" w:rsidRDefault="00F6308C">
                        <w:pPr>
                          <w:pStyle w:val="TableParagraph"/>
                          <w:spacing w:before="55" w:line="224" w:lineRule="exact"/>
                          <w:ind w:right="97"/>
                          <w:rPr>
                            <w:sz w:val="20"/>
                          </w:rPr>
                        </w:pPr>
                        <w:r>
                          <w:rPr>
                            <w:w w:val="95"/>
                            <w:sz w:val="20"/>
                          </w:rPr>
                          <w:t>2,19,51,216</w:t>
                        </w:r>
                      </w:p>
                    </w:tc>
                  </w:tr>
                  <w:tr w:rsidR="007C5447">
                    <w:trPr>
                      <w:trHeight w:val="299"/>
                    </w:trPr>
                    <w:tc>
                      <w:tcPr>
                        <w:tcW w:w="1644" w:type="dxa"/>
                      </w:tcPr>
                      <w:p w:rsidR="007C5447" w:rsidRDefault="00F6308C">
                        <w:pPr>
                          <w:pStyle w:val="TableParagraph"/>
                          <w:spacing w:before="36"/>
                          <w:ind w:left="502" w:right="490"/>
                          <w:jc w:val="center"/>
                          <w:rPr>
                            <w:sz w:val="20"/>
                          </w:rPr>
                        </w:pPr>
                        <w:r>
                          <w:rPr>
                            <w:sz w:val="20"/>
                          </w:rPr>
                          <w:t>15</w:t>
                        </w:r>
                      </w:p>
                    </w:tc>
                    <w:tc>
                      <w:tcPr>
                        <w:tcW w:w="5067" w:type="dxa"/>
                      </w:tcPr>
                      <w:p w:rsidR="007C5447" w:rsidRDefault="00F6308C">
                        <w:pPr>
                          <w:pStyle w:val="TableParagraph"/>
                          <w:spacing w:before="55" w:line="224" w:lineRule="exact"/>
                          <w:ind w:left="108"/>
                          <w:jc w:val="left"/>
                          <w:rPr>
                            <w:sz w:val="20"/>
                          </w:rPr>
                        </w:pPr>
                        <w:r>
                          <w:rPr>
                            <w:sz w:val="20"/>
                          </w:rPr>
                          <w:t>Heat from Coal</w:t>
                        </w:r>
                      </w:p>
                    </w:tc>
                    <w:tc>
                      <w:tcPr>
                        <w:tcW w:w="2261" w:type="dxa"/>
                      </w:tcPr>
                      <w:p w:rsidR="007C5447" w:rsidRDefault="00F6308C">
                        <w:pPr>
                          <w:pStyle w:val="TableParagraph"/>
                          <w:spacing w:before="55" w:line="224" w:lineRule="exact"/>
                          <w:ind w:left="108"/>
                          <w:jc w:val="left"/>
                          <w:rPr>
                            <w:sz w:val="20"/>
                          </w:rPr>
                        </w:pPr>
                        <w:r>
                          <w:rPr>
                            <w:sz w:val="20"/>
                          </w:rPr>
                          <w:t>MKCL</w:t>
                        </w:r>
                      </w:p>
                    </w:tc>
                    <w:tc>
                      <w:tcPr>
                        <w:tcW w:w="2602" w:type="dxa"/>
                      </w:tcPr>
                      <w:p w:rsidR="007C5447" w:rsidRDefault="00F6308C">
                        <w:pPr>
                          <w:pStyle w:val="TableParagraph"/>
                          <w:spacing w:before="55" w:line="224" w:lineRule="exact"/>
                          <w:ind w:right="98"/>
                          <w:rPr>
                            <w:sz w:val="20"/>
                          </w:rPr>
                        </w:pPr>
                        <w:r>
                          <w:rPr>
                            <w:w w:val="95"/>
                            <w:sz w:val="20"/>
                          </w:rPr>
                          <w:t>1,35,78,915</w:t>
                        </w:r>
                      </w:p>
                    </w:tc>
                    <w:tc>
                      <w:tcPr>
                        <w:tcW w:w="2601" w:type="dxa"/>
                      </w:tcPr>
                      <w:p w:rsidR="007C5447" w:rsidRDefault="00F6308C">
                        <w:pPr>
                          <w:pStyle w:val="TableParagraph"/>
                          <w:spacing w:before="55" w:line="224" w:lineRule="exact"/>
                          <w:ind w:right="97"/>
                          <w:rPr>
                            <w:sz w:val="20"/>
                          </w:rPr>
                        </w:pPr>
                        <w:r>
                          <w:rPr>
                            <w:w w:val="95"/>
                            <w:sz w:val="20"/>
                          </w:rPr>
                          <w:t>2,17,81,887</w:t>
                        </w:r>
                      </w:p>
                    </w:tc>
                  </w:tr>
                  <w:tr w:rsidR="007C5447">
                    <w:trPr>
                      <w:trHeight w:val="302"/>
                    </w:trPr>
                    <w:tc>
                      <w:tcPr>
                        <w:tcW w:w="1644" w:type="dxa"/>
                      </w:tcPr>
                      <w:p w:rsidR="007C5447" w:rsidRDefault="00F6308C">
                        <w:pPr>
                          <w:pStyle w:val="TableParagraph"/>
                          <w:spacing w:before="36"/>
                          <w:ind w:left="502" w:right="490"/>
                          <w:jc w:val="center"/>
                          <w:rPr>
                            <w:sz w:val="20"/>
                          </w:rPr>
                        </w:pPr>
                        <w:r>
                          <w:rPr>
                            <w:sz w:val="20"/>
                          </w:rPr>
                          <w:t>16</w:t>
                        </w:r>
                      </w:p>
                    </w:tc>
                    <w:tc>
                      <w:tcPr>
                        <w:tcW w:w="5067" w:type="dxa"/>
                      </w:tcPr>
                      <w:p w:rsidR="007C5447" w:rsidRDefault="00F6308C">
                        <w:pPr>
                          <w:pStyle w:val="TableParagraph"/>
                          <w:spacing w:before="55" w:line="227" w:lineRule="exact"/>
                          <w:ind w:left="108"/>
                          <w:jc w:val="left"/>
                          <w:rPr>
                            <w:sz w:val="20"/>
                          </w:rPr>
                        </w:pPr>
                        <w:r>
                          <w:rPr>
                            <w:sz w:val="20"/>
                          </w:rPr>
                          <w:t>Heat from Oil</w:t>
                        </w:r>
                      </w:p>
                    </w:tc>
                    <w:tc>
                      <w:tcPr>
                        <w:tcW w:w="2261" w:type="dxa"/>
                      </w:tcPr>
                      <w:p w:rsidR="007C5447" w:rsidRDefault="00F6308C">
                        <w:pPr>
                          <w:pStyle w:val="TableParagraph"/>
                          <w:spacing w:before="55" w:line="227" w:lineRule="exact"/>
                          <w:ind w:left="108"/>
                          <w:jc w:val="left"/>
                          <w:rPr>
                            <w:sz w:val="20"/>
                          </w:rPr>
                        </w:pPr>
                        <w:r>
                          <w:rPr>
                            <w:sz w:val="20"/>
                          </w:rPr>
                          <w:t>MKCL</w:t>
                        </w:r>
                      </w:p>
                    </w:tc>
                    <w:tc>
                      <w:tcPr>
                        <w:tcW w:w="2602" w:type="dxa"/>
                      </w:tcPr>
                      <w:p w:rsidR="007C5447" w:rsidRDefault="00F6308C">
                        <w:pPr>
                          <w:pStyle w:val="TableParagraph"/>
                          <w:spacing w:before="55" w:line="227" w:lineRule="exact"/>
                          <w:ind w:right="96"/>
                          <w:rPr>
                            <w:sz w:val="20"/>
                          </w:rPr>
                        </w:pPr>
                        <w:r>
                          <w:rPr>
                            <w:sz w:val="20"/>
                          </w:rPr>
                          <w:t>1,06,785</w:t>
                        </w:r>
                      </w:p>
                    </w:tc>
                    <w:tc>
                      <w:tcPr>
                        <w:tcW w:w="2601" w:type="dxa"/>
                      </w:tcPr>
                      <w:p w:rsidR="007C5447" w:rsidRDefault="00F6308C">
                        <w:pPr>
                          <w:pStyle w:val="TableParagraph"/>
                          <w:spacing w:before="55" w:line="227" w:lineRule="exact"/>
                          <w:ind w:right="94"/>
                          <w:rPr>
                            <w:sz w:val="20"/>
                          </w:rPr>
                        </w:pPr>
                        <w:r>
                          <w:rPr>
                            <w:sz w:val="20"/>
                          </w:rPr>
                          <w:t>1,69,329</w:t>
                        </w:r>
                      </w:p>
                    </w:tc>
                  </w:tr>
                  <w:tr w:rsidR="007C5447">
                    <w:trPr>
                      <w:trHeight w:val="299"/>
                    </w:trPr>
                    <w:tc>
                      <w:tcPr>
                        <w:tcW w:w="1644" w:type="dxa"/>
                      </w:tcPr>
                      <w:p w:rsidR="007C5447" w:rsidRDefault="00F6308C">
                        <w:pPr>
                          <w:pStyle w:val="TableParagraph"/>
                          <w:spacing w:before="34"/>
                          <w:ind w:left="502" w:right="490"/>
                          <w:jc w:val="center"/>
                          <w:rPr>
                            <w:sz w:val="20"/>
                          </w:rPr>
                        </w:pPr>
                        <w:r>
                          <w:rPr>
                            <w:sz w:val="20"/>
                          </w:rPr>
                          <w:t>17</w:t>
                        </w:r>
                      </w:p>
                    </w:tc>
                    <w:tc>
                      <w:tcPr>
                        <w:tcW w:w="5067" w:type="dxa"/>
                      </w:tcPr>
                      <w:p w:rsidR="007C5447" w:rsidRDefault="00F6308C">
                        <w:pPr>
                          <w:pStyle w:val="TableParagraph"/>
                          <w:spacing w:before="55" w:line="224" w:lineRule="exact"/>
                          <w:ind w:left="108"/>
                          <w:jc w:val="left"/>
                          <w:rPr>
                            <w:sz w:val="20"/>
                          </w:rPr>
                        </w:pPr>
                        <w:r>
                          <w:rPr>
                            <w:sz w:val="20"/>
                          </w:rPr>
                          <w:t>Oil Consumed</w:t>
                        </w:r>
                      </w:p>
                    </w:tc>
                    <w:tc>
                      <w:tcPr>
                        <w:tcW w:w="2261" w:type="dxa"/>
                      </w:tcPr>
                      <w:p w:rsidR="007C5447" w:rsidRDefault="00F6308C">
                        <w:pPr>
                          <w:pStyle w:val="TableParagraph"/>
                          <w:spacing w:before="55" w:line="224" w:lineRule="exact"/>
                          <w:ind w:left="108"/>
                          <w:jc w:val="left"/>
                          <w:rPr>
                            <w:sz w:val="20"/>
                          </w:rPr>
                        </w:pPr>
                        <w:r>
                          <w:rPr>
                            <w:sz w:val="20"/>
                          </w:rPr>
                          <w:t>kL</w:t>
                        </w:r>
                      </w:p>
                    </w:tc>
                    <w:tc>
                      <w:tcPr>
                        <w:tcW w:w="2602" w:type="dxa"/>
                      </w:tcPr>
                      <w:p w:rsidR="007C5447" w:rsidRDefault="00F6308C">
                        <w:pPr>
                          <w:pStyle w:val="TableParagraph"/>
                          <w:spacing w:before="55" w:line="224" w:lineRule="exact"/>
                          <w:ind w:right="98"/>
                          <w:rPr>
                            <w:sz w:val="20"/>
                          </w:rPr>
                        </w:pPr>
                        <w:r>
                          <w:rPr>
                            <w:w w:val="95"/>
                            <w:sz w:val="20"/>
                          </w:rPr>
                          <w:t>10,299</w:t>
                        </w:r>
                      </w:p>
                    </w:tc>
                    <w:tc>
                      <w:tcPr>
                        <w:tcW w:w="2601" w:type="dxa"/>
                      </w:tcPr>
                      <w:p w:rsidR="007C5447" w:rsidRDefault="00F6308C">
                        <w:pPr>
                          <w:pStyle w:val="TableParagraph"/>
                          <w:spacing w:before="55" w:line="224" w:lineRule="exact"/>
                          <w:ind w:right="96"/>
                          <w:rPr>
                            <w:sz w:val="20"/>
                          </w:rPr>
                        </w:pPr>
                        <w:r>
                          <w:rPr>
                            <w:w w:val="95"/>
                            <w:sz w:val="20"/>
                          </w:rPr>
                          <w:t>16,520</w:t>
                        </w:r>
                      </w:p>
                    </w:tc>
                  </w:tr>
                  <w:tr w:rsidR="007C5447">
                    <w:trPr>
                      <w:trHeight w:val="299"/>
                    </w:trPr>
                    <w:tc>
                      <w:tcPr>
                        <w:tcW w:w="1644" w:type="dxa"/>
                      </w:tcPr>
                      <w:p w:rsidR="007C5447" w:rsidRDefault="00F6308C">
                        <w:pPr>
                          <w:pStyle w:val="TableParagraph"/>
                          <w:spacing w:before="34"/>
                          <w:ind w:left="502" w:right="490"/>
                          <w:jc w:val="center"/>
                          <w:rPr>
                            <w:sz w:val="20"/>
                          </w:rPr>
                        </w:pPr>
                        <w:r>
                          <w:rPr>
                            <w:sz w:val="20"/>
                          </w:rPr>
                          <w:t>18</w:t>
                        </w:r>
                      </w:p>
                    </w:tc>
                    <w:tc>
                      <w:tcPr>
                        <w:tcW w:w="5067" w:type="dxa"/>
                      </w:tcPr>
                      <w:p w:rsidR="007C5447" w:rsidRDefault="00F6308C">
                        <w:pPr>
                          <w:pStyle w:val="TableParagraph"/>
                          <w:spacing w:before="55" w:line="224" w:lineRule="exact"/>
                          <w:ind w:left="108"/>
                          <w:jc w:val="left"/>
                          <w:rPr>
                            <w:sz w:val="20"/>
                          </w:rPr>
                        </w:pPr>
                        <w:r>
                          <w:rPr>
                            <w:sz w:val="20"/>
                          </w:rPr>
                          <w:t>Coal Consumed</w:t>
                        </w:r>
                      </w:p>
                    </w:tc>
                    <w:tc>
                      <w:tcPr>
                        <w:tcW w:w="2261" w:type="dxa"/>
                      </w:tcPr>
                      <w:p w:rsidR="007C5447" w:rsidRDefault="00F6308C">
                        <w:pPr>
                          <w:pStyle w:val="TableParagraph"/>
                          <w:spacing w:before="55" w:line="224" w:lineRule="exact"/>
                          <w:ind w:left="108"/>
                          <w:jc w:val="left"/>
                          <w:rPr>
                            <w:sz w:val="20"/>
                          </w:rPr>
                        </w:pPr>
                        <w:r>
                          <w:rPr>
                            <w:sz w:val="20"/>
                          </w:rPr>
                          <w:t>MT</w:t>
                        </w:r>
                      </w:p>
                    </w:tc>
                    <w:tc>
                      <w:tcPr>
                        <w:tcW w:w="2602" w:type="dxa"/>
                      </w:tcPr>
                      <w:p w:rsidR="007C5447" w:rsidRDefault="00F6308C">
                        <w:pPr>
                          <w:pStyle w:val="TableParagraph"/>
                          <w:spacing w:before="55" w:line="224" w:lineRule="exact"/>
                          <w:ind w:right="97"/>
                          <w:rPr>
                            <w:sz w:val="20"/>
                          </w:rPr>
                        </w:pPr>
                        <w:r>
                          <w:rPr>
                            <w:w w:val="95"/>
                            <w:sz w:val="20"/>
                          </w:rPr>
                          <w:t>40,49,781</w:t>
                        </w:r>
                      </w:p>
                    </w:tc>
                    <w:tc>
                      <w:tcPr>
                        <w:tcW w:w="2601" w:type="dxa"/>
                      </w:tcPr>
                      <w:p w:rsidR="007C5447" w:rsidRDefault="00F6308C">
                        <w:pPr>
                          <w:pStyle w:val="TableParagraph"/>
                          <w:spacing w:before="55" w:line="224" w:lineRule="exact"/>
                          <w:ind w:right="97"/>
                          <w:rPr>
                            <w:sz w:val="20"/>
                          </w:rPr>
                        </w:pPr>
                        <w:r>
                          <w:rPr>
                            <w:w w:val="95"/>
                            <w:sz w:val="20"/>
                          </w:rPr>
                          <w:t>55,09,124</w:t>
                        </w:r>
                      </w:p>
                    </w:tc>
                  </w:tr>
                  <w:tr w:rsidR="007C5447">
                    <w:trPr>
                      <w:trHeight w:val="299"/>
                    </w:trPr>
                    <w:tc>
                      <w:tcPr>
                        <w:tcW w:w="1644" w:type="dxa"/>
                      </w:tcPr>
                      <w:p w:rsidR="007C5447" w:rsidRDefault="00F6308C">
                        <w:pPr>
                          <w:pStyle w:val="TableParagraph"/>
                          <w:spacing w:before="36"/>
                          <w:ind w:left="502" w:right="490"/>
                          <w:jc w:val="center"/>
                          <w:rPr>
                            <w:sz w:val="20"/>
                          </w:rPr>
                        </w:pPr>
                        <w:r>
                          <w:rPr>
                            <w:sz w:val="20"/>
                          </w:rPr>
                          <w:t>19</w:t>
                        </w:r>
                      </w:p>
                    </w:tc>
                    <w:tc>
                      <w:tcPr>
                        <w:tcW w:w="5067" w:type="dxa"/>
                      </w:tcPr>
                      <w:p w:rsidR="007C5447" w:rsidRDefault="00F6308C">
                        <w:pPr>
                          <w:pStyle w:val="TableParagraph"/>
                          <w:spacing w:before="55" w:line="224" w:lineRule="exact"/>
                          <w:ind w:left="108"/>
                          <w:jc w:val="left"/>
                          <w:rPr>
                            <w:sz w:val="20"/>
                          </w:rPr>
                        </w:pPr>
                        <w:r>
                          <w:rPr>
                            <w:sz w:val="20"/>
                          </w:rPr>
                          <w:t>Total Cost of Coal</w:t>
                        </w:r>
                      </w:p>
                    </w:tc>
                    <w:tc>
                      <w:tcPr>
                        <w:tcW w:w="2261" w:type="dxa"/>
                      </w:tcPr>
                      <w:p w:rsidR="007C5447" w:rsidRDefault="00F6308C">
                        <w:pPr>
                          <w:pStyle w:val="TableParagraph"/>
                          <w:spacing w:before="55" w:line="224" w:lineRule="exact"/>
                          <w:ind w:left="108"/>
                          <w:jc w:val="left"/>
                          <w:rPr>
                            <w:sz w:val="20"/>
                          </w:rPr>
                        </w:pPr>
                        <w:r>
                          <w:rPr>
                            <w:sz w:val="20"/>
                          </w:rPr>
                          <w:t>Rs. Crore</w:t>
                        </w:r>
                      </w:p>
                    </w:tc>
                    <w:tc>
                      <w:tcPr>
                        <w:tcW w:w="2602" w:type="dxa"/>
                      </w:tcPr>
                      <w:p w:rsidR="007C5447" w:rsidRDefault="00F6308C">
                        <w:pPr>
                          <w:pStyle w:val="TableParagraph"/>
                          <w:spacing w:before="55" w:line="224" w:lineRule="exact"/>
                          <w:ind w:right="95"/>
                          <w:rPr>
                            <w:sz w:val="20"/>
                          </w:rPr>
                        </w:pPr>
                        <w:r>
                          <w:rPr>
                            <w:sz w:val="20"/>
                          </w:rPr>
                          <w:t>1599.18</w:t>
                        </w:r>
                      </w:p>
                    </w:tc>
                    <w:tc>
                      <w:tcPr>
                        <w:tcW w:w="2601" w:type="dxa"/>
                      </w:tcPr>
                      <w:p w:rsidR="007C5447" w:rsidRDefault="00F6308C">
                        <w:pPr>
                          <w:pStyle w:val="TableParagraph"/>
                          <w:spacing w:before="55" w:line="224" w:lineRule="exact"/>
                          <w:ind w:right="94"/>
                          <w:rPr>
                            <w:sz w:val="20"/>
                          </w:rPr>
                        </w:pPr>
                        <w:r>
                          <w:rPr>
                            <w:sz w:val="20"/>
                          </w:rPr>
                          <w:t>2846.56</w:t>
                        </w:r>
                      </w:p>
                    </w:tc>
                  </w:tr>
                  <w:tr w:rsidR="007C5447">
                    <w:trPr>
                      <w:trHeight w:val="299"/>
                    </w:trPr>
                    <w:tc>
                      <w:tcPr>
                        <w:tcW w:w="1644" w:type="dxa"/>
                      </w:tcPr>
                      <w:p w:rsidR="007C5447" w:rsidRDefault="00F6308C">
                        <w:pPr>
                          <w:pStyle w:val="TableParagraph"/>
                          <w:spacing w:before="36"/>
                          <w:ind w:left="502" w:right="490"/>
                          <w:jc w:val="center"/>
                          <w:rPr>
                            <w:sz w:val="20"/>
                          </w:rPr>
                        </w:pPr>
                        <w:r>
                          <w:rPr>
                            <w:sz w:val="20"/>
                          </w:rPr>
                          <w:t>20</w:t>
                        </w:r>
                      </w:p>
                    </w:tc>
                    <w:tc>
                      <w:tcPr>
                        <w:tcW w:w="5067" w:type="dxa"/>
                      </w:tcPr>
                      <w:p w:rsidR="007C5447" w:rsidRDefault="00F6308C">
                        <w:pPr>
                          <w:pStyle w:val="TableParagraph"/>
                          <w:spacing w:before="55" w:line="224" w:lineRule="exact"/>
                          <w:ind w:left="108"/>
                          <w:jc w:val="left"/>
                          <w:rPr>
                            <w:sz w:val="20"/>
                          </w:rPr>
                        </w:pPr>
                        <w:r>
                          <w:rPr>
                            <w:sz w:val="20"/>
                          </w:rPr>
                          <w:t>Total Cost of Oil</w:t>
                        </w:r>
                      </w:p>
                    </w:tc>
                    <w:tc>
                      <w:tcPr>
                        <w:tcW w:w="2261" w:type="dxa"/>
                      </w:tcPr>
                      <w:p w:rsidR="007C5447" w:rsidRDefault="00F6308C">
                        <w:pPr>
                          <w:pStyle w:val="TableParagraph"/>
                          <w:spacing w:before="55" w:line="224" w:lineRule="exact"/>
                          <w:ind w:left="108"/>
                          <w:jc w:val="left"/>
                          <w:rPr>
                            <w:sz w:val="20"/>
                          </w:rPr>
                        </w:pPr>
                        <w:r>
                          <w:rPr>
                            <w:sz w:val="20"/>
                          </w:rPr>
                          <w:t>Rs. Crore</w:t>
                        </w:r>
                      </w:p>
                    </w:tc>
                    <w:tc>
                      <w:tcPr>
                        <w:tcW w:w="2602" w:type="dxa"/>
                      </w:tcPr>
                      <w:p w:rsidR="007C5447" w:rsidRDefault="00F6308C">
                        <w:pPr>
                          <w:pStyle w:val="TableParagraph"/>
                          <w:spacing w:before="55" w:line="224" w:lineRule="exact"/>
                          <w:ind w:right="95"/>
                          <w:rPr>
                            <w:sz w:val="20"/>
                          </w:rPr>
                        </w:pPr>
                        <w:r>
                          <w:rPr>
                            <w:sz w:val="20"/>
                          </w:rPr>
                          <w:t>39.30</w:t>
                        </w:r>
                      </w:p>
                    </w:tc>
                    <w:tc>
                      <w:tcPr>
                        <w:tcW w:w="2601" w:type="dxa"/>
                      </w:tcPr>
                      <w:p w:rsidR="007C5447" w:rsidRDefault="00F6308C">
                        <w:pPr>
                          <w:pStyle w:val="TableParagraph"/>
                          <w:spacing w:before="55" w:line="224" w:lineRule="exact"/>
                          <w:ind w:right="94"/>
                          <w:rPr>
                            <w:sz w:val="20"/>
                          </w:rPr>
                        </w:pPr>
                        <w:r>
                          <w:rPr>
                            <w:sz w:val="20"/>
                          </w:rPr>
                          <w:t>51.83</w:t>
                        </w:r>
                      </w:p>
                    </w:tc>
                  </w:tr>
                  <w:tr w:rsidR="007C5447">
                    <w:trPr>
                      <w:trHeight w:val="331"/>
                    </w:trPr>
                    <w:tc>
                      <w:tcPr>
                        <w:tcW w:w="1644" w:type="dxa"/>
                        <w:shd w:val="clear" w:color="auto" w:fill="FFFFCC"/>
                      </w:tcPr>
                      <w:p w:rsidR="007C5447" w:rsidRDefault="00F6308C">
                        <w:pPr>
                          <w:pStyle w:val="TableParagraph"/>
                          <w:spacing w:before="51"/>
                          <w:ind w:left="502" w:right="490"/>
                          <w:jc w:val="center"/>
                          <w:rPr>
                            <w:b/>
                            <w:sz w:val="20"/>
                          </w:rPr>
                        </w:pPr>
                        <w:r>
                          <w:rPr>
                            <w:b/>
                            <w:sz w:val="20"/>
                          </w:rPr>
                          <w:t>21</w:t>
                        </w:r>
                      </w:p>
                    </w:tc>
                    <w:tc>
                      <w:tcPr>
                        <w:tcW w:w="5067" w:type="dxa"/>
                        <w:shd w:val="clear" w:color="auto" w:fill="FFFFCC"/>
                      </w:tcPr>
                      <w:p w:rsidR="007C5447" w:rsidRDefault="00F6308C">
                        <w:pPr>
                          <w:pStyle w:val="TableParagraph"/>
                          <w:spacing w:before="87" w:line="224" w:lineRule="exact"/>
                          <w:ind w:left="108"/>
                          <w:jc w:val="left"/>
                          <w:rPr>
                            <w:b/>
                            <w:sz w:val="20"/>
                          </w:rPr>
                        </w:pPr>
                        <w:r>
                          <w:rPr>
                            <w:b/>
                            <w:sz w:val="20"/>
                          </w:rPr>
                          <w:t>Total Fuel Cost</w:t>
                        </w:r>
                      </w:p>
                    </w:tc>
                    <w:tc>
                      <w:tcPr>
                        <w:tcW w:w="2261" w:type="dxa"/>
                        <w:shd w:val="clear" w:color="auto" w:fill="FFFFCC"/>
                      </w:tcPr>
                      <w:p w:rsidR="007C5447" w:rsidRDefault="00F6308C">
                        <w:pPr>
                          <w:pStyle w:val="TableParagraph"/>
                          <w:spacing w:before="87" w:line="224" w:lineRule="exact"/>
                          <w:ind w:left="108"/>
                          <w:jc w:val="left"/>
                          <w:rPr>
                            <w:b/>
                            <w:sz w:val="20"/>
                          </w:rPr>
                        </w:pPr>
                        <w:r>
                          <w:rPr>
                            <w:b/>
                            <w:sz w:val="20"/>
                          </w:rPr>
                          <w:t>Rs. Crore</w:t>
                        </w:r>
                      </w:p>
                    </w:tc>
                    <w:tc>
                      <w:tcPr>
                        <w:tcW w:w="2602" w:type="dxa"/>
                        <w:shd w:val="clear" w:color="auto" w:fill="FFFFCC"/>
                      </w:tcPr>
                      <w:p w:rsidR="007C5447" w:rsidRDefault="00F6308C">
                        <w:pPr>
                          <w:pStyle w:val="TableParagraph"/>
                          <w:spacing w:before="87" w:line="224" w:lineRule="exact"/>
                          <w:ind w:right="95"/>
                          <w:rPr>
                            <w:b/>
                            <w:sz w:val="20"/>
                          </w:rPr>
                        </w:pPr>
                        <w:r>
                          <w:rPr>
                            <w:b/>
                            <w:sz w:val="20"/>
                          </w:rPr>
                          <w:t>1638.48</w:t>
                        </w:r>
                      </w:p>
                    </w:tc>
                    <w:tc>
                      <w:tcPr>
                        <w:tcW w:w="2601" w:type="dxa"/>
                        <w:shd w:val="clear" w:color="auto" w:fill="FFFFCC"/>
                      </w:tcPr>
                      <w:p w:rsidR="007C5447" w:rsidRDefault="00F6308C">
                        <w:pPr>
                          <w:pStyle w:val="TableParagraph"/>
                          <w:spacing w:before="87" w:line="224" w:lineRule="exact"/>
                          <w:ind w:right="94"/>
                          <w:rPr>
                            <w:b/>
                            <w:sz w:val="20"/>
                          </w:rPr>
                        </w:pPr>
                        <w:r>
                          <w:rPr>
                            <w:b/>
                            <w:sz w:val="20"/>
                          </w:rPr>
                          <w:t>2898.40</w:t>
                        </w:r>
                      </w:p>
                    </w:tc>
                  </w:tr>
                  <w:tr w:rsidR="007C5447">
                    <w:trPr>
                      <w:trHeight w:val="330"/>
                    </w:trPr>
                    <w:tc>
                      <w:tcPr>
                        <w:tcW w:w="1644" w:type="dxa"/>
                        <w:shd w:val="clear" w:color="auto" w:fill="FFFFCC"/>
                      </w:tcPr>
                      <w:p w:rsidR="007C5447" w:rsidRDefault="00F6308C">
                        <w:pPr>
                          <w:pStyle w:val="TableParagraph"/>
                          <w:spacing w:before="50"/>
                          <w:ind w:left="502" w:right="490"/>
                          <w:jc w:val="center"/>
                          <w:rPr>
                            <w:b/>
                            <w:sz w:val="20"/>
                          </w:rPr>
                        </w:pPr>
                        <w:r>
                          <w:rPr>
                            <w:b/>
                            <w:sz w:val="20"/>
                          </w:rPr>
                          <w:t>22</w:t>
                        </w:r>
                      </w:p>
                    </w:tc>
                    <w:tc>
                      <w:tcPr>
                        <w:tcW w:w="5067" w:type="dxa"/>
                        <w:shd w:val="clear" w:color="auto" w:fill="FFFFCC"/>
                      </w:tcPr>
                      <w:p w:rsidR="007C5447" w:rsidRDefault="00F6308C">
                        <w:pPr>
                          <w:pStyle w:val="TableParagraph"/>
                          <w:spacing w:before="84" w:line="227" w:lineRule="exact"/>
                          <w:ind w:left="108"/>
                          <w:jc w:val="left"/>
                          <w:rPr>
                            <w:b/>
                            <w:sz w:val="20"/>
                          </w:rPr>
                        </w:pPr>
                        <w:r>
                          <w:rPr>
                            <w:b/>
                            <w:sz w:val="20"/>
                          </w:rPr>
                          <w:t>Energy Charge</w:t>
                        </w:r>
                      </w:p>
                    </w:tc>
                    <w:tc>
                      <w:tcPr>
                        <w:tcW w:w="2261" w:type="dxa"/>
                        <w:shd w:val="clear" w:color="auto" w:fill="FFFFCC"/>
                      </w:tcPr>
                      <w:p w:rsidR="007C5447" w:rsidRDefault="00F6308C">
                        <w:pPr>
                          <w:pStyle w:val="TableParagraph"/>
                          <w:spacing w:before="84" w:line="227" w:lineRule="exact"/>
                          <w:ind w:left="108"/>
                          <w:jc w:val="left"/>
                          <w:rPr>
                            <w:b/>
                            <w:sz w:val="20"/>
                          </w:rPr>
                        </w:pPr>
                        <w:r>
                          <w:rPr>
                            <w:b/>
                            <w:sz w:val="20"/>
                          </w:rPr>
                          <w:t>Rs. /kWh</w:t>
                        </w:r>
                      </w:p>
                    </w:tc>
                    <w:tc>
                      <w:tcPr>
                        <w:tcW w:w="2602" w:type="dxa"/>
                        <w:shd w:val="clear" w:color="auto" w:fill="FFFFCC"/>
                      </w:tcPr>
                      <w:p w:rsidR="007C5447" w:rsidRDefault="00F6308C">
                        <w:pPr>
                          <w:pStyle w:val="TableParagraph"/>
                          <w:spacing w:before="84" w:line="227" w:lineRule="exact"/>
                          <w:ind w:right="97"/>
                          <w:rPr>
                            <w:b/>
                            <w:sz w:val="20"/>
                          </w:rPr>
                        </w:pPr>
                        <w:r>
                          <w:rPr>
                            <w:b/>
                            <w:sz w:val="20"/>
                          </w:rPr>
                          <w:t>3.21</w:t>
                        </w:r>
                      </w:p>
                    </w:tc>
                    <w:tc>
                      <w:tcPr>
                        <w:tcW w:w="2601" w:type="dxa"/>
                        <w:shd w:val="clear" w:color="auto" w:fill="FFFFCC"/>
                      </w:tcPr>
                      <w:p w:rsidR="007C5447" w:rsidRDefault="00F6308C">
                        <w:pPr>
                          <w:pStyle w:val="TableParagraph"/>
                          <w:spacing w:before="84" w:line="227" w:lineRule="exact"/>
                          <w:ind w:right="96"/>
                          <w:rPr>
                            <w:b/>
                            <w:sz w:val="20"/>
                          </w:rPr>
                        </w:pPr>
                        <w:r>
                          <w:rPr>
                            <w:b/>
                            <w:sz w:val="20"/>
                          </w:rPr>
                          <w:t>3.54</w:t>
                        </w:r>
                      </w:p>
                    </w:tc>
                  </w:tr>
                </w:tbl>
                <w:p w:rsidR="007C5447" w:rsidRDefault="007C5447">
                  <w:pPr>
                    <w:pStyle w:val="BodyText"/>
                  </w:pPr>
                </w:p>
              </w:txbxContent>
            </v:textbox>
            <w10:wrap anchorx="page" anchory="page"/>
          </v:shape>
        </w:pict>
      </w:r>
    </w:p>
    <w:p w:rsidR="007C5447" w:rsidRDefault="00F6308C">
      <w:pPr>
        <w:pStyle w:val="BodyText"/>
        <w:ind w:left="1756"/>
        <w:rPr>
          <w:sz w:val="20"/>
        </w:rPr>
      </w:pPr>
      <w:r>
        <w:rPr>
          <w:sz w:val="20"/>
        </w:rPr>
      </w:r>
      <w:r>
        <w:rPr>
          <w:sz w:val="20"/>
        </w:rPr>
        <w:pict>
          <v:shape id="_x0000_s1035" type="#_x0000_t202" style="width:253.35pt;height:16.6pt;mso-left-percent:-10001;mso-top-percent:-10001;mso-position-horizontal:absolute;mso-position-horizontal-relative:char;mso-position-vertical:absolute;mso-position-vertical-relative:line;mso-left-percent:-10001;mso-top-percent:-10001" fillcolor="#ffc000" stroked="f">
            <v:textbox inset="0,0,0,0">
              <w:txbxContent>
                <w:p w:rsidR="007C5447" w:rsidRDefault="00F6308C">
                  <w:pPr>
                    <w:spacing w:before="87"/>
                    <w:ind w:left="108"/>
                    <w:rPr>
                      <w:b/>
                      <w:sz w:val="20"/>
                    </w:rPr>
                  </w:pPr>
                  <w:r>
                    <w:rPr>
                      <w:b/>
                      <w:sz w:val="20"/>
                    </w:rPr>
                    <w:t>NCTPS Stage II</w:t>
                  </w:r>
                </w:p>
              </w:txbxContent>
            </v:textbox>
            <w10:anchorlock/>
          </v:shape>
        </w:pict>
      </w:r>
    </w:p>
    <w:p w:rsidR="007C5447" w:rsidRDefault="007C5447">
      <w:pPr>
        <w:rPr>
          <w:sz w:val="20"/>
        </w:rPr>
        <w:sectPr w:rsidR="007C5447">
          <w:pgSz w:w="16840" w:h="11910" w:orient="landscape"/>
          <w:pgMar w:top="1100" w:right="1220" w:bottom="960" w:left="1220" w:header="0" w:footer="777" w:gutter="0"/>
          <w:cols w:space="720"/>
        </w:sectPr>
      </w:pPr>
    </w:p>
    <w:p w:rsidR="007C5447" w:rsidRDefault="00F6308C">
      <w:pPr>
        <w:pStyle w:val="BodyText"/>
        <w:spacing w:before="3"/>
        <w:rPr>
          <w:sz w:val="2"/>
        </w:rPr>
      </w:pPr>
      <w:r>
        <w:lastRenderedPageBreak/>
        <w:pict>
          <v:shape id="_x0000_s1034" type="#_x0000_t202" style="position:absolute;margin-left:66.35pt;margin-top:73.2pt;width:709.55pt;height:302.6pt;z-index:251694080;mso-position-horizontal-relative:page;mso-position-vertic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1"/>
                    <w:gridCol w:w="3269"/>
                    <w:gridCol w:w="1456"/>
                    <w:gridCol w:w="1677"/>
                    <w:gridCol w:w="1680"/>
                    <w:gridCol w:w="1677"/>
                    <w:gridCol w:w="1678"/>
                    <w:gridCol w:w="1675"/>
                  </w:tblGrid>
                  <w:tr w:rsidR="007C5447">
                    <w:trPr>
                      <w:trHeight w:val="330"/>
                    </w:trPr>
                    <w:tc>
                      <w:tcPr>
                        <w:tcW w:w="1061" w:type="dxa"/>
                        <w:shd w:val="clear" w:color="auto" w:fill="C8C8C8"/>
                      </w:tcPr>
                      <w:p w:rsidR="007C5447" w:rsidRDefault="00F6308C">
                        <w:pPr>
                          <w:pStyle w:val="TableParagraph"/>
                          <w:spacing w:before="50"/>
                          <w:ind w:left="212" w:right="204"/>
                          <w:jc w:val="center"/>
                          <w:rPr>
                            <w:b/>
                            <w:sz w:val="20"/>
                          </w:rPr>
                        </w:pPr>
                        <w:r>
                          <w:rPr>
                            <w:b/>
                            <w:sz w:val="20"/>
                          </w:rPr>
                          <w:t>Sr. No.</w:t>
                        </w:r>
                      </w:p>
                    </w:tc>
                    <w:tc>
                      <w:tcPr>
                        <w:tcW w:w="3269" w:type="dxa"/>
                        <w:shd w:val="clear" w:color="auto" w:fill="C8C8C8"/>
                      </w:tcPr>
                      <w:p w:rsidR="007C5447" w:rsidRDefault="00F6308C">
                        <w:pPr>
                          <w:pStyle w:val="TableParagraph"/>
                          <w:spacing w:before="50"/>
                          <w:ind w:left="1156" w:right="1151"/>
                          <w:jc w:val="center"/>
                          <w:rPr>
                            <w:b/>
                            <w:sz w:val="20"/>
                          </w:rPr>
                        </w:pPr>
                        <w:r>
                          <w:rPr>
                            <w:b/>
                            <w:sz w:val="20"/>
                          </w:rPr>
                          <w:t>Parameter</w:t>
                        </w:r>
                      </w:p>
                    </w:tc>
                    <w:tc>
                      <w:tcPr>
                        <w:tcW w:w="1456" w:type="dxa"/>
                        <w:shd w:val="clear" w:color="auto" w:fill="C8C8C8"/>
                      </w:tcPr>
                      <w:p w:rsidR="007C5447" w:rsidRDefault="00F6308C">
                        <w:pPr>
                          <w:pStyle w:val="TableParagraph"/>
                          <w:spacing w:before="50"/>
                          <w:ind w:left="519" w:right="508"/>
                          <w:jc w:val="center"/>
                          <w:rPr>
                            <w:b/>
                            <w:sz w:val="20"/>
                          </w:rPr>
                        </w:pPr>
                        <w:r>
                          <w:rPr>
                            <w:b/>
                            <w:sz w:val="20"/>
                          </w:rPr>
                          <w:t>Unit</w:t>
                        </w:r>
                      </w:p>
                    </w:tc>
                    <w:tc>
                      <w:tcPr>
                        <w:tcW w:w="1677" w:type="dxa"/>
                        <w:shd w:val="clear" w:color="auto" w:fill="BEBEBE"/>
                      </w:tcPr>
                      <w:p w:rsidR="007C5447" w:rsidRDefault="00F6308C">
                        <w:pPr>
                          <w:pStyle w:val="TableParagraph"/>
                          <w:spacing w:before="50"/>
                          <w:ind w:left="346"/>
                          <w:jc w:val="left"/>
                          <w:rPr>
                            <w:b/>
                            <w:sz w:val="20"/>
                          </w:rPr>
                        </w:pPr>
                        <w:r>
                          <w:rPr>
                            <w:b/>
                            <w:sz w:val="20"/>
                          </w:rPr>
                          <w:t>FY 2011-12</w:t>
                        </w:r>
                      </w:p>
                    </w:tc>
                    <w:tc>
                      <w:tcPr>
                        <w:tcW w:w="1680" w:type="dxa"/>
                        <w:shd w:val="clear" w:color="auto" w:fill="BEBEBE"/>
                      </w:tcPr>
                      <w:p w:rsidR="007C5447" w:rsidRDefault="00F6308C">
                        <w:pPr>
                          <w:pStyle w:val="TableParagraph"/>
                          <w:spacing w:before="50"/>
                          <w:ind w:left="347"/>
                          <w:jc w:val="left"/>
                          <w:rPr>
                            <w:b/>
                            <w:sz w:val="20"/>
                          </w:rPr>
                        </w:pPr>
                        <w:r>
                          <w:rPr>
                            <w:b/>
                            <w:sz w:val="20"/>
                          </w:rPr>
                          <w:t>FY 2012-13</w:t>
                        </w:r>
                      </w:p>
                    </w:tc>
                    <w:tc>
                      <w:tcPr>
                        <w:tcW w:w="1677" w:type="dxa"/>
                        <w:shd w:val="clear" w:color="auto" w:fill="BEBEBE"/>
                      </w:tcPr>
                      <w:p w:rsidR="007C5447" w:rsidRDefault="00F6308C">
                        <w:pPr>
                          <w:pStyle w:val="TableParagraph"/>
                          <w:spacing w:before="50"/>
                          <w:ind w:left="347"/>
                          <w:jc w:val="left"/>
                          <w:rPr>
                            <w:b/>
                            <w:sz w:val="20"/>
                          </w:rPr>
                        </w:pPr>
                        <w:r>
                          <w:rPr>
                            <w:b/>
                            <w:sz w:val="20"/>
                          </w:rPr>
                          <w:t>FY 2013-14</w:t>
                        </w:r>
                      </w:p>
                    </w:tc>
                    <w:tc>
                      <w:tcPr>
                        <w:tcW w:w="1678" w:type="dxa"/>
                        <w:shd w:val="clear" w:color="auto" w:fill="BEBEBE"/>
                      </w:tcPr>
                      <w:p w:rsidR="007C5447" w:rsidRDefault="00F6308C">
                        <w:pPr>
                          <w:pStyle w:val="TableParagraph"/>
                          <w:spacing w:before="50"/>
                          <w:ind w:left="348"/>
                          <w:jc w:val="left"/>
                          <w:rPr>
                            <w:b/>
                            <w:sz w:val="20"/>
                          </w:rPr>
                        </w:pPr>
                        <w:r>
                          <w:rPr>
                            <w:b/>
                            <w:sz w:val="20"/>
                          </w:rPr>
                          <w:t>FY 2014-15</w:t>
                        </w:r>
                      </w:p>
                    </w:tc>
                    <w:tc>
                      <w:tcPr>
                        <w:tcW w:w="1675" w:type="dxa"/>
                        <w:shd w:val="clear" w:color="auto" w:fill="BEBEBE"/>
                      </w:tcPr>
                      <w:p w:rsidR="007C5447" w:rsidRDefault="00F6308C">
                        <w:pPr>
                          <w:pStyle w:val="TableParagraph"/>
                          <w:spacing w:before="50"/>
                          <w:ind w:left="348"/>
                          <w:jc w:val="left"/>
                          <w:rPr>
                            <w:b/>
                            <w:sz w:val="20"/>
                          </w:rPr>
                        </w:pPr>
                        <w:r>
                          <w:rPr>
                            <w:b/>
                            <w:sz w:val="20"/>
                          </w:rPr>
                          <w:t>FY 2015-16</w:t>
                        </w:r>
                      </w:p>
                    </w:tc>
                  </w:tr>
                  <w:tr w:rsidR="007C5447">
                    <w:trPr>
                      <w:trHeight w:val="299"/>
                    </w:trPr>
                    <w:tc>
                      <w:tcPr>
                        <w:tcW w:w="1061" w:type="dxa"/>
                      </w:tcPr>
                      <w:p w:rsidR="007C5447" w:rsidRDefault="00F6308C">
                        <w:pPr>
                          <w:pStyle w:val="TableParagraph"/>
                          <w:spacing w:before="34"/>
                          <w:ind w:left="9"/>
                          <w:jc w:val="center"/>
                          <w:rPr>
                            <w:sz w:val="20"/>
                          </w:rPr>
                        </w:pPr>
                        <w:r>
                          <w:rPr>
                            <w:w w:val="99"/>
                            <w:sz w:val="20"/>
                          </w:rPr>
                          <w:t>1</w:t>
                        </w:r>
                      </w:p>
                    </w:tc>
                    <w:tc>
                      <w:tcPr>
                        <w:tcW w:w="3269" w:type="dxa"/>
                      </w:tcPr>
                      <w:p w:rsidR="007C5447" w:rsidRDefault="00F6308C">
                        <w:pPr>
                          <w:pStyle w:val="TableParagraph"/>
                          <w:spacing w:before="55" w:line="224" w:lineRule="exact"/>
                          <w:ind w:left="108"/>
                          <w:jc w:val="left"/>
                          <w:rPr>
                            <w:sz w:val="20"/>
                          </w:rPr>
                        </w:pPr>
                        <w:r>
                          <w:rPr>
                            <w:sz w:val="20"/>
                          </w:rPr>
                          <w:t>Installed Capacity(MW)</w:t>
                        </w:r>
                      </w:p>
                    </w:tc>
                    <w:tc>
                      <w:tcPr>
                        <w:tcW w:w="1456" w:type="dxa"/>
                      </w:tcPr>
                      <w:p w:rsidR="007C5447" w:rsidRDefault="00F6308C">
                        <w:pPr>
                          <w:pStyle w:val="TableParagraph"/>
                          <w:spacing w:before="55" w:line="224" w:lineRule="exact"/>
                          <w:ind w:left="108"/>
                          <w:jc w:val="left"/>
                          <w:rPr>
                            <w:sz w:val="20"/>
                          </w:rPr>
                        </w:pPr>
                        <w:r>
                          <w:rPr>
                            <w:sz w:val="20"/>
                          </w:rPr>
                          <w:t>MW</w:t>
                        </w:r>
                      </w:p>
                    </w:tc>
                    <w:tc>
                      <w:tcPr>
                        <w:tcW w:w="1677" w:type="dxa"/>
                      </w:tcPr>
                      <w:p w:rsidR="007C5447" w:rsidRDefault="00F6308C">
                        <w:pPr>
                          <w:pStyle w:val="TableParagraph"/>
                          <w:spacing w:before="55" w:line="224" w:lineRule="exact"/>
                          <w:ind w:right="91"/>
                          <w:rPr>
                            <w:sz w:val="20"/>
                          </w:rPr>
                        </w:pPr>
                        <w:r>
                          <w:rPr>
                            <w:sz w:val="20"/>
                          </w:rPr>
                          <w:t>108</w:t>
                        </w:r>
                      </w:p>
                    </w:tc>
                    <w:tc>
                      <w:tcPr>
                        <w:tcW w:w="1680" w:type="dxa"/>
                      </w:tcPr>
                      <w:p w:rsidR="007C5447" w:rsidRDefault="00F6308C">
                        <w:pPr>
                          <w:pStyle w:val="TableParagraph"/>
                          <w:spacing w:before="55" w:line="224" w:lineRule="exact"/>
                          <w:ind w:right="93"/>
                          <w:rPr>
                            <w:sz w:val="20"/>
                          </w:rPr>
                        </w:pPr>
                        <w:r>
                          <w:rPr>
                            <w:sz w:val="20"/>
                          </w:rPr>
                          <w:t>108</w:t>
                        </w:r>
                      </w:p>
                    </w:tc>
                    <w:tc>
                      <w:tcPr>
                        <w:tcW w:w="1677" w:type="dxa"/>
                      </w:tcPr>
                      <w:p w:rsidR="007C5447" w:rsidRDefault="00F6308C">
                        <w:pPr>
                          <w:pStyle w:val="TableParagraph"/>
                          <w:spacing w:before="55" w:line="224" w:lineRule="exact"/>
                          <w:ind w:right="90"/>
                          <w:rPr>
                            <w:sz w:val="20"/>
                          </w:rPr>
                        </w:pPr>
                        <w:r>
                          <w:rPr>
                            <w:sz w:val="20"/>
                          </w:rPr>
                          <w:t>108</w:t>
                        </w:r>
                      </w:p>
                    </w:tc>
                    <w:tc>
                      <w:tcPr>
                        <w:tcW w:w="1678" w:type="dxa"/>
                      </w:tcPr>
                      <w:p w:rsidR="007C5447" w:rsidRDefault="00F6308C">
                        <w:pPr>
                          <w:pStyle w:val="TableParagraph"/>
                          <w:spacing w:before="55" w:line="224" w:lineRule="exact"/>
                          <w:ind w:right="90"/>
                          <w:rPr>
                            <w:sz w:val="20"/>
                          </w:rPr>
                        </w:pPr>
                        <w:r>
                          <w:rPr>
                            <w:sz w:val="20"/>
                          </w:rPr>
                          <w:t>108</w:t>
                        </w:r>
                      </w:p>
                    </w:tc>
                    <w:tc>
                      <w:tcPr>
                        <w:tcW w:w="1675" w:type="dxa"/>
                      </w:tcPr>
                      <w:p w:rsidR="007C5447" w:rsidRDefault="00F6308C">
                        <w:pPr>
                          <w:pStyle w:val="TableParagraph"/>
                          <w:spacing w:before="55" w:line="224" w:lineRule="exact"/>
                          <w:ind w:right="90"/>
                          <w:rPr>
                            <w:sz w:val="20"/>
                          </w:rPr>
                        </w:pPr>
                        <w:r>
                          <w:rPr>
                            <w:sz w:val="20"/>
                          </w:rPr>
                          <w:t>108</w:t>
                        </w:r>
                      </w:p>
                    </w:tc>
                  </w:tr>
                  <w:tr w:rsidR="007C5447">
                    <w:trPr>
                      <w:trHeight w:val="299"/>
                    </w:trPr>
                    <w:tc>
                      <w:tcPr>
                        <w:tcW w:w="1061" w:type="dxa"/>
                      </w:tcPr>
                      <w:p w:rsidR="007C5447" w:rsidRDefault="00F6308C">
                        <w:pPr>
                          <w:pStyle w:val="TableParagraph"/>
                          <w:spacing w:before="34"/>
                          <w:ind w:left="9"/>
                          <w:jc w:val="center"/>
                          <w:rPr>
                            <w:sz w:val="20"/>
                          </w:rPr>
                        </w:pPr>
                        <w:r>
                          <w:rPr>
                            <w:w w:val="99"/>
                            <w:sz w:val="20"/>
                          </w:rPr>
                          <w:t>2</w:t>
                        </w:r>
                      </w:p>
                    </w:tc>
                    <w:tc>
                      <w:tcPr>
                        <w:tcW w:w="3269" w:type="dxa"/>
                      </w:tcPr>
                      <w:p w:rsidR="007C5447" w:rsidRDefault="00F6308C">
                        <w:pPr>
                          <w:pStyle w:val="TableParagraph"/>
                          <w:spacing w:before="55" w:line="224" w:lineRule="exact"/>
                          <w:ind w:left="108"/>
                          <w:jc w:val="left"/>
                          <w:rPr>
                            <w:sz w:val="20"/>
                          </w:rPr>
                        </w:pPr>
                        <w:r>
                          <w:rPr>
                            <w:sz w:val="20"/>
                          </w:rPr>
                          <w:t>Allocated Capacity</w:t>
                        </w:r>
                      </w:p>
                    </w:tc>
                    <w:tc>
                      <w:tcPr>
                        <w:tcW w:w="1456" w:type="dxa"/>
                      </w:tcPr>
                      <w:p w:rsidR="007C5447" w:rsidRDefault="00F6308C">
                        <w:pPr>
                          <w:pStyle w:val="TableParagraph"/>
                          <w:spacing w:before="55" w:line="224" w:lineRule="exact"/>
                          <w:ind w:left="108"/>
                          <w:jc w:val="left"/>
                          <w:rPr>
                            <w:sz w:val="20"/>
                          </w:rPr>
                        </w:pPr>
                        <w:r>
                          <w:rPr>
                            <w:sz w:val="20"/>
                          </w:rPr>
                          <w:t>MW</w:t>
                        </w:r>
                      </w:p>
                    </w:tc>
                    <w:tc>
                      <w:tcPr>
                        <w:tcW w:w="1677" w:type="dxa"/>
                      </w:tcPr>
                      <w:p w:rsidR="007C5447" w:rsidRDefault="00F6308C">
                        <w:pPr>
                          <w:pStyle w:val="TableParagraph"/>
                          <w:spacing w:before="55" w:line="224" w:lineRule="exact"/>
                          <w:ind w:right="91"/>
                          <w:rPr>
                            <w:sz w:val="20"/>
                          </w:rPr>
                        </w:pPr>
                        <w:r>
                          <w:rPr>
                            <w:sz w:val="20"/>
                          </w:rPr>
                          <w:t>108</w:t>
                        </w:r>
                      </w:p>
                    </w:tc>
                    <w:tc>
                      <w:tcPr>
                        <w:tcW w:w="1680" w:type="dxa"/>
                      </w:tcPr>
                      <w:p w:rsidR="007C5447" w:rsidRDefault="00F6308C">
                        <w:pPr>
                          <w:pStyle w:val="TableParagraph"/>
                          <w:spacing w:before="55" w:line="224" w:lineRule="exact"/>
                          <w:ind w:right="93"/>
                          <w:rPr>
                            <w:sz w:val="20"/>
                          </w:rPr>
                        </w:pPr>
                        <w:r>
                          <w:rPr>
                            <w:sz w:val="20"/>
                          </w:rPr>
                          <w:t>108</w:t>
                        </w:r>
                      </w:p>
                    </w:tc>
                    <w:tc>
                      <w:tcPr>
                        <w:tcW w:w="1677" w:type="dxa"/>
                      </w:tcPr>
                      <w:p w:rsidR="007C5447" w:rsidRDefault="00F6308C">
                        <w:pPr>
                          <w:pStyle w:val="TableParagraph"/>
                          <w:spacing w:before="55" w:line="224" w:lineRule="exact"/>
                          <w:ind w:right="90"/>
                          <w:rPr>
                            <w:sz w:val="20"/>
                          </w:rPr>
                        </w:pPr>
                        <w:r>
                          <w:rPr>
                            <w:sz w:val="20"/>
                          </w:rPr>
                          <w:t>108</w:t>
                        </w:r>
                      </w:p>
                    </w:tc>
                    <w:tc>
                      <w:tcPr>
                        <w:tcW w:w="1678" w:type="dxa"/>
                      </w:tcPr>
                      <w:p w:rsidR="007C5447" w:rsidRDefault="00F6308C">
                        <w:pPr>
                          <w:pStyle w:val="TableParagraph"/>
                          <w:spacing w:before="55" w:line="224" w:lineRule="exact"/>
                          <w:ind w:right="90"/>
                          <w:rPr>
                            <w:sz w:val="20"/>
                          </w:rPr>
                        </w:pPr>
                        <w:r>
                          <w:rPr>
                            <w:sz w:val="20"/>
                          </w:rPr>
                          <w:t>108</w:t>
                        </w:r>
                      </w:p>
                    </w:tc>
                    <w:tc>
                      <w:tcPr>
                        <w:tcW w:w="1675" w:type="dxa"/>
                      </w:tcPr>
                      <w:p w:rsidR="007C5447" w:rsidRDefault="00F6308C">
                        <w:pPr>
                          <w:pStyle w:val="TableParagraph"/>
                          <w:spacing w:before="55" w:line="224" w:lineRule="exact"/>
                          <w:ind w:right="90"/>
                          <w:rPr>
                            <w:sz w:val="20"/>
                          </w:rPr>
                        </w:pPr>
                        <w:r>
                          <w:rPr>
                            <w:sz w:val="20"/>
                          </w:rPr>
                          <w:t>108</w:t>
                        </w:r>
                      </w:p>
                    </w:tc>
                  </w:tr>
                  <w:tr w:rsidR="007C5447">
                    <w:trPr>
                      <w:trHeight w:val="299"/>
                    </w:trPr>
                    <w:tc>
                      <w:tcPr>
                        <w:tcW w:w="1061" w:type="dxa"/>
                      </w:tcPr>
                      <w:p w:rsidR="007C5447" w:rsidRDefault="00F6308C">
                        <w:pPr>
                          <w:pStyle w:val="TableParagraph"/>
                          <w:spacing w:before="36"/>
                          <w:ind w:left="9"/>
                          <w:jc w:val="center"/>
                          <w:rPr>
                            <w:sz w:val="20"/>
                          </w:rPr>
                        </w:pPr>
                        <w:r>
                          <w:rPr>
                            <w:w w:val="99"/>
                            <w:sz w:val="20"/>
                          </w:rPr>
                          <w:t>3</w:t>
                        </w:r>
                      </w:p>
                    </w:tc>
                    <w:tc>
                      <w:tcPr>
                        <w:tcW w:w="3269" w:type="dxa"/>
                      </w:tcPr>
                      <w:p w:rsidR="007C5447" w:rsidRDefault="00F6308C">
                        <w:pPr>
                          <w:pStyle w:val="TableParagraph"/>
                          <w:spacing w:before="55" w:line="224" w:lineRule="exact"/>
                          <w:ind w:left="108"/>
                          <w:jc w:val="left"/>
                          <w:rPr>
                            <w:sz w:val="20"/>
                          </w:rPr>
                        </w:pPr>
                        <w:r>
                          <w:rPr>
                            <w:sz w:val="20"/>
                          </w:rPr>
                          <w:t>Days</w:t>
                        </w:r>
                      </w:p>
                    </w:tc>
                    <w:tc>
                      <w:tcPr>
                        <w:tcW w:w="1456" w:type="dxa"/>
                      </w:tcPr>
                      <w:p w:rsidR="007C5447" w:rsidRDefault="00F6308C">
                        <w:pPr>
                          <w:pStyle w:val="TableParagraph"/>
                          <w:spacing w:before="55" w:line="224" w:lineRule="exact"/>
                          <w:ind w:left="108"/>
                          <w:jc w:val="left"/>
                          <w:rPr>
                            <w:sz w:val="20"/>
                          </w:rPr>
                        </w:pPr>
                        <w:r>
                          <w:rPr>
                            <w:sz w:val="20"/>
                          </w:rPr>
                          <w:t>Nos.</w:t>
                        </w:r>
                      </w:p>
                    </w:tc>
                    <w:tc>
                      <w:tcPr>
                        <w:tcW w:w="1677" w:type="dxa"/>
                      </w:tcPr>
                      <w:p w:rsidR="007C5447" w:rsidRDefault="00F6308C">
                        <w:pPr>
                          <w:pStyle w:val="TableParagraph"/>
                          <w:spacing w:before="55" w:line="224" w:lineRule="exact"/>
                          <w:ind w:right="91"/>
                          <w:rPr>
                            <w:sz w:val="20"/>
                          </w:rPr>
                        </w:pPr>
                        <w:r>
                          <w:rPr>
                            <w:sz w:val="20"/>
                          </w:rPr>
                          <w:t>366</w:t>
                        </w:r>
                      </w:p>
                    </w:tc>
                    <w:tc>
                      <w:tcPr>
                        <w:tcW w:w="1680" w:type="dxa"/>
                      </w:tcPr>
                      <w:p w:rsidR="007C5447" w:rsidRDefault="00F6308C">
                        <w:pPr>
                          <w:pStyle w:val="TableParagraph"/>
                          <w:spacing w:before="55" w:line="224" w:lineRule="exact"/>
                          <w:ind w:right="93"/>
                          <w:rPr>
                            <w:sz w:val="20"/>
                          </w:rPr>
                        </w:pPr>
                        <w:r>
                          <w:rPr>
                            <w:sz w:val="20"/>
                          </w:rPr>
                          <w:t>365</w:t>
                        </w:r>
                      </w:p>
                    </w:tc>
                    <w:tc>
                      <w:tcPr>
                        <w:tcW w:w="1677" w:type="dxa"/>
                      </w:tcPr>
                      <w:p w:rsidR="007C5447" w:rsidRDefault="00F6308C">
                        <w:pPr>
                          <w:pStyle w:val="TableParagraph"/>
                          <w:spacing w:before="55" w:line="224" w:lineRule="exact"/>
                          <w:ind w:right="90"/>
                          <w:rPr>
                            <w:sz w:val="20"/>
                          </w:rPr>
                        </w:pPr>
                        <w:r>
                          <w:rPr>
                            <w:sz w:val="20"/>
                          </w:rPr>
                          <w:t>365</w:t>
                        </w:r>
                      </w:p>
                    </w:tc>
                    <w:tc>
                      <w:tcPr>
                        <w:tcW w:w="1678" w:type="dxa"/>
                      </w:tcPr>
                      <w:p w:rsidR="007C5447" w:rsidRDefault="00F6308C">
                        <w:pPr>
                          <w:pStyle w:val="TableParagraph"/>
                          <w:spacing w:before="55" w:line="224" w:lineRule="exact"/>
                          <w:ind w:right="90"/>
                          <w:rPr>
                            <w:sz w:val="20"/>
                          </w:rPr>
                        </w:pPr>
                        <w:r>
                          <w:rPr>
                            <w:sz w:val="20"/>
                          </w:rPr>
                          <w:t>365</w:t>
                        </w:r>
                      </w:p>
                    </w:tc>
                    <w:tc>
                      <w:tcPr>
                        <w:tcW w:w="1675" w:type="dxa"/>
                      </w:tcPr>
                      <w:p w:rsidR="007C5447" w:rsidRDefault="00F6308C">
                        <w:pPr>
                          <w:pStyle w:val="TableParagraph"/>
                          <w:spacing w:before="55" w:line="224" w:lineRule="exact"/>
                          <w:ind w:right="90"/>
                          <w:rPr>
                            <w:sz w:val="20"/>
                          </w:rPr>
                        </w:pPr>
                        <w:r>
                          <w:rPr>
                            <w:sz w:val="20"/>
                          </w:rPr>
                          <w:t>366</w:t>
                        </w:r>
                      </w:p>
                    </w:tc>
                  </w:tr>
                  <w:tr w:rsidR="007C5447">
                    <w:trPr>
                      <w:trHeight w:val="299"/>
                    </w:trPr>
                    <w:tc>
                      <w:tcPr>
                        <w:tcW w:w="1061" w:type="dxa"/>
                      </w:tcPr>
                      <w:p w:rsidR="007C5447" w:rsidRDefault="00F6308C">
                        <w:pPr>
                          <w:pStyle w:val="TableParagraph"/>
                          <w:spacing w:before="36"/>
                          <w:ind w:left="9"/>
                          <w:jc w:val="center"/>
                          <w:rPr>
                            <w:sz w:val="20"/>
                          </w:rPr>
                        </w:pPr>
                        <w:r>
                          <w:rPr>
                            <w:w w:val="99"/>
                            <w:sz w:val="20"/>
                          </w:rPr>
                          <w:t>4</w:t>
                        </w:r>
                      </w:p>
                    </w:tc>
                    <w:tc>
                      <w:tcPr>
                        <w:tcW w:w="3269" w:type="dxa"/>
                      </w:tcPr>
                      <w:p w:rsidR="007C5447" w:rsidRDefault="00F6308C">
                        <w:pPr>
                          <w:pStyle w:val="TableParagraph"/>
                          <w:spacing w:before="55" w:line="224" w:lineRule="exact"/>
                          <w:ind w:left="108"/>
                          <w:jc w:val="left"/>
                          <w:rPr>
                            <w:sz w:val="20"/>
                          </w:rPr>
                        </w:pPr>
                        <w:r>
                          <w:rPr>
                            <w:sz w:val="20"/>
                          </w:rPr>
                          <w:t>PLF</w:t>
                        </w:r>
                      </w:p>
                    </w:tc>
                    <w:tc>
                      <w:tcPr>
                        <w:tcW w:w="1456" w:type="dxa"/>
                      </w:tcPr>
                      <w:p w:rsidR="007C5447" w:rsidRDefault="00F6308C">
                        <w:pPr>
                          <w:pStyle w:val="TableParagraph"/>
                          <w:spacing w:before="55" w:line="224" w:lineRule="exact"/>
                          <w:ind w:left="108"/>
                          <w:jc w:val="left"/>
                          <w:rPr>
                            <w:sz w:val="20"/>
                          </w:rPr>
                        </w:pPr>
                        <w:r>
                          <w:rPr>
                            <w:w w:val="99"/>
                            <w:sz w:val="20"/>
                          </w:rPr>
                          <w:t>%</w:t>
                        </w:r>
                      </w:p>
                    </w:tc>
                    <w:tc>
                      <w:tcPr>
                        <w:tcW w:w="1677" w:type="dxa"/>
                      </w:tcPr>
                      <w:p w:rsidR="007C5447" w:rsidRDefault="00F6308C">
                        <w:pPr>
                          <w:pStyle w:val="TableParagraph"/>
                          <w:spacing w:before="55" w:line="224" w:lineRule="exact"/>
                          <w:ind w:right="92"/>
                          <w:rPr>
                            <w:sz w:val="20"/>
                          </w:rPr>
                        </w:pPr>
                        <w:r>
                          <w:rPr>
                            <w:sz w:val="20"/>
                          </w:rPr>
                          <w:t>74.68%</w:t>
                        </w:r>
                      </w:p>
                    </w:tc>
                    <w:tc>
                      <w:tcPr>
                        <w:tcW w:w="1680" w:type="dxa"/>
                      </w:tcPr>
                      <w:p w:rsidR="007C5447" w:rsidRDefault="00F6308C">
                        <w:pPr>
                          <w:pStyle w:val="TableParagraph"/>
                          <w:spacing w:before="55" w:line="224" w:lineRule="exact"/>
                          <w:ind w:right="94"/>
                          <w:rPr>
                            <w:sz w:val="20"/>
                          </w:rPr>
                        </w:pPr>
                        <w:r>
                          <w:rPr>
                            <w:sz w:val="20"/>
                          </w:rPr>
                          <w:t>76.90%</w:t>
                        </w:r>
                      </w:p>
                    </w:tc>
                    <w:tc>
                      <w:tcPr>
                        <w:tcW w:w="1677" w:type="dxa"/>
                      </w:tcPr>
                      <w:p w:rsidR="007C5447" w:rsidRDefault="00F6308C">
                        <w:pPr>
                          <w:pStyle w:val="TableParagraph"/>
                          <w:spacing w:before="55" w:line="224" w:lineRule="exact"/>
                          <w:ind w:right="91"/>
                          <w:rPr>
                            <w:sz w:val="20"/>
                          </w:rPr>
                        </w:pPr>
                        <w:r>
                          <w:rPr>
                            <w:sz w:val="20"/>
                          </w:rPr>
                          <w:t>52.69%</w:t>
                        </w:r>
                      </w:p>
                    </w:tc>
                    <w:tc>
                      <w:tcPr>
                        <w:tcW w:w="1678" w:type="dxa"/>
                      </w:tcPr>
                      <w:p w:rsidR="007C5447" w:rsidRDefault="00F6308C">
                        <w:pPr>
                          <w:pStyle w:val="TableParagraph"/>
                          <w:spacing w:before="55" w:line="224" w:lineRule="exact"/>
                          <w:ind w:right="91"/>
                          <w:rPr>
                            <w:sz w:val="20"/>
                          </w:rPr>
                        </w:pPr>
                        <w:r>
                          <w:rPr>
                            <w:sz w:val="20"/>
                          </w:rPr>
                          <w:t>43.81%</w:t>
                        </w:r>
                      </w:p>
                    </w:tc>
                    <w:tc>
                      <w:tcPr>
                        <w:tcW w:w="1675" w:type="dxa"/>
                      </w:tcPr>
                      <w:p w:rsidR="007C5447" w:rsidRDefault="00F6308C">
                        <w:pPr>
                          <w:pStyle w:val="TableParagraph"/>
                          <w:spacing w:before="55" w:line="224" w:lineRule="exact"/>
                          <w:ind w:right="91"/>
                          <w:rPr>
                            <w:sz w:val="20"/>
                          </w:rPr>
                        </w:pPr>
                        <w:r>
                          <w:rPr>
                            <w:sz w:val="20"/>
                          </w:rPr>
                          <w:t>42.23%</w:t>
                        </w:r>
                      </w:p>
                    </w:tc>
                  </w:tr>
                  <w:tr w:rsidR="007C5447">
                    <w:trPr>
                      <w:trHeight w:val="299"/>
                    </w:trPr>
                    <w:tc>
                      <w:tcPr>
                        <w:tcW w:w="1061" w:type="dxa"/>
                      </w:tcPr>
                      <w:p w:rsidR="007C5447" w:rsidRDefault="00F6308C">
                        <w:pPr>
                          <w:pStyle w:val="TableParagraph"/>
                          <w:spacing w:before="36"/>
                          <w:ind w:left="9"/>
                          <w:jc w:val="center"/>
                          <w:rPr>
                            <w:sz w:val="20"/>
                          </w:rPr>
                        </w:pPr>
                        <w:r>
                          <w:rPr>
                            <w:w w:val="99"/>
                            <w:sz w:val="20"/>
                          </w:rPr>
                          <w:t>5</w:t>
                        </w:r>
                      </w:p>
                    </w:tc>
                    <w:tc>
                      <w:tcPr>
                        <w:tcW w:w="3269" w:type="dxa"/>
                      </w:tcPr>
                      <w:p w:rsidR="007C5447" w:rsidRDefault="00F6308C">
                        <w:pPr>
                          <w:pStyle w:val="TableParagraph"/>
                          <w:spacing w:before="55" w:line="224" w:lineRule="exact"/>
                          <w:ind w:left="108"/>
                          <w:jc w:val="left"/>
                          <w:rPr>
                            <w:sz w:val="20"/>
                          </w:rPr>
                        </w:pPr>
                        <w:r>
                          <w:rPr>
                            <w:sz w:val="20"/>
                          </w:rPr>
                          <w:t>Gross Generation</w:t>
                        </w:r>
                      </w:p>
                    </w:tc>
                    <w:tc>
                      <w:tcPr>
                        <w:tcW w:w="1456" w:type="dxa"/>
                      </w:tcPr>
                      <w:p w:rsidR="007C5447" w:rsidRDefault="00F6308C">
                        <w:pPr>
                          <w:pStyle w:val="TableParagraph"/>
                          <w:spacing w:before="55" w:line="224" w:lineRule="exact"/>
                          <w:ind w:left="108"/>
                          <w:jc w:val="left"/>
                          <w:rPr>
                            <w:sz w:val="20"/>
                          </w:rPr>
                        </w:pPr>
                        <w:r>
                          <w:rPr>
                            <w:sz w:val="20"/>
                          </w:rPr>
                          <w:t>MU</w:t>
                        </w:r>
                      </w:p>
                    </w:tc>
                    <w:tc>
                      <w:tcPr>
                        <w:tcW w:w="1677" w:type="dxa"/>
                      </w:tcPr>
                      <w:p w:rsidR="007C5447" w:rsidRDefault="00F6308C">
                        <w:pPr>
                          <w:pStyle w:val="TableParagraph"/>
                          <w:spacing w:before="55" w:line="224" w:lineRule="exact"/>
                          <w:ind w:right="96"/>
                          <w:rPr>
                            <w:sz w:val="20"/>
                          </w:rPr>
                        </w:pPr>
                        <w:r>
                          <w:rPr>
                            <w:w w:val="95"/>
                            <w:sz w:val="20"/>
                          </w:rPr>
                          <w:t>707.67</w:t>
                        </w:r>
                      </w:p>
                    </w:tc>
                    <w:tc>
                      <w:tcPr>
                        <w:tcW w:w="1680" w:type="dxa"/>
                      </w:tcPr>
                      <w:p w:rsidR="007C5447" w:rsidRDefault="00F6308C">
                        <w:pPr>
                          <w:pStyle w:val="TableParagraph"/>
                          <w:spacing w:before="55" w:line="224" w:lineRule="exact"/>
                          <w:ind w:right="98"/>
                          <w:rPr>
                            <w:sz w:val="20"/>
                          </w:rPr>
                        </w:pPr>
                        <w:r>
                          <w:rPr>
                            <w:w w:val="95"/>
                            <w:sz w:val="20"/>
                          </w:rPr>
                          <w:t>726.74</w:t>
                        </w:r>
                      </w:p>
                    </w:tc>
                    <w:tc>
                      <w:tcPr>
                        <w:tcW w:w="1677" w:type="dxa"/>
                      </w:tcPr>
                      <w:p w:rsidR="007C5447" w:rsidRDefault="00F6308C">
                        <w:pPr>
                          <w:pStyle w:val="TableParagraph"/>
                          <w:spacing w:before="55" w:line="224" w:lineRule="exact"/>
                          <w:ind w:right="94"/>
                          <w:rPr>
                            <w:sz w:val="20"/>
                          </w:rPr>
                        </w:pPr>
                        <w:r>
                          <w:rPr>
                            <w:w w:val="95"/>
                            <w:sz w:val="20"/>
                          </w:rPr>
                          <w:t>497.92</w:t>
                        </w:r>
                      </w:p>
                    </w:tc>
                    <w:tc>
                      <w:tcPr>
                        <w:tcW w:w="1678" w:type="dxa"/>
                      </w:tcPr>
                      <w:p w:rsidR="007C5447" w:rsidRDefault="00F6308C">
                        <w:pPr>
                          <w:pStyle w:val="TableParagraph"/>
                          <w:spacing w:before="55" w:line="224" w:lineRule="exact"/>
                          <w:ind w:right="95"/>
                          <w:rPr>
                            <w:sz w:val="20"/>
                          </w:rPr>
                        </w:pPr>
                        <w:r>
                          <w:rPr>
                            <w:w w:val="95"/>
                            <w:sz w:val="20"/>
                          </w:rPr>
                          <w:t>414.00</w:t>
                        </w:r>
                      </w:p>
                    </w:tc>
                    <w:tc>
                      <w:tcPr>
                        <w:tcW w:w="1675" w:type="dxa"/>
                      </w:tcPr>
                      <w:p w:rsidR="007C5447" w:rsidRDefault="00F6308C">
                        <w:pPr>
                          <w:pStyle w:val="TableParagraph"/>
                          <w:spacing w:before="55" w:line="224" w:lineRule="exact"/>
                          <w:ind w:right="94"/>
                          <w:rPr>
                            <w:sz w:val="20"/>
                          </w:rPr>
                        </w:pPr>
                        <w:r>
                          <w:rPr>
                            <w:w w:val="95"/>
                            <w:sz w:val="20"/>
                          </w:rPr>
                          <w:t>400.19</w:t>
                        </w:r>
                      </w:p>
                    </w:tc>
                  </w:tr>
                  <w:tr w:rsidR="007C5447">
                    <w:trPr>
                      <w:trHeight w:val="302"/>
                    </w:trPr>
                    <w:tc>
                      <w:tcPr>
                        <w:tcW w:w="1061" w:type="dxa"/>
                      </w:tcPr>
                      <w:p w:rsidR="007C5447" w:rsidRDefault="00F6308C">
                        <w:pPr>
                          <w:pStyle w:val="TableParagraph"/>
                          <w:spacing w:before="36"/>
                          <w:ind w:left="9"/>
                          <w:jc w:val="center"/>
                          <w:rPr>
                            <w:sz w:val="20"/>
                          </w:rPr>
                        </w:pPr>
                        <w:r>
                          <w:rPr>
                            <w:w w:val="99"/>
                            <w:sz w:val="20"/>
                          </w:rPr>
                          <w:t>6</w:t>
                        </w:r>
                      </w:p>
                    </w:tc>
                    <w:tc>
                      <w:tcPr>
                        <w:tcW w:w="3269" w:type="dxa"/>
                      </w:tcPr>
                      <w:p w:rsidR="007C5447" w:rsidRDefault="00F6308C">
                        <w:pPr>
                          <w:pStyle w:val="TableParagraph"/>
                          <w:spacing w:before="55" w:line="227" w:lineRule="exact"/>
                          <w:ind w:left="108"/>
                          <w:jc w:val="left"/>
                          <w:rPr>
                            <w:sz w:val="20"/>
                          </w:rPr>
                        </w:pPr>
                        <w:r>
                          <w:rPr>
                            <w:sz w:val="20"/>
                          </w:rPr>
                          <w:t>Auxiliary consumption</w:t>
                        </w:r>
                      </w:p>
                    </w:tc>
                    <w:tc>
                      <w:tcPr>
                        <w:tcW w:w="1456" w:type="dxa"/>
                      </w:tcPr>
                      <w:p w:rsidR="007C5447" w:rsidRDefault="00F6308C">
                        <w:pPr>
                          <w:pStyle w:val="TableParagraph"/>
                          <w:spacing w:before="55" w:line="227" w:lineRule="exact"/>
                          <w:ind w:left="108"/>
                          <w:jc w:val="left"/>
                          <w:rPr>
                            <w:sz w:val="20"/>
                          </w:rPr>
                        </w:pPr>
                        <w:r>
                          <w:rPr>
                            <w:w w:val="99"/>
                            <w:sz w:val="20"/>
                          </w:rPr>
                          <w:t>%</w:t>
                        </w:r>
                      </w:p>
                    </w:tc>
                    <w:tc>
                      <w:tcPr>
                        <w:tcW w:w="1677" w:type="dxa"/>
                      </w:tcPr>
                      <w:p w:rsidR="007C5447" w:rsidRDefault="00F6308C">
                        <w:pPr>
                          <w:pStyle w:val="TableParagraph"/>
                          <w:spacing w:before="55" w:line="227" w:lineRule="exact"/>
                          <w:ind w:right="92"/>
                          <w:rPr>
                            <w:sz w:val="20"/>
                          </w:rPr>
                        </w:pPr>
                        <w:r>
                          <w:rPr>
                            <w:sz w:val="20"/>
                          </w:rPr>
                          <w:t>6.00%</w:t>
                        </w:r>
                      </w:p>
                    </w:tc>
                    <w:tc>
                      <w:tcPr>
                        <w:tcW w:w="1680" w:type="dxa"/>
                      </w:tcPr>
                      <w:p w:rsidR="007C5447" w:rsidRDefault="00F6308C">
                        <w:pPr>
                          <w:pStyle w:val="TableParagraph"/>
                          <w:spacing w:before="55" w:line="227" w:lineRule="exact"/>
                          <w:ind w:right="94"/>
                          <w:rPr>
                            <w:sz w:val="20"/>
                          </w:rPr>
                        </w:pPr>
                        <w:r>
                          <w:rPr>
                            <w:sz w:val="20"/>
                          </w:rPr>
                          <w:t>6.00%</w:t>
                        </w:r>
                      </w:p>
                    </w:tc>
                    <w:tc>
                      <w:tcPr>
                        <w:tcW w:w="1677" w:type="dxa"/>
                      </w:tcPr>
                      <w:p w:rsidR="007C5447" w:rsidRDefault="00F6308C">
                        <w:pPr>
                          <w:pStyle w:val="TableParagraph"/>
                          <w:spacing w:before="55" w:line="227" w:lineRule="exact"/>
                          <w:ind w:right="91"/>
                          <w:rPr>
                            <w:sz w:val="20"/>
                          </w:rPr>
                        </w:pPr>
                        <w:r>
                          <w:rPr>
                            <w:sz w:val="20"/>
                          </w:rPr>
                          <w:t>6.00%</w:t>
                        </w:r>
                      </w:p>
                    </w:tc>
                    <w:tc>
                      <w:tcPr>
                        <w:tcW w:w="1678" w:type="dxa"/>
                      </w:tcPr>
                      <w:p w:rsidR="007C5447" w:rsidRDefault="00F6308C">
                        <w:pPr>
                          <w:pStyle w:val="TableParagraph"/>
                          <w:spacing w:before="55" w:line="227" w:lineRule="exact"/>
                          <w:ind w:right="91"/>
                          <w:rPr>
                            <w:sz w:val="20"/>
                          </w:rPr>
                        </w:pPr>
                        <w:r>
                          <w:rPr>
                            <w:sz w:val="20"/>
                          </w:rPr>
                          <w:t>6.00%</w:t>
                        </w:r>
                      </w:p>
                    </w:tc>
                    <w:tc>
                      <w:tcPr>
                        <w:tcW w:w="1675" w:type="dxa"/>
                      </w:tcPr>
                      <w:p w:rsidR="007C5447" w:rsidRDefault="00F6308C">
                        <w:pPr>
                          <w:pStyle w:val="TableParagraph"/>
                          <w:spacing w:before="55" w:line="227" w:lineRule="exact"/>
                          <w:ind w:right="90"/>
                          <w:rPr>
                            <w:sz w:val="20"/>
                          </w:rPr>
                        </w:pPr>
                        <w:r>
                          <w:rPr>
                            <w:sz w:val="20"/>
                          </w:rPr>
                          <w:t>6.00%</w:t>
                        </w:r>
                      </w:p>
                    </w:tc>
                  </w:tr>
                  <w:tr w:rsidR="007C5447">
                    <w:trPr>
                      <w:trHeight w:val="300"/>
                    </w:trPr>
                    <w:tc>
                      <w:tcPr>
                        <w:tcW w:w="1061" w:type="dxa"/>
                      </w:tcPr>
                      <w:p w:rsidR="007C5447" w:rsidRDefault="00F6308C">
                        <w:pPr>
                          <w:pStyle w:val="TableParagraph"/>
                          <w:spacing w:before="34"/>
                          <w:ind w:left="9"/>
                          <w:jc w:val="center"/>
                          <w:rPr>
                            <w:sz w:val="20"/>
                          </w:rPr>
                        </w:pPr>
                        <w:r>
                          <w:rPr>
                            <w:w w:val="99"/>
                            <w:sz w:val="20"/>
                          </w:rPr>
                          <w:t>7</w:t>
                        </w:r>
                      </w:p>
                    </w:tc>
                    <w:tc>
                      <w:tcPr>
                        <w:tcW w:w="3269" w:type="dxa"/>
                      </w:tcPr>
                      <w:p w:rsidR="007C5447" w:rsidRDefault="00F6308C">
                        <w:pPr>
                          <w:pStyle w:val="TableParagraph"/>
                          <w:spacing w:before="56" w:line="224" w:lineRule="exact"/>
                          <w:ind w:left="108"/>
                          <w:jc w:val="left"/>
                          <w:rPr>
                            <w:sz w:val="20"/>
                          </w:rPr>
                        </w:pPr>
                        <w:r>
                          <w:rPr>
                            <w:sz w:val="20"/>
                          </w:rPr>
                          <w:t>Net Generation MU</w:t>
                        </w:r>
                      </w:p>
                    </w:tc>
                    <w:tc>
                      <w:tcPr>
                        <w:tcW w:w="1456" w:type="dxa"/>
                      </w:tcPr>
                      <w:p w:rsidR="007C5447" w:rsidRDefault="00F6308C">
                        <w:pPr>
                          <w:pStyle w:val="TableParagraph"/>
                          <w:spacing w:before="56" w:line="224" w:lineRule="exact"/>
                          <w:ind w:left="108"/>
                          <w:jc w:val="left"/>
                          <w:rPr>
                            <w:sz w:val="20"/>
                          </w:rPr>
                        </w:pPr>
                        <w:r>
                          <w:rPr>
                            <w:sz w:val="20"/>
                          </w:rPr>
                          <w:t>MU</w:t>
                        </w:r>
                      </w:p>
                    </w:tc>
                    <w:tc>
                      <w:tcPr>
                        <w:tcW w:w="1677" w:type="dxa"/>
                      </w:tcPr>
                      <w:p w:rsidR="007C5447" w:rsidRDefault="00F6308C">
                        <w:pPr>
                          <w:pStyle w:val="TableParagraph"/>
                          <w:spacing w:before="56" w:line="224" w:lineRule="exact"/>
                          <w:ind w:right="93"/>
                          <w:rPr>
                            <w:sz w:val="20"/>
                          </w:rPr>
                        </w:pPr>
                        <w:r>
                          <w:rPr>
                            <w:w w:val="95"/>
                            <w:sz w:val="20"/>
                          </w:rPr>
                          <w:t>665.21</w:t>
                        </w:r>
                      </w:p>
                    </w:tc>
                    <w:tc>
                      <w:tcPr>
                        <w:tcW w:w="1680" w:type="dxa"/>
                      </w:tcPr>
                      <w:p w:rsidR="007C5447" w:rsidRDefault="00F6308C">
                        <w:pPr>
                          <w:pStyle w:val="TableParagraph"/>
                          <w:spacing w:before="56" w:line="224" w:lineRule="exact"/>
                          <w:ind w:right="95"/>
                          <w:rPr>
                            <w:sz w:val="20"/>
                          </w:rPr>
                        </w:pPr>
                        <w:r>
                          <w:rPr>
                            <w:w w:val="95"/>
                            <w:sz w:val="20"/>
                          </w:rPr>
                          <w:t>683.13</w:t>
                        </w:r>
                      </w:p>
                    </w:tc>
                    <w:tc>
                      <w:tcPr>
                        <w:tcW w:w="1677" w:type="dxa"/>
                      </w:tcPr>
                      <w:p w:rsidR="007C5447" w:rsidRDefault="00F6308C">
                        <w:pPr>
                          <w:pStyle w:val="TableParagraph"/>
                          <w:spacing w:before="56" w:line="224" w:lineRule="exact"/>
                          <w:ind w:right="92"/>
                          <w:rPr>
                            <w:sz w:val="20"/>
                          </w:rPr>
                        </w:pPr>
                        <w:r>
                          <w:rPr>
                            <w:w w:val="95"/>
                            <w:sz w:val="20"/>
                          </w:rPr>
                          <w:t>468.04</w:t>
                        </w:r>
                      </w:p>
                    </w:tc>
                    <w:tc>
                      <w:tcPr>
                        <w:tcW w:w="1678" w:type="dxa"/>
                      </w:tcPr>
                      <w:p w:rsidR="007C5447" w:rsidRDefault="00F6308C">
                        <w:pPr>
                          <w:pStyle w:val="TableParagraph"/>
                          <w:spacing w:before="56" w:line="224" w:lineRule="exact"/>
                          <w:ind w:right="92"/>
                          <w:rPr>
                            <w:sz w:val="20"/>
                          </w:rPr>
                        </w:pPr>
                        <w:r>
                          <w:rPr>
                            <w:w w:val="95"/>
                            <w:sz w:val="20"/>
                          </w:rPr>
                          <w:t>389.16</w:t>
                        </w:r>
                      </w:p>
                    </w:tc>
                    <w:tc>
                      <w:tcPr>
                        <w:tcW w:w="1675" w:type="dxa"/>
                      </w:tcPr>
                      <w:p w:rsidR="007C5447" w:rsidRDefault="00F6308C">
                        <w:pPr>
                          <w:pStyle w:val="TableParagraph"/>
                          <w:spacing w:before="56" w:line="224" w:lineRule="exact"/>
                          <w:ind w:right="92"/>
                          <w:rPr>
                            <w:sz w:val="20"/>
                          </w:rPr>
                        </w:pPr>
                        <w:r>
                          <w:rPr>
                            <w:w w:val="95"/>
                            <w:sz w:val="20"/>
                          </w:rPr>
                          <w:t>376.18</w:t>
                        </w:r>
                      </w:p>
                    </w:tc>
                  </w:tr>
                  <w:tr w:rsidR="007C5447">
                    <w:trPr>
                      <w:trHeight w:val="328"/>
                    </w:trPr>
                    <w:tc>
                      <w:tcPr>
                        <w:tcW w:w="1061" w:type="dxa"/>
                        <w:shd w:val="clear" w:color="auto" w:fill="ECECEC"/>
                      </w:tcPr>
                      <w:p w:rsidR="007C5447" w:rsidRDefault="007C5447">
                        <w:pPr>
                          <w:pStyle w:val="TableParagraph"/>
                          <w:jc w:val="left"/>
                          <w:rPr>
                            <w:sz w:val="20"/>
                          </w:rPr>
                        </w:pPr>
                      </w:p>
                    </w:tc>
                    <w:tc>
                      <w:tcPr>
                        <w:tcW w:w="3269" w:type="dxa"/>
                        <w:shd w:val="clear" w:color="auto" w:fill="ECECEC"/>
                      </w:tcPr>
                      <w:p w:rsidR="007C5447" w:rsidRDefault="00F6308C">
                        <w:pPr>
                          <w:pStyle w:val="TableParagraph"/>
                          <w:spacing w:before="84" w:line="224" w:lineRule="exact"/>
                          <w:ind w:left="108"/>
                          <w:jc w:val="left"/>
                          <w:rPr>
                            <w:b/>
                            <w:sz w:val="20"/>
                          </w:rPr>
                        </w:pPr>
                        <w:r>
                          <w:rPr>
                            <w:b/>
                            <w:sz w:val="20"/>
                          </w:rPr>
                          <w:t>Variable Cost - Parameters</w:t>
                        </w:r>
                      </w:p>
                    </w:tc>
                    <w:tc>
                      <w:tcPr>
                        <w:tcW w:w="1456" w:type="dxa"/>
                        <w:shd w:val="clear" w:color="auto" w:fill="ECECEC"/>
                      </w:tcPr>
                      <w:p w:rsidR="007C5447" w:rsidRDefault="007C5447">
                        <w:pPr>
                          <w:pStyle w:val="TableParagraph"/>
                          <w:jc w:val="left"/>
                          <w:rPr>
                            <w:sz w:val="20"/>
                          </w:rPr>
                        </w:pPr>
                      </w:p>
                    </w:tc>
                    <w:tc>
                      <w:tcPr>
                        <w:tcW w:w="1677" w:type="dxa"/>
                        <w:shd w:val="clear" w:color="auto" w:fill="ECECEC"/>
                      </w:tcPr>
                      <w:p w:rsidR="007C5447" w:rsidRDefault="007C5447">
                        <w:pPr>
                          <w:pStyle w:val="TableParagraph"/>
                          <w:jc w:val="left"/>
                          <w:rPr>
                            <w:sz w:val="20"/>
                          </w:rPr>
                        </w:pPr>
                      </w:p>
                    </w:tc>
                    <w:tc>
                      <w:tcPr>
                        <w:tcW w:w="1680" w:type="dxa"/>
                        <w:shd w:val="clear" w:color="auto" w:fill="ECECEC"/>
                      </w:tcPr>
                      <w:p w:rsidR="007C5447" w:rsidRDefault="007C5447">
                        <w:pPr>
                          <w:pStyle w:val="TableParagraph"/>
                          <w:jc w:val="left"/>
                          <w:rPr>
                            <w:sz w:val="20"/>
                          </w:rPr>
                        </w:pPr>
                      </w:p>
                    </w:tc>
                    <w:tc>
                      <w:tcPr>
                        <w:tcW w:w="1677" w:type="dxa"/>
                        <w:shd w:val="clear" w:color="auto" w:fill="ECECEC"/>
                      </w:tcPr>
                      <w:p w:rsidR="007C5447" w:rsidRDefault="007C5447">
                        <w:pPr>
                          <w:pStyle w:val="TableParagraph"/>
                          <w:jc w:val="left"/>
                          <w:rPr>
                            <w:sz w:val="20"/>
                          </w:rPr>
                        </w:pPr>
                      </w:p>
                    </w:tc>
                    <w:tc>
                      <w:tcPr>
                        <w:tcW w:w="1678" w:type="dxa"/>
                        <w:shd w:val="clear" w:color="auto" w:fill="ECECEC"/>
                      </w:tcPr>
                      <w:p w:rsidR="007C5447" w:rsidRDefault="007C5447">
                        <w:pPr>
                          <w:pStyle w:val="TableParagraph"/>
                          <w:jc w:val="left"/>
                          <w:rPr>
                            <w:sz w:val="20"/>
                          </w:rPr>
                        </w:pPr>
                      </w:p>
                    </w:tc>
                    <w:tc>
                      <w:tcPr>
                        <w:tcW w:w="1675" w:type="dxa"/>
                        <w:shd w:val="clear" w:color="auto" w:fill="ECECEC"/>
                      </w:tcPr>
                      <w:p w:rsidR="007C5447" w:rsidRDefault="007C5447">
                        <w:pPr>
                          <w:pStyle w:val="TableParagraph"/>
                          <w:jc w:val="left"/>
                          <w:rPr>
                            <w:sz w:val="20"/>
                          </w:rPr>
                        </w:pPr>
                      </w:p>
                    </w:tc>
                  </w:tr>
                  <w:tr w:rsidR="007C5447">
                    <w:trPr>
                      <w:trHeight w:val="301"/>
                    </w:trPr>
                    <w:tc>
                      <w:tcPr>
                        <w:tcW w:w="1061" w:type="dxa"/>
                      </w:tcPr>
                      <w:p w:rsidR="007C5447" w:rsidRDefault="00F6308C">
                        <w:pPr>
                          <w:pStyle w:val="TableParagraph"/>
                          <w:spacing w:before="36"/>
                          <w:ind w:left="9"/>
                          <w:jc w:val="center"/>
                          <w:rPr>
                            <w:sz w:val="20"/>
                          </w:rPr>
                        </w:pPr>
                        <w:r>
                          <w:rPr>
                            <w:w w:val="99"/>
                            <w:sz w:val="20"/>
                          </w:rPr>
                          <w:t>8</w:t>
                        </w:r>
                      </w:p>
                    </w:tc>
                    <w:tc>
                      <w:tcPr>
                        <w:tcW w:w="3269" w:type="dxa"/>
                      </w:tcPr>
                      <w:p w:rsidR="007C5447" w:rsidRDefault="00F6308C">
                        <w:pPr>
                          <w:pStyle w:val="TableParagraph"/>
                          <w:spacing w:before="55" w:line="227" w:lineRule="exact"/>
                          <w:ind w:left="108"/>
                          <w:jc w:val="left"/>
                          <w:rPr>
                            <w:sz w:val="20"/>
                          </w:rPr>
                        </w:pPr>
                        <w:r>
                          <w:rPr>
                            <w:sz w:val="20"/>
                          </w:rPr>
                          <w:t>Station Heat rate</w:t>
                        </w:r>
                      </w:p>
                    </w:tc>
                    <w:tc>
                      <w:tcPr>
                        <w:tcW w:w="1456" w:type="dxa"/>
                      </w:tcPr>
                      <w:p w:rsidR="007C5447" w:rsidRDefault="00F6308C">
                        <w:pPr>
                          <w:pStyle w:val="TableParagraph"/>
                          <w:spacing w:before="55" w:line="227" w:lineRule="exact"/>
                          <w:ind w:left="108"/>
                          <w:jc w:val="left"/>
                          <w:rPr>
                            <w:sz w:val="20"/>
                          </w:rPr>
                        </w:pPr>
                        <w:r>
                          <w:rPr>
                            <w:sz w:val="20"/>
                          </w:rPr>
                          <w:t>kCal/kWh</w:t>
                        </w:r>
                      </w:p>
                    </w:tc>
                    <w:tc>
                      <w:tcPr>
                        <w:tcW w:w="1677" w:type="dxa"/>
                      </w:tcPr>
                      <w:p w:rsidR="007C5447" w:rsidRDefault="00F6308C">
                        <w:pPr>
                          <w:pStyle w:val="TableParagraph"/>
                          <w:spacing w:before="55" w:line="227" w:lineRule="exact"/>
                          <w:ind w:right="94"/>
                          <w:rPr>
                            <w:sz w:val="20"/>
                          </w:rPr>
                        </w:pPr>
                        <w:r>
                          <w:rPr>
                            <w:w w:val="95"/>
                            <w:sz w:val="20"/>
                          </w:rPr>
                          <w:t>1,850.00</w:t>
                        </w:r>
                      </w:p>
                    </w:tc>
                    <w:tc>
                      <w:tcPr>
                        <w:tcW w:w="1680" w:type="dxa"/>
                      </w:tcPr>
                      <w:p w:rsidR="007C5447" w:rsidRDefault="00F6308C">
                        <w:pPr>
                          <w:pStyle w:val="TableParagraph"/>
                          <w:spacing w:before="55" w:line="227" w:lineRule="exact"/>
                          <w:ind w:right="96"/>
                          <w:rPr>
                            <w:sz w:val="20"/>
                          </w:rPr>
                        </w:pPr>
                        <w:r>
                          <w:rPr>
                            <w:w w:val="95"/>
                            <w:sz w:val="20"/>
                          </w:rPr>
                          <w:t>1,850.00</w:t>
                        </w:r>
                      </w:p>
                    </w:tc>
                    <w:tc>
                      <w:tcPr>
                        <w:tcW w:w="1677" w:type="dxa"/>
                      </w:tcPr>
                      <w:p w:rsidR="007C5447" w:rsidRDefault="00F6308C">
                        <w:pPr>
                          <w:pStyle w:val="TableParagraph"/>
                          <w:spacing w:before="55" w:line="227" w:lineRule="exact"/>
                          <w:ind w:right="93"/>
                          <w:rPr>
                            <w:sz w:val="20"/>
                          </w:rPr>
                        </w:pPr>
                        <w:r>
                          <w:rPr>
                            <w:w w:val="95"/>
                            <w:sz w:val="20"/>
                          </w:rPr>
                          <w:t>1,850.00</w:t>
                        </w:r>
                      </w:p>
                    </w:tc>
                    <w:tc>
                      <w:tcPr>
                        <w:tcW w:w="1678" w:type="dxa"/>
                      </w:tcPr>
                      <w:p w:rsidR="007C5447" w:rsidRDefault="00F6308C">
                        <w:pPr>
                          <w:pStyle w:val="TableParagraph"/>
                          <w:spacing w:before="55" w:line="227" w:lineRule="exact"/>
                          <w:ind w:right="93"/>
                          <w:rPr>
                            <w:sz w:val="20"/>
                          </w:rPr>
                        </w:pPr>
                        <w:r>
                          <w:rPr>
                            <w:w w:val="95"/>
                            <w:sz w:val="20"/>
                          </w:rPr>
                          <w:t>1,850.00</w:t>
                        </w:r>
                      </w:p>
                    </w:tc>
                    <w:tc>
                      <w:tcPr>
                        <w:tcW w:w="1675" w:type="dxa"/>
                      </w:tcPr>
                      <w:p w:rsidR="007C5447" w:rsidRDefault="00F6308C">
                        <w:pPr>
                          <w:pStyle w:val="TableParagraph"/>
                          <w:spacing w:before="55" w:line="227" w:lineRule="exact"/>
                          <w:ind w:right="92"/>
                          <w:rPr>
                            <w:sz w:val="20"/>
                          </w:rPr>
                        </w:pPr>
                        <w:r>
                          <w:rPr>
                            <w:w w:val="95"/>
                            <w:sz w:val="20"/>
                          </w:rPr>
                          <w:t>1,850.00</w:t>
                        </w:r>
                      </w:p>
                    </w:tc>
                  </w:tr>
                  <w:tr w:rsidR="007C5447">
                    <w:trPr>
                      <w:trHeight w:val="299"/>
                    </w:trPr>
                    <w:tc>
                      <w:tcPr>
                        <w:tcW w:w="1061" w:type="dxa"/>
                      </w:tcPr>
                      <w:p w:rsidR="007C5447" w:rsidRDefault="00F6308C">
                        <w:pPr>
                          <w:pStyle w:val="TableParagraph"/>
                          <w:spacing w:before="34"/>
                          <w:ind w:left="9"/>
                          <w:jc w:val="center"/>
                          <w:rPr>
                            <w:sz w:val="20"/>
                          </w:rPr>
                        </w:pPr>
                        <w:r>
                          <w:rPr>
                            <w:w w:val="99"/>
                            <w:sz w:val="20"/>
                          </w:rPr>
                          <w:t>9</w:t>
                        </w:r>
                      </w:p>
                    </w:tc>
                    <w:tc>
                      <w:tcPr>
                        <w:tcW w:w="3269" w:type="dxa"/>
                      </w:tcPr>
                      <w:p w:rsidR="007C5447" w:rsidRDefault="00F6308C">
                        <w:pPr>
                          <w:pStyle w:val="TableParagraph"/>
                          <w:spacing w:before="55" w:line="224" w:lineRule="exact"/>
                          <w:ind w:left="108"/>
                          <w:jc w:val="left"/>
                          <w:rPr>
                            <w:sz w:val="20"/>
                          </w:rPr>
                        </w:pPr>
                        <w:r>
                          <w:rPr>
                            <w:sz w:val="20"/>
                          </w:rPr>
                          <w:t>GCV of Primary Fuel</w:t>
                        </w:r>
                      </w:p>
                    </w:tc>
                    <w:tc>
                      <w:tcPr>
                        <w:tcW w:w="1456" w:type="dxa"/>
                      </w:tcPr>
                      <w:p w:rsidR="007C5447" w:rsidRDefault="00F6308C">
                        <w:pPr>
                          <w:pStyle w:val="TableParagraph"/>
                          <w:spacing w:before="55" w:line="224" w:lineRule="exact"/>
                          <w:ind w:left="108"/>
                          <w:jc w:val="left"/>
                          <w:rPr>
                            <w:sz w:val="20"/>
                          </w:rPr>
                        </w:pPr>
                        <w:r>
                          <w:rPr>
                            <w:sz w:val="20"/>
                          </w:rPr>
                          <w:t>Kcal/SCM</w:t>
                        </w:r>
                      </w:p>
                    </w:tc>
                    <w:tc>
                      <w:tcPr>
                        <w:tcW w:w="1677" w:type="dxa"/>
                      </w:tcPr>
                      <w:p w:rsidR="007C5447" w:rsidRDefault="00F6308C">
                        <w:pPr>
                          <w:pStyle w:val="TableParagraph"/>
                          <w:spacing w:before="55" w:line="224" w:lineRule="exact"/>
                          <w:ind w:right="96"/>
                          <w:rPr>
                            <w:sz w:val="20"/>
                          </w:rPr>
                        </w:pPr>
                        <w:r>
                          <w:rPr>
                            <w:w w:val="95"/>
                            <w:sz w:val="20"/>
                          </w:rPr>
                          <w:t>10459</w:t>
                        </w:r>
                      </w:p>
                    </w:tc>
                    <w:tc>
                      <w:tcPr>
                        <w:tcW w:w="1680" w:type="dxa"/>
                      </w:tcPr>
                      <w:p w:rsidR="007C5447" w:rsidRDefault="00F6308C">
                        <w:pPr>
                          <w:pStyle w:val="TableParagraph"/>
                          <w:spacing w:before="55" w:line="224" w:lineRule="exact"/>
                          <w:ind w:right="98"/>
                          <w:rPr>
                            <w:sz w:val="20"/>
                          </w:rPr>
                        </w:pPr>
                        <w:r>
                          <w:rPr>
                            <w:w w:val="95"/>
                            <w:sz w:val="20"/>
                          </w:rPr>
                          <w:t>10453</w:t>
                        </w:r>
                      </w:p>
                    </w:tc>
                    <w:tc>
                      <w:tcPr>
                        <w:tcW w:w="1677" w:type="dxa"/>
                      </w:tcPr>
                      <w:p w:rsidR="007C5447" w:rsidRDefault="00F6308C">
                        <w:pPr>
                          <w:pStyle w:val="TableParagraph"/>
                          <w:spacing w:before="55" w:line="224" w:lineRule="exact"/>
                          <w:ind w:right="95"/>
                          <w:rPr>
                            <w:sz w:val="20"/>
                          </w:rPr>
                        </w:pPr>
                        <w:r>
                          <w:rPr>
                            <w:w w:val="95"/>
                            <w:sz w:val="20"/>
                          </w:rPr>
                          <w:t>10,453</w:t>
                        </w:r>
                      </w:p>
                    </w:tc>
                    <w:tc>
                      <w:tcPr>
                        <w:tcW w:w="1678" w:type="dxa"/>
                      </w:tcPr>
                      <w:p w:rsidR="007C5447" w:rsidRDefault="00F6308C">
                        <w:pPr>
                          <w:pStyle w:val="TableParagraph"/>
                          <w:spacing w:before="55" w:line="224" w:lineRule="exact"/>
                          <w:ind w:right="95"/>
                          <w:rPr>
                            <w:sz w:val="20"/>
                          </w:rPr>
                        </w:pPr>
                        <w:r>
                          <w:rPr>
                            <w:w w:val="95"/>
                            <w:sz w:val="20"/>
                          </w:rPr>
                          <w:t>10,000</w:t>
                        </w:r>
                      </w:p>
                    </w:tc>
                    <w:tc>
                      <w:tcPr>
                        <w:tcW w:w="1675" w:type="dxa"/>
                      </w:tcPr>
                      <w:p w:rsidR="007C5447" w:rsidRDefault="00F6308C">
                        <w:pPr>
                          <w:pStyle w:val="TableParagraph"/>
                          <w:spacing w:before="55" w:line="224" w:lineRule="exact"/>
                          <w:ind w:right="94"/>
                          <w:rPr>
                            <w:sz w:val="20"/>
                          </w:rPr>
                        </w:pPr>
                        <w:r>
                          <w:rPr>
                            <w:w w:val="95"/>
                            <w:sz w:val="20"/>
                          </w:rPr>
                          <w:t>10,000</w:t>
                        </w:r>
                      </w:p>
                    </w:tc>
                  </w:tr>
                  <w:tr w:rsidR="007C5447">
                    <w:trPr>
                      <w:trHeight w:val="299"/>
                    </w:trPr>
                    <w:tc>
                      <w:tcPr>
                        <w:tcW w:w="1061" w:type="dxa"/>
                      </w:tcPr>
                      <w:p w:rsidR="007C5447" w:rsidRDefault="00F6308C">
                        <w:pPr>
                          <w:pStyle w:val="TableParagraph"/>
                          <w:spacing w:before="34"/>
                          <w:ind w:left="212" w:right="203"/>
                          <w:jc w:val="center"/>
                          <w:rPr>
                            <w:sz w:val="20"/>
                          </w:rPr>
                        </w:pPr>
                        <w:r>
                          <w:rPr>
                            <w:sz w:val="20"/>
                          </w:rPr>
                          <w:t>10</w:t>
                        </w:r>
                      </w:p>
                    </w:tc>
                    <w:tc>
                      <w:tcPr>
                        <w:tcW w:w="3269" w:type="dxa"/>
                      </w:tcPr>
                      <w:p w:rsidR="007C5447" w:rsidRDefault="00F6308C">
                        <w:pPr>
                          <w:pStyle w:val="TableParagraph"/>
                          <w:spacing w:before="55" w:line="224" w:lineRule="exact"/>
                          <w:ind w:left="108"/>
                          <w:jc w:val="left"/>
                          <w:rPr>
                            <w:sz w:val="20"/>
                          </w:rPr>
                        </w:pPr>
                        <w:r>
                          <w:rPr>
                            <w:sz w:val="20"/>
                          </w:rPr>
                          <w:t>Price of Coal</w:t>
                        </w:r>
                      </w:p>
                    </w:tc>
                    <w:tc>
                      <w:tcPr>
                        <w:tcW w:w="1456" w:type="dxa"/>
                      </w:tcPr>
                      <w:p w:rsidR="007C5447" w:rsidRDefault="00F6308C">
                        <w:pPr>
                          <w:pStyle w:val="TableParagraph"/>
                          <w:spacing w:before="55" w:line="224" w:lineRule="exact"/>
                          <w:ind w:left="108"/>
                          <w:jc w:val="left"/>
                          <w:rPr>
                            <w:sz w:val="20"/>
                          </w:rPr>
                        </w:pPr>
                        <w:r>
                          <w:rPr>
                            <w:sz w:val="20"/>
                          </w:rPr>
                          <w:t>Rs/SCM</w:t>
                        </w:r>
                      </w:p>
                    </w:tc>
                    <w:tc>
                      <w:tcPr>
                        <w:tcW w:w="1677" w:type="dxa"/>
                      </w:tcPr>
                      <w:p w:rsidR="007C5447" w:rsidRDefault="00F6308C">
                        <w:pPr>
                          <w:pStyle w:val="TableParagraph"/>
                          <w:spacing w:before="55" w:line="224" w:lineRule="exact"/>
                          <w:ind w:right="96"/>
                          <w:rPr>
                            <w:sz w:val="20"/>
                          </w:rPr>
                        </w:pPr>
                        <w:r>
                          <w:rPr>
                            <w:sz w:val="20"/>
                          </w:rPr>
                          <w:t>8.84</w:t>
                        </w:r>
                      </w:p>
                    </w:tc>
                    <w:tc>
                      <w:tcPr>
                        <w:tcW w:w="1680" w:type="dxa"/>
                      </w:tcPr>
                      <w:p w:rsidR="007C5447" w:rsidRDefault="00F6308C">
                        <w:pPr>
                          <w:pStyle w:val="TableParagraph"/>
                          <w:spacing w:before="55" w:line="224" w:lineRule="exact"/>
                          <w:ind w:right="98"/>
                          <w:rPr>
                            <w:sz w:val="20"/>
                          </w:rPr>
                        </w:pPr>
                        <w:r>
                          <w:rPr>
                            <w:sz w:val="20"/>
                          </w:rPr>
                          <w:t>9.84</w:t>
                        </w:r>
                      </w:p>
                    </w:tc>
                    <w:tc>
                      <w:tcPr>
                        <w:tcW w:w="1677" w:type="dxa"/>
                      </w:tcPr>
                      <w:p w:rsidR="007C5447" w:rsidRDefault="00F6308C">
                        <w:pPr>
                          <w:pStyle w:val="TableParagraph"/>
                          <w:spacing w:before="55" w:line="224" w:lineRule="exact"/>
                          <w:ind w:left="160"/>
                          <w:jc w:val="left"/>
                          <w:rPr>
                            <w:sz w:val="20"/>
                          </w:rPr>
                        </w:pPr>
                        <w:r>
                          <w:rPr>
                            <w:sz w:val="20"/>
                          </w:rPr>
                          <w:t>10.38</w:t>
                        </w:r>
                      </w:p>
                    </w:tc>
                    <w:tc>
                      <w:tcPr>
                        <w:tcW w:w="1678" w:type="dxa"/>
                      </w:tcPr>
                      <w:p w:rsidR="007C5447" w:rsidRDefault="00F6308C">
                        <w:pPr>
                          <w:pStyle w:val="TableParagraph"/>
                          <w:spacing w:before="55" w:line="224" w:lineRule="exact"/>
                          <w:ind w:right="94"/>
                          <w:rPr>
                            <w:sz w:val="20"/>
                          </w:rPr>
                        </w:pPr>
                        <w:r>
                          <w:rPr>
                            <w:w w:val="95"/>
                            <w:sz w:val="20"/>
                          </w:rPr>
                          <w:t>12.53</w:t>
                        </w:r>
                      </w:p>
                    </w:tc>
                    <w:tc>
                      <w:tcPr>
                        <w:tcW w:w="1675" w:type="dxa"/>
                      </w:tcPr>
                      <w:p w:rsidR="007C5447" w:rsidRDefault="00F6308C">
                        <w:pPr>
                          <w:pStyle w:val="TableParagraph"/>
                          <w:spacing w:before="55" w:line="224" w:lineRule="exact"/>
                          <w:ind w:right="94"/>
                          <w:rPr>
                            <w:sz w:val="20"/>
                          </w:rPr>
                        </w:pPr>
                        <w:r>
                          <w:rPr>
                            <w:w w:val="95"/>
                            <w:sz w:val="20"/>
                          </w:rPr>
                          <w:t>12.99</w:t>
                        </w:r>
                      </w:p>
                    </w:tc>
                  </w:tr>
                  <w:tr w:rsidR="007C5447">
                    <w:trPr>
                      <w:trHeight w:val="330"/>
                    </w:trPr>
                    <w:tc>
                      <w:tcPr>
                        <w:tcW w:w="1061" w:type="dxa"/>
                        <w:shd w:val="clear" w:color="auto" w:fill="ECECEC"/>
                      </w:tcPr>
                      <w:p w:rsidR="007C5447" w:rsidRDefault="007C5447">
                        <w:pPr>
                          <w:pStyle w:val="TableParagraph"/>
                          <w:jc w:val="left"/>
                          <w:rPr>
                            <w:sz w:val="20"/>
                          </w:rPr>
                        </w:pPr>
                      </w:p>
                    </w:tc>
                    <w:tc>
                      <w:tcPr>
                        <w:tcW w:w="3269" w:type="dxa"/>
                        <w:shd w:val="clear" w:color="auto" w:fill="ECECEC"/>
                      </w:tcPr>
                      <w:p w:rsidR="007C5447" w:rsidRDefault="00F6308C">
                        <w:pPr>
                          <w:pStyle w:val="TableParagraph"/>
                          <w:spacing w:before="84" w:line="227" w:lineRule="exact"/>
                          <w:ind w:left="108"/>
                          <w:jc w:val="left"/>
                          <w:rPr>
                            <w:b/>
                            <w:sz w:val="20"/>
                          </w:rPr>
                        </w:pPr>
                        <w:r>
                          <w:rPr>
                            <w:b/>
                            <w:sz w:val="20"/>
                          </w:rPr>
                          <w:t>Calculations</w:t>
                        </w:r>
                      </w:p>
                    </w:tc>
                    <w:tc>
                      <w:tcPr>
                        <w:tcW w:w="1456" w:type="dxa"/>
                        <w:shd w:val="clear" w:color="auto" w:fill="ECECEC"/>
                      </w:tcPr>
                      <w:p w:rsidR="007C5447" w:rsidRDefault="007C5447">
                        <w:pPr>
                          <w:pStyle w:val="TableParagraph"/>
                          <w:jc w:val="left"/>
                          <w:rPr>
                            <w:sz w:val="20"/>
                          </w:rPr>
                        </w:pPr>
                      </w:p>
                    </w:tc>
                    <w:tc>
                      <w:tcPr>
                        <w:tcW w:w="1677" w:type="dxa"/>
                        <w:shd w:val="clear" w:color="auto" w:fill="ECECEC"/>
                      </w:tcPr>
                      <w:p w:rsidR="007C5447" w:rsidRDefault="007C5447">
                        <w:pPr>
                          <w:pStyle w:val="TableParagraph"/>
                          <w:jc w:val="left"/>
                          <w:rPr>
                            <w:sz w:val="20"/>
                          </w:rPr>
                        </w:pPr>
                      </w:p>
                    </w:tc>
                    <w:tc>
                      <w:tcPr>
                        <w:tcW w:w="1680" w:type="dxa"/>
                        <w:shd w:val="clear" w:color="auto" w:fill="ECECEC"/>
                      </w:tcPr>
                      <w:p w:rsidR="007C5447" w:rsidRDefault="007C5447">
                        <w:pPr>
                          <w:pStyle w:val="TableParagraph"/>
                          <w:jc w:val="left"/>
                          <w:rPr>
                            <w:sz w:val="20"/>
                          </w:rPr>
                        </w:pPr>
                      </w:p>
                    </w:tc>
                    <w:tc>
                      <w:tcPr>
                        <w:tcW w:w="1677" w:type="dxa"/>
                        <w:shd w:val="clear" w:color="auto" w:fill="ECECEC"/>
                      </w:tcPr>
                      <w:p w:rsidR="007C5447" w:rsidRDefault="007C5447">
                        <w:pPr>
                          <w:pStyle w:val="TableParagraph"/>
                          <w:jc w:val="left"/>
                          <w:rPr>
                            <w:sz w:val="20"/>
                          </w:rPr>
                        </w:pPr>
                      </w:p>
                    </w:tc>
                    <w:tc>
                      <w:tcPr>
                        <w:tcW w:w="1678" w:type="dxa"/>
                        <w:shd w:val="clear" w:color="auto" w:fill="ECECEC"/>
                      </w:tcPr>
                      <w:p w:rsidR="007C5447" w:rsidRDefault="007C5447">
                        <w:pPr>
                          <w:pStyle w:val="TableParagraph"/>
                          <w:jc w:val="left"/>
                          <w:rPr>
                            <w:sz w:val="20"/>
                          </w:rPr>
                        </w:pPr>
                      </w:p>
                    </w:tc>
                    <w:tc>
                      <w:tcPr>
                        <w:tcW w:w="1675" w:type="dxa"/>
                        <w:shd w:val="clear" w:color="auto" w:fill="ECECEC"/>
                      </w:tcPr>
                      <w:p w:rsidR="007C5447" w:rsidRDefault="007C5447">
                        <w:pPr>
                          <w:pStyle w:val="TableParagraph"/>
                          <w:jc w:val="left"/>
                          <w:rPr>
                            <w:sz w:val="20"/>
                          </w:rPr>
                        </w:pPr>
                      </w:p>
                    </w:tc>
                  </w:tr>
                  <w:tr w:rsidR="007C5447">
                    <w:trPr>
                      <w:trHeight w:val="299"/>
                    </w:trPr>
                    <w:tc>
                      <w:tcPr>
                        <w:tcW w:w="1061" w:type="dxa"/>
                      </w:tcPr>
                      <w:p w:rsidR="007C5447" w:rsidRDefault="00F6308C">
                        <w:pPr>
                          <w:pStyle w:val="TableParagraph"/>
                          <w:spacing w:before="34"/>
                          <w:ind w:left="212" w:right="203"/>
                          <w:jc w:val="center"/>
                          <w:rPr>
                            <w:sz w:val="20"/>
                          </w:rPr>
                        </w:pPr>
                        <w:r>
                          <w:rPr>
                            <w:sz w:val="20"/>
                          </w:rPr>
                          <w:t>11</w:t>
                        </w:r>
                      </w:p>
                    </w:tc>
                    <w:tc>
                      <w:tcPr>
                        <w:tcW w:w="3269" w:type="dxa"/>
                      </w:tcPr>
                      <w:p w:rsidR="007C5447" w:rsidRDefault="00F6308C">
                        <w:pPr>
                          <w:pStyle w:val="TableParagraph"/>
                          <w:spacing w:before="55" w:line="224" w:lineRule="exact"/>
                          <w:ind w:left="108"/>
                          <w:jc w:val="left"/>
                          <w:rPr>
                            <w:sz w:val="20"/>
                          </w:rPr>
                        </w:pPr>
                        <w:r>
                          <w:rPr>
                            <w:sz w:val="20"/>
                          </w:rPr>
                          <w:t>Heat from Gas</w:t>
                        </w:r>
                      </w:p>
                    </w:tc>
                    <w:tc>
                      <w:tcPr>
                        <w:tcW w:w="1456" w:type="dxa"/>
                      </w:tcPr>
                      <w:p w:rsidR="007C5447" w:rsidRDefault="00F6308C">
                        <w:pPr>
                          <w:pStyle w:val="TableParagraph"/>
                          <w:spacing w:before="55" w:line="224" w:lineRule="exact"/>
                          <w:ind w:left="108"/>
                          <w:jc w:val="left"/>
                          <w:rPr>
                            <w:sz w:val="20"/>
                          </w:rPr>
                        </w:pPr>
                        <w:r>
                          <w:rPr>
                            <w:sz w:val="20"/>
                          </w:rPr>
                          <w:t>MKCL</w:t>
                        </w:r>
                      </w:p>
                    </w:tc>
                    <w:tc>
                      <w:tcPr>
                        <w:tcW w:w="1677" w:type="dxa"/>
                      </w:tcPr>
                      <w:p w:rsidR="007C5447" w:rsidRDefault="00F6308C">
                        <w:pPr>
                          <w:pStyle w:val="TableParagraph"/>
                          <w:spacing w:before="55" w:line="224" w:lineRule="exact"/>
                          <w:ind w:right="96"/>
                          <w:rPr>
                            <w:sz w:val="20"/>
                          </w:rPr>
                        </w:pPr>
                        <w:r>
                          <w:rPr>
                            <w:w w:val="95"/>
                            <w:sz w:val="20"/>
                          </w:rPr>
                          <w:t>13,09,192</w:t>
                        </w:r>
                      </w:p>
                    </w:tc>
                    <w:tc>
                      <w:tcPr>
                        <w:tcW w:w="1680" w:type="dxa"/>
                      </w:tcPr>
                      <w:p w:rsidR="007C5447" w:rsidRDefault="00F6308C">
                        <w:pPr>
                          <w:pStyle w:val="TableParagraph"/>
                          <w:spacing w:before="55" w:line="224" w:lineRule="exact"/>
                          <w:ind w:right="98"/>
                          <w:rPr>
                            <w:sz w:val="20"/>
                          </w:rPr>
                        </w:pPr>
                        <w:r>
                          <w:rPr>
                            <w:w w:val="95"/>
                            <w:sz w:val="20"/>
                          </w:rPr>
                          <w:t>13,44,460</w:t>
                        </w:r>
                      </w:p>
                    </w:tc>
                    <w:tc>
                      <w:tcPr>
                        <w:tcW w:w="1677" w:type="dxa"/>
                      </w:tcPr>
                      <w:p w:rsidR="007C5447" w:rsidRDefault="00F6308C">
                        <w:pPr>
                          <w:pStyle w:val="TableParagraph"/>
                          <w:spacing w:before="55" w:line="224" w:lineRule="exact"/>
                          <w:ind w:right="93"/>
                          <w:rPr>
                            <w:sz w:val="20"/>
                          </w:rPr>
                        </w:pPr>
                        <w:r>
                          <w:rPr>
                            <w:sz w:val="20"/>
                          </w:rPr>
                          <w:t>9,21,146</w:t>
                        </w:r>
                      </w:p>
                    </w:tc>
                    <w:tc>
                      <w:tcPr>
                        <w:tcW w:w="1678" w:type="dxa"/>
                      </w:tcPr>
                      <w:p w:rsidR="007C5447" w:rsidRDefault="00F6308C">
                        <w:pPr>
                          <w:pStyle w:val="TableParagraph"/>
                          <w:spacing w:before="55" w:line="224" w:lineRule="exact"/>
                          <w:ind w:right="93"/>
                          <w:rPr>
                            <w:sz w:val="20"/>
                          </w:rPr>
                        </w:pPr>
                        <w:r>
                          <w:rPr>
                            <w:sz w:val="20"/>
                          </w:rPr>
                          <w:t>7,65,900</w:t>
                        </w:r>
                      </w:p>
                    </w:tc>
                    <w:tc>
                      <w:tcPr>
                        <w:tcW w:w="1675" w:type="dxa"/>
                      </w:tcPr>
                      <w:p w:rsidR="007C5447" w:rsidRDefault="00F6308C">
                        <w:pPr>
                          <w:pStyle w:val="TableParagraph"/>
                          <w:spacing w:before="55" w:line="224" w:lineRule="exact"/>
                          <w:ind w:right="92"/>
                          <w:rPr>
                            <w:sz w:val="20"/>
                          </w:rPr>
                        </w:pPr>
                        <w:r>
                          <w:rPr>
                            <w:sz w:val="20"/>
                          </w:rPr>
                          <w:t>7,40,354</w:t>
                        </w:r>
                      </w:p>
                    </w:tc>
                  </w:tr>
                  <w:tr w:rsidR="007C5447">
                    <w:trPr>
                      <w:trHeight w:val="299"/>
                    </w:trPr>
                    <w:tc>
                      <w:tcPr>
                        <w:tcW w:w="1061" w:type="dxa"/>
                      </w:tcPr>
                      <w:p w:rsidR="007C5447" w:rsidRDefault="00F6308C">
                        <w:pPr>
                          <w:pStyle w:val="TableParagraph"/>
                          <w:spacing w:before="34"/>
                          <w:ind w:left="212" w:right="203"/>
                          <w:jc w:val="center"/>
                          <w:rPr>
                            <w:sz w:val="20"/>
                          </w:rPr>
                        </w:pPr>
                        <w:r>
                          <w:rPr>
                            <w:sz w:val="20"/>
                          </w:rPr>
                          <w:t>12</w:t>
                        </w:r>
                      </w:p>
                    </w:tc>
                    <w:tc>
                      <w:tcPr>
                        <w:tcW w:w="3269" w:type="dxa"/>
                      </w:tcPr>
                      <w:p w:rsidR="007C5447" w:rsidRDefault="00F6308C">
                        <w:pPr>
                          <w:pStyle w:val="TableParagraph"/>
                          <w:spacing w:before="55" w:line="224" w:lineRule="exact"/>
                          <w:ind w:left="108"/>
                          <w:jc w:val="left"/>
                          <w:rPr>
                            <w:sz w:val="20"/>
                          </w:rPr>
                        </w:pPr>
                        <w:r>
                          <w:rPr>
                            <w:sz w:val="20"/>
                          </w:rPr>
                          <w:t>Gas Consumed</w:t>
                        </w:r>
                      </w:p>
                    </w:tc>
                    <w:tc>
                      <w:tcPr>
                        <w:tcW w:w="1456" w:type="dxa"/>
                      </w:tcPr>
                      <w:p w:rsidR="007C5447" w:rsidRDefault="00F6308C">
                        <w:pPr>
                          <w:pStyle w:val="TableParagraph"/>
                          <w:spacing w:before="55" w:line="224" w:lineRule="exact"/>
                          <w:ind w:left="108"/>
                          <w:jc w:val="left"/>
                          <w:rPr>
                            <w:sz w:val="20"/>
                          </w:rPr>
                        </w:pPr>
                        <w:r>
                          <w:rPr>
                            <w:sz w:val="20"/>
                          </w:rPr>
                          <w:t>SCM</w:t>
                        </w:r>
                      </w:p>
                    </w:tc>
                    <w:tc>
                      <w:tcPr>
                        <w:tcW w:w="1677" w:type="dxa"/>
                      </w:tcPr>
                      <w:p w:rsidR="007C5447" w:rsidRDefault="00F6308C">
                        <w:pPr>
                          <w:pStyle w:val="TableParagraph"/>
                          <w:spacing w:before="55" w:line="224" w:lineRule="exact"/>
                          <w:ind w:right="97"/>
                          <w:rPr>
                            <w:sz w:val="20"/>
                          </w:rPr>
                        </w:pPr>
                        <w:r>
                          <w:rPr>
                            <w:sz w:val="20"/>
                          </w:rPr>
                          <w:t>12,51,73,757</w:t>
                        </w:r>
                      </w:p>
                    </w:tc>
                    <w:tc>
                      <w:tcPr>
                        <w:tcW w:w="1680" w:type="dxa"/>
                      </w:tcPr>
                      <w:p w:rsidR="007C5447" w:rsidRDefault="00F6308C">
                        <w:pPr>
                          <w:pStyle w:val="TableParagraph"/>
                          <w:spacing w:before="55" w:line="224" w:lineRule="exact"/>
                          <w:ind w:right="99"/>
                          <w:rPr>
                            <w:sz w:val="20"/>
                          </w:rPr>
                        </w:pPr>
                        <w:r>
                          <w:rPr>
                            <w:sz w:val="20"/>
                          </w:rPr>
                          <w:t>12,86,19,511</w:t>
                        </w:r>
                      </w:p>
                    </w:tc>
                    <w:tc>
                      <w:tcPr>
                        <w:tcW w:w="1677" w:type="dxa"/>
                      </w:tcPr>
                      <w:p w:rsidR="007C5447" w:rsidRDefault="00F6308C">
                        <w:pPr>
                          <w:pStyle w:val="TableParagraph"/>
                          <w:spacing w:before="55" w:line="224" w:lineRule="exact"/>
                          <w:ind w:right="96"/>
                          <w:rPr>
                            <w:sz w:val="20"/>
                          </w:rPr>
                        </w:pPr>
                        <w:r>
                          <w:rPr>
                            <w:w w:val="95"/>
                            <w:sz w:val="20"/>
                          </w:rPr>
                          <w:t>8,81,22,687</w:t>
                        </w:r>
                      </w:p>
                    </w:tc>
                    <w:tc>
                      <w:tcPr>
                        <w:tcW w:w="1678" w:type="dxa"/>
                      </w:tcPr>
                      <w:p w:rsidR="007C5447" w:rsidRDefault="00F6308C">
                        <w:pPr>
                          <w:pStyle w:val="TableParagraph"/>
                          <w:spacing w:before="55" w:line="224" w:lineRule="exact"/>
                          <w:ind w:right="95"/>
                          <w:rPr>
                            <w:sz w:val="20"/>
                          </w:rPr>
                        </w:pPr>
                        <w:r>
                          <w:rPr>
                            <w:w w:val="95"/>
                            <w:sz w:val="20"/>
                          </w:rPr>
                          <w:t>7,65,90,000</w:t>
                        </w:r>
                      </w:p>
                    </w:tc>
                    <w:tc>
                      <w:tcPr>
                        <w:tcW w:w="1675" w:type="dxa"/>
                      </w:tcPr>
                      <w:p w:rsidR="007C5447" w:rsidRDefault="00F6308C">
                        <w:pPr>
                          <w:pStyle w:val="TableParagraph"/>
                          <w:spacing w:before="55" w:line="224" w:lineRule="exact"/>
                          <w:ind w:right="95"/>
                          <w:rPr>
                            <w:sz w:val="20"/>
                          </w:rPr>
                        </w:pPr>
                        <w:r>
                          <w:rPr>
                            <w:w w:val="95"/>
                            <w:sz w:val="20"/>
                          </w:rPr>
                          <w:t>7,40,35,413</w:t>
                        </w:r>
                      </w:p>
                    </w:tc>
                  </w:tr>
                  <w:tr w:rsidR="007C5447">
                    <w:trPr>
                      <w:trHeight w:val="300"/>
                    </w:trPr>
                    <w:tc>
                      <w:tcPr>
                        <w:tcW w:w="1061" w:type="dxa"/>
                      </w:tcPr>
                      <w:p w:rsidR="007C5447" w:rsidRDefault="00F6308C">
                        <w:pPr>
                          <w:pStyle w:val="TableParagraph"/>
                          <w:spacing w:before="36"/>
                          <w:ind w:left="212" w:right="203"/>
                          <w:jc w:val="center"/>
                          <w:rPr>
                            <w:sz w:val="20"/>
                          </w:rPr>
                        </w:pPr>
                        <w:r>
                          <w:rPr>
                            <w:sz w:val="20"/>
                          </w:rPr>
                          <w:t>13</w:t>
                        </w:r>
                      </w:p>
                    </w:tc>
                    <w:tc>
                      <w:tcPr>
                        <w:tcW w:w="3269" w:type="dxa"/>
                      </w:tcPr>
                      <w:p w:rsidR="007C5447" w:rsidRDefault="00F6308C">
                        <w:pPr>
                          <w:pStyle w:val="TableParagraph"/>
                          <w:spacing w:before="56" w:line="224" w:lineRule="exact"/>
                          <w:ind w:left="108"/>
                          <w:jc w:val="left"/>
                          <w:rPr>
                            <w:sz w:val="20"/>
                          </w:rPr>
                        </w:pPr>
                        <w:r>
                          <w:rPr>
                            <w:sz w:val="20"/>
                          </w:rPr>
                          <w:t>Total Cost of Gas</w:t>
                        </w:r>
                      </w:p>
                    </w:tc>
                    <w:tc>
                      <w:tcPr>
                        <w:tcW w:w="1456" w:type="dxa"/>
                      </w:tcPr>
                      <w:p w:rsidR="007C5447" w:rsidRDefault="00F6308C">
                        <w:pPr>
                          <w:pStyle w:val="TableParagraph"/>
                          <w:spacing w:before="56" w:line="224" w:lineRule="exact"/>
                          <w:ind w:left="108"/>
                          <w:jc w:val="left"/>
                          <w:rPr>
                            <w:sz w:val="20"/>
                          </w:rPr>
                        </w:pPr>
                        <w:r>
                          <w:rPr>
                            <w:sz w:val="20"/>
                          </w:rPr>
                          <w:t>Rs. Crore</w:t>
                        </w:r>
                      </w:p>
                    </w:tc>
                    <w:tc>
                      <w:tcPr>
                        <w:tcW w:w="1677" w:type="dxa"/>
                      </w:tcPr>
                      <w:p w:rsidR="007C5447" w:rsidRDefault="00F6308C">
                        <w:pPr>
                          <w:pStyle w:val="TableParagraph"/>
                          <w:spacing w:before="56" w:line="224" w:lineRule="exact"/>
                          <w:ind w:right="93"/>
                          <w:rPr>
                            <w:sz w:val="20"/>
                          </w:rPr>
                        </w:pPr>
                        <w:r>
                          <w:rPr>
                            <w:w w:val="95"/>
                            <w:sz w:val="20"/>
                          </w:rPr>
                          <w:t>110.71</w:t>
                        </w:r>
                      </w:p>
                    </w:tc>
                    <w:tc>
                      <w:tcPr>
                        <w:tcW w:w="1680" w:type="dxa"/>
                      </w:tcPr>
                      <w:p w:rsidR="007C5447" w:rsidRDefault="00F6308C">
                        <w:pPr>
                          <w:pStyle w:val="TableParagraph"/>
                          <w:spacing w:before="56" w:line="224" w:lineRule="exact"/>
                          <w:ind w:right="95"/>
                          <w:rPr>
                            <w:sz w:val="20"/>
                          </w:rPr>
                        </w:pPr>
                        <w:r>
                          <w:rPr>
                            <w:w w:val="95"/>
                            <w:sz w:val="20"/>
                          </w:rPr>
                          <w:t>126.58</w:t>
                        </w:r>
                      </w:p>
                    </w:tc>
                    <w:tc>
                      <w:tcPr>
                        <w:tcW w:w="1677" w:type="dxa"/>
                      </w:tcPr>
                      <w:p w:rsidR="007C5447" w:rsidRDefault="00F6308C">
                        <w:pPr>
                          <w:pStyle w:val="TableParagraph"/>
                          <w:spacing w:before="56" w:line="224" w:lineRule="exact"/>
                          <w:ind w:right="92"/>
                          <w:rPr>
                            <w:sz w:val="20"/>
                          </w:rPr>
                        </w:pPr>
                        <w:r>
                          <w:rPr>
                            <w:sz w:val="20"/>
                          </w:rPr>
                          <w:t>91.47</w:t>
                        </w:r>
                      </w:p>
                    </w:tc>
                    <w:tc>
                      <w:tcPr>
                        <w:tcW w:w="1678" w:type="dxa"/>
                      </w:tcPr>
                      <w:p w:rsidR="007C5447" w:rsidRDefault="00F6308C">
                        <w:pPr>
                          <w:pStyle w:val="TableParagraph"/>
                          <w:spacing w:before="56" w:line="224" w:lineRule="exact"/>
                          <w:ind w:right="92"/>
                          <w:rPr>
                            <w:sz w:val="20"/>
                          </w:rPr>
                        </w:pPr>
                        <w:r>
                          <w:rPr>
                            <w:sz w:val="20"/>
                          </w:rPr>
                          <w:t>95.97</w:t>
                        </w:r>
                      </w:p>
                    </w:tc>
                    <w:tc>
                      <w:tcPr>
                        <w:tcW w:w="1675" w:type="dxa"/>
                      </w:tcPr>
                      <w:p w:rsidR="007C5447" w:rsidRDefault="00F6308C">
                        <w:pPr>
                          <w:pStyle w:val="TableParagraph"/>
                          <w:spacing w:before="56" w:line="224" w:lineRule="exact"/>
                          <w:ind w:right="92"/>
                          <w:rPr>
                            <w:sz w:val="20"/>
                          </w:rPr>
                        </w:pPr>
                        <w:r>
                          <w:rPr>
                            <w:sz w:val="20"/>
                          </w:rPr>
                          <w:t>96.17</w:t>
                        </w:r>
                      </w:p>
                    </w:tc>
                  </w:tr>
                  <w:tr w:rsidR="007C5447">
                    <w:trPr>
                      <w:trHeight w:val="299"/>
                    </w:trPr>
                    <w:tc>
                      <w:tcPr>
                        <w:tcW w:w="1061" w:type="dxa"/>
                      </w:tcPr>
                      <w:p w:rsidR="007C5447" w:rsidRDefault="00F6308C">
                        <w:pPr>
                          <w:pStyle w:val="TableParagraph"/>
                          <w:spacing w:before="36"/>
                          <w:ind w:left="212" w:right="203"/>
                          <w:jc w:val="center"/>
                          <w:rPr>
                            <w:sz w:val="20"/>
                          </w:rPr>
                        </w:pPr>
                        <w:r>
                          <w:rPr>
                            <w:sz w:val="20"/>
                          </w:rPr>
                          <w:t>14</w:t>
                        </w:r>
                      </w:p>
                    </w:tc>
                    <w:tc>
                      <w:tcPr>
                        <w:tcW w:w="3269" w:type="dxa"/>
                      </w:tcPr>
                      <w:p w:rsidR="007C5447" w:rsidRDefault="00F6308C">
                        <w:pPr>
                          <w:pStyle w:val="TableParagraph"/>
                          <w:spacing w:before="55" w:line="224" w:lineRule="exact"/>
                          <w:ind w:left="108"/>
                          <w:jc w:val="left"/>
                          <w:rPr>
                            <w:sz w:val="20"/>
                          </w:rPr>
                        </w:pPr>
                        <w:r>
                          <w:rPr>
                            <w:sz w:val="20"/>
                          </w:rPr>
                          <w:t>Transportation Cost</w:t>
                        </w:r>
                      </w:p>
                    </w:tc>
                    <w:tc>
                      <w:tcPr>
                        <w:tcW w:w="1456" w:type="dxa"/>
                      </w:tcPr>
                      <w:p w:rsidR="007C5447" w:rsidRDefault="00F6308C">
                        <w:pPr>
                          <w:pStyle w:val="TableParagraph"/>
                          <w:spacing w:before="55" w:line="224" w:lineRule="exact"/>
                          <w:ind w:left="108"/>
                          <w:jc w:val="left"/>
                          <w:rPr>
                            <w:sz w:val="20"/>
                          </w:rPr>
                        </w:pPr>
                        <w:r>
                          <w:rPr>
                            <w:sz w:val="20"/>
                          </w:rPr>
                          <w:t>Rs. Crore</w:t>
                        </w:r>
                      </w:p>
                    </w:tc>
                    <w:tc>
                      <w:tcPr>
                        <w:tcW w:w="1677" w:type="dxa"/>
                      </w:tcPr>
                      <w:p w:rsidR="007C5447" w:rsidRDefault="00F6308C">
                        <w:pPr>
                          <w:pStyle w:val="TableParagraph"/>
                          <w:spacing w:before="55" w:line="224" w:lineRule="exact"/>
                          <w:ind w:right="93"/>
                          <w:rPr>
                            <w:sz w:val="20"/>
                          </w:rPr>
                        </w:pPr>
                        <w:r>
                          <w:rPr>
                            <w:sz w:val="20"/>
                          </w:rPr>
                          <w:t>0.00</w:t>
                        </w:r>
                      </w:p>
                    </w:tc>
                    <w:tc>
                      <w:tcPr>
                        <w:tcW w:w="1680" w:type="dxa"/>
                      </w:tcPr>
                      <w:p w:rsidR="007C5447" w:rsidRDefault="00F6308C">
                        <w:pPr>
                          <w:pStyle w:val="TableParagraph"/>
                          <w:spacing w:before="55" w:line="224" w:lineRule="exact"/>
                          <w:ind w:right="95"/>
                          <w:rPr>
                            <w:sz w:val="20"/>
                          </w:rPr>
                        </w:pPr>
                        <w:r>
                          <w:rPr>
                            <w:sz w:val="20"/>
                          </w:rPr>
                          <w:t>0.00</w:t>
                        </w:r>
                      </w:p>
                    </w:tc>
                    <w:tc>
                      <w:tcPr>
                        <w:tcW w:w="1677" w:type="dxa"/>
                      </w:tcPr>
                      <w:p w:rsidR="007C5447" w:rsidRDefault="00F6308C">
                        <w:pPr>
                          <w:pStyle w:val="TableParagraph"/>
                          <w:spacing w:before="55" w:line="224" w:lineRule="exact"/>
                          <w:ind w:right="92"/>
                          <w:rPr>
                            <w:sz w:val="20"/>
                          </w:rPr>
                        </w:pPr>
                        <w:r>
                          <w:rPr>
                            <w:sz w:val="20"/>
                          </w:rPr>
                          <w:t>0.00</w:t>
                        </w:r>
                      </w:p>
                    </w:tc>
                    <w:tc>
                      <w:tcPr>
                        <w:tcW w:w="1678" w:type="dxa"/>
                      </w:tcPr>
                      <w:p w:rsidR="007C5447" w:rsidRDefault="00F6308C">
                        <w:pPr>
                          <w:pStyle w:val="TableParagraph"/>
                          <w:spacing w:before="55" w:line="224" w:lineRule="exact"/>
                          <w:ind w:right="92"/>
                          <w:rPr>
                            <w:sz w:val="20"/>
                          </w:rPr>
                        </w:pPr>
                        <w:r>
                          <w:rPr>
                            <w:sz w:val="20"/>
                          </w:rPr>
                          <w:t>0.00</w:t>
                        </w:r>
                      </w:p>
                    </w:tc>
                    <w:tc>
                      <w:tcPr>
                        <w:tcW w:w="1675" w:type="dxa"/>
                      </w:tcPr>
                      <w:p w:rsidR="007C5447" w:rsidRDefault="00F6308C">
                        <w:pPr>
                          <w:pStyle w:val="TableParagraph"/>
                          <w:spacing w:before="55" w:line="224" w:lineRule="exact"/>
                          <w:ind w:right="92"/>
                          <w:rPr>
                            <w:sz w:val="20"/>
                          </w:rPr>
                        </w:pPr>
                        <w:r>
                          <w:rPr>
                            <w:sz w:val="20"/>
                          </w:rPr>
                          <w:t>0.00</w:t>
                        </w:r>
                      </w:p>
                    </w:tc>
                  </w:tr>
                  <w:tr w:rsidR="007C5447">
                    <w:trPr>
                      <w:trHeight w:val="330"/>
                    </w:trPr>
                    <w:tc>
                      <w:tcPr>
                        <w:tcW w:w="1061" w:type="dxa"/>
                        <w:shd w:val="clear" w:color="auto" w:fill="FFFFCC"/>
                      </w:tcPr>
                      <w:p w:rsidR="007C5447" w:rsidRDefault="00F6308C">
                        <w:pPr>
                          <w:pStyle w:val="TableParagraph"/>
                          <w:spacing w:before="50"/>
                          <w:ind w:left="212" w:right="203"/>
                          <w:jc w:val="center"/>
                          <w:rPr>
                            <w:b/>
                            <w:sz w:val="20"/>
                          </w:rPr>
                        </w:pPr>
                        <w:r>
                          <w:rPr>
                            <w:b/>
                            <w:sz w:val="20"/>
                          </w:rPr>
                          <w:t>15</w:t>
                        </w:r>
                      </w:p>
                    </w:tc>
                    <w:tc>
                      <w:tcPr>
                        <w:tcW w:w="3269" w:type="dxa"/>
                        <w:shd w:val="clear" w:color="auto" w:fill="FFFFCC"/>
                      </w:tcPr>
                      <w:p w:rsidR="007C5447" w:rsidRDefault="00F6308C">
                        <w:pPr>
                          <w:pStyle w:val="TableParagraph"/>
                          <w:spacing w:before="86" w:line="224" w:lineRule="exact"/>
                          <w:ind w:left="108"/>
                          <w:jc w:val="left"/>
                          <w:rPr>
                            <w:b/>
                            <w:sz w:val="20"/>
                          </w:rPr>
                        </w:pPr>
                        <w:r>
                          <w:rPr>
                            <w:b/>
                            <w:sz w:val="20"/>
                          </w:rPr>
                          <w:t>Total Fuel Cost</w:t>
                        </w:r>
                      </w:p>
                    </w:tc>
                    <w:tc>
                      <w:tcPr>
                        <w:tcW w:w="1456" w:type="dxa"/>
                        <w:shd w:val="clear" w:color="auto" w:fill="FFFFCC"/>
                      </w:tcPr>
                      <w:p w:rsidR="007C5447" w:rsidRDefault="00F6308C">
                        <w:pPr>
                          <w:pStyle w:val="TableParagraph"/>
                          <w:spacing w:before="86" w:line="224" w:lineRule="exact"/>
                          <w:ind w:left="108"/>
                          <w:jc w:val="left"/>
                          <w:rPr>
                            <w:b/>
                            <w:sz w:val="20"/>
                          </w:rPr>
                        </w:pPr>
                        <w:r>
                          <w:rPr>
                            <w:b/>
                            <w:sz w:val="20"/>
                          </w:rPr>
                          <w:t>Rs. Crore</w:t>
                        </w:r>
                      </w:p>
                    </w:tc>
                    <w:tc>
                      <w:tcPr>
                        <w:tcW w:w="1677" w:type="dxa"/>
                        <w:shd w:val="clear" w:color="auto" w:fill="FFFFCC"/>
                      </w:tcPr>
                      <w:p w:rsidR="007C5447" w:rsidRDefault="00F6308C">
                        <w:pPr>
                          <w:pStyle w:val="TableParagraph"/>
                          <w:spacing w:before="86" w:line="224" w:lineRule="exact"/>
                          <w:ind w:right="93"/>
                          <w:rPr>
                            <w:b/>
                            <w:sz w:val="20"/>
                          </w:rPr>
                        </w:pPr>
                        <w:r>
                          <w:rPr>
                            <w:b/>
                            <w:w w:val="95"/>
                            <w:sz w:val="20"/>
                          </w:rPr>
                          <w:t>110.71</w:t>
                        </w:r>
                      </w:p>
                    </w:tc>
                    <w:tc>
                      <w:tcPr>
                        <w:tcW w:w="1680" w:type="dxa"/>
                        <w:shd w:val="clear" w:color="auto" w:fill="FFFFCC"/>
                      </w:tcPr>
                      <w:p w:rsidR="007C5447" w:rsidRDefault="00F6308C">
                        <w:pPr>
                          <w:pStyle w:val="TableParagraph"/>
                          <w:spacing w:before="86" w:line="224" w:lineRule="exact"/>
                          <w:ind w:right="95"/>
                          <w:rPr>
                            <w:b/>
                            <w:sz w:val="20"/>
                          </w:rPr>
                        </w:pPr>
                        <w:r>
                          <w:rPr>
                            <w:b/>
                            <w:w w:val="95"/>
                            <w:sz w:val="20"/>
                          </w:rPr>
                          <w:t>126.58</w:t>
                        </w:r>
                      </w:p>
                    </w:tc>
                    <w:tc>
                      <w:tcPr>
                        <w:tcW w:w="1677" w:type="dxa"/>
                        <w:shd w:val="clear" w:color="auto" w:fill="FFFFCC"/>
                      </w:tcPr>
                      <w:p w:rsidR="007C5447" w:rsidRDefault="00F6308C">
                        <w:pPr>
                          <w:pStyle w:val="TableParagraph"/>
                          <w:spacing w:before="86" w:line="224" w:lineRule="exact"/>
                          <w:ind w:right="92"/>
                          <w:rPr>
                            <w:b/>
                            <w:sz w:val="20"/>
                          </w:rPr>
                        </w:pPr>
                        <w:r>
                          <w:rPr>
                            <w:b/>
                            <w:sz w:val="20"/>
                          </w:rPr>
                          <w:t>91.47</w:t>
                        </w:r>
                      </w:p>
                    </w:tc>
                    <w:tc>
                      <w:tcPr>
                        <w:tcW w:w="1678" w:type="dxa"/>
                        <w:shd w:val="clear" w:color="auto" w:fill="FFFFCC"/>
                      </w:tcPr>
                      <w:p w:rsidR="007C5447" w:rsidRDefault="00F6308C">
                        <w:pPr>
                          <w:pStyle w:val="TableParagraph"/>
                          <w:spacing w:before="86" w:line="224" w:lineRule="exact"/>
                          <w:ind w:right="92"/>
                          <w:rPr>
                            <w:b/>
                            <w:sz w:val="20"/>
                          </w:rPr>
                        </w:pPr>
                        <w:r>
                          <w:rPr>
                            <w:b/>
                            <w:sz w:val="20"/>
                          </w:rPr>
                          <w:t>95.97</w:t>
                        </w:r>
                      </w:p>
                    </w:tc>
                    <w:tc>
                      <w:tcPr>
                        <w:tcW w:w="1675" w:type="dxa"/>
                        <w:shd w:val="clear" w:color="auto" w:fill="FFFFCC"/>
                      </w:tcPr>
                      <w:p w:rsidR="007C5447" w:rsidRDefault="00F6308C">
                        <w:pPr>
                          <w:pStyle w:val="TableParagraph"/>
                          <w:spacing w:before="86" w:line="224" w:lineRule="exact"/>
                          <w:ind w:right="92"/>
                          <w:rPr>
                            <w:b/>
                            <w:sz w:val="20"/>
                          </w:rPr>
                        </w:pPr>
                        <w:r>
                          <w:rPr>
                            <w:b/>
                            <w:sz w:val="20"/>
                          </w:rPr>
                          <w:t>96.17</w:t>
                        </w:r>
                      </w:p>
                    </w:tc>
                  </w:tr>
                  <w:tr w:rsidR="007C5447">
                    <w:trPr>
                      <w:trHeight w:val="330"/>
                    </w:trPr>
                    <w:tc>
                      <w:tcPr>
                        <w:tcW w:w="1061" w:type="dxa"/>
                        <w:shd w:val="clear" w:color="auto" w:fill="FFFFCC"/>
                      </w:tcPr>
                      <w:p w:rsidR="007C5447" w:rsidRDefault="00F6308C">
                        <w:pPr>
                          <w:pStyle w:val="TableParagraph"/>
                          <w:spacing w:before="50"/>
                          <w:ind w:left="212" w:right="203"/>
                          <w:jc w:val="center"/>
                          <w:rPr>
                            <w:b/>
                            <w:sz w:val="20"/>
                          </w:rPr>
                        </w:pPr>
                        <w:r>
                          <w:rPr>
                            <w:b/>
                            <w:sz w:val="20"/>
                          </w:rPr>
                          <w:t>16</w:t>
                        </w:r>
                      </w:p>
                    </w:tc>
                    <w:tc>
                      <w:tcPr>
                        <w:tcW w:w="3269" w:type="dxa"/>
                        <w:shd w:val="clear" w:color="auto" w:fill="FFFFCC"/>
                      </w:tcPr>
                      <w:p w:rsidR="007C5447" w:rsidRDefault="00F6308C">
                        <w:pPr>
                          <w:pStyle w:val="TableParagraph"/>
                          <w:spacing w:before="84" w:line="227" w:lineRule="exact"/>
                          <w:ind w:left="108"/>
                          <w:jc w:val="left"/>
                          <w:rPr>
                            <w:b/>
                            <w:sz w:val="20"/>
                          </w:rPr>
                        </w:pPr>
                        <w:r>
                          <w:rPr>
                            <w:b/>
                            <w:sz w:val="20"/>
                          </w:rPr>
                          <w:t>Energy Charge</w:t>
                        </w:r>
                      </w:p>
                    </w:tc>
                    <w:tc>
                      <w:tcPr>
                        <w:tcW w:w="1456" w:type="dxa"/>
                        <w:shd w:val="clear" w:color="auto" w:fill="FFFFCC"/>
                      </w:tcPr>
                      <w:p w:rsidR="007C5447" w:rsidRDefault="00F6308C">
                        <w:pPr>
                          <w:pStyle w:val="TableParagraph"/>
                          <w:spacing w:before="84" w:line="227" w:lineRule="exact"/>
                          <w:ind w:left="108"/>
                          <w:jc w:val="left"/>
                          <w:rPr>
                            <w:b/>
                            <w:sz w:val="20"/>
                          </w:rPr>
                        </w:pPr>
                        <w:r>
                          <w:rPr>
                            <w:b/>
                            <w:sz w:val="20"/>
                          </w:rPr>
                          <w:t>Rs. /kWh</w:t>
                        </w:r>
                      </w:p>
                    </w:tc>
                    <w:tc>
                      <w:tcPr>
                        <w:tcW w:w="1677" w:type="dxa"/>
                        <w:shd w:val="clear" w:color="auto" w:fill="FFFFCC"/>
                      </w:tcPr>
                      <w:p w:rsidR="007C5447" w:rsidRDefault="00F6308C">
                        <w:pPr>
                          <w:pStyle w:val="TableParagraph"/>
                          <w:spacing w:before="84" w:line="227" w:lineRule="exact"/>
                          <w:ind w:right="96"/>
                          <w:rPr>
                            <w:b/>
                            <w:sz w:val="20"/>
                          </w:rPr>
                        </w:pPr>
                        <w:r>
                          <w:rPr>
                            <w:b/>
                            <w:sz w:val="20"/>
                          </w:rPr>
                          <w:t>1.66</w:t>
                        </w:r>
                      </w:p>
                    </w:tc>
                    <w:tc>
                      <w:tcPr>
                        <w:tcW w:w="1680" w:type="dxa"/>
                        <w:shd w:val="clear" w:color="auto" w:fill="FFFFCC"/>
                      </w:tcPr>
                      <w:p w:rsidR="007C5447" w:rsidRDefault="00F6308C">
                        <w:pPr>
                          <w:pStyle w:val="TableParagraph"/>
                          <w:spacing w:before="84" w:line="227" w:lineRule="exact"/>
                          <w:ind w:right="98"/>
                          <w:rPr>
                            <w:b/>
                            <w:sz w:val="20"/>
                          </w:rPr>
                        </w:pPr>
                        <w:r>
                          <w:rPr>
                            <w:b/>
                            <w:sz w:val="20"/>
                          </w:rPr>
                          <w:t>1.85</w:t>
                        </w:r>
                      </w:p>
                    </w:tc>
                    <w:tc>
                      <w:tcPr>
                        <w:tcW w:w="1677" w:type="dxa"/>
                        <w:shd w:val="clear" w:color="auto" w:fill="FFFFCC"/>
                      </w:tcPr>
                      <w:p w:rsidR="007C5447" w:rsidRDefault="00F6308C">
                        <w:pPr>
                          <w:pStyle w:val="TableParagraph"/>
                          <w:spacing w:before="84" w:line="227" w:lineRule="exact"/>
                          <w:ind w:right="95"/>
                          <w:rPr>
                            <w:b/>
                            <w:sz w:val="20"/>
                          </w:rPr>
                        </w:pPr>
                        <w:r>
                          <w:rPr>
                            <w:b/>
                            <w:sz w:val="20"/>
                          </w:rPr>
                          <w:t>1.95</w:t>
                        </w:r>
                      </w:p>
                    </w:tc>
                    <w:tc>
                      <w:tcPr>
                        <w:tcW w:w="1678" w:type="dxa"/>
                        <w:shd w:val="clear" w:color="auto" w:fill="FFFFCC"/>
                      </w:tcPr>
                      <w:p w:rsidR="007C5447" w:rsidRDefault="00F6308C">
                        <w:pPr>
                          <w:pStyle w:val="TableParagraph"/>
                          <w:spacing w:before="84" w:line="227" w:lineRule="exact"/>
                          <w:ind w:right="94"/>
                          <w:rPr>
                            <w:b/>
                            <w:sz w:val="20"/>
                          </w:rPr>
                        </w:pPr>
                        <w:r>
                          <w:rPr>
                            <w:b/>
                            <w:sz w:val="20"/>
                          </w:rPr>
                          <w:t>2.47</w:t>
                        </w:r>
                      </w:p>
                    </w:tc>
                    <w:tc>
                      <w:tcPr>
                        <w:tcW w:w="1675" w:type="dxa"/>
                        <w:shd w:val="clear" w:color="auto" w:fill="FFFFCC"/>
                      </w:tcPr>
                      <w:p w:rsidR="007C5447" w:rsidRDefault="00F6308C">
                        <w:pPr>
                          <w:pStyle w:val="TableParagraph"/>
                          <w:spacing w:before="84" w:line="227" w:lineRule="exact"/>
                          <w:ind w:right="94"/>
                          <w:rPr>
                            <w:b/>
                            <w:sz w:val="20"/>
                          </w:rPr>
                        </w:pPr>
                        <w:r>
                          <w:rPr>
                            <w:b/>
                            <w:sz w:val="20"/>
                          </w:rPr>
                          <w:t>2.56</w:t>
                        </w:r>
                      </w:p>
                    </w:tc>
                  </w:tr>
                </w:tbl>
                <w:p w:rsidR="007C5447" w:rsidRDefault="007C5447">
                  <w:pPr>
                    <w:pStyle w:val="BodyText"/>
                  </w:pPr>
                </w:p>
              </w:txbxContent>
            </v:textbox>
            <w10:wrap anchorx="page" anchory="page"/>
          </v:shape>
        </w:pict>
      </w:r>
    </w:p>
    <w:p w:rsidR="007C5447" w:rsidRDefault="00F6308C">
      <w:pPr>
        <w:pStyle w:val="BodyText"/>
        <w:ind w:left="1173"/>
        <w:rPr>
          <w:sz w:val="20"/>
        </w:rPr>
      </w:pPr>
      <w:r>
        <w:rPr>
          <w:sz w:val="20"/>
        </w:rPr>
      </w:r>
      <w:r>
        <w:rPr>
          <w:sz w:val="20"/>
        </w:rPr>
        <w:pict>
          <v:shape id="_x0000_s1033" type="#_x0000_t202" style="width:163.5pt;height:16.6pt;mso-left-percent:-10001;mso-top-percent:-10001;mso-position-horizontal:absolute;mso-position-horizontal-relative:char;mso-position-vertical:absolute;mso-position-vertical-relative:line;mso-left-percent:-10001;mso-top-percent:-10001" fillcolor="#ffc000" stroked="f">
            <v:textbox inset="0,0,0,0">
              <w:txbxContent>
                <w:p w:rsidR="007C5447" w:rsidRDefault="00F6308C">
                  <w:pPr>
                    <w:spacing w:before="87"/>
                    <w:ind w:left="108"/>
                    <w:rPr>
                      <w:b/>
                      <w:sz w:val="20"/>
                    </w:rPr>
                  </w:pPr>
                  <w:r>
                    <w:rPr>
                      <w:b/>
                      <w:sz w:val="20"/>
                    </w:rPr>
                    <w:t>TKGTPS</w:t>
                  </w:r>
                </w:p>
              </w:txbxContent>
            </v:textbox>
            <w10:anchorlock/>
          </v:shape>
        </w:pict>
      </w:r>
    </w:p>
    <w:p w:rsidR="007C5447" w:rsidRDefault="007C5447">
      <w:pPr>
        <w:rPr>
          <w:sz w:val="20"/>
        </w:rPr>
        <w:sectPr w:rsidR="007C5447">
          <w:pgSz w:w="16840" w:h="11910" w:orient="landscape"/>
          <w:pgMar w:top="1100" w:right="1220" w:bottom="1240" w:left="1220" w:header="0" w:footer="777" w:gutter="0"/>
          <w:cols w:space="720"/>
        </w:sectPr>
      </w:pPr>
    </w:p>
    <w:p w:rsidR="007C5447" w:rsidRDefault="00F6308C">
      <w:pPr>
        <w:pStyle w:val="BodyText"/>
        <w:spacing w:before="3"/>
        <w:rPr>
          <w:sz w:val="2"/>
        </w:rPr>
      </w:pPr>
      <w:r>
        <w:lastRenderedPageBreak/>
        <w:pict>
          <v:shape id="_x0000_s1032" type="#_x0000_t202" style="position:absolute;margin-left:66.35pt;margin-top:73.2pt;width:709.55pt;height:302.6pt;z-index:251696128;mso-position-horizontal-relative:page;mso-position-vertic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1"/>
                    <w:gridCol w:w="3269"/>
                    <w:gridCol w:w="1456"/>
                    <w:gridCol w:w="1677"/>
                    <w:gridCol w:w="1680"/>
                    <w:gridCol w:w="1677"/>
                    <w:gridCol w:w="1678"/>
                    <w:gridCol w:w="1675"/>
                  </w:tblGrid>
                  <w:tr w:rsidR="007C5447">
                    <w:trPr>
                      <w:trHeight w:val="330"/>
                    </w:trPr>
                    <w:tc>
                      <w:tcPr>
                        <w:tcW w:w="1061" w:type="dxa"/>
                        <w:shd w:val="clear" w:color="auto" w:fill="C8C8C8"/>
                      </w:tcPr>
                      <w:p w:rsidR="007C5447" w:rsidRDefault="00F6308C">
                        <w:pPr>
                          <w:pStyle w:val="TableParagraph"/>
                          <w:spacing w:before="50"/>
                          <w:ind w:left="212" w:right="204"/>
                          <w:jc w:val="center"/>
                          <w:rPr>
                            <w:b/>
                            <w:sz w:val="20"/>
                          </w:rPr>
                        </w:pPr>
                        <w:r>
                          <w:rPr>
                            <w:b/>
                            <w:sz w:val="20"/>
                          </w:rPr>
                          <w:t>Sr. No.</w:t>
                        </w:r>
                      </w:p>
                    </w:tc>
                    <w:tc>
                      <w:tcPr>
                        <w:tcW w:w="3269" w:type="dxa"/>
                        <w:shd w:val="clear" w:color="auto" w:fill="C8C8C8"/>
                      </w:tcPr>
                      <w:p w:rsidR="007C5447" w:rsidRDefault="00F6308C">
                        <w:pPr>
                          <w:pStyle w:val="TableParagraph"/>
                          <w:spacing w:before="50"/>
                          <w:ind w:left="1156" w:right="1151"/>
                          <w:jc w:val="center"/>
                          <w:rPr>
                            <w:b/>
                            <w:sz w:val="20"/>
                          </w:rPr>
                        </w:pPr>
                        <w:r>
                          <w:rPr>
                            <w:b/>
                            <w:sz w:val="20"/>
                          </w:rPr>
                          <w:t>Parameter</w:t>
                        </w:r>
                      </w:p>
                    </w:tc>
                    <w:tc>
                      <w:tcPr>
                        <w:tcW w:w="1456" w:type="dxa"/>
                        <w:shd w:val="clear" w:color="auto" w:fill="C8C8C8"/>
                      </w:tcPr>
                      <w:p w:rsidR="007C5447" w:rsidRDefault="00F6308C">
                        <w:pPr>
                          <w:pStyle w:val="TableParagraph"/>
                          <w:spacing w:before="50"/>
                          <w:ind w:left="519" w:right="508"/>
                          <w:jc w:val="center"/>
                          <w:rPr>
                            <w:b/>
                            <w:sz w:val="20"/>
                          </w:rPr>
                        </w:pPr>
                        <w:r>
                          <w:rPr>
                            <w:b/>
                            <w:sz w:val="20"/>
                          </w:rPr>
                          <w:t>Unit</w:t>
                        </w:r>
                      </w:p>
                    </w:tc>
                    <w:tc>
                      <w:tcPr>
                        <w:tcW w:w="1677" w:type="dxa"/>
                        <w:shd w:val="clear" w:color="auto" w:fill="BEBEBE"/>
                      </w:tcPr>
                      <w:p w:rsidR="007C5447" w:rsidRDefault="00F6308C">
                        <w:pPr>
                          <w:pStyle w:val="TableParagraph"/>
                          <w:spacing w:before="50"/>
                          <w:ind w:left="346"/>
                          <w:jc w:val="left"/>
                          <w:rPr>
                            <w:b/>
                            <w:sz w:val="20"/>
                          </w:rPr>
                        </w:pPr>
                        <w:r>
                          <w:rPr>
                            <w:b/>
                            <w:sz w:val="20"/>
                          </w:rPr>
                          <w:t>FY 2011-12</w:t>
                        </w:r>
                      </w:p>
                    </w:tc>
                    <w:tc>
                      <w:tcPr>
                        <w:tcW w:w="1680" w:type="dxa"/>
                        <w:shd w:val="clear" w:color="auto" w:fill="BEBEBE"/>
                      </w:tcPr>
                      <w:p w:rsidR="007C5447" w:rsidRDefault="00F6308C">
                        <w:pPr>
                          <w:pStyle w:val="TableParagraph"/>
                          <w:spacing w:before="50"/>
                          <w:ind w:left="347"/>
                          <w:jc w:val="left"/>
                          <w:rPr>
                            <w:b/>
                            <w:sz w:val="20"/>
                          </w:rPr>
                        </w:pPr>
                        <w:r>
                          <w:rPr>
                            <w:b/>
                            <w:sz w:val="20"/>
                          </w:rPr>
                          <w:t>FY 2012-13</w:t>
                        </w:r>
                      </w:p>
                    </w:tc>
                    <w:tc>
                      <w:tcPr>
                        <w:tcW w:w="1677" w:type="dxa"/>
                        <w:shd w:val="clear" w:color="auto" w:fill="BEBEBE"/>
                      </w:tcPr>
                      <w:p w:rsidR="007C5447" w:rsidRDefault="00F6308C">
                        <w:pPr>
                          <w:pStyle w:val="TableParagraph"/>
                          <w:spacing w:before="50"/>
                          <w:ind w:left="347"/>
                          <w:jc w:val="left"/>
                          <w:rPr>
                            <w:b/>
                            <w:sz w:val="20"/>
                          </w:rPr>
                        </w:pPr>
                        <w:r>
                          <w:rPr>
                            <w:b/>
                            <w:sz w:val="20"/>
                          </w:rPr>
                          <w:t>FY 2013-14</w:t>
                        </w:r>
                      </w:p>
                    </w:tc>
                    <w:tc>
                      <w:tcPr>
                        <w:tcW w:w="1678" w:type="dxa"/>
                        <w:shd w:val="clear" w:color="auto" w:fill="BEBEBE"/>
                      </w:tcPr>
                      <w:p w:rsidR="007C5447" w:rsidRDefault="00F6308C">
                        <w:pPr>
                          <w:pStyle w:val="TableParagraph"/>
                          <w:spacing w:before="50"/>
                          <w:ind w:left="348"/>
                          <w:jc w:val="left"/>
                          <w:rPr>
                            <w:b/>
                            <w:sz w:val="20"/>
                          </w:rPr>
                        </w:pPr>
                        <w:r>
                          <w:rPr>
                            <w:b/>
                            <w:sz w:val="20"/>
                          </w:rPr>
                          <w:t>FY 2014-15</w:t>
                        </w:r>
                      </w:p>
                    </w:tc>
                    <w:tc>
                      <w:tcPr>
                        <w:tcW w:w="1675" w:type="dxa"/>
                        <w:shd w:val="clear" w:color="auto" w:fill="BEBEBE"/>
                      </w:tcPr>
                      <w:p w:rsidR="007C5447" w:rsidRDefault="00F6308C">
                        <w:pPr>
                          <w:pStyle w:val="TableParagraph"/>
                          <w:spacing w:before="50"/>
                          <w:ind w:left="348"/>
                          <w:jc w:val="left"/>
                          <w:rPr>
                            <w:b/>
                            <w:sz w:val="20"/>
                          </w:rPr>
                        </w:pPr>
                        <w:r>
                          <w:rPr>
                            <w:b/>
                            <w:sz w:val="20"/>
                          </w:rPr>
                          <w:t>FY 2015-16</w:t>
                        </w:r>
                      </w:p>
                    </w:tc>
                  </w:tr>
                  <w:tr w:rsidR="007C5447">
                    <w:trPr>
                      <w:trHeight w:val="299"/>
                    </w:trPr>
                    <w:tc>
                      <w:tcPr>
                        <w:tcW w:w="1061" w:type="dxa"/>
                      </w:tcPr>
                      <w:p w:rsidR="007C5447" w:rsidRDefault="00F6308C">
                        <w:pPr>
                          <w:pStyle w:val="TableParagraph"/>
                          <w:spacing w:before="34"/>
                          <w:ind w:left="9"/>
                          <w:jc w:val="center"/>
                          <w:rPr>
                            <w:sz w:val="20"/>
                          </w:rPr>
                        </w:pPr>
                        <w:r>
                          <w:rPr>
                            <w:w w:val="99"/>
                            <w:sz w:val="20"/>
                          </w:rPr>
                          <w:t>1</w:t>
                        </w:r>
                      </w:p>
                    </w:tc>
                    <w:tc>
                      <w:tcPr>
                        <w:tcW w:w="3269" w:type="dxa"/>
                      </w:tcPr>
                      <w:p w:rsidR="007C5447" w:rsidRDefault="00F6308C">
                        <w:pPr>
                          <w:pStyle w:val="TableParagraph"/>
                          <w:spacing w:before="55" w:line="224" w:lineRule="exact"/>
                          <w:ind w:left="108"/>
                          <w:jc w:val="left"/>
                          <w:rPr>
                            <w:sz w:val="20"/>
                          </w:rPr>
                        </w:pPr>
                        <w:r>
                          <w:rPr>
                            <w:sz w:val="20"/>
                          </w:rPr>
                          <w:t>Installed Capacity(MW)</w:t>
                        </w:r>
                      </w:p>
                    </w:tc>
                    <w:tc>
                      <w:tcPr>
                        <w:tcW w:w="1456" w:type="dxa"/>
                      </w:tcPr>
                      <w:p w:rsidR="007C5447" w:rsidRDefault="00F6308C">
                        <w:pPr>
                          <w:pStyle w:val="TableParagraph"/>
                          <w:spacing w:before="55" w:line="224" w:lineRule="exact"/>
                          <w:ind w:left="108"/>
                          <w:jc w:val="left"/>
                          <w:rPr>
                            <w:sz w:val="20"/>
                          </w:rPr>
                        </w:pPr>
                        <w:r>
                          <w:rPr>
                            <w:sz w:val="20"/>
                          </w:rPr>
                          <w:t>MW</w:t>
                        </w:r>
                      </w:p>
                    </w:tc>
                    <w:tc>
                      <w:tcPr>
                        <w:tcW w:w="1677" w:type="dxa"/>
                      </w:tcPr>
                      <w:p w:rsidR="007C5447" w:rsidRDefault="00F6308C">
                        <w:pPr>
                          <w:pStyle w:val="TableParagraph"/>
                          <w:spacing w:before="55" w:line="224" w:lineRule="exact"/>
                          <w:ind w:right="91"/>
                          <w:rPr>
                            <w:sz w:val="20"/>
                          </w:rPr>
                        </w:pPr>
                        <w:r>
                          <w:rPr>
                            <w:sz w:val="20"/>
                          </w:rPr>
                          <w:t>101</w:t>
                        </w:r>
                      </w:p>
                    </w:tc>
                    <w:tc>
                      <w:tcPr>
                        <w:tcW w:w="1680" w:type="dxa"/>
                      </w:tcPr>
                      <w:p w:rsidR="007C5447" w:rsidRDefault="00F6308C">
                        <w:pPr>
                          <w:pStyle w:val="TableParagraph"/>
                          <w:spacing w:before="55" w:line="224" w:lineRule="exact"/>
                          <w:ind w:right="93"/>
                          <w:rPr>
                            <w:sz w:val="20"/>
                          </w:rPr>
                        </w:pPr>
                        <w:r>
                          <w:rPr>
                            <w:sz w:val="20"/>
                          </w:rPr>
                          <w:t>101</w:t>
                        </w:r>
                      </w:p>
                    </w:tc>
                    <w:tc>
                      <w:tcPr>
                        <w:tcW w:w="1677" w:type="dxa"/>
                      </w:tcPr>
                      <w:p w:rsidR="007C5447" w:rsidRDefault="00F6308C">
                        <w:pPr>
                          <w:pStyle w:val="TableParagraph"/>
                          <w:spacing w:before="55" w:line="224" w:lineRule="exact"/>
                          <w:ind w:right="90"/>
                          <w:rPr>
                            <w:sz w:val="20"/>
                          </w:rPr>
                        </w:pPr>
                        <w:r>
                          <w:rPr>
                            <w:sz w:val="20"/>
                          </w:rPr>
                          <w:t>101</w:t>
                        </w:r>
                      </w:p>
                    </w:tc>
                    <w:tc>
                      <w:tcPr>
                        <w:tcW w:w="1678" w:type="dxa"/>
                      </w:tcPr>
                      <w:p w:rsidR="007C5447" w:rsidRDefault="00F6308C">
                        <w:pPr>
                          <w:pStyle w:val="TableParagraph"/>
                          <w:spacing w:before="55" w:line="224" w:lineRule="exact"/>
                          <w:ind w:right="90"/>
                          <w:rPr>
                            <w:sz w:val="20"/>
                          </w:rPr>
                        </w:pPr>
                        <w:r>
                          <w:rPr>
                            <w:sz w:val="20"/>
                          </w:rPr>
                          <w:t>101</w:t>
                        </w:r>
                      </w:p>
                    </w:tc>
                    <w:tc>
                      <w:tcPr>
                        <w:tcW w:w="1675" w:type="dxa"/>
                      </w:tcPr>
                      <w:p w:rsidR="007C5447" w:rsidRDefault="00F6308C">
                        <w:pPr>
                          <w:pStyle w:val="TableParagraph"/>
                          <w:spacing w:before="55" w:line="224" w:lineRule="exact"/>
                          <w:ind w:right="90"/>
                          <w:rPr>
                            <w:sz w:val="20"/>
                          </w:rPr>
                        </w:pPr>
                        <w:r>
                          <w:rPr>
                            <w:sz w:val="20"/>
                          </w:rPr>
                          <w:t>101</w:t>
                        </w:r>
                      </w:p>
                    </w:tc>
                  </w:tr>
                  <w:tr w:rsidR="007C5447">
                    <w:trPr>
                      <w:trHeight w:val="299"/>
                    </w:trPr>
                    <w:tc>
                      <w:tcPr>
                        <w:tcW w:w="1061" w:type="dxa"/>
                      </w:tcPr>
                      <w:p w:rsidR="007C5447" w:rsidRDefault="00F6308C">
                        <w:pPr>
                          <w:pStyle w:val="TableParagraph"/>
                          <w:spacing w:before="34"/>
                          <w:ind w:left="9"/>
                          <w:jc w:val="center"/>
                          <w:rPr>
                            <w:sz w:val="20"/>
                          </w:rPr>
                        </w:pPr>
                        <w:r>
                          <w:rPr>
                            <w:w w:val="99"/>
                            <w:sz w:val="20"/>
                          </w:rPr>
                          <w:t>2</w:t>
                        </w:r>
                      </w:p>
                    </w:tc>
                    <w:tc>
                      <w:tcPr>
                        <w:tcW w:w="3269" w:type="dxa"/>
                      </w:tcPr>
                      <w:p w:rsidR="007C5447" w:rsidRDefault="00F6308C">
                        <w:pPr>
                          <w:pStyle w:val="TableParagraph"/>
                          <w:spacing w:before="55" w:line="224" w:lineRule="exact"/>
                          <w:ind w:left="108"/>
                          <w:jc w:val="left"/>
                          <w:rPr>
                            <w:sz w:val="20"/>
                          </w:rPr>
                        </w:pPr>
                        <w:r>
                          <w:rPr>
                            <w:sz w:val="20"/>
                          </w:rPr>
                          <w:t>Allocated Capacity</w:t>
                        </w:r>
                      </w:p>
                    </w:tc>
                    <w:tc>
                      <w:tcPr>
                        <w:tcW w:w="1456" w:type="dxa"/>
                      </w:tcPr>
                      <w:p w:rsidR="007C5447" w:rsidRDefault="00F6308C">
                        <w:pPr>
                          <w:pStyle w:val="TableParagraph"/>
                          <w:spacing w:before="55" w:line="224" w:lineRule="exact"/>
                          <w:ind w:left="108"/>
                          <w:jc w:val="left"/>
                          <w:rPr>
                            <w:sz w:val="20"/>
                          </w:rPr>
                        </w:pPr>
                        <w:r>
                          <w:rPr>
                            <w:sz w:val="20"/>
                          </w:rPr>
                          <w:t>MW</w:t>
                        </w:r>
                      </w:p>
                    </w:tc>
                    <w:tc>
                      <w:tcPr>
                        <w:tcW w:w="1677" w:type="dxa"/>
                      </w:tcPr>
                      <w:p w:rsidR="007C5447" w:rsidRDefault="00F6308C">
                        <w:pPr>
                          <w:pStyle w:val="TableParagraph"/>
                          <w:spacing w:before="55" w:line="224" w:lineRule="exact"/>
                          <w:ind w:right="91"/>
                          <w:rPr>
                            <w:sz w:val="20"/>
                          </w:rPr>
                        </w:pPr>
                        <w:r>
                          <w:rPr>
                            <w:sz w:val="20"/>
                          </w:rPr>
                          <w:t>101</w:t>
                        </w:r>
                      </w:p>
                    </w:tc>
                    <w:tc>
                      <w:tcPr>
                        <w:tcW w:w="1680" w:type="dxa"/>
                      </w:tcPr>
                      <w:p w:rsidR="007C5447" w:rsidRDefault="00F6308C">
                        <w:pPr>
                          <w:pStyle w:val="TableParagraph"/>
                          <w:spacing w:before="55" w:line="224" w:lineRule="exact"/>
                          <w:ind w:right="93"/>
                          <w:rPr>
                            <w:sz w:val="20"/>
                          </w:rPr>
                        </w:pPr>
                        <w:r>
                          <w:rPr>
                            <w:sz w:val="20"/>
                          </w:rPr>
                          <w:t>101</w:t>
                        </w:r>
                      </w:p>
                    </w:tc>
                    <w:tc>
                      <w:tcPr>
                        <w:tcW w:w="1677" w:type="dxa"/>
                      </w:tcPr>
                      <w:p w:rsidR="007C5447" w:rsidRDefault="00F6308C">
                        <w:pPr>
                          <w:pStyle w:val="TableParagraph"/>
                          <w:spacing w:before="55" w:line="224" w:lineRule="exact"/>
                          <w:ind w:right="90"/>
                          <w:rPr>
                            <w:sz w:val="20"/>
                          </w:rPr>
                        </w:pPr>
                        <w:r>
                          <w:rPr>
                            <w:sz w:val="20"/>
                          </w:rPr>
                          <w:t>101</w:t>
                        </w:r>
                      </w:p>
                    </w:tc>
                    <w:tc>
                      <w:tcPr>
                        <w:tcW w:w="1678" w:type="dxa"/>
                      </w:tcPr>
                      <w:p w:rsidR="007C5447" w:rsidRDefault="00F6308C">
                        <w:pPr>
                          <w:pStyle w:val="TableParagraph"/>
                          <w:spacing w:before="55" w:line="224" w:lineRule="exact"/>
                          <w:ind w:right="90"/>
                          <w:rPr>
                            <w:sz w:val="20"/>
                          </w:rPr>
                        </w:pPr>
                        <w:r>
                          <w:rPr>
                            <w:sz w:val="20"/>
                          </w:rPr>
                          <w:t>101</w:t>
                        </w:r>
                      </w:p>
                    </w:tc>
                    <w:tc>
                      <w:tcPr>
                        <w:tcW w:w="1675" w:type="dxa"/>
                      </w:tcPr>
                      <w:p w:rsidR="007C5447" w:rsidRDefault="00F6308C">
                        <w:pPr>
                          <w:pStyle w:val="TableParagraph"/>
                          <w:spacing w:before="55" w:line="224" w:lineRule="exact"/>
                          <w:ind w:right="90"/>
                          <w:rPr>
                            <w:sz w:val="20"/>
                          </w:rPr>
                        </w:pPr>
                        <w:r>
                          <w:rPr>
                            <w:sz w:val="20"/>
                          </w:rPr>
                          <w:t>101</w:t>
                        </w:r>
                      </w:p>
                    </w:tc>
                  </w:tr>
                  <w:tr w:rsidR="007C5447">
                    <w:trPr>
                      <w:trHeight w:val="299"/>
                    </w:trPr>
                    <w:tc>
                      <w:tcPr>
                        <w:tcW w:w="1061" w:type="dxa"/>
                      </w:tcPr>
                      <w:p w:rsidR="007C5447" w:rsidRDefault="00F6308C">
                        <w:pPr>
                          <w:pStyle w:val="TableParagraph"/>
                          <w:spacing w:before="36"/>
                          <w:ind w:left="9"/>
                          <w:jc w:val="center"/>
                          <w:rPr>
                            <w:sz w:val="20"/>
                          </w:rPr>
                        </w:pPr>
                        <w:r>
                          <w:rPr>
                            <w:w w:val="99"/>
                            <w:sz w:val="20"/>
                          </w:rPr>
                          <w:t>3</w:t>
                        </w:r>
                      </w:p>
                    </w:tc>
                    <w:tc>
                      <w:tcPr>
                        <w:tcW w:w="3269" w:type="dxa"/>
                      </w:tcPr>
                      <w:p w:rsidR="007C5447" w:rsidRDefault="00F6308C">
                        <w:pPr>
                          <w:pStyle w:val="TableParagraph"/>
                          <w:spacing w:before="55" w:line="224" w:lineRule="exact"/>
                          <w:ind w:left="108"/>
                          <w:jc w:val="left"/>
                          <w:rPr>
                            <w:sz w:val="20"/>
                          </w:rPr>
                        </w:pPr>
                        <w:r>
                          <w:rPr>
                            <w:sz w:val="20"/>
                          </w:rPr>
                          <w:t>Days</w:t>
                        </w:r>
                      </w:p>
                    </w:tc>
                    <w:tc>
                      <w:tcPr>
                        <w:tcW w:w="1456" w:type="dxa"/>
                      </w:tcPr>
                      <w:p w:rsidR="007C5447" w:rsidRDefault="00F6308C">
                        <w:pPr>
                          <w:pStyle w:val="TableParagraph"/>
                          <w:spacing w:before="55" w:line="224" w:lineRule="exact"/>
                          <w:ind w:left="108"/>
                          <w:jc w:val="left"/>
                          <w:rPr>
                            <w:sz w:val="20"/>
                          </w:rPr>
                        </w:pPr>
                        <w:r>
                          <w:rPr>
                            <w:sz w:val="20"/>
                          </w:rPr>
                          <w:t>Nos.</w:t>
                        </w:r>
                      </w:p>
                    </w:tc>
                    <w:tc>
                      <w:tcPr>
                        <w:tcW w:w="1677" w:type="dxa"/>
                      </w:tcPr>
                      <w:p w:rsidR="007C5447" w:rsidRDefault="00F6308C">
                        <w:pPr>
                          <w:pStyle w:val="TableParagraph"/>
                          <w:spacing w:before="55" w:line="224" w:lineRule="exact"/>
                          <w:ind w:right="91"/>
                          <w:rPr>
                            <w:sz w:val="20"/>
                          </w:rPr>
                        </w:pPr>
                        <w:r>
                          <w:rPr>
                            <w:sz w:val="20"/>
                          </w:rPr>
                          <w:t>366</w:t>
                        </w:r>
                      </w:p>
                    </w:tc>
                    <w:tc>
                      <w:tcPr>
                        <w:tcW w:w="1680" w:type="dxa"/>
                      </w:tcPr>
                      <w:p w:rsidR="007C5447" w:rsidRDefault="00F6308C">
                        <w:pPr>
                          <w:pStyle w:val="TableParagraph"/>
                          <w:spacing w:before="55" w:line="224" w:lineRule="exact"/>
                          <w:ind w:right="93"/>
                          <w:rPr>
                            <w:sz w:val="20"/>
                          </w:rPr>
                        </w:pPr>
                        <w:r>
                          <w:rPr>
                            <w:sz w:val="20"/>
                          </w:rPr>
                          <w:t>365</w:t>
                        </w:r>
                      </w:p>
                    </w:tc>
                    <w:tc>
                      <w:tcPr>
                        <w:tcW w:w="1677" w:type="dxa"/>
                      </w:tcPr>
                      <w:p w:rsidR="007C5447" w:rsidRDefault="00F6308C">
                        <w:pPr>
                          <w:pStyle w:val="TableParagraph"/>
                          <w:spacing w:before="55" w:line="224" w:lineRule="exact"/>
                          <w:ind w:right="90"/>
                          <w:rPr>
                            <w:sz w:val="20"/>
                          </w:rPr>
                        </w:pPr>
                        <w:r>
                          <w:rPr>
                            <w:sz w:val="20"/>
                          </w:rPr>
                          <w:t>365</w:t>
                        </w:r>
                      </w:p>
                    </w:tc>
                    <w:tc>
                      <w:tcPr>
                        <w:tcW w:w="1678" w:type="dxa"/>
                      </w:tcPr>
                      <w:p w:rsidR="007C5447" w:rsidRDefault="00F6308C">
                        <w:pPr>
                          <w:pStyle w:val="TableParagraph"/>
                          <w:spacing w:before="55" w:line="224" w:lineRule="exact"/>
                          <w:ind w:right="90"/>
                          <w:rPr>
                            <w:sz w:val="20"/>
                          </w:rPr>
                        </w:pPr>
                        <w:r>
                          <w:rPr>
                            <w:sz w:val="20"/>
                          </w:rPr>
                          <w:t>365</w:t>
                        </w:r>
                      </w:p>
                    </w:tc>
                    <w:tc>
                      <w:tcPr>
                        <w:tcW w:w="1675" w:type="dxa"/>
                      </w:tcPr>
                      <w:p w:rsidR="007C5447" w:rsidRDefault="00F6308C">
                        <w:pPr>
                          <w:pStyle w:val="TableParagraph"/>
                          <w:spacing w:before="55" w:line="224" w:lineRule="exact"/>
                          <w:ind w:right="90"/>
                          <w:rPr>
                            <w:sz w:val="20"/>
                          </w:rPr>
                        </w:pPr>
                        <w:r>
                          <w:rPr>
                            <w:sz w:val="20"/>
                          </w:rPr>
                          <w:t>366</w:t>
                        </w:r>
                      </w:p>
                    </w:tc>
                  </w:tr>
                  <w:tr w:rsidR="007C5447">
                    <w:trPr>
                      <w:trHeight w:val="299"/>
                    </w:trPr>
                    <w:tc>
                      <w:tcPr>
                        <w:tcW w:w="1061" w:type="dxa"/>
                      </w:tcPr>
                      <w:p w:rsidR="007C5447" w:rsidRDefault="00F6308C">
                        <w:pPr>
                          <w:pStyle w:val="TableParagraph"/>
                          <w:spacing w:before="36"/>
                          <w:ind w:left="9"/>
                          <w:jc w:val="center"/>
                          <w:rPr>
                            <w:sz w:val="20"/>
                          </w:rPr>
                        </w:pPr>
                        <w:r>
                          <w:rPr>
                            <w:w w:val="99"/>
                            <w:sz w:val="20"/>
                          </w:rPr>
                          <w:t>4</w:t>
                        </w:r>
                      </w:p>
                    </w:tc>
                    <w:tc>
                      <w:tcPr>
                        <w:tcW w:w="3269" w:type="dxa"/>
                      </w:tcPr>
                      <w:p w:rsidR="007C5447" w:rsidRDefault="00F6308C">
                        <w:pPr>
                          <w:pStyle w:val="TableParagraph"/>
                          <w:spacing w:before="55" w:line="224" w:lineRule="exact"/>
                          <w:ind w:left="108"/>
                          <w:jc w:val="left"/>
                          <w:rPr>
                            <w:sz w:val="20"/>
                          </w:rPr>
                        </w:pPr>
                        <w:r>
                          <w:rPr>
                            <w:sz w:val="20"/>
                          </w:rPr>
                          <w:t>PLF</w:t>
                        </w:r>
                      </w:p>
                    </w:tc>
                    <w:tc>
                      <w:tcPr>
                        <w:tcW w:w="1456" w:type="dxa"/>
                      </w:tcPr>
                      <w:p w:rsidR="007C5447" w:rsidRDefault="00F6308C">
                        <w:pPr>
                          <w:pStyle w:val="TableParagraph"/>
                          <w:spacing w:before="55" w:line="224" w:lineRule="exact"/>
                          <w:ind w:left="108"/>
                          <w:jc w:val="left"/>
                          <w:rPr>
                            <w:sz w:val="20"/>
                          </w:rPr>
                        </w:pPr>
                        <w:r>
                          <w:rPr>
                            <w:w w:val="99"/>
                            <w:sz w:val="20"/>
                          </w:rPr>
                          <w:t>%</w:t>
                        </w:r>
                      </w:p>
                    </w:tc>
                    <w:tc>
                      <w:tcPr>
                        <w:tcW w:w="1677" w:type="dxa"/>
                      </w:tcPr>
                      <w:p w:rsidR="007C5447" w:rsidRDefault="00F6308C">
                        <w:pPr>
                          <w:pStyle w:val="TableParagraph"/>
                          <w:spacing w:before="55" w:line="224" w:lineRule="exact"/>
                          <w:ind w:right="92"/>
                          <w:rPr>
                            <w:sz w:val="20"/>
                          </w:rPr>
                        </w:pPr>
                        <w:r>
                          <w:rPr>
                            <w:sz w:val="20"/>
                          </w:rPr>
                          <w:t>46.76%</w:t>
                        </w:r>
                      </w:p>
                    </w:tc>
                    <w:tc>
                      <w:tcPr>
                        <w:tcW w:w="1680" w:type="dxa"/>
                      </w:tcPr>
                      <w:p w:rsidR="007C5447" w:rsidRDefault="00F6308C">
                        <w:pPr>
                          <w:pStyle w:val="TableParagraph"/>
                          <w:spacing w:before="55" w:line="224" w:lineRule="exact"/>
                          <w:ind w:right="94"/>
                          <w:rPr>
                            <w:sz w:val="20"/>
                          </w:rPr>
                        </w:pPr>
                        <w:r>
                          <w:rPr>
                            <w:sz w:val="20"/>
                          </w:rPr>
                          <w:t>6.31%</w:t>
                        </w:r>
                      </w:p>
                    </w:tc>
                    <w:tc>
                      <w:tcPr>
                        <w:tcW w:w="1677" w:type="dxa"/>
                      </w:tcPr>
                      <w:p w:rsidR="007C5447" w:rsidRDefault="00F6308C">
                        <w:pPr>
                          <w:pStyle w:val="TableParagraph"/>
                          <w:spacing w:before="55" w:line="224" w:lineRule="exact"/>
                          <w:ind w:right="91"/>
                          <w:rPr>
                            <w:sz w:val="20"/>
                          </w:rPr>
                        </w:pPr>
                        <w:r>
                          <w:rPr>
                            <w:sz w:val="20"/>
                          </w:rPr>
                          <w:t>72.49%</w:t>
                        </w:r>
                      </w:p>
                    </w:tc>
                    <w:tc>
                      <w:tcPr>
                        <w:tcW w:w="1678" w:type="dxa"/>
                      </w:tcPr>
                      <w:p w:rsidR="007C5447" w:rsidRDefault="00F6308C">
                        <w:pPr>
                          <w:pStyle w:val="TableParagraph"/>
                          <w:spacing w:before="55" w:line="224" w:lineRule="exact"/>
                          <w:ind w:right="91"/>
                          <w:rPr>
                            <w:sz w:val="20"/>
                          </w:rPr>
                        </w:pPr>
                        <w:r>
                          <w:rPr>
                            <w:sz w:val="20"/>
                          </w:rPr>
                          <w:t>56.74%</w:t>
                        </w:r>
                      </w:p>
                    </w:tc>
                    <w:tc>
                      <w:tcPr>
                        <w:tcW w:w="1675" w:type="dxa"/>
                      </w:tcPr>
                      <w:p w:rsidR="007C5447" w:rsidRDefault="00F6308C">
                        <w:pPr>
                          <w:pStyle w:val="TableParagraph"/>
                          <w:spacing w:before="55" w:line="224" w:lineRule="exact"/>
                          <w:ind w:right="91"/>
                          <w:rPr>
                            <w:sz w:val="20"/>
                          </w:rPr>
                        </w:pPr>
                        <w:r>
                          <w:rPr>
                            <w:sz w:val="20"/>
                          </w:rPr>
                          <w:t>64.35%</w:t>
                        </w:r>
                      </w:p>
                    </w:tc>
                  </w:tr>
                  <w:tr w:rsidR="007C5447">
                    <w:trPr>
                      <w:trHeight w:val="299"/>
                    </w:trPr>
                    <w:tc>
                      <w:tcPr>
                        <w:tcW w:w="1061" w:type="dxa"/>
                      </w:tcPr>
                      <w:p w:rsidR="007C5447" w:rsidRDefault="00F6308C">
                        <w:pPr>
                          <w:pStyle w:val="TableParagraph"/>
                          <w:spacing w:before="36"/>
                          <w:ind w:left="9"/>
                          <w:jc w:val="center"/>
                          <w:rPr>
                            <w:sz w:val="20"/>
                          </w:rPr>
                        </w:pPr>
                        <w:r>
                          <w:rPr>
                            <w:w w:val="99"/>
                            <w:sz w:val="20"/>
                          </w:rPr>
                          <w:t>5</w:t>
                        </w:r>
                      </w:p>
                    </w:tc>
                    <w:tc>
                      <w:tcPr>
                        <w:tcW w:w="3269" w:type="dxa"/>
                      </w:tcPr>
                      <w:p w:rsidR="007C5447" w:rsidRDefault="00F6308C">
                        <w:pPr>
                          <w:pStyle w:val="TableParagraph"/>
                          <w:spacing w:before="55" w:line="224" w:lineRule="exact"/>
                          <w:ind w:left="108"/>
                          <w:jc w:val="left"/>
                          <w:rPr>
                            <w:sz w:val="20"/>
                          </w:rPr>
                        </w:pPr>
                        <w:r>
                          <w:rPr>
                            <w:sz w:val="20"/>
                          </w:rPr>
                          <w:t>Gross Generation</w:t>
                        </w:r>
                      </w:p>
                    </w:tc>
                    <w:tc>
                      <w:tcPr>
                        <w:tcW w:w="1456" w:type="dxa"/>
                      </w:tcPr>
                      <w:p w:rsidR="007C5447" w:rsidRDefault="00F6308C">
                        <w:pPr>
                          <w:pStyle w:val="TableParagraph"/>
                          <w:spacing w:before="55" w:line="224" w:lineRule="exact"/>
                          <w:ind w:left="108"/>
                          <w:jc w:val="left"/>
                          <w:rPr>
                            <w:sz w:val="20"/>
                          </w:rPr>
                        </w:pPr>
                        <w:r>
                          <w:rPr>
                            <w:sz w:val="20"/>
                          </w:rPr>
                          <w:t>MU</w:t>
                        </w:r>
                      </w:p>
                    </w:tc>
                    <w:tc>
                      <w:tcPr>
                        <w:tcW w:w="1677" w:type="dxa"/>
                      </w:tcPr>
                      <w:p w:rsidR="007C5447" w:rsidRDefault="00F6308C">
                        <w:pPr>
                          <w:pStyle w:val="TableParagraph"/>
                          <w:spacing w:before="55" w:line="224" w:lineRule="exact"/>
                          <w:ind w:right="96"/>
                          <w:rPr>
                            <w:sz w:val="20"/>
                          </w:rPr>
                        </w:pPr>
                        <w:r>
                          <w:rPr>
                            <w:w w:val="95"/>
                            <w:sz w:val="20"/>
                          </w:rPr>
                          <w:t>414.85</w:t>
                        </w:r>
                      </w:p>
                    </w:tc>
                    <w:tc>
                      <w:tcPr>
                        <w:tcW w:w="1680" w:type="dxa"/>
                      </w:tcPr>
                      <w:p w:rsidR="007C5447" w:rsidRDefault="00F6308C">
                        <w:pPr>
                          <w:pStyle w:val="TableParagraph"/>
                          <w:spacing w:before="55" w:line="224" w:lineRule="exact"/>
                          <w:ind w:right="98"/>
                          <w:rPr>
                            <w:sz w:val="20"/>
                          </w:rPr>
                        </w:pPr>
                        <w:r>
                          <w:rPr>
                            <w:w w:val="95"/>
                            <w:sz w:val="20"/>
                          </w:rPr>
                          <w:t>55.84</w:t>
                        </w:r>
                      </w:p>
                    </w:tc>
                    <w:tc>
                      <w:tcPr>
                        <w:tcW w:w="1677" w:type="dxa"/>
                      </w:tcPr>
                      <w:p w:rsidR="007C5447" w:rsidRDefault="00F6308C">
                        <w:pPr>
                          <w:pStyle w:val="TableParagraph"/>
                          <w:spacing w:before="55" w:line="224" w:lineRule="exact"/>
                          <w:ind w:right="95"/>
                          <w:rPr>
                            <w:sz w:val="20"/>
                          </w:rPr>
                        </w:pPr>
                        <w:r>
                          <w:rPr>
                            <w:w w:val="95"/>
                            <w:sz w:val="20"/>
                          </w:rPr>
                          <w:t>641.37</w:t>
                        </w:r>
                      </w:p>
                    </w:tc>
                    <w:tc>
                      <w:tcPr>
                        <w:tcW w:w="1678" w:type="dxa"/>
                      </w:tcPr>
                      <w:p w:rsidR="007C5447" w:rsidRDefault="00F6308C">
                        <w:pPr>
                          <w:pStyle w:val="TableParagraph"/>
                          <w:spacing w:before="55" w:line="224" w:lineRule="exact"/>
                          <w:ind w:right="95"/>
                          <w:rPr>
                            <w:sz w:val="20"/>
                          </w:rPr>
                        </w:pPr>
                        <w:r>
                          <w:rPr>
                            <w:w w:val="95"/>
                            <w:sz w:val="20"/>
                          </w:rPr>
                          <w:t>501.97</w:t>
                        </w:r>
                      </w:p>
                    </w:tc>
                    <w:tc>
                      <w:tcPr>
                        <w:tcW w:w="1675" w:type="dxa"/>
                      </w:tcPr>
                      <w:p w:rsidR="007C5447" w:rsidRDefault="00F6308C">
                        <w:pPr>
                          <w:pStyle w:val="TableParagraph"/>
                          <w:spacing w:before="55" w:line="224" w:lineRule="exact"/>
                          <w:ind w:right="94"/>
                          <w:rPr>
                            <w:sz w:val="20"/>
                          </w:rPr>
                        </w:pPr>
                        <w:r>
                          <w:rPr>
                            <w:w w:val="95"/>
                            <w:sz w:val="20"/>
                          </w:rPr>
                          <w:t>570.87</w:t>
                        </w:r>
                      </w:p>
                    </w:tc>
                  </w:tr>
                  <w:tr w:rsidR="007C5447">
                    <w:trPr>
                      <w:trHeight w:val="302"/>
                    </w:trPr>
                    <w:tc>
                      <w:tcPr>
                        <w:tcW w:w="1061" w:type="dxa"/>
                      </w:tcPr>
                      <w:p w:rsidR="007C5447" w:rsidRDefault="00F6308C">
                        <w:pPr>
                          <w:pStyle w:val="TableParagraph"/>
                          <w:spacing w:before="36"/>
                          <w:ind w:left="9"/>
                          <w:jc w:val="center"/>
                          <w:rPr>
                            <w:sz w:val="20"/>
                          </w:rPr>
                        </w:pPr>
                        <w:r>
                          <w:rPr>
                            <w:w w:val="99"/>
                            <w:sz w:val="20"/>
                          </w:rPr>
                          <w:t>6</w:t>
                        </w:r>
                      </w:p>
                    </w:tc>
                    <w:tc>
                      <w:tcPr>
                        <w:tcW w:w="3269" w:type="dxa"/>
                      </w:tcPr>
                      <w:p w:rsidR="007C5447" w:rsidRDefault="00F6308C">
                        <w:pPr>
                          <w:pStyle w:val="TableParagraph"/>
                          <w:spacing w:before="55" w:line="227" w:lineRule="exact"/>
                          <w:ind w:left="108"/>
                          <w:jc w:val="left"/>
                          <w:rPr>
                            <w:sz w:val="20"/>
                          </w:rPr>
                        </w:pPr>
                        <w:r>
                          <w:rPr>
                            <w:sz w:val="20"/>
                          </w:rPr>
                          <w:t>Auxiliary consumption</w:t>
                        </w:r>
                      </w:p>
                    </w:tc>
                    <w:tc>
                      <w:tcPr>
                        <w:tcW w:w="1456" w:type="dxa"/>
                      </w:tcPr>
                      <w:p w:rsidR="007C5447" w:rsidRDefault="00F6308C">
                        <w:pPr>
                          <w:pStyle w:val="TableParagraph"/>
                          <w:spacing w:before="55" w:line="227" w:lineRule="exact"/>
                          <w:ind w:left="108"/>
                          <w:jc w:val="left"/>
                          <w:rPr>
                            <w:sz w:val="20"/>
                          </w:rPr>
                        </w:pPr>
                        <w:r>
                          <w:rPr>
                            <w:w w:val="99"/>
                            <w:sz w:val="20"/>
                          </w:rPr>
                          <w:t>%</w:t>
                        </w:r>
                      </w:p>
                    </w:tc>
                    <w:tc>
                      <w:tcPr>
                        <w:tcW w:w="1677" w:type="dxa"/>
                      </w:tcPr>
                      <w:p w:rsidR="007C5447" w:rsidRDefault="00F6308C">
                        <w:pPr>
                          <w:pStyle w:val="TableParagraph"/>
                          <w:spacing w:before="55" w:line="227" w:lineRule="exact"/>
                          <w:ind w:right="92"/>
                          <w:rPr>
                            <w:sz w:val="20"/>
                          </w:rPr>
                        </w:pPr>
                        <w:r>
                          <w:rPr>
                            <w:sz w:val="20"/>
                          </w:rPr>
                          <w:t>6.67%</w:t>
                        </w:r>
                      </w:p>
                    </w:tc>
                    <w:tc>
                      <w:tcPr>
                        <w:tcW w:w="1680" w:type="dxa"/>
                      </w:tcPr>
                      <w:p w:rsidR="007C5447" w:rsidRDefault="00F6308C">
                        <w:pPr>
                          <w:pStyle w:val="TableParagraph"/>
                          <w:spacing w:before="55" w:line="227" w:lineRule="exact"/>
                          <w:ind w:right="94"/>
                          <w:rPr>
                            <w:sz w:val="20"/>
                          </w:rPr>
                        </w:pPr>
                        <w:r>
                          <w:rPr>
                            <w:sz w:val="20"/>
                          </w:rPr>
                          <w:t>6.00%</w:t>
                        </w:r>
                      </w:p>
                    </w:tc>
                    <w:tc>
                      <w:tcPr>
                        <w:tcW w:w="1677" w:type="dxa"/>
                      </w:tcPr>
                      <w:p w:rsidR="007C5447" w:rsidRDefault="00F6308C">
                        <w:pPr>
                          <w:pStyle w:val="TableParagraph"/>
                          <w:spacing w:before="55" w:line="227" w:lineRule="exact"/>
                          <w:ind w:right="91"/>
                          <w:rPr>
                            <w:sz w:val="20"/>
                          </w:rPr>
                        </w:pPr>
                        <w:r>
                          <w:rPr>
                            <w:sz w:val="20"/>
                          </w:rPr>
                          <w:t>6.00%</w:t>
                        </w:r>
                      </w:p>
                    </w:tc>
                    <w:tc>
                      <w:tcPr>
                        <w:tcW w:w="1678" w:type="dxa"/>
                      </w:tcPr>
                      <w:p w:rsidR="007C5447" w:rsidRDefault="00F6308C">
                        <w:pPr>
                          <w:pStyle w:val="TableParagraph"/>
                          <w:spacing w:before="55" w:line="227" w:lineRule="exact"/>
                          <w:ind w:right="91"/>
                          <w:rPr>
                            <w:sz w:val="20"/>
                          </w:rPr>
                        </w:pPr>
                        <w:r>
                          <w:rPr>
                            <w:sz w:val="20"/>
                          </w:rPr>
                          <w:t>6.00%</w:t>
                        </w:r>
                      </w:p>
                    </w:tc>
                    <w:tc>
                      <w:tcPr>
                        <w:tcW w:w="1675" w:type="dxa"/>
                      </w:tcPr>
                      <w:p w:rsidR="007C5447" w:rsidRDefault="00F6308C">
                        <w:pPr>
                          <w:pStyle w:val="TableParagraph"/>
                          <w:spacing w:before="55" w:line="227" w:lineRule="exact"/>
                          <w:ind w:right="90"/>
                          <w:rPr>
                            <w:sz w:val="20"/>
                          </w:rPr>
                        </w:pPr>
                        <w:r>
                          <w:rPr>
                            <w:sz w:val="20"/>
                          </w:rPr>
                          <w:t>6.00%</w:t>
                        </w:r>
                      </w:p>
                    </w:tc>
                  </w:tr>
                  <w:tr w:rsidR="007C5447">
                    <w:trPr>
                      <w:trHeight w:val="300"/>
                    </w:trPr>
                    <w:tc>
                      <w:tcPr>
                        <w:tcW w:w="1061" w:type="dxa"/>
                      </w:tcPr>
                      <w:p w:rsidR="007C5447" w:rsidRDefault="00F6308C">
                        <w:pPr>
                          <w:pStyle w:val="TableParagraph"/>
                          <w:spacing w:before="34"/>
                          <w:ind w:left="9"/>
                          <w:jc w:val="center"/>
                          <w:rPr>
                            <w:sz w:val="20"/>
                          </w:rPr>
                        </w:pPr>
                        <w:r>
                          <w:rPr>
                            <w:w w:val="99"/>
                            <w:sz w:val="20"/>
                          </w:rPr>
                          <w:t>7</w:t>
                        </w:r>
                      </w:p>
                    </w:tc>
                    <w:tc>
                      <w:tcPr>
                        <w:tcW w:w="3269" w:type="dxa"/>
                      </w:tcPr>
                      <w:p w:rsidR="007C5447" w:rsidRDefault="00F6308C">
                        <w:pPr>
                          <w:pStyle w:val="TableParagraph"/>
                          <w:spacing w:before="56" w:line="224" w:lineRule="exact"/>
                          <w:ind w:left="108"/>
                          <w:jc w:val="left"/>
                          <w:rPr>
                            <w:sz w:val="20"/>
                          </w:rPr>
                        </w:pPr>
                        <w:r>
                          <w:rPr>
                            <w:sz w:val="20"/>
                          </w:rPr>
                          <w:t>Net Generation MU</w:t>
                        </w:r>
                      </w:p>
                    </w:tc>
                    <w:tc>
                      <w:tcPr>
                        <w:tcW w:w="1456" w:type="dxa"/>
                      </w:tcPr>
                      <w:p w:rsidR="007C5447" w:rsidRDefault="00F6308C">
                        <w:pPr>
                          <w:pStyle w:val="TableParagraph"/>
                          <w:spacing w:before="56" w:line="224" w:lineRule="exact"/>
                          <w:ind w:left="108"/>
                          <w:jc w:val="left"/>
                          <w:rPr>
                            <w:sz w:val="20"/>
                          </w:rPr>
                        </w:pPr>
                        <w:r>
                          <w:rPr>
                            <w:sz w:val="20"/>
                          </w:rPr>
                          <w:t>MU</w:t>
                        </w:r>
                      </w:p>
                    </w:tc>
                    <w:tc>
                      <w:tcPr>
                        <w:tcW w:w="1677" w:type="dxa"/>
                      </w:tcPr>
                      <w:p w:rsidR="007C5447" w:rsidRDefault="00F6308C">
                        <w:pPr>
                          <w:pStyle w:val="TableParagraph"/>
                          <w:spacing w:before="56" w:line="224" w:lineRule="exact"/>
                          <w:ind w:right="93"/>
                          <w:rPr>
                            <w:sz w:val="20"/>
                          </w:rPr>
                        </w:pPr>
                        <w:r>
                          <w:rPr>
                            <w:w w:val="95"/>
                            <w:sz w:val="20"/>
                          </w:rPr>
                          <w:t>387.18</w:t>
                        </w:r>
                      </w:p>
                    </w:tc>
                    <w:tc>
                      <w:tcPr>
                        <w:tcW w:w="1680" w:type="dxa"/>
                      </w:tcPr>
                      <w:p w:rsidR="007C5447" w:rsidRDefault="00F6308C">
                        <w:pPr>
                          <w:pStyle w:val="TableParagraph"/>
                          <w:spacing w:before="56" w:line="224" w:lineRule="exact"/>
                          <w:ind w:right="95"/>
                          <w:rPr>
                            <w:sz w:val="20"/>
                          </w:rPr>
                        </w:pPr>
                        <w:r>
                          <w:rPr>
                            <w:sz w:val="20"/>
                          </w:rPr>
                          <w:t>52.49</w:t>
                        </w:r>
                      </w:p>
                    </w:tc>
                    <w:tc>
                      <w:tcPr>
                        <w:tcW w:w="1677" w:type="dxa"/>
                      </w:tcPr>
                      <w:p w:rsidR="007C5447" w:rsidRDefault="00F6308C">
                        <w:pPr>
                          <w:pStyle w:val="TableParagraph"/>
                          <w:spacing w:before="56" w:line="224" w:lineRule="exact"/>
                          <w:ind w:right="92"/>
                          <w:rPr>
                            <w:sz w:val="20"/>
                          </w:rPr>
                        </w:pPr>
                        <w:r>
                          <w:rPr>
                            <w:w w:val="95"/>
                            <w:sz w:val="20"/>
                          </w:rPr>
                          <w:t>602.88</w:t>
                        </w:r>
                      </w:p>
                    </w:tc>
                    <w:tc>
                      <w:tcPr>
                        <w:tcW w:w="1678" w:type="dxa"/>
                      </w:tcPr>
                      <w:p w:rsidR="007C5447" w:rsidRDefault="00F6308C">
                        <w:pPr>
                          <w:pStyle w:val="TableParagraph"/>
                          <w:spacing w:before="56" w:line="224" w:lineRule="exact"/>
                          <w:ind w:right="92"/>
                          <w:rPr>
                            <w:sz w:val="20"/>
                          </w:rPr>
                        </w:pPr>
                        <w:r>
                          <w:rPr>
                            <w:w w:val="95"/>
                            <w:sz w:val="20"/>
                          </w:rPr>
                          <w:t>471.85</w:t>
                        </w:r>
                      </w:p>
                    </w:tc>
                    <w:tc>
                      <w:tcPr>
                        <w:tcW w:w="1675" w:type="dxa"/>
                      </w:tcPr>
                      <w:p w:rsidR="007C5447" w:rsidRDefault="00F6308C">
                        <w:pPr>
                          <w:pStyle w:val="TableParagraph"/>
                          <w:spacing w:before="56" w:line="224" w:lineRule="exact"/>
                          <w:ind w:right="92"/>
                          <w:rPr>
                            <w:sz w:val="20"/>
                          </w:rPr>
                        </w:pPr>
                        <w:r>
                          <w:rPr>
                            <w:w w:val="95"/>
                            <w:sz w:val="20"/>
                          </w:rPr>
                          <w:t>536.62</w:t>
                        </w:r>
                      </w:p>
                    </w:tc>
                  </w:tr>
                  <w:tr w:rsidR="007C5447">
                    <w:trPr>
                      <w:trHeight w:val="328"/>
                    </w:trPr>
                    <w:tc>
                      <w:tcPr>
                        <w:tcW w:w="1061" w:type="dxa"/>
                        <w:shd w:val="clear" w:color="auto" w:fill="ECECEC"/>
                      </w:tcPr>
                      <w:p w:rsidR="007C5447" w:rsidRDefault="007C5447">
                        <w:pPr>
                          <w:pStyle w:val="TableParagraph"/>
                          <w:jc w:val="left"/>
                          <w:rPr>
                            <w:sz w:val="20"/>
                          </w:rPr>
                        </w:pPr>
                      </w:p>
                    </w:tc>
                    <w:tc>
                      <w:tcPr>
                        <w:tcW w:w="3269" w:type="dxa"/>
                        <w:shd w:val="clear" w:color="auto" w:fill="ECECEC"/>
                      </w:tcPr>
                      <w:p w:rsidR="007C5447" w:rsidRDefault="00F6308C">
                        <w:pPr>
                          <w:pStyle w:val="TableParagraph"/>
                          <w:spacing w:before="84" w:line="224" w:lineRule="exact"/>
                          <w:ind w:left="108"/>
                          <w:jc w:val="left"/>
                          <w:rPr>
                            <w:b/>
                            <w:sz w:val="20"/>
                          </w:rPr>
                        </w:pPr>
                        <w:r>
                          <w:rPr>
                            <w:b/>
                            <w:sz w:val="20"/>
                          </w:rPr>
                          <w:t>Variable Cost - Parameters</w:t>
                        </w:r>
                      </w:p>
                    </w:tc>
                    <w:tc>
                      <w:tcPr>
                        <w:tcW w:w="1456" w:type="dxa"/>
                        <w:shd w:val="clear" w:color="auto" w:fill="ECECEC"/>
                      </w:tcPr>
                      <w:p w:rsidR="007C5447" w:rsidRDefault="007C5447">
                        <w:pPr>
                          <w:pStyle w:val="TableParagraph"/>
                          <w:jc w:val="left"/>
                          <w:rPr>
                            <w:sz w:val="20"/>
                          </w:rPr>
                        </w:pPr>
                      </w:p>
                    </w:tc>
                    <w:tc>
                      <w:tcPr>
                        <w:tcW w:w="1677" w:type="dxa"/>
                        <w:shd w:val="clear" w:color="auto" w:fill="ECECEC"/>
                      </w:tcPr>
                      <w:p w:rsidR="007C5447" w:rsidRDefault="007C5447">
                        <w:pPr>
                          <w:pStyle w:val="TableParagraph"/>
                          <w:jc w:val="left"/>
                          <w:rPr>
                            <w:sz w:val="20"/>
                          </w:rPr>
                        </w:pPr>
                      </w:p>
                    </w:tc>
                    <w:tc>
                      <w:tcPr>
                        <w:tcW w:w="1680" w:type="dxa"/>
                        <w:shd w:val="clear" w:color="auto" w:fill="ECECEC"/>
                      </w:tcPr>
                      <w:p w:rsidR="007C5447" w:rsidRDefault="007C5447">
                        <w:pPr>
                          <w:pStyle w:val="TableParagraph"/>
                          <w:jc w:val="left"/>
                          <w:rPr>
                            <w:sz w:val="20"/>
                          </w:rPr>
                        </w:pPr>
                      </w:p>
                    </w:tc>
                    <w:tc>
                      <w:tcPr>
                        <w:tcW w:w="1677" w:type="dxa"/>
                        <w:shd w:val="clear" w:color="auto" w:fill="ECECEC"/>
                      </w:tcPr>
                      <w:p w:rsidR="007C5447" w:rsidRDefault="007C5447">
                        <w:pPr>
                          <w:pStyle w:val="TableParagraph"/>
                          <w:jc w:val="left"/>
                          <w:rPr>
                            <w:sz w:val="20"/>
                          </w:rPr>
                        </w:pPr>
                      </w:p>
                    </w:tc>
                    <w:tc>
                      <w:tcPr>
                        <w:tcW w:w="1678" w:type="dxa"/>
                        <w:shd w:val="clear" w:color="auto" w:fill="ECECEC"/>
                      </w:tcPr>
                      <w:p w:rsidR="007C5447" w:rsidRDefault="007C5447">
                        <w:pPr>
                          <w:pStyle w:val="TableParagraph"/>
                          <w:jc w:val="left"/>
                          <w:rPr>
                            <w:sz w:val="20"/>
                          </w:rPr>
                        </w:pPr>
                      </w:p>
                    </w:tc>
                    <w:tc>
                      <w:tcPr>
                        <w:tcW w:w="1675" w:type="dxa"/>
                        <w:shd w:val="clear" w:color="auto" w:fill="ECECEC"/>
                      </w:tcPr>
                      <w:p w:rsidR="007C5447" w:rsidRDefault="007C5447">
                        <w:pPr>
                          <w:pStyle w:val="TableParagraph"/>
                          <w:jc w:val="left"/>
                          <w:rPr>
                            <w:sz w:val="20"/>
                          </w:rPr>
                        </w:pPr>
                      </w:p>
                    </w:tc>
                  </w:tr>
                  <w:tr w:rsidR="007C5447">
                    <w:trPr>
                      <w:trHeight w:val="301"/>
                    </w:trPr>
                    <w:tc>
                      <w:tcPr>
                        <w:tcW w:w="1061" w:type="dxa"/>
                      </w:tcPr>
                      <w:p w:rsidR="007C5447" w:rsidRDefault="00F6308C">
                        <w:pPr>
                          <w:pStyle w:val="TableParagraph"/>
                          <w:spacing w:before="36"/>
                          <w:ind w:left="9"/>
                          <w:jc w:val="center"/>
                          <w:rPr>
                            <w:sz w:val="20"/>
                          </w:rPr>
                        </w:pPr>
                        <w:r>
                          <w:rPr>
                            <w:w w:val="99"/>
                            <w:sz w:val="20"/>
                          </w:rPr>
                          <w:t>8</w:t>
                        </w:r>
                      </w:p>
                    </w:tc>
                    <w:tc>
                      <w:tcPr>
                        <w:tcW w:w="3269" w:type="dxa"/>
                      </w:tcPr>
                      <w:p w:rsidR="007C5447" w:rsidRDefault="00F6308C">
                        <w:pPr>
                          <w:pStyle w:val="TableParagraph"/>
                          <w:spacing w:before="55" w:line="227" w:lineRule="exact"/>
                          <w:ind w:left="108"/>
                          <w:jc w:val="left"/>
                          <w:rPr>
                            <w:sz w:val="20"/>
                          </w:rPr>
                        </w:pPr>
                        <w:r>
                          <w:rPr>
                            <w:sz w:val="20"/>
                          </w:rPr>
                          <w:t>Station Heat rate</w:t>
                        </w:r>
                      </w:p>
                    </w:tc>
                    <w:tc>
                      <w:tcPr>
                        <w:tcW w:w="1456" w:type="dxa"/>
                      </w:tcPr>
                      <w:p w:rsidR="007C5447" w:rsidRDefault="00F6308C">
                        <w:pPr>
                          <w:pStyle w:val="TableParagraph"/>
                          <w:spacing w:before="55" w:line="227" w:lineRule="exact"/>
                          <w:ind w:left="108"/>
                          <w:jc w:val="left"/>
                          <w:rPr>
                            <w:sz w:val="20"/>
                          </w:rPr>
                        </w:pPr>
                        <w:r>
                          <w:rPr>
                            <w:sz w:val="20"/>
                          </w:rPr>
                          <w:t>kCal/kWh</w:t>
                        </w:r>
                      </w:p>
                    </w:tc>
                    <w:tc>
                      <w:tcPr>
                        <w:tcW w:w="1677" w:type="dxa"/>
                      </w:tcPr>
                      <w:p w:rsidR="007C5447" w:rsidRDefault="00F6308C">
                        <w:pPr>
                          <w:pStyle w:val="TableParagraph"/>
                          <w:spacing w:before="55" w:line="227" w:lineRule="exact"/>
                          <w:ind w:right="94"/>
                          <w:rPr>
                            <w:sz w:val="20"/>
                          </w:rPr>
                        </w:pPr>
                        <w:r>
                          <w:rPr>
                            <w:w w:val="95"/>
                            <w:sz w:val="20"/>
                          </w:rPr>
                          <w:t>1,850.00</w:t>
                        </w:r>
                      </w:p>
                    </w:tc>
                    <w:tc>
                      <w:tcPr>
                        <w:tcW w:w="1680" w:type="dxa"/>
                      </w:tcPr>
                      <w:p w:rsidR="007C5447" w:rsidRDefault="00F6308C">
                        <w:pPr>
                          <w:pStyle w:val="TableParagraph"/>
                          <w:spacing w:before="55" w:line="227" w:lineRule="exact"/>
                          <w:ind w:right="96"/>
                          <w:rPr>
                            <w:sz w:val="20"/>
                          </w:rPr>
                        </w:pPr>
                        <w:r>
                          <w:rPr>
                            <w:w w:val="95"/>
                            <w:sz w:val="20"/>
                          </w:rPr>
                          <w:t>1,850.00</w:t>
                        </w:r>
                      </w:p>
                    </w:tc>
                    <w:tc>
                      <w:tcPr>
                        <w:tcW w:w="1677" w:type="dxa"/>
                      </w:tcPr>
                      <w:p w:rsidR="007C5447" w:rsidRDefault="00F6308C">
                        <w:pPr>
                          <w:pStyle w:val="TableParagraph"/>
                          <w:spacing w:before="55" w:line="227" w:lineRule="exact"/>
                          <w:ind w:right="93"/>
                          <w:rPr>
                            <w:sz w:val="20"/>
                          </w:rPr>
                        </w:pPr>
                        <w:r>
                          <w:rPr>
                            <w:w w:val="95"/>
                            <w:sz w:val="20"/>
                          </w:rPr>
                          <w:t>1,850.00</w:t>
                        </w:r>
                      </w:p>
                    </w:tc>
                    <w:tc>
                      <w:tcPr>
                        <w:tcW w:w="1678" w:type="dxa"/>
                      </w:tcPr>
                      <w:p w:rsidR="007C5447" w:rsidRDefault="00F6308C">
                        <w:pPr>
                          <w:pStyle w:val="TableParagraph"/>
                          <w:spacing w:before="55" w:line="227" w:lineRule="exact"/>
                          <w:ind w:right="93"/>
                          <w:rPr>
                            <w:sz w:val="20"/>
                          </w:rPr>
                        </w:pPr>
                        <w:r>
                          <w:rPr>
                            <w:w w:val="95"/>
                            <w:sz w:val="20"/>
                          </w:rPr>
                          <w:t>1,850.00</w:t>
                        </w:r>
                      </w:p>
                    </w:tc>
                    <w:tc>
                      <w:tcPr>
                        <w:tcW w:w="1675" w:type="dxa"/>
                      </w:tcPr>
                      <w:p w:rsidR="007C5447" w:rsidRDefault="00F6308C">
                        <w:pPr>
                          <w:pStyle w:val="TableParagraph"/>
                          <w:spacing w:before="55" w:line="227" w:lineRule="exact"/>
                          <w:ind w:right="92"/>
                          <w:rPr>
                            <w:sz w:val="20"/>
                          </w:rPr>
                        </w:pPr>
                        <w:r>
                          <w:rPr>
                            <w:w w:val="95"/>
                            <w:sz w:val="20"/>
                          </w:rPr>
                          <w:t>1,850.00</w:t>
                        </w:r>
                      </w:p>
                    </w:tc>
                  </w:tr>
                  <w:tr w:rsidR="007C5447">
                    <w:trPr>
                      <w:trHeight w:val="299"/>
                    </w:trPr>
                    <w:tc>
                      <w:tcPr>
                        <w:tcW w:w="1061" w:type="dxa"/>
                      </w:tcPr>
                      <w:p w:rsidR="007C5447" w:rsidRDefault="00F6308C">
                        <w:pPr>
                          <w:pStyle w:val="TableParagraph"/>
                          <w:spacing w:before="34"/>
                          <w:ind w:left="9"/>
                          <w:jc w:val="center"/>
                          <w:rPr>
                            <w:sz w:val="20"/>
                          </w:rPr>
                        </w:pPr>
                        <w:r>
                          <w:rPr>
                            <w:w w:val="99"/>
                            <w:sz w:val="20"/>
                          </w:rPr>
                          <w:t>9</w:t>
                        </w:r>
                      </w:p>
                    </w:tc>
                    <w:tc>
                      <w:tcPr>
                        <w:tcW w:w="3269" w:type="dxa"/>
                      </w:tcPr>
                      <w:p w:rsidR="007C5447" w:rsidRDefault="00F6308C">
                        <w:pPr>
                          <w:pStyle w:val="TableParagraph"/>
                          <w:spacing w:before="55" w:line="224" w:lineRule="exact"/>
                          <w:ind w:left="108"/>
                          <w:jc w:val="left"/>
                          <w:rPr>
                            <w:sz w:val="20"/>
                          </w:rPr>
                        </w:pPr>
                        <w:r>
                          <w:rPr>
                            <w:sz w:val="20"/>
                          </w:rPr>
                          <w:t>GCV of Primary Fuel</w:t>
                        </w:r>
                      </w:p>
                    </w:tc>
                    <w:tc>
                      <w:tcPr>
                        <w:tcW w:w="1456" w:type="dxa"/>
                      </w:tcPr>
                      <w:p w:rsidR="007C5447" w:rsidRDefault="00F6308C">
                        <w:pPr>
                          <w:pStyle w:val="TableParagraph"/>
                          <w:spacing w:before="55" w:line="224" w:lineRule="exact"/>
                          <w:ind w:left="108"/>
                          <w:jc w:val="left"/>
                          <w:rPr>
                            <w:sz w:val="20"/>
                          </w:rPr>
                        </w:pPr>
                        <w:r>
                          <w:rPr>
                            <w:sz w:val="20"/>
                          </w:rPr>
                          <w:t>Kcal/SCM</w:t>
                        </w:r>
                      </w:p>
                    </w:tc>
                    <w:tc>
                      <w:tcPr>
                        <w:tcW w:w="1677" w:type="dxa"/>
                      </w:tcPr>
                      <w:p w:rsidR="007C5447" w:rsidRDefault="00F6308C">
                        <w:pPr>
                          <w:pStyle w:val="TableParagraph"/>
                          <w:spacing w:before="55" w:line="224" w:lineRule="exact"/>
                          <w:ind w:left="159"/>
                          <w:jc w:val="left"/>
                          <w:rPr>
                            <w:sz w:val="20"/>
                          </w:rPr>
                        </w:pPr>
                        <w:r>
                          <w:rPr>
                            <w:sz w:val="20"/>
                          </w:rPr>
                          <w:t>10386</w:t>
                        </w:r>
                      </w:p>
                    </w:tc>
                    <w:tc>
                      <w:tcPr>
                        <w:tcW w:w="1680" w:type="dxa"/>
                      </w:tcPr>
                      <w:p w:rsidR="007C5447" w:rsidRDefault="00F6308C">
                        <w:pPr>
                          <w:pStyle w:val="TableParagraph"/>
                          <w:spacing w:before="55" w:line="224" w:lineRule="exact"/>
                          <w:ind w:left="160"/>
                          <w:jc w:val="left"/>
                          <w:rPr>
                            <w:sz w:val="20"/>
                          </w:rPr>
                        </w:pPr>
                        <w:r>
                          <w:rPr>
                            <w:sz w:val="20"/>
                          </w:rPr>
                          <w:t>10393</w:t>
                        </w:r>
                      </w:p>
                    </w:tc>
                    <w:tc>
                      <w:tcPr>
                        <w:tcW w:w="1677" w:type="dxa"/>
                      </w:tcPr>
                      <w:p w:rsidR="007C5447" w:rsidRDefault="00F6308C">
                        <w:pPr>
                          <w:pStyle w:val="TableParagraph"/>
                          <w:spacing w:before="55" w:line="224" w:lineRule="exact"/>
                          <w:ind w:right="95"/>
                          <w:rPr>
                            <w:sz w:val="20"/>
                          </w:rPr>
                        </w:pPr>
                        <w:r>
                          <w:rPr>
                            <w:w w:val="95"/>
                            <w:sz w:val="20"/>
                          </w:rPr>
                          <w:t>10,392.00</w:t>
                        </w:r>
                      </w:p>
                    </w:tc>
                    <w:tc>
                      <w:tcPr>
                        <w:tcW w:w="1678" w:type="dxa"/>
                      </w:tcPr>
                      <w:p w:rsidR="007C5447" w:rsidRDefault="00F6308C">
                        <w:pPr>
                          <w:pStyle w:val="TableParagraph"/>
                          <w:spacing w:before="55" w:line="224" w:lineRule="exact"/>
                          <w:ind w:right="95"/>
                          <w:rPr>
                            <w:sz w:val="20"/>
                          </w:rPr>
                        </w:pPr>
                        <w:r>
                          <w:rPr>
                            <w:w w:val="95"/>
                            <w:sz w:val="20"/>
                          </w:rPr>
                          <w:t>10,000.00</w:t>
                        </w:r>
                      </w:p>
                    </w:tc>
                    <w:tc>
                      <w:tcPr>
                        <w:tcW w:w="1675" w:type="dxa"/>
                      </w:tcPr>
                      <w:p w:rsidR="007C5447" w:rsidRDefault="00F6308C">
                        <w:pPr>
                          <w:pStyle w:val="TableParagraph"/>
                          <w:spacing w:before="55" w:line="224" w:lineRule="exact"/>
                          <w:ind w:right="95"/>
                          <w:rPr>
                            <w:sz w:val="20"/>
                          </w:rPr>
                        </w:pPr>
                        <w:r>
                          <w:rPr>
                            <w:w w:val="95"/>
                            <w:sz w:val="20"/>
                          </w:rPr>
                          <w:t>10,000.00</w:t>
                        </w:r>
                      </w:p>
                    </w:tc>
                  </w:tr>
                  <w:tr w:rsidR="007C5447">
                    <w:trPr>
                      <w:trHeight w:val="299"/>
                    </w:trPr>
                    <w:tc>
                      <w:tcPr>
                        <w:tcW w:w="1061" w:type="dxa"/>
                      </w:tcPr>
                      <w:p w:rsidR="007C5447" w:rsidRDefault="00F6308C">
                        <w:pPr>
                          <w:pStyle w:val="TableParagraph"/>
                          <w:spacing w:before="34"/>
                          <w:ind w:left="212" w:right="203"/>
                          <w:jc w:val="center"/>
                          <w:rPr>
                            <w:sz w:val="20"/>
                          </w:rPr>
                        </w:pPr>
                        <w:r>
                          <w:rPr>
                            <w:sz w:val="20"/>
                          </w:rPr>
                          <w:t>10</w:t>
                        </w:r>
                      </w:p>
                    </w:tc>
                    <w:tc>
                      <w:tcPr>
                        <w:tcW w:w="3269" w:type="dxa"/>
                      </w:tcPr>
                      <w:p w:rsidR="007C5447" w:rsidRDefault="00F6308C">
                        <w:pPr>
                          <w:pStyle w:val="TableParagraph"/>
                          <w:spacing w:before="55" w:line="224" w:lineRule="exact"/>
                          <w:ind w:left="108"/>
                          <w:jc w:val="left"/>
                          <w:rPr>
                            <w:sz w:val="20"/>
                          </w:rPr>
                        </w:pPr>
                        <w:r>
                          <w:rPr>
                            <w:sz w:val="20"/>
                          </w:rPr>
                          <w:t>Price of Coal</w:t>
                        </w:r>
                      </w:p>
                    </w:tc>
                    <w:tc>
                      <w:tcPr>
                        <w:tcW w:w="1456" w:type="dxa"/>
                      </w:tcPr>
                      <w:p w:rsidR="007C5447" w:rsidRDefault="00F6308C">
                        <w:pPr>
                          <w:pStyle w:val="TableParagraph"/>
                          <w:spacing w:before="55" w:line="224" w:lineRule="exact"/>
                          <w:ind w:left="108"/>
                          <w:jc w:val="left"/>
                          <w:rPr>
                            <w:sz w:val="20"/>
                          </w:rPr>
                        </w:pPr>
                        <w:r>
                          <w:rPr>
                            <w:sz w:val="20"/>
                          </w:rPr>
                          <w:t>Rs/SCM</w:t>
                        </w:r>
                      </w:p>
                    </w:tc>
                    <w:tc>
                      <w:tcPr>
                        <w:tcW w:w="1677" w:type="dxa"/>
                      </w:tcPr>
                      <w:p w:rsidR="007C5447" w:rsidRDefault="00F6308C">
                        <w:pPr>
                          <w:pStyle w:val="TableParagraph"/>
                          <w:spacing w:before="55" w:line="224" w:lineRule="exact"/>
                          <w:ind w:right="96"/>
                          <w:rPr>
                            <w:sz w:val="20"/>
                          </w:rPr>
                        </w:pPr>
                        <w:r>
                          <w:rPr>
                            <w:sz w:val="20"/>
                          </w:rPr>
                          <w:t>8.72</w:t>
                        </w:r>
                      </w:p>
                    </w:tc>
                    <w:tc>
                      <w:tcPr>
                        <w:tcW w:w="1680" w:type="dxa"/>
                      </w:tcPr>
                      <w:p w:rsidR="007C5447" w:rsidRDefault="00F6308C">
                        <w:pPr>
                          <w:pStyle w:val="TableParagraph"/>
                          <w:spacing w:before="55" w:line="224" w:lineRule="exact"/>
                          <w:ind w:right="98"/>
                          <w:rPr>
                            <w:sz w:val="20"/>
                          </w:rPr>
                        </w:pPr>
                        <w:r>
                          <w:rPr>
                            <w:w w:val="95"/>
                            <w:sz w:val="20"/>
                          </w:rPr>
                          <w:t>13.98</w:t>
                        </w:r>
                      </w:p>
                    </w:tc>
                    <w:tc>
                      <w:tcPr>
                        <w:tcW w:w="1677" w:type="dxa"/>
                      </w:tcPr>
                      <w:p w:rsidR="007C5447" w:rsidRDefault="00F6308C">
                        <w:pPr>
                          <w:pStyle w:val="TableParagraph"/>
                          <w:spacing w:before="55" w:line="224" w:lineRule="exact"/>
                          <w:ind w:left="160"/>
                          <w:jc w:val="left"/>
                          <w:rPr>
                            <w:sz w:val="20"/>
                          </w:rPr>
                        </w:pPr>
                        <w:r>
                          <w:rPr>
                            <w:sz w:val="20"/>
                          </w:rPr>
                          <w:t>10.90</w:t>
                        </w:r>
                      </w:p>
                    </w:tc>
                    <w:tc>
                      <w:tcPr>
                        <w:tcW w:w="1678" w:type="dxa"/>
                      </w:tcPr>
                      <w:p w:rsidR="007C5447" w:rsidRDefault="00F6308C">
                        <w:pPr>
                          <w:pStyle w:val="TableParagraph"/>
                          <w:spacing w:before="55" w:line="224" w:lineRule="exact"/>
                          <w:ind w:right="94"/>
                          <w:rPr>
                            <w:sz w:val="20"/>
                          </w:rPr>
                        </w:pPr>
                        <w:r>
                          <w:rPr>
                            <w:w w:val="95"/>
                            <w:sz w:val="20"/>
                          </w:rPr>
                          <w:t>13.00</w:t>
                        </w:r>
                      </w:p>
                    </w:tc>
                    <w:tc>
                      <w:tcPr>
                        <w:tcW w:w="1675" w:type="dxa"/>
                      </w:tcPr>
                      <w:p w:rsidR="007C5447" w:rsidRDefault="00F6308C">
                        <w:pPr>
                          <w:pStyle w:val="TableParagraph"/>
                          <w:spacing w:before="55" w:line="224" w:lineRule="exact"/>
                          <w:ind w:right="94"/>
                          <w:rPr>
                            <w:sz w:val="20"/>
                          </w:rPr>
                        </w:pPr>
                        <w:r>
                          <w:rPr>
                            <w:w w:val="95"/>
                            <w:sz w:val="20"/>
                          </w:rPr>
                          <w:t>13.90</w:t>
                        </w:r>
                      </w:p>
                    </w:tc>
                  </w:tr>
                  <w:tr w:rsidR="007C5447">
                    <w:trPr>
                      <w:trHeight w:val="330"/>
                    </w:trPr>
                    <w:tc>
                      <w:tcPr>
                        <w:tcW w:w="1061" w:type="dxa"/>
                        <w:shd w:val="clear" w:color="auto" w:fill="ECECEC"/>
                      </w:tcPr>
                      <w:p w:rsidR="007C5447" w:rsidRDefault="007C5447">
                        <w:pPr>
                          <w:pStyle w:val="TableParagraph"/>
                          <w:jc w:val="left"/>
                          <w:rPr>
                            <w:sz w:val="20"/>
                          </w:rPr>
                        </w:pPr>
                      </w:p>
                    </w:tc>
                    <w:tc>
                      <w:tcPr>
                        <w:tcW w:w="3269" w:type="dxa"/>
                        <w:shd w:val="clear" w:color="auto" w:fill="ECECEC"/>
                      </w:tcPr>
                      <w:p w:rsidR="007C5447" w:rsidRDefault="00F6308C">
                        <w:pPr>
                          <w:pStyle w:val="TableParagraph"/>
                          <w:spacing w:before="84" w:line="227" w:lineRule="exact"/>
                          <w:ind w:left="108"/>
                          <w:jc w:val="left"/>
                          <w:rPr>
                            <w:b/>
                            <w:sz w:val="20"/>
                          </w:rPr>
                        </w:pPr>
                        <w:r>
                          <w:rPr>
                            <w:b/>
                            <w:sz w:val="20"/>
                          </w:rPr>
                          <w:t>Calculations</w:t>
                        </w:r>
                      </w:p>
                    </w:tc>
                    <w:tc>
                      <w:tcPr>
                        <w:tcW w:w="1456" w:type="dxa"/>
                        <w:shd w:val="clear" w:color="auto" w:fill="ECECEC"/>
                      </w:tcPr>
                      <w:p w:rsidR="007C5447" w:rsidRDefault="007C5447">
                        <w:pPr>
                          <w:pStyle w:val="TableParagraph"/>
                          <w:jc w:val="left"/>
                          <w:rPr>
                            <w:sz w:val="20"/>
                          </w:rPr>
                        </w:pPr>
                      </w:p>
                    </w:tc>
                    <w:tc>
                      <w:tcPr>
                        <w:tcW w:w="1677" w:type="dxa"/>
                        <w:shd w:val="clear" w:color="auto" w:fill="ECECEC"/>
                      </w:tcPr>
                      <w:p w:rsidR="007C5447" w:rsidRDefault="007C5447">
                        <w:pPr>
                          <w:pStyle w:val="TableParagraph"/>
                          <w:jc w:val="left"/>
                          <w:rPr>
                            <w:sz w:val="20"/>
                          </w:rPr>
                        </w:pPr>
                      </w:p>
                    </w:tc>
                    <w:tc>
                      <w:tcPr>
                        <w:tcW w:w="1680" w:type="dxa"/>
                        <w:shd w:val="clear" w:color="auto" w:fill="ECECEC"/>
                      </w:tcPr>
                      <w:p w:rsidR="007C5447" w:rsidRDefault="007C5447">
                        <w:pPr>
                          <w:pStyle w:val="TableParagraph"/>
                          <w:jc w:val="left"/>
                          <w:rPr>
                            <w:sz w:val="20"/>
                          </w:rPr>
                        </w:pPr>
                      </w:p>
                    </w:tc>
                    <w:tc>
                      <w:tcPr>
                        <w:tcW w:w="1677" w:type="dxa"/>
                        <w:shd w:val="clear" w:color="auto" w:fill="ECECEC"/>
                      </w:tcPr>
                      <w:p w:rsidR="007C5447" w:rsidRDefault="007C5447">
                        <w:pPr>
                          <w:pStyle w:val="TableParagraph"/>
                          <w:jc w:val="left"/>
                          <w:rPr>
                            <w:sz w:val="20"/>
                          </w:rPr>
                        </w:pPr>
                      </w:p>
                    </w:tc>
                    <w:tc>
                      <w:tcPr>
                        <w:tcW w:w="1678" w:type="dxa"/>
                        <w:shd w:val="clear" w:color="auto" w:fill="ECECEC"/>
                      </w:tcPr>
                      <w:p w:rsidR="007C5447" w:rsidRDefault="007C5447">
                        <w:pPr>
                          <w:pStyle w:val="TableParagraph"/>
                          <w:jc w:val="left"/>
                          <w:rPr>
                            <w:sz w:val="20"/>
                          </w:rPr>
                        </w:pPr>
                      </w:p>
                    </w:tc>
                    <w:tc>
                      <w:tcPr>
                        <w:tcW w:w="1675" w:type="dxa"/>
                        <w:shd w:val="clear" w:color="auto" w:fill="ECECEC"/>
                      </w:tcPr>
                      <w:p w:rsidR="007C5447" w:rsidRDefault="007C5447">
                        <w:pPr>
                          <w:pStyle w:val="TableParagraph"/>
                          <w:jc w:val="left"/>
                          <w:rPr>
                            <w:sz w:val="20"/>
                          </w:rPr>
                        </w:pPr>
                      </w:p>
                    </w:tc>
                  </w:tr>
                  <w:tr w:rsidR="007C5447">
                    <w:trPr>
                      <w:trHeight w:val="299"/>
                    </w:trPr>
                    <w:tc>
                      <w:tcPr>
                        <w:tcW w:w="1061" w:type="dxa"/>
                      </w:tcPr>
                      <w:p w:rsidR="007C5447" w:rsidRDefault="00F6308C">
                        <w:pPr>
                          <w:pStyle w:val="TableParagraph"/>
                          <w:spacing w:before="34"/>
                          <w:ind w:left="212" w:right="203"/>
                          <w:jc w:val="center"/>
                          <w:rPr>
                            <w:sz w:val="20"/>
                          </w:rPr>
                        </w:pPr>
                        <w:r>
                          <w:rPr>
                            <w:sz w:val="20"/>
                          </w:rPr>
                          <w:t>11</w:t>
                        </w:r>
                      </w:p>
                    </w:tc>
                    <w:tc>
                      <w:tcPr>
                        <w:tcW w:w="3269" w:type="dxa"/>
                      </w:tcPr>
                      <w:p w:rsidR="007C5447" w:rsidRDefault="00F6308C">
                        <w:pPr>
                          <w:pStyle w:val="TableParagraph"/>
                          <w:spacing w:before="55" w:line="224" w:lineRule="exact"/>
                          <w:ind w:left="108"/>
                          <w:jc w:val="left"/>
                          <w:rPr>
                            <w:sz w:val="20"/>
                          </w:rPr>
                        </w:pPr>
                        <w:r>
                          <w:rPr>
                            <w:sz w:val="20"/>
                          </w:rPr>
                          <w:t>Heat from Gas</w:t>
                        </w:r>
                      </w:p>
                    </w:tc>
                    <w:tc>
                      <w:tcPr>
                        <w:tcW w:w="1456" w:type="dxa"/>
                      </w:tcPr>
                      <w:p w:rsidR="007C5447" w:rsidRDefault="00F6308C">
                        <w:pPr>
                          <w:pStyle w:val="TableParagraph"/>
                          <w:spacing w:before="55" w:line="224" w:lineRule="exact"/>
                          <w:ind w:left="108"/>
                          <w:jc w:val="left"/>
                          <w:rPr>
                            <w:sz w:val="20"/>
                          </w:rPr>
                        </w:pPr>
                        <w:r>
                          <w:rPr>
                            <w:sz w:val="20"/>
                          </w:rPr>
                          <w:t>MKCL</w:t>
                        </w:r>
                      </w:p>
                    </w:tc>
                    <w:tc>
                      <w:tcPr>
                        <w:tcW w:w="1677" w:type="dxa"/>
                      </w:tcPr>
                      <w:p w:rsidR="007C5447" w:rsidRDefault="00F6308C">
                        <w:pPr>
                          <w:pStyle w:val="TableParagraph"/>
                          <w:spacing w:before="55" w:line="224" w:lineRule="exact"/>
                          <w:ind w:right="94"/>
                          <w:rPr>
                            <w:sz w:val="20"/>
                          </w:rPr>
                        </w:pPr>
                        <w:r>
                          <w:rPr>
                            <w:sz w:val="20"/>
                          </w:rPr>
                          <w:t>7,67,467</w:t>
                        </w:r>
                      </w:p>
                    </w:tc>
                    <w:tc>
                      <w:tcPr>
                        <w:tcW w:w="1680" w:type="dxa"/>
                      </w:tcPr>
                      <w:p w:rsidR="007C5447" w:rsidRDefault="00F6308C">
                        <w:pPr>
                          <w:pStyle w:val="TableParagraph"/>
                          <w:spacing w:before="55" w:line="224" w:lineRule="exact"/>
                          <w:ind w:right="96"/>
                          <w:rPr>
                            <w:sz w:val="20"/>
                          </w:rPr>
                        </w:pPr>
                        <w:r>
                          <w:rPr>
                            <w:sz w:val="20"/>
                          </w:rPr>
                          <w:t>1,03,298</w:t>
                        </w:r>
                      </w:p>
                    </w:tc>
                    <w:tc>
                      <w:tcPr>
                        <w:tcW w:w="1677" w:type="dxa"/>
                      </w:tcPr>
                      <w:p w:rsidR="007C5447" w:rsidRDefault="00F6308C">
                        <w:pPr>
                          <w:pStyle w:val="TableParagraph"/>
                          <w:spacing w:before="55" w:line="224" w:lineRule="exact"/>
                          <w:ind w:right="95"/>
                          <w:rPr>
                            <w:sz w:val="20"/>
                          </w:rPr>
                        </w:pPr>
                        <w:r>
                          <w:rPr>
                            <w:w w:val="95"/>
                            <w:sz w:val="20"/>
                          </w:rPr>
                          <w:t>11,86,527</w:t>
                        </w:r>
                      </w:p>
                    </w:tc>
                    <w:tc>
                      <w:tcPr>
                        <w:tcW w:w="1678" w:type="dxa"/>
                      </w:tcPr>
                      <w:p w:rsidR="007C5447" w:rsidRDefault="00F6308C">
                        <w:pPr>
                          <w:pStyle w:val="TableParagraph"/>
                          <w:spacing w:before="55" w:line="224" w:lineRule="exact"/>
                          <w:ind w:right="93"/>
                          <w:rPr>
                            <w:sz w:val="20"/>
                          </w:rPr>
                        </w:pPr>
                        <w:r>
                          <w:rPr>
                            <w:sz w:val="20"/>
                          </w:rPr>
                          <w:t>9,28,645</w:t>
                        </w:r>
                      </w:p>
                    </w:tc>
                    <w:tc>
                      <w:tcPr>
                        <w:tcW w:w="1675" w:type="dxa"/>
                      </w:tcPr>
                      <w:p w:rsidR="007C5447" w:rsidRDefault="00F6308C">
                        <w:pPr>
                          <w:pStyle w:val="TableParagraph"/>
                          <w:spacing w:before="55" w:line="224" w:lineRule="exact"/>
                          <w:ind w:right="95"/>
                          <w:rPr>
                            <w:sz w:val="20"/>
                          </w:rPr>
                        </w:pPr>
                        <w:r>
                          <w:rPr>
                            <w:w w:val="95"/>
                            <w:sz w:val="20"/>
                          </w:rPr>
                          <w:t>10,56,116</w:t>
                        </w:r>
                      </w:p>
                    </w:tc>
                  </w:tr>
                  <w:tr w:rsidR="007C5447">
                    <w:trPr>
                      <w:trHeight w:val="299"/>
                    </w:trPr>
                    <w:tc>
                      <w:tcPr>
                        <w:tcW w:w="1061" w:type="dxa"/>
                      </w:tcPr>
                      <w:p w:rsidR="007C5447" w:rsidRDefault="00F6308C">
                        <w:pPr>
                          <w:pStyle w:val="TableParagraph"/>
                          <w:spacing w:before="34"/>
                          <w:ind w:left="212" w:right="203"/>
                          <w:jc w:val="center"/>
                          <w:rPr>
                            <w:sz w:val="20"/>
                          </w:rPr>
                        </w:pPr>
                        <w:r>
                          <w:rPr>
                            <w:sz w:val="20"/>
                          </w:rPr>
                          <w:t>12</w:t>
                        </w:r>
                      </w:p>
                    </w:tc>
                    <w:tc>
                      <w:tcPr>
                        <w:tcW w:w="3269" w:type="dxa"/>
                      </w:tcPr>
                      <w:p w:rsidR="007C5447" w:rsidRDefault="00F6308C">
                        <w:pPr>
                          <w:pStyle w:val="TableParagraph"/>
                          <w:spacing w:before="55" w:line="224" w:lineRule="exact"/>
                          <w:ind w:left="108"/>
                          <w:jc w:val="left"/>
                          <w:rPr>
                            <w:sz w:val="20"/>
                          </w:rPr>
                        </w:pPr>
                        <w:r>
                          <w:rPr>
                            <w:sz w:val="20"/>
                          </w:rPr>
                          <w:t>Gas Consumed</w:t>
                        </w:r>
                      </w:p>
                    </w:tc>
                    <w:tc>
                      <w:tcPr>
                        <w:tcW w:w="1456" w:type="dxa"/>
                      </w:tcPr>
                      <w:p w:rsidR="007C5447" w:rsidRDefault="00F6308C">
                        <w:pPr>
                          <w:pStyle w:val="TableParagraph"/>
                          <w:spacing w:before="55" w:line="224" w:lineRule="exact"/>
                          <w:ind w:left="108"/>
                          <w:jc w:val="left"/>
                          <w:rPr>
                            <w:sz w:val="20"/>
                          </w:rPr>
                        </w:pPr>
                        <w:r>
                          <w:rPr>
                            <w:sz w:val="20"/>
                          </w:rPr>
                          <w:t>SCM</w:t>
                        </w:r>
                      </w:p>
                    </w:tc>
                    <w:tc>
                      <w:tcPr>
                        <w:tcW w:w="1677" w:type="dxa"/>
                      </w:tcPr>
                      <w:p w:rsidR="007C5447" w:rsidRDefault="00F6308C">
                        <w:pPr>
                          <w:pStyle w:val="TableParagraph"/>
                          <w:spacing w:before="55" w:line="224" w:lineRule="exact"/>
                          <w:ind w:right="97"/>
                          <w:rPr>
                            <w:sz w:val="20"/>
                          </w:rPr>
                        </w:pPr>
                        <w:r>
                          <w:rPr>
                            <w:w w:val="95"/>
                            <w:sz w:val="20"/>
                          </w:rPr>
                          <w:t>7,38,94,415</w:t>
                        </w:r>
                      </w:p>
                    </w:tc>
                    <w:tc>
                      <w:tcPr>
                        <w:tcW w:w="1680" w:type="dxa"/>
                      </w:tcPr>
                      <w:p w:rsidR="007C5447" w:rsidRDefault="00F6308C">
                        <w:pPr>
                          <w:pStyle w:val="TableParagraph"/>
                          <w:spacing w:before="55" w:line="224" w:lineRule="exact"/>
                          <w:ind w:right="98"/>
                          <w:rPr>
                            <w:sz w:val="20"/>
                          </w:rPr>
                        </w:pPr>
                        <w:r>
                          <w:rPr>
                            <w:w w:val="95"/>
                            <w:sz w:val="20"/>
                          </w:rPr>
                          <w:t>99,39,233</w:t>
                        </w:r>
                      </w:p>
                    </w:tc>
                    <w:tc>
                      <w:tcPr>
                        <w:tcW w:w="1677" w:type="dxa"/>
                      </w:tcPr>
                      <w:p w:rsidR="007C5447" w:rsidRDefault="00F6308C">
                        <w:pPr>
                          <w:pStyle w:val="TableParagraph"/>
                          <w:spacing w:before="55" w:line="224" w:lineRule="exact"/>
                          <w:ind w:right="96"/>
                          <w:rPr>
                            <w:sz w:val="20"/>
                          </w:rPr>
                        </w:pPr>
                        <w:r>
                          <w:rPr>
                            <w:sz w:val="20"/>
                          </w:rPr>
                          <w:t>11,41,76,973</w:t>
                        </w:r>
                      </w:p>
                    </w:tc>
                    <w:tc>
                      <w:tcPr>
                        <w:tcW w:w="1678" w:type="dxa"/>
                      </w:tcPr>
                      <w:p w:rsidR="007C5447" w:rsidRDefault="00F6308C">
                        <w:pPr>
                          <w:pStyle w:val="TableParagraph"/>
                          <w:spacing w:before="55" w:line="224" w:lineRule="exact"/>
                          <w:ind w:right="95"/>
                          <w:rPr>
                            <w:sz w:val="20"/>
                          </w:rPr>
                        </w:pPr>
                        <w:r>
                          <w:rPr>
                            <w:w w:val="95"/>
                            <w:sz w:val="20"/>
                          </w:rPr>
                          <w:t>9,28,64,450</w:t>
                        </w:r>
                      </w:p>
                    </w:tc>
                    <w:tc>
                      <w:tcPr>
                        <w:tcW w:w="1675" w:type="dxa"/>
                      </w:tcPr>
                      <w:p w:rsidR="007C5447" w:rsidRDefault="00F6308C">
                        <w:pPr>
                          <w:pStyle w:val="TableParagraph"/>
                          <w:spacing w:before="55" w:line="224" w:lineRule="exact"/>
                          <w:ind w:right="95"/>
                          <w:rPr>
                            <w:sz w:val="20"/>
                          </w:rPr>
                        </w:pPr>
                        <w:r>
                          <w:rPr>
                            <w:sz w:val="20"/>
                          </w:rPr>
                          <w:t>10,56,11,604</w:t>
                        </w:r>
                      </w:p>
                    </w:tc>
                  </w:tr>
                  <w:tr w:rsidR="007C5447">
                    <w:trPr>
                      <w:trHeight w:val="300"/>
                    </w:trPr>
                    <w:tc>
                      <w:tcPr>
                        <w:tcW w:w="1061" w:type="dxa"/>
                      </w:tcPr>
                      <w:p w:rsidR="007C5447" w:rsidRDefault="00F6308C">
                        <w:pPr>
                          <w:pStyle w:val="TableParagraph"/>
                          <w:spacing w:before="36"/>
                          <w:ind w:left="212" w:right="203"/>
                          <w:jc w:val="center"/>
                          <w:rPr>
                            <w:sz w:val="20"/>
                          </w:rPr>
                        </w:pPr>
                        <w:r>
                          <w:rPr>
                            <w:sz w:val="20"/>
                          </w:rPr>
                          <w:t>13</w:t>
                        </w:r>
                      </w:p>
                    </w:tc>
                    <w:tc>
                      <w:tcPr>
                        <w:tcW w:w="3269" w:type="dxa"/>
                      </w:tcPr>
                      <w:p w:rsidR="007C5447" w:rsidRDefault="00F6308C">
                        <w:pPr>
                          <w:pStyle w:val="TableParagraph"/>
                          <w:spacing w:before="56" w:line="224" w:lineRule="exact"/>
                          <w:ind w:left="108"/>
                          <w:jc w:val="left"/>
                          <w:rPr>
                            <w:sz w:val="20"/>
                          </w:rPr>
                        </w:pPr>
                        <w:r>
                          <w:rPr>
                            <w:sz w:val="20"/>
                          </w:rPr>
                          <w:t>Total Cost of Gas</w:t>
                        </w:r>
                      </w:p>
                    </w:tc>
                    <w:tc>
                      <w:tcPr>
                        <w:tcW w:w="1456" w:type="dxa"/>
                      </w:tcPr>
                      <w:p w:rsidR="007C5447" w:rsidRDefault="00F6308C">
                        <w:pPr>
                          <w:pStyle w:val="TableParagraph"/>
                          <w:spacing w:before="56" w:line="224" w:lineRule="exact"/>
                          <w:ind w:left="108"/>
                          <w:jc w:val="left"/>
                          <w:rPr>
                            <w:sz w:val="20"/>
                          </w:rPr>
                        </w:pPr>
                        <w:r>
                          <w:rPr>
                            <w:sz w:val="20"/>
                          </w:rPr>
                          <w:t>Rs. Crore</w:t>
                        </w:r>
                      </w:p>
                    </w:tc>
                    <w:tc>
                      <w:tcPr>
                        <w:tcW w:w="1677" w:type="dxa"/>
                      </w:tcPr>
                      <w:p w:rsidR="007C5447" w:rsidRDefault="00F6308C">
                        <w:pPr>
                          <w:pStyle w:val="TableParagraph"/>
                          <w:spacing w:before="56" w:line="224" w:lineRule="exact"/>
                          <w:ind w:right="93"/>
                          <w:rPr>
                            <w:sz w:val="20"/>
                          </w:rPr>
                        </w:pPr>
                        <w:r>
                          <w:rPr>
                            <w:sz w:val="20"/>
                          </w:rPr>
                          <w:t>64.42</w:t>
                        </w:r>
                      </w:p>
                    </w:tc>
                    <w:tc>
                      <w:tcPr>
                        <w:tcW w:w="1680" w:type="dxa"/>
                      </w:tcPr>
                      <w:p w:rsidR="007C5447" w:rsidRDefault="00F6308C">
                        <w:pPr>
                          <w:pStyle w:val="TableParagraph"/>
                          <w:spacing w:before="56" w:line="224" w:lineRule="exact"/>
                          <w:ind w:right="95"/>
                          <w:rPr>
                            <w:sz w:val="20"/>
                          </w:rPr>
                        </w:pPr>
                        <w:r>
                          <w:rPr>
                            <w:sz w:val="20"/>
                          </w:rPr>
                          <w:t>13.89</w:t>
                        </w:r>
                      </w:p>
                    </w:tc>
                    <w:tc>
                      <w:tcPr>
                        <w:tcW w:w="1677" w:type="dxa"/>
                      </w:tcPr>
                      <w:p w:rsidR="007C5447" w:rsidRDefault="00F6308C">
                        <w:pPr>
                          <w:pStyle w:val="TableParagraph"/>
                          <w:spacing w:before="56" w:line="224" w:lineRule="exact"/>
                          <w:ind w:right="92"/>
                          <w:rPr>
                            <w:sz w:val="20"/>
                          </w:rPr>
                        </w:pPr>
                        <w:r>
                          <w:rPr>
                            <w:w w:val="95"/>
                            <w:sz w:val="20"/>
                          </w:rPr>
                          <w:t>124.45</w:t>
                        </w:r>
                      </w:p>
                    </w:tc>
                    <w:tc>
                      <w:tcPr>
                        <w:tcW w:w="1678" w:type="dxa"/>
                      </w:tcPr>
                      <w:p w:rsidR="007C5447" w:rsidRDefault="00F6308C">
                        <w:pPr>
                          <w:pStyle w:val="TableParagraph"/>
                          <w:spacing w:before="56" w:line="224" w:lineRule="exact"/>
                          <w:ind w:right="92"/>
                          <w:rPr>
                            <w:sz w:val="20"/>
                          </w:rPr>
                        </w:pPr>
                        <w:r>
                          <w:rPr>
                            <w:w w:val="95"/>
                            <w:sz w:val="20"/>
                          </w:rPr>
                          <w:t>120.72</w:t>
                        </w:r>
                      </w:p>
                    </w:tc>
                    <w:tc>
                      <w:tcPr>
                        <w:tcW w:w="1675" w:type="dxa"/>
                      </w:tcPr>
                      <w:p w:rsidR="007C5447" w:rsidRDefault="00F6308C">
                        <w:pPr>
                          <w:pStyle w:val="TableParagraph"/>
                          <w:spacing w:before="56" w:line="224" w:lineRule="exact"/>
                          <w:ind w:right="92"/>
                          <w:rPr>
                            <w:sz w:val="20"/>
                          </w:rPr>
                        </w:pPr>
                        <w:r>
                          <w:rPr>
                            <w:w w:val="95"/>
                            <w:sz w:val="20"/>
                          </w:rPr>
                          <w:t>146.80</w:t>
                        </w:r>
                      </w:p>
                    </w:tc>
                  </w:tr>
                  <w:tr w:rsidR="007C5447">
                    <w:trPr>
                      <w:trHeight w:val="299"/>
                    </w:trPr>
                    <w:tc>
                      <w:tcPr>
                        <w:tcW w:w="1061" w:type="dxa"/>
                      </w:tcPr>
                      <w:p w:rsidR="007C5447" w:rsidRDefault="00F6308C">
                        <w:pPr>
                          <w:pStyle w:val="TableParagraph"/>
                          <w:spacing w:before="36"/>
                          <w:ind w:left="212" w:right="203"/>
                          <w:jc w:val="center"/>
                          <w:rPr>
                            <w:sz w:val="20"/>
                          </w:rPr>
                        </w:pPr>
                        <w:r>
                          <w:rPr>
                            <w:sz w:val="20"/>
                          </w:rPr>
                          <w:t>14</w:t>
                        </w:r>
                      </w:p>
                    </w:tc>
                    <w:tc>
                      <w:tcPr>
                        <w:tcW w:w="3269" w:type="dxa"/>
                      </w:tcPr>
                      <w:p w:rsidR="007C5447" w:rsidRDefault="00F6308C">
                        <w:pPr>
                          <w:pStyle w:val="TableParagraph"/>
                          <w:spacing w:before="55" w:line="224" w:lineRule="exact"/>
                          <w:ind w:left="108"/>
                          <w:jc w:val="left"/>
                          <w:rPr>
                            <w:sz w:val="20"/>
                          </w:rPr>
                        </w:pPr>
                        <w:r>
                          <w:rPr>
                            <w:sz w:val="20"/>
                          </w:rPr>
                          <w:t>Transportation Cost</w:t>
                        </w:r>
                      </w:p>
                    </w:tc>
                    <w:tc>
                      <w:tcPr>
                        <w:tcW w:w="1456" w:type="dxa"/>
                      </w:tcPr>
                      <w:p w:rsidR="007C5447" w:rsidRDefault="00F6308C">
                        <w:pPr>
                          <w:pStyle w:val="TableParagraph"/>
                          <w:spacing w:before="55" w:line="224" w:lineRule="exact"/>
                          <w:ind w:left="108"/>
                          <w:jc w:val="left"/>
                          <w:rPr>
                            <w:sz w:val="20"/>
                          </w:rPr>
                        </w:pPr>
                        <w:r>
                          <w:rPr>
                            <w:sz w:val="20"/>
                          </w:rPr>
                          <w:t>Rs. Crore</w:t>
                        </w:r>
                      </w:p>
                    </w:tc>
                    <w:tc>
                      <w:tcPr>
                        <w:tcW w:w="1677" w:type="dxa"/>
                      </w:tcPr>
                      <w:p w:rsidR="007C5447" w:rsidRDefault="00F6308C">
                        <w:pPr>
                          <w:pStyle w:val="TableParagraph"/>
                          <w:spacing w:before="55" w:line="224" w:lineRule="exact"/>
                          <w:ind w:right="93"/>
                          <w:rPr>
                            <w:sz w:val="20"/>
                          </w:rPr>
                        </w:pPr>
                        <w:r>
                          <w:rPr>
                            <w:sz w:val="20"/>
                          </w:rPr>
                          <w:t>0.00</w:t>
                        </w:r>
                      </w:p>
                    </w:tc>
                    <w:tc>
                      <w:tcPr>
                        <w:tcW w:w="1680" w:type="dxa"/>
                      </w:tcPr>
                      <w:p w:rsidR="007C5447" w:rsidRDefault="00F6308C">
                        <w:pPr>
                          <w:pStyle w:val="TableParagraph"/>
                          <w:spacing w:before="55" w:line="224" w:lineRule="exact"/>
                          <w:ind w:right="95"/>
                          <w:rPr>
                            <w:sz w:val="20"/>
                          </w:rPr>
                        </w:pPr>
                        <w:r>
                          <w:rPr>
                            <w:sz w:val="20"/>
                          </w:rPr>
                          <w:t>0.00</w:t>
                        </w:r>
                      </w:p>
                    </w:tc>
                    <w:tc>
                      <w:tcPr>
                        <w:tcW w:w="1677" w:type="dxa"/>
                      </w:tcPr>
                      <w:p w:rsidR="007C5447" w:rsidRDefault="00F6308C">
                        <w:pPr>
                          <w:pStyle w:val="TableParagraph"/>
                          <w:spacing w:before="55" w:line="224" w:lineRule="exact"/>
                          <w:ind w:right="92"/>
                          <w:rPr>
                            <w:sz w:val="20"/>
                          </w:rPr>
                        </w:pPr>
                        <w:r>
                          <w:rPr>
                            <w:sz w:val="20"/>
                          </w:rPr>
                          <w:t>0.00</w:t>
                        </w:r>
                      </w:p>
                    </w:tc>
                    <w:tc>
                      <w:tcPr>
                        <w:tcW w:w="1678" w:type="dxa"/>
                      </w:tcPr>
                      <w:p w:rsidR="007C5447" w:rsidRDefault="00F6308C">
                        <w:pPr>
                          <w:pStyle w:val="TableParagraph"/>
                          <w:spacing w:before="55" w:line="224" w:lineRule="exact"/>
                          <w:ind w:right="92"/>
                          <w:rPr>
                            <w:sz w:val="20"/>
                          </w:rPr>
                        </w:pPr>
                        <w:r>
                          <w:rPr>
                            <w:sz w:val="20"/>
                          </w:rPr>
                          <w:t>0.00</w:t>
                        </w:r>
                      </w:p>
                    </w:tc>
                    <w:tc>
                      <w:tcPr>
                        <w:tcW w:w="1675" w:type="dxa"/>
                      </w:tcPr>
                      <w:p w:rsidR="007C5447" w:rsidRDefault="00F6308C">
                        <w:pPr>
                          <w:pStyle w:val="TableParagraph"/>
                          <w:spacing w:before="55" w:line="224" w:lineRule="exact"/>
                          <w:ind w:right="92"/>
                          <w:rPr>
                            <w:sz w:val="20"/>
                          </w:rPr>
                        </w:pPr>
                        <w:r>
                          <w:rPr>
                            <w:sz w:val="20"/>
                          </w:rPr>
                          <w:t>0.00</w:t>
                        </w:r>
                      </w:p>
                    </w:tc>
                  </w:tr>
                  <w:tr w:rsidR="007C5447">
                    <w:trPr>
                      <w:trHeight w:val="330"/>
                    </w:trPr>
                    <w:tc>
                      <w:tcPr>
                        <w:tcW w:w="1061" w:type="dxa"/>
                        <w:shd w:val="clear" w:color="auto" w:fill="FFFFCC"/>
                      </w:tcPr>
                      <w:p w:rsidR="007C5447" w:rsidRDefault="00F6308C">
                        <w:pPr>
                          <w:pStyle w:val="TableParagraph"/>
                          <w:spacing w:before="50"/>
                          <w:ind w:left="212" w:right="203"/>
                          <w:jc w:val="center"/>
                          <w:rPr>
                            <w:b/>
                            <w:sz w:val="20"/>
                          </w:rPr>
                        </w:pPr>
                        <w:r>
                          <w:rPr>
                            <w:b/>
                            <w:sz w:val="20"/>
                          </w:rPr>
                          <w:t>15</w:t>
                        </w:r>
                      </w:p>
                    </w:tc>
                    <w:tc>
                      <w:tcPr>
                        <w:tcW w:w="3269" w:type="dxa"/>
                        <w:shd w:val="clear" w:color="auto" w:fill="FFFFCC"/>
                      </w:tcPr>
                      <w:p w:rsidR="007C5447" w:rsidRDefault="00F6308C">
                        <w:pPr>
                          <w:pStyle w:val="TableParagraph"/>
                          <w:spacing w:before="86" w:line="224" w:lineRule="exact"/>
                          <w:ind w:left="108"/>
                          <w:jc w:val="left"/>
                          <w:rPr>
                            <w:b/>
                            <w:sz w:val="20"/>
                          </w:rPr>
                        </w:pPr>
                        <w:r>
                          <w:rPr>
                            <w:b/>
                            <w:sz w:val="20"/>
                          </w:rPr>
                          <w:t>Total Fuel Cost</w:t>
                        </w:r>
                      </w:p>
                    </w:tc>
                    <w:tc>
                      <w:tcPr>
                        <w:tcW w:w="1456" w:type="dxa"/>
                        <w:shd w:val="clear" w:color="auto" w:fill="FFFFCC"/>
                      </w:tcPr>
                      <w:p w:rsidR="007C5447" w:rsidRDefault="00F6308C">
                        <w:pPr>
                          <w:pStyle w:val="TableParagraph"/>
                          <w:spacing w:before="86" w:line="224" w:lineRule="exact"/>
                          <w:ind w:left="108"/>
                          <w:jc w:val="left"/>
                          <w:rPr>
                            <w:b/>
                            <w:sz w:val="20"/>
                          </w:rPr>
                        </w:pPr>
                        <w:r>
                          <w:rPr>
                            <w:b/>
                            <w:sz w:val="20"/>
                          </w:rPr>
                          <w:t>Rs. Crore</w:t>
                        </w:r>
                      </w:p>
                    </w:tc>
                    <w:tc>
                      <w:tcPr>
                        <w:tcW w:w="1677" w:type="dxa"/>
                        <w:shd w:val="clear" w:color="auto" w:fill="FFFFCC"/>
                      </w:tcPr>
                      <w:p w:rsidR="007C5447" w:rsidRDefault="00F6308C">
                        <w:pPr>
                          <w:pStyle w:val="TableParagraph"/>
                          <w:spacing w:before="86" w:line="224" w:lineRule="exact"/>
                          <w:ind w:right="93"/>
                          <w:rPr>
                            <w:b/>
                            <w:sz w:val="20"/>
                          </w:rPr>
                        </w:pPr>
                        <w:r>
                          <w:rPr>
                            <w:b/>
                            <w:sz w:val="20"/>
                          </w:rPr>
                          <w:t>64.42</w:t>
                        </w:r>
                      </w:p>
                    </w:tc>
                    <w:tc>
                      <w:tcPr>
                        <w:tcW w:w="1680" w:type="dxa"/>
                        <w:shd w:val="clear" w:color="auto" w:fill="FFFFCC"/>
                      </w:tcPr>
                      <w:p w:rsidR="007C5447" w:rsidRDefault="00F6308C">
                        <w:pPr>
                          <w:pStyle w:val="TableParagraph"/>
                          <w:spacing w:before="86" w:line="224" w:lineRule="exact"/>
                          <w:ind w:right="95"/>
                          <w:rPr>
                            <w:b/>
                            <w:sz w:val="20"/>
                          </w:rPr>
                        </w:pPr>
                        <w:r>
                          <w:rPr>
                            <w:b/>
                            <w:sz w:val="20"/>
                          </w:rPr>
                          <w:t>13.89</w:t>
                        </w:r>
                      </w:p>
                    </w:tc>
                    <w:tc>
                      <w:tcPr>
                        <w:tcW w:w="1677" w:type="dxa"/>
                        <w:shd w:val="clear" w:color="auto" w:fill="FFFFCC"/>
                      </w:tcPr>
                      <w:p w:rsidR="007C5447" w:rsidRDefault="00F6308C">
                        <w:pPr>
                          <w:pStyle w:val="TableParagraph"/>
                          <w:spacing w:before="86" w:line="224" w:lineRule="exact"/>
                          <w:ind w:right="92"/>
                          <w:rPr>
                            <w:b/>
                            <w:sz w:val="20"/>
                          </w:rPr>
                        </w:pPr>
                        <w:r>
                          <w:rPr>
                            <w:b/>
                            <w:w w:val="95"/>
                            <w:sz w:val="20"/>
                          </w:rPr>
                          <w:t>124.45</w:t>
                        </w:r>
                      </w:p>
                    </w:tc>
                    <w:tc>
                      <w:tcPr>
                        <w:tcW w:w="1678" w:type="dxa"/>
                        <w:shd w:val="clear" w:color="auto" w:fill="FFFFCC"/>
                      </w:tcPr>
                      <w:p w:rsidR="007C5447" w:rsidRDefault="00F6308C">
                        <w:pPr>
                          <w:pStyle w:val="TableParagraph"/>
                          <w:spacing w:before="86" w:line="224" w:lineRule="exact"/>
                          <w:ind w:right="92"/>
                          <w:rPr>
                            <w:b/>
                            <w:sz w:val="20"/>
                          </w:rPr>
                        </w:pPr>
                        <w:r>
                          <w:rPr>
                            <w:b/>
                            <w:w w:val="95"/>
                            <w:sz w:val="20"/>
                          </w:rPr>
                          <w:t>120.72</w:t>
                        </w:r>
                      </w:p>
                    </w:tc>
                    <w:tc>
                      <w:tcPr>
                        <w:tcW w:w="1675" w:type="dxa"/>
                        <w:shd w:val="clear" w:color="auto" w:fill="FFFFCC"/>
                      </w:tcPr>
                      <w:p w:rsidR="007C5447" w:rsidRDefault="00F6308C">
                        <w:pPr>
                          <w:pStyle w:val="TableParagraph"/>
                          <w:spacing w:before="86" w:line="224" w:lineRule="exact"/>
                          <w:ind w:right="92"/>
                          <w:rPr>
                            <w:b/>
                            <w:sz w:val="20"/>
                          </w:rPr>
                        </w:pPr>
                        <w:r>
                          <w:rPr>
                            <w:b/>
                            <w:w w:val="95"/>
                            <w:sz w:val="20"/>
                          </w:rPr>
                          <w:t>146.80</w:t>
                        </w:r>
                      </w:p>
                    </w:tc>
                  </w:tr>
                  <w:tr w:rsidR="007C5447">
                    <w:trPr>
                      <w:trHeight w:val="330"/>
                    </w:trPr>
                    <w:tc>
                      <w:tcPr>
                        <w:tcW w:w="1061" w:type="dxa"/>
                        <w:shd w:val="clear" w:color="auto" w:fill="FFFFCC"/>
                      </w:tcPr>
                      <w:p w:rsidR="007C5447" w:rsidRDefault="00F6308C">
                        <w:pPr>
                          <w:pStyle w:val="TableParagraph"/>
                          <w:spacing w:before="50"/>
                          <w:ind w:left="212" w:right="203"/>
                          <w:jc w:val="center"/>
                          <w:rPr>
                            <w:b/>
                            <w:sz w:val="20"/>
                          </w:rPr>
                        </w:pPr>
                        <w:r>
                          <w:rPr>
                            <w:b/>
                            <w:sz w:val="20"/>
                          </w:rPr>
                          <w:t>16</w:t>
                        </w:r>
                      </w:p>
                    </w:tc>
                    <w:tc>
                      <w:tcPr>
                        <w:tcW w:w="3269" w:type="dxa"/>
                        <w:shd w:val="clear" w:color="auto" w:fill="FFFFCC"/>
                      </w:tcPr>
                      <w:p w:rsidR="007C5447" w:rsidRDefault="00F6308C">
                        <w:pPr>
                          <w:pStyle w:val="TableParagraph"/>
                          <w:spacing w:before="84" w:line="227" w:lineRule="exact"/>
                          <w:ind w:left="108"/>
                          <w:jc w:val="left"/>
                          <w:rPr>
                            <w:b/>
                            <w:sz w:val="20"/>
                          </w:rPr>
                        </w:pPr>
                        <w:r>
                          <w:rPr>
                            <w:b/>
                            <w:sz w:val="20"/>
                          </w:rPr>
                          <w:t>Energy Charge</w:t>
                        </w:r>
                      </w:p>
                    </w:tc>
                    <w:tc>
                      <w:tcPr>
                        <w:tcW w:w="1456" w:type="dxa"/>
                        <w:shd w:val="clear" w:color="auto" w:fill="FFFFCC"/>
                      </w:tcPr>
                      <w:p w:rsidR="007C5447" w:rsidRDefault="00F6308C">
                        <w:pPr>
                          <w:pStyle w:val="TableParagraph"/>
                          <w:spacing w:before="84" w:line="227" w:lineRule="exact"/>
                          <w:ind w:left="108"/>
                          <w:jc w:val="left"/>
                          <w:rPr>
                            <w:b/>
                            <w:sz w:val="20"/>
                          </w:rPr>
                        </w:pPr>
                        <w:r>
                          <w:rPr>
                            <w:b/>
                            <w:sz w:val="20"/>
                          </w:rPr>
                          <w:t>Rs. /kWh</w:t>
                        </w:r>
                      </w:p>
                    </w:tc>
                    <w:tc>
                      <w:tcPr>
                        <w:tcW w:w="1677" w:type="dxa"/>
                        <w:shd w:val="clear" w:color="auto" w:fill="FFFFCC"/>
                      </w:tcPr>
                      <w:p w:rsidR="007C5447" w:rsidRDefault="00F6308C">
                        <w:pPr>
                          <w:pStyle w:val="TableParagraph"/>
                          <w:spacing w:before="84" w:line="227" w:lineRule="exact"/>
                          <w:ind w:right="96"/>
                          <w:rPr>
                            <w:b/>
                            <w:sz w:val="20"/>
                          </w:rPr>
                        </w:pPr>
                        <w:r>
                          <w:rPr>
                            <w:b/>
                            <w:sz w:val="20"/>
                          </w:rPr>
                          <w:t>1.66</w:t>
                        </w:r>
                      </w:p>
                    </w:tc>
                    <w:tc>
                      <w:tcPr>
                        <w:tcW w:w="1680" w:type="dxa"/>
                        <w:shd w:val="clear" w:color="auto" w:fill="FFFFCC"/>
                      </w:tcPr>
                      <w:p w:rsidR="007C5447" w:rsidRDefault="00F6308C">
                        <w:pPr>
                          <w:pStyle w:val="TableParagraph"/>
                          <w:spacing w:before="84" w:line="227" w:lineRule="exact"/>
                          <w:ind w:right="98"/>
                          <w:rPr>
                            <w:b/>
                            <w:sz w:val="20"/>
                          </w:rPr>
                        </w:pPr>
                        <w:r>
                          <w:rPr>
                            <w:b/>
                            <w:sz w:val="20"/>
                          </w:rPr>
                          <w:t>2.65</w:t>
                        </w:r>
                      </w:p>
                    </w:tc>
                    <w:tc>
                      <w:tcPr>
                        <w:tcW w:w="1677" w:type="dxa"/>
                        <w:shd w:val="clear" w:color="auto" w:fill="FFFFCC"/>
                      </w:tcPr>
                      <w:p w:rsidR="007C5447" w:rsidRDefault="00F6308C">
                        <w:pPr>
                          <w:pStyle w:val="TableParagraph"/>
                          <w:spacing w:before="84" w:line="227" w:lineRule="exact"/>
                          <w:ind w:right="95"/>
                          <w:rPr>
                            <w:b/>
                            <w:sz w:val="20"/>
                          </w:rPr>
                        </w:pPr>
                        <w:r>
                          <w:rPr>
                            <w:b/>
                            <w:sz w:val="20"/>
                          </w:rPr>
                          <w:t>2.06</w:t>
                        </w:r>
                      </w:p>
                    </w:tc>
                    <w:tc>
                      <w:tcPr>
                        <w:tcW w:w="1678" w:type="dxa"/>
                        <w:shd w:val="clear" w:color="auto" w:fill="FFFFCC"/>
                      </w:tcPr>
                      <w:p w:rsidR="007C5447" w:rsidRDefault="00F6308C">
                        <w:pPr>
                          <w:pStyle w:val="TableParagraph"/>
                          <w:spacing w:before="84" w:line="227" w:lineRule="exact"/>
                          <w:ind w:right="94"/>
                          <w:rPr>
                            <w:b/>
                            <w:sz w:val="20"/>
                          </w:rPr>
                        </w:pPr>
                        <w:r>
                          <w:rPr>
                            <w:b/>
                            <w:sz w:val="20"/>
                          </w:rPr>
                          <w:t>2.56</w:t>
                        </w:r>
                      </w:p>
                    </w:tc>
                    <w:tc>
                      <w:tcPr>
                        <w:tcW w:w="1675" w:type="dxa"/>
                        <w:shd w:val="clear" w:color="auto" w:fill="FFFFCC"/>
                      </w:tcPr>
                      <w:p w:rsidR="007C5447" w:rsidRDefault="00F6308C">
                        <w:pPr>
                          <w:pStyle w:val="TableParagraph"/>
                          <w:spacing w:before="84" w:line="227" w:lineRule="exact"/>
                          <w:ind w:right="94"/>
                          <w:rPr>
                            <w:b/>
                            <w:sz w:val="20"/>
                          </w:rPr>
                        </w:pPr>
                        <w:r>
                          <w:rPr>
                            <w:b/>
                            <w:sz w:val="20"/>
                          </w:rPr>
                          <w:t>2.74</w:t>
                        </w:r>
                      </w:p>
                    </w:tc>
                  </w:tr>
                </w:tbl>
                <w:p w:rsidR="007C5447" w:rsidRDefault="007C5447">
                  <w:pPr>
                    <w:pStyle w:val="BodyText"/>
                  </w:pPr>
                </w:p>
              </w:txbxContent>
            </v:textbox>
            <w10:wrap anchorx="page" anchory="page"/>
          </v:shape>
        </w:pict>
      </w:r>
    </w:p>
    <w:p w:rsidR="007C5447" w:rsidRDefault="00F6308C">
      <w:pPr>
        <w:pStyle w:val="BodyText"/>
        <w:ind w:left="1173"/>
        <w:rPr>
          <w:sz w:val="20"/>
        </w:rPr>
      </w:pPr>
      <w:r>
        <w:rPr>
          <w:sz w:val="20"/>
        </w:rPr>
      </w:r>
      <w:r>
        <w:rPr>
          <w:sz w:val="20"/>
        </w:rPr>
        <w:pict>
          <v:shape id="_x0000_s1031" type="#_x0000_t202" style="width:163.5pt;height:16.6pt;mso-left-percent:-10001;mso-top-percent:-10001;mso-position-horizontal:absolute;mso-position-horizontal-relative:char;mso-position-vertical:absolute;mso-position-vertical-relative:line;mso-left-percent:-10001;mso-top-percent:-10001" fillcolor="#ffc000" stroked="f">
            <v:textbox inset="0,0,0,0">
              <w:txbxContent>
                <w:p w:rsidR="007C5447" w:rsidRDefault="00F6308C">
                  <w:pPr>
                    <w:spacing w:before="87"/>
                    <w:ind w:left="108"/>
                    <w:rPr>
                      <w:b/>
                      <w:sz w:val="20"/>
                    </w:rPr>
                  </w:pPr>
                  <w:r>
                    <w:rPr>
                      <w:b/>
                      <w:sz w:val="20"/>
                    </w:rPr>
                    <w:t>KGTPS</w:t>
                  </w:r>
                </w:p>
              </w:txbxContent>
            </v:textbox>
            <w10:anchorlock/>
          </v:shape>
        </w:pict>
      </w:r>
    </w:p>
    <w:p w:rsidR="007C5447" w:rsidRDefault="007C5447">
      <w:pPr>
        <w:rPr>
          <w:sz w:val="20"/>
        </w:rPr>
        <w:sectPr w:rsidR="007C5447">
          <w:pgSz w:w="16840" w:h="11910" w:orient="landscape"/>
          <w:pgMar w:top="1100" w:right="1220" w:bottom="1240" w:left="1220" w:header="0" w:footer="777" w:gutter="0"/>
          <w:cols w:space="720"/>
        </w:sectPr>
      </w:pPr>
    </w:p>
    <w:p w:rsidR="007C5447" w:rsidRDefault="00F6308C">
      <w:pPr>
        <w:pStyle w:val="BodyText"/>
        <w:spacing w:before="3"/>
        <w:rPr>
          <w:sz w:val="2"/>
        </w:rPr>
      </w:pPr>
      <w:r>
        <w:lastRenderedPageBreak/>
        <w:pict>
          <v:shape id="_x0000_s1030" type="#_x0000_t202" style="position:absolute;margin-left:66.35pt;margin-top:73.2pt;width:709.55pt;height:302.6pt;z-index:251698176;mso-position-horizontal-relative:page;mso-position-vertic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1"/>
                    <w:gridCol w:w="3269"/>
                    <w:gridCol w:w="1456"/>
                    <w:gridCol w:w="1677"/>
                    <w:gridCol w:w="1680"/>
                    <w:gridCol w:w="1677"/>
                    <w:gridCol w:w="1678"/>
                    <w:gridCol w:w="1675"/>
                  </w:tblGrid>
                  <w:tr w:rsidR="007C5447">
                    <w:trPr>
                      <w:trHeight w:val="330"/>
                    </w:trPr>
                    <w:tc>
                      <w:tcPr>
                        <w:tcW w:w="1061" w:type="dxa"/>
                        <w:shd w:val="clear" w:color="auto" w:fill="C8C8C8"/>
                      </w:tcPr>
                      <w:p w:rsidR="007C5447" w:rsidRDefault="00F6308C">
                        <w:pPr>
                          <w:pStyle w:val="TableParagraph"/>
                          <w:spacing w:before="50"/>
                          <w:ind w:left="212" w:right="204"/>
                          <w:jc w:val="center"/>
                          <w:rPr>
                            <w:b/>
                            <w:sz w:val="20"/>
                          </w:rPr>
                        </w:pPr>
                        <w:r>
                          <w:rPr>
                            <w:b/>
                            <w:sz w:val="20"/>
                          </w:rPr>
                          <w:t>Sr. No.</w:t>
                        </w:r>
                      </w:p>
                    </w:tc>
                    <w:tc>
                      <w:tcPr>
                        <w:tcW w:w="3269" w:type="dxa"/>
                        <w:shd w:val="clear" w:color="auto" w:fill="C8C8C8"/>
                      </w:tcPr>
                      <w:p w:rsidR="007C5447" w:rsidRDefault="00F6308C">
                        <w:pPr>
                          <w:pStyle w:val="TableParagraph"/>
                          <w:spacing w:before="50"/>
                          <w:ind w:left="1156" w:right="1151"/>
                          <w:jc w:val="center"/>
                          <w:rPr>
                            <w:b/>
                            <w:sz w:val="20"/>
                          </w:rPr>
                        </w:pPr>
                        <w:r>
                          <w:rPr>
                            <w:b/>
                            <w:sz w:val="20"/>
                          </w:rPr>
                          <w:t>Parameter</w:t>
                        </w:r>
                      </w:p>
                    </w:tc>
                    <w:tc>
                      <w:tcPr>
                        <w:tcW w:w="1456" w:type="dxa"/>
                        <w:shd w:val="clear" w:color="auto" w:fill="C8C8C8"/>
                      </w:tcPr>
                      <w:p w:rsidR="007C5447" w:rsidRDefault="00F6308C">
                        <w:pPr>
                          <w:pStyle w:val="TableParagraph"/>
                          <w:spacing w:before="50"/>
                          <w:ind w:left="519" w:right="508"/>
                          <w:jc w:val="center"/>
                          <w:rPr>
                            <w:b/>
                            <w:sz w:val="20"/>
                          </w:rPr>
                        </w:pPr>
                        <w:r>
                          <w:rPr>
                            <w:b/>
                            <w:sz w:val="20"/>
                          </w:rPr>
                          <w:t>Unit</w:t>
                        </w:r>
                      </w:p>
                    </w:tc>
                    <w:tc>
                      <w:tcPr>
                        <w:tcW w:w="1677" w:type="dxa"/>
                        <w:shd w:val="clear" w:color="auto" w:fill="BEBEBE"/>
                      </w:tcPr>
                      <w:p w:rsidR="007C5447" w:rsidRDefault="00F6308C">
                        <w:pPr>
                          <w:pStyle w:val="TableParagraph"/>
                          <w:spacing w:before="50"/>
                          <w:ind w:left="346"/>
                          <w:jc w:val="left"/>
                          <w:rPr>
                            <w:b/>
                            <w:sz w:val="20"/>
                          </w:rPr>
                        </w:pPr>
                        <w:r>
                          <w:rPr>
                            <w:b/>
                            <w:sz w:val="20"/>
                          </w:rPr>
                          <w:t>FY 2011-12</w:t>
                        </w:r>
                      </w:p>
                    </w:tc>
                    <w:tc>
                      <w:tcPr>
                        <w:tcW w:w="1680" w:type="dxa"/>
                        <w:shd w:val="clear" w:color="auto" w:fill="BEBEBE"/>
                      </w:tcPr>
                      <w:p w:rsidR="007C5447" w:rsidRDefault="00F6308C">
                        <w:pPr>
                          <w:pStyle w:val="TableParagraph"/>
                          <w:spacing w:before="50"/>
                          <w:ind w:left="347"/>
                          <w:jc w:val="left"/>
                          <w:rPr>
                            <w:b/>
                            <w:sz w:val="20"/>
                          </w:rPr>
                        </w:pPr>
                        <w:r>
                          <w:rPr>
                            <w:b/>
                            <w:sz w:val="20"/>
                          </w:rPr>
                          <w:t>FY 2012-13</w:t>
                        </w:r>
                      </w:p>
                    </w:tc>
                    <w:tc>
                      <w:tcPr>
                        <w:tcW w:w="1677" w:type="dxa"/>
                        <w:shd w:val="clear" w:color="auto" w:fill="BEBEBE"/>
                      </w:tcPr>
                      <w:p w:rsidR="007C5447" w:rsidRDefault="00F6308C">
                        <w:pPr>
                          <w:pStyle w:val="TableParagraph"/>
                          <w:spacing w:before="50"/>
                          <w:ind w:left="347"/>
                          <w:jc w:val="left"/>
                          <w:rPr>
                            <w:b/>
                            <w:sz w:val="20"/>
                          </w:rPr>
                        </w:pPr>
                        <w:r>
                          <w:rPr>
                            <w:b/>
                            <w:sz w:val="20"/>
                          </w:rPr>
                          <w:t>FY 2013-14</w:t>
                        </w:r>
                      </w:p>
                    </w:tc>
                    <w:tc>
                      <w:tcPr>
                        <w:tcW w:w="1678" w:type="dxa"/>
                        <w:shd w:val="clear" w:color="auto" w:fill="BEBEBE"/>
                      </w:tcPr>
                      <w:p w:rsidR="007C5447" w:rsidRDefault="00F6308C">
                        <w:pPr>
                          <w:pStyle w:val="TableParagraph"/>
                          <w:spacing w:before="50"/>
                          <w:ind w:left="348"/>
                          <w:jc w:val="left"/>
                          <w:rPr>
                            <w:b/>
                            <w:sz w:val="20"/>
                          </w:rPr>
                        </w:pPr>
                        <w:r>
                          <w:rPr>
                            <w:b/>
                            <w:sz w:val="20"/>
                          </w:rPr>
                          <w:t>FY 2014-15</w:t>
                        </w:r>
                      </w:p>
                    </w:tc>
                    <w:tc>
                      <w:tcPr>
                        <w:tcW w:w="1675" w:type="dxa"/>
                        <w:shd w:val="clear" w:color="auto" w:fill="BEBEBE"/>
                      </w:tcPr>
                      <w:p w:rsidR="007C5447" w:rsidRDefault="00F6308C">
                        <w:pPr>
                          <w:pStyle w:val="TableParagraph"/>
                          <w:spacing w:before="50"/>
                          <w:ind w:left="348"/>
                          <w:jc w:val="left"/>
                          <w:rPr>
                            <w:b/>
                            <w:sz w:val="20"/>
                          </w:rPr>
                        </w:pPr>
                        <w:r>
                          <w:rPr>
                            <w:b/>
                            <w:sz w:val="20"/>
                          </w:rPr>
                          <w:t>FY 2015-16</w:t>
                        </w:r>
                      </w:p>
                    </w:tc>
                  </w:tr>
                  <w:tr w:rsidR="007C5447">
                    <w:trPr>
                      <w:trHeight w:val="299"/>
                    </w:trPr>
                    <w:tc>
                      <w:tcPr>
                        <w:tcW w:w="1061" w:type="dxa"/>
                      </w:tcPr>
                      <w:p w:rsidR="007C5447" w:rsidRDefault="00F6308C">
                        <w:pPr>
                          <w:pStyle w:val="TableParagraph"/>
                          <w:spacing w:before="34"/>
                          <w:ind w:left="9"/>
                          <w:jc w:val="center"/>
                          <w:rPr>
                            <w:sz w:val="20"/>
                          </w:rPr>
                        </w:pPr>
                        <w:r>
                          <w:rPr>
                            <w:w w:val="99"/>
                            <w:sz w:val="20"/>
                          </w:rPr>
                          <w:t>1</w:t>
                        </w:r>
                      </w:p>
                    </w:tc>
                    <w:tc>
                      <w:tcPr>
                        <w:tcW w:w="3269" w:type="dxa"/>
                      </w:tcPr>
                      <w:p w:rsidR="007C5447" w:rsidRDefault="00F6308C">
                        <w:pPr>
                          <w:pStyle w:val="TableParagraph"/>
                          <w:spacing w:before="55" w:line="224" w:lineRule="exact"/>
                          <w:ind w:left="108"/>
                          <w:jc w:val="left"/>
                          <w:rPr>
                            <w:sz w:val="20"/>
                          </w:rPr>
                        </w:pPr>
                        <w:r>
                          <w:rPr>
                            <w:sz w:val="20"/>
                          </w:rPr>
                          <w:t>Installed Capacity(MW)</w:t>
                        </w:r>
                      </w:p>
                    </w:tc>
                    <w:tc>
                      <w:tcPr>
                        <w:tcW w:w="1456" w:type="dxa"/>
                      </w:tcPr>
                      <w:p w:rsidR="007C5447" w:rsidRDefault="00F6308C">
                        <w:pPr>
                          <w:pStyle w:val="TableParagraph"/>
                          <w:spacing w:before="55" w:line="224" w:lineRule="exact"/>
                          <w:ind w:left="108"/>
                          <w:jc w:val="left"/>
                          <w:rPr>
                            <w:sz w:val="20"/>
                          </w:rPr>
                        </w:pPr>
                        <w:r>
                          <w:rPr>
                            <w:sz w:val="20"/>
                          </w:rPr>
                          <w:t>MW</w:t>
                        </w:r>
                      </w:p>
                    </w:tc>
                    <w:tc>
                      <w:tcPr>
                        <w:tcW w:w="1677" w:type="dxa"/>
                      </w:tcPr>
                      <w:p w:rsidR="007C5447" w:rsidRDefault="00F6308C">
                        <w:pPr>
                          <w:pStyle w:val="TableParagraph"/>
                          <w:spacing w:before="55" w:line="224" w:lineRule="exact"/>
                          <w:ind w:right="91"/>
                          <w:rPr>
                            <w:sz w:val="20"/>
                          </w:rPr>
                        </w:pPr>
                        <w:r>
                          <w:rPr>
                            <w:sz w:val="20"/>
                          </w:rPr>
                          <w:t>120</w:t>
                        </w:r>
                      </w:p>
                    </w:tc>
                    <w:tc>
                      <w:tcPr>
                        <w:tcW w:w="1680" w:type="dxa"/>
                      </w:tcPr>
                      <w:p w:rsidR="007C5447" w:rsidRDefault="00F6308C">
                        <w:pPr>
                          <w:pStyle w:val="TableParagraph"/>
                          <w:spacing w:before="55" w:line="224" w:lineRule="exact"/>
                          <w:ind w:right="93"/>
                          <w:rPr>
                            <w:sz w:val="20"/>
                          </w:rPr>
                        </w:pPr>
                        <w:r>
                          <w:rPr>
                            <w:sz w:val="20"/>
                          </w:rPr>
                          <w:t>120</w:t>
                        </w:r>
                      </w:p>
                    </w:tc>
                    <w:tc>
                      <w:tcPr>
                        <w:tcW w:w="1677" w:type="dxa"/>
                      </w:tcPr>
                      <w:p w:rsidR="007C5447" w:rsidRDefault="00F6308C">
                        <w:pPr>
                          <w:pStyle w:val="TableParagraph"/>
                          <w:spacing w:before="55" w:line="224" w:lineRule="exact"/>
                          <w:ind w:right="90"/>
                          <w:rPr>
                            <w:sz w:val="20"/>
                          </w:rPr>
                        </w:pPr>
                        <w:r>
                          <w:rPr>
                            <w:sz w:val="20"/>
                          </w:rPr>
                          <w:t>120</w:t>
                        </w:r>
                      </w:p>
                    </w:tc>
                    <w:tc>
                      <w:tcPr>
                        <w:tcW w:w="1678" w:type="dxa"/>
                      </w:tcPr>
                      <w:p w:rsidR="007C5447" w:rsidRDefault="00F6308C">
                        <w:pPr>
                          <w:pStyle w:val="TableParagraph"/>
                          <w:spacing w:before="55" w:line="224" w:lineRule="exact"/>
                          <w:ind w:right="90"/>
                          <w:rPr>
                            <w:sz w:val="20"/>
                          </w:rPr>
                        </w:pPr>
                        <w:r>
                          <w:rPr>
                            <w:sz w:val="20"/>
                          </w:rPr>
                          <w:t>120</w:t>
                        </w:r>
                      </w:p>
                    </w:tc>
                    <w:tc>
                      <w:tcPr>
                        <w:tcW w:w="1675" w:type="dxa"/>
                      </w:tcPr>
                      <w:p w:rsidR="007C5447" w:rsidRDefault="00F6308C">
                        <w:pPr>
                          <w:pStyle w:val="TableParagraph"/>
                          <w:spacing w:before="55" w:line="224" w:lineRule="exact"/>
                          <w:ind w:right="90"/>
                          <w:rPr>
                            <w:sz w:val="20"/>
                          </w:rPr>
                        </w:pPr>
                        <w:r>
                          <w:rPr>
                            <w:sz w:val="20"/>
                          </w:rPr>
                          <w:t>120</w:t>
                        </w:r>
                      </w:p>
                    </w:tc>
                  </w:tr>
                  <w:tr w:rsidR="007C5447">
                    <w:trPr>
                      <w:trHeight w:val="299"/>
                    </w:trPr>
                    <w:tc>
                      <w:tcPr>
                        <w:tcW w:w="1061" w:type="dxa"/>
                      </w:tcPr>
                      <w:p w:rsidR="007C5447" w:rsidRDefault="00F6308C">
                        <w:pPr>
                          <w:pStyle w:val="TableParagraph"/>
                          <w:spacing w:before="34"/>
                          <w:ind w:left="9"/>
                          <w:jc w:val="center"/>
                          <w:rPr>
                            <w:sz w:val="20"/>
                          </w:rPr>
                        </w:pPr>
                        <w:r>
                          <w:rPr>
                            <w:w w:val="99"/>
                            <w:sz w:val="20"/>
                          </w:rPr>
                          <w:t>2</w:t>
                        </w:r>
                      </w:p>
                    </w:tc>
                    <w:tc>
                      <w:tcPr>
                        <w:tcW w:w="3269" w:type="dxa"/>
                      </w:tcPr>
                      <w:p w:rsidR="007C5447" w:rsidRDefault="00F6308C">
                        <w:pPr>
                          <w:pStyle w:val="TableParagraph"/>
                          <w:spacing w:before="55" w:line="224" w:lineRule="exact"/>
                          <w:ind w:left="108"/>
                          <w:jc w:val="left"/>
                          <w:rPr>
                            <w:sz w:val="20"/>
                          </w:rPr>
                        </w:pPr>
                        <w:r>
                          <w:rPr>
                            <w:sz w:val="20"/>
                          </w:rPr>
                          <w:t>Allocated Capacity</w:t>
                        </w:r>
                      </w:p>
                    </w:tc>
                    <w:tc>
                      <w:tcPr>
                        <w:tcW w:w="1456" w:type="dxa"/>
                      </w:tcPr>
                      <w:p w:rsidR="007C5447" w:rsidRDefault="00F6308C">
                        <w:pPr>
                          <w:pStyle w:val="TableParagraph"/>
                          <w:spacing w:before="55" w:line="224" w:lineRule="exact"/>
                          <w:ind w:left="108"/>
                          <w:jc w:val="left"/>
                          <w:rPr>
                            <w:sz w:val="20"/>
                          </w:rPr>
                        </w:pPr>
                        <w:r>
                          <w:rPr>
                            <w:sz w:val="20"/>
                          </w:rPr>
                          <w:t>MW</w:t>
                        </w:r>
                      </w:p>
                    </w:tc>
                    <w:tc>
                      <w:tcPr>
                        <w:tcW w:w="1677" w:type="dxa"/>
                      </w:tcPr>
                      <w:p w:rsidR="007C5447" w:rsidRDefault="00F6308C">
                        <w:pPr>
                          <w:pStyle w:val="TableParagraph"/>
                          <w:spacing w:before="55" w:line="224" w:lineRule="exact"/>
                          <w:ind w:right="91"/>
                          <w:rPr>
                            <w:sz w:val="20"/>
                          </w:rPr>
                        </w:pPr>
                        <w:r>
                          <w:rPr>
                            <w:sz w:val="20"/>
                          </w:rPr>
                          <w:t>120</w:t>
                        </w:r>
                      </w:p>
                    </w:tc>
                    <w:tc>
                      <w:tcPr>
                        <w:tcW w:w="1680" w:type="dxa"/>
                      </w:tcPr>
                      <w:p w:rsidR="007C5447" w:rsidRDefault="00F6308C">
                        <w:pPr>
                          <w:pStyle w:val="TableParagraph"/>
                          <w:spacing w:before="55" w:line="224" w:lineRule="exact"/>
                          <w:ind w:right="93"/>
                          <w:rPr>
                            <w:sz w:val="20"/>
                          </w:rPr>
                        </w:pPr>
                        <w:r>
                          <w:rPr>
                            <w:sz w:val="20"/>
                          </w:rPr>
                          <w:t>120</w:t>
                        </w:r>
                      </w:p>
                    </w:tc>
                    <w:tc>
                      <w:tcPr>
                        <w:tcW w:w="1677" w:type="dxa"/>
                      </w:tcPr>
                      <w:p w:rsidR="007C5447" w:rsidRDefault="00F6308C">
                        <w:pPr>
                          <w:pStyle w:val="TableParagraph"/>
                          <w:spacing w:before="55" w:line="224" w:lineRule="exact"/>
                          <w:ind w:right="90"/>
                          <w:rPr>
                            <w:sz w:val="20"/>
                          </w:rPr>
                        </w:pPr>
                        <w:r>
                          <w:rPr>
                            <w:sz w:val="20"/>
                          </w:rPr>
                          <w:t>120</w:t>
                        </w:r>
                      </w:p>
                    </w:tc>
                    <w:tc>
                      <w:tcPr>
                        <w:tcW w:w="1678" w:type="dxa"/>
                      </w:tcPr>
                      <w:p w:rsidR="007C5447" w:rsidRDefault="00F6308C">
                        <w:pPr>
                          <w:pStyle w:val="TableParagraph"/>
                          <w:spacing w:before="55" w:line="224" w:lineRule="exact"/>
                          <w:ind w:right="90"/>
                          <w:rPr>
                            <w:sz w:val="20"/>
                          </w:rPr>
                        </w:pPr>
                        <w:r>
                          <w:rPr>
                            <w:sz w:val="20"/>
                          </w:rPr>
                          <w:t>120</w:t>
                        </w:r>
                      </w:p>
                    </w:tc>
                    <w:tc>
                      <w:tcPr>
                        <w:tcW w:w="1675" w:type="dxa"/>
                      </w:tcPr>
                      <w:p w:rsidR="007C5447" w:rsidRDefault="00F6308C">
                        <w:pPr>
                          <w:pStyle w:val="TableParagraph"/>
                          <w:spacing w:before="55" w:line="224" w:lineRule="exact"/>
                          <w:ind w:right="90"/>
                          <w:rPr>
                            <w:sz w:val="20"/>
                          </w:rPr>
                        </w:pPr>
                        <w:r>
                          <w:rPr>
                            <w:sz w:val="20"/>
                          </w:rPr>
                          <w:t>120</w:t>
                        </w:r>
                      </w:p>
                    </w:tc>
                  </w:tr>
                  <w:tr w:rsidR="007C5447">
                    <w:trPr>
                      <w:trHeight w:val="299"/>
                    </w:trPr>
                    <w:tc>
                      <w:tcPr>
                        <w:tcW w:w="1061" w:type="dxa"/>
                      </w:tcPr>
                      <w:p w:rsidR="007C5447" w:rsidRDefault="00F6308C">
                        <w:pPr>
                          <w:pStyle w:val="TableParagraph"/>
                          <w:spacing w:before="36"/>
                          <w:ind w:left="9"/>
                          <w:jc w:val="center"/>
                          <w:rPr>
                            <w:sz w:val="20"/>
                          </w:rPr>
                        </w:pPr>
                        <w:r>
                          <w:rPr>
                            <w:w w:val="99"/>
                            <w:sz w:val="20"/>
                          </w:rPr>
                          <w:t>3</w:t>
                        </w:r>
                      </w:p>
                    </w:tc>
                    <w:tc>
                      <w:tcPr>
                        <w:tcW w:w="3269" w:type="dxa"/>
                      </w:tcPr>
                      <w:p w:rsidR="007C5447" w:rsidRDefault="00F6308C">
                        <w:pPr>
                          <w:pStyle w:val="TableParagraph"/>
                          <w:spacing w:before="55" w:line="224" w:lineRule="exact"/>
                          <w:ind w:left="108"/>
                          <w:jc w:val="left"/>
                          <w:rPr>
                            <w:sz w:val="20"/>
                          </w:rPr>
                        </w:pPr>
                        <w:r>
                          <w:rPr>
                            <w:sz w:val="20"/>
                          </w:rPr>
                          <w:t>Days</w:t>
                        </w:r>
                      </w:p>
                    </w:tc>
                    <w:tc>
                      <w:tcPr>
                        <w:tcW w:w="1456" w:type="dxa"/>
                      </w:tcPr>
                      <w:p w:rsidR="007C5447" w:rsidRDefault="00F6308C">
                        <w:pPr>
                          <w:pStyle w:val="TableParagraph"/>
                          <w:spacing w:before="55" w:line="224" w:lineRule="exact"/>
                          <w:ind w:left="108"/>
                          <w:jc w:val="left"/>
                          <w:rPr>
                            <w:sz w:val="20"/>
                          </w:rPr>
                        </w:pPr>
                        <w:r>
                          <w:rPr>
                            <w:sz w:val="20"/>
                          </w:rPr>
                          <w:t>Nos.</w:t>
                        </w:r>
                      </w:p>
                    </w:tc>
                    <w:tc>
                      <w:tcPr>
                        <w:tcW w:w="1677" w:type="dxa"/>
                      </w:tcPr>
                      <w:p w:rsidR="007C5447" w:rsidRDefault="00F6308C">
                        <w:pPr>
                          <w:pStyle w:val="TableParagraph"/>
                          <w:spacing w:before="55" w:line="224" w:lineRule="exact"/>
                          <w:ind w:right="91"/>
                          <w:rPr>
                            <w:sz w:val="20"/>
                          </w:rPr>
                        </w:pPr>
                        <w:r>
                          <w:rPr>
                            <w:sz w:val="20"/>
                          </w:rPr>
                          <w:t>366</w:t>
                        </w:r>
                      </w:p>
                    </w:tc>
                    <w:tc>
                      <w:tcPr>
                        <w:tcW w:w="1680" w:type="dxa"/>
                      </w:tcPr>
                      <w:p w:rsidR="007C5447" w:rsidRDefault="00F6308C">
                        <w:pPr>
                          <w:pStyle w:val="TableParagraph"/>
                          <w:spacing w:before="55" w:line="224" w:lineRule="exact"/>
                          <w:ind w:right="93"/>
                          <w:rPr>
                            <w:sz w:val="20"/>
                          </w:rPr>
                        </w:pPr>
                        <w:r>
                          <w:rPr>
                            <w:sz w:val="20"/>
                          </w:rPr>
                          <w:t>365</w:t>
                        </w:r>
                      </w:p>
                    </w:tc>
                    <w:tc>
                      <w:tcPr>
                        <w:tcW w:w="1677" w:type="dxa"/>
                      </w:tcPr>
                      <w:p w:rsidR="007C5447" w:rsidRDefault="00F6308C">
                        <w:pPr>
                          <w:pStyle w:val="TableParagraph"/>
                          <w:spacing w:before="55" w:line="224" w:lineRule="exact"/>
                          <w:ind w:right="90"/>
                          <w:rPr>
                            <w:sz w:val="20"/>
                          </w:rPr>
                        </w:pPr>
                        <w:r>
                          <w:rPr>
                            <w:sz w:val="20"/>
                          </w:rPr>
                          <w:t>365</w:t>
                        </w:r>
                      </w:p>
                    </w:tc>
                    <w:tc>
                      <w:tcPr>
                        <w:tcW w:w="1678" w:type="dxa"/>
                      </w:tcPr>
                      <w:p w:rsidR="007C5447" w:rsidRDefault="00F6308C">
                        <w:pPr>
                          <w:pStyle w:val="TableParagraph"/>
                          <w:spacing w:before="55" w:line="224" w:lineRule="exact"/>
                          <w:ind w:right="90"/>
                          <w:rPr>
                            <w:sz w:val="20"/>
                          </w:rPr>
                        </w:pPr>
                        <w:r>
                          <w:rPr>
                            <w:sz w:val="20"/>
                          </w:rPr>
                          <w:t>365</w:t>
                        </w:r>
                      </w:p>
                    </w:tc>
                    <w:tc>
                      <w:tcPr>
                        <w:tcW w:w="1675" w:type="dxa"/>
                      </w:tcPr>
                      <w:p w:rsidR="007C5447" w:rsidRDefault="00F6308C">
                        <w:pPr>
                          <w:pStyle w:val="TableParagraph"/>
                          <w:spacing w:before="55" w:line="224" w:lineRule="exact"/>
                          <w:ind w:right="90"/>
                          <w:rPr>
                            <w:sz w:val="20"/>
                          </w:rPr>
                        </w:pPr>
                        <w:r>
                          <w:rPr>
                            <w:sz w:val="20"/>
                          </w:rPr>
                          <w:t>366</w:t>
                        </w:r>
                      </w:p>
                    </w:tc>
                  </w:tr>
                  <w:tr w:rsidR="007C5447">
                    <w:trPr>
                      <w:trHeight w:val="299"/>
                    </w:trPr>
                    <w:tc>
                      <w:tcPr>
                        <w:tcW w:w="1061" w:type="dxa"/>
                      </w:tcPr>
                      <w:p w:rsidR="007C5447" w:rsidRDefault="00F6308C">
                        <w:pPr>
                          <w:pStyle w:val="TableParagraph"/>
                          <w:spacing w:before="36"/>
                          <w:ind w:left="9"/>
                          <w:jc w:val="center"/>
                          <w:rPr>
                            <w:sz w:val="20"/>
                          </w:rPr>
                        </w:pPr>
                        <w:r>
                          <w:rPr>
                            <w:w w:val="99"/>
                            <w:sz w:val="20"/>
                          </w:rPr>
                          <w:t>4</w:t>
                        </w:r>
                      </w:p>
                    </w:tc>
                    <w:tc>
                      <w:tcPr>
                        <w:tcW w:w="3269" w:type="dxa"/>
                      </w:tcPr>
                      <w:p w:rsidR="007C5447" w:rsidRDefault="00F6308C">
                        <w:pPr>
                          <w:pStyle w:val="TableParagraph"/>
                          <w:spacing w:before="55" w:line="224" w:lineRule="exact"/>
                          <w:ind w:left="108"/>
                          <w:jc w:val="left"/>
                          <w:rPr>
                            <w:sz w:val="20"/>
                          </w:rPr>
                        </w:pPr>
                        <w:r>
                          <w:rPr>
                            <w:sz w:val="20"/>
                          </w:rPr>
                          <w:t>PLF</w:t>
                        </w:r>
                      </w:p>
                    </w:tc>
                    <w:tc>
                      <w:tcPr>
                        <w:tcW w:w="1456" w:type="dxa"/>
                      </w:tcPr>
                      <w:p w:rsidR="007C5447" w:rsidRDefault="00F6308C">
                        <w:pPr>
                          <w:pStyle w:val="TableParagraph"/>
                          <w:spacing w:before="55" w:line="224" w:lineRule="exact"/>
                          <w:ind w:left="108"/>
                          <w:jc w:val="left"/>
                          <w:rPr>
                            <w:sz w:val="20"/>
                          </w:rPr>
                        </w:pPr>
                        <w:r>
                          <w:rPr>
                            <w:w w:val="99"/>
                            <w:sz w:val="20"/>
                          </w:rPr>
                          <w:t>%</w:t>
                        </w:r>
                      </w:p>
                    </w:tc>
                    <w:tc>
                      <w:tcPr>
                        <w:tcW w:w="1677" w:type="dxa"/>
                      </w:tcPr>
                      <w:p w:rsidR="007C5447" w:rsidRDefault="00F6308C">
                        <w:pPr>
                          <w:pStyle w:val="TableParagraph"/>
                          <w:spacing w:before="55" w:line="224" w:lineRule="exact"/>
                          <w:ind w:right="92"/>
                          <w:rPr>
                            <w:sz w:val="20"/>
                          </w:rPr>
                        </w:pPr>
                        <w:r>
                          <w:rPr>
                            <w:sz w:val="20"/>
                          </w:rPr>
                          <w:t>2.81%</w:t>
                        </w:r>
                      </w:p>
                    </w:tc>
                    <w:tc>
                      <w:tcPr>
                        <w:tcW w:w="1680" w:type="dxa"/>
                      </w:tcPr>
                      <w:p w:rsidR="007C5447" w:rsidRDefault="00F6308C">
                        <w:pPr>
                          <w:pStyle w:val="TableParagraph"/>
                          <w:spacing w:before="55" w:line="224" w:lineRule="exact"/>
                          <w:ind w:right="94"/>
                          <w:rPr>
                            <w:sz w:val="20"/>
                          </w:rPr>
                        </w:pPr>
                        <w:r>
                          <w:rPr>
                            <w:sz w:val="20"/>
                          </w:rPr>
                          <w:t>0.04%</w:t>
                        </w:r>
                      </w:p>
                    </w:tc>
                    <w:tc>
                      <w:tcPr>
                        <w:tcW w:w="1677" w:type="dxa"/>
                      </w:tcPr>
                      <w:p w:rsidR="007C5447" w:rsidRDefault="00F6308C">
                        <w:pPr>
                          <w:pStyle w:val="TableParagraph"/>
                          <w:spacing w:before="55" w:line="224" w:lineRule="exact"/>
                          <w:ind w:right="91"/>
                          <w:rPr>
                            <w:sz w:val="20"/>
                          </w:rPr>
                        </w:pPr>
                        <w:r>
                          <w:rPr>
                            <w:sz w:val="20"/>
                          </w:rPr>
                          <w:t>0.08%</w:t>
                        </w:r>
                      </w:p>
                    </w:tc>
                    <w:tc>
                      <w:tcPr>
                        <w:tcW w:w="1678" w:type="dxa"/>
                      </w:tcPr>
                      <w:p w:rsidR="007C5447" w:rsidRDefault="00F6308C">
                        <w:pPr>
                          <w:pStyle w:val="TableParagraph"/>
                          <w:spacing w:before="55" w:line="224" w:lineRule="exact"/>
                          <w:ind w:right="91"/>
                          <w:rPr>
                            <w:sz w:val="20"/>
                          </w:rPr>
                        </w:pPr>
                        <w:r>
                          <w:rPr>
                            <w:sz w:val="20"/>
                          </w:rPr>
                          <w:t>5.71%</w:t>
                        </w:r>
                      </w:p>
                    </w:tc>
                    <w:tc>
                      <w:tcPr>
                        <w:tcW w:w="1675" w:type="dxa"/>
                      </w:tcPr>
                      <w:p w:rsidR="007C5447" w:rsidRDefault="00F6308C">
                        <w:pPr>
                          <w:pStyle w:val="TableParagraph"/>
                          <w:spacing w:before="55" w:line="224" w:lineRule="exact"/>
                          <w:ind w:right="90"/>
                          <w:rPr>
                            <w:sz w:val="20"/>
                          </w:rPr>
                        </w:pPr>
                        <w:r>
                          <w:rPr>
                            <w:sz w:val="20"/>
                          </w:rPr>
                          <w:t>5.69%</w:t>
                        </w:r>
                      </w:p>
                    </w:tc>
                  </w:tr>
                  <w:tr w:rsidR="007C5447">
                    <w:trPr>
                      <w:trHeight w:val="299"/>
                    </w:trPr>
                    <w:tc>
                      <w:tcPr>
                        <w:tcW w:w="1061" w:type="dxa"/>
                      </w:tcPr>
                      <w:p w:rsidR="007C5447" w:rsidRDefault="00F6308C">
                        <w:pPr>
                          <w:pStyle w:val="TableParagraph"/>
                          <w:spacing w:before="36"/>
                          <w:ind w:left="9"/>
                          <w:jc w:val="center"/>
                          <w:rPr>
                            <w:sz w:val="20"/>
                          </w:rPr>
                        </w:pPr>
                        <w:r>
                          <w:rPr>
                            <w:w w:val="99"/>
                            <w:sz w:val="20"/>
                          </w:rPr>
                          <w:t>5</w:t>
                        </w:r>
                      </w:p>
                    </w:tc>
                    <w:tc>
                      <w:tcPr>
                        <w:tcW w:w="3269" w:type="dxa"/>
                      </w:tcPr>
                      <w:p w:rsidR="007C5447" w:rsidRDefault="00F6308C">
                        <w:pPr>
                          <w:pStyle w:val="TableParagraph"/>
                          <w:spacing w:before="55" w:line="224" w:lineRule="exact"/>
                          <w:ind w:left="108"/>
                          <w:jc w:val="left"/>
                          <w:rPr>
                            <w:sz w:val="20"/>
                          </w:rPr>
                        </w:pPr>
                        <w:r>
                          <w:rPr>
                            <w:sz w:val="20"/>
                          </w:rPr>
                          <w:t>Gross Generation</w:t>
                        </w:r>
                      </w:p>
                    </w:tc>
                    <w:tc>
                      <w:tcPr>
                        <w:tcW w:w="1456" w:type="dxa"/>
                      </w:tcPr>
                      <w:p w:rsidR="007C5447" w:rsidRDefault="00F6308C">
                        <w:pPr>
                          <w:pStyle w:val="TableParagraph"/>
                          <w:spacing w:before="55" w:line="224" w:lineRule="exact"/>
                          <w:ind w:left="108"/>
                          <w:jc w:val="left"/>
                          <w:rPr>
                            <w:sz w:val="20"/>
                          </w:rPr>
                        </w:pPr>
                        <w:r>
                          <w:rPr>
                            <w:sz w:val="20"/>
                          </w:rPr>
                          <w:t>MU</w:t>
                        </w:r>
                      </w:p>
                    </w:tc>
                    <w:tc>
                      <w:tcPr>
                        <w:tcW w:w="1677" w:type="dxa"/>
                      </w:tcPr>
                      <w:p w:rsidR="007C5447" w:rsidRDefault="00F6308C">
                        <w:pPr>
                          <w:pStyle w:val="TableParagraph"/>
                          <w:spacing w:before="55" w:line="224" w:lineRule="exact"/>
                          <w:ind w:right="96"/>
                          <w:rPr>
                            <w:sz w:val="20"/>
                          </w:rPr>
                        </w:pPr>
                        <w:r>
                          <w:rPr>
                            <w:w w:val="95"/>
                            <w:sz w:val="20"/>
                          </w:rPr>
                          <w:t>29.65</w:t>
                        </w:r>
                      </w:p>
                    </w:tc>
                    <w:tc>
                      <w:tcPr>
                        <w:tcW w:w="1680" w:type="dxa"/>
                      </w:tcPr>
                      <w:p w:rsidR="007C5447" w:rsidRDefault="00F6308C">
                        <w:pPr>
                          <w:pStyle w:val="TableParagraph"/>
                          <w:spacing w:before="55" w:line="224" w:lineRule="exact"/>
                          <w:ind w:right="98"/>
                          <w:rPr>
                            <w:sz w:val="20"/>
                          </w:rPr>
                        </w:pPr>
                        <w:r>
                          <w:rPr>
                            <w:sz w:val="20"/>
                          </w:rPr>
                          <w:t>0.42</w:t>
                        </w:r>
                      </w:p>
                    </w:tc>
                    <w:tc>
                      <w:tcPr>
                        <w:tcW w:w="1677" w:type="dxa"/>
                      </w:tcPr>
                      <w:p w:rsidR="007C5447" w:rsidRDefault="00F6308C">
                        <w:pPr>
                          <w:pStyle w:val="TableParagraph"/>
                          <w:spacing w:before="55" w:line="224" w:lineRule="exact"/>
                          <w:ind w:right="95"/>
                          <w:rPr>
                            <w:sz w:val="20"/>
                          </w:rPr>
                        </w:pPr>
                        <w:r>
                          <w:rPr>
                            <w:sz w:val="20"/>
                          </w:rPr>
                          <w:t>0.87</w:t>
                        </w:r>
                      </w:p>
                    </w:tc>
                    <w:tc>
                      <w:tcPr>
                        <w:tcW w:w="1678" w:type="dxa"/>
                      </w:tcPr>
                      <w:p w:rsidR="007C5447" w:rsidRDefault="00F6308C">
                        <w:pPr>
                          <w:pStyle w:val="TableParagraph"/>
                          <w:spacing w:before="55" w:line="224" w:lineRule="exact"/>
                          <w:ind w:right="94"/>
                          <w:rPr>
                            <w:sz w:val="20"/>
                          </w:rPr>
                        </w:pPr>
                        <w:r>
                          <w:rPr>
                            <w:w w:val="95"/>
                            <w:sz w:val="20"/>
                          </w:rPr>
                          <w:t>60.02</w:t>
                        </w:r>
                      </w:p>
                    </w:tc>
                    <w:tc>
                      <w:tcPr>
                        <w:tcW w:w="1675" w:type="dxa"/>
                      </w:tcPr>
                      <w:p w:rsidR="007C5447" w:rsidRDefault="00F6308C">
                        <w:pPr>
                          <w:pStyle w:val="TableParagraph"/>
                          <w:spacing w:before="55" w:line="224" w:lineRule="exact"/>
                          <w:ind w:right="94"/>
                          <w:rPr>
                            <w:sz w:val="20"/>
                          </w:rPr>
                        </w:pPr>
                        <w:r>
                          <w:rPr>
                            <w:w w:val="95"/>
                            <w:sz w:val="20"/>
                          </w:rPr>
                          <w:t>59.98</w:t>
                        </w:r>
                      </w:p>
                    </w:tc>
                  </w:tr>
                  <w:tr w:rsidR="007C5447">
                    <w:trPr>
                      <w:trHeight w:val="302"/>
                    </w:trPr>
                    <w:tc>
                      <w:tcPr>
                        <w:tcW w:w="1061" w:type="dxa"/>
                      </w:tcPr>
                      <w:p w:rsidR="007C5447" w:rsidRDefault="00F6308C">
                        <w:pPr>
                          <w:pStyle w:val="TableParagraph"/>
                          <w:spacing w:before="36"/>
                          <w:ind w:left="9"/>
                          <w:jc w:val="center"/>
                          <w:rPr>
                            <w:sz w:val="20"/>
                          </w:rPr>
                        </w:pPr>
                        <w:r>
                          <w:rPr>
                            <w:w w:val="99"/>
                            <w:sz w:val="20"/>
                          </w:rPr>
                          <w:t>6</w:t>
                        </w:r>
                      </w:p>
                    </w:tc>
                    <w:tc>
                      <w:tcPr>
                        <w:tcW w:w="3269" w:type="dxa"/>
                      </w:tcPr>
                      <w:p w:rsidR="007C5447" w:rsidRDefault="00F6308C">
                        <w:pPr>
                          <w:pStyle w:val="TableParagraph"/>
                          <w:spacing w:before="55" w:line="227" w:lineRule="exact"/>
                          <w:ind w:left="108"/>
                          <w:jc w:val="left"/>
                          <w:rPr>
                            <w:sz w:val="20"/>
                          </w:rPr>
                        </w:pPr>
                        <w:r>
                          <w:rPr>
                            <w:sz w:val="20"/>
                          </w:rPr>
                          <w:t>Auxiliary consumption</w:t>
                        </w:r>
                      </w:p>
                    </w:tc>
                    <w:tc>
                      <w:tcPr>
                        <w:tcW w:w="1456" w:type="dxa"/>
                      </w:tcPr>
                      <w:p w:rsidR="007C5447" w:rsidRDefault="00F6308C">
                        <w:pPr>
                          <w:pStyle w:val="TableParagraph"/>
                          <w:spacing w:before="55" w:line="227" w:lineRule="exact"/>
                          <w:ind w:left="108"/>
                          <w:jc w:val="left"/>
                          <w:rPr>
                            <w:sz w:val="20"/>
                          </w:rPr>
                        </w:pPr>
                        <w:r>
                          <w:rPr>
                            <w:w w:val="99"/>
                            <w:sz w:val="20"/>
                          </w:rPr>
                          <w:t>%</w:t>
                        </w:r>
                      </w:p>
                    </w:tc>
                    <w:tc>
                      <w:tcPr>
                        <w:tcW w:w="1677" w:type="dxa"/>
                      </w:tcPr>
                      <w:p w:rsidR="007C5447" w:rsidRDefault="00F6308C">
                        <w:pPr>
                          <w:pStyle w:val="TableParagraph"/>
                          <w:spacing w:before="55" w:line="227" w:lineRule="exact"/>
                          <w:ind w:right="92"/>
                          <w:rPr>
                            <w:sz w:val="20"/>
                          </w:rPr>
                        </w:pPr>
                        <w:r>
                          <w:rPr>
                            <w:sz w:val="20"/>
                          </w:rPr>
                          <w:t>0.30%</w:t>
                        </w:r>
                      </w:p>
                    </w:tc>
                    <w:tc>
                      <w:tcPr>
                        <w:tcW w:w="1680" w:type="dxa"/>
                      </w:tcPr>
                      <w:p w:rsidR="007C5447" w:rsidRDefault="00F6308C">
                        <w:pPr>
                          <w:pStyle w:val="TableParagraph"/>
                          <w:spacing w:before="55" w:line="227" w:lineRule="exact"/>
                          <w:ind w:right="94"/>
                          <w:rPr>
                            <w:sz w:val="20"/>
                          </w:rPr>
                        </w:pPr>
                        <w:r>
                          <w:rPr>
                            <w:sz w:val="20"/>
                          </w:rPr>
                          <w:t>0.51%</w:t>
                        </w:r>
                      </w:p>
                    </w:tc>
                    <w:tc>
                      <w:tcPr>
                        <w:tcW w:w="1677" w:type="dxa"/>
                      </w:tcPr>
                      <w:p w:rsidR="007C5447" w:rsidRDefault="00F6308C">
                        <w:pPr>
                          <w:pStyle w:val="TableParagraph"/>
                          <w:spacing w:before="55" w:line="227" w:lineRule="exact"/>
                          <w:ind w:right="91"/>
                          <w:rPr>
                            <w:sz w:val="20"/>
                          </w:rPr>
                        </w:pPr>
                        <w:r>
                          <w:rPr>
                            <w:sz w:val="20"/>
                          </w:rPr>
                          <w:t>0.99%</w:t>
                        </w:r>
                      </w:p>
                    </w:tc>
                    <w:tc>
                      <w:tcPr>
                        <w:tcW w:w="1678" w:type="dxa"/>
                      </w:tcPr>
                      <w:p w:rsidR="007C5447" w:rsidRDefault="00F6308C">
                        <w:pPr>
                          <w:pStyle w:val="TableParagraph"/>
                          <w:spacing w:before="55" w:line="227" w:lineRule="exact"/>
                          <w:ind w:right="91"/>
                          <w:rPr>
                            <w:sz w:val="20"/>
                          </w:rPr>
                        </w:pPr>
                        <w:r>
                          <w:rPr>
                            <w:sz w:val="20"/>
                          </w:rPr>
                          <w:t>0.99%</w:t>
                        </w:r>
                      </w:p>
                    </w:tc>
                    <w:tc>
                      <w:tcPr>
                        <w:tcW w:w="1675" w:type="dxa"/>
                      </w:tcPr>
                      <w:p w:rsidR="007C5447" w:rsidRDefault="00F6308C">
                        <w:pPr>
                          <w:pStyle w:val="TableParagraph"/>
                          <w:spacing w:before="55" w:line="227" w:lineRule="exact"/>
                          <w:ind w:right="90"/>
                          <w:rPr>
                            <w:sz w:val="20"/>
                          </w:rPr>
                        </w:pPr>
                        <w:r>
                          <w:rPr>
                            <w:sz w:val="20"/>
                          </w:rPr>
                          <w:t>0.99%</w:t>
                        </w:r>
                      </w:p>
                    </w:tc>
                  </w:tr>
                  <w:tr w:rsidR="007C5447">
                    <w:trPr>
                      <w:trHeight w:val="300"/>
                    </w:trPr>
                    <w:tc>
                      <w:tcPr>
                        <w:tcW w:w="1061" w:type="dxa"/>
                      </w:tcPr>
                      <w:p w:rsidR="007C5447" w:rsidRDefault="00F6308C">
                        <w:pPr>
                          <w:pStyle w:val="TableParagraph"/>
                          <w:spacing w:before="34"/>
                          <w:ind w:left="9"/>
                          <w:jc w:val="center"/>
                          <w:rPr>
                            <w:sz w:val="20"/>
                          </w:rPr>
                        </w:pPr>
                        <w:r>
                          <w:rPr>
                            <w:w w:val="99"/>
                            <w:sz w:val="20"/>
                          </w:rPr>
                          <w:t>7</w:t>
                        </w:r>
                      </w:p>
                    </w:tc>
                    <w:tc>
                      <w:tcPr>
                        <w:tcW w:w="3269" w:type="dxa"/>
                      </w:tcPr>
                      <w:p w:rsidR="007C5447" w:rsidRDefault="00F6308C">
                        <w:pPr>
                          <w:pStyle w:val="TableParagraph"/>
                          <w:spacing w:before="56" w:line="224" w:lineRule="exact"/>
                          <w:ind w:left="108"/>
                          <w:jc w:val="left"/>
                          <w:rPr>
                            <w:sz w:val="20"/>
                          </w:rPr>
                        </w:pPr>
                        <w:r>
                          <w:rPr>
                            <w:sz w:val="20"/>
                          </w:rPr>
                          <w:t>Net Generation MU</w:t>
                        </w:r>
                      </w:p>
                    </w:tc>
                    <w:tc>
                      <w:tcPr>
                        <w:tcW w:w="1456" w:type="dxa"/>
                      </w:tcPr>
                      <w:p w:rsidR="007C5447" w:rsidRDefault="00F6308C">
                        <w:pPr>
                          <w:pStyle w:val="TableParagraph"/>
                          <w:spacing w:before="56" w:line="224" w:lineRule="exact"/>
                          <w:ind w:left="108"/>
                          <w:jc w:val="left"/>
                          <w:rPr>
                            <w:sz w:val="20"/>
                          </w:rPr>
                        </w:pPr>
                        <w:r>
                          <w:rPr>
                            <w:sz w:val="20"/>
                          </w:rPr>
                          <w:t>MU</w:t>
                        </w:r>
                      </w:p>
                    </w:tc>
                    <w:tc>
                      <w:tcPr>
                        <w:tcW w:w="1677" w:type="dxa"/>
                      </w:tcPr>
                      <w:p w:rsidR="007C5447" w:rsidRDefault="00F6308C">
                        <w:pPr>
                          <w:pStyle w:val="TableParagraph"/>
                          <w:spacing w:before="56" w:line="224" w:lineRule="exact"/>
                          <w:ind w:right="93"/>
                          <w:rPr>
                            <w:sz w:val="20"/>
                          </w:rPr>
                        </w:pPr>
                        <w:r>
                          <w:rPr>
                            <w:sz w:val="20"/>
                          </w:rPr>
                          <w:t>29.56</w:t>
                        </w:r>
                      </w:p>
                    </w:tc>
                    <w:tc>
                      <w:tcPr>
                        <w:tcW w:w="1680" w:type="dxa"/>
                      </w:tcPr>
                      <w:p w:rsidR="007C5447" w:rsidRDefault="00F6308C">
                        <w:pPr>
                          <w:pStyle w:val="TableParagraph"/>
                          <w:spacing w:before="56" w:line="224" w:lineRule="exact"/>
                          <w:ind w:right="95"/>
                          <w:rPr>
                            <w:sz w:val="20"/>
                          </w:rPr>
                        </w:pPr>
                        <w:r>
                          <w:rPr>
                            <w:sz w:val="20"/>
                          </w:rPr>
                          <w:t>0.41</w:t>
                        </w:r>
                      </w:p>
                    </w:tc>
                    <w:tc>
                      <w:tcPr>
                        <w:tcW w:w="1677" w:type="dxa"/>
                      </w:tcPr>
                      <w:p w:rsidR="007C5447" w:rsidRDefault="00F6308C">
                        <w:pPr>
                          <w:pStyle w:val="TableParagraph"/>
                          <w:spacing w:before="56" w:line="224" w:lineRule="exact"/>
                          <w:ind w:right="92"/>
                          <w:rPr>
                            <w:sz w:val="20"/>
                          </w:rPr>
                        </w:pPr>
                        <w:r>
                          <w:rPr>
                            <w:sz w:val="20"/>
                          </w:rPr>
                          <w:t>0.86</w:t>
                        </w:r>
                      </w:p>
                    </w:tc>
                    <w:tc>
                      <w:tcPr>
                        <w:tcW w:w="1678" w:type="dxa"/>
                      </w:tcPr>
                      <w:p w:rsidR="007C5447" w:rsidRDefault="00F6308C">
                        <w:pPr>
                          <w:pStyle w:val="TableParagraph"/>
                          <w:spacing w:before="56" w:line="224" w:lineRule="exact"/>
                          <w:ind w:right="92"/>
                          <w:rPr>
                            <w:sz w:val="20"/>
                          </w:rPr>
                        </w:pPr>
                        <w:r>
                          <w:rPr>
                            <w:sz w:val="20"/>
                          </w:rPr>
                          <w:t>59.43</w:t>
                        </w:r>
                      </w:p>
                    </w:tc>
                    <w:tc>
                      <w:tcPr>
                        <w:tcW w:w="1675" w:type="dxa"/>
                      </w:tcPr>
                      <w:p w:rsidR="007C5447" w:rsidRDefault="00F6308C">
                        <w:pPr>
                          <w:pStyle w:val="TableParagraph"/>
                          <w:spacing w:before="56" w:line="224" w:lineRule="exact"/>
                          <w:ind w:right="92"/>
                          <w:rPr>
                            <w:sz w:val="20"/>
                          </w:rPr>
                        </w:pPr>
                        <w:r>
                          <w:rPr>
                            <w:sz w:val="20"/>
                          </w:rPr>
                          <w:t>59.38</w:t>
                        </w:r>
                      </w:p>
                    </w:tc>
                  </w:tr>
                  <w:tr w:rsidR="007C5447">
                    <w:trPr>
                      <w:trHeight w:val="328"/>
                    </w:trPr>
                    <w:tc>
                      <w:tcPr>
                        <w:tcW w:w="1061" w:type="dxa"/>
                        <w:shd w:val="clear" w:color="auto" w:fill="ECECEC"/>
                      </w:tcPr>
                      <w:p w:rsidR="007C5447" w:rsidRDefault="007C5447">
                        <w:pPr>
                          <w:pStyle w:val="TableParagraph"/>
                          <w:jc w:val="left"/>
                          <w:rPr>
                            <w:sz w:val="20"/>
                          </w:rPr>
                        </w:pPr>
                      </w:p>
                    </w:tc>
                    <w:tc>
                      <w:tcPr>
                        <w:tcW w:w="3269" w:type="dxa"/>
                        <w:shd w:val="clear" w:color="auto" w:fill="ECECEC"/>
                      </w:tcPr>
                      <w:p w:rsidR="007C5447" w:rsidRDefault="00F6308C">
                        <w:pPr>
                          <w:pStyle w:val="TableParagraph"/>
                          <w:spacing w:before="84" w:line="224" w:lineRule="exact"/>
                          <w:ind w:left="108"/>
                          <w:jc w:val="left"/>
                          <w:rPr>
                            <w:b/>
                            <w:sz w:val="20"/>
                          </w:rPr>
                        </w:pPr>
                        <w:r>
                          <w:rPr>
                            <w:b/>
                            <w:sz w:val="20"/>
                          </w:rPr>
                          <w:t>Variable Cost - Parameters</w:t>
                        </w:r>
                      </w:p>
                    </w:tc>
                    <w:tc>
                      <w:tcPr>
                        <w:tcW w:w="1456" w:type="dxa"/>
                        <w:shd w:val="clear" w:color="auto" w:fill="ECECEC"/>
                      </w:tcPr>
                      <w:p w:rsidR="007C5447" w:rsidRDefault="007C5447">
                        <w:pPr>
                          <w:pStyle w:val="TableParagraph"/>
                          <w:jc w:val="left"/>
                          <w:rPr>
                            <w:sz w:val="20"/>
                          </w:rPr>
                        </w:pPr>
                      </w:p>
                    </w:tc>
                    <w:tc>
                      <w:tcPr>
                        <w:tcW w:w="1677" w:type="dxa"/>
                        <w:shd w:val="clear" w:color="auto" w:fill="ECECEC"/>
                      </w:tcPr>
                      <w:p w:rsidR="007C5447" w:rsidRDefault="007C5447">
                        <w:pPr>
                          <w:pStyle w:val="TableParagraph"/>
                          <w:jc w:val="left"/>
                          <w:rPr>
                            <w:sz w:val="20"/>
                          </w:rPr>
                        </w:pPr>
                      </w:p>
                    </w:tc>
                    <w:tc>
                      <w:tcPr>
                        <w:tcW w:w="1680" w:type="dxa"/>
                        <w:shd w:val="clear" w:color="auto" w:fill="ECECEC"/>
                      </w:tcPr>
                      <w:p w:rsidR="007C5447" w:rsidRDefault="007C5447">
                        <w:pPr>
                          <w:pStyle w:val="TableParagraph"/>
                          <w:jc w:val="left"/>
                          <w:rPr>
                            <w:sz w:val="20"/>
                          </w:rPr>
                        </w:pPr>
                      </w:p>
                    </w:tc>
                    <w:tc>
                      <w:tcPr>
                        <w:tcW w:w="1677" w:type="dxa"/>
                        <w:shd w:val="clear" w:color="auto" w:fill="ECECEC"/>
                      </w:tcPr>
                      <w:p w:rsidR="007C5447" w:rsidRDefault="007C5447">
                        <w:pPr>
                          <w:pStyle w:val="TableParagraph"/>
                          <w:jc w:val="left"/>
                          <w:rPr>
                            <w:sz w:val="20"/>
                          </w:rPr>
                        </w:pPr>
                      </w:p>
                    </w:tc>
                    <w:tc>
                      <w:tcPr>
                        <w:tcW w:w="1678" w:type="dxa"/>
                        <w:shd w:val="clear" w:color="auto" w:fill="ECECEC"/>
                      </w:tcPr>
                      <w:p w:rsidR="007C5447" w:rsidRDefault="007C5447">
                        <w:pPr>
                          <w:pStyle w:val="TableParagraph"/>
                          <w:jc w:val="left"/>
                          <w:rPr>
                            <w:sz w:val="20"/>
                          </w:rPr>
                        </w:pPr>
                      </w:p>
                    </w:tc>
                    <w:tc>
                      <w:tcPr>
                        <w:tcW w:w="1675" w:type="dxa"/>
                        <w:shd w:val="clear" w:color="auto" w:fill="ECECEC"/>
                      </w:tcPr>
                      <w:p w:rsidR="007C5447" w:rsidRDefault="007C5447">
                        <w:pPr>
                          <w:pStyle w:val="TableParagraph"/>
                          <w:jc w:val="left"/>
                          <w:rPr>
                            <w:sz w:val="20"/>
                          </w:rPr>
                        </w:pPr>
                      </w:p>
                    </w:tc>
                  </w:tr>
                  <w:tr w:rsidR="007C5447">
                    <w:trPr>
                      <w:trHeight w:val="301"/>
                    </w:trPr>
                    <w:tc>
                      <w:tcPr>
                        <w:tcW w:w="1061" w:type="dxa"/>
                      </w:tcPr>
                      <w:p w:rsidR="007C5447" w:rsidRDefault="00F6308C">
                        <w:pPr>
                          <w:pStyle w:val="TableParagraph"/>
                          <w:spacing w:before="36"/>
                          <w:ind w:left="9"/>
                          <w:jc w:val="center"/>
                          <w:rPr>
                            <w:sz w:val="20"/>
                          </w:rPr>
                        </w:pPr>
                        <w:r>
                          <w:rPr>
                            <w:w w:val="99"/>
                            <w:sz w:val="20"/>
                          </w:rPr>
                          <w:t>8</w:t>
                        </w:r>
                      </w:p>
                    </w:tc>
                    <w:tc>
                      <w:tcPr>
                        <w:tcW w:w="3269" w:type="dxa"/>
                      </w:tcPr>
                      <w:p w:rsidR="007C5447" w:rsidRDefault="00F6308C">
                        <w:pPr>
                          <w:pStyle w:val="TableParagraph"/>
                          <w:spacing w:before="55" w:line="227" w:lineRule="exact"/>
                          <w:ind w:left="108"/>
                          <w:jc w:val="left"/>
                          <w:rPr>
                            <w:sz w:val="20"/>
                          </w:rPr>
                        </w:pPr>
                        <w:r>
                          <w:rPr>
                            <w:sz w:val="20"/>
                          </w:rPr>
                          <w:t>Station Heat rate</w:t>
                        </w:r>
                      </w:p>
                    </w:tc>
                    <w:tc>
                      <w:tcPr>
                        <w:tcW w:w="1456" w:type="dxa"/>
                      </w:tcPr>
                      <w:p w:rsidR="007C5447" w:rsidRDefault="00F6308C">
                        <w:pPr>
                          <w:pStyle w:val="TableParagraph"/>
                          <w:spacing w:before="55" w:line="227" w:lineRule="exact"/>
                          <w:ind w:left="108"/>
                          <w:jc w:val="left"/>
                          <w:rPr>
                            <w:sz w:val="20"/>
                          </w:rPr>
                        </w:pPr>
                        <w:r>
                          <w:rPr>
                            <w:sz w:val="20"/>
                          </w:rPr>
                          <w:t>kCal/kWh</w:t>
                        </w:r>
                      </w:p>
                    </w:tc>
                    <w:tc>
                      <w:tcPr>
                        <w:tcW w:w="1677" w:type="dxa"/>
                      </w:tcPr>
                      <w:p w:rsidR="007C5447" w:rsidRDefault="00F6308C">
                        <w:pPr>
                          <w:pStyle w:val="TableParagraph"/>
                          <w:spacing w:before="55" w:line="227" w:lineRule="exact"/>
                          <w:ind w:right="94"/>
                          <w:rPr>
                            <w:sz w:val="20"/>
                          </w:rPr>
                        </w:pPr>
                        <w:r>
                          <w:rPr>
                            <w:w w:val="95"/>
                            <w:sz w:val="20"/>
                          </w:rPr>
                          <w:t>3,219.00</w:t>
                        </w:r>
                      </w:p>
                    </w:tc>
                    <w:tc>
                      <w:tcPr>
                        <w:tcW w:w="1680" w:type="dxa"/>
                      </w:tcPr>
                      <w:p w:rsidR="007C5447" w:rsidRDefault="00F6308C">
                        <w:pPr>
                          <w:pStyle w:val="TableParagraph"/>
                          <w:spacing w:before="55" w:line="227" w:lineRule="exact"/>
                          <w:ind w:right="96"/>
                          <w:rPr>
                            <w:sz w:val="20"/>
                          </w:rPr>
                        </w:pPr>
                        <w:r>
                          <w:rPr>
                            <w:w w:val="95"/>
                            <w:sz w:val="20"/>
                          </w:rPr>
                          <w:t>3,219.00</w:t>
                        </w:r>
                      </w:p>
                    </w:tc>
                    <w:tc>
                      <w:tcPr>
                        <w:tcW w:w="1677" w:type="dxa"/>
                      </w:tcPr>
                      <w:p w:rsidR="007C5447" w:rsidRDefault="00F6308C">
                        <w:pPr>
                          <w:pStyle w:val="TableParagraph"/>
                          <w:spacing w:before="55" w:line="227" w:lineRule="exact"/>
                          <w:ind w:right="93"/>
                          <w:rPr>
                            <w:sz w:val="20"/>
                          </w:rPr>
                        </w:pPr>
                        <w:r>
                          <w:rPr>
                            <w:w w:val="95"/>
                            <w:sz w:val="20"/>
                          </w:rPr>
                          <w:t>3,219.00</w:t>
                        </w:r>
                      </w:p>
                    </w:tc>
                    <w:tc>
                      <w:tcPr>
                        <w:tcW w:w="1678" w:type="dxa"/>
                      </w:tcPr>
                      <w:p w:rsidR="007C5447" w:rsidRDefault="00F6308C">
                        <w:pPr>
                          <w:pStyle w:val="TableParagraph"/>
                          <w:spacing w:before="55" w:line="227" w:lineRule="exact"/>
                          <w:ind w:right="93"/>
                          <w:rPr>
                            <w:sz w:val="20"/>
                          </w:rPr>
                        </w:pPr>
                        <w:r>
                          <w:rPr>
                            <w:w w:val="95"/>
                            <w:sz w:val="20"/>
                          </w:rPr>
                          <w:t>3,219.00</w:t>
                        </w:r>
                      </w:p>
                    </w:tc>
                    <w:tc>
                      <w:tcPr>
                        <w:tcW w:w="1675" w:type="dxa"/>
                      </w:tcPr>
                      <w:p w:rsidR="007C5447" w:rsidRDefault="00F6308C">
                        <w:pPr>
                          <w:pStyle w:val="TableParagraph"/>
                          <w:spacing w:before="55" w:line="227" w:lineRule="exact"/>
                          <w:ind w:right="92"/>
                          <w:rPr>
                            <w:sz w:val="20"/>
                          </w:rPr>
                        </w:pPr>
                        <w:r>
                          <w:rPr>
                            <w:w w:val="95"/>
                            <w:sz w:val="20"/>
                          </w:rPr>
                          <w:t>3,219.00</w:t>
                        </w:r>
                      </w:p>
                    </w:tc>
                  </w:tr>
                  <w:tr w:rsidR="007C5447">
                    <w:trPr>
                      <w:trHeight w:val="299"/>
                    </w:trPr>
                    <w:tc>
                      <w:tcPr>
                        <w:tcW w:w="1061" w:type="dxa"/>
                      </w:tcPr>
                      <w:p w:rsidR="007C5447" w:rsidRDefault="00F6308C">
                        <w:pPr>
                          <w:pStyle w:val="TableParagraph"/>
                          <w:spacing w:before="34"/>
                          <w:ind w:left="9"/>
                          <w:jc w:val="center"/>
                          <w:rPr>
                            <w:sz w:val="20"/>
                          </w:rPr>
                        </w:pPr>
                        <w:r>
                          <w:rPr>
                            <w:w w:val="99"/>
                            <w:sz w:val="20"/>
                          </w:rPr>
                          <w:t>9</w:t>
                        </w:r>
                      </w:p>
                    </w:tc>
                    <w:tc>
                      <w:tcPr>
                        <w:tcW w:w="3269" w:type="dxa"/>
                      </w:tcPr>
                      <w:p w:rsidR="007C5447" w:rsidRDefault="00F6308C">
                        <w:pPr>
                          <w:pStyle w:val="TableParagraph"/>
                          <w:spacing w:before="55" w:line="224" w:lineRule="exact"/>
                          <w:ind w:left="108"/>
                          <w:jc w:val="left"/>
                          <w:rPr>
                            <w:sz w:val="20"/>
                          </w:rPr>
                        </w:pPr>
                        <w:r>
                          <w:rPr>
                            <w:sz w:val="20"/>
                          </w:rPr>
                          <w:t>GCV of Primary Fuel</w:t>
                        </w:r>
                      </w:p>
                    </w:tc>
                    <w:tc>
                      <w:tcPr>
                        <w:tcW w:w="1456" w:type="dxa"/>
                      </w:tcPr>
                      <w:p w:rsidR="007C5447" w:rsidRDefault="00F6308C">
                        <w:pPr>
                          <w:pStyle w:val="TableParagraph"/>
                          <w:spacing w:before="55" w:line="224" w:lineRule="exact"/>
                          <w:ind w:left="108"/>
                          <w:jc w:val="left"/>
                          <w:rPr>
                            <w:sz w:val="20"/>
                          </w:rPr>
                        </w:pPr>
                        <w:r>
                          <w:rPr>
                            <w:sz w:val="20"/>
                          </w:rPr>
                          <w:t>Kcal/SCM</w:t>
                        </w:r>
                      </w:p>
                    </w:tc>
                    <w:tc>
                      <w:tcPr>
                        <w:tcW w:w="1677" w:type="dxa"/>
                      </w:tcPr>
                      <w:p w:rsidR="007C5447" w:rsidRDefault="00F6308C">
                        <w:pPr>
                          <w:pStyle w:val="TableParagraph"/>
                          <w:spacing w:before="55" w:line="224" w:lineRule="exact"/>
                          <w:ind w:right="96"/>
                          <w:rPr>
                            <w:sz w:val="20"/>
                          </w:rPr>
                        </w:pPr>
                        <w:r>
                          <w:rPr>
                            <w:w w:val="95"/>
                            <w:sz w:val="20"/>
                          </w:rPr>
                          <w:t>11340</w:t>
                        </w:r>
                      </w:p>
                    </w:tc>
                    <w:tc>
                      <w:tcPr>
                        <w:tcW w:w="1680" w:type="dxa"/>
                      </w:tcPr>
                      <w:p w:rsidR="007C5447" w:rsidRDefault="00F6308C">
                        <w:pPr>
                          <w:pStyle w:val="TableParagraph"/>
                          <w:spacing w:before="55" w:line="224" w:lineRule="exact"/>
                          <w:ind w:right="98"/>
                          <w:rPr>
                            <w:sz w:val="20"/>
                          </w:rPr>
                        </w:pPr>
                        <w:r>
                          <w:rPr>
                            <w:w w:val="95"/>
                            <w:sz w:val="20"/>
                          </w:rPr>
                          <w:t>11340</w:t>
                        </w:r>
                      </w:p>
                    </w:tc>
                    <w:tc>
                      <w:tcPr>
                        <w:tcW w:w="1677" w:type="dxa"/>
                      </w:tcPr>
                      <w:p w:rsidR="007C5447" w:rsidRDefault="00F6308C">
                        <w:pPr>
                          <w:pStyle w:val="TableParagraph"/>
                          <w:spacing w:before="55" w:line="224" w:lineRule="exact"/>
                          <w:ind w:right="95"/>
                          <w:rPr>
                            <w:sz w:val="20"/>
                          </w:rPr>
                        </w:pPr>
                        <w:r>
                          <w:rPr>
                            <w:w w:val="95"/>
                            <w:sz w:val="20"/>
                          </w:rPr>
                          <w:t>11349</w:t>
                        </w:r>
                      </w:p>
                    </w:tc>
                    <w:tc>
                      <w:tcPr>
                        <w:tcW w:w="1678" w:type="dxa"/>
                      </w:tcPr>
                      <w:p w:rsidR="007C5447" w:rsidRDefault="00F6308C">
                        <w:pPr>
                          <w:pStyle w:val="TableParagraph"/>
                          <w:spacing w:before="55" w:line="224" w:lineRule="exact"/>
                          <w:ind w:right="95"/>
                          <w:rPr>
                            <w:sz w:val="20"/>
                          </w:rPr>
                        </w:pPr>
                        <w:r>
                          <w:rPr>
                            <w:w w:val="95"/>
                            <w:sz w:val="20"/>
                          </w:rPr>
                          <w:t>10,572.00</w:t>
                        </w:r>
                      </w:p>
                    </w:tc>
                    <w:tc>
                      <w:tcPr>
                        <w:tcW w:w="1675" w:type="dxa"/>
                      </w:tcPr>
                      <w:p w:rsidR="007C5447" w:rsidRDefault="00F6308C">
                        <w:pPr>
                          <w:pStyle w:val="TableParagraph"/>
                          <w:spacing w:before="55" w:line="224" w:lineRule="exact"/>
                          <w:ind w:right="94"/>
                          <w:rPr>
                            <w:sz w:val="20"/>
                          </w:rPr>
                        </w:pPr>
                        <w:r>
                          <w:rPr>
                            <w:w w:val="95"/>
                            <w:sz w:val="20"/>
                          </w:rPr>
                          <w:t>10572</w:t>
                        </w:r>
                      </w:p>
                    </w:tc>
                  </w:tr>
                  <w:tr w:rsidR="007C5447">
                    <w:trPr>
                      <w:trHeight w:val="299"/>
                    </w:trPr>
                    <w:tc>
                      <w:tcPr>
                        <w:tcW w:w="1061" w:type="dxa"/>
                      </w:tcPr>
                      <w:p w:rsidR="007C5447" w:rsidRDefault="00F6308C">
                        <w:pPr>
                          <w:pStyle w:val="TableParagraph"/>
                          <w:spacing w:before="34"/>
                          <w:ind w:left="212" w:right="203"/>
                          <w:jc w:val="center"/>
                          <w:rPr>
                            <w:sz w:val="20"/>
                          </w:rPr>
                        </w:pPr>
                        <w:r>
                          <w:rPr>
                            <w:sz w:val="20"/>
                          </w:rPr>
                          <w:t>10</w:t>
                        </w:r>
                      </w:p>
                    </w:tc>
                    <w:tc>
                      <w:tcPr>
                        <w:tcW w:w="3269" w:type="dxa"/>
                      </w:tcPr>
                      <w:p w:rsidR="007C5447" w:rsidRDefault="00F6308C">
                        <w:pPr>
                          <w:pStyle w:val="TableParagraph"/>
                          <w:spacing w:before="55" w:line="224" w:lineRule="exact"/>
                          <w:ind w:left="108"/>
                          <w:jc w:val="left"/>
                          <w:rPr>
                            <w:sz w:val="20"/>
                          </w:rPr>
                        </w:pPr>
                        <w:r>
                          <w:rPr>
                            <w:sz w:val="20"/>
                          </w:rPr>
                          <w:t>Price of Coal</w:t>
                        </w:r>
                      </w:p>
                    </w:tc>
                    <w:tc>
                      <w:tcPr>
                        <w:tcW w:w="1456" w:type="dxa"/>
                      </w:tcPr>
                      <w:p w:rsidR="007C5447" w:rsidRDefault="00F6308C">
                        <w:pPr>
                          <w:pStyle w:val="TableParagraph"/>
                          <w:spacing w:before="55" w:line="224" w:lineRule="exact"/>
                          <w:ind w:left="108"/>
                          <w:jc w:val="left"/>
                          <w:rPr>
                            <w:sz w:val="20"/>
                          </w:rPr>
                        </w:pPr>
                        <w:r>
                          <w:rPr>
                            <w:sz w:val="20"/>
                          </w:rPr>
                          <w:t>Rs/SCM</w:t>
                        </w:r>
                      </w:p>
                    </w:tc>
                    <w:tc>
                      <w:tcPr>
                        <w:tcW w:w="1677" w:type="dxa"/>
                      </w:tcPr>
                      <w:p w:rsidR="007C5447" w:rsidRDefault="00F6308C">
                        <w:pPr>
                          <w:pStyle w:val="TableParagraph"/>
                          <w:spacing w:before="55" w:line="224" w:lineRule="exact"/>
                          <w:ind w:right="96"/>
                          <w:rPr>
                            <w:sz w:val="20"/>
                          </w:rPr>
                        </w:pPr>
                        <w:r>
                          <w:rPr>
                            <w:w w:val="95"/>
                            <w:sz w:val="20"/>
                          </w:rPr>
                          <w:t>59.27</w:t>
                        </w:r>
                      </w:p>
                    </w:tc>
                    <w:tc>
                      <w:tcPr>
                        <w:tcW w:w="1680" w:type="dxa"/>
                      </w:tcPr>
                      <w:p w:rsidR="007C5447" w:rsidRDefault="00F6308C">
                        <w:pPr>
                          <w:pStyle w:val="TableParagraph"/>
                          <w:spacing w:before="55" w:line="224" w:lineRule="exact"/>
                          <w:ind w:right="98"/>
                          <w:rPr>
                            <w:sz w:val="20"/>
                          </w:rPr>
                        </w:pPr>
                        <w:r>
                          <w:rPr>
                            <w:w w:val="95"/>
                            <w:sz w:val="20"/>
                          </w:rPr>
                          <w:t>73.08</w:t>
                        </w:r>
                      </w:p>
                    </w:tc>
                    <w:tc>
                      <w:tcPr>
                        <w:tcW w:w="1677" w:type="dxa"/>
                      </w:tcPr>
                      <w:p w:rsidR="007C5447" w:rsidRDefault="00F6308C">
                        <w:pPr>
                          <w:pStyle w:val="TableParagraph"/>
                          <w:spacing w:before="55" w:line="224" w:lineRule="exact"/>
                          <w:ind w:right="95"/>
                          <w:rPr>
                            <w:sz w:val="20"/>
                          </w:rPr>
                        </w:pPr>
                        <w:r>
                          <w:rPr>
                            <w:w w:val="95"/>
                            <w:sz w:val="20"/>
                          </w:rPr>
                          <w:t>60.64</w:t>
                        </w:r>
                      </w:p>
                    </w:tc>
                    <w:tc>
                      <w:tcPr>
                        <w:tcW w:w="1678" w:type="dxa"/>
                      </w:tcPr>
                      <w:p w:rsidR="007C5447" w:rsidRDefault="00F6308C">
                        <w:pPr>
                          <w:pStyle w:val="TableParagraph"/>
                          <w:spacing w:before="55" w:line="224" w:lineRule="exact"/>
                          <w:ind w:right="94"/>
                          <w:rPr>
                            <w:sz w:val="20"/>
                          </w:rPr>
                        </w:pPr>
                        <w:r>
                          <w:rPr>
                            <w:w w:val="95"/>
                            <w:sz w:val="20"/>
                          </w:rPr>
                          <w:t>15.00</w:t>
                        </w:r>
                      </w:p>
                    </w:tc>
                    <w:tc>
                      <w:tcPr>
                        <w:tcW w:w="1675" w:type="dxa"/>
                      </w:tcPr>
                      <w:p w:rsidR="007C5447" w:rsidRDefault="00F6308C">
                        <w:pPr>
                          <w:pStyle w:val="TableParagraph"/>
                          <w:spacing w:before="55" w:line="224" w:lineRule="exact"/>
                          <w:ind w:right="94"/>
                          <w:rPr>
                            <w:sz w:val="20"/>
                          </w:rPr>
                        </w:pPr>
                        <w:r>
                          <w:rPr>
                            <w:w w:val="95"/>
                            <w:sz w:val="20"/>
                          </w:rPr>
                          <w:t>15.45</w:t>
                        </w:r>
                      </w:p>
                    </w:tc>
                  </w:tr>
                  <w:tr w:rsidR="007C5447">
                    <w:trPr>
                      <w:trHeight w:val="330"/>
                    </w:trPr>
                    <w:tc>
                      <w:tcPr>
                        <w:tcW w:w="1061" w:type="dxa"/>
                        <w:shd w:val="clear" w:color="auto" w:fill="ECECEC"/>
                      </w:tcPr>
                      <w:p w:rsidR="007C5447" w:rsidRDefault="007C5447">
                        <w:pPr>
                          <w:pStyle w:val="TableParagraph"/>
                          <w:jc w:val="left"/>
                          <w:rPr>
                            <w:sz w:val="20"/>
                          </w:rPr>
                        </w:pPr>
                      </w:p>
                    </w:tc>
                    <w:tc>
                      <w:tcPr>
                        <w:tcW w:w="3269" w:type="dxa"/>
                        <w:shd w:val="clear" w:color="auto" w:fill="ECECEC"/>
                      </w:tcPr>
                      <w:p w:rsidR="007C5447" w:rsidRDefault="00F6308C">
                        <w:pPr>
                          <w:pStyle w:val="TableParagraph"/>
                          <w:spacing w:before="84" w:line="227" w:lineRule="exact"/>
                          <w:ind w:left="108"/>
                          <w:jc w:val="left"/>
                          <w:rPr>
                            <w:b/>
                            <w:sz w:val="20"/>
                          </w:rPr>
                        </w:pPr>
                        <w:r>
                          <w:rPr>
                            <w:b/>
                            <w:sz w:val="20"/>
                          </w:rPr>
                          <w:t>Calculations</w:t>
                        </w:r>
                      </w:p>
                    </w:tc>
                    <w:tc>
                      <w:tcPr>
                        <w:tcW w:w="1456" w:type="dxa"/>
                        <w:shd w:val="clear" w:color="auto" w:fill="ECECEC"/>
                      </w:tcPr>
                      <w:p w:rsidR="007C5447" w:rsidRDefault="007C5447">
                        <w:pPr>
                          <w:pStyle w:val="TableParagraph"/>
                          <w:jc w:val="left"/>
                          <w:rPr>
                            <w:sz w:val="20"/>
                          </w:rPr>
                        </w:pPr>
                      </w:p>
                    </w:tc>
                    <w:tc>
                      <w:tcPr>
                        <w:tcW w:w="1677" w:type="dxa"/>
                        <w:shd w:val="clear" w:color="auto" w:fill="ECECEC"/>
                      </w:tcPr>
                      <w:p w:rsidR="007C5447" w:rsidRDefault="007C5447">
                        <w:pPr>
                          <w:pStyle w:val="TableParagraph"/>
                          <w:jc w:val="left"/>
                          <w:rPr>
                            <w:sz w:val="20"/>
                          </w:rPr>
                        </w:pPr>
                      </w:p>
                    </w:tc>
                    <w:tc>
                      <w:tcPr>
                        <w:tcW w:w="1680" w:type="dxa"/>
                        <w:shd w:val="clear" w:color="auto" w:fill="ECECEC"/>
                      </w:tcPr>
                      <w:p w:rsidR="007C5447" w:rsidRDefault="007C5447">
                        <w:pPr>
                          <w:pStyle w:val="TableParagraph"/>
                          <w:jc w:val="left"/>
                          <w:rPr>
                            <w:sz w:val="20"/>
                          </w:rPr>
                        </w:pPr>
                      </w:p>
                    </w:tc>
                    <w:tc>
                      <w:tcPr>
                        <w:tcW w:w="1677" w:type="dxa"/>
                        <w:shd w:val="clear" w:color="auto" w:fill="ECECEC"/>
                      </w:tcPr>
                      <w:p w:rsidR="007C5447" w:rsidRDefault="007C5447">
                        <w:pPr>
                          <w:pStyle w:val="TableParagraph"/>
                          <w:jc w:val="left"/>
                          <w:rPr>
                            <w:sz w:val="20"/>
                          </w:rPr>
                        </w:pPr>
                      </w:p>
                    </w:tc>
                    <w:tc>
                      <w:tcPr>
                        <w:tcW w:w="1678" w:type="dxa"/>
                        <w:shd w:val="clear" w:color="auto" w:fill="ECECEC"/>
                      </w:tcPr>
                      <w:p w:rsidR="007C5447" w:rsidRDefault="007C5447">
                        <w:pPr>
                          <w:pStyle w:val="TableParagraph"/>
                          <w:jc w:val="left"/>
                          <w:rPr>
                            <w:sz w:val="20"/>
                          </w:rPr>
                        </w:pPr>
                      </w:p>
                    </w:tc>
                    <w:tc>
                      <w:tcPr>
                        <w:tcW w:w="1675" w:type="dxa"/>
                        <w:shd w:val="clear" w:color="auto" w:fill="ECECEC"/>
                      </w:tcPr>
                      <w:p w:rsidR="007C5447" w:rsidRDefault="007C5447">
                        <w:pPr>
                          <w:pStyle w:val="TableParagraph"/>
                          <w:jc w:val="left"/>
                          <w:rPr>
                            <w:sz w:val="20"/>
                          </w:rPr>
                        </w:pPr>
                      </w:p>
                    </w:tc>
                  </w:tr>
                  <w:tr w:rsidR="007C5447">
                    <w:trPr>
                      <w:trHeight w:val="299"/>
                    </w:trPr>
                    <w:tc>
                      <w:tcPr>
                        <w:tcW w:w="1061" w:type="dxa"/>
                      </w:tcPr>
                      <w:p w:rsidR="007C5447" w:rsidRDefault="00F6308C">
                        <w:pPr>
                          <w:pStyle w:val="TableParagraph"/>
                          <w:spacing w:before="34"/>
                          <w:ind w:left="212" w:right="203"/>
                          <w:jc w:val="center"/>
                          <w:rPr>
                            <w:sz w:val="20"/>
                          </w:rPr>
                        </w:pPr>
                        <w:r>
                          <w:rPr>
                            <w:sz w:val="20"/>
                          </w:rPr>
                          <w:t>11</w:t>
                        </w:r>
                      </w:p>
                    </w:tc>
                    <w:tc>
                      <w:tcPr>
                        <w:tcW w:w="3269" w:type="dxa"/>
                      </w:tcPr>
                      <w:p w:rsidR="007C5447" w:rsidRDefault="00F6308C">
                        <w:pPr>
                          <w:pStyle w:val="TableParagraph"/>
                          <w:spacing w:before="55" w:line="224" w:lineRule="exact"/>
                          <w:ind w:left="108"/>
                          <w:jc w:val="left"/>
                          <w:rPr>
                            <w:sz w:val="20"/>
                          </w:rPr>
                        </w:pPr>
                        <w:r>
                          <w:rPr>
                            <w:sz w:val="20"/>
                          </w:rPr>
                          <w:t>Heat from Gas</w:t>
                        </w:r>
                      </w:p>
                    </w:tc>
                    <w:tc>
                      <w:tcPr>
                        <w:tcW w:w="1456" w:type="dxa"/>
                      </w:tcPr>
                      <w:p w:rsidR="007C5447" w:rsidRDefault="00F6308C">
                        <w:pPr>
                          <w:pStyle w:val="TableParagraph"/>
                          <w:spacing w:before="55" w:line="224" w:lineRule="exact"/>
                          <w:ind w:left="108"/>
                          <w:jc w:val="left"/>
                          <w:rPr>
                            <w:sz w:val="20"/>
                          </w:rPr>
                        </w:pPr>
                        <w:r>
                          <w:rPr>
                            <w:sz w:val="20"/>
                          </w:rPr>
                          <w:t>MKCL</w:t>
                        </w:r>
                      </w:p>
                    </w:tc>
                    <w:tc>
                      <w:tcPr>
                        <w:tcW w:w="1677" w:type="dxa"/>
                      </w:tcPr>
                      <w:p w:rsidR="007C5447" w:rsidRDefault="00F6308C">
                        <w:pPr>
                          <w:pStyle w:val="TableParagraph"/>
                          <w:spacing w:before="55" w:line="224" w:lineRule="exact"/>
                          <w:ind w:right="96"/>
                          <w:rPr>
                            <w:sz w:val="20"/>
                          </w:rPr>
                        </w:pPr>
                        <w:r>
                          <w:rPr>
                            <w:w w:val="95"/>
                            <w:sz w:val="20"/>
                          </w:rPr>
                          <w:t>95,447</w:t>
                        </w:r>
                      </w:p>
                    </w:tc>
                    <w:tc>
                      <w:tcPr>
                        <w:tcW w:w="1680" w:type="dxa"/>
                      </w:tcPr>
                      <w:p w:rsidR="007C5447" w:rsidRDefault="00F6308C">
                        <w:pPr>
                          <w:pStyle w:val="TableParagraph"/>
                          <w:spacing w:before="55" w:line="224" w:lineRule="exact"/>
                          <w:ind w:right="98"/>
                          <w:rPr>
                            <w:sz w:val="20"/>
                          </w:rPr>
                        </w:pPr>
                        <w:r>
                          <w:rPr>
                            <w:w w:val="95"/>
                            <w:sz w:val="20"/>
                          </w:rPr>
                          <w:t>1,340</w:t>
                        </w:r>
                      </w:p>
                    </w:tc>
                    <w:tc>
                      <w:tcPr>
                        <w:tcW w:w="1677" w:type="dxa"/>
                      </w:tcPr>
                      <w:p w:rsidR="007C5447" w:rsidRDefault="00F6308C">
                        <w:pPr>
                          <w:pStyle w:val="TableParagraph"/>
                          <w:spacing w:before="55" w:line="224" w:lineRule="exact"/>
                          <w:ind w:right="95"/>
                          <w:rPr>
                            <w:sz w:val="20"/>
                          </w:rPr>
                        </w:pPr>
                        <w:r>
                          <w:rPr>
                            <w:w w:val="95"/>
                            <w:sz w:val="20"/>
                          </w:rPr>
                          <w:t>2,786</w:t>
                        </w:r>
                      </w:p>
                    </w:tc>
                    <w:tc>
                      <w:tcPr>
                        <w:tcW w:w="1678" w:type="dxa"/>
                      </w:tcPr>
                      <w:p w:rsidR="007C5447" w:rsidRDefault="00F6308C">
                        <w:pPr>
                          <w:pStyle w:val="TableParagraph"/>
                          <w:spacing w:before="55" w:line="224" w:lineRule="exact"/>
                          <w:ind w:right="93"/>
                          <w:rPr>
                            <w:sz w:val="20"/>
                          </w:rPr>
                        </w:pPr>
                        <w:r>
                          <w:rPr>
                            <w:sz w:val="20"/>
                          </w:rPr>
                          <w:t>1,93,216</w:t>
                        </w:r>
                      </w:p>
                    </w:tc>
                    <w:tc>
                      <w:tcPr>
                        <w:tcW w:w="1675" w:type="dxa"/>
                      </w:tcPr>
                      <w:p w:rsidR="007C5447" w:rsidRDefault="00F6308C">
                        <w:pPr>
                          <w:pStyle w:val="TableParagraph"/>
                          <w:spacing w:before="55" w:line="224" w:lineRule="exact"/>
                          <w:ind w:right="92"/>
                          <w:rPr>
                            <w:sz w:val="20"/>
                          </w:rPr>
                        </w:pPr>
                        <w:r>
                          <w:rPr>
                            <w:sz w:val="20"/>
                          </w:rPr>
                          <w:t>1,93,066</w:t>
                        </w:r>
                      </w:p>
                    </w:tc>
                  </w:tr>
                  <w:tr w:rsidR="007C5447">
                    <w:trPr>
                      <w:trHeight w:val="299"/>
                    </w:trPr>
                    <w:tc>
                      <w:tcPr>
                        <w:tcW w:w="1061" w:type="dxa"/>
                      </w:tcPr>
                      <w:p w:rsidR="007C5447" w:rsidRDefault="00F6308C">
                        <w:pPr>
                          <w:pStyle w:val="TableParagraph"/>
                          <w:spacing w:before="34"/>
                          <w:ind w:left="212" w:right="203"/>
                          <w:jc w:val="center"/>
                          <w:rPr>
                            <w:sz w:val="20"/>
                          </w:rPr>
                        </w:pPr>
                        <w:r>
                          <w:rPr>
                            <w:sz w:val="20"/>
                          </w:rPr>
                          <w:t>12</w:t>
                        </w:r>
                      </w:p>
                    </w:tc>
                    <w:tc>
                      <w:tcPr>
                        <w:tcW w:w="3269" w:type="dxa"/>
                      </w:tcPr>
                      <w:p w:rsidR="007C5447" w:rsidRDefault="00F6308C">
                        <w:pPr>
                          <w:pStyle w:val="TableParagraph"/>
                          <w:spacing w:before="55" w:line="224" w:lineRule="exact"/>
                          <w:ind w:left="108"/>
                          <w:jc w:val="left"/>
                          <w:rPr>
                            <w:sz w:val="20"/>
                          </w:rPr>
                        </w:pPr>
                        <w:r>
                          <w:rPr>
                            <w:sz w:val="20"/>
                          </w:rPr>
                          <w:t>Gas Consumed</w:t>
                        </w:r>
                      </w:p>
                    </w:tc>
                    <w:tc>
                      <w:tcPr>
                        <w:tcW w:w="1456" w:type="dxa"/>
                      </w:tcPr>
                      <w:p w:rsidR="007C5447" w:rsidRDefault="00F6308C">
                        <w:pPr>
                          <w:pStyle w:val="TableParagraph"/>
                          <w:spacing w:before="55" w:line="224" w:lineRule="exact"/>
                          <w:ind w:left="108"/>
                          <w:jc w:val="left"/>
                          <w:rPr>
                            <w:sz w:val="20"/>
                          </w:rPr>
                        </w:pPr>
                        <w:r>
                          <w:rPr>
                            <w:sz w:val="20"/>
                          </w:rPr>
                          <w:t>SCM</w:t>
                        </w:r>
                      </w:p>
                    </w:tc>
                    <w:tc>
                      <w:tcPr>
                        <w:tcW w:w="1677" w:type="dxa"/>
                      </w:tcPr>
                      <w:p w:rsidR="007C5447" w:rsidRDefault="00F6308C">
                        <w:pPr>
                          <w:pStyle w:val="TableParagraph"/>
                          <w:spacing w:before="55" w:line="224" w:lineRule="exact"/>
                          <w:ind w:right="96"/>
                          <w:rPr>
                            <w:sz w:val="20"/>
                          </w:rPr>
                        </w:pPr>
                        <w:r>
                          <w:rPr>
                            <w:w w:val="95"/>
                            <w:sz w:val="20"/>
                          </w:rPr>
                          <w:t>84,16,809</w:t>
                        </w:r>
                      </w:p>
                    </w:tc>
                    <w:tc>
                      <w:tcPr>
                        <w:tcW w:w="1680" w:type="dxa"/>
                      </w:tcPr>
                      <w:p w:rsidR="007C5447" w:rsidRDefault="00F6308C">
                        <w:pPr>
                          <w:pStyle w:val="TableParagraph"/>
                          <w:spacing w:before="55" w:line="224" w:lineRule="exact"/>
                          <w:ind w:right="96"/>
                          <w:rPr>
                            <w:sz w:val="20"/>
                          </w:rPr>
                        </w:pPr>
                        <w:r>
                          <w:rPr>
                            <w:sz w:val="20"/>
                          </w:rPr>
                          <w:t>1,18,200</w:t>
                        </w:r>
                      </w:p>
                    </w:tc>
                    <w:tc>
                      <w:tcPr>
                        <w:tcW w:w="1677" w:type="dxa"/>
                      </w:tcPr>
                      <w:p w:rsidR="007C5447" w:rsidRDefault="00F6308C">
                        <w:pPr>
                          <w:pStyle w:val="TableParagraph"/>
                          <w:spacing w:before="55" w:line="224" w:lineRule="exact"/>
                          <w:ind w:right="93"/>
                          <w:rPr>
                            <w:sz w:val="20"/>
                          </w:rPr>
                        </w:pPr>
                        <w:r>
                          <w:rPr>
                            <w:sz w:val="20"/>
                          </w:rPr>
                          <w:t>2,45,477</w:t>
                        </w:r>
                      </w:p>
                    </w:tc>
                    <w:tc>
                      <w:tcPr>
                        <w:tcW w:w="1678" w:type="dxa"/>
                      </w:tcPr>
                      <w:p w:rsidR="007C5447" w:rsidRDefault="00F6308C">
                        <w:pPr>
                          <w:pStyle w:val="TableParagraph"/>
                          <w:spacing w:before="55" w:line="224" w:lineRule="exact"/>
                          <w:ind w:right="95"/>
                          <w:rPr>
                            <w:sz w:val="20"/>
                          </w:rPr>
                        </w:pPr>
                        <w:r>
                          <w:rPr>
                            <w:w w:val="95"/>
                            <w:sz w:val="20"/>
                          </w:rPr>
                          <w:t>1,82,76,174</w:t>
                        </w:r>
                      </w:p>
                    </w:tc>
                    <w:tc>
                      <w:tcPr>
                        <w:tcW w:w="1675" w:type="dxa"/>
                      </w:tcPr>
                      <w:p w:rsidR="007C5447" w:rsidRDefault="00F6308C">
                        <w:pPr>
                          <w:pStyle w:val="TableParagraph"/>
                          <w:spacing w:before="55" w:line="224" w:lineRule="exact"/>
                          <w:ind w:right="95"/>
                          <w:rPr>
                            <w:sz w:val="20"/>
                          </w:rPr>
                        </w:pPr>
                        <w:r>
                          <w:rPr>
                            <w:w w:val="95"/>
                            <w:sz w:val="20"/>
                          </w:rPr>
                          <w:t>1,82,62,056</w:t>
                        </w:r>
                      </w:p>
                    </w:tc>
                  </w:tr>
                  <w:tr w:rsidR="007C5447">
                    <w:trPr>
                      <w:trHeight w:val="300"/>
                    </w:trPr>
                    <w:tc>
                      <w:tcPr>
                        <w:tcW w:w="1061" w:type="dxa"/>
                      </w:tcPr>
                      <w:p w:rsidR="007C5447" w:rsidRDefault="00F6308C">
                        <w:pPr>
                          <w:pStyle w:val="TableParagraph"/>
                          <w:spacing w:before="36"/>
                          <w:ind w:left="212" w:right="203"/>
                          <w:jc w:val="center"/>
                          <w:rPr>
                            <w:sz w:val="20"/>
                          </w:rPr>
                        </w:pPr>
                        <w:r>
                          <w:rPr>
                            <w:sz w:val="20"/>
                          </w:rPr>
                          <w:t>13</w:t>
                        </w:r>
                      </w:p>
                    </w:tc>
                    <w:tc>
                      <w:tcPr>
                        <w:tcW w:w="3269" w:type="dxa"/>
                      </w:tcPr>
                      <w:p w:rsidR="007C5447" w:rsidRDefault="00F6308C">
                        <w:pPr>
                          <w:pStyle w:val="TableParagraph"/>
                          <w:spacing w:before="56" w:line="224" w:lineRule="exact"/>
                          <w:ind w:left="108"/>
                          <w:jc w:val="left"/>
                          <w:rPr>
                            <w:sz w:val="20"/>
                          </w:rPr>
                        </w:pPr>
                        <w:r>
                          <w:rPr>
                            <w:sz w:val="20"/>
                          </w:rPr>
                          <w:t>Total Cost of Gas</w:t>
                        </w:r>
                      </w:p>
                    </w:tc>
                    <w:tc>
                      <w:tcPr>
                        <w:tcW w:w="1456" w:type="dxa"/>
                      </w:tcPr>
                      <w:p w:rsidR="007C5447" w:rsidRDefault="00F6308C">
                        <w:pPr>
                          <w:pStyle w:val="TableParagraph"/>
                          <w:spacing w:before="56" w:line="224" w:lineRule="exact"/>
                          <w:ind w:left="108"/>
                          <w:jc w:val="left"/>
                          <w:rPr>
                            <w:sz w:val="20"/>
                          </w:rPr>
                        </w:pPr>
                        <w:r>
                          <w:rPr>
                            <w:sz w:val="20"/>
                          </w:rPr>
                          <w:t>Rs. Crore</w:t>
                        </w:r>
                      </w:p>
                    </w:tc>
                    <w:tc>
                      <w:tcPr>
                        <w:tcW w:w="1677" w:type="dxa"/>
                      </w:tcPr>
                      <w:p w:rsidR="007C5447" w:rsidRDefault="00F6308C">
                        <w:pPr>
                          <w:pStyle w:val="TableParagraph"/>
                          <w:spacing w:before="56" w:line="224" w:lineRule="exact"/>
                          <w:ind w:right="93"/>
                          <w:rPr>
                            <w:sz w:val="20"/>
                          </w:rPr>
                        </w:pPr>
                        <w:r>
                          <w:rPr>
                            <w:sz w:val="20"/>
                          </w:rPr>
                          <w:t>49.89</w:t>
                        </w:r>
                      </w:p>
                    </w:tc>
                    <w:tc>
                      <w:tcPr>
                        <w:tcW w:w="1680" w:type="dxa"/>
                      </w:tcPr>
                      <w:p w:rsidR="007C5447" w:rsidRDefault="00F6308C">
                        <w:pPr>
                          <w:pStyle w:val="TableParagraph"/>
                          <w:spacing w:before="56" w:line="224" w:lineRule="exact"/>
                          <w:ind w:right="95"/>
                          <w:rPr>
                            <w:sz w:val="20"/>
                          </w:rPr>
                        </w:pPr>
                        <w:r>
                          <w:rPr>
                            <w:sz w:val="20"/>
                          </w:rPr>
                          <w:t>0.86</w:t>
                        </w:r>
                      </w:p>
                    </w:tc>
                    <w:tc>
                      <w:tcPr>
                        <w:tcW w:w="1677" w:type="dxa"/>
                      </w:tcPr>
                      <w:p w:rsidR="007C5447" w:rsidRDefault="00F6308C">
                        <w:pPr>
                          <w:pStyle w:val="TableParagraph"/>
                          <w:spacing w:before="56" w:line="224" w:lineRule="exact"/>
                          <w:ind w:right="92"/>
                          <w:rPr>
                            <w:sz w:val="20"/>
                          </w:rPr>
                        </w:pPr>
                        <w:r>
                          <w:rPr>
                            <w:sz w:val="20"/>
                          </w:rPr>
                          <w:t>1.49</w:t>
                        </w:r>
                      </w:p>
                    </w:tc>
                    <w:tc>
                      <w:tcPr>
                        <w:tcW w:w="1678" w:type="dxa"/>
                      </w:tcPr>
                      <w:p w:rsidR="007C5447" w:rsidRDefault="00F6308C">
                        <w:pPr>
                          <w:pStyle w:val="TableParagraph"/>
                          <w:spacing w:before="56" w:line="224" w:lineRule="exact"/>
                          <w:ind w:right="92"/>
                          <w:rPr>
                            <w:sz w:val="20"/>
                          </w:rPr>
                        </w:pPr>
                        <w:r>
                          <w:rPr>
                            <w:sz w:val="20"/>
                          </w:rPr>
                          <w:t>27.41</w:t>
                        </w:r>
                      </w:p>
                    </w:tc>
                    <w:tc>
                      <w:tcPr>
                        <w:tcW w:w="1675" w:type="dxa"/>
                      </w:tcPr>
                      <w:p w:rsidR="007C5447" w:rsidRDefault="00F6308C">
                        <w:pPr>
                          <w:pStyle w:val="TableParagraph"/>
                          <w:spacing w:before="56" w:line="224" w:lineRule="exact"/>
                          <w:ind w:right="92"/>
                          <w:rPr>
                            <w:sz w:val="20"/>
                          </w:rPr>
                        </w:pPr>
                        <w:r>
                          <w:rPr>
                            <w:sz w:val="20"/>
                          </w:rPr>
                          <w:t>28.21</w:t>
                        </w:r>
                      </w:p>
                    </w:tc>
                  </w:tr>
                  <w:tr w:rsidR="007C5447">
                    <w:trPr>
                      <w:trHeight w:val="299"/>
                    </w:trPr>
                    <w:tc>
                      <w:tcPr>
                        <w:tcW w:w="1061" w:type="dxa"/>
                      </w:tcPr>
                      <w:p w:rsidR="007C5447" w:rsidRDefault="00F6308C">
                        <w:pPr>
                          <w:pStyle w:val="TableParagraph"/>
                          <w:spacing w:before="36"/>
                          <w:ind w:left="212" w:right="203"/>
                          <w:jc w:val="center"/>
                          <w:rPr>
                            <w:sz w:val="20"/>
                          </w:rPr>
                        </w:pPr>
                        <w:r>
                          <w:rPr>
                            <w:sz w:val="20"/>
                          </w:rPr>
                          <w:t>14</w:t>
                        </w:r>
                      </w:p>
                    </w:tc>
                    <w:tc>
                      <w:tcPr>
                        <w:tcW w:w="3269" w:type="dxa"/>
                      </w:tcPr>
                      <w:p w:rsidR="007C5447" w:rsidRDefault="00F6308C">
                        <w:pPr>
                          <w:pStyle w:val="TableParagraph"/>
                          <w:spacing w:before="55" w:line="224" w:lineRule="exact"/>
                          <w:ind w:left="108"/>
                          <w:jc w:val="left"/>
                          <w:rPr>
                            <w:sz w:val="20"/>
                          </w:rPr>
                        </w:pPr>
                        <w:r>
                          <w:rPr>
                            <w:sz w:val="20"/>
                          </w:rPr>
                          <w:t>Transportation Cost</w:t>
                        </w:r>
                      </w:p>
                    </w:tc>
                    <w:tc>
                      <w:tcPr>
                        <w:tcW w:w="1456" w:type="dxa"/>
                      </w:tcPr>
                      <w:p w:rsidR="007C5447" w:rsidRDefault="00F6308C">
                        <w:pPr>
                          <w:pStyle w:val="TableParagraph"/>
                          <w:spacing w:before="55" w:line="224" w:lineRule="exact"/>
                          <w:ind w:left="108"/>
                          <w:jc w:val="left"/>
                          <w:rPr>
                            <w:sz w:val="20"/>
                          </w:rPr>
                        </w:pPr>
                        <w:r>
                          <w:rPr>
                            <w:sz w:val="20"/>
                          </w:rPr>
                          <w:t>Rs. Crore</w:t>
                        </w:r>
                      </w:p>
                    </w:tc>
                    <w:tc>
                      <w:tcPr>
                        <w:tcW w:w="1677" w:type="dxa"/>
                      </w:tcPr>
                      <w:p w:rsidR="007C5447" w:rsidRDefault="00F6308C">
                        <w:pPr>
                          <w:pStyle w:val="TableParagraph"/>
                          <w:spacing w:before="55" w:line="224" w:lineRule="exact"/>
                          <w:ind w:right="93"/>
                          <w:rPr>
                            <w:sz w:val="20"/>
                          </w:rPr>
                        </w:pPr>
                        <w:r>
                          <w:rPr>
                            <w:sz w:val="20"/>
                          </w:rPr>
                          <w:t>0.00</w:t>
                        </w:r>
                      </w:p>
                    </w:tc>
                    <w:tc>
                      <w:tcPr>
                        <w:tcW w:w="1680" w:type="dxa"/>
                      </w:tcPr>
                      <w:p w:rsidR="007C5447" w:rsidRDefault="00F6308C">
                        <w:pPr>
                          <w:pStyle w:val="TableParagraph"/>
                          <w:spacing w:before="55" w:line="224" w:lineRule="exact"/>
                          <w:ind w:right="95"/>
                          <w:rPr>
                            <w:sz w:val="20"/>
                          </w:rPr>
                        </w:pPr>
                        <w:r>
                          <w:rPr>
                            <w:sz w:val="20"/>
                          </w:rPr>
                          <w:t>0.00</w:t>
                        </w:r>
                      </w:p>
                    </w:tc>
                    <w:tc>
                      <w:tcPr>
                        <w:tcW w:w="1677" w:type="dxa"/>
                      </w:tcPr>
                      <w:p w:rsidR="007C5447" w:rsidRDefault="00F6308C">
                        <w:pPr>
                          <w:pStyle w:val="TableParagraph"/>
                          <w:spacing w:before="55" w:line="224" w:lineRule="exact"/>
                          <w:ind w:right="92"/>
                          <w:rPr>
                            <w:sz w:val="20"/>
                          </w:rPr>
                        </w:pPr>
                        <w:r>
                          <w:rPr>
                            <w:sz w:val="20"/>
                          </w:rPr>
                          <w:t>0.00</w:t>
                        </w:r>
                      </w:p>
                    </w:tc>
                    <w:tc>
                      <w:tcPr>
                        <w:tcW w:w="1678" w:type="dxa"/>
                      </w:tcPr>
                      <w:p w:rsidR="007C5447" w:rsidRDefault="00F6308C">
                        <w:pPr>
                          <w:pStyle w:val="TableParagraph"/>
                          <w:spacing w:before="55" w:line="224" w:lineRule="exact"/>
                          <w:ind w:right="92"/>
                          <w:rPr>
                            <w:sz w:val="20"/>
                          </w:rPr>
                        </w:pPr>
                        <w:r>
                          <w:rPr>
                            <w:sz w:val="20"/>
                          </w:rPr>
                          <w:t>0.00</w:t>
                        </w:r>
                      </w:p>
                    </w:tc>
                    <w:tc>
                      <w:tcPr>
                        <w:tcW w:w="1675" w:type="dxa"/>
                      </w:tcPr>
                      <w:p w:rsidR="007C5447" w:rsidRDefault="00F6308C">
                        <w:pPr>
                          <w:pStyle w:val="TableParagraph"/>
                          <w:spacing w:before="55" w:line="224" w:lineRule="exact"/>
                          <w:ind w:right="92"/>
                          <w:rPr>
                            <w:sz w:val="20"/>
                          </w:rPr>
                        </w:pPr>
                        <w:r>
                          <w:rPr>
                            <w:sz w:val="20"/>
                          </w:rPr>
                          <w:t>0.00</w:t>
                        </w:r>
                      </w:p>
                    </w:tc>
                  </w:tr>
                  <w:tr w:rsidR="007C5447">
                    <w:trPr>
                      <w:trHeight w:val="330"/>
                    </w:trPr>
                    <w:tc>
                      <w:tcPr>
                        <w:tcW w:w="1061" w:type="dxa"/>
                        <w:shd w:val="clear" w:color="auto" w:fill="FFFFCC"/>
                      </w:tcPr>
                      <w:p w:rsidR="007C5447" w:rsidRDefault="00F6308C">
                        <w:pPr>
                          <w:pStyle w:val="TableParagraph"/>
                          <w:spacing w:before="50"/>
                          <w:ind w:left="212" w:right="203"/>
                          <w:jc w:val="center"/>
                          <w:rPr>
                            <w:b/>
                            <w:sz w:val="20"/>
                          </w:rPr>
                        </w:pPr>
                        <w:r>
                          <w:rPr>
                            <w:b/>
                            <w:sz w:val="20"/>
                          </w:rPr>
                          <w:t>15</w:t>
                        </w:r>
                      </w:p>
                    </w:tc>
                    <w:tc>
                      <w:tcPr>
                        <w:tcW w:w="3269" w:type="dxa"/>
                        <w:shd w:val="clear" w:color="auto" w:fill="FFFFCC"/>
                      </w:tcPr>
                      <w:p w:rsidR="007C5447" w:rsidRDefault="00F6308C">
                        <w:pPr>
                          <w:pStyle w:val="TableParagraph"/>
                          <w:spacing w:before="86" w:line="224" w:lineRule="exact"/>
                          <w:ind w:left="108"/>
                          <w:jc w:val="left"/>
                          <w:rPr>
                            <w:b/>
                            <w:sz w:val="20"/>
                          </w:rPr>
                        </w:pPr>
                        <w:r>
                          <w:rPr>
                            <w:b/>
                            <w:sz w:val="20"/>
                          </w:rPr>
                          <w:t>Total Fuel Cost</w:t>
                        </w:r>
                      </w:p>
                    </w:tc>
                    <w:tc>
                      <w:tcPr>
                        <w:tcW w:w="1456" w:type="dxa"/>
                        <w:shd w:val="clear" w:color="auto" w:fill="FFFFCC"/>
                      </w:tcPr>
                      <w:p w:rsidR="007C5447" w:rsidRDefault="00F6308C">
                        <w:pPr>
                          <w:pStyle w:val="TableParagraph"/>
                          <w:spacing w:before="86" w:line="224" w:lineRule="exact"/>
                          <w:ind w:left="108"/>
                          <w:jc w:val="left"/>
                          <w:rPr>
                            <w:b/>
                            <w:sz w:val="20"/>
                          </w:rPr>
                        </w:pPr>
                        <w:r>
                          <w:rPr>
                            <w:b/>
                            <w:sz w:val="20"/>
                          </w:rPr>
                          <w:t>Rs. Crore</w:t>
                        </w:r>
                      </w:p>
                    </w:tc>
                    <w:tc>
                      <w:tcPr>
                        <w:tcW w:w="1677" w:type="dxa"/>
                        <w:shd w:val="clear" w:color="auto" w:fill="FFFFCC"/>
                      </w:tcPr>
                      <w:p w:rsidR="007C5447" w:rsidRDefault="00F6308C">
                        <w:pPr>
                          <w:pStyle w:val="TableParagraph"/>
                          <w:spacing w:before="86" w:line="224" w:lineRule="exact"/>
                          <w:ind w:right="93"/>
                          <w:rPr>
                            <w:b/>
                            <w:sz w:val="20"/>
                          </w:rPr>
                        </w:pPr>
                        <w:r>
                          <w:rPr>
                            <w:b/>
                            <w:sz w:val="20"/>
                          </w:rPr>
                          <w:t>49.89</w:t>
                        </w:r>
                      </w:p>
                    </w:tc>
                    <w:tc>
                      <w:tcPr>
                        <w:tcW w:w="1680" w:type="dxa"/>
                        <w:shd w:val="clear" w:color="auto" w:fill="FFFFCC"/>
                      </w:tcPr>
                      <w:p w:rsidR="007C5447" w:rsidRDefault="00F6308C">
                        <w:pPr>
                          <w:pStyle w:val="TableParagraph"/>
                          <w:spacing w:before="86" w:line="224" w:lineRule="exact"/>
                          <w:ind w:right="95"/>
                          <w:rPr>
                            <w:b/>
                            <w:sz w:val="20"/>
                          </w:rPr>
                        </w:pPr>
                        <w:r>
                          <w:rPr>
                            <w:b/>
                            <w:sz w:val="20"/>
                          </w:rPr>
                          <w:t>0.86</w:t>
                        </w:r>
                      </w:p>
                    </w:tc>
                    <w:tc>
                      <w:tcPr>
                        <w:tcW w:w="1677" w:type="dxa"/>
                        <w:shd w:val="clear" w:color="auto" w:fill="FFFFCC"/>
                      </w:tcPr>
                      <w:p w:rsidR="007C5447" w:rsidRDefault="00F6308C">
                        <w:pPr>
                          <w:pStyle w:val="TableParagraph"/>
                          <w:spacing w:before="86" w:line="224" w:lineRule="exact"/>
                          <w:ind w:right="92"/>
                          <w:rPr>
                            <w:b/>
                            <w:sz w:val="20"/>
                          </w:rPr>
                        </w:pPr>
                        <w:r>
                          <w:rPr>
                            <w:b/>
                            <w:sz w:val="20"/>
                          </w:rPr>
                          <w:t>1.49</w:t>
                        </w:r>
                      </w:p>
                    </w:tc>
                    <w:tc>
                      <w:tcPr>
                        <w:tcW w:w="1678" w:type="dxa"/>
                        <w:shd w:val="clear" w:color="auto" w:fill="FFFFCC"/>
                      </w:tcPr>
                      <w:p w:rsidR="007C5447" w:rsidRDefault="00F6308C">
                        <w:pPr>
                          <w:pStyle w:val="TableParagraph"/>
                          <w:spacing w:before="86" w:line="224" w:lineRule="exact"/>
                          <w:ind w:right="92"/>
                          <w:rPr>
                            <w:b/>
                            <w:sz w:val="20"/>
                          </w:rPr>
                        </w:pPr>
                        <w:r>
                          <w:rPr>
                            <w:b/>
                            <w:sz w:val="20"/>
                          </w:rPr>
                          <w:t>27.41</w:t>
                        </w:r>
                      </w:p>
                    </w:tc>
                    <w:tc>
                      <w:tcPr>
                        <w:tcW w:w="1675" w:type="dxa"/>
                        <w:shd w:val="clear" w:color="auto" w:fill="FFFFCC"/>
                      </w:tcPr>
                      <w:p w:rsidR="007C5447" w:rsidRDefault="00F6308C">
                        <w:pPr>
                          <w:pStyle w:val="TableParagraph"/>
                          <w:spacing w:before="86" w:line="224" w:lineRule="exact"/>
                          <w:ind w:right="92"/>
                          <w:rPr>
                            <w:b/>
                            <w:sz w:val="20"/>
                          </w:rPr>
                        </w:pPr>
                        <w:r>
                          <w:rPr>
                            <w:b/>
                            <w:sz w:val="20"/>
                          </w:rPr>
                          <w:t>28.21</w:t>
                        </w:r>
                      </w:p>
                    </w:tc>
                  </w:tr>
                  <w:tr w:rsidR="007C5447">
                    <w:trPr>
                      <w:trHeight w:val="330"/>
                    </w:trPr>
                    <w:tc>
                      <w:tcPr>
                        <w:tcW w:w="1061" w:type="dxa"/>
                        <w:shd w:val="clear" w:color="auto" w:fill="FFFFCC"/>
                      </w:tcPr>
                      <w:p w:rsidR="007C5447" w:rsidRDefault="00F6308C">
                        <w:pPr>
                          <w:pStyle w:val="TableParagraph"/>
                          <w:spacing w:before="50"/>
                          <w:ind w:left="212" w:right="203"/>
                          <w:jc w:val="center"/>
                          <w:rPr>
                            <w:b/>
                            <w:sz w:val="20"/>
                          </w:rPr>
                        </w:pPr>
                        <w:r>
                          <w:rPr>
                            <w:b/>
                            <w:sz w:val="20"/>
                          </w:rPr>
                          <w:t>16</w:t>
                        </w:r>
                      </w:p>
                    </w:tc>
                    <w:tc>
                      <w:tcPr>
                        <w:tcW w:w="3269" w:type="dxa"/>
                        <w:shd w:val="clear" w:color="auto" w:fill="FFFFCC"/>
                      </w:tcPr>
                      <w:p w:rsidR="007C5447" w:rsidRDefault="00F6308C">
                        <w:pPr>
                          <w:pStyle w:val="TableParagraph"/>
                          <w:spacing w:before="84" w:line="227" w:lineRule="exact"/>
                          <w:ind w:left="108"/>
                          <w:jc w:val="left"/>
                          <w:rPr>
                            <w:b/>
                            <w:sz w:val="20"/>
                          </w:rPr>
                        </w:pPr>
                        <w:r>
                          <w:rPr>
                            <w:b/>
                            <w:sz w:val="20"/>
                          </w:rPr>
                          <w:t>Energy Charge</w:t>
                        </w:r>
                      </w:p>
                    </w:tc>
                    <w:tc>
                      <w:tcPr>
                        <w:tcW w:w="1456" w:type="dxa"/>
                        <w:shd w:val="clear" w:color="auto" w:fill="FFFFCC"/>
                      </w:tcPr>
                      <w:p w:rsidR="007C5447" w:rsidRDefault="00F6308C">
                        <w:pPr>
                          <w:pStyle w:val="TableParagraph"/>
                          <w:spacing w:before="84" w:line="227" w:lineRule="exact"/>
                          <w:ind w:left="108"/>
                          <w:jc w:val="left"/>
                          <w:rPr>
                            <w:b/>
                            <w:sz w:val="20"/>
                          </w:rPr>
                        </w:pPr>
                        <w:r>
                          <w:rPr>
                            <w:b/>
                            <w:sz w:val="20"/>
                          </w:rPr>
                          <w:t>Rs. /kWh</w:t>
                        </w:r>
                      </w:p>
                    </w:tc>
                    <w:tc>
                      <w:tcPr>
                        <w:tcW w:w="1677" w:type="dxa"/>
                        <w:shd w:val="clear" w:color="auto" w:fill="FFFFCC"/>
                      </w:tcPr>
                      <w:p w:rsidR="007C5447" w:rsidRDefault="00F6308C">
                        <w:pPr>
                          <w:pStyle w:val="TableParagraph"/>
                          <w:spacing w:before="84" w:line="227" w:lineRule="exact"/>
                          <w:ind w:right="95"/>
                          <w:rPr>
                            <w:b/>
                            <w:sz w:val="20"/>
                          </w:rPr>
                        </w:pPr>
                        <w:r>
                          <w:rPr>
                            <w:b/>
                            <w:w w:val="95"/>
                            <w:sz w:val="20"/>
                          </w:rPr>
                          <w:t>16.88</w:t>
                        </w:r>
                      </w:p>
                    </w:tc>
                    <w:tc>
                      <w:tcPr>
                        <w:tcW w:w="1680" w:type="dxa"/>
                        <w:shd w:val="clear" w:color="auto" w:fill="FFFFCC"/>
                      </w:tcPr>
                      <w:p w:rsidR="007C5447" w:rsidRDefault="00F6308C">
                        <w:pPr>
                          <w:pStyle w:val="TableParagraph"/>
                          <w:spacing w:before="84" w:line="227" w:lineRule="exact"/>
                          <w:ind w:right="98"/>
                          <w:rPr>
                            <w:b/>
                            <w:sz w:val="20"/>
                          </w:rPr>
                        </w:pPr>
                        <w:r>
                          <w:rPr>
                            <w:b/>
                            <w:w w:val="95"/>
                            <w:sz w:val="20"/>
                          </w:rPr>
                          <w:t>20.85</w:t>
                        </w:r>
                      </w:p>
                    </w:tc>
                    <w:tc>
                      <w:tcPr>
                        <w:tcW w:w="1677" w:type="dxa"/>
                        <w:shd w:val="clear" w:color="auto" w:fill="FFFFCC"/>
                      </w:tcPr>
                      <w:p w:rsidR="007C5447" w:rsidRDefault="00F6308C">
                        <w:pPr>
                          <w:pStyle w:val="TableParagraph"/>
                          <w:spacing w:before="84" w:line="227" w:lineRule="exact"/>
                          <w:ind w:right="95"/>
                          <w:rPr>
                            <w:b/>
                            <w:sz w:val="20"/>
                          </w:rPr>
                        </w:pPr>
                        <w:r>
                          <w:rPr>
                            <w:b/>
                            <w:w w:val="95"/>
                            <w:sz w:val="20"/>
                          </w:rPr>
                          <w:t>17.37</w:t>
                        </w:r>
                      </w:p>
                    </w:tc>
                    <w:tc>
                      <w:tcPr>
                        <w:tcW w:w="1678" w:type="dxa"/>
                        <w:shd w:val="clear" w:color="auto" w:fill="FFFFCC"/>
                      </w:tcPr>
                      <w:p w:rsidR="007C5447" w:rsidRDefault="00F6308C">
                        <w:pPr>
                          <w:pStyle w:val="TableParagraph"/>
                          <w:spacing w:before="84" w:line="227" w:lineRule="exact"/>
                          <w:ind w:right="94"/>
                          <w:rPr>
                            <w:b/>
                            <w:sz w:val="20"/>
                          </w:rPr>
                        </w:pPr>
                        <w:r>
                          <w:rPr>
                            <w:b/>
                            <w:sz w:val="20"/>
                          </w:rPr>
                          <w:t>4.61</w:t>
                        </w:r>
                      </w:p>
                    </w:tc>
                    <w:tc>
                      <w:tcPr>
                        <w:tcW w:w="1675" w:type="dxa"/>
                        <w:shd w:val="clear" w:color="auto" w:fill="FFFFCC"/>
                      </w:tcPr>
                      <w:p w:rsidR="007C5447" w:rsidRDefault="00F6308C">
                        <w:pPr>
                          <w:pStyle w:val="TableParagraph"/>
                          <w:spacing w:before="84" w:line="227" w:lineRule="exact"/>
                          <w:ind w:right="94"/>
                          <w:rPr>
                            <w:b/>
                            <w:sz w:val="20"/>
                          </w:rPr>
                        </w:pPr>
                        <w:r>
                          <w:rPr>
                            <w:b/>
                            <w:sz w:val="20"/>
                          </w:rPr>
                          <w:t>4.75</w:t>
                        </w:r>
                      </w:p>
                    </w:tc>
                  </w:tr>
                </w:tbl>
                <w:p w:rsidR="007C5447" w:rsidRDefault="007C5447">
                  <w:pPr>
                    <w:pStyle w:val="BodyText"/>
                  </w:pPr>
                </w:p>
              </w:txbxContent>
            </v:textbox>
            <w10:wrap anchorx="page" anchory="page"/>
          </v:shape>
        </w:pict>
      </w:r>
    </w:p>
    <w:p w:rsidR="007C5447" w:rsidRDefault="00F6308C">
      <w:pPr>
        <w:pStyle w:val="BodyText"/>
        <w:ind w:left="1173"/>
        <w:rPr>
          <w:sz w:val="20"/>
        </w:rPr>
      </w:pPr>
      <w:r>
        <w:rPr>
          <w:sz w:val="20"/>
        </w:rPr>
      </w:r>
      <w:r>
        <w:rPr>
          <w:sz w:val="20"/>
        </w:rPr>
        <w:pict>
          <v:shape id="_x0000_s1029" type="#_x0000_t202" style="width:163.5pt;height:16.6pt;mso-left-percent:-10001;mso-top-percent:-10001;mso-position-horizontal:absolute;mso-position-horizontal-relative:char;mso-position-vertical:absolute;mso-position-vertical-relative:line;mso-left-percent:-10001;mso-top-percent:-10001" fillcolor="#ffc000" stroked="f">
            <v:textbox inset="0,0,0,0">
              <w:txbxContent>
                <w:p w:rsidR="007C5447" w:rsidRDefault="00F6308C">
                  <w:pPr>
                    <w:spacing w:before="87"/>
                    <w:ind w:left="108"/>
                    <w:rPr>
                      <w:b/>
                      <w:sz w:val="20"/>
                    </w:rPr>
                  </w:pPr>
                  <w:r>
                    <w:rPr>
                      <w:b/>
                      <w:sz w:val="20"/>
                    </w:rPr>
                    <w:t>BBGTPS</w:t>
                  </w:r>
                </w:p>
              </w:txbxContent>
            </v:textbox>
            <w10:anchorlock/>
          </v:shape>
        </w:pict>
      </w:r>
    </w:p>
    <w:p w:rsidR="007C5447" w:rsidRDefault="007C5447">
      <w:pPr>
        <w:rPr>
          <w:sz w:val="20"/>
        </w:rPr>
        <w:sectPr w:rsidR="007C5447">
          <w:pgSz w:w="16840" w:h="11910" w:orient="landscape"/>
          <w:pgMar w:top="1100" w:right="1220" w:bottom="1240" w:left="1220" w:header="0" w:footer="777" w:gutter="0"/>
          <w:cols w:space="720"/>
        </w:sectPr>
      </w:pPr>
    </w:p>
    <w:p w:rsidR="007C5447" w:rsidRDefault="00F6308C">
      <w:pPr>
        <w:pStyle w:val="BodyText"/>
        <w:rPr>
          <w:sz w:val="20"/>
        </w:rPr>
      </w:pPr>
      <w:r>
        <w:lastRenderedPageBreak/>
        <w:pict>
          <v:shape id="_x0000_s1028" type="#_x0000_t202" style="position:absolute;margin-left:119.65pt;margin-top:80.65pt;width:163.5pt;height:16.45pt;z-index:251699200;mso-position-horizontal-relative:page;mso-position-vertical-relative:page" fillcolor="#ffc000" stroked="f">
            <v:textbox inset="0,0,0,0">
              <w:txbxContent>
                <w:p w:rsidR="007C5447" w:rsidRDefault="00F6308C">
                  <w:pPr>
                    <w:spacing w:before="84"/>
                    <w:ind w:left="108"/>
                    <w:rPr>
                      <w:b/>
                      <w:sz w:val="20"/>
                    </w:rPr>
                  </w:pPr>
                  <w:r>
                    <w:rPr>
                      <w:b/>
                      <w:sz w:val="20"/>
                    </w:rPr>
                    <w:t>VGTPS</w:t>
                  </w:r>
                </w:p>
              </w:txbxContent>
            </v:textbox>
            <w10:wrap anchorx="page" anchory="page"/>
          </v:shape>
        </w:pict>
      </w:r>
    </w:p>
    <w:p w:rsidR="007C5447" w:rsidRDefault="007C5447">
      <w:pPr>
        <w:pStyle w:val="BodyText"/>
        <w:rPr>
          <w:sz w:val="20"/>
        </w:rPr>
      </w:pPr>
    </w:p>
    <w:p w:rsidR="007C5447" w:rsidRDefault="007C5447">
      <w:pPr>
        <w:pStyle w:val="BodyText"/>
        <w:rPr>
          <w:sz w:val="20"/>
        </w:rPr>
      </w:pPr>
    </w:p>
    <w:p w:rsidR="007C5447" w:rsidRDefault="007C5447">
      <w:pPr>
        <w:pStyle w:val="BodyText"/>
        <w:spacing w:before="7"/>
        <w:rPr>
          <w:sz w:val="1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1"/>
        <w:gridCol w:w="3269"/>
        <w:gridCol w:w="1456"/>
        <w:gridCol w:w="1677"/>
        <w:gridCol w:w="1680"/>
        <w:gridCol w:w="1677"/>
        <w:gridCol w:w="1678"/>
        <w:gridCol w:w="1675"/>
      </w:tblGrid>
      <w:tr w:rsidR="007C5447">
        <w:trPr>
          <w:trHeight w:val="330"/>
        </w:trPr>
        <w:tc>
          <w:tcPr>
            <w:tcW w:w="1061" w:type="dxa"/>
            <w:shd w:val="clear" w:color="auto" w:fill="C8C8C8"/>
          </w:tcPr>
          <w:p w:rsidR="007C5447" w:rsidRDefault="00F6308C">
            <w:pPr>
              <w:pStyle w:val="TableParagraph"/>
              <w:spacing w:before="50"/>
              <w:ind w:left="212" w:right="204"/>
              <w:jc w:val="center"/>
              <w:rPr>
                <w:b/>
                <w:sz w:val="20"/>
              </w:rPr>
            </w:pPr>
            <w:r>
              <w:rPr>
                <w:b/>
                <w:sz w:val="20"/>
              </w:rPr>
              <w:t>Sr. No.</w:t>
            </w:r>
          </w:p>
        </w:tc>
        <w:tc>
          <w:tcPr>
            <w:tcW w:w="3269" w:type="dxa"/>
            <w:shd w:val="clear" w:color="auto" w:fill="C8C8C8"/>
          </w:tcPr>
          <w:p w:rsidR="007C5447" w:rsidRDefault="00F6308C">
            <w:pPr>
              <w:pStyle w:val="TableParagraph"/>
              <w:spacing w:before="50"/>
              <w:ind w:left="1156" w:right="1151"/>
              <w:jc w:val="center"/>
              <w:rPr>
                <w:b/>
                <w:sz w:val="20"/>
              </w:rPr>
            </w:pPr>
            <w:r>
              <w:rPr>
                <w:b/>
                <w:sz w:val="20"/>
              </w:rPr>
              <w:t>Parameter</w:t>
            </w:r>
          </w:p>
        </w:tc>
        <w:tc>
          <w:tcPr>
            <w:tcW w:w="1456" w:type="dxa"/>
            <w:shd w:val="clear" w:color="auto" w:fill="C8C8C8"/>
          </w:tcPr>
          <w:p w:rsidR="007C5447" w:rsidRDefault="00F6308C">
            <w:pPr>
              <w:pStyle w:val="TableParagraph"/>
              <w:spacing w:before="50"/>
              <w:ind w:left="519" w:right="508"/>
              <w:jc w:val="center"/>
              <w:rPr>
                <w:b/>
                <w:sz w:val="20"/>
              </w:rPr>
            </w:pPr>
            <w:r>
              <w:rPr>
                <w:b/>
                <w:sz w:val="20"/>
              </w:rPr>
              <w:t>Unit</w:t>
            </w:r>
          </w:p>
        </w:tc>
        <w:tc>
          <w:tcPr>
            <w:tcW w:w="1677" w:type="dxa"/>
            <w:shd w:val="clear" w:color="auto" w:fill="BEBEBE"/>
          </w:tcPr>
          <w:p w:rsidR="007C5447" w:rsidRDefault="00F6308C">
            <w:pPr>
              <w:pStyle w:val="TableParagraph"/>
              <w:spacing w:before="50"/>
              <w:ind w:left="346"/>
              <w:jc w:val="left"/>
              <w:rPr>
                <w:b/>
                <w:sz w:val="20"/>
              </w:rPr>
            </w:pPr>
            <w:r>
              <w:rPr>
                <w:b/>
                <w:sz w:val="20"/>
              </w:rPr>
              <w:t>FY 2011-12</w:t>
            </w:r>
          </w:p>
        </w:tc>
        <w:tc>
          <w:tcPr>
            <w:tcW w:w="1680" w:type="dxa"/>
            <w:shd w:val="clear" w:color="auto" w:fill="BEBEBE"/>
          </w:tcPr>
          <w:p w:rsidR="007C5447" w:rsidRDefault="00F6308C">
            <w:pPr>
              <w:pStyle w:val="TableParagraph"/>
              <w:spacing w:before="50"/>
              <w:ind w:left="347"/>
              <w:jc w:val="left"/>
              <w:rPr>
                <w:b/>
                <w:sz w:val="20"/>
              </w:rPr>
            </w:pPr>
            <w:r>
              <w:rPr>
                <w:b/>
                <w:sz w:val="20"/>
              </w:rPr>
              <w:t>FY 2012-13</w:t>
            </w:r>
          </w:p>
        </w:tc>
        <w:tc>
          <w:tcPr>
            <w:tcW w:w="1677" w:type="dxa"/>
            <w:shd w:val="clear" w:color="auto" w:fill="BEBEBE"/>
          </w:tcPr>
          <w:p w:rsidR="007C5447" w:rsidRDefault="00F6308C">
            <w:pPr>
              <w:pStyle w:val="TableParagraph"/>
              <w:spacing w:before="50"/>
              <w:ind w:left="347"/>
              <w:jc w:val="left"/>
              <w:rPr>
                <w:b/>
                <w:sz w:val="20"/>
              </w:rPr>
            </w:pPr>
            <w:r>
              <w:rPr>
                <w:b/>
                <w:sz w:val="20"/>
              </w:rPr>
              <w:t>FY 2013-14</w:t>
            </w:r>
          </w:p>
        </w:tc>
        <w:tc>
          <w:tcPr>
            <w:tcW w:w="1678" w:type="dxa"/>
            <w:shd w:val="clear" w:color="auto" w:fill="BEBEBE"/>
          </w:tcPr>
          <w:p w:rsidR="007C5447" w:rsidRDefault="00F6308C">
            <w:pPr>
              <w:pStyle w:val="TableParagraph"/>
              <w:spacing w:before="50"/>
              <w:ind w:left="348"/>
              <w:jc w:val="left"/>
              <w:rPr>
                <w:b/>
                <w:sz w:val="20"/>
              </w:rPr>
            </w:pPr>
            <w:r>
              <w:rPr>
                <w:b/>
                <w:sz w:val="20"/>
              </w:rPr>
              <w:t>FY 2014-15</w:t>
            </w:r>
          </w:p>
        </w:tc>
        <w:tc>
          <w:tcPr>
            <w:tcW w:w="1675" w:type="dxa"/>
            <w:shd w:val="clear" w:color="auto" w:fill="BEBEBE"/>
          </w:tcPr>
          <w:p w:rsidR="007C5447" w:rsidRDefault="00F6308C">
            <w:pPr>
              <w:pStyle w:val="TableParagraph"/>
              <w:spacing w:before="50"/>
              <w:ind w:left="348"/>
              <w:jc w:val="left"/>
              <w:rPr>
                <w:b/>
                <w:sz w:val="20"/>
              </w:rPr>
            </w:pPr>
            <w:r>
              <w:rPr>
                <w:b/>
                <w:sz w:val="20"/>
              </w:rPr>
              <w:t>FY 2015-16</w:t>
            </w:r>
          </w:p>
        </w:tc>
      </w:tr>
      <w:tr w:rsidR="007C5447">
        <w:trPr>
          <w:trHeight w:val="299"/>
        </w:trPr>
        <w:tc>
          <w:tcPr>
            <w:tcW w:w="1061" w:type="dxa"/>
          </w:tcPr>
          <w:p w:rsidR="007C5447" w:rsidRDefault="00F6308C">
            <w:pPr>
              <w:pStyle w:val="TableParagraph"/>
              <w:spacing w:before="36"/>
              <w:ind w:left="9"/>
              <w:jc w:val="center"/>
              <w:rPr>
                <w:sz w:val="20"/>
              </w:rPr>
            </w:pPr>
            <w:r>
              <w:rPr>
                <w:w w:val="99"/>
                <w:sz w:val="20"/>
              </w:rPr>
              <w:t>1</w:t>
            </w:r>
          </w:p>
        </w:tc>
        <w:tc>
          <w:tcPr>
            <w:tcW w:w="3269" w:type="dxa"/>
          </w:tcPr>
          <w:p w:rsidR="007C5447" w:rsidRDefault="00F6308C">
            <w:pPr>
              <w:pStyle w:val="TableParagraph"/>
              <w:spacing w:before="55" w:line="224" w:lineRule="exact"/>
              <w:ind w:left="108"/>
              <w:jc w:val="left"/>
              <w:rPr>
                <w:sz w:val="20"/>
              </w:rPr>
            </w:pPr>
            <w:r>
              <w:rPr>
                <w:sz w:val="20"/>
              </w:rPr>
              <w:t>Installed Capacity(MW)</w:t>
            </w:r>
          </w:p>
        </w:tc>
        <w:tc>
          <w:tcPr>
            <w:tcW w:w="1456" w:type="dxa"/>
          </w:tcPr>
          <w:p w:rsidR="007C5447" w:rsidRDefault="00F6308C">
            <w:pPr>
              <w:pStyle w:val="TableParagraph"/>
              <w:spacing w:before="55" w:line="224" w:lineRule="exact"/>
              <w:ind w:left="108"/>
              <w:jc w:val="left"/>
              <w:rPr>
                <w:sz w:val="20"/>
              </w:rPr>
            </w:pPr>
            <w:r>
              <w:rPr>
                <w:sz w:val="20"/>
              </w:rPr>
              <w:t>MW</w:t>
            </w:r>
          </w:p>
        </w:tc>
        <w:tc>
          <w:tcPr>
            <w:tcW w:w="1677" w:type="dxa"/>
          </w:tcPr>
          <w:p w:rsidR="007C5447" w:rsidRDefault="00F6308C">
            <w:pPr>
              <w:pStyle w:val="TableParagraph"/>
              <w:spacing w:before="55" w:line="224" w:lineRule="exact"/>
              <w:ind w:right="91"/>
              <w:rPr>
                <w:sz w:val="20"/>
              </w:rPr>
            </w:pPr>
            <w:r>
              <w:rPr>
                <w:sz w:val="20"/>
              </w:rPr>
              <w:t>95</w:t>
            </w:r>
          </w:p>
        </w:tc>
        <w:tc>
          <w:tcPr>
            <w:tcW w:w="1680" w:type="dxa"/>
          </w:tcPr>
          <w:p w:rsidR="007C5447" w:rsidRDefault="00F6308C">
            <w:pPr>
              <w:pStyle w:val="TableParagraph"/>
              <w:spacing w:before="55" w:line="224" w:lineRule="exact"/>
              <w:ind w:right="93"/>
              <w:rPr>
                <w:sz w:val="20"/>
              </w:rPr>
            </w:pPr>
            <w:r>
              <w:rPr>
                <w:sz w:val="20"/>
              </w:rPr>
              <w:t>95</w:t>
            </w:r>
          </w:p>
        </w:tc>
        <w:tc>
          <w:tcPr>
            <w:tcW w:w="1677" w:type="dxa"/>
          </w:tcPr>
          <w:p w:rsidR="007C5447" w:rsidRDefault="00F6308C">
            <w:pPr>
              <w:pStyle w:val="TableParagraph"/>
              <w:spacing w:before="55" w:line="224" w:lineRule="exact"/>
              <w:ind w:right="90"/>
              <w:rPr>
                <w:sz w:val="20"/>
              </w:rPr>
            </w:pPr>
            <w:r>
              <w:rPr>
                <w:sz w:val="20"/>
              </w:rPr>
              <w:t>95</w:t>
            </w:r>
          </w:p>
        </w:tc>
        <w:tc>
          <w:tcPr>
            <w:tcW w:w="1678" w:type="dxa"/>
          </w:tcPr>
          <w:p w:rsidR="007C5447" w:rsidRDefault="00F6308C">
            <w:pPr>
              <w:pStyle w:val="TableParagraph"/>
              <w:spacing w:before="55" w:line="224" w:lineRule="exact"/>
              <w:ind w:right="90"/>
              <w:rPr>
                <w:sz w:val="20"/>
              </w:rPr>
            </w:pPr>
            <w:r>
              <w:rPr>
                <w:sz w:val="20"/>
              </w:rPr>
              <w:t>187</w:t>
            </w:r>
          </w:p>
        </w:tc>
        <w:tc>
          <w:tcPr>
            <w:tcW w:w="1675" w:type="dxa"/>
          </w:tcPr>
          <w:p w:rsidR="007C5447" w:rsidRDefault="00F6308C">
            <w:pPr>
              <w:pStyle w:val="TableParagraph"/>
              <w:spacing w:before="55" w:line="224" w:lineRule="exact"/>
              <w:ind w:right="90"/>
              <w:rPr>
                <w:sz w:val="20"/>
              </w:rPr>
            </w:pPr>
            <w:r>
              <w:rPr>
                <w:sz w:val="20"/>
              </w:rPr>
              <w:t>187</w:t>
            </w:r>
          </w:p>
        </w:tc>
      </w:tr>
      <w:tr w:rsidR="007C5447">
        <w:trPr>
          <w:trHeight w:val="299"/>
        </w:trPr>
        <w:tc>
          <w:tcPr>
            <w:tcW w:w="1061" w:type="dxa"/>
          </w:tcPr>
          <w:p w:rsidR="007C5447" w:rsidRDefault="00F6308C">
            <w:pPr>
              <w:pStyle w:val="TableParagraph"/>
              <w:spacing w:before="36"/>
              <w:ind w:left="9"/>
              <w:jc w:val="center"/>
              <w:rPr>
                <w:sz w:val="20"/>
              </w:rPr>
            </w:pPr>
            <w:r>
              <w:rPr>
                <w:w w:val="99"/>
                <w:sz w:val="20"/>
              </w:rPr>
              <w:t>2</w:t>
            </w:r>
          </w:p>
        </w:tc>
        <w:tc>
          <w:tcPr>
            <w:tcW w:w="3269" w:type="dxa"/>
          </w:tcPr>
          <w:p w:rsidR="007C5447" w:rsidRDefault="00F6308C">
            <w:pPr>
              <w:pStyle w:val="TableParagraph"/>
              <w:spacing w:before="55" w:line="224" w:lineRule="exact"/>
              <w:ind w:left="108"/>
              <w:jc w:val="left"/>
              <w:rPr>
                <w:sz w:val="20"/>
              </w:rPr>
            </w:pPr>
            <w:r>
              <w:rPr>
                <w:sz w:val="20"/>
              </w:rPr>
              <w:t>Allocated Capacity</w:t>
            </w:r>
          </w:p>
        </w:tc>
        <w:tc>
          <w:tcPr>
            <w:tcW w:w="1456" w:type="dxa"/>
          </w:tcPr>
          <w:p w:rsidR="007C5447" w:rsidRDefault="00F6308C">
            <w:pPr>
              <w:pStyle w:val="TableParagraph"/>
              <w:spacing w:before="55" w:line="224" w:lineRule="exact"/>
              <w:ind w:left="108"/>
              <w:jc w:val="left"/>
              <w:rPr>
                <w:sz w:val="20"/>
              </w:rPr>
            </w:pPr>
            <w:r>
              <w:rPr>
                <w:sz w:val="20"/>
              </w:rPr>
              <w:t>MW</w:t>
            </w:r>
          </w:p>
        </w:tc>
        <w:tc>
          <w:tcPr>
            <w:tcW w:w="1677" w:type="dxa"/>
          </w:tcPr>
          <w:p w:rsidR="007C5447" w:rsidRDefault="00F6308C">
            <w:pPr>
              <w:pStyle w:val="TableParagraph"/>
              <w:spacing w:before="55" w:line="224" w:lineRule="exact"/>
              <w:ind w:right="91"/>
              <w:rPr>
                <w:sz w:val="20"/>
              </w:rPr>
            </w:pPr>
            <w:r>
              <w:rPr>
                <w:sz w:val="20"/>
              </w:rPr>
              <w:t>95</w:t>
            </w:r>
          </w:p>
        </w:tc>
        <w:tc>
          <w:tcPr>
            <w:tcW w:w="1680" w:type="dxa"/>
          </w:tcPr>
          <w:p w:rsidR="007C5447" w:rsidRDefault="00F6308C">
            <w:pPr>
              <w:pStyle w:val="TableParagraph"/>
              <w:spacing w:before="55" w:line="224" w:lineRule="exact"/>
              <w:ind w:right="93"/>
              <w:rPr>
                <w:sz w:val="20"/>
              </w:rPr>
            </w:pPr>
            <w:r>
              <w:rPr>
                <w:sz w:val="20"/>
              </w:rPr>
              <w:t>95</w:t>
            </w:r>
          </w:p>
        </w:tc>
        <w:tc>
          <w:tcPr>
            <w:tcW w:w="1677" w:type="dxa"/>
          </w:tcPr>
          <w:p w:rsidR="007C5447" w:rsidRDefault="00F6308C">
            <w:pPr>
              <w:pStyle w:val="TableParagraph"/>
              <w:spacing w:before="55" w:line="224" w:lineRule="exact"/>
              <w:ind w:right="90"/>
              <w:rPr>
                <w:sz w:val="20"/>
              </w:rPr>
            </w:pPr>
            <w:r>
              <w:rPr>
                <w:sz w:val="20"/>
              </w:rPr>
              <w:t>95</w:t>
            </w:r>
          </w:p>
        </w:tc>
        <w:tc>
          <w:tcPr>
            <w:tcW w:w="1678" w:type="dxa"/>
          </w:tcPr>
          <w:p w:rsidR="007C5447" w:rsidRDefault="00F6308C">
            <w:pPr>
              <w:pStyle w:val="TableParagraph"/>
              <w:spacing w:before="55" w:line="224" w:lineRule="exact"/>
              <w:ind w:right="90"/>
              <w:rPr>
                <w:sz w:val="20"/>
              </w:rPr>
            </w:pPr>
            <w:r>
              <w:rPr>
                <w:sz w:val="20"/>
              </w:rPr>
              <w:t>187</w:t>
            </w:r>
          </w:p>
        </w:tc>
        <w:tc>
          <w:tcPr>
            <w:tcW w:w="1675" w:type="dxa"/>
          </w:tcPr>
          <w:p w:rsidR="007C5447" w:rsidRDefault="00F6308C">
            <w:pPr>
              <w:pStyle w:val="TableParagraph"/>
              <w:spacing w:before="55" w:line="224" w:lineRule="exact"/>
              <w:ind w:right="90"/>
              <w:rPr>
                <w:sz w:val="20"/>
              </w:rPr>
            </w:pPr>
            <w:r>
              <w:rPr>
                <w:sz w:val="20"/>
              </w:rPr>
              <w:t>187</w:t>
            </w:r>
          </w:p>
        </w:tc>
      </w:tr>
      <w:tr w:rsidR="007C5447">
        <w:trPr>
          <w:trHeight w:val="301"/>
        </w:trPr>
        <w:tc>
          <w:tcPr>
            <w:tcW w:w="1061" w:type="dxa"/>
          </w:tcPr>
          <w:p w:rsidR="007C5447" w:rsidRDefault="00F6308C">
            <w:pPr>
              <w:pStyle w:val="TableParagraph"/>
              <w:spacing w:before="36"/>
              <w:ind w:left="9"/>
              <w:jc w:val="center"/>
              <w:rPr>
                <w:sz w:val="20"/>
              </w:rPr>
            </w:pPr>
            <w:r>
              <w:rPr>
                <w:w w:val="99"/>
                <w:sz w:val="20"/>
              </w:rPr>
              <w:t>3</w:t>
            </w:r>
          </w:p>
        </w:tc>
        <w:tc>
          <w:tcPr>
            <w:tcW w:w="3269" w:type="dxa"/>
          </w:tcPr>
          <w:p w:rsidR="007C5447" w:rsidRDefault="00F6308C">
            <w:pPr>
              <w:pStyle w:val="TableParagraph"/>
              <w:spacing w:before="55" w:line="227" w:lineRule="exact"/>
              <w:ind w:left="108"/>
              <w:jc w:val="left"/>
              <w:rPr>
                <w:sz w:val="20"/>
              </w:rPr>
            </w:pPr>
            <w:r>
              <w:rPr>
                <w:sz w:val="20"/>
              </w:rPr>
              <w:t>Days</w:t>
            </w:r>
          </w:p>
        </w:tc>
        <w:tc>
          <w:tcPr>
            <w:tcW w:w="1456" w:type="dxa"/>
          </w:tcPr>
          <w:p w:rsidR="007C5447" w:rsidRDefault="00F6308C">
            <w:pPr>
              <w:pStyle w:val="TableParagraph"/>
              <w:spacing w:before="55" w:line="227" w:lineRule="exact"/>
              <w:ind w:left="108"/>
              <w:jc w:val="left"/>
              <w:rPr>
                <w:sz w:val="20"/>
              </w:rPr>
            </w:pPr>
            <w:r>
              <w:rPr>
                <w:sz w:val="20"/>
              </w:rPr>
              <w:t>Nos.</w:t>
            </w:r>
          </w:p>
        </w:tc>
        <w:tc>
          <w:tcPr>
            <w:tcW w:w="1677" w:type="dxa"/>
          </w:tcPr>
          <w:p w:rsidR="007C5447" w:rsidRDefault="00F6308C">
            <w:pPr>
              <w:pStyle w:val="TableParagraph"/>
              <w:spacing w:before="55" w:line="227" w:lineRule="exact"/>
              <w:ind w:right="91"/>
              <w:rPr>
                <w:sz w:val="20"/>
              </w:rPr>
            </w:pPr>
            <w:r>
              <w:rPr>
                <w:sz w:val="20"/>
              </w:rPr>
              <w:t>366</w:t>
            </w:r>
          </w:p>
        </w:tc>
        <w:tc>
          <w:tcPr>
            <w:tcW w:w="1680" w:type="dxa"/>
          </w:tcPr>
          <w:p w:rsidR="007C5447" w:rsidRDefault="00F6308C">
            <w:pPr>
              <w:pStyle w:val="TableParagraph"/>
              <w:spacing w:before="55" w:line="227" w:lineRule="exact"/>
              <w:ind w:right="93"/>
              <w:rPr>
                <w:sz w:val="20"/>
              </w:rPr>
            </w:pPr>
            <w:r>
              <w:rPr>
                <w:sz w:val="20"/>
              </w:rPr>
              <w:t>365</w:t>
            </w:r>
          </w:p>
        </w:tc>
        <w:tc>
          <w:tcPr>
            <w:tcW w:w="1677" w:type="dxa"/>
          </w:tcPr>
          <w:p w:rsidR="007C5447" w:rsidRDefault="00F6308C">
            <w:pPr>
              <w:pStyle w:val="TableParagraph"/>
              <w:spacing w:before="55" w:line="227" w:lineRule="exact"/>
              <w:ind w:right="90"/>
              <w:rPr>
                <w:sz w:val="20"/>
              </w:rPr>
            </w:pPr>
            <w:r>
              <w:rPr>
                <w:sz w:val="20"/>
              </w:rPr>
              <w:t>365</w:t>
            </w:r>
          </w:p>
        </w:tc>
        <w:tc>
          <w:tcPr>
            <w:tcW w:w="1678" w:type="dxa"/>
          </w:tcPr>
          <w:p w:rsidR="007C5447" w:rsidRDefault="00F6308C">
            <w:pPr>
              <w:pStyle w:val="TableParagraph"/>
              <w:spacing w:before="55" w:line="227" w:lineRule="exact"/>
              <w:ind w:right="90"/>
              <w:rPr>
                <w:sz w:val="20"/>
              </w:rPr>
            </w:pPr>
            <w:r>
              <w:rPr>
                <w:sz w:val="20"/>
              </w:rPr>
              <w:t>365</w:t>
            </w:r>
          </w:p>
        </w:tc>
        <w:tc>
          <w:tcPr>
            <w:tcW w:w="1675" w:type="dxa"/>
          </w:tcPr>
          <w:p w:rsidR="007C5447" w:rsidRDefault="00F6308C">
            <w:pPr>
              <w:pStyle w:val="TableParagraph"/>
              <w:spacing w:before="55" w:line="227" w:lineRule="exact"/>
              <w:ind w:right="90"/>
              <w:rPr>
                <w:sz w:val="20"/>
              </w:rPr>
            </w:pPr>
            <w:r>
              <w:rPr>
                <w:sz w:val="20"/>
              </w:rPr>
              <w:t>366</w:t>
            </w:r>
          </w:p>
        </w:tc>
      </w:tr>
      <w:tr w:rsidR="007C5447">
        <w:trPr>
          <w:trHeight w:val="299"/>
        </w:trPr>
        <w:tc>
          <w:tcPr>
            <w:tcW w:w="1061" w:type="dxa"/>
          </w:tcPr>
          <w:p w:rsidR="007C5447" w:rsidRDefault="00F6308C">
            <w:pPr>
              <w:pStyle w:val="TableParagraph"/>
              <w:spacing w:before="34"/>
              <w:ind w:left="9"/>
              <w:jc w:val="center"/>
              <w:rPr>
                <w:sz w:val="20"/>
              </w:rPr>
            </w:pPr>
            <w:r>
              <w:rPr>
                <w:w w:val="99"/>
                <w:sz w:val="20"/>
              </w:rPr>
              <w:t>4</w:t>
            </w:r>
          </w:p>
        </w:tc>
        <w:tc>
          <w:tcPr>
            <w:tcW w:w="3269" w:type="dxa"/>
          </w:tcPr>
          <w:p w:rsidR="007C5447" w:rsidRDefault="00F6308C">
            <w:pPr>
              <w:pStyle w:val="TableParagraph"/>
              <w:spacing w:before="55" w:line="224" w:lineRule="exact"/>
              <w:ind w:left="108"/>
              <w:jc w:val="left"/>
              <w:rPr>
                <w:sz w:val="20"/>
              </w:rPr>
            </w:pPr>
            <w:r>
              <w:rPr>
                <w:sz w:val="20"/>
              </w:rPr>
              <w:t>PLF</w:t>
            </w:r>
          </w:p>
        </w:tc>
        <w:tc>
          <w:tcPr>
            <w:tcW w:w="1456" w:type="dxa"/>
          </w:tcPr>
          <w:p w:rsidR="007C5447" w:rsidRDefault="00F6308C">
            <w:pPr>
              <w:pStyle w:val="TableParagraph"/>
              <w:spacing w:before="55" w:line="224" w:lineRule="exact"/>
              <w:ind w:left="108"/>
              <w:jc w:val="left"/>
              <w:rPr>
                <w:sz w:val="20"/>
              </w:rPr>
            </w:pPr>
            <w:r>
              <w:rPr>
                <w:w w:val="99"/>
                <w:sz w:val="20"/>
              </w:rPr>
              <w:t>%</w:t>
            </w:r>
          </w:p>
        </w:tc>
        <w:tc>
          <w:tcPr>
            <w:tcW w:w="1677" w:type="dxa"/>
          </w:tcPr>
          <w:p w:rsidR="007C5447" w:rsidRDefault="00F6308C">
            <w:pPr>
              <w:pStyle w:val="TableParagraph"/>
              <w:spacing w:before="55" w:line="224" w:lineRule="exact"/>
              <w:ind w:right="92"/>
              <w:rPr>
                <w:sz w:val="20"/>
              </w:rPr>
            </w:pPr>
            <w:r>
              <w:rPr>
                <w:sz w:val="20"/>
              </w:rPr>
              <w:t>79.15%</w:t>
            </w:r>
          </w:p>
        </w:tc>
        <w:tc>
          <w:tcPr>
            <w:tcW w:w="1680" w:type="dxa"/>
          </w:tcPr>
          <w:p w:rsidR="007C5447" w:rsidRDefault="00F6308C">
            <w:pPr>
              <w:pStyle w:val="TableParagraph"/>
              <w:spacing w:before="55" w:line="224" w:lineRule="exact"/>
              <w:ind w:right="94"/>
              <w:rPr>
                <w:sz w:val="20"/>
              </w:rPr>
            </w:pPr>
            <w:r>
              <w:rPr>
                <w:sz w:val="20"/>
              </w:rPr>
              <w:t>54.00%</w:t>
            </w:r>
          </w:p>
        </w:tc>
        <w:tc>
          <w:tcPr>
            <w:tcW w:w="1677" w:type="dxa"/>
          </w:tcPr>
          <w:p w:rsidR="007C5447" w:rsidRDefault="00F6308C">
            <w:pPr>
              <w:pStyle w:val="TableParagraph"/>
              <w:spacing w:before="55" w:line="224" w:lineRule="exact"/>
              <w:ind w:right="91"/>
              <w:rPr>
                <w:sz w:val="20"/>
              </w:rPr>
            </w:pPr>
            <w:r>
              <w:rPr>
                <w:sz w:val="20"/>
              </w:rPr>
              <w:t>87.64%</w:t>
            </w:r>
          </w:p>
        </w:tc>
        <w:tc>
          <w:tcPr>
            <w:tcW w:w="1678" w:type="dxa"/>
          </w:tcPr>
          <w:p w:rsidR="007C5447" w:rsidRDefault="00F6308C">
            <w:pPr>
              <w:pStyle w:val="TableParagraph"/>
              <w:spacing w:before="55" w:line="224" w:lineRule="exact"/>
              <w:ind w:right="91"/>
              <w:rPr>
                <w:sz w:val="20"/>
              </w:rPr>
            </w:pPr>
            <w:r>
              <w:rPr>
                <w:sz w:val="20"/>
              </w:rPr>
              <w:t>64.95%</w:t>
            </w:r>
          </w:p>
        </w:tc>
        <w:tc>
          <w:tcPr>
            <w:tcW w:w="1675" w:type="dxa"/>
          </w:tcPr>
          <w:p w:rsidR="007C5447" w:rsidRDefault="00F6308C">
            <w:pPr>
              <w:pStyle w:val="TableParagraph"/>
              <w:spacing w:before="55" w:line="224" w:lineRule="exact"/>
              <w:ind w:right="91"/>
              <w:rPr>
                <w:sz w:val="20"/>
              </w:rPr>
            </w:pPr>
            <w:r>
              <w:rPr>
                <w:sz w:val="20"/>
              </w:rPr>
              <w:t>86.63%</w:t>
            </w:r>
          </w:p>
        </w:tc>
      </w:tr>
      <w:tr w:rsidR="007C5447">
        <w:trPr>
          <w:trHeight w:val="300"/>
        </w:trPr>
        <w:tc>
          <w:tcPr>
            <w:tcW w:w="1061" w:type="dxa"/>
          </w:tcPr>
          <w:p w:rsidR="007C5447" w:rsidRDefault="00F6308C">
            <w:pPr>
              <w:pStyle w:val="TableParagraph"/>
              <w:spacing w:before="34"/>
              <w:ind w:left="9"/>
              <w:jc w:val="center"/>
              <w:rPr>
                <w:sz w:val="20"/>
              </w:rPr>
            </w:pPr>
            <w:r>
              <w:rPr>
                <w:w w:val="99"/>
                <w:sz w:val="20"/>
              </w:rPr>
              <w:t>5</w:t>
            </w:r>
          </w:p>
        </w:tc>
        <w:tc>
          <w:tcPr>
            <w:tcW w:w="3269" w:type="dxa"/>
          </w:tcPr>
          <w:p w:rsidR="007C5447" w:rsidRDefault="00F6308C">
            <w:pPr>
              <w:pStyle w:val="TableParagraph"/>
              <w:spacing w:before="55" w:line="225" w:lineRule="exact"/>
              <w:ind w:left="108"/>
              <w:jc w:val="left"/>
              <w:rPr>
                <w:sz w:val="20"/>
              </w:rPr>
            </w:pPr>
            <w:r>
              <w:rPr>
                <w:sz w:val="20"/>
              </w:rPr>
              <w:t>Gross Generation</w:t>
            </w:r>
          </w:p>
        </w:tc>
        <w:tc>
          <w:tcPr>
            <w:tcW w:w="1456" w:type="dxa"/>
          </w:tcPr>
          <w:p w:rsidR="007C5447" w:rsidRDefault="00F6308C">
            <w:pPr>
              <w:pStyle w:val="TableParagraph"/>
              <w:spacing w:before="55" w:line="225" w:lineRule="exact"/>
              <w:ind w:left="108"/>
              <w:jc w:val="left"/>
              <w:rPr>
                <w:sz w:val="20"/>
              </w:rPr>
            </w:pPr>
            <w:r>
              <w:rPr>
                <w:sz w:val="20"/>
              </w:rPr>
              <w:t>MU</w:t>
            </w:r>
          </w:p>
        </w:tc>
        <w:tc>
          <w:tcPr>
            <w:tcW w:w="1677" w:type="dxa"/>
          </w:tcPr>
          <w:p w:rsidR="007C5447" w:rsidRDefault="00F6308C">
            <w:pPr>
              <w:pStyle w:val="TableParagraph"/>
              <w:spacing w:before="55" w:line="225" w:lineRule="exact"/>
              <w:ind w:right="96"/>
              <w:rPr>
                <w:sz w:val="20"/>
              </w:rPr>
            </w:pPr>
            <w:r>
              <w:rPr>
                <w:w w:val="95"/>
                <w:sz w:val="20"/>
              </w:rPr>
              <w:t>660.52</w:t>
            </w:r>
          </w:p>
        </w:tc>
        <w:tc>
          <w:tcPr>
            <w:tcW w:w="1680" w:type="dxa"/>
          </w:tcPr>
          <w:p w:rsidR="007C5447" w:rsidRDefault="00F6308C">
            <w:pPr>
              <w:pStyle w:val="TableParagraph"/>
              <w:spacing w:before="55" w:line="225" w:lineRule="exact"/>
              <w:ind w:right="98"/>
              <w:rPr>
                <w:sz w:val="20"/>
              </w:rPr>
            </w:pPr>
            <w:r>
              <w:rPr>
                <w:w w:val="95"/>
                <w:sz w:val="20"/>
              </w:rPr>
              <w:t>449.40</w:t>
            </w:r>
          </w:p>
        </w:tc>
        <w:tc>
          <w:tcPr>
            <w:tcW w:w="1677" w:type="dxa"/>
          </w:tcPr>
          <w:p w:rsidR="007C5447" w:rsidRDefault="00F6308C">
            <w:pPr>
              <w:pStyle w:val="TableParagraph"/>
              <w:spacing w:before="55" w:line="225" w:lineRule="exact"/>
              <w:ind w:right="95"/>
              <w:rPr>
                <w:sz w:val="20"/>
              </w:rPr>
            </w:pPr>
            <w:r>
              <w:rPr>
                <w:w w:val="95"/>
                <w:sz w:val="20"/>
              </w:rPr>
              <w:t>729.33</w:t>
            </w:r>
          </w:p>
        </w:tc>
        <w:tc>
          <w:tcPr>
            <w:tcW w:w="1678" w:type="dxa"/>
          </w:tcPr>
          <w:p w:rsidR="007C5447" w:rsidRDefault="00F6308C">
            <w:pPr>
              <w:pStyle w:val="TableParagraph"/>
              <w:spacing w:before="55" w:line="225" w:lineRule="exact"/>
              <w:ind w:right="93"/>
              <w:rPr>
                <w:sz w:val="20"/>
              </w:rPr>
            </w:pPr>
            <w:r>
              <w:rPr>
                <w:w w:val="95"/>
                <w:sz w:val="20"/>
              </w:rPr>
              <w:t>1,063.93</w:t>
            </w:r>
          </w:p>
        </w:tc>
        <w:tc>
          <w:tcPr>
            <w:tcW w:w="1675" w:type="dxa"/>
          </w:tcPr>
          <w:p w:rsidR="007C5447" w:rsidRDefault="00F6308C">
            <w:pPr>
              <w:pStyle w:val="TableParagraph"/>
              <w:spacing w:before="55" w:line="225" w:lineRule="exact"/>
              <w:ind w:right="92"/>
              <w:rPr>
                <w:sz w:val="20"/>
              </w:rPr>
            </w:pPr>
            <w:r>
              <w:rPr>
                <w:w w:val="95"/>
                <w:sz w:val="20"/>
              </w:rPr>
              <w:t>1,422.95</w:t>
            </w:r>
          </w:p>
        </w:tc>
      </w:tr>
      <w:tr w:rsidR="007C5447">
        <w:trPr>
          <w:trHeight w:val="299"/>
        </w:trPr>
        <w:tc>
          <w:tcPr>
            <w:tcW w:w="1061" w:type="dxa"/>
          </w:tcPr>
          <w:p w:rsidR="007C5447" w:rsidRDefault="00F6308C">
            <w:pPr>
              <w:pStyle w:val="TableParagraph"/>
              <w:spacing w:before="36"/>
              <w:ind w:left="9"/>
              <w:jc w:val="center"/>
              <w:rPr>
                <w:sz w:val="20"/>
              </w:rPr>
            </w:pPr>
            <w:r>
              <w:rPr>
                <w:w w:val="99"/>
                <w:sz w:val="20"/>
              </w:rPr>
              <w:t>6</w:t>
            </w:r>
          </w:p>
        </w:tc>
        <w:tc>
          <w:tcPr>
            <w:tcW w:w="3269" w:type="dxa"/>
          </w:tcPr>
          <w:p w:rsidR="007C5447" w:rsidRDefault="00F6308C">
            <w:pPr>
              <w:pStyle w:val="TableParagraph"/>
              <w:spacing w:before="55" w:line="224" w:lineRule="exact"/>
              <w:ind w:left="108"/>
              <w:jc w:val="left"/>
              <w:rPr>
                <w:sz w:val="20"/>
              </w:rPr>
            </w:pPr>
            <w:r>
              <w:rPr>
                <w:sz w:val="20"/>
              </w:rPr>
              <w:t>Auxiliary consumption</w:t>
            </w:r>
          </w:p>
        </w:tc>
        <w:tc>
          <w:tcPr>
            <w:tcW w:w="1456" w:type="dxa"/>
          </w:tcPr>
          <w:p w:rsidR="007C5447" w:rsidRDefault="00F6308C">
            <w:pPr>
              <w:pStyle w:val="TableParagraph"/>
              <w:spacing w:before="55" w:line="224" w:lineRule="exact"/>
              <w:ind w:left="108"/>
              <w:jc w:val="left"/>
              <w:rPr>
                <w:sz w:val="20"/>
              </w:rPr>
            </w:pPr>
            <w:r>
              <w:rPr>
                <w:w w:val="99"/>
                <w:sz w:val="20"/>
              </w:rPr>
              <w:t>%</w:t>
            </w:r>
          </w:p>
        </w:tc>
        <w:tc>
          <w:tcPr>
            <w:tcW w:w="1677" w:type="dxa"/>
          </w:tcPr>
          <w:p w:rsidR="007C5447" w:rsidRDefault="00F6308C">
            <w:pPr>
              <w:pStyle w:val="TableParagraph"/>
              <w:spacing w:before="55" w:line="224" w:lineRule="exact"/>
              <w:ind w:right="92"/>
              <w:rPr>
                <w:sz w:val="20"/>
              </w:rPr>
            </w:pPr>
            <w:r>
              <w:rPr>
                <w:sz w:val="20"/>
              </w:rPr>
              <w:t>5.87%</w:t>
            </w:r>
          </w:p>
        </w:tc>
        <w:tc>
          <w:tcPr>
            <w:tcW w:w="1680" w:type="dxa"/>
          </w:tcPr>
          <w:p w:rsidR="007C5447" w:rsidRDefault="00F6308C">
            <w:pPr>
              <w:pStyle w:val="TableParagraph"/>
              <w:spacing w:before="55" w:line="224" w:lineRule="exact"/>
              <w:ind w:right="94"/>
              <w:rPr>
                <w:sz w:val="20"/>
              </w:rPr>
            </w:pPr>
            <w:r>
              <w:rPr>
                <w:sz w:val="20"/>
              </w:rPr>
              <w:t>6.00%</w:t>
            </w:r>
          </w:p>
        </w:tc>
        <w:tc>
          <w:tcPr>
            <w:tcW w:w="1677" w:type="dxa"/>
          </w:tcPr>
          <w:p w:rsidR="007C5447" w:rsidRDefault="00F6308C">
            <w:pPr>
              <w:pStyle w:val="TableParagraph"/>
              <w:spacing w:before="55" w:line="224" w:lineRule="exact"/>
              <w:ind w:right="91"/>
              <w:rPr>
                <w:sz w:val="20"/>
              </w:rPr>
            </w:pPr>
            <w:r>
              <w:rPr>
                <w:sz w:val="20"/>
              </w:rPr>
              <w:t>6.00%</w:t>
            </w:r>
          </w:p>
        </w:tc>
        <w:tc>
          <w:tcPr>
            <w:tcW w:w="1678" w:type="dxa"/>
          </w:tcPr>
          <w:p w:rsidR="007C5447" w:rsidRDefault="00F6308C">
            <w:pPr>
              <w:pStyle w:val="TableParagraph"/>
              <w:spacing w:before="55" w:line="224" w:lineRule="exact"/>
              <w:ind w:right="91"/>
              <w:rPr>
                <w:sz w:val="20"/>
              </w:rPr>
            </w:pPr>
            <w:r>
              <w:rPr>
                <w:sz w:val="20"/>
              </w:rPr>
              <w:t>6.00%</w:t>
            </w:r>
          </w:p>
        </w:tc>
        <w:tc>
          <w:tcPr>
            <w:tcW w:w="1675" w:type="dxa"/>
          </w:tcPr>
          <w:p w:rsidR="007C5447" w:rsidRDefault="00F6308C">
            <w:pPr>
              <w:pStyle w:val="TableParagraph"/>
              <w:spacing w:before="55" w:line="224" w:lineRule="exact"/>
              <w:ind w:right="90"/>
              <w:rPr>
                <w:sz w:val="20"/>
              </w:rPr>
            </w:pPr>
            <w:r>
              <w:rPr>
                <w:sz w:val="20"/>
              </w:rPr>
              <w:t>6.00%</w:t>
            </w:r>
          </w:p>
        </w:tc>
      </w:tr>
      <w:tr w:rsidR="007C5447">
        <w:trPr>
          <w:trHeight w:val="299"/>
        </w:trPr>
        <w:tc>
          <w:tcPr>
            <w:tcW w:w="1061" w:type="dxa"/>
          </w:tcPr>
          <w:p w:rsidR="007C5447" w:rsidRDefault="00F6308C">
            <w:pPr>
              <w:pStyle w:val="TableParagraph"/>
              <w:spacing w:before="36"/>
              <w:ind w:left="9"/>
              <w:jc w:val="center"/>
              <w:rPr>
                <w:sz w:val="20"/>
              </w:rPr>
            </w:pPr>
            <w:r>
              <w:rPr>
                <w:w w:val="99"/>
                <w:sz w:val="20"/>
              </w:rPr>
              <w:t>7</w:t>
            </w:r>
          </w:p>
        </w:tc>
        <w:tc>
          <w:tcPr>
            <w:tcW w:w="3269" w:type="dxa"/>
          </w:tcPr>
          <w:p w:rsidR="007C5447" w:rsidRDefault="00F6308C">
            <w:pPr>
              <w:pStyle w:val="TableParagraph"/>
              <w:spacing w:before="55" w:line="224" w:lineRule="exact"/>
              <w:ind w:left="108"/>
              <w:jc w:val="left"/>
              <w:rPr>
                <w:sz w:val="20"/>
              </w:rPr>
            </w:pPr>
            <w:r>
              <w:rPr>
                <w:sz w:val="20"/>
              </w:rPr>
              <w:t>Net Generation MU</w:t>
            </w:r>
          </w:p>
        </w:tc>
        <w:tc>
          <w:tcPr>
            <w:tcW w:w="1456" w:type="dxa"/>
          </w:tcPr>
          <w:p w:rsidR="007C5447" w:rsidRDefault="00F6308C">
            <w:pPr>
              <w:pStyle w:val="TableParagraph"/>
              <w:spacing w:before="55" w:line="224" w:lineRule="exact"/>
              <w:ind w:left="108"/>
              <w:jc w:val="left"/>
              <w:rPr>
                <w:sz w:val="20"/>
              </w:rPr>
            </w:pPr>
            <w:r>
              <w:rPr>
                <w:sz w:val="20"/>
              </w:rPr>
              <w:t>MU</w:t>
            </w:r>
          </w:p>
        </w:tc>
        <w:tc>
          <w:tcPr>
            <w:tcW w:w="1677" w:type="dxa"/>
          </w:tcPr>
          <w:p w:rsidR="007C5447" w:rsidRDefault="00F6308C">
            <w:pPr>
              <w:pStyle w:val="TableParagraph"/>
              <w:spacing w:before="55" w:line="224" w:lineRule="exact"/>
              <w:ind w:right="93"/>
              <w:rPr>
                <w:sz w:val="20"/>
              </w:rPr>
            </w:pPr>
            <w:r>
              <w:rPr>
                <w:w w:val="95"/>
                <w:sz w:val="20"/>
              </w:rPr>
              <w:t>621.75</w:t>
            </w:r>
          </w:p>
        </w:tc>
        <w:tc>
          <w:tcPr>
            <w:tcW w:w="1680" w:type="dxa"/>
          </w:tcPr>
          <w:p w:rsidR="007C5447" w:rsidRDefault="00F6308C">
            <w:pPr>
              <w:pStyle w:val="TableParagraph"/>
              <w:spacing w:before="55" w:line="224" w:lineRule="exact"/>
              <w:ind w:right="95"/>
              <w:rPr>
                <w:sz w:val="20"/>
              </w:rPr>
            </w:pPr>
            <w:r>
              <w:rPr>
                <w:w w:val="95"/>
                <w:sz w:val="20"/>
              </w:rPr>
              <w:t>422.44</w:t>
            </w:r>
          </w:p>
        </w:tc>
        <w:tc>
          <w:tcPr>
            <w:tcW w:w="1677" w:type="dxa"/>
          </w:tcPr>
          <w:p w:rsidR="007C5447" w:rsidRDefault="00F6308C">
            <w:pPr>
              <w:pStyle w:val="TableParagraph"/>
              <w:spacing w:before="55" w:line="224" w:lineRule="exact"/>
              <w:ind w:right="92"/>
              <w:rPr>
                <w:sz w:val="20"/>
              </w:rPr>
            </w:pPr>
            <w:r>
              <w:rPr>
                <w:w w:val="95"/>
                <w:sz w:val="20"/>
              </w:rPr>
              <w:t>685.57</w:t>
            </w:r>
          </w:p>
        </w:tc>
        <w:tc>
          <w:tcPr>
            <w:tcW w:w="1678" w:type="dxa"/>
          </w:tcPr>
          <w:p w:rsidR="007C5447" w:rsidRDefault="00F6308C">
            <w:pPr>
              <w:pStyle w:val="TableParagraph"/>
              <w:spacing w:before="55" w:line="224" w:lineRule="exact"/>
              <w:ind w:right="92"/>
              <w:rPr>
                <w:sz w:val="20"/>
              </w:rPr>
            </w:pPr>
            <w:r>
              <w:rPr>
                <w:sz w:val="20"/>
              </w:rPr>
              <w:t>1000.10</w:t>
            </w:r>
          </w:p>
        </w:tc>
        <w:tc>
          <w:tcPr>
            <w:tcW w:w="1675" w:type="dxa"/>
          </w:tcPr>
          <w:p w:rsidR="007C5447" w:rsidRDefault="00F6308C">
            <w:pPr>
              <w:pStyle w:val="TableParagraph"/>
              <w:spacing w:before="55" w:line="224" w:lineRule="exact"/>
              <w:ind w:right="92"/>
              <w:rPr>
                <w:sz w:val="20"/>
              </w:rPr>
            </w:pPr>
            <w:r>
              <w:rPr>
                <w:sz w:val="20"/>
              </w:rPr>
              <w:t>1337.57</w:t>
            </w:r>
          </w:p>
        </w:tc>
      </w:tr>
      <w:tr w:rsidR="007C5447">
        <w:trPr>
          <w:trHeight w:val="330"/>
        </w:trPr>
        <w:tc>
          <w:tcPr>
            <w:tcW w:w="1061" w:type="dxa"/>
            <w:shd w:val="clear" w:color="auto" w:fill="ECECEC"/>
          </w:tcPr>
          <w:p w:rsidR="007C5447" w:rsidRDefault="007C5447">
            <w:pPr>
              <w:pStyle w:val="TableParagraph"/>
              <w:jc w:val="left"/>
              <w:rPr>
                <w:sz w:val="20"/>
              </w:rPr>
            </w:pPr>
          </w:p>
        </w:tc>
        <w:tc>
          <w:tcPr>
            <w:tcW w:w="3269" w:type="dxa"/>
            <w:shd w:val="clear" w:color="auto" w:fill="ECECEC"/>
          </w:tcPr>
          <w:p w:rsidR="007C5447" w:rsidRDefault="00F6308C">
            <w:pPr>
              <w:pStyle w:val="TableParagraph"/>
              <w:spacing w:before="86" w:line="224" w:lineRule="exact"/>
              <w:ind w:left="108"/>
              <w:jc w:val="left"/>
              <w:rPr>
                <w:b/>
                <w:sz w:val="20"/>
              </w:rPr>
            </w:pPr>
            <w:r>
              <w:rPr>
                <w:b/>
                <w:sz w:val="20"/>
              </w:rPr>
              <w:t>Variable Cost - Parameters</w:t>
            </w:r>
          </w:p>
        </w:tc>
        <w:tc>
          <w:tcPr>
            <w:tcW w:w="1456" w:type="dxa"/>
            <w:shd w:val="clear" w:color="auto" w:fill="ECECEC"/>
          </w:tcPr>
          <w:p w:rsidR="007C5447" w:rsidRDefault="007C5447">
            <w:pPr>
              <w:pStyle w:val="TableParagraph"/>
              <w:jc w:val="left"/>
              <w:rPr>
                <w:sz w:val="20"/>
              </w:rPr>
            </w:pPr>
          </w:p>
        </w:tc>
        <w:tc>
          <w:tcPr>
            <w:tcW w:w="1677" w:type="dxa"/>
            <w:shd w:val="clear" w:color="auto" w:fill="ECECEC"/>
          </w:tcPr>
          <w:p w:rsidR="007C5447" w:rsidRDefault="007C5447">
            <w:pPr>
              <w:pStyle w:val="TableParagraph"/>
              <w:jc w:val="left"/>
              <w:rPr>
                <w:sz w:val="20"/>
              </w:rPr>
            </w:pPr>
          </w:p>
        </w:tc>
        <w:tc>
          <w:tcPr>
            <w:tcW w:w="1680" w:type="dxa"/>
            <w:shd w:val="clear" w:color="auto" w:fill="ECECEC"/>
          </w:tcPr>
          <w:p w:rsidR="007C5447" w:rsidRDefault="007C5447">
            <w:pPr>
              <w:pStyle w:val="TableParagraph"/>
              <w:jc w:val="left"/>
              <w:rPr>
                <w:sz w:val="20"/>
              </w:rPr>
            </w:pPr>
          </w:p>
        </w:tc>
        <w:tc>
          <w:tcPr>
            <w:tcW w:w="1677" w:type="dxa"/>
            <w:shd w:val="clear" w:color="auto" w:fill="ECECEC"/>
          </w:tcPr>
          <w:p w:rsidR="007C5447" w:rsidRDefault="007C5447">
            <w:pPr>
              <w:pStyle w:val="TableParagraph"/>
              <w:jc w:val="left"/>
              <w:rPr>
                <w:sz w:val="20"/>
              </w:rPr>
            </w:pPr>
          </w:p>
        </w:tc>
        <w:tc>
          <w:tcPr>
            <w:tcW w:w="1678" w:type="dxa"/>
            <w:shd w:val="clear" w:color="auto" w:fill="ECECEC"/>
          </w:tcPr>
          <w:p w:rsidR="007C5447" w:rsidRDefault="007C5447">
            <w:pPr>
              <w:pStyle w:val="TableParagraph"/>
              <w:jc w:val="left"/>
              <w:rPr>
                <w:sz w:val="20"/>
              </w:rPr>
            </w:pPr>
          </w:p>
        </w:tc>
        <w:tc>
          <w:tcPr>
            <w:tcW w:w="1675" w:type="dxa"/>
            <w:shd w:val="clear" w:color="auto" w:fill="ECECEC"/>
          </w:tcPr>
          <w:p w:rsidR="007C5447" w:rsidRDefault="007C5447">
            <w:pPr>
              <w:pStyle w:val="TableParagraph"/>
              <w:jc w:val="left"/>
              <w:rPr>
                <w:sz w:val="20"/>
              </w:rPr>
            </w:pPr>
          </w:p>
        </w:tc>
      </w:tr>
      <w:tr w:rsidR="007C5447">
        <w:trPr>
          <w:trHeight w:val="299"/>
        </w:trPr>
        <w:tc>
          <w:tcPr>
            <w:tcW w:w="1061" w:type="dxa"/>
          </w:tcPr>
          <w:p w:rsidR="007C5447" w:rsidRDefault="00F6308C">
            <w:pPr>
              <w:pStyle w:val="TableParagraph"/>
              <w:spacing w:before="36"/>
              <w:ind w:left="9"/>
              <w:jc w:val="center"/>
              <w:rPr>
                <w:sz w:val="20"/>
              </w:rPr>
            </w:pPr>
            <w:r>
              <w:rPr>
                <w:w w:val="99"/>
                <w:sz w:val="20"/>
              </w:rPr>
              <w:t>8</w:t>
            </w:r>
          </w:p>
        </w:tc>
        <w:tc>
          <w:tcPr>
            <w:tcW w:w="3269" w:type="dxa"/>
          </w:tcPr>
          <w:p w:rsidR="007C5447" w:rsidRDefault="00F6308C">
            <w:pPr>
              <w:pStyle w:val="TableParagraph"/>
              <w:spacing w:before="55" w:line="224" w:lineRule="exact"/>
              <w:ind w:left="108"/>
              <w:jc w:val="left"/>
              <w:rPr>
                <w:sz w:val="20"/>
              </w:rPr>
            </w:pPr>
            <w:r>
              <w:rPr>
                <w:sz w:val="20"/>
              </w:rPr>
              <w:t>Station Heat rate</w:t>
            </w:r>
          </w:p>
        </w:tc>
        <w:tc>
          <w:tcPr>
            <w:tcW w:w="1456" w:type="dxa"/>
          </w:tcPr>
          <w:p w:rsidR="007C5447" w:rsidRDefault="00F6308C">
            <w:pPr>
              <w:pStyle w:val="TableParagraph"/>
              <w:spacing w:before="55" w:line="224" w:lineRule="exact"/>
              <w:ind w:left="108"/>
              <w:jc w:val="left"/>
              <w:rPr>
                <w:sz w:val="20"/>
              </w:rPr>
            </w:pPr>
            <w:r>
              <w:rPr>
                <w:sz w:val="20"/>
              </w:rPr>
              <w:t>kCal/kWh</w:t>
            </w:r>
          </w:p>
        </w:tc>
        <w:tc>
          <w:tcPr>
            <w:tcW w:w="1677" w:type="dxa"/>
          </w:tcPr>
          <w:p w:rsidR="007C5447" w:rsidRDefault="00F6308C">
            <w:pPr>
              <w:pStyle w:val="TableParagraph"/>
              <w:spacing w:before="55" w:line="224" w:lineRule="exact"/>
              <w:ind w:right="94"/>
              <w:rPr>
                <w:sz w:val="20"/>
              </w:rPr>
            </w:pPr>
            <w:r>
              <w:rPr>
                <w:w w:val="95"/>
                <w:sz w:val="20"/>
              </w:rPr>
              <w:t>1,850.00</w:t>
            </w:r>
          </w:p>
        </w:tc>
        <w:tc>
          <w:tcPr>
            <w:tcW w:w="1680" w:type="dxa"/>
          </w:tcPr>
          <w:p w:rsidR="007C5447" w:rsidRDefault="00F6308C">
            <w:pPr>
              <w:pStyle w:val="TableParagraph"/>
              <w:spacing w:before="55" w:line="224" w:lineRule="exact"/>
              <w:ind w:right="96"/>
              <w:rPr>
                <w:sz w:val="20"/>
              </w:rPr>
            </w:pPr>
            <w:r>
              <w:rPr>
                <w:w w:val="95"/>
                <w:sz w:val="20"/>
              </w:rPr>
              <w:t>1,850.00</w:t>
            </w:r>
          </w:p>
        </w:tc>
        <w:tc>
          <w:tcPr>
            <w:tcW w:w="1677" w:type="dxa"/>
          </w:tcPr>
          <w:p w:rsidR="007C5447" w:rsidRDefault="00F6308C">
            <w:pPr>
              <w:pStyle w:val="TableParagraph"/>
              <w:spacing w:before="55" w:line="224" w:lineRule="exact"/>
              <w:ind w:right="93"/>
              <w:rPr>
                <w:sz w:val="20"/>
              </w:rPr>
            </w:pPr>
            <w:r>
              <w:rPr>
                <w:w w:val="95"/>
                <w:sz w:val="20"/>
              </w:rPr>
              <w:t>1,850.00</w:t>
            </w:r>
          </w:p>
        </w:tc>
        <w:tc>
          <w:tcPr>
            <w:tcW w:w="1678" w:type="dxa"/>
          </w:tcPr>
          <w:p w:rsidR="007C5447" w:rsidRDefault="00F6308C">
            <w:pPr>
              <w:pStyle w:val="TableParagraph"/>
              <w:spacing w:before="55" w:line="224" w:lineRule="exact"/>
              <w:ind w:right="93"/>
              <w:rPr>
                <w:sz w:val="20"/>
              </w:rPr>
            </w:pPr>
            <w:r>
              <w:rPr>
                <w:w w:val="95"/>
                <w:sz w:val="20"/>
              </w:rPr>
              <w:t>1,850.00</w:t>
            </w:r>
          </w:p>
        </w:tc>
        <w:tc>
          <w:tcPr>
            <w:tcW w:w="1675" w:type="dxa"/>
          </w:tcPr>
          <w:p w:rsidR="007C5447" w:rsidRDefault="00F6308C">
            <w:pPr>
              <w:pStyle w:val="TableParagraph"/>
              <w:spacing w:before="55" w:line="224" w:lineRule="exact"/>
              <w:ind w:right="92"/>
              <w:rPr>
                <w:sz w:val="20"/>
              </w:rPr>
            </w:pPr>
            <w:r>
              <w:rPr>
                <w:w w:val="95"/>
                <w:sz w:val="20"/>
              </w:rPr>
              <w:t>1,850.00</w:t>
            </w:r>
          </w:p>
        </w:tc>
      </w:tr>
      <w:tr w:rsidR="007C5447">
        <w:trPr>
          <w:trHeight w:val="299"/>
        </w:trPr>
        <w:tc>
          <w:tcPr>
            <w:tcW w:w="1061" w:type="dxa"/>
          </w:tcPr>
          <w:p w:rsidR="007C5447" w:rsidRDefault="00F6308C">
            <w:pPr>
              <w:pStyle w:val="TableParagraph"/>
              <w:spacing w:before="36"/>
              <w:ind w:left="9"/>
              <w:jc w:val="center"/>
              <w:rPr>
                <w:sz w:val="20"/>
              </w:rPr>
            </w:pPr>
            <w:r>
              <w:rPr>
                <w:w w:val="99"/>
                <w:sz w:val="20"/>
              </w:rPr>
              <w:t>9</w:t>
            </w:r>
          </w:p>
        </w:tc>
        <w:tc>
          <w:tcPr>
            <w:tcW w:w="3269" w:type="dxa"/>
          </w:tcPr>
          <w:p w:rsidR="007C5447" w:rsidRDefault="00F6308C">
            <w:pPr>
              <w:pStyle w:val="TableParagraph"/>
              <w:spacing w:before="55" w:line="224" w:lineRule="exact"/>
              <w:ind w:left="108"/>
              <w:jc w:val="left"/>
              <w:rPr>
                <w:sz w:val="20"/>
              </w:rPr>
            </w:pPr>
            <w:r>
              <w:rPr>
                <w:sz w:val="20"/>
              </w:rPr>
              <w:t>GCV of Primary Fuel</w:t>
            </w:r>
          </w:p>
        </w:tc>
        <w:tc>
          <w:tcPr>
            <w:tcW w:w="1456" w:type="dxa"/>
          </w:tcPr>
          <w:p w:rsidR="007C5447" w:rsidRDefault="00F6308C">
            <w:pPr>
              <w:pStyle w:val="TableParagraph"/>
              <w:spacing w:before="55" w:line="224" w:lineRule="exact"/>
              <w:ind w:left="108"/>
              <w:jc w:val="left"/>
              <w:rPr>
                <w:sz w:val="20"/>
              </w:rPr>
            </w:pPr>
            <w:r>
              <w:rPr>
                <w:sz w:val="20"/>
              </w:rPr>
              <w:t>Kcal/SCM</w:t>
            </w:r>
          </w:p>
        </w:tc>
        <w:tc>
          <w:tcPr>
            <w:tcW w:w="1677" w:type="dxa"/>
          </w:tcPr>
          <w:p w:rsidR="007C5447" w:rsidRDefault="00F6308C">
            <w:pPr>
              <w:pStyle w:val="TableParagraph"/>
              <w:spacing w:before="55" w:line="224" w:lineRule="exact"/>
              <w:ind w:right="93"/>
              <w:rPr>
                <w:sz w:val="20"/>
              </w:rPr>
            </w:pPr>
            <w:r>
              <w:rPr>
                <w:sz w:val="20"/>
              </w:rPr>
              <w:t>9655</w:t>
            </w:r>
          </w:p>
        </w:tc>
        <w:tc>
          <w:tcPr>
            <w:tcW w:w="1680" w:type="dxa"/>
          </w:tcPr>
          <w:p w:rsidR="007C5447" w:rsidRDefault="00F6308C">
            <w:pPr>
              <w:pStyle w:val="TableParagraph"/>
              <w:spacing w:before="55" w:line="224" w:lineRule="exact"/>
              <w:ind w:right="95"/>
              <w:rPr>
                <w:sz w:val="20"/>
              </w:rPr>
            </w:pPr>
            <w:r>
              <w:rPr>
                <w:sz w:val="20"/>
              </w:rPr>
              <w:t>9684</w:t>
            </w:r>
          </w:p>
        </w:tc>
        <w:tc>
          <w:tcPr>
            <w:tcW w:w="1677" w:type="dxa"/>
          </w:tcPr>
          <w:p w:rsidR="007C5447" w:rsidRDefault="00F6308C">
            <w:pPr>
              <w:pStyle w:val="TableParagraph"/>
              <w:spacing w:before="55" w:line="224" w:lineRule="exact"/>
              <w:ind w:right="93"/>
              <w:rPr>
                <w:sz w:val="20"/>
              </w:rPr>
            </w:pPr>
            <w:r>
              <w:rPr>
                <w:w w:val="95"/>
                <w:sz w:val="20"/>
              </w:rPr>
              <w:t>9,404.00</w:t>
            </w:r>
          </w:p>
        </w:tc>
        <w:tc>
          <w:tcPr>
            <w:tcW w:w="1678" w:type="dxa"/>
          </w:tcPr>
          <w:p w:rsidR="007C5447" w:rsidRDefault="00F6308C">
            <w:pPr>
              <w:pStyle w:val="TableParagraph"/>
              <w:spacing w:before="55" w:line="224" w:lineRule="exact"/>
              <w:ind w:right="93"/>
              <w:rPr>
                <w:sz w:val="20"/>
              </w:rPr>
            </w:pPr>
            <w:r>
              <w:rPr>
                <w:w w:val="95"/>
                <w:sz w:val="20"/>
              </w:rPr>
              <w:t>9,731.00</w:t>
            </w:r>
          </w:p>
        </w:tc>
        <w:tc>
          <w:tcPr>
            <w:tcW w:w="1675" w:type="dxa"/>
          </w:tcPr>
          <w:p w:rsidR="007C5447" w:rsidRDefault="00F6308C">
            <w:pPr>
              <w:pStyle w:val="TableParagraph"/>
              <w:spacing w:before="55" w:line="224" w:lineRule="exact"/>
              <w:ind w:right="92"/>
              <w:rPr>
                <w:sz w:val="20"/>
              </w:rPr>
            </w:pPr>
            <w:r>
              <w:rPr>
                <w:w w:val="95"/>
                <w:sz w:val="20"/>
              </w:rPr>
              <w:t>9,735.25</w:t>
            </w:r>
          </w:p>
        </w:tc>
      </w:tr>
      <w:tr w:rsidR="007C5447">
        <w:trPr>
          <w:trHeight w:val="299"/>
        </w:trPr>
        <w:tc>
          <w:tcPr>
            <w:tcW w:w="1061" w:type="dxa"/>
          </w:tcPr>
          <w:p w:rsidR="007C5447" w:rsidRDefault="00F6308C">
            <w:pPr>
              <w:pStyle w:val="TableParagraph"/>
              <w:spacing w:before="36"/>
              <w:ind w:left="212" w:right="203"/>
              <w:jc w:val="center"/>
              <w:rPr>
                <w:sz w:val="20"/>
              </w:rPr>
            </w:pPr>
            <w:r>
              <w:rPr>
                <w:sz w:val="20"/>
              </w:rPr>
              <w:t>10</w:t>
            </w:r>
          </w:p>
        </w:tc>
        <w:tc>
          <w:tcPr>
            <w:tcW w:w="3269" w:type="dxa"/>
          </w:tcPr>
          <w:p w:rsidR="007C5447" w:rsidRDefault="00F6308C">
            <w:pPr>
              <w:pStyle w:val="TableParagraph"/>
              <w:spacing w:before="55" w:line="224" w:lineRule="exact"/>
              <w:ind w:left="108"/>
              <w:jc w:val="left"/>
              <w:rPr>
                <w:sz w:val="20"/>
              </w:rPr>
            </w:pPr>
            <w:r>
              <w:rPr>
                <w:sz w:val="20"/>
              </w:rPr>
              <w:t>Price of Coal</w:t>
            </w:r>
          </w:p>
        </w:tc>
        <w:tc>
          <w:tcPr>
            <w:tcW w:w="1456" w:type="dxa"/>
          </w:tcPr>
          <w:p w:rsidR="007C5447" w:rsidRDefault="00F6308C">
            <w:pPr>
              <w:pStyle w:val="TableParagraph"/>
              <w:spacing w:before="55" w:line="224" w:lineRule="exact"/>
              <w:ind w:left="108"/>
              <w:jc w:val="left"/>
              <w:rPr>
                <w:sz w:val="20"/>
              </w:rPr>
            </w:pPr>
            <w:r>
              <w:rPr>
                <w:sz w:val="20"/>
              </w:rPr>
              <w:t>Rs/SCM</w:t>
            </w:r>
          </w:p>
        </w:tc>
        <w:tc>
          <w:tcPr>
            <w:tcW w:w="1677" w:type="dxa"/>
          </w:tcPr>
          <w:p w:rsidR="007C5447" w:rsidRDefault="00F6308C">
            <w:pPr>
              <w:pStyle w:val="TableParagraph"/>
              <w:spacing w:before="55" w:line="224" w:lineRule="exact"/>
              <w:ind w:right="96"/>
              <w:rPr>
                <w:sz w:val="20"/>
              </w:rPr>
            </w:pPr>
            <w:r>
              <w:rPr>
                <w:sz w:val="20"/>
              </w:rPr>
              <w:t>7.78</w:t>
            </w:r>
          </w:p>
        </w:tc>
        <w:tc>
          <w:tcPr>
            <w:tcW w:w="1680" w:type="dxa"/>
          </w:tcPr>
          <w:p w:rsidR="007C5447" w:rsidRDefault="00F6308C">
            <w:pPr>
              <w:pStyle w:val="TableParagraph"/>
              <w:spacing w:before="55" w:line="224" w:lineRule="exact"/>
              <w:ind w:right="98"/>
              <w:rPr>
                <w:sz w:val="20"/>
              </w:rPr>
            </w:pPr>
            <w:r>
              <w:rPr>
                <w:w w:val="95"/>
                <w:sz w:val="20"/>
              </w:rPr>
              <w:t>10.31</w:t>
            </w:r>
          </w:p>
        </w:tc>
        <w:tc>
          <w:tcPr>
            <w:tcW w:w="1677" w:type="dxa"/>
          </w:tcPr>
          <w:p w:rsidR="007C5447" w:rsidRDefault="00F6308C">
            <w:pPr>
              <w:pStyle w:val="TableParagraph"/>
              <w:spacing w:before="55" w:line="224" w:lineRule="exact"/>
              <w:ind w:left="160"/>
              <w:jc w:val="left"/>
              <w:rPr>
                <w:sz w:val="20"/>
              </w:rPr>
            </w:pPr>
            <w:r>
              <w:rPr>
                <w:sz w:val="20"/>
              </w:rPr>
              <w:t>9.96</w:t>
            </w:r>
          </w:p>
        </w:tc>
        <w:tc>
          <w:tcPr>
            <w:tcW w:w="1678" w:type="dxa"/>
          </w:tcPr>
          <w:p w:rsidR="007C5447" w:rsidRDefault="00F6308C">
            <w:pPr>
              <w:pStyle w:val="TableParagraph"/>
              <w:spacing w:before="55" w:line="224" w:lineRule="exact"/>
              <w:ind w:right="94"/>
              <w:rPr>
                <w:sz w:val="20"/>
              </w:rPr>
            </w:pPr>
            <w:r>
              <w:rPr>
                <w:w w:val="95"/>
                <w:sz w:val="20"/>
              </w:rPr>
              <w:t>11.91</w:t>
            </w:r>
          </w:p>
        </w:tc>
        <w:tc>
          <w:tcPr>
            <w:tcW w:w="1675" w:type="dxa"/>
          </w:tcPr>
          <w:p w:rsidR="007C5447" w:rsidRDefault="00F6308C">
            <w:pPr>
              <w:pStyle w:val="TableParagraph"/>
              <w:spacing w:before="55" w:line="224" w:lineRule="exact"/>
              <w:ind w:right="94"/>
              <w:rPr>
                <w:sz w:val="20"/>
              </w:rPr>
            </w:pPr>
            <w:r>
              <w:rPr>
                <w:w w:val="95"/>
                <w:sz w:val="20"/>
              </w:rPr>
              <w:t>13.27</w:t>
            </w:r>
          </w:p>
        </w:tc>
      </w:tr>
      <w:tr w:rsidR="007C5447">
        <w:trPr>
          <w:trHeight w:val="330"/>
        </w:trPr>
        <w:tc>
          <w:tcPr>
            <w:tcW w:w="1061" w:type="dxa"/>
            <w:shd w:val="clear" w:color="auto" w:fill="ECECEC"/>
          </w:tcPr>
          <w:p w:rsidR="007C5447" w:rsidRDefault="007C5447">
            <w:pPr>
              <w:pStyle w:val="TableParagraph"/>
              <w:jc w:val="left"/>
              <w:rPr>
                <w:sz w:val="20"/>
              </w:rPr>
            </w:pPr>
          </w:p>
        </w:tc>
        <w:tc>
          <w:tcPr>
            <w:tcW w:w="3269" w:type="dxa"/>
            <w:shd w:val="clear" w:color="auto" w:fill="ECECEC"/>
          </w:tcPr>
          <w:p w:rsidR="007C5447" w:rsidRDefault="00F6308C">
            <w:pPr>
              <w:pStyle w:val="TableParagraph"/>
              <w:spacing w:before="86" w:line="224" w:lineRule="exact"/>
              <w:ind w:left="108"/>
              <w:jc w:val="left"/>
              <w:rPr>
                <w:b/>
                <w:sz w:val="20"/>
              </w:rPr>
            </w:pPr>
            <w:r>
              <w:rPr>
                <w:b/>
                <w:sz w:val="20"/>
              </w:rPr>
              <w:t>Calculations</w:t>
            </w:r>
          </w:p>
        </w:tc>
        <w:tc>
          <w:tcPr>
            <w:tcW w:w="1456" w:type="dxa"/>
            <w:shd w:val="clear" w:color="auto" w:fill="ECECEC"/>
          </w:tcPr>
          <w:p w:rsidR="007C5447" w:rsidRDefault="007C5447">
            <w:pPr>
              <w:pStyle w:val="TableParagraph"/>
              <w:jc w:val="left"/>
              <w:rPr>
                <w:sz w:val="20"/>
              </w:rPr>
            </w:pPr>
          </w:p>
        </w:tc>
        <w:tc>
          <w:tcPr>
            <w:tcW w:w="1677" w:type="dxa"/>
            <w:shd w:val="clear" w:color="auto" w:fill="ECECEC"/>
          </w:tcPr>
          <w:p w:rsidR="007C5447" w:rsidRDefault="007C5447">
            <w:pPr>
              <w:pStyle w:val="TableParagraph"/>
              <w:jc w:val="left"/>
              <w:rPr>
                <w:sz w:val="20"/>
              </w:rPr>
            </w:pPr>
          </w:p>
        </w:tc>
        <w:tc>
          <w:tcPr>
            <w:tcW w:w="1680" w:type="dxa"/>
            <w:shd w:val="clear" w:color="auto" w:fill="ECECEC"/>
          </w:tcPr>
          <w:p w:rsidR="007C5447" w:rsidRDefault="007C5447">
            <w:pPr>
              <w:pStyle w:val="TableParagraph"/>
              <w:jc w:val="left"/>
              <w:rPr>
                <w:sz w:val="20"/>
              </w:rPr>
            </w:pPr>
          </w:p>
        </w:tc>
        <w:tc>
          <w:tcPr>
            <w:tcW w:w="1677" w:type="dxa"/>
            <w:shd w:val="clear" w:color="auto" w:fill="ECECEC"/>
          </w:tcPr>
          <w:p w:rsidR="007C5447" w:rsidRDefault="007C5447">
            <w:pPr>
              <w:pStyle w:val="TableParagraph"/>
              <w:jc w:val="left"/>
              <w:rPr>
                <w:sz w:val="20"/>
              </w:rPr>
            </w:pPr>
          </w:p>
        </w:tc>
        <w:tc>
          <w:tcPr>
            <w:tcW w:w="1678" w:type="dxa"/>
            <w:shd w:val="clear" w:color="auto" w:fill="ECECEC"/>
          </w:tcPr>
          <w:p w:rsidR="007C5447" w:rsidRDefault="007C5447">
            <w:pPr>
              <w:pStyle w:val="TableParagraph"/>
              <w:jc w:val="left"/>
              <w:rPr>
                <w:sz w:val="20"/>
              </w:rPr>
            </w:pPr>
          </w:p>
        </w:tc>
        <w:tc>
          <w:tcPr>
            <w:tcW w:w="1675" w:type="dxa"/>
            <w:shd w:val="clear" w:color="auto" w:fill="ECECEC"/>
          </w:tcPr>
          <w:p w:rsidR="007C5447" w:rsidRDefault="007C5447">
            <w:pPr>
              <w:pStyle w:val="TableParagraph"/>
              <w:jc w:val="left"/>
              <w:rPr>
                <w:sz w:val="20"/>
              </w:rPr>
            </w:pPr>
          </w:p>
        </w:tc>
      </w:tr>
      <w:tr w:rsidR="007C5447">
        <w:trPr>
          <w:trHeight w:val="300"/>
        </w:trPr>
        <w:tc>
          <w:tcPr>
            <w:tcW w:w="1061" w:type="dxa"/>
          </w:tcPr>
          <w:p w:rsidR="007C5447" w:rsidRDefault="00F6308C">
            <w:pPr>
              <w:pStyle w:val="TableParagraph"/>
              <w:spacing w:before="36"/>
              <w:ind w:left="212" w:right="203"/>
              <w:jc w:val="center"/>
              <w:rPr>
                <w:sz w:val="20"/>
              </w:rPr>
            </w:pPr>
            <w:r>
              <w:rPr>
                <w:sz w:val="20"/>
              </w:rPr>
              <w:t>11</w:t>
            </w:r>
          </w:p>
        </w:tc>
        <w:tc>
          <w:tcPr>
            <w:tcW w:w="3269" w:type="dxa"/>
          </w:tcPr>
          <w:p w:rsidR="007C5447" w:rsidRDefault="00F6308C">
            <w:pPr>
              <w:pStyle w:val="TableParagraph"/>
              <w:spacing w:before="56" w:line="224" w:lineRule="exact"/>
              <w:ind w:left="108"/>
              <w:jc w:val="left"/>
              <w:rPr>
                <w:sz w:val="20"/>
              </w:rPr>
            </w:pPr>
            <w:r>
              <w:rPr>
                <w:sz w:val="20"/>
              </w:rPr>
              <w:t>Heat from Gas</w:t>
            </w:r>
          </w:p>
        </w:tc>
        <w:tc>
          <w:tcPr>
            <w:tcW w:w="1456" w:type="dxa"/>
          </w:tcPr>
          <w:p w:rsidR="007C5447" w:rsidRDefault="00F6308C">
            <w:pPr>
              <w:pStyle w:val="TableParagraph"/>
              <w:spacing w:before="56" w:line="224" w:lineRule="exact"/>
              <w:ind w:left="108"/>
              <w:jc w:val="left"/>
              <w:rPr>
                <w:sz w:val="20"/>
              </w:rPr>
            </w:pPr>
            <w:r>
              <w:rPr>
                <w:sz w:val="20"/>
              </w:rPr>
              <w:t>MKCL</w:t>
            </w:r>
          </w:p>
        </w:tc>
        <w:tc>
          <w:tcPr>
            <w:tcW w:w="1677" w:type="dxa"/>
          </w:tcPr>
          <w:p w:rsidR="007C5447" w:rsidRDefault="00F6308C">
            <w:pPr>
              <w:pStyle w:val="TableParagraph"/>
              <w:spacing w:before="56" w:line="224" w:lineRule="exact"/>
              <w:ind w:right="96"/>
              <w:rPr>
                <w:sz w:val="20"/>
              </w:rPr>
            </w:pPr>
            <w:r>
              <w:rPr>
                <w:w w:val="95"/>
                <w:sz w:val="20"/>
              </w:rPr>
              <w:t>12,21,965</w:t>
            </w:r>
          </w:p>
        </w:tc>
        <w:tc>
          <w:tcPr>
            <w:tcW w:w="1680" w:type="dxa"/>
          </w:tcPr>
          <w:p w:rsidR="007C5447" w:rsidRDefault="00F6308C">
            <w:pPr>
              <w:pStyle w:val="TableParagraph"/>
              <w:spacing w:before="56" w:line="224" w:lineRule="exact"/>
              <w:ind w:right="96"/>
              <w:rPr>
                <w:sz w:val="20"/>
              </w:rPr>
            </w:pPr>
            <w:r>
              <w:rPr>
                <w:sz w:val="20"/>
              </w:rPr>
              <w:t>8,31,397</w:t>
            </w:r>
          </w:p>
        </w:tc>
        <w:tc>
          <w:tcPr>
            <w:tcW w:w="1677" w:type="dxa"/>
          </w:tcPr>
          <w:p w:rsidR="007C5447" w:rsidRDefault="00F6308C">
            <w:pPr>
              <w:pStyle w:val="TableParagraph"/>
              <w:spacing w:before="56" w:line="224" w:lineRule="exact"/>
              <w:ind w:right="95"/>
              <w:rPr>
                <w:sz w:val="20"/>
              </w:rPr>
            </w:pPr>
            <w:r>
              <w:rPr>
                <w:w w:val="95"/>
                <w:sz w:val="20"/>
              </w:rPr>
              <w:t>13,49,264</w:t>
            </w:r>
          </w:p>
        </w:tc>
        <w:tc>
          <w:tcPr>
            <w:tcW w:w="1678" w:type="dxa"/>
          </w:tcPr>
          <w:p w:rsidR="007C5447" w:rsidRDefault="00F6308C">
            <w:pPr>
              <w:pStyle w:val="TableParagraph"/>
              <w:spacing w:before="56" w:line="224" w:lineRule="exact"/>
              <w:ind w:right="95"/>
              <w:rPr>
                <w:sz w:val="20"/>
              </w:rPr>
            </w:pPr>
            <w:r>
              <w:rPr>
                <w:w w:val="95"/>
                <w:sz w:val="20"/>
              </w:rPr>
              <w:t>19,68,273</w:t>
            </w:r>
          </w:p>
        </w:tc>
        <w:tc>
          <w:tcPr>
            <w:tcW w:w="1675" w:type="dxa"/>
          </w:tcPr>
          <w:p w:rsidR="007C5447" w:rsidRDefault="00F6308C">
            <w:pPr>
              <w:pStyle w:val="TableParagraph"/>
              <w:spacing w:before="56" w:line="224" w:lineRule="exact"/>
              <w:ind w:right="95"/>
              <w:rPr>
                <w:sz w:val="20"/>
              </w:rPr>
            </w:pPr>
            <w:r>
              <w:rPr>
                <w:w w:val="95"/>
                <w:sz w:val="20"/>
              </w:rPr>
              <w:t>26,32,461</w:t>
            </w:r>
          </w:p>
        </w:tc>
      </w:tr>
      <w:tr w:rsidR="007C5447">
        <w:trPr>
          <w:trHeight w:val="299"/>
        </w:trPr>
        <w:tc>
          <w:tcPr>
            <w:tcW w:w="1061" w:type="dxa"/>
          </w:tcPr>
          <w:p w:rsidR="007C5447" w:rsidRDefault="00F6308C">
            <w:pPr>
              <w:pStyle w:val="TableParagraph"/>
              <w:spacing w:before="36"/>
              <w:ind w:left="212" w:right="203"/>
              <w:jc w:val="center"/>
              <w:rPr>
                <w:sz w:val="20"/>
              </w:rPr>
            </w:pPr>
            <w:r>
              <w:rPr>
                <w:sz w:val="20"/>
              </w:rPr>
              <w:t>12</w:t>
            </w:r>
          </w:p>
        </w:tc>
        <w:tc>
          <w:tcPr>
            <w:tcW w:w="3269" w:type="dxa"/>
          </w:tcPr>
          <w:p w:rsidR="007C5447" w:rsidRDefault="00F6308C">
            <w:pPr>
              <w:pStyle w:val="TableParagraph"/>
              <w:spacing w:before="55" w:line="224" w:lineRule="exact"/>
              <w:ind w:left="108"/>
              <w:jc w:val="left"/>
              <w:rPr>
                <w:sz w:val="20"/>
              </w:rPr>
            </w:pPr>
            <w:r>
              <w:rPr>
                <w:sz w:val="20"/>
              </w:rPr>
              <w:t>Gas Consumed</w:t>
            </w:r>
          </w:p>
        </w:tc>
        <w:tc>
          <w:tcPr>
            <w:tcW w:w="1456" w:type="dxa"/>
          </w:tcPr>
          <w:p w:rsidR="007C5447" w:rsidRDefault="00F6308C">
            <w:pPr>
              <w:pStyle w:val="TableParagraph"/>
              <w:spacing w:before="55" w:line="224" w:lineRule="exact"/>
              <w:ind w:left="108"/>
              <w:jc w:val="left"/>
              <w:rPr>
                <w:sz w:val="20"/>
              </w:rPr>
            </w:pPr>
            <w:r>
              <w:rPr>
                <w:sz w:val="20"/>
              </w:rPr>
              <w:t>SCM</w:t>
            </w:r>
          </w:p>
        </w:tc>
        <w:tc>
          <w:tcPr>
            <w:tcW w:w="1677" w:type="dxa"/>
          </w:tcPr>
          <w:p w:rsidR="007C5447" w:rsidRDefault="00F6308C">
            <w:pPr>
              <w:pStyle w:val="TableParagraph"/>
              <w:spacing w:before="55" w:line="224" w:lineRule="exact"/>
              <w:ind w:right="97"/>
              <w:rPr>
                <w:sz w:val="20"/>
              </w:rPr>
            </w:pPr>
            <w:r>
              <w:rPr>
                <w:sz w:val="20"/>
              </w:rPr>
              <w:t>12,65,62,937</w:t>
            </w:r>
          </w:p>
        </w:tc>
        <w:tc>
          <w:tcPr>
            <w:tcW w:w="1680" w:type="dxa"/>
          </w:tcPr>
          <w:p w:rsidR="007C5447" w:rsidRDefault="00F6308C">
            <w:pPr>
              <w:pStyle w:val="TableParagraph"/>
              <w:spacing w:before="55" w:line="224" w:lineRule="exact"/>
              <w:ind w:right="99"/>
              <w:rPr>
                <w:sz w:val="20"/>
              </w:rPr>
            </w:pPr>
            <w:r>
              <w:rPr>
                <w:w w:val="95"/>
                <w:sz w:val="20"/>
              </w:rPr>
              <w:t>8,58,52,685</w:t>
            </w:r>
          </w:p>
        </w:tc>
        <w:tc>
          <w:tcPr>
            <w:tcW w:w="1677" w:type="dxa"/>
          </w:tcPr>
          <w:p w:rsidR="007C5447" w:rsidRDefault="00F6308C">
            <w:pPr>
              <w:pStyle w:val="TableParagraph"/>
              <w:spacing w:before="55" w:line="224" w:lineRule="exact"/>
              <w:ind w:right="96"/>
              <w:rPr>
                <w:sz w:val="20"/>
              </w:rPr>
            </w:pPr>
            <w:r>
              <w:rPr>
                <w:sz w:val="20"/>
              </w:rPr>
              <w:t>14,34,77,690</w:t>
            </w:r>
          </w:p>
        </w:tc>
        <w:tc>
          <w:tcPr>
            <w:tcW w:w="1678" w:type="dxa"/>
          </w:tcPr>
          <w:p w:rsidR="007C5447" w:rsidRDefault="00F6308C">
            <w:pPr>
              <w:pStyle w:val="TableParagraph"/>
              <w:spacing w:before="55" w:line="224" w:lineRule="exact"/>
              <w:ind w:right="95"/>
              <w:rPr>
                <w:sz w:val="20"/>
              </w:rPr>
            </w:pPr>
            <w:r>
              <w:rPr>
                <w:sz w:val="20"/>
              </w:rPr>
              <w:t>20,22,68,361</w:t>
            </w:r>
          </w:p>
        </w:tc>
        <w:tc>
          <w:tcPr>
            <w:tcW w:w="1675" w:type="dxa"/>
          </w:tcPr>
          <w:p w:rsidR="007C5447" w:rsidRDefault="00F6308C">
            <w:pPr>
              <w:pStyle w:val="TableParagraph"/>
              <w:spacing w:before="55" w:line="224" w:lineRule="exact"/>
              <w:ind w:right="95"/>
              <w:rPr>
                <w:sz w:val="20"/>
              </w:rPr>
            </w:pPr>
            <w:r>
              <w:rPr>
                <w:sz w:val="20"/>
              </w:rPr>
              <w:t>27,04,05,116</w:t>
            </w:r>
          </w:p>
        </w:tc>
      </w:tr>
      <w:tr w:rsidR="007C5447">
        <w:trPr>
          <w:trHeight w:val="301"/>
        </w:trPr>
        <w:tc>
          <w:tcPr>
            <w:tcW w:w="1061" w:type="dxa"/>
          </w:tcPr>
          <w:p w:rsidR="007C5447" w:rsidRDefault="00F6308C">
            <w:pPr>
              <w:pStyle w:val="TableParagraph"/>
              <w:spacing w:before="36"/>
              <w:ind w:left="212" w:right="203"/>
              <w:jc w:val="center"/>
              <w:rPr>
                <w:sz w:val="20"/>
              </w:rPr>
            </w:pPr>
            <w:r>
              <w:rPr>
                <w:sz w:val="20"/>
              </w:rPr>
              <w:t>13</w:t>
            </w:r>
          </w:p>
        </w:tc>
        <w:tc>
          <w:tcPr>
            <w:tcW w:w="3269" w:type="dxa"/>
          </w:tcPr>
          <w:p w:rsidR="007C5447" w:rsidRDefault="00F6308C">
            <w:pPr>
              <w:pStyle w:val="TableParagraph"/>
              <w:spacing w:before="55" w:line="227" w:lineRule="exact"/>
              <w:ind w:left="108"/>
              <w:jc w:val="left"/>
              <w:rPr>
                <w:sz w:val="20"/>
              </w:rPr>
            </w:pPr>
            <w:r>
              <w:rPr>
                <w:sz w:val="20"/>
              </w:rPr>
              <w:t>Total Cost of Gas</w:t>
            </w:r>
          </w:p>
        </w:tc>
        <w:tc>
          <w:tcPr>
            <w:tcW w:w="1456" w:type="dxa"/>
          </w:tcPr>
          <w:p w:rsidR="007C5447" w:rsidRDefault="00F6308C">
            <w:pPr>
              <w:pStyle w:val="TableParagraph"/>
              <w:spacing w:before="55" w:line="227" w:lineRule="exact"/>
              <w:ind w:left="108"/>
              <w:jc w:val="left"/>
              <w:rPr>
                <w:sz w:val="20"/>
              </w:rPr>
            </w:pPr>
            <w:r>
              <w:rPr>
                <w:sz w:val="20"/>
              </w:rPr>
              <w:t>Rs. Crore</w:t>
            </w:r>
          </w:p>
        </w:tc>
        <w:tc>
          <w:tcPr>
            <w:tcW w:w="1677" w:type="dxa"/>
          </w:tcPr>
          <w:p w:rsidR="007C5447" w:rsidRDefault="00F6308C">
            <w:pPr>
              <w:pStyle w:val="TableParagraph"/>
              <w:spacing w:before="55" w:line="227" w:lineRule="exact"/>
              <w:ind w:right="93"/>
              <w:rPr>
                <w:sz w:val="20"/>
              </w:rPr>
            </w:pPr>
            <w:r>
              <w:rPr>
                <w:sz w:val="20"/>
              </w:rPr>
              <w:t>98.47</w:t>
            </w:r>
          </w:p>
        </w:tc>
        <w:tc>
          <w:tcPr>
            <w:tcW w:w="1680" w:type="dxa"/>
          </w:tcPr>
          <w:p w:rsidR="007C5447" w:rsidRDefault="00F6308C">
            <w:pPr>
              <w:pStyle w:val="TableParagraph"/>
              <w:spacing w:before="55" w:line="227" w:lineRule="exact"/>
              <w:ind w:right="95"/>
              <w:rPr>
                <w:sz w:val="20"/>
              </w:rPr>
            </w:pPr>
            <w:r>
              <w:rPr>
                <w:sz w:val="20"/>
              </w:rPr>
              <w:t>88.54</w:t>
            </w:r>
          </w:p>
        </w:tc>
        <w:tc>
          <w:tcPr>
            <w:tcW w:w="1677" w:type="dxa"/>
          </w:tcPr>
          <w:p w:rsidR="007C5447" w:rsidRDefault="00F6308C">
            <w:pPr>
              <w:pStyle w:val="TableParagraph"/>
              <w:spacing w:before="55" w:line="227" w:lineRule="exact"/>
              <w:ind w:right="92"/>
              <w:rPr>
                <w:sz w:val="20"/>
              </w:rPr>
            </w:pPr>
            <w:r>
              <w:rPr>
                <w:w w:val="95"/>
                <w:sz w:val="20"/>
              </w:rPr>
              <w:t>142.90</w:t>
            </w:r>
          </w:p>
        </w:tc>
        <w:tc>
          <w:tcPr>
            <w:tcW w:w="1678" w:type="dxa"/>
          </w:tcPr>
          <w:p w:rsidR="007C5447" w:rsidRDefault="00F6308C">
            <w:pPr>
              <w:pStyle w:val="TableParagraph"/>
              <w:spacing w:before="55" w:line="227" w:lineRule="exact"/>
              <w:ind w:right="92"/>
              <w:rPr>
                <w:sz w:val="20"/>
              </w:rPr>
            </w:pPr>
            <w:r>
              <w:rPr>
                <w:w w:val="95"/>
                <w:sz w:val="20"/>
              </w:rPr>
              <w:t>240.90</w:t>
            </w:r>
          </w:p>
        </w:tc>
        <w:tc>
          <w:tcPr>
            <w:tcW w:w="1675" w:type="dxa"/>
          </w:tcPr>
          <w:p w:rsidR="007C5447" w:rsidRDefault="00F6308C">
            <w:pPr>
              <w:pStyle w:val="TableParagraph"/>
              <w:spacing w:before="55" w:line="227" w:lineRule="exact"/>
              <w:ind w:right="92"/>
              <w:rPr>
                <w:sz w:val="20"/>
              </w:rPr>
            </w:pPr>
            <w:r>
              <w:rPr>
                <w:w w:val="95"/>
                <w:sz w:val="20"/>
              </w:rPr>
              <w:t>358.83</w:t>
            </w:r>
          </w:p>
        </w:tc>
      </w:tr>
      <w:tr w:rsidR="007C5447">
        <w:trPr>
          <w:trHeight w:val="299"/>
        </w:trPr>
        <w:tc>
          <w:tcPr>
            <w:tcW w:w="1061" w:type="dxa"/>
          </w:tcPr>
          <w:p w:rsidR="007C5447" w:rsidRDefault="00F6308C">
            <w:pPr>
              <w:pStyle w:val="TableParagraph"/>
              <w:spacing w:before="34"/>
              <w:ind w:left="212" w:right="203"/>
              <w:jc w:val="center"/>
              <w:rPr>
                <w:sz w:val="20"/>
              </w:rPr>
            </w:pPr>
            <w:r>
              <w:rPr>
                <w:sz w:val="20"/>
              </w:rPr>
              <w:t>14</w:t>
            </w:r>
          </w:p>
        </w:tc>
        <w:tc>
          <w:tcPr>
            <w:tcW w:w="3269" w:type="dxa"/>
          </w:tcPr>
          <w:p w:rsidR="007C5447" w:rsidRDefault="00F6308C">
            <w:pPr>
              <w:pStyle w:val="TableParagraph"/>
              <w:spacing w:before="55" w:line="224" w:lineRule="exact"/>
              <w:ind w:left="108"/>
              <w:jc w:val="left"/>
              <w:rPr>
                <w:sz w:val="20"/>
              </w:rPr>
            </w:pPr>
            <w:r>
              <w:rPr>
                <w:sz w:val="20"/>
              </w:rPr>
              <w:t>Transportation Cost</w:t>
            </w:r>
          </w:p>
        </w:tc>
        <w:tc>
          <w:tcPr>
            <w:tcW w:w="1456" w:type="dxa"/>
          </w:tcPr>
          <w:p w:rsidR="007C5447" w:rsidRDefault="00F6308C">
            <w:pPr>
              <w:pStyle w:val="TableParagraph"/>
              <w:spacing w:before="55" w:line="224" w:lineRule="exact"/>
              <w:ind w:left="108"/>
              <w:jc w:val="left"/>
              <w:rPr>
                <w:sz w:val="20"/>
              </w:rPr>
            </w:pPr>
            <w:r>
              <w:rPr>
                <w:sz w:val="20"/>
              </w:rPr>
              <w:t>Rs. Crore</w:t>
            </w:r>
          </w:p>
        </w:tc>
        <w:tc>
          <w:tcPr>
            <w:tcW w:w="1677" w:type="dxa"/>
          </w:tcPr>
          <w:p w:rsidR="007C5447" w:rsidRDefault="00F6308C">
            <w:pPr>
              <w:pStyle w:val="TableParagraph"/>
              <w:spacing w:before="55" w:line="224" w:lineRule="exact"/>
              <w:ind w:right="93"/>
              <w:rPr>
                <w:sz w:val="20"/>
              </w:rPr>
            </w:pPr>
            <w:r>
              <w:rPr>
                <w:sz w:val="20"/>
              </w:rPr>
              <w:t>0.00</w:t>
            </w:r>
          </w:p>
        </w:tc>
        <w:tc>
          <w:tcPr>
            <w:tcW w:w="1680" w:type="dxa"/>
          </w:tcPr>
          <w:p w:rsidR="007C5447" w:rsidRDefault="00F6308C">
            <w:pPr>
              <w:pStyle w:val="TableParagraph"/>
              <w:spacing w:before="55" w:line="224" w:lineRule="exact"/>
              <w:ind w:right="95"/>
              <w:rPr>
                <w:sz w:val="20"/>
              </w:rPr>
            </w:pPr>
            <w:r>
              <w:rPr>
                <w:sz w:val="20"/>
              </w:rPr>
              <w:t>0.00</w:t>
            </w:r>
          </w:p>
        </w:tc>
        <w:tc>
          <w:tcPr>
            <w:tcW w:w="1677" w:type="dxa"/>
          </w:tcPr>
          <w:p w:rsidR="007C5447" w:rsidRDefault="00F6308C">
            <w:pPr>
              <w:pStyle w:val="TableParagraph"/>
              <w:spacing w:before="55" w:line="224" w:lineRule="exact"/>
              <w:ind w:right="92"/>
              <w:rPr>
                <w:sz w:val="20"/>
              </w:rPr>
            </w:pPr>
            <w:r>
              <w:rPr>
                <w:sz w:val="20"/>
              </w:rPr>
              <w:t>0.00</w:t>
            </w:r>
          </w:p>
        </w:tc>
        <w:tc>
          <w:tcPr>
            <w:tcW w:w="1678" w:type="dxa"/>
          </w:tcPr>
          <w:p w:rsidR="007C5447" w:rsidRDefault="00F6308C">
            <w:pPr>
              <w:pStyle w:val="TableParagraph"/>
              <w:spacing w:before="55" w:line="224" w:lineRule="exact"/>
              <w:ind w:right="92"/>
              <w:rPr>
                <w:sz w:val="20"/>
              </w:rPr>
            </w:pPr>
            <w:r>
              <w:rPr>
                <w:sz w:val="20"/>
              </w:rPr>
              <w:t>0.00</w:t>
            </w:r>
          </w:p>
        </w:tc>
        <w:tc>
          <w:tcPr>
            <w:tcW w:w="1675" w:type="dxa"/>
          </w:tcPr>
          <w:p w:rsidR="007C5447" w:rsidRDefault="00F6308C">
            <w:pPr>
              <w:pStyle w:val="TableParagraph"/>
              <w:spacing w:before="55" w:line="224" w:lineRule="exact"/>
              <w:ind w:right="92"/>
              <w:rPr>
                <w:sz w:val="20"/>
              </w:rPr>
            </w:pPr>
            <w:r>
              <w:rPr>
                <w:sz w:val="20"/>
              </w:rPr>
              <w:t>0.00</w:t>
            </w:r>
          </w:p>
        </w:tc>
      </w:tr>
      <w:tr w:rsidR="007C5447">
        <w:trPr>
          <w:trHeight w:val="328"/>
        </w:trPr>
        <w:tc>
          <w:tcPr>
            <w:tcW w:w="1061" w:type="dxa"/>
            <w:shd w:val="clear" w:color="auto" w:fill="FFFFCC"/>
          </w:tcPr>
          <w:p w:rsidR="007C5447" w:rsidRDefault="00F6308C">
            <w:pPr>
              <w:pStyle w:val="TableParagraph"/>
              <w:spacing w:before="50"/>
              <w:ind w:left="212" w:right="203"/>
              <w:jc w:val="center"/>
              <w:rPr>
                <w:b/>
                <w:sz w:val="20"/>
              </w:rPr>
            </w:pPr>
            <w:r>
              <w:rPr>
                <w:b/>
                <w:sz w:val="20"/>
              </w:rPr>
              <w:t>15</w:t>
            </w:r>
          </w:p>
        </w:tc>
        <w:tc>
          <w:tcPr>
            <w:tcW w:w="3269" w:type="dxa"/>
            <w:shd w:val="clear" w:color="auto" w:fill="FFFFCC"/>
          </w:tcPr>
          <w:p w:rsidR="007C5447" w:rsidRDefault="00F6308C">
            <w:pPr>
              <w:pStyle w:val="TableParagraph"/>
              <w:spacing w:before="84" w:line="224" w:lineRule="exact"/>
              <w:ind w:left="108"/>
              <w:jc w:val="left"/>
              <w:rPr>
                <w:b/>
                <w:sz w:val="20"/>
              </w:rPr>
            </w:pPr>
            <w:r>
              <w:rPr>
                <w:b/>
                <w:sz w:val="20"/>
              </w:rPr>
              <w:t>Total Fuel Cost</w:t>
            </w:r>
          </w:p>
        </w:tc>
        <w:tc>
          <w:tcPr>
            <w:tcW w:w="1456" w:type="dxa"/>
            <w:shd w:val="clear" w:color="auto" w:fill="FFFFCC"/>
          </w:tcPr>
          <w:p w:rsidR="007C5447" w:rsidRDefault="00F6308C">
            <w:pPr>
              <w:pStyle w:val="TableParagraph"/>
              <w:spacing w:before="84" w:line="224" w:lineRule="exact"/>
              <w:ind w:left="108"/>
              <w:jc w:val="left"/>
              <w:rPr>
                <w:b/>
                <w:sz w:val="20"/>
              </w:rPr>
            </w:pPr>
            <w:r>
              <w:rPr>
                <w:b/>
                <w:sz w:val="20"/>
              </w:rPr>
              <w:t>Rs. Crore</w:t>
            </w:r>
          </w:p>
        </w:tc>
        <w:tc>
          <w:tcPr>
            <w:tcW w:w="1677" w:type="dxa"/>
            <w:shd w:val="clear" w:color="auto" w:fill="FFFFCC"/>
          </w:tcPr>
          <w:p w:rsidR="007C5447" w:rsidRDefault="00F6308C">
            <w:pPr>
              <w:pStyle w:val="TableParagraph"/>
              <w:spacing w:before="84" w:line="224" w:lineRule="exact"/>
              <w:ind w:right="93"/>
              <w:rPr>
                <w:b/>
                <w:sz w:val="20"/>
              </w:rPr>
            </w:pPr>
            <w:r>
              <w:rPr>
                <w:b/>
                <w:sz w:val="20"/>
              </w:rPr>
              <w:t>98.47</w:t>
            </w:r>
          </w:p>
        </w:tc>
        <w:tc>
          <w:tcPr>
            <w:tcW w:w="1680" w:type="dxa"/>
            <w:shd w:val="clear" w:color="auto" w:fill="FFFFCC"/>
          </w:tcPr>
          <w:p w:rsidR="007C5447" w:rsidRDefault="00F6308C">
            <w:pPr>
              <w:pStyle w:val="TableParagraph"/>
              <w:spacing w:before="84" w:line="224" w:lineRule="exact"/>
              <w:ind w:right="95"/>
              <w:rPr>
                <w:b/>
                <w:sz w:val="20"/>
              </w:rPr>
            </w:pPr>
            <w:r>
              <w:rPr>
                <w:b/>
                <w:sz w:val="20"/>
              </w:rPr>
              <w:t>88.54</w:t>
            </w:r>
          </w:p>
        </w:tc>
        <w:tc>
          <w:tcPr>
            <w:tcW w:w="1677" w:type="dxa"/>
            <w:shd w:val="clear" w:color="auto" w:fill="FFFFCC"/>
          </w:tcPr>
          <w:p w:rsidR="007C5447" w:rsidRDefault="00F6308C">
            <w:pPr>
              <w:pStyle w:val="TableParagraph"/>
              <w:spacing w:before="84" w:line="224" w:lineRule="exact"/>
              <w:ind w:right="92"/>
              <w:rPr>
                <w:b/>
                <w:sz w:val="20"/>
              </w:rPr>
            </w:pPr>
            <w:r>
              <w:rPr>
                <w:b/>
                <w:w w:val="95"/>
                <w:sz w:val="20"/>
              </w:rPr>
              <w:t>142.90</w:t>
            </w:r>
          </w:p>
        </w:tc>
        <w:tc>
          <w:tcPr>
            <w:tcW w:w="1678" w:type="dxa"/>
            <w:shd w:val="clear" w:color="auto" w:fill="FFFFCC"/>
          </w:tcPr>
          <w:p w:rsidR="007C5447" w:rsidRDefault="00F6308C">
            <w:pPr>
              <w:pStyle w:val="TableParagraph"/>
              <w:spacing w:before="84" w:line="224" w:lineRule="exact"/>
              <w:ind w:right="92"/>
              <w:rPr>
                <w:b/>
                <w:sz w:val="20"/>
              </w:rPr>
            </w:pPr>
            <w:r>
              <w:rPr>
                <w:b/>
                <w:w w:val="95"/>
                <w:sz w:val="20"/>
              </w:rPr>
              <w:t>240.90</w:t>
            </w:r>
          </w:p>
        </w:tc>
        <w:tc>
          <w:tcPr>
            <w:tcW w:w="1675" w:type="dxa"/>
            <w:shd w:val="clear" w:color="auto" w:fill="FFFFCC"/>
          </w:tcPr>
          <w:p w:rsidR="007C5447" w:rsidRDefault="00F6308C">
            <w:pPr>
              <w:pStyle w:val="TableParagraph"/>
              <w:spacing w:before="84" w:line="224" w:lineRule="exact"/>
              <w:ind w:right="92"/>
              <w:rPr>
                <w:b/>
                <w:sz w:val="20"/>
              </w:rPr>
            </w:pPr>
            <w:r>
              <w:rPr>
                <w:b/>
                <w:w w:val="95"/>
                <w:sz w:val="20"/>
              </w:rPr>
              <w:t>358.83</w:t>
            </w:r>
          </w:p>
        </w:tc>
      </w:tr>
      <w:tr w:rsidR="007C5447">
        <w:trPr>
          <w:trHeight w:val="330"/>
        </w:trPr>
        <w:tc>
          <w:tcPr>
            <w:tcW w:w="1061" w:type="dxa"/>
            <w:shd w:val="clear" w:color="auto" w:fill="FFFFCC"/>
          </w:tcPr>
          <w:p w:rsidR="007C5447" w:rsidRDefault="00F6308C">
            <w:pPr>
              <w:pStyle w:val="TableParagraph"/>
              <w:spacing w:before="50"/>
              <w:ind w:left="212" w:right="203"/>
              <w:jc w:val="center"/>
              <w:rPr>
                <w:b/>
                <w:sz w:val="20"/>
              </w:rPr>
            </w:pPr>
            <w:r>
              <w:rPr>
                <w:b/>
                <w:sz w:val="20"/>
              </w:rPr>
              <w:t>16</w:t>
            </w:r>
          </w:p>
        </w:tc>
        <w:tc>
          <w:tcPr>
            <w:tcW w:w="3269" w:type="dxa"/>
            <w:shd w:val="clear" w:color="auto" w:fill="FFFFCC"/>
          </w:tcPr>
          <w:p w:rsidR="007C5447" w:rsidRDefault="00F6308C">
            <w:pPr>
              <w:pStyle w:val="TableParagraph"/>
              <w:spacing w:before="86" w:line="224" w:lineRule="exact"/>
              <w:ind w:left="108"/>
              <w:jc w:val="left"/>
              <w:rPr>
                <w:b/>
                <w:sz w:val="20"/>
              </w:rPr>
            </w:pPr>
            <w:r>
              <w:rPr>
                <w:b/>
                <w:sz w:val="20"/>
              </w:rPr>
              <w:t>Energy Charge</w:t>
            </w:r>
          </w:p>
        </w:tc>
        <w:tc>
          <w:tcPr>
            <w:tcW w:w="1456" w:type="dxa"/>
            <w:shd w:val="clear" w:color="auto" w:fill="FFFFCC"/>
          </w:tcPr>
          <w:p w:rsidR="007C5447" w:rsidRDefault="00F6308C">
            <w:pPr>
              <w:pStyle w:val="TableParagraph"/>
              <w:spacing w:before="86" w:line="224" w:lineRule="exact"/>
              <w:ind w:left="108"/>
              <w:jc w:val="left"/>
              <w:rPr>
                <w:b/>
                <w:sz w:val="20"/>
              </w:rPr>
            </w:pPr>
            <w:r>
              <w:rPr>
                <w:b/>
                <w:sz w:val="20"/>
              </w:rPr>
              <w:t>Rs. /kWh</w:t>
            </w:r>
          </w:p>
        </w:tc>
        <w:tc>
          <w:tcPr>
            <w:tcW w:w="1677" w:type="dxa"/>
            <w:shd w:val="clear" w:color="auto" w:fill="FFFFCC"/>
          </w:tcPr>
          <w:p w:rsidR="007C5447" w:rsidRDefault="00F6308C">
            <w:pPr>
              <w:pStyle w:val="TableParagraph"/>
              <w:spacing w:before="86" w:line="224" w:lineRule="exact"/>
              <w:ind w:right="96"/>
              <w:rPr>
                <w:b/>
                <w:sz w:val="20"/>
              </w:rPr>
            </w:pPr>
            <w:r>
              <w:rPr>
                <w:b/>
                <w:sz w:val="20"/>
              </w:rPr>
              <w:t>1.58</w:t>
            </w:r>
          </w:p>
        </w:tc>
        <w:tc>
          <w:tcPr>
            <w:tcW w:w="1680" w:type="dxa"/>
            <w:shd w:val="clear" w:color="auto" w:fill="FFFFCC"/>
          </w:tcPr>
          <w:p w:rsidR="007C5447" w:rsidRDefault="00F6308C">
            <w:pPr>
              <w:pStyle w:val="TableParagraph"/>
              <w:spacing w:before="86" w:line="224" w:lineRule="exact"/>
              <w:ind w:right="98"/>
              <w:rPr>
                <w:b/>
                <w:sz w:val="20"/>
              </w:rPr>
            </w:pPr>
            <w:r>
              <w:rPr>
                <w:b/>
                <w:sz w:val="20"/>
              </w:rPr>
              <w:t>2.10</w:t>
            </w:r>
          </w:p>
        </w:tc>
        <w:tc>
          <w:tcPr>
            <w:tcW w:w="1677" w:type="dxa"/>
            <w:shd w:val="clear" w:color="auto" w:fill="FFFFCC"/>
          </w:tcPr>
          <w:p w:rsidR="007C5447" w:rsidRDefault="00F6308C">
            <w:pPr>
              <w:pStyle w:val="TableParagraph"/>
              <w:spacing w:before="86" w:line="224" w:lineRule="exact"/>
              <w:ind w:right="95"/>
              <w:rPr>
                <w:b/>
                <w:sz w:val="20"/>
              </w:rPr>
            </w:pPr>
            <w:r>
              <w:rPr>
                <w:b/>
                <w:sz w:val="20"/>
              </w:rPr>
              <w:t>2.08</w:t>
            </w:r>
          </w:p>
        </w:tc>
        <w:tc>
          <w:tcPr>
            <w:tcW w:w="1678" w:type="dxa"/>
            <w:shd w:val="clear" w:color="auto" w:fill="FFFFCC"/>
          </w:tcPr>
          <w:p w:rsidR="007C5447" w:rsidRDefault="00F6308C">
            <w:pPr>
              <w:pStyle w:val="TableParagraph"/>
              <w:spacing w:before="86" w:line="224" w:lineRule="exact"/>
              <w:ind w:right="94"/>
              <w:rPr>
                <w:b/>
                <w:sz w:val="20"/>
              </w:rPr>
            </w:pPr>
            <w:r>
              <w:rPr>
                <w:b/>
                <w:sz w:val="20"/>
              </w:rPr>
              <w:t>2.41</w:t>
            </w:r>
          </w:p>
        </w:tc>
        <w:tc>
          <w:tcPr>
            <w:tcW w:w="1675" w:type="dxa"/>
            <w:shd w:val="clear" w:color="auto" w:fill="FFFFCC"/>
          </w:tcPr>
          <w:p w:rsidR="007C5447" w:rsidRDefault="00F6308C">
            <w:pPr>
              <w:pStyle w:val="TableParagraph"/>
              <w:spacing w:before="86" w:line="224" w:lineRule="exact"/>
              <w:ind w:right="94"/>
              <w:rPr>
                <w:b/>
                <w:sz w:val="20"/>
              </w:rPr>
            </w:pPr>
            <w:r>
              <w:rPr>
                <w:b/>
                <w:sz w:val="20"/>
              </w:rPr>
              <w:t>2.68</w:t>
            </w:r>
          </w:p>
        </w:tc>
      </w:tr>
    </w:tbl>
    <w:p w:rsidR="007C5447" w:rsidRDefault="007C5447">
      <w:pPr>
        <w:spacing w:line="224" w:lineRule="exact"/>
        <w:rPr>
          <w:sz w:val="20"/>
        </w:rPr>
        <w:sectPr w:rsidR="007C5447">
          <w:pgSz w:w="16840" w:h="11910" w:orient="landscape"/>
          <w:pgMar w:top="1100" w:right="1220" w:bottom="1240" w:left="1220" w:header="0" w:footer="777" w:gutter="0"/>
          <w:cols w:space="720"/>
        </w:sectPr>
      </w:pPr>
    </w:p>
    <w:p w:rsidR="007C5447" w:rsidRDefault="00F6308C">
      <w:pPr>
        <w:pStyle w:val="Heading1"/>
        <w:spacing w:before="66"/>
        <w:ind w:firstLine="0"/>
      </w:pPr>
      <w:bookmarkStart w:id="97" w:name="_bookmark96"/>
      <w:bookmarkEnd w:id="97"/>
      <w:r>
        <w:lastRenderedPageBreak/>
        <w:t>APPENDIX 2</w:t>
      </w:r>
    </w:p>
    <w:p w:rsidR="007C5447" w:rsidRDefault="00F6308C">
      <w:pPr>
        <w:pStyle w:val="BodyText"/>
        <w:spacing w:before="4"/>
        <w:rPr>
          <w:b/>
          <w:sz w:val="16"/>
        </w:rPr>
      </w:pPr>
      <w:r>
        <w:pict>
          <v:line id="_x0000_s1027" style="position:absolute;z-index:-251616256;mso-wrap-distance-left:0;mso-wrap-distance-right:0;mso-position-horizontal-relative:page" from="92.2pt,11.6pt" to="771.45pt,11.6pt" strokeweight=".48pt">
            <w10:wrap type="topAndBottom" anchorx="page"/>
          </v:line>
        </w:pict>
      </w:r>
    </w:p>
    <w:p w:rsidR="007C5447" w:rsidRDefault="007C5447">
      <w:pPr>
        <w:pStyle w:val="BodyText"/>
        <w:spacing w:before="6"/>
        <w:rPr>
          <w:b/>
          <w:sz w:val="18"/>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15"/>
        <w:gridCol w:w="1586"/>
        <w:gridCol w:w="1584"/>
        <w:gridCol w:w="1586"/>
        <w:gridCol w:w="1584"/>
        <w:gridCol w:w="1612"/>
        <w:gridCol w:w="1406"/>
      </w:tblGrid>
      <w:tr w:rsidR="007C5447">
        <w:trPr>
          <w:trHeight w:val="311"/>
        </w:trPr>
        <w:tc>
          <w:tcPr>
            <w:tcW w:w="4815" w:type="dxa"/>
            <w:vMerge w:val="restart"/>
            <w:shd w:val="clear" w:color="auto" w:fill="FBD4B4"/>
          </w:tcPr>
          <w:p w:rsidR="007C5447" w:rsidRDefault="007C5447">
            <w:pPr>
              <w:pStyle w:val="TableParagraph"/>
              <w:spacing w:before="3"/>
              <w:jc w:val="left"/>
              <w:rPr>
                <w:b/>
                <w:sz w:val="25"/>
              </w:rPr>
            </w:pPr>
          </w:p>
          <w:p w:rsidR="007C5447" w:rsidRDefault="00F6308C">
            <w:pPr>
              <w:pStyle w:val="TableParagraph"/>
              <w:ind w:left="1764" w:right="1749"/>
              <w:jc w:val="center"/>
              <w:rPr>
                <w:b/>
                <w:sz w:val="20"/>
              </w:rPr>
            </w:pPr>
            <w:r>
              <w:rPr>
                <w:b/>
                <w:sz w:val="20"/>
              </w:rPr>
              <w:t>Source</w:t>
            </w:r>
          </w:p>
        </w:tc>
        <w:tc>
          <w:tcPr>
            <w:tcW w:w="9358" w:type="dxa"/>
            <w:gridSpan w:val="6"/>
            <w:shd w:val="clear" w:color="auto" w:fill="FBD4B4"/>
          </w:tcPr>
          <w:p w:rsidR="007C5447" w:rsidRDefault="00F6308C">
            <w:pPr>
              <w:pStyle w:val="TableParagraph"/>
              <w:spacing w:before="67" w:line="224" w:lineRule="exact"/>
              <w:ind w:left="4174" w:right="4149"/>
              <w:jc w:val="center"/>
              <w:rPr>
                <w:b/>
                <w:sz w:val="20"/>
              </w:rPr>
            </w:pPr>
            <w:r>
              <w:rPr>
                <w:b/>
                <w:sz w:val="20"/>
              </w:rPr>
              <w:t>FY 2011-12</w:t>
            </w:r>
          </w:p>
        </w:tc>
      </w:tr>
      <w:tr w:rsidR="007C5447">
        <w:trPr>
          <w:trHeight w:val="489"/>
        </w:trPr>
        <w:tc>
          <w:tcPr>
            <w:tcW w:w="4815" w:type="dxa"/>
            <w:vMerge/>
            <w:tcBorders>
              <w:top w:val="nil"/>
            </w:tcBorders>
            <w:shd w:val="clear" w:color="auto" w:fill="FBD4B4"/>
          </w:tcPr>
          <w:p w:rsidR="007C5447" w:rsidRDefault="007C5447">
            <w:pPr>
              <w:rPr>
                <w:sz w:val="2"/>
                <w:szCs w:val="2"/>
              </w:rPr>
            </w:pPr>
          </w:p>
        </w:tc>
        <w:tc>
          <w:tcPr>
            <w:tcW w:w="1586" w:type="dxa"/>
            <w:shd w:val="clear" w:color="auto" w:fill="FBD4B4"/>
          </w:tcPr>
          <w:p w:rsidR="007C5447" w:rsidRDefault="00F6308C">
            <w:pPr>
              <w:pStyle w:val="TableParagraph"/>
              <w:spacing w:before="130"/>
              <w:ind w:right="107"/>
              <w:rPr>
                <w:b/>
                <w:sz w:val="20"/>
              </w:rPr>
            </w:pPr>
            <w:r>
              <w:rPr>
                <w:b/>
                <w:sz w:val="20"/>
              </w:rPr>
              <w:t>Quantum (MU)</w:t>
            </w:r>
          </w:p>
        </w:tc>
        <w:tc>
          <w:tcPr>
            <w:tcW w:w="1584" w:type="dxa"/>
            <w:shd w:val="clear" w:color="auto" w:fill="FBD4B4"/>
          </w:tcPr>
          <w:p w:rsidR="007C5447" w:rsidRDefault="00F6308C">
            <w:pPr>
              <w:pStyle w:val="TableParagraph"/>
              <w:spacing w:before="14" w:line="230" w:lineRule="atLeast"/>
              <w:ind w:left="427" w:right="138" w:hanging="250"/>
              <w:jc w:val="left"/>
              <w:rPr>
                <w:b/>
                <w:sz w:val="20"/>
              </w:rPr>
            </w:pPr>
            <w:r>
              <w:rPr>
                <w:b/>
                <w:sz w:val="20"/>
              </w:rPr>
              <w:t>Fixed Charges (Rs. Cr.)</w:t>
            </w:r>
          </w:p>
        </w:tc>
        <w:tc>
          <w:tcPr>
            <w:tcW w:w="1586" w:type="dxa"/>
            <w:shd w:val="clear" w:color="auto" w:fill="FBD4B4"/>
          </w:tcPr>
          <w:p w:rsidR="007C5447" w:rsidRDefault="00F6308C">
            <w:pPr>
              <w:pStyle w:val="TableParagraph"/>
              <w:spacing w:before="14" w:line="230" w:lineRule="atLeast"/>
              <w:ind w:left="339" w:right="106" w:hanging="195"/>
              <w:jc w:val="left"/>
              <w:rPr>
                <w:b/>
                <w:sz w:val="20"/>
              </w:rPr>
            </w:pPr>
            <w:r>
              <w:rPr>
                <w:b/>
                <w:sz w:val="20"/>
              </w:rPr>
              <w:t>Energy Charge (Rs. Crore)</w:t>
            </w:r>
          </w:p>
        </w:tc>
        <w:tc>
          <w:tcPr>
            <w:tcW w:w="1584" w:type="dxa"/>
            <w:shd w:val="clear" w:color="auto" w:fill="FBD4B4"/>
          </w:tcPr>
          <w:p w:rsidR="007C5447" w:rsidRDefault="00F6308C">
            <w:pPr>
              <w:pStyle w:val="TableParagraph"/>
              <w:spacing w:before="14" w:line="230" w:lineRule="atLeast"/>
              <w:ind w:left="378" w:right="103" w:hanging="233"/>
              <w:jc w:val="left"/>
              <w:rPr>
                <w:b/>
                <w:sz w:val="20"/>
              </w:rPr>
            </w:pPr>
            <w:r>
              <w:rPr>
                <w:b/>
                <w:sz w:val="20"/>
              </w:rPr>
              <w:t>Energy Charge (Rs./Unit)</w:t>
            </w:r>
          </w:p>
        </w:tc>
        <w:tc>
          <w:tcPr>
            <w:tcW w:w="1612" w:type="dxa"/>
            <w:shd w:val="clear" w:color="auto" w:fill="FBD4B4"/>
          </w:tcPr>
          <w:p w:rsidR="007C5447" w:rsidRDefault="00F6308C">
            <w:pPr>
              <w:pStyle w:val="TableParagraph"/>
              <w:spacing w:before="14" w:line="230" w:lineRule="atLeast"/>
              <w:ind w:left="467" w:right="324" w:hanging="104"/>
              <w:jc w:val="left"/>
              <w:rPr>
                <w:b/>
                <w:sz w:val="20"/>
              </w:rPr>
            </w:pPr>
            <w:r>
              <w:rPr>
                <w:b/>
                <w:sz w:val="20"/>
              </w:rPr>
              <w:t>Total Cost (Rs. Cr)</w:t>
            </w:r>
          </w:p>
        </w:tc>
        <w:tc>
          <w:tcPr>
            <w:tcW w:w="1406" w:type="dxa"/>
            <w:shd w:val="clear" w:color="auto" w:fill="FBD4B4"/>
          </w:tcPr>
          <w:p w:rsidR="007C5447" w:rsidRDefault="00F6308C">
            <w:pPr>
              <w:pStyle w:val="TableParagraph"/>
              <w:spacing w:before="14" w:line="230" w:lineRule="atLeast"/>
              <w:ind w:left="293" w:firstLine="216"/>
              <w:jc w:val="left"/>
              <w:rPr>
                <w:b/>
                <w:sz w:val="20"/>
              </w:rPr>
            </w:pPr>
            <w:r>
              <w:rPr>
                <w:b/>
                <w:sz w:val="20"/>
              </w:rPr>
              <w:t xml:space="preserve">Rate </w:t>
            </w:r>
            <w:r>
              <w:rPr>
                <w:b/>
                <w:w w:val="95"/>
                <w:sz w:val="20"/>
              </w:rPr>
              <w:t>(Rs/kWh)</w:t>
            </w:r>
          </w:p>
        </w:tc>
      </w:tr>
      <w:tr w:rsidR="007C5447">
        <w:trPr>
          <w:trHeight w:val="369"/>
        </w:trPr>
        <w:tc>
          <w:tcPr>
            <w:tcW w:w="4815" w:type="dxa"/>
          </w:tcPr>
          <w:p w:rsidR="007C5447" w:rsidRDefault="00F6308C">
            <w:pPr>
              <w:pStyle w:val="TableParagraph"/>
              <w:spacing w:before="70"/>
              <w:ind w:left="1327"/>
              <w:jc w:val="left"/>
              <w:rPr>
                <w:b/>
                <w:sz w:val="20"/>
              </w:rPr>
            </w:pPr>
            <w:r>
              <w:rPr>
                <w:b/>
                <w:sz w:val="20"/>
              </w:rPr>
              <w:t>Own Generating Stations</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7C5447">
            <w:pPr>
              <w:pStyle w:val="TableParagraph"/>
              <w:jc w:val="left"/>
              <w:rPr>
                <w:sz w:val="20"/>
              </w:rPr>
            </w:pPr>
          </w:p>
        </w:tc>
        <w:tc>
          <w:tcPr>
            <w:tcW w:w="1406" w:type="dxa"/>
          </w:tcPr>
          <w:p w:rsidR="007C5447" w:rsidRDefault="007C5447">
            <w:pPr>
              <w:pStyle w:val="TableParagraph"/>
              <w:jc w:val="left"/>
              <w:rPr>
                <w:sz w:val="20"/>
              </w:rPr>
            </w:pPr>
          </w:p>
        </w:tc>
      </w:tr>
      <w:tr w:rsidR="007C5447">
        <w:trPr>
          <w:trHeight w:val="311"/>
        </w:trPr>
        <w:tc>
          <w:tcPr>
            <w:tcW w:w="4815" w:type="dxa"/>
          </w:tcPr>
          <w:p w:rsidR="007C5447" w:rsidRDefault="00F6308C">
            <w:pPr>
              <w:pStyle w:val="TableParagraph"/>
              <w:spacing w:before="41"/>
              <w:ind w:left="112"/>
              <w:jc w:val="left"/>
              <w:rPr>
                <w:sz w:val="20"/>
              </w:rPr>
            </w:pPr>
            <w:r>
              <w:rPr>
                <w:sz w:val="20"/>
              </w:rPr>
              <w:t>Ennore TPS</w:t>
            </w:r>
          </w:p>
        </w:tc>
        <w:tc>
          <w:tcPr>
            <w:tcW w:w="1586" w:type="dxa"/>
          </w:tcPr>
          <w:p w:rsidR="007C5447" w:rsidRDefault="00F6308C">
            <w:pPr>
              <w:pStyle w:val="TableParagraph"/>
              <w:spacing w:before="41"/>
              <w:ind w:right="95"/>
              <w:rPr>
                <w:sz w:val="20"/>
              </w:rPr>
            </w:pPr>
            <w:r>
              <w:rPr>
                <w:w w:val="95"/>
                <w:sz w:val="20"/>
              </w:rPr>
              <w:t>744.02</w:t>
            </w:r>
          </w:p>
        </w:tc>
        <w:tc>
          <w:tcPr>
            <w:tcW w:w="1584" w:type="dxa"/>
          </w:tcPr>
          <w:p w:rsidR="007C5447" w:rsidRDefault="00F6308C">
            <w:pPr>
              <w:pStyle w:val="TableParagraph"/>
              <w:spacing w:before="41"/>
              <w:ind w:right="92"/>
              <w:rPr>
                <w:sz w:val="20"/>
              </w:rPr>
            </w:pPr>
            <w:r>
              <w:rPr>
                <w:w w:val="95"/>
                <w:sz w:val="20"/>
              </w:rPr>
              <w:t>119.00</w:t>
            </w:r>
          </w:p>
        </w:tc>
        <w:tc>
          <w:tcPr>
            <w:tcW w:w="1586" w:type="dxa"/>
          </w:tcPr>
          <w:p w:rsidR="007C5447" w:rsidRDefault="00F6308C">
            <w:pPr>
              <w:pStyle w:val="TableParagraph"/>
              <w:spacing w:before="41"/>
              <w:ind w:right="94"/>
              <w:rPr>
                <w:sz w:val="20"/>
              </w:rPr>
            </w:pPr>
            <w:r>
              <w:rPr>
                <w:w w:val="95"/>
                <w:sz w:val="20"/>
              </w:rPr>
              <w:t>262.98</w:t>
            </w:r>
          </w:p>
        </w:tc>
        <w:tc>
          <w:tcPr>
            <w:tcW w:w="1584" w:type="dxa"/>
          </w:tcPr>
          <w:p w:rsidR="007C5447" w:rsidRDefault="00F6308C">
            <w:pPr>
              <w:pStyle w:val="TableParagraph"/>
              <w:spacing w:before="41"/>
              <w:ind w:right="91"/>
              <w:rPr>
                <w:sz w:val="20"/>
              </w:rPr>
            </w:pPr>
            <w:r>
              <w:rPr>
                <w:sz w:val="20"/>
              </w:rPr>
              <w:t>3.53</w:t>
            </w:r>
          </w:p>
        </w:tc>
        <w:tc>
          <w:tcPr>
            <w:tcW w:w="1612" w:type="dxa"/>
          </w:tcPr>
          <w:p w:rsidR="007C5447" w:rsidRDefault="00F6308C">
            <w:pPr>
              <w:pStyle w:val="TableParagraph"/>
              <w:spacing w:before="41"/>
              <w:ind w:right="90"/>
              <w:rPr>
                <w:sz w:val="20"/>
              </w:rPr>
            </w:pPr>
            <w:r>
              <w:rPr>
                <w:w w:val="95"/>
                <w:sz w:val="20"/>
              </w:rPr>
              <w:t>381.97</w:t>
            </w:r>
          </w:p>
        </w:tc>
        <w:tc>
          <w:tcPr>
            <w:tcW w:w="1406" w:type="dxa"/>
          </w:tcPr>
          <w:p w:rsidR="007C5447" w:rsidRDefault="00F6308C">
            <w:pPr>
              <w:pStyle w:val="TableParagraph"/>
              <w:spacing w:before="41"/>
              <w:ind w:right="89"/>
              <w:rPr>
                <w:sz w:val="20"/>
              </w:rPr>
            </w:pPr>
            <w:r>
              <w:rPr>
                <w:sz w:val="20"/>
              </w:rPr>
              <w:t>5.13</w:t>
            </w:r>
          </w:p>
        </w:tc>
      </w:tr>
      <w:tr w:rsidR="007C5447">
        <w:trPr>
          <w:trHeight w:val="312"/>
        </w:trPr>
        <w:tc>
          <w:tcPr>
            <w:tcW w:w="4815" w:type="dxa"/>
          </w:tcPr>
          <w:p w:rsidR="007C5447" w:rsidRDefault="00F6308C">
            <w:pPr>
              <w:pStyle w:val="TableParagraph"/>
              <w:spacing w:before="41"/>
              <w:ind w:left="112"/>
              <w:jc w:val="left"/>
              <w:rPr>
                <w:sz w:val="20"/>
              </w:rPr>
            </w:pPr>
            <w:r>
              <w:rPr>
                <w:sz w:val="20"/>
              </w:rPr>
              <w:t>Tuticorin TPS</w:t>
            </w:r>
          </w:p>
        </w:tc>
        <w:tc>
          <w:tcPr>
            <w:tcW w:w="1586" w:type="dxa"/>
          </w:tcPr>
          <w:p w:rsidR="007C5447" w:rsidRDefault="00F6308C">
            <w:pPr>
              <w:pStyle w:val="TableParagraph"/>
              <w:spacing w:before="41"/>
              <w:ind w:right="93"/>
              <w:rPr>
                <w:sz w:val="20"/>
              </w:rPr>
            </w:pPr>
            <w:r>
              <w:rPr>
                <w:w w:val="95"/>
                <w:sz w:val="20"/>
              </w:rPr>
              <w:t>7,262.24</w:t>
            </w:r>
          </w:p>
        </w:tc>
        <w:tc>
          <w:tcPr>
            <w:tcW w:w="1584" w:type="dxa"/>
          </w:tcPr>
          <w:p w:rsidR="007C5447" w:rsidRDefault="00F6308C">
            <w:pPr>
              <w:pStyle w:val="TableParagraph"/>
              <w:spacing w:before="41"/>
              <w:ind w:right="92"/>
              <w:rPr>
                <w:sz w:val="20"/>
              </w:rPr>
            </w:pPr>
            <w:r>
              <w:rPr>
                <w:w w:val="95"/>
                <w:sz w:val="20"/>
              </w:rPr>
              <w:t>398.35</w:t>
            </w:r>
          </w:p>
        </w:tc>
        <w:tc>
          <w:tcPr>
            <w:tcW w:w="1586" w:type="dxa"/>
          </w:tcPr>
          <w:p w:rsidR="007C5447" w:rsidRDefault="00F6308C">
            <w:pPr>
              <w:pStyle w:val="TableParagraph"/>
              <w:spacing w:before="41"/>
              <w:ind w:right="92"/>
              <w:rPr>
                <w:sz w:val="20"/>
              </w:rPr>
            </w:pPr>
            <w:r>
              <w:rPr>
                <w:w w:val="95"/>
                <w:sz w:val="20"/>
              </w:rPr>
              <w:t>2,288.04</w:t>
            </w:r>
          </w:p>
        </w:tc>
        <w:tc>
          <w:tcPr>
            <w:tcW w:w="1584" w:type="dxa"/>
          </w:tcPr>
          <w:p w:rsidR="007C5447" w:rsidRDefault="00F6308C">
            <w:pPr>
              <w:pStyle w:val="TableParagraph"/>
              <w:spacing w:before="41"/>
              <w:ind w:right="91"/>
              <w:rPr>
                <w:sz w:val="20"/>
              </w:rPr>
            </w:pPr>
            <w:r>
              <w:rPr>
                <w:sz w:val="20"/>
              </w:rPr>
              <w:t>3.15</w:t>
            </w:r>
          </w:p>
        </w:tc>
        <w:tc>
          <w:tcPr>
            <w:tcW w:w="1612" w:type="dxa"/>
          </w:tcPr>
          <w:p w:rsidR="007C5447" w:rsidRDefault="00F6308C">
            <w:pPr>
              <w:pStyle w:val="TableParagraph"/>
              <w:spacing w:before="41"/>
              <w:ind w:right="88"/>
              <w:rPr>
                <w:sz w:val="20"/>
              </w:rPr>
            </w:pPr>
            <w:r>
              <w:rPr>
                <w:w w:val="95"/>
                <w:sz w:val="20"/>
              </w:rPr>
              <w:t>2,686.39</w:t>
            </w:r>
          </w:p>
        </w:tc>
        <w:tc>
          <w:tcPr>
            <w:tcW w:w="1406" w:type="dxa"/>
          </w:tcPr>
          <w:p w:rsidR="007C5447" w:rsidRDefault="00F6308C">
            <w:pPr>
              <w:pStyle w:val="TableParagraph"/>
              <w:spacing w:before="41"/>
              <w:ind w:right="89"/>
              <w:rPr>
                <w:sz w:val="20"/>
              </w:rPr>
            </w:pPr>
            <w:r>
              <w:rPr>
                <w:sz w:val="20"/>
              </w:rPr>
              <w:t>3.70</w:t>
            </w:r>
          </w:p>
        </w:tc>
      </w:tr>
      <w:tr w:rsidR="007C5447">
        <w:trPr>
          <w:trHeight w:val="311"/>
        </w:trPr>
        <w:tc>
          <w:tcPr>
            <w:tcW w:w="4815" w:type="dxa"/>
          </w:tcPr>
          <w:p w:rsidR="007C5447" w:rsidRDefault="00F6308C">
            <w:pPr>
              <w:pStyle w:val="TableParagraph"/>
              <w:spacing w:before="41"/>
              <w:ind w:left="112"/>
              <w:jc w:val="left"/>
              <w:rPr>
                <w:sz w:val="20"/>
              </w:rPr>
            </w:pPr>
            <w:r>
              <w:rPr>
                <w:sz w:val="20"/>
              </w:rPr>
              <w:t>Mettur TPS</w:t>
            </w:r>
          </w:p>
        </w:tc>
        <w:tc>
          <w:tcPr>
            <w:tcW w:w="1586" w:type="dxa"/>
          </w:tcPr>
          <w:p w:rsidR="007C5447" w:rsidRDefault="00F6308C">
            <w:pPr>
              <w:pStyle w:val="TableParagraph"/>
              <w:spacing w:before="41"/>
              <w:ind w:right="93"/>
              <w:rPr>
                <w:sz w:val="20"/>
              </w:rPr>
            </w:pPr>
            <w:r>
              <w:rPr>
                <w:w w:val="95"/>
                <w:sz w:val="20"/>
              </w:rPr>
              <w:t>6,279.21</w:t>
            </w:r>
          </w:p>
        </w:tc>
        <w:tc>
          <w:tcPr>
            <w:tcW w:w="1584" w:type="dxa"/>
          </w:tcPr>
          <w:p w:rsidR="007C5447" w:rsidRDefault="00F6308C">
            <w:pPr>
              <w:pStyle w:val="TableParagraph"/>
              <w:spacing w:before="41"/>
              <w:ind w:right="92"/>
              <w:rPr>
                <w:sz w:val="20"/>
              </w:rPr>
            </w:pPr>
            <w:r>
              <w:rPr>
                <w:w w:val="95"/>
                <w:sz w:val="20"/>
              </w:rPr>
              <w:t>277.96</w:t>
            </w:r>
          </w:p>
        </w:tc>
        <w:tc>
          <w:tcPr>
            <w:tcW w:w="1586" w:type="dxa"/>
          </w:tcPr>
          <w:p w:rsidR="007C5447" w:rsidRDefault="00F6308C">
            <w:pPr>
              <w:pStyle w:val="TableParagraph"/>
              <w:spacing w:before="41"/>
              <w:ind w:right="92"/>
              <w:rPr>
                <w:sz w:val="20"/>
              </w:rPr>
            </w:pPr>
            <w:r>
              <w:rPr>
                <w:w w:val="95"/>
                <w:sz w:val="20"/>
              </w:rPr>
              <w:t>1,777.32</w:t>
            </w:r>
          </w:p>
        </w:tc>
        <w:tc>
          <w:tcPr>
            <w:tcW w:w="1584" w:type="dxa"/>
          </w:tcPr>
          <w:p w:rsidR="007C5447" w:rsidRDefault="00F6308C">
            <w:pPr>
              <w:pStyle w:val="TableParagraph"/>
              <w:spacing w:before="41"/>
              <w:ind w:right="91"/>
              <w:rPr>
                <w:sz w:val="20"/>
              </w:rPr>
            </w:pPr>
            <w:r>
              <w:rPr>
                <w:sz w:val="20"/>
              </w:rPr>
              <w:t>2.83</w:t>
            </w:r>
          </w:p>
        </w:tc>
        <w:tc>
          <w:tcPr>
            <w:tcW w:w="1612" w:type="dxa"/>
          </w:tcPr>
          <w:p w:rsidR="007C5447" w:rsidRDefault="00F6308C">
            <w:pPr>
              <w:pStyle w:val="TableParagraph"/>
              <w:spacing w:before="41"/>
              <w:ind w:right="88"/>
              <w:rPr>
                <w:sz w:val="20"/>
              </w:rPr>
            </w:pPr>
            <w:r>
              <w:rPr>
                <w:w w:val="95"/>
                <w:sz w:val="20"/>
              </w:rPr>
              <w:t>2,055.29</w:t>
            </w:r>
          </w:p>
        </w:tc>
        <w:tc>
          <w:tcPr>
            <w:tcW w:w="1406" w:type="dxa"/>
          </w:tcPr>
          <w:p w:rsidR="007C5447" w:rsidRDefault="00F6308C">
            <w:pPr>
              <w:pStyle w:val="TableParagraph"/>
              <w:spacing w:before="41"/>
              <w:ind w:right="89"/>
              <w:rPr>
                <w:sz w:val="20"/>
              </w:rPr>
            </w:pPr>
            <w:r>
              <w:rPr>
                <w:sz w:val="20"/>
              </w:rPr>
              <w:t>3.27</w:t>
            </w:r>
          </w:p>
        </w:tc>
      </w:tr>
      <w:tr w:rsidR="007C5447">
        <w:trPr>
          <w:trHeight w:val="311"/>
        </w:trPr>
        <w:tc>
          <w:tcPr>
            <w:tcW w:w="4815" w:type="dxa"/>
          </w:tcPr>
          <w:p w:rsidR="007C5447" w:rsidRDefault="00F6308C">
            <w:pPr>
              <w:pStyle w:val="TableParagraph"/>
              <w:spacing w:before="41"/>
              <w:ind w:left="112"/>
              <w:jc w:val="left"/>
              <w:rPr>
                <w:sz w:val="20"/>
              </w:rPr>
            </w:pPr>
            <w:r>
              <w:rPr>
                <w:sz w:val="20"/>
              </w:rPr>
              <w:t>North Chennai TPS</w:t>
            </w:r>
          </w:p>
        </w:tc>
        <w:tc>
          <w:tcPr>
            <w:tcW w:w="1586" w:type="dxa"/>
          </w:tcPr>
          <w:p w:rsidR="007C5447" w:rsidRDefault="00F6308C">
            <w:pPr>
              <w:pStyle w:val="TableParagraph"/>
              <w:spacing w:before="41"/>
              <w:ind w:right="93"/>
              <w:rPr>
                <w:sz w:val="20"/>
              </w:rPr>
            </w:pPr>
            <w:r>
              <w:rPr>
                <w:w w:val="95"/>
                <w:sz w:val="20"/>
              </w:rPr>
              <w:t>4,301.14</w:t>
            </w:r>
          </w:p>
        </w:tc>
        <w:tc>
          <w:tcPr>
            <w:tcW w:w="1584" w:type="dxa"/>
          </w:tcPr>
          <w:p w:rsidR="007C5447" w:rsidRDefault="00F6308C">
            <w:pPr>
              <w:pStyle w:val="TableParagraph"/>
              <w:spacing w:before="41"/>
              <w:ind w:right="92"/>
              <w:rPr>
                <w:sz w:val="20"/>
              </w:rPr>
            </w:pPr>
            <w:r>
              <w:rPr>
                <w:w w:val="95"/>
                <w:sz w:val="20"/>
              </w:rPr>
              <w:t>324.03</w:t>
            </w:r>
          </w:p>
        </w:tc>
        <w:tc>
          <w:tcPr>
            <w:tcW w:w="1586" w:type="dxa"/>
          </w:tcPr>
          <w:p w:rsidR="007C5447" w:rsidRDefault="00F6308C">
            <w:pPr>
              <w:pStyle w:val="TableParagraph"/>
              <w:spacing w:before="41"/>
              <w:ind w:right="90"/>
              <w:rPr>
                <w:sz w:val="20"/>
              </w:rPr>
            </w:pPr>
            <w:r>
              <w:rPr>
                <w:w w:val="99"/>
                <w:sz w:val="20"/>
              </w:rPr>
              <w:t>-</w:t>
            </w:r>
          </w:p>
        </w:tc>
        <w:tc>
          <w:tcPr>
            <w:tcW w:w="1584" w:type="dxa"/>
          </w:tcPr>
          <w:p w:rsidR="007C5447" w:rsidRDefault="00F6308C">
            <w:pPr>
              <w:pStyle w:val="TableParagraph"/>
              <w:spacing w:before="41"/>
              <w:ind w:right="88"/>
              <w:rPr>
                <w:sz w:val="20"/>
              </w:rPr>
            </w:pPr>
            <w:r>
              <w:rPr>
                <w:w w:val="99"/>
                <w:sz w:val="20"/>
              </w:rPr>
              <w:t>-</w:t>
            </w:r>
          </w:p>
        </w:tc>
        <w:tc>
          <w:tcPr>
            <w:tcW w:w="1612" w:type="dxa"/>
          </w:tcPr>
          <w:p w:rsidR="007C5447" w:rsidRDefault="00F6308C">
            <w:pPr>
              <w:pStyle w:val="TableParagraph"/>
              <w:spacing w:before="41"/>
              <w:ind w:right="90"/>
              <w:rPr>
                <w:sz w:val="20"/>
              </w:rPr>
            </w:pPr>
            <w:r>
              <w:rPr>
                <w:w w:val="95"/>
                <w:sz w:val="20"/>
              </w:rPr>
              <w:t>324.03</w:t>
            </w:r>
          </w:p>
        </w:tc>
        <w:tc>
          <w:tcPr>
            <w:tcW w:w="1406" w:type="dxa"/>
          </w:tcPr>
          <w:p w:rsidR="007C5447" w:rsidRDefault="00F6308C">
            <w:pPr>
              <w:pStyle w:val="TableParagraph"/>
              <w:spacing w:before="41"/>
              <w:ind w:right="89"/>
              <w:rPr>
                <w:sz w:val="20"/>
              </w:rPr>
            </w:pPr>
            <w:r>
              <w:rPr>
                <w:sz w:val="20"/>
              </w:rPr>
              <w:t>0.75</w:t>
            </w:r>
          </w:p>
        </w:tc>
      </w:tr>
      <w:tr w:rsidR="007C5447">
        <w:trPr>
          <w:trHeight w:val="314"/>
        </w:trPr>
        <w:tc>
          <w:tcPr>
            <w:tcW w:w="4815" w:type="dxa"/>
          </w:tcPr>
          <w:p w:rsidR="007C5447" w:rsidRDefault="00F6308C">
            <w:pPr>
              <w:pStyle w:val="TableParagraph"/>
              <w:spacing w:before="41"/>
              <w:ind w:left="1764" w:right="1751"/>
              <w:jc w:val="center"/>
              <w:rPr>
                <w:b/>
                <w:sz w:val="20"/>
              </w:rPr>
            </w:pPr>
            <w:r>
              <w:rPr>
                <w:b/>
                <w:sz w:val="20"/>
              </w:rPr>
              <w:t>Total Thermal</w:t>
            </w:r>
          </w:p>
        </w:tc>
        <w:tc>
          <w:tcPr>
            <w:tcW w:w="1586" w:type="dxa"/>
          </w:tcPr>
          <w:p w:rsidR="007C5447" w:rsidRDefault="00F6308C">
            <w:pPr>
              <w:pStyle w:val="TableParagraph"/>
              <w:spacing w:before="41"/>
              <w:ind w:right="95"/>
              <w:rPr>
                <w:b/>
                <w:sz w:val="20"/>
              </w:rPr>
            </w:pPr>
            <w:r>
              <w:rPr>
                <w:b/>
                <w:w w:val="95"/>
                <w:sz w:val="20"/>
              </w:rPr>
              <w:t>18,586.62</w:t>
            </w:r>
          </w:p>
        </w:tc>
        <w:tc>
          <w:tcPr>
            <w:tcW w:w="1584" w:type="dxa"/>
          </w:tcPr>
          <w:p w:rsidR="007C5447" w:rsidRDefault="00F6308C">
            <w:pPr>
              <w:pStyle w:val="TableParagraph"/>
              <w:spacing w:before="41"/>
              <w:ind w:right="90"/>
              <w:rPr>
                <w:b/>
                <w:sz w:val="20"/>
              </w:rPr>
            </w:pPr>
            <w:r>
              <w:rPr>
                <w:b/>
                <w:w w:val="95"/>
                <w:sz w:val="20"/>
              </w:rPr>
              <w:t>1,119.33</w:t>
            </w:r>
          </w:p>
        </w:tc>
        <w:tc>
          <w:tcPr>
            <w:tcW w:w="1586" w:type="dxa"/>
          </w:tcPr>
          <w:p w:rsidR="007C5447" w:rsidRDefault="00F6308C">
            <w:pPr>
              <w:pStyle w:val="TableParagraph"/>
              <w:spacing w:before="41"/>
              <w:ind w:right="92"/>
              <w:rPr>
                <w:b/>
                <w:sz w:val="20"/>
              </w:rPr>
            </w:pPr>
            <w:r>
              <w:rPr>
                <w:b/>
                <w:w w:val="95"/>
                <w:sz w:val="20"/>
              </w:rPr>
              <w:t>4,328.35</w:t>
            </w: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88"/>
              <w:rPr>
                <w:b/>
                <w:sz w:val="20"/>
              </w:rPr>
            </w:pPr>
            <w:r>
              <w:rPr>
                <w:b/>
                <w:w w:val="95"/>
                <w:sz w:val="20"/>
              </w:rPr>
              <w:t>5,447.68</w:t>
            </w:r>
          </w:p>
        </w:tc>
        <w:tc>
          <w:tcPr>
            <w:tcW w:w="1406" w:type="dxa"/>
          </w:tcPr>
          <w:p w:rsidR="007C5447" w:rsidRDefault="00F6308C">
            <w:pPr>
              <w:pStyle w:val="TableParagraph"/>
              <w:spacing w:before="41"/>
              <w:ind w:right="89"/>
              <w:rPr>
                <w:b/>
                <w:sz w:val="20"/>
              </w:rPr>
            </w:pPr>
            <w:r>
              <w:rPr>
                <w:b/>
                <w:sz w:val="20"/>
              </w:rPr>
              <w:t>2.93</w:t>
            </w:r>
          </w:p>
        </w:tc>
      </w:tr>
      <w:tr w:rsidR="007C5447">
        <w:trPr>
          <w:trHeight w:val="311"/>
        </w:trPr>
        <w:tc>
          <w:tcPr>
            <w:tcW w:w="4815" w:type="dxa"/>
          </w:tcPr>
          <w:p w:rsidR="007C5447" w:rsidRDefault="00F6308C">
            <w:pPr>
              <w:pStyle w:val="TableParagraph"/>
              <w:spacing w:before="41"/>
              <w:ind w:left="112"/>
              <w:jc w:val="left"/>
              <w:rPr>
                <w:sz w:val="20"/>
              </w:rPr>
            </w:pPr>
            <w:r>
              <w:rPr>
                <w:sz w:val="20"/>
              </w:rPr>
              <w:t>TGTPS</w:t>
            </w:r>
          </w:p>
        </w:tc>
        <w:tc>
          <w:tcPr>
            <w:tcW w:w="1586" w:type="dxa"/>
          </w:tcPr>
          <w:p w:rsidR="007C5447" w:rsidRDefault="00F6308C">
            <w:pPr>
              <w:pStyle w:val="TableParagraph"/>
              <w:spacing w:before="41"/>
              <w:ind w:right="95"/>
              <w:rPr>
                <w:sz w:val="20"/>
              </w:rPr>
            </w:pPr>
            <w:r>
              <w:rPr>
                <w:w w:val="95"/>
                <w:sz w:val="20"/>
              </w:rPr>
              <w:t>663.00</w:t>
            </w:r>
          </w:p>
        </w:tc>
        <w:tc>
          <w:tcPr>
            <w:tcW w:w="1584" w:type="dxa"/>
          </w:tcPr>
          <w:p w:rsidR="007C5447" w:rsidRDefault="00F6308C">
            <w:pPr>
              <w:pStyle w:val="TableParagraph"/>
              <w:spacing w:before="41"/>
              <w:ind w:right="90"/>
              <w:rPr>
                <w:sz w:val="20"/>
              </w:rPr>
            </w:pPr>
            <w:r>
              <w:rPr>
                <w:sz w:val="20"/>
              </w:rPr>
              <w:t>67.61</w:t>
            </w:r>
          </w:p>
        </w:tc>
        <w:tc>
          <w:tcPr>
            <w:tcW w:w="1586" w:type="dxa"/>
          </w:tcPr>
          <w:p w:rsidR="007C5447" w:rsidRDefault="00F6308C">
            <w:pPr>
              <w:pStyle w:val="TableParagraph"/>
              <w:spacing w:before="41"/>
              <w:ind w:right="94"/>
              <w:rPr>
                <w:sz w:val="20"/>
              </w:rPr>
            </w:pPr>
            <w:r>
              <w:rPr>
                <w:w w:val="95"/>
                <w:sz w:val="20"/>
              </w:rPr>
              <w:t>110.34</w:t>
            </w:r>
          </w:p>
        </w:tc>
        <w:tc>
          <w:tcPr>
            <w:tcW w:w="1584" w:type="dxa"/>
          </w:tcPr>
          <w:p w:rsidR="007C5447" w:rsidRDefault="00F6308C">
            <w:pPr>
              <w:pStyle w:val="TableParagraph"/>
              <w:spacing w:before="41"/>
              <w:ind w:right="91"/>
              <w:rPr>
                <w:sz w:val="20"/>
              </w:rPr>
            </w:pPr>
            <w:r>
              <w:rPr>
                <w:sz w:val="20"/>
              </w:rPr>
              <w:t>1.66</w:t>
            </w:r>
          </w:p>
        </w:tc>
        <w:tc>
          <w:tcPr>
            <w:tcW w:w="1612" w:type="dxa"/>
          </w:tcPr>
          <w:p w:rsidR="007C5447" w:rsidRDefault="00F6308C">
            <w:pPr>
              <w:pStyle w:val="TableParagraph"/>
              <w:spacing w:before="41"/>
              <w:ind w:right="90"/>
              <w:rPr>
                <w:sz w:val="20"/>
              </w:rPr>
            </w:pPr>
            <w:r>
              <w:rPr>
                <w:w w:val="95"/>
                <w:sz w:val="20"/>
              </w:rPr>
              <w:t>110.34</w:t>
            </w:r>
          </w:p>
        </w:tc>
        <w:tc>
          <w:tcPr>
            <w:tcW w:w="1406" w:type="dxa"/>
          </w:tcPr>
          <w:p w:rsidR="007C5447" w:rsidRDefault="00F6308C">
            <w:pPr>
              <w:pStyle w:val="TableParagraph"/>
              <w:spacing w:before="41"/>
              <w:ind w:right="89"/>
              <w:rPr>
                <w:sz w:val="20"/>
              </w:rPr>
            </w:pPr>
            <w:r>
              <w:rPr>
                <w:sz w:val="20"/>
              </w:rPr>
              <w:t>1.66</w:t>
            </w:r>
          </w:p>
        </w:tc>
      </w:tr>
      <w:tr w:rsidR="007C5447">
        <w:trPr>
          <w:trHeight w:val="311"/>
        </w:trPr>
        <w:tc>
          <w:tcPr>
            <w:tcW w:w="4815" w:type="dxa"/>
          </w:tcPr>
          <w:p w:rsidR="007C5447" w:rsidRDefault="00F6308C">
            <w:pPr>
              <w:pStyle w:val="TableParagraph"/>
              <w:spacing w:before="41"/>
              <w:ind w:left="112"/>
              <w:jc w:val="left"/>
              <w:rPr>
                <w:sz w:val="20"/>
              </w:rPr>
            </w:pPr>
            <w:r>
              <w:rPr>
                <w:sz w:val="20"/>
              </w:rPr>
              <w:t>KGTPS</w:t>
            </w:r>
          </w:p>
        </w:tc>
        <w:tc>
          <w:tcPr>
            <w:tcW w:w="1586" w:type="dxa"/>
          </w:tcPr>
          <w:p w:rsidR="007C5447" w:rsidRDefault="00F6308C">
            <w:pPr>
              <w:pStyle w:val="TableParagraph"/>
              <w:spacing w:before="41"/>
              <w:ind w:right="95"/>
              <w:rPr>
                <w:sz w:val="20"/>
              </w:rPr>
            </w:pPr>
            <w:r>
              <w:rPr>
                <w:w w:val="95"/>
                <w:sz w:val="20"/>
              </w:rPr>
              <w:t>385.00</w:t>
            </w:r>
          </w:p>
        </w:tc>
        <w:tc>
          <w:tcPr>
            <w:tcW w:w="1584" w:type="dxa"/>
          </w:tcPr>
          <w:p w:rsidR="007C5447" w:rsidRDefault="00F6308C">
            <w:pPr>
              <w:pStyle w:val="TableParagraph"/>
              <w:spacing w:before="41"/>
              <w:ind w:right="90"/>
              <w:rPr>
                <w:sz w:val="20"/>
              </w:rPr>
            </w:pPr>
            <w:r>
              <w:rPr>
                <w:sz w:val="20"/>
              </w:rPr>
              <w:t>36.71</w:t>
            </w:r>
          </w:p>
        </w:tc>
        <w:tc>
          <w:tcPr>
            <w:tcW w:w="1586" w:type="dxa"/>
          </w:tcPr>
          <w:p w:rsidR="007C5447" w:rsidRDefault="00F6308C">
            <w:pPr>
              <w:pStyle w:val="TableParagraph"/>
              <w:spacing w:before="41"/>
              <w:ind w:right="94"/>
              <w:rPr>
                <w:sz w:val="20"/>
              </w:rPr>
            </w:pPr>
            <w:r>
              <w:rPr>
                <w:w w:val="95"/>
                <w:sz w:val="20"/>
              </w:rPr>
              <w:t>64.06</w:t>
            </w:r>
          </w:p>
        </w:tc>
        <w:tc>
          <w:tcPr>
            <w:tcW w:w="1584" w:type="dxa"/>
          </w:tcPr>
          <w:p w:rsidR="007C5447" w:rsidRDefault="00F6308C">
            <w:pPr>
              <w:pStyle w:val="TableParagraph"/>
              <w:spacing w:before="41"/>
              <w:ind w:right="91"/>
              <w:rPr>
                <w:sz w:val="20"/>
              </w:rPr>
            </w:pPr>
            <w:r>
              <w:rPr>
                <w:sz w:val="20"/>
              </w:rPr>
              <w:t>1.66</w:t>
            </w:r>
          </w:p>
        </w:tc>
        <w:tc>
          <w:tcPr>
            <w:tcW w:w="1612" w:type="dxa"/>
          </w:tcPr>
          <w:p w:rsidR="007C5447" w:rsidRDefault="00F6308C">
            <w:pPr>
              <w:pStyle w:val="TableParagraph"/>
              <w:spacing w:before="41"/>
              <w:ind w:right="90"/>
              <w:rPr>
                <w:sz w:val="20"/>
              </w:rPr>
            </w:pPr>
            <w:r>
              <w:rPr>
                <w:w w:val="95"/>
                <w:sz w:val="20"/>
              </w:rPr>
              <w:t>64.06</w:t>
            </w:r>
          </w:p>
        </w:tc>
        <w:tc>
          <w:tcPr>
            <w:tcW w:w="1406" w:type="dxa"/>
          </w:tcPr>
          <w:p w:rsidR="007C5447" w:rsidRDefault="00F6308C">
            <w:pPr>
              <w:pStyle w:val="TableParagraph"/>
              <w:spacing w:before="41"/>
              <w:ind w:right="89"/>
              <w:rPr>
                <w:sz w:val="20"/>
              </w:rPr>
            </w:pPr>
            <w:r>
              <w:rPr>
                <w:sz w:val="20"/>
              </w:rPr>
              <w:t>1.66</w:t>
            </w:r>
          </w:p>
        </w:tc>
      </w:tr>
      <w:tr w:rsidR="007C5447">
        <w:trPr>
          <w:trHeight w:val="311"/>
        </w:trPr>
        <w:tc>
          <w:tcPr>
            <w:tcW w:w="4815" w:type="dxa"/>
          </w:tcPr>
          <w:p w:rsidR="007C5447" w:rsidRDefault="00F6308C">
            <w:pPr>
              <w:pStyle w:val="TableParagraph"/>
              <w:spacing w:before="41"/>
              <w:ind w:left="112"/>
              <w:jc w:val="left"/>
              <w:rPr>
                <w:sz w:val="20"/>
              </w:rPr>
            </w:pPr>
            <w:r>
              <w:rPr>
                <w:sz w:val="20"/>
              </w:rPr>
              <w:t>BBGTPS</w:t>
            </w:r>
          </w:p>
        </w:tc>
        <w:tc>
          <w:tcPr>
            <w:tcW w:w="1586" w:type="dxa"/>
          </w:tcPr>
          <w:p w:rsidR="007C5447" w:rsidRDefault="00F6308C">
            <w:pPr>
              <w:pStyle w:val="TableParagraph"/>
              <w:spacing w:before="41"/>
              <w:ind w:right="91"/>
              <w:rPr>
                <w:sz w:val="20"/>
              </w:rPr>
            </w:pPr>
            <w:r>
              <w:rPr>
                <w:w w:val="99"/>
                <w:sz w:val="20"/>
              </w:rPr>
              <w:t>-</w:t>
            </w:r>
          </w:p>
        </w:tc>
        <w:tc>
          <w:tcPr>
            <w:tcW w:w="1584" w:type="dxa"/>
          </w:tcPr>
          <w:p w:rsidR="007C5447" w:rsidRDefault="00F6308C">
            <w:pPr>
              <w:pStyle w:val="TableParagraph"/>
              <w:spacing w:before="41"/>
              <w:ind w:right="90"/>
              <w:rPr>
                <w:sz w:val="20"/>
              </w:rPr>
            </w:pPr>
            <w:r>
              <w:rPr>
                <w:sz w:val="20"/>
              </w:rPr>
              <w:t>47.25</w:t>
            </w:r>
          </w:p>
        </w:tc>
        <w:tc>
          <w:tcPr>
            <w:tcW w:w="1586" w:type="dxa"/>
          </w:tcPr>
          <w:p w:rsidR="007C5447" w:rsidRDefault="00F6308C">
            <w:pPr>
              <w:pStyle w:val="TableParagraph"/>
              <w:spacing w:before="41"/>
              <w:ind w:right="90"/>
              <w:rPr>
                <w:sz w:val="20"/>
              </w:rPr>
            </w:pPr>
            <w:r>
              <w:rPr>
                <w:w w:val="99"/>
                <w:sz w:val="20"/>
              </w:rPr>
              <w:t>-</w:t>
            </w:r>
          </w:p>
        </w:tc>
        <w:tc>
          <w:tcPr>
            <w:tcW w:w="1584" w:type="dxa"/>
          </w:tcPr>
          <w:p w:rsidR="007C5447" w:rsidRDefault="00F6308C">
            <w:pPr>
              <w:pStyle w:val="TableParagraph"/>
              <w:spacing w:before="41"/>
              <w:ind w:right="91"/>
              <w:rPr>
                <w:sz w:val="20"/>
              </w:rPr>
            </w:pPr>
            <w:r>
              <w:rPr>
                <w:w w:val="95"/>
                <w:sz w:val="20"/>
              </w:rPr>
              <w:t>16.88</w:t>
            </w:r>
          </w:p>
        </w:tc>
        <w:tc>
          <w:tcPr>
            <w:tcW w:w="1612" w:type="dxa"/>
          </w:tcPr>
          <w:p w:rsidR="007C5447" w:rsidRDefault="00F6308C">
            <w:pPr>
              <w:pStyle w:val="TableParagraph"/>
              <w:spacing w:before="41"/>
              <w:ind w:right="86"/>
              <w:rPr>
                <w:sz w:val="20"/>
              </w:rPr>
            </w:pPr>
            <w:r>
              <w:rPr>
                <w:w w:val="99"/>
                <w:sz w:val="20"/>
              </w:rPr>
              <w:t>-</w:t>
            </w:r>
          </w:p>
        </w:tc>
        <w:tc>
          <w:tcPr>
            <w:tcW w:w="1406" w:type="dxa"/>
          </w:tcPr>
          <w:p w:rsidR="007C5447" w:rsidRDefault="00F6308C">
            <w:pPr>
              <w:pStyle w:val="TableParagraph"/>
              <w:spacing w:before="41"/>
              <w:ind w:right="86"/>
              <w:rPr>
                <w:sz w:val="20"/>
              </w:rPr>
            </w:pPr>
            <w:r>
              <w:rPr>
                <w:w w:val="99"/>
                <w:sz w:val="20"/>
              </w:rPr>
              <w:t>-</w:t>
            </w:r>
          </w:p>
        </w:tc>
      </w:tr>
      <w:tr w:rsidR="007C5447">
        <w:trPr>
          <w:trHeight w:val="311"/>
        </w:trPr>
        <w:tc>
          <w:tcPr>
            <w:tcW w:w="4815" w:type="dxa"/>
          </w:tcPr>
          <w:p w:rsidR="007C5447" w:rsidRDefault="00F6308C">
            <w:pPr>
              <w:pStyle w:val="TableParagraph"/>
              <w:spacing w:before="41"/>
              <w:ind w:left="112"/>
              <w:jc w:val="left"/>
              <w:rPr>
                <w:sz w:val="20"/>
              </w:rPr>
            </w:pPr>
            <w:r>
              <w:rPr>
                <w:sz w:val="20"/>
              </w:rPr>
              <w:t>VGTPS (Unit 1 and 2)</w:t>
            </w:r>
          </w:p>
        </w:tc>
        <w:tc>
          <w:tcPr>
            <w:tcW w:w="1586" w:type="dxa"/>
          </w:tcPr>
          <w:p w:rsidR="007C5447" w:rsidRDefault="00F6308C">
            <w:pPr>
              <w:pStyle w:val="TableParagraph"/>
              <w:spacing w:before="41"/>
              <w:ind w:right="93"/>
              <w:rPr>
                <w:sz w:val="20"/>
              </w:rPr>
            </w:pPr>
            <w:r>
              <w:rPr>
                <w:w w:val="95"/>
                <w:sz w:val="20"/>
              </w:rPr>
              <w:t>1,045.00</w:t>
            </w:r>
          </w:p>
        </w:tc>
        <w:tc>
          <w:tcPr>
            <w:tcW w:w="1584" w:type="dxa"/>
          </w:tcPr>
          <w:p w:rsidR="007C5447" w:rsidRDefault="00F6308C">
            <w:pPr>
              <w:pStyle w:val="TableParagraph"/>
              <w:spacing w:before="41"/>
              <w:ind w:right="90"/>
              <w:rPr>
                <w:sz w:val="20"/>
              </w:rPr>
            </w:pPr>
            <w:r>
              <w:rPr>
                <w:w w:val="95"/>
                <w:sz w:val="20"/>
              </w:rPr>
              <w:t>129.46</w:t>
            </w:r>
          </w:p>
        </w:tc>
        <w:tc>
          <w:tcPr>
            <w:tcW w:w="1586" w:type="dxa"/>
          </w:tcPr>
          <w:p w:rsidR="007C5447" w:rsidRDefault="00F6308C">
            <w:pPr>
              <w:pStyle w:val="TableParagraph"/>
              <w:spacing w:before="41"/>
              <w:ind w:right="94"/>
              <w:rPr>
                <w:sz w:val="20"/>
              </w:rPr>
            </w:pPr>
            <w:r>
              <w:rPr>
                <w:w w:val="95"/>
                <w:sz w:val="20"/>
              </w:rPr>
              <w:t>165.50</w:t>
            </w:r>
          </w:p>
        </w:tc>
        <w:tc>
          <w:tcPr>
            <w:tcW w:w="1584" w:type="dxa"/>
          </w:tcPr>
          <w:p w:rsidR="007C5447" w:rsidRDefault="00F6308C">
            <w:pPr>
              <w:pStyle w:val="TableParagraph"/>
              <w:spacing w:before="41"/>
              <w:ind w:right="91"/>
              <w:rPr>
                <w:sz w:val="20"/>
              </w:rPr>
            </w:pPr>
            <w:r>
              <w:rPr>
                <w:sz w:val="20"/>
              </w:rPr>
              <w:t>1.58</w:t>
            </w:r>
          </w:p>
        </w:tc>
        <w:tc>
          <w:tcPr>
            <w:tcW w:w="1612" w:type="dxa"/>
          </w:tcPr>
          <w:p w:rsidR="007C5447" w:rsidRDefault="00F6308C">
            <w:pPr>
              <w:pStyle w:val="TableParagraph"/>
              <w:spacing w:before="41"/>
              <w:ind w:right="90"/>
              <w:rPr>
                <w:sz w:val="20"/>
              </w:rPr>
            </w:pPr>
            <w:r>
              <w:rPr>
                <w:w w:val="95"/>
                <w:sz w:val="20"/>
              </w:rPr>
              <w:t>165.50</w:t>
            </w:r>
          </w:p>
        </w:tc>
        <w:tc>
          <w:tcPr>
            <w:tcW w:w="1406" w:type="dxa"/>
          </w:tcPr>
          <w:p w:rsidR="007C5447" w:rsidRDefault="00F6308C">
            <w:pPr>
              <w:pStyle w:val="TableParagraph"/>
              <w:spacing w:before="41"/>
              <w:ind w:right="89"/>
              <w:rPr>
                <w:sz w:val="20"/>
              </w:rPr>
            </w:pPr>
            <w:r>
              <w:rPr>
                <w:sz w:val="20"/>
              </w:rPr>
              <w:t>1.58</w:t>
            </w:r>
          </w:p>
        </w:tc>
      </w:tr>
      <w:tr w:rsidR="007C5447">
        <w:trPr>
          <w:trHeight w:val="312"/>
        </w:trPr>
        <w:tc>
          <w:tcPr>
            <w:tcW w:w="4815" w:type="dxa"/>
          </w:tcPr>
          <w:p w:rsidR="007C5447" w:rsidRDefault="00F6308C">
            <w:pPr>
              <w:pStyle w:val="TableParagraph"/>
              <w:spacing w:before="41"/>
              <w:ind w:left="1764" w:right="1748"/>
              <w:jc w:val="center"/>
              <w:rPr>
                <w:b/>
                <w:sz w:val="20"/>
              </w:rPr>
            </w:pPr>
            <w:r>
              <w:rPr>
                <w:b/>
                <w:sz w:val="20"/>
              </w:rPr>
              <w:t>Total Gas</w:t>
            </w:r>
          </w:p>
        </w:tc>
        <w:tc>
          <w:tcPr>
            <w:tcW w:w="1586" w:type="dxa"/>
          </w:tcPr>
          <w:p w:rsidR="007C5447" w:rsidRDefault="00F6308C">
            <w:pPr>
              <w:pStyle w:val="TableParagraph"/>
              <w:spacing w:before="41"/>
              <w:ind w:right="93"/>
              <w:rPr>
                <w:b/>
                <w:sz w:val="20"/>
              </w:rPr>
            </w:pPr>
            <w:r>
              <w:rPr>
                <w:b/>
                <w:w w:val="95"/>
                <w:sz w:val="20"/>
              </w:rPr>
              <w:t>2,093.00</w:t>
            </w:r>
          </w:p>
        </w:tc>
        <w:tc>
          <w:tcPr>
            <w:tcW w:w="1584" w:type="dxa"/>
          </w:tcPr>
          <w:p w:rsidR="007C5447" w:rsidRDefault="00F6308C">
            <w:pPr>
              <w:pStyle w:val="TableParagraph"/>
              <w:spacing w:before="41"/>
              <w:ind w:right="92"/>
              <w:rPr>
                <w:b/>
                <w:sz w:val="20"/>
              </w:rPr>
            </w:pPr>
            <w:r>
              <w:rPr>
                <w:b/>
                <w:w w:val="95"/>
                <w:sz w:val="20"/>
              </w:rPr>
              <w:t>281.04</w:t>
            </w:r>
          </w:p>
        </w:tc>
        <w:tc>
          <w:tcPr>
            <w:tcW w:w="1586" w:type="dxa"/>
          </w:tcPr>
          <w:p w:rsidR="007C5447" w:rsidRDefault="00F6308C">
            <w:pPr>
              <w:pStyle w:val="TableParagraph"/>
              <w:spacing w:before="41"/>
              <w:ind w:right="94"/>
              <w:rPr>
                <w:b/>
                <w:sz w:val="20"/>
              </w:rPr>
            </w:pPr>
            <w:r>
              <w:rPr>
                <w:b/>
                <w:w w:val="95"/>
                <w:sz w:val="20"/>
              </w:rPr>
              <w:t>339.89</w:t>
            </w: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88"/>
              <w:rPr>
                <w:b/>
                <w:sz w:val="20"/>
              </w:rPr>
            </w:pPr>
            <w:r>
              <w:rPr>
                <w:b/>
                <w:w w:val="95"/>
                <w:sz w:val="20"/>
              </w:rPr>
              <w:t>620.93</w:t>
            </w:r>
          </w:p>
        </w:tc>
        <w:tc>
          <w:tcPr>
            <w:tcW w:w="1406" w:type="dxa"/>
          </w:tcPr>
          <w:p w:rsidR="007C5447" w:rsidRDefault="00F6308C">
            <w:pPr>
              <w:pStyle w:val="TableParagraph"/>
              <w:spacing w:before="41"/>
              <w:ind w:right="89"/>
              <w:rPr>
                <w:b/>
                <w:sz w:val="20"/>
              </w:rPr>
            </w:pPr>
            <w:r>
              <w:rPr>
                <w:b/>
                <w:sz w:val="20"/>
              </w:rPr>
              <w:t>1.62</w:t>
            </w:r>
          </w:p>
        </w:tc>
      </w:tr>
      <w:tr w:rsidR="007C5447">
        <w:trPr>
          <w:trHeight w:val="314"/>
        </w:trPr>
        <w:tc>
          <w:tcPr>
            <w:tcW w:w="4815" w:type="dxa"/>
          </w:tcPr>
          <w:p w:rsidR="007C5447" w:rsidRDefault="00F6308C">
            <w:pPr>
              <w:pStyle w:val="TableParagraph"/>
              <w:spacing w:before="41"/>
              <w:ind w:left="112"/>
              <w:jc w:val="left"/>
              <w:rPr>
                <w:sz w:val="20"/>
              </w:rPr>
            </w:pPr>
            <w:r>
              <w:rPr>
                <w:sz w:val="20"/>
              </w:rPr>
              <w:t>Erode HEP</w:t>
            </w:r>
          </w:p>
        </w:tc>
        <w:tc>
          <w:tcPr>
            <w:tcW w:w="1586" w:type="dxa"/>
          </w:tcPr>
          <w:p w:rsidR="007C5447" w:rsidRDefault="00F6308C">
            <w:pPr>
              <w:pStyle w:val="TableParagraph"/>
              <w:spacing w:before="41"/>
              <w:ind w:right="93"/>
              <w:rPr>
                <w:sz w:val="20"/>
              </w:rPr>
            </w:pPr>
            <w:r>
              <w:rPr>
                <w:w w:val="95"/>
                <w:sz w:val="20"/>
              </w:rPr>
              <w:t>1,196.00</w:t>
            </w:r>
          </w:p>
        </w:tc>
        <w:tc>
          <w:tcPr>
            <w:tcW w:w="1584" w:type="dxa"/>
          </w:tcPr>
          <w:p w:rsidR="007C5447" w:rsidRDefault="00F6308C">
            <w:pPr>
              <w:pStyle w:val="TableParagraph"/>
              <w:spacing w:before="41"/>
              <w:ind w:right="92"/>
              <w:rPr>
                <w:sz w:val="20"/>
              </w:rPr>
            </w:pPr>
            <w:r>
              <w:rPr>
                <w:w w:val="95"/>
                <w:sz w:val="20"/>
              </w:rPr>
              <w:t>129.44</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88"/>
              <w:rPr>
                <w:sz w:val="20"/>
              </w:rPr>
            </w:pPr>
            <w:r>
              <w:rPr>
                <w:sz w:val="20"/>
              </w:rPr>
              <w:t>129.44</w:t>
            </w:r>
          </w:p>
        </w:tc>
        <w:tc>
          <w:tcPr>
            <w:tcW w:w="1406" w:type="dxa"/>
          </w:tcPr>
          <w:p w:rsidR="007C5447" w:rsidRDefault="00F6308C">
            <w:pPr>
              <w:pStyle w:val="TableParagraph"/>
              <w:spacing w:before="41"/>
              <w:ind w:right="89"/>
              <w:rPr>
                <w:sz w:val="20"/>
              </w:rPr>
            </w:pPr>
            <w:r>
              <w:rPr>
                <w:sz w:val="20"/>
              </w:rPr>
              <w:t>1.08</w:t>
            </w:r>
          </w:p>
        </w:tc>
      </w:tr>
      <w:tr w:rsidR="007C5447">
        <w:trPr>
          <w:trHeight w:val="311"/>
        </w:trPr>
        <w:tc>
          <w:tcPr>
            <w:tcW w:w="4815" w:type="dxa"/>
          </w:tcPr>
          <w:p w:rsidR="007C5447" w:rsidRDefault="00F6308C">
            <w:pPr>
              <w:pStyle w:val="TableParagraph"/>
              <w:spacing w:before="41"/>
              <w:ind w:left="112"/>
              <w:jc w:val="left"/>
              <w:rPr>
                <w:sz w:val="20"/>
              </w:rPr>
            </w:pPr>
            <w:r>
              <w:rPr>
                <w:sz w:val="20"/>
              </w:rPr>
              <w:t>Kadamparai HEP</w:t>
            </w:r>
          </w:p>
        </w:tc>
        <w:tc>
          <w:tcPr>
            <w:tcW w:w="1586" w:type="dxa"/>
          </w:tcPr>
          <w:p w:rsidR="007C5447" w:rsidRDefault="00F6308C">
            <w:pPr>
              <w:pStyle w:val="TableParagraph"/>
              <w:spacing w:before="41"/>
              <w:ind w:right="95"/>
              <w:rPr>
                <w:sz w:val="20"/>
              </w:rPr>
            </w:pPr>
            <w:r>
              <w:rPr>
                <w:w w:val="95"/>
                <w:sz w:val="20"/>
              </w:rPr>
              <w:t>576.49</w:t>
            </w:r>
          </w:p>
        </w:tc>
        <w:tc>
          <w:tcPr>
            <w:tcW w:w="1584" w:type="dxa"/>
          </w:tcPr>
          <w:p w:rsidR="007C5447" w:rsidRDefault="00F6308C">
            <w:pPr>
              <w:pStyle w:val="TableParagraph"/>
              <w:spacing w:before="41"/>
              <w:ind w:right="92"/>
              <w:rPr>
                <w:sz w:val="20"/>
              </w:rPr>
            </w:pPr>
            <w:r>
              <w:rPr>
                <w:w w:val="95"/>
                <w:sz w:val="20"/>
              </w:rPr>
              <w:t>66.33</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90"/>
              <w:rPr>
                <w:sz w:val="20"/>
              </w:rPr>
            </w:pPr>
            <w:r>
              <w:rPr>
                <w:w w:val="95"/>
                <w:sz w:val="20"/>
              </w:rPr>
              <w:t>66.33</w:t>
            </w:r>
          </w:p>
        </w:tc>
        <w:tc>
          <w:tcPr>
            <w:tcW w:w="1406" w:type="dxa"/>
          </w:tcPr>
          <w:p w:rsidR="007C5447" w:rsidRDefault="00F6308C">
            <w:pPr>
              <w:pStyle w:val="TableParagraph"/>
              <w:spacing w:before="41"/>
              <w:ind w:right="89"/>
              <w:rPr>
                <w:sz w:val="20"/>
              </w:rPr>
            </w:pPr>
            <w:r>
              <w:rPr>
                <w:sz w:val="20"/>
              </w:rPr>
              <w:t>1.15</w:t>
            </w:r>
          </w:p>
        </w:tc>
      </w:tr>
      <w:tr w:rsidR="007C5447">
        <w:trPr>
          <w:trHeight w:val="311"/>
        </w:trPr>
        <w:tc>
          <w:tcPr>
            <w:tcW w:w="4815" w:type="dxa"/>
          </w:tcPr>
          <w:p w:rsidR="007C5447" w:rsidRDefault="00F6308C">
            <w:pPr>
              <w:pStyle w:val="TableParagraph"/>
              <w:spacing w:before="41"/>
              <w:ind w:left="112"/>
              <w:jc w:val="left"/>
              <w:rPr>
                <w:sz w:val="20"/>
              </w:rPr>
            </w:pPr>
            <w:r>
              <w:rPr>
                <w:sz w:val="20"/>
              </w:rPr>
              <w:t>Kundah HEP</w:t>
            </w:r>
          </w:p>
        </w:tc>
        <w:tc>
          <w:tcPr>
            <w:tcW w:w="1586" w:type="dxa"/>
          </w:tcPr>
          <w:p w:rsidR="007C5447" w:rsidRDefault="00F6308C">
            <w:pPr>
              <w:pStyle w:val="TableParagraph"/>
              <w:spacing w:before="41"/>
              <w:ind w:right="93"/>
              <w:rPr>
                <w:sz w:val="20"/>
              </w:rPr>
            </w:pPr>
            <w:r>
              <w:rPr>
                <w:w w:val="95"/>
                <w:sz w:val="20"/>
              </w:rPr>
              <w:t>1,920.00</w:t>
            </w:r>
          </w:p>
        </w:tc>
        <w:tc>
          <w:tcPr>
            <w:tcW w:w="1584" w:type="dxa"/>
          </w:tcPr>
          <w:p w:rsidR="007C5447" w:rsidRDefault="00F6308C">
            <w:pPr>
              <w:pStyle w:val="TableParagraph"/>
              <w:spacing w:before="41"/>
              <w:ind w:right="92"/>
              <w:rPr>
                <w:sz w:val="20"/>
              </w:rPr>
            </w:pPr>
            <w:r>
              <w:rPr>
                <w:w w:val="95"/>
                <w:sz w:val="20"/>
              </w:rPr>
              <w:t>189.41</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90"/>
              <w:rPr>
                <w:sz w:val="20"/>
              </w:rPr>
            </w:pPr>
            <w:r>
              <w:rPr>
                <w:w w:val="95"/>
                <w:sz w:val="20"/>
              </w:rPr>
              <w:t>189.41</w:t>
            </w:r>
          </w:p>
        </w:tc>
        <w:tc>
          <w:tcPr>
            <w:tcW w:w="1406" w:type="dxa"/>
          </w:tcPr>
          <w:p w:rsidR="007C5447" w:rsidRDefault="00F6308C">
            <w:pPr>
              <w:pStyle w:val="TableParagraph"/>
              <w:spacing w:before="41"/>
              <w:ind w:right="89"/>
              <w:rPr>
                <w:sz w:val="20"/>
              </w:rPr>
            </w:pPr>
            <w:r>
              <w:rPr>
                <w:sz w:val="20"/>
              </w:rPr>
              <w:t>0.99</w:t>
            </w:r>
          </w:p>
        </w:tc>
      </w:tr>
      <w:tr w:rsidR="007C5447">
        <w:trPr>
          <w:trHeight w:val="311"/>
        </w:trPr>
        <w:tc>
          <w:tcPr>
            <w:tcW w:w="4815" w:type="dxa"/>
          </w:tcPr>
          <w:p w:rsidR="007C5447" w:rsidRDefault="00F6308C">
            <w:pPr>
              <w:pStyle w:val="TableParagraph"/>
              <w:spacing w:before="41"/>
              <w:ind w:left="112"/>
              <w:jc w:val="left"/>
              <w:rPr>
                <w:sz w:val="20"/>
              </w:rPr>
            </w:pPr>
            <w:r>
              <w:rPr>
                <w:sz w:val="20"/>
              </w:rPr>
              <w:t>Tirunelveli HEP</w:t>
            </w:r>
          </w:p>
        </w:tc>
        <w:tc>
          <w:tcPr>
            <w:tcW w:w="1586" w:type="dxa"/>
          </w:tcPr>
          <w:p w:rsidR="007C5447" w:rsidRDefault="00F6308C">
            <w:pPr>
              <w:pStyle w:val="TableParagraph"/>
              <w:spacing w:before="41"/>
              <w:ind w:right="95"/>
              <w:rPr>
                <w:sz w:val="20"/>
              </w:rPr>
            </w:pPr>
            <w:r>
              <w:rPr>
                <w:w w:val="95"/>
                <w:sz w:val="20"/>
              </w:rPr>
              <w:t>583.00</w:t>
            </w:r>
          </w:p>
        </w:tc>
        <w:tc>
          <w:tcPr>
            <w:tcW w:w="1584" w:type="dxa"/>
          </w:tcPr>
          <w:p w:rsidR="007C5447" w:rsidRDefault="00F6308C">
            <w:pPr>
              <w:pStyle w:val="TableParagraph"/>
              <w:spacing w:before="41"/>
              <w:ind w:right="92"/>
              <w:rPr>
                <w:sz w:val="20"/>
              </w:rPr>
            </w:pPr>
            <w:r>
              <w:rPr>
                <w:w w:val="95"/>
                <w:sz w:val="20"/>
              </w:rPr>
              <w:t>79.83</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90"/>
              <w:rPr>
                <w:sz w:val="20"/>
              </w:rPr>
            </w:pPr>
            <w:r>
              <w:rPr>
                <w:w w:val="95"/>
                <w:sz w:val="20"/>
              </w:rPr>
              <w:t>79.83</w:t>
            </w:r>
          </w:p>
        </w:tc>
        <w:tc>
          <w:tcPr>
            <w:tcW w:w="1406" w:type="dxa"/>
          </w:tcPr>
          <w:p w:rsidR="007C5447" w:rsidRDefault="00F6308C">
            <w:pPr>
              <w:pStyle w:val="TableParagraph"/>
              <w:spacing w:before="41"/>
              <w:ind w:right="89"/>
              <w:rPr>
                <w:sz w:val="20"/>
              </w:rPr>
            </w:pPr>
            <w:r>
              <w:rPr>
                <w:sz w:val="20"/>
              </w:rPr>
              <w:t>1.37</w:t>
            </w:r>
          </w:p>
        </w:tc>
      </w:tr>
      <w:tr w:rsidR="007C5447">
        <w:trPr>
          <w:trHeight w:val="311"/>
        </w:trPr>
        <w:tc>
          <w:tcPr>
            <w:tcW w:w="4815" w:type="dxa"/>
          </w:tcPr>
          <w:p w:rsidR="007C5447" w:rsidRDefault="00F6308C">
            <w:pPr>
              <w:pStyle w:val="TableParagraph"/>
              <w:spacing w:before="41"/>
              <w:ind w:left="1764" w:right="1745"/>
              <w:jc w:val="center"/>
              <w:rPr>
                <w:b/>
                <w:sz w:val="20"/>
              </w:rPr>
            </w:pPr>
            <w:r>
              <w:rPr>
                <w:b/>
                <w:sz w:val="20"/>
              </w:rPr>
              <w:t>Total Hydro</w:t>
            </w:r>
          </w:p>
        </w:tc>
        <w:tc>
          <w:tcPr>
            <w:tcW w:w="1586" w:type="dxa"/>
          </w:tcPr>
          <w:p w:rsidR="007C5447" w:rsidRDefault="00F6308C">
            <w:pPr>
              <w:pStyle w:val="TableParagraph"/>
              <w:spacing w:before="41"/>
              <w:ind w:right="93"/>
              <w:rPr>
                <w:b/>
                <w:sz w:val="20"/>
              </w:rPr>
            </w:pPr>
            <w:r>
              <w:rPr>
                <w:b/>
                <w:w w:val="95"/>
                <w:sz w:val="20"/>
              </w:rPr>
              <w:t>4,275.49</w:t>
            </w:r>
          </w:p>
        </w:tc>
        <w:tc>
          <w:tcPr>
            <w:tcW w:w="1584" w:type="dxa"/>
          </w:tcPr>
          <w:p w:rsidR="007C5447" w:rsidRDefault="00F6308C">
            <w:pPr>
              <w:pStyle w:val="TableParagraph"/>
              <w:spacing w:before="41"/>
              <w:ind w:right="92"/>
              <w:rPr>
                <w:b/>
                <w:sz w:val="20"/>
              </w:rPr>
            </w:pPr>
            <w:r>
              <w:rPr>
                <w:b/>
                <w:w w:val="95"/>
                <w:sz w:val="20"/>
              </w:rPr>
              <w:t>464.99</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90"/>
              <w:rPr>
                <w:b/>
                <w:sz w:val="20"/>
              </w:rPr>
            </w:pPr>
            <w:r>
              <w:rPr>
                <w:b/>
                <w:w w:val="95"/>
                <w:sz w:val="20"/>
              </w:rPr>
              <w:t>464.99</w:t>
            </w:r>
          </w:p>
        </w:tc>
        <w:tc>
          <w:tcPr>
            <w:tcW w:w="1406" w:type="dxa"/>
          </w:tcPr>
          <w:p w:rsidR="007C5447" w:rsidRDefault="00F6308C">
            <w:pPr>
              <w:pStyle w:val="TableParagraph"/>
              <w:spacing w:before="41"/>
              <w:ind w:right="89"/>
              <w:rPr>
                <w:b/>
                <w:sz w:val="20"/>
              </w:rPr>
            </w:pPr>
            <w:r>
              <w:rPr>
                <w:b/>
                <w:sz w:val="20"/>
              </w:rPr>
              <w:t>1.09</w:t>
            </w:r>
          </w:p>
        </w:tc>
      </w:tr>
      <w:tr w:rsidR="007C5447">
        <w:trPr>
          <w:trHeight w:val="311"/>
        </w:trPr>
        <w:tc>
          <w:tcPr>
            <w:tcW w:w="4815" w:type="dxa"/>
          </w:tcPr>
          <w:p w:rsidR="007C5447" w:rsidRDefault="00F6308C">
            <w:pPr>
              <w:pStyle w:val="TableParagraph"/>
              <w:spacing w:before="41"/>
              <w:ind w:left="112"/>
              <w:jc w:val="left"/>
              <w:rPr>
                <w:b/>
                <w:sz w:val="20"/>
              </w:rPr>
            </w:pPr>
            <w:r>
              <w:rPr>
                <w:b/>
                <w:sz w:val="20"/>
              </w:rPr>
              <w:t>Wind</w:t>
            </w:r>
          </w:p>
        </w:tc>
        <w:tc>
          <w:tcPr>
            <w:tcW w:w="1586" w:type="dxa"/>
          </w:tcPr>
          <w:p w:rsidR="007C5447" w:rsidRDefault="00F6308C">
            <w:pPr>
              <w:pStyle w:val="TableParagraph"/>
              <w:spacing w:before="41"/>
              <w:ind w:right="94"/>
              <w:rPr>
                <w:sz w:val="20"/>
              </w:rPr>
            </w:pPr>
            <w:r>
              <w:rPr>
                <w:w w:val="95"/>
                <w:sz w:val="20"/>
              </w:rPr>
              <w:t>12.15</w:t>
            </w: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90"/>
              <w:rPr>
                <w:sz w:val="20"/>
              </w:rPr>
            </w:pPr>
            <w:r>
              <w:rPr>
                <w:sz w:val="20"/>
              </w:rPr>
              <w:t>3.34</w:t>
            </w:r>
          </w:p>
        </w:tc>
        <w:tc>
          <w:tcPr>
            <w:tcW w:w="1406" w:type="dxa"/>
          </w:tcPr>
          <w:p w:rsidR="007C5447" w:rsidRDefault="00F6308C">
            <w:pPr>
              <w:pStyle w:val="TableParagraph"/>
              <w:spacing w:before="41"/>
              <w:ind w:right="89"/>
              <w:rPr>
                <w:sz w:val="20"/>
              </w:rPr>
            </w:pPr>
            <w:r>
              <w:rPr>
                <w:sz w:val="20"/>
              </w:rPr>
              <w:t>2.75</w:t>
            </w:r>
          </w:p>
        </w:tc>
      </w:tr>
      <w:tr w:rsidR="007C5447">
        <w:trPr>
          <w:trHeight w:val="313"/>
        </w:trPr>
        <w:tc>
          <w:tcPr>
            <w:tcW w:w="4815" w:type="dxa"/>
          </w:tcPr>
          <w:p w:rsidR="007C5447" w:rsidRDefault="00F6308C">
            <w:pPr>
              <w:pStyle w:val="TableParagraph"/>
              <w:spacing w:before="41"/>
              <w:ind w:left="112"/>
              <w:jc w:val="left"/>
              <w:rPr>
                <w:b/>
                <w:sz w:val="20"/>
              </w:rPr>
            </w:pPr>
            <w:r>
              <w:rPr>
                <w:b/>
                <w:sz w:val="20"/>
              </w:rPr>
              <w:t>Total from Own Generating</w:t>
            </w:r>
          </w:p>
        </w:tc>
        <w:tc>
          <w:tcPr>
            <w:tcW w:w="1586" w:type="dxa"/>
          </w:tcPr>
          <w:p w:rsidR="007C5447" w:rsidRDefault="00F6308C">
            <w:pPr>
              <w:pStyle w:val="TableParagraph"/>
              <w:spacing w:before="41"/>
              <w:ind w:right="95"/>
              <w:rPr>
                <w:b/>
                <w:sz w:val="20"/>
              </w:rPr>
            </w:pPr>
            <w:r>
              <w:rPr>
                <w:b/>
                <w:w w:val="95"/>
                <w:sz w:val="20"/>
              </w:rPr>
              <w:t>24,967.26</w:t>
            </w:r>
          </w:p>
        </w:tc>
        <w:tc>
          <w:tcPr>
            <w:tcW w:w="1584" w:type="dxa"/>
          </w:tcPr>
          <w:p w:rsidR="007C5447" w:rsidRDefault="00F6308C">
            <w:pPr>
              <w:pStyle w:val="TableParagraph"/>
              <w:spacing w:before="41"/>
              <w:ind w:right="90"/>
              <w:rPr>
                <w:b/>
                <w:sz w:val="20"/>
              </w:rPr>
            </w:pPr>
            <w:r>
              <w:rPr>
                <w:b/>
                <w:w w:val="95"/>
                <w:sz w:val="20"/>
              </w:rPr>
              <w:t>1,865.37</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88"/>
              <w:rPr>
                <w:b/>
                <w:sz w:val="20"/>
              </w:rPr>
            </w:pPr>
            <w:r>
              <w:rPr>
                <w:b/>
                <w:w w:val="95"/>
                <w:sz w:val="20"/>
              </w:rPr>
              <w:t>6,536.95</w:t>
            </w:r>
          </w:p>
        </w:tc>
        <w:tc>
          <w:tcPr>
            <w:tcW w:w="1406" w:type="dxa"/>
          </w:tcPr>
          <w:p w:rsidR="007C5447" w:rsidRDefault="00F6308C">
            <w:pPr>
              <w:pStyle w:val="TableParagraph"/>
              <w:spacing w:before="41"/>
              <w:ind w:right="89"/>
              <w:rPr>
                <w:b/>
                <w:sz w:val="20"/>
              </w:rPr>
            </w:pPr>
            <w:r>
              <w:rPr>
                <w:b/>
                <w:sz w:val="20"/>
              </w:rPr>
              <w:t>2.51</w:t>
            </w:r>
          </w:p>
        </w:tc>
      </w:tr>
      <w:tr w:rsidR="007C5447">
        <w:trPr>
          <w:trHeight w:val="312"/>
        </w:trPr>
        <w:tc>
          <w:tcPr>
            <w:tcW w:w="4815" w:type="dxa"/>
          </w:tcPr>
          <w:p w:rsidR="007C5447" w:rsidRDefault="00F6308C">
            <w:pPr>
              <w:pStyle w:val="TableParagraph"/>
              <w:spacing w:before="41"/>
              <w:ind w:left="112"/>
              <w:jc w:val="left"/>
              <w:rPr>
                <w:b/>
                <w:sz w:val="20"/>
              </w:rPr>
            </w:pPr>
            <w:r>
              <w:rPr>
                <w:b/>
                <w:sz w:val="20"/>
              </w:rPr>
              <w:t>CGS</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7C5447">
            <w:pPr>
              <w:pStyle w:val="TableParagraph"/>
              <w:jc w:val="left"/>
              <w:rPr>
                <w:sz w:val="20"/>
              </w:rPr>
            </w:pPr>
          </w:p>
        </w:tc>
        <w:tc>
          <w:tcPr>
            <w:tcW w:w="1406" w:type="dxa"/>
          </w:tcPr>
          <w:p w:rsidR="007C5447" w:rsidRDefault="007C5447">
            <w:pPr>
              <w:pStyle w:val="TableParagraph"/>
              <w:jc w:val="left"/>
              <w:rPr>
                <w:sz w:val="20"/>
              </w:rPr>
            </w:pPr>
          </w:p>
        </w:tc>
      </w:tr>
      <w:tr w:rsidR="007C5447">
        <w:trPr>
          <w:trHeight w:val="282"/>
        </w:trPr>
        <w:tc>
          <w:tcPr>
            <w:tcW w:w="4815" w:type="dxa"/>
            <w:tcBorders>
              <w:left w:val="single" w:sz="8" w:space="0" w:color="000000"/>
            </w:tcBorders>
          </w:tcPr>
          <w:p w:rsidR="007C5447" w:rsidRDefault="00F6308C">
            <w:pPr>
              <w:pStyle w:val="TableParagraph"/>
              <w:spacing w:before="26"/>
              <w:ind w:left="107"/>
              <w:jc w:val="left"/>
              <w:rPr>
                <w:sz w:val="20"/>
              </w:rPr>
            </w:pPr>
            <w:r>
              <w:rPr>
                <w:sz w:val="20"/>
              </w:rPr>
              <w:t>NTPC SR (Ramagundam) (I&amp;II)</w:t>
            </w:r>
          </w:p>
        </w:tc>
        <w:tc>
          <w:tcPr>
            <w:tcW w:w="1586" w:type="dxa"/>
          </w:tcPr>
          <w:p w:rsidR="007C5447" w:rsidRDefault="00F6308C">
            <w:pPr>
              <w:pStyle w:val="TableParagraph"/>
              <w:spacing w:before="26"/>
              <w:ind w:right="93"/>
              <w:rPr>
                <w:sz w:val="20"/>
              </w:rPr>
            </w:pPr>
            <w:r>
              <w:rPr>
                <w:w w:val="95"/>
                <w:sz w:val="20"/>
              </w:rPr>
              <w:t>4,105.62</w:t>
            </w:r>
          </w:p>
        </w:tc>
        <w:tc>
          <w:tcPr>
            <w:tcW w:w="1584" w:type="dxa"/>
          </w:tcPr>
          <w:p w:rsidR="007C5447" w:rsidRDefault="00F6308C">
            <w:pPr>
              <w:pStyle w:val="TableParagraph"/>
              <w:spacing w:before="26"/>
              <w:ind w:right="92"/>
              <w:rPr>
                <w:sz w:val="20"/>
              </w:rPr>
            </w:pPr>
            <w:r>
              <w:rPr>
                <w:w w:val="95"/>
                <w:sz w:val="20"/>
              </w:rPr>
              <w:t>217.32</w:t>
            </w:r>
          </w:p>
        </w:tc>
        <w:tc>
          <w:tcPr>
            <w:tcW w:w="1586" w:type="dxa"/>
          </w:tcPr>
          <w:p w:rsidR="007C5447" w:rsidRDefault="00F6308C">
            <w:pPr>
              <w:pStyle w:val="TableParagraph"/>
              <w:spacing w:before="26"/>
              <w:ind w:right="94"/>
              <w:rPr>
                <w:sz w:val="20"/>
              </w:rPr>
            </w:pPr>
            <w:r>
              <w:rPr>
                <w:w w:val="95"/>
                <w:sz w:val="20"/>
              </w:rPr>
              <w:t>652.05</w:t>
            </w:r>
          </w:p>
        </w:tc>
        <w:tc>
          <w:tcPr>
            <w:tcW w:w="1584" w:type="dxa"/>
          </w:tcPr>
          <w:p w:rsidR="007C5447" w:rsidRDefault="00F6308C">
            <w:pPr>
              <w:pStyle w:val="TableParagraph"/>
              <w:spacing w:before="26"/>
              <w:ind w:right="91"/>
              <w:rPr>
                <w:sz w:val="20"/>
              </w:rPr>
            </w:pPr>
            <w:r>
              <w:rPr>
                <w:sz w:val="20"/>
              </w:rPr>
              <w:t>1.59</w:t>
            </w:r>
          </w:p>
        </w:tc>
        <w:tc>
          <w:tcPr>
            <w:tcW w:w="1612" w:type="dxa"/>
          </w:tcPr>
          <w:p w:rsidR="007C5447" w:rsidRDefault="00F6308C">
            <w:pPr>
              <w:pStyle w:val="TableParagraph"/>
              <w:spacing w:before="26"/>
              <w:ind w:right="90"/>
              <w:rPr>
                <w:sz w:val="20"/>
              </w:rPr>
            </w:pPr>
            <w:r>
              <w:rPr>
                <w:w w:val="95"/>
                <w:sz w:val="20"/>
              </w:rPr>
              <w:t>869.37</w:t>
            </w:r>
          </w:p>
        </w:tc>
        <w:tc>
          <w:tcPr>
            <w:tcW w:w="1406" w:type="dxa"/>
          </w:tcPr>
          <w:p w:rsidR="007C5447" w:rsidRDefault="00F6308C">
            <w:pPr>
              <w:pStyle w:val="TableParagraph"/>
              <w:spacing w:before="26"/>
              <w:ind w:right="89"/>
              <w:rPr>
                <w:sz w:val="20"/>
              </w:rPr>
            </w:pPr>
            <w:r>
              <w:rPr>
                <w:sz w:val="20"/>
              </w:rPr>
              <w:t>2.12</w:t>
            </w:r>
          </w:p>
        </w:tc>
      </w:tr>
      <w:tr w:rsidR="007C5447">
        <w:trPr>
          <w:trHeight w:val="285"/>
        </w:trPr>
        <w:tc>
          <w:tcPr>
            <w:tcW w:w="4815" w:type="dxa"/>
            <w:tcBorders>
              <w:left w:val="single" w:sz="8" w:space="0" w:color="000000"/>
            </w:tcBorders>
          </w:tcPr>
          <w:p w:rsidR="007C5447" w:rsidRDefault="00F6308C">
            <w:pPr>
              <w:pStyle w:val="TableParagraph"/>
              <w:spacing w:before="26"/>
              <w:ind w:left="107"/>
              <w:jc w:val="left"/>
              <w:rPr>
                <w:sz w:val="20"/>
              </w:rPr>
            </w:pPr>
            <w:r>
              <w:rPr>
                <w:sz w:val="20"/>
              </w:rPr>
              <w:t>NTPC SR (Ramagundam) III</w:t>
            </w:r>
          </w:p>
        </w:tc>
        <w:tc>
          <w:tcPr>
            <w:tcW w:w="1586" w:type="dxa"/>
          </w:tcPr>
          <w:p w:rsidR="007C5447" w:rsidRDefault="00F6308C">
            <w:pPr>
              <w:pStyle w:val="TableParagraph"/>
              <w:spacing w:before="26"/>
              <w:ind w:right="93"/>
              <w:rPr>
                <w:sz w:val="20"/>
              </w:rPr>
            </w:pPr>
            <w:r>
              <w:rPr>
                <w:w w:val="95"/>
                <w:sz w:val="20"/>
              </w:rPr>
              <w:t>1,048.45</w:t>
            </w:r>
          </w:p>
        </w:tc>
        <w:tc>
          <w:tcPr>
            <w:tcW w:w="1584" w:type="dxa"/>
          </w:tcPr>
          <w:p w:rsidR="007C5447" w:rsidRDefault="00F6308C">
            <w:pPr>
              <w:pStyle w:val="TableParagraph"/>
              <w:spacing w:before="26"/>
              <w:ind w:right="92"/>
              <w:rPr>
                <w:sz w:val="20"/>
              </w:rPr>
            </w:pPr>
            <w:r>
              <w:rPr>
                <w:w w:val="95"/>
                <w:sz w:val="20"/>
              </w:rPr>
              <w:t>88.23</w:t>
            </w:r>
          </w:p>
        </w:tc>
        <w:tc>
          <w:tcPr>
            <w:tcW w:w="1586" w:type="dxa"/>
          </w:tcPr>
          <w:p w:rsidR="007C5447" w:rsidRDefault="00F6308C">
            <w:pPr>
              <w:pStyle w:val="TableParagraph"/>
              <w:spacing w:before="26"/>
              <w:ind w:right="94"/>
              <w:rPr>
                <w:sz w:val="20"/>
              </w:rPr>
            </w:pPr>
            <w:r>
              <w:rPr>
                <w:w w:val="95"/>
                <w:sz w:val="20"/>
              </w:rPr>
              <w:t>195.87</w:t>
            </w:r>
          </w:p>
        </w:tc>
        <w:tc>
          <w:tcPr>
            <w:tcW w:w="1584" w:type="dxa"/>
          </w:tcPr>
          <w:p w:rsidR="007C5447" w:rsidRDefault="00F6308C">
            <w:pPr>
              <w:pStyle w:val="TableParagraph"/>
              <w:spacing w:before="26"/>
              <w:ind w:right="91"/>
              <w:rPr>
                <w:sz w:val="20"/>
              </w:rPr>
            </w:pPr>
            <w:r>
              <w:rPr>
                <w:sz w:val="20"/>
              </w:rPr>
              <w:t>1.87</w:t>
            </w:r>
          </w:p>
        </w:tc>
        <w:tc>
          <w:tcPr>
            <w:tcW w:w="1612" w:type="dxa"/>
          </w:tcPr>
          <w:p w:rsidR="007C5447" w:rsidRDefault="00F6308C">
            <w:pPr>
              <w:pStyle w:val="TableParagraph"/>
              <w:spacing w:before="26"/>
              <w:ind w:right="90"/>
              <w:rPr>
                <w:sz w:val="20"/>
              </w:rPr>
            </w:pPr>
            <w:r>
              <w:rPr>
                <w:w w:val="95"/>
                <w:sz w:val="20"/>
              </w:rPr>
              <w:t>284.10</w:t>
            </w:r>
          </w:p>
        </w:tc>
        <w:tc>
          <w:tcPr>
            <w:tcW w:w="1406" w:type="dxa"/>
          </w:tcPr>
          <w:p w:rsidR="007C5447" w:rsidRDefault="00F6308C">
            <w:pPr>
              <w:pStyle w:val="TableParagraph"/>
              <w:spacing w:before="26"/>
              <w:ind w:right="89"/>
              <w:rPr>
                <w:sz w:val="20"/>
              </w:rPr>
            </w:pPr>
            <w:r>
              <w:rPr>
                <w:sz w:val="20"/>
              </w:rPr>
              <w:t>2.71</w:t>
            </w:r>
          </w:p>
        </w:tc>
      </w:tr>
      <w:tr w:rsidR="007C5447">
        <w:trPr>
          <w:trHeight w:val="282"/>
        </w:trPr>
        <w:tc>
          <w:tcPr>
            <w:tcW w:w="4815" w:type="dxa"/>
            <w:tcBorders>
              <w:left w:val="single" w:sz="8" w:space="0" w:color="000000"/>
            </w:tcBorders>
          </w:tcPr>
          <w:p w:rsidR="007C5447" w:rsidRDefault="00F6308C">
            <w:pPr>
              <w:pStyle w:val="TableParagraph"/>
              <w:spacing w:before="26"/>
              <w:ind w:left="107"/>
              <w:jc w:val="left"/>
              <w:rPr>
                <w:sz w:val="20"/>
              </w:rPr>
            </w:pPr>
            <w:r>
              <w:rPr>
                <w:sz w:val="20"/>
              </w:rPr>
              <w:t>NLC TS - I</w:t>
            </w:r>
          </w:p>
        </w:tc>
        <w:tc>
          <w:tcPr>
            <w:tcW w:w="1586" w:type="dxa"/>
          </w:tcPr>
          <w:p w:rsidR="007C5447" w:rsidRDefault="00F6308C">
            <w:pPr>
              <w:pStyle w:val="TableParagraph"/>
              <w:spacing w:before="26"/>
              <w:ind w:right="93"/>
              <w:rPr>
                <w:sz w:val="20"/>
              </w:rPr>
            </w:pPr>
            <w:r>
              <w:rPr>
                <w:w w:val="95"/>
                <w:sz w:val="20"/>
              </w:rPr>
              <w:t>3,145.66</w:t>
            </w:r>
          </w:p>
        </w:tc>
        <w:tc>
          <w:tcPr>
            <w:tcW w:w="1584" w:type="dxa"/>
          </w:tcPr>
          <w:p w:rsidR="007C5447" w:rsidRDefault="00F6308C">
            <w:pPr>
              <w:pStyle w:val="TableParagraph"/>
              <w:spacing w:before="26"/>
              <w:ind w:right="90"/>
              <w:rPr>
                <w:sz w:val="20"/>
              </w:rPr>
            </w:pPr>
            <w:r>
              <w:rPr>
                <w:sz w:val="20"/>
              </w:rPr>
              <w:t>155.25</w:t>
            </w:r>
          </w:p>
        </w:tc>
        <w:tc>
          <w:tcPr>
            <w:tcW w:w="1586" w:type="dxa"/>
          </w:tcPr>
          <w:p w:rsidR="007C5447" w:rsidRDefault="00F6308C">
            <w:pPr>
              <w:pStyle w:val="TableParagraph"/>
              <w:spacing w:before="26"/>
              <w:ind w:right="94"/>
              <w:rPr>
                <w:sz w:val="20"/>
              </w:rPr>
            </w:pPr>
            <w:r>
              <w:rPr>
                <w:w w:val="95"/>
                <w:sz w:val="20"/>
              </w:rPr>
              <w:t>520.51</w:t>
            </w:r>
          </w:p>
        </w:tc>
        <w:tc>
          <w:tcPr>
            <w:tcW w:w="1584" w:type="dxa"/>
          </w:tcPr>
          <w:p w:rsidR="007C5447" w:rsidRDefault="00F6308C">
            <w:pPr>
              <w:pStyle w:val="TableParagraph"/>
              <w:spacing w:before="26"/>
              <w:ind w:right="91"/>
              <w:rPr>
                <w:sz w:val="20"/>
              </w:rPr>
            </w:pPr>
            <w:r>
              <w:rPr>
                <w:sz w:val="20"/>
              </w:rPr>
              <w:t>1.65</w:t>
            </w:r>
          </w:p>
        </w:tc>
        <w:tc>
          <w:tcPr>
            <w:tcW w:w="1612" w:type="dxa"/>
          </w:tcPr>
          <w:p w:rsidR="007C5447" w:rsidRDefault="00F6308C">
            <w:pPr>
              <w:pStyle w:val="TableParagraph"/>
              <w:spacing w:before="26"/>
              <w:ind w:right="90"/>
              <w:rPr>
                <w:sz w:val="20"/>
              </w:rPr>
            </w:pPr>
            <w:r>
              <w:rPr>
                <w:w w:val="95"/>
                <w:sz w:val="20"/>
              </w:rPr>
              <w:t>675.76</w:t>
            </w:r>
          </w:p>
        </w:tc>
        <w:tc>
          <w:tcPr>
            <w:tcW w:w="1406" w:type="dxa"/>
          </w:tcPr>
          <w:p w:rsidR="007C5447" w:rsidRDefault="00F6308C">
            <w:pPr>
              <w:pStyle w:val="TableParagraph"/>
              <w:spacing w:before="26"/>
              <w:ind w:right="89"/>
              <w:rPr>
                <w:sz w:val="20"/>
              </w:rPr>
            </w:pPr>
            <w:r>
              <w:rPr>
                <w:sz w:val="20"/>
              </w:rPr>
              <w:t>2.15</w:t>
            </w:r>
          </w:p>
        </w:tc>
      </w:tr>
    </w:tbl>
    <w:p w:rsidR="007C5447" w:rsidRDefault="007C5447">
      <w:pPr>
        <w:rPr>
          <w:sz w:val="20"/>
        </w:rPr>
        <w:sectPr w:rsidR="007C5447">
          <w:pgSz w:w="16840" w:h="11910" w:orient="landscape"/>
          <w:pgMar w:top="1060" w:right="1220" w:bottom="1240" w:left="1220" w:header="0" w:footer="777" w:gutter="0"/>
          <w:cols w:space="720"/>
        </w:sectPr>
      </w:pPr>
    </w:p>
    <w:p w:rsidR="007C5447" w:rsidRDefault="007C5447">
      <w:pPr>
        <w:pStyle w:val="BodyText"/>
        <w:spacing w:before="3"/>
        <w:rPr>
          <w:sz w:val="2"/>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15"/>
        <w:gridCol w:w="1586"/>
        <w:gridCol w:w="1584"/>
        <w:gridCol w:w="1586"/>
        <w:gridCol w:w="1584"/>
        <w:gridCol w:w="1612"/>
        <w:gridCol w:w="1406"/>
      </w:tblGrid>
      <w:tr w:rsidR="007C5447">
        <w:trPr>
          <w:trHeight w:val="314"/>
        </w:trPr>
        <w:tc>
          <w:tcPr>
            <w:tcW w:w="4815" w:type="dxa"/>
            <w:vMerge w:val="restart"/>
            <w:shd w:val="clear" w:color="auto" w:fill="FBD4B4"/>
          </w:tcPr>
          <w:p w:rsidR="007C5447" w:rsidRDefault="007C5447">
            <w:pPr>
              <w:pStyle w:val="TableParagraph"/>
              <w:spacing w:before="6"/>
              <w:jc w:val="left"/>
              <w:rPr>
                <w:sz w:val="25"/>
              </w:rPr>
            </w:pPr>
          </w:p>
          <w:p w:rsidR="007C5447" w:rsidRDefault="00F6308C">
            <w:pPr>
              <w:pStyle w:val="TableParagraph"/>
              <w:ind w:left="1764" w:right="1749"/>
              <w:jc w:val="center"/>
              <w:rPr>
                <w:b/>
                <w:sz w:val="20"/>
              </w:rPr>
            </w:pPr>
            <w:r>
              <w:rPr>
                <w:b/>
                <w:sz w:val="20"/>
              </w:rPr>
              <w:t>Source</w:t>
            </w:r>
          </w:p>
        </w:tc>
        <w:tc>
          <w:tcPr>
            <w:tcW w:w="9358" w:type="dxa"/>
            <w:gridSpan w:val="6"/>
            <w:shd w:val="clear" w:color="auto" w:fill="FBD4B4"/>
          </w:tcPr>
          <w:p w:rsidR="007C5447" w:rsidRDefault="00F6308C">
            <w:pPr>
              <w:pStyle w:val="TableParagraph"/>
              <w:spacing w:before="68" w:line="227" w:lineRule="exact"/>
              <w:ind w:left="4174" w:right="4149"/>
              <w:jc w:val="center"/>
              <w:rPr>
                <w:b/>
                <w:sz w:val="20"/>
              </w:rPr>
            </w:pPr>
            <w:r>
              <w:rPr>
                <w:b/>
                <w:sz w:val="20"/>
              </w:rPr>
              <w:t>FY 2011-12</w:t>
            </w:r>
          </w:p>
        </w:tc>
      </w:tr>
      <w:tr w:rsidR="007C5447">
        <w:trPr>
          <w:trHeight w:val="489"/>
        </w:trPr>
        <w:tc>
          <w:tcPr>
            <w:tcW w:w="4815" w:type="dxa"/>
            <w:vMerge/>
            <w:tcBorders>
              <w:top w:val="nil"/>
            </w:tcBorders>
            <w:shd w:val="clear" w:color="auto" w:fill="FBD4B4"/>
          </w:tcPr>
          <w:p w:rsidR="007C5447" w:rsidRDefault="007C5447">
            <w:pPr>
              <w:rPr>
                <w:sz w:val="2"/>
                <w:szCs w:val="2"/>
              </w:rPr>
            </w:pPr>
          </w:p>
        </w:tc>
        <w:tc>
          <w:tcPr>
            <w:tcW w:w="1586" w:type="dxa"/>
            <w:shd w:val="clear" w:color="auto" w:fill="FBD4B4"/>
          </w:tcPr>
          <w:p w:rsidR="007C5447" w:rsidRDefault="00F6308C">
            <w:pPr>
              <w:pStyle w:val="TableParagraph"/>
              <w:spacing w:before="130"/>
              <w:ind w:right="107"/>
              <w:rPr>
                <w:b/>
                <w:sz w:val="20"/>
              </w:rPr>
            </w:pPr>
            <w:r>
              <w:rPr>
                <w:b/>
                <w:sz w:val="20"/>
              </w:rPr>
              <w:t>Quantum (MU)</w:t>
            </w:r>
          </w:p>
        </w:tc>
        <w:tc>
          <w:tcPr>
            <w:tcW w:w="1584" w:type="dxa"/>
            <w:shd w:val="clear" w:color="auto" w:fill="FBD4B4"/>
          </w:tcPr>
          <w:p w:rsidR="007C5447" w:rsidRDefault="00F6308C">
            <w:pPr>
              <w:pStyle w:val="TableParagraph"/>
              <w:spacing w:before="14" w:line="230" w:lineRule="atLeast"/>
              <w:ind w:left="427" w:right="138" w:hanging="250"/>
              <w:jc w:val="left"/>
              <w:rPr>
                <w:b/>
                <w:sz w:val="20"/>
              </w:rPr>
            </w:pPr>
            <w:r>
              <w:rPr>
                <w:b/>
                <w:sz w:val="20"/>
              </w:rPr>
              <w:t>Fixed Charges (Rs. Cr.)</w:t>
            </w:r>
          </w:p>
        </w:tc>
        <w:tc>
          <w:tcPr>
            <w:tcW w:w="1586" w:type="dxa"/>
            <w:shd w:val="clear" w:color="auto" w:fill="FBD4B4"/>
          </w:tcPr>
          <w:p w:rsidR="007C5447" w:rsidRDefault="00F6308C">
            <w:pPr>
              <w:pStyle w:val="TableParagraph"/>
              <w:spacing w:before="14" w:line="230" w:lineRule="atLeast"/>
              <w:ind w:left="339" w:right="106" w:hanging="195"/>
              <w:jc w:val="left"/>
              <w:rPr>
                <w:b/>
                <w:sz w:val="20"/>
              </w:rPr>
            </w:pPr>
            <w:r>
              <w:rPr>
                <w:b/>
                <w:sz w:val="20"/>
              </w:rPr>
              <w:t>Energy Charge (Rs. Crore)</w:t>
            </w:r>
          </w:p>
        </w:tc>
        <w:tc>
          <w:tcPr>
            <w:tcW w:w="1584" w:type="dxa"/>
            <w:shd w:val="clear" w:color="auto" w:fill="FBD4B4"/>
          </w:tcPr>
          <w:p w:rsidR="007C5447" w:rsidRDefault="00F6308C">
            <w:pPr>
              <w:pStyle w:val="TableParagraph"/>
              <w:spacing w:before="14" w:line="230" w:lineRule="atLeast"/>
              <w:ind w:left="378" w:right="103" w:hanging="233"/>
              <w:jc w:val="left"/>
              <w:rPr>
                <w:b/>
                <w:sz w:val="20"/>
              </w:rPr>
            </w:pPr>
            <w:r>
              <w:rPr>
                <w:b/>
                <w:sz w:val="20"/>
              </w:rPr>
              <w:t>Energy Charge (Rs./Unit)</w:t>
            </w:r>
          </w:p>
        </w:tc>
        <w:tc>
          <w:tcPr>
            <w:tcW w:w="1612" w:type="dxa"/>
            <w:shd w:val="clear" w:color="auto" w:fill="FBD4B4"/>
          </w:tcPr>
          <w:p w:rsidR="007C5447" w:rsidRDefault="00F6308C">
            <w:pPr>
              <w:pStyle w:val="TableParagraph"/>
              <w:spacing w:before="14" w:line="230" w:lineRule="atLeast"/>
              <w:ind w:left="467" w:right="324" w:hanging="104"/>
              <w:jc w:val="left"/>
              <w:rPr>
                <w:b/>
                <w:sz w:val="20"/>
              </w:rPr>
            </w:pPr>
            <w:r>
              <w:rPr>
                <w:b/>
                <w:sz w:val="20"/>
              </w:rPr>
              <w:t>Total Cost (Rs. Cr)</w:t>
            </w:r>
          </w:p>
        </w:tc>
        <w:tc>
          <w:tcPr>
            <w:tcW w:w="1406" w:type="dxa"/>
            <w:shd w:val="clear" w:color="auto" w:fill="FBD4B4"/>
          </w:tcPr>
          <w:p w:rsidR="007C5447" w:rsidRDefault="00F6308C">
            <w:pPr>
              <w:pStyle w:val="TableParagraph"/>
              <w:spacing w:before="14" w:line="230" w:lineRule="atLeast"/>
              <w:ind w:left="293" w:firstLine="216"/>
              <w:jc w:val="left"/>
              <w:rPr>
                <w:b/>
                <w:sz w:val="20"/>
              </w:rPr>
            </w:pPr>
            <w:r>
              <w:rPr>
                <w:b/>
                <w:sz w:val="20"/>
              </w:rPr>
              <w:t xml:space="preserve">Rate </w:t>
            </w:r>
            <w:r>
              <w:rPr>
                <w:b/>
                <w:w w:val="95"/>
                <w:sz w:val="20"/>
              </w:rPr>
              <w:t>(Rs/kWh)</w:t>
            </w:r>
          </w:p>
        </w:tc>
      </w:tr>
      <w:tr w:rsidR="007C5447">
        <w:trPr>
          <w:trHeight w:val="282"/>
        </w:trPr>
        <w:tc>
          <w:tcPr>
            <w:tcW w:w="4815" w:type="dxa"/>
            <w:tcBorders>
              <w:left w:val="single" w:sz="8" w:space="0" w:color="000000"/>
            </w:tcBorders>
          </w:tcPr>
          <w:p w:rsidR="007C5447" w:rsidRDefault="00F6308C">
            <w:pPr>
              <w:pStyle w:val="TableParagraph"/>
              <w:spacing w:before="26"/>
              <w:ind w:left="107"/>
              <w:jc w:val="left"/>
              <w:rPr>
                <w:sz w:val="20"/>
              </w:rPr>
            </w:pPr>
            <w:r>
              <w:rPr>
                <w:sz w:val="20"/>
              </w:rPr>
              <w:t>NLC TS - II</w:t>
            </w:r>
          </w:p>
        </w:tc>
        <w:tc>
          <w:tcPr>
            <w:tcW w:w="1586" w:type="dxa"/>
          </w:tcPr>
          <w:p w:rsidR="007C5447" w:rsidRDefault="00F6308C">
            <w:pPr>
              <w:pStyle w:val="TableParagraph"/>
              <w:spacing w:before="26"/>
              <w:ind w:right="93"/>
              <w:rPr>
                <w:sz w:val="20"/>
              </w:rPr>
            </w:pPr>
            <w:r>
              <w:rPr>
                <w:w w:val="95"/>
                <w:sz w:val="20"/>
              </w:rPr>
              <w:t>3,167.34</w:t>
            </w:r>
          </w:p>
        </w:tc>
        <w:tc>
          <w:tcPr>
            <w:tcW w:w="1584" w:type="dxa"/>
          </w:tcPr>
          <w:p w:rsidR="007C5447" w:rsidRDefault="00F6308C">
            <w:pPr>
              <w:pStyle w:val="TableParagraph"/>
              <w:spacing w:before="26"/>
              <w:ind w:right="92"/>
              <w:rPr>
                <w:sz w:val="20"/>
              </w:rPr>
            </w:pPr>
            <w:r>
              <w:rPr>
                <w:w w:val="95"/>
                <w:sz w:val="20"/>
              </w:rPr>
              <w:t>197.24</w:t>
            </w:r>
          </w:p>
        </w:tc>
        <w:tc>
          <w:tcPr>
            <w:tcW w:w="1586" w:type="dxa"/>
          </w:tcPr>
          <w:p w:rsidR="007C5447" w:rsidRDefault="00F6308C">
            <w:pPr>
              <w:pStyle w:val="TableParagraph"/>
              <w:spacing w:before="26"/>
              <w:ind w:right="94"/>
              <w:rPr>
                <w:sz w:val="20"/>
              </w:rPr>
            </w:pPr>
            <w:r>
              <w:rPr>
                <w:w w:val="95"/>
                <w:sz w:val="20"/>
              </w:rPr>
              <w:t>614.56</w:t>
            </w:r>
          </w:p>
        </w:tc>
        <w:tc>
          <w:tcPr>
            <w:tcW w:w="1584" w:type="dxa"/>
          </w:tcPr>
          <w:p w:rsidR="007C5447" w:rsidRDefault="00F6308C">
            <w:pPr>
              <w:pStyle w:val="TableParagraph"/>
              <w:spacing w:before="26"/>
              <w:ind w:right="91"/>
              <w:rPr>
                <w:sz w:val="20"/>
              </w:rPr>
            </w:pPr>
            <w:r>
              <w:rPr>
                <w:sz w:val="20"/>
              </w:rPr>
              <w:t>1.94</w:t>
            </w:r>
          </w:p>
        </w:tc>
        <w:tc>
          <w:tcPr>
            <w:tcW w:w="1612" w:type="dxa"/>
          </w:tcPr>
          <w:p w:rsidR="007C5447" w:rsidRDefault="00F6308C">
            <w:pPr>
              <w:pStyle w:val="TableParagraph"/>
              <w:spacing w:before="26"/>
              <w:ind w:right="90"/>
              <w:rPr>
                <w:sz w:val="20"/>
              </w:rPr>
            </w:pPr>
            <w:r>
              <w:rPr>
                <w:w w:val="95"/>
                <w:sz w:val="20"/>
              </w:rPr>
              <w:t>811.80</w:t>
            </w:r>
          </w:p>
        </w:tc>
        <w:tc>
          <w:tcPr>
            <w:tcW w:w="1406" w:type="dxa"/>
          </w:tcPr>
          <w:p w:rsidR="007C5447" w:rsidRDefault="00F6308C">
            <w:pPr>
              <w:pStyle w:val="TableParagraph"/>
              <w:spacing w:before="26"/>
              <w:ind w:right="89"/>
              <w:rPr>
                <w:sz w:val="20"/>
              </w:rPr>
            </w:pPr>
            <w:r>
              <w:rPr>
                <w:sz w:val="20"/>
              </w:rPr>
              <w:t>2.56</w:t>
            </w:r>
          </w:p>
        </w:tc>
      </w:tr>
      <w:tr w:rsidR="007C5447">
        <w:trPr>
          <w:trHeight w:val="285"/>
        </w:trPr>
        <w:tc>
          <w:tcPr>
            <w:tcW w:w="4815" w:type="dxa"/>
            <w:tcBorders>
              <w:left w:val="single" w:sz="8" w:space="0" w:color="000000"/>
            </w:tcBorders>
          </w:tcPr>
          <w:p w:rsidR="007C5447" w:rsidRDefault="00F6308C">
            <w:pPr>
              <w:pStyle w:val="TableParagraph"/>
              <w:spacing w:before="29"/>
              <w:ind w:left="107"/>
              <w:jc w:val="left"/>
              <w:rPr>
                <w:sz w:val="20"/>
              </w:rPr>
            </w:pPr>
            <w:r>
              <w:rPr>
                <w:sz w:val="20"/>
              </w:rPr>
              <w:t>NLC TS Expansion I</w:t>
            </w:r>
          </w:p>
        </w:tc>
        <w:tc>
          <w:tcPr>
            <w:tcW w:w="1586" w:type="dxa"/>
          </w:tcPr>
          <w:p w:rsidR="007C5447" w:rsidRDefault="00F6308C">
            <w:pPr>
              <w:pStyle w:val="TableParagraph"/>
              <w:spacing w:before="29"/>
              <w:ind w:right="93"/>
              <w:rPr>
                <w:sz w:val="20"/>
              </w:rPr>
            </w:pPr>
            <w:r>
              <w:rPr>
                <w:w w:val="95"/>
                <w:sz w:val="20"/>
              </w:rPr>
              <w:t>1,526.27</w:t>
            </w:r>
          </w:p>
        </w:tc>
        <w:tc>
          <w:tcPr>
            <w:tcW w:w="1584" w:type="dxa"/>
          </w:tcPr>
          <w:p w:rsidR="007C5447" w:rsidRDefault="00F6308C">
            <w:pPr>
              <w:pStyle w:val="TableParagraph"/>
              <w:spacing w:before="29"/>
              <w:ind w:right="92"/>
              <w:rPr>
                <w:sz w:val="20"/>
              </w:rPr>
            </w:pPr>
            <w:r>
              <w:rPr>
                <w:w w:val="95"/>
                <w:sz w:val="20"/>
              </w:rPr>
              <w:t>212.37</w:t>
            </w:r>
          </w:p>
        </w:tc>
        <w:tc>
          <w:tcPr>
            <w:tcW w:w="1586" w:type="dxa"/>
          </w:tcPr>
          <w:p w:rsidR="007C5447" w:rsidRDefault="00F6308C">
            <w:pPr>
              <w:pStyle w:val="TableParagraph"/>
              <w:spacing w:before="29"/>
              <w:ind w:right="94"/>
              <w:rPr>
                <w:sz w:val="20"/>
              </w:rPr>
            </w:pPr>
            <w:r>
              <w:rPr>
                <w:w w:val="95"/>
                <w:sz w:val="20"/>
              </w:rPr>
              <w:t>277.03</w:t>
            </w:r>
          </w:p>
        </w:tc>
        <w:tc>
          <w:tcPr>
            <w:tcW w:w="1584" w:type="dxa"/>
          </w:tcPr>
          <w:p w:rsidR="007C5447" w:rsidRDefault="00F6308C">
            <w:pPr>
              <w:pStyle w:val="TableParagraph"/>
              <w:spacing w:before="29"/>
              <w:ind w:right="91"/>
              <w:rPr>
                <w:sz w:val="20"/>
              </w:rPr>
            </w:pPr>
            <w:r>
              <w:rPr>
                <w:sz w:val="20"/>
              </w:rPr>
              <w:t>1.82</w:t>
            </w:r>
          </w:p>
        </w:tc>
        <w:tc>
          <w:tcPr>
            <w:tcW w:w="1612" w:type="dxa"/>
          </w:tcPr>
          <w:p w:rsidR="007C5447" w:rsidRDefault="00F6308C">
            <w:pPr>
              <w:pStyle w:val="TableParagraph"/>
              <w:spacing w:before="29"/>
              <w:ind w:right="90"/>
              <w:rPr>
                <w:sz w:val="20"/>
              </w:rPr>
            </w:pPr>
            <w:r>
              <w:rPr>
                <w:w w:val="95"/>
                <w:sz w:val="20"/>
              </w:rPr>
              <w:t>489.40</w:t>
            </w:r>
          </w:p>
        </w:tc>
        <w:tc>
          <w:tcPr>
            <w:tcW w:w="1406" w:type="dxa"/>
          </w:tcPr>
          <w:p w:rsidR="007C5447" w:rsidRDefault="00F6308C">
            <w:pPr>
              <w:pStyle w:val="TableParagraph"/>
              <w:spacing w:before="29"/>
              <w:ind w:right="89"/>
              <w:rPr>
                <w:sz w:val="20"/>
              </w:rPr>
            </w:pPr>
            <w:r>
              <w:rPr>
                <w:sz w:val="20"/>
              </w:rPr>
              <w:t>3.21</w:t>
            </w:r>
          </w:p>
        </w:tc>
      </w:tr>
      <w:tr w:rsidR="007C5447">
        <w:trPr>
          <w:trHeight w:val="282"/>
        </w:trPr>
        <w:tc>
          <w:tcPr>
            <w:tcW w:w="4815" w:type="dxa"/>
            <w:tcBorders>
              <w:left w:val="single" w:sz="8" w:space="0" w:color="000000"/>
            </w:tcBorders>
          </w:tcPr>
          <w:p w:rsidR="007C5447" w:rsidRDefault="00F6308C">
            <w:pPr>
              <w:pStyle w:val="TableParagraph"/>
              <w:spacing w:before="26"/>
              <w:ind w:left="107"/>
              <w:jc w:val="left"/>
              <w:rPr>
                <w:sz w:val="20"/>
              </w:rPr>
            </w:pPr>
            <w:r>
              <w:rPr>
                <w:sz w:val="20"/>
              </w:rPr>
              <w:t>NTPC Talcher</w:t>
            </w:r>
          </w:p>
        </w:tc>
        <w:tc>
          <w:tcPr>
            <w:tcW w:w="1586" w:type="dxa"/>
          </w:tcPr>
          <w:p w:rsidR="007C5447" w:rsidRDefault="00F6308C">
            <w:pPr>
              <w:pStyle w:val="TableParagraph"/>
              <w:spacing w:before="26"/>
              <w:ind w:right="93"/>
              <w:rPr>
                <w:sz w:val="20"/>
              </w:rPr>
            </w:pPr>
            <w:r>
              <w:rPr>
                <w:w w:val="95"/>
                <w:sz w:val="20"/>
              </w:rPr>
              <w:t>3,621.59</w:t>
            </w:r>
          </w:p>
        </w:tc>
        <w:tc>
          <w:tcPr>
            <w:tcW w:w="1584" w:type="dxa"/>
          </w:tcPr>
          <w:p w:rsidR="007C5447" w:rsidRDefault="00F6308C">
            <w:pPr>
              <w:pStyle w:val="TableParagraph"/>
              <w:spacing w:before="26"/>
              <w:ind w:right="92"/>
              <w:rPr>
                <w:sz w:val="20"/>
              </w:rPr>
            </w:pPr>
            <w:r>
              <w:rPr>
                <w:w w:val="95"/>
                <w:sz w:val="20"/>
              </w:rPr>
              <w:t>283.95</w:t>
            </w:r>
          </w:p>
        </w:tc>
        <w:tc>
          <w:tcPr>
            <w:tcW w:w="1586" w:type="dxa"/>
          </w:tcPr>
          <w:p w:rsidR="007C5447" w:rsidRDefault="00F6308C">
            <w:pPr>
              <w:pStyle w:val="TableParagraph"/>
              <w:spacing w:before="26"/>
              <w:ind w:right="94"/>
              <w:rPr>
                <w:sz w:val="20"/>
              </w:rPr>
            </w:pPr>
            <w:r>
              <w:rPr>
                <w:w w:val="95"/>
                <w:sz w:val="20"/>
              </w:rPr>
              <w:t>740.58</w:t>
            </w:r>
          </w:p>
        </w:tc>
        <w:tc>
          <w:tcPr>
            <w:tcW w:w="1584" w:type="dxa"/>
          </w:tcPr>
          <w:p w:rsidR="007C5447" w:rsidRDefault="00F6308C">
            <w:pPr>
              <w:pStyle w:val="TableParagraph"/>
              <w:spacing w:before="26"/>
              <w:ind w:right="91"/>
              <w:rPr>
                <w:sz w:val="20"/>
              </w:rPr>
            </w:pPr>
            <w:r>
              <w:rPr>
                <w:sz w:val="20"/>
              </w:rPr>
              <w:t>2.04</w:t>
            </w:r>
          </w:p>
        </w:tc>
        <w:tc>
          <w:tcPr>
            <w:tcW w:w="1612" w:type="dxa"/>
          </w:tcPr>
          <w:p w:rsidR="007C5447" w:rsidRDefault="00F6308C">
            <w:pPr>
              <w:pStyle w:val="TableParagraph"/>
              <w:spacing w:before="26"/>
              <w:ind w:right="88"/>
              <w:rPr>
                <w:sz w:val="20"/>
              </w:rPr>
            </w:pPr>
            <w:r>
              <w:rPr>
                <w:w w:val="95"/>
                <w:sz w:val="20"/>
              </w:rPr>
              <w:t>1,024.53</w:t>
            </w:r>
          </w:p>
        </w:tc>
        <w:tc>
          <w:tcPr>
            <w:tcW w:w="1406" w:type="dxa"/>
          </w:tcPr>
          <w:p w:rsidR="007C5447" w:rsidRDefault="00F6308C">
            <w:pPr>
              <w:pStyle w:val="TableParagraph"/>
              <w:spacing w:before="26"/>
              <w:ind w:right="89"/>
              <w:rPr>
                <w:sz w:val="20"/>
              </w:rPr>
            </w:pPr>
            <w:r>
              <w:rPr>
                <w:sz w:val="20"/>
              </w:rPr>
              <w:t>2.83</w:t>
            </w:r>
          </w:p>
        </w:tc>
      </w:tr>
      <w:tr w:rsidR="007C5447">
        <w:trPr>
          <w:trHeight w:val="285"/>
        </w:trPr>
        <w:tc>
          <w:tcPr>
            <w:tcW w:w="4815" w:type="dxa"/>
            <w:tcBorders>
              <w:left w:val="single" w:sz="8" w:space="0" w:color="000000"/>
            </w:tcBorders>
          </w:tcPr>
          <w:p w:rsidR="007C5447" w:rsidRDefault="00F6308C">
            <w:pPr>
              <w:pStyle w:val="TableParagraph"/>
              <w:spacing w:before="29"/>
              <w:ind w:left="107"/>
              <w:jc w:val="left"/>
              <w:rPr>
                <w:sz w:val="20"/>
              </w:rPr>
            </w:pPr>
            <w:r>
              <w:rPr>
                <w:sz w:val="20"/>
              </w:rPr>
              <w:t>NTPC Simhadri</w:t>
            </w:r>
          </w:p>
        </w:tc>
        <w:tc>
          <w:tcPr>
            <w:tcW w:w="1586" w:type="dxa"/>
          </w:tcPr>
          <w:p w:rsidR="007C5447" w:rsidRDefault="00F6308C">
            <w:pPr>
              <w:pStyle w:val="TableParagraph"/>
              <w:spacing w:before="29"/>
              <w:ind w:right="95"/>
              <w:rPr>
                <w:sz w:val="20"/>
              </w:rPr>
            </w:pPr>
            <w:r>
              <w:rPr>
                <w:w w:val="95"/>
                <w:sz w:val="20"/>
              </w:rPr>
              <w:t>469.49</w:t>
            </w:r>
          </w:p>
        </w:tc>
        <w:tc>
          <w:tcPr>
            <w:tcW w:w="1584" w:type="dxa"/>
          </w:tcPr>
          <w:p w:rsidR="007C5447" w:rsidRDefault="00F6308C">
            <w:pPr>
              <w:pStyle w:val="TableParagraph"/>
              <w:spacing w:before="29"/>
              <w:ind w:right="92"/>
              <w:rPr>
                <w:sz w:val="20"/>
              </w:rPr>
            </w:pPr>
            <w:r>
              <w:rPr>
                <w:w w:val="95"/>
                <w:sz w:val="20"/>
              </w:rPr>
              <w:t>73.73</w:t>
            </w:r>
          </w:p>
        </w:tc>
        <w:tc>
          <w:tcPr>
            <w:tcW w:w="1586" w:type="dxa"/>
          </w:tcPr>
          <w:p w:rsidR="007C5447" w:rsidRDefault="00F6308C">
            <w:pPr>
              <w:pStyle w:val="TableParagraph"/>
              <w:spacing w:before="29"/>
              <w:ind w:right="94"/>
              <w:rPr>
                <w:sz w:val="20"/>
              </w:rPr>
            </w:pPr>
            <w:r>
              <w:rPr>
                <w:w w:val="95"/>
                <w:sz w:val="20"/>
              </w:rPr>
              <w:t>102.50</w:t>
            </w:r>
          </w:p>
        </w:tc>
        <w:tc>
          <w:tcPr>
            <w:tcW w:w="1584" w:type="dxa"/>
          </w:tcPr>
          <w:p w:rsidR="007C5447" w:rsidRDefault="00F6308C">
            <w:pPr>
              <w:pStyle w:val="TableParagraph"/>
              <w:spacing w:before="29"/>
              <w:ind w:right="91"/>
              <w:rPr>
                <w:sz w:val="20"/>
              </w:rPr>
            </w:pPr>
            <w:r>
              <w:rPr>
                <w:sz w:val="20"/>
              </w:rPr>
              <w:t>2.18</w:t>
            </w:r>
          </w:p>
        </w:tc>
        <w:tc>
          <w:tcPr>
            <w:tcW w:w="1612" w:type="dxa"/>
          </w:tcPr>
          <w:p w:rsidR="007C5447" w:rsidRDefault="00F6308C">
            <w:pPr>
              <w:pStyle w:val="TableParagraph"/>
              <w:spacing w:before="29"/>
              <w:ind w:right="90"/>
              <w:rPr>
                <w:sz w:val="20"/>
              </w:rPr>
            </w:pPr>
            <w:r>
              <w:rPr>
                <w:w w:val="95"/>
                <w:sz w:val="20"/>
              </w:rPr>
              <w:t>176.23</w:t>
            </w:r>
          </w:p>
        </w:tc>
        <w:tc>
          <w:tcPr>
            <w:tcW w:w="1406" w:type="dxa"/>
          </w:tcPr>
          <w:p w:rsidR="007C5447" w:rsidRDefault="00F6308C">
            <w:pPr>
              <w:pStyle w:val="TableParagraph"/>
              <w:spacing w:before="29"/>
              <w:ind w:right="89"/>
              <w:rPr>
                <w:sz w:val="20"/>
              </w:rPr>
            </w:pPr>
            <w:r>
              <w:rPr>
                <w:sz w:val="20"/>
              </w:rPr>
              <w:t>3.75</w:t>
            </w:r>
          </w:p>
        </w:tc>
      </w:tr>
      <w:tr w:rsidR="007C5447">
        <w:trPr>
          <w:trHeight w:val="282"/>
        </w:trPr>
        <w:tc>
          <w:tcPr>
            <w:tcW w:w="4815" w:type="dxa"/>
            <w:tcBorders>
              <w:left w:val="single" w:sz="8" w:space="0" w:color="000000"/>
            </w:tcBorders>
          </w:tcPr>
          <w:p w:rsidR="007C5447" w:rsidRDefault="00F6308C">
            <w:pPr>
              <w:pStyle w:val="TableParagraph"/>
              <w:spacing w:before="26"/>
              <w:ind w:left="107"/>
              <w:jc w:val="left"/>
              <w:rPr>
                <w:sz w:val="20"/>
              </w:rPr>
            </w:pPr>
            <w:r>
              <w:rPr>
                <w:sz w:val="20"/>
              </w:rPr>
              <w:t>MAPS</w:t>
            </w:r>
          </w:p>
        </w:tc>
        <w:tc>
          <w:tcPr>
            <w:tcW w:w="1586" w:type="dxa"/>
          </w:tcPr>
          <w:p w:rsidR="007C5447" w:rsidRDefault="00F6308C">
            <w:pPr>
              <w:pStyle w:val="TableParagraph"/>
              <w:spacing w:before="26"/>
              <w:ind w:right="93"/>
              <w:rPr>
                <w:sz w:val="20"/>
              </w:rPr>
            </w:pPr>
            <w:r>
              <w:rPr>
                <w:w w:val="95"/>
                <w:sz w:val="20"/>
              </w:rPr>
              <w:t>1,604.08</w:t>
            </w:r>
          </w:p>
        </w:tc>
        <w:tc>
          <w:tcPr>
            <w:tcW w:w="1584" w:type="dxa"/>
          </w:tcPr>
          <w:p w:rsidR="007C5447" w:rsidRDefault="00F6308C">
            <w:pPr>
              <w:pStyle w:val="TableParagraph"/>
              <w:spacing w:before="26"/>
              <w:ind w:right="88"/>
              <w:rPr>
                <w:sz w:val="20"/>
              </w:rPr>
            </w:pPr>
            <w:r>
              <w:rPr>
                <w:w w:val="99"/>
                <w:sz w:val="20"/>
              </w:rPr>
              <w:t>-</w:t>
            </w:r>
          </w:p>
        </w:tc>
        <w:tc>
          <w:tcPr>
            <w:tcW w:w="1586" w:type="dxa"/>
          </w:tcPr>
          <w:p w:rsidR="007C5447" w:rsidRDefault="00F6308C">
            <w:pPr>
              <w:pStyle w:val="TableParagraph"/>
              <w:spacing w:before="26"/>
              <w:ind w:right="94"/>
              <w:rPr>
                <w:sz w:val="20"/>
              </w:rPr>
            </w:pPr>
            <w:r>
              <w:rPr>
                <w:w w:val="95"/>
                <w:sz w:val="20"/>
              </w:rPr>
              <w:t>319.21</w:t>
            </w:r>
          </w:p>
        </w:tc>
        <w:tc>
          <w:tcPr>
            <w:tcW w:w="1584" w:type="dxa"/>
          </w:tcPr>
          <w:p w:rsidR="007C5447" w:rsidRDefault="00F6308C">
            <w:pPr>
              <w:pStyle w:val="TableParagraph"/>
              <w:spacing w:before="26"/>
              <w:ind w:right="91"/>
              <w:rPr>
                <w:sz w:val="20"/>
              </w:rPr>
            </w:pPr>
            <w:r>
              <w:rPr>
                <w:sz w:val="20"/>
              </w:rPr>
              <w:t>1.99</w:t>
            </w:r>
          </w:p>
        </w:tc>
        <w:tc>
          <w:tcPr>
            <w:tcW w:w="1612" w:type="dxa"/>
          </w:tcPr>
          <w:p w:rsidR="007C5447" w:rsidRDefault="00F6308C">
            <w:pPr>
              <w:pStyle w:val="TableParagraph"/>
              <w:spacing w:before="26"/>
              <w:ind w:right="90"/>
              <w:rPr>
                <w:sz w:val="20"/>
              </w:rPr>
            </w:pPr>
            <w:r>
              <w:rPr>
                <w:w w:val="95"/>
                <w:sz w:val="20"/>
              </w:rPr>
              <w:t>319.21</w:t>
            </w:r>
          </w:p>
        </w:tc>
        <w:tc>
          <w:tcPr>
            <w:tcW w:w="1406" w:type="dxa"/>
          </w:tcPr>
          <w:p w:rsidR="007C5447" w:rsidRDefault="00F6308C">
            <w:pPr>
              <w:pStyle w:val="TableParagraph"/>
              <w:spacing w:before="26"/>
              <w:ind w:right="89"/>
              <w:rPr>
                <w:sz w:val="20"/>
              </w:rPr>
            </w:pPr>
            <w:r>
              <w:rPr>
                <w:sz w:val="20"/>
              </w:rPr>
              <w:t>1.99</w:t>
            </w:r>
          </w:p>
        </w:tc>
      </w:tr>
      <w:tr w:rsidR="007C5447">
        <w:trPr>
          <w:trHeight w:val="285"/>
        </w:trPr>
        <w:tc>
          <w:tcPr>
            <w:tcW w:w="4815" w:type="dxa"/>
            <w:tcBorders>
              <w:left w:val="single" w:sz="8" w:space="0" w:color="000000"/>
            </w:tcBorders>
          </w:tcPr>
          <w:p w:rsidR="007C5447" w:rsidRDefault="00F6308C">
            <w:pPr>
              <w:pStyle w:val="TableParagraph"/>
              <w:spacing w:before="29"/>
              <w:ind w:left="107"/>
              <w:jc w:val="left"/>
              <w:rPr>
                <w:sz w:val="20"/>
              </w:rPr>
            </w:pPr>
            <w:r>
              <w:rPr>
                <w:sz w:val="20"/>
              </w:rPr>
              <w:t>KAIGA</w:t>
            </w:r>
          </w:p>
        </w:tc>
        <w:tc>
          <w:tcPr>
            <w:tcW w:w="1586" w:type="dxa"/>
          </w:tcPr>
          <w:p w:rsidR="007C5447" w:rsidRDefault="00F6308C">
            <w:pPr>
              <w:pStyle w:val="TableParagraph"/>
              <w:spacing w:before="29"/>
              <w:ind w:right="93"/>
              <w:rPr>
                <w:sz w:val="20"/>
              </w:rPr>
            </w:pPr>
            <w:r>
              <w:rPr>
                <w:w w:val="95"/>
                <w:sz w:val="20"/>
              </w:rPr>
              <w:t>1,171.24</w:t>
            </w:r>
          </w:p>
        </w:tc>
        <w:tc>
          <w:tcPr>
            <w:tcW w:w="1584" w:type="dxa"/>
          </w:tcPr>
          <w:p w:rsidR="007C5447" w:rsidRDefault="00F6308C">
            <w:pPr>
              <w:pStyle w:val="TableParagraph"/>
              <w:spacing w:before="29"/>
              <w:ind w:right="88"/>
              <w:rPr>
                <w:sz w:val="20"/>
              </w:rPr>
            </w:pPr>
            <w:r>
              <w:rPr>
                <w:w w:val="99"/>
                <w:sz w:val="20"/>
              </w:rPr>
              <w:t>-</w:t>
            </w:r>
          </w:p>
        </w:tc>
        <w:tc>
          <w:tcPr>
            <w:tcW w:w="1586" w:type="dxa"/>
          </w:tcPr>
          <w:p w:rsidR="007C5447" w:rsidRDefault="00F6308C">
            <w:pPr>
              <w:pStyle w:val="TableParagraph"/>
              <w:spacing w:before="29"/>
              <w:ind w:right="94"/>
              <w:rPr>
                <w:sz w:val="20"/>
              </w:rPr>
            </w:pPr>
            <w:r>
              <w:rPr>
                <w:w w:val="95"/>
                <w:sz w:val="20"/>
              </w:rPr>
              <w:t>365.66</w:t>
            </w:r>
          </w:p>
        </w:tc>
        <w:tc>
          <w:tcPr>
            <w:tcW w:w="1584" w:type="dxa"/>
          </w:tcPr>
          <w:p w:rsidR="007C5447" w:rsidRDefault="00F6308C">
            <w:pPr>
              <w:pStyle w:val="TableParagraph"/>
              <w:spacing w:before="29"/>
              <w:ind w:right="91"/>
              <w:rPr>
                <w:sz w:val="20"/>
              </w:rPr>
            </w:pPr>
            <w:r>
              <w:rPr>
                <w:sz w:val="20"/>
              </w:rPr>
              <w:t>3.12</w:t>
            </w:r>
          </w:p>
        </w:tc>
        <w:tc>
          <w:tcPr>
            <w:tcW w:w="1612" w:type="dxa"/>
          </w:tcPr>
          <w:p w:rsidR="007C5447" w:rsidRDefault="00F6308C">
            <w:pPr>
              <w:pStyle w:val="TableParagraph"/>
              <w:spacing w:before="29"/>
              <w:ind w:right="90"/>
              <w:rPr>
                <w:sz w:val="20"/>
              </w:rPr>
            </w:pPr>
            <w:r>
              <w:rPr>
                <w:w w:val="95"/>
                <w:sz w:val="20"/>
              </w:rPr>
              <w:t>365.66</w:t>
            </w:r>
          </w:p>
        </w:tc>
        <w:tc>
          <w:tcPr>
            <w:tcW w:w="1406" w:type="dxa"/>
          </w:tcPr>
          <w:p w:rsidR="007C5447" w:rsidRDefault="00F6308C">
            <w:pPr>
              <w:pStyle w:val="TableParagraph"/>
              <w:spacing w:before="29"/>
              <w:ind w:right="89"/>
              <w:rPr>
                <w:sz w:val="20"/>
              </w:rPr>
            </w:pPr>
            <w:r>
              <w:rPr>
                <w:sz w:val="20"/>
              </w:rPr>
              <w:t>3.12</w:t>
            </w:r>
          </w:p>
        </w:tc>
      </w:tr>
      <w:tr w:rsidR="007C5447">
        <w:trPr>
          <w:trHeight w:val="283"/>
        </w:trPr>
        <w:tc>
          <w:tcPr>
            <w:tcW w:w="4815" w:type="dxa"/>
            <w:tcBorders>
              <w:left w:val="single" w:sz="8" w:space="0" w:color="000000"/>
            </w:tcBorders>
          </w:tcPr>
          <w:p w:rsidR="007C5447" w:rsidRDefault="00F6308C">
            <w:pPr>
              <w:pStyle w:val="TableParagraph"/>
              <w:spacing w:before="27"/>
              <w:ind w:left="107"/>
              <w:jc w:val="left"/>
              <w:rPr>
                <w:sz w:val="20"/>
              </w:rPr>
            </w:pPr>
            <w:r>
              <w:rPr>
                <w:sz w:val="20"/>
              </w:rPr>
              <w:t>NTPC Kayamkulam</w:t>
            </w:r>
          </w:p>
        </w:tc>
        <w:tc>
          <w:tcPr>
            <w:tcW w:w="1586" w:type="dxa"/>
          </w:tcPr>
          <w:p w:rsidR="007C5447" w:rsidRDefault="00F6308C">
            <w:pPr>
              <w:pStyle w:val="TableParagraph"/>
              <w:spacing w:before="27"/>
              <w:ind w:right="91"/>
              <w:rPr>
                <w:sz w:val="20"/>
              </w:rPr>
            </w:pPr>
            <w:r>
              <w:rPr>
                <w:w w:val="99"/>
                <w:sz w:val="20"/>
              </w:rPr>
              <w:t>-</w:t>
            </w:r>
          </w:p>
        </w:tc>
        <w:tc>
          <w:tcPr>
            <w:tcW w:w="1584" w:type="dxa"/>
          </w:tcPr>
          <w:p w:rsidR="007C5447" w:rsidRDefault="00F6308C">
            <w:pPr>
              <w:pStyle w:val="TableParagraph"/>
              <w:spacing w:before="27"/>
              <w:ind w:right="92"/>
              <w:rPr>
                <w:sz w:val="20"/>
              </w:rPr>
            </w:pPr>
            <w:r>
              <w:rPr>
                <w:w w:val="95"/>
                <w:sz w:val="20"/>
              </w:rPr>
              <w:t>65.44</w:t>
            </w:r>
          </w:p>
        </w:tc>
        <w:tc>
          <w:tcPr>
            <w:tcW w:w="1586" w:type="dxa"/>
          </w:tcPr>
          <w:p w:rsidR="007C5447" w:rsidRDefault="00F6308C">
            <w:pPr>
              <w:pStyle w:val="TableParagraph"/>
              <w:spacing w:before="27"/>
              <w:ind w:right="90"/>
              <w:rPr>
                <w:sz w:val="20"/>
              </w:rPr>
            </w:pPr>
            <w:r>
              <w:rPr>
                <w:w w:val="99"/>
                <w:sz w:val="20"/>
              </w:rPr>
              <w:t>-</w:t>
            </w:r>
          </w:p>
        </w:tc>
        <w:tc>
          <w:tcPr>
            <w:tcW w:w="1584" w:type="dxa"/>
          </w:tcPr>
          <w:p w:rsidR="007C5447" w:rsidRDefault="00F6308C">
            <w:pPr>
              <w:pStyle w:val="TableParagraph"/>
              <w:spacing w:before="27"/>
              <w:ind w:right="91"/>
              <w:rPr>
                <w:sz w:val="20"/>
              </w:rPr>
            </w:pPr>
            <w:r>
              <w:rPr>
                <w:w w:val="95"/>
                <w:sz w:val="20"/>
              </w:rPr>
              <w:t>13.07</w:t>
            </w:r>
          </w:p>
        </w:tc>
        <w:tc>
          <w:tcPr>
            <w:tcW w:w="1612" w:type="dxa"/>
          </w:tcPr>
          <w:p w:rsidR="007C5447" w:rsidRDefault="00F6308C">
            <w:pPr>
              <w:pStyle w:val="TableParagraph"/>
              <w:spacing w:before="27"/>
              <w:ind w:right="90"/>
              <w:rPr>
                <w:sz w:val="20"/>
              </w:rPr>
            </w:pPr>
            <w:r>
              <w:rPr>
                <w:w w:val="95"/>
                <w:sz w:val="20"/>
              </w:rPr>
              <w:t>65.44</w:t>
            </w:r>
          </w:p>
        </w:tc>
        <w:tc>
          <w:tcPr>
            <w:tcW w:w="1406" w:type="dxa"/>
          </w:tcPr>
          <w:p w:rsidR="007C5447" w:rsidRDefault="00F6308C">
            <w:pPr>
              <w:pStyle w:val="TableParagraph"/>
              <w:spacing w:before="27"/>
              <w:ind w:right="86"/>
              <w:rPr>
                <w:sz w:val="20"/>
              </w:rPr>
            </w:pPr>
            <w:r>
              <w:rPr>
                <w:w w:val="99"/>
                <w:sz w:val="20"/>
              </w:rPr>
              <w:t>-</w:t>
            </w:r>
          </w:p>
        </w:tc>
      </w:tr>
      <w:tr w:rsidR="007C5447">
        <w:trPr>
          <w:trHeight w:val="285"/>
        </w:trPr>
        <w:tc>
          <w:tcPr>
            <w:tcW w:w="4815" w:type="dxa"/>
            <w:tcBorders>
              <w:left w:val="single" w:sz="8" w:space="0" w:color="000000"/>
            </w:tcBorders>
          </w:tcPr>
          <w:p w:rsidR="007C5447" w:rsidRDefault="00F6308C">
            <w:pPr>
              <w:pStyle w:val="TableParagraph"/>
              <w:spacing w:before="29"/>
              <w:ind w:left="107"/>
              <w:jc w:val="left"/>
              <w:rPr>
                <w:sz w:val="20"/>
              </w:rPr>
            </w:pPr>
            <w:r>
              <w:rPr>
                <w:sz w:val="20"/>
              </w:rPr>
              <w:t>NTPC ER</w:t>
            </w:r>
          </w:p>
        </w:tc>
        <w:tc>
          <w:tcPr>
            <w:tcW w:w="1586" w:type="dxa"/>
          </w:tcPr>
          <w:p w:rsidR="007C5447" w:rsidRDefault="00F6308C">
            <w:pPr>
              <w:pStyle w:val="TableParagraph"/>
              <w:spacing w:before="29"/>
              <w:ind w:right="95"/>
              <w:rPr>
                <w:sz w:val="20"/>
              </w:rPr>
            </w:pPr>
            <w:r>
              <w:rPr>
                <w:w w:val="95"/>
                <w:sz w:val="20"/>
              </w:rPr>
              <w:t>465.30</w:t>
            </w:r>
          </w:p>
        </w:tc>
        <w:tc>
          <w:tcPr>
            <w:tcW w:w="1584" w:type="dxa"/>
          </w:tcPr>
          <w:p w:rsidR="007C5447" w:rsidRDefault="00F6308C">
            <w:pPr>
              <w:pStyle w:val="TableParagraph"/>
              <w:spacing w:before="29"/>
              <w:ind w:right="92"/>
              <w:rPr>
                <w:sz w:val="20"/>
              </w:rPr>
            </w:pPr>
            <w:r>
              <w:rPr>
                <w:w w:val="95"/>
                <w:sz w:val="20"/>
              </w:rPr>
              <w:t>43.24</w:t>
            </w:r>
          </w:p>
        </w:tc>
        <w:tc>
          <w:tcPr>
            <w:tcW w:w="1586" w:type="dxa"/>
          </w:tcPr>
          <w:p w:rsidR="007C5447" w:rsidRDefault="00F6308C">
            <w:pPr>
              <w:pStyle w:val="TableParagraph"/>
              <w:spacing w:before="29"/>
              <w:ind w:right="94"/>
              <w:rPr>
                <w:sz w:val="20"/>
              </w:rPr>
            </w:pPr>
            <w:r>
              <w:rPr>
                <w:w w:val="95"/>
                <w:sz w:val="20"/>
              </w:rPr>
              <w:t>134.66</w:t>
            </w:r>
          </w:p>
        </w:tc>
        <w:tc>
          <w:tcPr>
            <w:tcW w:w="1584" w:type="dxa"/>
          </w:tcPr>
          <w:p w:rsidR="007C5447" w:rsidRDefault="00F6308C">
            <w:pPr>
              <w:pStyle w:val="TableParagraph"/>
              <w:spacing w:before="29"/>
              <w:ind w:right="92"/>
              <w:rPr>
                <w:sz w:val="20"/>
              </w:rPr>
            </w:pPr>
            <w:r>
              <w:rPr>
                <w:sz w:val="20"/>
              </w:rPr>
              <w:t>2.89</w:t>
            </w:r>
          </w:p>
        </w:tc>
        <w:tc>
          <w:tcPr>
            <w:tcW w:w="1612" w:type="dxa"/>
          </w:tcPr>
          <w:p w:rsidR="007C5447" w:rsidRDefault="00F6308C">
            <w:pPr>
              <w:pStyle w:val="TableParagraph"/>
              <w:spacing w:before="29"/>
              <w:ind w:right="90"/>
              <w:rPr>
                <w:sz w:val="20"/>
              </w:rPr>
            </w:pPr>
            <w:r>
              <w:rPr>
                <w:w w:val="95"/>
                <w:sz w:val="20"/>
              </w:rPr>
              <w:t>177.90</w:t>
            </w:r>
          </w:p>
        </w:tc>
        <w:tc>
          <w:tcPr>
            <w:tcW w:w="1406" w:type="dxa"/>
          </w:tcPr>
          <w:p w:rsidR="007C5447" w:rsidRDefault="00F6308C">
            <w:pPr>
              <w:pStyle w:val="TableParagraph"/>
              <w:spacing w:before="29"/>
              <w:ind w:right="89"/>
              <w:rPr>
                <w:sz w:val="20"/>
              </w:rPr>
            </w:pPr>
            <w:r>
              <w:rPr>
                <w:sz w:val="20"/>
              </w:rPr>
              <w:t>3.82</w:t>
            </w:r>
          </w:p>
        </w:tc>
      </w:tr>
      <w:tr w:rsidR="007C5447">
        <w:trPr>
          <w:trHeight w:val="282"/>
        </w:trPr>
        <w:tc>
          <w:tcPr>
            <w:tcW w:w="4815" w:type="dxa"/>
            <w:tcBorders>
              <w:left w:val="single" w:sz="8" w:space="0" w:color="000000"/>
            </w:tcBorders>
          </w:tcPr>
          <w:p w:rsidR="007C5447" w:rsidRDefault="00F6308C">
            <w:pPr>
              <w:pStyle w:val="TableParagraph"/>
              <w:spacing w:before="26"/>
              <w:ind w:left="107"/>
              <w:jc w:val="left"/>
              <w:rPr>
                <w:sz w:val="20"/>
              </w:rPr>
            </w:pPr>
            <w:r>
              <w:rPr>
                <w:sz w:val="20"/>
              </w:rPr>
              <w:t>NTPC Dadri</w:t>
            </w:r>
          </w:p>
        </w:tc>
        <w:tc>
          <w:tcPr>
            <w:tcW w:w="1586" w:type="dxa"/>
          </w:tcPr>
          <w:p w:rsidR="007C5447" w:rsidRDefault="00F6308C">
            <w:pPr>
              <w:pStyle w:val="TableParagraph"/>
              <w:spacing w:before="26"/>
              <w:ind w:right="95"/>
              <w:rPr>
                <w:sz w:val="20"/>
              </w:rPr>
            </w:pPr>
            <w:r>
              <w:rPr>
                <w:w w:val="95"/>
                <w:sz w:val="20"/>
              </w:rPr>
              <w:t>100.51</w:t>
            </w:r>
          </w:p>
        </w:tc>
        <w:tc>
          <w:tcPr>
            <w:tcW w:w="1584" w:type="dxa"/>
          </w:tcPr>
          <w:p w:rsidR="007C5447" w:rsidRDefault="00F6308C">
            <w:pPr>
              <w:pStyle w:val="TableParagraph"/>
              <w:spacing w:before="26"/>
              <w:ind w:right="92"/>
              <w:rPr>
                <w:sz w:val="20"/>
              </w:rPr>
            </w:pPr>
            <w:r>
              <w:rPr>
                <w:w w:val="95"/>
                <w:sz w:val="20"/>
              </w:rPr>
              <w:t>15.11</w:t>
            </w:r>
          </w:p>
        </w:tc>
        <w:tc>
          <w:tcPr>
            <w:tcW w:w="1586" w:type="dxa"/>
          </w:tcPr>
          <w:p w:rsidR="007C5447" w:rsidRDefault="00F6308C">
            <w:pPr>
              <w:pStyle w:val="TableParagraph"/>
              <w:spacing w:before="26"/>
              <w:ind w:right="94"/>
              <w:rPr>
                <w:sz w:val="20"/>
              </w:rPr>
            </w:pPr>
            <w:r>
              <w:rPr>
                <w:w w:val="95"/>
                <w:sz w:val="20"/>
              </w:rPr>
              <w:t>26.38</w:t>
            </w:r>
          </w:p>
        </w:tc>
        <w:tc>
          <w:tcPr>
            <w:tcW w:w="1584" w:type="dxa"/>
          </w:tcPr>
          <w:p w:rsidR="007C5447" w:rsidRDefault="00F6308C">
            <w:pPr>
              <w:pStyle w:val="TableParagraph"/>
              <w:spacing w:before="26"/>
              <w:ind w:right="91"/>
              <w:rPr>
                <w:sz w:val="20"/>
              </w:rPr>
            </w:pPr>
            <w:r>
              <w:rPr>
                <w:sz w:val="20"/>
              </w:rPr>
              <w:t>2.62</w:t>
            </w:r>
          </w:p>
        </w:tc>
        <w:tc>
          <w:tcPr>
            <w:tcW w:w="1612" w:type="dxa"/>
          </w:tcPr>
          <w:p w:rsidR="007C5447" w:rsidRDefault="00F6308C">
            <w:pPr>
              <w:pStyle w:val="TableParagraph"/>
              <w:spacing w:before="26"/>
              <w:ind w:right="90"/>
              <w:rPr>
                <w:sz w:val="20"/>
              </w:rPr>
            </w:pPr>
            <w:r>
              <w:rPr>
                <w:w w:val="95"/>
                <w:sz w:val="20"/>
              </w:rPr>
              <w:t>41.49</w:t>
            </w:r>
          </w:p>
        </w:tc>
        <w:tc>
          <w:tcPr>
            <w:tcW w:w="1406" w:type="dxa"/>
          </w:tcPr>
          <w:p w:rsidR="007C5447" w:rsidRDefault="00F6308C">
            <w:pPr>
              <w:pStyle w:val="TableParagraph"/>
              <w:spacing w:before="26"/>
              <w:ind w:right="89"/>
              <w:rPr>
                <w:sz w:val="20"/>
              </w:rPr>
            </w:pPr>
            <w:r>
              <w:rPr>
                <w:sz w:val="20"/>
              </w:rPr>
              <w:t>4.13</w:t>
            </w:r>
          </w:p>
        </w:tc>
      </w:tr>
      <w:tr w:rsidR="007C5447">
        <w:trPr>
          <w:trHeight w:val="314"/>
        </w:trPr>
        <w:tc>
          <w:tcPr>
            <w:tcW w:w="4815" w:type="dxa"/>
            <w:tcBorders>
              <w:left w:val="single" w:sz="8" w:space="0" w:color="000000"/>
            </w:tcBorders>
          </w:tcPr>
          <w:p w:rsidR="007C5447" w:rsidRDefault="00F6308C">
            <w:pPr>
              <w:pStyle w:val="TableParagraph"/>
              <w:spacing w:before="43"/>
              <w:ind w:left="107"/>
              <w:jc w:val="left"/>
              <w:rPr>
                <w:b/>
                <w:sz w:val="20"/>
              </w:rPr>
            </w:pPr>
            <w:r>
              <w:rPr>
                <w:b/>
                <w:sz w:val="20"/>
              </w:rPr>
              <w:t>Total CGS</w:t>
            </w:r>
          </w:p>
        </w:tc>
        <w:tc>
          <w:tcPr>
            <w:tcW w:w="1586" w:type="dxa"/>
          </w:tcPr>
          <w:p w:rsidR="007C5447" w:rsidRDefault="00F6308C">
            <w:pPr>
              <w:pStyle w:val="TableParagraph"/>
              <w:spacing w:before="43"/>
              <w:ind w:right="95"/>
              <w:rPr>
                <w:b/>
                <w:sz w:val="20"/>
              </w:rPr>
            </w:pPr>
            <w:r>
              <w:rPr>
                <w:b/>
                <w:w w:val="95"/>
                <w:sz w:val="20"/>
              </w:rPr>
              <w:t>20,425.55</w:t>
            </w:r>
          </w:p>
        </w:tc>
        <w:tc>
          <w:tcPr>
            <w:tcW w:w="1584" w:type="dxa"/>
          </w:tcPr>
          <w:p w:rsidR="007C5447" w:rsidRDefault="00F6308C">
            <w:pPr>
              <w:pStyle w:val="TableParagraph"/>
              <w:spacing w:before="43"/>
              <w:ind w:right="90"/>
              <w:rPr>
                <w:b/>
                <w:sz w:val="20"/>
              </w:rPr>
            </w:pPr>
            <w:r>
              <w:rPr>
                <w:b/>
                <w:w w:val="95"/>
                <w:sz w:val="20"/>
              </w:rPr>
              <w:t>1,351.88</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3"/>
              <w:ind w:right="88"/>
              <w:rPr>
                <w:b/>
                <w:sz w:val="20"/>
              </w:rPr>
            </w:pPr>
            <w:r>
              <w:rPr>
                <w:b/>
                <w:w w:val="95"/>
                <w:sz w:val="20"/>
              </w:rPr>
              <w:t>5,300.90</w:t>
            </w:r>
          </w:p>
        </w:tc>
        <w:tc>
          <w:tcPr>
            <w:tcW w:w="1406" w:type="dxa"/>
          </w:tcPr>
          <w:p w:rsidR="007C5447" w:rsidRDefault="00F6308C">
            <w:pPr>
              <w:pStyle w:val="TableParagraph"/>
              <w:spacing w:before="43"/>
              <w:ind w:right="89"/>
              <w:rPr>
                <w:b/>
                <w:sz w:val="20"/>
              </w:rPr>
            </w:pPr>
            <w:r>
              <w:rPr>
                <w:b/>
                <w:sz w:val="20"/>
              </w:rPr>
              <w:t>2.60</w:t>
            </w:r>
          </w:p>
        </w:tc>
      </w:tr>
      <w:tr w:rsidR="007C5447">
        <w:trPr>
          <w:trHeight w:val="311"/>
        </w:trPr>
        <w:tc>
          <w:tcPr>
            <w:tcW w:w="4815" w:type="dxa"/>
            <w:tcBorders>
              <w:left w:val="single" w:sz="8" w:space="0" w:color="000000"/>
            </w:tcBorders>
          </w:tcPr>
          <w:p w:rsidR="007C5447" w:rsidRDefault="00F6308C">
            <w:pPr>
              <w:pStyle w:val="TableParagraph"/>
              <w:spacing w:before="41"/>
              <w:ind w:left="107"/>
              <w:jc w:val="left"/>
              <w:rPr>
                <w:b/>
                <w:sz w:val="20"/>
              </w:rPr>
            </w:pPr>
            <w:r>
              <w:rPr>
                <w:b/>
                <w:sz w:val="20"/>
              </w:rPr>
              <w:t>IPP</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7C5447">
            <w:pPr>
              <w:pStyle w:val="TableParagraph"/>
              <w:jc w:val="left"/>
              <w:rPr>
                <w:sz w:val="20"/>
              </w:rPr>
            </w:pPr>
          </w:p>
        </w:tc>
        <w:tc>
          <w:tcPr>
            <w:tcW w:w="1406" w:type="dxa"/>
          </w:tcPr>
          <w:p w:rsidR="007C5447" w:rsidRDefault="007C5447">
            <w:pPr>
              <w:pStyle w:val="TableParagraph"/>
              <w:jc w:val="left"/>
              <w:rPr>
                <w:sz w:val="20"/>
              </w:rPr>
            </w:pPr>
          </w:p>
        </w:tc>
      </w:tr>
      <w:tr w:rsidR="007C5447">
        <w:trPr>
          <w:trHeight w:val="282"/>
        </w:trPr>
        <w:tc>
          <w:tcPr>
            <w:tcW w:w="4815" w:type="dxa"/>
            <w:tcBorders>
              <w:left w:val="single" w:sz="8" w:space="0" w:color="000000"/>
            </w:tcBorders>
          </w:tcPr>
          <w:p w:rsidR="007C5447" w:rsidRDefault="00F6308C">
            <w:pPr>
              <w:pStyle w:val="TableParagraph"/>
              <w:spacing w:before="26"/>
              <w:ind w:left="107"/>
              <w:jc w:val="left"/>
              <w:rPr>
                <w:sz w:val="20"/>
              </w:rPr>
            </w:pPr>
            <w:r>
              <w:rPr>
                <w:sz w:val="20"/>
              </w:rPr>
              <w:t>GMR Vasavi</w:t>
            </w:r>
          </w:p>
        </w:tc>
        <w:tc>
          <w:tcPr>
            <w:tcW w:w="1586" w:type="dxa"/>
          </w:tcPr>
          <w:p w:rsidR="007C5447" w:rsidRDefault="00F6308C">
            <w:pPr>
              <w:pStyle w:val="TableParagraph"/>
              <w:spacing w:before="26"/>
              <w:ind w:right="91"/>
              <w:rPr>
                <w:sz w:val="20"/>
              </w:rPr>
            </w:pPr>
            <w:r>
              <w:rPr>
                <w:w w:val="99"/>
                <w:sz w:val="20"/>
              </w:rPr>
              <w:t>-</w:t>
            </w:r>
          </w:p>
        </w:tc>
        <w:tc>
          <w:tcPr>
            <w:tcW w:w="1584" w:type="dxa"/>
          </w:tcPr>
          <w:p w:rsidR="007C5447" w:rsidRDefault="00F6308C">
            <w:pPr>
              <w:pStyle w:val="TableParagraph"/>
              <w:spacing w:before="26"/>
              <w:ind w:right="92"/>
              <w:rPr>
                <w:sz w:val="20"/>
              </w:rPr>
            </w:pPr>
            <w:r>
              <w:rPr>
                <w:w w:val="95"/>
                <w:sz w:val="20"/>
              </w:rPr>
              <w:t>158.55</w:t>
            </w:r>
          </w:p>
        </w:tc>
        <w:tc>
          <w:tcPr>
            <w:tcW w:w="1586" w:type="dxa"/>
          </w:tcPr>
          <w:p w:rsidR="007C5447" w:rsidRDefault="00F6308C">
            <w:pPr>
              <w:pStyle w:val="TableParagraph"/>
              <w:spacing w:before="26"/>
              <w:ind w:right="90"/>
              <w:rPr>
                <w:sz w:val="20"/>
              </w:rPr>
            </w:pPr>
            <w:r>
              <w:rPr>
                <w:w w:val="99"/>
                <w:sz w:val="20"/>
              </w:rPr>
              <w:t>-</w:t>
            </w:r>
          </w:p>
        </w:tc>
        <w:tc>
          <w:tcPr>
            <w:tcW w:w="1584" w:type="dxa"/>
          </w:tcPr>
          <w:p w:rsidR="007C5447" w:rsidRDefault="00F6308C">
            <w:pPr>
              <w:pStyle w:val="TableParagraph"/>
              <w:spacing w:before="26"/>
              <w:ind w:right="91"/>
              <w:rPr>
                <w:sz w:val="20"/>
              </w:rPr>
            </w:pPr>
            <w:r>
              <w:rPr>
                <w:w w:val="95"/>
                <w:sz w:val="20"/>
              </w:rPr>
              <w:t>11.29</w:t>
            </w:r>
          </w:p>
        </w:tc>
        <w:tc>
          <w:tcPr>
            <w:tcW w:w="1612" w:type="dxa"/>
          </w:tcPr>
          <w:p w:rsidR="007C5447" w:rsidRDefault="00F6308C">
            <w:pPr>
              <w:pStyle w:val="TableParagraph"/>
              <w:spacing w:before="26"/>
              <w:ind w:right="90"/>
              <w:rPr>
                <w:sz w:val="20"/>
              </w:rPr>
            </w:pPr>
            <w:r>
              <w:rPr>
                <w:w w:val="95"/>
                <w:sz w:val="20"/>
              </w:rPr>
              <w:t>158.55</w:t>
            </w:r>
          </w:p>
        </w:tc>
        <w:tc>
          <w:tcPr>
            <w:tcW w:w="1406" w:type="dxa"/>
          </w:tcPr>
          <w:p w:rsidR="007C5447" w:rsidRDefault="00F6308C">
            <w:pPr>
              <w:pStyle w:val="TableParagraph"/>
              <w:spacing w:before="26"/>
              <w:ind w:right="88"/>
              <w:rPr>
                <w:sz w:val="20"/>
              </w:rPr>
            </w:pPr>
            <w:r>
              <w:rPr>
                <w:w w:val="99"/>
                <w:sz w:val="20"/>
              </w:rPr>
              <w:t>-</w:t>
            </w:r>
          </w:p>
        </w:tc>
      </w:tr>
      <w:tr w:rsidR="007C5447">
        <w:trPr>
          <w:trHeight w:val="285"/>
        </w:trPr>
        <w:tc>
          <w:tcPr>
            <w:tcW w:w="4815" w:type="dxa"/>
            <w:tcBorders>
              <w:left w:val="single" w:sz="8" w:space="0" w:color="000000"/>
            </w:tcBorders>
          </w:tcPr>
          <w:p w:rsidR="007C5447" w:rsidRDefault="00F6308C">
            <w:pPr>
              <w:pStyle w:val="TableParagraph"/>
              <w:spacing w:before="29"/>
              <w:ind w:left="107"/>
              <w:jc w:val="left"/>
              <w:rPr>
                <w:sz w:val="20"/>
              </w:rPr>
            </w:pPr>
            <w:r>
              <w:rPr>
                <w:sz w:val="20"/>
              </w:rPr>
              <w:t>Samalpatti</w:t>
            </w:r>
          </w:p>
        </w:tc>
        <w:tc>
          <w:tcPr>
            <w:tcW w:w="1586" w:type="dxa"/>
          </w:tcPr>
          <w:p w:rsidR="007C5447" w:rsidRDefault="00F6308C">
            <w:pPr>
              <w:pStyle w:val="TableParagraph"/>
              <w:spacing w:before="29"/>
              <w:ind w:right="91"/>
              <w:rPr>
                <w:sz w:val="20"/>
              </w:rPr>
            </w:pPr>
            <w:r>
              <w:rPr>
                <w:w w:val="99"/>
                <w:sz w:val="20"/>
              </w:rPr>
              <w:t>-</w:t>
            </w:r>
          </w:p>
        </w:tc>
        <w:tc>
          <w:tcPr>
            <w:tcW w:w="1584" w:type="dxa"/>
          </w:tcPr>
          <w:p w:rsidR="007C5447" w:rsidRDefault="00F6308C">
            <w:pPr>
              <w:pStyle w:val="TableParagraph"/>
              <w:spacing w:before="29"/>
              <w:ind w:right="92"/>
              <w:rPr>
                <w:sz w:val="20"/>
              </w:rPr>
            </w:pPr>
            <w:r>
              <w:rPr>
                <w:w w:val="95"/>
                <w:sz w:val="20"/>
              </w:rPr>
              <w:t>115.86</w:t>
            </w:r>
          </w:p>
        </w:tc>
        <w:tc>
          <w:tcPr>
            <w:tcW w:w="1586" w:type="dxa"/>
          </w:tcPr>
          <w:p w:rsidR="007C5447" w:rsidRDefault="00F6308C">
            <w:pPr>
              <w:pStyle w:val="TableParagraph"/>
              <w:spacing w:before="29"/>
              <w:ind w:right="90"/>
              <w:rPr>
                <w:sz w:val="20"/>
              </w:rPr>
            </w:pPr>
            <w:r>
              <w:rPr>
                <w:w w:val="99"/>
                <w:sz w:val="20"/>
              </w:rPr>
              <w:t>-</w:t>
            </w:r>
          </w:p>
        </w:tc>
        <w:tc>
          <w:tcPr>
            <w:tcW w:w="1584" w:type="dxa"/>
          </w:tcPr>
          <w:p w:rsidR="007C5447" w:rsidRDefault="00F6308C">
            <w:pPr>
              <w:pStyle w:val="TableParagraph"/>
              <w:spacing w:before="29"/>
              <w:ind w:right="91"/>
              <w:rPr>
                <w:sz w:val="20"/>
              </w:rPr>
            </w:pPr>
            <w:r>
              <w:rPr>
                <w:w w:val="95"/>
                <w:sz w:val="20"/>
              </w:rPr>
              <w:t>14.18</w:t>
            </w:r>
          </w:p>
        </w:tc>
        <w:tc>
          <w:tcPr>
            <w:tcW w:w="1612" w:type="dxa"/>
          </w:tcPr>
          <w:p w:rsidR="007C5447" w:rsidRDefault="00F6308C">
            <w:pPr>
              <w:pStyle w:val="TableParagraph"/>
              <w:spacing w:before="29"/>
              <w:ind w:right="90"/>
              <w:rPr>
                <w:sz w:val="20"/>
              </w:rPr>
            </w:pPr>
            <w:r>
              <w:rPr>
                <w:w w:val="95"/>
                <w:sz w:val="20"/>
              </w:rPr>
              <w:t>115.86</w:t>
            </w:r>
          </w:p>
        </w:tc>
        <w:tc>
          <w:tcPr>
            <w:tcW w:w="1406" w:type="dxa"/>
          </w:tcPr>
          <w:p w:rsidR="007C5447" w:rsidRDefault="00F6308C">
            <w:pPr>
              <w:pStyle w:val="TableParagraph"/>
              <w:spacing w:before="29"/>
              <w:ind w:right="88"/>
              <w:rPr>
                <w:sz w:val="20"/>
              </w:rPr>
            </w:pPr>
            <w:r>
              <w:rPr>
                <w:w w:val="99"/>
                <w:sz w:val="20"/>
              </w:rPr>
              <w:t>-</w:t>
            </w:r>
          </w:p>
        </w:tc>
      </w:tr>
      <w:tr w:rsidR="007C5447">
        <w:trPr>
          <w:trHeight w:val="282"/>
        </w:trPr>
        <w:tc>
          <w:tcPr>
            <w:tcW w:w="4815" w:type="dxa"/>
            <w:tcBorders>
              <w:left w:val="single" w:sz="8" w:space="0" w:color="000000"/>
            </w:tcBorders>
          </w:tcPr>
          <w:p w:rsidR="007C5447" w:rsidRDefault="00F6308C">
            <w:pPr>
              <w:pStyle w:val="TableParagraph"/>
              <w:spacing w:before="26"/>
              <w:ind w:left="107"/>
              <w:jc w:val="left"/>
              <w:rPr>
                <w:sz w:val="20"/>
              </w:rPr>
            </w:pPr>
            <w:r>
              <w:rPr>
                <w:sz w:val="20"/>
              </w:rPr>
              <w:t>Madurai Power Corpn</w:t>
            </w:r>
          </w:p>
        </w:tc>
        <w:tc>
          <w:tcPr>
            <w:tcW w:w="1586" w:type="dxa"/>
          </w:tcPr>
          <w:p w:rsidR="007C5447" w:rsidRDefault="00F6308C">
            <w:pPr>
              <w:pStyle w:val="TableParagraph"/>
              <w:spacing w:before="26"/>
              <w:ind w:right="91"/>
              <w:rPr>
                <w:sz w:val="20"/>
              </w:rPr>
            </w:pPr>
            <w:r>
              <w:rPr>
                <w:w w:val="99"/>
                <w:sz w:val="20"/>
              </w:rPr>
              <w:t>-</w:t>
            </w:r>
          </w:p>
        </w:tc>
        <w:tc>
          <w:tcPr>
            <w:tcW w:w="1584" w:type="dxa"/>
          </w:tcPr>
          <w:p w:rsidR="007C5447" w:rsidRDefault="00F6308C">
            <w:pPr>
              <w:pStyle w:val="TableParagraph"/>
              <w:spacing w:before="26"/>
              <w:ind w:right="92"/>
              <w:rPr>
                <w:sz w:val="20"/>
              </w:rPr>
            </w:pPr>
            <w:r>
              <w:rPr>
                <w:w w:val="95"/>
                <w:sz w:val="20"/>
              </w:rPr>
              <w:t>124.30</w:t>
            </w:r>
          </w:p>
        </w:tc>
        <w:tc>
          <w:tcPr>
            <w:tcW w:w="1586" w:type="dxa"/>
          </w:tcPr>
          <w:p w:rsidR="007C5447" w:rsidRDefault="00F6308C">
            <w:pPr>
              <w:pStyle w:val="TableParagraph"/>
              <w:spacing w:before="26"/>
              <w:ind w:right="90"/>
              <w:rPr>
                <w:sz w:val="20"/>
              </w:rPr>
            </w:pPr>
            <w:r>
              <w:rPr>
                <w:w w:val="99"/>
                <w:sz w:val="20"/>
              </w:rPr>
              <w:t>-</w:t>
            </w:r>
          </w:p>
        </w:tc>
        <w:tc>
          <w:tcPr>
            <w:tcW w:w="1584" w:type="dxa"/>
          </w:tcPr>
          <w:p w:rsidR="007C5447" w:rsidRDefault="00F6308C">
            <w:pPr>
              <w:pStyle w:val="TableParagraph"/>
              <w:spacing w:before="26"/>
              <w:ind w:right="91"/>
              <w:rPr>
                <w:sz w:val="20"/>
              </w:rPr>
            </w:pPr>
            <w:r>
              <w:rPr>
                <w:w w:val="95"/>
                <w:sz w:val="20"/>
              </w:rPr>
              <w:t>14.89</w:t>
            </w:r>
          </w:p>
        </w:tc>
        <w:tc>
          <w:tcPr>
            <w:tcW w:w="1612" w:type="dxa"/>
          </w:tcPr>
          <w:p w:rsidR="007C5447" w:rsidRDefault="00F6308C">
            <w:pPr>
              <w:pStyle w:val="TableParagraph"/>
              <w:spacing w:before="26"/>
              <w:ind w:right="90"/>
              <w:rPr>
                <w:sz w:val="20"/>
              </w:rPr>
            </w:pPr>
            <w:r>
              <w:rPr>
                <w:w w:val="95"/>
                <w:sz w:val="20"/>
              </w:rPr>
              <w:t>124.30</w:t>
            </w:r>
          </w:p>
        </w:tc>
        <w:tc>
          <w:tcPr>
            <w:tcW w:w="1406" w:type="dxa"/>
          </w:tcPr>
          <w:p w:rsidR="007C5447" w:rsidRDefault="00F6308C">
            <w:pPr>
              <w:pStyle w:val="TableParagraph"/>
              <w:spacing w:before="26"/>
              <w:ind w:right="88"/>
              <w:rPr>
                <w:sz w:val="20"/>
              </w:rPr>
            </w:pPr>
            <w:r>
              <w:rPr>
                <w:w w:val="99"/>
                <w:sz w:val="20"/>
              </w:rPr>
              <w:t>-</w:t>
            </w:r>
          </w:p>
        </w:tc>
      </w:tr>
      <w:tr w:rsidR="007C5447">
        <w:trPr>
          <w:trHeight w:val="285"/>
        </w:trPr>
        <w:tc>
          <w:tcPr>
            <w:tcW w:w="4815" w:type="dxa"/>
            <w:tcBorders>
              <w:left w:val="single" w:sz="8" w:space="0" w:color="000000"/>
            </w:tcBorders>
          </w:tcPr>
          <w:p w:rsidR="007C5447" w:rsidRDefault="00F6308C">
            <w:pPr>
              <w:pStyle w:val="TableParagraph"/>
              <w:spacing w:before="29"/>
              <w:ind w:left="107"/>
              <w:jc w:val="left"/>
              <w:rPr>
                <w:sz w:val="20"/>
              </w:rPr>
            </w:pPr>
            <w:r>
              <w:rPr>
                <w:sz w:val="20"/>
              </w:rPr>
              <w:t>PPN</w:t>
            </w:r>
          </w:p>
        </w:tc>
        <w:tc>
          <w:tcPr>
            <w:tcW w:w="1586" w:type="dxa"/>
          </w:tcPr>
          <w:p w:rsidR="007C5447" w:rsidRDefault="00F6308C">
            <w:pPr>
              <w:pStyle w:val="TableParagraph"/>
              <w:spacing w:before="29"/>
              <w:ind w:right="95"/>
              <w:rPr>
                <w:sz w:val="20"/>
              </w:rPr>
            </w:pPr>
            <w:r>
              <w:rPr>
                <w:w w:val="95"/>
                <w:sz w:val="20"/>
              </w:rPr>
              <w:t>932.77</w:t>
            </w:r>
          </w:p>
        </w:tc>
        <w:tc>
          <w:tcPr>
            <w:tcW w:w="1584" w:type="dxa"/>
          </w:tcPr>
          <w:p w:rsidR="007C5447" w:rsidRDefault="00F6308C">
            <w:pPr>
              <w:pStyle w:val="TableParagraph"/>
              <w:spacing w:before="29"/>
              <w:ind w:right="92"/>
              <w:rPr>
                <w:sz w:val="20"/>
              </w:rPr>
            </w:pPr>
            <w:r>
              <w:rPr>
                <w:w w:val="95"/>
                <w:sz w:val="20"/>
              </w:rPr>
              <w:t>285.50</w:t>
            </w:r>
          </w:p>
        </w:tc>
        <w:tc>
          <w:tcPr>
            <w:tcW w:w="1586" w:type="dxa"/>
          </w:tcPr>
          <w:p w:rsidR="007C5447" w:rsidRDefault="00F6308C">
            <w:pPr>
              <w:pStyle w:val="TableParagraph"/>
              <w:spacing w:before="29"/>
              <w:ind w:right="94"/>
              <w:rPr>
                <w:sz w:val="20"/>
              </w:rPr>
            </w:pPr>
            <w:r>
              <w:rPr>
                <w:w w:val="95"/>
                <w:sz w:val="20"/>
              </w:rPr>
              <w:t>783.25</w:t>
            </w:r>
          </w:p>
        </w:tc>
        <w:tc>
          <w:tcPr>
            <w:tcW w:w="1584" w:type="dxa"/>
          </w:tcPr>
          <w:p w:rsidR="007C5447" w:rsidRDefault="00F6308C">
            <w:pPr>
              <w:pStyle w:val="TableParagraph"/>
              <w:spacing w:before="29"/>
              <w:ind w:right="91"/>
              <w:rPr>
                <w:sz w:val="20"/>
              </w:rPr>
            </w:pPr>
            <w:r>
              <w:rPr>
                <w:sz w:val="20"/>
              </w:rPr>
              <w:t>8.40</w:t>
            </w:r>
          </w:p>
        </w:tc>
        <w:tc>
          <w:tcPr>
            <w:tcW w:w="1612" w:type="dxa"/>
          </w:tcPr>
          <w:p w:rsidR="007C5447" w:rsidRDefault="00F6308C">
            <w:pPr>
              <w:pStyle w:val="TableParagraph"/>
              <w:spacing w:before="29"/>
              <w:ind w:right="88"/>
              <w:rPr>
                <w:sz w:val="20"/>
              </w:rPr>
            </w:pPr>
            <w:r>
              <w:rPr>
                <w:w w:val="95"/>
                <w:sz w:val="20"/>
              </w:rPr>
              <w:t>1,068.75</w:t>
            </w:r>
          </w:p>
        </w:tc>
        <w:tc>
          <w:tcPr>
            <w:tcW w:w="1406" w:type="dxa"/>
          </w:tcPr>
          <w:p w:rsidR="007C5447" w:rsidRDefault="00F6308C">
            <w:pPr>
              <w:pStyle w:val="TableParagraph"/>
              <w:spacing w:before="29"/>
              <w:ind w:right="89"/>
              <w:rPr>
                <w:sz w:val="20"/>
              </w:rPr>
            </w:pPr>
            <w:r>
              <w:rPr>
                <w:w w:val="95"/>
                <w:sz w:val="20"/>
              </w:rPr>
              <w:t>11.46</w:t>
            </w:r>
          </w:p>
        </w:tc>
      </w:tr>
      <w:tr w:rsidR="007C5447">
        <w:trPr>
          <w:trHeight w:val="282"/>
        </w:trPr>
        <w:tc>
          <w:tcPr>
            <w:tcW w:w="4815" w:type="dxa"/>
            <w:tcBorders>
              <w:left w:val="single" w:sz="8" w:space="0" w:color="000000"/>
            </w:tcBorders>
          </w:tcPr>
          <w:p w:rsidR="007C5447" w:rsidRDefault="00F6308C">
            <w:pPr>
              <w:pStyle w:val="TableParagraph"/>
              <w:spacing w:before="26"/>
              <w:ind w:left="107"/>
              <w:jc w:val="left"/>
              <w:rPr>
                <w:sz w:val="20"/>
              </w:rPr>
            </w:pPr>
            <w:r>
              <w:rPr>
                <w:sz w:val="20"/>
              </w:rPr>
              <w:t>STCMS - Neyveli</w:t>
            </w:r>
          </w:p>
        </w:tc>
        <w:tc>
          <w:tcPr>
            <w:tcW w:w="1586" w:type="dxa"/>
          </w:tcPr>
          <w:p w:rsidR="007C5447" w:rsidRDefault="00F6308C">
            <w:pPr>
              <w:pStyle w:val="TableParagraph"/>
              <w:spacing w:before="26"/>
              <w:ind w:right="93"/>
              <w:rPr>
                <w:sz w:val="20"/>
              </w:rPr>
            </w:pPr>
            <w:r>
              <w:rPr>
                <w:w w:val="95"/>
                <w:sz w:val="20"/>
              </w:rPr>
              <w:t>1,688.22</w:t>
            </w:r>
          </w:p>
        </w:tc>
        <w:tc>
          <w:tcPr>
            <w:tcW w:w="1584" w:type="dxa"/>
          </w:tcPr>
          <w:p w:rsidR="007C5447" w:rsidRDefault="00F6308C">
            <w:pPr>
              <w:pStyle w:val="TableParagraph"/>
              <w:spacing w:before="26"/>
              <w:ind w:right="92"/>
              <w:rPr>
                <w:sz w:val="20"/>
              </w:rPr>
            </w:pPr>
            <w:r>
              <w:rPr>
                <w:w w:val="95"/>
                <w:sz w:val="20"/>
              </w:rPr>
              <w:t>314.62</w:t>
            </w:r>
          </w:p>
        </w:tc>
        <w:tc>
          <w:tcPr>
            <w:tcW w:w="1586" w:type="dxa"/>
          </w:tcPr>
          <w:p w:rsidR="007C5447" w:rsidRDefault="00F6308C">
            <w:pPr>
              <w:pStyle w:val="TableParagraph"/>
              <w:spacing w:before="26"/>
              <w:ind w:right="94"/>
              <w:rPr>
                <w:sz w:val="20"/>
              </w:rPr>
            </w:pPr>
            <w:r>
              <w:rPr>
                <w:w w:val="95"/>
                <w:sz w:val="20"/>
              </w:rPr>
              <w:t>338.38</w:t>
            </w:r>
          </w:p>
        </w:tc>
        <w:tc>
          <w:tcPr>
            <w:tcW w:w="1584" w:type="dxa"/>
          </w:tcPr>
          <w:p w:rsidR="007C5447" w:rsidRDefault="00F6308C">
            <w:pPr>
              <w:pStyle w:val="TableParagraph"/>
              <w:spacing w:before="26"/>
              <w:ind w:right="91"/>
              <w:rPr>
                <w:sz w:val="20"/>
              </w:rPr>
            </w:pPr>
            <w:r>
              <w:rPr>
                <w:sz w:val="20"/>
              </w:rPr>
              <w:t>2.00</w:t>
            </w:r>
          </w:p>
        </w:tc>
        <w:tc>
          <w:tcPr>
            <w:tcW w:w="1612" w:type="dxa"/>
          </w:tcPr>
          <w:p w:rsidR="007C5447" w:rsidRDefault="00F6308C">
            <w:pPr>
              <w:pStyle w:val="TableParagraph"/>
              <w:spacing w:before="26"/>
              <w:ind w:right="90"/>
              <w:rPr>
                <w:sz w:val="20"/>
              </w:rPr>
            </w:pPr>
            <w:r>
              <w:rPr>
                <w:w w:val="95"/>
                <w:sz w:val="20"/>
              </w:rPr>
              <w:t>653.00</w:t>
            </w:r>
          </w:p>
        </w:tc>
        <w:tc>
          <w:tcPr>
            <w:tcW w:w="1406" w:type="dxa"/>
          </w:tcPr>
          <w:p w:rsidR="007C5447" w:rsidRDefault="00F6308C">
            <w:pPr>
              <w:pStyle w:val="TableParagraph"/>
              <w:spacing w:before="26"/>
              <w:ind w:right="89"/>
              <w:rPr>
                <w:sz w:val="20"/>
              </w:rPr>
            </w:pPr>
            <w:r>
              <w:rPr>
                <w:sz w:val="20"/>
              </w:rPr>
              <w:t>3.87</w:t>
            </w:r>
          </w:p>
        </w:tc>
      </w:tr>
      <w:tr w:rsidR="007C5447">
        <w:trPr>
          <w:trHeight w:val="285"/>
        </w:trPr>
        <w:tc>
          <w:tcPr>
            <w:tcW w:w="4815" w:type="dxa"/>
            <w:tcBorders>
              <w:left w:val="single" w:sz="8" w:space="0" w:color="000000"/>
            </w:tcBorders>
          </w:tcPr>
          <w:p w:rsidR="007C5447" w:rsidRDefault="00F6308C">
            <w:pPr>
              <w:pStyle w:val="TableParagraph"/>
              <w:spacing w:before="29"/>
              <w:ind w:left="107"/>
              <w:jc w:val="left"/>
              <w:rPr>
                <w:sz w:val="20"/>
              </w:rPr>
            </w:pPr>
            <w:r>
              <w:rPr>
                <w:sz w:val="20"/>
              </w:rPr>
              <w:t>LANCO Power (Aban co)</w:t>
            </w:r>
          </w:p>
        </w:tc>
        <w:tc>
          <w:tcPr>
            <w:tcW w:w="1586" w:type="dxa"/>
          </w:tcPr>
          <w:p w:rsidR="007C5447" w:rsidRDefault="00F6308C">
            <w:pPr>
              <w:pStyle w:val="TableParagraph"/>
              <w:spacing w:before="29"/>
              <w:ind w:right="95"/>
              <w:rPr>
                <w:sz w:val="20"/>
              </w:rPr>
            </w:pPr>
            <w:r>
              <w:rPr>
                <w:w w:val="95"/>
                <w:sz w:val="20"/>
              </w:rPr>
              <w:t>759.61</w:t>
            </w:r>
          </w:p>
        </w:tc>
        <w:tc>
          <w:tcPr>
            <w:tcW w:w="1584" w:type="dxa"/>
          </w:tcPr>
          <w:p w:rsidR="007C5447" w:rsidRDefault="00F6308C">
            <w:pPr>
              <w:pStyle w:val="TableParagraph"/>
              <w:spacing w:before="29"/>
              <w:ind w:right="92"/>
              <w:rPr>
                <w:sz w:val="20"/>
              </w:rPr>
            </w:pPr>
            <w:r>
              <w:rPr>
                <w:w w:val="95"/>
                <w:sz w:val="20"/>
              </w:rPr>
              <w:t>106.50</w:t>
            </w:r>
          </w:p>
        </w:tc>
        <w:tc>
          <w:tcPr>
            <w:tcW w:w="1586" w:type="dxa"/>
          </w:tcPr>
          <w:p w:rsidR="007C5447" w:rsidRDefault="00F6308C">
            <w:pPr>
              <w:pStyle w:val="TableParagraph"/>
              <w:spacing w:before="29"/>
              <w:ind w:right="94"/>
              <w:rPr>
                <w:sz w:val="20"/>
              </w:rPr>
            </w:pPr>
            <w:r>
              <w:rPr>
                <w:w w:val="95"/>
                <w:sz w:val="20"/>
              </w:rPr>
              <w:t>134.45</w:t>
            </w:r>
          </w:p>
        </w:tc>
        <w:tc>
          <w:tcPr>
            <w:tcW w:w="1584" w:type="dxa"/>
          </w:tcPr>
          <w:p w:rsidR="007C5447" w:rsidRDefault="00F6308C">
            <w:pPr>
              <w:pStyle w:val="TableParagraph"/>
              <w:spacing w:before="29"/>
              <w:ind w:right="91"/>
              <w:rPr>
                <w:sz w:val="20"/>
              </w:rPr>
            </w:pPr>
            <w:r>
              <w:rPr>
                <w:sz w:val="20"/>
              </w:rPr>
              <w:t>1.77</w:t>
            </w:r>
          </w:p>
        </w:tc>
        <w:tc>
          <w:tcPr>
            <w:tcW w:w="1612" w:type="dxa"/>
          </w:tcPr>
          <w:p w:rsidR="007C5447" w:rsidRDefault="00F6308C">
            <w:pPr>
              <w:pStyle w:val="TableParagraph"/>
              <w:spacing w:before="29"/>
              <w:ind w:right="90"/>
              <w:rPr>
                <w:sz w:val="20"/>
              </w:rPr>
            </w:pPr>
            <w:r>
              <w:rPr>
                <w:w w:val="95"/>
                <w:sz w:val="20"/>
              </w:rPr>
              <w:t>240.95</w:t>
            </w:r>
          </w:p>
        </w:tc>
        <w:tc>
          <w:tcPr>
            <w:tcW w:w="1406" w:type="dxa"/>
          </w:tcPr>
          <w:p w:rsidR="007C5447" w:rsidRDefault="00F6308C">
            <w:pPr>
              <w:pStyle w:val="TableParagraph"/>
              <w:spacing w:before="29"/>
              <w:ind w:right="89"/>
              <w:rPr>
                <w:sz w:val="20"/>
              </w:rPr>
            </w:pPr>
            <w:r>
              <w:rPr>
                <w:sz w:val="20"/>
              </w:rPr>
              <w:t>3.17</w:t>
            </w:r>
          </w:p>
        </w:tc>
      </w:tr>
      <w:tr w:rsidR="007C5447">
        <w:trPr>
          <w:trHeight w:val="282"/>
        </w:trPr>
        <w:tc>
          <w:tcPr>
            <w:tcW w:w="4815" w:type="dxa"/>
            <w:tcBorders>
              <w:left w:val="single" w:sz="8" w:space="0" w:color="000000"/>
            </w:tcBorders>
          </w:tcPr>
          <w:p w:rsidR="007C5447" w:rsidRDefault="00F6308C">
            <w:pPr>
              <w:pStyle w:val="TableParagraph"/>
              <w:spacing w:before="26"/>
              <w:ind w:left="107"/>
              <w:jc w:val="left"/>
              <w:rPr>
                <w:sz w:val="20"/>
              </w:rPr>
            </w:pPr>
            <w:r>
              <w:rPr>
                <w:sz w:val="20"/>
              </w:rPr>
              <w:t>Penna</w:t>
            </w:r>
          </w:p>
        </w:tc>
        <w:tc>
          <w:tcPr>
            <w:tcW w:w="1586" w:type="dxa"/>
          </w:tcPr>
          <w:p w:rsidR="007C5447" w:rsidRDefault="00F6308C">
            <w:pPr>
              <w:pStyle w:val="TableParagraph"/>
              <w:spacing w:before="26"/>
              <w:ind w:right="95"/>
              <w:rPr>
                <w:sz w:val="20"/>
              </w:rPr>
            </w:pPr>
            <w:r>
              <w:rPr>
                <w:w w:val="95"/>
                <w:sz w:val="20"/>
              </w:rPr>
              <w:t>359.61</w:t>
            </w:r>
          </w:p>
        </w:tc>
        <w:tc>
          <w:tcPr>
            <w:tcW w:w="1584" w:type="dxa"/>
          </w:tcPr>
          <w:p w:rsidR="007C5447" w:rsidRDefault="00F6308C">
            <w:pPr>
              <w:pStyle w:val="TableParagraph"/>
              <w:spacing w:before="26"/>
              <w:ind w:right="92"/>
              <w:rPr>
                <w:sz w:val="20"/>
              </w:rPr>
            </w:pPr>
            <w:r>
              <w:rPr>
                <w:w w:val="95"/>
                <w:sz w:val="20"/>
              </w:rPr>
              <w:t>56.29</w:t>
            </w:r>
          </w:p>
        </w:tc>
        <w:tc>
          <w:tcPr>
            <w:tcW w:w="1586" w:type="dxa"/>
          </w:tcPr>
          <w:p w:rsidR="007C5447" w:rsidRDefault="00F6308C">
            <w:pPr>
              <w:pStyle w:val="TableParagraph"/>
              <w:spacing w:before="26"/>
              <w:ind w:right="94"/>
              <w:rPr>
                <w:sz w:val="20"/>
              </w:rPr>
            </w:pPr>
            <w:r>
              <w:rPr>
                <w:w w:val="95"/>
                <w:sz w:val="20"/>
              </w:rPr>
              <w:t>64.37</w:t>
            </w:r>
          </w:p>
        </w:tc>
        <w:tc>
          <w:tcPr>
            <w:tcW w:w="1584" w:type="dxa"/>
          </w:tcPr>
          <w:p w:rsidR="007C5447" w:rsidRDefault="00F6308C">
            <w:pPr>
              <w:pStyle w:val="TableParagraph"/>
              <w:spacing w:before="26"/>
              <w:ind w:right="91"/>
              <w:rPr>
                <w:sz w:val="20"/>
              </w:rPr>
            </w:pPr>
            <w:r>
              <w:rPr>
                <w:sz w:val="20"/>
              </w:rPr>
              <w:t>1.79</w:t>
            </w:r>
          </w:p>
        </w:tc>
        <w:tc>
          <w:tcPr>
            <w:tcW w:w="1612" w:type="dxa"/>
          </w:tcPr>
          <w:p w:rsidR="007C5447" w:rsidRDefault="00F6308C">
            <w:pPr>
              <w:pStyle w:val="TableParagraph"/>
              <w:spacing w:before="26"/>
              <w:ind w:right="90"/>
              <w:rPr>
                <w:sz w:val="20"/>
              </w:rPr>
            </w:pPr>
            <w:r>
              <w:rPr>
                <w:w w:val="95"/>
                <w:sz w:val="20"/>
              </w:rPr>
              <w:t>120.66</w:t>
            </w:r>
          </w:p>
        </w:tc>
        <w:tc>
          <w:tcPr>
            <w:tcW w:w="1406" w:type="dxa"/>
          </w:tcPr>
          <w:p w:rsidR="007C5447" w:rsidRDefault="00F6308C">
            <w:pPr>
              <w:pStyle w:val="TableParagraph"/>
              <w:spacing w:before="26"/>
              <w:ind w:right="89"/>
              <w:rPr>
                <w:sz w:val="20"/>
              </w:rPr>
            </w:pPr>
            <w:r>
              <w:rPr>
                <w:sz w:val="20"/>
              </w:rPr>
              <w:t>3.36</w:t>
            </w:r>
          </w:p>
        </w:tc>
      </w:tr>
      <w:tr w:rsidR="007C5447">
        <w:trPr>
          <w:trHeight w:val="311"/>
        </w:trPr>
        <w:tc>
          <w:tcPr>
            <w:tcW w:w="4815" w:type="dxa"/>
            <w:tcBorders>
              <w:left w:val="single" w:sz="8" w:space="0" w:color="000000"/>
            </w:tcBorders>
          </w:tcPr>
          <w:p w:rsidR="007C5447" w:rsidRDefault="00F6308C">
            <w:pPr>
              <w:pStyle w:val="TableParagraph"/>
              <w:spacing w:before="41"/>
              <w:ind w:left="107"/>
              <w:jc w:val="left"/>
              <w:rPr>
                <w:b/>
                <w:sz w:val="20"/>
              </w:rPr>
            </w:pPr>
            <w:r>
              <w:rPr>
                <w:b/>
                <w:sz w:val="20"/>
              </w:rPr>
              <w:t>Total IPP</w:t>
            </w:r>
          </w:p>
        </w:tc>
        <w:tc>
          <w:tcPr>
            <w:tcW w:w="1586" w:type="dxa"/>
          </w:tcPr>
          <w:p w:rsidR="007C5447" w:rsidRDefault="00F6308C">
            <w:pPr>
              <w:pStyle w:val="TableParagraph"/>
              <w:spacing w:before="41"/>
              <w:ind w:right="93"/>
              <w:rPr>
                <w:b/>
                <w:sz w:val="20"/>
              </w:rPr>
            </w:pPr>
            <w:r>
              <w:rPr>
                <w:b/>
                <w:w w:val="95"/>
                <w:sz w:val="20"/>
              </w:rPr>
              <w:t>3,740.21</w:t>
            </w:r>
          </w:p>
        </w:tc>
        <w:tc>
          <w:tcPr>
            <w:tcW w:w="1584" w:type="dxa"/>
          </w:tcPr>
          <w:p w:rsidR="007C5447" w:rsidRDefault="00F6308C">
            <w:pPr>
              <w:pStyle w:val="TableParagraph"/>
              <w:spacing w:before="41"/>
              <w:ind w:right="90"/>
              <w:rPr>
                <w:b/>
                <w:sz w:val="20"/>
              </w:rPr>
            </w:pPr>
            <w:r>
              <w:rPr>
                <w:b/>
                <w:w w:val="95"/>
                <w:sz w:val="20"/>
              </w:rPr>
              <w:t>1,161.62</w:t>
            </w:r>
          </w:p>
        </w:tc>
        <w:tc>
          <w:tcPr>
            <w:tcW w:w="1586" w:type="dxa"/>
          </w:tcPr>
          <w:p w:rsidR="007C5447" w:rsidRDefault="00F6308C">
            <w:pPr>
              <w:pStyle w:val="TableParagraph"/>
              <w:spacing w:before="41"/>
              <w:ind w:right="92"/>
              <w:rPr>
                <w:b/>
                <w:sz w:val="20"/>
              </w:rPr>
            </w:pPr>
            <w:r>
              <w:rPr>
                <w:b/>
                <w:w w:val="95"/>
                <w:sz w:val="20"/>
              </w:rPr>
              <w:t>1,320.45</w:t>
            </w: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88"/>
              <w:rPr>
                <w:b/>
                <w:sz w:val="20"/>
              </w:rPr>
            </w:pPr>
            <w:r>
              <w:rPr>
                <w:b/>
                <w:w w:val="95"/>
                <w:sz w:val="20"/>
              </w:rPr>
              <w:t>2,482.07</w:t>
            </w:r>
          </w:p>
        </w:tc>
        <w:tc>
          <w:tcPr>
            <w:tcW w:w="1406" w:type="dxa"/>
          </w:tcPr>
          <w:p w:rsidR="007C5447" w:rsidRDefault="00F6308C">
            <w:pPr>
              <w:pStyle w:val="TableParagraph"/>
              <w:spacing w:before="41"/>
              <w:ind w:right="89"/>
              <w:rPr>
                <w:b/>
                <w:sz w:val="20"/>
              </w:rPr>
            </w:pPr>
            <w:r>
              <w:rPr>
                <w:b/>
                <w:sz w:val="20"/>
              </w:rPr>
              <w:t>6.64</w:t>
            </w:r>
          </w:p>
        </w:tc>
      </w:tr>
      <w:tr w:rsidR="007C5447">
        <w:trPr>
          <w:trHeight w:val="313"/>
        </w:trPr>
        <w:tc>
          <w:tcPr>
            <w:tcW w:w="4815" w:type="dxa"/>
            <w:tcBorders>
              <w:left w:val="single" w:sz="8" w:space="0" w:color="000000"/>
            </w:tcBorders>
          </w:tcPr>
          <w:p w:rsidR="007C5447" w:rsidRDefault="00F6308C">
            <w:pPr>
              <w:pStyle w:val="TableParagraph"/>
              <w:spacing w:before="43"/>
              <w:ind w:left="107"/>
              <w:jc w:val="left"/>
              <w:rPr>
                <w:b/>
                <w:sz w:val="20"/>
              </w:rPr>
            </w:pPr>
            <w:r>
              <w:rPr>
                <w:b/>
                <w:sz w:val="20"/>
              </w:rPr>
              <w:t>Renewables</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7C5447">
            <w:pPr>
              <w:pStyle w:val="TableParagraph"/>
              <w:jc w:val="left"/>
              <w:rPr>
                <w:sz w:val="20"/>
              </w:rPr>
            </w:pPr>
          </w:p>
        </w:tc>
        <w:tc>
          <w:tcPr>
            <w:tcW w:w="1406" w:type="dxa"/>
          </w:tcPr>
          <w:p w:rsidR="007C5447" w:rsidRDefault="007C5447">
            <w:pPr>
              <w:pStyle w:val="TableParagraph"/>
              <w:jc w:val="left"/>
              <w:rPr>
                <w:sz w:val="20"/>
              </w:rPr>
            </w:pPr>
          </w:p>
        </w:tc>
      </w:tr>
      <w:tr w:rsidR="007C5447">
        <w:trPr>
          <w:trHeight w:val="282"/>
        </w:trPr>
        <w:tc>
          <w:tcPr>
            <w:tcW w:w="4815" w:type="dxa"/>
            <w:tcBorders>
              <w:left w:val="single" w:sz="8" w:space="0" w:color="000000"/>
            </w:tcBorders>
          </w:tcPr>
          <w:p w:rsidR="007C5447" w:rsidRDefault="00F6308C">
            <w:pPr>
              <w:pStyle w:val="TableParagraph"/>
              <w:spacing w:before="26"/>
              <w:ind w:left="107"/>
              <w:jc w:val="left"/>
              <w:rPr>
                <w:sz w:val="20"/>
              </w:rPr>
            </w:pPr>
            <w:r>
              <w:rPr>
                <w:sz w:val="20"/>
              </w:rPr>
              <w:t>Wind</w:t>
            </w:r>
          </w:p>
        </w:tc>
        <w:tc>
          <w:tcPr>
            <w:tcW w:w="1586" w:type="dxa"/>
          </w:tcPr>
          <w:p w:rsidR="007C5447" w:rsidRDefault="00F6308C">
            <w:pPr>
              <w:pStyle w:val="TableParagraph"/>
              <w:spacing w:before="26"/>
              <w:ind w:right="93"/>
              <w:rPr>
                <w:sz w:val="20"/>
              </w:rPr>
            </w:pPr>
            <w:r>
              <w:rPr>
                <w:w w:val="95"/>
                <w:sz w:val="20"/>
              </w:rPr>
              <w:t>5,711.00</w:t>
            </w: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26"/>
              <w:ind w:right="88"/>
              <w:rPr>
                <w:sz w:val="20"/>
              </w:rPr>
            </w:pPr>
            <w:r>
              <w:rPr>
                <w:w w:val="95"/>
                <w:sz w:val="20"/>
              </w:rPr>
              <w:t>1,770.00</w:t>
            </w:r>
          </w:p>
        </w:tc>
        <w:tc>
          <w:tcPr>
            <w:tcW w:w="1406" w:type="dxa"/>
          </w:tcPr>
          <w:p w:rsidR="007C5447" w:rsidRDefault="00F6308C">
            <w:pPr>
              <w:pStyle w:val="TableParagraph"/>
              <w:spacing w:before="26"/>
              <w:ind w:right="89"/>
              <w:rPr>
                <w:sz w:val="20"/>
              </w:rPr>
            </w:pPr>
            <w:r>
              <w:rPr>
                <w:sz w:val="20"/>
              </w:rPr>
              <w:t>3.10</w:t>
            </w:r>
          </w:p>
        </w:tc>
      </w:tr>
      <w:tr w:rsidR="007C5447">
        <w:trPr>
          <w:trHeight w:val="285"/>
        </w:trPr>
        <w:tc>
          <w:tcPr>
            <w:tcW w:w="4815" w:type="dxa"/>
            <w:tcBorders>
              <w:left w:val="single" w:sz="8" w:space="0" w:color="000000"/>
            </w:tcBorders>
          </w:tcPr>
          <w:p w:rsidR="007C5447" w:rsidRDefault="00F6308C">
            <w:pPr>
              <w:pStyle w:val="TableParagraph"/>
              <w:spacing w:before="26"/>
              <w:ind w:left="107"/>
              <w:jc w:val="left"/>
              <w:rPr>
                <w:sz w:val="20"/>
              </w:rPr>
            </w:pPr>
            <w:r>
              <w:rPr>
                <w:sz w:val="20"/>
              </w:rPr>
              <w:t>Biomass</w:t>
            </w:r>
          </w:p>
        </w:tc>
        <w:tc>
          <w:tcPr>
            <w:tcW w:w="1586" w:type="dxa"/>
          </w:tcPr>
          <w:p w:rsidR="007C5447" w:rsidRDefault="00F6308C">
            <w:pPr>
              <w:pStyle w:val="TableParagraph"/>
              <w:spacing w:before="26"/>
              <w:ind w:right="94"/>
              <w:rPr>
                <w:sz w:val="20"/>
              </w:rPr>
            </w:pPr>
            <w:r>
              <w:rPr>
                <w:w w:val="95"/>
                <w:sz w:val="20"/>
              </w:rPr>
              <w:t>72.76</w:t>
            </w: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26"/>
              <w:ind w:right="90"/>
              <w:rPr>
                <w:sz w:val="20"/>
              </w:rPr>
            </w:pPr>
            <w:r>
              <w:rPr>
                <w:w w:val="95"/>
                <w:sz w:val="20"/>
              </w:rPr>
              <w:t>34.00</w:t>
            </w:r>
          </w:p>
        </w:tc>
        <w:tc>
          <w:tcPr>
            <w:tcW w:w="1406" w:type="dxa"/>
          </w:tcPr>
          <w:p w:rsidR="007C5447" w:rsidRDefault="00F6308C">
            <w:pPr>
              <w:pStyle w:val="TableParagraph"/>
              <w:spacing w:before="26"/>
              <w:ind w:right="89"/>
              <w:rPr>
                <w:sz w:val="20"/>
              </w:rPr>
            </w:pPr>
            <w:r>
              <w:rPr>
                <w:sz w:val="20"/>
              </w:rPr>
              <w:t>4.67</w:t>
            </w:r>
          </w:p>
        </w:tc>
      </w:tr>
      <w:tr w:rsidR="007C5447">
        <w:trPr>
          <w:trHeight w:val="283"/>
        </w:trPr>
        <w:tc>
          <w:tcPr>
            <w:tcW w:w="4815" w:type="dxa"/>
            <w:tcBorders>
              <w:left w:val="single" w:sz="8" w:space="0" w:color="000000"/>
            </w:tcBorders>
          </w:tcPr>
          <w:p w:rsidR="007C5447" w:rsidRDefault="00F6308C">
            <w:pPr>
              <w:pStyle w:val="TableParagraph"/>
              <w:spacing w:before="26"/>
              <w:ind w:left="107"/>
              <w:jc w:val="left"/>
              <w:rPr>
                <w:sz w:val="20"/>
              </w:rPr>
            </w:pPr>
            <w:r>
              <w:rPr>
                <w:sz w:val="20"/>
              </w:rPr>
              <w:t>Cogeneration</w:t>
            </w:r>
          </w:p>
        </w:tc>
        <w:tc>
          <w:tcPr>
            <w:tcW w:w="1586" w:type="dxa"/>
          </w:tcPr>
          <w:p w:rsidR="007C5447" w:rsidRDefault="00F6308C">
            <w:pPr>
              <w:pStyle w:val="TableParagraph"/>
              <w:spacing w:before="26"/>
              <w:ind w:right="93"/>
              <w:rPr>
                <w:sz w:val="20"/>
              </w:rPr>
            </w:pPr>
            <w:r>
              <w:rPr>
                <w:w w:val="95"/>
                <w:sz w:val="20"/>
              </w:rPr>
              <w:t>1,284.92</w:t>
            </w: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26"/>
              <w:ind w:right="90"/>
              <w:rPr>
                <w:sz w:val="20"/>
              </w:rPr>
            </w:pPr>
            <w:r>
              <w:rPr>
                <w:w w:val="95"/>
                <w:sz w:val="20"/>
              </w:rPr>
              <w:t>506.00</w:t>
            </w:r>
          </w:p>
        </w:tc>
        <w:tc>
          <w:tcPr>
            <w:tcW w:w="1406" w:type="dxa"/>
          </w:tcPr>
          <w:p w:rsidR="007C5447" w:rsidRDefault="00F6308C">
            <w:pPr>
              <w:pStyle w:val="TableParagraph"/>
              <w:spacing w:before="26"/>
              <w:ind w:right="89"/>
              <w:rPr>
                <w:sz w:val="20"/>
              </w:rPr>
            </w:pPr>
            <w:r>
              <w:rPr>
                <w:sz w:val="20"/>
              </w:rPr>
              <w:t>3.94</w:t>
            </w:r>
          </w:p>
        </w:tc>
      </w:tr>
      <w:tr w:rsidR="007C5447">
        <w:trPr>
          <w:trHeight w:val="285"/>
        </w:trPr>
        <w:tc>
          <w:tcPr>
            <w:tcW w:w="4815" w:type="dxa"/>
            <w:tcBorders>
              <w:left w:val="single" w:sz="8" w:space="0" w:color="000000"/>
            </w:tcBorders>
          </w:tcPr>
          <w:p w:rsidR="007C5447" w:rsidRDefault="00F6308C">
            <w:pPr>
              <w:pStyle w:val="TableParagraph"/>
              <w:spacing w:before="26"/>
              <w:ind w:left="107"/>
              <w:jc w:val="left"/>
              <w:rPr>
                <w:sz w:val="20"/>
              </w:rPr>
            </w:pPr>
            <w:r>
              <w:rPr>
                <w:sz w:val="20"/>
              </w:rPr>
              <w:t>Captive</w:t>
            </w:r>
          </w:p>
        </w:tc>
        <w:tc>
          <w:tcPr>
            <w:tcW w:w="1586" w:type="dxa"/>
          </w:tcPr>
          <w:p w:rsidR="007C5447" w:rsidRDefault="00F6308C">
            <w:pPr>
              <w:pStyle w:val="TableParagraph"/>
              <w:spacing w:before="26"/>
              <w:ind w:right="95"/>
              <w:rPr>
                <w:sz w:val="20"/>
              </w:rPr>
            </w:pPr>
            <w:r>
              <w:rPr>
                <w:w w:val="95"/>
                <w:sz w:val="20"/>
              </w:rPr>
              <w:t>575.00</w:t>
            </w: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26"/>
              <w:ind w:right="90"/>
              <w:rPr>
                <w:sz w:val="20"/>
              </w:rPr>
            </w:pPr>
            <w:r>
              <w:rPr>
                <w:w w:val="95"/>
                <w:sz w:val="20"/>
              </w:rPr>
              <w:t>237.00</w:t>
            </w:r>
          </w:p>
        </w:tc>
        <w:tc>
          <w:tcPr>
            <w:tcW w:w="1406" w:type="dxa"/>
          </w:tcPr>
          <w:p w:rsidR="007C5447" w:rsidRDefault="00F6308C">
            <w:pPr>
              <w:pStyle w:val="TableParagraph"/>
              <w:spacing w:before="26"/>
              <w:ind w:right="89"/>
              <w:rPr>
                <w:sz w:val="20"/>
              </w:rPr>
            </w:pPr>
            <w:r>
              <w:rPr>
                <w:sz w:val="20"/>
              </w:rPr>
              <w:t>4.12</w:t>
            </w:r>
          </w:p>
        </w:tc>
      </w:tr>
      <w:tr w:rsidR="007C5447">
        <w:trPr>
          <w:trHeight w:val="282"/>
        </w:trPr>
        <w:tc>
          <w:tcPr>
            <w:tcW w:w="4815" w:type="dxa"/>
            <w:tcBorders>
              <w:left w:val="single" w:sz="8" w:space="0" w:color="000000"/>
            </w:tcBorders>
          </w:tcPr>
          <w:p w:rsidR="007C5447" w:rsidRDefault="00F6308C">
            <w:pPr>
              <w:pStyle w:val="TableParagraph"/>
              <w:spacing w:before="26"/>
              <w:ind w:left="107"/>
              <w:jc w:val="left"/>
              <w:rPr>
                <w:sz w:val="20"/>
              </w:rPr>
            </w:pPr>
            <w:r>
              <w:rPr>
                <w:sz w:val="20"/>
              </w:rPr>
              <w:t>Solar</w:t>
            </w:r>
          </w:p>
        </w:tc>
        <w:tc>
          <w:tcPr>
            <w:tcW w:w="1586" w:type="dxa"/>
          </w:tcPr>
          <w:p w:rsidR="007C5447" w:rsidRDefault="00F6308C">
            <w:pPr>
              <w:pStyle w:val="TableParagraph"/>
              <w:spacing w:before="26"/>
              <w:ind w:right="94"/>
              <w:rPr>
                <w:sz w:val="20"/>
              </w:rPr>
            </w:pPr>
            <w:r>
              <w:rPr>
                <w:w w:val="95"/>
                <w:sz w:val="20"/>
              </w:rPr>
              <w:t>11.00</w:t>
            </w: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26"/>
              <w:ind w:right="90"/>
              <w:rPr>
                <w:sz w:val="20"/>
              </w:rPr>
            </w:pPr>
            <w:r>
              <w:rPr>
                <w:sz w:val="20"/>
              </w:rPr>
              <w:t>6.00</w:t>
            </w:r>
          </w:p>
        </w:tc>
        <w:tc>
          <w:tcPr>
            <w:tcW w:w="1406" w:type="dxa"/>
          </w:tcPr>
          <w:p w:rsidR="007C5447" w:rsidRDefault="00F6308C">
            <w:pPr>
              <w:pStyle w:val="TableParagraph"/>
              <w:spacing w:before="26"/>
              <w:ind w:right="89"/>
              <w:rPr>
                <w:sz w:val="20"/>
              </w:rPr>
            </w:pPr>
            <w:r>
              <w:rPr>
                <w:sz w:val="20"/>
              </w:rPr>
              <w:t>5.45</w:t>
            </w:r>
          </w:p>
        </w:tc>
      </w:tr>
      <w:tr w:rsidR="007C5447">
        <w:trPr>
          <w:trHeight w:val="311"/>
        </w:trPr>
        <w:tc>
          <w:tcPr>
            <w:tcW w:w="4815" w:type="dxa"/>
            <w:tcBorders>
              <w:left w:val="single" w:sz="8" w:space="0" w:color="000000"/>
            </w:tcBorders>
          </w:tcPr>
          <w:p w:rsidR="007C5447" w:rsidRDefault="00F6308C">
            <w:pPr>
              <w:pStyle w:val="TableParagraph"/>
              <w:spacing w:before="41"/>
              <w:ind w:left="107"/>
              <w:jc w:val="left"/>
              <w:rPr>
                <w:b/>
                <w:sz w:val="20"/>
              </w:rPr>
            </w:pPr>
            <w:r>
              <w:rPr>
                <w:b/>
                <w:sz w:val="20"/>
              </w:rPr>
              <w:t>Total Renewables</w:t>
            </w:r>
          </w:p>
        </w:tc>
        <w:tc>
          <w:tcPr>
            <w:tcW w:w="1586" w:type="dxa"/>
          </w:tcPr>
          <w:p w:rsidR="007C5447" w:rsidRDefault="00F6308C">
            <w:pPr>
              <w:pStyle w:val="TableParagraph"/>
              <w:spacing w:before="41"/>
              <w:ind w:right="93"/>
              <w:rPr>
                <w:b/>
                <w:sz w:val="20"/>
              </w:rPr>
            </w:pPr>
            <w:r>
              <w:rPr>
                <w:b/>
                <w:w w:val="95"/>
                <w:sz w:val="20"/>
              </w:rPr>
              <w:t>7,654.68</w:t>
            </w: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88"/>
              <w:rPr>
                <w:b/>
                <w:sz w:val="20"/>
              </w:rPr>
            </w:pPr>
            <w:r>
              <w:rPr>
                <w:b/>
                <w:w w:val="95"/>
                <w:sz w:val="20"/>
              </w:rPr>
              <w:t>2,553.00</w:t>
            </w:r>
          </w:p>
        </w:tc>
        <w:tc>
          <w:tcPr>
            <w:tcW w:w="1406" w:type="dxa"/>
          </w:tcPr>
          <w:p w:rsidR="007C5447" w:rsidRDefault="00F6308C">
            <w:pPr>
              <w:pStyle w:val="TableParagraph"/>
              <w:spacing w:before="41"/>
              <w:ind w:right="89"/>
              <w:rPr>
                <w:b/>
                <w:sz w:val="20"/>
              </w:rPr>
            </w:pPr>
            <w:r>
              <w:rPr>
                <w:b/>
                <w:sz w:val="20"/>
              </w:rPr>
              <w:t>3.34</w:t>
            </w:r>
          </w:p>
        </w:tc>
      </w:tr>
    </w:tbl>
    <w:p w:rsidR="007C5447" w:rsidRDefault="007C5447">
      <w:pPr>
        <w:rPr>
          <w:sz w:val="20"/>
        </w:rPr>
        <w:sectPr w:rsidR="007C5447">
          <w:pgSz w:w="16840" w:h="11910" w:orient="landscape"/>
          <w:pgMar w:top="1100" w:right="1220" w:bottom="960" w:left="1220" w:header="0" w:footer="777" w:gutter="0"/>
          <w:cols w:space="720"/>
        </w:sectPr>
      </w:pPr>
    </w:p>
    <w:p w:rsidR="007C5447" w:rsidRDefault="007C5447">
      <w:pPr>
        <w:pStyle w:val="BodyText"/>
        <w:spacing w:before="3"/>
        <w:rPr>
          <w:sz w:val="2"/>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15"/>
        <w:gridCol w:w="1586"/>
        <w:gridCol w:w="1584"/>
        <w:gridCol w:w="1586"/>
        <w:gridCol w:w="1584"/>
        <w:gridCol w:w="1612"/>
        <w:gridCol w:w="1406"/>
      </w:tblGrid>
      <w:tr w:rsidR="007C5447">
        <w:trPr>
          <w:trHeight w:val="314"/>
        </w:trPr>
        <w:tc>
          <w:tcPr>
            <w:tcW w:w="4815" w:type="dxa"/>
            <w:vMerge w:val="restart"/>
            <w:shd w:val="clear" w:color="auto" w:fill="FBD4B4"/>
          </w:tcPr>
          <w:p w:rsidR="007C5447" w:rsidRDefault="007C5447">
            <w:pPr>
              <w:pStyle w:val="TableParagraph"/>
              <w:spacing w:before="6"/>
              <w:jc w:val="left"/>
              <w:rPr>
                <w:sz w:val="25"/>
              </w:rPr>
            </w:pPr>
          </w:p>
          <w:p w:rsidR="007C5447" w:rsidRDefault="00F6308C">
            <w:pPr>
              <w:pStyle w:val="TableParagraph"/>
              <w:ind w:left="1764" w:right="1749"/>
              <w:jc w:val="center"/>
              <w:rPr>
                <w:b/>
                <w:sz w:val="20"/>
              </w:rPr>
            </w:pPr>
            <w:r>
              <w:rPr>
                <w:b/>
                <w:sz w:val="20"/>
              </w:rPr>
              <w:t>Source</w:t>
            </w:r>
          </w:p>
        </w:tc>
        <w:tc>
          <w:tcPr>
            <w:tcW w:w="9358" w:type="dxa"/>
            <w:gridSpan w:val="6"/>
            <w:shd w:val="clear" w:color="auto" w:fill="FBD4B4"/>
          </w:tcPr>
          <w:p w:rsidR="007C5447" w:rsidRDefault="00F6308C">
            <w:pPr>
              <w:pStyle w:val="TableParagraph"/>
              <w:spacing w:before="68" w:line="227" w:lineRule="exact"/>
              <w:ind w:left="4174" w:right="4149"/>
              <w:jc w:val="center"/>
              <w:rPr>
                <w:b/>
                <w:sz w:val="20"/>
              </w:rPr>
            </w:pPr>
            <w:r>
              <w:rPr>
                <w:b/>
                <w:sz w:val="20"/>
              </w:rPr>
              <w:t>FY 2011-12</w:t>
            </w:r>
          </w:p>
        </w:tc>
      </w:tr>
      <w:tr w:rsidR="007C5447">
        <w:trPr>
          <w:trHeight w:val="489"/>
        </w:trPr>
        <w:tc>
          <w:tcPr>
            <w:tcW w:w="4815" w:type="dxa"/>
            <w:vMerge/>
            <w:tcBorders>
              <w:top w:val="nil"/>
            </w:tcBorders>
            <w:shd w:val="clear" w:color="auto" w:fill="FBD4B4"/>
          </w:tcPr>
          <w:p w:rsidR="007C5447" w:rsidRDefault="007C5447">
            <w:pPr>
              <w:rPr>
                <w:sz w:val="2"/>
                <w:szCs w:val="2"/>
              </w:rPr>
            </w:pPr>
          </w:p>
        </w:tc>
        <w:tc>
          <w:tcPr>
            <w:tcW w:w="1586" w:type="dxa"/>
            <w:shd w:val="clear" w:color="auto" w:fill="FBD4B4"/>
          </w:tcPr>
          <w:p w:rsidR="007C5447" w:rsidRDefault="00F6308C">
            <w:pPr>
              <w:pStyle w:val="TableParagraph"/>
              <w:spacing w:before="130"/>
              <w:ind w:right="107"/>
              <w:rPr>
                <w:b/>
                <w:sz w:val="20"/>
              </w:rPr>
            </w:pPr>
            <w:r>
              <w:rPr>
                <w:b/>
                <w:sz w:val="20"/>
              </w:rPr>
              <w:t>Quantum (MU)</w:t>
            </w:r>
          </w:p>
        </w:tc>
        <w:tc>
          <w:tcPr>
            <w:tcW w:w="1584" w:type="dxa"/>
            <w:shd w:val="clear" w:color="auto" w:fill="FBD4B4"/>
          </w:tcPr>
          <w:p w:rsidR="007C5447" w:rsidRDefault="00F6308C">
            <w:pPr>
              <w:pStyle w:val="TableParagraph"/>
              <w:spacing w:before="14" w:line="230" w:lineRule="atLeast"/>
              <w:ind w:left="427" w:right="138" w:hanging="250"/>
              <w:jc w:val="left"/>
              <w:rPr>
                <w:b/>
                <w:sz w:val="20"/>
              </w:rPr>
            </w:pPr>
            <w:r>
              <w:rPr>
                <w:b/>
                <w:sz w:val="20"/>
              </w:rPr>
              <w:t>Fixed Charges (Rs. Cr.)</w:t>
            </w:r>
          </w:p>
        </w:tc>
        <w:tc>
          <w:tcPr>
            <w:tcW w:w="1586" w:type="dxa"/>
            <w:shd w:val="clear" w:color="auto" w:fill="FBD4B4"/>
          </w:tcPr>
          <w:p w:rsidR="007C5447" w:rsidRDefault="00F6308C">
            <w:pPr>
              <w:pStyle w:val="TableParagraph"/>
              <w:spacing w:before="14" w:line="230" w:lineRule="atLeast"/>
              <w:ind w:left="339" w:right="106" w:hanging="195"/>
              <w:jc w:val="left"/>
              <w:rPr>
                <w:b/>
                <w:sz w:val="20"/>
              </w:rPr>
            </w:pPr>
            <w:r>
              <w:rPr>
                <w:b/>
                <w:sz w:val="20"/>
              </w:rPr>
              <w:t>Energy Charge (Rs. Crore)</w:t>
            </w:r>
          </w:p>
        </w:tc>
        <w:tc>
          <w:tcPr>
            <w:tcW w:w="1584" w:type="dxa"/>
            <w:shd w:val="clear" w:color="auto" w:fill="FBD4B4"/>
          </w:tcPr>
          <w:p w:rsidR="007C5447" w:rsidRDefault="00F6308C">
            <w:pPr>
              <w:pStyle w:val="TableParagraph"/>
              <w:spacing w:before="14" w:line="230" w:lineRule="atLeast"/>
              <w:ind w:left="378" w:right="103" w:hanging="233"/>
              <w:jc w:val="left"/>
              <w:rPr>
                <w:b/>
                <w:sz w:val="20"/>
              </w:rPr>
            </w:pPr>
            <w:r>
              <w:rPr>
                <w:b/>
                <w:sz w:val="20"/>
              </w:rPr>
              <w:t>Energy Charge (Rs./Unit)</w:t>
            </w:r>
          </w:p>
        </w:tc>
        <w:tc>
          <w:tcPr>
            <w:tcW w:w="1612" w:type="dxa"/>
            <w:shd w:val="clear" w:color="auto" w:fill="FBD4B4"/>
          </w:tcPr>
          <w:p w:rsidR="007C5447" w:rsidRDefault="00F6308C">
            <w:pPr>
              <w:pStyle w:val="TableParagraph"/>
              <w:spacing w:before="14" w:line="230" w:lineRule="atLeast"/>
              <w:ind w:left="467" w:right="324" w:hanging="104"/>
              <w:jc w:val="left"/>
              <w:rPr>
                <w:b/>
                <w:sz w:val="20"/>
              </w:rPr>
            </w:pPr>
            <w:r>
              <w:rPr>
                <w:b/>
                <w:sz w:val="20"/>
              </w:rPr>
              <w:t>Total Cost (Rs. Cr)</w:t>
            </w:r>
          </w:p>
        </w:tc>
        <w:tc>
          <w:tcPr>
            <w:tcW w:w="1406" w:type="dxa"/>
            <w:shd w:val="clear" w:color="auto" w:fill="FBD4B4"/>
          </w:tcPr>
          <w:p w:rsidR="007C5447" w:rsidRDefault="00F6308C">
            <w:pPr>
              <w:pStyle w:val="TableParagraph"/>
              <w:spacing w:before="14" w:line="230" w:lineRule="atLeast"/>
              <w:ind w:left="293" w:firstLine="216"/>
              <w:jc w:val="left"/>
              <w:rPr>
                <w:b/>
                <w:sz w:val="20"/>
              </w:rPr>
            </w:pPr>
            <w:r>
              <w:rPr>
                <w:b/>
                <w:sz w:val="20"/>
              </w:rPr>
              <w:t xml:space="preserve">Rate </w:t>
            </w:r>
            <w:r>
              <w:rPr>
                <w:b/>
                <w:w w:val="95"/>
                <w:sz w:val="20"/>
              </w:rPr>
              <w:t>(Rs/kWh)</w:t>
            </w:r>
          </w:p>
        </w:tc>
      </w:tr>
      <w:tr w:rsidR="007C5447">
        <w:trPr>
          <w:trHeight w:val="311"/>
        </w:trPr>
        <w:tc>
          <w:tcPr>
            <w:tcW w:w="4815" w:type="dxa"/>
            <w:tcBorders>
              <w:left w:val="single" w:sz="8" w:space="0" w:color="000000"/>
            </w:tcBorders>
          </w:tcPr>
          <w:p w:rsidR="007C5447" w:rsidRDefault="00F6308C">
            <w:pPr>
              <w:pStyle w:val="TableParagraph"/>
              <w:spacing w:before="41"/>
              <w:ind w:left="107"/>
              <w:jc w:val="left"/>
              <w:rPr>
                <w:b/>
                <w:sz w:val="20"/>
              </w:rPr>
            </w:pPr>
            <w:r>
              <w:rPr>
                <w:b/>
                <w:sz w:val="20"/>
              </w:rPr>
              <w:t>Other Sources</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7C5447">
            <w:pPr>
              <w:pStyle w:val="TableParagraph"/>
              <w:jc w:val="left"/>
              <w:rPr>
                <w:sz w:val="20"/>
              </w:rPr>
            </w:pPr>
          </w:p>
        </w:tc>
        <w:tc>
          <w:tcPr>
            <w:tcW w:w="1406" w:type="dxa"/>
          </w:tcPr>
          <w:p w:rsidR="007C5447" w:rsidRDefault="007C5447">
            <w:pPr>
              <w:pStyle w:val="TableParagraph"/>
              <w:jc w:val="left"/>
              <w:rPr>
                <w:sz w:val="20"/>
              </w:rPr>
            </w:pPr>
          </w:p>
        </w:tc>
      </w:tr>
      <w:tr w:rsidR="007C5447">
        <w:trPr>
          <w:trHeight w:val="285"/>
        </w:trPr>
        <w:tc>
          <w:tcPr>
            <w:tcW w:w="4815" w:type="dxa"/>
            <w:tcBorders>
              <w:left w:val="single" w:sz="8" w:space="0" w:color="000000"/>
            </w:tcBorders>
          </w:tcPr>
          <w:p w:rsidR="007C5447" w:rsidRDefault="00F6308C">
            <w:pPr>
              <w:pStyle w:val="TableParagraph"/>
              <w:spacing w:before="26"/>
              <w:ind w:left="107"/>
              <w:jc w:val="left"/>
              <w:rPr>
                <w:sz w:val="20"/>
              </w:rPr>
            </w:pPr>
            <w:r>
              <w:rPr>
                <w:sz w:val="20"/>
              </w:rPr>
              <w:t>Trading - Bilateral &amp; Exchange</w:t>
            </w:r>
          </w:p>
        </w:tc>
        <w:tc>
          <w:tcPr>
            <w:tcW w:w="1586" w:type="dxa"/>
          </w:tcPr>
          <w:p w:rsidR="007C5447" w:rsidRDefault="00F6308C">
            <w:pPr>
              <w:pStyle w:val="TableParagraph"/>
              <w:spacing w:before="26"/>
              <w:ind w:right="93"/>
              <w:rPr>
                <w:sz w:val="20"/>
              </w:rPr>
            </w:pPr>
            <w:r>
              <w:rPr>
                <w:w w:val="95"/>
                <w:sz w:val="20"/>
              </w:rPr>
              <w:t>6,900.00</w:t>
            </w: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26"/>
              <w:ind w:right="88"/>
              <w:rPr>
                <w:sz w:val="20"/>
              </w:rPr>
            </w:pPr>
            <w:r>
              <w:rPr>
                <w:w w:val="95"/>
                <w:sz w:val="20"/>
              </w:rPr>
              <w:t>3,292.00</w:t>
            </w:r>
          </w:p>
        </w:tc>
        <w:tc>
          <w:tcPr>
            <w:tcW w:w="1406" w:type="dxa"/>
          </w:tcPr>
          <w:p w:rsidR="007C5447" w:rsidRDefault="00F6308C">
            <w:pPr>
              <w:pStyle w:val="TableParagraph"/>
              <w:spacing w:before="26"/>
              <w:ind w:right="89"/>
              <w:rPr>
                <w:sz w:val="20"/>
              </w:rPr>
            </w:pPr>
            <w:r>
              <w:rPr>
                <w:sz w:val="20"/>
              </w:rPr>
              <w:t>4.77</w:t>
            </w:r>
          </w:p>
        </w:tc>
      </w:tr>
      <w:tr w:rsidR="007C5447">
        <w:trPr>
          <w:trHeight w:val="282"/>
        </w:trPr>
        <w:tc>
          <w:tcPr>
            <w:tcW w:w="4815" w:type="dxa"/>
            <w:tcBorders>
              <w:left w:val="single" w:sz="8" w:space="0" w:color="000000"/>
            </w:tcBorders>
          </w:tcPr>
          <w:p w:rsidR="007C5447" w:rsidRDefault="00F6308C">
            <w:pPr>
              <w:pStyle w:val="TableParagraph"/>
              <w:spacing w:before="26"/>
              <w:ind w:left="107"/>
              <w:jc w:val="left"/>
              <w:rPr>
                <w:sz w:val="20"/>
              </w:rPr>
            </w:pPr>
            <w:r>
              <w:rPr>
                <w:sz w:val="20"/>
              </w:rPr>
              <w:t>UI</w:t>
            </w:r>
          </w:p>
        </w:tc>
        <w:tc>
          <w:tcPr>
            <w:tcW w:w="1586" w:type="dxa"/>
          </w:tcPr>
          <w:p w:rsidR="007C5447" w:rsidRDefault="00F6308C">
            <w:pPr>
              <w:pStyle w:val="TableParagraph"/>
              <w:spacing w:before="26"/>
              <w:ind w:right="95"/>
              <w:rPr>
                <w:sz w:val="20"/>
              </w:rPr>
            </w:pPr>
            <w:r>
              <w:rPr>
                <w:w w:val="95"/>
                <w:sz w:val="20"/>
              </w:rPr>
              <w:t>718.00</w:t>
            </w: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26"/>
              <w:ind w:right="90"/>
              <w:rPr>
                <w:sz w:val="20"/>
              </w:rPr>
            </w:pPr>
            <w:r>
              <w:rPr>
                <w:w w:val="95"/>
                <w:sz w:val="20"/>
              </w:rPr>
              <w:t>327.04</w:t>
            </w:r>
          </w:p>
        </w:tc>
        <w:tc>
          <w:tcPr>
            <w:tcW w:w="1406" w:type="dxa"/>
          </w:tcPr>
          <w:p w:rsidR="007C5447" w:rsidRDefault="00F6308C">
            <w:pPr>
              <w:pStyle w:val="TableParagraph"/>
              <w:spacing w:before="26"/>
              <w:ind w:right="89"/>
              <w:rPr>
                <w:sz w:val="20"/>
              </w:rPr>
            </w:pPr>
            <w:r>
              <w:rPr>
                <w:sz w:val="20"/>
              </w:rPr>
              <w:t>4.55</w:t>
            </w:r>
          </w:p>
        </w:tc>
      </w:tr>
      <w:tr w:rsidR="007C5447">
        <w:trPr>
          <w:trHeight w:val="285"/>
        </w:trPr>
        <w:tc>
          <w:tcPr>
            <w:tcW w:w="4815" w:type="dxa"/>
            <w:tcBorders>
              <w:left w:val="single" w:sz="8" w:space="0" w:color="000000"/>
            </w:tcBorders>
          </w:tcPr>
          <w:p w:rsidR="007C5447" w:rsidRDefault="00F6308C">
            <w:pPr>
              <w:pStyle w:val="TableParagraph"/>
              <w:spacing w:before="26"/>
              <w:ind w:left="107"/>
              <w:jc w:val="left"/>
              <w:rPr>
                <w:sz w:val="20"/>
              </w:rPr>
            </w:pPr>
            <w:r>
              <w:rPr>
                <w:sz w:val="20"/>
              </w:rPr>
              <w:t>STOA</w:t>
            </w:r>
          </w:p>
        </w:tc>
        <w:tc>
          <w:tcPr>
            <w:tcW w:w="1586" w:type="dxa"/>
          </w:tcPr>
          <w:p w:rsidR="007C5447" w:rsidRDefault="00F6308C">
            <w:pPr>
              <w:pStyle w:val="TableParagraph"/>
              <w:spacing w:before="26"/>
              <w:ind w:right="93"/>
              <w:rPr>
                <w:sz w:val="20"/>
              </w:rPr>
            </w:pPr>
            <w:r>
              <w:rPr>
                <w:w w:val="95"/>
                <w:sz w:val="20"/>
              </w:rPr>
              <w:t>2,203.00</w:t>
            </w: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26"/>
              <w:ind w:right="90"/>
              <w:rPr>
                <w:sz w:val="20"/>
              </w:rPr>
            </w:pPr>
            <w:r>
              <w:rPr>
                <w:w w:val="95"/>
                <w:sz w:val="20"/>
              </w:rPr>
              <w:t>983.00</w:t>
            </w:r>
          </w:p>
        </w:tc>
        <w:tc>
          <w:tcPr>
            <w:tcW w:w="1406" w:type="dxa"/>
          </w:tcPr>
          <w:p w:rsidR="007C5447" w:rsidRDefault="00F6308C">
            <w:pPr>
              <w:pStyle w:val="TableParagraph"/>
              <w:spacing w:before="26"/>
              <w:ind w:right="89"/>
              <w:rPr>
                <w:sz w:val="20"/>
              </w:rPr>
            </w:pPr>
            <w:r>
              <w:rPr>
                <w:sz w:val="20"/>
              </w:rPr>
              <w:t>4.46</w:t>
            </w:r>
          </w:p>
        </w:tc>
      </w:tr>
      <w:tr w:rsidR="007C5447">
        <w:trPr>
          <w:trHeight w:val="311"/>
        </w:trPr>
        <w:tc>
          <w:tcPr>
            <w:tcW w:w="4815" w:type="dxa"/>
            <w:tcBorders>
              <w:left w:val="single" w:sz="8" w:space="0" w:color="000000"/>
            </w:tcBorders>
          </w:tcPr>
          <w:p w:rsidR="007C5447" w:rsidRDefault="00F6308C">
            <w:pPr>
              <w:pStyle w:val="TableParagraph"/>
              <w:spacing w:before="41"/>
              <w:ind w:left="107"/>
              <w:jc w:val="left"/>
              <w:rPr>
                <w:b/>
                <w:sz w:val="20"/>
              </w:rPr>
            </w:pPr>
            <w:r>
              <w:rPr>
                <w:b/>
                <w:sz w:val="20"/>
              </w:rPr>
              <w:t>Total Other Sources</w:t>
            </w:r>
          </w:p>
        </w:tc>
        <w:tc>
          <w:tcPr>
            <w:tcW w:w="1586" w:type="dxa"/>
          </w:tcPr>
          <w:p w:rsidR="007C5447" w:rsidRDefault="00F6308C">
            <w:pPr>
              <w:pStyle w:val="TableParagraph"/>
              <w:spacing w:before="41"/>
              <w:ind w:right="93"/>
              <w:rPr>
                <w:b/>
                <w:sz w:val="20"/>
              </w:rPr>
            </w:pPr>
            <w:r>
              <w:rPr>
                <w:b/>
                <w:w w:val="95"/>
                <w:sz w:val="20"/>
              </w:rPr>
              <w:t>9,821.00</w:t>
            </w: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88"/>
              <w:rPr>
                <w:b/>
                <w:sz w:val="20"/>
              </w:rPr>
            </w:pPr>
            <w:r>
              <w:rPr>
                <w:b/>
                <w:w w:val="95"/>
                <w:sz w:val="20"/>
              </w:rPr>
              <w:t>4,602.04</w:t>
            </w:r>
          </w:p>
        </w:tc>
        <w:tc>
          <w:tcPr>
            <w:tcW w:w="1406" w:type="dxa"/>
          </w:tcPr>
          <w:p w:rsidR="007C5447" w:rsidRDefault="00F6308C">
            <w:pPr>
              <w:pStyle w:val="TableParagraph"/>
              <w:spacing w:before="41"/>
              <w:ind w:right="89"/>
              <w:rPr>
                <w:b/>
                <w:sz w:val="20"/>
              </w:rPr>
            </w:pPr>
            <w:r>
              <w:rPr>
                <w:b/>
                <w:sz w:val="20"/>
              </w:rPr>
              <w:t>4.69</w:t>
            </w:r>
          </w:p>
        </w:tc>
      </w:tr>
      <w:tr w:rsidR="007C5447">
        <w:trPr>
          <w:trHeight w:val="312"/>
        </w:trPr>
        <w:tc>
          <w:tcPr>
            <w:tcW w:w="4815" w:type="dxa"/>
            <w:tcBorders>
              <w:left w:val="single" w:sz="8" w:space="0" w:color="000000"/>
            </w:tcBorders>
          </w:tcPr>
          <w:p w:rsidR="007C5447" w:rsidRDefault="00F6308C">
            <w:pPr>
              <w:pStyle w:val="TableParagraph"/>
              <w:spacing w:before="41"/>
              <w:ind w:left="107"/>
              <w:jc w:val="left"/>
              <w:rPr>
                <w:b/>
                <w:sz w:val="20"/>
              </w:rPr>
            </w:pPr>
            <w:r>
              <w:rPr>
                <w:b/>
                <w:sz w:val="20"/>
              </w:rPr>
              <w:t>Gross Power Purchase</w:t>
            </w:r>
          </w:p>
        </w:tc>
        <w:tc>
          <w:tcPr>
            <w:tcW w:w="1586" w:type="dxa"/>
          </w:tcPr>
          <w:p w:rsidR="007C5447" w:rsidRDefault="00F6308C">
            <w:pPr>
              <w:pStyle w:val="TableParagraph"/>
              <w:spacing w:before="41"/>
              <w:ind w:right="95"/>
              <w:rPr>
                <w:b/>
                <w:sz w:val="20"/>
              </w:rPr>
            </w:pPr>
            <w:r>
              <w:rPr>
                <w:b/>
                <w:w w:val="95"/>
                <w:sz w:val="20"/>
              </w:rPr>
              <w:t>66,608.70</w:t>
            </w: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90"/>
              <w:rPr>
                <w:b/>
                <w:sz w:val="20"/>
              </w:rPr>
            </w:pPr>
            <w:r>
              <w:rPr>
                <w:b/>
                <w:w w:val="95"/>
                <w:sz w:val="20"/>
              </w:rPr>
              <w:t>21,474.96</w:t>
            </w:r>
          </w:p>
        </w:tc>
        <w:tc>
          <w:tcPr>
            <w:tcW w:w="1406" w:type="dxa"/>
          </w:tcPr>
          <w:p w:rsidR="007C5447" w:rsidRDefault="00F6308C">
            <w:pPr>
              <w:pStyle w:val="TableParagraph"/>
              <w:spacing w:before="41"/>
              <w:ind w:right="89"/>
              <w:rPr>
                <w:b/>
                <w:sz w:val="20"/>
              </w:rPr>
            </w:pPr>
            <w:r>
              <w:rPr>
                <w:b/>
                <w:sz w:val="20"/>
              </w:rPr>
              <w:t>3.18</w:t>
            </w:r>
          </w:p>
        </w:tc>
      </w:tr>
      <w:tr w:rsidR="007C5447">
        <w:trPr>
          <w:trHeight w:val="311"/>
        </w:trPr>
        <w:tc>
          <w:tcPr>
            <w:tcW w:w="4815" w:type="dxa"/>
            <w:tcBorders>
              <w:left w:val="single" w:sz="8" w:space="0" w:color="000000"/>
            </w:tcBorders>
          </w:tcPr>
          <w:p w:rsidR="007C5447" w:rsidRDefault="00F6308C">
            <w:pPr>
              <w:pStyle w:val="TableParagraph"/>
              <w:spacing w:before="41"/>
              <w:ind w:left="107"/>
              <w:jc w:val="left"/>
              <w:rPr>
                <w:b/>
                <w:sz w:val="20"/>
              </w:rPr>
            </w:pPr>
            <w:r>
              <w:rPr>
                <w:b/>
                <w:sz w:val="20"/>
              </w:rPr>
              <w:t>PGCIL Charges</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7C5447">
            <w:pPr>
              <w:pStyle w:val="TableParagraph"/>
              <w:jc w:val="left"/>
              <w:rPr>
                <w:sz w:val="20"/>
              </w:rPr>
            </w:pPr>
          </w:p>
        </w:tc>
        <w:tc>
          <w:tcPr>
            <w:tcW w:w="1406" w:type="dxa"/>
          </w:tcPr>
          <w:p w:rsidR="007C5447" w:rsidRDefault="007C5447">
            <w:pPr>
              <w:pStyle w:val="TableParagraph"/>
              <w:jc w:val="left"/>
              <w:rPr>
                <w:sz w:val="20"/>
              </w:rPr>
            </w:pPr>
          </w:p>
        </w:tc>
      </w:tr>
      <w:tr w:rsidR="007C5447">
        <w:trPr>
          <w:trHeight w:val="311"/>
        </w:trPr>
        <w:tc>
          <w:tcPr>
            <w:tcW w:w="4815" w:type="dxa"/>
            <w:tcBorders>
              <w:left w:val="single" w:sz="8" w:space="0" w:color="000000"/>
            </w:tcBorders>
          </w:tcPr>
          <w:p w:rsidR="007C5447" w:rsidRDefault="00F6308C">
            <w:pPr>
              <w:pStyle w:val="TableParagraph"/>
              <w:spacing w:before="41"/>
              <w:ind w:left="107"/>
              <w:jc w:val="left"/>
              <w:rPr>
                <w:i/>
                <w:sz w:val="20"/>
              </w:rPr>
            </w:pPr>
            <w:r>
              <w:rPr>
                <w:i/>
                <w:sz w:val="20"/>
              </w:rPr>
              <w:t>PGCIL SR and ER wheeling</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90"/>
              <w:rPr>
                <w:sz w:val="20"/>
              </w:rPr>
            </w:pPr>
            <w:r>
              <w:rPr>
                <w:w w:val="95"/>
                <w:sz w:val="20"/>
              </w:rPr>
              <w:t>330.00</w:t>
            </w:r>
          </w:p>
        </w:tc>
        <w:tc>
          <w:tcPr>
            <w:tcW w:w="1406" w:type="dxa"/>
          </w:tcPr>
          <w:p w:rsidR="007C5447" w:rsidRDefault="007C5447">
            <w:pPr>
              <w:pStyle w:val="TableParagraph"/>
              <w:jc w:val="left"/>
              <w:rPr>
                <w:sz w:val="20"/>
              </w:rPr>
            </w:pPr>
          </w:p>
        </w:tc>
      </w:tr>
      <w:tr w:rsidR="007C5447">
        <w:trPr>
          <w:trHeight w:val="311"/>
        </w:trPr>
        <w:tc>
          <w:tcPr>
            <w:tcW w:w="4815" w:type="dxa"/>
            <w:tcBorders>
              <w:left w:val="single" w:sz="8" w:space="0" w:color="000000"/>
            </w:tcBorders>
          </w:tcPr>
          <w:p w:rsidR="007C5447" w:rsidRDefault="00F6308C">
            <w:pPr>
              <w:pStyle w:val="TableParagraph"/>
              <w:spacing w:before="41"/>
              <w:ind w:left="107"/>
              <w:jc w:val="left"/>
              <w:rPr>
                <w:i/>
                <w:sz w:val="20"/>
              </w:rPr>
            </w:pPr>
            <w:r>
              <w:rPr>
                <w:i/>
                <w:sz w:val="20"/>
              </w:rPr>
              <w:t>PGCIL- Reactive energy</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7C5447">
            <w:pPr>
              <w:pStyle w:val="TableParagraph"/>
              <w:jc w:val="left"/>
              <w:rPr>
                <w:sz w:val="20"/>
              </w:rPr>
            </w:pPr>
          </w:p>
        </w:tc>
        <w:tc>
          <w:tcPr>
            <w:tcW w:w="1406" w:type="dxa"/>
          </w:tcPr>
          <w:p w:rsidR="007C5447" w:rsidRDefault="007C5447">
            <w:pPr>
              <w:pStyle w:val="TableParagraph"/>
              <w:jc w:val="left"/>
              <w:rPr>
                <w:sz w:val="20"/>
              </w:rPr>
            </w:pPr>
          </w:p>
        </w:tc>
      </w:tr>
      <w:tr w:rsidR="007C5447">
        <w:trPr>
          <w:trHeight w:val="314"/>
        </w:trPr>
        <w:tc>
          <w:tcPr>
            <w:tcW w:w="4815" w:type="dxa"/>
            <w:tcBorders>
              <w:left w:val="single" w:sz="8" w:space="0" w:color="000000"/>
            </w:tcBorders>
          </w:tcPr>
          <w:p w:rsidR="007C5447" w:rsidRDefault="00F6308C">
            <w:pPr>
              <w:pStyle w:val="TableParagraph"/>
              <w:spacing w:before="43"/>
              <w:ind w:left="107"/>
              <w:jc w:val="left"/>
              <w:rPr>
                <w:b/>
                <w:sz w:val="20"/>
              </w:rPr>
            </w:pPr>
            <w:r>
              <w:rPr>
                <w:b/>
                <w:sz w:val="20"/>
              </w:rPr>
              <w:t>Total PGCIL charges</w:t>
            </w:r>
          </w:p>
        </w:tc>
        <w:tc>
          <w:tcPr>
            <w:tcW w:w="1586" w:type="dxa"/>
          </w:tcPr>
          <w:p w:rsidR="007C5447" w:rsidRDefault="00F6308C">
            <w:pPr>
              <w:pStyle w:val="TableParagraph"/>
              <w:spacing w:before="43"/>
              <w:ind w:right="93"/>
              <w:rPr>
                <w:b/>
                <w:sz w:val="20"/>
              </w:rPr>
            </w:pPr>
            <w:r>
              <w:rPr>
                <w:b/>
                <w:w w:val="99"/>
                <w:sz w:val="20"/>
              </w:rPr>
              <w:t>-</w:t>
            </w: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3"/>
              <w:ind w:right="90"/>
              <w:rPr>
                <w:b/>
                <w:sz w:val="20"/>
              </w:rPr>
            </w:pPr>
            <w:r>
              <w:rPr>
                <w:b/>
                <w:w w:val="95"/>
                <w:sz w:val="20"/>
              </w:rPr>
              <w:t>330.00</w:t>
            </w:r>
          </w:p>
        </w:tc>
        <w:tc>
          <w:tcPr>
            <w:tcW w:w="1406" w:type="dxa"/>
          </w:tcPr>
          <w:p w:rsidR="007C5447" w:rsidRDefault="007C5447">
            <w:pPr>
              <w:pStyle w:val="TableParagraph"/>
              <w:jc w:val="left"/>
              <w:rPr>
                <w:sz w:val="20"/>
              </w:rPr>
            </w:pPr>
          </w:p>
        </w:tc>
      </w:tr>
      <w:tr w:rsidR="007C5447">
        <w:trPr>
          <w:trHeight w:val="311"/>
        </w:trPr>
        <w:tc>
          <w:tcPr>
            <w:tcW w:w="4815" w:type="dxa"/>
            <w:tcBorders>
              <w:left w:val="single" w:sz="8" w:space="0" w:color="000000"/>
            </w:tcBorders>
          </w:tcPr>
          <w:p w:rsidR="007C5447" w:rsidRDefault="00F6308C">
            <w:pPr>
              <w:pStyle w:val="TableParagraph"/>
              <w:spacing w:before="41"/>
              <w:ind w:left="107"/>
              <w:jc w:val="left"/>
              <w:rPr>
                <w:b/>
                <w:sz w:val="20"/>
              </w:rPr>
            </w:pPr>
            <w:r>
              <w:rPr>
                <w:b/>
                <w:sz w:val="20"/>
              </w:rPr>
              <w:t>TANTRANSCO Charges</w:t>
            </w: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88"/>
              <w:rPr>
                <w:b/>
                <w:sz w:val="20"/>
              </w:rPr>
            </w:pPr>
            <w:r>
              <w:rPr>
                <w:b/>
                <w:w w:val="95"/>
                <w:sz w:val="20"/>
              </w:rPr>
              <w:t>1,500.00</w:t>
            </w:r>
          </w:p>
        </w:tc>
        <w:tc>
          <w:tcPr>
            <w:tcW w:w="1406" w:type="dxa"/>
          </w:tcPr>
          <w:p w:rsidR="007C5447" w:rsidRDefault="007C5447">
            <w:pPr>
              <w:pStyle w:val="TableParagraph"/>
              <w:jc w:val="left"/>
              <w:rPr>
                <w:sz w:val="20"/>
              </w:rPr>
            </w:pPr>
          </w:p>
        </w:tc>
      </w:tr>
      <w:tr w:rsidR="007C5447">
        <w:trPr>
          <w:trHeight w:val="311"/>
        </w:trPr>
        <w:tc>
          <w:tcPr>
            <w:tcW w:w="4815" w:type="dxa"/>
            <w:tcBorders>
              <w:left w:val="single" w:sz="8" w:space="0" w:color="000000"/>
            </w:tcBorders>
          </w:tcPr>
          <w:p w:rsidR="007C5447" w:rsidRDefault="00F6308C">
            <w:pPr>
              <w:pStyle w:val="TableParagraph"/>
              <w:spacing w:before="41"/>
              <w:ind w:left="107"/>
              <w:jc w:val="left"/>
              <w:rPr>
                <w:b/>
                <w:sz w:val="20"/>
              </w:rPr>
            </w:pPr>
            <w:r>
              <w:rPr>
                <w:b/>
                <w:sz w:val="20"/>
              </w:rPr>
              <w:t>Total Power Purchase</w:t>
            </w:r>
          </w:p>
        </w:tc>
        <w:tc>
          <w:tcPr>
            <w:tcW w:w="1586" w:type="dxa"/>
          </w:tcPr>
          <w:p w:rsidR="007C5447" w:rsidRDefault="00F6308C">
            <w:pPr>
              <w:pStyle w:val="TableParagraph"/>
              <w:spacing w:before="41"/>
              <w:ind w:right="95"/>
              <w:rPr>
                <w:b/>
                <w:sz w:val="20"/>
              </w:rPr>
            </w:pPr>
            <w:r>
              <w:rPr>
                <w:b/>
                <w:w w:val="95"/>
                <w:sz w:val="20"/>
              </w:rPr>
              <w:t>66,608.70</w:t>
            </w:r>
          </w:p>
        </w:tc>
        <w:tc>
          <w:tcPr>
            <w:tcW w:w="1584" w:type="dxa"/>
          </w:tcPr>
          <w:p w:rsidR="007C5447" w:rsidRDefault="007C5447">
            <w:pPr>
              <w:pStyle w:val="TableParagraph"/>
              <w:jc w:val="left"/>
              <w:rPr>
                <w:sz w:val="20"/>
              </w:rPr>
            </w:pPr>
          </w:p>
        </w:tc>
        <w:tc>
          <w:tcPr>
            <w:tcW w:w="1586" w:type="dxa"/>
          </w:tcPr>
          <w:p w:rsidR="007C5447" w:rsidRDefault="007C5447">
            <w:pPr>
              <w:pStyle w:val="TableParagraph"/>
              <w:jc w:val="left"/>
              <w:rPr>
                <w:sz w:val="20"/>
              </w:rPr>
            </w:pPr>
          </w:p>
        </w:tc>
        <w:tc>
          <w:tcPr>
            <w:tcW w:w="1584" w:type="dxa"/>
          </w:tcPr>
          <w:p w:rsidR="007C5447" w:rsidRDefault="007C5447">
            <w:pPr>
              <w:pStyle w:val="TableParagraph"/>
              <w:jc w:val="left"/>
              <w:rPr>
                <w:sz w:val="20"/>
              </w:rPr>
            </w:pPr>
          </w:p>
        </w:tc>
        <w:tc>
          <w:tcPr>
            <w:tcW w:w="1612" w:type="dxa"/>
          </w:tcPr>
          <w:p w:rsidR="007C5447" w:rsidRDefault="00F6308C">
            <w:pPr>
              <w:pStyle w:val="TableParagraph"/>
              <w:spacing w:before="41"/>
              <w:ind w:right="90"/>
              <w:rPr>
                <w:b/>
                <w:sz w:val="20"/>
              </w:rPr>
            </w:pPr>
            <w:r>
              <w:rPr>
                <w:b/>
                <w:w w:val="95"/>
                <w:sz w:val="20"/>
              </w:rPr>
              <w:t>23,304.96</w:t>
            </w:r>
          </w:p>
        </w:tc>
        <w:tc>
          <w:tcPr>
            <w:tcW w:w="1406" w:type="dxa"/>
          </w:tcPr>
          <w:p w:rsidR="007C5447" w:rsidRDefault="00F6308C">
            <w:pPr>
              <w:pStyle w:val="TableParagraph"/>
              <w:spacing w:before="41"/>
              <w:ind w:right="89"/>
              <w:rPr>
                <w:b/>
                <w:sz w:val="20"/>
              </w:rPr>
            </w:pPr>
            <w:r>
              <w:rPr>
                <w:b/>
                <w:sz w:val="20"/>
              </w:rPr>
              <w:t>3.50</w:t>
            </w:r>
          </w:p>
        </w:tc>
      </w:tr>
    </w:tbl>
    <w:p w:rsidR="007C5447" w:rsidRDefault="007C5447">
      <w:pPr>
        <w:pStyle w:val="BodyText"/>
        <w:rPr>
          <w:sz w:val="20"/>
        </w:rPr>
      </w:pPr>
    </w:p>
    <w:p w:rsidR="007C5447" w:rsidRDefault="007C5447">
      <w:pPr>
        <w:pStyle w:val="BodyText"/>
        <w:rPr>
          <w:sz w:val="20"/>
        </w:rPr>
      </w:pPr>
    </w:p>
    <w:p w:rsidR="007C5447" w:rsidRDefault="007C5447">
      <w:pPr>
        <w:pStyle w:val="BodyText"/>
        <w:spacing w:before="7" w:after="1"/>
        <w:rPr>
          <w:sz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51"/>
        <w:gridCol w:w="1623"/>
        <w:gridCol w:w="1623"/>
        <w:gridCol w:w="1603"/>
        <w:gridCol w:w="1623"/>
        <w:gridCol w:w="1615"/>
        <w:gridCol w:w="1339"/>
      </w:tblGrid>
      <w:tr w:rsidR="007C5447">
        <w:trPr>
          <w:trHeight w:val="326"/>
        </w:trPr>
        <w:tc>
          <w:tcPr>
            <w:tcW w:w="4751" w:type="dxa"/>
            <w:vMerge w:val="restart"/>
            <w:shd w:val="clear" w:color="auto" w:fill="FBD4B4"/>
          </w:tcPr>
          <w:p w:rsidR="007C5447" w:rsidRDefault="007C5447">
            <w:pPr>
              <w:pStyle w:val="TableParagraph"/>
              <w:spacing w:before="10"/>
              <w:jc w:val="left"/>
              <w:rPr>
                <w:sz w:val="25"/>
              </w:rPr>
            </w:pPr>
          </w:p>
          <w:p w:rsidR="007C5447" w:rsidRDefault="00F6308C">
            <w:pPr>
              <w:pStyle w:val="TableParagraph"/>
              <w:ind w:left="1728" w:right="1721"/>
              <w:jc w:val="center"/>
              <w:rPr>
                <w:b/>
                <w:sz w:val="20"/>
              </w:rPr>
            </w:pPr>
            <w:r>
              <w:rPr>
                <w:b/>
                <w:sz w:val="20"/>
              </w:rPr>
              <w:t>Source</w:t>
            </w:r>
          </w:p>
        </w:tc>
        <w:tc>
          <w:tcPr>
            <w:tcW w:w="9426" w:type="dxa"/>
            <w:gridSpan w:val="6"/>
            <w:shd w:val="clear" w:color="auto" w:fill="FBD4B4"/>
          </w:tcPr>
          <w:p w:rsidR="007C5447" w:rsidRDefault="00F6308C">
            <w:pPr>
              <w:pStyle w:val="TableParagraph"/>
              <w:spacing w:before="82" w:line="224" w:lineRule="exact"/>
              <w:ind w:left="4195" w:right="4187"/>
              <w:jc w:val="center"/>
              <w:rPr>
                <w:b/>
                <w:sz w:val="20"/>
              </w:rPr>
            </w:pPr>
            <w:r>
              <w:rPr>
                <w:b/>
                <w:sz w:val="20"/>
              </w:rPr>
              <w:t>FY 2012-13</w:t>
            </w:r>
          </w:p>
        </w:tc>
      </w:tr>
      <w:tr w:rsidR="007C5447">
        <w:trPr>
          <w:trHeight w:val="489"/>
        </w:trPr>
        <w:tc>
          <w:tcPr>
            <w:tcW w:w="4751" w:type="dxa"/>
            <w:vMerge/>
            <w:tcBorders>
              <w:top w:val="nil"/>
            </w:tcBorders>
            <w:shd w:val="clear" w:color="auto" w:fill="FBD4B4"/>
          </w:tcPr>
          <w:p w:rsidR="007C5447" w:rsidRDefault="007C5447">
            <w:pPr>
              <w:rPr>
                <w:sz w:val="2"/>
                <w:szCs w:val="2"/>
              </w:rPr>
            </w:pPr>
          </w:p>
        </w:tc>
        <w:tc>
          <w:tcPr>
            <w:tcW w:w="1623" w:type="dxa"/>
            <w:shd w:val="clear" w:color="auto" w:fill="FBD4B4"/>
          </w:tcPr>
          <w:p w:rsidR="007C5447" w:rsidRDefault="00F6308C">
            <w:pPr>
              <w:pStyle w:val="TableParagraph"/>
              <w:spacing w:before="130"/>
              <w:ind w:right="130"/>
              <w:rPr>
                <w:b/>
                <w:sz w:val="20"/>
              </w:rPr>
            </w:pPr>
            <w:r>
              <w:rPr>
                <w:b/>
                <w:sz w:val="20"/>
              </w:rPr>
              <w:t>Quantum (MU)</w:t>
            </w:r>
          </w:p>
        </w:tc>
        <w:tc>
          <w:tcPr>
            <w:tcW w:w="1623" w:type="dxa"/>
            <w:shd w:val="clear" w:color="auto" w:fill="FBD4B4"/>
          </w:tcPr>
          <w:p w:rsidR="007C5447" w:rsidRDefault="00F6308C">
            <w:pPr>
              <w:pStyle w:val="TableParagraph"/>
              <w:spacing w:before="14" w:line="230" w:lineRule="atLeast"/>
              <w:ind w:left="464" w:right="164" w:hanging="274"/>
              <w:jc w:val="left"/>
              <w:rPr>
                <w:b/>
                <w:sz w:val="20"/>
              </w:rPr>
            </w:pPr>
            <w:r>
              <w:rPr>
                <w:b/>
                <w:sz w:val="20"/>
              </w:rPr>
              <w:t>Fixed Charges (Rs. Cr.)</w:t>
            </w:r>
          </w:p>
        </w:tc>
        <w:tc>
          <w:tcPr>
            <w:tcW w:w="1603" w:type="dxa"/>
            <w:shd w:val="clear" w:color="auto" w:fill="FBD4B4"/>
          </w:tcPr>
          <w:p w:rsidR="007C5447" w:rsidRDefault="00F6308C">
            <w:pPr>
              <w:pStyle w:val="TableParagraph"/>
              <w:spacing w:before="14" w:line="230" w:lineRule="atLeast"/>
              <w:ind w:left="341" w:right="121" w:hanging="195"/>
              <w:jc w:val="left"/>
              <w:rPr>
                <w:b/>
                <w:sz w:val="20"/>
              </w:rPr>
            </w:pPr>
            <w:r>
              <w:rPr>
                <w:b/>
                <w:sz w:val="20"/>
              </w:rPr>
              <w:t>Energy Charge (Rs. Crore)</w:t>
            </w:r>
          </w:p>
        </w:tc>
        <w:tc>
          <w:tcPr>
            <w:tcW w:w="1623" w:type="dxa"/>
            <w:shd w:val="clear" w:color="auto" w:fill="FBD4B4"/>
          </w:tcPr>
          <w:p w:rsidR="007C5447" w:rsidRDefault="00F6308C">
            <w:pPr>
              <w:pStyle w:val="TableParagraph"/>
              <w:spacing w:before="14" w:line="230" w:lineRule="atLeast"/>
              <w:ind w:left="390" w:right="130" w:hanging="233"/>
              <w:jc w:val="left"/>
              <w:rPr>
                <w:b/>
                <w:sz w:val="20"/>
              </w:rPr>
            </w:pPr>
            <w:r>
              <w:rPr>
                <w:b/>
                <w:sz w:val="20"/>
              </w:rPr>
              <w:t>Energy Charge (Rs./Unit)</w:t>
            </w:r>
          </w:p>
        </w:tc>
        <w:tc>
          <w:tcPr>
            <w:tcW w:w="1615" w:type="dxa"/>
            <w:shd w:val="clear" w:color="auto" w:fill="FBD4B4"/>
          </w:tcPr>
          <w:p w:rsidR="007C5447" w:rsidRDefault="00F6308C">
            <w:pPr>
              <w:pStyle w:val="TableParagraph"/>
              <w:spacing w:before="14" w:line="230" w:lineRule="atLeast"/>
              <w:ind w:left="462" w:right="332" w:hanging="104"/>
              <w:jc w:val="left"/>
              <w:rPr>
                <w:b/>
                <w:sz w:val="20"/>
              </w:rPr>
            </w:pPr>
            <w:r>
              <w:rPr>
                <w:b/>
                <w:sz w:val="20"/>
              </w:rPr>
              <w:t>Total Cost (Rs. Cr)</w:t>
            </w:r>
          </w:p>
        </w:tc>
        <w:tc>
          <w:tcPr>
            <w:tcW w:w="1339" w:type="dxa"/>
            <w:shd w:val="clear" w:color="auto" w:fill="FBD4B4"/>
          </w:tcPr>
          <w:p w:rsidR="007C5447" w:rsidRDefault="00F6308C">
            <w:pPr>
              <w:pStyle w:val="TableParagraph"/>
              <w:spacing w:before="14" w:line="230" w:lineRule="atLeast"/>
              <w:ind w:left="251" w:right="228" w:firstLine="216"/>
              <w:jc w:val="left"/>
              <w:rPr>
                <w:b/>
                <w:sz w:val="20"/>
              </w:rPr>
            </w:pPr>
            <w:r>
              <w:rPr>
                <w:b/>
                <w:sz w:val="20"/>
              </w:rPr>
              <w:t xml:space="preserve">Rate </w:t>
            </w:r>
            <w:r>
              <w:rPr>
                <w:b/>
                <w:w w:val="95"/>
                <w:sz w:val="20"/>
              </w:rPr>
              <w:t>(Rs/kWh)</w:t>
            </w:r>
          </w:p>
        </w:tc>
      </w:tr>
      <w:tr w:rsidR="007C5447">
        <w:trPr>
          <w:trHeight w:val="386"/>
        </w:trPr>
        <w:tc>
          <w:tcPr>
            <w:tcW w:w="4751" w:type="dxa"/>
          </w:tcPr>
          <w:p w:rsidR="007C5447" w:rsidRDefault="00F6308C">
            <w:pPr>
              <w:pStyle w:val="TableParagraph"/>
              <w:spacing w:before="79"/>
              <w:ind w:left="1291"/>
              <w:jc w:val="left"/>
              <w:rPr>
                <w:b/>
                <w:sz w:val="20"/>
              </w:rPr>
            </w:pPr>
            <w:r>
              <w:rPr>
                <w:b/>
                <w:sz w:val="20"/>
              </w:rPr>
              <w:t>Own Generating Stations</w:t>
            </w:r>
          </w:p>
        </w:tc>
        <w:tc>
          <w:tcPr>
            <w:tcW w:w="162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r>
      <w:tr w:rsidR="007C5447">
        <w:trPr>
          <w:trHeight w:val="328"/>
        </w:trPr>
        <w:tc>
          <w:tcPr>
            <w:tcW w:w="4751" w:type="dxa"/>
          </w:tcPr>
          <w:p w:rsidR="007C5447" w:rsidRDefault="00F6308C">
            <w:pPr>
              <w:pStyle w:val="TableParagraph"/>
              <w:spacing w:before="50"/>
              <w:ind w:left="107"/>
              <w:jc w:val="left"/>
              <w:rPr>
                <w:sz w:val="20"/>
              </w:rPr>
            </w:pPr>
            <w:r>
              <w:rPr>
                <w:sz w:val="20"/>
              </w:rPr>
              <w:t>Ennore TPS</w:t>
            </w:r>
          </w:p>
        </w:tc>
        <w:tc>
          <w:tcPr>
            <w:tcW w:w="1623" w:type="dxa"/>
          </w:tcPr>
          <w:p w:rsidR="007C5447" w:rsidRDefault="00F6308C">
            <w:pPr>
              <w:pStyle w:val="TableParagraph"/>
              <w:spacing w:before="50"/>
              <w:ind w:right="99"/>
              <w:rPr>
                <w:sz w:val="20"/>
              </w:rPr>
            </w:pPr>
            <w:r>
              <w:rPr>
                <w:w w:val="95"/>
                <w:sz w:val="20"/>
              </w:rPr>
              <w:t>610.00</w:t>
            </w:r>
          </w:p>
        </w:tc>
        <w:tc>
          <w:tcPr>
            <w:tcW w:w="1623" w:type="dxa"/>
          </w:tcPr>
          <w:p w:rsidR="007C5447" w:rsidRDefault="00F6308C">
            <w:pPr>
              <w:pStyle w:val="TableParagraph"/>
              <w:spacing w:before="50"/>
              <w:ind w:right="97"/>
              <w:rPr>
                <w:sz w:val="20"/>
              </w:rPr>
            </w:pPr>
            <w:r>
              <w:rPr>
                <w:w w:val="95"/>
                <w:sz w:val="20"/>
              </w:rPr>
              <w:t>188.61</w:t>
            </w:r>
          </w:p>
        </w:tc>
        <w:tc>
          <w:tcPr>
            <w:tcW w:w="1603" w:type="dxa"/>
          </w:tcPr>
          <w:p w:rsidR="007C5447" w:rsidRDefault="00F6308C">
            <w:pPr>
              <w:pStyle w:val="TableParagraph"/>
              <w:spacing w:before="50"/>
              <w:ind w:right="99"/>
              <w:rPr>
                <w:sz w:val="20"/>
              </w:rPr>
            </w:pPr>
            <w:r>
              <w:rPr>
                <w:w w:val="95"/>
                <w:sz w:val="20"/>
              </w:rPr>
              <w:t>225.04</w:t>
            </w:r>
          </w:p>
        </w:tc>
        <w:tc>
          <w:tcPr>
            <w:tcW w:w="1623" w:type="dxa"/>
          </w:tcPr>
          <w:p w:rsidR="007C5447" w:rsidRDefault="00F6308C">
            <w:pPr>
              <w:pStyle w:val="TableParagraph"/>
              <w:spacing w:before="50"/>
              <w:ind w:right="99"/>
              <w:rPr>
                <w:sz w:val="20"/>
              </w:rPr>
            </w:pPr>
            <w:r>
              <w:rPr>
                <w:sz w:val="20"/>
              </w:rPr>
              <w:t>3.69</w:t>
            </w:r>
          </w:p>
        </w:tc>
        <w:tc>
          <w:tcPr>
            <w:tcW w:w="1615" w:type="dxa"/>
          </w:tcPr>
          <w:p w:rsidR="007C5447" w:rsidRDefault="00F6308C">
            <w:pPr>
              <w:pStyle w:val="TableParagraph"/>
              <w:spacing w:before="50"/>
              <w:ind w:right="96"/>
              <w:rPr>
                <w:sz w:val="20"/>
              </w:rPr>
            </w:pPr>
            <w:r>
              <w:rPr>
                <w:w w:val="95"/>
                <w:sz w:val="20"/>
              </w:rPr>
              <w:t>413.64</w:t>
            </w:r>
          </w:p>
        </w:tc>
        <w:tc>
          <w:tcPr>
            <w:tcW w:w="1339" w:type="dxa"/>
          </w:tcPr>
          <w:p w:rsidR="007C5447" w:rsidRDefault="00F6308C">
            <w:pPr>
              <w:pStyle w:val="TableParagraph"/>
              <w:spacing w:before="50"/>
              <w:ind w:right="96"/>
              <w:rPr>
                <w:sz w:val="20"/>
              </w:rPr>
            </w:pPr>
            <w:r>
              <w:rPr>
                <w:sz w:val="20"/>
              </w:rPr>
              <w:t>6.78</w:t>
            </w:r>
          </w:p>
        </w:tc>
      </w:tr>
      <w:tr w:rsidR="007C5447">
        <w:trPr>
          <w:trHeight w:val="325"/>
        </w:trPr>
        <w:tc>
          <w:tcPr>
            <w:tcW w:w="4751" w:type="dxa"/>
          </w:tcPr>
          <w:p w:rsidR="007C5447" w:rsidRDefault="00F6308C">
            <w:pPr>
              <w:pStyle w:val="TableParagraph"/>
              <w:spacing w:before="48"/>
              <w:ind w:left="107"/>
              <w:jc w:val="left"/>
              <w:rPr>
                <w:sz w:val="20"/>
              </w:rPr>
            </w:pPr>
            <w:r>
              <w:rPr>
                <w:sz w:val="20"/>
              </w:rPr>
              <w:t>Tuticorin TPS</w:t>
            </w:r>
          </w:p>
        </w:tc>
        <w:tc>
          <w:tcPr>
            <w:tcW w:w="1623" w:type="dxa"/>
          </w:tcPr>
          <w:p w:rsidR="007C5447" w:rsidRDefault="00F6308C">
            <w:pPr>
              <w:pStyle w:val="TableParagraph"/>
              <w:spacing w:before="48"/>
              <w:ind w:right="97"/>
              <w:rPr>
                <w:sz w:val="20"/>
              </w:rPr>
            </w:pPr>
            <w:r>
              <w:rPr>
                <w:w w:val="95"/>
                <w:sz w:val="20"/>
              </w:rPr>
              <w:t>7,620.00</w:t>
            </w:r>
          </w:p>
        </w:tc>
        <w:tc>
          <w:tcPr>
            <w:tcW w:w="1623" w:type="dxa"/>
          </w:tcPr>
          <w:p w:rsidR="007C5447" w:rsidRDefault="00F6308C">
            <w:pPr>
              <w:pStyle w:val="TableParagraph"/>
              <w:spacing w:before="48"/>
              <w:ind w:right="97"/>
              <w:rPr>
                <w:sz w:val="20"/>
              </w:rPr>
            </w:pPr>
            <w:r>
              <w:rPr>
                <w:w w:val="95"/>
                <w:sz w:val="20"/>
              </w:rPr>
              <w:t>454.40</w:t>
            </w:r>
          </w:p>
        </w:tc>
        <w:tc>
          <w:tcPr>
            <w:tcW w:w="1603" w:type="dxa"/>
          </w:tcPr>
          <w:p w:rsidR="007C5447" w:rsidRDefault="00F6308C">
            <w:pPr>
              <w:pStyle w:val="TableParagraph"/>
              <w:spacing w:before="48"/>
              <w:ind w:right="97"/>
              <w:rPr>
                <w:sz w:val="20"/>
              </w:rPr>
            </w:pPr>
            <w:r>
              <w:rPr>
                <w:w w:val="95"/>
                <w:sz w:val="20"/>
              </w:rPr>
              <w:t>2,234.98</w:t>
            </w:r>
          </w:p>
        </w:tc>
        <w:tc>
          <w:tcPr>
            <w:tcW w:w="1623" w:type="dxa"/>
          </w:tcPr>
          <w:p w:rsidR="007C5447" w:rsidRDefault="00F6308C">
            <w:pPr>
              <w:pStyle w:val="TableParagraph"/>
              <w:spacing w:before="48"/>
              <w:ind w:right="99"/>
              <w:rPr>
                <w:sz w:val="20"/>
              </w:rPr>
            </w:pPr>
            <w:r>
              <w:rPr>
                <w:sz w:val="20"/>
              </w:rPr>
              <w:t>2.93</w:t>
            </w:r>
          </w:p>
        </w:tc>
        <w:tc>
          <w:tcPr>
            <w:tcW w:w="1615" w:type="dxa"/>
          </w:tcPr>
          <w:p w:rsidR="007C5447" w:rsidRDefault="00F6308C">
            <w:pPr>
              <w:pStyle w:val="TableParagraph"/>
              <w:spacing w:before="48"/>
              <w:ind w:right="97"/>
              <w:rPr>
                <w:sz w:val="20"/>
              </w:rPr>
            </w:pPr>
            <w:r>
              <w:rPr>
                <w:w w:val="95"/>
                <w:sz w:val="20"/>
              </w:rPr>
              <w:t>2,689.37</w:t>
            </w:r>
          </w:p>
        </w:tc>
        <w:tc>
          <w:tcPr>
            <w:tcW w:w="1339" w:type="dxa"/>
          </w:tcPr>
          <w:p w:rsidR="007C5447" w:rsidRDefault="00F6308C">
            <w:pPr>
              <w:pStyle w:val="TableParagraph"/>
              <w:spacing w:before="48"/>
              <w:ind w:right="96"/>
              <w:rPr>
                <w:sz w:val="20"/>
              </w:rPr>
            </w:pPr>
            <w:r>
              <w:rPr>
                <w:sz w:val="20"/>
              </w:rPr>
              <w:t>3.53</w:t>
            </w:r>
          </w:p>
        </w:tc>
      </w:tr>
      <w:tr w:rsidR="007C5447">
        <w:trPr>
          <w:trHeight w:val="328"/>
        </w:trPr>
        <w:tc>
          <w:tcPr>
            <w:tcW w:w="4751" w:type="dxa"/>
          </w:tcPr>
          <w:p w:rsidR="007C5447" w:rsidRDefault="00F6308C">
            <w:pPr>
              <w:pStyle w:val="TableParagraph"/>
              <w:spacing w:before="48"/>
              <w:ind w:left="107"/>
              <w:jc w:val="left"/>
              <w:rPr>
                <w:sz w:val="20"/>
              </w:rPr>
            </w:pPr>
            <w:r>
              <w:rPr>
                <w:sz w:val="20"/>
              </w:rPr>
              <w:t>Mettur TPS</w:t>
            </w:r>
          </w:p>
        </w:tc>
        <w:tc>
          <w:tcPr>
            <w:tcW w:w="1623" w:type="dxa"/>
          </w:tcPr>
          <w:p w:rsidR="007C5447" w:rsidRDefault="00F6308C">
            <w:pPr>
              <w:pStyle w:val="TableParagraph"/>
              <w:spacing w:before="48"/>
              <w:ind w:right="97"/>
              <w:rPr>
                <w:sz w:val="20"/>
              </w:rPr>
            </w:pPr>
            <w:r>
              <w:rPr>
                <w:w w:val="95"/>
                <w:sz w:val="20"/>
              </w:rPr>
              <w:t>5,684.00</w:t>
            </w:r>
          </w:p>
        </w:tc>
        <w:tc>
          <w:tcPr>
            <w:tcW w:w="1623" w:type="dxa"/>
          </w:tcPr>
          <w:p w:rsidR="007C5447" w:rsidRDefault="00F6308C">
            <w:pPr>
              <w:pStyle w:val="TableParagraph"/>
              <w:spacing w:before="48"/>
              <w:ind w:right="97"/>
              <w:rPr>
                <w:sz w:val="20"/>
              </w:rPr>
            </w:pPr>
            <w:r>
              <w:rPr>
                <w:w w:val="95"/>
                <w:sz w:val="20"/>
              </w:rPr>
              <w:t>333.33</w:t>
            </w:r>
          </w:p>
        </w:tc>
        <w:tc>
          <w:tcPr>
            <w:tcW w:w="1603" w:type="dxa"/>
          </w:tcPr>
          <w:p w:rsidR="007C5447" w:rsidRDefault="00F6308C">
            <w:pPr>
              <w:pStyle w:val="TableParagraph"/>
              <w:spacing w:before="48"/>
              <w:ind w:right="97"/>
              <w:rPr>
                <w:sz w:val="20"/>
              </w:rPr>
            </w:pPr>
            <w:r>
              <w:rPr>
                <w:w w:val="95"/>
                <w:sz w:val="20"/>
              </w:rPr>
              <w:t>1,920.74</w:t>
            </w:r>
          </w:p>
        </w:tc>
        <w:tc>
          <w:tcPr>
            <w:tcW w:w="1623" w:type="dxa"/>
          </w:tcPr>
          <w:p w:rsidR="007C5447" w:rsidRDefault="00F6308C">
            <w:pPr>
              <w:pStyle w:val="TableParagraph"/>
              <w:spacing w:before="48"/>
              <w:ind w:right="99"/>
              <w:rPr>
                <w:sz w:val="20"/>
              </w:rPr>
            </w:pPr>
            <w:r>
              <w:rPr>
                <w:sz w:val="20"/>
              </w:rPr>
              <w:t>3.38</w:t>
            </w:r>
          </w:p>
        </w:tc>
        <w:tc>
          <w:tcPr>
            <w:tcW w:w="1615" w:type="dxa"/>
          </w:tcPr>
          <w:p w:rsidR="007C5447" w:rsidRDefault="00F6308C">
            <w:pPr>
              <w:pStyle w:val="TableParagraph"/>
              <w:spacing w:before="48"/>
              <w:ind w:right="97"/>
              <w:rPr>
                <w:sz w:val="20"/>
              </w:rPr>
            </w:pPr>
            <w:r>
              <w:rPr>
                <w:w w:val="95"/>
                <w:sz w:val="20"/>
              </w:rPr>
              <w:t>2,254.07</w:t>
            </w:r>
          </w:p>
        </w:tc>
        <w:tc>
          <w:tcPr>
            <w:tcW w:w="1339" w:type="dxa"/>
          </w:tcPr>
          <w:p w:rsidR="007C5447" w:rsidRDefault="00F6308C">
            <w:pPr>
              <w:pStyle w:val="TableParagraph"/>
              <w:spacing w:before="48"/>
              <w:ind w:right="96"/>
              <w:rPr>
                <w:sz w:val="20"/>
              </w:rPr>
            </w:pPr>
            <w:r>
              <w:rPr>
                <w:sz w:val="20"/>
              </w:rPr>
              <w:t>3.97</w:t>
            </w:r>
          </w:p>
        </w:tc>
      </w:tr>
      <w:tr w:rsidR="007C5447">
        <w:trPr>
          <w:trHeight w:val="326"/>
        </w:trPr>
        <w:tc>
          <w:tcPr>
            <w:tcW w:w="4751" w:type="dxa"/>
          </w:tcPr>
          <w:p w:rsidR="007C5447" w:rsidRDefault="00F6308C">
            <w:pPr>
              <w:pStyle w:val="TableParagraph"/>
              <w:spacing w:before="49"/>
              <w:ind w:left="107"/>
              <w:jc w:val="left"/>
              <w:rPr>
                <w:sz w:val="20"/>
              </w:rPr>
            </w:pPr>
            <w:r>
              <w:rPr>
                <w:sz w:val="20"/>
              </w:rPr>
              <w:t>North Chennai TPS</w:t>
            </w:r>
          </w:p>
        </w:tc>
        <w:tc>
          <w:tcPr>
            <w:tcW w:w="1623" w:type="dxa"/>
          </w:tcPr>
          <w:p w:rsidR="007C5447" w:rsidRDefault="00F6308C">
            <w:pPr>
              <w:pStyle w:val="TableParagraph"/>
              <w:spacing w:before="49"/>
              <w:ind w:right="97"/>
              <w:rPr>
                <w:sz w:val="20"/>
              </w:rPr>
            </w:pPr>
            <w:r>
              <w:rPr>
                <w:w w:val="95"/>
                <w:sz w:val="20"/>
              </w:rPr>
              <w:t>4,634.00</w:t>
            </w:r>
          </w:p>
        </w:tc>
        <w:tc>
          <w:tcPr>
            <w:tcW w:w="1623" w:type="dxa"/>
          </w:tcPr>
          <w:p w:rsidR="007C5447" w:rsidRDefault="00F6308C">
            <w:pPr>
              <w:pStyle w:val="TableParagraph"/>
              <w:spacing w:before="49"/>
              <w:ind w:right="97"/>
              <w:rPr>
                <w:sz w:val="20"/>
              </w:rPr>
            </w:pPr>
            <w:r>
              <w:rPr>
                <w:w w:val="95"/>
                <w:sz w:val="20"/>
              </w:rPr>
              <w:t>379.09</w:t>
            </w:r>
          </w:p>
        </w:tc>
        <w:tc>
          <w:tcPr>
            <w:tcW w:w="1603" w:type="dxa"/>
          </w:tcPr>
          <w:p w:rsidR="007C5447" w:rsidRDefault="00F6308C">
            <w:pPr>
              <w:pStyle w:val="TableParagraph"/>
              <w:spacing w:before="49"/>
              <w:ind w:right="95"/>
              <w:rPr>
                <w:sz w:val="20"/>
              </w:rPr>
            </w:pPr>
            <w:r>
              <w:rPr>
                <w:w w:val="99"/>
                <w:sz w:val="20"/>
              </w:rPr>
              <w:t>-</w:t>
            </w:r>
          </w:p>
        </w:tc>
        <w:tc>
          <w:tcPr>
            <w:tcW w:w="1623" w:type="dxa"/>
          </w:tcPr>
          <w:p w:rsidR="007C5447" w:rsidRDefault="00F6308C">
            <w:pPr>
              <w:pStyle w:val="TableParagraph"/>
              <w:spacing w:before="49"/>
              <w:ind w:right="96"/>
              <w:rPr>
                <w:sz w:val="20"/>
              </w:rPr>
            </w:pPr>
            <w:r>
              <w:rPr>
                <w:w w:val="99"/>
                <w:sz w:val="20"/>
              </w:rPr>
              <w:t>-</w:t>
            </w:r>
          </w:p>
        </w:tc>
        <w:tc>
          <w:tcPr>
            <w:tcW w:w="1615" w:type="dxa"/>
          </w:tcPr>
          <w:p w:rsidR="007C5447" w:rsidRDefault="00F6308C">
            <w:pPr>
              <w:pStyle w:val="TableParagraph"/>
              <w:spacing w:before="49"/>
              <w:ind w:right="96"/>
              <w:rPr>
                <w:sz w:val="20"/>
              </w:rPr>
            </w:pPr>
            <w:r>
              <w:rPr>
                <w:w w:val="95"/>
                <w:sz w:val="20"/>
              </w:rPr>
              <w:t>379.09</w:t>
            </w:r>
          </w:p>
        </w:tc>
        <w:tc>
          <w:tcPr>
            <w:tcW w:w="1339" w:type="dxa"/>
          </w:tcPr>
          <w:p w:rsidR="007C5447" w:rsidRDefault="00F6308C">
            <w:pPr>
              <w:pStyle w:val="TableParagraph"/>
              <w:spacing w:before="49"/>
              <w:ind w:right="96"/>
              <w:rPr>
                <w:sz w:val="20"/>
              </w:rPr>
            </w:pPr>
            <w:r>
              <w:rPr>
                <w:sz w:val="20"/>
              </w:rPr>
              <w:t>0.82</w:t>
            </w:r>
          </w:p>
        </w:tc>
      </w:tr>
      <w:tr w:rsidR="007C5447">
        <w:trPr>
          <w:trHeight w:val="326"/>
        </w:trPr>
        <w:tc>
          <w:tcPr>
            <w:tcW w:w="4751" w:type="dxa"/>
          </w:tcPr>
          <w:p w:rsidR="007C5447" w:rsidRDefault="00F6308C">
            <w:pPr>
              <w:pStyle w:val="TableParagraph"/>
              <w:spacing w:before="48"/>
              <w:ind w:left="107"/>
              <w:jc w:val="left"/>
              <w:rPr>
                <w:sz w:val="20"/>
              </w:rPr>
            </w:pPr>
            <w:r>
              <w:rPr>
                <w:sz w:val="20"/>
              </w:rPr>
              <w:t>NCTPS Stage-II (Unit 1)</w:t>
            </w:r>
          </w:p>
        </w:tc>
        <w:tc>
          <w:tcPr>
            <w:tcW w:w="1623" w:type="dxa"/>
          </w:tcPr>
          <w:p w:rsidR="007C5447" w:rsidRDefault="00F6308C">
            <w:pPr>
              <w:pStyle w:val="TableParagraph"/>
              <w:spacing w:before="48"/>
              <w:ind w:right="95"/>
              <w:rPr>
                <w:sz w:val="20"/>
              </w:rPr>
            </w:pPr>
            <w:r>
              <w:rPr>
                <w:w w:val="99"/>
                <w:sz w:val="20"/>
              </w:rPr>
              <w:t>-</w:t>
            </w:r>
          </w:p>
        </w:tc>
        <w:tc>
          <w:tcPr>
            <w:tcW w:w="1623" w:type="dxa"/>
          </w:tcPr>
          <w:p w:rsidR="007C5447" w:rsidRDefault="00F6308C">
            <w:pPr>
              <w:pStyle w:val="TableParagraph"/>
              <w:spacing w:before="48"/>
              <w:ind w:right="98"/>
              <w:rPr>
                <w:sz w:val="20"/>
              </w:rPr>
            </w:pPr>
            <w:r>
              <w:rPr>
                <w:w w:val="99"/>
                <w:sz w:val="20"/>
              </w:rPr>
              <w:t>-</w:t>
            </w:r>
          </w:p>
        </w:tc>
        <w:tc>
          <w:tcPr>
            <w:tcW w:w="1603" w:type="dxa"/>
          </w:tcPr>
          <w:p w:rsidR="007C5447" w:rsidRDefault="00F6308C">
            <w:pPr>
              <w:pStyle w:val="TableParagraph"/>
              <w:spacing w:before="48"/>
              <w:ind w:right="95"/>
              <w:rPr>
                <w:sz w:val="20"/>
              </w:rPr>
            </w:pPr>
            <w:r>
              <w:rPr>
                <w:w w:val="99"/>
                <w:sz w:val="20"/>
              </w:rPr>
              <w:t>-</w:t>
            </w:r>
          </w:p>
        </w:tc>
        <w:tc>
          <w:tcPr>
            <w:tcW w:w="1623" w:type="dxa"/>
          </w:tcPr>
          <w:p w:rsidR="007C5447" w:rsidRDefault="00F6308C">
            <w:pPr>
              <w:pStyle w:val="TableParagraph"/>
              <w:spacing w:before="48"/>
              <w:ind w:right="96"/>
              <w:rPr>
                <w:sz w:val="20"/>
              </w:rPr>
            </w:pPr>
            <w:r>
              <w:rPr>
                <w:w w:val="99"/>
                <w:sz w:val="20"/>
              </w:rPr>
              <w:t>-</w:t>
            </w:r>
          </w:p>
        </w:tc>
        <w:tc>
          <w:tcPr>
            <w:tcW w:w="1615" w:type="dxa"/>
          </w:tcPr>
          <w:p w:rsidR="007C5447" w:rsidRDefault="00F6308C">
            <w:pPr>
              <w:pStyle w:val="TableParagraph"/>
              <w:spacing w:before="48"/>
              <w:ind w:right="97"/>
              <w:rPr>
                <w:sz w:val="20"/>
              </w:rPr>
            </w:pPr>
            <w:r>
              <w:rPr>
                <w:w w:val="99"/>
                <w:sz w:val="20"/>
              </w:rPr>
              <w:t>-</w:t>
            </w:r>
          </w:p>
        </w:tc>
        <w:tc>
          <w:tcPr>
            <w:tcW w:w="1339" w:type="dxa"/>
          </w:tcPr>
          <w:p w:rsidR="007C5447" w:rsidRDefault="00F6308C">
            <w:pPr>
              <w:pStyle w:val="TableParagraph"/>
              <w:spacing w:before="48"/>
              <w:ind w:right="97"/>
              <w:rPr>
                <w:sz w:val="20"/>
              </w:rPr>
            </w:pPr>
            <w:r>
              <w:rPr>
                <w:w w:val="99"/>
                <w:sz w:val="20"/>
              </w:rPr>
              <w:t>-</w:t>
            </w:r>
          </w:p>
        </w:tc>
      </w:tr>
      <w:tr w:rsidR="007C5447">
        <w:trPr>
          <w:trHeight w:val="328"/>
        </w:trPr>
        <w:tc>
          <w:tcPr>
            <w:tcW w:w="4751" w:type="dxa"/>
          </w:tcPr>
          <w:p w:rsidR="007C5447" w:rsidRDefault="00F6308C">
            <w:pPr>
              <w:pStyle w:val="TableParagraph"/>
              <w:spacing w:before="50"/>
              <w:ind w:left="1728" w:right="1723"/>
              <w:jc w:val="center"/>
              <w:rPr>
                <w:b/>
                <w:sz w:val="20"/>
              </w:rPr>
            </w:pPr>
            <w:r>
              <w:rPr>
                <w:b/>
                <w:sz w:val="20"/>
              </w:rPr>
              <w:t>Total Thermal</w:t>
            </w:r>
          </w:p>
        </w:tc>
        <w:tc>
          <w:tcPr>
            <w:tcW w:w="1623" w:type="dxa"/>
          </w:tcPr>
          <w:p w:rsidR="007C5447" w:rsidRDefault="00F6308C">
            <w:pPr>
              <w:pStyle w:val="TableParagraph"/>
              <w:spacing w:before="50"/>
              <w:ind w:right="99"/>
              <w:rPr>
                <w:b/>
                <w:sz w:val="20"/>
              </w:rPr>
            </w:pPr>
            <w:r>
              <w:rPr>
                <w:b/>
                <w:w w:val="95"/>
                <w:sz w:val="20"/>
              </w:rPr>
              <w:t>18,548.00</w:t>
            </w:r>
          </w:p>
        </w:tc>
        <w:tc>
          <w:tcPr>
            <w:tcW w:w="1623" w:type="dxa"/>
          </w:tcPr>
          <w:p w:rsidR="007C5447" w:rsidRDefault="00F6308C">
            <w:pPr>
              <w:pStyle w:val="TableParagraph"/>
              <w:spacing w:before="50"/>
              <w:ind w:right="97"/>
              <w:rPr>
                <w:b/>
                <w:sz w:val="20"/>
              </w:rPr>
            </w:pPr>
            <w:r>
              <w:rPr>
                <w:b/>
                <w:w w:val="95"/>
                <w:sz w:val="20"/>
              </w:rPr>
              <w:t>1,355.43</w:t>
            </w:r>
          </w:p>
        </w:tc>
        <w:tc>
          <w:tcPr>
            <w:tcW w:w="1603" w:type="dxa"/>
          </w:tcPr>
          <w:p w:rsidR="007C5447" w:rsidRDefault="00F6308C">
            <w:pPr>
              <w:pStyle w:val="TableParagraph"/>
              <w:spacing w:before="50"/>
              <w:ind w:right="97"/>
              <w:rPr>
                <w:b/>
                <w:sz w:val="20"/>
              </w:rPr>
            </w:pPr>
            <w:r>
              <w:rPr>
                <w:b/>
                <w:w w:val="95"/>
                <w:sz w:val="20"/>
              </w:rPr>
              <w:t>4,380.75</w:t>
            </w:r>
          </w:p>
        </w:tc>
        <w:tc>
          <w:tcPr>
            <w:tcW w:w="1623" w:type="dxa"/>
          </w:tcPr>
          <w:p w:rsidR="007C5447" w:rsidRDefault="00F6308C">
            <w:pPr>
              <w:pStyle w:val="TableParagraph"/>
              <w:spacing w:before="50"/>
              <w:ind w:right="97"/>
              <w:rPr>
                <w:b/>
                <w:sz w:val="20"/>
              </w:rPr>
            </w:pPr>
            <w:r>
              <w:rPr>
                <w:b/>
                <w:sz w:val="20"/>
              </w:rPr>
              <w:t>2.36</w:t>
            </w:r>
          </w:p>
        </w:tc>
        <w:tc>
          <w:tcPr>
            <w:tcW w:w="1615" w:type="dxa"/>
          </w:tcPr>
          <w:p w:rsidR="007C5447" w:rsidRDefault="00F6308C">
            <w:pPr>
              <w:pStyle w:val="TableParagraph"/>
              <w:spacing w:before="50"/>
              <w:ind w:right="97"/>
              <w:rPr>
                <w:b/>
                <w:sz w:val="20"/>
              </w:rPr>
            </w:pPr>
            <w:r>
              <w:rPr>
                <w:b/>
                <w:w w:val="95"/>
                <w:sz w:val="20"/>
              </w:rPr>
              <w:t>5,736.18</w:t>
            </w:r>
          </w:p>
        </w:tc>
        <w:tc>
          <w:tcPr>
            <w:tcW w:w="1339" w:type="dxa"/>
          </w:tcPr>
          <w:p w:rsidR="007C5447" w:rsidRDefault="00F6308C">
            <w:pPr>
              <w:pStyle w:val="TableParagraph"/>
              <w:spacing w:before="50"/>
              <w:ind w:right="96"/>
              <w:rPr>
                <w:b/>
                <w:sz w:val="20"/>
              </w:rPr>
            </w:pPr>
            <w:r>
              <w:rPr>
                <w:b/>
                <w:sz w:val="20"/>
              </w:rPr>
              <w:t>3.09</w:t>
            </w:r>
          </w:p>
        </w:tc>
      </w:tr>
    </w:tbl>
    <w:p w:rsidR="007C5447" w:rsidRDefault="007C5447">
      <w:pPr>
        <w:rPr>
          <w:sz w:val="20"/>
        </w:rPr>
        <w:sectPr w:rsidR="007C5447">
          <w:pgSz w:w="16840" w:h="11910" w:orient="landscape"/>
          <w:pgMar w:top="1100" w:right="1220" w:bottom="960" w:left="1220" w:header="0" w:footer="777" w:gutter="0"/>
          <w:cols w:space="720"/>
        </w:sectPr>
      </w:pPr>
    </w:p>
    <w:p w:rsidR="007C5447" w:rsidRDefault="007C5447">
      <w:pPr>
        <w:pStyle w:val="BodyText"/>
        <w:spacing w:before="3"/>
        <w:rPr>
          <w:sz w:val="2"/>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51"/>
        <w:gridCol w:w="1623"/>
        <w:gridCol w:w="1623"/>
        <w:gridCol w:w="1603"/>
        <w:gridCol w:w="1623"/>
        <w:gridCol w:w="1615"/>
        <w:gridCol w:w="1339"/>
      </w:tblGrid>
      <w:tr w:rsidR="007C5447">
        <w:trPr>
          <w:trHeight w:val="328"/>
        </w:trPr>
        <w:tc>
          <w:tcPr>
            <w:tcW w:w="4751" w:type="dxa"/>
            <w:vMerge w:val="restart"/>
            <w:shd w:val="clear" w:color="auto" w:fill="FBD4B4"/>
          </w:tcPr>
          <w:p w:rsidR="007C5447" w:rsidRDefault="007C5447">
            <w:pPr>
              <w:pStyle w:val="TableParagraph"/>
              <w:spacing w:before="1"/>
              <w:jc w:val="left"/>
              <w:rPr>
                <w:sz w:val="26"/>
              </w:rPr>
            </w:pPr>
          </w:p>
          <w:p w:rsidR="007C5447" w:rsidRDefault="00F6308C">
            <w:pPr>
              <w:pStyle w:val="TableParagraph"/>
              <w:ind w:left="1728" w:right="1711"/>
              <w:jc w:val="center"/>
              <w:rPr>
                <w:b/>
                <w:sz w:val="20"/>
              </w:rPr>
            </w:pPr>
            <w:r>
              <w:rPr>
                <w:b/>
                <w:sz w:val="20"/>
              </w:rPr>
              <w:t>Source</w:t>
            </w:r>
          </w:p>
        </w:tc>
        <w:tc>
          <w:tcPr>
            <w:tcW w:w="9426" w:type="dxa"/>
            <w:gridSpan w:val="6"/>
            <w:shd w:val="clear" w:color="auto" w:fill="FBD4B4"/>
          </w:tcPr>
          <w:p w:rsidR="007C5447" w:rsidRDefault="00F6308C">
            <w:pPr>
              <w:pStyle w:val="TableParagraph"/>
              <w:spacing w:before="84" w:line="224" w:lineRule="exact"/>
              <w:ind w:left="4200" w:right="4182"/>
              <w:jc w:val="center"/>
              <w:rPr>
                <w:b/>
                <w:sz w:val="20"/>
              </w:rPr>
            </w:pPr>
            <w:r>
              <w:rPr>
                <w:b/>
                <w:sz w:val="20"/>
              </w:rPr>
              <w:t>FY 2012-13</w:t>
            </w:r>
          </w:p>
        </w:tc>
      </w:tr>
      <w:tr w:rsidR="007C5447">
        <w:trPr>
          <w:trHeight w:val="489"/>
        </w:trPr>
        <w:tc>
          <w:tcPr>
            <w:tcW w:w="4751" w:type="dxa"/>
            <w:vMerge/>
            <w:tcBorders>
              <w:top w:val="nil"/>
            </w:tcBorders>
            <w:shd w:val="clear" w:color="auto" w:fill="FBD4B4"/>
          </w:tcPr>
          <w:p w:rsidR="007C5447" w:rsidRDefault="007C5447">
            <w:pPr>
              <w:rPr>
                <w:sz w:val="2"/>
                <w:szCs w:val="2"/>
              </w:rPr>
            </w:pPr>
          </w:p>
        </w:tc>
        <w:tc>
          <w:tcPr>
            <w:tcW w:w="1623" w:type="dxa"/>
            <w:shd w:val="clear" w:color="auto" w:fill="FBD4B4"/>
          </w:tcPr>
          <w:p w:rsidR="007C5447" w:rsidRDefault="00F6308C">
            <w:pPr>
              <w:pStyle w:val="TableParagraph"/>
              <w:spacing w:before="130"/>
              <w:ind w:right="125"/>
              <w:rPr>
                <w:b/>
                <w:sz w:val="20"/>
              </w:rPr>
            </w:pPr>
            <w:r>
              <w:rPr>
                <w:b/>
                <w:sz w:val="20"/>
              </w:rPr>
              <w:t>Quantum (MU)</w:t>
            </w:r>
          </w:p>
        </w:tc>
        <w:tc>
          <w:tcPr>
            <w:tcW w:w="1623" w:type="dxa"/>
            <w:shd w:val="clear" w:color="auto" w:fill="FBD4B4"/>
          </w:tcPr>
          <w:p w:rsidR="007C5447" w:rsidRDefault="00F6308C">
            <w:pPr>
              <w:pStyle w:val="TableParagraph"/>
              <w:spacing w:before="14" w:line="230" w:lineRule="atLeast"/>
              <w:ind w:left="469" w:right="159" w:hanging="274"/>
              <w:jc w:val="left"/>
              <w:rPr>
                <w:b/>
                <w:sz w:val="20"/>
              </w:rPr>
            </w:pPr>
            <w:r>
              <w:rPr>
                <w:b/>
                <w:sz w:val="20"/>
              </w:rPr>
              <w:t>Fixed Charges (Rs. Cr.)</w:t>
            </w:r>
          </w:p>
        </w:tc>
        <w:tc>
          <w:tcPr>
            <w:tcW w:w="1603" w:type="dxa"/>
            <w:shd w:val="clear" w:color="auto" w:fill="FBD4B4"/>
          </w:tcPr>
          <w:p w:rsidR="007C5447" w:rsidRDefault="00F6308C">
            <w:pPr>
              <w:pStyle w:val="TableParagraph"/>
              <w:spacing w:before="14" w:line="230" w:lineRule="atLeast"/>
              <w:ind w:left="346" w:right="116" w:hanging="195"/>
              <w:jc w:val="left"/>
              <w:rPr>
                <w:b/>
                <w:sz w:val="20"/>
              </w:rPr>
            </w:pPr>
            <w:r>
              <w:rPr>
                <w:b/>
                <w:sz w:val="20"/>
              </w:rPr>
              <w:t>Energy Charge (Rs. Crore)</w:t>
            </w:r>
          </w:p>
        </w:tc>
        <w:tc>
          <w:tcPr>
            <w:tcW w:w="1623" w:type="dxa"/>
            <w:shd w:val="clear" w:color="auto" w:fill="FBD4B4"/>
          </w:tcPr>
          <w:p w:rsidR="007C5447" w:rsidRDefault="00F6308C">
            <w:pPr>
              <w:pStyle w:val="TableParagraph"/>
              <w:spacing w:before="14" w:line="230" w:lineRule="atLeast"/>
              <w:ind w:left="394" w:right="126" w:hanging="233"/>
              <w:jc w:val="left"/>
              <w:rPr>
                <w:b/>
                <w:sz w:val="20"/>
              </w:rPr>
            </w:pPr>
            <w:r>
              <w:rPr>
                <w:b/>
                <w:sz w:val="20"/>
              </w:rPr>
              <w:t>Energy Charge (Rs./Unit)</w:t>
            </w:r>
          </w:p>
        </w:tc>
        <w:tc>
          <w:tcPr>
            <w:tcW w:w="1615" w:type="dxa"/>
            <w:shd w:val="clear" w:color="auto" w:fill="FBD4B4"/>
          </w:tcPr>
          <w:p w:rsidR="007C5447" w:rsidRDefault="00F6308C">
            <w:pPr>
              <w:pStyle w:val="TableParagraph"/>
              <w:spacing w:before="14" w:line="230" w:lineRule="atLeast"/>
              <w:ind w:left="466" w:right="328" w:hanging="104"/>
              <w:jc w:val="left"/>
              <w:rPr>
                <w:b/>
                <w:sz w:val="20"/>
              </w:rPr>
            </w:pPr>
            <w:r>
              <w:rPr>
                <w:b/>
                <w:sz w:val="20"/>
              </w:rPr>
              <w:t>Total Cost (Rs. Cr)</w:t>
            </w:r>
          </w:p>
        </w:tc>
        <w:tc>
          <w:tcPr>
            <w:tcW w:w="1339" w:type="dxa"/>
            <w:shd w:val="clear" w:color="auto" w:fill="FBD4B4"/>
          </w:tcPr>
          <w:p w:rsidR="007C5447" w:rsidRDefault="00F6308C">
            <w:pPr>
              <w:pStyle w:val="TableParagraph"/>
              <w:spacing w:before="14" w:line="230" w:lineRule="atLeast"/>
              <w:ind w:left="255" w:right="228" w:firstLine="216"/>
              <w:jc w:val="left"/>
              <w:rPr>
                <w:b/>
                <w:sz w:val="20"/>
              </w:rPr>
            </w:pPr>
            <w:r>
              <w:rPr>
                <w:b/>
                <w:sz w:val="20"/>
              </w:rPr>
              <w:t xml:space="preserve">Rate </w:t>
            </w:r>
            <w:r>
              <w:rPr>
                <w:b/>
                <w:w w:val="95"/>
                <w:sz w:val="20"/>
              </w:rPr>
              <w:t>(Rs/kWh)</w:t>
            </w:r>
          </w:p>
        </w:tc>
      </w:tr>
      <w:tr w:rsidR="007C5447">
        <w:trPr>
          <w:trHeight w:val="328"/>
        </w:trPr>
        <w:tc>
          <w:tcPr>
            <w:tcW w:w="4751" w:type="dxa"/>
          </w:tcPr>
          <w:p w:rsidR="007C5447" w:rsidRDefault="00F6308C">
            <w:pPr>
              <w:pStyle w:val="TableParagraph"/>
              <w:spacing w:before="48"/>
              <w:ind w:left="112"/>
              <w:jc w:val="left"/>
              <w:rPr>
                <w:sz w:val="20"/>
              </w:rPr>
            </w:pPr>
            <w:r>
              <w:rPr>
                <w:sz w:val="20"/>
              </w:rPr>
              <w:t>TGTPS</w:t>
            </w:r>
          </w:p>
        </w:tc>
        <w:tc>
          <w:tcPr>
            <w:tcW w:w="1623" w:type="dxa"/>
          </w:tcPr>
          <w:p w:rsidR="007C5447" w:rsidRDefault="00F6308C">
            <w:pPr>
              <w:pStyle w:val="TableParagraph"/>
              <w:spacing w:before="48"/>
              <w:ind w:right="94"/>
              <w:rPr>
                <w:sz w:val="20"/>
              </w:rPr>
            </w:pPr>
            <w:r>
              <w:rPr>
                <w:w w:val="95"/>
                <w:sz w:val="20"/>
              </w:rPr>
              <w:t>682.00</w:t>
            </w:r>
          </w:p>
        </w:tc>
        <w:tc>
          <w:tcPr>
            <w:tcW w:w="1623" w:type="dxa"/>
          </w:tcPr>
          <w:p w:rsidR="007C5447" w:rsidRDefault="00F6308C">
            <w:pPr>
              <w:pStyle w:val="TableParagraph"/>
              <w:spacing w:before="48"/>
              <w:ind w:right="92"/>
              <w:rPr>
                <w:sz w:val="20"/>
              </w:rPr>
            </w:pPr>
            <w:r>
              <w:rPr>
                <w:sz w:val="20"/>
              </w:rPr>
              <w:t>80.30</w:t>
            </w:r>
          </w:p>
        </w:tc>
        <w:tc>
          <w:tcPr>
            <w:tcW w:w="1603" w:type="dxa"/>
          </w:tcPr>
          <w:p w:rsidR="007C5447" w:rsidRDefault="00F6308C">
            <w:pPr>
              <w:pStyle w:val="TableParagraph"/>
              <w:spacing w:before="48"/>
              <w:ind w:right="94"/>
              <w:rPr>
                <w:sz w:val="20"/>
              </w:rPr>
            </w:pPr>
            <w:r>
              <w:rPr>
                <w:w w:val="95"/>
                <w:sz w:val="20"/>
              </w:rPr>
              <w:t>126.37</w:t>
            </w:r>
          </w:p>
        </w:tc>
        <w:tc>
          <w:tcPr>
            <w:tcW w:w="1623" w:type="dxa"/>
          </w:tcPr>
          <w:p w:rsidR="007C5447" w:rsidRDefault="00F6308C">
            <w:pPr>
              <w:pStyle w:val="TableParagraph"/>
              <w:spacing w:before="48"/>
              <w:ind w:right="94"/>
              <w:rPr>
                <w:sz w:val="20"/>
              </w:rPr>
            </w:pPr>
            <w:r>
              <w:rPr>
                <w:sz w:val="20"/>
              </w:rPr>
              <w:t>1.85</w:t>
            </w:r>
          </w:p>
        </w:tc>
        <w:tc>
          <w:tcPr>
            <w:tcW w:w="1615" w:type="dxa"/>
          </w:tcPr>
          <w:p w:rsidR="007C5447" w:rsidRDefault="00F6308C">
            <w:pPr>
              <w:pStyle w:val="TableParagraph"/>
              <w:spacing w:before="48"/>
              <w:ind w:right="91"/>
              <w:rPr>
                <w:sz w:val="20"/>
              </w:rPr>
            </w:pPr>
            <w:r>
              <w:rPr>
                <w:w w:val="95"/>
                <w:sz w:val="20"/>
              </w:rPr>
              <w:t>206.67</w:t>
            </w:r>
          </w:p>
        </w:tc>
        <w:tc>
          <w:tcPr>
            <w:tcW w:w="1339" w:type="dxa"/>
          </w:tcPr>
          <w:p w:rsidR="007C5447" w:rsidRDefault="00F6308C">
            <w:pPr>
              <w:pStyle w:val="TableParagraph"/>
              <w:spacing w:before="48"/>
              <w:ind w:right="93"/>
              <w:rPr>
                <w:sz w:val="20"/>
              </w:rPr>
            </w:pPr>
            <w:r>
              <w:rPr>
                <w:sz w:val="20"/>
              </w:rPr>
              <w:t>3.03</w:t>
            </w:r>
          </w:p>
        </w:tc>
      </w:tr>
      <w:tr w:rsidR="007C5447">
        <w:trPr>
          <w:trHeight w:val="326"/>
        </w:trPr>
        <w:tc>
          <w:tcPr>
            <w:tcW w:w="4751" w:type="dxa"/>
          </w:tcPr>
          <w:p w:rsidR="007C5447" w:rsidRDefault="00F6308C">
            <w:pPr>
              <w:pStyle w:val="TableParagraph"/>
              <w:spacing w:before="48"/>
              <w:ind w:left="112"/>
              <w:jc w:val="left"/>
              <w:rPr>
                <w:sz w:val="20"/>
              </w:rPr>
            </w:pPr>
            <w:r>
              <w:rPr>
                <w:sz w:val="20"/>
              </w:rPr>
              <w:t>KGTPS</w:t>
            </w:r>
          </w:p>
        </w:tc>
        <w:tc>
          <w:tcPr>
            <w:tcW w:w="1623" w:type="dxa"/>
          </w:tcPr>
          <w:p w:rsidR="007C5447" w:rsidRDefault="00F6308C">
            <w:pPr>
              <w:pStyle w:val="TableParagraph"/>
              <w:spacing w:before="48"/>
              <w:ind w:right="94"/>
              <w:rPr>
                <w:sz w:val="20"/>
              </w:rPr>
            </w:pPr>
            <w:r>
              <w:rPr>
                <w:w w:val="95"/>
                <w:sz w:val="20"/>
              </w:rPr>
              <w:t>51.00</w:t>
            </w:r>
          </w:p>
        </w:tc>
        <w:tc>
          <w:tcPr>
            <w:tcW w:w="1623" w:type="dxa"/>
          </w:tcPr>
          <w:p w:rsidR="007C5447" w:rsidRDefault="00F6308C">
            <w:pPr>
              <w:pStyle w:val="TableParagraph"/>
              <w:spacing w:before="48"/>
              <w:ind w:right="92"/>
              <w:rPr>
                <w:sz w:val="20"/>
              </w:rPr>
            </w:pPr>
            <w:r>
              <w:rPr>
                <w:sz w:val="20"/>
              </w:rPr>
              <w:t>5.85</w:t>
            </w:r>
          </w:p>
        </w:tc>
        <w:tc>
          <w:tcPr>
            <w:tcW w:w="1603" w:type="dxa"/>
          </w:tcPr>
          <w:p w:rsidR="007C5447" w:rsidRDefault="00F6308C">
            <w:pPr>
              <w:pStyle w:val="TableParagraph"/>
              <w:spacing w:before="48"/>
              <w:ind w:right="94"/>
              <w:rPr>
                <w:sz w:val="20"/>
              </w:rPr>
            </w:pPr>
            <w:r>
              <w:rPr>
                <w:w w:val="95"/>
                <w:sz w:val="20"/>
              </w:rPr>
              <w:t>13.50</w:t>
            </w:r>
          </w:p>
        </w:tc>
        <w:tc>
          <w:tcPr>
            <w:tcW w:w="1623" w:type="dxa"/>
          </w:tcPr>
          <w:p w:rsidR="007C5447" w:rsidRDefault="00F6308C">
            <w:pPr>
              <w:pStyle w:val="TableParagraph"/>
              <w:spacing w:before="48"/>
              <w:ind w:right="94"/>
              <w:rPr>
                <w:sz w:val="20"/>
              </w:rPr>
            </w:pPr>
            <w:r>
              <w:rPr>
                <w:sz w:val="20"/>
              </w:rPr>
              <w:t>2.65</w:t>
            </w:r>
          </w:p>
        </w:tc>
        <w:tc>
          <w:tcPr>
            <w:tcW w:w="1615" w:type="dxa"/>
          </w:tcPr>
          <w:p w:rsidR="007C5447" w:rsidRDefault="00F6308C">
            <w:pPr>
              <w:pStyle w:val="TableParagraph"/>
              <w:spacing w:before="48"/>
              <w:ind w:right="91"/>
              <w:rPr>
                <w:sz w:val="20"/>
              </w:rPr>
            </w:pPr>
            <w:r>
              <w:rPr>
                <w:sz w:val="20"/>
              </w:rPr>
              <w:t>19.35</w:t>
            </w:r>
          </w:p>
        </w:tc>
        <w:tc>
          <w:tcPr>
            <w:tcW w:w="1339" w:type="dxa"/>
          </w:tcPr>
          <w:p w:rsidR="007C5447" w:rsidRDefault="00F6308C">
            <w:pPr>
              <w:pStyle w:val="TableParagraph"/>
              <w:spacing w:before="48"/>
              <w:ind w:right="93"/>
              <w:rPr>
                <w:sz w:val="20"/>
              </w:rPr>
            </w:pPr>
            <w:r>
              <w:rPr>
                <w:sz w:val="20"/>
              </w:rPr>
              <w:t>3.79</w:t>
            </w:r>
          </w:p>
        </w:tc>
      </w:tr>
      <w:tr w:rsidR="007C5447">
        <w:trPr>
          <w:trHeight w:val="325"/>
        </w:trPr>
        <w:tc>
          <w:tcPr>
            <w:tcW w:w="4751" w:type="dxa"/>
          </w:tcPr>
          <w:p w:rsidR="007C5447" w:rsidRDefault="00F6308C">
            <w:pPr>
              <w:pStyle w:val="TableParagraph"/>
              <w:spacing w:before="48"/>
              <w:ind w:left="112"/>
              <w:jc w:val="left"/>
              <w:rPr>
                <w:sz w:val="20"/>
              </w:rPr>
            </w:pPr>
            <w:r>
              <w:rPr>
                <w:sz w:val="20"/>
              </w:rPr>
              <w:t>BBGTPS</w:t>
            </w:r>
          </w:p>
        </w:tc>
        <w:tc>
          <w:tcPr>
            <w:tcW w:w="1623" w:type="dxa"/>
          </w:tcPr>
          <w:p w:rsidR="007C5447" w:rsidRDefault="00F6308C">
            <w:pPr>
              <w:pStyle w:val="TableParagraph"/>
              <w:spacing w:before="48"/>
              <w:ind w:right="90"/>
              <w:rPr>
                <w:sz w:val="20"/>
              </w:rPr>
            </w:pPr>
            <w:r>
              <w:rPr>
                <w:w w:val="99"/>
                <w:sz w:val="20"/>
              </w:rPr>
              <w:t>-</w:t>
            </w:r>
          </w:p>
        </w:tc>
        <w:tc>
          <w:tcPr>
            <w:tcW w:w="1623" w:type="dxa"/>
          </w:tcPr>
          <w:p w:rsidR="007C5447" w:rsidRDefault="00F6308C">
            <w:pPr>
              <w:pStyle w:val="TableParagraph"/>
              <w:spacing w:before="48"/>
              <w:ind w:right="92"/>
              <w:rPr>
                <w:sz w:val="20"/>
              </w:rPr>
            </w:pPr>
            <w:r>
              <w:rPr>
                <w:sz w:val="20"/>
              </w:rPr>
              <w:t>45.58</w:t>
            </w:r>
          </w:p>
        </w:tc>
        <w:tc>
          <w:tcPr>
            <w:tcW w:w="1603" w:type="dxa"/>
          </w:tcPr>
          <w:p w:rsidR="007C5447" w:rsidRDefault="00F6308C">
            <w:pPr>
              <w:pStyle w:val="TableParagraph"/>
              <w:spacing w:before="48"/>
              <w:ind w:right="90"/>
              <w:rPr>
                <w:sz w:val="20"/>
              </w:rPr>
            </w:pPr>
            <w:r>
              <w:rPr>
                <w:w w:val="99"/>
                <w:sz w:val="20"/>
              </w:rPr>
              <w:t>-</w:t>
            </w:r>
          </w:p>
        </w:tc>
        <w:tc>
          <w:tcPr>
            <w:tcW w:w="1623" w:type="dxa"/>
          </w:tcPr>
          <w:p w:rsidR="007C5447" w:rsidRDefault="00F6308C">
            <w:pPr>
              <w:pStyle w:val="TableParagraph"/>
              <w:spacing w:before="48"/>
              <w:ind w:right="94"/>
              <w:rPr>
                <w:sz w:val="20"/>
              </w:rPr>
            </w:pPr>
            <w:r>
              <w:rPr>
                <w:w w:val="95"/>
                <w:sz w:val="20"/>
              </w:rPr>
              <w:t>20.85</w:t>
            </w:r>
          </w:p>
        </w:tc>
        <w:tc>
          <w:tcPr>
            <w:tcW w:w="1615" w:type="dxa"/>
          </w:tcPr>
          <w:p w:rsidR="007C5447" w:rsidRDefault="00F6308C">
            <w:pPr>
              <w:pStyle w:val="TableParagraph"/>
              <w:spacing w:before="48"/>
              <w:ind w:right="91"/>
              <w:rPr>
                <w:sz w:val="20"/>
              </w:rPr>
            </w:pPr>
            <w:r>
              <w:rPr>
                <w:sz w:val="20"/>
              </w:rPr>
              <w:t>45.58</w:t>
            </w:r>
          </w:p>
        </w:tc>
        <w:tc>
          <w:tcPr>
            <w:tcW w:w="1339" w:type="dxa"/>
          </w:tcPr>
          <w:p w:rsidR="007C5447" w:rsidRDefault="00F6308C">
            <w:pPr>
              <w:pStyle w:val="TableParagraph"/>
              <w:spacing w:before="48"/>
              <w:ind w:right="90"/>
              <w:rPr>
                <w:sz w:val="20"/>
              </w:rPr>
            </w:pPr>
            <w:r>
              <w:rPr>
                <w:w w:val="99"/>
                <w:sz w:val="20"/>
              </w:rPr>
              <w:t>-</w:t>
            </w:r>
          </w:p>
        </w:tc>
      </w:tr>
      <w:tr w:rsidR="007C5447">
        <w:trPr>
          <w:trHeight w:val="328"/>
        </w:trPr>
        <w:tc>
          <w:tcPr>
            <w:tcW w:w="4751" w:type="dxa"/>
          </w:tcPr>
          <w:p w:rsidR="007C5447" w:rsidRDefault="00F6308C">
            <w:pPr>
              <w:pStyle w:val="TableParagraph"/>
              <w:spacing w:before="50"/>
              <w:ind w:left="112"/>
              <w:jc w:val="left"/>
              <w:rPr>
                <w:sz w:val="20"/>
              </w:rPr>
            </w:pPr>
            <w:r>
              <w:rPr>
                <w:sz w:val="20"/>
              </w:rPr>
              <w:t>VGTPS (Unit 1 and 2)</w:t>
            </w:r>
          </w:p>
        </w:tc>
        <w:tc>
          <w:tcPr>
            <w:tcW w:w="1623" w:type="dxa"/>
          </w:tcPr>
          <w:p w:rsidR="007C5447" w:rsidRDefault="00F6308C">
            <w:pPr>
              <w:pStyle w:val="TableParagraph"/>
              <w:spacing w:before="50"/>
              <w:ind w:right="94"/>
              <w:rPr>
                <w:sz w:val="20"/>
              </w:rPr>
            </w:pPr>
            <w:r>
              <w:rPr>
                <w:w w:val="95"/>
                <w:sz w:val="20"/>
              </w:rPr>
              <w:t>885.00</w:t>
            </w:r>
          </w:p>
        </w:tc>
        <w:tc>
          <w:tcPr>
            <w:tcW w:w="1623" w:type="dxa"/>
          </w:tcPr>
          <w:p w:rsidR="007C5447" w:rsidRDefault="00F6308C">
            <w:pPr>
              <w:pStyle w:val="TableParagraph"/>
              <w:spacing w:before="50"/>
              <w:ind w:right="92"/>
              <w:rPr>
                <w:sz w:val="20"/>
              </w:rPr>
            </w:pPr>
            <w:r>
              <w:rPr>
                <w:w w:val="95"/>
                <w:sz w:val="20"/>
              </w:rPr>
              <w:t>135.52</w:t>
            </w:r>
          </w:p>
        </w:tc>
        <w:tc>
          <w:tcPr>
            <w:tcW w:w="1603" w:type="dxa"/>
          </w:tcPr>
          <w:p w:rsidR="007C5447" w:rsidRDefault="00F6308C">
            <w:pPr>
              <w:pStyle w:val="TableParagraph"/>
              <w:spacing w:before="50"/>
              <w:ind w:right="94"/>
              <w:rPr>
                <w:sz w:val="20"/>
              </w:rPr>
            </w:pPr>
            <w:r>
              <w:rPr>
                <w:w w:val="95"/>
                <w:sz w:val="20"/>
              </w:rPr>
              <w:t>185.49</w:t>
            </w:r>
          </w:p>
        </w:tc>
        <w:tc>
          <w:tcPr>
            <w:tcW w:w="1623" w:type="dxa"/>
          </w:tcPr>
          <w:p w:rsidR="007C5447" w:rsidRDefault="00F6308C">
            <w:pPr>
              <w:pStyle w:val="TableParagraph"/>
              <w:spacing w:before="50"/>
              <w:ind w:right="94"/>
              <w:rPr>
                <w:sz w:val="20"/>
              </w:rPr>
            </w:pPr>
            <w:r>
              <w:rPr>
                <w:sz w:val="20"/>
              </w:rPr>
              <w:t>2.10</w:t>
            </w:r>
          </w:p>
        </w:tc>
        <w:tc>
          <w:tcPr>
            <w:tcW w:w="1615" w:type="dxa"/>
          </w:tcPr>
          <w:p w:rsidR="007C5447" w:rsidRDefault="00F6308C">
            <w:pPr>
              <w:pStyle w:val="TableParagraph"/>
              <w:spacing w:before="50"/>
              <w:ind w:right="91"/>
              <w:rPr>
                <w:sz w:val="20"/>
              </w:rPr>
            </w:pPr>
            <w:r>
              <w:rPr>
                <w:w w:val="95"/>
                <w:sz w:val="20"/>
              </w:rPr>
              <w:t>321.00</w:t>
            </w:r>
          </w:p>
        </w:tc>
        <w:tc>
          <w:tcPr>
            <w:tcW w:w="1339" w:type="dxa"/>
          </w:tcPr>
          <w:p w:rsidR="007C5447" w:rsidRDefault="00F6308C">
            <w:pPr>
              <w:pStyle w:val="TableParagraph"/>
              <w:spacing w:before="50"/>
              <w:ind w:right="93"/>
              <w:rPr>
                <w:sz w:val="20"/>
              </w:rPr>
            </w:pPr>
            <w:r>
              <w:rPr>
                <w:sz w:val="20"/>
              </w:rPr>
              <w:t>3.63</w:t>
            </w:r>
          </w:p>
        </w:tc>
      </w:tr>
      <w:tr w:rsidR="007C5447">
        <w:trPr>
          <w:trHeight w:val="325"/>
        </w:trPr>
        <w:tc>
          <w:tcPr>
            <w:tcW w:w="4751" w:type="dxa"/>
          </w:tcPr>
          <w:p w:rsidR="007C5447" w:rsidRDefault="00F6308C">
            <w:pPr>
              <w:pStyle w:val="TableParagraph"/>
              <w:spacing w:before="48"/>
              <w:ind w:left="1728" w:right="1715"/>
              <w:jc w:val="center"/>
              <w:rPr>
                <w:b/>
                <w:sz w:val="20"/>
              </w:rPr>
            </w:pPr>
            <w:r>
              <w:rPr>
                <w:b/>
                <w:sz w:val="20"/>
              </w:rPr>
              <w:t>Total Gas</w:t>
            </w:r>
          </w:p>
        </w:tc>
        <w:tc>
          <w:tcPr>
            <w:tcW w:w="1623" w:type="dxa"/>
          </w:tcPr>
          <w:p w:rsidR="007C5447" w:rsidRDefault="00F6308C">
            <w:pPr>
              <w:pStyle w:val="TableParagraph"/>
              <w:spacing w:before="48"/>
              <w:ind w:right="92"/>
              <w:rPr>
                <w:b/>
                <w:sz w:val="20"/>
              </w:rPr>
            </w:pPr>
            <w:r>
              <w:rPr>
                <w:b/>
                <w:w w:val="95"/>
                <w:sz w:val="20"/>
              </w:rPr>
              <w:t>1,618.00</w:t>
            </w:r>
          </w:p>
        </w:tc>
        <w:tc>
          <w:tcPr>
            <w:tcW w:w="1623" w:type="dxa"/>
          </w:tcPr>
          <w:p w:rsidR="007C5447" w:rsidRDefault="00F6308C">
            <w:pPr>
              <w:pStyle w:val="TableParagraph"/>
              <w:spacing w:before="48"/>
              <w:ind w:right="92"/>
              <w:rPr>
                <w:b/>
                <w:sz w:val="20"/>
              </w:rPr>
            </w:pPr>
            <w:r>
              <w:rPr>
                <w:b/>
                <w:w w:val="95"/>
                <w:sz w:val="20"/>
              </w:rPr>
              <w:t>267.25</w:t>
            </w:r>
          </w:p>
        </w:tc>
        <w:tc>
          <w:tcPr>
            <w:tcW w:w="1603" w:type="dxa"/>
          </w:tcPr>
          <w:p w:rsidR="007C5447" w:rsidRDefault="00F6308C">
            <w:pPr>
              <w:pStyle w:val="TableParagraph"/>
              <w:spacing w:before="48"/>
              <w:ind w:right="94"/>
              <w:rPr>
                <w:b/>
                <w:sz w:val="20"/>
              </w:rPr>
            </w:pPr>
            <w:r>
              <w:rPr>
                <w:b/>
                <w:w w:val="95"/>
                <w:sz w:val="20"/>
              </w:rPr>
              <w:t>325.35</w:t>
            </w:r>
          </w:p>
        </w:tc>
        <w:tc>
          <w:tcPr>
            <w:tcW w:w="1623" w:type="dxa"/>
          </w:tcPr>
          <w:p w:rsidR="007C5447" w:rsidRDefault="00F6308C">
            <w:pPr>
              <w:pStyle w:val="TableParagraph"/>
              <w:spacing w:before="48"/>
              <w:ind w:right="92"/>
              <w:rPr>
                <w:b/>
                <w:sz w:val="20"/>
              </w:rPr>
            </w:pPr>
            <w:r>
              <w:rPr>
                <w:b/>
                <w:sz w:val="20"/>
              </w:rPr>
              <w:t>2.01</w:t>
            </w:r>
          </w:p>
        </w:tc>
        <w:tc>
          <w:tcPr>
            <w:tcW w:w="1615" w:type="dxa"/>
          </w:tcPr>
          <w:p w:rsidR="007C5447" w:rsidRDefault="00F6308C">
            <w:pPr>
              <w:pStyle w:val="TableParagraph"/>
              <w:spacing w:before="48"/>
              <w:ind w:right="91"/>
              <w:rPr>
                <w:b/>
                <w:sz w:val="20"/>
              </w:rPr>
            </w:pPr>
            <w:r>
              <w:rPr>
                <w:b/>
                <w:w w:val="95"/>
                <w:sz w:val="20"/>
              </w:rPr>
              <w:t>592.60</w:t>
            </w:r>
          </w:p>
        </w:tc>
        <w:tc>
          <w:tcPr>
            <w:tcW w:w="1339" w:type="dxa"/>
          </w:tcPr>
          <w:p w:rsidR="007C5447" w:rsidRDefault="00F6308C">
            <w:pPr>
              <w:pStyle w:val="TableParagraph"/>
              <w:spacing w:before="48"/>
              <w:ind w:right="93"/>
              <w:rPr>
                <w:b/>
                <w:sz w:val="20"/>
              </w:rPr>
            </w:pPr>
            <w:r>
              <w:rPr>
                <w:b/>
                <w:sz w:val="20"/>
              </w:rPr>
              <w:t>3.66</w:t>
            </w:r>
          </w:p>
        </w:tc>
      </w:tr>
      <w:tr w:rsidR="007C5447">
        <w:trPr>
          <w:trHeight w:val="328"/>
        </w:trPr>
        <w:tc>
          <w:tcPr>
            <w:tcW w:w="4751" w:type="dxa"/>
          </w:tcPr>
          <w:p w:rsidR="007C5447" w:rsidRDefault="00F6308C">
            <w:pPr>
              <w:pStyle w:val="TableParagraph"/>
              <w:spacing w:before="51"/>
              <w:ind w:left="112"/>
              <w:jc w:val="left"/>
              <w:rPr>
                <w:sz w:val="20"/>
              </w:rPr>
            </w:pPr>
            <w:r>
              <w:rPr>
                <w:sz w:val="20"/>
              </w:rPr>
              <w:t>Erode HEP</w:t>
            </w:r>
          </w:p>
        </w:tc>
        <w:tc>
          <w:tcPr>
            <w:tcW w:w="1623" w:type="dxa"/>
          </w:tcPr>
          <w:p w:rsidR="007C5447" w:rsidRDefault="00F6308C">
            <w:pPr>
              <w:pStyle w:val="TableParagraph"/>
              <w:spacing w:before="51"/>
              <w:ind w:right="94"/>
              <w:rPr>
                <w:sz w:val="20"/>
              </w:rPr>
            </w:pPr>
            <w:r>
              <w:rPr>
                <w:w w:val="95"/>
                <w:sz w:val="20"/>
              </w:rPr>
              <w:t>464.00</w:t>
            </w:r>
          </w:p>
        </w:tc>
        <w:tc>
          <w:tcPr>
            <w:tcW w:w="1623" w:type="dxa"/>
          </w:tcPr>
          <w:p w:rsidR="007C5447" w:rsidRDefault="00F6308C">
            <w:pPr>
              <w:pStyle w:val="TableParagraph"/>
              <w:spacing w:before="51"/>
              <w:ind w:right="92"/>
              <w:rPr>
                <w:sz w:val="20"/>
              </w:rPr>
            </w:pPr>
            <w:r>
              <w:rPr>
                <w:w w:val="95"/>
                <w:sz w:val="20"/>
              </w:rPr>
              <w:t>146.20</w:t>
            </w: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51"/>
              <w:ind w:right="91"/>
              <w:rPr>
                <w:sz w:val="20"/>
              </w:rPr>
            </w:pPr>
            <w:r>
              <w:rPr>
                <w:w w:val="95"/>
                <w:sz w:val="20"/>
              </w:rPr>
              <w:t>146.20</w:t>
            </w:r>
          </w:p>
        </w:tc>
        <w:tc>
          <w:tcPr>
            <w:tcW w:w="1339" w:type="dxa"/>
          </w:tcPr>
          <w:p w:rsidR="007C5447" w:rsidRDefault="00F6308C">
            <w:pPr>
              <w:pStyle w:val="TableParagraph"/>
              <w:spacing w:before="51"/>
              <w:ind w:right="91"/>
              <w:rPr>
                <w:sz w:val="20"/>
              </w:rPr>
            </w:pPr>
            <w:r>
              <w:rPr>
                <w:sz w:val="20"/>
              </w:rPr>
              <w:t>3.15</w:t>
            </w:r>
          </w:p>
        </w:tc>
      </w:tr>
      <w:tr w:rsidR="007C5447">
        <w:trPr>
          <w:trHeight w:val="326"/>
        </w:trPr>
        <w:tc>
          <w:tcPr>
            <w:tcW w:w="4751" w:type="dxa"/>
          </w:tcPr>
          <w:p w:rsidR="007C5447" w:rsidRDefault="00F6308C">
            <w:pPr>
              <w:pStyle w:val="TableParagraph"/>
              <w:spacing w:before="48"/>
              <w:ind w:left="112"/>
              <w:jc w:val="left"/>
              <w:rPr>
                <w:sz w:val="20"/>
              </w:rPr>
            </w:pPr>
            <w:r>
              <w:rPr>
                <w:sz w:val="20"/>
              </w:rPr>
              <w:t>Kadamparai HEP</w:t>
            </w:r>
          </w:p>
        </w:tc>
        <w:tc>
          <w:tcPr>
            <w:tcW w:w="1623" w:type="dxa"/>
          </w:tcPr>
          <w:p w:rsidR="007C5447" w:rsidRDefault="00F6308C">
            <w:pPr>
              <w:pStyle w:val="TableParagraph"/>
              <w:spacing w:before="48"/>
              <w:ind w:right="94"/>
              <w:rPr>
                <w:sz w:val="20"/>
              </w:rPr>
            </w:pPr>
            <w:r>
              <w:rPr>
                <w:w w:val="95"/>
                <w:sz w:val="20"/>
              </w:rPr>
              <w:t>368.08</w:t>
            </w:r>
          </w:p>
        </w:tc>
        <w:tc>
          <w:tcPr>
            <w:tcW w:w="1623" w:type="dxa"/>
          </w:tcPr>
          <w:p w:rsidR="007C5447" w:rsidRDefault="00F6308C">
            <w:pPr>
              <w:pStyle w:val="TableParagraph"/>
              <w:spacing w:before="48"/>
              <w:ind w:right="92"/>
              <w:rPr>
                <w:sz w:val="20"/>
              </w:rPr>
            </w:pPr>
            <w:r>
              <w:rPr>
                <w:sz w:val="20"/>
              </w:rPr>
              <w:t>71.19</w:t>
            </w: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48"/>
              <w:ind w:right="91"/>
              <w:rPr>
                <w:sz w:val="20"/>
              </w:rPr>
            </w:pPr>
            <w:r>
              <w:rPr>
                <w:sz w:val="20"/>
              </w:rPr>
              <w:t>71.19</w:t>
            </w:r>
          </w:p>
        </w:tc>
        <w:tc>
          <w:tcPr>
            <w:tcW w:w="1339" w:type="dxa"/>
          </w:tcPr>
          <w:p w:rsidR="007C5447" w:rsidRDefault="00F6308C">
            <w:pPr>
              <w:pStyle w:val="TableParagraph"/>
              <w:spacing w:before="48"/>
              <w:ind w:right="91"/>
              <w:rPr>
                <w:sz w:val="20"/>
              </w:rPr>
            </w:pPr>
            <w:r>
              <w:rPr>
                <w:sz w:val="20"/>
              </w:rPr>
              <w:t>1.93</w:t>
            </w:r>
          </w:p>
        </w:tc>
      </w:tr>
      <w:tr w:rsidR="007C5447">
        <w:trPr>
          <w:trHeight w:val="328"/>
        </w:trPr>
        <w:tc>
          <w:tcPr>
            <w:tcW w:w="4751" w:type="dxa"/>
          </w:tcPr>
          <w:p w:rsidR="007C5447" w:rsidRDefault="00F6308C">
            <w:pPr>
              <w:pStyle w:val="TableParagraph"/>
              <w:spacing w:before="48"/>
              <w:ind w:left="112"/>
              <w:jc w:val="left"/>
              <w:rPr>
                <w:sz w:val="20"/>
              </w:rPr>
            </w:pPr>
            <w:r>
              <w:rPr>
                <w:sz w:val="20"/>
              </w:rPr>
              <w:t>Kundah HEP</w:t>
            </w:r>
          </w:p>
        </w:tc>
        <w:tc>
          <w:tcPr>
            <w:tcW w:w="1623" w:type="dxa"/>
          </w:tcPr>
          <w:p w:rsidR="007C5447" w:rsidRDefault="00F6308C">
            <w:pPr>
              <w:pStyle w:val="TableParagraph"/>
              <w:spacing w:before="48"/>
              <w:ind w:right="92"/>
              <w:rPr>
                <w:sz w:val="20"/>
              </w:rPr>
            </w:pPr>
            <w:r>
              <w:rPr>
                <w:w w:val="95"/>
                <w:sz w:val="20"/>
              </w:rPr>
              <w:t>1,353.00</w:t>
            </w:r>
          </w:p>
        </w:tc>
        <w:tc>
          <w:tcPr>
            <w:tcW w:w="1623" w:type="dxa"/>
          </w:tcPr>
          <w:p w:rsidR="007C5447" w:rsidRDefault="00F6308C">
            <w:pPr>
              <w:pStyle w:val="TableParagraph"/>
              <w:spacing w:before="48"/>
              <w:ind w:right="92"/>
              <w:rPr>
                <w:sz w:val="20"/>
              </w:rPr>
            </w:pPr>
            <w:r>
              <w:rPr>
                <w:w w:val="95"/>
                <w:sz w:val="20"/>
              </w:rPr>
              <w:t>205.60</w:t>
            </w: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48"/>
              <w:ind w:right="91"/>
              <w:rPr>
                <w:sz w:val="20"/>
              </w:rPr>
            </w:pPr>
            <w:r>
              <w:rPr>
                <w:w w:val="95"/>
                <w:sz w:val="20"/>
              </w:rPr>
              <w:t>205.60</w:t>
            </w:r>
          </w:p>
        </w:tc>
        <w:tc>
          <w:tcPr>
            <w:tcW w:w="1339" w:type="dxa"/>
          </w:tcPr>
          <w:p w:rsidR="007C5447" w:rsidRDefault="00F6308C">
            <w:pPr>
              <w:pStyle w:val="TableParagraph"/>
              <w:spacing w:before="48"/>
              <w:ind w:right="91"/>
              <w:rPr>
                <w:sz w:val="20"/>
              </w:rPr>
            </w:pPr>
            <w:r>
              <w:rPr>
                <w:sz w:val="20"/>
              </w:rPr>
              <w:t>1.52</w:t>
            </w:r>
          </w:p>
        </w:tc>
      </w:tr>
      <w:tr w:rsidR="007C5447">
        <w:trPr>
          <w:trHeight w:val="326"/>
        </w:trPr>
        <w:tc>
          <w:tcPr>
            <w:tcW w:w="4751" w:type="dxa"/>
          </w:tcPr>
          <w:p w:rsidR="007C5447" w:rsidRDefault="00F6308C">
            <w:pPr>
              <w:pStyle w:val="TableParagraph"/>
              <w:spacing w:before="48"/>
              <w:ind w:left="112"/>
              <w:jc w:val="left"/>
              <w:rPr>
                <w:sz w:val="20"/>
              </w:rPr>
            </w:pPr>
            <w:r>
              <w:rPr>
                <w:sz w:val="20"/>
              </w:rPr>
              <w:t>Tirunelveli HEP</w:t>
            </w:r>
          </w:p>
        </w:tc>
        <w:tc>
          <w:tcPr>
            <w:tcW w:w="1623" w:type="dxa"/>
          </w:tcPr>
          <w:p w:rsidR="007C5447" w:rsidRDefault="00F6308C">
            <w:pPr>
              <w:pStyle w:val="TableParagraph"/>
              <w:spacing w:before="48"/>
              <w:ind w:right="94"/>
              <w:rPr>
                <w:sz w:val="20"/>
              </w:rPr>
            </w:pPr>
            <w:r>
              <w:rPr>
                <w:w w:val="95"/>
                <w:sz w:val="20"/>
              </w:rPr>
              <w:t>231.00</w:t>
            </w:r>
          </w:p>
        </w:tc>
        <w:tc>
          <w:tcPr>
            <w:tcW w:w="1623" w:type="dxa"/>
          </w:tcPr>
          <w:p w:rsidR="007C5447" w:rsidRDefault="00F6308C">
            <w:pPr>
              <w:pStyle w:val="TableParagraph"/>
              <w:spacing w:before="48"/>
              <w:ind w:right="92"/>
              <w:rPr>
                <w:sz w:val="20"/>
              </w:rPr>
            </w:pPr>
            <w:r>
              <w:rPr>
                <w:sz w:val="20"/>
              </w:rPr>
              <w:t>89.47</w:t>
            </w: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48"/>
              <w:ind w:right="91"/>
              <w:rPr>
                <w:sz w:val="20"/>
              </w:rPr>
            </w:pPr>
            <w:r>
              <w:rPr>
                <w:sz w:val="20"/>
              </w:rPr>
              <w:t>89.47</w:t>
            </w:r>
          </w:p>
        </w:tc>
        <w:tc>
          <w:tcPr>
            <w:tcW w:w="1339" w:type="dxa"/>
          </w:tcPr>
          <w:p w:rsidR="007C5447" w:rsidRDefault="00F6308C">
            <w:pPr>
              <w:pStyle w:val="TableParagraph"/>
              <w:spacing w:before="48"/>
              <w:ind w:right="91"/>
              <w:rPr>
                <w:sz w:val="20"/>
              </w:rPr>
            </w:pPr>
            <w:r>
              <w:rPr>
                <w:sz w:val="20"/>
              </w:rPr>
              <w:t>3.87</w:t>
            </w:r>
          </w:p>
        </w:tc>
      </w:tr>
      <w:tr w:rsidR="007C5447">
        <w:trPr>
          <w:trHeight w:val="325"/>
        </w:trPr>
        <w:tc>
          <w:tcPr>
            <w:tcW w:w="4751" w:type="dxa"/>
          </w:tcPr>
          <w:p w:rsidR="007C5447" w:rsidRDefault="00F6308C">
            <w:pPr>
              <w:pStyle w:val="TableParagraph"/>
              <w:spacing w:before="48"/>
              <w:ind w:left="1728" w:right="1712"/>
              <w:jc w:val="center"/>
              <w:rPr>
                <w:b/>
                <w:sz w:val="20"/>
              </w:rPr>
            </w:pPr>
            <w:r>
              <w:rPr>
                <w:b/>
                <w:sz w:val="20"/>
              </w:rPr>
              <w:t>Total Hydro</w:t>
            </w:r>
          </w:p>
        </w:tc>
        <w:tc>
          <w:tcPr>
            <w:tcW w:w="1623" w:type="dxa"/>
          </w:tcPr>
          <w:p w:rsidR="007C5447" w:rsidRDefault="00F6308C">
            <w:pPr>
              <w:pStyle w:val="TableParagraph"/>
              <w:spacing w:before="48"/>
              <w:ind w:right="92"/>
              <w:rPr>
                <w:b/>
                <w:sz w:val="20"/>
              </w:rPr>
            </w:pPr>
            <w:r>
              <w:rPr>
                <w:b/>
                <w:w w:val="95"/>
                <w:sz w:val="20"/>
              </w:rPr>
              <w:t>2,416.08</w:t>
            </w:r>
          </w:p>
        </w:tc>
        <w:tc>
          <w:tcPr>
            <w:tcW w:w="1623" w:type="dxa"/>
          </w:tcPr>
          <w:p w:rsidR="007C5447" w:rsidRDefault="00F6308C">
            <w:pPr>
              <w:pStyle w:val="TableParagraph"/>
              <w:spacing w:before="48"/>
              <w:ind w:right="92"/>
              <w:rPr>
                <w:b/>
                <w:sz w:val="20"/>
              </w:rPr>
            </w:pPr>
            <w:r>
              <w:rPr>
                <w:b/>
                <w:w w:val="95"/>
                <w:sz w:val="20"/>
              </w:rPr>
              <w:t>512.46</w:t>
            </w: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48"/>
              <w:ind w:right="91"/>
              <w:rPr>
                <w:b/>
                <w:sz w:val="20"/>
              </w:rPr>
            </w:pPr>
            <w:r>
              <w:rPr>
                <w:b/>
                <w:w w:val="95"/>
                <w:sz w:val="20"/>
              </w:rPr>
              <w:t>512.46</w:t>
            </w:r>
          </w:p>
        </w:tc>
        <w:tc>
          <w:tcPr>
            <w:tcW w:w="1339" w:type="dxa"/>
          </w:tcPr>
          <w:p w:rsidR="007C5447" w:rsidRDefault="00F6308C">
            <w:pPr>
              <w:pStyle w:val="TableParagraph"/>
              <w:spacing w:before="48"/>
              <w:ind w:right="91"/>
              <w:rPr>
                <w:b/>
                <w:sz w:val="20"/>
              </w:rPr>
            </w:pPr>
            <w:r>
              <w:rPr>
                <w:b/>
                <w:sz w:val="20"/>
              </w:rPr>
              <w:t>2.12</w:t>
            </w:r>
          </w:p>
        </w:tc>
      </w:tr>
      <w:tr w:rsidR="007C5447">
        <w:trPr>
          <w:trHeight w:val="328"/>
        </w:trPr>
        <w:tc>
          <w:tcPr>
            <w:tcW w:w="4751" w:type="dxa"/>
          </w:tcPr>
          <w:p w:rsidR="007C5447" w:rsidRDefault="00F6308C">
            <w:pPr>
              <w:pStyle w:val="TableParagraph"/>
              <w:spacing w:before="50"/>
              <w:ind w:left="112"/>
              <w:jc w:val="left"/>
              <w:rPr>
                <w:b/>
                <w:sz w:val="20"/>
              </w:rPr>
            </w:pPr>
            <w:r>
              <w:rPr>
                <w:b/>
                <w:sz w:val="20"/>
              </w:rPr>
              <w:t>Wind</w:t>
            </w:r>
          </w:p>
        </w:tc>
        <w:tc>
          <w:tcPr>
            <w:tcW w:w="1623" w:type="dxa"/>
          </w:tcPr>
          <w:p w:rsidR="007C5447" w:rsidRDefault="00F6308C">
            <w:pPr>
              <w:pStyle w:val="TableParagraph"/>
              <w:spacing w:before="50"/>
              <w:ind w:right="94"/>
              <w:rPr>
                <w:sz w:val="20"/>
              </w:rPr>
            </w:pPr>
            <w:r>
              <w:rPr>
                <w:w w:val="95"/>
                <w:sz w:val="20"/>
              </w:rPr>
              <w:t>13.00</w:t>
            </w:r>
          </w:p>
        </w:tc>
        <w:tc>
          <w:tcPr>
            <w:tcW w:w="1623" w:type="dxa"/>
          </w:tcPr>
          <w:p w:rsidR="007C5447" w:rsidRDefault="007C5447">
            <w:pPr>
              <w:pStyle w:val="TableParagraph"/>
              <w:jc w:val="left"/>
              <w:rPr>
                <w:sz w:val="20"/>
              </w:rPr>
            </w:pPr>
          </w:p>
        </w:tc>
        <w:tc>
          <w:tcPr>
            <w:tcW w:w="1603" w:type="dxa"/>
          </w:tcPr>
          <w:p w:rsidR="007C5447" w:rsidRDefault="00F6308C">
            <w:pPr>
              <w:pStyle w:val="TableParagraph"/>
              <w:spacing w:before="50"/>
              <w:ind w:right="91"/>
              <w:rPr>
                <w:sz w:val="20"/>
              </w:rPr>
            </w:pPr>
            <w:r>
              <w:rPr>
                <w:sz w:val="20"/>
              </w:rPr>
              <w:t>3.00</w:t>
            </w: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50"/>
              <w:ind w:right="94"/>
              <w:rPr>
                <w:sz w:val="20"/>
              </w:rPr>
            </w:pPr>
            <w:r>
              <w:rPr>
                <w:sz w:val="20"/>
              </w:rPr>
              <w:t>3.00</w:t>
            </w:r>
          </w:p>
        </w:tc>
        <w:tc>
          <w:tcPr>
            <w:tcW w:w="1339" w:type="dxa"/>
          </w:tcPr>
          <w:p w:rsidR="007C5447" w:rsidRDefault="00F6308C">
            <w:pPr>
              <w:pStyle w:val="TableParagraph"/>
              <w:spacing w:before="50"/>
              <w:ind w:right="93"/>
              <w:rPr>
                <w:sz w:val="20"/>
              </w:rPr>
            </w:pPr>
            <w:r>
              <w:rPr>
                <w:sz w:val="20"/>
              </w:rPr>
              <w:t>2.31</w:t>
            </w:r>
          </w:p>
        </w:tc>
      </w:tr>
      <w:tr w:rsidR="007C5447">
        <w:trPr>
          <w:trHeight w:val="325"/>
        </w:trPr>
        <w:tc>
          <w:tcPr>
            <w:tcW w:w="4751" w:type="dxa"/>
          </w:tcPr>
          <w:p w:rsidR="007C5447" w:rsidRDefault="00F6308C">
            <w:pPr>
              <w:pStyle w:val="TableParagraph"/>
              <w:spacing w:before="48"/>
              <w:ind w:left="112"/>
              <w:jc w:val="left"/>
              <w:rPr>
                <w:b/>
                <w:sz w:val="20"/>
              </w:rPr>
            </w:pPr>
            <w:r>
              <w:rPr>
                <w:b/>
                <w:sz w:val="20"/>
              </w:rPr>
              <w:t>Total from Own Generating</w:t>
            </w:r>
          </w:p>
        </w:tc>
        <w:tc>
          <w:tcPr>
            <w:tcW w:w="1623" w:type="dxa"/>
          </w:tcPr>
          <w:p w:rsidR="007C5447" w:rsidRDefault="00F6308C">
            <w:pPr>
              <w:pStyle w:val="TableParagraph"/>
              <w:spacing w:before="48"/>
              <w:ind w:right="94"/>
              <w:rPr>
                <w:b/>
                <w:sz w:val="20"/>
              </w:rPr>
            </w:pPr>
            <w:r>
              <w:rPr>
                <w:b/>
                <w:w w:val="95"/>
                <w:sz w:val="20"/>
              </w:rPr>
              <w:t>22,595.08</w:t>
            </w:r>
          </w:p>
        </w:tc>
        <w:tc>
          <w:tcPr>
            <w:tcW w:w="1623" w:type="dxa"/>
          </w:tcPr>
          <w:p w:rsidR="007C5447" w:rsidRDefault="00F6308C">
            <w:pPr>
              <w:pStyle w:val="TableParagraph"/>
              <w:spacing w:before="48"/>
              <w:ind w:right="93"/>
              <w:rPr>
                <w:b/>
                <w:sz w:val="20"/>
              </w:rPr>
            </w:pPr>
            <w:r>
              <w:rPr>
                <w:b/>
                <w:w w:val="95"/>
                <w:sz w:val="20"/>
              </w:rPr>
              <w:t>2,135.13</w:t>
            </w:r>
          </w:p>
        </w:tc>
        <w:tc>
          <w:tcPr>
            <w:tcW w:w="1603" w:type="dxa"/>
          </w:tcPr>
          <w:p w:rsidR="007C5447" w:rsidRDefault="00F6308C">
            <w:pPr>
              <w:pStyle w:val="TableParagraph"/>
              <w:spacing w:before="48"/>
              <w:ind w:right="92"/>
              <w:rPr>
                <w:b/>
                <w:sz w:val="20"/>
              </w:rPr>
            </w:pPr>
            <w:r>
              <w:rPr>
                <w:b/>
                <w:w w:val="95"/>
                <w:sz w:val="20"/>
              </w:rPr>
              <w:t>4,709.10</w:t>
            </w:r>
          </w:p>
        </w:tc>
        <w:tc>
          <w:tcPr>
            <w:tcW w:w="1623" w:type="dxa"/>
          </w:tcPr>
          <w:p w:rsidR="007C5447" w:rsidRDefault="00F6308C">
            <w:pPr>
              <w:pStyle w:val="TableParagraph"/>
              <w:spacing w:before="48"/>
              <w:ind w:right="92"/>
              <w:rPr>
                <w:b/>
                <w:sz w:val="20"/>
              </w:rPr>
            </w:pPr>
            <w:r>
              <w:rPr>
                <w:b/>
                <w:sz w:val="20"/>
              </w:rPr>
              <w:t>2.08</w:t>
            </w:r>
          </w:p>
        </w:tc>
        <w:tc>
          <w:tcPr>
            <w:tcW w:w="1615" w:type="dxa"/>
          </w:tcPr>
          <w:p w:rsidR="007C5447" w:rsidRDefault="00F6308C">
            <w:pPr>
              <w:pStyle w:val="TableParagraph"/>
              <w:spacing w:before="48"/>
              <w:ind w:right="92"/>
              <w:rPr>
                <w:b/>
                <w:sz w:val="20"/>
              </w:rPr>
            </w:pPr>
            <w:r>
              <w:rPr>
                <w:b/>
                <w:w w:val="95"/>
                <w:sz w:val="20"/>
              </w:rPr>
              <w:t>6,844.23</w:t>
            </w:r>
          </w:p>
        </w:tc>
        <w:tc>
          <w:tcPr>
            <w:tcW w:w="1339" w:type="dxa"/>
          </w:tcPr>
          <w:p w:rsidR="007C5447" w:rsidRDefault="00F6308C">
            <w:pPr>
              <w:pStyle w:val="TableParagraph"/>
              <w:spacing w:before="48"/>
              <w:ind w:right="93"/>
              <w:rPr>
                <w:b/>
                <w:sz w:val="20"/>
              </w:rPr>
            </w:pPr>
            <w:r>
              <w:rPr>
                <w:b/>
                <w:sz w:val="20"/>
              </w:rPr>
              <w:t>3.03</w:t>
            </w:r>
          </w:p>
        </w:tc>
      </w:tr>
      <w:tr w:rsidR="007C5447">
        <w:trPr>
          <w:trHeight w:val="328"/>
        </w:trPr>
        <w:tc>
          <w:tcPr>
            <w:tcW w:w="4751" w:type="dxa"/>
          </w:tcPr>
          <w:p w:rsidR="007C5447" w:rsidRDefault="00F6308C">
            <w:pPr>
              <w:pStyle w:val="TableParagraph"/>
              <w:spacing w:before="48"/>
              <w:ind w:left="112"/>
              <w:jc w:val="left"/>
              <w:rPr>
                <w:b/>
                <w:sz w:val="20"/>
              </w:rPr>
            </w:pPr>
            <w:r>
              <w:rPr>
                <w:b/>
                <w:sz w:val="20"/>
              </w:rPr>
              <w:t>CGS</w:t>
            </w:r>
          </w:p>
        </w:tc>
        <w:tc>
          <w:tcPr>
            <w:tcW w:w="162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NTPC SR (Ramagundam) (I&amp;II)</w:t>
            </w:r>
          </w:p>
        </w:tc>
        <w:tc>
          <w:tcPr>
            <w:tcW w:w="1623" w:type="dxa"/>
          </w:tcPr>
          <w:p w:rsidR="007C5447" w:rsidRDefault="00F6308C">
            <w:pPr>
              <w:pStyle w:val="TableParagraph"/>
              <w:spacing w:before="34"/>
              <w:ind w:right="92"/>
              <w:rPr>
                <w:sz w:val="20"/>
              </w:rPr>
            </w:pPr>
            <w:r>
              <w:rPr>
                <w:w w:val="95"/>
                <w:sz w:val="20"/>
              </w:rPr>
              <w:t>4,149.00</w:t>
            </w:r>
          </w:p>
        </w:tc>
        <w:tc>
          <w:tcPr>
            <w:tcW w:w="1623" w:type="dxa"/>
          </w:tcPr>
          <w:p w:rsidR="007C5447" w:rsidRDefault="00F6308C">
            <w:pPr>
              <w:pStyle w:val="TableParagraph"/>
              <w:spacing w:before="34"/>
              <w:ind w:right="95"/>
              <w:rPr>
                <w:sz w:val="20"/>
              </w:rPr>
            </w:pPr>
            <w:r>
              <w:rPr>
                <w:w w:val="95"/>
                <w:sz w:val="20"/>
              </w:rPr>
              <w:t>250.30</w:t>
            </w:r>
          </w:p>
        </w:tc>
        <w:tc>
          <w:tcPr>
            <w:tcW w:w="1603" w:type="dxa"/>
          </w:tcPr>
          <w:p w:rsidR="007C5447" w:rsidRDefault="00F6308C">
            <w:pPr>
              <w:pStyle w:val="TableParagraph"/>
              <w:spacing w:before="34"/>
              <w:ind w:right="94"/>
              <w:rPr>
                <w:sz w:val="20"/>
              </w:rPr>
            </w:pPr>
            <w:r>
              <w:rPr>
                <w:w w:val="95"/>
                <w:sz w:val="20"/>
              </w:rPr>
              <w:t>712.47</w:t>
            </w:r>
          </w:p>
        </w:tc>
        <w:tc>
          <w:tcPr>
            <w:tcW w:w="1623" w:type="dxa"/>
          </w:tcPr>
          <w:p w:rsidR="007C5447" w:rsidRDefault="00F6308C">
            <w:pPr>
              <w:pStyle w:val="TableParagraph"/>
              <w:spacing w:before="34"/>
              <w:ind w:right="94"/>
              <w:rPr>
                <w:sz w:val="20"/>
              </w:rPr>
            </w:pPr>
            <w:r>
              <w:rPr>
                <w:sz w:val="20"/>
              </w:rPr>
              <w:t>1.72</w:t>
            </w:r>
          </w:p>
        </w:tc>
        <w:tc>
          <w:tcPr>
            <w:tcW w:w="1615" w:type="dxa"/>
          </w:tcPr>
          <w:p w:rsidR="007C5447" w:rsidRDefault="00F6308C">
            <w:pPr>
              <w:pStyle w:val="TableParagraph"/>
              <w:spacing w:before="34"/>
              <w:ind w:right="94"/>
              <w:rPr>
                <w:sz w:val="20"/>
              </w:rPr>
            </w:pPr>
            <w:r>
              <w:rPr>
                <w:w w:val="95"/>
                <w:sz w:val="20"/>
              </w:rPr>
              <w:t>962.77</w:t>
            </w:r>
          </w:p>
        </w:tc>
        <w:tc>
          <w:tcPr>
            <w:tcW w:w="1339" w:type="dxa"/>
          </w:tcPr>
          <w:p w:rsidR="007C5447" w:rsidRDefault="00F6308C">
            <w:pPr>
              <w:pStyle w:val="TableParagraph"/>
              <w:spacing w:before="34"/>
              <w:ind w:right="93"/>
              <w:rPr>
                <w:sz w:val="20"/>
              </w:rPr>
            </w:pPr>
            <w:r>
              <w:rPr>
                <w:sz w:val="20"/>
              </w:rPr>
              <w:t>2.32</w:t>
            </w:r>
          </w:p>
        </w:tc>
      </w:tr>
      <w:tr w:rsidR="007C5447">
        <w:trPr>
          <w:trHeight w:val="294"/>
        </w:trPr>
        <w:tc>
          <w:tcPr>
            <w:tcW w:w="4751" w:type="dxa"/>
            <w:tcBorders>
              <w:left w:val="single" w:sz="8" w:space="0" w:color="000000"/>
            </w:tcBorders>
          </w:tcPr>
          <w:p w:rsidR="007C5447" w:rsidRDefault="00F6308C">
            <w:pPr>
              <w:pStyle w:val="TableParagraph"/>
              <w:spacing w:before="34"/>
              <w:ind w:left="107"/>
              <w:jc w:val="left"/>
              <w:rPr>
                <w:sz w:val="20"/>
              </w:rPr>
            </w:pPr>
            <w:r>
              <w:rPr>
                <w:sz w:val="20"/>
              </w:rPr>
              <w:t>NTPC SR (Ramagundam) III</w:t>
            </w:r>
          </w:p>
        </w:tc>
        <w:tc>
          <w:tcPr>
            <w:tcW w:w="1623" w:type="dxa"/>
          </w:tcPr>
          <w:p w:rsidR="007C5447" w:rsidRDefault="00F6308C">
            <w:pPr>
              <w:pStyle w:val="TableParagraph"/>
              <w:spacing w:before="34"/>
              <w:ind w:right="94"/>
              <w:rPr>
                <w:sz w:val="20"/>
              </w:rPr>
            </w:pPr>
            <w:r>
              <w:rPr>
                <w:w w:val="95"/>
                <w:sz w:val="20"/>
              </w:rPr>
              <w:t>981.00</w:t>
            </w:r>
          </w:p>
        </w:tc>
        <w:tc>
          <w:tcPr>
            <w:tcW w:w="1623" w:type="dxa"/>
          </w:tcPr>
          <w:p w:rsidR="007C5447" w:rsidRDefault="00F6308C">
            <w:pPr>
              <w:pStyle w:val="TableParagraph"/>
              <w:spacing w:before="34"/>
              <w:ind w:right="95"/>
              <w:rPr>
                <w:sz w:val="20"/>
              </w:rPr>
            </w:pPr>
            <w:r>
              <w:rPr>
                <w:w w:val="95"/>
                <w:sz w:val="20"/>
              </w:rPr>
              <w:t>110.39</w:t>
            </w:r>
          </w:p>
        </w:tc>
        <w:tc>
          <w:tcPr>
            <w:tcW w:w="1603" w:type="dxa"/>
          </w:tcPr>
          <w:p w:rsidR="007C5447" w:rsidRDefault="00F6308C">
            <w:pPr>
              <w:pStyle w:val="TableParagraph"/>
              <w:spacing w:before="34"/>
              <w:ind w:right="94"/>
              <w:rPr>
                <w:sz w:val="20"/>
              </w:rPr>
            </w:pPr>
            <w:r>
              <w:rPr>
                <w:w w:val="95"/>
                <w:sz w:val="20"/>
              </w:rPr>
              <w:t>197.71</w:t>
            </w:r>
          </w:p>
        </w:tc>
        <w:tc>
          <w:tcPr>
            <w:tcW w:w="1623" w:type="dxa"/>
          </w:tcPr>
          <w:p w:rsidR="007C5447" w:rsidRDefault="00F6308C">
            <w:pPr>
              <w:pStyle w:val="TableParagraph"/>
              <w:spacing w:before="34"/>
              <w:ind w:right="94"/>
              <w:rPr>
                <w:sz w:val="20"/>
              </w:rPr>
            </w:pPr>
            <w:r>
              <w:rPr>
                <w:sz w:val="20"/>
              </w:rPr>
              <w:t>2.02</w:t>
            </w:r>
          </w:p>
        </w:tc>
        <w:tc>
          <w:tcPr>
            <w:tcW w:w="1615" w:type="dxa"/>
          </w:tcPr>
          <w:p w:rsidR="007C5447" w:rsidRDefault="00F6308C">
            <w:pPr>
              <w:pStyle w:val="TableParagraph"/>
              <w:spacing w:before="34"/>
              <w:ind w:right="94"/>
              <w:rPr>
                <w:sz w:val="20"/>
              </w:rPr>
            </w:pPr>
            <w:r>
              <w:rPr>
                <w:w w:val="95"/>
                <w:sz w:val="20"/>
              </w:rPr>
              <w:t>308.10</w:t>
            </w:r>
          </w:p>
        </w:tc>
        <w:tc>
          <w:tcPr>
            <w:tcW w:w="1339" w:type="dxa"/>
          </w:tcPr>
          <w:p w:rsidR="007C5447" w:rsidRDefault="00F6308C">
            <w:pPr>
              <w:pStyle w:val="TableParagraph"/>
              <w:spacing w:before="34"/>
              <w:ind w:right="93"/>
              <w:rPr>
                <w:sz w:val="20"/>
              </w:rPr>
            </w:pPr>
            <w:r>
              <w:rPr>
                <w:sz w:val="20"/>
              </w:rPr>
              <w:t>3.14</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NLC TS - I</w:t>
            </w:r>
          </w:p>
        </w:tc>
        <w:tc>
          <w:tcPr>
            <w:tcW w:w="1623" w:type="dxa"/>
          </w:tcPr>
          <w:p w:rsidR="007C5447" w:rsidRDefault="00F6308C">
            <w:pPr>
              <w:pStyle w:val="TableParagraph"/>
              <w:spacing w:before="34"/>
              <w:ind w:right="92"/>
              <w:rPr>
                <w:sz w:val="20"/>
              </w:rPr>
            </w:pPr>
            <w:r>
              <w:rPr>
                <w:w w:val="95"/>
                <w:sz w:val="20"/>
              </w:rPr>
              <w:t>3,189.00</w:t>
            </w:r>
          </w:p>
        </w:tc>
        <w:tc>
          <w:tcPr>
            <w:tcW w:w="1623" w:type="dxa"/>
          </w:tcPr>
          <w:p w:rsidR="007C5447" w:rsidRDefault="00F6308C">
            <w:pPr>
              <w:pStyle w:val="TableParagraph"/>
              <w:spacing w:before="34"/>
              <w:ind w:right="95"/>
              <w:rPr>
                <w:sz w:val="20"/>
              </w:rPr>
            </w:pPr>
            <w:r>
              <w:rPr>
                <w:w w:val="95"/>
                <w:sz w:val="20"/>
              </w:rPr>
              <w:t>333.07</w:t>
            </w:r>
          </w:p>
        </w:tc>
        <w:tc>
          <w:tcPr>
            <w:tcW w:w="1603" w:type="dxa"/>
          </w:tcPr>
          <w:p w:rsidR="007C5447" w:rsidRDefault="00F6308C">
            <w:pPr>
              <w:pStyle w:val="TableParagraph"/>
              <w:spacing w:before="34"/>
              <w:ind w:right="94"/>
              <w:rPr>
                <w:sz w:val="20"/>
              </w:rPr>
            </w:pPr>
            <w:r>
              <w:rPr>
                <w:w w:val="95"/>
                <w:sz w:val="20"/>
              </w:rPr>
              <w:t>713.47</w:t>
            </w:r>
          </w:p>
        </w:tc>
        <w:tc>
          <w:tcPr>
            <w:tcW w:w="1623" w:type="dxa"/>
          </w:tcPr>
          <w:p w:rsidR="007C5447" w:rsidRDefault="00F6308C">
            <w:pPr>
              <w:pStyle w:val="TableParagraph"/>
              <w:spacing w:before="34"/>
              <w:ind w:right="94"/>
              <w:rPr>
                <w:sz w:val="20"/>
              </w:rPr>
            </w:pPr>
            <w:r>
              <w:rPr>
                <w:sz w:val="20"/>
              </w:rPr>
              <w:t>2.24</w:t>
            </w:r>
          </w:p>
        </w:tc>
        <w:tc>
          <w:tcPr>
            <w:tcW w:w="1615" w:type="dxa"/>
          </w:tcPr>
          <w:p w:rsidR="007C5447" w:rsidRDefault="00F6308C">
            <w:pPr>
              <w:pStyle w:val="TableParagraph"/>
              <w:spacing w:before="34"/>
              <w:ind w:right="92"/>
              <w:rPr>
                <w:sz w:val="20"/>
              </w:rPr>
            </w:pPr>
            <w:r>
              <w:rPr>
                <w:w w:val="95"/>
                <w:sz w:val="20"/>
              </w:rPr>
              <w:t>1,046.54</w:t>
            </w:r>
          </w:p>
        </w:tc>
        <w:tc>
          <w:tcPr>
            <w:tcW w:w="1339" w:type="dxa"/>
          </w:tcPr>
          <w:p w:rsidR="007C5447" w:rsidRDefault="00F6308C">
            <w:pPr>
              <w:pStyle w:val="TableParagraph"/>
              <w:spacing w:before="34"/>
              <w:ind w:right="93"/>
              <w:rPr>
                <w:sz w:val="20"/>
              </w:rPr>
            </w:pPr>
            <w:r>
              <w:rPr>
                <w:sz w:val="20"/>
              </w:rPr>
              <w:t>3.28</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NLC TS - II</w:t>
            </w:r>
          </w:p>
        </w:tc>
        <w:tc>
          <w:tcPr>
            <w:tcW w:w="1623" w:type="dxa"/>
          </w:tcPr>
          <w:p w:rsidR="007C5447" w:rsidRDefault="00F6308C">
            <w:pPr>
              <w:pStyle w:val="TableParagraph"/>
              <w:spacing w:before="34"/>
              <w:ind w:right="92"/>
              <w:rPr>
                <w:sz w:val="20"/>
              </w:rPr>
            </w:pPr>
            <w:r>
              <w:rPr>
                <w:w w:val="95"/>
                <w:sz w:val="20"/>
              </w:rPr>
              <w:t>3,291.00</w:t>
            </w:r>
          </w:p>
        </w:tc>
        <w:tc>
          <w:tcPr>
            <w:tcW w:w="1623" w:type="dxa"/>
          </w:tcPr>
          <w:p w:rsidR="007C5447" w:rsidRDefault="00F6308C">
            <w:pPr>
              <w:pStyle w:val="TableParagraph"/>
              <w:spacing w:before="34"/>
              <w:ind w:right="95"/>
              <w:rPr>
                <w:sz w:val="20"/>
              </w:rPr>
            </w:pPr>
            <w:r>
              <w:rPr>
                <w:w w:val="95"/>
                <w:sz w:val="20"/>
              </w:rPr>
              <w:t>217.08</w:t>
            </w:r>
          </w:p>
        </w:tc>
        <w:tc>
          <w:tcPr>
            <w:tcW w:w="1603" w:type="dxa"/>
          </w:tcPr>
          <w:p w:rsidR="007C5447" w:rsidRDefault="00F6308C">
            <w:pPr>
              <w:pStyle w:val="TableParagraph"/>
              <w:spacing w:before="34"/>
              <w:ind w:right="94"/>
              <w:rPr>
                <w:sz w:val="20"/>
              </w:rPr>
            </w:pPr>
            <w:r>
              <w:rPr>
                <w:w w:val="95"/>
                <w:sz w:val="20"/>
              </w:rPr>
              <w:t>648.33</w:t>
            </w:r>
          </w:p>
        </w:tc>
        <w:tc>
          <w:tcPr>
            <w:tcW w:w="1623" w:type="dxa"/>
          </w:tcPr>
          <w:p w:rsidR="007C5447" w:rsidRDefault="00F6308C">
            <w:pPr>
              <w:pStyle w:val="TableParagraph"/>
              <w:spacing w:before="34"/>
              <w:ind w:right="94"/>
              <w:rPr>
                <w:sz w:val="20"/>
              </w:rPr>
            </w:pPr>
            <w:r>
              <w:rPr>
                <w:sz w:val="20"/>
              </w:rPr>
              <w:t>1.97</w:t>
            </w:r>
          </w:p>
        </w:tc>
        <w:tc>
          <w:tcPr>
            <w:tcW w:w="1615" w:type="dxa"/>
          </w:tcPr>
          <w:p w:rsidR="007C5447" w:rsidRDefault="00F6308C">
            <w:pPr>
              <w:pStyle w:val="TableParagraph"/>
              <w:spacing w:before="34"/>
              <w:ind w:right="94"/>
              <w:rPr>
                <w:sz w:val="20"/>
              </w:rPr>
            </w:pPr>
            <w:r>
              <w:rPr>
                <w:w w:val="95"/>
                <w:sz w:val="20"/>
              </w:rPr>
              <w:t>865.41</w:t>
            </w:r>
          </w:p>
        </w:tc>
        <w:tc>
          <w:tcPr>
            <w:tcW w:w="1339" w:type="dxa"/>
          </w:tcPr>
          <w:p w:rsidR="007C5447" w:rsidRDefault="00F6308C">
            <w:pPr>
              <w:pStyle w:val="TableParagraph"/>
              <w:spacing w:before="34"/>
              <w:ind w:right="93"/>
              <w:rPr>
                <w:sz w:val="20"/>
              </w:rPr>
            </w:pPr>
            <w:r>
              <w:rPr>
                <w:sz w:val="20"/>
              </w:rPr>
              <w:t>2.63</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NLC TS Expansion I</w:t>
            </w:r>
          </w:p>
        </w:tc>
        <w:tc>
          <w:tcPr>
            <w:tcW w:w="1623" w:type="dxa"/>
          </w:tcPr>
          <w:p w:rsidR="007C5447" w:rsidRDefault="00F6308C">
            <w:pPr>
              <w:pStyle w:val="TableParagraph"/>
              <w:spacing w:before="34"/>
              <w:ind w:right="92"/>
              <w:rPr>
                <w:sz w:val="20"/>
              </w:rPr>
            </w:pPr>
            <w:r>
              <w:rPr>
                <w:w w:val="95"/>
                <w:sz w:val="20"/>
              </w:rPr>
              <w:t>1,629.00</w:t>
            </w:r>
          </w:p>
        </w:tc>
        <w:tc>
          <w:tcPr>
            <w:tcW w:w="1623" w:type="dxa"/>
          </w:tcPr>
          <w:p w:rsidR="007C5447" w:rsidRDefault="00F6308C">
            <w:pPr>
              <w:pStyle w:val="TableParagraph"/>
              <w:spacing w:before="34"/>
              <w:ind w:right="95"/>
              <w:rPr>
                <w:sz w:val="20"/>
              </w:rPr>
            </w:pPr>
            <w:r>
              <w:rPr>
                <w:w w:val="95"/>
                <w:sz w:val="20"/>
              </w:rPr>
              <w:t>218.51</w:t>
            </w:r>
          </w:p>
        </w:tc>
        <w:tc>
          <w:tcPr>
            <w:tcW w:w="1603" w:type="dxa"/>
          </w:tcPr>
          <w:p w:rsidR="007C5447" w:rsidRDefault="00F6308C">
            <w:pPr>
              <w:pStyle w:val="TableParagraph"/>
              <w:spacing w:before="34"/>
              <w:ind w:right="94"/>
              <w:rPr>
                <w:sz w:val="20"/>
              </w:rPr>
            </w:pPr>
            <w:r>
              <w:rPr>
                <w:w w:val="95"/>
                <w:sz w:val="20"/>
              </w:rPr>
              <w:t>294.72</w:t>
            </w:r>
          </w:p>
        </w:tc>
        <w:tc>
          <w:tcPr>
            <w:tcW w:w="1623" w:type="dxa"/>
          </w:tcPr>
          <w:p w:rsidR="007C5447" w:rsidRDefault="00F6308C">
            <w:pPr>
              <w:pStyle w:val="TableParagraph"/>
              <w:spacing w:before="34"/>
              <w:ind w:right="94"/>
              <w:rPr>
                <w:sz w:val="20"/>
              </w:rPr>
            </w:pPr>
            <w:r>
              <w:rPr>
                <w:sz w:val="20"/>
              </w:rPr>
              <w:t>1.81</w:t>
            </w:r>
          </w:p>
        </w:tc>
        <w:tc>
          <w:tcPr>
            <w:tcW w:w="1615" w:type="dxa"/>
          </w:tcPr>
          <w:p w:rsidR="007C5447" w:rsidRDefault="00F6308C">
            <w:pPr>
              <w:pStyle w:val="TableParagraph"/>
              <w:spacing w:before="34"/>
              <w:ind w:right="94"/>
              <w:rPr>
                <w:sz w:val="20"/>
              </w:rPr>
            </w:pPr>
            <w:r>
              <w:rPr>
                <w:w w:val="95"/>
                <w:sz w:val="20"/>
              </w:rPr>
              <w:t>513.23</w:t>
            </w:r>
          </w:p>
        </w:tc>
        <w:tc>
          <w:tcPr>
            <w:tcW w:w="1339" w:type="dxa"/>
          </w:tcPr>
          <w:p w:rsidR="007C5447" w:rsidRDefault="00F6308C">
            <w:pPr>
              <w:pStyle w:val="TableParagraph"/>
              <w:spacing w:before="34"/>
              <w:ind w:right="93"/>
              <w:rPr>
                <w:sz w:val="20"/>
              </w:rPr>
            </w:pPr>
            <w:r>
              <w:rPr>
                <w:sz w:val="20"/>
              </w:rPr>
              <w:t>3.15</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NTPC Talcher</w:t>
            </w:r>
          </w:p>
        </w:tc>
        <w:tc>
          <w:tcPr>
            <w:tcW w:w="1623" w:type="dxa"/>
          </w:tcPr>
          <w:p w:rsidR="007C5447" w:rsidRDefault="00F6308C">
            <w:pPr>
              <w:pStyle w:val="TableParagraph"/>
              <w:spacing w:before="34"/>
              <w:ind w:right="92"/>
              <w:rPr>
                <w:sz w:val="20"/>
              </w:rPr>
            </w:pPr>
            <w:r>
              <w:rPr>
                <w:w w:val="95"/>
                <w:sz w:val="20"/>
              </w:rPr>
              <w:t>3,405.40</w:t>
            </w:r>
          </w:p>
        </w:tc>
        <w:tc>
          <w:tcPr>
            <w:tcW w:w="1623" w:type="dxa"/>
          </w:tcPr>
          <w:p w:rsidR="007C5447" w:rsidRDefault="00F6308C">
            <w:pPr>
              <w:pStyle w:val="TableParagraph"/>
              <w:spacing w:before="34"/>
              <w:ind w:right="95"/>
              <w:rPr>
                <w:sz w:val="20"/>
              </w:rPr>
            </w:pPr>
            <w:r>
              <w:rPr>
                <w:w w:val="95"/>
                <w:sz w:val="20"/>
              </w:rPr>
              <w:t>282.73</w:t>
            </w:r>
          </w:p>
        </w:tc>
        <w:tc>
          <w:tcPr>
            <w:tcW w:w="1603" w:type="dxa"/>
          </w:tcPr>
          <w:p w:rsidR="007C5447" w:rsidRDefault="00F6308C">
            <w:pPr>
              <w:pStyle w:val="TableParagraph"/>
              <w:spacing w:before="34"/>
              <w:ind w:right="94"/>
              <w:rPr>
                <w:sz w:val="20"/>
              </w:rPr>
            </w:pPr>
            <w:r>
              <w:rPr>
                <w:w w:val="95"/>
                <w:sz w:val="20"/>
              </w:rPr>
              <w:t>501.96</w:t>
            </w:r>
          </w:p>
        </w:tc>
        <w:tc>
          <w:tcPr>
            <w:tcW w:w="1623" w:type="dxa"/>
          </w:tcPr>
          <w:p w:rsidR="007C5447" w:rsidRDefault="00F6308C">
            <w:pPr>
              <w:pStyle w:val="TableParagraph"/>
              <w:spacing w:before="34"/>
              <w:ind w:right="94"/>
              <w:rPr>
                <w:sz w:val="20"/>
              </w:rPr>
            </w:pPr>
            <w:r>
              <w:rPr>
                <w:sz w:val="20"/>
              </w:rPr>
              <w:t>1.47</w:t>
            </w:r>
          </w:p>
        </w:tc>
        <w:tc>
          <w:tcPr>
            <w:tcW w:w="1615" w:type="dxa"/>
          </w:tcPr>
          <w:p w:rsidR="007C5447" w:rsidRDefault="00F6308C">
            <w:pPr>
              <w:pStyle w:val="TableParagraph"/>
              <w:spacing w:before="34"/>
              <w:ind w:right="94"/>
              <w:rPr>
                <w:sz w:val="20"/>
              </w:rPr>
            </w:pPr>
            <w:r>
              <w:rPr>
                <w:w w:val="95"/>
                <w:sz w:val="20"/>
              </w:rPr>
              <w:t>784.69</w:t>
            </w:r>
          </w:p>
        </w:tc>
        <w:tc>
          <w:tcPr>
            <w:tcW w:w="1339" w:type="dxa"/>
          </w:tcPr>
          <w:p w:rsidR="007C5447" w:rsidRDefault="00F6308C">
            <w:pPr>
              <w:pStyle w:val="TableParagraph"/>
              <w:spacing w:before="34"/>
              <w:ind w:right="93"/>
              <w:rPr>
                <w:sz w:val="20"/>
              </w:rPr>
            </w:pPr>
            <w:r>
              <w:rPr>
                <w:sz w:val="20"/>
              </w:rPr>
              <w:t>2.30</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NTPC Simhadri</w:t>
            </w:r>
          </w:p>
        </w:tc>
        <w:tc>
          <w:tcPr>
            <w:tcW w:w="1623" w:type="dxa"/>
          </w:tcPr>
          <w:p w:rsidR="007C5447" w:rsidRDefault="00F6308C">
            <w:pPr>
              <w:pStyle w:val="TableParagraph"/>
              <w:spacing w:before="34"/>
              <w:ind w:right="92"/>
              <w:rPr>
                <w:sz w:val="20"/>
              </w:rPr>
            </w:pPr>
            <w:r>
              <w:rPr>
                <w:w w:val="95"/>
                <w:sz w:val="20"/>
              </w:rPr>
              <w:t>1,079.00</w:t>
            </w:r>
          </w:p>
        </w:tc>
        <w:tc>
          <w:tcPr>
            <w:tcW w:w="1623" w:type="dxa"/>
          </w:tcPr>
          <w:p w:rsidR="007C5447" w:rsidRDefault="00F6308C">
            <w:pPr>
              <w:pStyle w:val="TableParagraph"/>
              <w:spacing w:before="34"/>
              <w:ind w:right="95"/>
              <w:rPr>
                <w:sz w:val="20"/>
              </w:rPr>
            </w:pPr>
            <w:r>
              <w:rPr>
                <w:w w:val="95"/>
                <w:sz w:val="20"/>
              </w:rPr>
              <w:t>190.56</w:t>
            </w:r>
          </w:p>
        </w:tc>
        <w:tc>
          <w:tcPr>
            <w:tcW w:w="1603" w:type="dxa"/>
          </w:tcPr>
          <w:p w:rsidR="007C5447" w:rsidRDefault="00F6308C">
            <w:pPr>
              <w:pStyle w:val="TableParagraph"/>
              <w:spacing w:before="34"/>
              <w:ind w:right="94"/>
              <w:rPr>
                <w:sz w:val="20"/>
              </w:rPr>
            </w:pPr>
            <w:r>
              <w:rPr>
                <w:w w:val="95"/>
                <w:sz w:val="20"/>
              </w:rPr>
              <w:t>219.40</w:t>
            </w:r>
          </w:p>
        </w:tc>
        <w:tc>
          <w:tcPr>
            <w:tcW w:w="1623" w:type="dxa"/>
          </w:tcPr>
          <w:p w:rsidR="007C5447" w:rsidRDefault="00F6308C">
            <w:pPr>
              <w:pStyle w:val="TableParagraph"/>
              <w:spacing w:before="34"/>
              <w:ind w:right="94"/>
              <w:rPr>
                <w:sz w:val="20"/>
              </w:rPr>
            </w:pPr>
            <w:r>
              <w:rPr>
                <w:sz w:val="20"/>
              </w:rPr>
              <w:t>2.03</w:t>
            </w:r>
          </w:p>
        </w:tc>
        <w:tc>
          <w:tcPr>
            <w:tcW w:w="1615" w:type="dxa"/>
          </w:tcPr>
          <w:p w:rsidR="007C5447" w:rsidRDefault="00F6308C">
            <w:pPr>
              <w:pStyle w:val="TableParagraph"/>
              <w:spacing w:before="34"/>
              <w:ind w:right="94"/>
              <w:rPr>
                <w:sz w:val="20"/>
              </w:rPr>
            </w:pPr>
            <w:r>
              <w:rPr>
                <w:w w:val="95"/>
                <w:sz w:val="20"/>
              </w:rPr>
              <w:t>409.96</w:t>
            </w:r>
          </w:p>
        </w:tc>
        <w:tc>
          <w:tcPr>
            <w:tcW w:w="1339" w:type="dxa"/>
          </w:tcPr>
          <w:p w:rsidR="007C5447" w:rsidRDefault="00F6308C">
            <w:pPr>
              <w:pStyle w:val="TableParagraph"/>
              <w:spacing w:before="34"/>
              <w:ind w:right="93"/>
              <w:rPr>
                <w:sz w:val="20"/>
              </w:rPr>
            </w:pPr>
            <w:r>
              <w:rPr>
                <w:sz w:val="20"/>
              </w:rPr>
              <w:t>3.80</w:t>
            </w:r>
          </w:p>
        </w:tc>
      </w:tr>
      <w:tr w:rsidR="007C5447">
        <w:trPr>
          <w:trHeight w:val="295"/>
        </w:trPr>
        <w:tc>
          <w:tcPr>
            <w:tcW w:w="4751" w:type="dxa"/>
            <w:tcBorders>
              <w:left w:val="single" w:sz="8" w:space="0" w:color="000000"/>
              <w:bottom w:val="single" w:sz="6" w:space="0" w:color="000000"/>
            </w:tcBorders>
          </w:tcPr>
          <w:p w:rsidR="007C5447" w:rsidRDefault="00F6308C">
            <w:pPr>
              <w:pStyle w:val="TableParagraph"/>
              <w:spacing w:before="34"/>
              <w:ind w:left="107"/>
              <w:jc w:val="left"/>
              <w:rPr>
                <w:sz w:val="20"/>
              </w:rPr>
            </w:pPr>
            <w:r>
              <w:rPr>
                <w:sz w:val="20"/>
              </w:rPr>
              <w:t>MAPS</w:t>
            </w:r>
          </w:p>
        </w:tc>
        <w:tc>
          <w:tcPr>
            <w:tcW w:w="1623" w:type="dxa"/>
            <w:tcBorders>
              <w:bottom w:val="single" w:sz="6" w:space="0" w:color="000000"/>
            </w:tcBorders>
          </w:tcPr>
          <w:p w:rsidR="007C5447" w:rsidRDefault="00F6308C">
            <w:pPr>
              <w:pStyle w:val="TableParagraph"/>
              <w:spacing w:before="34"/>
              <w:ind w:right="92"/>
              <w:rPr>
                <w:sz w:val="20"/>
              </w:rPr>
            </w:pPr>
            <w:r>
              <w:rPr>
                <w:w w:val="95"/>
                <w:sz w:val="20"/>
              </w:rPr>
              <w:t>1,775.00</w:t>
            </w:r>
          </w:p>
        </w:tc>
        <w:tc>
          <w:tcPr>
            <w:tcW w:w="1623" w:type="dxa"/>
            <w:tcBorders>
              <w:bottom w:val="single" w:sz="6" w:space="0" w:color="000000"/>
            </w:tcBorders>
          </w:tcPr>
          <w:p w:rsidR="007C5447" w:rsidRDefault="00F6308C">
            <w:pPr>
              <w:pStyle w:val="TableParagraph"/>
              <w:spacing w:before="34"/>
              <w:ind w:right="91"/>
              <w:rPr>
                <w:sz w:val="20"/>
              </w:rPr>
            </w:pPr>
            <w:r>
              <w:rPr>
                <w:w w:val="99"/>
                <w:sz w:val="20"/>
              </w:rPr>
              <w:t>-</w:t>
            </w:r>
          </w:p>
        </w:tc>
        <w:tc>
          <w:tcPr>
            <w:tcW w:w="1603" w:type="dxa"/>
            <w:tcBorders>
              <w:bottom w:val="single" w:sz="6" w:space="0" w:color="000000"/>
            </w:tcBorders>
          </w:tcPr>
          <w:p w:rsidR="007C5447" w:rsidRDefault="00F6308C">
            <w:pPr>
              <w:pStyle w:val="TableParagraph"/>
              <w:spacing w:before="34"/>
              <w:ind w:right="94"/>
              <w:rPr>
                <w:sz w:val="20"/>
              </w:rPr>
            </w:pPr>
            <w:r>
              <w:rPr>
                <w:w w:val="95"/>
                <w:sz w:val="20"/>
              </w:rPr>
              <w:t>360.68</w:t>
            </w:r>
          </w:p>
        </w:tc>
        <w:tc>
          <w:tcPr>
            <w:tcW w:w="1623" w:type="dxa"/>
            <w:tcBorders>
              <w:bottom w:val="single" w:sz="6" w:space="0" w:color="000000"/>
            </w:tcBorders>
          </w:tcPr>
          <w:p w:rsidR="007C5447" w:rsidRDefault="00F6308C">
            <w:pPr>
              <w:pStyle w:val="TableParagraph"/>
              <w:spacing w:before="34"/>
              <w:ind w:right="94"/>
              <w:rPr>
                <w:sz w:val="20"/>
              </w:rPr>
            </w:pPr>
            <w:r>
              <w:rPr>
                <w:sz w:val="20"/>
              </w:rPr>
              <w:t>2.03</w:t>
            </w:r>
          </w:p>
        </w:tc>
        <w:tc>
          <w:tcPr>
            <w:tcW w:w="1615" w:type="dxa"/>
            <w:tcBorders>
              <w:bottom w:val="single" w:sz="6" w:space="0" w:color="000000"/>
            </w:tcBorders>
          </w:tcPr>
          <w:p w:rsidR="007C5447" w:rsidRDefault="00F6308C">
            <w:pPr>
              <w:pStyle w:val="TableParagraph"/>
              <w:spacing w:before="34"/>
              <w:ind w:right="94"/>
              <w:rPr>
                <w:sz w:val="20"/>
              </w:rPr>
            </w:pPr>
            <w:r>
              <w:rPr>
                <w:w w:val="95"/>
                <w:sz w:val="20"/>
              </w:rPr>
              <w:t>360.68</w:t>
            </w:r>
          </w:p>
        </w:tc>
        <w:tc>
          <w:tcPr>
            <w:tcW w:w="1339" w:type="dxa"/>
            <w:tcBorders>
              <w:bottom w:val="single" w:sz="6" w:space="0" w:color="000000"/>
            </w:tcBorders>
          </w:tcPr>
          <w:p w:rsidR="007C5447" w:rsidRDefault="00F6308C">
            <w:pPr>
              <w:pStyle w:val="TableParagraph"/>
              <w:spacing w:before="34"/>
              <w:ind w:right="93"/>
              <w:rPr>
                <w:sz w:val="20"/>
              </w:rPr>
            </w:pPr>
            <w:r>
              <w:rPr>
                <w:sz w:val="20"/>
              </w:rPr>
              <w:t>2.03</w:t>
            </w:r>
          </w:p>
        </w:tc>
      </w:tr>
      <w:tr w:rsidR="007C5447">
        <w:trPr>
          <w:trHeight w:val="294"/>
        </w:trPr>
        <w:tc>
          <w:tcPr>
            <w:tcW w:w="4751" w:type="dxa"/>
            <w:tcBorders>
              <w:top w:val="single" w:sz="6" w:space="0" w:color="000000"/>
              <w:left w:val="single" w:sz="8" w:space="0" w:color="000000"/>
            </w:tcBorders>
          </w:tcPr>
          <w:p w:rsidR="007C5447" w:rsidRDefault="00F6308C">
            <w:pPr>
              <w:pStyle w:val="TableParagraph"/>
              <w:spacing w:before="31"/>
              <w:ind w:left="107"/>
              <w:jc w:val="left"/>
              <w:rPr>
                <w:sz w:val="20"/>
              </w:rPr>
            </w:pPr>
            <w:r>
              <w:rPr>
                <w:sz w:val="20"/>
              </w:rPr>
              <w:t>KAIGA</w:t>
            </w:r>
          </w:p>
        </w:tc>
        <w:tc>
          <w:tcPr>
            <w:tcW w:w="1623" w:type="dxa"/>
            <w:tcBorders>
              <w:top w:val="single" w:sz="6" w:space="0" w:color="000000"/>
            </w:tcBorders>
          </w:tcPr>
          <w:p w:rsidR="007C5447" w:rsidRDefault="00F6308C">
            <w:pPr>
              <w:pStyle w:val="TableParagraph"/>
              <w:spacing w:before="31"/>
              <w:ind w:right="92"/>
              <w:rPr>
                <w:sz w:val="20"/>
              </w:rPr>
            </w:pPr>
            <w:r>
              <w:rPr>
                <w:w w:val="95"/>
                <w:sz w:val="20"/>
              </w:rPr>
              <w:t>1,261.00</w:t>
            </w:r>
          </w:p>
        </w:tc>
        <w:tc>
          <w:tcPr>
            <w:tcW w:w="1623" w:type="dxa"/>
            <w:tcBorders>
              <w:top w:val="single" w:sz="6" w:space="0" w:color="000000"/>
            </w:tcBorders>
          </w:tcPr>
          <w:p w:rsidR="007C5447" w:rsidRDefault="00F6308C">
            <w:pPr>
              <w:pStyle w:val="TableParagraph"/>
              <w:spacing w:before="31"/>
              <w:ind w:right="91"/>
              <w:rPr>
                <w:sz w:val="20"/>
              </w:rPr>
            </w:pPr>
            <w:r>
              <w:rPr>
                <w:w w:val="99"/>
                <w:sz w:val="20"/>
              </w:rPr>
              <w:t>-</w:t>
            </w:r>
          </w:p>
        </w:tc>
        <w:tc>
          <w:tcPr>
            <w:tcW w:w="1603" w:type="dxa"/>
            <w:tcBorders>
              <w:top w:val="single" w:sz="6" w:space="0" w:color="000000"/>
            </w:tcBorders>
          </w:tcPr>
          <w:p w:rsidR="007C5447" w:rsidRDefault="00F6308C">
            <w:pPr>
              <w:pStyle w:val="TableParagraph"/>
              <w:spacing w:before="31"/>
              <w:ind w:right="94"/>
              <w:rPr>
                <w:sz w:val="20"/>
              </w:rPr>
            </w:pPr>
            <w:r>
              <w:rPr>
                <w:w w:val="95"/>
                <w:sz w:val="20"/>
              </w:rPr>
              <w:t>424.69</w:t>
            </w:r>
          </w:p>
        </w:tc>
        <w:tc>
          <w:tcPr>
            <w:tcW w:w="1623" w:type="dxa"/>
            <w:tcBorders>
              <w:top w:val="single" w:sz="6" w:space="0" w:color="000000"/>
            </w:tcBorders>
          </w:tcPr>
          <w:p w:rsidR="007C5447" w:rsidRDefault="00F6308C">
            <w:pPr>
              <w:pStyle w:val="TableParagraph"/>
              <w:spacing w:before="31"/>
              <w:ind w:right="94"/>
              <w:rPr>
                <w:sz w:val="20"/>
              </w:rPr>
            </w:pPr>
            <w:r>
              <w:rPr>
                <w:sz w:val="20"/>
              </w:rPr>
              <w:t>3.37</w:t>
            </w:r>
          </w:p>
        </w:tc>
        <w:tc>
          <w:tcPr>
            <w:tcW w:w="1615" w:type="dxa"/>
            <w:tcBorders>
              <w:top w:val="single" w:sz="6" w:space="0" w:color="000000"/>
            </w:tcBorders>
          </w:tcPr>
          <w:p w:rsidR="007C5447" w:rsidRDefault="00F6308C">
            <w:pPr>
              <w:pStyle w:val="TableParagraph"/>
              <w:spacing w:before="31"/>
              <w:ind w:right="94"/>
              <w:rPr>
                <w:sz w:val="20"/>
              </w:rPr>
            </w:pPr>
            <w:r>
              <w:rPr>
                <w:w w:val="95"/>
                <w:sz w:val="20"/>
              </w:rPr>
              <w:t>424.69</w:t>
            </w:r>
          </w:p>
        </w:tc>
        <w:tc>
          <w:tcPr>
            <w:tcW w:w="1339" w:type="dxa"/>
            <w:tcBorders>
              <w:top w:val="single" w:sz="6" w:space="0" w:color="000000"/>
            </w:tcBorders>
          </w:tcPr>
          <w:p w:rsidR="007C5447" w:rsidRDefault="00F6308C">
            <w:pPr>
              <w:pStyle w:val="TableParagraph"/>
              <w:spacing w:before="31"/>
              <w:ind w:right="93"/>
              <w:rPr>
                <w:sz w:val="20"/>
              </w:rPr>
            </w:pPr>
            <w:r>
              <w:rPr>
                <w:sz w:val="20"/>
              </w:rPr>
              <w:t>3.37</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NTPC ER</w:t>
            </w:r>
          </w:p>
        </w:tc>
        <w:tc>
          <w:tcPr>
            <w:tcW w:w="1623" w:type="dxa"/>
          </w:tcPr>
          <w:p w:rsidR="007C5447" w:rsidRDefault="00F6308C">
            <w:pPr>
              <w:pStyle w:val="TableParagraph"/>
              <w:spacing w:before="34"/>
              <w:ind w:right="94"/>
              <w:rPr>
                <w:sz w:val="20"/>
              </w:rPr>
            </w:pPr>
            <w:r>
              <w:rPr>
                <w:w w:val="95"/>
                <w:sz w:val="20"/>
              </w:rPr>
              <w:t>319.00</w:t>
            </w:r>
          </w:p>
        </w:tc>
        <w:tc>
          <w:tcPr>
            <w:tcW w:w="1623" w:type="dxa"/>
          </w:tcPr>
          <w:p w:rsidR="007C5447" w:rsidRDefault="00F6308C">
            <w:pPr>
              <w:pStyle w:val="TableParagraph"/>
              <w:spacing w:before="34"/>
              <w:ind w:right="94"/>
              <w:rPr>
                <w:sz w:val="20"/>
              </w:rPr>
            </w:pPr>
            <w:r>
              <w:rPr>
                <w:w w:val="95"/>
                <w:sz w:val="20"/>
              </w:rPr>
              <w:t>32.63</w:t>
            </w:r>
          </w:p>
        </w:tc>
        <w:tc>
          <w:tcPr>
            <w:tcW w:w="1603" w:type="dxa"/>
          </w:tcPr>
          <w:p w:rsidR="007C5447" w:rsidRDefault="00F6308C">
            <w:pPr>
              <w:pStyle w:val="TableParagraph"/>
              <w:spacing w:before="34"/>
              <w:ind w:right="94"/>
              <w:rPr>
                <w:sz w:val="20"/>
              </w:rPr>
            </w:pPr>
            <w:r>
              <w:rPr>
                <w:w w:val="95"/>
                <w:sz w:val="20"/>
              </w:rPr>
              <w:t>68.43</w:t>
            </w:r>
          </w:p>
        </w:tc>
        <w:tc>
          <w:tcPr>
            <w:tcW w:w="1623" w:type="dxa"/>
          </w:tcPr>
          <w:p w:rsidR="007C5447" w:rsidRDefault="00F6308C">
            <w:pPr>
              <w:pStyle w:val="TableParagraph"/>
              <w:spacing w:before="34"/>
              <w:ind w:right="94"/>
              <w:rPr>
                <w:sz w:val="20"/>
              </w:rPr>
            </w:pPr>
            <w:r>
              <w:rPr>
                <w:sz w:val="20"/>
              </w:rPr>
              <w:t>2.15</w:t>
            </w:r>
          </w:p>
        </w:tc>
        <w:tc>
          <w:tcPr>
            <w:tcW w:w="1615" w:type="dxa"/>
          </w:tcPr>
          <w:p w:rsidR="007C5447" w:rsidRDefault="00F6308C">
            <w:pPr>
              <w:pStyle w:val="TableParagraph"/>
              <w:spacing w:before="34"/>
              <w:ind w:right="94"/>
              <w:rPr>
                <w:sz w:val="20"/>
              </w:rPr>
            </w:pPr>
            <w:r>
              <w:rPr>
                <w:w w:val="95"/>
                <w:sz w:val="20"/>
              </w:rPr>
              <w:t>101.06</w:t>
            </w:r>
          </w:p>
        </w:tc>
        <w:tc>
          <w:tcPr>
            <w:tcW w:w="1339" w:type="dxa"/>
          </w:tcPr>
          <w:p w:rsidR="007C5447" w:rsidRDefault="00F6308C">
            <w:pPr>
              <w:pStyle w:val="TableParagraph"/>
              <w:spacing w:before="34"/>
              <w:ind w:right="93"/>
              <w:rPr>
                <w:sz w:val="20"/>
              </w:rPr>
            </w:pPr>
            <w:r>
              <w:rPr>
                <w:sz w:val="20"/>
              </w:rPr>
              <w:t>3.17</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NTPC Vallur Unit 1 &amp; Unit 2</w:t>
            </w:r>
          </w:p>
        </w:tc>
        <w:tc>
          <w:tcPr>
            <w:tcW w:w="1623" w:type="dxa"/>
          </w:tcPr>
          <w:p w:rsidR="007C5447" w:rsidRDefault="00F6308C">
            <w:pPr>
              <w:pStyle w:val="TableParagraph"/>
              <w:spacing w:before="34"/>
              <w:ind w:right="94"/>
              <w:rPr>
                <w:sz w:val="20"/>
              </w:rPr>
            </w:pPr>
            <w:r>
              <w:rPr>
                <w:w w:val="95"/>
                <w:sz w:val="20"/>
              </w:rPr>
              <w:t>487.90</w:t>
            </w:r>
          </w:p>
        </w:tc>
        <w:tc>
          <w:tcPr>
            <w:tcW w:w="1623" w:type="dxa"/>
          </w:tcPr>
          <w:p w:rsidR="007C5447" w:rsidRDefault="00F6308C">
            <w:pPr>
              <w:pStyle w:val="TableParagraph"/>
              <w:spacing w:before="34"/>
              <w:ind w:right="95"/>
              <w:rPr>
                <w:sz w:val="20"/>
              </w:rPr>
            </w:pPr>
            <w:r>
              <w:rPr>
                <w:w w:val="95"/>
                <w:sz w:val="20"/>
              </w:rPr>
              <w:t>125.63</w:t>
            </w:r>
          </w:p>
        </w:tc>
        <w:tc>
          <w:tcPr>
            <w:tcW w:w="1603" w:type="dxa"/>
          </w:tcPr>
          <w:p w:rsidR="007C5447" w:rsidRDefault="00F6308C">
            <w:pPr>
              <w:pStyle w:val="TableParagraph"/>
              <w:spacing w:before="34"/>
              <w:ind w:right="94"/>
              <w:rPr>
                <w:sz w:val="20"/>
              </w:rPr>
            </w:pPr>
            <w:r>
              <w:rPr>
                <w:w w:val="95"/>
                <w:sz w:val="20"/>
              </w:rPr>
              <w:t>101.52</w:t>
            </w:r>
          </w:p>
        </w:tc>
        <w:tc>
          <w:tcPr>
            <w:tcW w:w="1623" w:type="dxa"/>
          </w:tcPr>
          <w:p w:rsidR="007C5447" w:rsidRDefault="00F6308C">
            <w:pPr>
              <w:pStyle w:val="TableParagraph"/>
              <w:spacing w:before="34"/>
              <w:ind w:right="94"/>
              <w:rPr>
                <w:sz w:val="20"/>
              </w:rPr>
            </w:pPr>
            <w:r>
              <w:rPr>
                <w:sz w:val="20"/>
              </w:rPr>
              <w:t>2.08</w:t>
            </w:r>
          </w:p>
        </w:tc>
        <w:tc>
          <w:tcPr>
            <w:tcW w:w="1615" w:type="dxa"/>
          </w:tcPr>
          <w:p w:rsidR="007C5447" w:rsidRDefault="00F6308C">
            <w:pPr>
              <w:pStyle w:val="TableParagraph"/>
              <w:spacing w:before="34"/>
              <w:ind w:right="94"/>
              <w:rPr>
                <w:sz w:val="20"/>
              </w:rPr>
            </w:pPr>
            <w:r>
              <w:rPr>
                <w:w w:val="95"/>
                <w:sz w:val="20"/>
              </w:rPr>
              <w:t>227.15</w:t>
            </w:r>
          </w:p>
        </w:tc>
        <w:tc>
          <w:tcPr>
            <w:tcW w:w="1339" w:type="dxa"/>
          </w:tcPr>
          <w:p w:rsidR="007C5447" w:rsidRDefault="00F6308C">
            <w:pPr>
              <w:pStyle w:val="TableParagraph"/>
              <w:spacing w:before="34"/>
              <w:ind w:right="93"/>
              <w:rPr>
                <w:sz w:val="20"/>
              </w:rPr>
            </w:pPr>
            <w:r>
              <w:rPr>
                <w:sz w:val="20"/>
              </w:rPr>
              <w:t>4.66</w:t>
            </w:r>
          </w:p>
        </w:tc>
      </w:tr>
    </w:tbl>
    <w:p w:rsidR="007C5447" w:rsidRDefault="007C5447">
      <w:pPr>
        <w:rPr>
          <w:sz w:val="20"/>
        </w:rPr>
        <w:sectPr w:rsidR="007C5447">
          <w:pgSz w:w="16840" w:h="11910" w:orient="landscape"/>
          <w:pgMar w:top="1100" w:right="1220" w:bottom="960" w:left="1220" w:header="0" w:footer="777" w:gutter="0"/>
          <w:cols w:space="720"/>
        </w:sectPr>
      </w:pPr>
    </w:p>
    <w:p w:rsidR="007C5447" w:rsidRDefault="007C5447">
      <w:pPr>
        <w:pStyle w:val="BodyText"/>
        <w:spacing w:before="3"/>
        <w:rPr>
          <w:sz w:val="2"/>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51"/>
        <w:gridCol w:w="1623"/>
        <w:gridCol w:w="1623"/>
        <w:gridCol w:w="1603"/>
        <w:gridCol w:w="1623"/>
        <w:gridCol w:w="1615"/>
        <w:gridCol w:w="1339"/>
      </w:tblGrid>
      <w:tr w:rsidR="007C5447">
        <w:trPr>
          <w:trHeight w:val="328"/>
        </w:trPr>
        <w:tc>
          <w:tcPr>
            <w:tcW w:w="4751" w:type="dxa"/>
            <w:vMerge w:val="restart"/>
            <w:shd w:val="clear" w:color="auto" w:fill="FBD4B4"/>
          </w:tcPr>
          <w:p w:rsidR="007C5447" w:rsidRDefault="007C5447">
            <w:pPr>
              <w:pStyle w:val="TableParagraph"/>
              <w:spacing w:before="1"/>
              <w:jc w:val="left"/>
              <w:rPr>
                <w:sz w:val="26"/>
              </w:rPr>
            </w:pPr>
          </w:p>
          <w:p w:rsidR="007C5447" w:rsidRDefault="00F6308C">
            <w:pPr>
              <w:pStyle w:val="TableParagraph"/>
              <w:ind w:left="1728" w:right="1711"/>
              <w:jc w:val="center"/>
              <w:rPr>
                <w:b/>
                <w:sz w:val="20"/>
              </w:rPr>
            </w:pPr>
            <w:r>
              <w:rPr>
                <w:b/>
                <w:sz w:val="20"/>
              </w:rPr>
              <w:t>Source</w:t>
            </w:r>
          </w:p>
        </w:tc>
        <w:tc>
          <w:tcPr>
            <w:tcW w:w="9426" w:type="dxa"/>
            <w:gridSpan w:val="6"/>
            <w:shd w:val="clear" w:color="auto" w:fill="FBD4B4"/>
          </w:tcPr>
          <w:p w:rsidR="007C5447" w:rsidRDefault="00F6308C">
            <w:pPr>
              <w:pStyle w:val="TableParagraph"/>
              <w:spacing w:before="84" w:line="224" w:lineRule="exact"/>
              <w:ind w:left="4200" w:right="4182"/>
              <w:jc w:val="center"/>
              <w:rPr>
                <w:b/>
                <w:sz w:val="20"/>
              </w:rPr>
            </w:pPr>
            <w:r>
              <w:rPr>
                <w:b/>
                <w:sz w:val="20"/>
              </w:rPr>
              <w:t>FY 2012-13</w:t>
            </w:r>
          </w:p>
        </w:tc>
      </w:tr>
      <w:tr w:rsidR="007C5447">
        <w:trPr>
          <w:trHeight w:val="489"/>
        </w:trPr>
        <w:tc>
          <w:tcPr>
            <w:tcW w:w="4751" w:type="dxa"/>
            <w:vMerge/>
            <w:tcBorders>
              <w:top w:val="nil"/>
            </w:tcBorders>
            <w:shd w:val="clear" w:color="auto" w:fill="FBD4B4"/>
          </w:tcPr>
          <w:p w:rsidR="007C5447" w:rsidRDefault="007C5447">
            <w:pPr>
              <w:rPr>
                <w:sz w:val="2"/>
                <w:szCs w:val="2"/>
              </w:rPr>
            </w:pPr>
          </w:p>
        </w:tc>
        <w:tc>
          <w:tcPr>
            <w:tcW w:w="1623" w:type="dxa"/>
            <w:shd w:val="clear" w:color="auto" w:fill="FBD4B4"/>
          </w:tcPr>
          <w:p w:rsidR="007C5447" w:rsidRDefault="00F6308C">
            <w:pPr>
              <w:pStyle w:val="TableParagraph"/>
              <w:spacing w:before="130"/>
              <w:ind w:right="125"/>
              <w:rPr>
                <w:b/>
                <w:sz w:val="20"/>
              </w:rPr>
            </w:pPr>
            <w:r>
              <w:rPr>
                <w:b/>
                <w:sz w:val="20"/>
              </w:rPr>
              <w:t>Quantum (MU)</w:t>
            </w:r>
          </w:p>
        </w:tc>
        <w:tc>
          <w:tcPr>
            <w:tcW w:w="1623" w:type="dxa"/>
            <w:shd w:val="clear" w:color="auto" w:fill="FBD4B4"/>
          </w:tcPr>
          <w:p w:rsidR="007C5447" w:rsidRDefault="00F6308C">
            <w:pPr>
              <w:pStyle w:val="TableParagraph"/>
              <w:spacing w:before="14" w:line="230" w:lineRule="atLeast"/>
              <w:ind w:left="469" w:right="159" w:hanging="274"/>
              <w:jc w:val="left"/>
              <w:rPr>
                <w:b/>
                <w:sz w:val="20"/>
              </w:rPr>
            </w:pPr>
            <w:r>
              <w:rPr>
                <w:b/>
                <w:sz w:val="20"/>
              </w:rPr>
              <w:t>Fixed Charges (Rs. Cr.)</w:t>
            </w:r>
          </w:p>
        </w:tc>
        <w:tc>
          <w:tcPr>
            <w:tcW w:w="1603" w:type="dxa"/>
            <w:shd w:val="clear" w:color="auto" w:fill="FBD4B4"/>
          </w:tcPr>
          <w:p w:rsidR="007C5447" w:rsidRDefault="00F6308C">
            <w:pPr>
              <w:pStyle w:val="TableParagraph"/>
              <w:spacing w:before="14" w:line="230" w:lineRule="atLeast"/>
              <w:ind w:left="346" w:right="116" w:hanging="195"/>
              <w:jc w:val="left"/>
              <w:rPr>
                <w:b/>
                <w:sz w:val="20"/>
              </w:rPr>
            </w:pPr>
            <w:r>
              <w:rPr>
                <w:b/>
                <w:sz w:val="20"/>
              </w:rPr>
              <w:t>Energy Charge (Rs. Crore)</w:t>
            </w:r>
          </w:p>
        </w:tc>
        <w:tc>
          <w:tcPr>
            <w:tcW w:w="1623" w:type="dxa"/>
            <w:shd w:val="clear" w:color="auto" w:fill="FBD4B4"/>
          </w:tcPr>
          <w:p w:rsidR="007C5447" w:rsidRDefault="00F6308C">
            <w:pPr>
              <w:pStyle w:val="TableParagraph"/>
              <w:spacing w:before="14" w:line="230" w:lineRule="atLeast"/>
              <w:ind w:left="394" w:right="126" w:hanging="233"/>
              <w:jc w:val="left"/>
              <w:rPr>
                <w:b/>
                <w:sz w:val="20"/>
              </w:rPr>
            </w:pPr>
            <w:r>
              <w:rPr>
                <w:b/>
                <w:sz w:val="20"/>
              </w:rPr>
              <w:t>Energy Charge (Rs./Unit)</w:t>
            </w:r>
          </w:p>
        </w:tc>
        <w:tc>
          <w:tcPr>
            <w:tcW w:w="1615" w:type="dxa"/>
            <w:shd w:val="clear" w:color="auto" w:fill="FBD4B4"/>
          </w:tcPr>
          <w:p w:rsidR="007C5447" w:rsidRDefault="00F6308C">
            <w:pPr>
              <w:pStyle w:val="TableParagraph"/>
              <w:spacing w:before="14" w:line="230" w:lineRule="atLeast"/>
              <w:ind w:left="466" w:right="328" w:hanging="104"/>
              <w:jc w:val="left"/>
              <w:rPr>
                <w:b/>
                <w:sz w:val="20"/>
              </w:rPr>
            </w:pPr>
            <w:r>
              <w:rPr>
                <w:b/>
                <w:sz w:val="20"/>
              </w:rPr>
              <w:t>Total Cost (Rs. Cr)</w:t>
            </w:r>
          </w:p>
        </w:tc>
        <w:tc>
          <w:tcPr>
            <w:tcW w:w="1339" w:type="dxa"/>
            <w:shd w:val="clear" w:color="auto" w:fill="FBD4B4"/>
          </w:tcPr>
          <w:p w:rsidR="007C5447" w:rsidRDefault="00F6308C">
            <w:pPr>
              <w:pStyle w:val="TableParagraph"/>
              <w:spacing w:before="14" w:line="230" w:lineRule="atLeast"/>
              <w:ind w:left="255" w:right="228" w:firstLine="216"/>
              <w:jc w:val="left"/>
              <w:rPr>
                <w:b/>
                <w:sz w:val="20"/>
              </w:rPr>
            </w:pPr>
            <w:r>
              <w:rPr>
                <w:b/>
                <w:sz w:val="20"/>
              </w:rPr>
              <w:t xml:space="preserve">Rate </w:t>
            </w:r>
            <w:r>
              <w:rPr>
                <w:b/>
                <w:w w:val="95"/>
                <w:sz w:val="20"/>
              </w:rPr>
              <w:t>(Rs/kWh)</w:t>
            </w:r>
          </w:p>
        </w:tc>
      </w:tr>
      <w:tr w:rsidR="007C5447">
        <w:trPr>
          <w:trHeight w:val="328"/>
        </w:trPr>
        <w:tc>
          <w:tcPr>
            <w:tcW w:w="4751" w:type="dxa"/>
            <w:tcBorders>
              <w:left w:val="single" w:sz="8" w:space="0" w:color="000000"/>
            </w:tcBorders>
          </w:tcPr>
          <w:p w:rsidR="007C5447" w:rsidRDefault="00F6308C">
            <w:pPr>
              <w:pStyle w:val="TableParagraph"/>
              <w:spacing w:before="48"/>
              <w:ind w:left="107"/>
              <w:jc w:val="left"/>
              <w:rPr>
                <w:b/>
                <w:sz w:val="20"/>
              </w:rPr>
            </w:pPr>
            <w:r>
              <w:rPr>
                <w:b/>
                <w:sz w:val="20"/>
              </w:rPr>
              <w:t>Total CGS</w:t>
            </w:r>
          </w:p>
        </w:tc>
        <w:tc>
          <w:tcPr>
            <w:tcW w:w="1623" w:type="dxa"/>
          </w:tcPr>
          <w:p w:rsidR="007C5447" w:rsidRDefault="00F6308C">
            <w:pPr>
              <w:pStyle w:val="TableParagraph"/>
              <w:spacing w:before="48"/>
              <w:ind w:right="94"/>
              <w:rPr>
                <w:b/>
                <w:sz w:val="20"/>
              </w:rPr>
            </w:pPr>
            <w:r>
              <w:rPr>
                <w:b/>
                <w:w w:val="95"/>
                <w:sz w:val="20"/>
              </w:rPr>
              <w:t>21,566.30</w:t>
            </w:r>
          </w:p>
        </w:tc>
        <w:tc>
          <w:tcPr>
            <w:tcW w:w="1623" w:type="dxa"/>
          </w:tcPr>
          <w:p w:rsidR="007C5447" w:rsidRDefault="00F6308C">
            <w:pPr>
              <w:pStyle w:val="TableParagraph"/>
              <w:spacing w:before="48"/>
              <w:ind w:right="93"/>
              <w:rPr>
                <w:b/>
                <w:sz w:val="20"/>
              </w:rPr>
            </w:pPr>
            <w:r>
              <w:rPr>
                <w:b/>
                <w:w w:val="95"/>
                <w:sz w:val="20"/>
              </w:rPr>
              <w:t>1,760.90</w:t>
            </w:r>
          </w:p>
        </w:tc>
        <w:tc>
          <w:tcPr>
            <w:tcW w:w="1603" w:type="dxa"/>
          </w:tcPr>
          <w:p w:rsidR="007C5447" w:rsidRDefault="00F6308C">
            <w:pPr>
              <w:pStyle w:val="TableParagraph"/>
              <w:spacing w:before="48"/>
              <w:ind w:right="92"/>
              <w:rPr>
                <w:b/>
                <w:sz w:val="20"/>
              </w:rPr>
            </w:pPr>
            <w:r>
              <w:rPr>
                <w:b/>
                <w:w w:val="95"/>
                <w:sz w:val="20"/>
              </w:rPr>
              <w:t>4,243.37</w:t>
            </w: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48"/>
              <w:ind w:right="92"/>
              <w:rPr>
                <w:b/>
                <w:sz w:val="20"/>
              </w:rPr>
            </w:pPr>
            <w:r>
              <w:rPr>
                <w:b/>
                <w:w w:val="95"/>
                <w:sz w:val="20"/>
              </w:rPr>
              <w:t>6,004.28</w:t>
            </w:r>
          </w:p>
        </w:tc>
        <w:tc>
          <w:tcPr>
            <w:tcW w:w="1339" w:type="dxa"/>
          </w:tcPr>
          <w:p w:rsidR="007C5447" w:rsidRDefault="00F6308C">
            <w:pPr>
              <w:pStyle w:val="TableParagraph"/>
              <w:spacing w:before="48"/>
              <w:ind w:right="93"/>
              <w:rPr>
                <w:b/>
                <w:sz w:val="20"/>
              </w:rPr>
            </w:pPr>
            <w:r>
              <w:rPr>
                <w:b/>
                <w:sz w:val="20"/>
              </w:rPr>
              <w:t>2.78</w:t>
            </w:r>
          </w:p>
        </w:tc>
      </w:tr>
      <w:tr w:rsidR="007C5447">
        <w:trPr>
          <w:trHeight w:val="326"/>
        </w:trPr>
        <w:tc>
          <w:tcPr>
            <w:tcW w:w="4751" w:type="dxa"/>
            <w:tcBorders>
              <w:left w:val="single" w:sz="8" w:space="0" w:color="000000"/>
            </w:tcBorders>
          </w:tcPr>
          <w:p w:rsidR="007C5447" w:rsidRDefault="00F6308C">
            <w:pPr>
              <w:pStyle w:val="TableParagraph"/>
              <w:spacing w:before="48"/>
              <w:ind w:left="107"/>
              <w:jc w:val="left"/>
              <w:rPr>
                <w:b/>
                <w:sz w:val="20"/>
              </w:rPr>
            </w:pPr>
            <w:r>
              <w:rPr>
                <w:b/>
                <w:sz w:val="20"/>
              </w:rPr>
              <w:t>IPP</w:t>
            </w:r>
          </w:p>
        </w:tc>
        <w:tc>
          <w:tcPr>
            <w:tcW w:w="162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GMR Vasavi</w:t>
            </w:r>
          </w:p>
        </w:tc>
        <w:tc>
          <w:tcPr>
            <w:tcW w:w="1623" w:type="dxa"/>
          </w:tcPr>
          <w:p w:rsidR="007C5447" w:rsidRDefault="00F6308C">
            <w:pPr>
              <w:pStyle w:val="TableParagraph"/>
              <w:spacing w:before="34"/>
              <w:ind w:right="90"/>
              <w:rPr>
                <w:sz w:val="20"/>
              </w:rPr>
            </w:pPr>
            <w:r>
              <w:rPr>
                <w:w w:val="99"/>
                <w:sz w:val="20"/>
              </w:rPr>
              <w:t>-</w:t>
            </w:r>
          </w:p>
        </w:tc>
        <w:tc>
          <w:tcPr>
            <w:tcW w:w="1623" w:type="dxa"/>
          </w:tcPr>
          <w:p w:rsidR="007C5447" w:rsidRDefault="00F6308C">
            <w:pPr>
              <w:pStyle w:val="TableParagraph"/>
              <w:spacing w:before="34"/>
              <w:ind w:right="95"/>
              <w:rPr>
                <w:sz w:val="20"/>
              </w:rPr>
            </w:pPr>
            <w:r>
              <w:rPr>
                <w:w w:val="95"/>
                <w:sz w:val="20"/>
              </w:rPr>
              <w:t>167.15</w:t>
            </w:r>
          </w:p>
        </w:tc>
        <w:tc>
          <w:tcPr>
            <w:tcW w:w="1603" w:type="dxa"/>
          </w:tcPr>
          <w:p w:rsidR="007C5447" w:rsidRDefault="00F6308C">
            <w:pPr>
              <w:pStyle w:val="TableParagraph"/>
              <w:spacing w:before="34"/>
              <w:ind w:right="90"/>
              <w:rPr>
                <w:sz w:val="20"/>
              </w:rPr>
            </w:pPr>
            <w:r>
              <w:rPr>
                <w:w w:val="99"/>
                <w:sz w:val="20"/>
              </w:rPr>
              <w:t>-</w:t>
            </w:r>
          </w:p>
        </w:tc>
        <w:tc>
          <w:tcPr>
            <w:tcW w:w="1623" w:type="dxa"/>
          </w:tcPr>
          <w:p w:rsidR="007C5447" w:rsidRDefault="00F6308C">
            <w:pPr>
              <w:pStyle w:val="TableParagraph"/>
              <w:spacing w:before="34"/>
              <w:ind w:right="93"/>
              <w:rPr>
                <w:sz w:val="20"/>
              </w:rPr>
            </w:pPr>
            <w:r>
              <w:rPr>
                <w:w w:val="99"/>
                <w:sz w:val="20"/>
              </w:rPr>
              <w:t>-</w:t>
            </w:r>
          </w:p>
        </w:tc>
        <w:tc>
          <w:tcPr>
            <w:tcW w:w="1615" w:type="dxa"/>
          </w:tcPr>
          <w:p w:rsidR="007C5447" w:rsidRDefault="00F6308C">
            <w:pPr>
              <w:pStyle w:val="TableParagraph"/>
              <w:spacing w:before="34"/>
              <w:ind w:right="94"/>
              <w:rPr>
                <w:sz w:val="20"/>
              </w:rPr>
            </w:pPr>
            <w:r>
              <w:rPr>
                <w:w w:val="95"/>
                <w:sz w:val="20"/>
              </w:rPr>
              <w:t>167.15</w:t>
            </w:r>
          </w:p>
        </w:tc>
        <w:tc>
          <w:tcPr>
            <w:tcW w:w="1339" w:type="dxa"/>
          </w:tcPr>
          <w:p w:rsidR="007C5447" w:rsidRDefault="00F6308C">
            <w:pPr>
              <w:pStyle w:val="TableParagraph"/>
              <w:spacing w:before="34"/>
              <w:ind w:right="92"/>
              <w:rPr>
                <w:sz w:val="20"/>
              </w:rPr>
            </w:pPr>
            <w:r>
              <w:rPr>
                <w:w w:val="99"/>
                <w:sz w:val="20"/>
              </w:rPr>
              <w:t>-</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Samalpatti</w:t>
            </w:r>
          </w:p>
        </w:tc>
        <w:tc>
          <w:tcPr>
            <w:tcW w:w="1623" w:type="dxa"/>
          </w:tcPr>
          <w:p w:rsidR="007C5447" w:rsidRDefault="00F6308C">
            <w:pPr>
              <w:pStyle w:val="TableParagraph"/>
              <w:spacing w:before="34"/>
              <w:ind w:right="90"/>
              <w:rPr>
                <w:sz w:val="20"/>
              </w:rPr>
            </w:pPr>
            <w:r>
              <w:rPr>
                <w:w w:val="99"/>
                <w:sz w:val="20"/>
              </w:rPr>
              <w:t>-</w:t>
            </w:r>
          </w:p>
        </w:tc>
        <w:tc>
          <w:tcPr>
            <w:tcW w:w="1623" w:type="dxa"/>
          </w:tcPr>
          <w:p w:rsidR="007C5447" w:rsidRDefault="00F6308C">
            <w:pPr>
              <w:pStyle w:val="TableParagraph"/>
              <w:spacing w:before="34"/>
              <w:ind w:right="95"/>
              <w:rPr>
                <w:sz w:val="20"/>
              </w:rPr>
            </w:pPr>
            <w:r>
              <w:rPr>
                <w:w w:val="95"/>
                <w:sz w:val="20"/>
              </w:rPr>
              <w:t>108.94</w:t>
            </w:r>
          </w:p>
        </w:tc>
        <w:tc>
          <w:tcPr>
            <w:tcW w:w="1603" w:type="dxa"/>
          </w:tcPr>
          <w:p w:rsidR="007C5447" w:rsidRDefault="00F6308C">
            <w:pPr>
              <w:pStyle w:val="TableParagraph"/>
              <w:spacing w:before="34"/>
              <w:ind w:right="90"/>
              <w:rPr>
                <w:sz w:val="20"/>
              </w:rPr>
            </w:pPr>
            <w:r>
              <w:rPr>
                <w:w w:val="99"/>
                <w:sz w:val="20"/>
              </w:rPr>
              <w:t>-</w:t>
            </w:r>
          </w:p>
        </w:tc>
        <w:tc>
          <w:tcPr>
            <w:tcW w:w="1623" w:type="dxa"/>
          </w:tcPr>
          <w:p w:rsidR="007C5447" w:rsidRDefault="00F6308C">
            <w:pPr>
              <w:pStyle w:val="TableParagraph"/>
              <w:spacing w:before="34"/>
              <w:ind w:right="93"/>
              <w:rPr>
                <w:sz w:val="20"/>
              </w:rPr>
            </w:pPr>
            <w:r>
              <w:rPr>
                <w:w w:val="99"/>
                <w:sz w:val="20"/>
              </w:rPr>
              <w:t>-</w:t>
            </w:r>
          </w:p>
        </w:tc>
        <w:tc>
          <w:tcPr>
            <w:tcW w:w="1615" w:type="dxa"/>
          </w:tcPr>
          <w:p w:rsidR="007C5447" w:rsidRDefault="00F6308C">
            <w:pPr>
              <w:pStyle w:val="TableParagraph"/>
              <w:spacing w:before="34"/>
              <w:ind w:right="94"/>
              <w:rPr>
                <w:sz w:val="20"/>
              </w:rPr>
            </w:pPr>
            <w:r>
              <w:rPr>
                <w:w w:val="95"/>
                <w:sz w:val="20"/>
              </w:rPr>
              <w:t>108.94</w:t>
            </w:r>
          </w:p>
        </w:tc>
        <w:tc>
          <w:tcPr>
            <w:tcW w:w="1339" w:type="dxa"/>
          </w:tcPr>
          <w:p w:rsidR="007C5447" w:rsidRDefault="00F6308C">
            <w:pPr>
              <w:pStyle w:val="TableParagraph"/>
              <w:spacing w:before="34"/>
              <w:ind w:right="92"/>
              <w:rPr>
                <w:sz w:val="20"/>
              </w:rPr>
            </w:pPr>
            <w:r>
              <w:rPr>
                <w:w w:val="99"/>
                <w:sz w:val="20"/>
              </w:rPr>
              <w:t>-</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Madurai Power Corpn</w:t>
            </w:r>
          </w:p>
        </w:tc>
        <w:tc>
          <w:tcPr>
            <w:tcW w:w="1623" w:type="dxa"/>
          </w:tcPr>
          <w:p w:rsidR="007C5447" w:rsidRDefault="00F6308C">
            <w:pPr>
              <w:pStyle w:val="TableParagraph"/>
              <w:spacing w:before="34"/>
              <w:ind w:right="90"/>
              <w:rPr>
                <w:sz w:val="20"/>
              </w:rPr>
            </w:pPr>
            <w:r>
              <w:rPr>
                <w:w w:val="99"/>
                <w:sz w:val="20"/>
              </w:rPr>
              <w:t>-</w:t>
            </w:r>
          </w:p>
        </w:tc>
        <w:tc>
          <w:tcPr>
            <w:tcW w:w="1623" w:type="dxa"/>
          </w:tcPr>
          <w:p w:rsidR="007C5447" w:rsidRDefault="00F6308C">
            <w:pPr>
              <w:pStyle w:val="TableParagraph"/>
              <w:spacing w:before="34"/>
              <w:ind w:right="95"/>
              <w:rPr>
                <w:sz w:val="20"/>
              </w:rPr>
            </w:pPr>
            <w:r>
              <w:rPr>
                <w:w w:val="95"/>
                <w:sz w:val="20"/>
              </w:rPr>
              <w:t>109.59</w:t>
            </w:r>
          </w:p>
        </w:tc>
        <w:tc>
          <w:tcPr>
            <w:tcW w:w="1603" w:type="dxa"/>
          </w:tcPr>
          <w:p w:rsidR="007C5447" w:rsidRDefault="00F6308C">
            <w:pPr>
              <w:pStyle w:val="TableParagraph"/>
              <w:spacing w:before="34"/>
              <w:ind w:right="90"/>
              <w:rPr>
                <w:sz w:val="20"/>
              </w:rPr>
            </w:pPr>
            <w:r>
              <w:rPr>
                <w:w w:val="99"/>
                <w:sz w:val="20"/>
              </w:rPr>
              <w:t>-</w:t>
            </w:r>
          </w:p>
        </w:tc>
        <w:tc>
          <w:tcPr>
            <w:tcW w:w="1623" w:type="dxa"/>
          </w:tcPr>
          <w:p w:rsidR="007C5447" w:rsidRDefault="00F6308C">
            <w:pPr>
              <w:pStyle w:val="TableParagraph"/>
              <w:spacing w:before="34"/>
              <w:ind w:right="93"/>
              <w:rPr>
                <w:sz w:val="20"/>
              </w:rPr>
            </w:pPr>
            <w:r>
              <w:rPr>
                <w:w w:val="99"/>
                <w:sz w:val="20"/>
              </w:rPr>
              <w:t>-</w:t>
            </w:r>
          </w:p>
        </w:tc>
        <w:tc>
          <w:tcPr>
            <w:tcW w:w="1615" w:type="dxa"/>
          </w:tcPr>
          <w:p w:rsidR="007C5447" w:rsidRDefault="00F6308C">
            <w:pPr>
              <w:pStyle w:val="TableParagraph"/>
              <w:spacing w:before="34"/>
              <w:ind w:right="94"/>
              <w:rPr>
                <w:sz w:val="20"/>
              </w:rPr>
            </w:pPr>
            <w:r>
              <w:rPr>
                <w:w w:val="95"/>
                <w:sz w:val="20"/>
              </w:rPr>
              <w:t>109.59</w:t>
            </w:r>
          </w:p>
        </w:tc>
        <w:tc>
          <w:tcPr>
            <w:tcW w:w="1339" w:type="dxa"/>
          </w:tcPr>
          <w:p w:rsidR="007C5447" w:rsidRDefault="00F6308C">
            <w:pPr>
              <w:pStyle w:val="TableParagraph"/>
              <w:spacing w:before="34"/>
              <w:ind w:right="92"/>
              <w:rPr>
                <w:sz w:val="20"/>
              </w:rPr>
            </w:pPr>
            <w:r>
              <w:rPr>
                <w:w w:val="99"/>
                <w:sz w:val="20"/>
              </w:rPr>
              <w:t>-</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PPN</w:t>
            </w:r>
          </w:p>
        </w:tc>
        <w:tc>
          <w:tcPr>
            <w:tcW w:w="1623" w:type="dxa"/>
          </w:tcPr>
          <w:p w:rsidR="007C5447" w:rsidRDefault="00F6308C">
            <w:pPr>
              <w:pStyle w:val="TableParagraph"/>
              <w:spacing w:before="34"/>
              <w:ind w:right="90"/>
              <w:rPr>
                <w:sz w:val="20"/>
              </w:rPr>
            </w:pPr>
            <w:r>
              <w:rPr>
                <w:w w:val="99"/>
                <w:sz w:val="20"/>
              </w:rPr>
              <w:t>-</w:t>
            </w:r>
          </w:p>
        </w:tc>
        <w:tc>
          <w:tcPr>
            <w:tcW w:w="1623" w:type="dxa"/>
          </w:tcPr>
          <w:p w:rsidR="007C5447" w:rsidRDefault="00F6308C">
            <w:pPr>
              <w:pStyle w:val="TableParagraph"/>
              <w:spacing w:before="34"/>
              <w:ind w:right="95"/>
              <w:rPr>
                <w:sz w:val="20"/>
              </w:rPr>
            </w:pPr>
            <w:r>
              <w:rPr>
                <w:w w:val="95"/>
                <w:sz w:val="20"/>
              </w:rPr>
              <w:t>291.51</w:t>
            </w:r>
          </w:p>
        </w:tc>
        <w:tc>
          <w:tcPr>
            <w:tcW w:w="1603" w:type="dxa"/>
          </w:tcPr>
          <w:p w:rsidR="007C5447" w:rsidRDefault="00F6308C">
            <w:pPr>
              <w:pStyle w:val="TableParagraph"/>
              <w:spacing w:before="34"/>
              <w:ind w:right="90"/>
              <w:rPr>
                <w:sz w:val="20"/>
              </w:rPr>
            </w:pPr>
            <w:r>
              <w:rPr>
                <w:w w:val="99"/>
                <w:sz w:val="20"/>
              </w:rPr>
              <w:t>-</w:t>
            </w:r>
          </w:p>
        </w:tc>
        <w:tc>
          <w:tcPr>
            <w:tcW w:w="1623" w:type="dxa"/>
          </w:tcPr>
          <w:p w:rsidR="007C5447" w:rsidRDefault="00F6308C">
            <w:pPr>
              <w:pStyle w:val="TableParagraph"/>
              <w:spacing w:before="34"/>
              <w:ind w:right="93"/>
              <w:rPr>
                <w:sz w:val="20"/>
              </w:rPr>
            </w:pPr>
            <w:r>
              <w:rPr>
                <w:w w:val="99"/>
                <w:sz w:val="20"/>
              </w:rPr>
              <w:t>-</w:t>
            </w:r>
          </w:p>
        </w:tc>
        <w:tc>
          <w:tcPr>
            <w:tcW w:w="1615" w:type="dxa"/>
          </w:tcPr>
          <w:p w:rsidR="007C5447" w:rsidRDefault="00F6308C">
            <w:pPr>
              <w:pStyle w:val="TableParagraph"/>
              <w:spacing w:before="34"/>
              <w:ind w:right="94"/>
              <w:rPr>
                <w:sz w:val="20"/>
              </w:rPr>
            </w:pPr>
            <w:r>
              <w:rPr>
                <w:w w:val="95"/>
                <w:sz w:val="20"/>
              </w:rPr>
              <w:t>291.51</w:t>
            </w:r>
          </w:p>
        </w:tc>
        <w:tc>
          <w:tcPr>
            <w:tcW w:w="1339" w:type="dxa"/>
          </w:tcPr>
          <w:p w:rsidR="007C5447" w:rsidRDefault="00F6308C">
            <w:pPr>
              <w:pStyle w:val="TableParagraph"/>
              <w:spacing w:before="34"/>
              <w:ind w:right="92"/>
              <w:rPr>
                <w:sz w:val="20"/>
              </w:rPr>
            </w:pPr>
            <w:r>
              <w:rPr>
                <w:w w:val="99"/>
                <w:sz w:val="20"/>
              </w:rPr>
              <w:t>-</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STCMS - Neyveli</w:t>
            </w:r>
          </w:p>
        </w:tc>
        <w:tc>
          <w:tcPr>
            <w:tcW w:w="1623" w:type="dxa"/>
          </w:tcPr>
          <w:p w:rsidR="007C5447" w:rsidRDefault="00F6308C">
            <w:pPr>
              <w:pStyle w:val="TableParagraph"/>
              <w:spacing w:before="34"/>
              <w:ind w:right="92"/>
              <w:rPr>
                <w:sz w:val="20"/>
              </w:rPr>
            </w:pPr>
            <w:r>
              <w:rPr>
                <w:w w:val="95"/>
                <w:sz w:val="20"/>
              </w:rPr>
              <w:t>1,514.19</w:t>
            </w:r>
          </w:p>
        </w:tc>
        <w:tc>
          <w:tcPr>
            <w:tcW w:w="1623" w:type="dxa"/>
          </w:tcPr>
          <w:p w:rsidR="007C5447" w:rsidRDefault="00F6308C">
            <w:pPr>
              <w:pStyle w:val="TableParagraph"/>
              <w:spacing w:before="34"/>
              <w:ind w:right="95"/>
              <w:rPr>
                <w:sz w:val="20"/>
              </w:rPr>
            </w:pPr>
            <w:r>
              <w:rPr>
                <w:w w:val="95"/>
                <w:sz w:val="20"/>
              </w:rPr>
              <w:t>363.63</w:t>
            </w:r>
          </w:p>
        </w:tc>
        <w:tc>
          <w:tcPr>
            <w:tcW w:w="1603" w:type="dxa"/>
          </w:tcPr>
          <w:p w:rsidR="007C5447" w:rsidRDefault="00F6308C">
            <w:pPr>
              <w:pStyle w:val="TableParagraph"/>
              <w:spacing w:before="34"/>
              <w:ind w:right="94"/>
              <w:rPr>
                <w:sz w:val="20"/>
              </w:rPr>
            </w:pPr>
            <w:r>
              <w:rPr>
                <w:w w:val="95"/>
                <w:sz w:val="20"/>
              </w:rPr>
              <w:t>350.59</w:t>
            </w:r>
          </w:p>
        </w:tc>
        <w:tc>
          <w:tcPr>
            <w:tcW w:w="1623" w:type="dxa"/>
          </w:tcPr>
          <w:p w:rsidR="007C5447" w:rsidRDefault="00F6308C">
            <w:pPr>
              <w:pStyle w:val="TableParagraph"/>
              <w:spacing w:before="34"/>
              <w:ind w:right="94"/>
              <w:rPr>
                <w:sz w:val="20"/>
              </w:rPr>
            </w:pPr>
            <w:r>
              <w:rPr>
                <w:sz w:val="20"/>
              </w:rPr>
              <w:t>2.32</w:t>
            </w:r>
          </w:p>
        </w:tc>
        <w:tc>
          <w:tcPr>
            <w:tcW w:w="1615" w:type="dxa"/>
          </w:tcPr>
          <w:p w:rsidR="007C5447" w:rsidRDefault="00F6308C">
            <w:pPr>
              <w:pStyle w:val="TableParagraph"/>
              <w:spacing w:before="34"/>
              <w:ind w:right="94"/>
              <w:rPr>
                <w:sz w:val="20"/>
              </w:rPr>
            </w:pPr>
            <w:r>
              <w:rPr>
                <w:w w:val="95"/>
                <w:sz w:val="20"/>
              </w:rPr>
              <w:t>714.22</w:t>
            </w:r>
          </w:p>
        </w:tc>
        <w:tc>
          <w:tcPr>
            <w:tcW w:w="1339" w:type="dxa"/>
          </w:tcPr>
          <w:p w:rsidR="007C5447" w:rsidRDefault="00F6308C">
            <w:pPr>
              <w:pStyle w:val="TableParagraph"/>
              <w:spacing w:before="34"/>
              <w:ind w:right="93"/>
              <w:rPr>
                <w:sz w:val="20"/>
              </w:rPr>
            </w:pPr>
            <w:r>
              <w:rPr>
                <w:sz w:val="20"/>
              </w:rPr>
              <w:t>4.72</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LANCO Power (Aban co)</w:t>
            </w:r>
          </w:p>
        </w:tc>
        <w:tc>
          <w:tcPr>
            <w:tcW w:w="1623" w:type="dxa"/>
          </w:tcPr>
          <w:p w:rsidR="007C5447" w:rsidRDefault="00F6308C">
            <w:pPr>
              <w:pStyle w:val="TableParagraph"/>
              <w:spacing w:before="34"/>
              <w:ind w:right="94"/>
              <w:rPr>
                <w:sz w:val="20"/>
              </w:rPr>
            </w:pPr>
            <w:r>
              <w:rPr>
                <w:w w:val="95"/>
                <w:sz w:val="20"/>
              </w:rPr>
              <w:t>850.00</w:t>
            </w:r>
          </w:p>
        </w:tc>
        <w:tc>
          <w:tcPr>
            <w:tcW w:w="1623" w:type="dxa"/>
          </w:tcPr>
          <w:p w:rsidR="007C5447" w:rsidRDefault="00F6308C">
            <w:pPr>
              <w:pStyle w:val="TableParagraph"/>
              <w:spacing w:before="34"/>
              <w:ind w:right="95"/>
              <w:rPr>
                <w:sz w:val="20"/>
              </w:rPr>
            </w:pPr>
            <w:r>
              <w:rPr>
                <w:w w:val="95"/>
                <w:sz w:val="20"/>
              </w:rPr>
              <w:t>117.51</w:t>
            </w:r>
          </w:p>
        </w:tc>
        <w:tc>
          <w:tcPr>
            <w:tcW w:w="1603" w:type="dxa"/>
          </w:tcPr>
          <w:p w:rsidR="007C5447" w:rsidRDefault="00F6308C">
            <w:pPr>
              <w:pStyle w:val="TableParagraph"/>
              <w:spacing w:before="34"/>
              <w:ind w:right="94"/>
              <w:rPr>
                <w:sz w:val="20"/>
              </w:rPr>
            </w:pPr>
            <w:r>
              <w:rPr>
                <w:w w:val="95"/>
                <w:sz w:val="20"/>
              </w:rPr>
              <w:t>169.94</w:t>
            </w:r>
          </w:p>
        </w:tc>
        <w:tc>
          <w:tcPr>
            <w:tcW w:w="1623" w:type="dxa"/>
          </w:tcPr>
          <w:p w:rsidR="007C5447" w:rsidRDefault="00F6308C">
            <w:pPr>
              <w:pStyle w:val="TableParagraph"/>
              <w:spacing w:before="34"/>
              <w:ind w:right="94"/>
              <w:rPr>
                <w:sz w:val="20"/>
              </w:rPr>
            </w:pPr>
            <w:r>
              <w:rPr>
                <w:sz w:val="20"/>
              </w:rPr>
              <w:t>2.00</w:t>
            </w:r>
          </w:p>
        </w:tc>
        <w:tc>
          <w:tcPr>
            <w:tcW w:w="1615" w:type="dxa"/>
          </w:tcPr>
          <w:p w:rsidR="007C5447" w:rsidRDefault="00F6308C">
            <w:pPr>
              <w:pStyle w:val="TableParagraph"/>
              <w:spacing w:before="34"/>
              <w:ind w:right="94"/>
              <w:rPr>
                <w:sz w:val="20"/>
              </w:rPr>
            </w:pPr>
            <w:r>
              <w:rPr>
                <w:w w:val="95"/>
                <w:sz w:val="20"/>
              </w:rPr>
              <w:t>287.45</w:t>
            </w:r>
          </w:p>
        </w:tc>
        <w:tc>
          <w:tcPr>
            <w:tcW w:w="1339" w:type="dxa"/>
          </w:tcPr>
          <w:p w:rsidR="007C5447" w:rsidRDefault="00F6308C">
            <w:pPr>
              <w:pStyle w:val="TableParagraph"/>
              <w:spacing w:before="34"/>
              <w:ind w:right="93"/>
              <w:rPr>
                <w:sz w:val="20"/>
              </w:rPr>
            </w:pPr>
            <w:r>
              <w:rPr>
                <w:sz w:val="20"/>
              </w:rPr>
              <w:t>3.38</w:t>
            </w:r>
          </w:p>
        </w:tc>
      </w:tr>
      <w:tr w:rsidR="007C5447">
        <w:trPr>
          <w:trHeight w:val="294"/>
        </w:trPr>
        <w:tc>
          <w:tcPr>
            <w:tcW w:w="4751" w:type="dxa"/>
            <w:tcBorders>
              <w:left w:val="single" w:sz="8" w:space="0" w:color="000000"/>
            </w:tcBorders>
          </w:tcPr>
          <w:p w:rsidR="007C5447" w:rsidRDefault="00F6308C">
            <w:pPr>
              <w:pStyle w:val="TableParagraph"/>
              <w:spacing w:before="34"/>
              <w:ind w:left="107"/>
              <w:jc w:val="left"/>
              <w:rPr>
                <w:sz w:val="20"/>
              </w:rPr>
            </w:pPr>
            <w:r>
              <w:rPr>
                <w:sz w:val="20"/>
              </w:rPr>
              <w:t>Penna</w:t>
            </w:r>
          </w:p>
        </w:tc>
        <w:tc>
          <w:tcPr>
            <w:tcW w:w="1623" w:type="dxa"/>
          </w:tcPr>
          <w:p w:rsidR="007C5447" w:rsidRDefault="00F6308C">
            <w:pPr>
              <w:pStyle w:val="TableParagraph"/>
              <w:spacing w:before="34"/>
              <w:ind w:right="94"/>
              <w:rPr>
                <w:sz w:val="20"/>
              </w:rPr>
            </w:pPr>
            <w:r>
              <w:rPr>
                <w:w w:val="95"/>
                <w:sz w:val="20"/>
              </w:rPr>
              <w:t>375.00</w:t>
            </w:r>
          </w:p>
        </w:tc>
        <w:tc>
          <w:tcPr>
            <w:tcW w:w="1623" w:type="dxa"/>
          </w:tcPr>
          <w:p w:rsidR="007C5447" w:rsidRDefault="00F6308C">
            <w:pPr>
              <w:pStyle w:val="TableParagraph"/>
              <w:spacing w:before="34"/>
              <w:ind w:right="94"/>
              <w:rPr>
                <w:sz w:val="20"/>
              </w:rPr>
            </w:pPr>
            <w:r>
              <w:rPr>
                <w:w w:val="95"/>
                <w:sz w:val="20"/>
              </w:rPr>
              <w:t>57.82</w:t>
            </w:r>
          </w:p>
        </w:tc>
        <w:tc>
          <w:tcPr>
            <w:tcW w:w="1603" w:type="dxa"/>
          </w:tcPr>
          <w:p w:rsidR="007C5447" w:rsidRDefault="00F6308C">
            <w:pPr>
              <w:pStyle w:val="TableParagraph"/>
              <w:spacing w:before="34"/>
              <w:ind w:right="94"/>
              <w:rPr>
                <w:sz w:val="20"/>
              </w:rPr>
            </w:pPr>
            <w:r>
              <w:rPr>
                <w:w w:val="95"/>
                <w:sz w:val="20"/>
              </w:rPr>
              <w:t>76.67</w:t>
            </w:r>
          </w:p>
        </w:tc>
        <w:tc>
          <w:tcPr>
            <w:tcW w:w="1623" w:type="dxa"/>
          </w:tcPr>
          <w:p w:rsidR="007C5447" w:rsidRDefault="00F6308C">
            <w:pPr>
              <w:pStyle w:val="TableParagraph"/>
              <w:spacing w:before="34"/>
              <w:ind w:right="94"/>
              <w:rPr>
                <w:sz w:val="20"/>
              </w:rPr>
            </w:pPr>
            <w:r>
              <w:rPr>
                <w:sz w:val="20"/>
              </w:rPr>
              <w:t>2.04</w:t>
            </w:r>
          </w:p>
        </w:tc>
        <w:tc>
          <w:tcPr>
            <w:tcW w:w="1615" w:type="dxa"/>
          </w:tcPr>
          <w:p w:rsidR="007C5447" w:rsidRDefault="00F6308C">
            <w:pPr>
              <w:pStyle w:val="TableParagraph"/>
              <w:spacing w:before="34"/>
              <w:ind w:right="94"/>
              <w:rPr>
                <w:sz w:val="20"/>
              </w:rPr>
            </w:pPr>
            <w:r>
              <w:rPr>
                <w:w w:val="95"/>
                <w:sz w:val="20"/>
              </w:rPr>
              <w:t>134.49</w:t>
            </w:r>
          </w:p>
        </w:tc>
        <w:tc>
          <w:tcPr>
            <w:tcW w:w="1339" w:type="dxa"/>
          </w:tcPr>
          <w:p w:rsidR="007C5447" w:rsidRDefault="00F6308C">
            <w:pPr>
              <w:pStyle w:val="TableParagraph"/>
              <w:spacing w:before="34"/>
              <w:ind w:right="93"/>
              <w:rPr>
                <w:sz w:val="20"/>
              </w:rPr>
            </w:pPr>
            <w:r>
              <w:rPr>
                <w:sz w:val="20"/>
              </w:rPr>
              <w:t>3.59</w:t>
            </w:r>
          </w:p>
        </w:tc>
      </w:tr>
      <w:tr w:rsidR="007C5447">
        <w:trPr>
          <w:trHeight w:val="328"/>
        </w:trPr>
        <w:tc>
          <w:tcPr>
            <w:tcW w:w="4751" w:type="dxa"/>
            <w:tcBorders>
              <w:left w:val="single" w:sz="8" w:space="0" w:color="000000"/>
            </w:tcBorders>
          </w:tcPr>
          <w:p w:rsidR="007C5447" w:rsidRDefault="00F6308C">
            <w:pPr>
              <w:pStyle w:val="TableParagraph"/>
              <w:spacing w:before="50"/>
              <w:ind w:left="107"/>
              <w:jc w:val="left"/>
              <w:rPr>
                <w:b/>
                <w:sz w:val="20"/>
              </w:rPr>
            </w:pPr>
            <w:r>
              <w:rPr>
                <w:b/>
                <w:sz w:val="20"/>
              </w:rPr>
              <w:t>Total IPP</w:t>
            </w:r>
          </w:p>
        </w:tc>
        <w:tc>
          <w:tcPr>
            <w:tcW w:w="1623" w:type="dxa"/>
          </w:tcPr>
          <w:p w:rsidR="007C5447" w:rsidRDefault="00F6308C">
            <w:pPr>
              <w:pStyle w:val="TableParagraph"/>
              <w:spacing w:before="50"/>
              <w:ind w:right="92"/>
              <w:rPr>
                <w:b/>
                <w:sz w:val="20"/>
              </w:rPr>
            </w:pPr>
            <w:r>
              <w:rPr>
                <w:b/>
                <w:w w:val="95"/>
                <w:sz w:val="20"/>
              </w:rPr>
              <w:t>2,739.19</w:t>
            </w:r>
          </w:p>
        </w:tc>
        <w:tc>
          <w:tcPr>
            <w:tcW w:w="1623" w:type="dxa"/>
          </w:tcPr>
          <w:p w:rsidR="007C5447" w:rsidRDefault="00F6308C">
            <w:pPr>
              <w:pStyle w:val="TableParagraph"/>
              <w:spacing w:before="50"/>
              <w:ind w:right="93"/>
              <w:rPr>
                <w:b/>
                <w:sz w:val="20"/>
              </w:rPr>
            </w:pPr>
            <w:r>
              <w:rPr>
                <w:b/>
                <w:w w:val="95"/>
                <w:sz w:val="20"/>
              </w:rPr>
              <w:t>1,216.15</w:t>
            </w:r>
          </w:p>
        </w:tc>
        <w:tc>
          <w:tcPr>
            <w:tcW w:w="1603" w:type="dxa"/>
          </w:tcPr>
          <w:p w:rsidR="007C5447" w:rsidRDefault="00F6308C">
            <w:pPr>
              <w:pStyle w:val="TableParagraph"/>
              <w:spacing w:before="50"/>
              <w:ind w:right="94"/>
              <w:rPr>
                <w:b/>
                <w:sz w:val="20"/>
              </w:rPr>
            </w:pPr>
            <w:r>
              <w:rPr>
                <w:b/>
                <w:w w:val="95"/>
                <w:sz w:val="20"/>
              </w:rPr>
              <w:t>597.19</w:t>
            </w: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50"/>
              <w:ind w:right="92"/>
              <w:rPr>
                <w:b/>
                <w:sz w:val="20"/>
              </w:rPr>
            </w:pPr>
            <w:r>
              <w:rPr>
                <w:b/>
                <w:w w:val="95"/>
                <w:sz w:val="20"/>
              </w:rPr>
              <w:t>1,813.34</w:t>
            </w:r>
          </w:p>
        </w:tc>
        <w:tc>
          <w:tcPr>
            <w:tcW w:w="1339" w:type="dxa"/>
          </w:tcPr>
          <w:p w:rsidR="007C5447" w:rsidRDefault="00F6308C">
            <w:pPr>
              <w:pStyle w:val="TableParagraph"/>
              <w:spacing w:before="50"/>
              <w:ind w:right="93"/>
              <w:rPr>
                <w:b/>
                <w:sz w:val="20"/>
              </w:rPr>
            </w:pPr>
            <w:r>
              <w:rPr>
                <w:b/>
                <w:sz w:val="20"/>
              </w:rPr>
              <w:t>6.62</w:t>
            </w:r>
          </w:p>
        </w:tc>
      </w:tr>
      <w:tr w:rsidR="007C5447">
        <w:trPr>
          <w:trHeight w:val="326"/>
        </w:trPr>
        <w:tc>
          <w:tcPr>
            <w:tcW w:w="4751" w:type="dxa"/>
            <w:tcBorders>
              <w:left w:val="single" w:sz="8" w:space="0" w:color="000000"/>
            </w:tcBorders>
          </w:tcPr>
          <w:p w:rsidR="007C5447" w:rsidRDefault="00F6308C">
            <w:pPr>
              <w:pStyle w:val="TableParagraph"/>
              <w:spacing w:before="48"/>
              <w:ind w:left="107"/>
              <w:jc w:val="left"/>
              <w:rPr>
                <w:b/>
                <w:sz w:val="20"/>
              </w:rPr>
            </w:pPr>
            <w:r>
              <w:rPr>
                <w:b/>
                <w:sz w:val="20"/>
              </w:rPr>
              <w:t>Renewables</w:t>
            </w:r>
          </w:p>
        </w:tc>
        <w:tc>
          <w:tcPr>
            <w:tcW w:w="162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Wind</w:t>
            </w:r>
          </w:p>
        </w:tc>
        <w:tc>
          <w:tcPr>
            <w:tcW w:w="1623" w:type="dxa"/>
          </w:tcPr>
          <w:p w:rsidR="007C5447" w:rsidRDefault="00F6308C">
            <w:pPr>
              <w:pStyle w:val="TableParagraph"/>
              <w:spacing w:before="34"/>
              <w:ind w:right="92"/>
              <w:rPr>
                <w:sz w:val="20"/>
              </w:rPr>
            </w:pPr>
            <w:r>
              <w:rPr>
                <w:w w:val="95"/>
                <w:sz w:val="20"/>
              </w:rPr>
              <w:t>7,474.00</w:t>
            </w: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34"/>
              <w:ind w:right="92"/>
              <w:rPr>
                <w:sz w:val="20"/>
              </w:rPr>
            </w:pPr>
            <w:r>
              <w:rPr>
                <w:w w:val="95"/>
                <w:sz w:val="20"/>
              </w:rPr>
              <w:t>2,549.00</w:t>
            </w:r>
          </w:p>
        </w:tc>
        <w:tc>
          <w:tcPr>
            <w:tcW w:w="1339" w:type="dxa"/>
          </w:tcPr>
          <w:p w:rsidR="007C5447" w:rsidRDefault="00F6308C">
            <w:pPr>
              <w:pStyle w:val="TableParagraph"/>
              <w:spacing w:before="34"/>
              <w:ind w:right="93"/>
              <w:rPr>
                <w:sz w:val="20"/>
              </w:rPr>
            </w:pPr>
            <w:r>
              <w:rPr>
                <w:sz w:val="20"/>
              </w:rPr>
              <w:t>3.41</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Biomass</w:t>
            </w:r>
          </w:p>
        </w:tc>
        <w:tc>
          <w:tcPr>
            <w:tcW w:w="1623" w:type="dxa"/>
          </w:tcPr>
          <w:p w:rsidR="007C5447" w:rsidRDefault="00F6308C">
            <w:pPr>
              <w:pStyle w:val="TableParagraph"/>
              <w:spacing w:before="34"/>
              <w:ind w:right="94"/>
              <w:rPr>
                <w:sz w:val="20"/>
              </w:rPr>
            </w:pPr>
            <w:r>
              <w:rPr>
                <w:w w:val="95"/>
                <w:sz w:val="20"/>
              </w:rPr>
              <w:t>11.00</w:t>
            </w: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34"/>
              <w:ind w:right="94"/>
              <w:rPr>
                <w:sz w:val="20"/>
              </w:rPr>
            </w:pPr>
            <w:r>
              <w:rPr>
                <w:sz w:val="20"/>
              </w:rPr>
              <w:t>5.00</w:t>
            </w:r>
          </w:p>
        </w:tc>
        <w:tc>
          <w:tcPr>
            <w:tcW w:w="1339" w:type="dxa"/>
          </w:tcPr>
          <w:p w:rsidR="007C5447" w:rsidRDefault="00F6308C">
            <w:pPr>
              <w:pStyle w:val="TableParagraph"/>
              <w:spacing w:before="34"/>
              <w:ind w:right="93"/>
              <w:rPr>
                <w:sz w:val="20"/>
              </w:rPr>
            </w:pPr>
            <w:r>
              <w:rPr>
                <w:sz w:val="20"/>
              </w:rPr>
              <w:t>4.55</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Cogeneration</w:t>
            </w:r>
          </w:p>
        </w:tc>
        <w:tc>
          <w:tcPr>
            <w:tcW w:w="1623" w:type="dxa"/>
          </w:tcPr>
          <w:p w:rsidR="007C5447" w:rsidRDefault="00F6308C">
            <w:pPr>
              <w:pStyle w:val="TableParagraph"/>
              <w:spacing w:before="34"/>
              <w:ind w:right="92"/>
              <w:rPr>
                <w:sz w:val="20"/>
              </w:rPr>
            </w:pPr>
            <w:r>
              <w:rPr>
                <w:w w:val="95"/>
                <w:sz w:val="20"/>
              </w:rPr>
              <w:t>1,428.00</w:t>
            </w: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34"/>
              <w:ind w:right="94"/>
              <w:rPr>
                <w:sz w:val="20"/>
              </w:rPr>
            </w:pPr>
            <w:r>
              <w:rPr>
                <w:w w:val="95"/>
                <w:sz w:val="20"/>
              </w:rPr>
              <w:t>534.00</w:t>
            </w:r>
          </w:p>
        </w:tc>
        <w:tc>
          <w:tcPr>
            <w:tcW w:w="1339" w:type="dxa"/>
          </w:tcPr>
          <w:p w:rsidR="007C5447" w:rsidRDefault="00F6308C">
            <w:pPr>
              <w:pStyle w:val="TableParagraph"/>
              <w:spacing w:before="34"/>
              <w:ind w:right="93"/>
              <w:rPr>
                <w:sz w:val="20"/>
              </w:rPr>
            </w:pPr>
            <w:r>
              <w:rPr>
                <w:sz w:val="20"/>
              </w:rPr>
              <w:t>3.74</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Captive</w:t>
            </w:r>
          </w:p>
        </w:tc>
        <w:tc>
          <w:tcPr>
            <w:tcW w:w="1623" w:type="dxa"/>
          </w:tcPr>
          <w:p w:rsidR="007C5447" w:rsidRDefault="00F6308C">
            <w:pPr>
              <w:pStyle w:val="TableParagraph"/>
              <w:spacing w:before="34"/>
              <w:ind w:right="94"/>
              <w:rPr>
                <w:sz w:val="20"/>
              </w:rPr>
            </w:pPr>
            <w:r>
              <w:rPr>
                <w:w w:val="95"/>
                <w:sz w:val="20"/>
              </w:rPr>
              <w:t>595.00</w:t>
            </w: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34"/>
              <w:ind w:right="94"/>
              <w:rPr>
                <w:sz w:val="20"/>
              </w:rPr>
            </w:pPr>
            <w:r>
              <w:rPr>
                <w:w w:val="95"/>
                <w:sz w:val="20"/>
              </w:rPr>
              <w:t>224.00</w:t>
            </w:r>
          </w:p>
        </w:tc>
        <w:tc>
          <w:tcPr>
            <w:tcW w:w="1339" w:type="dxa"/>
          </w:tcPr>
          <w:p w:rsidR="007C5447" w:rsidRDefault="00F6308C">
            <w:pPr>
              <w:pStyle w:val="TableParagraph"/>
              <w:spacing w:before="34"/>
              <w:ind w:right="93"/>
              <w:rPr>
                <w:sz w:val="20"/>
              </w:rPr>
            </w:pPr>
            <w:r>
              <w:rPr>
                <w:sz w:val="20"/>
              </w:rPr>
              <w:t>3.76</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Solar</w:t>
            </w:r>
          </w:p>
        </w:tc>
        <w:tc>
          <w:tcPr>
            <w:tcW w:w="1623" w:type="dxa"/>
          </w:tcPr>
          <w:p w:rsidR="007C5447" w:rsidRDefault="00F6308C">
            <w:pPr>
              <w:pStyle w:val="TableParagraph"/>
              <w:spacing w:before="34"/>
              <w:ind w:right="94"/>
              <w:rPr>
                <w:sz w:val="20"/>
              </w:rPr>
            </w:pPr>
            <w:r>
              <w:rPr>
                <w:w w:val="95"/>
                <w:sz w:val="20"/>
              </w:rPr>
              <w:t>45.00</w:t>
            </w: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34"/>
              <w:ind w:right="94"/>
              <w:rPr>
                <w:sz w:val="20"/>
              </w:rPr>
            </w:pPr>
            <w:r>
              <w:rPr>
                <w:w w:val="95"/>
                <w:sz w:val="20"/>
              </w:rPr>
              <w:t>22.00</w:t>
            </w:r>
          </w:p>
        </w:tc>
        <w:tc>
          <w:tcPr>
            <w:tcW w:w="1339" w:type="dxa"/>
          </w:tcPr>
          <w:p w:rsidR="007C5447" w:rsidRDefault="00F6308C">
            <w:pPr>
              <w:pStyle w:val="TableParagraph"/>
              <w:spacing w:before="34"/>
              <w:ind w:right="93"/>
              <w:rPr>
                <w:sz w:val="20"/>
              </w:rPr>
            </w:pPr>
            <w:r>
              <w:rPr>
                <w:sz w:val="20"/>
              </w:rPr>
              <w:t>4.89</w:t>
            </w:r>
          </w:p>
        </w:tc>
      </w:tr>
      <w:tr w:rsidR="007C5447">
        <w:trPr>
          <w:trHeight w:val="326"/>
        </w:trPr>
        <w:tc>
          <w:tcPr>
            <w:tcW w:w="4751" w:type="dxa"/>
            <w:tcBorders>
              <w:left w:val="single" w:sz="8" w:space="0" w:color="000000"/>
            </w:tcBorders>
          </w:tcPr>
          <w:p w:rsidR="007C5447" w:rsidRDefault="00F6308C">
            <w:pPr>
              <w:pStyle w:val="TableParagraph"/>
              <w:spacing w:before="48"/>
              <w:ind w:left="107"/>
              <w:jc w:val="left"/>
              <w:rPr>
                <w:b/>
                <w:sz w:val="20"/>
              </w:rPr>
            </w:pPr>
            <w:r>
              <w:rPr>
                <w:b/>
                <w:sz w:val="20"/>
              </w:rPr>
              <w:t>Total Renewables</w:t>
            </w:r>
          </w:p>
        </w:tc>
        <w:tc>
          <w:tcPr>
            <w:tcW w:w="1623" w:type="dxa"/>
          </w:tcPr>
          <w:p w:rsidR="007C5447" w:rsidRDefault="00F6308C">
            <w:pPr>
              <w:pStyle w:val="TableParagraph"/>
              <w:spacing w:before="48"/>
              <w:ind w:right="92"/>
              <w:rPr>
                <w:b/>
                <w:sz w:val="20"/>
              </w:rPr>
            </w:pPr>
            <w:r>
              <w:rPr>
                <w:b/>
                <w:w w:val="95"/>
                <w:sz w:val="20"/>
              </w:rPr>
              <w:t>9,553.00</w:t>
            </w: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48"/>
              <w:ind w:right="92"/>
              <w:rPr>
                <w:b/>
                <w:sz w:val="20"/>
              </w:rPr>
            </w:pPr>
            <w:r>
              <w:rPr>
                <w:b/>
                <w:w w:val="95"/>
                <w:sz w:val="20"/>
              </w:rPr>
              <w:t>3,334.00</w:t>
            </w:r>
          </w:p>
        </w:tc>
        <w:tc>
          <w:tcPr>
            <w:tcW w:w="1339" w:type="dxa"/>
          </w:tcPr>
          <w:p w:rsidR="007C5447" w:rsidRDefault="00F6308C">
            <w:pPr>
              <w:pStyle w:val="TableParagraph"/>
              <w:spacing w:before="48"/>
              <w:ind w:right="93"/>
              <w:rPr>
                <w:b/>
                <w:sz w:val="20"/>
              </w:rPr>
            </w:pPr>
            <w:r>
              <w:rPr>
                <w:b/>
                <w:sz w:val="20"/>
              </w:rPr>
              <w:t>3.49</w:t>
            </w:r>
          </w:p>
        </w:tc>
      </w:tr>
      <w:tr w:rsidR="007C5447">
        <w:trPr>
          <w:trHeight w:val="328"/>
        </w:trPr>
        <w:tc>
          <w:tcPr>
            <w:tcW w:w="4751" w:type="dxa"/>
            <w:tcBorders>
              <w:left w:val="single" w:sz="8" w:space="0" w:color="000000"/>
            </w:tcBorders>
          </w:tcPr>
          <w:p w:rsidR="007C5447" w:rsidRDefault="00F6308C">
            <w:pPr>
              <w:pStyle w:val="TableParagraph"/>
              <w:spacing w:before="50"/>
              <w:ind w:left="107"/>
              <w:jc w:val="left"/>
              <w:rPr>
                <w:b/>
                <w:sz w:val="20"/>
              </w:rPr>
            </w:pPr>
            <w:r>
              <w:rPr>
                <w:b/>
                <w:sz w:val="20"/>
              </w:rPr>
              <w:t>Other Sources</w:t>
            </w:r>
          </w:p>
        </w:tc>
        <w:tc>
          <w:tcPr>
            <w:tcW w:w="162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Trading - Bilateral &amp; Exchange</w:t>
            </w:r>
          </w:p>
        </w:tc>
        <w:tc>
          <w:tcPr>
            <w:tcW w:w="1623" w:type="dxa"/>
          </w:tcPr>
          <w:p w:rsidR="007C5447" w:rsidRDefault="00F6308C">
            <w:pPr>
              <w:pStyle w:val="TableParagraph"/>
              <w:spacing w:before="34"/>
              <w:ind w:right="91"/>
              <w:rPr>
                <w:sz w:val="20"/>
              </w:rPr>
            </w:pPr>
            <w:r>
              <w:rPr>
                <w:sz w:val="20"/>
              </w:rPr>
              <w:t>6,935.00</w:t>
            </w: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34"/>
              <w:ind w:right="92"/>
              <w:rPr>
                <w:sz w:val="20"/>
              </w:rPr>
            </w:pPr>
            <w:r>
              <w:rPr>
                <w:w w:val="95"/>
                <w:sz w:val="20"/>
              </w:rPr>
              <w:t>3,557.00</w:t>
            </w:r>
          </w:p>
        </w:tc>
        <w:tc>
          <w:tcPr>
            <w:tcW w:w="1339" w:type="dxa"/>
          </w:tcPr>
          <w:p w:rsidR="007C5447" w:rsidRDefault="00F6308C">
            <w:pPr>
              <w:pStyle w:val="TableParagraph"/>
              <w:spacing w:before="34"/>
              <w:ind w:right="93"/>
              <w:rPr>
                <w:sz w:val="20"/>
              </w:rPr>
            </w:pPr>
            <w:r>
              <w:rPr>
                <w:sz w:val="20"/>
              </w:rPr>
              <w:t>5.13</w:t>
            </w:r>
          </w:p>
        </w:tc>
      </w:tr>
      <w:tr w:rsidR="007C5447">
        <w:trPr>
          <w:trHeight w:val="297"/>
        </w:trPr>
        <w:tc>
          <w:tcPr>
            <w:tcW w:w="4751" w:type="dxa"/>
            <w:tcBorders>
              <w:left w:val="single" w:sz="8" w:space="0" w:color="000000"/>
            </w:tcBorders>
          </w:tcPr>
          <w:p w:rsidR="007C5447" w:rsidRDefault="00F6308C">
            <w:pPr>
              <w:pStyle w:val="TableParagraph"/>
              <w:spacing w:before="34"/>
              <w:ind w:left="107"/>
              <w:jc w:val="left"/>
              <w:rPr>
                <w:sz w:val="20"/>
              </w:rPr>
            </w:pPr>
            <w:r>
              <w:rPr>
                <w:sz w:val="20"/>
              </w:rPr>
              <w:t>UI</w:t>
            </w:r>
          </w:p>
        </w:tc>
        <w:tc>
          <w:tcPr>
            <w:tcW w:w="1623" w:type="dxa"/>
          </w:tcPr>
          <w:p w:rsidR="007C5447" w:rsidRDefault="00F6308C">
            <w:pPr>
              <w:pStyle w:val="TableParagraph"/>
              <w:spacing w:before="34"/>
              <w:ind w:right="94"/>
              <w:rPr>
                <w:sz w:val="20"/>
              </w:rPr>
            </w:pPr>
            <w:r>
              <w:rPr>
                <w:w w:val="95"/>
                <w:sz w:val="20"/>
              </w:rPr>
              <w:t>82.00</w:t>
            </w: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34"/>
              <w:ind w:right="94"/>
              <w:rPr>
                <w:sz w:val="20"/>
              </w:rPr>
            </w:pPr>
            <w:r>
              <w:rPr>
                <w:w w:val="95"/>
                <w:sz w:val="20"/>
              </w:rPr>
              <w:t>50.00</w:t>
            </w:r>
          </w:p>
        </w:tc>
        <w:tc>
          <w:tcPr>
            <w:tcW w:w="1339" w:type="dxa"/>
          </w:tcPr>
          <w:p w:rsidR="007C5447" w:rsidRDefault="00F6308C">
            <w:pPr>
              <w:pStyle w:val="TableParagraph"/>
              <w:spacing w:before="34"/>
              <w:ind w:right="93"/>
              <w:rPr>
                <w:sz w:val="20"/>
              </w:rPr>
            </w:pPr>
            <w:r>
              <w:rPr>
                <w:sz w:val="20"/>
              </w:rPr>
              <w:t>6.10</w:t>
            </w:r>
          </w:p>
        </w:tc>
      </w:tr>
      <w:tr w:rsidR="007C5447">
        <w:trPr>
          <w:trHeight w:val="326"/>
        </w:trPr>
        <w:tc>
          <w:tcPr>
            <w:tcW w:w="4751" w:type="dxa"/>
            <w:tcBorders>
              <w:left w:val="single" w:sz="8" w:space="0" w:color="000000"/>
            </w:tcBorders>
          </w:tcPr>
          <w:p w:rsidR="007C5447" w:rsidRDefault="00F6308C">
            <w:pPr>
              <w:pStyle w:val="TableParagraph"/>
              <w:spacing w:before="48"/>
              <w:ind w:left="107"/>
              <w:jc w:val="left"/>
              <w:rPr>
                <w:b/>
                <w:sz w:val="20"/>
              </w:rPr>
            </w:pPr>
            <w:r>
              <w:rPr>
                <w:b/>
                <w:sz w:val="20"/>
              </w:rPr>
              <w:t>Total Other Sources</w:t>
            </w:r>
          </w:p>
        </w:tc>
        <w:tc>
          <w:tcPr>
            <w:tcW w:w="1623" w:type="dxa"/>
          </w:tcPr>
          <w:p w:rsidR="007C5447" w:rsidRDefault="00F6308C">
            <w:pPr>
              <w:pStyle w:val="TableParagraph"/>
              <w:spacing w:before="48"/>
              <w:ind w:right="92"/>
              <w:rPr>
                <w:b/>
                <w:sz w:val="20"/>
              </w:rPr>
            </w:pPr>
            <w:r>
              <w:rPr>
                <w:b/>
                <w:w w:val="95"/>
                <w:sz w:val="20"/>
              </w:rPr>
              <w:t>7,017.00</w:t>
            </w: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48"/>
              <w:ind w:right="92"/>
              <w:rPr>
                <w:b/>
                <w:sz w:val="20"/>
              </w:rPr>
            </w:pPr>
            <w:r>
              <w:rPr>
                <w:b/>
                <w:w w:val="95"/>
                <w:sz w:val="20"/>
              </w:rPr>
              <w:t>3,607.00</w:t>
            </w:r>
          </w:p>
        </w:tc>
        <w:tc>
          <w:tcPr>
            <w:tcW w:w="1339" w:type="dxa"/>
          </w:tcPr>
          <w:p w:rsidR="007C5447" w:rsidRDefault="00F6308C">
            <w:pPr>
              <w:pStyle w:val="TableParagraph"/>
              <w:spacing w:before="48"/>
              <w:ind w:right="93"/>
              <w:rPr>
                <w:b/>
                <w:sz w:val="20"/>
              </w:rPr>
            </w:pPr>
            <w:r>
              <w:rPr>
                <w:b/>
                <w:sz w:val="20"/>
              </w:rPr>
              <w:t>5.14</w:t>
            </w:r>
          </w:p>
        </w:tc>
      </w:tr>
      <w:tr w:rsidR="007C5447">
        <w:trPr>
          <w:trHeight w:val="326"/>
        </w:trPr>
        <w:tc>
          <w:tcPr>
            <w:tcW w:w="4751" w:type="dxa"/>
            <w:tcBorders>
              <w:left w:val="single" w:sz="8" w:space="0" w:color="000000"/>
            </w:tcBorders>
          </w:tcPr>
          <w:p w:rsidR="007C5447" w:rsidRDefault="00F6308C">
            <w:pPr>
              <w:pStyle w:val="TableParagraph"/>
              <w:spacing w:before="49"/>
              <w:ind w:left="107"/>
              <w:jc w:val="left"/>
              <w:rPr>
                <w:b/>
                <w:sz w:val="20"/>
              </w:rPr>
            </w:pPr>
            <w:r>
              <w:rPr>
                <w:b/>
                <w:sz w:val="20"/>
              </w:rPr>
              <w:t>Gross Power Purchase</w:t>
            </w:r>
          </w:p>
        </w:tc>
        <w:tc>
          <w:tcPr>
            <w:tcW w:w="1623" w:type="dxa"/>
          </w:tcPr>
          <w:p w:rsidR="007C5447" w:rsidRDefault="00F6308C">
            <w:pPr>
              <w:pStyle w:val="TableParagraph"/>
              <w:spacing w:before="49"/>
              <w:ind w:right="94"/>
              <w:rPr>
                <w:b/>
                <w:sz w:val="20"/>
              </w:rPr>
            </w:pPr>
            <w:r>
              <w:rPr>
                <w:b/>
                <w:w w:val="95"/>
                <w:sz w:val="20"/>
              </w:rPr>
              <w:t>63,470.57</w:t>
            </w: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49"/>
              <w:ind w:right="92"/>
              <w:rPr>
                <w:b/>
                <w:sz w:val="20"/>
              </w:rPr>
            </w:pPr>
            <w:r>
              <w:rPr>
                <w:b/>
                <w:w w:val="95"/>
                <w:sz w:val="20"/>
              </w:rPr>
              <w:t>21,602.85</w:t>
            </w:r>
          </w:p>
        </w:tc>
        <w:tc>
          <w:tcPr>
            <w:tcW w:w="1339" w:type="dxa"/>
          </w:tcPr>
          <w:p w:rsidR="007C5447" w:rsidRDefault="00F6308C">
            <w:pPr>
              <w:pStyle w:val="TableParagraph"/>
              <w:spacing w:before="49"/>
              <w:ind w:right="93"/>
              <w:rPr>
                <w:b/>
                <w:sz w:val="20"/>
              </w:rPr>
            </w:pPr>
            <w:r>
              <w:rPr>
                <w:b/>
                <w:sz w:val="20"/>
              </w:rPr>
              <w:t>3.40</w:t>
            </w:r>
          </w:p>
        </w:tc>
      </w:tr>
      <w:tr w:rsidR="007C5447">
        <w:trPr>
          <w:trHeight w:val="328"/>
        </w:trPr>
        <w:tc>
          <w:tcPr>
            <w:tcW w:w="4751" w:type="dxa"/>
            <w:tcBorders>
              <w:left w:val="single" w:sz="8" w:space="0" w:color="000000"/>
            </w:tcBorders>
          </w:tcPr>
          <w:p w:rsidR="007C5447" w:rsidRDefault="00F6308C">
            <w:pPr>
              <w:pStyle w:val="TableParagraph"/>
              <w:spacing w:before="50"/>
              <w:ind w:left="107"/>
              <w:jc w:val="left"/>
              <w:rPr>
                <w:b/>
                <w:sz w:val="20"/>
              </w:rPr>
            </w:pPr>
            <w:r>
              <w:rPr>
                <w:b/>
                <w:sz w:val="20"/>
              </w:rPr>
              <w:t>PGCIL Charges</w:t>
            </w:r>
          </w:p>
        </w:tc>
        <w:tc>
          <w:tcPr>
            <w:tcW w:w="162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r>
      <w:tr w:rsidR="007C5447">
        <w:trPr>
          <w:trHeight w:val="326"/>
        </w:trPr>
        <w:tc>
          <w:tcPr>
            <w:tcW w:w="4751" w:type="dxa"/>
            <w:tcBorders>
              <w:left w:val="single" w:sz="8" w:space="0" w:color="000000"/>
            </w:tcBorders>
          </w:tcPr>
          <w:p w:rsidR="007C5447" w:rsidRDefault="00F6308C">
            <w:pPr>
              <w:pStyle w:val="TableParagraph"/>
              <w:spacing w:before="48"/>
              <w:ind w:left="107"/>
              <w:jc w:val="left"/>
              <w:rPr>
                <w:i/>
                <w:sz w:val="20"/>
              </w:rPr>
            </w:pPr>
            <w:r>
              <w:rPr>
                <w:i/>
                <w:sz w:val="20"/>
              </w:rPr>
              <w:t>PGCIL SR and ER wheeling</w:t>
            </w:r>
          </w:p>
        </w:tc>
        <w:tc>
          <w:tcPr>
            <w:tcW w:w="162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48"/>
              <w:ind w:right="94"/>
              <w:rPr>
                <w:sz w:val="20"/>
              </w:rPr>
            </w:pPr>
            <w:r>
              <w:rPr>
                <w:w w:val="95"/>
                <w:sz w:val="20"/>
              </w:rPr>
              <w:t>139.00</w:t>
            </w:r>
          </w:p>
        </w:tc>
        <w:tc>
          <w:tcPr>
            <w:tcW w:w="1339" w:type="dxa"/>
          </w:tcPr>
          <w:p w:rsidR="007C5447" w:rsidRDefault="007C5447">
            <w:pPr>
              <w:pStyle w:val="TableParagraph"/>
              <w:jc w:val="left"/>
              <w:rPr>
                <w:sz w:val="20"/>
              </w:rPr>
            </w:pPr>
          </w:p>
        </w:tc>
      </w:tr>
    </w:tbl>
    <w:p w:rsidR="007C5447" w:rsidRDefault="007C5447">
      <w:pPr>
        <w:rPr>
          <w:sz w:val="20"/>
        </w:rPr>
        <w:sectPr w:rsidR="007C5447">
          <w:pgSz w:w="16840" w:h="11910" w:orient="landscape"/>
          <w:pgMar w:top="1100" w:right="1220" w:bottom="960" w:left="1220" w:header="0" w:footer="777" w:gutter="0"/>
          <w:cols w:space="720"/>
        </w:sectPr>
      </w:pPr>
    </w:p>
    <w:p w:rsidR="007C5447" w:rsidRDefault="007C5447">
      <w:pPr>
        <w:pStyle w:val="BodyText"/>
        <w:spacing w:before="3"/>
        <w:rPr>
          <w:sz w:val="2"/>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51"/>
        <w:gridCol w:w="1623"/>
        <w:gridCol w:w="1623"/>
        <w:gridCol w:w="1603"/>
        <w:gridCol w:w="1623"/>
        <w:gridCol w:w="1615"/>
        <w:gridCol w:w="1339"/>
      </w:tblGrid>
      <w:tr w:rsidR="007C5447">
        <w:trPr>
          <w:trHeight w:val="328"/>
        </w:trPr>
        <w:tc>
          <w:tcPr>
            <w:tcW w:w="4751" w:type="dxa"/>
            <w:vMerge w:val="restart"/>
            <w:shd w:val="clear" w:color="auto" w:fill="FBD4B4"/>
          </w:tcPr>
          <w:p w:rsidR="007C5447" w:rsidRDefault="007C5447">
            <w:pPr>
              <w:pStyle w:val="TableParagraph"/>
              <w:spacing w:before="1"/>
              <w:jc w:val="left"/>
              <w:rPr>
                <w:sz w:val="26"/>
              </w:rPr>
            </w:pPr>
          </w:p>
          <w:p w:rsidR="007C5447" w:rsidRDefault="00F6308C">
            <w:pPr>
              <w:pStyle w:val="TableParagraph"/>
              <w:ind w:left="1728" w:right="1711"/>
              <w:jc w:val="center"/>
              <w:rPr>
                <w:b/>
                <w:sz w:val="20"/>
              </w:rPr>
            </w:pPr>
            <w:r>
              <w:rPr>
                <w:b/>
                <w:sz w:val="20"/>
              </w:rPr>
              <w:t>Source</w:t>
            </w:r>
          </w:p>
        </w:tc>
        <w:tc>
          <w:tcPr>
            <w:tcW w:w="9426" w:type="dxa"/>
            <w:gridSpan w:val="6"/>
            <w:shd w:val="clear" w:color="auto" w:fill="FBD4B4"/>
          </w:tcPr>
          <w:p w:rsidR="007C5447" w:rsidRDefault="00F6308C">
            <w:pPr>
              <w:pStyle w:val="TableParagraph"/>
              <w:spacing w:before="84" w:line="224" w:lineRule="exact"/>
              <w:ind w:left="4200" w:right="4182"/>
              <w:jc w:val="center"/>
              <w:rPr>
                <w:b/>
                <w:sz w:val="20"/>
              </w:rPr>
            </w:pPr>
            <w:r>
              <w:rPr>
                <w:b/>
                <w:sz w:val="20"/>
              </w:rPr>
              <w:t>FY 2012-13</w:t>
            </w:r>
          </w:p>
        </w:tc>
      </w:tr>
      <w:tr w:rsidR="007C5447">
        <w:trPr>
          <w:trHeight w:val="489"/>
        </w:trPr>
        <w:tc>
          <w:tcPr>
            <w:tcW w:w="4751" w:type="dxa"/>
            <w:vMerge/>
            <w:tcBorders>
              <w:top w:val="nil"/>
            </w:tcBorders>
            <w:shd w:val="clear" w:color="auto" w:fill="FBD4B4"/>
          </w:tcPr>
          <w:p w:rsidR="007C5447" w:rsidRDefault="007C5447">
            <w:pPr>
              <w:rPr>
                <w:sz w:val="2"/>
                <w:szCs w:val="2"/>
              </w:rPr>
            </w:pPr>
          </w:p>
        </w:tc>
        <w:tc>
          <w:tcPr>
            <w:tcW w:w="1623" w:type="dxa"/>
            <w:shd w:val="clear" w:color="auto" w:fill="FBD4B4"/>
          </w:tcPr>
          <w:p w:rsidR="007C5447" w:rsidRDefault="00F6308C">
            <w:pPr>
              <w:pStyle w:val="TableParagraph"/>
              <w:spacing w:before="130"/>
              <w:ind w:right="125"/>
              <w:rPr>
                <w:b/>
                <w:sz w:val="20"/>
              </w:rPr>
            </w:pPr>
            <w:r>
              <w:rPr>
                <w:b/>
                <w:sz w:val="20"/>
              </w:rPr>
              <w:t>Quantum (MU)</w:t>
            </w:r>
          </w:p>
        </w:tc>
        <w:tc>
          <w:tcPr>
            <w:tcW w:w="1623" w:type="dxa"/>
            <w:shd w:val="clear" w:color="auto" w:fill="FBD4B4"/>
          </w:tcPr>
          <w:p w:rsidR="007C5447" w:rsidRDefault="00F6308C">
            <w:pPr>
              <w:pStyle w:val="TableParagraph"/>
              <w:spacing w:before="14" w:line="230" w:lineRule="atLeast"/>
              <w:ind w:left="469" w:right="159" w:hanging="274"/>
              <w:jc w:val="left"/>
              <w:rPr>
                <w:b/>
                <w:sz w:val="20"/>
              </w:rPr>
            </w:pPr>
            <w:r>
              <w:rPr>
                <w:b/>
                <w:sz w:val="20"/>
              </w:rPr>
              <w:t>Fixed Charges (Rs. Cr.)</w:t>
            </w:r>
          </w:p>
        </w:tc>
        <w:tc>
          <w:tcPr>
            <w:tcW w:w="1603" w:type="dxa"/>
            <w:shd w:val="clear" w:color="auto" w:fill="FBD4B4"/>
          </w:tcPr>
          <w:p w:rsidR="007C5447" w:rsidRDefault="00F6308C">
            <w:pPr>
              <w:pStyle w:val="TableParagraph"/>
              <w:spacing w:before="14" w:line="230" w:lineRule="atLeast"/>
              <w:ind w:left="346" w:right="116" w:hanging="195"/>
              <w:jc w:val="left"/>
              <w:rPr>
                <w:b/>
                <w:sz w:val="20"/>
              </w:rPr>
            </w:pPr>
            <w:r>
              <w:rPr>
                <w:b/>
                <w:sz w:val="20"/>
              </w:rPr>
              <w:t>Energy Charge (Rs. Crore)</w:t>
            </w:r>
          </w:p>
        </w:tc>
        <w:tc>
          <w:tcPr>
            <w:tcW w:w="1623" w:type="dxa"/>
            <w:shd w:val="clear" w:color="auto" w:fill="FBD4B4"/>
          </w:tcPr>
          <w:p w:rsidR="007C5447" w:rsidRDefault="00F6308C">
            <w:pPr>
              <w:pStyle w:val="TableParagraph"/>
              <w:spacing w:before="14" w:line="230" w:lineRule="atLeast"/>
              <w:ind w:left="394" w:right="126" w:hanging="233"/>
              <w:jc w:val="left"/>
              <w:rPr>
                <w:b/>
                <w:sz w:val="20"/>
              </w:rPr>
            </w:pPr>
            <w:r>
              <w:rPr>
                <w:b/>
                <w:sz w:val="20"/>
              </w:rPr>
              <w:t>Energy Charge (Rs./Unit)</w:t>
            </w:r>
          </w:p>
        </w:tc>
        <w:tc>
          <w:tcPr>
            <w:tcW w:w="1615" w:type="dxa"/>
            <w:shd w:val="clear" w:color="auto" w:fill="FBD4B4"/>
          </w:tcPr>
          <w:p w:rsidR="007C5447" w:rsidRDefault="00F6308C">
            <w:pPr>
              <w:pStyle w:val="TableParagraph"/>
              <w:spacing w:before="14" w:line="230" w:lineRule="atLeast"/>
              <w:ind w:left="466" w:right="328" w:hanging="104"/>
              <w:jc w:val="left"/>
              <w:rPr>
                <w:b/>
                <w:sz w:val="20"/>
              </w:rPr>
            </w:pPr>
            <w:r>
              <w:rPr>
                <w:b/>
                <w:sz w:val="20"/>
              </w:rPr>
              <w:t>Total Cost (Rs. Cr)</w:t>
            </w:r>
          </w:p>
        </w:tc>
        <w:tc>
          <w:tcPr>
            <w:tcW w:w="1339" w:type="dxa"/>
            <w:shd w:val="clear" w:color="auto" w:fill="FBD4B4"/>
          </w:tcPr>
          <w:p w:rsidR="007C5447" w:rsidRDefault="00F6308C">
            <w:pPr>
              <w:pStyle w:val="TableParagraph"/>
              <w:spacing w:before="14" w:line="230" w:lineRule="atLeast"/>
              <w:ind w:left="255" w:right="228" w:firstLine="216"/>
              <w:jc w:val="left"/>
              <w:rPr>
                <w:b/>
                <w:sz w:val="20"/>
              </w:rPr>
            </w:pPr>
            <w:r>
              <w:rPr>
                <w:b/>
                <w:sz w:val="20"/>
              </w:rPr>
              <w:t xml:space="preserve">Rate </w:t>
            </w:r>
            <w:r>
              <w:rPr>
                <w:b/>
                <w:w w:val="95"/>
                <w:sz w:val="20"/>
              </w:rPr>
              <w:t>(Rs/kWh)</w:t>
            </w:r>
          </w:p>
        </w:tc>
      </w:tr>
      <w:tr w:rsidR="007C5447">
        <w:trPr>
          <w:trHeight w:val="328"/>
        </w:trPr>
        <w:tc>
          <w:tcPr>
            <w:tcW w:w="4751" w:type="dxa"/>
            <w:tcBorders>
              <w:left w:val="single" w:sz="8" w:space="0" w:color="000000"/>
            </w:tcBorders>
          </w:tcPr>
          <w:p w:rsidR="007C5447" w:rsidRDefault="00F6308C">
            <w:pPr>
              <w:pStyle w:val="TableParagraph"/>
              <w:spacing w:before="48"/>
              <w:ind w:left="107"/>
              <w:jc w:val="left"/>
              <w:rPr>
                <w:i/>
                <w:sz w:val="20"/>
              </w:rPr>
            </w:pPr>
            <w:r>
              <w:rPr>
                <w:i/>
                <w:sz w:val="20"/>
              </w:rPr>
              <w:t>PGCIL- Reactive energy</w:t>
            </w:r>
          </w:p>
        </w:tc>
        <w:tc>
          <w:tcPr>
            <w:tcW w:w="162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7C5447">
            <w:pPr>
              <w:pStyle w:val="TableParagraph"/>
              <w:jc w:val="left"/>
              <w:rPr>
                <w:sz w:val="20"/>
              </w:rPr>
            </w:pPr>
          </w:p>
        </w:tc>
        <w:tc>
          <w:tcPr>
            <w:tcW w:w="1339" w:type="dxa"/>
          </w:tcPr>
          <w:p w:rsidR="007C5447" w:rsidRDefault="007C5447">
            <w:pPr>
              <w:pStyle w:val="TableParagraph"/>
              <w:jc w:val="left"/>
              <w:rPr>
                <w:sz w:val="20"/>
              </w:rPr>
            </w:pPr>
          </w:p>
        </w:tc>
      </w:tr>
      <w:tr w:rsidR="007C5447">
        <w:trPr>
          <w:trHeight w:val="326"/>
        </w:trPr>
        <w:tc>
          <w:tcPr>
            <w:tcW w:w="4751" w:type="dxa"/>
            <w:tcBorders>
              <w:left w:val="single" w:sz="8" w:space="0" w:color="000000"/>
            </w:tcBorders>
          </w:tcPr>
          <w:p w:rsidR="007C5447" w:rsidRDefault="00F6308C">
            <w:pPr>
              <w:pStyle w:val="TableParagraph"/>
              <w:spacing w:before="48"/>
              <w:ind w:left="107"/>
              <w:jc w:val="left"/>
              <w:rPr>
                <w:b/>
                <w:sz w:val="20"/>
              </w:rPr>
            </w:pPr>
            <w:r>
              <w:rPr>
                <w:b/>
                <w:sz w:val="20"/>
              </w:rPr>
              <w:t>Total PGCIL charges</w:t>
            </w:r>
          </w:p>
        </w:tc>
        <w:tc>
          <w:tcPr>
            <w:tcW w:w="1623" w:type="dxa"/>
          </w:tcPr>
          <w:p w:rsidR="007C5447" w:rsidRDefault="00F6308C">
            <w:pPr>
              <w:pStyle w:val="TableParagraph"/>
              <w:spacing w:before="48"/>
              <w:ind w:right="93"/>
              <w:rPr>
                <w:b/>
                <w:sz w:val="20"/>
              </w:rPr>
            </w:pPr>
            <w:r>
              <w:rPr>
                <w:b/>
                <w:w w:val="99"/>
                <w:sz w:val="20"/>
              </w:rPr>
              <w:t>-</w:t>
            </w: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48"/>
              <w:ind w:right="94"/>
              <w:rPr>
                <w:b/>
                <w:sz w:val="20"/>
              </w:rPr>
            </w:pPr>
            <w:r>
              <w:rPr>
                <w:b/>
                <w:w w:val="95"/>
                <w:sz w:val="20"/>
              </w:rPr>
              <w:t>139.00</w:t>
            </w:r>
          </w:p>
        </w:tc>
        <w:tc>
          <w:tcPr>
            <w:tcW w:w="1339" w:type="dxa"/>
          </w:tcPr>
          <w:p w:rsidR="007C5447" w:rsidRDefault="00F6308C">
            <w:pPr>
              <w:pStyle w:val="TableParagraph"/>
              <w:spacing w:before="48"/>
              <w:ind w:right="92"/>
              <w:rPr>
                <w:b/>
                <w:sz w:val="20"/>
              </w:rPr>
            </w:pPr>
            <w:r>
              <w:rPr>
                <w:b/>
                <w:w w:val="99"/>
                <w:sz w:val="20"/>
              </w:rPr>
              <w:t>-</w:t>
            </w:r>
          </w:p>
        </w:tc>
      </w:tr>
      <w:tr w:rsidR="007C5447">
        <w:trPr>
          <w:trHeight w:val="325"/>
        </w:trPr>
        <w:tc>
          <w:tcPr>
            <w:tcW w:w="4751" w:type="dxa"/>
            <w:tcBorders>
              <w:left w:val="single" w:sz="8" w:space="0" w:color="000000"/>
            </w:tcBorders>
          </w:tcPr>
          <w:p w:rsidR="007C5447" w:rsidRDefault="00F6308C">
            <w:pPr>
              <w:pStyle w:val="TableParagraph"/>
              <w:spacing w:before="48"/>
              <w:ind w:left="107"/>
              <w:jc w:val="left"/>
              <w:rPr>
                <w:b/>
                <w:sz w:val="20"/>
              </w:rPr>
            </w:pPr>
            <w:r>
              <w:rPr>
                <w:b/>
                <w:sz w:val="20"/>
              </w:rPr>
              <w:t>TANTRANSCO Charges</w:t>
            </w:r>
          </w:p>
        </w:tc>
        <w:tc>
          <w:tcPr>
            <w:tcW w:w="162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48"/>
              <w:ind w:right="92"/>
              <w:rPr>
                <w:b/>
                <w:sz w:val="20"/>
              </w:rPr>
            </w:pPr>
            <w:r>
              <w:rPr>
                <w:b/>
                <w:w w:val="95"/>
                <w:sz w:val="20"/>
              </w:rPr>
              <w:t>2,381.18</w:t>
            </w:r>
          </w:p>
        </w:tc>
        <w:tc>
          <w:tcPr>
            <w:tcW w:w="1339" w:type="dxa"/>
          </w:tcPr>
          <w:p w:rsidR="007C5447" w:rsidRDefault="007C5447">
            <w:pPr>
              <w:pStyle w:val="TableParagraph"/>
              <w:jc w:val="left"/>
              <w:rPr>
                <w:sz w:val="20"/>
              </w:rPr>
            </w:pPr>
          </w:p>
        </w:tc>
      </w:tr>
      <w:tr w:rsidR="007C5447">
        <w:trPr>
          <w:trHeight w:val="328"/>
        </w:trPr>
        <w:tc>
          <w:tcPr>
            <w:tcW w:w="4751" w:type="dxa"/>
            <w:tcBorders>
              <w:left w:val="single" w:sz="8" w:space="0" w:color="000000"/>
            </w:tcBorders>
          </w:tcPr>
          <w:p w:rsidR="007C5447" w:rsidRDefault="00F6308C">
            <w:pPr>
              <w:pStyle w:val="TableParagraph"/>
              <w:spacing w:before="50"/>
              <w:ind w:left="107"/>
              <w:jc w:val="left"/>
              <w:rPr>
                <w:b/>
                <w:sz w:val="20"/>
              </w:rPr>
            </w:pPr>
            <w:r>
              <w:rPr>
                <w:b/>
                <w:sz w:val="20"/>
              </w:rPr>
              <w:t>Total Power Purchase</w:t>
            </w:r>
          </w:p>
        </w:tc>
        <w:tc>
          <w:tcPr>
            <w:tcW w:w="1623" w:type="dxa"/>
          </w:tcPr>
          <w:p w:rsidR="007C5447" w:rsidRDefault="00F6308C">
            <w:pPr>
              <w:pStyle w:val="TableParagraph"/>
              <w:spacing w:before="50"/>
              <w:ind w:right="94"/>
              <w:rPr>
                <w:b/>
                <w:sz w:val="20"/>
              </w:rPr>
            </w:pPr>
            <w:r>
              <w:rPr>
                <w:b/>
                <w:w w:val="95"/>
                <w:sz w:val="20"/>
              </w:rPr>
              <w:t>63,470.57</w:t>
            </w:r>
          </w:p>
        </w:tc>
        <w:tc>
          <w:tcPr>
            <w:tcW w:w="1623" w:type="dxa"/>
          </w:tcPr>
          <w:p w:rsidR="007C5447" w:rsidRDefault="007C5447">
            <w:pPr>
              <w:pStyle w:val="TableParagraph"/>
              <w:jc w:val="left"/>
              <w:rPr>
                <w:sz w:val="20"/>
              </w:rPr>
            </w:pPr>
          </w:p>
        </w:tc>
        <w:tc>
          <w:tcPr>
            <w:tcW w:w="1603" w:type="dxa"/>
          </w:tcPr>
          <w:p w:rsidR="007C5447" w:rsidRDefault="007C5447">
            <w:pPr>
              <w:pStyle w:val="TableParagraph"/>
              <w:jc w:val="left"/>
              <w:rPr>
                <w:sz w:val="20"/>
              </w:rPr>
            </w:pPr>
          </w:p>
        </w:tc>
        <w:tc>
          <w:tcPr>
            <w:tcW w:w="1623" w:type="dxa"/>
          </w:tcPr>
          <w:p w:rsidR="007C5447" w:rsidRDefault="007C5447">
            <w:pPr>
              <w:pStyle w:val="TableParagraph"/>
              <w:jc w:val="left"/>
              <w:rPr>
                <w:sz w:val="20"/>
              </w:rPr>
            </w:pPr>
          </w:p>
        </w:tc>
        <w:tc>
          <w:tcPr>
            <w:tcW w:w="1615" w:type="dxa"/>
          </w:tcPr>
          <w:p w:rsidR="007C5447" w:rsidRDefault="00F6308C">
            <w:pPr>
              <w:pStyle w:val="TableParagraph"/>
              <w:spacing w:before="50"/>
              <w:ind w:right="94"/>
              <w:rPr>
                <w:b/>
                <w:sz w:val="20"/>
              </w:rPr>
            </w:pPr>
            <w:r>
              <w:rPr>
                <w:b/>
                <w:w w:val="95"/>
                <w:sz w:val="20"/>
              </w:rPr>
              <w:t>24,123.03</w:t>
            </w:r>
          </w:p>
        </w:tc>
        <w:tc>
          <w:tcPr>
            <w:tcW w:w="1339" w:type="dxa"/>
          </w:tcPr>
          <w:p w:rsidR="007C5447" w:rsidRDefault="00F6308C">
            <w:pPr>
              <w:pStyle w:val="TableParagraph"/>
              <w:spacing w:before="50"/>
              <w:ind w:right="93"/>
              <w:rPr>
                <w:b/>
                <w:sz w:val="20"/>
              </w:rPr>
            </w:pPr>
            <w:r>
              <w:rPr>
                <w:b/>
                <w:sz w:val="20"/>
              </w:rPr>
              <w:t>3.80</w:t>
            </w:r>
          </w:p>
        </w:tc>
      </w:tr>
    </w:tbl>
    <w:p w:rsidR="007C5447" w:rsidRDefault="007C5447">
      <w:pPr>
        <w:pStyle w:val="BodyText"/>
        <w:rPr>
          <w:sz w:val="20"/>
        </w:rPr>
      </w:pPr>
    </w:p>
    <w:p w:rsidR="007C5447" w:rsidRDefault="007C5447">
      <w:pPr>
        <w:pStyle w:val="BodyText"/>
        <w:rPr>
          <w:sz w:val="20"/>
        </w:rPr>
      </w:pPr>
    </w:p>
    <w:p w:rsidR="007C5447" w:rsidRDefault="007C5447">
      <w:pPr>
        <w:pStyle w:val="BodyText"/>
        <w:spacing w:before="8"/>
        <w:rPr>
          <w:sz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19"/>
        <w:gridCol w:w="1519"/>
        <w:gridCol w:w="1500"/>
        <w:gridCol w:w="1500"/>
        <w:gridCol w:w="1531"/>
        <w:gridCol w:w="1529"/>
        <w:gridCol w:w="1876"/>
      </w:tblGrid>
      <w:tr w:rsidR="007C5447">
        <w:trPr>
          <w:trHeight w:val="278"/>
        </w:trPr>
        <w:tc>
          <w:tcPr>
            <w:tcW w:w="4719" w:type="dxa"/>
            <w:vMerge w:val="restart"/>
            <w:shd w:val="clear" w:color="auto" w:fill="FBD4B4"/>
          </w:tcPr>
          <w:p w:rsidR="007C5447" w:rsidRDefault="007C5447">
            <w:pPr>
              <w:pStyle w:val="TableParagraph"/>
              <w:jc w:val="left"/>
            </w:pPr>
          </w:p>
          <w:p w:rsidR="007C5447" w:rsidRDefault="00F6308C">
            <w:pPr>
              <w:pStyle w:val="TableParagraph"/>
              <w:spacing w:before="153"/>
              <w:ind w:left="1711" w:right="1705"/>
              <w:jc w:val="center"/>
              <w:rPr>
                <w:b/>
                <w:sz w:val="20"/>
              </w:rPr>
            </w:pPr>
            <w:r>
              <w:rPr>
                <w:b/>
                <w:sz w:val="20"/>
              </w:rPr>
              <w:t>Source</w:t>
            </w:r>
          </w:p>
        </w:tc>
        <w:tc>
          <w:tcPr>
            <w:tcW w:w="9455" w:type="dxa"/>
            <w:gridSpan w:val="6"/>
            <w:shd w:val="clear" w:color="auto" w:fill="FBD4B4"/>
          </w:tcPr>
          <w:p w:rsidR="007C5447" w:rsidRDefault="00F6308C">
            <w:pPr>
              <w:pStyle w:val="TableParagraph"/>
              <w:spacing w:before="34" w:line="224" w:lineRule="exact"/>
              <w:ind w:left="4212" w:right="4198"/>
              <w:jc w:val="center"/>
              <w:rPr>
                <w:b/>
                <w:sz w:val="20"/>
              </w:rPr>
            </w:pPr>
            <w:r>
              <w:rPr>
                <w:b/>
                <w:sz w:val="20"/>
              </w:rPr>
              <w:t>FY 2013-14</w:t>
            </w:r>
          </w:p>
        </w:tc>
      </w:tr>
      <w:tr w:rsidR="007C5447">
        <w:trPr>
          <w:trHeight w:val="750"/>
        </w:trPr>
        <w:tc>
          <w:tcPr>
            <w:tcW w:w="4719" w:type="dxa"/>
            <w:vMerge/>
            <w:tcBorders>
              <w:top w:val="nil"/>
            </w:tcBorders>
            <w:shd w:val="clear" w:color="auto" w:fill="FBD4B4"/>
          </w:tcPr>
          <w:p w:rsidR="007C5447" w:rsidRDefault="007C5447">
            <w:pPr>
              <w:rPr>
                <w:sz w:val="2"/>
                <w:szCs w:val="2"/>
              </w:rPr>
            </w:pPr>
          </w:p>
        </w:tc>
        <w:tc>
          <w:tcPr>
            <w:tcW w:w="1519" w:type="dxa"/>
            <w:shd w:val="clear" w:color="auto" w:fill="FBD4B4"/>
          </w:tcPr>
          <w:p w:rsidR="007C5447" w:rsidRDefault="00F6308C">
            <w:pPr>
              <w:pStyle w:val="TableParagraph"/>
              <w:spacing w:before="146"/>
              <w:ind w:left="525" w:right="319" w:hanging="178"/>
              <w:jc w:val="left"/>
              <w:rPr>
                <w:b/>
                <w:sz w:val="20"/>
              </w:rPr>
            </w:pPr>
            <w:r>
              <w:rPr>
                <w:b/>
                <w:sz w:val="20"/>
              </w:rPr>
              <w:t>Quantum (MU)</w:t>
            </w:r>
          </w:p>
        </w:tc>
        <w:tc>
          <w:tcPr>
            <w:tcW w:w="1500" w:type="dxa"/>
            <w:shd w:val="clear" w:color="auto" w:fill="FBD4B4"/>
          </w:tcPr>
          <w:p w:rsidR="007C5447" w:rsidRDefault="00F6308C">
            <w:pPr>
              <w:pStyle w:val="TableParagraph"/>
              <w:spacing w:before="146"/>
              <w:ind w:left="379" w:right="100" w:hanging="248"/>
              <w:jc w:val="left"/>
              <w:rPr>
                <w:b/>
                <w:sz w:val="20"/>
              </w:rPr>
            </w:pPr>
            <w:r>
              <w:rPr>
                <w:b/>
                <w:sz w:val="20"/>
              </w:rPr>
              <w:t>Fixed Charges (Rs. Cr.)</w:t>
            </w:r>
          </w:p>
        </w:tc>
        <w:tc>
          <w:tcPr>
            <w:tcW w:w="1500" w:type="dxa"/>
            <w:shd w:val="clear" w:color="auto" w:fill="FBD4B4"/>
          </w:tcPr>
          <w:p w:rsidR="007C5447" w:rsidRDefault="00F6308C">
            <w:pPr>
              <w:pStyle w:val="TableParagraph"/>
              <w:spacing w:before="31"/>
              <w:ind w:left="267" w:right="255"/>
              <w:jc w:val="center"/>
              <w:rPr>
                <w:b/>
                <w:sz w:val="20"/>
              </w:rPr>
            </w:pPr>
            <w:r>
              <w:rPr>
                <w:b/>
                <w:sz w:val="20"/>
              </w:rPr>
              <w:t>Energy Charge (Rs. Crore)</w:t>
            </w:r>
          </w:p>
        </w:tc>
        <w:tc>
          <w:tcPr>
            <w:tcW w:w="1531" w:type="dxa"/>
            <w:shd w:val="clear" w:color="auto" w:fill="FBD4B4"/>
          </w:tcPr>
          <w:p w:rsidR="007C5447" w:rsidRDefault="00F6308C">
            <w:pPr>
              <w:pStyle w:val="TableParagraph"/>
              <w:spacing w:before="146"/>
              <w:ind w:left="346" w:right="82" w:hanging="233"/>
              <w:jc w:val="left"/>
              <w:rPr>
                <w:b/>
                <w:sz w:val="20"/>
              </w:rPr>
            </w:pPr>
            <w:r>
              <w:rPr>
                <w:b/>
                <w:sz w:val="20"/>
              </w:rPr>
              <w:t>Energy Charge (Rs./Unit)</w:t>
            </w:r>
          </w:p>
        </w:tc>
        <w:tc>
          <w:tcPr>
            <w:tcW w:w="1529" w:type="dxa"/>
            <w:shd w:val="clear" w:color="auto" w:fill="FBD4B4"/>
          </w:tcPr>
          <w:p w:rsidR="007C5447" w:rsidRDefault="00F6308C">
            <w:pPr>
              <w:pStyle w:val="TableParagraph"/>
              <w:spacing w:before="146"/>
              <w:ind w:left="421" w:right="287" w:hanging="104"/>
              <w:jc w:val="left"/>
              <w:rPr>
                <w:b/>
                <w:sz w:val="20"/>
              </w:rPr>
            </w:pPr>
            <w:r>
              <w:rPr>
                <w:b/>
                <w:sz w:val="20"/>
              </w:rPr>
              <w:t>Total Cost (Rs. Cr)</w:t>
            </w:r>
          </w:p>
        </w:tc>
        <w:tc>
          <w:tcPr>
            <w:tcW w:w="1876" w:type="dxa"/>
            <w:shd w:val="clear" w:color="auto" w:fill="FBD4B4"/>
          </w:tcPr>
          <w:p w:rsidR="007C5447" w:rsidRDefault="007C5447">
            <w:pPr>
              <w:pStyle w:val="TableParagraph"/>
              <w:spacing w:before="8"/>
              <w:jc w:val="left"/>
            </w:pPr>
          </w:p>
          <w:p w:rsidR="007C5447" w:rsidRDefault="00F6308C">
            <w:pPr>
              <w:pStyle w:val="TableParagraph"/>
              <w:spacing w:before="1"/>
              <w:ind w:left="296"/>
              <w:jc w:val="left"/>
              <w:rPr>
                <w:b/>
                <w:sz w:val="20"/>
              </w:rPr>
            </w:pPr>
            <w:r>
              <w:rPr>
                <w:b/>
                <w:sz w:val="20"/>
              </w:rPr>
              <w:t>Rate (Rs/kWh)</w:t>
            </w:r>
          </w:p>
        </w:tc>
      </w:tr>
      <w:tr w:rsidR="007C5447">
        <w:trPr>
          <w:trHeight w:val="328"/>
        </w:trPr>
        <w:tc>
          <w:tcPr>
            <w:tcW w:w="4719" w:type="dxa"/>
          </w:tcPr>
          <w:p w:rsidR="007C5447" w:rsidRDefault="00F6308C">
            <w:pPr>
              <w:pStyle w:val="TableParagraph"/>
              <w:spacing w:before="50"/>
              <w:ind w:left="1274"/>
              <w:jc w:val="left"/>
              <w:rPr>
                <w:b/>
                <w:sz w:val="20"/>
              </w:rPr>
            </w:pPr>
            <w:r>
              <w:rPr>
                <w:b/>
                <w:sz w:val="20"/>
              </w:rPr>
              <w:t>Own Generating Stations</w:t>
            </w:r>
          </w:p>
        </w:tc>
        <w:tc>
          <w:tcPr>
            <w:tcW w:w="1519"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7C5447">
            <w:pPr>
              <w:pStyle w:val="TableParagraph"/>
              <w:jc w:val="left"/>
              <w:rPr>
                <w:sz w:val="20"/>
              </w:rPr>
            </w:pPr>
          </w:p>
        </w:tc>
        <w:tc>
          <w:tcPr>
            <w:tcW w:w="1876" w:type="dxa"/>
          </w:tcPr>
          <w:p w:rsidR="007C5447" w:rsidRDefault="007C5447">
            <w:pPr>
              <w:pStyle w:val="TableParagraph"/>
              <w:jc w:val="left"/>
              <w:rPr>
                <w:sz w:val="20"/>
              </w:rPr>
            </w:pPr>
          </w:p>
        </w:tc>
      </w:tr>
      <w:tr w:rsidR="007C5447">
        <w:trPr>
          <w:trHeight w:val="280"/>
        </w:trPr>
        <w:tc>
          <w:tcPr>
            <w:tcW w:w="4719" w:type="dxa"/>
          </w:tcPr>
          <w:p w:rsidR="007C5447" w:rsidRDefault="00F6308C">
            <w:pPr>
              <w:pStyle w:val="TableParagraph"/>
              <w:spacing w:before="26"/>
              <w:ind w:left="107"/>
              <w:jc w:val="left"/>
              <w:rPr>
                <w:sz w:val="20"/>
              </w:rPr>
            </w:pPr>
            <w:r>
              <w:rPr>
                <w:sz w:val="20"/>
              </w:rPr>
              <w:t>Ennore TPS</w:t>
            </w:r>
          </w:p>
        </w:tc>
        <w:tc>
          <w:tcPr>
            <w:tcW w:w="1519" w:type="dxa"/>
          </w:tcPr>
          <w:p w:rsidR="007C5447" w:rsidRDefault="00F6308C">
            <w:pPr>
              <w:pStyle w:val="TableParagraph"/>
              <w:spacing w:before="26"/>
              <w:ind w:right="95"/>
              <w:rPr>
                <w:sz w:val="20"/>
              </w:rPr>
            </w:pPr>
            <w:r>
              <w:rPr>
                <w:w w:val="95"/>
                <w:sz w:val="20"/>
              </w:rPr>
              <w:t>1,011.31</w:t>
            </w:r>
          </w:p>
        </w:tc>
        <w:tc>
          <w:tcPr>
            <w:tcW w:w="1500" w:type="dxa"/>
          </w:tcPr>
          <w:p w:rsidR="007C5447" w:rsidRDefault="00F6308C">
            <w:pPr>
              <w:pStyle w:val="TableParagraph"/>
              <w:spacing w:before="26"/>
              <w:ind w:right="97"/>
              <w:rPr>
                <w:sz w:val="20"/>
              </w:rPr>
            </w:pPr>
            <w:r>
              <w:rPr>
                <w:w w:val="95"/>
                <w:sz w:val="20"/>
              </w:rPr>
              <w:t>277.65</w:t>
            </w:r>
          </w:p>
        </w:tc>
        <w:tc>
          <w:tcPr>
            <w:tcW w:w="1500" w:type="dxa"/>
          </w:tcPr>
          <w:p w:rsidR="007C5447" w:rsidRDefault="00F6308C">
            <w:pPr>
              <w:pStyle w:val="TableParagraph"/>
              <w:spacing w:before="26"/>
              <w:ind w:right="97"/>
              <w:rPr>
                <w:sz w:val="20"/>
              </w:rPr>
            </w:pPr>
            <w:r>
              <w:rPr>
                <w:w w:val="95"/>
                <w:sz w:val="20"/>
              </w:rPr>
              <w:t>350.84</w:t>
            </w:r>
          </w:p>
        </w:tc>
        <w:tc>
          <w:tcPr>
            <w:tcW w:w="1531" w:type="dxa"/>
          </w:tcPr>
          <w:p w:rsidR="007C5447" w:rsidRDefault="00F6308C">
            <w:pPr>
              <w:pStyle w:val="TableParagraph"/>
              <w:spacing w:before="26"/>
              <w:ind w:right="96"/>
              <w:rPr>
                <w:sz w:val="20"/>
              </w:rPr>
            </w:pPr>
            <w:r>
              <w:rPr>
                <w:sz w:val="20"/>
              </w:rPr>
              <w:t>3.47</w:t>
            </w:r>
          </w:p>
        </w:tc>
        <w:tc>
          <w:tcPr>
            <w:tcW w:w="1529" w:type="dxa"/>
          </w:tcPr>
          <w:p w:rsidR="007C5447" w:rsidRDefault="00F6308C">
            <w:pPr>
              <w:pStyle w:val="TableParagraph"/>
              <w:spacing w:before="26"/>
              <w:ind w:right="96"/>
              <w:rPr>
                <w:sz w:val="20"/>
              </w:rPr>
            </w:pPr>
            <w:r>
              <w:rPr>
                <w:w w:val="95"/>
                <w:sz w:val="20"/>
              </w:rPr>
              <w:t>628.48</w:t>
            </w:r>
          </w:p>
        </w:tc>
        <w:tc>
          <w:tcPr>
            <w:tcW w:w="1876" w:type="dxa"/>
          </w:tcPr>
          <w:p w:rsidR="007C5447" w:rsidRDefault="00F6308C">
            <w:pPr>
              <w:pStyle w:val="TableParagraph"/>
              <w:spacing w:before="26"/>
              <w:ind w:right="95"/>
              <w:rPr>
                <w:sz w:val="20"/>
              </w:rPr>
            </w:pPr>
            <w:r>
              <w:rPr>
                <w:sz w:val="20"/>
              </w:rPr>
              <w:t>6.21</w:t>
            </w:r>
          </w:p>
        </w:tc>
      </w:tr>
      <w:tr w:rsidR="007C5447">
        <w:trPr>
          <w:trHeight w:val="277"/>
        </w:trPr>
        <w:tc>
          <w:tcPr>
            <w:tcW w:w="4719" w:type="dxa"/>
          </w:tcPr>
          <w:p w:rsidR="007C5447" w:rsidRDefault="00F6308C">
            <w:pPr>
              <w:pStyle w:val="TableParagraph"/>
              <w:spacing w:before="24"/>
              <w:ind w:left="107"/>
              <w:jc w:val="left"/>
              <w:rPr>
                <w:sz w:val="20"/>
              </w:rPr>
            </w:pPr>
            <w:r>
              <w:rPr>
                <w:sz w:val="20"/>
              </w:rPr>
              <w:t>Tuticorin TPS</w:t>
            </w:r>
          </w:p>
        </w:tc>
        <w:tc>
          <w:tcPr>
            <w:tcW w:w="1519" w:type="dxa"/>
          </w:tcPr>
          <w:p w:rsidR="007C5447" w:rsidRDefault="00F6308C">
            <w:pPr>
              <w:pStyle w:val="TableParagraph"/>
              <w:spacing w:before="24"/>
              <w:ind w:right="95"/>
              <w:rPr>
                <w:sz w:val="20"/>
              </w:rPr>
            </w:pPr>
            <w:r>
              <w:rPr>
                <w:w w:val="95"/>
                <w:sz w:val="20"/>
              </w:rPr>
              <w:t>7,252.62</w:t>
            </w:r>
          </w:p>
        </w:tc>
        <w:tc>
          <w:tcPr>
            <w:tcW w:w="1500" w:type="dxa"/>
          </w:tcPr>
          <w:p w:rsidR="007C5447" w:rsidRDefault="00F6308C">
            <w:pPr>
              <w:pStyle w:val="TableParagraph"/>
              <w:spacing w:before="24"/>
              <w:ind w:right="97"/>
              <w:rPr>
                <w:sz w:val="20"/>
              </w:rPr>
            </w:pPr>
            <w:r>
              <w:rPr>
                <w:w w:val="95"/>
                <w:sz w:val="20"/>
              </w:rPr>
              <w:t>496.71</w:t>
            </w:r>
          </w:p>
        </w:tc>
        <w:tc>
          <w:tcPr>
            <w:tcW w:w="1500" w:type="dxa"/>
          </w:tcPr>
          <w:p w:rsidR="007C5447" w:rsidRDefault="00F6308C">
            <w:pPr>
              <w:pStyle w:val="TableParagraph"/>
              <w:spacing w:before="24"/>
              <w:ind w:right="95"/>
              <w:rPr>
                <w:sz w:val="20"/>
              </w:rPr>
            </w:pPr>
            <w:r>
              <w:rPr>
                <w:w w:val="95"/>
                <w:sz w:val="20"/>
              </w:rPr>
              <w:t>2,273.84</w:t>
            </w:r>
          </w:p>
        </w:tc>
        <w:tc>
          <w:tcPr>
            <w:tcW w:w="1531" w:type="dxa"/>
          </w:tcPr>
          <w:p w:rsidR="007C5447" w:rsidRDefault="00F6308C">
            <w:pPr>
              <w:pStyle w:val="TableParagraph"/>
              <w:spacing w:before="24"/>
              <w:ind w:right="96"/>
              <w:rPr>
                <w:sz w:val="20"/>
              </w:rPr>
            </w:pPr>
            <w:r>
              <w:rPr>
                <w:sz w:val="20"/>
              </w:rPr>
              <w:t>3.14</w:t>
            </w:r>
          </w:p>
        </w:tc>
        <w:tc>
          <w:tcPr>
            <w:tcW w:w="1529" w:type="dxa"/>
          </w:tcPr>
          <w:p w:rsidR="007C5447" w:rsidRDefault="00F6308C">
            <w:pPr>
              <w:pStyle w:val="TableParagraph"/>
              <w:spacing w:before="24"/>
              <w:ind w:right="94"/>
              <w:rPr>
                <w:sz w:val="20"/>
              </w:rPr>
            </w:pPr>
            <w:r>
              <w:rPr>
                <w:w w:val="95"/>
                <w:sz w:val="20"/>
              </w:rPr>
              <w:t>2,770.55</w:t>
            </w:r>
          </w:p>
        </w:tc>
        <w:tc>
          <w:tcPr>
            <w:tcW w:w="1876" w:type="dxa"/>
          </w:tcPr>
          <w:p w:rsidR="007C5447" w:rsidRDefault="00F6308C">
            <w:pPr>
              <w:pStyle w:val="TableParagraph"/>
              <w:spacing w:before="24"/>
              <w:ind w:right="95"/>
              <w:rPr>
                <w:sz w:val="20"/>
              </w:rPr>
            </w:pPr>
            <w:r>
              <w:rPr>
                <w:sz w:val="20"/>
              </w:rPr>
              <w:t>3.82</w:t>
            </w:r>
          </w:p>
        </w:tc>
      </w:tr>
      <w:tr w:rsidR="007C5447">
        <w:trPr>
          <w:trHeight w:val="280"/>
        </w:trPr>
        <w:tc>
          <w:tcPr>
            <w:tcW w:w="4719" w:type="dxa"/>
          </w:tcPr>
          <w:p w:rsidR="007C5447" w:rsidRDefault="00F6308C">
            <w:pPr>
              <w:pStyle w:val="TableParagraph"/>
              <w:spacing w:before="24"/>
              <w:ind w:left="107"/>
              <w:jc w:val="left"/>
              <w:rPr>
                <w:sz w:val="20"/>
              </w:rPr>
            </w:pPr>
            <w:r>
              <w:rPr>
                <w:sz w:val="20"/>
              </w:rPr>
              <w:t>Mettur TPS</w:t>
            </w:r>
          </w:p>
        </w:tc>
        <w:tc>
          <w:tcPr>
            <w:tcW w:w="1519" w:type="dxa"/>
          </w:tcPr>
          <w:p w:rsidR="007C5447" w:rsidRDefault="00F6308C">
            <w:pPr>
              <w:pStyle w:val="TableParagraph"/>
              <w:spacing w:before="24"/>
              <w:ind w:right="95"/>
              <w:rPr>
                <w:sz w:val="20"/>
              </w:rPr>
            </w:pPr>
            <w:r>
              <w:rPr>
                <w:w w:val="95"/>
                <w:sz w:val="20"/>
              </w:rPr>
              <w:t>5,928.10</w:t>
            </w:r>
          </w:p>
        </w:tc>
        <w:tc>
          <w:tcPr>
            <w:tcW w:w="1500" w:type="dxa"/>
          </w:tcPr>
          <w:p w:rsidR="007C5447" w:rsidRDefault="00F6308C">
            <w:pPr>
              <w:pStyle w:val="TableParagraph"/>
              <w:spacing w:before="24"/>
              <w:ind w:right="97"/>
              <w:rPr>
                <w:sz w:val="20"/>
              </w:rPr>
            </w:pPr>
            <w:r>
              <w:rPr>
                <w:w w:val="95"/>
                <w:sz w:val="20"/>
              </w:rPr>
              <w:t>349.69</w:t>
            </w:r>
          </w:p>
        </w:tc>
        <w:tc>
          <w:tcPr>
            <w:tcW w:w="1500" w:type="dxa"/>
          </w:tcPr>
          <w:p w:rsidR="007C5447" w:rsidRDefault="00F6308C">
            <w:pPr>
              <w:pStyle w:val="TableParagraph"/>
              <w:spacing w:before="24"/>
              <w:ind w:right="95"/>
              <w:rPr>
                <w:sz w:val="20"/>
              </w:rPr>
            </w:pPr>
            <w:r>
              <w:rPr>
                <w:w w:val="95"/>
                <w:sz w:val="20"/>
              </w:rPr>
              <w:t>2,435.02</w:t>
            </w:r>
          </w:p>
        </w:tc>
        <w:tc>
          <w:tcPr>
            <w:tcW w:w="1531" w:type="dxa"/>
          </w:tcPr>
          <w:p w:rsidR="007C5447" w:rsidRDefault="00F6308C">
            <w:pPr>
              <w:pStyle w:val="TableParagraph"/>
              <w:spacing w:before="24"/>
              <w:ind w:right="96"/>
              <w:rPr>
                <w:sz w:val="20"/>
              </w:rPr>
            </w:pPr>
            <w:r>
              <w:rPr>
                <w:sz w:val="20"/>
              </w:rPr>
              <w:t>4.11</w:t>
            </w:r>
          </w:p>
        </w:tc>
        <w:tc>
          <w:tcPr>
            <w:tcW w:w="1529" w:type="dxa"/>
          </w:tcPr>
          <w:p w:rsidR="007C5447" w:rsidRDefault="00F6308C">
            <w:pPr>
              <w:pStyle w:val="TableParagraph"/>
              <w:spacing w:before="24"/>
              <w:ind w:right="94"/>
              <w:rPr>
                <w:sz w:val="20"/>
              </w:rPr>
            </w:pPr>
            <w:r>
              <w:rPr>
                <w:w w:val="95"/>
                <w:sz w:val="20"/>
              </w:rPr>
              <w:t>2,784.71</w:t>
            </w:r>
          </w:p>
        </w:tc>
        <w:tc>
          <w:tcPr>
            <w:tcW w:w="1876" w:type="dxa"/>
          </w:tcPr>
          <w:p w:rsidR="007C5447" w:rsidRDefault="00F6308C">
            <w:pPr>
              <w:pStyle w:val="TableParagraph"/>
              <w:spacing w:before="24"/>
              <w:ind w:right="96"/>
              <w:rPr>
                <w:sz w:val="20"/>
              </w:rPr>
            </w:pPr>
            <w:r>
              <w:rPr>
                <w:sz w:val="20"/>
              </w:rPr>
              <w:t>4.70</w:t>
            </w:r>
          </w:p>
        </w:tc>
      </w:tr>
      <w:tr w:rsidR="007C5447">
        <w:trPr>
          <w:trHeight w:val="277"/>
        </w:trPr>
        <w:tc>
          <w:tcPr>
            <w:tcW w:w="4719" w:type="dxa"/>
          </w:tcPr>
          <w:p w:rsidR="007C5447" w:rsidRDefault="00F6308C">
            <w:pPr>
              <w:pStyle w:val="TableParagraph"/>
              <w:spacing w:before="24"/>
              <w:ind w:left="107"/>
              <w:jc w:val="left"/>
              <w:rPr>
                <w:sz w:val="20"/>
              </w:rPr>
            </w:pPr>
            <w:r>
              <w:rPr>
                <w:sz w:val="20"/>
              </w:rPr>
              <w:t>North Chennai TPS</w:t>
            </w:r>
          </w:p>
        </w:tc>
        <w:tc>
          <w:tcPr>
            <w:tcW w:w="1519" w:type="dxa"/>
          </w:tcPr>
          <w:p w:rsidR="007C5447" w:rsidRDefault="00F6308C">
            <w:pPr>
              <w:pStyle w:val="TableParagraph"/>
              <w:spacing w:before="24"/>
              <w:ind w:right="95"/>
              <w:rPr>
                <w:sz w:val="20"/>
              </w:rPr>
            </w:pPr>
            <w:r>
              <w:rPr>
                <w:w w:val="95"/>
                <w:sz w:val="20"/>
              </w:rPr>
              <w:t>3,720.06</w:t>
            </w:r>
          </w:p>
        </w:tc>
        <w:tc>
          <w:tcPr>
            <w:tcW w:w="1500" w:type="dxa"/>
          </w:tcPr>
          <w:p w:rsidR="007C5447" w:rsidRDefault="00F6308C">
            <w:pPr>
              <w:pStyle w:val="TableParagraph"/>
              <w:spacing w:before="24"/>
              <w:ind w:right="97"/>
              <w:rPr>
                <w:sz w:val="20"/>
              </w:rPr>
            </w:pPr>
            <w:r>
              <w:rPr>
                <w:w w:val="95"/>
                <w:sz w:val="20"/>
              </w:rPr>
              <w:t>382.37</w:t>
            </w:r>
          </w:p>
        </w:tc>
        <w:tc>
          <w:tcPr>
            <w:tcW w:w="1500" w:type="dxa"/>
          </w:tcPr>
          <w:p w:rsidR="007C5447" w:rsidRDefault="00F6308C">
            <w:pPr>
              <w:pStyle w:val="TableParagraph"/>
              <w:spacing w:before="24"/>
              <w:ind w:right="93"/>
              <w:rPr>
                <w:sz w:val="20"/>
              </w:rPr>
            </w:pPr>
            <w:r>
              <w:rPr>
                <w:w w:val="99"/>
                <w:sz w:val="20"/>
              </w:rPr>
              <w:t>-</w:t>
            </w:r>
          </w:p>
        </w:tc>
        <w:tc>
          <w:tcPr>
            <w:tcW w:w="1531" w:type="dxa"/>
          </w:tcPr>
          <w:p w:rsidR="007C5447" w:rsidRDefault="00F6308C">
            <w:pPr>
              <w:pStyle w:val="TableParagraph"/>
              <w:spacing w:before="24"/>
              <w:ind w:right="93"/>
              <w:rPr>
                <w:sz w:val="20"/>
              </w:rPr>
            </w:pPr>
            <w:r>
              <w:rPr>
                <w:w w:val="99"/>
                <w:sz w:val="20"/>
              </w:rPr>
              <w:t>-</w:t>
            </w:r>
          </w:p>
        </w:tc>
        <w:tc>
          <w:tcPr>
            <w:tcW w:w="1529" w:type="dxa"/>
          </w:tcPr>
          <w:p w:rsidR="007C5447" w:rsidRDefault="00F6308C">
            <w:pPr>
              <w:pStyle w:val="TableParagraph"/>
              <w:spacing w:before="24"/>
              <w:ind w:right="96"/>
              <w:rPr>
                <w:sz w:val="20"/>
              </w:rPr>
            </w:pPr>
            <w:r>
              <w:rPr>
                <w:w w:val="95"/>
                <w:sz w:val="20"/>
              </w:rPr>
              <w:t>382.37</w:t>
            </w:r>
          </w:p>
        </w:tc>
        <w:tc>
          <w:tcPr>
            <w:tcW w:w="1876" w:type="dxa"/>
          </w:tcPr>
          <w:p w:rsidR="007C5447" w:rsidRDefault="00F6308C">
            <w:pPr>
              <w:pStyle w:val="TableParagraph"/>
              <w:spacing w:before="24"/>
              <w:ind w:right="95"/>
              <w:rPr>
                <w:sz w:val="20"/>
              </w:rPr>
            </w:pPr>
            <w:r>
              <w:rPr>
                <w:sz w:val="20"/>
              </w:rPr>
              <w:t>1.03</w:t>
            </w:r>
          </w:p>
        </w:tc>
      </w:tr>
      <w:tr w:rsidR="007C5447">
        <w:trPr>
          <w:trHeight w:val="278"/>
        </w:trPr>
        <w:tc>
          <w:tcPr>
            <w:tcW w:w="4719" w:type="dxa"/>
          </w:tcPr>
          <w:p w:rsidR="007C5447" w:rsidRDefault="00F6308C">
            <w:pPr>
              <w:pStyle w:val="TableParagraph"/>
              <w:spacing w:before="24"/>
              <w:ind w:left="107"/>
              <w:jc w:val="left"/>
              <w:rPr>
                <w:sz w:val="20"/>
              </w:rPr>
            </w:pPr>
            <w:r>
              <w:rPr>
                <w:sz w:val="20"/>
              </w:rPr>
              <w:t>NCTPS Stage-II (Unit 1)</w:t>
            </w:r>
          </w:p>
        </w:tc>
        <w:tc>
          <w:tcPr>
            <w:tcW w:w="1519" w:type="dxa"/>
          </w:tcPr>
          <w:p w:rsidR="007C5447" w:rsidRDefault="00F6308C">
            <w:pPr>
              <w:pStyle w:val="TableParagraph"/>
              <w:spacing w:before="24"/>
              <w:ind w:right="94"/>
              <w:rPr>
                <w:sz w:val="20"/>
              </w:rPr>
            </w:pPr>
            <w:r>
              <w:rPr>
                <w:w w:val="99"/>
                <w:sz w:val="20"/>
              </w:rPr>
              <w:t>-</w:t>
            </w:r>
          </w:p>
        </w:tc>
        <w:tc>
          <w:tcPr>
            <w:tcW w:w="1500" w:type="dxa"/>
          </w:tcPr>
          <w:p w:rsidR="007C5447" w:rsidRDefault="00F6308C">
            <w:pPr>
              <w:pStyle w:val="TableParagraph"/>
              <w:spacing w:before="24"/>
              <w:ind w:right="97"/>
              <w:rPr>
                <w:sz w:val="20"/>
              </w:rPr>
            </w:pPr>
            <w:r>
              <w:rPr>
                <w:w w:val="95"/>
                <w:sz w:val="20"/>
              </w:rPr>
              <w:t>158.92</w:t>
            </w:r>
          </w:p>
        </w:tc>
        <w:tc>
          <w:tcPr>
            <w:tcW w:w="1500" w:type="dxa"/>
          </w:tcPr>
          <w:p w:rsidR="007C5447" w:rsidRDefault="00F6308C">
            <w:pPr>
              <w:pStyle w:val="TableParagraph"/>
              <w:spacing w:before="24"/>
              <w:ind w:right="93"/>
              <w:rPr>
                <w:sz w:val="20"/>
              </w:rPr>
            </w:pPr>
            <w:r>
              <w:rPr>
                <w:w w:val="99"/>
                <w:sz w:val="20"/>
              </w:rPr>
              <w:t>-</w:t>
            </w:r>
          </w:p>
        </w:tc>
        <w:tc>
          <w:tcPr>
            <w:tcW w:w="1531" w:type="dxa"/>
          </w:tcPr>
          <w:p w:rsidR="007C5447" w:rsidRDefault="00F6308C">
            <w:pPr>
              <w:pStyle w:val="TableParagraph"/>
              <w:spacing w:before="24"/>
              <w:ind w:right="93"/>
              <w:rPr>
                <w:sz w:val="20"/>
              </w:rPr>
            </w:pPr>
            <w:r>
              <w:rPr>
                <w:w w:val="99"/>
                <w:sz w:val="20"/>
              </w:rPr>
              <w:t>-</w:t>
            </w:r>
          </w:p>
        </w:tc>
        <w:tc>
          <w:tcPr>
            <w:tcW w:w="1529" w:type="dxa"/>
          </w:tcPr>
          <w:p w:rsidR="007C5447" w:rsidRDefault="00F6308C">
            <w:pPr>
              <w:pStyle w:val="TableParagraph"/>
              <w:spacing w:before="24"/>
              <w:ind w:right="96"/>
              <w:rPr>
                <w:sz w:val="20"/>
              </w:rPr>
            </w:pPr>
            <w:r>
              <w:rPr>
                <w:w w:val="95"/>
                <w:sz w:val="20"/>
              </w:rPr>
              <w:t>158.92</w:t>
            </w:r>
          </w:p>
        </w:tc>
        <w:tc>
          <w:tcPr>
            <w:tcW w:w="1876" w:type="dxa"/>
          </w:tcPr>
          <w:p w:rsidR="007C5447" w:rsidRDefault="00F6308C">
            <w:pPr>
              <w:pStyle w:val="TableParagraph"/>
              <w:spacing w:before="24"/>
              <w:ind w:right="94"/>
              <w:rPr>
                <w:sz w:val="20"/>
              </w:rPr>
            </w:pPr>
            <w:r>
              <w:rPr>
                <w:w w:val="99"/>
                <w:sz w:val="20"/>
              </w:rPr>
              <w:t>-</w:t>
            </w:r>
          </w:p>
        </w:tc>
      </w:tr>
      <w:tr w:rsidR="007C5447">
        <w:trPr>
          <w:trHeight w:val="280"/>
        </w:trPr>
        <w:tc>
          <w:tcPr>
            <w:tcW w:w="4719" w:type="dxa"/>
          </w:tcPr>
          <w:p w:rsidR="007C5447" w:rsidRDefault="00F6308C">
            <w:pPr>
              <w:pStyle w:val="TableParagraph"/>
              <w:spacing w:before="26"/>
              <w:ind w:left="107"/>
              <w:jc w:val="left"/>
              <w:rPr>
                <w:sz w:val="20"/>
              </w:rPr>
            </w:pPr>
            <w:r>
              <w:rPr>
                <w:sz w:val="20"/>
              </w:rPr>
              <w:t>MTPS Stage III</w:t>
            </w:r>
          </w:p>
        </w:tc>
        <w:tc>
          <w:tcPr>
            <w:tcW w:w="1519" w:type="dxa"/>
          </w:tcPr>
          <w:p w:rsidR="007C5447" w:rsidRDefault="00F6308C">
            <w:pPr>
              <w:pStyle w:val="TableParagraph"/>
              <w:spacing w:before="26"/>
              <w:ind w:right="95"/>
              <w:rPr>
                <w:sz w:val="20"/>
              </w:rPr>
            </w:pPr>
            <w:r>
              <w:rPr>
                <w:w w:val="95"/>
                <w:sz w:val="20"/>
              </w:rPr>
              <w:t>1,840.00</w:t>
            </w:r>
          </w:p>
        </w:tc>
        <w:tc>
          <w:tcPr>
            <w:tcW w:w="1500" w:type="dxa"/>
          </w:tcPr>
          <w:p w:rsidR="007C5447" w:rsidRDefault="00F6308C">
            <w:pPr>
              <w:pStyle w:val="TableParagraph"/>
              <w:spacing w:before="26"/>
              <w:ind w:right="94"/>
              <w:rPr>
                <w:sz w:val="20"/>
              </w:rPr>
            </w:pPr>
            <w:r>
              <w:rPr>
                <w:w w:val="99"/>
                <w:sz w:val="20"/>
              </w:rPr>
              <w:t>-</w:t>
            </w:r>
          </w:p>
        </w:tc>
        <w:tc>
          <w:tcPr>
            <w:tcW w:w="1500" w:type="dxa"/>
          </w:tcPr>
          <w:p w:rsidR="007C5447" w:rsidRDefault="00F6308C">
            <w:pPr>
              <w:pStyle w:val="TableParagraph"/>
              <w:spacing w:before="26"/>
              <w:ind w:right="97"/>
              <w:rPr>
                <w:sz w:val="20"/>
              </w:rPr>
            </w:pPr>
            <w:r>
              <w:rPr>
                <w:w w:val="95"/>
                <w:sz w:val="20"/>
              </w:rPr>
              <w:t>537.16</w:t>
            </w:r>
          </w:p>
        </w:tc>
        <w:tc>
          <w:tcPr>
            <w:tcW w:w="1531" w:type="dxa"/>
          </w:tcPr>
          <w:p w:rsidR="007C5447" w:rsidRDefault="00F6308C">
            <w:pPr>
              <w:pStyle w:val="TableParagraph"/>
              <w:spacing w:before="26"/>
              <w:ind w:right="96"/>
              <w:rPr>
                <w:sz w:val="20"/>
              </w:rPr>
            </w:pPr>
            <w:r>
              <w:rPr>
                <w:sz w:val="20"/>
              </w:rPr>
              <w:t>2.92</w:t>
            </w:r>
          </w:p>
        </w:tc>
        <w:tc>
          <w:tcPr>
            <w:tcW w:w="1529" w:type="dxa"/>
          </w:tcPr>
          <w:p w:rsidR="007C5447" w:rsidRDefault="00F6308C">
            <w:pPr>
              <w:pStyle w:val="TableParagraph"/>
              <w:spacing w:before="26"/>
              <w:ind w:right="96"/>
              <w:rPr>
                <w:sz w:val="20"/>
              </w:rPr>
            </w:pPr>
            <w:r>
              <w:rPr>
                <w:w w:val="95"/>
                <w:sz w:val="20"/>
              </w:rPr>
              <w:t>537.16</w:t>
            </w:r>
          </w:p>
        </w:tc>
        <w:tc>
          <w:tcPr>
            <w:tcW w:w="1876" w:type="dxa"/>
          </w:tcPr>
          <w:p w:rsidR="007C5447" w:rsidRDefault="00F6308C">
            <w:pPr>
              <w:pStyle w:val="TableParagraph"/>
              <w:spacing w:before="26"/>
              <w:ind w:right="95"/>
              <w:rPr>
                <w:sz w:val="20"/>
              </w:rPr>
            </w:pPr>
            <w:r>
              <w:rPr>
                <w:sz w:val="20"/>
              </w:rPr>
              <w:t>2.92</w:t>
            </w:r>
          </w:p>
        </w:tc>
      </w:tr>
      <w:tr w:rsidR="007C5447">
        <w:trPr>
          <w:trHeight w:val="278"/>
        </w:trPr>
        <w:tc>
          <w:tcPr>
            <w:tcW w:w="4719" w:type="dxa"/>
          </w:tcPr>
          <w:p w:rsidR="007C5447" w:rsidRDefault="00F6308C">
            <w:pPr>
              <w:pStyle w:val="TableParagraph"/>
              <w:spacing w:before="24"/>
              <w:ind w:left="1711" w:right="1707"/>
              <w:jc w:val="center"/>
              <w:rPr>
                <w:b/>
                <w:sz w:val="20"/>
              </w:rPr>
            </w:pPr>
            <w:r>
              <w:rPr>
                <w:b/>
                <w:sz w:val="20"/>
              </w:rPr>
              <w:t>Total Thermal</w:t>
            </w:r>
          </w:p>
        </w:tc>
        <w:tc>
          <w:tcPr>
            <w:tcW w:w="1519" w:type="dxa"/>
          </w:tcPr>
          <w:p w:rsidR="007C5447" w:rsidRDefault="00F6308C">
            <w:pPr>
              <w:pStyle w:val="TableParagraph"/>
              <w:spacing w:before="24"/>
              <w:ind w:right="98"/>
              <w:rPr>
                <w:b/>
                <w:sz w:val="20"/>
              </w:rPr>
            </w:pPr>
            <w:r>
              <w:rPr>
                <w:b/>
                <w:w w:val="95"/>
                <w:sz w:val="20"/>
              </w:rPr>
              <w:t>19,752.08</w:t>
            </w:r>
          </w:p>
        </w:tc>
        <w:tc>
          <w:tcPr>
            <w:tcW w:w="1500" w:type="dxa"/>
          </w:tcPr>
          <w:p w:rsidR="007C5447" w:rsidRDefault="00F6308C">
            <w:pPr>
              <w:pStyle w:val="TableParagraph"/>
              <w:spacing w:before="24"/>
              <w:ind w:right="95"/>
              <w:rPr>
                <w:b/>
                <w:sz w:val="20"/>
              </w:rPr>
            </w:pPr>
            <w:r>
              <w:rPr>
                <w:b/>
                <w:w w:val="95"/>
                <w:sz w:val="20"/>
              </w:rPr>
              <w:t>1,665.33</w:t>
            </w:r>
          </w:p>
        </w:tc>
        <w:tc>
          <w:tcPr>
            <w:tcW w:w="1500" w:type="dxa"/>
          </w:tcPr>
          <w:p w:rsidR="007C5447" w:rsidRDefault="00F6308C">
            <w:pPr>
              <w:pStyle w:val="TableParagraph"/>
              <w:spacing w:before="24"/>
              <w:ind w:right="95"/>
              <w:rPr>
                <w:b/>
                <w:sz w:val="20"/>
              </w:rPr>
            </w:pPr>
            <w:r>
              <w:rPr>
                <w:b/>
                <w:w w:val="95"/>
                <w:sz w:val="20"/>
              </w:rPr>
              <w:t>5,596.86</w:t>
            </w:r>
          </w:p>
        </w:tc>
        <w:tc>
          <w:tcPr>
            <w:tcW w:w="1531" w:type="dxa"/>
          </w:tcPr>
          <w:p w:rsidR="007C5447" w:rsidRDefault="00F6308C">
            <w:pPr>
              <w:pStyle w:val="TableParagraph"/>
              <w:spacing w:before="24"/>
              <w:ind w:right="96"/>
              <w:rPr>
                <w:b/>
                <w:sz w:val="20"/>
              </w:rPr>
            </w:pPr>
            <w:r>
              <w:rPr>
                <w:b/>
                <w:sz w:val="20"/>
              </w:rPr>
              <w:t>2.83</w:t>
            </w:r>
          </w:p>
        </w:tc>
        <w:tc>
          <w:tcPr>
            <w:tcW w:w="1529" w:type="dxa"/>
          </w:tcPr>
          <w:p w:rsidR="007C5447" w:rsidRDefault="00F6308C">
            <w:pPr>
              <w:pStyle w:val="TableParagraph"/>
              <w:spacing w:before="24"/>
              <w:ind w:right="94"/>
              <w:rPr>
                <w:b/>
                <w:sz w:val="20"/>
              </w:rPr>
            </w:pPr>
            <w:r>
              <w:rPr>
                <w:b/>
                <w:w w:val="95"/>
                <w:sz w:val="20"/>
              </w:rPr>
              <w:t>7,262.19</w:t>
            </w:r>
          </w:p>
        </w:tc>
        <w:tc>
          <w:tcPr>
            <w:tcW w:w="1876" w:type="dxa"/>
          </w:tcPr>
          <w:p w:rsidR="007C5447" w:rsidRDefault="00F6308C">
            <w:pPr>
              <w:pStyle w:val="TableParagraph"/>
              <w:spacing w:before="24"/>
              <w:ind w:right="95"/>
              <w:rPr>
                <w:b/>
                <w:sz w:val="20"/>
              </w:rPr>
            </w:pPr>
            <w:r>
              <w:rPr>
                <w:b/>
                <w:sz w:val="20"/>
              </w:rPr>
              <w:t>3.68</w:t>
            </w:r>
          </w:p>
        </w:tc>
      </w:tr>
      <w:tr w:rsidR="007C5447">
        <w:trPr>
          <w:trHeight w:val="280"/>
        </w:trPr>
        <w:tc>
          <w:tcPr>
            <w:tcW w:w="4719" w:type="dxa"/>
          </w:tcPr>
          <w:p w:rsidR="007C5447" w:rsidRDefault="00F6308C">
            <w:pPr>
              <w:pStyle w:val="TableParagraph"/>
              <w:spacing w:before="24"/>
              <w:ind w:left="107"/>
              <w:jc w:val="left"/>
              <w:rPr>
                <w:sz w:val="20"/>
              </w:rPr>
            </w:pPr>
            <w:r>
              <w:rPr>
                <w:sz w:val="20"/>
              </w:rPr>
              <w:t>TGTPS</w:t>
            </w:r>
          </w:p>
        </w:tc>
        <w:tc>
          <w:tcPr>
            <w:tcW w:w="1519" w:type="dxa"/>
          </w:tcPr>
          <w:p w:rsidR="007C5447" w:rsidRDefault="00F6308C">
            <w:pPr>
              <w:pStyle w:val="TableParagraph"/>
              <w:spacing w:before="24"/>
              <w:ind w:right="97"/>
              <w:rPr>
                <w:sz w:val="20"/>
              </w:rPr>
            </w:pPr>
            <w:r>
              <w:rPr>
                <w:w w:val="95"/>
                <w:sz w:val="20"/>
              </w:rPr>
              <w:t>456.00</w:t>
            </w:r>
          </w:p>
        </w:tc>
        <w:tc>
          <w:tcPr>
            <w:tcW w:w="1500" w:type="dxa"/>
          </w:tcPr>
          <w:p w:rsidR="007C5447" w:rsidRDefault="00F6308C">
            <w:pPr>
              <w:pStyle w:val="TableParagraph"/>
              <w:spacing w:before="24"/>
              <w:ind w:right="97"/>
              <w:rPr>
                <w:sz w:val="20"/>
              </w:rPr>
            </w:pPr>
            <w:r>
              <w:rPr>
                <w:w w:val="95"/>
                <w:sz w:val="20"/>
              </w:rPr>
              <w:t>83.69</w:t>
            </w:r>
          </w:p>
        </w:tc>
        <w:tc>
          <w:tcPr>
            <w:tcW w:w="1500" w:type="dxa"/>
          </w:tcPr>
          <w:p w:rsidR="007C5447" w:rsidRDefault="00F6308C">
            <w:pPr>
              <w:pStyle w:val="TableParagraph"/>
              <w:spacing w:before="24"/>
              <w:ind w:right="97"/>
              <w:rPr>
                <w:sz w:val="20"/>
              </w:rPr>
            </w:pPr>
            <w:r>
              <w:rPr>
                <w:w w:val="95"/>
                <w:sz w:val="20"/>
              </w:rPr>
              <w:t>89.12</w:t>
            </w:r>
          </w:p>
        </w:tc>
        <w:tc>
          <w:tcPr>
            <w:tcW w:w="1531" w:type="dxa"/>
          </w:tcPr>
          <w:p w:rsidR="007C5447" w:rsidRDefault="00F6308C">
            <w:pPr>
              <w:pStyle w:val="TableParagraph"/>
              <w:spacing w:before="24"/>
              <w:ind w:right="96"/>
              <w:rPr>
                <w:sz w:val="20"/>
              </w:rPr>
            </w:pPr>
            <w:r>
              <w:rPr>
                <w:sz w:val="20"/>
              </w:rPr>
              <w:t>1.95</w:t>
            </w:r>
          </w:p>
        </w:tc>
        <w:tc>
          <w:tcPr>
            <w:tcW w:w="1529" w:type="dxa"/>
          </w:tcPr>
          <w:p w:rsidR="007C5447" w:rsidRDefault="00F6308C">
            <w:pPr>
              <w:pStyle w:val="TableParagraph"/>
              <w:spacing w:before="24"/>
              <w:ind w:right="96"/>
              <w:rPr>
                <w:sz w:val="20"/>
              </w:rPr>
            </w:pPr>
            <w:r>
              <w:rPr>
                <w:w w:val="95"/>
                <w:sz w:val="20"/>
              </w:rPr>
              <w:t>172.81</w:t>
            </w:r>
          </w:p>
        </w:tc>
        <w:tc>
          <w:tcPr>
            <w:tcW w:w="1876" w:type="dxa"/>
          </w:tcPr>
          <w:p w:rsidR="007C5447" w:rsidRDefault="00F6308C">
            <w:pPr>
              <w:pStyle w:val="TableParagraph"/>
              <w:spacing w:before="24"/>
              <w:ind w:right="95"/>
              <w:rPr>
                <w:sz w:val="20"/>
              </w:rPr>
            </w:pPr>
            <w:r>
              <w:rPr>
                <w:sz w:val="20"/>
              </w:rPr>
              <w:t>3.79</w:t>
            </w:r>
          </w:p>
        </w:tc>
      </w:tr>
      <w:tr w:rsidR="007C5447">
        <w:trPr>
          <w:trHeight w:val="278"/>
        </w:trPr>
        <w:tc>
          <w:tcPr>
            <w:tcW w:w="4719" w:type="dxa"/>
          </w:tcPr>
          <w:p w:rsidR="007C5447" w:rsidRDefault="00F6308C">
            <w:pPr>
              <w:pStyle w:val="TableParagraph"/>
              <w:spacing w:before="24"/>
              <w:ind w:left="107"/>
              <w:jc w:val="left"/>
              <w:rPr>
                <w:sz w:val="20"/>
              </w:rPr>
            </w:pPr>
            <w:r>
              <w:rPr>
                <w:sz w:val="20"/>
              </w:rPr>
              <w:t>KGTPS</w:t>
            </w:r>
          </w:p>
        </w:tc>
        <w:tc>
          <w:tcPr>
            <w:tcW w:w="1519" w:type="dxa"/>
          </w:tcPr>
          <w:p w:rsidR="007C5447" w:rsidRDefault="00F6308C">
            <w:pPr>
              <w:pStyle w:val="TableParagraph"/>
              <w:spacing w:before="24"/>
              <w:ind w:right="97"/>
              <w:rPr>
                <w:sz w:val="20"/>
              </w:rPr>
            </w:pPr>
            <w:r>
              <w:rPr>
                <w:w w:val="95"/>
                <w:sz w:val="20"/>
              </w:rPr>
              <w:t>594.00</w:t>
            </w:r>
          </w:p>
        </w:tc>
        <w:tc>
          <w:tcPr>
            <w:tcW w:w="1500" w:type="dxa"/>
          </w:tcPr>
          <w:p w:rsidR="007C5447" w:rsidRDefault="00F6308C">
            <w:pPr>
              <w:pStyle w:val="TableParagraph"/>
              <w:spacing w:before="24"/>
              <w:ind w:right="97"/>
              <w:rPr>
                <w:sz w:val="20"/>
              </w:rPr>
            </w:pPr>
            <w:r>
              <w:rPr>
                <w:w w:val="95"/>
                <w:sz w:val="20"/>
              </w:rPr>
              <w:t>90.51</w:t>
            </w:r>
          </w:p>
        </w:tc>
        <w:tc>
          <w:tcPr>
            <w:tcW w:w="1500" w:type="dxa"/>
          </w:tcPr>
          <w:p w:rsidR="007C5447" w:rsidRDefault="00F6308C">
            <w:pPr>
              <w:pStyle w:val="TableParagraph"/>
              <w:spacing w:before="24"/>
              <w:ind w:right="97"/>
              <w:rPr>
                <w:sz w:val="20"/>
              </w:rPr>
            </w:pPr>
            <w:r>
              <w:rPr>
                <w:w w:val="95"/>
                <w:sz w:val="20"/>
              </w:rPr>
              <w:t>122.62</w:t>
            </w:r>
          </w:p>
        </w:tc>
        <w:tc>
          <w:tcPr>
            <w:tcW w:w="1531" w:type="dxa"/>
          </w:tcPr>
          <w:p w:rsidR="007C5447" w:rsidRDefault="00F6308C">
            <w:pPr>
              <w:pStyle w:val="TableParagraph"/>
              <w:spacing w:before="24"/>
              <w:ind w:right="96"/>
              <w:rPr>
                <w:sz w:val="20"/>
              </w:rPr>
            </w:pPr>
            <w:r>
              <w:rPr>
                <w:sz w:val="20"/>
              </w:rPr>
              <w:t>2.06</w:t>
            </w:r>
          </w:p>
        </w:tc>
        <w:tc>
          <w:tcPr>
            <w:tcW w:w="1529" w:type="dxa"/>
          </w:tcPr>
          <w:p w:rsidR="007C5447" w:rsidRDefault="00F6308C">
            <w:pPr>
              <w:pStyle w:val="TableParagraph"/>
              <w:spacing w:before="24"/>
              <w:ind w:right="96"/>
              <w:rPr>
                <w:sz w:val="20"/>
              </w:rPr>
            </w:pPr>
            <w:r>
              <w:rPr>
                <w:w w:val="95"/>
                <w:sz w:val="20"/>
              </w:rPr>
              <w:t>213.13</w:t>
            </w:r>
          </w:p>
        </w:tc>
        <w:tc>
          <w:tcPr>
            <w:tcW w:w="1876" w:type="dxa"/>
          </w:tcPr>
          <w:p w:rsidR="007C5447" w:rsidRDefault="00F6308C">
            <w:pPr>
              <w:pStyle w:val="TableParagraph"/>
              <w:spacing w:before="24"/>
              <w:ind w:right="95"/>
              <w:rPr>
                <w:sz w:val="20"/>
              </w:rPr>
            </w:pPr>
            <w:r>
              <w:rPr>
                <w:sz w:val="20"/>
              </w:rPr>
              <w:t>3.59</w:t>
            </w:r>
          </w:p>
        </w:tc>
      </w:tr>
      <w:tr w:rsidR="007C5447">
        <w:trPr>
          <w:trHeight w:val="277"/>
        </w:trPr>
        <w:tc>
          <w:tcPr>
            <w:tcW w:w="4719" w:type="dxa"/>
          </w:tcPr>
          <w:p w:rsidR="007C5447" w:rsidRDefault="00F6308C">
            <w:pPr>
              <w:pStyle w:val="TableParagraph"/>
              <w:spacing w:before="24"/>
              <w:ind w:left="107"/>
              <w:jc w:val="left"/>
              <w:rPr>
                <w:sz w:val="20"/>
              </w:rPr>
            </w:pPr>
            <w:r>
              <w:rPr>
                <w:sz w:val="20"/>
              </w:rPr>
              <w:t>BBGTPS</w:t>
            </w:r>
          </w:p>
        </w:tc>
        <w:tc>
          <w:tcPr>
            <w:tcW w:w="1519" w:type="dxa"/>
          </w:tcPr>
          <w:p w:rsidR="007C5447" w:rsidRDefault="00F6308C">
            <w:pPr>
              <w:pStyle w:val="TableParagraph"/>
              <w:spacing w:before="24"/>
              <w:ind w:right="94"/>
              <w:rPr>
                <w:sz w:val="20"/>
              </w:rPr>
            </w:pPr>
            <w:r>
              <w:rPr>
                <w:w w:val="99"/>
                <w:sz w:val="20"/>
              </w:rPr>
              <w:t>-</w:t>
            </w:r>
          </w:p>
        </w:tc>
        <w:tc>
          <w:tcPr>
            <w:tcW w:w="1500" w:type="dxa"/>
          </w:tcPr>
          <w:p w:rsidR="007C5447" w:rsidRDefault="00F6308C">
            <w:pPr>
              <w:pStyle w:val="TableParagraph"/>
              <w:spacing w:before="24"/>
              <w:ind w:right="97"/>
              <w:rPr>
                <w:sz w:val="20"/>
              </w:rPr>
            </w:pPr>
            <w:r>
              <w:rPr>
                <w:w w:val="95"/>
                <w:sz w:val="20"/>
              </w:rPr>
              <w:t>47.99</w:t>
            </w:r>
          </w:p>
        </w:tc>
        <w:tc>
          <w:tcPr>
            <w:tcW w:w="1500" w:type="dxa"/>
          </w:tcPr>
          <w:p w:rsidR="007C5447" w:rsidRDefault="00F6308C">
            <w:pPr>
              <w:pStyle w:val="TableParagraph"/>
              <w:spacing w:before="24"/>
              <w:ind w:right="93"/>
              <w:rPr>
                <w:sz w:val="20"/>
              </w:rPr>
            </w:pPr>
            <w:r>
              <w:rPr>
                <w:w w:val="99"/>
                <w:sz w:val="20"/>
              </w:rPr>
              <w:t>-</w:t>
            </w:r>
          </w:p>
        </w:tc>
        <w:tc>
          <w:tcPr>
            <w:tcW w:w="1531" w:type="dxa"/>
          </w:tcPr>
          <w:p w:rsidR="007C5447" w:rsidRDefault="00F6308C">
            <w:pPr>
              <w:pStyle w:val="TableParagraph"/>
              <w:spacing w:before="24"/>
              <w:ind w:right="96"/>
              <w:rPr>
                <w:sz w:val="20"/>
              </w:rPr>
            </w:pPr>
            <w:r>
              <w:rPr>
                <w:w w:val="95"/>
                <w:sz w:val="20"/>
              </w:rPr>
              <w:t>17.37</w:t>
            </w:r>
          </w:p>
        </w:tc>
        <w:tc>
          <w:tcPr>
            <w:tcW w:w="1529" w:type="dxa"/>
          </w:tcPr>
          <w:p w:rsidR="007C5447" w:rsidRDefault="00F6308C">
            <w:pPr>
              <w:pStyle w:val="TableParagraph"/>
              <w:spacing w:before="24"/>
              <w:ind w:right="96"/>
              <w:rPr>
                <w:sz w:val="20"/>
              </w:rPr>
            </w:pPr>
            <w:r>
              <w:rPr>
                <w:w w:val="95"/>
                <w:sz w:val="20"/>
              </w:rPr>
              <w:t>47.99</w:t>
            </w:r>
          </w:p>
        </w:tc>
        <w:tc>
          <w:tcPr>
            <w:tcW w:w="1876" w:type="dxa"/>
          </w:tcPr>
          <w:p w:rsidR="007C5447" w:rsidRDefault="00F6308C">
            <w:pPr>
              <w:pStyle w:val="TableParagraph"/>
              <w:spacing w:before="24"/>
              <w:ind w:right="92"/>
              <w:rPr>
                <w:sz w:val="20"/>
              </w:rPr>
            </w:pPr>
            <w:r>
              <w:rPr>
                <w:w w:val="95"/>
                <w:sz w:val="20"/>
              </w:rPr>
              <w:t>#DIV/0!</w:t>
            </w:r>
          </w:p>
        </w:tc>
      </w:tr>
      <w:tr w:rsidR="007C5447">
        <w:trPr>
          <w:trHeight w:val="280"/>
        </w:trPr>
        <w:tc>
          <w:tcPr>
            <w:tcW w:w="4719" w:type="dxa"/>
          </w:tcPr>
          <w:p w:rsidR="007C5447" w:rsidRDefault="00F6308C">
            <w:pPr>
              <w:pStyle w:val="TableParagraph"/>
              <w:spacing w:before="26"/>
              <w:ind w:left="107"/>
              <w:jc w:val="left"/>
              <w:rPr>
                <w:sz w:val="20"/>
              </w:rPr>
            </w:pPr>
            <w:r>
              <w:rPr>
                <w:sz w:val="20"/>
              </w:rPr>
              <w:t>VGTPS (Unit 1 and 2)</w:t>
            </w:r>
          </w:p>
        </w:tc>
        <w:tc>
          <w:tcPr>
            <w:tcW w:w="1519" w:type="dxa"/>
          </w:tcPr>
          <w:p w:rsidR="007C5447" w:rsidRDefault="00F6308C">
            <w:pPr>
              <w:pStyle w:val="TableParagraph"/>
              <w:spacing w:before="26"/>
              <w:ind w:right="95"/>
              <w:rPr>
                <w:sz w:val="20"/>
              </w:rPr>
            </w:pPr>
            <w:r>
              <w:rPr>
                <w:w w:val="95"/>
                <w:sz w:val="20"/>
              </w:rPr>
              <w:t>1,180.78</w:t>
            </w:r>
          </w:p>
        </w:tc>
        <w:tc>
          <w:tcPr>
            <w:tcW w:w="1500" w:type="dxa"/>
          </w:tcPr>
          <w:p w:rsidR="007C5447" w:rsidRDefault="00F6308C">
            <w:pPr>
              <w:pStyle w:val="TableParagraph"/>
              <w:spacing w:before="26"/>
              <w:ind w:right="97"/>
              <w:rPr>
                <w:sz w:val="20"/>
              </w:rPr>
            </w:pPr>
            <w:r>
              <w:rPr>
                <w:w w:val="95"/>
                <w:sz w:val="20"/>
              </w:rPr>
              <w:t>171.12</w:t>
            </w:r>
          </w:p>
        </w:tc>
        <w:tc>
          <w:tcPr>
            <w:tcW w:w="1500" w:type="dxa"/>
          </w:tcPr>
          <w:p w:rsidR="007C5447" w:rsidRDefault="00F6308C">
            <w:pPr>
              <w:pStyle w:val="TableParagraph"/>
              <w:spacing w:before="26"/>
              <w:ind w:right="97"/>
              <w:rPr>
                <w:sz w:val="20"/>
              </w:rPr>
            </w:pPr>
            <w:r>
              <w:rPr>
                <w:w w:val="95"/>
                <w:sz w:val="20"/>
              </w:rPr>
              <w:t>246.13</w:t>
            </w:r>
          </w:p>
        </w:tc>
        <w:tc>
          <w:tcPr>
            <w:tcW w:w="1531" w:type="dxa"/>
          </w:tcPr>
          <w:p w:rsidR="007C5447" w:rsidRDefault="00F6308C">
            <w:pPr>
              <w:pStyle w:val="TableParagraph"/>
              <w:spacing w:before="26"/>
              <w:ind w:right="96"/>
              <w:rPr>
                <w:sz w:val="20"/>
              </w:rPr>
            </w:pPr>
            <w:r>
              <w:rPr>
                <w:sz w:val="20"/>
              </w:rPr>
              <w:t>2.08</w:t>
            </w:r>
          </w:p>
        </w:tc>
        <w:tc>
          <w:tcPr>
            <w:tcW w:w="1529" w:type="dxa"/>
          </w:tcPr>
          <w:p w:rsidR="007C5447" w:rsidRDefault="00F6308C">
            <w:pPr>
              <w:pStyle w:val="TableParagraph"/>
              <w:spacing w:before="26"/>
              <w:ind w:right="96"/>
              <w:rPr>
                <w:sz w:val="20"/>
              </w:rPr>
            </w:pPr>
            <w:r>
              <w:rPr>
                <w:w w:val="95"/>
                <w:sz w:val="20"/>
              </w:rPr>
              <w:t>417.25</w:t>
            </w:r>
          </w:p>
        </w:tc>
        <w:tc>
          <w:tcPr>
            <w:tcW w:w="1876" w:type="dxa"/>
          </w:tcPr>
          <w:p w:rsidR="007C5447" w:rsidRDefault="00F6308C">
            <w:pPr>
              <w:pStyle w:val="TableParagraph"/>
              <w:spacing w:before="26"/>
              <w:ind w:right="95"/>
              <w:rPr>
                <w:sz w:val="20"/>
              </w:rPr>
            </w:pPr>
            <w:r>
              <w:rPr>
                <w:sz w:val="20"/>
              </w:rPr>
              <w:t>3.53</w:t>
            </w:r>
          </w:p>
        </w:tc>
      </w:tr>
      <w:tr w:rsidR="007C5447">
        <w:trPr>
          <w:trHeight w:val="278"/>
        </w:trPr>
        <w:tc>
          <w:tcPr>
            <w:tcW w:w="4719" w:type="dxa"/>
          </w:tcPr>
          <w:p w:rsidR="007C5447" w:rsidRDefault="00F6308C">
            <w:pPr>
              <w:pStyle w:val="TableParagraph"/>
              <w:spacing w:before="25"/>
              <w:ind w:left="1711" w:right="1704"/>
              <w:jc w:val="center"/>
              <w:rPr>
                <w:b/>
                <w:sz w:val="20"/>
              </w:rPr>
            </w:pPr>
            <w:r>
              <w:rPr>
                <w:b/>
                <w:sz w:val="20"/>
              </w:rPr>
              <w:t>Total Gas</w:t>
            </w:r>
          </w:p>
        </w:tc>
        <w:tc>
          <w:tcPr>
            <w:tcW w:w="1519" w:type="dxa"/>
          </w:tcPr>
          <w:p w:rsidR="007C5447" w:rsidRDefault="00F6308C">
            <w:pPr>
              <w:pStyle w:val="TableParagraph"/>
              <w:spacing w:before="25"/>
              <w:ind w:right="95"/>
              <w:rPr>
                <w:b/>
                <w:sz w:val="20"/>
              </w:rPr>
            </w:pPr>
            <w:r>
              <w:rPr>
                <w:b/>
                <w:w w:val="95"/>
                <w:sz w:val="20"/>
              </w:rPr>
              <w:t>2,230.78</w:t>
            </w:r>
          </w:p>
        </w:tc>
        <w:tc>
          <w:tcPr>
            <w:tcW w:w="1500" w:type="dxa"/>
          </w:tcPr>
          <w:p w:rsidR="007C5447" w:rsidRDefault="00F6308C">
            <w:pPr>
              <w:pStyle w:val="TableParagraph"/>
              <w:spacing w:before="25"/>
              <w:ind w:right="97"/>
              <w:rPr>
                <w:b/>
                <w:sz w:val="20"/>
              </w:rPr>
            </w:pPr>
            <w:r>
              <w:rPr>
                <w:b/>
                <w:w w:val="95"/>
                <w:sz w:val="20"/>
              </w:rPr>
              <w:t>393.31</w:t>
            </w:r>
          </w:p>
        </w:tc>
        <w:tc>
          <w:tcPr>
            <w:tcW w:w="1500" w:type="dxa"/>
          </w:tcPr>
          <w:p w:rsidR="007C5447" w:rsidRDefault="00F6308C">
            <w:pPr>
              <w:pStyle w:val="TableParagraph"/>
              <w:spacing w:before="25"/>
              <w:ind w:right="97"/>
              <w:rPr>
                <w:b/>
                <w:sz w:val="20"/>
              </w:rPr>
            </w:pPr>
            <w:r>
              <w:rPr>
                <w:b/>
                <w:w w:val="95"/>
                <w:sz w:val="20"/>
              </w:rPr>
              <w:t>457.86</w:t>
            </w:r>
          </w:p>
        </w:tc>
        <w:tc>
          <w:tcPr>
            <w:tcW w:w="1531" w:type="dxa"/>
          </w:tcPr>
          <w:p w:rsidR="007C5447" w:rsidRDefault="00F6308C">
            <w:pPr>
              <w:pStyle w:val="TableParagraph"/>
              <w:spacing w:before="25"/>
              <w:ind w:right="94"/>
              <w:rPr>
                <w:b/>
                <w:sz w:val="20"/>
              </w:rPr>
            </w:pPr>
            <w:r>
              <w:rPr>
                <w:b/>
                <w:sz w:val="20"/>
              </w:rPr>
              <w:t>2.05</w:t>
            </w:r>
          </w:p>
        </w:tc>
        <w:tc>
          <w:tcPr>
            <w:tcW w:w="1529" w:type="dxa"/>
          </w:tcPr>
          <w:p w:rsidR="007C5447" w:rsidRDefault="00F6308C">
            <w:pPr>
              <w:pStyle w:val="TableParagraph"/>
              <w:spacing w:before="25"/>
              <w:ind w:right="96"/>
              <w:rPr>
                <w:b/>
                <w:sz w:val="20"/>
              </w:rPr>
            </w:pPr>
            <w:r>
              <w:rPr>
                <w:b/>
                <w:w w:val="95"/>
                <w:sz w:val="20"/>
              </w:rPr>
              <w:t>851.17</w:t>
            </w:r>
          </w:p>
        </w:tc>
        <w:tc>
          <w:tcPr>
            <w:tcW w:w="1876" w:type="dxa"/>
          </w:tcPr>
          <w:p w:rsidR="007C5447" w:rsidRDefault="00F6308C">
            <w:pPr>
              <w:pStyle w:val="TableParagraph"/>
              <w:spacing w:before="25"/>
              <w:ind w:right="95"/>
              <w:rPr>
                <w:b/>
                <w:sz w:val="20"/>
              </w:rPr>
            </w:pPr>
            <w:r>
              <w:rPr>
                <w:b/>
                <w:sz w:val="20"/>
              </w:rPr>
              <w:t>3.82</w:t>
            </w:r>
          </w:p>
        </w:tc>
      </w:tr>
      <w:tr w:rsidR="007C5447">
        <w:trPr>
          <w:trHeight w:val="280"/>
        </w:trPr>
        <w:tc>
          <w:tcPr>
            <w:tcW w:w="4719" w:type="dxa"/>
          </w:tcPr>
          <w:p w:rsidR="007C5447" w:rsidRDefault="00F6308C">
            <w:pPr>
              <w:pStyle w:val="TableParagraph"/>
              <w:spacing w:before="26"/>
              <w:ind w:left="107"/>
              <w:jc w:val="left"/>
              <w:rPr>
                <w:sz w:val="20"/>
              </w:rPr>
            </w:pPr>
            <w:r>
              <w:rPr>
                <w:sz w:val="20"/>
              </w:rPr>
              <w:t>Erode HEP</w:t>
            </w:r>
          </w:p>
        </w:tc>
        <w:tc>
          <w:tcPr>
            <w:tcW w:w="1519" w:type="dxa"/>
          </w:tcPr>
          <w:p w:rsidR="007C5447" w:rsidRDefault="00F6308C">
            <w:pPr>
              <w:pStyle w:val="TableParagraph"/>
              <w:spacing w:before="26"/>
              <w:ind w:right="97"/>
              <w:rPr>
                <w:sz w:val="20"/>
              </w:rPr>
            </w:pPr>
            <w:r>
              <w:rPr>
                <w:w w:val="95"/>
                <w:sz w:val="20"/>
              </w:rPr>
              <w:t>902.00</w:t>
            </w:r>
          </w:p>
        </w:tc>
        <w:tc>
          <w:tcPr>
            <w:tcW w:w="1500" w:type="dxa"/>
          </w:tcPr>
          <w:p w:rsidR="007C5447" w:rsidRDefault="00F6308C">
            <w:pPr>
              <w:pStyle w:val="TableParagraph"/>
              <w:spacing w:before="26"/>
              <w:ind w:right="97"/>
              <w:rPr>
                <w:sz w:val="20"/>
              </w:rPr>
            </w:pPr>
            <w:r>
              <w:rPr>
                <w:w w:val="95"/>
                <w:sz w:val="20"/>
              </w:rPr>
              <w:t>221.39</w:t>
            </w: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F6308C">
            <w:pPr>
              <w:pStyle w:val="TableParagraph"/>
              <w:spacing w:before="26"/>
              <w:ind w:right="96"/>
              <w:rPr>
                <w:sz w:val="20"/>
              </w:rPr>
            </w:pPr>
            <w:r>
              <w:rPr>
                <w:w w:val="95"/>
                <w:sz w:val="20"/>
              </w:rPr>
              <w:t>221.39</w:t>
            </w:r>
          </w:p>
        </w:tc>
        <w:tc>
          <w:tcPr>
            <w:tcW w:w="1876" w:type="dxa"/>
          </w:tcPr>
          <w:p w:rsidR="007C5447" w:rsidRDefault="00F6308C">
            <w:pPr>
              <w:pStyle w:val="TableParagraph"/>
              <w:spacing w:before="26"/>
              <w:ind w:right="95"/>
              <w:rPr>
                <w:sz w:val="20"/>
              </w:rPr>
            </w:pPr>
            <w:r>
              <w:rPr>
                <w:sz w:val="20"/>
              </w:rPr>
              <w:t>2.45</w:t>
            </w:r>
          </w:p>
        </w:tc>
      </w:tr>
      <w:tr w:rsidR="007C5447">
        <w:trPr>
          <w:trHeight w:val="277"/>
        </w:trPr>
        <w:tc>
          <w:tcPr>
            <w:tcW w:w="4719" w:type="dxa"/>
          </w:tcPr>
          <w:p w:rsidR="007C5447" w:rsidRDefault="00F6308C">
            <w:pPr>
              <w:pStyle w:val="TableParagraph"/>
              <w:spacing w:before="24"/>
              <w:ind w:left="107"/>
              <w:jc w:val="left"/>
              <w:rPr>
                <w:sz w:val="20"/>
              </w:rPr>
            </w:pPr>
            <w:r>
              <w:rPr>
                <w:sz w:val="20"/>
              </w:rPr>
              <w:t>Kadamparai HEP</w:t>
            </w:r>
          </w:p>
        </w:tc>
        <w:tc>
          <w:tcPr>
            <w:tcW w:w="1519" w:type="dxa"/>
          </w:tcPr>
          <w:p w:rsidR="007C5447" w:rsidRDefault="00F6308C">
            <w:pPr>
              <w:pStyle w:val="TableParagraph"/>
              <w:spacing w:before="24"/>
              <w:ind w:right="97"/>
              <w:rPr>
                <w:sz w:val="20"/>
              </w:rPr>
            </w:pPr>
            <w:r>
              <w:rPr>
                <w:w w:val="95"/>
                <w:sz w:val="20"/>
              </w:rPr>
              <w:t>558.56</w:t>
            </w:r>
          </w:p>
        </w:tc>
        <w:tc>
          <w:tcPr>
            <w:tcW w:w="1500" w:type="dxa"/>
          </w:tcPr>
          <w:p w:rsidR="007C5447" w:rsidRDefault="00F6308C">
            <w:pPr>
              <w:pStyle w:val="TableParagraph"/>
              <w:spacing w:before="24"/>
              <w:ind w:right="97"/>
              <w:rPr>
                <w:sz w:val="20"/>
              </w:rPr>
            </w:pPr>
            <w:r>
              <w:rPr>
                <w:w w:val="95"/>
                <w:sz w:val="20"/>
              </w:rPr>
              <w:t>78.22</w:t>
            </w: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F6308C">
            <w:pPr>
              <w:pStyle w:val="TableParagraph"/>
              <w:spacing w:before="24"/>
              <w:ind w:right="96"/>
              <w:rPr>
                <w:sz w:val="20"/>
              </w:rPr>
            </w:pPr>
            <w:r>
              <w:rPr>
                <w:w w:val="95"/>
                <w:sz w:val="20"/>
              </w:rPr>
              <w:t>78.22</w:t>
            </w:r>
          </w:p>
        </w:tc>
        <w:tc>
          <w:tcPr>
            <w:tcW w:w="1876" w:type="dxa"/>
          </w:tcPr>
          <w:p w:rsidR="007C5447" w:rsidRDefault="00F6308C">
            <w:pPr>
              <w:pStyle w:val="TableParagraph"/>
              <w:spacing w:before="24"/>
              <w:ind w:right="95"/>
              <w:rPr>
                <w:sz w:val="20"/>
              </w:rPr>
            </w:pPr>
            <w:r>
              <w:rPr>
                <w:sz w:val="20"/>
              </w:rPr>
              <w:t>1.40</w:t>
            </w:r>
          </w:p>
        </w:tc>
      </w:tr>
      <w:tr w:rsidR="007C5447">
        <w:trPr>
          <w:trHeight w:val="280"/>
        </w:trPr>
        <w:tc>
          <w:tcPr>
            <w:tcW w:w="4719" w:type="dxa"/>
          </w:tcPr>
          <w:p w:rsidR="007C5447" w:rsidRDefault="00F6308C">
            <w:pPr>
              <w:pStyle w:val="TableParagraph"/>
              <w:spacing w:before="24"/>
              <w:ind w:left="107"/>
              <w:jc w:val="left"/>
              <w:rPr>
                <w:sz w:val="20"/>
              </w:rPr>
            </w:pPr>
            <w:r>
              <w:rPr>
                <w:sz w:val="20"/>
              </w:rPr>
              <w:t>Kundah HEP</w:t>
            </w:r>
          </w:p>
        </w:tc>
        <w:tc>
          <w:tcPr>
            <w:tcW w:w="1519" w:type="dxa"/>
          </w:tcPr>
          <w:p w:rsidR="007C5447" w:rsidRDefault="00F6308C">
            <w:pPr>
              <w:pStyle w:val="TableParagraph"/>
              <w:spacing w:before="24"/>
              <w:ind w:right="95"/>
              <w:rPr>
                <w:sz w:val="20"/>
              </w:rPr>
            </w:pPr>
            <w:r>
              <w:rPr>
                <w:w w:val="95"/>
                <w:sz w:val="20"/>
              </w:rPr>
              <w:t>2,186.52</w:t>
            </w:r>
          </w:p>
        </w:tc>
        <w:tc>
          <w:tcPr>
            <w:tcW w:w="1500" w:type="dxa"/>
          </w:tcPr>
          <w:p w:rsidR="007C5447" w:rsidRDefault="00F6308C">
            <w:pPr>
              <w:pStyle w:val="TableParagraph"/>
              <w:spacing w:before="24"/>
              <w:ind w:right="97"/>
              <w:rPr>
                <w:sz w:val="20"/>
              </w:rPr>
            </w:pPr>
            <w:r>
              <w:rPr>
                <w:w w:val="95"/>
                <w:sz w:val="20"/>
              </w:rPr>
              <w:t>208.24</w:t>
            </w: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F6308C">
            <w:pPr>
              <w:pStyle w:val="TableParagraph"/>
              <w:spacing w:before="24"/>
              <w:ind w:right="96"/>
              <w:rPr>
                <w:sz w:val="20"/>
              </w:rPr>
            </w:pPr>
            <w:r>
              <w:rPr>
                <w:w w:val="95"/>
                <w:sz w:val="20"/>
              </w:rPr>
              <w:t>208.24</w:t>
            </w:r>
          </w:p>
        </w:tc>
        <w:tc>
          <w:tcPr>
            <w:tcW w:w="1876" w:type="dxa"/>
          </w:tcPr>
          <w:p w:rsidR="007C5447" w:rsidRDefault="00F6308C">
            <w:pPr>
              <w:pStyle w:val="TableParagraph"/>
              <w:spacing w:before="24"/>
              <w:ind w:right="95"/>
              <w:rPr>
                <w:sz w:val="20"/>
              </w:rPr>
            </w:pPr>
            <w:r>
              <w:rPr>
                <w:sz w:val="20"/>
              </w:rPr>
              <w:t>0.95</w:t>
            </w:r>
          </w:p>
        </w:tc>
      </w:tr>
    </w:tbl>
    <w:p w:rsidR="007C5447" w:rsidRDefault="007C5447">
      <w:pPr>
        <w:rPr>
          <w:sz w:val="20"/>
        </w:rPr>
        <w:sectPr w:rsidR="007C5447">
          <w:pgSz w:w="16840" w:h="11910" w:orient="landscape"/>
          <w:pgMar w:top="1100" w:right="1220" w:bottom="960" w:left="1220" w:header="0" w:footer="777" w:gutter="0"/>
          <w:cols w:space="720"/>
        </w:sectPr>
      </w:pPr>
    </w:p>
    <w:p w:rsidR="007C5447" w:rsidRDefault="007C5447">
      <w:pPr>
        <w:pStyle w:val="BodyText"/>
        <w:spacing w:before="3"/>
        <w:rPr>
          <w:sz w:val="2"/>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19"/>
        <w:gridCol w:w="1519"/>
        <w:gridCol w:w="1500"/>
        <w:gridCol w:w="1500"/>
        <w:gridCol w:w="1531"/>
        <w:gridCol w:w="1529"/>
        <w:gridCol w:w="1876"/>
      </w:tblGrid>
      <w:tr w:rsidR="007C5447">
        <w:trPr>
          <w:trHeight w:val="280"/>
        </w:trPr>
        <w:tc>
          <w:tcPr>
            <w:tcW w:w="4719" w:type="dxa"/>
            <w:vMerge w:val="restart"/>
            <w:shd w:val="clear" w:color="auto" w:fill="FBD4B4"/>
          </w:tcPr>
          <w:p w:rsidR="007C5447" w:rsidRDefault="007C5447">
            <w:pPr>
              <w:pStyle w:val="TableParagraph"/>
              <w:jc w:val="left"/>
            </w:pPr>
          </w:p>
          <w:p w:rsidR="007C5447" w:rsidRDefault="00F6308C">
            <w:pPr>
              <w:pStyle w:val="TableParagraph"/>
              <w:spacing w:before="153"/>
              <w:ind w:left="1711" w:right="1696"/>
              <w:jc w:val="center"/>
              <w:rPr>
                <w:b/>
                <w:sz w:val="20"/>
              </w:rPr>
            </w:pPr>
            <w:r>
              <w:rPr>
                <w:b/>
                <w:sz w:val="20"/>
              </w:rPr>
              <w:t>Source</w:t>
            </w:r>
          </w:p>
        </w:tc>
        <w:tc>
          <w:tcPr>
            <w:tcW w:w="9455" w:type="dxa"/>
            <w:gridSpan w:val="6"/>
            <w:shd w:val="clear" w:color="auto" w:fill="FBD4B4"/>
          </w:tcPr>
          <w:p w:rsidR="007C5447" w:rsidRDefault="00F6308C">
            <w:pPr>
              <w:pStyle w:val="TableParagraph"/>
              <w:spacing w:before="36" w:line="224" w:lineRule="exact"/>
              <w:ind w:left="4217" w:right="4193"/>
              <w:jc w:val="center"/>
              <w:rPr>
                <w:b/>
                <w:sz w:val="20"/>
              </w:rPr>
            </w:pPr>
            <w:r>
              <w:rPr>
                <w:b/>
                <w:sz w:val="20"/>
              </w:rPr>
              <w:t>FY 2013-14</w:t>
            </w:r>
          </w:p>
        </w:tc>
      </w:tr>
      <w:tr w:rsidR="007C5447">
        <w:trPr>
          <w:trHeight w:val="750"/>
        </w:trPr>
        <w:tc>
          <w:tcPr>
            <w:tcW w:w="4719" w:type="dxa"/>
            <w:vMerge/>
            <w:tcBorders>
              <w:top w:val="nil"/>
            </w:tcBorders>
            <w:shd w:val="clear" w:color="auto" w:fill="FBD4B4"/>
          </w:tcPr>
          <w:p w:rsidR="007C5447" w:rsidRDefault="007C5447">
            <w:pPr>
              <w:rPr>
                <w:sz w:val="2"/>
                <w:szCs w:val="2"/>
              </w:rPr>
            </w:pPr>
          </w:p>
        </w:tc>
        <w:tc>
          <w:tcPr>
            <w:tcW w:w="1519" w:type="dxa"/>
            <w:shd w:val="clear" w:color="auto" w:fill="FBD4B4"/>
          </w:tcPr>
          <w:p w:rsidR="007C5447" w:rsidRDefault="00F6308C">
            <w:pPr>
              <w:pStyle w:val="TableParagraph"/>
              <w:spacing w:before="146"/>
              <w:ind w:left="530" w:right="314" w:hanging="178"/>
              <w:jc w:val="left"/>
              <w:rPr>
                <w:b/>
                <w:sz w:val="20"/>
              </w:rPr>
            </w:pPr>
            <w:r>
              <w:rPr>
                <w:b/>
                <w:sz w:val="20"/>
              </w:rPr>
              <w:t>Quantum (MU)</w:t>
            </w:r>
          </w:p>
        </w:tc>
        <w:tc>
          <w:tcPr>
            <w:tcW w:w="1500" w:type="dxa"/>
            <w:shd w:val="clear" w:color="auto" w:fill="FBD4B4"/>
          </w:tcPr>
          <w:p w:rsidR="007C5447" w:rsidRDefault="00F6308C">
            <w:pPr>
              <w:pStyle w:val="TableParagraph"/>
              <w:spacing w:before="146"/>
              <w:ind w:left="384" w:right="95" w:hanging="248"/>
              <w:jc w:val="left"/>
              <w:rPr>
                <w:b/>
                <w:sz w:val="20"/>
              </w:rPr>
            </w:pPr>
            <w:r>
              <w:rPr>
                <w:b/>
                <w:sz w:val="20"/>
              </w:rPr>
              <w:t>Fixed Charges (Rs. Cr.)</w:t>
            </w:r>
          </w:p>
        </w:tc>
        <w:tc>
          <w:tcPr>
            <w:tcW w:w="1500" w:type="dxa"/>
            <w:shd w:val="clear" w:color="auto" w:fill="FBD4B4"/>
          </w:tcPr>
          <w:p w:rsidR="007C5447" w:rsidRDefault="00F6308C">
            <w:pPr>
              <w:pStyle w:val="TableParagraph"/>
              <w:spacing w:before="31"/>
              <w:ind w:left="272" w:right="250"/>
              <w:jc w:val="center"/>
              <w:rPr>
                <w:b/>
                <w:sz w:val="20"/>
              </w:rPr>
            </w:pPr>
            <w:r>
              <w:rPr>
                <w:b/>
                <w:sz w:val="20"/>
              </w:rPr>
              <w:t>Energy Charge (Rs. Crore)</w:t>
            </w:r>
          </w:p>
        </w:tc>
        <w:tc>
          <w:tcPr>
            <w:tcW w:w="1531" w:type="dxa"/>
            <w:shd w:val="clear" w:color="auto" w:fill="FBD4B4"/>
          </w:tcPr>
          <w:p w:rsidR="007C5447" w:rsidRDefault="00F6308C">
            <w:pPr>
              <w:pStyle w:val="TableParagraph"/>
              <w:spacing w:before="146"/>
              <w:ind w:left="351" w:right="77" w:hanging="233"/>
              <w:jc w:val="left"/>
              <w:rPr>
                <w:b/>
                <w:sz w:val="20"/>
              </w:rPr>
            </w:pPr>
            <w:r>
              <w:rPr>
                <w:b/>
                <w:sz w:val="20"/>
              </w:rPr>
              <w:t>Energy Charge (Rs./Unit)</w:t>
            </w:r>
          </w:p>
        </w:tc>
        <w:tc>
          <w:tcPr>
            <w:tcW w:w="1529" w:type="dxa"/>
            <w:shd w:val="clear" w:color="auto" w:fill="FBD4B4"/>
          </w:tcPr>
          <w:p w:rsidR="007C5447" w:rsidRDefault="00F6308C">
            <w:pPr>
              <w:pStyle w:val="TableParagraph"/>
              <w:spacing w:before="146"/>
              <w:ind w:left="426" w:right="282" w:hanging="104"/>
              <w:jc w:val="left"/>
              <w:rPr>
                <w:b/>
                <w:sz w:val="20"/>
              </w:rPr>
            </w:pPr>
            <w:r>
              <w:rPr>
                <w:b/>
                <w:sz w:val="20"/>
              </w:rPr>
              <w:t>Total Cost (Rs. Cr)</w:t>
            </w:r>
          </w:p>
        </w:tc>
        <w:tc>
          <w:tcPr>
            <w:tcW w:w="1876" w:type="dxa"/>
            <w:shd w:val="clear" w:color="auto" w:fill="FBD4B4"/>
          </w:tcPr>
          <w:p w:rsidR="007C5447" w:rsidRDefault="007C5447">
            <w:pPr>
              <w:pStyle w:val="TableParagraph"/>
              <w:spacing w:before="8"/>
              <w:jc w:val="left"/>
            </w:pPr>
          </w:p>
          <w:p w:rsidR="007C5447" w:rsidRDefault="00F6308C">
            <w:pPr>
              <w:pStyle w:val="TableParagraph"/>
              <w:spacing w:before="1"/>
              <w:ind w:left="301"/>
              <w:jc w:val="left"/>
              <w:rPr>
                <w:b/>
                <w:sz w:val="20"/>
              </w:rPr>
            </w:pPr>
            <w:r>
              <w:rPr>
                <w:b/>
                <w:sz w:val="20"/>
              </w:rPr>
              <w:t>Rate (Rs/kWh)</w:t>
            </w:r>
          </w:p>
        </w:tc>
      </w:tr>
      <w:tr w:rsidR="007C5447">
        <w:trPr>
          <w:trHeight w:val="280"/>
        </w:trPr>
        <w:tc>
          <w:tcPr>
            <w:tcW w:w="4719" w:type="dxa"/>
          </w:tcPr>
          <w:p w:rsidR="007C5447" w:rsidRDefault="00F6308C">
            <w:pPr>
              <w:pStyle w:val="TableParagraph"/>
              <w:spacing w:before="26"/>
              <w:ind w:left="112"/>
              <w:jc w:val="left"/>
              <w:rPr>
                <w:sz w:val="20"/>
              </w:rPr>
            </w:pPr>
            <w:r>
              <w:rPr>
                <w:sz w:val="20"/>
              </w:rPr>
              <w:t>Tirunelveli HEP</w:t>
            </w:r>
          </w:p>
        </w:tc>
        <w:tc>
          <w:tcPr>
            <w:tcW w:w="1519" w:type="dxa"/>
          </w:tcPr>
          <w:p w:rsidR="007C5447" w:rsidRDefault="00F6308C">
            <w:pPr>
              <w:pStyle w:val="TableParagraph"/>
              <w:spacing w:before="26"/>
              <w:ind w:right="92"/>
              <w:rPr>
                <w:sz w:val="20"/>
              </w:rPr>
            </w:pPr>
            <w:r>
              <w:rPr>
                <w:w w:val="95"/>
                <w:sz w:val="20"/>
              </w:rPr>
              <w:t>461.00</w:t>
            </w:r>
          </w:p>
        </w:tc>
        <w:tc>
          <w:tcPr>
            <w:tcW w:w="1500" w:type="dxa"/>
          </w:tcPr>
          <w:p w:rsidR="007C5447" w:rsidRDefault="00F6308C">
            <w:pPr>
              <w:pStyle w:val="TableParagraph"/>
              <w:spacing w:before="26"/>
              <w:ind w:right="92"/>
              <w:rPr>
                <w:sz w:val="20"/>
              </w:rPr>
            </w:pPr>
            <w:r>
              <w:rPr>
                <w:w w:val="95"/>
                <w:sz w:val="20"/>
              </w:rPr>
              <w:t>102.55</w:t>
            </w: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F6308C">
            <w:pPr>
              <w:pStyle w:val="TableParagraph"/>
              <w:spacing w:before="26"/>
              <w:ind w:right="91"/>
              <w:rPr>
                <w:sz w:val="20"/>
              </w:rPr>
            </w:pPr>
            <w:r>
              <w:rPr>
                <w:w w:val="95"/>
                <w:sz w:val="20"/>
              </w:rPr>
              <w:t>102.55</w:t>
            </w:r>
          </w:p>
        </w:tc>
        <w:tc>
          <w:tcPr>
            <w:tcW w:w="1876" w:type="dxa"/>
          </w:tcPr>
          <w:p w:rsidR="007C5447" w:rsidRDefault="00F6308C">
            <w:pPr>
              <w:pStyle w:val="TableParagraph"/>
              <w:spacing w:before="26"/>
              <w:ind w:right="90"/>
              <w:rPr>
                <w:sz w:val="20"/>
              </w:rPr>
            </w:pPr>
            <w:r>
              <w:rPr>
                <w:sz w:val="20"/>
              </w:rPr>
              <w:t>2.22</w:t>
            </w:r>
          </w:p>
        </w:tc>
      </w:tr>
      <w:tr w:rsidR="007C5447">
        <w:trPr>
          <w:trHeight w:val="277"/>
        </w:trPr>
        <w:tc>
          <w:tcPr>
            <w:tcW w:w="4719" w:type="dxa"/>
          </w:tcPr>
          <w:p w:rsidR="007C5447" w:rsidRDefault="00F6308C">
            <w:pPr>
              <w:pStyle w:val="TableParagraph"/>
              <w:spacing w:before="24"/>
              <w:ind w:left="1711" w:right="1692"/>
              <w:jc w:val="center"/>
              <w:rPr>
                <w:b/>
                <w:sz w:val="20"/>
              </w:rPr>
            </w:pPr>
            <w:r>
              <w:rPr>
                <w:b/>
                <w:sz w:val="20"/>
              </w:rPr>
              <w:t>Total Hydro</w:t>
            </w:r>
          </w:p>
        </w:tc>
        <w:tc>
          <w:tcPr>
            <w:tcW w:w="1519" w:type="dxa"/>
          </w:tcPr>
          <w:p w:rsidR="007C5447" w:rsidRDefault="00F6308C">
            <w:pPr>
              <w:pStyle w:val="TableParagraph"/>
              <w:spacing w:before="24"/>
              <w:ind w:right="90"/>
              <w:rPr>
                <w:b/>
                <w:sz w:val="20"/>
              </w:rPr>
            </w:pPr>
            <w:r>
              <w:rPr>
                <w:b/>
                <w:w w:val="95"/>
                <w:sz w:val="20"/>
              </w:rPr>
              <w:t>4,108.08</w:t>
            </w:r>
          </w:p>
        </w:tc>
        <w:tc>
          <w:tcPr>
            <w:tcW w:w="1500" w:type="dxa"/>
          </w:tcPr>
          <w:p w:rsidR="007C5447" w:rsidRDefault="00F6308C">
            <w:pPr>
              <w:pStyle w:val="TableParagraph"/>
              <w:spacing w:before="24"/>
              <w:ind w:right="92"/>
              <w:rPr>
                <w:b/>
                <w:sz w:val="20"/>
              </w:rPr>
            </w:pPr>
            <w:r>
              <w:rPr>
                <w:b/>
                <w:w w:val="95"/>
                <w:sz w:val="20"/>
              </w:rPr>
              <w:t>610.40</w:t>
            </w: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F6308C">
            <w:pPr>
              <w:pStyle w:val="TableParagraph"/>
              <w:spacing w:before="24"/>
              <w:ind w:right="91"/>
              <w:rPr>
                <w:b/>
                <w:sz w:val="20"/>
              </w:rPr>
            </w:pPr>
            <w:r>
              <w:rPr>
                <w:b/>
                <w:w w:val="95"/>
                <w:sz w:val="20"/>
              </w:rPr>
              <w:t>610.40</w:t>
            </w:r>
          </w:p>
        </w:tc>
        <w:tc>
          <w:tcPr>
            <w:tcW w:w="1876" w:type="dxa"/>
          </w:tcPr>
          <w:p w:rsidR="007C5447" w:rsidRDefault="00F6308C">
            <w:pPr>
              <w:pStyle w:val="TableParagraph"/>
              <w:spacing w:before="24"/>
              <w:ind w:right="90"/>
              <w:rPr>
                <w:b/>
                <w:sz w:val="20"/>
              </w:rPr>
            </w:pPr>
            <w:r>
              <w:rPr>
                <w:b/>
                <w:sz w:val="20"/>
              </w:rPr>
              <w:t>1.49</w:t>
            </w:r>
          </w:p>
        </w:tc>
      </w:tr>
      <w:tr w:rsidR="007C5447">
        <w:trPr>
          <w:trHeight w:val="280"/>
        </w:trPr>
        <w:tc>
          <w:tcPr>
            <w:tcW w:w="4719" w:type="dxa"/>
          </w:tcPr>
          <w:p w:rsidR="007C5447" w:rsidRDefault="00F6308C">
            <w:pPr>
              <w:pStyle w:val="TableParagraph"/>
              <w:spacing w:before="24"/>
              <w:ind w:left="112"/>
              <w:jc w:val="left"/>
              <w:rPr>
                <w:b/>
                <w:sz w:val="20"/>
              </w:rPr>
            </w:pPr>
            <w:r>
              <w:rPr>
                <w:b/>
                <w:sz w:val="20"/>
              </w:rPr>
              <w:t>Wind</w:t>
            </w:r>
          </w:p>
        </w:tc>
        <w:tc>
          <w:tcPr>
            <w:tcW w:w="1519" w:type="dxa"/>
          </w:tcPr>
          <w:p w:rsidR="007C5447" w:rsidRDefault="00F6308C">
            <w:pPr>
              <w:pStyle w:val="TableParagraph"/>
              <w:spacing w:before="24"/>
              <w:ind w:right="92"/>
              <w:rPr>
                <w:sz w:val="20"/>
              </w:rPr>
            </w:pPr>
            <w:r>
              <w:rPr>
                <w:w w:val="95"/>
                <w:sz w:val="20"/>
              </w:rPr>
              <w:t>12.58</w:t>
            </w:r>
          </w:p>
        </w:tc>
        <w:tc>
          <w:tcPr>
            <w:tcW w:w="1500" w:type="dxa"/>
          </w:tcPr>
          <w:p w:rsidR="007C5447" w:rsidRDefault="007C5447">
            <w:pPr>
              <w:pStyle w:val="TableParagraph"/>
              <w:jc w:val="left"/>
              <w:rPr>
                <w:sz w:val="20"/>
              </w:rPr>
            </w:pPr>
          </w:p>
        </w:tc>
        <w:tc>
          <w:tcPr>
            <w:tcW w:w="1500" w:type="dxa"/>
          </w:tcPr>
          <w:p w:rsidR="007C5447" w:rsidRDefault="00F6308C">
            <w:pPr>
              <w:pStyle w:val="TableParagraph"/>
              <w:spacing w:before="24"/>
              <w:ind w:right="89"/>
              <w:rPr>
                <w:sz w:val="20"/>
              </w:rPr>
            </w:pPr>
            <w:r>
              <w:rPr>
                <w:sz w:val="20"/>
              </w:rPr>
              <w:t>3.00</w:t>
            </w:r>
          </w:p>
        </w:tc>
        <w:tc>
          <w:tcPr>
            <w:tcW w:w="1531" w:type="dxa"/>
          </w:tcPr>
          <w:p w:rsidR="007C5447" w:rsidRDefault="007C5447">
            <w:pPr>
              <w:pStyle w:val="TableParagraph"/>
              <w:jc w:val="left"/>
              <w:rPr>
                <w:sz w:val="20"/>
              </w:rPr>
            </w:pPr>
          </w:p>
        </w:tc>
        <w:tc>
          <w:tcPr>
            <w:tcW w:w="1529" w:type="dxa"/>
          </w:tcPr>
          <w:p w:rsidR="007C5447" w:rsidRDefault="00F6308C">
            <w:pPr>
              <w:pStyle w:val="TableParagraph"/>
              <w:spacing w:before="24"/>
              <w:ind w:right="91"/>
              <w:rPr>
                <w:sz w:val="20"/>
              </w:rPr>
            </w:pPr>
            <w:r>
              <w:rPr>
                <w:sz w:val="20"/>
              </w:rPr>
              <w:t>3.00</w:t>
            </w:r>
          </w:p>
        </w:tc>
        <w:tc>
          <w:tcPr>
            <w:tcW w:w="1876" w:type="dxa"/>
          </w:tcPr>
          <w:p w:rsidR="007C5447" w:rsidRDefault="00F6308C">
            <w:pPr>
              <w:pStyle w:val="TableParagraph"/>
              <w:spacing w:before="24"/>
              <w:ind w:right="90"/>
              <w:rPr>
                <w:sz w:val="20"/>
              </w:rPr>
            </w:pPr>
            <w:r>
              <w:rPr>
                <w:sz w:val="20"/>
              </w:rPr>
              <w:t>2.38</w:t>
            </w:r>
          </w:p>
        </w:tc>
      </w:tr>
      <w:tr w:rsidR="007C5447">
        <w:trPr>
          <w:trHeight w:val="277"/>
        </w:trPr>
        <w:tc>
          <w:tcPr>
            <w:tcW w:w="4719" w:type="dxa"/>
          </w:tcPr>
          <w:p w:rsidR="007C5447" w:rsidRDefault="00F6308C">
            <w:pPr>
              <w:pStyle w:val="TableParagraph"/>
              <w:spacing w:before="24"/>
              <w:ind w:left="112"/>
              <w:jc w:val="left"/>
              <w:rPr>
                <w:b/>
                <w:sz w:val="20"/>
              </w:rPr>
            </w:pPr>
            <w:r>
              <w:rPr>
                <w:b/>
                <w:sz w:val="20"/>
              </w:rPr>
              <w:t>Total from Own Generating</w:t>
            </w:r>
          </w:p>
        </w:tc>
        <w:tc>
          <w:tcPr>
            <w:tcW w:w="1519" w:type="dxa"/>
          </w:tcPr>
          <w:p w:rsidR="007C5447" w:rsidRDefault="00F6308C">
            <w:pPr>
              <w:pStyle w:val="TableParagraph"/>
              <w:spacing w:before="24"/>
              <w:ind w:right="93"/>
              <w:rPr>
                <w:b/>
                <w:sz w:val="20"/>
              </w:rPr>
            </w:pPr>
            <w:r>
              <w:rPr>
                <w:b/>
                <w:w w:val="95"/>
                <w:sz w:val="20"/>
              </w:rPr>
              <w:t>26,103.52</w:t>
            </w:r>
          </w:p>
        </w:tc>
        <w:tc>
          <w:tcPr>
            <w:tcW w:w="1500" w:type="dxa"/>
          </w:tcPr>
          <w:p w:rsidR="007C5447" w:rsidRDefault="00F6308C">
            <w:pPr>
              <w:pStyle w:val="TableParagraph"/>
              <w:spacing w:before="24"/>
              <w:ind w:right="90"/>
              <w:rPr>
                <w:b/>
                <w:sz w:val="20"/>
              </w:rPr>
            </w:pPr>
            <w:r>
              <w:rPr>
                <w:b/>
                <w:w w:val="95"/>
                <w:sz w:val="20"/>
              </w:rPr>
              <w:t>2,718.57</w:t>
            </w:r>
          </w:p>
        </w:tc>
        <w:tc>
          <w:tcPr>
            <w:tcW w:w="1500" w:type="dxa"/>
          </w:tcPr>
          <w:p w:rsidR="007C5447" w:rsidRDefault="00F6308C">
            <w:pPr>
              <w:pStyle w:val="TableParagraph"/>
              <w:spacing w:before="24"/>
              <w:ind w:right="90"/>
              <w:rPr>
                <w:b/>
                <w:sz w:val="20"/>
              </w:rPr>
            </w:pPr>
            <w:r>
              <w:rPr>
                <w:b/>
                <w:w w:val="95"/>
                <w:sz w:val="20"/>
              </w:rPr>
              <w:t>6,057.73</w:t>
            </w:r>
          </w:p>
        </w:tc>
        <w:tc>
          <w:tcPr>
            <w:tcW w:w="1531" w:type="dxa"/>
          </w:tcPr>
          <w:p w:rsidR="007C5447" w:rsidRDefault="00F6308C">
            <w:pPr>
              <w:pStyle w:val="TableParagraph"/>
              <w:spacing w:before="24"/>
              <w:ind w:right="89"/>
              <w:rPr>
                <w:b/>
                <w:sz w:val="20"/>
              </w:rPr>
            </w:pPr>
            <w:r>
              <w:rPr>
                <w:b/>
                <w:sz w:val="20"/>
              </w:rPr>
              <w:t>2.32</w:t>
            </w:r>
          </w:p>
        </w:tc>
        <w:tc>
          <w:tcPr>
            <w:tcW w:w="1529" w:type="dxa"/>
          </w:tcPr>
          <w:p w:rsidR="007C5447" w:rsidRDefault="00F6308C">
            <w:pPr>
              <w:pStyle w:val="TableParagraph"/>
              <w:spacing w:before="24"/>
              <w:ind w:right="89"/>
              <w:rPr>
                <w:b/>
                <w:sz w:val="20"/>
              </w:rPr>
            </w:pPr>
            <w:r>
              <w:rPr>
                <w:b/>
                <w:w w:val="95"/>
                <w:sz w:val="20"/>
              </w:rPr>
              <w:t>8,776.29</w:t>
            </w:r>
          </w:p>
        </w:tc>
        <w:tc>
          <w:tcPr>
            <w:tcW w:w="1876" w:type="dxa"/>
          </w:tcPr>
          <w:p w:rsidR="007C5447" w:rsidRDefault="00F6308C">
            <w:pPr>
              <w:pStyle w:val="TableParagraph"/>
              <w:spacing w:before="24"/>
              <w:ind w:right="90"/>
              <w:rPr>
                <w:b/>
                <w:sz w:val="20"/>
              </w:rPr>
            </w:pPr>
            <w:r>
              <w:rPr>
                <w:b/>
                <w:sz w:val="20"/>
              </w:rPr>
              <w:t>3.36</w:t>
            </w:r>
          </w:p>
        </w:tc>
      </w:tr>
      <w:tr w:rsidR="007C5447">
        <w:trPr>
          <w:trHeight w:val="278"/>
        </w:trPr>
        <w:tc>
          <w:tcPr>
            <w:tcW w:w="4719" w:type="dxa"/>
          </w:tcPr>
          <w:p w:rsidR="007C5447" w:rsidRDefault="00F6308C">
            <w:pPr>
              <w:pStyle w:val="TableParagraph"/>
              <w:spacing w:before="24"/>
              <w:ind w:left="112"/>
              <w:jc w:val="left"/>
              <w:rPr>
                <w:b/>
                <w:sz w:val="20"/>
              </w:rPr>
            </w:pPr>
            <w:r>
              <w:rPr>
                <w:b/>
                <w:sz w:val="20"/>
              </w:rPr>
              <w:t>CGS</w:t>
            </w:r>
          </w:p>
        </w:tc>
        <w:tc>
          <w:tcPr>
            <w:tcW w:w="1519"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7C5447">
            <w:pPr>
              <w:pStyle w:val="TableParagraph"/>
              <w:jc w:val="left"/>
              <w:rPr>
                <w:sz w:val="20"/>
              </w:rPr>
            </w:pPr>
          </w:p>
        </w:tc>
        <w:tc>
          <w:tcPr>
            <w:tcW w:w="1876" w:type="dxa"/>
          </w:tcPr>
          <w:p w:rsidR="007C5447" w:rsidRDefault="007C5447">
            <w:pPr>
              <w:pStyle w:val="TableParagraph"/>
              <w:jc w:val="left"/>
              <w:rPr>
                <w:sz w:val="20"/>
              </w:rPr>
            </w:pPr>
          </w:p>
        </w:tc>
      </w:tr>
      <w:tr w:rsidR="007C5447">
        <w:trPr>
          <w:trHeight w:val="261"/>
        </w:trPr>
        <w:tc>
          <w:tcPr>
            <w:tcW w:w="4719" w:type="dxa"/>
            <w:tcBorders>
              <w:left w:val="single" w:sz="8" w:space="0" w:color="000000"/>
            </w:tcBorders>
          </w:tcPr>
          <w:p w:rsidR="007C5447" w:rsidRDefault="00F6308C">
            <w:pPr>
              <w:pStyle w:val="TableParagraph"/>
              <w:spacing w:before="17" w:line="224" w:lineRule="exact"/>
              <w:ind w:left="107"/>
              <w:jc w:val="left"/>
              <w:rPr>
                <w:sz w:val="20"/>
              </w:rPr>
            </w:pPr>
            <w:r>
              <w:rPr>
                <w:sz w:val="20"/>
              </w:rPr>
              <w:t>NTPC SR (Ramagundam) (I&amp;II)</w:t>
            </w:r>
          </w:p>
        </w:tc>
        <w:tc>
          <w:tcPr>
            <w:tcW w:w="1519" w:type="dxa"/>
          </w:tcPr>
          <w:p w:rsidR="007C5447" w:rsidRDefault="00F6308C">
            <w:pPr>
              <w:pStyle w:val="TableParagraph"/>
              <w:spacing w:before="17" w:line="224" w:lineRule="exact"/>
              <w:ind w:right="90"/>
              <w:rPr>
                <w:sz w:val="20"/>
              </w:rPr>
            </w:pPr>
            <w:r>
              <w:rPr>
                <w:w w:val="95"/>
                <w:sz w:val="20"/>
              </w:rPr>
              <w:t>4,005.14</w:t>
            </w:r>
          </w:p>
        </w:tc>
        <w:tc>
          <w:tcPr>
            <w:tcW w:w="1500" w:type="dxa"/>
          </w:tcPr>
          <w:p w:rsidR="007C5447" w:rsidRDefault="00F6308C">
            <w:pPr>
              <w:pStyle w:val="TableParagraph"/>
              <w:spacing w:before="17" w:line="224" w:lineRule="exact"/>
              <w:ind w:right="92"/>
              <w:rPr>
                <w:sz w:val="20"/>
              </w:rPr>
            </w:pPr>
            <w:r>
              <w:rPr>
                <w:w w:val="95"/>
                <w:sz w:val="20"/>
              </w:rPr>
              <w:t>253.07</w:t>
            </w:r>
          </w:p>
        </w:tc>
        <w:tc>
          <w:tcPr>
            <w:tcW w:w="1500" w:type="dxa"/>
          </w:tcPr>
          <w:p w:rsidR="007C5447" w:rsidRDefault="00F6308C">
            <w:pPr>
              <w:pStyle w:val="TableParagraph"/>
              <w:spacing w:before="17" w:line="224" w:lineRule="exact"/>
              <w:ind w:right="92"/>
              <w:rPr>
                <w:sz w:val="20"/>
              </w:rPr>
            </w:pPr>
            <w:r>
              <w:rPr>
                <w:w w:val="95"/>
                <w:sz w:val="20"/>
              </w:rPr>
              <w:t>837.93</w:t>
            </w:r>
          </w:p>
        </w:tc>
        <w:tc>
          <w:tcPr>
            <w:tcW w:w="1531" w:type="dxa"/>
          </w:tcPr>
          <w:p w:rsidR="007C5447" w:rsidRDefault="00F6308C">
            <w:pPr>
              <w:pStyle w:val="TableParagraph"/>
              <w:spacing w:before="17" w:line="224" w:lineRule="exact"/>
              <w:ind w:right="92"/>
              <w:rPr>
                <w:sz w:val="20"/>
              </w:rPr>
            </w:pPr>
            <w:r>
              <w:rPr>
                <w:sz w:val="20"/>
              </w:rPr>
              <w:t>2.09</w:t>
            </w:r>
          </w:p>
        </w:tc>
        <w:tc>
          <w:tcPr>
            <w:tcW w:w="1529" w:type="dxa"/>
          </w:tcPr>
          <w:p w:rsidR="007C5447" w:rsidRDefault="00F6308C">
            <w:pPr>
              <w:pStyle w:val="TableParagraph"/>
              <w:spacing w:before="17" w:line="224" w:lineRule="exact"/>
              <w:ind w:right="88"/>
              <w:rPr>
                <w:sz w:val="20"/>
              </w:rPr>
            </w:pPr>
            <w:r>
              <w:rPr>
                <w:sz w:val="20"/>
              </w:rPr>
              <w:t>1,091.00</w:t>
            </w:r>
          </w:p>
        </w:tc>
        <w:tc>
          <w:tcPr>
            <w:tcW w:w="1876" w:type="dxa"/>
          </w:tcPr>
          <w:p w:rsidR="007C5447" w:rsidRDefault="00F6308C">
            <w:pPr>
              <w:pStyle w:val="TableParagraph"/>
              <w:spacing w:before="17" w:line="224" w:lineRule="exact"/>
              <w:ind w:right="90"/>
              <w:rPr>
                <w:sz w:val="20"/>
              </w:rPr>
            </w:pPr>
            <w:r>
              <w:rPr>
                <w:sz w:val="20"/>
              </w:rPr>
              <w:t>2.72</w:t>
            </w:r>
          </w:p>
        </w:tc>
      </w:tr>
      <w:tr w:rsidR="007C5447">
        <w:trPr>
          <w:trHeight w:val="258"/>
        </w:trPr>
        <w:tc>
          <w:tcPr>
            <w:tcW w:w="4719" w:type="dxa"/>
            <w:tcBorders>
              <w:left w:val="single" w:sz="8" w:space="0" w:color="000000"/>
            </w:tcBorders>
          </w:tcPr>
          <w:p w:rsidR="007C5447" w:rsidRDefault="00F6308C">
            <w:pPr>
              <w:pStyle w:val="TableParagraph"/>
              <w:spacing w:before="14" w:line="224" w:lineRule="exact"/>
              <w:ind w:left="107"/>
              <w:jc w:val="left"/>
              <w:rPr>
                <w:sz w:val="20"/>
              </w:rPr>
            </w:pPr>
            <w:r>
              <w:rPr>
                <w:sz w:val="20"/>
              </w:rPr>
              <w:t>NTPC SR (Ramagundam) III</w:t>
            </w:r>
          </w:p>
        </w:tc>
        <w:tc>
          <w:tcPr>
            <w:tcW w:w="1519" w:type="dxa"/>
          </w:tcPr>
          <w:p w:rsidR="007C5447" w:rsidRDefault="00F6308C">
            <w:pPr>
              <w:pStyle w:val="TableParagraph"/>
              <w:spacing w:before="14" w:line="224" w:lineRule="exact"/>
              <w:ind w:right="90"/>
              <w:rPr>
                <w:sz w:val="20"/>
              </w:rPr>
            </w:pPr>
            <w:r>
              <w:rPr>
                <w:w w:val="95"/>
                <w:sz w:val="20"/>
              </w:rPr>
              <w:t>1,054.26</w:t>
            </w:r>
          </w:p>
        </w:tc>
        <w:tc>
          <w:tcPr>
            <w:tcW w:w="1500" w:type="dxa"/>
          </w:tcPr>
          <w:p w:rsidR="007C5447" w:rsidRDefault="00F6308C">
            <w:pPr>
              <w:pStyle w:val="TableParagraph"/>
              <w:spacing w:before="14" w:line="224" w:lineRule="exact"/>
              <w:ind w:right="92"/>
              <w:rPr>
                <w:sz w:val="20"/>
              </w:rPr>
            </w:pPr>
            <w:r>
              <w:rPr>
                <w:w w:val="95"/>
                <w:sz w:val="20"/>
              </w:rPr>
              <w:t>99.54</w:t>
            </w:r>
          </w:p>
        </w:tc>
        <w:tc>
          <w:tcPr>
            <w:tcW w:w="1500" w:type="dxa"/>
          </w:tcPr>
          <w:p w:rsidR="007C5447" w:rsidRDefault="00F6308C">
            <w:pPr>
              <w:pStyle w:val="TableParagraph"/>
              <w:spacing w:before="14" w:line="224" w:lineRule="exact"/>
              <w:ind w:right="92"/>
              <w:rPr>
                <w:sz w:val="20"/>
              </w:rPr>
            </w:pPr>
            <w:r>
              <w:rPr>
                <w:w w:val="95"/>
                <w:sz w:val="20"/>
              </w:rPr>
              <w:t>285.47</w:t>
            </w:r>
          </w:p>
        </w:tc>
        <w:tc>
          <w:tcPr>
            <w:tcW w:w="1531" w:type="dxa"/>
          </w:tcPr>
          <w:p w:rsidR="007C5447" w:rsidRDefault="00F6308C">
            <w:pPr>
              <w:pStyle w:val="TableParagraph"/>
              <w:spacing w:before="14" w:line="224" w:lineRule="exact"/>
              <w:ind w:right="92"/>
              <w:rPr>
                <w:sz w:val="20"/>
              </w:rPr>
            </w:pPr>
            <w:r>
              <w:rPr>
                <w:sz w:val="20"/>
              </w:rPr>
              <w:t>2.71</w:t>
            </w:r>
          </w:p>
        </w:tc>
        <w:tc>
          <w:tcPr>
            <w:tcW w:w="1529" w:type="dxa"/>
          </w:tcPr>
          <w:p w:rsidR="007C5447" w:rsidRDefault="00F6308C">
            <w:pPr>
              <w:pStyle w:val="TableParagraph"/>
              <w:spacing w:before="14" w:line="224" w:lineRule="exact"/>
              <w:ind w:right="91"/>
              <w:rPr>
                <w:sz w:val="20"/>
              </w:rPr>
            </w:pPr>
            <w:r>
              <w:rPr>
                <w:w w:val="95"/>
                <w:sz w:val="20"/>
              </w:rPr>
              <w:t>385.01</w:t>
            </w:r>
          </w:p>
        </w:tc>
        <w:tc>
          <w:tcPr>
            <w:tcW w:w="1876" w:type="dxa"/>
          </w:tcPr>
          <w:p w:rsidR="007C5447" w:rsidRDefault="00F6308C">
            <w:pPr>
              <w:pStyle w:val="TableParagraph"/>
              <w:spacing w:before="14" w:line="224" w:lineRule="exact"/>
              <w:ind w:right="90"/>
              <w:rPr>
                <w:sz w:val="20"/>
              </w:rPr>
            </w:pPr>
            <w:r>
              <w:rPr>
                <w:sz w:val="20"/>
              </w:rPr>
              <w:t>3.65</w:t>
            </w:r>
          </w:p>
        </w:tc>
      </w:tr>
      <w:tr w:rsidR="007C5447">
        <w:trPr>
          <w:trHeight w:val="261"/>
        </w:trPr>
        <w:tc>
          <w:tcPr>
            <w:tcW w:w="4719" w:type="dxa"/>
            <w:tcBorders>
              <w:left w:val="single" w:sz="8" w:space="0" w:color="000000"/>
            </w:tcBorders>
          </w:tcPr>
          <w:p w:rsidR="007C5447" w:rsidRDefault="00F6308C">
            <w:pPr>
              <w:pStyle w:val="TableParagraph"/>
              <w:spacing w:before="17" w:line="224" w:lineRule="exact"/>
              <w:ind w:left="107"/>
              <w:jc w:val="left"/>
              <w:rPr>
                <w:sz w:val="20"/>
              </w:rPr>
            </w:pPr>
            <w:r>
              <w:rPr>
                <w:sz w:val="20"/>
              </w:rPr>
              <w:t>NLC TS - I</w:t>
            </w:r>
          </w:p>
        </w:tc>
        <w:tc>
          <w:tcPr>
            <w:tcW w:w="1519" w:type="dxa"/>
          </w:tcPr>
          <w:p w:rsidR="007C5447" w:rsidRDefault="00F6308C">
            <w:pPr>
              <w:pStyle w:val="TableParagraph"/>
              <w:spacing w:before="17" w:line="224" w:lineRule="exact"/>
              <w:ind w:right="90"/>
              <w:rPr>
                <w:sz w:val="20"/>
              </w:rPr>
            </w:pPr>
            <w:r>
              <w:rPr>
                <w:w w:val="95"/>
                <w:sz w:val="20"/>
              </w:rPr>
              <w:t>3,271.10</w:t>
            </w:r>
          </w:p>
        </w:tc>
        <w:tc>
          <w:tcPr>
            <w:tcW w:w="1500" w:type="dxa"/>
          </w:tcPr>
          <w:p w:rsidR="007C5447" w:rsidRDefault="00F6308C">
            <w:pPr>
              <w:pStyle w:val="TableParagraph"/>
              <w:spacing w:before="17" w:line="224" w:lineRule="exact"/>
              <w:ind w:right="92"/>
              <w:rPr>
                <w:sz w:val="20"/>
              </w:rPr>
            </w:pPr>
            <w:r>
              <w:rPr>
                <w:w w:val="95"/>
                <w:sz w:val="20"/>
              </w:rPr>
              <w:t>285.24</w:t>
            </w:r>
          </w:p>
        </w:tc>
        <w:tc>
          <w:tcPr>
            <w:tcW w:w="1500" w:type="dxa"/>
          </w:tcPr>
          <w:p w:rsidR="007C5447" w:rsidRDefault="00F6308C">
            <w:pPr>
              <w:pStyle w:val="TableParagraph"/>
              <w:spacing w:before="17" w:line="224" w:lineRule="exact"/>
              <w:ind w:right="92"/>
              <w:rPr>
                <w:sz w:val="20"/>
              </w:rPr>
            </w:pPr>
            <w:r>
              <w:rPr>
                <w:w w:val="95"/>
                <w:sz w:val="20"/>
              </w:rPr>
              <w:t>841.76</w:t>
            </w:r>
          </w:p>
        </w:tc>
        <w:tc>
          <w:tcPr>
            <w:tcW w:w="1531" w:type="dxa"/>
          </w:tcPr>
          <w:p w:rsidR="007C5447" w:rsidRDefault="00F6308C">
            <w:pPr>
              <w:pStyle w:val="TableParagraph"/>
              <w:spacing w:before="17" w:line="224" w:lineRule="exact"/>
              <w:ind w:right="92"/>
              <w:rPr>
                <w:sz w:val="20"/>
              </w:rPr>
            </w:pPr>
            <w:r>
              <w:rPr>
                <w:sz w:val="20"/>
              </w:rPr>
              <w:t>2.57</w:t>
            </w:r>
          </w:p>
        </w:tc>
        <w:tc>
          <w:tcPr>
            <w:tcW w:w="1529" w:type="dxa"/>
          </w:tcPr>
          <w:p w:rsidR="007C5447" w:rsidRDefault="00F6308C">
            <w:pPr>
              <w:pStyle w:val="TableParagraph"/>
              <w:spacing w:before="17" w:line="224" w:lineRule="exact"/>
              <w:ind w:right="89"/>
              <w:rPr>
                <w:sz w:val="20"/>
              </w:rPr>
            </w:pPr>
            <w:r>
              <w:rPr>
                <w:w w:val="95"/>
                <w:sz w:val="20"/>
              </w:rPr>
              <w:t>1,127.00</w:t>
            </w:r>
          </w:p>
        </w:tc>
        <w:tc>
          <w:tcPr>
            <w:tcW w:w="1876" w:type="dxa"/>
          </w:tcPr>
          <w:p w:rsidR="007C5447" w:rsidRDefault="00F6308C">
            <w:pPr>
              <w:pStyle w:val="TableParagraph"/>
              <w:spacing w:before="17" w:line="224" w:lineRule="exact"/>
              <w:ind w:right="90"/>
              <w:rPr>
                <w:sz w:val="20"/>
              </w:rPr>
            </w:pPr>
            <w:r>
              <w:rPr>
                <w:sz w:val="20"/>
              </w:rPr>
              <w:t>3.45</w:t>
            </w:r>
          </w:p>
        </w:tc>
      </w:tr>
      <w:tr w:rsidR="007C5447">
        <w:trPr>
          <w:trHeight w:val="258"/>
        </w:trPr>
        <w:tc>
          <w:tcPr>
            <w:tcW w:w="4719" w:type="dxa"/>
            <w:tcBorders>
              <w:left w:val="single" w:sz="8" w:space="0" w:color="000000"/>
            </w:tcBorders>
          </w:tcPr>
          <w:p w:rsidR="007C5447" w:rsidRDefault="00F6308C">
            <w:pPr>
              <w:pStyle w:val="TableParagraph"/>
              <w:spacing w:before="14" w:line="224" w:lineRule="exact"/>
              <w:ind w:left="107"/>
              <w:jc w:val="left"/>
              <w:rPr>
                <w:sz w:val="20"/>
              </w:rPr>
            </w:pPr>
            <w:r>
              <w:rPr>
                <w:sz w:val="20"/>
              </w:rPr>
              <w:t>NLC TS - II</w:t>
            </w:r>
          </w:p>
        </w:tc>
        <w:tc>
          <w:tcPr>
            <w:tcW w:w="1519" w:type="dxa"/>
          </w:tcPr>
          <w:p w:rsidR="007C5447" w:rsidRDefault="00F6308C">
            <w:pPr>
              <w:pStyle w:val="TableParagraph"/>
              <w:spacing w:before="14" w:line="224" w:lineRule="exact"/>
              <w:ind w:right="90"/>
              <w:rPr>
                <w:sz w:val="20"/>
              </w:rPr>
            </w:pPr>
            <w:r>
              <w:rPr>
                <w:w w:val="95"/>
                <w:sz w:val="20"/>
              </w:rPr>
              <w:t>3,399.00</w:t>
            </w:r>
          </w:p>
        </w:tc>
        <w:tc>
          <w:tcPr>
            <w:tcW w:w="1500" w:type="dxa"/>
          </w:tcPr>
          <w:p w:rsidR="007C5447" w:rsidRDefault="00F6308C">
            <w:pPr>
              <w:pStyle w:val="TableParagraph"/>
              <w:spacing w:before="14" w:line="224" w:lineRule="exact"/>
              <w:ind w:right="92"/>
              <w:rPr>
                <w:sz w:val="20"/>
              </w:rPr>
            </w:pPr>
            <w:r>
              <w:rPr>
                <w:w w:val="95"/>
                <w:sz w:val="20"/>
              </w:rPr>
              <w:t>203.91</w:t>
            </w:r>
          </w:p>
        </w:tc>
        <w:tc>
          <w:tcPr>
            <w:tcW w:w="1500" w:type="dxa"/>
          </w:tcPr>
          <w:p w:rsidR="007C5447" w:rsidRDefault="00F6308C">
            <w:pPr>
              <w:pStyle w:val="TableParagraph"/>
              <w:spacing w:before="14" w:line="224" w:lineRule="exact"/>
              <w:ind w:right="92"/>
              <w:rPr>
                <w:sz w:val="20"/>
              </w:rPr>
            </w:pPr>
            <w:r>
              <w:rPr>
                <w:w w:val="95"/>
                <w:sz w:val="20"/>
              </w:rPr>
              <w:t>729.09</w:t>
            </w:r>
          </w:p>
        </w:tc>
        <w:tc>
          <w:tcPr>
            <w:tcW w:w="1531" w:type="dxa"/>
          </w:tcPr>
          <w:p w:rsidR="007C5447" w:rsidRDefault="00F6308C">
            <w:pPr>
              <w:pStyle w:val="TableParagraph"/>
              <w:spacing w:before="14" w:line="224" w:lineRule="exact"/>
              <w:ind w:right="92"/>
              <w:rPr>
                <w:sz w:val="20"/>
              </w:rPr>
            </w:pPr>
            <w:r>
              <w:rPr>
                <w:sz w:val="20"/>
              </w:rPr>
              <w:t>2.15</w:t>
            </w:r>
          </w:p>
        </w:tc>
        <w:tc>
          <w:tcPr>
            <w:tcW w:w="1529" w:type="dxa"/>
          </w:tcPr>
          <w:p w:rsidR="007C5447" w:rsidRDefault="00F6308C">
            <w:pPr>
              <w:pStyle w:val="TableParagraph"/>
              <w:spacing w:before="14" w:line="224" w:lineRule="exact"/>
              <w:ind w:right="91"/>
              <w:rPr>
                <w:sz w:val="20"/>
              </w:rPr>
            </w:pPr>
            <w:r>
              <w:rPr>
                <w:w w:val="95"/>
                <w:sz w:val="20"/>
              </w:rPr>
              <w:t>933.00</w:t>
            </w:r>
          </w:p>
        </w:tc>
        <w:tc>
          <w:tcPr>
            <w:tcW w:w="1876" w:type="dxa"/>
          </w:tcPr>
          <w:p w:rsidR="007C5447" w:rsidRDefault="00F6308C">
            <w:pPr>
              <w:pStyle w:val="TableParagraph"/>
              <w:spacing w:before="14" w:line="224" w:lineRule="exact"/>
              <w:ind w:right="90"/>
              <w:rPr>
                <w:sz w:val="20"/>
              </w:rPr>
            </w:pPr>
            <w:r>
              <w:rPr>
                <w:sz w:val="20"/>
              </w:rPr>
              <w:t>2.74</w:t>
            </w:r>
          </w:p>
        </w:tc>
      </w:tr>
      <w:tr w:rsidR="007C5447">
        <w:trPr>
          <w:trHeight w:val="261"/>
        </w:trPr>
        <w:tc>
          <w:tcPr>
            <w:tcW w:w="4719" w:type="dxa"/>
            <w:tcBorders>
              <w:left w:val="single" w:sz="8" w:space="0" w:color="000000"/>
            </w:tcBorders>
          </w:tcPr>
          <w:p w:rsidR="007C5447" w:rsidRDefault="00F6308C">
            <w:pPr>
              <w:pStyle w:val="TableParagraph"/>
              <w:spacing w:before="17" w:line="224" w:lineRule="exact"/>
              <w:ind w:left="107"/>
              <w:jc w:val="left"/>
              <w:rPr>
                <w:sz w:val="20"/>
              </w:rPr>
            </w:pPr>
            <w:r>
              <w:rPr>
                <w:sz w:val="20"/>
              </w:rPr>
              <w:t>NLC TS Expansion I</w:t>
            </w:r>
          </w:p>
        </w:tc>
        <w:tc>
          <w:tcPr>
            <w:tcW w:w="1519" w:type="dxa"/>
          </w:tcPr>
          <w:p w:rsidR="007C5447" w:rsidRDefault="00F6308C">
            <w:pPr>
              <w:pStyle w:val="TableParagraph"/>
              <w:spacing w:before="17" w:line="224" w:lineRule="exact"/>
              <w:ind w:right="90"/>
              <w:rPr>
                <w:sz w:val="20"/>
              </w:rPr>
            </w:pPr>
            <w:r>
              <w:rPr>
                <w:w w:val="95"/>
                <w:sz w:val="20"/>
              </w:rPr>
              <w:t>1,584.00</w:t>
            </w:r>
          </w:p>
        </w:tc>
        <w:tc>
          <w:tcPr>
            <w:tcW w:w="1500" w:type="dxa"/>
          </w:tcPr>
          <w:p w:rsidR="007C5447" w:rsidRDefault="00F6308C">
            <w:pPr>
              <w:pStyle w:val="TableParagraph"/>
              <w:spacing w:before="17" w:line="224" w:lineRule="exact"/>
              <w:ind w:right="93"/>
              <w:rPr>
                <w:sz w:val="20"/>
              </w:rPr>
            </w:pPr>
            <w:r>
              <w:rPr>
                <w:w w:val="95"/>
                <w:sz w:val="20"/>
              </w:rPr>
              <w:t>189.83</w:t>
            </w:r>
          </w:p>
        </w:tc>
        <w:tc>
          <w:tcPr>
            <w:tcW w:w="1500" w:type="dxa"/>
          </w:tcPr>
          <w:p w:rsidR="007C5447" w:rsidRDefault="00F6308C">
            <w:pPr>
              <w:pStyle w:val="TableParagraph"/>
              <w:spacing w:before="17" w:line="224" w:lineRule="exact"/>
              <w:ind w:right="92"/>
              <w:rPr>
                <w:sz w:val="20"/>
              </w:rPr>
            </w:pPr>
            <w:r>
              <w:rPr>
                <w:w w:val="95"/>
                <w:sz w:val="20"/>
              </w:rPr>
              <w:t>351.17</w:t>
            </w:r>
          </w:p>
        </w:tc>
        <w:tc>
          <w:tcPr>
            <w:tcW w:w="1531" w:type="dxa"/>
          </w:tcPr>
          <w:p w:rsidR="007C5447" w:rsidRDefault="00F6308C">
            <w:pPr>
              <w:pStyle w:val="TableParagraph"/>
              <w:spacing w:before="17" w:line="224" w:lineRule="exact"/>
              <w:ind w:right="92"/>
              <w:rPr>
                <w:sz w:val="20"/>
              </w:rPr>
            </w:pPr>
            <w:r>
              <w:rPr>
                <w:sz w:val="20"/>
              </w:rPr>
              <w:t>2.22</w:t>
            </w:r>
          </w:p>
        </w:tc>
        <w:tc>
          <w:tcPr>
            <w:tcW w:w="1529" w:type="dxa"/>
          </w:tcPr>
          <w:p w:rsidR="007C5447" w:rsidRDefault="00F6308C">
            <w:pPr>
              <w:pStyle w:val="TableParagraph"/>
              <w:spacing w:before="17" w:line="224" w:lineRule="exact"/>
              <w:ind w:right="91"/>
              <w:rPr>
                <w:sz w:val="20"/>
              </w:rPr>
            </w:pPr>
            <w:r>
              <w:rPr>
                <w:w w:val="95"/>
                <w:sz w:val="20"/>
              </w:rPr>
              <w:t>541.00</w:t>
            </w:r>
          </w:p>
        </w:tc>
        <w:tc>
          <w:tcPr>
            <w:tcW w:w="1876" w:type="dxa"/>
          </w:tcPr>
          <w:p w:rsidR="007C5447" w:rsidRDefault="00F6308C">
            <w:pPr>
              <w:pStyle w:val="TableParagraph"/>
              <w:spacing w:before="17" w:line="224" w:lineRule="exact"/>
              <w:ind w:right="90"/>
              <w:rPr>
                <w:sz w:val="20"/>
              </w:rPr>
            </w:pPr>
            <w:r>
              <w:rPr>
                <w:sz w:val="20"/>
              </w:rPr>
              <w:t>3.42</w:t>
            </w:r>
          </w:p>
        </w:tc>
      </w:tr>
      <w:tr w:rsidR="007C5447">
        <w:trPr>
          <w:trHeight w:val="258"/>
        </w:trPr>
        <w:tc>
          <w:tcPr>
            <w:tcW w:w="4719" w:type="dxa"/>
            <w:tcBorders>
              <w:left w:val="single" w:sz="8" w:space="0" w:color="000000"/>
            </w:tcBorders>
          </w:tcPr>
          <w:p w:rsidR="007C5447" w:rsidRDefault="00F6308C">
            <w:pPr>
              <w:pStyle w:val="TableParagraph"/>
              <w:spacing w:before="14" w:line="224" w:lineRule="exact"/>
              <w:ind w:left="107"/>
              <w:jc w:val="left"/>
              <w:rPr>
                <w:sz w:val="20"/>
              </w:rPr>
            </w:pPr>
            <w:r>
              <w:rPr>
                <w:sz w:val="20"/>
              </w:rPr>
              <w:t>NTPC Talcher</w:t>
            </w:r>
          </w:p>
        </w:tc>
        <w:tc>
          <w:tcPr>
            <w:tcW w:w="1519" w:type="dxa"/>
          </w:tcPr>
          <w:p w:rsidR="007C5447" w:rsidRDefault="00F6308C">
            <w:pPr>
              <w:pStyle w:val="TableParagraph"/>
              <w:spacing w:before="14" w:line="224" w:lineRule="exact"/>
              <w:ind w:right="90"/>
              <w:rPr>
                <w:sz w:val="20"/>
              </w:rPr>
            </w:pPr>
            <w:r>
              <w:rPr>
                <w:w w:val="95"/>
                <w:sz w:val="20"/>
              </w:rPr>
              <w:t>3,475.27</w:t>
            </w:r>
          </w:p>
        </w:tc>
        <w:tc>
          <w:tcPr>
            <w:tcW w:w="1500" w:type="dxa"/>
          </w:tcPr>
          <w:p w:rsidR="007C5447" w:rsidRDefault="00F6308C">
            <w:pPr>
              <w:pStyle w:val="TableParagraph"/>
              <w:spacing w:before="14" w:line="224" w:lineRule="exact"/>
              <w:ind w:right="92"/>
              <w:rPr>
                <w:sz w:val="20"/>
              </w:rPr>
            </w:pPr>
            <w:r>
              <w:rPr>
                <w:w w:val="95"/>
                <w:sz w:val="20"/>
              </w:rPr>
              <w:t>288.35</w:t>
            </w:r>
          </w:p>
        </w:tc>
        <w:tc>
          <w:tcPr>
            <w:tcW w:w="1500" w:type="dxa"/>
          </w:tcPr>
          <w:p w:rsidR="007C5447" w:rsidRDefault="00F6308C">
            <w:pPr>
              <w:pStyle w:val="TableParagraph"/>
              <w:spacing w:before="14" w:line="224" w:lineRule="exact"/>
              <w:ind w:right="92"/>
              <w:rPr>
                <w:sz w:val="20"/>
              </w:rPr>
            </w:pPr>
            <w:r>
              <w:rPr>
                <w:w w:val="95"/>
                <w:sz w:val="20"/>
              </w:rPr>
              <w:t>525.65</w:t>
            </w:r>
          </w:p>
        </w:tc>
        <w:tc>
          <w:tcPr>
            <w:tcW w:w="1531" w:type="dxa"/>
          </w:tcPr>
          <w:p w:rsidR="007C5447" w:rsidRDefault="00F6308C">
            <w:pPr>
              <w:pStyle w:val="TableParagraph"/>
              <w:spacing w:before="14" w:line="224" w:lineRule="exact"/>
              <w:ind w:right="92"/>
              <w:rPr>
                <w:sz w:val="20"/>
              </w:rPr>
            </w:pPr>
            <w:r>
              <w:rPr>
                <w:sz w:val="20"/>
              </w:rPr>
              <w:t>1.51</w:t>
            </w:r>
          </w:p>
        </w:tc>
        <w:tc>
          <w:tcPr>
            <w:tcW w:w="1529" w:type="dxa"/>
          </w:tcPr>
          <w:p w:rsidR="007C5447" w:rsidRDefault="00F6308C">
            <w:pPr>
              <w:pStyle w:val="TableParagraph"/>
              <w:spacing w:before="14" w:line="224" w:lineRule="exact"/>
              <w:ind w:right="91"/>
              <w:rPr>
                <w:sz w:val="20"/>
              </w:rPr>
            </w:pPr>
            <w:r>
              <w:rPr>
                <w:w w:val="95"/>
                <w:sz w:val="20"/>
              </w:rPr>
              <w:t>814.00</w:t>
            </w:r>
          </w:p>
        </w:tc>
        <w:tc>
          <w:tcPr>
            <w:tcW w:w="1876" w:type="dxa"/>
          </w:tcPr>
          <w:p w:rsidR="007C5447" w:rsidRDefault="00F6308C">
            <w:pPr>
              <w:pStyle w:val="TableParagraph"/>
              <w:spacing w:before="14" w:line="224" w:lineRule="exact"/>
              <w:ind w:right="90"/>
              <w:rPr>
                <w:sz w:val="20"/>
              </w:rPr>
            </w:pPr>
            <w:r>
              <w:rPr>
                <w:sz w:val="20"/>
              </w:rPr>
              <w:t>2.34</w:t>
            </w:r>
          </w:p>
        </w:tc>
      </w:tr>
      <w:tr w:rsidR="007C5447">
        <w:trPr>
          <w:trHeight w:val="261"/>
        </w:trPr>
        <w:tc>
          <w:tcPr>
            <w:tcW w:w="4719" w:type="dxa"/>
            <w:tcBorders>
              <w:left w:val="single" w:sz="8" w:space="0" w:color="000000"/>
            </w:tcBorders>
          </w:tcPr>
          <w:p w:rsidR="007C5447" w:rsidRDefault="00F6308C">
            <w:pPr>
              <w:pStyle w:val="TableParagraph"/>
              <w:spacing w:before="17" w:line="224" w:lineRule="exact"/>
              <w:ind w:left="107"/>
              <w:jc w:val="left"/>
              <w:rPr>
                <w:sz w:val="20"/>
              </w:rPr>
            </w:pPr>
            <w:r>
              <w:rPr>
                <w:sz w:val="20"/>
              </w:rPr>
              <w:t>NTPC Simhadri</w:t>
            </w:r>
          </w:p>
        </w:tc>
        <w:tc>
          <w:tcPr>
            <w:tcW w:w="1519" w:type="dxa"/>
          </w:tcPr>
          <w:p w:rsidR="007C5447" w:rsidRDefault="00F6308C">
            <w:pPr>
              <w:pStyle w:val="TableParagraph"/>
              <w:spacing w:before="17" w:line="224" w:lineRule="exact"/>
              <w:ind w:right="90"/>
              <w:rPr>
                <w:sz w:val="20"/>
              </w:rPr>
            </w:pPr>
            <w:r>
              <w:rPr>
                <w:w w:val="95"/>
                <w:sz w:val="20"/>
              </w:rPr>
              <w:t>1,571.86</w:t>
            </w:r>
          </w:p>
        </w:tc>
        <w:tc>
          <w:tcPr>
            <w:tcW w:w="1500" w:type="dxa"/>
          </w:tcPr>
          <w:p w:rsidR="007C5447" w:rsidRDefault="00F6308C">
            <w:pPr>
              <w:pStyle w:val="TableParagraph"/>
              <w:spacing w:before="17" w:line="224" w:lineRule="exact"/>
              <w:ind w:right="92"/>
              <w:rPr>
                <w:sz w:val="20"/>
              </w:rPr>
            </w:pPr>
            <w:r>
              <w:rPr>
                <w:w w:val="95"/>
                <w:sz w:val="20"/>
              </w:rPr>
              <w:t>273.57</w:t>
            </w:r>
          </w:p>
        </w:tc>
        <w:tc>
          <w:tcPr>
            <w:tcW w:w="1500" w:type="dxa"/>
          </w:tcPr>
          <w:p w:rsidR="007C5447" w:rsidRDefault="00F6308C">
            <w:pPr>
              <w:pStyle w:val="TableParagraph"/>
              <w:spacing w:before="17" w:line="224" w:lineRule="exact"/>
              <w:ind w:right="92"/>
              <w:rPr>
                <w:sz w:val="20"/>
              </w:rPr>
            </w:pPr>
            <w:r>
              <w:rPr>
                <w:w w:val="95"/>
                <w:sz w:val="20"/>
              </w:rPr>
              <w:t>369.78</w:t>
            </w:r>
          </w:p>
        </w:tc>
        <w:tc>
          <w:tcPr>
            <w:tcW w:w="1531" w:type="dxa"/>
          </w:tcPr>
          <w:p w:rsidR="007C5447" w:rsidRDefault="00F6308C">
            <w:pPr>
              <w:pStyle w:val="TableParagraph"/>
              <w:spacing w:before="17" w:line="224" w:lineRule="exact"/>
              <w:ind w:right="92"/>
              <w:rPr>
                <w:sz w:val="20"/>
              </w:rPr>
            </w:pPr>
            <w:r>
              <w:rPr>
                <w:sz w:val="20"/>
              </w:rPr>
              <w:t>2.35</w:t>
            </w:r>
          </w:p>
        </w:tc>
        <w:tc>
          <w:tcPr>
            <w:tcW w:w="1529" w:type="dxa"/>
          </w:tcPr>
          <w:p w:rsidR="007C5447" w:rsidRDefault="00F6308C">
            <w:pPr>
              <w:pStyle w:val="TableParagraph"/>
              <w:spacing w:before="17" w:line="224" w:lineRule="exact"/>
              <w:ind w:right="91"/>
              <w:rPr>
                <w:sz w:val="20"/>
              </w:rPr>
            </w:pPr>
            <w:r>
              <w:rPr>
                <w:w w:val="95"/>
                <w:sz w:val="20"/>
              </w:rPr>
              <w:t>643.34</w:t>
            </w:r>
          </w:p>
        </w:tc>
        <w:tc>
          <w:tcPr>
            <w:tcW w:w="1876" w:type="dxa"/>
          </w:tcPr>
          <w:p w:rsidR="007C5447" w:rsidRDefault="00F6308C">
            <w:pPr>
              <w:pStyle w:val="TableParagraph"/>
              <w:spacing w:before="17" w:line="224" w:lineRule="exact"/>
              <w:ind w:right="90"/>
              <w:rPr>
                <w:sz w:val="20"/>
              </w:rPr>
            </w:pPr>
            <w:r>
              <w:rPr>
                <w:sz w:val="20"/>
              </w:rPr>
              <w:t>4.09</w:t>
            </w:r>
          </w:p>
        </w:tc>
      </w:tr>
      <w:tr w:rsidR="007C5447">
        <w:trPr>
          <w:trHeight w:val="258"/>
        </w:trPr>
        <w:tc>
          <w:tcPr>
            <w:tcW w:w="4719" w:type="dxa"/>
            <w:tcBorders>
              <w:left w:val="single" w:sz="8" w:space="0" w:color="000000"/>
            </w:tcBorders>
          </w:tcPr>
          <w:p w:rsidR="007C5447" w:rsidRDefault="00F6308C">
            <w:pPr>
              <w:pStyle w:val="TableParagraph"/>
              <w:spacing w:before="14" w:line="224" w:lineRule="exact"/>
              <w:ind w:left="107"/>
              <w:jc w:val="left"/>
              <w:rPr>
                <w:sz w:val="20"/>
              </w:rPr>
            </w:pPr>
            <w:r>
              <w:rPr>
                <w:sz w:val="20"/>
              </w:rPr>
              <w:t>MAPS</w:t>
            </w:r>
          </w:p>
        </w:tc>
        <w:tc>
          <w:tcPr>
            <w:tcW w:w="1519" w:type="dxa"/>
          </w:tcPr>
          <w:p w:rsidR="007C5447" w:rsidRDefault="00F6308C">
            <w:pPr>
              <w:pStyle w:val="TableParagraph"/>
              <w:spacing w:before="14" w:line="224" w:lineRule="exact"/>
              <w:ind w:right="90"/>
              <w:rPr>
                <w:sz w:val="20"/>
              </w:rPr>
            </w:pPr>
            <w:r>
              <w:rPr>
                <w:w w:val="95"/>
                <w:sz w:val="20"/>
              </w:rPr>
              <w:t>1,332.06</w:t>
            </w:r>
          </w:p>
        </w:tc>
        <w:tc>
          <w:tcPr>
            <w:tcW w:w="1500" w:type="dxa"/>
          </w:tcPr>
          <w:p w:rsidR="007C5447" w:rsidRDefault="00F6308C">
            <w:pPr>
              <w:pStyle w:val="TableParagraph"/>
              <w:spacing w:before="14" w:line="224" w:lineRule="exact"/>
              <w:ind w:right="92"/>
              <w:rPr>
                <w:sz w:val="20"/>
              </w:rPr>
            </w:pPr>
            <w:r>
              <w:rPr>
                <w:w w:val="95"/>
                <w:sz w:val="20"/>
              </w:rPr>
              <w:t>53.94</w:t>
            </w:r>
          </w:p>
        </w:tc>
        <w:tc>
          <w:tcPr>
            <w:tcW w:w="1500" w:type="dxa"/>
          </w:tcPr>
          <w:p w:rsidR="007C5447" w:rsidRDefault="00F6308C">
            <w:pPr>
              <w:pStyle w:val="TableParagraph"/>
              <w:spacing w:before="14" w:line="224" w:lineRule="exact"/>
              <w:ind w:right="92"/>
              <w:rPr>
                <w:sz w:val="20"/>
              </w:rPr>
            </w:pPr>
            <w:r>
              <w:rPr>
                <w:w w:val="95"/>
                <w:sz w:val="20"/>
              </w:rPr>
              <w:t>272.06</w:t>
            </w:r>
          </w:p>
        </w:tc>
        <w:tc>
          <w:tcPr>
            <w:tcW w:w="1531" w:type="dxa"/>
          </w:tcPr>
          <w:p w:rsidR="007C5447" w:rsidRDefault="00F6308C">
            <w:pPr>
              <w:pStyle w:val="TableParagraph"/>
              <w:spacing w:before="14" w:line="224" w:lineRule="exact"/>
              <w:ind w:right="92"/>
              <w:rPr>
                <w:sz w:val="20"/>
              </w:rPr>
            </w:pPr>
            <w:r>
              <w:rPr>
                <w:sz w:val="20"/>
              </w:rPr>
              <w:t>2.04</w:t>
            </w:r>
          </w:p>
        </w:tc>
        <w:tc>
          <w:tcPr>
            <w:tcW w:w="1529" w:type="dxa"/>
          </w:tcPr>
          <w:p w:rsidR="007C5447" w:rsidRDefault="00F6308C">
            <w:pPr>
              <w:pStyle w:val="TableParagraph"/>
              <w:spacing w:before="14" w:line="224" w:lineRule="exact"/>
              <w:ind w:right="91"/>
              <w:rPr>
                <w:sz w:val="20"/>
              </w:rPr>
            </w:pPr>
            <w:r>
              <w:rPr>
                <w:w w:val="95"/>
                <w:sz w:val="20"/>
              </w:rPr>
              <w:t>326.00</w:t>
            </w:r>
          </w:p>
        </w:tc>
        <w:tc>
          <w:tcPr>
            <w:tcW w:w="1876" w:type="dxa"/>
          </w:tcPr>
          <w:p w:rsidR="007C5447" w:rsidRDefault="00F6308C">
            <w:pPr>
              <w:pStyle w:val="TableParagraph"/>
              <w:spacing w:before="14" w:line="224" w:lineRule="exact"/>
              <w:ind w:right="90"/>
              <w:rPr>
                <w:sz w:val="20"/>
              </w:rPr>
            </w:pPr>
            <w:r>
              <w:rPr>
                <w:sz w:val="20"/>
              </w:rPr>
              <w:t>2.45</w:t>
            </w:r>
          </w:p>
        </w:tc>
      </w:tr>
      <w:tr w:rsidR="007C5447">
        <w:trPr>
          <w:trHeight w:val="261"/>
        </w:trPr>
        <w:tc>
          <w:tcPr>
            <w:tcW w:w="4719" w:type="dxa"/>
            <w:tcBorders>
              <w:left w:val="single" w:sz="8" w:space="0" w:color="000000"/>
            </w:tcBorders>
          </w:tcPr>
          <w:p w:rsidR="007C5447" w:rsidRDefault="00F6308C">
            <w:pPr>
              <w:pStyle w:val="TableParagraph"/>
              <w:spacing w:before="17" w:line="224" w:lineRule="exact"/>
              <w:ind w:left="107"/>
              <w:jc w:val="left"/>
              <w:rPr>
                <w:sz w:val="20"/>
              </w:rPr>
            </w:pPr>
            <w:r>
              <w:rPr>
                <w:sz w:val="20"/>
              </w:rPr>
              <w:t>KAIGA</w:t>
            </w:r>
          </w:p>
        </w:tc>
        <w:tc>
          <w:tcPr>
            <w:tcW w:w="1519" w:type="dxa"/>
          </w:tcPr>
          <w:p w:rsidR="007C5447" w:rsidRDefault="00F6308C">
            <w:pPr>
              <w:pStyle w:val="TableParagraph"/>
              <w:spacing w:before="17" w:line="224" w:lineRule="exact"/>
              <w:ind w:right="90"/>
              <w:rPr>
                <w:sz w:val="20"/>
              </w:rPr>
            </w:pPr>
            <w:r>
              <w:rPr>
                <w:w w:val="95"/>
                <w:sz w:val="20"/>
              </w:rPr>
              <w:t>1,581.07</w:t>
            </w:r>
          </w:p>
        </w:tc>
        <w:tc>
          <w:tcPr>
            <w:tcW w:w="1500" w:type="dxa"/>
          </w:tcPr>
          <w:p w:rsidR="007C5447" w:rsidRDefault="00F6308C">
            <w:pPr>
              <w:pStyle w:val="TableParagraph"/>
              <w:spacing w:before="17" w:line="224" w:lineRule="exact"/>
              <w:ind w:right="90"/>
              <w:rPr>
                <w:sz w:val="20"/>
              </w:rPr>
            </w:pPr>
            <w:r>
              <w:rPr>
                <w:w w:val="95"/>
                <w:sz w:val="20"/>
              </w:rPr>
              <w:t>(0.49)</w:t>
            </w:r>
          </w:p>
        </w:tc>
        <w:tc>
          <w:tcPr>
            <w:tcW w:w="1500" w:type="dxa"/>
          </w:tcPr>
          <w:p w:rsidR="007C5447" w:rsidRDefault="00F6308C">
            <w:pPr>
              <w:pStyle w:val="TableParagraph"/>
              <w:spacing w:before="17" w:line="224" w:lineRule="exact"/>
              <w:ind w:right="90"/>
              <w:rPr>
                <w:sz w:val="20"/>
              </w:rPr>
            </w:pPr>
            <w:r>
              <w:rPr>
                <w:sz w:val="20"/>
              </w:rPr>
              <w:t>475.49</w:t>
            </w:r>
          </w:p>
        </w:tc>
        <w:tc>
          <w:tcPr>
            <w:tcW w:w="1531" w:type="dxa"/>
          </w:tcPr>
          <w:p w:rsidR="007C5447" w:rsidRDefault="00F6308C">
            <w:pPr>
              <w:pStyle w:val="TableParagraph"/>
              <w:spacing w:before="17" w:line="224" w:lineRule="exact"/>
              <w:ind w:right="92"/>
              <w:rPr>
                <w:sz w:val="20"/>
              </w:rPr>
            </w:pPr>
            <w:r>
              <w:rPr>
                <w:sz w:val="20"/>
              </w:rPr>
              <w:t>3.01</w:t>
            </w:r>
          </w:p>
        </w:tc>
        <w:tc>
          <w:tcPr>
            <w:tcW w:w="1529" w:type="dxa"/>
          </w:tcPr>
          <w:p w:rsidR="007C5447" w:rsidRDefault="00F6308C">
            <w:pPr>
              <w:pStyle w:val="TableParagraph"/>
              <w:spacing w:before="17" w:line="224" w:lineRule="exact"/>
              <w:ind w:right="91"/>
              <w:rPr>
                <w:sz w:val="20"/>
              </w:rPr>
            </w:pPr>
            <w:r>
              <w:rPr>
                <w:w w:val="95"/>
                <w:sz w:val="20"/>
              </w:rPr>
              <w:t>475.00</w:t>
            </w:r>
          </w:p>
        </w:tc>
        <w:tc>
          <w:tcPr>
            <w:tcW w:w="1876" w:type="dxa"/>
          </w:tcPr>
          <w:p w:rsidR="007C5447" w:rsidRDefault="00F6308C">
            <w:pPr>
              <w:pStyle w:val="TableParagraph"/>
              <w:spacing w:before="17" w:line="224" w:lineRule="exact"/>
              <w:ind w:right="90"/>
              <w:rPr>
                <w:sz w:val="20"/>
              </w:rPr>
            </w:pPr>
            <w:r>
              <w:rPr>
                <w:sz w:val="20"/>
              </w:rPr>
              <w:t>3.00</w:t>
            </w:r>
          </w:p>
        </w:tc>
      </w:tr>
      <w:tr w:rsidR="007C5447">
        <w:trPr>
          <w:trHeight w:val="259"/>
        </w:trPr>
        <w:tc>
          <w:tcPr>
            <w:tcW w:w="4719" w:type="dxa"/>
            <w:tcBorders>
              <w:left w:val="single" w:sz="8" w:space="0" w:color="000000"/>
            </w:tcBorders>
          </w:tcPr>
          <w:p w:rsidR="007C5447" w:rsidRDefault="00F6308C">
            <w:pPr>
              <w:pStyle w:val="TableParagraph"/>
              <w:spacing w:before="14" w:line="225" w:lineRule="exact"/>
              <w:ind w:left="107"/>
              <w:jc w:val="left"/>
              <w:rPr>
                <w:sz w:val="20"/>
              </w:rPr>
            </w:pPr>
            <w:r>
              <w:rPr>
                <w:sz w:val="20"/>
              </w:rPr>
              <w:t>NTPC ER</w:t>
            </w:r>
          </w:p>
        </w:tc>
        <w:tc>
          <w:tcPr>
            <w:tcW w:w="1519" w:type="dxa"/>
          </w:tcPr>
          <w:p w:rsidR="007C5447" w:rsidRDefault="00F6308C">
            <w:pPr>
              <w:pStyle w:val="TableParagraph"/>
              <w:spacing w:before="14" w:line="225" w:lineRule="exact"/>
              <w:ind w:right="92"/>
              <w:rPr>
                <w:sz w:val="20"/>
              </w:rPr>
            </w:pPr>
            <w:r>
              <w:rPr>
                <w:w w:val="95"/>
                <w:sz w:val="20"/>
              </w:rPr>
              <w:t>266.63</w:t>
            </w:r>
          </w:p>
        </w:tc>
        <w:tc>
          <w:tcPr>
            <w:tcW w:w="1500" w:type="dxa"/>
          </w:tcPr>
          <w:p w:rsidR="007C5447" w:rsidRDefault="00F6308C">
            <w:pPr>
              <w:pStyle w:val="TableParagraph"/>
              <w:spacing w:before="14" w:line="225" w:lineRule="exact"/>
              <w:ind w:right="92"/>
              <w:rPr>
                <w:sz w:val="20"/>
              </w:rPr>
            </w:pPr>
            <w:r>
              <w:rPr>
                <w:w w:val="95"/>
                <w:sz w:val="20"/>
              </w:rPr>
              <w:t>23.78</w:t>
            </w:r>
          </w:p>
        </w:tc>
        <w:tc>
          <w:tcPr>
            <w:tcW w:w="1500" w:type="dxa"/>
          </w:tcPr>
          <w:p w:rsidR="007C5447" w:rsidRDefault="00F6308C">
            <w:pPr>
              <w:pStyle w:val="TableParagraph"/>
              <w:spacing w:before="14" w:line="225" w:lineRule="exact"/>
              <w:ind w:right="92"/>
              <w:rPr>
                <w:sz w:val="20"/>
              </w:rPr>
            </w:pPr>
            <w:r>
              <w:rPr>
                <w:w w:val="95"/>
                <w:sz w:val="20"/>
              </w:rPr>
              <w:t>71.22</w:t>
            </w:r>
          </w:p>
        </w:tc>
        <w:tc>
          <w:tcPr>
            <w:tcW w:w="1531" w:type="dxa"/>
          </w:tcPr>
          <w:p w:rsidR="007C5447" w:rsidRDefault="00F6308C">
            <w:pPr>
              <w:pStyle w:val="TableParagraph"/>
              <w:spacing w:before="14" w:line="225" w:lineRule="exact"/>
              <w:ind w:right="92"/>
              <w:rPr>
                <w:sz w:val="20"/>
              </w:rPr>
            </w:pPr>
            <w:r>
              <w:rPr>
                <w:sz w:val="20"/>
              </w:rPr>
              <w:t>2.67</w:t>
            </w:r>
          </w:p>
        </w:tc>
        <w:tc>
          <w:tcPr>
            <w:tcW w:w="1529" w:type="dxa"/>
          </w:tcPr>
          <w:p w:rsidR="007C5447" w:rsidRDefault="00F6308C">
            <w:pPr>
              <w:pStyle w:val="TableParagraph"/>
              <w:spacing w:before="14" w:line="225" w:lineRule="exact"/>
              <w:ind w:right="91"/>
              <w:rPr>
                <w:sz w:val="20"/>
              </w:rPr>
            </w:pPr>
            <w:r>
              <w:rPr>
                <w:w w:val="95"/>
                <w:sz w:val="20"/>
              </w:rPr>
              <w:t>95.00</w:t>
            </w:r>
          </w:p>
        </w:tc>
        <w:tc>
          <w:tcPr>
            <w:tcW w:w="1876" w:type="dxa"/>
          </w:tcPr>
          <w:p w:rsidR="007C5447" w:rsidRDefault="00F6308C">
            <w:pPr>
              <w:pStyle w:val="TableParagraph"/>
              <w:spacing w:before="14" w:line="225" w:lineRule="exact"/>
              <w:ind w:right="90"/>
              <w:rPr>
                <w:sz w:val="20"/>
              </w:rPr>
            </w:pPr>
            <w:r>
              <w:rPr>
                <w:sz w:val="20"/>
              </w:rPr>
              <w:t>3.56</w:t>
            </w:r>
          </w:p>
        </w:tc>
      </w:tr>
      <w:tr w:rsidR="007C5447">
        <w:trPr>
          <w:trHeight w:val="261"/>
        </w:trPr>
        <w:tc>
          <w:tcPr>
            <w:tcW w:w="4719" w:type="dxa"/>
            <w:tcBorders>
              <w:left w:val="single" w:sz="8" w:space="0" w:color="000000"/>
            </w:tcBorders>
          </w:tcPr>
          <w:p w:rsidR="007C5447" w:rsidRDefault="00F6308C">
            <w:pPr>
              <w:pStyle w:val="TableParagraph"/>
              <w:spacing w:before="17" w:line="224" w:lineRule="exact"/>
              <w:ind w:left="107"/>
              <w:jc w:val="left"/>
              <w:rPr>
                <w:sz w:val="20"/>
              </w:rPr>
            </w:pPr>
            <w:r>
              <w:rPr>
                <w:sz w:val="20"/>
              </w:rPr>
              <w:t>NTPC Vallur Unit 1 &amp; Unit 2</w:t>
            </w:r>
          </w:p>
        </w:tc>
        <w:tc>
          <w:tcPr>
            <w:tcW w:w="1519" w:type="dxa"/>
          </w:tcPr>
          <w:p w:rsidR="007C5447" w:rsidRDefault="00F6308C">
            <w:pPr>
              <w:pStyle w:val="TableParagraph"/>
              <w:spacing w:before="17" w:line="224" w:lineRule="exact"/>
              <w:ind w:right="90"/>
              <w:rPr>
                <w:sz w:val="20"/>
              </w:rPr>
            </w:pPr>
            <w:r>
              <w:rPr>
                <w:w w:val="95"/>
                <w:sz w:val="20"/>
              </w:rPr>
              <w:t>2,558.00</w:t>
            </w:r>
          </w:p>
        </w:tc>
        <w:tc>
          <w:tcPr>
            <w:tcW w:w="1500" w:type="dxa"/>
          </w:tcPr>
          <w:p w:rsidR="007C5447" w:rsidRDefault="00F6308C">
            <w:pPr>
              <w:pStyle w:val="TableParagraph"/>
              <w:spacing w:before="17" w:line="224" w:lineRule="exact"/>
              <w:ind w:right="92"/>
              <w:rPr>
                <w:sz w:val="20"/>
              </w:rPr>
            </w:pPr>
            <w:r>
              <w:rPr>
                <w:w w:val="95"/>
                <w:sz w:val="20"/>
              </w:rPr>
              <w:t>624.79</w:t>
            </w:r>
          </w:p>
        </w:tc>
        <w:tc>
          <w:tcPr>
            <w:tcW w:w="1500" w:type="dxa"/>
          </w:tcPr>
          <w:p w:rsidR="007C5447" w:rsidRDefault="00F6308C">
            <w:pPr>
              <w:pStyle w:val="TableParagraph"/>
              <w:spacing w:before="17" w:line="224" w:lineRule="exact"/>
              <w:ind w:right="92"/>
              <w:rPr>
                <w:sz w:val="20"/>
              </w:rPr>
            </w:pPr>
            <w:r>
              <w:rPr>
                <w:w w:val="95"/>
                <w:sz w:val="20"/>
              </w:rPr>
              <w:t>543.80</w:t>
            </w:r>
          </w:p>
        </w:tc>
        <w:tc>
          <w:tcPr>
            <w:tcW w:w="1531" w:type="dxa"/>
          </w:tcPr>
          <w:p w:rsidR="007C5447" w:rsidRDefault="00F6308C">
            <w:pPr>
              <w:pStyle w:val="TableParagraph"/>
              <w:spacing w:before="17" w:line="224" w:lineRule="exact"/>
              <w:ind w:right="92"/>
              <w:rPr>
                <w:sz w:val="20"/>
              </w:rPr>
            </w:pPr>
            <w:r>
              <w:rPr>
                <w:sz w:val="20"/>
              </w:rPr>
              <w:t>2.13</w:t>
            </w:r>
          </w:p>
        </w:tc>
        <w:tc>
          <w:tcPr>
            <w:tcW w:w="1529" w:type="dxa"/>
          </w:tcPr>
          <w:p w:rsidR="007C5447" w:rsidRDefault="00F6308C">
            <w:pPr>
              <w:pStyle w:val="TableParagraph"/>
              <w:spacing w:before="17" w:line="224" w:lineRule="exact"/>
              <w:ind w:right="89"/>
              <w:rPr>
                <w:sz w:val="20"/>
              </w:rPr>
            </w:pPr>
            <w:r>
              <w:rPr>
                <w:w w:val="95"/>
                <w:sz w:val="20"/>
              </w:rPr>
              <w:t>1,168.59</w:t>
            </w:r>
          </w:p>
        </w:tc>
        <w:tc>
          <w:tcPr>
            <w:tcW w:w="1876" w:type="dxa"/>
          </w:tcPr>
          <w:p w:rsidR="007C5447" w:rsidRDefault="00F6308C">
            <w:pPr>
              <w:pStyle w:val="TableParagraph"/>
              <w:spacing w:before="17" w:line="224" w:lineRule="exact"/>
              <w:ind w:right="90"/>
              <w:rPr>
                <w:sz w:val="20"/>
              </w:rPr>
            </w:pPr>
            <w:r>
              <w:rPr>
                <w:sz w:val="20"/>
              </w:rPr>
              <w:t>4.57</w:t>
            </w:r>
          </w:p>
        </w:tc>
      </w:tr>
      <w:tr w:rsidR="007C5447">
        <w:trPr>
          <w:trHeight w:val="258"/>
        </w:trPr>
        <w:tc>
          <w:tcPr>
            <w:tcW w:w="4719" w:type="dxa"/>
            <w:tcBorders>
              <w:left w:val="single" w:sz="8" w:space="0" w:color="000000"/>
            </w:tcBorders>
          </w:tcPr>
          <w:p w:rsidR="007C5447" w:rsidRDefault="00F6308C">
            <w:pPr>
              <w:pStyle w:val="TableParagraph"/>
              <w:spacing w:before="14" w:line="224" w:lineRule="exact"/>
              <w:ind w:left="107"/>
              <w:jc w:val="left"/>
              <w:rPr>
                <w:sz w:val="20"/>
              </w:rPr>
            </w:pPr>
            <w:r>
              <w:rPr>
                <w:sz w:val="20"/>
              </w:rPr>
              <w:t>Kudankulum</w:t>
            </w:r>
          </w:p>
        </w:tc>
        <w:tc>
          <w:tcPr>
            <w:tcW w:w="1519" w:type="dxa"/>
          </w:tcPr>
          <w:p w:rsidR="007C5447" w:rsidRDefault="00F6308C">
            <w:pPr>
              <w:pStyle w:val="TableParagraph"/>
              <w:spacing w:before="14" w:line="224" w:lineRule="exact"/>
              <w:ind w:right="92"/>
              <w:rPr>
                <w:sz w:val="20"/>
              </w:rPr>
            </w:pPr>
            <w:r>
              <w:rPr>
                <w:w w:val="95"/>
                <w:sz w:val="20"/>
              </w:rPr>
              <w:t>462.00</w:t>
            </w:r>
          </w:p>
        </w:tc>
        <w:tc>
          <w:tcPr>
            <w:tcW w:w="1500" w:type="dxa"/>
          </w:tcPr>
          <w:p w:rsidR="007C5447" w:rsidRDefault="00F6308C">
            <w:pPr>
              <w:pStyle w:val="TableParagraph"/>
              <w:spacing w:before="14" w:line="224" w:lineRule="exact"/>
              <w:ind w:right="89"/>
              <w:rPr>
                <w:sz w:val="20"/>
              </w:rPr>
            </w:pPr>
            <w:r>
              <w:rPr>
                <w:w w:val="99"/>
                <w:sz w:val="20"/>
              </w:rPr>
              <w:t>-</w:t>
            </w:r>
          </w:p>
        </w:tc>
        <w:tc>
          <w:tcPr>
            <w:tcW w:w="1500" w:type="dxa"/>
          </w:tcPr>
          <w:p w:rsidR="007C5447" w:rsidRDefault="00F6308C">
            <w:pPr>
              <w:pStyle w:val="TableParagraph"/>
              <w:spacing w:before="14" w:line="224" w:lineRule="exact"/>
              <w:ind w:right="92"/>
              <w:rPr>
                <w:sz w:val="20"/>
              </w:rPr>
            </w:pPr>
            <w:r>
              <w:rPr>
                <w:w w:val="95"/>
                <w:sz w:val="20"/>
              </w:rPr>
              <w:t>475.00</w:t>
            </w:r>
          </w:p>
        </w:tc>
        <w:tc>
          <w:tcPr>
            <w:tcW w:w="1531" w:type="dxa"/>
          </w:tcPr>
          <w:p w:rsidR="007C5447" w:rsidRDefault="00F6308C">
            <w:pPr>
              <w:pStyle w:val="TableParagraph"/>
              <w:spacing w:before="14" w:line="224" w:lineRule="exact"/>
              <w:ind w:right="92"/>
              <w:rPr>
                <w:sz w:val="20"/>
              </w:rPr>
            </w:pPr>
            <w:r>
              <w:rPr>
                <w:w w:val="95"/>
                <w:sz w:val="20"/>
              </w:rPr>
              <w:t>10.28</w:t>
            </w:r>
          </w:p>
        </w:tc>
        <w:tc>
          <w:tcPr>
            <w:tcW w:w="1529" w:type="dxa"/>
          </w:tcPr>
          <w:p w:rsidR="007C5447" w:rsidRDefault="00F6308C">
            <w:pPr>
              <w:pStyle w:val="TableParagraph"/>
              <w:spacing w:before="14" w:line="224" w:lineRule="exact"/>
              <w:ind w:right="91"/>
              <w:rPr>
                <w:sz w:val="20"/>
              </w:rPr>
            </w:pPr>
            <w:r>
              <w:rPr>
                <w:w w:val="95"/>
                <w:sz w:val="20"/>
              </w:rPr>
              <w:t>475.00</w:t>
            </w:r>
          </w:p>
        </w:tc>
        <w:tc>
          <w:tcPr>
            <w:tcW w:w="1876" w:type="dxa"/>
          </w:tcPr>
          <w:p w:rsidR="007C5447" w:rsidRDefault="007C5447">
            <w:pPr>
              <w:pStyle w:val="TableParagraph"/>
              <w:jc w:val="left"/>
              <w:rPr>
                <w:sz w:val="18"/>
              </w:rPr>
            </w:pPr>
          </w:p>
        </w:tc>
      </w:tr>
      <w:tr w:rsidR="007C5447">
        <w:trPr>
          <w:trHeight w:val="280"/>
        </w:trPr>
        <w:tc>
          <w:tcPr>
            <w:tcW w:w="4719" w:type="dxa"/>
            <w:tcBorders>
              <w:left w:val="single" w:sz="8" w:space="0" w:color="000000"/>
            </w:tcBorders>
          </w:tcPr>
          <w:p w:rsidR="007C5447" w:rsidRDefault="00F6308C">
            <w:pPr>
              <w:pStyle w:val="TableParagraph"/>
              <w:spacing w:before="26"/>
              <w:ind w:left="107"/>
              <w:jc w:val="left"/>
              <w:rPr>
                <w:b/>
                <w:sz w:val="20"/>
              </w:rPr>
            </w:pPr>
            <w:r>
              <w:rPr>
                <w:b/>
                <w:sz w:val="20"/>
              </w:rPr>
              <w:t>Total CGS</w:t>
            </w:r>
          </w:p>
        </w:tc>
        <w:tc>
          <w:tcPr>
            <w:tcW w:w="1519" w:type="dxa"/>
          </w:tcPr>
          <w:p w:rsidR="007C5447" w:rsidRDefault="00F6308C">
            <w:pPr>
              <w:pStyle w:val="TableParagraph"/>
              <w:spacing w:before="26"/>
              <w:ind w:right="93"/>
              <w:rPr>
                <w:b/>
                <w:sz w:val="20"/>
              </w:rPr>
            </w:pPr>
            <w:r>
              <w:rPr>
                <w:b/>
                <w:w w:val="95"/>
                <w:sz w:val="20"/>
              </w:rPr>
              <w:t>24,560.40</w:t>
            </w:r>
          </w:p>
        </w:tc>
        <w:tc>
          <w:tcPr>
            <w:tcW w:w="1500" w:type="dxa"/>
          </w:tcPr>
          <w:p w:rsidR="007C5447" w:rsidRDefault="00F6308C">
            <w:pPr>
              <w:pStyle w:val="TableParagraph"/>
              <w:spacing w:before="26"/>
              <w:ind w:right="90"/>
              <w:rPr>
                <w:b/>
                <w:sz w:val="20"/>
              </w:rPr>
            </w:pPr>
            <w:r>
              <w:rPr>
                <w:b/>
                <w:w w:val="95"/>
                <w:sz w:val="20"/>
              </w:rPr>
              <w:t>2,295.53</w:t>
            </w:r>
          </w:p>
        </w:tc>
        <w:tc>
          <w:tcPr>
            <w:tcW w:w="1500" w:type="dxa"/>
          </w:tcPr>
          <w:p w:rsidR="007C5447" w:rsidRDefault="00F6308C">
            <w:pPr>
              <w:pStyle w:val="TableParagraph"/>
              <w:spacing w:before="26"/>
              <w:ind w:right="90"/>
              <w:rPr>
                <w:b/>
                <w:sz w:val="20"/>
              </w:rPr>
            </w:pPr>
            <w:r>
              <w:rPr>
                <w:b/>
                <w:w w:val="95"/>
                <w:sz w:val="20"/>
              </w:rPr>
              <w:t>5,778.41</w:t>
            </w:r>
          </w:p>
        </w:tc>
        <w:tc>
          <w:tcPr>
            <w:tcW w:w="1531" w:type="dxa"/>
          </w:tcPr>
          <w:p w:rsidR="007C5447" w:rsidRDefault="00F6308C">
            <w:pPr>
              <w:pStyle w:val="TableParagraph"/>
              <w:spacing w:before="26"/>
              <w:ind w:right="89"/>
              <w:rPr>
                <w:b/>
                <w:sz w:val="20"/>
              </w:rPr>
            </w:pPr>
            <w:r>
              <w:rPr>
                <w:b/>
                <w:sz w:val="20"/>
              </w:rPr>
              <w:t>2.35</w:t>
            </w:r>
          </w:p>
        </w:tc>
        <w:tc>
          <w:tcPr>
            <w:tcW w:w="1529" w:type="dxa"/>
          </w:tcPr>
          <w:p w:rsidR="007C5447" w:rsidRDefault="00F6308C">
            <w:pPr>
              <w:pStyle w:val="TableParagraph"/>
              <w:spacing w:before="26"/>
              <w:ind w:right="89"/>
              <w:rPr>
                <w:b/>
                <w:sz w:val="20"/>
              </w:rPr>
            </w:pPr>
            <w:r>
              <w:rPr>
                <w:b/>
                <w:w w:val="95"/>
                <w:sz w:val="20"/>
              </w:rPr>
              <w:t>8,073.95</w:t>
            </w:r>
          </w:p>
        </w:tc>
        <w:tc>
          <w:tcPr>
            <w:tcW w:w="1876" w:type="dxa"/>
          </w:tcPr>
          <w:p w:rsidR="007C5447" w:rsidRDefault="00F6308C">
            <w:pPr>
              <w:pStyle w:val="TableParagraph"/>
              <w:spacing w:before="26"/>
              <w:ind w:right="90"/>
              <w:rPr>
                <w:b/>
                <w:sz w:val="20"/>
              </w:rPr>
            </w:pPr>
            <w:r>
              <w:rPr>
                <w:b/>
                <w:sz w:val="20"/>
              </w:rPr>
              <w:t>3.29</w:t>
            </w:r>
          </w:p>
        </w:tc>
      </w:tr>
      <w:tr w:rsidR="007C5447">
        <w:trPr>
          <w:trHeight w:val="277"/>
        </w:trPr>
        <w:tc>
          <w:tcPr>
            <w:tcW w:w="4719" w:type="dxa"/>
            <w:tcBorders>
              <w:left w:val="single" w:sz="8" w:space="0" w:color="000000"/>
            </w:tcBorders>
          </w:tcPr>
          <w:p w:rsidR="007C5447" w:rsidRDefault="00F6308C">
            <w:pPr>
              <w:pStyle w:val="TableParagraph"/>
              <w:spacing w:before="24"/>
              <w:ind w:left="107"/>
              <w:jc w:val="left"/>
              <w:rPr>
                <w:b/>
                <w:sz w:val="20"/>
              </w:rPr>
            </w:pPr>
            <w:r>
              <w:rPr>
                <w:b/>
                <w:sz w:val="20"/>
              </w:rPr>
              <w:t>IPP</w:t>
            </w:r>
          </w:p>
        </w:tc>
        <w:tc>
          <w:tcPr>
            <w:tcW w:w="1519"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7C5447">
            <w:pPr>
              <w:pStyle w:val="TableParagraph"/>
              <w:jc w:val="left"/>
              <w:rPr>
                <w:sz w:val="20"/>
              </w:rPr>
            </w:pPr>
          </w:p>
        </w:tc>
        <w:tc>
          <w:tcPr>
            <w:tcW w:w="1876" w:type="dxa"/>
          </w:tcPr>
          <w:p w:rsidR="007C5447" w:rsidRDefault="007C5447">
            <w:pPr>
              <w:pStyle w:val="TableParagraph"/>
              <w:jc w:val="left"/>
              <w:rPr>
                <w:sz w:val="20"/>
              </w:rPr>
            </w:pPr>
          </w:p>
        </w:tc>
      </w:tr>
      <w:tr w:rsidR="007C5447">
        <w:trPr>
          <w:trHeight w:val="261"/>
        </w:trPr>
        <w:tc>
          <w:tcPr>
            <w:tcW w:w="4719" w:type="dxa"/>
            <w:tcBorders>
              <w:left w:val="single" w:sz="8" w:space="0" w:color="000000"/>
            </w:tcBorders>
          </w:tcPr>
          <w:p w:rsidR="007C5447" w:rsidRDefault="00F6308C">
            <w:pPr>
              <w:pStyle w:val="TableParagraph"/>
              <w:spacing w:before="14" w:line="227" w:lineRule="exact"/>
              <w:ind w:left="107"/>
              <w:jc w:val="left"/>
              <w:rPr>
                <w:sz w:val="20"/>
              </w:rPr>
            </w:pPr>
            <w:r>
              <w:rPr>
                <w:sz w:val="20"/>
              </w:rPr>
              <w:t>GMR Vasavi</w:t>
            </w:r>
          </w:p>
        </w:tc>
        <w:tc>
          <w:tcPr>
            <w:tcW w:w="1519" w:type="dxa"/>
          </w:tcPr>
          <w:p w:rsidR="007C5447" w:rsidRDefault="00F6308C">
            <w:pPr>
              <w:pStyle w:val="TableParagraph"/>
              <w:spacing w:before="14" w:line="227" w:lineRule="exact"/>
              <w:ind w:right="89"/>
              <w:rPr>
                <w:sz w:val="20"/>
              </w:rPr>
            </w:pPr>
            <w:r>
              <w:rPr>
                <w:w w:val="99"/>
                <w:sz w:val="20"/>
              </w:rPr>
              <w:t>-</w:t>
            </w:r>
          </w:p>
        </w:tc>
        <w:tc>
          <w:tcPr>
            <w:tcW w:w="1500" w:type="dxa"/>
          </w:tcPr>
          <w:p w:rsidR="007C5447" w:rsidRDefault="00F6308C">
            <w:pPr>
              <w:pStyle w:val="TableParagraph"/>
              <w:spacing w:before="14" w:line="227" w:lineRule="exact"/>
              <w:ind w:right="92"/>
              <w:rPr>
                <w:sz w:val="20"/>
              </w:rPr>
            </w:pPr>
            <w:r>
              <w:rPr>
                <w:w w:val="95"/>
                <w:sz w:val="20"/>
              </w:rPr>
              <w:t>154.04</w:t>
            </w:r>
          </w:p>
        </w:tc>
        <w:tc>
          <w:tcPr>
            <w:tcW w:w="1500" w:type="dxa"/>
          </w:tcPr>
          <w:p w:rsidR="007C5447" w:rsidRDefault="007C5447">
            <w:pPr>
              <w:pStyle w:val="TableParagraph"/>
              <w:jc w:val="left"/>
              <w:rPr>
                <w:sz w:val="18"/>
              </w:rPr>
            </w:pPr>
          </w:p>
        </w:tc>
        <w:tc>
          <w:tcPr>
            <w:tcW w:w="1531" w:type="dxa"/>
          </w:tcPr>
          <w:p w:rsidR="007C5447" w:rsidRDefault="00F6308C">
            <w:pPr>
              <w:pStyle w:val="TableParagraph"/>
              <w:spacing w:before="14" w:line="227" w:lineRule="exact"/>
              <w:ind w:right="91"/>
              <w:rPr>
                <w:sz w:val="20"/>
              </w:rPr>
            </w:pPr>
            <w:r>
              <w:rPr>
                <w:w w:val="99"/>
                <w:sz w:val="20"/>
              </w:rPr>
              <w:t>-</w:t>
            </w:r>
          </w:p>
        </w:tc>
        <w:tc>
          <w:tcPr>
            <w:tcW w:w="1529" w:type="dxa"/>
          </w:tcPr>
          <w:p w:rsidR="007C5447" w:rsidRDefault="00F6308C">
            <w:pPr>
              <w:pStyle w:val="TableParagraph"/>
              <w:spacing w:before="14" w:line="227" w:lineRule="exact"/>
              <w:ind w:right="91"/>
              <w:rPr>
                <w:sz w:val="20"/>
              </w:rPr>
            </w:pPr>
            <w:r>
              <w:rPr>
                <w:w w:val="95"/>
                <w:sz w:val="20"/>
              </w:rPr>
              <w:t>154.04</w:t>
            </w:r>
          </w:p>
        </w:tc>
        <w:tc>
          <w:tcPr>
            <w:tcW w:w="1876" w:type="dxa"/>
          </w:tcPr>
          <w:p w:rsidR="007C5447" w:rsidRDefault="00F6308C">
            <w:pPr>
              <w:pStyle w:val="TableParagraph"/>
              <w:spacing w:before="14" w:line="227" w:lineRule="exact"/>
              <w:ind w:right="89"/>
              <w:rPr>
                <w:sz w:val="20"/>
              </w:rPr>
            </w:pPr>
            <w:r>
              <w:rPr>
                <w:w w:val="99"/>
                <w:sz w:val="20"/>
              </w:rPr>
              <w:t>-</w:t>
            </w:r>
          </w:p>
        </w:tc>
      </w:tr>
      <w:tr w:rsidR="007C5447">
        <w:trPr>
          <w:trHeight w:val="258"/>
        </w:trPr>
        <w:tc>
          <w:tcPr>
            <w:tcW w:w="4719" w:type="dxa"/>
            <w:tcBorders>
              <w:left w:val="single" w:sz="8" w:space="0" w:color="000000"/>
            </w:tcBorders>
          </w:tcPr>
          <w:p w:rsidR="007C5447" w:rsidRDefault="00F6308C">
            <w:pPr>
              <w:pStyle w:val="TableParagraph"/>
              <w:spacing w:before="14" w:line="224" w:lineRule="exact"/>
              <w:ind w:left="107"/>
              <w:jc w:val="left"/>
              <w:rPr>
                <w:sz w:val="20"/>
              </w:rPr>
            </w:pPr>
            <w:r>
              <w:rPr>
                <w:sz w:val="20"/>
              </w:rPr>
              <w:t>Samalpatti</w:t>
            </w:r>
          </w:p>
        </w:tc>
        <w:tc>
          <w:tcPr>
            <w:tcW w:w="1519" w:type="dxa"/>
          </w:tcPr>
          <w:p w:rsidR="007C5447" w:rsidRDefault="00F6308C">
            <w:pPr>
              <w:pStyle w:val="TableParagraph"/>
              <w:spacing w:before="14" w:line="224" w:lineRule="exact"/>
              <w:ind w:right="89"/>
              <w:rPr>
                <w:sz w:val="20"/>
              </w:rPr>
            </w:pPr>
            <w:r>
              <w:rPr>
                <w:w w:val="99"/>
                <w:sz w:val="20"/>
              </w:rPr>
              <w:t>-</w:t>
            </w:r>
          </w:p>
        </w:tc>
        <w:tc>
          <w:tcPr>
            <w:tcW w:w="1500" w:type="dxa"/>
          </w:tcPr>
          <w:p w:rsidR="007C5447" w:rsidRDefault="00F6308C">
            <w:pPr>
              <w:pStyle w:val="TableParagraph"/>
              <w:spacing w:before="14" w:line="224" w:lineRule="exact"/>
              <w:ind w:right="92"/>
              <w:rPr>
                <w:sz w:val="20"/>
              </w:rPr>
            </w:pPr>
            <w:r>
              <w:rPr>
                <w:w w:val="95"/>
                <w:sz w:val="20"/>
              </w:rPr>
              <w:t>93.06</w:t>
            </w:r>
          </w:p>
        </w:tc>
        <w:tc>
          <w:tcPr>
            <w:tcW w:w="1500" w:type="dxa"/>
          </w:tcPr>
          <w:p w:rsidR="007C5447" w:rsidRDefault="007C5447">
            <w:pPr>
              <w:pStyle w:val="TableParagraph"/>
              <w:jc w:val="left"/>
              <w:rPr>
                <w:sz w:val="18"/>
              </w:rPr>
            </w:pPr>
          </w:p>
        </w:tc>
        <w:tc>
          <w:tcPr>
            <w:tcW w:w="1531" w:type="dxa"/>
          </w:tcPr>
          <w:p w:rsidR="007C5447" w:rsidRDefault="00F6308C">
            <w:pPr>
              <w:pStyle w:val="TableParagraph"/>
              <w:spacing w:before="14" w:line="224" w:lineRule="exact"/>
              <w:ind w:right="91"/>
              <w:rPr>
                <w:sz w:val="20"/>
              </w:rPr>
            </w:pPr>
            <w:r>
              <w:rPr>
                <w:w w:val="99"/>
                <w:sz w:val="20"/>
              </w:rPr>
              <w:t>-</w:t>
            </w:r>
          </w:p>
        </w:tc>
        <w:tc>
          <w:tcPr>
            <w:tcW w:w="1529" w:type="dxa"/>
          </w:tcPr>
          <w:p w:rsidR="007C5447" w:rsidRDefault="00F6308C">
            <w:pPr>
              <w:pStyle w:val="TableParagraph"/>
              <w:spacing w:before="14" w:line="224" w:lineRule="exact"/>
              <w:ind w:right="91"/>
              <w:rPr>
                <w:sz w:val="20"/>
              </w:rPr>
            </w:pPr>
            <w:r>
              <w:rPr>
                <w:w w:val="95"/>
                <w:sz w:val="20"/>
              </w:rPr>
              <w:t>93.06</w:t>
            </w:r>
          </w:p>
        </w:tc>
        <w:tc>
          <w:tcPr>
            <w:tcW w:w="1876" w:type="dxa"/>
          </w:tcPr>
          <w:p w:rsidR="007C5447" w:rsidRDefault="00F6308C">
            <w:pPr>
              <w:pStyle w:val="TableParagraph"/>
              <w:spacing w:before="14" w:line="224" w:lineRule="exact"/>
              <w:ind w:right="89"/>
              <w:rPr>
                <w:sz w:val="20"/>
              </w:rPr>
            </w:pPr>
            <w:r>
              <w:rPr>
                <w:w w:val="99"/>
                <w:sz w:val="20"/>
              </w:rPr>
              <w:t>-</w:t>
            </w:r>
          </w:p>
        </w:tc>
      </w:tr>
      <w:tr w:rsidR="007C5447">
        <w:trPr>
          <w:trHeight w:val="261"/>
        </w:trPr>
        <w:tc>
          <w:tcPr>
            <w:tcW w:w="4719" w:type="dxa"/>
            <w:tcBorders>
              <w:left w:val="single" w:sz="8" w:space="0" w:color="000000"/>
            </w:tcBorders>
          </w:tcPr>
          <w:p w:rsidR="007C5447" w:rsidRDefault="00F6308C">
            <w:pPr>
              <w:pStyle w:val="TableParagraph"/>
              <w:spacing w:before="14" w:line="227" w:lineRule="exact"/>
              <w:ind w:left="107"/>
              <w:jc w:val="left"/>
              <w:rPr>
                <w:sz w:val="20"/>
              </w:rPr>
            </w:pPr>
            <w:r>
              <w:rPr>
                <w:sz w:val="20"/>
              </w:rPr>
              <w:t>Madurai Power Corpn</w:t>
            </w:r>
          </w:p>
        </w:tc>
        <w:tc>
          <w:tcPr>
            <w:tcW w:w="1519" w:type="dxa"/>
          </w:tcPr>
          <w:p w:rsidR="007C5447" w:rsidRDefault="00F6308C">
            <w:pPr>
              <w:pStyle w:val="TableParagraph"/>
              <w:spacing w:before="14" w:line="227" w:lineRule="exact"/>
              <w:ind w:right="89"/>
              <w:rPr>
                <w:sz w:val="20"/>
              </w:rPr>
            </w:pPr>
            <w:r>
              <w:rPr>
                <w:w w:val="99"/>
                <w:sz w:val="20"/>
              </w:rPr>
              <w:t>-</w:t>
            </w:r>
          </w:p>
        </w:tc>
        <w:tc>
          <w:tcPr>
            <w:tcW w:w="1500" w:type="dxa"/>
          </w:tcPr>
          <w:p w:rsidR="007C5447" w:rsidRDefault="00F6308C">
            <w:pPr>
              <w:pStyle w:val="TableParagraph"/>
              <w:spacing w:before="14" w:line="227" w:lineRule="exact"/>
              <w:ind w:right="92"/>
              <w:rPr>
                <w:sz w:val="20"/>
              </w:rPr>
            </w:pPr>
            <w:r>
              <w:rPr>
                <w:w w:val="95"/>
                <w:sz w:val="20"/>
              </w:rPr>
              <w:t>110.55</w:t>
            </w:r>
          </w:p>
        </w:tc>
        <w:tc>
          <w:tcPr>
            <w:tcW w:w="1500" w:type="dxa"/>
          </w:tcPr>
          <w:p w:rsidR="007C5447" w:rsidRDefault="007C5447">
            <w:pPr>
              <w:pStyle w:val="TableParagraph"/>
              <w:jc w:val="left"/>
              <w:rPr>
                <w:sz w:val="18"/>
              </w:rPr>
            </w:pPr>
          </w:p>
        </w:tc>
        <w:tc>
          <w:tcPr>
            <w:tcW w:w="1531" w:type="dxa"/>
          </w:tcPr>
          <w:p w:rsidR="007C5447" w:rsidRDefault="00F6308C">
            <w:pPr>
              <w:pStyle w:val="TableParagraph"/>
              <w:spacing w:before="14" w:line="227" w:lineRule="exact"/>
              <w:ind w:right="91"/>
              <w:rPr>
                <w:sz w:val="20"/>
              </w:rPr>
            </w:pPr>
            <w:r>
              <w:rPr>
                <w:w w:val="99"/>
                <w:sz w:val="20"/>
              </w:rPr>
              <w:t>-</w:t>
            </w:r>
          </w:p>
        </w:tc>
        <w:tc>
          <w:tcPr>
            <w:tcW w:w="1529" w:type="dxa"/>
          </w:tcPr>
          <w:p w:rsidR="007C5447" w:rsidRDefault="00F6308C">
            <w:pPr>
              <w:pStyle w:val="TableParagraph"/>
              <w:spacing w:before="14" w:line="227" w:lineRule="exact"/>
              <w:ind w:right="91"/>
              <w:rPr>
                <w:sz w:val="20"/>
              </w:rPr>
            </w:pPr>
            <w:r>
              <w:rPr>
                <w:w w:val="95"/>
                <w:sz w:val="20"/>
              </w:rPr>
              <w:t>110.55</w:t>
            </w:r>
          </w:p>
        </w:tc>
        <w:tc>
          <w:tcPr>
            <w:tcW w:w="1876" w:type="dxa"/>
          </w:tcPr>
          <w:p w:rsidR="007C5447" w:rsidRDefault="00F6308C">
            <w:pPr>
              <w:pStyle w:val="TableParagraph"/>
              <w:spacing w:before="14" w:line="227" w:lineRule="exact"/>
              <w:ind w:right="89"/>
              <w:rPr>
                <w:sz w:val="20"/>
              </w:rPr>
            </w:pPr>
            <w:r>
              <w:rPr>
                <w:w w:val="99"/>
                <w:sz w:val="20"/>
              </w:rPr>
              <w:t>-</w:t>
            </w:r>
          </w:p>
        </w:tc>
      </w:tr>
      <w:tr w:rsidR="007C5447">
        <w:trPr>
          <w:trHeight w:val="258"/>
        </w:trPr>
        <w:tc>
          <w:tcPr>
            <w:tcW w:w="4719" w:type="dxa"/>
            <w:tcBorders>
              <w:left w:val="single" w:sz="8" w:space="0" w:color="000000"/>
            </w:tcBorders>
          </w:tcPr>
          <w:p w:rsidR="007C5447" w:rsidRDefault="00F6308C">
            <w:pPr>
              <w:pStyle w:val="TableParagraph"/>
              <w:spacing w:before="14" w:line="224" w:lineRule="exact"/>
              <w:ind w:left="107"/>
              <w:jc w:val="left"/>
              <w:rPr>
                <w:sz w:val="20"/>
              </w:rPr>
            </w:pPr>
            <w:r>
              <w:rPr>
                <w:sz w:val="20"/>
              </w:rPr>
              <w:t>PPN</w:t>
            </w:r>
          </w:p>
        </w:tc>
        <w:tc>
          <w:tcPr>
            <w:tcW w:w="1519" w:type="dxa"/>
          </w:tcPr>
          <w:p w:rsidR="007C5447" w:rsidRDefault="00F6308C">
            <w:pPr>
              <w:pStyle w:val="TableParagraph"/>
              <w:spacing w:before="14" w:line="224" w:lineRule="exact"/>
              <w:ind w:right="92"/>
              <w:rPr>
                <w:sz w:val="20"/>
              </w:rPr>
            </w:pPr>
            <w:r>
              <w:rPr>
                <w:w w:val="95"/>
                <w:sz w:val="20"/>
              </w:rPr>
              <w:t>162.92</w:t>
            </w:r>
          </w:p>
        </w:tc>
        <w:tc>
          <w:tcPr>
            <w:tcW w:w="1500" w:type="dxa"/>
          </w:tcPr>
          <w:p w:rsidR="007C5447" w:rsidRDefault="00F6308C">
            <w:pPr>
              <w:pStyle w:val="TableParagraph"/>
              <w:spacing w:before="14" w:line="224" w:lineRule="exact"/>
              <w:ind w:right="92"/>
              <w:rPr>
                <w:sz w:val="20"/>
              </w:rPr>
            </w:pPr>
            <w:r>
              <w:rPr>
                <w:w w:val="95"/>
                <w:sz w:val="20"/>
              </w:rPr>
              <w:t>85.34</w:t>
            </w:r>
          </w:p>
        </w:tc>
        <w:tc>
          <w:tcPr>
            <w:tcW w:w="1500" w:type="dxa"/>
          </w:tcPr>
          <w:p w:rsidR="007C5447" w:rsidRDefault="00F6308C">
            <w:pPr>
              <w:pStyle w:val="TableParagraph"/>
              <w:spacing w:before="14" w:line="224" w:lineRule="exact"/>
              <w:ind w:right="90"/>
              <w:rPr>
                <w:sz w:val="20"/>
              </w:rPr>
            </w:pPr>
            <w:r>
              <w:rPr>
                <w:w w:val="95"/>
                <w:sz w:val="20"/>
              </w:rPr>
              <w:t>139.30</w:t>
            </w:r>
          </w:p>
        </w:tc>
        <w:tc>
          <w:tcPr>
            <w:tcW w:w="1531" w:type="dxa"/>
          </w:tcPr>
          <w:p w:rsidR="007C5447" w:rsidRDefault="00F6308C">
            <w:pPr>
              <w:pStyle w:val="TableParagraph"/>
              <w:spacing w:before="14" w:line="224" w:lineRule="exact"/>
              <w:ind w:right="89"/>
              <w:rPr>
                <w:sz w:val="20"/>
              </w:rPr>
            </w:pPr>
            <w:r>
              <w:rPr>
                <w:sz w:val="20"/>
              </w:rPr>
              <w:t>8.55</w:t>
            </w:r>
          </w:p>
        </w:tc>
        <w:tc>
          <w:tcPr>
            <w:tcW w:w="1529" w:type="dxa"/>
          </w:tcPr>
          <w:p w:rsidR="007C5447" w:rsidRDefault="00F6308C">
            <w:pPr>
              <w:pStyle w:val="TableParagraph"/>
              <w:spacing w:before="14" w:line="224" w:lineRule="exact"/>
              <w:ind w:right="89"/>
              <w:rPr>
                <w:sz w:val="20"/>
              </w:rPr>
            </w:pPr>
            <w:r>
              <w:rPr>
                <w:w w:val="95"/>
                <w:sz w:val="20"/>
              </w:rPr>
              <w:t>224.64</w:t>
            </w:r>
          </w:p>
        </w:tc>
        <w:tc>
          <w:tcPr>
            <w:tcW w:w="1876" w:type="dxa"/>
          </w:tcPr>
          <w:p w:rsidR="007C5447" w:rsidRDefault="00F6308C">
            <w:pPr>
              <w:pStyle w:val="TableParagraph"/>
              <w:spacing w:before="14" w:line="224" w:lineRule="exact"/>
              <w:ind w:right="88"/>
              <w:rPr>
                <w:sz w:val="20"/>
              </w:rPr>
            </w:pPr>
            <w:r>
              <w:rPr>
                <w:sz w:val="20"/>
              </w:rPr>
              <w:t>13.79</w:t>
            </w:r>
          </w:p>
        </w:tc>
      </w:tr>
      <w:tr w:rsidR="007C5447">
        <w:trPr>
          <w:trHeight w:val="261"/>
        </w:trPr>
        <w:tc>
          <w:tcPr>
            <w:tcW w:w="4719" w:type="dxa"/>
            <w:tcBorders>
              <w:left w:val="single" w:sz="8" w:space="0" w:color="000000"/>
            </w:tcBorders>
          </w:tcPr>
          <w:p w:rsidR="007C5447" w:rsidRDefault="00F6308C">
            <w:pPr>
              <w:pStyle w:val="TableParagraph"/>
              <w:spacing w:before="14" w:line="227" w:lineRule="exact"/>
              <w:ind w:left="107"/>
              <w:jc w:val="left"/>
              <w:rPr>
                <w:sz w:val="20"/>
              </w:rPr>
            </w:pPr>
            <w:r>
              <w:rPr>
                <w:sz w:val="20"/>
              </w:rPr>
              <w:t>STCMS - Neyveli</w:t>
            </w:r>
          </w:p>
        </w:tc>
        <w:tc>
          <w:tcPr>
            <w:tcW w:w="1519" w:type="dxa"/>
          </w:tcPr>
          <w:p w:rsidR="007C5447" w:rsidRDefault="00F6308C">
            <w:pPr>
              <w:pStyle w:val="TableParagraph"/>
              <w:spacing w:before="14" w:line="227" w:lineRule="exact"/>
              <w:ind w:right="90"/>
              <w:rPr>
                <w:sz w:val="20"/>
              </w:rPr>
            </w:pPr>
            <w:r>
              <w:rPr>
                <w:w w:val="95"/>
                <w:sz w:val="20"/>
              </w:rPr>
              <w:t>1,721.11</w:t>
            </w:r>
          </w:p>
        </w:tc>
        <w:tc>
          <w:tcPr>
            <w:tcW w:w="1500" w:type="dxa"/>
          </w:tcPr>
          <w:p w:rsidR="007C5447" w:rsidRDefault="00F6308C">
            <w:pPr>
              <w:pStyle w:val="TableParagraph"/>
              <w:spacing w:before="14" w:line="227" w:lineRule="exact"/>
              <w:ind w:right="92"/>
              <w:rPr>
                <w:sz w:val="20"/>
              </w:rPr>
            </w:pPr>
            <w:r>
              <w:rPr>
                <w:w w:val="95"/>
                <w:sz w:val="20"/>
              </w:rPr>
              <w:t>436.51</w:t>
            </w:r>
          </w:p>
        </w:tc>
        <w:tc>
          <w:tcPr>
            <w:tcW w:w="1500" w:type="dxa"/>
          </w:tcPr>
          <w:p w:rsidR="007C5447" w:rsidRDefault="00F6308C">
            <w:pPr>
              <w:pStyle w:val="TableParagraph"/>
              <w:spacing w:before="14" w:line="227" w:lineRule="exact"/>
              <w:ind w:right="92"/>
              <w:rPr>
                <w:sz w:val="20"/>
              </w:rPr>
            </w:pPr>
            <w:r>
              <w:rPr>
                <w:w w:val="95"/>
                <w:sz w:val="20"/>
              </w:rPr>
              <w:t>398.49</w:t>
            </w:r>
          </w:p>
        </w:tc>
        <w:tc>
          <w:tcPr>
            <w:tcW w:w="1531" w:type="dxa"/>
          </w:tcPr>
          <w:p w:rsidR="007C5447" w:rsidRDefault="00F6308C">
            <w:pPr>
              <w:pStyle w:val="TableParagraph"/>
              <w:spacing w:before="14" w:line="227" w:lineRule="exact"/>
              <w:ind w:right="92"/>
              <w:rPr>
                <w:sz w:val="20"/>
              </w:rPr>
            </w:pPr>
            <w:r>
              <w:rPr>
                <w:sz w:val="20"/>
              </w:rPr>
              <w:t>2.32</w:t>
            </w:r>
          </w:p>
        </w:tc>
        <w:tc>
          <w:tcPr>
            <w:tcW w:w="1529" w:type="dxa"/>
          </w:tcPr>
          <w:p w:rsidR="007C5447" w:rsidRDefault="00F6308C">
            <w:pPr>
              <w:pStyle w:val="TableParagraph"/>
              <w:spacing w:before="14" w:line="227" w:lineRule="exact"/>
              <w:ind w:right="91"/>
              <w:rPr>
                <w:sz w:val="20"/>
              </w:rPr>
            </w:pPr>
            <w:r>
              <w:rPr>
                <w:w w:val="95"/>
                <w:sz w:val="20"/>
              </w:rPr>
              <w:t>835.00</w:t>
            </w:r>
          </w:p>
        </w:tc>
        <w:tc>
          <w:tcPr>
            <w:tcW w:w="1876" w:type="dxa"/>
          </w:tcPr>
          <w:p w:rsidR="007C5447" w:rsidRDefault="00F6308C">
            <w:pPr>
              <w:pStyle w:val="TableParagraph"/>
              <w:spacing w:before="14" w:line="227" w:lineRule="exact"/>
              <w:ind w:right="90"/>
              <w:rPr>
                <w:sz w:val="20"/>
              </w:rPr>
            </w:pPr>
            <w:r>
              <w:rPr>
                <w:sz w:val="20"/>
              </w:rPr>
              <w:t>4.85</w:t>
            </w:r>
          </w:p>
        </w:tc>
      </w:tr>
      <w:tr w:rsidR="007C5447">
        <w:trPr>
          <w:trHeight w:val="259"/>
        </w:trPr>
        <w:tc>
          <w:tcPr>
            <w:tcW w:w="4719" w:type="dxa"/>
            <w:tcBorders>
              <w:left w:val="single" w:sz="8" w:space="0" w:color="000000"/>
            </w:tcBorders>
          </w:tcPr>
          <w:p w:rsidR="007C5447" w:rsidRDefault="00F6308C">
            <w:pPr>
              <w:pStyle w:val="TableParagraph"/>
              <w:spacing w:before="15" w:line="224" w:lineRule="exact"/>
              <w:ind w:left="107"/>
              <w:jc w:val="left"/>
              <w:rPr>
                <w:sz w:val="20"/>
              </w:rPr>
            </w:pPr>
            <w:r>
              <w:rPr>
                <w:sz w:val="20"/>
              </w:rPr>
              <w:t>LANCO Power (Aban co)</w:t>
            </w:r>
          </w:p>
        </w:tc>
        <w:tc>
          <w:tcPr>
            <w:tcW w:w="1519" w:type="dxa"/>
          </w:tcPr>
          <w:p w:rsidR="007C5447" w:rsidRDefault="00F6308C">
            <w:pPr>
              <w:pStyle w:val="TableParagraph"/>
              <w:spacing w:before="15" w:line="224" w:lineRule="exact"/>
              <w:ind w:right="92"/>
              <w:rPr>
                <w:sz w:val="20"/>
              </w:rPr>
            </w:pPr>
            <w:r>
              <w:rPr>
                <w:w w:val="95"/>
                <w:sz w:val="20"/>
              </w:rPr>
              <w:t>699.00</w:t>
            </w:r>
          </w:p>
        </w:tc>
        <w:tc>
          <w:tcPr>
            <w:tcW w:w="1500" w:type="dxa"/>
          </w:tcPr>
          <w:p w:rsidR="007C5447" w:rsidRDefault="00F6308C">
            <w:pPr>
              <w:pStyle w:val="TableParagraph"/>
              <w:spacing w:before="15" w:line="224" w:lineRule="exact"/>
              <w:ind w:right="92"/>
              <w:rPr>
                <w:sz w:val="20"/>
              </w:rPr>
            </w:pPr>
            <w:r>
              <w:rPr>
                <w:w w:val="95"/>
                <w:sz w:val="20"/>
              </w:rPr>
              <w:t>106.62</w:t>
            </w:r>
          </w:p>
        </w:tc>
        <w:tc>
          <w:tcPr>
            <w:tcW w:w="1500" w:type="dxa"/>
          </w:tcPr>
          <w:p w:rsidR="007C5447" w:rsidRDefault="00F6308C">
            <w:pPr>
              <w:pStyle w:val="TableParagraph"/>
              <w:spacing w:before="15" w:line="224" w:lineRule="exact"/>
              <w:ind w:right="92"/>
              <w:rPr>
                <w:sz w:val="20"/>
              </w:rPr>
            </w:pPr>
            <w:r>
              <w:rPr>
                <w:w w:val="95"/>
                <w:sz w:val="20"/>
              </w:rPr>
              <w:t>139.75</w:t>
            </w:r>
          </w:p>
        </w:tc>
        <w:tc>
          <w:tcPr>
            <w:tcW w:w="1531" w:type="dxa"/>
          </w:tcPr>
          <w:p w:rsidR="007C5447" w:rsidRDefault="00F6308C">
            <w:pPr>
              <w:pStyle w:val="TableParagraph"/>
              <w:spacing w:before="15" w:line="224" w:lineRule="exact"/>
              <w:ind w:right="92"/>
              <w:rPr>
                <w:sz w:val="20"/>
              </w:rPr>
            </w:pPr>
            <w:r>
              <w:rPr>
                <w:sz w:val="20"/>
              </w:rPr>
              <w:t>2.00</w:t>
            </w:r>
          </w:p>
        </w:tc>
        <w:tc>
          <w:tcPr>
            <w:tcW w:w="1529" w:type="dxa"/>
          </w:tcPr>
          <w:p w:rsidR="007C5447" w:rsidRDefault="00F6308C">
            <w:pPr>
              <w:pStyle w:val="TableParagraph"/>
              <w:spacing w:before="15" w:line="224" w:lineRule="exact"/>
              <w:ind w:right="91"/>
              <w:rPr>
                <w:sz w:val="20"/>
              </w:rPr>
            </w:pPr>
            <w:r>
              <w:rPr>
                <w:w w:val="95"/>
                <w:sz w:val="20"/>
              </w:rPr>
              <w:t>246.37</w:t>
            </w:r>
          </w:p>
        </w:tc>
        <w:tc>
          <w:tcPr>
            <w:tcW w:w="1876" w:type="dxa"/>
          </w:tcPr>
          <w:p w:rsidR="007C5447" w:rsidRDefault="00F6308C">
            <w:pPr>
              <w:pStyle w:val="TableParagraph"/>
              <w:spacing w:before="15" w:line="224" w:lineRule="exact"/>
              <w:ind w:right="90"/>
              <w:rPr>
                <w:sz w:val="20"/>
              </w:rPr>
            </w:pPr>
            <w:r>
              <w:rPr>
                <w:sz w:val="20"/>
              </w:rPr>
              <w:t>3.52</w:t>
            </w:r>
          </w:p>
        </w:tc>
      </w:tr>
      <w:tr w:rsidR="007C5447">
        <w:trPr>
          <w:trHeight w:val="261"/>
        </w:trPr>
        <w:tc>
          <w:tcPr>
            <w:tcW w:w="4719" w:type="dxa"/>
            <w:tcBorders>
              <w:left w:val="single" w:sz="8" w:space="0" w:color="000000"/>
            </w:tcBorders>
          </w:tcPr>
          <w:p w:rsidR="007C5447" w:rsidRDefault="00F6308C">
            <w:pPr>
              <w:pStyle w:val="TableParagraph"/>
              <w:spacing w:before="14" w:line="227" w:lineRule="exact"/>
              <w:ind w:left="107"/>
              <w:jc w:val="left"/>
              <w:rPr>
                <w:sz w:val="20"/>
              </w:rPr>
            </w:pPr>
            <w:r>
              <w:rPr>
                <w:sz w:val="20"/>
              </w:rPr>
              <w:t>Penna</w:t>
            </w:r>
          </w:p>
        </w:tc>
        <w:tc>
          <w:tcPr>
            <w:tcW w:w="1519" w:type="dxa"/>
          </w:tcPr>
          <w:p w:rsidR="007C5447" w:rsidRDefault="00F6308C">
            <w:pPr>
              <w:pStyle w:val="TableParagraph"/>
              <w:spacing w:before="14" w:line="227" w:lineRule="exact"/>
              <w:ind w:right="92"/>
              <w:rPr>
                <w:sz w:val="20"/>
              </w:rPr>
            </w:pPr>
            <w:r>
              <w:rPr>
                <w:w w:val="95"/>
                <w:sz w:val="20"/>
              </w:rPr>
              <w:t>363.67</w:t>
            </w:r>
          </w:p>
        </w:tc>
        <w:tc>
          <w:tcPr>
            <w:tcW w:w="1500" w:type="dxa"/>
          </w:tcPr>
          <w:p w:rsidR="007C5447" w:rsidRDefault="00F6308C">
            <w:pPr>
              <w:pStyle w:val="TableParagraph"/>
              <w:spacing w:before="14" w:line="227" w:lineRule="exact"/>
              <w:ind w:right="92"/>
              <w:rPr>
                <w:sz w:val="20"/>
              </w:rPr>
            </w:pPr>
            <w:r>
              <w:rPr>
                <w:w w:val="95"/>
                <w:sz w:val="20"/>
              </w:rPr>
              <w:t>62.65</w:t>
            </w:r>
          </w:p>
        </w:tc>
        <w:tc>
          <w:tcPr>
            <w:tcW w:w="1500" w:type="dxa"/>
          </w:tcPr>
          <w:p w:rsidR="007C5447" w:rsidRDefault="00F6308C">
            <w:pPr>
              <w:pStyle w:val="TableParagraph"/>
              <w:spacing w:before="14" w:line="227" w:lineRule="exact"/>
              <w:ind w:right="92"/>
              <w:rPr>
                <w:sz w:val="20"/>
              </w:rPr>
            </w:pPr>
            <w:r>
              <w:rPr>
                <w:w w:val="95"/>
                <w:sz w:val="20"/>
              </w:rPr>
              <w:t>74.35</w:t>
            </w:r>
          </w:p>
        </w:tc>
        <w:tc>
          <w:tcPr>
            <w:tcW w:w="1531" w:type="dxa"/>
          </w:tcPr>
          <w:p w:rsidR="007C5447" w:rsidRDefault="00F6308C">
            <w:pPr>
              <w:pStyle w:val="TableParagraph"/>
              <w:spacing w:before="14" w:line="227" w:lineRule="exact"/>
              <w:ind w:right="92"/>
              <w:rPr>
                <w:sz w:val="20"/>
              </w:rPr>
            </w:pPr>
            <w:r>
              <w:rPr>
                <w:sz w:val="20"/>
              </w:rPr>
              <w:t>2.04</w:t>
            </w:r>
          </w:p>
        </w:tc>
        <w:tc>
          <w:tcPr>
            <w:tcW w:w="1529" w:type="dxa"/>
          </w:tcPr>
          <w:p w:rsidR="007C5447" w:rsidRDefault="00F6308C">
            <w:pPr>
              <w:pStyle w:val="TableParagraph"/>
              <w:spacing w:before="14" w:line="227" w:lineRule="exact"/>
              <w:ind w:right="91"/>
              <w:rPr>
                <w:sz w:val="20"/>
              </w:rPr>
            </w:pPr>
            <w:r>
              <w:rPr>
                <w:w w:val="95"/>
                <w:sz w:val="20"/>
              </w:rPr>
              <w:t>137.00</w:t>
            </w:r>
          </w:p>
        </w:tc>
        <w:tc>
          <w:tcPr>
            <w:tcW w:w="1876" w:type="dxa"/>
          </w:tcPr>
          <w:p w:rsidR="007C5447" w:rsidRDefault="00F6308C">
            <w:pPr>
              <w:pStyle w:val="TableParagraph"/>
              <w:spacing w:before="14" w:line="227" w:lineRule="exact"/>
              <w:ind w:right="90"/>
              <w:rPr>
                <w:sz w:val="20"/>
              </w:rPr>
            </w:pPr>
            <w:r>
              <w:rPr>
                <w:sz w:val="20"/>
              </w:rPr>
              <w:t>3.77</w:t>
            </w:r>
          </w:p>
        </w:tc>
      </w:tr>
      <w:tr w:rsidR="007C5447">
        <w:trPr>
          <w:trHeight w:val="278"/>
        </w:trPr>
        <w:tc>
          <w:tcPr>
            <w:tcW w:w="4719" w:type="dxa"/>
            <w:tcBorders>
              <w:left w:val="single" w:sz="8" w:space="0" w:color="000000"/>
            </w:tcBorders>
          </w:tcPr>
          <w:p w:rsidR="007C5447" w:rsidRDefault="00F6308C">
            <w:pPr>
              <w:pStyle w:val="TableParagraph"/>
              <w:spacing w:before="24"/>
              <w:ind w:left="107"/>
              <w:jc w:val="left"/>
              <w:rPr>
                <w:b/>
                <w:sz w:val="20"/>
              </w:rPr>
            </w:pPr>
            <w:r>
              <w:rPr>
                <w:b/>
                <w:sz w:val="20"/>
              </w:rPr>
              <w:t>Total IPP</w:t>
            </w:r>
          </w:p>
        </w:tc>
        <w:tc>
          <w:tcPr>
            <w:tcW w:w="1519" w:type="dxa"/>
          </w:tcPr>
          <w:p w:rsidR="007C5447" w:rsidRDefault="00F6308C">
            <w:pPr>
              <w:pStyle w:val="TableParagraph"/>
              <w:spacing w:before="24"/>
              <w:ind w:right="90"/>
              <w:rPr>
                <w:b/>
                <w:sz w:val="20"/>
              </w:rPr>
            </w:pPr>
            <w:r>
              <w:rPr>
                <w:b/>
                <w:w w:val="95"/>
                <w:sz w:val="20"/>
              </w:rPr>
              <w:t>2,946.70</w:t>
            </w:r>
          </w:p>
        </w:tc>
        <w:tc>
          <w:tcPr>
            <w:tcW w:w="1500" w:type="dxa"/>
          </w:tcPr>
          <w:p w:rsidR="007C5447" w:rsidRDefault="00F6308C">
            <w:pPr>
              <w:pStyle w:val="TableParagraph"/>
              <w:spacing w:before="24"/>
              <w:ind w:right="90"/>
              <w:rPr>
                <w:b/>
                <w:sz w:val="20"/>
              </w:rPr>
            </w:pPr>
            <w:r>
              <w:rPr>
                <w:b/>
                <w:w w:val="95"/>
                <w:sz w:val="20"/>
              </w:rPr>
              <w:t>1,048.76</w:t>
            </w:r>
          </w:p>
        </w:tc>
        <w:tc>
          <w:tcPr>
            <w:tcW w:w="1500" w:type="dxa"/>
          </w:tcPr>
          <w:p w:rsidR="007C5447" w:rsidRDefault="00F6308C">
            <w:pPr>
              <w:pStyle w:val="TableParagraph"/>
              <w:spacing w:before="24"/>
              <w:ind w:right="90"/>
              <w:rPr>
                <w:b/>
                <w:sz w:val="20"/>
              </w:rPr>
            </w:pPr>
            <w:r>
              <w:rPr>
                <w:b/>
                <w:w w:val="95"/>
                <w:sz w:val="20"/>
              </w:rPr>
              <w:t>751.89</w:t>
            </w:r>
          </w:p>
        </w:tc>
        <w:tc>
          <w:tcPr>
            <w:tcW w:w="1531" w:type="dxa"/>
          </w:tcPr>
          <w:p w:rsidR="007C5447" w:rsidRDefault="00F6308C">
            <w:pPr>
              <w:pStyle w:val="TableParagraph"/>
              <w:spacing w:before="24"/>
              <w:ind w:right="89"/>
              <w:rPr>
                <w:b/>
                <w:sz w:val="20"/>
              </w:rPr>
            </w:pPr>
            <w:r>
              <w:rPr>
                <w:b/>
                <w:sz w:val="20"/>
              </w:rPr>
              <w:t>2.55</w:t>
            </w:r>
          </w:p>
        </w:tc>
        <w:tc>
          <w:tcPr>
            <w:tcW w:w="1529" w:type="dxa"/>
          </w:tcPr>
          <w:p w:rsidR="007C5447" w:rsidRDefault="00F6308C">
            <w:pPr>
              <w:pStyle w:val="TableParagraph"/>
              <w:spacing w:before="24"/>
              <w:ind w:right="89"/>
              <w:rPr>
                <w:b/>
                <w:sz w:val="20"/>
              </w:rPr>
            </w:pPr>
            <w:r>
              <w:rPr>
                <w:b/>
                <w:w w:val="95"/>
                <w:sz w:val="20"/>
              </w:rPr>
              <w:t>1,800.66</w:t>
            </w:r>
          </w:p>
        </w:tc>
        <w:tc>
          <w:tcPr>
            <w:tcW w:w="1876" w:type="dxa"/>
          </w:tcPr>
          <w:p w:rsidR="007C5447" w:rsidRDefault="00F6308C">
            <w:pPr>
              <w:pStyle w:val="TableParagraph"/>
              <w:spacing w:before="24"/>
              <w:ind w:right="88"/>
              <w:rPr>
                <w:b/>
                <w:sz w:val="20"/>
              </w:rPr>
            </w:pPr>
            <w:r>
              <w:rPr>
                <w:b/>
                <w:sz w:val="20"/>
              </w:rPr>
              <w:t>6.11</w:t>
            </w:r>
          </w:p>
        </w:tc>
      </w:tr>
      <w:tr w:rsidR="007C5447">
        <w:trPr>
          <w:trHeight w:val="280"/>
        </w:trPr>
        <w:tc>
          <w:tcPr>
            <w:tcW w:w="4719" w:type="dxa"/>
            <w:tcBorders>
              <w:left w:val="single" w:sz="8" w:space="0" w:color="000000"/>
            </w:tcBorders>
          </w:tcPr>
          <w:p w:rsidR="007C5447" w:rsidRDefault="00F6308C">
            <w:pPr>
              <w:pStyle w:val="TableParagraph"/>
              <w:spacing w:before="24"/>
              <w:ind w:left="107"/>
              <w:jc w:val="left"/>
              <w:rPr>
                <w:b/>
                <w:sz w:val="20"/>
              </w:rPr>
            </w:pPr>
            <w:r>
              <w:rPr>
                <w:b/>
                <w:sz w:val="20"/>
              </w:rPr>
              <w:t>Renewables</w:t>
            </w:r>
          </w:p>
        </w:tc>
        <w:tc>
          <w:tcPr>
            <w:tcW w:w="1519"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7C5447">
            <w:pPr>
              <w:pStyle w:val="TableParagraph"/>
              <w:jc w:val="left"/>
              <w:rPr>
                <w:sz w:val="20"/>
              </w:rPr>
            </w:pPr>
          </w:p>
        </w:tc>
        <w:tc>
          <w:tcPr>
            <w:tcW w:w="1876" w:type="dxa"/>
          </w:tcPr>
          <w:p w:rsidR="007C5447" w:rsidRDefault="007C5447">
            <w:pPr>
              <w:pStyle w:val="TableParagraph"/>
              <w:jc w:val="left"/>
              <w:rPr>
                <w:sz w:val="20"/>
              </w:rPr>
            </w:pPr>
          </w:p>
        </w:tc>
      </w:tr>
    </w:tbl>
    <w:p w:rsidR="007C5447" w:rsidRDefault="007C5447">
      <w:pPr>
        <w:rPr>
          <w:sz w:val="20"/>
        </w:rPr>
        <w:sectPr w:rsidR="007C5447">
          <w:pgSz w:w="16840" w:h="11910" w:orient="landscape"/>
          <w:pgMar w:top="1100" w:right="1220" w:bottom="960" w:left="1220" w:header="0" w:footer="777" w:gutter="0"/>
          <w:cols w:space="720"/>
        </w:sectPr>
      </w:pPr>
    </w:p>
    <w:p w:rsidR="007C5447" w:rsidRDefault="007C5447">
      <w:pPr>
        <w:pStyle w:val="BodyText"/>
        <w:spacing w:before="3"/>
        <w:rPr>
          <w:sz w:val="2"/>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19"/>
        <w:gridCol w:w="1519"/>
        <w:gridCol w:w="1500"/>
        <w:gridCol w:w="1500"/>
        <w:gridCol w:w="1531"/>
        <w:gridCol w:w="1529"/>
        <w:gridCol w:w="1876"/>
      </w:tblGrid>
      <w:tr w:rsidR="007C5447">
        <w:trPr>
          <w:trHeight w:val="280"/>
        </w:trPr>
        <w:tc>
          <w:tcPr>
            <w:tcW w:w="4719" w:type="dxa"/>
            <w:vMerge w:val="restart"/>
            <w:shd w:val="clear" w:color="auto" w:fill="FBD4B4"/>
          </w:tcPr>
          <w:p w:rsidR="007C5447" w:rsidRDefault="007C5447">
            <w:pPr>
              <w:pStyle w:val="TableParagraph"/>
              <w:jc w:val="left"/>
            </w:pPr>
          </w:p>
          <w:p w:rsidR="007C5447" w:rsidRDefault="00F6308C">
            <w:pPr>
              <w:pStyle w:val="TableParagraph"/>
              <w:spacing w:before="153"/>
              <w:ind w:left="1711" w:right="1696"/>
              <w:jc w:val="center"/>
              <w:rPr>
                <w:b/>
                <w:sz w:val="20"/>
              </w:rPr>
            </w:pPr>
            <w:r>
              <w:rPr>
                <w:b/>
                <w:sz w:val="20"/>
              </w:rPr>
              <w:t>Source</w:t>
            </w:r>
          </w:p>
        </w:tc>
        <w:tc>
          <w:tcPr>
            <w:tcW w:w="9455" w:type="dxa"/>
            <w:gridSpan w:val="6"/>
            <w:shd w:val="clear" w:color="auto" w:fill="FBD4B4"/>
          </w:tcPr>
          <w:p w:rsidR="007C5447" w:rsidRDefault="00F6308C">
            <w:pPr>
              <w:pStyle w:val="TableParagraph"/>
              <w:spacing w:before="36" w:line="224" w:lineRule="exact"/>
              <w:ind w:left="4217" w:right="4193"/>
              <w:jc w:val="center"/>
              <w:rPr>
                <w:b/>
                <w:sz w:val="20"/>
              </w:rPr>
            </w:pPr>
            <w:r>
              <w:rPr>
                <w:b/>
                <w:sz w:val="20"/>
              </w:rPr>
              <w:t>FY 2013-14</w:t>
            </w:r>
          </w:p>
        </w:tc>
      </w:tr>
      <w:tr w:rsidR="007C5447">
        <w:trPr>
          <w:trHeight w:val="750"/>
        </w:trPr>
        <w:tc>
          <w:tcPr>
            <w:tcW w:w="4719" w:type="dxa"/>
            <w:vMerge/>
            <w:tcBorders>
              <w:top w:val="nil"/>
            </w:tcBorders>
            <w:shd w:val="clear" w:color="auto" w:fill="FBD4B4"/>
          </w:tcPr>
          <w:p w:rsidR="007C5447" w:rsidRDefault="007C5447">
            <w:pPr>
              <w:rPr>
                <w:sz w:val="2"/>
                <w:szCs w:val="2"/>
              </w:rPr>
            </w:pPr>
          </w:p>
        </w:tc>
        <w:tc>
          <w:tcPr>
            <w:tcW w:w="1519" w:type="dxa"/>
            <w:shd w:val="clear" w:color="auto" w:fill="FBD4B4"/>
          </w:tcPr>
          <w:p w:rsidR="007C5447" w:rsidRDefault="00F6308C">
            <w:pPr>
              <w:pStyle w:val="TableParagraph"/>
              <w:spacing w:before="146"/>
              <w:ind w:left="530" w:right="314" w:hanging="178"/>
              <w:jc w:val="left"/>
              <w:rPr>
                <w:b/>
                <w:sz w:val="20"/>
              </w:rPr>
            </w:pPr>
            <w:r>
              <w:rPr>
                <w:b/>
                <w:sz w:val="20"/>
              </w:rPr>
              <w:t>Quantum (MU)</w:t>
            </w:r>
          </w:p>
        </w:tc>
        <w:tc>
          <w:tcPr>
            <w:tcW w:w="1500" w:type="dxa"/>
            <w:shd w:val="clear" w:color="auto" w:fill="FBD4B4"/>
          </w:tcPr>
          <w:p w:rsidR="007C5447" w:rsidRDefault="00F6308C">
            <w:pPr>
              <w:pStyle w:val="TableParagraph"/>
              <w:spacing w:before="146"/>
              <w:ind w:left="384" w:right="95" w:hanging="248"/>
              <w:jc w:val="left"/>
              <w:rPr>
                <w:b/>
                <w:sz w:val="20"/>
              </w:rPr>
            </w:pPr>
            <w:r>
              <w:rPr>
                <w:b/>
                <w:sz w:val="20"/>
              </w:rPr>
              <w:t>Fixed Charges (Rs. Cr.)</w:t>
            </w:r>
          </w:p>
        </w:tc>
        <w:tc>
          <w:tcPr>
            <w:tcW w:w="1500" w:type="dxa"/>
            <w:shd w:val="clear" w:color="auto" w:fill="FBD4B4"/>
          </w:tcPr>
          <w:p w:rsidR="007C5447" w:rsidRDefault="00F6308C">
            <w:pPr>
              <w:pStyle w:val="TableParagraph"/>
              <w:spacing w:before="31"/>
              <w:ind w:left="272" w:right="250"/>
              <w:jc w:val="center"/>
              <w:rPr>
                <w:b/>
                <w:sz w:val="20"/>
              </w:rPr>
            </w:pPr>
            <w:r>
              <w:rPr>
                <w:b/>
                <w:sz w:val="20"/>
              </w:rPr>
              <w:t>Energy Charge (Rs. Crore)</w:t>
            </w:r>
          </w:p>
        </w:tc>
        <w:tc>
          <w:tcPr>
            <w:tcW w:w="1531" w:type="dxa"/>
            <w:shd w:val="clear" w:color="auto" w:fill="FBD4B4"/>
          </w:tcPr>
          <w:p w:rsidR="007C5447" w:rsidRDefault="00F6308C">
            <w:pPr>
              <w:pStyle w:val="TableParagraph"/>
              <w:spacing w:before="146"/>
              <w:ind w:left="351" w:right="77" w:hanging="233"/>
              <w:jc w:val="left"/>
              <w:rPr>
                <w:b/>
                <w:sz w:val="20"/>
              </w:rPr>
            </w:pPr>
            <w:r>
              <w:rPr>
                <w:b/>
                <w:sz w:val="20"/>
              </w:rPr>
              <w:t>Energy Charge (Rs./Unit)</w:t>
            </w:r>
          </w:p>
        </w:tc>
        <w:tc>
          <w:tcPr>
            <w:tcW w:w="1529" w:type="dxa"/>
            <w:shd w:val="clear" w:color="auto" w:fill="FBD4B4"/>
          </w:tcPr>
          <w:p w:rsidR="007C5447" w:rsidRDefault="00F6308C">
            <w:pPr>
              <w:pStyle w:val="TableParagraph"/>
              <w:spacing w:before="146"/>
              <w:ind w:left="426" w:right="282" w:hanging="104"/>
              <w:jc w:val="left"/>
              <w:rPr>
                <w:b/>
                <w:sz w:val="20"/>
              </w:rPr>
            </w:pPr>
            <w:r>
              <w:rPr>
                <w:b/>
                <w:sz w:val="20"/>
              </w:rPr>
              <w:t>Total Cost (Rs. Cr)</w:t>
            </w:r>
          </w:p>
        </w:tc>
        <w:tc>
          <w:tcPr>
            <w:tcW w:w="1876" w:type="dxa"/>
            <w:shd w:val="clear" w:color="auto" w:fill="FBD4B4"/>
          </w:tcPr>
          <w:p w:rsidR="007C5447" w:rsidRDefault="007C5447">
            <w:pPr>
              <w:pStyle w:val="TableParagraph"/>
              <w:spacing w:before="8"/>
              <w:jc w:val="left"/>
            </w:pPr>
          </w:p>
          <w:p w:rsidR="007C5447" w:rsidRDefault="00F6308C">
            <w:pPr>
              <w:pStyle w:val="TableParagraph"/>
              <w:spacing w:before="1"/>
              <w:ind w:left="301"/>
              <w:jc w:val="left"/>
              <w:rPr>
                <w:b/>
                <w:sz w:val="20"/>
              </w:rPr>
            </w:pPr>
            <w:r>
              <w:rPr>
                <w:b/>
                <w:sz w:val="20"/>
              </w:rPr>
              <w:t>Rate (Rs/kWh)</w:t>
            </w:r>
          </w:p>
        </w:tc>
      </w:tr>
      <w:tr w:rsidR="007C5447">
        <w:trPr>
          <w:trHeight w:val="261"/>
        </w:trPr>
        <w:tc>
          <w:tcPr>
            <w:tcW w:w="4719" w:type="dxa"/>
            <w:tcBorders>
              <w:left w:val="single" w:sz="8" w:space="0" w:color="000000"/>
            </w:tcBorders>
          </w:tcPr>
          <w:p w:rsidR="007C5447" w:rsidRDefault="00F6308C">
            <w:pPr>
              <w:pStyle w:val="TableParagraph"/>
              <w:spacing w:before="17" w:line="224" w:lineRule="exact"/>
              <w:ind w:left="107"/>
              <w:jc w:val="left"/>
              <w:rPr>
                <w:sz w:val="20"/>
              </w:rPr>
            </w:pPr>
            <w:r>
              <w:rPr>
                <w:sz w:val="20"/>
              </w:rPr>
              <w:t>Wind</w:t>
            </w:r>
          </w:p>
        </w:tc>
        <w:tc>
          <w:tcPr>
            <w:tcW w:w="1519" w:type="dxa"/>
          </w:tcPr>
          <w:p w:rsidR="007C5447" w:rsidRDefault="00F6308C">
            <w:pPr>
              <w:pStyle w:val="TableParagraph"/>
              <w:spacing w:before="17" w:line="224" w:lineRule="exact"/>
              <w:ind w:right="90"/>
              <w:rPr>
                <w:sz w:val="20"/>
              </w:rPr>
            </w:pPr>
            <w:r>
              <w:rPr>
                <w:w w:val="95"/>
                <w:sz w:val="20"/>
              </w:rPr>
              <w:t>5,110.00</w:t>
            </w:r>
          </w:p>
        </w:tc>
        <w:tc>
          <w:tcPr>
            <w:tcW w:w="1500" w:type="dxa"/>
          </w:tcPr>
          <w:p w:rsidR="007C5447" w:rsidRDefault="007C5447">
            <w:pPr>
              <w:pStyle w:val="TableParagraph"/>
              <w:jc w:val="left"/>
              <w:rPr>
                <w:sz w:val="18"/>
              </w:rPr>
            </w:pPr>
          </w:p>
        </w:tc>
        <w:tc>
          <w:tcPr>
            <w:tcW w:w="1500" w:type="dxa"/>
          </w:tcPr>
          <w:p w:rsidR="007C5447" w:rsidRDefault="007C5447">
            <w:pPr>
              <w:pStyle w:val="TableParagraph"/>
              <w:jc w:val="left"/>
              <w:rPr>
                <w:sz w:val="18"/>
              </w:rPr>
            </w:pPr>
          </w:p>
        </w:tc>
        <w:tc>
          <w:tcPr>
            <w:tcW w:w="1531" w:type="dxa"/>
          </w:tcPr>
          <w:p w:rsidR="007C5447" w:rsidRDefault="007C5447">
            <w:pPr>
              <w:pStyle w:val="TableParagraph"/>
              <w:jc w:val="left"/>
              <w:rPr>
                <w:sz w:val="18"/>
              </w:rPr>
            </w:pPr>
          </w:p>
        </w:tc>
        <w:tc>
          <w:tcPr>
            <w:tcW w:w="1529" w:type="dxa"/>
          </w:tcPr>
          <w:p w:rsidR="007C5447" w:rsidRDefault="00F6308C">
            <w:pPr>
              <w:pStyle w:val="TableParagraph"/>
              <w:spacing w:before="17" w:line="224" w:lineRule="exact"/>
              <w:ind w:right="89"/>
              <w:rPr>
                <w:sz w:val="20"/>
              </w:rPr>
            </w:pPr>
            <w:r>
              <w:rPr>
                <w:w w:val="95"/>
                <w:sz w:val="20"/>
              </w:rPr>
              <w:t>1,310.00</w:t>
            </w:r>
          </w:p>
        </w:tc>
        <w:tc>
          <w:tcPr>
            <w:tcW w:w="1876" w:type="dxa"/>
          </w:tcPr>
          <w:p w:rsidR="007C5447" w:rsidRDefault="00F6308C">
            <w:pPr>
              <w:pStyle w:val="TableParagraph"/>
              <w:spacing w:before="17" w:line="224" w:lineRule="exact"/>
              <w:ind w:right="90"/>
              <w:rPr>
                <w:sz w:val="20"/>
              </w:rPr>
            </w:pPr>
            <w:r>
              <w:rPr>
                <w:sz w:val="20"/>
              </w:rPr>
              <w:t>2.56</w:t>
            </w:r>
          </w:p>
        </w:tc>
      </w:tr>
      <w:tr w:rsidR="007C5447">
        <w:trPr>
          <w:trHeight w:val="258"/>
        </w:trPr>
        <w:tc>
          <w:tcPr>
            <w:tcW w:w="4719" w:type="dxa"/>
            <w:tcBorders>
              <w:left w:val="single" w:sz="8" w:space="0" w:color="000000"/>
            </w:tcBorders>
          </w:tcPr>
          <w:p w:rsidR="007C5447" w:rsidRDefault="00F6308C">
            <w:pPr>
              <w:pStyle w:val="TableParagraph"/>
              <w:spacing w:before="14" w:line="224" w:lineRule="exact"/>
              <w:ind w:left="107"/>
              <w:jc w:val="left"/>
              <w:rPr>
                <w:sz w:val="20"/>
              </w:rPr>
            </w:pPr>
            <w:r>
              <w:rPr>
                <w:sz w:val="20"/>
              </w:rPr>
              <w:t>Biomass</w:t>
            </w:r>
          </w:p>
        </w:tc>
        <w:tc>
          <w:tcPr>
            <w:tcW w:w="1519" w:type="dxa"/>
          </w:tcPr>
          <w:p w:rsidR="007C5447" w:rsidRDefault="00F6308C">
            <w:pPr>
              <w:pStyle w:val="TableParagraph"/>
              <w:spacing w:before="14" w:line="224" w:lineRule="exact"/>
              <w:ind w:right="92"/>
              <w:rPr>
                <w:sz w:val="20"/>
              </w:rPr>
            </w:pPr>
            <w:r>
              <w:rPr>
                <w:w w:val="95"/>
                <w:sz w:val="20"/>
              </w:rPr>
              <w:t>20.00</w:t>
            </w:r>
          </w:p>
        </w:tc>
        <w:tc>
          <w:tcPr>
            <w:tcW w:w="1500" w:type="dxa"/>
          </w:tcPr>
          <w:p w:rsidR="007C5447" w:rsidRDefault="007C5447">
            <w:pPr>
              <w:pStyle w:val="TableParagraph"/>
              <w:jc w:val="left"/>
              <w:rPr>
                <w:sz w:val="18"/>
              </w:rPr>
            </w:pPr>
          </w:p>
        </w:tc>
        <w:tc>
          <w:tcPr>
            <w:tcW w:w="1500" w:type="dxa"/>
          </w:tcPr>
          <w:p w:rsidR="007C5447" w:rsidRDefault="007C5447">
            <w:pPr>
              <w:pStyle w:val="TableParagraph"/>
              <w:jc w:val="left"/>
              <w:rPr>
                <w:sz w:val="18"/>
              </w:rPr>
            </w:pPr>
          </w:p>
        </w:tc>
        <w:tc>
          <w:tcPr>
            <w:tcW w:w="1531" w:type="dxa"/>
          </w:tcPr>
          <w:p w:rsidR="007C5447" w:rsidRDefault="007C5447">
            <w:pPr>
              <w:pStyle w:val="TableParagraph"/>
              <w:jc w:val="left"/>
              <w:rPr>
                <w:sz w:val="18"/>
              </w:rPr>
            </w:pPr>
          </w:p>
        </w:tc>
        <w:tc>
          <w:tcPr>
            <w:tcW w:w="1529" w:type="dxa"/>
          </w:tcPr>
          <w:p w:rsidR="007C5447" w:rsidRDefault="00F6308C">
            <w:pPr>
              <w:pStyle w:val="TableParagraph"/>
              <w:spacing w:before="14" w:line="224" w:lineRule="exact"/>
              <w:ind w:right="91"/>
              <w:rPr>
                <w:sz w:val="20"/>
              </w:rPr>
            </w:pPr>
            <w:r>
              <w:rPr>
                <w:sz w:val="20"/>
              </w:rPr>
              <w:t>7.00</w:t>
            </w:r>
          </w:p>
        </w:tc>
        <w:tc>
          <w:tcPr>
            <w:tcW w:w="1876" w:type="dxa"/>
          </w:tcPr>
          <w:p w:rsidR="007C5447" w:rsidRDefault="00F6308C">
            <w:pPr>
              <w:pStyle w:val="TableParagraph"/>
              <w:spacing w:before="14" w:line="224" w:lineRule="exact"/>
              <w:ind w:right="90"/>
              <w:rPr>
                <w:sz w:val="20"/>
              </w:rPr>
            </w:pPr>
            <w:r>
              <w:rPr>
                <w:sz w:val="20"/>
              </w:rPr>
              <w:t>3.50</w:t>
            </w:r>
          </w:p>
        </w:tc>
      </w:tr>
      <w:tr w:rsidR="007C5447">
        <w:trPr>
          <w:trHeight w:val="261"/>
        </w:trPr>
        <w:tc>
          <w:tcPr>
            <w:tcW w:w="4719" w:type="dxa"/>
            <w:tcBorders>
              <w:left w:val="single" w:sz="8" w:space="0" w:color="000000"/>
            </w:tcBorders>
          </w:tcPr>
          <w:p w:rsidR="007C5447" w:rsidRDefault="00F6308C">
            <w:pPr>
              <w:pStyle w:val="TableParagraph"/>
              <w:spacing w:before="17" w:line="224" w:lineRule="exact"/>
              <w:ind w:left="107"/>
              <w:jc w:val="left"/>
              <w:rPr>
                <w:sz w:val="20"/>
              </w:rPr>
            </w:pPr>
            <w:r>
              <w:rPr>
                <w:sz w:val="20"/>
              </w:rPr>
              <w:t>Cogeneration</w:t>
            </w:r>
          </w:p>
        </w:tc>
        <w:tc>
          <w:tcPr>
            <w:tcW w:w="1519" w:type="dxa"/>
          </w:tcPr>
          <w:p w:rsidR="007C5447" w:rsidRDefault="00F6308C">
            <w:pPr>
              <w:pStyle w:val="TableParagraph"/>
              <w:spacing w:before="17" w:line="224" w:lineRule="exact"/>
              <w:ind w:right="92"/>
              <w:rPr>
                <w:sz w:val="20"/>
              </w:rPr>
            </w:pPr>
            <w:r>
              <w:rPr>
                <w:w w:val="95"/>
                <w:sz w:val="20"/>
              </w:rPr>
              <w:t>803.00</w:t>
            </w:r>
          </w:p>
        </w:tc>
        <w:tc>
          <w:tcPr>
            <w:tcW w:w="1500" w:type="dxa"/>
          </w:tcPr>
          <w:p w:rsidR="007C5447" w:rsidRDefault="007C5447">
            <w:pPr>
              <w:pStyle w:val="TableParagraph"/>
              <w:jc w:val="left"/>
              <w:rPr>
                <w:sz w:val="18"/>
              </w:rPr>
            </w:pPr>
          </w:p>
        </w:tc>
        <w:tc>
          <w:tcPr>
            <w:tcW w:w="1500" w:type="dxa"/>
          </w:tcPr>
          <w:p w:rsidR="007C5447" w:rsidRDefault="007C5447">
            <w:pPr>
              <w:pStyle w:val="TableParagraph"/>
              <w:jc w:val="left"/>
              <w:rPr>
                <w:sz w:val="18"/>
              </w:rPr>
            </w:pPr>
          </w:p>
        </w:tc>
        <w:tc>
          <w:tcPr>
            <w:tcW w:w="1531" w:type="dxa"/>
          </w:tcPr>
          <w:p w:rsidR="007C5447" w:rsidRDefault="007C5447">
            <w:pPr>
              <w:pStyle w:val="TableParagraph"/>
              <w:jc w:val="left"/>
              <w:rPr>
                <w:sz w:val="18"/>
              </w:rPr>
            </w:pPr>
          </w:p>
        </w:tc>
        <w:tc>
          <w:tcPr>
            <w:tcW w:w="1529" w:type="dxa"/>
          </w:tcPr>
          <w:p w:rsidR="007C5447" w:rsidRDefault="00F6308C">
            <w:pPr>
              <w:pStyle w:val="TableParagraph"/>
              <w:spacing w:before="17" w:line="224" w:lineRule="exact"/>
              <w:ind w:right="91"/>
              <w:rPr>
                <w:sz w:val="20"/>
              </w:rPr>
            </w:pPr>
            <w:r>
              <w:rPr>
                <w:w w:val="95"/>
                <w:sz w:val="20"/>
              </w:rPr>
              <w:t>291.00</w:t>
            </w:r>
          </w:p>
        </w:tc>
        <w:tc>
          <w:tcPr>
            <w:tcW w:w="1876" w:type="dxa"/>
          </w:tcPr>
          <w:p w:rsidR="007C5447" w:rsidRDefault="00F6308C">
            <w:pPr>
              <w:pStyle w:val="TableParagraph"/>
              <w:spacing w:before="17" w:line="224" w:lineRule="exact"/>
              <w:ind w:right="90"/>
              <w:rPr>
                <w:sz w:val="20"/>
              </w:rPr>
            </w:pPr>
            <w:r>
              <w:rPr>
                <w:sz w:val="20"/>
              </w:rPr>
              <w:t>3.62</w:t>
            </w:r>
          </w:p>
        </w:tc>
      </w:tr>
      <w:tr w:rsidR="007C5447">
        <w:trPr>
          <w:trHeight w:val="258"/>
        </w:trPr>
        <w:tc>
          <w:tcPr>
            <w:tcW w:w="4719" w:type="dxa"/>
            <w:tcBorders>
              <w:left w:val="single" w:sz="8" w:space="0" w:color="000000"/>
            </w:tcBorders>
          </w:tcPr>
          <w:p w:rsidR="007C5447" w:rsidRDefault="00F6308C">
            <w:pPr>
              <w:pStyle w:val="TableParagraph"/>
              <w:spacing w:before="14" w:line="224" w:lineRule="exact"/>
              <w:ind w:left="107"/>
              <w:jc w:val="left"/>
              <w:rPr>
                <w:sz w:val="20"/>
              </w:rPr>
            </w:pPr>
            <w:r>
              <w:rPr>
                <w:sz w:val="20"/>
              </w:rPr>
              <w:t>Captive</w:t>
            </w:r>
          </w:p>
        </w:tc>
        <w:tc>
          <w:tcPr>
            <w:tcW w:w="1519" w:type="dxa"/>
          </w:tcPr>
          <w:p w:rsidR="007C5447" w:rsidRDefault="00F6308C">
            <w:pPr>
              <w:pStyle w:val="TableParagraph"/>
              <w:spacing w:before="14" w:line="224" w:lineRule="exact"/>
              <w:ind w:right="90"/>
              <w:rPr>
                <w:sz w:val="20"/>
              </w:rPr>
            </w:pPr>
            <w:r>
              <w:rPr>
                <w:w w:val="95"/>
                <w:sz w:val="20"/>
              </w:rPr>
              <w:t>2,383.00</w:t>
            </w:r>
          </w:p>
        </w:tc>
        <w:tc>
          <w:tcPr>
            <w:tcW w:w="1500" w:type="dxa"/>
          </w:tcPr>
          <w:p w:rsidR="007C5447" w:rsidRDefault="007C5447">
            <w:pPr>
              <w:pStyle w:val="TableParagraph"/>
              <w:jc w:val="left"/>
              <w:rPr>
                <w:sz w:val="18"/>
              </w:rPr>
            </w:pPr>
          </w:p>
        </w:tc>
        <w:tc>
          <w:tcPr>
            <w:tcW w:w="1500" w:type="dxa"/>
          </w:tcPr>
          <w:p w:rsidR="007C5447" w:rsidRDefault="007C5447">
            <w:pPr>
              <w:pStyle w:val="TableParagraph"/>
              <w:jc w:val="left"/>
              <w:rPr>
                <w:sz w:val="18"/>
              </w:rPr>
            </w:pPr>
          </w:p>
        </w:tc>
        <w:tc>
          <w:tcPr>
            <w:tcW w:w="1531" w:type="dxa"/>
          </w:tcPr>
          <w:p w:rsidR="007C5447" w:rsidRDefault="007C5447">
            <w:pPr>
              <w:pStyle w:val="TableParagraph"/>
              <w:jc w:val="left"/>
              <w:rPr>
                <w:sz w:val="18"/>
              </w:rPr>
            </w:pPr>
          </w:p>
        </w:tc>
        <w:tc>
          <w:tcPr>
            <w:tcW w:w="1529" w:type="dxa"/>
          </w:tcPr>
          <w:p w:rsidR="007C5447" w:rsidRDefault="00F6308C">
            <w:pPr>
              <w:pStyle w:val="TableParagraph"/>
              <w:spacing w:before="14" w:line="224" w:lineRule="exact"/>
              <w:ind w:right="91"/>
              <w:rPr>
                <w:sz w:val="20"/>
              </w:rPr>
            </w:pPr>
            <w:r>
              <w:rPr>
                <w:w w:val="95"/>
                <w:sz w:val="20"/>
              </w:rPr>
              <w:t>155.00</w:t>
            </w:r>
          </w:p>
        </w:tc>
        <w:tc>
          <w:tcPr>
            <w:tcW w:w="1876" w:type="dxa"/>
          </w:tcPr>
          <w:p w:rsidR="007C5447" w:rsidRDefault="00F6308C">
            <w:pPr>
              <w:pStyle w:val="TableParagraph"/>
              <w:spacing w:before="14" w:line="224" w:lineRule="exact"/>
              <w:ind w:right="90"/>
              <w:rPr>
                <w:sz w:val="20"/>
              </w:rPr>
            </w:pPr>
            <w:r>
              <w:rPr>
                <w:sz w:val="20"/>
              </w:rPr>
              <w:t>0.65</w:t>
            </w:r>
          </w:p>
        </w:tc>
      </w:tr>
      <w:tr w:rsidR="007C5447">
        <w:trPr>
          <w:trHeight w:val="261"/>
        </w:trPr>
        <w:tc>
          <w:tcPr>
            <w:tcW w:w="4719" w:type="dxa"/>
            <w:tcBorders>
              <w:left w:val="single" w:sz="8" w:space="0" w:color="000000"/>
            </w:tcBorders>
          </w:tcPr>
          <w:p w:rsidR="007C5447" w:rsidRDefault="00F6308C">
            <w:pPr>
              <w:pStyle w:val="TableParagraph"/>
              <w:spacing w:before="17" w:line="224" w:lineRule="exact"/>
              <w:ind w:left="107"/>
              <w:jc w:val="left"/>
              <w:rPr>
                <w:sz w:val="20"/>
              </w:rPr>
            </w:pPr>
            <w:r>
              <w:rPr>
                <w:sz w:val="20"/>
              </w:rPr>
              <w:t>Solar</w:t>
            </w:r>
          </w:p>
        </w:tc>
        <w:tc>
          <w:tcPr>
            <w:tcW w:w="1519" w:type="dxa"/>
          </w:tcPr>
          <w:p w:rsidR="007C5447" w:rsidRDefault="00F6308C">
            <w:pPr>
              <w:pStyle w:val="TableParagraph"/>
              <w:spacing w:before="17" w:line="224" w:lineRule="exact"/>
              <w:ind w:right="92"/>
              <w:rPr>
                <w:sz w:val="20"/>
              </w:rPr>
            </w:pPr>
            <w:r>
              <w:rPr>
                <w:w w:val="95"/>
                <w:sz w:val="20"/>
              </w:rPr>
              <w:t>20.00</w:t>
            </w:r>
          </w:p>
        </w:tc>
        <w:tc>
          <w:tcPr>
            <w:tcW w:w="1500" w:type="dxa"/>
          </w:tcPr>
          <w:p w:rsidR="007C5447" w:rsidRDefault="007C5447">
            <w:pPr>
              <w:pStyle w:val="TableParagraph"/>
              <w:jc w:val="left"/>
              <w:rPr>
                <w:sz w:val="18"/>
              </w:rPr>
            </w:pPr>
          </w:p>
        </w:tc>
        <w:tc>
          <w:tcPr>
            <w:tcW w:w="1500" w:type="dxa"/>
          </w:tcPr>
          <w:p w:rsidR="007C5447" w:rsidRDefault="007C5447">
            <w:pPr>
              <w:pStyle w:val="TableParagraph"/>
              <w:jc w:val="left"/>
              <w:rPr>
                <w:sz w:val="18"/>
              </w:rPr>
            </w:pPr>
          </w:p>
        </w:tc>
        <w:tc>
          <w:tcPr>
            <w:tcW w:w="1531" w:type="dxa"/>
          </w:tcPr>
          <w:p w:rsidR="007C5447" w:rsidRDefault="007C5447">
            <w:pPr>
              <w:pStyle w:val="TableParagraph"/>
              <w:jc w:val="left"/>
              <w:rPr>
                <w:sz w:val="18"/>
              </w:rPr>
            </w:pPr>
          </w:p>
        </w:tc>
        <w:tc>
          <w:tcPr>
            <w:tcW w:w="1529" w:type="dxa"/>
          </w:tcPr>
          <w:p w:rsidR="007C5447" w:rsidRDefault="00F6308C">
            <w:pPr>
              <w:pStyle w:val="TableParagraph"/>
              <w:spacing w:before="17" w:line="224" w:lineRule="exact"/>
              <w:ind w:right="91"/>
              <w:rPr>
                <w:sz w:val="20"/>
              </w:rPr>
            </w:pPr>
            <w:r>
              <w:rPr>
                <w:sz w:val="20"/>
              </w:rPr>
              <w:t>9.00</w:t>
            </w:r>
          </w:p>
        </w:tc>
        <w:tc>
          <w:tcPr>
            <w:tcW w:w="1876" w:type="dxa"/>
          </w:tcPr>
          <w:p w:rsidR="007C5447" w:rsidRDefault="00F6308C">
            <w:pPr>
              <w:pStyle w:val="TableParagraph"/>
              <w:spacing w:before="17" w:line="224" w:lineRule="exact"/>
              <w:ind w:right="90"/>
              <w:rPr>
                <w:sz w:val="20"/>
              </w:rPr>
            </w:pPr>
            <w:r>
              <w:rPr>
                <w:sz w:val="20"/>
              </w:rPr>
              <w:t>4.50</w:t>
            </w:r>
          </w:p>
        </w:tc>
      </w:tr>
      <w:tr w:rsidR="007C5447">
        <w:trPr>
          <w:trHeight w:val="278"/>
        </w:trPr>
        <w:tc>
          <w:tcPr>
            <w:tcW w:w="4719" w:type="dxa"/>
            <w:tcBorders>
              <w:left w:val="single" w:sz="8" w:space="0" w:color="000000"/>
            </w:tcBorders>
          </w:tcPr>
          <w:p w:rsidR="007C5447" w:rsidRDefault="00F6308C">
            <w:pPr>
              <w:pStyle w:val="TableParagraph"/>
              <w:spacing w:before="24"/>
              <w:ind w:left="107"/>
              <w:jc w:val="left"/>
              <w:rPr>
                <w:b/>
                <w:sz w:val="20"/>
              </w:rPr>
            </w:pPr>
            <w:r>
              <w:rPr>
                <w:b/>
                <w:sz w:val="20"/>
              </w:rPr>
              <w:t>Total Renewables</w:t>
            </w:r>
          </w:p>
        </w:tc>
        <w:tc>
          <w:tcPr>
            <w:tcW w:w="1519" w:type="dxa"/>
          </w:tcPr>
          <w:p w:rsidR="007C5447" w:rsidRDefault="00F6308C">
            <w:pPr>
              <w:pStyle w:val="TableParagraph"/>
              <w:spacing w:before="24"/>
              <w:ind w:right="90"/>
              <w:rPr>
                <w:b/>
                <w:sz w:val="20"/>
              </w:rPr>
            </w:pPr>
            <w:r>
              <w:rPr>
                <w:b/>
                <w:w w:val="95"/>
                <w:sz w:val="20"/>
              </w:rPr>
              <w:t>8,336.00</w:t>
            </w:r>
          </w:p>
        </w:tc>
        <w:tc>
          <w:tcPr>
            <w:tcW w:w="1500"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F6308C">
            <w:pPr>
              <w:pStyle w:val="TableParagraph"/>
              <w:spacing w:before="24"/>
              <w:ind w:right="89"/>
              <w:rPr>
                <w:b/>
                <w:sz w:val="20"/>
              </w:rPr>
            </w:pPr>
            <w:r>
              <w:rPr>
                <w:b/>
                <w:w w:val="95"/>
                <w:sz w:val="20"/>
              </w:rPr>
              <w:t>1,772.00</w:t>
            </w:r>
          </w:p>
        </w:tc>
        <w:tc>
          <w:tcPr>
            <w:tcW w:w="1876" w:type="dxa"/>
          </w:tcPr>
          <w:p w:rsidR="007C5447" w:rsidRDefault="00F6308C">
            <w:pPr>
              <w:pStyle w:val="TableParagraph"/>
              <w:spacing w:before="24"/>
              <w:ind w:right="90"/>
              <w:rPr>
                <w:b/>
                <w:sz w:val="20"/>
              </w:rPr>
            </w:pPr>
            <w:r>
              <w:rPr>
                <w:b/>
                <w:sz w:val="20"/>
              </w:rPr>
              <w:t>2.13</w:t>
            </w:r>
          </w:p>
        </w:tc>
      </w:tr>
      <w:tr w:rsidR="007C5447">
        <w:trPr>
          <w:trHeight w:val="280"/>
        </w:trPr>
        <w:tc>
          <w:tcPr>
            <w:tcW w:w="4719" w:type="dxa"/>
            <w:tcBorders>
              <w:left w:val="single" w:sz="8" w:space="0" w:color="000000"/>
            </w:tcBorders>
          </w:tcPr>
          <w:p w:rsidR="007C5447" w:rsidRDefault="00F6308C">
            <w:pPr>
              <w:pStyle w:val="TableParagraph"/>
              <w:spacing w:before="24"/>
              <w:ind w:left="107"/>
              <w:jc w:val="left"/>
              <w:rPr>
                <w:b/>
                <w:sz w:val="20"/>
              </w:rPr>
            </w:pPr>
            <w:r>
              <w:rPr>
                <w:b/>
                <w:sz w:val="20"/>
              </w:rPr>
              <w:t>Other Sources</w:t>
            </w:r>
          </w:p>
        </w:tc>
        <w:tc>
          <w:tcPr>
            <w:tcW w:w="1519"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7C5447">
            <w:pPr>
              <w:pStyle w:val="TableParagraph"/>
              <w:jc w:val="left"/>
              <w:rPr>
                <w:sz w:val="20"/>
              </w:rPr>
            </w:pPr>
          </w:p>
        </w:tc>
        <w:tc>
          <w:tcPr>
            <w:tcW w:w="1876" w:type="dxa"/>
          </w:tcPr>
          <w:p w:rsidR="007C5447" w:rsidRDefault="007C5447">
            <w:pPr>
              <w:pStyle w:val="TableParagraph"/>
              <w:jc w:val="left"/>
              <w:rPr>
                <w:sz w:val="20"/>
              </w:rPr>
            </w:pPr>
          </w:p>
        </w:tc>
      </w:tr>
      <w:tr w:rsidR="007C5447">
        <w:trPr>
          <w:trHeight w:val="258"/>
        </w:trPr>
        <w:tc>
          <w:tcPr>
            <w:tcW w:w="4719" w:type="dxa"/>
            <w:tcBorders>
              <w:left w:val="single" w:sz="8" w:space="0" w:color="000000"/>
            </w:tcBorders>
          </w:tcPr>
          <w:p w:rsidR="007C5447" w:rsidRDefault="00F6308C">
            <w:pPr>
              <w:pStyle w:val="TableParagraph"/>
              <w:spacing w:before="14" w:line="224" w:lineRule="exact"/>
              <w:ind w:left="107"/>
              <w:jc w:val="left"/>
              <w:rPr>
                <w:sz w:val="20"/>
              </w:rPr>
            </w:pPr>
            <w:r>
              <w:rPr>
                <w:sz w:val="20"/>
              </w:rPr>
              <w:t>Trading - Bilateral &amp; Exchange</w:t>
            </w:r>
          </w:p>
        </w:tc>
        <w:tc>
          <w:tcPr>
            <w:tcW w:w="1519" w:type="dxa"/>
          </w:tcPr>
          <w:p w:rsidR="007C5447" w:rsidRDefault="00F6308C">
            <w:pPr>
              <w:pStyle w:val="TableParagraph"/>
              <w:spacing w:before="14" w:line="224" w:lineRule="exact"/>
              <w:ind w:right="90"/>
              <w:rPr>
                <w:sz w:val="20"/>
              </w:rPr>
            </w:pPr>
            <w:r>
              <w:rPr>
                <w:w w:val="95"/>
                <w:sz w:val="20"/>
              </w:rPr>
              <w:t>3,597.00</w:t>
            </w:r>
          </w:p>
        </w:tc>
        <w:tc>
          <w:tcPr>
            <w:tcW w:w="1500" w:type="dxa"/>
          </w:tcPr>
          <w:p w:rsidR="007C5447" w:rsidRDefault="007C5447">
            <w:pPr>
              <w:pStyle w:val="TableParagraph"/>
              <w:jc w:val="left"/>
              <w:rPr>
                <w:sz w:val="18"/>
              </w:rPr>
            </w:pPr>
          </w:p>
        </w:tc>
        <w:tc>
          <w:tcPr>
            <w:tcW w:w="1500" w:type="dxa"/>
          </w:tcPr>
          <w:p w:rsidR="007C5447" w:rsidRDefault="007C5447">
            <w:pPr>
              <w:pStyle w:val="TableParagraph"/>
              <w:jc w:val="left"/>
              <w:rPr>
                <w:sz w:val="18"/>
              </w:rPr>
            </w:pPr>
          </w:p>
        </w:tc>
        <w:tc>
          <w:tcPr>
            <w:tcW w:w="1531" w:type="dxa"/>
          </w:tcPr>
          <w:p w:rsidR="007C5447" w:rsidRDefault="007C5447">
            <w:pPr>
              <w:pStyle w:val="TableParagraph"/>
              <w:jc w:val="left"/>
              <w:rPr>
                <w:sz w:val="18"/>
              </w:rPr>
            </w:pPr>
          </w:p>
        </w:tc>
        <w:tc>
          <w:tcPr>
            <w:tcW w:w="1529" w:type="dxa"/>
          </w:tcPr>
          <w:p w:rsidR="007C5447" w:rsidRDefault="00F6308C">
            <w:pPr>
              <w:pStyle w:val="TableParagraph"/>
              <w:spacing w:before="14" w:line="224" w:lineRule="exact"/>
              <w:ind w:right="89"/>
              <w:rPr>
                <w:sz w:val="20"/>
              </w:rPr>
            </w:pPr>
            <w:r>
              <w:rPr>
                <w:w w:val="95"/>
                <w:sz w:val="20"/>
              </w:rPr>
              <w:t>1,420.00</w:t>
            </w:r>
          </w:p>
        </w:tc>
        <w:tc>
          <w:tcPr>
            <w:tcW w:w="1876" w:type="dxa"/>
          </w:tcPr>
          <w:p w:rsidR="007C5447" w:rsidRDefault="00F6308C">
            <w:pPr>
              <w:pStyle w:val="TableParagraph"/>
              <w:spacing w:before="14" w:line="224" w:lineRule="exact"/>
              <w:ind w:right="90"/>
              <w:rPr>
                <w:sz w:val="20"/>
              </w:rPr>
            </w:pPr>
            <w:r>
              <w:rPr>
                <w:sz w:val="20"/>
              </w:rPr>
              <w:t>3.95</w:t>
            </w:r>
          </w:p>
        </w:tc>
      </w:tr>
      <w:tr w:rsidR="007C5447">
        <w:trPr>
          <w:trHeight w:val="261"/>
        </w:trPr>
        <w:tc>
          <w:tcPr>
            <w:tcW w:w="4719" w:type="dxa"/>
            <w:tcBorders>
              <w:left w:val="single" w:sz="8" w:space="0" w:color="000000"/>
            </w:tcBorders>
          </w:tcPr>
          <w:p w:rsidR="007C5447" w:rsidRDefault="00F6308C">
            <w:pPr>
              <w:pStyle w:val="TableParagraph"/>
              <w:spacing w:before="14" w:line="227" w:lineRule="exact"/>
              <w:ind w:left="107"/>
              <w:jc w:val="left"/>
              <w:rPr>
                <w:sz w:val="20"/>
              </w:rPr>
            </w:pPr>
            <w:r>
              <w:rPr>
                <w:sz w:val="20"/>
              </w:rPr>
              <w:t>UI</w:t>
            </w:r>
          </w:p>
        </w:tc>
        <w:tc>
          <w:tcPr>
            <w:tcW w:w="1519" w:type="dxa"/>
          </w:tcPr>
          <w:p w:rsidR="007C5447" w:rsidRDefault="00F6308C">
            <w:pPr>
              <w:pStyle w:val="TableParagraph"/>
              <w:spacing w:before="14" w:line="227" w:lineRule="exact"/>
              <w:ind w:right="90"/>
              <w:rPr>
                <w:sz w:val="20"/>
              </w:rPr>
            </w:pPr>
            <w:r>
              <w:rPr>
                <w:w w:val="95"/>
                <w:sz w:val="20"/>
              </w:rPr>
              <w:t>(418.00)</w:t>
            </w:r>
          </w:p>
        </w:tc>
        <w:tc>
          <w:tcPr>
            <w:tcW w:w="1500" w:type="dxa"/>
          </w:tcPr>
          <w:p w:rsidR="007C5447" w:rsidRDefault="007C5447">
            <w:pPr>
              <w:pStyle w:val="TableParagraph"/>
              <w:jc w:val="left"/>
              <w:rPr>
                <w:sz w:val="18"/>
              </w:rPr>
            </w:pPr>
          </w:p>
        </w:tc>
        <w:tc>
          <w:tcPr>
            <w:tcW w:w="1500" w:type="dxa"/>
          </w:tcPr>
          <w:p w:rsidR="007C5447" w:rsidRDefault="007C5447">
            <w:pPr>
              <w:pStyle w:val="TableParagraph"/>
              <w:jc w:val="left"/>
              <w:rPr>
                <w:sz w:val="18"/>
              </w:rPr>
            </w:pPr>
          </w:p>
        </w:tc>
        <w:tc>
          <w:tcPr>
            <w:tcW w:w="1531" w:type="dxa"/>
          </w:tcPr>
          <w:p w:rsidR="007C5447" w:rsidRDefault="007C5447">
            <w:pPr>
              <w:pStyle w:val="TableParagraph"/>
              <w:jc w:val="left"/>
              <w:rPr>
                <w:sz w:val="18"/>
              </w:rPr>
            </w:pPr>
          </w:p>
        </w:tc>
        <w:tc>
          <w:tcPr>
            <w:tcW w:w="1529" w:type="dxa"/>
          </w:tcPr>
          <w:p w:rsidR="007C5447" w:rsidRDefault="00F6308C">
            <w:pPr>
              <w:pStyle w:val="TableParagraph"/>
              <w:spacing w:before="14" w:line="227" w:lineRule="exact"/>
              <w:ind w:right="91"/>
              <w:rPr>
                <w:sz w:val="20"/>
              </w:rPr>
            </w:pPr>
            <w:r>
              <w:rPr>
                <w:w w:val="95"/>
                <w:sz w:val="20"/>
              </w:rPr>
              <w:t>117.00</w:t>
            </w:r>
          </w:p>
        </w:tc>
        <w:tc>
          <w:tcPr>
            <w:tcW w:w="1876" w:type="dxa"/>
          </w:tcPr>
          <w:p w:rsidR="007C5447" w:rsidRDefault="00F6308C">
            <w:pPr>
              <w:pStyle w:val="TableParagraph"/>
              <w:spacing w:before="14" w:line="227" w:lineRule="exact"/>
              <w:ind w:right="90"/>
              <w:rPr>
                <w:sz w:val="20"/>
              </w:rPr>
            </w:pPr>
            <w:r>
              <w:rPr>
                <w:w w:val="95"/>
                <w:sz w:val="20"/>
              </w:rPr>
              <w:t>-2.80</w:t>
            </w:r>
          </w:p>
        </w:tc>
      </w:tr>
      <w:tr w:rsidR="007C5447">
        <w:trPr>
          <w:trHeight w:val="258"/>
        </w:trPr>
        <w:tc>
          <w:tcPr>
            <w:tcW w:w="4719" w:type="dxa"/>
            <w:tcBorders>
              <w:left w:val="single" w:sz="8" w:space="0" w:color="000000"/>
            </w:tcBorders>
          </w:tcPr>
          <w:p w:rsidR="007C5447" w:rsidRDefault="00F6308C">
            <w:pPr>
              <w:pStyle w:val="TableParagraph"/>
              <w:spacing w:before="14" w:line="224" w:lineRule="exact"/>
              <w:ind w:left="107"/>
              <w:jc w:val="left"/>
              <w:rPr>
                <w:sz w:val="20"/>
              </w:rPr>
            </w:pPr>
            <w:r>
              <w:rPr>
                <w:sz w:val="20"/>
              </w:rPr>
              <w:t>STOA</w:t>
            </w:r>
          </w:p>
        </w:tc>
        <w:tc>
          <w:tcPr>
            <w:tcW w:w="1519" w:type="dxa"/>
          </w:tcPr>
          <w:p w:rsidR="007C5447" w:rsidRDefault="00F6308C">
            <w:pPr>
              <w:pStyle w:val="TableParagraph"/>
              <w:spacing w:before="14" w:line="224" w:lineRule="exact"/>
              <w:ind w:right="90"/>
              <w:rPr>
                <w:sz w:val="20"/>
              </w:rPr>
            </w:pPr>
            <w:r>
              <w:rPr>
                <w:w w:val="95"/>
                <w:sz w:val="20"/>
              </w:rPr>
              <w:t>3,526.00</w:t>
            </w:r>
          </w:p>
        </w:tc>
        <w:tc>
          <w:tcPr>
            <w:tcW w:w="1500" w:type="dxa"/>
          </w:tcPr>
          <w:p w:rsidR="007C5447" w:rsidRDefault="007C5447">
            <w:pPr>
              <w:pStyle w:val="TableParagraph"/>
              <w:jc w:val="left"/>
              <w:rPr>
                <w:sz w:val="18"/>
              </w:rPr>
            </w:pPr>
          </w:p>
        </w:tc>
        <w:tc>
          <w:tcPr>
            <w:tcW w:w="1500" w:type="dxa"/>
          </w:tcPr>
          <w:p w:rsidR="007C5447" w:rsidRDefault="007C5447">
            <w:pPr>
              <w:pStyle w:val="TableParagraph"/>
              <w:jc w:val="left"/>
              <w:rPr>
                <w:sz w:val="18"/>
              </w:rPr>
            </w:pPr>
          </w:p>
        </w:tc>
        <w:tc>
          <w:tcPr>
            <w:tcW w:w="1531" w:type="dxa"/>
          </w:tcPr>
          <w:p w:rsidR="007C5447" w:rsidRDefault="007C5447">
            <w:pPr>
              <w:pStyle w:val="TableParagraph"/>
              <w:jc w:val="left"/>
              <w:rPr>
                <w:sz w:val="18"/>
              </w:rPr>
            </w:pPr>
          </w:p>
        </w:tc>
        <w:tc>
          <w:tcPr>
            <w:tcW w:w="1529" w:type="dxa"/>
          </w:tcPr>
          <w:p w:rsidR="007C5447" w:rsidRDefault="00F6308C">
            <w:pPr>
              <w:pStyle w:val="TableParagraph"/>
              <w:spacing w:before="14" w:line="224" w:lineRule="exact"/>
              <w:ind w:right="89"/>
              <w:rPr>
                <w:sz w:val="20"/>
              </w:rPr>
            </w:pPr>
            <w:r>
              <w:rPr>
                <w:w w:val="95"/>
                <w:sz w:val="20"/>
              </w:rPr>
              <w:t>1,713.00</w:t>
            </w:r>
          </w:p>
        </w:tc>
        <w:tc>
          <w:tcPr>
            <w:tcW w:w="1876" w:type="dxa"/>
          </w:tcPr>
          <w:p w:rsidR="007C5447" w:rsidRDefault="00F6308C">
            <w:pPr>
              <w:pStyle w:val="TableParagraph"/>
              <w:spacing w:before="14" w:line="224" w:lineRule="exact"/>
              <w:ind w:right="90"/>
              <w:rPr>
                <w:sz w:val="20"/>
              </w:rPr>
            </w:pPr>
            <w:r>
              <w:rPr>
                <w:sz w:val="20"/>
              </w:rPr>
              <w:t>4.86</w:t>
            </w:r>
          </w:p>
        </w:tc>
      </w:tr>
      <w:tr w:rsidR="007C5447">
        <w:trPr>
          <w:trHeight w:val="261"/>
        </w:trPr>
        <w:tc>
          <w:tcPr>
            <w:tcW w:w="4719" w:type="dxa"/>
            <w:tcBorders>
              <w:left w:val="single" w:sz="8" w:space="0" w:color="000000"/>
            </w:tcBorders>
          </w:tcPr>
          <w:p w:rsidR="007C5447" w:rsidRDefault="00F6308C">
            <w:pPr>
              <w:pStyle w:val="TableParagraph"/>
              <w:spacing w:before="14" w:line="227" w:lineRule="exact"/>
              <w:ind w:left="107"/>
              <w:jc w:val="left"/>
              <w:rPr>
                <w:sz w:val="20"/>
              </w:rPr>
            </w:pPr>
            <w:r>
              <w:rPr>
                <w:sz w:val="20"/>
              </w:rPr>
              <w:t>Case 1 - Bidding (MTOA)</w:t>
            </w:r>
          </w:p>
        </w:tc>
        <w:tc>
          <w:tcPr>
            <w:tcW w:w="1519" w:type="dxa"/>
          </w:tcPr>
          <w:p w:rsidR="007C5447" w:rsidRDefault="00F6308C">
            <w:pPr>
              <w:pStyle w:val="TableParagraph"/>
              <w:spacing w:before="14" w:line="227" w:lineRule="exact"/>
              <w:ind w:right="90"/>
              <w:rPr>
                <w:sz w:val="20"/>
              </w:rPr>
            </w:pPr>
            <w:r>
              <w:rPr>
                <w:w w:val="95"/>
                <w:sz w:val="20"/>
              </w:rPr>
              <w:t>3,465.00</w:t>
            </w:r>
          </w:p>
        </w:tc>
        <w:tc>
          <w:tcPr>
            <w:tcW w:w="1500" w:type="dxa"/>
          </w:tcPr>
          <w:p w:rsidR="007C5447" w:rsidRDefault="007C5447">
            <w:pPr>
              <w:pStyle w:val="TableParagraph"/>
              <w:jc w:val="left"/>
              <w:rPr>
                <w:sz w:val="18"/>
              </w:rPr>
            </w:pPr>
          </w:p>
        </w:tc>
        <w:tc>
          <w:tcPr>
            <w:tcW w:w="1500" w:type="dxa"/>
          </w:tcPr>
          <w:p w:rsidR="007C5447" w:rsidRDefault="007C5447">
            <w:pPr>
              <w:pStyle w:val="TableParagraph"/>
              <w:jc w:val="left"/>
              <w:rPr>
                <w:sz w:val="18"/>
              </w:rPr>
            </w:pPr>
          </w:p>
        </w:tc>
        <w:tc>
          <w:tcPr>
            <w:tcW w:w="1531" w:type="dxa"/>
          </w:tcPr>
          <w:p w:rsidR="007C5447" w:rsidRDefault="007C5447">
            <w:pPr>
              <w:pStyle w:val="TableParagraph"/>
              <w:jc w:val="left"/>
              <w:rPr>
                <w:sz w:val="18"/>
              </w:rPr>
            </w:pPr>
          </w:p>
        </w:tc>
        <w:tc>
          <w:tcPr>
            <w:tcW w:w="1529" w:type="dxa"/>
          </w:tcPr>
          <w:p w:rsidR="007C5447" w:rsidRDefault="00F6308C">
            <w:pPr>
              <w:pStyle w:val="TableParagraph"/>
              <w:spacing w:before="14" w:line="227" w:lineRule="exact"/>
              <w:ind w:right="89"/>
              <w:rPr>
                <w:sz w:val="20"/>
              </w:rPr>
            </w:pPr>
            <w:r>
              <w:rPr>
                <w:w w:val="95"/>
                <w:sz w:val="20"/>
              </w:rPr>
              <w:t>1,728.00</w:t>
            </w:r>
          </w:p>
        </w:tc>
        <w:tc>
          <w:tcPr>
            <w:tcW w:w="1876" w:type="dxa"/>
          </w:tcPr>
          <w:p w:rsidR="007C5447" w:rsidRDefault="00F6308C">
            <w:pPr>
              <w:pStyle w:val="TableParagraph"/>
              <w:spacing w:before="14" w:line="227" w:lineRule="exact"/>
              <w:ind w:right="90"/>
              <w:rPr>
                <w:sz w:val="20"/>
              </w:rPr>
            </w:pPr>
            <w:r>
              <w:rPr>
                <w:sz w:val="20"/>
              </w:rPr>
              <w:t>4.99</w:t>
            </w:r>
          </w:p>
        </w:tc>
      </w:tr>
      <w:tr w:rsidR="007C5447">
        <w:trPr>
          <w:trHeight w:val="278"/>
        </w:trPr>
        <w:tc>
          <w:tcPr>
            <w:tcW w:w="4719" w:type="dxa"/>
            <w:tcBorders>
              <w:left w:val="single" w:sz="8" w:space="0" w:color="000000"/>
            </w:tcBorders>
          </w:tcPr>
          <w:p w:rsidR="007C5447" w:rsidRDefault="00F6308C">
            <w:pPr>
              <w:pStyle w:val="TableParagraph"/>
              <w:spacing w:before="24"/>
              <w:ind w:left="107"/>
              <w:jc w:val="left"/>
              <w:rPr>
                <w:b/>
                <w:sz w:val="20"/>
              </w:rPr>
            </w:pPr>
            <w:r>
              <w:rPr>
                <w:b/>
                <w:sz w:val="20"/>
              </w:rPr>
              <w:t>Total Other Sources</w:t>
            </w:r>
          </w:p>
        </w:tc>
        <w:tc>
          <w:tcPr>
            <w:tcW w:w="1519" w:type="dxa"/>
          </w:tcPr>
          <w:p w:rsidR="007C5447" w:rsidRDefault="00F6308C">
            <w:pPr>
              <w:pStyle w:val="TableParagraph"/>
              <w:spacing w:before="24"/>
              <w:ind w:right="93"/>
              <w:rPr>
                <w:b/>
                <w:sz w:val="20"/>
              </w:rPr>
            </w:pPr>
            <w:r>
              <w:rPr>
                <w:b/>
                <w:w w:val="95"/>
                <w:sz w:val="20"/>
              </w:rPr>
              <w:t>10,170.00</w:t>
            </w:r>
          </w:p>
        </w:tc>
        <w:tc>
          <w:tcPr>
            <w:tcW w:w="1500"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F6308C">
            <w:pPr>
              <w:pStyle w:val="TableParagraph"/>
              <w:spacing w:before="24"/>
              <w:ind w:right="89"/>
              <w:rPr>
                <w:b/>
                <w:sz w:val="20"/>
              </w:rPr>
            </w:pPr>
            <w:r>
              <w:rPr>
                <w:b/>
                <w:w w:val="95"/>
                <w:sz w:val="20"/>
              </w:rPr>
              <w:t>4,978.00</w:t>
            </w:r>
          </w:p>
        </w:tc>
        <w:tc>
          <w:tcPr>
            <w:tcW w:w="1876" w:type="dxa"/>
          </w:tcPr>
          <w:p w:rsidR="007C5447" w:rsidRDefault="00F6308C">
            <w:pPr>
              <w:pStyle w:val="TableParagraph"/>
              <w:spacing w:before="24"/>
              <w:ind w:right="90"/>
              <w:rPr>
                <w:b/>
                <w:sz w:val="20"/>
              </w:rPr>
            </w:pPr>
            <w:r>
              <w:rPr>
                <w:b/>
                <w:sz w:val="20"/>
              </w:rPr>
              <w:t>4.89</w:t>
            </w:r>
          </w:p>
        </w:tc>
      </w:tr>
      <w:tr w:rsidR="007C5447">
        <w:trPr>
          <w:trHeight w:val="280"/>
        </w:trPr>
        <w:tc>
          <w:tcPr>
            <w:tcW w:w="4719" w:type="dxa"/>
            <w:tcBorders>
              <w:left w:val="single" w:sz="8" w:space="0" w:color="000000"/>
            </w:tcBorders>
          </w:tcPr>
          <w:p w:rsidR="007C5447" w:rsidRDefault="00F6308C">
            <w:pPr>
              <w:pStyle w:val="TableParagraph"/>
              <w:spacing w:before="24"/>
              <w:ind w:left="107"/>
              <w:jc w:val="left"/>
              <w:rPr>
                <w:b/>
                <w:sz w:val="20"/>
              </w:rPr>
            </w:pPr>
            <w:r>
              <w:rPr>
                <w:b/>
                <w:sz w:val="20"/>
              </w:rPr>
              <w:t>Gross Power Purchase</w:t>
            </w:r>
          </w:p>
        </w:tc>
        <w:tc>
          <w:tcPr>
            <w:tcW w:w="1519" w:type="dxa"/>
          </w:tcPr>
          <w:p w:rsidR="007C5447" w:rsidRDefault="00F6308C">
            <w:pPr>
              <w:pStyle w:val="TableParagraph"/>
              <w:spacing w:before="24"/>
              <w:ind w:right="92"/>
              <w:rPr>
                <w:b/>
                <w:sz w:val="20"/>
              </w:rPr>
            </w:pPr>
            <w:r>
              <w:rPr>
                <w:b/>
                <w:w w:val="95"/>
                <w:sz w:val="20"/>
              </w:rPr>
              <w:t>72,116.61</w:t>
            </w:r>
          </w:p>
        </w:tc>
        <w:tc>
          <w:tcPr>
            <w:tcW w:w="1500"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F6308C">
            <w:pPr>
              <w:pStyle w:val="TableParagraph"/>
              <w:spacing w:before="24"/>
              <w:ind w:right="89"/>
              <w:rPr>
                <w:b/>
                <w:sz w:val="20"/>
              </w:rPr>
            </w:pPr>
            <w:r>
              <w:rPr>
                <w:b/>
                <w:w w:val="95"/>
                <w:sz w:val="20"/>
              </w:rPr>
              <w:t>25,351.36</w:t>
            </w:r>
          </w:p>
        </w:tc>
        <w:tc>
          <w:tcPr>
            <w:tcW w:w="1876" w:type="dxa"/>
          </w:tcPr>
          <w:p w:rsidR="007C5447" w:rsidRDefault="00F6308C">
            <w:pPr>
              <w:pStyle w:val="TableParagraph"/>
              <w:spacing w:before="24"/>
              <w:ind w:right="90"/>
              <w:rPr>
                <w:b/>
                <w:sz w:val="20"/>
              </w:rPr>
            </w:pPr>
            <w:r>
              <w:rPr>
                <w:b/>
                <w:sz w:val="20"/>
              </w:rPr>
              <w:t>3.52</w:t>
            </w:r>
          </w:p>
        </w:tc>
      </w:tr>
      <w:tr w:rsidR="007C5447">
        <w:trPr>
          <w:trHeight w:val="277"/>
        </w:trPr>
        <w:tc>
          <w:tcPr>
            <w:tcW w:w="4719" w:type="dxa"/>
            <w:tcBorders>
              <w:left w:val="single" w:sz="8" w:space="0" w:color="000000"/>
            </w:tcBorders>
          </w:tcPr>
          <w:p w:rsidR="007C5447" w:rsidRDefault="00F6308C">
            <w:pPr>
              <w:pStyle w:val="TableParagraph"/>
              <w:spacing w:before="24"/>
              <w:ind w:left="107"/>
              <w:jc w:val="left"/>
              <w:rPr>
                <w:b/>
                <w:sz w:val="20"/>
              </w:rPr>
            </w:pPr>
            <w:r>
              <w:rPr>
                <w:b/>
                <w:sz w:val="20"/>
              </w:rPr>
              <w:t>PGCIL Charges</w:t>
            </w:r>
          </w:p>
        </w:tc>
        <w:tc>
          <w:tcPr>
            <w:tcW w:w="1519"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7C5447">
            <w:pPr>
              <w:pStyle w:val="TableParagraph"/>
              <w:jc w:val="left"/>
              <w:rPr>
                <w:sz w:val="20"/>
              </w:rPr>
            </w:pPr>
          </w:p>
        </w:tc>
        <w:tc>
          <w:tcPr>
            <w:tcW w:w="1876" w:type="dxa"/>
          </w:tcPr>
          <w:p w:rsidR="007C5447" w:rsidRDefault="007C5447">
            <w:pPr>
              <w:pStyle w:val="TableParagraph"/>
              <w:jc w:val="left"/>
              <w:rPr>
                <w:sz w:val="20"/>
              </w:rPr>
            </w:pPr>
          </w:p>
        </w:tc>
      </w:tr>
      <w:tr w:rsidR="007C5447">
        <w:trPr>
          <w:trHeight w:val="278"/>
        </w:trPr>
        <w:tc>
          <w:tcPr>
            <w:tcW w:w="4719" w:type="dxa"/>
            <w:tcBorders>
              <w:left w:val="single" w:sz="8" w:space="0" w:color="000000"/>
            </w:tcBorders>
          </w:tcPr>
          <w:p w:rsidR="007C5447" w:rsidRDefault="00F6308C">
            <w:pPr>
              <w:pStyle w:val="TableParagraph"/>
              <w:spacing w:before="24"/>
              <w:ind w:left="107"/>
              <w:jc w:val="left"/>
              <w:rPr>
                <w:i/>
                <w:sz w:val="20"/>
              </w:rPr>
            </w:pPr>
            <w:r>
              <w:rPr>
                <w:i/>
                <w:sz w:val="20"/>
              </w:rPr>
              <w:t>PGCIL SR and ER wheeling</w:t>
            </w:r>
          </w:p>
        </w:tc>
        <w:tc>
          <w:tcPr>
            <w:tcW w:w="1519"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F6308C">
            <w:pPr>
              <w:pStyle w:val="TableParagraph"/>
              <w:spacing w:before="24"/>
              <w:ind w:right="89"/>
              <w:rPr>
                <w:sz w:val="20"/>
              </w:rPr>
            </w:pPr>
            <w:r>
              <w:rPr>
                <w:w w:val="95"/>
                <w:sz w:val="20"/>
              </w:rPr>
              <w:t>2,219.00</w:t>
            </w:r>
          </w:p>
        </w:tc>
        <w:tc>
          <w:tcPr>
            <w:tcW w:w="1876" w:type="dxa"/>
          </w:tcPr>
          <w:p w:rsidR="007C5447" w:rsidRDefault="007C5447">
            <w:pPr>
              <w:pStyle w:val="TableParagraph"/>
              <w:jc w:val="left"/>
              <w:rPr>
                <w:sz w:val="20"/>
              </w:rPr>
            </w:pPr>
          </w:p>
        </w:tc>
      </w:tr>
      <w:tr w:rsidR="007C5447">
        <w:trPr>
          <w:trHeight w:val="280"/>
        </w:trPr>
        <w:tc>
          <w:tcPr>
            <w:tcW w:w="4719" w:type="dxa"/>
            <w:tcBorders>
              <w:left w:val="single" w:sz="8" w:space="0" w:color="000000"/>
            </w:tcBorders>
          </w:tcPr>
          <w:p w:rsidR="007C5447" w:rsidRDefault="00F6308C">
            <w:pPr>
              <w:pStyle w:val="TableParagraph"/>
              <w:spacing w:before="26"/>
              <w:ind w:left="107"/>
              <w:jc w:val="left"/>
              <w:rPr>
                <w:i/>
                <w:sz w:val="20"/>
              </w:rPr>
            </w:pPr>
            <w:r>
              <w:rPr>
                <w:i/>
                <w:sz w:val="20"/>
              </w:rPr>
              <w:t>PGCIL- Reactive energy</w:t>
            </w:r>
          </w:p>
        </w:tc>
        <w:tc>
          <w:tcPr>
            <w:tcW w:w="1519"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F6308C">
            <w:pPr>
              <w:pStyle w:val="TableParagraph"/>
              <w:spacing w:before="26"/>
              <w:ind w:right="88"/>
              <w:rPr>
                <w:sz w:val="20"/>
              </w:rPr>
            </w:pPr>
            <w:r>
              <w:rPr>
                <w:w w:val="99"/>
                <w:sz w:val="20"/>
              </w:rPr>
              <w:t>-</w:t>
            </w:r>
          </w:p>
        </w:tc>
        <w:tc>
          <w:tcPr>
            <w:tcW w:w="1876" w:type="dxa"/>
          </w:tcPr>
          <w:p w:rsidR="007C5447" w:rsidRDefault="007C5447">
            <w:pPr>
              <w:pStyle w:val="TableParagraph"/>
              <w:jc w:val="left"/>
              <w:rPr>
                <w:sz w:val="20"/>
              </w:rPr>
            </w:pPr>
          </w:p>
        </w:tc>
      </w:tr>
      <w:tr w:rsidR="007C5447">
        <w:trPr>
          <w:trHeight w:val="278"/>
        </w:trPr>
        <w:tc>
          <w:tcPr>
            <w:tcW w:w="4719" w:type="dxa"/>
            <w:tcBorders>
              <w:left w:val="single" w:sz="8" w:space="0" w:color="000000"/>
            </w:tcBorders>
          </w:tcPr>
          <w:p w:rsidR="007C5447" w:rsidRDefault="00F6308C">
            <w:pPr>
              <w:pStyle w:val="TableParagraph"/>
              <w:spacing w:before="24"/>
              <w:ind w:left="107"/>
              <w:jc w:val="left"/>
              <w:rPr>
                <w:b/>
                <w:sz w:val="20"/>
              </w:rPr>
            </w:pPr>
            <w:r>
              <w:rPr>
                <w:b/>
                <w:sz w:val="20"/>
              </w:rPr>
              <w:t>Total PGCIL charges</w:t>
            </w:r>
          </w:p>
        </w:tc>
        <w:tc>
          <w:tcPr>
            <w:tcW w:w="1519" w:type="dxa"/>
          </w:tcPr>
          <w:p w:rsidR="007C5447" w:rsidRDefault="00F6308C">
            <w:pPr>
              <w:pStyle w:val="TableParagraph"/>
              <w:spacing w:before="24"/>
              <w:ind w:right="91"/>
              <w:rPr>
                <w:b/>
                <w:sz w:val="20"/>
              </w:rPr>
            </w:pPr>
            <w:r>
              <w:rPr>
                <w:b/>
                <w:w w:val="99"/>
                <w:sz w:val="20"/>
              </w:rPr>
              <w:t>-</w:t>
            </w:r>
          </w:p>
        </w:tc>
        <w:tc>
          <w:tcPr>
            <w:tcW w:w="1500"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F6308C">
            <w:pPr>
              <w:pStyle w:val="TableParagraph"/>
              <w:spacing w:before="24"/>
              <w:ind w:right="89"/>
              <w:rPr>
                <w:b/>
                <w:sz w:val="20"/>
              </w:rPr>
            </w:pPr>
            <w:r>
              <w:rPr>
                <w:b/>
                <w:w w:val="95"/>
                <w:sz w:val="20"/>
              </w:rPr>
              <w:t>2,219.00</w:t>
            </w:r>
          </w:p>
        </w:tc>
        <w:tc>
          <w:tcPr>
            <w:tcW w:w="1876" w:type="dxa"/>
          </w:tcPr>
          <w:p w:rsidR="007C5447" w:rsidRDefault="00F6308C">
            <w:pPr>
              <w:pStyle w:val="TableParagraph"/>
              <w:spacing w:before="24"/>
              <w:ind w:right="89"/>
              <w:rPr>
                <w:b/>
                <w:sz w:val="20"/>
              </w:rPr>
            </w:pPr>
            <w:r>
              <w:rPr>
                <w:b/>
                <w:w w:val="99"/>
                <w:sz w:val="20"/>
              </w:rPr>
              <w:t>-</w:t>
            </w:r>
          </w:p>
        </w:tc>
      </w:tr>
      <w:tr w:rsidR="007C5447">
        <w:trPr>
          <w:trHeight w:val="280"/>
        </w:trPr>
        <w:tc>
          <w:tcPr>
            <w:tcW w:w="4719" w:type="dxa"/>
            <w:tcBorders>
              <w:left w:val="single" w:sz="8" w:space="0" w:color="000000"/>
            </w:tcBorders>
          </w:tcPr>
          <w:p w:rsidR="007C5447" w:rsidRDefault="00F6308C">
            <w:pPr>
              <w:pStyle w:val="TableParagraph"/>
              <w:spacing w:before="24"/>
              <w:ind w:left="107"/>
              <w:jc w:val="left"/>
              <w:rPr>
                <w:b/>
                <w:sz w:val="20"/>
              </w:rPr>
            </w:pPr>
            <w:r>
              <w:rPr>
                <w:b/>
                <w:sz w:val="20"/>
              </w:rPr>
              <w:t>TANTRANSCO Charges</w:t>
            </w:r>
          </w:p>
        </w:tc>
        <w:tc>
          <w:tcPr>
            <w:tcW w:w="1519"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F6308C">
            <w:pPr>
              <w:pStyle w:val="TableParagraph"/>
              <w:spacing w:before="24"/>
              <w:ind w:right="89"/>
              <w:rPr>
                <w:b/>
                <w:sz w:val="20"/>
              </w:rPr>
            </w:pPr>
            <w:r>
              <w:rPr>
                <w:b/>
                <w:w w:val="95"/>
                <w:sz w:val="20"/>
              </w:rPr>
              <w:t>2,228.01</w:t>
            </w:r>
          </w:p>
        </w:tc>
        <w:tc>
          <w:tcPr>
            <w:tcW w:w="1876" w:type="dxa"/>
          </w:tcPr>
          <w:p w:rsidR="007C5447" w:rsidRDefault="007C5447">
            <w:pPr>
              <w:pStyle w:val="TableParagraph"/>
              <w:jc w:val="left"/>
              <w:rPr>
                <w:sz w:val="20"/>
              </w:rPr>
            </w:pPr>
          </w:p>
        </w:tc>
      </w:tr>
      <w:tr w:rsidR="007C5447">
        <w:trPr>
          <w:trHeight w:val="278"/>
        </w:trPr>
        <w:tc>
          <w:tcPr>
            <w:tcW w:w="4719" w:type="dxa"/>
            <w:tcBorders>
              <w:left w:val="single" w:sz="8" w:space="0" w:color="000000"/>
            </w:tcBorders>
          </w:tcPr>
          <w:p w:rsidR="007C5447" w:rsidRDefault="00F6308C">
            <w:pPr>
              <w:pStyle w:val="TableParagraph"/>
              <w:spacing w:before="24"/>
              <w:ind w:left="107"/>
              <w:jc w:val="left"/>
              <w:rPr>
                <w:b/>
                <w:sz w:val="20"/>
              </w:rPr>
            </w:pPr>
            <w:r>
              <w:rPr>
                <w:b/>
                <w:sz w:val="20"/>
              </w:rPr>
              <w:t>Total Power Purchase</w:t>
            </w:r>
          </w:p>
        </w:tc>
        <w:tc>
          <w:tcPr>
            <w:tcW w:w="1519" w:type="dxa"/>
          </w:tcPr>
          <w:p w:rsidR="007C5447" w:rsidRDefault="00F6308C">
            <w:pPr>
              <w:pStyle w:val="TableParagraph"/>
              <w:spacing w:before="24"/>
              <w:ind w:right="93"/>
              <w:rPr>
                <w:b/>
                <w:sz w:val="20"/>
              </w:rPr>
            </w:pPr>
            <w:r>
              <w:rPr>
                <w:b/>
                <w:w w:val="95"/>
                <w:sz w:val="20"/>
              </w:rPr>
              <w:t>72,116.61</w:t>
            </w:r>
          </w:p>
        </w:tc>
        <w:tc>
          <w:tcPr>
            <w:tcW w:w="1500" w:type="dxa"/>
          </w:tcPr>
          <w:p w:rsidR="007C5447" w:rsidRDefault="007C5447">
            <w:pPr>
              <w:pStyle w:val="TableParagraph"/>
              <w:jc w:val="left"/>
              <w:rPr>
                <w:sz w:val="20"/>
              </w:rPr>
            </w:pPr>
          </w:p>
        </w:tc>
        <w:tc>
          <w:tcPr>
            <w:tcW w:w="1500" w:type="dxa"/>
          </w:tcPr>
          <w:p w:rsidR="007C5447" w:rsidRDefault="007C5447">
            <w:pPr>
              <w:pStyle w:val="TableParagraph"/>
              <w:jc w:val="left"/>
              <w:rPr>
                <w:sz w:val="20"/>
              </w:rPr>
            </w:pPr>
          </w:p>
        </w:tc>
        <w:tc>
          <w:tcPr>
            <w:tcW w:w="1531" w:type="dxa"/>
          </w:tcPr>
          <w:p w:rsidR="007C5447" w:rsidRDefault="007C5447">
            <w:pPr>
              <w:pStyle w:val="TableParagraph"/>
              <w:jc w:val="left"/>
              <w:rPr>
                <w:sz w:val="20"/>
              </w:rPr>
            </w:pPr>
          </w:p>
        </w:tc>
        <w:tc>
          <w:tcPr>
            <w:tcW w:w="1529" w:type="dxa"/>
          </w:tcPr>
          <w:p w:rsidR="007C5447" w:rsidRDefault="00F6308C">
            <w:pPr>
              <w:pStyle w:val="TableParagraph"/>
              <w:spacing w:before="24"/>
              <w:ind w:right="91"/>
              <w:rPr>
                <w:b/>
                <w:sz w:val="20"/>
              </w:rPr>
            </w:pPr>
            <w:r>
              <w:rPr>
                <w:b/>
                <w:w w:val="95"/>
                <w:sz w:val="20"/>
              </w:rPr>
              <w:t>29,798.37</w:t>
            </w:r>
          </w:p>
        </w:tc>
        <w:tc>
          <w:tcPr>
            <w:tcW w:w="1876" w:type="dxa"/>
          </w:tcPr>
          <w:p w:rsidR="007C5447" w:rsidRDefault="00F6308C">
            <w:pPr>
              <w:pStyle w:val="TableParagraph"/>
              <w:spacing w:before="24"/>
              <w:ind w:right="90"/>
              <w:rPr>
                <w:b/>
                <w:sz w:val="20"/>
              </w:rPr>
            </w:pPr>
            <w:r>
              <w:rPr>
                <w:b/>
                <w:sz w:val="20"/>
              </w:rPr>
              <w:t>4.13</w:t>
            </w:r>
          </w:p>
        </w:tc>
      </w:tr>
    </w:tbl>
    <w:p w:rsidR="007C5447" w:rsidRDefault="007C5447">
      <w:pPr>
        <w:pStyle w:val="BodyText"/>
        <w:rPr>
          <w:sz w:val="20"/>
        </w:rPr>
      </w:pPr>
    </w:p>
    <w:p w:rsidR="007C5447" w:rsidRDefault="007C5447">
      <w:pPr>
        <w:pStyle w:val="BodyText"/>
        <w:rPr>
          <w:sz w:val="20"/>
        </w:rPr>
      </w:pPr>
    </w:p>
    <w:p w:rsidR="007C5447" w:rsidRDefault="007C5447">
      <w:pPr>
        <w:pStyle w:val="BodyText"/>
        <w:spacing w:before="7"/>
        <w:rPr>
          <w:sz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60"/>
        <w:gridCol w:w="1567"/>
        <w:gridCol w:w="1570"/>
        <w:gridCol w:w="1519"/>
        <w:gridCol w:w="1567"/>
        <w:gridCol w:w="1568"/>
        <w:gridCol w:w="1625"/>
      </w:tblGrid>
      <w:tr w:rsidR="007C5447">
        <w:trPr>
          <w:trHeight w:val="328"/>
        </w:trPr>
        <w:tc>
          <w:tcPr>
            <w:tcW w:w="4760" w:type="dxa"/>
            <w:vMerge w:val="restart"/>
            <w:shd w:val="clear" w:color="auto" w:fill="FBD4B4"/>
          </w:tcPr>
          <w:p w:rsidR="007C5447" w:rsidRDefault="007C5447">
            <w:pPr>
              <w:pStyle w:val="TableParagraph"/>
              <w:jc w:val="left"/>
            </w:pPr>
          </w:p>
          <w:p w:rsidR="007C5447" w:rsidRDefault="00F6308C">
            <w:pPr>
              <w:pStyle w:val="TableParagraph"/>
              <w:spacing w:before="163"/>
              <w:ind w:left="1730" w:right="1722"/>
              <w:jc w:val="center"/>
              <w:rPr>
                <w:b/>
                <w:sz w:val="20"/>
              </w:rPr>
            </w:pPr>
            <w:r>
              <w:rPr>
                <w:b/>
                <w:sz w:val="20"/>
              </w:rPr>
              <w:t>Source</w:t>
            </w:r>
          </w:p>
        </w:tc>
        <w:tc>
          <w:tcPr>
            <w:tcW w:w="9416" w:type="dxa"/>
            <w:gridSpan w:val="6"/>
            <w:shd w:val="clear" w:color="auto" w:fill="FBD4B4"/>
          </w:tcPr>
          <w:p w:rsidR="007C5447" w:rsidRDefault="00F6308C">
            <w:pPr>
              <w:pStyle w:val="TableParagraph"/>
              <w:spacing w:before="84" w:line="224" w:lineRule="exact"/>
              <w:ind w:left="4191" w:right="4181"/>
              <w:jc w:val="center"/>
              <w:rPr>
                <w:b/>
                <w:sz w:val="20"/>
              </w:rPr>
            </w:pPr>
            <w:r>
              <w:rPr>
                <w:b/>
                <w:sz w:val="20"/>
              </w:rPr>
              <w:t>FY 2014-15</w:t>
            </w:r>
          </w:p>
        </w:tc>
      </w:tr>
      <w:tr w:rsidR="007C5447">
        <w:trPr>
          <w:trHeight w:val="720"/>
        </w:trPr>
        <w:tc>
          <w:tcPr>
            <w:tcW w:w="4760" w:type="dxa"/>
            <w:vMerge/>
            <w:tcBorders>
              <w:top w:val="nil"/>
            </w:tcBorders>
            <w:shd w:val="clear" w:color="auto" w:fill="FBD4B4"/>
          </w:tcPr>
          <w:p w:rsidR="007C5447" w:rsidRDefault="007C5447">
            <w:pPr>
              <w:rPr>
                <w:sz w:val="2"/>
                <w:szCs w:val="2"/>
              </w:rPr>
            </w:pPr>
          </w:p>
        </w:tc>
        <w:tc>
          <w:tcPr>
            <w:tcW w:w="1567" w:type="dxa"/>
            <w:shd w:val="clear" w:color="auto" w:fill="FBD4B4"/>
          </w:tcPr>
          <w:p w:rsidR="007C5447" w:rsidRDefault="007C5447">
            <w:pPr>
              <w:pStyle w:val="TableParagraph"/>
              <w:spacing w:before="4"/>
              <w:jc w:val="left"/>
              <w:rPr>
                <w:sz w:val="21"/>
              </w:rPr>
            </w:pPr>
          </w:p>
          <w:p w:rsidR="007C5447" w:rsidRDefault="00F6308C">
            <w:pPr>
              <w:pStyle w:val="TableParagraph"/>
              <w:ind w:left="112"/>
              <w:jc w:val="left"/>
              <w:rPr>
                <w:b/>
                <w:sz w:val="20"/>
              </w:rPr>
            </w:pPr>
            <w:r>
              <w:rPr>
                <w:b/>
                <w:sz w:val="20"/>
              </w:rPr>
              <w:t>Quantum (MU)</w:t>
            </w:r>
          </w:p>
        </w:tc>
        <w:tc>
          <w:tcPr>
            <w:tcW w:w="1570" w:type="dxa"/>
            <w:shd w:val="clear" w:color="auto" w:fill="FBD4B4"/>
          </w:tcPr>
          <w:p w:rsidR="007C5447" w:rsidRDefault="00F6308C">
            <w:pPr>
              <w:pStyle w:val="TableParagraph"/>
              <w:spacing w:before="130"/>
              <w:ind w:left="439" w:hanging="276"/>
              <w:jc w:val="left"/>
              <w:rPr>
                <w:b/>
                <w:sz w:val="20"/>
              </w:rPr>
            </w:pPr>
            <w:r>
              <w:rPr>
                <w:b/>
                <w:sz w:val="20"/>
              </w:rPr>
              <w:t>Fixed Charges (Rs. Cr.)</w:t>
            </w:r>
          </w:p>
        </w:tc>
        <w:tc>
          <w:tcPr>
            <w:tcW w:w="1519" w:type="dxa"/>
            <w:shd w:val="clear" w:color="auto" w:fill="FBD4B4"/>
          </w:tcPr>
          <w:p w:rsidR="007C5447" w:rsidRDefault="00F6308C">
            <w:pPr>
              <w:pStyle w:val="TableParagraph"/>
              <w:spacing w:before="17"/>
              <w:ind w:left="441" w:right="432" w:firstLine="1"/>
              <w:jc w:val="center"/>
              <w:rPr>
                <w:b/>
                <w:sz w:val="20"/>
              </w:rPr>
            </w:pPr>
            <w:r>
              <w:rPr>
                <w:b/>
                <w:sz w:val="20"/>
              </w:rPr>
              <w:t xml:space="preserve">Energy </w:t>
            </w:r>
            <w:r>
              <w:rPr>
                <w:b/>
                <w:w w:val="95"/>
                <w:sz w:val="20"/>
              </w:rPr>
              <w:t>Charge</w:t>
            </w:r>
          </w:p>
          <w:p w:rsidR="007C5447" w:rsidRDefault="00F6308C">
            <w:pPr>
              <w:pStyle w:val="TableParagraph"/>
              <w:spacing w:line="223" w:lineRule="exact"/>
              <w:ind w:left="255" w:right="247"/>
              <w:jc w:val="center"/>
              <w:rPr>
                <w:b/>
                <w:sz w:val="20"/>
              </w:rPr>
            </w:pPr>
            <w:r>
              <w:rPr>
                <w:b/>
                <w:sz w:val="20"/>
              </w:rPr>
              <w:t>(Rs. Crore)</w:t>
            </w:r>
          </w:p>
        </w:tc>
        <w:tc>
          <w:tcPr>
            <w:tcW w:w="1567" w:type="dxa"/>
            <w:shd w:val="clear" w:color="auto" w:fill="FBD4B4"/>
          </w:tcPr>
          <w:p w:rsidR="007C5447" w:rsidRDefault="00F6308C">
            <w:pPr>
              <w:pStyle w:val="TableParagraph"/>
              <w:spacing w:before="130"/>
              <w:ind w:left="360" w:right="104" w:hanging="233"/>
              <w:jc w:val="left"/>
              <w:rPr>
                <w:b/>
                <w:sz w:val="20"/>
              </w:rPr>
            </w:pPr>
            <w:r>
              <w:rPr>
                <w:b/>
                <w:sz w:val="20"/>
              </w:rPr>
              <w:t>Energy Charge (Rs./Unit)</w:t>
            </w:r>
          </w:p>
        </w:tc>
        <w:tc>
          <w:tcPr>
            <w:tcW w:w="1568" w:type="dxa"/>
            <w:shd w:val="clear" w:color="auto" w:fill="FBD4B4"/>
          </w:tcPr>
          <w:p w:rsidR="007C5447" w:rsidRDefault="00F6308C">
            <w:pPr>
              <w:pStyle w:val="TableParagraph"/>
              <w:spacing w:before="130"/>
              <w:ind w:left="440" w:right="307" w:hanging="104"/>
              <w:jc w:val="left"/>
              <w:rPr>
                <w:b/>
                <w:sz w:val="20"/>
              </w:rPr>
            </w:pPr>
            <w:r>
              <w:rPr>
                <w:b/>
                <w:sz w:val="20"/>
              </w:rPr>
              <w:t>Total Cost (Rs. Cr)</w:t>
            </w:r>
          </w:p>
        </w:tc>
        <w:tc>
          <w:tcPr>
            <w:tcW w:w="1625" w:type="dxa"/>
            <w:shd w:val="clear" w:color="auto" w:fill="FBD4B4"/>
          </w:tcPr>
          <w:p w:rsidR="007C5447" w:rsidRDefault="007C5447">
            <w:pPr>
              <w:pStyle w:val="TableParagraph"/>
              <w:spacing w:before="4"/>
              <w:jc w:val="left"/>
              <w:rPr>
                <w:sz w:val="21"/>
              </w:rPr>
            </w:pPr>
          </w:p>
          <w:p w:rsidR="007C5447" w:rsidRDefault="00F6308C">
            <w:pPr>
              <w:pStyle w:val="TableParagraph"/>
              <w:ind w:left="170"/>
              <w:jc w:val="left"/>
              <w:rPr>
                <w:b/>
                <w:sz w:val="20"/>
              </w:rPr>
            </w:pPr>
            <w:r>
              <w:rPr>
                <w:b/>
                <w:sz w:val="20"/>
              </w:rPr>
              <w:t>Rate (Rs/kWh)</w:t>
            </w:r>
          </w:p>
        </w:tc>
      </w:tr>
      <w:tr w:rsidR="007C5447">
        <w:trPr>
          <w:trHeight w:val="390"/>
        </w:trPr>
        <w:tc>
          <w:tcPr>
            <w:tcW w:w="4760" w:type="dxa"/>
          </w:tcPr>
          <w:p w:rsidR="007C5447" w:rsidRDefault="00F6308C">
            <w:pPr>
              <w:pStyle w:val="TableParagraph"/>
              <w:spacing w:before="82"/>
              <w:ind w:left="1296"/>
              <w:jc w:val="left"/>
              <w:rPr>
                <w:b/>
                <w:sz w:val="20"/>
              </w:rPr>
            </w:pPr>
            <w:r>
              <w:rPr>
                <w:b/>
                <w:sz w:val="20"/>
              </w:rPr>
              <w:t>Own Generating Stations</w:t>
            </w:r>
          </w:p>
        </w:tc>
        <w:tc>
          <w:tcPr>
            <w:tcW w:w="1567" w:type="dxa"/>
          </w:tcPr>
          <w:p w:rsidR="007C5447" w:rsidRDefault="007C5447">
            <w:pPr>
              <w:pStyle w:val="TableParagraph"/>
              <w:jc w:val="left"/>
              <w:rPr>
                <w:sz w:val="20"/>
              </w:rPr>
            </w:pP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7C5447">
            <w:pPr>
              <w:pStyle w:val="TableParagraph"/>
              <w:jc w:val="left"/>
              <w:rPr>
                <w:sz w:val="20"/>
              </w:rPr>
            </w:pPr>
          </w:p>
        </w:tc>
        <w:tc>
          <w:tcPr>
            <w:tcW w:w="1625" w:type="dxa"/>
          </w:tcPr>
          <w:p w:rsidR="007C5447" w:rsidRDefault="007C5447">
            <w:pPr>
              <w:pStyle w:val="TableParagraph"/>
              <w:jc w:val="left"/>
              <w:rPr>
                <w:sz w:val="20"/>
              </w:rPr>
            </w:pPr>
          </w:p>
        </w:tc>
      </w:tr>
    </w:tbl>
    <w:p w:rsidR="007C5447" w:rsidRDefault="007C5447">
      <w:pPr>
        <w:rPr>
          <w:sz w:val="20"/>
        </w:rPr>
        <w:sectPr w:rsidR="007C5447">
          <w:pgSz w:w="16840" w:h="11910" w:orient="landscape"/>
          <w:pgMar w:top="1100" w:right="1220" w:bottom="960" w:left="1220" w:header="0" w:footer="777" w:gutter="0"/>
          <w:cols w:space="720"/>
        </w:sectPr>
      </w:pPr>
    </w:p>
    <w:p w:rsidR="007C5447" w:rsidRDefault="007C5447">
      <w:pPr>
        <w:pStyle w:val="BodyText"/>
        <w:spacing w:before="3"/>
        <w:rPr>
          <w:sz w:val="2"/>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60"/>
        <w:gridCol w:w="1567"/>
        <w:gridCol w:w="1570"/>
        <w:gridCol w:w="1519"/>
        <w:gridCol w:w="1567"/>
        <w:gridCol w:w="1568"/>
        <w:gridCol w:w="1625"/>
      </w:tblGrid>
      <w:tr w:rsidR="007C5447">
        <w:trPr>
          <w:trHeight w:val="331"/>
        </w:trPr>
        <w:tc>
          <w:tcPr>
            <w:tcW w:w="4760" w:type="dxa"/>
            <w:vMerge w:val="restart"/>
            <w:shd w:val="clear" w:color="auto" w:fill="FBD4B4"/>
          </w:tcPr>
          <w:p w:rsidR="007C5447" w:rsidRDefault="007C5447">
            <w:pPr>
              <w:pStyle w:val="TableParagraph"/>
              <w:jc w:val="left"/>
            </w:pPr>
          </w:p>
          <w:p w:rsidR="007C5447" w:rsidRDefault="00F6308C">
            <w:pPr>
              <w:pStyle w:val="TableParagraph"/>
              <w:spacing w:before="163"/>
              <w:ind w:left="1737" w:right="1719"/>
              <w:jc w:val="center"/>
              <w:rPr>
                <w:b/>
                <w:sz w:val="20"/>
              </w:rPr>
            </w:pPr>
            <w:r>
              <w:rPr>
                <w:b/>
                <w:sz w:val="20"/>
              </w:rPr>
              <w:t>Source</w:t>
            </w:r>
          </w:p>
        </w:tc>
        <w:tc>
          <w:tcPr>
            <w:tcW w:w="9416" w:type="dxa"/>
            <w:gridSpan w:val="6"/>
            <w:shd w:val="clear" w:color="auto" w:fill="FBD4B4"/>
          </w:tcPr>
          <w:p w:rsidR="007C5447" w:rsidRDefault="00F6308C">
            <w:pPr>
              <w:pStyle w:val="TableParagraph"/>
              <w:spacing w:before="87" w:line="224" w:lineRule="exact"/>
              <w:ind w:left="4196" w:right="4177"/>
              <w:jc w:val="center"/>
              <w:rPr>
                <w:b/>
                <w:sz w:val="20"/>
              </w:rPr>
            </w:pPr>
            <w:r>
              <w:rPr>
                <w:b/>
                <w:sz w:val="20"/>
              </w:rPr>
              <w:t>FY 2014-15</w:t>
            </w:r>
          </w:p>
        </w:tc>
      </w:tr>
      <w:tr w:rsidR="007C5447">
        <w:trPr>
          <w:trHeight w:val="719"/>
        </w:trPr>
        <w:tc>
          <w:tcPr>
            <w:tcW w:w="4760" w:type="dxa"/>
            <w:vMerge/>
            <w:tcBorders>
              <w:top w:val="nil"/>
            </w:tcBorders>
            <w:shd w:val="clear" w:color="auto" w:fill="FBD4B4"/>
          </w:tcPr>
          <w:p w:rsidR="007C5447" w:rsidRDefault="007C5447">
            <w:pPr>
              <w:rPr>
                <w:sz w:val="2"/>
                <w:szCs w:val="2"/>
              </w:rPr>
            </w:pPr>
          </w:p>
        </w:tc>
        <w:tc>
          <w:tcPr>
            <w:tcW w:w="1567" w:type="dxa"/>
            <w:shd w:val="clear" w:color="auto" w:fill="FBD4B4"/>
          </w:tcPr>
          <w:p w:rsidR="007C5447" w:rsidRDefault="007C5447">
            <w:pPr>
              <w:pStyle w:val="TableParagraph"/>
              <w:spacing w:before="3"/>
              <w:jc w:val="left"/>
              <w:rPr>
                <w:sz w:val="21"/>
              </w:rPr>
            </w:pPr>
          </w:p>
          <w:p w:rsidR="007C5447" w:rsidRDefault="00F6308C">
            <w:pPr>
              <w:pStyle w:val="TableParagraph"/>
              <w:ind w:right="98"/>
              <w:rPr>
                <w:b/>
                <w:sz w:val="20"/>
              </w:rPr>
            </w:pPr>
            <w:r>
              <w:rPr>
                <w:b/>
                <w:sz w:val="20"/>
              </w:rPr>
              <w:t>Quantum (MU)</w:t>
            </w:r>
          </w:p>
        </w:tc>
        <w:tc>
          <w:tcPr>
            <w:tcW w:w="1570" w:type="dxa"/>
            <w:shd w:val="clear" w:color="auto" w:fill="FBD4B4"/>
          </w:tcPr>
          <w:p w:rsidR="007C5447" w:rsidRDefault="00F6308C">
            <w:pPr>
              <w:pStyle w:val="TableParagraph"/>
              <w:spacing w:before="130"/>
              <w:ind w:left="444" w:hanging="276"/>
              <w:jc w:val="left"/>
              <w:rPr>
                <w:b/>
                <w:sz w:val="20"/>
              </w:rPr>
            </w:pPr>
            <w:r>
              <w:rPr>
                <w:b/>
                <w:sz w:val="20"/>
              </w:rPr>
              <w:t>Fixed Charges (Rs. Cr.)</w:t>
            </w:r>
          </w:p>
        </w:tc>
        <w:tc>
          <w:tcPr>
            <w:tcW w:w="1519" w:type="dxa"/>
            <w:shd w:val="clear" w:color="auto" w:fill="FBD4B4"/>
          </w:tcPr>
          <w:p w:rsidR="007C5447" w:rsidRDefault="00F6308C">
            <w:pPr>
              <w:pStyle w:val="TableParagraph"/>
              <w:spacing w:before="14" w:line="230" w:lineRule="atLeast"/>
              <w:ind w:left="280" w:right="260"/>
              <w:jc w:val="center"/>
              <w:rPr>
                <w:b/>
                <w:sz w:val="20"/>
              </w:rPr>
            </w:pPr>
            <w:r>
              <w:rPr>
                <w:b/>
                <w:sz w:val="20"/>
              </w:rPr>
              <w:t>Energy Charge (Rs. Crore)</w:t>
            </w:r>
          </w:p>
        </w:tc>
        <w:tc>
          <w:tcPr>
            <w:tcW w:w="1567" w:type="dxa"/>
            <w:shd w:val="clear" w:color="auto" w:fill="FBD4B4"/>
          </w:tcPr>
          <w:p w:rsidR="007C5447" w:rsidRDefault="00F6308C">
            <w:pPr>
              <w:pStyle w:val="TableParagraph"/>
              <w:spacing w:before="130"/>
              <w:ind w:left="365" w:right="99" w:hanging="233"/>
              <w:jc w:val="left"/>
              <w:rPr>
                <w:b/>
                <w:sz w:val="20"/>
              </w:rPr>
            </w:pPr>
            <w:r>
              <w:rPr>
                <w:b/>
                <w:sz w:val="20"/>
              </w:rPr>
              <w:t>Energy Charge (Rs./Unit)</w:t>
            </w:r>
          </w:p>
        </w:tc>
        <w:tc>
          <w:tcPr>
            <w:tcW w:w="1568" w:type="dxa"/>
            <w:shd w:val="clear" w:color="auto" w:fill="FBD4B4"/>
          </w:tcPr>
          <w:p w:rsidR="007C5447" w:rsidRDefault="00F6308C">
            <w:pPr>
              <w:pStyle w:val="TableParagraph"/>
              <w:spacing w:before="130"/>
              <w:ind w:left="445" w:right="302" w:hanging="104"/>
              <w:jc w:val="left"/>
              <w:rPr>
                <w:b/>
                <w:sz w:val="20"/>
              </w:rPr>
            </w:pPr>
            <w:r>
              <w:rPr>
                <w:b/>
                <w:sz w:val="20"/>
              </w:rPr>
              <w:t>Total Cost (Rs. Cr)</w:t>
            </w:r>
          </w:p>
        </w:tc>
        <w:tc>
          <w:tcPr>
            <w:tcW w:w="1625" w:type="dxa"/>
            <w:shd w:val="clear" w:color="auto" w:fill="FBD4B4"/>
          </w:tcPr>
          <w:p w:rsidR="007C5447" w:rsidRDefault="007C5447">
            <w:pPr>
              <w:pStyle w:val="TableParagraph"/>
              <w:spacing w:before="3"/>
              <w:jc w:val="left"/>
              <w:rPr>
                <w:sz w:val="21"/>
              </w:rPr>
            </w:pPr>
          </w:p>
          <w:p w:rsidR="007C5447" w:rsidRDefault="00F6308C">
            <w:pPr>
              <w:pStyle w:val="TableParagraph"/>
              <w:ind w:right="157"/>
              <w:rPr>
                <w:b/>
                <w:sz w:val="20"/>
              </w:rPr>
            </w:pPr>
            <w:r>
              <w:rPr>
                <w:b/>
                <w:sz w:val="20"/>
              </w:rPr>
              <w:t>Rate (Rs/kWh)</w:t>
            </w:r>
          </w:p>
        </w:tc>
      </w:tr>
      <w:tr w:rsidR="007C5447">
        <w:trPr>
          <w:trHeight w:val="330"/>
        </w:trPr>
        <w:tc>
          <w:tcPr>
            <w:tcW w:w="4760" w:type="dxa"/>
          </w:tcPr>
          <w:p w:rsidR="007C5447" w:rsidRDefault="00F6308C">
            <w:pPr>
              <w:pStyle w:val="TableParagraph"/>
              <w:spacing w:before="50"/>
              <w:ind w:left="112"/>
              <w:jc w:val="left"/>
              <w:rPr>
                <w:sz w:val="20"/>
              </w:rPr>
            </w:pPr>
            <w:r>
              <w:rPr>
                <w:sz w:val="20"/>
              </w:rPr>
              <w:t>Ennore TPS</w:t>
            </w:r>
          </w:p>
        </w:tc>
        <w:tc>
          <w:tcPr>
            <w:tcW w:w="1567" w:type="dxa"/>
          </w:tcPr>
          <w:p w:rsidR="007C5447" w:rsidRDefault="00F6308C">
            <w:pPr>
              <w:pStyle w:val="TableParagraph"/>
              <w:spacing w:before="50"/>
              <w:ind w:right="93"/>
              <w:rPr>
                <w:sz w:val="20"/>
              </w:rPr>
            </w:pPr>
            <w:r>
              <w:rPr>
                <w:w w:val="95"/>
                <w:sz w:val="20"/>
              </w:rPr>
              <w:t>485.00</w:t>
            </w:r>
          </w:p>
        </w:tc>
        <w:tc>
          <w:tcPr>
            <w:tcW w:w="1570" w:type="dxa"/>
          </w:tcPr>
          <w:p w:rsidR="007C5447" w:rsidRDefault="00F6308C">
            <w:pPr>
              <w:pStyle w:val="TableParagraph"/>
              <w:spacing w:before="50"/>
              <w:ind w:right="95"/>
              <w:rPr>
                <w:sz w:val="20"/>
              </w:rPr>
            </w:pPr>
            <w:r>
              <w:rPr>
                <w:w w:val="95"/>
                <w:sz w:val="20"/>
              </w:rPr>
              <w:t>243.76</w:t>
            </w:r>
          </w:p>
        </w:tc>
        <w:tc>
          <w:tcPr>
            <w:tcW w:w="1519" w:type="dxa"/>
          </w:tcPr>
          <w:p w:rsidR="007C5447" w:rsidRDefault="00F6308C">
            <w:pPr>
              <w:pStyle w:val="TableParagraph"/>
              <w:spacing w:before="50"/>
              <w:ind w:right="92"/>
              <w:rPr>
                <w:sz w:val="20"/>
              </w:rPr>
            </w:pPr>
            <w:r>
              <w:rPr>
                <w:w w:val="95"/>
                <w:sz w:val="20"/>
              </w:rPr>
              <w:t>181.59</w:t>
            </w:r>
          </w:p>
        </w:tc>
        <w:tc>
          <w:tcPr>
            <w:tcW w:w="1567" w:type="dxa"/>
          </w:tcPr>
          <w:p w:rsidR="007C5447" w:rsidRDefault="00F6308C">
            <w:pPr>
              <w:pStyle w:val="TableParagraph"/>
              <w:spacing w:before="50"/>
              <w:ind w:right="94"/>
              <w:rPr>
                <w:sz w:val="20"/>
              </w:rPr>
            </w:pPr>
            <w:r>
              <w:rPr>
                <w:sz w:val="20"/>
              </w:rPr>
              <w:t>3.74</w:t>
            </w:r>
          </w:p>
        </w:tc>
        <w:tc>
          <w:tcPr>
            <w:tcW w:w="1568" w:type="dxa"/>
          </w:tcPr>
          <w:p w:rsidR="007C5447" w:rsidRDefault="00F6308C">
            <w:pPr>
              <w:pStyle w:val="TableParagraph"/>
              <w:spacing w:before="50"/>
              <w:ind w:right="92"/>
              <w:rPr>
                <w:sz w:val="20"/>
              </w:rPr>
            </w:pPr>
            <w:r>
              <w:rPr>
                <w:w w:val="95"/>
                <w:sz w:val="20"/>
              </w:rPr>
              <w:t>425.35</w:t>
            </w:r>
          </w:p>
        </w:tc>
        <w:tc>
          <w:tcPr>
            <w:tcW w:w="1625" w:type="dxa"/>
          </w:tcPr>
          <w:p w:rsidR="007C5447" w:rsidRDefault="00F6308C">
            <w:pPr>
              <w:pStyle w:val="TableParagraph"/>
              <w:spacing w:before="50"/>
              <w:ind w:right="92"/>
              <w:rPr>
                <w:sz w:val="20"/>
              </w:rPr>
            </w:pPr>
            <w:r>
              <w:rPr>
                <w:sz w:val="20"/>
              </w:rPr>
              <w:t>8.77</w:t>
            </w:r>
          </w:p>
        </w:tc>
      </w:tr>
      <w:tr w:rsidR="007C5447">
        <w:trPr>
          <w:trHeight w:val="330"/>
        </w:trPr>
        <w:tc>
          <w:tcPr>
            <w:tcW w:w="4760" w:type="dxa"/>
          </w:tcPr>
          <w:p w:rsidR="007C5447" w:rsidRDefault="00F6308C">
            <w:pPr>
              <w:pStyle w:val="TableParagraph"/>
              <w:spacing w:before="50"/>
              <w:ind w:left="112"/>
              <w:jc w:val="left"/>
              <w:rPr>
                <w:sz w:val="20"/>
              </w:rPr>
            </w:pPr>
            <w:r>
              <w:rPr>
                <w:sz w:val="20"/>
              </w:rPr>
              <w:t>Tuticorin TPS</w:t>
            </w:r>
          </w:p>
        </w:tc>
        <w:tc>
          <w:tcPr>
            <w:tcW w:w="1567" w:type="dxa"/>
          </w:tcPr>
          <w:p w:rsidR="007C5447" w:rsidRDefault="00F6308C">
            <w:pPr>
              <w:pStyle w:val="TableParagraph"/>
              <w:spacing w:before="50"/>
              <w:ind w:right="91"/>
              <w:rPr>
                <w:sz w:val="20"/>
              </w:rPr>
            </w:pPr>
            <w:r>
              <w:rPr>
                <w:w w:val="95"/>
                <w:sz w:val="20"/>
              </w:rPr>
              <w:t>7,043.00</w:t>
            </w:r>
          </w:p>
        </w:tc>
        <w:tc>
          <w:tcPr>
            <w:tcW w:w="1570" w:type="dxa"/>
          </w:tcPr>
          <w:p w:rsidR="007C5447" w:rsidRDefault="00F6308C">
            <w:pPr>
              <w:pStyle w:val="TableParagraph"/>
              <w:spacing w:before="50"/>
              <w:ind w:right="95"/>
              <w:rPr>
                <w:sz w:val="20"/>
              </w:rPr>
            </w:pPr>
            <w:r>
              <w:rPr>
                <w:w w:val="95"/>
                <w:sz w:val="20"/>
              </w:rPr>
              <w:t>591.08</w:t>
            </w:r>
          </w:p>
        </w:tc>
        <w:tc>
          <w:tcPr>
            <w:tcW w:w="1519" w:type="dxa"/>
          </w:tcPr>
          <w:p w:rsidR="007C5447" w:rsidRDefault="00F6308C">
            <w:pPr>
              <w:pStyle w:val="TableParagraph"/>
              <w:spacing w:before="50"/>
              <w:ind w:right="90"/>
              <w:rPr>
                <w:sz w:val="20"/>
              </w:rPr>
            </w:pPr>
            <w:r>
              <w:rPr>
                <w:w w:val="95"/>
                <w:sz w:val="20"/>
              </w:rPr>
              <w:t>2,504.51</w:t>
            </w:r>
          </w:p>
        </w:tc>
        <w:tc>
          <w:tcPr>
            <w:tcW w:w="1567" w:type="dxa"/>
          </w:tcPr>
          <w:p w:rsidR="007C5447" w:rsidRDefault="00F6308C">
            <w:pPr>
              <w:pStyle w:val="TableParagraph"/>
              <w:spacing w:before="50"/>
              <w:ind w:right="94"/>
              <w:rPr>
                <w:sz w:val="20"/>
              </w:rPr>
            </w:pPr>
            <w:r>
              <w:rPr>
                <w:sz w:val="20"/>
              </w:rPr>
              <w:t>3.56</w:t>
            </w:r>
          </w:p>
        </w:tc>
        <w:tc>
          <w:tcPr>
            <w:tcW w:w="1568" w:type="dxa"/>
          </w:tcPr>
          <w:p w:rsidR="007C5447" w:rsidRDefault="00F6308C">
            <w:pPr>
              <w:pStyle w:val="TableParagraph"/>
              <w:spacing w:before="50"/>
              <w:ind w:right="90"/>
              <w:rPr>
                <w:sz w:val="20"/>
              </w:rPr>
            </w:pPr>
            <w:r>
              <w:rPr>
                <w:w w:val="95"/>
                <w:sz w:val="20"/>
              </w:rPr>
              <w:t>3,095.59</w:t>
            </w:r>
          </w:p>
        </w:tc>
        <w:tc>
          <w:tcPr>
            <w:tcW w:w="1625" w:type="dxa"/>
          </w:tcPr>
          <w:p w:rsidR="007C5447" w:rsidRDefault="00F6308C">
            <w:pPr>
              <w:pStyle w:val="TableParagraph"/>
              <w:spacing w:before="50"/>
              <w:ind w:right="92"/>
              <w:rPr>
                <w:sz w:val="20"/>
              </w:rPr>
            </w:pPr>
            <w:r>
              <w:rPr>
                <w:sz w:val="20"/>
              </w:rPr>
              <w:t>4.40</w:t>
            </w:r>
          </w:p>
        </w:tc>
      </w:tr>
      <w:tr w:rsidR="007C5447">
        <w:trPr>
          <w:trHeight w:val="328"/>
        </w:trPr>
        <w:tc>
          <w:tcPr>
            <w:tcW w:w="4760" w:type="dxa"/>
          </w:tcPr>
          <w:p w:rsidR="007C5447" w:rsidRDefault="00F6308C">
            <w:pPr>
              <w:pStyle w:val="TableParagraph"/>
              <w:spacing w:before="48"/>
              <w:ind w:left="112"/>
              <w:jc w:val="left"/>
              <w:rPr>
                <w:sz w:val="20"/>
              </w:rPr>
            </w:pPr>
            <w:r>
              <w:rPr>
                <w:sz w:val="20"/>
              </w:rPr>
              <w:t>Mettur TPS</w:t>
            </w:r>
          </w:p>
        </w:tc>
        <w:tc>
          <w:tcPr>
            <w:tcW w:w="1567" w:type="dxa"/>
          </w:tcPr>
          <w:p w:rsidR="007C5447" w:rsidRDefault="00F6308C">
            <w:pPr>
              <w:pStyle w:val="TableParagraph"/>
              <w:spacing w:before="48"/>
              <w:ind w:right="91"/>
              <w:rPr>
                <w:sz w:val="20"/>
              </w:rPr>
            </w:pPr>
            <w:r>
              <w:rPr>
                <w:w w:val="95"/>
                <w:sz w:val="20"/>
              </w:rPr>
              <w:t>5,697.00</w:t>
            </w:r>
          </w:p>
        </w:tc>
        <w:tc>
          <w:tcPr>
            <w:tcW w:w="1570" w:type="dxa"/>
          </w:tcPr>
          <w:p w:rsidR="007C5447" w:rsidRDefault="00F6308C">
            <w:pPr>
              <w:pStyle w:val="TableParagraph"/>
              <w:spacing w:before="48"/>
              <w:ind w:right="95"/>
              <w:rPr>
                <w:sz w:val="20"/>
              </w:rPr>
            </w:pPr>
            <w:r>
              <w:rPr>
                <w:w w:val="95"/>
                <w:sz w:val="20"/>
              </w:rPr>
              <w:t>810.94</w:t>
            </w:r>
          </w:p>
        </w:tc>
        <w:tc>
          <w:tcPr>
            <w:tcW w:w="1519" w:type="dxa"/>
          </w:tcPr>
          <w:p w:rsidR="007C5447" w:rsidRDefault="00F6308C">
            <w:pPr>
              <w:pStyle w:val="TableParagraph"/>
              <w:spacing w:before="48"/>
              <w:ind w:right="90"/>
              <w:rPr>
                <w:sz w:val="20"/>
              </w:rPr>
            </w:pPr>
            <w:r>
              <w:rPr>
                <w:w w:val="95"/>
                <w:sz w:val="20"/>
              </w:rPr>
              <w:t>2,397.82</w:t>
            </w:r>
          </w:p>
        </w:tc>
        <w:tc>
          <w:tcPr>
            <w:tcW w:w="1567" w:type="dxa"/>
          </w:tcPr>
          <w:p w:rsidR="007C5447" w:rsidRDefault="00F6308C">
            <w:pPr>
              <w:pStyle w:val="TableParagraph"/>
              <w:spacing w:before="48"/>
              <w:ind w:right="94"/>
              <w:rPr>
                <w:sz w:val="20"/>
              </w:rPr>
            </w:pPr>
            <w:r>
              <w:rPr>
                <w:sz w:val="20"/>
              </w:rPr>
              <w:t>4.21</w:t>
            </w:r>
          </w:p>
        </w:tc>
        <w:tc>
          <w:tcPr>
            <w:tcW w:w="1568" w:type="dxa"/>
          </w:tcPr>
          <w:p w:rsidR="007C5447" w:rsidRDefault="00F6308C">
            <w:pPr>
              <w:pStyle w:val="TableParagraph"/>
              <w:spacing w:before="48"/>
              <w:ind w:right="90"/>
              <w:rPr>
                <w:sz w:val="20"/>
              </w:rPr>
            </w:pPr>
            <w:r>
              <w:rPr>
                <w:w w:val="95"/>
                <w:sz w:val="20"/>
              </w:rPr>
              <w:t>3,208.76</w:t>
            </w:r>
          </w:p>
        </w:tc>
        <w:tc>
          <w:tcPr>
            <w:tcW w:w="1625" w:type="dxa"/>
          </w:tcPr>
          <w:p w:rsidR="007C5447" w:rsidRDefault="00F6308C">
            <w:pPr>
              <w:pStyle w:val="TableParagraph"/>
              <w:spacing w:before="48"/>
              <w:ind w:right="92"/>
              <w:rPr>
                <w:sz w:val="20"/>
              </w:rPr>
            </w:pPr>
            <w:r>
              <w:rPr>
                <w:sz w:val="20"/>
              </w:rPr>
              <w:t>5.63</w:t>
            </w:r>
          </w:p>
        </w:tc>
      </w:tr>
      <w:tr w:rsidR="007C5447">
        <w:trPr>
          <w:trHeight w:val="330"/>
        </w:trPr>
        <w:tc>
          <w:tcPr>
            <w:tcW w:w="4760" w:type="dxa"/>
          </w:tcPr>
          <w:p w:rsidR="007C5447" w:rsidRDefault="00F6308C">
            <w:pPr>
              <w:pStyle w:val="TableParagraph"/>
              <w:spacing w:before="50"/>
              <w:ind w:left="112"/>
              <w:jc w:val="left"/>
              <w:rPr>
                <w:sz w:val="20"/>
              </w:rPr>
            </w:pPr>
            <w:r>
              <w:rPr>
                <w:sz w:val="20"/>
              </w:rPr>
              <w:t>North Chennai TPS</w:t>
            </w:r>
          </w:p>
        </w:tc>
        <w:tc>
          <w:tcPr>
            <w:tcW w:w="1567" w:type="dxa"/>
          </w:tcPr>
          <w:p w:rsidR="007C5447" w:rsidRDefault="00F6308C">
            <w:pPr>
              <w:pStyle w:val="TableParagraph"/>
              <w:spacing w:before="50"/>
              <w:ind w:right="91"/>
              <w:rPr>
                <w:sz w:val="20"/>
              </w:rPr>
            </w:pPr>
            <w:r>
              <w:rPr>
                <w:w w:val="95"/>
                <w:sz w:val="20"/>
              </w:rPr>
              <w:t>3,865.00</w:t>
            </w:r>
          </w:p>
        </w:tc>
        <w:tc>
          <w:tcPr>
            <w:tcW w:w="1570" w:type="dxa"/>
          </w:tcPr>
          <w:p w:rsidR="007C5447" w:rsidRDefault="00F6308C">
            <w:pPr>
              <w:pStyle w:val="TableParagraph"/>
              <w:spacing w:before="50"/>
              <w:ind w:right="95"/>
              <w:rPr>
                <w:sz w:val="20"/>
              </w:rPr>
            </w:pPr>
            <w:r>
              <w:rPr>
                <w:w w:val="95"/>
                <w:sz w:val="20"/>
              </w:rPr>
              <w:t>494.20</w:t>
            </w:r>
          </w:p>
        </w:tc>
        <w:tc>
          <w:tcPr>
            <w:tcW w:w="1519" w:type="dxa"/>
          </w:tcPr>
          <w:p w:rsidR="007C5447" w:rsidRDefault="00F6308C">
            <w:pPr>
              <w:pStyle w:val="TableParagraph"/>
              <w:spacing w:before="50"/>
              <w:ind w:right="90"/>
              <w:rPr>
                <w:sz w:val="20"/>
              </w:rPr>
            </w:pPr>
            <w:r>
              <w:rPr>
                <w:w w:val="95"/>
                <w:sz w:val="20"/>
              </w:rPr>
              <w:t>1,238.99</w:t>
            </w:r>
          </w:p>
        </w:tc>
        <w:tc>
          <w:tcPr>
            <w:tcW w:w="1567" w:type="dxa"/>
          </w:tcPr>
          <w:p w:rsidR="007C5447" w:rsidRDefault="00F6308C">
            <w:pPr>
              <w:pStyle w:val="TableParagraph"/>
              <w:spacing w:before="50"/>
              <w:ind w:right="94"/>
              <w:rPr>
                <w:sz w:val="20"/>
              </w:rPr>
            </w:pPr>
            <w:r>
              <w:rPr>
                <w:sz w:val="20"/>
              </w:rPr>
              <w:t>3.21</w:t>
            </w:r>
          </w:p>
        </w:tc>
        <w:tc>
          <w:tcPr>
            <w:tcW w:w="1568" w:type="dxa"/>
          </w:tcPr>
          <w:p w:rsidR="007C5447" w:rsidRDefault="00F6308C">
            <w:pPr>
              <w:pStyle w:val="TableParagraph"/>
              <w:spacing w:before="50"/>
              <w:ind w:right="90"/>
              <w:rPr>
                <w:sz w:val="20"/>
              </w:rPr>
            </w:pPr>
            <w:r>
              <w:rPr>
                <w:w w:val="95"/>
                <w:sz w:val="20"/>
              </w:rPr>
              <w:t>1,733.19</w:t>
            </w:r>
          </w:p>
        </w:tc>
        <w:tc>
          <w:tcPr>
            <w:tcW w:w="1625" w:type="dxa"/>
          </w:tcPr>
          <w:p w:rsidR="007C5447" w:rsidRDefault="00F6308C">
            <w:pPr>
              <w:pStyle w:val="TableParagraph"/>
              <w:spacing w:before="50"/>
              <w:ind w:right="92"/>
              <w:rPr>
                <w:sz w:val="20"/>
              </w:rPr>
            </w:pPr>
            <w:r>
              <w:rPr>
                <w:sz w:val="20"/>
              </w:rPr>
              <w:t>4.48</w:t>
            </w:r>
          </w:p>
        </w:tc>
      </w:tr>
      <w:tr w:rsidR="007C5447">
        <w:trPr>
          <w:trHeight w:val="331"/>
        </w:trPr>
        <w:tc>
          <w:tcPr>
            <w:tcW w:w="4760" w:type="dxa"/>
          </w:tcPr>
          <w:p w:rsidR="007C5447" w:rsidRDefault="00F6308C">
            <w:pPr>
              <w:pStyle w:val="TableParagraph"/>
              <w:spacing w:before="51"/>
              <w:ind w:left="112"/>
              <w:jc w:val="left"/>
              <w:rPr>
                <w:sz w:val="20"/>
              </w:rPr>
            </w:pPr>
            <w:r>
              <w:rPr>
                <w:sz w:val="20"/>
              </w:rPr>
              <w:t>NCTPS Stage-II (Unit 1)</w:t>
            </w:r>
          </w:p>
        </w:tc>
        <w:tc>
          <w:tcPr>
            <w:tcW w:w="1567" w:type="dxa"/>
          </w:tcPr>
          <w:p w:rsidR="007C5447" w:rsidRDefault="00F6308C">
            <w:pPr>
              <w:pStyle w:val="TableParagraph"/>
              <w:spacing w:before="51"/>
              <w:ind w:right="91"/>
              <w:rPr>
                <w:sz w:val="20"/>
              </w:rPr>
            </w:pPr>
            <w:r>
              <w:rPr>
                <w:w w:val="95"/>
                <w:sz w:val="20"/>
              </w:rPr>
              <w:t>5,187.00</w:t>
            </w:r>
          </w:p>
        </w:tc>
        <w:tc>
          <w:tcPr>
            <w:tcW w:w="1570" w:type="dxa"/>
          </w:tcPr>
          <w:p w:rsidR="007C5447" w:rsidRDefault="00F6308C">
            <w:pPr>
              <w:pStyle w:val="TableParagraph"/>
              <w:spacing w:before="51"/>
              <w:ind w:right="93"/>
              <w:rPr>
                <w:sz w:val="20"/>
              </w:rPr>
            </w:pPr>
            <w:r>
              <w:rPr>
                <w:w w:val="95"/>
                <w:sz w:val="20"/>
              </w:rPr>
              <w:t>(36.93)</w:t>
            </w:r>
          </w:p>
        </w:tc>
        <w:tc>
          <w:tcPr>
            <w:tcW w:w="1519" w:type="dxa"/>
          </w:tcPr>
          <w:p w:rsidR="007C5447" w:rsidRDefault="00F6308C">
            <w:pPr>
              <w:pStyle w:val="TableParagraph"/>
              <w:spacing w:before="51"/>
              <w:ind w:right="90"/>
              <w:rPr>
                <w:sz w:val="20"/>
              </w:rPr>
            </w:pPr>
            <w:r>
              <w:rPr>
                <w:w w:val="95"/>
                <w:sz w:val="20"/>
              </w:rPr>
              <w:t>1,918.54</w:t>
            </w:r>
          </w:p>
        </w:tc>
        <w:tc>
          <w:tcPr>
            <w:tcW w:w="1567" w:type="dxa"/>
          </w:tcPr>
          <w:p w:rsidR="007C5447" w:rsidRDefault="00F6308C">
            <w:pPr>
              <w:pStyle w:val="TableParagraph"/>
              <w:spacing w:before="51"/>
              <w:ind w:right="94"/>
              <w:rPr>
                <w:sz w:val="20"/>
              </w:rPr>
            </w:pPr>
            <w:r>
              <w:rPr>
                <w:sz w:val="20"/>
              </w:rPr>
              <w:t>3.70</w:t>
            </w:r>
          </w:p>
        </w:tc>
        <w:tc>
          <w:tcPr>
            <w:tcW w:w="1568" w:type="dxa"/>
          </w:tcPr>
          <w:p w:rsidR="007C5447" w:rsidRDefault="00F6308C">
            <w:pPr>
              <w:pStyle w:val="TableParagraph"/>
              <w:spacing w:before="51"/>
              <w:ind w:right="90"/>
              <w:rPr>
                <w:sz w:val="20"/>
              </w:rPr>
            </w:pPr>
            <w:r>
              <w:rPr>
                <w:w w:val="95"/>
                <w:sz w:val="20"/>
              </w:rPr>
              <w:t>1,881.61</w:t>
            </w:r>
          </w:p>
        </w:tc>
        <w:tc>
          <w:tcPr>
            <w:tcW w:w="1625" w:type="dxa"/>
          </w:tcPr>
          <w:p w:rsidR="007C5447" w:rsidRDefault="00F6308C">
            <w:pPr>
              <w:pStyle w:val="TableParagraph"/>
              <w:spacing w:before="51"/>
              <w:ind w:right="92"/>
              <w:rPr>
                <w:sz w:val="20"/>
              </w:rPr>
            </w:pPr>
            <w:r>
              <w:rPr>
                <w:sz w:val="20"/>
              </w:rPr>
              <w:t>3.63</w:t>
            </w:r>
          </w:p>
        </w:tc>
      </w:tr>
      <w:tr w:rsidR="007C5447">
        <w:trPr>
          <w:trHeight w:val="328"/>
        </w:trPr>
        <w:tc>
          <w:tcPr>
            <w:tcW w:w="4760" w:type="dxa"/>
          </w:tcPr>
          <w:p w:rsidR="007C5447" w:rsidRDefault="00F6308C">
            <w:pPr>
              <w:pStyle w:val="TableParagraph"/>
              <w:spacing w:before="48"/>
              <w:ind w:left="112"/>
              <w:jc w:val="left"/>
              <w:rPr>
                <w:sz w:val="20"/>
              </w:rPr>
            </w:pPr>
            <w:r>
              <w:rPr>
                <w:sz w:val="20"/>
              </w:rPr>
              <w:t>MTPS Stage III</w:t>
            </w:r>
          </w:p>
        </w:tc>
        <w:tc>
          <w:tcPr>
            <w:tcW w:w="1567" w:type="dxa"/>
          </w:tcPr>
          <w:p w:rsidR="007C5447" w:rsidRDefault="00F6308C">
            <w:pPr>
              <w:pStyle w:val="TableParagraph"/>
              <w:spacing w:before="48"/>
              <w:ind w:right="91"/>
              <w:rPr>
                <w:sz w:val="20"/>
              </w:rPr>
            </w:pPr>
            <w:r>
              <w:rPr>
                <w:w w:val="95"/>
                <w:sz w:val="20"/>
              </w:rPr>
              <w:t>2,802.00</w:t>
            </w:r>
          </w:p>
        </w:tc>
        <w:tc>
          <w:tcPr>
            <w:tcW w:w="1570" w:type="dxa"/>
          </w:tcPr>
          <w:p w:rsidR="007C5447" w:rsidRDefault="00F6308C">
            <w:pPr>
              <w:pStyle w:val="TableParagraph"/>
              <w:spacing w:before="48"/>
              <w:ind w:right="95"/>
              <w:rPr>
                <w:sz w:val="20"/>
              </w:rPr>
            </w:pPr>
            <w:r>
              <w:rPr>
                <w:w w:val="95"/>
                <w:sz w:val="20"/>
              </w:rPr>
              <w:t>667.50</w:t>
            </w:r>
          </w:p>
        </w:tc>
        <w:tc>
          <w:tcPr>
            <w:tcW w:w="1519" w:type="dxa"/>
          </w:tcPr>
          <w:p w:rsidR="007C5447" w:rsidRDefault="00F6308C">
            <w:pPr>
              <w:pStyle w:val="TableParagraph"/>
              <w:spacing w:before="48"/>
              <w:ind w:right="92"/>
              <w:rPr>
                <w:sz w:val="20"/>
              </w:rPr>
            </w:pPr>
            <w:r>
              <w:rPr>
                <w:w w:val="95"/>
                <w:sz w:val="20"/>
              </w:rPr>
              <w:t>871.41</w:t>
            </w:r>
          </w:p>
        </w:tc>
        <w:tc>
          <w:tcPr>
            <w:tcW w:w="1567" w:type="dxa"/>
          </w:tcPr>
          <w:p w:rsidR="007C5447" w:rsidRDefault="00F6308C">
            <w:pPr>
              <w:pStyle w:val="TableParagraph"/>
              <w:spacing w:before="48"/>
              <w:ind w:right="94"/>
              <w:rPr>
                <w:sz w:val="20"/>
              </w:rPr>
            </w:pPr>
            <w:r>
              <w:rPr>
                <w:sz w:val="20"/>
              </w:rPr>
              <w:t>3.11</w:t>
            </w:r>
          </w:p>
        </w:tc>
        <w:tc>
          <w:tcPr>
            <w:tcW w:w="1568" w:type="dxa"/>
          </w:tcPr>
          <w:p w:rsidR="007C5447" w:rsidRDefault="00F6308C">
            <w:pPr>
              <w:pStyle w:val="TableParagraph"/>
              <w:spacing w:before="48"/>
              <w:ind w:right="90"/>
              <w:rPr>
                <w:sz w:val="20"/>
              </w:rPr>
            </w:pPr>
            <w:r>
              <w:rPr>
                <w:w w:val="95"/>
                <w:sz w:val="20"/>
              </w:rPr>
              <w:t>1,538.91</w:t>
            </w:r>
          </w:p>
        </w:tc>
        <w:tc>
          <w:tcPr>
            <w:tcW w:w="1625" w:type="dxa"/>
          </w:tcPr>
          <w:p w:rsidR="007C5447" w:rsidRDefault="00F6308C">
            <w:pPr>
              <w:pStyle w:val="TableParagraph"/>
              <w:spacing w:before="48"/>
              <w:ind w:right="92"/>
              <w:rPr>
                <w:sz w:val="20"/>
              </w:rPr>
            </w:pPr>
            <w:r>
              <w:rPr>
                <w:sz w:val="20"/>
              </w:rPr>
              <w:t>5.49</w:t>
            </w:r>
          </w:p>
        </w:tc>
      </w:tr>
      <w:tr w:rsidR="007C5447">
        <w:trPr>
          <w:trHeight w:val="330"/>
        </w:trPr>
        <w:tc>
          <w:tcPr>
            <w:tcW w:w="4760" w:type="dxa"/>
          </w:tcPr>
          <w:p w:rsidR="007C5447" w:rsidRDefault="00F6308C">
            <w:pPr>
              <w:pStyle w:val="TableParagraph"/>
              <w:spacing w:before="50"/>
              <w:ind w:left="1737" w:right="1722"/>
              <w:jc w:val="center"/>
              <w:rPr>
                <w:b/>
                <w:sz w:val="20"/>
              </w:rPr>
            </w:pPr>
            <w:r>
              <w:rPr>
                <w:b/>
                <w:sz w:val="20"/>
              </w:rPr>
              <w:t>Total Thermal</w:t>
            </w:r>
          </w:p>
        </w:tc>
        <w:tc>
          <w:tcPr>
            <w:tcW w:w="1567" w:type="dxa"/>
          </w:tcPr>
          <w:p w:rsidR="007C5447" w:rsidRDefault="00F6308C">
            <w:pPr>
              <w:pStyle w:val="TableParagraph"/>
              <w:spacing w:before="50"/>
              <w:ind w:right="93"/>
              <w:rPr>
                <w:b/>
                <w:sz w:val="20"/>
              </w:rPr>
            </w:pPr>
            <w:r>
              <w:rPr>
                <w:b/>
                <w:w w:val="95"/>
                <w:sz w:val="20"/>
              </w:rPr>
              <w:t>25,079.00</w:t>
            </w:r>
          </w:p>
        </w:tc>
        <w:tc>
          <w:tcPr>
            <w:tcW w:w="1570" w:type="dxa"/>
          </w:tcPr>
          <w:p w:rsidR="007C5447" w:rsidRDefault="00F6308C">
            <w:pPr>
              <w:pStyle w:val="TableParagraph"/>
              <w:spacing w:before="50"/>
              <w:ind w:right="93"/>
              <w:rPr>
                <w:b/>
                <w:sz w:val="20"/>
              </w:rPr>
            </w:pPr>
            <w:r>
              <w:rPr>
                <w:b/>
                <w:w w:val="95"/>
                <w:sz w:val="20"/>
              </w:rPr>
              <w:t>2,770.54</w:t>
            </w:r>
          </w:p>
        </w:tc>
        <w:tc>
          <w:tcPr>
            <w:tcW w:w="1519" w:type="dxa"/>
          </w:tcPr>
          <w:p w:rsidR="007C5447" w:rsidRDefault="00F6308C">
            <w:pPr>
              <w:pStyle w:val="TableParagraph"/>
              <w:spacing w:before="50"/>
              <w:ind w:right="90"/>
              <w:rPr>
                <w:b/>
                <w:sz w:val="20"/>
              </w:rPr>
            </w:pPr>
            <w:r>
              <w:rPr>
                <w:b/>
                <w:w w:val="95"/>
                <w:sz w:val="20"/>
              </w:rPr>
              <w:t>9,112.87</w:t>
            </w:r>
          </w:p>
        </w:tc>
        <w:tc>
          <w:tcPr>
            <w:tcW w:w="1567" w:type="dxa"/>
          </w:tcPr>
          <w:p w:rsidR="007C5447" w:rsidRDefault="00F6308C">
            <w:pPr>
              <w:pStyle w:val="TableParagraph"/>
              <w:spacing w:before="50"/>
              <w:ind w:right="94"/>
              <w:rPr>
                <w:b/>
                <w:sz w:val="20"/>
              </w:rPr>
            </w:pPr>
            <w:r>
              <w:rPr>
                <w:b/>
                <w:sz w:val="20"/>
              </w:rPr>
              <w:t>3.63</w:t>
            </w:r>
          </w:p>
        </w:tc>
        <w:tc>
          <w:tcPr>
            <w:tcW w:w="1568" w:type="dxa"/>
          </w:tcPr>
          <w:p w:rsidR="007C5447" w:rsidRDefault="00F6308C">
            <w:pPr>
              <w:pStyle w:val="TableParagraph"/>
              <w:spacing w:before="50"/>
              <w:ind w:right="93"/>
              <w:rPr>
                <w:b/>
                <w:sz w:val="20"/>
              </w:rPr>
            </w:pPr>
            <w:r>
              <w:rPr>
                <w:b/>
                <w:w w:val="95"/>
                <w:sz w:val="20"/>
              </w:rPr>
              <w:t>11,883.41</w:t>
            </w:r>
          </w:p>
        </w:tc>
        <w:tc>
          <w:tcPr>
            <w:tcW w:w="1625" w:type="dxa"/>
          </w:tcPr>
          <w:p w:rsidR="007C5447" w:rsidRDefault="00F6308C">
            <w:pPr>
              <w:pStyle w:val="TableParagraph"/>
              <w:spacing w:before="50"/>
              <w:ind w:right="92"/>
              <w:rPr>
                <w:b/>
                <w:sz w:val="20"/>
              </w:rPr>
            </w:pPr>
            <w:r>
              <w:rPr>
                <w:b/>
                <w:sz w:val="20"/>
              </w:rPr>
              <w:t>4.74</w:t>
            </w:r>
          </w:p>
        </w:tc>
      </w:tr>
      <w:tr w:rsidR="007C5447">
        <w:trPr>
          <w:trHeight w:val="330"/>
        </w:trPr>
        <w:tc>
          <w:tcPr>
            <w:tcW w:w="4760" w:type="dxa"/>
          </w:tcPr>
          <w:p w:rsidR="007C5447" w:rsidRDefault="00F6308C">
            <w:pPr>
              <w:pStyle w:val="TableParagraph"/>
              <w:spacing w:before="50"/>
              <w:ind w:left="112"/>
              <w:jc w:val="left"/>
              <w:rPr>
                <w:sz w:val="20"/>
              </w:rPr>
            </w:pPr>
            <w:r>
              <w:rPr>
                <w:sz w:val="20"/>
              </w:rPr>
              <w:t>TGTPS</w:t>
            </w:r>
          </w:p>
        </w:tc>
        <w:tc>
          <w:tcPr>
            <w:tcW w:w="1567" w:type="dxa"/>
          </w:tcPr>
          <w:p w:rsidR="007C5447" w:rsidRDefault="00F6308C">
            <w:pPr>
              <w:pStyle w:val="TableParagraph"/>
              <w:spacing w:before="50"/>
              <w:ind w:right="93"/>
              <w:rPr>
                <w:sz w:val="20"/>
              </w:rPr>
            </w:pPr>
            <w:r>
              <w:rPr>
                <w:w w:val="95"/>
                <w:sz w:val="20"/>
              </w:rPr>
              <w:t>382.00</w:t>
            </w:r>
          </w:p>
        </w:tc>
        <w:tc>
          <w:tcPr>
            <w:tcW w:w="1570" w:type="dxa"/>
          </w:tcPr>
          <w:p w:rsidR="007C5447" w:rsidRDefault="00F6308C">
            <w:pPr>
              <w:pStyle w:val="TableParagraph"/>
              <w:spacing w:before="50"/>
              <w:ind w:right="95"/>
              <w:rPr>
                <w:sz w:val="20"/>
              </w:rPr>
            </w:pPr>
            <w:r>
              <w:rPr>
                <w:w w:val="95"/>
                <w:sz w:val="20"/>
              </w:rPr>
              <w:t>90.70</w:t>
            </w:r>
          </w:p>
        </w:tc>
        <w:tc>
          <w:tcPr>
            <w:tcW w:w="1519" w:type="dxa"/>
          </w:tcPr>
          <w:p w:rsidR="007C5447" w:rsidRDefault="00F6308C">
            <w:pPr>
              <w:pStyle w:val="TableParagraph"/>
              <w:spacing w:before="50"/>
              <w:ind w:right="92"/>
              <w:rPr>
                <w:sz w:val="20"/>
              </w:rPr>
            </w:pPr>
            <w:r>
              <w:rPr>
                <w:w w:val="95"/>
                <w:sz w:val="20"/>
              </w:rPr>
              <w:t>94.20</w:t>
            </w:r>
          </w:p>
        </w:tc>
        <w:tc>
          <w:tcPr>
            <w:tcW w:w="1567" w:type="dxa"/>
          </w:tcPr>
          <w:p w:rsidR="007C5447" w:rsidRDefault="00F6308C">
            <w:pPr>
              <w:pStyle w:val="TableParagraph"/>
              <w:spacing w:before="50"/>
              <w:ind w:right="94"/>
              <w:rPr>
                <w:sz w:val="20"/>
              </w:rPr>
            </w:pPr>
            <w:r>
              <w:rPr>
                <w:sz w:val="20"/>
              </w:rPr>
              <w:t>2.47</w:t>
            </w:r>
          </w:p>
        </w:tc>
        <w:tc>
          <w:tcPr>
            <w:tcW w:w="1568" w:type="dxa"/>
          </w:tcPr>
          <w:p w:rsidR="007C5447" w:rsidRDefault="00F6308C">
            <w:pPr>
              <w:pStyle w:val="TableParagraph"/>
              <w:spacing w:before="50"/>
              <w:ind w:right="92"/>
              <w:rPr>
                <w:sz w:val="20"/>
              </w:rPr>
            </w:pPr>
            <w:r>
              <w:rPr>
                <w:w w:val="95"/>
                <w:sz w:val="20"/>
              </w:rPr>
              <w:t>184.90</w:t>
            </w:r>
          </w:p>
        </w:tc>
        <w:tc>
          <w:tcPr>
            <w:tcW w:w="1625" w:type="dxa"/>
          </w:tcPr>
          <w:p w:rsidR="007C5447" w:rsidRDefault="00F6308C">
            <w:pPr>
              <w:pStyle w:val="TableParagraph"/>
              <w:spacing w:before="50"/>
              <w:ind w:right="92"/>
              <w:rPr>
                <w:sz w:val="20"/>
              </w:rPr>
            </w:pPr>
            <w:r>
              <w:rPr>
                <w:sz w:val="20"/>
              </w:rPr>
              <w:t>4.84</w:t>
            </w:r>
          </w:p>
        </w:tc>
      </w:tr>
      <w:tr w:rsidR="007C5447">
        <w:trPr>
          <w:trHeight w:val="328"/>
        </w:trPr>
        <w:tc>
          <w:tcPr>
            <w:tcW w:w="4760" w:type="dxa"/>
          </w:tcPr>
          <w:p w:rsidR="007C5447" w:rsidRDefault="00F6308C">
            <w:pPr>
              <w:pStyle w:val="TableParagraph"/>
              <w:spacing w:before="48"/>
              <w:ind w:left="112"/>
              <w:jc w:val="left"/>
              <w:rPr>
                <w:sz w:val="20"/>
              </w:rPr>
            </w:pPr>
            <w:r>
              <w:rPr>
                <w:sz w:val="20"/>
              </w:rPr>
              <w:t>KGTPS</w:t>
            </w:r>
          </w:p>
        </w:tc>
        <w:tc>
          <w:tcPr>
            <w:tcW w:w="1567" w:type="dxa"/>
          </w:tcPr>
          <w:p w:rsidR="007C5447" w:rsidRDefault="00F6308C">
            <w:pPr>
              <w:pStyle w:val="TableParagraph"/>
              <w:spacing w:before="48"/>
              <w:ind w:right="93"/>
              <w:rPr>
                <w:sz w:val="20"/>
              </w:rPr>
            </w:pPr>
            <w:r>
              <w:rPr>
                <w:w w:val="95"/>
                <w:sz w:val="20"/>
              </w:rPr>
              <w:t>459.00</w:t>
            </w:r>
          </w:p>
        </w:tc>
        <w:tc>
          <w:tcPr>
            <w:tcW w:w="1570" w:type="dxa"/>
          </w:tcPr>
          <w:p w:rsidR="007C5447" w:rsidRDefault="00F6308C">
            <w:pPr>
              <w:pStyle w:val="TableParagraph"/>
              <w:spacing w:before="48"/>
              <w:ind w:right="90"/>
              <w:rPr>
                <w:sz w:val="20"/>
              </w:rPr>
            </w:pPr>
            <w:r>
              <w:rPr>
                <w:sz w:val="20"/>
              </w:rPr>
              <w:t>(201.23)</w:t>
            </w:r>
          </w:p>
        </w:tc>
        <w:tc>
          <w:tcPr>
            <w:tcW w:w="1519" w:type="dxa"/>
          </w:tcPr>
          <w:p w:rsidR="007C5447" w:rsidRDefault="00F6308C">
            <w:pPr>
              <w:pStyle w:val="TableParagraph"/>
              <w:spacing w:before="48"/>
              <w:ind w:right="92"/>
              <w:rPr>
                <w:sz w:val="20"/>
              </w:rPr>
            </w:pPr>
            <w:r>
              <w:rPr>
                <w:w w:val="95"/>
                <w:sz w:val="20"/>
              </w:rPr>
              <w:t>117.44</w:t>
            </w:r>
          </w:p>
        </w:tc>
        <w:tc>
          <w:tcPr>
            <w:tcW w:w="1567" w:type="dxa"/>
          </w:tcPr>
          <w:p w:rsidR="007C5447" w:rsidRDefault="00F6308C">
            <w:pPr>
              <w:pStyle w:val="TableParagraph"/>
              <w:spacing w:before="48"/>
              <w:ind w:right="94"/>
              <w:rPr>
                <w:sz w:val="20"/>
              </w:rPr>
            </w:pPr>
            <w:r>
              <w:rPr>
                <w:sz w:val="20"/>
              </w:rPr>
              <w:t>2.56</w:t>
            </w:r>
          </w:p>
        </w:tc>
        <w:tc>
          <w:tcPr>
            <w:tcW w:w="1568" w:type="dxa"/>
          </w:tcPr>
          <w:p w:rsidR="007C5447" w:rsidRDefault="00F6308C">
            <w:pPr>
              <w:pStyle w:val="TableParagraph"/>
              <w:spacing w:before="48"/>
              <w:ind w:right="92"/>
              <w:rPr>
                <w:sz w:val="20"/>
              </w:rPr>
            </w:pPr>
            <w:r>
              <w:rPr>
                <w:w w:val="95"/>
                <w:sz w:val="20"/>
              </w:rPr>
              <w:t>-83.79</w:t>
            </w:r>
          </w:p>
        </w:tc>
        <w:tc>
          <w:tcPr>
            <w:tcW w:w="1625" w:type="dxa"/>
          </w:tcPr>
          <w:p w:rsidR="007C5447" w:rsidRDefault="00F6308C">
            <w:pPr>
              <w:pStyle w:val="TableParagraph"/>
              <w:spacing w:before="48"/>
              <w:ind w:right="92"/>
              <w:rPr>
                <w:sz w:val="20"/>
              </w:rPr>
            </w:pPr>
            <w:r>
              <w:rPr>
                <w:w w:val="95"/>
                <w:sz w:val="20"/>
              </w:rPr>
              <w:t>-1.83</w:t>
            </w:r>
          </w:p>
        </w:tc>
      </w:tr>
      <w:tr w:rsidR="007C5447">
        <w:trPr>
          <w:trHeight w:val="330"/>
        </w:trPr>
        <w:tc>
          <w:tcPr>
            <w:tcW w:w="4760" w:type="dxa"/>
          </w:tcPr>
          <w:p w:rsidR="007C5447" w:rsidRDefault="00F6308C">
            <w:pPr>
              <w:pStyle w:val="TableParagraph"/>
              <w:spacing w:before="50"/>
              <w:ind w:left="112"/>
              <w:jc w:val="left"/>
              <w:rPr>
                <w:sz w:val="20"/>
              </w:rPr>
            </w:pPr>
            <w:r>
              <w:rPr>
                <w:sz w:val="20"/>
              </w:rPr>
              <w:t>BBGTPS</w:t>
            </w:r>
          </w:p>
        </w:tc>
        <w:tc>
          <w:tcPr>
            <w:tcW w:w="1567" w:type="dxa"/>
          </w:tcPr>
          <w:p w:rsidR="007C5447" w:rsidRDefault="00F6308C">
            <w:pPr>
              <w:pStyle w:val="TableParagraph"/>
              <w:spacing w:before="50"/>
              <w:ind w:right="92"/>
              <w:rPr>
                <w:sz w:val="20"/>
              </w:rPr>
            </w:pPr>
            <w:r>
              <w:rPr>
                <w:sz w:val="20"/>
              </w:rPr>
              <w:t>3.00</w:t>
            </w:r>
          </w:p>
        </w:tc>
        <w:tc>
          <w:tcPr>
            <w:tcW w:w="1570" w:type="dxa"/>
          </w:tcPr>
          <w:p w:rsidR="007C5447" w:rsidRDefault="00F6308C">
            <w:pPr>
              <w:pStyle w:val="TableParagraph"/>
              <w:spacing w:before="50"/>
              <w:ind w:right="95"/>
              <w:rPr>
                <w:sz w:val="20"/>
              </w:rPr>
            </w:pPr>
            <w:r>
              <w:rPr>
                <w:w w:val="95"/>
                <w:sz w:val="20"/>
              </w:rPr>
              <w:t>63.12</w:t>
            </w:r>
          </w:p>
        </w:tc>
        <w:tc>
          <w:tcPr>
            <w:tcW w:w="1519" w:type="dxa"/>
          </w:tcPr>
          <w:p w:rsidR="007C5447" w:rsidRDefault="00F6308C">
            <w:pPr>
              <w:pStyle w:val="TableParagraph"/>
              <w:spacing w:before="50"/>
              <w:ind w:right="89"/>
              <w:rPr>
                <w:sz w:val="20"/>
              </w:rPr>
            </w:pPr>
            <w:r>
              <w:rPr>
                <w:w w:val="99"/>
                <w:sz w:val="20"/>
              </w:rPr>
              <w:t>-</w:t>
            </w:r>
          </w:p>
        </w:tc>
        <w:tc>
          <w:tcPr>
            <w:tcW w:w="1567" w:type="dxa"/>
          </w:tcPr>
          <w:p w:rsidR="007C5447" w:rsidRDefault="00F6308C">
            <w:pPr>
              <w:pStyle w:val="TableParagraph"/>
              <w:spacing w:before="50"/>
              <w:ind w:right="91"/>
              <w:rPr>
                <w:sz w:val="20"/>
              </w:rPr>
            </w:pPr>
            <w:r>
              <w:rPr>
                <w:w w:val="99"/>
                <w:sz w:val="20"/>
              </w:rPr>
              <w:t>-</w:t>
            </w:r>
          </w:p>
        </w:tc>
        <w:tc>
          <w:tcPr>
            <w:tcW w:w="1568" w:type="dxa"/>
          </w:tcPr>
          <w:p w:rsidR="007C5447" w:rsidRDefault="00F6308C">
            <w:pPr>
              <w:pStyle w:val="TableParagraph"/>
              <w:spacing w:before="50"/>
              <w:ind w:right="92"/>
              <w:rPr>
                <w:sz w:val="20"/>
              </w:rPr>
            </w:pPr>
            <w:r>
              <w:rPr>
                <w:w w:val="95"/>
                <w:sz w:val="20"/>
              </w:rPr>
              <w:t>63.12</w:t>
            </w:r>
          </w:p>
        </w:tc>
        <w:tc>
          <w:tcPr>
            <w:tcW w:w="1625" w:type="dxa"/>
          </w:tcPr>
          <w:p w:rsidR="007C5447" w:rsidRDefault="00F6308C">
            <w:pPr>
              <w:pStyle w:val="TableParagraph"/>
              <w:spacing w:before="50"/>
              <w:ind w:right="93"/>
              <w:rPr>
                <w:sz w:val="20"/>
              </w:rPr>
            </w:pPr>
            <w:r>
              <w:rPr>
                <w:w w:val="95"/>
                <w:sz w:val="20"/>
              </w:rPr>
              <w:t>210.38</w:t>
            </w:r>
          </w:p>
        </w:tc>
      </w:tr>
      <w:tr w:rsidR="007C5447">
        <w:trPr>
          <w:trHeight w:val="330"/>
        </w:trPr>
        <w:tc>
          <w:tcPr>
            <w:tcW w:w="4760" w:type="dxa"/>
          </w:tcPr>
          <w:p w:rsidR="007C5447" w:rsidRDefault="00F6308C">
            <w:pPr>
              <w:pStyle w:val="TableParagraph"/>
              <w:spacing w:before="50"/>
              <w:ind w:left="112"/>
              <w:jc w:val="left"/>
              <w:rPr>
                <w:sz w:val="20"/>
              </w:rPr>
            </w:pPr>
            <w:r>
              <w:rPr>
                <w:sz w:val="20"/>
              </w:rPr>
              <w:t>VGTPS (Unit 1 and 2)</w:t>
            </w:r>
          </w:p>
        </w:tc>
        <w:tc>
          <w:tcPr>
            <w:tcW w:w="1567" w:type="dxa"/>
          </w:tcPr>
          <w:p w:rsidR="007C5447" w:rsidRDefault="00F6308C">
            <w:pPr>
              <w:pStyle w:val="TableParagraph"/>
              <w:spacing w:before="50"/>
              <w:ind w:right="93"/>
              <w:rPr>
                <w:sz w:val="20"/>
              </w:rPr>
            </w:pPr>
            <w:r>
              <w:rPr>
                <w:w w:val="95"/>
                <w:sz w:val="20"/>
              </w:rPr>
              <w:t>996.00</w:t>
            </w:r>
          </w:p>
        </w:tc>
        <w:tc>
          <w:tcPr>
            <w:tcW w:w="1570" w:type="dxa"/>
          </w:tcPr>
          <w:p w:rsidR="007C5447" w:rsidRDefault="00F6308C">
            <w:pPr>
              <w:pStyle w:val="TableParagraph"/>
              <w:spacing w:before="50"/>
              <w:ind w:right="95"/>
              <w:rPr>
                <w:sz w:val="20"/>
              </w:rPr>
            </w:pPr>
            <w:r>
              <w:rPr>
                <w:w w:val="95"/>
                <w:sz w:val="20"/>
              </w:rPr>
              <w:t>160.60</w:t>
            </w:r>
          </w:p>
        </w:tc>
        <w:tc>
          <w:tcPr>
            <w:tcW w:w="1519" w:type="dxa"/>
          </w:tcPr>
          <w:p w:rsidR="007C5447" w:rsidRDefault="00F6308C">
            <w:pPr>
              <w:pStyle w:val="TableParagraph"/>
              <w:spacing w:before="50"/>
              <w:ind w:right="92"/>
              <w:rPr>
                <w:sz w:val="20"/>
              </w:rPr>
            </w:pPr>
            <w:r>
              <w:rPr>
                <w:w w:val="95"/>
                <w:sz w:val="20"/>
              </w:rPr>
              <w:t>239.92</w:t>
            </w:r>
          </w:p>
        </w:tc>
        <w:tc>
          <w:tcPr>
            <w:tcW w:w="1567" w:type="dxa"/>
          </w:tcPr>
          <w:p w:rsidR="007C5447" w:rsidRDefault="00F6308C">
            <w:pPr>
              <w:pStyle w:val="TableParagraph"/>
              <w:spacing w:before="50"/>
              <w:ind w:right="94"/>
              <w:rPr>
                <w:sz w:val="20"/>
              </w:rPr>
            </w:pPr>
            <w:r>
              <w:rPr>
                <w:sz w:val="20"/>
              </w:rPr>
              <w:t>2.41</w:t>
            </w:r>
          </w:p>
        </w:tc>
        <w:tc>
          <w:tcPr>
            <w:tcW w:w="1568" w:type="dxa"/>
          </w:tcPr>
          <w:p w:rsidR="007C5447" w:rsidRDefault="00F6308C">
            <w:pPr>
              <w:pStyle w:val="TableParagraph"/>
              <w:spacing w:before="50"/>
              <w:ind w:right="92"/>
              <w:rPr>
                <w:sz w:val="20"/>
              </w:rPr>
            </w:pPr>
            <w:r>
              <w:rPr>
                <w:w w:val="95"/>
                <w:sz w:val="20"/>
              </w:rPr>
              <w:t>400.52</w:t>
            </w:r>
          </w:p>
        </w:tc>
        <w:tc>
          <w:tcPr>
            <w:tcW w:w="1625" w:type="dxa"/>
          </w:tcPr>
          <w:p w:rsidR="007C5447" w:rsidRDefault="00F6308C">
            <w:pPr>
              <w:pStyle w:val="TableParagraph"/>
              <w:spacing w:before="50"/>
              <w:ind w:right="92"/>
              <w:rPr>
                <w:sz w:val="20"/>
              </w:rPr>
            </w:pPr>
            <w:r>
              <w:rPr>
                <w:sz w:val="20"/>
              </w:rPr>
              <w:t>4.02</w:t>
            </w:r>
          </w:p>
        </w:tc>
      </w:tr>
      <w:tr w:rsidR="007C5447">
        <w:trPr>
          <w:trHeight w:val="328"/>
        </w:trPr>
        <w:tc>
          <w:tcPr>
            <w:tcW w:w="4760" w:type="dxa"/>
          </w:tcPr>
          <w:p w:rsidR="007C5447" w:rsidRDefault="00F6308C">
            <w:pPr>
              <w:pStyle w:val="TableParagraph"/>
              <w:spacing w:before="48"/>
              <w:ind w:left="1736" w:right="1722"/>
              <w:jc w:val="center"/>
              <w:rPr>
                <w:b/>
                <w:sz w:val="20"/>
              </w:rPr>
            </w:pPr>
            <w:r>
              <w:rPr>
                <w:b/>
                <w:sz w:val="20"/>
              </w:rPr>
              <w:t>Total Gas</w:t>
            </w:r>
          </w:p>
        </w:tc>
        <w:tc>
          <w:tcPr>
            <w:tcW w:w="1567" w:type="dxa"/>
          </w:tcPr>
          <w:p w:rsidR="007C5447" w:rsidRDefault="00F6308C">
            <w:pPr>
              <w:pStyle w:val="TableParagraph"/>
              <w:spacing w:before="48"/>
              <w:ind w:right="91"/>
              <w:rPr>
                <w:b/>
                <w:sz w:val="20"/>
              </w:rPr>
            </w:pPr>
            <w:r>
              <w:rPr>
                <w:b/>
                <w:w w:val="95"/>
                <w:sz w:val="20"/>
              </w:rPr>
              <w:t>1,840.00</w:t>
            </w:r>
          </w:p>
        </w:tc>
        <w:tc>
          <w:tcPr>
            <w:tcW w:w="1570" w:type="dxa"/>
          </w:tcPr>
          <w:p w:rsidR="007C5447" w:rsidRDefault="00F6308C">
            <w:pPr>
              <w:pStyle w:val="TableParagraph"/>
              <w:spacing w:before="48"/>
              <w:ind w:right="95"/>
              <w:rPr>
                <w:b/>
                <w:sz w:val="20"/>
              </w:rPr>
            </w:pPr>
            <w:r>
              <w:rPr>
                <w:b/>
                <w:w w:val="95"/>
                <w:sz w:val="20"/>
              </w:rPr>
              <w:t>113.19</w:t>
            </w:r>
          </w:p>
        </w:tc>
        <w:tc>
          <w:tcPr>
            <w:tcW w:w="1519" w:type="dxa"/>
          </w:tcPr>
          <w:p w:rsidR="007C5447" w:rsidRDefault="00F6308C">
            <w:pPr>
              <w:pStyle w:val="TableParagraph"/>
              <w:spacing w:before="48"/>
              <w:ind w:right="92"/>
              <w:rPr>
                <w:b/>
                <w:sz w:val="20"/>
              </w:rPr>
            </w:pPr>
            <w:r>
              <w:rPr>
                <w:b/>
                <w:w w:val="95"/>
                <w:sz w:val="20"/>
              </w:rPr>
              <w:t>451.55</w:t>
            </w:r>
          </w:p>
        </w:tc>
        <w:tc>
          <w:tcPr>
            <w:tcW w:w="1567" w:type="dxa"/>
          </w:tcPr>
          <w:p w:rsidR="007C5447" w:rsidRDefault="00F6308C">
            <w:pPr>
              <w:pStyle w:val="TableParagraph"/>
              <w:spacing w:before="48"/>
              <w:ind w:right="94"/>
              <w:rPr>
                <w:b/>
                <w:sz w:val="20"/>
              </w:rPr>
            </w:pPr>
            <w:r>
              <w:rPr>
                <w:b/>
                <w:sz w:val="20"/>
              </w:rPr>
              <w:t>2.45</w:t>
            </w:r>
          </w:p>
        </w:tc>
        <w:tc>
          <w:tcPr>
            <w:tcW w:w="1568" w:type="dxa"/>
          </w:tcPr>
          <w:p w:rsidR="007C5447" w:rsidRDefault="00F6308C">
            <w:pPr>
              <w:pStyle w:val="TableParagraph"/>
              <w:spacing w:before="48"/>
              <w:ind w:right="92"/>
              <w:rPr>
                <w:b/>
                <w:sz w:val="20"/>
              </w:rPr>
            </w:pPr>
            <w:r>
              <w:rPr>
                <w:b/>
                <w:w w:val="95"/>
                <w:sz w:val="20"/>
              </w:rPr>
              <w:t>564.74</w:t>
            </w:r>
          </w:p>
        </w:tc>
        <w:tc>
          <w:tcPr>
            <w:tcW w:w="1625" w:type="dxa"/>
          </w:tcPr>
          <w:p w:rsidR="007C5447" w:rsidRDefault="00F6308C">
            <w:pPr>
              <w:pStyle w:val="TableParagraph"/>
              <w:spacing w:before="48"/>
              <w:ind w:right="92"/>
              <w:rPr>
                <w:b/>
                <w:sz w:val="20"/>
              </w:rPr>
            </w:pPr>
            <w:r>
              <w:rPr>
                <w:b/>
                <w:sz w:val="20"/>
              </w:rPr>
              <w:t>3.07</w:t>
            </w:r>
          </w:p>
        </w:tc>
      </w:tr>
      <w:tr w:rsidR="007C5447">
        <w:trPr>
          <w:trHeight w:val="331"/>
        </w:trPr>
        <w:tc>
          <w:tcPr>
            <w:tcW w:w="4760" w:type="dxa"/>
          </w:tcPr>
          <w:p w:rsidR="007C5447" w:rsidRDefault="00F6308C">
            <w:pPr>
              <w:pStyle w:val="TableParagraph"/>
              <w:spacing w:before="51"/>
              <w:ind w:left="112"/>
              <w:jc w:val="left"/>
              <w:rPr>
                <w:sz w:val="20"/>
              </w:rPr>
            </w:pPr>
            <w:r>
              <w:rPr>
                <w:sz w:val="20"/>
              </w:rPr>
              <w:t>Erode HEP</w:t>
            </w:r>
          </w:p>
        </w:tc>
        <w:tc>
          <w:tcPr>
            <w:tcW w:w="1567" w:type="dxa"/>
          </w:tcPr>
          <w:p w:rsidR="007C5447" w:rsidRDefault="00F6308C">
            <w:pPr>
              <w:pStyle w:val="TableParagraph"/>
              <w:spacing w:before="51"/>
              <w:ind w:right="93"/>
              <w:rPr>
                <w:sz w:val="20"/>
              </w:rPr>
            </w:pPr>
            <w:r>
              <w:rPr>
                <w:w w:val="95"/>
                <w:sz w:val="20"/>
              </w:rPr>
              <w:t>946.00</w:t>
            </w:r>
          </w:p>
        </w:tc>
        <w:tc>
          <w:tcPr>
            <w:tcW w:w="1570" w:type="dxa"/>
          </w:tcPr>
          <w:p w:rsidR="007C5447" w:rsidRDefault="00F6308C">
            <w:pPr>
              <w:pStyle w:val="TableParagraph"/>
              <w:spacing w:before="51"/>
              <w:ind w:right="95"/>
              <w:rPr>
                <w:sz w:val="20"/>
              </w:rPr>
            </w:pPr>
            <w:r>
              <w:rPr>
                <w:w w:val="95"/>
                <w:sz w:val="20"/>
              </w:rPr>
              <w:t>312.27</w:t>
            </w: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51"/>
              <w:ind w:right="92"/>
              <w:rPr>
                <w:sz w:val="20"/>
              </w:rPr>
            </w:pPr>
            <w:r>
              <w:rPr>
                <w:w w:val="95"/>
                <w:sz w:val="20"/>
              </w:rPr>
              <w:t>312.27</w:t>
            </w:r>
          </w:p>
        </w:tc>
        <w:tc>
          <w:tcPr>
            <w:tcW w:w="1625" w:type="dxa"/>
          </w:tcPr>
          <w:p w:rsidR="007C5447" w:rsidRDefault="00F6308C">
            <w:pPr>
              <w:pStyle w:val="TableParagraph"/>
              <w:spacing w:before="51"/>
              <w:ind w:right="92"/>
              <w:rPr>
                <w:sz w:val="20"/>
              </w:rPr>
            </w:pPr>
            <w:r>
              <w:rPr>
                <w:sz w:val="20"/>
              </w:rPr>
              <w:t>3.30</w:t>
            </w:r>
          </w:p>
        </w:tc>
      </w:tr>
      <w:tr w:rsidR="007C5447">
        <w:trPr>
          <w:trHeight w:val="330"/>
        </w:trPr>
        <w:tc>
          <w:tcPr>
            <w:tcW w:w="4760" w:type="dxa"/>
          </w:tcPr>
          <w:p w:rsidR="007C5447" w:rsidRDefault="00F6308C">
            <w:pPr>
              <w:pStyle w:val="TableParagraph"/>
              <w:spacing w:before="50"/>
              <w:ind w:left="112"/>
              <w:jc w:val="left"/>
              <w:rPr>
                <w:sz w:val="20"/>
              </w:rPr>
            </w:pPr>
            <w:r>
              <w:rPr>
                <w:sz w:val="20"/>
              </w:rPr>
              <w:t>Kadamparai HEP</w:t>
            </w:r>
          </w:p>
        </w:tc>
        <w:tc>
          <w:tcPr>
            <w:tcW w:w="1567" w:type="dxa"/>
          </w:tcPr>
          <w:p w:rsidR="007C5447" w:rsidRDefault="00F6308C">
            <w:pPr>
              <w:pStyle w:val="TableParagraph"/>
              <w:spacing w:before="50"/>
              <w:ind w:right="93"/>
              <w:rPr>
                <w:sz w:val="20"/>
              </w:rPr>
            </w:pPr>
            <w:r>
              <w:rPr>
                <w:w w:val="95"/>
                <w:sz w:val="20"/>
              </w:rPr>
              <w:t>531.24</w:t>
            </w:r>
          </w:p>
        </w:tc>
        <w:tc>
          <w:tcPr>
            <w:tcW w:w="1570" w:type="dxa"/>
          </w:tcPr>
          <w:p w:rsidR="007C5447" w:rsidRDefault="00F6308C">
            <w:pPr>
              <w:pStyle w:val="TableParagraph"/>
              <w:spacing w:before="50"/>
              <w:ind w:right="95"/>
              <w:rPr>
                <w:sz w:val="20"/>
              </w:rPr>
            </w:pPr>
            <w:r>
              <w:rPr>
                <w:w w:val="95"/>
                <w:sz w:val="20"/>
              </w:rPr>
              <w:t>84.82</w:t>
            </w: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50"/>
              <w:ind w:right="92"/>
              <w:rPr>
                <w:sz w:val="20"/>
              </w:rPr>
            </w:pPr>
            <w:r>
              <w:rPr>
                <w:w w:val="95"/>
                <w:sz w:val="20"/>
              </w:rPr>
              <w:t>84.82</w:t>
            </w:r>
          </w:p>
        </w:tc>
        <w:tc>
          <w:tcPr>
            <w:tcW w:w="1625" w:type="dxa"/>
          </w:tcPr>
          <w:p w:rsidR="007C5447" w:rsidRDefault="00F6308C">
            <w:pPr>
              <w:pStyle w:val="TableParagraph"/>
              <w:spacing w:before="50"/>
              <w:ind w:right="92"/>
              <w:rPr>
                <w:sz w:val="20"/>
              </w:rPr>
            </w:pPr>
            <w:r>
              <w:rPr>
                <w:sz w:val="20"/>
              </w:rPr>
              <w:t>1.60</w:t>
            </w:r>
          </w:p>
        </w:tc>
      </w:tr>
      <w:tr w:rsidR="007C5447">
        <w:trPr>
          <w:trHeight w:val="328"/>
        </w:trPr>
        <w:tc>
          <w:tcPr>
            <w:tcW w:w="4760" w:type="dxa"/>
          </w:tcPr>
          <w:p w:rsidR="007C5447" w:rsidRDefault="00F6308C">
            <w:pPr>
              <w:pStyle w:val="TableParagraph"/>
              <w:spacing w:before="48"/>
              <w:ind w:left="112"/>
              <w:jc w:val="left"/>
              <w:rPr>
                <w:sz w:val="20"/>
              </w:rPr>
            </w:pPr>
            <w:r>
              <w:rPr>
                <w:sz w:val="20"/>
              </w:rPr>
              <w:t>Kundah HEP</w:t>
            </w:r>
          </w:p>
        </w:tc>
        <w:tc>
          <w:tcPr>
            <w:tcW w:w="1567" w:type="dxa"/>
          </w:tcPr>
          <w:p w:rsidR="007C5447" w:rsidRDefault="00F6308C">
            <w:pPr>
              <w:pStyle w:val="TableParagraph"/>
              <w:spacing w:before="48"/>
              <w:ind w:right="91"/>
              <w:rPr>
                <w:sz w:val="20"/>
              </w:rPr>
            </w:pPr>
            <w:r>
              <w:rPr>
                <w:w w:val="95"/>
                <w:sz w:val="20"/>
              </w:rPr>
              <w:t>2,028.00</w:t>
            </w:r>
          </w:p>
        </w:tc>
        <w:tc>
          <w:tcPr>
            <w:tcW w:w="1570" w:type="dxa"/>
          </w:tcPr>
          <w:p w:rsidR="007C5447" w:rsidRDefault="00F6308C">
            <w:pPr>
              <w:pStyle w:val="TableParagraph"/>
              <w:spacing w:before="48"/>
              <w:ind w:right="95"/>
              <w:rPr>
                <w:sz w:val="20"/>
              </w:rPr>
            </w:pPr>
            <w:r>
              <w:rPr>
                <w:w w:val="95"/>
                <w:sz w:val="20"/>
              </w:rPr>
              <w:t>223.34</w:t>
            </w: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48"/>
              <w:ind w:right="92"/>
              <w:rPr>
                <w:sz w:val="20"/>
              </w:rPr>
            </w:pPr>
            <w:r>
              <w:rPr>
                <w:w w:val="95"/>
                <w:sz w:val="20"/>
              </w:rPr>
              <w:t>223.34</w:t>
            </w:r>
          </w:p>
        </w:tc>
        <w:tc>
          <w:tcPr>
            <w:tcW w:w="1625" w:type="dxa"/>
          </w:tcPr>
          <w:p w:rsidR="007C5447" w:rsidRDefault="00F6308C">
            <w:pPr>
              <w:pStyle w:val="TableParagraph"/>
              <w:spacing w:before="48"/>
              <w:ind w:right="92"/>
              <w:rPr>
                <w:sz w:val="20"/>
              </w:rPr>
            </w:pPr>
            <w:r>
              <w:rPr>
                <w:sz w:val="20"/>
              </w:rPr>
              <w:t>1.10</w:t>
            </w:r>
          </w:p>
        </w:tc>
      </w:tr>
      <w:tr w:rsidR="007C5447">
        <w:trPr>
          <w:trHeight w:val="330"/>
        </w:trPr>
        <w:tc>
          <w:tcPr>
            <w:tcW w:w="4760" w:type="dxa"/>
          </w:tcPr>
          <w:p w:rsidR="007C5447" w:rsidRDefault="00F6308C">
            <w:pPr>
              <w:pStyle w:val="TableParagraph"/>
              <w:spacing w:before="50"/>
              <w:ind w:left="112"/>
              <w:jc w:val="left"/>
              <w:rPr>
                <w:sz w:val="20"/>
              </w:rPr>
            </w:pPr>
            <w:r>
              <w:rPr>
                <w:sz w:val="20"/>
              </w:rPr>
              <w:t>Tirunelveli HEP</w:t>
            </w:r>
          </w:p>
        </w:tc>
        <w:tc>
          <w:tcPr>
            <w:tcW w:w="1567" w:type="dxa"/>
          </w:tcPr>
          <w:p w:rsidR="007C5447" w:rsidRDefault="00F6308C">
            <w:pPr>
              <w:pStyle w:val="TableParagraph"/>
              <w:spacing w:before="50"/>
              <w:ind w:right="91"/>
              <w:rPr>
                <w:sz w:val="20"/>
              </w:rPr>
            </w:pPr>
            <w:r>
              <w:rPr>
                <w:w w:val="95"/>
                <w:sz w:val="20"/>
              </w:rPr>
              <w:t>1,158.00</w:t>
            </w:r>
          </w:p>
        </w:tc>
        <w:tc>
          <w:tcPr>
            <w:tcW w:w="1570" w:type="dxa"/>
          </w:tcPr>
          <w:p w:rsidR="007C5447" w:rsidRDefault="00F6308C">
            <w:pPr>
              <w:pStyle w:val="TableParagraph"/>
              <w:spacing w:before="50"/>
              <w:ind w:right="95"/>
              <w:rPr>
                <w:sz w:val="20"/>
              </w:rPr>
            </w:pPr>
            <w:r>
              <w:rPr>
                <w:w w:val="95"/>
                <w:sz w:val="20"/>
              </w:rPr>
              <w:t>127.44</w:t>
            </w: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50"/>
              <w:ind w:right="92"/>
              <w:rPr>
                <w:sz w:val="20"/>
              </w:rPr>
            </w:pPr>
            <w:r>
              <w:rPr>
                <w:w w:val="95"/>
                <w:sz w:val="20"/>
              </w:rPr>
              <w:t>127.44</w:t>
            </w:r>
          </w:p>
        </w:tc>
        <w:tc>
          <w:tcPr>
            <w:tcW w:w="1625" w:type="dxa"/>
          </w:tcPr>
          <w:p w:rsidR="007C5447" w:rsidRDefault="00F6308C">
            <w:pPr>
              <w:pStyle w:val="TableParagraph"/>
              <w:spacing w:before="50"/>
              <w:ind w:right="92"/>
              <w:rPr>
                <w:sz w:val="20"/>
              </w:rPr>
            </w:pPr>
            <w:r>
              <w:rPr>
                <w:sz w:val="20"/>
              </w:rPr>
              <w:t>1.10</w:t>
            </w:r>
          </w:p>
        </w:tc>
      </w:tr>
      <w:tr w:rsidR="007C5447">
        <w:trPr>
          <w:trHeight w:val="330"/>
        </w:trPr>
        <w:tc>
          <w:tcPr>
            <w:tcW w:w="4760" w:type="dxa"/>
          </w:tcPr>
          <w:p w:rsidR="007C5447" w:rsidRDefault="00F6308C">
            <w:pPr>
              <w:pStyle w:val="TableParagraph"/>
              <w:spacing w:before="50"/>
              <w:ind w:left="1737" w:right="1721"/>
              <w:jc w:val="center"/>
              <w:rPr>
                <w:b/>
                <w:sz w:val="20"/>
              </w:rPr>
            </w:pPr>
            <w:r>
              <w:rPr>
                <w:b/>
                <w:sz w:val="20"/>
              </w:rPr>
              <w:t>Total Hydro</w:t>
            </w:r>
          </w:p>
        </w:tc>
        <w:tc>
          <w:tcPr>
            <w:tcW w:w="1567" w:type="dxa"/>
          </w:tcPr>
          <w:p w:rsidR="007C5447" w:rsidRDefault="00F6308C">
            <w:pPr>
              <w:pStyle w:val="TableParagraph"/>
              <w:spacing w:before="50"/>
              <w:ind w:right="91"/>
              <w:rPr>
                <w:b/>
                <w:sz w:val="20"/>
              </w:rPr>
            </w:pPr>
            <w:r>
              <w:rPr>
                <w:b/>
                <w:w w:val="95"/>
                <w:sz w:val="20"/>
              </w:rPr>
              <w:t>4,663.24</w:t>
            </w:r>
          </w:p>
        </w:tc>
        <w:tc>
          <w:tcPr>
            <w:tcW w:w="1570" w:type="dxa"/>
          </w:tcPr>
          <w:p w:rsidR="007C5447" w:rsidRDefault="00F6308C">
            <w:pPr>
              <w:pStyle w:val="TableParagraph"/>
              <w:spacing w:before="50"/>
              <w:ind w:right="95"/>
              <w:rPr>
                <w:b/>
                <w:sz w:val="20"/>
              </w:rPr>
            </w:pPr>
            <w:r>
              <w:rPr>
                <w:b/>
                <w:w w:val="95"/>
                <w:sz w:val="20"/>
              </w:rPr>
              <w:t>747.87</w:t>
            </w: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50"/>
              <w:ind w:right="92"/>
              <w:rPr>
                <w:b/>
                <w:sz w:val="20"/>
              </w:rPr>
            </w:pPr>
            <w:r>
              <w:rPr>
                <w:b/>
                <w:w w:val="95"/>
                <w:sz w:val="20"/>
              </w:rPr>
              <w:t>747.87</w:t>
            </w:r>
          </w:p>
        </w:tc>
        <w:tc>
          <w:tcPr>
            <w:tcW w:w="1625" w:type="dxa"/>
          </w:tcPr>
          <w:p w:rsidR="007C5447" w:rsidRDefault="00F6308C">
            <w:pPr>
              <w:pStyle w:val="TableParagraph"/>
              <w:spacing w:before="50"/>
              <w:ind w:right="92"/>
              <w:rPr>
                <w:b/>
                <w:sz w:val="20"/>
              </w:rPr>
            </w:pPr>
            <w:r>
              <w:rPr>
                <w:b/>
                <w:sz w:val="20"/>
              </w:rPr>
              <w:t>1.60</w:t>
            </w:r>
          </w:p>
        </w:tc>
      </w:tr>
      <w:tr w:rsidR="007C5447">
        <w:trPr>
          <w:trHeight w:val="328"/>
        </w:trPr>
        <w:tc>
          <w:tcPr>
            <w:tcW w:w="4760" w:type="dxa"/>
          </w:tcPr>
          <w:p w:rsidR="007C5447" w:rsidRDefault="00F6308C">
            <w:pPr>
              <w:pStyle w:val="TableParagraph"/>
              <w:spacing w:before="48"/>
              <w:ind w:left="112"/>
              <w:jc w:val="left"/>
              <w:rPr>
                <w:b/>
                <w:sz w:val="20"/>
              </w:rPr>
            </w:pPr>
            <w:r>
              <w:rPr>
                <w:b/>
                <w:sz w:val="20"/>
              </w:rPr>
              <w:t>Wind</w:t>
            </w:r>
          </w:p>
        </w:tc>
        <w:tc>
          <w:tcPr>
            <w:tcW w:w="1567" w:type="dxa"/>
          </w:tcPr>
          <w:p w:rsidR="007C5447" w:rsidRDefault="00F6308C">
            <w:pPr>
              <w:pStyle w:val="TableParagraph"/>
              <w:spacing w:before="48"/>
              <w:ind w:right="92"/>
              <w:rPr>
                <w:sz w:val="20"/>
              </w:rPr>
            </w:pPr>
            <w:r>
              <w:rPr>
                <w:sz w:val="20"/>
              </w:rPr>
              <w:t>7.81</w:t>
            </w:r>
          </w:p>
        </w:tc>
        <w:tc>
          <w:tcPr>
            <w:tcW w:w="1570" w:type="dxa"/>
          </w:tcPr>
          <w:p w:rsidR="007C5447" w:rsidRDefault="007C5447">
            <w:pPr>
              <w:pStyle w:val="TableParagraph"/>
              <w:jc w:val="left"/>
              <w:rPr>
                <w:sz w:val="20"/>
              </w:rPr>
            </w:pPr>
          </w:p>
        </w:tc>
        <w:tc>
          <w:tcPr>
            <w:tcW w:w="1519" w:type="dxa"/>
          </w:tcPr>
          <w:p w:rsidR="007C5447" w:rsidRDefault="00F6308C">
            <w:pPr>
              <w:pStyle w:val="TableParagraph"/>
              <w:spacing w:before="48"/>
              <w:ind w:right="90"/>
              <w:rPr>
                <w:sz w:val="20"/>
              </w:rPr>
            </w:pPr>
            <w:r>
              <w:rPr>
                <w:sz w:val="20"/>
              </w:rPr>
              <w:t>2.00</w:t>
            </w: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48"/>
              <w:ind w:right="90"/>
              <w:rPr>
                <w:sz w:val="20"/>
              </w:rPr>
            </w:pPr>
            <w:r>
              <w:rPr>
                <w:sz w:val="20"/>
              </w:rPr>
              <w:t>2.00</w:t>
            </w:r>
          </w:p>
        </w:tc>
        <w:tc>
          <w:tcPr>
            <w:tcW w:w="1625" w:type="dxa"/>
          </w:tcPr>
          <w:p w:rsidR="007C5447" w:rsidRDefault="00F6308C">
            <w:pPr>
              <w:pStyle w:val="TableParagraph"/>
              <w:spacing w:before="48"/>
              <w:ind w:right="90"/>
              <w:rPr>
                <w:sz w:val="20"/>
              </w:rPr>
            </w:pPr>
            <w:r>
              <w:rPr>
                <w:sz w:val="20"/>
              </w:rPr>
              <w:t>2.56</w:t>
            </w:r>
          </w:p>
        </w:tc>
      </w:tr>
      <w:tr w:rsidR="007C5447">
        <w:trPr>
          <w:trHeight w:val="330"/>
        </w:trPr>
        <w:tc>
          <w:tcPr>
            <w:tcW w:w="4760" w:type="dxa"/>
          </w:tcPr>
          <w:p w:rsidR="007C5447" w:rsidRDefault="00F6308C">
            <w:pPr>
              <w:pStyle w:val="TableParagraph"/>
              <w:spacing w:before="50"/>
              <w:ind w:left="112"/>
              <w:jc w:val="left"/>
              <w:rPr>
                <w:b/>
                <w:sz w:val="20"/>
              </w:rPr>
            </w:pPr>
            <w:r>
              <w:rPr>
                <w:b/>
                <w:sz w:val="20"/>
              </w:rPr>
              <w:t>Total from Own Generating</w:t>
            </w:r>
          </w:p>
        </w:tc>
        <w:tc>
          <w:tcPr>
            <w:tcW w:w="1567" w:type="dxa"/>
          </w:tcPr>
          <w:p w:rsidR="007C5447" w:rsidRDefault="00F6308C">
            <w:pPr>
              <w:pStyle w:val="TableParagraph"/>
              <w:spacing w:before="50"/>
              <w:ind w:right="93"/>
              <w:rPr>
                <w:b/>
                <w:sz w:val="20"/>
              </w:rPr>
            </w:pPr>
            <w:r>
              <w:rPr>
                <w:b/>
                <w:w w:val="95"/>
                <w:sz w:val="20"/>
              </w:rPr>
              <w:t>31,590.05</w:t>
            </w:r>
          </w:p>
        </w:tc>
        <w:tc>
          <w:tcPr>
            <w:tcW w:w="1570" w:type="dxa"/>
          </w:tcPr>
          <w:p w:rsidR="007C5447" w:rsidRDefault="00F6308C">
            <w:pPr>
              <w:pStyle w:val="TableParagraph"/>
              <w:spacing w:before="50"/>
              <w:ind w:right="93"/>
              <w:rPr>
                <w:b/>
                <w:sz w:val="20"/>
              </w:rPr>
            </w:pPr>
            <w:r>
              <w:rPr>
                <w:b/>
                <w:w w:val="95"/>
                <w:sz w:val="20"/>
              </w:rPr>
              <w:t>3,631.60</w:t>
            </w:r>
          </w:p>
        </w:tc>
        <w:tc>
          <w:tcPr>
            <w:tcW w:w="1519" w:type="dxa"/>
          </w:tcPr>
          <w:p w:rsidR="007C5447" w:rsidRDefault="00F6308C">
            <w:pPr>
              <w:pStyle w:val="TableParagraph"/>
              <w:spacing w:before="50"/>
              <w:ind w:right="90"/>
              <w:rPr>
                <w:b/>
                <w:sz w:val="20"/>
              </w:rPr>
            </w:pPr>
            <w:r>
              <w:rPr>
                <w:b/>
                <w:w w:val="95"/>
                <w:sz w:val="20"/>
              </w:rPr>
              <w:t>9,556.42</w:t>
            </w:r>
          </w:p>
        </w:tc>
        <w:tc>
          <w:tcPr>
            <w:tcW w:w="1567" w:type="dxa"/>
          </w:tcPr>
          <w:p w:rsidR="007C5447" w:rsidRDefault="00F6308C">
            <w:pPr>
              <w:pStyle w:val="TableParagraph"/>
              <w:spacing w:before="50"/>
              <w:ind w:right="92"/>
              <w:rPr>
                <w:b/>
                <w:sz w:val="20"/>
              </w:rPr>
            </w:pPr>
            <w:r>
              <w:rPr>
                <w:b/>
                <w:sz w:val="20"/>
              </w:rPr>
              <w:t>3.03</w:t>
            </w:r>
          </w:p>
        </w:tc>
        <w:tc>
          <w:tcPr>
            <w:tcW w:w="1568" w:type="dxa"/>
          </w:tcPr>
          <w:p w:rsidR="007C5447" w:rsidRDefault="00F6308C">
            <w:pPr>
              <w:pStyle w:val="TableParagraph"/>
              <w:spacing w:before="50"/>
              <w:ind w:right="90"/>
              <w:rPr>
                <w:b/>
                <w:sz w:val="20"/>
              </w:rPr>
            </w:pPr>
            <w:r>
              <w:rPr>
                <w:b/>
                <w:w w:val="95"/>
                <w:sz w:val="20"/>
              </w:rPr>
              <w:t>13,198.02</w:t>
            </w:r>
          </w:p>
        </w:tc>
        <w:tc>
          <w:tcPr>
            <w:tcW w:w="1625" w:type="dxa"/>
          </w:tcPr>
          <w:p w:rsidR="007C5447" w:rsidRDefault="00F6308C">
            <w:pPr>
              <w:pStyle w:val="TableParagraph"/>
              <w:spacing w:before="50"/>
              <w:ind w:right="90"/>
              <w:rPr>
                <w:b/>
                <w:sz w:val="20"/>
              </w:rPr>
            </w:pPr>
            <w:r>
              <w:rPr>
                <w:b/>
                <w:sz w:val="20"/>
              </w:rPr>
              <w:t>4.18</w:t>
            </w:r>
          </w:p>
        </w:tc>
      </w:tr>
      <w:tr w:rsidR="007C5447">
        <w:trPr>
          <w:trHeight w:val="331"/>
        </w:trPr>
        <w:tc>
          <w:tcPr>
            <w:tcW w:w="4760" w:type="dxa"/>
          </w:tcPr>
          <w:p w:rsidR="007C5447" w:rsidRDefault="00F6308C">
            <w:pPr>
              <w:pStyle w:val="TableParagraph"/>
              <w:spacing w:before="51"/>
              <w:ind w:left="112"/>
              <w:jc w:val="left"/>
              <w:rPr>
                <w:b/>
                <w:sz w:val="20"/>
              </w:rPr>
            </w:pPr>
            <w:r>
              <w:rPr>
                <w:b/>
                <w:sz w:val="20"/>
              </w:rPr>
              <w:t>CGS</w:t>
            </w:r>
          </w:p>
        </w:tc>
        <w:tc>
          <w:tcPr>
            <w:tcW w:w="1567" w:type="dxa"/>
          </w:tcPr>
          <w:p w:rsidR="007C5447" w:rsidRDefault="007C5447">
            <w:pPr>
              <w:pStyle w:val="TableParagraph"/>
              <w:jc w:val="left"/>
              <w:rPr>
                <w:sz w:val="20"/>
              </w:rPr>
            </w:pP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7C5447">
            <w:pPr>
              <w:pStyle w:val="TableParagraph"/>
              <w:jc w:val="left"/>
              <w:rPr>
                <w:sz w:val="20"/>
              </w:rPr>
            </w:pPr>
          </w:p>
        </w:tc>
        <w:tc>
          <w:tcPr>
            <w:tcW w:w="1625" w:type="dxa"/>
          </w:tcPr>
          <w:p w:rsidR="007C5447" w:rsidRDefault="007C5447">
            <w:pPr>
              <w:pStyle w:val="TableParagraph"/>
              <w:jc w:val="left"/>
              <w:rPr>
                <w:sz w:val="20"/>
              </w:rPr>
            </w:pPr>
          </w:p>
        </w:tc>
      </w:tr>
      <w:tr w:rsidR="007C5447">
        <w:trPr>
          <w:trHeight w:val="299"/>
        </w:trPr>
        <w:tc>
          <w:tcPr>
            <w:tcW w:w="4760" w:type="dxa"/>
            <w:tcBorders>
              <w:left w:val="single" w:sz="8" w:space="0" w:color="000000"/>
            </w:tcBorders>
          </w:tcPr>
          <w:p w:rsidR="007C5447" w:rsidRDefault="00F6308C">
            <w:pPr>
              <w:pStyle w:val="TableParagraph"/>
              <w:spacing w:before="34"/>
              <w:ind w:left="107"/>
              <w:jc w:val="left"/>
              <w:rPr>
                <w:sz w:val="20"/>
              </w:rPr>
            </w:pPr>
            <w:r>
              <w:rPr>
                <w:sz w:val="20"/>
              </w:rPr>
              <w:t>NTPC SR (Ramagundam) (I&amp;II)</w:t>
            </w:r>
          </w:p>
        </w:tc>
        <w:tc>
          <w:tcPr>
            <w:tcW w:w="1567" w:type="dxa"/>
          </w:tcPr>
          <w:p w:rsidR="007C5447" w:rsidRDefault="00F6308C">
            <w:pPr>
              <w:pStyle w:val="TableParagraph"/>
              <w:spacing w:before="34"/>
              <w:ind w:right="91"/>
              <w:rPr>
                <w:sz w:val="20"/>
              </w:rPr>
            </w:pPr>
            <w:r>
              <w:rPr>
                <w:w w:val="95"/>
                <w:sz w:val="20"/>
              </w:rPr>
              <w:t>3,876.00</w:t>
            </w:r>
          </w:p>
        </w:tc>
        <w:tc>
          <w:tcPr>
            <w:tcW w:w="1570" w:type="dxa"/>
          </w:tcPr>
          <w:p w:rsidR="007C5447" w:rsidRDefault="00F6308C">
            <w:pPr>
              <w:pStyle w:val="TableParagraph"/>
              <w:spacing w:before="34"/>
              <w:ind w:right="95"/>
              <w:rPr>
                <w:sz w:val="20"/>
              </w:rPr>
            </w:pPr>
            <w:r>
              <w:rPr>
                <w:w w:val="95"/>
                <w:sz w:val="20"/>
              </w:rPr>
              <w:t>232.00</w:t>
            </w:r>
          </w:p>
        </w:tc>
        <w:tc>
          <w:tcPr>
            <w:tcW w:w="1519" w:type="dxa"/>
          </w:tcPr>
          <w:p w:rsidR="007C5447" w:rsidRDefault="00F6308C">
            <w:pPr>
              <w:pStyle w:val="TableParagraph"/>
              <w:spacing w:before="34"/>
              <w:ind w:right="92"/>
              <w:rPr>
                <w:sz w:val="20"/>
              </w:rPr>
            </w:pPr>
            <w:r>
              <w:rPr>
                <w:w w:val="95"/>
                <w:sz w:val="20"/>
              </w:rPr>
              <w:t>944.00</w:t>
            </w:r>
          </w:p>
        </w:tc>
        <w:tc>
          <w:tcPr>
            <w:tcW w:w="1567" w:type="dxa"/>
          </w:tcPr>
          <w:p w:rsidR="007C5447" w:rsidRDefault="00F6308C">
            <w:pPr>
              <w:pStyle w:val="TableParagraph"/>
              <w:spacing w:before="34"/>
              <w:ind w:right="94"/>
              <w:rPr>
                <w:sz w:val="20"/>
              </w:rPr>
            </w:pPr>
            <w:r>
              <w:rPr>
                <w:sz w:val="20"/>
              </w:rPr>
              <w:t>2.44</w:t>
            </w:r>
          </w:p>
        </w:tc>
        <w:tc>
          <w:tcPr>
            <w:tcW w:w="1568" w:type="dxa"/>
          </w:tcPr>
          <w:p w:rsidR="007C5447" w:rsidRDefault="00F6308C">
            <w:pPr>
              <w:pStyle w:val="TableParagraph"/>
              <w:spacing w:before="34"/>
              <w:ind w:right="90"/>
              <w:rPr>
                <w:sz w:val="20"/>
              </w:rPr>
            </w:pPr>
            <w:r>
              <w:rPr>
                <w:w w:val="95"/>
                <w:sz w:val="20"/>
              </w:rPr>
              <w:t>1,182.65</w:t>
            </w:r>
          </w:p>
        </w:tc>
        <w:tc>
          <w:tcPr>
            <w:tcW w:w="1625" w:type="dxa"/>
          </w:tcPr>
          <w:p w:rsidR="007C5447" w:rsidRDefault="00F6308C">
            <w:pPr>
              <w:pStyle w:val="TableParagraph"/>
              <w:spacing w:before="34"/>
              <w:ind w:right="92"/>
              <w:rPr>
                <w:sz w:val="20"/>
              </w:rPr>
            </w:pPr>
            <w:r>
              <w:rPr>
                <w:sz w:val="20"/>
              </w:rPr>
              <w:t>3.05</w:t>
            </w:r>
          </w:p>
        </w:tc>
      </w:tr>
      <w:tr w:rsidR="007C5447">
        <w:trPr>
          <w:trHeight w:val="299"/>
        </w:trPr>
        <w:tc>
          <w:tcPr>
            <w:tcW w:w="4760" w:type="dxa"/>
            <w:tcBorders>
              <w:left w:val="single" w:sz="8" w:space="0" w:color="000000"/>
            </w:tcBorders>
          </w:tcPr>
          <w:p w:rsidR="007C5447" w:rsidRDefault="00F6308C">
            <w:pPr>
              <w:pStyle w:val="TableParagraph"/>
              <w:spacing w:before="34"/>
              <w:ind w:left="107"/>
              <w:jc w:val="left"/>
              <w:rPr>
                <w:sz w:val="20"/>
              </w:rPr>
            </w:pPr>
            <w:r>
              <w:rPr>
                <w:sz w:val="20"/>
              </w:rPr>
              <w:t>NTPC SR (Ramagundam) III</w:t>
            </w:r>
          </w:p>
        </w:tc>
        <w:tc>
          <w:tcPr>
            <w:tcW w:w="1567" w:type="dxa"/>
          </w:tcPr>
          <w:p w:rsidR="007C5447" w:rsidRDefault="00F6308C">
            <w:pPr>
              <w:pStyle w:val="TableParagraph"/>
              <w:spacing w:before="34"/>
              <w:ind w:right="93"/>
              <w:rPr>
                <w:sz w:val="20"/>
              </w:rPr>
            </w:pPr>
            <w:r>
              <w:rPr>
                <w:w w:val="95"/>
                <w:sz w:val="20"/>
              </w:rPr>
              <w:t>949.00</w:t>
            </w:r>
          </w:p>
        </w:tc>
        <w:tc>
          <w:tcPr>
            <w:tcW w:w="1570" w:type="dxa"/>
          </w:tcPr>
          <w:p w:rsidR="007C5447" w:rsidRDefault="00F6308C">
            <w:pPr>
              <w:pStyle w:val="TableParagraph"/>
              <w:spacing w:before="34"/>
              <w:ind w:right="95"/>
              <w:rPr>
                <w:sz w:val="20"/>
              </w:rPr>
            </w:pPr>
            <w:r>
              <w:rPr>
                <w:w w:val="95"/>
                <w:sz w:val="20"/>
              </w:rPr>
              <w:t>88.00</w:t>
            </w:r>
          </w:p>
        </w:tc>
        <w:tc>
          <w:tcPr>
            <w:tcW w:w="1519" w:type="dxa"/>
          </w:tcPr>
          <w:p w:rsidR="007C5447" w:rsidRDefault="00F6308C">
            <w:pPr>
              <w:pStyle w:val="TableParagraph"/>
              <w:spacing w:before="34"/>
              <w:ind w:right="92"/>
              <w:rPr>
                <w:sz w:val="20"/>
              </w:rPr>
            </w:pPr>
            <w:r>
              <w:rPr>
                <w:w w:val="95"/>
                <w:sz w:val="20"/>
              </w:rPr>
              <w:t>240.00</w:t>
            </w:r>
          </w:p>
        </w:tc>
        <w:tc>
          <w:tcPr>
            <w:tcW w:w="1567" w:type="dxa"/>
          </w:tcPr>
          <w:p w:rsidR="007C5447" w:rsidRDefault="00F6308C">
            <w:pPr>
              <w:pStyle w:val="TableParagraph"/>
              <w:spacing w:before="34"/>
              <w:ind w:right="94"/>
              <w:rPr>
                <w:sz w:val="20"/>
              </w:rPr>
            </w:pPr>
            <w:r>
              <w:rPr>
                <w:sz w:val="20"/>
              </w:rPr>
              <w:t>2.53</w:t>
            </w:r>
          </w:p>
        </w:tc>
        <w:tc>
          <w:tcPr>
            <w:tcW w:w="1568" w:type="dxa"/>
          </w:tcPr>
          <w:p w:rsidR="007C5447" w:rsidRDefault="00F6308C">
            <w:pPr>
              <w:pStyle w:val="TableParagraph"/>
              <w:spacing w:before="34"/>
              <w:ind w:right="92"/>
              <w:rPr>
                <w:sz w:val="20"/>
              </w:rPr>
            </w:pPr>
            <w:r>
              <w:rPr>
                <w:w w:val="95"/>
                <w:sz w:val="20"/>
              </w:rPr>
              <w:t>328.25</w:t>
            </w:r>
          </w:p>
        </w:tc>
        <w:tc>
          <w:tcPr>
            <w:tcW w:w="1625" w:type="dxa"/>
          </w:tcPr>
          <w:p w:rsidR="007C5447" w:rsidRDefault="00F6308C">
            <w:pPr>
              <w:pStyle w:val="TableParagraph"/>
              <w:spacing w:before="34"/>
              <w:ind w:right="92"/>
              <w:rPr>
                <w:sz w:val="20"/>
              </w:rPr>
            </w:pPr>
            <w:r>
              <w:rPr>
                <w:sz w:val="20"/>
              </w:rPr>
              <w:t>3.46</w:t>
            </w:r>
          </w:p>
        </w:tc>
      </w:tr>
      <w:tr w:rsidR="007C5447">
        <w:trPr>
          <w:trHeight w:val="299"/>
        </w:trPr>
        <w:tc>
          <w:tcPr>
            <w:tcW w:w="4760" w:type="dxa"/>
            <w:tcBorders>
              <w:left w:val="single" w:sz="8" w:space="0" w:color="000000"/>
            </w:tcBorders>
          </w:tcPr>
          <w:p w:rsidR="007C5447" w:rsidRDefault="00F6308C">
            <w:pPr>
              <w:pStyle w:val="TableParagraph"/>
              <w:spacing w:before="36"/>
              <w:ind w:left="107"/>
              <w:jc w:val="left"/>
              <w:rPr>
                <w:sz w:val="20"/>
              </w:rPr>
            </w:pPr>
            <w:r>
              <w:rPr>
                <w:sz w:val="20"/>
              </w:rPr>
              <w:t>NLC TS – I</w:t>
            </w:r>
          </w:p>
        </w:tc>
        <w:tc>
          <w:tcPr>
            <w:tcW w:w="1567" w:type="dxa"/>
          </w:tcPr>
          <w:p w:rsidR="007C5447" w:rsidRDefault="00F6308C">
            <w:pPr>
              <w:pStyle w:val="TableParagraph"/>
              <w:spacing w:before="36"/>
              <w:ind w:right="90"/>
              <w:rPr>
                <w:sz w:val="20"/>
              </w:rPr>
            </w:pPr>
            <w:r>
              <w:rPr>
                <w:w w:val="95"/>
                <w:sz w:val="20"/>
              </w:rPr>
              <w:t>2,851.00</w:t>
            </w:r>
          </w:p>
        </w:tc>
        <w:tc>
          <w:tcPr>
            <w:tcW w:w="1570" w:type="dxa"/>
          </w:tcPr>
          <w:p w:rsidR="007C5447" w:rsidRDefault="00F6308C">
            <w:pPr>
              <w:pStyle w:val="TableParagraph"/>
              <w:spacing w:before="36"/>
              <w:ind w:right="95"/>
              <w:rPr>
                <w:sz w:val="20"/>
              </w:rPr>
            </w:pPr>
            <w:r>
              <w:rPr>
                <w:w w:val="95"/>
                <w:sz w:val="20"/>
              </w:rPr>
              <w:t>251.00</w:t>
            </w:r>
          </w:p>
        </w:tc>
        <w:tc>
          <w:tcPr>
            <w:tcW w:w="1519" w:type="dxa"/>
          </w:tcPr>
          <w:p w:rsidR="007C5447" w:rsidRDefault="00F6308C">
            <w:pPr>
              <w:pStyle w:val="TableParagraph"/>
              <w:spacing w:before="36"/>
              <w:ind w:right="92"/>
              <w:rPr>
                <w:sz w:val="20"/>
              </w:rPr>
            </w:pPr>
            <w:r>
              <w:rPr>
                <w:w w:val="95"/>
                <w:sz w:val="20"/>
              </w:rPr>
              <w:t>755.52</w:t>
            </w:r>
          </w:p>
        </w:tc>
        <w:tc>
          <w:tcPr>
            <w:tcW w:w="1567" w:type="dxa"/>
          </w:tcPr>
          <w:p w:rsidR="007C5447" w:rsidRDefault="00F6308C">
            <w:pPr>
              <w:pStyle w:val="TableParagraph"/>
              <w:spacing w:before="36"/>
              <w:ind w:right="94"/>
              <w:rPr>
                <w:sz w:val="20"/>
              </w:rPr>
            </w:pPr>
            <w:r>
              <w:rPr>
                <w:sz w:val="20"/>
              </w:rPr>
              <w:t>2.65</w:t>
            </w:r>
          </w:p>
        </w:tc>
        <w:tc>
          <w:tcPr>
            <w:tcW w:w="1568" w:type="dxa"/>
          </w:tcPr>
          <w:p w:rsidR="007C5447" w:rsidRDefault="00F6308C">
            <w:pPr>
              <w:pStyle w:val="TableParagraph"/>
              <w:spacing w:before="36"/>
              <w:ind w:right="90"/>
              <w:rPr>
                <w:sz w:val="20"/>
              </w:rPr>
            </w:pPr>
            <w:r>
              <w:rPr>
                <w:w w:val="95"/>
                <w:sz w:val="20"/>
              </w:rPr>
              <w:t>1,006.52</w:t>
            </w:r>
          </w:p>
        </w:tc>
        <w:tc>
          <w:tcPr>
            <w:tcW w:w="1625" w:type="dxa"/>
          </w:tcPr>
          <w:p w:rsidR="007C5447" w:rsidRDefault="00F6308C">
            <w:pPr>
              <w:pStyle w:val="TableParagraph"/>
              <w:spacing w:before="36"/>
              <w:ind w:right="92"/>
              <w:rPr>
                <w:sz w:val="20"/>
              </w:rPr>
            </w:pPr>
            <w:r>
              <w:rPr>
                <w:sz w:val="20"/>
              </w:rPr>
              <w:t>3.53</w:t>
            </w:r>
          </w:p>
        </w:tc>
      </w:tr>
    </w:tbl>
    <w:p w:rsidR="007C5447" w:rsidRDefault="007C5447">
      <w:pPr>
        <w:rPr>
          <w:sz w:val="20"/>
        </w:rPr>
        <w:sectPr w:rsidR="007C5447">
          <w:pgSz w:w="16840" w:h="11910" w:orient="landscape"/>
          <w:pgMar w:top="1100" w:right="1220" w:bottom="960" w:left="1220" w:header="0" w:footer="777" w:gutter="0"/>
          <w:cols w:space="720"/>
        </w:sectPr>
      </w:pPr>
    </w:p>
    <w:p w:rsidR="007C5447" w:rsidRDefault="007C5447">
      <w:pPr>
        <w:pStyle w:val="BodyText"/>
        <w:spacing w:before="3"/>
        <w:rPr>
          <w:sz w:val="2"/>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60"/>
        <w:gridCol w:w="1567"/>
        <w:gridCol w:w="1570"/>
        <w:gridCol w:w="1519"/>
        <w:gridCol w:w="1567"/>
        <w:gridCol w:w="1568"/>
        <w:gridCol w:w="1625"/>
      </w:tblGrid>
      <w:tr w:rsidR="007C5447">
        <w:trPr>
          <w:trHeight w:val="331"/>
        </w:trPr>
        <w:tc>
          <w:tcPr>
            <w:tcW w:w="4760" w:type="dxa"/>
            <w:vMerge w:val="restart"/>
            <w:shd w:val="clear" w:color="auto" w:fill="FBD4B4"/>
          </w:tcPr>
          <w:p w:rsidR="007C5447" w:rsidRDefault="007C5447">
            <w:pPr>
              <w:pStyle w:val="TableParagraph"/>
              <w:jc w:val="left"/>
            </w:pPr>
          </w:p>
          <w:p w:rsidR="007C5447" w:rsidRDefault="00F6308C">
            <w:pPr>
              <w:pStyle w:val="TableParagraph"/>
              <w:spacing w:before="163"/>
              <w:ind w:left="1737" w:right="1719"/>
              <w:jc w:val="center"/>
              <w:rPr>
                <w:b/>
                <w:sz w:val="20"/>
              </w:rPr>
            </w:pPr>
            <w:r>
              <w:rPr>
                <w:b/>
                <w:sz w:val="20"/>
              </w:rPr>
              <w:t>Source</w:t>
            </w:r>
          </w:p>
        </w:tc>
        <w:tc>
          <w:tcPr>
            <w:tcW w:w="9416" w:type="dxa"/>
            <w:gridSpan w:val="6"/>
            <w:shd w:val="clear" w:color="auto" w:fill="FBD4B4"/>
          </w:tcPr>
          <w:p w:rsidR="007C5447" w:rsidRDefault="00F6308C">
            <w:pPr>
              <w:pStyle w:val="TableParagraph"/>
              <w:spacing w:before="87" w:line="224" w:lineRule="exact"/>
              <w:ind w:left="4196" w:right="4177"/>
              <w:jc w:val="center"/>
              <w:rPr>
                <w:b/>
                <w:sz w:val="20"/>
              </w:rPr>
            </w:pPr>
            <w:r>
              <w:rPr>
                <w:b/>
                <w:sz w:val="20"/>
              </w:rPr>
              <w:t>FY 2014-15</w:t>
            </w:r>
          </w:p>
        </w:tc>
      </w:tr>
      <w:tr w:rsidR="007C5447">
        <w:trPr>
          <w:trHeight w:val="719"/>
        </w:trPr>
        <w:tc>
          <w:tcPr>
            <w:tcW w:w="4760" w:type="dxa"/>
            <w:vMerge/>
            <w:tcBorders>
              <w:top w:val="nil"/>
            </w:tcBorders>
            <w:shd w:val="clear" w:color="auto" w:fill="FBD4B4"/>
          </w:tcPr>
          <w:p w:rsidR="007C5447" w:rsidRDefault="007C5447">
            <w:pPr>
              <w:rPr>
                <w:sz w:val="2"/>
                <w:szCs w:val="2"/>
              </w:rPr>
            </w:pPr>
          </w:p>
        </w:tc>
        <w:tc>
          <w:tcPr>
            <w:tcW w:w="1567" w:type="dxa"/>
            <w:shd w:val="clear" w:color="auto" w:fill="FBD4B4"/>
          </w:tcPr>
          <w:p w:rsidR="007C5447" w:rsidRDefault="007C5447">
            <w:pPr>
              <w:pStyle w:val="TableParagraph"/>
              <w:spacing w:before="3"/>
              <w:jc w:val="left"/>
              <w:rPr>
                <w:sz w:val="21"/>
              </w:rPr>
            </w:pPr>
          </w:p>
          <w:p w:rsidR="007C5447" w:rsidRDefault="00F6308C">
            <w:pPr>
              <w:pStyle w:val="TableParagraph"/>
              <w:ind w:right="98"/>
              <w:rPr>
                <w:b/>
                <w:sz w:val="20"/>
              </w:rPr>
            </w:pPr>
            <w:r>
              <w:rPr>
                <w:b/>
                <w:sz w:val="20"/>
              </w:rPr>
              <w:t>Quantum (MU)</w:t>
            </w:r>
          </w:p>
        </w:tc>
        <w:tc>
          <w:tcPr>
            <w:tcW w:w="1570" w:type="dxa"/>
            <w:shd w:val="clear" w:color="auto" w:fill="FBD4B4"/>
          </w:tcPr>
          <w:p w:rsidR="007C5447" w:rsidRDefault="00F6308C">
            <w:pPr>
              <w:pStyle w:val="TableParagraph"/>
              <w:spacing w:before="130"/>
              <w:ind w:left="444" w:hanging="276"/>
              <w:jc w:val="left"/>
              <w:rPr>
                <w:b/>
                <w:sz w:val="20"/>
              </w:rPr>
            </w:pPr>
            <w:r>
              <w:rPr>
                <w:b/>
                <w:sz w:val="20"/>
              </w:rPr>
              <w:t>Fixed Charges (Rs. Cr.)</w:t>
            </w:r>
          </w:p>
        </w:tc>
        <w:tc>
          <w:tcPr>
            <w:tcW w:w="1519" w:type="dxa"/>
            <w:shd w:val="clear" w:color="auto" w:fill="FBD4B4"/>
          </w:tcPr>
          <w:p w:rsidR="007C5447" w:rsidRDefault="00F6308C">
            <w:pPr>
              <w:pStyle w:val="TableParagraph"/>
              <w:spacing w:before="14" w:line="230" w:lineRule="atLeast"/>
              <w:ind w:left="280" w:right="260"/>
              <w:jc w:val="center"/>
              <w:rPr>
                <w:b/>
                <w:sz w:val="20"/>
              </w:rPr>
            </w:pPr>
            <w:r>
              <w:rPr>
                <w:b/>
                <w:sz w:val="20"/>
              </w:rPr>
              <w:t>Energy Charge (Rs. Crore)</w:t>
            </w:r>
          </w:p>
        </w:tc>
        <w:tc>
          <w:tcPr>
            <w:tcW w:w="1567" w:type="dxa"/>
            <w:shd w:val="clear" w:color="auto" w:fill="FBD4B4"/>
          </w:tcPr>
          <w:p w:rsidR="007C5447" w:rsidRDefault="00F6308C">
            <w:pPr>
              <w:pStyle w:val="TableParagraph"/>
              <w:spacing w:before="130"/>
              <w:ind w:left="365" w:right="99" w:hanging="233"/>
              <w:jc w:val="left"/>
              <w:rPr>
                <w:b/>
                <w:sz w:val="20"/>
              </w:rPr>
            </w:pPr>
            <w:r>
              <w:rPr>
                <w:b/>
                <w:sz w:val="20"/>
              </w:rPr>
              <w:t>Energy Charge (Rs./Unit)</w:t>
            </w:r>
          </w:p>
        </w:tc>
        <w:tc>
          <w:tcPr>
            <w:tcW w:w="1568" w:type="dxa"/>
            <w:shd w:val="clear" w:color="auto" w:fill="FBD4B4"/>
          </w:tcPr>
          <w:p w:rsidR="007C5447" w:rsidRDefault="00F6308C">
            <w:pPr>
              <w:pStyle w:val="TableParagraph"/>
              <w:spacing w:before="130"/>
              <w:ind w:left="445" w:right="302" w:hanging="104"/>
              <w:jc w:val="left"/>
              <w:rPr>
                <w:b/>
                <w:sz w:val="20"/>
              </w:rPr>
            </w:pPr>
            <w:r>
              <w:rPr>
                <w:b/>
                <w:sz w:val="20"/>
              </w:rPr>
              <w:t>Total Cost (Rs. Cr)</w:t>
            </w:r>
          </w:p>
        </w:tc>
        <w:tc>
          <w:tcPr>
            <w:tcW w:w="1625" w:type="dxa"/>
            <w:shd w:val="clear" w:color="auto" w:fill="FBD4B4"/>
          </w:tcPr>
          <w:p w:rsidR="007C5447" w:rsidRDefault="007C5447">
            <w:pPr>
              <w:pStyle w:val="TableParagraph"/>
              <w:spacing w:before="3"/>
              <w:jc w:val="left"/>
              <w:rPr>
                <w:sz w:val="21"/>
              </w:rPr>
            </w:pPr>
          </w:p>
          <w:p w:rsidR="007C5447" w:rsidRDefault="00F6308C">
            <w:pPr>
              <w:pStyle w:val="TableParagraph"/>
              <w:ind w:right="157"/>
              <w:rPr>
                <w:b/>
                <w:sz w:val="20"/>
              </w:rPr>
            </w:pPr>
            <w:r>
              <w:rPr>
                <w:b/>
                <w:sz w:val="20"/>
              </w:rPr>
              <w:t>Rate (Rs/kWh)</w:t>
            </w:r>
          </w:p>
        </w:tc>
      </w:tr>
      <w:tr w:rsidR="007C5447">
        <w:trPr>
          <w:trHeight w:val="299"/>
        </w:trPr>
        <w:tc>
          <w:tcPr>
            <w:tcW w:w="4760" w:type="dxa"/>
            <w:tcBorders>
              <w:left w:val="single" w:sz="8" w:space="0" w:color="000000"/>
            </w:tcBorders>
          </w:tcPr>
          <w:p w:rsidR="007C5447" w:rsidRDefault="00F6308C">
            <w:pPr>
              <w:pStyle w:val="TableParagraph"/>
              <w:spacing w:before="36"/>
              <w:ind w:left="107"/>
              <w:jc w:val="left"/>
              <w:rPr>
                <w:sz w:val="20"/>
              </w:rPr>
            </w:pPr>
            <w:r>
              <w:rPr>
                <w:sz w:val="20"/>
              </w:rPr>
              <w:t>NLC TS – II</w:t>
            </w:r>
          </w:p>
        </w:tc>
        <w:tc>
          <w:tcPr>
            <w:tcW w:w="1567" w:type="dxa"/>
          </w:tcPr>
          <w:p w:rsidR="007C5447" w:rsidRDefault="00F6308C">
            <w:pPr>
              <w:pStyle w:val="TableParagraph"/>
              <w:spacing w:before="36"/>
              <w:ind w:right="91"/>
              <w:rPr>
                <w:sz w:val="20"/>
              </w:rPr>
            </w:pPr>
            <w:r>
              <w:rPr>
                <w:w w:val="95"/>
                <w:sz w:val="20"/>
              </w:rPr>
              <w:t>3,276.00</w:t>
            </w:r>
          </w:p>
        </w:tc>
        <w:tc>
          <w:tcPr>
            <w:tcW w:w="1570" w:type="dxa"/>
          </w:tcPr>
          <w:p w:rsidR="007C5447" w:rsidRDefault="00F6308C">
            <w:pPr>
              <w:pStyle w:val="TableParagraph"/>
              <w:spacing w:before="36"/>
              <w:ind w:right="95"/>
              <w:rPr>
                <w:sz w:val="20"/>
              </w:rPr>
            </w:pPr>
            <w:r>
              <w:rPr>
                <w:w w:val="95"/>
                <w:sz w:val="20"/>
              </w:rPr>
              <w:t>207.00</w:t>
            </w:r>
          </w:p>
        </w:tc>
        <w:tc>
          <w:tcPr>
            <w:tcW w:w="1519" w:type="dxa"/>
          </w:tcPr>
          <w:p w:rsidR="007C5447" w:rsidRDefault="00F6308C">
            <w:pPr>
              <w:pStyle w:val="TableParagraph"/>
              <w:spacing w:before="36"/>
              <w:ind w:right="92"/>
              <w:rPr>
                <w:sz w:val="20"/>
              </w:rPr>
            </w:pPr>
            <w:r>
              <w:rPr>
                <w:w w:val="95"/>
                <w:sz w:val="20"/>
              </w:rPr>
              <w:t>724.00</w:t>
            </w:r>
          </w:p>
        </w:tc>
        <w:tc>
          <w:tcPr>
            <w:tcW w:w="1567" w:type="dxa"/>
          </w:tcPr>
          <w:p w:rsidR="007C5447" w:rsidRDefault="00F6308C">
            <w:pPr>
              <w:pStyle w:val="TableParagraph"/>
              <w:spacing w:before="36"/>
              <w:ind w:right="94"/>
              <w:rPr>
                <w:sz w:val="20"/>
              </w:rPr>
            </w:pPr>
            <w:r>
              <w:rPr>
                <w:sz w:val="20"/>
              </w:rPr>
              <w:t>2.21</w:t>
            </w:r>
          </w:p>
        </w:tc>
        <w:tc>
          <w:tcPr>
            <w:tcW w:w="1568" w:type="dxa"/>
          </w:tcPr>
          <w:p w:rsidR="007C5447" w:rsidRDefault="00F6308C">
            <w:pPr>
              <w:pStyle w:val="TableParagraph"/>
              <w:spacing w:before="36"/>
              <w:ind w:right="92"/>
              <w:rPr>
                <w:sz w:val="20"/>
              </w:rPr>
            </w:pPr>
            <w:r>
              <w:rPr>
                <w:w w:val="95"/>
                <w:sz w:val="20"/>
              </w:rPr>
              <w:t>931.77</w:t>
            </w:r>
          </w:p>
        </w:tc>
        <w:tc>
          <w:tcPr>
            <w:tcW w:w="1625" w:type="dxa"/>
          </w:tcPr>
          <w:p w:rsidR="007C5447" w:rsidRDefault="00F6308C">
            <w:pPr>
              <w:pStyle w:val="TableParagraph"/>
              <w:spacing w:before="36"/>
              <w:ind w:right="92"/>
              <w:rPr>
                <w:sz w:val="20"/>
              </w:rPr>
            </w:pPr>
            <w:r>
              <w:rPr>
                <w:sz w:val="20"/>
              </w:rPr>
              <w:t>2.84</w:t>
            </w:r>
          </w:p>
        </w:tc>
      </w:tr>
      <w:tr w:rsidR="007C5447">
        <w:trPr>
          <w:trHeight w:val="302"/>
        </w:trPr>
        <w:tc>
          <w:tcPr>
            <w:tcW w:w="4760" w:type="dxa"/>
            <w:tcBorders>
              <w:left w:val="single" w:sz="8" w:space="0" w:color="000000"/>
            </w:tcBorders>
          </w:tcPr>
          <w:p w:rsidR="007C5447" w:rsidRDefault="00F6308C">
            <w:pPr>
              <w:pStyle w:val="TableParagraph"/>
              <w:spacing w:before="36"/>
              <w:ind w:left="107"/>
              <w:jc w:val="left"/>
              <w:rPr>
                <w:sz w:val="20"/>
              </w:rPr>
            </w:pPr>
            <w:r>
              <w:rPr>
                <w:sz w:val="20"/>
              </w:rPr>
              <w:t>NLC TS Expansion I</w:t>
            </w:r>
          </w:p>
        </w:tc>
        <w:tc>
          <w:tcPr>
            <w:tcW w:w="1567" w:type="dxa"/>
          </w:tcPr>
          <w:p w:rsidR="007C5447" w:rsidRDefault="00F6308C">
            <w:pPr>
              <w:pStyle w:val="TableParagraph"/>
              <w:spacing w:before="36"/>
              <w:ind w:right="91"/>
              <w:rPr>
                <w:sz w:val="20"/>
              </w:rPr>
            </w:pPr>
            <w:r>
              <w:rPr>
                <w:w w:val="95"/>
                <w:sz w:val="20"/>
              </w:rPr>
              <w:t>1,671.00</w:t>
            </w:r>
          </w:p>
        </w:tc>
        <w:tc>
          <w:tcPr>
            <w:tcW w:w="1570" w:type="dxa"/>
          </w:tcPr>
          <w:p w:rsidR="007C5447" w:rsidRDefault="00F6308C">
            <w:pPr>
              <w:pStyle w:val="TableParagraph"/>
              <w:spacing w:before="36"/>
              <w:ind w:right="95"/>
              <w:rPr>
                <w:sz w:val="20"/>
              </w:rPr>
            </w:pPr>
            <w:r>
              <w:rPr>
                <w:w w:val="95"/>
                <w:sz w:val="20"/>
              </w:rPr>
              <w:t>225.00</w:t>
            </w:r>
          </w:p>
        </w:tc>
        <w:tc>
          <w:tcPr>
            <w:tcW w:w="1519" w:type="dxa"/>
          </w:tcPr>
          <w:p w:rsidR="007C5447" w:rsidRDefault="00F6308C">
            <w:pPr>
              <w:pStyle w:val="TableParagraph"/>
              <w:spacing w:before="36"/>
              <w:ind w:right="92"/>
              <w:rPr>
                <w:sz w:val="20"/>
              </w:rPr>
            </w:pPr>
            <w:r>
              <w:rPr>
                <w:w w:val="95"/>
                <w:sz w:val="20"/>
              </w:rPr>
              <w:t>349.00</w:t>
            </w:r>
          </w:p>
        </w:tc>
        <w:tc>
          <w:tcPr>
            <w:tcW w:w="1567" w:type="dxa"/>
          </w:tcPr>
          <w:p w:rsidR="007C5447" w:rsidRDefault="00F6308C">
            <w:pPr>
              <w:pStyle w:val="TableParagraph"/>
              <w:spacing w:before="36"/>
              <w:ind w:right="94"/>
              <w:rPr>
                <w:sz w:val="20"/>
              </w:rPr>
            </w:pPr>
            <w:r>
              <w:rPr>
                <w:sz w:val="20"/>
              </w:rPr>
              <w:t>2.09</w:t>
            </w:r>
          </w:p>
        </w:tc>
        <w:tc>
          <w:tcPr>
            <w:tcW w:w="1568" w:type="dxa"/>
          </w:tcPr>
          <w:p w:rsidR="007C5447" w:rsidRDefault="00F6308C">
            <w:pPr>
              <w:pStyle w:val="TableParagraph"/>
              <w:spacing w:before="36"/>
              <w:ind w:right="92"/>
              <w:rPr>
                <w:sz w:val="20"/>
              </w:rPr>
            </w:pPr>
            <w:r>
              <w:rPr>
                <w:w w:val="95"/>
                <w:sz w:val="20"/>
              </w:rPr>
              <w:t>573.62</w:t>
            </w:r>
          </w:p>
        </w:tc>
        <w:tc>
          <w:tcPr>
            <w:tcW w:w="1625" w:type="dxa"/>
          </w:tcPr>
          <w:p w:rsidR="007C5447" w:rsidRDefault="00F6308C">
            <w:pPr>
              <w:pStyle w:val="TableParagraph"/>
              <w:spacing w:before="36"/>
              <w:ind w:right="92"/>
              <w:rPr>
                <w:sz w:val="20"/>
              </w:rPr>
            </w:pPr>
            <w:r>
              <w:rPr>
                <w:sz w:val="20"/>
              </w:rPr>
              <w:t>3.43</w:t>
            </w:r>
          </w:p>
        </w:tc>
      </w:tr>
      <w:tr w:rsidR="007C5447">
        <w:trPr>
          <w:trHeight w:val="299"/>
        </w:trPr>
        <w:tc>
          <w:tcPr>
            <w:tcW w:w="4760" w:type="dxa"/>
            <w:tcBorders>
              <w:left w:val="single" w:sz="8" w:space="0" w:color="000000"/>
            </w:tcBorders>
          </w:tcPr>
          <w:p w:rsidR="007C5447" w:rsidRDefault="00F6308C">
            <w:pPr>
              <w:pStyle w:val="TableParagraph"/>
              <w:spacing w:before="34"/>
              <w:ind w:left="107"/>
              <w:jc w:val="left"/>
              <w:rPr>
                <w:sz w:val="20"/>
              </w:rPr>
            </w:pPr>
            <w:r>
              <w:rPr>
                <w:sz w:val="20"/>
              </w:rPr>
              <w:t>NTPC Talcher</w:t>
            </w:r>
          </w:p>
        </w:tc>
        <w:tc>
          <w:tcPr>
            <w:tcW w:w="1567" w:type="dxa"/>
          </w:tcPr>
          <w:p w:rsidR="007C5447" w:rsidRDefault="00F6308C">
            <w:pPr>
              <w:pStyle w:val="TableParagraph"/>
              <w:spacing w:before="34"/>
              <w:ind w:right="91"/>
              <w:rPr>
                <w:sz w:val="20"/>
              </w:rPr>
            </w:pPr>
            <w:r>
              <w:rPr>
                <w:w w:val="95"/>
                <w:sz w:val="20"/>
              </w:rPr>
              <w:t>3,760.00</w:t>
            </w:r>
          </w:p>
        </w:tc>
        <w:tc>
          <w:tcPr>
            <w:tcW w:w="1570" w:type="dxa"/>
          </w:tcPr>
          <w:p w:rsidR="007C5447" w:rsidRDefault="007C5447">
            <w:pPr>
              <w:pStyle w:val="TableParagraph"/>
              <w:jc w:val="left"/>
              <w:rPr>
                <w:sz w:val="20"/>
              </w:rPr>
            </w:pPr>
          </w:p>
        </w:tc>
        <w:tc>
          <w:tcPr>
            <w:tcW w:w="1519" w:type="dxa"/>
          </w:tcPr>
          <w:p w:rsidR="007C5447" w:rsidRDefault="00F6308C">
            <w:pPr>
              <w:pStyle w:val="TableParagraph"/>
              <w:spacing w:before="34"/>
              <w:ind w:right="92"/>
              <w:rPr>
                <w:sz w:val="20"/>
              </w:rPr>
            </w:pPr>
            <w:r>
              <w:rPr>
                <w:w w:val="95"/>
                <w:sz w:val="20"/>
              </w:rPr>
              <w:t>549.00</w:t>
            </w:r>
          </w:p>
        </w:tc>
        <w:tc>
          <w:tcPr>
            <w:tcW w:w="1567" w:type="dxa"/>
          </w:tcPr>
          <w:p w:rsidR="007C5447" w:rsidRDefault="00F6308C">
            <w:pPr>
              <w:pStyle w:val="TableParagraph"/>
              <w:spacing w:before="34"/>
              <w:ind w:right="94"/>
              <w:rPr>
                <w:sz w:val="20"/>
              </w:rPr>
            </w:pPr>
            <w:r>
              <w:rPr>
                <w:sz w:val="20"/>
              </w:rPr>
              <w:t>1.46</w:t>
            </w:r>
          </w:p>
        </w:tc>
        <w:tc>
          <w:tcPr>
            <w:tcW w:w="1568" w:type="dxa"/>
          </w:tcPr>
          <w:p w:rsidR="007C5447" w:rsidRDefault="00F6308C">
            <w:pPr>
              <w:pStyle w:val="TableParagraph"/>
              <w:spacing w:before="34"/>
              <w:ind w:right="92"/>
              <w:rPr>
                <w:sz w:val="20"/>
              </w:rPr>
            </w:pPr>
            <w:r>
              <w:rPr>
                <w:w w:val="95"/>
                <w:sz w:val="20"/>
              </w:rPr>
              <w:t>843.02</w:t>
            </w:r>
          </w:p>
        </w:tc>
        <w:tc>
          <w:tcPr>
            <w:tcW w:w="1625" w:type="dxa"/>
          </w:tcPr>
          <w:p w:rsidR="007C5447" w:rsidRDefault="00F6308C">
            <w:pPr>
              <w:pStyle w:val="TableParagraph"/>
              <w:spacing w:before="34"/>
              <w:ind w:right="92"/>
              <w:rPr>
                <w:sz w:val="20"/>
              </w:rPr>
            </w:pPr>
            <w:r>
              <w:rPr>
                <w:sz w:val="20"/>
              </w:rPr>
              <w:t>2.24</w:t>
            </w:r>
          </w:p>
        </w:tc>
      </w:tr>
      <w:tr w:rsidR="007C5447">
        <w:trPr>
          <w:trHeight w:val="299"/>
        </w:trPr>
        <w:tc>
          <w:tcPr>
            <w:tcW w:w="4760" w:type="dxa"/>
            <w:tcBorders>
              <w:left w:val="single" w:sz="8" w:space="0" w:color="000000"/>
            </w:tcBorders>
          </w:tcPr>
          <w:p w:rsidR="007C5447" w:rsidRDefault="00F6308C">
            <w:pPr>
              <w:pStyle w:val="TableParagraph"/>
              <w:spacing w:before="34"/>
              <w:ind w:left="107"/>
              <w:jc w:val="left"/>
              <w:rPr>
                <w:sz w:val="20"/>
              </w:rPr>
            </w:pPr>
            <w:r>
              <w:rPr>
                <w:sz w:val="20"/>
              </w:rPr>
              <w:t>NTPC Simhadri</w:t>
            </w:r>
          </w:p>
        </w:tc>
        <w:tc>
          <w:tcPr>
            <w:tcW w:w="1567" w:type="dxa"/>
          </w:tcPr>
          <w:p w:rsidR="007C5447" w:rsidRDefault="00F6308C">
            <w:pPr>
              <w:pStyle w:val="TableParagraph"/>
              <w:spacing w:before="34"/>
              <w:ind w:right="91"/>
              <w:rPr>
                <w:sz w:val="20"/>
              </w:rPr>
            </w:pPr>
            <w:r>
              <w:rPr>
                <w:w w:val="95"/>
                <w:sz w:val="20"/>
              </w:rPr>
              <w:t>1,428.00</w:t>
            </w:r>
          </w:p>
        </w:tc>
        <w:tc>
          <w:tcPr>
            <w:tcW w:w="1570" w:type="dxa"/>
          </w:tcPr>
          <w:p w:rsidR="007C5447" w:rsidRDefault="00F6308C">
            <w:pPr>
              <w:pStyle w:val="TableParagraph"/>
              <w:spacing w:before="34"/>
              <w:ind w:right="95"/>
              <w:rPr>
                <w:sz w:val="20"/>
              </w:rPr>
            </w:pPr>
            <w:r>
              <w:rPr>
                <w:w w:val="95"/>
                <w:sz w:val="20"/>
              </w:rPr>
              <w:t>294.00</w:t>
            </w:r>
          </w:p>
        </w:tc>
        <w:tc>
          <w:tcPr>
            <w:tcW w:w="1519" w:type="dxa"/>
          </w:tcPr>
          <w:p w:rsidR="007C5447" w:rsidRDefault="00F6308C">
            <w:pPr>
              <w:pStyle w:val="TableParagraph"/>
              <w:spacing w:before="34"/>
              <w:ind w:right="92"/>
              <w:rPr>
                <w:sz w:val="20"/>
              </w:rPr>
            </w:pPr>
            <w:r>
              <w:rPr>
                <w:w w:val="95"/>
                <w:sz w:val="20"/>
              </w:rPr>
              <w:t>372.00</w:t>
            </w:r>
          </w:p>
        </w:tc>
        <w:tc>
          <w:tcPr>
            <w:tcW w:w="1567" w:type="dxa"/>
          </w:tcPr>
          <w:p w:rsidR="007C5447" w:rsidRDefault="00F6308C">
            <w:pPr>
              <w:pStyle w:val="TableParagraph"/>
              <w:spacing w:before="34"/>
              <w:ind w:right="94"/>
              <w:rPr>
                <w:sz w:val="20"/>
              </w:rPr>
            </w:pPr>
            <w:r>
              <w:rPr>
                <w:sz w:val="20"/>
              </w:rPr>
              <w:t>2.61</w:t>
            </w:r>
          </w:p>
        </w:tc>
        <w:tc>
          <w:tcPr>
            <w:tcW w:w="1568" w:type="dxa"/>
          </w:tcPr>
          <w:p w:rsidR="007C5447" w:rsidRDefault="00F6308C">
            <w:pPr>
              <w:pStyle w:val="TableParagraph"/>
              <w:spacing w:before="34"/>
              <w:ind w:right="92"/>
              <w:rPr>
                <w:sz w:val="20"/>
              </w:rPr>
            </w:pPr>
            <w:r>
              <w:rPr>
                <w:w w:val="95"/>
                <w:sz w:val="20"/>
              </w:rPr>
              <w:t>625.70</w:t>
            </w:r>
          </w:p>
        </w:tc>
        <w:tc>
          <w:tcPr>
            <w:tcW w:w="1625" w:type="dxa"/>
          </w:tcPr>
          <w:p w:rsidR="007C5447" w:rsidRDefault="00F6308C">
            <w:pPr>
              <w:pStyle w:val="TableParagraph"/>
              <w:spacing w:before="34"/>
              <w:ind w:right="92"/>
              <w:rPr>
                <w:sz w:val="20"/>
              </w:rPr>
            </w:pPr>
            <w:r>
              <w:rPr>
                <w:sz w:val="20"/>
              </w:rPr>
              <w:t>4.38</w:t>
            </w:r>
          </w:p>
        </w:tc>
      </w:tr>
      <w:tr w:rsidR="007C5447">
        <w:trPr>
          <w:trHeight w:val="299"/>
        </w:trPr>
        <w:tc>
          <w:tcPr>
            <w:tcW w:w="4760" w:type="dxa"/>
            <w:tcBorders>
              <w:left w:val="single" w:sz="8" w:space="0" w:color="000000"/>
            </w:tcBorders>
          </w:tcPr>
          <w:p w:rsidR="007C5447" w:rsidRDefault="00F6308C">
            <w:pPr>
              <w:pStyle w:val="TableParagraph"/>
              <w:spacing w:before="36"/>
              <w:ind w:left="107"/>
              <w:jc w:val="left"/>
              <w:rPr>
                <w:sz w:val="20"/>
              </w:rPr>
            </w:pPr>
            <w:r>
              <w:rPr>
                <w:sz w:val="20"/>
              </w:rPr>
              <w:t>MAPS</w:t>
            </w:r>
          </w:p>
        </w:tc>
        <w:tc>
          <w:tcPr>
            <w:tcW w:w="1567" w:type="dxa"/>
          </w:tcPr>
          <w:p w:rsidR="007C5447" w:rsidRDefault="00F6308C">
            <w:pPr>
              <w:pStyle w:val="TableParagraph"/>
              <w:spacing w:before="36"/>
              <w:ind w:right="91"/>
              <w:rPr>
                <w:sz w:val="20"/>
              </w:rPr>
            </w:pPr>
            <w:r>
              <w:rPr>
                <w:w w:val="95"/>
                <w:sz w:val="20"/>
              </w:rPr>
              <w:t>1,672.00</w:t>
            </w:r>
          </w:p>
        </w:tc>
        <w:tc>
          <w:tcPr>
            <w:tcW w:w="1570" w:type="dxa"/>
          </w:tcPr>
          <w:p w:rsidR="007C5447" w:rsidRDefault="007C5447">
            <w:pPr>
              <w:pStyle w:val="TableParagraph"/>
              <w:jc w:val="left"/>
              <w:rPr>
                <w:sz w:val="20"/>
              </w:rPr>
            </w:pPr>
          </w:p>
        </w:tc>
        <w:tc>
          <w:tcPr>
            <w:tcW w:w="1519" w:type="dxa"/>
          </w:tcPr>
          <w:p w:rsidR="007C5447" w:rsidRDefault="00F6308C">
            <w:pPr>
              <w:pStyle w:val="TableParagraph"/>
              <w:spacing w:before="36"/>
              <w:ind w:right="92"/>
              <w:rPr>
                <w:sz w:val="20"/>
              </w:rPr>
            </w:pPr>
            <w:r>
              <w:rPr>
                <w:w w:val="95"/>
                <w:sz w:val="20"/>
              </w:rPr>
              <w:t>344.00</w:t>
            </w:r>
          </w:p>
        </w:tc>
        <w:tc>
          <w:tcPr>
            <w:tcW w:w="1567" w:type="dxa"/>
          </w:tcPr>
          <w:p w:rsidR="007C5447" w:rsidRDefault="00F6308C">
            <w:pPr>
              <w:pStyle w:val="TableParagraph"/>
              <w:spacing w:before="36"/>
              <w:ind w:right="94"/>
              <w:rPr>
                <w:sz w:val="20"/>
              </w:rPr>
            </w:pPr>
            <w:r>
              <w:rPr>
                <w:sz w:val="20"/>
              </w:rPr>
              <w:t>2.06</w:t>
            </w:r>
          </w:p>
        </w:tc>
        <w:tc>
          <w:tcPr>
            <w:tcW w:w="1568" w:type="dxa"/>
          </w:tcPr>
          <w:p w:rsidR="007C5447" w:rsidRDefault="00F6308C">
            <w:pPr>
              <w:pStyle w:val="TableParagraph"/>
              <w:spacing w:before="36"/>
              <w:ind w:right="92"/>
              <w:rPr>
                <w:sz w:val="20"/>
              </w:rPr>
            </w:pPr>
            <w:r>
              <w:rPr>
                <w:w w:val="95"/>
                <w:sz w:val="20"/>
              </w:rPr>
              <w:t>344.50</w:t>
            </w:r>
          </w:p>
        </w:tc>
        <w:tc>
          <w:tcPr>
            <w:tcW w:w="1625" w:type="dxa"/>
          </w:tcPr>
          <w:p w:rsidR="007C5447" w:rsidRDefault="00F6308C">
            <w:pPr>
              <w:pStyle w:val="TableParagraph"/>
              <w:spacing w:before="36"/>
              <w:ind w:right="92"/>
              <w:rPr>
                <w:sz w:val="20"/>
              </w:rPr>
            </w:pPr>
            <w:r>
              <w:rPr>
                <w:sz w:val="20"/>
              </w:rPr>
              <w:t>2.06</w:t>
            </w:r>
          </w:p>
        </w:tc>
      </w:tr>
      <w:tr w:rsidR="007C5447">
        <w:trPr>
          <w:trHeight w:val="300"/>
        </w:trPr>
        <w:tc>
          <w:tcPr>
            <w:tcW w:w="4760" w:type="dxa"/>
            <w:tcBorders>
              <w:left w:val="single" w:sz="8" w:space="0" w:color="000000"/>
            </w:tcBorders>
          </w:tcPr>
          <w:p w:rsidR="007C5447" w:rsidRDefault="00F6308C">
            <w:pPr>
              <w:pStyle w:val="TableParagraph"/>
              <w:spacing w:before="37"/>
              <w:ind w:left="107"/>
              <w:jc w:val="left"/>
              <w:rPr>
                <w:sz w:val="20"/>
              </w:rPr>
            </w:pPr>
            <w:r>
              <w:rPr>
                <w:sz w:val="20"/>
              </w:rPr>
              <w:t>KAIGA</w:t>
            </w:r>
          </w:p>
        </w:tc>
        <w:tc>
          <w:tcPr>
            <w:tcW w:w="1567" w:type="dxa"/>
          </w:tcPr>
          <w:p w:rsidR="007C5447" w:rsidRDefault="00F6308C">
            <w:pPr>
              <w:pStyle w:val="TableParagraph"/>
              <w:spacing w:before="37"/>
              <w:ind w:right="91"/>
              <w:rPr>
                <w:sz w:val="20"/>
              </w:rPr>
            </w:pPr>
            <w:r>
              <w:rPr>
                <w:w w:val="95"/>
                <w:sz w:val="20"/>
              </w:rPr>
              <w:t>1,568.00</w:t>
            </w:r>
          </w:p>
        </w:tc>
        <w:tc>
          <w:tcPr>
            <w:tcW w:w="1570" w:type="dxa"/>
          </w:tcPr>
          <w:p w:rsidR="007C5447" w:rsidRDefault="007C5447">
            <w:pPr>
              <w:pStyle w:val="TableParagraph"/>
              <w:jc w:val="left"/>
              <w:rPr>
                <w:sz w:val="20"/>
              </w:rPr>
            </w:pPr>
          </w:p>
        </w:tc>
        <w:tc>
          <w:tcPr>
            <w:tcW w:w="1519" w:type="dxa"/>
          </w:tcPr>
          <w:p w:rsidR="007C5447" w:rsidRDefault="00F6308C">
            <w:pPr>
              <w:pStyle w:val="TableParagraph"/>
              <w:spacing w:before="37"/>
              <w:ind w:right="92"/>
              <w:rPr>
                <w:sz w:val="20"/>
              </w:rPr>
            </w:pPr>
            <w:r>
              <w:rPr>
                <w:w w:val="95"/>
                <w:sz w:val="20"/>
              </w:rPr>
              <w:t>475.00</w:t>
            </w:r>
          </w:p>
        </w:tc>
        <w:tc>
          <w:tcPr>
            <w:tcW w:w="1567" w:type="dxa"/>
          </w:tcPr>
          <w:p w:rsidR="007C5447" w:rsidRDefault="00F6308C">
            <w:pPr>
              <w:pStyle w:val="TableParagraph"/>
              <w:spacing w:before="37"/>
              <w:ind w:right="94"/>
              <w:rPr>
                <w:sz w:val="20"/>
              </w:rPr>
            </w:pPr>
            <w:r>
              <w:rPr>
                <w:sz w:val="20"/>
              </w:rPr>
              <w:t>3.03</w:t>
            </w:r>
          </w:p>
        </w:tc>
        <w:tc>
          <w:tcPr>
            <w:tcW w:w="1568" w:type="dxa"/>
          </w:tcPr>
          <w:p w:rsidR="007C5447" w:rsidRDefault="00F6308C">
            <w:pPr>
              <w:pStyle w:val="TableParagraph"/>
              <w:spacing w:before="37"/>
              <w:ind w:right="92"/>
              <w:rPr>
                <w:sz w:val="20"/>
              </w:rPr>
            </w:pPr>
            <w:r>
              <w:rPr>
                <w:w w:val="95"/>
                <w:sz w:val="20"/>
              </w:rPr>
              <w:t>474.86</w:t>
            </w:r>
          </w:p>
        </w:tc>
        <w:tc>
          <w:tcPr>
            <w:tcW w:w="1625" w:type="dxa"/>
          </w:tcPr>
          <w:p w:rsidR="007C5447" w:rsidRDefault="00F6308C">
            <w:pPr>
              <w:pStyle w:val="TableParagraph"/>
              <w:spacing w:before="37"/>
              <w:ind w:right="92"/>
              <w:rPr>
                <w:sz w:val="20"/>
              </w:rPr>
            </w:pPr>
            <w:r>
              <w:rPr>
                <w:sz w:val="20"/>
              </w:rPr>
              <w:t>3.03</w:t>
            </w:r>
          </w:p>
        </w:tc>
      </w:tr>
      <w:tr w:rsidR="007C5447">
        <w:trPr>
          <w:trHeight w:val="299"/>
        </w:trPr>
        <w:tc>
          <w:tcPr>
            <w:tcW w:w="4760" w:type="dxa"/>
            <w:tcBorders>
              <w:left w:val="single" w:sz="8" w:space="0" w:color="000000"/>
            </w:tcBorders>
          </w:tcPr>
          <w:p w:rsidR="007C5447" w:rsidRDefault="00F6308C">
            <w:pPr>
              <w:pStyle w:val="TableParagraph"/>
              <w:spacing w:before="36"/>
              <w:ind w:left="107"/>
              <w:jc w:val="left"/>
              <w:rPr>
                <w:sz w:val="20"/>
              </w:rPr>
            </w:pPr>
            <w:r>
              <w:rPr>
                <w:sz w:val="20"/>
              </w:rPr>
              <w:t>NTPC ER</w:t>
            </w:r>
          </w:p>
        </w:tc>
        <w:tc>
          <w:tcPr>
            <w:tcW w:w="1567" w:type="dxa"/>
          </w:tcPr>
          <w:p w:rsidR="007C5447" w:rsidRDefault="00F6308C">
            <w:pPr>
              <w:pStyle w:val="TableParagraph"/>
              <w:spacing w:before="36"/>
              <w:ind w:right="93"/>
              <w:rPr>
                <w:sz w:val="20"/>
              </w:rPr>
            </w:pPr>
            <w:r>
              <w:rPr>
                <w:w w:val="95"/>
                <w:sz w:val="20"/>
              </w:rPr>
              <w:t>239.00</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F6308C">
            <w:pPr>
              <w:pStyle w:val="TableParagraph"/>
              <w:spacing w:before="36"/>
              <w:ind w:right="91"/>
              <w:rPr>
                <w:sz w:val="20"/>
              </w:rPr>
            </w:pPr>
            <w:r>
              <w:rPr>
                <w:w w:val="99"/>
                <w:sz w:val="20"/>
              </w:rPr>
              <w:t>-</w:t>
            </w:r>
          </w:p>
        </w:tc>
        <w:tc>
          <w:tcPr>
            <w:tcW w:w="1568" w:type="dxa"/>
          </w:tcPr>
          <w:p w:rsidR="007C5447" w:rsidRDefault="00F6308C">
            <w:pPr>
              <w:pStyle w:val="TableParagraph"/>
              <w:spacing w:before="36"/>
              <w:ind w:right="92"/>
              <w:rPr>
                <w:sz w:val="20"/>
              </w:rPr>
            </w:pPr>
            <w:r>
              <w:rPr>
                <w:w w:val="95"/>
                <w:sz w:val="20"/>
              </w:rPr>
              <w:t>79.02</w:t>
            </w:r>
          </w:p>
        </w:tc>
        <w:tc>
          <w:tcPr>
            <w:tcW w:w="1625" w:type="dxa"/>
          </w:tcPr>
          <w:p w:rsidR="007C5447" w:rsidRDefault="00F6308C">
            <w:pPr>
              <w:pStyle w:val="TableParagraph"/>
              <w:spacing w:before="36"/>
              <w:ind w:right="92"/>
              <w:rPr>
                <w:sz w:val="20"/>
              </w:rPr>
            </w:pPr>
            <w:r>
              <w:rPr>
                <w:sz w:val="20"/>
              </w:rPr>
              <w:t>3.31</w:t>
            </w:r>
          </w:p>
        </w:tc>
      </w:tr>
      <w:tr w:rsidR="007C5447">
        <w:trPr>
          <w:trHeight w:val="301"/>
        </w:trPr>
        <w:tc>
          <w:tcPr>
            <w:tcW w:w="4760" w:type="dxa"/>
            <w:tcBorders>
              <w:left w:val="single" w:sz="8" w:space="0" w:color="000000"/>
            </w:tcBorders>
          </w:tcPr>
          <w:p w:rsidR="007C5447" w:rsidRDefault="00F6308C">
            <w:pPr>
              <w:pStyle w:val="TableParagraph"/>
              <w:spacing w:before="36"/>
              <w:ind w:left="107"/>
              <w:jc w:val="left"/>
              <w:rPr>
                <w:sz w:val="20"/>
              </w:rPr>
            </w:pPr>
            <w:r>
              <w:rPr>
                <w:sz w:val="20"/>
              </w:rPr>
              <w:t>NTPC Vallur Unit 1 &amp; Unit 2</w:t>
            </w:r>
          </w:p>
        </w:tc>
        <w:tc>
          <w:tcPr>
            <w:tcW w:w="1567" w:type="dxa"/>
          </w:tcPr>
          <w:p w:rsidR="007C5447" w:rsidRDefault="00F6308C">
            <w:pPr>
              <w:pStyle w:val="TableParagraph"/>
              <w:spacing w:before="36"/>
              <w:ind w:right="91"/>
              <w:rPr>
                <w:sz w:val="20"/>
              </w:rPr>
            </w:pPr>
            <w:r>
              <w:rPr>
                <w:w w:val="95"/>
                <w:sz w:val="20"/>
              </w:rPr>
              <w:t>3,850.00</w:t>
            </w:r>
          </w:p>
        </w:tc>
        <w:tc>
          <w:tcPr>
            <w:tcW w:w="1570" w:type="dxa"/>
          </w:tcPr>
          <w:p w:rsidR="007C5447" w:rsidRDefault="00F6308C">
            <w:pPr>
              <w:pStyle w:val="TableParagraph"/>
              <w:spacing w:before="36"/>
              <w:ind w:right="95"/>
              <w:rPr>
                <w:sz w:val="20"/>
              </w:rPr>
            </w:pPr>
            <w:r>
              <w:rPr>
                <w:w w:val="95"/>
                <w:sz w:val="20"/>
              </w:rPr>
              <w:t>695.00</w:t>
            </w:r>
          </w:p>
        </w:tc>
        <w:tc>
          <w:tcPr>
            <w:tcW w:w="1519" w:type="dxa"/>
          </w:tcPr>
          <w:p w:rsidR="007C5447" w:rsidRDefault="00F6308C">
            <w:pPr>
              <w:pStyle w:val="TableParagraph"/>
              <w:spacing w:before="36"/>
              <w:ind w:right="92"/>
              <w:rPr>
                <w:sz w:val="20"/>
              </w:rPr>
            </w:pPr>
            <w:r>
              <w:rPr>
                <w:w w:val="95"/>
                <w:sz w:val="20"/>
              </w:rPr>
              <w:t>745.00</w:t>
            </w:r>
          </w:p>
        </w:tc>
        <w:tc>
          <w:tcPr>
            <w:tcW w:w="1567" w:type="dxa"/>
          </w:tcPr>
          <w:p w:rsidR="007C5447" w:rsidRDefault="00F6308C">
            <w:pPr>
              <w:pStyle w:val="TableParagraph"/>
              <w:spacing w:before="36"/>
              <w:ind w:right="94"/>
              <w:rPr>
                <w:sz w:val="20"/>
              </w:rPr>
            </w:pPr>
            <w:r>
              <w:rPr>
                <w:sz w:val="20"/>
              </w:rPr>
              <w:t>1.94</w:t>
            </w:r>
          </w:p>
        </w:tc>
        <w:tc>
          <w:tcPr>
            <w:tcW w:w="1568" w:type="dxa"/>
          </w:tcPr>
          <w:p w:rsidR="007C5447" w:rsidRDefault="00F6308C">
            <w:pPr>
              <w:pStyle w:val="TableParagraph"/>
              <w:spacing w:before="36"/>
              <w:ind w:right="90"/>
              <w:rPr>
                <w:sz w:val="20"/>
              </w:rPr>
            </w:pPr>
            <w:r>
              <w:rPr>
                <w:w w:val="95"/>
                <w:sz w:val="20"/>
              </w:rPr>
              <w:t>1,440.25</w:t>
            </w:r>
          </w:p>
        </w:tc>
        <w:tc>
          <w:tcPr>
            <w:tcW w:w="1625" w:type="dxa"/>
          </w:tcPr>
          <w:p w:rsidR="007C5447" w:rsidRDefault="00F6308C">
            <w:pPr>
              <w:pStyle w:val="TableParagraph"/>
              <w:spacing w:before="36"/>
              <w:ind w:right="92"/>
              <w:rPr>
                <w:sz w:val="20"/>
              </w:rPr>
            </w:pPr>
            <w:r>
              <w:rPr>
                <w:sz w:val="20"/>
              </w:rPr>
              <w:t>3.74</w:t>
            </w:r>
          </w:p>
        </w:tc>
      </w:tr>
      <w:tr w:rsidR="007C5447">
        <w:trPr>
          <w:trHeight w:val="299"/>
        </w:trPr>
        <w:tc>
          <w:tcPr>
            <w:tcW w:w="4760" w:type="dxa"/>
            <w:tcBorders>
              <w:left w:val="single" w:sz="8" w:space="0" w:color="000000"/>
            </w:tcBorders>
          </w:tcPr>
          <w:p w:rsidR="007C5447" w:rsidRDefault="00F6308C">
            <w:pPr>
              <w:pStyle w:val="TableParagraph"/>
              <w:spacing w:before="34"/>
              <w:ind w:left="107"/>
              <w:jc w:val="left"/>
              <w:rPr>
                <w:sz w:val="20"/>
              </w:rPr>
            </w:pPr>
            <w:r>
              <w:rPr>
                <w:sz w:val="20"/>
              </w:rPr>
              <w:t>Kudankulum</w:t>
            </w:r>
          </w:p>
        </w:tc>
        <w:tc>
          <w:tcPr>
            <w:tcW w:w="1567" w:type="dxa"/>
          </w:tcPr>
          <w:p w:rsidR="007C5447" w:rsidRDefault="00F6308C">
            <w:pPr>
              <w:pStyle w:val="TableParagraph"/>
              <w:spacing w:before="34"/>
              <w:ind w:right="91"/>
              <w:rPr>
                <w:sz w:val="20"/>
              </w:rPr>
            </w:pPr>
            <w:r>
              <w:rPr>
                <w:w w:val="95"/>
                <w:sz w:val="20"/>
              </w:rPr>
              <w:t>2,169.00</w:t>
            </w:r>
          </w:p>
        </w:tc>
        <w:tc>
          <w:tcPr>
            <w:tcW w:w="1570" w:type="dxa"/>
          </w:tcPr>
          <w:p w:rsidR="007C5447" w:rsidRDefault="007C5447">
            <w:pPr>
              <w:pStyle w:val="TableParagraph"/>
              <w:jc w:val="left"/>
              <w:rPr>
                <w:sz w:val="20"/>
              </w:rPr>
            </w:pPr>
          </w:p>
        </w:tc>
        <w:tc>
          <w:tcPr>
            <w:tcW w:w="1519" w:type="dxa"/>
          </w:tcPr>
          <w:p w:rsidR="007C5447" w:rsidRDefault="00F6308C">
            <w:pPr>
              <w:pStyle w:val="TableParagraph"/>
              <w:spacing w:before="34"/>
              <w:ind w:right="92"/>
              <w:rPr>
                <w:sz w:val="20"/>
              </w:rPr>
            </w:pPr>
            <w:r>
              <w:rPr>
                <w:w w:val="95"/>
                <w:sz w:val="20"/>
              </w:rPr>
              <w:t>541.00</w:t>
            </w:r>
          </w:p>
        </w:tc>
        <w:tc>
          <w:tcPr>
            <w:tcW w:w="1567" w:type="dxa"/>
          </w:tcPr>
          <w:p w:rsidR="007C5447" w:rsidRDefault="00F6308C">
            <w:pPr>
              <w:pStyle w:val="TableParagraph"/>
              <w:spacing w:before="34"/>
              <w:ind w:right="94"/>
              <w:rPr>
                <w:sz w:val="20"/>
              </w:rPr>
            </w:pPr>
            <w:r>
              <w:rPr>
                <w:sz w:val="20"/>
              </w:rPr>
              <w:t>2.49</w:t>
            </w:r>
          </w:p>
        </w:tc>
        <w:tc>
          <w:tcPr>
            <w:tcW w:w="1568" w:type="dxa"/>
          </w:tcPr>
          <w:p w:rsidR="007C5447" w:rsidRDefault="00F6308C">
            <w:pPr>
              <w:pStyle w:val="TableParagraph"/>
              <w:spacing w:before="34"/>
              <w:ind w:right="92"/>
              <w:rPr>
                <w:sz w:val="20"/>
              </w:rPr>
            </w:pPr>
            <w:r>
              <w:rPr>
                <w:w w:val="95"/>
                <w:sz w:val="20"/>
              </w:rPr>
              <w:t>541.43</w:t>
            </w:r>
          </w:p>
        </w:tc>
        <w:tc>
          <w:tcPr>
            <w:tcW w:w="1625" w:type="dxa"/>
          </w:tcPr>
          <w:p w:rsidR="007C5447" w:rsidRDefault="00F6308C">
            <w:pPr>
              <w:pStyle w:val="TableParagraph"/>
              <w:spacing w:before="34"/>
              <w:ind w:right="92"/>
              <w:rPr>
                <w:sz w:val="20"/>
              </w:rPr>
            </w:pPr>
            <w:r>
              <w:rPr>
                <w:sz w:val="20"/>
              </w:rPr>
              <w:t>2.50</w:t>
            </w:r>
          </w:p>
        </w:tc>
      </w:tr>
      <w:tr w:rsidR="007C5447">
        <w:trPr>
          <w:trHeight w:val="328"/>
        </w:trPr>
        <w:tc>
          <w:tcPr>
            <w:tcW w:w="4760" w:type="dxa"/>
            <w:tcBorders>
              <w:left w:val="single" w:sz="8" w:space="0" w:color="000000"/>
            </w:tcBorders>
          </w:tcPr>
          <w:p w:rsidR="007C5447" w:rsidRDefault="00F6308C">
            <w:pPr>
              <w:pStyle w:val="TableParagraph"/>
              <w:spacing w:before="50"/>
              <w:ind w:left="107"/>
              <w:jc w:val="left"/>
              <w:rPr>
                <w:b/>
                <w:sz w:val="20"/>
              </w:rPr>
            </w:pPr>
            <w:r>
              <w:rPr>
                <w:b/>
                <w:sz w:val="20"/>
              </w:rPr>
              <w:t>Total CGS</w:t>
            </w:r>
          </w:p>
        </w:tc>
        <w:tc>
          <w:tcPr>
            <w:tcW w:w="1567" w:type="dxa"/>
          </w:tcPr>
          <w:p w:rsidR="007C5447" w:rsidRDefault="00F6308C">
            <w:pPr>
              <w:pStyle w:val="TableParagraph"/>
              <w:spacing w:before="50"/>
              <w:ind w:right="93"/>
              <w:rPr>
                <w:b/>
                <w:sz w:val="20"/>
              </w:rPr>
            </w:pPr>
            <w:r>
              <w:rPr>
                <w:b/>
                <w:w w:val="95"/>
                <w:sz w:val="20"/>
              </w:rPr>
              <w:t>27,309.00</w:t>
            </w:r>
          </w:p>
        </w:tc>
        <w:tc>
          <w:tcPr>
            <w:tcW w:w="1570" w:type="dxa"/>
          </w:tcPr>
          <w:p w:rsidR="007C5447" w:rsidRDefault="00F6308C">
            <w:pPr>
              <w:pStyle w:val="TableParagraph"/>
              <w:spacing w:before="50"/>
              <w:ind w:right="93"/>
              <w:rPr>
                <w:b/>
                <w:sz w:val="20"/>
              </w:rPr>
            </w:pPr>
            <w:r>
              <w:rPr>
                <w:b/>
                <w:w w:val="95"/>
                <w:sz w:val="20"/>
              </w:rPr>
              <w:t>1,992.00</w:t>
            </w:r>
          </w:p>
        </w:tc>
        <w:tc>
          <w:tcPr>
            <w:tcW w:w="1519" w:type="dxa"/>
          </w:tcPr>
          <w:p w:rsidR="007C5447" w:rsidRDefault="00F6308C">
            <w:pPr>
              <w:pStyle w:val="TableParagraph"/>
              <w:spacing w:before="50"/>
              <w:ind w:right="90"/>
              <w:rPr>
                <w:b/>
                <w:sz w:val="20"/>
              </w:rPr>
            </w:pPr>
            <w:r>
              <w:rPr>
                <w:b/>
                <w:w w:val="95"/>
                <w:sz w:val="20"/>
              </w:rPr>
              <w:t>6,038.52</w:t>
            </w: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50"/>
              <w:ind w:right="90"/>
              <w:rPr>
                <w:b/>
                <w:sz w:val="20"/>
              </w:rPr>
            </w:pPr>
            <w:r>
              <w:rPr>
                <w:b/>
                <w:w w:val="95"/>
                <w:sz w:val="20"/>
              </w:rPr>
              <w:t>8,371.57</w:t>
            </w:r>
          </w:p>
        </w:tc>
        <w:tc>
          <w:tcPr>
            <w:tcW w:w="1625" w:type="dxa"/>
          </w:tcPr>
          <w:p w:rsidR="007C5447" w:rsidRDefault="00F6308C">
            <w:pPr>
              <w:pStyle w:val="TableParagraph"/>
              <w:spacing w:before="50"/>
              <w:ind w:right="92"/>
              <w:rPr>
                <w:b/>
                <w:sz w:val="20"/>
              </w:rPr>
            </w:pPr>
            <w:r>
              <w:rPr>
                <w:b/>
                <w:sz w:val="20"/>
              </w:rPr>
              <w:t>3.07</w:t>
            </w:r>
          </w:p>
        </w:tc>
      </w:tr>
      <w:tr w:rsidR="007C5447">
        <w:trPr>
          <w:trHeight w:val="330"/>
        </w:trPr>
        <w:tc>
          <w:tcPr>
            <w:tcW w:w="4760" w:type="dxa"/>
            <w:tcBorders>
              <w:left w:val="single" w:sz="8" w:space="0" w:color="000000"/>
            </w:tcBorders>
          </w:tcPr>
          <w:p w:rsidR="007C5447" w:rsidRDefault="00F6308C">
            <w:pPr>
              <w:pStyle w:val="TableParagraph"/>
              <w:spacing w:before="50"/>
              <w:ind w:left="107"/>
              <w:jc w:val="left"/>
              <w:rPr>
                <w:b/>
                <w:sz w:val="20"/>
              </w:rPr>
            </w:pPr>
            <w:r>
              <w:rPr>
                <w:b/>
                <w:sz w:val="20"/>
              </w:rPr>
              <w:t>IPP</w:t>
            </w:r>
          </w:p>
        </w:tc>
        <w:tc>
          <w:tcPr>
            <w:tcW w:w="1567" w:type="dxa"/>
          </w:tcPr>
          <w:p w:rsidR="007C5447" w:rsidRDefault="007C5447">
            <w:pPr>
              <w:pStyle w:val="TableParagraph"/>
              <w:jc w:val="left"/>
              <w:rPr>
                <w:sz w:val="20"/>
              </w:rPr>
            </w:pP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7C5447">
            <w:pPr>
              <w:pStyle w:val="TableParagraph"/>
              <w:jc w:val="left"/>
              <w:rPr>
                <w:sz w:val="20"/>
              </w:rPr>
            </w:pPr>
          </w:p>
        </w:tc>
        <w:tc>
          <w:tcPr>
            <w:tcW w:w="1625" w:type="dxa"/>
          </w:tcPr>
          <w:p w:rsidR="007C5447" w:rsidRDefault="007C5447">
            <w:pPr>
              <w:pStyle w:val="TableParagraph"/>
              <w:jc w:val="left"/>
              <w:rPr>
                <w:sz w:val="20"/>
              </w:rPr>
            </w:pPr>
          </w:p>
        </w:tc>
      </w:tr>
      <w:tr w:rsidR="007C5447">
        <w:trPr>
          <w:trHeight w:val="299"/>
        </w:trPr>
        <w:tc>
          <w:tcPr>
            <w:tcW w:w="4760" w:type="dxa"/>
            <w:tcBorders>
              <w:left w:val="single" w:sz="8" w:space="0" w:color="000000"/>
            </w:tcBorders>
          </w:tcPr>
          <w:p w:rsidR="007C5447" w:rsidRDefault="00F6308C">
            <w:pPr>
              <w:pStyle w:val="TableParagraph"/>
              <w:spacing w:before="36"/>
              <w:ind w:left="107"/>
              <w:jc w:val="left"/>
              <w:rPr>
                <w:sz w:val="20"/>
              </w:rPr>
            </w:pPr>
            <w:r>
              <w:rPr>
                <w:sz w:val="20"/>
              </w:rPr>
              <w:t>GMR Vasavi</w:t>
            </w:r>
          </w:p>
        </w:tc>
        <w:tc>
          <w:tcPr>
            <w:tcW w:w="1567" w:type="dxa"/>
          </w:tcPr>
          <w:p w:rsidR="007C5447" w:rsidRDefault="00F6308C">
            <w:pPr>
              <w:pStyle w:val="TableParagraph"/>
              <w:spacing w:before="36"/>
              <w:ind w:right="89"/>
              <w:rPr>
                <w:sz w:val="20"/>
              </w:rPr>
            </w:pPr>
            <w:r>
              <w:rPr>
                <w:w w:val="99"/>
                <w:sz w:val="20"/>
              </w:rPr>
              <w:t>-</w:t>
            </w:r>
          </w:p>
        </w:tc>
        <w:tc>
          <w:tcPr>
            <w:tcW w:w="1570" w:type="dxa"/>
          </w:tcPr>
          <w:p w:rsidR="007C5447" w:rsidRDefault="00F6308C">
            <w:pPr>
              <w:pStyle w:val="TableParagraph"/>
              <w:spacing w:before="36"/>
              <w:ind w:right="95"/>
              <w:rPr>
                <w:sz w:val="20"/>
              </w:rPr>
            </w:pPr>
            <w:r>
              <w:rPr>
                <w:w w:val="95"/>
                <w:sz w:val="20"/>
              </w:rPr>
              <w:t>73.00</w:t>
            </w:r>
          </w:p>
        </w:tc>
        <w:tc>
          <w:tcPr>
            <w:tcW w:w="1519" w:type="dxa"/>
          </w:tcPr>
          <w:p w:rsidR="007C5447" w:rsidRDefault="00F6308C">
            <w:pPr>
              <w:pStyle w:val="TableParagraph"/>
              <w:spacing w:before="36"/>
              <w:ind w:right="89"/>
              <w:rPr>
                <w:sz w:val="20"/>
              </w:rPr>
            </w:pPr>
            <w:r>
              <w:rPr>
                <w:w w:val="99"/>
                <w:sz w:val="20"/>
              </w:rPr>
              <w:t>-</w:t>
            </w:r>
          </w:p>
        </w:tc>
        <w:tc>
          <w:tcPr>
            <w:tcW w:w="1567" w:type="dxa"/>
          </w:tcPr>
          <w:p w:rsidR="007C5447" w:rsidRDefault="00F6308C">
            <w:pPr>
              <w:pStyle w:val="TableParagraph"/>
              <w:spacing w:before="36"/>
              <w:ind w:right="93"/>
              <w:rPr>
                <w:sz w:val="20"/>
              </w:rPr>
            </w:pPr>
            <w:r>
              <w:rPr>
                <w:w w:val="99"/>
                <w:sz w:val="20"/>
              </w:rPr>
              <w:t>-</w:t>
            </w:r>
          </w:p>
        </w:tc>
        <w:tc>
          <w:tcPr>
            <w:tcW w:w="1568" w:type="dxa"/>
          </w:tcPr>
          <w:p w:rsidR="007C5447" w:rsidRDefault="00F6308C">
            <w:pPr>
              <w:pStyle w:val="TableParagraph"/>
              <w:spacing w:before="36"/>
              <w:ind w:right="92"/>
              <w:rPr>
                <w:sz w:val="20"/>
              </w:rPr>
            </w:pPr>
            <w:r>
              <w:rPr>
                <w:w w:val="95"/>
                <w:sz w:val="20"/>
              </w:rPr>
              <w:t>73.00</w:t>
            </w:r>
          </w:p>
        </w:tc>
        <w:tc>
          <w:tcPr>
            <w:tcW w:w="1625" w:type="dxa"/>
          </w:tcPr>
          <w:p w:rsidR="007C5447" w:rsidRDefault="00F6308C">
            <w:pPr>
              <w:pStyle w:val="TableParagraph"/>
              <w:spacing w:before="36"/>
              <w:ind w:right="91"/>
              <w:rPr>
                <w:sz w:val="20"/>
              </w:rPr>
            </w:pPr>
            <w:r>
              <w:rPr>
                <w:w w:val="99"/>
                <w:sz w:val="20"/>
              </w:rPr>
              <w:t>-</w:t>
            </w:r>
          </w:p>
        </w:tc>
      </w:tr>
      <w:tr w:rsidR="007C5447">
        <w:trPr>
          <w:trHeight w:val="297"/>
        </w:trPr>
        <w:tc>
          <w:tcPr>
            <w:tcW w:w="4760" w:type="dxa"/>
            <w:tcBorders>
              <w:left w:val="single" w:sz="8" w:space="0" w:color="000000"/>
              <w:bottom w:val="single" w:sz="6" w:space="0" w:color="000000"/>
            </w:tcBorders>
          </w:tcPr>
          <w:p w:rsidR="007C5447" w:rsidRDefault="00F6308C">
            <w:pPr>
              <w:pStyle w:val="TableParagraph"/>
              <w:spacing w:before="36"/>
              <w:ind w:left="107"/>
              <w:jc w:val="left"/>
              <w:rPr>
                <w:sz w:val="20"/>
              </w:rPr>
            </w:pPr>
            <w:r>
              <w:rPr>
                <w:sz w:val="20"/>
              </w:rPr>
              <w:t>Samalpatti</w:t>
            </w:r>
          </w:p>
        </w:tc>
        <w:tc>
          <w:tcPr>
            <w:tcW w:w="1567" w:type="dxa"/>
            <w:tcBorders>
              <w:bottom w:val="single" w:sz="6" w:space="0" w:color="000000"/>
            </w:tcBorders>
          </w:tcPr>
          <w:p w:rsidR="007C5447" w:rsidRDefault="00F6308C">
            <w:pPr>
              <w:pStyle w:val="TableParagraph"/>
              <w:spacing w:before="36"/>
              <w:ind w:right="89"/>
              <w:rPr>
                <w:sz w:val="20"/>
              </w:rPr>
            </w:pPr>
            <w:r>
              <w:rPr>
                <w:w w:val="99"/>
                <w:sz w:val="20"/>
              </w:rPr>
              <w:t>-</w:t>
            </w:r>
          </w:p>
        </w:tc>
        <w:tc>
          <w:tcPr>
            <w:tcW w:w="1570" w:type="dxa"/>
            <w:tcBorders>
              <w:bottom w:val="single" w:sz="6" w:space="0" w:color="000000"/>
            </w:tcBorders>
          </w:tcPr>
          <w:p w:rsidR="007C5447" w:rsidRDefault="00F6308C">
            <w:pPr>
              <w:pStyle w:val="TableParagraph"/>
              <w:spacing w:before="36"/>
              <w:ind w:right="95"/>
              <w:rPr>
                <w:sz w:val="20"/>
              </w:rPr>
            </w:pPr>
            <w:r>
              <w:rPr>
                <w:w w:val="95"/>
                <w:sz w:val="20"/>
              </w:rPr>
              <w:t>82.00</w:t>
            </w:r>
          </w:p>
        </w:tc>
        <w:tc>
          <w:tcPr>
            <w:tcW w:w="1519" w:type="dxa"/>
            <w:tcBorders>
              <w:bottom w:val="single" w:sz="6" w:space="0" w:color="000000"/>
            </w:tcBorders>
          </w:tcPr>
          <w:p w:rsidR="007C5447" w:rsidRDefault="00F6308C">
            <w:pPr>
              <w:pStyle w:val="TableParagraph"/>
              <w:spacing w:before="36"/>
              <w:ind w:right="89"/>
              <w:rPr>
                <w:sz w:val="20"/>
              </w:rPr>
            </w:pPr>
            <w:r>
              <w:rPr>
                <w:w w:val="99"/>
                <w:sz w:val="20"/>
              </w:rPr>
              <w:t>-</w:t>
            </w:r>
          </w:p>
        </w:tc>
        <w:tc>
          <w:tcPr>
            <w:tcW w:w="1567" w:type="dxa"/>
            <w:tcBorders>
              <w:bottom w:val="single" w:sz="6" w:space="0" w:color="000000"/>
            </w:tcBorders>
          </w:tcPr>
          <w:p w:rsidR="007C5447" w:rsidRDefault="00F6308C">
            <w:pPr>
              <w:pStyle w:val="TableParagraph"/>
              <w:spacing w:before="36"/>
              <w:ind w:right="93"/>
              <w:rPr>
                <w:sz w:val="20"/>
              </w:rPr>
            </w:pPr>
            <w:r>
              <w:rPr>
                <w:w w:val="99"/>
                <w:sz w:val="20"/>
              </w:rPr>
              <w:t>-</w:t>
            </w:r>
          </w:p>
        </w:tc>
        <w:tc>
          <w:tcPr>
            <w:tcW w:w="1568" w:type="dxa"/>
            <w:tcBorders>
              <w:bottom w:val="single" w:sz="6" w:space="0" w:color="000000"/>
            </w:tcBorders>
          </w:tcPr>
          <w:p w:rsidR="007C5447" w:rsidRDefault="00F6308C">
            <w:pPr>
              <w:pStyle w:val="TableParagraph"/>
              <w:spacing w:before="36"/>
              <w:ind w:right="92"/>
              <w:rPr>
                <w:sz w:val="20"/>
              </w:rPr>
            </w:pPr>
            <w:r>
              <w:rPr>
                <w:w w:val="95"/>
                <w:sz w:val="20"/>
              </w:rPr>
              <w:t>82.00</w:t>
            </w:r>
          </w:p>
        </w:tc>
        <w:tc>
          <w:tcPr>
            <w:tcW w:w="1625" w:type="dxa"/>
            <w:tcBorders>
              <w:bottom w:val="single" w:sz="6" w:space="0" w:color="000000"/>
            </w:tcBorders>
          </w:tcPr>
          <w:p w:rsidR="007C5447" w:rsidRDefault="00F6308C">
            <w:pPr>
              <w:pStyle w:val="TableParagraph"/>
              <w:spacing w:before="36"/>
              <w:ind w:right="91"/>
              <w:rPr>
                <w:sz w:val="20"/>
              </w:rPr>
            </w:pPr>
            <w:r>
              <w:rPr>
                <w:w w:val="99"/>
                <w:sz w:val="20"/>
              </w:rPr>
              <w:t>-</w:t>
            </w:r>
          </w:p>
        </w:tc>
      </w:tr>
      <w:tr w:rsidR="007C5447">
        <w:trPr>
          <w:trHeight w:val="299"/>
        </w:trPr>
        <w:tc>
          <w:tcPr>
            <w:tcW w:w="4760" w:type="dxa"/>
            <w:tcBorders>
              <w:top w:val="single" w:sz="6" w:space="0" w:color="000000"/>
              <w:left w:val="single" w:sz="8" w:space="0" w:color="000000"/>
            </w:tcBorders>
          </w:tcPr>
          <w:p w:rsidR="007C5447" w:rsidRDefault="00F6308C">
            <w:pPr>
              <w:pStyle w:val="TableParagraph"/>
              <w:spacing w:before="34"/>
              <w:ind w:left="107"/>
              <w:jc w:val="left"/>
              <w:rPr>
                <w:sz w:val="20"/>
              </w:rPr>
            </w:pPr>
            <w:r>
              <w:rPr>
                <w:sz w:val="20"/>
              </w:rPr>
              <w:t>Madurai Power Corpn</w:t>
            </w:r>
          </w:p>
        </w:tc>
        <w:tc>
          <w:tcPr>
            <w:tcW w:w="1567" w:type="dxa"/>
            <w:tcBorders>
              <w:top w:val="single" w:sz="6" w:space="0" w:color="000000"/>
            </w:tcBorders>
          </w:tcPr>
          <w:p w:rsidR="007C5447" w:rsidRDefault="00F6308C">
            <w:pPr>
              <w:pStyle w:val="TableParagraph"/>
              <w:spacing w:before="34"/>
              <w:ind w:right="89"/>
              <w:rPr>
                <w:sz w:val="20"/>
              </w:rPr>
            </w:pPr>
            <w:r>
              <w:rPr>
                <w:w w:val="99"/>
                <w:sz w:val="20"/>
              </w:rPr>
              <w:t>-</w:t>
            </w:r>
          </w:p>
        </w:tc>
        <w:tc>
          <w:tcPr>
            <w:tcW w:w="1570" w:type="dxa"/>
            <w:tcBorders>
              <w:top w:val="single" w:sz="6" w:space="0" w:color="000000"/>
            </w:tcBorders>
          </w:tcPr>
          <w:p w:rsidR="007C5447" w:rsidRDefault="00F6308C">
            <w:pPr>
              <w:pStyle w:val="TableParagraph"/>
              <w:spacing w:before="34"/>
              <w:ind w:right="95"/>
              <w:rPr>
                <w:sz w:val="20"/>
              </w:rPr>
            </w:pPr>
            <w:r>
              <w:rPr>
                <w:w w:val="95"/>
                <w:sz w:val="20"/>
              </w:rPr>
              <w:t>95.00</w:t>
            </w:r>
          </w:p>
        </w:tc>
        <w:tc>
          <w:tcPr>
            <w:tcW w:w="1519" w:type="dxa"/>
            <w:tcBorders>
              <w:top w:val="single" w:sz="6" w:space="0" w:color="000000"/>
            </w:tcBorders>
          </w:tcPr>
          <w:p w:rsidR="007C5447" w:rsidRDefault="00F6308C">
            <w:pPr>
              <w:pStyle w:val="TableParagraph"/>
              <w:spacing w:before="34"/>
              <w:ind w:right="89"/>
              <w:rPr>
                <w:sz w:val="20"/>
              </w:rPr>
            </w:pPr>
            <w:r>
              <w:rPr>
                <w:w w:val="99"/>
                <w:sz w:val="20"/>
              </w:rPr>
              <w:t>-</w:t>
            </w:r>
          </w:p>
        </w:tc>
        <w:tc>
          <w:tcPr>
            <w:tcW w:w="1567" w:type="dxa"/>
            <w:tcBorders>
              <w:top w:val="single" w:sz="6" w:space="0" w:color="000000"/>
            </w:tcBorders>
          </w:tcPr>
          <w:p w:rsidR="007C5447" w:rsidRDefault="00F6308C">
            <w:pPr>
              <w:pStyle w:val="TableParagraph"/>
              <w:spacing w:before="34"/>
              <w:ind w:right="93"/>
              <w:rPr>
                <w:sz w:val="20"/>
              </w:rPr>
            </w:pPr>
            <w:r>
              <w:rPr>
                <w:w w:val="99"/>
                <w:sz w:val="20"/>
              </w:rPr>
              <w:t>-</w:t>
            </w:r>
          </w:p>
        </w:tc>
        <w:tc>
          <w:tcPr>
            <w:tcW w:w="1568" w:type="dxa"/>
            <w:tcBorders>
              <w:top w:val="single" w:sz="6" w:space="0" w:color="000000"/>
            </w:tcBorders>
          </w:tcPr>
          <w:p w:rsidR="007C5447" w:rsidRDefault="00F6308C">
            <w:pPr>
              <w:pStyle w:val="TableParagraph"/>
              <w:spacing w:before="34"/>
              <w:ind w:right="92"/>
              <w:rPr>
                <w:sz w:val="20"/>
              </w:rPr>
            </w:pPr>
            <w:r>
              <w:rPr>
                <w:w w:val="95"/>
                <w:sz w:val="20"/>
              </w:rPr>
              <w:t>95.00</w:t>
            </w:r>
          </w:p>
        </w:tc>
        <w:tc>
          <w:tcPr>
            <w:tcW w:w="1625" w:type="dxa"/>
            <w:tcBorders>
              <w:top w:val="single" w:sz="6" w:space="0" w:color="000000"/>
            </w:tcBorders>
          </w:tcPr>
          <w:p w:rsidR="007C5447" w:rsidRDefault="00F6308C">
            <w:pPr>
              <w:pStyle w:val="TableParagraph"/>
              <w:spacing w:before="34"/>
              <w:ind w:right="91"/>
              <w:rPr>
                <w:sz w:val="20"/>
              </w:rPr>
            </w:pPr>
            <w:r>
              <w:rPr>
                <w:w w:val="99"/>
                <w:sz w:val="20"/>
              </w:rPr>
              <w:t>-</w:t>
            </w:r>
          </w:p>
        </w:tc>
      </w:tr>
      <w:tr w:rsidR="007C5447">
        <w:trPr>
          <w:trHeight w:val="299"/>
        </w:trPr>
        <w:tc>
          <w:tcPr>
            <w:tcW w:w="4760" w:type="dxa"/>
            <w:tcBorders>
              <w:left w:val="single" w:sz="8" w:space="0" w:color="000000"/>
            </w:tcBorders>
          </w:tcPr>
          <w:p w:rsidR="007C5447" w:rsidRDefault="00F6308C">
            <w:pPr>
              <w:pStyle w:val="TableParagraph"/>
              <w:spacing w:before="34"/>
              <w:ind w:left="107"/>
              <w:jc w:val="left"/>
              <w:rPr>
                <w:sz w:val="20"/>
              </w:rPr>
            </w:pPr>
            <w:r>
              <w:rPr>
                <w:sz w:val="20"/>
              </w:rPr>
              <w:t>PPN</w:t>
            </w:r>
          </w:p>
        </w:tc>
        <w:tc>
          <w:tcPr>
            <w:tcW w:w="1567" w:type="dxa"/>
          </w:tcPr>
          <w:p w:rsidR="007C5447" w:rsidRDefault="00F6308C">
            <w:pPr>
              <w:pStyle w:val="TableParagraph"/>
              <w:spacing w:before="34"/>
              <w:ind w:right="89"/>
              <w:rPr>
                <w:sz w:val="20"/>
              </w:rPr>
            </w:pPr>
            <w:r>
              <w:rPr>
                <w:w w:val="99"/>
                <w:sz w:val="20"/>
              </w:rPr>
              <w:t>-</w:t>
            </w:r>
          </w:p>
        </w:tc>
        <w:tc>
          <w:tcPr>
            <w:tcW w:w="1570" w:type="dxa"/>
          </w:tcPr>
          <w:p w:rsidR="007C5447" w:rsidRDefault="00F6308C">
            <w:pPr>
              <w:pStyle w:val="TableParagraph"/>
              <w:spacing w:before="34"/>
              <w:ind w:right="95"/>
              <w:rPr>
                <w:sz w:val="20"/>
              </w:rPr>
            </w:pPr>
            <w:r>
              <w:rPr>
                <w:w w:val="95"/>
                <w:sz w:val="20"/>
              </w:rPr>
              <w:t>205.00</w:t>
            </w:r>
          </w:p>
        </w:tc>
        <w:tc>
          <w:tcPr>
            <w:tcW w:w="1519" w:type="dxa"/>
          </w:tcPr>
          <w:p w:rsidR="007C5447" w:rsidRDefault="00F6308C">
            <w:pPr>
              <w:pStyle w:val="TableParagraph"/>
              <w:spacing w:before="34"/>
              <w:ind w:right="89"/>
              <w:rPr>
                <w:sz w:val="20"/>
              </w:rPr>
            </w:pPr>
            <w:r>
              <w:rPr>
                <w:w w:val="99"/>
                <w:sz w:val="20"/>
              </w:rPr>
              <w:t>-</w:t>
            </w:r>
          </w:p>
        </w:tc>
        <w:tc>
          <w:tcPr>
            <w:tcW w:w="1567" w:type="dxa"/>
          </w:tcPr>
          <w:p w:rsidR="007C5447" w:rsidRDefault="00F6308C">
            <w:pPr>
              <w:pStyle w:val="TableParagraph"/>
              <w:spacing w:before="34"/>
              <w:ind w:right="93"/>
              <w:rPr>
                <w:sz w:val="20"/>
              </w:rPr>
            </w:pPr>
            <w:r>
              <w:rPr>
                <w:w w:val="99"/>
                <w:sz w:val="20"/>
              </w:rPr>
              <w:t>-</w:t>
            </w:r>
          </w:p>
        </w:tc>
        <w:tc>
          <w:tcPr>
            <w:tcW w:w="1568" w:type="dxa"/>
          </w:tcPr>
          <w:p w:rsidR="007C5447" w:rsidRDefault="00F6308C">
            <w:pPr>
              <w:pStyle w:val="TableParagraph"/>
              <w:spacing w:before="34"/>
              <w:ind w:right="92"/>
              <w:rPr>
                <w:sz w:val="20"/>
              </w:rPr>
            </w:pPr>
            <w:r>
              <w:rPr>
                <w:w w:val="95"/>
                <w:sz w:val="20"/>
              </w:rPr>
              <w:t>205.00</w:t>
            </w:r>
          </w:p>
        </w:tc>
        <w:tc>
          <w:tcPr>
            <w:tcW w:w="1625" w:type="dxa"/>
          </w:tcPr>
          <w:p w:rsidR="007C5447" w:rsidRDefault="00F6308C">
            <w:pPr>
              <w:pStyle w:val="TableParagraph"/>
              <w:spacing w:before="34"/>
              <w:ind w:right="91"/>
              <w:rPr>
                <w:sz w:val="20"/>
              </w:rPr>
            </w:pPr>
            <w:r>
              <w:rPr>
                <w:w w:val="99"/>
                <w:sz w:val="20"/>
              </w:rPr>
              <w:t>-</w:t>
            </w:r>
          </w:p>
        </w:tc>
      </w:tr>
      <w:tr w:rsidR="007C5447">
        <w:trPr>
          <w:trHeight w:val="299"/>
        </w:trPr>
        <w:tc>
          <w:tcPr>
            <w:tcW w:w="4760" w:type="dxa"/>
            <w:tcBorders>
              <w:left w:val="single" w:sz="8" w:space="0" w:color="000000"/>
            </w:tcBorders>
          </w:tcPr>
          <w:p w:rsidR="007C5447" w:rsidRDefault="00F6308C">
            <w:pPr>
              <w:pStyle w:val="TableParagraph"/>
              <w:spacing w:before="34"/>
              <w:ind w:left="107"/>
              <w:jc w:val="left"/>
              <w:rPr>
                <w:sz w:val="20"/>
              </w:rPr>
            </w:pPr>
            <w:r>
              <w:rPr>
                <w:sz w:val="20"/>
              </w:rPr>
              <w:t>STCMS - Neyveli</w:t>
            </w:r>
          </w:p>
        </w:tc>
        <w:tc>
          <w:tcPr>
            <w:tcW w:w="1567" w:type="dxa"/>
          </w:tcPr>
          <w:p w:rsidR="007C5447" w:rsidRDefault="00F6308C">
            <w:pPr>
              <w:pStyle w:val="TableParagraph"/>
              <w:spacing w:before="34"/>
              <w:ind w:right="91"/>
              <w:rPr>
                <w:sz w:val="20"/>
              </w:rPr>
            </w:pPr>
            <w:r>
              <w:rPr>
                <w:w w:val="95"/>
                <w:sz w:val="20"/>
              </w:rPr>
              <w:t>1,678.00</w:t>
            </w:r>
          </w:p>
        </w:tc>
        <w:tc>
          <w:tcPr>
            <w:tcW w:w="1570" w:type="dxa"/>
          </w:tcPr>
          <w:p w:rsidR="007C5447" w:rsidRDefault="00F6308C">
            <w:pPr>
              <w:pStyle w:val="TableParagraph"/>
              <w:spacing w:before="34"/>
              <w:ind w:right="95"/>
              <w:rPr>
                <w:sz w:val="20"/>
              </w:rPr>
            </w:pPr>
            <w:r>
              <w:rPr>
                <w:w w:val="95"/>
                <w:sz w:val="20"/>
              </w:rPr>
              <w:t>344.00</w:t>
            </w:r>
          </w:p>
        </w:tc>
        <w:tc>
          <w:tcPr>
            <w:tcW w:w="1519" w:type="dxa"/>
          </w:tcPr>
          <w:p w:rsidR="007C5447" w:rsidRDefault="00F6308C">
            <w:pPr>
              <w:pStyle w:val="TableParagraph"/>
              <w:spacing w:before="34"/>
              <w:ind w:right="92"/>
              <w:rPr>
                <w:sz w:val="20"/>
              </w:rPr>
            </w:pPr>
            <w:r>
              <w:rPr>
                <w:w w:val="95"/>
                <w:sz w:val="20"/>
              </w:rPr>
              <w:t>431.00</w:t>
            </w:r>
          </w:p>
        </w:tc>
        <w:tc>
          <w:tcPr>
            <w:tcW w:w="1567" w:type="dxa"/>
          </w:tcPr>
          <w:p w:rsidR="007C5447" w:rsidRDefault="00F6308C">
            <w:pPr>
              <w:pStyle w:val="TableParagraph"/>
              <w:spacing w:before="34"/>
              <w:ind w:right="94"/>
              <w:rPr>
                <w:sz w:val="20"/>
              </w:rPr>
            </w:pPr>
            <w:r>
              <w:rPr>
                <w:sz w:val="20"/>
              </w:rPr>
              <w:t>2.57</w:t>
            </w:r>
          </w:p>
        </w:tc>
        <w:tc>
          <w:tcPr>
            <w:tcW w:w="1568" w:type="dxa"/>
          </w:tcPr>
          <w:p w:rsidR="007C5447" w:rsidRDefault="00F6308C">
            <w:pPr>
              <w:pStyle w:val="TableParagraph"/>
              <w:spacing w:before="34"/>
              <w:ind w:right="92"/>
              <w:rPr>
                <w:sz w:val="20"/>
              </w:rPr>
            </w:pPr>
            <w:r>
              <w:rPr>
                <w:w w:val="95"/>
                <w:sz w:val="20"/>
              </w:rPr>
              <w:t>773.83</w:t>
            </w:r>
          </w:p>
        </w:tc>
        <w:tc>
          <w:tcPr>
            <w:tcW w:w="1625" w:type="dxa"/>
          </w:tcPr>
          <w:p w:rsidR="007C5447" w:rsidRDefault="00F6308C">
            <w:pPr>
              <w:pStyle w:val="TableParagraph"/>
              <w:spacing w:before="34"/>
              <w:ind w:right="92"/>
              <w:rPr>
                <w:sz w:val="20"/>
              </w:rPr>
            </w:pPr>
            <w:r>
              <w:rPr>
                <w:sz w:val="20"/>
              </w:rPr>
              <w:t>4.61</w:t>
            </w:r>
          </w:p>
        </w:tc>
      </w:tr>
      <w:tr w:rsidR="007C5447">
        <w:trPr>
          <w:trHeight w:val="299"/>
        </w:trPr>
        <w:tc>
          <w:tcPr>
            <w:tcW w:w="4760" w:type="dxa"/>
            <w:tcBorders>
              <w:left w:val="single" w:sz="8" w:space="0" w:color="000000"/>
            </w:tcBorders>
          </w:tcPr>
          <w:p w:rsidR="007C5447" w:rsidRDefault="00F6308C">
            <w:pPr>
              <w:pStyle w:val="TableParagraph"/>
              <w:spacing w:before="36"/>
              <w:ind w:left="107"/>
              <w:jc w:val="left"/>
              <w:rPr>
                <w:sz w:val="20"/>
              </w:rPr>
            </w:pPr>
            <w:r>
              <w:rPr>
                <w:sz w:val="20"/>
              </w:rPr>
              <w:t>LANCO Power (Aban co)</w:t>
            </w:r>
          </w:p>
        </w:tc>
        <w:tc>
          <w:tcPr>
            <w:tcW w:w="1567" w:type="dxa"/>
          </w:tcPr>
          <w:p w:rsidR="007C5447" w:rsidRDefault="00F6308C">
            <w:pPr>
              <w:pStyle w:val="TableParagraph"/>
              <w:spacing w:before="36"/>
              <w:ind w:right="93"/>
              <w:rPr>
                <w:sz w:val="20"/>
              </w:rPr>
            </w:pPr>
            <w:r>
              <w:rPr>
                <w:w w:val="95"/>
                <w:sz w:val="20"/>
              </w:rPr>
              <w:t>561.00</w:t>
            </w:r>
          </w:p>
        </w:tc>
        <w:tc>
          <w:tcPr>
            <w:tcW w:w="1570" w:type="dxa"/>
          </w:tcPr>
          <w:p w:rsidR="007C5447" w:rsidRDefault="00F6308C">
            <w:pPr>
              <w:pStyle w:val="TableParagraph"/>
              <w:spacing w:before="36"/>
              <w:ind w:right="95"/>
              <w:rPr>
                <w:sz w:val="20"/>
              </w:rPr>
            </w:pPr>
            <w:r>
              <w:rPr>
                <w:w w:val="95"/>
                <w:sz w:val="20"/>
              </w:rPr>
              <w:t>66.00</w:t>
            </w:r>
          </w:p>
        </w:tc>
        <w:tc>
          <w:tcPr>
            <w:tcW w:w="1519" w:type="dxa"/>
          </w:tcPr>
          <w:p w:rsidR="007C5447" w:rsidRDefault="00F6308C">
            <w:pPr>
              <w:pStyle w:val="TableParagraph"/>
              <w:spacing w:before="36"/>
              <w:ind w:right="92"/>
              <w:rPr>
                <w:sz w:val="20"/>
              </w:rPr>
            </w:pPr>
            <w:r>
              <w:rPr>
                <w:w w:val="95"/>
                <w:sz w:val="20"/>
              </w:rPr>
              <w:t>141.00</w:t>
            </w:r>
          </w:p>
        </w:tc>
        <w:tc>
          <w:tcPr>
            <w:tcW w:w="1567" w:type="dxa"/>
          </w:tcPr>
          <w:p w:rsidR="007C5447" w:rsidRDefault="00F6308C">
            <w:pPr>
              <w:pStyle w:val="TableParagraph"/>
              <w:spacing w:before="36"/>
              <w:ind w:right="94"/>
              <w:rPr>
                <w:sz w:val="20"/>
              </w:rPr>
            </w:pPr>
            <w:r>
              <w:rPr>
                <w:sz w:val="20"/>
              </w:rPr>
              <w:t>2.51</w:t>
            </w:r>
          </w:p>
        </w:tc>
        <w:tc>
          <w:tcPr>
            <w:tcW w:w="1568" w:type="dxa"/>
          </w:tcPr>
          <w:p w:rsidR="007C5447" w:rsidRDefault="00F6308C">
            <w:pPr>
              <w:pStyle w:val="TableParagraph"/>
              <w:spacing w:before="36"/>
              <w:ind w:right="92"/>
              <w:rPr>
                <w:sz w:val="20"/>
              </w:rPr>
            </w:pPr>
            <w:r>
              <w:rPr>
                <w:w w:val="95"/>
                <w:sz w:val="20"/>
              </w:rPr>
              <w:t>207.02</w:t>
            </w:r>
          </w:p>
        </w:tc>
        <w:tc>
          <w:tcPr>
            <w:tcW w:w="1625" w:type="dxa"/>
          </w:tcPr>
          <w:p w:rsidR="007C5447" w:rsidRDefault="00F6308C">
            <w:pPr>
              <w:pStyle w:val="TableParagraph"/>
              <w:spacing w:before="36"/>
              <w:ind w:right="92"/>
              <w:rPr>
                <w:sz w:val="20"/>
              </w:rPr>
            </w:pPr>
            <w:r>
              <w:rPr>
                <w:sz w:val="20"/>
              </w:rPr>
              <w:t>3.69</w:t>
            </w:r>
          </w:p>
        </w:tc>
      </w:tr>
      <w:tr w:rsidR="007C5447">
        <w:trPr>
          <w:trHeight w:val="299"/>
        </w:trPr>
        <w:tc>
          <w:tcPr>
            <w:tcW w:w="4760" w:type="dxa"/>
            <w:tcBorders>
              <w:left w:val="single" w:sz="8" w:space="0" w:color="000000"/>
            </w:tcBorders>
          </w:tcPr>
          <w:p w:rsidR="007C5447" w:rsidRDefault="00F6308C">
            <w:pPr>
              <w:pStyle w:val="TableParagraph"/>
              <w:spacing w:before="36"/>
              <w:ind w:left="107"/>
              <w:jc w:val="left"/>
              <w:rPr>
                <w:sz w:val="20"/>
              </w:rPr>
            </w:pPr>
            <w:r>
              <w:rPr>
                <w:sz w:val="20"/>
              </w:rPr>
              <w:t>Penna</w:t>
            </w:r>
          </w:p>
        </w:tc>
        <w:tc>
          <w:tcPr>
            <w:tcW w:w="1567" w:type="dxa"/>
          </w:tcPr>
          <w:p w:rsidR="007C5447" w:rsidRDefault="00F6308C">
            <w:pPr>
              <w:pStyle w:val="TableParagraph"/>
              <w:spacing w:before="36"/>
              <w:ind w:right="93"/>
              <w:rPr>
                <w:sz w:val="20"/>
              </w:rPr>
            </w:pPr>
            <w:r>
              <w:rPr>
                <w:w w:val="95"/>
                <w:sz w:val="20"/>
              </w:rPr>
              <w:t>378.00</w:t>
            </w:r>
          </w:p>
        </w:tc>
        <w:tc>
          <w:tcPr>
            <w:tcW w:w="1570" w:type="dxa"/>
          </w:tcPr>
          <w:p w:rsidR="007C5447" w:rsidRDefault="00F6308C">
            <w:pPr>
              <w:pStyle w:val="TableParagraph"/>
              <w:spacing w:before="36"/>
              <w:ind w:right="95"/>
              <w:rPr>
                <w:sz w:val="20"/>
              </w:rPr>
            </w:pPr>
            <w:r>
              <w:rPr>
                <w:w w:val="95"/>
                <w:sz w:val="20"/>
              </w:rPr>
              <w:t>43.00</w:t>
            </w:r>
          </w:p>
        </w:tc>
        <w:tc>
          <w:tcPr>
            <w:tcW w:w="1519" w:type="dxa"/>
          </w:tcPr>
          <w:p w:rsidR="007C5447" w:rsidRDefault="00F6308C">
            <w:pPr>
              <w:pStyle w:val="TableParagraph"/>
              <w:spacing w:before="36"/>
              <w:ind w:right="92"/>
              <w:rPr>
                <w:sz w:val="20"/>
              </w:rPr>
            </w:pPr>
            <w:r>
              <w:rPr>
                <w:w w:val="95"/>
                <w:sz w:val="20"/>
              </w:rPr>
              <w:t>97.00</w:t>
            </w:r>
          </w:p>
        </w:tc>
        <w:tc>
          <w:tcPr>
            <w:tcW w:w="1567" w:type="dxa"/>
          </w:tcPr>
          <w:p w:rsidR="007C5447" w:rsidRDefault="00F6308C">
            <w:pPr>
              <w:pStyle w:val="TableParagraph"/>
              <w:spacing w:before="36"/>
              <w:ind w:right="94"/>
              <w:rPr>
                <w:sz w:val="20"/>
              </w:rPr>
            </w:pPr>
            <w:r>
              <w:rPr>
                <w:sz w:val="20"/>
              </w:rPr>
              <w:t>2.57</w:t>
            </w:r>
          </w:p>
        </w:tc>
        <w:tc>
          <w:tcPr>
            <w:tcW w:w="1568" w:type="dxa"/>
          </w:tcPr>
          <w:p w:rsidR="007C5447" w:rsidRDefault="00F6308C">
            <w:pPr>
              <w:pStyle w:val="TableParagraph"/>
              <w:spacing w:before="36"/>
              <w:ind w:right="92"/>
              <w:rPr>
                <w:sz w:val="20"/>
              </w:rPr>
            </w:pPr>
            <w:r>
              <w:rPr>
                <w:w w:val="95"/>
                <w:sz w:val="20"/>
              </w:rPr>
              <w:t>137.64</w:t>
            </w:r>
          </w:p>
        </w:tc>
        <w:tc>
          <w:tcPr>
            <w:tcW w:w="1625" w:type="dxa"/>
          </w:tcPr>
          <w:p w:rsidR="007C5447" w:rsidRDefault="00F6308C">
            <w:pPr>
              <w:pStyle w:val="TableParagraph"/>
              <w:spacing w:before="36"/>
              <w:ind w:right="92"/>
              <w:rPr>
                <w:sz w:val="20"/>
              </w:rPr>
            </w:pPr>
            <w:r>
              <w:rPr>
                <w:sz w:val="20"/>
              </w:rPr>
              <w:t>3.64</w:t>
            </w:r>
          </w:p>
        </w:tc>
      </w:tr>
      <w:tr w:rsidR="007C5447">
        <w:trPr>
          <w:trHeight w:val="330"/>
        </w:trPr>
        <w:tc>
          <w:tcPr>
            <w:tcW w:w="4760" w:type="dxa"/>
            <w:tcBorders>
              <w:left w:val="single" w:sz="8" w:space="0" w:color="000000"/>
            </w:tcBorders>
          </w:tcPr>
          <w:p w:rsidR="007C5447" w:rsidRDefault="00F6308C">
            <w:pPr>
              <w:pStyle w:val="TableParagraph"/>
              <w:spacing w:before="50"/>
              <w:ind w:left="107"/>
              <w:jc w:val="left"/>
              <w:rPr>
                <w:b/>
                <w:sz w:val="20"/>
              </w:rPr>
            </w:pPr>
            <w:r>
              <w:rPr>
                <w:b/>
                <w:sz w:val="20"/>
              </w:rPr>
              <w:t>Total IPP</w:t>
            </w:r>
          </w:p>
        </w:tc>
        <w:tc>
          <w:tcPr>
            <w:tcW w:w="1567" w:type="dxa"/>
          </w:tcPr>
          <w:p w:rsidR="007C5447" w:rsidRDefault="00F6308C">
            <w:pPr>
              <w:pStyle w:val="TableParagraph"/>
              <w:spacing w:before="50"/>
              <w:ind w:right="91"/>
              <w:rPr>
                <w:b/>
                <w:sz w:val="20"/>
              </w:rPr>
            </w:pPr>
            <w:r>
              <w:rPr>
                <w:b/>
                <w:w w:val="95"/>
                <w:sz w:val="20"/>
              </w:rPr>
              <w:t>2,617.00</w:t>
            </w:r>
          </w:p>
        </w:tc>
        <w:tc>
          <w:tcPr>
            <w:tcW w:w="1570" w:type="dxa"/>
          </w:tcPr>
          <w:p w:rsidR="007C5447" w:rsidRDefault="00F6308C">
            <w:pPr>
              <w:pStyle w:val="TableParagraph"/>
              <w:spacing w:before="50"/>
              <w:ind w:right="95"/>
              <w:rPr>
                <w:b/>
                <w:sz w:val="20"/>
              </w:rPr>
            </w:pPr>
            <w:r>
              <w:rPr>
                <w:b/>
                <w:w w:val="95"/>
                <w:sz w:val="20"/>
              </w:rPr>
              <w:t>908.00</w:t>
            </w:r>
          </w:p>
        </w:tc>
        <w:tc>
          <w:tcPr>
            <w:tcW w:w="1519" w:type="dxa"/>
          </w:tcPr>
          <w:p w:rsidR="007C5447" w:rsidRDefault="00F6308C">
            <w:pPr>
              <w:pStyle w:val="TableParagraph"/>
              <w:spacing w:before="50"/>
              <w:ind w:right="92"/>
              <w:rPr>
                <w:b/>
                <w:sz w:val="20"/>
              </w:rPr>
            </w:pPr>
            <w:r>
              <w:rPr>
                <w:b/>
                <w:w w:val="95"/>
                <w:sz w:val="20"/>
              </w:rPr>
              <w:t>669.00</w:t>
            </w: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50"/>
              <w:ind w:right="90"/>
              <w:rPr>
                <w:b/>
                <w:sz w:val="20"/>
              </w:rPr>
            </w:pPr>
            <w:r>
              <w:rPr>
                <w:b/>
                <w:w w:val="95"/>
                <w:sz w:val="20"/>
              </w:rPr>
              <w:t>1,580.90</w:t>
            </w:r>
          </w:p>
        </w:tc>
        <w:tc>
          <w:tcPr>
            <w:tcW w:w="1625" w:type="dxa"/>
          </w:tcPr>
          <w:p w:rsidR="007C5447" w:rsidRDefault="00F6308C">
            <w:pPr>
              <w:pStyle w:val="TableParagraph"/>
              <w:spacing w:before="50"/>
              <w:ind w:right="92"/>
              <w:rPr>
                <w:b/>
                <w:sz w:val="20"/>
              </w:rPr>
            </w:pPr>
            <w:r>
              <w:rPr>
                <w:b/>
                <w:sz w:val="20"/>
              </w:rPr>
              <w:t>6.04</w:t>
            </w:r>
          </w:p>
        </w:tc>
      </w:tr>
      <w:tr w:rsidR="007C5447">
        <w:trPr>
          <w:trHeight w:val="330"/>
        </w:trPr>
        <w:tc>
          <w:tcPr>
            <w:tcW w:w="4760" w:type="dxa"/>
            <w:tcBorders>
              <w:left w:val="single" w:sz="8" w:space="0" w:color="000000"/>
            </w:tcBorders>
          </w:tcPr>
          <w:p w:rsidR="007C5447" w:rsidRDefault="00F6308C">
            <w:pPr>
              <w:pStyle w:val="TableParagraph"/>
              <w:spacing w:before="50"/>
              <w:ind w:left="107"/>
              <w:jc w:val="left"/>
              <w:rPr>
                <w:b/>
                <w:sz w:val="20"/>
              </w:rPr>
            </w:pPr>
            <w:r>
              <w:rPr>
                <w:b/>
                <w:sz w:val="20"/>
              </w:rPr>
              <w:t>Renewables</w:t>
            </w:r>
          </w:p>
        </w:tc>
        <w:tc>
          <w:tcPr>
            <w:tcW w:w="1567" w:type="dxa"/>
          </w:tcPr>
          <w:p w:rsidR="007C5447" w:rsidRDefault="007C5447">
            <w:pPr>
              <w:pStyle w:val="TableParagraph"/>
              <w:jc w:val="left"/>
              <w:rPr>
                <w:sz w:val="20"/>
              </w:rPr>
            </w:pP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7C5447">
            <w:pPr>
              <w:pStyle w:val="TableParagraph"/>
              <w:jc w:val="left"/>
              <w:rPr>
                <w:sz w:val="20"/>
              </w:rPr>
            </w:pPr>
          </w:p>
        </w:tc>
        <w:tc>
          <w:tcPr>
            <w:tcW w:w="1625" w:type="dxa"/>
          </w:tcPr>
          <w:p w:rsidR="007C5447" w:rsidRDefault="007C5447">
            <w:pPr>
              <w:pStyle w:val="TableParagraph"/>
              <w:jc w:val="left"/>
              <w:rPr>
                <w:sz w:val="20"/>
              </w:rPr>
            </w:pPr>
          </w:p>
        </w:tc>
      </w:tr>
      <w:tr w:rsidR="007C5447">
        <w:trPr>
          <w:trHeight w:val="300"/>
        </w:trPr>
        <w:tc>
          <w:tcPr>
            <w:tcW w:w="4760" w:type="dxa"/>
            <w:tcBorders>
              <w:left w:val="single" w:sz="8" w:space="0" w:color="000000"/>
            </w:tcBorders>
          </w:tcPr>
          <w:p w:rsidR="007C5447" w:rsidRDefault="00F6308C">
            <w:pPr>
              <w:pStyle w:val="TableParagraph"/>
              <w:spacing w:before="34"/>
              <w:ind w:left="107"/>
              <w:jc w:val="left"/>
              <w:rPr>
                <w:sz w:val="20"/>
              </w:rPr>
            </w:pPr>
            <w:r>
              <w:rPr>
                <w:sz w:val="20"/>
              </w:rPr>
              <w:t>Wind</w:t>
            </w:r>
          </w:p>
        </w:tc>
        <w:tc>
          <w:tcPr>
            <w:tcW w:w="1567" w:type="dxa"/>
          </w:tcPr>
          <w:p w:rsidR="007C5447" w:rsidRDefault="00F6308C">
            <w:pPr>
              <w:pStyle w:val="TableParagraph"/>
              <w:spacing w:before="34"/>
              <w:ind w:right="91"/>
              <w:rPr>
                <w:sz w:val="20"/>
              </w:rPr>
            </w:pPr>
            <w:r>
              <w:rPr>
                <w:w w:val="95"/>
                <w:sz w:val="20"/>
              </w:rPr>
              <w:t>3,963.00</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34"/>
              <w:ind w:right="90"/>
              <w:rPr>
                <w:sz w:val="20"/>
              </w:rPr>
            </w:pPr>
            <w:r>
              <w:rPr>
                <w:w w:val="95"/>
                <w:sz w:val="20"/>
              </w:rPr>
              <w:t>1,303.00</w:t>
            </w:r>
          </w:p>
        </w:tc>
        <w:tc>
          <w:tcPr>
            <w:tcW w:w="1625" w:type="dxa"/>
          </w:tcPr>
          <w:p w:rsidR="007C5447" w:rsidRDefault="00F6308C">
            <w:pPr>
              <w:pStyle w:val="TableParagraph"/>
              <w:spacing w:before="34"/>
              <w:ind w:right="92"/>
              <w:rPr>
                <w:sz w:val="20"/>
              </w:rPr>
            </w:pPr>
            <w:r>
              <w:rPr>
                <w:sz w:val="20"/>
              </w:rPr>
              <w:t>3.29</w:t>
            </w:r>
          </w:p>
        </w:tc>
      </w:tr>
      <w:tr w:rsidR="007C5447">
        <w:trPr>
          <w:trHeight w:val="299"/>
        </w:trPr>
        <w:tc>
          <w:tcPr>
            <w:tcW w:w="4760" w:type="dxa"/>
            <w:tcBorders>
              <w:left w:val="single" w:sz="8" w:space="0" w:color="000000"/>
            </w:tcBorders>
          </w:tcPr>
          <w:p w:rsidR="007C5447" w:rsidRDefault="00F6308C">
            <w:pPr>
              <w:pStyle w:val="TableParagraph"/>
              <w:spacing w:before="34"/>
              <w:ind w:left="107"/>
              <w:jc w:val="left"/>
              <w:rPr>
                <w:sz w:val="20"/>
              </w:rPr>
            </w:pPr>
            <w:r>
              <w:rPr>
                <w:sz w:val="20"/>
              </w:rPr>
              <w:t>Biomass</w:t>
            </w:r>
          </w:p>
        </w:tc>
        <w:tc>
          <w:tcPr>
            <w:tcW w:w="1567" w:type="dxa"/>
          </w:tcPr>
          <w:p w:rsidR="007C5447" w:rsidRDefault="00F6308C">
            <w:pPr>
              <w:pStyle w:val="TableParagraph"/>
              <w:spacing w:before="34"/>
              <w:ind w:right="92"/>
              <w:rPr>
                <w:sz w:val="20"/>
              </w:rPr>
            </w:pPr>
            <w:r>
              <w:rPr>
                <w:w w:val="95"/>
                <w:sz w:val="20"/>
              </w:rPr>
              <w:t>18.00</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34"/>
              <w:ind w:right="92"/>
              <w:rPr>
                <w:sz w:val="20"/>
              </w:rPr>
            </w:pPr>
            <w:r>
              <w:rPr>
                <w:sz w:val="20"/>
              </w:rPr>
              <w:t>7.00</w:t>
            </w:r>
          </w:p>
        </w:tc>
        <w:tc>
          <w:tcPr>
            <w:tcW w:w="1625" w:type="dxa"/>
          </w:tcPr>
          <w:p w:rsidR="007C5447" w:rsidRDefault="00F6308C">
            <w:pPr>
              <w:pStyle w:val="TableParagraph"/>
              <w:spacing w:before="34"/>
              <w:ind w:right="92"/>
              <w:rPr>
                <w:sz w:val="20"/>
              </w:rPr>
            </w:pPr>
            <w:r>
              <w:rPr>
                <w:sz w:val="20"/>
              </w:rPr>
              <w:t>3.89</w:t>
            </w:r>
          </w:p>
        </w:tc>
      </w:tr>
      <w:tr w:rsidR="007C5447">
        <w:trPr>
          <w:trHeight w:val="299"/>
        </w:trPr>
        <w:tc>
          <w:tcPr>
            <w:tcW w:w="4760" w:type="dxa"/>
            <w:tcBorders>
              <w:left w:val="single" w:sz="8" w:space="0" w:color="000000"/>
            </w:tcBorders>
          </w:tcPr>
          <w:p w:rsidR="007C5447" w:rsidRDefault="00F6308C">
            <w:pPr>
              <w:pStyle w:val="TableParagraph"/>
              <w:spacing w:before="36"/>
              <w:ind w:left="107"/>
              <w:jc w:val="left"/>
              <w:rPr>
                <w:sz w:val="20"/>
              </w:rPr>
            </w:pPr>
            <w:r>
              <w:rPr>
                <w:sz w:val="20"/>
              </w:rPr>
              <w:t>Cogeneration</w:t>
            </w:r>
          </w:p>
        </w:tc>
        <w:tc>
          <w:tcPr>
            <w:tcW w:w="1567" w:type="dxa"/>
          </w:tcPr>
          <w:p w:rsidR="007C5447" w:rsidRDefault="00F6308C">
            <w:pPr>
              <w:pStyle w:val="TableParagraph"/>
              <w:spacing w:before="36"/>
              <w:ind w:right="91"/>
              <w:rPr>
                <w:sz w:val="20"/>
              </w:rPr>
            </w:pPr>
            <w:r>
              <w:rPr>
                <w:w w:val="95"/>
                <w:sz w:val="20"/>
              </w:rPr>
              <w:t>1,508.00</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36"/>
              <w:ind w:right="92"/>
              <w:rPr>
                <w:sz w:val="20"/>
              </w:rPr>
            </w:pPr>
            <w:r>
              <w:rPr>
                <w:w w:val="95"/>
                <w:sz w:val="20"/>
              </w:rPr>
              <w:t>779.00</w:t>
            </w:r>
          </w:p>
        </w:tc>
        <w:tc>
          <w:tcPr>
            <w:tcW w:w="1625" w:type="dxa"/>
          </w:tcPr>
          <w:p w:rsidR="007C5447" w:rsidRDefault="00F6308C">
            <w:pPr>
              <w:pStyle w:val="TableParagraph"/>
              <w:spacing w:before="36"/>
              <w:ind w:right="92"/>
              <w:rPr>
                <w:sz w:val="20"/>
              </w:rPr>
            </w:pPr>
            <w:r>
              <w:rPr>
                <w:sz w:val="20"/>
              </w:rPr>
              <w:t>5.17</w:t>
            </w:r>
          </w:p>
        </w:tc>
      </w:tr>
      <w:tr w:rsidR="007C5447">
        <w:trPr>
          <w:trHeight w:val="299"/>
        </w:trPr>
        <w:tc>
          <w:tcPr>
            <w:tcW w:w="4760" w:type="dxa"/>
            <w:tcBorders>
              <w:left w:val="single" w:sz="8" w:space="0" w:color="000000"/>
            </w:tcBorders>
          </w:tcPr>
          <w:p w:rsidR="007C5447" w:rsidRDefault="00F6308C">
            <w:pPr>
              <w:pStyle w:val="TableParagraph"/>
              <w:spacing w:before="36"/>
              <w:ind w:left="107"/>
              <w:jc w:val="left"/>
              <w:rPr>
                <w:sz w:val="20"/>
              </w:rPr>
            </w:pPr>
            <w:r>
              <w:rPr>
                <w:sz w:val="20"/>
              </w:rPr>
              <w:t>Captive</w:t>
            </w:r>
          </w:p>
        </w:tc>
        <w:tc>
          <w:tcPr>
            <w:tcW w:w="1567" w:type="dxa"/>
          </w:tcPr>
          <w:p w:rsidR="007C5447" w:rsidRDefault="00F6308C">
            <w:pPr>
              <w:pStyle w:val="TableParagraph"/>
              <w:spacing w:before="36"/>
              <w:ind w:right="91"/>
              <w:rPr>
                <w:sz w:val="20"/>
              </w:rPr>
            </w:pPr>
            <w:r>
              <w:rPr>
                <w:w w:val="95"/>
                <w:sz w:val="20"/>
              </w:rPr>
              <w:t>2,972.00</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36"/>
              <w:ind w:right="90"/>
              <w:rPr>
                <w:sz w:val="20"/>
              </w:rPr>
            </w:pPr>
            <w:r>
              <w:rPr>
                <w:w w:val="95"/>
                <w:sz w:val="20"/>
              </w:rPr>
              <w:t>1,432.00</w:t>
            </w:r>
          </w:p>
        </w:tc>
        <w:tc>
          <w:tcPr>
            <w:tcW w:w="1625" w:type="dxa"/>
          </w:tcPr>
          <w:p w:rsidR="007C5447" w:rsidRDefault="00F6308C">
            <w:pPr>
              <w:pStyle w:val="TableParagraph"/>
              <w:spacing w:before="36"/>
              <w:ind w:right="92"/>
              <w:rPr>
                <w:sz w:val="20"/>
              </w:rPr>
            </w:pPr>
            <w:r>
              <w:rPr>
                <w:sz w:val="20"/>
              </w:rPr>
              <w:t>4.82</w:t>
            </w:r>
          </w:p>
        </w:tc>
      </w:tr>
    </w:tbl>
    <w:p w:rsidR="007C5447" w:rsidRDefault="007C5447">
      <w:pPr>
        <w:rPr>
          <w:sz w:val="20"/>
        </w:rPr>
        <w:sectPr w:rsidR="007C5447">
          <w:pgSz w:w="16840" w:h="11910" w:orient="landscape"/>
          <w:pgMar w:top="1100" w:right="1220" w:bottom="960" w:left="1220" w:header="0" w:footer="777" w:gutter="0"/>
          <w:cols w:space="720"/>
        </w:sectPr>
      </w:pPr>
    </w:p>
    <w:p w:rsidR="007C5447" w:rsidRDefault="007C5447">
      <w:pPr>
        <w:pStyle w:val="BodyText"/>
        <w:spacing w:before="3"/>
        <w:rPr>
          <w:sz w:val="2"/>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60"/>
        <w:gridCol w:w="1567"/>
        <w:gridCol w:w="1570"/>
        <w:gridCol w:w="1519"/>
        <w:gridCol w:w="1567"/>
        <w:gridCol w:w="1568"/>
        <w:gridCol w:w="1625"/>
      </w:tblGrid>
      <w:tr w:rsidR="007C5447">
        <w:trPr>
          <w:trHeight w:val="331"/>
        </w:trPr>
        <w:tc>
          <w:tcPr>
            <w:tcW w:w="4760" w:type="dxa"/>
            <w:vMerge w:val="restart"/>
            <w:shd w:val="clear" w:color="auto" w:fill="FBD4B4"/>
          </w:tcPr>
          <w:p w:rsidR="007C5447" w:rsidRDefault="007C5447">
            <w:pPr>
              <w:pStyle w:val="TableParagraph"/>
              <w:jc w:val="left"/>
            </w:pPr>
          </w:p>
          <w:p w:rsidR="007C5447" w:rsidRDefault="00F6308C">
            <w:pPr>
              <w:pStyle w:val="TableParagraph"/>
              <w:spacing w:before="163"/>
              <w:ind w:left="1737" w:right="1719"/>
              <w:jc w:val="center"/>
              <w:rPr>
                <w:b/>
                <w:sz w:val="20"/>
              </w:rPr>
            </w:pPr>
            <w:r>
              <w:rPr>
                <w:b/>
                <w:sz w:val="20"/>
              </w:rPr>
              <w:t>Source</w:t>
            </w:r>
          </w:p>
        </w:tc>
        <w:tc>
          <w:tcPr>
            <w:tcW w:w="9416" w:type="dxa"/>
            <w:gridSpan w:val="6"/>
            <w:shd w:val="clear" w:color="auto" w:fill="FBD4B4"/>
          </w:tcPr>
          <w:p w:rsidR="007C5447" w:rsidRDefault="00F6308C">
            <w:pPr>
              <w:pStyle w:val="TableParagraph"/>
              <w:spacing w:before="87" w:line="224" w:lineRule="exact"/>
              <w:ind w:left="4196" w:right="4177"/>
              <w:jc w:val="center"/>
              <w:rPr>
                <w:b/>
                <w:sz w:val="20"/>
              </w:rPr>
            </w:pPr>
            <w:r>
              <w:rPr>
                <w:b/>
                <w:sz w:val="20"/>
              </w:rPr>
              <w:t>FY 2014-15</w:t>
            </w:r>
          </w:p>
        </w:tc>
      </w:tr>
      <w:tr w:rsidR="007C5447">
        <w:trPr>
          <w:trHeight w:val="719"/>
        </w:trPr>
        <w:tc>
          <w:tcPr>
            <w:tcW w:w="4760" w:type="dxa"/>
            <w:vMerge/>
            <w:tcBorders>
              <w:top w:val="nil"/>
            </w:tcBorders>
            <w:shd w:val="clear" w:color="auto" w:fill="FBD4B4"/>
          </w:tcPr>
          <w:p w:rsidR="007C5447" w:rsidRDefault="007C5447">
            <w:pPr>
              <w:rPr>
                <w:sz w:val="2"/>
                <w:szCs w:val="2"/>
              </w:rPr>
            </w:pPr>
          </w:p>
        </w:tc>
        <w:tc>
          <w:tcPr>
            <w:tcW w:w="1567" w:type="dxa"/>
            <w:shd w:val="clear" w:color="auto" w:fill="FBD4B4"/>
          </w:tcPr>
          <w:p w:rsidR="007C5447" w:rsidRDefault="007C5447">
            <w:pPr>
              <w:pStyle w:val="TableParagraph"/>
              <w:spacing w:before="3"/>
              <w:jc w:val="left"/>
              <w:rPr>
                <w:sz w:val="21"/>
              </w:rPr>
            </w:pPr>
          </w:p>
          <w:p w:rsidR="007C5447" w:rsidRDefault="00F6308C">
            <w:pPr>
              <w:pStyle w:val="TableParagraph"/>
              <w:ind w:right="98"/>
              <w:rPr>
                <w:b/>
                <w:sz w:val="20"/>
              </w:rPr>
            </w:pPr>
            <w:r>
              <w:rPr>
                <w:b/>
                <w:sz w:val="20"/>
              </w:rPr>
              <w:t>Quantum (MU)</w:t>
            </w:r>
          </w:p>
        </w:tc>
        <w:tc>
          <w:tcPr>
            <w:tcW w:w="1570" w:type="dxa"/>
            <w:shd w:val="clear" w:color="auto" w:fill="FBD4B4"/>
          </w:tcPr>
          <w:p w:rsidR="007C5447" w:rsidRDefault="00F6308C">
            <w:pPr>
              <w:pStyle w:val="TableParagraph"/>
              <w:spacing w:before="130"/>
              <w:ind w:left="444" w:hanging="276"/>
              <w:jc w:val="left"/>
              <w:rPr>
                <w:b/>
                <w:sz w:val="20"/>
              </w:rPr>
            </w:pPr>
            <w:r>
              <w:rPr>
                <w:b/>
                <w:sz w:val="20"/>
              </w:rPr>
              <w:t>Fixed Charges (Rs. Cr.)</w:t>
            </w:r>
          </w:p>
        </w:tc>
        <w:tc>
          <w:tcPr>
            <w:tcW w:w="1519" w:type="dxa"/>
            <w:shd w:val="clear" w:color="auto" w:fill="FBD4B4"/>
          </w:tcPr>
          <w:p w:rsidR="007C5447" w:rsidRDefault="00F6308C">
            <w:pPr>
              <w:pStyle w:val="TableParagraph"/>
              <w:spacing w:before="14" w:line="230" w:lineRule="atLeast"/>
              <w:ind w:left="280" w:right="260"/>
              <w:jc w:val="center"/>
              <w:rPr>
                <w:b/>
                <w:sz w:val="20"/>
              </w:rPr>
            </w:pPr>
            <w:r>
              <w:rPr>
                <w:b/>
                <w:sz w:val="20"/>
              </w:rPr>
              <w:t>Energy Charge (Rs. Crore)</w:t>
            </w:r>
          </w:p>
        </w:tc>
        <w:tc>
          <w:tcPr>
            <w:tcW w:w="1567" w:type="dxa"/>
            <w:shd w:val="clear" w:color="auto" w:fill="FBD4B4"/>
          </w:tcPr>
          <w:p w:rsidR="007C5447" w:rsidRDefault="00F6308C">
            <w:pPr>
              <w:pStyle w:val="TableParagraph"/>
              <w:spacing w:before="130"/>
              <w:ind w:left="365" w:right="99" w:hanging="233"/>
              <w:jc w:val="left"/>
              <w:rPr>
                <w:b/>
                <w:sz w:val="20"/>
              </w:rPr>
            </w:pPr>
            <w:r>
              <w:rPr>
                <w:b/>
                <w:sz w:val="20"/>
              </w:rPr>
              <w:t>Energy Charge (Rs./Unit)</w:t>
            </w:r>
          </w:p>
        </w:tc>
        <w:tc>
          <w:tcPr>
            <w:tcW w:w="1568" w:type="dxa"/>
            <w:shd w:val="clear" w:color="auto" w:fill="FBD4B4"/>
          </w:tcPr>
          <w:p w:rsidR="007C5447" w:rsidRDefault="00F6308C">
            <w:pPr>
              <w:pStyle w:val="TableParagraph"/>
              <w:spacing w:before="130"/>
              <w:ind w:left="445" w:right="302" w:hanging="104"/>
              <w:jc w:val="left"/>
              <w:rPr>
                <w:b/>
                <w:sz w:val="20"/>
              </w:rPr>
            </w:pPr>
            <w:r>
              <w:rPr>
                <w:b/>
                <w:sz w:val="20"/>
              </w:rPr>
              <w:t>Total Cost (Rs. Cr)</w:t>
            </w:r>
          </w:p>
        </w:tc>
        <w:tc>
          <w:tcPr>
            <w:tcW w:w="1625" w:type="dxa"/>
            <w:shd w:val="clear" w:color="auto" w:fill="FBD4B4"/>
          </w:tcPr>
          <w:p w:rsidR="007C5447" w:rsidRDefault="007C5447">
            <w:pPr>
              <w:pStyle w:val="TableParagraph"/>
              <w:spacing w:before="3"/>
              <w:jc w:val="left"/>
              <w:rPr>
                <w:sz w:val="21"/>
              </w:rPr>
            </w:pPr>
          </w:p>
          <w:p w:rsidR="007C5447" w:rsidRDefault="00F6308C">
            <w:pPr>
              <w:pStyle w:val="TableParagraph"/>
              <w:ind w:right="157"/>
              <w:rPr>
                <w:b/>
                <w:sz w:val="20"/>
              </w:rPr>
            </w:pPr>
            <w:r>
              <w:rPr>
                <w:b/>
                <w:sz w:val="20"/>
              </w:rPr>
              <w:t>Rate (Rs/kWh)</w:t>
            </w:r>
          </w:p>
        </w:tc>
      </w:tr>
      <w:tr w:rsidR="007C5447">
        <w:trPr>
          <w:trHeight w:val="299"/>
        </w:trPr>
        <w:tc>
          <w:tcPr>
            <w:tcW w:w="4760" w:type="dxa"/>
            <w:tcBorders>
              <w:left w:val="single" w:sz="8" w:space="0" w:color="000000"/>
            </w:tcBorders>
          </w:tcPr>
          <w:p w:rsidR="007C5447" w:rsidRDefault="00F6308C">
            <w:pPr>
              <w:pStyle w:val="TableParagraph"/>
              <w:spacing w:before="36"/>
              <w:ind w:left="107"/>
              <w:jc w:val="left"/>
              <w:rPr>
                <w:sz w:val="20"/>
              </w:rPr>
            </w:pPr>
            <w:r>
              <w:rPr>
                <w:sz w:val="20"/>
              </w:rPr>
              <w:t>Solar</w:t>
            </w:r>
          </w:p>
        </w:tc>
        <w:tc>
          <w:tcPr>
            <w:tcW w:w="1567" w:type="dxa"/>
          </w:tcPr>
          <w:p w:rsidR="007C5447" w:rsidRDefault="00F6308C">
            <w:pPr>
              <w:pStyle w:val="TableParagraph"/>
              <w:spacing w:before="36"/>
              <w:ind w:right="92"/>
              <w:rPr>
                <w:sz w:val="20"/>
              </w:rPr>
            </w:pPr>
            <w:r>
              <w:rPr>
                <w:w w:val="95"/>
                <w:sz w:val="20"/>
              </w:rPr>
              <w:t>25.00</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36"/>
              <w:ind w:right="92"/>
              <w:rPr>
                <w:sz w:val="20"/>
              </w:rPr>
            </w:pPr>
            <w:r>
              <w:rPr>
                <w:w w:val="95"/>
                <w:sz w:val="20"/>
              </w:rPr>
              <w:t>12.00</w:t>
            </w:r>
          </w:p>
        </w:tc>
        <w:tc>
          <w:tcPr>
            <w:tcW w:w="1625" w:type="dxa"/>
          </w:tcPr>
          <w:p w:rsidR="007C5447" w:rsidRDefault="00F6308C">
            <w:pPr>
              <w:pStyle w:val="TableParagraph"/>
              <w:spacing w:before="36"/>
              <w:ind w:right="92"/>
              <w:rPr>
                <w:sz w:val="20"/>
              </w:rPr>
            </w:pPr>
            <w:r>
              <w:rPr>
                <w:sz w:val="20"/>
              </w:rPr>
              <w:t>4.80</w:t>
            </w:r>
          </w:p>
        </w:tc>
      </w:tr>
      <w:tr w:rsidR="007C5447">
        <w:trPr>
          <w:trHeight w:val="330"/>
        </w:trPr>
        <w:tc>
          <w:tcPr>
            <w:tcW w:w="4760" w:type="dxa"/>
            <w:tcBorders>
              <w:left w:val="single" w:sz="8" w:space="0" w:color="000000"/>
            </w:tcBorders>
          </w:tcPr>
          <w:p w:rsidR="007C5447" w:rsidRDefault="00F6308C">
            <w:pPr>
              <w:pStyle w:val="TableParagraph"/>
              <w:spacing w:before="50"/>
              <w:ind w:left="107"/>
              <w:jc w:val="left"/>
              <w:rPr>
                <w:b/>
                <w:sz w:val="20"/>
              </w:rPr>
            </w:pPr>
            <w:r>
              <w:rPr>
                <w:b/>
                <w:sz w:val="20"/>
              </w:rPr>
              <w:t>Total Renewables</w:t>
            </w:r>
          </w:p>
        </w:tc>
        <w:tc>
          <w:tcPr>
            <w:tcW w:w="1567" w:type="dxa"/>
          </w:tcPr>
          <w:p w:rsidR="007C5447" w:rsidRDefault="00F6308C">
            <w:pPr>
              <w:pStyle w:val="TableParagraph"/>
              <w:spacing w:before="50"/>
              <w:ind w:right="91"/>
              <w:rPr>
                <w:b/>
                <w:sz w:val="20"/>
              </w:rPr>
            </w:pPr>
            <w:r>
              <w:rPr>
                <w:b/>
                <w:w w:val="95"/>
                <w:sz w:val="20"/>
              </w:rPr>
              <w:t>8,486.00</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50"/>
              <w:ind w:right="90"/>
              <w:rPr>
                <w:b/>
                <w:sz w:val="20"/>
              </w:rPr>
            </w:pPr>
            <w:r>
              <w:rPr>
                <w:b/>
                <w:w w:val="95"/>
                <w:sz w:val="20"/>
              </w:rPr>
              <w:t>3,533.00</w:t>
            </w:r>
          </w:p>
        </w:tc>
        <w:tc>
          <w:tcPr>
            <w:tcW w:w="1625" w:type="dxa"/>
          </w:tcPr>
          <w:p w:rsidR="007C5447" w:rsidRDefault="00F6308C">
            <w:pPr>
              <w:pStyle w:val="TableParagraph"/>
              <w:spacing w:before="50"/>
              <w:ind w:right="92"/>
              <w:rPr>
                <w:b/>
                <w:sz w:val="20"/>
              </w:rPr>
            </w:pPr>
            <w:r>
              <w:rPr>
                <w:b/>
                <w:sz w:val="20"/>
              </w:rPr>
              <w:t>4.16</w:t>
            </w:r>
          </w:p>
        </w:tc>
      </w:tr>
      <w:tr w:rsidR="007C5447">
        <w:trPr>
          <w:trHeight w:val="330"/>
        </w:trPr>
        <w:tc>
          <w:tcPr>
            <w:tcW w:w="4760" w:type="dxa"/>
            <w:tcBorders>
              <w:left w:val="single" w:sz="8" w:space="0" w:color="000000"/>
            </w:tcBorders>
          </w:tcPr>
          <w:p w:rsidR="007C5447" w:rsidRDefault="00F6308C">
            <w:pPr>
              <w:pStyle w:val="TableParagraph"/>
              <w:spacing w:before="50"/>
              <w:ind w:left="107"/>
              <w:jc w:val="left"/>
              <w:rPr>
                <w:b/>
                <w:sz w:val="20"/>
              </w:rPr>
            </w:pPr>
            <w:r>
              <w:rPr>
                <w:b/>
                <w:sz w:val="20"/>
              </w:rPr>
              <w:t>Other Sources</w:t>
            </w:r>
          </w:p>
        </w:tc>
        <w:tc>
          <w:tcPr>
            <w:tcW w:w="1567" w:type="dxa"/>
          </w:tcPr>
          <w:p w:rsidR="007C5447" w:rsidRDefault="007C5447">
            <w:pPr>
              <w:pStyle w:val="TableParagraph"/>
              <w:jc w:val="left"/>
              <w:rPr>
                <w:sz w:val="20"/>
              </w:rPr>
            </w:pP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7C5447">
            <w:pPr>
              <w:pStyle w:val="TableParagraph"/>
              <w:jc w:val="left"/>
              <w:rPr>
                <w:sz w:val="20"/>
              </w:rPr>
            </w:pPr>
          </w:p>
        </w:tc>
        <w:tc>
          <w:tcPr>
            <w:tcW w:w="1625" w:type="dxa"/>
          </w:tcPr>
          <w:p w:rsidR="007C5447" w:rsidRDefault="007C5447">
            <w:pPr>
              <w:pStyle w:val="TableParagraph"/>
              <w:jc w:val="left"/>
              <w:rPr>
                <w:sz w:val="20"/>
              </w:rPr>
            </w:pPr>
          </w:p>
        </w:tc>
      </w:tr>
      <w:tr w:rsidR="007C5447">
        <w:trPr>
          <w:trHeight w:val="299"/>
        </w:trPr>
        <w:tc>
          <w:tcPr>
            <w:tcW w:w="4760" w:type="dxa"/>
            <w:tcBorders>
              <w:left w:val="single" w:sz="8" w:space="0" w:color="000000"/>
            </w:tcBorders>
          </w:tcPr>
          <w:p w:rsidR="007C5447" w:rsidRDefault="00F6308C">
            <w:pPr>
              <w:pStyle w:val="TableParagraph"/>
              <w:spacing w:before="34"/>
              <w:ind w:left="107"/>
              <w:jc w:val="left"/>
              <w:rPr>
                <w:sz w:val="20"/>
              </w:rPr>
            </w:pPr>
            <w:r>
              <w:rPr>
                <w:sz w:val="20"/>
              </w:rPr>
              <w:t>Trading - Bilateral &amp; Exchange</w:t>
            </w:r>
          </w:p>
        </w:tc>
        <w:tc>
          <w:tcPr>
            <w:tcW w:w="1567" w:type="dxa"/>
          </w:tcPr>
          <w:p w:rsidR="007C5447" w:rsidRDefault="00F6308C">
            <w:pPr>
              <w:pStyle w:val="TableParagraph"/>
              <w:spacing w:before="34"/>
              <w:ind w:right="89"/>
              <w:rPr>
                <w:sz w:val="20"/>
              </w:rPr>
            </w:pPr>
            <w:r>
              <w:rPr>
                <w:w w:val="99"/>
                <w:sz w:val="20"/>
              </w:rPr>
              <w:t>-</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34"/>
              <w:ind w:right="89"/>
              <w:rPr>
                <w:sz w:val="20"/>
              </w:rPr>
            </w:pPr>
            <w:r>
              <w:rPr>
                <w:w w:val="99"/>
                <w:sz w:val="20"/>
              </w:rPr>
              <w:t>-</w:t>
            </w:r>
          </w:p>
        </w:tc>
        <w:tc>
          <w:tcPr>
            <w:tcW w:w="1625" w:type="dxa"/>
          </w:tcPr>
          <w:p w:rsidR="007C5447" w:rsidRDefault="00F6308C">
            <w:pPr>
              <w:pStyle w:val="TableParagraph"/>
              <w:spacing w:before="34"/>
              <w:ind w:right="92"/>
              <w:rPr>
                <w:sz w:val="20"/>
              </w:rPr>
            </w:pPr>
            <w:r>
              <w:rPr>
                <w:sz w:val="20"/>
              </w:rPr>
              <w:t>5.30</w:t>
            </w:r>
          </w:p>
        </w:tc>
      </w:tr>
      <w:tr w:rsidR="007C5447">
        <w:trPr>
          <w:trHeight w:val="300"/>
        </w:trPr>
        <w:tc>
          <w:tcPr>
            <w:tcW w:w="4760" w:type="dxa"/>
            <w:tcBorders>
              <w:left w:val="single" w:sz="8" w:space="0" w:color="000000"/>
            </w:tcBorders>
          </w:tcPr>
          <w:p w:rsidR="007C5447" w:rsidRDefault="00F6308C">
            <w:pPr>
              <w:pStyle w:val="TableParagraph"/>
              <w:spacing w:before="36"/>
              <w:ind w:left="107"/>
              <w:jc w:val="left"/>
              <w:rPr>
                <w:sz w:val="20"/>
              </w:rPr>
            </w:pPr>
            <w:r>
              <w:rPr>
                <w:sz w:val="20"/>
              </w:rPr>
              <w:t>UI</w:t>
            </w:r>
          </w:p>
        </w:tc>
        <w:tc>
          <w:tcPr>
            <w:tcW w:w="1567" w:type="dxa"/>
          </w:tcPr>
          <w:p w:rsidR="007C5447" w:rsidRDefault="00F6308C">
            <w:pPr>
              <w:pStyle w:val="TableParagraph"/>
              <w:spacing w:before="36"/>
              <w:ind w:right="90"/>
              <w:rPr>
                <w:sz w:val="20"/>
              </w:rPr>
            </w:pPr>
            <w:r>
              <w:rPr>
                <w:w w:val="95"/>
                <w:sz w:val="20"/>
              </w:rPr>
              <w:t>(529.00)</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36"/>
              <w:ind w:right="90"/>
              <w:rPr>
                <w:sz w:val="20"/>
              </w:rPr>
            </w:pPr>
            <w:r>
              <w:rPr>
                <w:w w:val="95"/>
                <w:sz w:val="20"/>
              </w:rPr>
              <w:t>(10.00)</w:t>
            </w:r>
          </w:p>
        </w:tc>
        <w:tc>
          <w:tcPr>
            <w:tcW w:w="1625" w:type="dxa"/>
          </w:tcPr>
          <w:p w:rsidR="007C5447" w:rsidRDefault="00F6308C">
            <w:pPr>
              <w:pStyle w:val="TableParagraph"/>
              <w:spacing w:before="36"/>
              <w:ind w:right="92"/>
              <w:rPr>
                <w:sz w:val="20"/>
              </w:rPr>
            </w:pPr>
            <w:r>
              <w:rPr>
                <w:sz w:val="20"/>
              </w:rPr>
              <w:t>0.19</w:t>
            </w:r>
          </w:p>
        </w:tc>
      </w:tr>
      <w:tr w:rsidR="007C5447">
        <w:trPr>
          <w:trHeight w:val="299"/>
        </w:trPr>
        <w:tc>
          <w:tcPr>
            <w:tcW w:w="4760" w:type="dxa"/>
            <w:tcBorders>
              <w:left w:val="single" w:sz="8" w:space="0" w:color="000000"/>
            </w:tcBorders>
          </w:tcPr>
          <w:p w:rsidR="007C5447" w:rsidRDefault="00F6308C">
            <w:pPr>
              <w:pStyle w:val="TableParagraph"/>
              <w:spacing w:before="36"/>
              <w:ind w:left="107"/>
              <w:jc w:val="left"/>
              <w:rPr>
                <w:sz w:val="20"/>
              </w:rPr>
            </w:pPr>
            <w:r>
              <w:rPr>
                <w:sz w:val="20"/>
              </w:rPr>
              <w:t>STOA</w:t>
            </w:r>
          </w:p>
        </w:tc>
        <w:tc>
          <w:tcPr>
            <w:tcW w:w="1567" w:type="dxa"/>
          </w:tcPr>
          <w:p w:rsidR="007C5447" w:rsidRDefault="00F6308C">
            <w:pPr>
              <w:pStyle w:val="TableParagraph"/>
              <w:spacing w:before="36"/>
              <w:ind w:right="91"/>
              <w:rPr>
                <w:sz w:val="20"/>
              </w:rPr>
            </w:pPr>
            <w:r>
              <w:rPr>
                <w:w w:val="95"/>
                <w:sz w:val="20"/>
              </w:rPr>
              <w:t>6,790.00</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36"/>
              <w:ind w:right="90"/>
              <w:rPr>
                <w:sz w:val="20"/>
              </w:rPr>
            </w:pPr>
            <w:r>
              <w:rPr>
                <w:w w:val="95"/>
                <w:sz w:val="20"/>
              </w:rPr>
              <w:t>2,118.00</w:t>
            </w:r>
          </w:p>
        </w:tc>
        <w:tc>
          <w:tcPr>
            <w:tcW w:w="1625" w:type="dxa"/>
          </w:tcPr>
          <w:p w:rsidR="007C5447" w:rsidRDefault="00F6308C">
            <w:pPr>
              <w:pStyle w:val="TableParagraph"/>
              <w:spacing w:before="36"/>
              <w:ind w:right="92"/>
              <w:rPr>
                <w:sz w:val="20"/>
              </w:rPr>
            </w:pPr>
            <w:r>
              <w:rPr>
                <w:sz w:val="20"/>
              </w:rPr>
              <w:t>3.12</w:t>
            </w:r>
          </w:p>
        </w:tc>
      </w:tr>
      <w:tr w:rsidR="007C5447">
        <w:trPr>
          <w:trHeight w:val="299"/>
        </w:trPr>
        <w:tc>
          <w:tcPr>
            <w:tcW w:w="4760" w:type="dxa"/>
            <w:tcBorders>
              <w:left w:val="single" w:sz="8" w:space="0" w:color="000000"/>
            </w:tcBorders>
          </w:tcPr>
          <w:p w:rsidR="007C5447" w:rsidRDefault="00F6308C">
            <w:pPr>
              <w:pStyle w:val="TableParagraph"/>
              <w:spacing w:before="36"/>
              <w:ind w:left="107"/>
              <w:jc w:val="left"/>
              <w:rPr>
                <w:sz w:val="20"/>
              </w:rPr>
            </w:pPr>
            <w:r>
              <w:rPr>
                <w:sz w:val="20"/>
              </w:rPr>
              <w:t>Case 1 - Bidding (MTOA)</w:t>
            </w:r>
          </w:p>
        </w:tc>
        <w:tc>
          <w:tcPr>
            <w:tcW w:w="1567" w:type="dxa"/>
          </w:tcPr>
          <w:p w:rsidR="007C5447" w:rsidRDefault="00F6308C">
            <w:pPr>
              <w:pStyle w:val="TableParagraph"/>
              <w:spacing w:before="36"/>
              <w:ind w:right="90"/>
              <w:rPr>
                <w:sz w:val="20"/>
              </w:rPr>
            </w:pPr>
            <w:r>
              <w:rPr>
                <w:w w:val="95"/>
                <w:sz w:val="20"/>
              </w:rPr>
              <w:t>2,296.74</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36"/>
              <w:ind w:right="90"/>
              <w:rPr>
                <w:sz w:val="20"/>
              </w:rPr>
            </w:pPr>
            <w:r>
              <w:rPr>
                <w:w w:val="95"/>
                <w:sz w:val="20"/>
              </w:rPr>
              <w:t>1,448.50</w:t>
            </w:r>
          </w:p>
        </w:tc>
        <w:tc>
          <w:tcPr>
            <w:tcW w:w="1625" w:type="dxa"/>
          </w:tcPr>
          <w:p w:rsidR="007C5447" w:rsidRDefault="00F6308C">
            <w:pPr>
              <w:pStyle w:val="TableParagraph"/>
              <w:spacing w:before="36"/>
              <w:ind w:right="92"/>
              <w:rPr>
                <w:sz w:val="20"/>
              </w:rPr>
            </w:pPr>
            <w:r>
              <w:rPr>
                <w:sz w:val="20"/>
              </w:rPr>
              <w:t>6.31</w:t>
            </w:r>
          </w:p>
        </w:tc>
      </w:tr>
      <w:tr w:rsidR="007C5447">
        <w:trPr>
          <w:trHeight w:val="330"/>
        </w:trPr>
        <w:tc>
          <w:tcPr>
            <w:tcW w:w="4760" w:type="dxa"/>
            <w:tcBorders>
              <w:left w:val="single" w:sz="8" w:space="0" w:color="000000"/>
            </w:tcBorders>
          </w:tcPr>
          <w:p w:rsidR="007C5447" w:rsidRDefault="00F6308C">
            <w:pPr>
              <w:pStyle w:val="TableParagraph"/>
              <w:spacing w:before="50"/>
              <w:ind w:left="107"/>
              <w:jc w:val="left"/>
              <w:rPr>
                <w:b/>
                <w:sz w:val="20"/>
              </w:rPr>
            </w:pPr>
            <w:r>
              <w:rPr>
                <w:b/>
                <w:sz w:val="20"/>
              </w:rPr>
              <w:t>Total Other Sources</w:t>
            </w:r>
          </w:p>
        </w:tc>
        <w:tc>
          <w:tcPr>
            <w:tcW w:w="1567" w:type="dxa"/>
          </w:tcPr>
          <w:p w:rsidR="007C5447" w:rsidRDefault="00F6308C">
            <w:pPr>
              <w:pStyle w:val="TableParagraph"/>
              <w:spacing w:before="50"/>
              <w:ind w:right="91"/>
              <w:rPr>
                <w:b/>
                <w:sz w:val="20"/>
              </w:rPr>
            </w:pPr>
            <w:r>
              <w:rPr>
                <w:b/>
                <w:w w:val="95"/>
                <w:sz w:val="20"/>
              </w:rPr>
              <w:t>8,557.74</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50"/>
              <w:ind w:right="90"/>
              <w:rPr>
                <w:b/>
                <w:sz w:val="20"/>
              </w:rPr>
            </w:pPr>
            <w:r>
              <w:rPr>
                <w:b/>
                <w:w w:val="95"/>
                <w:sz w:val="20"/>
              </w:rPr>
              <w:t>3,556.50</w:t>
            </w:r>
          </w:p>
        </w:tc>
        <w:tc>
          <w:tcPr>
            <w:tcW w:w="1625" w:type="dxa"/>
          </w:tcPr>
          <w:p w:rsidR="007C5447" w:rsidRDefault="00F6308C">
            <w:pPr>
              <w:pStyle w:val="TableParagraph"/>
              <w:spacing w:before="50"/>
              <w:ind w:right="92"/>
              <w:rPr>
                <w:b/>
                <w:sz w:val="20"/>
              </w:rPr>
            </w:pPr>
            <w:r>
              <w:rPr>
                <w:b/>
                <w:sz w:val="20"/>
              </w:rPr>
              <w:t>4.16</w:t>
            </w:r>
          </w:p>
        </w:tc>
      </w:tr>
      <w:tr w:rsidR="007C5447">
        <w:trPr>
          <w:trHeight w:val="330"/>
        </w:trPr>
        <w:tc>
          <w:tcPr>
            <w:tcW w:w="4760" w:type="dxa"/>
            <w:tcBorders>
              <w:left w:val="single" w:sz="8" w:space="0" w:color="000000"/>
            </w:tcBorders>
          </w:tcPr>
          <w:p w:rsidR="007C5447" w:rsidRDefault="00F6308C">
            <w:pPr>
              <w:pStyle w:val="TableParagraph"/>
              <w:spacing w:before="50"/>
              <w:ind w:left="107"/>
              <w:jc w:val="left"/>
              <w:rPr>
                <w:b/>
                <w:sz w:val="20"/>
              </w:rPr>
            </w:pPr>
            <w:r>
              <w:rPr>
                <w:b/>
                <w:sz w:val="20"/>
              </w:rPr>
              <w:t>Gross Power Purchase</w:t>
            </w:r>
          </w:p>
        </w:tc>
        <w:tc>
          <w:tcPr>
            <w:tcW w:w="1567" w:type="dxa"/>
          </w:tcPr>
          <w:p w:rsidR="007C5447" w:rsidRDefault="00F6308C">
            <w:pPr>
              <w:pStyle w:val="TableParagraph"/>
              <w:spacing w:before="50"/>
              <w:ind w:right="93"/>
              <w:rPr>
                <w:b/>
                <w:sz w:val="20"/>
              </w:rPr>
            </w:pPr>
            <w:r>
              <w:rPr>
                <w:b/>
                <w:w w:val="95"/>
                <w:sz w:val="20"/>
              </w:rPr>
              <w:t>78,559.79</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50"/>
              <w:ind w:right="93"/>
              <w:rPr>
                <w:b/>
                <w:sz w:val="20"/>
              </w:rPr>
            </w:pPr>
            <w:r>
              <w:rPr>
                <w:b/>
                <w:w w:val="95"/>
                <w:sz w:val="20"/>
              </w:rPr>
              <w:t>30,239.99</w:t>
            </w:r>
          </w:p>
        </w:tc>
        <w:tc>
          <w:tcPr>
            <w:tcW w:w="1625" w:type="dxa"/>
          </w:tcPr>
          <w:p w:rsidR="007C5447" w:rsidRDefault="00F6308C">
            <w:pPr>
              <w:pStyle w:val="TableParagraph"/>
              <w:spacing w:before="50"/>
              <w:ind w:right="92"/>
              <w:rPr>
                <w:b/>
                <w:sz w:val="20"/>
              </w:rPr>
            </w:pPr>
            <w:r>
              <w:rPr>
                <w:b/>
                <w:sz w:val="20"/>
              </w:rPr>
              <w:t>3.85</w:t>
            </w:r>
          </w:p>
        </w:tc>
      </w:tr>
      <w:tr w:rsidR="007C5447">
        <w:trPr>
          <w:trHeight w:val="328"/>
        </w:trPr>
        <w:tc>
          <w:tcPr>
            <w:tcW w:w="4760" w:type="dxa"/>
            <w:tcBorders>
              <w:left w:val="single" w:sz="8" w:space="0" w:color="000000"/>
            </w:tcBorders>
          </w:tcPr>
          <w:p w:rsidR="007C5447" w:rsidRDefault="00F6308C">
            <w:pPr>
              <w:pStyle w:val="TableParagraph"/>
              <w:spacing w:before="50"/>
              <w:ind w:left="107"/>
              <w:jc w:val="left"/>
              <w:rPr>
                <w:b/>
                <w:sz w:val="20"/>
              </w:rPr>
            </w:pPr>
            <w:r>
              <w:rPr>
                <w:b/>
                <w:sz w:val="20"/>
              </w:rPr>
              <w:t>PGCIL Charges</w:t>
            </w:r>
          </w:p>
        </w:tc>
        <w:tc>
          <w:tcPr>
            <w:tcW w:w="1567" w:type="dxa"/>
          </w:tcPr>
          <w:p w:rsidR="007C5447" w:rsidRDefault="007C5447">
            <w:pPr>
              <w:pStyle w:val="TableParagraph"/>
              <w:jc w:val="left"/>
              <w:rPr>
                <w:sz w:val="20"/>
              </w:rPr>
            </w:pP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7C5447">
            <w:pPr>
              <w:pStyle w:val="TableParagraph"/>
              <w:jc w:val="left"/>
              <w:rPr>
                <w:sz w:val="20"/>
              </w:rPr>
            </w:pPr>
          </w:p>
        </w:tc>
        <w:tc>
          <w:tcPr>
            <w:tcW w:w="1625" w:type="dxa"/>
          </w:tcPr>
          <w:p w:rsidR="007C5447" w:rsidRDefault="007C5447">
            <w:pPr>
              <w:pStyle w:val="TableParagraph"/>
              <w:jc w:val="left"/>
              <w:rPr>
                <w:sz w:val="20"/>
              </w:rPr>
            </w:pPr>
          </w:p>
        </w:tc>
      </w:tr>
      <w:tr w:rsidR="007C5447">
        <w:trPr>
          <w:trHeight w:val="330"/>
        </w:trPr>
        <w:tc>
          <w:tcPr>
            <w:tcW w:w="4760" w:type="dxa"/>
            <w:tcBorders>
              <w:left w:val="single" w:sz="8" w:space="0" w:color="000000"/>
            </w:tcBorders>
          </w:tcPr>
          <w:p w:rsidR="007C5447" w:rsidRDefault="00F6308C">
            <w:pPr>
              <w:pStyle w:val="TableParagraph"/>
              <w:spacing w:before="50"/>
              <w:ind w:left="107"/>
              <w:jc w:val="left"/>
              <w:rPr>
                <w:i/>
                <w:sz w:val="20"/>
              </w:rPr>
            </w:pPr>
            <w:r>
              <w:rPr>
                <w:i/>
                <w:sz w:val="20"/>
              </w:rPr>
              <w:t>PGCIL SR and ER wheeling</w:t>
            </w:r>
          </w:p>
        </w:tc>
        <w:tc>
          <w:tcPr>
            <w:tcW w:w="1567" w:type="dxa"/>
          </w:tcPr>
          <w:p w:rsidR="007C5447" w:rsidRDefault="007C5447">
            <w:pPr>
              <w:pStyle w:val="TableParagraph"/>
              <w:jc w:val="left"/>
              <w:rPr>
                <w:sz w:val="20"/>
              </w:rPr>
            </w:pP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50"/>
              <w:ind w:right="92"/>
              <w:rPr>
                <w:sz w:val="20"/>
              </w:rPr>
            </w:pPr>
            <w:r>
              <w:rPr>
                <w:w w:val="95"/>
                <w:sz w:val="20"/>
              </w:rPr>
              <w:t>978.00</w:t>
            </w:r>
          </w:p>
        </w:tc>
        <w:tc>
          <w:tcPr>
            <w:tcW w:w="1625" w:type="dxa"/>
          </w:tcPr>
          <w:p w:rsidR="007C5447" w:rsidRDefault="007C5447">
            <w:pPr>
              <w:pStyle w:val="TableParagraph"/>
              <w:jc w:val="left"/>
              <w:rPr>
                <w:sz w:val="20"/>
              </w:rPr>
            </w:pPr>
          </w:p>
        </w:tc>
      </w:tr>
      <w:tr w:rsidR="007C5447">
        <w:trPr>
          <w:trHeight w:val="330"/>
        </w:trPr>
        <w:tc>
          <w:tcPr>
            <w:tcW w:w="4760" w:type="dxa"/>
            <w:tcBorders>
              <w:left w:val="single" w:sz="8" w:space="0" w:color="000000"/>
            </w:tcBorders>
          </w:tcPr>
          <w:p w:rsidR="007C5447" w:rsidRDefault="00F6308C">
            <w:pPr>
              <w:pStyle w:val="TableParagraph"/>
              <w:spacing w:before="50"/>
              <w:ind w:left="107"/>
              <w:jc w:val="left"/>
              <w:rPr>
                <w:i/>
                <w:sz w:val="20"/>
              </w:rPr>
            </w:pPr>
            <w:r>
              <w:rPr>
                <w:i/>
                <w:sz w:val="20"/>
              </w:rPr>
              <w:t>PGCIL- Reactive energy</w:t>
            </w:r>
          </w:p>
        </w:tc>
        <w:tc>
          <w:tcPr>
            <w:tcW w:w="1567" w:type="dxa"/>
          </w:tcPr>
          <w:p w:rsidR="007C5447" w:rsidRDefault="007C5447">
            <w:pPr>
              <w:pStyle w:val="TableParagraph"/>
              <w:jc w:val="left"/>
              <w:rPr>
                <w:sz w:val="20"/>
              </w:rPr>
            </w:pP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50"/>
              <w:ind w:right="89"/>
              <w:rPr>
                <w:sz w:val="20"/>
              </w:rPr>
            </w:pPr>
            <w:r>
              <w:rPr>
                <w:w w:val="99"/>
                <w:sz w:val="20"/>
              </w:rPr>
              <w:t>-</w:t>
            </w:r>
          </w:p>
        </w:tc>
        <w:tc>
          <w:tcPr>
            <w:tcW w:w="1625" w:type="dxa"/>
          </w:tcPr>
          <w:p w:rsidR="007C5447" w:rsidRDefault="007C5447">
            <w:pPr>
              <w:pStyle w:val="TableParagraph"/>
              <w:jc w:val="left"/>
              <w:rPr>
                <w:sz w:val="20"/>
              </w:rPr>
            </w:pPr>
          </w:p>
        </w:tc>
      </w:tr>
      <w:tr w:rsidR="007C5447">
        <w:trPr>
          <w:trHeight w:val="328"/>
        </w:trPr>
        <w:tc>
          <w:tcPr>
            <w:tcW w:w="4760" w:type="dxa"/>
            <w:tcBorders>
              <w:left w:val="single" w:sz="8" w:space="0" w:color="000000"/>
            </w:tcBorders>
          </w:tcPr>
          <w:p w:rsidR="007C5447" w:rsidRDefault="00F6308C">
            <w:pPr>
              <w:pStyle w:val="TableParagraph"/>
              <w:spacing w:before="51"/>
              <w:ind w:left="107"/>
              <w:jc w:val="left"/>
              <w:rPr>
                <w:b/>
                <w:sz w:val="20"/>
              </w:rPr>
            </w:pPr>
            <w:r>
              <w:rPr>
                <w:b/>
                <w:sz w:val="20"/>
              </w:rPr>
              <w:t>Total PGCIL charges</w:t>
            </w:r>
          </w:p>
        </w:tc>
        <w:tc>
          <w:tcPr>
            <w:tcW w:w="1567" w:type="dxa"/>
          </w:tcPr>
          <w:p w:rsidR="007C5447" w:rsidRDefault="00F6308C">
            <w:pPr>
              <w:pStyle w:val="TableParagraph"/>
              <w:spacing w:before="51"/>
              <w:ind w:right="91"/>
              <w:rPr>
                <w:b/>
                <w:sz w:val="20"/>
              </w:rPr>
            </w:pPr>
            <w:r>
              <w:rPr>
                <w:b/>
                <w:w w:val="99"/>
                <w:sz w:val="20"/>
              </w:rPr>
              <w:t>-</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51"/>
              <w:ind w:right="92"/>
              <w:rPr>
                <w:b/>
                <w:sz w:val="20"/>
              </w:rPr>
            </w:pPr>
            <w:r>
              <w:rPr>
                <w:b/>
                <w:w w:val="95"/>
                <w:sz w:val="20"/>
              </w:rPr>
              <w:t>978.00</w:t>
            </w:r>
          </w:p>
        </w:tc>
        <w:tc>
          <w:tcPr>
            <w:tcW w:w="1625" w:type="dxa"/>
          </w:tcPr>
          <w:p w:rsidR="007C5447" w:rsidRDefault="00F6308C">
            <w:pPr>
              <w:pStyle w:val="TableParagraph"/>
              <w:spacing w:before="51"/>
              <w:ind w:right="91"/>
              <w:rPr>
                <w:b/>
                <w:sz w:val="20"/>
              </w:rPr>
            </w:pPr>
            <w:r>
              <w:rPr>
                <w:b/>
                <w:w w:val="99"/>
                <w:sz w:val="20"/>
              </w:rPr>
              <w:t>-</w:t>
            </w:r>
          </w:p>
        </w:tc>
      </w:tr>
      <w:tr w:rsidR="007C5447">
        <w:trPr>
          <w:trHeight w:val="330"/>
        </w:trPr>
        <w:tc>
          <w:tcPr>
            <w:tcW w:w="4760" w:type="dxa"/>
            <w:tcBorders>
              <w:left w:val="single" w:sz="8" w:space="0" w:color="000000"/>
            </w:tcBorders>
          </w:tcPr>
          <w:p w:rsidR="007C5447" w:rsidRDefault="00F6308C">
            <w:pPr>
              <w:pStyle w:val="TableParagraph"/>
              <w:spacing w:before="50"/>
              <w:ind w:left="107"/>
              <w:jc w:val="left"/>
              <w:rPr>
                <w:b/>
                <w:sz w:val="20"/>
              </w:rPr>
            </w:pPr>
            <w:r>
              <w:rPr>
                <w:b/>
                <w:sz w:val="20"/>
              </w:rPr>
              <w:t>TANTRANSCO Charges</w:t>
            </w:r>
          </w:p>
        </w:tc>
        <w:tc>
          <w:tcPr>
            <w:tcW w:w="1567" w:type="dxa"/>
          </w:tcPr>
          <w:p w:rsidR="007C5447" w:rsidRDefault="007C5447">
            <w:pPr>
              <w:pStyle w:val="TableParagraph"/>
              <w:jc w:val="left"/>
              <w:rPr>
                <w:sz w:val="20"/>
              </w:rPr>
            </w:pP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50"/>
              <w:ind w:right="90"/>
              <w:rPr>
                <w:b/>
                <w:sz w:val="20"/>
              </w:rPr>
            </w:pPr>
            <w:r>
              <w:rPr>
                <w:b/>
                <w:w w:val="95"/>
                <w:sz w:val="20"/>
              </w:rPr>
              <w:t>1,373.63</w:t>
            </w:r>
          </w:p>
        </w:tc>
        <w:tc>
          <w:tcPr>
            <w:tcW w:w="1625" w:type="dxa"/>
          </w:tcPr>
          <w:p w:rsidR="007C5447" w:rsidRDefault="007C5447">
            <w:pPr>
              <w:pStyle w:val="TableParagraph"/>
              <w:jc w:val="left"/>
              <w:rPr>
                <w:sz w:val="20"/>
              </w:rPr>
            </w:pPr>
          </w:p>
        </w:tc>
      </w:tr>
      <w:tr w:rsidR="007C5447">
        <w:trPr>
          <w:trHeight w:val="330"/>
        </w:trPr>
        <w:tc>
          <w:tcPr>
            <w:tcW w:w="4760" w:type="dxa"/>
            <w:tcBorders>
              <w:left w:val="single" w:sz="8" w:space="0" w:color="000000"/>
            </w:tcBorders>
          </w:tcPr>
          <w:p w:rsidR="007C5447" w:rsidRDefault="00F6308C">
            <w:pPr>
              <w:pStyle w:val="TableParagraph"/>
              <w:spacing w:before="50"/>
              <w:ind w:left="107"/>
              <w:jc w:val="left"/>
              <w:rPr>
                <w:b/>
                <w:sz w:val="20"/>
              </w:rPr>
            </w:pPr>
            <w:r>
              <w:rPr>
                <w:b/>
                <w:sz w:val="20"/>
              </w:rPr>
              <w:t>Total Power Purchase</w:t>
            </w:r>
          </w:p>
        </w:tc>
        <w:tc>
          <w:tcPr>
            <w:tcW w:w="1567" w:type="dxa"/>
          </w:tcPr>
          <w:p w:rsidR="007C5447" w:rsidRDefault="00F6308C">
            <w:pPr>
              <w:pStyle w:val="TableParagraph"/>
              <w:spacing w:before="50"/>
              <w:ind w:right="93"/>
              <w:rPr>
                <w:b/>
                <w:sz w:val="20"/>
              </w:rPr>
            </w:pPr>
            <w:r>
              <w:rPr>
                <w:b/>
                <w:w w:val="95"/>
                <w:sz w:val="20"/>
              </w:rPr>
              <w:t>78,559.79</w:t>
            </w:r>
          </w:p>
        </w:tc>
        <w:tc>
          <w:tcPr>
            <w:tcW w:w="1570" w:type="dxa"/>
          </w:tcPr>
          <w:p w:rsidR="007C5447" w:rsidRDefault="007C5447">
            <w:pPr>
              <w:pStyle w:val="TableParagraph"/>
              <w:jc w:val="left"/>
              <w:rPr>
                <w:sz w:val="20"/>
              </w:rPr>
            </w:pPr>
          </w:p>
        </w:tc>
        <w:tc>
          <w:tcPr>
            <w:tcW w:w="1519" w:type="dxa"/>
          </w:tcPr>
          <w:p w:rsidR="007C5447" w:rsidRDefault="007C5447">
            <w:pPr>
              <w:pStyle w:val="TableParagraph"/>
              <w:jc w:val="left"/>
              <w:rPr>
                <w:sz w:val="20"/>
              </w:rPr>
            </w:pPr>
          </w:p>
        </w:tc>
        <w:tc>
          <w:tcPr>
            <w:tcW w:w="1567" w:type="dxa"/>
          </w:tcPr>
          <w:p w:rsidR="007C5447" w:rsidRDefault="007C5447">
            <w:pPr>
              <w:pStyle w:val="TableParagraph"/>
              <w:jc w:val="left"/>
              <w:rPr>
                <w:sz w:val="20"/>
              </w:rPr>
            </w:pPr>
          </w:p>
        </w:tc>
        <w:tc>
          <w:tcPr>
            <w:tcW w:w="1568" w:type="dxa"/>
          </w:tcPr>
          <w:p w:rsidR="007C5447" w:rsidRDefault="00F6308C">
            <w:pPr>
              <w:pStyle w:val="TableParagraph"/>
              <w:spacing w:before="50"/>
              <w:ind w:right="93"/>
              <w:rPr>
                <w:b/>
                <w:sz w:val="20"/>
              </w:rPr>
            </w:pPr>
            <w:r>
              <w:rPr>
                <w:b/>
                <w:w w:val="95"/>
                <w:sz w:val="20"/>
              </w:rPr>
              <w:t>32,591.62</w:t>
            </w:r>
          </w:p>
        </w:tc>
        <w:tc>
          <w:tcPr>
            <w:tcW w:w="1625" w:type="dxa"/>
          </w:tcPr>
          <w:p w:rsidR="007C5447" w:rsidRDefault="00F6308C">
            <w:pPr>
              <w:pStyle w:val="TableParagraph"/>
              <w:spacing w:before="50"/>
              <w:ind w:right="92"/>
              <w:rPr>
                <w:b/>
                <w:sz w:val="20"/>
              </w:rPr>
            </w:pPr>
            <w:r>
              <w:rPr>
                <w:b/>
                <w:sz w:val="20"/>
              </w:rPr>
              <w:t>4.15</w:t>
            </w:r>
          </w:p>
        </w:tc>
      </w:tr>
    </w:tbl>
    <w:p w:rsidR="007C5447" w:rsidRDefault="007C5447">
      <w:pPr>
        <w:pStyle w:val="BodyText"/>
        <w:rPr>
          <w:sz w:val="20"/>
        </w:rPr>
      </w:pPr>
    </w:p>
    <w:p w:rsidR="007C5447" w:rsidRDefault="007C5447">
      <w:pPr>
        <w:pStyle w:val="BodyText"/>
        <w:rPr>
          <w:sz w:val="20"/>
        </w:rPr>
      </w:pPr>
    </w:p>
    <w:p w:rsidR="007C5447" w:rsidRDefault="007C5447">
      <w:pPr>
        <w:pStyle w:val="BodyText"/>
        <w:spacing w:before="5"/>
        <w:rPr>
          <w:sz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36"/>
        <w:gridCol w:w="1668"/>
        <w:gridCol w:w="1560"/>
        <w:gridCol w:w="1560"/>
        <w:gridCol w:w="1558"/>
        <w:gridCol w:w="1530"/>
        <w:gridCol w:w="1565"/>
      </w:tblGrid>
      <w:tr w:rsidR="007C5447">
        <w:trPr>
          <w:trHeight w:val="282"/>
        </w:trPr>
        <w:tc>
          <w:tcPr>
            <w:tcW w:w="4736" w:type="dxa"/>
            <w:vMerge w:val="restart"/>
            <w:shd w:val="clear" w:color="auto" w:fill="FBD4B4"/>
          </w:tcPr>
          <w:p w:rsidR="007C5447" w:rsidRDefault="007C5447">
            <w:pPr>
              <w:pStyle w:val="TableParagraph"/>
              <w:jc w:val="left"/>
            </w:pPr>
          </w:p>
          <w:p w:rsidR="007C5447" w:rsidRDefault="00F6308C">
            <w:pPr>
              <w:pStyle w:val="TableParagraph"/>
              <w:spacing w:before="157"/>
              <w:ind w:left="1715" w:right="1712"/>
              <w:jc w:val="center"/>
              <w:rPr>
                <w:b/>
                <w:sz w:val="20"/>
              </w:rPr>
            </w:pPr>
            <w:r>
              <w:rPr>
                <w:b/>
                <w:sz w:val="20"/>
              </w:rPr>
              <w:t>Source</w:t>
            </w:r>
          </w:p>
        </w:tc>
        <w:tc>
          <w:tcPr>
            <w:tcW w:w="9441" w:type="dxa"/>
            <w:gridSpan w:val="6"/>
            <w:shd w:val="clear" w:color="auto" w:fill="FBD4B4"/>
          </w:tcPr>
          <w:p w:rsidR="007C5447" w:rsidRDefault="00F6308C">
            <w:pPr>
              <w:pStyle w:val="TableParagraph"/>
              <w:spacing w:before="36" w:line="227" w:lineRule="exact"/>
              <w:ind w:left="4201" w:right="4197"/>
              <w:jc w:val="center"/>
              <w:rPr>
                <w:b/>
                <w:sz w:val="20"/>
              </w:rPr>
            </w:pPr>
            <w:r>
              <w:rPr>
                <w:b/>
                <w:sz w:val="20"/>
              </w:rPr>
              <w:t>FY 2015-16</w:t>
            </w:r>
          </w:p>
        </w:tc>
      </w:tr>
      <w:tr w:rsidR="007C5447">
        <w:trPr>
          <w:trHeight w:val="758"/>
        </w:trPr>
        <w:tc>
          <w:tcPr>
            <w:tcW w:w="4736" w:type="dxa"/>
            <w:vMerge/>
            <w:tcBorders>
              <w:top w:val="nil"/>
            </w:tcBorders>
            <w:shd w:val="clear" w:color="auto" w:fill="FBD4B4"/>
          </w:tcPr>
          <w:p w:rsidR="007C5447" w:rsidRDefault="007C5447">
            <w:pPr>
              <w:rPr>
                <w:sz w:val="2"/>
                <w:szCs w:val="2"/>
              </w:rPr>
            </w:pPr>
          </w:p>
        </w:tc>
        <w:tc>
          <w:tcPr>
            <w:tcW w:w="1668" w:type="dxa"/>
            <w:shd w:val="clear" w:color="auto" w:fill="FBD4B4"/>
          </w:tcPr>
          <w:p w:rsidR="007C5447" w:rsidRDefault="007C5447">
            <w:pPr>
              <w:pStyle w:val="TableParagraph"/>
              <w:spacing w:before="11"/>
              <w:jc w:val="left"/>
            </w:pPr>
          </w:p>
          <w:p w:rsidR="007C5447" w:rsidRDefault="00F6308C">
            <w:pPr>
              <w:pStyle w:val="TableParagraph"/>
              <w:ind w:right="153"/>
              <w:rPr>
                <w:b/>
                <w:sz w:val="20"/>
              </w:rPr>
            </w:pPr>
            <w:r>
              <w:rPr>
                <w:b/>
                <w:sz w:val="20"/>
              </w:rPr>
              <w:t>Quantum (MU)</w:t>
            </w:r>
          </w:p>
        </w:tc>
        <w:tc>
          <w:tcPr>
            <w:tcW w:w="1560" w:type="dxa"/>
            <w:shd w:val="clear" w:color="auto" w:fill="FBD4B4"/>
          </w:tcPr>
          <w:p w:rsidR="007C5447" w:rsidRDefault="00F6308C">
            <w:pPr>
              <w:pStyle w:val="TableParagraph"/>
              <w:spacing w:before="149"/>
              <w:ind w:left="410" w:right="131" w:hanging="250"/>
              <w:jc w:val="left"/>
              <w:rPr>
                <w:b/>
                <w:sz w:val="20"/>
              </w:rPr>
            </w:pPr>
            <w:r>
              <w:rPr>
                <w:b/>
                <w:sz w:val="20"/>
              </w:rPr>
              <w:t>Fixed Charges (Rs. Cr.)</w:t>
            </w:r>
          </w:p>
        </w:tc>
        <w:tc>
          <w:tcPr>
            <w:tcW w:w="1560" w:type="dxa"/>
            <w:shd w:val="clear" w:color="auto" w:fill="FBD4B4"/>
          </w:tcPr>
          <w:p w:rsidR="007C5447" w:rsidRDefault="00F6308C">
            <w:pPr>
              <w:pStyle w:val="TableParagraph"/>
              <w:spacing w:before="149"/>
              <w:ind w:left="295" w:right="97" w:hanging="168"/>
              <w:jc w:val="left"/>
              <w:rPr>
                <w:b/>
                <w:sz w:val="20"/>
              </w:rPr>
            </w:pPr>
            <w:r>
              <w:rPr>
                <w:b/>
                <w:sz w:val="20"/>
              </w:rPr>
              <w:t>Energy Charge (Rs. Crore)</w:t>
            </w:r>
          </w:p>
        </w:tc>
        <w:tc>
          <w:tcPr>
            <w:tcW w:w="1558" w:type="dxa"/>
            <w:shd w:val="clear" w:color="auto" w:fill="FBD4B4"/>
          </w:tcPr>
          <w:p w:rsidR="007C5447" w:rsidRDefault="00F6308C">
            <w:pPr>
              <w:pStyle w:val="TableParagraph"/>
              <w:spacing w:before="149"/>
              <w:ind w:left="358" w:right="97" w:hanging="233"/>
              <w:jc w:val="left"/>
              <w:rPr>
                <w:b/>
                <w:sz w:val="20"/>
              </w:rPr>
            </w:pPr>
            <w:r>
              <w:rPr>
                <w:b/>
                <w:sz w:val="20"/>
              </w:rPr>
              <w:t>Energy Charge (Rs./Unit)</w:t>
            </w:r>
          </w:p>
        </w:tc>
        <w:tc>
          <w:tcPr>
            <w:tcW w:w="1530" w:type="dxa"/>
            <w:shd w:val="clear" w:color="auto" w:fill="FBD4B4"/>
          </w:tcPr>
          <w:p w:rsidR="007C5447" w:rsidRDefault="00F6308C">
            <w:pPr>
              <w:pStyle w:val="TableParagraph"/>
              <w:spacing w:before="149"/>
              <w:ind w:left="420" w:right="289" w:hanging="104"/>
              <w:jc w:val="left"/>
              <w:rPr>
                <w:b/>
                <w:sz w:val="20"/>
              </w:rPr>
            </w:pPr>
            <w:r>
              <w:rPr>
                <w:b/>
                <w:sz w:val="20"/>
              </w:rPr>
              <w:t>Total Cost (Rs. Cr)</w:t>
            </w:r>
          </w:p>
        </w:tc>
        <w:tc>
          <w:tcPr>
            <w:tcW w:w="1565" w:type="dxa"/>
            <w:shd w:val="clear" w:color="auto" w:fill="FBD4B4"/>
          </w:tcPr>
          <w:p w:rsidR="007C5447" w:rsidRDefault="007C5447">
            <w:pPr>
              <w:pStyle w:val="TableParagraph"/>
              <w:spacing w:before="11"/>
              <w:jc w:val="left"/>
            </w:pPr>
          </w:p>
          <w:p w:rsidR="007C5447" w:rsidRDefault="00F6308C">
            <w:pPr>
              <w:pStyle w:val="TableParagraph"/>
              <w:ind w:right="133"/>
              <w:rPr>
                <w:b/>
                <w:sz w:val="20"/>
              </w:rPr>
            </w:pPr>
            <w:r>
              <w:rPr>
                <w:b/>
                <w:sz w:val="20"/>
              </w:rPr>
              <w:t>Rate (Rs/kWh)</w:t>
            </w:r>
          </w:p>
        </w:tc>
      </w:tr>
      <w:tr w:rsidR="007C5447">
        <w:trPr>
          <w:trHeight w:val="330"/>
        </w:trPr>
        <w:tc>
          <w:tcPr>
            <w:tcW w:w="4736" w:type="dxa"/>
          </w:tcPr>
          <w:p w:rsidR="007C5447" w:rsidRDefault="00F6308C">
            <w:pPr>
              <w:pStyle w:val="TableParagraph"/>
              <w:spacing w:before="50"/>
              <w:ind w:left="1281"/>
              <w:jc w:val="left"/>
              <w:rPr>
                <w:b/>
                <w:sz w:val="20"/>
              </w:rPr>
            </w:pPr>
            <w:r>
              <w:rPr>
                <w:b/>
                <w:sz w:val="20"/>
              </w:rPr>
              <w:t>Own Generating Stations</w:t>
            </w:r>
          </w:p>
        </w:tc>
        <w:tc>
          <w:tcPr>
            <w:tcW w:w="1668"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7C5447">
            <w:pPr>
              <w:pStyle w:val="TableParagraph"/>
              <w:jc w:val="left"/>
              <w:rPr>
                <w:sz w:val="20"/>
              </w:rPr>
            </w:pPr>
          </w:p>
        </w:tc>
        <w:tc>
          <w:tcPr>
            <w:tcW w:w="1565" w:type="dxa"/>
          </w:tcPr>
          <w:p w:rsidR="007C5447" w:rsidRDefault="007C5447">
            <w:pPr>
              <w:pStyle w:val="TableParagraph"/>
              <w:jc w:val="left"/>
              <w:rPr>
                <w:sz w:val="20"/>
              </w:rPr>
            </w:pPr>
          </w:p>
        </w:tc>
      </w:tr>
      <w:tr w:rsidR="007C5447">
        <w:trPr>
          <w:trHeight w:val="280"/>
        </w:trPr>
        <w:tc>
          <w:tcPr>
            <w:tcW w:w="4736" w:type="dxa"/>
          </w:tcPr>
          <w:p w:rsidR="007C5447" w:rsidRDefault="00F6308C">
            <w:pPr>
              <w:pStyle w:val="TableParagraph"/>
              <w:spacing w:before="26"/>
              <w:ind w:left="107"/>
              <w:jc w:val="left"/>
              <w:rPr>
                <w:sz w:val="20"/>
              </w:rPr>
            </w:pPr>
            <w:r>
              <w:rPr>
                <w:sz w:val="20"/>
              </w:rPr>
              <w:t>Ennore TPS</w:t>
            </w:r>
          </w:p>
        </w:tc>
        <w:tc>
          <w:tcPr>
            <w:tcW w:w="1668" w:type="dxa"/>
          </w:tcPr>
          <w:p w:rsidR="007C5447" w:rsidRDefault="00F6308C">
            <w:pPr>
              <w:pStyle w:val="TableParagraph"/>
              <w:spacing w:before="26"/>
              <w:ind w:right="98"/>
              <w:rPr>
                <w:sz w:val="20"/>
              </w:rPr>
            </w:pPr>
            <w:r>
              <w:rPr>
                <w:w w:val="95"/>
                <w:sz w:val="20"/>
              </w:rPr>
              <w:t>392.00</w:t>
            </w:r>
          </w:p>
        </w:tc>
        <w:tc>
          <w:tcPr>
            <w:tcW w:w="1560" w:type="dxa"/>
          </w:tcPr>
          <w:p w:rsidR="007C5447" w:rsidRDefault="00F6308C">
            <w:pPr>
              <w:pStyle w:val="TableParagraph"/>
              <w:spacing w:before="26"/>
              <w:ind w:right="98"/>
              <w:rPr>
                <w:sz w:val="20"/>
              </w:rPr>
            </w:pPr>
            <w:r>
              <w:rPr>
                <w:w w:val="95"/>
                <w:sz w:val="20"/>
              </w:rPr>
              <w:t>216.98</w:t>
            </w:r>
          </w:p>
        </w:tc>
        <w:tc>
          <w:tcPr>
            <w:tcW w:w="1560" w:type="dxa"/>
          </w:tcPr>
          <w:p w:rsidR="007C5447" w:rsidRDefault="00F6308C">
            <w:pPr>
              <w:pStyle w:val="TableParagraph"/>
              <w:spacing w:before="26"/>
              <w:ind w:right="97"/>
              <w:rPr>
                <w:sz w:val="20"/>
              </w:rPr>
            </w:pPr>
            <w:r>
              <w:rPr>
                <w:w w:val="95"/>
                <w:sz w:val="20"/>
              </w:rPr>
              <w:t>149.88</w:t>
            </w:r>
          </w:p>
        </w:tc>
        <w:tc>
          <w:tcPr>
            <w:tcW w:w="1558" w:type="dxa"/>
          </w:tcPr>
          <w:p w:rsidR="007C5447" w:rsidRDefault="00F6308C">
            <w:pPr>
              <w:pStyle w:val="TableParagraph"/>
              <w:spacing w:before="26"/>
              <w:ind w:right="97"/>
              <w:rPr>
                <w:sz w:val="20"/>
              </w:rPr>
            </w:pPr>
            <w:r>
              <w:rPr>
                <w:sz w:val="20"/>
              </w:rPr>
              <w:t>3.82</w:t>
            </w:r>
          </w:p>
        </w:tc>
        <w:tc>
          <w:tcPr>
            <w:tcW w:w="1530" w:type="dxa"/>
          </w:tcPr>
          <w:p w:rsidR="007C5447" w:rsidRDefault="00F6308C">
            <w:pPr>
              <w:pStyle w:val="TableParagraph"/>
              <w:spacing w:before="26"/>
              <w:ind w:right="98"/>
              <w:rPr>
                <w:sz w:val="20"/>
              </w:rPr>
            </w:pPr>
            <w:r>
              <w:rPr>
                <w:w w:val="95"/>
                <w:sz w:val="20"/>
              </w:rPr>
              <w:t>366.86</w:t>
            </w:r>
          </w:p>
        </w:tc>
        <w:tc>
          <w:tcPr>
            <w:tcW w:w="1565" w:type="dxa"/>
          </w:tcPr>
          <w:p w:rsidR="007C5447" w:rsidRDefault="00F6308C">
            <w:pPr>
              <w:pStyle w:val="TableParagraph"/>
              <w:spacing w:before="26"/>
              <w:ind w:right="98"/>
              <w:rPr>
                <w:sz w:val="20"/>
              </w:rPr>
            </w:pPr>
            <w:r>
              <w:rPr>
                <w:sz w:val="20"/>
              </w:rPr>
              <w:t>9.36</w:t>
            </w:r>
          </w:p>
        </w:tc>
      </w:tr>
      <w:tr w:rsidR="007C5447">
        <w:trPr>
          <w:trHeight w:val="282"/>
        </w:trPr>
        <w:tc>
          <w:tcPr>
            <w:tcW w:w="4736" w:type="dxa"/>
          </w:tcPr>
          <w:p w:rsidR="007C5447" w:rsidRDefault="00F6308C">
            <w:pPr>
              <w:pStyle w:val="TableParagraph"/>
              <w:spacing w:before="26"/>
              <w:ind w:left="107"/>
              <w:jc w:val="left"/>
              <w:rPr>
                <w:sz w:val="20"/>
              </w:rPr>
            </w:pPr>
            <w:r>
              <w:rPr>
                <w:sz w:val="20"/>
              </w:rPr>
              <w:t>Tuticorin TPS</w:t>
            </w:r>
          </w:p>
        </w:tc>
        <w:tc>
          <w:tcPr>
            <w:tcW w:w="1668" w:type="dxa"/>
          </w:tcPr>
          <w:p w:rsidR="007C5447" w:rsidRDefault="00F6308C">
            <w:pPr>
              <w:pStyle w:val="TableParagraph"/>
              <w:spacing w:before="26"/>
              <w:ind w:right="96"/>
              <w:rPr>
                <w:sz w:val="20"/>
              </w:rPr>
            </w:pPr>
            <w:r>
              <w:rPr>
                <w:w w:val="95"/>
                <w:sz w:val="20"/>
              </w:rPr>
              <w:t>6,501.00</w:t>
            </w:r>
          </w:p>
        </w:tc>
        <w:tc>
          <w:tcPr>
            <w:tcW w:w="1560" w:type="dxa"/>
          </w:tcPr>
          <w:p w:rsidR="007C5447" w:rsidRDefault="00F6308C">
            <w:pPr>
              <w:pStyle w:val="TableParagraph"/>
              <w:spacing w:before="26"/>
              <w:ind w:right="98"/>
              <w:rPr>
                <w:sz w:val="20"/>
              </w:rPr>
            </w:pPr>
            <w:r>
              <w:rPr>
                <w:w w:val="95"/>
                <w:sz w:val="20"/>
              </w:rPr>
              <w:t>667.51</w:t>
            </w:r>
          </w:p>
        </w:tc>
        <w:tc>
          <w:tcPr>
            <w:tcW w:w="1560" w:type="dxa"/>
          </w:tcPr>
          <w:p w:rsidR="007C5447" w:rsidRDefault="00F6308C">
            <w:pPr>
              <w:pStyle w:val="TableParagraph"/>
              <w:spacing w:before="26"/>
              <w:ind w:right="95"/>
              <w:rPr>
                <w:sz w:val="20"/>
              </w:rPr>
            </w:pPr>
            <w:r>
              <w:rPr>
                <w:w w:val="95"/>
                <w:sz w:val="20"/>
              </w:rPr>
              <w:t>2,113.77</w:t>
            </w:r>
          </w:p>
        </w:tc>
        <w:tc>
          <w:tcPr>
            <w:tcW w:w="1558" w:type="dxa"/>
          </w:tcPr>
          <w:p w:rsidR="007C5447" w:rsidRDefault="00F6308C">
            <w:pPr>
              <w:pStyle w:val="TableParagraph"/>
              <w:spacing w:before="26"/>
              <w:ind w:right="97"/>
              <w:rPr>
                <w:sz w:val="20"/>
              </w:rPr>
            </w:pPr>
            <w:r>
              <w:rPr>
                <w:sz w:val="20"/>
              </w:rPr>
              <w:t>3.25</w:t>
            </w:r>
          </w:p>
        </w:tc>
        <w:tc>
          <w:tcPr>
            <w:tcW w:w="1530" w:type="dxa"/>
          </w:tcPr>
          <w:p w:rsidR="007C5447" w:rsidRDefault="00F6308C">
            <w:pPr>
              <w:pStyle w:val="TableParagraph"/>
              <w:spacing w:before="26"/>
              <w:ind w:right="96"/>
              <w:rPr>
                <w:sz w:val="20"/>
              </w:rPr>
            </w:pPr>
            <w:r>
              <w:rPr>
                <w:w w:val="95"/>
                <w:sz w:val="20"/>
              </w:rPr>
              <w:t>2,781.28</w:t>
            </w:r>
          </w:p>
        </w:tc>
        <w:tc>
          <w:tcPr>
            <w:tcW w:w="1565" w:type="dxa"/>
          </w:tcPr>
          <w:p w:rsidR="007C5447" w:rsidRDefault="00F6308C">
            <w:pPr>
              <w:pStyle w:val="TableParagraph"/>
              <w:spacing w:before="26"/>
              <w:ind w:right="98"/>
              <w:rPr>
                <w:sz w:val="20"/>
              </w:rPr>
            </w:pPr>
            <w:r>
              <w:rPr>
                <w:sz w:val="20"/>
              </w:rPr>
              <w:t>4.28</w:t>
            </w:r>
          </w:p>
        </w:tc>
      </w:tr>
    </w:tbl>
    <w:p w:rsidR="007C5447" w:rsidRDefault="007C5447">
      <w:pPr>
        <w:rPr>
          <w:sz w:val="20"/>
        </w:rPr>
        <w:sectPr w:rsidR="007C5447">
          <w:pgSz w:w="16840" w:h="11910" w:orient="landscape"/>
          <w:pgMar w:top="1100" w:right="1220" w:bottom="960" w:left="1220" w:header="0" w:footer="777" w:gutter="0"/>
          <w:cols w:space="720"/>
        </w:sectPr>
      </w:pPr>
    </w:p>
    <w:p w:rsidR="007C5447" w:rsidRDefault="007C5447">
      <w:pPr>
        <w:pStyle w:val="BodyText"/>
        <w:spacing w:before="3"/>
        <w:rPr>
          <w:sz w:val="2"/>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36"/>
        <w:gridCol w:w="1668"/>
        <w:gridCol w:w="1560"/>
        <w:gridCol w:w="1560"/>
        <w:gridCol w:w="1558"/>
        <w:gridCol w:w="1530"/>
        <w:gridCol w:w="1565"/>
      </w:tblGrid>
      <w:tr w:rsidR="007C5447">
        <w:trPr>
          <w:trHeight w:val="283"/>
        </w:trPr>
        <w:tc>
          <w:tcPr>
            <w:tcW w:w="4736" w:type="dxa"/>
            <w:vMerge w:val="restart"/>
            <w:shd w:val="clear" w:color="auto" w:fill="FBD4B4"/>
          </w:tcPr>
          <w:p w:rsidR="007C5447" w:rsidRDefault="007C5447">
            <w:pPr>
              <w:pStyle w:val="TableParagraph"/>
              <w:jc w:val="left"/>
            </w:pPr>
          </w:p>
          <w:p w:rsidR="007C5447" w:rsidRDefault="00F6308C">
            <w:pPr>
              <w:pStyle w:val="TableParagraph"/>
              <w:spacing w:before="158"/>
              <w:ind w:left="1723" w:right="1710"/>
              <w:jc w:val="center"/>
              <w:rPr>
                <w:b/>
                <w:sz w:val="20"/>
              </w:rPr>
            </w:pPr>
            <w:r>
              <w:rPr>
                <w:b/>
                <w:sz w:val="20"/>
              </w:rPr>
              <w:t>Source</w:t>
            </w:r>
          </w:p>
        </w:tc>
        <w:tc>
          <w:tcPr>
            <w:tcW w:w="9441" w:type="dxa"/>
            <w:gridSpan w:val="6"/>
            <w:shd w:val="clear" w:color="auto" w:fill="FBD4B4"/>
          </w:tcPr>
          <w:p w:rsidR="007C5447" w:rsidRDefault="00F6308C">
            <w:pPr>
              <w:pStyle w:val="TableParagraph"/>
              <w:spacing w:before="39" w:line="224" w:lineRule="exact"/>
              <w:ind w:left="4205" w:right="4192"/>
              <w:jc w:val="center"/>
              <w:rPr>
                <w:b/>
                <w:sz w:val="20"/>
              </w:rPr>
            </w:pPr>
            <w:r>
              <w:rPr>
                <w:b/>
                <w:sz w:val="20"/>
              </w:rPr>
              <w:t>FY 2015-16</w:t>
            </w:r>
          </w:p>
        </w:tc>
      </w:tr>
      <w:tr w:rsidR="007C5447">
        <w:trPr>
          <w:trHeight w:val="757"/>
        </w:trPr>
        <w:tc>
          <w:tcPr>
            <w:tcW w:w="4736" w:type="dxa"/>
            <w:vMerge/>
            <w:tcBorders>
              <w:top w:val="nil"/>
            </w:tcBorders>
            <w:shd w:val="clear" w:color="auto" w:fill="FBD4B4"/>
          </w:tcPr>
          <w:p w:rsidR="007C5447" w:rsidRDefault="007C5447">
            <w:pPr>
              <w:rPr>
                <w:sz w:val="2"/>
                <w:szCs w:val="2"/>
              </w:rPr>
            </w:pPr>
          </w:p>
        </w:tc>
        <w:tc>
          <w:tcPr>
            <w:tcW w:w="1668" w:type="dxa"/>
            <w:shd w:val="clear" w:color="auto" w:fill="FBD4B4"/>
          </w:tcPr>
          <w:p w:rsidR="007C5447" w:rsidRDefault="007C5447">
            <w:pPr>
              <w:pStyle w:val="TableParagraph"/>
              <w:spacing w:before="11"/>
              <w:jc w:val="left"/>
            </w:pPr>
          </w:p>
          <w:p w:rsidR="007C5447" w:rsidRDefault="00F6308C">
            <w:pPr>
              <w:pStyle w:val="TableParagraph"/>
              <w:ind w:right="148"/>
              <w:rPr>
                <w:b/>
                <w:sz w:val="20"/>
              </w:rPr>
            </w:pPr>
            <w:r>
              <w:rPr>
                <w:b/>
                <w:sz w:val="20"/>
              </w:rPr>
              <w:t>Quantum (MU)</w:t>
            </w:r>
          </w:p>
        </w:tc>
        <w:tc>
          <w:tcPr>
            <w:tcW w:w="1560" w:type="dxa"/>
            <w:shd w:val="clear" w:color="auto" w:fill="FBD4B4"/>
          </w:tcPr>
          <w:p w:rsidR="007C5447" w:rsidRDefault="00F6308C">
            <w:pPr>
              <w:pStyle w:val="TableParagraph"/>
              <w:spacing w:before="149"/>
              <w:ind w:left="415" w:right="126" w:hanging="250"/>
              <w:jc w:val="left"/>
              <w:rPr>
                <w:b/>
                <w:sz w:val="20"/>
              </w:rPr>
            </w:pPr>
            <w:r>
              <w:rPr>
                <w:b/>
                <w:sz w:val="20"/>
              </w:rPr>
              <w:t>Fixed Charges (Rs. Cr.)</w:t>
            </w:r>
          </w:p>
        </w:tc>
        <w:tc>
          <w:tcPr>
            <w:tcW w:w="1560" w:type="dxa"/>
            <w:shd w:val="clear" w:color="auto" w:fill="FBD4B4"/>
          </w:tcPr>
          <w:p w:rsidR="007C5447" w:rsidRDefault="00F6308C">
            <w:pPr>
              <w:pStyle w:val="TableParagraph"/>
              <w:spacing w:before="149"/>
              <w:ind w:left="300" w:right="92" w:hanging="168"/>
              <w:jc w:val="left"/>
              <w:rPr>
                <w:b/>
                <w:sz w:val="20"/>
              </w:rPr>
            </w:pPr>
            <w:r>
              <w:rPr>
                <w:b/>
                <w:sz w:val="20"/>
              </w:rPr>
              <w:t>Energy Charge (Rs. Crore)</w:t>
            </w:r>
          </w:p>
        </w:tc>
        <w:tc>
          <w:tcPr>
            <w:tcW w:w="1558" w:type="dxa"/>
            <w:shd w:val="clear" w:color="auto" w:fill="FBD4B4"/>
          </w:tcPr>
          <w:p w:rsidR="007C5447" w:rsidRDefault="00F6308C">
            <w:pPr>
              <w:pStyle w:val="TableParagraph"/>
              <w:spacing w:before="149"/>
              <w:ind w:left="362" w:right="93" w:hanging="233"/>
              <w:jc w:val="left"/>
              <w:rPr>
                <w:b/>
                <w:sz w:val="20"/>
              </w:rPr>
            </w:pPr>
            <w:r>
              <w:rPr>
                <w:b/>
                <w:sz w:val="20"/>
              </w:rPr>
              <w:t>Energy Charge (Rs./Unit)</w:t>
            </w:r>
          </w:p>
        </w:tc>
        <w:tc>
          <w:tcPr>
            <w:tcW w:w="1530" w:type="dxa"/>
            <w:shd w:val="clear" w:color="auto" w:fill="FBD4B4"/>
          </w:tcPr>
          <w:p w:rsidR="007C5447" w:rsidRDefault="00F6308C">
            <w:pPr>
              <w:pStyle w:val="TableParagraph"/>
              <w:spacing w:before="149"/>
              <w:ind w:left="425" w:right="284" w:hanging="104"/>
              <w:jc w:val="left"/>
              <w:rPr>
                <w:b/>
                <w:sz w:val="20"/>
              </w:rPr>
            </w:pPr>
            <w:r>
              <w:rPr>
                <w:b/>
                <w:sz w:val="20"/>
              </w:rPr>
              <w:t>Total Cost (Rs. Cr)</w:t>
            </w:r>
          </w:p>
        </w:tc>
        <w:tc>
          <w:tcPr>
            <w:tcW w:w="1565" w:type="dxa"/>
            <w:shd w:val="clear" w:color="auto" w:fill="FBD4B4"/>
          </w:tcPr>
          <w:p w:rsidR="007C5447" w:rsidRDefault="007C5447">
            <w:pPr>
              <w:pStyle w:val="TableParagraph"/>
              <w:spacing w:before="11"/>
              <w:jc w:val="left"/>
            </w:pPr>
          </w:p>
          <w:p w:rsidR="007C5447" w:rsidRDefault="00F6308C">
            <w:pPr>
              <w:pStyle w:val="TableParagraph"/>
              <w:ind w:right="129"/>
              <w:rPr>
                <w:b/>
                <w:sz w:val="20"/>
              </w:rPr>
            </w:pPr>
            <w:r>
              <w:rPr>
                <w:b/>
                <w:sz w:val="20"/>
              </w:rPr>
              <w:t>Rate (Rs/kWh)</w:t>
            </w:r>
          </w:p>
        </w:tc>
      </w:tr>
      <w:tr w:rsidR="007C5447">
        <w:trPr>
          <w:trHeight w:val="280"/>
        </w:trPr>
        <w:tc>
          <w:tcPr>
            <w:tcW w:w="4736" w:type="dxa"/>
          </w:tcPr>
          <w:p w:rsidR="007C5447" w:rsidRDefault="00F6308C">
            <w:pPr>
              <w:pStyle w:val="TableParagraph"/>
              <w:spacing w:before="26"/>
              <w:ind w:left="112"/>
              <w:jc w:val="left"/>
              <w:rPr>
                <w:sz w:val="20"/>
              </w:rPr>
            </w:pPr>
            <w:r>
              <w:rPr>
                <w:sz w:val="20"/>
              </w:rPr>
              <w:t>Mettur TPS</w:t>
            </w:r>
          </w:p>
        </w:tc>
        <w:tc>
          <w:tcPr>
            <w:tcW w:w="1668" w:type="dxa"/>
          </w:tcPr>
          <w:p w:rsidR="007C5447" w:rsidRDefault="00F6308C">
            <w:pPr>
              <w:pStyle w:val="TableParagraph"/>
              <w:spacing w:before="26"/>
              <w:ind w:right="91"/>
              <w:rPr>
                <w:sz w:val="20"/>
              </w:rPr>
            </w:pPr>
            <w:r>
              <w:rPr>
                <w:w w:val="95"/>
                <w:sz w:val="20"/>
              </w:rPr>
              <w:t>5,406.00</w:t>
            </w:r>
          </w:p>
        </w:tc>
        <w:tc>
          <w:tcPr>
            <w:tcW w:w="1560" w:type="dxa"/>
          </w:tcPr>
          <w:p w:rsidR="007C5447" w:rsidRDefault="00F6308C">
            <w:pPr>
              <w:pStyle w:val="TableParagraph"/>
              <w:spacing w:before="26"/>
              <w:ind w:right="93"/>
              <w:rPr>
                <w:sz w:val="20"/>
              </w:rPr>
            </w:pPr>
            <w:r>
              <w:rPr>
                <w:w w:val="95"/>
                <w:sz w:val="20"/>
              </w:rPr>
              <w:t>504.14</w:t>
            </w:r>
          </w:p>
        </w:tc>
        <w:tc>
          <w:tcPr>
            <w:tcW w:w="1560" w:type="dxa"/>
          </w:tcPr>
          <w:p w:rsidR="007C5447" w:rsidRDefault="00F6308C">
            <w:pPr>
              <w:pStyle w:val="TableParagraph"/>
              <w:spacing w:before="26"/>
              <w:ind w:right="90"/>
              <w:rPr>
                <w:sz w:val="20"/>
              </w:rPr>
            </w:pPr>
            <w:r>
              <w:rPr>
                <w:w w:val="95"/>
                <w:sz w:val="20"/>
              </w:rPr>
              <w:t>1,863.38</w:t>
            </w:r>
          </w:p>
        </w:tc>
        <w:tc>
          <w:tcPr>
            <w:tcW w:w="1558" w:type="dxa"/>
          </w:tcPr>
          <w:p w:rsidR="007C5447" w:rsidRDefault="00F6308C">
            <w:pPr>
              <w:pStyle w:val="TableParagraph"/>
              <w:spacing w:before="26"/>
              <w:ind w:right="93"/>
              <w:rPr>
                <w:sz w:val="20"/>
              </w:rPr>
            </w:pPr>
            <w:r>
              <w:rPr>
                <w:sz w:val="20"/>
              </w:rPr>
              <w:t>3.45</w:t>
            </w:r>
          </w:p>
        </w:tc>
        <w:tc>
          <w:tcPr>
            <w:tcW w:w="1530" w:type="dxa"/>
          </w:tcPr>
          <w:p w:rsidR="007C5447" w:rsidRDefault="00F6308C">
            <w:pPr>
              <w:pStyle w:val="TableParagraph"/>
              <w:spacing w:before="26"/>
              <w:ind w:right="91"/>
              <w:rPr>
                <w:sz w:val="20"/>
              </w:rPr>
            </w:pPr>
            <w:r>
              <w:rPr>
                <w:w w:val="95"/>
                <w:sz w:val="20"/>
              </w:rPr>
              <w:t>2,367.52</w:t>
            </w:r>
          </w:p>
        </w:tc>
        <w:tc>
          <w:tcPr>
            <w:tcW w:w="1565" w:type="dxa"/>
          </w:tcPr>
          <w:p w:rsidR="007C5447" w:rsidRDefault="00F6308C">
            <w:pPr>
              <w:pStyle w:val="TableParagraph"/>
              <w:spacing w:before="26"/>
              <w:ind w:right="93"/>
              <w:rPr>
                <w:sz w:val="20"/>
              </w:rPr>
            </w:pPr>
            <w:r>
              <w:rPr>
                <w:sz w:val="20"/>
              </w:rPr>
              <w:t>4.38</w:t>
            </w:r>
          </w:p>
        </w:tc>
      </w:tr>
      <w:tr w:rsidR="007C5447">
        <w:trPr>
          <w:trHeight w:val="282"/>
        </w:trPr>
        <w:tc>
          <w:tcPr>
            <w:tcW w:w="4736" w:type="dxa"/>
          </w:tcPr>
          <w:p w:rsidR="007C5447" w:rsidRDefault="00F6308C">
            <w:pPr>
              <w:pStyle w:val="TableParagraph"/>
              <w:spacing w:before="26"/>
              <w:ind w:left="112"/>
              <w:jc w:val="left"/>
              <w:rPr>
                <w:sz w:val="20"/>
              </w:rPr>
            </w:pPr>
            <w:r>
              <w:rPr>
                <w:sz w:val="20"/>
              </w:rPr>
              <w:t>North Chennai TPS</w:t>
            </w:r>
          </w:p>
        </w:tc>
        <w:tc>
          <w:tcPr>
            <w:tcW w:w="1668" w:type="dxa"/>
          </w:tcPr>
          <w:p w:rsidR="007C5447" w:rsidRDefault="00F6308C">
            <w:pPr>
              <w:pStyle w:val="TableParagraph"/>
              <w:spacing w:before="26"/>
              <w:ind w:right="91"/>
              <w:rPr>
                <w:sz w:val="20"/>
              </w:rPr>
            </w:pPr>
            <w:r>
              <w:rPr>
                <w:w w:val="95"/>
                <w:sz w:val="20"/>
              </w:rPr>
              <w:t>4,071.00</w:t>
            </w:r>
          </w:p>
        </w:tc>
        <w:tc>
          <w:tcPr>
            <w:tcW w:w="1560" w:type="dxa"/>
          </w:tcPr>
          <w:p w:rsidR="007C5447" w:rsidRDefault="00F6308C">
            <w:pPr>
              <w:pStyle w:val="TableParagraph"/>
              <w:spacing w:before="26"/>
              <w:ind w:right="93"/>
              <w:rPr>
                <w:sz w:val="20"/>
              </w:rPr>
            </w:pPr>
            <w:r>
              <w:rPr>
                <w:w w:val="95"/>
                <w:sz w:val="20"/>
              </w:rPr>
              <w:t>554.13</w:t>
            </w:r>
          </w:p>
        </w:tc>
        <w:tc>
          <w:tcPr>
            <w:tcW w:w="1560" w:type="dxa"/>
          </w:tcPr>
          <w:p w:rsidR="007C5447" w:rsidRDefault="00F6308C">
            <w:pPr>
              <w:pStyle w:val="TableParagraph"/>
              <w:spacing w:before="26"/>
              <w:ind w:right="90"/>
              <w:rPr>
                <w:sz w:val="20"/>
              </w:rPr>
            </w:pPr>
            <w:r>
              <w:rPr>
                <w:w w:val="95"/>
                <w:sz w:val="20"/>
              </w:rPr>
              <w:t>1,439.28</w:t>
            </w:r>
          </w:p>
        </w:tc>
        <w:tc>
          <w:tcPr>
            <w:tcW w:w="1558" w:type="dxa"/>
          </w:tcPr>
          <w:p w:rsidR="007C5447" w:rsidRDefault="00F6308C">
            <w:pPr>
              <w:pStyle w:val="TableParagraph"/>
              <w:spacing w:before="26"/>
              <w:ind w:right="93"/>
              <w:rPr>
                <w:sz w:val="20"/>
              </w:rPr>
            </w:pPr>
            <w:r>
              <w:rPr>
                <w:sz w:val="20"/>
              </w:rPr>
              <w:t>3.54</w:t>
            </w:r>
          </w:p>
        </w:tc>
        <w:tc>
          <w:tcPr>
            <w:tcW w:w="1530" w:type="dxa"/>
          </w:tcPr>
          <w:p w:rsidR="007C5447" w:rsidRDefault="00F6308C">
            <w:pPr>
              <w:pStyle w:val="TableParagraph"/>
              <w:spacing w:before="26"/>
              <w:ind w:right="91"/>
              <w:rPr>
                <w:sz w:val="20"/>
              </w:rPr>
            </w:pPr>
            <w:r>
              <w:rPr>
                <w:w w:val="95"/>
                <w:sz w:val="20"/>
              </w:rPr>
              <w:t>1,993.41</w:t>
            </w:r>
          </w:p>
        </w:tc>
        <w:tc>
          <w:tcPr>
            <w:tcW w:w="1565" w:type="dxa"/>
          </w:tcPr>
          <w:p w:rsidR="007C5447" w:rsidRDefault="00F6308C">
            <w:pPr>
              <w:pStyle w:val="TableParagraph"/>
              <w:spacing w:before="26"/>
              <w:ind w:right="93"/>
              <w:rPr>
                <w:sz w:val="20"/>
              </w:rPr>
            </w:pPr>
            <w:r>
              <w:rPr>
                <w:sz w:val="20"/>
              </w:rPr>
              <w:t>4.90</w:t>
            </w:r>
          </w:p>
        </w:tc>
      </w:tr>
      <w:tr w:rsidR="007C5447">
        <w:trPr>
          <w:trHeight w:val="280"/>
        </w:trPr>
        <w:tc>
          <w:tcPr>
            <w:tcW w:w="4736" w:type="dxa"/>
          </w:tcPr>
          <w:p w:rsidR="007C5447" w:rsidRDefault="00F6308C">
            <w:pPr>
              <w:pStyle w:val="TableParagraph"/>
              <w:spacing w:before="24"/>
              <w:ind w:left="112"/>
              <w:jc w:val="left"/>
              <w:rPr>
                <w:sz w:val="20"/>
              </w:rPr>
            </w:pPr>
            <w:r>
              <w:rPr>
                <w:sz w:val="20"/>
              </w:rPr>
              <w:t>NCTPS Stage-II (Unit 1)</w:t>
            </w:r>
          </w:p>
        </w:tc>
        <w:tc>
          <w:tcPr>
            <w:tcW w:w="1668" w:type="dxa"/>
          </w:tcPr>
          <w:p w:rsidR="007C5447" w:rsidRDefault="00F6308C">
            <w:pPr>
              <w:pStyle w:val="TableParagraph"/>
              <w:spacing w:before="24"/>
              <w:ind w:right="91"/>
              <w:rPr>
                <w:sz w:val="20"/>
              </w:rPr>
            </w:pPr>
            <w:r>
              <w:rPr>
                <w:w w:val="95"/>
                <w:sz w:val="20"/>
              </w:rPr>
              <w:t>4,468.00</w:t>
            </w:r>
          </w:p>
        </w:tc>
        <w:tc>
          <w:tcPr>
            <w:tcW w:w="1560" w:type="dxa"/>
          </w:tcPr>
          <w:p w:rsidR="007C5447" w:rsidRDefault="00F6308C">
            <w:pPr>
              <w:pStyle w:val="TableParagraph"/>
              <w:spacing w:before="24"/>
              <w:ind w:right="93"/>
              <w:rPr>
                <w:sz w:val="20"/>
              </w:rPr>
            </w:pPr>
            <w:r>
              <w:rPr>
                <w:w w:val="95"/>
                <w:sz w:val="20"/>
              </w:rPr>
              <w:t>629.76</w:t>
            </w:r>
          </w:p>
        </w:tc>
        <w:tc>
          <w:tcPr>
            <w:tcW w:w="1560" w:type="dxa"/>
          </w:tcPr>
          <w:p w:rsidR="007C5447" w:rsidRDefault="00F6308C">
            <w:pPr>
              <w:pStyle w:val="TableParagraph"/>
              <w:spacing w:before="24"/>
              <w:ind w:right="90"/>
              <w:rPr>
                <w:sz w:val="20"/>
              </w:rPr>
            </w:pPr>
            <w:r>
              <w:rPr>
                <w:w w:val="95"/>
                <w:sz w:val="20"/>
              </w:rPr>
              <w:t>2,102.67</w:t>
            </w:r>
          </w:p>
        </w:tc>
        <w:tc>
          <w:tcPr>
            <w:tcW w:w="1558" w:type="dxa"/>
          </w:tcPr>
          <w:p w:rsidR="007C5447" w:rsidRDefault="00F6308C">
            <w:pPr>
              <w:pStyle w:val="TableParagraph"/>
              <w:spacing w:before="24"/>
              <w:ind w:right="93"/>
              <w:rPr>
                <w:sz w:val="20"/>
              </w:rPr>
            </w:pPr>
            <w:r>
              <w:rPr>
                <w:sz w:val="20"/>
              </w:rPr>
              <w:t>4.71</w:t>
            </w:r>
          </w:p>
        </w:tc>
        <w:tc>
          <w:tcPr>
            <w:tcW w:w="1530" w:type="dxa"/>
          </w:tcPr>
          <w:p w:rsidR="007C5447" w:rsidRDefault="00F6308C">
            <w:pPr>
              <w:pStyle w:val="TableParagraph"/>
              <w:spacing w:before="24"/>
              <w:ind w:right="91"/>
              <w:rPr>
                <w:sz w:val="20"/>
              </w:rPr>
            </w:pPr>
            <w:r>
              <w:rPr>
                <w:w w:val="95"/>
                <w:sz w:val="20"/>
              </w:rPr>
              <w:t>2,732.42</w:t>
            </w:r>
          </w:p>
        </w:tc>
        <w:tc>
          <w:tcPr>
            <w:tcW w:w="1565" w:type="dxa"/>
          </w:tcPr>
          <w:p w:rsidR="007C5447" w:rsidRDefault="00F6308C">
            <w:pPr>
              <w:pStyle w:val="TableParagraph"/>
              <w:spacing w:before="24"/>
              <w:ind w:right="93"/>
              <w:rPr>
                <w:sz w:val="20"/>
              </w:rPr>
            </w:pPr>
            <w:r>
              <w:rPr>
                <w:sz w:val="20"/>
              </w:rPr>
              <w:t>6.12</w:t>
            </w:r>
          </w:p>
        </w:tc>
      </w:tr>
      <w:tr w:rsidR="007C5447">
        <w:trPr>
          <w:trHeight w:val="280"/>
        </w:trPr>
        <w:tc>
          <w:tcPr>
            <w:tcW w:w="4736" w:type="dxa"/>
          </w:tcPr>
          <w:p w:rsidR="007C5447" w:rsidRDefault="00F6308C">
            <w:pPr>
              <w:pStyle w:val="TableParagraph"/>
              <w:spacing w:before="26"/>
              <w:ind w:left="112"/>
              <w:jc w:val="left"/>
              <w:rPr>
                <w:sz w:val="20"/>
              </w:rPr>
            </w:pPr>
            <w:r>
              <w:rPr>
                <w:sz w:val="20"/>
              </w:rPr>
              <w:t>MTPS Stage III</w:t>
            </w:r>
          </w:p>
        </w:tc>
        <w:tc>
          <w:tcPr>
            <w:tcW w:w="1668" w:type="dxa"/>
          </w:tcPr>
          <w:p w:rsidR="007C5447" w:rsidRDefault="00F6308C">
            <w:pPr>
              <w:pStyle w:val="TableParagraph"/>
              <w:spacing w:before="26"/>
              <w:ind w:right="91"/>
              <w:rPr>
                <w:sz w:val="20"/>
              </w:rPr>
            </w:pPr>
            <w:r>
              <w:rPr>
                <w:w w:val="95"/>
                <w:sz w:val="20"/>
              </w:rPr>
              <w:t>2,664.00</w:t>
            </w:r>
          </w:p>
        </w:tc>
        <w:tc>
          <w:tcPr>
            <w:tcW w:w="1560" w:type="dxa"/>
          </w:tcPr>
          <w:p w:rsidR="007C5447" w:rsidRDefault="00F6308C">
            <w:pPr>
              <w:pStyle w:val="TableParagraph"/>
              <w:spacing w:before="26"/>
              <w:ind w:right="91"/>
              <w:rPr>
                <w:sz w:val="20"/>
              </w:rPr>
            </w:pPr>
            <w:r>
              <w:rPr>
                <w:w w:val="95"/>
                <w:sz w:val="20"/>
              </w:rPr>
              <w:t>1,219.36</w:t>
            </w:r>
          </w:p>
        </w:tc>
        <w:tc>
          <w:tcPr>
            <w:tcW w:w="1560" w:type="dxa"/>
          </w:tcPr>
          <w:p w:rsidR="007C5447" w:rsidRDefault="00F6308C">
            <w:pPr>
              <w:pStyle w:val="TableParagraph"/>
              <w:spacing w:before="26"/>
              <w:ind w:right="92"/>
              <w:rPr>
                <w:sz w:val="20"/>
              </w:rPr>
            </w:pPr>
            <w:r>
              <w:rPr>
                <w:w w:val="95"/>
                <w:sz w:val="20"/>
              </w:rPr>
              <w:t>632.22</w:t>
            </w:r>
          </w:p>
        </w:tc>
        <w:tc>
          <w:tcPr>
            <w:tcW w:w="1558" w:type="dxa"/>
          </w:tcPr>
          <w:p w:rsidR="007C5447" w:rsidRDefault="00F6308C">
            <w:pPr>
              <w:pStyle w:val="TableParagraph"/>
              <w:spacing w:before="26"/>
              <w:ind w:right="93"/>
              <w:rPr>
                <w:sz w:val="20"/>
              </w:rPr>
            </w:pPr>
            <w:r>
              <w:rPr>
                <w:sz w:val="20"/>
              </w:rPr>
              <w:t>2.37</w:t>
            </w:r>
          </w:p>
        </w:tc>
        <w:tc>
          <w:tcPr>
            <w:tcW w:w="1530" w:type="dxa"/>
          </w:tcPr>
          <w:p w:rsidR="007C5447" w:rsidRDefault="00F6308C">
            <w:pPr>
              <w:pStyle w:val="TableParagraph"/>
              <w:spacing w:before="26"/>
              <w:ind w:right="91"/>
              <w:rPr>
                <w:sz w:val="20"/>
              </w:rPr>
            </w:pPr>
            <w:r>
              <w:rPr>
                <w:w w:val="95"/>
                <w:sz w:val="20"/>
              </w:rPr>
              <w:t>1,851.58</w:t>
            </w:r>
          </w:p>
        </w:tc>
        <w:tc>
          <w:tcPr>
            <w:tcW w:w="1565" w:type="dxa"/>
          </w:tcPr>
          <w:p w:rsidR="007C5447" w:rsidRDefault="00F6308C">
            <w:pPr>
              <w:pStyle w:val="TableParagraph"/>
              <w:spacing w:before="26"/>
              <w:ind w:right="93"/>
              <w:rPr>
                <w:sz w:val="20"/>
              </w:rPr>
            </w:pPr>
            <w:r>
              <w:rPr>
                <w:sz w:val="20"/>
              </w:rPr>
              <w:t>6.95</w:t>
            </w:r>
          </w:p>
        </w:tc>
      </w:tr>
      <w:tr w:rsidR="007C5447">
        <w:trPr>
          <w:trHeight w:val="280"/>
        </w:trPr>
        <w:tc>
          <w:tcPr>
            <w:tcW w:w="4736" w:type="dxa"/>
          </w:tcPr>
          <w:p w:rsidR="007C5447" w:rsidRDefault="00F6308C">
            <w:pPr>
              <w:pStyle w:val="TableParagraph"/>
              <w:spacing w:before="26"/>
              <w:ind w:left="1723" w:right="1712"/>
              <w:jc w:val="center"/>
              <w:rPr>
                <w:b/>
                <w:sz w:val="20"/>
              </w:rPr>
            </w:pPr>
            <w:r>
              <w:rPr>
                <w:b/>
                <w:sz w:val="20"/>
              </w:rPr>
              <w:t>Total Thermal</w:t>
            </w:r>
          </w:p>
        </w:tc>
        <w:tc>
          <w:tcPr>
            <w:tcW w:w="1668" w:type="dxa"/>
          </w:tcPr>
          <w:p w:rsidR="007C5447" w:rsidRDefault="00F6308C">
            <w:pPr>
              <w:pStyle w:val="TableParagraph"/>
              <w:spacing w:before="26"/>
              <w:ind w:right="93"/>
              <w:rPr>
                <w:b/>
                <w:sz w:val="20"/>
              </w:rPr>
            </w:pPr>
            <w:r>
              <w:rPr>
                <w:b/>
                <w:w w:val="95"/>
                <w:sz w:val="20"/>
              </w:rPr>
              <w:t>23,502.00</w:t>
            </w:r>
          </w:p>
        </w:tc>
        <w:tc>
          <w:tcPr>
            <w:tcW w:w="1560" w:type="dxa"/>
          </w:tcPr>
          <w:p w:rsidR="007C5447" w:rsidRDefault="00F6308C">
            <w:pPr>
              <w:pStyle w:val="TableParagraph"/>
              <w:spacing w:before="26"/>
              <w:ind w:right="91"/>
              <w:rPr>
                <w:b/>
                <w:sz w:val="20"/>
              </w:rPr>
            </w:pPr>
            <w:r>
              <w:rPr>
                <w:b/>
                <w:w w:val="95"/>
                <w:sz w:val="20"/>
              </w:rPr>
              <w:t>3,791.88</w:t>
            </w:r>
          </w:p>
        </w:tc>
        <w:tc>
          <w:tcPr>
            <w:tcW w:w="1560" w:type="dxa"/>
          </w:tcPr>
          <w:p w:rsidR="007C5447" w:rsidRDefault="00F6308C">
            <w:pPr>
              <w:pStyle w:val="TableParagraph"/>
              <w:spacing w:before="26"/>
              <w:ind w:right="90"/>
              <w:rPr>
                <w:b/>
                <w:sz w:val="20"/>
              </w:rPr>
            </w:pPr>
            <w:r>
              <w:rPr>
                <w:b/>
                <w:sz w:val="20"/>
              </w:rPr>
              <w:t>8,301.20</w:t>
            </w:r>
          </w:p>
        </w:tc>
        <w:tc>
          <w:tcPr>
            <w:tcW w:w="1558" w:type="dxa"/>
          </w:tcPr>
          <w:p w:rsidR="007C5447" w:rsidRDefault="00F6308C">
            <w:pPr>
              <w:pStyle w:val="TableParagraph"/>
              <w:spacing w:before="26"/>
              <w:ind w:right="93"/>
              <w:rPr>
                <w:b/>
                <w:sz w:val="20"/>
              </w:rPr>
            </w:pPr>
            <w:r>
              <w:rPr>
                <w:b/>
                <w:sz w:val="20"/>
              </w:rPr>
              <w:t>3.53</w:t>
            </w:r>
          </w:p>
        </w:tc>
        <w:tc>
          <w:tcPr>
            <w:tcW w:w="1530" w:type="dxa"/>
          </w:tcPr>
          <w:p w:rsidR="007C5447" w:rsidRDefault="00F6308C">
            <w:pPr>
              <w:pStyle w:val="TableParagraph"/>
              <w:spacing w:before="26"/>
              <w:ind w:right="94"/>
              <w:rPr>
                <w:b/>
                <w:sz w:val="20"/>
              </w:rPr>
            </w:pPr>
            <w:r>
              <w:rPr>
                <w:b/>
                <w:w w:val="95"/>
                <w:sz w:val="20"/>
              </w:rPr>
              <w:t>12,093.07</w:t>
            </w:r>
          </w:p>
        </w:tc>
        <w:tc>
          <w:tcPr>
            <w:tcW w:w="1565" w:type="dxa"/>
          </w:tcPr>
          <w:p w:rsidR="007C5447" w:rsidRDefault="00F6308C">
            <w:pPr>
              <w:pStyle w:val="TableParagraph"/>
              <w:spacing w:before="26"/>
              <w:ind w:right="93"/>
              <w:rPr>
                <w:b/>
                <w:sz w:val="20"/>
              </w:rPr>
            </w:pPr>
            <w:r>
              <w:rPr>
                <w:b/>
                <w:sz w:val="20"/>
              </w:rPr>
              <w:t>5.15</w:t>
            </w:r>
          </w:p>
        </w:tc>
      </w:tr>
      <w:tr w:rsidR="007C5447">
        <w:trPr>
          <w:trHeight w:val="283"/>
        </w:trPr>
        <w:tc>
          <w:tcPr>
            <w:tcW w:w="4736" w:type="dxa"/>
          </w:tcPr>
          <w:p w:rsidR="007C5447" w:rsidRDefault="00F6308C">
            <w:pPr>
              <w:pStyle w:val="TableParagraph"/>
              <w:spacing w:before="27"/>
              <w:ind w:left="112"/>
              <w:jc w:val="left"/>
              <w:rPr>
                <w:sz w:val="20"/>
              </w:rPr>
            </w:pPr>
            <w:r>
              <w:rPr>
                <w:sz w:val="20"/>
              </w:rPr>
              <w:t>TGTPS</w:t>
            </w:r>
          </w:p>
        </w:tc>
        <w:tc>
          <w:tcPr>
            <w:tcW w:w="1668" w:type="dxa"/>
          </w:tcPr>
          <w:p w:rsidR="007C5447" w:rsidRDefault="00F6308C">
            <w:pPr>
              <w:pStyle w:val="TableParagraph"/>
              <w:spacing w:before="27"/>
              <w:ind w:right="93"/>
              <w:rPr>
                <w:sz w:val="20"/>
              </w:rPr>
            </w:pPr>
            <w:r>
              <w:rPr>
                <w:w w:val="95"/>
                <w:sz w:val="20"/>
              </w:rPr>
              <w:t>363.00</w:t>
            </w:r>
          </w:p>
        </w:tc>
        <w:tc>
          <w:tcPr>
            <w:tcW w:w="1560" w:type="dxa"/>
          </w:tcPr>
          <w:p w:rsidR="007C5447" w:rsidRDefault="00F6308C">
            <w:pPr>
              <w:pStyle w:val="TableParagraph"/>
              <w:spacing w:before="27"/>
              <w:ind w:right="93"/>
              <w:rPr>
                <w:sz w:val="20"/>
              </w:rPr>
            </w:pPr>
            <w:r>
              <w:rPr>
                <w:w w:val="95"/>
                <w:sz w:val="20"/>
              </w:rPr>
              <w:t>94.86</w:t>
            </w:r>
          </w:p>
        </w:tc>
        <w:tc>
          <w:tcPr>
            <w:tcW w:w="1560" w:type="dxa"/>
          </w:tcPr>
          <w:p w:rsidR="007C5447" w:rsidRDefault="00F6308C">
            <w:pPr>
              <w:pStyle w:val="TableParagraph"/>
              <w:spacing w:before="27"/>
              <w:ind w:right="92"/>
              <w:rPr>
                <w:sz w:val="20"/>
              </w:rPr>
            </w:pPr>
            <w:r>
              <w:rPr>
                <w:w w:val="95"/>
                <w:sz w:val="20"/>
              </w:rPr>
              <w:t>92.80</w:t>
            </w:r>
          </w:p>
        </w:tc>
        <w:tc>
          <w:tcPr>
            <w:tcW w:w="1558" w:type="dxa"/>
          </w:tcPr>
          <w:p w:rsidR="007C5447" w:rsidRDefault="00F6308C">
            <w:pPr>
              <w:pStyle w:val="TableParagraph"/>
              <w:spacing w:before="27"/>
              <w:ind w:right="93"/>
              <w:rPr>
                <w:sz w:val="20"/>
              </w:rPr>
            </w:pPr>
            <w:r>
              <w:rPr>
                <w:sz w:val="20"/>
              </w:rPr>
              <w:t>2.56</w:t>
            </w:r>
          </w:p>
        </w:tc>
        <w:tc>
          <w:tcPr>
            <w:tcW w:w="1530" w:type="dxa"/>
          </w:tcPr>
          <w:p w:rsidR="007C5447" w:rsidRDefault="00F6308C">
            <w:pPr>
              <w:pStyle w:val="TableParagraph"/>
              <w:spacing w:before="27"/>
              <w:ind w:right="93"/>
              <w:rPr>
                <w:sz w:val="20"/>
              </w:rPr>
            </w:pPr>
            <w:r>
              <w:rPr>
                <w:w w:val="95"/>
                <w:sz w:val="20"/>
              </w:rPr>
              <w:t>187.67</w:t>
            </w:r>
          </w:p>
        </w:tc>
        <w:tc>
          <w:tcPr>
            <w:tcW w:w="1565" w:type="dxa"/>
          </w:tcPr>
          <w:p w:rsidR="007C5447" w:rsidRDefault="00F6308C">
            <w:pPr>
              <w:pStyle w:val="TableParagraph"/>
              <w:spacing w:before="27"/>
              <w:ind w:right="93"/>
              <w:rPr>
                <w:sz w:val="20"/>
              </w:rPr>
            </w:pPr>
            <w:r>
              <w:rPr>
                <w:sz w:val="20"/>
              </w:rPr>
              <w:t>5.17</w:t>
            </w:r>
          </w:p>
        </w:tc>
      </w:tr>
      <w:tr w:rsidR="007C5447">
        <w:trPr>
          <w:trHeight w:val="280"/>
        </w:trPr>
        <w:tc>
          <w:tcPr>
            <w:tcW w:w="4736" w:type="dxa"/>
          </w:tcPr>
          <w:p w:rsidR="007C5447" w:rsidRDefault="00F6308C">
            <w:pPr>
              <w:pStyle w:val="TableParagraph"/>
              <w:spacing w:before="24"/>
              <w:ind w:left="112"/>
              <w:jc w:val="left"/>
              <w:rPr>
                <w:sz w:val="20"/>
              </w:rPr>
            </w:pPr>
            <w:r>
              <w:rPr>
                <w:sz w:val="20"/>
              </w:rPr>
              <w:t>KGTPS</w:t>
            </w:r>
          </w:p>
        </w:tc>
        <w:tc>
          <w:tcPr>
            <w:tcW w:w="1668" w:type="dxa"/>
          </w:tcPr>
          <w:p w:rsidR="007C5447" w:rsidRDefault="00F6308C">
            <w:pPr>
              <w:pStyle w:val="TableParagraph"/>
              <w:spacing w:before="24"/>
              <w:ind w:right="93"/>
              <w:rPr>
                <w:sz w:val="20"/>
              </w:rPr>
            </w:pPr>
            <w:r>
              <w:rPr>
                <w:w w:val="95"/>
                <w:sz w:val="20"/>
              </w:rPr>
              <w:t>552.00</w:t>
            </w:r>
          </w:p>
        </w:tc>
        <w:tc>
          <w:tcPr>
            <w:tcW w:w="1560" w:type="dxa"/>
          </w:tcPr>
          <w:p w:rsidR="007C5447" w:rsidRDefault="00F6308C">
            <w:pPr>
              <w:pStyle w:val="TableParagraph"/>
              <w:spacing w:before="24"/>
              <w:ind w:right="93"/>
              <w:rPr>
                <w:sz w:val="20"/>
              </w:rPr>
            </w:pPr>
            <w:r>
              <w:rPr>
                <w:w w:val="95"/>
                <w:sz w:val="20"/>
              </w:rPr>
              <w:t>104.70</w:t>
            </w:r>
          </w:p>
        </w:tc>
        <w:tc>
          <w:tcPr>
            <w:tcW w:w="1560" w:type="dxa"/>
          </w:tcPr>
          <w:p w:rsidR="007C5447" w:rsidRDefault="00F6308C">
            <w:pPr>
              <w:pStyle w:val="TableParagraph"/>
              <w:spacing w:before="24"/>
              <w:ind w:right="92"/>
              <w:rPr>
                <w:sz w:val="20"/>
              </w:rPr>
            </w:pPr>
            <w:r>
              <w:rPr>
                <w:w w:val="95"/>
                <w:sz w:val="20"/>
              </w:rPr>
              <w:t>151.01</w:t>
            </w:r>
          </w:p>
        </w:tc>
        <w:tc>
          <w:tcPr>
            <w:tcW w:w="1558" w:type="dxa"/>
          </w:tcPr>
          <w:p w:rsidR="007C5447" w:rsidRDefault="00F6308C">
            <w:pPr>
              <w:pStyle w:val="TableParagraph"/>
              <w:spacing w:before="24"/>
              <w:ind w:right="93"/>
              <w:rPr>
                <w:sz w:val="20"/>
              </w:rPr>
            </w:pPr>
            <w:r>
              <w:rPr>
                <w:sz w:val="20"/>
              </w:rPr>
              <w:t>2.74</w:t>
            </w:r>
          </w:p>
        </w:tc>
        <w:tc>
          <w:tcPr>
            <w:tcW w:w="1530" w:type="dxa"/>
          </w:tcPr>
          <w:p w:rsidR="007C5447" w:rsidRDefault="00F6308C">
            <w:pPr>
              <w:pStyle w:val="TableParagraph"/>
              <w:spacing w:before="24"/>
              <w:ind w:right="93"/>
              <w:rPr>
                <w:sz w:val="20"/>
              </w:rPr>
            </w:pPr>
            <w:r>
              <w:rPr>
                <w:w w:val="95"/>
                <w:sz w:val="20"/>
              </w:rPr>
              <w:t>255.71</w:t>
            </w:r>
          </w:p>
        </w:tc>
        <w:tc>
          <w:tcPr>
            <w:tcW w:w="1565" w:type="dxa"/>
          </w:tcPr>
          <w:p w:rsidR="007C5447" w:rsidRDefault="00F6308C">
            <w:pPr>
              <w:pStyle w:val="TableParagraph"/>
              <w:spacing w:before="24"/>
              <w:ind w:right="93"/>
              <w:rPr>
                <w:sz w:val="20"/>
              </w:rPr>
            </w:pPr>
            <w:r>
              <w:rPr>
                <w:sz w:val="20"/>
              </w:rPr>
              <w:t>4.63</w:t>
            </w:r>
          </w:p>
        </w:tc>
      </w:tr>
      <w:tr w:rsidR="007C5447">
        <w:trPr>
          <w:trHeight w:val="280"/>
        </w:trPr>
        <w:tc>
          <w:tcPr>
            <w:tcW w:w="4736" w:type="dxa"/>
          </w:tcPr>
          <w:p w:rsidR="007C5447" w:rsidRDefault="00F6308C">
            <w:pPr>
              <w:pStyle w:val="TableParagraph"/>
              <w:spacing w:before="26"/>
              <w:ind w:left="112"/>
              <w:jc w:val="left"/>
              <w:rPr>
                <w:sz w:val="20"/>
              </w:rPr>
            </w:pPr>
            <w:r>
              <w:rPr>
                <w:sz w:val="20"/>
              </w:rPr>
              <w:t>BBGTPS</w:t>
            </w:r>
          </w:p>
        </w:tc>
        <w:tc>
          <w:tcPr>
            <w:tcW w:w="1668" w:type="dxa"/>
          </w:tcPr>
          <w:p w:rsidR="007C5447" w:rsidRDefault="00F6308C">
            <w:pPr>
              <w:pStyle w:val="TableParagraph"/>
              <w:spacing w:before="26"/>
              <w:ind w:right="93"/>
              <w:rPr>
                <w:sz w:val="20"/>
              </w:rPr>
            </w:pPr>
            <w:r>
              <w:rPr>
                <w:w w:val="95"/>
                <w:sz w:val="20"/>
              </w:rPr>
              <w:t>11.00</w:t>
            </w:r>
          </w:p>
        </w:tc>
        <w:tc>
          <w:tcPr>
            <w:tcW w:w="1560" w:type="dxa"/>
          </w:tcPr>
          <w:p w:rsidR="007C5447" w:rsidRDefault="00F6308C">
            <w:pPr>
              <w:pStyle w:val="TableParagraph"/>
              <w:spacing w:before="26"/>
              <w:ind w:right="93"/>
              <w:rPr>
                <w:sz w:val="20"/>
              </w:rPr>
            </w:pPr>
            <w:r>
              <w:rPr>
                <w:w w:val="95"/>
                <w:sz w:val="20"/>
              </w:rPr>
              <w:t>61.54</w:t>
            </w:r>
          </w:p>
        </w:tc>
        <w:tc>
          <w:tcPr>
            <w:tcW w:w="1560" w:type="dxa"/>
          </w:tcPr>
          <w:p w:rsidR="007C5447" w:rsidRDefault="00F6308C">
            <w:pPr>
              <w:pStyle w:val="TableParagraph"/>
              <w:spacing w:before="26"/>
              <w:ind w:right="89"/>
              <w:rPr>
                <w:sz w:val="20"/>
              </w:rPr>
            </w:pPr>
            <w:r>
              <w:rPr>
                <w:w w:val="99"/>
                <w:sz w:val="20"/>
              </w:rPr>
              <w:t>-</w:t>
            </w:r>
          </w:p>
        </w:tc>
        <w:tc>
          <w:tcPr>
            <w:tcW w:w="1558" w:type="dxa"/>
          </w:tcPr>
          <w:p w:rsidR="007C5447" w:rsidRDefault="00F6308C">
            <w:pPr>
              <w:pStyle w:val="TableParagraph"/>
              <w:spacing w:before="26"/>
              <w:ind w:right="89"/>
              <w:rPr>
                <w:sz w:val="20"/>
              </w:rPr>
            </w:pPr>
            <w:r>
              <w:rPr>
                <w:w w:val="99"/>
                <w:sz w:val="20"/>
              </w:rPr>
              <w:t>-</w:t>
            </w:r>
          </w:p>
        </w:tc>
        <w:tc>
          <w:tcPr>
            <w:tcW w:w="1530" w:type="dxa"/>
          </w:tcPr>
          <w:p w:rsidR="007C5447" w:rsidRDefault="00F6308C">
            <w:pPr>
              <w:pStyle w:val="TableParagraph"/>
              <w:spacing w:before="26"/>
              <w:ind w:right="93"/>
              <w:rPr>
                <w:sz w:val="20"/>
              </w:rPr>
            </w:pPr>
            <w:r>
              <w:rPr>
                <w:w w:val="95"/>
                <w:sz w:val="20"/>
              </w:rPr>
              <w:t>61.54</w:t>
            </w:r>
          </w:p>
        </w:tc>
        <w:tc>
          <w:tcPr>
            <w:tcW w:w="1565" w:type="dxa"/>
          </w:tcPr>
          <w:p w:rsidR="007C5447" w:rsidRDefault="00F6308C">
            <w:pPr>
              <w:pStyle w:val="TableParagraph"/>
              <w:spacing w:before="26"/>
              <w:ind w:right="93"/>
              <w:rPr>
                <w:sz w:val="20"/>
              </w:rPr>
            </w:pPr>
            <w:r>
              <w:rPr>
                <w:w w:val="95"/>
                <w:sz w:val="20"/>
              </w:rPr>
              <w:t>55.94</w:t>
            </w:r>
          </w:p>
        </w:tc>
      </w:tr>
      <w:tr w:rsidR="007C5447">
        <w:trPr>
          <w:trHeight w:val="280"/>
        </w:trPr>
        <w:tc>
          <w:tcPr>
            <w:tcW w:w="4736" w:type="dxa"/>
          </w:tcPr>
          <w:p w:rsidR="007C5447" w:rsidRDefault="00F6308C">
            <w:pPr>
              <w:pStyle w:val="TableParagraph"/>
              <w:spacing w:before="26"/>
              <w:ind w:left="112"/>
              <w:jc w:val="left"/>
              <w:rPr>
                <w:sz w:val="20"/>
              </w:rPr>
            </w:pPr>
            <w:r>
              <w:rPr>
                <w:sz w:val="20"/>
              </w:rPr>
              <w:t>VGTPS (Unit 1 and 2)</w:t>
            </w:r>
          </w:p>
        </w:tc>
        <w:tc>
          <w:tcPr>
            <w:tcW w:w="1668" w:type="dxa"/>
          </w:tcPr>
          <w:p w:rsidR="007C5447" w:rsidRDefault="00F6308C">
            <w:pPr>
              <w:pStyle w:val="TableParagraph"/>
              <w:spacing w:before="26"/>
              <w:ind w:right="93"/>
              <w:rPr>
                <w:sz w:val="20"/>
              </w:rPr>
            </w:pPr>
            <w:r>
              <w:rPr>
                <w:w w:val="95"/>
                <w:sz w:val="20"/>
              </w:rPr>
              <w:t>680.00</w:t>
            </w:r>
          </w:p>
        </w:tc>
        <w:tc>
          <w:tcPr>
            <w:tcW w:w="1560" w:type="dxa"/>
          </w:tcPr>
          <w:p w:rsidR="007C5447" w:rsidRDefault="00F6308C">
            <w:pPr>
              <w:pStyle w:val="TableParagraph"/>
              <w:spacing w:before="26"/>
              <w:ind w:right="93"/>
              <w:rPr>
                <w:sz w:val="20"/>
              </w:rPr>
            </w:pPr>
            <w:r>
              <w:rPr>
                <w:w w:val="95"/>
                <w:sz w:val="20"/>
              </w:rPr>
              <w:t>181.79</w:t>
            </w:r>
          </w:p>
        </w:tc>
        <w:tc>
          <w:tcPr>
            <w:tcW w:w="1560" w:type="dxa"/>
          </w:tcPr>
          <w:p w:rsidR="007C5447" w:rsidRDefault="00F6308C">
            <w:pPr>
              <w:pStyle w:val="TableParagraph"/>
              <w:spacing w:before="26"/>
              <w:ind w:right="92"/>
              <w:rPr>
                <w:sz w:val="20"/>
              </w:rPr>
            </w:pPr>
            <w:r>
              <w:rPr>
                <w:w w:val="95"/>
                <w:sz w:val="20"/>
              </w:rPr>
              <w:t>182.42</w:t>
            </w:r>
          </w:p>
        </w:tc>
        <w:tc>
          <w:tcPr>
            <w:tcW w:w="1558" w:type="dxa"/>
          </w:tcPr>
          <w:p w:rsidR="007C5447" w:rsidRDefault="00F6308C">
            <w:pPr>
              <w:pStyle w:val="TableParagraph"/>
              <w:spacing w:before="26"/>
              <w:ind w:right="93"/>
              <w:rPr>
                <w:sz w:val="20"/>
              </w:rPr>
            </w:pPr>
            <w:r>
              <w:rPr>
                <w:sz w:val="20"/>
              </w:rPr>
              <w:t>2.68</w:t>
            </w:r>
          </w:p>
        </w:tc>
        <w:tc>
          <w:tcPr>
            <w:tcW w:w="1530" w:type="dxa"/>
          </w:tcPr>
          <w:p w:rsidR="007C5447" w:rsidRDefault="00F6308C">
            <w:pPr>
              <w:pStyle w:val="TableParagraph"/>
              <w:spacing w:before="26"/>
              <w:ind w:right="93"/>
              <w:rPr>
                <w:sz w:val="20"/>
              </w:rPr>
            </w:pPr>
            <w:r>
              <w:rPr>
                <w:w w:val="95"/>
                <w:sz w:val="20"/>
              </w:rPr>
              <w:t>364.21</w:t>
            </w:r>
          </w:p>
        </w:tc>
        <w:tc>
          <w:tcPr>
            <w:tcW w:w="1565" w:type="dxa"/>
          </w:tcPr>
          <w:p w:rsidR="007C5447" w:rsidRDefault="00F6308C">
            <w:pPr>
              <w:pStyle w:val="TableParagraph"/>
              <w:spacing w:before="26"/>
              <w:ind w:right="93"/>
              <w:rPr>
                <w:sz w:val="20"/>
              </w:rPr>
            </w:pPr>
            <w:r>
              <w:rPr>
                <w:sz w:val="20"/>
              </w:rPr>
              <w:t>5.36</w:t>
            </w:r>
          </w:p>
        </w:tc>
      </w:tr>
      <w:tr w:rsidR="007C5447">
        <w:trPr>
          <w:trHeight w:val="282"/>
        </w:trPr>
        <w:tc>
          <w:tcPr>
            <w:tcW w:w="4736" w:type="dxa"/>
          </w:tcPr>
          <w:p w:rsidR="007C5447" w:rsidRDefault="00F6308C">
            <w:pPr>
              <w:pStyle w:val="TableParagraph"/>
              <w:spacing w:before="26"/>
              <w:ind w:left="1723" w:right="1709"/>
              <w:jc w:val="center"/>
              <w:rPr>
                <w:b/>
                <w:sz w:val="20"/>
              </w:rPr>
            </w:pPr>
            <w:r>
              <w:rPr>
                <w:b/>
                <w:sz w:val="20"/>
              </w:rPr>
              <w:t>Total Gas</w:t>
            </w:r>
          </w:p>
        </w:tc>
        <w:tc>
          <w:tcPr>
            <w:tcW w:w="1668" w:type="dxa"/>
          </w:tcPr>
          <w:p w:rsidR="007C5447" w:rsidRDefault="00F6308C">
            <w:pPr>
              <w:pStyle w:val="TableParagraph"/>
              <w:spacing w:before="26"/>
              <w:ind w:right="91"/>
              <w:rPr>
                <w:b/>
                <w:sz w:val="20"/>
              </w:rPr>
            </w:pPr>
            <w:r>
              <w:rPr>
                <w:b/>
                <w:w w:val="95"/>
                <w:sz w:val="20"/>
              </w:rPr>
              <w:t>1,606.00</w:t>
            </w:r>
          </w:p>
        </w:tc>
        <w:tc>
          <w:tcPr>
            <w:tcW w:w="1560" w:type="dxa"/>
          </w:tcPr>
          <w:p w:rsidR="007C5447" w:rsidRDefault="00F6308C">
            <w:pPr>
              <w:pStyle w:val="TableParagraph"/>
              <w:spacing w:before="26"/>
              <w:ind w:right="93"/>
              <w:rPr>
                <w:b/>
                <w:sz w:val="20"/>
              </w:rPr>
            </w:pPr>
            <w:r>
              <w:rPr>
                <w:b/>
                <w:w w:val="95"/>
                <w:sz w:val="20"/>
              </w:rPr>
              <w:t>442.89</w:t>
            </w:r>
          </w:p>
        </w:tc>
        <w:tc>
          <w:tcPr>
            <w:tcW w:w="1560" w:type="dxa"/>
          </w:tcPr>
          <w:p w:rsidR="007C5447" w:rsidRDefault="00F6308C">
            <w:pPr>
              <w:pStyle w:val="TableParagraph"/>
              <w:spacing w:before="26"/>
              <w:ind w:right="92"/>
              <w:rPr>
                <w:b/>
                <w:sz w:val="20"/>
              </w:rPr>
            </w:pPr>
            <w:r>
              <w:rPr>
                <w:b/>
                <w:w w:val="95"/>
                <w:sz w:val="20"/>
              </w:rPr>
              <w:t>426.23</w:t>
            </w:r>
          </w:p>
        </w:tc>
        <w:tc>
          <w:tcPr>
            <w:tcW w:w="1558" w:type="dxa"/>
          </w:tcPr>
          <w:p w:rsidR="007C5447" w:rsidRDefault="00F6308C">
            <w:pPr>
              <w:pStyle w:val="TableParagraph"/>
              <w:spacing w:before="26"/>
              <w:ind w:right="93"/>
              <w:rPr>
                <w:b/>
                <w:sz w:val="20"/>
              </w:rPr>
            </w:pPr>
            <w:r>
              <w:rPr>
                <w:b/>
                <w:sz w:val="20"/>
              </w:rPr>
              <w:t>2.65</w:t>
            </w:r>
          </w:p>
        </w:tc>
        <w:tc>
          <w:tcPr>
            <w:tcW w:w="1530" w:type="dxa"/>
          </w:tcPr>
          <w:p w:rsidR="007C5447" w:rsidRDefault="00F6308C">
            <w:pPr>
              <w:pStyle w:val="TableParagraph"/>
              <w:spacing w:before="26"/>
              <w:ind w:right="93"/>
              <w:rPr>
                <w:b/>
                <w:sz w:val="20"/>
              </w:rPr>
            </w:pPr>
            <w:r>
              <w:rPr>
                <w:b/>
                <w:w w:val="95"/>
                <w:sz w:val="20"/>
              </w:rPr>
              <w:t>869.12</w:t>
            </w:r>
          </w:p>
        </w:tc>
        <w:tc>
          <w:tcPr>
            <w:tcW w:w="1565" w:type="dxa"/>
          </w:tcPr>
          <w:p w:rsidR="007C5447" w:rsidRDefault="00F6308C">
            <w:pPr>
              <w:pStyle w:val="TableParagraph"/>
              <w:spacing w:before="26"/>
              <w:ind w:right="93"/>
              <w:rPr>
                <w:b/>
                <w:sz w:val="20"/>
              </w:rPr>
            </w:pPr>
            <w:r>
              <w:rPr>
                <w:b/>
                <w:sz w:val="20"/>
              </w:rPr>
              <w:t>5.41</w:t>
            </w:r>
          </w:p>
        </w:tc>
      </w:tr>
      <w:tr w:rsidR="007C5447">
        <w:trPr>
          <w:trHeight w:val="280"/>
        </w:trPr>
        <w:tc>
          <w:tcPr>
            <w:tcW w:w="4736" w:type="dxa"/>
          </w:tcPr>
          <w:p w:rsidR="007C5447" w:rsidRDefault="00F6308C">
            <w:pPr>
              <w:pStyle w:val="TableParagraph"/>
              <w:spacing w:before="24"/>
              <w:ind w:left="112"/>
              <w:jc w:val="left"/>
              <w:rPr>
                <w:sz w:val="20"/>
              </w:rPr>
            </w:pPr>
            <w:r>
              <w:rPr>
                <w:sz w:val="20"/>
              </w:rPr>
              <w:t>Erode HEP</w:t>
            </w:r>
          </w:p>
        </w:tc>
        <w:tc>
          <w:tcPr>
            <w:tcW w:w="1668" w:type="dxa"/>
          </w:tcPr>
          <w:p w:rsidR="007C5447" w:rsidRDefault="00F6308C">
            <w:pPr>
              <w:pStyle w:val="TableParagraph"/>
              <w:spacing w:before="24"/>
              <w:ind w:right="93"/>
              <w:rPr>
                <w:sz w:val="20"/>
              </w:rPr>
            </w:pPr>
            <w:r>
              <w:rPr>
                <w:w w:val="95"/>
                <w:sz w:val="20"/>
              </w:rPr>
              <w:t>756.00</w:t>
            </w:r>
          </w:p>
        </w:tc>
        <w:tc>
          <w:tcPr>
            <w:tcW w:w="1560" w:type="dxa"/>
          </w:tcPr>
          <w:p w:rsidR="007C5447" w:rsidRDefault="00F6308C">
            <w:pPr>
              <w:pStyle w:val="TableParagraph"/>
              <w:spacing w:before="24"/>
              <w:ind w:right="93"/>
              <w:rPr>
                <w:sz w:val="20"/>
              </w:rPr>
            </w:pPr>
            <w:r>
              <w:rPr>
                <w:w w:val="95"/>
                <w:sz w:val="20"/>
              </w:rPr>
              <w:t>328.81</w:t>
            </w: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F6308C">
            <w:pPr>
              <w:pStyle w:val="TableParagraph"/>
              <w:spacing w:before="24"/>
              <w:ind w:right="93"/>
              <w:rPr>
                <w:sz w:val="20"/>
              </w:rPr>
            </w:pPr>
            <w:r>
              <w:rPr>
                <w:w w:val="95"/>
                <w:sz w:val="20"/>
              </w:rPr>
              <w:t>328.81</w:t>
            </w:r>
          </w:p>
        </w:tc>
        <w:tc>
          <w:tcPr>
            <w:tcW w:w="1565" w:type="dxa"/>
          </w:tcPr>
          <w:p w:rsidR="007C5447" w:rsidRDefault="00F6308C">
            <w:pPr>
              <w:pStyle w:val="TableParagraph"/>
              <w:spacing w:before="24"/>
              <w:ind w:right="93"/>
              <w:rPr>
                <w:sz w:val="20"/>
              </w:rPr>
            </w:pPr>
            <w:r>
              <w:rPr>
                <w:sz w:val="20"/>
              </w:rPr>
              <w:t>4.35</w:t>
            </w:r>
          </w:p>
        </w:tc>
      </w:tr>
      <w:tr w:rsidR="007C5447">
        <w:trPr>
          <w:trHeight w:val="280"/>
        </w:trPr>
        <w:tc>
          <w:tcPr>
            <w:tcW w:w="4736" w:type="dxa"/>
          </w:tcPr>
          <w:p w:rsidR="007C5447" w:rsidRDefault="00F6308C">
            <w:pPr>
              <w:pStyle w:val="TableParagraph"/>
              <w:spacing w:before="26"/>
              <w:ind w:left="112"/>
              <w:jc w:val="left"/>
              <w:rPr>
                <w:sz w:val="20"/>
              </w:rPr>
            </w:pPr>
            <w:r>
              <w:rPr>
                <w:sz w:val="20"/>
              </w:rPr>
              <w:t>Kadamparai HEP</w:t>
            </w:r>
          </w:p>
        </w:tc>
        <w:tc>
          <w:tcPr>
            <w:tcW w:w="1668" w:type="dxa"/>
          </w:tcPr>
          <w:p w:rsidR="007C5447" w:rsidRDefault="00F6308C">
            <w:pPr>
              <w:pStyle w:val="TableParagraph"/>
              <w:spacing w:before="26"/>
              <w:ind w:right="93"/>
              <w:rPr>
                <w:sz w:val="20"/>
              </w:rPr>
            </w:pPr>
            <w:r>
              <w:rPr>
                <w:w w:val="95"/>
                <w:sz w:val="20"/>
              </w:rPr>
              <w:t>478.00</w:t>
            </w:r>
          </w:p>
        </w:tc>
        <w:tc>
          <w:tcPr>
            <w:tcW w:w="1560" w:type="dxa"/>
          </w:tcPr>
          <w:p w:rsidR="007C5447" w:rsidRDefault="00F6308C">
            <w:pPr>
              <w:pStyle w:val="TableParagraph"/>
              <w:spacing w:before="26"/>
              <w:ind w:right="93"/>
              <w:rPr>
                <w:sz w:val="20"/>
              </w:rPr>
            </w:pPr>
            <w:r>
              <w:rPr>
                <w:w w:val="95"/>
                <w:sz w:val="20"/>
              </w:rPr>
              <w:t>86.41</w:t>
            </w: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F6308C">
            <w:pPr>
              <w:pStyle w:val="TableParagraph"/>
              <w:spacing w:before="26"/>
              <w:ind w:right="93"/>
              <w:rPr>
                <w:sz w:val="20"/>
              </w:rPr>
            </w:pPr>
            <w:r>
              <w:rPr>
                <w:w w:val="95"/>
                <w:sz w:val="20"/>
              </w:rPr>
              <w:t>86.41</w:t>
            </w:r>
          </w:p>
        </w:tc>
        <w:tc>
          <w:tcPr>
            <w:tcW w:w="1565" w:type="dxa"/>
          </w:tcPr>
          <w:p w:rsidR="007C5447" w:rsidRDefault="00F6308C">
            <w:pPr>
              <w:pStyle w:val="TableParagraph"/>
              <w:spacing w:before="26"/>
              <w:ind w:right="93"/>
              <w:rPr>
                <w:sz w:val="20"/>
              </w:rPr>
            </w:pPr>
            <w:r>
              <w:rPr>
                <w:sz w:val="20"/>
              </w:rPr>
              <w:t>1.81</w:t>
            </w:r>
          </w:p>
        </w:tc>
      </w:tr>
      <w:tr w:rsidR="007C5447">
        <w:trPr>
          <w:trHeight w:val="280"/>
        </w:trPr>
        <w:tc>
          <w:tcPr>
            <w:tcW w:w="4736" w:type="dxa"/>
          </w:tcPr>
          <w:p w:rsidR="007C5447" w:rsidRDefault="00F6308C">
            <w:pPr>
              <w:pStyle w:val="TableParagraph"/>
              <w:spacing w:before="26"/>
              <w:ind w:left="112"/>
              <w:jc w:val="left"/>
              <w:rPr>
                <w:sz w:val="20"/>
              </w:rPr>
            </w:pPr>
            <w:r>
              <w:rPr>
                <w:sz w:val="20"/>
              </w:rPr>
              <w:t>Kundah HEP</w:t>
            </w:r>
          </w:p>
        </w:tc>
        <w:tc>
          <w:tcPr>
            <w:tcW w:w="1668" w:type="dxa"/>
          </w:tcPr>
          <w:p w:rsidR="007C5447" w:rsidRDefault="00F6308C">
            <w:pPr>
              <w:pStyle w:val="TableParagraph"/>
              <w:spacing w:before="26"/>
              <w:ind w:right="91"/>
              <w:rPr>
                <w:sz w:val="20"/>
              </w:rPr>
            </w:pPr>
            <w:r>
              <w:rPr>
                <w:w w:val="95"/>
                <w:sz w:val="20"/>
              </w:rPr>
              <w:t>1,695.00</w:t>
            </w:r>
          </w:p>
        </w:tc>
        <w:tc>
          <w:tcPr>
            <w:tcW w:w="1560" w:type="dxa"/>
          </w:tcPr>
          <w:p w:rsidR="007C5447" w:rsidRDefault="00F6308C">
            <w:pPr>
              <w:pStyle w:val="TableParagraph"/>
              <w:spacing w:before="26"/>
              <w:ind w:right="93"/>
              <w:rPr>
                <w:sz w:val="20"/>
              </w:rPr>
            </w:pPr>
            <w:r>
              <w:rPr>
                <w:w w:val="95"/>
                <w:sz w:val="20"/>
              </w:rPr>
              <w:t>230.45</w:t>
            </w: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F6308C">
            <w:pPr>
              <w:pStyle w:val="TableParagraph"/>
              <w:spacing w:before="26"/>
              <w:ind w:right="93"/>
              <w:rPr>
                <w:sz w:val="20"/>
              </w:rPr>
            </w:pPr>
            <w:r>
              <w:rPr>
                <w:w w:val="95"/>
                <w:sz w:val="20"/>
              </w:rPr>
              <w:t>230.45</w:t>
            </w:r>
          </w:p>
        </w:tc>
        <w:tc>
          <w:tcPr>
            <w:tcW w:w="1565" w:type="dxa"/>
          </w:tcPr>
          <w:p w:rsidR="007C5447" w:rsidRDefault="00F6308C">
            <w:pPr>
              <w:pStyle w:val="TableParagraph"/>
              <w:spacing w:before="26"/>
              <w:ind w:right="93"/>
              <w:rPr>
                <w:sz w:val="20"/>
              </w:rPr>
            </w:pPr>
            <w:r>
              <w:rPr>
                <w:sz w:val="20"/>
              </w:rPr>
              <w:t>1.36</w:t>
            </w:r>
          </w:p>
        </w:tc>
      </w:tr>
      <w:tr w:rsidR="007C5447">
        <w:trPr>
          <w:trHeight w:val="282"/>
        </w:trPr>
        <w:tc>
          <w:tcPr>
            <w:tcW w:w="4736" w:type="dxa"/>
          </w:tcPr>
          <w:p w:rsidR="007C5447" w:rsidRDefault="00F6308C">
            <w:pPr>
              <w:pStyle w:val="TableParagraph"/>
              <w:spacing w:before="26"/>
              <w:ind w:left="112"/>
              <w:jc w:val="left"/>
              <w:rPr>
                <w:sz w:val="20"/>
              </w:rPr>
            </w:pPr>
            <w:r>
              <w:rPr>
                <w:sz w:val="20"/>
              </w:rPr>
              <w:t>Tirunelveli HEP</w:t>
            </w:r>
          </w:p>
        </w:tc>
        <w:tc>
          <w:tcPr>
            <w:tcW w:w="1668" w:type="dxa"/>
          </w:tcPr>
          <w:p w:rsidR="007C5447" w:rsidRDefault="00F6308C">
            <w:pPr>
              <w:pStyle w:val="TableParagraph"/>
              <w:spacing w:before="26"/>
              <w:ind w:right="91"/>
              <w:rPr>
                <w:sz w:val="20"/>
              </w:rPr>
            </w:pPr>
            <w:r>
              <w:rPr>
                <w:w w:val="95"/>
                <w:sz w:val="20"/>
              </w:rPr>
              <w:t>1,096.00</w:t>
            </w:r>
          </w:p>
        </w:tc>
        <w:tc>
          <w:tcPr>
            <w:tcW w:w="1560" w:type="dxa"/>
          </w:tcPr>
          <w:p w:rsidR="007C5447" w:rsidRDefault="00F6308C">
            <w:pPr>
              <w:pStyle w:val="TableParagraph"/>
              <w:spacing w:before="26"/>
              <w:ind w:right="93"/>
              <w:rPr>
                <w:sz w:val="20"/>
              </w:rPr>
            </w:pPr>
            <w:r>
              <w:rPr>
                <w:sz w:val="20"/>
              </w:rPr>
              <w:t>144.08</w:t>
            </w: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F6308C">
            <w:pPr>
              <w:pStyle w:val="TableParagraph"/>
              <w:spacing w:before="26"/>
              <w:ind w:right="93"/>
              <w:rPr>
                <w:sz w:val="20"/>
              </w:rPr>
            </w:pPr>
            <w:r>
              <w:rPr>
                <w:w w:val="95"/>
                <w:sz w:val="20"/>
              </w:rPr>
              <w:t>144.08</w:t>
            </w:r>
          </w:p>
        </w:tc>
        <w:tc>
          <w:tcPr>
            <w:tcW w:w="1565" w:type="dxa"/>
          </w:tcPr>
          <w:p w:rsidR="007C5447" w:rsidRDefault="00F6308C">
            <w:pPr>
              <w:pStyle w:val="TableParagraph"/>
              <w:spacing w:before="26"/>
              <w:ind w:right="93"/>
              <w:rPr>
                <w:sz w:val="20"/>
              </w:rPr>
            </w:pPr>
            <w:r>
              <w:rPr>
                <w:sz w:val="20"/>
              </w:rPr>
              <w:t>1.31</w:t>
            </w:r>
          </w:p>
        </w:tc>
      </w:tr>
      <w:tr w:rsidR="007C5447">
        <w:trPr>
          <w:trHeight w:val="280"/>
        </w:trPr>
        <w:tc>
          <w:tcPr>
            <w:tcW w:w="4736" w:type="dxa"/>
          </w:tcPr>
          <w:p w:rsidR="007C5447" w:rsidRDefault="00F6308C">
            <w:pPr>
              <w:pStyle w:val="TableParagraph"/>
              <w:spacing w:before="24"/>
              <w:ind w:left="1723" w:right="1707"/>
              <w:jc w:val="center"/>
              <w:rPr>
                <w:b/>
                <w:sz w:val="20"/>
              </w:rPr>
            </w:pPr>
            <w:r>
              <w:rPr>
                <w:b/>
                <w:sz w:val="20"/>
              </w:rPr>
              <w:t>Total Hydro</w:t>
            </w:r>
          </w:p>
        </w:tc>
        <w:tc>
          <w:tcPr>
            <w:tcW w:w="1668" w:type="dxa"/>
          </w:tcPr>
          <w:p w:rsidR="007C5447" w:rsidRDefault="00F6308C">
            <w:pPr>
              <w:pStyle w:val="TableParagraph"/>
              <w:spacing w:before="24"/>
              <w:ind w:right="90"/>
              <w:rPr>
                <w:b/>
                <w:sz w:val="20"/>
              </w:rPr>
            </w:pPr>
            <w:r>
              <w:rPr>
                <w:b/>
                <w:w w:val="95"/>
                <w:sz w:val="20"/>
              </w:rPr>
              <w:t>4,025.00</w:t>
            </w:r>
          </w:p>
        </w:tc>
        <w:tc>
          <w:tcPr>
            <w:tcW w:w="1560" w:type="dxa"/>
          </w:tcPr>
          <w:p w:rsidR="007C5447" w:rsidRDefault="00F6308C">
            <w:pPr>
              <w:pStyle w:val="TableParagraph"/>
              <w:spacing w:before="24"/>
              <w:ind w:right="93"/>
              <w:rPr>
                <w:b/>
                <w:sz w:val="20"/>
              </w:rPr>
            </w:pPr>
            <w:r>
              <w:rPr>
                <w:b/>
                <w:w w:val="95"/>
                <w:sz w:val="20"/>
              </w:rPr>
              <w:t>789.74</w:t>
            </w:r>
          </w:p>
        </w:tc>
        <w:tc>
          <w:tcPr>
            <w:tcW w:w="1560" w:type="dxa"/>
          </w:tcPr>
          <w:p w:rsidR="007C5447" w:rsidRDefault="00F6308C">
            <w:pPr>
              <w:pStyle w:val="TableParagraph"/>
              <w:spacing w:before="24"/>
              <w:ind w:right="91"/>
              <w:rPr>
                <w:b/>
                <w:sz w:val="20"/>
              </w:rPr>
            </w:pPr>
            <w:r>
              <w:rPr>
                <w:b/>
                <w:w w:val="99"/>
                <w:sz w:val="20"/>
              </w:rPr>
              <w:t>-</w:t>
            </w:r>
          </w:p>
        </w:tc>
        <w:tc>
          <w:tcPr>
            <w:tcW w:w="1558" w:type="dxa"/>
          </w:tcPr>
          <w:p w:rsidR="007C5447" w:rsidRDefault="007C5447">
            <w:pPr>
              <w:pStyle w:val="TableParagraph"/>
              <w:jc w:val="left"/>
              <w:rPr>
                <w:sz w:val="20"/>
              </w:rPr>
            </w:pPr>
          </w:p>
        </w:tc>
        <w:tc>
          <w:tcPr>
            <w:tcW w:w="1530" w:type="dxa"/>
          </w:tcPr>
          <w:p w:rsidR="007C5447" w:rsidRDefault="00F6308C">
            <w:pPr>
              <w:pStyle w:val="TableParagraph"/>
              <w:spacing w:before="24"/>
              <w:ind w:right="93"/>
              <w:rPr>
                <w:b/>
                <w:sz w:val="20"/>
              </w:rPr>
            </w:pPr>
            <w:r>
              <w:rPr>
                <w:b/>
                <w:w w:val="95"/>
                <w:sz w:val="20"/>
              </w:rPr>
              <w:t>789.74</w:t>
            </w:r>
          </w:p>
        </w:tc>
        <w:tc>
          <w:tcPr>
            <w:tcW w:w="1565" w:type="dxa"/>
          </w:tcPr>
          <w:p w:rsidR="007C5447" w:rsidRDefault="00F6308C">
            <w:pPr>
              <w:pStyle w:val="TableParagraph"/>
              <w:spacing w:before="24"/>
              <w:ind w:right="93"/>
              <w:rPr>
                <w:b/>
                <w:sz w:val="20"/>
              </w:rPr>
            </w:pPr>
            <w:r>
              <w:rPr>
                <w:b/>
                <w:sz w:val="20"/>
              </w:rPr>
              <w:t>1.78</w:t>
            </w:r>
          </w:p>
        </w:tc>
      </w:tr>
      <w:tr w:rsidR="007C5447">
        <w:trPr>
          <w:trHeight w:val="280"/>
        </w:trPr>
        <w:tc>
          <w:tcPr>
            <w:tcW w:w="4736" w:type="dxa"/>
          </w:tcPr>
          <w:p w:rsidR="007C5447" w:rsidRDefault="00F6308C">
            <w:pPr>
              <w:pStyle w:val="TableParagraph"/>
              <w:spacing w:before="26"/>
              <w:ind w:left="112"/>
              <w:jc w:val="left"/>
              <w:rPr>
                <w:b/>
                <w:sz w:val="20"/>
              </w:rPr>
            </w:pPr>
            <w:r>
              <w:rPr>
                <w:b/>
                <w:sz w:val="20"/>
              </w:rPr>
              <w:t>Wind</w:t>
            </w:r>
          </w:p>
        </w:tc>
        <w:tc>
          <w:tcPr>
            <w:tcW w:w="1668" w:type="dxa"/>
          </w:tcPr>
          <w:p w:rsidR="007C5447" w:rsidRDefault="00F6308C">
            <w:pPr>
              <w:pStyle w:val="TableParagraph"/>
              <w:spacing w:before="26"/>
              <w:ind w:right="93"/>
              <w:rPr>
                <w:sz w:val="20"/>
              </w:rPr>
            </w:pPr>
            <w:r>
              <w:rPr>
                <w:sz w:val="20"/>
              </w:rPr>
              <w:t>6.79</w:t>
            </w:r>
          </w:p>
        </w:tc>
        <w:tc>
          <w:tcPr>
            <w:tcW w:w="1560" w:type="dxa"/>
          </w:tcPr>
          <w:p w:rsidR="007C5447" w:rsidRDefault="007C5447">
            <w:pPr>
              <w:pStyle w:val="TableParagraph"/>
              <w:jc w:val="left"/>
              <w:rPr>
                <w:sz w:val="20"/>
              </w:rPr>
            </w:pPr>
          </w:p>
        </w:tc>
        <w:tc>
          <w:tcPr>
            <w:tcW w:w="1560" w:type="dxa"/>
          </w:tcPr>
          <w:p w:rsidR="007C5447" w:rsidRDefault="00F6308C">
            <w:pPr>
              <w:pStyle w:val="TableParagraph"/>
              <w:spacing w:before="26"/>
              <w:ind w:right="92"/>
              <w:rPr>
                <w:sz w:val="20"/>
              </w:rPr>
            </w:pPr>
            <w:r>
              <w:rPr>
                <w:sz w:val="20"/>
              </w:rPr>
              <w:t>2.00</w:t>
            </w:r>
          </w:p>
        </w:tc>
        <w:tc>
          <w:tcPr>
            <w:tcW w:w="1558" w:type="dxa"/>
          </w:tcPr>
          <w:p w:rsidR="007C5447" w:rsidRDefault="007C5447">
            <w:pPr>
              <w:pStyle w:val="TableParagraph"/>
              <w:jc w:val="left"/>
              <w:rPr>
                <w:sz w:val="20"/>
              </w:rPr>
            </w:pPr>
          </w:p>
        </w:tc>
        <w:tc>
          <w:tcPr>
            <w:tcW w:w="1530" w:type="dxa"/>
          </w:tcPr>
          <w:p w:rsidR="007C5447" w:rsidRDefault="00F6308C">
            <w:pPr>
              <w:pStyle w:val="TableParagraph"/>
              <w:spacing w:before="26"/>
              <w:ind w:right="93"/>
              <w:rPr>
                <w:sz w:val="20"/>
              </w:rPr>
            </w:pPr>
            <w:r>
              <w:rPr>
                <w:sz w:val="20"/>
              </w:rPr>
              <w:t>2.00</w:t>
            </w:r>
          </w:p>
        </w:tc>
        <w:tc>
          <w:tcPr>
            <w:tcW w:w="1565" w:type="dxa"/>
          </w:tcPr>
          <w:p w:rsidR="007C5447" w:rsidRDefault="00F6308C">
            <w:pPr>
              <w:pStyle w:val="TableParagraph"/>
              <w:spacing w:before="26"/>
              <w:ind w:right="93"/>
              <w:rPr>
                <w:sz w:val="20"/>
              </w:rPr>
            </w:pPr>
            <w:r>
              <w:rPr>
                <w:sz w:val="20"/>
              </w:rPr>
              <w:t>2.95</w:t>
            </w:r>
          </w:p>
        </w:tc>
      </w:tr>
      <w:tr w:rsidR="007C5447">
        <w:trPr>
          <w:trHeight w:val="280"/>
        </w:trPr>
        <w:tc>
          <w:tcPr>
            <w:tcW w:w="4736" w:type="dxa"/>
          </w:tcPr>
          <w:p w:rsidR="007C5447" w:rsidRDefault="00F6308C">
            <w:pPr>
              <w:pStyle w:val="TableParagraph"/>
              <w:spacing w:before="26"/>
              <w:ind w:left="112"/>
              <w:jc w:val="left"/>
              <w:rPr>
                <w:b/>
                <w:sz w:val="20"/>
              </w:rPr>
            </w:pPr>
            <w:r>
              <w:rPr>
                <w:b/>
                <w:sz w:val="20"/>
              </w:rPr>
              <w:t>Total from Own Generating</w:t>
            </w:r>
          </w:p>
        </w:tc>
        <w:tc>
          <w:tcPr>
            <w:tcW w:w="1668" w:type="dxa"/>
          </w:tcPr>
          <w:p w:rsidR="007C5447" w:rsidRDefault="00F6308C">
            <w:pPr>
              <w:pStyle w:val="TableParagraph"/>
              <w:spacing w:before="26"/>
              <w:ind w:right="93"/>
              <w:rPr>
                <w:b/>
                <w:sz w:val="20"/>
              </w:rPr>
            </w:pPr>
            <w:r>
              <w:rPr>
                <w:b/>
                <w:w w:val="95"/>
                <w:sz w:val="20"/>
              </w:rPr>
              <w:t>29,139.79</w:t>
            </w:r>
          </w:p>
        </w:tc>
        <w:tc>
          <w:tcPr>
            <w:tcW w:w="1560" w:type="dxa"/>
          </w:tcPr>
          <w:p w:rsidR="007C5447" w:rsidRDefault="00F6308C">
            <w:pPr>
              <w:pStyle w:val="TableParagraph"/>
              <w:spacing w:before="26"/>
              <w:ind w:right="91"/>
              <w:rPr>
                <w:b/>
                <w:sz w:val="20"/>
              </w:rPr>
            </w:pPr>
            <w:r>
              <w:rPr>
                <w:b/>
                <w:w w:val="95"/>
                <w:sz w:val="20"/>
              </w:rPr>
              <w:t>5,024.51</w:t>
            </w:r>
          </w:p>
        </w:tc>
        <w:tc>
          <w:tcPr>
            <w:tcW w:w="1560" w:type="dxa"/>
          </w:tcPr>
          <w:p w:rsidR="007C5447" w:rsidRDefault="00F6308C">
            <w:pPr>
              <w:pStyle w:val="TableParagraph"/>
              <w:spacing w:before="26"/>
              <w:ind w:right="90"/>
              <w:rPr>
                <w:b/>
                <w:sz w:val="20"/>
              </w:rPr>
            </w:pPr>
            <w:r>
              <w:rPr>
                <w:b/>
                <w:w w:val="95"/>
                <w:sz w:val="20"/>
              </w:rPr>
              <w:t>8,729.43</w:t>
            </w:r>
          </w:p>
        </w:tc>
        <w:tc>
          <w:tcPr>
            <w:tcW w:w="1558" w:type="dxa"/>
          </w:tcPr>
          <w:p w:rsidR="007C5447" w:rsidRDefault="00F6308C">
            <w:pPr>
              <w:pStyle w:val="TableParagraph"/>
              <w:spacing w:before="26"/>
              <w:ind w:right="93"/>
              <w:rPr>
                <w:b/>
                <w:sz w:val="20"/>
              </w:rPr>
            </w:pPr>
            <w:r>
              <w:rPr>
                <w:b/>
                <w:sz w:val="20"/>
              </w:rPr>
              <w:t>2.95</w:t>
            </w:r>
          </w:p>
        </w:tc>
        <w:tc>
          <w:tcPr>
            <w:tcW w:w="1530" w:type="dxa"/>
          </w:tcPr>
          <w:p w:rsidR="007C5447" w:rsidRDefault="00F6308C">
            <w:pPr>
              <w:pStyle w:val="TableParagraph"/>
              <w:spacing w:before="26"/>
              <w:ind w:right="94"/>
              <w:rPr>
                <w:b/>
                <w:sz w:val="20"/>
              </w:rPr>
            </w:pPr>
            <w:r>
              <w:rPr>
                <w:b/>
                <w:w w:val="95"/>
                <w:sz w:val="20"/>
              </w:rPr>
              <w:t>13,753.94</w:t>
            </w:r>
          </w:p>
        </w:tc>
        <w:tc>
          <w:tcPr>
            <w:tcW w:w="1565" w:type="dxa"/>
          </w:tcPr>
          <w:p w:rsidR="007C5447" w:rsidRDefault="00F6308C">
            <w:pPr>
              <w:pStyle w:val="TableParagraph"/>
              <w:spacing w:before="26"/>
              <w:ind w:right="93"/>
              <w:rPr>
                <w:b/>
                <w:sz w:val="20"/>
              </w:rPr>
            </w:pPr>
            <w:r>
              <w:rPr>
                <w:b/>
                <w:sz w:val="20"/>
              </w:rPr>
              <w:t>4.65</w:t>
            </w:r>
          </w:p>
        </w:tc>
      </w:tr>
      <w:tr w:rsidR="007C5447">
        <w:trPr>
          <w:trHeight w:val="282"/>
        </w:trPr>
        <w:tc>
          <w:tcPr>
            <w:tcW w:w="4736" w:type="dxa"/>
          </w:tcPr>
          <w:p w:rsidR="007C5447" w:rsidRDefault="00F6308C">
            <w:pPr>
              <w:pStyle w:val="TableParagraph"/>
              <w:spacing w:before="26"/>
              <w:ind w:left="112"/>
              <w:jc w:val="left"/>
              <w:rPr>
                <w:b/>
                <w:sz w:val="20"/>
              </w:rPr>
            </w:pPr>
            <w:r>
              <w:rPr>
                <w:b/>
                <w:sz w:val="20"/>
              </w:rPr>
              <w:t>CGS</w:t>
            </w:r>
          </w:p>
        </w:tc>
        <w:tc>
          <w:tcPr>
            <w:tcW w:w="1668"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7C5447">
            <w:pPr>
              <w:pStyle w:val="TableParagraph"/>
              <w:jc w:val="left"/>
              <w:rPr>
                <w:sz w:val="20"/>
              </w:rPr>
            </w:pPr>
          </w:p>
        </w:tc>
        <w:tc>
          <w:tcPr>
            <w:tcW w:w="1565" w:type="dxa"/>
          </w:tcPr>
          <w:p w:rsidR="007C5447" w:rsidRDefault="007C5447">
            <w:pPr>
              <w:pStyle w:val="TableParagraph"/>
              <w:jc w:val="left"/>
              <w:rPr>
                <w:sz w:val="20"/>
              </w:rPr>
            </w:pPr>
          </w:p>
        </w:tc>
      </w:tr>
      <w:tr w:rsidR="007C5447">
        <w:trPr>
          <w:trHeight w:val="258"/>
        </w:trPr>
        <w:tc>
          <w:tcPr>
            <w:tcW w:w="4736" w:type="dxa"/>
            <w:tcBorders>
              <w:left w:val="single" w:sz="8" w:space="0" w:color="000000"/>
            </w:tcBorders>
          </w:tcPr>
          <w:p w:rsidR="007C5447" w:rsidRDefault="00F6308C">
            <w:pPr>
              <w:pStyle w:val="TableParagraph"/>
              <w:spacing w:before="14" w:line="224" w:lineRule="exact"/>
              <w:ind w:left="107"/>
              <w:jc w:val="left"/>
              <w:rPr>
                <w:sz w:val="20"/>
              </w:rPr>
            </w:pPr>
            <w:r>
              <w:rPr>
                <w:sz w:val="20"/>
              </w:rPr>
              <w:t>NTPC SR (Ramagundam) (I&amp;II)</w:t>
            </w:r>
          </w:p>
        </w:tc>
        <w:tc>
          <w:tcPr>
            <w:tcW w:w="1668" w:type="dxa"/>
          </w:tcPr>
          <w:p w:rsidR="007C5447" w:rsidRDefault="00F6308C">
            <w:pPr>
              <w:pStyle w:val="TableParagraph"/>
              <w:spacing w:before="14" w:line="224" w:lineRule="exact"/>
              <w:ind w:right="91"/>
              <w:rPr>
                <w:sz w:val="20"/>
              </w:rPr>
            </w:pPr>
            <w:r>
              <w:rPr>
                <w:w w:val="95"/>
                <w:sz w:val="20"/>
              </w:rPr>
              <w:t>4,019.71</w:t>
            </w:r>
          </w:p>
        </w:tc>
        <w:tc>
          <w:tcPr>
            <w:tcW w:w="1560" w:type="dxa"/>
          </w:tcPr>
          <w:p w:rsidR="007C5447" w:rsidRDefault="00F6308C">
            <w:pPr>
              <w:pStyle w:val="TableParagraph"/>
              <w:spacing w:before="14" w:line="224" w:lineRule="exact"/>
              <w:ind w:right="92"/>
              <w:rPr>
                <w:sz w:val="20"/>
              </w:rPr>
            </w:pPr>
            <w:r>
              <w:rPr>
                <w:w w:val="95"/>
                <w:sz w:val="20"/>
              </w:rPr>
              <w:t>234.21</w:t>
            </w:r>
          </w:p>
        </w:tc>
        <w:tc>
          <w:tcPr>
            <w:tcW w:w="1560" w:type="dxa"/>
          </w:tcPr>
          <w:p w:rsidR="007C5447" w:rsidRDefault="00F6308C">
            <w:pPr>
              <w:pStyle w:val="TableParagraph"/>
              <w:spacing w:before="14" w:line="224" w:lineRule="exact"/>
              <w:ind w:right="92"/>
              <w:rPr>
                <w:sz w:val="20"/>
              </w:rPr>
            </w:pPr>
            <w:r>
              <w:rPr>
                <w:w w:val="95"/>
                <w:sz w:val="20"/>
              </w:rPr>
              <w:t>921.66</w:t>
            </w:r>
          </w:p>
        </w:tc>
        <w:tc>
          <w:tcPr>
            <w:tcW w:w="1558" w:type="dxa"/>
          </w:tcPr>
          <w:p w:rsidR="007C5447" w:rsidRDefault="00F6308C">
            <w:pPr>
              <w:pStyle w:val="TableParagraph"/>
              <w:spacing w:before="14" w:line="224" w:lineRule="exact"/>
              <w:ind w:right="93"/>
              <w:rPr>
                <w:sz w:val="20"/>
              </w:rPr>
            </w:pPr>
            <w:r>
              <w:rPr>
                <w:sz w:val="20"/>
              </w:rPr>
              <w:t>2.29</w:t>
            </w:r>
          </w:p>
        </w:tc>
        <w:tc>
          <w:tcPr>
            <w:tcW w:w="1530" w:type="dxa"/>
          </w:tcPr>
          <w:p w:rsidR="007C5447" w:rsidRDefault="00F6308C">
            <w:pPr>
              <w:pStyle w:val="TableParagraph"/>
              <w:spacing w:before="14" w:line="224" w:lineRule="exact"/>
              <w:ind w:right="91"/>
              <w:rPr>
                <w:sz w:val="20"/>
              </w:rPr>
            </w:pPr>
            <w:r>
              <w:rPr>
                <w:w w:val="95"/>
                <w:sz w:val="20"/>
              </w:rPr>
              <w:t>1,155.87</w:t>
            </w:r>
          </w:p>
        </w:tc>
        <w:tc>
          <w:tcPr>
            <w:tcW w:w="1565" w:type="dxa"/>
          </w:tcPr>
          <w:p w:rsidR="007C5447" w:rsidRDefault="00F6308C">
            <w:pPr>
              <w:pStyle w:val="TableParagraph"/>
              <w:spacing w:before="14" w:line="224" w:lineRule="exact"/>
              <w:ind w:right="93"/>
              <w:rPr>
                <w:sz w:val="20"/>
              </w:rPr>
            </w:pPr>
            <w:r>
              <w:rPr>
                <w:sz w:val="20"/>
              </w:rPr>
              <w:t>2.88</w:t>
            </w:r>
          </w:p>
        </w:tc>
      </w:tr>
      <w:tr w:rsidR="007C5447">
        <w:trPr>
          <w:trHeight w:val="261"/>
        </w:trPr>
        <w:tc>
          <w:tcPr>
            <w:tcW w:w="4736" w:type="dxa"/>
            <w:tcBorders>
              <w:left w:val="single" w:sz="8" w:space="0" w:color="000000"/>
            </w:tcBorders>
          </w:tcPr>
          <w:p w:rsidR="007C5447" w:rsidRDefault="00F6308C">
            <w:pPr>
              <w:pStyle w:val="TableParagraph"/>
              <w:spacing w:before="14" w:line="227" w:lineRule="exact"/>
              <w:ind w:left="107"/>
              <w:jc w:val="left"/>
              <w:rPr>
                <w:sz w:val="20"/>
              </w:rPr>
            </w:pPr>
            <w:r>
              <w:rPr>
                <w:sz w:val="20"/>
              </w:rPr>
              <w:t>NTPC SR (Ramagundam) III</w:t>
            </w:r>
          </w:p>
        </w:tc>
        <w:tc>
          <w:tcPr>
            <w:tcW w:w="1668" w:type="dxa"/>
          </w:tcPr>
          <w:p w:rsidR="007C5447" w:rsidRDefault="00F6308C">
            <w:pPr>
              <w:pStyle w:val="TableParagraph"/>
              <w:spacing w:before="14" w:line="227" w:lineRule="exact"/>
              <w:ind w:right="91"/>
              <w:rPr>
                <w:sz w:val="20"/>
              </w:rPr>
            </w:pPr>
            <w:r>
              <w:rPr>
                <w:w w:val="95"/>
                <w:sz w:val="20"/>
              </w:rPr>
              <w:t>1,068.75</w:t>
            </w:r>
          </w:p>
        </w:tc>
        <w:tc>
          <w:tcPr>
            <w:tcW w:w="1560" w:type="dxa"/>
          </w:tcPr>
          <w:p w:rsidR="007C5447" w:rsidRDefault="00F6308C">
            <w:pPr>
              <w:pStyle w:val="TableParagraph"/>
              <w:spacing w:before="14" w:line="227" w:lineRule="exact"/>
              <w:ind w:right="93"/>
              <w:rPr>
                <w:sz w:val="20"/>
              </w:rPr>
            </w:pPr>
            <w:r>
              <w:rPr>
                <w:w w:val="95"/>
                <w:sz w:val="20"/>
              </w:rPr>
              <w:t>92.22</w:t>
            </w:r>
          </w:p>
        </w:tc>
        <w:tc>
          <w:tcPr>
            <w:tcW w:w="1560" w:type="dxa"/>
          </w:tcPr>
          <w:p w:rsidR="007C5447" w:rsidRDefault="00F6308C">
            <w:pPr>
              <w:pStyle w:val="TableParagraph"/>
              <w:spacing w:before="14" w:line="227" w:lineRule="exact"/>
              <w:ind w:right="92"/>
              <w:rPr>
                <w:sz w:val="20"/>
              </w:rPr>
            </w:pPr>
            <w:r>
              <w:rPr>
                <w:w w:val="95"/>
                <w:sz w:val="20"/>
              </w:rPr>
              <w:t>249.48</w:t>
            </w:r>
          </w:p>
        </w:tc>
        <w:tc>
          <w:tcPr>
            <w:tcW w:w="1558" w:type="dxa"/>
          </w:tcPr>
          <w:p w:rsidR="007C5447" w:rsidRDefault="00F6308C">
            <w:pPr>
              <w:pStyle w:val="TableParagraph"/>
              <w:spacing w:before="14" w:line="227" w:lineRule="exact"/>
              <w:ind w:right="93"/>
              <w:rPr>
                <w:sz w:val="20"/>
              </w:rPr>
            </w:pPr>
            <w:r>
              <w:rPr>
                <w:sz w:val="20"/>
              </w:rPr>
              <w:t>2.33</w:t>
            </w:r>
          </w:p>
        </w:tc>
        <w:tc>
          <w:tcPr>
            <w:tcW w:w="1530" w:type="dxa"/>
          </w:tcPr>
          <w:p w:rsidR="007C5447" w:rsidRDefault="00F6308C">
            <w:pPr>
              <w:pStyle w:val="TableParagraph"/>
              <w:spacing w:before="14" w:line="227" w:lineRule="exact"/>
              <w:ind w:right="93"/>
              <w:rPr>
                <w:sz w:val="20"/>
              </w:rPr>
            </w:pPr>
            <w:r>
              <w:rPr>
                <w:w w:val="95"/>
                <w:sz w:val="20"/>
              </w:rPr>
              <w:t>341.69</w:t>
            </w:r>
          </w:p>
        </w:tc>
        <w:tc>
          <w:tcPr>
            <w:tcW w:w="1565" w:type="dxa"/>
          </w:tcPr>
          <w:p w:rsidR="007C5447" w:rsidRDefault="00F6308C">
            <w:pPr>
              <w:pStyle w:val="TableParagraph"/>
              <w:spacing w:before="14" w:line="227" w:lineRule="exact"/>
              <w:ind w:right="93"/>
              <w:rPr>
                <w:sz w:val="20"/>
              </w:rPr>
            </w:pPr>
            <w:r>
              <w:rPr>
                <w:sz w:val="20"/>
              </w:rPr>
              <w:t>3.20</w:t>
            </w:r>
          </w:p>
        </w:tc>
      </w:tr>
      <w:tr w:rsidR="007C5447">
        <w:trPr>
          <w:trHeight w:val="258"/>
        </w:trPr>
        <w:tc>
          <w:tcPr>
            <w:tcW w:w="4736" w:type="dxa"/>
            <w:tcBorders>
              <w:left w:val="single" w:sz="8" w:space="0" w:color="000000"/>
            </w:tcBorders>
          </w:tcPr>
          <w:p w:rsidR="007C5447" w:rsidRDefault="00F6308C">
            <w:pPr>
              <w:pStyle w:val="TableParagraph"/>
              <w:spacing w:before="14" w:line="224" w:lineRule="exact"/>
              <w:ind w:left="107"/>
              <w:jc w:val="left"/>
              <w:rPr>
                <w:sz w:val="20"/>
              </w:rPr>
            </w:pPr>
            <w:r>
              <w:rPr>
                <w:sz w:val="20"/>
              </w:rPr>
              <w:t>NLC TS - I</w:t>
            </w:r>
          </w:p>
        </w:tc>
        <w:tc>
          <w:tcPr>
            <w:tcW w:w="1668" w:type="dxa"/>
          </w:tcPr>
          <w:p w:rsidR="007C5447" w:rsidRDefault="00F6308C">
            <w:pPr>
              <w:pStyle w:val="TableParagraph"/>
              <w:spacing w:before="14" w:line="224" w:lineRule="exact"/>
              <w:ind w:right="91"/>
              <w:rPr>
                <w:sz w:val="20"/>
              </w:rPr>
            </w:pPr>
            <w:r>
              <w:rPr>
                <w:w w:val="95"/>
                <w:sz w:val="20"/>
              </w:rPr>
              <w:t>2,486.60</w:t>
            </w:r>
          </w:p>
        </w:tc>
        <w:tc>
          <w:tcPr>
            <w:tcW w:w="1560" w:type="dxa"/>
          </w:tcPr>
          <w:p w:rsidR="007C5447" w:rsidRDefault="00F6308C">
            <w:pPr>
              <w:pStyle w:val="TableParagraph"/>
              <w:spacing w:before="14" w:line="224" w:lineRule="exact"/>
              <w:ind w:right="93"/>
              <w:rPr>
                <w:sz w:val="20"/>
              </w:rPr>
            </w:pPr>
            <w:r>
              <w:rPr>
                <w:w w:val="95"/>
                <w:sz w:val="20"/>
              </w:rPr>
              <w:t>217.55</w:t>
            </w:r>
          </w:p>
        </w:tc>
        <w:tc>
          <w:tcPr>
            <w:tcW w:w="1560" w:type="dxa"/>
          </w:tcPr>
          <w:p w:rsidR="007C5447" w:rsidRDefault="00F6308C">
            <w:pPr>
              <w:pStyle w:val="TableParagraph"/>
              <w:spacing w:before="14" w:line="224" w:lineRule="exact"/>
              <w:ind w:right="92"/>
              <w:rPr>
                <w:sz w:val="20"/>
              </w:rPr>
            </w:pPr>
            <w:r>
              <w:rPr>
                <w:w w:val="95"/>
                <w:sz w:val="20"/>
              </w:rPr>
              <w:t>716.14</w:t>
            </w:r>
          </w:p>
        </w:tc>
        <w:tc>
          <w:tcPr>
            <w:tcW w:w="1558" w:type="dxa"/>
          </w:tcPr>
          <w:p w:rsidR="007C5447" w:rsidRDefault="00F6308C">
            <w:pPr>
              <w:pStyle w:val="TableParagraph"/>
              <w:spacing w:before="14" w:line="224" w:lineRule="exact"/>
              <w:ind w:right="93"/>
              <w:rPr>
                <w:sz w:val="20"/>
              </w:rPr>
            </w:pPr>
            <w:r>
              <w:rPr>
                <w:sz w:val="20"/>
              </w:rPr>
              <w:t>2.88</w:t>
            </w:r>
          </w:p>
        </w:tc>
        <w:tc>
          <w:tcPr>
            <w:tcW w:w="1530" w:type="dxa"/>
          </w:tcPr>
          <w:p w:rsidR="007C5447" w:rsidRDefault="00F6308C">
            <w:pPr>
              <w:pStyle w:val="TableParagraph"/>
              <w:spacing w:before="14" w:line="224" w:lineRule="exact"/>
              <w:ind w:right="93"/>
              <w:rPr>
                <w:sz w:val="20"/>
              </w:rPr>
            </w:pPr>
            <w:r>
              <w:rPr>
                <w:w w:val="95"/>
                <w:sz w:val="20"/>
              </w:rPr>
              <w:t>933.69</w:t>
            </w:r>
          </w:p>
        </w:tc>
        <w:tc>
          <w:tcPr>
            <w:tcW w:w="1565" w:type="dxa"/>
          </w:tcPr>
          <w:p w:rsidR="007C5447" w:rsidRDefault="00F6308C">
            <w:pPr>
              <w:pStyle w:val="TableParagraph"/>
              <w:spacing w:before="14" w:line="224" w:lineRule="exact"/>
              <w:ind w:right="93"/>
              <w:rPr>
                <w:sz w:val="20"/>
              </w:rPr>
            </w:pPr>
            <w:r>
              <w:rPr>
                <w:sz w:val="20"/>
              </w:rPr>
              <w:t>3.75</w:t>
            </w:r>
          </w:p>
        </w:tc>
      </w:tr>
      <w:tr w:rsidR="007C5447">
        <w:trPr>
          <w:trHeight w:val="261"/>
        </w:trPr>
        <w:tc>
          <w:tcPr>
            <w:tcW w:w="4736" w:type="dxa"/>
            <w:tcBorders>
              <w:left w:val="single" w:sz="8" w:space="0" w:color="000000"/>
            </w:tcBorders>
          </w:tcPr>
          <w:p w:rsidR="007C5447" w:rsidRDefault="00F6308C">
            <w:pPr>
              <w:pStyle w:val="TableParagraph"/>
              <w:spacing w:before="14" w:line="227" w:lineRule="exact"/>
              <w:ind w:left="107"/>
              <w:jc w:val="left"/>
              <w:rPr>
                <w:sz w:val="20"/>
              </w:rPr>
            </w:pPr>
            <w:r>
              <w:rPr>
                <w:sz w:val="20"/>
              </w:rPr>
              <w:t>NLC TS - II</w:t>
            </w:r>
          </w:p>
        </w:tc>
        <w:tc>
          <w:tcPr>
            <w:tcW w:w="1668" w:type="dxa"/>
          </w:tcPr>
          <w:p w:rsidR="007C5447" w:rsidRDefault="00F6308C">
            <w:pPr>
              <w:pStyle w:val="TableParagraph"/>
              <w:spacing w:before="14" w:line="227" w:lineRule="exact"/>
              <w:ind w:right="91"/>
              <w:rPr>
                <w:sz w:val="20"/>
              </w:rPr>
            </w:pPr>
            <w:r>
              <w:rPr>
                <w:w w:val="95"/>
                <w:sz w:val="20"/>
              </w:rPr>
              <w:t>3,156.88</w:t>
            </w:r>
          </w:p>
        </w:tc>
        <w:tc>
          <w:tcPr>
            <w:tcW w:w="1560" w:type="dxa"/>
          </w:tcPr>
          <w:p w:rsidR="007C5447" w:rsidRDefault="00F6308C">
            <w:pPr>
              <w:pStyle w:val="TableParagraph"/>
              <w:spacing w:before="14" w:line="227" w:lineRule="exact"/>
              <w:ind w:right="93"/>
              <w:rPr>
                <w:sz w:val="20"/>
              </w:rPr>
            </w:pPr>
            <w:r>
              <w:rPr>
                <w:w w:val="95"/>
                <w:sz w:val="20"/>
              </w:rPr>
              <w:t>201.49</w:t>
            </w:r>
          </w:p>
        </w:tc>
        <w:tc>
          <w:tcPr>
            <w:tcW w:w="1560" w:type="dxa"/>
          </w:tcPr>
          <w:p w:rsidR="007C5447" w:rsidRDefault="00F6308C">
            <w:pPr>
              <w:pStyle w:val="TableParagraph"/>
              <w:spacing w:before="14" w:line="227" w:lineRule="exact"/>
              <w:ind w:right="92"/>
              <w:rPr>
                <w:sz w:val="20"/>
              </w:rPr>
            </w:pPr>
            <w:r>
              <w:rPr>
                <w:w w:val="95"/>
                <w:sz w:val="20"/>
              </w:rPr>
              <w:t>715.99</w:t>
            </w:r>
          </w:p>
        </w:tc>
        <w:tc>
          <w:tcPr>
            <w:tcW w:w="1558" w:type="dxa"/>
          </w:tcPr>
          <w:p w:rsidR="007C5447" w:rsidRDefault="00F6308C">
            <w:pPr>
              <w:pStyle w:val="TableParagraph"/>
              <w:spacing w:before="14" w:line="227" w:lineRule="exact"/>
              <w:ind w:right="93"/>
              <w:rPr>
                <w:sz w:val="20"/>
              </w:rPr>
            </w:pPr>
            <w:r>
              <w:rPr>
                <w:sz w:val="20"/>
              </w:rPr>
              <w:t>2.27</w:t>
            </w:r>
          </w:p>
        </w:tc>
        <w:tc>
          <w:tcPr>
            <w:tcW w:w="1530" w:type="dxa"/>
          </w:tcPr>
          <w:p w:rsidR="007C5447" w:rsidRDefault="00F6308C">
            <w:pPr>
              <w:pStyle w:val="TableParagraph"/>
              <w:spacing w:before="14" w:line="227" w:lineRule="exact"/>
              <w:ind w:right="93"/>
              <w:rPr>
                <w:sz w:val="20"/>
              </w:rPr>
            </w:pPr>
            <w:r>
              <w:rPr>
                <w:w w:val="95"/>
                <w:sz w:val="20"/>
              </w:rPr>
              <w:t>949.07</w:t>
            </w:r>
          </w:p>
        </w:tc>
        <w:tc>
          <w:tcPr>
            <w:tcW w:w="1565" w:type="dxa"/>
          </w:tcPr>
          <w:p w:rsidR="007C5447" w:rsidRDefault="00F6308C">
            <w:pPr>
              <w:pStyle w:val="TableParagraph"/>
              <w:spacing w:before="14" w:line="227" w:lineRule="exact"/>
              <w:ind w:right="93"/>
              <w:rPr>
                <w:sz w:val="20"/>
              </w:rPr>
            </w:pPr>
            <w:r>
              <w:rPr>
                <w:sz w:val="20"/>
              </w:rPr>
              <w:t>3.01</w:t>
            </w:r>
          </w:p>
        </w:tc>
      </w:tr>
      <w:tr w:rsidR="007C5447">
        <w:trPr>
          <w:trHeight w:val="258"/>
        </w:trPr>
        <w:tc>
          <w:tcPr>
            <w:tcW w:w="4736" w:type="dxa"/>
            <w:tcBorders>
              <w:left w:val="single" w:sz="8" w:space="0" w:color="000000"/>
            </w:tcBorders>
          </w:tcPr>
          <w:p w:rsidR="007C5447" w:rsidRDefault="00F6308C">
            <w:pPr>
              <w:pStyle w:val="TableParagraph"/>
              <w:spacing w:before="14" w:line="224" w:lineRule="exact"/>
              <w:ind w:left="107"/>
              <w:jc w:val="left"/>
              <w:rPr>
                <w:sz w:val="20"/>
              </w:rPr>
            </w:pPr>
            <w:r>
              <w:rPr>
                <w:sz w:val="20"/>
              </w:rPr>
              <w:t>NLC TS Expansion I</w:t>
            </w:r>
          </w:p>
        </w:tc>
        <w:tc>
          <w:tcPr>
            <w:tcW w:w="1668" w:type="dxa"/>
          </w:tcPr>
          <w:p w:rsidR="007C5447" w:rsidRDefault="00F6308C">
            <w:pPr>
              <w:pStyle w:val="TableParagraph"/>
              <w:spacing w:before="14" w:line="224" w:lineRule="exact"/>
              <w:ind w:right="91"/>
              <w:rPr>
                <w:sz w:val="20"/>
              </w:rPr>
            </w:pPr>
            <w:r>
              <w:rPr>
                <w:w w:val="95"/>
                <w:sz w:val="20"/>
              </w:rPr>
              <w:t>1,629.40</w:t>
            </w:r>
          </w:p>
        </w:tc>
        <w:tc>
          <w:tcPr>
            <w:tcW w:w="1560" w:type="dxa"/>
          </w:tcPr>
          <w:p w:rsidR="007C5447" w:rsidRDefault="00F6308C">
            <w:pPr>
              <w:pStyle w:val="TableParagraph"/>
              <w:spacing w:before="14" w:line="224" w:lineRule="exact"/>
              <w:ind w:right="93"/>
              <w:rPr>
                <w:sz w:val="20"/>
              </w:rPr>
            </w:pPr>
            <w:r>
              <w:rPr>
                <w:w w:val="95"/>
                <w:sz w:val="20"/>
              </w:rPr>
              <w:t>217.56</w:t>
            </w:r>
          </w:p>
        </w:tc>
        <w:tc>
          <w:tcPr>
            <w:tcW w:w="1560" w:type="dxa"/>
          </w:tcPr>
          <w:p w:rsidR="007C5447" w:rsidRDefault="00F6308C">
            <w:pPr>
              <w:pStyle w:val="TableParagraph"/>
              <w:spacing w:before="14" w:line="224" w:lineRule="exact"/>
              <w:ind w:right="92"/>
              <w:rPr>
                <w:sz w:val="20"/>
              </w:rPr>
            </w:pPr>
            <w:r>
              <w:rPr>
                <w:w w:val="95"/>
                <w:sz w:val="20"/>
              </w:rPr>
              <w:t>365.06</w:t>
            </w:r>
          </w:p>
        </w:tc>
        <w:tc>
          <w:tcPr>
            <w:tcW w:w="1558" w:type="dxa"/>
          </w:tcPr>
          <w:p w:rsidR="007C5447" w:rsidRDefault="00F6308C">
            <w:pPr>
              <w:pStyle w:val="TableParagraph"/>
              <w:spacing w:before="14" w:line="224" w:lineRule="exact"/>
              <w:ind w:right="93"/>
              <w:rPr>
                <w:sz w:val="20"/>
              </w:rPr>
            </w:pPr>
            <w:r>
              <w:rPr>
                <w:sz w:val="20"/>
              </w:rPr>
              <w:t>2.24</w:t>
            </w:r>
          </w:p>
        </w:tc>
        <w:tc>
          <w:tcPr>
            <w:tcW w:w="1530" w:type="dxa"/>
          </w:tcPr>
          <w:p w:rsidR="007C5447" w:rsidRDefault="00F6308C">
            <w:pPr>
              <w:pStyle w:val="TableParagraph"/>
              <w:spacing w:before="14" w:line="224" w:lineRule="exact"/>
              <w:ind w:right="93"/>
              <w:rPr>
                <w:sz w:val="20"/>
              </w:rPr>
            </w:pPr>
            <w:r>
              <w:rPr>
                <w:w w:val="95"/>
                <w:sz w:val="20"/>
              </w:rPr>
              <w:t>582.61</w:t>
            </w:r>
          </w:p>
        </w:tc>
        <w:tc>
          <w:tcPr>
            <w:tcW w:w="1565" w:type="dxa"/>
          </w:tcPr>
          <w:p w:rsidR="007C5447" w:rsidRDefault="00F6308C">
            <w:pPr>
              <w:pStyle w:val="TableParagraph"/>
              <w:spacing w:before="14" w:line="224" w:lineRule="exact"/>
              <w:ind w:right="93"/>
              <w:rPr>
                <w:sz w:val="20"/>
              </w:rPr>
            </w:pPr>
            <w:r>
              <w:rPr>
                <w:sz w:val="20"/>
              </w:rPr>
              <w:t>3.58</w:t>
            </w:r>
          </w:p>
        </w:tc>
      </w:tr>
      <w:tr w:rsidR="007C5447">
        <w:trPr>
          <w:trHeight w:val="261"/>
        </w:trPr>
        <w:tc>
          <w:tcPr>
            <w:tcW w:w="4736" w:type="dxa"/>
            <w:tcBorders>
              <w:left w:val="single" w:sz="8" w:space="0" w:color="000000"/>
            </w:tcBorders>
          </w:tcPr>
          <w:p w:rsidR="007C5447" w:rsidRDefault="00F6308C">
            <w:pPr>
              <w:pStyle w:val="TableParagraph"/>
              <w:spacing w:before="15" w:line="227" w:lineRule="exact"/>
              <w:ind w:left="107"/>
              <w:jc w:val="left"/>
              <w:rPr>
                <w:sz w:val="20"/>
              </w:rPr>
            </w:pPr>
            <w:r>
              <w:rPr>
                <w:sz w:val="20"/>
              </w:rPr>
              <w:t>NLC TS Expansion II</w:t>
            </w:r>
          </w:p>
        </w:tc>
        <w:tc>
          <w:tcPr>
            <w:tcW w:w="1668" w:type="dxa"/>
          </w:tcPr>
          <w:p w:rsidR="007C5447" w:rsidRDefault="00F6308C">
            <w:pPr>
              <w:pStyle w:val="TableParagraph"/>
              <w:spacing w:before="15" w:line="227" w:lineRule="exact"/>
              <w:ind w:right="93"/>
              <w:rPr>
                <w:sz w:val="20"/>
              </w:rPr>
            </w:pPr>
            <w:r>
              <w:rPr>
                <w:w w:val="95"/>
                <w:sz w:val="20"/>
              </w:rPr>
              <w:t>306.81</w:t>
            </w:r>
          </w:p>
        </w:tc>
        <w:tc>
          <w:tcPr>
            <w:tcW w:w="1560" w:type="dxa"/>
          </w:tcPr>
          <w:p w:rsidR="007C5447" w:rsidRDefault="00F6308C">
            <w:pPr>
              <w:pStyle w:val="TableParagraph"/>
              <w:spacing w:before="15" w:line="227" w:lineRule="exact"/>
              <w:ind w:right="93"/>
              <w:rPr>
                <w:sz w:val="20"/>
              </w:rPr>
            </w:pPr>
            <w:r>
              <w:rPr>
                <w:w w:val="95"/>
                <w:sz w:val="20"/>
              </w:rPr>
              <w:t>64.72</w:t>
            </w:r>
          </w:p>
        </w:tc>
        <w:tc>
          <w:tcPr>
            <w:tcW w:w="1560" w:type="dxa"/>
          </w:tcPr>
          <w:p w:rsidR="007C5447" w:rsidRDefault="00F6308C">
            <w:pPr>
              <w:pStyle w:val="TableParagraph"/>
              <w:spacing w:before="15" w:line="227" w:lineRule="exact"/>
              <w:ind w:right="92"/>
              <w:rPr>
                <w:sz w:val="20"/>
              </w:rPr>
            </w:pPr>
            <w:r>
              <w:rPr>
                <w:w w:val="95"/>
                <w:sz w:val="20"/>
              </w:rPr>
              <w:t>73.89</w:t>
            </w:r>
          </w:p>
        </w:tc>
        <w:tc>
          <w:tcPr>
            <w:tcW w:w="1558" w:type="dxa"/>
          </w:tcPr>
          <w:p w:rsidR="007C5447" w:rsidRDefault="00F6308C">
            <w:pPr>
              <w:pStyle w:val="TableParagraph"/>
              <w:spacing w:before="15" w:line="227" w:lineRule="exact"/>
              <w:ind w:right="93"/>
              <w:rPr>
                <w:sz w:val="20"/>
              </w:rPr>
            </w:pPr>
            <w:r>
              <w:rPr>
                <w:sz w:val="20"/>
              </w:rPr>
              <w:t>2.41</w:t>
            </w:r>
          </w:p>
        </w:tc>
        <w:tc>
          <w:tcPr>
            <w:tcW w:w="1530" w:type="dxa"/>
          </w:tcPr>
          <w:p w:rsidR="007C5447" w:rsidRDefault="00F6308C">
            <w:pPr>
              <w:pStyle w:val="TableParagraph"/>
              <w:spacing w:before="15" w:line="227" w:lineRule="exact"/>
              <w:ind w:right="93"/>
              <w:rPr>
                <w:sz w:val="20"/>
              </w:rPr>
            </w:pPr>
            <w:r>
              <w:rPr>
                <w:w w:val="95"/>
                <w:sz w:val="20"/>
              </w:rPr>
              <w:t>138.61</w:t>
            </w:r>
          </w:p>
        </w:tc>
        <w:tc>
          <w:tcPr>
            <w:tcW w:w="1565" w:type="dxa"/>
          </w:tcPr>
          <w:p w:rsidR="007C5447" w:rsidRDefault="00F6308C">
            <w:pPr>
              <w:pStyle w:val="TableParagraph"/>
              <w:spacing w:before="15" w:line="227" w:lineRule="exact"/>
              <w:ind w:right="93"/>
              <w:rPr>
                <w:sz w:val="20"/>
              </w:rPr>
            </w:pPr>
            <w:r>
              <w:rPr>
                <w:sz w:val="20"/>
              </w:rPr>
              <w:t>4.52</w:t>
            </w:r>
          </w:p>
        </w:tc>
      </w:tr>
      <w:tr w:rsidR="007C5447">
        <w:trPr>
          <w:trHeight w:val="258"/>
        </w:trPr>
        <w:tc>
          <w:tcPr>
            <w:tcW w:w="4736" w:type="dxa"/>
            <w:tcBorders>
              <w:left w:val="single" w:sz="8" w:space="0" w:color="000000"/>
            </w:tcBorders>
          </w:tcPr>
          <w:p w:rsidR="007C5447" w:rsidRDefault="00F6308C">
            <w:pPr>
              <w:pStyle w:val="TableParagraph"/>
              <w:spacing w:before="14" w:line="224" w:lineRule="exact"/>
              <w:ind w:left="107"/>
              <w:jc w:val="left"/>
              <w:rPr>
                <w:sz w:val="20"/>
              </w:rPr>
            </w:pPr>
            <w:r>
              <w:rPr>
                <w:sz w:val="20"/>
              </w:rPr>
              <w:t>NTPL (JV with NLC)</w:t>
            </w:r>
          </w:p>
        </w:tc>
        <w:tc>
          <w:tcPr>
            <w:tcW w:w="1668" w:type="dxa"/>
          </w:tcPr>
          <w:p w:rsidR="007C5447" w:rsidRDefault="00F6308C">
            <w:pPr>
              <w:pStyle w:val="TableParagraph"/>
              <w:spacing w:before="14" w:line="224" w:lineRule="exact"/>
              <w:ind w:right="91"/>
              <w:rPr>
                <w:sz w:val="20"/>
              </w:rPr>
            </w:pPr>
            <w:r>
              <w:rPr>
                <w:w w:val="95"/>
                <w:sz w:val="20"/>
              </w:rPr>
              <w:t>1,299.41</w:t>
            </w:r>
          </w:p>
        </w:tc>
        <w:tc>
          <w:tcPr>
            <w:tcW w:w="1560" w:type="dxa"/>
          </w:tcPr>
          <w:p w:rsidR="007C5447" w:rsidRDefault="00F6308C">
            <w:pPr>
              <w:pStyle w:val="TableParagraph"/>
              <w:spacing w:before="14" w:line="224" w:lineRule="exact"/>
              <w:ind w:right="93"/>
              <w:rPr>
                <w:sz w:val="20"/>
              </w:rPr>
            </w:pPr>
            <w:r>
              <w:rPr>
                <w:w w:val="95"/>
                <w:sz w:val="20"/>
              </w:rPr>
              <w:t>212.58</w:t>
            </w:r>
          </w:p>
        </w:tc>
        <w:tc>
          <w:tcPr>
            <w:tcW w:w="1560" w:type="dxa"/>
          </w:tcPr>
          <w:p w:rsidR="007C5447" w:rsidRDefault="00F6308C">
            <w:pPr>
              <w:pStyle w:val="TableParagraph"/>
              <w:spacing w:before="14" w:line="224" w:lineRule="exact"/>
              <w:ind w:right="92"/>
              <w:rPr>
                <w:sz w:val="20"/>
              </w:rPr>
            </w:pPr>
            <w:r>
              <w:rPr>
                <w:w w:val="95"/>
                <w:sz w:val="20"/>
              </w:rPr>
              <w:t>302.45</w:t>
            </w:r>
          </w:p>
        </w:tc>
        <w:tc>
          <w:tcPr>
            <w:tcW w:w="1558" w:type="dxa"/>
          </w:tcPr>
          <w:p w:rsidR="007C5447" w:rsidRDefault="00F6308C">
            <w:pPr>
              <w:pStyle w:val="TableParagraph"/>
              <w:spacing w:before="14" w:line="224" w:lineRule="exact"/>
              <w:ind w:right="93"/>
              <w:rPr>
                <w:sz w:val="20"/>
              </w:rPr>
            </w:pPr>
            <w:r>
              <w:rPr>
                <w:sz w:val="20"/>
              </w:rPr>
              <w:t>2.33</w:t>
            </w:r>
          </w:p>
        </w:tc>
        <w:tc>
          <w:tcPr>
            <w:tcW w:w="1530" w:type="dxa"/>
          </w:tcPr>
          <w:p w:rsidR="007C5447" w:rsidRDefault="00F6308C">
            <w:pPr>
              <w:pStyle w:val="TableParagraph"/>
              <w:spacing w:before="14" w:line="224" w:lineRule="exact"/>
              <w:ind w:right="93"/>
              <w:rPr>
                <w:sz w:val="20"/>
              </w:rPr>
            </w:pPr>
            <w:r>
              <w:rPr>
                <w:w w:val="95"/>
                <w:sz w:val="20"/>
              </w:rPr>
              <w:t>515.03</w:t>
            </w:r>
          </w:p>
        </w:tc>
        <w:tc>
          <w:tcPr>
            <w:tcW w:w="1565" w:type="dxa"/>
          </w:tcPr>
          <w:p w:rsidR="007C5447" w:rsidRDefault="00F6308C">
            <w:pPr>
              <w:pStyle w:val="TableParagraph"/>
              <w:spacing w:before="14" w:line="224" w:lineRule="exact"/>
              <w:ind w:right="93"/>
              <w:rPr>
                <w:sz w:val="20"/>
              </w:rPr>
            </w:pPr>
            <w:r>
              <w:rPr>
                <w:sz w:val="20"/>
              </w:rPr>
              <w:t>3.96</w:t>
            </w:r>
          </w:p>
        </w:tc>
      </w:tr>
      <w:tr w:rsidR="007C5447">
        <w:trPr>
          <w:trHeight w:val="261"/>
        </w:trPr>
        <w:tc>
          <w:tcPr>
            <w:tcW w:w="4736" w:type="dxa"/>
            <w:tcBorders>
              <w:left w:val="single" w:sz="8" w:space="0" w:color="000000"/>
            </w:tcBorders>
          </w:tcPr>
          <w:p w:rsidR="007C5447" w:rsidRDefault="00F6308C">
            <w:pPr>
              <w:pStyle w:val="TableParagraph"/>
              <w:spacing w:before="14" w:line="227" w:lineRule="exact"/>
              <w:ind w:left="107"/>
              <w:jc w:val="left"/>
              <w:rPr>
                <w:sz w:val="20"/>
              </w:rPr>
            </w:pPr>
            <w:r>
              <w:rPr>
                <w:sz w:val="20"/>
              </w:rPr>
              <w:t>NTPC Talcher</w:t>
            </w:r>
          </w:p>
        </w:tc>
        <w:tc>
          <w:tcPr>
            <w:tcW w:w="1668" w:type="dxa"/>
          </w:tcPr>
          <w:p w:rsidR="007C5447" w:rsidRDefault="00F6308C">
            <w:pPr>
              <w:pStyle w:val="TableParagraph"/>
              <w:spacing w:before="14" w:line="227" w:lineRule="exact"/>
              <w:ind w:right="91"/>
              <w:rPr>
                <w:sz w:val="20"/>
              </w:rPr>
            </w:pPr>
            <w:r>
              <w:rPr>
                <w:w w:val="95"/>
                <w:sz w:val="20"/>
              </w:rPr>
              <w:t>3,713.40</w:t>
            </w:r>
          </w:p>
        </w:tc>
        <w:tc>
          <w:tcPr>
            <w:tcW w:w="1560" w:type="dxa"/>
          </w:tcPr>
          <w:p w:rsidR="007C5447" w:rsidRDefault="00F6308C">
            <w:pPr>
              <w:pStyle w:val="TableParagraph"/>
              <w:spacing w:before="14" w:line="227" w:lineRule="exact"/>
              <w:ind w:right="93"/>
              <w:rPr>
                <w:sz w:val="20"/>
              </w:rPr>
            </w:pPr>
            <w:r>
              <w:rPr>
                <w:w w:val="95"/>
                <w:sz w:val="20"/>
              </w:rPr>
              <w:t>283.38</w:t>
            </w:r>
          </w:p>
        </w:tc>
        <w:tc>
          <w:tcPr>
            <w:tcW w:w="1560" w:type="dxa"/>
          </w:tcPr>
          <w:p w:rsidR="007C5447" w:rsidRDefault="00F6308C">
            <w:pPr>
              <w:pStyle w:val="TableParagraph"/>
              <w:spacing w:before="14" w:line="227" w:lineRule="exact"/>
              <w:ind w:right="92"/>
              <w:rPr>
                <w:sz w:val="20"/>
              </w:rPr>
            </w:pPr>
            <w:r>
              <w:rPr>
                <w:w w:val="95"/>
                <w:sz w:val="20"/>
              </w:rPr>
              <w:t>499.61</w:t>
            </w:r>
          </w:p>
        </w:tc>
        <w:tc>
          <w:tcPr>
            <w:tcW w:w="1558" w:type="dxa"/>
          </w:tcPr>
          <w:p w:rsidR="007C5447" w:rsidRDefault="00F6308C">
            <w:pPr>
              <w:pStyle w:val="TableParagraph"/>
              <w:spacing w:before="14" w:line="227" w:lineRule="exact"/>
              <w:ind w:right="93"/>
              <w:rPr>
                <w:sz w:val="20"/>
              </w:rPr>
            </w:pPr>
            <w:r>
              <w:rPr>
                <w:sz w:val="20"/>
              </w:rPr>
              <w:t>1.35</w:t>
            </w:r>
          </w:p>
        </w:tc>
        <w:tc>
          <w:tcPr>
            <w:tcW w:w="1530" w:type="dxa"/>
          </w:tcPr>
          <w:p w:rsidR="007C5447" w:rsidRDefault="00F6308C">
            <w:pPr>
              <w:pStyle w:val="TableParagraph"/>
              <w:spacing w:before="14" w:line="227" w:lineRule="exact"/>
              <w:ind w:right="93"/>
              <w:rPr>
                <w:sz w:val="20"/>
              </w:rPr>
            </w:pPr>
            <w:r>
              <w:rPr>
                <w:w w:val="95"/>
                <w:sz w:val="20"/>
              </w:rPr>
              <w:t>782.99</w:t>
            </w:r>
          </w:p>
        </w:tc>
        <w:tc>
          <w:tcPr>
            <w:tcW w:w="1565" w:type="dxa"/>
          </w:tcPr>
          <w:p w:rsidR="007C5447" w:rsidRDefault="00F6308C">
            <w:pPr>
              <w:pStyle w:val="TableParagraph"/>
              <w:spacing w:before="14" w:line="227" w:lineRule="exact"/>
              <w:ind w:right="93"/>
              <w:rPr>
                <w:sz w:val="20"/>
              </w:rPr>
            </w:pPr>
            <w:r>
              <w:rPr>
                <w:sz w:val="20"/>
              </w:rPr>
              <w:t>2.11</w:t>
            </w:r>
          </w:p>
        </w:tc>
      </w:tr>
      <w:tr w:rsidR="007C5447">
        <w:trPr>
          <w:trHeight w:val="258"/>
        </w:trPr>
        <w:tc>
          <w:tcPr>
            <w:tcW w:w="4736" w:type="dxa"/>
            <w:tcBorders>
              <w:left w:val="single" w:sz="8" w:space="0" w:color="000000"/>
            </w:tcBorders>
          </w:tcPr>
          <w:p w:rsidR="007C5447" w:rsidRDefault="00F6308C">
            <w:pPr>
              <w:pStyle w:val="TableParagraph"/>
              <w:spacing w:before="14" w:line="224" w:lineRule="exact"/>
              <w:ind w:left="107"/>
              <w:jc w:val="left"/>
              <w:rPr>
                <w:sz w:val="20"/>
              </w:rPr>
            </w:pPr>
            <w:r>
              <w:rPr>
                <w:sz w:val="20"/>
              </w:rPr>
              <w:t>NTPC Simhadri</w:t>
            </w:r>
          </w:p>
        </w:tc>
        <w:tc>
          <w:tcPr>
            <w:tcW w:w="1668" w:type="dxa"/>
          </w:tcPr>
          <w:p w:rsidR="007C5447" w:rsidRDefault="00F6308C">
            <w:pPr>
              <w:pStyle w:val="TableParagraph"/>
              <w:spacing w:before="14" w:line="224" w:lineRule="exact"/>
              <w:ind w:right="91"/>
              <w:rPr>
                <w:sz w:val="20"/>
              </w:rPr>
            </w:pPr>
            <w:r>
              <w:rPr>
                <w:w w:val="95"/>
                <w:sz w:val="20"/>
              </w:rPr>
              <w:t>1,543.84</w:t>
            </w:r>
          </w:p>
        </w:tc>
        <w:tc>
          <w:tcPr>
            <w:tcW w:w="1560" w:type="dxa"/>
          </w:tcPr>
          <w:p w:rsidR="007C5447" w:rsidRDefault="00F6308C">
            <w:pPr>
              <w:pStyle w:val="TableParagraph"/>
              <w:spacing w:before="14" w:line="224" w:lineRule="exact"/>
              <w:ind w:right="93"/>
              <w:rPr>
                <w:sz w:val="20"/>
              </w:rPr>
            </w:pPr>
            <w:r>
              <w:rPr>
                <w:w w:val="95"/>
                <w:sz w:val="20"/>
              </w:rPr>
              <w:t>238.95</w:t>
            </w:r>
          </w:p>
        </w:tc>
        <w:tc>
          <w:tcPr>
            <w:tcW w:w="1560" w:type="dxa"/>
          </w:tcPr>
          <w:p w:rsidR="007C5447" w:rsidRDefault="00F6308C">
            <w:pPr>
              <w:pStyle w:val="TableParagraph"/>
              <w:spacing w:before="14" w:line="224" w:lineRule="exact"/>
              <w:ind w:right="92"/>
              <w:rPr>
                <w:sz w:val="20"/>
              </w:rPr>
            </w:pPr>
            <w:r>
              <w:rPr>
                <w:w w:val="95"/>
                <w:sz w:val="20"/>
              </w:rPr>
              <w:t>382.73</w:t>
            </w:r>
          </w:p>
        </w:tc>
        <w:tc>
          <w:tcPr>
            <w:tcW w:w="1558" w:type="dxa"/>
          </w:tcPr>
          <w:p w:rsidR="007C5447" w:rsidRDefault="00F6308C">
            <w:pPr>
              <w:pStyle w:val="TableParagraph"/>
              <w:spacing w:before="14" w:line="224" w:lineRule="exact"/>
              <w:ind w:right="93"/>
              <w:rPr>
                <w:sz w:val="20"/>
              </w:rPr>
            </w:pPr>
            <w:r>
              <w:rPr>
                <w:sz w:val="20"/>
              </w:rPr>
              <w:t>2.48</w:t>
            </w:r>
          </w:p>
        </w:tc>
        <w:tc>
          <w:tcPr>
            <w:tcW w:w="1530" w:type="dxa"/>
          </w:tcPr>
          <w:p w:rsidR="007C5447" w:rsidRDefault="00F6308C">
            <w:pPr>
              <w:pStyle w:val="TableParagraph"/>
              <w:spacing w:before="14" w:line="224" w:lineRule="exact"/>
              <w:ind w:right="93"/>
              <w:rPr>
                <w:sz w:val="20"/>
              </w:rPr>
            </w:pPr>
            <w:r>
              <w:rPr>
                <w:w w:val="95"/>
                <w:sz w:val="20"/>
              </w:rPr>
              <w:t>621.68</w:t>
            </w:r>
          </w:p>
        </w:tc>
        <w:tc>
          <w:tcPr>
            <w:tcW w:w="1565" w:type="dxa"/>
          </w:tcPr>
          <w:p w:rsidR="007C5447" w:rsidRDefault="00F6308C">
            <w:pPr>
              <w:pStyle w:val="TableParagraph"/>
              <w:spacing w:before="14" w:line="224" w:lineRule="exact"/>
              <w:ind w:right="93"/>
              <w:rPr>
                <w:sz w:val="20"/>
              </w:rPr>
            </w:pPr>
            <w:r>
              <w:rPr>
                <w:sz w:val="20"/>
              </w:rPr>
              <w:t>4.03</w:t>
            </w:r>
          </w:p>
        </w:tc>
      </w:tr>
    </w:tbl>
    <w:p w:rsidR="007C5447" w:rsidRDefault="007C5447">
      <w:pPr>
        <w:spacing w:line="224" w:lineRule="exact"/>
        <w:rPr>
          <w:sz w:val="20"/>
        </w:rPr>
        <w:sectPr w:rsidR="007C5447">
          <w:pgSz w:w="16840" w:h="11910" w:orient="landscape"/>
          <w:pgMar w:top="1100" w:right="1220" w:bottom="960" w:left="1220" w:header="0" w:footer="777" w:gutter="0"/>
          <w:cols w:space="720"/>
        </w:sectPr>
      </w:pPr>
    </w:p>
    <w:p w:rsidR="007C5447" w:rsidRDefault="007C5447">
      <w:pPr>
        <w:pStyle w:val="BodyText"/>
        <w:spacing w:before="3"/>
        <w:rPr>
          <w:sz w:val="2"/>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36"/>
        <w:gridCol w:w="1668"/>
        <w:gridCol w:w="1560"/>
        <w:gridCol w:w="1560"/>
        <w:gridCol w:w="1558"/>
        <w:gridCol w:w="1530"/>
        <w:gridCol w:w="1565"/>
      </w:tblGrid>
      <w:tr w:rsidR="007C5447">
        <w:trPr>
          <w:trHeight w:val="283"/>
        </w:trPr>
        <w:tc>
          <w:tcPr>
            <w:tcW w:w="4736" w:type="dxa"/>
            <w:vMerge w:val="restart"/>
            <w:shd w:val="clear" w:color="auto" w:fill="FBD4B4"/>
          </w:tcPr>
          <w:p w:rsidR="007C5447" w:rsidRDefault="007C5447">
            <w:pPr>
              <w:pStyle w:val="TableParagraph"/>
              <w:jc w:val="left"/>
            </w:pPr>
          </w:p>
          <w:p w:rsidR="007C5447" w:rsidRDefault="00F6308C">
            <w:pPr>
              <w:pStyle w:val="TableParagraph"/>
              <w:spacing w:before="158"/>
              <w:ind w:left="1723" w:right="1710"/>
              <w:jc w:val="center"/>
              <w:rPr>
                <w:b/>
                <w:sz w:val="20"/>
              </w:rPr>
            </w:pPr>
            <w:r>
              <w:rPr>
                <w:b/>
                <w:sz w:val="20"/>
              </w:rPr>
              <w:t>Source</w:t>
            </w:r>
          </w:p>
        </w:tc>
        <w:tc>
          <w:tcPr>
            <w:tcW w:w="9441" w:type="dxa"/>
            <w:gridSpan w:val="6"/>
            <w:shd w:val="clear" w:color="auto" w:fill="FBD4B4"/>
          </w:tcPr>
          <w:p w:rsidR="007C5447" w:rsidRDefault="00F6308C">
            <w:pPr>
              <w:pStyle w:val="TableParagraph"/>
              <w:spacing w:before="39" w:line="224" w:lineRule="exact"/>
              <w:ind w:left="4205" w:right="4192"/>
              <w:jc w:val="center"/>
              <w:rPr>
                <w:b/>
                <w:sz w:val="20"/>
              </w:rPr>
            </w:pPr>
            <w:r>
              <w:rPr>
                <w:b/>
                <w:sz w:val="20"/>
              </w:rPr>
              <w:t>FY 2015-16</w:t>
            </w:r>
          </w:p>
        </w:tc>
      </w:tr>
      <w:tr w:rsidR="007C5447">
        <w:trPr>
          <w:trHeight w:val="757"/>
        </w:trPr>
        <w:tc>
          <w:tcPr>
            <w:tcW w:w="4736" w:type="dxa"/>
            <w:vMerge/>
            <w:tcBorders>
              <w:top w:val="nil"/>
            </w:tcBorders>
            <w:shd w:val="clear" w:color="auto" w:fill="FBD4B4"/>
          </w:tcPr>
          <w:p w:rsidR="007C5447" w:rsidRDefault="007C5447">
            <w:pPr>
              <w:rPr>
                <w:sz w:val="2"/>
                <w:szCs w:val="2"/>
              </w:rPr>
            </w:pPr>
          </w:p>
        </w:tc>
        <w:tc>
          <w:tcPr>
            <w:tcW w:w="1668" w:type="dxa"/>
            <w:shd w:val="clear" w:color="auto" w:fill="FBD4B4"/>
          </w:tcPr>
          <w:p w:rsidR="007C5447" w:rsidRDefault="007C5447">
            <w:pPr>
              <w:pStyle w:val="TableParagraph"/>
              <w:spacing w:before="11"/>
              <w:jc w:val="left"/>
            </w:pPr>
          </w:p>
          <w:p w:rsidR="007C5447" w:rsidRDefault="00F6308C">
            <w:pPr>
              <w:pStyle w:val="TableParagraph"/>
              <w:ind w:right="148"/>
              <w:rPr>
                <w:b/>
                <w:sz w:val="20"/>
              </w:rPr>
            </w:pPr>
            <w:r>
              <w:rPr>
                <w:b/>
                <w:sz w:val="20"/>
              </w:rPr>
              <w:t>Quantum (MU)</w:t>
            </w:r>
          </w:p>
        </w:tc>
        <w:tc>
          <w:tcPr>
            <w:tcW w:w="1560" w:type="dxa"/>
            <w:shd w:val="clear" w:color="auto" w:fill="FBD4B4"/>
          </w:tcPr>
          <w:p w:rsidR="007C5447" w:rsidRDefault="00F6308C">
            <w:pPr>
              <w:pStyle w:val="TableParagraph"/>
              <w:spacing w:before="149"/>
              <w:ind w:left="415" w:right="126" w:hanging="250"/>
              <w:jc w:val="left"/>
              <w:rPr>
                <w:b/>
                <w:sz w:val="20"/>
              </w:rPr>
            </w:pPr>
            <w:r>
              <w:rPr>
                <w:b/>
                <w:sz w:val="20"/>
              </w:rPr>
              <w:t>Fixed Charges (Rs. Cr.)</w:t>
            </w:r>
          </w:p>
        </w:tc>
        <w:tc>
          <w:tcPr>
            <w:tcW w:w="1560" w:type="dxa"/>
            <w:shd w:val="clear" w:color="auto" w:fill="FBD4B4"/>
          </w:tcPr>
          <w:p w:rsidR="007C5447" w:rsidRDefault="00F6308C">
            <w:pPr>
              <w:pStyle w:val="TableParagraph"/>
              <w:spacing w:before="149"/>
              <w:ind w:left="300" w:right="92" w:hanging="168"/>
              <w:jc w:val="left"/>
              <w:rPr>
                <w:b/>
                <w:sz w:val="20"/>
              </w:rPr>
            </w:pPr>
            <w:r>
              <w:rPr>
                <w:b/>
                <w:sz w:val="20"/>
              </w:rPr>
              <w:t>Energy Charge (Rs. Crore)</w:t>
            </w:r>
          </w:p>
        </w:tc>
        <w:tc>
          <w:tcPr>
            <w:tcW w:w="1558" w:type="dxa"/>
            <w:shd w:val="clear" w:color="auto" w:fill="FBD4B4"/>
          </w:tcPr>
          <w:p w:rsidR="007C5447" w:rsidRDefault="00F6308C">
            <w:pPr>
              <w:pStyle w:val="TableParagraph"/>
              <w:spacing w:before="149"/>
              <w:ind w:left="362" w:right="93" w:hanging="233"/>
              <w:jc w:val="left"/>
              <w:rPr>
                <w:b/>
                <w:sz w:val="20"/>
              </w:rPr>
            </w:pPr>
            <w:r>
              <w:rPr>
                <w:b/>
                <w:sz w:val="20"/>
              </w:rPr>
              <w:t>Energy Charge (Rs./Unit)</w:t>
            </w:r>
          </w:p>
        </w:tc>
        <w:tc>
          <w:tcPr>
            <w:tcW w:w="1530" w:type="dxa"/>
            <w:shd w:val="clear" w:color="auto" w:fill="FBD4B4"/>
          </w:tcPr>
          <w:p w:rsidR="007C5447" w:rsidRDefault="00F6308C">
            <w:pPr>
              <w:pStyle w:val="TableParagraph"/>
              <w:spacing w:before="149"/>
              <w:ind w:left="425" w:right="284" w:hanging="104"/>
              <w:jc w:val="left"/>
              <w:rPr>
                <w:b/>
                <w:sz w:val="20"/>
              </w:rPr>
            </w:pPr>
            <w:r>
              <w:rPr>
                <w:b/>
                <w:sz w:val="20"/>
              </w:rPr>
              <w:t>Total Cost (Rs. Cr)</w:t>
            </w:r>
          </w:p>
        </w:tc>
        <w:tc>
          <w:tcPr>
            <w:tcW w:w="1565" w:type="dxa"/>
            <w:shd w:val="clear" w:color="auto" w:fill="FBD4B4"/>
          </w:tcPr>
          <w:p w:rsidR="007C5447" w:rsidRDefault="007C5447">
            <w:pPr>
              <w:pStyle w:val="TableParagraph"/>
              <w:spacing w:before="11"/>
              <w:jc w:val="left"/>
            </w:pPr>
          </w:p>
          <w:p w:rsidR="007C5447" w:rsidRDefault="00F6308C">
            <w:pPr>
              <w:pStyle w:val="TableParagraph"/>
              <w:ind w:right="129"/>
              <w:rPr>
                <w:b/>
                <w:sz w:val="20"/>
              </w:rPr>
            </w:pPr>
            <w:r>
              <w:rPr>
                <w:b/>
                <w:sz w:val="20"/>
              </w:rPr>
              <w:t>Rate (Rs/kWh)</w:t>
            </w:r>
          </w:p>
        </w:tc>
      </w:tr>
      <w:tr w:rsidR="007C5447">
        <w:trPr>
          <w:trHeight w:val="261"/>
        </w:trPr>
        <w:tc>
          <w:tcPr>
            <w:tcW w:w="4736" w:type="dxa"/>
            <w:tcBorders>
              <w:left w:val="single" w:sz="8" w:space="0" w:color="000000"/>
            </w:tcBorders>
          </w:tcPr>
          <w:p w:rsidR="007C5447" w:rsidRDefault="00F6308C">
            <w:pPr>
              <w:pStyle w:val="TableParagraph"/>
              <w:spacing w:before="14" w:line="227" w:lineRule="exact"/>
              <w:ind w:left="107"/>
              <w:jc w:val="left"/>
              <w:rPr>
                <w:sz w:val="20"/>
              </w:rPr>
            </w:pPr>
            <w:r>
              <w:rPr>
                <w:sz w:val="20"/>
              </w:rPr>
              <w:t>MAPS</w:t>
            </w:r>
          </w:p>
        </w:tc>
        <w:tc>
          <w:tcPr>
            <w:tcW w:w="1668" w:type="dxa"/>
          </w:tcPr>
          <w:p w:rsidR="007C5447" w:rsidRDefault="00F6308C">
            <w:pPr>
              <w:pStyle w:val="TableParagraph"/>
              <w:spacing w:before="14" w:line="227" w:lineRule="exact"/>
              <w:ind w:right="91"/>
              <w:rPr>
                <w:sz w:val="20"/>
              </w:rPr>
            </w:pPr>
            <w:r>
              <w:rPr>
                <w:w w:val="95"/>
                <w:sz w:val="20"/>
              </w:rPr>
              <w:t>2,090.87</w:t>
            </w:r>
          </w:p>
        </w:tc>
        <w:tc>
          <w:tcPr>
            <w:tcW w:w="1560" w:type="dxa"/>
          </w:tcPr>
          <w:p w:rsidR="007C5447" w:rsidRDefault="007C5447">
            <w:pPr>
              <w:pStyle w:val="TableParagraph"/>
              <w:jc w:val="left"/>
              <w:rPr>
                <w:sz w:val="18"/>
              </w:rPr>
            </w:pPr>
          </w:p>
        </w:tc>
        <w:tc>
          <w:tcPr>
            <w:tcW w:w="1560" w:type="dxa"/>
          </w:tcPr>
          <w:p w:rsidR="007C5447" w:rsidRDefault="00F6308C">
            <w:pPr>
              <w:pStyle w:val="TableParagraph"/>
              <w:spacing w:before="14" w:line="227" w:lineRule="exact"/>
              <w:ind w:right="92"/>
              <w:rPr>
                <w:sz w:val="20"/>
              </w:rPr>
            </w:pPr>
            <w:r>
              <w:rPr>
                <w:w w:val="95"/>
                <w:sz w:val="20"/>
              </w:rPr>
              <w:t>435.39</w:t>
            </w:r>
          </w:p>
        </w:tc>
        <w:tc>
          <w:tcPr>
            <w:tcW w:w="1558" w:type="dxa"/>
          </w:tcPr>
          <w:p w:rsidR="007C5447" w:rsidRDefault="00F6308C">
            <w:pPr>
              <w:pStyle w:val="TableParagraph"/>
              <w:spacing w:before="14" w:line="227" w:lineRule="exact"/>
              <w:ind w:right="93"/>
              <w:rPr>
                <w:sz w:val="20"/>
              </w:rPr>
            </w:pPr>
            <w:r>
              <w:rPr>
                <w:sz w:val="20"/>
              </w:rPr>
              <w:t>2.08</w:t>
            </w:r>
          </w:p>
        </w:tc>
        <w:tc>
          <w:tcPr>
            <w:tcW w:w="1530" w:type="dxa"/>
          </w:tcPr>
          <w:p w:rsidR="007C5447" w:rsidRDefault="00F6308C">
            <w:pPr>
              <w:pStyle w:val="TableParagraph"/>
              <w:spacing w:before="14" w:line="227" w:lineRule="exact"/>
              <w:ind w:right="93"/>
              <w:rPr>
                <w:sz w:val="20"/>
              </w:rPr>
            </w:pPr>
            <w:r>
              <w:rPr>
                <w:w w:val="95"/>
                <w:sz w:val="20"/>
              </w:rPr>
              <w:t>435.39</w:t>
            </w:r>
          </w:p>
        </w:tc>
        <w:tc>
          <w:tcPr>
            <w:tcW w:w="1565" w:type="dxa"/>
          </w:tcPr>
          <w:p w:rsidR="007C5447" w:rsidRDefault="00F6308C">
            <w:pPr>
              <w:pStyle w:val="TableParagraph"/>
              <w:spacing w:before="14" w:line="227" w:lineRule="exact"/>
              <w:ind w:right="93"/>
              <w:rPr>
                <w:sz w:val="20"/>
              </w:rPr>
            </w:pPr>
            <w:r>
              <w:rPr>
                <w:sz w:val="20"/>
              </w:rPr>
              <w:t>2.08</w:t>
            </w:r>
          </w:p>
        </w:tc>
      </w:tr>
      <w:tr w:rsidR="007C5447">
        <w:trPr>
          <w:trHeight w:val="258"/>
        </w:trPr>
        <w:tc>
          <w:tcPr>
            <w:tcW w:w="4736" w:type="dxa"/>
            <w:tcBorders>
              <w:left w:val="single" w:sz="8" w:space="0" w:color="000000"/>
            </w:tcBorders>
          </w:tcPr>
          <w:p w:rsidR="007C5447" w:rsidRDefault="00F6308C">
            <w:pPr>
              <w:pStyle w:val="TableParagraph"/>
              <w:spacing w:before="14" w:line="224" w:lineRule="exact"/>
              <w:ind w:left="107"/>
              <w:jc w:val="left"/>
              <w:rPr>
                <w:sz w:val="20"/>
              </w:rPr>
            </w:pPr>
            <w:r>
              <w:rPr>
                <w:sz w:val="20"/>
              </w:rPr>
              <w:t>KAIGA</w:t>
            </w:r>
          </w:p>
        </w:tc>
        <w:tc>
          <w:tcPr>
            <w:tcW w:w="1668" w:type="dxa"/>
          </w:tcPr>
          <w:p w:rsidR="007C5447" w:rsidRDefault="00F6308C">
            <w:pPr>
              <w:pStyle w:val="TableParagraph"/>
              <w:spacing w:before="14" w:line="224" w:lineRule="exact"/>
              <w:ind w:right="91"/>
              <w:rPr>
                <w:sz w:val="20"/>
              </w:rPr>
            </w:pPr>
            <w:r>
              <w:rPr>
                <w:w w:val="95"/>
                <w:sz w:val="20"/>
              </w:rPr>
              <w:t>1,869.06</w:t>
            </w:r>
          </w:p>
        </w:tc>
        <w:tc>
          <w:tcPr>
            <w:tcW w:w="1560" w:type="dxa"/>
          </w:tcPr>
          <w:p w:rsidR="007C5447" w:rsidRDefault="007C5447">
            <w:pPr>
              <w:pStyle w:val="TableParagraph"/>
              <w:jc w:val="left"/>
              <w:rPr>
                <w:sz w:val="18"/>
              </w:rPr>
            </w:pPr>
          </w:p>
        </w:tc>
        <w:tc>
          <w:tcPr>
            <w:tcW w:w="1560" w:type="dxa"/>
          </w:tcPr>
          <w:p w:rsidR="007C5447" w:rsidRDefault="00F6308C">
            <w:pPr>
              <w:pStyle w:val="TableParagraph"/>
              <w:spacing w:before="14" w:line="224" w:lineRule="exact"/>
              <w:ind w:right="92"/>
              <w:rPr>
                <w:sz w:val="20"/>
              </w:rPr>
            </w:pPr>
            <w:r>
              <w:rPr>
                <w:w w:val="95"/>
                <w:sz w:val="20"/>
              </w:rPr>
              <w:t>569.33</w:t>
            </w:r>
          </w:p>
        </w:tc>
        <w:tc>
          <w:tcPr>
            <w:tcW w:w="1558" w:type="dxa"/>
          </w:tcPr>
          <w:p w:rsidR="007C5447" w:rsidRDefault="00F6308C">
            <w:pPr>
              <w:pStyle w:val="TableParagraph"/>
              <w:spacing w:before="14" w:line="224" w:lineRule="exact"/>
              <w:ind w:right="93"/>
              <w:rPr>
                <w:sz w:val="20"/>
              </w:rPr>
            </w:pPr>
            <w:r>
              <w:rPr>
                <w:sz w:val="20"/>
              </w:rPr>
              <w:t>3.05</w:t>
            </w:r>
          </w:p>
        </w:tc>
        <w:tc>
          <w:tcPr>
            <w:tcW w:w="1530" w:type="dxa"/>
          </w:tcPr>
          <w:p w:rsidR="007C5447" w:rsidRDefault="00F6308C">
            <w:pPr>
              <w:pStyle w:val="TableParagraph"/>
              <w:spacing w:before="14" w:line="224" w:lineRule="exact"/>
              <w:ind w:right="93"/>
              <w:rPr>
                <w:sz w:val="20"/>
              </w:rPr>
            </w:pPr>
            <w:r>
              <w:rPr>
                <w:w w:val="95"/>
                <w:sz w:val="20"/>
              </w:rPr>
              <w:t>569.33</w:t>
            </w:r>
          </w:p>
        </w:tc>
        <w:tc>
          <w:tcPr>
            <w:tcW w:w="1565" w:type="dxa"/>
          </w:tcPr>
          <w:p w:rsidR="007C5447" w:rsidRDefault="00F6308C">
            <w:pPr>
              <w:pStyle w:val="TableParagraph"/>
              <w:spacing w:before="14" w:line="224" w:lineRule="exact"/>
              <w:ind w:right="93"/>
              <w:rPr>
                <w:sz w:val="20"/>
              </w:rPr>
            </w:pPr>
            <w:r>
              <w:rPr>
                <w:sz w:val="20"/>
              </w:rPr>
              <w:t>3.05</w:t>
            </w:r>
          </w:p>
        </w:tc>
      </w:tr>
      <w:tr w:rsidR="007C5447">
        <w:trPr>
          <w:trHeight w:val="261"/>
        </w:trPr>
        <w:tc>
          <w:tcPr>
            <w:tcW w:w="4736" w:type="dxa"/>
            <w:tcBorders>
              <w:left w:val="single" w:sz="8" w:space="0" w:color="000000"/>
            </w:tcBorders>
          </w:tcPr>
          <w:p w:rsidR="007C5447" w:rsidRDefault="00F6308C">
            <w:pPr>
              <w:pStyle w:val="TableParagraph"/>
              <w:spacing w:before="14" w:line="227" w:lineRule="exact"/>
              <w:ind w:left="107"/>
              <w:jc w:val="left"/>
              <w:rPr>
                <w:sz w:val="20"/>
              </w:rPr>
            </w:pPr>
            <w:r>
              <w:rPr>
                <w:sz w:val="20"/>
              </w:rPr>
              <w:t>NTPC ER</w:t>
            </w:r>
          </w:p>
        </w:tc>
        <w:tc>
          <w:tcPr>
            <w:tcW w:w="1668" w:type="dxa"/>
          </w:tcPr>
          <w:p w:rsidR="007C5447" w:rsidRDefault="00F6308C">
            <w:pPr>
              <w:pStyle w:val="TableParagraph"/>
              <w:spacing w:before="14" w:line="227" w:lineRule="exact"/>
              <w:ind w:right="93"/>
              <w:rPr>
                <w:sz w:val="20"/>
              </w:rPr>
            </w:pPr>
            <w:r>
              <w:rPr>
                <w:w w:val="95"/>
                <w:sz w:val="20"/>
              </w:rPr>
              <w:t>284.73</w:t>
            </w:r>
          </w:p>
        </w:tc>
        <w:tc>
          <w:tcPr>
            <w:tcW w:w="1560" w:type="dxa"/>
          </w:tcPr>
          <w:p w:rsidR="007C5447" w:rsidRDefault="00F6308C">
            <w:pPr>
              <w:pStyle w:val="TableParagraph"/>
              <w:spacing w:before="14" w:line="227" w:lineRule="exact"/>
              <w:ind w:right="93"/>
              <w:rPr>
                <w:sz w:val="20"/>
              </w:rPr>
            </w:pPr>
            <w:r>
              <w:rPr>
                <w:w w:val="95"/>
                <w:sz w:val="20"/>
              </w:rPr>
              <w:t>22.48</w:t>
            </w:r>
          </w:p>
        </w:tc>
        <w:tc>
          <w:tcPr>
            <w:tcW w:w="1560" w:type="dxa"/>
          </w:tcPr>
          <w:p w:rsidR="007C5447" w:rsidRDefault="00F6308C">
            <w:pPr>
              <w:pStyle w:val="TableParagraph"/>
              <w:spacing w:before="14" w:line="227" w:lineRule="exact"/>
              <w:ind w:right="92"/>
              <w:rPr>
                <w:sz w:val="20"/>
              </w:rPr>
            </w:pPr>
            <w:r>
              <w:rPr>
                <w:w w:val="95"/>
                <w:sz w:val="20"/>
              </w:rPr>
              <w:t>66.57</w:t>
            </w:r>
          </w:p>
        </w:tc>
        <w:tc>
          <w:tcPr>
            <w:tcW w:w="1558" w:type="dxa"/>
          </w:tcPr>
          <w:p w:rsidR="007C5447" w:rsidRDefault="00F6308C">
            <w:pPr>
              <w:pStyle w:val="TableParagraph"/>
              <w:spacing w:before="14" w:line="227" w:lineRule="exact"/>
              <w:ind w:right="93"/>
              <w:rPr>
                <w:sz w:val="20"/>
              </w:rPr>
            </w:pPr>
            <w:r>
              <w:rPr>
                <w:sz w:val="20"/>
              </w:rPr>
              <w:t>2.34</w:t>
            </w:r>
          </w:p>
        </w:tc>
        <w:tc>
          <w:tcPr>
            <w:tcW w:w="1530" w:type="dxa"/>
          </w:tcPr>
          <w:p w:rsidR="007C5447" w:rsidRDefault="00F6308C">
            <w:pPr>
              <w:pStyle w:val="TableParagraph"/>
              <w:spacing w:before="14" w:line="227" w:lineRule="exact"/>
              <w:ind w:right="93"/>
              <w:rPr>
                <w:sz w:val="20"/>
              </w:rPr>
            </w:pPr>
            <w:r>
              <w:rPr>
                <w:w w:val="95"/>
                <w:sz w:val="20"/>
              </w:rPr>
              <w:t>89.05</w:t>
            </w:r>
          </w:p>
        </w:tc>
        <w:tc>
          <w:tcPr>
            <w:tcW w:w="1565" w:type="dxa"/>
          </w:tcPr>
          <w:p w:rsidR="007C5447" w:rsidRDefault="00F6308C">
            <w:pPr>
              <w:pStyle w:val="TableParagraph"/>
              <w:spacing w:before="14" w:line="227" w:lineRule="exact"/>
              <w:ind w:right="93"/>
              <w:rPr>
                <w:sz w:val="20"/>
              </w:rPr>
            </w:pPr>
            <w:r>
              <w:rPr>
                <w:sz w:val="20"/>
              </w:rPr>
              <w:t>3.13</w:t>
            </w:r>
          </w:p>
        </w:tc>
      </w:tr>
      <w:tr w:rsidR="007C5447">
        <w:trPr>
          <w:trHeight w:val="258"/>
        </w:trPr>
        <w:tc>
          <w:tcPr>
            <w:tcW w:w="4736" w:type="dxa"/>
            <w:tcBorders>
              <w:left w:val="single" w:sz="8" w:space="0" w:color="000000"/>
            </w:tcBorders>
          </w:tcPr>
          <w:p w:rsidR="007C5447" w:rsidRDefault="00F6308C">
            <w:pPr>
              <w:pStyle w:val="TableParagraph"/>
              <w:spacing w:before="14" w:line="224" w:lineRule="exact"/>
              <w:ind w:left="107"/>
              <w:jc w:val="left"/>
              <w:rPr>
                <w:sz w:val="20"/>
              </w:rPr>
            </w:pPr>
            <w:r>
              <w:rPr>
                <w:sz w:val="20"/>
              </w:rPr>
              <w:t>NTPC Vallur Unit 1 &amp; Unit 2</w:t>
            </w:r>
          </w:p>
        </w:tc>
        <w:tc>
          <w:tcPr>
            <w:tcW w:w="1668" w:type="dxa"/>
          </w:tcPr>
          <w:p w:rsidR="007C5447" w:rsidRDefault="00F6308C">
            <w:pPr>
              <w:pStyle w:val="TableParagraph"/>
              <w:spacing w:before="14" w:line="224" w:lineRule="exact"/>
              <w:ind w:right="91"/>
              <w:rPr>
                <w:sz w:val="20"/>
              </w:rPr>
            </w:pPr>
            <w:r>
              <w:rPr>
                <w:w w:val="95"/>
                <w:sz w:val="20"/>
              </w:rPr>
              <w:t>5,162.08</w:t>
            </w:r>
          </w:p>
        </w:tc>
        <w:tc>
          <w:tcPr>
            <w:tcW w:w="1560" w:type="dxa"/>
          </w:tcPr>
          <w:p w:rsidR="007C5447" w:rsidRDefault="00F6308C">
            <w:pPr>
              <w:pStyle w:val="TableParagraph"/>
              <w:spacing w:before="14" w:line="224" w:lineRule="exact"/>
              <w:ind w:right="93"/>
              <w:rPr>
                <w:sz w:val="20"/>
              </w:rPr>
            </w:pPr>
            <w:r>
              <w:rPr>
                <w:w w:val="95"/>
                <w:sz w:val="20"/>
              </w:rPr>
              <w:t>889.12</w:t>
            </w:r>
          </w:p>
        </w:tc>
        <w:tc>
          <w:tcPr>
            <w:tcW w:w="1560" w:type="dxa"/>
          </w:tcPr>
          <w:p w:rsidR="007C5447" w:rsidRDefault="00F6308C">
            <w:pPr>
              <w:pStyle w:val="TableParagraph"/>
              <w:spacing w:before="14" w:line="224" w:lineRule="exact"/>
              <w:ind w:right="90"/>
              <w:rPr>
                <w:sz w:val="20"/>
              </w:rPr>
            </w:pPr>
            <w:r>
              <w:rPr>
                <w:w w:val="95"/>
                <w:sz w:val="20"/>
              </w:rPr>
              <w:t>1,021.40</w:t>
            </w:r>
          </w:p>
        </w:tc>
        <w:tc>
          <w:tcPr>
            <w:tcW w:w="1558" w:type="dxa"/>
          </w:tcPr>
          <w:p w:rsidR="007C5447" w:rsidRDefault="00F6308C">
            <w:pPr>
              <w:pStyle w:val="TableParagraph"/>
              <w:spacing w:before="14" w:line="224" w:lineRule="exact"/>
              <w:ind w:right="93"/>
              <w:rPr>
                <w:sz w:val="20"/>
              </w:rPr>
            </w:pPr>
            <w:r>
              <w:rPr>
                <w:sz w:val="20"/>
              </w:rPr>
              <w:t>1.98</w:t>
            </w:r>
          </w:p>
        </w:tc>
        <w:tc>
          <w:tcPr>
            <w:tcW w:w="1530" w:type="dxa"/>
          </w:tcPr>
          <w:p w:rsidR="007C5447" w:rsidRDefault="00F6308C">
            <w:pPr>
              <w:pStyle w:val="TableParagraph"/>
              <w:spacing w:before="14" w:line="224" w:lineRule="exact"/>
              <w:ind w:right="91"/>
              <w:rPr>
                <w:sz w:val="20"/>
              </w:rPr>
            </w:pPr>
            <w:r>
              <w:rPr>
                <w:w w:val="95"/>
                <w:sz w:val="20"/>
              </w:rPr>
              <w:t>1,910.52</w:t>
            </w:r>
          </w:p>
        </w:tc>
        <w:tc>
          <w:tcPr>
            <w:tcW w:w="1565" w:type="dxa"/>
          </w:tcPr>
          <w:p w:rsidR="007C5447" w:rsidRDefault="00F6308C">
            <w:pPr>
              <w:pStyle w:val="TableParagraph"/>
              <w:spacing w:before="14" w:line="224" w:lineRule="exact"/>
              <w:ind w:right="93"/>
              <w:rPr>
                <w:sz w:val="20"/>
              </w:rPr>
            </w:pPr>
            <w:r>
              <w:rPr>
                <w:sz w:val="20"/>
              </w:rPr>
              <w:t>3.70</w:t>
            </w:r>
          </w:p>
        </w:tc>
      </w:tr>
      <w:tr w:rsidR="007C5447">
        <w:trPr>
          <w:trHeight w:val="261"/>
        </w:trPr>
        <w:tc>
          <w:tcPr>
            <w:tcW w:w="4736" w:type="dxa"/>
            <w:tcBorders>
              <w:left w:val="single" w:sz="8" w:space="0" w:color="000000"/>
            </w:tcBorders>
          </w:tcPr>
          <w:p w:rsidR="007C5447" w:rsidRDefault="00F6308C">
            <w:pPr>
              <w:pStyle w:val="TableParagraph"/>
              <w:spacing w:before="14" w:line="227" w:lineRule="exact"/>
              <w:ind w:left="107"/>
              <w:jc w:val="left"/>
              <w:rPr>
                <w:sz w:val="20"/>
              </w:rPr>
            </w:pPr>
            <w:r>
              <w:rPr>
                <w:sz w:val="20"/>
              </w:rPr>
              <w:t>Kudankulum</w:t>
            </w:r>
          </w:p>
        </w:tc>
        <w:tc>
          <w:tcPr>
            <w:tcW w:w="1668" w:type="dxa"/>
          </w:tcPr>
          <w:p w:rsidR="007C5447" w:rsidRDefault="00F6308C">
            <w:pPr>
              <w:pStyle w:val="TableParagraph"/>
              <w:spacing w:before="14" w:line="227" w:lineRule="exact"/>
              <w:ind w:right="91"/>
              <w:rPr>
                <w:sz w:val="20"/>
              </w:rPr>
            </w:pPr>
            <w:r>
              <w:rPr>
                <w:w w:val="95"/>
                <w:sz w:val="20"/>
              </w:rPr>
              <w:t>1,046.54</w:t>
            </w:r>
          </w:p>
        </w:tc>
        <w:tc>
          <w:tcPr>
            <w:tcW w:w="1560" w:type="dxa"/>
          </w:tcPr>
          <w:p w:rsidR="007C5447" w:rsidRDefault="007C5447">
            <w:pPr>
              <w:pStyle w:val="TableParagraph"/>
              <w:jc w:val="left"/>
              <w:rPr>
                <w:sz w:val="18"/>
              </w:rPr>
            </w:pPr>
          </w:p>
        </w:tc>
        <w:tc>
          <w:tcPr>
            <w:tcW w:w="1560" w:type="dxa"/>
          </w:tcPr>
          <w:p w:rsidR="007C5447" w:rsidRDefault="00F6308C">
            <w:pPr>
              <w:pStyle w:val="TableParagraph"/>
              <w:spacing w:before="14" w:line="227" w:lineRule="exact"/>
              <w:ind w:right="92"/>
              <w:rPr>
                <w:sz w:val="20"/>
              </w:rPr>
            </w:pPr>
            <w:r>
              <w:rPr>
                <w:w w:val="95"/>
                <w:sz w:val="20"/>
              </w:rPr>
              <w:t>412.86</w:t>
            </w:r>
          </w:p>
        </w:tc>
        <w:tc>
          <w:tcPr>
            <w:tcW w:w="1558" w:type="dxa"/>
          </w:tcPr>
          <w:p w:rsidR="007C5447" w:rsidRDefault="00F6308C">
            <w:pPr>
              <w:pStyle w:val="TableParagraph"/>
              <w:spacing w:before="14" w:line="227" w:lineRule="exact"/>
              <w:ind w:right="93"/>
              <w:rPr>
                <w:sz w:val="20"/>
              </w:rPr>
            </w:pPr>
            <w:r>
              <w:rPr>
                <w:sz w:val="20"/>
              </w:rPr>
              <w:t>3.94</w:t>
            </w:r>
          </w:p>
        </w:tc>
        <w:tc>
          <w:tcPr>
            <w:tcW w:w="1530" w:type="dxa"/>
          </w:tcPr>
          <w:p w:rsidR="007C5447" w:rsidRDefault="00F6308C">
            <w:pPr>
              <w:pStyle w:val="TableParagraph"/>
              <w:spacing w:before="14" w:line="227" w:lineRule="exact"/>
              <w:ind w:right="93"/>
              <w:rPr>
                <w:sz w:val="20"/>
              </w:rPr>
            </w:pPr>
            <w:r>
              <w:rPr>
                <w:w w:val="95"/>
                <w:sz w:val="20"/>
              </w:rPr>
              <w:t>412.86</w:t>
            </w:r>
          </w:p>
        </w:tc>
        <w:tc>
          <w:tcPr>
            <w:tcW w:w="1565" w:type="dxa"/>
          </w:tcPr>
          <w:p w:rsidR="007C5447" w:rsidRDefault="00F6308C">
            <w:pPr>
              <w:pStyle w:val="TableParagraph"/>
              <w:spacing w:before="14" w:line="227" w:lineRule="exact"/>
              <w:ind w:right="93"/>
              <w:rPr>
                <w:sz w:val="20"/>
              </w:rPr>
            </w:pPr>
            <w:r>
              <w:rPr>
                <w:sz w:val="20"/>
              </w:rPr>
              <w:t>3.94</w:t>
            </w:r>
          </w:p>
        </w:tc>
      </w:tr>
      <w:tr w:rsidR="007C5447">
        <w:trPr>
          <w:trHeight w:val="281"/>
        </w:trPr>
        <w:tc>
          <w:tcPr>
            <w:tcW w:w="4736" w:type="dxa"/>
            <w:tcBorders>
              <w:left w:val="single" w:sz="8" w:space="0" w:color="000000"/>
            </w:tcBorders>
          </w:tcPr>
          <w:p w:rsidR="007C5447" w:rsidRDefault="00F6308C">
            <w:pPr>
              <w:pStyle w:val="TableParagraph"/>
              <w:spacing w:before="24"/>
              <w:ind w:left="107"/>
              <w:jc w:val="left"/>
              <w:rPr>
                <w:b/>
                <w:sz w:val="20"/>
              </w:rPr>
            </w:pPr>
            <w:r>
              <w:rPr>
                <w:b/>
                <w:sz w:val="20"/>
              </w:rPr>
              <w:t>Total CGS</w:t>
            </w:r>
          </w:p>
        </w:tc>
        <w:tc>
          <w:tcPr>
            <w:tcW w:w="1668" w:type="dxa"/>
          </w:tcPr>
          <w:p w:rsidR="007C5447" w:rsidRDefault="00F6308C">
            <w:pPr>
              <w:pStyle w:val="TableParagraph"/>
              <w:spacing w:before="24"/>
              <w:ind w:right="93"/>
              <w:rPr>
                <w:b/>
                <w:sz w:val="20"/>
              </w:rPr>
            </w:pPr>
            <w:r>
              <w:rPr>
                <w:b/>
                <w:w w:val="95"/>
                <w:sz w:val="20"/>
              </w:rPr>
              <w:t>29,678.09</w:t>
            </w:r>
          </w:p>
        </w:tc>
        <w:tc>
          <w:tcPr>
            <w:tcW w:w="1560" w:type="dxa"/>
          </w:tcPr>
          <w:p w:rsidR="007C5447" w:rsidRDefault="00F6308C">
            <w:pPr>
              <w:pStyle w:val="TableParagraph"/>
              <w:spacing w:before="24"/>
              <w:ind w:right="91"/>
              <w:rPr>
                <w:b/>
                <w:sz w:val="20"/>
              </w:rPr>
            </w:pPr>
            <w:r>
              <w:rPr>
                <w:b/>
                <w:w w:val="95"/>
                <w:sz w:val="20"/>
              </w:rPr>
              <w:t>2,674.26</w:t>
            </w:r>
          </w:p>
        </w:tc>
        <w:tc>
          <w:tcPr>
            <w:tcW w:w="1560" w:type="dxa"/>
          </w:tcPr>
          <w:p w:rsidR="007C5447" w:rsidRDefault="00F6308C">
            <w:pPr>
              <w:pStyle w:val="TableParagraph"/>
              <w:spacing w:before="24"/>
              <w:ind w:right="90"/>
              <w:rPr>
                <w:b/>
                <w:sz w:val="20"/>
              </w:rPr>
            </w:pPr>
            <w:r>
              <w:rPr>
                <w:b/>
                <w:w w:val="95"/>
                <w:sz w:val="20"/>
              </w:rPr>
              <w:t>6,732.56</w:t>
            </w:r>
          </w:p>
        </w:tc>
        <w:tc>
          <w:tcPr>
            <w:tcW w:w="1558" w:type="dxa"/>
          </w:tcPr>
          <w:p w:rsidR="007C5447" w:rsidRDefault="007C5447">
            <w:pPr>
              <w:pStyle w:val="TableParagraph"/>
              <w:jc w:val="left"/>
              <w:rPr>
                <w:sz w:val="20"/>
              </w:rPr>
            </w:pPr>
          </w:p>
        </w:tc>
        <w:tc>
          <w:tcPr>
            <w:tcW w:w="1530" w:type="dxa"/>
          </w:tcPr>
          <w:p w:rsidR="007C5447" w:rsidRDefault="00F6308C">
            <w:pPr>
              <w:pStyle w:val="TableParagraph"/>
              <w:spacing w:before="24"/>
              <w:ind w:right="91"/>
              <w:rPr>
                <w:b/>
                <w:sz w:val="20"/>
              </w:rPr>
            </w:pPr>
            <w:r>
              <w:rPr>
                <w:b/>
                <w:w w:val="95"/>
                <w:sz w:val="20"/>
              </w:rPr>
              <w:t>9,438.39</w:t>
            </w:r>
          </w:p>
        </w:tc>
        <w:tc>
          <w:tcPr>
            <w:tcW w:w="1565" w:type="dxa"/>
          </w:tcPr>
          <w:p w:rsidR="007C5447" w:rsidRDefault="00F6308C">
            <w:pPr>
              <w:pStyle w:val="TableParagraph"/>
              <w:spacing w:before="24"/>
              <w:ind w:right="93"/>
              <w:rPr>
                <w:b/>
                <w:sz w:val="20"/>
              </w:rPr>
            </w:pPr>
            <w:r>
              <w:rPr>
                <w:b/>
                <w:sz w:val="20"/>
              </w:rPr>
              <w:t>3.18</w:t>
            </w:r>
          </w:p>
        </w:tc>
      </w:tr>
      <w:tr w:rsidR="007C5447">
        <w:trPr>
          <w:trHeight w:val="280"/>
        </w:trPr>
        <w:tc>
          <w:tcPr>
            <w:tcW w:w="4736" w:type="dxa"/>
            <w:tcBorders>
              <w:left w:val="single" w:sz="8" w:space="0" w:color="000000"/>
            </w:tcBorders>
          </w:tcPr>
          <w:p w:rsidR="007C5447" w:rsidRDefault="00F6308C">
            <w:pPr>
              <w:pStyle w:val="TableParagraph"/>
              <w:spacing w:before="24"/>
              <w:ind w:left="107"/>
              <w:jc w:val="left"/>
              <w:rPr>
                <w:b/>
                <w:sz w:val="20"/>
              </w:rPr>
            </w:pPr>
            <w:r>
              <w:rPr>
                <w:b/>
                <w:sz w:val="20"/>
              </w:rPr>
              <w:t>IPP</w:t>
            </w:r>
          </w:p>
        </w:tc>
        <w:tc>
          <w:tcPr>
            <w:tcW w:w="1668"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7C5447">
            <w:pPr>
              <w:pStyle w:val="TableParagraph"/>
              <w:jc w:val="left"/>
              <w:rPr>
                <w:sz w:val="20"/>
              </w:rPr>
            </w:pPr>
          </w:p>
        </w:tc>
        <w:tc>
          <w:tcPr>
            <w:tcW w:w="1565" w:type="dxa"/>
          </w:tcPr>
          <w:p w:rsidR="007C5447" w:rsidRDefault="007C5447">
            <w:pPr>
              <w:pStyle w:val="TableParagraph"/>
              <w:jc w:val="left"/>
              <w:rPr>
                <w:sz w:val="20"/>
              </w:rPr>
            </w:pPr>
          </w:p>
        </w:tc>
      </w:tr>
      <w:tr w:rsidR="007C5447">
        <w:trPr>
          <w:trHeight w:val="261"/>
        </w:trPr>
        <w:tc>
          <w:tcPr>
            <w:tcW w:w="4736" w:type="dxa"/>
            <w:tcBorders>
              <w:left w:val="single" w:sz="8" w:space="0" w:color="000000"/>
            </w:tcBorders>
          </w:tcPr>
          <w:p w:rsidR="007C5447" w:rsidRDefault="00F6308C">
            <w:pPr>
              <w:pStyle w:val="TableParagraph"/>
              <w:spacing w:before="14" w:line="227" w:lineRule="exact"/>
              <w:ind w:left="107"/>
              <w:jc w:val="left"/>
              <w:rPr>
                <w:sz w:val="20"/>
              </w:rPr>
            </w:pPr>
            <w:r>
              <w:rPr>
                <w:sz w:val="20"/>
              </w:rPr>
              <w:t>Samalpatti</w:t>
            </w:r>
          </w:p>
        </w:tc>
        <w:tc>
          <w:tcPr>
            <w:tcW w:w="1668" w:type="dxa"/>
          </w:tcPr>
          <w:p w:rsidR="007C5447" w:rsidRDefault="00F6308C">
            <w:pPr>
              <w:pStyle w:val="TableParagraph"/>
              <w:spacing w:before="14" w:line="227" w:lineRule="exact"/>
              <w:ind w:right="89"/>
              <w:rPr>
                <w:sz w:val="20"/>
              </w:rPr>
            </w:pPr>
            <w:r>
              <w:rPr>
                <w:w w:val="99"/>
                <w:sz w:val="20"/>
              </w:rPr>
              <w:t>-</w:t>
            </w:r>
          </w:p>
        </w:tc>
        <w:tc>
          <w:tcPr>
            <w:tcW w:w="1560" w:type="dxa"/>
          </w:tcPr>
          <w:p w:rsidR="007C5447" w:rsidRDefault="00F6308C">
            <w:pPr>
              <w:pStyle w:val="TableParagraph"/>
              <w:spacing w:before="14" w:line="227" w:lineRule="exact"/>
              <w:ind w:right="93"/>
              <w:rPr>
                <w:sz w:val="20"/>
              </w:rPr>
            </w:pPr>
            <w:r>
              <w:rPr>
                <w:w w:val="95"/>
                <w:sz w:val="20"/>
              </w:rPr>
              <w:t>67.00</w:t>
            </w:r>
          </w:p>
        </w:tc>
        <w:tc>
          <w:tcPr>
            <w:tcW w:w="1560" w:type="dxa"/>
          </w:tcPr>
          <w:p w:rsidR="007C5447" w:rsidRDefault="00F6308C">
            <w:pPr>
              <w:pStyle w:val="TableParagraph"/>
              <w:spacing w:before="14" w:line="227" w:lineRule="exact"/>
              <w:ind w:right="89"/>
              <w:rPr>
                <w:sz w:val="20"/>
              </w:rPr>
            </w:pPr>
            <w:r>
              <w:rPr>
                <w:w w:val="99"/>
                <w:sz w:val="20"/>
              </w:rPr>
              <w:t>-</w:t>
            </w:r>
          </w:p>
        </w:tc>
        <w:tc>
          <w:tcPr>
            <w:tcW w:w="1558" w:type="dxa"/>
          </w:tcPr>
          <w:p w:rsidR="007C5447" w:rsidRDefault="00F6308C">
            <w:pPr>
              <w:pStyle w:val="TableParagraph"/>
              <w:spacing w:before="14" w:line="227" w:lineRule="exact"/>
              <w:ind w:right="92"/>
              <w:rPr>
                <w:sz w:val="20"/>
              </w:rPr>
            </w:pPr>
            <w:r>
              <w:rPr>
                <w:w w:val="99"/>
                <w:sz w:val="20"/>
              </w:rPr>
              <w:t>-</w:t>
            </w:r>
          </w:p>
        </w:tc>
        <w:tc>
          <w:tcPr>
            <w:tcW w:w="1530" w:type="dxa"/>
          </w:tcPr>
          <w:p w:rsidR="007C5447" w:rsidRDefault="00F6308C">
            <w:pPr>
              <w:pStyle w:val="TableParagraph"/>
              <w:spacing w:before="14" w:line="227" w:lineRule="exact"/>
              <w:ind w:right="93"/>
              <w:rPr>
                <w:sz w:val="20"/>
              </w:rPr>
            </w:pPr>
            <w:r>
              <w:rPr>
                <w:w w:val="95"/>
                <w:sz w:val="20"/>
              </w:rPr>
              <w:t>67.00</w:t>
            </w:r>
          </w:p>
        </w:tc>
        <w:tc>
          <w:tcPr>
            <w:tcW w:w="1565" w:type="dxa"/>
          </w:tcPr>
          <w:p w:rsidR="007C5447" w:rsidRDefault="00F6308C">
            <w:pPr>
              <w:pStyle w:val="TableParagraph"/>
              <w:spacing w:before="14" w:line="227" w:lineRule="exact"/>
              <w:ind w:right="90"/>
              <w:rPr>
                <w:sz w:val="20"/>
              </w:rPr>
            </w:pPr>
            <w:r>
              <w:rPr>
                <w:w w:val="99"/>
                <w:sz w:val="20"/>
              </w:rPr>
              <w:t>-</w:t>
            </w:r>
          </w:p>
        </w:tc>
      </w:tr>
      <w:tr w:rsidR="007C5447">
        <w:trPr>
          <w:trHeight w:val="258"/>
        </w:trPr>
        <w:tc>
          <w:tcPr>
            <w:tcW w:w="4736" w:type="dxa"/>
            <w:tcBorders>
              <w:left w:val="single" w:sz="8" w:space="0" w:color="000000"/>
            </w:tcBorders>
          </w:tcPr>
          <w:p w:rsidR="007C5447" w:rsidRDefault="00F6308C">
            <w:pPr>
              <w:pStyle w:val="TableParagraph"/>
              <w:spacing w:before="14" w:line="224" w:lineRule="exact"/>
              <w:ind w:left="107"/>
              <w:jc w:val="left"/>
              <w:rPr>
                <w:sz w:val="20"/>
              </w:rPr>
            </w:pPr>
            <w:r>
              <w:rPr>
                <w:sz w:val="20"/>
              </w:rPr>
              <w:t>Madurai Power Corpn</w:t>
            </w:r>
          </w:p>
        </w:tc>
        <w:tc>
          <w:tcPr>
            <w:tcW w:w="1668" w:type="dxa"/>
          </w:tcPr>
          <w:p w:rsidR="007C5447" w:rsidRDefault="00F6308C">
            <w:pPr>
              <w:pStyle w:val="TableParagraph"/>
              <w:spacing w:before="14" w:line="224" w:lineRule="exact"/>
              <w:ind w:right="89"/>
              <w:rPr>
                <w:sz w:val="20"/>
              </w:rPr>
            </w:pPr>
            <w:r>
              <w:rPr>
                <w:w w:val="99"/>
                <w:sz w:val="20"/>
              </w:rPr>
              <w:t>-</w:t>
            </w:r>
          </w:p>
        </w:tc>
        <w:tc>
          <w:tcPr>
            <w:tcW w:w="1560" w:type="dxa"/>
          </w:tcPr>
          <w:p w:rsidR="007C5447" w:rsidRDefault="00F6308C">
            <w:pPr>
              <w:pStyle w:val="TableParagraph"/>
              <w:spacing w:before="14" w:line="224" w:lineRule="exact"/>
              <w:ind w:right="93"/>
              <w:rPr>
                <w:sz w:val="20"/>
              </w:rPr>
            </w:pPr>
            <w:r>
              <w:rPr>
                <w:w w:val="95"/>
                <w:sz w:val="20"/>
              </w:rPr>
              <w:t>75.57</w:t>
            </w:r>
          </w:p>
        </w:tc>
        <w:tc>
          <w:tcPr>
            <w:tcW w:w="1560" w:type="dxa"/>
          </w:tcPr>
          <w:p w:rsidR="007C5447" w:rsidRDefault="00F6308C">
            <w:pPr>
              <w:pStyle w:val="TableParagraph"/>
              <w:spacing w:before="14" w:line="224" w:lineRule="exact"/>
              <w:ind w:right="89"/>
              <w:rPr>
                <w:sz w:val="20"/>
              </w:rPr>
            </w:pPr>
            <w:r>
              <w:rPr>
                <w:w w:val="99"/>
                <w:sz w:val="20"/>
              </w:rPr>
              <w:t>-</w:t>
            </w:r>
          </w:p>
        </w:tc>
        <w:tc>
          <w:tcPr>
            <w:tcW w:w="1558" w:type="dxa"/>
          </w:tcPr>
          <w:p w:rsidR="007C5447" w:rsidRDefault="00F6308C">
            <w:pPr>
              <w:pStyle w:val="TableParagraph"/>
              <w:spacing w:before="14" w:line="224" w:lineRule="exact"/>
              <w:ind w:right="92"/>
              <w:rPr>
                <w:sz w:val="20"/>
              </w:rPr>
            </w:pPr>
            <w:r>
              <w:rPr>
                <w:w w:val="99"/>
                <w:sz w:val="20"/>
              </w:rPr>
              <w:t>-</w:t>
            </w:r>
          </w:p>
        </w:tc>
        <w:tc>
          <w:tcPr>
            <w:tcW w:w="1530" w:type="dxa"/>
          </w:tcPr>
          <w:p w:rsidR="007C5447" w:rsidRDefault="00F6308C">
            <w:pPr>
              <w:pStyle w:val="TableParagraph"/>
              <w:spacing w:before="14" w:line="224" w:lineRule="exact"/>
              <w:ind w:right="93"/>
              <w:rPr>
                <w:sz w:val="20"/>
              </w:rPr>
            </w:pPr>
            <w:r>
              <w:rPr>
                <w:w w:val="95"/>
                <w:sz w:val="20"/>
              </w:rPr>
              <w:t>75.57</w:t>
            </w:r>
          </w:p>
        </w:tc>
        <w:tc>
          <w:tcPr>
            <w:tcW w:w="1565" w:type="dxa"/>
          </w:tcPr>
          <w:p w:rsidR="007C5447" w:rsidRDefault="00F6308C">
            <w:pPr>
              <w:pStyle w:val="TableParagraph"/>
              <w:spacing w:before="14" w:line="224" w:lineRule="exact"/>
              <w:ind w:right="90"/>
              <w:rPr>
                <w:sz w:val="20"/>
              </w:rPr>
            </w:pPr>
            <w:r>
              <w:rPr>
                <w:w w:val="99"/>
                <w:sz w:val="20"/>
              </w:rPr>
              <w:t>-</w:t>
            </w:r>
          </w:p>
        </w:tc>
      </w:tr>
      <w:tr w:rsidR="007C5447">
        <w:trPr>
          <w:trHeight w:val="261"/>
        </w:trPr>
        <w:tc>
          <w:tcPr>
            <w:tcW w:w="4736" w:type="dxa"/>
            <w:tcBorders>
              <w:left w:val="single" w:sz="8" w:space="0" w:color="000000"/>
            </w:tcBorders>
          </w:tcPr>
          <w:p w:rsidR="007C5447" w:rsidRDefault="00F6308C">
            <w:pPr>
              <w:pStyle w:val="TableParagraph"/>
              <w:spacing w:before="14" w:line="227" w:lineRule="exact"/>
              <w:ind w:left="107"/>
              <w:jc w:val="left"/>
              <w:rPr>
                <w:sz w:val="20"/>
              </w:rPr>
            </w:pPr>
            <w:r>
              <w:rPr>
                <w:sz w:val="20"/>
              </w:rPr>
              <w:t>PPN</w:t>
            </w:r>
          </w:p>
        </w:tc>
        <w:tc>
          <w:tcPr>
            <w:tcW w:w="1668" w:type="dxa"/>
          </w:tcPr>
          <w:p w:rsidR="007C5447" w:rsidRDefault="00F6308C">
            <w:pPr>
              <w:pStyle w:val="TableParagraph"/>
              <w:spacing w:before="14" w:line="227" w:lineRule="exact"/>
              <w:ind w:right="89"/>
              <w:rPr>
                <w:sz w:val="20"/>
              </w:rPr>
            </w:pPr>
            <w:r>
              <w:rPr>
                <w:w w:val="99"/>
                <w:sz w:val="20"/>
              </w:rPr>
              <w:t>-</w:t>
            </w:r>
          </w:p>
        </w:tc>
        <w:tc>
          <w:tcPr>
            <w:tcW w:w="1560" w:type="dxa"/>
          </w:tcPr>
          <w:p w:rsidR="007C5447" w:rsidRDefault="00F6308C">
            <w:pPr>
              <w:pStyle w:val="TableParagraph"/>
              <w:spacing w:before="14" w:line="227" w:lineRule="exact"/>
              <w:ind w:right="93"/>
              <w:rPr>
                <w:sz w:val="20"/>
              </w:rPr>
            </w:pPr>
            <w:r>
              <w:rPr>
                <w:w w:val="95"/>
                <w:sz w:val="20"/>
              </w:rPr>
              <w:t>259.09</w:t>
            </w:r>
          </w:p>
        </w:tc>
        <w:tc>
          <w:tcPr>
            <w:tcW w:w="1560" w:type="dxa"/>
          </w:tcPr>
          <w:p w:rsidR="007C5447" w:rsidRDefault="00F6308C">
            <w:pPr>
              <w:pStyle w:val="TableParagraph"/>
              <w:spacing w:before="14" w:line="227" w:lineRule="exact"/>
              <w:ind w:right="89"/>
              <w:rPr>
                <w:sz w:val="20"/>
              </w:rPr>
            </w:pPr>
            <w:r>
              <w:rPr>
                <w:w w:val="99"/>
                <w:sz w:val="20"/>
              </w:rPr>
              <w:t>-</w:t>
            </w:r>
          </w:p>
        </w:tc>
        <w:tc>
          <w:tcPr>
            <w:tcW w:w="1558" w:type="dxa"/>
          </w:tcPr>
          <w:p w:rsidR="007C5447" w:rsidRDefault="00F6308C">
            <w:pPr>
              <w:pStyle w:val="TableParagraph"/>
              <w:spacing w:before="14" w:line="227" w:lineRule="exact"/>
              <w:ind w:right="92"/>
              <w:rPr>
                <w:sz w:val="20"/>
              </w:rPr>
            </w:pPr>
            <w:r>
              <w:rPr>
                <w:w w:val="99"/>
                <w:sz w:val="20"/>
              </w:rPr>
              <w:t>-</w:t>
            </w:r>
          </w:p>
        </w:tc>
        <w:tc>
          <w:tcPr>
            <w:tcW w:w="1530" w:type="dxa"/>
          </w:tcPr>
          <w:p w:rsidR="007C5447" w:rsidRDefault="00F6308C">
            <w:pPr>
              <w:pStyle w:val="TableParagraph"/>
              <w:spacing w:before="14" w:line="227" w:lineRule="exact"/>
              <w:ind w:right="93"/>
              <w:rPr>
                <w:sz w:val="20"/>
              </w:rPr>
            </w:pPr>
            <w:r>
              <w:rPr>
                <w:w w:val="95"/>
                <w:sz w:val="20"/>
              </w:rPr>
              <w:t>259.09</w:t>
            </w:r>
          </w:p>
        </w:tc>
        <w:tc>
          <w:tcPr>
            <w:tcW w:w="1565" w:type="dxa"/>
          </w:tcPr>
          <w:p w:rsidR="007C5447" w:rsidRDefault="00F6308C">
            <w:pPr>
              <w:pStyle w:val="TableParagraph"/>
              <w:spacing w:before="14" w:line="227" w:lineRule="exact"/>
              <w:ind w:right="90"/>
              <w:rPr>
                <w:sz w:val="20"/>
              </w:rPr>
            </w:pPr>
            <w:r>
              <w:rPr>
                <w:w w:val="99"/>
                <w:sz w:val="20"/>
              </w:rPr>
              <w:t>-</w:t>
            </w:r>
          </w:p>
        </w:tc>
      </w:tr>
      <w:tr w:rsidR="007C5447">
        <w:trPr>
          <w:trHeight w:val="258"/>
        </w:trPr>
        <w:tc>
          <w:tcPr>
            <w:tcW w:w="4736" w:type="dxa"/>
            <w:tcBorders>
              <w:left w:val="single" w:sz="8" w:space="0" w:color="000000"/>
            </w:tcBorders>
          </w:tcPr>
          <w:p w:rsidR="007C5447" w:rsidRDefault="00F6308C">
            <w:pPr>
              <w:pStyle w:val="TableParagraph"/>
              <w:spacing w:before="14" w:line="224" w:lineRule="exact"/>
              <w:ind w:left="107"/>
              <w:jc w:val="left"/>
              <w:rPr>
                <w:sz w:val="20"/>
              </w:rPr>
            </w:pPr>
            <w:r>
              <w:rPr>
                <w:sz w:val="20"/>
              </w:rPr>
              <w:t>STCMS - Neyveli</w:t>
            </w:r>
          </w:p>
        </w:tc>
        <w:tc>
          <w:tcPr>
            <w:tcW w:w="1668" w:type="dxa"/>
          </w:tcPr>
          <w:p w:rsidR="007C5447" w:rsidRDefault="00F6308C">
            <w:pPr>
              <w:pStyle w:val="TableParagraph"/>
              <w:spacing w:before="14" w:line="224" w:lineRule="exact"/>
              <w:ind w:right="91"/>
              <w:rPr>
                <w:sz w:val="20"/>
              </w:rPr>
            </w:pPr>
            <w:r>
              <w:rPr>
                <w:w w:val="95"/>
                <w:sz w:val="20"/>
              </w:rPr>
              <w:t>1,384.93</w:t>
            </w:r>
          </w:p>
        </w:tc>
        <w:tc>
          <w:tcPr>
            <w:tcW w:w="1560" w:type="dxa"/>
          </w:tcPr>
          <w:p w:rsidR="007C5447" w:rsidRDefault="00F6308C">
            <w:pPr>
              <w:pStyle w:val="TableParagraph"/>
              <w:spacing w:before="14" w:line="224" w:lineRule="exact"/>
              <w:ind w:right="93"/>
              <w:rPr>
                <w:sz w:val="20"/>
              </w:rPr>
            </w:pPr>
            <w:r>
              <w:rPr>
                <w:w w:val="95"/>
                <w:sz w:val="20"/>
              </w:rPr>
              <w:t>235.84</w:t>
            </w:r>
          </w:p>
        </w:tc>
        <w:tc>
          <w:tcPr>
            <w:tcW w:w="1560" w:type="dxa"/>
          </w:tcPr>
          <w:p w:rsidR="007C5447" w:rsidRDefault="00F6308C">
            <w:pPr>
              <w:pStyle w:val="TableParagraph"/>
              <w:spacing w:before="14" w:line="224" w:lineRule="exact"/>
              <w:ind w:right="92"/>
              <w:rPr>
                <w:sz w:val="20"/>
              </w:rPr>
            </w:pPr>
            <w:r>
              <w:rPr>
                <w:w w:val="95"/>
                <w:sz w:val="20"/>
              </w:rPr>
              <w:t>397.48</w:t>
            </w:r>
          </w:p>
        </w:tc>
        <w:tc>
          <w:tcPr>
            <w:tcW w:w="1558" w:type="dxa"/>
          </w:tcPr>
          <w:p w:rsidR="007C5447" w:rsidRDefault="00F6308C">
            <w:pPr>
              <w:pStyle w:val="TableParagraph"/>
              <w:spacing w:before="14" w:line="224" w:lineRule="exact"/>
              <w:ind w:right="93"/>
              <w:rPr>
                <w:sz w:val="20"/>
              </w:rPr>
            </w:pPr>
            <w:r>
              <w:rPr>
                <w:sz w:val="20"/>
              </w:rPr>
              <w:t>2.87</w:t>
            </w:r>
          </w:p>
        </w:tc>
        <w:tc>
          <w:tcPr>
            <w:tcW w:w="1530" w:type="dxa"/>
          </w:tcPr>
          <w:p w:rsidR="007C5447" w:rsidRDefault="00F6308C">
            <w:pPr>
              <w:pStyle w:val="TableParagraph"/>
              <w:spacing w:before="14" w:line="224" w:lineRule="exact"/>
              <w:ind w:right="93"/>
              <w:rPr>
                <w:sz w:val="20"/>
              </w:rPr>
            </w:pPr>
            <w:r>
              <w:rPr>
                <w:w w:val="95"/>
                <w:sz w:val="20"/>
              </w:rPr>
              <w:t>633.32</w:t>
            </w:r>
          </w:p>
        </w:tc>
        <w:tc>
          <w:tcPr>
            <w:tcW w:w="1565" w:type="dxa"/>
          </w:tcPr>
          <w:p w:rsidR="007C5447" w:rsidRDefault="00F6308C">
            <w:pPr>
              <w:pStyle w:val="TableParagraph"/>
              <w:spacing w:before="14" w:line="224" w:lineRule="exact"/>
              <w:ind w:right="93"/>
              <w:rPr>
                <w:sz w:val="20"/>
              </w:rPr>
            </w:pPr>
            <w:r>
              <w:rPr>
                <w:sz w:val="20"/>
              </w:rPr>
              <w:t>4.57</w:t>
            </w:r>
          </w:p>
        </w:tc>
      </w:tr>
      <w:tr w:rsidR="007C5447">
        <w:trPr>
          <w:trHeight w:val="261"/>
        </w:trPr>
        <w:tc>
          <w:tcPr>
            <w:tcW w:w="4736" w:type="dxa"/>
            <w:tcBorders>
              <w:left w:val="single" w:sz="8" w:space="0" w:color="000000"/>
            </w:tcBorders>
          </w:tcPr>
          <w:p w:rsidR="007C5447" w:rsidRDefault="00F6308C">
            <w:pPr>
              <w:pStyle w:val="TableParagraph"/>
              <w:spacing w:before="14" w:line="227" w:lineRule="exact"/>
              <w:ind w:left="107"/>
              <w:jc w:val="left"/>
              <w:rPr>
                <w:sz w:val="20"/>
              </w:rPr>
            </w:pPr>
            <w:r>
              <w:rPr>
                <w:sz w:val="20"/>
              </w:rPr>
              <w:t>LANCO Power (Aban co)</w:t>
            </w:r>
          </w:p>
        </w:tc>
        <w:tc>
          <w:tcPr>
            <w:tcW w:w="1668" w:type="dxa"/>
          </w:tcPr>
          <w:p w:rsidR="007C5447" w:rsidRDefault="00F6308C">
            <w:pPr>
              <w:pStyle w:val="TableParagraph"/>
              <w:spacing w:before="14" w:line="227" w:lineRule="exact"/>
              <w:ind w:right="93"/>
              <w:rPr>
                <w:sz w:val="20"/>
              </w:rPr>
            </w:pPr>
            <w:r>
              <w:rPr>
                <w:w w:val="95"/>
                <w:sz w:val="20"/>
              </w:rPr>
              <w:t>620.22</w:t>
            </w:r>
          </w:p>
        </w:tc>
        <w:tc>
          <w:tcPr>
            <w:tcW w:w="1560" w:type="dxa"/>
          </w:tcPr>
          <w:p w:rsidR="007C5447" w:rsidRDefault="00F6308C">
            <w:pPr>
              <w:pStyle w:val="TableParagraph"/>
              <w:spacing w:before="14" w:line="227" w:lineRule="exact"/>
              <w:ind w:right="93"/>
              <w:rPr>
                <w:sz w:val="20"/>
              </w:rPr>
            </w:pPr>
            <w:r>
              <w:rPr>
                <w:w w:val="95"/>
                <w:sz w:val="20"/>
              </w:rPr>
              <w:t>64.50</w:t>
            </w:r>
          </w:p>
        </w:tc>
        <w:tc>
          <w:tcPr>
            <w:tcW w:w="1560" w:type="dxa"/>
          </w:tcPr>
          <w:p w:rsidR="007C5447" w:rsidRDefault="00F6308C">
            <w:pPr>
              <w:pStyle w:val="TableParagraph"/>
              <w:spacing w:before="14" w:line="227" w:lineRule="exact"/>
              <w:ind w:right="92"/>
              <w:rPr>
                <w:sz w:val="20"/>
              </w:rPr>
            </w:pPr>
            <w:r>
              <w:rPr>
                <w:w w:val="95"/>
                <w:sz w:val="20"/>
              </w:rPr>
              <w:t>160.07</w:t>
            </w:r>
          </w:p>
        </w:tc>
        <w:tc>
          <w:tcPr>
            <w:tcW w:w="1558" w:type="dxa"/>
          </w:tcPr>
          <w:p w:rsidR="007C5447" w:rsidRDefault="00F6308C">
            <w:pPr>
              <w:pStyle w:val="TableParagraph"/>
              <w:spacing w:before="14" w:line="227" w:lineRule="exact"/>
              <w:ind w:right="93"/>
              <w:rPr>
                <w:sz w:val="20"/>
              </w:rPr>
            </w:pPr>
            <w:r>
              <w:rPr>
                <w:sz w:val="20"/>
              </w:rPr>
              <w:t>2.58</w:t>
            </w:r>
          </w:p>
        </w:tc>
        <w:tc>
          <w:tcPr>
            <w:tcW w:w="1530" w:type="dxa"/>
          </w:tcPr>
          <w:p w:rsidR="007C5447" w:rsidRDefault="00F6308C">
            <w:pPr>
              <w:pStyle w:val="TableParagraph"/>
              <w:spacing w:before="14" w:line="227" w:lineRule="exact"/>
              <w:ind w:right="93"/>
              <w:rPr>
                <w:sz w:val="20"/>
              </w:rPr>
            </w:pPr>
            <w:r>
              <w:rPr>
                <w:w w:val="95"/>
                <w:sz w:val="20"/>
              </w:rPr>
              <w:t>224.57</w:t>
            </w:r>
          </w:p>
        </w:tc>
        <w:tc>
          <w:tcPr>
            <w:tcW w:w="1565" w:type="dxa"/>
          </w:tcPr>
          <w:p w:rsidR="007C5447" w:rsidRDefault="00F6308C">
            <w:pPr>
              <w:pStyle w:val="TableParagraph"/>
              <w:spacing w:before="14" w:line="227" w:lineRule="exact"/>
              <w:ind w:right="93"/>
              <w:rPr>
                <w:sz w:val="20"/>
              </w:rPr>
            </w:pPr>
            <w:r>
              <w:rPr>
                <w:sz w:val="20"/>
              </w:rPr>
              <w:t>3.62</w:t>
            </w:r>
          </w:p>
        </w:tc>
      </w:tr>
      <w:tr w:rsidR="007C5447">
        <w:trPr>
          <w:trHeight w:val="258"/>
        </w:trPr>
        <w:tc>
          <w:tcPr>
            <w:tcW w:w="4736" w:type="dxa"/>
            <w:tcBorders>
              <w:left w:val="single" w:sz="8" w:space="0" w:color="000000"/>
            </w:tcBorders>
          </w:tcPr>
          <w:p w:rsidR="007C5447" w:rsidRDefault="00F6308C">
            <w:pPr>
              <w:pStyle w:val="TableParagraph"/>
              <w:spacing w:before="14" w:line="224" w:lineRule="exact"/>
              <w:ind w:left="107"/>
              <w:jc w:val="left"/>
              <w:rPr>
                <w:sz w:val="20"/>
              </w:rPr>
            </w:pPr>
            <w:r>
              <w:rPr>
                <w:sz w:val="20"/>
              </w:rPr>
              <w:t>Penna</w:t>
            </w:r>
          </w:p>
        </w:tc>
        <w:tc>
          <w:tcPr>
            <w:tcW w:w="1668" w:type="dxa"/>
          </w:tcPr>
          <w:p w:rsidR="007C5447" w:rsidRDefault="00F6308C">
            <w:pPr>
              <w:pStyle w:val="TableParagraph"/>
              <w:spacing w:before="14" w:line="224" w:lineRule="exact"/>
              <w:ind w:right="93"/>
              <w:rPr>
                <w:sz w:val="20"/>
              </w:rPr>
            </w:pPr>
            <w:r>
              <w:rPr>
                <w:w w:val="95"/>
                <w:sz w:val="20"/>
              </w:rPr>
              <w:t>178.67</w:t>
            </w:r>
          </w:p>
        </w:tc>
        <w:tc>
          <w:tcPr>
            <w:tcW w:w="1560" w:type="dxa"/>
          </w:tcPr>
          <w:p w:rsidR="007C5447" w:rsidRDefault="00F6308C">
            <w:pPr>
              <w:pStyle w:val="TableParagraph"/>
              <w:spacing w:before="14" w:line="224" w:lineRule="exact"/>
              <w:ind w:right="93"/>
              <w:rPr>
                <w:sz w:val="20"/>
              </w:rPr>
            </w:pPr>
            <w:r>
              <w:rPr>
                <w:w w:val="95"/>
                <w:sz w:val="20"/>
              </w:rPr>
              <w:t>16.07</w:t>
            </w:r>
          </w:p>
        </w:tc>
        <w:tc>
          <w:tcPr>
            <w:tcW w:w="1560" w:type="dxa"/>
          </w:tcPr>
          <w:p w:rsidR="007C5447" w:rsidRDefault="00F6308C">
            <w:pPr>
              <w:pStyle w:val="TableParagraph"/>
              <w:spacing w:before="14" w:line="224" w:lineRule="exact"/>
              <w:ind w:right="92"/>
              <w:rPr>
                <w:sz w:val="20"/>
              </w:rPr>
            </w:pPr>
            <w:r>
              <w:rPr>
                <w:w w:val="95"/>
                <w:sz w:val="20"/>
              </w:rPr>
              <w:t>47.58</w:t>
            </w:r>
          </w:p>
        </w:tc>
        <w:tc>
          <w:tcPr>
            <w:tcW w:w="1558" w:type="dxa"/>
          </w:tcPr>
          <w:p w:rsidR="007C5447" w:rsidRDefault="00F6308C">
            <w:pPr>
              <w:pStyle w:val="TableParagraph"/>
              <w:spacing w:before="14" w:line="224" w:lineRule="exact"/>
              <w:ind w:right="92"/>
              <w:rPr>
                <w:sz w:val="20"/>
              </w:rPr>
            </w:pPr>
            <w:r>
              <w:rPr>
                <w:sz w:val="20"/>
              </w:rPr>
              <w:t>2.66</w:t>
            </w:r>
          </w:p>
        </w:tc>
        <w:tc>
          <w:tcPr>
            <w:tcW w:w="1530" w:type="dxa"/>
          </w:tcPr>
          <w:p w:rsidR="007C5447" w:rsidRDefault="00F6308C">
            <w:pPr>
              <w:pStyle w:val="TableParagraph"/>
              <w:spacing w:before="14" w:line="224" w:lineRule="exact"/>
              <w:ind w:right="93"/>
              <w:rPr>
                <w:sz w:val="20"/>
              </w:rPr>
            </w:pPr>
            <w:r>
              <w:rPr>
                <w:w w:val="95"/>
                <w:sz w:val="20"/>
              </w:rPr>
              <w:t>63.65</w:t>
            </w:r>
          </w:p>
        </w:tc>
        <w:tc>
          <w:tcPr>
            <w:tcW w:w="1565" w:type="dxa"/>
          </w:tcPr>
          <w:p w:rsidR="007C5447" w:rsidRDefault="00F6308C">
            <w:pPr>
              <w:pStyle w:val="TableParagraph"/>
              <w:spacing w:before="14" w:line="224" w:lineRule="exact"/>
              <w:ind w:right="93"/>
              <w:rPr>
                <w:sz w:val="20"/>
              </w:rPr>
            </w:pPr>
            <w:r>
              <w:rPr>
                <w:sz w:val="20"/>
              </w:rPr>
              <w:t>3.56</w:t>
            </w:r>
          </w:p>
        </w:tc>
      </w:tr>
      <w:tr w:rsidR="007C5447">
        <w:trPr>
          <w:trHeight w:val="280"/>
        </w:trPr>
        <w:tc>
          <w:tcPr>
            <w:tcW w:w="4736" w:type="dxa"/>
            <w:tcBorders>
              <w:left w:val="single" w:sz="8" w:space="0" w:color="000000"/>
            </w:tcBorders>
          </w:tcPr>
          <w:p w:rsidR="007C5447" w:rsidRDefault="00F6308C">
            <w:pPr>
              <w:pStyle w:val="TableParagraph"/>
              <w:spacing w:before="26"/>
              <w:ind w:left="107"/>
              <w:jc w:val="left"/>
              <w:rPr>
                <w:b/>
                <w:sz w:val="20"/>
              </w:rPr>
            </w:pPr>
            <w:r>
              <w:rPr>
                <w:b/>
                <w:sz w:val="20"/>
              </w:rPr>
              <w:t>Total IPP</w:t>
            </w:r>
          </w:p>
        </w:tc>
        <w:tc>
          <w:tcPr>
            <w:tcW w:w="1668" w:type="dxa"/>
          </w:tcPr>
          <w:p w:rsidR="007C5447" w:rsidRDefault="00F6308C">
            <w:pPr>
              <w:pStyle w:val="TableParagraph"/>
              <w:spacing w:before="26"/>
              <w:ind w:right="91"/>
              <w:rPr>
                <w:b/>
                <w:sz w:val="20"/>
              </w:rPr>
            </w:pPr>
            <w:r>
              <w:rPr>
                <w:b/>
                <w:w w:val="95"/>
                <w:sz w:val="20"/>
              </w:rPr>
              <w:t>2,183.82</w:t>
            </w:r>
          </w:p>
        </w:tc>
        <w:tc>
          <w:tcPr>
            <w:tcW w:w="1560" w:type="dxa"/>
          </w:tcPr>
          <w:p w:rsidR="007C5447" w:rsidRDefault="00F6308C">
            <w:pPr>
              <w:pStyle w:val="TableParagraph"/>
              <w:spacing w:before="26"/>
              <w:ind w:right="90"/>
              <w:rPr>
                <w:b/>
                <w:sz w:val="20"/>
              </w:rPr>
            </w:pPr>
            <w:r>
              <w:rPr>
                <w:b/>
                <w:w w:val="95"/>
                <w:sz w:val="20"/>
              </w:rPr>
              <w:t>718.07</w:t>
            </w:r>
          </w:p>
        </w:tc>
        <w:tc>
          <w:tcPr>
            <w:tcW w:w="1560" w:type="dxa"/>
          </w:tcPr>
          <w:p w:rsidR="007C5447" w:rsidRDefault="00F6308C">
            <w:pPr>
              <w:pStyle w:val="TableParagraph"/>
              <w:spacing w:before="26"/>
              <w:ind w:right="92"/>
              <w:rPr>
                <w:b/>
                <w:sz w:val="20"/>
              </w:rPr>
            </w:pPr>
            <w:r>
              <w:rPr>
                <w:b/>
                <w:w w:val="95"/>
                <w:sz w:val="20"/>
              </w:rPr>
              <w:t>605.13</w:t>
            </w:r>
          </w:p>
        </w:tc>
        <w:tc>
          <w:tcPr>
            <w:tcW w:w="1558" w:type="dxa"/>
          </w:tcPr>
          <w:p w:rsidR="007C5447" w:rsidRDefault="00F6308C">
            <w:pPr>
              <w:pStyle w:val="TableParagraph"/>
              <w:spacing w:before="26"/>
              <w:ind w:right="90"/>
              <w:rPr>
                <w:b/>
                <w:sz w:val="20"/>
              </w:rPr>
            </w:pPr>
            <w:r>
              <w:rPr>
                <w:b/>
                <w:sz w:val="20"/>
              </w:rPr>
              <w:t>2.77</w:t>
            </w:r>
          </w:p>
        </w:tc>
        <w:tc>
          <w:tcPr>
            <w:tcW w:w="1530" w:type="dxa"/>
          </w:tcPr>
          <w:p w:rsidR="007C5447" w:rsidRDefault="00F6308C">
            <w:pPr>
              <w:pStyle w:val="TableParagraph"/>
              <w:spacing w:before="26"/>
              <w:ind w:right="91"/>
              <w:rPr>
                <w:b/>
                <w:sz w:val="20"/>
              </w:rPr>
            </w:pPr>
            <w:r>
              <w:rPr>
                <w:b/>
                <w:w w:val="95"/>
                <w:sz w:val="20"/>
              </w:rPr>
              <w:t>1,323.20</w:t>
            </w:r>
          </w:p>
        </w:tc>
        <w:tc>
          <w:tcPr>
            <w:tcW w:w="1565" w:type="dxa"/>
          </w:tcPr>
          <w:p w:rsidR="007C5447" w:rsidRDefault="00F6308C">
            <w:pPr>
              <w:pStyle w:val="TableParagraph"/>
              <w:spacing w:before="26"/>
              <w:ind w:right="93"/>
              <w:rPr>
                <w:b/>
                <w:sz w:val="20"/>
              </w:rPr>
            </w:pPr>
            <w:r>
              <w:rPr>
                <w:b/>
                <w:sz w:val="20"/>
              </w:rPr>
              <w:t>6.06</w:t>
            </w:r>
          </w:p>
        </w:tc>
      </w:tr>
      <w:tr w:rsidR="007C5447">
        <w:trPr>
          <w:trHeight w:val="283"/>
        </w:trPr>
        <w:tc>
          <w:tcPr>
            <w:tcW w:w="4736" w:type="dxa"/>
            <w:tcBorders>
              <w:left w:val="single" w:sz="8" w:space="0" w:color="000000"/>
            </w:tcBorders>
          </w:tcPr>
          <w:p w:rsidR="007C5447" w:rsidRDefault="00F6308C">
            <w:pPr>
              <w:pStyle w:val="TableParagraph"/>
              <w:spacing w:before="26"/>
              <w:ind w:left="107"/>
              <w:jc w:val="left"/>
              <w:rPr>
                <w:b/>
                <w:sz w:val="20"/>
              </w:rPr>
            </w:pPr>
            <w:r>
              <w:rPr>
                <w:b/>
                <w:sz w:val="20"/>
              </w:rPr>
              <w:t>Renewables</w:t>
            </w:r>
          </w:p>
        </w:tc>
        <w:tc>
          <w:tcPr>
            <w:tcW w:w="1668"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7C5447">
            <w:pPr>
              <w:pStyle w:val="TableParagraph"/>
              <w:jc w:val="left"/>
              <w:rPr>
                <w:sz w:val="20"/>
              </w:rPr>
            </w:pPr>
          </w:p>
        </w:tc>
        <w:tc>
          <w:tcPr>
            <w:tcW w:w="1565" w:type="dxa"/>
          </w:tcPr>
          <w:p w:rsidR="007C5447" w:rsidRDefault="007C5447">
            <w:pPr>
              <w:pStyle w:val="TableParagraph"/>
              <w:jc w:val="left"/>
              <w:rPr>
                <w:sz w:val="20"/>
              </w:rPr>
            </w:pPr>
          </w:p>
        </w:tc>
      </w:tr>
      <w:tr w:rsidR="007C5447">
        <w:trPr>
          <w:trHeight w:val="258"/>
        </w:trPr>
        <w:tc>
          <w:tcPr>
            <w:tcW w:w="4736" w:type="dxa"/>
            <w:tcBorders>
              <w:left w:val="single" w:sz="8" w:space="0" w:color="000000"/>
            </w:tcBorders>
          </w:tcPr>
          <w:p w:rsidR="007C5447" w:rsidRDefault="00F6308C">
            <w:pPr>
              <w:pStyle w:val="TableParagraph"/>
              <w:spacing w:before="14" w:line="224" w:lineRule="exact"/>
              <w:ind w:left="107"/>
              <w:jc w:val="left"/>
              <w:rPr>
                <w:sz w:val="20"/>
              </w:rPr>
            </w:pPr>
            <w:r>
              <w:rPr>
                <w:sz w:val="20"/>
              </w:rPr>
              <w:t>Wind</w:t>
            </w:r>
          </w:p>
        </w:tc>
        <w:tc>
          <w:tcPr>
            <w:tcW w:w="1668" w:type="dxa"/>
          </w:tcPr>
          <w:p w:rsidR="007C5447" w:rsidRDefault="00F6308C">
            <w:pPr>
              <w:pStyle w:val="TableParagraph"/>
              <w:spacing w:before="14" w:line="224" w:lineRule="exact"/>
              <w:ind w:right="91"/>
              <w:rPr>
                <w:sz w:val="20"/>
              </w:rPr>
            </w:pPr>
            <w:r>
              <w:rPr>
                <w:w w:val="95"/>
                <w:sz w:val="20"/>
              </w:rPr>
              <w:t>2,873.00</w:t>
            </w:r>
          </w:p>
        </w:tc>
        <w:tc>
          <w:tcPr>
            <w:tcW w:w="1560" w:type="dxa"/>
          </w:tcPr>
          <w:p w:rsidR="007C5447" w:rsidRDefault="007C5447">
            <w:pPr>
              <w:pStyle w:val="TableParagraph"/>
              <w:jc w:val="left"/>
              <w:rPr>
                <w:sz w:val="18"/>
              </w:rPr>
            </w:pPr>
          </w:p>
        </w:tc>
        <w:tc>
          <w:tcPr>
            <w:tcW w:w="1560" w:type="dxa"/>
          </w:tcPr>
          <w:p w:rsidR="007C5447" w:rsidRDefault="007C5447">
            <w:pPr>
              <w:pStyle w:val="TableParagraph"/>
              <w:jc w:val="left"/>
              <w:rPr>
                <w:sz w:val="18"/>
              </w:rPr>
            </w:pPr>
          </w:p>
        </w:tc>
        <w:tc>
          <w:tcPr>
            <w:tcW w:w="1558" w:type="dxa"/>
          </w:tcPr>
          <w:p w:rsidR="007C5447" w:rsidRDefault="007C5447">
            <w:pPr>
              <w:pStyle w:val="TableParagraph"/>
              <w:jc w:val="left"/>
              <w:rPr>
                <w:sz w:val="18"/>
              </w:rPr>
            </w:pPr>
          </w:p>
        </w:tc>
        <w:tc>
          <w:tcPr>
            <w:tcW w:w="1530" w:type="dxa"/>
          </w:tcPr>
          <w:p w:rsidR="007C5447" w:rsidRDefault="00F6308C">
            <w:pPr>
              <w:pStyle w:val="TableParagraph"/>
              <w:spacing w:before="14" w:line="224" w:lineRule="exact"/>
              <w:ind w:right="93"/>
              <w:rPr>
                <w:sz w:val="20"/>
              </w:rPr>
            </w:pPr>
            <w:r>
              <w:rPr>
                <w:w w:val="95"/>
                <w:sz w:val="20"/>
              </w:rPr>
              <w:t>945.00</w:t>
            </w:r>
          </w:p>
        </w:tc>
        <w:tc>
          <w:tcPr>
            <w:tcW w:w="1565" w:type="dxa"/>
          </w:tcPr>
          <w:p w:rsidR="007C5447" w:rsidRDefault="00F6308C">
            <w:pPr>
              <w:pStyle w:val="TableParagraph"/>
              <w:spacing w:before="14" w:line="224" w:lineRule="exact"/>
              <w:ind w:right="93"/>
              <w:rPr>
                <w:sz w:val="20"/>
              </w:rPr>
            </w:pPr>
            <w:r>
              <w:rPr>
                <w:sz w:val="20"/>
              </w:rPr>
              <w:t>3.29</w:t>
            </w:r>
          </w:p>
        </w:tc>
      </w:tr>
      <w:tr w:rsidR="007C5447">
        <w:trPr>
          <w:trHeight w:val="261"/>
        </w:trPr>
        <w:tc>
          <w:tcPr>
            <w:tcW w:w="4736" w:type="dxa"/>
            <w:tcBorders>
              <w:left w:val="single" w:sz="8" w:space="0" w:color="000000"/>
            </w:tcBorders>
          </w:tcPr>
          <w:p w:rsidR="007C5447" w:rsidRDefault="00F6308C">
            <w:pPr>
              <w:pStyle w:val="TableParagraph"/>
              <w:spacing w:before="14" w:line="227" w:lineRule="exact"/>
              <w:ind w:left="107"/>
              <w:jc w:val="left"/>
              <w:rPr>
                <w:sz w:val="20"/>
              </w:rPr>
            </w:pPr>
            <w:r>
              <w:rPr>
                <w:sz w:val="20"/>
              </w:rPr>
              <w:t>Biomass</w:t>
            </w:r>
          </w:p>
        </w:tc>
        <w:tc>
          <w:tcPr>
            <w:tcW w:w="1668" w:type="dxa"/>
          </w:tcPr>
          <w:p w:rsidR="007C5447" w:rsidRDefault="00F6308C">
            <w:pPr>
              <w:pStyle w:val="TableParagraph"/>
              <w:spacing w:before="14" w:line="227" w:lineRule="exact"/>
              <w:ind w:right="93"/>
              <w:rPr>
                <w:sz w:val="20"/>
              </w:rPr>
            </w:pPr>
            <w:r>
              <w:rPr>
                <w:w w:val="95"/>
                <w:sz w:val="20"/>
              </w:rPr>
              <w:t>21.39</w:t>
            </w:r>
          </w:p>
        </w:tc>
        <w:tc>
          <w:tcPr>
            <w:tcW w:w="1560" w:type="dxa"/>
          </w:tcPr>
          <w:p w:rsidR="007C5447" w:rsidRDefault="007C5447">
            <w:pPr>
              <w:pStyle w:val="TableParagraph"/>
              <w:jc w:val="left"/>
              <w:rPr>
                <w:sz w:val="18"/>
              </w:rPr>
            </w:pPr>
          </w:p>
        </w:tc>
        <w:tc>
          <w:tcPr>
            <w:tcW w:w="1560" w:type="dxa"/>
          </w:tcPr>
          <w:p w:rsidR="007C5447" w:rsidRDefault="007C5447">
            <w:pPr>
              <w:pStyle w:val="TableParagraph"/>
              <w:jc w:val="left"/>
              <w:rPr>
                <w:sz w:val="18"/>
              </w:rPr>
            </w:pPr>
          </w:p>
        </w:tc>
        <w:tc>
          <w:tcPr>
            <w:tcW w:w="1558" w:type="dxa"/>
          </w:tcPr>
          <w:p w:rsidR="007C5447" w:rsidRDefault="007C5447">
            <w:pPr>
              <w:pStyle w:val="TableParagraph"/>
              <w:jc w:val="left"/>
              <w:rPr>
                <w:sz w:val="18"/>
              </w:rPr>
            </w:pPr>
          </w:p>
        </w:tc>
        <w:tc>
          <w:tcPr>
            <w:tcW w:w="1530" w:type="dxa"/>
          </w:tcPr>
          <w:p w:rsidR="007C5447" w:rsidRDefault="00F6308C">
            <w:pPr>
              <w:pStyle w:val="TableParagraph"/>
              <w:spacing w:before="14" w:line="227" w:lineRule="exact"/>
              <w:ind w:right="93"/>
              <w:rPr>
                <w:sz w:val="20"/>
              </w:rPr>
            </w:pPr>
            <w:r>
              <w:rPr>
                <w:w w:val="95"/>
                <w:sz w:val="20"/>
              </w:rPr>
              <w:t>10.00</w:t>
            </w:r>
          </w:p>
        </w:tc>
        <w:tc>
          <w:tcPr>
            <w:tcW w:w="1565" w:type="dxa"/>
          </w:tcPr>
          <w:p w:rsidR="007C5447" w:rsidRDefault="00F6308C">
            <w:pPr>
              <w:pStyle w:val="TableParagraph"/>
              <w:spacing w:before="14" w:line="227" w:lineRule="exact"/>
              <w:ind w:right="93"/>
              <w:rPr>
                <w:sz w:val="20"/>
              </w:rPr>
            </w:pPr>
            <w:r>
              <w:rPr>
                <w:sz w:val="20"/>
              </w:rPr>
              <w:t>4.67</w:t>
            </w:r>
          </w:p>
        </w:tc>
      </w:tr>
      <w:tr w:rsidR="007C5447">
        <w:trPr>
          <w:trHeight w:val="258"/>
        </w:trPr>
        <w:tc>
          <w:tcPr>
            <w:tcW w:w="4736" w:type="dxa"/>
            <w:tcBorders>
              <w:left w:val="single" w:sz="8" w:space="0" w:color="000000"/>
            </w:tcBorders>
          </w:tcPr>
          <w:p w:rsidR="007C5447" w:rsidRDefault="00F6308C">
            <w:pPr>
              <w:pStyle w:val="TableParagraph"/>
              <w:spacing w:before="14" w:line="224" w:lineRule="exact"/>
              <w:ind w:left="107"/>
              <w:jc w:val="left"/>
              <w:rPr>
                <w:sz w:val="20"/>
              </w:rPr>
            </w:pPr>
            <w:r>
              <w:rPr>
                <w:sz w:val="20"/>
              </w:rPr>
              <w:t>Cogeneration</w:t>
            </w:r>
          </w:p>
        </w:tc>
        <w:tc>
          <w:tcPr>
            <w:tcW w:w="1668" w:type="dxa"/>
          </w:tcPr>
          <w:p w:rsidR="007C5447" w:rsidRDefault="00F6308C">
            <w:pPr>
              <w:pStyle w:val="TableParagraph"/>
              <w:spacing w:before="14" w:line="224" w:lineRule="exact"/>
              <w:ind w:right="93"/>
              <w:rPr>
                <w:sz w:val="20"/>
              </w:rPr>
            </w:pPr>
            <w:r>
              <w:rPr>
                <w:w w:val="95"/>
                <w:sz w:val="20"/>
              </w:rPr>
              <w:t>508.58</w:t>
            </w:r>
          </w:p>
        </w:tc>
        <w:tc>
          <w:tcPr>
            <w:tcW w:w="1560" w:type="dxa"/>
          </w:tcPr>
          <w:p w:rsidR="007C5447" w:rsidRDefault="007C5447">
            <w:pPr>
              <w:pStyle w:val="TableParagraph"/>
              <w:jc w:val="left"/>
              <w:rPr>
                <w:sz w:val="18"/>
              </w:rPr>
            </w:pPr>
          </w:p>
        </w:tc>
        <w:tc>
          <w:tcPr>
            <w:tcW w:w="1560" w:type="dxa"/>
          </w:tcPr>
          <w:p w:rsidR="007C5447" w:rsidRDefault="007C5447">
            <w:pPr>
              <w:pStyle w:val="TableParagraph"/>
              <w:jc w:val="left"/>
              <w:rPr>
                <w:sz w:val="18"/>
              </w:rPr>
            </w:pPr>
          </w:p>
        </w:tc>
        <w:tc>
          <w:tcPr>
            <w:tcW w:w="1558" w:type="dxa"/>
          </w:tcPr>
          <w:p w:rsidR="007C5447" w:rsidRDefault="007C5447">
            <w:pPr>
              <w:pStyle w:val="TableParagraph"/>
              <w:jc w:val="left"/>
              <w:rPr>
                <w:sz w:val="18"/>
              </w:rPr>
            </w:pPr>
          </w:p>
        </w:tc>
        <w:tc>
          <w:tcPr>
            <w:tcW w:w="1530" w:type="dxa"/>
          </w:tcPr>
          <w:p w:rsidR="007C5447" w:rsidRDefault="00F6308C">
            <w:pPr>
              <w:pStyle w:val="TableParagraph"/>
              <w:spacing w:before="14" w:line="224" w:lineRule="exact"/>
              <w:ind w:right="93"/>
              <w:rPr>
                <w:sz w:val="20"/>
              </w:rPr>
            </w:pPr>
            <w:r>
              <w:rPr>
                <w:w w:val="95"/>
                <w:sz w:val="20"/>
              </w:rPr>
              <w:t>181.00</w:t>
            </w:r>
          </w:p>
        </w:tc>
        <w:tc>
          <w:tcPr>
            <w:tcW w:w="1565" w:type="dxa"/>
          </w:tcPr>
          <w:p w:rsidR="007C5447" w:rsidRDefault="00F6308C">
            <w:pPr>
              <w:pStyle w:val="TableParagraph"/>
              <w:spacing w:before="14" w:line="224" w:lineRule="exact"/>
              <w:ind w:right="93"/>
              <w:rPr>
                <w:sz w:val="20"/>
              </w:rPr>
            </w:pPr>
            <w:r>
              <w:rPr>
                <w:sz w:val="20"/>
              </w:rPr>
              <w:t>3.56</w:t>
            </w:r>
          </w:p>
        </w:tc>
      </w:tr>
      <w:tr w:rsidR="007C5447">
        <w:trPr>
          <w:trHeight w:val="261"/>
        </w:trPr>
        <w:tc>
          <w:tcPr>
            <w:tcW w:w="4736" w:type="dxa"/>
            <w:tcBorders>
              <w:left w:val="single" w:sz="8" w:space="0" w:color="000000"/>
            </w:tcBorders>
          </w:tcPr>
          <w:p w:rsidR="007C5447" w:rsidRDefault="00F6308C">
            <w:pPr>
              <w:pStyle w:val="TableParagraph"/>
              <w:spacing w:before="14" w:line="227" w:lineRule="exact"/>
              <w:ind w:left="107"/>
              <w:jc w:val="left"/>
              <w:rPr>
                <w:sz w:val="20"/>
              </w:rPr>
            </w:pPr>
            <w:r>
              <w:rPr>
                <w:sz w:val="20"/>
              </w:rPr>
              <w:t>Captive</w:t>
            </w:r>
          </w:p>
        </w:tc>
        <w:tc>
          <w:tcPr>
            <w:tcW w:w="1668" w:type="dxa"/>
          </w:tcPr>
          <w:p w:rsidR="007C5447" w:rsidRDefault="00F6308C">
            <w:pPr>
              <w:pStyle w:val="TableParagraph"/>
              <w:spacing w:before="14" w:line="227" w:lineRule="exact"/>
              <w:ind w:right="93"/>
              <w:rPr>
                <w:sz w:val="20"/>
              </w:rPr>
            </w:pPr>
            <w:r>
              <w:rPr>
                <w:w w:val="95"/>
                <w:sz w:val="20"/>
              </w:rPr>
              <w:t>23.55</w:t>
            </w:r>
          </w:p>
        </w:tc>
        <w:tc>
          <w:tcPr>
            <w:tcW w:w="1560" w:type="dxa"/>
          </w:tcPr>
          <w:p w:rsidR="007C5447" w:rsidRDefault="007C5447">
            <w:pPr>
              <w:pStyle w:val="TableParagraph"/>
              <w:jc w:val="left"/>
              <w:rPr>
                <w:sz w:val="18"/>
              </w:rPr>
            </w:pPr>
          </w:p>
        </w:tc>
        <w:tc>
          <w:tcPr>
            <w:tcW w:w="1560" w:type="dxa"/>
          </w:tcPr>
          <w:p w:rsidR="007C5447" w:rsidRDefault="007C5447">
            <w:pPr>
              <w:pStyle w:val="TableParagraph"/>
              <w:jc w:val="left"/>
              <w:rPr>
                <w:sz w:val="18"/>
              </w:rPr>
            </w:pPr>
          </w:p>
        </w:tc>
        <w:tc>
          <w:tcPr>
            <w:tcW w:w="1558" w:type="dxa"/>
          </w:tcPr>
          <w:p w:rsidR="007C5447" w:rsidRDefault="007C5447">
            <w:pPr>
              <w:pStyle w:val="TableParagraph"/>
              <w:jc w:val="left"/>
              <w:rPr>
                <w:sz w:val="18"/>
              </w:rPr>
            </w:pPr>
          </w:p>
        </w:tc>
        <w:tc>
          <w:tcPr>
            <w:tcW w:w="1530" w:type="dxa"/>
          </w:tcPr>
          <w:p w:rsidR="007C5447" w:rsidRDefault="00F6308C">
            <w:pPr>
              <w:pStyle w:val="TableParagraph"/>
              <w:spacing w:before="14" w:line="227" w:lineRule="exact"/>
              <w:ind w:right="93"/>
              <w:rPr>
                <w:sz w:val="20"/>
              </w:rPr>
            </w:pPr>
            <w:r>
              <w:rPr>
                <w:sz w:val="20"/>
              </w:rPr>
              <w:t>4.00</w:t>
            </w:r>
          </w:p>
        </w:tc>
        <w:tc>
          <w:tcPr>
            <w:tcW w:w="1565" w:type="dxa"/>
          </w:tcPr>
          <w:p w:rsidR="007C5447" w:rsidRDefault="00F6308C">
            <w:pPr>
              <w:pStyle w:val="TableParagraph"/>
              <w:spacing w:before="14" w:line="227" w:lineRule="exact"/>
              <w:ind w:right="93"/>
              <w:rPr>
                <w:sz w:val="20"/>
              </w:rPr>
            </w:pPr>
            <w:r>
              <w:rPr>
                <w:sz w:val="20"/>
              </w:rPr>
              <w:t>1.70</w:t>
            </w:r>
          </w:p>
        </w:tc>
      </w:tr>
      <w:tr w:rsidR="007C5447">
        <w:trPr>
          <w:trHeight w:val="258"/>
        </w:trPr>
        <w:tc>
          <w:tcPr>
            <w:tcW w:w="4736" w:type="dxa"/>
            <w:tcBorders>
              <w:left w:val="single" w:sz="8" w:space="0" w:color="000000"/>
            </w:tcBorders>
          </w:tcPr>
          <w:p w:rsidR="007C5447" w:rsidRDefault="00F6308C">
            <w:pPr>
              <w:pStyle w:val="TableParagraph"/>
              <w:spacing w:before="14" w:line="224" w:lineRule="exact"/>
              <w:ind w:left="107"/>
              <w:jc w:val="left"/>
              <w:rPr>
                <w:sz w:val="20"/>
              </w:rPr>
            </w:pPr>
            <w:r>
              <w:rPr>
                <w:sz w:val="20"/>
              </w:rPr>
              <w:t>Solar</w:t>
            </w:r>
          </w:p>
        </w:tc>
        <w:tc>
          <w:tcPr>
            <w:tcW w:w="1668" w:type="dxa"/>
          </w:tcPr>
          <w:p w:rsidR="007C5447" w:rsidRDefault="00F6308C">
            <w:pPr>
              <w:pStyle w:val="TableParagraph"/>
              <w:spacing w:before="14" w:line="224" w:lineRule="exact"/>
              <w:ind w:right="92"/>
              <w:rPr>
                <w:sz w:val="20"/>
              </w:rPr>
            </w:pPr>
            <w:r>
              <w:rPr>
                <w:w w:val="95"/>
                <w:sz w:val="20"/>
              </w:rPr>
              <w:t>69.09</w:t>
            </w:r>
          </w:p>
        </w:tc>
        <w:tc>
          <w:tcPr>
            <w:tcW w:w="1560" w:type="dxa"/>
          </w:tcPr>
          <w:p w:rsidR="007C5447" w:rsidRDefault="007C5447">
            <w:pPr>
              <w:pStyle w:val="TableParagraph"/>
              <w:jc w:val="left"/>
              <w:rPr>
                <w:sz w:val="18"/>
              </w:rPr>
            </w:pPr>
          </w:p>
        </w:tc>
        <w:tc>
          <w:tcPr>
            <w:tcW w:w="1560" w:type="dxa"/>
          </w:tcPr>
          <w:p w:rsidR="007C5447" w:rsidRDefault="007C5447">
            <w:pPr>
              <w:pStyle w:val="TableParagraph"/>
              <w:jc w:val="left"/>
              <w:rPr>
                <w:sz w:val="18"/>
              </w:rPr>
            </w:pPr>
          </w:p>
        </w:tc>
        <w:tc>
          <w:tcPr>
            <w:tcW w:w="1558" w:type="dxa"/>
          </w:tcPr>
          <w:p w:rsidR="007C5447" w:rsidRDefault="007C5447">
            <w:pPr>
              <w:pStyle w:val="TableParagraph"/>
              <w:jc w:val="left"/>
              <w:rPr>
                <w:sz w:val="18"/>
              </w:rPr>
            </w:pPr>
          </w:p>
        </w:tc>
        <w:tc>
          <w:tcPr>
            <w:tcW w:w="1530" w:type="dxa"/>
          </w:tcPr>
          <w:p w:rsidR="007C5447" w:rsidRDefault="00F6308C">
            <w:pPr>
              <w:pStyle w:val="TableParagraph"/>
              <w:spacing w:before="14" w:line="224" w:lineRule="exact"/>
              <w:ind w:right="93"/>
              <w:rPr>
                <w:sz w:val="20"/>
              </w:rPr>
            </w:pPr>
            <w:r>
              <w:rPr>
                <w:w w:val="95"/>
                <w:sz w:val="20"/>
              </w:rPr>
              <w:t>36.00</w:t>
            </w:r>
          </w:p>
        </w:tc>
        <w:tc>
          <w:tcPr>
            <w:tcW w:w="1565" w:type="dxa"/>
          </w:tcPr>
          <w:p w:rsidR="007C5447" w:rsidRDefault="00F6308C">
            <w:pPr>
              <w:pStyle w:val="TableParagraph"/>
              <w:spacing w:before="14" w:line="224" w:lineRule="exact"/>
              <w:ind w:right="93"/>
              <w:rPr>
                <w:sz w:val="20"/>
              </w:rPr>
            </w:pPr>
            <w:r>
              <w:rPr>
                <w:sz w:val="20"/>
              </w:rPr>
              <w:t>5.21</w:t>
            </w:r>
          </w:p>
        </w:tc>
      </w:tr>
      <w:tr w:rsidR="007C5447">
        <w:trPr>
          <w:trHeight w:val="280"/>
        </w:trPr>
        <w:tc>
          <w:tcPr>
            <w:tcW w:w="4736" w:type="dxa"/>
            <w:tcBorders>
              <w:left w:val="single" w:sz="8" w:space="0" w:color="000000"/>
            </w:tcBorders>
          </w:tcPr>
          <w:p w:rsidR="007C5447" w:rsidRDefault="00F6308C">
            <w:pPr>
              <w:pStyle w:val="TableParagraph"/>
              <w:spacing w:before="26"/>
              <w:ind w:left="107"/>
              <w:jc w:val="left"/>
              <w:rPr>
                <w:b/>
                <w:sz w:val="20"/>
              </w:rPr>
            </w:pPr>
            <w:r>
              <w:rPr>
                <w:b/>
                <w:sz w:val="20"/>
              </w:rPr>
              <w:t>Total Renewables</w:t>
            </w:r>
          </w:p>
        </w:tc>
        <w:tc>
          <w:tcPr>
            <w:tcW w:w="1668" w:type="dxa"/>
          </w:tcPr>
          <w:p w:rsidR="007C5447" w:rsidRDefault="00F6308C">
            <w:pPr>
              <w:pStyle w:val="TableParagraph"/>
              <w:spacing w:before="26"/>
              <w:ind w:right="91"/>
              <w:rPr>
                <w:b/>
                <w:sz w:val="20"/>
              </w:rPr>
            </w:pPr>
            <w:r>
              <w:rPr>
                <w:b/>
                <w:w w:val="95"/>
                <w:sz w:val="20"/>
              </w:rPr>
              <w:t>3,495.62</w:t>
            </w:r>
          </w:p>
        </w:tc>
        <w:tc>
          <w:tcPr>
            <w:tcW w:w="1560"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F6308C">
            <w:pPr>
              <w:pStyle w:val="TableParagraph"/>
              <w:spacing w:before="26"/>
              <w:ind w:right="91"/>
              <w:rPr>
                <w:b/>
                <w:sz w:val="20"/>
              </w:rPr>
            </w:pPr>
            <w:r>
              <w:rPr>
                <w:b/>
                <w:w w:val="95"/>
                <w:sz w:val="20"/>
              </w:rPr>
              <w:t>1,176.00</w:t>
            </w:r>
          </w:p>
        </w:tc>
        <w:tc>
          <w:tcPr>
            <w:tcW w:w="1565" w:type="dxa"/>
          </w:tcPr>
          <w:p w:rsidR="007C5447" w:rsidRDefault="00F6308C">
            <w:pPr>
              <w:pStyle w:val="TableParagraph"/>
              <w:spacing w:before="26"/>
              <w:ind w:right="93"/>
              <w:rPr>
                <w:b/>
                <w:sz w:val="20"/>
              </w:rPr>
            </w:pPr>
            <w:r>
              <w:rPr>
                <w:b/>
                <w:sz w:val="20"/>
              </w:rPr>
              <w:t>3.36</w:t>
            </w:r>
          </w:p>
        </w:tc>
      </w:tr>
      <w:tr w:rsidR="007C5447">
        <w:trPr>
          <w:trHeight w:val="282"/>
        </w:trPr>
        <w:tc>
          <w:tcPr>
            <w:tcW w:w="4736" w:type="dxa"/>
            <w:tcBorders>
              <w:left w:val="single" w:sz="8" w:space="0" w:color="000000"/>
            </w:tcBorders>
          </w:tcPr>
          <w:p w:rsidR="007C5447" w:rsidRDefault="00F6308C">
            <w:pPr>
              <w:pStyle w:val="TableParagraph"/>
              <w:spacing w:before="26"/>
              <w:ind w:left="107"/>
              <w:jc w:val="left"/>
              <w:rPr>
                <w:b/>
                <w:sz w:val="20"/>
              </w:rPr>
            </w:pPr>
            <w:r>
              <w:rPr>
                <w:b/>
                <w:sz w:val="20"/>
              </w:rPr>
              <w:t>Other Sources</w:t>
            </w:r>
          </w:p>
        </w:tc>
        <w:tc>
          <w:tcPr>
            <w:tcW w:w="1668"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7C5447">
            <w:pPr>
              <w:pStyle w:val="TableParagraph"/>
              <w:jc w:val="left"/>
              <w:rPr>
                <w:sz w:val="20"/>
              </w:rPr>
            </w:pPr>
          </w:p>
        </w:tc>
        <w:tc>
          <w:tcPr>
            <w:tcW w:w="1565" w:type="dxa"/>
          </w:tcPr>
          <w:p w:rsidR="007C5447" w:rsidRDefault="007C5447">
            <w:pPr>
              <w:pStyle w:val="TableParagraph"/>
              <w:jc w:val="left"/>
              <w:rPr>
                <w:sz w:val="20"/>
              </w:rPr>
            </w:pPr>
          </w:p>
        </w:tc>
      </w:tr>
      <w:tr w:rsidR="007C5447">
        <w:trPr>
          <w:trHeight w:val="258"/>
        </w:trPr>
        <w:tc>
          <w:tcPr>
            <w:tcW w:w="4736" w:type="dxa"/>
            <w:tcBorders>
              <w:left w:val="single" w:sz="8" w:space="0" w:color="000000"/>
            </w:tcBorders>
          </w:tcPr>
          <w:p w:rsidR="007C5447" w:rsidRDefault="00F6308C">
            <w:pPr>
              <w:pStyle w:val="TableParagraph"/>
              <w:spacing w:before="14" w:line="224" w:lineRule="exact"/>
              <w:ind w:left="107"/>
              <w:jc w:val="left"/>
              <w:rPr>
                <w:sz w:val="20"/>
              </w:rPr>
            </w:pPr>
            <w:r>
              <w:rPr>
                <w:sz w:val="20"/>
              </w:rPr>
              <w:t>Trading - Bilateral &amp; Exchange</w:t>
            </w:r>
          </w:p>
        </w:tc>
        <w:tc>
          <w:tcPr>
            <w:tcW w:w="1668" w:type="dxa"/>
          </w:tcPr>
          <w:p w:rsidR="007C5447" w:rsidRDefault="00F6308C">
            <w:pPr>
              <w:pStyle w:val="TableParagraph"/>
              <w:spacing w:before="14" w:line="224" w:lineRule="exact"/>
              <w:ind w:right="93"/>
              <w:rPr>
                <w:sz w:val="20"/>
              </w:rPr>
            </w:pPr>
            <w:r>
              <w:rPr>
                <w:w w:val="95"/>
                <w:sz w:val="20"/>
              </w:rPr>
              <w:t>14,184.00</w:t>
            </w:r>
          </w:p>
        </w:tc>
        <w:tc>
          <w:tcPr>
            <w:tcW w:w="1560" w:type="dxa"/>
          </w:tcPr>
          <w:p w:rsidR="007C5447" w:rsidRDefault="007C5447">
            <w:pPr>
              <w:pStyle w:val="TableParagraph"/>
              <w:jc w:val="left"/>
              <w:rPr>
                <w:sz w:val="18"/>
              </w:rPr>
            </w:pPr>
          </w:p>
        </w:tc>
        <w:tc>
          <w:tcPr>
            <w:tcW w:w="1560" w:type="dxa"/>
          </w:tcPr>
          <w:p w:rsidR="007C5447" w:rsidRDefault="007C5447">
            <w:pPr>
              <w:pStyle w:val="TableParagraph"/>
              <w:jc w:val="left"/>
              <w:rPr>
                <w:sz w:val="18"/>
              </w:rPr>
            </w:pPr>
          </w:p>
        </w:tc>
        <w:tc>
          <w:tcPr>
            <w:tcW w:w="1558" w:type="dxa"/>
          </w:tcPr>
          <w:p w:rsidR="007C5447" w:rsidRDefault="007C5447">
            <w:pPr>
              <w:pStyle w:val="TableParagraph"/>
              <w:jc w:val="left"/>
              <w:rPr>
                <w:sz w:val="18"/>
              </w:rPr>
            </w:pPr>
          </w:p>
        </w:tc>
        <w:tc>
          <w:tcPr>
            <w:tcW w:w="1530" w:type="dxa"/>
          </w:tcPr>
          <w:p w:rsidR="007C5447" w:rsidRDefault="00F6308C">
            <w:pPr>
              <w:pStyle w:val="TableParagraph"/>
              <w:spacing w:before="14" w:line="224" w:lineRule="exact"/>
              <w:ind w:right="91"/>
              <w:rPr>
                <w:sz w:val="20"/>
              </w:rPr>
            </w:pPr>
            <w:r>
              <w:rPr>
                <w:w w:val="95"/>
                <w:sz w:val="20"/>
              </w:rPr>
              <w:t>7,291.00</w:t>
            </w:r>
          </w:p>
        </w:tc>
        <w:tc>
          <w:tcPr>
            <w:tcW w:w="1565" w:type="dxa"/>
          </w:tcPr>
          <w:p w:rsidR="007C5447" w:rsidRDefault="00F6308C">
            <w:pPr>
              <w:pStyle w:val="TableParagraph"/>
              <w:spacing w:before="14" w:line="224" w:lineRule="exact"/>
              <w:ind w:right="93"/>
              <w:rPr>
                <w:sz w:val="20"/>
              </w:rPr>
            </w:pPr>
            <w:r>
              <w:rPr>
                <w:sz w:val="20"/>
              </w:rPr>
              <w:t>5.14</w:t>
            </w:r>
          </w:p>
        </w:tc>
      </w:tr>
      <w:tr w:rsidR="007C5447">
        <w:trPr>
          <w:trHeight w:val="261"/>
        </w:trPr>
        <w:tc>
          <w:tcPr>
            <w:tcW w:w="4736" w:type="dxa"/>
            <w:tcBorders>
              <w:left w:val="single" w:sz="8" w:space="0" w:color="000000"/>
            </w:tcBorders>
          </w:tcPr>
          <w:p w:rsidR="007C5447" w:rsidRDefault="00F6308C">
            <w:pPr>
              <w:pStyle w:val="TableParagraph"/>
              <w:spacing w:before="14" w:line="227" w:lineRule="exact"/>
              <w:ind w:left="107"/>
              <w:jc w:val="left"/>
              <w:rPr>
                <w:sz w:val="20"/>
              </w:rPr>
            </w:pPr>
            <w:r>
              <w:rPr>
                <w:sz w:val="20"/>
              </w:rPr>
              <w:t>UI</w:t>
            </w:r>
          </w:p>
        </w:tc>
        <w:tc>
          <w:tcPr>
            <w:tcW w:w="1668" w:type="dxa"/>
          </w:tcPr>
          <w:p w:rsidR="007C5447" w:rsidRDefault="00F6308C">
            <w:pPr>
              <w:pStyle w:val="TableParagraph"/>
              <w:spacing w:before="14" w:line="227" w:lineRule="exact"/>
              <w:ind w:right="90"/>
              <w:rPr>
                <w:sz w:val="20"/>
              </w:rPr>
            </w:pPr>
            <w:r>
              <w:rPr>
                <w:w w:val="95"/>
                <w:sz w:val="20"/>
              </w:rPr>
              <w:t>(230.76)</w:t>
            </w:r>
          </w:p>
        </w:tc>
        <w:tc>
          <w:tcPr>
            <w:tcW w:w="1560" w:type="dxa"/>
          </w:tcPr>
          <w:p w:rsidR="007C5447" w:rsidRDefault="007C5447">
            <w:pPr>
              <w:pStyle w:val="TableParagraph"/>
              <w:jc w:val="left"/>
              <w:rPr>
                <w:sz w:val="18"/>
              </w:rPr>
            </w:pPr>
          </w:p>
        </w:tc>
        <w:tc>
          <w:tcPr>
            <w:tcW w:w="1560" w:type="dxa"/>
          </w:tcPr>
          <w:p w:rsidR="007C5447" w:rsidRDefault="007C5447">
            <w:pPr>
              <w:pStyle w:val="TableParagraph"/>
              <w:jc w:val="left"/>
              <w:rPr>
                <w:sz w:val="18"/>
              </w:rPr>
            </w:pPr>
          </w:p>
        </w:tc>
        <w:tc>
          <w:tcPr>
            <w:tcW w:w="1558" w:type="dxa"/>
          </w:tcPr>
          <w:p w:rsidR="007C5447" w:rsidRDefault="007C5447">
            <w:pPr>
              <w:pStyle w:val="TableParagraph"/>
              <w:jc w:val="left"/>
              <w:rPr>
                <w:sz w:val="18"/>
              </w:rPr>
            </w:pPr>
          </w:p>
        </w:tc>
        <w:tc>
          <w:tcPr>
            <w:tcW w:w="1530" w:type="dxa"/>
          </w:tcPr>
          <w:p w:rsidR="007C5447" w:rsidRDefault="00F6308C">
            <w:pPr>
              <w:pStyle w:val="TableParagraph"/>
              <w:spacing w:before="14" w:line="227" w:lineRule="exact"/>
              <w:ind w:right="91"/>
              <w:rPr>
                <w:sz w:val="20"/>
              </w:rPr>
            </w:pPr>
            <w:r>
              <w:rPr>
                <w:w w:val="95"/>
                <w:sz w:val="20"/>
              </w:rPr>
              <w:t>(43.00)</w:t>
            </w:r>
          </w:p>
        </w:tc>
        <w:tc>
          <w:tcPr>
            <w:tcW w:w="1565" w:type="dxa"/>
          </w:tcPr>
          <w:p w:rsidR="007C5447" w:rsidRDefault="00F6308C">
            <w:pPr>
              <w:pStyle w:val="TableParagraph"/>
              <w:spacing w:before="14" w:line="227" w:lineRule="exact"/>
              <w:ind w:right="93"/>
              <w:rPr>
                <w:sz w:val="20"/>
              </w:rPr>
            </w:pPr>
            <w:r>
              <w:rPr>
                <w:sz w:val="20"/>
              </w:rPr>
              <w:t>1.86</w:t>
            </w:r>
          </w:p>
        </w:tc>
      </w:tr>
      <w:tr w:rsidR="007C5447">
        <w:trPr>
          <w:trHeight w:val="259"/>
        </w:trPr>
        <w:tc>
          <w:tcPr>
            <w:tcW w:w="4736" w:type="dxa"/>
            <w:tcBorders>
              <w:left w:val="single" w:sz="8" w:space="0" w:color="000000"/>
            </w:tcBorders>
          </w:tcPr>
          <w:p w:rsidR="007C5447" w:rsidRDefault="00F6308C">
            <w:pPr>
              <w:pStyle w:val="TableParagraph"/>
              <w:spacing w:before="15" w:line="224" w:lineRule="exact"/>
              <w:ind w:left="107"/>
              <w:jc w:val="left"/>
              <w:rPr>
                <w:sz w:val="20"/>
              </w:rPr>
            </w:pPr>
            <w:r>
              <w:rPr>
                <w:sz w:val="20"/>
              </w:rPr>
              <w:t>STOA</w:t>
            </w:r>
          </w:p>
        </w:tc>
        <w:tc>
          <w:tcPr>
            <w:tcW w:w="1668" w:type="dxa"/>
          </w:tcPr>
          <w:p w:rsidR="007C5447" w:rsidRDefault="00F6308C">
            <w:pPr>
              <w:pStyle w:val="TableParagraph"/>
              <w:spacing w:before="15" w:line="224" w:lineRule="exact"/>
              <w:ind w:right="91"/>
              <w:rPr>
                <w:sz w:val="20"/>
              </w:rPr>
            </w:pPr>
            <w:r>
              <w:rPr>
                <w:w w:val="95"/>
                <w:sz w:val="20"/>
              </w:rPr>
              <w:t>3,428.52</w:t>
            </w:r>
          </w:p>
        </w:tc>
        <w:tc>
          <w:tcPr>
            <w:tcW w:w="1560" w:type="dxa"/>
          </w:tcPr>
          <w:p w:rsidR="007C5447" w:rsidRDefault="007C5447">
            <w:pPr>
              <w:pStyle w:val="TableParagraph"/>
              <w:jc w:val="left"/>
              <w:rPr>
                <w:sz w:val="18"/>
              </w:rPr>
            </w:pPr>
          </w:p>
        </w:tc>
        <w:tc>
          <w:tcPr>
            <w:tcW w:w="1560" w:type="dxa"/>
          </w:tcPr>
          <w:p w:rsidR="007C5447" w:rsidRDefault="007C5447">
            <w:pPr>
              <w:pStyle w:val="TableParagraph"/>
              <w:jc w:val="left"/>
              <w:rPr>
                <w:sz w:val="18"/>
              </w:rPr>
            </w:pPr>
          </w:p>
        </w:tc>
        <w:tc>
          <w:tcPr>
            <w:tcW w:w="1558" w:type="dxa"/>
          </w:tcPr>
          <w:p w:rsidR="007C5447" w:rsidRDefault="007C5447">
            <w:pPr>
              <w:pStyle w:val="TableParagraph"/>
              <w:jc w:val="left"/>
              <w:rPr>
                <w:sz w:val="18"/>
              </w:rPr>
            </w:pPr>
          </w:p>
        </w:tc>
        <w:tc>
          <w:tcPr>
            <w:tcW w:w="1530" w:type="dxa"/>
          </w:tcPr>
          <w:p w:rsidR="007C5447" w:rsidRDefault="00F6308C">
            <w:pPr>
              <w:pStyle w:val="TableParagraph"/>
              <w:spacing w:before="15" w:line="224" w:lineRule="exact"/>
              <w:ind w:right="91"/>
              <w:rPr>
                <w:sz w:val="20"/>
              </w:rPr>
            </w:pPr>
            <w:r>
              <w:rPr>
                <w:w w:val="95"/>
                <w:sz w:val="20"/>
              </w:rPr>
              <w:t>1,731.60</w:t>
            </w:r>
          </w:p>
        </w:tc>
        <w:tc>
          <w:tcPr>
            <w:tcW w:w="1565" w:type="dxa"/>
          </w:tcPr>
          <w:p w:rsidR="007C5447" w:rsidRDefault="00F6308C">
            <w:pPr>
              <w:pStyle w:val="TableParagraph"/>
              <w:spacing w:before="15" w:line="224" w:lineRule="exact"/>
              <w:ind w:right="93"/>
              <w:rPr>
                <w:sz w:val="20"/>
              </w:rPr>
            </w:pPr>
            <w:r>
              <w:rPr>
                <w:sz w:val="20"/>
              </w:rPr>
              <w:t>5.05</w:t>
            </w:r>
          </w:p>
        </w:tc>
      </w:tr>
      <w:tr w:rsidR="007C5447">
        <w:trPr>
          <w:trHeight w:val="280"/>
        </w:trPr>
        <w:tc>
          <w:tcPr>
            <w:tcW w:w="4736" w:type="dxa"/>
            <w:tcBorders>
              <w:left w:val="single" w:sz="8" w:space="0" w:color="000000"/>
            </w:tcBorders>
          </w:tcPr>
          <w:p w:rsidR="007C5447" w:rsidRDefault="00F6308C">
            <w:pPr>
              <w:pStyle w:val="TableParagraph"/>
              <w:spacing w:before="26"/>
              <w:ind w:left="107"/>
              <w:jc w:val="left"/>
              <w:rPr>
                <w:b/>
                <w:sz w:val="20"/>
              </w:rPr>
            </w:pPr>
            <w:r>
              <w:rPr>
                <w:b/>
                <w:sz w:val="20"/>
              </w:rPr>
              <w:t>Total Other Sources</w:t>
            </w:r>
          </w:p>
        </w:tc>
        <w:tc>
          <w:tcPr>
            <w:tcW w:w="1668" w:type="dxa"/>
          </w:tcPr>
          <w:p w:rsidR="007C5447" w:rsidRDefault="00F6308C">
            <w:pPr>
              <w:pStyle w:val="TableParagraph"/>
              <w:spacing w:before="26"/>
              <w:ind w:right="92"/>
              <w:rPr>
                <w:b/>
                <w:sz w:val="20"/>
              </w:rPr>
            </w:pPr>
            <w:r>
              <w:rPr>
                <w:b/>
                <w:w w:val="95"/>
                <w:sz w:val="20"/>
              </w:rPr>
              <w:t>17,381.76</w:t>
            </w:r>
          </w:p>
        </w:tc>
        <w:tc>
          <w:tcPr>
            <w:tcW w:w="1560"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F6308C">
            <w:pPr>
              <w:pStyle w:val="TableParagraph"/>
              <w:spacing w:before="26"/>
              <w:ind w:right="91"/>
              <w:rPr>
                <w:b/>
                <w:sz w:val="20"/>
              </w:rPr>
            </w:pPr>
            <w:r>
              <w:rPr>
                <w:b/>
                <w:w w:val="95"/>
                <w:sz w:val="20"/>
              </w:rPr>
              <w:t>8,979.60</w:t>
            </w:r>
          </w:p>
        </w:tc>
        <w:tc>
          <w:tcPr>
            <w:tcW w:w="1565" w:type="dxa"/>
          </w:tcPr>
          <w:p w:rsidR="007C5447" w:rsidRDefault="00F6308C">
            <w:pPr>
              <w:pStyle w:val="TableParagraph"/>
              <w:spacing w:before="26"/>
              <w:ind w:right="93"/>
              <w:rPr>
                <w:b/>
                <w:sz w:val="20"/>
              </w:rPr>
            </w:pPr>
            <w:r>
              <w:rPr>
                <w:b/>
                <w:sz w:val="20"/>
              </w:rPr>
              <w:t>5.17</w:t>
            </w:r>
          </w:p>
        </w:tc>
      </w:tr>
      <w:tr w:rsidR="007C5447">
        <w:trPr>
          <w:trHeight w:val="282"/>
        </w:trPr>
        <w:tc>
          <w:tcPr>
            <w:tcW w:w="4736" w:type="dxa"/>
            <w:tcBorders>
              <w:left w:val="single" w:sz="8" w:space="0" w:color="000000"/>
            </w:tcBorders>
          </w:tcPr>
          <w:p w:rsidR="007C5447" w:rsidRDefault="00F6308C">
            <w:pPr>
              <w:pStyle w:val="TableParagraph"/>
              <w:spacing w:before="26"/>
              <w:ind w:left="107"/>
              <w:jc w:val="left"/>
              <w:rPr>
                <w:b/>
                <w:sz w:val="20"/>
              </w:rPr>
            </w:pPr>
            <w:r>
              <w:rPr>
                <w:b/>
                <w:sz w:val="20"/>
              </w:rPr>
              <w:t>Gross Power Purchase</w:t>
            </w:r>
          </w:p>
        </w:tc>
        <w:tc>
          <w:tcPr>
            <w:tcW w:w="1668" w:type="dxa"/>
          </w:tcPr>
          <w:p w:rsidR="007C5447" w:rsidRDefault="00F6308C">
            <w:pPr>
              <w:pStyle w:val="TableParagraph"/>
              <w:spacing w:before="26"/>
              <w:ind w:right="93"/>
              <w:rPr>
                <w:b/>
                <w:sz w:val="20"/>
              </w:rPr>
            </w:pPr>
            <w:r>
              <w:rPr>
                <w:b/>
                <w:w w:val="95"/>
                <w:sz w:val="20"/>
              </w:rPr>
              <w:t>81,879.07</w:t>
            </w:r>
          </w:p>
        </w:tc>
        <w:tc>
          <w:tcPr>
            <w:tcW w:w="1560" w:type="dxa"/>
          </w:tcPr>
          <w:p w:rsidR="007C5447" w:rsidRDefault="007C5447">
            <w:pPr>
              <w:pStyle w:val="TableParagraph"/>
              <w:jc w:val="left"/>
              <w:rPr>
                <w:sz w:val="20"/>
              </w:rPr>
            </w:pPr>
          </w:p>
        </w:tc>
        <w:tc>
          <w:tcPr>
            <w:tcW w:w="1560" w:type="dxa"/>
          </w:tcPr>
          <w:p w:rsidR="007C5447" w:rsidRDefault="00F6308C">
            <w:pPr>
              <w:pStyle w:val="TableParagraph"/>
              <w:spacing w:before="26"/>
              <w:ind w:right="93"/>
              <w:rPr>
                <w:b/>
                <w:sz w:val="20"/>
              </w:rPr>
            </w:pPr>
            <w:r>
              <w:rPr>
                <w:b/>
                <w:w w:val="95"/>
                <w:sz w:val="20"/>
              </w:rPr>
              <w:t>26,012.12</w:t>
            </w:r>
          </w:p>
        </w:tc>
        <w:tc>
          <w:tcPr>
            <w:tcW w:w="1558" w:type="dxa"/>
          </w:tcPr>
          <w:p w:rsidR="007C5447" w:rsidRDefault="00F6308C">
            <w:pPr>
              <w:pStyle w:val="TableParagraph"/>
              <w:spacing w:before="26"/>
              <w:ind w:right="93"/>
              <w:rPr>
                <w:b/>
                <w:sz w:val="20"/>
              </w:rPr>
            </w:pPr>
            <w:r>
              <w:rPr>
                <w:b/>
                <w:sz w:val="20"/>
              </w:rPr>
              <w:t>3.18</w:t>
            </w:r>
          </w:p>
        </w:tc>
        <w:tc>
          <w:tcPr>
            <w:tcW w:w="1530" w:type="dxa"/>
          </w:tcPr>
          <w:p w:rsidR="007C5447" w:rsidRDefault="00F6308C">
            <w:pPr>
              <w:pStyle w:val="TableParagraph"/>
              <w:spacing w:before="26"/>
              <w:ind w:right="93"/>
              <w:rPr>
                <w:b/>
                <w:sz w:val="20"/>
              </w:rPr>
            </w:pPr>
            <w:r>
              <w:rPr>
                <w:b/>
                <w:w w:val="95"/>
                <w:sz w:val="20"/>
              </w:rPr>
              <w:t>34,671.12</w:t>
            </w:r>
          </w:p>
        </w:tc>
        <w:tc>
          <w:tcPr>
            <w:tcW w:w="1565" w:type="dxa"/>
          </w:tcPr>
          <w:p w:rsidR="007C5447" w:rsidRDefault="00F6308C">
            <w:pPr>
              <w:pStyle w:val="TableParagraph"/>
              <w:spacing w:before="26"/>
              <w:ind w:right="93"/>
              <w:rPr>
                <w:b/>
                <w:sz w:val="20"/>
              </w:rPr>
            </w:pPr>
            <w:r>
              <w:rPr>
                <w:b/>
                <w:sz w:val="20"/>
              </w:rPr>
              <w:t>4.23</w:t>
            </w:r>
          </w:p>
        </w:tc>
      </w:tr>
    </w:tbl>
    <w:p w:rsidR="007C5447" w:rsidRDefault="007C5447">
      <w:pPr>
        <w:rPr>
          <w:sz w:val="20"/>
        </w:rPr>
        <w:sectPr w:rsidR="007C5447">
          <w:pgSz w:w="16840" w:h="11910" w:orient="landscape"/>
          <w:pgMar w:top="1100" w:right="1220" w:bottom="960" w:left="1220" w:header="0" w:footer="777" w:gutter="0"/>
          <w:cols w:space="720"/>
        </w:sectPr>
      </w:pPr>
    </w:p>
    <w:p w:rsidR="007C5447" w:rsidRDefault="007C5447">
      <w:pPr>
        <w:pStyle w:val="BodyText"/>
        <w:spacing w:before="3"/>
        <w:rPr>
          <w:sz w:val="2"/>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36"/>
        <w:gridCol w:w="1668"/>
        <w:gridCol w:w="1560"/>
        <w:gridCol w:w="1560"/>
        <w:gridCol w:w="1558"/>
        <w:gridCol w:w="1530"/>
        <w:gridCol w:w="1565"/>
      </w:tblGrid>
      <w:tr w:rsidR="007C5447">
        <w:trPr>
          <w:trHeight w:val="283"/>
        </w:trPr>
        <w:tc>
          <w:tcPr>
            <w:tcW w:w="4736" w:type="dxa"/>
            <w:vMerge w:val="restart"/>
            <w:shd w:val="clear" w:color="auto" w:fill="FBD4B4"/>
          </w:tcPr>
          <w:p w:rsidR="007C5447" w:rsidRDefault="007C5447">
            <w:pPr>
              <w:pStyle w:val="TableParagraph"/>
              <w:jc w:val="left"/>
            </w:pPr>
          </w:p>
          <w:p w:rsidR="007C5447" w:rsidRDefault="00F6308C">
            <w:pPr>
              <w:pStyle w:val="TableParagraph"/>
              <w:spacing w:before="158"/>
              <w:ind w:left="1723" w:right="1710"/>
              <w:jc w:val="center"/>
              <w:rPr>
                <w:b/>
                <w:sz w:val="20"/>
              </w:rPr>
            </w:pPr>
            <w:r>
              <w:rPr>
                <w:b/>
                <w:sz w:val="20"/>
              </w:rPr>
              <w:t>Source</w:t>
            </w:r>
          </w:p>
        </w:tc>
        <w:tc>
          <w:tcPr>
            <w:tcW w:w="9441" w:type="dxa"/>
            <w:gridSpan w:val="6"/>
            <w:shd w:val="clear" w:color="auto" w:fill="FBD4B4"/>
          </w:tcPr>
          <w:p w:rsidR="007C5447" w:rsidRDefault="00F6308C">
            <w:pPr>
              <w:pStyle w:val="TableParagraph"/>
              <w:spacing w:before="39" w:line="224" w:lineRule="exact"/>
              <w:ind w:left="4205" w:right="4192"/>
              <w:jc w:val="center"/>
              <w:rPr>
                <w:b/>
                <w:sz w:val="20"/>
              </w:rPr>
            </w:pPr>
            <w:r>
              <w:rPr>
                <w:b/>
                <w:sz w:val="20"/>
              </w:rPr>
              <w:t>FY 2015-16</w:t>
            </w:r>
          </w:p>
        </w:tc>
      </w:tr>
      <w:tr w:rsidR="007C5447">
        <w:trPr>
          <w:trHeight w:val="757"/>
        </w:trPr>
        <w:tc>
          <w:tcPr>
            <w:tcW w:w="4736" w:type="dxa"/>
            <w:vMerge/>
            <w:tcBorders>
              <w:top w:val="nil"/>
            </w:tcBorders>
            <w:shd w:val="clear" w:color="auto" w:fill="FBD4B4"/>
          </w:tcPr>
          <w:p w:rsidR="007C5447" w:rsidRDefault="007C5447">
            <w:pPr>
              <w:rPr>
                <w:sz w:val="2"/>
                <w:szCs w:val="2"/>
              </w:rPr>
            </w:pPr>
          </w:p>
        </w:tc>
        <w:tc>
          <w:tcPr>
            <w:tcW w:w="1668" w:type="dxa"/>
            <w:shd w:val="clear" w:color="auto" w:fill="FBD4B4"/>
          </w:tcPr>
          <w:p w:rsidR="007C5447" w:rsidRDefault="007C5447">
            <w:pPr>
              <w:pStyle w:val="TableParagraph"/>
              <w:spacing w:before="11"/>
              <w:jc w:val="left"/>
            </w:pPr>
          </w:p>
          <w:p w:rsidR="007C5447" w:rsidRDefault="00F6308C">
            <w:pPr>
              <w:pStyle w:val="TableParagraph"/>
              <w:ind w:right="148"/>
              <w:rPr>
                <w:b/>
                <w:sz w:val="20"/>
              </w:rPr>
            </w:pPr>
            <w:r>
              <w:rPr>
                <w:b/>
                <w:sz w:val="20"/>
              </w:rPr>
              <w:t>Quantum (MU)</w:t>
            </w:r>
          </w:p>
        </w:tc>
        <w:tc>
          <w:tcPr>
            <w:tcW w:w="1560" w:type="dxa"/>
            <w:shd w:val="clear" w:color="auto" w:fill="FBD4B4"/>
          </w:tcPr>
          <w:p w:rsidR="007C5447" w:rsidRDefault="00F6308C">
            <w:pPr>
              <w:pStyle w:val="TableParagraph"/>
              <w:spacing w:before="149"/>
              <w:ind w:left="415" w:right="126" w:hanging="250"/>
              <w:jc w:val="left"/>
              <w:rPr>
                <w:b/>
                <w:sz w:val="20"/>
              </w:rPr>
            </w:pPr>
            <w:r>
              <w:rPr>
                <w:b/>
                <w:sz w:val="20"/>
              </w:rPr>
              <w:t>Fixed Charges (Rs. Cr.)</w:t>
            </w:r>
          </w:p>
        </w:tc>
        <w:tc>
          <w:tcPr>
            <w:tcW w:w="1560" w:type="dxa"/>
            <w:shd w:val="clear" w:color="auto" w:fill="FBD4B4"/>
          </w:tcPr>
          <w:p w:rsidR="007C5447" w:rsidRDefault="00F6308C">
            <w:pPr>
              <w:pStyle w:val="TableParagraph"/>
              <w:spacing w:before="149"/>
              <w:ind w:left="300" w:right="92" w:hanging="168"/>
              <w:jc w:val="left"/>
              <w:rPr>
                <w:b/>
                <w:sz w:val="20"/>
              </w:rPr>
            </w:pPr>
            <w:r>
              <w:rPr>
                <w:b/>
                <w:sz w:val="20"/>
              </w:rPr>
              <w:t>Energy Charge (Rs. Crore)</w:t>
            </w:r>
          </w:p>
        </w:tc>
        <w:tc>
          <w:tcPr>
            <w:tcW w:w="1558" w:type="dxa"/>
            <w:shd w:val="clear" w:color="auto" w:fill="FBD4B4"/>
          </w:tcPr>
          <w:p w:rsidR="007C5447" w:rsidRDefault="00F6308C">
            <w:pPr>
              <w:pStyle w:val="TableParagraph"/>
              <w:spacing w:before="149"/>
              <w:ind w:left="362" w:right="93" w:hanging="233"/>
              <w:jc w:val="left"/>
              <w:rPr>
                <w:b/>
                <w:sz w:val="20"/>
              </w:rPr>
            </w:pPr>
            <w:r>
              <w:rPr>
                <w:b/>
                <w:sz w:val="20"/>
              </w:rPr>
              <w:t>Energy Charge (Rs./Unit)</w:t>
            </w:r>
          </w:p>
        </w:tc>
        <w:tc>
          <w:tcPr>
            <w:tcW w:w="1530" w:type="dxa"/>
            <w:shd w:val="clear" w:color="auto" w:fill="FBD4B4"/>
          </w:tcPr>
          <w:p w:rsidR="007C5447" w:rsidRDefault="00F6308C">
            <w:pPr>
              <w:pStyle w:val="TableParagraph"/>
              <w:spacing w:before="149"/>
              <w:ind w:left="425" w:right="284" w:hanging="104"/>
              <w:jc w:val="left"/>
              <w:rPr>
                <w:b/>
                <w:sz w:val="20"/>
              </w:rPr>
            </w:pPr>
            <w:r>
              <w:rPr>
                <w:b/>
                <w:sz w:val="20"/>
              </w:rPr>
              <w:t>Total Cost (Rs. Cr)</w:t>
            </w:r>
          </w:p>
        </w:tc>
        <w:tc>
          <w:tcPr>
            <w:tcW w:w="1565" w:type="dxa"/>
            <w:shd w:val="clear" w:color="auto" w:fill="FBD4B4"/>
          </w:tcPr>
          <w:p w:rsidR="007C5447" w:rsidRDefault="007C5447">
            <w:pPr>
              <w:pStyle w:val="TableParagraph"/>
              <w:spacing w:before="11"/>
              <w:jc w:val="left"/>
            </w:pPr>
          </w:p>
          <w:p w:rsidR="007C5447" w:rsidRDefault="00F6308C">
            <w:pPr>
              <w:pStyle w:val="TableParagraph"/>
              <w:ind w:right="129"/>
              <w:rPr>
                <w:b/>
                <w:sz w:val="20"/>
              </w:rPr>
            </w:pPr>
            <w:r>
              <w:rPr>
                <w:b/>
                <w:sz w:val="20"/>
              </w:rPr>
              <w:t>Rate (Rs/kWh)</w:t>
            </w:r>
          </w:p>
        </w:tc>
      </w:tr>
      <w:tr w:rsidR="007C5447">
        <w:trPr>
          <w:trHeight w:val="280"/>
        </w:trPr>
        <w:tc>
          <w:tcPr>
            <w:tcW w:w="4736" w:type="dxa"/>
            <w:tcBorders>
              <w:left w:val="single" w:sz="8" w:space="0" w:color="000000"/>
            </w:tcBorders>
          </w:tcPr>
          <w:p w:rsidR="007C5447" w:rsidRDefault="00F6308C">
            <w:pPr>
              <w:pStyle w:val="TableParagraph"/>
              <w:spacing w:before="26"/>
              <w:ind w:left="107"/>
              <w:jc w:val="left"/>
              <w:rPr>
                <w:b/>
                <w:sz w:val="20"/>
              </w:rPr>
            </w:pPr>
            <w:r>
              <w:rPr>
                <w:b/>
                <w:sz w:val="20"/>
              </w:rPr>
              <w:t>PGCIL Charges</w:t>
            </w:r>
          </w:p>
        </w:tc>
        <w:tc>
          <w:tcPr>
            <w:tcW w:w="1668"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7C5447">
            <w:pPr>
              <w:pStyle w:val="TableParagraph"/>
              <w:jc w:val="left"/>
              <w:rPr>
                <w:sz w:val="20"/>
              </w:rPr>
            </w:pPr>
          </w:p>
        </w:tc>
        <w:tc>
          <w:tcPr>
            <w:tcW w:w="1565" w:type="dxa"/>
          </w:tcPr>
          <w:p w:rsidR="007C5447" w:rsidRDefault="007C5447">
            <w:pPr>
              <w:pStyle w:val="TableParagraph"/>
              <w:jc w:val="left"/>
              <w:rPr>
                <w:sz w:val="20"/>
              </w:rPr>
            </w:pPr>
          </w:p>
        </w:tc>
      </w:tr>
      <w:tr w:rsidR="007C5447">
        <w:trPr>
          <w:trHeight w:val="282"/>
        </w:trPr>
        <w:tc>
          <w:tcPr>
            <w:tcW w:w="4736" w:type="dxa"/>
            <w:tcBorders>
              <w:left w:val="single" w:sz="8" w:space="0" w:color="000000"/>
            </w:tcBorders>
          </w:tcPr>
          <w:p w:rsidR="007C5447" w:rsidRDefault="00F6308C">
            <w:pPr>
              <w:pStyle w:val="TableParagraph"/>
              <w:spacing w:before="26"/>
              <w:ind w:left="107"/>
              <w:jc w:val="left"/>
              <w:rPr>
                <w:i/>
                <w:sz w:val="20"/>
              </w:rPr>
            </w:pPr>
            <w:r>
              <w:rPr>
                <w:i/>
                <w:sz w:val="20"/>
              </w:rPr>
              <w:t>PGCIL SR and ER wheeling</w:t>
            </w:r>
          </w:p>
        </w:tc>
        <w:tc>
          <w:tcPr>
            <w:tcW w:w="1668"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F6308C">
            <w:pPr>
              <w:pStyle w:val="TableParagraph"/>
              <w:spacing w:before="26"/>
              <w:ind w:right="93"/>
              <w:rPr>
                <w:sz w:val="20"/>
              </w:rPr>
            </w:pPr>
            <w:r>
              <w:rPr>
                <w:w w:val="95"/>
                <w:sz w:val="20"/>
              </w:rPr>
              <w:t>900.00</w:t>
            </w:r>
          </w:p>
        </w:tc>
        <w:tc>
          <w:tcPr>
            <w:tcW w:w="1565" w:type="dxa"/>
          </w:tcPr>
          <w:p w:rsidR="007C5447" w:rsidRDefault="007C5447">
            <w:pPr>
              <w:pStyle w:val="TableParagraph"/>
              <w:jc w:val="left"/>
              <w:rPr>
                <w:sz w:val="20"/>
              </w:rPr>
            </w:pPr>
          </w:p>
        </w:tc>
      </w:tr>
      <w:tr w:rsidR="007C5447">
        <w:trPr>
          <w:trHeight w:val="280"/>
        </w:trPr>
        <w:tc>
          <w:tcPr>
            <w:tcW w:w="4736" w:type="dxa"/>
            <w:tcBorders>
              <w:left w:val="single" w:sz="8" w:space="0" w:color="000000"/>
            </w:tcBorders>
          </w:tcPr>
          <w:p w:rsidR="007C5447" w:rsidRDefault="00F6308C">
            <w:pPr>
              <w:pStyle w:val="TableParagraph"/>
              <w:spacing w:before="24"/>
              <w:ind w:left="107"/>
              <w:jc w:val="left"/>
              <w:rPr>
                <w:i/>
                <w:sz w:val="20"/>
              </w:rPr>
            </w:pPr>
            <w:r>
              <w:rPr>
                <w:i/>
                <w:sz w:val="20"/>
              </w:rPr>
              <w:t>PGCIL- Reactive energy</w:t>
            </w:r>
          </w:p>
        </w:tc>
        <w:tc>
          <w:tcPr>
            <w:tcW w:w="1668"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7C5447">
            <w:pPr>
              <w:pStyle w:val="TableParagraph"/>
              <w:jc w:val="left"/>
              <w:rPr>
                <w:sz w:val="20"/>
              </w:rPr>
            </w:pPr>
          </w:p>
        </w:tc>
        <w:tc>
          <w:tcPr>
            <w:tcW w:w="1565" w:type="dxa"/>
          </w:tcPr>
          <w:p w:rsidR="007C5447" w:rsidRDefault="007C5447">
            <w:pPr>
              <w:pStyle w:val="TableParagraph"/>
              <w:jc w:val="left"/>
              <w:rPr>
                <w:sz w:val="20"/>
              </w:rPr>
            </w:pPr>
          </w:p>
        </w:tc>
      </w:tr>
      <w:tr w:rsidR="007C5447">
        <w:trPr>
          <w:trHeight w:val="280"/>
        </w:trPr>
        <w:tc>
          <w:tcPr>
            <w:tcW w:w="4736" w:type="dxa"/>
            <w:tcBorders>
              <w:left w:val="single" w:sz="8" w:space="0" w:color="000000"/>
            </w:tcBorders>
          </w:tcPr>
          <w:p w:rsidR="007C5447" w:rsidRDefault="00F6308C">
            <w:pPr>
              <w:pStyle w:val="TableParagraph"/>
              <w:spacing w:before="26"/>
              <w:ind w:left="107"/>
              <w:jc w:val="left"/>
              <w:rPr>
                <w:b/>
                <w:sz w:val="20"/>
              </w:rPr>
            </w:pPr>
            <w:r>
              <w:rPr>
                <w:b/>
                <w:sz w:val="20"/>
              </w:rPr>
              <w:t>Total PGCIL charges</w:t>
            </w:r>
          </w:p>
        </w:tc>
        <w:tc>
          <w:tcPr>
            <w:tcW w:w="1668" w:type="dxa"/>
          </w:tcPr>
          <w:p w:rsidR="007C5447" w:rsidRDefault="00F6308C">
            <w:pPr>
              <w:pStyle w:val="TableParagraph"/>
              <w:spacing w:before="26"/>
              <w:ind w:right="92"/>
              <w:rPr>
                <w:b/>
                <w:sz w:val="20"/>
              </w:rPr>
            </w:pPr>
            <w:r>
              <w:rPr>
                <w:b/>
                <w:w w:val="99"/>
                <w:sz w:val="20"/>
              </w:rPr>
              <w:t>-</w:t>
            </w:r>
          </w:p>
        </w:tc>
        <w:tc>
          <w:tcPr>
            <w:tcW w:w="1560"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F6308C">
            <w:pPr>
              <w:pStyle w:val="TableParagraph"/>
              <w:spacing w:before="26"/>
              <w:ind w:right="93"/>
              <w:rPr>
                <w:b/>
                <w:sz w:val="20"/>
              </w:rPr>
            </w:pPr>
            <w:r>
              <w:rPr>
                <w:b/>
                <w:w w:val="95"/>
                <w:sz w:val="20"/>
              </w:rPr>
              <w:t>900.00</w:t>
            </w:r>
          </w:p>
        </w:tc>
        <w:tc>
          <w:tcPr>
            <w:tcW w:w="1565" w:type="dxa"/>
          </w:tcPr>
          <w:p w:rsidR="007C5447" w:rsidRDefault="00F6308C">
            <w:pPr>
              <w:pStyle w:val="TableParagraph"/>
              <w:spacing w:before="26"/>
              <w:ind w:right="92"/>
              <w:rPr>
                <w:b/>
                <w:sz w:val="20"/>
              </w:rPr>
            </w:pPr>
            <w:r>
              <w:rPr>
                <w:b/>
                <w:w w:val="99"/>
                <w:sz w:val="20"/>
              </w:rPr>
              <w:t>-</w:t>
            </w:r>
          </w:p>
        </w:tc>
      </w:tr>
      <w:tr w:rsidR="007C5447">
        <w:trPr>
          <w:trHeight w:val="280"/>
        </w:trPr>
        <w:tc>
          <w:tcPr>
            <w:tcW w:w="4736" w:type="dxa"/>
            <w:tcBorders>
              <w:left w:val="single" w:sz="8" w:space="0" w:color="000000"/>
            </w:tcBorders>
          </w:tcPr>
          <w:p w:rsidR="007C5447" w:rsidRDefault="00F6308C">
            <w:pPr>
              <w:pStyle w:val="TableParagraph"/>
              <w:spacing w:before="26"/>
              <w:ind w:left="107"/>
              <w:jc w:val="left"/>
              <w:rPr>
                <w:b/>
                <w:sz w:val="20"/>
              </w:rPr>
            </w:pPr>
            <w:r>
              <w:rPr>
                <w:b/>
                <w:sz w:val="20"/>
              </w:rPr>
              <w:t>TANTRANSCO Charges</w:t>
            </w:r>
          </w:p>
        </w:tc>
        <w:tc>
          <w:tcPr>
            <w:tcW w:w="1668"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58" w:type="dxa"/>
          </w:tcPr>
          <w:p w:rsidR="007C5447" w:rsidRDefault="007C5447">
            <w:pPr>
              <w:pStyle w:val="TableParagraph"/>
              <w:jc w:val="left"/>
              <w:rPr>
                <w:sz w:val="20"/>
              </w:rPr>
            </w:pPr>
          </w:p>
        </w:tc>
        <w:tc>
          <w:tcPr>
            <w:tcW w:w="1530" w:type="dxa"/>
          </w:tcPr>
          <w:p w:rsidR="007C5447" w:rsidRDefault="00F6308C">
            <w:pPr>
              <w:pStyle w:val="TableParagraph"/>
              <w:spacing w:before="26"/>
              <w:ind w:right="91"/>
              <w:rPr>
                <w:b/>
                <w:sz w:val="20"/>
              </w:rPr>
            </w:pPr>
            <w:r>
              <w:rPr>
                <w:b/>
                <w:w w:val="95"/>
                <w:sz w:val="20"/>
              </w:rPr>
              <w:t>1,696.89</w:t>
            </w:r>
          </w:p>
        </w:tc>
        <w:tc>
          <w:tcPr>
            <w:tcW w:w="1565" w:type="dxa"/>
          </w:tcPr>
          <w:p w:rsidR="007C5447" w:rsidRDefault="007C5447">
            <w:pPr>
              <w:pStyle w:val="TableParagraph"/>
              <w:jc w:val="left"/>
              <w:rPr>
                <w:sz w:val="20"/>
              </w:rPr>
            </w:pPr>
          </w:p>
        </w:tc>
      </w:tr>
      <w:tr w:rsidR="007C5447">
        <w:trPr>
          <w:trHeight w:val="283"/>
        </w:trPr>
        <w:tc>
          <w:tcPr>
            <w:tcW w:w="4736" w:type="dxa"/>
            <w:tcBorders>
              <w:left w:val="single" w:sz="8" w:space="0" w:color="000000"/>
            </w:tcBorders>
          </w:tcPr>
          <w:p w:rsidR="007C5447" w:rsidRDefault="00F6308C">
            <w:pPr>
              <w:pStyle w:val="TableParagraph"/>
              <w:spacing w:before="27"/>
              <w:ind w:left="107"/>
              <w:jc w:val="left"/>
              <w:rPr>
                <w:b/>
                <w:sz w:val="20"/>
              </w:rPr>
            </w:pPr>
            <w:r>
              <w:rPr>
                <w:b/>
                <w:sz w:val="20"/>
              </w:rPr>
              <w:t>Total Power Purchase</w:t>
            </w:r>
          </w:p>
        </w:tc>
        <w:tc>
          <w:tcPr>
            <w:tcW w:w="1668" w:type="dxa"/>
          </w:tcPr>
          <w:p w:rsidR="007C5447" w:rsidRDefault="00F6308C">
            <w:pPr>
              <w:pStyle w:val="TableParagraph"/>
              <w:spacing w:before="27"/>
              <w:ind w:right="93"/>
              <w:rPr>
                <w:b/>
                <w:sz w:val="20"/>
              </w:rPr>
            </w:pPr>
            <w:r>
              <w:rPr>
                <w:b/>
                <w:w w:val="95"/>
                <w:sz w:val="20"/>
              </w:rPr>
              <w:t>81,879.07</w:t>
            </w:r>
          </w:p>
        </w:tc>
        <w:tc>
          <w:tcPr>
            <w:tcW w:w="1560" w:type="dxa"/>
          </w:tcPr>
          <w:p w:rsidR="007C5447" w:rsidRDefault="007C5447">
            <w:pPr>
              <w:pStyle w:val="TableParagraph"/>
              <w:jc w:val="left"/>
              <w:rPr>
                <w:sz w:val="20"/>
              </w:rPr>
            </w:pPr>
          </w:p>
        </w:tc>
        <w:tc>
          <w:tcPr>
            <w:tcW w:w="1560" w:type="dxa"/>
          </w:tcPr>
          <w:p w:rsidR="007C5447" w:rsidRDefault="007C5447">
            <w:pPr>
              <w:pStyle w:val="TableParagraph"/>
              <w:jc w:val="left"/>
              <w:rPr>
                <w:sz w:val="20"/>
              </w:rPr>
            </w:pPr>
          </w:p>
        </w:tc>
        <w:tc>
          <w:tcPr>
            <w:tcW w:w="1558" w:type="dxa"/>
          </w:tcPr>
          <w:p w:rsidR="007C5447" w:rsidRDefault="00F6308C">
            <w:pPr>
              <w:pStyle w:val="TableParagraph"/>
              <w:spacing w:before="27"/>
              <w:ind w:right="92"/>
              <w:rPr>
                <w:b/>
                <w:sz w:val="20"/>
              </w:rPr>
            </w:pPr>
            <w:r>
              <w:rPr>
                <w:b/>
                <w:w w:val="99"/>
                <w:sz w:val="20"/>
              </w:rPr>
              <w:t>-</w:t>
            </w:r>
          </w:p>
        </w:tc>
        <w:tc>
          <w:tcPr>
            <w:tcW w:w="1530" w:type="dxa"/>
          </w:tcPr>
          <w:p w:rsidR="007C5447" w:rsidRDefault="00F6308C">
            <w:pPr>
              <w:pStyle w:val="TableParagraph"/>
              <w:spacing w:before="27"/>
              <w:ind w:right="91"/>
              <w:rPr>
                <w:b/>
                <w:sz w:val="20"/>
              </w:rPr>
            </w:pPr>
            <w:r>
              <w:rPr>
                <w:b/>
                <w:w w:val="95"/>
                <w:sz w:val="20"/>
              </w:rPr>
              <w:t>37,268.01</w:t>
            </w:r>
          </w:p>
        </w:tc>
        <w:tc>
          <w:tcPr>
            <w:tcW w:w="1565" w:type="dxa"/>
          </w:tcPr>
          <w:p w:rsidR="007C5447" w:rsidRDefault="00F6308C">
            <w:pPr>
              <w:pStyle w:val="TableParagraph"/>
              <w:spacing w:before="27"/>
              <w:ind w:right="93"/>
              <w:rPr>
                <w:b/>
                <w:sz w:val="20"/>
              </w:rPr>
            </w:pPr>
            <w:r>
              <w:rPr>
                <w:b/>
                <w:sz w:val="20"/>
              </w:rPr>
              <w:t>4.55</w:t>
            </w:r>
          </w:p>
        </w:tc>
      </w:tr>
    </w:tbl>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rPr>
          <w:sz w:val="20"/>
        </w:rPr>
      </w:pPr>
    </w:p>
    <w:p w:rsidR="007C5447" w:rsidRDefault="007C5447">
      <w:pPr>
        <w:pStyle w:val="BodyText"/>
        <w:spacing w:before="8"/>
        <w:rPr>
          <w:sz w:val="18"/>
        </w:rPr>
      </w:pPr>
    </w:p>
    <w:p w:rsidR="007C5447" w:rsidRDefault="007C5447">
      <w:pPr>
        <w:rPr>
          <w:sz w:val="18"/>
        </w:rPr>
        <w:sectPr w:rsidR="007C5447">
          <w:pgSz w:w="16840" w:h="11910" w:orient="landscape"/>
          <w:pgMar w:top="1100" w:right="1220" w:bottom="960" w:left="1220" w:header="0" w:footer="777" w:gutter="0"/>
          <w:cols w:space="720"/>
        </w:sectPr>
      </w:pPr>
    </w:p>
    <w:p w:rsidR="007C5447" w:rsidRDefault="00F6308C">
      <w:pPr>
        <w:pStyle w:val="Heading2"/>
        <w:spacing w:before="90"/>
        <w:ind w:left="2252"/>
        <w:jc w:val="center"/>
      </w:pPr>
      <w:r>
        <w:t>Sd/-</w:t>
      </w:r>
    </w:p>
    <w:p w:rsidR="007C5447" w:rsidRDefault="00F6308C">
      <w:pPr>
        <w:spacing w:before="120" w:line="343" w:lineRule="auto"/>
        <w:ind w:left="2248"/>
        <w:jc w:val="center"/>
        <w:rPr>
          <w:b/>
          <w:sz w:val="24"/>
        </w:rPr>
      </w:pPr>
      <w:r>
        <w:rPr>
          <w:b/>
          <w:sz w:val="24"/>
        </w:rPr>
        <w:t>(Dr. T. Prabhakara Rao) Member</w:t>
      </w:r>
    </w:p>
    <w:p w:rsidR="007C5447" w:rsidRDefault="00F6308C">
      <w:pPr>
        <w:spacing w:before="90"/>
        <w:ind w:left="1540"/>
        <w:jc w:val="center"/>
        <w:rPr>
          <w:b/>
          <w:sz w:val="24"/>
        </w:rPr>
      </w:pPr>
      <w:r>
        <w:br w:type="column"/>
      </w:r>
      <w:r>
        <w:rPr>
          <w:b/>
          <w:sz w:val="24"/>
        </w:rPr>
        <w:t>Sd/-</w:t>
      </w:r>
    </w:p>
    <w:p w:rsidR="007C5447" w:rsidRDefault="00F6308C">
      <w:pPr>
        <w:spacing w:before="120" w:line="343" w:lineRule="auto"/>
        <w:ind w:left="1540"/>
        <w:jc w:val="center"/>
        <w:rPr>
          <w:b/>
          <w:sz w:val="24"/>
        </w:rPr>
      </w:pPr>
      <w:r>
        <w:rPr>
          <w:b/>
          <w:sz w:val="24"/>
        </w:rPr>
        <w:t>(</w:t>
      </w:r>
      <w:hyperlink r:id="rId84" w:anchor="M2">
        <w:r>
          <w:rPr>
            <w:b/>
            <w:sz w:val="24"/>
          </w:rPr>
          <w:t>G. Rajagopal</w:t>
        </w:r>
      </w:hyperlink>
      <w:r>
        <w:rPr>
          <w:b/>
          <w:sz w:val="24"/>
        </w:rPr>
        <w:t>) Member</w:t>
      </w:r>
    </w:p>
    <w:p w:rsidR="007C5447" w:rsidRDefault="00F6308C">
      <w:pPr>
        <w:spacing w:before="90"/>
        <w:ind w:left="1624" w:right="2823"/>
        <w:jc w:val="center"/>
        <w:rPr>
          <w:b/>
          <w:sz w:val="24"/>
        </w:rPr>
      </w:pPr>
      <w:r>
        <w:br w:type="column"/>
      </w:r>
      <w:r>
        <w:rPr>
          <w:b/>
          <w:sz w:val="24"/>
        </w:rPr>
        <w:t>Sd/-</w:t>
      </w:r>
    </w:p>
    <w:p w:rsidR="007C5447" w:rsidRDefault="00F6308C">
      <w:pPr>
        <w:spacing w:before="120" w:line="343" w:lineRule="auto"/>
        <w:ind w:left="1624" w:right="2830"/>
        <w:jc w:val="center"/>
        <w:rPr>
          <w:b/>
          <w:sz w:val="24"/>
        </w:rPr>
      </w:pPr>
      <w:r>
        <w:rPr>
          <w:b/>
          <w:sz w:val="24"/>
        </w:rPr>
        <w:t>(S. Akshayakumar) Chairman</w:t>
      </w:r>
    </w:p>
    <w:p w:rsidR="007C5447" w:rsidRDefault="007C5447">
      <w:pPr>
        <w:spacing w:line="343" w:lineRule="auto"/>
        <w:jc w:val="center"/>
        <w:rPr>
          <w:sz w:val="24"/>
        </w:rPr>
        <w:sectPr w:rsidR="007C5447">
          <w:type w:val="continuous"/>
          <w:pgSz w:w="16840" w:h="11910" w:orient="landscape"/>
          <w:pgMar w:top="1580" w:right="1220" w:bottom="1580" w:left="1220" w:header="720" w:footer="720" w:gutter="0"/>
          <w:cols w:num="3" w:space="720" w:equalWidth="0">
            <w:col w:w="4802" w:space="40"/>
            <w:col w:w="3061" w:space="39"/>
            <w:col w:w="6458"/>
          </w:cols>
        </w:sectPr>
      </w:pPr>
    </w:p>
    <w:p w:rsidR="007C5447" w:rsidRDefault="007C5447">
      <w:pPr>
        <w:pStyle w:val="BodyText"/>
        <w:rPr>
          <w:b/>
          <w:sz w:val="20"/>
        </w:rPr>
      </w:pPr>
    </w:p>
    <w:p w:rsidR="007C5447" w:rsidRDefault="007C5447">
      <w:pPr>
        <w:pStyle w:val="BodyText"/>
        <w:rPr>
          <w:b/>
          <w:sz w:val="20"/>
        </w:rPr>
      </w:pPr>
    </w:p>
    <w:p w:rsidR="007C5447" w:rsidRDefault="007C5447">
      <w:pPr>
        <w:pStyle w:val="BodyText"/>
        <w:spacing w:before="5"/>
        <w:rPr>
          <w:b/>
          <w:sz w:val="25"/>
        </w:rPr>
      </w:pPr>
    </w:p>
    <w:p w:rsidR="007C5447" w:rsidRDefault="00F6308C">
      <w:pPr>
        <w:spacing w:before="90"/>
        <w:ind w:left="3659" w:right="3088"/>
        <w:jc w:val="center"/>
        <w:rPr>
          <w:b/>
          <w:sz w:val="24"/>
        </w:rPr>
      </w:pPr>
      <w:r>
        <w:rPr>
          <w:b/>
          <w:sz w:val="24"/>
        </w:rPr>
        <w:t>(By Order of the Commission)</w:t>
      </w:r>
    </w:p>
    <w:p w:rsidR="007C5447" w:rsidRDefault="007C5447">
      <w:pPr>
        <w:pStyle w:val="BodyText"/>
        <w:rPr>
          <w:b/>
          <w:sz w:val="20"/>
        </w:rPr>
      </w:pPr>
    </w:p>
    <w:p w:rsidR="007C5447" w:rsidRDefault="00F6308C">
      <w:pPr>
        <w:spacing w:before="213"/>
        <w:ind w:left="9425" w:right="3660"/>
        <w:jc w:val="center"/>
        <w:rPr>
          <w:b/>
          <w:sz w:val="24"/>
        </w:rPr>
      </w:pPr>
      <w:r>
        <w:rPr>
          <w:b/>
          <w:sz w:val="24"/>
        </w:rPr>
        <w:t>Sd/-</w:t>
      </w:r>
    </w:p>
    <w:p w:rsidR="007C5447" w:rsidRDefault="00F6308C">
      <w:pPr>
        <w:spacing w:before="81" w:line="312" w:lineRule="auto"/>
        <w:ind w:left="9106" w:right="3346" w:firstLine="6"/>
        <w:jc w:val="center"/>
        <w:rPr>
          <w:b/>
          <w:sz w:val="24"/>
        </w:rPr>
      </w:pPr>
      <w:r>
        <w:rPr>
          <w:b/>
          <w:sz w:val="24"/>
        </w:rPr>
        <w:t>(S. Chinnarajalu) Secretary, TNERC</w:t>
      </w:r>
    </w:p>
    <w:p w:rsidR="007C5447" w:rsidRDefault="007C5447">
      <w:pPr>
        <w:spacing w:line="312" w:lineRule="auto"/>
        <w:jc w:val="center"/>
        <w:rPr>
          <w:sz w:val="24"/>
        </w:rPr>
        <w:sectPr w:rsidR="007C5447">
          <w:type w:val="continuous"/>
          <w:pgSz w:w="16840" w:h="11910" w:orient="landscape"/>
          <w:pgMar w:top="1580" w:right="1220" w:bottom="1580" w:left="1220" w:header="720" w:footer="720" w:gutter="0"/>
          <w:cols w:space="720"/>
        </w:sectPr>
      </w:pPr>
    </w:p>
    <w:p w:rsidR="007C5447" w:rsidRDefault="00F6308C">
      <w:pPr>
        <w:pStyle w:val="Heading1"/>
        <w:ind w:left="132" w:firstLine="0"/>
      </w:pPr>
      <w:bookmarkStart w:id="98" w:name="_bookmark97"/>
      <w:bookmarkEnd w:id="98"/>
      <w:r>
        <w:lastRenderedPageBreak/>
        <w:t>ANNEXURES</w:t>
      </w:r>
    </w:p>
    <w:p w:rsidR="007C5447" w:rsidRDefault="00F6308C">
      <w:pPr>
        <w:pStyle w:val="BodyText"/>
        <w:spacing w:before="1"/>
        <w:rPr>
          <w:b/>
          <w:sz w:val="16"/>
        </w:rPr>
      </w:pPr>
      <w:r>
        <w:pict>
          <v:line id="_x0000_s1026" style="position:absolute;z-index:-251615232;mso-wrap-distance-left:0;mso-wrap-distance-right:0;mso-position-horizontal-relative:page" from="55.2pt,11.45pt" to="524.75pt,11.45pt" strokeweight=".48pt">
            <w10:wrap type="topAndBottom" anchorx="page"/>
          </v:line>
        </w:pict>
      </w:r>
    </w:p>
    <w:p w:rsidR="007C5447" w:rsidRDefault="007C5447">
      <w:pPr>
        <w:pStyle w:val="BodyText"/>
        <w:spacing w:before="7"/>
        <w:rPr>
          <w:b/>
          <w:sz w:val="10"/>
        </w:rPr>
      </w:pPr>
    </w:p>
    <w:p w:rsidR="007C5447" w:rsidRDefault="00F6308C">
      <w:pPr>
        <w:pStyle w:val="Heading2"/>
        <w:spacing w:before="90"/>
        <w:ind w:left="709"/>
      </w:pPr>
      <w:bookmarkStart w:id="99" w:name="_bookmark98"/>
      <w:bookmarkEnd w:id="99"/>
      <w:r>
        <w:t>Annexure I- The list of participants at the State Advisory Committee</w:t>
      </w:r>
    </w:p>
    <w:p w:rsidR="007C5447" w:rsidRDefault="007C5447">
      <w:pPr>
        <w:pStyle w:val="BodyText"/>
        <w:spacing w:before="2"/>
        <w:rPr>
          <w:b/>
          <w:sz w:val="28"/>
        </w:rPr>
      </w:pPr>
    </w:p>
    <w:p w:rsidR="007C5447" w:rsidRDefault="00F6308C">
      <w:pPr>
        <w:ind w:left="853"/>
        <w:rPr>
          <w:b/>
          <w:sz w:val="24"/>
        </w:rPr>
      </w:pPr>
      <w:r>
        <w:rPr>
          <w:b/>
          <w:sz w:val="24"/>
        </w:rPr>
        <w:t>Members Present:</w:t>
      </w:r>
    </w:p>
    <w:p w:rsidR="007C5447" w:rsidRDefault="007C5447">
      <w:pPr>
        <w:pStyle w:val="BodyText"/>
        <w:rPr>
          <w:b/>
          <w:sz w:val="28"/>
        </w:rPr>
      </w:pPr>
    </w:p>
    <w:p w:rsidR="007C5447" w:rsidRDefault="00F6308C">
      <w:pPr>
        <w:pStyle w:val="ListParagraph"/>
        <w:numPr>
          <w:ilvl w:val="0"/>
          <w:numId w:val="7"/>
        </w:numPr>
        <w:tabs>
          <w:tab w:val="left" w:pos="1409"/>
          <w:tab w:val="left" w:pos="1410"/>
        </w:tabs>
        <w:rPr>
          <w:sz w:val="24"/>
        </w:rPr>
      </w:pPr>
      <w:r>
        <w:rPr>
          <w:sz w:val="24"/>
        </w:rPr>
        <w:t>Thiru. S. Akshaya Kumar, Chairman, TNERC</w:t>
      </w:r>
    </w:p>
    <w:p w:rsidR="007C5447" w:rsidRDefault="00F6308C">
      <w:pPr>
        <w:pStyle w:val="ListParagraph"/>
        <w:numPr>
          <w:ilvl w:val="0"/>
          <w:numId w:val="7"/>
        </w:numPr>
        <w:tabs>
          <w:tab w:val="left" w:pos="1409"/>
          <w:tab w:val="left" w:pos="1410"/>
        </w:tabs>
        <w:spacing w:before="204"/>
        <w:rPr>
          <w:sz w:val="24"/>
        </w:rPr>
      </w:pPr>
      <w:r>
        <w:rPr>
          <w:sz w:val="24"/>
        </w:rPr>
        <w:t>Thiru. G. Rajagopal, Member,</w:t>
      </w:r>
      <w:r>
        <w:rPr>
          <w:spacing w:val="-1"/>
          <w:sz w:val="24"/>
        </w:rPr>
        <w:t xml:space="preserve"> </w:t>
      </w:r>
      <w:r>
        <w:rPr>
          <w:sz w:val="24"/>
        </w:rPr>
        <w:t>TNERC</w:t>
      </w:r>
    </w:p>
    <w:p w:rsidR="007C5447" w:rsidRDefault="00F6308C">
      <w:pPr>
        <w:pStyle w:val="ListParagraph"/>
        <w:numPr>
          <w:ilvl w:val="0"/>
          <w:numId w:val="7"/>
        </w:numPr>
        <w:tabs>
          <w:tab w:val="left" w:pos="1409"/>
          <w:tab w:val="left" w:pos="1410"/>
        </w:tabs>
        <w:spacing w:before="201"/>
        <w:rPr>
          <w:sz w:val="24"/>
        </w:rPr>
      </w:pPr>
      <w:r>
        <w:rPr>
          <w:sz w:val="24"/>
        </w:rPr>
        <w:t>Dr. T. Prabhakara Rao, Member,</w:t>
      </w:r>
      <w:r>
        <w:rPr>
          <w:spacing w:val="-1"/>
          <w:sz w:val="24"/>
        </w:rPr>
        <w:t xml:space="preserve"> </w:t>
      </w:r>
      <w:r>
        <w:rPr>
          <w:sz w:val="24"/>
        </w:rPr>
        <w:t>TNERC</w:t>
      </w:r>
    </w:p>
    <w:p w:rsidR="007C5447" w:rsidRDefault="00F6308C">
      <w:pPr>
        <w:pStyle w:val="ListParagraph"/>
        <w:numPr>
          <w:ilvl w:val="0"/>
          <w:numId w:val="7"/>
        </w:numPr>
        <w:tabs>
          <w:tab w:val="left" w:pos="1410"/>
        </w:tabs>
        <w:spacing w:before="204" w:line="312" w:lineRule="auto"/>
        <w:ind w:right="141"/>
        <w:jc w:val="both"/>
        <w:rPr>
          <w:sz w:val="24"/>
        </w:rPr>
      </w:pPr>
      <w:r>
        <w:rPr>
          <w:sz w:val="24"/>
        </w:rPr>
        <w:t>Dr. M. Saikumar, CMD, TNEB Ltd. &amp; TANGEDCO Ltd. and Chairman, TANTRANSCO Ltd.</w:t>
      </w:r>
    </w:p>
    <w:p w:rsidR="007C5447" w:rsidRDefault="00F6308C">
      <w:pPr>
        <w:pStyle w:val="ListParagraph"/>
        <w:numPr>
          <w:ilvl w:val="0"/>
          <w:numId w:val="7"/>
        </w:numPr>
        <w:tabs>
          <w:tab w:val="left" w:pos="1410"/>
        </w:tabs>
        <w:spacing w:before="121" w:line="312" w:lineRule="auto"/>
        <w:ind w:right="144"/>
        <w:jc w:val="both"/>
        <w:rPr>
          <w:sz w:val="24"/>
        </w:rPr>
      </w:pPr>
      <w:r>
        <w:rPr>
          <w:sz w:val="24"/>
        </w:rPr>
        <w:t>Thiru Vikram Kapur, Principal Secretary to Govt., Energy Department (Represented by Tmt. N. Sumathi, Deputy Secretary to Govt., Energy Department, GoTN)</w:t>
      </w:r>
    </w:p>
    <w:p w:rsidR="007C5447" w:rsidRDefault="00F6308C">
      <w:pPr>
        <w:pStyle w:val="ListParagraph"/>
        <w:numPr>
          <w:ilvl w:val="0"/>
          <w:numId w:val="7"/>
        </w:numPr>
        <w:tabs>
          <w:tab w:val="left" w:pos="1409"/>
          <w:tab w:val="left" w:pos="1410"/>
        </w:tabs>
        <w:spacing w:before="119"/>
        <w:rPr>
          <w:sz w:val="24"/>
        </w:rPr>
      </w:pPr>
      <w:r>
        <w:rPr>
          <w:sz w:val="24"/>
        </w:rPr>
        <w:t xml:space="preserve">Thiru. N.K. Gupta, Chief </w:t>
      </w:r>
      <w:r>
        <w:rPr>
          <w:sz w:val="24"/>
        </w:rPr>
        <w:t>Electrical Engineer, Southern</w:t>
      </w:r>
      <w:r>
        <w:rPr>
          <w:spacing w:val="-1"/>
          <w:sz w:val="24"/>
        </w:rPr>
        <w:t xml:space="preserve"> </w:t>
      </w:r>
      <w:r>
        <w:rPr>
          <w:sz w:val="24"/>
        </w:rPr>
        <w:t>Railways</w:t>
      </w:r>
    </w:p>
    <w:p w:rsidR="007C5447" w:rsidRDefault="00F6308C">
      <w:pPr>
        <w:pStyle w:val="ListParagraph"/>
        <w:numPr>
          <w:ilvl w:val="0"/>
          <w:numId w:val="7"/>
        </w:numPr>
        <w:tabs>
          <w:tab w:val="left" w:pos="1409"/>
          <w:tab w:val="left" w:pos="1410"/>
        </w:tabs>
        <w:spacing w:before="202"/>
        <w:rPr>
          <w:sz w:val="24"/>
        </w:rPr>
      </w:pPr>
      <w:r>
        <w:rPr>
          <w:sz w:val="24"/>
        </w:rPr>
        <w:t>Dr. A.S. Kandasamy, Member,</w:t>
      </w:r>
      <w:r>
        <w:rPr>
          <w:spacing w:val="-1"/>
          <w:sz w:val="24"/>
        </w:rPr>
        <w:t xml:space="preserve"> </w:t>
      </w:r>
      <w:r>
        <w:rPr>
          <w:sz w:val="24"/>
        </w:rPr>
        <w:t>SAC</w:t>
      </w:r>
    </w:p>
    <w:p w:rsidR="007C5447" w:rsidRDefault="00F6308C">
      <w:pPr>
        <w:pStyle w:val="ListParagraph"/>
        <w:numPr>
          <w:ilvl w:val="0"/>
          <w:numId w:val="7"/>
        </w:numPr>
        <w:tabs>
          <w:tab w:val="left" w:pos="1410"/>
        </w:tabs>
        <w:spacing w:before="204" w:line="312" w:lineRule="auto"/>
        <w:ind w:right="143"/>
        <w:jc w:val="both"/>
        <w:rPr>
          <w:sz w:val="24"/>
        </w:rPr>
      </w:pPr>
      <w:r>
        <w:rPr>
          <w:sz w:val="24"/>
        </w:rPr>
        <w:t>Dr. G. Uma, Professor and Head, Dept. of Electrical and Electronics Engg., Anna University, Member,</w:t>
      </w:r>
      <w:r>
        <w:rPr>
          <w:spacing w:val="-1"/>
          <w:sz w:val="24"/>
        </w:rPr>
        <w:t xml:space="preserve"> </w:t>
      </w:r>
      <w:r>
        <w:rPr>
          <w:sz w:val="24"/>
        </w:rPr>
        <w:t>SAC</w:t>
      </w:r>
    </w:p>
    <w:p w:rsidR="007C5447" w:rsidRDefault="00F6308C">
      <w:pPr>
        <w:pStyle w:val="ListParagraph"/>
        <w:numPr>
          <w:ilvl w:val="0"/>
          <w:numId w:val="7"/>
        </w:numPr>
        <w:tabs>
          <w:tab w:val="left" w:pos="1410"/>
        </w:tabs>
        <w:spacing w:before="120" w:line="312" w:lineRule="auto"/>
        <w:ind w:right="143"/>
        <w:jc w:val="both"/>
        <w:rPr>
          <w:sz w:val="24"/>
        </w:rPr>
      </w:pPr>
      <w:r>
        <w:rPr>
          <w:sz w:val="24"/>
        </w:rPr>
        <w:t>Thiru. K. Alagu, Vice-President, Tamil Nadu Chamber of Commerce and Industry, Mem</w:t>
      </w:r>
      <w:r>
        <w:rPr>
          <w:sz w:val="24"/>
        </w:rPr>
        <w:t>ber,</w:t>
      </w:r>
      <w:r>
        <w:rPr>
          <w:spacing w:val="-1"/>
          <w:sz w:val="24"/>
        </w:rPr>
        <w:t xml:space="preserve"> </w:t>
      </w:r>
      <w:r>
        <w:rPr>
          <w:sz w:val="24"/>
        </w:rPr>
        <w:t>SAC</w:t>
      </w:r>
    </w:p>
    <w:p w:rsidR="007C5447" w:rsidRDefault="00F6308C">
      <w:pPr>
        <w:pStyle w:val="ListParagraph"/>
        <w:numPr>
          <w:ilvl w:val="0"/>
          <w:numId w:val="7"/>
        </w:numPr>
        <w:tabs>
          <w:tab w:val="left" w:pos="1409"/>
          <w:tab w:val="left" w:pos="1410"/>
        </w:tabs>
        <w:spacing w:before="120"/>
        <w:rPr>
          <w:sz w:val="24"/>
        </w:rPr>
      </w:pPr>
      <w:r>
        <w:rPr>
          <w:sz w:val="24"/>
        </w:rPr>
        <w:t>Dr. K. Selvaraj,Member, SAC</w:t>
      </w:r>
    </w:p>
    <w:p w:rsidR="007C5447" w:rsidRDefault="00F6308C">
      <w:pPr>
        <w:pStyle w:val="ListParagraph"/>
        <w:numPr>
          <w:ilvl w:val="0"/>
          <w:numId w:val="7"/>
        </w:numPr>
        <w:tabs>
          <w:tab w:val="left" w:pos="1410"/>
        </w:tabs>
        <w:spacing w:before="202" w:line="312" w:lineRule="auto"/>
        <w:ind w:right="143"/>
        <w:jc w:val="both"/>
        <w:rPr>
          <w:sz w:val="24"/>
        </w:rPr>
      </w:pPr>
      <w:r>
        <w:rPr>
          <w:sz w:val="24"/>
        </w:rPr>
        <w:t>Thiru. C. Babu, President, Tamil Nadu Small &amp; Tiny Industries Association (TANSTIA), Member,</w:t>
      </w:r>
      <w:r>
        <w:rPr>
          <w:spacing w:val="-1"/>
          <w:sz w:val="24"/>
        </w:rPr>
        <w:t xml:space="preserve"> </w:t>
      </w:r>
      <w:r>
        <w:rPr>
          <w:sz w:val="24"/>
        </w:rPr>
        <w:t>SAC</w:t>
      </w:r>
    </w:p>
    <w:p w:rsidR="007C5447" w:rsidRDefault="00F6308C">
      <w:pPr>
        <w:pStyle w:val="ListParagraph"/>
        <w:numPr>
          <w:ilvl w:val="0"/>
          <w:numId w:val="7"/>
        </w:numPr>
        <w:tabs>
          <w:tab w:val="left" w:pos="1410"/>
        </w:tabs>
        <w:spacing w:before="120" w:line="312" w:lineRule="auto"/>
        <w:ind w:right="143"/>
        <w:jc w:val="both"/>
        <w:rPr>
          <w:sz w:val="24"/>
        </w:rPr>
      </w:pPr>
      <w:r>
        <w:rPr>
          <w:sz w:val="24"/>
        </w:rPr>
        <w:t>Thiru. M.R. Krishnan, Deputy Director, Consumers Association of India, Member, SAC</w:t>
      </w:r>
    </w:p>
    <w:p w:rsidR="007C5447" w:rsidRDefault="00F6308C">
      <w:pPr>
        <w:pStyle w:val="ListParagraph"/>
        <w:numPr>
          <w:ilvl w:val="0"/>
          <w:numId w:val="7"/>
        </w:numPr>
        <w:tabs>
          <w:tab w:val="left" w:pos="1409"/>
          <w:tab w:val="left" w:pos="1410"/>
        </w:tabs>
        <w:spacing w:before="120"/>
        <w:rPr>
          <w:sz w:val="24"/>
        </w:rPr>
      </w:pPr>
      <w:r>
        <w:rPr>
          <w:sz w:val="24"/>
        </w:rPr>
        <w:t>Thiru. K.Kathirmathiyon, Secretary, Coi</w:t>
      </w:r>
      <w:r>
        <w:rPr>
          <w:sz w:val="24"/>
        </w:rPr>
        <w:t>mbatore Consumer Cause Member,</w:t>
      </w:r>
      <w:r>
        <w:rPr>
          <w:spacing w:val="-6"/>
          <w:sz w:val="24"/>
        </w:rPr>
        <w:t xml:space="preserve"> </w:t>
      </w:r>
      <w:r>
        <w:rPr>
          <w:sz w:val="24"/>
        </w:rPr>
        <w:t>SAC</w:t>
      </w:r>
    </w:p>
    <w:p w:rsidR="007C5447" w:rsidRDefault="00F6308C">
      <w:pPr>
        <w:pStyle w:val="ListParagraph"/>
        <w:numPr>
          <w:ilvl w:val="0"/>
          <w:numId w:val="7"/>
        </w:numPr>
        <w:tabs>
          <w:tab w:val="left" w:pos="1410"/>
        </w:tabs>
        <w:spacing w:before="205" w:line="312" w:lineRule="auto"/>
        <w:ind w:right="143"/>
        <w:jc w:val="both"/>
        <w:rPr>
          <w:sz w:val="24"/>
        </w:rPr>
      </w:pPr>
      <w:r>
        <w:rPr>
          <w:sz w:val="24"/>
        </w:rPr>
        <w:t>Thiru. P. Ravichandran, Chairman, CII (Tamil Nadu) (Represented by Thiru. K.P. Gopal, Convenor, MSME Confederation of Indian Industry (CII), Tamil</w:t>
      </w:r>
      <w:r>
        <w:rPr>
          <w:spacing w:val="-8"/>
          <w:sz w:val="24"/>
        </w:rPr>
        <w:t xml:space="preserve"> </w:t>
      </w:r>
      <w:r>
        <w:rPr>
          <w:sz w:val="24"/>
        </w:rPr>
        <w:t>Nadu</w:t>
      </w:r>
    </w:p>
    <w:p w:rsidR="007C5447" w:rsidRDefault="007C5447">
      <w:pPr>
        <w:spacing w:line="312" w:lineRule="auto"/>
        <w:jc w:val="both"/>
        <w:rPr>
          <w:sz w:val="24"/>
        </w:rPr>
        <w:sectPr w:rsidR="007C5447">
          <w:footerReference w:type="default" r:id="rId85"/>
          <w:pgSz w:w="11910" w:h="16840"/>
          <w:pgMar w:top="1480" w:right="1300" w:bottom="960" w:left="1000" w:header="0" w:footer="777" w:gutter="0"/>
          <w:pgNumType w:start="370"/>
          <w:cols w:space="720"/>
        </w:sectPr>
      </w:pPr>
    </w:p>
    <w:p w:rsidR="007C5447" w:rsidRDefault="00F6308C">
      <w:pPr>
        <w:pStyle w:val="Heading2"/>
        <w:spacing w:before="61" w:line="312" w:lineRule="auto"/>
        <w:ind w:left="709" w:right="1014"/>
      </w:pPr>
      <w:bookmarkStart w:id="100" w:name="_bookmark99"/>
      <w:bookmarkEnd w:id="100"/>
      <w:r>
        <w:lastRenderedPageBreak/>
        <w:t>Annexur</w:t>
      </w:r>
      <w:r>
        <w:t>e II- The list of stakeholders who have submitted written objections/ suggestions/ views in response to Public Notice</w:t>
      </w:r>
    </w:p>
    <w:p w:rsidR="007C5447" w:rsidRDefault="007C5447">
      <w:pPr>
        <w:pStyle w:val="BodyText"/>
        <w:spacing w:before="10"/>
        <w:rPr>
          <w:b/>
          <w:sz w:val="20"/>
        </w:rPr>
      </w:pPr>
    </w:p>
    <w:p w:rsidR="007C5447" w:rsidRDefault="00F6308C">
      <w:pPr>
        <w:pStyle w:val="BodyText"/>
        <w:spacing w:line="312" w:lineRule="auto"/>
        <w:ind w:left="132"/>
      </w:pPr>
      <w:r>
        <w:t>List of stakeholders who have submitted written objections/suggestions in response to Public Notice</w:t>
      </w:r>
    </w:p>
    <w:p w:rsidR="007C5447" w:rsidRDefault="007C5447">
      <w:pPr>
        <w:pStyle w:val="BodyText"/>
        <w:spacing w:before="6"/>
        <w:rPr>
          <w:sz w:val="10"/>
        </w:rPr>
      </w:pP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7663"/>
      </w:tblGrid>
      <w:tr w:rsidR="007C5447">
        <w:trPr>
          <w:trHeight w:val="316"/>
        </w:trPr>
        <w:tc>
          <w:tcPr>
            <w:tcW w:w="994" w:type="dxa"/>
          </w:tcPr>
          <w:p w:rsidR="007C5447" w:rsidRDefault="00F6308C">
            <w:pPr>
              <w:pStyle w:val="TableParagraph"/>
              <w:spacing w:line="275" w:lineRule="exact"/>
              <w:ind w:left="110"/>
              <w:jc w:val="left"/>
              <w:rPr>
                <w:b/>
                <w:sz w:val="24"/>
              </w:rPr>
            </w:pPr>
            <w:r>
              <w:rPr>
                <w:b/>
                <w:sz w:val="24"/>
              </w:rPr>
              <w:t>Sl. No</w:t>
            </w:r>
          </w:p>
        </w:tc>
        <w:tc>
          <w:tcPr>
            <w:tcW w:w="7663" w:type="dxa"/>
          </w:tcPr>
          <w:p w:rsidR="007C5447" w:rsidRDefault="00F6308C">
            <w:pPr>
              <w:pStyle w:val="TableParagraph"/>
              <w:spacing w:line="275" w:lineRule="exact"/>
              <w:ind w:left="107"/>
              <w:jc w:val="left"/>
              <w:rPr>
                <w:b/>
                <w:sz w:val="24"/>
              </w:rPr>
            </w:pPr>
            <w:r>
              <w:rPr>
                <w:b/>
                <w:sz w:val="24"/>
              </w:rPr>
              <w:t>Name and Address</w:t>
            </w:r>
          </w:p>
        </w:tc>
      </w:tr>
      <w:tr w:rsidR="007C5447">
        <w:trPr>
          <w:trHeight w:val="635"/>
        </w:trPr>
        <w:tc>
          <w:tcPr>
            <w:tcW w:w="994" w:type="dxa"/>
          </w:tcPr>
          <w:p w:rsidR="007C5447" w:rsidRDefault="00F6308C">
            <w:pPr>
              <w:pStyle w:val="TableParagraph"/>
              <w:spacing w:before="157"/>
              <w:ind w:left="110"/>
              <w:jc w:val="left"/>
              <w:rPr>
                <w:sz w:val="24"/>
              </w:rPr>
            </w:pPr>
            <w:r>
              <w:rPr>
                <w:sz w:val="24"/>
              </w:rPr>
              <w:t>1</w:t>
            </w:r>
          </w:p>
        </w:tc>
        <w:tc>
          <w:tcPr>
            <w:tcW w:w="7663" w:type="dxa"/>
          </w:tcPr>
          <w:p w:rsidR="007C5447" w:rsidRDefault="00F6308C">
            <w:pPr>
              <w:pStyle w:val="TableParagraph"/>
              <w:spacing w:line="275" w:lineRule="exact"/>
              <w:ind w:left="107"/>
              <w:jc w:val="left"/>
              <w:rPr>
                <w:sz w:val="24"/>
              </w:rPr>
            </w:pPr>
            <w:r>
              <w:rPr>
                <w:sz w:val="24"/>
              </w:rPr>
              <w:t>M/s Indian Energy Exchange Ltd. Fourth Floor, Plot No.7, TDI Centre,</w:t>
            </w:r>
          </w:p>
          <w:p w:rsidR="007C5447" w:rsidRDefault="00F6308C">
            <w:pPr>
              <w:pStyle w:val="TableParagraph"/>
              <w:spacing w:before="43"/>
              <w:ind w:left="107"/>
              <w:jc w:val="left"/>
              <w:rPr>
                <w:sz w:val="24"/>
              </w:rPr>
            </w:pPr>
            <w:r>
              <w:rPr>
                <w:sz w:val="24"/>
              </w:rPr>
              <w:t>District Centre, Jasola, New Delhi – 110025.</w:t>
            </w:r>
          </w:p>
        </w:tc>
      </w:tr>
      <w:tr w:rsidR="007C5447">
        <w:trPr>
          <w:trHeight w:val="633"/>
        </w:trPr>
        <w:tc>
          <w:tcPr>
            <w:tcW w:w="994" w:type="dxa"/>
          </w:tcPr>
          <w:p w:rsidR="007C5447" w:rsidRDefault="00F6308C">
            <w:pPr>
              <w:pStyle w:val="TableParagraph"/>
              <w:spacing w:before="157"/>
              <w:ind w:left="110"/>
              <w:jc w:val="left"/>
              <w:rPr>
                <w:sz w:val="24"/>
              </w:rPr>
            </w:pPr>
            <w:r>
              <w:rPr>
                <w:sz w:val="24"/>
              </w:rPr>
              <w:t>2</w:t>
            </w:r>
          </w:p>
        </w:tc>
        <w:tc>
          <w:tcPr>
            <w:tcW w:w="7663" w:type="dxa"/>
          </w:tcPr>
          <w:p w:rsidR="007C5447" w:rsidRDefault="00F6308C">
            <w:pPr>
              <w:pStyle w:val="TableParagraph"/>
              <w:spacing w:line="275" w:lineRule="exact"/>
              <w:ind w:left="107"/>
              <w:jc w:val="left"/>
              <w:rPr>
                <w:sz w:val="24"/>
              </w:rPr>
            </w:pPr>
            <w:r>
              <w:rPr>
                <w:sz w:val="24"/>
              </w:rPr>
              <w:t>Citizen consumer and civic Action Group (CAG), 9/5, Second Street,</w:t>
            </w:r>
          </w:p>
          <w:p w:rsidR="007C5447" w:rsidRDefault="00F6308C">
            <w:pPr>
              <w:pStyle w:val="TableParagraph"/>
              <w:spacing w:before="41"/>
              <w:ind w:left="107"/>
              <w:jc w:val="left"/>
              <w:rPr>
                <w:sz w:val="24"/>
              </w:rPr>
            </w:pPr>
            <w:r>
              <w:rPr>
                <w:sz w:val="24"/>
              </w:rPr>
              <w:t>Padmanabha Nagar, Adyar, Chennai – 600 020.</w:t>
            </w:r>
          </w:p>
        </w:tc>
      </w:tr>
      <w:tr w:rsidR="007C5447">
        <w:trPr>
          <w:trHeight w:val="636"/>
        </w:trPr>
        <w:tc>
          <w:tcPr>
            <w:tcW w:w="994" w:type="dxa"/>
          </w:tcPr>
          <w:p w:rsidR="007C5447" w:rsidRDefault="00F6308C">
            <w:pPr>
              <w:pStyle w:val="TableParagraph"/>
              <w:spacing w:before="160"/>
              <w:ind w:left="110"/>
              <w:jc w:val="left"/>
              <w:rPr>
                <w:sz w:val="24"/>
              </w:rPr>
            </w:pPr>
            <w:r>
              <w:rPr>
                <w:sz w:val="24"/>
              </w:rPr>
              <w:t>3</w:t>
            </w:r>
          </w:p>
        </w:tc>
        <w:tc>
          <w:tcPr>
            <w:tcW w:w="7663" w:type="dxa"/>
          </w:tcPr>
          <w:p w:rsidR="007C5447" w:rsidRDefault="00F6308C">
            <w:pPr>
              <w:pStyle w:val="TableParagraph"/>
              <w:spacing w:before="1"/>
              <w:ind w:left="107"/>
              <w:jc w:val="left"/>
              <w:rPr>
                <w:sz w:val="24"/>
              </w:rPr>
            </w:pPr>
            <w:r>
              <w:rPr>
                <w:sz w:val="24"/>
              </w:rPr>
              <w:t>M/s Cauvery Power Generation Chennai Pvt. Ltd. No.5, Ranganthan</w:t>
            </w:r>
          </w:p>
          <w:p w:rsidR="007C5447" w:rsidRDefault="00F6308C">
            <w:pPr>
              <w:pStyle w:val="TableParagraph"/>
              <w:spacing w:before="41"/>
              <w:ind w:left="107"/>
              <w:jc w:val="left"/>
              <w:rPr>
                <w:sz w:val="24"/>
              </w:rPr>
            </w:pPr>
            <w:r>
              <w:rPr>
                <w:sz w:val="24"/>
              </w:rPr>
              <w:t>Garden, Anna Nagar, Chennai – 600 040.</w:t>
            </w:r>
          </w:p>
        </w:tc>
      </w:tr>
      <w:tr w:rsidR="007C5447">
        <w:trPr>
          <w:trHeight w:val="952"/>
        </w:trPr>
        <w:tc>
          <w:tcPr>
            <w:tcW w:w="994" w:type="dxa"/>
          </w:tcPr>
          <w:p w:rsidR="007C5447" w:rsidRDefault="007C5447">
            <w:pPr>
              <w:pStyle w:val="TableParagraph"/>
              <w:spacing w:before="5"/>
              <w:jc w:val="left"/>
              <w:rPr>
                <w:sz w:val="27"/>
              </w:rPr>
            </w:pPr>
          </w:p>
          <w:p w:rsidR="007C5447" w:rsidRDefault="00F6308C">
            <w:pPr>
              <w:pStyle w:val="TableParagraph"/>
              <w:ind w:left="110"/>
              <w:jc w:val="left"/>
              <w:rPr>
                <w:sz w:val="24"/>
              </w:rPr>
            </w:pPr>
            <w:r>
              <w:rPr>
                <w:sz w:val="24"/>
              </w:rPr>
              <w:t>4</w:t>
            </w:r>
          </w:p>
        </w:tc>
        <w:tc>
          <w:tcPr>
            <w:tcW w:w="7663" w:type="dxa"/>
          </w:tcPr>
          <w:p w:rsidR="007C5447" w:rsidRDefault="00F6308C">
            <w:pPr>
              <w:pStyle w:val="TableParagraph"/>
              <w:spacing w:line="276" w:lineRule="auto"/>
              <w:ind w:left="107" w:right="127"/>
              <w:jc w:val="left"/>
              <w:rPr>
                <w:sz w:val="24"/>
              </w:rPr>
            </w:pPr>
            <w:r>
              <w:rPr>
                <w:sz w:val="24"/>
              </w:rPr>
              <w:t>Thiru. S. Narayanaswamy, Member (Generation) Retd., TANGEDCO, Ramana Shree, Old No.12, New No.10/1, Anandan Street, T-Nagar, Chennai</w:t>
            </w:r>
          </w:p>
          <w:p w:rsidR="007C5447" w:rsidRDefault="00F6308C">
            <w:pPr>
              <w:pStyle w:val="TableParagraph"/>
              <w:ind w:left="107"/>
              <w:jc w:val="left"/>
              <w:rPr>
                <w:sz w:val="24"/>
              </w:rPr>
            </w:pPr>
            <w:r>
              <w:rPr>
                <w:sz w:val="24"/>
              </w:rPr>
              <w:t>– 600 017.</w:t>
            </w:r>
          </w:p>
        </w:tc>
      </w:tr>
      <w:tr w:rsidR="007C5447">
        <w:trPr>
          <w:trHeight w:val="635"/>
        </w:trPr>
        <w:tc>
          <w:tcPr>
            <w:tcW w:w="994" w:type="dxa"/>
          </w:tcPr>
          <w:p w:rsidR="007C5447" w:rsidRDefault="00F6308C">
            <w:pPr>
              <w:pStyle w:val="TableParagraph"/>
              <w:spacing w:before="157"/>
              <w:ind w:left="110"/>
              <w:jc w:val="left"/>
              <w:rPr>
                <w:sz w:val="24"/>
              </w:rPr>
            </w:pPr>
            <w:r>
              <w:rPr>
                <w:sz w:val="24"/>
              </w:rPr>
              <w:t>5</w:t>
            </w:r>
          </w:p>
        </w:tc>
        <w:tc>
          <w:tcPr>
            <w:tcW w:w="7663" w:type="dxa"/>
          </w:tcPr>
          <w:p w:rsidR="007C5447" w:rsidRDefault="00F6308C">
            <w:pPr>
              <w:pStyle w:val="TableParagraph"/>
              <w:spacing w:line="275" w:lineRule="exact"/>
              <w:ind w:left="107"/>
              <w:jc w:val="left"/>
              <w:rPr>
                <w:sz w:val="24"/>
              </w:rPr>
            </w:pPr>
            <w:r>
              <w:rPr>
                <w:sz w:val="24"/>
              </w:rPr>
              <w:t>Consumer Federation of Tamilnadu (CONFET), No.72, Duraisamy Nagar,</w:t>
            </w:r>
          </w:p>
          <w:p w:rsidR="007C5447" w:rsidRDefault="00F6308C">
            <w:pPr>
              <w:pStyle w:val="TableParagraph"/>
              <w:spacing w:before="41"/>
              <w:ind w:left="107"/>
              <w:jc w:val="left"/>
              <w:rPr>
                <w:sz w:val="24"/>
              </w:rPr>
            </w:pPr>
            <w:r>
              <w:rPr>
                <w:sz w:val="24"/>
              </w:rPr>
              <w:t>Cuddalore – 607 001.</w:t>
            </w:r>
          </w:p>
        </w:tc>
      </w:tr>
      <w:tr w:rsidR="007C5447">
        <w:trPr>
          <w:trHeight w:val="633"/>
        </w:trPr>
        <w:tc>
          <w:tcPr>
            <w:tcW w:w="994" w:type="dxa"/>
          </w:tcPr>
          <w:p w:rsidR="007C5447" w:rsidRDefault="00F6308C">
            <w:pPr>
              <w:pStyle w:val="TableParagraph"/>
              <w:spacing w:before="157"/>
              <w:ind w:left="110"/>
              <w:jc w:val="left"/>
              <w:rPr>
                <w:sz w:val="24"/>
              </w:rPr>
            </w:pPr>
            <w:r>
              <w:rPr>
                <w:sz w:val="24"/>
              </w:rPr>
              <w:t>6</w:t>
            </w:r>
          </w:p>
        </w:tc>
        <w:tc>
          <w:tcPr>
            <w:tcW w:w="7663" w:type="dxa"/>
          </w:tcPr>
          <w:p w:rsidR="007C5447" w:rsidRDefault="00F6308C">
            <w:pPr>
              <w:pStyle w:val="TableParagraph"/>
              <w:spacing w:line="275" w:lineRule="exact"/>
              <w:ind w:left="107"/>
              <w:jc w:val="left"/>
              <w:rPr>
                <w:sz w:val="24"/>
              </w:rPr>
            </w:pPr>
            <w:r>
              <w:rPr>
                <w:sz w:val="24"/>
              </w:rPr>
              <w:t>Federation of Consumer Organisations – Tamil Nadu &amp; Pondicherry</w:t>
            </w:r>
          </w:p>
          <w:p w:rsidR="007C5447" w:rsidRDefault="00F6308C">
            <w:pPr>
              <w:pStyle w:val="TableParagraph"/>
              <w:spacing w:before="41"/>
              <w:ind w:left="107"/>
              <w:jc w:val="left"/>
              <w:rPr>
                <w:sz w:val="24"/>
              </w:rPr>
            </w:pPr>
            <w:r>
              <w:rPr>
                <w:sz w:val="24"/>
              </w:rPr>
              <w:t>(FEDCOT),No.9, Kullappirai Street, Tirunelveli Town – 627 006.</w:t>
            </w:r>
          </w:p>
        </w:tc>
      </w:tr>
      <w:tr w:rsidR="007C5447">
        <w:trPr>
          <w:trHeight w:val="635"/>
        </w:trPr>
        <w:tc>
          <w:tcPr>
            <w:tcW w:w="994" w:type="dxa"/>
          </w:tcPr>
          <w:p w:rsidR="007C5447" w:rsidRDefault="00F6308C">
            <w:pPr>
              <w:pStyle w:val="TableParagraph"/>
              <w:spacing w:before="159"/>
              <w:ind w:left="110"/>
              <w:jc w:val="left"/>
              <w:rPr>
                <w:sz w:val="24"/>
              </w:rPr>
            </w:pPr>
            <w:r>
              <w:rPr>
                <w:sz w:val="24"/>
              </w:rPr>
              <w:t>7</w:t>
            </w:r>
          </w:p>
        </w:tc>
        <w:tc>
          <w:tcPr>
            <w:tcW w:w="7663" w:type="dxa"/>
          </w:tcPr>
          <w:p w:rsidR="007C5447" w:rsidRDefault="00F6308C">
            <w:pPr>
              <w:pStyle w:val="TableParagraph"/>
              <w:spacing w:line="275" w:lineRule="exact"/>
              <w:ind w:left="107"/>
              <w:jc w:val="left"/>
              <w:rPr>
                <w:sz w:val="24"/>
              </w:rPr>
            </w:pPr>
            <w:r>
              <w:rPr>
                <w:sz w:val="24"/>
              </w:rPr>
              <w:t>The Southern India Mills Association, Post Box No.3783, 41, Race Course,</w:t>
            </w:r>
          </w:p>
          <w:p w:rsidR="007C5447" w:rsidRDefault="00F6308C">
            <w:pPr>
              <w:pStyle w:val="TableParagraph"/>
              <w:spacing w:before="43"/>
              <w:ind w:left="107"/>
              <w:jc w:val="left"/>
              <w:rPr>
                <w:sz w:val="24"/>
              </w:rPr>
            </w:pPr>
            <w:r>
              <w:rPr>
                <w:sz w:val="24"/>
              </w:rPr>
              <w:t>Coimbatore – 641 018.</w:t>
            </w:r>
          </w:p>
        </w:tc>
      </w:tr>
      <w:tr w:rsidR="007C5447">
        <w:trPr>
          <w:trHeight w:val="635"/>
        </w:trPr>
        <w:tc>
          <w:tcPr>
            <w:tcW w:w="994" w:type="dxa"/>
          </w:tcPr>
          <w:p w:rsidR="007C5447" w:rsidRDefault="00F6308C">
            <w:pPr>
              <w:pStyle w:val="TableParagraph"/>
              <w:spacing w:before="157"/>
              <w:ind w:left="110"/>
              <w:jc w:val="left"/>
              <w:rPr>
                <w:sz w:val="24"/>
              </w:rPr>
            </w:pPr>
            <w:r>
              <w:rPr>
                <w:sz w:val="24"/>
              </w:rPr>
              <w:t>8</w:t>
            </w:r>
          </w:p>
        </w:tc>
        <w:tc>
          <w:tcPr>
            <w:tcW w:w="7663" w:type="dxa"/>
          </w:tcPr>
          <w:p w:rsidR="007C5447" w:rsidRDefault="00F6308C">
            <w:pPr>
              <w:pStyle w:val="TableParagraph"/>
              <w:spacing w:line="275" w:lineRule="exact"/>
              <w:ind w:left="107"/>
              <w:jc w:val="left"/>
              <w:rPr>
                <w:sz w:val="24"/>
              </w:rPr>
            </w:pPr>
            <w:r>
              <w:rPr>
                <w:sz w:val="24"/>
              </w:rPr>
              <w:t>Power Engineer Society of Tamil Nadu, No.45/28, Balaguru Garden,</w:t>
            </w:r>
          </w:p>
          <w:p w:rsidR="007C5447" w:rsidRDefault="00F6308C">
            <w:pPr>
              <w:pStyle w:val="TableParagraph"/>
              <w:spacing w:before="41"/>
              <w:ind w:left="107"/>
              <w:jc w:val="left"/>
              <w:rPr>
                <w:sz w:val="24"/>
              </w:rPr>
            </w:pPr>
            <w:r>
              <w:rPr>
                <w:sz w:val="24"/>
              </w:rPr>
              <w:t>Peelamedu, Coimbatore – 641 004.</w:t>
            </w:r>
          </w:p>
        </w:tc>
      </w:tr>
      <w:tr w:rsidR="007C5447">
        <w:trPr>
          <w:trHeight w:val="633"/>
        </w:trPr>
        <w:tc>
          <w:tcPr>
            <w:tcW w:w="994" w:type="dxa"/>
          </w:tcPr>
          <w:p w:rsidR="007C5447" w:rsidRDefault="00F6308C">
            <w:pPr>
              <w:pStyle w:val="TableParagraph"/>
              <w:spacing w:before="157"/>
              <w:ind w:left="110"/>
              <w:jc w:val="left"/>
              <w:rPr>
                <w:sz w:val="24"/>
              </w:rPr>
            </w:pPr>
            <w:r>
              <w:rPr>
                <w:sz w:val="24"/>
              </w:rPr>
              <w:t>9</w:t>
            </w:r>
          </w:p>
        </w:tc>
        <w:tc>
          <w:tcPr>
            <w:tcW w:w="7663" w:type="dxa"/>
          </w:tcPr>
          <w:p w:rsidR="007C5447" w:rsidRDefault="00F6308C">
            <w:pPr>
              <w:pStyle w:val="TableParagraph"/>
              <w:spacing w:line="275" w:lineRule="exact"/>
              <w:ind w:left="107"/>
              <w:jc w:val="left"/>
              <w:rPr>
                <w:sz w:val="24"/>
              </w:rPr>
            </w:pPr>
            <w:r>
              <w:rPr>
                <w:sz w:val="24"/>
              </w:rPr>
              <w:t>Indian Wind Power Association, Door No. E, 6th Floor, Tower-1, Sakthi</w:t>
            </w:r>
          </w:p>
          <w:p w:rsidR="007C5447" w:rsidRDefault="00F6308C">
            <w:pPr>
              <w:pStyle w:val="TableParagraph"/>
              <w:spacing w:before="41"/>
              <w:ind w:left="107"/>
              <w:jc w:val="left"/>
              <w:rPr>
                <w:sz w:val="24"/>
              </w:rPr>
            </w:pPr>
            <w:r>
              <w:rPr>
                <w:sz w:val="24"/>
              </w:rPr>
              <w:t>Towers, No.766, Anna Salai, Chennai – 600 002.</w:t>
            </w:r>
          </w:p>
        </w:tc>
      </w:tr>
      <w:tr w:rsidR="007C5447">
        <w:trPr>
          <w:trHeight w:val="318"/>
        </w:trPr>
        <w:tc>
          <w:tcPr>
            <w:tcW w:w="994" w:type="dxa"/>
          </w:tcPr>
          <w:p w:rsidR="007C5447" w:rsidRDefault="00F6308C">
            <w:pPr>
              <w:pStyle w:val="TableParagraph"/>
              <w:spacing w:line="275" w:lineRule="exact"/>
              <w:ind w:left="110"/>
              <w:jc w:val="left"/>
              <w:rPr>
                <w:sz w:val="24"/>
              </w:rPr>
            </w:pPr>
            <w:r>
              <w:rPr>
                <w:sz w:val="24"/>
              </w:rPr>
              <w:t>10</w:t>
            </w:r>
          </w:p>
        </w:tc>
        <w:tc>
          <w:tcPr>
            <w:tcW w:w="7663" w:type="dxa"/>
          </w:tcPr>
          <w:p w:rsidR="007C5447" w:rsidRDefault="00F6308C">
            <w:pPr>
              <w:pStyle w:val="TableParagraph"/>
              <w:spacing w:line="275" w:lineRule="exact"/>
              <w:ind w:left="107"/>
              <w:jc w:val="left"/>
              <w:rPr>
                <w:sz w:val="24"/>
              </w:rPr>
            </w:pPr>
            <w:r>
              <w:rPr>
                <w:sz w:val="24"/>
              </w:rPr>
              <w:t>Thiru P.Selvaraj, 124, R.S.Road, Erode – 638 006.</w:t>
            </w:r>
          </w:p>
        </w:tc>
      </w:tr>
      <w:tr w:rsidR="007C5447">
        <w:trPr>
          <w:trHeight w:val="633"/>
        </w:trPr>
        <w:tc>
          <w:tcPr>
            <w:tcW w:w="994" w:type="dxa"/>
          </w:tcPr>
          <w:p w:rsidR="007C5447" w:rsidRDefault="00F6308C">
            <w:pPr>
              <w:pStyle w:val="TableParagraph"/>
              <w:spacing w:before="157"/>
              <w:ind w:left="110"/>
              <w:jc w:val="left"/>
              <w:rPr>
                <w:sz w:val="24"/>
              </w:rPr>
            </w:pPr>
            <w:r>
              <w:rPr>
                <w:sz w:val="24"/>
              </w:rPr>
              <w:t>11</w:t>
            </w:r>
          </w:p>
        </w:tc>
        <w:tc>
          <w:tcPr>
            <w:tcW w:w="7663" w:type="dxa"/>
          </w:tcPr>
          <w:p w:rsidR="007C5447" w:rsidRDefault="00F6308C">
            <w:pPr>
              <w:pStyle w:val="TableParagraph"/>
              <w:spacing w:line="275" w:lineRule="exact"/>
              <w:ind w:left="107"/>
              <w:jc w:val="left"/>
              <w:rPr>
                <w:sz w:val="24"/>
              </w:rPr>
            </w:pPr>
            <w:r>
              <w:rPr>
                <w:sz w:val="24"/>
              </w:rPr>
              <w:t>M/s Kamachi Industries Ltd., ABC Trade Centre, 3rd Floor, (inside Devi</w:t>
            </w:r>
          </w:p>
          <w:p w:rsidR="007C5447" w:rsidRDefault="00F6308C">
            <w:pPr>
              <w:pStyle w:val="TableParagraph"/>
              <w:spacing w:before="41"/>
              <w:ind w:left="107"/>
              <w:jc w:val="left"/>
              <w:rPr>
                <w:sz w:val="24"/>
              </w:rPr>
            </w:pPr>
            <w:r>
              <w:rPr>
                <w:sz w:val="24"/>
              </w:rPr>
              <w:t>Theatre Complex), Old No.50, New No.39, Anna Salai, Chennai – 600 002.</w:t>
            </w:r>
          </w:p>
        </w:tc>
      </w:tr>
      <w:tr w:rsidR="007C5447">
        <w:trPr>
          <w:trHeight w:val="635"/>
        </w:trPr>
        <w:tc>
          <w:tcPr>
            <w:tcW w:w="994" w:type="dxa"/>
          </w:tcPr>
          <w:p w:rsidR="007C5447" w:rsidRDefault="00F6308C">
            <w:pPr>
              <w:pStyle w:val="TableParagraph"/>
              <w:spacing w:before="157"/>
              <w:ind w:left="110"/>
              <w:jc w:val="left"/>
              <w:rPr>
                <w:sz w:val="24"/>
              </w:rPr>
            </w:pPr>
            <w:r>
              <w:rPr>
                <w:sz w:val="24"/>
              </w:rPr>
              <w:t>12</w:t>
            </w:r>
          </w:p>
        </w:tc>
        <w:tc>
          <w:tcPr>
            <w:tcW w:w="7663" w:type="dxa"/>
          </w:tcPr>
          <w:p w:rsidR="007C5447" w:rsidRDefault="00F6308C">
            <w:pPr>
              <w:pStyle w:val="TableParagraph"/>
              <w:spacing w:line="275" w:lineRule="exact"/>
              <w:ind w:left="107"/>
              <w:jc w:val="left"/>
              <w:rPr>
                <w:sz w:val="24"/>
              </w:rPr>
            </w:pPr>
            <w:r>
              <w:rPr>
                <w:sz w:val="24"/>
              </w:rPr>
              <w:t>M/s Tulsyan NEC Ltd. Apex Plaza, 1st Floor, No.3, Nungambakkam High</w:t>
            </w:r>
          </w:p>
          <w:p w:rsidR="007C5447" w:rsidRDefault="00F6308C">
            <w:pPr>
              <w:pStyle w:val="TableParagraph"/>
              <w:spacing w:before="43"/>
              <w:ind w:left="107"/>
              <w:jc w:val="left"/>
              <w:rPr>
                <w:sz w:val="24"/>
              </w:rPr>
            </w:pPr>
            <w:r>
              <w:rPr>
                <w:sz w:val="24"/>
              </w:rPr>
              <w:t>Road, Chennai – 600 034.</w:t>
            </w:r>
          </w:p>
        </w:tc>
      </w:tr>
      <w:tr w:rsidR="007C5447">
        <w:trPr>
          <w:trHeight w:val="844"/>
        </w:trPr>
        <w:tc>
          <w:tcPr>
            <w:tcW w:w="994" w:type="dxa"/>
          </w:tcPr>
          <w:p w:rsidR="007C5447" w:rsidRDefault="007C5447">
            <w:pPr>
              <w:pStyle w:val="TableParagraph"/>
              <w:spacing w:before="9"/>
              <w:jc w:val="left"/>
            </w:pPr>
          </w:p>
          <w:p w:rsidR="007C5447" w:rsidRDefault="00F6308C">
            <w:pPr>
              <w:pStyle w:val="TableParagraph"/>
              <w:spacing w:before="1"/>
              <w:ind w:left="110"/>
              <w:jc w:val="left"/>
              <w:rPr>
                <w:sz w:val="24"/>
              </w:rPr>
            </w:pPr>
            <w:r>
              <w:rPr>
                <w:sz w:val="24"/>
              </w:rPr>
              <w:t>13</w:t>
            </w:r>
          </w:p>
        </w:tc>
        <w:tc>
          <w:tcPr>
            <w:tcW w:w="7663" w:type="dxa"/>
          </w:tcPr>
          <w:p w:rsidR="007C5447" w:rsidRDefault="00F6308C">
            <w:pPr>
              <w:pStyle w:val="TableParagraph"/>
              <w:spacing w:before="104" w:line="276" w:lineRule="auto"/>
              <w:ind w:left="107" w:right="726"/>
              <w:jc w:val="left"/>
              <w:rPr>
                <w:sz w:val="24"/>
              </w:rPr>
            </w:pPr>
            <w:r>
              <w:rPr>
                <w:sz w:val="24"/>
              </w:rPr>
              <w:t>Tamil Nadu Spinning Mills Association (TASMA), No.2, Karur Road, Modern Nagar, Dindigul – 624 001.</w:t>
            </w:r>
          </w:p>
        </w:tc>
      </w:tr>
      <w:tr w:rsidR="007C5447">
        <w:trPr>
          <w:trHeight w:val="636"/>
        </w:trPr>
        <w:tc>
          <w:tcPr>
            <w:tcW w:w="994" w:type="dxa"/>
          </w:tcPr>
          <w:p w:rsidR="007C5447" w:rsidRDefault="00F6308C">
            <w:pPr>
              <w:pStyle w:val="TableParagraph"/>
              <w:spacing w:before="158"/>
              <w:ind w:left="110"/>
              <w:jc w:val="left"/>
              <w:rPr>
                <w:sz w:val="24"/>
              </w:rPr>
            </w:pPr>
            <w:r>
              <w:rPr>
                <w:sz w:val="24"/>
              </w:rPr>
              <w:t>14</w:t>
            </w:r>
          </w:p>
        </w:tc>
        <w:tc>
          <w:tcPr>
            <w:tcW w:w="7663" w:type="dxa"/>
          </w:tcPr>
          <w:p w:rsidR="007C5447" w:rsidRDefault="00F6308C">
            <w:pPr>
              <w:pStyle w:val="TableParagraph"/>
              <w:spacing w:line="276" w:lineRule="exact"/>
              <w:ind w:left="107"/>
              <w:jc w:val="left"/>
              <w:rPr>
                <w:sz w:val="24"/>
              </w:rPr>
            </w:pPr>
            <w:r>
              <w:rPr>
                <w:sz w:val="24"/>
              </w:rPr>
              <w:t>Orient Green Power Company Limited, Sigapi Achi Building 4th Floor,</w:t>
            </w:r>
          </w:p>
          <w:p w:rsidR="007C5447" w:rsidRDefault="00F6308C">
            <w:pPr>
              <w:pStyle w:val="TableParagraph"/>
              <w:spacing w:before="43"/>
              <w:ind w:left="107"/>
              <w:jc w:val="left"/>
              <w:rPr>
                <w:sz w:val="24"/>
              </w:rPr>
            </w:pPr>
            <w:r>
              <w:rPr>
                <w:sz w:val="24"/>
              </w:rPr>
              <w:t>18/3, Rukminilakshmipathi Road, Egmore, Chennai – 600 008.</w:t>
            </w:r>
          </w:p>
        </w:tc>
      </w:tr>
      <w:tr w:rsidR="007C5447">
        <w:trPr>
          <w:trHeight w:val="316"/>
        </w:trPr>
        <w:tc>
          <w:tcPr>
            <w:tcW w:w="994" w:type="dxa"/>
          </w:tcPr>
          <w:p w:rsidR="007C5447" w:rsidRDefault="00F6308C">
            <w:pPr>
              <w:pStyle w:val="TableParagraph"/>
              <w:spacing w:line="275" w:lineRule="exact"/>
              <w:ind w:left="110"/>
              <w:jc w:val="left"/>
              <w:rPr>
                <w:sz w:val="24"/>
              </w:rPr>
            </w:pPr>
            <w:r>
              <w:rPr>
                <w:sz w:val="24"/>
              </w:rPr>
              <w:t>15</w:t>
            </w:r>
          </w:p>
        </w:tc>
        <w:tc>
          <w:tcPr>
            <w:tcW w:w="7663" w:type="dxa"/>
          </w:tcPr>
          <w:p w:rsidR="007C5447" w:rsidRDefault="00F6308C">
            <w:pPr>
              <w:pStyle w:val="TableParagraph"/>
              <w:spacing w:line="275" w:lineRule="exact"/>
              <w:ind w:left="107"/>
              <w:jc w:val="left"/>
              <w:rPr>
                <w:sz w:val="24"/>
              </w:rPr>
            </w:pPr>
            <w:r>
              <w:rPr>
                <w:sz w:val="24"/>
              </w:rPr>
              <w:t>Thiru P. Muthusamy, muthusamy palanisamy &lt;</w:t>
            </w:r>
            <w:hyperlink r:id="rId86">
              <w:r>
                <w:rPr>
                  <w:sz w:val="24"/>
                </w:rPr>
                <w:t>muthusamy14@yahoo.com.</w:t>
              </w:r>
            </w:hyperlink>
          </w:p>
        </w:tc>
      </w:tr>
      <w:tr w:rsidR="007C5447">
        <w:trPr>
          <w:trHeight w:val="318"/>
        </w:trPr>
        <w:tc>
          <w:tcPr>
            <w:tcW w:w="994" w:type="dxa"/>
          </w:tcPr>
          <w:p w:rsidR="007C5447" w:rsidRDefault="00F6308C">
            <w:pPr>
              <w:pStyle w:val="TableParagraph"/>
              <w:spacing w:line="275" w:lineRule="exact"/>
              <w:ind w:left="110"/>
              <w:jc w:val="left"/>
              <w:rPr>
                <w:sz w:val="24"/>
              </w:rPr>
            </w:pPr>
            <w:r>
              <w:rPr>
                <w:sz w:val="24"/>
              </w:rPr>
              <w:t>16</w:t>
            </w:r>
          </w:p>
        </w:tc>
        <w:tc>
          <w:tcPr>
            <w:tcW w:w="7663" w:type="dxa"/>
          </w:tcPr>
          <w:p w:rsidR="007C5447" w:rsidRDefault="00F6308C">
            <w:pPr>
              <w:pStyle w:val="TableParagraph"/>
              <w:spacing w:line="275" w:lineRule="exact"/>
              <w:ind w:left="107"/>
              <w:jc w:val="left"/>
              <w:rPr>
                <w:sz w:val="24"/>
              </w:rPr>
            </w:pPr>
            <w:r>
              <w:rPr>
                <w:sz w:val="24"/>
              </w:rPr>
              <w:t>Thiru. K. Eswaran. 1/29, Lenin Street, Vilankurichi, Coimbatore – 641 035.</w:t>
            </w:r>
          </w:p>
        </w:tc>
      </w:tr>
      <w:tr w:rsidR="007C5447">
        <w:trPr>
          <w:trHeight w:val="633"/>
        </w:trPr>
        <w:tc>
          <w:tcPr>
            <w:tcW w:w="994" w:type="dxa"/>
          </w:tcPr>
          <w:p w:rsidR="007C5447" w:rsidRDefault="00F6308C">
            <w:pPr>
              <w:pStyle w:val="TableParagraph"/>
              <w:spacing w:before="157"/>
              <w:ind w:left="110"/>
              <w:jc w:val="left"/>
              <w:rPr>
                <w:sz w:val="24"/>
              </w:rPr>
            </w:pPr>
            <w:r>
              <w:rPr>
                <w:sz w:val="24"/>
              </w:rPr>
              <w:t>17</w:t>
            </w:r>
          </w:p>
        </w:tc>
        <w:tc>
          <w:tcPr>
            <w:tcW w:w="7663" w:type="dxa"/>
          </w:tcPr>
          <w:p w:rsidR="007C5447" w:rsidRDefault="00F6308C">
            <w:pPr>
              <w:pStyle w:val="TableParagraph"/>
              <w:spacing w:line="275" w:lineRule="exact"/>
              <w:ind w:left="107"/>
              <w:jc w:val="left"/>
              <w:rPr>
                <w:sz w:val="24"/>
              </w:rPr>
            </w:pPr>
            <w:r>
              <w:rPr>
                <w:sz w:val="24"/>
              </w:rPr>
              <w:t>Anti Corruption Movement, Admn. Office: No.155, Konnur High Road,</w:t>
            </w:r>
          </w:p>
          <w:p w:rsidR="007C5447" w:rsidRDefault="00F6308C">
            <w:pPr>
              <w:pStyle w:val="TableParagraph"/>
              <w:spacing w:before="41"/>
              <w:ind w:left="107"/>
              <w:jc w:val="left"/>
              <w:rPr>
                <w:sz w:val="24"/>
              </w:rPr>
            </w:pPr>
            <w:r>
              <w:rPr>
                <w:sz w:val="24"/>
              </w:rPr>
              <w:t>Ayanavaram, Chennai – 600 023.</w:t>
            </w:r>
          </w:p>
        </w:tc>
      </w:tr>
      <w:tr w:rsidR="007C5447">
        <w:trPr>
          <w:trHeight w:val="318"/>
        </w:trPr>
        <w:tc>
          <w:tcPr>
            <w:tcW w:w="994" w:type="dxa"/>
          </w:tcPr>
          <w:p w:rsidR="007C5447" w:rsidRDefault="00F6308C">
            <w:pPr>
              <w:pStyle w:val="TableParagraph"/>
              <w:spacing w:line="275" w:lineRule="exact"/>
              <w:ind w:left="110"/>
              <w:jc w:val="left"/>
              <w:rPr>
                <w:sz w:val="24"/>
              </w:rPr>
            </w:pPr>
            <w:r>
              <w:rPr>
                <w:sz w:val="24"/>
              </w:rPr>
              <w:t>18</w:t>
            </w:r>
          </w:p>
        </w:tc>
        <w:tc>
          <w:tcPr>
            <w:tcW w:w="7663" w:type="dxa"/>
          </w:tcPr>
          <w:p w:rsidR="007C5447" w:rsidRDefault="00F6308C">
            <w:pPr>
              <w:pStyle w:val="TableParagraph"/>
              <w:spacing w:line="275" w:lineRule="exact"/>
              <w:ind w:left="107"/>
              <w:jc w:val="left"/>
              <w:rPr>
                <w:sz w:val="24"/>
              </w:rPr>
            </w:pPr>
            <w:r>
              <w:rPr>
                <w:sz w:val="24"/>
              </w:rPr>
              <w:t>Thiru. M.R. Krishnan, “M.R.Krishnan” &lt;</w:t>
            </w:r>
            <w:hyperlink r:id="rId87">
              <w:r>
                <w:rPr>
                  <w:sz w:val="24"/>
                </w:rPr>
                <w:t>concert.mrk@gmail.com.</w:t>
              </w:r>
            </w:hyperlink>
          </w:p>
        </w:tc>
      </w:tr>
    </w:tbl>
    <w:p w:rsidR="007C5447" w:rsidRDefault="007C5447">
      <w:pPr>
        <w:spacing w:line="275" w:lineRule="exact"/>
        <w:rPr>
          <w:sz w:val="24"/>
        </w:rPr>
        <w:sectPr w:rsidR="007C5447">
          <w:pgSz w:w="11910" w:h="16840"/>
          <w:pgMar w:top="1480" w:right="1300" w:bottom="1240" w:left="1000" w:header="0" w:footer="777" w:gutter="0"/>
          <w:cols w:space="720"/>
        </w:sectPr>
      </w:pP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7663"/>
      </w:tblGrid>
      <w:tr w:rsidR="007C5447">
        <w:trPr>
          <w:trHeight w:val="316"/>
        </w:trPr>
        <w:tc>
          <w:tcPr>
            <w:tcW w:w="994" w:type="dxa"/>
          </w:tcPr>
          <w:p w:rsidR="007C5447" w:rsidRDefault="00F6308C">
            <w:pPr>
              <w:pStyle w:val="TableParagraph"/>
              <w:spacing w:line="275" w:lineRule="exact"/>
              <w:ind w:left="110"/>
              <w:jc w:val="left"/>
              <w:rPr>
                <w:b/>
                <w:sz w:val="24"/>
              </w:rPr>
            </w:pPr>
            <w:r>
              <w:rPr>
                <w:b/>
                <w:sz w:val="24"/>
              </w:rPr>
              <w:lastRenderedPageBreak/>
              <w:t>Sl. No</w:t>
            </w:r>
          </w:p>
        </w:tc>
        <w:tc>
          <w:tcPr>
            <w:tcW w:w="7663" w:type="dxa"/>
          </w:tcPr>
          <w:p w:rsidR="007C5447" w:rsidRDefault="00F6308C">
            <w:pPr>
              <w:pStyle w:val="TableParagraph"/>
              <w:spacing w:line="275" w:lineRule="exact"/>
              <w:ind w:left="107"/>
              <w:jc w:val="left"/>
              <w:rPr>
                <w:b/>
                <w:sz w:val="24"/>
              </w:rPr>
            </w:pPr>
            <w:r>
              <w:rPr>
                <w:b/>
                <w:sz w:val="24"/>
              </w:rPr>
              <w:t>Name and Address</w:t>
            </w:r>
          </w:p>
        </w:tc>
      </w:tr>
      <w:tr w:rsidR="007C5447">
        <w:trPr>
          <w:trHeight w:val="916"/>
        </w:trPr>
        <w:tc>
          <w:tcPr>
            <w:tcW w:w="994" w:type="dxa"/>
          </w:tcPr>
          <w:p w:rsidR="007C5447" w:rsidRDefault="007C5447">
            <w:pPr>
              <w:pStyle w:val="TableParagraph"/>
              <w:jc w:val="left"/>
              <w:rPr>
                <w:sz w:val="26"/>
              </w:rPr>
            </w:pPr>
          </w:p>
          <w:p w:rsidR="007C5447" w:rsidRDefault="00F6308C">
            <w:pPr>
              <w:pStyle w:val="TableParagraph"/>
              <w:ind w:left="110"/>
              <w:jc w:val="left"/>
              <w:rPr>
                <w:sz w:val="24"/>
              </w:rPr>
            </w:pPr>
            <w:r>
              <w:rPr>
                <w:sz w:val="24"/>
              </w:rPr>
              <w:t>19</w:t>
            </w:r>
          </w:p>
        </w:tc>
        <w:tc>
          <w:tcPr>
            <w:tcW w:w="7663" w:type="dxa"/>
          </w:tcPr>
          <w:p w:rsidR="007C5447" w:rsidRDefault="00F6308C">
            <w:pPr>
              <w:pStyle w:val="TableParagraph"/>
              <w:spacing w:before="167" w:line="350" w:lineRule="atLeast"/>
              <w:ind w:left="107" w:right="1054"/>
              <w:jc w:val="left"/>
              <w:rPr>
                <w:sz w:val="24"/>
              </w:rPr>
            </w:pPr>
            <w:r>
              <w:rPr>
                <w:sz w:val="24"/>
              </w:rPr>
              <w:t>Thiru. E.Balasubramanian, 256, T.H. Road, Theradi, Thiruvottiyur, Chennai 600 019.</w:t>
            </w:r>
          </w:p>
        </w:tc>
      </w:tr>
      <w:tr w:rsidR="007C5447">
        <w:trPr>
          <w:trHeight w:val="952"/>
        </w:trPr>
        <w:tc>
          <w:tcPr>
            <w:tcW w:w="994" w:type="dxa"/>
          </w:tcPr>
          <w:p w:rsidR="007C5447" w:rsidRDefault="007C5447">
            <w:pPr>
              <w:pStyle w:val="TableParagraph"/>
              <w:spacing w:before="7"/>
              <w:jc w:val="left"/>
              <w:rPr>
                <w:sz w:val="27"/>
              </w:rPr>
            </w:pPr>
          </w:p>
          <w:p w:rsidR="007C5447" w:rsidRDefault="00F6308C">
            <w:pPr>
              <w:pStyle w:val="TableParagraph"/>
              <w:ind w:left="110"/>
              <w:jc w:val="left"/>
              <w:rPr>
                <w:sz w:val="24"/>
              </w:rPr>
            </w:pPr>
            <w:r>
              <w:rPr>
                <w:sz w:val="24"/>
              </w:rPr>
              <w:t>20</w:t>
            </w:r>
          </w:p>
        </w:tc>
        <w:tc>
          <w:tcPr>
            <w:tcW w:w="7663" w:type="dxa"/>
          </w:tcPr>
          <w:p w:rsidR="007C5447" w:rsidRDefault="00F6308C">
            <w:pPr>
              <w:pStyle w:val="TableParagraph"/>
              <w:spacing w:line="275" w:lineRule="exact"/>
              <w:ind w:left="107"/>
              <w:jc w:val="left"/>
              <w:rPr>
                <w:sz w:val="24"/>
              </w:rPr>
            </w:pPr>
            <w:r>
              <w:rPr>
                <w:sz w:val="24"/>
              </w:rPr>
              <w:t>Thiru. M.Thuyamurthy, General Secreary, Association of Transparency and</w:t>
            </w:r>
          </w:p>
          <w:p w:rsidR="007C5447" w:rsidRDefault="00F6308C">
            <w:pPr>
              <w:pStyle w:val="TableParagraph"/>
              <w:spacing w:before="9" w:line="310" w:lineRule="atLeast"/>
              <w:ind w:left="107" w:right="507"/>
              <w:jc w:val="left"/>
              <w:rPr>
                <w:sz w:val="24"/>
              </w:rPr>
            </w:pPr>
            <w:r>
              <w:rPr>
                <w:sz w:val="24"/>
              </w:rPr>
              <w:t>Anti-Corruption, No.2, Alwarnagar 1st Street, Ullagaram, Chennai – 600 061.</w:t>
            </w:r>
          </w:p>
        </w:tc>
      </w:tr>
      <w:tr w:rsidR="007C5447">
        <w:trPr>
          <w:trHeight w:val="635"/>
        </w:trPr>
        <w:tc>
          <w:tcPr>
            <w:tcW w:w="994" w:type="dxa"/>
          </w:tcPr>
          <w:p w:rsidR="007C5447" w:rsidRDefault="00F6308C">
            <w:pPr>
              <w:pStyle w:val="TableParagraph"/>
              <w:spacing w:before="157"/>
              <w:ind w:left="110"/>
              <w:jc w:val="left"/>
              <w:rPr>
                <w:sz w:val="24"/>
              </w:rPr>
            </w:pPr>
            <w:r>
              <w:rPr>
                <w:sz w:val="24"/>
              </w:rPr>
              <w:t>21</w:t>
            </w:r>
          </w:p>
        </w:tc>
        <w:tc>
          <w:tcPr>
            <w:tcW w:w="7663" w:type="dxa"/>
          </w:tcPr>
          <w:p w:rsidR="007C5447" w:rsidRDefault="00F6308C">
            <w:pPr>
              <w:pStyle w:val="TableParagraph"/>
              <w:spacing w:line="275" w:lineRule="exact"/>
              <w:ind w:left="107"/>
              <w:jc w:val="left"/>
              <w:rPr>
                <w:sz w:val="24"/>
              </w:rPr>
            </w:pPr>
            <w:r>
              <w:rPr>
                <w:sz w:val="24"/>
              </w:rPr>
              <w:t>Thiru. D.Rajenderan, Chairman, Vandimedu All Public Welfare Association,</w:t>
            </w:r>
          </w:p>
          <w:p w:rsidR="007C5447" w:rsidRDefault="00F6308C">
            <w:pPr>
              <w:pStyle w:val="TableParagraph"/>
              <w:spacing w:before="43"/>
              <w:ind w:left="107"/>
              <w:jc w:val="left"/>
              <w:rPr>
                <w:sz w:val="24"/>
              </w:rPr>
            </w:pPr>
            <w:r>
              <w:rPr>
                <w:sz w:val="24"/>
              </w:rPr>
              <w:t>No.56, Virattikuppam Pathai, Vandimedu, Villupuram – 605 602.</w:t>
            </w:r>
          </w:p>
        </w:tc>
      </w:tr>
      <w:tr w:rsidR="007C5447">
        <w:trPr>
          <w:trHeight w:val="635"/>
        </w:trPr>
        <w:tc>
          <w:tcPr>
            <w:tcW w:w="994" w:type="dxa"/>
          </w:tcPr>
          <w:p w:rsidR="007C5447" w:rsidRDefault="00F6308C">
            <w:pPr>
              <w:pStyle w:val="TableParagraph"/>
              <w:spacing w:before="157"/>
              <w:ind w:left="110"/>
              <w:jc w:val="left"/>
              <w:rPr>
                <w:sz w:val="24"/>
              </w:rPr>
            </w:pPr>
            <w:r>
              <w:rPr>
                <w:sz w:val="24"/>
              </w:rPr>
              <w:t>22</w:t>
            </w:r>
          </w:p>
        </w:tc>
        <w:tc>
          <w:tcPr>
            <w:tcW w:w="7663" w:type="dxa"/>
          </w:tcPr>
          <w:p w:rsidR="007C5447" w:rsidRDefault="00F6308C">
            <w:pPr>
              <w:pStyle w:val="TableParagraph"/>
              <w:spacing w:line="275" w:lineRule="exact"/>
              <w:ind w:left="107"/>
              <w:jc w:val="left"/>
              <w:rPr>
                <w:sz w:val="24"/>
              </w:rPr>
            </w:pPr>
            <w:r>
              <w:rPr>
                <w:sz w:val="24"/>
              </w:rPr>
              <w:t>Thiru. S. Murali, AGM(E&amp;I), SKI Carbon Black (India) Pvt. Ltd., Unit: Hi-</w:t>
            </w:r>
          </w:p>
          <w:p w:rsidR="007C5447" w:rsidRDefault="00F6308C">
            <w:pPr>
              <w:pStyle w:val="TableParagraph"/>
              <w:spacing w:before="41"/>
              <w:ind w:left="107"/>
              <w:jc w:val="left"/>
              <w:rPr>
                <w:sz w:val="24"/>
              </w:rPr>
            </w:pPr>
            <w:r>
              <w:rPr>
                <w:sz w:val="24"/>
              </w:rPr>
              <w:t>Tech Carbon, Gummidipoondi.</w:t>
            </w:r>
          </w:p>
        </w:tc>
      </w:tr>
    </w:tbl>
    <w:p w:rsidR="007C5447" w:rsidRDefault="007C5447">
      <w:pPr>
        <w:pStyle w:val="BodyText"/>
        <w:rPr>
          <w:sz w:val="20"/>
        </w:rPr>
      </w:pPr>
    </w:p>
    <w:p w:rsidR="007C5447" w:rsidRDefault="007C5447">
      <w:pPr>
        <w:pStyle w:val="BodyText"/>
        <w:rPr>
          <w:sz w:val="20"/>
        </w:rPr>
      </w:pPr>
    </w:p>
    <w:p w:rsidR="007C5447" w:rsidRDefault="007C5447">
      <w:pPr>
        <w:pStyle w:val="BodyText"/>
        <w:rPr>
          <w:sz w:val="25"/>
        </w:rPr>
      </w:pPr>
    </w:p>
    <w:p w:rsidR="007C5447" w:rsidRDefault="00F6308C">
      <w:pPr>
        <w:pStyle w:val="BodyText"/>
        <w:spacing w:before="90" w:line="312" w:lineRule="auto"/>
        <w:ind w:left="132"/>
      </w:pPr>
      <w:r>
        <w:t>List of stakeholders who have submitted written objections/suggestions submitted at Chennai Public Hearing</w:t>
      </w:r>
    </w:p>
    <w:p w:rsidR="007C5447" w:rsidRDefault="007C5447">
      <w:pPr>
        <w:pStyle w:val="BodyText"/>
        <w:spacing w:before="5" w:after="1"/>
        <w:rPr>
          <w:sz w:val="10"/>
        </w:rPr>
      </w:pP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7466"/>
      </w:tblGrid>
      <w:tr w:rsidR="007C5447">
        <w:trPr>
          <w:trHeight w:val="318"/>
        </w:trPr>
        <w:tc>
          <w:tcPr>
            <w:tcW w:w="994" w:type="dxa"/>
          </w:tcPr>
          <w:p w:rsidR="007C5447" w:rsidRDefault="00F6308C">
            <w:pPr>
              <w:pStyle w:val="TableParagraph"/>
              <w:spacing w:line="275" w:lineRule="exact"/>
              <w:ind w:left="110"/>
              <w:jc w:val="left"/>
              <w:rPr>
                <w:b/>
                <w:sz w:val="24"/>
              </w:rPr>
            </w:pPr>
            <w:r>
              <w:rPr>
                <w:b/>
                <w:sz w:val="24"/>
              </w:rPr>
              <w:t>Sl. No.</w:t>
            </w:r>
          </w:p>
        </w:tc>
        <w:tc>
          <w:tcPr>
            <w:tcW w:w="7466" w:type="dxa"/>
          </w:tcPr>
          <w:p w:rsidR="007C5447" w:rsidRDefault="00F6308C">
            <w:pPr>
              <w:pStyle w:val="TableParagraph"/>
              <w:spacing w:line="275" w:lineRule="exact"/>
              <w:ind w:left="107"/>
              <w:jc w:val="left"/>
              <w:rPr>
                <w:b/>
                <w:sz w:val="24"/>
              </w:rPr>
            </w:pPr>
            <w:r>
              <w:rPr>
                <w:b/>
                <w:sz w:val="24"/>
              </w:rPr>
              <w:t>Name and address</w:t>
            </w:r>
          </w:p>
        </w:tc>
      </w:tr>
      <w:tr w:rsidR="007C5447">
        <w:trPr>
          <w:trHeight w:val="1269"/>
        </w:trPr>
        <w:tc>
          <w:tcPr>
            <w:tcW w:w="994" w:type="dxa"/>
          </w:tcPr>
          <w:p w:rsidR="007C5447" w:rsidRDefault="00F6308C">
            <w:pPr>
              <w:pStyle w:val="TableParagraph"/>
              <w:spacing w:line="275" w:lineRule="exact"/>
              <w:ind w:left="110"/>
              <w:jc w:val="left"/>
              <w:rPr>
                <w:sz w:val="24"/>
              </w:rPr>
            </w:pPr>
            <w:r>
              <w:rPr>
                <w:sz w:val="24"/>
              </w:rPr>
              <w:t>1</w:t>
            </w:r>
          </w:p>
        </w:tc>
        <w:tc>
          <w:tcPr>
            <w:tcW w:w="7466" w:type="dxa"/>
          </w:tcPr>
          <w:p w:rsidR="007C5447" w:rsidRDefault="00F6308C">
            <w:pPr>
              <w:pStyle w:val="TableParagraph"/>
              <w:spacing w:line="275" w:lineRule="exact"/>
              <w:ind w:left="107"/>
              <w:jc w:val="left"/>
              <w:rPr>
                <w:sz w:val="24"/>
              </w:rPr>
            </w:pPr>
            <w:r>
              <w:rPr>
                <w:sz w:val="24"/>
              </w:rPr>
              <w:t>Dr. A.C. Mohan,M.S., FRCS,</w:t>
            </w:r>
          </w:p>
          <w:p w:rsidR="007C5447" w:rsidRDefault="00F6308C">
            <w:pPr>
              <w:pStyle w:val="TableParagraph"/>
              <w:spacing w:before="41" w:line="276" w:lineRule="auto"/>
              <w:ind w:left="107" w:right="277"/>
              <w:jc w:val="left"/>
              <w:rPr>
                <w:sz w:val="24"/>
              </w:rPr>
            </w:pPr>
            <w:r>
              <w:rPr>
                <w:sz w:val="24"/>
              </w:rPr>
              <w:t>Secretary, Federation of Tamil Nadu Rice Mill Owners and Paddy – Rice Dealers Association., No. 1 Singara Garden 2nd Street,</w:t>
            </w:r>
          </w:p>
          <w:p w:rsidR="007C5447" w:rsidRDefault="00F6308C">
            <w:pPr>
              <w:pStyle w:val="TableParagraph"/>
              <w:spacing w:line="275" w:lineRule="exact"/>
              <w:ind w:left="107"/>
              <w:jc w:val="left"/>
              <w:rPr>
                <w:sz w:val="24"/>
              </w:rPr>
            </w:pPr>
            <w:r>
              <w:rPr>
                <w:sz w:val="24"/>
              </w:rPr>
              <w:t>Washermenpet, Chennai – 600 021.</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2</w:t>
            </w:r>
          </w:p>
        </w:tc>
        <w:tc>
          <w:tcPr>
            <w:tcW w:w="7466" w:type="dxa"/>
          </w:tcPr>
          <w:p w:rsidR="007C5447" w:rsidRDefault="00F6308C">
            <w:pPr>
              <w:pStyle w:val="TableParagraph"/>
              <w:spacing w:line="275" w:lineRule="exact"/>
              <w:ind w:left="107"/>
              <w:jc w:val="left"/>
              <w:rPr>
                <w:sz w:val="24"/>
              </w:rPr>
            </w:pPr>
            <w:r>
              <w:rPr>
                <w:sz w:val="24"/>
              </w:rPr>
              <w:t>Red Hills Rice Mill Owners and Paddy- Rice Dealers Association,</w:t>
            </w:r>
          </w:p>
          <w:p w:rsidR="007C5447" w:rsidRDefault="00F6308C">
            <w:pPr>
              <w:pStyle w:val="TableParagraph"/>
              <w:spacing w:before="41"/>
              <w:ind w:left="107"/>
              <w:jc w:val="left"/>
              <w:rPr>
                <w:sz w:val="24"/>
              </w:rPr>
            </w:pPr>
            <w:r>
              <w:rPr>
                <w:sz w:val="24"/>
              </w:rPr>
              <w:t>No. 485 G.N.T. Road (Samiyarmadam), Red Hills, Chennai – 600 052.</w:t>
            </w:r>
          </w:p>
        </w:tc>
      </w:tr>
      <w:tr w:rsidR="007C5447">
        <w:trPr>
          <w:trHeight w:val="636"/>
        </w:trPr>
        <w:tc>
          <w:tcPr>
            <w:tcW w:w="994" w:type="dxa"/>
          </w:tcPr>
          <w:p w:rsidR="007C5447" w:rsidRDefault="00F6308C">
            <w:pPr>
              <w:pStyle w:val="TableParagraph"/>
              <w:spacing w:line="275" w:lineRule="exact"/>
              <w:ind w:left="110"/>
              <w:jc w:val="left"/>
              <w:rPr>
                <w:sz w:val="24"/>
              </w:rPr>
            </w:pPr>
            <w:r>
              <w:rPr>
                <w:sz w:val="24"/>
              </w:rPr>
              <w:t>3</w:t>
            </w:r>
          </w:p>
        </w:tc>
        <w:tc>
          <w:tcPr>
            <w:tcW w:w="7466" w:type="dxa"/>
          </w:tcPr>
          <w:p w:rsidR="007C5447" w:rsidRDefault="00F6308C">
            <w:pPr>
              <w:pStyle w:val="TableParagraph"/>
              <w:spacing w:line="275" w:lineRule="exact"/>
              <w:ind w:left="107"/>
              <w:jc w:val="left"/>
              <w:rPr>
                <w:sz w:val="24"/>
              </w:rPr>
            </w:pPr>
            <w:r>
              <w:rPr>
                <w:sz w:val="24"/>
              </w:rPr>
              <w:t>K.N. Gunasekaran, 3/34, Sothupakkam Salai, Theerathakirayampattu,</w:t>
            </w:r>
          </w:p>
          <w:p w:rsidR="007C5447" w:rsidRDefault="00F6308C">
            <w:pPr>
              <w:pStyle w:val="TableParagraph"/>
              <w:spacing w:before="43"/>
              <w:ind w:left="107"/>
              <w:jc w:val="left"/>
              <w:rPr>
                <w:sz w:val="24"/>
              </w:rPr>
            </w:pPr>
            <w:r>
              <w:rPr>
                <w:sz w:val="24"/>
              </w:rPr>
              <w:t>Red Hills, Chennai – 600 052.</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4</w:t>
            </w:r>
          </w:p>
        </w:tc>
        <w:tc>
          <w:tcPr>
            <w:tcW w:w="7466" w:type="dxa"/>
          </w:tcPr>
          <w:p w:rsidR="007C5447" w:rsidRDefault="00F6308C">
            <w:pPr>
              <w:pStyle w:val="TableParagraph"/>
              <w:spacing w:line="275" w:lineRule="exact"/>
              <w:ind w:left="107"/>
              <w:jc w:val="left"/>
              <w:rPr>
                <w:sz w:val="24"/>
              </w:rPr>
            </w:pPr>
            <w:r>
              <w:rPr>
                <w:sz w:val="24"/>
              </w:rPr>
              <w:t>Kancheepuram Rice Mill Owners Association, No. 20-21, Kamarajar</w:t>
            </w:r>
          </w:p>
          <w:p w:rsidR="007C5447" w:rsidRDefault="00F6308C">
            <w:pPr>
              <w:pStyle w:val="TableParagraph"/>
              <w:spacing w:before="41"/>
              <w:ind w:left="107"/>
              <w:jc w:val="left"/>
              <w:rPr>
                <w:sz w:val="24"/>
              </w:rPr>
            </w:pPr>
            <w:r>
              <w:rPr>
                <w:sz w:val="24"/>
              </w:rPr>
              <w:t>Street, Kancheepuram – 631 502.</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5</w:t>
            </w:r>
          </w:p>
        </w:tc>
        <w:tc>
          <w:tcPr>
            <w:tcW w:w="7466" w:type="dxa"/>
          </w:tcPr>
          <w:p w:rsidR="007C5447" w:rsidRDefault="00F6308C">
            <w:pPr>
              <w:pStyle w:val="TableParagraph"/>
              <w:spacing w:line="275" w:lineRule="exact"/>
              <w:ind w:left="107"/>
              <w:jc w:val="left"/>
              <w:rPr>
                <w:sz w:val="24"/>
              </w:rPr>
            </w:pPr>
            <w:r>
              <w:rPr>
                <w:sz w:val="24"/>
              </w:rPr>
              <w:t>People Awareness Association (Nanganallur Chapter), C-42, 6th Street,</w:t>
            </w:r>
          </w:p>
          <w:p w:rsidR="007C5447" w:rsidRDefault="00F6308C">
            <w:pPr>
              <w:pStyle w:val="TableParagraph"/>
              <w:spacing w:before="41"/>
              <w:ind w:left="107"/>
              <w:jc w:val="left"/>
              <w:rPr>
                <w:sz w:val="24"/>
              </w:rPr>
            </w:pPr>
            <w:r>
              <w:rPr>
                <w:sz w:val="24"/>
              </w:rPr>
              <w:t>Lakshmi Nagar, Nanganallur, Chennai – 600 061.</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6</w:t>
            </w:r>
          </w:p>
        </w:tc>
        <w:tc>
          <w:tcPr>
            <w:tcW w:w="7466" w:type="dxa"/>
          </w:tcPr>
          <w:p w:rsidR="007C5447" w:rsidRDefault="00F6308C">
            <w:pPr>
              <w:pStyle w:val="TableParagraph"/>
              <w:spacing w:line="275" w:lineRule="exact"/>
              <w:ind w:left="107"/>
              <w:jc w:val="left"/>
              <w:rPr>
                <w:sz w:val="24"/>
              </w:rPr>
            </w:pPr>
            <w:r>
              <w:rPr>
                <w:sz w:val="24"/>
              </w:rPr>
              <w:t>Tulsyan NEC Ltd., Apex Plaza, 1st Floor, No. 3 Nungambakkam High</w:t>
            </w:r>
          </w:p>
          <w:p w:rsidR="007C5447" w:rsidRDefault="00F6308C">
            <w:pPr>
              <w:pStyle w:val="TableParagraph"/>
              <w:spacing w:before="43"/>
              <w:ind w:left="107"/>
              <w:jc w:val="left"/>
              <w:rPr>
                <w:sz w:val="24"/>
              </w:rPr>
            </w:pPr>
            <w:r>
              <w:rPr>
                <w:sz w:val="24"/>
              </w:rPr>
              <w:t>Road, Chennai – 600 034.</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7</w:t>
            </w:r>
          </w:p>
        </w:tc>
        <w:tc>
          <w:tcPr>
            <w:tcW w:w="7466" w:type="dxa"/>
          </w:tcPr>
          <w:p w:rsidR="007C5447" w:rsidRDefault="00F6308C">
            <w:pPr>
              <w:pStyle w:val="TableParagraph"/>
              <w:spacing w:line="275" w:lineRule="exact"/>
              <w:ind w:left="107"/>
              <w:jc w:val="left"/>
              <w:rPr>
                <w:sz w:val="24"/>
              </w:rPr>
            </w:pPr>
            <w:r>
              <w:rPr>
                <w:sz w:val="24"/>
              </w:rPr>
              <w:t>Thiru.D.Rajendiran,Secretary, Vandimedu House Owners Associations,</w:t>
            </w:r>
          </w:p>
          <w:p w:rsidR="007C5447" w:rsidRDefault="00F6308C">
            <w:pPr>
              <w:pStyle w:val="TableParagraph"/>
              <w:spacing w:before="41"/>
              <w:ind w:left="107"/>
              <w:jc w:val="left"/>
              <w:rPr>
                <w:sz w:val="24"/>
              </w:rPr>
            </w:pPr>
            <w:r>
              <w:rPr>
                <w:sz w:val="24"/>
              </w:rPr>
              <w:t>56 Virattikuppam Street, Vandimedu, Villupuram.</w:t>
            </w:r>
          </w:p>
        </w:tc>
      </w:tr>
      <w:tr w:rsidR="007C5447">
        <w:trPr>
          <w:trHeight w:val="636"/>
        </w:trPr>
        <w:tc>
          <w:tcPr>
            <w:tcW w:w="994" w:type="dxa"/>
          </w:tcPr>
          <w:p w:rsidR="007C5447" w:rsidRDefault="00F6308C">
            <w:pPr>
              <w:pStyle w:val="TableParagraph"/>
              <w:spacing w:before="1"/>
              <w:ind w:left="110"/>
              <w:jc w:val="left"/>
              <w:rPr>
                <w:sz w:val="24"/>
              </w:rPr>
            </w:pPr>
            <w:r>
              <w:rPr>
                <w:sz w:val="24"/>
              </w:rPr>
              <w:t>8</w:t>
            </w:r>
          </w:p>
        </w:tc>
        <w:tc>
          <w:tcPr>
            <w:tcW w:w="7466" w:type="dxa"/>
          </w:tcPr>
          <w:p w:rsidR="007C5447" w:rsidRDefault="00F6308C">
            <w:pPr>
              <w:pStyle w:val="TableParagraph"/>
              <w:spacing w:before="1"/>
              <w:ind w:left="107"/>
              <w:jc w:val="left"/>
              <w:rPr>
                <w:sz w:val="24"/>
              </w:rPr>
            </w:pPr>
            <w:r>
              <w:rPr>
                <w:sz w:val="24"/>
              </w:rPr>
              <w:t>Thiru.S.Nagalsamy, I.A.A.S.(R)., M.A., B.L., “THULASI” 15 A,</w:t>
            </w:r>
          </w:p>
          <w:p w:rsidR="007C5447" w:rsidRDefault="00F6308C">
            <w:pPr>
              <w:pStyle w:val="TableParagraph"/>
              <w:spacing w:before="41"/>
              <w:ind w:left="107"/>
              <w:jc w:val="left"/>
              <w:rPr>
                <w:sz w:val="24"/>
              </w:rPr>
            </w:pPr>
            <w:r>
              <w:rPr>
                <w:sz w:val="24"/>
              </w:rPr>
              <w:t>P.T.Rajan Salai, KK Nagar, Chennai – 600 078.</w:t>
            </w:r>
          </w:p>
        </w:tc>
      </w:tr>
    </w:tbl>
    <w:p w:rsidR="007C5447" w:rsidRDefault="007C5447">
      <w:pPr>
        <w:rPr>
          <w:sz w:val="24"/>
        </w:rPr>
        <w:sectPr w:rsidR="007C5447">
          <w:pgSz w:w="11910" w:h="16840"/>
          <w:pgMar w:top="1420" w:right="1300" w:bottom="1240" w:left="1000" w:header="0" w:footer="777" w:gutter="0"/>
          <w:cols w:space="720"/>
        </w:sectPr>
      </w:pPr>
    </w:p>
    <w:p w:rsidR="007C5447" w:rsidRDefault="00F6308C">
      <w:pPr>
        <w:pStyle w:val="BodyText"/>
        <w:spacing w:before="60" w:line="312" w:lineRule="auto"/>
        <w:ind w:left="132"/>
      </w:pPr>
      <w:r>
        <w:lastRenderedPageBreak/>
        <w:t>List of stakeholders who have submitted written objections/suggestions submitted at Madurai Public Hearing</w:t>
      </w:r>
    </w:p>
    <w:p w:rsidR="007C5447" w:rsidRDefault="007C5447">
      <w:pPr>
        <w:pStyle w:val="BodyText"/>
        <w:spacing w:before="7"/>
        <w:rPr>
          <w:sz w:val="10"/>
        </w:rPr>
      </w:pP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7466"/>
      </w:tblGrid>
      <w:tr w:rsidR="007C5447">
        <w:trPr>
          <w:trHeight w:val="316"/>
        </w:trPr>
        <w:tc>
          <w:tcPr>
            <w:tcW w:w="994" w:type="dxa"/>
          </w:tcPr>
          <w:p w:rsidR="007C5447" w:rsidRDefault="00F6308C">
            <w:pPr>
              <w:pStyle w:val="TableParagraph"/>
              <w:spacing w:line="275" w:lineRule="exact"/>
              <w:ind w:left="110"/>
              <w:jc w:val="left"/>
              <w:rPr>
                <w:b/>
                <w:sz w:val="24"/>
              </w:rPr>
            </w:pPr>
            <w:r>
              <w:rPr>
                <w:b/>
                <w:sz w:val="24"/>
              </w:rPr>
              <w:t>Sl. No.</w:t>
            </w:r>
          </w:p>
        </w:tc>
        <w:tc>
          <w:tcPr>
            <w:tcW w:w="7466" w:type="dxa"/>
          </w:tcPr>
          <w:p w:rsidR="007C5447" w:rsidRDefault="00F6308C">
            <w:pPr>
              <w:pStyle w:val="TableParagraph"/>
              <w:spacing w:line="275" w:lineRule="exact"/>
              <w:ind w:left="107"/>
              <w:jc w:val="left"/>
              <w:rPr>
                <w:b/>
                <w:sz w:val="24"/>
              </w:rPr>
            </w:pPr>
            <w:r>
              <w:rPr>
                <w:b/>
                <w:sz w:val="24"/>
              </w:rPr>
              <w:t>Name and Address</w:t>
            </w:r>
          </w:p>
        </w:tc>
      </w:tr>
      <w:tr w:rsidR="007C5447">
        <w:trPr>
          <w:trHeight w:val="635"/>
        </w:trPr>
        <w:tc>
          <w:tcPr>
            <w:tcW w:w="994" w:type="dxa"/>
          </w:tcPr>
          <w:p w:rsidR="007C5447" w:rsidRDefault="00F6308C">
            <w:pPr>
              <w:pStyle w:val="TableParagraph"/>
              <w:spacing w:before="1"/>
              <w:ind w:left="110"/>
              <w:jc w:val="left"/>
              <w:rPr>
                <w:sz w:val="24"/>
              </w:rPr>
            </w:pPr>
            <w:r>
              <w:rPr>
                <w:sz w:val="24"/>
              </w:rPr>
              <w:t>1.</w:t>
            </w:r>
          </w:p>
        </w:tc>
        <w:tc>
          <w:tcPr>
            <w:tcW w:w="7466" w:type="dxa"/>
          </w:tcPr>
          <w:p w:rsidR="007C5447" w:rsidRDefault="00F6308C">
            <w:pPr>
              <w:pStyle w:val="TableParagraph"/>
              <w:spacing w:before="1"/>
              <w:ind w:left="107"/>
              <w:jc w:val="left"/>
              <w:rPr>
                <w:sz w:val="24"/>
              </w:rPr>
            </w:pPr>
            <w:r>
              <w:rPr>
                <w:sz w:val="24"/>
              </w:rPr>
              <w:t>The President, SriVee. Paddy – Rice Dealers Association,</w:t>
            </w:r>
          </w:p>
          <w:p w:rsidR="007C5447" w:rsidRDefault="00F6308C">
            <w:pPr>
              <w:pStyle w:val="TableParagraph"/>
              <w:spacing w:before="41"/>
              <w:ind w:left="167"/>
              <w:jc w:val="left"/>
              <w:rPr>
                <w:sz w:val="24"/>
              </w:rPr>
            </w:pPr>
            <w:r>
              <w:rPr>
                <w:sz w:val="24"/>
              </w:rPr>
              <w:t>2, Rajapalayam Byepass Road, Srivilliputhur-626 125.</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2.</w:t>
            </w:r>
          </w:p>
        </w:tc>
        <w:tc>
          <w:tcPr>
            <w:tcW w:w="7466" w:type="dxa"/>
          </w:tcPr>
          <w:p w:rsidR="007C5447" w:rsidRDefault="00F6308C">
            <w:pPr>
              <w:pStyle w:val="TableParagraph"/>
              <w:spacing w:line="275" w:lineRule="exact"/>
              <w:ind w:left="107"/>
              <w:jc w:val="left"/>
              <w:rPr>
                <w:sz w:val="24"/>
              </w:rPr>
            </w:pPr>
            <w:r>
              <w:rPr>
                <w:sz w:val="24"/>
              </w:rPr>
              <w:t>Thiru R. Marimuthu, President, Pudukkottai District Rice Mill Owners &amp;</w:t>
            </w:r>
          </w:p>
          <w:p w:rsidR="007C5447" w:rsidRDefault="00F6308C">
            <w:pPr>
              <w:pStyle w:val="TableParagraph"/>
              <w:spacing w:before="41"/>
              <w:ind w:left="107"/>
              <w:jc w:val="left"/>
              <w:rPr>
                <w:sz w:val="24"/>
              </w:rPr>
            </w:pPr>
            <w:r>
              <w:rPr>
                <w:sz w:val="24"/>
              </w:rPr>
              <w:t>Paddy – Rice Dealers Association, RM MRM,Pudukkottai.</w:t>
            </w:r>
          </w:p>
        </w:tc>
      </w:tr>
      <w:tr w:rsidR="007C5447">
        <w:trPr>
          <w:trHeight w:val="1269"/>
        </w:trPr>
        <w:tc>
          <w:tcPr>
            <w:tcW w:w="994" w:type="dxa"/>
          </w:tcPr>
          <w:p w:rsidR="007C5447" w:rsidRDefault="00F6308C">
            <w:pPr>
              <w:pStyle w:val="TableParagraph"/>
              <w:spacing w:line="275" w:lineRule="exact"/>
              <w:ind w:left="110"/>
              <w:jc w:val="left"/>
              <w:rPr>
                <w:sz w:val="24"/>
              </w:rPr>
            </w:pPr>
            <w:r>
              <w:rPr>
                <w:sz w:val="24"/>
              </w:rPr>
              <w:t>3.</w:t>
            </w:r>
          </w:p>
        </w:tc>
        <w:tc>
          <w:tcPr>
            <w:tcW w:w="7466" w:type="dxa"/>
          </w:tcPr>
          <w:p w:rsidR="007C5447" w:rsidRDefault="00F6308C">
            <w:pPr>
              <w:pStyle w:val="TableParagraph"/>
              <w:spacing w:line="275" w:lineRule="exact"/>
              <w:ind w:left="107"/>
              <w:jc w:val="left"/>
              <w:rPr>
                <w:sz w:val="24"/>
              </w:rPr>
            </w:pPr>
            <w:r>
              <w:rPr>
                <w:sz w:val="24"/>
              </w:rPr>
              <w:t>Thiru K. Vasanthavel, President,</w:t>
            </w:r>
          </w:p>
          <w:p w:rsidR="007C5447" w:rsidRDefault="00F6308C">
            <w:pPr>
              <w:pStyle w:val="TableParagraph"/>
              <w:spacing w:before="41"/>
              <w:ind w:left="107"/>
              <w:jc w:val="left"/>
              <w:rPr>
                <w:sz w:val="24"/>
              </w:rPr>
            </w:pPr>
            <w:r>
              <w:rPr>
                <w:sz w:val="24"/>
              </w:rPr>
              <w:t>The Madurai District Rice Mill Owners’ Association,</w:t>
            </w:r>
          </w:p>
          <w:p w:rsidR="007C5447" w:rsidRDefault="00F6308C">
            <w:pPr>
              <w:pStyle w:val="TableParagraph"/>
              <w:spacing w:before="8" w:line="320" w:lineRule="exact"/>
              <w:ind w:left="107" w:right="1343"/>
              <w:jc w:val="left"/>
              <w:rPr>
                <w:sz w:val="24"/>
              </w:rPr>
            </w:pPr>
            <w:r>
              <w:rPr>
                <w:sz w:val="24"/>
              </w:rPr>
              <w:t>Arisi Aalai Arangam A/C, Plot No. 217, Aringar Anna Nagar, Madurai-625 020.</w:t>
            </w:r>
          </w:p>
        </w:tc>
      </w:tr>
      <w:tr w:rsidR="007C5447">
        <w:trPr>
          <w:trHeight w:val="953"/>
        </w:trPr>
        <w:tc>
          <w:tcPr>
            <w:tcW w:w="994" w:type="dxa"/>
          </w:tcPr>
          <w:p w:rsidR="007C5447" w:rsidRDefault="00F6308C">
            <w:pPr>
              <w:pStyle w:val="TableParagraph"/>
              <w:spacing w:line="276" w:lineRule="exact"/>
              <w:ind w:left="110"/>
              <w:jc w:val="left"/>
              <w:rPr>
                <w:sz w:val="24"/>
              </w:rPr>
            </w:pPr>
            <w:r>
              <w:rPr>
                <w:sz w:val="24"/>
              </w:rPr>
              <w:t>4.</w:t>
            </w:r>
          </w:p>
        </w:tc>
        <w:tc>
          <w:tcPr>
            <w:tcW w:w="7466" w:type="dxa"/>
          </w:tcPr>
          <w:p w:rsidR="007C5447" w:rsidRDefault="00F6308C">
            <w:pPr>
              <w:pStyle w:val="TableParagraph"/>
              <w:spacing w:line="276" w:lineRule="exact"/>
              <w:ind w:left="107"/>
              <w:jc w:val="left"/>
              <w:rPr>
                <w:sz w:val="24"/>
              </w:rPr>
            </w:pPr>
            <w:r>
              <w:rPr>
                <w:sz w:val="24"/>
              </w:rPr>
              <w:t>Thiru R. Kathiresan,</w:t>
            </w:r>
          </w:p>
          <w:p w:rsidR="007C5447" w:rsidRDefault="00F6308C">
            <w:pPr>
              <w:pStyle w:val="TableParagraph"/>
              <w:spacing w:before="7" w:line="310" w:lineRule="atLeast"/>
              <w:ind w:left="167" w:right="450" w:hanging="60"/>
              <w:jc w:val="left"/>
              <w:rPr>
                <w:sz w:val="24"/>
              </w:rPr>
            </w:pPr>
            <w:r>
              <w:rPr>
                <w:sz w:val="24"/>
              </w:rPr>
              <w:t>State President, Tamil Nadu Meen Valarppu Vivasaigal Nala Sangam, No. 32, Sunnambukara Street, Orathanaadu-614625, Thanjvur District.</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5.</w:t>
            </w:r>
          </w:p>
        </w:tc>
        <w:tc>
          <w:tcPr>
            <w:tcW w:w="7466" w:type="dxa"/>
          </w:tcPr>
          <w:p w:rsidR="007C5447" w:rsidRDefault="00F6308C">
            <w:pPr>
              <w:pStyle w:val="TableParagraph"/>
              <w:spacing w:line="275" w:lineRule="exact"/>
              <w:ind w:left="107"/>
              <w:jc w:val="left"/>
              <w:rPr>
                <w:sz w:val="24"/>
              </w:rPr>
            </w:pPr>
            <w:r>
              <w:rPr>
                <w:sz w:val="24"/>
              </w:rPr>
              <w:t>Thiru M. Ramsingh,</w:t>
            </w:r>
          </w:p>
          <w:p w:rsidR="007C5447" w:rsidRDefault="00F6308C">
            <w:pPr>
              <w:pStyle w:val="TableParagraph"/>
              <w:spacing w:before="7" w:line="310" w:lineRule="atLeast"/>
              <w:ind w:left="107"/>
              <w:jc w:val="left"/>
              <w:rPr>
                <w:sz w:val="24"/>
              </w:rPr>
            </w:pPr>
            <w:r>
              <w:rPr>
                <w:sz w:val="24"/>
              </w:rPr>
              <w:t>President, Theni District Rice Mill Owners &amp; Paddy - Rice Wholesalers Association, 136, Rice Mill Street, Theni – 625 531.</w:t>
            </w:r>
          </w:p>
        </w:tc>
      </w:tr>
      <w:tr w:rsidR="007C5447">
        <w:trPr>
          <w:trHeight w:val="950"/>
        </w:trPr>
        <w:tc>
          <w:tcPr>
            <w:tcW w:w="994" w:type="dxa"/>
          </w:tcPr>
          <w:p w:rsidR="007C5447" w:rsidRDefault="00F6308C">
            <w:pPr>
              <w:pStyle w:val="TableParagraph"/>
              <w:spacing w:line="275" w:lineRule="exact"/>
              <w:ind w:left="110"/>
              <w:jc w:val="left"/>
              <w:rPr>
                <w:sz w:val="24"/>
              </w:rPr>
            </w:pPr>
            <w:r>
              <w:rPr>
                <w:sz w:val="24"/>
              </w:rPr>
              <w:t>6.</w:t>
            </w:r>
          </w:p>
        </w:tc>
        <w:tc>
          <w:tcPr>
            <w:tcW w:w="7466" w:type="dxa"/>
          </w:tcPr>
          <w:p w:rsidR="007C5447" w:rsidRDefault="00F6308C">
            <w:pPr>
              <w:pStyle w:val="TableParagraph"/>
              <w:spacing w:line="275" w:lineRule="exact"/>
              <w:ind w:left="107"/>
              <w:jc w:val="left"/>
              <w:rPr>
                <w:sz w:val="24"/>
              </w:rPr>
            </w:pPr>
            <w:r>
              <w:rPr>
                <w:sz w:val="24"/>
              </w:rPr>
              <w:t>Thiru R.Jayakumar,</w:t>
            </w:r>
          </w:p>
          <w:p w:rsidR="007C5447" w:rsidRDefault="00F6308C">
            <w:pPr>
              <w:pStyle w:val="TableParagraph"/>
              <w:spacing w:before="41"/>
              <w:ind w:left="167"/>
              <w:jc w:val="left"/>
              <w:rPr>
                <w:sz w:val="24"/>
              </w:rPr>
            </w:pPr>
            <w:r>
              <w:rPr>
                <w:sz w:val="24"/>
              </w:rPr>
              <w:t>Exe.VP (Works), DCW Limited, 358(Old No.645),</w:t>
            </w:r>
          </w:p>
          <w:p w:rsidR="007C5447" w:rsidRDefault="00F6308C">
            <w:pPr>
              <w:pStyle w:val="TableParagraph"/>
              <w:spacing w:before="40"/>
              <w:ind w:left="107"/>
              <w:jc w:val="left"/>
              <w:rPr>
                <w:sz w:val="24"/>
              </w:rPr>
            </w:pPr>
            <w:r>
              <w:rPr>
                <w:sz w:val="24"/>
              </w:rPr>
              <w:t>3rd Floor, Anna Salai, Thousand Lights, Chennai-600 006.</w:t>
            </w:r>
          </w:p>
        </w:tc>
      </w:tr>
      <w:tr w:rsidR="007C5447">
        <w:trPr>
          <w:trHeight w:val="1272"/>
        </w:trPr>
        <w:tc>
          <w:tcPr>
            <w:tcW w:w="994" w:type="dxa"/>
          </w:tcPr>
          <w:p w:rsidR="007C5447" w:rsidRDefault="00F6308C">
            <w:pPr>
              <w:pStyle w:val="TableParagraph"/>
              <w:spacing w:before="1"/>
              <w:ind w:left="110"/>
              <w:jc w:val="left"/>
              <w:rPr>
                <w:sz w:val="24"/>
              </w:rPr>
            </w:pPr>
            <w:r>
              <w:rPr>
                <w:sz w:val="24"/>
              </w:rPr>
              <w:t>7.</w:t>
            </w:r>
          </w:p>
        </w:tc>
        <w:tc>
          <w:tcPr>
            <w:tcW w:w="7466" w:type="dxa"/>
          </w:tcPr>
          <w:p w:rsidR="007C5447" w:rsidRDefault="00F6308C">
            <w:pPr>
              <w:pStyle w:val="TableParagraph"/>
              <w:spacing w:before="1"/>
              <w:ind w:left="107"/>
              <w:jc w:val="both"/>
              <w:rPr>
                <w:sz w:val="24"/>
              </w:rPr>
            </w:pPr>
            <w:r>
              <w:rPr>
                <w:sz w:val="24"/>
              </w:rPr>
              <w:t>Thiru T.S.A. Subramanian,</w:t>
            </w:r>
          </w:p>
          <w:p w:rsidR="007C5447" w:rsidRDefault="00F6308C">
            <w:pPr>
              <w:pStyle w:val="TableParagraph"/>
              <w:spacing w:before="11" w:line="318" w:lineRule="exact"/>
              <w:ind w:left="107" w:right="3460"/>
              <w:jc w:val="both"/>
              <w:rPr>
                <w:sz w:val="24"/>
              </w:rPr>
            </w:pPr>
            <w:r>
              <w:rPr>
                <w:sz w:val="24"/>
              </w:rPr>
              <w:t>Secretary, Master Weavers Association, No. 4, Vadakasiammankovil, 1st Street, Sankarankovil-627 756.</w:t>
            </w:r>
          </w:p>
        </w:tc>
      </w:tr>
      <w:tr w:rsidR="007C5447">
        <w:trPr>
          <w:trHeight w:val="1585"/>
        </w:trPr>
        <w:tc>
          <w:tcPr>
            <w:tcW w:w="994" w:type="dxa"/>
          </w:tcPr>
          <w:p w:rsidR="007C5447" w:rsidRDefault="00F6308C">
            <w:pPr>
              <w:pStyle w:val="TableParagraph"/>
              <w:spacing w:line="275" w:lineRule="exact"/>
              <w:ind w:left="110"/>
              <w:jc w:val="left"/>
              <w:rPr>
                <w:sz w:val="24"/>
              </w:rPr>
            </w:pPr>
            <w:r>
              <w:rPr>
                <w:sz w:val="24"/>
              </w:rPr>
              <w:t>8.</w:t>
            </w:r>
          </w:p>
        </w:tc>
        <w:tc>
          <w:tcPr>
            <w:tcW w:w="7466" w:type="dxa"/>
          </w:tcPr>
          <w:p w:rsidR="007C5447" w:rsidRDefault="00F6308C">
            <w:pPr>
              <w:pStyle w:val="TableParagraph"/>
              <w:spacing w:line="275" w:lineRule="exact"/>
              <w:ind w:left="107"/>
              <w:jc w:val="left"/>
              <w:rPr>
                <w:sz w:val="24"/>
              </w:rPr>
            </w:pPr>
            <w:r>
              <w:rPr>
                <w:sz w:val="24"/>
              </w:rPr>
              <w:t>Thiru K.Ramachandran,</w:t>
            </w:r>
          </w:p>
          <w:p w:rsidR="007C5447" w:rsidRDefault="00F6308C">
            <w:pPr>
              <w:pStyle w:val="TableParagraph"/>
              <w:spacing w:before="41" w:line="276" w:lineRule="auto"/>
              <w:ind w:left="167" w:right="1343"/>
              <w:jc w:val="left"/>
              <w:rPr>
                <w:sz w:val="24"/>
              </w:rPr>
            </w:pPr>
            <w:r>
              <w:rPr>
                <w:sz w:val="24"/>
              </w:rPr>
              <w:t>President, Sankarankovil Thaluk Consumer Rights and Protection Welfare Association,</w:t>
            </w:r>
          </w:p>
          <w:p w:rsidR="007C5447" w:rsidRDefault="00F6308C">
            <w:pPr>
              <w:pStyle w:val="TableParagraph"/>
              <w:spacing w:line="275" w:lineRule="exact"/>
              <w:ind w:left="107"/>
              <w:jc w:val="left"/>
              <w:rPr>
                <w:sz w:val="24"/>
              </w:rPr>
            </w:pPr>
            <w:r>
              <w:rPr>
                <w:sz w:val="24"/>
              </w:rPr>
              <w:t>21/43, Klavaadi Vinaayagar Kovil Street,</w:t>
            </w:r>
          </w:p>
          <w:p w:rsidR="007C5447" w:rsidRDefault="00F6308C">
            <w:pPr>
              <w:pStyle w:val="TableParagraph"/>
              <w:spacing w:before="43"/>
              <w:ind w:left="167"/>
              <w:jc w:val="left"/>
              <w:rPr>
                <w:sz w:val="24"/>
              </w:rPr>
            </w:pPr>
            <w:r>
              <w:rPr>
                <w:sz w:val="24"/>
              </w:rPr>
              <w:t>Sank</w:t>
            </w:r>
            <w:r>
              <w:rPr>
                <w:sz w:val="24"/>
              </w:rPr>
              <w:t>arankovil-627756,Thirunelveli District.</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9.</w:t>
            </w:r>
          </w:p>
        </w:tc>
        <w:tc>
          <w:tcPr>
            <w:tcW w:w="7466" w:type="dxa"/>
          </w:tcPr>
          <w:p w:rsidR="007C5447" w:rsidRDefault="00F6308C">
            <w:pPr>
              <w:pStyle w:val="TableParagraph"/>
              <w:spacing w:line="275" w:lineRule="exact"/>
              <w:ind w:left="107"/>
              <w:jc w:val="left"/>
              <w:rPr>
                <w:sz w:val="24"/>
              </w:rPr>
            </w:pPr>
            <w:r>
              <w:rPr>
                <w:sz w:val="24"/>
              </w:rPr>
              <w:t>Thiru A. Abdul Rahim,</w:t>
            </w:r>
          </w:p>
          <w:p w:rsidR="007C5447" w:rsidRDefault="00F6308C">
            <w:pPr>
              <w:pStyle w:val="TableParagraph"/>
              <w:spacing w:before="9" w:line="320" w:lineRule="exact"/>
              <w:ind w:left="167" w:right="2203" w:hanging="60"/>
              <w:jc w:val="left"/>
              <w:rPr>
                <w:sz w:val="24"/>
              </w:rPr>
            </w:pPr>
            <w:r>
              <w:rPr>
                <w:sz w:val="24"/>
              </w:rPr>
              <w:t>President, District Rice Mill Owners &amp; Paddy-Rice Wholesale Dealers Association, Villupuram District.</w:t>
            </w:r>
          </w:p>
        </w:tc>
      </w:tr>
      <w:tr w:rsidR="007C5447">
        <w:trPr>
          <w:trHeight w:val="953"/>
        </w:trPr>
        <w:tc>
          <w:tcPr>
            <w:tcW w:w="994" w:type="dxa"/>
          </w:tcPr>
          <w:p w:rsidR="007C5447" w:rsidRDefault="00F6308C">
            <w:pPr>
              <w:pStyle w:val="TableParagraph"/>
              <w:spacing w:line="275" w:lineRule="exact"/>
              <w:ind w:left="110"/>
              <w:jc w:val="left"/>
              <w:rPr>
                <w:sz w:val="24"/>
              </w:rPr>
            </w:pPr>
            <w:r>
              <w:rPr>
                <w:sz w:val="24"/>
              </w:rPr>
              <w:t>10.</w:t>
            </w:r>
          </w:p>
        </w:tc>
        <w:tc>
          <w:tcPr>
            <w:tcW w:w="7466" w:type="dxa"/>
          </w:tcPr>
          <w:p w:rsidR="007C5447" w:rsidRDefault="00F6308C">
            <w:pPr>
              <w:pStyle w:val="TableParagraph"/>
              <w:spacing w:line="275" w:lineRule="exact"/>
              <w:ind w:left="107"/>
              <w:jc w:val="left"/>
              <w:rPr>
                <w:sz w:val="24"/>
              </w:rPr>
            </w:pPr>
            <w:r>
              <w:rPr>
                <w:sz w:val="24"/>
              </w:rPr>
              <w:t>Thiru S.K.R. Ramesh,</w:t>
            </w:r>
          </w:p>
          <w:p w:rsidR="007C5447" w:rsidRDefault="00F6308C">
            <w:pPr>
              <w:pStyle w:val="TableParagraph"/>
              <w:spacing w:before="10" w:line="318" w:lineRule="exact"/>
              <w:ind w:left="107" w:right="2517"/>
              <w:jc w:val="left"/>
              <w:rPr>
                <w:sz w:val="24"/>
              </w:rPr>
            </w:pPr>
            <w:r>
              <w:rPr>
                <w:sz w:val="24"/>
              </w:rPr>
              <w:t>President, Madurai Screen Printer’s Association, 17, Panthadi 8th Street, Madurai-625001.</w:t>
            </w:r>
          </w:p>
        </w:tc>
      </w:tr>
      <w:tr w:rsidR="007C5447">
        <w:trPr>
          <w:trHeight w:val="1269"/>
        </w:trPr>
        <w:tc>
          <w:tcPr>
            <w:tcW w:w="994" w:type="dxa"/>
          </w:tcPr>
          <w:p w:rsidR="007C5447" w:rsidRDefault="00F6308C">
            <w:pPr>
              <w:pStyle w:val="TableParagraph"/>
              <w:spacing w:line="275" w:lineRule="exact"/>
              <w:ind w:left="110"/>
              <w:jc w:val="left"/>
              <w:rPr>
                <w:sz w:val="24"/>
              </w:rPr>
            </w:pPr>
            <w:r>
              <w:rPr>
                <w:sz w:val="24"/>
              </w:rPr>
              <w:t>11.</w:t>
            </w:r>
          </w:p>
        </w:tc>
        <w:tc>
          <w:tcPr>
            <w:tcW w:w="7466" w:type="dxa"/>
          </w:tcPr>
          <w:p w:rsidR="007C5447" w:rsidRDefault="00F6308C">
            <w:pPr>
              <w:pStyle w:val="TableParagraph"/>
              <w:spacing w:line="275" w:lineRule="exact"/>
              <w:ind w:left="107"/>
              <w:jc w:val="left"/>
              <w:rPr>
                <w:sz w:val="24"/>
              </w:rPr>
            </w:pPr>
            <w:r>
              <w:rPr>
                <w:sz w:val="24"/>
              </w:rPr>
              <w:t>Thiru.M.Anandkumar,</w:t>
            </w:r>
          </w:p>
          <w:p w:rsidR="007C5447" w:rsidRDefault="00F6308C">
            <w:pPr>
              <w:pStyle w:val="TableParagraph"/>
              <w:spacing w:before="41" w:line="276" w:lineRule="auto"/>
              <w:ind w:left="167" w:right="3262" w:hanging="60"/>
              <w:jc w:val="left"/>
              <w:rPr>
                <w:sz w:val="24"/>
              </w:rPr>
            </w:pPr>
            <w:r>
              <w:rPr>
                <w:sz w:val="24"/>
              </w:rPr>
              <w:t>Treasurer, Madurai Spinners Association, D-35, Sidco Industrial Estate, First Floor,</w:t>
            </w:r>
          </w:p>
          <w:p w:rsidR="007C5447" w:rsidRDefault="00F6308C">
            <w:pPr>
              <w:pStyle w:val="TableParagraph"/>
              <w:spacing w:before="1"/>
              <w:ind w:left="167"/>
              <w:jc w:val="left"/>
              <w:rPr>
                <w:sz w:val="24"/>
              </w:rPr>
            </w:pPr>
            <w:r>
              <w:rPr>
                <w:sz w:val="24"/>
              </w:rPr>
              <w:t>Kappalur, Madurai-625008.</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12.</w:t>
            </w:r>
          </w:p>
        </w:tc>
        <w:tc>
          <w:tcPr>
            <w:tcW w:w="7466" w:type="dxa"/>
          </w:tcPr>
          <w:p w:rsidR="007C5447" w:rsidRDefault="00F6308C">
            <w:pPr>
              <w:pStyle w:val="TableParagraph"/>
              <w:spacing w:line="275" w:lineRule="exact"/>
              <w:ind w:left="107"/>
              <w:jc w:val="left"/>
              <w:rPr>
                <w:sz w:val="24"/>
              </w:rPr>
            </w:pPr>
            <w:r>
              <w:rPr>
                <w:sz w:val="24"/>
              </w:rPr>
              <w:t>Thiru T.K. Chandramohan,</w:t>
            </w:r>
          </w:p>
          <w:p w:rsidR="007C5447" w:rsidRDefault="00F6308C">
            <w:pPr>
              <w:pStyle w:val="TableParagraph"/>
              <w:spacing w:before="41"/>
              <w:ind w:left="167"/>
              <w:jc w:val="left"/>
              <w:rPr>
                <w:sz w:val="24"/>
              </w:rPr>
            </w:pPr>
            <w:r>
              <w:rPr>
                <w:sz w:val="24"/>
              </w:rPr>
              <w:t>14, CSB Lane, Old Kuyaparapalayam Road, Madurai-9.</w:t>
            </w:r>
          </w:p>
        </w:tc>
      </w:tr>
    </w:tbl>
    <w:p w:rsidR="007C5447" w:rsidRDefault="007C5447">
      <w:pPr>
        <w:rPr>
          <w:sz w:val="24"/>
        </w:rPr>
        <w:sectPr w:rsidR="007C5447">
          <w:pgSz w:w="11910" w:h="16840"/>
          <w:pgMar w:top="1360" w:right="1300" w:bottom="1240" w:left="1000" w:header="0" w:footer="777" w:gutter="0"/>
          <w:cols w:space="720"/>
        </w:sectPr>
      </w:pP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7466"/>
      </w:tblGrid>
      <w:tr w:rsidR="007C5447">
        <w:trPr>
          <w:trHeight w:val="316"/>
        </w:trPr>
        <w:tc>
          <w:tcPr>
            <w:tcW w:w="994" w:type="dxa"/>
          </w:tcPr>
          <w:p w:rsidR="007C5447" w:rsidRDefault="00F6308C">
            <w:pPr>
              <w:pStyle w:val="TableParagraph"/>
              <w:spacing w:line="275" w:lineRule="exact"/>
              <w:ind w:left="110"/>
              <w:jc w:val="left"/>
              <w:rPr>
                <w:b/>
                <w:sz w:val="24"/>
              </w:rPr>
            </w:pPr>
            <w:r>
              <w:rPr>
                <w:b/>
                <w:sz w:val="24"/>
              </w:rPr>
              <w:lastRenderedPageBreak/>
              <w:t>Sl. No.</w:t>
            </w:r>
          </w:p>
        </w:tc>
        <w:tc>
          <w:tcPr>
            <w:tcW w:w="7466" w:type="dxa"/>
          </w:tcPr>
          <w:p w:rsidR="007C5447" w:rsidRDefault="00F6308C">
            <w:pPr>
              <w:pStyle w:val="TableParagraph"/>
              <w:spacing w:line="275" w:lineRule="exact"/>
              <w:ind w:left="107"/>
              <w:jc w:val="left"/>
              <w:rPr>
                <w:b/>
                <w:sz w:val="24"/>
              </w:rPr>
            </w:pPr>
            <w:r>
              <w:rPr>
                <w:b/>
                <w:sz w:val="24"/>
              </w:rPr>
              <w:t>Name and Address</w:t>
            </w:r>
          </w:p>
        </w:tc>
      </w:tr>
      <w:tr w:rsidR="007C5447">
        <w:trPr>
          <w:trHeight w:val="635"/>
        </w:trPr>
        <w:tc>
          <w:tcPr>
            <w:tcW w:w="994" w:type="dxa"/>
          </w:tcPr>
          <w:p w:rsidR="007C5447" w:rsidRDefault="00F6308C">
            <w:pPr>
              <w:pStyle w:val="TableParagraph"/>
              <w:spacing w:before="1"/>
              <w:ind w:left="110"/>
              <w:jc w:val="left"/>
              <w:rPr>
                <w:sz w:val="24"/>
              </w:rPr>
            </w:pPr>
            <w:r>
              <w:rPr>
                <w:sz w:val="24"/>
              </w:rPr>
              <w:t>13.</w:t>
            </w:r>
          </w:p>
        </w:tc>
        <w:tc>
          <w:tcPr>
            <w:tcW w:w="7466" w:type="dxa"/>
          </w:tcPr>
          <w:p w:rsidR="007C5447" w:rsidRDefault="00F6308C">
            <w:pPr>
              <w:pStyle w:val="TableParagraph"/>
              <w:spacing w:before="1"/>
              <w:ind w:left="107"/>
              <w:jc w:val="left"/>
              <w:rPr>
                <w:sz w:val="24"/>
              </w:rPr>
            </w:pPr>
            <w:r>
              <w:rPr>
                <w:sz w:val="24"/>
              </w:rPr>
              <w:t>Thiru N.K. Gupta,</w:t>
            </w:r>
          </w:p>
          <w:p w:rsidR="007C5447" w:rsidRDefault="00F6308C">
            <w:pPr>
              <w:pStyle w:val="TableParagraph"/>
              <w:spacing w:before="41"/>
              <w:ind w:left="107"/>
              <w:jc w:val="left"/>
              <w:rPr>
                <w:sz w:val="24"/>
              </w:rPr>
            </w:pPr>
            <w:r>
              <w:rPr>
                <w:sz w:val="24"/>
              </w:rPr>
              <w:t>Chief Electrical Engineer, Southern Railway.</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14.</w:t>
            </w:r>
          </w:p>
        </w:tc>
        <w:tc>
          <w:tcPr>
            <w:tcW w:w="7466" w:type="dxa"/>
          </w:tcPr>
          <w:p w:rsidR="007C5447" w:rsidRDefault="00F6308C">
            <w:pPr>
              <w:pStyle w:val="TableParagraph"/>
              <w:spacing w:line="275" w:lineRule="exact"/>
              <w:ind w:left="107"/>
              <w:jc w:val="left"/>
              <w:rPr>
                <w:sz w:val="24"/>
              </w:rPr>
            </w:pPr>
            <w:r>
              <w:rPr>
                <w:sz w:val="24"/>
              </w:rPr>
              <w:t>Thiru V.K. Sathishkumar,</w:t>
            </w:r>
          </w:p>
          <w:p w:rsidR="007C5447" w:rsidRDefault="00F6308C">
            <w:pPr>
              <w:pStyle w:val="TableParagraph"/>
              <w:spacing w:before="9" w:line="320" w:lineRule="exact"/>
              <w:ind w:left="107" w:right="2517"/>
              <w:jc w:val="left"/>
              <w:rPr>
                <w:sz w:val="24"/>
              </w:rPr>
            </w:pPr>
            <w:r>
              <w:rPr>
                <w:sz w:val="24"/>
              </w:rPr>
              <w:t>Kancheepuram Apex, Hand-Loom Weaver’s Silk, 140, East Veli Street, Madurai-625001.</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15.</w:t>
            </w:r>
          </w:p>
        </w:tc>
        <w:tc>
          <w:tcPr>
            <w:tcW w:w="7466" w:type="dxa"/>
          </w:tcPr>
          <w:p w:rsidR="007C5447" w:rsidRDefault="00F6308C">
            <w:pPr>
              <w:pStyle w:val="TableParagraph"/>
              <w:spacing w:line="275" w:lineRule="exact"/>
              <w:ind w:left="107"/>
              <w:jc w:val="left"/>
              <w:rPr>
                <w:sz w:val="24"/>
              </w:rPr>
            </w:pPr>
            <w:r>
              <w:rPr>
                <w:sz w:val="24"/>
              </w:rPr>
              <w:t>Thiru V.S. Subramaniyan,</w:t>
            </w:r>
          </w:p>
          <w:p w:rsidR="007C5447" w:rsidRDefault="00F6308C">
            <w:pPr>
              <w:pStyle w:val="TableParagraph"/>
              <w:spacing w:before="9" w:line="320" w:lineRule="exact"/>
              <w:ind w:left="167" w:right="1284"/>
              <w:jc w:val="left"/>
              <w:rPr>
                <w:sz w:val="24"/>
              </w:rPr>
            </w:pPr>
            <w:r>
              <w:rPr>
                <w:sz w:val="24"/>
              </w:rPr>
              <w:t>The Kancheepuram Kamashiamman, Silk Co-op. Society Ltd. No.G-1612, 139, East Veli Street, Madurai-625001.</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16.</w:t>
            </w:r>
          </w:p>
        </w:tc>
        <w:tc>
          <w:tcPr>
            <w:tcW w:w="7466" w:type="dxa"/>
          </w:tcPr>
          <w:p w:rsidR="007C5447" w:rsidRDefault="00F6308C">
            <w:pPr>
              <w:pStyle w:val="TableParagraph"/>
              <w:spacing w:line="275" w:lineRule="exact"/>
              <w:ind w:left="107"/>
              <w:jc w:val="left"/>
              <w:rPr>
                <w:sz w:val="24"/>
              </w:rPr>
            </w:pPr>
            <w:r>
              <w:rPr>
                <w:sz w:val="24"/>
              </w:rPr>
              <w:t>Thiru V.S. Sundarlal,</w:t>
            </w:r>
          </w:p>
          <w:p w:rsidR="007C5447" w:rsidRDefault="00F6308C">
            <w:pPr>
              <w:pStyle w:val="TableParagraph"/>
              <w:spacing w:before="41"/>
              <w:ind w:left="167"/>
              <w:jc w:val="left"/>
              <w:rPr>
                <w:sz w:val="24"/>
              </w:rPr>
            </w:pPr>
            <w:r>
              <w:rPr>
                <w:sz w:val="24"/>
              </w:rPr>
              <w:t>Dr. Kalaignar Karunanithi Silk Weavers P&amp;S Society Ltd.,</w:t>
            </w:r>
          </w:p>
          <w:p w:rsidR="007C5447" w:rsidRDefault="00F6308C">
            <w:pPr>
              <w:pStyle w:val="TableParagraph"/>
              <w:spacing w:before="40"/>
              <w:ind w:left="167"/>
              <w:jc w:val="left"/>
              <w:rPr>
                <w:sz w:val="24"/>
              </w:rPr>
            </w:pPr>
            <w:r>
              <w:rPr>
                <w:sz w:val="24"/>
              </w:rPr>
              <w:t>K.H. No. 139, East Veli Street, Madurai-625001.</w:t>
            </w:r>
          </w:p>
        </w:tc>
      </w:tr>
      <w:tr w:rsidR="007C5447">
        <w:trPr>
          <w:trHeight w:val="952"/>
        </w:trPr>
        <w:tc>
          <w:tcPr>
            <w:tcW w:w="994" w:type="dxa"/>
          </w:tcPr>
          <w:p w:rsidR="007C5447" w:rsidRDefault="00F6308C">
            <w:pPr>
              <w:pStyle w:val="TableParagraph"/>
              <w:spacing w:line="276" w:lineRule="exact"/>
              <w:ind w:left="110"/>
              <w:jc w:val="left"/>
              <w:rPr>
                <w:sz w:val="24"/>
              </w:rPr>
            </w:pPr>
            <w:r>
              <w:rPr>
                <w:sz w:val="24"/>
              </w:rPr>
              <w:t>17.</w:t>
            </w:r>
          </w:p>
        </w:tc>
        <w:tc>
          <w:tcPr>
            <w:tcW w:w="7466" w:type="dxa"/>
          </w:tcPr>
          <w:p w:rsidR="007C5447" w:rsidRDefault="00F6308C">
            <w:pPr>
              <w:pStyle w:val="TableParagraph"/>
              <w:spacing w:line="276" w:lineRule="exact"/>
              <w:ind w:left="107"/>
              <w:jc w:val="left"/>
              <w:rPr>
                <w:sz w:val="24"/>
              </w:rPr>
            </w:pPr>
            <w:r>
              <w:rPr>
                <w:sz w:val="24"/>
              </w:rPr>
              <w:t>Thiru V.S. Kannan,</w:t>
            </w:r>
          </w:p>
          <w:p w:rsidR="007C5447" w:rsidRDefault="00F6308C">
            <w:pPr>
              <w:pStyle w:val="TableParagraph"/>
              <w:spacing w:before="7" w:line="310" w:lineRule="atLeast"/>
              <w:ind w:left="167" w:right="277" w:hanging="60"/>
              <w:jc w:val="left"/>
              <w:rPr>
                <w:sz w:val="24"/>
              </w:rPr>
            </w:pPr>
            <w:r>
              <w:rPr>
                <w:sz w:val="24"/>
              </w:rPr>
              <w:t>Arignar Anna Silk Hand-loom, Weaver’s Co-op. P&amp;S Society Ltd. No.KH., 141, East Veli Street, Madurai-625001.</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18.</w:t>
            </w:r>
          </w:p>
        </w:tc>
        <w:tc>
          <w:tcPr>
            <w:tcW w:w="7466" w:type="dxa"/>
          </w:tcPr>
          <w:p w:rsidR="007C5447" w:rsidRDefault="00F6308C">
            <w:pPr>
              <w:pStyle w:val="TableParagraph"/>
              <w:spacing w:line="275" w:lineRule="exact"/>
              <w:ind w:left="107"/>
              <w:jc w:val="left"/>
              <w:rPr>
                <w:sz w:val="24"/>
              </w:rPr>
            </w:pPr>
            <w:r>
              <w:rPr>
                <w:sz w:val="24"/>
              </w:rPr>
              <w:t>Thiru C. Virumaandi,</w:t>
            </w:r>
          </w:p>
          <w:p w:rsidR="007C5447" w:rsidRDefault="00F6308C">
            <w:pPr>
              <w:pStyle w:val="TableParagraph"/>
              <w:spacing w:before="41"/>
              <w:ind w:left="107"/>
              <w:jc w:val="left"/>
              <w:rPr>
                <w:sz w:val="24"/>
              </w:rPr>
            </w:pPr>
            <w:r>
              <w:rPr>
                <w:sz w:val="24"/>
              </w:rPr>
              <w:t>108, E/5, Coodal Malai Street, Thiruparangkundram.</w:t>
            </w:r>
          </w:p>
        </w:tc>
      </w:tr>
    </w:tbl>
    <w:p w:rsidR="007C5447" w:rsidRDefault="007C5447">
      <w:pPr>
        <w:pStyle w:val="BodyText"/>
        <w:rPr>
          <w:sz w:val="20"/>
        </w:rPr>
      </w:pPr>
    </w:p>
    <w:p w:rsidR="007C5447" w:rsidRDefault="007C5447">
      <w:pPr>
        <w:pStyle w:val="BodyText"/>
        <w:rPr>
          <w:sz w:val="20"/>
        </w:rPr>
      </w:pPr>
    </w:p>
    <w:p w:rsidR="007C5447" w:rsidRDefault="007C5447">
      <w:pPr>
        <w:pStyle w:val="BodyText"/>
        <w:spacing w:before="1"/>
        <w:rPr>
          <w:sz w:val="25"/>
        </w:rPr>
      </w:pPr>
    </w:p>
    <w:p w:rsidR="007C5447" w:rsidRDefault="00F6308C">
      <w:pPr>
        <w:pStyle w:val="BodyText"/>
        <w:spacing w:before="90" w:line="312" w:lineRule="auto"/>
        <w:ind w:left="132"/>
      </w:pPr>
      <w:r>
        <w:t>List of stakeholders who have submitted written objections/suggestions submitted at Coimbatore Public Hearing</w:t>
      </w:r>
    </w:p>
    <w:p w:rsidR="007C5447" w:rsidRDefault="007C5447">
      <w:pPr>
        <w:pStyle w:val="BodyText"/>
        <w:spacing w:before="6"/>
        <w:rPr>
          <w:sz w:val="10"/>
        </w:rPr>
      </w:pP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7466"/>
      </w:tblGrid>
      <w:tr w:rsidR="007C5447">
        <w:trPr>
          <w:trHeight w:val="316"/>
        </w:trPr>
        <w:tc>
          <w:tcPr>
            <w:tcW w:w="994" w:type="dxa"/>
          </w:tcPr>
          <w:p w:rsidR="007C5447" w:rsidRDefault="00F6308C">
            <w:pPr>
              <w:pStyle w:val="TableParagraph"/>
              <w:spacing w:line="275" w:lineRule="exact"/>
              <w:ind w:left="110"/>
              <w:jc w:val="left"/>
              <w:rPr>
                <w:b/>
                <w:sz w:val="24"/>
              </w:rPr>
            </w:pPr>
            <w:r>
              <w:rPr>
                <w:b/>
                <w:sz w:val="24"/>
              </w:rPr>
              <w:t>Sl. No.</w:t>
            </w:r>
          </w:p>
        </w:tc>
        <w:tc>
          <w:tcPr>
            <w:tcW w:w="7466" w:type="dxa"/>
          </w:tcPr>
          <w:p w:rsidR="007C5447" w:rsidRDefault="00F6308C">
            <w:pPr>
              <w:pStyle w:val="TableParagraph"/>
              <w:spacing w:line="275" w:lineRule="exact"/>
              <w:ind w:left="107"/>
              <w:jc w:val="left"/>
              <w:rPr>
                <w:b/>
                <w:sz w:val="24"/>
              </w:rPr>
            </w:pPr>
            <w:r>
              <w:rPr>
                <w:b/>
                <w:sz w:val="24"/>
              </w:rPr>
              <w:t>Name and Address</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w:t>
            </w:r>
          </w:p>
        </w:tc>
        <w:tc>
          <w:tcPr>
            <w:tcW w:w="7466" w:type="dxa"/>
          </w:tcPr>
          <w:p w:rsidR="007C5447" w:rsidRDefault="00F6308C">
            <w:pPr>
              <w:pStyle w:val="TableParagraph"/>
              <w:spacing w:line="275" w:lineRule="exact"/>
              <w:ind w:left="107"/>
              <w:jc w:val="left"/>
              <w:rPr>
                <w:sz w:val="24"/>
              </w:rPr>
            </w:pPr>
            <w:r>
              <w:rPr>
                <w:sz w:val="24"/>
              </w:rPr>
              <w:t>Thiru P. Dhandapani, Secretary, Avinashi Rice Mill &amp; Paddy, Rice</w:t>
            </w:r>
          </w:p>
          <w:p w:rsidR="007C5447" w:rsidRDefault="00F6308C">
            <w:pPr>
              <w:pStyle w:val="TableParagraph"/>
              <w:spacing w:before="43"/>
              <w:ind w:left="107"/>
              <w:jc w:val="left"/>
              <w:rPr>
                <w:sz w:val="24"/>
              </w:rPr>
            </w:pPr>
            <w:r>
              <w:rPr>
                <w:sz w:val="24"/>
              </w:rPr>
              <w:t>Merchant Association, cheyur Road, Avinashi 641 654.</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2</w:t>
            </w:r>
          </w:p>
        </w:tc>
        <w:tc>
          <w:tcPr>
            <w:tcW w:w="7466" w:type="dxa"/>
          </w:tcPr>
          <w:p w:rsidR="007C5447" w:rsidRDefault="00F6308C">
            <w:pPr>
              <w:pStyle w:val="TableParagraph"/>
              <w:spacing w:line="276" w:lineRule="auto"/>
              <w:ind w:left="107" w:right="484"/>
              <w:jc w:val="left"/>
              <w:rPr>
                <w:sz w:val="24"/>
              </w:rPr>
            </w:pPr>
            <w:r>
              <w:rPr>
                <w:sz w:val="24"/>
              </w:rPr>
              <w:t>Thiru S. Pazhanisami, President, Kangayam Taluk Arisi Aalai Urimaiyalargal Sangam, 6/33-A, Ayyasamy Nagar colony, Main Road,</w:t>
            </w:r>
          </w:p>
          <w:p w:rsidR="007C5447" w:rsidRDefault="00F6308C">
            <w:pPr>
              <w:pStyle w:val="TableParagraph"/>
              <w:ind w:left="107"/>
              <w:jc w:val="left"/>
              <w:rPr>
                <w:sz w:val="24"/>
              </w:rPr>
            </w:pPr>
            <w:r>
              <w:rPr>
                <w:sz w:val="24"/>
              </w:rPr>
              <w:t>Kangayam – 638 701.</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3</w:t>
            </w:r>
          </w:p>
        </w:tc>
        <w:tc>
          <w:tcPr>
            <w:tcW w:w="7466" w:type="dxa"/>
          </w:tcPr>
          <w:p w:rsidR="007C5447" w:rsidRDefault="00F6308C">
            <w:pPr>
              <w:pStyle w:val="TableParagraph"/>
              <w:spacing w:line="275" w:lineRule="exact"/>
              <w:ind w:left="107"/>
              <w:jc w:val="left"/>
              <w:rPr>
                <w:sz w:val="24"/>
              </w:rPr>
            </w:pPr>
            <w:r>
              <w:rPr>
                <w:sz w:val="24"/>
              </w:rPr>
              <w:t>Thiru P. Murugesan, Secretary, Erode, Kodumudi, Modakurichi Taluk</w:t>
            </w:r>
          </w:p>
          <w:p w:rsidR="007C5447" w:rsidRDefault="00F6308C">
            <w:pPr>
              <w:pStyle w:val="TableParagraph"/>
              <w:spacing w:before="7" w:line="310" w:lineRule="atLeast"/>
              <w:ind w:left="107" w:right="1596"/>
              <w:jc w:val="left"/>
              <w:rPr>
                <w:sz w:val="24"/>
              </w:rPr>
            </w:pPr>
            <w:r>
              <w:rPr>
                <w:sz w:val="24"/>
              </w:rPr>
              <w:t>Rice Mill Owners Association, 217/3, Karur</w:t>
            </w:r>
            <w:r>
              <w:rPr>
                <w:sz w:val="24"/>
              </w:rPr>
              <w:t>-By Pass Road, Kollampalayam, Erode – 638 002.</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4</w:t>
            </w:r>
          </w:p>
        </w:tc>
        <w:tc>
          <w:tcPr>
            <w:tcW w:w="7466" w:type="dxa"/>
          </w:tcPr>
          <w:p w:rsidR="007C5447" w:rsidRDefault="00F6308C">
            <w:pPr>
              <w:pStyle w:val="TableParagraph"/>
              <w:spacing w:line="275" w:lineRule="exact"/>
              <w:ind w:left="107"/>
              <w:jc w:val="left"/>
              <w:rPr>
                <w:sz w:val="24"/>
              </w:rPr>
            </w:pPr>
            <w:r>
              <w:rPr>
                <w:sz w:val="24"/>
              </w:rPr>
              <w:t>Thiru R. Pazhanisamy, Secretary, Perunthurai Taluk Rice Mill Owners</w:t>
            </w:r>
          </w:p>
          <w:p w:rsidR="007C5447" w:rsidRDefault="00F6308C">
            <w:pPr>
              <w:pStyle w:val="TableParagraph"/>
              <w:spacing w:before="41"/>
              <w:ind w:left="107"/>
              <w:jc w:val="left"/>
              <w:rPr>
                <w:sz w:val="24"/>
              </w:rPr>
            </w:pPr>
            <w:r>
              <w:rPr>
                <w:sz w:val="24"/>
              </w:rPr>
              <w:t>Association, 567, Old Bus Depo, Perunthurai – 638052.</w:t>
            </w:r>
          </w:p>
        </w:tc>
      </w:tr>
      <w:tr w:rsidR="007C5447">
        <w:trPr>
          <w:trHeight w:val="636"/>
        </w:trPr>
        <w:tc>
          <w:tcPr>
            <w:tcW w:w="994" w:type="dxa"/>
          </w:tcPr>
          <w:p w:rsidR="007C5447" w:rsidRDefault="00F6308C">
            <w:pPr>
              <w:pStyle w:val="TableParagraph"/>
              <w:spacing w:line="275" w:lineRule="exact"/>
              <w:ind w:left="110"/>
              <w:jc w:val="left"/>
              <w:rPr>
                <w:sz w:val="24"/>
              </w:rPr>
            </w:pPr>
            <w:r>
              <w:rPr>
                <w:sz w:val="24"/>
              </w:rPr>
              <w:t>5</w:t>
            </w:r>
          </w:p>
        </w:tc>
        <w:tc>
          <w:tcPr>
            <w:tcW w:w="7466" w:type="dxa"/>
          </w:tcPr>
          <w:p w:rsidR="007C5447" w:rsidRDefault="00F6308C">
            <w:pPr>
              <w:pStyle w:val="TableParagraph"/>
              <w:spacing w:line="275" w:lineRule="exact"/>
              <w:ind w:left="107"/>
              <w:jc w:val="left"/>
              <w:rPr>
                <w:sz w:val="24"/>
              </w:rPr>
            </w:pPr>
            <w:r>
              <w:rPr>
                <w:sz w:val="24"/>
              </w:rPr>
              <w:t>Thiru R. Sathish, President, Uthukuli Taluk Rice Mill Owners Association,</w:t>
            </w:r>
          </w:p>
          <w:p w:rsidR="007C5447" w:rsidRDefault="00F6308C">
            <w:pPr>
              <w:pStyle w:val="TableParagraph"/>
              <w:spacing w:before="44"/>
              <w:ind w:left="107"/>
              <w:jc w:val="left"/>
              <w:rPr>
                <w:sz w:val="24"/>
              </w:rPr>
            </w:pPr>
            <w:r>
              <w:rPr>
                <w:sz w:val="24"/>
              </w:rPr>
              <w:t>Uthukuli – 638 751, Tirupur District.</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6</w:t>
            </w:r>
          </w:p>
        </w:tc>
        <w:tc>
          <w:tcPr>
            <w:tcW w:w="7466" w:type="dxa"/>
          </w:tcPr>
          <w:p w:rsidR="007C5447" w:rsidRDefault="00F6308C">
            <w:pPr>
              <w:pStyle w:val="TableParagraph"/>
              <w:spacing w:line="275" w:lineRule="exact"/>
              <w:ind w:left="107"/>
              <w:jc w:val="left"/>
              <w:rPr>
                <w:sz w:val="24"/>
              </w:rPr>
            </w:pPr>
            <w:r>
              <w:rPr>
                <w:sz w:val="24"/>
              </w:rPr>
              <w:t>Thiru M. Ramasamy, President, Tiruppur District Rice Mill Owners</w:t>
            </w:r>
          </w:p>
          <w:p w:rsidR="007C5447" w:rsidRDefault="00F6308C">
            <w:pPr>
              <w:pStyle w:val="TableParagraph"/>
              <w:spacing w:before="41"/>
              <w:ind w:left="107"/>
              <w:jc w:val="left"/>
              <w:rPr>
                <w:sz w:val="24"/>
              </w:rPr>
            </w:pPr>
            <w:r>
              <w:rPr>
                <w:sz w:val="24"/>
              </w:rPr>
              <w:t>Association, 160, Sennimalai Road, Kangayam-638 701, Tiruppur District.</w:t>
            </w:r>
          </w:p>
        </w:tc>
      </w:tr>
      <w:tr w:rsidR="007C5447">
        <w:trPr>
          <w:trHeight w:val="950"/>
        </w:trPr>
        <w:tc>
          <w:tcPr>
            <w:tcW w:w="994" w:type="dxa"/>
          </w:tcPr>
          <w:p w:rsidR="007C5447" w:rsidRDefault="00F6308C">
            <w:pPr>
              <w:pStyle w:val="TableParagraph"/>
              <w:spacing w:line="275" w:lineRule="exact"/>
              <w:ind w:left="110"/>
              <w:jc w:val="left"/>
              <w:rPr>
                <w:sz w:val="24"/>
              </w:rPr>
            </w:pPr>
            <w:r>
              <w:rPr>
                <w:sz w:val="24"/>
              </w:rPr>
              <w:t>7</w:t>
            </w:r>
          </w:p>
        </w:tc>
        <w:tc>
          <w:tcPr>
            <w:tcW w:w="7466" w:type="dxa"/>
          </w:tcPr>
          <w:p w:rsidR="007C5447" w:rsidRDefault="00F6308C">
            <w:pPr>
              <w:pStyle w:val="TableParagraph"/>
              <w:spacing w:line="275" w:lineRule="exact"/>
              <w:ind w:left="107"/>
              <w:jc w:val="left"/>
              <w:rPr>
                <w:sz w:val="24"/>
              </w:rPr>
            </w:pPr>
            <w:r>
              <w:rPr>
                <w:sz w:val="24"/>
              </w:rPr>
              <w:t>Thiru P. Chandrasekar, President, Erode District Rice Mill Owners and</w:t>
            </w:r>
          </w:p>
          <w:p w:rsidR="007C5447" w:rsidRDefault="00F6308C">
            <w:pPr>
              <w:pStyle w:val="TableParagraph"/>
              <w:spacing w:before="7" w:line="310" w:lineRule="atLeast"/>
              <w:ind w:left="107" w:right="483"/>
              <w:jc w:val="left"/>
              <w:rPr>
                <w:sz w:val="24"/>
              </w:rPr>
            </w:pPr>
            <w:r>
              <w:rPr>
                <w:sz w:val="24"/>
              </w:rPr>
              <w:t>Paddy-Rice Whole sale Assciation, 217/4, Rice Mill Owners Arangam, Karur By-Pass Road, Kollampalayam, Erode – 638 002.</w:t>
            </w:r>
          </w:p>
        </w:tc>
      </w:tr>
      <w:tr w:rsidR="007C5447">
        <w:trPr>
          <w:trHeight w:val="318"/>
        </w:trPr>
        <w:tc>
          <w:tcPr>
            <w:tcW w:w="994" w:type="dxa"/>
          </w:tcPr>
          <w:p w:rsidR="007C5447" w:rsidRDefault="00F6308C">
            <w:pPr>
              <w:pStyle w:val="TableParagraph"/>
              <w:spacing w:before="1"/>
              <w:ind w:left="110"/>
              <w:jc w:val="left"/>
              <w:rPr>
                <w:sz w:val="24"/>
              </w:rPr>
            </w:pPr>
            <w:r>
              <w:rPr>
                <w:sz w:val="24"/>
              </w:rPr>
              <w:t>8</w:t>
            </w:r>
          </w:p>
        </w:tc>
        <w:tc>
          <w:tcPr>
            <w:tcW w:w="7466" w:type="dxa"/>
          </w:tcPr>
          <w:p w:rsidR="007C5447" w:rsidRDefault="00F6308C">
            <w:pPr>
              <w:pStyle w:val="TableParagraph"/>
              <w:spacing w:before="1"/>
              <w:ind w:left="107"/>
              <w:jc w:val="left"/>
              <w:rPr>
                <w:sz w:val="24"/>
              </w:rPr>
            </w:pPr>
            <w:r>
              <w:rPr>
                <w:sz w:val="24"/>
              </w:rPr>
              <w:t>Thiru K.P. Rathinasamy, President, Gobi District Rice Mill Owners</w:t>
            </w:r>
          </w:p>
        </w:tc>
      </w:tr>
    </w:tbl>
    <w:p w:rsidR="007C5447" w:rsidRDefault="007C5447">
      <w:pPr>
        <w:rPr>
          <w:sz w:val="24"/>
        </w:rPr>
        <w:sectPr w:rsidR="007C5447">
          <w:pgSz w:w="11910" w:h="16840"/>
          <w:pgMar w:top="1420" w:right="1300" w:bottom="1240" w:left="1000" w:header="0" w:footer="777" w:gutter="0"/>
          <w:cols w:space="720"/>
        </w:sectPr>
      </w:pP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7466"/>
      </w:tblGrid>
      <w:tr w:rsidR="007C5447">
        <w:trPr>
          <w:trHeight w:val="316"/>
        </w:trPr>
        <w:tc>
          <w:tcPr>
            <w:tcW w:w="994" w:type="dxa"/>
          </w:tcPr>
          <w:p w:rsidR="007C5447" w:rsidRDefault="00F6308C">
            <w:pPr>
              <w:pStyle w:val="TableParagraph"/>
              <w:spacing w:line="275" w:lineRule="exact"/>
              <w:ind w:left="110"/>
              <w:jc w:val="left"/>
              <w:rPr>
                <w:b/>
                <w:sz w:val="24"/>
              </w:rPr>
            </w:pPr>
            <w:r>
              <w:rPr>
                <w:b/>
                <w:sz w:val="24"/>
              </w:rPr>
              <w:lastRenderedPageBreak/>
              <w:t>Sl. No.</w:t>
            </w:r>
          </w:p>
        </w:tc>
        <w:tc>
          <w:tcPr>
            <w:tcW w:w="7466" w:type="dxa"/>
          </w:tcPr>
          <w:p w:rsidR="007C5447" w:rsidRDefault="00F6308C">
            <w:pPr>
              <w:pStyle w:val="TableParagraph"/>
              <w:spacing w:line="275" w:lineRule="exact"/>
              <w:ind w:left="107"/>
              <w:jc w:val="left"/>
              <w:rPr>
                <w:b/>
                <w:sz w:val="24"/>
              </w:rPr>
            </w:pPr>
            <w:r>
              <w:rPr>
                <w:b/>
                <w:sz w:val="24"/>
              </w:rPr>
              <w:t>Name and Address</w:t>
            </w:r>
          </w:p>
        </w:tc>
      </w:tr>
      <w:tr w:rsidR="007C5447">
        <w:trPr>
          <w:trHeight w:val="635"/>
        </w:trPr>
        <w:tc>
          <w:tcPr>
            <w:tcW w:w="994" w:type="dxa"/>
          </w:tcPr>
          <w:p w:rsidR="007C5447" w:rsidRDefault="007C5447">
            <w:pPr>
              <w:pStyle w:val="TableParagraph"/>
              <w:jc w:val="left"/>
              <w:rPr>
                <w:sz w:val="24"/>
              </w:rPr>
            </w:pPr>
          </w:p>
        </w:tc>
        <w:tc>
          <w:tcPr>
            <w:tcW w:w="7466" w:type="dxa"/>
          </w:tcPr>
          <w:p w:rsidR="007C5447" w:rsidRDefault="00F6308C">
            <w:pPr>
              <w:pStyle w:val="TableParagraph"/>
              <w:spacing w:before="1"/>
              <w:ind w:left="107"/>
              <w:jc w:val="left"/>
              <w:rPr>
                <w:sz w:val="24"/>
              </w:rPr>
            </w:pPr>
            <w:r>
              <w:rPr>
                <w:sz w:val="24"/>
              </w:rPr>
              <w:t>Association, 141, Veerasamy Street, Paariyur Road, Gobichettipalyam –</w:t>
            </w:r>
          </w:p>
          <w:p w:rsidR="007C5447" w:rsidRDefault="00F6308C">
            <w:pPr>
              <w:pStyle w:val="TableParagraph"/>
              <w:spacing w:before="41"/>
              <w:ind w:left="107"/>
              <w:jc w:val="left"/>
              <w:rPr>
                <w:sz w:val="24"/>
              </w:rPr>
            </w:pPr>
            <w:r>
              <w:rPr>
                <w:sz w:val="24"/>
              </w:rPr>
              <w:t>638 476.</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9</w:t>
            </w:r>
          </w:p>
        </w:tc>
        <w:tc>
          <w:tcPr>
            <w:tcW w:w="7466" w:type="dxa"/>
          </w:tcPr>
          <w:p w:rsidR="007C5447" w:rsidRDefault="00F6308C">
            <w:pPr>
              <w:pStyle w:val="TableParagraph"/>
              <w:spacing w:line="276" w:lineRule="auto"/>
              <w:ind w:left="107" w:right="349"/>
              <w:jc w:val="left"/>
              <w:rPr>
                <w:sz w:val="24"/>
              </w:rPr>
            </w:pPr>
            <w:r>
              <w:rPr>
                <w:sz w:val="24"/>
              </w:rPr>
              <w:t>Thiru K. Ilango, Secretary, Tamil Nadu Electricity Consumers’ Association, 1st Floor, SIEMA Building, 8/4, Race Course, Coimbatore-</w:t>
            </w:r>
          </w:p>
          <w:p w:rsidR="007C5447" w:rsidRDefault="00F6308C">
            <w:pPr>
              <w:pStyle w:val="TableParagraph"/>
              <w:ind w:left="107"/>
              <w:jc w:val="left"/>
              <w:rPr>
                <w:sz w:val="24"/>
              </w:rPr>
            </w:pPr>
            <w:r>
              <w:rPr>
                <w:sz w:val="24"/>
              </w:rPr>
              <w:t>641 018.</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10</w:t>
            </w:r>
          </w:p>
        </w:tc>
        <w:tc>
          <w:tcPr>
            <w:tcW w:w="7466" w:type="dxa"/>
          </w:tcPr>
          <w:p w:rsidR="007C5447" w:rsidRDefault="00F6308C">
            <w:pPr>
              <w:pStyle w:val="TableParagraph"/>
              <w:spacing w:line="275" w:lineRule="exact"/>
              <w:ind w:left="107"/>
              <w:jc w:val="left"/>
              <w:rPr>
                <w:sz w:val="24"/>
              </w:rPr>
            </w:pPr>
            <w:r>
              <w:rPr>
                <w:sz w:val="24"/>
              </w:rPr>
              <w:t>Thiru M. Chinnasamy, President, Tarapur Taluk Rice Mill Owners</w:t>
            </w:r>
          </w:p>
          <w:p w:rsidR="007C5447" w:rsidRDefault="00F6308C">
            <w:pPr>
              <w:pStyle w:val="TableParagraph"/>
              <w:spacing w:before="41"/>
              <w:ind w:left="107"/>
              <w:jc w:val="left"/>
              <w:rPr>
                <w:sz w:val="24"/>
              </w:rPr>
            </w:pPr>
            <w:r>
              <w:rPr>
                <w:sz w:val="24"/>
              </w:rPr>
              <w:t>Association, Tarapur Tiruppur District.</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11</w:t>
            </w:r>
          </w:p>
        </w:tc>
        <w:tc>
          <w:tcPr>
            <w:tcW w:w="7466" w:type="dxa"/>
          </w:tcPr>
          <w:p w:rsidR="007C5447" w:rsidRDefault="00F6308C">
            <w:pPr>
              <w:pStyle w:val="TableParagraph"/>
              <w:spacing w:line="275" w:lineRule="exact"/>
              <w:ind w:left="107"/>
              <w:jc w:val="left"/>
              <w:rPr>
                <w:sz w:val="24"/>
              </w:rPr>
            </w:pPr>
            <w:r>
              <w:rPr>
                <w:sz w:val="24"/>
              </w:rPr>
              <w:t>Thiru K.C.M. Duraisamy, President, Tiruppur, Palladam Taluk Rice Mill</w:t>
            </w:r>
          </w:p>
          <w:p w:rsidR="007C5447" w:rsidRDefault="00F6308C">
            <w:pPr>
              <w:pStyle w:val="TableParagraph"/>
              <w:spacing w:before="41"/>
              <w:ind w:left="107"/>
              <w:jc w:val="left"/>
              <w:rPr>
                <w:sz w:val="24"/>
              </w:rPr>
            </w:pPr>
            <w:r>
              <w:rPr>
                <w:sz w:val="24"/>
              </w:rPr>
              <w:t>Owners Association, 128, Old Market Street, Tiruppur – 641 604.</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12</w:t>
            </w:r>
          </w:p>
        </w:tc>
        <w:tc>
          <w:tcPr>
            <w:tcW w:w="7466" w:type="dxa"/>
          </w:tcPr>
          <w:p w:rsidR="007C5447" w:rsidRDefault="00F6308C">
            <w:pPr>
              <w:pStyle w:val="TableParagraph"/>
              <w:spacing w:line="275" w:lineRule="exact"/>
              <w:ind w:left="107"/>
              <w:jc w:val="left"/>
              <w:rPr>
                <w:sz w:val="24"/>
              </w:rPr>
            </w:pPr>
            <w:r>
              <w:rPr>
                <w:sz w:val="24"/>
              </w:rPr>
              <w:t>Thiru M.V. Loganathan, President, Coimbatore SIDCO Industrial Estate</w:t>
            </w:r>
          </w:p>
          <w:p w:rsidR="007C5447" w:rsidRDefault="00F6308C">
            <w:pPr>
              <w:pStyle w:val="TableParagraph"/>
              <w:spacing w:before="9" w:line="310" w:lineRule="atLeast"/>
              <w:ind w:left="107" w:right="330"/>
              <w:jc w:val="left"/>
              <w:rPr>
                <w:sz w:val="24"/>
              </w:rPr>
            </w:pPr>
            <w:r>
              <w:rPr>
                <w:sz w:val="24"/>
              </w:rPr>
              <w:t>Manufacturers Welfare Association, Plot No. 91, Sidco Industrial Estate, Industrial Estate (P.O), Coimbatore – 641 021.</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13</w:t>
            </w:r>
          </w:p>
        </w:tc>
        <w:tc>
          <w:tcPr>
            <w:tcW w:w="7466" w:type="dxa"/>
          </w:tcPr>
          <w:p w:rsidR="007C5447" w:rsidRDefault="00F6308C">
            <w:pPr>
              <w:pStyle w:val="TableParagraph"/>
              <w:spacing w:line="275" w:lineRule="exact"/>
              <w:ind w:left="107"/>
              <w:jc w:val="left"/>
              <w:rPr>
                <w:sz w:val="24"/>
              </w:rPr>
            </w:pPr>
            <w:r>
              <w:rPr>
                <w:sz w:val="24"/>
              </w:rPr>
              <w:t>M.V. Power Consultants and Engineers (P) Ltd, New No.14, Old</w:t>
            </w:r>
          </w:p>
          <w:p w:rsidR="007C5447" w:rsidRDefault="00F6308C">
            <w:pPr>
              <w:pStyle w:val="TableParagraph"/>
              <w:spacing w:before="9" w:line="310" w:lineRule="atLeast"/>
              <w:ind w:left="107" w:right="263"/>
              <w:jc w:val="left"/>
              <w:rPr>
                <w:sz w:val="24"/>
              </w:rPr>
            </w:pPr>
            <w:r>
              <w:rPr>
                <w:sz w:val="24"/>
              </w:rPr>
              <w:t>No.38/6A, 1st Floor, M.V. Power Complex, Alandur Road, (Near Market Subway), Saidapet, Chennai-15.</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14</w:t>
            </w:r>
          </w:p>
        </w:tc>
        <w:tc>
          <w:tcPr>
            <w:tcW w:w="7466" w:type="dxa"/>
          </w:tcPr>
          <w:p w:rsidR="007C5447" w:rsidRDefault="00F6308C">
            <w:pPr>
              <w:pStyle w:val="TableParagraph"/>
              <w:spacing w:line="275" w:lineRule="exact"/>
              <w:ind w:left="107"/>
              <w:jc w:val="left"/>
              <w:rPr>
                <w:sz w:val="24"/>
              </w:rPr>
            </w:pPr>
            <w:r>
              <w:rPr>
                <w:sz w:val="24"/>
              </w:rPr>
              <w:t>Prison Superintendent, Tamil Nadu Prison Department, Central Jail,</w:t>
            </w:r>
          </w:p>
          <w:p w:rsidR="007C5447" w:rsidRDefault="00F6308C">
            <w:pPr>
              <w:pStyle w:val="TableParagraph"/>
              <w:spacing w:before="41"/>
              <w:ind w:left="107"/>
              <w:jc w:val="left"/>
              <w:rPr>
                <w:sz w:val="24"/>
              </w:rPr>
            </w:pPr>
            <w:r>
              <w:rPr>
                <w:sz w:val="24"/>
              </w:rPr>
              <w:t>Coimbatore – 18.</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15</w:t>
            </w:r>
          </w:p>
        </w:tc>
        <w:tc>
          <w:tcPr>
            <w:tcW w:w="7466" w:type="dxa"/>
          </w:tcPr>
          <w:p w:rsidR="007C5447" w:rsidRDefault="00F6308C">
            <w:pPr>
              <w:pStyle w:val="TableParagraph"/>
              <w:spacing w:line="275" w:lineRule="exact"/>
              <w:ind w:left="107"/>
              <w:jc w:val="left"/>
              <w:rPr>
                <w:sz w:val="24"/>
              </w:rPr>
            </w:pPr>
            <w:r>
              <w:rPr>
                <w:sz w:val="24"/>
              </w:rPr>
              <w:t>Thiru N. Logu, Secretary, Coimbatore Consumer Voice, Opp. To Medical</w:t>
            </w:r>
          </w:p>
          <w:p w:rsidR="007C5447" w:rsidRDefault="00F6308C">
            <w:pPr>
              <w:pStyle w:val="TableParagraph"/>
              <w:spacing w:before="41"/>
              <w:ind w:left="107"/>
              <w:jc w:val="left"/>
              <w:rPr>
                <w:sz w:val="24"/>
              </w:rPr>
            </w:pPr>
            <w:r>
              <w:rPr>
                <w:sz w:val="24"/>
              </w:rPr>
              <w:t>College, Avinasi road, Kovai-14.</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16</w:t>
            </w:r>
          </w:p>
        </w:tc>
        <w:tc>
          <w:tcPr>
            <w:tcW w:w="7466" w:type="dxa"/>
          </w:tcPr>
          <w:p w:rsidR="007C5447" w:rsidRDefault="00F6308C">
            <w:pPr>
              <w:pStyle w:val="TableParagraph"/>
              <w:spacing w:line="275" w:lineRule="exact"/>
              <w:ind w:left="107"/>
              <w:jc w:val="left"/>
              <w:rPr>
                <w:sz w:val="24"/>
              </w:rPr>
            </w:pPr>
            <w:r>
              <w:rPr>
                <w:sz w:val="24"/>
              </w:rPr>
              <w:t>Thiru N. Logu, Secretary, Coimbatore Consumer Voice, Opp. To Medical</w:t>
            </w:r>
          </w:p>
          <w:p w:rsidR="007C5447" w:rsidRDefault="00F6308C">
            <w:pPr>
              <w:pStyle w:val="TableParagraph"/>
              <w:spacing w:before="43"/>
              <w:ind w:left="107"/>
              <w:jc w:val="left"/>
              <w:rPr>
                <w:sz w:val="24"/>
              </w:rPr>
            </w:pPr>
            <w:r>
              <w:rPr>
                <w:sz w:val="24"/>
              </w:rPr>
              <w:t>College, Avinasi road, Kovai-14.</w:t>
            </w:r>
          </w:p>
        </w:tc>
      </w:tr>
      <w:tr w:rsidR="007C5447">
        <w:trPr>
          <w:trHeight w:val="636"/>
        </w:trPr>
        <w:tc>
          <w:tcPr>
            <w:tcW w:w="994" w:type="dxa"/>
          </w:tcPr>
          <w:p w:rsidR="007C5447" w:rsidRDefault="00F6308C">
            <w:pPr>
              <w:pStyle w:val="TableParagraph"/>
              <w:spacing w:line="275" w:lineRule="exact"/>
              <w:ind w:left="110"/>
              <w:jc w:val="left"/>
              <w:rPr>
                <w:sz w:val="24"/>
              </w:rPr>
            </w:pPr>
            <w:r>
              <w:rPr>
                <w:sz w:val="24"/>
              </w:rPr>
              <w:t>17</w:t>
            </w:r>
          </w:p>
        </w:tc>
        <w:tc>
          <w:tcPr>
            <w:tcW w:w="7466" w:type="dxa"/>
          </w:tcPr>
          <w:p w:rsidR="007C5447" w:rsidRDefault="00F6308C">
            <w:pPr>
              <w:pStyle w:val="TableParagraph"/>
              <w:spacing w:line="275" w:lineRule="exact"/>
              <w:ind w:left="107"/>
              <w:jc w:val="left"/>
              <w:rPr>
                <w:sz w:val="24"/>
              </w:rPr>
            </w:pPr>
            <w:r>
              <w:rPr>
                <w:sz w:val="24"/>
              </w:rPr>
              <w:t>Proprietor, Sri Shubam Spinners, SF No. 270, Mangalam Road,</w:t>
            </w:r>
          </w:p>
          <w:p w:rsidR="007C5447" w:rsidRDefault="00F6308C">
            <w:pPr>
              <w:pStyle w:val="TableParagraph"/>
              <w:spacing w:before="41"/>
              <w:ind w:left="107"/>
              <w:jc w:val="left"/>
              <w:rPr>
                <w:sz w:val="24"/>
              </w:rPr>
            </w:pPr>
            <w:r>
              <w:rPr>
                <w:sz w:val="24"/>
              </w:rPr>
              <w:t>Andipalayam, Tirupur-641 687.</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18</w:t>
            </w:r>
          </w:p>
        </w:tc>
        <w:tc>
          <w:tcPr>
            <w:tcW w:w="7466" w:type="dxa"/>
          </w:tcPr>
          <w:p w:rsidR="007C5447" w:rsidRDefault="00F6308C">
            <w:pPr>
              <w:pStyle w:val="TableParagraph"/>
              <w:spacing w:line="275" w:lineRule="exact"/>
              <w:ind w:left="107"/>
              <w:jc w:val="left"/>
              <w:rPr>
                <w:sz w:val="24"/>
              </w:rPr>
            </w:pPr>
            <w:r>
              <w:rPr>
                <w:sz w:val="24"/>
              </w:rPr>
              <w:t>Proprietor, D.R. K. Cottons, 29, Upstair, Kurunji Nagar Main Road,</w:t>
            </w:r>
          </w:p>
          <w:p w:rsidR="007C5447" w:rsidRDefault="00F6308C">
            <w:pPr>
              <w:pStyle w:val="TableParagraph"/>
              <w:spacing w:before="41"/>
              <w:ind w:left="107"/>
              <w:jc w:val="left"/>
              <w:rPr>
                <w:sz w:val="24"/>
              </w:rPr>
            </w:pPr>
            <w:r>
              <w:rPr>
                <w:sz w:val="24"/>
              </w:rPr>
              <w:t>Tirupur – 641 604.</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19</w:t>
            </w:r>
          </w:p>
        </w:tc>
        <w:tc>
          <w:tcPr>
            <w:tcW w:w="7466" w:type="dxa"/>
          </w:tcPr>
          <w:p w:rsidR="007C5447" w:rsidRDefault="00F6308C">
            <w:pPr>
              <w:pStyle w:val="TableParagraph"/>
              <w:spacing w:line="275" w:lineRule="exact"/>
              <w:ind w:left="107"/>
              <w:jc w:val="left"/>
              <w:rPr>
                <w:sz w:val="24"/>
              </w:rPr>
            </w:pPr>
            <w:r>
              <w:rPr>
                <w:sz w:val="24"/>
              </w:rPr>
              <w:t>Partner, Parasakthi Mills, 3D, East Colony, Amman Nagar,</w:t>
            </w:r>
          </w:p>
          <w:p w:rsidR="007C5447" w:rsidRDefault="00F6308C">
            <w:pPr>
              <w:pStyle w:val="TableParagraph"/>
              <w:spacing w:before="43"/>
              <w:ind w:left="107"/>
              <w:jc w:val="left"/>
              <w:rPr>
                <w:sz w:val="24"/>
              </w:rPr>
            </w:pPr>
            <w:r>
              <w:rPr>
                <w:sz w:val="24"/>
              </w:rPr>
              <w:t>Komarapalayam – 638 183, Namakkal Dist. (T.N.)</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20</w:t>
            </w:r>
          </w:p>
        </w:tc>
        <w:tc>
          <w:tcPr>
            <w:tcW w:w="7466" w:type="dxa"/>
          </w:tcPr>
          <w:p w:rsidR="007C5447" w:rsidRDefault="00F6308C">
            <w:pPr>
              <w:pStyle w:val="TableParagraph"/>
              <w:spacing w:line="276" w:lineRule="auto"/>
              <w:ind w:left="107" w:right="163"/>
              <w:jc w:val="left"/>
              <w:rPr>
                <w:sz w:val="24"/>
              </w:rPr>
            </w:pPr>
            <w:r>
              <w:rPr>
                <w:sz w:val="24"/>
              </w:rPr>
              <w:t>Managing Partner, Lakshhmi Saraswathi OE Mills, No.6, Andal Nagar Extn., (opp.) Chinnasamy Lay-out, Uppilipalayam Post, Coimbatore – 641</w:t>
            </w:r>
          </w:p>
          <w:p w:rsidR="007C5447" w:rsidRDefault="00F6308C">
            <w:pPr>
              <w:pStyle w:val="TableParagraph"/>
              <w:spacing w:line="275" w:lineRule="exact"/>
              <w:ind w:left="107"/>
              <w:jc w:val="left"/>
              <w:rPr>
                <w:sz w:val="24"/>
              </w:rPr>
            </w:pPr>
            <w:r>
              <w:rPr>
                <w:sz w:val="24"/>
              </w:rPr>
              <w:t>015.</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21</w:t>
            </w:r>
          </w:p>
        </w:tc>
        <w:tc>
          <w:tcPr>
            <w:tcW w:w="7466" w:type="dxa"/>
          </w:tcPr>
          <w:p w:rsidR="007C5447" w:rsidRDefault="00F6308C">
            <w:pPr>
              <w:pStyle w:val="TableParagraph"/>
              <w:spacing w:line="275" w:lineRule="exact"/>
              <w:ind w:left="107"/>
              <w:jc w:val="left"/>
              <w:rPr>
                <w:sz w:val="24"/>
              </w:rPr>
            </w:pPr>
            <w:r>
              <w:rPr>
                <w:sz w:val="24"/>
              </w:rPr>
              <w:t>ASM Aandal Spinning Mills, 3/303, Nathegoundenpudur(via),</w:t>
            </w:r>
          </w:p>
          <w:p w:rsidR="007C5447" w:rsidRDefault="00F6308C">
            <w:pPr>
              <w:pStyle w:val="TableParagraph"/>
              <w:spacing w:before="41"/>
              <w:ind w:left="107"/>
              <w:jc w:val="left"/>
              <w:rPr>
                <w:sz w:val="24"/>
              </w:rPr>
            </w:pPr>
            <w:r>
              <w:rPr>
                <w:sz w:val="24"/>
              </w:rPr>
              <w:t>Kovilpalayam (Post), Kunnathur Village, Coimbatore – 641 107.</w:t>
            </w:r>
          </w:p>
        </w:tc>
      </w:tr>
      <w:tr w:rsidR="007C5447">
        <w:trPr>
          <w:trHeight w:val="636"/>
        </w:trPr>
        <w:tc>
          <w:tcPr>
            <w:tcW w:w="994" w:type="dxa"/>
          </w:tcPr>
          <w:p w:rsidR="007C5447" w:rsidRDefault="00F6308C">
            <w:pPr>
              <w:pStyle w:val="TableParagraph"/>
              <w:spacing w:before="1"/>
              <w:ind w:left="110"/>
              <w:jc w:val="left"/>
              <w:rPr>
                <w:sz w:val="24"/>
              </w:rPr>
            </w:pPr>
            <w:r>
              <w:rPr>
                <w:sz w:val="24"/>
              </w:rPr>
              <w:t>22</w:t>
            </w:r>
          </w:p>
        </w:tc>
        <w:tc>
          <w:tcPr>
            <w:tcW w:w="7466" w:type="dxa"/>
          </w:tcPr>
          <w:p w:rsidR="007C5447" w:rsidRDefault="00F6308C">
            <w:pPr>
              <w:pStyle w:val="TableParagraph"/>
              <w:spacing w:before="1"/>
              <w:ind w:left="107"/>
              <w:jc w:val="left"/>
              <w:rPr>
                <w:sz w:val="24"/>
              </w:rPr>
            </w:pPr>
            <w:r>
              <w:rPr>
                <w:sz w:val="24"/>
              </w:rPr>
              <w:t>Sree Venkatsai Textiles, 8-1, Ramasamy Nagar, Neelikoanmpalayam,</w:t>
            </w:r>
          </w:p>
          <w:p w:rsidR="007C5447" w:rsidRDefault="00F6308C">
            <w:pPr>
              <w:pStyle w:val="TableParagraph"/>
              <w:spacing w:before="41"/>
              <w:ind w:left="107"/>
              <w:jc w:val="left"/>
              <w:rPr>
                <w:sz w:val="24"/>
              </w:rPr>
            </w:pPr>
            <w:r>
              <w:rPr>
                <w:sz w:val="24"/>
              </w:rPr>
              <w:t>Coimbatore – 641 033.</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23</w:t>
            </w:r>
          </w:p>
        </w:tc>
        <w:tc>
          <w:tcPr>
            <w:tcW w:w="7466" w:type="dxa"/>
          </w:tcPr>
          <w:p w:rsidR="007C5447" w:rsidRDefault="00F6308C">
            <w:pPr>
              <w:pStyle w:val="TableParagraph"/>
              <w:spacing w:line="275" w:lineRule="exact"/>
              <w:ind w:left="107"/>
              <w:jc w:val="left"/>
              <w:rPr>
                <w:sz w:val="24"/>
              </w:rPr>
            </w:pPr>
            <w:r>
              <w:rPr>
                <w:sz w:val="24"/>
              </w:rPr>
              <w:t>Tmt. C. Kanagavalli, Venkateshwara Restaurant, Pollachi Salai,</w:t>
            </w:r>
          </w:p>
          <w:p w:rsidR="007C5447" w:rsidRDefault="00F6308C">
            <w:pPr>
              <w:pStyle w:val="TableParagraph"/>
              <w:spacing w:before="41"/>
              <w:ind w:left="107"/>
              <w:jc w:val="left"/>
              <w:rPr>
                <w:sz w:val="24"/>
              </w:rPr>
            </w:pPr>
            <w:r>
              <w:rPr>
                <w:sz w:val="24"/>
              </w:rPr>
              <w:t>Tarapuram – 638 656.</w:t>
            </w:r>
          </w:p>
        </w:tc>
      </w:tr>
      <w:tr w:rsidR="007C5447">
        <w:trPr>
          <w:trHeight w:val="316"/>
        </w:trPr>
        <w:tc>
          <w:tcPr>
            <w:tcW w:w="994" w:type="dxa"/>
          </w:tcPr>
          <w:p w:rsidR="007C5447" w:rsidRDefault="00F6308C">
            <w:pPr>
              <w:pStyle w:val="TableParagraph"/>
              <w:spacing w:line="275" w:lineRule="exact"/>
              <w:ind w:left="110"/>
              <w:jc w:val="left"/>
              <w:rPr>
                <w:sz w:val="24"/>
              </w:rPr>
            </w:pPr>
            <w:r>
              <w:rPr>
                <w:sz w:val="24"/>
              </w:rPr>
              <w:t>24</w:t>
            </w:r>
          </w:p>
        </w:tc>
        <w:tc>
          <w:tcPr>
            <w:tcW w:w="7466" w:type="dxa"/>
          </w:tcPr>
          <w:p w:rsidR="007C5447" w:rsidRDefault="00F6308C">
            <w:pPr>
              <w:pStyle w:val="TableParagraph"/>
              <w:spacing w:line="275" w:lineRule="exact"/>
              <w:ind w:left="107"/>
              <w:jc w:val="left"/>
              <w:rPr>
                <w:sz w:val="24"/>
              </w:rPr>
            </w:pPr>
            <w:r>
              <w:rPr>
                <w:sz w:val="24"/>
              </w:rPr>
              <w:t>Tmt. S. Punithavalli, 6-A, NSR Road, Sai Baba Colony, Kovai-641011.</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25</w:t>
            </w:r>
          </w:p>
        </w:tc>
        <w:tc>
          <w:tcPr>
            <w:tcW w:w="7466" w:type="dxa"/>
          </w:tcPr>
          <w:p w:rsidR="007C5447" w:rsidRDefault="00F6308C">
            <w:pPr>
              <w:pStyle w:val="TableParagraph"/>
              <w:spacing w:line="275" w:lineRule="exact"/>
              <w:ind w:left="107"/>
              <w:jc w:val="left"/>
              <w:rPr>
                <w:sz w:val="24"/>
              </w:rPr>
            </w:pPr>
            <w:r>
              <w:rPr>
                <w:sz w:val="24"/>
              </w:rPr>
              <w:t>Thiru SP. Natarajan, 5/111, Konganayakkan Palayam (P.O.), Kattur,</w:t>
            </w:r>
          </w:p>
          <w:p w:rsidR="007C5447" w:rsidRDefault="00F6308C">
            <w:pPr>
              <w:pStyle w:val="TableParagraph"/>
              <w:spacing w:before="41"/>
              <w:ind w:left="107"/>
              <w:jc w:val="left"/>
              <w:rPr>
                <w:sz w:val="24"/>
              </w:rPr>
            </w:pPr>
            <w:r>
              <w:rPr>
                <w:sz w:val="24"/>
              </w:rPr>
              <w:t>Pallam (TK), Tiruppur District.`</w:t>
            </w:r>
          </w:p>
        </w:tc>
      </w:tr>
      <w:tr w:rsidR="007C5447">
        <w:trPr>
          <w:trHeight w:val="316"/>
        </w:trPr>
        <w:tc>
          <w:tcPr>
            <w:tcW w:w="994" w:type="dxa"/>
          </w:tcPr>
          <w:p w:rsidR="007C5447" w:rsidRDefault="00F6308C">
            <w:pPr>
              <w:pStyle w:val="TableParagraph"/>
              <w:spacing w:line="275" w:lineRule="exact"/>
              <w:ind w:left="110"/>
              <w:jc w:val="left"/>
              <w:rPr>
                <w:sz w:val="24"/>
              </w:rPr>
            </w:pPr>
            <w:r>
              <w:rPr>
                <w:sz w:val="24"/>
              </w:rPr>
              <w:t>26</w:t>
            </w:r>
          </w:p>
        </w:tc>
        <w:tc>
          <w:tcPr>
            <w:tcW w:w="7466" w:type="dxa"/>
          </w:tcPr>
          <w:p w:rsidR="007C5447" w:rsidRDefault="00F6308C">
            <w:pPr>
              <w:pStyle w:val="TableParagraph"/>
              <w:spacing w:line="275" w:lineRule="exact"/>
              <w:ind w:left="107"/>
              <w:jc w:val="left"/>
              <w:rPr>
                <w:sz w:val="24"/>
              </w:rPr>
            </w:pPr>
            <w:r>
              <w:rPr>
                <w:sz w:val="24"/>
              </w:rPr>
              <w:t>Partner, Anusri Mills, S.F. No. 793, Therkupathi, E. Chettipalayam (PO),</w:t>
            </w:r>
          </w:p>
        </w:tc>
      </w:tr>
    </w:tbl>
    <w:p w:rsidR="007C5447" w:rsidRDefault="007C5447">
      <w:pPr>
        <w:spacing w:line="275" w:lineRule="exact"/>
        <w:rPr>
          <w:sz w:val="24"/>
        </w:rPr>
        <w:sectPr w:rsidR="007C5447">
          <w:pgSz w:w="11910" w:h="16840"/>
          <w:pgMar w:top="1420" w:right="1300" w:bottom="960" w:left="1000" w:header="0" w:footer="777" w:gutter="0"/>
          <w:cols w:space="720"/>
        </w:sectPr>
      </w:pP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7466"/>
      </w:tblGrid>
      <w:tr w:rsidR="007C5447">
        <w:trPr>
          <w:trHeight w:val="316"/>
        </w:trPr>
        <w:tc>
          <w:tcPr>
            <w:tcW w:w="994" w:type="dxa"/>
          </w:tcPr>
          <w:p w:rsidR="007C5447" w:rsidRDefault="00F6308C">
            <w:pPr>
              <w:pStyle w:val="TableParagraph"/>
              <w:spacing w:line="275" w:lineRule="exact"/>
              <w:ind w:left="110"/>
              <w:jc w:val="left"/>
              <w:rPr>
                <w:b/>
                <w:sz w:val="24"/>
              </w:rPr>
            </w:pPr>
            <w:r>
              <w:rPr>
                <w:b/>
                <w:sz w:val="24"/>
              </w:rPr>
              <w:lastRenderedPageBreak/>
              <w:t>Sl. No.</w:t>
            </w:r>
          </w:p>
        </w:tc>
        <w:tc>
          <w:tcPr>
            <w:tcW w:w="7466" w:type="dxa"/>
          </w:tcPr>
          <w:p w:rsidR="007C5447" w:rsidRDefault="00F6308C">
            <w:pPr>
              <w:pStyle w:val="TableParagraph"/>
              <w:spacing w:line="275" w:lineRule="exact"/>
              <w:ind w:left="107"/>
              <w:jc w:val="left"/>
              <w:rPr>
                <w:b/>
                <w:sz w:val="24"/>
              </w:rPr>
            </w:pPr>
            <w:r>
              <w:rPr>
                <w:b/>
                <w:sz w:val="24"/>
              </w:rPr>
              <w:t>Name and Address</w:t>
            </w:r>
          </w:p>
        </w:tc>
      </w:tr>
      <w:tr w:rsidR="007C5447">
        <w:trPr>
          <w:trHeight w:val="319"/>
        </w:trPr>
        <w:tc>
          <w:tcPr>
            <w:tcW w:w="994" w:type="dxa"/>
          </w:tcPr>
          <w:p w:rsidR="007C5447" w:rsidRDefault="007C5447">
            <w:pPr>
              <w:pStyle w:val="TableParagraph"/>
              <w:jc w:val="left"/>
              <w:rPr>
                <w:sz w:val="24"/>
              </w:rPr>
            </w:pPr>
          </w:p>
        </w:tc>
        <w:tc>
          <w:tcPr>
            <w:tcW w:w="7466" w:type="dxa"/>
          </w:tcPr>
          <w:p w:rsidR="007C5447" w:rsidRDefault="00F6308C">
            <w:pPr>
              <w:pStyle w:val="TableParagraph"/>
              <w:spacing w:before="1"/>
              <w:ind w:left="107"/>
              <w:jc w:val="left"/>
              <w:rPr>
                <w:sz w:val="24"/>
              </w:rPr>
            </w:pPr>
            <w:r>
              <w:rPr>
                <w:sz w:val="24"/>
              </w:rPr>
              <w:t>Nambiyur – 638 458, Gobi (Tk), Erode District.</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27</w:t>
            </w:r>
          </w:p>
        </w:tc>
        <w:tc>
          <w:tcPr>
            <w:tcW w:w="7466" w:type="dxa"/>
          </w:tcPr>
          <w:p w:rsidR="007C5447" w:rsidRDefault="00F6308C">
            <w:pPr>
              <w:pStyle w:val="TableParagraph"/>
              <w:spacing w:line="275" w:lineRule="exact"/>
              <w:ind w:left="107"/>
              <w:jc w:val="left"/>
              <w:rPr>
                <w:sz w:val="24"/>
              </w:rPr>
            </w:pPr>
            <w:r>
              <w:rPr>
                <w:sz w:val="24"/>
              </w:rPr>
              <w:t>Proprietor, Vetri Textiles, No.11, Jaya Nagar, 2nd Street,</w:t>
            </w:r>
          </w:p>
          <w:p w:rsidR="007C5447" w:rsidRDefault="00F6308C">
            <w:pPr>
              <w:pStyle w:val="TableParagraph"/>
              <w:spacing w:before="41"/>
              <w:ind w:left="107"/>
              <w:jc w:val="left"/>
              <w:rPr>
                <w:sz w:val="24"/>
              </w:rPr>
            </w:pPr>
            <w:r>
              <w:rPr>
                <w:sz w:val="24"/>
              </w:rPr>
              <w:t>Neelikonampalayam (PO), Coimbatore – 641 033.</w:t>
            </w:r>
          </w:p>
        </w:tc>
      </w:tr>
      <w:tr w:rsidR="007C5447">
        <w:trPr>
          <w:trHeight w:val="318"/>
        </w:trPr>
        <w:tc>
          <w:tcPr>
            <w:tcW w:w="994" w:type="dxa"/>
          </w:tcPr>
          <w:p w:rsidR="007C5447" w:rsidRDefault="00F6308C">
            <w:pPr>
              <w:pStyle w:val="TableParagraph"/>
              <w:spacing w:before="1"/>
              <w:ind w:left="110"/>
              <w:jc w:val="left"/>
              <w:rPr>
                <w:sz w:val="24"/>
              </w:rPr>
            </w:pPr>
            <w:r>
              <w:rPr>
                <w:sz w:val="24"/>
              </w:rPr>
              <w:t>28</w:t>
            </w:r>
          </w:p>
        </w:tc>
        <w:tc>
          <w:tcPr>
            <w:tcW w:w="7466" w:type="dxa"/>
          </w:tcPr>
          <w:p w:rsidR="007C5447" w:rsidRDefault="00F6308C">
            <w:pPr>
              <w:pStyle w:val="TableParagraph"/>
              <w:spacing w:before="1"/>
              <w:ind w:left="107"/>
              <w:jc w:val="left"/>
              <w:rPr>
                <w:sz w:val="24"/>
              </w:rPr>
            </w:pPr>
            <w:r>
              <w:rPr>
                <w:sz w:val="24"/>
              </w:rPr>
              <w:t>Aditya Yarns, 115N, Thanner Pandal Road, Peelamedu, Coimbatore – 4.</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29</w:t>
            </w:r>
          </w:p>
        </w:tc>
        <w:tc>
          <w:tcPr>
            <w:tcW w:w="7466" w:type="dxa"/>
          </w:tcPr>
          <w:p w:rsidR="007C5447" w:rsidRDefault="00F6308C">
            <w:pPr>
              <w:pStyle w:val="TableParagraph"/>
              <w:spacing w:line="275" w:lineRule="exact"/>
              <w:ind w:left="107"/>
              <w:jc w:val="left"/>
              <w:rPr>
                <w:sz w:val="24"/>
              </w:rPr>
            </w:pPr>
            <w:r>
              <w:rPr>
                <w:sz w:val="24"/>
              </w:rPr>
              <w:t>Thiru N.R. Ravishankar, Maths Professor (Retd.) and Social Enthusiast,</w:t>
            </w:r>
          </w:p>
          <w:p w:rsidR="007C5447" w:rsidRDefault="00F6308C">
            <w:pPr>
              <w:pStyle w:val="TableParagraph"/>
              <w:spacing w:before="41"/>
              <w:ind w:left="107"/>
              <w:jc w:val="left"/>
              <w:rPr>
                <w:sz w:val="24"/>
              </w:rPr>
            </w:pPr>
            <w:r>
              <w:rPr>
                <w:sz w:val="24"/>
              </w:rPr>
              <w:t>2/38, Shree Ambal Nagar, Vilaangurichi Post, Kovai – 641 035.</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30</w:t>
            </w:r>
          </w:p>
        </w:tc>
        <w:tc>
          <w:tcPr>
            <w:tcW w:w="7466" w:type="dxa"/>
          </w:tcPr>
          <w:p w:rsidR="007C5447" w:rsidRDefault="00F6308C">
            <w:pPr>
              <w:pStyle w:val="TableParagraph"/>
              <w:spacing w:line="275" w:lineRule="exact"/>
              <w:ind w:left="107"/>
              <w:jc w:val="left"/>
              <w:rPr>
                <w:sz w:val="24"/>
              </w:rPr>
            </w:pPr>
            <w:r>
              <w:rPr>
                <w:sz w:val="24"/>
              </w:rPr>
              <w:t>Partner, Tarunika Textiles, 2/44, East Street, Kalngal (Post), Sulur (via),</w:t>
            </w:r>
          </w:p>
          <w:p w:rsidR="007C5447" w:rsidRDefault="00F6308C">
            <w:pPr>
              <w:pStyle w:val="TableParagraph"/>
              <w:spacing w:before="41"/>
              <w:ind w:left="107"/>
              <w:jc w:val="left"/>
              <w:rPr>
                <w:sz w:val="24"/>
              </w:rPr>
            </w:pPr>
            <w:r>
              <w:rPr>
                <w:sz w:val="24"/>
              </w:rPr>
              <w:t>Coimbatore – 641 402.</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31</w:t>
            </w:r>
          </w:p>
        </w:tc>
        <w:tc>
          <w:tcPr>
            <w:tcW w:w="7466" w:type="dxa"/>
          </w:tcPr>
          <w:p w:rsidR="007C5447" w:rsidRDefault="00F6308C">
            <w:pPr>
              <w:pStyle w:val="TableParagraph"/>
              <w:spacing w:line="275" w:lineRule="exact"/>
              <w:ind w:left="107"/>
              <w:jc w:val="left"/>
              <w:rPr>
                <w:sz w:val="24"/>
              </w:rPr>
            </w:pPr>
            <w:r>
              <w:rPr>
                <w:sz w:val="24"/>
              </w:rPr>
              <w:t>Proprietor, M.R.S. Cotton Mills, SF No.1749, Sengalipalayam Road,</w:t>
            </w:r>
          </w:p>
          <w:p w:rsidR="007C5447" w:rsidRDefault="00F6308C">
            <w:pPr>
              <w:pStyle w:val="TableParagraph"/>
              <w:spacing w:before="43"/>
              <w:ind w:left="107"/>
              <w:jc w:val="left"/>
              <w:rPr>
                <w:sz w:val="24"/>
              </w:rPr>
            </w:pPr>
            <w:r>
              <w:rPr>
                <w:sz w:val="24"/>
              </w:rPr>
              <w:t>Kanjappalli (PO), Annur – 641 653.</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32</w:t>
            </w:r>
          </w:p>
        </w:tc>
        <w:tc>
          <w:tcPr>
            <w:tcW w:w="7466" w:type="dxa"/>
          </w:tcPr>
          <w:p w:rsidR="007C5447" w:rsidRDefault="00F6308C">
            <w:pPr>
              <w:pStyle w:val="TableParagraph"/>
              <w:spacing w:line="275" w:lineRule="exact"/>
              <w:ind w:left="107"/>
              <w:jc w:val="left"/>
              <w:rPr>
                <w:sz w:val="24"/>
              </w:rPr>
            </w:pPr>
            <w:r>
              <w:rPr>
                <w:sz w:val="24"/>
              </w:rPr>
              <w:t>Proprietor, N.N. TEX, SF No. 1749, Sengalipalayam Road, Kanjappalli</w:t>
            </w:r>
          </w:p>
          <w:p w:rsidR="007C5447" w:rsidRDefault="00F6308C">
            <w:pPr>
              <w:pStyle w:val="TableParagraph"/>
              <w:spacing w:before="41"/>
              <w:ind w:left="107"/>
              <w:jc w:val="left"/>
              <w:rPr>
                <w:sz w:val="24"/>
              </w:rPr>
            </w:pPr>
            <w:r>
              <w:rPr>
                <w:sz w:val="24"/>
              </w:rPr>
              <w:t>(PO), Annur – 641 653.</w:t>
            </w:r>
          </w:p>
        </w:tc>
      </w:tr>
      <w:tr w:rsidR="007C5447">
        <w:trPr>
          <w:trHeight w:val="952"/>
        </w:trPr>
        <w:tc>
          <w:tcPr>
            <w:tcW w:w="994" w:type="dxa"/>
          </w:tcPr>
          <w:p w:rsidR="007C5447" w:rsidRDefault="00F6308C">
            <w:pPr>
              <w:pStyle w:val="TableParagraph"/>
              <w:spacing w:before="1"/>
              <w:ind w:left="110"/>
              <w:jc w:val="left"/>
              <w:rPr>
                <w:sz w:val="24"/>
              </w:rPr>
            </w:pPr>
            <w:r>
              <w:rPr>
                <w:sz w:val="24"/>
              </w:rPr>
              <w:t>33</w:t>
            </w:r>
          </w:p>
        </w:tc>
        <w:tc>
          <w:tcPr>
            <w:tcW w:w="7466" w:type="dxa"/>
          </w:tcPr>
          <w:p w:rsidR="007C5447" w:rsidRDefault="00F6308C">
            <w:pPr>
              <w:pStyle w:val="TableParagraph"/>
              <w:spacing w:before="1" w:line="276" w:lineRule="auto"/>
              <w:ind w:left="107" w:right="430"/>
              <w:jc w:val="left"/>
              <w:rPr>
                <w:sz w:val="24"/>
              </w:rPr>
            </w:pPr>
            <w:r>
              <w:rPr>
                <w:sz w:val="24"/>
              </w:rPr>
              <w:t>R. Velusamy, President, Tiruppur District Powerloom Waive for Hire Owners Association, 11-A, Lakshmi Jewellary Building 1st Floor, Near</w:t>
            </w:r>
          </w:p>
          <w:p w:rsidR="007C5447" w:rsidRDefault="00F6308C">
            <w:pPr>
              <w:pStyle w:val="TableParagraph"/>
              <w:spacing w:line="275" w:lineRule="exact"/>
              <w:ind w:left="107"/>
              <w:jc w:val="left"/>
              <w:rPr>
                <w:sz w:val="24"/>
              </w:rPr>
            </w:pPr>
            <w:r>
              <w:rPr>
                <w:sz w:val="24"/>
              </w:rPr>
              <w:t>Police Station, Mangalam Road, Palladam – 641 664.</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34</w:t>
            </w:r>
          </w:p>
        </w:tc>
        <w:tc>
          <w:tcPr>
            <w:tcW w:w="7466" w:type="dxa"/>
          </w:tcPr>
          <w:p w:rsidR="007C5447" w:rsidRDefault="00F6308C">
            <w:pPr>
              <w:pStyle w:val="TableParagraph"/>
              <w:spacing w:line="275" w:lineRule="exact"/>
              <w:ind w:left="107"/>
              <w:jc w:val="left"/>
              <w:rPr>
                <w:sz w:val="24"/>
              </w:rPr>
            </w:pPr>
            <w:r>
              <w:rPr>
                <w:sz w:val="24"/>
              </w:rPr>
              <w:t>Managing Director, Supreme Mills India (P) Ltd., SF No. 251/2, 252/2,</w:t>
            </w:r>
          </w:p>
          <w:p w:rsidR="007C5447" w:rsidRDefault="00F6308C">
            <w:pPr>
              <w:pStyle w:val="TableParagraph"/>
              <w:spacing w:before="43"/>
              <w:ind w:left="107"/>
              <w:jc w:val="left"/>
              <w:rPr>
                <w:sz w:val="24"/>
              </w:rPr>
            </w:pPr>
            <w:r>
              <w:rPr>
                <w:sz w:val="24"/>
              </w:rPr>
              <w:t>ERA Mohan Nagar, Kalapatti Post, Coimbatore – 641 048.</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35</w:t>
            </w:r>
          </w:p>
        </w:tc>
        <w:tc>
          <w:tcPr>
            <w:tcW w:w="7466" w:type="dxa"/>
          </w:tcPr>
          <w:p w:rsidR="007C5447" w:rsidRDefault="00F6308C">
            <w:pPr>
              <w:pStyle w:val="TableParagraph"/>
              <w:spacing w:line="275" w:lineRule="exact"/>
              <w:ind w:left="107"/>
              <w:jc w:val="left"/>
              <w:rPr>
                <w:sz w:val="24"/>
              </w:rPr>
            </w:pPr>
            <w:r>
              <w:rPr>
                <w:sz w:val="24"/>
              </w:rPr>
              <w:t>Thiru K. Ravichandran, 78-GVL Nagar, Kovaipudur Road, Perur</w:t>
            </w:r>
          </w:p>
          <w:p w:rsidR="007C5447" w:rsidRDefault="00F6308C">
            <w:pPr>
              <w:pStyle w:val="TableParagraph"/>
              <w:spacing w:before="41"/>
              <w:ind w:left="107"/>
              <w:jc w:val="left"/>
              <w:rPr>
                <w:sz w:val="24"/>
              </w:rPr>
            </w:pPr>
            <w:r>
              <w:rPr>
                <w:sz w:val="24"/>
              </w:rPr>
              <w:t>Chettipalayam, Coimbatore-641 010.</w:t>
            </w:r>
          </w:p>
        </w:tc>
      </w:tr>
      <w:tr w:rsidR="007C5447">
        <w:trPr>
          <w:trHeight w:val="950"/>
        </w:trPr>
        <w:tc>
          <w:tcPr>
            <w:tcW w:w="994" w:type="dxa"/>
          </w:tcPr>
          <w:p w:rsidR="007C5447" w:rsidRDefault="00F6308C">
            <w:pPr>
              <w:pStyle w:val="TableParagraph"/>
              <w:spacing w:line="275" w:lineRule="exact"/>
              <w:ind w:left="110"/>
              <w:jc w:val="left"/>
              <w:rPr>
                <w:sz w:val="24"/>
              </w:rPr>
            </w:pPr>
            <w:r>
              <w:rPr>
                <w:sz w:val="24"/>
              </w:rPr>
              <w:t>36</w:t>
            </w:r>
          </w:p>
        </w:tc>
        <w:tc>
          <w:tcPr>
            <w:tcW w:w="7466" w:type="dxa"/>
          </w:tcPr>
          <w:p w:rsidR="007C5447" w:rsidRDefault="00F6308C">
            <w:pPr>
              <w:pStyle w:val="TableParagraph"/>
              <w:spacing w:line="276" w:lineRule="auto"/>
              <w:ind w:left="107" w:right="238"/>
              <w:jc w:val="left"/>
              <w:rPr>
                <w:sz w:val="24"/>
              </w:rPr>
            </w:pPr>
            <w:r>
              <w:rPr>
                <w:sz w:val="24"/>
              </w:rPr>
              <w:t>Thiru C. Palanisamy, Managing Partner, Velmurugan Spinners, Door No. 9/487-A, Vellakovil Road, Muthur – 638 105. Kangayam (TK), Tiruppur</w:t>
            </w:r>
          </w:p>
          <w:p w:rsidR="007C5447" w:rsidRDefault="00F6308C">
            <w:pPr>
              <w:pStyle w:val="TableParagraph"/>
              <w:spacing w:line="275" w:lineRule="exact"/>
              <w:ind w:left="107"/>
              <w:jc w:val="left"/>
              <w:rPr>
                <w:sz w:val="24"/>
              </w:rPr>
            </w:pPr>
            <w:r>
              <w:rPr>
                <w:sz w:val="24"/>
              </w:rPr>
              <w:t>(Dt). Tamilnadu.</w:t>
            </w:r>
          </w:p>
        </w:tc>
      </w:tr>
      <w:tr w:rsidR="007C5447">
        <w:trPr>
          <w:trHeight w:val="635"/>
        </w:trPr>
        <w:tc>
          <w:tcPr>
            <w:tcW w:w="994" w:type="dxa"/>
          </w:tcPr>
          <w:p w:rsidR="007C5447" w:rsidRDefault="00F6308C">
            <w:pPr>
              <w:pStyle w:val="TableParagraph"/>
              <w:spacing w:before="1"/>
              <w:ind w:left="110"/>
              <w:jc w:val="left"/>
              <w:rPr>
                <w:sz w:val="24"/>
              </w:rPr>
            </w:pPr>
            <w:r>
              <w:rPr>
                <w:sz w:val="24"/>
              </w:rPr>
              <w:t>37</w:t>
            </w:r>
          </w:p>
        </w:tc>
        <w:tc>
          <w:tcPr>
            <w:tcW w:w="7466" w:type="dxa"/>
          </w:tcPr>
          <w:p w:rsidR="007C5447" w:rsidRDefault="00F6308C">
            <w:pPr>
              <w:pStyle w:val="TableParagraph"/>
              <w:spacing w:before="1"/>
              <w:ind w:left="107"/>
              <w:jc w:val="left"/>
              <w:rPr>
                <w:sz w:val="24"/>
              </w:rPr>
            </w:pPr>
            <w:r>
              <w:rPr>
                <w:sz w:val="24"/>
              </w:rPr>
              <w:t>Anburaja Spinners, No.85-C, Mettukkadai, Kodumudi Road, Muthur-</w:t>
            </w:r>
          </w:p>
          <w:p w:rsidR="007C5447" w:rsidRDefault="00F6308C">
            <w:pPr>
              <w:pStyle w:val="TableParagraph"/>
              <w:spacing w:before="41"/>
              <w:ind w:left="107"/>
              <w:jc w:val="left"/>
              <w:rPr>
                <w:sz w:val="24"/>
              </w:rPr>
            </w:pPr>
            <w:r>
              <w:rPr>
                <w:sz w:val="24"/>
              </w:rPr>
              <w:t>638105, Tirupur Dist., Tamilnadu.</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38</w:t>
            </w:r>
          </w:p>
        </w:tc>
        <w:tc>
          <w:tcPr>
            <w:tcW w:w="7466" w:type="dxa"/>
          </w:tcPr>
          <w:p w:rsidR="007C5447" w:rsidRDefault="00F6308C">
            <w:pPr>
              <w:pStyle w:val="TableParagraph"/>
              <w:spacing w:line="275" w:lineRule="exact"/>
              <w:ind w:left="107"/>
              <w:jc w:val="left"/>
              <w:rPr>
                <w:sz w:val="24"/>
              </w:rPr>
            </w:pPr>
            <w:r>
              <w:rPr>
                <w:sz w:val="24"/>
              </w:rPr>
              <w:t>Shree Balamurugan Spinners, SF No.81A, Neyyal Road, K. Paramathi</w:t>
            </w:r>
          </w:p>
          <w:p w:rsidR="007C5447" w:rsidRDefault="00F6308C">
            <w:pPr>
              <w:pStyle w:val="TableParagraph"/>
              <w:spacing w:before="43"/>
              <w:ind w:left="107"/>
              <w:jc w:val="left"/>
              <w:rPr>
                <w:sz w:val="24"/>
              </w:rPr>
            </w:pPr>
            <w:r>
              <w:rPr>
                <w:sz w:val="24"/>
              </w:rPr>
              <w:t>(Po)., Karur – 639 111.</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39</w:t>
            </w:r>
          </w:p>
        </w:tc>
        <w:tc>
          <w:tcPr>
            <w:tcW w:w="7466" w:type="dxa"/>
          </w:tcPr>
          <w:p w:rsidR="007C5447" w:rsidRDefault="00F6308C">
            <w:pPr>
              <w:pStyle w:val="TableParagraph"/>
              <w:spacing w:line="275" w:lineRule="exact"/>
              <w:ind w:left="107"/>
              <w:jc w:val="left"/>
              <w:rPr>
                <w:sz w:val="24"/>
              </w:rPr>
            </w:pPr>
            <w:r>
              <w:rPr>
                <w:sz w:val="24"/>
              </w:rPr>
              <w:t>Thiru K. Natarayan, 201/6, Udumalai Road, Near Kumar Way Bridge</w:t>
            </w:r>
          </w:p>
          <w:p w:rsidR="007C5447" w:rsidRDefault="00F6308C">
            <w:pPr>
              <w:pStyle w:val="TableParagraph"/>
              <w:spacing w:before="41"/>
              <w:ind w:left="107"/>
              <w:jc w:val="left"/>
              <w:rPr>
                <w:sz w:val="24"/>
              </w:rPr>
            </w:pPr>
            <w:r>
              <w:rPr>
                <w:sz w:val="24"/>
              </w:rPr>
              <w:t>Pollachi, Kovai District.</w:t>
            </w:r>
          </w:p>
        </w:tc>
      </w:tr>
      <w:tr w:rsidR="007C5447">
        <w:trPr>
          <w:trHeight w:val="635"/>
        </w:trPr>
        <w:tc>
          <w:tcPr>
            <w:tcW w:w="994" w:type="dxa"/>
          </w:tcPr>
          <w:p w:rsidR="007C5447" w:rsidRDefault="00F6308C">
            <w:pPr>
              <w:pStyle w:val="TableParagraph"/>
              <w:spacing w:before="1"/>
              <w:ind w:left="110"/>
              <w:jc w:val="left"/>
              <w:rPr>
                <w:sz w:val="24"/>
              </w:rPr>
            </w:pPr>
            <w:r>
              <w:rPr>
                <w:sz w:val="24"/>
              </w:rPr>
              <w:t>40</w:t>
            </w:r>
          </w:p>
        </w:tc>
        <w:tc>
          <w:tcPr>
            <w:tcW w:w="7466" w:type="dxa"/>
          </w:tcPr>
          <w:p w:rsidR="007C5447" w:rsidRDefault="00F6308C">
            <w:pPr>
              <w:pStyle w:val="TableParagraph"/>
              <w:spacing w:before="1"/>
              <w:ind w:left="107"/>
              <w:jc w:val="left"/>
              <w:rPr>
                <w:sz w:val="24"/>
              </w:rPr>
            </w:pPr>
            <w:r>
              <w:rPr>
                <w:sz w:val="24"/>
              </w:rPr>
              <w:t>Sri Kumaran Mills, 1/475, A-1, Chettikadu Thottam, Pooamalur (PO),</w:t>
            </w:r>
          </w:p>
          <w:p w:rsidR="007C5447" w:rsidRDefault="00F6308C">
            <w:pPr>
              <w:pStyle w:val="TableParagraph"/>
              <w:spacing w:before="41"/>
              <w:ind w:left="107"/>
              <w:jc w:val="left"/>
              <w:rPr>
                <w:sz w:val="24"/>
              </w:rPr>
            </w:pPr>
            <w:r>
              <w:rPr>
                <w:sz w:val="24"/>
              </w:rPr>
              <w:t>Mangalam (via), Palladam-641663, Coimbatore District.</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41</w:t>
            </w:r>
          </w:p>
        </w:tc>
        <w:tc>
          <w:tcPr>
            <w:tcW w:w="7466" w:type="dxa"/>
          </w:tcPr>
          <w:p w:rsidR="007C5447" w:rsidRDefault="00F6308C">
            <w:pPr>
              <w:pStyle w:val="TableParagraph"/>
              <w:spacing w:line="275" w:lineRule="exact"/>
              <w:ind w:left="107"/>
              <w:jc w:val="left"/>
              <w:rPr>
                <w:sz w:val="24"/>
              </w:rPr>
            </w:pPr>
            <w:r>
              <w:rPr>
                <w:sz w:val="24"/>
              </w:rPr>
              <w:t>Partner, Sri Selvabayaki Mills, 19, Main Road, Velayuthampalayam,</w:t>
            </w:r>
          </w:p>
          <w:p w:rsidR="007C5447" w:rsidRDefault="00F6308C">
            <w:pPr>
              <w:pStyle w:val="TableParagraph"/>
              <w:spacing w:before="41"/>
              <w:ind w:left="107"/>
              <w:jc w:val="left"/>
              <w:rPr>
                <w:sz w:val="24"/>
              </w:rPr>
            </w:pPr>
            <w:r>
              <w:rPr>
                <w:sz w:val="24"/>
              </w:rPr>
              <w:t>Pallapalayam (Po), Mangalam (via), Palladam (Tk), Tirupur-641 663.</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42</w:t>
            </w:r>
          </w:p>
        </w:tc>
        <w:tc>
          <w:tcPr>
            <w:tcW w:w="7466" w:type="dxa"/>
          </w:tcPr>
          <w:p w:rsidR="007C5447" w:rsidRDefault="00F6308C">
            <w:pPr>
              <w:pStyle w:val="TableParagraph"/>
              <w:spacing w:line="275" w:lineRule="exact"/>
              <w:ind w:left="107"/>
              <w:jc w:val="left"/>
              <w:rPr>
                <w:sz w:val="24"/>
              </w:rPr>
            </w:pPr>
            <w:r>
              <w:rPr>
                <w:sz w:val="24"/>
              </w:rPr>
              <w:t>Proprietor, Sri Sivambika Tex, 21-A, Gandhi Nagar</w:t>
            </w:r>
            <w:r>
              <w:rPr>
                <w:spacing w:val="-11"/>
                <w:sz w:val="24"/>
              </w:rPr>
              <w:t xml:space="preserve"> </w:t>
            </w:r>
            <w:r>
              <w:rPr>
                <w:sz w:val="24"/>
              </w:rPr>
              <w:t>Street,</w:t>
            </w:r>
          </w:p>
          <w:p w:rsidR="007C5447" w:rsidRDefault="00F6308C">
            <w:pPr>
              <w:pStyle w:val="TableParagraph"/>
              <w:spacing w:before="41"/>
              <w:ind w:left="107"/>
              <w:jc w:val="left"/>
              <w:rPr>
                <w:sz w:val="24"/>
              </w:rPr>
            </w:pPr>
            <w:r>
              <w:rPr>
                <w:sz w:val="24"/>
              </w:rPr>
              <w:t>Velayuthampalayam, Mangalam-641 663, Tirupur</w:t>
            </w:r>
            <w:r>
              <w:rPr>
                <w:spacing w:val="-8"/>
                <w:sz w:val="24"/>
              </w:rPr>
              <w:t xml:space="preserve"> </w:t>
            </w:r>
            <w:r>
              <w:rPr>
                <w:sz w:val="24"/>
              </w:rPr>
              <w:t>District.</w:t>
            </w:r>
          </w:p>
        </w:tc>
      </w:tr>
      <w:tr w:rsidR="007C5447">
        <w:trPr>
          <w:trHeight w:val="635"/>
        </w:trPr>
        <w:tc>
          <w:tcPr>
            <w:tcW w:w="994" w:type="dxa"/>
          </w:tcPr>
          <w:p w:rsidR="007C5447" w:rsidRDefault="00F6308C">
            <w:pPr>
              <w:pStyle w:val="TableParagraph"/>
              <w:spacing w:before="1"/>
              <w:ind w:left="110"/>
              <w:jc w:val="left"/>
              <w:rPr>
                <w:sz w:val="24"/>
              </w:rPr>
            </w:pPr>
            <w:r>
              <w:rPr>
                <w:sz w:val="24"/>
              </w:rPr>
              <w:t>43</w:t>
            </w:r>
          </w:p>
        </w:tc>
        <w:tc>
          <w:tcPr>
            <w:tcW w:w="7466" w:type="dxa"/>
          </w:tcPr>
          <w:p w:rsidR="007C5447" w:rsidRDefault="00F6308C">
            <w:pPr>
              <w:pStyle w:val="TableParagraph"/>
              <w:spacing w:before="1"/>
              <w:ind w:left="107"/>
              <w:jc w:val="left"/>
              <w:rPr>
                <w:sz w:val="24"/>
              </w:rPr>
            </w:pPr>
            <w:r>
              <w:rPr>
                <w:sz w:val="24"/>
              </w:rPr>
              <w:t>Sivamurugan Textiles, 1/475, Chettikadu Thottam, Poomalur (PO),</w:t>
            </w:r>
          </w:p>
          <w:p w:rsidR="007C5447" w:rsidRDefault="00F6308C">
            <w:pPr>
              <w:pStyle w:val="TableParagraph"/>
              <w:spacing w:before="41"/>
              <w:ind w:left="107"/>
              <w:jc w:val="left"/>
              <w:rPr>
                <w:sz w:val="24"/>
              </w:rPr>
            </w:pPr>
            <w:r>
              <w:rPr>
                <w:sz w:val="24"/>
              </w:rPr>
              <w:t>Mangalam (via), Palladam-641663. Tirupur Dist.</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44</w:t>
            </w:r>
          </w:p>
        </w:tc>
        <w:tc>
          <w:tcPr>
            <w:tcW w:w="7466" w:type="dxa"/>
          </w:tcPr>
          <w:p w:rsidR="007C5447" w:rsidRDefault="00F6308C">
            <w:pPr>
              <w:pStyle w:val="TableParagraph"/>
              <w:spacing w:line="275" w:lineRule="exact"/>
              <w:ind w:left="107"/>
              <w:jc w:val="left"/>
              <w:rPr>
                <w:sz w:val="24"/>
              </w:rPr>
            </w:pPr>
            <w:r>
              <w:rPr>
                <w:sz w:val="24"/>
              </w:rPr>
              <w:t>Managing Director, Shree Hari Textiles, S.F. 169, Velliampalayam Pirivu,</w:t>
            </w:r>
          </w:p>
          <w:p w:rsidR="007C5447" w:rsidRDefault="00F6308C">
            <w:pPr>
              <w:pStyle w:val="TableParagraph"/>
              <w:spacing w:before="41"/>
              <w:ind w:left="107"/>
              <w:jc w:val="left"/>
              <w:rPr>
                <w:sz w:val="24"/>
              </w:rPr>
            </w:pPr>
            <w:r>
              <w:rPr>
                <w:sz w:val="24"/>
              </w:rPr>
              <w:t>Pukkulam Post, Udumalpet – 642154.</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45</w:t>
            </w:r>
          </w:p>
        </w:tc>
        <w:tc>
          <w:tcPr>
            <w:tcW w:w="7466" w:type="dxa"/>
          </w:tcPr>
          <w:p w:rsidR="007C5447" w:rsidRDefault="00F6308C">
            <w:pPr>
              <w:pStyle w:val="TableParagraph"/>
              <w:spacing w:line="275" w:lineRule="exact"/>
              <w:ind w:left="107"/>
              <w:jc w:val="left"/>
              <w:rPr>
                <w:sz w:val="24"/>
              </w:rPr>
            </w:pPr>
            <w:r>
              <w:rPr>
                <w:sz w:val="24"/>
              </w:rPr>
              <w:t>Arunn Bhalaji Cotton Mills, No.9, Kumaravel Nagar, Pallakatturpudur,</w:t>
            </w:r>
          </w:p>
          <w:p w:rsidR="007C5447" w:rsidRDefault="00F6308C">
            <w:pPr>
              <w:pStyle w:val="TableParagraph"/>
              <w:spacing w:before="41"/>
              <w:ind w:left="107"/>
              <w:jc w:val="left"/>
              <w:rPr>
                <w:sz w:val="24"/>
              </w:rPr>
            </w:pPr>
            <w:r>
              <w:rPr>
                <w:sz w:val="24"/>
              </w:rPr>
              <w:t>Uthukuli Road, Chennimalai-638051.</w:t>
            </w:r>
          </w:p>
        </w:tc>
      </w:tr>
    </w:tbl>
    <w:p w:rsidR="007C5447" w:rsidRDefault="007C5447">
      <w:pPr>
        <w:rPr>
          <w:sz w:val="24"/>
        </w:rPr>
        <w:sectPr w:rsidR="007C5447">
          <w:pgSz w:w="11910" w:h="16840"/>
          <w:pgMar w:top="1420" w:right="1300" w:bottom="960" w:left="1000" w:header="0" w:footer="777" w:gutter="0"/>
          <w:cols w:space="720"/>
        </w:sectPr>
      </w:pP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7466"/>
      </w:tblGrid>
      <w:tr w:rsidR="007C5447">
        <w:trPr>
          <w:trHeight w:val="316"/>
        </w:trPr>
        <w:tc>
          <w:tcPr>
            <w:tcW w:w="994" w:type="dxa"/>
          </w:tcPr>
          <w:p w:rsidR="007C5447" w:rsidRDefault="00F6308C">
            <w:pPr>
              <w:pStyle w:val="TableParagraph"/>
              <w:spacing w:line="275" w:lineRule="exact"/>
              <w:ind w:left="110"/>
              <w:jc w:val="left"/>
              <w:rPr>
                <w:b/>
                <w:sz w:val="24"/>
              </w:rPr>
            </w:pPr>
            <w:r>
              <w:rPr>
                <w:b/>
                <w:sz w:val="24"/>
              </w:rPr>
              <w:lastRenderedPageBreak/>
              <w:t>Sl. No.</w:t>
            </w:r>
          </w:p>
        </w:tc>
        <w:tc>
          <w:tcPr>
            <w:tcW w:w="7466" w:type="dxa"/>
          </w:tcPr>
          <w:p w:rsidR="007C5447" w:rsidRDefault="00F6308C">
            <w:pPr>
              <w:pStyle w:val="TableParagraph"/>
              <w:spacing w:line="275" w:lineRule="exact"/>
              <w:ind w:left="107"/>
              <w:jc w:val="left"/>
              <w:rPr>
                <w:b/>
                <w:sz w:val="24"/>
              </w:rPr>
            </w:pPr>
            <w:r>
              <w:rPr>
                <w:b/>
                <w:sz w:val="24"/>
              </w:rPr>
              <w:t>Name and Address</w:t>
            </w:r>
          </w:p>
        </w:tc>
      </w:tr>
      <w:tr w:rsidR="007C5447">
        <w:trPr>
          <w:trHeight w:val="635"/>
        </w:trPr>
        <w:tc>
          <w:tcPr>
            <w:tcW w:w="994" w:type="dxa"/>
          </w:tcPr>
          <w:p w:rsidR="007C5447" w:rsidRDefault="00F6308C">
            <w:pPr>
              <w:pStyle w:val="TableParagraph"/>
              <w:spacing w:before="1"/>
              <w:ind w:left="110"/>
              <w:jc w:val="left"/>
              <w:rPr>
                <w:sz w:val="24"/>
              </w:rPr>
            </w:pPr>
            <w:r>
              <w:rPr>
                <w:sz w:val="24"/>
              </w:rPr>
              <w:t>46</w:t>
            </w:r>
          </w:p>
        </w:tc>
        <w:tc>
          <w:tcPr>
            <w:tcW w:w="7466" w:type="dxa"/>
          </w:tcPr>
          <w:p w:rsidR="007C5447" w:rsidRDefault="00F6308C">
            <w:pPr>
              <w:pStyle w:val="TableParagraph"/>
              <w:spacing w:before="1"/>
              <w:ind w:left="107"/>
              <w:jc w:val="left"/>
              <w:rPr>
                <w:sz w:val="24"/>
              </w:rPr>
            </w:pPr>
            <w:r>
              <w:rPr>
                <w:sz w:val="24"/>
              </w:rPr>
              <w:t>Sri Arulmurugan Spinners, 186/4-A, Muthalipalayam, Arasur Post,</w:t>
            </w:r>
          </w:p>
          <w:p w:rsidR="007C5447" w:rsidRDefault="00F6308C">
            <w:pPr>
              <w:pStyle w:val="TableParagraph"/>
              <w:spacing w:before="41"/>
              <w:ind w:left="107"/>
              <w:jc w:val="left"/>
              <w:rPr>
                <w:sz w:val="24"/>
              </w:rPr>
            </w:pPr>
            <w:r>
              <w:rPr>
                <w:sz w:val="24"/>
              </w:rPr>
              <w:t>Coimbatore-641407.</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47</w:t>
            </w:r>
          </w:p>
        </w:tc>
        <w:tc>
          <w:tcPr>
            <w:tcW w:w="7466" w:type="dxa"/>
          </w:tcPr>
          <w:p w:rsidR="007C5447" w:rsidRDefault="00F6308C">
            <w:pPr>
              <w:pStyle w:val="TableParagraph"/>
              <w:spacing w:line="275" w:lineRule="exact"/>
              <w:ind w:left="107"/>
              <w:jc w:val="left"/>
              <w:rPr>
                <w:sz w:val="24"/>
              </w:rPr>
            </w:pPr>
            <w:r>
              <w:rPr>
                <w:sz w:val="24"/>
              </w:rPr>
              <w:t>Dr. K. Selvaraju, Secretary General, The Southern India Mills’</w:t>
            </w:r>
          </w:p>
          <w:p w:rsidR="007C5447" w:rsidRDefault="00F6308C">
            <w:pPr>
              <w:pStyle w:val="TableParagraph"/>
              <w:spacing w:before="41"/>
              <w:ind w:left="107"/>
              <w:jc w:val="left"/>
              <w:rPr>
                <w:sz w:val="24"/>
              </w:rPr>
            </w:pPr>
            <w:r>
              <w:rPr>
                <w:sz w:val="24"/>
              </w:rPr>
              <w:t>Association, Post Box. No. 3783, 41 Race Course,Coimbatore-641018.</w:t>
            </w:r>
          </w:p>
        </w:tc>
      </w:tr>
      <w:tr w:rsidR="007C5447">
        <w:trPr>
          <w:trHeight w:val="316"/>
        </w:trPr>
        <w:tc>
          <w:tcPr>
            <w:tcW w:w="994" w:type="dxa"/>
          </w:tcPr>
          <w:p w:rsidR="007C5447" w:rsidRDefault="00F6308C">
            <w:pPr>
              <w:pStyle w:val="TableParagraph"/>
              <w:spacing w:line="275" w:lineRule="exact"/>
              <w:ind w:left="110"/>
              <w:jc w:val="left"/>
              <w:rPr>
                <w:sz w:val="24"/>
              </w:rPr>
            </w:pPr>
            <w:r>
              <w:rPr>
                <w:sz w:val="24"/>
              </w:rPr>
              <w:t>48</w:t>
            </w:r>
          </w:p>
        </w:tc>
        <w:tc>
          <w:tcPr>
            <w:tcW w:w="7466" w:type="dxa"/>
          </w:tcPr>
          <w:p w:rsidR="007C5447" w:rsidRDefault="00F6308C">
            <w:pPr>
              <w:pStyle w:val="TableParagraph"/>
              <w:spacing w:line="275" w:lineRule="exact"/>
              <w:ind w:left="107"/>
              <w:jc w:val="left"/>
              <w:rPr>
                <w:sz w:val="24"/>
              </w:rPr>
            </w:pPr>
            <w:r>
              <w:rPr>
                <w:sz w:val="24"/>
              </w:rPr>
              <w:t>Tmt. Yogi Trivedi, Q.4, Kovaipudur, Yogita Nivas, Coimbatore-641 042.</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49</w:t>
            </w:r>
          </w:p>
        </w:tc>
        <w:tc>
          <w:tcPr>
            <w:tcW w:w="7466" w:type="dxa"/>
          </w:tcPr>
          <w:p w:rsidR="007C5447" w:rsidRDefault="00F6308C">
            <w:pPr>
              <w:pStyle w:val="TableParagraph"/>
              <w:spacing w:line="275" w:lineRule="exact"/>
              <w:ind w:left="107"/>
              <w:jc w:val="left"/>
              <w:rPr>
                <w:sz w:val="24"/>
              </w:rPr>
            </w:pPr>
            <w:r>
              <w:rPr>
                <w:sz w:val="24"/>
              </w:rPr>
              <w:t>Thiru T.Karthikeyan, Windmill Incharge, Sheela Clinic, New No.117, (Old</w:t>
            </w:r>
          </w:p>
          <w:p w:rsidR="007C5447" w:rsidRDefault="00F6308C">
            <w:pPr>
              <w:pStyle w:val="TableParagraph"/>
              <w:spacing w:before="43"/>
              <w:ind w:left="107"/>
              <w:jc w:val="left"/>
              <w:rPr>
                <w:sz w:val="24"/>
              </w:rPr>
            </w:pPr>
            <w:r>
              <w:rPr>
                <w:sz w:val="24"/>
              </w:rPr>
              <w:t>No.46), East Power House Road, Coimbatore-641012.</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50</w:t>
            </w:r>
          </w:p>
        </w:tc>
        <w:tc>
          <w:tcPr>
            <w:tcW w:w="7466" w:type="dxa"/>
          </w:tcPr>
          <w:p w:rsidR="007C5447" w:rsidRDefault="00F6308C">
            <w:pPr>
              <w:pStyle w:val="TableParagraph"/>
              <w:spacing w:line="275" w:lineRule="exact"/>
              <w:ind w:left="107"/>
              <w:jc w:val="left"/>
              <w:rPr>
                <w:sz w:val="24"/>
              </w:rPr>
            </w:pPr>
            <w:r>
              <w:rPr>
                <w:sz w:val="24"/>
              </w:rPr>
              <w:t>Partner, Panchami Spinning Mills, SF No. 154/B1-A, Palappampatty,</w:t>
            </w:r>
          </w:p>
          <w:p w:rsidR="007C5447" w:rsidRDefault="00F6308C">
            <w:pPr>
              <w:pStyle w:val="TableParagraph"/>
              <w:spacing w:before="41"/>
              <w:ind w:left="107"/>
              <w:jc w:val="left"/>
              <w:rPr>
                <w:sz w:val="24"/>
              </w:rPr>
            </w:pPr>
            <w:r>
              <w:rPr>
                <w:sz w:val="24"/>
              </w:rPr>
              <w:t>Palani Main Road, S.V.Mill (Po), Udumalpet-642 128. Tirupur (Dist.)</w:t>
            </w:r>
          </w:p>
        </w:tc>
      </w:tr>
      <w:tr w:rsidR="007C5447">
        <w:trPr>
          <w:trHeight w:val="635"/>
        </w:trPr>
        <w:tc>
          <w:tcPr>
            <w:tcW w:w="994" w:type="dxa"/>
          </w:tcPr>
          <w:p w:rsidR="007C5447" w:rsidRDefault="00F6308C">
            <w:pPr>
              <w:pStyle w:val="TableParagraph"/>
              <w:spacing w:before="1"/>
              <w:ind w:left="110"/>
              <w:jc w:val="left"/>
              <w:rPr>
                <w:sz w:val="24"/>
              </w:rPr>
            </w:pPr>
            <w:r>
              <w:rPr>
                <w:sz w:val="24"/>
              </w:rPr>
              <w:t>51</w:t>
            </w:r>
          </w:p>
        </w:tc>
        <w:tc>
          <w:tcPr>
            <w:tcW w:w="7466" w:type="dxa"/>
          </w:tcPr>
          <w:p w:rsidR="007C5447" w:rsidRDefault="00F6308C">
            <w:pPr>
              <w:pStyle w:val="TableParagraph"/>
              <w:spacing w:before="1"/>
              <w:ind w:left="107"/>
              <w:jc w:val="left"/>
              <w:rPr>
                <w:sz w:val="24"/>
              </w:rPr>
            </w:pPr>
            <w:r>
              <w:rPr>
                <w:sz w:val="24"/>
              </w:rPr>
              <w:t>Partner, Kaviharan Spintex, SF No. 344/2B, Velappanaiken Pudur,</w:t>
            </w:r>
          </w:p>
          <w:p w:rsidR="007C5447" w:rsidRDefault="00F6308C">
            <w:pPr>
              <w:pStyle w:val="TableParagraph"/>
              <w:spacing w:before="41"/>
              <w:ind w:left="107"/>
              <w:jc w:val="left"/>
              <w:rPr>
                <w:sz w:val="24"/>
              </w:rPr>
            </w:pPr>
            <w:r>
              <w:rPr>
                <w:sz w:val="24"/>
              </w:rPr>
              <w:t>Gudimangalam (Po.) Udumalpet-642 201.</w:t>
            </w:r>
          </w:p>
        </w:tc>
      </w:tr>
      <w:tr w:rsidR="007C5447">
        <w:trPr>
          <w:trHeight w:val="636"/>
        </w:trPr>
        <w:tc>
          <w:tcPr>
            <w:tcW w:w="994" w:type="dxa"/>
          </w:tcPr>
          <w:p w:rsidR="007C5447" w:rsidRDefault="00F6308C">
            <w:pPr>
              <w:pStyle w:val="TableParagraph"/>
              <w:spacing w:line="276" w:lineRule="exact"/>
              <w:ind w:left="110"/>
              <w:jc w:val="left"/>
              <w:rPr>
                <w:sz w:val="24"/>
              </w:rPr>
            </w:pPr>
            <w:r>
              <w:rPr>
                <w:sz w:val="24"/>
              </w:rPr>
              <w:t>52</w:t>
            </w:r>
          </w:p>
        </w:tc>
        <w:tc>
          <w:tcPr>
            <w:tcW w:w="7466" w:type="dxa"/>
          </w:tcPr>
          <w:p w:rsidR="007C5447" w:rsidRDefault="00F6308C">
            <w:pPr>
              <w:pStyle w:val="TableParagraph"/>
              <w:spacing w:line="276" w:lineRule="exact"/>
              <w:ind w:left="107"/>
              <w:jc w:val="left"/>
              <w:rPr>
                <w:sz w:val="24"/>
              </w:rPr>
            </w:pPr>
            <w:r>
              <w:rPr>
                <w:sz w:val="24"/>
              </w:rPr>
              <w:t>Partner, Kavita Spinners, Shed No. 14 &amp; 15, Sidco Industrial Estate,</w:t>
            </w:r>
          </w:p>
          <w:p w:rsidR="007C5447" w:rsidRDefault="00F6308C">
            <w:pPr>
              <w:pStyle w:val="TableParagraph"/>
              <w:spacing w:before="41"/>
              <w:ind w:left="107"/>
              <w:jc w:val="left"/>
              <w:rPr>
                <w:sz w:val="24"/>
              </w:rPr>
            </w:pPr>
            <w:r>
              <w:rPr>
                <w:sz w:val="24"/>
              </w:rPr>
              <w:t>Gudimangalam, Udumalpet T.K. Pin – 642 201.</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53</w:t>
            </w:r>
          </w:p>
        </w:tc>
        <w:tc>
          <w:tcPr>
            <w:tcW w:w="7466" w:type="dxa"/>
          </w:tcPr>
          <w:p w:rsidR="007C5447" w:rsidRDefault="00F6308C">
            <w:pPr>
              <w:pStyle w:val="TableParagraph"/>
              <w:spacing w:line="275" w:lineRule="exact"/>
              <w:ind w:left="107"/>
              <w:jc w:val="left"/>
              <w:rPr>
                <w:sz w:val="24"/>
              </w:rPr>
            </w:pPr>
            <w:r>
              <w:rPr>
                <w:sz w:val="24"/>
              </w:rPr>
              <w:t>Partner, Sri Shakthi Spinners, SF No. 88/2A, Sri Shakthi Garden,</w:t>
            </w:r>
          </w:p>
          <w:p w:rsidR="007C5447" w:rsidRDefault="00F6308C">
            <w:pPr>
              <w:pStyle w:val="TableParagraph"/>
              <w:spacing w:before="7" w:line="310" w:lineRule="atLeast"/>
              <w:ind w:left="107"/>
              <w:jc w:val="left"/>
              <w:rPr>
                <w:sz w:val="24"/>
              </w:rPr>
            </w:pPr>
            <w:r>
              <w:rPr>
                <w:sz w:val="24"/>
              </w:rPr>
              <w:t>Vadukapalayam Village, Sunkaramadakku (Po), Udumalpet (Tk), Tirupur (Dt.)</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54</w:t>
            </w:r>
          </w:p>
        </w:tc>
        <w:tc>
          <w:tcPr>
            <w:tcW w:w="7466" w:type="dxa"/>
          </w:tcPr>
          <w:p w:rsidR="007C5447" w:rsidRDefault="00F6308C">
            <w:pPr>
              <w:pStyle w:val="TableParagraph"/>
              <w:spacing w:line="275" w:lineRule="exact"/>
              <w:ind w:left="107"/>
              <w:jc w:val="left"/>
              <w:rPr>
                <w:sz w:val="24"/>
              </w:rPr>
            </w:pPr>
            <w:r>
              <w:rPr>
                <w:sz w:val="24"/>
              </w:rPr>
              <w:t>Managing Director, S.M. Textiles, 14/452, Contractor Colony, Amaravathi</w:t>
            </w:r>
          </w:p>
          <w:p w:rsidR="007C5447" w:rsidRDefault="00F6308C">
            <w:pPr>
              <w:pStyle w:val="TableParagraph"/>
              <w:spacing w:before="41"/>
              <w:ind w:left="107"/>
              <w:jc w:val="left"/>
              <w:rPr>
                <w:sz w:val="24"/>
              </w:rPr>
            </w:pPr>
            <w:r>
              <w:rPr>
                <w:sz w:val="24"/>
              </w:rPr>
              <w:t>Nagar, Udumalpet – 642102.</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55</w:t>
            </w:r>
          </w:p>
        </w:tc>
        <w:tc>
          <w:tcPr>
            <w:tcW w:w="7466" w:type="dxa"/>
          </w:tcPr>
          <w:p w:rsidR="007C5447" w:rsidRDefault="00F6308C">
            <w:pPr>
              <w:pStyle w:val="TableParagraph"/>
              <w:spacing w:line="275" w:lineRule="exact"/>
              <w:ind w:left="107"/>
              <w:jc w:val="left"/>
              <w:rPr>
                <w:sz w:val="24"/>
              </w:rPr>
            </w:pPr>
            <w:r>
              <w:rPr>
                <w:sz w:val="24"/>
              </w:rPr>
              <w:t>Partner’s, SPT Textiles, SF No.2/8, Thathanaickenpatti (PO),</w:t>
            </w:r>
          </w:p>
          <w:p w:rsidR="007C5447" w:rsidRDefault="00F6308C">
            <w:pPr>
              <w:pStyle w:val="TableParagraph"/>
              <w:spacing w:before="43"/>
              <w:ind w:left="107"/>
              <w:jc w:val="left"/>
              <w:rPr>
                <w:sz w:val="24"/>
              </w:rPr>
            </w:pPr>
            <w:r>
              <w:rPr>
                <w:sz w:val="24"/>
              </w:rPr>
              <w:t>Karadikootam, Palani (TK)-625 621.</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56</w:t>
            </w:r>
          </w:p>
        </w:tc>
        <w:tc>
          <w:tcPr>
            <w:tcW w:w="7466" w:type="dxa"/>
          </w:tcPr>
          <w:p w:rsidR="007C5447" w:rsidRDefault="00F6308C">
            <w:pPr>
              <w:pStyle w:val="TableParagraph"/>
              <w:spacing w:line="275" w:lineRule="exact"/>
              <w:ind w:left="107"/>
              <w:jc w:val="left"/>
              <w:rPr>
                <w:sz w:val="24"/>
              </w:rPr>
            </w:pPr>
            <w:r>
              <w:rPr>
                <w:sz w:val="24"/>
              </w:rPr>
              <w:t>Proprietor, Aanantham Textiles, 145/1, Dharapuram Road, Udumalpet-642</w:t>
            </w:r>
          </w:p>
          <w:p w:rsidR="007C5447" w:rsidRDefault="00F6308C">
            <w:pPr>
              <w:pStyle w:val="TableParagraph"/>
              <w:spacing w:before="41"/>
              <w:ind w:left="107"/>
              <w:jc w:val="left"/>
              <w:rPr>
                <w:sz w:val="24"/>
              </w:rPr>
            </w:pPr>
            <w:r>
              <w:rPr>
                <w:sz w:val="24"/>
              </w:rPr>
              <w:t>126.</w:t>
            </w:r>
          </w:p>
        </w:tc>
      </w:tr>
      <w:tr w:rsidR="007C5447">
        <w:trPr>
          <w:trHeight w:val="952"/>
        </w:trPr>
        <w:tc>
          <w:tcPr>
            <w:tcW w:w="994" w:type="dxa"/>
          </w:tcPr>
          <w:p w:rsidR="007C5447" w:rsidRDefault="00F6308C">
            <w:pPr>
              <w:pStyle w:val="TableParagraph"/>
              <w:spacing w:before="1"/>
              <w:ind w:left="110"/>
              <w:jc w:val="left"/>
              <w:rPr>
                <w:sz w:val="24"/>
              </w:rPr>
            </w:pPr>
            <w:r>
              <w:rPr>
                <w:sz w:val="24"/>
              </w:rPr>
              <w:t>57</w:t>
            </w:r>
          </w:p>
        </w:tc>
        <w:tc>
          <w:tcPr>
            <w:tcW w:w="7466" w:type="dxa"/>
          </w:tcPr>
          <w:p w:rsidR="007C5447" w:rsidRDefault="00F6308C">
            <w:pPr>
              <w:pStyle w:val="TableParagraph"/>
              <w:spacing w:before="1"/>
              <w:ind w:left="107"/>
              <w:jc w:val="left"/>
              <w:rPr>
                <w:sz w:val="24"/>
              </w:rPr>
            </w:pPr>
            <w:r>
              <w:rPr>
                <w:sz w:val="24"/>
              </w:rPr>
              <w:t>Thiru R. Balasubramanian, General Secretary, Federation of Consumer</w:t>
            </w:r>
          </w:p>
          <w:p w:rsidR="007C5447" w:rsidRDefault="00F6308C">
            <w:pPr>
              <w:pStyle w:val="TableParagraph"/>
              <w:spacing w:before="7" w:line="310" w:lineRule="atLeast"/>
              <w:ind w:left="107" w:right="563"/>
              <w:jc w:val="left"/>
              <w:rPr>
                <w:sz w:val="24"/>
              </w:rPr>
            </w:pPr>
            <w:r>
              <w:rPr>
                <w:sz w:val="24"/>
              </w:rPr>
              <w:t>Origanisations Tamilnadu &amp; Pondicherry – FEDCOT, No.604, C.T.H. Road, Pattabiram, Chennai-600072.</w:t>
            </w:r>
          </w:p>
        </w:tc>
      </w:tr>
      <w:tr w:rsidR="007C5447">
        <w:trPr>
          <w:trHeight w:val="635"/>
        </w:trPr>
        <w:tc>
          <w:tcPr>
            <w:tcW w:w="994" w:type="dxa"/>
          </w:tcPr>
          <w:p w:rsidR="007C5447" w:rsidRDefault="00F6308C">
            <w:pPr>
              <w:pStyle w:val="TableParagraph"/>
              <w:spacing w:before="1"/>
              <w:ind w:left="110"/>
              <w:jc w:val="left"/>
              <w:rPr>
                <w:sz w:val="24"/>
              </w:rPr>
            </w:pPr>
            <w:r>
              <w:rPr>
                <w:sz w:val="24"/>
              </w:rPr>
              <w:t>58</w:t>
            </w:r>
          </w:p>
        </w:tc>
        <w:tc>
          <w:tcPr>
            <w:tcW w:w="7466" w:type="dxa"/>
          </w:tcPr>
          <w:p w:rsidR="007C5447" w:rsidRDefault="00F6308C">
            <w:pPr>
              <w:pStyle w:val="TableParagraph"/>
              <w:spacing w:before="1"/>
              <w:ind w:left="107"/>
              <w:jc w:val="left"/>
              <w:rPr>
                <w:sz w:val="24"/>
              </w:rPr>
            </w:pPr>
            <w:r>
              <w:rPr>
                <w:sz w:val="24"/>
              </w:rPr>
              <w:t>Partner, Sri Selvalakshmi Spinners, SF. No. 190/4, Sedan Thottam,</w:t>
            </w:r>
          </w:p>
          <w:p w:rsidR="007C5447" w:rsidRDefault="00F6308C">
            <w:pPr>
              <w:pStyle w:val="TableParagraph"/>
              <w:spacing w:before="41"/>
              <w:ind w:left="107"/>
              <w:jc w:val="left"/>
              <w:rPr>
                <w:sz w:val="24"/>
              </w:rPr>
            </w:pPr>
            <w:r>
              <w:rPr>
                <w:sz w:val="24"/>
              </w:rPr>
              <w:t>Edayarpalayam Road, Pappampatti, Coimbatore – 641 016.</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59</w:t>
            </w:r>
          </w:p>
        </w:tc>
        <w:tc>
          <w:tcPr>
            <w:tcW w:w="7466" w:type="dxa"/>
          </w:tcPr>
          <w:p w:rsidR="007C5447" w:rsidRDefault="00F6308C">
            <w:pPr>
              <w:pStyle w:val="TableParagraph"/>
              <w:spacing w:line="275" w:lineRule="exact"/>
              <w:ind w:left="107"/>
              <w:jc w:val="left"/>
              <w:rPr>
                <w:sz w:val="24"/>
              </w:rPr>
            </w:pPr>
            <w:r>
              <w:rPr>
                <w:sz w:val="24"/>
              </w:rPr>
              <w:t>G.V.R. Textiles, 84A, Vinayakar Street, Sivananda Colony, Coimbatore –</w:t>
            </w:r>
          </w:p>
          <w:p w:rsidR="007C5447" w:rsidRDefault="00F6308C">
            <w:pPr>
              <w:pStyle w:val="TableParagraph"/>
              <w:spacing w:before="41"/>
              <w:ind w:left="107"/>
              <w:jc w:val="left"/>
              <w:rPr>
                <w:sz w:val="24"/>
              </w:rPr>
            </w:pPr>
            <w:r>
              <w:rPr>
                <w:sz w:val="24"/>
              </w:rPr>
              <w:t>641 012.</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60</w:t>
            </w:r>
          </w:p>
        </w:tc>
        <w:tc>
          <w:tcPr>
            <w:tcW w:w="7466" w:type="dxa"/>
          </w:tcPr>
          <w:p w:rsidR="007C5447" w:rsidRDefault="00F6308C">
            <w:pPr>
              <w:pStyle w:val="TableParagraph"/>
              <w:spacing w:line="275" w:lineRule="exact"/>
              <w:ind w:left="107"/>
              <w:jc w:val="left"/>
              <w:rPr>
                <w:sz w:val="24"/>
              </w:rPr>
            </w:pPr>
            <w:r>
              <w:rPr>
                <w:sz w:val="24"/>
              </w:rPr>
              <w:t>Managing Partner/Partner, Tirubbaty Spin Mill, 27, SIDCO Industrial</w:t>
            </w:r>
          </w:p>
          <w:p w:rsidR="007C5447" w:rsidRDefault="00F6308C">
            <w:pPr>
              <w:pStyle w:val="TableParagraph"/>
              <w:spacing w:before="41"/>
              <w:ind w:left="107"/>
              <w:jc w:val="left"/>
              <w:rPr>
                <w:sz w:val="24"/>
              </w:rPr>
            </w:pPr>
            <w:r>
              <w:rPr>
                <w:sz w:val="24"/>
              </w:rPr>
              <w:t>Estate, Gudimangalam-642 201. Udumalpet (TK).</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61</w:t>
            </w:r>
          </w:p>
        </w:tc>
        <w:tc>
          <w:tcPr>
            <w:tcW w:w="7466" w:type="dxa"/>
          </w:tcPr>
          <w:p w:rsidR="007C5447" w:rsidRDefault="00F6308C">
            <w:pPr>
              <w:pStyle w:val="TableParagraph"/>
              <w:spacing w:line="275" w:lineRule="exact"/>
              <w:ind w:left="107"/>
              <w:jc w:val="left"/>
              <w:rPr>
                <w:sz w:val="24"/>
              </w:rPr>
            </w:pPr>
            <w:r>
              <w:rPr>
                <w:sz w:val="24"/>
              </w:rPr>
              <w:t>Partner, Shree Govarthanaa Textiles, 21/5, Maheswari Nagar, 2nd Street,</w:t>
            </w:r>
          </w:p>
          <w:p w:rsidR="007C5447" w:rsidRDefault="00F6308C">
            <w:pPr>
              <w:pStyle w:val="TableParagraph"/>
              <w:spacing w:before="43"/>
              <w:ind w:left="107"/>
              <w:jc w:val="left"/>
              <w:rPr>
                <w:sz w:val="24"/>
              </w:rPr>
            </w:pPr>
            <w:r>
              <w:rPr>
                <w:sz w:val="24"/>
              </w:rPr>
              <w:t>Thanneerpandal, Peelamedu, Coimbatore-641004.</w:t>
            </w:r>
          </w:p>
        </w:tc>
      </w:tr>
      <w:tr w:rsidR="007C5447">
        <w:trPr>
          <w:trHeight w:val="636"/>
        </w:trPr>
        <w:tc>
          <w:tcPr>
            <w:tcW w:w="994" w:type="dxa"/>
          </w:tcPr>
          <w:p w:rsidR="007C5447" w:rsidRDefault="00F6308C">
            <w:pPr>
              <w:pStyle w:val="TableParagraph"/>
              <w:spacing w:line="276" w:lineRule="exact"/>
              <w:ind w:left="110"/>
              <w:jc w:val="left"/>
              <w:rPr>
                <w:sz w:val="24"/>
              </w:rPr>
            </w:pPr>
            <w:r>
              <w:rPr>
                <w:sz w:val="24"/>
              </w:rPr>
              <w:t>62</w:t>
            </w:r>
          </w:p>
        </w:tc>
        <w:tc>
          <w:tcPr>
            <w:tcW w:w="7466" w:type="dxa"/>
          </w:tcPr>
          <w:p w:rsidR="007C5447" w:rsidRDefault="00F6308C">
            <w:pPr>
              <w:pStyle w:val="TableParagraph"/>
              <w:spacing w:line="276" w:lineRule="exact"/>
              <w:ind w:left="107"/>
              <w:jc w:val="left"/>
              <w:rPr>
                <w:sz w:val="24"/>
              </w:rPr>
            </w:pPr>
            <w:r>
              <w:rPr>
                <w:sz w:val="24"/>
              </w:rPr>
              <w:t>Partner, Sri Sakthi Spinners,6/110,C Vadakuthottam, Rangasamuthiram,</w:t>
            </w:r>
          </w:p>
          <w:p w:rsidR="007C5447" w:rsidRDefault="00F6308C">
            <w:pPr>
              <w:pStyle w:val="TableParagraph"/>
              <w:spacing w:before="41"/>
              <w:ind w:left="107"/>
              <w:jc w:val="left"/>
              <w:rPr>
                <w:sz w:val="24"/>
              </w:rPr>
            </w:pPr>
            <w:r>
              <w:rPr>
                <w:sz w:val="24"/>
              </w:rPr>
              <w:t>Panikkampatti(PO)-641 664. Palladam Tk, Tirupur Dt.</w:t>
            </w:r>
          </w:p>
        </w:tc>
      </w:tr>
      <w:tr w:rsidR="007C5447">
        <w:trPr>
          <w:trHeight w:val="950"/>
        </w:trPr>
        <w:tc>
          <w:tcPr>
            <w:tcW w:w="994" w:type="dxa"/>
          </w:tcPr>
          <w:p w:rsidR="007C5447" w:rsidRDefault="00F6308C">
            <w:pPr>
              <w:pStyle w:val="TableParagraph"/>
              <w:spacing w:line="275" w:lineRule="exact"/>
              <w:ind w:left="110"/>
              <w:jc w:val="left"/>
              <w:rPr>
                <w:sz w:val="24"/>
              </w:rPr>
            </w:pPr>
            <w:r>
              <w:rPr>
                <w:sz w:val="24"/>
              </w:rPr>
              <w:t>63</w:t>
            </w:r>
          </w:p>
        </w:tc>
        <w:tc>
          <w:tcPr>
            <w:tcW w:w="7466" w:type="dxa"/>
          </w:tcPr>
          <w:p w:rsidR="007C5447" w:rsidRDefault="00F6308C">
            <w:pPr>
              <w:pStyle w:val="TableParagraph"/>
              <w:spacing w:line="276" w:lineRule="auto"/>
              <w:ind w:left="107" w:right="97"/>
              <w:jc w:val="left"/>
              <w:rPr>
                <w:sz w:val="24"/>
              </w:rPr>
            </w:pPr>
            <w:r>
              <w:rPr>
                <w:sz w:val="24"/>
              </w:rPr>
              <w:t>Proprietor, Sri Bagavathi Amman Mills, Yarn &amp; Cloth Manufactureres, 11, Settukaran Thottam, Main Road Street, Paramasivampalayam,</w:t>
            </w:r>
          </w:p>
          <w:p w:rsidR="007C5447" w:rsidRDefault="00F6308C">
            <w:pPr>
              <w:pStyle w:val="TableParagraph"/>
              <w:spacing w:line="275" w:lineRule="exact"/>
              <w:ind w:left="107"/>
              <w:jc w:val="left"/>
              <w:rPr>
                <w:sz w:val="24"/>
              </w:rPr>
            </w:pPr>
            <w:r>
              <w:rPr>
                <w:sz w:val="24"/>
              </w:rPr>
              <w:t>Pallapalayam (PO), Mangalam (Via), Tirupur Dt. – 641 663.</w:t>
            </w:r>
          </w:p>
        </w:tc>
      </w:tr>
      <w:tr w:rsidR="007C5447">
        <w:trPr>
          <w:trHeight w:val="635"/>
        </w:trPr>
        <w:tc>
          <w:tcPr>
            <w:tcW w:w="994" w:type="dxa"/>
          </w:tcPr>
          <w:p w:rsidR="007C5447" w:rsidRDefault="00F6308C">
            <w:pPr>
              <w:pStyle w:val="TableParagraph"/>
              <w:spacing w:before="1"/>
              <w:ind w:left="110"/>
              <w:jc w:val="left"/>
              <w:rPr>
                <w:sz w:val="24"/>
              </w:rPr>
            </w:pPr>
            <w:r>
              <w:rPr>
                <w:sz w:val="24"/>
              </w:rPr>
              <w:t>64</w:t>
            </w:r>
          </w:p>
        </w:tc>
        <w:tc>
          <w:tcPr>
            <w:tcW w:w="7466" w:type="dxa"/>
          </w:tcPr>
          <w:p w:rsidR="007C5447" w:rsidRDefault="00F6308C">
            <w:pPr>
              <w:pStyle w:val="TableParagraph"/>
              <w:spacing w:before="1"/>
              <w:ind w:left="107"/>
              <w:jc w:val="left"/>
              <w:rPr>
                <w:sz w:val="24"/>
              </w:rPr>
            </w:pPr>
            <w:r>
              <w:rPr>
                <w:sz w:val="24"/>
              </w:rPr>
              <w:t>Partner, Sri Srinivasa Spintex,4/654-A, Pethamuchipalayam,</w:t>
            </w:r>
          </w:p>
          <w:p w:rsidR="007C5447" w:rsidRDefault="00F6308C">
            <w:pPr>
              <w:pStyle w:val="TableParagraph"/>
              <w:spacing w:before="41"/>
              <w:ind w:left="107"/>
              <w:jc w:val="left"/>
              <w:rPr>
                <w:sz w:val="24"/>
              </w:rPr>
            </w:pPr>
            <w:r>
              <w:rPr>
                <w:sz w:val="24"/>
              </w:rPr>
              <w:t>Ayyampalayam Post, Palladam Taluk, Tirupur Dt. 641 663.</w:t>
            </w:r>
          </w:p>
        </w:tc>
      </w:tr>
    </w:tbl>
    <w:p w:rsidR="007C5447" w:rsidRDefault="007C5447">
      <w:pPr>
        <w:rPr>
          <w:sz w:val="24"/>
        </w:rPr>
        <w:sectPr w:rsidR="007C5447">
          <w:pgSz w:w="11910" w:h="16840"/>
          <w:pgMar w:top="1420" w:right="1300" w:bottom="960" w:left="1000" w:header="0" w:footer="777" w:gutter="0"/>
          <w:cols w:space="720"/>
        </w:sectPr>
      </w:pP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7466"/>
      </w:tblGrid>
      <w:tr w:rsidR="007C5447">
        <w:trPr>
          <w:trHeight w:val="316"/>
        </w:trPr>
        <w:tc>
          <w:tcPr>
            <w:tcW w:w="994" w:type="dxa"/>
          </w:tcPr>
          <w:p w:rsidR="007C5447" w:rsidRDefault="00F6308C">
            <w:pPr>
              <w:pStyle w:val="TableParagraph"/>
              <w:spacing w:line="275" w:lineRule="exact"/>
              <w:ind w:left="110"/>
              <w:jc w:val="left"/>
              <w:rPr>
                <w:b/>
                <w:sz w:val="24"/>
              </w:rPr>
            </w:pPr>
            <w:r>
              <w:rPr>
                <w:b/>
                <w:sz w:val="24"/>
              </w:rPr>
              <w:lastRenderedPageBreak/>
              <w:t>Sl. No.</w:t>
            </w:r>
          </w:p>
        </w:tc>
        <w:tc>
          <w:tcPr>
            <w:tcW w:w="7466" w:type="dxa"/>
          </w:tcPr>
          <w:p w:rsidR="007C5447" w:rsidRDefault="00F6308C">
            <w:pPr>
              <w:pStyle w:val="TableParagraph"/>
              <w:spacing w:line="275" w:lineRule="exact"/>
              <w:ind w:left="107"/>
              <w:jc w:val="left"/>
              <w:rPr>
                <w:b/>
                <w:sz w:val="24"/>
              </w:rPr>
            </w:pPr>
            <w:r>
              <w:rPr>
                <w:b/>
                <w:sz w:val="24"/>
              </w:rPr>
              <w:t>Name and Address</w:t>
            </w:r>
          </w:p>
        </w:tc>
      </w:tr>
      <w:tr w:rsidR="007C5447">
        <w:trPr>
          <w:trHeight w:val="635"/>
        </w:trPr>
        <w:tc>
          <w:tcPr>
            <w:tcW w:w="994" w:type="dxa"/>
          </w:tcPr>
          <w:p w:rsidR="007C5447" w:rsidRDefault="00F6308C">
            <w:pPr>
              <w:pStyle w:val="TableParagraph"/>
              <w:spacing w:before="1"/>
              <w:ind w:left="110"/>
              <w:jc w:val="left"/>
              <w:rPr>
                <w:sz w:val="24"/>
              </w:rPr>
            </w:pPr>
            <w:r>
              <w:rPr>
                <w:sz w:val="24"/>
              </w:rPr>
              <w:t>65</w:t>
            </w:r>
          </w:p>
        </w:tc>
        <w:tc>
          <w:tcPr>
            <w:tcW w:w="7466" w:type="dxa"/>
          </w:tcPr>
          <w:p w:rsidR="007C5447" w:rsidRDefault="00F6308C">
            <w:pPr>
              <w:pStyle w:val="TableParagraph"/>
              <w:spacing w:before="1"/>
              <w:ind w:left="107"/>
              <w:jc w:val="left"/>
              <w:rPr>
                <w:sz w:val="24"/>
              </w:rPr>
            </w:pPr>
            <w:r>
              <w:rPr>
                <w:sz w:val="24"/>
              </w:rPr>
              <w:t>Proprietor, Padma Textile Engineers, SF No. 110, Bharathi Nagar, 1st</w:t>
            </w:r>
          </w:p>
          <w:p w:rsidR="007C5447" w:rsidRDefault="00F6308C">
            <w:pPr>
              <w:pStyle w:val="TableParagraph"/>
              <w:spacing w:before="41"/>
              <w:ind w:left="107"/>
              <w:jc w:val="left"/>
              <w:rPr>
                <w:sz w:val="24"/>
              </w:rPr>
            </w:pPr>
            <w:r>
              <w:rPr>
                <w:sz w:val="24"/>
              </w:rPr>
              <w:t>Cross, Ganapathy, Coimbatore-641006.</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66</w:t>
            </w:r>
          </w:p>
        </w:tc>
        <w:tc>
          <w:tcPr>
            <w:tcW w:w="7466" w:type="dxa"/>
          </w:tcPr>
          <w:p w:rsidR="007C5447" w:rsidRDefault="00F6308C">
            <w:pPr>
              <w:pStyle w:val="TableParagraph"/>
              <w:spacing w:line="276" w:lineRule="auto"/>
              <w:ind w:left="107" w:right="483"/>
              <w:jc w:val="left"/>
              <w:rPr>
                <w:sz w:val="24"/>
              </w:rPr>
            </w:pPr>
            <w:r>
              <w:rPr>
                <w:sz w:val="24"/>
              </w:rPr>
              <w:t>Shri Saampavi Spinning Mills, D.No. 127-J, Nachipalayam, Mulanur Road, Karattupalayam (PO), Vellakovil – 638 111. Tirupur Dist. Tamil</w:t>
            </w:r>
          </w:p>
          <w:p w:rsidR="007C5447" w:rsidRDefault="00F6308C">
            <w:pPr>
              <w:pStyle w:val="TableParagraph"/>
              <w:ind w:left="107"/>
              <w:jc w:val="left"/>
              <w:rPr>
                <w:sz w:val="24"/>
              </w:rPr>
            </w:pPr>
            <w:r>
              <w:rPr>
                <w:sz w:val="24"/>
              </w:rPr>
              <w:t>Nadu.</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67</w:t>
            </w:r>
          </w:p>
        </w:tc>
        <w:tc>
          <w:tcPr>
            <w:tcW w:w="7466" w:type="dxa"/>
          </w:tcPr>
          <w:p w:rsidR="007C5447" w:rsidRDefault="00F6308C">
            <w:pPr>
              <w:pStyle w:val="TableParagraph"/>
              <w:spacing w:line="276" w:lineRule="auto"/>
              <w:ind w:left="107" w:right="323"/>
              <w:jc w:val="left"/>
              <w:rPr>
                <w:sz w:val="24"/>
              </w:rPr>
            </w:pPr>
            <w:r>
              <w:rPr>
                <w:sz w:val="24"/>
              </w:rPr>
              <w:t>Thiru S.K. Rangarajan, President, The South India Spinners Association, Flat No.103-A Block, 1st Floor, Raheja Centre, 1073 &amp; 1074, Avinashi</w:t>
            </w:r>
          </w:p>
          <w:p w:rsidR="007C5447" w:rsidRDefault="00F6308C">
            <w:pPr>
              <w:pStyle w:val="TableParagraph"/>
              <w:ind w:left="107"/>
              <w:jc w:val="left"/>
              <w:rPr>
                <w:sz w:val="24"/>
              </w:rPr>
            </w:pPr>
            <w:r>
              <w:rPr>
                <w:sz w:val="24"/>
              </w:rPr>
              <w:t>Road, Coimbatore-641018.</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68</w:t>
            </w:r>
          </w:p>
        </w:tc>
        <w:tc>
          <w:tcPr>
            <w:tcW w:w="7466" w:type="dxa"/>
          </w:tcPr>
          <w:p w:rsidR="007C5447" w:rsidRDefault="00F6308C">
            <w:pPr>
              <w:pStyle w:val="TableParagraph"/>
              <w:spacing w:line="276" w:lineRule="auto"/>
              <w:ind w:left="107" w:right="263"/>
              <w:jc w:val="left"/>
              <w:rPr>
                <w:sz w:val="24"/>
              </w:rPr>
            </w:pPr>
            <w:r>
              <w:rPr>
                <w:sz w:val="24"/>
              </w:rPr>
              <w:t xml:space="preserve">Thiru B. Shahul Hameed, Managing Director, Athi Sivan Steels (Pvt.) Ltd., Door No. 1, </w:t>
            </w:r>
            <w:r>
              <w:rPr>
                <w:sz w:val="24"/>
              </w:rPr>
              <w:t>Panapatty Road, Varapatty Village, Chandrapuram PO,</w:t>
            </w:r>
          </w:p>
          <w:p w:rsidR="007C5447" w:rsidRDefault="00F6308C">
            <w:pPr>
              <w:pStyle w:val="TableParagraph"/>
              <w:spacing w:line="275" w:lineRule="exact"/>
              <w:ind w:left="107"/>
              <w:jc w:val="left"/>
              <w:rPr>
                <w:sz w:val="24"/>
              </w:rPr>
            </w:pPr>
            <w:r>
              <w:rPr>
                <w:sz w:val="24"/>
              </w:rPr>
              <w:t>Sulur TK, Coimbatore Dist – 641 402.</w:t>
            </w:r>
          </w:p>
        </w:tc>
      </w:tr>
      <w:tr w:rsidR="007C5447">
        <w:trPr>
          <w:trHeight w:val="633"/>
        </w:trPr>
        <w:tc>
          <w:tcPr>
            <w:tcW w:w="994" w:type="dxa"/>
          </w:tcPr>
          <w:p w:rsidR="007C5447" w:rsidRDefault="00F6308C">
            <w:pPr>
              <w:pStyle w:val="TableParagraph"/>
              <w:spacing w:line="276" w:lineRule="exact"/>
              <w:ind w:left="110"/>
              <w:jc w:val="left"/>
              <w:rPr>
                <w:sz w:val="24"/>
              </w:rPr>
            </w:pPr>
            <w:r>
              <w:rPr>
                <w:sz w:val="24"/>
              </w:rPr>
              <w:t>69</w:t>
            </w:r>
          </w:p>
        </w:tc>
        <w:tc>
          <w:tcPr>
            <w:tcW w:w="7466" w:type="dxa"/>
          </w:tcPr>
          <w:p w:rsidR="007C5447" w:rsidRDefault="00F6308C">
            <w:pPr>
              <w:pStyle w:val="TableParagraph"/>
              <w:spacing w:line="276" w:lineRule="exact"/>
              <w:ind w:left="107"/>
              <w:jc w:val="left"/>
              <w:rPr>
                <w:sz w:val="24"/>
              </w:rPr>
            </w:pPr>
            <w:r>
              <w:rPr>
                <w:sz w:val="24"/>
              </w:rPr>
              <w:t>Tmt. Malliga Devi, 7/41-B, Avinashi Road, Civil Aerodrome (PO),</w:t>
            </w:r>
          </w:p>
          <w:p w:rsidR="007C5447" w:rsidRDefault="00F6308C">
            <w:pPr>
              <w:pStyle w:val="TableParagraph"/>
              <w:spacing w:before="41"/>
              <w:ind w:left="107"/>
              <w:jc w:val="left"/>
              <w:rPr>
                <w:sz w:val="24"/>
              </w:rPr>
            </w:pPr>
            <w:r>
              <w:rPr>
                <w:sz w:val="24"/>
              </w:rPr>
              <w:t>Coimbatore-14.</w:t>
            </w:r>
          </w:p>
        </w:tc>
      </w:tr>
      <w:tr w:rsidR="007C5447">
        <w:trPr>
          <w:trHeight w:val="635"/>
        </w:trPr>
        <w:tc>
          <w:tcPr>
            <w:tcW w:w="994" w:type="dxa"/>
          </w:tcPr>
          <w:p w:rsidR="007C5447" w:rsidRDefault="00F6308C">
            <w:pPr>
              <w:pStyle w:val="TableParagraph"/>
              <w:spacing w:before="1"/>
              <w:ind w:left="110"/>
              <w:jc w:val="left"/>
              <w:rPr>
                <w:sz w:val="24"/>
              </w:rPr>
            </w:pPr>
            <w:r>
              <w:rPr>
                <w:sz w:val="24"/>
              </w:rPr>
              <w:t>70</w:t>
            </w:r>
          </w:p>
        </w:tc>
        <w:tc>
          <w:tcPr>
            <w:tcW w:w="7466" w:type="dxa"/>
          </w:tcPr>
          <w:p w:rsidR="007C5447" w:rsidRDefault="00F6308C">
            <w:pPr>
              <w:pStyle w:val="TableParagraph"/>
              <w:spacing w:before="1"/>
              <w:ind w:left="107"/>
              <w:jc w:val="left"/>
              <w:rPr>
                <w:sz w:val="24"/>
              </w:rPr>
            </w:pPr>
            <w:r>
              <w:rPr>
                <w:sz w:val="24"/>
              </w:rPr>
              <w:t>Partner, N.R.C. Spintex, No.277/2, Kuttakattuputhur, Vellakovil-638 111,</w:t>
            </w:r>
          </w:p>
          <w:p w:rsidR="007C5447" w:rsidRDefault="00F6308C">
            <w:pPr>
              <w:pStyle w:val="TableParagraph"/>
              <w:spacing w:before="41"/>
              <w:ind w:left="107"/>
              <w:jc w:val="left"/>
              <w:rPr>
                <w:sz w:val="24"/>
              </w:rPr>
            </w:pPr>
            <w:r>
              <w:rPr>
                <w:sz w:val="24"/>
              </w:rPr>
              <w:t>Tirupur Dist. (T.N)</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71</w:t>
            </w:r>
          </w:p>
        </w:tc>
        <w:tc>
          <w:tcPr>
            <w:tcW w:w="7466" w:type="dxa"/>
          </w:tcPr>
          <w:p w:rsidR="007C5447" w:rsidRDefault="00F6308C">
            <w:pPr>
              <w:pStyle w:val="TableParagraph"/>
              <w:spacing w:line="275" w:lineRule="exact"/>
              <w:ind w:left="107"/>
              <w:jc w:val="left"/>
              <w:rPr>
                <w:sz w:val="24"/>
              </w:rPr>
            </w:pPr>
            <w:r>
              <w:rPr>
                <w:sz w:val="24"/>
              </w:rPr>
              <w:t>Proprietor, Hari Krishna Spin Tex, No. 277/1, Kuttakattuputhur, M.</w:t>
            </w:r>
          </w:p>
          <w:p w:rsidR="007C5447" w:rsidRDefault="00F6308C">
            <w:pPr>
              <w:pStyle w:val="TableParagraph"/>
              <w:spacing w:before="41"/>
              <w:ind w:left="107"/>
              <w:jc w:val="left"/>
              <w:rPr>
                <w:sz w:val="24"/>
              </w:rPr>
            </w:pPr>
            <w:r>
              <w:rPr>
                <w:sz w:val="24"/>
              </w:rPr>
              <w:t>Palanisamy Nagar West, Vellakovil-638 111, Tirupur Dist. (T.N.)</w:t>
            </w:r>
          </w:p>
        </w:tc>
      </w:tr>
      <w:tr w:rsidR="007C5447">
        <w:trPr>
          <w:trHeight w:val="316"/>
        </w:trPr>
        <w:tc>
          <w:tcPr>
            <w:tcW w:w="994" w:type="dxa"/>
          </w:tcPr>
          <w:p w:rsidR="007C5447" w:rsidRDefault="00F6308C">
            <w:pPr>
              <w:pStyle w:val="TableParagraph"/>
              <w:spacing w:line="275" w:lineRule="exact"/>
              <w:ind w:left="110"/>
              <w:jc w:val="left"/>
              <w:rPr>
                <w:sz w:val="24"/>
              </w:rPr>
            </w:pPr>
            <w:r>
              <w:rPr>
                <w:sz w:val="24"/>
              </w:rPr>
              <w:t>72</w:t>
            </w:r>
          </w:p>
        </w:tc>
        <w:tc>
          <w:tcPr>
            <w:tcW w:w="7466" w:type="dxa"/>
          </w:tcPr>
          <w:p w:rsidR="007C5447" w:rsidRDefault="00F6308C">
            <w:pPr>
              <w:pStyle w:val="TableParagraph"/>
              <w:spacing w:line="275" w:lineRule="exact"/>
              <w:ind w:left="107"/>
              <w:jc w:val="left"/>
              <w:rPr>
                <w:sz w:val="24"/>
              </w:rPr>
            </w:pPr>
            <w:r>
              <w:rPr>
                <w:sz w:val="24"/>
              </w:rPr>
              <w:t>Tmt. Parimala Antony, 54/4, Park Town, Coimbatore-641045.</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73</w:t>
            </w:r>
          </w:p>
        </w:tc>
        <w:tc>
          <w:tcPr>
            <w:tcW w:w="7466" w:type="dxa"/>
          </w:tcPr>
          <w:p w:rsidR="007C5447" w:rsidRDefault="00F6308C">
            <w:pPr>
              <w:pStyle w:val="TableParagraph"/>
              <w:spacing w:line="275" w:lineRule="exact"/>
              <w:ind w:left="107"/>
              <w:jc w:val="left"/>
              <w:rPr>
                <w:sz w:val="24"/>
              </w:rPr>
            </w:pPr>
            <w:r>
              <w:rPr>
                <w:sz w:val="24"/>
              </w:rPr>
              <w:t>Tmt. R. Vijaya, 33, Park Town, Trichy Road, Sungam, Coimbatore –</w:t>
            </w:r>
          </w:p>
          <w:p w:rsidR="007C5447" w:rsidRDefault="00F6308C">
            <w:pPr>
              <w:pStyle w:val="TableParagraph"/>
              <w:spacing w:before="41"/>
              <w:ind w:left="107"/>
              <w:jc w:val="left"/>
              <w:rPr>
                <w:sz w:val="24"/>
              </w:rPr>
            </w:pPr>
            <w:r>
              <w:rPr>
                <w:sz w:val="24"/>
              </w:rPr>
              <w:t>641045.</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74</w:t>
            </w:r>
          </w:p>
        </w:tc>
        <w:tc>
          <w:tcPr>
            <w:tcW w:w="7466" w:type="dxa"/>
          </w:tcPr>
          <w:p w:rsidR="007C5447" w:rsidRDefault="00F6308C">
            <w:pPr>
              <w:pStyle w:val="TableParagraph"/>
              <w:spacing w:line="275" w:lineRule="exact"/>
              <w:ind w:left="107"/>
              <w:jc w:val="left"/>
              <w:rPr>
                <w:sz w:val="24"/>
              </w:rPr>
            </w:pPr>
            <w:r>
              <w:rPr>
                <w:sz w:val="24"/>
              </w:rPr>
              <w:t>Tmt. R. Devaki, 32, Park Town, Trichy Road, Sungam, Coimbatore –</w:t>
            </w:r>
          </w:p>
          <w:p w:rsidR="007C5447" w:rsidRDefault="00F6308C">
            <w:pPr>
              <w:pStyle w:val="TableParagraph"/>
              <w:spacing w:before="41"/>
              <w:ind w:left="107"/>
              <w:jc w:val="left"/>
              <w:rPr>
                <w:sz w:val="24"/>
              </w:rPr>
            </w:pPr>
            <w:r>
              <w:rPr>
                <w:sz w:val="24"/>
              </w:rPr>
              <w:t>641045.</w:t>
            </w:r>
          </w:p>
        </w:tc>
      </w:tr>
      <w:tr w:rsidR="007C5447">
        <w:trPr>
          <w:trHeight w:val="636"/>
        </w:trPr>
        <w:tc>
          <w:tcPr>
            <w:tcW w:w="994" w:type="dxa"/>
          </w:tcPr>
          <w:p w:rsidR="007C5447" w:rsidRDefault="00F6308C">
            <w:pPr>
              <w:pStyle w:val="TableParagraph"/>
              <w:spacing w:line="275" w:lineRule="exact"/>
              <w:ind w:left="110"/>
              <w:jc w:val="left"/>
              <w:rPr>
                <w:sz w:val="24"/>
              </w:rPr>
            </w:pPr>
            <w:r>
              <w:rPr>
                <w:sz w:val="24"/>
              </w:rPr>
              <w:t>75</w:t>
            </w:r>
          </w:p>
        </w:tc>
        <w:tc>
          <w:tcPr>
            <w:tcW w:w="7466" w:type="dxa"/>
          </w:tcPr>
          <w:p w:rsidR="007C5447" w:rsidRDefault="00F6308C">
            <w:pPr>
              <w:pStyle w:val="TableParagraph"/>
              <w:spacing w:line="275" w:lineRule="exact"/>
              <w:ind w:left="107"/>
              <w:jc w:val="left"/>
              <w:rPr>
                <w:sz w:val="24"/>
              </w:rPr>
            </w:pPr>
            <w:r>
              <w:rPr>
                <w:sz w:val="24"/>
              </w:rPr>
              <w:t>Sree Adithya Mills, 2/442-A, Semmipalayam, Kovai Road, K.S.N.Puram</w:t>
            </w:r>
          </w:p>
          <w:p w:rsidR="007C5447" w:rsidRDefault="00F6308C">
            <w:pPr>
              <w:pStyle w:val="TableParagraph"/>
              <w:spacing w:before="43"/>
              <w:ind w:left="107"/>
              <w:jc w:val="left"/>
              <w:rPr>
                <w:sz w:val="24"/>
              </w:rPr>
            </w:pPr>
            <w:r>
              <w:rPr>
                <w:sz w:val="24"/>
              </w:rPr>
              <w:t>(Po), Palladam – 641 662. Tirupur (Dt.)</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76</w:t>
            </w:r>
          </w:p>
        </w:tc>
        <w:tc>
          <w:tcPr>
            <w:tcW w:w="7466" w:type="dxa"/>
          </w:tcPr>
          <w:p w:rsidR="007C5447" w:rsidRDefault="00F6308C">
            <w:pPr>
              <w:pStyle w:val="TableParagraph"/>
              <w:spacing w:line="275" w:lineRule="exact"/>
              <w:ind w:left="107"/>
              <w:jc w:val="left"/>
              <w:rPr>
                <w:sz w:val="24"/>
              </w:rPr>
            </w:pPr>
            <w:r>
              <w:rPr>
                <w:sz w:val="24"/>
              </w:rPr>
              <w:t>Thiru V. Sundaram, President, CODISSIA, G.D. Naidu Towers, Post Box</w:t>
            </w:r>
          </w:p>
          <w:p w:rsidR="007C5447" w:rsidRDefault="00F6308C">
            <w:pPr>
              <w:pStyle w:val="TableParagraph"/>
              <w:spacing w:before="41"/>
              <w:ind w:left="107"/>
              <w:jc w:val="left"/>
              <w:rPr>
                <w:sz w:val="24"/>
              </w:rPr>
            </w:pPr>
            <w:r>
              <w:rPr>
                <w:sz w:val="24"/>
              </w:rPr>
              <w:t>No. 3827, Huzur Road, Coimbatore-641 018.</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77</w:t>
            </w:r>
          </w:p>
        </w:tc>
        <w:tc>
          <w:tcPr>
            <w:tcW w:w="7466" w:type="dxa"/>
          </w:tcPr>
          <w:p w:rsidR="007C5447" w:rsidRDefault="00F6308C">
            <w:pPr>
              <w:pStyle w:val="TableParagraph"/>
              <w:spacing w:line="275" w:lineRule="exact"/>
              <w:ind w:left="107"/>
              <w:jc w:val="left"/>
              <w:rPr>
                <w:sz w:val="24"/>
              </w:rPr>
            </w:pPr>
            <w:r>
              <w:rPr>
                <w:sz w:val="24"/>
              </w:rPr>
              <w:t>Managing Partner, Alagu spinners, 335, D.R. Nagar, Muthur Road,</w:t>
            </w:r>
          </w:p>
          <w:p w:rsidR="007C5447" w:rsidRDefault="00F6308C">
            <w:pPr>
              <w:pStyle w:val="TableParagraph"/>
              <w:spacing w:before="41"/>
              <w:ind w:left="107"/>
              <w:jc w:val="left"/>
              <w:rPr>
                <w:sz w:val="24"/>
              </w:rPr>
            </w:pPr>
            <w:r>
              <w:rPr>
                <w:sz w:val="24"/>
              </w:rPr>
              <w:t>Vellakovil – 638 111.</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78</w:t>
            </w:r>
          </w:p>
        </w:tc>
        <w:tc>
          <w:tcPr>
            <w:tcW w:w="7466" w:type="dxa"/>
          </w:tcPr>
          <w:p w:rsidR="007C5447" w:rsidRDefault="00F6308C">
            <w:pPr>
              <w:pStyle w:val="TableParagraph"/>
              <w:spacing w:line="275" w:lineRule="exact"/>
              <w:ind w:left="107"/>
              <w:jc w:val="left"/>
              <w:rPr>
                <w:sz w:val="24"/>
              </w:rPr>
            </w:pPr>
            <w:r>
              <w:rPr>
                <w:sz w:val="24"/>
              </w:rPr>
              <w:t>Proprietor, Skantha Cotton Yarn, 4/294, Karuvalai Thottam,</w:t>
            </w:r>
          </w:p>
          <w:p w:rsidR="007C5447" w:rsidRDefault="00F6308C">
            <w:pPr>
              <w:pStyle w:val="TableParagraph"/>
              <w:spacing w:before="43"/>
              <w:ind w:left="107"/>
              <w:jc w:val="left"/>
              <w:rPr>
                <w:sz w:val="24"/>
              </w:rPr>
            </w:pPr>
            <w:r>
              <w:rPr>
                <w:sz w:val="24"/>
              </w:rPr>
              <w:t>Sennimalaipalayam, Thekkalur, Avinashi – 641 654, Tirupur (Dt.)</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79</w:t>
            </w:r>
          </w:p>
        </w:tc>
        <w:tc>
          <w:tcPr>
            <w:tcW w:w="7466" w:type="dxa"/>
          </w:tcPr>
          <w:p w:rsidR="007C5447" w:rsidRDefault="00F6308C">
            <w:pPr>
              <w:pStyle w:val="TableParagraph"/>
              <w:spacing w:line="275" w:lineRule="exact"/>
              <w:ind w:left="107"/>
              <w:jc w:val="left"/>
              <w:rPr>
                <w:sz w:val="24"/>
              </w:rPr>
            </w:pPr>
            <w:r>
              <w:rPr>
                <w:sz w:val="24"/>
              </w:rPr>
              <w:t>Partner, Shivamani Spinners, D.No. 4/292-1, Karuvalai Thottam,</w:t>
            </w:r>
          </w:p>
          <w:p w:rsidR="007C5447" w:rsidRDefault="00F6308C">
            <w:pPr>
              <w:pStyle w:val="TableParagraph"/>
              <w:spacing w:before="41"/>
              <w:ind w:left="107"/>
              <w:jc w:val="left"/>
              <w:rPr>
                <w:sz w:val="24"/>
              </w:rPr>
            </w:pPr>
            <w:r>
              <w:rPr>
                <w:sz w:val="24"/>
              </w:rPr>
              <w:t>Sennimalaipalayam, Thekkalur (PO), Avainashi – 641 654.</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80</w:t>
            </w:r>
          </w:p>
        </w:tc>
        <w:tc>
          <w:tcPr>
            <w:tcW w:w="7466" w:type="dxa"/>
          </w:tcPr>
          <w:p w:rsidR="007C5447" w:rsidRDefault="00F6308C">
            <w:pPr>
              <w:pStyle w:val="TableParagraph"/>
              <w:spacing w:line="275" w:lineRule="exact"/>
              <w:ind w:left="107"/>
              <w:jc w:val="left"/>
              <w:rPr>
                <w:sz w:val="24"/>
              </w:rPr>
            </w:pPr>
            <w:r>
              <w:rPr>
                <w:sz w:val="24"/>
              </w:rPr>
              <w:t>Proprietor, Necter Cotton Mills, No. 1/428, Puliyampatti Road,</w:t>
            </w:r>
          </w:p>
          <w:p w:rsidR="007C5447" w:rsidRDefault="00F6308C">
            <w:pPr>
              <w:pStyle w:val="TableParagraph"/>
              <w:spacing w:before="41"/>
              <w:ind w:left="107"/>
              <w:jc w:val="left"/>
              <w:rPr>
                <w:sz w:val="24"/>
              </w:rPr>
            </w:pPr>
            <w:r>
              <w:rPr>
                <w:sz w:val="24"/>
              </w:rPr>
              <w:t>Polavapalayam, Nambiyur, Gobi – 638 458, Erode (Dt.)</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81</w:t>
            </w:r>
          </w:p>
        </w:tc>
        <w:tc>
          <w:tcPr>
            <w:tcW w:w="7466" w:type="dxa"/>
          </w:tcPr>
          <w:p w:rsidR="007C5447" w:rsidRDefault="00F6308C">
            <w:pPr>
              <w:pStyle w:val="TableParagraph"/>
              <w:spacing w:line="275" w:lineRule="exact"/>
              <w:ind w:left="107"/>
              <w:jc w:val="left"/>
              <w:rPr>
                <w:sz w:val="24"/>
              </w:rPr>
            </w:pPr>
            <w:r>
              <w:rPr>
                <w:sz w:val="24"/>
              </w:rPr>
              <w:t>Thiru L. Francis Rozario, 9A, Parri Nagar, Sugam Bypass Road,</w:t>
            </w:r>
          </w:p>
          <w:p w:rsidR="007C5447" w:rsidRDefault="00F6308C">
            <w:pPr>
              <w:pStyle w:val="TableParagraph"/>
              <w:spacing w:before="43"/>
              <w:ind w:left="107"/>
              <w:jc w:val="left"/>
              <w:rPr>
                <w:sz w:val="24"/>
              </w:rPr>
            </w:pPr>
            <w:r>
              <w:rPr>
                <w:sz w:val="24"/>
              </w:rPr>
              <w:t>Coimbatore-641 045.</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82</w:t>
            </w:r>
          </w:p>
        </w:tc>
        <w:tc>
          <w:tcPr>
            <w:tcW w:w="7466" w:type="dxa"/>
          </w:tcPr>
          <w:p w:rsidR="007C5447" w:rsidRDefault="00F6308C">
            <w:pPr>
              <w:pStyle w:val="TableParagraph"/>
              <w:spacing w:line="275" w:lineRule="exact"/>
              <w:ind w:left="107"/>
              <w:jc w:val="left"/>
              <w:rPr>
                <w:sz w:val="24"/>
              </w:rPr>
            </w:pPr>
            <w:r>
              <w:rPr>
                <w:sz w:val="24"/>
              </w:rPr>
              <w:t>Partner, Sri Deksa Textiles, D.No.1, 534 H, Thondi Thottam, Poomalur</w:t>
            </w:r>
          </w:p>
          <w:p w:rsidR="007C5447" w:rsidRDefault="00F6308C">
            <w:pPr>
              <w:pStyle w:val="TableParagraph"/>
              <w:spacing w:before="41"/>
              <w:ind w:left="107"/>
              <w:jc w:val="left"/>
              <w:rPr>
                <w:sz w:val="24"/>
              </w:rPr>
            </w:pPr>
            <w:r>
              <w:rPr>
                <w:sz w:val="24"/>
              </w:rPr>
              <w:t>(PO), Mangalam (via), Tirupur (Dt) – 641 663.</w:t>
            </w:r>
          </w:p>
        </w:tc>
      </w:tr>
      <w:tr w:rsidR="007C5447">
        <w:trPr>
          <w:trHeight w:val="635"/>
        </w:trPr>
        <w:tc>
          <w:tcPr>
            <w:tcW w:w="994" w:type="dxa"/>
          </w:tcPr>
          <w:p w:rsidR="007C5447" w:rsidRDefault="00F6308C">
            <w:pPr>
              <w:pStyle w:val="TableParagraph"/>
              <w:spacing w:before="1"/>
              <w:ind w:left="110"/>
              <w:jc w:val="left"/>
              <w:rPr>
                <w:sz w:val="24"/>
              </w:rPr>
            </w:pPr>
            <w:r>
              <w:rPr>
                <w:sz w:val="24"/>
              </w:rPr>
              <w:t>83</w:t>
            </w:r>
          </w:p>
        </w:tc>
        <w:tc>
          <w:tcPr>
            <w:tcW w:w="7466" w:type="dxa"/>
          </w:tcPr>
          <w:p w:rsidR="007C5447" w:rsidRDefault="00F6308C">
            <w:pPr>
              <w:pStyle w:val="TableParagraph"/>
              <w:spacing w:before="1"/>
              <w:ind w:left="107"/>
              <w:jc w:val="left"/>
              <w:rPr>
                <w:sz w:val="24"/>
              </w:rPr>
            </w:pPr>
            <w:r>
              <w:rPr>
                <w:sz w:val="24"/>
              </w:rPr>
              <w:t>Secretary, Open End Spinning Mills Association, 67, C.R. Complex,</w:t>
            </w:r>
          </w:p>
          <w:p w:rsidR="007C5447" w:rsidRDefault="00F6308C">
            <w:pPr>
              <w:pStyle w:val="TableParagraph"/>
              <w:spacing w:before="41"/>
              <w:ind w:left="107"/>
              <w:jc w:val="left"/>
              <w:rPr>
                <w:sz w:val="24"/>
              </w:rPr>
            </w:pPr>
            <w:r>
              <w:rPr>
                <w:sz w:val="24"/>
              </w:rPr>
              <w:t>Avinashi Road, Opp-Sitra, Civil Aerodrome Post, Coimbatore – 641 014.</w:t>
            </w:r>
          </w:p>
        </w:tc>
      </w:tr>
    </w:tbl>
    <w:p w:rsidR="007C5447" w:rsidRDefault="007C5447">
      <w:pPr>
        <w:rPr>
          <w:sz w:val="24"/>
        </w:rPr>
        <w:sectPr w:rsidR="007C5447">
          <w:pgSz w:w="11910" w:h="16840"/>
          <w:pgMar w:top="1420" w:right="1300" w:bottom="960" w:left="1000" w:header="0" w:footer="777" w:gutter="0"/>
          <w:cols w:space="720"/>
        </w:sectPr>
      </w:pP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7466"/>
      </w:tblGrid>
      <w:tr w:rsidR="007C5447">
        <w:trPr>
          <w:trHeight w:val="316"/>
        </w:trPr>
        <w:tc>
          <w:tcPr>
            <w:tcW w:w="994" w:type="dxa"/>
          </w:tcPr>
          <w:p w:rsidR="007C5447" w:rsidRDefault="00F6308C">
            <w:pPr>
              <w:pStyle w:val="TableParagraph"/>
              <w:spacing w:line="275" w:lineRule="exact"/>
              <w:ind w:left="110"/>
              <w:jc w:val="left"/>
              <w:rPr>
                <w:b/>
                <w:sz w:val="24"/>
              </w:rPr>
            </w:pPr>
            <w:r>
              <w:rPr>
                <w:b/>
                <w:sz w:val="24"/>
              </w:rPr>
              <w:lastRenderedPageBreak/>
              <w:t>Sl. No.</w:t>
            </w:r>
          </w:p>
        </w:tc>
        <w:tc>
          <w:tcPr>
            <w:tcW w:w="7466" w:type="dxa"/>
          </w:tcPr>
          <w:p w:rsidR="007C5447" w:rsidRDefault="00F6308C">
            <w:pPr>
              <w:pStyle w:val="TableParagraph"/>
              <w:spacing w:line="275" w:lineRule="exact"/>
              <w:ind w:left="107"/>
              <w:jc w:val="left"/>
              <w:rPr>
                <w:b/>
                <w:sz w:val="24"/>
              </w:rPr>
            </w:pPr>
            <w:r>
              <w:rPr>
                <w:b/>
                <w:sz w:val="24"/>
              </w:rPr>
              <w:t>Name and Address</w:t>
            </w:r>
          </w:p>
        </w:tc>
      </w:tr>
      <w:tr w:rsidR="007C5447">
        <w:trPr>
          <w:trHeight w:val="635"/>
        </w:trPr>
        <w:tc>
          <w:tcPr>
            <w:tcW w:w="994" w:type="dxa"/>
          </w:tcPr>
          <w:p w:rsidR="007C5447" w:rsidRDefault="00F6308C">
            <w:pPr>
              <w:pStyle w:val="TableParagraph"/>
              <w:spacing w:before="1"/>
              <w:ind w:left="110"/>
              <w:jc w:val="left"/>
              <w:rPr>
                <w:sz w:val="24"/>
              </w:rPr>
            </w:pPr>
            <w:r>
              <w:rPr>
                <w:sz w:val="24"/>
              </w:rPr>
              <w:t>84</w:t>
            </w:r>
          </w:p>
        </w:tc>
        <w:tc>
          <w:tcPr>
            <w:tcW w:w="7466" w:type="dxa"/>
          </w:tcPr>
          <w:p w:rsidR="007C5447" w:rsidRDefault="00F6308C">
            <w:pPr>
              <w:pStyle w:val="TableParagraph"/>
              <w:spacing w:before="1"/>
              <w:ind w:left="107"/>
              <w:jc w:val="left"/>
              <w:rPr>
                <w:sz w:val="24"/>
              </w:rPr>
            </w:pPr>
            <w:r>
              <w:rPr>
                <w:sz w:val="24"/>
              </w:rPr>
              <w:t>Partner, Giri Tex, 493, Kaliamman Kovil Street, Idayankulam Village,</w:t>
            </w:r>
          </w:p>
          <w:p w:rsidR="007C5447" w:rsidRDefault="00F6308C">
            <w:pPr>
              <w:pStyle w:val="TableParagraph"/>
              <w:spacing w:before="41"/>
              <w:ind w:left="107"/>
              <w:jc w:val="left"/>
              <w:rPr>
                <w:sz w:val="24"/>
              </w:rPr>
            </w:pPr>
            <w:r>
              <w:rPr>
                <w:sz w:val="24"/>
              </w:rPr>
              <w:t>Srivilliputtur Road, Rajapalayam – 626 117.</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85</w:t>
            </w:r>
          </w:p>
        </w:tc>
        <w:tc>
          <w:tcPr>
            <w:tcW w:w="7466" w:type="dxa"/>
          </w:tcPr>
          <w:p w:rsidR="007C5447" w:rsidRDefault="00F6308C">
            <w:pPr>
              <w:pStyle w:val="TableParagraph"/>
              <w:spacing w:line="275" w:lineRule="exact"/>
              <w:ind w:left="107"/>
              <w:jc w:val="left"/>
              <w:rPr>
                <w:sz w:val="24"/>
              </w:rPr>
            </w:pPr>
            <w:r>
              <w:rPr>
                <w:sz w:val="24"/>
              </w:rPr>
              <w:t>Partner, AVS Cotton Mill, SF No. 650/7, Kadaiyuran Valasu,</w:t>
            </w:r>
          </w:p>
          <w:p w:rsidR="007C5447" w:rsidRDefault="00F6308C">
            <w:pPr>
              <w:pStyle w:val="TableParagraph"/>
              <w:spacing w:before="41"/>
              <w:ind w:left="107"/>
              <w:jc w:val="left"/>
              <w:rPr>
                <w:sz w:val="24"/>
              </w:rPr>
            </w:pPr>
            <w:r>
              <w:rPr>
                <w:sz w:val="24"/>
              </w:rPr>
              <w:t>Uppupalayam Post, Vellakovil, Kangayam (TK), Tirupur Dist.</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86</w:t>
            </w:r>
          </w:p>
        </w:tc>
        <w:tc>
          <w:tcPr>
            <w:tcW w:w="7466" w:type="dxa"/>
          </w:tcPr>
          <w:p w:rsidR="007C5447" w:rsidRDefault="00F6308C">
            <w:pPr>
              <w:pStyle w:val="TableParagraph"/>
              <w:spacing w:line="275" w:lineRule="exact"/>
              <w:ind w:left="107"/>
              <w:jc w:val="left"/>
              <w:rPr>
                <w:sz w:val="24"/>
              </w:rPr>
            </w:pPr>
            <w:r>
              <w:rPr>
                <w:sz w:val="24"/>
              </w:rPr>
              <w:t>Partner, Sri Mani</w:t>
            </w:r>
            <w:r>
              <w:rPr>
                <w:sz w:val="24"/>
              </w:rPr>
              <w:t>vel Tex, 33-35, L.K.C. Nagar, Kovai Main Road,</w:t>
            </w:r>
          </w:p>
          <w:p w:rsidR="007C5447" w:rsidRDefault="00F6308C">
            <w:pPr>
              <w:pStyle w:val="TableParagraph"/>
              <w:spacing w:before="41"/>
              <w:ind w:left="107"/>
              <w:jc w:val="left"/>
              <w:rPr>
                <w:sz w:val="24"/>
              </w:rPr>
            </w:pPr>
            <w:r>
              <w:rPr>
                <w:sz w:val="24"/>
              </w:rPr>
              <w:t>Vellakovil – 638 111.</w:t>
            </w:r>
          </w:p>
        </w:tc>
      </w:tr>
      <w:tr w:rsidR="007C5447">
        <w:trPr>
          <w:trHeight w:val="635"/>
        </w:trPr>
        <w:tc>
          <w:tcPr>
            <w:tcW w:w="994" w:type="dxa"/>
          </w:tcPr>
          <w:p w:rsidR="007C5447" w:rsidRDefault="00F6308C">
            <w:pPr>
              <w:pStyle w:val="TableParagraph"/>
              <w:spacing w:before="1"/>
              <w:ind w:left="110"/>
              <w:jc w:val="left"/>
              <w:rPr>
                <w:sz w:val="24"/>
              </w:rPr>
            </w:pPr>
            <w:r>
              <w:rPr>
                <w:sz w:val="24"/>
              </w:rPr>
              <w:t>87</w:t>
            </w:r>
          </w:p>
        </w:tc>
        <w:tc>
          <w:tcPr>
            <w:tcW w:w="7466" w:type="dxa"/>
          </w:tcPr>
          <w:p w:rsidR="007C5447" w:rsidRDefault="00F6308C">
            <w:pPr>
              <w:pStyle w:val="TableParagraph"/>
              <w:spacing w:before="1"/>
              <w:ind w:left="107"/>
              <w:jc w:val="left"/>
              <w:rPr>
                <w:sz w:val="24"/>
              </w:rPr>
            </w:pPr>
            <w:r>
              <w:rPr>
                <w:sz w:val="24"/>
              </w:rPr>
              <w:t>Partner, Sri Ram Spinners, No.1, Sakthi Co-operative Industrial Estate,</w:t>
            </w:r>
          </w:p>
          <w:p w:rsidR="007C5447" w:rsidRDefault="00F6308C">
            <w:pPr>
              <w:pStyle w:val="TableParagraph"/>
              <w:spacing w:before="41"/>
              <w:ind w:left="107"/>
              <w:jc w:val="left"/>
              <w:rPr>
                <w:sz w:val="24"/>
              </w:rPr>
            </w:pPr>
            <w:r>
              <w:rPr>
                <w:sz w:val="24"/>
              </w:rPr>
              <w:t>Udumalai Road, Pollachi – 642 003.</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88</w:t>
            </w:r>
          </w:p>
        </w:tc>
        <w:tc>
          <w:tcPr>
            <w:tcW w:w="7466" w:type="dxa"/>
          </w:tcPr>
          <w:p w:rsidR="007C5447" w:rsidRDefault="00F6308C">
            <w:pPr>
              <w:pStyle w:val="TableParagraph"/>
              <w:spacing w:line="275" w:lineRule="exact"/>
              <w:ind w:left="107"/>
              <w:jc w:val="left"/>
              <w:rPr>
                <w:sz w:val="24"/>
              </w:rPr>
            </w:pPr>
            <w:r>
              <w:rPr>
                <w:sz w:val="24"/>
              </w:rPr>
              <w:t>Partner, Shri Renganath Spintex, W4/113, Varagunaramapuram Village,</w:t>
            </w:r>
          </w:p>
          <w:p w:rsidR="007C5447" w:rsidRDefault="00F6308C">
            <w:pPr>
              <w:pStyle w:val="TableParagraph"/>
              <w:spacing w:before="41"/>
              <w:ind w:left="107"/>
              <w:jc w:val="left"/>
              <w:rPr>
                <w:sz w:val="24"/>
              </w:rPr>
            </w:pPr>
            <w:r>
              <w:rPr>
                <w:sz w:val="24"/>
              </w:rPr>
              <w:t>Gopalapuram Post, Rajapalayam-626 136.</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89</w:t>
            </w:r>
          </w:p>
        </w:tc>
        <w:tc>
          <w:tcPr>
            <w:tcW w:w="7466" w:type="dxa"/>
          </w:tcPr>
          <w:p w:rsidR="007C5447" w:rsidRDefault="00F6308C">
            <w:pPr>
              <w:pStyle w:val="TableParagraph"/>
              <w:spacing w:line="275" w:lineRule="exact"/>
              <w:ind w:left="107"/>
              <w:jc w:val="left"/>
              <w:rPr>
                <w:sz w:val="24"/>
              </w:rPr>
            </w:pPr>
            <w:r>
              <w:rPr>
                <w:sz w:val="24"/>
              </w:rPr>
              <w:t>Partner, Thangasamy Mills, Sri Venkateswara Willow Factory Campus,</w:t>
            </w:r>
          </w:p>
          <w:p w:rsidR="007C5447" w:rsidRDefault="00F6308C">
            <w:pPr>
              <w:pStyle w:val="TableParagraph"/>
              <w:spacing w:before="41"/>
              <w:ind w:left="107"/>
              <w:jc w:val="left"/>
              <w:rPr>
                <w:sz w:val="24"/>
              </w:rPr>
            </w:pPr>
            <w:r>
              <w:rPr>
                <w:sz w:val="24"/>
              </w:rPr>
              <w:t>442/2, Kothankulam Village, Srivilliputtur Road, Rajapalayam-626 117.</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90</w:t>
            </w:r>
          </w:p>
        </w:tc>
        <w:tc>
          <w:tcPr>
            <w:tcW w:w="7466" w:type="dxa"/>
          </w:tcPr>
          <w:p w:rsidR="007C5447" w:rsidRDefault="00F6308C">
            <w:pPr>
              <w:pStyle w:val="TableParagraph"/>
              <w:spacing w:line="275" w:lineRule="exact"/>
              <w:ind w:left="107"/>
              <w:jc w:val="left"/>
              <w:rPr>
                <w:sz w:val="24"/>
              </w:rPr>
            </w:pPr>
            <w:r>
              <w:rPr>
                <w:sz w:val="24"/>
              </w:rPr>
              <w:t>Partner, Sri Karpaga Vinayagar Spinning Mills, 355/6, Reddiyapatti</w:t>
            </w:r>
          </w:p>
          <w:p w:rsidR="007C5447" w:rsidRDefault="00F6308C">
            <w:pPr>
              <w:pStyle w:val="TableParagraph"/>
              <w:spacing w:before="43"/>
              <w:ind w:left="107"/>
              <w:jc w:val="left"/>
              <w:rPr>
                <w:sz w:val="24"/>
              </w:rPr>
            </w:pPr>
            <w:r>
              <w:rPr>
                <w:sz w:val="24"/>
              </w:rPr>
              <w:t>Mukku Road, S. Thiruvenkadapuram, Rajapalayam – 626 136.</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91</w:t>
            </w:r>
          </w:p>
        </w:tc>
        <w:tc>
          <w:tcPr>
            <w:tcW w:w="7466" w:type="dxa"/>
          </w:tcPr>
          <w:p w:rsidR="007C5447" w:rsidRDefault="00F6308C">
            <w:pPr>
              <w:pStyle w:val="TableParagraph"/>
              <w:spacing w:line="275" w:lineRule="exact"/>
              <w:ind w:left="107"/>
              <w:jc w:val="left"/>
              <w:rPr>
                <w:sz w:val="24"/>
              </w:rPr>
            </w:pPr>
            <w:r>
              <w:rPr>
                <w:sz w:val="24"/>
              </w:rPr>
              <w:t>Managing Partner, Premier Spinning Mills, 13/147, Valliarachal Road,</w:t>
            </w:r>
          </w:p>
          <w:p w:rsidR="007C5447" w:rsidRDefault="00F6308C">
            <w:pPr>
              <w:pStyle w:val="TableParagraph"/>
              <w:spacing w:before="41"/>
              <w:ind w:left="107"/>
              <w:jc w:val="left"/>
              <w:rPr>
                <w:sz w:val="24"/>
              </w:rPr>
            </w:pPr>
            <w:r>
              <w:rPr>
                <w:sz w:val="24"/>
              </w:rPr>
              <w:t>Pappampalayam, Vellakovil – 638 111. Tirupur Dist.</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92</w:t>
            </w:r>
          </w:p>
        </w:tc>
        <w:tc>
          <w:tcPr>
            <w:tcW w:w="7466" w:type="dxa"/>
          </w:tcPr>
          <w:p w:rsidR="007C5447" w:rsidRDefault="00F6308C">
            <w:pPr>
              <w:pStyle w:val="TableParagraph"/>
              <w:spacing w:line="275" w:lineRule="exact"/>
              <w:ind w:left="107"/>
              <w:jc w:val="left"/>
              <w:rPr>
                <w:sz w:val="24"/>
              </w:rPr>
            </w:pPr>
            <w:r>
              <w:rPr>
                <w:sz w:val="24"/>
              </w:rPr>
              <w:t>Thiru M. Kaliyappan, R-9, 100 feet Road, Kovai Pudur, Coimbatore – 641</w:t>
            </w:r>
          </w:p>
          <w:p w:rsidR="007C5447" w:rsidRDefault="00F6308C">
            <w:pPr>
              <w:pStyle w:val="TableParagraph"/>
              <w:spacing w:before="41"/>
              <w:ind w:left="107"/>
              <w:jc w:val="left"/>
              <w:rPr>
                <w:sz w:val="24"/>
              </w:rPr>
            </w:pPr>
            <w:r>
              <w:rPr>
                <w:sz w:val="24"/>
              </w:rPr>
              <w:t>042.</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93</w:t>
            </w:r>
          </w:p>
        </w:tc>
        <w:tc>
          <w:tcPr>
            <w:tcW w:w="7466" w:type="dxa"/>
          </w:tcPr>
          <w:p w:rsidR="007C5447" w:rsidRDefault="00F6308C">
            <w:pPr>
              <w:pStyle w:val="TableParagraph"/>
              <w:spacing w:line="275" w:lineRule="exact"/>
              <w:ind w:left="107"/>
              <w:jc w:val="left"/>
              <w:rPr>
                <w:sz w:val="24"/>
              </w:rPr>
            </w:pPr>
            <w:r>
              <w:rPr>
                <w:sz w:val="24"/>
              </w:rPr>
              <w:t>Proprietor, Visvam Weaving, 3/134-J, Thattan Thottam, Sivamurugu</w:t>
            </w:r>
          </w:p>
          <w:p w:rsidR="007C5447" w:rsidRDefault="00F6308C">
            <w:pPr>
              <w:pStyle w:val="TableParagraph"/>
              <w:spacing w:before="43"/>
              <w:ind w:left="107"/>
              <w:jc w:val="left"/>
              <w:rPr>
                <w:sz w:val="24"/>
              </w:rPr>
            </w:pPr>
            <w:r>
              <w:rPr>
                <w:sz w:val="24"/>
              </w:rPr>
              <w:t>Nagar, Ganeshapuram, S.S.Kumal(via), Coimbatore-641 107.</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94</w:t>
            </w:r>
          </w:p>
        </w:tc>
        <w:tc>
          <w:tcPr>
            <w:tcW w:w="7466" w:type="dxa"/>
          </w:tcPr>
          <w:p w:rsidR="007C5447" w:rsidRDefault="00F6308C">
            <w:pPr>
              <w:pStyle w:val="TableParagraph"/>
              <w:spacing w:line="275" w:lineRule="exact"/>
              <w:ind w:left="107"/>
              <w:jc w:val="left"/>
              <w:rPr>
                <w:sz w:val="24"/>
              </w:rPr>
            </w:pPr>
            <w:r>
              <w:rPr>
                <w:sz w:val="24"/>
              </w:rPr>
              <w:t>Proprietor, Sri Swamy Yarns, 401-G, Thelungupalayam,</w:t>
            </w:r>
          </w:p>
          <w:p w:rsidR="007C5447" w:rsidRDefault="00F6308C">
            <w:pPr>
              <w:pStyle w:val="TableParagraph"/>
              <w:spacing w:before="41"/>
              <w:ind w:left="107"/>
              <w:jc w:val="left"/>
              <w:rPr>
                <w:sz w:val="24"/>
              </w:rPr>
            </w:pPr>
            <w:r>
              <w:rPr>
                <w:sz w:val="24"/>
              </w:rPr>
              <w:t>Pillyapampalayam (PO), Annur-641 653, Coimbatore.</w:t>
            </w:r>
          </w:p>
        </w:tc>
      </w:tr>
      <w:tr w:rsidR="007C5447">
        <w:trPr>
          <w:trHeight w:val="952"/>
        </w:trPr>
        <w:tc>
          <w:tcPr>
            <w:tcW w:w="994" w:type="dxa"/>
          </w:tcPr>
          <w:p w:rsidR="007C5447" w:rsidRDefault="00F6308C">
            <w:pPr>
              <w:pStyle w:val="TableParagraph"/>
              <w:spacing w:before="1"/>
              <w:ind w:left="110"/>
              <w:jc w:val="left"/>
              <w:rPr>
                <w:sz w:val="24"/>
              </w:rPr>
            </w:pPr>
            <w:r>
              <w:rPr>
                <w:sz w:val="24"/>
              </w:rPr>
              <w:t>95</w:t>
            </w:r>
          </w:p>
        </w:tc>
        <w:tc>
          <w:tcPr>
            <w:tcW w:w="7466" w:type="dxa"/>
          </w:tcPr>
          <w:p w:rsidR="007C5447" w:rsidRDefault="00F6308C">
            <w:pPr>
              <w:pStyle w:val="TableParagraph"/>
              <w:spacing w:before="1"/>
              <w:ind w:left="107"/>
              <w:jc w:val="left"/>
              <w:rPr>
                <w:sz w:val="24"/>
              </w:rPr>
            </w:pPr>
            <w:r>
              <w:rPr>
                <w:sz w:val="24"/>
              </w:rPr>
              <w:t>Partner, LR Spinners, SF No. 230/8A, Dasappagounder Thottam,</w:t>
            </w:r>
          </w:p>
          <w:p w:rsidR="007C5447" w:rsidRDefault="00F6308C">
            <w:pPr>
              <w:pStyle w:val="TableParagraph"/>
              <w:spacing w:before="7" w:line="310" w:lineRule="atLeast"/>
              <w:ind w:left="107" w:right="438"/>
              <w:jc w:val="left"/>
              <w:rPr>
                <w:sz w:val="24"/>
              </w:rPr>
            </w:pPr>
            <w:r>
              <w:rPr>
                <w:sz w:val="24"/>
              </w:rPr>
              <w:t>Thelungupalayam, Pillayapampalayam (PO)., MGC Palayam (Village), Annur-641 653, Coimbatore Dist.</w:t>
            </w:r>
          </w:p>
        </w:tc>
      </w:tr>
      <w:tr w:rsidR="007C5447">
        <w:trPr>
          <w:trHeight w:val="635"/>
        </w:trPr>
        <w:tc>
          <w:tcPr>
            <w:tcW w:w="994" w:type="dxa"/>
          </w:tcPr>
          <w:p w:rsidR="007C5447" w:rsidRDefault="00F6308C">
            <w:pPr>
              <w:pStyle w:val="TableParagraph"/>
              <w:spacing w:before="1"/>
              <w:ind w:left="110"/>
              <w:jc w:val="left"/>
              <w:rPr>
                <w:sz w:val="24"/>
              </w:rPr>
            </w:pPr>
            <w:r>
              <w:rPr>
                <w:sz w:val="24"/>
              </w:rPr>
              <w:t>96</w:t>
            </w:r>
          </w:p>
        </w:tc>
        <w:tc>
          <w:tcPr>
            <w:tcW w:w="7466" w:type="dxa"/>
          </w:tcPr>
          <w:p w:rsidR="007C5447" w:rsidRDefault="00F6308C">
            <w:pPr>
              <w:pStyle w:val="TableParagraph"/>
              <w:spacing w:before="1"/>
              <w:ind w:left="107"/>
              <w:jc w:val="left"/>
              <w:rPr>
                <w:sz w:val="24"/>
              </w:rPr>
            </w:pPr>
            <w:r>
              <w:rPr>
                <w:sz w:val="24"/>
              </w:rPr>
              <w:t>Partner, Amritaya Spintex, SF No. 191/B1 &amp; B2, palani Road,</w:t>
            </w:r>
          </w:p>
          <w:p w:rsidR="007C5447" w:rsidRDefault="00F6308C">
            <w:pPr>
              <w:pStyle w:val="TableParagraph"/>
              <w:spacing w:before="41"/>
              <w:ind w:left="107"/>
              <w:jc w:val="left"/>
              <w:rPr>
                <w:sz w:val="24"/>
              </w:rPr>
            </w:pPr>
            <w:r>
              <w:rPr>
                <w:sz w:val="24"/>
              </w:rPr>
              <w:t>Palappampatti, S.V. Mill Post, Udumalpet – 642 128, Tirupur Dist.</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97</w:t>
            </w:r>
          </w:p>
        </w:tc>
        <w:tc>
          <w:tcPr>
            <w:tcW w:w="7466" w:type="dxa"/>
          </w:tcPr>
          <w:p w:rsidR="007C5447" w:rsidRDefault="00F6308C">
            <w:pPr>
              <w:pStyle w:val="TableParagraph"/>
              <w:spacing w:line="275" w:lineRule="exact"/>
              <w:ind w:left="107"/>
              <w:jc w:val="left"/>
              <w:rPr>
                <w:sz w:val="24"/>
              </w:rPr>
            </w:pPr>
            <w:r>
              <w:rPr>
                <w:sz w:val="24"/>
              </w:rPr>
              <w:t>Thiru M. Sherif, No. 239, Diwan Bhadur Road, R.S.Puram, Coimbatore-</w:t>
            </w:r>
          </w:p>
          <w:p w:rsidR="007C5447" w:rsidRDefault="00F6308C">
            <w:pPr>
              <w:pStyle w:val="TableParagraph"/>
              <w:spacing w:before="41"/>
              <w:ind w:left="107"/>
              <w:jc w:val="left"/>
              <w:rPr>
                <w:sz w:val="24"/>
              </w:rPr>
            </w:pPr>
            <w:r>
              <w:rPr>
                <w:sz w:val="24"/>
              </w:rPr>
              <w:t>641002.</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98</w:t>
            </w:r>
          </w:p>
        </w:tc>
        <w:tc>
          <w:tcPr>
            <w:tcW w:w="7466" w:type="dxa"/>
          </w:tcPr>
          <w:p w:rsidR="007C5447" w:rsidRDefault="00F6308C">
            <w:pPr>
              <w:pStyle w:val="TableParagraph"/>
              <w:spacing w:line="275" w:lineRule="exact"/>
              <w:ind w:left="107"/>
              <w:jc w:val="left"/>
              <w:rPr>
                <w:sz w:val="24"/>
              </w:rPr>
            </w:pPr>
            <w:r>
              <w:rPr>
                <w:sz w:val="24"/>
              </w:rPr>
              <w:t>Partner, Udhayam Textiles, 3/258-A, Ganapathipalayam, Mangalam – 641</w:t>
            </w:r>
          </w:p>
          <w:p w:rsidR="007C5447" w:rsidRDefault="00F6308C">
            <w:pPr>
              <w:pStyle w:val="TableParagraph"/>
              <w:spacing w:before="41"/>
              <w:ind w:left="107"/>
              <w:jc w:val="left"/>
              <w:rPr>
                <w:sz w:val="24"/>
              </w:rPr>
            </w:pPr>
            <w:r>
              <w:rPr>
                <w:sz w:val="24"/>
              </w:rPr>
              <w:t>663. Tirupur.</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99</w:t>
            </w:r>
          </w:p>
        </w:tc>
        <w:tc>
          <w:tcPr>
            <w:tcW w:w="7466" w:type="dxa"/>
          </w:tcPr>
          <w:p w:rsidR="007C5447" w:rsidRDefault="00F6308C">
            <w:pPr>
              <w:pStyle w:val="TableParagraph"/>
              <w:spacing w:line="275" w:lineRule="exact"/>
              <w:ind w:left="107"/>
              <w:jc w:val="left"/>
              <w:rPr>
                <w:sz w:val="24"/>
              </w:rPr>
            </w:pPr>
            <w:r>
              <w:rPr>
                <w:sz w:val="24"/>
              </w:rPr>
              <w:t>Proprietor, RKR Cotton Mills, SF No. 43, D.No. 9/107,</w:t>
            </w:r>
            <w:r>
              <w:rPr>
                <w:spacing w:val="-10"/>
                <w:sz w:val="24"/>
              </w:rPr>
              <w:t xml:space="preserve"> </w:t>
            </w:r>
            <w:r>
              <w:rPr>
                <w:sz w:val="24"/>
              </w:rPr>
              <w:t>Thonimedu</w:t>
            </w:r>
          </w:p>
          <w:p w:rsidR="007C5447" w:rsidRDefault="00F6308C">
            <w:pPr>
              <w:pStyle w:val="TableParagraph"/>
              <w:spacing w:before="43"/>
              <w:ind w:left="107"/>
              <w:jc w:val="left"/>
              <w:rPr>
                <w:sz w:val="24"/>
              </w:rPr>
            </w:pPr>
            <w:r>
              <w:rPr>
                <w:sz w:val="24"/>
              </w:rPr>
              <w:t>Thottam, A.G. Puthur (PO), Mangalam (Via)-641663, Tirupur</w:t>
            </w:r>
            <w:r>
              <w:rPr>
                <w:spacing w:val="-7"/>
                <w:sz w:val="24"/>
              </w:rPr>
              <w:t xml:space="preserve"> </w:t>
            </w:r>
            <w:r>
              <w:rPr>
                <w:sz w:val="24"/>
              </w:rPr>
              <w:t>Dist.</w:t>
            </w:r>
          </w:p>
        </w:tc>
      </w:tr>
      <w:tr w:rsidR="007C5447">
        <w:trPr>
          <w:trHeight w:val="636"/>
        </w:trPr>
        <w:tc>
          <w:tcPr>
            <w:tcW w:w="994" w:type="dxa"/>
          </w:tcPr>
          <w:p w:rsidR="007C5447" w:rsidRDefault="00F6308C">
            <w:pPr>
              <w:pStyle w:val="TableParagraph"/>
              <w:spacing w:line="276" w:lineRule="exact"/>
              <w:ind w:left="110"/>
              <w:jc w:val="left"/>
              <w:rPr>
                <w:sz w:val="24"/>
              </w:rPr>
            </w:pPr>
            <w:r>
              <w:rPr>
                <w:sz w:val="24"/>
              </w:rPr>
              <w:t>100</w:t>
            </w:r>
          </w:p>
        </w:tc>
        <w:tc>
          <w:tcPr>
            <w:tcW w:w="7466" w:type="dxa"/>
          </w:tcPr>
          <w:p w:rsidR="007C5447" w:rsidRDefault="00F6308C">
            <w:pPr>
              <w:pStyle w:val="TableParagraph"/>
              <w:spacing w:line="276" w:lineRule="exact"/>
              <w:ind w:left="107"/>
              <w:jc w:val="left"/>
              <w:rPr>
                <w:sz w:val="24"/>
              </w:rPr>
            </w:pPr>
            <w:r>
              <w:rPr>
                <w:sz w:val="24"/>
              </w:rPr>
              <w:t>Proprietor, Sri Latha Mills, No.10/189D, Chinnaputhur, Agraharaputhur</w:t>
            </w:r>
          </w:p>
          <w:p w:rsidR="007C5447" w:rsidRDefault="00F6308C">
            <w:pPr>
              <w:pStyle w:val="TableParagraph"/>
              <w:spacing w:before="41"/>
              <w:ind w:left="107"/>
              <w:jc w:val="left"/>
              <w:rPr>
                <w:sz w:val="24"/>
              </w:rPr>
            </w:pPr>
            <w:r>
              <w:rPr>
                <w:sz w:val="24"/>
              </w:rPr>
              <w:t>Post, Managalam, Tirupur-641 663.</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101</w:t>
            </w:r>
          </w:p>
        </w:tc>
        <w:tc>
          <w:tcPr>
            <w:tcW w:w="7466" w:type="dxa"/>
          </w:tcPr>
          <w:p w:rsidR="007C5447" w:rsidRDefault="00F6308C">
            <w:pPr>
              <w:pStyle w:val="TableParagraph"/>
              <w:spacing w:line="275" w:lineRule="exact"/>
              <w:ind w:left="107"/>
              <w:jc w:val="left"/>
              <w:rPr>
                <w:sz w:val="24"/>
              </w:rPr>
            </w:pPr>
            <w:r>
              <w:rPr>
                <w:sz w:val="24"/>
              </w:rPr>
              <w:t>Partner, Shri Angalamman Cottons &amp; Textile Mills, 10/72. Malaikovil</w:t>
            </w:r>
          </w:p>
          <w:p w:rsidR="007C5447" w:rsidRDefault="00F6308C">
            <w:pPr>
              <w:pStyle w:val="TableParagraph"/>
              <w:spacing w:before="41"/>
              <w:ind w:left="107"/>
              <w:jc w:val="left"/>
              <w:rPr>
                <w:sz w:val="24"/>
              </w:rPr>
            </w:pPr>
            <w:r>
              <w:rPr>
                <w:sz w:val="24"/>
              </w:rPr>
              <w:t>Privu, chinnaputhur, agragaraputhur, Mangalam (via), Tirupur-641 663.</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102</w:t>
            </w:r>
          </w:p>
        </w:tc>
        <w:tc>
          <w:tcPr>
            <w:tcW w:w="7466" w:type="dxa"/>
          </w:tcPr>
          <w:p w:rsidR="007C5447" w:rsidRDefault="00F6308C">
            <w:pPr>
              <w:pStyle w:val="TableParagraph"/>
              <w:spacing w:line="275" w:lineRule="exact"/>
              <w:ind w:left="107"/>
              <w:jc w:val="left"/>
              <w:rPr>
                <w:sz w:val="24"/>
              </w:rPr>
            </w:pPr>
            <w:r>
              <w:rPr>
                <w:sz w:val="24"/>
              </w:rPr>
              <w:t>Partner, Tirumalavasa Cotton and Textile Mills, 4/321-1, Vengamedu,</w:t>
            </w:r>
          </w:p>
          <w:p w:rsidR="007C5447" w:rsidRDefault="00F6308C">
            <w:pPr>
              <w:pStyle w:val="TableParagraph"/>
              <w:spacing w:before="43"/>
              <w:ind w:left="107"/>
              <w:jc w:val="left"/>
              <w:rPr>
                <w:sz w:val="24"/>
              </w:rPr>
            </w:pPr>
            <w:r>
              <w:rPr>
                <w:sz w:val="24"/>
              </w:rPr>
              <w:t>Mangalam Road, Pudhupalayam (PO), Avinashi – 641 654.</w:t>
            </w:r>
          </w:p>
        </w:tc>
      </w:tr>
      <w:tr w:rsidR="007C5447">
        <w:trPr>
          <w:trHeight w:val="316"/>
        </w:trPr>
        <w:tc>
          <w:tcPr>
            <w:tcW w:w="994" w:type="dxa"/>
          </w:tcPr>
          <w:p w:rsidR="007C5447" w:rsidRDefault="00F6308C">
            <w:pPr>
              <w:pStyle w:val="TableParagraph"/>
              <w:spacing w:line="275" w:lineRule="exact"/>
              <w:ind w:left="110"/>
              <w:jc w:val="left"/>
              <w:rPr>
                <w:sz w:val="24"/>
              </w:rPr>
            </w:pPr>
            <w:r>
              <w:rPr>
                <w:sz w:val="24"/>
              </w:rPr>
              <w:t>103</w:t>
            </w:r>
          </w:p>
        </w:tc>
        <w:tc>
          <w:tcPr>
            <w:tcW w:w="7466" w:type="dxa"/>
          </w:tcPr>
          <w:p w:rsidR="007C5447" w:rsidRDefault="00F6308C">
            <w:pPr>
              <w:pStyle w:val="TableParagraph"/>
              <w:spacing w:line="275" w:lineRule="exact"/>
              <w:ind w:left="107"/>
              <w:jc w:val="left"/>
              <w:rPr>
                <w:sz w:val="24"/>
              </w:rPr>
            </w:pPr>
            <w:r>
              <w:rPr>
                <w:sz w:val="24"/>
              </w:rPr>
              <w:t>Thiru R. Vishu Prabakar, A-84, Sreevatsa Garden, Mettupalayam Road,</w:t>
            </w:r>
          </w:p>
        </w:tc>
      </w:tr>
    </w:tbl>
    <w:p w:rsidR="007C5447" w:rsidRDefault="007C5447">
      <w:pPr>
        <w:spacing w:line="275" w:lineRule="exact"/>
        <w:rPr>
          <w:sz w:val="24"/>
        </w:rPr>
        <w:sectPr w:rsidR="007C5447">
          <w:pgSz w:w="11910" w:h="16840"/>
          <w:pgMar w:top="1420" w:right="1300" w:bottom="960" w:left="1000" w:header="0" w:footer="777" w:gutter="0"/>
          <w:cols w:space="720"/>
        </w:sectPr>
      </w:pP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7466"/>
      </w:tblGrid>
      <w:tr w:rsidR="007C5447">
        <w:trPr>
          <w:trHeight w:val="316"/>
        </w:trPr>
        <w:tc>
          <w:tcPr>
            <w:tcW w:w="994" w:type="dxa"/>
          </w:tcPr>
          <w:p w:rsidR="007C5447" w:rsidRDefault="00F6308C">
            <w:pPr>
              <w:pStyle w:val="TableParagraph"/>
              <w:spacing w:line="275" w:lineRule="exact"/>
              <w:ind w:left="110"/>
              <w:jc w:val="left"/>
              <w:rPr>
                <w:b/>
                <w:sz w:val="24"/>
              </w:rPr>
            </w:pPr>
            <w:r>
              <w:rPr>
                <w:b/>
                <w:sz w:val="24"/>
              </w:rPr>
              <w:lastRenderedPageBreak/>
              <w:t>Sl. No.</w:t>
            </w:r>
          </w:p>
        </w:tc>
        <w:tc>
          <w:tcPr>
            <w:tcW w:w="7466" w:type="dxa"/>
          </w:tcPr>
          <w:p w:rsidR="007C5447" w:rsidRDefault="00F6308C">
            <w:pPr>
              <w:pStyle w:val="TableParagraph"/>
              <w:spacing w:line="275" w:lineRule="exact"/>
              <w:ind w:left="107"/>
              <w:jc w:val="left"/>
              <w:rPr>
                <w:b/>
                <w:sz w:val="24"/>
              </w:rPr>
            </w:pPr>
            <w:r>
              <w:rPr>
                <w:b/>
                <w:sz w:val="24"/>
              </w:rPr>
              <w:t>Name and Address</w:t>
            </w:r>
          </w:p>
        </w:tc>
      </w:tr>
      <w:tr w:rsidR="007C5447">
        <w:trPr>
          <w:trHeight w:val="319"/>
        </w:trPr>
        <w:tc>
          <w:tcPr>
            <w:tcW w:w="994" w:type="dxa"/>
          </w:tcPr>
          <w:p w:rsidR="007C5447" w:rsidRDefault="007C5447">
            <w:pPr>
              <w:pStyle w:val="TableParagraph"/>
              <w:jc w:val="left"/>
              <w:rPr>
                <w:sz w:val="24"/>
              </w:rPr>
            </w:pPr>
          </w:p>
        </w:tc>
        <w:tc>
          <w:tcPr>
            <w:tcW w:w="7466" w:type="dxa"/>
          </w:tcPr>
          <w:p w:rsidR="007C5447" w:rsidRDefault="00F6308C">
            <w:pPr>
              <w:pStyle w:val="TableParagraph"/>
              <w:spacing w:before="1"/>
              <w:ind w:left="107"/>
              <w:jc w:val="left"/>
              <w:rPr>
                <w:sz w:val="24"/>
              </w:rPr>
            </w:pPr>
            <w:r>
              <w:rPr>
                <w:sz w:val="24"/>
              </w:rPr>
              <w:t>Coimbatore – 641034.</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104</w:t>
            </w:r>
          </w:p>
        </w:tc>
        <w:tc>
          <w:tcPr>
            <w:tcW w:w="7466" w:type="dxa"/>
          </w:tcPr>
          <w:p w:rsidR="007C5447" w:rsidRDefault="00F6308C">
            <w:pPr>
              <w:pStyle w:val="TableParagraph"/>
              <w:spacing w:line="275" w:lineRule="exact"/>
              <w:ind w:left="107"/>
              <w:jc w:val="left"/>
              <w:rPr>
                <w:sz w:val="24"/>
              </w:rPr>
            </w:pPr>
            <w:r>
              <w:rPr>
                <w:sz w:val="24"/>
              </w:rPr>
              <w:t>Thiru S. Ramasubbu, Chief Electrical Distribution Engineer, Souther</w:t>
            </w:r>
          </w:p>
          <w:p w:rsidR="007C5447" w:rsidRDefault="00F6308C">
            <w:pPr>
              <w:pStyle w:val="TableParagraph"/>
              <w:spacing w:before="41"/>
              <w:ind w:left="107"/>
              <w:jc w:val="left"/>
              <w:rPr>
                <w:sz w:val="24"/>
              </w:rPr>
            </w:pPr>
            <w:r>
              <w:rPr>
                <w:sz w:val="24"/>
              </w:rPr>
              <w:t>Railway, Electrical Branch, Chennai-600 003.</w:t>
            </w:r>
          </w:p>
        </w:tc>
      </w:tr>
      <w:tr w:rsidR="007C5447">
        <w:trPr>
          <w:trHeight w:val="952"/>
        </w:trPr>
        <w:tc>
          <w:tcPr>
            <w:tcW w:w="994" w:type="dxa"/>
          </w:tcPr>
          <w:p w:rsidR="007C5447" w:rsidRDefault="00F6308C">
            <w:pPr>
              <w:pStyle w:val="TableParagraph"/>
              <w:spacing w:before="1"/>
              <w:ind w:left="110"/>
              <w:jc w:val="left"/>
              <w:rPr>
                <w:sz w:val="24"/>
              </w:rPr>
            </w:pPr>
            <w:r>
              <w:rPr>
                <w:sz w:val="24"/>
              </w:rPr>
              <w:t>105</w:t>
            </w:r>
          </w:p>
        </w:tc>
        <w:tc>
          <w:tcPr>
            <w:tcW w:w="7466" w:type="dxa"/>
          </w:tcPr>
          <w:p w:rsidR="007C5447" w:rsidRDefault="00F6308C">
            <w:pPr>
              <w:pStyle w:val="TableParagraph"/>
              <w:spacing w:before="1" w:line="276" w:lineRule="auto"/>
              <w:ind w:left="107" w:right="203"/>
              <w:jc w:val="left"/>
              <w:rPr>
                <w:sz w:val="24"/>
              </w:rPr>
            </w:pPr>
            <w:r>
              <w:rPr>
                <w:sz w:val="24"/>
              </w:rPr>
              <w:t>Thiru C. Palanisamy, President, Kovai Tirupur District Powerloom Waive for hire Owners Association, Power House Road, Somanur – 641 668.</w:t>
            </w:r>
          </w:p>
          <w:p w:rsidR="007C5447" w:rsidRDefault="00F6308C">
            <w:pPr>
              <w:pStyle w:val="TableParagraph"/>
              <w:spacing w:line="275" w:lineRule="exact"/>
              <w:ind w:left="107"/>
              <w:jc w:val="left"/>
              <w:rPr>
                <w:sz w:val="24"/>
              </w:rPr>
            </w:pPr>
            <w:r>
              <w:rPr>
                <w:sz w:val="24"/>
              </w:rPr>
              <w:t>Kovai District.</w:t>
            </w:r>
          </w:p>
        </w:tc>
      </w:tr>
      <w:tr w:rsidR="007C5447">
        <w:trPr>
          <w:trHeight w:val="952"/>
        </w:trPr>
        <w:tc>
          <w:tcPr>
            <w:tcW w:w="994" w:type="dxa"/>
          </w:tcPr>
          <w:p w:rsidR="007C5447" w:rsidRDefault="00F6308C">
            <w:pPr>
              <w:pStyle w:val="TableParagraph"/>
              <w:spacing w:before="1"/>
              <w:ind w:left="110"/>
              <w:jc w:val="left"/>
              <w:rPr>
                <w:sz w:val="24"/>
              </w:rPr>
            </w:pPr>
            <w:r>
              <w:rPr>
                <w:sz w:val="24"/>
              </w:rPr>
              <w:t>106</w:t>
            </w:r>
          </w:p>
        </w:tc>
        <w:tc>
          <w:tcPr>
            <w:tcW w:w="7466" w:type="dxa"/>
          </w:tcPr>
          <w:p w:rsidR="007C5447" w:rsidRDefault="00F6308C">
            <w:pPr>
              <w:pStyle w:val="TableParagraph"/>
              <w:spacing w:before="1" w:line="276" w:lineRule="auto"/>
              <w:ind w:left="107" w:right="250"/>
              <w:jc w:val="left"/>
              <w:rPr>
                <w:sz w:val="24"/>
              </w:rPr>
            </w:pPr>
            <w:r>
              <w:rPr>
                <w:sz w:val="24"/>
              </w:rPr>
              <w:t>Thiru A. Manikkam, President,TamilNadu Small Powerloom Cloth Manufacturers Association, 130/38, Me</w:t>
            </w:r>
            <w:r>
              <w:rPr>
                <w:sz w:val="24"/>
              </w:rPr>
              <w:t>ttu Street, Ammapet, Salem – 636</w:t>
            </w:r>
          </w:p>
          <w:p w:rsidR="007C5447" w:rsidRDefault="00F6308C">
            <w:pPr>
              <w:pStyle w:val="TableParagraph"/>
              <w:spacing w:line="275" w:lineRule="exact"/>
              <w:ind w:left="107"/>
              <w:jc w:val="left"/>
              <w:rPr>
                <w:sz w:val="24"/>
              </w:rPr>
            </w:pPr>
            <w:r>
              <w:rPr>
                <w:sz w:val="24"/>
              </w:rPr>
              <w:t>003.</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107</w:t>
            </w:r>
          </w:p>
        </w:tc>
        <w:tc>
          <w:tcPr>
            <w:tcW w:w="7466" w:type="dxa"/>
          </w:tcPr>
          <w:p w:rsidR="007C5447" w:rsidRDefault="00F6308C">
            <w:pPr>
              <w:pStyle w:val="TableParagraph"/>
              <w:spacing w:line="275" w:lineRule="exact"/>
              <w:ind w:left="107"/>
              <w:jc w:val="left"/>
              <w:rPr>
                <w:sz w:val="24"/>
              </w:rPr>
            </w:pPr>
            <w:r>
              <w:rPr>
                <w:sz w:val="24"/>
              </w:rPr>
              <w:t>Sree Mahanthraam OE Texs, No.1, Maruthi Nagar Extn., Gandhi Nagar,</w:t>
            </w:r>
          </w:p>
          <w:p w:rsidR="007C5447" w:rsidRDefault="00F6308C">
            <w:pPr>
              <w:pStyle w:val="TableParagraph"/>
              <w:spacing w:before="43"/>
              <w:ind w:left="107"/>
              <w:jc w:val="left"/>
              <w:rPr>
                <w:sz w:val="24"/>
              </w:rPr>
            </w:pPr>
            <w:r>
              <w:rPr>
                <w:sz w:val="24"/>
              </w:rPr>
              <w:t>Gobichettipalayam – 638 452.</w:t>
            </w:r>
          </w:p>
        </w:tc>
      </w:tr>
      <w:tr w:rsidR="007C5447">
        <w:trPr>
          <w:trHeight w:val="636"/>
        </w:trPr>
        <w:tc>
          <w:tcPr>
            <w:tcW w:w="994" w:type="dxa"/>
          </w:tcPr>
          <w:p w:rsidR="007C5447" w:rsidRDefault="00F6308C">
            <w:pPr>
              <w:pStyle w:val="TableParagraph"/>
              <w:spacing w:line="276" w:lineRule="exact"/>
              <w:ind w:left="110"/>
              <w:jc w:val="left"/>
              <w:rPr>
                <w:sz w:val="24"/>
              </w:rPr>
            </w:pPr>
            <w:r>
              <w:rPr>
                <w:sz w:val="24"/>
              </w:rPr>
              <w:t>108</w:t>
            </w:r>
          </w:p>
        </w:tc>
        <w:tc>
          <w:tcPr>
            <w:tcW w:w="7466" w:type="dxa"/>
          </w:tcPr>
          <w:p w:rsidR="007C5447" w:rsidRDefault="00F6308C">
            <w:pPr>
              <w:pStyle w:val="TableParagraph"/>
              <w:spacing w:line="276" w:lineRule="exact"/>
              <w:ind w:left="107"/>
              <w:jc w:val="left"/>
              <w:rPr>
                <w:sz w:val="24"/>
              </w:rPr>
            </w:pPr>
            <w:r>
              <w:rPr>
                <w:sz w:val="24"/>
              </w:rPr>
              <w:t>Partner, Shri Maha Gurubaran Mills, No. 19, Kungarpalayam Road,</w:t>
            </w:r>
          </w:p>
          <w:p w:rsidR="007C5447" w:rsidRDefault="00F6308C">
            <w:pPr>
              <w:pStyle w:val="TableParagraph"/>
              <w:spacing w:before="41"/>
              <w:ind w:left="107"/>
              <w:jc w:val="left"/>
              <w:rPr>
                <w:sz w:val="24"/>
              </w:rPr>
            </w:pPr>
            <w:r>
              <w:rPr>
                <w:sz w:val="24"/>
              </w:rPr>
              <w:t>Kungarpalayam Post, Uthiyur9via), Kangayam- 638 708. Tirupur District.</w:t>
            </w:r>
          </w:p>
        </w:tc>
      </w:tr>
      <w:tr w:rsidR="007C5447">
        <w:trPr>
          <w:trHeight w:val="949"/>
        </w:trPr>
        <w:tc>
          <w:tcPr>
            <w:tcW w:w="994" w:type="dxa"/>
          </w:tcPr>
          <w:p w:rsidR="007C5447" w:rsidRDefault="00F6308C">
            <w:pPr>
              <w:pStyle w:val="TableParagraph"/>
              <w:spacing w:line="275" w:lineRule="exact"/>
              <w:ind w:left="110"/>
              <w:jc w:val="left"/>
              <w:rPr>
                <w:sz w:val="24"/>
              </w:rPr>
            </w:pPr>
            <w:r>
              <w:rPr>
                <w:sz w:val="24"/>
              </w:rPr>
              <w:t>109</w:t>
            </w:r>
          </w:p>
        </w:tc>
        <w:tc>
          <w:tcPr>
            <w:tcW w:w="7466" w:type="dxa"/>
          </w:tcPr>
          <w:p w:rsidR="007C5447" w:rsidRDefault="00F6308C">
            <w:pPr>
              <w:pStyle w:val="TableParagraph"/>
              <w:spacing w:line="275" w:lineRule="exact"/>
              <w:ind w:left="107"/>
              <w:jc w:val="left"/>
              <w:rPr>
                <w:sz w:val="24"/>
              </w:rPr>
            </w:pPr>
            <w:r>
              <w:rPr>
                <w:sz w:val="24"/>
              </w:rPr>
              <w:t>Thiru A.P. Kalyanam, General Secretary, Tamil Nadu Fisheries Farmers</w:t>
            </w:r>
          </w:p>
          <w:p w:rsidR="007C5447" w:rsidRDefault="00F6308C">
            <w:pPr>
              <w:pStyle w:val="TableParagraph"/>
              <w:spacing w:before="7" w:line="310" w:lineRule="atLeast"/>
              <w:ind w:left="107" w:right="190"/>
              <w:jc w:val="left"/>
              <w:rPr>
                <w:sz w:val="24"/>
              </w:rPr>
            </w:pPr>
            <w:r>
              <w:rPr>
                <w:sz w:val="24"/>
              </w:rPr>
              <w:t>Welfare Association, P.K.C. Ilam – Door No. 3/275 Sathiyamurthy Street, Sembanar Kovil – 609 309. Tharagampatti Circle – Nagai District.</w:t>
            </w:r>
          </w:p>
        </w:tc>
      </w:tr>
      <w:tr w:rsidR="007C5447">
        <w:trPr>
          <w:trHeight w:val="952"/>
        </w:trPr>
        <w:tc>
          <w:tcPr>
            <w:tcW w:w="994" w:type="dxa"/>
          </w:tcPr>
          <w:p w:rsidR="007C5447" w:rsidRDefault="00F6308C">
            <w:pPr>
              <w:pStyle w:val="TableParagraph"/>
              <w:spacing w:before="1"/>
              <w:ind w:left="110"/>
              <w:jc w:val="left"/>
              <w:rPr>
                <w:sz w:val="24"/>
              </w:rPr>
            </w:pPr>
            <w:r>
              <w:rPr>
                <w:sz w:val="24"/>
              </w:rPr>
              <w:t>110</w:t>
            </w:r>
          </w:p>
        </w:tc>
        <w:tc>
          <w:tcPr>
            <w:tcW w:w="7466" w:type="dxa"/>
          </w:tcPr>
          <w:p w:rsidR="007C5447" w:rsidRDefault="00F6308C">
            <w:pPr>
              <w:pStyle w:val="TableParagraph"/>
              <w:spacing w:before="1" w:line="276" w:lineRule="auto"/>
              <w:ind w:left="107" w:right="163"/>
              <w:jc w:val="left"/>
              <w:rPr>
                <w:sz w:val="24"/>
              </w:rPr>
            </w:pPr>
            <w:r>
              <w:rPr>
                <w:sz w:val="24"/>
              </w:rPr>
              <w:t>Thiru P.K.C.C. Ganesan, State Hon.President, Tamil Nadu Fisheries Farmers Welfare Association, No. 32, Sunnambukara Street, Oratha Nadu</w:t>
            </w:r>
          </w:p>
          <w:p w:rsidR="007C5447" w:rsidRDefault="00F6308C">
            <w:pPr>
              <w:pStyle w:val="TableParagraph"/>
              <w:spacing w:line="275" w:lineRule="exact"/>
              <w:ind w:left="107"/>
              <w:jc w:val="left"/>
              <w:rPr>
                <w:sz w:val="24"/>
              </w:rPr>
            </w:pPr>
            <w:r>
              <w:rPr>
                <w:sz w:val="24"/>
              </w:rPr>
              <w:t>– 614 625.</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111</w:t>
            </w:r>
          </w:p>
        </w:tc>
        <w:tc>
          <w:tcPr>
            <w:tcW w:w="7466" w:type="dxa"/>
          </w:tcPr>
          <w:p w:rsidR="007C5447" w:rsidRDefault="00F6308C">
            <w:pPr>
              <w:pStyle w:val="TableParagraph"/>
              <w:spacing w:line="275" w:lineRule="exact"/>
              <w:ind w:left="107"/>
              <w:jc w:val="left"/>
              <w:rPr>
                <w:sz w:val="24"/>
              </w:rPr>
            </w:pPr>
            <w:r>
              <w:rPr>
                <w:sz w:val="24"/>
              </w:rPr>
              <w:t>Thiru M. Rajagopal, 347/41, Giriappan Kovil Street, Peelamedu,</w:t>
            </w:r>
          </w:p>
          <w:p w:rsidR="007C5447" w:rsidRDefault="00F6308C">
            <w:pPr>
              <w:pStyle w:val="TableParagraph"/>
              <w:spacing w:before="43"/>
              <w:ind w:left="107"/>
              <w:jc w:val="left"/>
              <w:rPr>
                <w:sz w:val="24"/>
              </w:rPr>
            </w:pPr>
            <w:r>
              <w:rPr>
                <w:sz w:val="24"/>
              </w:rPr>
              <w:t>Coimbatore – 641 004.</w:t>
            </w:r>
          </w:p>
        </w:tc>
      </w:tr>
      <w:tr w:rsidR="007C5447">
        <w:trPr>
          <w:trHeight w:val="636"/>
        </w:trPr>
        <w:tc>
          <w:tcPr>
            <w:tcW w:w="994" w:type="dxa"/>
          </w:tcPr>
          <w:p w:rsidR="007C5447" w:rsidRDefault="00F6308C">
            <w:pPr>
              <w:pStyle w:val="TableParagraph"/>
              <w:spacing w:line="275" w:lineRule="exact"/>
              <w:ind w:left="110"/>
              <w:jc w:val="left"/>
              <w:rPr>
                <w:sz w:val="24"/>
              </w:rPr>
            </w:pPr>
            <w:r>
              <w:rPr>
                <w:sz w:val="24"/>
              </w:rPr>
              <w:t>112</w:t>
            </w:r>
          </w:p>
        </w:tc>
        <w:tc>
          <w:tcPr>
            <w:tcW w:w="7466" w:type="dxa"/>
          </w:tcPr>
          <w:p w:rsidR="007C5447" w:rsidRDefault="00F6308C">
            <w:pPr>
              <w:pStyle w:val="TableParagraph"/>
              <w:spacing w:line="275" w:lineRule="exact"/>
              <w:ind w:left="107"/>
              <w:jc w:val="left"/>
              <w:rPr>
                <w:sz w:val="24"/>
              </w:rPr>
            </w:pPr>
            <w:r>
              <w:rPr>
                <w:sz w:val="24"/>
              </w:rPr>
              <w:t>Managing Partner, Shri Hari Textiles, 5/208-1, Velliampalayam Pirivu –</w:t>
            </w:r>
          </w:p>
          <w:p w:rsidR="007C5447" w:rsidRDefault="00F6308C">
            <w:pPr>
              <w:pStyle w:val="TableParagraph"/>
              <w:spacing w:before="41"/>
              <w:ind w:left="107"/>
              <w:jc w:val="left"/>
              <w:rPr>
                <w:sz w:val="24"/>
              </w:rPr>
            </w:pPr>
            <w:r>
              <w:rPr>
                <w:sz w:val="24"/>
              </w:rPr>
              <w:t>Pukkulam (Po) – Udumalpet.</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113</w:t>
            </w:r>
          </w:p>
        </w:tc>
        <w:tc>
          <w:tcPr>
            <w:tcW w:w="7466" w:type="dxa"/>
          </w:tcPr>
          <w:p w:rsidR="007C5447" w:rsidRDefault="00F6308C">
            <w:pPr>
              <w:pStyle w:val="TableParagraph"/>
              <w:spacing w:line="275" w:lineRule="exact"/>
              <w:ind w:left="107"/>
              <w:jc w:val="left"/>
              <w:rPr>
                <w:sz w:val="24"/>
              </w:rPr>
            </w:pPr>
            <w:r>
              <w:rPr>
                <w:sz w:val="24"/>
              </w:rPr>
              <w:t>Managing Parter, Shri Selvamurugan Spinners, 3/411, S.V.Puram,</w:t>
            </w:r>
          </w:p>
          <w:p w:rsidR="007C5447" w:rsidRDefault="00F6308C">
            <w:pPr>
              <w:pStyle w:val="TableParagraph"/>
              <w:spacing w:before="41"/>
              <w:ind w:left="107"/>
              <w:jc w:val="left"/>
              <w:rPr>
                <w:sz w:val="24"/>
              </w:rPr>
            </w:pPr>
            <w:r>
              <w:rPr>
                <w:sz w:val="24"/>
              </w:rPr>
              <w:t>S,V,Mills, (PO), Udumalpet – 642 128.</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114</w:t>
            </w:r>
          </w:p>
        </w:tc>
        <w:tc>
          <w:tcPr>
            <w:tcW w:w="7466" w:type="dxa"/>
          </w:tcPr>
          <w:p w:rsidR="007C5447" w:rsidRDefault="00F6308C">
            <w:pPr>
              <w:pStyle w:val="TableParagraph"/>
              <w:spacing w:line="275" w:lineRule="exact"/>
              <w:ind w:left="107"/>
              <w:jc w:val="left"/>
              <w:rPr>
                <w:sz w:val="24"/>
              </w:rPr>
            </w:pPr>
            <w:r>
              <w:rPr>
                <w:sz w:val="24"/>
              </w:rPr>
              <w:t>Partner, P.K. Spinners, SF. No. 68/A3A, Guruvappanaickanur, Manupatti</w:t>
            </w:r>
          </w:p>
          <w:p w:rsidR="007C5447" w:rsidRDefault="00F6308C">
            <w:pPr>
              <w:pStyle w:val="TableParagraph"/>
              <w:spacing w:before="43"/>
              <w:ind w:left="107"/>
              <w:jc w:val="left"/>
              <w:rPr>
                <w:sz w:val="24"/>
              </w:rPr>
            </w:pPr>
            <w:r>
              <w:rPr>
                <w:sz w:val="24"/>
              </w:rPr>
              <w:t>Post, Udumalpet (Tk), Tirupur (Dt.)</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115</w:t>
            </w:r>
          </w:p>
        </w:tc>
        <w:tc>
          <w:tcPr>
            <w:tcW w:w="7466" w:type="dxa"/>
          </w:tcPr>
          <w:p w:rsidR="007C5447" w:rsidRDefault="00F6308C">
            <w:pPr>
              <w:pStyle w:val="TableParagraph"/>
              <w:spacing w:line="275" w:lineRule="exact"/>
              <w:ind w:left="107"/>
              <w:jc w:val="left"/>
              <w:rPr>
                <w:sz w:val="24"/>
              </w:rPr>
            </w:pPr>
            <w:r>
              <w:rPr>
                <w:sz w:val="24"/>
              </w:rPr>
              <w:t>Partner, sri Venkateswara Spintex, 3/138-B, Chinnaveerampatty,</w:t>
            </w:r>
          </w:p>
          <w:p w:rsidR="007C5447" w:rsidRDefault="00F6308C">
            <w:pPr>
              <w:pStyle w:val="TableParagraph"/>
              <w:spacing w:before="41"/>
              <w:ind w:left="107"/>
              <w:jc w:val="left"/>
              <w:rPr>
                <w:sz w:val="24"/>
              </w:rPr>
            </w:pPr>
            <w:r>
              <w:rPr>
                <w:sz w:val="24"/>
              </w:rPr>
              <w:t>Pukkulam-642154. Udumalpet (TK), Tirupur (Dist).</w:t>
            </w:r>
          </w:p>
        </w:tc>
      </w:tr>
      <w:tr w:rsidR="007C5447">
        <w:trPr>
          <w:trHeight w:val="635"/>
        </w:trPr>
        <w:tc>
          <w:tcPr>
            <w:tcW w:w="994" w:type="dxa"/>
          </w:tcPr>
          <w:p w:rsidR="007C5447" w:rsidRDefault="00F6308C">
            <w:pPr>
              <w:pStyle w:val="TableParagraph"/>
              <w:spacing w:before="1"/>
              <w:ind w:left="110"/>
              <w:jc w:val="left"/>
              <w:rPr>
                <w:sz w:val="24"/>
              </w:rPr>
            </w:pPr>
            <w:r>
              <w:rPr>
                <w:sz w:val="24"/>
              </w:rPr>
              <w:t>116</w:t>
            </w:r>
          </w:p>
        </w:tc>
        <w:tc>
          <w:tcPr>
            <w:tcW w:w="7466" w:type="dxa"/>
          </w:tcPr>
          <w:p w:rsidR="007C5447" w:rsidRDefault="00F6308C">
            <w:pPr>
              <w:pStyle w:val="TableParagraph"/>
              <w:spacing w:before="1"/>
              <w:ind w:left="107"/>
              <w:jc w:val="left"/>
              <w:rPr>
                <w:sz w:val="24"/>
              </w:rPr>
            </w:pPr>
            <w:r>
              <w:rPr>
                <w:sz w:val="24"/>
              </w:rPr>
              <w:t>Jaya Shankari Textile, 3/203-A, Karavali Mathappur, Somanur-641 668.</w:t>
            </w:r>
          </w:p>
          <w:p w:rsidR="007C5447" w:rsidRDefault="00F6308C">
            <w:pPr>
              <w:pStyle w:val="TableParagraph"/>
              <w:spacing w:before="41"/>
              <w:ind w:left="107"/>
              <w:jc w:val="left"/>
              <w:rPr>
                <w:sz w:val="24"/>
              </w:rPr>
            </w:pPr>
            <w:r>
              <w:rPr>
                <w:sz w:val="24"/>
              </w:rPr>
              <w:t>Coimbatore Dt.</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117</w:t>
            </w:r>
          </w:p>
        </w:tc>
        <w:tc>
          <w:tcPr>
            <w:tcW w:w="7466" w:type="dxa"/>
          </w:tcPr>
          <w:p w:rsidR="007C5447" w:rsidRDefault="00F6308C">
            <w:pPr>
              <w:pStyle w:val="TableParagraph"/>
              <w:spacing w:line="275" w:lineRule="exact"/>
              <w:ind w:left="107"/>
              <w:jc w:val="left"/>
              <w:rPr>
                <w:sz w:val="24"/>
              </w:rPr>
            </w:pPr>
            <w:r>
              <w:rPr>
                <w:sz w:val="24"/>
              </w:rPr>
              <w:t>Thiru A. Nataraj, Sri Kumaran Mills, 55-C, Senthil Nagar, Somsnur, Sulur</w:t>
            </w:r>
          </w:p>
          <w:p w:rsidR="007C5447" w:rsidRDefault="00F6308C">
            <w:pPr>
              <w:pStyle w:val="TableParagraph"/>
              <w:spacing w:before="43"/>
              <w:ind w:left="107"/>
              <w:jc w:val="left"/>
              <w:rPr>
                <w:sz w:val="24"/>
              </w:rPr>
            </w:pPr>
            <w:r>
              <w:rPr>
                <w:sz w:val="24"/>
              </w:rPr>
              <w:t>(TK), Coimbatore (Dist).</w:t>
            </w:r>
          </w:p>
        </w:tc>
      </w:tr>
      <w:tr w:rsidR="007C5447">
        <w:trPr>
          <w:trHeight w:val="633"/>
        </w:trPr>
        <w:tc>
          <w:tcPr>
            <w:tcW w:w="994" w:type="dxa"/>
          </w:tcPr>
          <w:p w:rsidR="007C5447" w:rsidRDefault="00F6308C">
            <w:pPr>
              <w:pStyle w:val="TableParagraph"/>
              <w:spacing w:line="276" w:lineRule="exact"/>
              <w:ind w:left="110"/>
              <w:jc w:val="left"/>
              <w:rPr>
                <w:sz w:val="24"/>
              </w:rPr>
            </w:pPr>
            <w:r>
              <w:rPr>
                <w:sz w:val="24"/>
              </w:rPr>
              <w:t>118</w:t>
            </w:r>
          </w:p>
        </w:tc>
        <w:tc>
          <w:tcPr>
            <w:tcW w:w="7466" w:type="dxa"/>
          </w:tcPr>
          <w:p w:rsidR="007C5447" w:rsidRDefault="00F6308C">
            <w:pPr>
              <w:pStyle w:val="TableParagraph"/>
              <w:spacing w:line="276" w:lineRule="exact"/>
              <w:ind w:left="107"/>
              <w:jc w:val="left"/>
              <w:rPr>
                <w:sz w:val="24"/>
              </w:rPr>
            </w:pPr>
            <w:r>
              <w:rPr>
                <w:sz w:val="24"/>
              </w:rPr>
              <w:t>Partner, Sri Venkatalakshmi Mills, 6/739-E, Indira Nagar, Unjapalayam,</w:t>
            </w:r>
          </w:p>
          <w:p w:rsidR="007C5447" w:rsidRDefault="00F6308C">
            <w:pPr>
              <w:pStyle w:val="TableParagraph"/>
              <w:spacing w:before="41"/>
              <w:ind w:left="107"/>
              <w:jc w:val="left"/>
              <w:rPr>
                <w:sz w:val="24"/>
              </w:rPr>
            </w:pPr>
            <w:r>
              <w:rPr>
                <w:sz w:val="24"/>
              </w:rPr>
              <w:t>Somanur-641 668.</w:t>
            </w:r>
          </w:p>
        </w:tc>
      </w:tr>
      <w:tr w:rsidR="007C5447">
        <w:trPr>
          <w:trHeight w:val="318"/>
        </w:trPr>
        <w:tc>
          <w:tcPr>
            <w:tcW w:w="994" w:type="dxa"/>
          </w:tcPr>
          <w:p w:rsidR="007C5447" w:rsidRDefault="00F6308C">
            <w:pPr>
              <w:pStyle w:val="TableParagraph"/>
              <w:spacing w:before="1"/>
              <w:ind w:left="110"/>
              <w:jc w:val="left"/>
              <w:rPr>
                <w:sz w:val="24"/>
              </w:rPr>
            </w:pPr>
            <w:r>
              <w:rPr>
                <w:sz w:val="24"/>
              </w:rPr>
              <w:t>119</w:t>
            </w:r>
          </w:p>
        </w:tc>
        <w:tc>
          <w:tcPr>
            <w:tcW w:w="7466" w:type="dxa"/>
          </w:tcPr>
          <w:p w:rsidR="007C5447" w:rsidRDefault="00F6308C">
            <w:pPr>
              <w:pStyle w:val="TableParagraph"/>
              <w:spacing w:before="1"/>
              <w:ind w:left="107"/>
              <w:jc w:val="left"/>
              <w:rPr>
                <w:sz w:val="24"/>
              </w:rPr>
            </w:pPr>
            <w:r>
              <w:rPr>
                <w:sz w:val="24"/>
              </w:rPr>
              <w:t>Proprietor, Shree Textiles, 366/2E, Sangaramanallur, Madathur.</w:t>
            </w:r>
          </w:p>
        </w:tc>
      </w:tr>
      <w:tr w:rsidR="007C5447">
        <w:trPr>
          <w:trHeight w:val="316"/>
        </w:trPr>
        <w:tc>
          <w:tcPr>
            <w:tcW w:w="994" w:type="dxa"/>
          </w:tcPr>
          <w:p w:rsidR="007C5447" w:rsidRDefault="00F6308C">
            <w:pPr>
              <w:pStyle w:val="TableParagraph"/>
              <w:spacing w:line="275" w:lineRule="exact"/>
              <w:ind w:left="110"/>
              <w:jc w:val="left"/>
              <w:rPr>
                <w:sz w:val="24"/>
              </w:rPr>
            </w:pPr>
            <w:r>
              <w:rPr>
                <w:sz w:val="24"/>
              </w:rPr>
              <w:t>120</w:t>
            </w:r>
          </w:p>
        </w:tc>
        <w:tc>
          <w:tcPr>
            <w:tcW w:w="7466" w:type="dxa"/>
          </w:tcPr>
          <w:p w:rsidR="007C5447" w:rsidRDefault="00F6308C">
            <w:pPr>
              <w:pStyle w:val="TableParagraph"/>
              <w:spacing w:line="275" w:lineRule="exact"/>
              <w:ind w:left="107"/>
              <w:jc w:val="left"/>
              <w:rPr>
                <w:sz w:val="24"/>
              </w:rPr>
            </w:pPr>
            <w:r>
              <w:rPr>
                <w:sz w:val="24"/>
              </w:rPr>
              <w:t>Partner, Shree Cotton, 28, JSR Nagar, Madathukulam, Tirupur (Dist).</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121</w:t>
            </w:r>
          </w:p>
        </w:tc>
        <w:tc>
          <w:tcPr>
            <w:tcW w:w="7466" w:type="dxa"/>
          </w:tcPr>
          <w:p w:rsidR="007C5447" w:rsidRDefault="00F6308C">
            <w:pPr>
              <w:pStyle w:val="TableParagraph"/>
              <w:spacing w:line="275" w:lineRule="exact"/>
              <w:ind w:left="107"/>
              <w:jc w:val="left"/>
              <w:rPr>
                <w:sz w:val="24"/>
              </w:rPr>
            </w:pPr>
            <w:r>
              <w:rPr>
                <w:sz w:val="24"/>
              </w:rPr>
              <w:t>Partner, Srivari Textiles, 13/66A1, Garden, S.V. Mill Post, Udumalpet,</w:t>
            </w:r>
          </w:p>
          <w:p w:rsidR="007C5447" w:rsidRDefault="00F6308C">
            <w:pPr>
              <w:pStyle w:val="TableParagraph"/>
              <w:spacing w:before="43"/>
              <w:ind w:left="107"/>
              <w:jc w:val="left"/>
              <w:rPr>
                <w:sz w:val="24"/>
              </w:rPr>
            </w:pPr>
            <w:r>
              <w:rPr>
                <w:sz w:val="24"/>
              </w:rPr>
              <w:t>Tirupur – 642 128.</w:t>
            </w:r>
          </w:p>
        </w:tc>
      </w:tr>
      <w:tr w:rsidR="007C5447">
        <w:trPr>
          <w:trHeight w:val="316"/>
        </w:trPr>
        <w:tc>
          <w:tcPr>
            <w:tcW w:w="994" w:type="dxa"/>
          </w:tcPr>
          <w:p w:rsidR="007C5447" w:rsidRDefault="00F6308C">
            <w:pPr>
              <w:pStyle w:val="TableParagraph"/>
              <w:spacing w:line="275" w:lineRule="exact"/>
              <w:ind w:left="110"/>
              <w:jc w:val="left"/>
              <w:rPr>
                <w:sz w:val="24"/>
              </w:rPr>
            </w:pPr>
            <w:r>
              <w:rPr>
                <w:sz w:val="24"/>
              </w:rPr>
              <w:t>122</w:t>
            </w:r>
          </w:p>
        </w:tc>
        <w:tc>
          <w:tcPr>
            <w:tcW w:w="7466" w:type="dxa"/>
          </w:tcPr>
          <w:p w:rsidR="007C5447" w:rsidRDefault="00F6308C">
            <w:pPr>
              <w:pStyle w:val="TableParagraph"/>
              <w:spacing w:line="275" w:lineRule="exact"/>
              <w:ind w:left="107"/>
              <w:jc w:val="left"/>
              <w:rPr>
                <w:sz w:val="24"/>
              </w:rPr>
            </w:pPr>
            <w:r>
              <w:rPr>
                <w:sz w:val="24"/>
              </w:rPr>
              <w:t>Thiru K. Sivakumar, Sri Velavan Textiles, 36, Sakthi Co-operative</w:t>
            </w:r>
          </w:p>
        </w:tc>
      </w:tr>
    </w:tbl>
    <w:p w:rsidR="007C5447" w:rsidRDefault="007C5447">
      <w:pPr>
        <w:spacing w:line="275" w:lineRule="exact"/>
        <w:rPr>
          <w:sz w:val="24"/>
        </w:rPr>
        <w:sectPr w:rsidR="007C5447">
          <w:pgSz w:w="11910" w:h="16840"/>
          <w:pgMar w:top="1420" w:right="1300" w:bottom="960" w:left="1000" w:header="0" w:footer="777" w:gutter="0"/>
          <w:cols w:space="720"/>
        </w:sectPr>
      </w:pP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7466"/>
      </w:tblGrid>
      <w:tr w:rsidR="007C5447">
        <w:trPr>
          <w:trHeight w:val="316"/>
        </w:trPr>
        <w:tc>
          <w:tcPr>
            <w:tcW w:w="994" w:type="dxa"/>
          </w:tcPr>
          <w:p w:rsidR="007C5447" w:rsidRDefault="00F6308C">
            <w:pPr>
              <w:pStyle w:val="TableParagraph"/>
              <w:spacing w:line="275" w:lineRule="exact"/>
              <w:ind w:left="110"/>
              <w:jc w:val="left"/>
              <w:rPr>
                <w:b/>
                <w:sz w:val="24"/>
              </w:rPr>
            </w:pPr>
            <w:r>
              <w:rPr>
                <w:b/>
                <w:sz w:val="24"/>
              </w:rPr>
              <w:lastRenderedPageBreak/>
              <w:t>Sl. No.</w:t>
            </w:r>
          </w:p>
        </w:tc>
        <w:tc>
          <w:tcPr>
            <w:tcW w:w="7466" w:type="dxa"/>
          </w:tcPr>
          <w:p w:rsidR="007C5447" w:rsidRDefault="00F6308C">
            <w:pPr>
              <w:pStyle w:val="TableParagraph"/>
              <w:spacing w:line="275" w:lineRule="exact"/>
              <w:ind w:left="107"/>
              <w:jc w:val="left"/>
              <w:rPr>
                <w:b/>
                <w:sz w:val="24"/>
              </w:rPr>
            </w:pPr>
            <w:r>
              <w:rPr>
                <w:b/>
                <w:sz w:val="24"/>
              </w:rPr>
              <w:t>Name and Address</w:t>
            </w:r>
          </w:p>
        </w:tc>
      </w:tr>
      <w:tr w:rsidR="007C5447">
        <w:trPr>
          <w:trHeight w:val="319"/>
        </w:trPr>
        <w:tc>
          <w:tcPr>
            <w:tcW w:w="994" w:type="dxa"/>
          </w:tcPr>
          <w:p w:rsidR="007C5447" w:rsidRDefault="007C5447">
            <w:pPr>
              <w:pStyle w:val="TableParagraph"/>
              <w:jc w:val="left"/>
              <w:rPr>
                <w:sz w:val="24"/>
              </w:rPr>
            </w:pPr>
          </w:p>
        </w:tc>
        <w:tc>
          <w:tcPr>
            <w:tcW w:w="7466" w:type="dxa"/>
          </w:tcPr>
          <w:p w:rsidR="007C5447" w:rsidRDefault="00F6308C">
            <w:pPr>
              <w:pStyle w:val="TableParagraph"/>
              <w:spacing w:before="1"/>
              <w:ind w:left="107"/>
              <w:jc w:val="left"/>
              <w:rPr>
                <w:sz w:val="24"/>
              </w:rPr>
            </w:pPr>
            <w:r>
              <w:rPr>
                <w:sz w:val="24"/>
              </w:rPr>
              <w:t>Industrial Estate, Bodipatty, Udumalpet.</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123</w:t>
            </w:r>
          </w:p>
        </w:tc>
        <w:tc>
          <w:tcPr>
            <w:tcW w:w="7466" w:type="dxa"/>
          </w:tcPr>
          <w:p w:rsidR="007C5447" w:rsidRDefault="00F6308C">
            <w:pPr>
              <w:pStyle w:val="TableParagraph"/>
              <w:spacing w:line="275" w:lineRule="exact"/>
              <w:ind w:left="107"/>
              <w:jc w:val="left"/>
              <w:rPr>
                <w:sz w:val="24"/>
              </w:rPr>
            </w:pPr>
            <w:r>
              <w:rPr>
                <w:sz w:val="24"/>
              </w:rPr>
              <w:t>Proprietor, R.P. Textiles, 521, solamadevi, Medu, Madathukulam (TK),</w:t>
            </w:r>
          </w:p>
          <w:p w:rsidR="007C5447" w:rsidRDefault="00F6308C">
            <w:pPr>
              <w:pStyle w:val="TableParagraph"/>
              <w:spacing w:before="41"/>
              <w:ind w:left="107"/>
              <w:jc w:val="left"/>
              <w:rPr>
                <w:sz w:val="24"/>
              </w:rPr>
            </w:pPr>
            <w:r>
              <w:rPr>
                <w:sz w:val="24"/>
              </w:rPr>
              <w:t>Tirupur (Dist.)</w:t>
            </w:r>
          </w:p>
        </w:tc>
      </w:tr>
      <w:tr w:rsidR="007C5447">
        <w:trPr>
          <w:trHeight w:val="635"/>
        </w:trPr>
        <w:tc>
          <w:tcPr>
            <w:tcW w:w="994" w:type="dxa"/>
          </w:tcPr>
          <w:p w:rsidR="007C5447" w:rsidRDefault="00F6308C">
            <w:pPr>
              <w:pStyle w:val="TableParagraph"/>
              <w:spacing w:before="1"/>
              <w:ind w:left="110"/>
              <w:jc w:val="left"/>
              <w:rPr>
                <w:sz w:val="24"/>
              </w:rPr>
            </w:pPr>
            <w:r>
              <w:rPr>
                <w:sz w:val="24"/>
              </w:rPr>
              <w:t>124</w:t>
            </w:r>
          </w:p>
        </w:tc>
        <w:tc>
          <w:tcPr>
            <w:tcW w:w="7466" w:type="dxa"/>
          </w:tcPr>
          <w:p w:rsidR="007C5447" w:rsidRDefault="00F6308C">
            <w:pPr>
              <w:pStyle w:val="TableParagraph"/>
              <w:spacing w:before="1"/>
              <w:ind w:left="107"/>
              <w:jc w:val="left"/>
              <w:rPr>
                <w:sz w:val="24"/>
              </w:rPr>
            </w:pPr>
            <w:r>
              <w:rPr>
                <w:sz w:val="24"/>
              </w:rPr>
              <w:t>Proprietor, R.P. Cottons, 1/128-D, R.G. Nagar, 4th Street, S.V. Mills (PO),</w:t>
            </w:r>
          </w:p>
          <w:p w:rsidR="007C5447" w:rsidRDefault="00F6308C">
            <w:pPr>
              <w:pStyle w:val="TableParagraph"/>
              <w:spacing w:before="41"/>
              <w:ind w:left="107"/>
              <w:jc w:val="left"/>
              <w:rPr>
                <w:sz w:val="24"/>
              </w:rPr>
            </w:pPr>
            <w:r>
              <w:rPr>
                <w:sz w:val="24"/>
              </w:rPr>
              <w:t>Udumalpet-642128.</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125</w:t>
            </w:r>
          </w:p>
        </w:tc>
        <w:tc>
          <w:tcPr>
            <w:tcW w:w="7466" w:type="dxa"/>
          </w:tcPr>
          <w:p w:rsidR="007C5447" w:rsidRDefault="00F6308C">
            <w:pPr>
              <w:pStyle w:val="TableParagraph"/>
              <w:spacing w:line="275" w:lineRule="exact"/>
              <w:ind w:left="107"/>
              <w:jc w:val="left"/>
              <w:rPr>
                <w:sz w:val="24"/>
              </w:rPr>
            </w:pPr>
            <w:r>
              <w:rPr>
                <w:sz w:val="24"/>
              </w:rPr>
              <w:t>Proprietor, Sri Akkamma textiles, SF No. 3/c – Poolavadi Main Road,</w:t>
            </w:r>
          </w:p>
          <w:p w:rsidR="007C5447" w:rsidRDefault="00F6308C">
            <w:pPr>
              <w:pStyle w:val="TableParagraph"/>
              <w:spacing w:before="43"/>
              <w:ind w:left="107"/>
              <w:jc w:val="left"/>
              <w:rPr>
                <w:sz w:val="24"/>
              </w:rPr>
            </w:pPr>
            <w:r>
              <w:rPr>
                <w:sz w:val="24"/>
              </w:rPr>
              <w:t>Kondampatty (Post) – 642 201. Udumalpet (Tk), Tirupur (Dist).</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126</w:t>
            </w:r>
          </w:p>
        </w:tc>
        <w:tc>
          <w:tcPr>
            <w:tcW w:w="7466" w:type="dxa"/>
          </w:tcPr>
          <w:p w:rsidR="007C5447" w:rsidRDefault="00F6308C">
            <w:pPr>
              <w:pStyle w:val="TableParagraph"/>
              <w:spacing w:line="276" w:lineRule="auto"/>
              <w:ind w:left="107" w:right="130"/>
              <w:jc w:val="left"/>
              <w:rPr>
                <w:sz w:val="24"/>
              </w:rPr>
            </w:pPr>
            <w:r>
              <w:rPr>
                <w:sz w:val="24"/>
              </w:rPr>
              <w:t>Managing Partner, Sri Vijayaganapathy Spintex, 192/3B, Sundaragoundanur, Poosaripatti – PO, Pollachi-Tk., coimbatore (Dist)-642</w:t>
            </w:r>
          </w:p>
          <w:p w:rsidR="007C5447" w:rsidRDefault="00F6308C">
            <w:pPr>
              <w:pStyle w:val="TableParagraph"/>
              <w:spacing w:line="275" w:lineRule="exact"/>
              <w:ind w:left="107"/>
              <w:jc w:val="left"/>
              <w:rPr>
                <w:sz w:val="24"/>
              </w:rPr>
            </w:pPr>
            <w:r>
              <w:rPr>
                <w:sz w:val="24"/>
              </w:rPr>
              <w:t>205.</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127</w:t>
            </w:r>
          </w:p>
        </w:tc>
        <w:tc>
          <w:tcPr>
            <w:tcW w:w="7466" w:type="dxa"/>
          </w:tcPr>
          <w:p w:rsidR="007C5447" w:rsidRDefault="00F6308C">
            <w:pPr>
              <w:pStyle w:val="TableParagraph"/>
              <w:spacing w:line="275" w:lineRule="exact"/>
              <w:ind w:left="107"/>
              <w:jc w:val="left"/>
              <w:rPr>
                <w:sz w:val="24"/>
              </w:rPr>
            </w:pPr>
            <w:r>
              <w:rPr>
                <w:sz w:val="24"/>
              </w:rPr>
              <w:t>Thiru R. Varatharajan, Director, Vivegam Spinnerss (India) Private</w:t>
            </w:r>
          </w:p>
          <w:p w:rsidR="007C5447" w:rsidRDefault="00F6308C">
            <w:pPr>
              <w:pStyle w:val="TableParagraph"/>
              <w:spacing w:before="41"/>
              <w:ind w:left="107"/>
              <w:jc w:val="left"/>
              <w:rPr>
                <w:sz w:val="24"/>
              </w:rPr>
            </w:pPr>
            <w:r>
              <w:rPr>
                <w:sz w:val="24"/>
              </w:rPr>
              <w:t>Limited, 255, Pudur Road, Periyanaickenpalayam, Coimbatore-641 020.</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128</w:t>
            </w:r>
          </w:p>
        </w:tc>
        <w:tc>
          <w:tcPr>
            <w:tcW w:w="7466" w:type="dxa"/>
          </w:tcPr>
          <w:p w:rsidR="007C5447" w:rsidRDefault="00F6308C">
            <w:pPr>
              <w:pStyle w:val="TableParagraph"/>
              <w:spacing w:line="275" w:lineRule="exact"/>
              <w:ind w:left="107"/>
              <w:jc w:val="left"/>
              <w:rPr>
                <w:sz w:val="24"/>
              </w:rPr>
            </w:pPr>
            <w:r>
              <w:rPr>
                <w:sz w:val="24"/>
              </w:rPr>
              <w:t>Thiru R. Natarajan, National Leader, Law Foundation India, 54F,</w:t>
            </w:r>
          </w:p>
          <w:p w:rsidR="007C5447" w:rsidRDefault="00F6308C">
            <w:pPr>
              <w:pStyle w:val="TableParagraph"/>
              <w:spacing w:before="9" w:line="310" w:lineRule="atLeast"/>
              <w:ind w:left="107" w:right="463"/>
              <w:jc w:val="left"/>
              <w:rPr>
                <w:sz w:val="24"/>
              </w:rPr>
            </w:pPr>
            <w:r>
              <w:rPr>
                <w:sz w:val="24"/>
              </w:rPr>
              <w:t>Sivasakthi Complex, Selvarajapuram, Chinthamani Pudu</w:t>
            </w:r>
            <w:r>
              <w:rPr>
                <w:sz w:val="24"/>
              </w:rPr>
              <w:t>r, Kovai – 641 103.</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129</w:t>
            </w:r>
          </w:p>
        </w:tc>
        <w:tc>
          <w:tcPr>
            <w:tcW w:w="7466" w:type="dxa"/>
          </w:tcPr>
          <w:p w:rsidR="007C5447" w:rsidRDefault="00F6308C">
            <w:pPr>
              <w:pStyle w:val="TableParagraph"/>
              <w:spacing w:line="275" w:lineRule="exact"/>
              <w:ind w:left="107"/>
              <w:jc w:val="left"/>
              <w:rPr>
                <w:sz w:val="24"/>
              </w:rPr>
            </w:pPr>
            <w:r>
              <w:rPr>
                <w:sz w:val="24"/>
              </w:rPr>
              <w:t>Thiru S. Ponnusamy, Law Awareness India, 26/2010, Pallakadu Thottam,</w:t>
            </w:r>
          </w:p>
          <w:p w:rsidR="007C5447" w:rsidRDefault="00F6308C">
            <w:pPr>
              <w:pStyle w:val="TableParagraph"/>
              <w:spacing w:before="43"/>
              <w:ind w:left="107"/>
              <w:jc w:val="left"/>
              <w:rPr>
                <w:sz w:val="24"/>
              </w:rPr>
            </w:pPr>
            <w:r>
              <w:rPr>
                <w:sz w:val="24"/>
              </w:rPr>
              <w:t>Naduvelampalayam, Naranapuram Extn. Office.</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130</w:t>
            </w:r>
          </w:p>
        </w:tc>
        <w:tc>
          <w:tcPr>
            <w:tcW w:w="7466" w:type="dxa"/>
          </w:tcPr>
          <w:p w:rsidR="007C5447" w:rsidRDefault="00F6308C">
            <w:pPr>
              <w:pStyle w:val="TableParagraph"/>
              <w:spacing w:line="275" w:lineRule="exact"/>
              <w:ind w:left="107"/>
              <w:jc w:val="left"/>
              <w:rPr>
                <w:sz w:val="24"/>
              </w:rPr>
            </w:pPr>
            <w:r>
              <w:rPr>
                <w:sz w:val="24"/>
              </w:rPr>
              <w:t>Managing Partner, S.K. Yaarns, 13/97-B, Subramaniagounden Valasu,</w:t>
            </w:r>
          </w:p>
          <w:p w:rsidR="007C5447" w:rsidRDefault="00F6308C">
            <w:pPr>
              <w:pStyle w:val="TableParagraph"/>
              <w:spacing w:before="41"/>
              <w:ind w:left="107"/>
              <w:jc w:val="left"/>
              <w:rPr>
                <w:sz w:val="24"/>
              </w:rPr>
            </w:pPr>
            <w:r>
              <w:rPr>
                <w:sz w:val="24"/>
              </w:rPr>
              <w:t>Mulanur Road, Vellakovil-638 111. Kangayam (Tk), Tirupur(Dt.)</w:t>
            </w:r>
          </w:p>
        </w:tc>
      </w:tr>
      <w:tr w:rsidR="007C5447">
        <w:trPr>
          <w:trHeight w:val="635"/>
        </w:trPr>
        <w:tc>
          <w:tcPr>
            <w:tcW w:w="994" w:type="dxa"/>
          </w:tcPr>
          <w:p w:rsidR="007C5447" w:rsidRDefault="00F6308C">
            <w:pPr>
              <w:pStyle w:val="TableParagraph"/>
              <w:spacing w:before="1"/>
              <w:ind w:left="110"/>
              <w:jc w:val="left"/>
              <w:rPr>
                <w:sz w:val="24"/>
              </w:rPr>
            </w:pPr>
            <w:r>
              <w:rPr>
                <w:sz w:val="24"/>
              </w:rPr>
              <w:t>131</w:t>
            </w:r>
          </w:p>
        </w:tc>
        <w:tc>
          <w:tcPr>
            <w:tcW w:w="7466" w:type="dxa"/>
          </w:tcPr>
          <w:p w:rsidR="007C5447" w:rsidRDefault="00F6308C">
            <w:pPr>
              <w:pStyle w:val="TableParagraph"/>
              <w:spacing w:before="1"/>
              <w:ind w:left="107"/>
              <w:jc w:val="left"/>
              <w:rPr>
                <w:sz w:val="24"/>
              </w:rPr>
            </w:pPr>
            <w:r>
              <w:rPr>
                <w:sz w:val="24"/>
              </w:rPr>
              <w:t>Managing Director, Sri Kumaran Spinning Mill, 131, Nall Road,</w:t>
            </w:r>
          </w:p>
          <w:p w:rsidR="007C5447" w:rsidRDefault="00F6308C">
            <w:pPr>
              <w:pStyle w:val="TableParagraph"/>
              <w:spacing w:before="41"/>
              <w:ind w:left="107"/>
              <w:jc w:val="left"/>
              <w:rPr>
                <w:sz w:val="24"/>
              </w:rPr>
            </w:pPr>
            <w:r>
              <w:rPr>
                <w:sz w:val="24"/>
              </w:rPr>
              <w:t>Racikyavalasu(Po), Mulanur (via), Vellakovil – 638 111.</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132</w:t>
            </w:r>
          </w:p>
        </w:tc>
        <w:tc>
          <w:tcPr>
            <w:tcW w:w="7466" w:type="dxa"/>
          </w:tcPr>
          <w:p w:rsidR="007C5447" w:rsidRDefault="00F6308C">
            <w:pPr>
              <w:pStyle w:val="TableParagraph"/>
              <w:spacing w:line="275" w:lineRule="exact"/>
              <w:ind w:left="107"/>
              <w:jc w:val="left"/>
              <w:rPr>
                <w:sz w:val="24"/>
              </w:rPr>
            </w:pPr>
            <w:r>
              <w:rPr>
                <w:sz w:val="24"/>
              </w:rPr>
              <w:t>Thiru M. Thangaraj, Partner, Vinaykha Mills, 415/2, Nartayankovil Road,</w:t>
            </w:r>
          </w:p>
          <w:p w:rsidR="007C5447" w:rsidRDefault="00F6308C">
            <w:pPr>
              <w:pStyle w:val="TableParagraph"/>
              <w:spacing w:before="41"/>
              <w:ind w:left="107"/>
              <w:jc w:val="left"/>
              <w:rPr>
                <w:sz w:val="24"/>
              </w:rPr>
            </w:pPr>
            <w:r>
              <w:rPr>
                <w:sz w:val="24"/>
              </w:rPr>
              <w:t>Mandhapuram, Metttupalayam Village, Vellakovil – 638 111.</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133</w:t>
            </w:r>
          </w:p>
        </w:tc>
        <w:tc>
          <w:tcPr>
            <w:tcW w:w="7466" w:type="dxa"/>
          </w:tcPr>
          <w:p w:rsidR="007C5447" w:rsidRDefault="00F6308C">
            <w:pPr>
              <w:pStyle w:val="TableParagraph"/>
              <w:spacing w:line="276" w:lineRule="auto"/>
              <w:ind w:left="107"/>
              <w:jc w:val="left"/>
              <w:rPr>
                <w:sz w:val="24"/>
              </w:rPr>
            </w:pPr>
            <w:r>
              <w:rPr>
                <w:sz w:val="24"/>
              </w:rPr>
              <w:t>Partner, Vinayaka Tex, SF No. 415/2, Near Natrayankovil, Mandhapuram Road, Mettupalayam (Po), Vellakovil – 638 111. Kangayam Tk., Tirupur</w:t>
            </w:r>
          </w:p>
          <w:p w:rsidR="007C5447" w:rsidRDefault="00F6308C">
            <w:pPr>
              <w:pStyle w:val="TableParagraph"/>
              <w:spacing w:line="275" w:lineRule="exact"/>
              <w:ind w:left="107"/>
              <w:jc w:val="left"/>
              <w:rPr>
                <w:sz w:val="24"/>
              </w:rPr>
            </w:pPr>
            <w:r>
              <w:rPr>
                <w:sz w:val="24"/>
              </w:rPr>
              <w:t>Dist.</w:t>
            </w:r>
          </w:p>
        </w:tc>
      </w:tr>
      <w:tr w:rsidR="007C5447">
        <w:trPr>
          <w:trHeight w:val="950"/>
        </w:trPr>
        <w:tc>
          <w:tcPr>
            <w:tcW w:w="994" w:type="dxa"/>
          </w:tcPr>
          <w:p w:rsidR="007C5447" w:rsidRDefault="00F6308C">
            <w:pPr>
              <w:pStyle w:val="TableParagraph"/>
              <w:spacing w:line="275" w:lineRule="exact"/>
              <w:ind w:left="110"/>
              <w:jc w:val="left"/>
              <w:rPr>
                <w:sz w:val="24"/>
              </w:rPr>
            </w:pPr>
            <w:r>
              <w:rPr>
                <w:sz w:val="24"/>
              </w:rPr>
              <w:t>134</w:t>
            </w:r>
          </w:p>
        </w:tc>
        <w:tc>
          <w:tcPr>
            <w:tcW w:w="7466" w:type="dxa"/>
          </w:tcPr>
          <w:p w:rsidR="007C5447" w:rsidRDefault="00F6308C">
            <w:pPr>
              <w:pStyle w:val="TableParagraph"/>
              <w:spacing w:line="276" w:lineRule="auto"/>
              <w:ind w:left="107"/>
              <w:jc w:val="left"/>
              <w:rPr>
                <w:sz w:val="24"/>
              </w:rPr>
            </w:pPr>
            <w:r>
              <w:rPr>
                <w:sz w:val="24"/>
              </w:rPr>
              <w:t>Thiru K. Ilangovan, State General Secretary, Tamil Nadu Electricity Board Employees United Association, Central Office Complex, TNEB, Tatabad,</w:t>
            </w:r>
          </w:p>
          <w:p w:rsidR="007C5447" w:rsidRDefault="00F6308C">
            <w:pPr>
              <w:pStyle w:val="TableParagraph"/>
              <w:spacing w:line="275" w:lineRule="exact"/>
              <w:ind w:left="107"/>
              <w:jc w:val="left"/>
              <w:rPr>
                <w:sz w:val="24"/>
              </w:rPr>
            </w:pPr>
            <w:r>
              <w:rPr>
                <w:sz w:val="24"/>
              </w:rPr>
              <w:t>Coimbatore-641 012.</w:t>
            </w:r>
          </w:p>
        </w:tc>
      </w:tr>
      <w:tr w:rsidR="007C5447">
        <w:trPr>
          <w:trHeight w:val="952"/>
        </w:trPr>
        <w:tc>
          <w:tcPr>
            <w:tcW w:w="994" w:type="dxa"/>
          </w:tcPr>
          <w:p w:rsidR="007C5447" w:rsidRDefault="00F6308C">
            <w:pPr>
              <w:pStyle w:val="TableParagraph"/>
              <w:spacing w:before="1"/>
              <w:ind w:left="110"/>
              <w:jc w:val="left"/>
              <w:rPr>
                <w:sz w:val="24"/>
              </w:rPr>
            </w:pPr>
            <w:r>
              <w:rPr>
                <w:sz w:val="24"/>
              </w:rPr>
              <w:t>135</w:t>
            </w:r>
          </w:p>
        </w:tc>
        <w:tc>
          <w:tcPr>
            <w:tcW w:w="7466" w:type="dxa"/>
          </w:tcPr>
          <w:p w:rsidR="007C5447" w:rsidRDefault="00F6308C">
            <w:pPr>
              <w:pStyle w:val="TableParagraph"/>
              <w:spacing w:before="1" w:line="276" w:lineRule="auto"/>
              <w:ind w:left="107"/>
              <w:jc w:val="left"/>
              <w:rPr>
                <w:sz w:val="24"/>
              </w:rPr>
            </w:pPr>
            <w:r>
              <w:rPr>
                <w:sz w:val="24"/>
              </w:rPr>
              <w:t>Thiru S. Ravikumar, Leader, Coimbatore, Tirupur State Tiny Industries &amp; Rural Industries Entrepreneurs Association, 19/3, Lucky Plaza, 1st Floor,</w:t>
            </w:r>
          </w:p>
          <w:p w:rsidR="007C5447" w:rsidRDefault="00F6308C">
            <w:pPr>
              <w:pStyle w:val="TableParagraph"/>
              <w:spacing w:line="275" w:lineRule="exact"/>
              <w:ind w:left="107"/>
              <w:jc w:val="left"/>
              <w:rPr>
                <w:sz w:val="24"/>
              </w:rPr>
            </w:pPr>
            <w:r>
              <w:rPr>
                <w:sz w:val="24"/>
              </w:rPr>
              <w:t>Sanganur Main Road, Ganapathi, Coimbatore – 641 006.</w:t>
            </w:r>
          </w:p>
        </w:tc>
      </w:tr>
      <w:tr w:rsidR="007C5447">
        <w:trPr>
          <w:trHeight w:val="636"/>
        </w:trPr>
        <w:tc>
          <w:tcPr>
            <w:tcW w:w="994" w:type="dxa"/>
          </w:tcPr>
          <w:p w:rsidR="007C5447" w:rsidRDefault="00F6308C">
            <w:pPr>
              <w:pStyle w:val="TableParagraph"/>
              <w:spacing w:before="1"/>
              <w:ind w:left="110"/>
              <w:jc w:val="left"/>
              <w:rPr>
                <w:sz w:val="24"/>
              </w:rPr>
            </w:pPr>
            <w:r>
              <w:rPr>
                <w:sz w:val="24"/>
              </w:rPr>
              <w:t>136</w:t>
            </w:r>
          </w:p>
        </w:tc>
        <w:tc>
          <w:tcPr>
            <w:tcW w:w="7466" w:type="dxa"/>
          </w:tcPr>
          <w:p w:rsidR="007C5447" w:rsidRDefault="00F6308C">
            <w:pPr>
              <w:pStyle w:val="TableParagraph"/>
              <w:spacing w:before="1"/>
              <w:ind w:left="107"/>
              <w:jc w:val="left"/>
              <w:rPr>
                <w:sz w:val="24"/>
              </w:rPr>
            </w:pPr>
            <w:r>
              <w:rPr>
                <w:sz w:val="24"/>
              </w:rPr>
              <w:t>Managing Partner, Vikrant Textiles, D.No. 53-A, Vall</w:t>
            </w:r>
            <w:r>
              <w:rPr>
                <w:sz w:val="24"/>
              </w:rPr>
              <w:t>iarachai Road,</w:t>
            </w:r>
          </w:p>
          <w:p w:rsidR="007C5447" w:rsidRDefault="00F6308C">
            <w:pPr>
              <w:pStyle w:val="TableParagraph"/>
              <w:spacing w:before="41"/>
              <w:ind w:left="107"/>
              <w:jc w:val="left"/>
              <w:rPr>
                <w:sz w:val="24"/>
              </w:rPr>
            </w:pPr>
            <w:r>
              <w:rPr>
                <w:sz w:val="24"/>
              </w:rPr>
              <w:t>Vellakovil – 638 111. Kangayam Tk., Tirupur Dist., Tamilnadu.</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137</w:t>
            </w:r>
          </w:p>
        </w:tc>
        <w:tc>
          <w:tcPr>
            <w:tcW w:w="7466" w:type="dxa"/>
          </w:tcPr>
          <w:p w:rsidR="007C5447" w:rsidRDefault="00F6308C">
            <w:pPr>
              <w:pStyle w:val="TableParagraph"/>
              <w:spacing w:line="275" w:lineRule="exact"/>
              <w:ind w:left="107"/>
              <w:jc w:val="left"/>
              <w:rPr>
                <w:sz w:val="24"/>
              </w:rPr>
            </w:pPr>
            <w:r>
              <w:rPr>
                <w:sz w:val="24"/>
              </w:rPr>
              <w:t>Partner, V.P.S. Spinnings, SF. No. 187, Udumalpet Road, P.</w:t>
            </w:r>
          </w:p>
          <w:p w:rsidR="007C5447" w:rsidRDefault="00F6308C">
            <w:pPr>
              <w:pStyle w:val="TableParagraph"/>
              <w:spacing w:before="41"/>
              <w:ind w:left="107"/>
              <w:jc w:val="left"/>
              <w:rPr>
                <w:sz w:val="24"/>
              </w:rPr>
            </w:pPr>
            <w:r>
              <w:rPr>
                <w:sz w:val="24"/>
              </w:rPr>
              <w:t>Vadugapalayam, Palladam – 641 664.</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138</w:t>
            </w:r>
          </w:p>
        </w:tc>
        <w:tc>
          <w:tcPr>
            <w:tcW w:w="7466" w:type="dxa"/>
          </w:tcPr>
          <w:p w:rsidR="007C5447" w:rsidRDefault="00F6308C">
            <w:pPr>
              <w:pStyle w:val="TableParagraph"/>
              <w:spacing w:line="276" w:lineRule="auto"/>
              <w:ind w:left="107" w:right="470"/>
              <w:jc w:val="left"/>
              <w:rPr>
                <w:sz w:val="24"/>
              </w:rPr>
            </w:pPr>
            <w:r>
              <w:rPr>
                <w:sz w:val="24"/>
              </w:rPr>
              <w:t>Thiru D. Palanisamy, D.P.M. Cotton Spinning Mill, 5/31, Pallakattuthpattam, Pariyandipalayam, Thoppupalayam, Chennimalai –</w:t>
            </w:r>
          </w:p>
          <w:p w:rsidR="007C5447" w:rsidRDefault="00F6308C">
            <w:pPr>
              <w:pStyle w:val="TableParagraph"/>
              <w:spacing w:line="275" w:lineRule="exact"/>
              <w:ind w:left="107"/>
              <w:jc w:val="left"/>
              <w:rPr>
                <w:sz w:val="24"/>
              </w:rPr>
            </w:pPr>
            <w:r>
              <w:rPr>
                <w:sz w:val="24"/>
              </w:rPr>
              <w:t>638 051. Erode District, T.N.</w:t>
            </w:r>
          </w:p>
        </w:tc>
      </w:tr>
      <w:tr w:rsidR="007C5447">
        <w:trPr>
          <w:trHeight w:val="316"/>
        </w:trPr>
        <w:tc>
          <w:tcPr>
            <w:tcW w:w="994" w:type="dxa"/>
          </w:tcPr>
          <w:p w:rsidR="007C5447" w:rsidRDefault="00F6308C">
            <w:pPr>
              <w:pStyle w:val="TableParagraph"/>
              <w:spacing w:line="275" w:lineRule="exact"/>
              <w:ind w:left="110"/>
              <w:jc w:val="left"/>
              <w:rPr>
                <w:sz w:val="24"/>
              </w:rPr>
            </w:pPr>
            <w:r>
              <w:rPr>
                <w:sz w:val="24"/>
              </w:rPr>
              <w:t>139</w:t>
            </w:r>
          </w:p>
        </w:tc>
        <w:tc>
          <w:tcPr>
            <w:tcW w:w="7466" w:type="dxa"/>
          </w:tcPr>
          <w:p w:rsidR="007C5447" w:rsidRDefault="00F6308C">
            <w:pPr>
              <w:pStyle w:val="TableParagraph"/>
              <w:spacing w:line="275" w:lineRule="exact"/>
              <w:ind w:left="107"/>
              <w:jc w:val="left"/>
              <w:rPr>
                <w:sz w:val="24"/>
              </w:rPr>
            </w:pPr>
            <w:r>
              <w:rPr>
                <w:sz w:val="24"/>
              </w:rPr>
              <w:t>D.P.M. Spinning Mill, 3/155, Gandhi Nagar, uthukkuli Road, Chennimalai</w:t>
            </w:r>
          </w:p>
        </w:tc>
      </w:tr>
    </w:tbl>
    <w:p w:rsidR="007C5447" w:rsidRDefault="007C5447">
      <w:pPr>
        <w:spacing w:line="275" w:lineRule="exact"/>
        <w:rPr>
          <w:sz w:val="24"/>
        </w:rPr>
        <w:sectPr w:rsidR="007C5447">
          <w:pgSz w:w="11910" w:h="16840"/>
          <w:pgMar w:top="1420" w:right="1300" w:bottom="960" w:left="1000" w:header="0" w:footer="777" w:gutter="0"/>
          <w:cols w:space="720"/>
        </w:sectPr>
      </w:pPr>
    </w:p>
    <w:tbl>
      <w:tblPr>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7466"/>
      </w:tblGrid>
      <w:tr w:rsidR="007C5447">
        <w:trPr>
          <w:trHeight w:val="316"/>
        </w:trPr>
        <w:tc>
          <w:tcPr>
            <w:tcW w:w="994" w:type="dxa"/>
          </w:tcPr>
          <w:p w:rsidR="007C5447" w:rsidRDefault="00F6308C">
            <w:pPr>
              <w:pStyle w:val="TableParagraph"/>
              <w:spacing w:line="275" w:lineRule="exact"/>
              <w:ind w:left="110"/>
              <w:jc w:val="left"/>
              <w:rPr>
                <w:b/>
                <w:sz w:val="24"/>
              </w:rPr>
            </w:pPr>
            <w:r>
              <w:rPr>
                <w:b/>
                <w:sz w:val="24"/>
              </w:rPr>
              <w:lastRenderedPageBreak/>
              <w:t>Sl. No.</w:t>
            </w:r>
          </w:p>
        </w:tc>
        <w:tc>
          <w:tcPr>
            <w:tcW w:w="7466" w:type="dxa"/>
          </w:tcPr>
          <w:p w:rsidR="007C5447" w:rsidRDefault="00F6308C">
            <w:pPr>
              <w:pStyle w:val="TableParagraph"/>
              <w:spacing w:line="275" w:lineRule="exact"/>
              <w:ind w:left="107"/>
              <w:jc w:val="left"/>
              <w:rPr>
                <w:b/>
                <w:sz w:val="24"/>
              </w:rPr>
            </w:pPr>
            <w:r>
              <w:rPr>
                <w:b/>
                <w:sz w:val="24"/>
              </w:rPr>
              <w:t>Name and Address</w:t>
            </w:r>
          </w:p>
        </w:tc>
      </w:tr>
      <w:tr w:rsidR="007C5447">
        <w:trPr>
          <w:trHeight w:val="319"/>
        </w:trPr>
        <w:tc>
          <w:tcPr>
            <w:tcW w:w="994" w:type="dxa"/>
          </w:tcPr>
          <w:p w:rsidR="007C5447" w:rsidRDefault="007C5447">
            <w:pPr>
              <w:pStyle w:val="TableParagraph"/>
              <w:jc w:val="left"/>
              <w:rPr>
                <w:sz w:val="24"/>
              </w:rPr>
            </w:pPr>
          </w:p>
        </w:tc>
        <w:tc>
          <w:tcPr>
            <w:tcW w:w="7466" w:type="dxa"/>
          </w:tcPr>
          <w:p w:rsidR="007C5447" w:rsidRDefault="00F6308C">
            <w:pPr>
              <w:pStyle w:val="TableParagraph"/>
              <w:spacing w:before="1"/>
              <w:ind w:left="107"/>
              <w:jc w:val="left"/>
              <w:rPr>
                <w:sz w:val="24"/>
              </w:rPr>
            </w:pPr>
            <w:r>
              <w:rPr>
                <w:sz w:val="24"/>
              </w:rPr>
              <w:t>– 638 051.</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140</w:t>
            </w:r>
          </w:p>
        </w:tc>
        <w:tc>
          <w:tcPr>
            <w:tcW w:w="7466" w:type="dxa"/>
          </w:tcPr>
          <w:p w:rsidR="007C5447" w:rsidRDefault="00F6308C">
            <w:pPr>
              <w:pStyle w:val="TableParagraph"/>
              <w:spacing w:line="275" w:lineRule="exact"/>
              <w:ind w:left="107"/>
              <w:jc w:val="left"/>
              <w:rPr>
                <w:sz w:val="24"/>
              </w:rPr>
            </w:pPr>
            <w:r>
              <w:rPr>
                <w:sz w:val="24"/>
              </w:rPr>
              <w:t>S.A.N.M. Mills, 5/34, Periyandipalayam, Thoppupalayam (PO),</w:t>
            </w:r>
          </w:p>
          <w:p w:rsidR="007C5447" w:rsidRDefault="00F6308C">
            <w:pPr>
              <w:pStyle w:val="TableParagraph"/>
              <w:spacing w:before="41"/>
              <w:ind w:left="107"/>
              <w:jc w:val="left"/>
              <w:rPr>
                <w:sz w:val="24"/>
              </w:rPr>
            </w:pPr>
            <w:r>
              <w:rPr>
                <w:sz w:val="24"/>
              </w:rPr>
              <w:t>Chennimalai – 638051, Perundurai (Taluk), Erode Dist.,</w:t>
            </w:r>
          </w:p>
        </w:tc>
      </w:tr>
      <w:tr w:rsidR="007C5447">
        <w:trPr>
          <w:trHeight w:val="635"/>
        </w:trPr>
        <w:tc>
          <w:tcPr>
            <w:tcW w:w="994" w:type="dxa"/>
          </w:tcPr>
          <w:p w:rsidR="007C5447" w:rsidRDefault="00F6308C">
            <w:pPr>
              <w:pStyle w:val="TableParagraph"/>
              <w:spacing w:before="1"/>
              <w:ind w:left="110"/>
              <w:jc w:val="left"/>
              <w:rPr>
                <w:sz w:val="24"/>
              </w:rPr>
            </w:pPr>
            <w:r>
              <w:rPr>
                <w:sz w:val="24"/>
              </w:rPr>
              <w:t>141</w:t>
            </w:r>
          </w:p>
        </w:tc>
        <w:tc>
          <w:tcPr>
            <w:tcW w:w="7466" w:type="dxa"/>
          </w:tcPr>
          <w:p w:rsidR="007C5447" w:rsidRDefault="00F6308C">
            <w:pPr>
              <w:pStyle w:val="TableParagraph"/>
              <w:spacing w:before="1"/>
              <w:ind w:left="107"/>
              <w:jc w:val="left"/>
              <w:rPr>
                <w:sz w:val="24"/>
              </w:rPr>
            </w:pPr>
            <w:r>
              <w:rPr>
                <w:sz w:val="24"/>
              </w:rPr>
              <w:t>Thiru N. Pradeepkumar, General Secretary, Tamilnadu Consumer</w:t>
            </w:r>
          </w:p>
          <w:p w:rsidR="007C5447" w:rsidRDefault="00F6308C">
            <w:pPr>
              <w:pStyle w:val="TableParagraph"/>
              <w:spacing w:before="41"/>
              <w:ind w:left="107"/>
              <w:jc w:val="left"/>
              <w:rPr>
                <w:sz w:val="24"/>
              </w:rPr>
            </w:pPr>
            <w:r>
              <w:rPr>
                <w:sz w:val="24"/>
              </w:rPr>
              <w:t>Association, 12-C, North Car Street, Perur-PO, Coimbatore-641 010.</w:t>
            </w:r>
          </w:p>
        </w:tc>
      </w:tr>
      <w:tr w:rsidR="007C5447">
        <w:trPr>
          <w:trHeight w:val="635"/>
        </w:trPr>
        <w:tc>
          <w:tcPr>
            <w:tcW w:w="994" w:type="dxa"/>
          </w:tcPr>
          <w:p w:rsidR="007C5447" w:rsidRDefault="00F6308C">
            <w:pPr>
              <w:pStyle w:val="TableParagraph"/>
              <w:spacing w:line="275" w:lineRule="exact"/>
              <w:ind w:left="110"/>
              <w:jc w:val="left"/>
              <w:rPr>
                <w:sz w:val="24"/>
              </w:rPr>
            </w:pPr>
            <w:r>
              <w:rPr>
                <w:sz w:val="24"/>
              </w:rPr>
              <w:t>142</w:t>
            </w:r>
          </w:p>
        </w:tc>
        <w:tc>
          <w:tcPr>
            <w:tcW w:w="7466" w:type="dxa"/>
          </w:tcPr>
          <w:p w:rsidR="007C5447" w:rsidRDefault="00F6308C">
            <w:pPr>
              <w:pStyle w:val="TableParagraph"/>
              <w:spacing w:line="275" w:lineRule="exact"/>
              <w:ind w:left="107"/>
              <w:jc w:val="left"/>
              <w:rPr>
                <w:sz w:val="24"/>
              </w:rPr>
            </w:pPr>
            <w:r>
              <w:rPr>
                <w:sz w:val="24"/>
              </w:rPr>
              <w:t>Thiru P. Venkatesan, President, Covai Consumer Centre, Old. No. 83, New</w:t>
            </w:r>
          </w:p>
          <w:p w:rsidR="007C5447" w:rsidRDefault="00F6308C">
            <w:pPr>
              <w:pStyle w:val="TableParagraph"/>
              <w:spacing w:before="43"/>
              <w:ind w:left="107"/>
              <w:jc w:val="left"/>
              <w:rPr>
                <w:sz w:val="24"/>
              </w:rPr>
            </w:pPr>
            <w:r>
              <w:rPr>
                <w:sz w:val="24"/>
              </w:rPr>
              <w:t>No. 127-B, Subramaniam Road, R.S.Puram, Coimbatore-</w:t>
            </w:r>
            <w:r>
              <w:rPr>
                <w:sz w:val="24"/>
              </w:rPr>
              <w:t>2.</w:t>
            </w:r>
          </w:p>
        </w:tc>
      </w:tr>
      <w:tr w:rsidR="007C5447">
        <w:trPr>
          <w:trHeight w:val="633"/>
        </w:trPr>
        <w:tc>
          <w:tcPr>
            <w:tcW w:w="994" w:type="dxa"/>
          </w:tcPr>
          <w:p w:rsidR="007C5447" w:rsidRDefault="00F6308C">
            <w:pPr>
              <w:pStyle w:val="TableParagraph"/>
              <w:spacing w:line="275" w:lineRule="exact"/>
              <w:ind w:left="110"/>
              <w:jc w:val="left"/>
              <w:rPr>
                <w:sz w:val="24"/>
              </w:rPr>
            </w:pPr>
            <w:r>
              <w:rPr>
                <w:sz w:val="24"/>
              </w:rPr>
              <w:t>143</w:t>
            </w:r>
          </w:p>
        </w:tc>
        <w:tc>
          <w:tcPr>
            <w:tcW w:w="7466" w:type="dxa"/>
          </w:tcPr>
          <w:p w:rsidR="007C5447" w:rsidRDefault="00F6308C">
            <w:pPr>
              <w:pStyle w:val="TableParagraph"/>
              <w:spacing w:line="275" w:lineRule="exact"/>
              <w:ind w:left="107"/>
              <w:jc w:val="left"/>
              <w:rPr>
                <w:sz w:val="24"/>
              </w:rPr>
            </w:pPr>
            <w:r>
              <w:rPr>
                <w:sz w:val="24"/>
              </w:rPr>
              <w:t>Thiru M. Mariappan, President, City Consumer Association, 52-A,</w:t>
            </w:r>
          </w:p>
          <w:p w:rsidR="007C5447" w:rsidRDefault="00F6308C">
            <w:pPr>
              <w:pStyle w:val="TableParagraph"/>
              <w:spacing w:before="41"/>
              <w:ind w:left="107"/>
              <w:jc w:val="left"/>
              <w:rPr>
                <w:sz w:val="24"/>
              </w:rPr>
            </w:pPr>
            <w:r>
              <w:rPr>
                <w:sz w:val="24"/>
              </w:rPr>
              <w:t>Govindasamy Lay-out Ashok Nagar, Chetti Street, Coimbatore – 641 001.</w:t>
            </w:r>
          </w:p>
        </w:tc>
      </w:tr>
      <w:tr w:rsidR="007C5447">
        <w:trPr>
          <w:trHeight w:val="635"/>
        </w:trPr>
        <w:tc>
          <w:tcPr>
            <w:tcW w:w="994" w:type="dxa"/>
          </w:tcPr>
          <w:p w:rsidR="007C5447" w:rsidRDefault="00F6308C">
            <w:pPr>
              <w:pStyle w:val="TableParagraph"/>
              <w:spacing w:before="1"/>
              <w:ind w:left="110"/>
              <w:jc w:val="left"/>
              <w:rPr>
                <w:sz w:val="24"/>
              </w:rPr>
            </w:pPr>
            <w:r>
              <w:rPr>
                <w:sz w:val="24"/>
              </w:rPr>
              <w:t>144</w:t>
            </w:r>
          </w:p>
        </w:tc>
        <w:tc>
          <w:tcPr>
            <w:tcW w:w="7466" w:type="dxa"/>
          </w:tcPr>
          <w:p w:rsidR="007C5447" w:rsidRDefault="00F6308C">
            <w:pPr>
              <w:pStyle w:val="TableParagraph"/>
              <w:spacing w:before="1"/>
              <w:ind w:left="107"/>
              <w:jc w:val="left"/>
              <w:rPr>
                <w:sz w:val="24"/>
              </w:rPr>
            </w:pPr>
            <w:r>
              <w:rPr>
                <w:sz w:val="24"/>
              </w:rPr>
              <w:t>Dr. D. Ramesh, General Secretary, Tamilnadu Consumer Education</w:t>
            </w:r>
          </w:p>
          <w:p w:rsidR="007C5447" w:rsidRDefault="00F6308C">
            <w:pPr>
              <w:pStyle w:val="TableParagraph"/>
              <w:spacing w:before="41"/>
              <w:ind w:left="107"/>
              <w:jc w:val="left"/>
              <w:rPr>
                <w:sz w:val="24"/>
              </w:rPr>
            </w:pPr>
            <w:r>
              <w:rPr>
                <w:sz w:val="24"/>
              </w:rPr>
              <w:t>Centre, 5-B, Chinna Koil Street, Perur-Po, Coimbatore-641 010.</w:t>
            </w:r>
          </w:p>
        </w:tc>
      </w:tr>
      <w:tr w:rsidR="007C5447">
        <w:trPr>
          <w:trHeight w:val="636"/>
        </w:trPr>
        <w:tc>
          <w:tcPr>
            <w:tcW w:w="994" w:type="dxa"/>
          </w:tcPr>
          <w:p w:rsidR="007C5447" w:rsidRDefault="00F6308C">
            <w:pPr>
              <w:pStyle w:val="TableParagraph"/>
              <w:spacing w:line="276" w:lineRule="exact"/>
              <w:ind w:left="110"/>
              <w:jc w:val="left"/>
              <w:rPr>
                <w:sz w:val="24"/>
              </w:rPr>
            </w:pPr>
            <w:r>
              <w:rPr>
                <w:sz w:val="24"/>
              </w:rPr>
              <w:t>145</w:t>
            </w:r>
          </w:p>
        </w:tc>
        <w:tc>
          <w:tcPr>
            <w:tcW w:w="7466" w:type="dxa"/>
          </w:tcPr>
          <w:p w:rsidR="007C5447" w:rsidRDefault="00F6308C">
            <w:pPr>
              <w:pStyle w:val="TableParagraph"/>
              <w:spacing w:line="276" w:lineRule="exact"/>
              <w:ind w:left="107"/>
              <w:jc w:val="left"/>
              <w:rPr>
                <w:sz w:val="24"/>
              </w:rPr>
            </w:pPr>
            <w:r>
              <w:rPr>
                <w:sz w:val="24"/>
              </w:rPr>
              <w:t>Revathy Textiles, 34, Water Tank Street, Samalpuram, Somanur – 641</w:t>
            </w:r>
          </w:p>
          <w:p w:rsidR="007C5447" w:rsidRDefault="00F6308C">
            <w:pPr>
              <w:pStyle w:val="TableParagraph"/>
              <w:spacing w:before="41"/>
              <w:ind w:left="107"/>
              <w:jc w:val="left"/>
              <w:rPr>
                <w:sz w:val="24"/>
              </w:rPr>
            </w:pPr>
            <w:r>
              <w:rPr>
                <w:sz w:val="24"/>
              </w:rPr>
              <w:t>663. Tirupur (Dt.) TN.</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146</w:t>
            </w:r>
          </w:p>
        </w:tc>
        <w:tc>
          <w:tcPr>
            <w:tcW w:w="7466" w:type="dxa"/>
          </w:tcPr>
          <w:p w:rsidR="007C5447" w:rsidRDefault="00F6308C">
            <w:pPr>
              <w:pStyle w:val="TableParagraph"/>
              <w:spacing w:line="275" w:lineRule="exact"/>
              <w:ind w:left="107"/>
              <w:jc w:val="left"/>
              <w:rPr>
                <w:sz w:val="24"/>
              </w:rPr>
            </w:pPr>
            <w:r>
              <w:rPr>
                <w:sz w:val="24"/>
              </w:rPr>
              <w:t>Thiru R. Kathiresan, State Leader, Tamil Nadu Fisheries Farmers Welfare</w:t>
            </w:r>
          </w:p>
          <w:p w:rsidR="007C5447" w:rsidRDefault="00F6308C">
            <w:pPr>
              <w:pStyle w:val="TableParagraph"/>
              <w:spacing w:before="7" w:line="310" w:lineRule="atLeast"/>
              <w:ind w:left="107" w:right="103"/>
              <w:jc w:val="left"/>
              <w:rPr>
                <w:sz w:val="24"/>
              </w:rPr>
            </w:pPr>
            <w:r>
              <w:rPr>
                <w:sz w:val="24"/>
              </w:rPr>
              <w:t>Association, No. 32, Sunnambukara Street, Orathanadu – 614 625. Thanjur District.</w:t>
            </w:r>
          </w:p>
        </w:tc>
      </w:tr>
      <w:tr w:rsidR="007C5447">
        <w:trPr>
          <w:trHeight w:val="952"/>
        </w:trPr>
        <w:tc>
          <w:tcPr>
            <w:tcW w:w="994" w:type="dxa"/>
          </w:tcPr>
          <w:p w:rsidR="007C5447" w:rsidRDefault="00F6308C">
            <w:pPr>
              <w:pStyle w:val="TableParagraph"/>
              <w:spacing w:line="275" w:lineRule="exact"/>
              <w:ind w:left="110"/>
              <w:jc w:val="left"/>
              <w:rPr>
                <w:sz w:val="24"/>
              </w:rPr>
            </w:pPr>
            <w:r>
              <w:rPr>
                <w:sz w:val="24"/>
              </w:rPr>
              <w:t>147</w:t>
            </w:r>
          </w:p>
        </w:tc>
        <w:tc>
          <w:tcPr>
            <w:tcW w:w="7466" w:type="dxa"/>
          </w:tcPr>
          <w:p w:rsidR="007C5447" w:rsidRDefault="00F6308C">
            <w:pPr>
              <w:pStyle w:val="TableParagraph"/>
              <w:spacing w:line="276" w:lineRule="auto"/>
              <w:ind w:left="107" w:right="397"/>
              <w:jc w:val="left"/>
              <w:rPr>
                <w:sz w:val="24"/>
              </w:rPr>
            </w:pPr>
            <w:r>
              <w:rPr>
                <w:sz w:val="24"/>
              </w:rPr>
              <w:t>Thiru Giridhar JG, CEO &amp; Managing Director, SIERRA ODC Pvt. Ltd. No.6, (SF.218/2A), Annamalai Industrial Estate, Kalapatti, Coimbatore-</w:t>
            </w:r>
          </w:p>
          <w:p w:rsidR="007C5447" w:rsidRDefault="00F6308C">
            <w:pPr>
              <w:pStyle w:val="TableParagraph"/>
              <w:spacing w:line="275" w:lineRule="exact"/>
              <w:ind w:left="107"/>
              <w:jc w:val="left"/>
              <w:rPr>
                <w:sz w:val="24"/>
              </w:rPr>
            </w:pPr>
            <w:r>
              <w:rPr>
                <w:sz w:val="24"/>
              </w:rPr>
              <w:t>641 048.</w:t>
            </w:r>
          </w:p>
        </w:tc>
      </w:tr>
    </w:tbl>
    <w:p w:rsidR="007C5447" w:rsidRDefault="007C5447">
      <w:pPr>
        <w:spacing w:line="275" w:lineRule="exact"/>
        <w:rPr>
          <w:sz w:val="24"/>
        </w:rPr>
        <w:sectPr w:rsidR="007C5447">
          <w:pgSz w:w="11910" w:h="16840"/>
          <w:pgMar w:top="1420" w:right="1300" w:bottom="960" w:left="1000" w:header="0" w:footer="777" w:gutter="0"/>
          <w:cols w:space="720"/>
        </w:sectPr>
      </w:pPr>
    </w:p>
    <w:p w:rsidR="007C5447" w:rsidRDefault="00F6308C">
      <w:pPr>
        <w:pStyle w:val="Heading2"/>
        <w:spacing w:before="61"/>
        <w:ind w:left="0" w:right="2614"/>
        <w:jc w:val="right"/>
      </w:pPr>
      <w:bookmarkStart w:id="101" w:name="_bookmark100"/>
      <w:bookmarkEnd w:id="101"/>
      <w:r>
        <w:lastRenderedPageBreak/>
        <w:t>Annexure III- The list of participants at each Public Hearing.</w:t>
      </w:r>
    </w:p>
    <w:p w:rsidR="007C5447" w:rsidRDefault="007C5447">
      <w:pPr>
        <w:pStyle w:val="BodyText"/>
        <w:spacing w:before="11"/>
        <w:rPr>
          <w:b/>
          <w:sz w:val="27"/>
        </w:rPr>
      </w:pPr>
    </w:p>
    <w:p w:rsidR="007C5447" w:rsidRDefault="00F6308C">
      <w:pPr>
        <w:ind w:right="2714"/>
        <w:jc w:val="right"/>
        <w:rPr>
          <w:b/>
          <w:sz w:val="24"/>
        </w:rPr>
      </w:pPr>
      <w:r>
        <w:rPr>
          <w:b/>
          <w:sz w:val="24"/>
        </w:rPr>
        <w:t xml:space="preserve">List of participants in the </w:t>
      </w:r>
      <w:r>
        <w:rPr>
          <w:b/>
          <w:sz w:val="24"/>
        </w:rPr>
        <w:t>Public Hearing held at Chennai :</w:t>
      </w:r>
    </w:p>
    <w:p w:rsidR="007C5447" w:rsidRDefault="007C5447">
      <w:pPr>
        <w:pStyle w:val="BodyText"/>
        <w:spacing w:before="3"/>
        <w:rPr>
          <w:b/>
          <w:sz w:val="28"/>
        </w:rPr>
      </w:pPr>
    </w:p>
    <w:tbl>
      <w:tblPr>
        <w:tblW w:w="0" w:type="auto"/>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7996"/>
      </w:tblGrid>
      <w:tr w:rsidR="007C5447">
        <w:trPr>
          <w:trHeight w:val="681"/>
        </w:trPr>
        <w:tc>
          <w:tcPr>
            <w:tcW w:w="710" w:type="dxa"/>
          </w:tcPr>
          <w:p w:rsidR="007C5447" w:rsidRDefault="00F6308C">
            <w:pPr>
              <w:pStyle w:val="TableParagraph"/>
              <w:spacing w:before="23"/>
              <w:ind w:left="110"/>
              <w:jc w:val="left"/>
              <w:rPr>
                <w:b/>
                <w:sz w:val="24"/>
              </w:rPr>
            </w:pPr>
            <w:r>
              <w:rPr>
                <w:b/>
                <w:sz w:val="24"/>
              </w:rPr>
              <w:t>Sl.</w:t>
            </w:r>
          </w:p>
          <w:p w:rsidR="007C5447" w:rsidRDefault="00F6308C">
            <w:pPr>
              <w:pStyle w:val="TableParagraph"/>
              <w:spacing w:before="40"/>
              <w:ind w:left="110"/>
              <w:jc w:val="left"/>
              <w:rPr>
                <w:b/>
                <w:sz w:val="24"/>
              </w:rPr>
            </w:pPr>
            <w:r>
              <w:rPr>
                <w:b/>
                <w:sz w:val="24"/>
              </w:rPr>
              <w:t>No.</w:t>
            </w:r>
          </w:p>
        </w:tc>
        <w:tc>
          <w:tcPr>
            <w:tcW w:w="7996" w:type="dxa"/>
          </w:tcPr>
          <w:p w:rsidR="007C5447" w:rsidRDefault="00F6308C">
            <w:pPr>
              <w:pStyle w:val="TableParagraph"/>
              <w:spacing w:before="181"/>
              <w:ind w:left="108"/>
              <w:jc w:val="left"/>
              <w:rPr>
                <w:b/>
                <w:sz w:val="24"/>
              </w:rPr>
            </w:pPr>
            <w:r>
              <w:rPr>
                <w:b/>
                <w:sz w:val="24"/>
              </w:rPr>
              <w:t>Name and Address of the speakers</w:t>
            </w:r>
          </w:p>
        </w:tc>
      </w:tr>
      <w:tr w:rsidR="007C5447">
        <w:trPr>
          <w:trHeight w:val="952"/>
        </w:trPr>
        <w:tc>
          <w:tcPr>
            <w:tcW w:w="710" w:type="dxa"/>
          </w:tcPr>
          <w:p w:rsidR="007C5447" w:rsidRDefault="007C5447">
            <w:pPr>
              <w:pStyle w:val="TableParagraph"/>
              <w:spacing w:before="5"/>
              <w:jc w:val="left"/>
              <w:rPr>
                <w:b/>
                <w:sz w:val="27"/>
              </w:rPr>
            </w:pPr>
          </w:p>
          <w:p w:rsidR="007C5447" w:rsidRDefault="00F6308C">
            <w:pPr>
              <w:pStyle w:val="TableParagraph"/>
              <w:ind w:left="110"/>
              <w:jc w:val="left"/>
              <w:rPr>
                <w:sz w:val="24"/>
              </w:rPr>
            </w:pPr>
            <w:r>
              <w:rPr>
                <w:sz w:val="24"/>
              </w:rPr>
              <w:t>1</w:t>
            </w:r>
          </w:p>
        </w:tc>
        <w:tc>
          <w:tcPr>
            <w:tcW w:w="7996" w:type="dxa"/>
          </w:tcPr>
          <w:p w:rsidR="007C5447" w:rsidRDefault="00F6308C">
            <w:pPr>
              <w:pStyle w:val="TableParagraph"/>
              <w:spacing w:line="276" w:lineRule="auto"/>
              <w:ind w:left="108"/>
              <w:jc w:val="left"/>
              <w:rPr>
                <w:sz w:val="24"/>
              </w:rPr>
            </w:pPr>
            <w:r>
              <w:rPr>
                <w:sz w:val="24"/>
              </w:rPr>
              <w:t>Dr. A.C. Mohan,Secretary, Federation of Tamil Nadu Rice Mills owners &amp; Dealers Association, No.491, GNT Road, Balaji Nagar, Puzhal ,</w:t>
            </w:r>
          </w:p>
          <w:p w:rsidR="007C5447" w:rsidRDefault="00F6308C">
            <w:pPr>
              <w:pStyle w:val="TableParagraph"/>
              <w:spacing w:line="275" w:lineRule="exact"/>
              <w:ind w:left="108"/>
              <w:jc w:val="left"/>
              <w:rPr>
                <w:sz w:val="24"/>
              </w:rPr>
            </w:pPr>
            <w:r>
              <w:rPr>
                <w:sz w:val="24"/>
              </w:rPr>
              <w:t>Chennai 61.</w:t>
            </w:r>
          </w:p>
        </w:tc>
      </w:tr>
      <w:tr w:rsidR="007C5447">
        <w:trPr>
          <w:trHeight w:val="633"/>
        </w:trPr>
        <w:tc>
          <w:tcPr>
            <w:tcW w:w="710" w:type="dxa"/>
          </w:tcPr>
          <w:p w:rsidR="007C5447" w:rsidRDefault="00F6308C">
            <w:pPr>
              <w:pStyle w:val="TableParagraph"/>
              <w:spacing w:before="157"/>
              <w:ind w:left="110"/>
              <w:jc w:val="left"/>
              <w:rPr>
                <w:sz w:val="24"/>
              </w:rPr>
            </w:pPr>
            <w:r>
              <w:rPr>
                <w:sz w:val="24"/>
              </w:rPr>
              <w:t>2</w:t>
            </w:r>
          </w:p>
        </w:tc>
        <w:tc>
          <w:tcPr>
            <w:tcW w:w="7996" w:type="dxa"/>
          </w:tcPr>
          <w:p w:rsidR="007C5447" w:rsidRDefault="00F6308C">
            <w:pPr>
              <w:pStyle w:val="TableParagraph"/>
              <w:tabs>
                <w:tab w:val="left" w:pos="7524"/>
              </w:tabs>
              <w:spacing w:line="275" w:lineRule="exact"/>
              <w:ind w:left="108"/>
              <w:jc w:val="left"/>
              <w:rPr>
                <w:sz w:val="24"/>
              </w:rPr>
            </w:pPr>
            <w:r>
              <w:rPr>
                <w:sz w:val="24"/>
              </w:rPr>
              <w:t xml:space="preserve">Thiru. V.S. Kumaran, 5-2/4,  Lapoliare Street, </w:t>
            </w:r>
            <w:r>
              <w:rPr>
                <w:spacing w:val="7"/>
                <w:sz w:val="24"/>
              </w:rPr>
              <w:t xml:space="preserve"> </w:t>
            </w:r>
            <w:r>
              <w:rPr>
                <w:sz w:val="24"/>
              </w:rPr>
              <w:t>Soorakkalpattu,</w:t>
            </w:r>
            <w:r>
              <w:rPr>
                <w:spacing w:val="20"/>
                <w:sz w:val="24"/>
              </w:rPr>
              <w:t xml:space="preserve"> </w:t>
            </w:r>
            <w:r>
              <w:rPr>
                <w:sz w:val="24"/>
              </w:rPr>
              <w:t>Cuddalore</w:t>
            </w:r>
            <w:r>
              <w:rPr>
                <w:sz w:val="24"/>
              </w:rPr>
              <w:tab/>
              <w:t>607</w:t>
            </w:r>
          </w:p>
          <w:p w:rsidR="007C5447" w:rsidRDefault="00F6308C">
            <w:pPr>
              <w:pStyle w:val="TableParagraph"/>
              <w:spacing w:before="41"/>
              <w:ind w:left="108"/>
              <w:jc w:val="left"/>
              <w:rPr>
                <w:sz w:val="24"/>
              </w:rPr>
            </w:pPr>
            <w:r>
              <w:rPr>
                <w:sz w:val="24"/>
              </w:rPr>
              <w:t>001 (Tamil Nadu Consumer Organisation)</w:t>
            </w:r>
          </w:p>
        </w:tc>
      </w:tr>
      <w:tr w:rsidR="007C5447">
        <w:trPr>
          <w:trHeight w:val="636"/>
        </w:trPr>
        <w:tc>
          <w:tcPr>
            <w:tcW w:w="710" w:type="dxa"/>
          </w:tcPr>
          <w:p w:rsidR="007C5447" w:rsidRDefault="00F6308C">
            <w:pPr>
              <w:pStyle w:val="TableParagraph"/>
              <w:spacing w:before="160"/>
              <w:ind w:left="110"/>
              <w:jc w:val="left"/>
              <w:rPr>
                <w:sz w:val="24"/>
              </w:rPr>
            </w:pPr>
            <w:r>
              <w:rPr>
                <w:sz w:val="24"/>
              </w:rPr>
              <w:t>3</w:t>
            </w:r>
          </w:p>
        </w:tc>
        <w:tc>
          <w:tcPr>
            <w:tcW w:w="7996" w:type="dxa"/>
          </w:tcPr>
          <w:p w:rsidR="007C5447" w:rsidRDefault="00F6308C">
            <w:pPr>
              <w:pStyle w:val="TableParagraph"/>
              <w:spacing w:line="275" w:lineRule="exact"/>
              <w:ind w:left="108"/>
              <w:jc w:val="left"/>
              <w:rPr>
                <w:sz w:val="24"/>
              </w:rPr>
            </w:pPr>
            <w:r>
              <w:rPr>
                <w:sz w:val="24"/>
              </w:rPr>
              <w:t>Thiru. Thooyamurthy, Association of Transparency &amp; Anti corruption, No.2,</w:t>
            </w:r>
          </w:p>
          <w:p w:rsidR="007C5447" w:rsidRDefault="00F6308C">
            <w:pPr>
              <w:pStyle w:val="TableParagraph"/>
              <w:spacing w:before="44"/>
              <w:ind w:left="108"/>
              <w:jc w:val="left"/>
              <w:rPr>
                <w:sz w:val="24"/>
              </w:rPr>
            </w:pPr>
            <w:r>
              <w:rPr>
                <w:sz w:val="24"/>
              </w:rPr>
              <w:t>Alwar Nagar 1st Street, Ullagaram, Chennai 61</w:t>
            </w:r>
          </w:p>
        </w:tc>
      </w:tr>
      <w:tr w:rsidR="007C5447">
        <w:trPr>
          <w:trHeight w:val="635"/>
        </w:trPr>
        <w:tc>
          <w:tcPr>
            <w:tcW w:w="710" w:type="dxa"/>
          </w:tcPr>
          <w:p w:rsidR="007C5447" w:rsidRDefault="00F6308C">
            <w:pPr>
              <w:pStyle w:val="TableParagraph"/>
              <w:spacing w:before="157"/>
              <w:ind w:left="110"/>
              <w:jc w:val="left"/>
              <w:rPr>
                <w:sz w:val="24"/>
              </w:rPr>
            </w:pPr>
            <w:r>
              <w:rPr>
                <w:sz w:val="24"/>
              </w:rPr>
              <w:t>4</w:t>
            </w:r>
          </w:p>
        </w:tc>
        <w:tc>
          <w:tcPr>
            <w:tcW w:w="7996" w:type="dxa"/>
          </w:tcPr>
          <w:p w:rsidR="007C5447" w:rsidRDefault="00F6308C">
            <w:pPr>
              <w:pStyle w:val="TableParagraph"/>
              <w:spacing w:line="275" w:lineRule="exact"/>
              <w:ind w:left="108"/>
              <w:jc w:val="left"/>
              <w:rPr>
                <w:sz w:val="24"/>
              </w:rPr>
            </w:pPr>
            <w:r>
              <w:rPr>
                <w:sz w:val="24"/>
              </w:rPr>
              <w:t>Thiru. C. Selvaraj, Federation of Anti Corruption Teams India, No.2, Vyasar</w:t>
            </w:r>
          </w:p>
          <w:p w:rsidR="007C5447" w:rsidRDefault="00F6308C">
            <w:pPr>
              <w:pStyle w:val="TableParagraph"/>
              <w:spacing w:before="41"/>
              <w:ind w:left="108"/>
              <w:jc w:val="left"/>
              <w:rPr>
                <w:sz w:val="24"/>
              </w:rPr>
            </w:pPr>
            <w:r>
              <w:rPr>
                <w:sz w:val="24"/>
              </w:rPr>
              <w:t>Street, North Usman Road, T.Nagar, Chennai 17</w:t>
            </w:r>
          </w:p>
        </w:tc>
      </w:tr>
      <w:tr w:rsidR="007C5447">
        <w:trPr>
          <w:trHeight w:val="316"/>
        </w:trPr>
        <w:tc>
          <w:tcPr>
            <w:tcW w:w="710" w:type="dxa"/>
          </w:tcPr>
          <w:p w:rsidR="007C5447" w:rsidRDefault="00F6308C">
            <w:pPr>
              <w:pStyle w:val="TableParagraph"/>
              <w:spacing w:line="275" w:lineRule="exact"/>
              <w:ind w:left="110"/>
              <w:jc w:val="left"/>
              <w:rPr>
                <w:sz w:val="24"/>
              </w:rPr>
            </w:pPr>
            <w:r>
              <w:rPr>
                <w:sz w:val="24"/>
              </w:rPr>
              <w:t>5</w:t>
            </w:r>
          </w:p>
        </w:tc>
        <w:tc>
          <w:tcPr>
            <w:tcW w:w="7996" w:type="dxa"/>
          </w:tcPr>
          <w:p w:rsidR="007C5447" w:rsidRDefault="00F6308C">
            <w:pPr>
              <w:pStyle w:val="TableParagraph"/>
              <w:spacing w:line="275" w:lineRule="exact"/>
              <w:ind w:left="108"/>
              <w:jc w:val="left"/>
              <w:rPr>
                <w:sz w:val="24"/>
              </w:rPr>
            </w:pPr>
            <w:r>
              <w:rPr>
                <w:sz w:val="24"/>
              </w:rPr>
              <w:t>Thiru. S. Nagalsamy, 15A, P.T. Rajan Salai, K.K. Nagar, Chennai 78.</w:t>
            </w:r>
          </w:p>
        </w:tc>
      </w:tr>
      <w:tr w:rsidR="007C5447">
        <w:trPr>
          <w:trHeight w:val="635"/>
        </w:trPr>
        <w:tc>
          <w:tcPr>
            <w:tcW w:w="710" w:type="dxa"/>
          </w:tcPr>
          <w:p w:rsidR="007C5447" w:rsidRDefault="00F6308C">
            <w:pPr>
              <w:pStyle w:val="TableParagraph"/>
              <w:spacing w:before="157"/>
              <w:ind w:left="110"/>
              <w:jc w:val="left"/>
              <w:rPr>
                <w:sz w:val="24"/>
              </w:rPr>
            </w:pPr>
            <w:r>
              <w:rPr>
                <w:sz w:val="24"/>
              </w:rPr>
              <w:t>6</w:t>
            </w:r>
          </w:p>
        </w:tc>
        <w:tc>
          <w:tcPr>
            <w:tcW w:w="7996" w:type="dxa"/>
          </w:tcPr>
          <w:p w:rsidR="007C5447" w:rsidRDefault="00F6308C">
            <w:pPr>
              <w:pStyle w:val="TableParagraph"/>
              <w:spacing w:line="275" w:lineRule="exact"/>
              <w:ind w:left="108"/>
              <w:jc w:val="left"/>
              <w:rPr>
                <w:sz w:val="24"/>
              </w:rPr>
            </w:pPr>
            <w:r>
              <w:rPr>
                <w:sz w:val="24"/>
              </w:rPr>
              <w:t>Thiru. R. Sivakumar, Siva Sundar Consultant, Plot No.4 &amp; 4A, Kiruba</w:t>
            </w:r>
          </w:p>
          <w:p w:rsidR="007C5447" w:rsidRDefault="00F6308C">
            <w:pPr>
              <w:pStyle w:val="TableParagraph"/>
              <w:spacing w:before="41"/>
              <w:ind w:left="108"/>
              <w:jc w:val="left"/>
              <w:rPr>
                <w:sz w:val="24"/>
              </w:rPr>
            </w:pPr>
            <w:r>
              <w:rPr>
                <w:sz w:val="24"/>
              </w:rPr>
              <w:t>Nagar,(Via) Moorthy Nagar, Kathivedu, Chennai 66.</w:t>
            </w:r>
          </w:p>
        </w:tc>
      </w:tr>
      <w:tr w:rsidR="007C5447">
        <w:trPr>
          <w:trHeight w:val="633"/>
        </w:trPr>
        <w:tc>
          <w:tcPr>
            <w:tcW w:w="710" w:type="dxa"/>
          </w:tcPr>
          <w:p w:rsidR="007C5447" w:rsidRDefault="00F6308C">
            <w:pPr>
              <w:pStyle w:val="TableParagraph"/>
              <w:spacing w:before="157"/>
              <w:ind w:left="110"/>
              <w:jc w:val="left"/>
              <w:rPr>
                <w:sz w:val="24"/>
              </w:rPr>
            </w:pPr>
            <w:r>
              <w:rPr>
                <w:sz w:val="24"/>
              </w:rPr>
              <w:t>7</w:t>
            </w:r>
          </w:p>
        </w:tc>
        <w:tc>
          <w:tcPr>
            <w:tcW w:w="7996" w:type="dxa"/>
          </w:tcPr>
          <w:p w:rsidR="007C5447" w:rsidRDefault="00F6308C">
            <w:pPr>
              <w:pStyle w:val="TableParagraph"/>
              <w:spacing w:line="275" w:lineRule="exact"/>
              <w:ind w:left="108"/>
              <w:jc w:val="left"/>
              <w:rPr>
                <w:sz w:val="24"/>
              </w:rPr>
            </w:pPr>
            <w:r>
              <w:rPr>
                <w:sz w:val="24"/>
              </w:rPr>
              <w:t>Thiru. D. Rajendran, Secretary, Vandimedu House Owner Association,</w:t>
            </w:r>
          </w:p>
          <w:p w:rsidR="007C5447" w:rsidRDefault="00F6308C">
            <w:pPr>
              <w:pStyle w:val="TableParagraph"/>
              <w:spacing w:before="41"/>
              <w:ind w:left="108"/>
              <w:jc w:val="left"/>
              <w:rPr>
                <w:sz w:val="24"/>
              </w:rPr>
            </w:pPr>
            <w:r>
              <w:rPr>
                <w:sz w:val="24"/>
              </w:rPr>
              <w:t>56, Virattikuppam Pattai, Vandimedu, Villupuram 605 602.</w:t>
            </w:r>
          </w:p>
        </w:tc>
      </w:tr>
      <w:tr w:rsidR="007C5447">
        <w:trPr>
          <w:trHeight w:val="318"/>
        </w:trPr>
        <w:tc>
          <w:tcPr>
            <w:tcW w:w="710" w:type="dxa"/>
          </w:tcPr>
          <w:p w:rsidR="007C5447" w:rsidRDefault="00F6308C">
            <w:pPr>
              <w:pStyle w:val="TableParagraph"/>
              <w:spacing w:line="275" w:lineRule="exact"/>
              <w:ind w:left="110"/>
              <w:jc w:val="left"/>
              <w:rPr>
                <w:sz w:val="24"/>
              </w:rPr>
            </w:pPr>
            <w:r>
              <w:rPr>
                <w:sz w:val="24"/>
              </w:rPr>
              <w:t>8</w:t>
            </w:r>
          </w:p>
        </w:tc>
        <w:tc>
          <w:tcPr>
            <w:tcW w:w="7996" w:type="dxa"/>
          </w:tcPr>
          <w:p w:rsidR="007C5447" w:rsidRDefault="00F6308C">
            <w:pPr>
              <w:pStyle w:val="TableParagraph"/>
              <w:spacing w:line="275" w:lineRule="exact"/>
              <w:ind w:left="108"/>
              <w:jc w:val="left"/>
              <w:rPr>
                <w:sz w:val="24"/>
              </w:rPr>
            </w:pPr>
            <w:r>
              <w:rPr>
                <w:sz w:val="24"/>
              </w:rPr>
              <w:t>Thiru. K.N. Gunasekaran,No.3/34, Sothupakkam Salai, Red Hills, Chennai 92</w:t>
            </w:r>
          </w:p>
        </w:tc>
      </w:tr>
      <w:tr w:rsidR="007C5447">
        <w:trPr>
          <w:trHeight w:val="952"/>
        </w:trPr>
        <w:tc>
          <w:tcPr>
            <w:tcW w:w="710" w:type="dxa"/>
          </w:tcPr>
          <w:p w:rsidR="007C5447" w:rsidRDefault="007C5447">
            <w:pPr>
              <w:pStyle w:val="TableParagraph"/>
              <w:spacing w:before="5"/>
              <w:jc w:val="left"/>
              <w:rPr>
                <w:b/>
                <w:sz w:val="27"/>
              </w:rPr>
            </w:pPr>
          </w:p>
          <w:p w:rsidR="007C5447" w:rsidRDefault="00F6308C">
            <w:pPr>
              <w:pStyle w:val="TableParagraph"/>
              <w:ind w:left="110"/>
              <w:jc w:val="left"/>
              <w:rPr>
                <w:sz w:val="24"/>
              </w:rPr>
            </w:pPr>
            <w:r>
              <w:rPr>
                <w:sz w:val="24"/>
              </w:rPr>
              <w:t>9</w:t>
            </w:r>
          </w:p>
        </w:tc>
        <w:tc>
          <w:tcPr>
            <w:tcW w:w="7996" w:type="dxa"/>
          </w:tcPr>
          <w:p w:rsidR="007C5447" w:rsidRDefault="00F6308C">
            <w:pPr>
              <w:pStyle w:val="TableParagraph"/>
              <w:spacing w:line="276" w:lineRule="auto"/>
              <w:ind w:left="108"/>
              <w:jc w:val="left"/>
              <w:rPr>
                <w:sz w:val="24"/>
              </w:rPr>
            </w:pPr>
            <w:r>
              <w:rPr>
                <w:sz w:val="24"/>
              </w:rPr>
              <w:t>Thiru. K. Kalyanasundaram, General Secretary, Tamil Nadu Electricity Board (Engineers Union),No.29, Lal Bahadhur Shastri Street, Lakshmi Nagar,</w:t>
            </w:r>
          </w:p>
          <w:p w:rsidR="007C5447" w:rsidRDefault="00F6308C">
            <w:pPr>
              <w:pStyle w:val="TableParagraph"/>
              <w:spacing w:line="275" w:lineRule="exact"/>
              <w:ind w:left="108"/>
              <w:jc w:val="left"/>
              <w:rPr>
                <w:sz w:val="24"/>
              </w:rPr>
            </w:pPr>
            <w:r>
              <w:rPr>
                <w:sz w:val="24"/>
              </w:rPr>
              <w:t>Madhuravoyal , Chennai 95.</w:t>
            </w:r>
          </w:p>
        </w:tc>
      </w:tr>
      <w:tr w:rsidR="007C5447">
        <w:trPr>
          <w:trHeight w:val="316"/>
        </w:trPr>
        <w:tc>
          <w:tcPr>
            <w:tcW w:w="710" w:type="dxa"/>
          </w:tcPr>
          <w:p w:rsidR="007C5447" w:rsidRDefault="00F6308C">
            <w:pPr>
              <w:pStyle w:val="TableParagraph"/>
              <w:spacing w:line="275" w:lineRule="exact"/>
              <w:ind w:left="110"/>
              <w:jc w:val="left"/>
              <w:rPr>
                <w:sz w:val="24"/>
              </w:rPr>
            </w:pPr>
            <w:r>
              <w:rPr>
                <w:sz w:val="24"/>
              </w:rPr>
              <w:t>10</w:t>
            </w:r>
          </w:p>
        </w:tc>
        <w:tc>
          <w:tcPr>
            <w:tcW w:w="7996" w:type="dxa"/>
          </w:tcPr>
          <w:p w:rsidR="007C5447" w:rsidRDefault="00F6308C">
            <w:pPr>
              <w:pStyle w:val="TableParagraph"/>
              <w:spacing w:line="275" w:lineRule="exact"/>
              <w:ind w:left="108"/>
              <w:jc w:val="left"/>
              <w:rPr>
                <w:sz w:val="24"/>
              </w:rPr>
            </w:pPr>
            <w:r>
              <w:rPr>
                <w:sz w:val="24"/>
              </w:rPr>
              <w:t>Thiru. V. Ramarao, Peoples Awareness Association, Nanganallur, Chennai 61.</w:t>
            </w:r>
          </w:p>
        </w:tc>
      </w:tr>
      <w:tr w:rsidR="007C5447">
        <w:trPr>
          <w:trHeight w:val="635"/>
        </w:trPr>
        <w:tc>
          <w:tcPr>
            <w:tcW w:w="710" w:type="dxa"/>
          </w:tcPr>
          <w:p w:rsidR="007C5447" w:rsidRDefault="00F6308C">
            <w:pPr>
              <w:pStyle w:val="TableParagraph"/>
              <w:spacing w:before="157"/>
              <w:ind w:left="110"/>
              <w:jc w:val="left"/>
              <w:rPr>
                <w:sz w:val="24"/>
              </w:rPr>
            </w:pPr>
            <w:r>
              <w:rPr>
                <w:sz w:val="24"/>
              </w:rPr>
              <w:t>11</w:t>
            </w:r>
          </w:p>
        </w:tc>
        <w:tc>
          <w:tcPr>
            <w:tcW w:w="7996" w:type="dxa"/>
          </w:tcPr>
          <w:p w:rsidR="007C5447" w:rsidRDefault="00F6308C">
            <w:pPr>
              <w:pStyle w:val="TableParagraph"/>
              <w:spacing w:line="275" w:lineRule="exact"/>
              <w:ind w:left="108"/>
              <w:jc w:val="left"/>
              <w:rPr>
                <w:sz w:val="24"/>
              </w:rPr>
            </w:pPr>
            <w:r>
              <w:rPr>
                <w:sz w:val="24"/>
              </w:rPr>
              <w:t>Thiru. D. Eswaramoorthy, General Manager, Tulsiyan point, Apex plaza 6th</w:t>
            </w:r>
          </w:p>
          <w:p w:rsidR="007C5447" w:rsidRDefault="00F6308C">
            <w:pPr>
              <w:pStyle w:val="TableParagraph"/>
              <w:spacing w:before="41"/>
              <w:ind w:left="108"/>
              <w:jc w:val="left"/>
              <w:rPr>
                <w:sz w:val="24"/>
              </w:rPr>
            </w:pPr>
            <w:r>
              <w:rPr>
                <w:sz w:val="24"/>
              </w:rPr>
              <w:t>Floor, No.3, Nungambakkam High Road, Chennai - 34.</w:t>
            </w:r>
          </w:p>
        </w:tc>
      </w:tr>
      <w:tr w:rsidR="007C5447">
        <w:trPr>
          <w:trHeight w:val="633"/>
        </w:trPr>
        <w:tc>
          <w:tcPr>
            <w:tcW w:w="710" w:type="dxa"/>
          </w:tcPr>
          <w:p w:rsidR="007C5447" w:rsidRDefault="00F6308C">
            <w:pPr>
              <w:pStyle w:val="TableParagraph"/>
              <w:spacing w:before="157"/>
              <w:ind w:left="110"/>
              <w:jc w:val="left"/>
              <w:rPr>
                <w:sz w:val="24"/>
              </w:rPr>
            </w:pPr>
            <w:r>
              <w:rPr>
                <w:sz w:val="24"/>
              </w:rPr>
              <w:t>12</w:t>
            </w:r>
          </w:p>
        </w:tc>
        <w:tc>
          <w:tcPr>
            <w:tcW w:w="7996" w:type="dxa"/>
          </w:tcPr>
          <w:p w:rsidR="007C5447" w:rsidRDefault="00F6308C">
            <w:pPr>
              <w:pStyle w:val="TableParagraph"/>
              <w:spacing w:line="275" w:lineRule="exact"/>
              <w:ind w:left="108"/>
              <w:jc w:val="left"/>
              <w:rPr>
                <w:sz w:val="24"/>
              </w:rPr>
            </w:pPr>
            <w:r>
              <w:rPr>
                <w:sz w:val="24"/>
              </w:rPr>
              <w:t>Thiru. S. Gandhi, Power Engineers Society of Tamil Nadu, 45,</w:t>
            </w:r>
            <w:r>
              <w:rPr>
                <w:spacing w:val="58"/>
                <w:sz w:val="24"/>
              </w:rPr>
              <w:t xml:space="preserve"> </w:t>
            </w:r>
            <w:r>
              <w:rPr>
                <w:sz w:val="24"/>
              </w:rPr>
              <w:t>Balaguru</w:t>
            </w:r>
          </w:p>
          <w:p w:rsidR="007C5447" w:rsidRDefault="00F6308C">
            <w:pPr>
              <w:pStyle w:val="TableParagraph"/>
              <w:spacing w:before="41"/>
              <w:ind w:left="108"/>
              <w:jc w:val="left"/>
              <w:rPr>
                <w:sz w:val="24"/>
              </w:rPr>
            </w:pPr>
            <w:r>
              <w:rPr>
                <w:sz w:val="24"/>
              </w:rPr>
              <w:t>Garden, Peelamedu, Coimbatore 04.</w:t>
            </w:r>
          </w:p>
        </w:tc>
      </w:tr>
      <w:tr w:rsidR="007C5447">
        <w:trPr>
          <w:trHeight w:val="635"/>
        </w:trPr>
        <w:tc>
          <w:tcPr>
            <w:tcW w:w="710" w:type="dxa"/>
          </w:tcPr>
          <w:p w:rsidR="007C5447" w:rsidRDefault="00F6308C">
            <w:pPr>
              <w:pStyle w:val="TableParagraph"/>
              <w:spacing w:before="159"/>
              <w:ind w:left="110"/>
              <w:jc w:val="left"/>
              <w:rPr>
                <w:sz w:val="24"/>
              </w:rPr>
            </w:pPr>
            <w:r>
              <w:rPr>
                <w:sz w:val="24"/>
              </w:rPr>
              <w:t>13</w:t>
            </w:r>
          </w:p>
        </w:tc>
        <w:tc>
          <w:tcPr>
            <w:tcW w:w="7996" w:type="dxa"/>
          </w:tcPr>
          <w:p w:rsidR="007C5447" w:rsidRDefault="00F6308C">
            <w:pPr>
              <w:pStyle w:val="TableParagraph"/>
              <w:spacing w:line="275" w:lineRule="exact"/>
              <w:ind w:left="108"/>
              <w:jc w:val="left"/>
              <w:rPr>
                <w:sz w:val="24"/>
              </w:rPr>
            </w:pPr>
            <w:r>
              <w:rPr>
                <w:sz w:val="24"/>
              </w:rPr>
              <w:t>Thiru. A. Ponnambalam, Orient Green Power Company Ltd., Egmore, Chennai</w:t>
            </w:r>
          </w:p>
          <w:p w:rsidR="007C5447" w:rsidRDefault="00F6308C">
            <w:pPr>
              <w:pStyle w:val="TableParagraph"/>
              <w:spacing w:before="43"/>
              <w:ind w:left="108"/>
              <w:jc w:val="left"/>
              <w:rPr>
                <w:sz w:val="24"/>
              </w:rPr>
            </w:pPr>
            <w:r>
              <w:rPr>
                <w:sz w:val="24"/>
              </w:rPr>
              <w:t>8</w:t>
            </w:r>
          </w:p>
        </w:tc>
      </w:tr>
      <w:tr w:rsidR="007C5447">
        <w:trPr>
          <w:trHeight w:val="953"/>
        </w:trPr>
        <w:tc>
          <w:tcPr>
            <w:tcW w:w="710" w:type="dxa"/>
          </w:tcPr>
          <w:p w:rsidR="007C5447" w:rsidRDefault="007C5447">
            <w:pPr>
              <w:pStyle w:val="TableParagraph"/>
              <w:spacing w:before="5"/>
              <w:jc w:val="left"/>
              <w:rPr>
                <w:b/>
                <w:sz w:val="27"/>
              </w:rPr>
            </w:pPr>
          </w:p>
          <w:p w:rsidR="007C5447" w:rsidRDefault="00F6308C">
            <w:pPr>
              <w:pStyle w:val="TableParagraph"/>
              <w:ind w:left="110"/>
              <w:jc w:val="left"/>
              <w:rPr>
                <w:sz w:val="24"/>
              </w:rPr>
            </w:pPr>
            <w:r>
              <w:rPr>
                <w:sz w:val="24"/>
              </w:rPr>
              <w:t>14</w:t>
            </w:r>
          </w:p>
        </w:tc>
        <w:tc>
          <w:tcPr>
            <w:tcW w:w="7996" w:type="dxa"/>
          </w:tcPr>
          <w:p w:rsidR="007C5447" w:rsidRDefault="00F6308C">
            <w:pPr>
              <w:pStyle w:val="TableParagraph"/>
              <w:spacing w:line="276" w:lineRule="auto"/>
              <w:ind w:left="108" w:right="95"/>
              <w:jc w:val="left"/>
              <w:rPr>
                <w:sz w:val="24"/>
              </w:rPr>
            </w:pPr>
            <w:r>
              <w:rPr>
                <w:sz w:val="24"/>
              </w:rPr>
              <w:t>Thiru. Shakeel Ahmed, Assistant Manager - BD, IEX (Indian Energy Exchange), 4th Floor, Plot No.7, TDI Centre, District Centre, Jasola, New</w:t>
            </w:r>
            <w:r>
              <w:rPr>
                <w:spacing w:val="51"/>
                <w:sz w:val="24"/>
              </w:rPr>
              <w:t xml:space="preserve"> </w:t>
            </w:r>
            <w:r>
              <w:rPr>
                <w:sz w:val="24"/>
              </w:rPr>
              <w:t>Delhi</w:t>
            </w:r>
          </w:p>
          <w:p w:rsidR="007C5447" w:rsidRDefault="00F6308C">
            <w:pPr>
              <w:pStyle w:val="TableParagraph"/>
              <w:ind w:left="108"/>
              <w:jc w:val="left"/>
              <w:rPr>
                <w:sz w:val="24"/>
              </w:rPr>
            </w:pPr>
            <w:r>
              <w:rPr>
                <w:sz w:val="24"/>
              </w:rPr>
              <w:t>110 025.</w:t>
            </w:r>
          </w:p>
        </w:tc>
      </w:tr>
      <w:tr w:rsidR="007C5447">
        <w:trPr>
          <w:trHeight w:val="633"/>
        </w:trPr>
        <w:tc>
          <w:tcPr>
            <w:tcW w:w="710" w:type="dxa"/>
          </w:tcPr>
          <w:p w:rsidR="007C5447" w:rsidRDefault="00F6308C">
            <w:pPr>
              <w:pStyle w:val="TableParagraph"/>
              <w:spacing w:before="157"/>
              <w:ind w:left="110"/>
              <w:jc w:val="left"/>
              <w:rPr>
                <w:sz w:val="24"/>
              </w:rPr>
            </w:pPr>
            <w:r>
              <w:rPr>
                <w:sz w:val="24"/>
              </w:rPr>
              <w:t>15</w:t>
            </w:r>
          </w:p>
        </w:tc>
        <w:tc>
          <w:tcPr>
            <w:tcW w:w="7996" w:type="dxa"/>
          </w:tcPr>
          <w:p w:rsidR="007C5447" w:rsidRDefault="00F6308C">
            <w:pPr>
              <w:pStyle w:val="TableParagraph"/>
              <w:spacing w:line="275" w:lineRule="exact"/>
              <w:ind w:left="108"/>
              <w:jc w:val="left"/>
              <w:rPr>
                <w:sz w:val="24"/>
              </w:rPr>
            </w:pPr>
            <w:r>
              <w:rPr>
                <w:sz w:val="24"/>
              </w:rPr>
              <w:t>Thiru.V. Ravichandran, Founder Chairman, Citizens Guardians, New No.1, Old</w:t>
            </w:r>
          </w:p>
          <w:p w:rsidR="007C5447" w:rsidRDefault="00F6308C">
            <w:pPr>
              <w:pStyle w:val="TableParagraph"/>
              <w:spacing w:before="41"/>
              <w:ind w:left="108"/>
              <w:jc w:val="left"/>
              <w:rPr>
                <w:sz w:val="24"/>
              </w:rPr>
            </w:pPr>
            <w:r>
              <w:rPr>
                <w:sz w:val="24"/>
              </w:rPr>
              <w:t>No:2, Bank of India Colony, Near 8th Avenue, Ashok Nagar, Chennai – 83</w:t>
            </w:r>
          </w:p>
        </w:tc>
      </w:tr>
      <w:tr w:rsidR="007C5447">
        <w:trPr>
          <w:trHeight w:val="635"/>
        </w:trPr>
        <w:tc>
          <w:tcPr>
            <w:tcW w:w="710" w:type="dxa"/>
          </w:tcPr>
          <w:p w:rsidR="007C5447" w:rsidRDefault="00F6308C">
            <w:pPr>
              <w:pStyle w:val="TableParagraph"/>
              <w:spacing w:before="159"/>
              <w:ind w:left="110"/>
              <w:jc w:val="left"/>
              <w:rPr>
                <w:sz w:val="24"/>
              </w:rPr>
            </w:pPr>
            <w:r>
              <w:rPr>
                <w:sz w:val="24"/>
              </w:rPr>
              <w:t>16</w:t>
            </w:r>
          </w:p>
        </w:tc>
        <w:tc>
          <w:tcPr>
            <w:tcW w:w="7996" w:type="dxa"/>
          </w:tcPr>
          <w:p w:rsidR="007C5447" w:rsidRDefault="00F6308C">
            <w:pPr>
              <w:pStyle w:val="TableParagraph"/>
              <w:spacing w:before="1"/>
              <w:ind w:left="108"/>
              <w:jc w:val="left"/>
              <w:rPr>
                <w:sz w:val="24"/>
              </w:rPr>
            </w:pPr>
            <w:r>
              <w:rPr>
                <w:sz w:val="24"/>
              </w:rPr>
              <w:t>Thiru.B. Sivagami Sundaram, F3- Aiswaryam Apartments, Saravana</w:t>
            </w:r>
            <w:r>
              <w:rPr>
                <w:spacing w:val="59"/>
                <w:sz w:val="24"/>
              </w:rPr>
              <w:t xml:space="preserve"> </w:t>
            </w:r>
            <w:r>
              <w:rPr>
                <w:sz w:val="24"/>
              </w:rPr>
              <w:t>Bhava</w:t>
            </w:r>
          </w:p>
          <w:p w:rsidR="007C5447" w:rsidRDefault="00F6308C">
            <w:pPr>
              <w:pStyle w:val="TableParagraph"/>
              <w:spacing w:before="41"/>
              <w:ind w:left="108"/>
              <w:jc w:val="left"/>
              <w:rPr>
                <w:sz w:val="24"/>
              </w:rPr>
            </w:pPr>
            <w:r>
              <w:rPr>
                <w:sz w:val="24"/>
              </w:rPr>
              <w:t>Nagar, 3rd Cross Street, Mudichur Road, Chennai – 63</w:t>
            </w:r>
          </w:p>
        </w:tc>
      </w:tr>
      <w:tr w:rsidR="007C5447">
        <w:trPr>
          <w:trHeight w:val="635"/>
        </w:trPr>
        <w:tc>
          <w:tcPr>
            <w:tcW w:w="710" w:type="dxa"/>
          </w:tcPr>
          <w:p w:rsidR="007C5447" w:rsidRDefault="00F6308C">
            <w:pPr>
              <w:pStyle w:val="TableParagraph"/>
              <w:spacing w:before="157"/>
              <w:ind w:left="110"/>
              <w:jc w:val="left"/>
              <w:rPr>
                <w:sz w:val="24"/>
              </w:rPr>
            </w:pPr>
            <w:r>
              <w:rPr>
                <w:sz w:val="24"/>
              </w:rPr>
              <w:t>17</w:t>
            </w:r>
          </w:p>
        </w:tc>
        <w:tc>
          <w:tcPr>
            <w:tcW w:w="7996" w:type="dxa"/>
          </w:tcPr>
          <w:p w:rsidR="007C5447" w:rsidRDefault="00F6308C">
            <w:pPr>
              <w:pStyle w:val="TableParagraph"/>
              <w:spacing w:line="275" w:lineRule="exact"/>
              <w:ind w:left="108"/>
              <w:jc w:val="left"/>
              <w:rPr>
                <w:sz w:val="24"/>
              </w:rPr>
            </w:pPr>
            <w:r>
              <w:rPr>
                <w:sz w:val="24"/>
              </w:rPr>
              <w:t>Thiru.G.V. Nandha Kumar, 39, Subbiah Nagar, Iyyappanthangal,</w:t>
            </w:r>
          </w:p>
          <w:p w:rsidR="007C5447" w:rsidRDefault="00F6308C">
            <w:pPr>
              <w:pStyle w:val="TableParagraph"/>
              <w:spacing w:before="41"/>
              <w:ind w:left="108"/>
              <w:jc w:val="left"/>
              <w:rPr>
                <w:sz w:val="24"/>
              </w:rPr>
            </w:pPr>
            <w:r>
              <w:rPr>
                <w:sz w:val="24"/>
              </w:rPr>
              <w:t>Chennai – 56</w:t>
            </w:r>
          </w:p>
        </w:tc>
      </w:tr>
      <w:tr w:rsidR="007C5447">
        <w:trPr>
          <w:trHeight w:val="316"/>
        </w:trPr>
        <w:tc>
          <w:tcPr>
            <w:tcW w:w="710" w:type="dxa"/>
          </w:tcPr>
          <w:p w:rsidR="007C5447" w:rsidRDefault="00F6308C">
            <w:pPr>
              <w:pStyle w:val="TableParagraph"/>
              <w:spacing w:line="275" w:lineRule="exact"/>
              <w:ind w:left="110"/>
              <w:jc w:val="left"/>
              <w:rPr>
                <w:sz w:val="24"/>
              </w:rPr>
            </w:pPr>
            <w:r>
              <w:rPr>
                <w:sz w:val="24"/>
              </w:rPr>
              <w:t>18</w:t>
            </w:r>
          </w:p>
        </w:tc>
        <w:tc>
          <w:tcPr>
            <w:tcW w:w="7996" w:type="dxa"/>
          </w:tcPr>
          <w:p w:rsidR="007C5447" w:rsidRDefault="00F6308C">
            <w:pPr>
              <w:pStyle w:val="TableParagraph"/>
              <w:spacing w:line="275" w:lineRule="exact"/>
              <w:ind w:left="108"/>
              <w:jc w:val="left"/>
              <w:rPr>
                <w:sz w:val="24"/>
              </w:rPr>
            </w:pPr>
            <w:r>
              <w:rPr>
                <w:sz w:val="24"/>
              </w:rPr>
              <w:t>Thiru.S. Ragunathan, No.57, 2nd Cross Street, Brindhavan Nagar,</w:t>
            </w:r>
          </w:p>
        </w:tc>
      </w:tr>
    </w:tbl>
    <w:p w:rsidR="007C5447" w:rsidRDefault="007C5447">
      <w:pPr>
        <w:spacing w:line="275" w:lineRule="exact"/>
        <w:rPr>
          <w:sz w:val="24"/>
        </w:rPr>
        <w:sectPr w:rsidR="007C5447">
          <w:pgSz w:w="11910" w:h="16840"/>
          <w:pgMar w:top="1480" w:right="1300" w:bottom="960" w:left="1000" w:header="0" w:footer="777" w:gutter="0"/>
          <w:cols w:space="720"/>
        </w:sectPr>
      </w:pPr>
    </w:p>
    <w:tbl>
      <w:tblPr>
        <w:tblW w:w="0" w:type="auto"/>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7996"/>
      </w:tblGrid>
      <w:tr w:rsidR="007C5447">
        <w:trPr>
          <w:trHeight w:val="681"/>
        </w:trPr>
        <w:tc>
          <w:tcPr>
            <w:tcW w:w="710" w:type="dxa"/>
          </w:tcPr>
          <w:p w:rsidR="007C5447" w:rsidRDefault="00F6308C">
            <w:pPr>
              <w:pStyle w:val="TableParagraph"/>
              <w:spacing w:before="23"/>
              <w:ind w:left="110"/>
              <w:jc w:val="left"/>
              <w:rPr>
                <w:b/>
                <w:sz w:val="24"/>
              </w:rPr>
            </w:pPr>
            <w:r>
              <w:rPr>
                <w:b/>
                <w:sz w:val="24"/>
              </w:rPr>
              <w:lastRenderedPageBreak/>
              <w:t>Sl.</w:t>
            </w:r>
          </w:p>
          <w:p w:rsidR="007C5447" w:rsidRDefault="00F6308C">
            <w:pPr>
              <w:pStyle w:val="TableParagraph"/>
              <w:spacing w:before="41"/>
              <w:ind w:left="110"/>
              <w:jc w:val="left"/>
              <w:rPr>
                <w:b/>
                <w:sz w:val="24"/>
              </w:rPr>
            </w:pPr>
            <w:r>
              <w:rPr>
                <w:b/>
                <w:sz w:val="24"/>
              </w:rPr>
              <w:t>No.</w:t>
            </w:r>
          </w:p>
        </w:tc>
        <w:tc>
          <w:tcPr>
            <w:tcW w:w="7996" w:type="dxa"/>
          </w:tcPr>
          <w:p w:rsidR="007C5447" w:rsidRDefault="00F6308C">
            <w:pPr>
              <w:pStyle w:val="TableParagraph"/>
              <w:spacing w:before="181"/>
              <w:ind w:left="108"/>
              <w:jc w:val="left"/>
              <w:rPr>
                <w:b/>
                <w:sz w:val="24"/>
              </w:rPr>
            </w:pPr>
            <w:r>
              <w:rPr>
                <w:b/>
                <w:sz w:val="24"/>
              </w:rPr>
              <w:t>Name and Address of the speakers</w:t>
            </w:r>
          </w:p>
        </w:tc>
      </w:tr>
      <w:tr w:rsidR="007C5447">
        <w:trPr>
          <w:trHeight w:val="316"/>
        </w:trPr>
        <w:tc>
          <w:tcPr>
            <w:tcW w:w="710" w:type="dxa"/>
          </w:tcPr>
          <w:p w:rsidR="007C5447" w:rsidRDefault="007C5447">
            <w:pPr>
              <w:pStyle w:val="TableParagraph"/>
              <w:jc w:val="left"/>
              <w:rPr>
                <w:sz w:val="24"/>
              </w:rPr>
            </w:pPr>
          </w:p>
        </w:tc>
        <w:tc>
          <w:tcPr>
            <w:tcW w:w="7996" w:type="dxa"/>
          </w:tcPr>
          <w:p w:rsidR="007C5447" w:rsidRDefault="00F6308C">
            <w:pPr>
              <w:pStyle w:val="TableParagraph"/>
              <w:spacing w:line="275" w:lineRule="exact"/>
              <w:ind w:left="108"/>
              <w:jc w:val="left"/>
              <w:rPr>
                <w:sz w:val="24"/>
              </w:rPr>
            </w:pPr>
            <w:r>
              <w:rPr>
                <w:sz w:val="24"/>
              </w:rPr>
              <w:t>Valasaravakkam, Chennai -87</w:t>
            </w:r>
          </w:p>
        </w:tc>
      </w:tr>
      <w:tr w:rsidR="007C5447">
        <w:trPr>
          <w:trHeight w:val="318"/>
        </w:trPr>
        <w:tc>
          <w:tcPr>
            <w:tcW w:w="710" w:type="dxa"/>
          </w:tcPr>
          <w:p w:rsidR="007C5447" w:rsidRDefault="00F6308C">
            <w:pPr>
              <w:pStyle w:val="TableParagraph"/>
              <w:spacing w:line="275" w:lineRule="exact"/>
              <w:ind w:left="110"/>
              <w:jc w:val="left"/>
              <w:rPr>
                <w:sz w:val="24"/>
              </w:rPr>
            </w:pPr>
            <w:r>
              <w:rPr>
                <w:sz w:val="24"/>
              </w:rPr>
              <w:t>19</w:t>
            </w:r>
          </w:p>
        </w:tc>
        <w:tc>
          <w:tcPr>
            <w:tcW w:w="7996" w:type="dxa"/>
          </w:tcPr>
          <w:p w:rsidR="007C5447" w:rsidRDefault="00F6308C">
            <w:pPr>
              <w:pStyle w:val="TableParagraph"/>
              <w:spacing w:line="275" w:lineRule="exact"/>
              <w:ind w:left="108"/>
              <w:jc w:val="left"/>
              <w:rPr>
                <w:sz w:val="24"/>
              </w:rPr>
            </w:pPr>
            <w:r>
              <w:rPr>
                <w:sz w:val="24"/>
              </w:rPr>
              <w:t>Thiru.Anbu , The Pensioners</w:t>
            </w:r>
            <w:r>
              <w:rPr>
                <w:spacing w:val="57"/>
                <w:sz w:val="24"/>
              </w:rPr>
              <w:t xml:space="preserve"> </w:t>
            </w:r>
            <w:r>
              <w:rPr>
                <w:sz w:val="24"/>
              </w:rPr>
              <w:t>Association</w:t>
            </w:r>
          </w:p>
        </w:tc>
      </w:tr>
      <w:tr w:rsidR="007C5447">
        <w:trPr>
          <w:trHeight w:val="633"/>
        </w:trPr>
        <w:tc>
          <w:tcPr>
            <w:tcW w:w="710" w:type="dxa"/>
          </w:tcPr>
          <w:p w:rsidR="007C5447" w:rsidRDefault="00F6308C">
            <w:pPr>
              <w:pStyle w:val="TableParagraph"/>
              <w:spacing w:before="157"/>
              <w:ind w:left="110"/>
              <w:jc w:val="left"/>
              <w:rPr>
                <w:sz w:val="24"/>
              </w:rPr>
            </w:pPr>
            <w:r>
              <w:rPr>
                <w:sz w:val="24"/>
              </w:rPr>
              <w:t>20</w:t>
            </w:r>
          </w:p>
        </w:tc>
        <w:tc>
          <w:tcPr>
            <w:tcW w:w="7996" w:type="dxa"/>
          </w:tcPr>
          <w:p w:rsidR="007C5447" w:rsidRDefault="00F6308C">
            <w:pPr>
              <w:pStyle w:val="TableParagraph"/>
              <w:spacing w:line="275" w:lineRule="exact"/>
              <w:ind w:left="108"/>
              <w:jc w:val="left"/>
              <w:rPr>
                <w:sz w:val="24"/>
              </w:rPr>
            </w:pPr>
            <w:r>
              <w:rPr>
                <w:sz w:val="24"/>
              </w:rPr>
              <w:t>Thiru. T.R. Srinivasan, Old No.16/2 New No.41/2, Srinivasan Iyyar Street,</w:t>
            </w:r>
          </w:p>
          <w:p w:rsidR="007C5447" w:rsidRDefault="00F6308C">
            <w:pPr>
              <w:pStyle w:val="TableParagraph"/>
              <w:spacing w:before="41"/>
              <w:ind w:left="108"/>
              <w:jc w:val="left"/>
              <w:rPr>
                <w:sz w:val="24"/>
              </w:rPr>
            </w:pPr>
            <w:r>
              <w:rPr>
                <w:sz w:val="24"/>
              </w:rPr>
              <w:t>West Mambalam, Chennai 33</w:t>
            </w:r>
          </w:p>
        </w:tc>
      </w:tr>
      <w:tr w:rsidR="007C5447">
        <w:trPr>
          <w:trHeight w:val="635"/>
        </w:trPr>
        <w:tc>
          <w:tcPr>
            <w:tcW w:w="710" w:type="dxa"/>
          </w:tcPr>
          <w:p w:rsidR="007C5447" w:rsidRDefault="00F6308C">
            <w:pPr>
              <w:pStyle w:val="TableParagraph"/>
              <w:spacing w:before="159"/>
              <w:ind w:left="110"/>
              <w:jc w:val="left"/>
              <w:rPr>
                <w:sz w:val="24"/>
              </w:rPr>
            </w:pPr>
            <w:r>
              <w:rPr>
                <w:sz w:val="24"/>
              </w:rPr>
              <w:t>21</w:t>
            </w:r>
          </w:p>
        </w:tc>
        <w:tc>
          <w:tcPr>
            <w:tcW w:w="7996" w:type="dxa"/>
          </w:tcPr>
          <w:p w:rsidR="007C5447" w:rsidRDefault="00F6308C">
            <w:pPr>
              <w:pStyle w:val="TableParagraph"/>
              <w:spacing w:before="1"/>
              <w:ind w:left="108"/>
              <w:jc w:val="left"/>
              <w:rPr>
                <w:sz w:val="24"/>
              </w:rPr>
            </w:pPr>
            <w:r>
              <w:rPr>
                <w:sz w:val="24"/>
              </w:rPr>
              <w:t>Thiru.K.Vishnu Mohan Rao, Citizen consumer and civic Action Group, 9/5, 2nd</w:t>
            </w:r>
          </w:p>
          <w:p w:rsidR="007C5447" w:rsidRDefault="00F6308C">
            <w:pPr>
              <w:pStyle w:val="TableParagraph"/>
              <w:spacing w:before="41"/>
              <w:ind w:left="108"/>
              <w:jc w:val="left"/>
              <w:rPr>
                <w:sz w:val="24"/>
              </w:rPr>
            </w:pPr>
            <w:r>
              <w:rPr>
                <w:sz w:val="24"/>
              </w:rPr>
              <w:t>Street, Padmanabha Nagar, Adyar, Chennai – 600 020.</w:t>
            </w:r>
          </w:p>
        </w:tc>
      </w:tr>
    </w:tbl>
    <w:p w:rsidR="007C5447" w:rsidRDefault="007C5447">
      <w:pPr>
        <w:pStyle w:val="BodyText"/>
        <w:rPr>
          <w:b/>
          <w:sz w:val="20"/>
        </w:rPr>
      </w:pPr>
    </w:p>
    <w:p w:rsidR="007C5447" w:rsidRDefault="007C5447">
      <w:pPr>
        <w:pStyle w:val="BodyText"/>
        <w:rPr>
          <w:b/>
          <w:sz w:val="20"/>
        </w:rPr>
      </w:pPr>
    </w:p>
    <w:p w:rsidR="007C5447" w:rsidRDefault="007C5447">
      <w:pPr>
        <w:pStyle w:val="BodyText"/>
        <w:spacing w:before="6"/>
        <w:rPr>
          <w:b/>
          <w:sz w:val="22"/>
        </w:rPr>
      </w:pPr>
    </w:p>
    <w:p w:rsidR="007C5447" w:rsidRDefault="00F6308C">
      <w:pPr>
        <w:ind w:left="853"/>
        <w:rPr>
          <w:b/>
          <w:sz w:val="24"/>
        </w:rPr>
      </w:pPr>
      <w:r>
        <w:rPr>
          <w:b/>
          <w:sz w:val="24"/>
        </w:rPr>
        <w:t>List of participants in the Public Hearing held at Madurai :</w:t>
      </w:r>
    </w:p>
    <w:p w:rsidR="007C5447" w:rsidRDefault="007C5447">
      <w:pPr>
        <w:pStyle w:val="BodyText"/>
        <w:spacing w:before="1"/>
        <w:rPr>
          <w:b/>
          <w:sz w:val="28"/>
        </w:rPr>
      </w:pPr>
    </w:p>
    <w:tbl>
      <w:tblPr>
        <w:tblW w:w="0" w:type="auto"/>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7861"/>
      </w:tblGrid>
      <w:tr w:rsidR="007C5447">
        <w:trPr>
          <w:trHeight w:val="635"/>
        </w:trPr>
        <w:tc>
          <w:tcPr>
            <w:tcW w:w="710" w:type="dxa"/>
          </w:tcPr>
          <w:p w:rsidR="007C5447" w:rsidRDefault="00F6308C">
            <w:pPr>
              <w:pStyle w:val="TableParagraph"/>
              <w:spacing w:line="275" w:lineRule="exact"/>
              <w:ind w:left="110"/>
              <w:jc w:val="left"/>
              <w:rPr>
                <w:b/>
                <w:sz w:val="24"/>
              </w:rPr>
            </w:pPr>
            <w:r>
              <w:rPr>
                <w:b/>
                <w:sz w:val="24"/>
              </w:rPr>
              <w:t>Sl.</w:t>
            </w:r>
          </w:p>
          <w:p w:rsidR="007C5447" w:rsidRDefault="00F6308C">
            <w:pPr>
              <w:pStyle w:val="TableParagraph"/>
              <w:spacing w:before="43"/>
              <w:ind w:left="110"/>
              <w:jc w:val="left"/>
              <w:rPr>
                <w:b/>
                <w:sz w:val="24"/>
              </w:rPr>
            </w:pPr>
            <w:r>
              <w:rPr>
                <w:b/>
                <w:sz w:val="24"/>
              </w:rPr>
              <w:t>No.</w:t>
            </w:r>
          </w:p>
        </w:tc>
        <w:tc>
          <w:tcPr>
            <w:tcW w:w="7861" w:type="dxa"/>
          </w:tcPr>
          <w:p w:rsidR="007C5447" w:rsidRDefault="00F6308C">
            <w:pPr>
              <w:pStyle w:val="TableParagraph"/>
              <w:spacing w:before="157"/>
              <w:ind w:left="108"/>
              <w:jc w:val="left"/>
              <w:rPr>
                <w:b/>
                <w:sz w:val="24"/>
              </w:rPr>
            </w:pPr>
            <w:r>
              <w:rPr>
                <w:b/>
                <w:sz w:val="24"/>
              </w:rPr>
              <w:t>Name and Address of the speakers</w:t>
            </w:r>
          </w:p>
        </w:tc>
      </w:tr>
      <w:tr w:rsidR="007C5447">
        <w:trPr>
          <w:trHeight w:val="633"/>
        </w:trPr>
        <w:tc>
          <w:tcPr>
            <w:tcW w:w="710" w:type="dxa"/>
          </w:tcPr>
          <w:p w:rsidR="007C5447" w:rsidRDefault="00F6308C">
            <w:pPr>
              <w:pStyle w:val="TableParagraph"/>
              <w:spacing w:line="275" w:lineRule="exact"/>
              <w:ind w:left="110"/>
              <w:jc w:val="left"/>
              <w:rPr>
                <w:sz w:val="24"/>
              </w:rPr>
            </w:pPr>
            <w:r>
              <w:rPr>
                <w:sz w:val="24"/>
              </w:rPr>
              <w:t>1.</w:t>
            </w:r>
          </w:p>
        </w:tc>
        <w:tc>
          <w:tcPr>
            <w:tcW w:w="7861" w:type="dxa"/>
          </w:tcPr>
          <w:p w:rsidR="007C5447" w:rsidRDefault="00F6308C">
            <w:pPr>
              <w:pStyle w:val="TableParagraph"/>
              <w:spacing w:line="275" w:lineRule="exact"/>
              <w:ind w:left="108"/>
              <w:jc w:val="left"/>
              <w:rPr>
                <w:sz w:val="24"/>
              </w:rPr>
            </w:pPr>
            <w:r>
              <w:rPr>
                <w:sz w:val="24"/>
              </w:rPr>
              <w:t>Thiru.,R.Kathiresan, State Chairman, Tamil Nadu Fish Farmers Welfare</w:t>
            </w:r>
          </w:p>
          <w:p w:rsidR="007C5447" w:rsidRDefault="00F6308C">
            <w:pPr>
              <w:pStyle w:val="TableParagraph"/>
              <w:spacing w:before="41"/>
              <w:ind w:left="108"/>
              <w:jc w:val="left"/>
              <w:rPr>
                <w:sz w:val="24"/>
              </w:rPr>
            </w:pPr>
            <w:r>
              <w:rPr>
                <w:sz w:val="24"/>
              </w:rPr>
              <w:t>Association, No. 32 Sunnampukara Street, Orathanadu, Thanjavur – 614625.</w:t>
            </w:r>
          </w:p>
        </w:tc>
      </w:tr>
      <w:tr w:rsidR="007C5447">
        <w:trPr>
          <w:trHeight w:val="635"/>
        </w:trPr>
        <w:tc>
          <w:tcPr>
            <w:tcW w:w="710" w:type="dxa"/>
          </w:tcPr>
          <w:p w:rsidR="007C5447" w:rsidRDefault="00F6308C">
            <w:pPr>
              <w:pStyle w:val="TableParagraph"/>
              <w:spacing w:before="1"/>
              <w:ind w:left="110"/>
              <w:jc w:val="left"/>
              <w:rPr>
                <w:sz w:val="24"/>
              </w:rPr>
            </w:pPr>
            <w:r>
              <w:rPr>
                <w:sz w:val="24"/>
              </w:rPr>
              <w:t>2.</w:t>
            </w:r>
          </w:p>
        </w:tc>
        <w:tc>
          <w:tcPr>
            <w:tcW w:w="7861" w:type="dxa"/>
          </w:tcPr>
          <w:p w:rsidR="007C5447" w:rsidRDefault="00F6308C">
            <w:pPr>
              <w:pStyle w:val="TableParagraph"/>
              <w:spacing w:before="1"/>
              <w:ind w:left="108"/>
              <w:jc w:val="left"/>
              <w:rPr>
                <w:sz w:val="24"/>
              </w:rPr>
            </w:pPr>
            <w:r>
              <w:rPr>
                <w:sz w:val="24"/>
              </w:rPr>
              <w:t>Thiru. Maanal Paramasivam, Joint Secretary, Tamil Nadu Fish Farmers</w:t>
            </w:r>
          </w:p>
          <w:p w:rsidR="007C5447" w:rsidRDefault="00F6308C">
            <w:pPr>
              <w:pStyle w:val="TableParagraph"/>
              <w:spacing w:before="41"/>
              <w:ind w:left="108"/>
              <w:jc w:val="left"/>
              <w:rPr>
                <w:sz w:val="24"/>
              </w:rPr>
            </w:pPr>
            <w:r>
              <w:rPr>
                <w:sz w:val="24"/>
              </w:rPr>
              <w:t>Welfare Association, Oranthanadu, Pudur, Thanjavur.</w:t>
            </w:r>
          </w:p>
        </w:tc>
      </w:tr>
      <w:tr w:rsidR="007C5447">
        <w:trPr>
          <w:trHeight w:val="635"/>
        </w:trPr>
        <w:tc>
          <w:tcPr>
            <w:tcW w:w="710" w:type="dxa"/>
          </w:tcPr>
          <w:p w:rsidR="007C5447" w:rsidRDefault="00F6308C">
            <w:pPr>
              <w:pStyle w:val="TableParagraph"/>
              <w:spacing w:line="275" w:lineRule="exact"/>
              <w:ind w:left="110"/>
              <w:jc w:val="left"/>
              <w:rPr>
                <w:sz w:val="24"/>
              </w:rPr>
            </w:pPr>
            <w:r>
              <w:rPr>
                <w:sz w:val="24"/>
              </w:rPr>
              <w:t>3.</w:t>
            </w:r>
          </w:p>
        </w:tc>
        <w:tc>
          <w:tcPr>
            <w:tcW w:w="7861" w:type="dxa"/>
          </w:tcPr>
          <w:p w:rsidR="007C5447" w:rsidRDefault="00F6308C">
            <w:pPr>
              <w:pStyle w:val="TableParagraph"/>
              <w:spacing w:line="275" w:lineRule="exact"/>
              <w:ind w:left="108"/>
              <w:jc w:val="left"/>
              <w:rPr>
                <w:sz w:val="24"/>
              </w:rPr>
            </w:pPr>
            <w:r>
              <w:rPr>
                <w:sz w:val="24"/>
              </w:rPr>
              <w:t>Thiru. Dinesh Singh, Executive Member, Tamil Nadu Rice Mill Owners</w:t>
            </w:r>
          </w:p>
          <w:p w:rsidR="007C5447" w:rsidRDefault="00F6308C">
            <w:pPr>
              <w:pStyle w:val="TableParagraph"/>
              <w:spacing w:before="41"/>
              <w:ind w:left="108"/>
              <w:jc w:val="left"/>
              <w:rPr>
                <w:sz w:val="24"/>
              </w:rPr>
            </w:pPr>
            <w:r>
              <w:rPr>
                <w:sz w:val="24"/>
              </w:rPr>
              <w:t>Association, Madurai.</w:t>
            </w:r>
          </w:p>
        </w:tc>
      </w:tr>
      <w:tr w:rsidR="007C5447">
        <w:trPr>
          <w:trHeight w:val="633"/>
        </w:trPr>
        <w:tc>
          <w:tcPr>
            <w:tcW w:w="710" w:type="dxa"/>
          </w:tcPr>
          <w:p w:rsidR="007C5447" w:rsidRDefault="00F6308C">
            <w:pPr>
              <w:pStyle w:val="TableParagraph"/>
              <w:spacing w:line="275" w:lineRule="exact"/>
              <w:ind w:left="110"/>
              <w:jc w:val="left"/>
              <w:rPr>
                <w:sz w:val="24"/>
              </w:rPr>
            </w:pPr>
            <w:r>
              <w:rPr>
                <w:sz w:val="24"/>
              </w:rPr>
              <w:t>4.</w:t>
            </w:r>
          </w:p>
        </w:tc>
        <w:tc>
          <w:tcPr>
            <w:tcW w:w="7861" w:type="dxa"/>
          </w:tcPr>
          <w:p w:rsidR="007C5447" w:rsidRDefault="00F6308C">
            <w:pPr>
              <w:pStyle w:val="TableParagraph"/>
              <w:spacing w:line="275" w:lineRule="exact"/>
              <w:ind w:left="108"/>
              <w:jc w:val="left"/>
              <w:rPr>
                <w:sz w:val="24"/>
              </w:rPr>
            </w:pPr>
            <w:r>
              <w:rPr>
                <w:sz w:val="24"/>
              </w:rPr>
              <w:t>Thiru.M.Gunasekar, Proprietor, MSG Modern Rice Mill, MSG Agencies, 82</w:t>
            </w:r>
          </w:p>
          <w:p w:rsidR="007C5447" w:rsidRDefault="00F6308C">
            <w:pPr>
              <w:pStyle w:val="TableParagraph"/>
              <w:spacing w:before="41"/>
              <w:ind w:left="108"/>
              <w:jc w:val="left"/>
              <w:rPr>
                <w:sz w:val="24"/>
              </w:rPr>
            </w:pPr>
            <w:r>
              <w:rPr>
                <w:sz w:val="24"/>
              </w:rPr>
              <w:t>Koogaiyur Road, Chinnasalem - 606 201.</w:t>
            </w:r>
          </w:p>
        </w:tc>
      </w:tr>
      <w:tr w:rsidR="007C5447">
        <w:trPr>
          <w:trHeight w:val="636"/>
        </w:trPr>
        <w:tc>
          <w:tcPr>
            <w:tcW w:w="710" w:type="dxa"/>
          </w:tcPr>
          <w:p w:rsidR="007C5447" w:rsidRDefault="00F6308C">
            <w:pPr>
              <w:pStyle w:val="TableParagraph"/>
              <w:spacing w:before="1"/>
              <w:ind w:left="110"/>
              <w:jc w:val="left"/>
              <w:rPr>
                <w:sz w:val="24"/>
              </w:rPr>
            </w:pPr>
            <w:r>
              <w:rPr>
                <w:sz w:val="24"/>
              </w:rPr>
              <w:t>5.</w:t>
            </w:r>
          </w:p>
        </w:tc>
        <w:tc>
          <w:tcPr>
            <w:tcW w:w="7861" w:type="dxa"/>
          </w:tcPr>
          <w:p w:rsidR="007C5447" w:rsidRDefault="00F6308C">
            <w:pPr>
              <w:pStyle w:val="TableParagraph"/>
              <w:spacing w:before="1"/>
              <w:ind w:left="108"/>
              <w:jc w:val="left"/>
              <w:rPr>
                <w:sz w:val="24"/>
              </w:rPr>
            </w:pPr>
            <w:r>
              <w:rPr>
                <w:sz w:val="24"/>
              </w:rPr>
              <w:t>Thiru.M.Rajendran, Sri Saravana Hitech Agro Foods, Chinnasalem,</w:t>
            </w:r>
          </w:p>
          <w:p w:rsidR="007C5447" w:rsidRDefault="00F6308C">
            <w:pPr>
              <w:pStyle w:val="TableParagraph"/>
              <w:spacing w:before="41"/>
              <w:ind w:left="108"/>
              <w:jc w:val="left"/>
              <w:rPr>
                <w:sz w:val="24"/>
              </w:rPr>
            </w:pPr>
            <w:r>
              <w:rPr>
                <w:sz w:val="24"/>
              </w:rPr>
              <w:t>Villupuram District.</w:t>
            </w:r>
          </w:p>
        </w:tc>
      </w:tr>
      <w:tr w:rsidR="007C5447">
        <w:trPr>
          <w:trHeight w:val="635"/>
        </w:trPr>
        <w:tc>
          <w:tcPr>
            <w:tcW w:w="710" w:type="dxa"/>
          </w:tcPr>
          <w:p w:rsidR="007C5447" w:rsidRDefault="00F6308C">
            <w:pPr>
              <w:pStyle w:val="TableParagraph"/>
              <w:spacing w:line="275" w:lineRule="exact"/>
              <w:ind w:left="110"/>
              <w:jc w:val="left"/>
              <w:rPr>
                <w:sz w:val="24"/>
              </w:rPr>
            </w:pPr>
            <w:r>
              <w:rPr>
                <w:sz w:val="24"/>
              </w:rPr>
              <w:t>6.</w:t>
            </w:r>
          </w:p>
        </w:tc>
        <w:tc>
          <w:tcPr>
            <w:tcW w:w="7861" w:type="dxa"/>
          </w:tcPr>
          <w:p w:rsidR="007C5447" w:rsidRDefault="00F6308C">
            <w:pPr>
              <w:pStyle w:val="TableParagraph"/>
              <w:spacing w:line="275" w:lineRule="exact"/>
              <w:ind w:left="108"/>
              <w:jc w:val="left"/>
              <w:rPr>
                <w:sz w:val="24"/>
              </w:rPr>
            </w:pPr>
            <w:r>
              <w:rPr>
                <w:sz w:val="24"/>
              </w:rPr>
              <w:t>Thiru. S.K.R. Ramesh, President, Madurai Screen Printers Association,</w:t>
            </w:r>
          </w:p>
          <w:p w:rsidR="007C5447" w:rsidRDefault="00F6308C">
            <w:pPr>
              <w:pStyle w:val="TableParagraph"/>
              <w:spacing w:before="41"/>
              <w:ind w:left="108"/>
              <w:jc w:val="left"/>
              <w:rPr>
                <w:sz w:val="24"/>
              </w:rPr>
            </w:pPr>
            <w:r>
              <w:rPr>
                <w:sz w:val="24"/>
              </w:rPr>
              <w:t>Madurai.</w:t>
            </w:r>
          </w:p>
        </w:tc>
      </w:tr>
      <w:tr w:rsidR="007C5447">
        <w:trPr>
          <w:trHeight w:val="316"/>
        </w:trPr>
        <w:tc>
          <w:tcPr>
            <w:tcW w:w="710" w:type="dxa"/>
          </w:tcPr>
          <w:p w:rsidR="007C5447" w:rsidRDefault="00F6308C">
            <w:pPr>
              <w:pStyle w:val="TableParagraph"/>
              <w:spacing w:line="275" w:lineRule="exact"/>
              <w:ind w:left="110"/>
              <w:jc w:val="left"/>
              <w:rPr>
                <w:sz w:val="24"/>
              </w:rPr>
            </w:pPr>
            <w:r>
              <w:rPr>
                <w:sz w:val="24"/>
              </w:rPr>
              <w:t>7.</w:t>
            </w:r>
          </w:p>
        </w:tc>
        <w:tc>
          <w:tcPr>
            <w:tcW w:w="7861" w:type="dxa"/>
          </w:tcPr>
          <w:p w:rsidR="007C5447" w:rsidRDefault="00F6308C">
            <w:pPr>
              <w:pStyle w:val="TableParagraph"/>
              <w:spacing w:line="275" w:lineRule="exact"/>
              <w:ind w:left="108"/>
              <w:jc w:val="left"/>
              <w:rPr>
                <w:sz w:val="24"/>
              </w:rPr>
            </w:pPr>
            <w:r>
              <w:rPr>
                <w:sz w:val="24"/>
              </w:rPr>
              <w:t>Thiru. Pichaiah (Fish Farmer), Kallidaikurichi, Tirunelveli District – 627 416.</w:t>
            </w:r>
          </w:p>
        </w:tc>
      </w:tr>
      <w:tr w:rsidR="007C5447">
        <w:trPr>
          <w:trHeight w:val="635"/>
        </w:trPr>
        <w:tc>
          <w:tcPr>
            <w:tcW w:w="710" w:type="dxa"/>
          </w:tcPr>
          <w:p w:rsidR="007C5447" w:rsidRDefault="00F6308C">
            <w:pPr>
              <w:pStyle w:val="TableParagraph"/>
              <w:spacing w:line="275" w:lineRule="exact"/>
              <w:ind w:left="110"/>
              <w:jc w:val="left"/>
              <w:rPr>
                <w:sz w:val="24"/>
              </w:rPr>
            </w:pPr>
            <w:r>
              <w:rPr>
                <w:sz w:val="24"/>
              </w:rPr>
              <w:t>8.</w:t>
            </w:r>
          </w:p>
        </w:tc>
        <w:tc>
          <w:tcPr>
            <w:tcW w:w="7861" w:type="dxa"/>
          </w:tcPr>
          <w:p w:rsidR="007C5447" w:rsidRDefault="00F6308C">
            <w:pPr>
              <w:pStyle w:val="TableParagraph"/>
              <w:spacing w:line="275" w:lineRule="exact"/>
              <w:ind w:left="108"/>
              <w:jc w:val="left"/>
              <w:rPr>
                <w:sz w:val="24"/>
              </w:rPr>
            </w:pPr>
            <w:r>
              <w:rPr>
                <w:sz w:val="24"/>
              </w:rPr>
              <w:t>Thiru. R. Kumaresan, (Retd. Chief Engineer),Proprietor, Ranga Blue Metals,</w:t>
            </w:r>
          </w:p>
          <w:p w:rsidR="007C5447" w:rsidRDefault="00F6308C">
            <w:pPr>
              <w:pStyle w:val="TableParagraph"/>
              <w:spacing w:before="41"/>
              <w:ind w:left="108"/>
              <w:jc w:val="left"/>
              <w:rPr>
                <w:sz w:val="24"/>
              </w:rPr>
            </w:pPr>
            <w:r>
              <w:rPr>
                <w:sz w:val="24"/>
              </w:rPr>
              <w:t>Thendral Nagar, Theni.</w:t>
            </w:r>
          </w:p>
        </w:tc>
      </w:tr>
      <w:tr w:rsidR="007C5447">
        <w:trPr>
          <w:trHeight w:val="633"/>
        </w:trPr>
        <w:tc>
          <w:tcPr>
            <w:tcW w:w="710" w:type="dxa"/>
          </w:tcPr>
          <w:p w:rsidR="007C5447" w:rsidRDefault="00F6308C">
            <w:pPr>
              <w:pStyle w:val="TableParagraph"/>
              <w:spacing w:line="275" w:lineRule="exact"/>
              <w:ind w:left="110"/>
              <w:jc w:val="left"/>
              <w:rPr>
                <w:sz w:val="24"/>
              </w:rPr>
            </w:pPr>
            <w:r>
              <w:rPr>
                <w:sz w:val="24"/>
              </w:rPr>
              <w:t>9.</w:t>
            </w:r>
          </w:p>
        </w:tc>
        <w:tc>
          <w:tcPr>
            <w:tcW w:w="7861" w:type="dxa"/>
          </w:tcPr>
          <w:p w:rsidR="007C5447" w:rsidRDefault="00F6308C">
            <w:pPr>
              <w:pStyle w:val="TableParagraph"/>
              <w:spacing w:line="275" w:lineRule="exact"/>
              <w:ind w:left="108"/>
              <w:jc w:val="left"/>
              <w:rPr>
                <w:sz w:val="24"/>
              </w:rPr>
            </w:pPr>
            <w:r>
              <w:rPr>
                <w:sz w:val="24"/>
              </w:rPr>
              <w:t>Thiru. Jayaprakash, May-17 Movement, 45/C, New Ramnad Road, Thangavel</w:t>
            </w:r>
          </w:p>
          <w:p w:rsidR="007C5447" w:rsidRDefault="00F6308C">
            <w:pPr>
              <w:pStyle w:val="TableParagraph"/>
              <w:spacing w:before="41"/>
              <w:ind w:left="108"/>
              <w:jc w:val="left"/>
              <w:rPr>
                <w:sz w:val="24"/>
              </w:rPr>
            </w:pPr>
            <w:r>
              <w:rPr>
                <w:sz w:val="24"/>
              </w:rPr>
              <w:t>Thevar Compound, Madurai – 9.</w:t>
            </w:r>
          </w:p>
        </w:tc>
      </w:tr>
      <w:tr w:rsidR="007C5447">
        <w:trPr>
          <w:trHeight w:val="635"/>
        </w:trPr>
        <w:tc>
          <w:tcPr>
            <w:tcW w:w="710" w:type="dxa"/>
          </w:tcPr>
          <w:p w:rsidR="007C5447" w:rsidRDefault="00F6308C">
            <w:pPr>
              <w:pStyle w:val="TableParagraph"/>
              <w:spacing w:before="1"/>
              <w:ind w:left="110"/>
              <w:jc w:val="left"/>
              <w:rPr>
                <w:sz w:val="24"/>
              </w:rPr>
            </w:pPr>
            <w:r>
              <w:rPr>
                <w:sz w:val="24"/>
              </w:rPr>
              <w:t>10.</w:t>
            </w:r>
          </w:p>
        </w:tc>
        <w:tc>
          <w:tcPr>
            <w:tcW w:w="7861" w:type="dxa"/>
          </w:tcPr>
          <w:p w:rsidR="007C5447" w:rsidRDefault="00F6308C">
            <w:pPr>
              <w:pStyle w:val="TableParagraph"/>
              <w:spacing w:before="1"/>
              <w:ind w:left="108"/>
              <w:jc w:val="left"/>
              <w:rPr>
                <w:sz w:val="24"/>
              </w:rPr>
            </w:pPr>
            <w:r>
              <w:rPr>
                <w:sz w:val="24"/>
              </w:rPr>
              <w:t>Thiru. Sivakumar, May – 17 Movement, 3479 TNHB Mela Anuppanadi,</w:t>
            </w:r>
          </w:p>
          <w:p w:rsidR="007C5447" w:rsidRDefault="00F6308C">
            <w:pPr>
              <w:pStyle w:val="TableParagraph"/>
              <w:spacing w:before="41"/>
              <w:ind w:left="108"/>
              <w:jc w:val="left"/>
              <w:rPr>
                <w:sz w:val="24"/>
              </w:rPr>
            </w:pPr>
            <w:r>
              <w:rPr>
                <w:sz w:val="24"/>
              </w:rPr>
              <w:t>Madurai – 9.</w:t>
            </w:r>
          </w:p>
        </w:tc>
      </w:tr>
      <w:tr w:rsidR="007C5447">
        <w:trPr>
          <w:trHeight w:val="317"/>
        </w:trPr>
        <w:tc>
          <w:tcPr>
            <w:tcW w:w="710" w:type="dxa"/>
          </w:tcPr>
          <w:p w:rsidR="007C5447" w:rsidRDefault="00F6308C">
            <w:pPr>
              <w:pStyle w:val="TableParagraph"/>
              <w:spacing w:line="275" w:lineRule="exact"/>
              <w:ind w:left="110"/>
              <w:jc w:val="left"/>
              <w:rPr>
                <w:sz w:val="24"/>
              </w:rPr>
            </w:pPr>
            <w:r>
              <w:rPr>
                <w:sz w:val="24"/>
              </w:rPr>
              <w:t>11.</w:t>
            </w:r>
          </w:p>
        </w:tc>
        <w:tc>
          <w:tcPr>
            <w:tcW w:w="7861" w:type="dxa"/>
          </w:tcPr>
          <w:p w:rsidR="007C5447" w:rsidRDefault="00F6308C">
            <w:pPr>
              <w:pStyle w:val="TableParagraph"/>
              <w:spacing w:line="275" w:lineRule="exact"/>
              <w:ind w:left="108"/>
              <w:jc w:val="left"/>
              <w:rPr>
                <w:sz w:val="24"/>
              </w:rPr>
            </w:pPr>
            <w:r>
              <w:rPr>
                <w:sz w:val="24"/>
              </w:rPr>
              <w:t>Thiru. Karthik Babu, Madurai Spinners Association, Kapalur, Madurai – 8.</w:t>
            </w:r>
          </w:p>
        </w:tc>
      </w:tr>
      <w:tr w:rsidR="007C5447">
        <w:trPr>
          <w:trHeight w:val="635"/>
        </w:trPr>
        <w:tc>
          <w:tcPr>
            <w:tcW w:w="710" w:type="dxa"/>
          </w:tcPr>
          <w:p w:rsidR="007C5447" w:rsidRDefault="00F6308C">
            <w:pPr>
              <w:pStyle w:val="TableParagraph"/>
              <w:spacing w:before="1"/>
              <w:ind w:left="110"/>
              <w:jc w:val="left"/>
              <w:rPr>
                <w:sz w:val="24"/>
              </w:rPr>
            </w:pPr>
            <w:r>
              <w:rPr>
                <w:sz w:val="24"/>
              </w:rPr>
              <w:t>12.</w:t>
            </w:r>
          </w:p>
        </w:tc>
        <w:tc>
          <w:tcPr>
            <w:tcW w:w="7861" w:type="dxa"/>
          </w:tcPr>
          <w:p w:rsidR="007C5447" w:rsidRDefault="00F6308C">
            <w:pPr>
              <w:pStyle w:val="TableParagraph"/>
              <w:spacing w:before="1"/>
              <w:ind w:left="108"/>
              <w:jc w:val="left"/>
              <w:rPr>
                <w:sz w:val="24"/>
              </w:rPr>
            </w:pPr>
            <w:r>
              <w:rPr>
                <w:sz w:val="24"/>
              </w:rPr>
              <w:t>Thiru. A.K. Ramesh, Secretary, Cluster Development, 159/5, 2 Renganayaki</w:t>
            </w:r>
          </w:p>
          <w:p w:rsidR="007C5447" w:rsidRDefault="00F6308C">
            <w:pPr>
              <w:pStyle w:val="TableParagraph"/>
              <w:spacing w:before="41"/>
              <w:ind w:left="108"/>
              <w:jc w:val="left"/>
              <w:rPr>
                <w:sz w:val="24"/>
              </w:rPr>
            </w:pPr>
            <w:r>
              <w:rPr>
                <w:sz w:val="24"/>
              </w:rPr>
              <w:t>Ammal Street, Kamarajar Salai, Madurai – 9.</w:t>
            </w:r>
          </w:p>
        </w:tc>
      </w:tr>
      <w:tr w:rsidR="007C5447">
        <w:trPr>
          <w:trHeight w:val="635"/>
        </w:trPr>
        <w:tc>
          <w:tcPr>
            <w:tcW w:w="710" w:type="dxa"/>
          </w:tcPr>
          <w:p w:rsidR="007C5447" w:rsidRDefault="00F6308C">
            <w:pPr>
              <w:pStyle w:val="TableParagraph"/>
              <w:spacing w:line="275" w:lineRule="exact"/>
              <w:ind w:left="110"/>
              <w:jc w:val="left"/>
              <w:rPr>
                <w:sz w:val="24"/>
              </w:rPr>
            </w:pPr>
            <w:r>
              <w:rPr>
                <w:sz w:val="24"/>
              </w:rPr>
              <w:t>13.</w:t>
            </w:r>
          </w:p>
        </w:tc>
        <w:tc>
          <w:tcPr>
            <w:tcW w:w="7861" w:type="dxa"/>
          </w:tcPr>
          <w:p w:rsidR="007C5447" w:rsidRDefault="00F6308C">
            <w:pPr>
              <w:pStyle w:val="TableParagraph"/>
              <w:spacing w:line="275" w:lineRule="exact"/>
              <w:ind w:left="108"/>
              <w:jc w:val="left"/>
              <w:rPr>
                <w:sz w:val="24"/>
              </w:rPr>
            </w:pPr>
            <w:r>
              <w:rPr>
                <w:sz w:val="24"/>
              </w:rPr>
              <w:t>Thiru. T.K. Chandra Mohan, No. 14, CSB Lane, Old Kuyavarpalayam Road,</w:t>
            </w:r>
          </w:p>
          <w:p w:rsidR="007C5447" w:rsidRDefault="00F6308C">
            <w:pPr>
              <w:pStyle w:val="TableParagraph"/>
              <w:spacing w:before="41"/>
              <w:ind w:left="108"/>
              <w:jc w:val="left"/>
              <w:rPr>
                <w:sz w:val="24"/>
              </w:rPr>
            </w:pPr>
            <w:r>
              <w:rPr>
                <w:sz w:val="24"/>
              </w:rPr>
              <w:t>Madurai – 9.</w:t>
            </w:r>
          </w:p>
        </w:tc>
      </w:tr>
    </w:tbl>
    <w:p w:rsidR="007C5447" w:rsidRDefault="007C5447">
      <w:pPr>
        <w:rPr>
          <w:sz w:val="24"/>
        </w:rPr>
        <w:sectPr w:rsidR="007C5447">
          <w:pgSz w:w="11910" w:h="16840"/>
          <w:pgMar w:top="1420" w:right="1300" w:bottom="1240" w:left="1000" w:header="0" w:footer="777" w:gutter="0"/>
          <w:cols w:space="720"/>
        </w:sectPr>
      </w:pPr>
    </w:p>
    <w:p w:rsidR="007C5447" w:rsidRDefault="007C5447">
      <w:pPr>
        <w:pStyle w:val="BodyText"/>
        <w:spacing w:before="10"/>
        <w:rPr>
          <w:b/>
          <w:sz w:val="19"/>
        </w:rPr>
      </w:pPr>
    </w:p>
    <w:p w:rsidR="007C5447" w:rsidRDefault="00F6308C">
      <w:pPr>
        <w:spacing w:before="90"/>
        <w:ind w:left="853"/>
        <w:rPr>
          <w:b/>
          <w:sz w:val="24"/>
        </w:rPr>
      </w:pPr>
      <w:r>
        <w:rPr>
          <w:b/>
          <w:sz w:val="24"/>
        </w:rPr>
        <w:t>List of participants in the Pub</w:t>
      </w:r>
      <w:r>
        <w:rPr>
          <w:b/>
          <w:sz w:val="24"/>
        </w:rPr>
        <w:t>lic Hearing held at Coimbatore :</w:t>
      </w:r>
    </w:p>
    <w:p w:rsidR="007C5447" w:rsidRDefault="007C5447">
      <w:pPr>
        <w:pStyle w:val="BodyText"/>
        <w:spacing w:before="3"/>
        <w:rPr>
          <w:b/>
          <w:sz w:val="28"/>
        </w:rPr>
      </w:pPr>
    </w:p>
    <w:tbl>
      <w:tblPr>
        <w:tblW w:w="0" w:type="auto"/>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7796"/>
      </w:tblGrid>
      <w:tr w:rsidR="007C5447">
        <w:trPr>
          <w:trHeight w:val="635"/>
        </w:trPr>
        <w:tc>
          <w:tcPr>
            <w:tcW w:w="710" w:type="dxa"/>
          </w:tcPr>
          <w:p w:rsidR="007C5447" w:rsidRDefault="00F6308C">
            <w:pPr>
              <w:pStyle w:val="TableParagraph"/>
              <w:spacing w:line="275" w:lineRule="exact"/>
              <w:ind w:left="110"/>
              <w:jc w:val="left"/>
              <w:rPr>
                <w:b/>
                <w:sz w:val="24"/>
              </w:rPr>
            </w:pPr>
            <w:r>
              <w:rPr>
                <w:b/>
                <w:sz w:val="24"/>
              </w:rPr>
              <w:t>S.</w:t>
            </w:r>
          </w:p>
          <w:p w:rsidR="007C5447" w:rsidRDefault="00F6308C">
            <w:pPr>
              <w:pStyle w:val="TableParagraph"/>
              <w:spacing w:before="41"/>
              <w:ind w:left="110"/>
              <w:jc w:val="left"/>
              <w:rPr>
                <w:b/>
                <w:sz w:val="24"/>
              </w:rPr>
            </w:pPr>
            <w:r>
              <w:rPr>
                <w:b/>
                <w:sz w:val="24"/>
              </w:rPr>
              <w:t>No.</w:t>
            </w:r>
          </w:p>
        </w:tc>
        <w:tc>
          <w:tcPr>
            <w:tcW w:w="7796" w:type="dxa"/>
          </w:tcPr>
          <w:p w:rsidR="007C5447" w:rsidRDefault="00F6308C">
            <w:pPr>
              <w:pStyle w:val="TableParagraph"/>
              <w:spacing w:before="157"/>
              <w:ind w:left="108"/>
              <w:jc w:val="left"/>
              <w:rPr>
                <w:b/>
                <w:sz w:val="24"/>
              </w:rPr>
            </w:pPr>
            <w:r>
              <w:rPr>
                <w:b/>
                <w:sz w:val="24"/>
              </w:rPr>
              <w:t>Name &amp; address of the Speakers</w:t>
            </w:r>
          </w:p>
        </w:tc>
      </w:tr>
      <w:tr w:rsidR="007C5447">
        <w:trPr>
          <w:trHeight w:val="633"/>
        </w:trPr>
        <w:tc>
          <w:tcPr>
            <w:tcW w:w="710" w:type="dxa"/>
          </w:tcPr>
          <w:p w:rsidR="007C5447" w:rsidRDefault="00F6308C">
            <w:pPr>
              <w:pStyle w:val="TableParagraph"/>
              <w:spacing w:before="157"/>
              <w:ind w:left="110"/>
              <w:jc w:val="left"/>
              <w:rPr>
                <w:sz w:val="24"/>
              </w:rPr>
            </w:pPr>
            <w:r>
              <w:rPr>
                <w:sz w:val="24"/>
              </w:rPr>
              <w:t>1</w:t>
            </w:r>
          </w:p>
        </w:tc>
        <w:tc>
          <w:tcPr>
            <w:tcW w:w="7796" w:type="dxa"/>
          </w:tcPr>
          <w:p w:rsidR="007C5447" w:rsidRDefault="00F6308C">
            <w:pPr>
              <w:pStyle w:val="TableParagraph"/>
              <w:spacing w:line="275" w:lineRule="exact"/>
              <w:ind w:left="108"/>
              <w:jc w:val="left"/>
              <w:rPr>
                <w:sz w:val="24"/>
              </w:rPr>
            </w:pPr>
            <w:r>
              <w:rPr>
                <w:sz w:val="24"/>
              </w:rPr>
              <w:t>Thiru. S. Ravikumar, Coimbatore &amp; Tirupur District Micro and cottage</w:t>
            </w:r>
          </w:p>
          <w:p w:rsidR="007C5447" w:rsidRDefault="00F6308C">
            <w:pPr>
              <w:pStyle w:val="TableParagraph"/>
              <w:spacing w:before="41"/>
              <w:ind w:left="108"/>
              <w:jc w:val="left"/>
              <w:rPr>
                <w:sz w:val="24"/>
              </w:rPr>
            </w:pPr>
            <w:r>
              <w:rPr>
                <w:sz w:val="24"/>
              </w:rPr>
              <w:t>Entrepreneur Association, (COTMA), Coimbatore 641 006.</w:t>
            </w:r>
          </w:p>
        </w:tc>
      </w:tr>
      <w:tr w:rsidR="007C5447">
        <w:trPr>
          <w:trHeight w:val="635"/>
        </w:trPr>
        <w:tc>
          <w:tcPr>
            <w:tcW w:w="710" w:type="dxa"/>
          </w:tcPr>
          <w:p w:rsidR="007C5447" w:rsidRDefault="00F6308C">
            <w:pPr>
              <w:pStyle w:val="TableParagraph"/>
              <w:spacing w:before="159"/>
              <w:ind w:left="110"/>
              <w:jc w:val="left"/>
              <w:rPr>
                <w:sz w:val="24"/>
              </w:rPr>
            </w:pPr>
            <w:r>
              <w:rPr>
                <w:sz w:val="24"/>
              </w:rPr>
              <w:t>2</w:t>
            </w:r>
          </w:p>
        </w:tc>
        <w:tc>
          <w:tcPr>
            <w:tcW w:w="7796" w:type="dxa"/>
          </w:tcPr>
          <w:p w:rsidR="007C5447" w:rsidRDefault="00F6308C">
            <w:pPr>
              <w:pStyle w:val="TableParagraph"/>
              <w:spacing w:line="275" w:lineRule="exact"/>
              <w:ind w:left="108"/>
              <w:jc w:val="left"/>
              <w:rPr>
                <w:sz w:val="24"/>
              </w:rPr>
            </w:pPr>
            <w:r>
              <w:rPr>
                <w:sz w:val="24"/>
              </w:rPr>
              <w:t>Thiru. P. Balasubrananiam, Powerloom Association, Avinashi, Tirupur</w:t>
            </w:r>
          </w:p>
          <w:p w:rsidR="007C5447" w:rsidRDefault="00F6308C">
            <w:pPr>
              <w:pStyle w:val="TableParagraph"/>
              <w:spacing w:before="43"/>
              <w:ind w:left="108"/>
              <w:jc w:val="left"/>
              <w:rPr>
                <w:sz w:val="24"/>
              </w:rPr>
            </w:pPr>
            <w:r>
              <w:rPr>
                <w:sz w:val="24"/>
              </w:rPr>
              <w:t>District</w:t>
            </w:r>
          </w:p>
        </w:tc>
      </w:tr>
      <w:tr w:rsidR="007C5447">
        <w:trPr>
          <w:trHeight w:val="635"/>
        </w:trPr>
        <w:tc>
          <w:tcPr>
            <w:tcW w:w="710" w:type="dxa"/>
          </w:tcPr>
          <w:p w:rsidR="007C5447" w:rsidRDefault="00F6308C">
            <w:pPr>
              <w:pStyle w:val="TableParagraph"/>
              <w:spacing w:before="157"/>
              <w:ind w:left="110"/>
              <w:jc w:val="left"/>
              <w:rPr>
                <w:sz w:val="24"/>
              </w:rPr>
            </w:pPr>
            <w:r>
              <w:rPr>
                <w:sz w:val="24"/>
              </w:rPr>
              <w:t>3</w:t>
            </w:r>
          </w:p>
        </w:tc>
        <w:tc>
          <w:tcPr>
            <w:tcW w:w="7796" w:type="dxa"/>
          </w:tcPr>
          <w:p w:rsidR="007C5447" w:rsidRDefault="00F6308C">
            <w:pPr>
              <w:pStyle w:val="TableParagraph"/>
              <w:spacing w:line="275" w:lineRule="exact"/>
              <w:ind w:left="108"/>
              <w:jc w:val="left"/>
              <w:rPr>
                <w:sz w:val="24"/>
              </w:rPr>
            </w:pPr>
            <w:r>
              <w:rPr>
                <w:sz w:val="24"/>
              </w:rPr>
              <w:t>Thiru. D. Balasundaram, Ex. President, Indian Chamber of commerce &amp;</w:t>
            </w:r>
          </w:p>
          <w:p w:rsidR="007C5447" w:rsidRDefault="00F6308C">
            <w:pPr>
              <w:pStyle w:val="TableParagraph"/>
              <w:spacing w:before="41"/>
              <w:ind w:left="108"/>
              <w:jc w:val="left"/>
              <w:rPr>
                <w:sz w:val="24"/>
              </w:rPr>
            </w:pPr>
            <w:r>
              <w:rPr>
                <w:sz w:val="24"/>
              </w:rPr>
              <w:t>Industry, Coimbatore 641 018.</w:t>
            </w:r>
          </w:p>
        </w:tc>
      </w:tr>
      <w:tr w:rsidR="007C5447">
        <w:trPr>
          <w:trHeight w:val="633"/>
        </w:trPr>
        <w:tc>
          <w:tcPr>
            <w:tcW w:w="710" w:type="dxa"/>
          </w:tcPr>
          <w:p w:rsidR="007C5447" w:rsidRDefault="00F6308C">
            <w:pPr>
              <w:pStyle w:val="TableParagraph"/>
              <w:spacing w:before="158"/>
              <w:ind w:left="110"/>
              <w:jc w:val="left"/>
              <w:rPr>
                <w:sz w:val="24"/>
              </w:rPr>
            </w:pPr>
            <w:r>
              <w:rPr>
                <w:sz w:val="24"/>
              </w:rPr>
              <w:t>4</w:t>
            </w:r>
          </w:p>
        </w:tc>
        <w:tc>
          <w:tcPr>
            <w:tcW w:w="7796" w:type="dxa"/>
          </w:tcPr>
          <w:p w:rsidR="007C5447" w:rsidRDefault="00F6308C">
            <w:pPr>
              <w:pStyle w:val="TableParagraph"/>
              <w:spacing w:line="275" w:lineRule="exact"/>
              <w:ind w:left="108"/>
              <w:jc w:val="left"/>
              <w:rPr>
                <w:sz w:val="24"/>
              </w:rPr>
            </w:pPr>
            <w:r>
              <w:rPr>
                <w:sz w:val="24"/>
              </w:rPr>
              <w:t>Thiru. K. Elango, Secretary, Tamil Nadu Electricity Consumers Association,</w:t>
            </w:r>
          </w:p>
          <w:p w:rsidR="007C5447" w:rsidRDefault="00F6308C">
            <w:pPr>
              <w:pStyle w:val="TableParagraph"/>
              <w:spacing w:before="41"/>
              <w:ind w:left="108"/>
              <w:jc w:val="left"/>
              <w:rPr>
                <w:sz w:val="24"/>
              </w:rPr>
            </w:pPr>
            <w:r>
              <w:rPr>
                <w:sz w:val="24"/>
              </w:rPr>
              <w:t>(TECA), Coimbatore 641 018.</w:t>
            </w:r>
          </w:p>
        </w:tc>
      </w:tr>
      <w:tr w:rsidR="007C5447">
        <w:trPr>
          <w:trHeight w:val="635"/>
        </w:trPr>
        <w:tc>
          <w:tcPr>
            <w:tcW w:w="710" w:type="dxa"/>
          </w:tcPr>
          <w:p w:rsidR="007C5447" w:rsidRDefault="00F6308C">
            <w:pPr>
              <w:pStyle w:val="TableParagraph"/>
              <w:spacing w:before="157"/>
              <w:ind w:left="110"/>
              <w:jc w:val="left"/>
              <w:rPr>
                <w:sz w:val="24"/>
              </w:rPr>
            </w:pPr>
            <w:r>
              <w:rPr>
                <w:sz w:val="24"/>
              </w:rPr>
              <w:t>5</w:t>
            </w:r>
          </w:p>
        </w:tc>
        <w:tc>
          <w:tcPr>
            <w:tcW w:w="7796" w:type="dxa"/>
          </w:tcPr>
          <w:p w:rsidR="007C5447" w:rsidRDefault="00F6308C">
            <w:pPr>
              <w:pStyle w:val="TableParagraph"/>
              <w:spacing w:line="275" w:lineRule="exact"/>
              <w:ind w:left="108"/>
              <w:jc w:val="left"/>
              <w:rPr>
                <w:sz w:val="24"/>
              </w:rPr>
            </w:pPr>
            <w:r>
              <w:rPr>
                <w:sz w:val="24"/>
              </w:rPr>
              <w:t>Thiru. K. Kasturirangaiyan, Chairman, Indian Wind Power Association,</w:t>
            </w:r>
          </w:p>
          <w:p w:rsidR="007C5447" w:rsidRDefault="00F6308C">
            <w:pPr>
              <w:pStyle w:val="TableParagraph"/>
              <w:spacing w:before="43"/>
              <w:ind w:left="108"/>
              <w:jc w:val="left"/>
              <w:rPr>
                <w:sz w:val="24"/>
              </w:rPr>
            </w:pPr>
            <w:r>
              <w:rPr>
                <w:sz w:val="24"/>
              </w:rPr>
              <w:t>Coimbatore 641 018.</w:t>
            </w:r>
          </w:p>
        </w:tc>
      </w:tr>
      <w:tr w:rsidR="007C5447">
        <w:trPr>
          <w:trHeight w:val="633"/>
        </w:trPr>
        <w:tc>
          <w:tcPr>
            <w:tcW w:w="710" w:type="dxa"/>
          </w:tcPr>
          <w:p w:rsidR="007C5447" w:rsidRDefault="00F6308C">
            <w:pPr>
              <w:pStyle w:val="TableParagraph"/>
              <w:spacing w:before="157"/>
              <w:ind w:left="110"/>
              <w:jc w:val="left"/>
              <w:rPr>
                <w:sz w:val="24"/>
              </w:rPr>
            </w:pPr>
            <w:r>
              <w:rPr>
                <w:sz w:val="24"/>
              </w:rPr>
              <w:t>6</w:t>
            </w:r>
          </w:p>
        </w:tc>
        <w:tc>
          <w:tcPr>
            <w:tcW w:w="7796" w:type="dxa"/>
          </w:tcPr>
          <w:p w:rsidR="007C5447" w:rsidRDefault="00F6308C">
            <w:pPr>
              <w:pStyle w:val="TableParagraph"/>
              <w:spacing w:line="275" w:lineRule="exact"/>
              <w:ind w:left="108"/>
              <w:jc w:val="left"/>
              <w:rPr>
                <w:sz w:val="24"/>
              </w:rPr>
            </w:pPr>
            <w:r>
              <w:rPr>
                <w:sz w:val="24"/>
              </w:rPr>
              <w:t>Thiru. T.S.B. Selvam,Erode District Rice Mill Owners’</w:t>
            </w:r>
          </w:p>
          <w:p w:rsidR="007C5447" w:rsidRDefault="00F6308C">
            <w:pPr>
              <w:pStyle w:val="TableParagraph"/>
              <w:spacing w:before="41"/>
              <w:ind w:left="108"/>
              <w:jc w:val="left"/>
              <w:rPr>
                <w:sz w:val="24"/>
              </w:rPr>
            </w:pPr>
            <w:r>
              <w:rPr>
                <w:sz w:val="24"/>
              </w:rPr>
              <w:t>Association,Elumathur, Erode 638 104.</w:t>
            </w:r>
          </w:p>
        </w:tc>
      </w:tr>
      <w:tr w:rsidR="007C5447">
        <w:trPr>
          <w:trHeight w:val="635"/>
        </w:trPr>
        <w:tc>
          <w:tcPr>
            <w:tcW w:w="710" w:type="dxa"/>
          </w:tcPr>
          <w:p w:rsidR="007C5447" w:rsidRDefault="00F6308C">
            <w:pPr>
              <w:pStyle w:val="TableParagraph"/>
              <w:spacing w:before="159"/>
              <w:ind w:left="110"/>
              <w:jc w:val="left"/>
              <w:rPr>
                <w:sz w:val="24"/>
              </w:rPr>
            </w:pPr>
            <w:r>
              <w:rPr>
                <w:sz w:val="24"/>
              </w:rPr>
              <w:t>7</w:t>
            </w:r>
          </w:p>
        </w:tc>
        <w:tc>
          <w:tcPr>
            <w:tcW w:w="7796" w:type="dxa"/>
          </w:tcPr>
          <w:p w:rsidR="007C5447" w:rsidRDefault="00F6308C">
            <w:pPr>
              <w:pStyle w:val="TableParagraph"/>
              <w:spacing w:before="1"/>
              <w:ind w:left="108"/>
              <w:jc w:val="left"/>
              <w:rPr>
                <w:sz w:val="24"/>
              </w:rPr>
            </w:pPr>
            <w:r>
              <w:rPr>
                <w:sz w:val="24"/>
              </w:rPr>
              <w:t>Thiru. M. Ramasamy, President, Tirupur Rice Mill Owner Association,</w:t>
            </w:r>
          </w:p>
          <w:p w:rsidR="007C5447" w:rsidRDefault="00F6308C">
            <w:pPr>
              <w:pStyle w:val="TableParagraph"/>
              <w:spacing w:before="41"/>
              <w:ind w:left="108"/>
              <w:jc w:val="left"/>
              <w:rPr>
                <w:sz w:val="24"/>
              </w:rPr>
            </w:pPr>
            <w:r>
              <w:rPr>
                <w:sz w:val="24"/>
              </w:rPr>
              <w:t>165, Chenimalai Road, Coimbatore.</w:t>
            </w:r>
          </w:p>
        </w:tc>
      </w:tr>
      <w:tr w:rsidR="007C5447">
        <w:trPr>
          <w:trHeight w:val="635"/>
        </w:trPr>
        <w:tc>
          <w:tcPr>
            <w:tcW w:w="710" w:type="dxa"/>
          </w:tcPr>
          <w:p w:rsidR="007C5447" w:rsidRDefault="00F6308C">
            <w:pPr>
              <w:pStyle w:val="TableParagraph"/>
              <w:spacing w:before="157"/>
              <w:ind w:left="110"/>
              <w:jc w:val="left"/>
              <w:rPr>
                <w:sz w:val="24"/>
              </w:rPr>
            </w:pPr>
            <w:r>
              <w:rPr>
                <w:sz w:val="24"/>
              </w:rPr>
              <w:t>8</w:t>
            </w:r>
          </w:p>
        </w:tc>
        <w:tc>
          <w:tcPr>
            <w:tcW w:w="7796" w:type="dxa"/>
          </w:tcPr>
          <w:p w:rsidR="007C5447" w:rsidRDefault="00F6308C">
            <w:pPr>
              <w:pStyle w:val="TableParagraph"/>
              <w:spacing w:line="275" w:lineRule="exact"/>
              <w:ind w:left="108"/>
              <w:jc w:val="left"/>
              <w:rPr>
                <w:sz w:val="24"/>
              </w:rPr>
            </w:pPr>
            <w:r>
              <w:rPr>
                <w:sz w:val="24"/>
              </w:rPr>
              <w:t>Dr. K. Selvaraj, Secretary General,The Southern India Mills Association,</w:t>
            </w:r>
          </w:p>
          <w:p w:rsidR="007C5447" w:rsidRDefault="00F6308C">
            <w:pPr>
              <w:pStyle w:val="TableParagraph"/>
              <w:spacing w:before="43"/>
              <w:ind w:left="108"/>
              <w:jc w:val="left"/>
              <w:rPr>
                <w:sz w:val="24"/>
              </w:rPr>
            </w:pPr>
            <w:r>
              <w:rPr>
                <w:sz w:val="24"/>
              </w:rPr>
              <w:t>41, Race Course, Coimbatore 641 018.</w:t>
            </w:r>
          </w:p>
        </w:tc>
      </w:tr>
      <w:tr w:rsidR="007C5447">
        <w:trPr>
          <w:trHeight w:val="633"/>
        </w:trPr>
        <w:tc>
          <w:tcPr>
            <w:tcW w:w="710" w:type="dxa"/>
          </w:tcPr>
          <w:p w:rsidR="007C5447" w:rsidRDefault="00F6308C">
            <w:pPr>
              <w:pStyle w:val="TableParagraph"/>
              <w:spacing w:before="157"/>
              <w:ind w:left="110"/>
              <w:jc w:val="left"/>
              <w:rPr>
                <w:sz w:val="24"/>
              </w:rPr>
            </w:pPr>
            <w:r>
              <w:rPr>
                <w:sz w:val="24"/>
              </w:rPr>
              <w:t>9</w:t>
            </w:r>
          </w:p>
        </w:tc>
        <w:tc>
          <w:tcPr>
            <w:tcW w:w="7796" w:type="dxa"/>
          </w:tcPr>
          <w:p w:rsidR="007C5447" w:rsidRDefault="00F6308C">
            <w:pPr>
              <w:pStyle w:val="TableParagraph"/>
              <w:spacing w:line="275" w:lineRule="exact"/>
              <w:ind w:left="108"/>
              <w:jc w:val="left"/>
              <w:rPr>
                <w:sz w:val="24"/>
              </w:rPr>
            </w:pPr>
            <w:r>
              <w:rPr>
                <w:sz w:val="24"/>
              </w:rPr>
              <w:t>Thiru. S.K. Rangarajan, President, The South India Spinners Association,</w:t>
            </w:r>
          </w:p>
          <w:p w:rsidR="007C5447" w:rsidRDefault="00F6308C">
            <w:pPr>
              <w:pStyle w:val="TableParagraph"/>
              <w:spacing w:before="41"/>
              <w:ind w:left="108"/>
              <w:jc w:val="left"/>
              <w:rPr>
                <w:sz w:val="24"/>
              </w:rPr>
            </w:pPr>
            <w:r>
              <w:rPr>
                <w:sz w:val="24"/>
              </w:rPr>
              <w:t xml:space="preserve">Flat No.103, A Block, 1st Floor, Raheja Avinashi Road, Coimbatore 641 </w:t>
            </w:r>
            <w:r>
              <w:rPr>
                <w:sz w:val="24"/>
              </w:rPr>
              <w:t>018.</w:t>
            </w:r>
          </w:p>
        </w:tc>
      </w:tr>
      <w:tr w:rsidR="007C5447">
        <w:trPr>
          <w:trHeight w:val="635"/>
        </w:trPr>
        <w:tc>
          <w:tcPr>
            <w:tcW w:w="710" w:type="dxa"/>
          </w:tcPr>
          <w:p w:rsidR="007C5447" w:rsidRDefault="00F6308C">
            <w:pPr>
              <w:pStyle w:val="TableParagraph"/>
              <w:spacing w:before="159"/>
              <w:ind w:left="110"/>
              <w:jc w:val="left"/>
              <w:rPr>
                <w:sz w:val="24"/>
              </w:rPr>
            </w:pPr>
            <w:r>
              <w:rPr>
                <w:sz w:val="24"/>
              </w:rPr>
              <w:t>10</w:t>
            </w:r>
          </w:p>
        </w:tc>
        <w:tc>
          <w:tcPr>
            <w:tcW w:w="7796" w:type="dxa"/>
          </w:tcPr>
          <w:p w:rsidR="007C5447" w:rsidRDefault="00F6308C">
            <w:pPr>
              <w:pStyle w:val="TableParagraph"/>
              <w:spacing w:before="1"/>
              <w:ind w:left="108"/>
              <w:jc w:val="left"/>
              <w:rPr>
                <w:sz w:val="24"/>
              </w:rPr>
            </w:pPr>
            <w:r>
              <w:rPr>
                <w:sz w:val="24"/>
              </w:rPr>
              <w:t>Thiru. S.P. Velliangiri, 120 D, Pioneermill Road, Peelamedu, Coimbatore 641</w:t>
            </w:r>
          </w:p>
          <w:p w:rsidR="007C5447" w:rsidRDefault="00F6308C">
            <w:pPr>
              <w:pStyle w:val="TableParagraph"/>
              <w:spacing w:before="41"/>
              <w:ind w:left="108"/>
              <w:jc w:val="left"/>
              <w:rPr>
                <w:sz w:val="24"/>
              </w:rPr>
            </w:pPr>
            <w:r>
              <w:rPr>
                <w:sz w:val="24"/>
              </w:rPr>
              <w:t>004.</w:t>
            </w:r>
          </w:p>
        </w:tc>
      </w:tr>
      <w:tr w:rsidR="007C5447">
        <w:trPr>
          <w:trHeight w:val="397"/>
        </w:trPr>
        <w:tc>
          <w:tcPr>
            <w:tcW w:w="710" w:type="dxa"/>
          </w:tcPr>
          <w:p w:rsidR="007C5447" w:rsidRDefault="00F6308C">
            <w:pPr>
              <w:pStyle w:val="TableParagraph"/>
              <w:spacing w:before="39"/>
              <w:ind w:left="110"/>
              <w:jc w:val="left"/>
              <w:rPr>
                <w:sz w:val="24"/>
              </w:rPr>
            </w:pPr>
            <w:r>
              <w:rPr>
                <w:sz w:val="24"/>
              </w:rPr>
              <w:t>11</w:t>
            </w:r>
          </w:p>
        </w:tc>
        <w:tc>
          <w:tcPr>
            <w:tcW w:w="7796" w:type="dxa"/>
          </w:tcPr>
          <w:p w:rsidR="007C5447" w:rsidRDefault="00F6308C">
            <w:pPr>
              <w:pStyle w:val="TableParagraph"/>
              <w:spacing w:before="39"/>
              <w:ind w:left="108"/>
              <w:jc w:val="left"/>
              <w:rPr>
                <w:sz w:val="24"/>
              </w:rPr>
            </w:pPr>
            <w:r>
              <w:rPr>
                <w:sz w:val="24"/>
              </w:rPr>
              <w:t>Thiru. M. Krishnasamy, Maniakaran Palayam, Ex- Councillor, Coimbatore.</w:t>
            </w:r>
          </w:p>
        </w:tc>
      </w:tr>
      <w:tr w:rsidR="007C5447">
        <w:trPr>
          <w:trHeight w:val="633"/>
        </w:trPr>
        <w:tc>
          <w:tcPr>
            <w:tcW w:w="710" w:type="dxa"/>
          </w:tcPr>
          <w:p w:rsidR="007C5447" w:rsidRDefault="00F6308C">
            <w:pPr>
              <w:pStyle w:val="TableParagraph"/>
              <w:spacing w:before="157"/>
              <w:ind w:left="110"/>
              <w:jc w:val="left"/>
              <w:rPr>
                <w:sz w:val="24"/>
              </w:rPr>
            </w:pPr>
            <w:r>
              <w:rPr>
                <w:sz w:val="24"/>
              </w:rPr>
              <w:t>12</w:t>
            </w:r>
          </w:p>
        </w:tc>
        <w:tc>
          <w:tcPr>
            <w:tcW w:w="7796" w:type="dxa"/>
          </w:tcPr>
          <w:p w:rsidR="007C5447" w:rsidRDefault="00F6308C">
            <w:pPr>
              <w:pStyle w:val="TableParagraph"/>
              <w:spacing w:line="275" w:lineRule="exact"/>
              <w:ind w:left="108"/>
              <w:jc w:val="left"/>
              <w:rPr>
                <w:sz w:val="24"/>
              </w:rPr>
            </w:pPr>
            <w:r>
              <w:rPr>
                <w:sz w:val="24"/>
              </w:rPr>
              <w:t>Thiru. A. Manickam, President, TamilNadu Small Power and Manufacture</w:t>
            </w:r>
          </w:p>
          <w:p w:rsidR="007C5447" w:rsidRDefault="00F6308C">
            <w:pPr>
              <w:pStyle w:val="TableParagraph"/>
              <w:spacing w:before="41"/>
              <w:ind w:left="108"/>
              <w:jc w:val="left"/>
              <w:rPr>
                <w:sz w:val="24"/>
              </w:rPr>
            </w:pPr>
            <w:r>
              <w:rPr>
                <w:sz w:val="24"/>
              </w:rPr>
              <w:t>Association, 130/38, Mettu Street, Amapet, Salem-636003.</w:t>
            </w:r>
          </w:p>
        </w:tc>
      </w:tr>
      <w:tr w:rsidR="007C5447">
        <w:trPr>
          <w:trHeight w:val="635"/>
        </w:trPr>
        <w:tc>
          <w:tcPr>
            <w:tcW w:w="710" w:type="dxa"/>
          </w:tcPr>
          <w:p w:rsidR="007C5447" w:rsidRDefault="00F6308C">
            <w:pPr>
              <w:pStyle w:val="TableParagraph"/>
              <w:spacing w:before="159"/>
              <w:ind w:left="110"/>
              <w:jc w:val="left"/>
              <w:rPr>
                <w:sz w:val="24"/>
              </w:rPr>
            </w:pPr>
            <w:r>
              <w:rPr>
                <w:sz w:val="24"/>
              </w:rPr>
              <w:t>13</w:t>
            </w:r>
          </w:p>
        </w:tc>
        <w:tc>
          <w:tcPr>
            <w:tcW w:w="7796" w:type="dxa"/>
          </w:tcPr>
          <w:p w:rsidR="007C5447" w:rsidRDefault="00F6308C">
            <w:pPr>
              <w:pStyle w:val="TableParagraph"/>
              <w:spacing w:line="275" w:lineRule="exact"/>
              <w:ind w:left="108"/>
              <w:jc w:val="left"/>
              <w:rPr>
                <w:sz w:val="24"/>
              </w:rPr>
            </w:pPr>
            <w:r>
              <w:rPr>
                <w:sz w:val="24"/>
              </w:rPr>
              <w:t>Thiru. V. Sundaram, President, Coimbatore District Small Scale Industrial</w:t>
            </w:r>
          </w:p>
          <w:p w:rsidR="007C5447" w:rsidRDefault="00F6308C">
            <w:pPr>
              <w:pStyle w:val="TableParagraph"/>
              <w:spacing w:before="43"/>
              <w:ind w:left="108"/>
              <w:jc w:val="left"/>
              <w:rPr>
                <w:sz w:val="24"/>
              </w:rPr>
            </w:pPr>
            <w:r>
              <w:rPr>
                <w:sz w:val="24"/>
              </w:rPr>
              <w:t>Association ,(CODISSIA) Hozur Road, Coimbatore-18.</w:t>
            </w:r>
          </w:p>
        </w:tc>
      </w:tr>
      <w:tr w:rsidR="007C5447">
        <w:trPr>
          <w:trHeight w:val="635"/>
        </w:trPr>
        <w:tc>
          <w:tcPr>
            <w:tcW w:w="710" w:type="dxa"/>
          </w:tcPr>
          <w:p w:rsidR="007C5447" w:rsidRDefault="00F6308C">
            <w:pPr>
              <w:pStyle w:val="TableParagraph"/>
              <w:spacing w:before="157"/>
              <w:ind w:left="110"/>
              <w:jc w:val="left"/>
              <w:rPr>
                <w:sz w:val="24"/>
              </w:rPr>
            </w:pPr>
            <w:r>
              <w:rPr>
                <w:sz w:val="24"/>
              </w:rPr>
              <w:t>14</w:t>
            </w:r>
          </w:p>
        </w:tc>
        <w:tc>
          <w:tcPr>
            <w:tcW w:w="7796" w:type="dxa"/>
          </w:tcPr>
          <w:p w:rsidR="007C5447" w:rsidRDefault="00F6308C">
            <w:pPr>
              <w:pStyle w:val="TableParagraph"/>
              <w:spacing w:line="275" w:lineRule="exact"/>
              <w:ind w:left="108"/>
              <w:jc w:val="left"/>
              <w:rPr>
                <w:sz w:val="24"/>
              </w:rPr>
            </w:pPr>
            <w:r>
              <w:rPr>
                <w:sz w:val="24"/>
              </w:rPr>
              <w:t>Thiru. K. Kamaraj, Kaveri Power Trading Private Limited, The Lords,</w:t>
            </w:r>
          </w:p>
          <w:p w:rsidR="007C5447" w:rsidRDefault="00F6308C">
            <w:pPr>
              <w:pStyle w:val="TableParagraph"/>
              <w:spacing w:before="41"/>
              <w:ind w:left="108"/>
              <w:jc w:val="left"/>
              <w:rPr>
                <w:sz w:val="24"/>
              </w:rPr>
            </w:pPr>
            <w:r>
              <w:rPr>
                <w:sz w:val="24"/>
              </w:rPr>
              <w:t>Ekkatuthangal, Chennai-32.</w:t>
            </w:r>
          </w:p>
        </w:tc>
      </w:tr>
      <w:tr w:rsidR="007C5447">
        <w:trPr>
          <w:trHeight w:val="633"/>
        </w:trPr>
        <w:tc>
          <w:tcPr>
            <w:tcW w:w="710" w:type="dxa"/>
          </w:tcPr>
          <w:p w:rsidR="007C5447" w:rsidRDefault="00F6308C">
            <w:pPr>
              <w:pStyle w:val="TableParagraph"/>
              <w:spacing w:before="157"/>
              <w:ind w:left="110"/>
              <w:jc w:val="left"/>
              <w:rPr>
                <w:sz w:val="24"/>
              </w:rPr>
            </w:pPr>
            <w:r>
              <w:rPr>
                <w:sz w:val="24"/>
              </w:rPr>
              <w:t>15</w:t>
            </w:r>
          </w:p>
        </w:tc>
        <w:tc>
          <w:tcPr>
            <w:tcW w:w="7796" w:type="dxa"/>
          </w:tcPr>
          <w:p w:rsidR="007C5447" w:rsidRDefault="00F6308C">
            <w:pPr>
              <w:pStyle w:val="TableParagraph"/>
              <w:spacing w:line="275" w:lineRule="exact"/>
              <w:ind w:left="108"/>
              <w:jc w:val="left"/>
              <w:rPr>
                <w:sz w:val="24"/>
              </w:rPr>
            </w:pPr>
            <w:r>
              <w:rPr>
                <w:sz w:val="24"/>
              </w:rPr>
              <w:t>Thiru. P.P. Subramanian,P.P. Associates,Electrical Engineers &amp; Contractors,</w:t>
            </w:r>
          </w:p>
          <w:p w:rsidR="007C5447" w:rsidRDefault="00F6308C">
            <w:pPr>
              <w:pStyle w:val="TableParagraph"/>
              <w:spacing w:before="41"/>
              <w:ind w:left="108"/>
              <w:jc w:val="left"/>
              <w:rPr>
                <w:sz w:val="24"/>
              </w:rPr>
            </w:pPr>
            <w:r>
              <w:rPr>
                <w:sz w:val="24"/>
              </w:rPr>
              <w:t>1st Floor, 33, Kalidass Road, Ram Nagar, Coimbatore - 641 009.</w:t>
            </w:r>
          </w:p>
        </w:tc>
      </w:tr>
      <w:tr w:rsidR="007C5447">
        <w:trPr>
          <w:trHeight w:val="635"/>
        </w:trPr>
        <w:tc>
          <w:tcPr>
            <w:tcW w:w="710" w:type="dxa"/>
          </w:tcPr>
          <w:p w:rsidR="007C5447" w:rsidRDefault="00F6308C">
            <w:pPr>
              <w:pStyle w:val="TableParagraph"/>
              <w:spacing w:before="159"/>
              <w:ind w:left="110"/>
              <w:jc w:val="left"/>
              <w:rPr>
                <w:sz w:val="24"/>
              </w:rPr>
            </w:pPr>
            <w:r>
              <w:rPr>
                <w:sz w:val="24"/>
              </w:rPr>
              <w:t>16</w:t>
            </w:r>
          </w:p>
        </w:tc>
        <w:tc>
          <w:tcPr>
            <w:tcW w:w="7796" w:type="dxa"/>
          </w:tcPr>
          <w:p w:rsidR="007C5447" w:rsidRDefault="00F6308C">
            <w:pPr>
              <w:pStyle w:val="TableParagraph"/>
              <w:spacing w:line="275" w:lineRule="exact"/>
              <w:ind w:left="108"/>
              <w:jc w:val="left"/>
              <w:rPr>
                <w:sz w:val="24"/>
              </w:rPr>
            </w:pPr>
            <w:r>
              <w:rPr>
                <w:sz w:val="24"/>
              </w:rPr>
              <w:t>Thiru. A.D. Thirumoorthy, Consultant, 603, Pioneer Apartment,</w:t>
            </w:r>
          </w:p>
          <w:p w:rsidR="007C5447" w:rsidRDefault="00F6308C">
            <w:pPr>
              <w:pStyle w:val="TableParagraph"/>
              <w:spacing w:before="43"/>
              <w:ind w:left="108"/>
              <w:jc w:val="left"/>
              <w:rPr>
                <w:sz w:val="24"/>
              </w:rPr>
            </w:pPr>
            <w:r>
              <w:rPr>
                <w:sz w:val="24"/>
              </w:rPr>
              <w:t>Coimbatore – 18</w:t>
            </w:r>
          </w:p>
        </w:tc>
      </w:tr>
      <w:tr w:rsidR="007C5447">
        <w:trPr>
          <w:trHeight w:val="635"/>
        </w:trPr>
        <w:tc>
          <w:tcPr>
            <w:tcW w:w="710" w:type="dxa"/>
          </w:tcPr>
          <w:p w:rsidR="007C5447" w:rsidRDefault="00F6308C">
            <w:pPr>
              <w:pStyle w:val="TableParagraph"/>
              <w:spacing w:before="157"/>
              <w:ind w:left="110"/>
              <w:jc w:val="left"/>
              <w:rPr>
                <w:sz w:val="24"/>
              </w:rPr>
            </w:pPr>
            <w:r>
              <w:rPr>
                <w:sz w:val="24"/>
              </w:rPr>
              <w:t>17</w:t>
            </w:r>
          </w:p>
        </w:tc>
        <w:tc>
          <w:tcPr>
            <w:tcW w:w="7796" w:type="dxa"/>
          </w:tcPr>
          <w:p w:rsidR="007C5447" w:rsidRDefault="00F6308C">
            <w:pPr>
              <w:pStyle w:val="TableParagraph"/>
              <w:spacing w:line="275" w:lineRule="exact"/>
              <w:ind w:left="108"/>
              <w:jc w:val="left"/>
              <w:rPr>
                <w:sz w:val="24"/>
              </w:rPr>
            </w:pPr>
            <w:r>
              <w:rPr>
                <w:sz w:val="24"/>
              </w:rPr>
              <w:t>Dr. Manokaran, Cheif Engineer (Retired), 360 A, 1st Street, Gandhipuram,</w:t>
            </w:r>
          </w:p>
          <w:p w:rsidR="007C5447" w:rsidRDefault="00F6308C">
            <w:pPr>
              <w:pStyle w:val="TableParagraph"/>
              <w:spacing w:before="41"/>
              <w:ind w:left="108"/>
              <w:jc w:val="left"/>
              <w:rPr>
                <w:sz w:val="24"/>
              </w:rPr>
            </w:pPr>
            <w:r>
              <w:rPr>
                <w:sz w:val="24"/>
              </w:rPr>
              <w:t>Coimbatore - 12.</w:t>
            </w:r>
          </w:p>
        </w:tc>
      </w:tr>
      <w:tr w:rsidR="007C5447">
        <w:trPr>
          <w:trHeight w:val="633"/>
        </w:trPr>
        <w:tc>
          <w:tcPr>
            <w:tcW w:w="710" w:type="dxa"/>
          </w:tcPr>
          <w:p w:rsidR="007C5447" w:rsidRDefault="00F6308C">
            <w:pPr>
              <w:pStyle w:val="TableParagraph"/>
              <w:spacing w:before="157"/>
              <w:ind w:left="110"/>
              <w:jc w:val="left"/>
              <w:rPr>
                <w:sz w:val="24"/>
              </w:rPr>
            </w:pPr>
            <w:r>
              <w:rPr>
                <w:sz w:val="24"/>
              </w:rPr>
              <w:t>18.</w:t>
            </w:r>
          </w:p>
        </w:tc>
        <w:tc>
          <w:tcPr>
            <w:tcW w:w="7796" w:type="dxa"/>
          </w:tcPr>
          <w:p w:rsidR="007C5447" w:rsidRDefault="00F6308C">
            <w:pPr>
              <w:pStyle w:val="TableParagraph"/>
              <w:spacing w:line="275" w:lineRule="exact"/>
              <w:ind w:left="108"/>
              <w:jc w:val="left"/>
              <w:rPr>
                <w:sz w:val="24"/>
              </w:rPr>
            </w:pPr>
            <w:r>
              <w:rPr>
                <w:sz w:val="24"/>
              </w:rPr>
              <w:t>Thiru. Maniraj, Coimbatore Pumpset Manufacturers Association, (COPMA)</w:t>
            </w:r>
          </w:p>
          <w:p w:rsidR="007C5447" w:rsidRDefault="00F6308C">
            <w:pPr>
              <w:pStyle w:val="TableParagraph"/>
              <w:spacing w:before="41"/>
              <w:ind w:left="108"/>
              <w:jc w:val="left"/>
              <w:rPr>
                <w:sz w:val="24"/>
              </w:rPr>
            </w:pPr>
            <w:r>
              <w:rPr>
                <w:sz w:val="24"/>
              </w:rPr>
              <w:t>Coimbatore 641 006</w:t>
            </w:r>
          </w:p>
        </w:tc>
      </w:tr>
    </w:tbl>
    <w:p w:rsidR="007C5447" w:rsidRDefault="007C5447">
      <w:pPr>
        <w:rPr>
          <w:sz w:val="24"/>
        </w:rPr>
        <w:sectPr w:rsidR="007C5447">
          <w:pgSz w:w="11910" w:h="16840"/>
          <w:pgMar w:top="1580" w:right="1300" w:bottom="1240" w:left="1000" w:header="0" w:footer="777" w:gutter="0"/>
          <w:cols w:space="720"/>
        </w:sectPr>
      </w:pPr>
    </w:p>
    <w:tbl>
      <w:tblPr>
        <w:tblW w:w="0" w:type="auto"/>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7796"/>
      </w:tblGrid>
      <w:tr w:rsidR="007C5447">
        <w:trPr>
          <w:trHeight w:val="636"/>
        </w:trPr>
        <w:tc>
          <w:tcPr>
            <w:tcW w:w="710" w:type="dxa"/>
          </w:tcPr>
          <w:p w:rsidR="007C5447" w:rsidRDefault="00F6308C">
            <w:pPr>
              <w:pStyle w:val="TableParagraph"/>
              <w:spacing w:line="275" w:lineRule="exact"/>
              <w:ind w:left="110"/>
              <w:jc w:val="left"/>
              <w:rPr>
                <w:b/>
                <w:sz w:val="24"/>
              </w:rPr>
            </w:pPr>
            <w:r>
              <w:rPr>
                <w:b/>
                <w:sz w:val="24"/>
              </w:rPr>
              <w:lastRenderedPageBreak/>
              <w:t>S.</w:t>
            </w:r>
          </w:p>
          <w:p w:rsidR="007C5447" w:rsidRDefault="00F6308C">
            <w:pPr>
              <w:pStyle w:val="TableParagraph"/>
              <w:spacing w:before="41"/>
              <w:ind w:left="110"/>
              <w:jc w:val="left"/>
              <w:rPr>
                <w:b/>
                <w:sz w:val="24"/>
              </w:rPr>
            </w:pPr>
            <w:r>
              <w:rPr>
                <w:b/>
                <w:sz w:val="24"/>
              </w:rPr>
              <w:t>No.</w:t>
            </w:r>
          </w:p>
        </w:tc>
        <w:tc>
          <w:tcPr>
            <w:tcW w:w="7796" w:type="dxa"/>
          </w:tcPr>
          <w:p w:rsidR="007C5447" w:rsidRDefault="00F6308C">
            <w:pPr>
              <w:pStyle w:val="TableParagraph"/>
              <w:spacing w:before="157"/>
              <w:ind w:left="108"/>
              <w:jc w:val="left"/>
              <w:rPr>
                <w:b/>
                <w:sz w:val="24"/>
              </w:rPr>
            </w:pPr>
            <w:r>
              <w:rPr>
                <w:b/>
                <w:sz w:val="24"/>
              </w:rPr>
              <w:t>Name &amp; address of the Speakers</w:t>
            </w:r>
          </w:p>
        </w:tc>
      </w:tr>
      <w:tr w:rsidR="007C5447">
        <w:trPr>
          <w:trHeight w:val="633"/>
        </w:trPr>
        <w:tc>
          <w:tcPr>
            <w:tcW w:w="710" w:type="dxa"/>
          </w:tcPr>
          <w:p w:rsidR="007C5447" w:rsidRDefault="00F6308C">
            <w:pPr>
              <w:pStyle w:val="TableParagraph"/>
              <w:spacing w:before="157"/>
              <w:ind w:left="110"/>
              <w:jc w:val="left"/>
              <w:rPr>
                <w:sz w:val="24"/>
              </w:rPr>
            </w:pPr>
            <w:r>
              <w:rPr>
                <w:sz w:val="24"/>
              </w:rPr>
              <w:t>19</w:t>
            </w:r>
          </w:p>
        </w:tc>
        <w:tc>
          <w:tcPr>
            <w:tcW w:w="7796" w:type="dxa"/>
          </w:tcPr>
          <w:p w:rsidR="007C5447" w:rsidRDefault="00F6308C">
            <w:pPr>
              <w:pStyle w:val="TableParagraph"/>
              <w:spacing w:line="275" w:lineRule="exact"/>
              <w:ind w:left="108"/>
              <w:jc w:val="left"/>
              <w:rPr>
                <w:sz w:val="24"/>
              </w:rPr>
            </w:pPr>
            <w:r>
              <w:rPr>
                <w:sz w:val="24"/>
              </w:rPr>
              <w:t>Thiru. K.C.M. Duraisamy, President, Tirupur Palladam Taluk Rice Mill</w:t>
            </w:r>
          </w:p>
          <w:p w:rsidR="007C5447" w:rsidRDefault="00F6308C">
            <w:pPr>
              <w:pStyle w:val="TableParagraph"/>
              <w:spacing w:before="41"/>
              <w:ind w:left="108"/>
              <w:jc w:val="left"/>
              <w:rPr>
                <w:sz w:val="24"/>
              </w:rPr>
            </w:pPr>
            <w:r>
              <w:rPr>
                <w:sz w:val="24"/>
              </w:rPr>
              <w:t>Owners’ Association, Tirupur - 641 604.</w:t>
            </w:r>
          </w:p>
        </w:tc>
      </w:tr>
      <w:tr w:rsidR="007C5447">
        <w:trPr>
          <w:trHeight w:val="635"/>
        </w:trPr>
        <w:tc>
          <w:tcPr>
            <w:tcW w:w="710" w:type="dxa"/>
          </w:tcPr>
          <w:p w:rsidR="007C5447" w:rsidRDefault="00F6308C">
            <w:pPr>
              <w:pStyle w:val="TableParagraph"/>
              <w:spacing w:before="159"/>
              <w:ind w:left="110"/>
              <w:jc w:val="left"/>
              <w:rPr>
                <w:sz w:val="24"/>
              </w:rPr>
            </w:pPr>
            <w:r>
              <w:rPr>
                <w:sz w:val="24"/>
              </w:rPr>
              <w:t>20</w:t>
            </w:r>
          </w:p>
        </w:tc>
        <w:tc>
          <w:tcPr>
            <w:tcW w:w="7796" w:type="dxa"/>
          </w:tcPr>
          <w:p w:rsidR="007C5447" w:rsidRDefault="00F6308C">
            <w:pPr>
              <w:pStyle w:val="TableParagraph"/>
              <w:spacing w:line="275" w:lineRule="exact"/>
              <w:ind w:left="108"/>
              <w:jc w:val="left"/>
              <w:rPr>
                <w:sz w:val="24"/>
              </w:rPr>
            </w:pPr>
            <w:r>
              <w:rPr>
                <w:sz w:val="24"/>
              </w:rPr>
              <w:t>Thiru. K. Eswaran, Sivabharathi Sintex India Private Ltd. Kurumbapalayam</w:t>
            </w:r>
          </w:p>
          <w:p w:rsidR="007C5447" w:rsidRDefault="00F6308C">
            <w:pPr>
              <w:pStyle w:val="TableParagraph"/>
              <w:spacing w:before="43"/>
              <w:ind w:left="108"/>
              <w:jc w:val="left"/>
              <w:rPr>
                <w:sz w:val="24"/>
              </w:rPr>
            </w:pPr>
            <w:r>
              <w:rPr>
                <w:sz w:val="24"/>
              </w:rPr>
              <w:t>(Post), Coimbatore - 107.</w:t>
            </w:r>
          </w:p>
        </w:tc>
      </w:tr>
      <w:tr w:rsidR="007C5447">
        <w:trPr>
          <w:trHeight w:val="952"/>
        </w:trPr>
        <w:tc>
          <w:tcPr>
            <w:tcW w:w="710" w:type="dxa"/>
          </w:tcPr>
          <w:p w:rsidR="007C5447" w:rsidRDefault="007C5447">
            <w:pPr>
              <w:pStyle w:val="TableParagraph"/>
              <w:spacing w:before="5"/>
              <w:jc w:val="left"/>
              <w:rPr>
                <w:b/>
                <w:sz w:val="27"/>
              </w:rPr>
            </w:pPr>
          </w:p>
          <w:p w:rsidR="007C5447" w:rsidRDefault="00F6308C">
            <w:pPr>
              <w:pStyle w:val="TableParagraph"/>
              <w:ind w:left="110"/>
              <w:jc w:val="left"/>
              <w:rPr>
                <w:sz w:val="24"/>
              </w:rPr>
            </w:pPr>
            <w:r>
              <w:rPr>
                <w:sz w:val="24"/>
              </w:rPr>
              <w:t>21</w:t>
            </w:r>
          </w:p>
        </w:tc>
        <w:tc>
          <w:tcPr>
            <w:tcW w:w="7796" w:type="dxa"/>
          </w:tcPr>
          <w:p w:rsidR="007C5447" w:rsidRDefault="00F6308C">
            <w:pPr>
              <w:pStyle w:val="TableParagraph"/>
              <w:spacing w:line="276" w:lineRule="auto"/>
              <w:ind w:left="108" w:right="745"/>
              <w:jc w:val="left"/>
              <w:rPr>
                <w:sz w:val="24"/>
              </w:rPr>
            </w:pPr>
            <w:r>
              <w:rPr>
                <w:sz w:val="24"/>
              </w:rPr>
              <w:t>Thiru. M. Murugan, Chief Executive Officer, MV Power Consultants &amp; Engineers (P) Ltd., Old No.38/6A, New No.14, I st Floor, M.V. Power</w:t>
            </w:r>
          </w:p>
          <w:p w:rsidR="007C5447" w:rsidRDefault="00F6308C">
            <w:pPr>
              <w:pStyle w:val="TableParagraph"/>
              <w:ind w:left="108"/>
              <w:jc w:val="left"/>
              <w:rPr>
                <w:sz w:val="24"/>
              </w:rPr>
            </w:pPr>
            <w:r>
              <w:rPr>
                <w:sz w:val="24"/>
              </w:rPr>
              <w:t>Complex, Alandhur Road, Saidapet, Chennai - 15.</w:t>
            </w:r>
          </w:p>
        </w:tc>
      </w:tr>
      <w:tr w:rsidR="007C5447">
        <w:trPr>
          <w:trHeight w:val="633"/>
        </w:trPr>
        <w:tc>
          <w:tcPr>
            <w:tcW w:w="710" w:type="dxa"/>
          </w:tcPr>
          <w:p w:rsidR="007C5447" w:rsidRDefault="00F6308C">
            <w:pPr>
              <w:pStyle w:val="TableParagraph"/>
              <w:spacing w:before="157"/>
              <w:ind w:left="110"/>
              <w:jc w:val="left"/>
              <w:rPr>
                <w:sz w:val="24"/>
              </w:rPr>
            </w:pPr>
            <w:r>
              <w:rPr>
                <w:sz w:val="24"/>
              </w:rPr>
              <w:t>22</w:t>
            </w:r>
          </w:p>
        </w:tc>
        <w:tc>
          <w:tcPr>
            <w:tcW w:w="7796" w:type="dxa"/>
          </w:tcPr>
          <w:p w:rsidR="007C5447" w:rsidRDefault="00F6308C">
            <w:pPr>
              <w:pStyle w:val="TableParagraph"/>
              <w:spacing w:line="275" w:lineRule="exact"/>
              <w:ind w:left="108"/>
              <w:jc w:val="left"/>
              <w:rPr>
                <w:sz w:val="24"/>
              </w:rPr>
            </w:pPr>
            <w:r>
              <w:rPr>
                <w:sz w:val="24"/>
              </w:rPr>
              <w:t>Thiru. R. Selvam, C/o Selvam Textiles, 1/99, Old Post Office Road,</w:t>
            </w:r>
          </w:p>
          <w:p w:rsidR="007C5447" w:rsidRDefault="00F6308C">
            <w:pPr>
              <w:pStyle w:val="TableParagraph"/>
              <w:spacing w:before="41"/>
              <w:ind w:left="108"/>
              <w:jc w:val="left"/>
              <w:rPr>
                <w:sz w:val="24"/>
              </w:rPr>
            </w:pPr>
            <w:r>
              <w:rPr>
                <w:sz w:val="24"/>
              </w:rPr>
              <w:t>Kangayampalayam - 641 401.</w:t>
            </w:r>
          </w:p>
        </w:tc>
      </w:tr>
      <w:tr w:rsidR="007C5447">
        <w:trPr>
          <w:trHeight w:val="398"/>
        </w:trPr>
        <w:tc>
          <w:tcPr>
            <w:tcW w:w="710" w:type="dxa"/>
          </w:tcPr>
          <w:p w:rsidR="007C5447" w:rsidRDefault="00F6308C">
            <w:pPr>
              <w:pStyle w:val="TableParagraph"/>
              <w:spacing w:before="39"/>
              <w:ind w:left="110"/>
              <w:jc w:val="left"/>
              <w:rPr>
                <w:sz w:val="24"/>
              </w:rPr>
            </w:pPr>
            <w:r>
              <w:rPr>
                <w:sz w:val="24"/>
              </w:rPr>
              <w:t>23</w:t>
            </w:r>
          </w:p>
        </w:tc>
        <w:tc>
          <w:tcPr>
            <w:tcW w:w="7796" w:type="dxa"/>
          </w:tcPr>
          <w:p w:rsidR="007C5447" w:rsidRDefault="00F6308C">
            <w:pPr>
              <w:pStyle w:val="TableParagraph"/>
              <w:spacing w:before="39"/>
              <w:ind w:left="108"/>
              <w:jc w:val="left"/>
              <w:rPr>
                <w:sz w:val="24"/>
              </w:rPr>
            </w:pPr>
            <w:r>
              <w:rPr>
                <w:sz w:val="24"/>
              </w:rPr>
              <w:t>Thiru. C. Krishnasamy, Electrical Supervisor,Central Prison, Coimbatore - 18.</w:t>
            </w:r>
          </w:p>
        </w:tc>
      </w:tr>
      <w:tr w:rsidR="007C5447">
        <w:trPr>
          <w:trHeight w:val="635"/>
        </w:trPr>
        <w:tc>
          <w:tcPr>
            <w:tcW w:w="710" w:type="dxa"/>
          </w:tcPr>
          <w:p w:rsidR="007C5447" w:rsidRDefault="00F6308C">
            <w:pPr>
              <w:pStyle w:val="TableParagraph"/>
              <w:spacing w:before="157"/>
              <w:ind w:left="110"/>
              <w:jc w:val="left"/>
              <w:rPr>
                <w:sz w:val="24"/>
              </w:rPr>
            </w:pPr>
            <w:r>
              <w:rPr>
                <w:sz w:val="24"/>
              </w:rPr>
              <w:t>24</w:t>
            </w:r>
          </w:p>
        </w:tc>
        <w:tc>
          <w:tcPr>
            <w:tcW w:w="7796" w:type="dxa"/>
          </w:tcPr>
          <w:p w:rsidR="007C5447" w:rsidRDefault="00F6308C">
            <w:pPr>
              <w:pStyle w:val="TableParagraph"/>
              <w:spacing w:line="275" w:lineRule="exact"/>
              <w:ind w:left="108"/>
              <w:jc w:val="left"/>
              <w:rPr>
                <w:sz w:val="24"/>
              </w:rPr>
            </w:pPr>
            <w:r>
              <w:rPr>
                <w:sz w:val="24"/>
              </w:rPr>
              <w:t>Thiru. S. Rama Subbu, Chief Electrical Distribution Engineer,</w:t>
            </w:r>
          </w:p>
          <w:p w:rsidR="007C5447" w:rsidRDefault="00F6308C">
            <w:pPr>
              <w:pStyle w:val="TableParagraph"/>
              <w:spacing w:before="41"/>
              <w:ind w:left="108"/>
              <w:jc w:val="left"/>
              <w:rPr>
                <w:sz w:val="24"/>
              </w:rPr>
            </w:pPr>
            <w:r>
              <w:rPr>
                <w:sz w:val="24"/>
              </w:rPr>
              <w:t>Southern Railway, Chennai - 02.</w:t>
            </w:r>
          </w:p>
        </w:tc>
      </w:tr>
      <w:tr w:rsidR="007C5447">
        <w:trPr>
          <w:trHeight w:val="952"/>
        </w:trPr>
        <w:tc>
          <w:tcPr>
            <w:tcW w:w="710" w:type="dxa"/>
          </w:tcPr>
          <w:p w:rsidR="007C5447" w:rsidRDefault="007C5447">
            <w:pPr>
              <w:pStyle w:val="TableParagraph"/>
              <w:spacing w:before="5"/>
              <w:jc w:val="left"/>
              <w:rPr>
                <w:b/>
                <w:sz w:val="27"/>
              </w:rPr>
            </w:pPr>
          </w:p>
          <w:p w:rsidR="007C5447" w:rsidRDefault="00F6308C">
            <w:pPr>
              <w:pStyle w:val="TableParagraph"/>
              <w:ind w:left="110"/>
              <w:jc w:val="left"/>
              <w:rPr>
                <w:sz w:val="24"/>
              </w:rPr>
            </w:pPr>
            <w:r>
              <w:rPr>
                <w:sz w:val="24"/>
              </w:rPr>
              <w:t>25</w:t>
            </w:r>
          </w:p>
        </w:tc>
        <w:tc>
          <w:tcPr>
            <w:tcW w:w="7796" w:type="dxa"/>
          </w:tcPr>
          <w:p w:rsidR="007C5447" w:rsidRDefault="00F6308C">
            <w:pPr>
              <w:pStyle w:val="TableParagraph"/>
              <w:spacing w:line="275" w:lineRule="exact"/>
              <w:ind w:left="108"/>
              <w:jc w:val="left"/>
              <w:rPr>
                <w:sz w:val="24"/>
              </w:rPr>
            </w:pPr>
            <w:r>
              <w:rPr>
                <w:sz w:val="24"/>
              </w:rPr>
              <w:t>Thiru. Arulmozhi, Secretary, Open End Spinning Mill Association,</w:t>
            </w:r>
          </w:p>
          <w:p w:rsidR="007C5447" w:rsidRDefault="00F6308C">
            <w:pPr>
              <w:pStyle w:val="TableParagraph"/>
              <w:spacing w:before="6" w:line="310" w:lineRule="atLeast"/>
              <w:ind w:left="108" w:right="458"/>
              <w:jc w:val="left"/>
              <w:rPr>
                <w:sz w:val="24"/>
              </w:rPr>
            </w:pPr>
            <w:r>
              <w:rPr>
                <w:sz w:val="24"/>
              </w:rPr>
              <w:t>67, CR Complex, Avinashi Road, Opposite SITRA, Civil Aerodrome Post, Coimbatore.</w:t>
            </w:r>
          </w:p>
        </w:tc>
      </w:tr>
      <w:tr w:rsidR="007C5447">
        <w:trPr>
          <w:trHeight w:val="633"/>
        </w:trPr>
        <w:tc>
          <w:tcPr>
            <w:tcW w:w="710" w:type="dxa"/>
          </w:tcPr>
          <w:p w:rsidR="007C5447" w:rsidRDefault="00F6308C">
            <w:pPr>
              <w:pStyle w:val="TableParagraph"/>
              <w:spacing w:before="157"/>
              <w:ind w:left="110"/>
              <w:jc w:val="left"/>
              <w:rPr>
                <w:sz w:val="24"/>
              </w:rPr>
            </w:pPr>
            <w:r>
              <w:rPr>
                <w:sz w:val="24"/>
              </w:rPr>
              <w:t>26</w:t>
            </w:r>
          </w:p>
        </w:tc>
        <w:tc>
          <w:tcPr>
            <w:tcW w:w="7796" w:type="dxa"/>
          </w:tcPr>
          <w:p w:rsidR="007C5447" w:rsidRDefault="00F6308C">
            <w:pPr>
              <w:pStyle w:val="TableParagraph"/>
              <w:spacing w:line="275" w:lineRule="exact"/>
              <w:ind w:left="108"/>
              <w:jc w:val="left"/>
              <w:rPr>
                <w:sz w:val="24"/>
              </w:rPr>
            </w:pPr>
            <w:r>
              <w:rPr>
                <w:sz w:val="24"/>
              </w:rPr>
              <w:t>Thiru. N. Selvaraj, No.24, Nehru Avenue, Maniakaran Palayam, Coimbatore-</w:t>
            </w:r>
          </w:p>
          <w:p w:rsidR="007C5447" w:rsidRDefault="00F6308C">
            <w:pPr>
              <w:pStyle w:val="TableParagraph"/>
              <w:spacing w:before="41"/>
              <w:ind w:left="108"/>
              <w:jc w:val="left"/>
              <w:rPr>
                <w:sz w:val="24"/>
              </w:rPr>
            </w:pPr>
            <w:r>
              <w:rPr>
                <w:sz w:val="24"/>
              </w:rPr>
              <w:t>06.</w:t>
            </w:r>
          </w:p>
        </w:tc>
      </w:tr>
      <w:tr w:rsidR="007C5447">
        <w:trPr>
          <w:trHeight w:val="635"/>
        </w:trPr>
        <w:tc>
          <w:tcPr>
            <w:tcW w:w="710" w:type="dxa"/>
          </w:tcPr>
          <w:p w:rsidR="007C5447" w:rsidRDefault="00F6308C">
            <w:pPr>
              <w:pStyle w:val="TableParagraph"/>
              <w:spacing w:before="159"/>
              <w:ind w:left="110"/>
              <w:jc w:val="left"/>
              <w:rPr>
                <w:sz w:val="24"/>
              </w:rPr>
            </w:pPr>
            <w:r>
              <w:rPr>
                <w:sz w:val="24"/>
              </w:rPr>
              <w:t>27</w:t>
            </w:r>
          </w:p>
        </w:tc>
        <w:tc>
          <w:tcPr>
            <w:tcW w:w="7796" w:type="dxa"/>
          </w:tcPr>
          <w:p w:rsidR="007C5447" w:rsidRDefault="00F6308C">
            <w:pPr>
              <w:pStyle w:val="TableParagraph"/>
              <w:spacing w:line="275" w:lineRule="exact"/>
              <w:ind w:left="108"/>
              <w:jc w:val="left"/>
              <w:rPr>
                <w:sz w:val="24"/>
              </w:rPr>
            </w:pPr>
            <w:r>
              <w:rPr>
                <w:sz w:val="24"/>
              </w:rPr>
              <w:t>Thiru. N. Logu, Secretary, Coimbatore Consumer Voice, Opposite Medical</w:t>
            </w:r>
          </w:p>
          <w:p w:rsidR="007C5447" w:rsidRDefault="00F6308C">
            <w:pPr>
              <w:pStyle w:val="TableParagraph"/>
              <w:spacing w:before="43"/>
              <w:ind w:left="108"/>
              <w:jc w:val="left"/>
              <w:rPr>
                <w:sz w:val="24"/>
              </w:rPr>
            </w:pPr>
            <w:r>
              <w:rPr>
                <w:sz w:val="24"/>
              </w:rPr>
              <w:t>College, Avinashi Road, Coimbatore - 14.</w:t>
            </w:r>
          </w:p>
        </w:tc>
      </w:tr>
      <w:tr w:rsidR="007C5447">
        <w:trPr>
          <w:trHeight w:val="636"/>
        </w:trPr>
        <w:tc>
          <w:tcPr>
            <w:tcW w:w="710" w:type="dxa"/>
          </w:tcPr>
          <w:p w:rsidR="007C5447" w:rsidRDefault="00F6308C">
            <w:pPr>
              <w:pStyle w:val="TableParagraph"/>
              <w:spacing w:before="157"/>
              <w:ind w:left="110"/>
              <w:jc w:val="left"/>
              <w:rPr>
                <w:sz w:val="24"/>
              </w:rPr>
            </w:pPr>
            <w:r>
              <w:rPr>
                <w:sz w:val="24"/>
              </w:rPr>
              <w:t>28</w:t>
            </w:r>
          </w:p>
        </w:tc>
        <w:tc>
          <w:tcPr>
            <w:tcW w:w="7796" w:type="dxa"/>
          </w:tcPr>
          <w:p w:rsidR="007C5447" w:rsidRDefault="00F6308C">
            <w:pPr>
              <w:pStyle w:val="TableParagraph"/>
              <w:spacing w:line="275" w:lineRule="exact"/>
              <w:ind w:left="108"/>
              <w:jc w:val="left"/>
              <w:rPr>
                <w:sz w:val="24"/>
              </w:rPr>
            </w:pPr>
            <w:r>
              <w:rPr>
                <w:sz w:val="24"/>
              </w:rPr>
              <w:t>Thiru. K. Natarajan, 11-Mookambigai Nagar, 1st Street, Ganapathy,</w:t>
            </w:r>
          </w:p>
          <w:p w:rsidR="007C5447" w:rsidRDefault="00F6308C">
            <w:pPr>
              <w:pStyle w:val="TableParagraph"/>
              <w:spacing w:before="41"/>
              <w:ind w:left="108"/>
              <w:jc w:val="left"/>
              <w:rPr>
                <w:sz w:val="24"/>
              </w:rPr>
            </w:pPr>
            <w:r>
              <w:rPr>
                <w:sz w:val="24"/>
              </w:rPr>
              <w:t>Coimbatore-06.</w:t>
            </w:r>
          </w:p>
        </w:tc>
      </w:tr>
      <w:tr w:rsidR="007C5447">
        <w:trPr>
          <w:trHeight w:val="633"/>
        </w:trPr>
        <w:tc>
          <w:tcPr>
            <w:tcW w:w="710" w:type="dxa"/>
          </w:tcPr>
          <w:p w:rsidR="007C5447" w:rsidRDefault="00F6308C">
            <w:pPr>
              <w:pStyle w:val="TableParagraph"/>
              <w:spacing w:before="157"/>
              <w:ind w:left="110"/>
              <w:jc w:val="left"/>
              <w:rPr>
                <w:sz w:val="24"/>
              </w:rPr>
            </w:pPr>
            <w:r>
              <w:rPr>
                <w:sz w:val="24"/>
              </w:rPr>
              <w:t>29</w:t>
            </w:r>
          </w:p>
        </w:tc>
        <w:tc>
          <w:tcPr>
            <w:tcW w:w="7796" w:type="dxa"/>
          </w:tcPr>
          <w:p w:rsidR="007C5447" w:rsidRDefault="00F6308C">
            <w:pPr>
              <w:pStyle w:val="TableParagraph"/>
              <w:spacing w:line="275" w:lineRule="exact"/>
              <w:ind w:left="108"/>
              <w:jc w:val="left"/>
              <w:rPr>
                <w:sz w:val="24"/>
              </w:rPr>
            </w:pPr>
            <w:r>
              <w:rPr>
                <w:sz w:val="24"/>
              </w:rPr>
              <w:t>Thiru. N. Sundarajan, Ex- Assistant Engineer, TNEB No.232, Nethaji Road,</w:t>
            </w:r>
          </w:p>
          <w:p w:rsidR="007C5447" w:rsidRDefault="00F6308C">
            <w:pPr>
              <w:pStyle w:val="TableParagraph"/>
              <w:spacing w:before="41"/>
              <w:ind w:left="108"/>
              <w:jc w:val="left"/>
              <w:rPr>
                <w:sz w:val="24"/>
              </w:rPr>
            </w:pPr>
            <w:r>
              <w:rPr>
                <w:sz w:val="24"/>
              </w:rPr>
              <w:t>Pappanayakanpalayam, Coimbatore-37.</w:t>
            </w:r>
          </w:p>
        </w:tc>
      </w:tr>
      <w:tr w:rsidR="007C5447">
        <w:trPr>
          <w:trHeight w:val="635"/>
        </w:trPr>
        <w:tc>
          <w:tcPr>
            <w:tcW w:w="710" w:type="dxa"/>
          </w:tcPr>
          <w:p w:rsidR="007C5447" w:rsidRDefault="00F6308C">
            <w:pPr>
              <w:pStyle w:val="TableParagraph"/>
              <w:spacing w:before="157"/>
              <w:ind w:left="110"/>
              <w:jc w:val="left"/>
              <w:rPr>
                <w:sz w:val="24"/>
              </w:rPr>
            </w:pPr>
            <w:r>
              <w:rPr>
                <w:sz w:val="24"/>
              </w:rPr>
              <w:t>30</w:t>
            </w:r>
          </w:p>
        </w:tc>
        <w:tc>
          <w:tcPr>
            <w:tcW w:w="7796" w:type="dxa"/>
          </w:tcPr>
          <w:p w:rsidR="007C5447" w:rsidRDefault="00F6308C">
            <w:pPr>
              <w:pStyle w:val="TableParagraph"/>
              <w:spacing w:line="275" w:lineRule="exact"/>
              <w:ind w:left="108"/>
              <w:jc w:val="left"/>
              <w:rPr>
                <w:sz w:val="24"/>
              </w:rPr>
            </w:pPr>
            <w:r>
              <w:rPr>
                <w:sz w:val="24"/>
              </w:rPr>
              <w:t>Thiru. V. Arunachalam, Kovai Solar Power (P) Ltd, Kovai Tower, 2nd Floor,</w:t>
            </w:r>
          </w:p>
          <w:p w:rsidR="007C5447" w:rsidRDefault="00F6308C">
            <w:pPr>
              <w:pStyle w:val="TableParagraph"/>
              <w:spacing w:before="43"/>
              <w:ind w:left="108"/>
              <w:jc w:val="left"/>
              <w:rPr>
                <w:sz w:val="24"/>
              </w:rPr>
            </w:pPr>
            <w:r>
              <w:rPr>
                <w:sz w:val="24"/>
              </w:rPr>
              <w:t>No.44, Dr. Balasundaram Road, Coimbatore - 641 018.</w:t>
            </w:r>
          </w:p>
        </w:tc>
      </w:tr>
      <w:tr w:rsidR="007C5447">
        <w:trPr>
          <w:trHeight w:val="633"/>
        </w:trPr>
        <w:tc>
          <w:tcPr>
            <w:tcW w:w="710" w:type="dxa"/>
          </w:tcPr>
          <w:p w:rsidR="007C5447" w:rsidRDefault="00F6308C">
            <w:pPr>
              <w:pStyle w:val="TableParagraph"/>
              <w:spacing w:before="157"/>
              <w:ind w:left="110"/>
              <w:jc w:val="left"/>
              <w:rPr>
                <w:sz w:val="24"/>
              </w:rPr>
            </w:pPr>
            <w:r>
              <w:rPr>
                <w:sz w:val="24"/>
              </w:rPr>
              <w:t>31</w:t>
            </w:r>
          </w:p>
        </w:tc>
        <w:tc>
          <w:tcPr>
            <w:tcW w:w="7796" w:type="dxa"/>
          </w:tcPr>
          <w:p w:rsidR="007C5447" w:rsidRDefault="00F6308C">
            <w:pPr>
              <w:pStyle w:val="TableParagraph"/>
              <w:spacing w:line="275" w:lineRule="exact"/>
              <w:ind w:left="108"/>
              <w:jc w:val="left"/>
              <w:rPr>
                <w:sz w:val="24"/>
              </w:rPr>
            </w:pPr>
            <w:r>
              <w:rPr>
                <w:sz w:val="24"/>
              </w:rPr>
              <w:t>Thiru. M. Murugesan, General Secretary, Power Engineers Society of</w:t>
            </w:r>
          </w:p>
          <w:p w:rsidR="007C5447" w:rsidRDefault="00F6308C">
            <w:pPr>
              <w:pStyle w:val="TableParagraph"/>
              <w:spacing w:before="41"/>
              <w:ind w:left="108"/>
              <w:jc w:val="left"/>
              <w:rPr>
                <w:sz w:val="24"/>
              </w:rPr>
            </w:pPr>
            <w:r>
              <w:rPr>
                <w:sz w:val="24"/>
              </w:rPr>
              <w:t>TamilNadu (PESOT), 74, Swarnambika Layout, Coimbatore-09.</w:t>
            </w:r>
          </w:p>
        </w:tc>
      </w:tr>
      <w:tr w:rsidR="007C5447">
        <w:trPr>
          <w:trHeight w:val="635"/>
        </w:trPr>
        <w:tc>
          <w:tcPr>
            <w:tcW w:w="710" w:type="dxa"/>
          </w:tcPr>
          <w:p w:rsidR="007C5447" w:rsidRDefault="00F6308C">
            <w:pPr>
              <w:pStyle w:val="TableParagraph"/>
              <w:spacing w:before="159"/>
              <w:ind w:left="110"/>
              <w:jc w:val="left"/>
              <w:rPr>
                <w:sz w:val="24"/>
              </w:rPr>
            </w:pPr>
            <w:r>
              <w:rPr>
                <w:sz w:val="24"/>
              </w:rPr>
              <w:t>32</w:t>
            </w:r>
          </w:p>
        </w:tc>
        <w:tc>
          <w:tcPr>
            <w:tcW w:w="7796" w:type="dxa"/>
          </w:tcPr>
          <w:p w:rsidR="007C5447" w:rsidRDefault="00F6308C">
            <w:pPr>
              <w:pStyle w:val="TableParagraph"/>
              <w:spacing w:before="1"/>
              <w:ind w:left="108"/>
              <w:jc w:val="left"/>
              <w:rPr>
                <w:sz w:val="24"/>
              </w:rPr>
            </w:pPr>
            <w:r>
              <w:rPr>
                <w:sz w:val="24"/>
              </w:rPr>
              <w:t>Thiru. S. Nedunchezhiyan, Thiruvalluvar Illam, No.21, S.K.C. Road, Erode-</w:t>
            </w:r>
          </w:p>
          <w:p w:rsidR="007C5447" w:rsidRDefault="00F6308C">
            <w:pPr>
              <w:pStyle w:val="TableParagraph"/>
              <w:spacing w:before="41"/>
              <w:ind w:left="108"/>
              <w:jc w:val="left"/>
              <w:rPr>
                <w:sz w:val="24"/>
              </w:rPr>
            </w:pPr>
            <w:r>
              <w:rPr>
                <w:sz w:val="24"/>
              </w:rPr>
              <w:t>01.</w:t>
            </w:r>
          </w:p>
        </w:tc>
      </w:tr>
      <w:tr w:rsidR="007C5447">
        <w:trPr>
          <w:trHeight w:val="950"/>
        </w:trPr>
        <w:tc>
          <w:tcPr>
            <w:tcW w:w="710" w:type="dxa"/>
            <w:tcBorders>
              <w:bottom w:val="single" w:sz="6" w:space="0" w:color="000000"/>
            </w:tcBorders>
          </w:tcPr>
          <w:p w:rsidR="007C5447" w:rsidRDefault="007C5447">
            <w:pPr>
              <w:pStyle w:val="TableParagraph"/>
              <w:spacing w:before="5"/>
              <w:jc w:val="left"/>
              <w:rPr>
                <w:b/>
                <w:sz w:val="27"/>
              </w:rPr>
            </w:pPr>
          </w:p>
          <w:p w:rsidR="007C5447" w:rsidRDefault="00F6308C">
            <w:pPr>
              <w:pStyle w:val="TableParagraph"/>
              <w:ind w:left="110"/>
              <w:jc w:val="left"/>
              <w:rPr>
                <w:sz w:val="24"/>
              </w:rPr>
            </w:pPr>
            <w:r>
              <w:rPr>
                <w:sz w:val="24"/>
              </w:rPr>
              <w:t>33</w:t>
            </w:r>
          </w:p>
        </w:tc>
        <w:tc>
          <w:tcPr>
            <w:tcW w:w="7796" w:type="dxa"/>
            <w:tcBorders>
              <w:bottom w:val="single" w:sz="6" w:space="0" w:color="000000"/>
            </w:tcBorders>
          </w:tcPr>
          <w:p w:rsidR="007C5447" w:rsidRDefault="00F6308C">
            <w:pPr>
              <w:pStyle w:val="TableParagraph"/>
              <w:spacing w:line="276" w:lineRule="auto"/>
              <w:ind w:left="108" w:right="293"/>
              <w:jc w:val="left"/>
              <w:rPr>
                <w:sz w:val="24"/>
              </w:rPr>
            </w:pPr>
            <w:r>
              <w:rPr>
                <w:sz w:val="24"/>
              </w:rPr>
              <w:t>Thiru. Era. Velusamy, President, Tirupur District Job Work Power loom weavers Association, 2/391, Udumalai Road, P. Vadugapalayam, Palladam -</w:t>
            </w:r>
          </w:p>
          <w:p w:rsidR="007C5447" w:rsidRDefault="00F6308C">
            <w:pPr>
              <w:pStyle w:val="TableParagraph"/>
              <w:ind w:left="108"/>
              <w:jc w:val="left"/>
              <w:rPr>
                <w:sz w:val="24"/>
              </w:rPr>
            </w:pPr>
            <w:r>
              <w:rPr>
                <w:sz w:val="24"/>
              </w:rPr>
              <w:t>641 664.</w:t>
            </w:r>
          </w:p>
        </w:tc>
      </w:tr>
      <w:tr w:rsidR="007C5447">
        <w:trPr>
          <w:trHeight w:val="633"/>
        </w:trPr>
        <w:tc>
          <w:tcPr>
            <w:tcW w:w="710" w:type="dxa"/>
            <w:tcBorders>
              <w:top w:val="single" w:sz="6" w:space="0" w:color="000000"/>
            </w:tcBorders>
          </w:tcPr>
          <w:p w:rsidR="007C5447" w:rsidRDefault="00F6308C">
            <w:pPr>
              <w:pStyle w:val="TableParagraph"/>
              <w:spacing w:before="155"/>
              <w:ind w:left="110"/>
              <w:jc w:val="left"/>
              <w:rPr>
                <w:sz w:val="24"/>
              </w:rPr>
            </w:pPr>
            <w:r>
              <w:rPr>
                <w:sz w:val="24"/>
              </w:rPr>
              <w:t>34</w:t>
            </w:r>
          </w:p>
        </w:tc>
        <w:tc>
          <w:tcPr>
            <w:tcW w:w="7796" w:type="dxa"/>
            <w:tcBorders>
              <w:top w:val="single" w:sz="6" w:space="0" w:color="000000"/>
            </w:tcBorders>
          </w:tcPr>
          <w:p w:rsidR="007C5447" w:rsidRDefault="00F6308C">
            <w:pPr>
              <w:pStyle w:val="TableParagraph"/>
              <w:spacing w:line="273" w:lineRule="exact"/>
              <w:ind w:left="108"/>
              <w:jc w:val="left"/>
              <w:rPr>
                <w:sz w:val="24"/>
              </w:rPr>
            </w:pPr>
            <w:r>
              <w:rPr>
                <w:sz w:val="24"/>
              </w:rPr>
              <w:t>Thiru. S. Sanjay Kondass, Managing Director, Kondass Automation Pvt. Ltd.,</w:t>
            </w:r>
          </w:p>
          <w:p w:rsidR="007C5447" w:rsidRDefault="00F6308C">
            <w:pPr>
              <w:pStyle w:val="TableParagraph"/>
              <w:spacing w:before="41"/>
              <w:ind w:left="108"/>
              <w:jc w:val="left"/>
              <w:rPr>
                <w:sz w:val="24"/>
              </w:rPr>
            </w:pPr>
            <w:r>
              <w:rPr>
                <w:sz w:val="24"/>
              </w:rPr>
              <w:t>5B, Sri Alamelu Nagar, Kamaraj Road, Coimbatore-641 015.</w:t>
            </w:r>
          </w:p>
        </w:tc>
      </w:tr>
      <w:tr w:rsidR="007C5447">
        <w:trPr>
          <w:trHeight w:val="633"/>
        </w:trPr>
        <w:tc>
          <w:tcPr>
            <w:tcW w:w="710" w:type="dxa"/>
          </w:tcPr>
          <w:p w:rsidR="007C5447" w:rsidRDefault="00F6308C">
            <w:pPr>
              <w:pStyle w:val="TableParagraph"/>
              <w:spacing w:before="157"/>
              <w:ind w:left="110"/>
              <w:jc w:val="left"/>
              <w:rPr>
                <w:sz w:val="24"/>
              </w:rPr>
            </w:pPr>
            <w:r>
              <w:rPr>
                <w:sz w:val="24"/>
              </w:rPr>
              <w:t>35</w:t>
            </w:r>
          </w:p>
        </w:tc>
        <w:tc>
          <w:tcPr>
            <w:tcW w:w="7796" w:type="dxa"/>
          </w:tcPr>
          <w:p w:rsidR="007C5447" w:rsidRDefault="00F6308C">
            <w:pPr>
              <w:pStyle w:val="TableParagraph"/>
              <w:spacing w:line="275" w:lineRule="exact"/>
              <w:ind w:left="108"/>
              <w:jc w:val="left"/>
              <w:rPr>
                <w:sz w:val="24"/>
              </w:rPr>
            </w:pPr>
            <w:r>
              <w:rPr>
                <w:sz w:val="24"/>
              </w:rPr>
              <w:t>Thiru. K.A. Mohammed Anoo, 10/11, Kasthuri Layout, Kalavai,</w:t>
            </w:r>
          </w:p>
          <w:p w:rsidR="007C5447" w:rsidRDefault="00F6308C">
            <w:pPr>
              <w:pStyle w:val="TableParagraph"/>
              <w:spacing w:before="41"/>
              <w:ind w:left="108"/>
              <w:jc w:val="left"/>
              <w:rPr>
                <w:sz w:val="24"/>
              </w:rPr>
            </w:pPr>
            <w:r>
              <w:rPr>
                <w:sz w:val="24"/>
              </w:rPr>
              <w:t>Kuniamuthur, Coimbatore - 641 008.</w:t>
            </w:r>
            <w:r>
              <w:rPr>
                <w:spacing w:val="58"/>
                <w:sz w:val="24"/>
              </w:rPr>
              <w:t xml:space="preserve"> </w:t>
            </w:r>
            <w:r>
              <w:rPr>
                <w:sz w:val="24"/>
              </w:rPr>
              <w:t>.</w:t>
            </w:r>
          </w:p>
        </w:tc>
      </w:tr>
      <w:tr w:rsidR="007C5447">
        <w:trPr>
          <w:trHeight w:val="635"/>
        </w:trPr>
        <w:tc>
          <w:tcPr>
            <w:tcW w:w="710" w:type="dxa"/>
          </w:tcPr>
          <w:p w:rsidR="007C5447" w:rsidRDefault="00F6308C">
            <w:pPr>
              <w:pStyle w:val="TableParagraph"/>
              <w:spacing w:before="159"/>
              <w:ind w:left="110"/>
              <w:jc w:val="left"/>
              <w:rPr>
                <w:sz w:val="24"/>
              </w:rPr>
            </w:pPr>
            <w:r>
              <w:rPr>
                <w:sz w:val="24"/>
              </w:rPr>
              <w:t>36</w:t>
            </w:r>
          </w:p>
        </w:tc>
        <w:tc>
          <w:tcPr>
            <w:tcW w:w="7796" w:type="dxa"/>
          </w:tcPr>
          <w:p w:rsidR="007C5447" w:rsidRDefault="00F6308C">
            <w:pPr>
              <w:pStyle w:val="TableParagraph"/>
              <w:spacing w:line="275" w:lineRule="exact"/>
              <w:ind w:left="108"/>
              <w:jc w:val="left"/>
              <w:rPr>
                <w:sz w:val="24"/>
              </w:rPr>
            </w:pPr>
            <w:r>
              <w:rPr>
                <w:sz w:val="24"/>
              </w:rPr>
              <w:t>Thiru. K. Natrayan, 210/16, Udumalpet Road, Near Kumar weigh Bridge,</w:t>
            </w:r>
          </w:p>
          <w:p w:rsidR="007C5447" w:rsidRDefault="00F6308C">
            <w:pPr>
              <w:pStyle w:val="TableParagraph"/>
              <w:spacing w:before="43"/>
              <w:ind w:left="108"/>
              <w:jc w:val="left"/>
              <w:rPr>
                <w:sz w:val="24"/>
              </w:rPr>
            </w:pPr>
            <w:r>
              <w:rPr>
                <w:sz w:val="24"/>
              </w:rPr>
              <w:t>Pollachi, Coimbatore.</w:t>
            </w:r>
          </w:p>
        </w:tc>
      </w:tr>
      <w:tr w:rsidR="007C5447">
        <w:trPr>
          <w:trHeight w:val="398"/>
        </w:trPr>
        <w:tc>
          <w:tcPr>
            <w:tcW w:w="710" w:type="dxa"/>
          </w:tcPr>
          <w:p w:rsidR="007C5447" w:rsidRDefault="00F6308C">
            <w:pPr>
              <w:pStyle w:val="TableParagraph"/>
              <w:spacing w:before="39"/>
              <w:ind w:left="110"/>
              <w:jc w:val="left"/>
              <w:rPr>
                <w:sz w:val="24"/>
              </w:rPr>
            </w:pPr>
            <w:r>
              <w:rPr>
                <w:sz w:val="24"/>
              </w:rPr>
              <w:t>37</w:t>
            </w:r>
          </w:p>
        </w:tc>
        <w:tc>
          <w:tcPr>
            <w:tcW w:w="7796" w:type="dxa"/>
          </w:tcPr>
          <w:p w:rsidR="007C5447" w:rsidRDefault="00F6308C">
            <w:pPr>
              <w:pStyle w:val="TableParagraph"/>
              <w:spacing w:before="39"/>
              <w:ind w:left="108"/>
              <w:jc w:val="left"/>
              <w:rPr>
                <w:sz w:val="24"/>
              </w:rPr>
            </w:pPr>
            <w:r>
              <w:rPr>
                <w:sz w:val="24"/>
              </w:rPr>
              <w:t>Thiru. R. Balasubramanian, General Secretary, Federation of Consumer</w:t>
            </w:r>
          </w:p>
        </w:tc>
      </w:tr>
    </w:tbl>
    <w:p w:rsidR="007C5447" w:rsidRDefault="007C5447">
      <w:pPr>
        <w:rPr>
          <w:sz w:val="24"/>
        </w:rPr>
        <w:sectPr w:rsidR="007C5447">
          <w:pgSz w:w="11910" w:h="16840"/>
          <w:pgMar w:top="1420" w:right="1300" w:bottom="960" w:left="1000" w:header="0" w:footer="777" w:gutter="0"/>
          <w:cols w:space="720"/>
        </w:sectPr>
      </w:pPr>
    </w:p>
    <w:tbl>
      <w:tblPr>
        <w:tblW w:w="0" w:type="auto"/>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7796"/>
      </w:tblGrid>
      <w:tr w:rsidR="007C5447">
        <w:trPr>
          <w:trHeight w:val="636"/>
        </w:trPr>
        <w:tc>
          <w:tcPr>
            <w:tcW w:w="710" w:type="dxa"/>
          </w:tcPr>
          <w:p w:rsidR="007C5447" w:rsidRDefault="00F6308C">
            <w:pPr>
              <w:pStyle w:val="TableParagraph"/>
              <w:spacing w:line="275" w:lineRule="exact"/>
              <w:ind w:left="110"/>
              <w:jc w:val="left"/>
              <w:rPr>
                <w:b/>
                <w:sz w:val="24"/>
              </w:rPr>
            </w:pPr>
            <w:r>
              <w:rPr>
                <w:b/>
                <w:sz w:val="24"/>
              </w:rPr>
              <w:lastRenderedPageBreak/>
              <w:t>S.</w:t>
            </w:r>
          </w:p>
          <w:p w:rsidR="007C5447" w:rsidRDefault="00F6308C">
            <w:pPr>
              <w:pStyle w:val="TableParagraph"/>
              <w:spacing w:before="41"/>
              <w:ind w:left="110"/>
              <w:jc w:val="left"/>
              <w:rPr>
                <w:b/>
                <w:sz w:val="24"/>
              </w:rPr>
            </w:pPr>
            <w:r>
              <w:rPr>
                <w:b/>
                <w:sz w:val="24"/>
              </w:rPr>
              <w:t>No.</w:t>
            </w:r>
          </w:p>
        </w:tc>
        <w:tc>
          <w:tcPr>
            <w:tcW w:w="7796" w:type="dxa"/>
          </w:tcPr>
          <w:p w:rsidR="007C5447" w:rsidRDefault="00F6308C">
            <w:pPr>
              <w:pStyle w:val="TableParagraph"/>
              <w:spacing w:before="157"/>
              <w:ind w:left="108"/>
              <w:jc w:val="left"/>
              <w:rPr>
                <w:b/>
                <w:sz w:val="24"/>
              </w:rPr>
            </w:pPr>
            <w:r>
              <w:rPr>
                <w:b/>
                <w:sz w:val="24"/>
              </w:rPr>
              <w:t>Name &amp; address of the Speakers</w:t>
            </w:r>
          </w:p>
        </w:tc>
      </w:tr>
      <w:tr w:rsidR="007C5447">
        <w:trPr>
          <w:trHeight w:val="633"/>
        </w:trPr>
        <w:tc>
          <w:tcPr>
            <w:tcW w:w="710" w:type="dxa"/>
          </w:tcPr>
          <w:p w:rsidR="007C5447" w:rsidRDefault="007C5447">
            <w:pPr>
              <w:pStyle w:val="TableParagraph"/>
              <w:jc w:val="left"/>
              <w:rPr>
                <w:sz w:val="24"/>
              </w:rPr>
            </w:pPr>
          </w:p>
        </w:tc>
        <w:tc>
          <w:tcPr>
            <w:tcW w:w="7796" w:type="dxa"/>
          </w:tcPr>
          <w:p w:rsidR="007C5447" w:rsidRDefault="00F6308C">
            <w:pPr>
              <w:pStyle w:val="TableParagraph"/>
              <w:spacing w:line="275" w:lineRule="exact"/>
              <w:ind w:left="108"/>
              <w:jc w:val="left"/>
              <w:rPr>
                <w:sz w:val="24"/>
              </w:rPr>
            </w:pPr>
            <w:r>
              <w:rPr>
                <w:sz w:val="24"/>
              </w:rPr>
              <w:t>Organisation, Tamilnadu &amp; Puducherry - FECOT. Nava Bhavan Buildings,</w:t>
            </w:r>
          </w:p>
          <w:p w:rsidR="007C5447" w:rsidRDefault="00F6308C">
            <w:pPr>
              <w:pStyle w:val="TableParagraph"/>
              <w:spacing w:before="41"/>
              <w:ind w:left="108"/>
              <w:jc w:val="left"/>
              <w:rPr>
                <w:sz w:val="24"/>
              </w:rPr>
            </w:pPr>
            <w:r>
              <w:rPr>
                <w:sz w:val="24"/>
              </w:rPr>
              <w:t>Brough Road, Erode - 638 001.</w:t>
            </w:r>
          </w:p>
        </w:tc>
      </w:tr>
      <w:tr w:rsidR="007C5447">
        <w:trPr>
          <w:trHeight w:val="397"/>
        </w:trPr>
        <w:tc>
          <w:tcPr>
            <w:tcW w:w="710" w:type="dxa"/>
          </w:tcPr>
          <w:p w:rsidR="007C5447" w:rsidRDefault="00F6308C">
            <w:pPr>
              <w:pStyle w:val="TableParagraph"/>
              <w:spacing w:before="39"/>
              <w:ind w:left="110"/>
              <w:jc w:val="left"/>
              <w:rPr>
                <w:sz w:val="24"/>
              </w:rPr>
            </w:pPr>
            <w:r>
              <w:rPr>
                <w:sz w:val="24"/>
              </w:rPr>
              <w:t>38</w:t>
            </w:r>
          </w:p>
        </w:tc>
        <w:tc>
          <w:tcPr>
            <w:tcW w:w="7796" w:type="dxa"/>
          </w:tcPr>
          <w:p w:rsidR="007C5447" w:rsidRDefault="00F6308C">
            <w:pPr>
              <w:pStyle w:val="TableParagraph"/>
              <w:spacing w:before="39"/>
              <w:ind w:left="108"/>
              <w:jc w:val="left"/>
              <w:rPr>
                <w:sz w:val="24"/>
              </w:rPr>
            </w:pPr>
            <w:r>
              <w:rPr>
                <w:sz w:val="24"/>
              </w:rPr>
              <w:t>Thiru. C.M. Jayaraman, Citizens Voice, Coimbatore.</w:t>
            </w:r>
          </w:p>
        </w:tc>
      </w:tr>
      <w:tr w:rsidR="007C5447">
        <w:trPr>
          <w:trHeight w:val="635"/>
        </w:trPr>
        <w:tc>
          <w:tcPr>
            <w:tcW w:w="710" w:type="dxa"/>
          </w:tcPr>
          <w:p w:rsidR="007C5447" w:rsidRDefault="00F6308C">
            <w:pPr>
              <w:pStyle w:val="TableParagraph"/>
              <w:spacing w:before="157"/>
              <w:ind w:left="110"/>
              <w:jc w:val="left"/>
              <w:rPr>
                <w:sz w:val="24"/>
              </w:rPr>
            </w:pPr>
            <w:r>
              <w:rPr>
                <w:sz w:val="24"/>
              </w:rPr>
              <w:t>39</w:t>
            </w:r>
          </w:p>
        </w:tc>
        <w:tc>
          <w:tcPr>
            <w:tcW w:w="7796" w:type="dxa"/>
          </w:tcPr>
          <w:p w:rsidR="007C5447" w:rsidRDefault="00F6308C">
            <w:pPr>
              <w:pStyle w:val="TableParagraph"/>
              <w:spacing w:line="275" w:lineRule="exact"/>
              <w:ind w:left="108"/>
              <w:jc w:val="left"/>
              <w:rPr>
                <w:sz w:val="24"/>
              </w:rPr>
            </w:pPr>
            <w:r>
              <w:rPr>
                <w:sz w:val="24"/>
              </w:rPr>
              <w:t>Thiru. R. Shantha Kumar, Member, Code Review Panel of TANGEDCO,</w:t>
            </w:r>
          </w:p>
          <w:p w:rsidR="007C5447" w:rsidRDefault="00F6308C">
            <w:pPr>
              <w:pStyle w:val="TableParagraph"/>
              <w:spacing w:before="41"/>
              <w:ind w:left="108"/>
              <w:jc w:val="left"/>
              <w:rPr>
                <w:sz w:val="24"/>
              </w:rPr>
            </w:pPr>
            <w:r>
              <w:rPr>
                <w:sz w:val="24"/>
              </w:rPr>
              <w:t>No.81, West Venkatasamy Road, R.S. Puram, Coimbatore - 02.</w:t>
            </w:r>
          </w:p>
        </w:tc>
      </w:tr>
      <w:tr w:rsidR="007C5447">
        <w:trPr>
          <w:trHeight w:val="633"/>
        </w:trPr>
        <w:tc>
          <w:tcPr>
            <w:tcW w:w="710" w:type="dxa"/>
          </w:tcPr>
          <w:p w:rsidR="007C5447" w:rsidRDefault="00F6308C">
            <w:pPr>
              <w:pStyle w:val="TableParagraph"/>
              <w:spacing w:before="157"/>
              <w:ind w:left="110"/>
              <w:jc w:val="left"/>
              <w:rPr>
                <w:sz w:val="24"/>
              </w:rPr>
            </w:pPr>
            <w:r>
              <w:rPr>
                <w:sz w:val="24"/>
              </w:rPr>
              <w:t>40</w:t>
            </w:r>
          </w:p>
        </w:tc>
        <w:tc>
          <w:tcPr>
            <w:tcW w:w="7796" w:type="dxa"/>
          </w:tcPr>
          <w:p w:rsidR="007C5447" w:rsidRDefault="00F6308C">
            <w:pPr>
              <w:pStyle w:val="TableParagraph"/>
              <w:spacing w:line="275" w:lineRule="exact"/>
              <w:ind w:left="108"/>
              <w:jc w:val="left"/>
              <w:rPr>
                <w:sz w:val="24"/>
              </w:rPr>
            </w:pPr>
            <w:r>
              <w:rPr>
                <w:sz w:val="24"/>
              </w:rPr>
              <w:t>Thiru. A. Ramachandran, 3/8, Cheran Residency, Karumathanpatti,</w:t>
            </w:r>
          </w:p>
          <w:p w:rsidR="007C5447" w:rsidRDefault="00F6308C">
            <w:pPr>
              <w:pStyle w:val="TableParagraph"/>
              <w:spacing w:before="41"/>
              <w:ind w:left="108"/>
              <w:jc w:val="left"/>
              <w:rPr>
                <w:sz w:val="24"/>
              </w:rPr>
            </w:pPr>
            <w:r>
              <w:rPr>
                <w:sz w:val="24"/>
              </w:rPr>
              <w:t>Coimbatore-641 668.</w:t>
            </w:r>
          </w:p>
        </w:tc>
      </w:tr>
      <w:tr w:rsidR="007C5447">
        <w:trPr>
          <w:trHeight w:val="635"/>
        </w:trPr>
        <w:tc>
          <w:tcPr>
            <w:tcW w:w="710" w:type="dxa"/>
          </w:tcPr>
          <w:p w:rsidR="007C5447" w:rsidRDefault="00F6308C">
            <w:pPr>
              <w:pStyle w:val="TableParagraph"/>
              <w:spacing w:before="157"/>
              <w:ind w:left="110"/>
              <w:jc w:val="left"/>
              <w:rPr>
                <w:sz w:val="24"/>
              </w:rPr>
            </w:pPr>
            <w:r>
              <w:rPr>
                <w:sz w:val="24"/>
              </w:rPr>
              <w:t>41</w:t>
            </w:r>
          </w:p>
        </w:tc>
        <w:tc>
          <w:tcPr>
            <w:tcW w:w="7796" w:type="dxa"/>
          </w:tcPr>
          <w:p w:rsidR="007C5447" w:rsidRDefault="00F6308C">
            <w:pPr>
              <w:pStyle w:val="TableParagraph"/>
              <w:spacing w:line="275" w:lineRule="exact"/>
              <w:ind w:left="108"/>
              <w:jc w:val="left"/>
              <w:rPr>
                <w:sz w:val="24"/>
              </w:rPr>
            </w:pPr>
            <w:r>
              <w:rPr>
                <w:sz w:val="24"/>
              </w:rPr>
              <w:t>Thiru. R. Govindharajan, General Secretary, TNEB Engineer's Union,</w:t>
            </w:r>
          </w:p>
          <w:p w:rsidR="007C5447" w:rsidRDefault="00F6308C">
            <w:pPr>
              <w:pStyle w:val="TableParagraph"/>
              <w:spacing w:before="43"/>
              <w:ind w:left="108"/>
              <w:jc w:val="left"/>
              <w:rPr>
                <w:sz w:val="24"/>
              </w:rPr>
            </w:pPr>
            <w:r>
              <w:rPr>
                <w:sz w:val="24"/>
              </w:rPr>
              <w:t>K.K. Nagar, Chennai-78.</w:t>
            </w:r>
          </w:p>
        </w:tc>
      </w:tr>
    </w:tbl>
    <w:p w:rsidR="007C5447" w:rsidRDefault="007C5447">
      <w:pPr>
        <w:rPr>
          <w:sz w:val="24"/>
        </w:rPr>
        <w:sectPr w:rsidR="007C5447">
          <w:pgSz w:w="11910" w:h="16840"/>
          <w:pgMar w:top="1420" w:right="1300" w:bottom="960" w:left="1000" w:header="0" w:footer="777" w:gutter="0"/>
          <w:cols w:space="720"/>
        </w:sect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rPr>
          <w:b/>
          <w:sz w:val="20"/>
        </w:rPr>
      </w:pPr>
    </w:p>
    <w:p w:rsidR="007C5447" w:rsidRDefault="007C5447">
      <w:pPr>
        <w:pStyle w:val="BodyText"/>
        <w:spacing w:before="1"/>
        <w:rPr>
          <w:b/>
          <w:sz w:val="19"/>
        </w:rPr>
      </w:pPr>
    </w:p>
    <w:p w:rsidR="007C5447" w:rsidRDefault="00F6308C">
      <w:pPr>
        <w:spacing w:before="90" w:line="312" w:lineRule="auto"/>
        <w:ind w:left="709" w:right="181"/>
        <w:rPr>
          <w:b/>
          <w:sz w:val="24"/>
        </w:rPr>
      </w:pPr>
      <w:bookmarkStart w:id="102" w:name="_bookmark101"/>
      <w:bookmarkEnd w:id="102"/>
      <w:r>
        <w:rPr>
          <w:b/>
          <w:sz w:val="24"/>
        </w:rPr>
        <w:t>Annexure IV - Copy of the Final Transfer Scheme as notified by the State Government vide G.O. (Ms.) No.49, Energy (B1) Department, dated August 13, 2015.</w:t>
      </w:r>
    </w:p>
    <w:p w:rsidR="007C5447" w:rsidRDefault="007C5447">
      <w:pPr>
        <w:spacing w:line="312" w:lineRule="auto"/>
        <w:rPr>
          <w:sz w:val="24"/>
        </w:rPr>
        <w:sectPr w:rsidR="007C5447">
          <w:pgSz w:w="11910" w:h="16840"/>
          <w:pgMar w:top="1580" w:right="1300" w:bottom="960" w:left="1000" w:header="0" w:footer="777" w:gutter="0"/>
          <w:cols w:space="720"/>
        </w:sectPr>
      </w:pPr>
    </w:p>
    <w:p w:rsidR="007C5447" w:rsidRDefault="00F6308C">
      <w:pPr>
        <w:pStyle w:val="BodyText"/>
        <w:ind w:left="4671"/>
        <w:rPr>
          <w:sz w:val="20"/>
        </w:rPr>
      </w:pPr>
      <w:r>
        <w:rPr>
          <w:noProof/>
          <w:sz w:val="20"/>
        </w:rPr>
        <w:lastRenderedPageBreak/>
        <w:drawing>
          <wp:inline distT="0" distB="0" distL="0" distR="0">
            <wp:extent cx="726668" cy="740664"/>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88" cstate="print"/>
                    <a:stretch>
                      <a:fillRect/>
                    </a:stretch>
                  </pic:blipFill>
                  <pic:spPr>
                    <a:xfrm>
                      <a:off x="0" y="0"/>
                      <a:ext cx="726668" cy="740664"/>
                    </a:xfrm>
                    <a:prstGeom prst="rect">
                      <a:avLst/>
                    </a:prstGeom>
                  </pic:spPr>
                </pic:pic>
              </a:graphicData>
            </a:graphic>
          </wp:inline>
        </w:drawing>
      </w:r>
    </w:p>
    <w:p w:rsidR="007C5447" w:rsidRDefault="007C5447">
      <w:pPr>
        <w:pStyle w:val="BodyText"/>
        <w:spacing w:before="5"/>
        <w:rPr>
          <w:b/>
          <w:sz w:val="6"/>
        </w:rPr>
      </w:pPr>
    </w:p>
    <w:p w:rsidR="007C5447" w:rsidRDefault="00F6308C">
      <w:pPr>
        <w:spacing w:before="92"/>
        <w:ind w:left="259" w:right="689"/>
        <w:jc w:val="center"/>
        <w:rPr>
          <w:rFonts w:ascii="Arial"/>
          <w:b/>
          <w:sz w:val="24"/>
        </w:rPr>
      </w:pPr>
      <w:r>
        <w:rPr>
          <w:rFonts w:ascii="Arial"/>
          <w:b/>
          <w:sz w:val="24"/>
          <w:u w:val="thick"/>
        </w:rPr>
        <w:t>ABSTRACT</w:t>
      </w:r>
    </w:p>
    <w:p w:rsidR="007C5447" w:rsidRDefault="007C5447">
      <w:pPr>
        <w:pStyle w:val="BodyText"/>
        <w:spacing w:before="10"/>
        <w:rPr>
          <w:rFonts w:ascii="Arial"/>
          <w:b/>
          <w:sz w:val="15"/>
        </w:rPr>
      </w:pPr>
    </w:p>
    <w:p w:rsidR="007C5447" w:rsidRDefault="00F6308C">
      <w:pPr>
        <w:pStyle w:val="BodyText"/>
        <w:spacing w:before="93"/>
        <w:ind w:left="840" w:right="697"/>
        <w:jc w:val="both"/>
        <w:rPr>
          <w:rFonts w:ascii="Arial" w:hAnsi="Arial"/>
        </w:rPr>
      </w:pPr>
      <w:r>
        <w:rPr>
          <w:rFonts w:ascii="Arial" w:hAnsi="Arial"/>
        </w:rPr>
        <w:t>Reorganization of the Tamil Nadu Electricity Board as per the provision</w:t>
      </w:r>
      <w:r>
        <w:rPr>
          <w:rFonts w:ascii="Arial" w:hAnsi="Arial"/>
        </w:rPr>
        <w:t xml:space="preserve">s of </w:t>
      </w:r>
      <w:r>
        <w:rPr>
          <w:rFonts w:ascii="Arial" w:hAnsi="Arial"/>
          <w:spacing w:val="-4"/>
        </w:rPr>
        <w:t xml:space="preserve">the </w:t>
      </w:r>
      <w:r>
        <w:rPr>
          <w:rFonts w:ascii="Arial" w:hAnsi="Arial"/>
        </w:rPr>
        <w:t>Electricity Act, 2003 – Tamil Nadu Electricity (Re-organization and Reforms) Transfer Scheme 2010- Published in Tamil Nadu Government Gazettee Extra-Ordinary Part-II – Section 2 dated 19.10.10 – Amendments – Orders</w:t>
      </w:r>
      <w:r>
        <w:rPr>
          <w:rFonts w:ascii="Arial" w:hAnsi="Arial"/>
          <w:spacing w:val="-6"/>
        </w:rPr>
        <w:t xml:space="preserve"> </w:t>
      </w:r>
      <w:r>
        <w:rPr>
          <w:rFonts w:ascii="Arial" w:hAnsi="Arial"/>
        </w:rPr>
        <w:t>-Issued.</w:t>
      </w:r>
    </w:p>
    <w:p w:rsidR="007C5447" w:rsidRDefault="00F6308C">
      <w:pPr>
        <w:pStyle w:val="BodyText"/>
        <w:ind w:left="767" w:right="636"/>
        <w:jc w:val="center"/>
        <w:rPr>
          <w:rFonts w:ascii="Arial"/>
        </w:rPr>
      </w:pPr>
      <w:r>
        <w:rPr>
          <w:rFonts w:ascii="Arial"/>
        </w:rPr>
        <w:t>---------------------------------------------------------------------------------------------------------------------</w:t>
      </w:r>
    </w:p>
    <w:p w:rsidR="007C5447" w:rsidRDefault="00F6308C">
      <w:pPr>
        <w:pStyle w:val="BodyText"/>
        <w:ind w:left="767" w:right="629"/>
        <w:jc w:val="center"/>
        <w:rPr>
          <w:rFonts w:ascii="Arial"/>
        </w:rPr>
      </w:pPr>
      <w:r>
        <w:rPr>
          <w:rFonts w:ascii="Arial"/>
          <w:u w:val="single"/>
        </w:rPr>
        <w:t>Energy (B1) Department</w:t>
      </w:r>
    </w:p>
    <w:p w:rsidR="007C5447" w:rsidRDefault="007C5447">
      <w:pPr>
        <w:pStyle w:val="BodyText"/>
        <w:rPr>
          <w:rFonts w:ascii="Arial"/>
          <w:sz w:val="16"/>
        </w:rPr>
      </w:pPr>
    </w:p>
    <w:p w:rsidR="007C5447" w:rsidRDefault="00F6308C">
      <w:pPr>
        <w:pStyle w:val="BodyText"/>
        <w:tabs>
          <w:tab w:val="left" w:pos="6095"/>
        </w:tabs>
        <w:spacing w:before="92"/>
        <w:ind w:left="840"/>
        <w:rPr>
          <w:rFonts w:ascii="Arial"/>
        </w:rPr>
      </w:pPr>
      <w:r>
        <w:rPr>
          <w:rFonts w:ascii="Arial"/>
        </w:rPr>
        <w:t>G.O.</w:t>
      </w:r>
      <w:r>
        <w:rPr>
          <w:rFonts w:ascii="Arial"/>
          <w:spacing w:val="-1"/>
        </w:rPr>
        <w:t xml:space="preserve"> </w:t>
      </w:r>
      <w:r>
        <w:rPr>
          <w:rFonts w:ascii="Arial"/>
        </w:rPr>
        <w:t>Ms.No.49</w:t>
      </w:r>
      <w:r>
        <w:rPr>
          <w:rFonts w:ascii="Arial"/>
        </w:rPr>
        <w:tab/>
        <w:t>Dated 13.08.2015</w:t>
      </w:r>
    </w:p>
    <w:p w:rsidR="007C5447" w:rsidRDefault="007C5447">
      <w:pPr>
        <w:pStyle w:val="BodyText"/>
        <w:rPr>
          <w:rFonts w:ascii="Arial"/>
        </w:rPr>
      </w:pPr>
    </w:p>
    <w:p w:rsidR="007C5447" w:rsidRDefault="00F6308C">
      <w:pPr>
        <w:pStyle w:val="BodyText"/>
        <w:ind w:left="6109"/>
        <w:rPr>
          <w:rFonts w:ascii="Arial"/>
        </w:rPr>
      </w:pPr>
      <w:r>
        <w:rPr>
          <w:rFonts w:ascii="Arial"/>
        </w:rPr>
        <w:t>THIRUVALLUVAR AANDU 2046</w:t>
      </w:r>
    </w:p>
    <w:p w:rsidR="007C5447" w:rsidRDefault="00F6308C">
      <w:pPr>
        <w:pStyle w:val="BodyText"/>
        <w:ind w:left="6109"/>
        <w:rPr>
          <w:rFonts w:ascii="Arial"/>
        </w:rPr>
      </w:pPr>
      <w:r>
        <w:rPr>
          <w:rFonts w:ascii="Arial"/>
        </w:rPr>
        <w:t>AADI 28</w:t>
      </w:r>
    </w:p>
    <w:p w:rsidR="007C5447" w:rsidRDefault="007C5447">
      <w:pPr>
        <w:pStyle w:val="BodyText"/>
        <w:rPr>
          <w:rFonts w:ascii="Arial"/>
        </w:rPr>
      </w:pPr>
    </w:p>
    <w:p w:rsidR="007C5447" w:rsidRDefault="00F6308C">
      <w:pPr>
        <w:pStyle w:val="BodyText"/>
        <w:ind w:left="6107"/>
        <w:rPr>
          <w:rFonts w:ascii="Arial"/>
        </w:rPr>
      </w:pPr>
      <w:r>
        <w:rPr>
          <w:rFonts w:ascii="Arial"/>
        </w:rPr>
        <w:t>Read:</w:t>
      </w:r>
    </w:p>
    <w:p w:rsidR="007C5447" w:rsidRDefault="007C5447">
      <w:pPr>
        <w:pStyle w:val="BodyText"/>
        <w:rPr>
          <w:rFonts w:ascii="Arial"/>
        </w:rPr>
      </w:pPr>
    </w:p>
    <w:p w:rsidR="007C5447" w:rsidRDefault="00F6308C">
      <w:pPr>
        <w:pStyle w:val="ListParagraph"/>
        <w:numPr>
          <w:ilvl w:val="1"/>
          <w:numId w:val="7"/>
        </w:numPr>
        <w:tabs>
          <w:tab w:val="left" w:pos="1560"/>
        </w:tabs>
        <w:ind w:hanging="361"/>
        <w:rPr>
          <w:rFonts w:ascii="Arial"/>
          <w:sz w:val="24"/>
        </w:rPr>
      </w:pPr>
      <w:r>
        <w:rPr>
          <w:rFonts w:ascii="Arial"/>
          <w:sz w:val="24"/>
        </w:rPr>
        <w:t>G.O.Ms.No.100, Energy (B2) Department, dated</w:t>
      </w:r>
      <w:r>
        <w:rPr>
          <w:rFonts w:ascii="Arial"/>
          <w:spacing w:val="-4"/>
          <w:sz w:val="24"/>
        </w:rPr>
        <w:t xml:space="preserve"> </w:t>
      </w:r>
      <w:r>
        <w:rPr>
          <w:rFonts w:ascii="Arial"/>
          <w:sz w:val="24"/>
        </w:rPr>
        <w:t>19.10.2010</w:t>
      </w:r>
    </w:p>
    <w:p w:rsidR="007C5447" w:rsidRDefault="00F6308C">
      <w:pPr>
        <w:pStyle w:val="ListParagraph"/>
        <w:numPr>
          <w:ilvl w:val="1"/>
          <w:numId w:val="7"/>
        </w:numPr>
        <w:tabs>
          <w:tab w:val="left" w:pos="1548"/>
        </w:tabs>
        <w:ind w:left="1547" w:hanging="349"/>
        <w:rPr>
          <w:rFonts w:ascii="Arial"/>
          <w:sz w:val="24"/>
        </w:rPr>
      </w:pPr>
      <w:r>
        <w:rPr>
          <w:rFonts w:ascii="Arial"/>
          <w:sz w:val="24"/>
        </w:rPr>
        <w:t>G.O.Ms.No.2, Energy (B2) Department, dated</w:t>
      </w:r>
      <w:r>
        <w:rPr>
          <w:rFonts w:ascii="Arial"/>
          <w:spacing w:val="-5"/>
          <w:sz w:val="24"/>
        </w:rPr>
        <w:t xml:space="preserve"> </w:t>
      </w:r>
      <w:r>
        <w:rPr>
          <w:rFonts w:ascii="Arial"/>
          <w:sz w:val="24"/>
        </w:rPr>
        <w:t>2.1.2012</w:t>
      </w:r>
    </w:p>
    <w:p w:rsidR="007C5447" w:rsidRDefault="00F6308C">
      <w:pPr>
        <w:pStyle w:val="ListParagraph"/>
        <w:numPr>
          <w:ilvl w:val="1"/>
          <w:numId w:val="7"/>
        </w:numPr>
        <w:tabs>
          <w:tab w:val="left" w:pos="1548"/>
        </w:tabs>
        <w:ind w:left="1467" w:right="3148" w:hanging="268"/>
        <w:rPr>
          <w:rFonts w:ascii="Arial"/>
          <w:sz w:val="24"/>
        </w:rPr>
      </w:pPr>
      <w:r>
        <w:tab/>
      </w:r>
      <w:r>
        <w:rPr>
          <w:rFonts w:ascii="Arial"/>
          <w:sz w:val="24"/>
        </w:rPr>
        <w:t xml:space="preserve">From the Chairman and Managing Director, Tamil Nadu Generation and Distribution Corporation Limited, Letter No.SE/PLG/EE/GP/AEE4/F.Transfer Scheme </w:t>
      </w:r>
      <w:r>
        <w:rPr>
          <w:rFonts w:ascii="Arial"/>
          <w:sz w:val="24"/>
        </w:rPr>
        <w:t>/D.275/2014, dated</w:t>
      </w:r>
      <w:r>
        <w:rPr>
          <w:rFonts w:ascii="Arial"/>
          <w:spacing w:val="-1"/>
          <w:sz w:val="24"/>
        </w:rPr>
        <w:t xml:space="preserve"> </w:t>
      </w:r>
      <w:r>
        <w:rPr>
          <w:rFonts w:ascii="Arial"/>
          <w:sz w:val="24"/>
        </w:rPr>
        <w:t>5.11.2014.</w:t>
      </w:r>
    </w:p>
    <w:p w:rsidR="007C5447" w:rsidRDefault="00F6308C">
      <w:pPr>
        <w:pStyle w:val="BodyText"/>
        <w:ind w:left="580" w:right="689"/>
        <w:jc w:val="center"/>
        <w:rPr>
          <w:rFonts w:ascii="Arial"/>
        </w:rPr>
      </w:pPr>
      <w:r>
        <w:rPr>
          <w:rFonts w:ascii="Arial"/>
        </w:rPr>
        <w:t>*****</w:t>
      </w:r>
    </w:p>
    <w:p w:rsidR="007C5447" w:rsidRDefault="007C5447">
      <w:pPr>
        <w:pStyle w:val="BodyText"/>
        <w:rPr>
          <w:rFonts w:ascii="Arial"/>
          <w:sz w:val="16"/>
        </w:rPr>
      </w:pPr>
    </w:p>
    <w:p w:rsidR="007C5447" w:rsidRDefault="00F6308C">
      <w:pPr>
        <w:pStyle w:val="BodyText"/>
        <w:spacing w:before="92"/>
        <w:ind w:left="839"/>
        <w:rPr>
          <w:rFonts w:ascii="Arial"/>
        </w:rPr>
      </w:pPr>
      <w:r>
        <w:rPr>
          <w:rFonts w:ascii="Arial"/>
        </w:rPr>
        <w:t>ORDER:-</w:t>
      </w:r>
    </w:p>
    <w:p w:rsidR="007C5447" w:rsidRDefault="007C5447">
      <w:pPr>
        <w:pStyle w:val="BodyText"/>
        <w:spacing w:before="10"/>
        <w:rPr>
          <w:rFonts w:ascii="Arial"/>
          <w:sz w:val="23"/>
        </w:rPr>
      </w:pPr>
    </w:p>
    <w:p w:rsidR="007C5447" w:rsidRDefault="00F6308C">
      <w:pPr>
        <w:pStyle w:val="BodyText"/>
        <w:spacing w:before="1"/>
        <w:ind w:left="839" w:right="697" w:firstLine="720"/>
        <w:jc w:val="both"/>
        <w:rPr>
          <w:rFonts w:ascii="Arial"/>
        </w:rPr>
      </w:pPr>
      <w:r>
        <w:rPr>
          <w:rFonts w:ascii="Arial"/>
        </w:rPr>
        <w:t>In the Government order first read  above,  Government  have  notified  the  Tamil Nadu Electricity (Re-organisation and Reforms) Transfer Scheme, 2010. The erstwhile Tamil Nadu Electricity Board has been reorganized with effect from 01.11.2010, as per the</w:t>
      </w:r>
      <w:r>
        <w:rPr>
          <w:rFonts w:ascii="Arial"/>
        </w:rPr>
        <w:t xml:space="preserve"> provisions of the Electricity Act, 2003. In the above transfer scheme , the assets and liabilities were segregated based on the available unaudited balance sheet of erstwhile Tamil Nadu Electricity Board as on 31.03.2009 instead of balance sheet as on 31.</w:t>
      </w:r>
      <w:r>
        <w:rPr>
          <w:rFonts w:ascii="Arial"/>
        </w:rPr>
        <w:t>10.2010 which was not ready at that time and stated that this shall be provisional for a period of one year from the respective date of transfer as per the clause 9(1) of the said scheme (i.e., upto</w:t>
      </w:r>
      <w:r>
        <w:rPr>
          <w:rFonts w:ascii="Arial"/>
          <w:spacing w:val="-7"/>
        </w:rPr>
        <w:t xml:space="preserve"> </w:t>
      </w:r>
      <w:r>
        <w:rPr>
          <w:rFonts w:ascii="Arial"/>
        </w:rPr>
        <w:t>31.10.2011).</w:t>
      </w:r>
    </w:p>
    <w:p w:rsidR="007C5447" w:rsidRDefault="00F6308C">
      <w:pPr>
        <w:pStyle w:val="ListParagraph"/>
        <w:numPr>
          <w:ilvl w:val="0"/>
          <w:numId w:val="6"/>
        </w:numPr>
        <w:tabs>
          <w:tab w:val="left" w:pos="2093"/>
        </w:tabs>
        <w:ind w:right="697" w:firstLine="720"/>
        <w:jc w:val="both"/>
        <w:rPr>
          <w:rFonts w:ascii="Arial"/>
          <w:sz w:val="24"/>
        </w:rPr>
      </w:pPr>
      <w:r>
        <w:rPr>
          <w:rFonts w:ascii="Arial"/>
          <w:sz w:val="24"/>
        </w:rPr>
        <w:t>Now, the Chairman and Managing Director, Tam</w:t>
      </w:r>
      <w:r>
        <w:rPr>
          <w:rFonts w:ascii="Arial"/>
          <w:sz w:val="24"/>
        </w:rPr>
        <w:t xml:space="preserve">il Nadu Generation and Distribution Corporation Limited has stated that as the audited balance sheet as on 31.10.2010 is ready, it is essential to issue notification for the final amendment to </w:t>
      </w:r>
      <w:r>
        <w:rPr>
          <w:rFonts w:ascii="Arial"/>
          <w:spacing w:val="-5"/>
          <w:sz w:val="24"/>
        </w:rPr>
        <w:t xml:space="preserve">the </w:t>
      </w:r>
      <w:r>
        <w:rPr>
          <w:rFonts w:ascii="Arial"/>
          <w:sz w:val="24"/>
        </w:rPr>
        <w:t>earlier transfer scheme notified in Government Order 2</w:t>
      </w:r>
      <w:r>
        <w:rPr>
          <w:rFonts w:ascii="Arial"/>
          <w:sz w:val="24"/>
          <w:vertAlign w:val="superscript"/>
        </w:rPr>
        <w:t>nd</w:t>
      </w:r>
      <w:r>
        <w:rPr>
          <w:rFonts w:ascii="Arial"/>
          <w:sz w:val="24"/>
        </w:rPr>
        <w:t xml:space="preserve"> re</w:t>
      </w:r>
      <w:r>
        <w:rPr>
          <w:rFonts w:ascii="Arial"/>
          <w:sz w:val="24"/>
        </w:rPr>
        <w:t>ad above for giving effect to the transfer of assets and liabilities to successor entities of erstwhile Tamil Nadu Electricity Board as on</w:t>
      </w:r>
      <w:r>
        <w:rPr>
          <w:rFonts w:ascii="Arial"/>
          <w:spacing w:val="-2"/>
          <w:sz w:val="24"/>
        </w:rPr>
        <w:t xml:space="preserve"> </w:t>
      </w:r>
      <w:r>
        <w:rPr>
          <w:rFonts w:ascii="Arial"/>
          <w:sz w:val="24"/>
        </w:rPr>
        <w:t>01.11.2010.</w:t>
      </w:r>
    </w:p>
    <w:p w:rsidR="007C5447" w:rsidRDefault="007C5447">
      <w:pPr>
        <w:pStyle w:val="BodyText"/>
        <w:rPr>
          <w:rFonts w:ascii="Arial"/>
        </w:rPr>
      </w:pPr>
    </w:p>
    <w:p w:rsidR="007C5447" w:rsidRDefault="00F6308C">
      <w:pPr>
        <w:pStyle w:val="ListParagraph"/>
        <w:numPr>
          <w:ilvl w:val="0"/>
          <w:numId w:val="6"/>
        </w:numPr>
        <w:tabs>
          <w:tab w:val="left" w:pos="2012"/>
        </w:tabs>
        <w:ind w:right="698" w:firstLine="720"/>
        <w:jc w:val="both"/>
        <w:rPr>
          <w:rFonts w:ascii="Arial"/>
          <w:sz w:val="24"/>
        </w:rPr>
      </w:pPr>
      <w:r>
        <w:rPr>
          <w:rFonts w:ascii="Arial"/>
          <w:sz w:val="24"/>
        </w:rPr>
        <w:t>Amendment to the existing Tamil Nadu Electricity (Reorganisation and Reforms)</w:t>
      </w:r>
      <w:r>
        <w:rPr>
          <w:rFonts w:ascii="Arial"/>
          <w:spacing w:val="42"/>
          <w:sz w:val="24"/>
        </w:rPr>
        <w:t xml:space="preserve"> </w:t>
      </w:r>
      <w:r>
        <w:rPr>
          <w:rFonts w:ascii="Arial"/>
          <w:sz w:val="24"/>
        </w:rPr>
        <w:t>Transfer</w:t>
      </w:r>
      <w:r>
        <w:rPr>
          <w:rFonts w:ascii="Arial"/>
          <w:spacing w:val="42"/>
          <w:sz w:val="24"/>
        </w:rPr>
        <w:t xml:space="preserve"> </w:t>
      </w:r>
      <w:r>
        <w:rPr>
          <w:rFonts w:ascii="Arial"/>
          <w:sz w:val="24"/>
        </w:rPr>
        <w:t>Scheme,</w:t>
      </w:r>
      <w:r>
        <w:rPr>
          <w:rFonts w:ascii="Arial"/>
          <w:spacing w:val="42"/>
          <w:sz w:val="24"/>
        </w:rPr>
        <w:t xml:space="preserve"> </w:t>
      </w:r>
      <w:r>
        <w:rPr>
          <w:rFonts w:ascii="Arial"/>
          <w:sz w:val="24"/>
        </w:rPr>
        <w:t>2010</w:t>
      </w:r>
      <w:r>
        <w:rPr>
          <w:rFonts w:ascii="Arial"/>
          <w:spacing w:val="42"/>
          <w:sz w:val="24"/>
        </w:rPr>
        <w:t xml:space="preserve"> </w:t>
      </w:r>
      <w:r>
        <w:rPr>
          <w:rFonts w:ascii="Arial"/>
          <w:sz w:val="24"/>
        </w:rPr>
        <w:t>noti</w:t>
      </w:r>
      <w:r>
        <w:rPr>
          <w:rFonts w:ascii="Arial"/>
          <w:sz w:val="24"/>
        </w:rPr>
        <w:t>fied</w:t>
      </w:r>
      <w:r>
        <w:rPr>
          <w:rFonts w:ascii="Arial"/>
          <w:spacing w:val="43"/>
          <w:sz w:val="24"/>
        </w:rPr>
        <w:t xml:space="preserve"> </w:t>
      </w:r>
      <w:r>
        <w:rPr>
          <w:rFonts w:ascii="Arial"/>
          <w:sz w:val="24"/>
        </w:rPr>
        <w:t>in</w:t>
      </w:r>
      <w:r>
        <w:rPr>
          <w:rFonts w:ascii="Arial"/>
          <w:spacing w:val="42"/>
          <w:sz w:val="24"/>
        </w:rPr>
        <w:t xml:space="preserve"> </w:t>
      </w:r>
      <w:r>
        <w:rPr>
          <w:rFonts w:ascii="Arial"/>
          <w:sz w:val="24"/>
        </w:rPr>
        <w:t>G.O.Ms.No.100,</w:t>
      </w:r>
      <w:r>
        <w:rPr>
          <w:rFonts w:ascii="Arial"/>
          <w:spacing w:val="42"/>
          <w:sz w:val="24"/>
        </w:rPr>
        <w:t xml:space="preserve"> </w:t>
      </w:r>
      <w:r>
        <w:rPr>
          <w:rFonts w:ascii="Arial"/>
          <w:sz w:val="24"/>
        </w:rPr>
        <w:t>dated</w:t>
      </w:r>
      <w:r>
        <w:rPr>
          <w:rFonts w:ascii="Arial"/>
          <w:spacing w:val="42"/>
          <w:sz w:val="24"/>
        </w:rPr>
        <w:t xml:space="preserve"> </w:t>
      </w:r>
      <w:r>
        <w:rPr>
          <w:rFonts w:ascii="Arial"/>
          <w:sz w:val="24"/>
        </w:rPr>
        <w:t>19.10.2010,</w:t>
      </w:r>
    </w:p>
    <w:p w:rsidR="007C5447" w:rsidRDefault="007C5447">
      <w:pPr>
        <w:jc w:val="both"/>
        <w:rPr>
          <w:rFonts w:ascii="Arial"/>
          <w:sz w:val="24"/>
        </w:rPr>
        <w:sectPr w:rsidR="007C5447">
          <w:footerReference w:type="default" r:id="rId89"/>
          <w:pgSz w:w="12240" w:h="15840"/>
          <w:pgMar w:top="1500" w:right="740" w:bottom="280" w:left="600" w:header="0" w:footer="0" w:gutter="0"/>
          <w:cols w:space="720"/>
        </w:sectPr>
      </w:pPr>
    </w:p>
    <w:p w:rsidR="007C5447" w:rsidRDefault="00F6308C">
      <w:pPr>
        <w:pStyle w:val="BodyText"/>
        <w:spacing w:before="77"/>
        <w:ind w:left="839" w:right="697"/>
        <w:jc w:val="both"/>
        <w:rPr>
          <w:rFonts w:ascii="Arial"/>
        </w:rPr>
      </w:pPr>
      <w:r>
        <w:rPr>
          <w:rFonts w:ascii="Arial"/>
        </w:rPr>
        <w:lastRenderedPageBreak/>
        <w:t>subsequently amended in G.O.(Ms.) No.2, Energy (B2) Department, dated 02.01.2012 by issuing Notification for giving effect to transfer of assets and liabilities to successor entities of erstwhile Tamil Nadu Electricity Board Limited as on 01.11.2010 be iss</w:t>
      </w:r>
      <w:r>
        <w:rPr>
          <w:rFonts w:ascii="Arial"/>
        </w:rPr>
        <w:t>ued.</w:t>
      </w:r>
    </w:p>
    <w:p w:rsidR="007C5447" w:rsidRDefault="007C5447">
      <w:pPr>
        <w:pStyle w:val="BodyText"/>
        <w:spacing w:before="11"/>
        <w:rPr>
          <w:rFonts w:ascii="Arial"/>
          <w:sz w:val="23"/>
        </w:rPr>
      </w:pPr>
    </w:p>
    <w:p w:rsidR="007C5447" w:rsidRDefault="00F6308C">
      <w:pPr>
        <w:pStyle w:val="ListParagraph"/>
        <w:numPr>
          <w:ilvl w:val="0"/>
          <w:numId w:val="6"/>
        </w:numPr>
        <w:tabs>
          <w:tab w:val="left" w:pos="2031"/>
        </w:tabs>
        <w:ind w:right="700" w:firstLine="720"/>
        <w:rPr>
          <w:rFonts w:ascii="Arial"/>
          <w:sz w:val="24"/>
        </w:rPr>
      </w:pPr>
      <w:r>
        <w:rPr>
          <w:rFonts w:ascii="Arial"/>
          <w:sz w:val="24"/>
        </w:rPr>
        <w:t xml:space="preserve">The Notification appended to this order will be published in the </w:t>
      </w:r>
      <w:r>
        <w:rPr>
          <w:rFonts w:ascii="Arial"/>
          <w:sz w:val="24"/>
          <w:u w:val="single"/>
        </w:rPr>
        <w:t>Tamil Nadu Government Gazette</w:t>
      </w:r>
      <w:r>
        <w:rPr>
          <w:rFonts w:ascii="Arial"/>
          <w:sz w:val="24"/>
        </w:rPr>
        <w:t>, Extraordinary, dated</w:t>
      </w:r>
      <w:r>
        <w:rPr>
          <w:rFonts w:ascii="Arial"/>
          <w:spacing w:val="63"/>
          <w:sz w:val="24"/>
        </w:rPr>
        <w:t xml:space="preserve"> </w:t>
      </w:r>
      <w:r>
        <w:rPr>
          <w:rFonts w:ascii="Arial"/>
          <w:sz w:val="24"/>
        </w:rPr>
        <w:t>13.08.2015</w:t>
      </w:r>
    </w:p>
    <w:p w:rsidR="007C5447" w:rsidRDefault="007C5447">
      <w:pPr>
        <w:pStyle w:val="BodyText"/>
        <w:rPr>
          <w:rFonts w:ascii="Arial"/>
          <w:sz w:val="26"/>
        </w:rPr>
      </w:pPr>
    </w:p>
    <w:p w:rsidR="007C5447" w:rsidRDefault="007C5447">
      <w:pPr>
        <w:pStyle w:val="BodyText"/>
        <w:rPr>
          <w:rFonts w:ascii="Arial"/>
          <w:sz w:val="22"/>
        </w:rPr>
      </w:pPr>
    </w:p>
    <w:p w:rsidR="007C5447" w:rsidRDefault="00F6308C">
      <w:pPr>
        <w:pStyle w:val="BodyText"/>
        <w:ind w:left="767" w:right="629"/>
        <w:jc w:val="center"/>
        <w:rPr>
          <w:rFonts w:ascii="Arial"/>
        </w:rPr>
      </w:pPr>
      <w:r>
        <w:rPr>
          <w:rFonts w:ascii="Arial"/>
        </w:rPr>
        <w:t>//By Order of the Governor//</w:t>
      </w:r>
    </w:p>
    <w:p w:rsidR="007C5447" w:rsidRDefault="007C5447">
      <w:pPr>
        <w:pStyle w:val="BodyText"/>
        <w:rPr>
          <w:rFonts w:ascii="Arial"/>
        </w:rPr>
      </w:pPr>
    </w:p>
    <w:p w:rsidR="007C5447" w:rsidRDefault="00F6308C">
      <w:pPr>
        <w:pStyle w:val="BodyText"/>
        <w:ind w:left="6478" w:right="681" w:firstLine="628"/>
        <w:rPr>
          <w:rFonts w:ascii="Arial"/>
        </w:rPr>
      </w:pPr>
      <w:r>
        <w:rPr>
          <w:rFonts w:ascii="Arial"/>
        </w:rPr>
        <w:t>RAJESH LAKHONI SECRETARY TO GOVERNMENT.</w:t>
      </w:r>
    </w:p>
    <w:p w:rsidR="007C5447" w:rsidRDefault="007C5447">
      <w:pPr>
        <w:pStyle w:val="BodyText"/>
        <w:rPr>
          <w:rFonts w:ascii="Arial"/>
        </w:rPr>
      </w:pPr>
    </w:p>
    <w:p w:rsidR="007C5447" w:rsidRDefault="00F6308C">
      <w:pPr>
        <w:pStyle w:val="BodyText"/>
        <w:ind w:left="840"/>
        <w:rPr>
          <w:rFonts w:ascii="Arial"/>
        </w:rPr>
      </w:pPr>
      <w:r>
        <w:rPr>
          <w:rFonts w:ascii="Arial"/>
        </w:rPr>
        <w:t>To</w:t>
      </w:r>
    </w:p>
    <w:p w:rsidR="007C5447" w:rsidRDefault="00F6308C">
      <w:pPr>
        <w:pStyle w:val="BodyText"/>
        <w:ind w:left="840" w:right="4824"/>
        <w:rPr>
          <w:rFonts w:ascii="Arial"/>
        </w:rPr>
      </w:pPr>
      <w:r>
        <w:rPr>
          <w:rFonts w:ascii="Arial"/>
        </w:rPr>
        <w:t>The Works Manager, Government Central Press, Chennai -79 (w.e)</w:t>
      </w:r>
    </w:p>
    <w:p w:rsidR="007C5447" w:rsidRDefault="00F6308C">
      <w:pPr>
        <w:pStyle w:val="BodyText"/>
        <w:ind w:left="840" w:right="1422"/>
        <w:rPr>
          <w:rFonts w:ascii="Arial"/>
        </w:rPr>
      </w:pPr>
      <w:r>
        <w:rPr>
          <w:rFonts w:ascii="Arial"/>
        </w:rPr>
        <w:t>(With a request to publish the Notification in the Tamil Nadu Government Gazette Extraordinary, dated 13.08.2015</w:t>
      </w:r>
    </w:p>
    <w:p w:rsidR="007C5447" w:rsidRDefault="00F6308C">
      <w:pPr>
        <w:pStyle w:val="BodyText"/>
        <w:spacing w:before="1"/>
        <w:ind w:left="840" w:right="1628"/>
        <w:rPr>
          <w:rFonts w:ascii="Arial"/>
        </w:rPr>
      </w:pPr>
      <w:r>
        <w:rPr>
          <w:rFonts w:ascii="Arial"/>
        </w:rPr>
        <w:t>The CMD, Tamil Nadu Generation and Distribution Corporation</w:t>
      </w:r>
      <w:r>
        <w:rPr>
          <w:rFonts w:ascii="Arial"/>
          <w:spacing w:val="-46"/>
        </w:rPr>
        <w:t xml:space="preserve"> </w:t>
      </w:r>
      <w:r>
        <w:rPr>
          <w:rFonts w:ascii="Arial"/>
        </w:rPr>
        <w:t>Limited, Chennai -2(</w:t>
      </w:r>
      <w:r>
        <w:rPr>
          <w:rFonts w:ascii="Arial"/>
        </w:rPr>
        <w:t>w.e)</w:t>
      </w:r>
    </w:p>
    <w:p w:rsidR="007C5447" w:rsidRDefault="00F6308C">
      <w:pPr>
        <w:pStyle w:val="BodyText"/>
        <w:ind w:left="840" w:right="1422"/>
        <w:rPr>
          <w:rFonts w:ascii="Arial"/>
        </w:rPr>
      </w:pPr>
      <w:r>
        <w:rPr>
          <w:rFonts w:ascii="Arial"/>
        </w:rPr>
        <w:t>The Secretary, Tamil Nadu Generation and Distribution Corporation</w:t>
      </w:r>
      <w:r>
        <w:rPr>
          <w:rFonts w:ascii="Arial"/>
          <w:spacing w:val="-36"/>
        </w:rPr>
        <w:t xml:space="preserve"> </w:t>
      </w:r>
      <w:r>
        <w:rPr>
          <w:rFonts w:ascii="Arial"/>
        </w:rPr>
        <w:t>Limited, Chennai -2(w.e)</w:t>
      </w:r>
    </w:p>
    <w:p w:rsidR="007C5447" w:rsidRDefault="00F6308C">
      <w:pPr>
        <w:pStyle w:val="BodyText"/>
        <w:ind w:left="840"/>
        <w:rPr>
          <w:rFonts w:ascii="Arial"/>
        </w:rPr>
      </w:pPr>
      <w:r>
        <w:rPr>
          <w:rFonts w:ascii="Arial"/>
        </w:rPr>
        <w:t>The Secretary,</w:t>
      </w:r>
    </w:p>
    <w:p w:rsidR="007C5447" w:rsidRDefault="00F6308C">
      <w:pPr>
        <w:pStyle w:val="BodyText"/>
        <w:ind w:left="840" w:right="7372"/>
        <w:rPr>
          <w:rFonts w:ascii="Arial"/>
        </w:rPr>
      </w:pPr>
      <w:r>
        <w:rPr>
          <w:rFonts w:ascii="Arial"/>
        </w:rPr>
        <w:t>TNERC, Chennai -8(w.e) The CE (Planning),</w:t>
      </w:r>
    </w:p>
    <w:p w:rsidR="007C5447" w:rsidRDefault="00F6308C">
      <w:pPr>
        <w:pStyle w:val="BodyText"/>
        <w:ind w:left="840" w:right="3530"/>
        <w:rPr>
          <w:rFonts w:ascii="Arial"/>
        </w:rPr>
      </w:pPr>
      <w:r>
        <w:rPr>
          <w:rFonts w:ascii="Arial"/>
        </w:rPr>
        <w:t>Tamil Nadu Generation and Distribution Corporation Limited , Chennai -2</w:t>
      </w:r>
    </w:p>
    <w:p w:rsidR="007C5447" w:rsidRDefault="00F6308C">
      <w:pPr>
        <w:pStyle w:val="BodyText"/>
        <w:spacing w:line="275" w:lineRule="exact"/>
        <w:ind w:left="840"/>
        <w:rPr>
          <w:rFonts w:ascii="Arial"/>
        </w:rPr>
      </w:pPr>
      <w:r>
        <w:rPr>
          <w:rFonts w:ascii="Arial"/>
          <w:u w:val="single"/>
        </w:rPr>
        <w:t>Copy to</w:t>
      </w:r>
    </w:p>
    <w:p w:rsidR="007C5447" w:rsidRDefault="00F6308C">
      <w:pPr>
        <w:pStyle w:val="BodyText"/>
        <w:ind w:left="840" w:right="5958"/>
        <w:rPr>
          <w:rFonts w:ascii="Arial"/>
        </w:rPr>
      </w:pPr>
      <w:r>
        <w:rPr>
          <w:rFonts w:ascii="Arial"/>
        </w:rPr>
        <w:t>The Secretary to Govern</w:t>
      </w:r>
      <w:r>
        <w:rPr>
          <w:rFonts w:ascii="Arial"/>
        </w:rPr>
        <w:t>ment of India, Ministry of Power,</w:t>
      </w:r>
    </w:p>
    <w:p w:rsidR="007C5447" w:rsidRDefault="00F6308C">
      <w:pPr>
        <w:pStyle w:val="BodyText"/>
        <w:ind w:left="840"/>
        <w:rPr>
          <w:rFonts w:ascii="Arial"/>
        </w:rPr>
      </w:pPr>
      <w:r>
        <w:rPr>
          <w:rFonts w:ascii="Arial"/>
        </w:rPr>
        <w:t>Government of India, New Delhi-1(w.e)</w:t>
      </w:r>
    </w:p>
    <w:p w:rsidR="007C5447" w:rsidRDefault="00F6308C">
      <w:pPr>
        <w:pStyle w:val="BodyText"/>
        <w:ind w:left="839" w:right="5119"/>
        <w:rPr>
          <w:rFonts w:ascii="Arial" w:hAnsi="Arial"/>
        </w:rPr>
      </w:pPr>
      <w:r>
        <w:rPr>
          <w:rFonts w:ascii="Arial" w:hAnsi="Arial"/>
        </w:rPr>
        <w:t>The Chief Minister’s Office, Chennai -108(w.e) The Senior P.A to Minister,</w:t>
      </w:r>
    </w:p>
    <w:p w:rsidR="007C5447" w:rsidRDefault="00F6308C">
      <w:pPr>
        <w:pStyle w:val="BodyText"/>
        <w:ind w:left="839"/>
        <w:rPr>
          <w:rFonts w:ascii="Arial"/>
        </w:rPr>
      </w:pPr>
      <w:r>
        <w:rPr>
          <w:rFonts w:ascii="Arial"/>
        </w:rPr>
        <w:t>(E,P&amp;E), Chennai -9 (w.e)</w:t>
      </w:r>
    </w:p>
    <w:p w:rsidR="007C5447" w:rsidRDefault="00F6308C">
      <w:pPr>
        <w:pStyle w:val="BodyText"/>
        <w:ind w:left="839" w:right="6492"/>
        <w:rPr>
          <w:rFonts w:ascii="Arial"/>
        </w:rPr>
      </w:pPr>
      <w:r>
        <w:rPr>
          <w:rFonts w:ascii="Arial"/>
        </w:rPr>
        <w:t>The Law Department, Chennai -9 The Director,</w:t>
      </w:r>
    </w:p>
    <w:p w:rsidR="007C5447" w:rsidRDefault="00F6308C">
      <w:pPr>
        <w:pStyle w:val="BodyText"/>
        <w:ind w:left="839" w:right="7066"/>
        <w:rPr>
          <w:rFonts w:ascii="Arial"/>
        </w:rPr>
      </w:pPr>
      <w:r>
        <w:rPr>
          <w:rFonts w:ascii="Arial"/>
        </w:rPr>
        <w:t>National Informatics Centre, Secretariat Network Centre,</w:t>
      </w:r>
    </w:p>
    <w:p w:rsidR="007C5447" w:rsidRDefault="00F6308C">
      <w:pPr>
        <w:pStyle w:val="BodyText"/>
        <w:ind w:left="839"/>
        <w:rPr>
          <w:rFonts w:ascii="Arial"/>
        </w:rPr>
      </w:pPr>
      <w:r>
        <w:rPr>
          <w:rFonts w:ascii="Arial"/>
        </w:rPr>
        <w:t>Chennai-9</w:t>
      </w:r>
    </w:p>
    <w:p w:rsidR="007C5447" w:rsidRDefault="00F6308C">
      <w:pPr>
        <w:pStyle w:val="BodyText"/>
        <w:ind w:left="839" w:right="6252"/>
        <w:rPr>
          <w:rFonts w:ascii="Arial"/>
        </w:rPr>
      </w:pPr>
      <w:r>
        <w:rPr>
          <w:rFonts w:ascii="Arial"/>
        </w:rPr>
        <w:t>(for hosting in the tn.gov.in website) SF/SC</w:t>
      </w:r>
    </w:p>
    <w:p w:rsidR="007C5447" w:rsidRDefault="007C5447">
      <w:pPr>
        <w:pStyle w:val="BodyText"/>
        <w:rPr>
          <w:rFonts w:ascii="Arial"/>
        </w:rPr>
      </w:pPr>
    </w:p>
    <w:p w:rsidR="007C5447" w:rsidRDefault="00F6308C">
      <w:pPr>
        <w:pStyle w:val="BodyText"/>
        <w:ind w:left="767" w:right="627"/>
        <w:jc w:val="center"/>
        <w:rPr>
          <w:rFonts w:ascii="Arial"/>
        </w:rPr>
      </w:pPr>
      <w:r>
        <w:rPr>
          <w:rFonts w:ascii="Arial"/>
        </w:rPr>
        <w:t>//Forwarded by Order//</w:t>
      </w:r>
    </w:p>
    <w:p w:rsidR="007C5447" w:rsidRDefault="007C5447">
      <w:pPr>
        <w:pStyle w:val="BodyText"/>
        <w:rPr>
          <w:rFonts w:ascii="Arial"/>
          <w:sz w:val="26"/>
        </w:rPr>
      </w:pPr>
    </w:p>
    <w:p w:rsidR="007C5447" w:rsidRDefault="007C5447">
      <w:pPr>
        <w:pStyle w:val="BodyText"/>
        <w:rPr>
          <w:rFonts w:ascii="Arial"/>
          <w:sz w:val="22"/>
        </w:rPr>
      </w:pPr>
    </w:p>
    <w:p w:rsidR="007C5447" w:rsidRDefault="00F6308C">
      <w:pPr>
        <w:pStyle w:val="BodyText"/>
        <w:ind w:right="697"/>
        <w:jc w:val="right"/>
        <w:rPr>
          <w:rFonts w:ascii="Arial"/>
        </w:rPr>
      </w:pPr>
      <w:r>
        <w:rPr>
          <w:rFonts w:ascii="Arial"/>
        </w:rPr>
        <w:t>SECTION OFFICER</w:t>
      </w:r>
    </w:p>
    <w:p w:rsidR="007C5447" w:rsidRDefault="007C5447">
      <w:pPr>
        <w:jc w:val="right"/>
        <w:rPr>
          <w:rFonts w:ascii="Arial"/>
        </w:rPr>
        <w:sectPr w:rsidR="007C5447">
          <w:footerReference w:type="default" r:id="rId90"/>
          <w:pgSz w:w="12240" w:h="15840"/>
          <w:pgMar w:top="1360" w:right="740" w:bottom="280" w:left="600" w:header="0" w:footer="0" w:gutter="0"/>
          <w:cols w:space="720"/>
        </w:sectPr>
      </w:pPr>
    </w:p>
    <w:p w:rsidR="007C5447" w:rsidRDefault="007C5447">
      <w:pPr>
        <w:pStyle w:val="BodyText"/>
        <w:rPr>
          <w:rFonts w:ascii="Arial"/>
          <w:sz w:val="20"/>
        </w:rPr>
      </w:pPr>
    </w:p>
    <w:p w:rsidR="007C5447" w:rsidRDefault="007C5447">
      <w:pPr>
        <w:pStyle w:val="BodyText"/>
        <w:spacing w:before="5"/>
        <w:rPr>
          <w:rFonts w:ascii="Arial"/>
          <w:sz w:val="22"/>
        </w:rPr>
      </w:pPr>
    </w:p>
    <w:p w:rsidR="007C5447" w:rsidRDefault="00F6308C">
      <w:pPr>
        <w:pStyle w:val="BodyText"/>
        <w:spacing w:before="1"/>
        <w:ind w:left="767"/>
        <w:jc w:val="center"/>
        <w:rPr>
          <w:rFonts w:ascii="Arial"/>
        </w:rPr>
      </w:pPr>
      <w:r>
        <w:rPr>
          <w:rFonts w:ascii="Arial"/>
          <w:u w:val="single"/>
        </w:rPr>
        <w:t xml:space="preserve"> </w:t>
      </w:r>
      <w:r>
        <w:rPr>
          <w:rFonts w:ascii="Arial"/>
          <w:u w:val="single"/>
        </w:rPr>
        <w:t>APPENDIX.</w:t>
      </w:r>
    </w:p>
    <w:p w:rsidR="007C5447" w:rsidRDefault="007C5447">
      <w:pPr>
        <w:pStyle w:val="BodyText"/>
        <w:spacing w:before="11"/>
        <w:rPr>
          <w:rFonts w:ascii="Arial"/>
          <w:sz w:val="15"/>
        </w:rPr>
      </w:pPr>
    </w:p>
    <w:p w:rsidR="007C5447" w:rsidRDefault="00F6308C">
      <w:pPr>
        <w:pStyle w:val="BodyText"/>
        <w:spacing w:before="92"/>
        <w:ind w:left="1258" w:right="78"/>
        <w:jc w:val="center"/>
        <w:rPr>
          <w:rFonts w:ascii="Arial"/>
        </w:rPr>
      </w:pPr>
      <w:r>
        <w:rPr>
          <w:rFonts w:ascii="Arial"/>
          <w:u w:val="single"/>
        </w:rPr>
        <w:t>NOTIFICATION.</w:t>
      </w:r>
    </w:p>
    <w:p w:rsidR="007C5447" w:rsidRDefault="007C5447">
      <w:pPr>
        <w:pStyle w:val="BodyText"/>
        <w:rPr>
          <w:rFonts w:ascii="Arial"/>
          <w:sz w:val="16"/>
        </w:rPr>
      </w:pPr>
    </w:p>
    <w:p w:rsidR="007C5447" w:rsidRDefault="00F6308C">
      <w:pPr>
        <w:pStyle w:val="BodyText"/>
        <w:spacing w:before="92" w:line="360" w:lineRule="auto"/>
        <w:ind w:left="840" w:right="698" w:firstLine="720"/>
        <w:jc w:val="both"/>
        <w:rPr>
          <w:rFonts w:ascii="Arial"/>
        </w:rPr>
      </w:pPr>
      <w:r>
        <w:rPr>
          <w:rFonts w:ascii="Arial"/>
        </w:rPr>
        <w:t>In exercise of the powers conferred by sections 131 and 133 of the Electricity Act, 2003 (Central Act 36 of 2003), read with sub-clause (3) of clause 12 of the Tamil Nadu Electricity (Reorganisation and Reforms) Transfer Scheme, 2010, the Governor of Tamil</w:t>
      </w:r>
      <w:r>
        <w:rPr>
          <w:rFonts w:ascii="Arial"/>
        </w:rPr>
        <w:t xml:space="preserve"> Nadu hereby makes the following amendments to the said Scheme</w:t>
      </w:r>
      <w:r>
        <w:rPr>
          <w:rFonts w:ascii="Arial"/>
          <w:spacing w:val="-17"/>
        </w:rPr>
        <w:t xml:space="preserve"> </w:t>
      </w:r>
      <w:r>
        <w:rPr>
          <w:rFonts w:ascii="Arial"/>
        </w:rPr>
        <w:t>:-</w:t>
      </w:r>
    </w:p>
    <w:p w:rsidR="007C5447" w:rsidRDefault="00F6308C">
      <w:pPr>
        <w:pStyle w:val="BodyText"/>
        <w:spacing w:line="360" w:lineRule="auto"/>
        <w:ind w:left="840" w:right="698" w:firstLine="720"/>
        <w:jc w:val="both"/>
        <w:rPr>
          <w:rFonts w:ascii="Arial"/>
        </w:rPr>
      </w:pPr>
      <w:r>
        <w:rPr>
          <w:rFonts w:ascii="Arial"/>
        </w:rPr>
        <w:t>2. The amendments hereby made shall be deemed to have come into force on and from the 1</w:t>
      </w:r>
      <w:r>
        <w:rPr>
          <w:rFonts w:ascii="Arial"/>
          <w:vertAlign w:val="superscript"/>
        </w:rPr>
        <w:t>st</w:t>
      </w:r>
      <w:r>
        <w:rPr>
          <w:rFonts w:ascii="Arial"/>
        </w:rPr>
        <w:t xml:space="preserve"> day of November 2010.</w:t>
      </w:r>
    </w:p>
    <w:p w:rsidR="007C5447" w:rsidRDefault="00F6308C">
      <w:pPr>
        <w:pStyle w:val="BodyText"/>
        <w:ind w:left="1258"/>
        <w:jc w:val="center"/>
        <w:rPr>
          <w:rFonts w:ascii="Arial"/>
        </w:rPr>
      </w:pPr>
      <w:r>
        <w:rPr>
          <w:rFonts w:ascii="Arial"/>
          <w:u w:val="single"/>
        </w:rPr>
        <w:t xml:space="preserve"> </w:t>
      </w:r>
      <w:r>
        <w:rPr>
          <w:rFonts w:ascii="Arial"/>
          <w:u w:val="single"/>
        </w:rPr>
        <w:t>AMENDMENTS.</w:t>
      </w:r>
    </w:p>
    <w:p w:rsidR="007C5447" w:rsidRDefault="00F6308C">
      <w:pPr>
        <w:pStyle w:val="BodyText"/>
        <w:spacing w:before="138"/>
        <w:ind w:left="1559"/>
        <w:rPr>
          <w:rFonts w:ascii="Arial"/>
        </w:rPr>
      </w:pPr>
      <w:r>
        <w:rPr>
          <w:rFonts w:ascii="Arial"/>
        </w:rPr>
        <w:t>In the said Scheme, in clause 5 :-</w:t>
      </w:r>
    </w:p>
    <w:p w:rsidR="007C5447" w:rsidRDefault="00F6308C">
      <w:pPr>
        <w:pStyle w:val="ListParagraph"/>
        <w:numPr>
          <w:ilvl w:val="0"/>
          <w:numId w:val="5"/>
        </w:numPr>
        <w:tabs>
          <w:tab w:val="left" w:pos="2015"/>
        </w:tabs>
        <w:spacing w:before="138" w:line="360" w:lineRule="auto"/>
        <w:ind w:left="839" w:right="698" w:firstLine="720"/>
        <w:jc w:val="both"/>
        <w:rPr>
          <w:rFonts w:ascii="Arial" w:hAnsi="Arial"/>
          <w:sz w:val="24"/>
        </w:rPr>
      </w:pPr>
      <w:r>
        <w:rPr>
          <w:rFonts w:ascii="Arial" w:hAnsi="Arial"/>
          <w:sz w:val="24"/>
        </w:rPr>
        <w:t>In sub-clause (9), for the exp</w:t>
      </w:r>
      <w:r>
        <w:rPr>
          <w:rFonts w:ascii="Arial" w:hAnsi="Arial"/>
          <w:sz w:val="24"/>
        </w:rPr>
        <w:t>ression “The transfer value of the Fixed Assets forming part of Schedules A, B and C of the respective Transferees have been done at book values excluding the land and turbine machinery of gas based power plant which was revalued based on the guideline val</w:t>
      </w:r>
      <w:r>
        <w:rPr>
          <w:rFonts w:ascii="Arial" w:hAnsi="Arial"/>
          <w:sz w:val="24"/>
        </w:rPr>
        <w:t>ue resulting into Revaluation Reserve of Rs.8355.32 Crores”, the expression “The transfer value of the Fixed Assets forming part of Schedules A, B and C of the respective Transferees have been done at book values excluding the land, buildings, plant and ma</w:t>
      </w:r>
      <w:r>
        <w:rPr>
          <w:rFonts w:ascii="Arial" w:hAnsi="Arial"/>
          <w:sz w:val="24"/>
        </w:rPr>
        <w:t>chineries, lines, cables and network, which are revalued based on the guideline value resulting into Revaluation Reserve of Rs.51,441.00 Crores” shall be</w:t>
      </w:r>
      <w:r>
        <w:rPr>
          <w:rFonts w:ascii="Arial" w:hAnsi="Arial"/>
          <w:spacing w:val="-4"/>
          <w:sz w:val="24"/>
        </w:rPr>
        <w:t xml:space="preserve"> </w:t>
      </w:r>
      <w:r>
        <w:rPr>
          <w:rFonts w:ascii="Arial" w:hAnsi="Arial"/>
          <w:sz w:val="24"/>
        </w:rPr>
        <w:t>substituted;</w:t>
      </w:r>
    </w:p>
    <w:p w:rsidR="007C5447" w:rsidRDefault="00F6308C">
      <w:pPr>
        <w:pStyle w:val="ListParagraph"/>
        <w:numPr>
          <w:ilvl w:val="0"/>
          <w:numId w:val="5"/>
        </w:numPr>
        <w:tabs>
          <w:tab w:val="left" w:pos="1921"/>
        </w:tabs>
        <w:spacing w:line="275" w:lineRule="exact"/>
        <w:ind w:left="1920" w:hanging="361"/>
        <w:jc w:val="both"/>
        <w:rPr>
          <w:rFonts w:ascii="Arial"/>
          <w:sz w:val="24"/>
        </w:rPr>
      </w:pPr>
      <w:r>
        <w:rPr>
          <w:rFonts w:ascii="Arial"/>
          <w:sz w:val="24"/>
        </w:rPr>
        <w:t>after sub-clause (9), the following sub-clause shall be added, namely</w:t>
      </w:r>
      <w:r>
        <w:rPr>
          <w:rFonts w:ascii="Arial"/>
          <w:spacing w:val="-17"/>
          <w:sz w:val="24"/>
        </w:rPr>
        <w:t xml:space="preserve"> </w:t>
      </w:r>
      <w:r>
        <w:rPr>
          <w:rFonts w:ascii="Arial"/>
          <w:sz w:val="24"/>
        </w:rPr>
        <w:t>:-</w:t>
      </w:r>
    </w:p>
    <w:p w:rsidR="007C5447" w:rsidRDefault="00F6308C">
      <w:pPr>
        <w:pStyle w:val="BodyText"/>
        <w:spacing w:before="138" w:line="360" w:lineRule="auto"/>
        <w:ind w:left="840" w:right="697"/>
        <w:jc w:val="both"/>
        <w:rPr>
          <w:rFonts w:ascii="Arial" w:hAnsi="Arial"/>
        </w:rPr>
      </w:pPr>
      <w:r>
        <w:rPr>
          <w:rFonts w:ascii="Arial" w:hAnsi="Arial"/>
        </w:rPr>
        <w:t>“(10) The functi</w:t>
      </w:r>
      <w:r>
        <w:rPr>
          <w:rFonts w:ascii="Arial" w:hAnsi="Arial"/>
        </w:rPr>
        <w:t>on-wise Account Rendering Units/Circle offices shall be as set out in Schedule-D.”;</w:t>
      </w:r>
    </w:p>
    <w:p w:rsidR="007C5447" w:rsidRDefault="00F6308C">
      <w:pPr>
        <w:pStyle w:val="ListParagraph"/>
        <w:numPr>
          <w:ilvl w:val="0"/>
          <w:numId w:val="5"/>
        </w:numPr>
        <w:tabs>
          <w:tab w:val="left" w:pos="1921"/>
        </w:tabs>
        <w:spacing w:before="61"/>
        <w:ind w:left="1920" w:hanging="361"/>
        <w:jc w:val="both"/>
        <w:rPr>
          <w:rFonts w:ascii="Arial"/>
          <w:sz w:val="24"/>
        </w:rPr>
      </w:pPr>
      <w:r>
        <w:rPr>
          <w:rFonts w:ascii="Arial"/>
          <w:sz w:val="24"/>
        </w:rPr>
        <w:t>in the</w:t>
      </w:r>
      <w:r>
        <w:rPr>
          <w:rFonts w:ascii="Arial"/>
          <w:spacing w:val="-1"/>
          <w:sz w:val="24"/>
        </w:rPr>
        <w:t xml:space="preserve"> </w:t>
      </w:r>
      <w:r>
        <w:rPr>
          <w:rFonts w:ascii="Arial"/>
          <w:sz w:val="24"/>
        </w:rPr>
        <w:t>Appendix,-</w:t>
      </w:r>
    </w:p>
    <w:p w:rsidR="007C5447" w:rsidRDefault="007C5447">
      <w:pPr>
        <w:pStyle w:val="BodyText"/>
        <w:spacing w:before="4"/>
        <w:rPr>
          <w:rFonts w:ascii="Arial"/>
          <w:sz w:val="34"/>
        </w:rPr>
      </w:pPr>
    </w:p>
    <w:p w:rsidR="007C5447" w:rsidRDefault="00F6308C">
      <w:pPr>
        <w:pStyle w:val="ListParagraph"/>
        <w:numPr>
          <w:ilvl w:val="0"/>
          <w:numId w:val="4"/>
        </w:numPr>
        <w:tabs>
          <w:tab w:val="left" w:pos="1921"/>
        </w:tabs>
        <w:spacing w:before="1" w:line="360" w:lineRule="auto"/>
        <w:ind w:right="697" w:hanging="360"/>
        <w:jc w:val="both"/>
        <w:rPr>
          <w:rFonts w:ascii="Arial" w:hAnsi="Arial"/>
          <w:sz w:val="24"/>
        </w:rPr>
      </w:pPr>
      <w:r>
        <w:rPr>
          <w:rFonts w:ascii="Arial" w:hAnsi="Arial"/>
          <w:sz w:val="24"/>
        </w:rPr>
        <w:t>in Schedule-A, in Part-II Generation and Distribution Undertakings, for the entries under the heading “Aggregate Assets and Liabilities vested in Tamil Nadu Generation and Distribution Corporation Limited (TANGEDCO)”, the following entries shall be substit</w:t>
      </w:r>
      <w:r>
        <w:rPr>
          <w:rFonts w:ascii="Arial" w:hAnsi="Arial"/>
          <w:sz w:val="24"/>
        </w:rPr>
        <w:t>uted,</w:t>
      </w:r>
      <w:r>
        <w:rPr>
          <w:rFonts w:ascii="Arial" w:hAnsi="Arial"/>
          <w:spacing w:val="-4"/>
          <w:sz w:val="24"/>
        </w:rPr>
        <w:t xml:space="preserve"> </w:t>
      </w:r>
      <w:r>
        <w:rPr>
          <w:rFonts w:ascii="Arial" w:hAnsi="Arial"/>
          <w:sz w:val="24"/>
        </w:rPr>
        <w:t>namely:-</w:t>
      </w:r>
    </w:p>
    <w:p w:rsidR="007C5447" w:rsidRDefault="007C5447">
      <w:pPr>
        <w:spacing w:line="360" w:lineRule="auto"/>
        <w:jc w:val="both"/>
        <w:rPr>
          <w:rFonts w:ascii="Arial" w:hAnsi="Arial"/>
          <w:sz w:val="24"/>
        </w:rPr>
        <w:sectPr w:rsidR="007C5447">
          <w:footerReference w:type="default" r:id="rId91"/>
          <w:pgSz w:w="12240" w:h="15840"/>
          <w:pgMar w:top="1500" w:right="740" w:bottom="280" w:left="600" w:header="0" w:footer="0" w:gutter="0"/>
          <w:cols w:space="720"/>
        </w:sectPr>
      </w:pPr>
    </w:p>
    <w:p w:rsidR="007C5447" w:rsidRDefault="007C5447">
      <w:pPr>
        <w:pStyle w:val="BodyText"/>
        <w:rPr>
          <w:rFonts w:ascii="Arial"/>
          <w:sz w:val="20"/>
        </w:rPr>
      </w:pPr>
    </w:p>
    <w:p w:rsidR="007C5447" w:rsidRDefault="007C5447">
      <w:pPr>
        <w:pStyle w:val="BodyText"/>
        <w:rPr>
          <w:rFonts w:ascii="Arial"/>
          <w:sz w:val="1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30"/>
        <w:gridCol w:w="966"/>
        <w:gridCol w:w="992"/>
        <w:gridCol w:w="3404"/>
        <w:gridCol w:w="1038"/>
        <w:gridCol w:w="971"/>
      </w:tblGrid>
      <w:tr w:rsidR="007C5447">
        <w:trPr>
          <w:trHeight w:val="219"/>
        </w:trPr>
        <w:tc>
          <w:tcPr>
            <w:tcW w:w="10501" w:type="dxa"/>
            <w:gridSpan w:val="6"/>
          </w:tcPr>
          <w:p w:rsidR="007C5447" w:rsidRDefault="00F6308C">
            <w:pPr>
              <w:pStyle w:val="TableParagraph"/>
              <w:spacing w:line="199" w:lineRule="exact"/>
              <w:ind w:left="2594" w:right="2586"/>
              <w:jc w:val="center"/>
              <w:rPr>
                <w:rFonts w:ascii="Calibri" w:hAnsi="Calibri"/>
                <w:b/>
                <w:sz w:val="18"/>
              </w:rPr>
            </w:pPr>
            <w:r>
              <w:rPr>
                <w:rFonts w:ascii="Calibri" w:hAnsi="Calibri"/>
                <w:b/>
                <w:sz w:val="18"/>
              </w:rPr>
              <w:t>“OPENING BALANCE SHEET OF TANGEDCO AS ON 1st NOVEMBER 2010</w:t>
            </w:r>
          </w:p>
        </w:tc>
      </w:tr>
      <w:tr w:rsidR="007C5447">
        <w:trPr>
          <w:trHeight w:val="220"/>
        </w:trPr>
        <w:tc>
          <w:tcPr>
            <w:tcW w:w="3130" w:type="dxa"/>
          </w:tcPr>
          <w:p w:rsidR="007C5447" w:rsidRDefault="00F6308C">
            <w:pPr>
              <w:pStyle w:val="TableParagraph"/>
              <w:spacing w:line="200" w:lineRule="exact"/>
              <w:ind w:left="1135" w:right="1127"/>
              <w:jc w:val="center"/>
              <w:rPr>
                <w:rFonts w:ascii="Calibri"/>
                <w:b/>
                <w:sz w:val="18"/>
              </w:rPr>
            </w:pPr>
            <w:r>
              <w:rPr>
                <w:rFonts w:ascii="Calibri"/>
                <w:b/>
                <w:sz w:val="18"/>
              </w:rPr>
              <w:t>LIABILITIES</w:t>
            </w:r>
          </w:p>
        </w:tc>
        <w:tc>
          <w:tcPr>
            <w:tcW w:w="1958" w:type="dxa"/>
            <w:gridSpan w:val="2"/>
          </w:tcPr>
          <w:p w:rsidR="007C5447" w:rsidRDefault="00F6308C">
            <w:pPr>
              <w:pStyle w:val="TableParagraph"/>
              <w:spacing w:line="200" w:lineRule="exact"/>
              <w:ind w:left="513"/>
              <w:jc w:val="left"/>
              <w:rPr>
                <w:rFonts w:ascii="Calibri"/>
                <w:b/>
                <w:sz w:val="18"/>
              </w:rPr>
            </w:pPr>
            <w:r>
              <w:rPr>
                <w:rFonts w:ascii="Calibri"/>
                <w:b/>
                <w:sz w:val="18"/>
              </w:rPr>
              <w:t>Rs. In Crores</w:t>
            </w:r>
          </w:p>
        </w:tc>
        <w:tc>
          <w:tcPr>
            <w:tcW w:w="3404" w:type="dxa"/>
          </w:tcPr>
          <w:p w:rsidR="007C5447" w:rsidRDefault="00F6308C">
            <w:pPr>
              <w:pStyle w:val="TableParagraph"/>
              <w:spacing w:line="200" w:lineRule="exact"/>
              <w:ind w:left="1147" w:right="1138"/>
              <w:jc w:val="center"/>
              <w:rPr>
                <w:rFonts w:ascii="Calibri"/>
                <w:b/>
                <w:sz w:val="18"/>
              </w:rPr>
            </w:pPr>
            <w:r>
              <w:rPr>
                <w:rFonts w:ascii="Calibri"/>
                <w:b/>
                <w:sz w:val="18"/>
              </w:rPr>
              <w:t>ASSETS</w:t>
            </w:r>
          </w:p>
        </w:tc>
        <w:tc>
          <w:tcPr>
            <w:tcW w:w="2009" w:type="dxa"/>
            <w:gridSpan w:val="2"/>
          </w:tcPr>
          <w:p w:rsidR="007C5447" w:rsidRDefault="00F6308C">
            <w:pPr>
              <w:pStyle w:val="TableParagraph"/>
              <w:spacing w:line="200" w:lineRule="exact"/>
              <w:ind w:left="539"/>
              <w:jc w:val="left"/>
              <w:rPr>
                <w:rFonts w:ascii="Calibri"/>
                <w:b/>
                <w:sz w:val="18"/>
              </w:rPr>
            </w:pPr>
            <w:r>
              <w:rPr>
                <w:rFonts w:ascii="Calibri"/>
                <w:b/>
                <w:sz w:val="18"/>
              </w:rPr>
              <w:t>Rs. In Crores</w:t>
            </w:r>
          </w:p>
        </w:tc>
      </w:tr>
      <w:tr w:rsidR="007C5447">
        <w:trPr>
          <w:trHeight w:val="230"/>
        </w:trPr>
        <w:tc>
          <w:tcPr>
            <w:tcW w:w="3130" w:type="dxa"/>
          </w:tcPr>
          <w:p w:rsidR="007C5447" w:rsidRDefault="00F6308C">
            <w:pPr>
              <w:pStyle w:val="TableParagraph"/>
              <w:spacing w:before="5" w:line="205" w:lineRule="exact"/>
              <w:ind w:left="107"/>
              <w:jc w:val="left"/>
              <w:rPr>
                <w:rFonts w:ascii="Calibri"/>
                <w:b/>
                <w:sz w:val="18"/>
              </w:rPr>
            </w:pPr>
            <w:r>
              <w:rPr>
                <w:rFonts w:ascii="Calibri"/>
                <w:b/>
                <w:sz w:val="18"/>
                <w:u w:val="single"/>
              </w:rPr>
              <w:t>SOURCES OF FUNDS</w:t>
            </w:r>
          </w:p>
        </w:tc>
        <w:tc>
          <w:tcPr>
            <w:tcW w:w="966"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5" w:line="205" w:lineRule="exact"/>
              <w:ind w:left="107"/>
              <w:jc w:val="left"/>
              <w:rPr>
                <w:rFonts w:ascii="Calibri"/>
                <w:b/>
                <w:sz w:val="18"/>
              </w:rPr>
            </w:pPr>
            <w:r>
              <w:rPr>
                <w:rFonts w:ascii="Calibri"/>
                <w:b/>
                <w:sz w:val="18"/>
                <w:u w:val="single"/>
              </w:rPr>
              <w:t>APPLICATION OF FUNDS</w:t>
            </w:r>
          </w:p>
        </w:tc>
        <w:tc>
          <w:tcPr>
            <w:tcW w:w="1038" w:type="dxa"/>
          </w:tcPr>
          <w:p w:rsidR="007C5447" w:rsidRDefault="007C5447">
            <w:pPr>
              <w:pStyle w:val="TableParagraph"/>
              <w:jc w:val="left"/>
              <w:rPr>
                <w:sz w:val="16"/>
              </w:rPr>
            </w:pP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F6308C">
            <w:pPr>
              <w:pStyle w:val="TableParagraph"/>
              <w:spacing w:before="5" w:line="205" w:lineRule="exact"/>
              <w:ind w:left="107"/>
              <w:jc w:val="left"/>
              <w:rPr>
                <w:rFonts w:ascii="Calibri"/>
                <w:b/>
                <w:sz w:val="18"/>
              </w:rPr>
            </w:pPr>
            <w:r>
              <w:rPr>
                <w:rFonts w:ascii="Calibri"/>
                <w:b/>
                <w:sz w:val="18"/>
                <w:u w:val="single"/>
              </w:rPr>
              <w:t>SHAREHOLDERS FUND</w:t>
            </w:r>
          </w:p>
        </w:tc>
        <w:tc>
          <w:tcPr>
            <w:tcW w:w="966"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5" w:line="205" w:lineRule="exact"/>
              <w:ind w:left="107"/>
              <w:jc w:val="left"/>
              <w:rPr>
                <w:rFonts w:ascii="Calibri"/>
                <w:b/>
                <w:sz w:val="18"/>
              </w:rPr>
            </w:pPr>
            <w:r>
              <w:rPr>
                <w:rFonts w:ascii="Calibri"/>
                <w:b/>
                <w:sz w:val="18"/>
                <w:u w:val="single"/>
              </w:rPr>
              <w:t>FIXED ASSETS</w:t>
            </w:r>
          </w:p>
        </w:tc>
        <w:tc>
          <w:tcPr>
            <w:tcW w:w="1038" w:type="dxa"/>
          </w:tcPr>
          <w:p w:rsidR="007C5447" w:rsidRDefault="007C5447">
            <w:pPr>
              <w:pStyle w:val="TableParagraph"/>
              <w:jc w:val="left"/>
              <w:rPr>
                <w:sz w:val="16"/>
              </w:rPr>
            </w:pP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F6308C">
            <w:pPr>
              <w:pStyle w:val="TableParagraph"/>
              <w:spacing w:before="5" w:line="205" w:lineRule="exact"/>
              <w:ind w:left="107"/>
              <w:jc w:val="left"/>
              <w:rPr>
                <w:rFonts w:ascii="Calibri"/>
                <w:i/>
                <w:sz w:val="18"/>
              </w:rPr>
            </w:pPr>
            <w:r>
              <w:rPr>
                <w:rFonts w:ascii="Calibri"/>
                <w:i/>
                <w:sz w:val="18"/>
              </w:rPr>
              <w:t>Equity Share Capital TNEB Limited</w:t>
            </w:r>
          </w:p>
        </w:tc>
        <w:tc>
          <w:tcPr>
            <w:tcW w:w="966" w:type="dxa"/>
          </w:tcPr>
          <w:p w:rsidR="007C5447" w:rsidRDefault="007C5447">
            <w:pPr>
              <w:pStyle w:val="TableParagraph"/>
              <w:jc w:val="left"/>
              <w:rPr>
                <w:sz w:val="16"/>
              </w:rPr>
            </w:pPr>
          </w:p>
        </w:tc>
        <w:tc>
          <w:tcPr>
            <w:tcW w:w="992" w:type="dxa"/>
          </w:tcPr>
          <w:p w:rsidR="007C5447" w:rsidRDefault="00F6308C">
            <w:pPr>
              <w:pStyle w:val="TableParagraph"/>
              <w:spacing w:before="5" w:line="205" w:lineRule="exact"/>
              <w:ind w:left="176"/>
              <w:jc w:val="left"/>
              <w:rPr>
                <w:rFonts w:ascii="Calibri"/>
                <w:sz w:val="18"/>
              </w:rPr>
            </w:pPr>
            <w:r>
              <w:rPr>
                <w:rFonts w:ascii="Calibri"/>
                <w:sz w:val="18"/>
              </w:rPr>
              <w:t>2,290.72</w:t>
            </w:r>
          </w:p>
        </w:tc>
        <w:tc>
          <w:tcPr>
            <w:tcW w:w="3404" w:type="dxa"/>
          </w:tcPr>
          <w:p w:rsidR="007C5447" w:rsidRDefault="00F6308C">
            <w:pPr>
              <w:pStyle w:val="TableParagraph"/>
              <w:spacing w:before="5" w:line="205" w:lineRule="exact"/>
              <w:ind w:left="107"/>
              <w:jc w:val="left"/>
              <w:rPr>
                <w:rFonts w:ascii="Calibri"/>
                <w:i/>
                <w:sz w:val="18"/>
              </w:rPr>
            </w:pPr>
            <w:r>
              <w:rPr>
                <w:rFonts w:ascii="Calibri"/>
                <w:i/>
                <w:sz w:val="18"/>
              </w:rPr>
              <w:t>Gross Fixed Assets</w:t>
            </w:r>
          </w:p>
        </w:tc>
        <w:tc>
          <w:tcPr>
            <w:tcW w:w="1038" w:type="dxa"/>
          </w:tcPr>
          <w:p w:rsidR="007C5447" w:rsidRDefault="00F6308C">
            <w:pPr>
              <w:pStyle w:val="TableParagraph"/>
              <w:spacing w:before="5" w:line="205" w:lineRule="exact"/>
              <w:ind w:left="132" w:right="122"/>
              <w:jc w:val="center"/>
              <w:rPr>
                <w:rFonts w:ascii="Calibri"/>
                <w:sz w:val="18"/>
              </w:rPr>
            </w:pPr>
            <w:r>
              <w:rPr>
                <w:rFonts w:ascii="Calibri"/>
                <w:sz w:val="18"/>
              </w:rPr>
              <w:t>45,601.98</w:t>
            </w: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7C5447">
            <w:pPr>
              <w:pStyle w:val="TableParagraph"/>
              <w:jc w:val="left"/>
              <w:rPr>
                <w:sz w:val="16"/>
              </w:rPr>
            </w:pPr>
          </w:p>
        </w:tc>
        <w:tc>
          <w:tcPr>
            <w:tcW w:w="966"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5" w:line="205" w:lineRule="exact"/>
              <w:ind w:left="107"/>
              <w:jc w:val="left"/>
              <w:rPr>
                <w:rFonts w:ascii="Calibri"/>
                <w:i/>
                <w:sz w:val="18"/>
              </w:rPr>
            </w:pPr>
            <w:r>
              <w:rPr>
                <w:rFonts w:ascii="Calibri"/>
                <w:i/>
                <w:sz w:val="18"/>
              </w:rPr>
              <w:t>Less: Accumulated Depreciation</w:t>
            </w:r>
          </w:p>
        </w:tc>
        <w:tc>
          <w:tcPr>
            <w:tcW w:w="1038" w:type="dxa"/>
          </w:tcPr>
          <w:p w:rsidR="007C5447" w:rsidRDefault="00F6308C">
            <w:pPr>
              <w:pStyle w:val="TableParagraph"/>
              <w:spacing w:before="5" w:line="205" w:lineRule="exact"/>
              <w:ind w:left="9"/>
              <w:jc w:val="center"/>
              <w:rPr>
                <w:rFonts w:ascii="Calibri" w:hAnsi="Calibri"/>
                <w:sz w:val="18"/>
              </w:rPr>
            </w:pPr>
            <w:r>
              <w:rPr>
                <w:rFonts w:ascii="Calibri" w:hAnsi="Calibri"/>
                <w:sz w:val="18"/>
              </w:rPr>
              <w:t>‐</w:t>
            </w: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F6308C">
            <w:pPr>
              <w:pStyle w:val="TableParagraph"/>
              <w:spacing w:before="5" w:line="205" w:lineRule="exact"/>
              <w:ind w:left="107"/>
              <w:jc w:val="left"/>
              <w:rPr>
                <w:rFonts w:ascii="Calibri"/>
                <w:b/>
                <w:sz w:val="18"/>
              </w:rPr>
            </w:pPr>
            <w:r>
              <w:rPr>
                <w:rFonts w:ascii="Calibri"/>
                <w:b/>
                <w:sz w:val="18"/>
                <w:u w:val="single"/>
              </w:rPr>
              <w:t>RESERVES AND RESERVE FUNDS</w:t>
            </w:r>
          </w:p>
        </w:tc>
        <w:tc>
          <w:tcPr>
            <w:tcW w:w="966"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5" w:line="205" w:lineRule="exact"/>
              <w:ind w:left="107"/>
              <w:jc w:val="left"/>
              <w:rPr>
                <w:rFonts w:ascii="Calibri"/>
                <w:b/>
                <w:i/>
                <w:sz w:val="18"/>
              </w:rPr>
            </w:pPr>
            <w:r>
              <w:rPr>
                <w:rFonts w:ascii="Calibri"/>
                <w:b/>
                <w:i/>
                <w:sz w:val="18"/>
              </w:rPr>
              <w:t>Net Fixed Assets</w:t>
            </w:r>
          </w:p>
        </w:tc>
        <w:tc>
          <w:tcPr>
            <w:tcW w:w="1038" w:type="dxa"/>
          </w:tcPr>
          <w:p w:rsidR="007C5447" w:rsidRDefault="00F6308C">
            <w:pPr>
              <w:pStyle w:val="TableParagraph"/>
              <w:spacing w:before="5" w:line="205" w:lineRule="exact"/>
              <w:ind w:left="132" w:right="122"/>
              <w:jc w:val="center"/>
              <w:rPr>
                <w:rFonts w:ascii="Calibri"/>
                <w:b/>
                <w:sz w:val="18"/>
              </w:rPr>
            </w:pPr>
            <w:r>
              <w:rPr>
                <w:rFonts w:ascii="Calibri"/>
                <w:b/>
                <w:sz w:val="18"/>
              </w:rPr>
              <w:t>45,601.98</w:t>
            </w: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F6308C">
            <w:pPr>
              <w:pStyle w:val="TableParagraph"/>
              <w:spacing w:before="5" w:line="205" w:lineRule="exact"/>
              <w:ind w:left="107"/>
              <w:jc w:val="left"/>
              <w:rPr>
                <w:rFonts w:ascii="Calibri"/>
                <w:i/>
                <w:sz w:val="18"/>
              </w:rPr>
            </w:pPr>
            <w:r>
              <w:rPr>
                <w:rFonts w:ascii="Calibri"/>
                <w:i/>
                <w:sz w:val="18"/>
              </w:rPr>
              <w:t>1% Property Insurance Reserves</w:t>
            </w:r>
          </w:p>
        </w:tc>
        <w:tc>
          <w:tcPr>
            <w:tcW w:w="966" w:type="dxa"/>
          </w:tcPr>
          <w:p w:rsidR="007C5447" w:rsidRDefault="00F6308C">
            <w:pPr>
              <w:pStyle w:val="TableParagraph"/>
              <w:spacing w:before="5" w:line="205" w:lineRule="exact"/>
              <w:ind w:right="160"/>
              <w:rPr>
                <w:rFonts w:ascii="Calibri"/>
                <w:sz w:val="18"/>
              </w:rPr>
            </w:pPr>
            <w:r>
              <w:rPr>
                <w:rFonts w:ascii="Calibri"/>
                <w:sz w:val="18"/>
              </w:rPr>
              <w:t>590.31</w:t>
            </w: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5" w:line="205" w:lineRule="exact"/>
              <w:ind w:left="107"/>
              <w:jc w:val="left"/>
              <w:rPr>
                <w:rFonts w:ascii="Calibri"/>
                <w:b/>
                <w:i/>
                <w:sz w:val="18"/>
              </w:rPr>
            </w:pPr>
            <w:r>
              <w:rPr>
                <w:rFonts w:ascii="Calibri"/>
                <w:b/>
                <w:i/>
                <w:sz w:val="18"/>
              </w:rPr>
              <w:t>Capital Works in Progress</w:t>
            </w:r>
          </w:p>
        </w:tc>
        <w:tc>
          <w:tcPr>
            <w:tcW w:w="1038" w:type="dxa"/>
          </w:tcPr>
          <w:p w:rsidR="007C5447" w:rsidRDefault="00F6308C">
            <w:pPr>
              <w:pStyle w:val="TableParagraph"/>
              <w:spacing w:before="5" w:line="205" w:lineRule="exact"/>
              <w:ind w:left="132" w:right="122"/>
              <w:jc w:val="center"/>
              <w:rPr>
                <w:rFonts w:ascii="Calibri"/>
                <w:b/>
                <w:sz w:val="18"/>
              </w:rPr>
            </w:pPr>
            <w:r>
              <w:rPr>
                <w:rFonts w:ascii="Calibri"/>
                <w:b/>
                <w:sz w:val="18"/>
              </w:rPr>
              <w:t>5,070.79</w:t>
            </w:r>
          </w:p>
        </w:tc>
        <w:tc>
          <w:tcPr>
            <w:tcW w:w="971" w:type="dxa"/>
          </w:tcPr>
          <w:p w:rsidR="007C5447" w:rsidRDefault="00F6308C">
            <w:pPr>
              <w:pStyle w:val="TableParagraph"/>
              <w:spacing w:before="5" w:line="205" w:lineRule="exact"/>
              <w:ind w:right="106"/>
              <w:rPr>
                <w:rFonts w:ascii="Calibri"/>
                <w:b/>
                <w:sz w:val="18"/>
              </w:rPr>
            </w:pPr>
            <w:r>
              <w:rPr>
                <w:rFonts w:ascii="Calibri"/>
                <w:b/>
                <w:sz w:val="18"/>
              </w:rPr>
              <w:t>50,672.77</w:t>
            </w:r>
          </w:p>
        </w:tc>
      </w:tr>
      <w:tr w:rsidR="007C5447">
        <w:trPr>
          <w:trHeight w:val="230"/>
        </w:trPr>
        <w:tc>
          <w:tcPr>
            <w:tcW w:w="3130" w:type="dxa"/>
          </w:tcPr>
          <w:p w:rsidR="007C5447" w:rsidRDefault="00F6308C">
            <w:pPr>
              <w:pStyle w:val="TableParagraph"/>
              <w:spacing w:before="5" w:line="205" w:lineRule="exact"/>
              <w:ind w:left="107"/>
              <w:jc w:val="left"/>
              <w:rPr>
                <w:rFonts w:ascii="Calibri"/>
                <w:i/>
                <w:sz w:val="18"/>
              </w:rPr>
            </w:pPr>
            <w:r>
              <w:rPr>
                <w:rFonts w:ascii="Calibri"/>
                <w:i/>
                <w:sz w:val="18"/>
              </w:rPr>
              <w:t>Material cost variance reserves</w:t>
            </w:r>
          </w:p>
        </w:tc>
        <w:tc>
          <w:tcPr>
            <w:tcW w:w="966" w:type="dxa"/>
          </w:tcPr>
          <w:p w:rsidR="007C5447" w:rsidRDefault="00F6308C">
            <w:pPr>
              <w:pStyle w:val="TableParagraph"/>
              <w:spacing w:before="5" w:line="205" w:lineRule="exact"/>
              <w:ind w:right="164"/>
              <w:rPr>
                <w:rFonts w:ascii="Calibri"/>
                <w:sz w:val="18"/>
              </w:rPr>
            </w:pPr>
            <w:r>
              <w:rPr>
                <w:rFonts w:ascii="Calibri"/>
                <w:sz w:val="18"/>
              </w:rPr>
              <w:t>48.45</w:t>
            </w:r>
          </w:p>
        </w:tc>
        <w:tc>
          <w:tcPr>
            <w:tcW w:w="992" w:type="dxa"/>
          </w:tcPr>
          <w:p w:rsidR="007C5447" w:rsidRDefault="007C5447">
            <w:pPr>
              <w:pStyle w:val="TableParagraph"/>
              <w:jc w:val="left"/>
              <w:rPr>
                <w:sz w:val="16"/>
              </w:rPr>
            </w:pPr>
          </w:p>
        </w:tc>
        <w:tc>
          <w:tcPr>
            <w:tcW w:w="3404" w:type="dxa"/>
          </w:tcPr>
          <w:p w:rsidR="007C5447" w:rsidRDefault="007C5447">
            <w:pPr>
              <w:pStyle w:val="TableParagraph"/>
              <w:jc w:val="left"/>
              <w:rPr>
                <w:sz w:val="16"/>
              </w:rPr>
            </w:pPr>
          </w:p>
        </w:tc>
        <w:tc>
          <w:tcPr>
            <w:tcW w:w="1038" w:type="dxa"/>
          </w:tcPr>
          <w:p w:rsidR="007C5447" w:rsidRDefault="007C5447">
            <w:pPr>
              <w:pStyle w:val="TableParagraph"/>
              <w:jc w:val="left"/>
              <w:rPr>
                <w:sz w:val="16"/>
              </w:rPr>
            </w:pP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F6308C">
            <w:pPr>
              <w:pStyle w:val="TableParagraph"/>
              <w:spacing w:before="5" w:line="205" w:lineRule="exact"/>
              <w:ind w:left="107"/>
              <w:jc w:val="left"/>
              <w:rPr>
                <w:rFonts w:ascii="Calibri"/>
                <w:i/>
                <w:sz w:val="18"/>
              </w:rPr>
            </w:pPr>
            <w:r>
              <w:rPr>
                <w:rFonts w:ascii="Calibri"/>
                <w:i/>
                <w:sz w:val="18"/>
              </w:rPr>
              <w:t>Hydro Balancing Fund</w:t>
            </w:r>
          </w:p>
        </w:tc>
        <w:tc>
          <w:tcPr>
            <w:tcW w:w="966" w:type="dxa"/>
          </w:tcPr>
          <w:p w:rsidR="007C5447" w:rsidRDefault="00F6308C">
            <w:pPr>
              <w:pStyle w:val="TableParagraph"/>
              <w:spacing w:before="5" w:line="205" w:lineRule="exact"/>
              <w:ind w:right="152"/>
              <w:rPr>
                <w:rFonts w:ascii="Calibri"/>
                <w:sz w:val="18"/>
              </w:rPr>
            </w:pPr>
            <w:r>
              <w:rPr>
                <w:rFonts w:ascii="Calibri"/>
                <w:sz w:val="18"/>
              </w:rPr>
              <w:t>1,171.46</w:t>
            </w: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5" w:line="205" w:lineRule="exact"/>
              <w:ind w:left="107"/>
              <w:jc w:val="left"/>
              <w:rPr>
                <w:rFonts w:ascii="Calibri"/>
                <w:b/>
                <w:sz w:val="18"/>
              </w:rPr>
            </w:pPr>
            <w:r>
              <w:rPr>
                <w:rFonts w:ascii="Calibri"/>
                <w:b/>
                <w:sz w:val="18"/>
              </w:rPr>
              <w:t>INVESTMENTS</w:t>
            </w:r>
          </w:p>
        </w:tc>
        <w:tc>
          <w:tcPr>
            <w:tcW w:w="1038" w:type="dxa"/>
          </w:tcPr>
          <w:p w:rsidR="007C5447" w:rsidRDefault="007C5447">
            <w:pPr>
              <w:pStyle w:val="TableParagraph"/>
              <w:jc w:val="left"/>
              <w:rPr>
                <w:sz w:val="16"/>
              </w:rPr>
            </w:pPr>
          </w:p>
        </w:tc>
        <w:tc>
          <w:tcPr>
            <w:tcW w:w="971" w:type="dxa"/>
          </w:tcPr>
          <w:p w:rsidR="007C5447" w:rsidRDefault="00F6308C">
            <w:pPr>
              <w:pStyle w:val="TableParagraph"/>
              <w:spacing w:before="5" w:line="205" w:lineRule="exact"/>
              <w:ind w:right="119"/>
              <w:rPr>
                <w:rFonts w:ascii="Calibri"/>
                <w:b/>
                <w:sz w:val="18"/>
              </w:rPr>
            </w:pPr>
            <w:r>
              <w:rPr>
                <w:rFonts w:ascii="Calibri"/>
                <w:b/>
                <w:sz w:val="18"/>
              </w:rPr>
              <w:t>684.32</w:t>
            </w:r>
          </w:p>
        </w:tc>
      </w:tr>
      <w:tr w:rsidR="007C5447">
        <w:trPr>
          <w:trHeight w:val="438"/>
        </w:trPr>
        <w:tc>
          <w:tcPr>
            <w:tcW w:w="3130" w:type="dxa"/>
          </w:tcPr>
          <w:p w:rsidR="007C5447" w:rsidRDefault="00F6308C">
            <w:pPr>
              <w:pStyle w:val="TableParagraph"/>
              <w:spacing w:line="220" w:lineRule="atLeast"/>
              <w:ind w:left="107" w:right="497"/>
              <w:jc w:val="left"/>
              <w:rPr>
                <w:rFonts w:ascii="Calibri"/>
                <w:i/>
                <w:sz w:val="18"/>
              </w:rPr>
            </w:pPr>
            <w:r>
              <w:rPr>
                <w:rFonts w:ascii="Calibri"/>
                <w:i/>
                <w:sz w:val="18"/>
              </w:rPr>
              <w:t>Consumer Contributions, Grants &amp; Subsidies</w:t>
            </w:r>
          </w:p>
        </w:tc>
        <w:tc>
          <w:tcPr>
            <w:tcW w:w="966" w:type="dxa"/>
          </w:tcPr>
          <w:p w:rsidR="007C5447" w:rsidRDefault="00F6308C">
            <w:pPr>
              <w:pStyle w:val="TableParagraph"/>
              <w:spacing w:before="110"/>
              <w:ind w:right="132"/>
              <w:rPr>
                <w:rFonts w:ascii="Calibri"/>
                <w:sz w:val="18"/>
              </w:rPr>
            </w:pPr>
            <w:r>
              <w:rPr>
                <w:rFonts w:ascii="Calibri"/>
                <w:sz w:val="18"/>
              </w:rPr>
              <w:t>2,522.12</w:t>
            </w:r>
          </w:p>
        </w:tc>
        <w:tc>
          <w:tcPr>
            <w:tcW w:w="992" w:type="dxa"/>
          </w:tcPr>
          <w:p w:rsidR="007C5447" w:rsidRDefault="007C5447">
            <w:pPr>
              <w:pStyle w:val="TableParagraph"/>
              <w:jc w:val="left"/>
              <w:rPr>
                <w:sz w:val="18"/>
              </w:rPr>
            </w:pPr>
          </w:p>
        </w:tc>
        <w:tc>
          <w:tcPr>
            <w:tcW w:w="3404" w:type="dxa"/>
          </w:tcPr>
          <w:p w:rsidR="007C5447" w:rsidRDefault="007C5447">
            <w:pPr>
              <w:pStyle w:val="TableParagraph"/>
              <w:jc w:val="left"/>
              <w:rPr>
                <w:sz w:val="18"/>
              </w:rPr>
            </w:pPr>
          </w:p>
        </w:tc>
        <w:tc>
          <w:tcPr>
            <w:tcW w:w="1038" w:type="dxa"/>
          </w:tcPr>
          <w:p w:rsidR="007C5447" w:rsidRDefault="007C5447">
            <w:pPr>
              <w:pStyle w:val="TableParagraph"/>
              <w:jc w:val="left"/>
              <w:rPr>
                <w:sz w:val="18"/>
              </w:rPr>
            </w:pPr>
          </w:p>
        </w:tc>
        <w:tc>
          <w:tcPr>
            <w:tcW w:w="971" w:type="dxa"/>
          </w:tcPr>
          <w:p w:rsidR="007C5447" w:rsidRDefault="007C5447">
            <w:pPr>
              <w:pStyle w:val="TableParagraph"/>
              <w:jc w:val="left"/>
              <w:rPr>
                <w:sz w:val="18"/>
              </w:rPr>
            </w:pPr>
          </w:p>
        </w:tc>
      </w:tr>
      <w:tr w:rsidR="007C5447">
        <w:trPr>
          <w:trHeight w:val="439"/>
        </w:trPr>
        <w:tc>
          <w:tcPr>
            <w:tcW w:w="3130" w:type="dxa"/>
          </w:tcPr>
          <w:p w:rsidR="007C5447" w:rsidRDefault="00F6308C">
            <w:pPr>
              <w:pStyle w:val="TableParagraph"/>
              <w:spacing w:line="218" w:lineRule="exact"/>
              <w:ind w:left="107"/>
              <w:jc w:val="left"/>
              <w:rPr>
                <w:rFonts w:ascii="Calibri"/>
                <w:i/>
                <w:sz w:val="18"/>
              </w:rPr>
            </w:pPr>
            <w:r>
              <w:rPr>
                <w:rFonts w:ascii="Calibri"/>
                <w:i/>
                <w:sz w:val="18"/>
              </w:rPr>
              <w:t>Revaluation Reserves of Depreciable</w:t>
            </w:r>
          </w:p>
          <w:p w:rsidR="007C5447" w:rsidRDefault="00F6308C">
            <w:pPr>
              <w:pStyle w:val="TableParagraph"/>
              <w:spacing w:line="200" w:lineRule="exact"/>
              <w:ind w:left="107"/>
              <w:jc w:val="left"/>
              <w:rPr>
                <w:rFonts w:ascii="Calibri"/>
                <w:i/>
                <w:sz w:val="18"/>
              </w:rPr>
            </w:pPr>
            <w:r>
              <w:rPr>
                <w:rFonts w:ascii="Calibri"/>
                <w:i/>
                <w:sz w:val="18"/>
              </w:rPr>
              <w:t>Assets</w:t>
            </w:r>
          </w:p>
        </w:tc>
        <w:tc>
          <w:tcPr>
            <w:tcW w:w="966" w:type="dxa"/>
          </w:tcPr>
          <w:p w:rsidR="007C5447" w:rsidRDefault="00F6308C">
            <w:pPr>
              <w:pStyle w:val="TableParagraph"/>
              <w:spacing w:before="109"/>
              <w:ind w:right="107"/>
              <w:rPr>
                <w:rFonts w:ascii="Calibri"/>
                <w:sz w:val="18"/>
              </w:rPr>
            </w:pPr>
            <w:r>
              <w:rPr>
                <w:rFonts w:ascii="Calibri"/>
                <w:sz w:val="18"/>
              </w:rPr>
              <w:t>12,265.99</w:t>
            </w:r>
          </w:p>
        </w:tc>
        <w:tc>
          <w:tcPr>
            <w:tcW w:w="992" w:type="dxa"/>
          </w:tcPr>
          <w:p w:rsidR="007C5447" w:rsidRDefault="00F6308C">
            <w:pPr>
              <w:pStyle w:val="TableParagraph"/>
              <w:spacing w:before="109"/>
              <w:ind w:left="131"/>
              <w:jc w:val="left"/>
              <w:rPr>
                <w:rFonts w:ascii="Calibri"/>
                <w:sz w:val="18"/>
              </w:rPr>
            </w:pPr>
            <w:r>
              <w:rPr>
                <w:rFonts w:ascii="Calibri"/>
                <w:sz w:val="18"/>
              </w:rPr>
              <w:t>16,598.33</w:t>
            </w:r>
          </w:p>
        </w:tc>
        <w:tc>
          <w:tcPr>
            <w:tcW w:w="3404" w:type="dxa"/>
          </w:tcPr>
          <w:p w:rsidR="007C5447" w:rsidRDefault="00F6308C">
            <w:pPr>
              <w:pStyle w:val="TableParagraph"/>
              <w:spacing w:before="109"/>
              <w:ind w:left="107"/>
              <w:jc w:val="left"/>
              <w:rPr>
                <w:rFonts w:ascii="Calibri"/>
                <w:b/>
                <w:sz w:val="18"/>
              </w:rPr>
            </w:pPr>
            <w:r>
              <w:rPr>
                <w:rFonts w:ascii="Calibri"/>
                <w:b/>
                <w:sz w:val="18"/>
              </w:rPr>
              <w:t>ASSETS NOT IN USE</w:t>
            </w:r>
          </w:p>
        </w:tc>
        <w:tc>
          <w:tcPr>
            <w:tcW w:w="1038" w:type="dxa"/>
          </w:tcPr>
          <w:p w:rsidR="007C5447" w:rsidRDefault="007C5447">
            <w:pPr>
              <w:pStyle w:val="TableParagraph"/>
              <w:jc w:val="left"/>
              <w:rPr>
                <w:sz w:val="18"/>
              </w:rPr>
            </w:pPr>
          </w:p>
        </w:tc>
        <w:tc>
          <w:tcPr>
            <w:tcW w:w="971" w:type="dxa"/>
          </w:tcPr>
          <w:p w:rsidR="007C5447" w:rsidRDefault="00F6308C">
            <w:pPr>
              <w:pStyle w:val="TableParagraph"/>
              <w:spacing w:before="109"/>
              <w:ind w:right="190"/>
              <w:rPr>
                <w:rFonts w:ascii="Calibri"/>
                <w:b/>
                <w:sz w:val="18"/>
              </w:rPr>
            </w:pPr>
            <w:r>
              <w:rPr>
                <w:rFonts w:ascii="Calibri"/>
                <w:b/>
                <w:sz w:val="18"/>
              </w:rPr>
              <w:t>2.68</w:t>
            </w:r>
          </w:p>
        </w:tc>
      </w:tr>
      <w:tr w:rsidR="007C5447">
        <w:trPr>
          <w:trHeight w:val="230"/>
        </w:trPr>
        <w:tc>
          <w:tcPr>
            <w:tcW w:w="3130" w:type="dxa"/>
          </w:tcPr>
          <w:p w:rsidR="007C5447" w:rsidRDefault="007C5447">
            <w:pPr>
              <w:pStyle w:val="TableParagraph"/>
              <w:jc w:val="left"/>
              <w:rPr>
                <w:sz w:val="16"/>
              </w:rPr>
            </w:pPr>
          </w:p>
        </w:tc>
        <w:tc>
          <w:tcPr>
            <w:tcW w:w="966"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04" w:type="dxa"/>
          </w:tcPr>
          <w:p w:rsidR="007C5447" w:rsidRDefault="007C5447">
            <w:pPr>
              <w:pStyle w:val="TableParagraph"/>
              <w:jc w:val="left"/>
              <w:rPr>
                <w:sz w:val="16"/>
              </w:rPr>
            </w:pPr>
          </w:p>
        </w:tc>
        <w:tc>
          <w:tcPr>
            <w:tcW w:w="1038" w:type="dxa"/>
          </w:tcPr>
          <w:p w:rsidR="007C5447" w:rsidRDefault="007C5447">
            <w:pPr>
              <w:pStyle w:val="TableParagraph"/>
              <w:jc w:val="left"/>
              <w:rPr>
                <w:sz w:val="16"/>
              </w:rPr>
            </w:pPr>
          </w:p>
        </w:tc>
        <w:tc>
          <w:tcPr>
            <w:tcW w:w="971" w:type="dxa"/>
          </w:tcPr>
          <w:p w:rsidR="007C5447" w:rsidRDefault="007C5447">
            <w:pPr>
              <w:pStyle w:val="TableParagraph"/>
              <w:jc w:val="left"/>
              <w:rPr>
                <w:sz w:val="16"/>
              </w:rPr>
            </w:pPr>
          </w:p>
        </w:tc>
      </w:tr>
      <w:tr w:rsidR="007C5447">
        <w:trPr>
          <w:trHeight w:val="229"/>
        </w:trPr>
        <w:tc>
          <w:tcPr>
            <w:tcW w:w="3130" w:type="dxa"/>
          </w:tcPr>
          <w:p w:rsidR="007C5447" w:rsidRDefault="00F6308C">
            <w:pPr>
              <w:pStyle w:val="TableParagraph"/>
              <w:spacing w:before="5" w:line="205" w:lineRule="exact"/>
              <w:ind w:left="107"/>
              <w:jc w:val="left"/>
              <w:rPr>
                <w:rFonts w:ascii="Calibri"/>
                <w:b/>
                <w:sz w:val="18"/>
              </w:rPr>
            </w:pPr>
            <w:r>
              <w:rPr>
                <w:rFonts w:ascii="Calibri"/>
                <w:b/>
                <w:sz w:val="18"/>
              </w:rPr>
              <w:t>TOTAL SHAREHOLDERS FUND</w:t>
            </w:r>
          </w:p>
        </w:tc>
        <w:tc>
          <w:tcPr>
            <w:tcW w:w="966" w:type="dxa"/>
          </w:tcPr>
          <w:p w:rsidR="007C5447" w:rsidRDefault="007C5447">
            <w:pPr>
              <w:pStyle w:val="TableParagraph"/>
              <w:jc w:val="left"/>
              <w:rPr>
                <w:sz w:val="16"/>
              </w:rPr>
            </w:pPr>
          </w:p>
        </w:tc>
        <w:tc>
          <w:tcPr>
            <w:tcW w:w="992" w:type="dxa"/>
          </w:tcPr>
          <w:p w:rsidR="007C5447" w:rsidRDefault="00F6308C">
            <w:pPr>
              <w:pStyle w:val="TableParagraph"/>
              <w:spacing w:before="5" w:line="205" w:lineRule="exact"/>
              <w:ind w:left="128"/>
              <w:jc w:val="left"/>
              <w:rPr>
                <w:rFonts w:ascii="Calibri"/>
                <w:b/>
                <w:sz w:val="18"/>
              </w:rPr>
            </w:pPr>
            <w:r>
              <w:rPr>
                <w:rFonts w:ascii="Calibri"/>
                <w:b/>
                <w:sz w:val="18"/>
              </w:rPr>
              <w:t>18,889.06</w:t>
            </w:r>
          </w:p>
        </w:tc>
        <w:tc>
          <w:tcPr>
            <w:tcW w:w="3404" w:type="dxa"/>
          </w:tcPr>
          <w:p w:rsidR="007C5447" w:rsidRDefault="00F6308C">
            <w:pPr>
              <w:pStyle w:val="TableParagraph"/>
              <w:spacing w:before="5" w:line="205" w:lineRule="exact"/>
              <w:ind w:left="107"/>
              <w:jc w:val="left"/>
              <w:rPr>
                <w:rFonts w:ascii="Calibri"/>
                <w:b/>
                <w:sz w:val="18"/>
              </w:rPr>
            </w:pPr>
            <w:r>
              <w:rPr>
                <w:rFonts w:ascii="Calibri"/>
                <w:b/>
                <w:sz w:val="18"/>
              </w:rPr>
              <w:t>DEFERRED COST</w:t>
            </w:r>
          </w:p>
        </w:tc>
        <w:tc>
          <w:tcPr>
            <w:tcW w:w="1038" w:type="dxa"/>
          </w:tcPr>
          <w:p w:rsidR="007C5447" w:rsidRDefault="007C5447">
            <w:pPr>
              <w:pStyle w:val="TableParagraph"/>
              <w:jc w:val="left"/>
              <w:rPr>
                <w:sz w:val="16"/>
              </w:rPr>
            </w:pPr>
          </w:p>
        </w:tc>
        <w:tc>
          <w:tcPr>
            <w:tcW w:w="971" w:type="dxa"/>
          </w:tcPr>
          <w:p w:rsidR="007C5447" w:rsidRDefault="00F6308C">
            <w:pPr>
              <w:pStyle w:val="TableParagraph"/>
              <w:spacing w:before="5" w:line="205" w:lineRule="exact"/>
              <w:ind w:right="190"/>
              <w:rPr>
                <w:rFonts w:ascii="Calibri"/>
                <w:b/>
                <w:sz w:val="18"/>
              </w:rPr>
            </w:pPr>
            <w:r>
              <w:rPr>
                <w:rFonts w:ascii="Calibri"/>
                <w:b/>
                <w:sz w:val="18"/>
              </w:rPr>
              <w:t>1.31</w:t>
            </w:r>
          </w:p>
        </w:tc>
      </w:tr>
      <w:tr w:rsidR="007C5447">
        <w:trPr>
          <w:trHeight w:val="230"/>
        </w:trPr>
        <w:tc>
          <w:tcPr>
            <w:tcW w:w="3130" w:type="dxa"/>
          </w:tcPr>
          <w:p w:rsidR="007C5447" w:rsidRDefault="007C5447">
            <w:pPr>
              <w:pStyle w:val="TableParagraph"/>
              <w:jc w:val="left"/>
              <w:rPr>
                <w:sz w:val="16"/>
              </w:rPr>
            </w:pPr>
          </w:p>
        </w:tc>
        <w:tc>
          <w:tcPr>
            <w:tcW w:w="966"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04" w:type="dxa"/>
          </w:tcPr>
          <w:p w:rsidR="007C5447" w:rsidRDefault="007C5447">
            <w:pPr>
              <w:pStyle w:val="TableParagraph"/>
              <w:jc w:val="left"/>
              <w:rPr>
                <w:sz w:val="16"/>
              </w:rPr>
            </w:pPr>
          </w:p>
        </w:tc>
        <w:tc>
          <w:tcPr>
            <w:tcW w:w="1038" w:type="dxa"/>
          </w:tcPr>
          <w:p w:rsidR="007C5447" w:rsidRDefault="007C5447">
            <w:pPr>
              <w:pStyle w:val="TableParagraph"/>
              <w:jc w:val="left"/>
              <w:rPr>
                <w:sz w:val="16"/>
              </w:rPr>
            </w:pP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F6308C">
            <w:pPr>
              <w:pStyle w:val="TableParagraph"/>
              <w:spacing w:before="5" w:line="205" w:lineRule="exact"/>
              <w:ind w:left="107"/>
              <w:jc w:val="left"/>
              <w:rPr>
                <w:rFonts w:ascii="Calibri"/>
                <w:b/>
                <w:sz w:val="18"/>
              </w:rPr>
            </w:pPr>
            <w:r>
              <w:rPr>
                <w:rFonts w:ascii="Calibri"/>
                <w:b/>
                <w:sz w:val="18"/>
                <w:u w:val="single"/>
              </w:rPr>
              <w:t>LOAN FUNDS</w:t>
            </w:r>
          </w:p>
        </w:tc>
        <w:tc>
          <w:tcPr>
            <w:tcW w:w="966"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5" w:line="205" w:lineRule="exact"/>
              <w:ind w:left="107"/>
              <w:jc w:val="left"/>
              <w:rPr>
                <w:rFonts w:ascii="Calibri"/>
                <w:b/>
                <w:sz w:val="18"/>
              </w:rPr>
            </w:pPr>
            <w:r>
              <w:rPr>
                <w:rFonts w:ascii="Calibri"/>
                <w:b/>
                <w:sz w:val="18"/>
                <w:u w:val="single"/>
              </w:rPr>
              <w:t>CURRENT ASSETS, LOANS AND ADVANCES</w:t>
            </w:r>
          </w:p>
        </w:tc>
        <w:tc>
          <w:tcPr>
            <w:tcW w:w="1038" w:type="dxa"/>
          </w:tcPr>
          <w:p w:rsidR="007C5447" w:rsidRDefault="007C5447">
            <w:pPr>
              <w:pStyle w:val="TableParagraph"/>
              <w:jc w:val="left"/>
              <w:rPr>
                <w:sz w:val="16"/>
              </w:rPr>
            </w:pP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F6308C">
            <w:pPr>
              <w:pStyle w:val="TableParagraph"/>
              <w:spacing w:before="5" w:line="205" w:lineRule="exact"/>
              <w:ind w:left="107"/>
              <w:jc w:val="left"/>
              <w:rPr>
                <w:rFonts w:ascii="Calibri"/>
                <w:i/>
                <w:sz w:val="18"/>
              </w:rPr>
            </w:pPr>
            <w:r>
              <w:rPr>
                <w:rFonts w:ascii="Calibri"/>
                <w:i/>
                <w:sz w:val="18"/>
              </w:rPr>
              <w:t>Rural Electrification Corporation (REC)</w:t>
            </w:r>
          </w:p>
        </w:tc>
        <w:tc>
          <w:tcPr>
            <w:tcW w:w="966" w:type="dxa"/>
          </w:tcPr>
          <w:p w:rsidR="007C5447" w:rsidRDefault="00F6308C">
            <w:pPr>
              <w:pStyle w:val="TableParagraph"/>
              <w:spacing w:before="5" w:line="205" w:lineRule="exact"/>
              <w:ind w:right="152"/>
              <w:rPr>
                <w:rFonts w:ascii="Calibri"/>
                <w:sz w:val="18"/>
              </w:rPr>
            </w:pPr>
            <w:r>
              <w:rPr>
                <w:rFonts w:ascii="Calibri"/>
                <w:sz w:val="18"/>
              </w:rPr>
              <w:t>4,281.67</w:t>
            </w: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5" w:line="205" w:lineRule="exact"/>
              <w:ind w:left="107"/>
              <w:jc w:val="left"/>
              <w:rPr>
                <w:rFonts w:ascii="Calibri"/>
                <w:i/>
                <w:sz w:val="18"/>
              </w:rPr>
            </w:pPr>
            <w:r>
              <w:rPr>
                <w:rFonts w:ascii="Calibri"/>
                <w:i/>
                <w:sz w:val="18"/>
              </w:rPr>
              <w:t>Stock</w:t>
            </w:r>
          </w:p>
        </w:tc>
        <w:tc>
          <w:tcPr>
            <w:tcW w:w="1038" w:type="dxa"/>
          </w:tcPr>
          <w:p w:rsidR="007C5447" w:rsidRDefault="00F6308C">
            <w:pPr>
              <w:pStyle w:val="TableParagraph"/>
              <w:spacing w:before="5" w:line="205" w:lineRule="exact"/>
              <w:ind w:left="294" w:right="122"/>
              <w:jc w:val="center"/>
              <w:rPr>
                <w:rFonts w:ascii="Calibri"/>
                <w:sz w:val="18"/>
              </w:rPr>
            </w:pPr>
            <w:r>
              <w:rPr>
                <w:rFonts w:ascii="Calibri"/>
                <w:sz w:val="18"/>
              </w:rPr>
              <w:t>887.92</w:t>
            </w: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F6308C">
            <w:pPr>
              <w:pStyle w:val="TableParagraph"/>
              <w:spacing w:before="5" w:line="205" w:lineRule="exact"/>
              <w:ind w:left="107"/>
              <w:jc w:val="left"/>
              <w:rPr>
                <w:rFonts w:ascii="Calibri"/>
                <w:i/>
                <w:sz w:val="18"/>
              </w:rPr>
            </w:pPr>
            <w:r>
              <w:rPr>
                <w:rFonts w:ascii="Calibri"/>
                <w:i/>
                <w:sz w:val="18"/>
              </w:rPr>
              <w:t>Power Finance Corporation (PFC)</w:t>
            </w:r>
          </w:p>
        </w:tc>
        <w:tc>
          <w:tcPr>
            <w:tcW w:w="966" w:type="dxa"/>
          </w:tcPr>
          <w:p w:rsidR="007C5447" w:rsidRDefault="00F6308C">
            <w:pPr>
              <w:pStyle w:val="TableParagraph"/>
              <w:spacing w:before="5" w:line="205" w:lineRule="exact"/>
              <w:ind w:right="152"/>
              <w:rPr>
                <w:rFonts w:ascii="Calibri"/>
                <w:sz w:val="18"/>
              </w:rPr>
            </w:pPr>
            <w:r>
              <w:rPr>
                <w:rFonts w:ascii="Calibri"/>
                <w:sz w:val="18"/>
              </w:rPr>
              <w:t>4,074.03</w:t>
            </w: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5" w:line="205" w:lineRule="exact"/>
              <w:ind w:left="148"/>
              <w:jc w:val="left"/>
              <w:rPr>
                <w:rFonts w:ascii="Calibri"/>
                <w:i/>
                <w:sz w:val="18"/>
              </w:rPr>
            </w:pPr>
            <w:r>
              <w:rPr>
                <w:rFonts w:ascii="Calibri"/>
                <w:i/>
                <w:sz w:val="18"/>
              </w:rPr>
              <w:t>Net Receivables against Supply of Power</w:t>
            </w:r>
          </w:p>
        </w:tc>
        <w:tc>
          <w:tcPr>
            <w:tcW w:w="1038" w:type="dxa"/>
          </w:tcPr>
          <w:p w:rsidR="007C5447" w:rsidRDefault="00F6308C">
            <w:pPr>
              <w:pStyle w:val="TableParagraph"/>
              <w:spacing w:before="5" w:line="205" w:lineRule="exact"/>
              <w:ind w:left="132" w:right="122"/>
              <w:jc w:val="center"/>
              <w:rPr>
                <w:rFonts w:ascii="Calibri"/>
                <w:sz w:val="18"/>
              </w:rPr>
            </w:pPr>
            <w:r>
              <w:rPr>
                <w:rFonts w:ascii="Calibri"/>
                <w:sz w:val="18"/>
              </w:rPr>
              <w:t>4,296.93</w:t>
            </w: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F6308C">
            <w:pPr>
              <w:pStyle w:val="TableParagraph"/>
              <w:spacing w:before="5" w:line="205" w:lineRule="exact"/>
              <w:ind w:left="107"/>
              <w:jc w:val="left"/>
              <w:rPr>
                <w:rFonts w:ascii="Calibri"/>
                <w:i/>
                <w:sz w:val="18"/>
              </w:rPr>
            </w:pPr>
            <w:r>
              <w:rPr>
                <w:rFonts w:ascii="Calibri"/>
                <w:i/>
                <w:sz w:val="18"/>
              </w:rPr>
              <w:t>PFC (Asian Development Bank)</w:t>
            </w:r>
          </w:p>
        </w:tc>
        <w:tc>
          <w:tcPr>
            <w:tcW w:w="966" w:type="dxa"/>
          </w:tcPr>
          <w:p w:rsidR="007C5447" w:rsidRDefault="00F6308C">
            <w:pPr>
              <w:pStyle w:val="TableParagraph"/>
              <w:spacing w:before="5" w:line="205" w:lineRule="exact"/>
              <w:ind w:right="169"/>
              <w:rPr>
                <w:rFonts w:ascii="Calibri"/>
                <w:sz w:val="18"/>
              </w:rPr>
            </w:pPr>
            <w:r>
              <w:rPr>
                <w:rFonts w:ascii="Calibri"/>
                <w:sz w:val="18"/>
              </w:rPr>
              <w:t>6.82</w:t>
            </w: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5" w:line="205" w:lineRule="exact"/>
              <w:ind w:left="107"/>
              <w:jc w:val="left"/>
              <w:rPr>
                <w:rFonts w:ascii="Calibri"/>
                <w:i/>
                <w:sz w:val="18"/>
              </w:rPr>
            </w:pPr>
            <w:r>
              <w:rPr>
                <w:rFonts w:ascii="Calibri"/>
                <w:i/>
                <w:sz w:val="18"/>
              </w:rPr>
              <w:t>Cash and Bank Balances</w:t>
            </w:r>
          </w:p>
        </w:tc>
        <w:tc>
          <w:tcPr>
            <w:tcW w:w="1038" w:type="dxa"/>
          </w:tcPr>
          <w:p w:rsidR="007C5447" w:rsidRDefault="00F6308C">
            <w:pPr>
              <w:pStyle w:val="TableParagraph"/>
              <w:spacing w:before="5" w:line="205" w:lineRule="exact"/>
              <w:ind w:left="132" w:right="1"/>
              <w:jc w:val="center"/>
              <w:rPr>
                <w:rFonts w:ascii="Calibri"/>
                <w:sz w:val="18"/>
              </w:rPr>
            </w:pPr>
            <w:r>
              <w:rPr>
                <w:rFonts w:ascii="Calibri"/>
                <w:sz w:val="18"/>
              </w:rPr>
              <w:t>440.11</w:t>
            </w:r>
          </w:p>
        </w:tc>
        <w:tc>
          <w:tcPr>
            <w:tcW w:w="971" w:type="dxa"/>
          </w:tcPr>
          <w:p w:rsidR="007C5447" w:rsidRDefault="007C5447">
            <w:pPr>
              <w:pStyle w:val="TableParagraph"/>
              <w:jc w:val="left"/>
              <w:rPr>
                <w:sz w:val="16"/>
              </w:rPr>
            </w:pPr>
          </w:p>
        </w:tc>
      </w:tr>
      <w:tr w:rsidR="007C5447">
        <w:trPr>
          <w:trHeight w:val="438"/>
        </w:trPr>
        <w:tc>
          <w:tcPr>
            <w:tcW w:w="3130" w:type="dxa"/>
          </w:tcPr>
          <w:p w:rsidR="007C5447" w:rsidRDefault="00F6308C">
            <w:pPr>
              <w:pStyle w:val="TableParagraph"/>
              <w:spacing w:line="220" w:lineRule="atLeast"/>
              <w:ind w:left="107" w:right="134" w:hanging="1"/>
              <w:jc w:val="left"/>
              <w:rPr>
                <w:rFonts w:ascii="Calibri"/>
                <w:i/>
                <w:sz w:val="18"/>
              </w:rPr>
            </w:pPr>
            <w:r>
              <w:rPr>
                <w:rFonts w:ascii="Calibri"/>
                <w:i/>
                <w:sz w:val="18"/>
              </w:rPr>
              <w:t>Tamil Nadu Power Finance Corporation (TNPFC)</w:t>
            </w:r>
          </w:p>
        </w:tc>
        <w:tc>
          <w:tcPr>
            <w:tcW w:w="966" w:type="dxa"/>
          </w:tcPr>
          <w:p w:rsidR="007C5447" w:rsidRDefault="00F6308C">
            <w:pPr>
              <w:pStyle w:val="TableParagraph"/>
              <w:spacing w:before="110"/>
              <w:ind w:right="152"/>
              <w:rPr>
                <w:rFonts w:ascii="Calibri"/>
                <w:sz w:val="18"/>
              </w:rPr>
            </w:pPr>
            <w:r>
              <w:rPr>
                <w:rFonts w:ascii="Calibri"/>
                <w:sz w:val="18"/>
              </w:rPr>
              <w:t>2,615.30</w:t>
            </w:r>
          </w:p>
        </w:tc>
        <w:tc>
          <w:tcPr>
            <w:tcW w:w="992" w:type="dxa"/>
          </w:tcPr>
          <w:p w:rsidR="007C5447" w:rsidRDefault="007C5447">
            <w:pPr>
              <w:pStyle w:val="TableParagraph"/>
              <w:jc w:val="left"/>
              <w:rPr>
                <w:sz w:val="18"/>
              </w:rPr>
            </w:pPr>
          </w:p>
        </w:tc>
        <w:tc>
          <w:tcPr>
            <w:tcW w:w="3404" w:type="dxa"/>
          </w:tcPr>
          <w:p w:rsidR="007C5447" w:rsidRDefault="00F6308C">
            <w:pPr>
              <w:pStyle w:val="TableParagraph"/>
              <w:spacing w:before="110"/>
              <w:ind w:left="107"/>
              <w:jc w:val="left"/>
              <w:rPr>
                <w:rFonts w:ascii="Calibri"/>
                <w:i/>
                <w:sz w:val="18"/>
              </w:rPr>
            </w:pPr>
            <w:r>
              <w:rPr>
                <w:rFonts w:ascii="Calibri"/>
                <w:i/>
                <w:sz w:val="18"/>
              </w:rPr>
              <w:t>Loans and Advances</w:t>
            </w:r>
          </w:p>
        </w:tc>
        <w:tc>
          <w:tcPr>
            <w:tcW w:w="1038" w:type="dxa"/>
          </w:tcPr>
          <w:p w:rsidR="007C5447" w:rsidRDefault="00F6308C">
            <w:pPr>
              <w:pStyle w:val="TableParagraph"/>
              <w:spacing w:before="110"/>
              <w:ind w:left="132" w:right="1"/>
              <w:jc w:val="center"/>
              <w:rPr>
                <w:rFonts w:ascii="Calibri"/>
                <w:sz w:val="18"/>
              </w:rPr>
            </w:pPr>
            <w:r>
              <w:rPr>
                <w:rFonts w:ascii="Calibri"/>
                <w:sz w:val="18"/>
              </w:rPr>
              <w:t>604.35</w:t>
            </w:r>
          </w:p>
        </w:tc>
        <w:tc>
          <w:tcPr>
            <w:tcW w:w="971" w:type="dxa"/>
          </w:tcPr>
          <w:p w:rsidR="007C5447" w:rsidRDefault="007C5447">
            <w:pPr>
              <w:pStyle w:val="TableParagraph"/>
              <w:jc w:val="left"/>
              <w:rPr>
                <w:sz w:val="18"/>
              </w:rPr>
            </w:pPr>
          </w:p>
        </w:tc>
      </w:tr>
      <w:tr w:rsidR="007C5447">
        <w:trPr>
          <w:trHeight w:val="229"/>
        </w:trPr>
        <w:tc>
          <w:tcPr>
            <w:tcW w:w="3130" w:type="dxa"/>
          </w:tcPr>
          <w:p w:rsidR="007C5447" w:rsidRDefault="00F6308C">
            <w:pPr>
              <w:pStyle w:val="TableParagraph"/>
              <w:spacing w:before="3" w:line="205" w:lineRule="exact"/>
              <w:ind w:left="107"/>
              <w:jc w:val="left"/>
              <w:rPr>
                <w:rFonts w:ascii="Calibri"/>
                <w:i/>
                <w:sz w:val="18"/>
              </w:rPr>
            </w:pPr>
            <w:r>
              <w:rPr>
                <w:rFonts w:ascii="Calibri"/>
                <w:i/>
                <w:sz w:val="18"/>
              </w:rPr>
              <w:t>NABARD</w:t>
            </w:r>
          </w:p>
        </w:tc>
        <w:tc>
          <w:tcPr>
            <w:tcW w:w="966" w:type="dxa"/>
          </w:tcPr>
          <w:p w:rsidR="007C5447" w:rsidRDefault="00F6308C">
            <w:pPr>
              <w:pStyle w:val="TableParagraph"/>
              <w:spacing w:before="3" w:line="205" w:lineRule="exact"/>
              <w:ind w:right="164"/>
              <w:rPr>
                <w:rFonts w:ascii="Calibri"/>
                <w:sz w:val="18"/>
              </w:rPr>
            </w:pPr>
            <w:r>
              <w:rPr>
                <w:rFonts w:ascii="Calibri"/>
                <w:sz w:val="18"/>
              </w:rPr>
              <w:t>52.58</w:t>
            </w: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3" w:line="205" w:lineRule="exact"/>
              <w:ind w:left="107"/>
              <w:jc w:val="left"/>
              <w:rPr>
                <w:rFonts w:ascii="Calibri"/>
                <w:i/>
                <w:sz w:val="18"/>
              </w:rPr>
            </w:pPr>
            <w:r>
              <w:rPr>
                <w:rFonts w:ascii="Calibri"/>
                <w:i/>
                <w:sz w:val="18"/>
              </w:rPr>
              <w:t>Sundry Receivables</w:t>
            </w:r>
          </w:p>
        </w:tc>
        <w:tc>
          <w:tcPr>
            <w:tcW w:w="1038" w:type="dxa"/>
          </w:tcPr>
          <w:p w:rsidR="007C5447" w:rsidRDefault="00F6308C">
            <w:pPr>
              <w:pStyle w:val="TableParagraph"/>
              <w:spacing w:before="3" w:line="205" w:lineRule="exact"/>
              <w:ind w:left="132" w:right="1"/>
              <w:jc w:val="center"/>
              <w:rPr>
                <w:rFonts w:ascii="Calibri"/>
                <w:sz w:val="18"/>
              </w:rPr>
            </w:pPr>
            <w:r>
              <w:rPr>
                <w:rFonts w:ascii="Calibri"/>
                <w:sz w:val="18"/>
              </w:rPr>
              <w:t>504.90</w:t>
            </w:r>
          </w:p>
        </w:tc>
        <w:tc>
          <w:tcPr>
            <w:tcW w:w="971" w:type="dxa"/>
          </w:tcPr>
          <w:p w:rsidR="007C5447" w:rsidRDefault="007C5447">
            <w:pPr>
              <w:pStyle w:val="TableParagraph"/>
              <w:jc w:val="left"/>
              <w:rPr>
                <w:sz w:val="16"/>
              </w:rPr>
            </w:pPr>
          </w:p>
        </w:tc>
      </w:tr>
      <w:tr w:rsidR="007C5447">
        <w:trPr>
          <w:trHeight w:val="440"/>
        </w:trPr>
        <w:tc>
          <w:tcPr>
            <w:tcW w:w="3130" w:type="dxa"/>
          </w:tcPr>
          <w:p w:rsidR="007C5447" w:rsidRDefault="00F6308C">
            <w:pPr>
              <w:pStyle w:val="TableParagraph"/>
              <w:spacing w:before="110"/>
              <w:ind w:left="107"/>
              <w:jc w:val="left"/>
              <w:rPr>
                <w:rFonts w:ascii="Calibri"/>
                <w:i/>
                <w:sz w:val="18"/>
              </w:rPr>
            </w:pPr>
            <w:r>
              <w:rPr>
                <w:rFonts w:ascii="Calibri"/>
                <w:i/>
                <w:sz w:val="18"/>
              </w:rPr>
              <w:t>Medium Term Loans</w:t>
            </w:r>
          </w:p>
        </w:tc>
        <w:tc>
          <w:tcPr>
            <w:tcW w:w="966" w:type="dxa"/>
          </w:tcPr>
          <w:p w:rsidR="007C5447" w:rsidRDefault="00F6308C">
            <w:pPr>
              <w:pStyle w:val="TableParagraph"/>
              <w:spacing w:before="110"/>
              <w:ind w:right="152"/>
              <w:rPr>
                <w:rFonts w:ascii="Calibri"/>
                <w:sz w:val="18"/>
              </w:rPr>
            </w:pPr>
            <w:r>
              <w:rPr>
                <w:rFonts w:ascii="Calibri"/>
                <w:sz w:val="18"/>
              </w:rPr>
              <w:t>7,811.01</w:t>
            </w:r>
          </w:p>
        </w:tc>
        <w:tc>
          <w:tcPr>
            <w:tcW w:w="992" w:type="dxa"/>
          </w:tcPr>
          <w:p w:rsidR="007C5447" w:rsidRDefault="007C5447">
            <w:pPr>
              <w:pStyle w:val="TableParagraph"/>
              <w:jc w:val="left"/>
              <w:rPr>
                <w:sz w:val="18"/>
              </w:rPr>
            </w:pPr>
          </w:p>
        </w:tc>
        <w:tc>
          <w:tcPr>
            <w:tcW w:w="3404" w:type="dxa"/>
          </w:tcPr>
          <w:p w:rsidR="007C5447" w:rsidRDefault="00F6308C">
            <w:pPr>
              <w:pStyle w:val="TableParagraph"/>
              <w:spacing w:line="220" w:lineRule="atLeast"/>
              <w:ind w:left="107" w:right="469" w:hanging="1"/>
              <w:jc w:val="left"/>
              <w:rPr>
                <w:rFonts w:ascii="Calibri"/>
                <w:b/>
                <w:sz w:val="18"/>
              </w:rPr>
            </w:pPr>
            <w:r>
              <w:rPr>
                <w:rFonts w:ascii="Calibri"/>
                <w:b/>
                <w:sz w:val="18"/>
              </w:rPr>
              <w:t>TOTAL CURRENT ASSETS, LOANS AND ADVANCES</w:t>
            </w:r>
          </w:p>
        </w:tc>
        <w:tc>
          <w:tcPr>
            <w:tcW w:w="1038" w:type="dxa"/>
          </w:tcPr>
          <w:p w:rsidR="007C5447" w:rsidRDefault="00F6308C">
            <w:pPr>
              <w:pStyle w:val="TableParagraph"/>
              <w:spacing w:before="110"/>
              <w:ind w:left="132" w:right="122"/>
              <w:jc w:val="center"/>
              <w:rPr>
                <w:rFonts w:ascii="Calibri"/>
                <w:b/>
                <w:sz w:val="18"/>
              </w:rPr>
            </w:pPr>
            <w:r>
              <w:rPr>
                <w:rFonts w:ascii="Calibri"/>
                <w:b/>
                <w:sz w:val="18"/>
              </w:rPr>
              <w:t>6,734.21</w:t>
            </w:r>
          </w:p>
        </w:tc>
        <w:tc>
          <w:tcPr>
            <w:tcW w:w="971" w:type="dxa"/>
          </w:tcPr>
          <w:p w:rsidR="007C5447" w:rsidRDefault="007C5447">
            <w:pPr>
              <w:pStyle w:val="TableParagraph"/>
              <w:jc w:val="left"/>
              <w:rPr>
                <w:sz w:val="18"/>
              </w:rPr>
            </w:pPr>
          </w:p>
        </w:tc>
      </w:tr>
      <w:tr w:rsidR="007C5447">
        <w:trPr>
          <w:trHeight w:val="230"/>
        </w:trPr>
        <w:tc>
          <w:tcPr>
            <w:tcW w:w="3130" w:type="dxa"/>
          </w:tcPr>
          <w:p w:rsidR="007C5447" w:rsidRDefault="00F6308C">
            <w:pPr>
              <w:pStyle w:val="TableParagraph"/>
              <w:spacing w:before="5" w:line="205" w:lineRule="exact"/>
              <w:ind w:left="107"/>
              <w:jc w:val="left"/>
              <w:rPr>
                <w:rFonts w:ascii="Calibri"/>
                <w:i/>
                <w:sz w:val="18"/>
              </w:rPr>
            </w:pPr>
            <w:r>
              <w:rPr>
                <w:rFonts w:ascii="Calibri"/>
                <w:i/>
                <w:sz w:val="18"/>
              </w:rPr>
              <w:t>APDRP / RAPDRP Loan</w:t>
            </w:r>
          </w:p>
        </w:tc>
        <w:tc>
          <w:tcPr>
            <w:tcW w:w="966" w:type="dxa"/>
          </w:tcPr>
          <w:p w:rsidR="007C5447" w:rsidRDefault="00F6308C">
            <w:pPr>
              <w:pStyle w:val="TableParagraph"/>
              <w:spacing w:before="5" w:line="205" w:lineRule="exact"/>
              <w:ind w:right="160"/>
              <w:rPr>
                <w:rFonts w:ascii="Calibri"/>
                <w:sz w:val="18"/>
              </w:rPr>
            </w:pPr>
            <w:r>
              <w:rPr>
                <w:rFonts w:ascii="Calibri"/>
                <w:sz w:val="18"/>
              </w:rPr>
              <w:t>418.65</w:t>
            </w:r>
          </w:p>
        </w:tc>
        <w:tc>
          <w:tcPr>
            <w:tcW w:w="992" w:type="dxa"/>
          </w:tcPr>
          <w:p w:rsidR="007C5447" w:rsidRDefault="007C5447">
            <w:pPr>
              <w:pStyle w:val="TableParagraph"/>
              <w:jc w:val="left"/>
              <w:rPr>
                <w:sz w:val="16"/>
              </w:rPr>
            </w:pPr>
          </w:p>
        </w:tc>
        <w:tc>
          <w:tcPr>
            <w:tcW w:w="3404" w:type="dxa"/>
          </w:tcPr>
          <w:p w:rsidR="007C5447" w:rsidRDefault="007C5447">
            <w:pPr>
              <w:pStyle w:val="TableParagraph"/>
              <w:jc w:val="left"/>
              <w:rPr>
                <w:sz w:val="16"/>
              </w:rPr>
            </w:pPr>
          </w:p>
        </w:tc>
        <w:tc>
          <w:tcPr>
            <w:tcW w:w="1038" w:type="dxa"/>
          </w:tcPr>
          <w:p w:rsidR="007C5447" w:rsidRDefault="007C5447">
            <w:pPr>
              <w:pStyle w:val="TableParagraph"/>
              <w:jc w:val="left"/>
              <w:rPr>
                <w:sz w:val="16"/>
              </w:rPr>
            </w:pP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F6308C">
            <w:pPr>
              <w:pStyle w:val="TableParagraph"/>
              <w:spacing w:before="5" w:line="205" w:lineRule="exact"/>
              <w:ind w:left="107"/>
              <w:jc w:val="left"/>
              <w:rPr>
                <w:rFonts w:ascii="Calibri"/>
                <w:i/>
                <w:sz w:val="18"/>
              </w:rPr>
            </w:pPr>
            <w:r>
              <w:rPr>
                <w:rFonts w:ascii="Calibri"/>
                <w:i/>
                <w:sz w:val="18"/>
              </w:rPr>
              <w:t>RGGVY</w:t>
            </w:r>
          </w:p>
        </w:tc>
        <w:tc>
          <w:tcPr>
            <w:tcW w:w="966" w:type="dxa"/>
          </w:tcPr>
          <w:p w:rsidR="007C5447" w:rsidRDefault="00F6308C">
            <w:pPr>
              <w:pStyle w:val="TableParagraph"/>
              <w:spacing w:before="5" w:line="205" w:lineRule="exact"/>
              <w:ind w:right="185"/>
              <w:rPr>
                <w:rFonts w:ascii="Calibri"/>
                <w:sz w:val="18"/>
              </w:rPr>
            </w:pPr>
            <w:r>
              <w:rPr>
                <w:rFonts w:ascii="Calibri"/>
                <w:sz w:val="18"/>
              </w:rPr>
              <w:t>27.05</w:t>
            </w: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5" w:line="205" w:lineRule="exact"/>
              <w:ind w:left="107"/>
              <w:jc w:val="left"/>
              <w:rPr>
                <w:rFonts w:ascii="Calibri"/>
                <w:b/>
                <w:sz w:val="18"/>
              </w:rPr>
            </w:pPr>
            <w:r>
              <w:rPr>
                <w:rFonts w:ascii="Calibri"/>
                <w:b/>
                <w:sz w:val="18"/>
              </w:rPr>
              <w:t>SUBSIDY RECEIVABLE FROM GoTN</w:t>
            </w:r>
          </w:p>
        </w:tc>
        <w:tc>
          <w:tcPr>
            <w:tcW w:w="1038" w:type="dxa"/>
          </w:tcPr>
          <w:p w:rsidR="007C5447" w:rsidRDefault="00F6308C">
            <w:pPr>
              <w:pStyle w:val="TableParagraph"/>
              <w:spacing w:before="5" w:line="205" w:lineRule="exact"/>
              <w:ind w:left="329" w:right="116"/>
              <w:jc w:val="center"/>
              <w:rPr>
                <w:rFonts w:ascii="Calibri"/>
                <w:b/>
                <w:sz w:val="18"/>
              </w:rPr>
            </w:pPr>
            <w:r>
              <w:rPr>
                <w:rFonts w:ascii="Calibri"/>
                <w:b/>
                <w:sz w:val="18"/>
              </w:rPr>
              <w:t>87.79</w:t>
            </w: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F6308C">
            <w:pPr>
              <w:pStyle w:val="TableParagraph"/>
              <w:spacing w:before="5" w:line="205" w:lineRule="exact"/>
              <w:ind w:left="107"/>
              <w:jc w:val="left"/>
              <w:rPr>
                <w:rFonts w:ascii="Calibri"/>
                <w:i/>
                <w:sz w:val="18"/>
              </w:rPr>
            </w:pPr>
            <w:r>
              <w:rPr>
                <w:rFonts w:ascii="Calibri"/>
                <w:i/>
                <w:sz w:val="18"/>
              </w:rPr>
              <w:t>PMGY</w:t>
            </w:r>
          </w:p>
        </w:tc>
        <w:tc>
          <w:tcPr>
            <w:tcW w:w="966" w:type="dxa"/>
          </w:tcPr>
          <w:p w:rsidR="007C5447" w:rsidRDefault="00F6308C">
            <w:pPr>
              <w:pStyle w:val="TableParagraph"/>
              <w:spacing w:before="5" w:line="205" w:lineRule="exact"/>
              <w:ind w:left="337"/>
              <w:jc w:val="left"/>
              <w:rPr>
                <w:rFonts w:ascii="Calibri"/>
                <w:sz w:val="18"/>
              </w:rPr>
            </w:pPr>
            <w:r>
              <w:rPr>
                <w:rFonts w:ascii="Calibri"/>
                <w:sz w:val="18"/>
              </w:rPr>
              <w:t>20.54</w:t>
            </w:r>
          </w:p>
        </w:tc>
        <w:tc>
          <w:tcPr>
            <w:tcW w:w="992" w:type="dxa"/>
          </w:tcPr>
          <w:p w:rsidR="007C5447" w:rsidRDefault="007C5447">
            <w:pPr>
              <w:pStyle w:val="TableParagraph"/>
              <w:jc w:val="left"/>
              <w:rPr>
                <w:sz w:val="16"/>
              </w:rPr>
            </w:pPr>
          </w:p>
        </w:tc>
        <w:tc>
          <w:tcPr>
            <w:tcW w:w="3404" w:type="dxa"/>
          </w:tcPr>
          <w:p w:rsidR="007C5447" w:rsidRDefault="007C5447">
            <w:pPr>
              <w:pStyle w:val="TableParagraph"/>
              <w:jc w:val="left"/>
              <w:rPr>
                <w:sz w:val="16"/>
              </w:rPr>
            </w:pPr>
          </w:p>
        </w:tc>
        <w:tc>
          <w:tcPr>
            <w:tcW w:w="1038" w:type="dxa"/>
          </w:tcPr>
          <w:p w:rsidR="007C5447" w:rsidRDefault="007C5447">
            <w:pPr>
              <w:pStyle w:val="TableParagraph"/>
              <w:jc w:val="left"/>
              <w:rPr>
                <w:sz w:val="16"/>
              </w:rPr>
            </w:pPr>
          </w:p>
        </w:tc>
        <w:tc>
          <w:tcPr>
            <w:tcW w:w="971" w:type="dxa"/>
          </w:tcPr>
          <w:p w:rsidR="007C5447" w:rsidRDefault="007C5447">
            <w:pPr>
              <w:pStyle w:val="TableParagraph"/>
              <w:jc w:val="left"/>
              <w:rPr>
                <w:sz w:val="16"/>
              </w:rPr>
            </w:pPr>
          </w:p>
        </w:tc>
      </w:tr>
      <w:tr w:rsidR="007C5447">
        <w:trPr>
          <w:trHeight w:val="438"/>
        </w:trPr>
        <w:tc>
          <w:tcPr>
            <w:tcW w:w="3130" w:type="dxa"/>
          </w:tcPr>
          <w:p w:rsidR="007C5447" w:rsidRDefault="00F6308C">
            <w:pPr>
              <w:pStyle w:val="TableParagraph"/>
              <w:spacing w:before="110"/>
              <w:ind w:left="107"/>
              <w:jc w:val="left"/>
              <w:rPr>
                <w:rFonts w:ascii="Calibri"/>
                <w:b/>
                <w:sz w:val="18"/>
              </w:rPr>
            </w:pPr>
            <w:r>
              <w:rPr>
                <w:rFonts w:ascii="Calibri"/>
                <w:b/>
                <w:sz w:val="18"/>
              </w:rPr>
              <w:t>TOTAL CAPITAL LIABILITIES</w:t>
            </w:r>
          </w:p>
        </w:tc>
        <w:tc>
          <w:tcPr>
            <w:tcW w:w="966" w:type="dxa"/>
          </w:tcPr>
          <w:p w:rsidR="007C5447" w:rsidRDefault="00F6308C">
            <w:pPr>
              <w:pStyle w:val="TableParagraph"/>
              <w:spacing w:before="110"/>
              <w:ind w:right="113"/>
              <w:rPr>
                <w:rFonts w:ascii="Calibri"/>
                <w:b/>
                <w:sz w:val="18"/>
              </w:rPr>
            </w:pPr>
            <w:r>
              <w:rPr>
                <w:rFonts w:ascii="Calibri"/>
                <w:b/>
                <w:sz w:val="18"/>
              </w:rPr>
              <w:t>19,307.65</w:t>
            </w:r>
          </w:p>
        </w:tc>
        <w:tc>
          <w:tcPr>
            <w:tcW w:w="992" w:type="dxa"/>
          </w:tcPr>
          <w:p w:rsidR="007C5447" w:rsidRDefault="007C5447">
            <w:pPr>
              <w:pStyle w:val="TableParagraph"/>
              <w:jc w:val="left"/>
              <w:rPr>
                <w:sz w:val="18"/>
              </w:rPr>
            </w:pPr>
          </w:p>
        </w:tc>
        <w:tc>
          <w:tcPr>
            <w:tcW w:w="3404" w:type="dxa"/>
          </w:tcPr>
          <w:p w:rsidR="007C5447" w:rsidRDefault="00F6308C">
            <w:pPr>
              <w:pStyle w:val="TableParagraph"/>
              <w:spacing w:line="220" w:lineRule="atLeast"/>
              <w:ind w:left="107" w:right="892"/>
              <w:jc w:val="left"/>
              <w:rPr>
                <w:rFonts w:ascii="Calibri"/>
                <w:b/>
                <w:sz w:val="18"/>
              </w:rPr>
            </w:pPr>
            <w:r>
              <w:rPr>
                <w:rFonts w:ascii="Calibri"/>
                <w:b/>
                <w:sz w:val="18"/>
                <w:u w:val="single"/>
              </w:rPr>
              <w:t>LESS: CURRENT LIABILITIES AND</w:t>
            </w:r>
            <w:r>
              <w:rPr>
                <w:rFonts w:ascii="Calibri"/>
                <w:b/>
                <w:sz w:val="18"/>
              </w:rPr>
              <w:t xml:space="preserve"> </w:t>
            </w:r>
            <w:r>
              <w:rPr>
                <w:rFonts w:ascii="Calibri"/>
                <w:b/>
                <w:sz w:val="18"/>
                <w:u w:val="single"/>
              </w:rPr>
              <w:t>PROVISIONS</w:t>
            </w:r>
          </w:p>
        </w:tc>
        <w:tc>
          <w:tcPr>
            <w:tcW w:w="1038" w:type="dxa"/>
          </w:tcPr>
          <w:p w:rsidR="007C5447" w:rsidRDefault="007C5447">
            <w:pPr>
              <w:pStyle w:val="TableParagraph"/>
              <w:jc w:val="left"/>
              <w:rPr>
                <w:sz w:val="18"/>
              </w:rPr>
            </w:pPr>
          </w:p>
        </w:tc>
        <w:tc>
          <w:tcPr>
            <w:tcW w:w="971" w:type="dxa"/>
          </w:tcPr>
          <w:p w:rsidR="007C5447" w:rsidRDefault="007C5447">
            <w:pPr>
              <w:pStyle w:val="TableParagraph"/>
              <w:jc w:val="left"/>
              <w:rPr>
                <w:sz w:val="18"/>
              </w:rPr>
            </w:pPr>
          </w:p>
        </w:tc>
      </w:tr>
      <w:tr w:rsidR="007C5447">
        <w:trPr>
          <w:trHeight w:val="229"/>
        </w:trPr>
        <w:tc>
          <w:tcPr>
            <w:tcW w:w="3130" w:type="dxa"/>
          </w:tcPr>
          <w:p w:rsidR="007C5447" w:rsidRDefault="00F6308C">
            <w:pPr>
              <w:pStyle w:val="TableParagraph"/>
              <w:spacing w:before="3" w:line="205" w:lineRule="exact"/>
              <w:ind w:left="107"/>
              <w:jc w:val="left"/>
              <w:rPr>
                <w:rFonts w:ascii="Calibri"/>
                <w:b/>
                <w:sz w:val="18"/>
              </w:rPr>
            </w:pPr>
            <w:r>
              <w:rPr>
                <w:rFonts w:ascii="Calibri"/>
                <w:b/>
                <w:sz w:val="18"/>
              </w:rPr>
              <w:t>BORROWINGS FOR WORKING CAPITAL</w:t>
            </w:r>
          </w:p>
        </w:tc>
        <w:tc>
          <w:tcPr>
            <w:tcW w:w="966" w:type="dxa"/>
          </w:tcPr>
          <w:p w:rsidR="007C5447" w:rsidRDefault="00F6308C">
            <w:pPr>
              <w:pStyle w:val="TableParagraph"/>
              <w:spacing w:before="3" w:line="205" w:lineRule="exact"/>
              <w:ind w:right="150"/>
              <w:rPr>
                <w:rFonts w:ascii="Calibri"/>
                <w:b/>
                <w:sz w:val="18"/>
              </w:rPr>
            </w:pPr>
            <w:r>
              <w:rPr>
                <w:rFonts w:ascii="Calibri"/>
                <w:b/>
                <w:sz w:val="18"/>
              </w:rPr>
              <w:t>6,106.80</w:t>
            </w:r>
          </w:p>
        </w:tc>
        <w:tc>
          <w:tcPr>
            <w:tcW w:w="992" w:type="dxa"/>
          </w:tcPr>
          <w:p w:rsidR="007C5447" w:rsidRDefault="00F6308C">
            <w:pPr>
              <w:pStyle w:val="TableParagraph"/>
              <w:spacing w:before="3" w:line="205" w:lineRule="exact"/>
              <w:ind w:left="129"/>
              <w:jc w:val="left"/>
              <w:rPr>
                <w:rFonts w:ascii="Calibri"/>
                <w:b/>
                <w:sz w:val="18"/>
              </w:rPr>
            </w:pPr>
            <w:r>
              <w:rPr>
                <w:rFonts w:ascii="Calibri"/>
                <w:b/>
                <w:sz w:val="18"/>
              </w:rPr>
              <w:t>25,414.45</w:t>
            </w:r>
          </w:p>
        </w:tc>
        <w:tc>
          <w:tcPr>
            <w:tcW w:w="3404" w:type="dxa"/>
          </w:tcPr>
          <w:p w:rsidR="007C5447" w:rsidRDefault="00F6308C">
            <w:pPr>
              <w:pStyle w:val="TableParagraph"/>
              <w:spacing w:before="3" w:line="205" w:lineRule="exact"/>
              <w:ind w:left="107"/>
              <w:jc w:val="left"/>
              <w:rPr>
                <w:rFonts w:ascii="Calibri"/>
                <w:i/>
                <w:sz w:val="18"/>
              </w:rPr>
            </w:pPr>
            <w:r>
              <w:rPr>
                <w:rFonts w:ascii="Calibri"/>
                <w:i/>
                <w:sz w:val="18"/>
              </w:rPr>
              <w:t>Security Deposits from Consumers</w:t>
            </w:r>
          </w:p>
        </w:tc>
        <w:tc>
          <w:tcPr>
            <w:tcW w:w="1038" w:type="dxa"/>
          </w:tcPr>
          <w:p w:rsidR="007C5447" w:rsidRDefault="00F6308C">
            <w:pPr>
              <w:pStyle w:val="TableParagraph"/>
              <w:spacing w:before="3" w:line="205" w:lineRule="exact"/>
              <w:ind w:left="132" w:right="122"/>
              <w:jc w:val="center"/>
              <w:rPr>
                <w:rFonts w:ascii="Calibri"/>
                <w:sz w:val="18"/>
              </w:rPr>
            </w:pPr>
            <w:r>
              <w:rPr>
                <w:rFonts w:ascii="Calibri"/>
                <w:sz w:val="18"/>
              </w:rPr>
              <w:t>4,228.93</w:t>
            </w:r>
          </w:p>
        </w:tc>
        <w:tc>
          <w:tcPr>
            <w:tcW w:w="971" w:type="dxa"/>
          </w:tcPr>
          <w:p w:rsidR="007C5447" w:rsidRDefault="007C5447">
            <w:pPr>
              <w:pStyle w:val="TableParagraph"/>
              <w:jc w:val="left"/>
              <w:rPr>
                <w:sz w:val="16"/>
              </w:rPr>
            </w:pPr>
          </w:p>
        </w:tc>
      </w:tr>
      <w:tr w:rsidR="007C5447">
        <w:trPr>
          <w:trHeight w:val="440"/>
        </w:trPr>
        <w:tc>
          <w:tcPr>
            <w:tcW w:w="3130" w:type="dxa"/>
          </w:tcPr>
          <w:p w:rsidR="007C5447" w:rsidRDefault="007C5447">
            <w:pPr>
              <w:pStyle w:val="TableParagraph"/>
              <w:jc w:val="left"/>
              <w:rPr>
                <w:sz w:val="18"/>
              </w:rPr>
            </w:pPr>
          </w:p>
        </w:tc>
        <w:tc>
          <w:tcPr>
            <w:tcW w:w="966" w:type="dxa"/>
          </w:tcPr>
          <w:p w:rsidR="007C5447" w:rsidRDefault="007C5447">
            <w:pPr>
              <w:pStyle w:val="TableParagraph"/>
              <w:jc w:val="left"/>
              <w:rPr>
                <w:sz w:val="18"/>
              </w:rPr>
            </w:pPr>
          </w:p>
        </w:tc>
        <w:tc>
          <w:tcPr>
            <w:tcW w:w="992" w:type="dxa"/>
          </w:tcPr>
          <w:p w:rsidR="007C5447" w:rsidRDefault="007C5447">
            <w:pPr>
              <w:pStyle w:val="TableParagraph"/>
              <w:jc w:val="left"/>
              <w:rPr>
                <w:sz w:val="18"/>
              </w:rPr>
            </w:pPr>
          </w:p>
        </w:tc>
        <w:tc>
          <w:tcPr>
            <w:tcW w:w="3404" w:type="dxa"/>
          </w:tcPr>
          <w:p w:rsidR="007C5447" w:rsidRDefault="00F6308C">
            <w:pPr>
              <w:pStyle w:val="TableParagraph"/>
              <w:spacing w:line="220" w:lineRule="atLeast"/>
              <w:ind w:left="107" w:right="253" w:hanging="1"/>
              <w:jc w:val="left"/>
              <w:rPr>
                <w:rFonts w:ascii="Calibri"/>
                <w:i/>
                <w:sz w:val="18"/>
              </w:rPr>
            </w:pPr>
            <w:r>
              <w:rPr>
                <w:rFonts w:ascii="Calibri"/>
                <w:i/>
                <w:sz w:val="18"/>
              </w:rPr>
              <w:t>Other Fuel Related Liabilities, unpaid coal bills and Liabilities</w:t>
            </w:r>
          </w:p>
        </w:tc>
        <w:tc>
          <w:tcPr>
            <w:tcW w:w="1038" w:type="dxa"/>
          </w:tcPr>
          <w:p w:rsidR="007C5447" w:rsidRDefault="00F6308C">
            <w:pPr>
              <w:pStyle w:val="TableParagraph"/>
              <w:spacing w:before="110"/>
              <w:ind w:left="132" w:right="1"/>
              <w:jc w:val="center"/>
              <w:rPr>
                <w:rFonts w:ascii="Calibri"/>
                <w:sz w:val="18"/>
              </w:rPr>
            </w:pPr>
            <w:r>
              <w:rPr>
                <w:rFonts w:ascii="Calibri"/>
                <w:sz w:val="18"/>
              </w:rPr>
              <w:t>671.05</w:t>
            </w:r>
          </w:p>
        </w:tc>
        <w:tc>
          <w:tcPr>
            <w:tcW w:w="971" w:type="dxa"/>
          </w:tcPr>
          <w:p w:rsidR="007C5447" w:rsidRDefault="007C5447">
            <w:pPr>
              <w:pStyle w:val="TableParagraph"/>
              <w:jc w:val="left"/>
              <w:rPr>
                <w:sz w:val="18"/>
              </w:rPr>
            </w:pPr>
          </w:p>
        </w:tc>
      </w:tr>
      <w:tr w:rsidR="007C5447">
        <w:trPr>
          <w:trHeight w:val="230"/>
        </w:trPr>
        <w:tc>
          <w:tcPr>
            <w:tcW w:w="3130" w:type="dxa"/>
          </w:tcPr>
          <w:p w:rsidR="007C5447" w:rsidRDefault="007C5447">
            <w:pPr>
              <w:pStyle w:val="TableParagraph"/>
              <w:jc w:val="left"/>
              <w:rPr>
                <w:sz w:val="16"/>
              </w:rPr>
            </w:pPr>
          </w:p>
        </w:tc>
        <w:tc>
          <w:tcPr>
            <w:tcW w:w="966"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5" w:line="205" w:lineRule="exact"/>
              <w:ind w:left="107"/>
              <w:jc w:val="left"/>
              <w:rPr>
                <w:rFonts w:ascii="Calibri"/>
                <w:i/>
                <w:sz w:val="18"/>
              </w:rPr>
            </w:pPr>
            <w:r>
              <w:rPr>
                <w:rFonts w:ascii="Calibri"/>
                <w:i/>
                <w:sz w:val="18"/>
              </w:rPr>
              <w:t>Liability for Purchase of Power</w:t>
            </w:r>
          </w:p>
        </w:tc>
        <w:tc>
          <w:tcPr>
            <w:tcW w:w="1038" w:type="dxa"/>
          </w:tcPr>
          <w:p w:rsidR="007C5447" w:rsidRDefault="00F6308C">
            <w:pPr>
              <w:pStyle w:val="TableParagraph"/>
              <w:spacing w:before="5" w:line="205" w:lineRule="exact"/>
              <w:ind w:left="132" w:right="122"/>
              <w:jc w:val="center"/>
              <w:rPr>
                <w:rFonts w:ascii="Calibri"/>
                <w:sz w:val="18"/>
              </w:rPr>
            </w:pPr>
            <w:r>
              <w:rPr>
                <w:rFonts w:ascii="Calibri"/>
                <w:sz w:val="18"/>
              </w:rPr>
              <w:t>2,963.82</w:t>
            </w:r>
          </w:p>
        </w:tc>
        <w:tc>
          <w:tcPr>
            <w:tcW w:w="971" w:type="dxa"/>
          </w:tcPr>
          <w:p w:rsidR="007C5447" w:rsidRDefault="007C5447">
            <w:pPr>
              <w:pStyle w:val="TableParagraph"/>
              <w:jc w:val="left"/>
              <w:rPr>
                <w:sz w:val="16"/>
              </w:rPr>
            </w:pPr>
          </w:p>
        </w:tc>
      </w:tr>
      <w:tr w:rsidR="007C5447">
        <w:trPr>
          <w:trHeight w:val="438"/>
        </w:trPr>
        <w:tc>
          <w:tcPr>
            <w:tcW w:w="3130" w:type="dxa"/>
          </w:tcPr>
          <w:p w:rsidR="007C5447" w:rsidRDefault="007C5447">
            <w:pPr>
              <w:pStyle w:val="TableParagraph"/>
              <w:jc w:val="left"/>
              <w:rPr>
                <w:sz w:val="18"/>
              </w:rPr>
            </w:pPr>
          </w:p>
        </w:tc>
        <w:tc>
          <w:tcPr>
            <w:tcW w:w="966" w:type="dxa"/>
          </w:tcPr>
          <w:p w:rsidR="007C5447" w:rsidRDefault="007C5447">
            <w:pPr>
              <w:pStyle w:val="TableParagraph"/>
              <w:jc w:val="left"/>
              <w:rPr>
                <w:sz w:val="18"/>
              </w:rPr>
            </w:pPr>
          </w:p>
        </w:tc>
        <w:tc>
          <w:tcPr>
            <w:tcW w:w="992" w:type="dxa"/>
          </w:tcPr>
          <w:p w:rsidR="007C5447" w:rsidRDefault="007C5447">
            <w:pPr>
              <w:pStyle w:val="TableParagraph"/>
              <w:jc w:val="left"/>
              <w:rPr>
                <w:sz w:val="18"/>
              </w:rPr>
            </w:pPr>
          </w:p>
        </w:tc>
        <w:tc>
          <w:tcPr>
            <w:tcW w:w="3404" w:type="dxa"/>
          </w:tcPr>
          <w:p w:rsidR="007C5447" w:rsidRDefault="00F6308C">
            <w:pPr>
              <w:pStyle w:val="TableParagraph"/>
              <w:spacing w:line="220" w:lineRule="atLeast"/>
              <w:ind w:left="107" w:right="532"/>
              <w:jc w:val="left"/>
              <w:rPr>
                <w:rFonts w:ascii="Calibri"/>
                <w:i/>
                <w:sz w:val="18"/>
              </w:rPr>
            </w:pPr>
            <w:r>
              <w:rPr>
                <w:rFonts w:ascii="Calibri"/>
                <w:i/>
                <w:sz w:val="18"/>
              </w:rPr>
              <w:t>Staff Related Liabilities, Provision and Contribution from Staff</w:t>
            </w:r>
          </w:p>
        </w:tc>
        <w:tc>
          <w:tcPr>
            <w:tcW w:w="1038" w:type="dxa"/>
          </w:tcPr>
          <w:p w:rsidR="007C5447" w:rsidRDefault="00F6308C">
            <w:pPr>
              <w:pStyle w:val="TableParagraph"/>
              <w:spacing w:before="110"/>
              <w:ind w:left="132" w:right="122"/>
              <w:jc w:val="center"/>
              <w:rPr>
                <w:rFonts w:ascii="Calibri"/>
                <w:sz w:val="18"/>
              </w:rPr>
            </w:pPr>
            <w:r>
              <w:rPr>
                <w:rFonts w:ascii="Calibri"/>
                <w:sz w:val="18"/>
              </w:rPr>
              <w:t>1,427.29</w:t>
            </w:r>
          </w:p>
        </w:tc>
        <w:tc>
          <w:tcPr>
            <w:tcW w:w="971" w:type="dxa"/>
          </w:tcPr>
          <w:p w:rsidR="007C5447" w:rsidRDefault="007C5447">
            <w:pPr>
              <w:pStyle w:val="TableParagraph"/>
              <w:jc w:val="left"/>
              <w:rPr>
                <w:sz w:val="18"/>
              </w:rPr>
            </w:pPr>
          </w:p>
        </w:tc>
      </w:tr>
      <w:tr w:rsidR="007C5447">
        <w:trPr>
          <w:trHeight w:val="228"/>
        </w:trPr>
        <w:tc>
          <w:tcPr>
            <w:tcW w:w="3130" w:type="dxa"/>
          </w:tcPr>
          <w:p w:rsidR="007C5447" w:rsidRDefault="007C5447">
            <w:pPr>
              <w:pStyle w:val="TableParagraph"/>
              <w:jc w:val="left"/>
              <w:rPr>
                <w:sz w:val="16"/>
              </w:rPr>
            </w:pPr>
          </w:p>
        </w:tc>
        <w:tc>
          <w:tcPr>
            <w:tcW w:w="966"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3" w:line="205" w:lineRule="exact"/>
              <w:ind w:left="107"/>
              <w:jc w:val="left"/>
              <w:rPr>
                <w:rFonts w:ascii="Calibri"/>
                <w:i/>
                <w:sz w:val="18"/>
              </w:rPr>
            </w:pPr>
            <w:r>
              <w:rPr>
                <w:rFonts w:ascii="Calibri"/>
                <w:i/>
                <w:sz w:val="18"/>
              </w:rPr>
              <w:t>Other Current Liabilities</w:t>
            </w:r>
          </w:p>
        </w:tc>
        <w:tc>
          <w:tcPr>
            <w:tcW w:w="1038" w:type="dxa"/>
          </w:tcPr>
          <w:p w:rsidR="007C5447" w:rsidRDefault="00F6308C">
            <w:pPr>
              <w:pStyle w:val="TableParagraph"/>
              <w:spacing w:before="3" w:line="205" w:lineRule="exact"/>
              <w:ind w:left="132" w:right="122"/>
              <w:jc w:val="center"/>
              <w:rPr>
                <w:rFonts w:ascii="Calibri"/>
                <w:sz w:val="18"/>
              </w:rPr>
            </w:pPr>
            <w:r>
              <w:rPr>
                <w:rFonts w:ascii="Calibri"/>
                <w:sz w:val="18"/>
              </w:rPr>
              <w:t>4,588.48</w:t>
            </w: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7C5447">
            <w:pPr>
              <w:pStyle w:val="TableParagraph"/>
              <w:jc w:val="left"/>
              <w:rPr>
                <w:sz w:val="16"/>
              </w:rPr>
            </w:pPr>
          </w:p>
        </w:tc>
        <w:tc>
          <w:tcPr>
            <w:tcW w:w="966"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5" w:line="205" w:lineRule="exact"/>
              <w:ind w:left="107"/>
              <w:jc w:val="left"/>
              <w:rPr>
                <w:rFonts w:ascii="Calibri"/>
                <w:b/>
                <w:sz w:val="18"/>
              </w:rPr>
            </w:pPr>
            <w:r>
              <w:rPr>
                <w:rFonts w:ascii="Calibri"/>
                <w:b/>
                <w:sz w:val="18"/>
              </w:rPr>
              <w:t>TOTAL CURRENT LIABILITIES</w:t>
            </w:r>
          </w:p>
        </w:tc>
        <w:tc>
          <w:tcPr>
            <w:tcW w:w="1038" w:type="dxa"/>
          </w:tcPr>
          <w:p w:rsidR="007C5447" w:rsidRDefault="00F6308C">
            <w:pPr>
              <w:pStyle w:val="TableParagraph"/>
              <w:spacing w:before="5" w:line="205" w:lineRule="exact"/>
              <w:ind w:left="132" w:right="122"/>
              <w:jc w:val="center"/>
              <w:rPr>
                <w:rFonts w:ascii="Calibri"/>
                <w:b/>
                <w:sz w:val="18"/>
              </w:rPr>
            </w:pPr>
            <w:r>
              <w:rPr>
                <w:rFonts w:ascii="Calibri"/>
                <w:b/>
                <w:sz w:val="18"/>
              </w:rPr>
              <w:t>13,879.57</w:t>
            </w: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7C5447">
            <w:pPr>
              <w:pStyle w:val="TableParagraph"/>
              <w:jc w:val="left"/>
              <w:rPr>
                <w:sz w:val="16"/>
              </w:rPr>
            </w:pPr>
          </w:p>
        </w:tc>
        <w:tc>
          <w:tcPr>
            <w:tcW w:w="966"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04" w:type="dxa"/>
          </w:tcPr>
          <w:p w:rsidR="007C5447" w:rsidRDefault="007C5447">
            <w:pPr>
              <w:pStyle w:val="TableParagraph"/>
              <w:jc w:val="left"/>
              <w:rPr>
                <w:sz w:val="16"/>
              </w:rPr>
            </w:pPr>
          </w:p>
        </w:tc>
        <w:tc>
          <w:tcPr>
            <w:tcW w:w="1038" w:type="dxa"/>
          </w:tcPr>
          <w:p w:rsidR="007C5447" w:rsidRDefault="007C5447">
            <w:pPr>
              <w:pStyle w:val="TableParagraph"/>
              <w:jc w:val="left"/>
              <w:rPr>
                <w:sz w:val="16"/>
              </w:rPr>
            </w:pPr>
          </w:p>
        </w:tc>
        <w:tc>
          <w:tcPr>
            <w:tcW w:w="971" w:type="dxa"/>
          </w:tcPr>
          <w:p w:rsidR="007C5447" w:rsidRDefault="007C5447">
            <w:pPr>
              <w:pStyle w:val="TableParagraph"/>
              <w:jc w:val="left"/>
              <w:rPr>
                <w:sz w:val="16"/>
              </w:rPr>
            </w:pPr>
          </w:p>
        </w:tc>
      </w:tr>
      <w:tr w:rsidR="007C5447">
        <w:trPr>
          <w:trHeight w:val="230"/>
        </w:trPr>
        <w:tc>
          <w:tcPr>
            <w:tcW w:w="3130" w:type="dxa"/>
          </w:tcPr>
          <w:p w:rsidR="007C5447" w:rsidRDefault="007C5447">
            <w:pPr>
              <w:pStyle w:val="TableParagraph"/>
              <w:jc w:val="left"/>
              <w:rPr>
                <w:sz w:val="16"/>
              </w:rPr>
            </w:pPr>
          </w:p>
        </w:tc>
        <w:tc>
          <w:tcPr>
            <w:tcW w:w="966"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04" w:type="dxa"/>
          </w:tcPr>
          <w:p w:rsidR="007C5447" w:rsidRDefault="00F6308C">
            <w:pPr>
              <w:pStyle w:val="TableParagraph"/>
              <w:spacing w:before="5" w:line="205" w:lineRule="exact"/>
              <w:ind w:left="107"/>
              <w:jc w:val="left"/>
              <w:rPr>
                <w:rFonts w:ascii="Calibri"/>
                <w:b/>
                <w:sz w:val="18"/>
              </w:rPr>
            </w:pPr>
            <w:r>
              <w:rPr>
                <w:rFonts w:ascii="Calibri"/>
                <w:b/>
                <w:sz w:val="18"/>
              </w:rPr>
              <w:t>NET CURRENT ASSETS</w:t>
            </w:r>
          </w:p>
        </w:tc>
        <w:tc>
          <w:tcPr>
            <w:tcW w:w="1038" w:type="dxa"/>
          </w:tcPr>
          <w:p w:rsidR="007C5447" w:rsidRDefault="007C5447">
            <w:pPr>
              <w:pStyle w:val="TableParagraph"/>
              <w:jc w:val="left"/>
              <w:rPr>
                <w:sz w:val="16"/>
              </w:rPr>
            </w:pPr>
          </w:p>
        </w:tc>
        <w:tc>
          <w:tcPr>
            <w:tcW w:w="971" w:type="dxa"/>
          </w:tcPr>
          <w:p w:rsidR="007C5447" w:rsidRDefault="00F6308C">
            <w:pPr>
              <w:pStyle w:val="TableParagraph"/>
              <w:spacing w:before="5" w:line="205" w:lineRule="exact"/>
              <w:ind w:right="95"/>
              <w:rPr>
                <w:rFonts w:ascii="Calibri"/>
                <w:b/>
                <w:sz w:val="18"/>
              </w:rPr>
            </w:pPr>
            <w:r>
              <w:rPr>
                <w:rFonts w:ascii="Calibri"/>
                <w:b/>
                <w:sz w:val="18"/>
              </w:rPr>
              <w:t>(7,057.56)</w:t>
            </w:r>
          </w:p>
        </w:tc>
      </w:tr>
      <w:tr w:rsidR="007C5447">
        <w:trPr>
          <w:trHeight w:val="230"/>
        </w:trPr>
        <w:tc>
          <w:tcPr>
            <w:tcW w:w="3130" w:type="dxa"/>
          </w:tcPr>
          <w:p w:rsidR="007C5447" w:rsidRDefault="007C5447">
            <w:pPr>
              <w:pStyle w:val="TableParagraph"/>
              <w:jc w:val="left"/>
              <w:rPr>
                <w:sz w:val="16"/>
              </w:rPr>
            </w:pPr>
          </w:p>
        </w:tc>
        <w:tc>
          <w:tcPr>
            <w:tcW w:w="966"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04" w:type="dxa"/>
          </w:tcPr>
          <w:p w:rsidR="007C5447" w:rsidRDefault="007C5447">
            <w:pPr>
              <w:pStyle w:val="TableParagraph"/>
              <w:jc w:val="left"/>
              <w:rPr>
                <w:sz w:val="16"/>
              </w:rPr>
            </w:pPr>
          </w:p>
        </w:tc>
        <w:tc>
          <w:tcPr>
            <w:tcW w:w="1038" w:type="dxa"/>
          </w:tcPr>
          <w:p w:rsidR="007C5447" w:rsidRDefault="007C5447">
            <w:pPr>
              <w:pStyle w:val="TableParagraph"/>
              <w:jc w:val="left"/>
              <w:rPr>
                <w:sz w:val="16"/>
              </w:rPr>
            </w:pPr>
          </w:p>
        </w:tc>
        <w:tc>
          <w:tcPr>
            <w:tcW w:w="971" w:type="dxa"/>
          </w:tcPr>
          <w:p w:rsidR="007C5447" w:rsidRDefault="007C5447">
            <w:pPr>
              <w:pStyle w:val="TableParagraph"/>
              <w:jc w:val="left"/>
              <w:rPr>
                <w:sz w:val="16"/>
              </w:rPr>
            </w:pPr>
          </w:p>
        </w:tc>
      </w:tr>
      <w:tr w:rsidR="007C5447">
        <w:trPr>
          <w:trHeight w:val="231"/>
        </w:trPr>
        <w:tc>
          <w:tcPr>
            <w:tcW w:w="3130" w:type="dxa"/>
          </w:tcPr>
          <w:p w:rsidR="007C5447" w:rsidRDefault="00F6308C">
            <w:pPr>
              <w:pStyle w:val="TableParagraph"/>
              <w:spacing w:before="5" w:line="206" w:lineRule="exact"/>
              <w:ind w:left="893"/>
              <w:jc w:val="left"/>
              <w:rPr>
                <w:rFonts w:ascii="Calibri"/>
                <w:b/>
                <w:sz w:val="18"/>
              </w:rPr>
            </w:pPr>
            <w:r>
              <w:rPr>
                <w:rFonts w:ascii="Calibri"/>
                <w:b/>
                <w:sz w:val="18"/>
              </w:rPr>
              <w:t>TOTAL LIABILITIES</w:t>
            </w:r>
          </w:p>
        </w:tc>
        <w:tc>
          <w:tcPr>
            <w:tcW w:w="966" w:type="dxa"/>
          </w:tcPr>
          <w:p w:rsidR="007C5447" w:rsidRDefault="007C5447">
            <w:pPr>
              <w:pStyle w:val="TableParagraph"/>
              <w:jc w:val="left"/>
              <w:rPr>
                <w:sz w:val="16"/>
              </w:rPr>
            </w:pPr>
          </w:p>
        </w:tc>
        <w:tc>
          <w:tcPr>
            <w:tcW w:w="992" w:type="dxa"/>
          </w:tcPr>
          <w:p w:rsidR="007C5447" w:rsidRDefault="00F6308C">
            <w:pPr>
              <w:pStyle w:val="TableParagraph"/>
              <w:spacing w:before="5" w:line="206" w:lineRule="exact"/>
              <w:ind w:left="128"/>
              <w:jc w:val="left"/>
              <w:rPr>
                <w:rFonts w:ascii="Calibri"/>
                <w:b/>
                <w:sz w:val="18"/>
              </w:rPr>
            </w:pPr>
            <w:r>
              <w:rPr>
                <w:rFonts w:ascii="Calibri"/>
                <w:b/>
                <w:sz w:val="18"/>
              </w:rPr>
              <w:t>44,303.51</w:t>
            </w:r>
          </w:p>
        </w:tc>
        <w:tc>
          <w:tcPr>
            <w:tcW w:w="3404" w:type="dxa"/>
          </w:tcPr>
          <w:p w:rsidR="007C5447" w:rsidRDefault="00F6308C">
            <w:pPr>
              <w:pStyle w:val="TableParagraph"/>
              <w:spacing w:before="5" w:line="206" w:lineRule="exact"/>
              <w:ind w:left="1147" w:right="1139"/>
              <w:jc w:val="center"/>
              <w:rPr>
                <w:rFonts w:ascii="Calibri"/>
                <w:b/>
                <w:sz w:val="18"/>
              </w:rPr>
            </w:pPr>
            <w:r>
              <w:rPr>
                <w:rFonts w:ascii="Calibri"/>
                <w:b/>
                <w:sz w:val="18"/>
              </w:rPr>
              <w:t>TOTAL ASSETS</w:t>
            </w:r>
          </w:p>
        </w:tc>
        <w:tc>
          <w:tcPr>
            <w:tcW w:w="1038" w:type="dxa"/>
          </w:tcPr>
          <w:p w:rsidR="007C5447" w:rsidRDefault="007C5447">
            <w:pPr>
              <w:pStyle w:val="TableParagraph"/>
              <w:jc w:val="left"/>
              <w:rPr>
                <w:sz w:val="16"/>
              </w:rPr>
            </w:pPr>
          </w:p>
        </w:tc>
        <w:tc>
          <w:tcPr>
            <w:tcW w:w="971" w:type="dxa"/>
          </w:tcPr>
          <w:p w:rsidR="007C5447" w:rsidRDefault="00F6308C">
            <w:pPr>
              <w:pStyle w:val="TableParagraph"/>
              <w:spacing w:before="5" w:line="206" w:lineRule="exact"/>
              <w:ind w:right="106"/>
              <w:rPr>
                <w:rFonts w:ascii="Calibri"/>
                <w:b/>
                <w:sz w:val="18"/>
              </w:rPr>
            </w:pPr>
            <w:r>
              <w:rPr>
                <w:rFonts w:ascii="Calibri"/>
                <w:b/>
                <w:sz w:val="18"/>
              </w:rPr>
              <w:t>44,303.51</w:t>
            </w:r>
          </w:p>
        </w:tc>
      </w:tr>
    </w:tbl>
    <w:p w:rsidR="007C5447" w:rsidRDefault="007C5447">
      <w:pPr>
        <w:pStyle w:val="BodyText"/>
        <w:rPr>
          <w:rFonts w:ascii="Arial"/>
          <w:sz w:val="20"/>
        </w:rPr>
      </w:pPr>
    </w:p>
    <w:p w:rsidR="007C5447" w:rsidRDefault="007C5447">
      <w:pPr>
        <w:pStyle w:val="BodyText"/>
        <w:spacing w:before="9"/>
        <w:rPr>
          <w:rFonts w:ascii="Arial"/>
          <w:sz w:val="26"/>
        </w:rPr>
      </w:pPr>
    </w:p>
    <w:p w:rsidR="007C5447" w:rsidRDefault="007C5447">
      <w:pPr>
        <w:rPr>
          <w:rFonts w:ascii="Arial"/>
          <w:sz w:val="26"/>
        </w:rPr>
        <w:sectPr w:rsidR="007C5447">
          <w:footerReference w:type="default" r:id="rId92"/>
          <w:pgSz w:w="12240" w:h="15840"/>
          <w:pgMar w:top="1500" w:right="740" w:bottom="280" w:left="600" w:header="0" w:footer="0" w:gutter="0"/>
          <w:cols w:space="720"/>
        </w:sectPr>
      </w:pPr>
    </w:p>
    <w:p w:rsidR="007C5447" w:rsidRDefault="00F6308C">
      <w:pPr>
        <w:spacing w:before="100"/>
        <w:ind w:left="119"/>
        <w:rPr>
          <w:rFonts w:ascii="Tahoma"/>
          <w:b/>
          <w:sz w:val="24"/>
        </w:rPr>
      </w:pPr>
      <w:r>
        <w:rPr>
          <w:rFonts w:ascii="Tahoma"/>
          <w:b/>
          <w:sz w:val="24"/>
          <w:u w:val="thick"/>
        </w:rPr>
        <w:t>Note:-</w:t>
      </w:r>
    </w:p>
    <w:p w:rsidR="007C5447" w:rsidRDefault="00F6308C">
      <w:pPr>
        <w:pStyle w:val="BodyText"/>
        <w:spacing w:before="11"/>
        <w:rPr>
          <w:rFonts w:ascii="Tahoma"/>
          <w:b/>
          <w:sz w:val="40"/>
        </w:rPr>
      </w:pPr>
      <w:r>
        <w:br w:type="column"/>
      </w:r>
    </w:p>
    <w:p w:rsidR="007C5447" w:rsidRDefault="00F6308C">
      <w:pPr>
        <w:pStyle w:val="ListParagraph"/>
        <w:numPr>
          <w:ilvl w:val="0"/>
          <w:numId w:val="3"/>
        </w:numPr>
        <w:tabs>
          <w:tab w:val="left" w:pos="480"/>
        </w:tabs>
        <w:spacing w:line="276" w:lineRule="auto"/>
        <w:ind w:left="479" w:right="695"/>
        <w:jc w:val="left"/>
        <w:rPr>
          <w:rFonts w:ascii="Tahoma"/>
          <w:sz w:val="24"/>
        </w:rPr>
      </w:pPr>
      <w:r>
        <w:rPr>
          <w:rFonts w:ascii="Tahoma"/>
          <w:sz w:val="24"/>
        </w:rPr>
        <w:t>The transfer value of the fixed assets are determined based on revenue potentials.</w:t>
      </w:r>
    </w:p>
    <w:p w:rsidR="007C5447" w:rsidRDefault="00F6308C">
      <w:pPr>
        <w:pStyle w:val="ListParagraph"/>
        <w:numPr>
          <w:ilvl w:val="0"/>
          <w:numId w:val="3"/>
        </w:numPr>
        <w:tabs>
          <w:tab w:val="left" w:pos="480"/>
        </w:tabs>
        <w:spacing w:before="60" w:line="360" w:lineRule="auto"/>
        <w:ind w:left="479" w:right="699"/>
        <w:jc w:val="left"/>
        <w:rPr>
          <w:rFonts w:ascii="Tahoma"/>
          <w:sz w:val="24"/>
        </w:rPr>
      </w:pPr>
      <w:r>
        <w:rPr>
          <w:rFonts w:ascii="Tahoma"/>
          <w:sz w:val="24"/>
        </w:rPr>
        <w:t>The transfer value of the Land is determined based on the guideline value as on 31</w:t>
      </w:r>
      <w:r>
        <w:rPr>
          <w:rFonts w:ascii="Tahoma"/>
          <w:sz w:val="24"/>
          <w:vertAlign w:val="superscript"/>
        </w:rPr>
        <w:t>st</w:t>
      </w:r>
      <w:r>
        <w:rPr>
          <w:rFonts w:ascii="Tahoma"/>
          <w:sz w:val="24"/>
        </w:rPr>
        <w:t xml:space="preserve"> October</w:t>
      </w:r>
      <w:r>
        <w:rPr>
          <w:rFonts w:ascii="Tahoma"/>
          <w:spacing w:val="-1"/>
          <w:sz w:val="24"/>
        </w:rPr>
        <w:t xml:space="preserve"> </w:t>
      </w:r>
      <w:r>
        <w:rPr>
          <w:rFonts w:ascii="Tahoma"/>
          <w:sz w:val="24"/>
        </w:rPr>
        <w:t>2010.</w:t>
      </w:r>
    </w:p>
    <w:p w:rsidR="007C5447" w:rsidRDefault="007C5447">
      <w:pPr>
        <w:spacing w:line="360" w:lineRule="auto"/>
        <w:rPr>
          <w:rFonts w:ascii="Tahoma"/>
          <w:sz w:val="24"/>
        </w:rPr>
        <w:sectPr w:rsidR="007C5447">
          <w:type w:val="continuous"/>
          <w:pgSz w:w="12240" w:h="15840"/>
          <w:pgMar w:top="1580" w:right="740" w:bottom="1580" w:left="600" w:header="720" w:footer="720" w:gutter="0"/>
          <w:cols w:num="2" w:space="720" w:equalWidth="0">
            <w:col w:w="927" w:space="873"/>
            <w:col w:w="9100"/>
          </w:cols>
        </w:sectPr>
      </w:pPr>
    </w:p>
    <w:p w:rsidR="007C5447" w:rsidRDefault="007C5447">
      <w:pPr>
        <w:pStyle w:val="BodyText"/>
        <w:rPr>
          <w:rFonts w:ascii="Tahoma"/>
          <w:sz w:val="20"/>
        </w:rPr>
      </w:pPr>
    </w:p>
    <w:p w:rsidR="007C5447" w:rsidRDefault="007C5447">
      <w:pPr>
        <w:pStyle w:val="BodyText"/>
        <w:rPr>
          <w:rFonts w:ascii="Tahoma"/>
          <w:sz w:val="20"/>
        </w:rPr>
      </w:pPr>
    </w:p>
    <w:p w:rsidR="007C5447" w:rsidRDefault="007C5447">
      <w:pPr>
        <w:pStyle w:val="BodyText"/>
        <w:spacing w:before="7"/>
        <w:rPr>
          <w:rFonts w:ascii="Tahoma"/>
          <w:sz w:val="28"/>
        </w:rPr>
      </w:pPr>
    </w:p>
    <w:p w:rsidR="007C5447" w:rsidRDefault="00F6308C">
      <w:pPr>
        <w:pStyle w:val="ListParagraph"/>
        <w:numPr>
          <w:ilvl w:val="0"/>
          <w:numId w:val="3"/>
        </w:numPr>
        <w:tabs>
          <w:tab w:val="left" w:pos="2280"/>
        </w:tabs>
        <w:spacing w:before="101" w:line="480" w:lineRule="auto"/>
        <w:ind w:left="2280" w:right="696"/>
        <w:jc w:val="both"/>
        <w:rPr>
          <w:rFonts w:ascii="Tahoma"/>
          <w:sz w:val="24"/>
        </w:rPr>
      </w:pPr>
      <w:r>
        <w:rPr>
          <w:rFonts w:ascii="Tahoma"/>
          <w:sz w:val="24"/>
        </w:rPr>
        <w:t>The values of Buildings, Plant &amp; Machineries and</w:t>
      </w:r>
      <w:r>
        <w:rPr>
          <w:rFonts w:ascii="Tahoma"/>
          <w:sz w:val="24"/>
        </w:rPr>
        <w:t xml:space="preserve"> Lines &amp; Cables Network are valued based on the report provided by the Chartered Engineer and Government Registered</w:t>
      </w:r>
      <w:r>
        <w:rPr>
          <w:rFonts w:ascii="Tahoma"/>
          <w:spacing w:val="-1"/>
          <w:sz w:val="24"/>
        </w:rPr>
        <w:t xml:space="preserve"> </w:t>
      </w:r>
      <w:r>
        <w:rPr>
          <w:rFonts w:ascii="Tahoma"/>
          <w:sz w:val="24"/>
        </w:rPr>
        <w:t>Valuer.</w:t>
      </w:r>
    </w:p>
    <w:p w:rsidR="007C5447" w:rsidRDefault="00F6308C">
      <w:pPr>
        <w:pStyle w:val="ListParagraph"/>
        <w:numPr>
          <w:ilvl w:val="0"/>
          <w:numId w:val="3"/>
        </w:numPr>
        <w:tabs>
          <w:tab w:val="left" w:pos="2280"/>
        </w:tabs>
        <w:spacing w:before="60" w:line="480" w:lineRule="auto"/>
        <w:ind w:left="2280" w:right="695"/>
        <w:jc w:val="both"/>
        <w:rPr>
          <w:rFonts w:ascii="Tahoma"/>
          <w:sz w:val="24"/>
        </w:rPr>
      </w:pPr>
      <w:r>
        <w:rPr>
          <w:rFonts w:ascii="Tahoma"/>
          <w:sz w:val="24"/>
        </w:rPr>
        <w:t>Notwithstanding the transfer, the guarantees provided to the lenders of the Board, by the State Government, shall be deemed to be guarantees provided on behalf of the TANGEDCO in respect of the loans allocated, until fully</w:t>
      </w:r>
      <w:r>
        <w:rPr>
          <w:rFonts w:ascii="Tahoma"/>
          <w:spacing w:val="-3"/>
          <w:sz w:val="24"/>
        </w:rPr>
        <w:t xml:space="preserve"> </w:t>
      </w:r>
      <w:r>
        <w:rPr>
          <w:rFonts w:ascii="Tahoma"/>
          <w:sz w:val="24"/>
        </w:rPr>
        <w:t>discharged.</w:t>
      </w:r>
    </w:p>
    <w:p w:rsidR="007C5447" w:rsidRDefault="00F6308C">
      <w:pPr>
        <w:pStyle w:val="ListParagraph"/>
        <w:numPr>
          <w:ilvl w:val="0"/>
          <w:numId w:val="3"/>
        </w:numPr>
        <w:tabs>
          <w:tab w:val="left" w:pos="2280"/>
        </w:tabs>
        <w:spacing w:before="60" w:line="480" w:lineRule="auto"/>
        <w:ind w:left="2280" w:right="697"/>
        <w:jc w:val="both"/>
        <w:rPr>
          <w:rFonts w:ascii="Tahoma"/>
          <w:sz w:val="24"/>
        </w:rPr>
      </w:pPr>
      <w:r>
        <w:rPr>
          <w:rFonts w:ascii="Tahoma"/>
          <w:sz w:val="24"/>
        </w:rPr>
        <w:t>The Contingent liabilities to the extent they are recognized and are associated with or related to Generation and Distribution activities or to the undertakings or assets shall be discharged by</w:t>
      </w:r>
      <w:r>
        <w:rPr>
          <w:rFonts w:ascii="Tahoma"/>
          <w:spacing w:val="-9"/>
          <w:sz w:val="24"/>
        </w:rPr>
        <w:t xml:space="preserve"> </w:t>
      </w:r>
      <w:r>
        <w:rPr>
          <w:rFonts w:ascii="Tahoma"/>
          <w:sz w:val="24"/>
        </w:rPr>
        <w:t>TANGEDCO.</w:t>
      </w:r>
    </w:p>
    <w:p w:rsidR="007C5447" w:rsidRDefault="00F6308C">
      <w:pPr>
        <w:pStyle w:val="ListParagraph"/>
        <w:numPr>
          <w:ilvl w:val="0"/>
          <w:numId w:val="3"/>
        </w:numPr>
        <w:tabs>
          <w:tab w:val="left" w:pos="2280"/>
        </w:tabs>
        <w:spacing w:before="59" w:line="480" w:lineRule="auto"/>
        <w:ind w:left="2280" w:right="696"/>
        <w:jc w:val="both"/>
        <w:rPr>
          <w:rFonts w:ascii="Tahoma" w:hAnsi="Tahoma"/>
          <w:sz w:val="24"/>
        </w:rPr>
      </w:pPr>
      <w:r>
        <w:rPr>
          <w:rFonts w:ascii="Tahoma" w:hAnsi="Tahoma"/>
          <w:sz w:val="24"/>
        </w:rPr>
        <w:t>The shares to the extent of the value of the share c</w:t>
      </w:r>
      <w:r>
        <w:rPr>
          <w:rFonts w:ascii="Tahoma" w:hAnsi="Tahoma"/>
          <w:sz w:val="24"/>
        </w:rPr>
        <w:t>apital mentioned above shall be issued by the TANGEDCO in favour of TNEB Limited at par”.</w:t>
      </w:r>
      <w:r>
        <w:rPr>
          <w:rFonts w:ascii="Tahoma" w:hAnsi="Tahoma"/>
          <w:spacing w:val="1"/>
          <w:sz w:val="24"/>
        </w:rPr>
        <w:t xml:space="preserve"> </w:t>
      </w:r>
      <w:r>
        <w:rPr>
          <w:rFonts w:ascii="Tahoma" w:hAnsi="Tahoma"/>
          <w:sz w:val="24"/>
        </w:rPr>
        <w:t>;</w:t>
      </w:r>
    </w:p>
    <w:p w:rsidR="007C5447" w:rsidRDefault="00F6308C">
      <w:pPr>
        <w:pStyle w:val="ListParagraph"/>
        <w:numPr>
          <w:ilvl w:val="0"/>
          <w:numId w:val="4"/>
        </w:numPr>
        <w:tabs>
          <w:tab w:val="left" w:pos="2321"/>
          <w:tab w:val="left" w:pos="2322"/>
        </w:tabs>
        <w:spacing w:before="58" w:line="480" w:lineRule="auto"/>
        <w:ind w:left="2280" w:right="698" w:hanging="720"/>
        <w:rPr>
          <w:rFonts w:ascii="Arial" w:hAnsi="Arial"/>
          <w:sz w:val="24"/>
        </w:rPr>
      </w:pPr>
      <w:r>
        <w:tab/>
      </w:r>
      <w:r>
        <w:rPr>
          <w:rFonts w:ascii="Arial" w:hAnsi="Arial"/>
          <w:sz w:val="24"/>
        </w:rPr>
        <w:t>in Schedule-B, in Part-II Transmission Undertaking, for the entries under the heading “Aggregate Assets and Liabilities vested in Tamil Nadu Transmission Corporati</w:t>
      </w:r>
      <w:r>
        <w:rPr>
          <w:rFonts w:ascii="Arial" w:hAnsi="Arial"/>
          <w:sz w:val="24"/>
        </w:rPr>
        <w:t>on Limited (TANTRANSCO)”, the following entries shall be substituted,</w:t>
      </w:r>
      <w:r>
        <w:rPr>
          <w:rFonts w:ascii="Arial" w:hAnsi="Arial"/>
          <w:spacing w:val="65"/>
          <w:sz w:val="24"/>
        </w:rPr>
        <w:t xml:space="preserve"> </w:t>
      </w:r>
      <w:r>
        <w:rPr>
          <w:rFonts w:ascii="Arial" w:hAnsi="Arial"/>
          <w:sz w:val="24"/>
        </w:rPr>
        <w:t>namely:-</w:t>
      </w:r>
    </w:p>
    <w:p w:rsidR="007C5447" w:rsidRDefault="007C5447">
      <w:pPr>
        <w:spacing w:line="480" w:lineRule="auto"/>
        <w:rPr>
          <w:rFonts w:ascii="Arial" w:hAnsi="Arial"/>
          <w:sz w:val="24"/>
        </w:rPr>
        <w:sectPr w:rsidR="007C5447">
          <w:footerReference w:type="default" r:id="rId93"/>
          <w:pgSz w:w="12240" w:h="15840"/>
          <w:pgMar w:top="1500" w:right="740" w:bottom="280" w:left="600" w:header="0" w:footer="0" w:gutter="0"/>
          <w:cols w:space="720"/>
        </w:sectPr>
      </w:pPr>
    </w:p>
    <w:p w:rsidR="007C5447" w:rsidRDefault="007C5447">
      <w:pPr>
        <w:pStyle w:val="BodyText"/>
        <w:rPr>
          <w:rFonts w:ascii="Arial"/>
          <w:sz w:val="20"/>
        </w:rPr>
      </w:pPr>
    </w:p>
    <w:p w:rsidR="007C5447" w:rsidRDefault="007C5447">
      <w:pPr>
        <w:pStyle w:val="BodyText"/>
        <w:rPr>
          <w:rFonts w:ascii="Arial"/>
          <w:sz w:val="20"/>
        </w:rPr>
      </w:pPr>
    </w:p>
    <w:p w:rsidR="007C5447" w:rsidRDefault="007C5447">
      <w:pPr>
        <w:pStyle w:val="BodyText"/>
        <w:rPr>
          <w:rFonts w:ascii="Arial"/>
          <w:sz w:val="20"/>
        </w:rPr>
      </w:pPr>
    </w:p>
    <w:p w:rsidR="007C5447" w:rsidRDefault="007C5447">
      <w:pPr>
        <w:pStyle w:val="BodyText"/>
        <w:rPr>
          <w:rFonts w:ascii="Arial"/>
          <w:sz w:val="20"/>
        </w:rPr>
      </w:pPr>
    </w:p>
    <w:p w:rsidR="007C5447" w:rsidRDefault="007C5447">
      <w:pPr>
        <w:pStyle w:val="BodyText"/>
        <w:rPr>
          <w:rFonts w:ascii="Arial"/>
          <w:sz w:val="16"/>
        </w:rPr>
      </w:pPr>
    </w:p>
    <w:tbl>
      <w:tblPr>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58"/>
        <w:gridCol w:w="991"/>
        <w:gridCol w:w="992"/>
        <w:gridCol w:w="3482"/>
        <w:gridCol w:w="949"/>
        <w:gridCol w:w="950"/>
      </w:tblGrid>
      <w:tr w:rsidR="007C5447">
        <w:trPr>
          <w:trHeight w:val="219"/>
        </w:trPr>
        <w:tc>
          <w:tcPr>
            <w:tcW w:w="10522" w:type="dxa"/>
            <w:gridSpan w:val="6"/>
          </w:tcPr>
          <w:p w:rsidR="007C5447" w:rsidRDefault="00F6308C">
            <w:pPr>
              <w:pStyle w:val="TableParagraph"/>
              <w:spacing w:line="199" w:lineRule="exact"/>
              <w:ind w:left="2512" w:right="2502"/>
              <w:jc w:val="center"/>
              <w:rPr>
                <w:rFonts w:ascii="Calibri" w:hAnsi="Calibri"/>
                <w:b/>
                <w:sz w:val="18"/>
              </w:rPr>
            </w:pPr>
            <w:r>
              <w:rPr>
                <w:rFonts w:ascii="Calibri" w:hAnsi="Calibri"/>
                <w:b/>
                <w:sz w:val="18"/>
              </w:rPr>
              <w:t>“OPENING BALANCE SHEET OF TANTRANSCO AS ON 1st NOVEMBER 2010</w:t>
            </w:r>
          </w:p>
        </w:tc>
      </w:tr>
      <w:tr w:rsidR="007C5447">
        <w:trPr>
          <w:trHeight w:val="220"/>
        </w:trPr>
        <w:tc>
          <w:tcPr>
            <w:tcW w:w="3158" w:type="dxa"/>
          </w:tcPr>
          <w:p w:rsidR="007C5447" w:rsidRDefault="00F6308C">
            <w:pPr>
              <w:pStyle w:val="TableParagraph"/>
              <w:spacing w:line="200" w:lineRule="exact"/>
              <w:ind w:left="1149" w:right="1141"/>
              <w:jc w:val="center"/>
              <w:rPr>
                <w:rFonts w:ascii="Calibri"/>
                <w:b/>
                <w:sz w:val="18"/>
              </w:rPr>
            </w:pPr>
            <w:r>
              <w:rPr>
                <w:rFonts w:ascii="Calibri"/>
                <w:b/>
                <w:sz w:val="18"/>
              </w:rPr>
              <w:t>LIABILITIES</w:t>
            </w:r>
          </w:p>
        </w:tc>
        <w:tc>
          <w:tcPr>
            <w:tcW w:w="1983" w:type="dxa"/>
            <w:gridSpan w:val="2"/>
          </w:tcPr>
          <w:p w:rsidR="007C5447" w:rsidRDefault="00F6308C">
            <w:pPr>
              <w:pStyle w:val="TableParagraph"/>
              <w:spacing w:line="200" w:lineRule="exact"/>
              <w:ind w:left="527"/>
              <w:jc w:val="left"/>
              <w:rPr>
                <w:rFonts w:ascii="Calibri"/>
                <w:b/>
                <w:sz w:val="18"/>
              </w:rPr>
            </w:pPr>
            <w:r>
              <w:rPr>
                <w:rFonts w:ascii="Calibri"/>
                <w:b/>
                <w:sz w:val="18"/>
              </w:rPr>
              <w:t>Rs. In Crores</w:t>
            </w:r>
          </w:p>
        </w:tc>
        <w:tc>
          <w:tcPr>
            <w:tcW w:w="3482" w:type="dxa"/>
          </w:tcPr>
          <w:p w:rsidR="007C5447" w:rsidRDefault="00F6308C">
            <w:pPr>
              <w:pStyle w:val="TableParagraph"/>
              <w:spacing w:line="200" w:lineRule="exact"/>
              <w:ind w:left="1186" w:right="1176"/>
              <w:jc w:val="center"/>
              <w:rPr>
                <w:rFonts w:ascii="Calibri"/>
                <w:b/>
                <w:sz w:val="18"/>
              </w:rPr>
            </w:pPr>
            <w:r>
              <w:rPr>
                <w:rFonts w:ascii="Calibri"/>
                <w:b/>
                <w:sz w:val="18"/>
              </w:rPr>
              <w:t>ASSETS</w:t>
            </w:r>
          </w:p>
        </w:tc>
        <w:tc>
          <w:tcPr>
            <w:tcW w:w="1899" w:type="dxa"/>
            <w:gridSpan w:val="2"/>
          </w:tcPr>
          <w:p w:rsidR="007C5447" w:rsidRDefault="00F6308C">
            <w:pPr>
              <w:pStyle w:val="TableParagraph"/>
              <w:spacing w:line="200" w:lineRule="exact"/>
              <w:ind w:left="486"/>
              <w:jc w:val="left"/>
              <w:rPr>
                <w:rFonts w:ascii="Calibri"/>
                <w:b/>
                <w:sz w:val="18"/>
              </w:rPr>
            </w:pPr>
            <w:r>
              <w:rPr>
                <w:rFonts w:ascii="Calibri"/>
                <w:b/>
                <w:sz w:val="18"/>
              </w:rPr>
              <w:t>Rs. In Crores</w:t>
            </w:r>
          </w:p>
        </w:tc>
      </w:tr>
      <w:tr w:rsidR="007C5447">
        <w:trPr>
          <w:trHeight w:val="219"/>
        </w:trPr>
        <w:tc>
          <w:tcPr>
            <w:tcW w:w="3158" w:type="dxa"/>
          </w:tcPr>
          <w:p w:rsidR="007C5447" w:rsidRDefault="007C5447">
            <w:pPr>
              <w:pStyle w:val="TableParagraph"/>
              <w:jc w:val="left"/>
              <w:rPr>
                <w:sz w:val="14"/>
              </w:rPr>
            </w:pPr>
          </w:p>
        </w:tc>
        <w:tc>
          <w:tcPr>
            <w:tcW w:w="991" w:type="dxa"/>
          </w:tcPr>
          <w:p w:rsidR="007C5447" w:rsidRDefault="007C5447">
            <w:pPr>
              <w:pStyle w:val="TableParagraph"/>
              <w:jc w:val="left"/>
              <w:rPr>
                <w:sz w:val="14"/>
              </w:rPr>
            </w:pPr>
          </w:p>
        </w:tc>
        <w:tc>
          <w:tcPr>
            <w:tcW w:w="992" w:type="dxa"/>
          </w:tcPr>
          <w:p w:rsidR="007C5447" w:rsidRDefault="007C5447">
            <w:pPr>
              <w:pStyle w:val="TableParagraph"/>
              <w:jc w:val="left"/>
              <w:rPr>
                <w:sz w:val="14"/>
              </w:rPr>
            </w:pPr>
          </w:p>
        </w:tc>
        <w:tc>
          <w:tcPr>
            <w:tcW w:w="3482" w:type="dxa"/>
          </w:tcPr>
          <w:p w:rsidR="007C5447" w:rsidRDefault="007C5447">
            <w:pPr>
              <w:pStyle w:val="TableParagraph"/>
              <w:jc w:val="left"/>
              <w:rPr>
                <w:sz w:val="14"/>
              </w:rPr>
            </w:pPr>
          </w:p>
        </w:tc>
        <w:tc>
          <w:tcPr>
            <w:tcW w:w="949" w:type="dxa"/>
          </w:tcPr>
          <w:p w:rsidR="007C5447" w:rsidRDefault="007C5447">
            <w:pPr>
              <w:pStyle w:val="TableParagraph"/>
              <w:jc w:val="left"/>
              <w:rPr>
                <w:sz w:val="14"/>
              </w:rPr>
            </w:pPr>
          </w:p>
        </w:tc>
        <w:tc>
          <w:tcPr>
            <w:tcW w:w="950" w:type="dxa"/>
          </w:tcPr>
          <w:p w:rsidR="007C5447" w:rsidRDefault="007C5447">
            <w:pPr>
              <w:pStyle w:val="TableParagraph"/>
              <w:jc w:val="left"/>
              <w:rPr>
                <w:sz w:val="14"/>
              </w:rPr>
            </w:pPr>
          </w:p>
        </w:tc>
      </w:tr>
      <w:tr w:rsidR="007C5447">
        <w:trPr>
          <w:trHeight w:val="230"/>
        </w:trPr>
        <w:tc>
          <w:tcPr>
            <w:tcW w:w="3158" w:type="dxa"/>
          </w:tcPr>
          <w:p w:rsidR="007C5447" w:rsidRDefault="00F6308C">
            <w:pPr>
              <w:pStyle w:val="TableParagraph"/>
              <w:spacing w:before="5" w:line="205" w:lineRule="exact"/>
              <w:ind w:left="830"/>
              <w:jc w:val="left"/>
              <w:rPr>
                <w:rFonts w:ascii="Calibri"/>
                <w:b/>
                <w:sz w:val="18"/>
              </w:rPr>
            </w:pPr>
            <w:r>
              <w:rPr>
                <w:rFonts w:ascii="Calibri"/>
                <w:b/>
                <w:sz w:val="18"/>
                <w:u w:val="single"/>
              </w:rPr>
              <w:t>SOURCES OF FUNDS</w:t>
            </w:r>
          </w:p>
        </w:tc>
        <w:tc>
          <w:tcPr>
            <w:tcW w:w="991"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82" w:type="dxa"/>
          </w:tcPr>
          <w:p w:rsidR="007C5447" w:rsidRDefault="00F6308C">
            <w:pPr>
              <w:pStyle w:val="TableParagraph"/>
              <w:spacing w:before="5" w:line="205" w:lineRule="exact"/>
              <w:ind w:left="835"/>
              <w:jc w:val="left"/>
              <w:rPr>
                <w:rFonts w:ascii="Calibri"/>
                <w:b/>
                <w:sz w:val="18"/>
              </w:rPr>
            </w:pPr>
            <w:r>
              <w:rPr>
                <w:rFonts w:ascii="Calibri"/>
                <w:b/>
                <w:sz w:val="18"/>
                <w:u w:val="single"/>
              </w:rPr>
              <w:t>APPLICATION OF FUNDS</w:t>
            </w:r>
          </w:p>
        </w:tc>
        <w:tc>
          <w:tcPr>
            <w:tcW w:w="949" w:type="dxa"/>
          </w:tcPr>
          <w:p w:rsidR="007C5447" w:rsidRDefault="007C5447">
            <w:pPr>
              <w:pStyle w:val="TableParagraph"/>
              <w:jc w:val="left"/>
              <w:rPr>
                <w:sz w:val="16"/>
              </w:rPr>
            </w:pPr>
          </w:p>
        </w:tc>
        <w:tc>
          <w:tcPr>
            <w:tcW w:w="950" w:type="dxa"/>
          </w:tcPr>
          <w:p w:rsidR="007C5447" w:rsidRDefault="007C5447">
            <w:pPr>
              <w:pStyle w:val="TableParagraph"/>
              <w:jc w:val="left"/>
              <w:rPr>
                <w:sz w:val="16"/>
              </w:rPr>
            </w:pPr>
          </w:p>
        </w:tc>
      </w:tr>
      <w:tr w:rsidR="007C5447">
        <w:trPr>
          <w:trHeight w:val="230"/>
        </w:trPr>
        <w:tc>
          <w:tcPr>
            <w:tcW w:w="3158" w:type="dxa"/>
          </w:tcPr>
          <w:p w:rsidR="007C5447" w:rsidRDefault="00F6308C">
            <w:pPr>
              <w:pStyle w:val="TableParagraph"/>
              <w:spacing w:before="11" w:line="199" w:lineRule="exact"/>
              <w:ind w:left="107"/>
              <w:jc w:val="left"/>
              <w:rPr>
                <w:rFonts w:ascii="Calibri"/>
                <w:b/>
                <w:sz w:val="18"/>
              </w:rPr>
            </w:pPr>
            <w:r>
              <w:rPr>
                <w:rFonts w:ascii="Calibri"/>
                <w:b/>
                <w:sz w:val="18"/>
                <w:u w:val="single"/>
              </w:rPr>
              <w:t>SHAREHOLDERS FUND</w:t>
            </w:r>
          </w:p>
        </w:tc>
        <w:tc>
          <w:tcPr>
            <w:tcW w:w="991"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82" w:type="dxa"/>
          </w:tcPr>
          <w:p w:rsidR="007C5447" w:rsidRDefault="00F6308C">
            <w:pPr>
              <w:pStyle w:val="TableParagraph"/>
              <w:spacing w:before="11" w:line="199" w:lineRule="exact"/>
              <w:ind w:left="108"/>
              <w:jc w:val="left"/>
              <w:rPr>
                <w:rFonts w:ascii="Calibri"/>
                <w:b/>
                <w:sz w:val="18"/>
              </w:rPr>
            </w:pPr>
            <w:r>
              <w:rPr>
                <w:rFonts w:ascii="Calibri"/>
                <w:b/>
                <w:sz w:val="18"/>
                <w:u w:val="single"/>
              </w:rPr>
              <w:t>FIXED ASSETS</w:t>
            </w:r>
          </w:p>
        </w:tc>
        <w:tc>
          <w:tcPr>
            <w:tcW w:w="949" w:type="dxa"/>
          </w:tcPr>
          <w:p w:rsidR="007C5447" w:rsidRDefault="007C5447">
            <w:pPr>
              <w:pStyle w:val="TableParagraph"/>
              <w:jc w:val="left"/>
              <w:rPr>
                <w:sz w:val="16"/>
              </w:rPr>
            </w:pPr>
          </w:p>
        </w:tc>
        <w:tc>
          <w:tcPr>
            <w:tcW w:w="950" w:type="dxa"/>
          </w:tcPr>
          <w:p w:rsidR="007C5447" w:rsidRDefault="007C5447">
            <w:pPr>
              <w:pStyle w:val="TableParagraph"/>
              <w:jc w:val="left"/>
              <w:rPr>
                <w:sz w:val="16"/>
              </w:rPr>
            </w:pPr>
          </w:p>
        </w:tc>
      </w:tr>
      <w:tr w:rsidR="007C5447">
        <w:trPr>
          <w:trHeight w:val="230"/>
        </w:trPr>
        <w:tc>
          <w:tcPr>
            <w:tcW w:w="3158" w:type="dxa"/>
          </w:tcPr>
          <w:p w:rsidR="007C5447" w:rsidRDefault="00F6308C">
            <w:pPr>
              <w:pStyle w:val="TableParagraph"/>
              <w:spacing w:before="11" w:line="199" w:lineRule="exact"/>
              <w:ind w:left="287"/>
              <w:jc w:val="left"/>
              <w:rPr>
                <w:rFonts w:ascii="Calibri" w:hAnsi="Calibri"/>
                <w:i/>
                <w:sz w:val="18"/>
              </w:rPr>
            </w:pPr>
            <w:r>
              <w:rPr>
                <w:rFonts w:ascii="Calibri" w:hAnsi="Calibri"/>
                <w:i/>
                <w:sz w:val="18"/>
              </w:rPr>
              <w:t>Equity Share Capital – TNEB Limited</w:t>
            </w:r>
          </w:p>
        </w:tc>
        <w:tc>
          <w:tcPr>
            <w:tcW w:w="991" w:type="dxa"/>
          </w:tcPr>
          <w:p w:rsidR="007C5447" w:rsidRDefault="007C5447">
            <w:pPr>
              <w:pStyle w:val="TableParagraph"/>
              <w:jc w:val="left"/>
              <w:rPr>
                <w:sz w:val="16"/>
              </w:rPr>
            </w:pPr>
          </w:p>
        </w:tc>
        <w:tc>
          <w:tcPr>
            <w:tcW w:w="992" w:type="dxa"/>
          </w:tcPr>
          <w:p w:rsidR="007C5447" w:rsidRDefault="00F6308C">
            <w:pPr>
              <w:pStyle w:val="TableParagraph"/>
              <w:spacing w:before="5" w:line="205" w:lineRule="exact"/>
              <w:ind w:left="177"/>
              <w:jc w:val="left"/>
              <w:rPr>
                <w:rFonts w:ascii="Calibri"/>
                <w:sz w:val="18"/>
              </w:rPr>
            </w:pPr>
            <w:r>
              <w:rPr>
                <w:rFonts w:ascii="Calibri"/>
                <w:sz w:val="18"/>
              </w:rPr>
              <w:t>1,506.15</w:t>
            </w:r>
          </w:p>
        </w:tc>
        <w:tc>
          <w:tcPr>
            <w:tcW w:w="3482" w:type="dxa"/>
          </w:tcPr>
          <w:p w:rsidR="007C5447" w:rsidRDefault="00F6308C">
            <w:pPr>
              <w:pStyle w:val="TableParagraph"/>
              <w:spacing w:before="11" w:line="199" w:lineRule="exact"/>
              <w:ind w:left="288"/>
              <w:jc w:val="left"/>
              <w:rPr>
                <w:rFonts w:ascii="Calibri"/>
                <w:i/>
                <w:sz w:val="18"/>
              </w:rPr>
            </w:pPr>
            <w:r>
              <w:rPr>
                <w:rFonts w:ascii="Calibri"/>
                <w:i/>
                <w:sz w:val="18"/>
              </w:rPr>
              <w:t>Gross Fixed Assets</w:t>
            </w:r>
          </w:p>
        </w:tc>
        <w:tc>
          <w:tcPr>
            <w:tcW w:w="949" w:type="dxa"/>
          </w:tcPr>
          <w:p w:rsidR="007C5447" w:rsidRDefault="00F6308C">
            <w:pPr>
              <w:pStyle w:val="TableParagraph"/>
              <w:spacing w:before="5" w:line="205" w:lineRule="exact"/>
              <w:ind w:left="88" w:right="76"/>
              <w:jc w:val="center"/>
              <w:rPr>
                <w:rFonts w:ascii="Calibri"/>
                <w:sz w:val="18"/>
              </w:rPr>
            </w:pPr>
            <w:r>
              <w:rPr>
                <w:rFonts w:ascii="Calibri"/>
                <w:sz w:val="18"/>
              </w:rPr>
              <w:t>23,035.92</w:t>
            </w:r>
          </w:p>
        </w:tc>
        <w:tc>
          <w:tcPr>
            <w:tcW w:w="950" w:type="dxa"/>
          </w:tcPr>
          <w:p w:rsidR="007C5447" w:rsidRDefault="007C5447">
            <w:pPr>
              <w:pStyle w:val="TableParagraph"/>
              <w:jc w:val="left"/>
              <w:rPr>
                <w:sz w:val="16"/>
              </w:rPr>
            </w:pPr>
          </w:p>
        </w:tc>
      </w:tr>
      <w:tr w:rsidR="007C5447">
        <w:trPr>
          <w:trHeight w:val="230"/>
        </w:trPr>
        <w:tc>
          <w:tcPr>
            <w:tcW w:w="3158" w:type="dxa"/>
          </w:tcPr>
          <w:p w:rsidR="007C5447" w:rsidRDefault="007C5447">
            <w:pPr>
              <w:pStyle w:val="TableParagraph"/>
              <w:jc w:val="left"/>
              <w:rPr>
                <w:sz w:val="16"/>
              </w:rPr>
            </w:pPr>
          </w:p>
        </w:tc>
        <w:tc>
          <w:tcPr>
            <w:tcW w:w="991"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82" w:type="dxa"/>
          </w:tcPr>
          <w:p w:rsidR="007C5447" w:rsidRDefault="00F6308C">
            <w:pPr>
              <w:pStyle w:val="TableParagraph"/>
              <w:spacing w:before="11" w:line="199" w:lineRule="exact"/>
              <w:ind w:left="288"/>
              <w:jc w:val="left"/>
              <w:rPr>
                <w:rFonts w:ascii="Calibri"/>
                <w:i/>
                <w:sz w:val="18"/>
              </w:rPr>
            </w:pPr>
            <w:r>
              <w:rPr>
                <w:rFonts w:ascii="Calibri"/>
                <w:i/>
                <w:sz w:val="18"/>
              </w:rPr>
              <w:t>Less: Accumulated Depreciation</w:t>
            </w:r>
          </w:p>
        </w:tc>
        <w:tc>
          <w:tcPr>
            <w:tcW w:w="949" w:type="dxa"/>
          </w:tcPr>
          <w:p w:rsidR="007C5447" w:rsidRDefault="00F6308C">
            <w:pPr>
              <w:pStyle w:val="TableParagraph"/>
              <w:spacing w:before="5" w:line="205" w:lineRule="exact"/>
              <w:ind w:left="13"/>
              <w:jc w:val="center"/>
              <w:rPr>
                <w:rFonts w:ascii="Calibri" w:hAnsi="Calibri"/>
                <w:sz w:val="18"/>
              </w:rPr>
            </w:pPr>
            <w:r>
              <w:rPr>
                <w:rFonts w:ascii="Calibri" w:hAnsi="Calibri"/>
                <w:sz w:val="18"/>
              </w:rPr>
              <w:t>‐</w:t>
            </w:r>
          </w:p>
        </w:tc>
        <w:tc>
          <w:tcPr>
            <w:tcW w:w="950" w:type="dxa"/>
          </w:tcPr>
          <w:p w:rsidR="007C5447" w:rsidRDefault="007C5447">
            <w:pPr>
              <w:pStyle w:val="TableParagraph"/>
              <w:jc w:val="left"/>
              <w:rPr>
                <w:sz w:val="16"/>
              </w:rPr>
            </w:pPr>
          </w:p>
        </w:tc>
      </w:tr>
      <w:tr w:rsidR="007C5447">
        <w:trPr>
          <w:trHeight w:val="230"/>
        </w:trPr>
        <w:tc>
          <w:tcPr>
            <w:tcW w:w="3158" w:type="dxa"/>
          </w:tcPr>
          <w:p w:rsidR="007C5447" w:rsidRDefault="00F6308C">
            <w:pPr>
              <w:pStyle w:val="TableParagraph"/>
              <w:spacing w:before="11" w:line="199" w:lineRule="exact"/>
              <w:ind w:left="107"/>
              <w:jc w:val="left"/>
              <w:rPr>
                <w:rFonts w:ascii="Calibri"/>
                <w:b/>
                <w:sz w:val="18"/>
              </w:rPr>
            </w:pPr>
            <w:r>
              <w:rPr>
                <w:rFonts w:ascii="Calibri"/>
                <w:b/>
                <w:sz w:val="18"/>
                <w:u w:val="single"/>
              </w:rPr>
              <w:t>RESERVES AND RESERVE FUNDS</w:t>
            </w:r>
          </w:p>
        </w:tc>
        <w:tc>
          <w:tcPr>
            <w:tcW w:w="991"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82" w:type="dxa"/>
          </w:tcPr>
          <w:p w:rsidR="007C5447" w:rsidRDefault="00F6308C">
            <w:pPr>
              <w:pStyle w:val="TableParagraph"/>
              <w:spacing w:before="11" w:line="199" w:lineRule="exact"/>
              <w:ind w:left="288"/>
              <w:jc w:val="left"/>
              <w:rPr>
                <w:rFonts w:ascii="Calibri"/>
                <w:b/>
                <w:i/>
                <w:sz w:val="18"/>
              </w:rPr>
            </w:pPr>
            <w:r>
              <w:rPr>
                <w:rFonts w:ascii="Calibri"/>
                <w:b/>
                <w:i/>
                <w:sz w:val="18"/>
              </w:rPr>
              <w:t>Net Fixed Assets</w:t>
            </w:r>
          </w:p>
        </w:tc>
        <w:tc>
          <w:tcPr>
            <w:tcW w:w="949" w:type="dxa"/>
          </w:tcPr>
          <w:p w:rsidR="007C5447" w:rsidRDefault="00F6308C">
            <w:pPr>
              <w:pStyle w:val="TableParagraph"/>
              <w:spacing w:before="5" w:line="205" w:lineRule="exact"/>
              <w:ind w:left="88" w:right="76"/>
              <w:jc w:val="center"/>
              <w:rPr>
                <w:rFonts w:ascii="Calibri"/>
                <w:b/>
                <w:sz w:val="18"/>
              </w:rPr>
            </w:pPr>
            <w:r>
              <w:rPr>
                <w:rFonts w:ascii="Calibri"/>
                <w:b/>
                <w:sz w:val="18"/>
              </w:rPr>
              <w:t>23,035.92</w:t>
            </w:r>
          </w:p>
        </w:tc>
        <w:tc>
          <w:tcPr>
            <w:tcW w:w="950" w:type="dxa"/>
          </w:tcPr>
          <w:p w:rsidR="007C5447" w:rsidRDefault="007C5447">
            <w:pPr>
              <w:pStyle w:val="TableParagraph"/>
              <w:jc w:val="left"/>
              <w:rPr>
                <w:sz w:val="16"/>
              </w:rPr>
            </w:pPr>
          </w:p>
        </w:tc>
      </w:tr>
      <w:tr w:rsidR="007C5447">
        <w:trPr>
          <w:trHeight w:val="230"/>
        </w:trPr>
        <w:tc>
          <w:tcPr>
            <w:tcW w:w="3158" w:type="dxa"/>
          </w:tcPr>
          <w:p w:rsidR="007C5447" w:rsidRDefault="00F6308C">
            <w:pPr>
              <w:pStyle w:val="TableParagraph"/>
              <w:spacing w:before="11" w:line="199" w:lineRule="exact"/>
              <w:ind w:left="287"/>
              <w:jc w:val="left"/>
              <w:rPr>
                <w:rFonts w:ascii="Calibri"/>
                <w:i/>
                <w:sz w:val="18"/>
              </w:rPr>
            </w:pPr>
            <w:r>
              <w:rPr>
                <w:rFonts w:ascii="Calibri"/>
                <w:i/>
                <w:sz w:val="18"/>
              </w:rPr>
              <w:t>1% Property Insurance Reserves</w:t>
            </w:r>
          </w:p>
        </w:tc>
        <w:tc>
          <w:tcPr>
            <w:tcW w:w="991" w:type="dxa"/>
          </w:tcPr>
          <w:p w:rsidR="007C5447" w:rsidRDefault="00F6308C">
            <w:pPr>
              <w:pStyle w:val="TableParagraph"/>
              <w:spacing w:before="5" w:line="205" w:lineRule="exact"/>
              <w:ind w:left="372"/>
              <w:jc w:val="left"/>
              <w:rPr>
                <w:rFonts w:ascii="Calibri"/>
                <w:sz w:val="18"/>
              </w:rPr>
            </w:pPr>
            <w:r>
              <w:rPr>
                <w:rFonts w:ascii="Calibri"/>
                <w:sz w:val="18"/>
              </w:rPr>
              <w:t>11.26</w:t>
            </w:r>
          </w:p>
        </w:tc>
        <w:tc>
          <w:tcPr>
            <w:tcW w:w="992" w:type="dxa"/>
          </w:tcPr>
          <w:p w:rsidR="007C5447" w:rsidRDefault="007C5447">
            <w:pPr>
              <w:pStyle w:val="TableParagraph"/>
              <w:jc w:val="left"/>
              <w:rPr>
                <w:sz w:val="16"/>
              </w:rPr>
            </w:pPr>
          </w:p>
        </w:tc>
        <w:tc>
          <w:tcPr>
            <w:tcW w:w="3482" w:type="dxa"/>
          </w:tcPr>
          <w:p w:rsidR="007C5447" w:rsidRDefault="00F6308C">
            <w:pPr>
              <w:pStyle w:val="TableParagraph"/>
              <w:spacing w:before="11" w:line="199" w:lineRule="exact"/>
              <w:ind w:left="288"/>
              <w:jc w:val="left"/>
              <w:rPr>
                <w:rFonts w:ascii="Calibri"/>
                <w:b/>
                <w:i/>
                <w:sz w:val="18"/>
              </w:rPr>
            </w:pPr>
            <w:r>
              <w:rPr>
                <w:rFonts w:ascii="Calibri"/>
                <w:b/>
                <w:i/>
                <w:sz w:val="18"/>
              </w:rPr>
              <w:t>Capital Works in Progress</w:t>
            </w:r>
          </w:p>
        </w:tc>
        <w:tc>
          <w:tcPr>
            <w:tcW w:w="949" w:type="dxa"/>
          </w:tcPr>
          <w:p w:rsidR="007C5447" w:rsidRDefault="00F6308C">
            <w:pPr>
              <w:pStyle w:val="TableParagraph"/>
              <w:spacing w:before="5" w:line="205" w:lineRule="exact"/>
              <w:ind w:left="170" w:right="76"/>
              <w:jc w:val="center"/>
              <w:rPr>
                <w:rFonts w:ascii="Calibri"/>
                <w:b/>
                <w:sz w:val="18"/>
              </w:rPr>
            </w:pPr>
            <w:r>
              <w:rPr>
                <w:rFonts w:ascii="Calibri"/>
                <w:b/>
                <w:sz w:val="18"/>
              </w:rPr>
              <w:t>1,481.11</w:t>
            </w:r>
          </w:p>
        </w:tc>
        <w:tc>
          <w:tcPr>
            <w:tcW w:w="950" w:type="dxa"/>
          </w:tcPr>
          <w:p w:rsidR="007C5447" w:rsidRDefault="00F6308C">
            <w:pPr>
              <w:pStyle w:val="TableParagraph"/>
              <w:spacing w:before="5" w:line="205" w:lineRule="exact"/>
              <w:ind w:left="89" w:right="77"/>
              <w:jc w:val="center"/>
              <w:rPr>
                <w:rFonts w:ascii="Calibri"/>
                <w:b/>
                <w:sz w:val="18"/>
              </w:rPr>
            </w:pPr>
            <w:r>
              <w:rPr>
                <w:rFonts w:ascii="Calibri"/>
                <w:b/>
                <w:sz w:val="18"/>
              </w:rPr>
              <w:t>24,517.02</w:t>
            </w:r>
          </w:p>
        </w:tc>
      </w:tr>
      <w:tr w:rsidR="007C5447">
        <w:trPr>
          <w:trHeight w:val="229"/>
        </w:trPr>
        <w:tc>
          <w:tcPr>
            <w:tcW w:w="3158" w:type="dxa"/>
          </w:tcPr>
          <w:p w:rsidR="007C5447" w:rsidRDefault="00F6308C">
            <w:pPr>
              <w:pStyle w:val="TableParagraph"/>
              <w:spacing w:before="11" w:line="199" w:lineRule="exact"/>
              <w:ind w:left="287"/>
              <w:jc w:val="left"/>
              <w:rPr>
                <w:rFonts w:ascii="Calibri"/>
                <w:i/>
                <w:sz w:val="18"/>
              </w:rPr>
            </w:pPr>
            <w:r>
              <w:rPr>
                <w:rFonts w:ascii="Calibri"/>
                <w:i/>
                <w:sz w:val="18"/>
              </w:rPr>
              <w:t>Material cost variance reserves</w:t>
            </w:r>
          </w:p>
        </w:tc>
        <w:tc>
          <w:tcPr>
            <w:tcW w:w="991" w:type="dxa"/>
          </w:tcPr>
          <w:p w:rsidR="007C5447" w:rsidRDefault="00F6308C">
            <w:pPr>
              <w:pStyle w:val="TableParagraph"/>
              <w:spacing w:before="5" w:line="205" w:lineRule="exact"/>
              <w:ind w:left="392"/>
              <w:jc w:val="left"/>
              <w:rPr>
                <w:rFonts w:ascii="Calibri"/>
                <w:sz w:val="18"/>
              </w:rPr>
            </w:pPr>
            <w:r>
              <w:rPr>
                <w:rFonts w:ascii="Calibri"/>
                <w:sz w:val="18"/>
              </w:rPr>
              <w:t>12.82</w:t>
            </w:r>
          </w:p>
        </w:tc>
        <w:tc>
          <w:tcPr>
            <w:tcW w:w="992" w:type="dxa"/>
          </w:tcPr>
          <w:p w:rsidR="007C5447" w:rsidRDefault="007C5447">
            <w:pPr>
              <w:pStyle w:val="TableParagraph"/>
              <w:jc w:val="left"/>
              <w:rPr>
                <w:sz w:val="16"/>
              </w:rPr>
            </w:pPr>
          </w:p>
        </w:tc>
        <w:tc>
          <w:tcPr>
            <w:tcW w:w="3482" w:type="dxa"/>
          </w:tcPr>
          <w:p w:rsidR="007C5447" w:rsidRDefault="007C5447">
            <w:pPr>
              <w:pStyle w:val="TableParagraph"/>
              <w:jc w:val="left"/>
              <w:rPr>
                <w:sz w:val="16"/>
              </w:rPr>
            </w:pPr>
          </w:p>
        </w:tc>
        <w:tc>
          <w:tcPr>
            <w:tcW w:w="949" w:type="dxa"/>
          </w:tcPr>
          <w:p w:rsidR="007C5447" w:rsidRDefault="007C5447">
            <w:pPr>
              <w:pStyle w:val="TableParagraph"/>
              <w:jc w:val="left"/>
              <w:rPr>
                <w:sz w:val="16"/>
              </w:rPr>
            </w:pPr>
          </w:p>
        </w:tc>
        <w:tc>
          <w:tcPr>
            <w:tcW w:w="950" w:type="dxa"/>
          </w:tcPr>
          <w:p w:rsidR="007C5447" w:rsidRDefault="007C5447">
            <w:pPr>
              <w:pStyle w:val="TableParagraph"/>
              <w:jc w:val="left"/>
              <w:rPr>
                <w:sz w:val="16"/>
              </w:rPr>
            </w:pPr>
          </w:p>
        </w:tc>
      </w:tr>
      <w:tr w:rsidR="007C5447">
        <w:trPr>
          <w:trHeight w:val="440"/>
        </w:trPr>
        <w:tc>
          <w:tcPr>
            <w:tcW w:w="3158" w:type="dxa"/>
          </w:tcPr>
          <w:p w:rsidR="007C5447" w:rsidRDefault="00F6308C">
            <w:pPr>
              <w:pStyle w:val="TableParagraph"/>
              <w:spacing w:line="220" w:lineRule="atLeast"/>
              <w:ind w:left="107" w:right="345" w:firstLine="180"/>
              <w:jc w:val="left"/>
              <w:rPr>
                <w:rFonts w:ascii="Calibri"/>
                <w:i/>
                <w:sz w:val="18"/>
              </w:rPr>
            </w:pPr>
            <w:r>
              <w:rPr>
                <w:rFonts w:ascii="Calibri"/>
                <w:i/>
                <w:sz w:val="18"/>
              </w:rPr>
              <w:t>Consumer Contributions, Grants &amp; Subsidies</w:t>
            </w:r>
          </w:p>
        </w:tc>
        <w:tc>
          <w:tcPr>
            <w:tcW w:w="991" w:type="dxa"/>
          </w:tcPr>
          <w:p w:rsidR="007C5447" w:rsidRDefault="00F6308C">
            <w:pPr>
              <w:pStyle w:val="TableParagraph"/>
              <w:spacing w:before="110"/>
              <w:ind w:left="177"/>
              <w:jc w:val="left"/>
              <w:rPr>
                <w:rFonts w:ascii="Calibri"/>
                <w:sz w:val="18"/>
              </w:rPr>
            </w:pPr>
            <w:r>
              <w:rPr>
                <w:rFonts w:ascii="Calibri"/>
                <w:sz w:val="18"/>
              </w:rPr>
              <w:t>1,040.73</w:t>
            </w:r>
          </w:p>
        </w:tc>
        <w:tc>
          <w:tcPr>
            <w:tcW w:w="992" w:type="dxa"/>
          </w:tcPr>
          <w:p w:rsidR="007C5447" w:rsidRDefault="007C5447">
            <w:pPr>
              <w:pStyle w:val="TableParagraph"/>
              <w:jc w:val="left"/>
              <w:rPr>
                <w:sz w:val="20"/>
              </w:rPr>
            </w:pPr>
          </w:p>
        </w:tc>
        <w:tc>
          <w:tcPr>
            <w:tcW w:w="3482" w:type="dxa"/>
          </w:tcPr>
          <w:p w:rsidR="007C5447" w:rsidRDefault="007C5447">
            <w:pPr>
              <w:pStyle w:val="TableParagraph"/>
              <w:spacing w:before="1"/>
              <w:jc w:val="left"/>
              <w:rPr>
                <w:rFonts w:ascii="Arial"/>
                <w:sz w:val="19"/>
              </w:rPr>
            </w:pPr>
          </w:p>
          <w:p w:rsidR="007C5447" w:rsidRDefault="00F6308C">
            <w:pPr>
              <w:pStyle w:val="TableParagraph"/>
              <w:spacing w:line="200" w:lineRule="exact"/>
              <w:ind w:left="108"/>
              <w:jc w:val="left"/>
              <w:rPr>
                <w:rFonts w:ascii="Calibri"/>
                <w:b/>
                <w:sz w:val="18"/>
              </w:rPr>
            </w:pPr>
            <w:r>
              <w:rPr>
                <w:rFonts w:ascii="Calibri"/>
                <w:b/>
                <w:sz w:val="18"/>
                <w:u w:val="single"/>
              </w:rPr>
              <w:t>CURRENT ASSETS, LOANS AND ADVANCES</w:t>
            </w:r>
          </w:p>
        </w:tc>
        <w:tc>
          <w:tcPr>
            <w:tcW w:w="949" w:type="dxa"/>
          </w:tcPr>
          <w:p w:rsidR="007C5447" w:rsidRDefault="007C5447">
            <w:pPr>
              <w:pStyle w:val="TableParagraph"/>
              <w:jc w:val="left"/>
              <w:rPr>
                <w:sz w:val="20"/>
              </w:rPr>
            </w:pPr>
          </w:p>
        </w:tc>
        <w:tc>
          <w:tcPr>
            <w:tcW w:w="950" w:type="dxa"/>
          </w:tcPr>
          <w:p w:rsidR="007C5447" w:rsidRDefault="007C5447">
            <w:pPr>
              <w:pStyle w:val="TableParagraph"/>
              <w:jc w:val="left"/>
              <w:rPr>
                <w:sz w:val="20"/>
              </w:rPr>
            </w:pPr>
          </w:p>
        </w:tc>
      </w:tr>
      <w:tr w:rsidR="007C5447">
        <w:trPr>
          <w:trHeight w:val="438"/>
        </w:trPr>
        <w:tc>
          <w:tcPr>
            <w:tcW w:w="3158" w:type="dxa"/>
          </w:tcPr>
          <w:p w:rsidR="007C5447" w:rsidRDefault="00F6308C">
            <w:pPr>
              <w:pStyle w:val="TableParagraph"/>
              <w:spacing w:line="220" w:lineRule="atLeast"/>
              <w:ind w:left="107" w:right="200" w:firstLine="179"/>
              <w:jc w:val="left"/>
              <w:rPr>
                <w:rFonts w:ascii="Calibri"/>
                <w:i/>
                <w:sz w:val="18"/>
              </w:rPr>
            </w:pPr>
            <w:r>
              <w:rPr>
                <w:rFonts w:ascii="Calibri"/>
                <w:i/>
                <w:sz w:val="18"/>
              </w:rPr>
              <w:t>Revaluation Reserves of Depreciable Assets</w:t>
            </w:r>
          </w:p>
        </w:tc>
        <w:tc>
          <w:tcPr>
            <w:tcW w:w="991" w:type="dxa"/>
          </w:tcPr>
          <w:p w:rsidR="007C5447" w:rsidRDefault="00F6308C">
            <w:pPr>
              <w:pStyle w:val="TableParagraph"/>
              <w:spacing w:before="110"/>
              <w:ind w:left="177"/>
              <w:jc w:val="left"/>
              <w:rPr>
                <w:rFonts w:ascii="Calibri"/>
                <w:sz w:val="18"/>
              </w:rPr>
            </w:pPr>
            <w:r>
              <w:rPr>
                <w:rFonts w:ascii="Calibri"/>
                <w:sz w:val="18"/>
              </w:rPr>
              <w:t>7,163.58</w:t>
            </w:r>
          </w:p>
        </w:tc>
        <w:tc>
          <w:tcPr>
            <w:tcW w:w="992" w:type="dxa"/>
          </w:tcPr>
          <w:p w:rsidR="007C5447" w:rsidRDefault="00F6308C">
            <w:pPr>
              <w:pStyle w:val="TableParagraph"/>
              <w:spacing w:before="110"/>
              <w:ind w:left="178"/>
              <w:jc w:val="left"/>
              <w:rPr>
                <w:rFonts w:ascii="Calibri"/>
                <w:sz w:val="18"/>
              </w:rPr>
            </w:pPr>
            <w:r>
              <w:rPr>
                <w:rFonts w:ascii="Calibri"/>
                <w:sz w:val="18"/>
              </w:rPr>
              <w:t>8,228.39</w:t>
            </w:r>
          </w:p>
        </w:tc>
        <w:tc>
          <w:tcPr>
            <w:tcW w:w="3482" w:type="dxa"/>
          </w:tcPr>
          <w:p w:rsidR="007C5447" w:rsidRDefault="007C5447">
            <w:pPr>
              <w:pStyle w:val="TableParagraph"/>
              <w:spacing w:before="1"/>
              <w:jc w:val="left"/>
              <w:rPr>
                <w:rFonts w:ascii="Arial"/>
                <w:sz w:val="19"/>
              </w:rPr>
            </w:pPr>
          </w:p>
          <w:p w:rsidR="007C5447" w:rsidRDefault="00F6308C">
            <w:pPr>
              <w:pStyle w:val="TableParagraph"/>
              <w:spacing w:line="199" w:lineRule="exact"/>
              <w:ind w:left="288"/>
              <w:jc w:val="left"/>
              <w:rPr>
                <w:rFonts w:ascii="Calibri"/>
                <w:i/>
                <w:sz w:val="18"/>
              </w:rPr>
            </w:pPr>
            <w:r>
              <w:rPr>
                <w:rFonts w:ascii="Calibri"/>
                <w:i/>
                <w:sz w:val="18"/>
              </w:rPr>
              <w:t>Stock</w:t>
            </w:r>
          </w:p>
        </w:tc>
        <w:tc>
          <w:tcPr>
            <w:tcW w:w="949" w:type="dxa"/>
          </w:tcPr>
          <w:p w:rsidR="007C5447" w:rsidRDefault="00F6308C">
            <w:pPr>
              <w:pStyle w:val="TableParagraph"/>
              <w:spacing w:before="110"/>
              <w:ind w:left="88" w:right="74"/>
              <w:jc w:val="center"/>
              <w:rPr>
                <w:rFonts w:ascii="Calibri"/>
                <w:sz w:val="18"/>
              </w:rPr>
            </w:pPr>
            <w:r>
              <w:rPr>
                <w:rFonts w:ascii="Calibri"/>
                <w:sz w:val="18"/>
              </w:rPr>
              <w:t>102.00</w:t>
            </w:r>
          </w:p>
        </w:tc>
        <w:tc>
          <w:tcPr>
            <w:tcW w:w="950" w:type="dxa"/>
          </w:tcPr>
          <w:p w:rsidR="007C5447" w:rsidRDefault="007C5447">
            <w:pPr>
              <w:pStyle w:val="TableParagraph"/>
              <w:jc w:val="left"/>
              <w:rPr>
                <w:sz w:val="20"/>
              </w:rPr>
            </w:pPr>
          </w:p>
        </w:tc>
      </w:tr>
      <w:tr w:rsidR="007C5447">
        <w:trPr>
          <w:trHeight w:val="229"/>
        </w:trPr>
        <w:tc>
          <w:tcPr>
            <w:tcW w:w="3158" w:type="dxa"/>
          </w:tcPr>
          <w:p w:rsidR="007C5447" w:rsidRDefault="007C5447">
            <w:pPr>
              <w:pStyle w:val="TableParagraph"/>
              <w:jc w:val="left"/>
              <w:rPr>
                <w:sz w:val="16"/>
              </w:rPr>
            </w:pPr>
          </w:p>
        </w:tc>
        <w:tc>
          <w:tcPr>
            <w:tcW w:w="991"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82" w:type="dxa"/>
          </w:tcPr>
          <w:p w:rsidR="007C5447" w:rsidRDefault="00F6308C">
            <w:pPr>
              <w:pStyle w:val="TableParagraph"/>
              <w:spacing w:before="9" w:line="199" w:lineRule="exact"/>
              <w:ind w:left="288"/>
              <w:jc w:val="left"/>
              <w:rPr>
                <w:rFonts w:ascii="Calibri"/>
                <w:i/>
                <w:sz w:val="18"/>
              </w:rPr>
            </w:pPr>
            <w:r>
              <w:rPr>
                <w:rFonts w:ascii="Calibri"/>
                <w:i/>
                <w:sz w:val="18"/>
              </w:rPr>
              <w:t>Cash and Bank Balances</w:t>
            </w:r>
          </w:p>
        </w:tc>
        <w:tc>
          <w:tcPr>
            <w:tcW w:w="949" w:type="dxa"/>
          </w:tcPr>
          <w:p w:rsidR="007C5447" w:rsidRDefault="00F6308C">
            <w:pPr>
              <w:pStyle w:val="TableParagraph"/>
              <w:spacing w:before="3" w:line="205" w:lineRule="exact"/>
              <w:ind w:left="88" w:right="34"/>
              <w:jc w:val="center"/>
              <w:rPr>
                <w:rFonts w:ascii="Calibri"/>
                <w:sz w:val="18"/>
              </w:rPr>
            </w:pPr>
            <w:r>
              <w:rPr>
                <w:rFonts w:ascii="Calibri"/>
                <w:sz w:val="18"/>
              </w:rPr>
              <w:t>12.29</w:t>
            </w:r>
          </w:p>
        </w:tc>
        <w:tc>
          <w:tcPr>
            <w:tcW w:w="950" w:type="dxa"/>
          </w:tcPr>
          <w:p w:rsidR="007C5447" w:rsidRDefault="007C5447">
            <w:pPr>
              <w:pStyle w:val="TableParagraph"/>
              <w:jc w:val="left"/>
              <w:rPr>
                <w:sz w:val="16"/>
              </w:rPr>
            </w:pPr>
          </w:p>
        </w:tc>
      </w:tr>
      <w:tr w:rsidR="007C5447">
        <w:trPr>
          <w:trHeight w:val="230"/>
        </w:trPr>
        <w:tc>
          <w:tcPr>
            <w:tcW w:w="3158" w:type="dxa"/>
          </w:tcPr>
          <w:p w:rsidR="007C5447" w:rsidRDefault="00F6308C">
            <w:pPr>
              <w:pStyle w:val="TableParagraph"/>
              <w:spacing w:before="11" w:line="199" w:lineRule="exact"/>
              <w:ind w:left="107"/>
              <w:jc w:val="left"/>
              <w:rPr>
                <w:rFonts w:ascii="Calibri"/>
                <w:b/>
                <w:sz w:val="18"/>
              </w:rPr>
            </w:pPr>
            <w:r>
              <w:rPr>
                <w:rFonts w:ascii="Calibri"/>
                <w:b/>
                <w:sz w:val="18"/>
              </w:rPr>
              <w:t>TOTAL SHAREHOLDERS FUND</w:t>
            </w:r>
          </w:p>
        </w:tc>
        <w:tc>
          <w:tcPr>
            <w:tcW w:w="991" w:type="dxa"/>
          </w:tcPr>
          <w:p w:rsidR="007C5447" w:rsidRDefault="007C5447">
            <w:pPr>
              <w:pStyle w:val="TableParagraph"/>
              <w:jc w:val="left"/>
              <w:rPr>
                <w:sz w:val="16"/>
              </w:rPr>
            </w:pPr>
          </w:p>
        </w:tc>
        <w:tc>
          <w:tcPr>
            <w:tcW w:w="992" w:type="dxa"/>
          </w:tcPr>
          <w:p w:rsidR="007C5447" w:rsidRDefault="00F6308C">
            <w:pPr>
              <w:pStyle w:val="TableParagraph"/>
              <w:spacing w:before="5" w:line="205" w:lineRule="exact"/>
              <w:ind w:left="175"/>
              <w:jc w:val="left"/>
              <w:rPr>
                <w:rFonts w:ascii="Calibri"/>
                <w:b/>
                <w:sz w:val="18"/>
              </w:rPr>
            </w:pPr>
            <w:r>
              <w:rPr>
                <w:rFonts w:ascii="Calibri"/>
                <w:b/>
                <w:sz w:val="18"/>
              </w:rPr>
              <w:t>9,734.54</w:t>
            </w:r>
          </w:p>
        </w:tc>
        <w:tc>
          <w:tcPr>
            <w:tcW w:w="3482" w:type="dxa"/>
          </w:tcPr>
          <w:p w:rsidR="007C5447" w:rsidRDefault="00F6308C">
            <w:pPr>
              <w:pStyle w:val="TableParagraph"/>
              <w:spacing w:before="11" w:line="199" w:lineRule="exact"/>
              <w:ind w:left="288"/>
              <w:jc w:val="left"/>
              <w:rPr>
                <w:rFonts w:ascii="Calibri"/>
                <w:i/>
                <w:sz w:val="18"/>
              </w:rPr>
            </w:pPr>
            <w:r>
              <w:rPr>
                <w:rFonts w:ascii="Calibri"/>
                <w:i/>
                <w:sz w:val="18"/>
              </w:rPr>
              <w:t>Loan and Advances</w:t>
            </w:r>
          </w:p>
        </w:tc>
        <w:tc>
          <w:tcPr>
            <w:tcW w:w="949" w:type="dxa"/>
          </w:tcPr>
          <w:p w:rsidR="007C5447" w:rsidRDefault="00F6308C">
            <w:pPr>
              <w:pStyle w:val="TableParagraph"/>
              <w:spacing w:before="5" w:line="205" w:lineRule="exact"/>
              <w:ind w:left="88" w:right="34"/>
              <w:jc w:val="center"/>
              <w:rPr>
                <w:rFonts w:ascii="Calibri"/>
                <w:sz w:val="18"/>
              </w:rPr>
            </w:pPr>
            <w:r>
              <w:rPr>
                <w:rFonts w:ascii="Calibri"/>
                <w:sz w:val="18"/>
              </w:rPr>
              <w:t>19.40</w:t>
            </w:r>
          </w:p>
        </w:tc>
        <w:tc>
          <w:tcPr>
            <w:tcW w:w="950" w:type="dxa"/>
          </w:tcPr>
          <w:p w:rsidR="007C5447" w:rsidRDefault="007C5447">
            <w:pPr>
              <w:pStyle w:val="TableParagraph"/>
              <w:jc w:val="left"/>
              <w:rPr>
                <w:sz w:val="16"/>
              </w:rPr>
            </w:pPr>
          </w:p>
        </w:tc>
      </w:tr>
      <w:tr w:rsidR="007C5447">
        <w:trPr>
          <w:trHeight w:val="230"/>
        </w:trPr>
        <w:tc>
          <w:tcPr>
            <w:tcW w:w="3158" w:type="dxa"/>
          </w:tcPr>
          <w:p w:rsidR="007C5447" w:rsidRDefault="007C5447">
            <w:pPr>
              <w:pStyle w:val="TableParagraph"/>
              <w:jc w:val="left"/>
              <w:rPr>
                <w:sz w:val="16"/>
              </w:rPr>
            </w:pPr>
          </w:p>
        </w:tc>
        <w:tc>
          <w:tcPr>
            <w:tcW w:w="991" w:type="dxa"/>
          </w:tcPr>
          <w:p w:rsidR="007C5447" w:rsidRDefault="007C5447">
            <w:pPr>
              <w:pStyle w:val="TableParagraph"/>
              <w:jc w:val="left"/>
              <w:rPr>
                <w:sz w:val="16"/>
              </w:rPr>
            </w:pPr>
          </w:p>
        </w:tc>
        <w:tc>
          <w:tcPr>
            <w:tcW w:w="992" w:type="dxa"/>
          </w:tcPr>
          <w:p w:rsidR="007C5447" w:rsidRDefault="007C5447">
            <w:pPr>
              <w:pStyle w:val="TableParagraph"/>
              <w:jc w:val="left"/>
              <w:rPr>
                <w:sz w:val="16"/>
              </w:rPr>
            </w:pPr>
          </w:p>
        </w:tc>
        <w:tc>
          <w:tcPr>
            <w:tcW w:w="3482" w:type="dxa"/>
          </w:tcPr>
          <w:p w:rsidR="007C5447" w:rsidRDefault="00F6308C">
            <w:pPr>
              <w:pStyle w:val="TableParagraph"/>
              <w:spacing w:before="11" w:line="199" w:lineRule="exact"/>
              <w:ind w:left="288"/>
              <w:jc w:val="left"/>
              <w:rPr>
                <w:rFonts w:ascii="Calibri"/>
                <w:i/>
                <w:sz w:val="18"/>
              </w:rPr>
            </w:pPr>
            <w:r>
              <w:rPr>
                <w:rFonts w:ascii="Calibri"/>
                <w:i/>
                <w:sz w:val="18"/>
              </w:rPr>
              <w:t>Sundry Receivables</w:t>
            </w:r>
          </w:p>
        </w:tc>
        <w:tc>
          <w:tcPr>
            <w:tcW w:w="949" w:type="dxa"/>
          </w:tcPr>
          <w:p w:rsidR="007C5447" w:rsidRDefault="00F6308C">
            <w:pPr>
              <w:pStyle w:val="TableParagraph"/>
              <w:spacing w:before="5" w:line="205" w:lineRule="exact"/>
              <w:ind w:left="88" w:right="34"/>
              <w:jc w:val="center"/>
              <w:rPr>
                <w:rFonts w:ascii="Calibri"/>
                <w:sz w:val="18"/>
              </w:rPr>
            </w:pPr>
            <w:r>
              <w:rPr>
                <w:rFonts w:ascii="Calibri"/>
                <w:sz w:val="18"/>
              </w:rPr>
              <w:t>12.69</w:t>
            </w:r>
          </w:p>
        </w:tc>
        <w:tc>
          <w:tcPr>
            <w:tcW w:w="950" w:type="dxa"/>
          </w:tcPr>
          <w:p w:rsidR="007C5447" w:rsidRDefault="007C5447">
            <w:pPr>
              <w:pStyle w:val="TableParagraph"/>
              <w:jc w:val="left"/>
              <w:rPr>
                <w:sz w:val="16"/>
              </w:rPr>
            </w:pPr>
          </w:p>
        </w:tc>
      </w:tr>
      <w:tr w:rsidR="007C5447">
        <w:trPr>
          <w:trHeight w:val="440"/>
        </w:trPr>
        <w:tc>
          <w:tcPr>
            <w:tcW w:w="3158" w:type="dxa"/>
          </w:tcPr>
          <w:p w:rsidR="007C5447" w:rsidRDefault="007C5447">
            <w:pPr>
              <w:pStyle w:val="TableParagraph"/>
              <w:spacing w:before="1"/>
              <w:jc w:val="left"/>
              <w:rPr>
                <w:rFonts w:ascii="Arial"/>
                <w:sz w:val="19"/>
              </w:rPr>
            </w:pPr>
          </w:p>
          <w:p w:rsidR="007C5447" w:rsidRDefault="00F6308C">
            <w:pPr>
              <w:pStyle w:val="TableParagraph"/>
              <w:spacing w:line="200" w:lineRule="exact"/>
              <w:ind w:left="107"/>
              <w:jc w:val="left"/>
              <w:rPr>
                <w:rFonts w:ascii="Calibri"/>
                <w:b/>
                <w:sz w:val="18"/>
              </w:rPr>
            </w:pPr>
            <w:r>
              <w:rPr>
                <w:rFonts w:ascii="Calibri"/>
                <w:b/>
                <w:sz w:val="18"/>
                <w:u w:val="single"/>
              </w:rPr>
              <w:t>LOAN FUNDS</w:t>
            </w:r>
          </w:p>
        </w:tc>
        <w:tc>
          <w:tcPr>
            <w:tcW w:w="991" w:type="dxa"/>
          </w:tcPr>
          <w:p w:rsidR="007C5447" w:rsidRDefault="007C5447">
            <w:pPr>
              <w:pStyle w:val="TableParagraph"/>
              <w:jc w:val="left"/>
              <w:rPr>
                <w:sz w:val="20"/>
              </w:rPr>
            </w:pPr>
          </w:p>
        </w:tc>
        <w:tc>
          <w:tcPr>
            <w:tcW w:w="992" w:type="dxa"/>
          </w:tcPr>
          <w:p w:rsidR="007C5447" w:rsidRDefault="007C5447">
            <w:pPr>
              <w:pStyle w:val="TableParagraph"/>
              <w:jc w:val="left"/>
              <w:rPr>
                <w:sz w:val="20"/>
              </w:rPr>
            </w:pPr>
          </w:p>
        </w:tc>
        <w:tc>
          <w:tcPr>
            <w:tcW w:w="3482" w:type="dxa"/>
          </w:tcPr>
          <w:p w:rsidR="007C5447" w:rsidRDefault="00F6308C">
            <w:pPr>
              <w:pStyle w:val="TableParagraph"/>
              <w:spacing w:line="220" w:lineRule="atLeast"/>
              <w:ind w:left="108" w:right="546" w:hanging="1"/>
              <w:jc w:val="left"/>
              <w:rPr>
                <w:rFonts w:ascii="Calibri"/>
                <w:b/>
                <w:sz w:val="18"/>
              </w:rPr>
            </w:pPr>
            <w:r>
              <w:rPr>
                <w:rFonts w:ascii="Calibri"/>
                <w:b/>
                <w:sz w:val="18"/>
              </w:rPr>
              <w:t>TOTAL CURRENT ASSETS, LOANS AND ADVANCES</w:t>
            </w:r>
          </w:p>
        </w:tc>
        <w:tc>
          <w:tcPr>
            <w:tcW w:w="949" w:type="dxa"/>
          </w:tcPr>
          <w:p w:rsidR="007C5447" w:rsidRDefault="00F6308C">
            <w:pPr>
              <w:pStyle w:val="TableParagraph"/>
              <w:spacing w:before="110"/>
              <w:ind w:left="25" w:right="76"/>
              <w:jc w:val="center"/>
              <w:rPr>
                <w:rFonts w:ascii="Calibri"/>
                <w:b/>
                <w:sz w:val="18"/>
              </w:rPr>
            </w:pPr>
            <w:r>
              <w:rPr>
                <w:rFonts w:ascii="Calibri"/>
                <w:b/>
                <w:sz w:val="18"/>
              </w:rPr>
              <w:t>146.37</w:t>
            </w:r>
          </w:p>
        </w:tc>
        <w:tc>
          <w:tcPr>
            <w:tcW w:w="950" w:type="dxa"/>
          </w:tcPr>
          <w:p w:rsidR="007C5447" w:rsidRDefault="007C5447">
            <w:pPr>
              <w:pStyle w:val="TableParagraph"/>
              <w:jc w:val="left"/>
              <w:rPr>
                <w:sz w:val="20"/>
              </w:rPr>
            </w:pPr>
          </w:p>
        </w:tc>
      </w:tr>
      <w:tr w:rsidR="007C5447">
        <w:trPr>
          <w:trHeight w:val="230"/>
        </w:trPr>
        <w:tc>
          <w:tcPr>
            <w:tcW w:w="3158" w:type="dxa"/>
          </w:tcPr>
          <w:p w:rsidR="007C5447" w:rsidRDefault="00F6308C">
            <w:pPr>
              <w:pStyle w:val="TableParagraph"/>
              <w:spacing w:before="11" w:line="199" w:lineRule="exact"/>
              <w:ind w:left="107"/>
              <w:jc w:val="left"/>
              <w:rPr>
                <w:rFonts w:ascii="Calibri"/>
                <w:i/>
                <w:sz w:val="18"/>
              </w:rPr>
            </w:pPr>
            <w:r>
              <w:rPr>
                <w:rFonts w:ascii="Calibri"/>
                <w:i/>
                <w:sz w:val="18"/>
              </w:rPr>
              <w:t>Rural Electrification Corporation (REC)</w:t>
            </w:r>
          </w:p>
        </w:tc>
        <w:tc>
          <w:tcPr>
            <w:tcW w:w="991" w:type="dxa"/>
          </w:tcPr>
          <w:p w:rsidR="007C5447" w:rsidRDefault="00F6308C">
            <w:pPr>
              <w:pStyle w:val="TableParagraph"/>
              <w:spacing w:before="5" w:line="205" w:lineRule="exact"/>
              <w:ind w:left="177"/>
              <w:jc w:val="left"/>
              <w:rPr>
                <w:rFonts w:ascii="Calibri"/>
                <w:sz w:val="18"/>
              </w:rPr>
            </w:pPr>
            <w:r>
              <w:rPr>
                <w:rFonts w:ascii="Calibri"/>
                <w:sz w:val="18"/>
              </w:rPr>
              <w:t>1,448.87</w:t>
            </w:r>
          </w:p>
        </w:tc>
        <w:tc>
          <w:tcPr>
            <w:tcW w:w="992" w:type="dxa"/>
          </w:tcPr>
          <w:p w:rsidR="007C5447" w:rsidRDefault="007C5447">
            <w:pPr>
              <w:pStyle w:val="TableParagraph"/>
              <w:jc w:val="left"/>
              <w:rPr>
                <w:sz w:val="16"/>
              </w:rPr>
            </w:pPr>
          </w:p>
        </w:tc>
        <w:tc>
          <w:tcPr>
            <w:tcW w:w="3482" w:type="dxa"/>
          </w:tcPr>
          <w:p w:rsidR="007C5447" w:rsidRDefault="007C5447">
            <w:pPr>
              <w:pStyle w:val="TableParagraph"/>
              <w:jc w:val="left"/>
              <w:rPr>
                <w:sz w:val="16"/>
              </w:rPr>
            </w:pPr>
          </w:p>
        </w:tc>
        <w:tc>
          <w:tcPr>
            <w:tcW w:w="949" w:type="dxa"/>
          </w:tcPr>
          <w:p w:rsidR="007C5447" w:rsidRDefault="007C5447">
            <w:pPr>
              <w:pStyle w:val="TableParagraph"/>
              <w:jc w:val="left"/>
              <w:rPr>
                <w:sz w:val="16"/>
              </w:rPr>
            </w:pPr>
          </w:p>
        </w:tc>
        <w:tc>
          <w:tcPr>
            <w:tcW w:w="950" w:type="dxa"/>
          </w:tcPr>
          <w:p w:rsidR="007C5447" w:rsidRDefault="007C5447">
            <w:pPr>
              <w:pStyle w:val="TableParagraph"/>
              <w:jc w:val="left"/>
              <w:rPr>
                <w:sz w:val="16"/>
              </w:rPr>
            </w:pPr>
          </w:p>
        </w:tc>
      </w:tr>
      <w:tr w:rsidR="007C5447">
        <w:trPr>
          <w:trHeight w:val="438"/>
        </w:trPr>
        <w:tc>
          <w:tcPr>
            <w:tcW w:w="3158" w:type="dxa"/>
          </w:tcPr>
          <w:p w:rsidR="007C5447" w:rsidRDefault="007C5447">
            <w:pPr>
              <w:pStyle w:val="TableParagraph"/>
              <w:spacing w:before="1"/>
              <w:jc w:val="left"/>
              <w:rPr>
                <w:rFonts w:ascii="Arial"/>
                <w:sz w:val="19"/>
              </w:rPr>
            </w:pPr>
          </w:p>
          <w:p w:rsidR="007C5447" w:rsidRDefault="00F6308C">
            <w:pPr>
              <w:pStyle w:val="TableParagraph"/>
              <w:spacing w:line="199" w:lineRule="exact"/>
              <w:ind w:left="287"/>
              <w:jc w:val="left"/>
              <w:rPr>
                <w:rFonts w:ascii="Calibri"/>
                <w:i/>
                <w:sz w:val="18"/>
              </w:rPr>
            </w:pPr>
            <w:r>
              <w:rPr>
                <w:rFonts w:ascii="Calibri"/>
                <w:i/>
                <w:sz w:val="18"/>
              </w:rPr>
              <w:t>Power Finance Corporation (PFC)</w:t>
            </w:r>
          </w:p>
        </w:tc>
        <w:tc>
          <w:tcPr>
            <w:tcW w:w="991" w:type="dxa"/>
          </w:tcPr>
          <w:p w:rsidR="007C5447" w:rsidRDefault="00F6308C">
            <w:pPr>
              <w:pStyle w:val="TableParagraph"/>
              <w:spacing w:before="110"/>
              <w:ind w:left="306"/>
              <w:jc w:val="left"/>
              <w:rPr>
                <w:rFonts w:ascii="Calibri"/>
                <w:sz w:val="18"/>
              </w:rPr>
            </w:pPr>
            <w:r>
              <w:rPr>
                <w:rFonts w:ascii="Calibri"/>
                <w:sz w:val="18"/>
              </w:rPr>
              <w:t>662.35</w:t>
            </w:r>
          </w:p>
        </w:tc>
        <w:tc>
          <w:tcPr>
            <w:tcW w:w="992" w:type="dxa"/>
          </w:tcPr>
          <w:p w:rsidR="007C5447" w:rsidRDefault="007C5447">
            <w:pPr>
              <w:pStyle w:val="TableParagraph"/>
              <w:jc w:val="left"/>
              <w:rPr>
                <w:sz w:val="20"/>
              </w:rPr>
            </w:pPr>
          </w:p>
        </w:tc>
        <w:tc>
          <w:tcPr>
            <w:tcW w:w="3482" w:type="dxa"/>
          </w:tcPr>
          <w:p w:rsidR="007C5447" w:rsidRDefault="00F6308C">
            <w:pPr>
              <w:pStyle w:val="TableParagraph"/>
              <w:spacing w:line="220" w:lineRule="atLeast"/>
              <w:ind w:left="108" w:right="969"/>
              <w:jc w:val="left"/>
              <w:rPr>
                <w:rFonts w:ascii="Calibri"/>
                <w:b/>
                <w:sz w:val="18"/>
              </w:rPr>
            </w:pPr>
            <w:r>
              <w:rPr>
                <w:rFonts w:ascii="Calibri"/>
                <w:b/>
                <w:sz w:val="18"/>
                <w:u w:val="single"/>
              </w:rPr>
              <w:t>LESS: CURRENT LIABILITIES AND</w:t>
            </w:r>
            <w:r>
              <w:rPr>
                <w:rFonts w:ascii="Calibri"/>
                <w:b/>
                <w:sz w:val="18"/>
              </w:rPr>
              <w:t xml:space="preserve"> </w:t>
            </w:r>
            <w:r>
              <w:rPr>
                <w:rFonts w:ascii="Calibri"/>
                <w:b/>
                <w:sz w:val="18"/>
                <w:u w:val="single"/>
              </w:rPr>
              <w:t>PROVISIONS</w:t>
            </w:r>
          </w:p>
        </w:tc>
        <w:tc>
          <w:tcPr>
            <w:tcW w:w="949" w:type="dxa"/>
          </w:tcPr>
          <w:p w:rsidR="007C5447" w:rsidRDefault="007C5447">
            <w:pPr>
              <w:pStyle w:val="TableParagraph"/>
              <w:jc w:val="left"/>
              <w:rPr>
                <w:sz w:val="20"/>
              </w:rPr>
            </w:pPr>
          </w:p>
        </w:tc>
        <w:tc>
          <w:tcPr>
            <w:tcW w:w="950" w:type="dxa"/>
          </w:tcPr>
          <w:p w:rsidR="007C5447" w:rsidRDefault="007C5447">
            <w:pPr>
              <w:pStyle w:val="TableParagraph"/>
              <w:jc w:val="left"/>
              <w:rPr>
                <w:sz w:val="20"/>
              </w:rPr>
            </w:pPr>
          </w:p>
        </w:tc>
      </w:tr>
      <w:tr w:rsidR="007C5447">
        <w:trPr>
          <w:trHeight w:val="439"/>
        </w:trPr>
        <w:tc>
          <w:tcPr>
            <w:tcW w:w="3158" w:type="dxa"/>
          </w:tcPr>
          <w:p w:rsidR="007C5447" w:rsidRDefault="00F6308C">
            <w:pPr>
              <w:pStyle w:val="TableParagraph"/>
              <w:spacing w:line="218" w:lineRule="exact"/>
              <w:ind w:left="107"/>
              <w:jc w:val="left"/>
              <w:rPr>
                <w:rFonts w:ascii="Calibri"/>
                <w:i/>
                <w:sz w:val="18"/>
              </w:rPr>
            </w:pPr>
            <w:r>
              <w:rPr>
                <w:rFonts w:ascii="Calibri"/>
                <w:i/>
                <w:sz w:val="18"/>
              </w:rPr>
              <w:t>Tamil Nadu Power Finance Corporation</w:t>
            </w:r>
          </w:p>
          <w:p w:rsidR="007C5447" w:rsidRDefault="00F6308C">
            <w:pPr>
              <w:pStyle w:val="TableParagraph"/>
              <w:spacing w:line="200" w:lineRule="exact"/>
              <w:ind w:left="107"/>
              <w:jc w:val="left"/>
              <w:rPr>
                <w:rFonts w:ascii="Calibri"/>
                <w:i/>
                <w:sz w:val="18"/>
              </w:rPr>
            </w:pPr>
            <w:r>
              <w:rPr>
                <w:rFonts w:ascii="Calibri"/>
                <w:i/>
                <w:sz w:val="18"/>
              </w:rPr>
              <w:t>(TNPFC)</w:t>
            </w:r>
          </w:p>
        </w:tc>
        <w:tc>
          <w:tcPr>
            <w:tcW w:w="991" w:type="dxa"/>
          </w:tcPr>
          <w:p w:rsidR="007C5447" w:rsidRDefault="00F6308C">
            <w:pPr>
              <w:pStyle w:val="TableParagraph"/>
              <w:spacing w:before="109"/>
              <w:ind w:left="177"/>
              <w:jc w:val="left"/>
              <w:rPr>
                <w:rFonts w:ascii="Calibri"/>
                <w:sz w:val="18"/>
              </w:rPr>
            </w:pPr>
            <w:r>
              <w:rPr>
                <w:rFonts w:ascii="Calibri"/>
                <w:sz w:val="18"/>
              </w:rPr>
              <w:t>3,180.57</w:t>
            </w:r>
          </w:p>
        </w:tc>
        <w:tc>
          <w:tcPr>
            <w:tcW w:w="992" w:type="dxa"/>
          </w:tcPr>
          <w:p w:rsidR="007C5447" w:rsidRDefault="007C5447">
            <w:pPr>
              <w:pStyle w:val="TableParagraph"/>
              <w:jc w:val="left"/>
              <w:rPr>
                <w:sz w:val="20"/>
              </w:rPr>
            </w:pPr>
          </w:p>
        </w:tc>
        <w:tc>
          <w:tcPr>
            <w:tcW w:w="3482" w:type="dxa"/>
          </w:tcPr>
          <w:p w:rsidR="007C5447" w:rsidRDefault="00F6308C">
            <w:pPr>
              <w:pStyle w:val="TableParagraph"/>
              <w:spacing w:line="218" w:lineRule="exact"/>
              <w:ind w:left="288"/>
              <w:jc w:val="left"/>
              <w:rPr>
                <w:rFonts w:ascii="Calibri"/>
                <w:i/>
                <w:sz w:val="18"/>
              </w:rPr>
            </w:pPr>
            <w:r>
              <w:rPr>
                <w:rFonts w:ascii="Calibri"/>
                <w:i/>
                <w:sz w:val="18"/>
              </w:rPr>
              <w:t>Staff Related Liabilities, Provision and</w:t>
            </w:r>
          </w:p>
          <w:p w:rsidR="007C5447" w:rsidRDefault="00F6308C">
            <w:pPr>
              <w:pStyle w:val="TableParagraph"/>
              <w:spacing w:line="200" w:lineRule="exact"/>
              <w:ind w:left="108"/>
              <w:jc w:val="left"/>
              <w:rPr>
                <w:rFonts w:ascii="Calibri"/>
                <w:i/>
                <w:sz w:val="18"/>
              </w:rPr>
            </w:pPr>
            <w:r>
              <w:rPr>
                <w:rFonts w:ascii="Calibri"/>
                <w:i/>
                <w:sz w:val="18"/>
              </w:rPr>
              <w:t>Contribution from Staff</w:t>
            </w:r>
          </w:p>
        </w:tc>
        <w:tc>
          <w:tcPr>
            <w:tcW w:w="949" w:type="dxa"/>
          </w:tcPr>
          <w:p w:rsidR="007C5447" w:rsidRDefault="00F6308C">
            <w:pPr>
              <w:pStyle w:val="TableParagraph"/>
              <w:spacing w:before="109"/>
              <w:ind w:left="88" w:right="75"/>
              <w:jc w:val="center"/>
              <w:rPr>
                <w:rFonts w:ascii="Calibri"/>
                <w:sz w:val="18"/>
              </w:rPr>
            </w:pPr>
            <w:r>
              <w:rPr>
                <w:rFonts w:ascii="Calibri"/>
                <w:sz w:val="18"/>
              </w:rPr>
              <w:t>150.82</w:t>
            </w:r>
          </w:p>
        </w:tc>
        <w:tc>
          <w:tcPr>
            <w:tcW w:w="950" w:type="dxa"/>
          </w:tcPr>
          <w:p w:rsidR="007C5447" w:rsidRDefault="007C5447">
            <w:pPr>
              <w:pStyle w:val="TableParagraph"/>
              <w:jc w:val="left"/>
              <w:rPr>
                <w:sz w:val="20"/>
              </w:rPr>
            </w:pPr>
          </w:p>
        </w:tc>
      </w:tr>
      <w:tr w:rsidR="007C5447">
        <w:trPr>
          <w:trHeight w:val="230"/>
        </w:trPr>
        <w:tc>
          <w:tcPr>
            <w:tcW w:w="3158" w:type="dxa"/>
          </w:tcPr>
          <w:p w:rsidR="007C5447" w:rsidRDefault="00F6308C">
            <w:pPr>
              <w:pStyle w:val="TableParagraph"/>
              <w:spacing w:before="11" w:line="199" w:lineRule="exact"/>
              <w:ind w:left="287"/>
              <w:jc w:val="left"/>
              <w:rPr>
                <w:rFonts w:ascii="Calibri"/>
                <w:i/>
                <w:sz w:val="18"/>
              </w:rPr>
            </w:pPr>
            <w:r>
              <w:rPr>
                <w:rFonts w:ascii="Calibri"/>
                <w:i/>
                <w:sz w:val="18"/>
              </w:rPr>
              <w:t>Medium Term Loans</w:t>
            </w:r>
          </w:p>
        </w:tc>
        <w:tc>
          <w:tcPr>
            <w:tcW w:w="991" w:type="dxa"/>
          </w:tcPr>
          <w:p w:rsidR="007C5447" w:rsidRDefault="00F6308C">
            <w:pPr>
              <w:pStyle w:val="TableParagraph"/>
              <w:spacing w:before="5" w:line="205" w:lineRule="exact"/>
              <w:ind w:left="177"/>
              <w:jc w:val="left"/>
              <w:rPr>
                <w:rFonts w:ascii="Calibri"/>
                <w:sz w:val="18"/>
              </w:rPr>
            </w:pPr>
            <w:r>
              <w:rPr>
                <w:rFonts w:ascii="Calibri"/>
                <w:sz w:val="18"/>
              </w:rPr>
              <w:t>1,952.75</w:t>
            </w:r>
          </w:p>
        </w:tc>
        <w:tc>
          <w:tcPr>
            <w:tcW w:w="992" w:type="dxa"/>
          </w:tcPr>
          <w:p w:rsidR="007C5447" w:rsidRDefault="007C5447">
            <w:pPr>
              <w:pStyle w:val="TableParagraph"/>
              <w:jc w:val="left"/>
              <w:rPr>
                <w:sz w:val="16"/>
              </w:rPr>
            </w:pPr>
          </w:p>
        </w:tc>
        <w:tc>
          <w:tcPr>
            <w:tcW w:w="3482" w:type="dxa"/>
          </w:tcPr>
          <w:p w:rsidR="007C5447" w:rsidRDefault="00F6308C">
            <w:pPr>
              <w:pStyle w:val="TableParagraph"/>
              <w:spacing w:before="11" w:line="199" w:lineRule="exact"/>
              <w:ind w:left="288"/>
              <w:jc w:val="left"/>
              <w:rPr>
                <w:rFonts w:ascii="Calibri"/>
                <w:i/>
                <w:sz w:val="18"/>
              </w:rPr>
            </w:pPr>
            <w:r>
              <w:rPr>
                <w:rFonts w:ascii="Calibri"/>
                <w:i/>
                <w:sz w:val="18"/>
              </w:rPr>
              <w:t>Other Current Liabilities</w:t>
            </w:r>
          </w:p>
        </w:tc>
        <w:tc>
          <w:tcPr>
            <w:tcW w:w="949" w:type="dxa"/>
          </w:tcPr>
          <w:p w:rsidR="007C5447" w:rsidRDefault="00F6308C">
            <w:pPr>
              <w:pStyle w:val="TableParagraph"/>
              <w:spacing w:before="5" w:line="205" w:lineRule="exact"/>
              <w:ind w:left="88" w:right="75"/>
              <w:jc w:val="center"/>
              <w:rPr>
                <w:rFonts w:ascii="Calibri"/>
                <w:sz w:val="18"/>
              </w:rPr>
            </w:pPr>
            <w:r>
              <w:rPr>
                <w:rFonts w:ascii="Calibri"/>
                <w:sz w:val="18"/>
              </w:rPr>
              <w:t>556.50</w:t>
            </w:r>
          </w:p>
        </w:tc>
        <w:tc>
          <w:tcPr>
            <w:tcW w:w="950" w:type="dxa"/>
          </w:tcPr>
          <w:p w:rsidR="007C5447" w:rsidRDefault="007C5447">
            <w:pPr>
              <w:pStyle w:val="TableParagraph"/>
              <w:jc w:val="left"/>
              <w:rPr>
                <w:sz w:val="16"/>
              </w:rPr>
            </w:pPr>
          </w:p>
        </w:tc>
      </w:tr>
      <w:tr w:rsidR="007C5447">
        <w:trPr>
          <w:trHeight w:val="230"/>
        </w:trPr>
        <w:tc>
          <w:tcPr>
            <w:tcW w:w="3158" w:type="dxa"/>
          </w:tcPr>
          <w:p w:rsidR="007C5447" w:rsidRDefault="00F6308C">
            <w:pPr>
              <w:pStyle w:val="TableParagraph"/>
              <w:spacing w:before="11" w:line="199" w:lineRule="exact"/>
              <w:ind w:left="287"/>
              <w:jc w:val="left"/>
              <w:rPr>
                <w:rFonts w:ascii="Calibri"/>
                <w:i/>
                <w:sz w:val="18"/>
              </w:rPr>
            </w:pPr>
            <w:r>
              <w:rPr>
                <w:rFonts w:ascii="Calibri"/>
                <w:i/>
                <w:sz w:val="18"/>
              </w:rPr>
              <w:t>TNEB Bonds</w:t>
            </w:r>
          </w:p>
        </w:tc>
        <w:tc>
          <w:tcPr>
            <w:tcW w:w="991" w:type="dxa"/>
          </w:tcPr>
          <w:p w:rsidR="007C5447" w:rsidRDefault="00F6308C">
            <w:pPr>
              <w:pStyle w:val="TableParagraph"/>
              <w:spacing w:before="5" w:line="205" w:lineRule="exact"/>
              <w:ind w:left="177"/>
              <w:jc w:val="left"/>
              <w:rPr>
                <w:rFonts w:ascii="Calibri"/>
                <w:sz w:val="18"/>
              </w:rPr>
            </w:pPr>
            <w:r>
              <w:rPr>
                <w:rFonts w:ascii="Calibri"/>
                <w:sz w:val="18"/>
              </w:rPr>
              <w:t>2,860.66</w:t>
            </w:r>
          </w:p>
        </w:tc>
        <w:tc>
          <w:tcPr>
            <w:tcW w:w="992" w:type="dxa"/>
          </w:tcPr>
          <w:p w:rsidR="007C5447" w:rsidRDefault="007C5447">
            <w:pPr>
              <w:pStyle w:val="TableParagraph"/>
              <w:jc w:val="left"/>
              <w:rPr>
                <w:sz w:val="16"/>
              </w:rPr>
            </w:pPr>
          </w:p>
        </w:tc>
        <w:tc>
          <w:tcPr>
            <w:tcW w:w="3482" w:type="dxa"/>
          </w:tcPr>
          <w:p w:rsidR="007C5447" w:rsidRDefault="00F6308C">
            <w:pPr>
              <w:pStyle w:val="TableParagraph"/>
              <w:spacing w:before="11" w:line="199" w:lineRule="exact"/>
              <w:ind w:left="108"/>
              <w:jc w:val="left"/>
              <w:rPr>
                <w:rFonts w:ascii="Calibri"/>
                <w:b/>
                <w:sz w:val="18"/>
              </w:rPr>
            </w:pPr>
            <w:r>
              <w:rPr>
                <w:rFonts w:ascii="Calibri"/>
                <w:b/>
                <w:sz w:val="18"/>
              </w:rPr>
              <w:t>TOTAL CURRENT LIABILITIES</w:t>
            </w:r>
          </w:p>
        </w:tc>
        <w:tc>
          <w:tcPr>
            <w:tcW w:w="949" w:type="dxa"/>
          </w:tcPr>
          <w:p w:rsidR="007C5447" w:rsidRDefault="00F6308C">
            <w:pPr>
              <w:pStyle w:val="TableParagraph"/>
              <w:spacing w:before="5" w:line="205" w:lineRule="exact"/>
              <w:ind w:left="88" w:right="74"/>
              <w:jc w:val="center"/>
              <w:rPr>
                <w:rFonts w:ascii="Calibri"/>
                <w:b/>
                <w:sz w:val="18"/>
              </w:rPr>
            </w:pPr>
            <w:r>
              <w:rPr>
                <w:rFonts w:ascii="Calibri"/>
                <w:b/>
                <w:sz w:val="18"/>
              </w:rPr>
              <w:t>707.33</w:t>
            </w:r>
          </w:p>
        </w:tc>
        <w:tc>
          <w:tcPr>
            <w:tcW w:w="950" w:type="dxa"/>
          </w:tcPr>
          <w:p w:rsidR="007C5447" w:rsidRDefault="007C5447">
            <w:pPr>
              <w:pStyle w:val="TableParagraph"/>
              <w:jc w:val="left"/>
              <w:rPr>
                <w:sz w:val="16"/>
              </w:rPr>
            </w:pPr>
          </w:p>
        </w:tc>
      </w:tr>
      <w:tr w:rsidR="007C5447">
        <w:trPr>
          <w:trHeight w:val="230"/>
        </w:trPr>
        <w:tc>
          <w:tcPr>
            <w:tcW w:w="3158" w:type="dxa"/>
          </w:tcPr>
          <w:p w:rsidR="007C5447" w:rsidRDefault="00F6308C">
            <w:pPr>
              <w:pStyle w:val="TableParagraph"/>
              <w:spacing w:before="11" w:line="199" w:lineRule="exact"/>
              <w:ind w:left="287"/>
              <w:jc w:val="left"/>
              <w:rPr>
                <w:rFonts w:ascii="Calibri"/>
                <w:i/>
                <w:sz w:val="18"/>
              </w:rPr>
            </w:pPr>
            <w:r>
              <w:rPr>
                <w:rFonts w:ascii="Calibri"/>
                <w:i/>
                <w:sz w:val="18"/>
              </w:rPr>
              <w:t>Life Insurance Corporation (LIC)</w:t>
            </w:r>
          </w:p>
        </w:tc>
        <w:tc>
          <w:tcPr>
            <w:tcW w:w="991" w:type="dxa"/>
          </w:tcPr>
          <w:p w:rsidR="007C5447" w:rsidRDefault="00F6308C">
            <w:pPr>
              <w:pStyle w:val="TableParagraph"/>
              <w:spacing w:before="5" w:line="205" w:lineRule="exact"/>
              <w:ind w:left="326"/>
              <w:jc w:val="left"/>
              <w:rPr>
                <w:rFonts w:ascii="Calibri"/>
                <w:sz w:val="18"/>
              </w:rPr>
            </w:pPr>
            <w:r>
              <w:rPr>
                <w:rFonts w:ascii="Calibri"/>
                <w:sz w:val="18"/>
              </w:rPr>
              <w:t>880.87</w:t>
            </w:r>
          </w:p>
        </w:tc>
        <w:tc>
          <w:tcPr>
            <w:tcW w:w="992" w:type="dxa"/>
          </w:tcPr>
          <w:p w:rsidR="007C5447" w:rsidRDefault="007C5447">
            <w:pPr>
              <w:pStyle w:val="TableParagraph"/>
              <w:jc w:val="left"/>
              <w:rPr>
                <w:sz w:val="16"/>
              </w:rPr>
            </w:pPr>
          </w:p>
        </w:tc>
        <w:tc>
          <w:tcPr>
            <w:tcW w:w="3482" w:type="dxa"/>
          </w:tcPr>
          <w:p w:rsidR="007C5447" w:rsidRDefault="007C5447">
            <w:pPr>
              <w:pStyle w:val="TableParagraph"/>
              <w:jc w:val="left"/>
              <w:rPr>
                <w:sz w:val="16"/>
              </w:rPr>
            </w:pPr>
          </w:p>
        </w:tc>
        <w:tc>
          <w:tcPr>
            <w:tcW w:w="949" w:type="dxa"/>
          </w:tcPr>
          <w:p w:rsidR="007C5447" w:rsidRDefault="007C5447">
            <w:pPr>
              <w:pStyle w:val="TableParagraph"/>
              <w:jc w:val="left"/>
              <w:rPr>
                <w:sz w:val="16"/>
              </w:rPr>
            </w:pPr>
          </w:p>
        </w:tc>
        <w:tc>
          <w:tcPr>
            <w:tcW w:w="950" w:type="dxa"/>
          </w:tcPr>
          <w:p w:rsidR="007C5447" w:rsidRDefault="007C5447">
            <w:pPr>
              <w:pStyle w:val="TableParagraph"/>
              <w:jc w:val="left"/>
              <w:rPr>
                <w:sz w:val="16"/>
              </w:rPr>
            </w:pPr>
          </w:p>
        </w:tc>
      </w:tr>
      <w:tr w:rsidR="007C5447">
        <w:trPr>
          <w:trHeight w:val="230"/>
        </w:trPr>
        <w:tc>
          <w:tcPr>
            <w:tcW w:w="3158" w:type="dxa"/>
          </w:tcPr>
          <w:p w:rsidR="007C5447" w:rsidRDefault="00F6308C">
            <w:pPr>
              <w:pStyle w:val="TableParagraph"/>
              <w:spacing w:before="11" w:line="199" w:lineRule="exact"/>
              <w:ind w:left="287"/>
              <w:jc w:val="left"/>
              <w:rPr>
                <w:rFonts w:ascii="Calibri"/>
                <w:i/>
                <w:sz w:val="18"/>
              </w:rPr>
            </w:pPr>
            <w:r>
              <w:rPr>
                <w:rFonts w:ascii="Calibri"/>
                <w:i/>
                <w:sz w:val="18"/>
              </w:rPr>
              <w:t>HUDCO</w:t>
            </w:r>
          </w:p>
        </w:tc>
        <w:tc>
          <w:tcPr>
            <w:tcW w:w="991" w:type="dxa"/>
          </w:tcPr>
          <w:p w:rsidR="007C5447" w:rsidRDefault="00F6308C">
            <w:pPr>
              <w:pStyle w:val="TableParagraph"/>
              <w:spacing w:before="5" w:line="205" w:lineRule="exact"/>
              <w:ind w:left="177"/>
              <w:jc w:val="left"/>
              <w:rPr>
                <w:rFonts w:ascii="Calibri"/>
                <w:sz w:val="18"/>
              </w:rPr>
            </w:pPr>
            <w:r>
              <w:rPr>
                <w:rFonts w:ascii="Calibri"/>
                <w:sz w:val="18"/>
              </w:rPr>
              <w:t>1,708.75</w:t>
            </w:r>
          </w:p>
        </w:tc>
        <w:tc>
          <w:tcPr>
            <w:tcW w:w="992" w:type="dxa"/>
          </w:tcPr>
          <w:p w:rsidR="007C5447" w:rsidRDefault="007C5447">
            <w:pPr>
              <w:pStyle w:val="TableParagraph"/>
              <w:jc w:val="left"/>
              <w:rPr>
                <w:sz w:val="16"/>
              </w:rPr>
            </w:pPr>
          </w:p>
        </w:tc>
        <w:tc>
          <w:tcPr>
            <w:tcW w:w="3482" w:type="dxa"/>
          </w:tcPr>
          <w:p w:rsidR="007C5447" w:rsidRDefault="00F6308C">
            <w:pPr>
              <w:pStyle w:val="TableParagraph"/>
              <w:spacing w:before="11" w:line="199" w:lineRule="exact"/>
              <w:ind w:left="108"/>
              <w:jc w:val="left"/>
              <w:rPr>
                <w:rFonts w:ascii="Calibri"/>
                <w:b/>
                <w:sz w:val="18"/>
              </w:rPr>
            </w:pPr>
            <w:r>
              <w:rPr>
                <w:rFonts w:ascii="Calibri"/>
                <w:b/>
                <w:sz w:val="18"/>
              </w:rPr>
              <w:t>NET CURRENT ASSETS</w:t>
            </w:r>
          </w:p>
        </w:tc>
        <w:tc>
          <w:tcPr>
            <w:tcW w:w="949" w:type="dxa"/>
          </w:tcPr>
          <w:p w:rsidR="007C5447" w:rsidRDefault="007C5447">
            <w:pPr>
              <w:pStyle w:val="TableParagraph"/>
              <w:jc w:val="left"/>
              <w:rPr>
                <w:sz w:val="16"/>
              </w:rPr>
            </w:pPr>
          </w:p>
        </w:tc>
        <w:tc>
          <w:tcPr>
            <w:tcW w:w="950" w:type="dxa"/>
          </w:tcPr>
          <w:p w:rsidR="007C5447" w:rsidRDefault="00F6308C">
            <w:pPr>
              <w:pStyle w:val="TableParagraph"/>
              <w:spacing w:before="5" w:line="205" w:lineRule="exact"/>
              <w:ind w:left="89" w:right="76"/>
              <w:jc w:val="center"/>
              <w:rPr>
                <w:rFonts w:ascii="Calibri"/>
                <w:b/>
                <w:sz w:val="18"/>
              </w:rPr>
            </w:pPr>
            <w:r>
              <w:rPr>
                <w:rFonts w:ascii="Calibri"/>
                <w:b/>
                <w:sz w:val="18"/>
              </w:rPr>
              <w:t>(560.95)</w:t>
            </w:r>
          </w:p>
        </w:tc>
      </w:tr>
      <w:tr w:rsidR="007C5447">
        <w:trPr>
          <w:trHeight w:val="230"/>
        </w:trPr>
        <w:tc>
          <w:tcPr>
            <w:tcW w:w="3158" w:type="dxa"/>
          </w:tcPr>
          <w:p w:rsidR="007C5447" w:rsidRDefault="00F6308C">
            <w:pPr>
              <w:pStyle w:val="TableParagraph"/>
              <w:spacing w:before="11" w:line="199" w:lineRule="exact"/>
              <w:ind w:left="107"/>
              <w:jc w:val="left"/>
              <w:rPr>
                <w:rFonts w:ascii="Calibri"/>
                <w:b/>
                <w:sz w:val="18"/>
              </w:rPr>
            </w:pPr>
            <w:r>
              <w:rPr>
                <w:rFonts w:ascii="Calibri"/>
                <w:b/>
                <w:sz w:val="18"/>
              </w:rPr>
              <w:t>TOTAL CAPITAL LIABILITIES</w:t>
            </w:r>
          </w:p>
        </w:tc>
        <w:tc>
          <w:tcPr>
            <w:tcW w:w="991" w:type="dxa"/>
          </w:tcPr>
          <w:p w:rsidR="007C5447" w:rsidRDefault="00F6308C">
            <w:pPr>
              <w:pStyle w:val="TableParagraph"/>
              <w:spacing w:before="5" w:line="205" w:lineRule="exact"/>
              <w:ind w:left="129"/>
              <w:jc w:val="left"/>
              <w:rPr>
                <w:rFonts w:ascii="Calibri"/>
                <w:b/>
                <w:sz w:val="18"/>
              </w:rPr>
            </w:pPr>
            <w:r>
              <w:rPr>
                <w:rFonts w:ascii="Calibri"/>
                <w:b/>
                <w:sz w:val="18"/>
              </w:rPr>
              <w:t>12,694.83</w:t>
            </w:r>
          </w:p>
        </w:tc>
        <w:tc>
          <w:tcPr>
            <w:tcW w:w="992" w:type="dxa"/>
          </w:tcPr>
          <w:p w:rsidR="007C5447" w:rsidRDefault="007C5447">
            <w:pPr>
              <w:pStyle w:val="TableParagraph"/>
              <w:jc w:val="left"/>
              <w:rPr>
                <w:sz w:val="16"/>
              </w:rPr>
            </w:pPr>
          </w:p>
        </w:tc>
        <w:tc>
          <w:tcPr>
            <w:tcW w:w="3482" w:type="dxa"/>
          </w:tcPr>
          <w:p w:rsidR="007C5447" w:rsidRDefault="007C5447">
            <w:pPr>
              <w:pStyle w:val="TableParagraph"/>
              <w:jc w:val="left"/>
              <w:rPr>
                <w:sz w:val="16"/>
              </w:rPr>
            </w:pPr>
          </w:p>
        </w:tc>
        <w:tc>
          <w:tcPr>
            <w:tcW w:w="949" w:type="dxa"/>
          </w:tcPr>
          <w:p w:rsidR="007C5447" w:rsidRDefault="007C5447">
            <w:pPr>
              <w:pStyle w:val="TableParagraph"/>
              <w:jc w:val="left"/>
              <w:rPr>
                <w:sz w:val="16"/>
              </w:rPr>
            </w:pPr>
          </w:p>
        </w:tc>
        <w:tc>
          <w:tcPr>
            <w:tcW w:w="950" w:type="dxa"/>
          </w:tcPr>
          <w:p w:rsidR="007C5447" w:rsidRDefault="007C5447">
            <w:pPr>
              <w:pStyle w:val="TableParagraph"/>
              <w:jc w:val="left"/>
              <w:rPr>
                <w:sz w:val="16"/>
              </w:rPr>
            </w:pPr>
          </w:p>
        </w:tc>
      </w:tr>
      <w:tr w:rsidR="007C5447">
        <w:trPr>
          <w:trHeight w:val="230"/>
        </w:trPr>
        <w:tc>
          <w:tcPr>
            <w:tcW w:w="3158" w:type="dxa"/>
          </w:tcPr>
          <w:p w:rsidR="007C5447" w:rsidRDefault="00F6308C">
            <w:pPr>
              <w:pStyle w:val="TableParagraph"/>
              <w:spacing w:before="11" w:line="199" w:lineRule="exact"/>
              <w:ind w:left="107"/>
              <w:jc w:val="left"/>
              <w:rPr>
                <w:rFonts w:ascii="Calibri"/>
                <w:b/>
                <w:sz w:val="18"/>
              </w:rPr>
            </w:pPr>
            <w:r>
              <w:rPr>
                <w:rFonts w:ascii="Calibri"/>
                <w:b/>
                <w:sz w:val="18"/>
              </w:rPr>
              <w:t>BORROWINGS FOR WORKING CAPITAL</w:t>
            </w:r>
          </w:p>
        </w:tc>
        <w:tc>
          <w:tcPr>
            <w:tcW w:w="991" w:type="dxa"/>
          </w:tcPr>
          <w:p w:rsidR="007C5447" w:rsidRDefault="00F6308C">
            <w:pPr>
              <w:pStyle w:val="TableParagraph"/>
              <w:spacing w:before="5" w:line="205" w:lineRule="exact"/>
              <w:ind w:left="236"/>
              <w:jc w:val="left"/>
              <w:rPr>
                <w:rFonts w:ascii="Calibri"/>
                <w:b/>
                <w:sz w:val="18"/>
              </w:rPr>
            </w:pPr>
            <w:r>
              <w:rPr>
                <w:rFonts w:ascii="Calibri"/>
                <w:b/>
                <w:sz w:val="18"/>
              </w:rPr>
              <w:t>1,526.70</w:t>
            </w:r>
          </w:p>
        </w:tc>
        <w:tc>
          <w:tcPr>
            <w:tcW w:w="992" w:type="dxa"/>
          </w:tcPr>
          <w:p w:rsidR="007C5447" w:rsidRDefault="00F6308C">
            <w:pPr>
              <w:pStyle w:val="TableParagraph"/>
              <w:spacing w:before="5" w:line="205" w:lineRule="exact"/>
              <w:ind w:left="130"/>
              <w:jc w:val="left"/>
              <w:rPr>
                <w:rFonts w:ascii="Calibri"/>
                <w:b/>
                <w:sz w:val="18"/>
              </w:rPr>
            </w:pPr>
            <w:r>
              <w:rPr>
                <w:rFonts w:ascii="Calibri"/>
                <w:b/>
                <w:sz w:val="18"/>
              </w:rPr>
              <w:t>14,221.53</w:t>
            </w:r>
          </w:p>
        </w:tc>
        <w:tc>
          <w:tcPr>
            <w:tcW w:w="3482" w:type="dxa"/>
          </w:tcPr>
          <w:p w:rsidR="007C5447" w:rsidRDefault="007C5447">
            <w:pPr>
              <w:pStyle w:val="TableParagraph"/>
              <w:jc w:val="left"/>
              <w:rPr>
                <w:sz w:val="16"/>
              </w:rPr>
            </w:pPr>
          </w:p>
        </w:tc>
        <w:tc>
          <w:tcPr>
            <w:tcW w:w="949" w:type="dxa"/>
          </w:tcPr>
          <w:p w:rsidR="007C5447" w:rsidRDefault="007C5447">
            <w:pPr>
              <w:pStyle w:val="TableParagraph"/>
              <w:jc w:val="left"/>
              <w:rPr>
                <w:sz w:val="16"/>
              </w:rPr>
            </w:pPr>
          </w:p>
        </w:tc>
        <w:tc>
          <w:tcPr>
            <w:tcW w:w="950" w:type="dxa"/>
          </w:tcPr>
          <w:p w:rsidR="007C5447" w:rsidRDefault="007C5447">
            <w:pPr>
              <w:pStyle w:val="TableParagraph"/>
              <w:jc w:val="left"/>
              <w:rPr>
                <w:sz w:val="16"/>
              </w:rPr>
            </w:pPr>
          </w:p>
        </w:tc>
      </w:tr>
      <w:tr w:rsidR="007C5447">
        <w:trPr>
          <w:trHeight w:val="230"/>
        </w:trPr>
        <w:tc>
          <w:tcPr>
            <w:tcW w:w="3158" w:type="dxa"/>
          </w:tcPr>
          <w:p w:rsidR="007C5447" w:rsidRDefault="00F6308C">
            <w:pPr>
              <w:pStyle w:val="TableParagraph"/>
              <w:spacing w:before="11" w:line="199" w:lineRule="exact"/>
              <w:ind w:left="908"/>
              <w:jc w:val="left"/>
              <w:rPr>
                <w:rFonts w:ascii="Calibri"/>
                <w:b/>
                <w:sz w:val="18"/>
              </w:rPr>
            </w:pPr>
            <w:r>
              <w:rPr>
                <w:rFonts w:ascii="Calibri"/>
                <w:b/>
                <w:sz w:val="18"/>
              </w:rPr>
              <w:t>TOTAL LIABILITIES</w:t>
            </w:r>
          </w:p>
        </w:tc>
        <w:tc>
          <w:tcPr>
            <w:tcW w:w="991" w:type="dxa"/>
          </w:tcPr>
          <w:p w:rsidR="007C5447" w:rsidRDefault="007C5447">
            <w:pPr>
              <w:pStyle w:val="TableParagraph"/>
              <w:jc w:val="left"/>
              <w:rPr>
                <w:sz w:val="16"/>
              </w:rPr>
            </w:pPr>
          </w:p>
        </w:tc>
        <w:tc>
          <w:tcPr>
            <w:tcW w:w="992" w:type="dxa"/>
          </w:tcPr>
          <w:p w:rsidR="007C5447" w:rsidRDefault="00F6308C">
            <w:pPr>
              <w:pStyle w:val="TableParagraph"/>
              <w:spacing w:before="5" w:line="205" w:lineRule="exact"/>
              <w:ind w:left="130"/>
              <w:jc w:val="left"/>
              <w:rPr>
                <w:rFonts w:ascii="Calibri"/>
                <w:b/>
                <w:sz w:val="18"/>
              </w:rPr>
            </w:pPr>
            <w:r>
              <w:rPr>
                <w:rFonts w:ascii="Calibri"/>
                <w:b/>
                <w:sz w:val="18"/>
              </w:rPr>
              <w:t>23,956.07</w:t>
            </w:r>
          </w:p>
        </w:tc>
        <w:tc>
          <w:tcPr>
            <w:tcW w:w="3482" w:type="dxa"/>
          </w:tcPr>
          <w:p w:rsidR="007C5447" w:rsidRDefault="00F6308C">
            <w:pPr>
              <w:pStyle w:val="TableParagraph"/>
              <w:spacing w:before="11" w:line="199" w:lineRule="exact"/>
              <w:ind w:left="1187" w:right="1176"/>
              <w:jc w:val="center"/>
              <w:rPr>
                <w:rFonts w:ascii="Calibri"/>
                <w:b/>
                <w:sz w:val="18"/>
              </w:rPr>
            </w:pPr>
            <w:r>
              <w:rPr>
                <w:rFonts w:ascii="Calibri"/>
                <w:b/>
                <w:sz w:val="18"/>
              </w:rPr>
              <w:t>TOTAL ASSETS</w:t>
            </w:r>
          </w:p>
        </w:tc>
        <w:tc>
          <w:tcPr>
            <w:tcW w:w="949" w:type="dxa"/>
          </w:tcPr>
          <w:p w:rsidR="007C5447" w:rsidRDefault="007C5447">
            <w:pPr>
              <w:pStyle w:val="TableParagraph"/>
              <w:jc w:val="left"/>
              <w:rPr>
                <w:sz w:val="16"/>
              </w:rPr>
            </w:pPr>
          </w:p>
        </w:tc>
        <w:tc>
          <w:tcPr>
            <w:tcW w:w="950" w:type="dxa"/>
          </w:tcPr>
          <w:p w:rsidR="007C5447" w:rsidRDefault="00F6308C">
            <w:pPr>
              <w:pStyle w:val="TableParagraph"/>
              <w:spacing w:before="5" w:line="205" w:lineRule="exact"/>
              <w:ind w:left="89" w:right="77"/>
              <w:jc w:val="center"/>
              <w:rPr>
                <w:rFonts w:ascii="Calibri"/>
                <w:b/>
                <w:sz w:val="18"/>
              </w:rPr>
            </w:pPr>
            <w:r>
              <w:rPr>
                <w:rFonts w:ascii="Calibri"/>
                <w:b/>
                <w:sz w:val="18"/>
              </w:rPr>
              <w:t>23,956.07</w:t>
            </w:r>
          </w:p>
        </w:tc>
      </w:tr>
    </w:tbl>
    <w:p w:rsidR="007C5447" w:rsidRDefault="007C5447">
      <w:pPr>
        <w:spacing w:line="205" w:lineRule="exact"/>
        <w:jc w:val="center"/>
        <w:rPr>
          <w:rFonts w:ascii="Calibri"/>
          <w:sz w:val="18"/>
        </w:rPr>
        <w:sectPr w:rsidR="007C5447">
          <w:footerReference w:type="default" r:id="rId94"/>
          <w:pgSz w:w="12240" w:h="15840"/>
          <w:pgMar w:top="1500" w:right="740" w:bottom="280" w:left="600" w:header="0" w:footer="0" w:gutter="0"/>
          <w:cols w:space="720"/>
        </w:sectPr>
      </w:pPr>
    </w:p>
    <w:p w:rsidR="007C5447" w:rsidRDefault="00F6308C">
      <w:pPr>
        <w:spacing w:before="60"/>
        <w:ind w:left="390"/>
        <w:rPr>
          <w:rFonts w:ascii="Tahoma"/>
          <w:b/>
          <w:sz w:val="24"/>
        </w:rPr>
      </w:pPr>
      <w:r>
        <w:rPr>
          <w:rFonts w:ascii="Tahoma"/>
          <w:b/>
          <w:sz w:val="24"/>
          <w:u w:val="thick"/>
        </w:rPr>
        <w:t>Note:-</w:t>
      </w:r>
    </w:p>
    <w:p w:rsidR="007C5447" w:rsidRDefault="00F6308C">
      <w:pPr>
        <w:pStyle w:val="BodyText"/>
        <w:spacing w:before="5"/>
        <w:rPr>
          <w:rFonts w:ascii="Tahoma"/>
          <w:b/>
          <w:sz w:val="37"/>
        </w:rPr>
      </w:pPr>
      <w:r>
        <w:br w:type="column"/>
      </w:r>
    </w:p>
    <w:p w:rsidR="007C5447" w:rsidRDefault="00F6308C">
      <w:pPr>
        <w:pStyle w:val="ListParagraph"/>
        <w:numPr>
          <w:ilvl w:val="0"/>
          <w:numId w:val="2"/>
        </w:numPr>
        <w:tabs>
          <w:tab w:val="left" w:pos="750"/>
        </w:tabs>
        <w:spacing w:line="276" w:lineRule="auto"/>
        <w:ind w:right="698"/>
        <w:jc w:val="both"/>
        <w:rPr>
          <w:rFonts w:ascii="Arial"/>
          <w:sz w:val="24"/>
        </w:rPr>
      </w:pPr>
      <w:r>
        <w:rPr>
          <w:rFonts w:ascii="Arial"/>
          <w:sz w:val="24"/>
        </w:rPr>
        <w:t>The transfer value of the fixed assets are determined based on revenue potentials.</w:t>
      </w:r>
    </w:p>
    <w:p w:rsidR="007C5447" w:rsidRDefault="00F6308C">
      <w:pPr>
        <w:pStyle w:val="ListParagraph"/>
        <w:numPr>
          <w:ilvl w:val="0"/>
          <w:numId w:val="2"/>
        </w:numPr>
        <w:tabs>
          <w:tab w:val="left" w:pos="750"/>
        </w:tabs>
        <w:spacing w:before="60" w:line="276" w:lineRule="auto"/>
        <w:ind w:right="699"/>
        <w:jc w:val="both"/>
        <w:rPr>
          <w:rFonts w:ascii="Arial"/>
          <w:sz w:val="24"/>
        </w:rPr>
      </w:pPr>
      <w:r>
        <w:rPr>
          <w:rFonts w:ascii="Arial"/>
          <w:sz w:val="24"/>
        </w:rPr>
        <w:t>The transfer value of the Land is determined based on the guideline value as on 31</w:t>
      </w:r>
      <w:r>
        <w:rPr>
          <w:rFonts w:ascii="Arial"/>
          <w:sz w:val="24"/>
          <w:vertAlign w:val="superscript"/>
        </w:rPr>
        <w:t>st</w:t>
      </w:r>
      <w:r>
        <w:rPr>
          <w:rFonts w:ascii="Arial"/>
          <w:sz w:val="24"/>
        </w:rPr>
        <w:t xml:space="preserve"> October</w:t>
      </w:r>
      <w:r>
        <w:rPr>
          <w:rFonts w:ascii="Arial"/>
          <w:spacing w:val="-1"/>
          <w:sz w:val="24"/>
        </w:rPr>
        <w:t xml:space="preserve"> </w:t>
      </w:r>
      <w:r>
        <w:rPr>
          <w:rFonts w:ascii="Arial"/>
          <w:sz w:val="24"/>
        </w:rPr>
        <w:t>2010.</w:t>
      </w:r>
    </w:p>
    <w:p w:rsidR="007C5447" w:rsidRDefault="00F6308C">
      <w:pPr>
        <w:pStyle w:val="ListParagraph"/>
        <w:numPr>
          <w:ilvl w:val="0"/>
          <w:numId w:val="2"/>
        </w:numPr>
        <w:tabs>
          <w:tab w:val="left" w:pos="750"/>
        </w:tabs>
        <w:spacing w:before="60" w:line="276" w:lineRule="auto"/>
        <w:ind w:right="698"/>
        <w:jc w:val="both"/>
        <w:rPr>
          <w:rFonts w:ascii="Arial"/>
          <w:sz w:val="24"/>
        </w:rPr>
      </w:pPr>
      <w:r>
        <w:rPr>
          <w:rFonts w:ascii="Arial"/>
          <w:sz w:val="24"/>
        </w:rPr>
        <w:t xml:space="preserve">The values of Buildings, Plant &amp; Machineries and Lines are valued </w:t>
      </w:r>
      <w:r>
        <w:rPr>
          <w:rFonts w:ascii="Arial"/>
          <w:spacing w:val="-3"/>
          <w:sz w:val="24"/>
        </w:rPr>
        <w:t xml:space="preserve">based </w:t>
      </w:r>
      <w:r>
        <w:rPr>
          <w:rFonts w:ascii="Arial"/>
          <w:sz w:val="24"/>
        </w:rPr>
        <w:t>on the report provided by the Chartered Engineer and Government Registered Valuer.</w:t>
      </w:r>
    </w:p>
    <w:p w:rsidR="007C5447" w:rsidRDefault="00F6308C">
      <w:pPr>
        <w:pStyle w:val="ListParagraph"/>
        <w:numPr>
          <w:ilvl w:val="0"/>
          <w:numId w:val="2"/>
        </w:numPr>
        <w:tabs>
          <w:tab w:val="left" w:pos="750"/>
        </w:tabs>
        <w:spacing w:before="59" w:line="276" w:lineRule="auto"/>
        <w:ind w:right="698"/>
        <w:jc w:val="both"/>
        <w:rPr>
          <w:rFonts w:ascii="Arial"/>
          <w:sz w:val="24"/>
        </w:rPr>
      </w:pPr>
      <w:r>
        <w:rPr>
          <w:rFonts w:ascii="Arial"/>
          <w:sz w:val="24"/>
        </w:rPr>
        <w:t>Th</w:t>
      </w:r>
      <w:r>
        <w:rPr>
          <w:rFonts w:ascii="Arial"/>
          <w:sz w:val="24"/>
        </w:rPr>
        <w:t>e Opening Balance Sheet of TANTRANSCO also includes the assets and liabilities of</w:t>
      </w:r>
      <w:r>
        <w:rPr>
          <w:rFonts w:ascii="Arial"/>
          <w:spacing w:val="-1"/>
          <w:sz w:val="24"/>
        </w:rPr>
        <w:t xml:space="preserve"> </w:t>
      </w:r>
      <w:r>
        <w:rPr>
          <w:rFonts w:ascii="Arial"/>
          <w:sz w:val="24"/>
        </w:rPr>
        <w:t>SLDC.</w:t>
      </w:r>
    </w:p>
    <w:p w:rsidR="007C5447" w:rsidRDefault="00F6308C">
      <w:pPr>
        <w:pStyle w:val="ListParagraph"/>
        <w:numPr>
          <w:ilvl w:val="0"/>
          <w:numId w:val="2"/>
        </w:numPr>
        <w:tabs>
          <w:tab w:val="left" w:pos="750"/>
        </w:tabs>
        <w:spacing w:before="60" w:line="276" w:lineRule="auto"/>
        <w:ind w:right="698"/>
        <w:jc w:val="both"/>
        <w:rPr>
          <w:rFonts w:ascii="Arial"/>
          <w:sz w:val="24"/>
        </w:rPr>
      </w:pPr>
      <w:r>
        <w:rPr>
          <w:rFonts w:ascii="Arial"/>
          <w:sz w:val="24"/>
        </w:rPr>
        <w:t>Notwithstanding the transfer, the guarantees provided to the lenders of the Board, by the State Government, shall be deemed to be guarantees provided on behalf of the T</w:t>
      </w:r>
      <w:r>
        <w:rPr>
          <w:rFonts w:ascii="Arial"/>
          <w:sz w:val="24"/>
        </w:rPr>
        <w:t>ANTRANSCO in respect of the loans allocated, until fully</w:t>
      </w:r>
      <w:r>
        <w:rPr>
          <w:rFonts w:ascii="Arial"/>
          <w:spacing w:val="-1"/>
          <w:sz w:val="24"/>
        </w:rPr>
        <w:t xml:space="preserve"> </w:t>
      </w:r>
      <w:r>
        <w:rPr>
          <w:rFonts w:ascii="Arial"/>
          <w:sz w:val="24"/>
        </w:rPr>
        <w:t>discharged.</w:t>
      </w:r>
    </w:p>
    <w:p w:rsidR="007C5447" w:rsidRDefault="00F6308C">
      <w:pPr>
        <w:pStyle w:val="ListParagraph"/>
        <w:numPr>
          <w:ilvl w:val="0"/>
          <w:numId w:val="2"/>
        </w:numPr>
        <w:tabs>
          <w:tab w:val="left" w:pos="750"/>
        </w:tabs>
        <w:spacing w:before="61"/>
        <w:ind w:left="749"/>
        <w:jc w:val="both"/>
        <w:rPr>
          <w:rFonts w:ascii="Arial"/>
          <w:sz w:val="24"/>
        </w:rPr>
      </w:pPr>
      <w:r>
        <w:rPr>
          <w:rFonts w:ascii="Arial"/>
          <w:sz w:val="24"/>
        </w:rPr>
        <w:t>The</w:t>
      </w:r>
      <w:r>
        <w:rPr>
          <w:rFonts w:ascii="Arial"/>
          <w:spacing w:val="17"/>
          <w:sz w:val="24"/>
        </w:rPr>
        <w:t xml:space="preserve"> </w:t>
      </w:r>
      <w:r>
        <w:rPr>
          <w:rFonts w:ascii="Arial"/>
          <w:sz w:val="24"/>
        </w:rPr>
        <w:t>Contingent</w:t>
      </w:r>
      <w:r>
        <w:rPr>
          <w:rFonts w:ascii="Arial"/>
          <w:spacing w:val="18"/>
          <w:sz w:val="24"/>
        </w:rPr>
        <w:t xml:space="preserve"> </w:t>
      </w:r>
      <w:r>
        <w:rPr>
          <w:rFonts w:ascii="Arial"/>
          <w:sz w:val="24"/>
        </w:rPr>
        <w:t>liabilities</w:t>
      </w:r>
      <w:r>
        <w:rPr>
          <w:rFonts w:ascii="Arial"/>
          <w:spacing w:val="18"/>
          <w:sz w:val="24"/>
        </w:rPr>
        <w:t xml:space="preserve"> </w:t>
      </w:r>
      <w:r>
        <w:rPr>
          <w:rFonts w:ascii="Arial"/>
          <w:sz w:val="24"/>
        </w:rPr>
        <w:t>to</w:t>
      </w:r>
      <w:r>
        <w:rPr>
          <w:rFonts w:ascii="Arial"/>
          <w:spacing w:val="18"/>
          <w:sz w:val="24"/>
        </w:rPr>
        <w:t xml:space="preserve"> </w:t>
      </w:r>
      <w:r>
        <w:rPr>
          <w:rFonts w:ascii="Arial"/>
          <w:sz w:val="24"/>
        </w:rPr>
        <w:t>the</w:t>
      </w:r>
      <w:r>
        <w:rPr>
          <w:rFonts w:ascii="Arial"/>
          <w:spacing w:val="18"/>
          <w:sz w:val="24"/>
        </w:rPr>
        <w:t xml:space="preserve"> </w:t>
      </w:r>
      <w:r>
        <w:rPr>
          <w:rFonts w:ascii="Arial"/>
          <w:sz w:val="24"/>
        </w:rPr>
        <w:t>extent</w:t>
      </w:r>
      <w:r>
        <w:rPr>
          <w:rFonts w:ascii="Arial"/>
          <w:spacing w:val="18"/>
          <w:sz w:val="24"/>
        </w:rPr>
        <w:t xml:space="preserve"> </w:t>
      </w:r>
      <w:r>
        <w:rPr>
          <w:rFonts w:ascii="Arial"/>
          <w:sz w:val="24"/>
        </w:rPr>
        <w:t>they</w:t>
      </w:r>
      <w:r>
        <w:rPr>
          <w:rFonts w:ascii="Arial"/>
          <w:spacing w:val="17"/>
          <w:sz w:val="24"/>
        </w:rPr>
        <w:t xml:space="preserve"> </w:t>
      </w:r>
      <w:r>
        <w:rPr>
          <w:rFonts w:ascii="Arial"/>
          <w:sz w:val="24"/>
        </w:rPr>
        <w:t>are</w:t>
      </w:r>
      <w:r>
        <w:rPr>
          <w:rFonts w:ascii="Arial"/>
          <w:spacing w:val="18"/>
          <w:sz w:val="24"/>
        </w:rPr>
        <w:t xml:space="preserve"> </w:t>
      </w:r>
      <w:r>
        <w:rPr>
          <w:rFonts w:ascii="Arial"/>
          <w:sz w:val="24"/>
        </w:rPr>
        <w:t>recognized</w:t>
      </w:r>
      <w:r>
        <w:rPr>
          <w:rFonts w:ascii="Arial"/>
          <w:spacing w:val="18"/>
          <w:sz w:val="24"/>
        </w:rPr>
        <w:t xml:space="preserve"> </w:t>
      </w:r>
      <w:r>
        <w:rPr>
          <w:rFonts w:ascii="Arial"/>
          <w:sz w:val="24"/>
        </w:rPr>
        <w:t>and</w:t>
      </w:r>
      <w:r>
        <w:rPr>
          <w:rFonts w:ascii="Arial"/>
          <w:spacing w:val="18"/>
          <w:sz w:val="24"/>
        </w:rPr>
        <w:t xml:space="preserve"> </w:t>
      </w:r>
      <w:r>
        <w:rPr>
          <w:rFonts w:ascii="Arial"/>
          <w:sz w:val="24"/>
        </w:rPr>
        <w:t>are</w:t>
      </w:r>
    </w:p>
    <w:p w:rsidR="007C5447" w:rsidRDefault="007C5447">
      <w:pPr>
        <w:jc w:val="both"/>
        <w:rPr>
          <w:rFonts w:ascii="Arial"/>
          <w:sz w:val="24"/>
        </w:rPr>
        <w:sectPr w:rsidR="007C5447">
          <w:type w:val="continuous"/>
          <w:pgSz w:w="12240" w:h="15840"/>
          <w:pgMar w:top="1580" w:right="740" w:bottom="1580" w:left="600" w:header="720" w:footer="720" w:gutter="0"/>
          <w:cols w:num="2" w:space="720" w:equalWidth="0">
            <w:col w:w="1197" w:space="333"/>
            <w:col w:w="9370"/>
          </w:cols>
        </w:sectPr>
      </w:pPr>
    </w:p>
    <w:p w:rsidR="007C5447" w:rsidRDefault="00F6308C">
      <w:pPr>
        <w:pStyle w:val="BodyText"/>
        <w:spacing w:before="78" w:line="276" w:lineRule="auto"/>
        <w:ind w:left="2280" w:right="681"/>
        <w:rPr>
          <w:rFonts w:ascii="Arial"/>
        </w:rPr>
      </w:pPr>
      <w:r>
        <w:rPr>
          <w:rFonts w:ascii="Arial"/>
        </w:rPr>
        <w:lastRenderedPageBreak/>
        <w:t>associated with or related to Transmission activities or to the undertakings or assets shall be discharged by TANTRANSCO.</w:t>
      </w:r>
    </w:p>
    <w:p w:rsidR="007C5447" w:rsidRDefault="007C5447">
      <w:pPr>
        <w:pStyle w:val="BodyText"/>
        <w:rPr>
          <w:rFonts w:ascii="Arial"/>
          <w:sz w:val="26"/>
        </w:rPr>
      </w:pPr>
    </w:p>
    <w:p w:rsidR="007C5447" w:rsidRDefault="007C5447">
      <w:pPr>
        <w:pStyle w:val="BodyText"/>
        <w:rPr>
          <w:rFonts w:ascii="Arial"/>
          <w:sz w:val="26"/>
        </w:rPr>
      </w:pPr>
    </w:p>
    <w:p w:rsidR="007C5447" w:rsidRDefault="00F6308C">
      <w:pPr>
        <w:pStyle w:val="ListParagraph"/>
        <w:numPr>
          <w:ilvl w:val="0"/>
          <w:numId w:val="2"/>
        </w:numPr>
        <w:tabs>
          <w:tab w:val="left" w:pos="2280"/>
        </w:tabs>
        <w:spacing w:before="217" w:line="276" w:lineRule="auto"/>
        <w:ind w:left="2280" w:right="699"/>
        <w:jc w:val="left"/>
        <w:rPr>
          <w:rFonts w:ascii="Arial" w:hAnsi="Arial"/>
          <w:sz w:val="24"/>
        </w:rPr>
      </w:pPr>
      <w:r>
        <w:rPr>
          <w:rFonts w:ascii="Arial" w:hAnsi="Arial"/>
          <w:sz w:val="24"/>
        </w:rPr>
        <w:t>The shares to the extent of the value of the share capital mentioned above shall be issued by the TANTRANSCO in favour of TNEB Limit</w:t>
      </w:r>
      <w:r>
        <w:rPr>
          <w:rFonts w:ascii="Arial" w:hAnsi="Arial"/>
          <w:sz w:val="24"/>
        </w:rPr>
        <w:t>ed at</w:t>
      </w:r>
      <w:r>
        <w:rPr>
          <w:rFonts w:ascii="Arial" w:hAnsi="Arial"/>
          <w:spacing w:val="-35"/>
          <w:sz w:val="24"/>
        </w:rPr>
        <w:t xml:space="preserve"> </w:t>
      </w:r>
      <w:r>
        <w:rPr>
          <w:rFonts w:ascii="Arial" w:hAnsi="Arial"/>
          <w:sz w:val="24"/>
        </w:rPr>
        <w:t>par.”;</w:t>
      </w:r>
    </w:p>
    <w:p w:rsidR="007C5447" w:rsidRDefault="007C5447">
      <w:pPr>
        <w:pStyle w:val="BodyText"/>
        <w:spacing w:before="10"/>
        <w:rPr>
          <w:rFonts w:ascii="Arial"/>
          <w:sz w:val="37"/>
        </w:rPr>
      </w:pPr>
    </w:p>
    <w:p w:rsidR="007C5447" w:rsidRDefault="00F6308C">
      <w:pPr>
        <w:pStyle w:val="ListParagraph"/>
        <w:numPr>
          <w:ilvl w:val="0"/>
          <w:numId w:val="4"/>
        </w:numPr>
        <w:tabs>
          <w:tab w:val="left" w:pos="1921"/>
        </w:tabs>
        <w:spacing w:line="480" w:lineRule="auto"/>
        <w:ind w:left="1919" w:right="697" w:hanging="360"/>
        <w:jc w:val="both"/>
        <w:rPr>
          <w:rFonts w:ascii="Arial" w:hAnsi="Arial"/>
          <w:sz w:val="24"/>
        </w:rPr>
      </w:pPr>
      <w:r>
        <w:rPr>
          <w:rFonts w:ascii="Arial" w:hAnsi="Arial"/>
          <w:sz w:val="24"/>
        </w:rPr>
        <w:t>in Schedule-C, in Part-II-Holding Undertaking, for the entries under the heading “Aggregate Assets and Liabilities vested in TNEB Limited”, the following entries shall be substituted,</w:t>
      </w:r>
      <w:r>
        <w:rPr>
          <w:rFonts w:ascii="Arial" w:hAnsi="Arial"/>
          <w:spacing w:val="-4"/>
          <w:sz w:val="24"/>
        </w:rPr>
        <w:t xml:space="preserve"> </w:t>
      </w:r>
      <w:r>
        <w:rPr>
          <w:rFonts w:ascii="Arial" w:hAnsi="Arial"/>
          <w:sz w:val="24"/>
        </w:rPr>
        <w:t>namely:-</w:t>
      </w:r>
    </w:p>
    <w:p w:rsidR="007C5447" w:rsidRDefault="007C5447">
      <w:pPr>
        <w:pStyle w:val="BodyText"/>
        <w:spacing w:before="5"/>
        <w:rPr>
          <w:rFonts w:ascii="Arial"/>
          <w:sz w:val="5"/>
        </w:rPr>
      </w:pPr>
    </w:p>
    <w:tbl>
      <w:tblPr>
        <w:tblW w:w="0" w:type="auto"/>
        <w:tblInd w:w="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84"/>
        <w:gridCol w:w="808"/>
        <w:gridCol w:w="948"/>
        <w:gridCol w:w="3294"/>
        <w:gridCol w:w="810"/>
        <w:gridCol w:w="948"/>
      </w:tblGrid>
      <w:tr w:rsidR="007C5447">
        <w:trPr>
          <w:trHeight w:val="220"/>
        </w:trPr>
        <w:tc>
          <w:tcPr>
            <w:tcW w:w="9992" w:type="dxa"/>
            <w:gridSpan w:val="6"/>
          </w:tcPr>
          <w:p w:rsidR="007C5447" w:rsidRDefault="00F6308C">
            <w:pPr>
              <w:pStyle w:val="TableParagraph"/>
              <w:spacing w:line="200" w:lineRule="exact"/>
              <w:ind w:left="2217" w:right="2207"/>
              <w:jc w:val="center"/>
              <w:rPr>
                <w:rFonts w:ascii="Calibri" w:hAnsi="Calibri"/>
                <w:b/>
                <w:sz w:val="18"/>
              </w:rPr>
            </w:pPr>
            <w:r>
              <w:rPr>
                <w:rFonts w:ascii="Calibri" w:hAnsi="Calibri"/>
                <w:b/>
                <w:sz w:val="18"/>
              </w:rPr>
              <w:t>“OPENING BALANCE SHEET OF TNEB LIMITED AS ON 1ST NOVEMBER 2010</w:t>
            </w:r>
          </w:p>
        </w:tc>
      </w:tr>
      <w:tr w:rsidR="007C5447">
        <w:trPr>
          <w:trHeight w:val="219"/>
        </w:trPr>
        <w:tc>
          <w:tcPr>
            <w:tcW w:w="3184" w:type="dxa"/>
          </w:tcPr>
          <w:p w:rsidR="007C5447" w:rsidRDefault="00F6308C">
            <w:pPr>
              <w:pStyle w:val="TableParagraph"/>
              <w:spacing w:line="199" w:lineRule="exact"/>
              <w:ind w:left="1163" w:right="1154"/>
              <w:jc w:val="center"/>
              <w:rPr>
                <w:rFonts w:ascii="Calibri"/>
                <w:b/>
                <w:sz w:val="18"/>
              </w:rPr>
            </w:pPr>
            <w:r>
              <w:rPr>
                <w:rFonts w:ascii="Calibri"/>
                <w:b/>
                <w:sz w:val="18"/>
              </w:rPr>
              <w:t>LIABILITIES</w:t>
            </w:r>
          </w:p>
        </w:tc>
        <w:tc>
          <w:tcPr>
            <w:tcW w:w="1756" w:type="dxa"/>
            <w:gridSpan w:val="2"/>
          </w:tcPr>
          <w:p w:rsidR="007C5447" w:rsidRDefault="00F6308C">
            <w:pPr>
              <w:pStyle w:val="TableParagraph"/>
              <w:spacing w:line="199" w:lineRule="exact"/>
              <w:ind w:left="412"/>
              <w:jc w:val="left"/>
              <w:rPr>
                <w:rFonts w:ascii="Calibri"/>
                <w:b/>
                <w:sz w:val="18"/>
              </w:rPr>
            </w:pPr>
            <w:r>
              <w:rPr>
                <w:rFonts w:ascii="Calibri"/>
                <w:b/>
                <w:sz w:val="18"/>
              </w:rPr>
              <w:t>Rs. In Crores</w:t>
            </w:r>
          </w:p>
        </w:tc>
        <w:tc>
          <w:tcPr>
            <w:tcW w:w="3294" w:type="dxa"/>
          </w:tcPr>
          <w:p w:rsidR="007C5447" w:rsidRDefault="00F6308C">
            <w:pPr>
              <w:pStyle w:val="TableParagraph"/>
              <w:spacing w:line="199" w:lineRule="exact"/>
              <w:ind w:left="1091" w:right="1084"/>
              <w:jc w:val="center"/>
              <w:rPr>
                <w:rFonts w:ascii="Calibri"/>
                <w:b/>
                <w:sz w:val="18"/>
              </w:rPr>
            </w:pPr>
            <w:r>
              <w:rPr>
                <w:rFonts w:ascii="Calibri"/>
                <w:b/>
                <w:sz w:val="18"/>
              </w:rPr>
              <w:t>ASSETS</w:t>
            </w:r>
          </w:p>
        </w:tc>
        <w:tc>
          <w:tcPr>
            <w:tcW w:w="1758" w:type="dxa"/>
            <w:gridSpan w:val="2"/>
          </w:tcPr>
          <w:p w:rsidR="007C5447" w:rsidRDefault="00F6308C">
            <w:pPr>
              <w:pStyle w:val="TableParagraph"/>
              <w:spacing w:line="199" w:lineRule="exact"/>
              <w:ind w:left="413"/>
              <w:jc w:val="left"/>
              <w:rPr>
                <w:rFonts w:ascii="Calibri"/>
                <w:b/>
                <w:sz w:val="18"/>
              </w:rPr>
            </w:pPr>
            <w:r>
              <w:rPr>
                <w:rFonts w:ascii="Calibri"/>
                <w:b/>
                <w:sz w:val="18"/>
              </w:rPr>
              <w:t>Rs. In Crores</w:t>
            </w:r>
          </w:p>
        </w:tc>
      </w:tr>
      <w:tr w:rsidR="007C5447">
        <w:trPr>
          <w:trHeight w:val="220"/>
        </w:trPr>
        <w:tc>
          <w:tcPr>
            <w:tcW w:w="3184" w:type="dxa"/>
          </w:tcPr>
          <w:p w:rsidR="007C5447" w:rsidRDefault="007C5447">
            <w:pPr>
              <w:pStyle w:val="TableParagraph"/>
              <w:jc w:val="left"/>
              <w:rPr>
                <w:sz w:val="14"/>
              </w:rPr>
            </w:pPr>
          </w:p>
        </w:tc>
        <w:tc>
          <w:tcPr>
            <w:tcW w:w="808" w:type="dxa"/>
          </w:tcPr>
          <w:p w:rsidR="007C5447" w:rsidRDefault="007C5447">
            <w:pPr>
              <w:pStyle w:val="TableParagraph"/>
              <w:jc w:val="left"/>
              <w:rPr>
                <w:sz w:val="14"/>
              </w:rPr>
            </w:pPr>
          </w:p>
        </w:tc>
        <w:tc>
          <w:tcPr>
            <w:tcW w:w="948" w:type="dxa"/>
          </w:tcPr>
          <w:p w:rsidR="007C5447" w:rsidRDefault="007C5447">
            <w:pPr>
              <w:pStyle w:val="TableParagraph"/>
              <w:jc w:val="left"/>
              <w:rPr>
                <w:sz w:val="14"/>
              </w:rPr>
            </w:pPr>
          </w:p>
        </w:tc>
        <w:tc>
          <w:tcPr>
            <w:tcW w:w="3294" w:type="dxa"/>
          </w:tcPr>
          <w:p w:rsidR="007C5447" w:rsidRDefault="007C5447">
            <w:pPr>
              <w:pStyle w:val="TableParagraph"/>
              <w:jc w:val="left"/>
              <w:rPr>
                <w:sz w:val="14"/>
              </w:rPr>
            </w:pPr>
          </w:p>
        </w:tc>
        <w:tc>
          <w:tcPr>
            <w:tcW w:w="810" w:type="dxa"/>
          </w:tcPr>
          <w:p w:rsidR="007C5447" w:rsidRDefault="007C5447">
            <w:pPr>
              <w:pStyle w:val="TableParagraph"/>
              <w:jc w:val="left"/>
              <w:rPr>
                <w:sz w:val="14"/>
              </w:rPr>
            </w:pPr>
          </w:p>
        </w:tc>
        <w:tc>
          <w:tcPr>
            <w:tcW w:w="948" w:type="dxa"/>
          </w:tcPr>
          <w:p w:rsidR="007C5447" w:rsidRDefault="007C5447">
            <w:pPr>
              <w:pStyle w:val="TableParagraph"/>
              <w:jc w:val="left"/>
              <w:rPr>
                <w:sz w:val="14"/>
              </w:rPr>
            </w:pPr>
          </w:p>
        </w:tc>
      </w:tr>
      <w:tr w:rsidR="007C5447">
        <w:trPr>
          <w:trHeight w:val="230"/>
        </w:trPr>
        <w:tc>
          <w:tcPr>
            <w:tcW w:w="3184" w:type="dxa"/>
          </w:tcPr>
          <w:p w:rsidR="007C5447" w:rsidRDefault="00F6308C">
            <w:pPr>
              <w:pStyle w:val="TableParagraph"/>
              <w:spacing w:before="5" w:line="205" w:lineRule="exact"/>
              <w:ind w:left="842"/>
              <w:jc w:val="left"/>
              <w:rPr>
                <w:rFonts w:ascii="Calibri"/>
                <w:b/>
                <w:sz w:val="18"/>
              </w:rPr>
            </w:pPr>
            <w:r>
              <w:rPr>
                <w:rFonts w:ascii="Calibri"/>
                <w:b/>
                <w:sz w:val="18"/>
                <w:u w:val="single"/>
              </w:rPr>
              <w:t>SOURCES OF FUNDS</w:t>
            </w:r>
          </w:p>
        </w:tc>
        <w:tc>
          <w:tcPr>
            <w:tcW w:w="808"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c>
          <w:tcPr>
            <w:tcW w:w="3294" w:type="dxa"/>
          </w:tcPr>
          <w:p w:rsidR="007C5447" w:rsidRDefault="00F6308C">
            <w:pPr>
              <w:pStyle w:val="TableParagraph"/>
              <w:spacing w:before="5" w:line="205" w:lineRule="exact"/>
              <w:ind w:left="740"/>
              <w:jc w:val="left"/>
              <w:rPr>
                <w:rFonts w:ascii="Calibri"/>
                <w:b/>
                <w:sz w:val="18"/>
              </w:rPr>
            </w:pPr>
            <w:r>
              <w:rPr>
                <w:rFonts w:ascii="Calibri"/>
                <w:b/>
                <w:sz w:val="18"/>
                <w:u w:val="single"/>
              </w:rPr>
              <w:t>APPLICATION OF FUNDS</w:t>
            </w:r>
          </w:p>
        </w:tc>
        <w:tc>
          <w:tcPr>
            <w:tcW w:w="810"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r>
      <w:tr w:rsidR="007C5447">
        <w:trPr>
          <w:trHeight w:val="230"/>
        </w:trPr>
        <w:tc>
          <w:tcPr>
            <w:tcW w:w="3184" w:type="dxa"/>
          </w:tcPr>
          <w:p w:rsidR="007C5447" w:rsidRDefault="00F6308C">
            <w:pPr>
              <w:pStyle w:val="TableParagraph"/>
              <w:spacing w:before="11" w:line="199" w:lineRule="exact"/>
              <w:ind w:left="107"/>
              <w:jc w:val="left"/>
              <w:rPr>
                <w:rFonts w:ascii="Calibri"/>
                <w:b/>
                <w:sz w:val="18"/>
              </w:rPr>
            </w:pPr>
            <w:r>
              <w:rPr>
                <w:rFonts w:ascii="Calibri"/>
                <w:b/>
                <w:sz w:val="18"/>
                <w:u w:val="single"/>
              </w:rPr>
              <w:t>SHAREHOLDERS FUND</w:t>
            </w:r>
          </w:p>
        </w:tc>
        <w:tc>
          <w:tcPr>
            <w:tcW w:w="808"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c>
          <w:tcPr>
            <w:tcW w:w="3294" w:type="dxa"/>
          </w:tcPr>
          <w:p w:rsidR="007C5447" w:rsidRDefault="00F6308C">
            <w:pPr>
              <w:pStyle w:val="TableParagraph"/>
              <w:spacing w:before="11" w:line="199" w:lineRule="exact"/>
              <w:ind w:left="106"/>
              <w:jc w:val="left"/>
              <w:rPr>
                <w:rFonts w:ascii="Calibri"/>
                <w:b/>
                <w:sz w:val="18"/>
              </w:rPr>
            </w:pPr>
            <w:r>
              <w:rPr>
                <w:rFonts w:ascii="Calibri"/>
                <w:b/>
                <w:sz w:val="18"/>
                <w:u w:val="single"/>
              </w:rPr>
              <w:t>FIXED ASSETS</w:t>
            </w:r>
          </w:p>
        </w:tc>
        <w:tc>
          <w:tcPr>
            <w:tcW w:w="810"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r>
      <w:tr w:rsidR="007C5447">
        <w:trPr>
          <w:trHeight w:val="438"/>
        </w:trPr>
        <w:tc>
          <w:tcPr>
            <w:tcW w:w="3184" w:type="dxa"/>
          </w:tcPr>
          <w:p w:rsidR="007C5447" w:rsidRDefault="00F6308C">
            <w:pPr>
              <w:pStyle w:val="TableParagraph"/>
              <w:spacing w:line="220" w:lineRule="atLeast"/>
              <w:ind w:left="107" w:right="316" w:hanging="1"/>
              <w:jc w:val="left"/>
              <w:rPr>
                <w:rFonts w:ascii="Calibri" w:hAnsi="Calibri"/>
                <w:i/>
                <w:sz w:val="18"/>
              </w:rPr>
            </w:pPr>
            <w:r>
              <w:rPr>
                <w:rFonts w:ascii="Calibri" w:hAnsi="Calibri"/>
                <w:i/>
                <w:sz w:val="18"/>
              </w:rPr>
              <w:t>Equity Share Capital – Government of Tamil Nadu</w:t>
            </w:r>
          </w:p>
        </w:tc>
        <w:tc>
          <w:tcPr>
            <w:tcW w:w="808" w:type="dxa"/>
          </w:tcPr>
          <w:p w:rsidR="007C5447" w:rsidRDefault="007C5447">
            <w:pPr>
              <w:pStyle w:val="TableParagraph"/>
              <w:jc w:val="left"/>
              <w:rPr>
                <w:sz w:val="20"/>
              </w:rPr>
            </w:pPr>
          </w:p>
        </w:tc>
        <w:tc>
          <w:tcPr>
            <w:tcW w:w="948" w:type="dxa"/>
          </w:tcPr>
          <w:p w:rsidR="007C5447" w:rsidRDefault="00F6308C">
            <w:pPr>
              <w:pStyle w:val="TableParagraph"/>
              <w:spacing w:before="110"/>
              <w:ind w:left="130" w:right="124"/>
              <w:jc w:val="center"/>
              <w:rPr>
                <w:rFonts w:ascii="Calibri"/>
                <w:sz w:val="18"/>
              </w:rPr>
            </w:pPr>
            <w:r>
              <w:rPr>
                <w:rFonts w:ascii="Calibri"/>
                <w:sz w:val="18"/>
              </w:rPr>
              <w:t>3,806.02</w:t>
            </w:r>
          </w:p>
        </w:tc>
        <w:tc>
          <w:tcPr>
            <w:tcW w:w="3294" w:type="dxa"/>
          </w:tcPr>
          <w:p w:rsidR="007C5447" w:rsidRDefault="007C5447">
            <w:pPr>
              <w:pStyle w:val="TableParagraph"/>
              <w:spacing w:before="1"/>
              <w:jc w:val="left"/>
              <w:rPr>
                <w:rFonts w:ascii="Arial"/>
                <w:sz w:val="19"/>
              </w:rPr>
            </w:pPr>
          </w:p>
          <w:p w:rsidR="007C5447" w:rsidRDefault="00F6308C">
            <w:pPr>
              <w:pStyle w:val="TableParagraph"/>
              <w:spacing w:line="199" w:lineRule="exact"/>
              <w:ind w:left="107"/>
              <w:jc w:val="left"/>
              <w:rPr>
                <w:rFonts w:ascii="Calibri"/>
                <w:i/>
                <w:sz w:val="18"/>
              </w:rPr>
            </w:pPr>
            <w:r>
              <w:rPr>
                <w:rFonts w:ascii="Calibri"/>
                <w:i/>
                <w:sz w:val="18"/>
              </w:rPr>
              <w:t>Gross Fixed Assets</w:t>
            </w:r>
          </w:p>
        </w:tc>
        <w:tc>
          <w:tcPr>
            <w:tcW w:w="810" w:type="dxa"/>
          </w:tcPr>
          <w:p w:rsidR="007C5447" w:rsidRDefault="00F6308C">
            <w:pPr>
              <w:pStyle w:val="TableParagraph"/>
              <w:spacing w:before="110"/>
              <w:ind w:left="131" w:right="124"/>
              <w:jc w:val="center"/>
              <w:rPr>
                <w:rFonts w:ascii="Calibri"/>
                <w:sz w:val="18"/>
              </w:rPr>
            </w:pPr>
            <w:r>
              <w:rPr>
                <w:rFonts w:ascii="Calibri"/>
                <w:sz w:val="18"/>
              </w:rPr>
              <w:t>496.93</w:t>
            </w:r>
          </w:p>
        </w:tc>
        <w:tc>
          <w:tcPr>
            <w:tcW w:w="948" w:type="dxa"/>
          </w:tcPr>
          <w:p w:rsidR="007C5447" w:rsidRDefault="007C5447">
            <w:pPr>
              <w:pStyle w:val="TableParagraph"/>
              <w:jc w:val="left"/>
              <w:rPr>
                <w:sz w:val="20"/>
              </w:rPr>
            </w:pPr>
          </w:p>
        </w:tc>
      </w:tr>
      <w:tr w:rsidR="007C5447">
        <w:trPr>
          <w:trHeight w:val="229"/>
        </w:trPr>
        <w:tc>
          <w:tcPr>
            <w:tcW w:w="3184" w:type="dxa"/>
          </w:tcPr>
          <w:p w:rsidR="007C5447" w:rsidRDefault="007C5447">
            <w:pPr>
              <w:pStyle w:val="TableParagraph"/>
              <w:jc w:val="left"/>
              <w:rPr>
                <w:sz w:val="16"/>
              </w:rPr>
            </w:pPr>
          </w:p>
        </w:tc>
        <w:tc>
          <w:tcPr>
            <w:tcW w:w="808"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c>
          <w:tcPr>
            <w:tcW w:w="3294" w:type="dxa"/>
          </w:tcPr>
          <w:p w:rsidR="007C5447" w:rsidRDefault="00F6308C">
            <w:pPr>
              <w:pStyle w:val="TableParagraph"/>
              <w:spacing w:before="9" w:line="199" w:lineRule="exact"/>
              <w:ind w:left="106"/>
              <w:jc w:val="left"/>
              <w:rPr>
                <w:rFonts w:ascii="Calibri"/>
                <w:i/>
                <w:sz w:val="18"/>
              </w:rPr>
            </w:pPr>
            <w:r>
              <w:rPr>
                <w:rFonts w:ascii="Calibri"/>
                <w:i/>
                <w:sz w:val="18"/>
              </w:rPr>
              <w:t>Less: Accumulated Depreciation</w:t>
            </w:r>
          </w:p>
        </w:tc>
        <w:tc>
          <w:tcPr>
            <w:tcW w:w="810" w:type="dxa"/>
          </w:tcPr>
          <w:p w:rsidR="007C5447" w:rsidRDefault="00F6308C">
            <w:pPr>
              <w:pStyle w:val="TableParagraph"/>
              <w:spacing w:before="3" w:line="205" w:lineRule="exact"/>
              <w:ind w:left="6"/>
              <w:jc w:val="center"/>
              <w:rPr>
                <w:rFonts w:ascii="Calibri" w:hAnsi="Calibri"/>
                <w:sz w:val="18"/>
              </w:rPr>
            </w:pPr>
            <w:r>
              <w:rPr>
                <w:rFonts w:ascii="Calibri" w:hAnsi="Calibri"/>
                <w:sz w:val="18"/>
              </w:rPr>
              <w:t>‐</w:t>
            </w:r>
          </w:p>
        </w:tc>
        <w:tc>
          <w:tcPr>
            <w:tcW w:w="948" w:type="dxa"/>
          </w:tcPr>
          <w:p w:rsidR="007C5447" w:rsidRDefault="007C5447">
            <w:pPr>
              <w:pStyle w:val="TableParagraph"/>
              <w:jc w:val="left"/>
              <w:rPr>
                <w:sz w:val="16"/>
              </w:rPr>
            </w:pPr>
          </w:p>
        </w:tc>
      </w:tr>
      <w:tr w:rsidR="007C5447">
        <w:trPr>
          <w:trHeight w:val="230"/>
        </w:trPr>
        <w:tc>
          <w:tcPr>
            <w:tcW w:w="3184" w:type="dxa"/>
          </w:tcPr>
          <w:p w:rsidR="007C5447" w:rsidRDefault="00F6308C">
            <w:pPr>
              <w:pStyle w:val="TableParagraph"/>
              <w:spacing w:before="11" w:line="199" w:lineRule="exact"/>
              <w:ind w:left="107"/>
              <w:jc w:val="left"/>
              <w:rPr>
                <w:rFonts w:ascii="Calibri"/>
                <w:b/>
                <w:sz w:val="18"/>
              </w:rPr>
            </w:pPr>
            <w:r>
              <w:rPr>
                <w:rFonts w:ascii="Calibri"/>
                <w:b/>
                <w:sz w:val="18"/>
                <w:u w:val="single"/>
              </w:rPr>
              <w:t>RESERVES AND RESERVE FUNDS</w:t>
            </w:r>
          </w:p>
        </w:tc>
        <w:tc>
          <w:tcPr>
            <w:tcW w:w="808"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c>
          <w:tcPr>
            <w:tcW w:w="3294" w:type="dxa"/>
          </w:tcPr>
          <w:p w:rsidR="007C5447" w:rsidRDefault="00F6308C">
            <w:pPr>
              <w:pStyle w:val="TableParagraph"/>
              <w:spacing w:before="11" w:line="199" w:lineRule="exact"/>
              <w:ind w:left="106"/>
              <w:jc w:val="left"/>
              <w:rPr>
                <w:rFonts w:ascii="Calibri"/>
                <w:b/>
                <w:i/>
                <w:sz w:val="18"/>
              </w:rPr>
            </w:pPr>
            <w:r>
              <w:rPr>
                <w:rFonts w:ascii="Calibri"/>
                <w:b/>
                <w:i/>
                <w:sz w:val="18"/>
              </w:rPr>
              <w:t>Net Fixed Assets</w:t>
            </w:r>
          </w:p>
        </w:tc>
        <w:tc>
          <w:tcPr>
            <w:tcW w:w="810" w:type="dxa"/>
          </w:tcPr>
          <w:p w:rsidR="007C5447" w:rsidRDefault="00F6308C">
            <w:pPr>
              <w:pStyle w:val="TableParagraph"/>
              <w:spacing w:before="5" w:line="205" w:lineRule="exact"/>
              <w:ind w:left="131" w:right="124"/>
              <w:jc w:val="center"/>
              <w:rPr>
                <w:rFonts w:ascii="Calibri"/>
                <w:b/>
                <w:sz w:val="18"/>
              </w:rPr>
            </w:pPr>
            <w:r>
              <w:rPr>
                <w:rFonts w:ascii="Calibri"/>
                <w:b/>
                <w:sz w:val="18"/>
              </w:rPr>
              <w:t>496.93</w:t>
            </w:r>
          </w:p>
        </w:tc>
        <w:tc>
          <w:tcPr>
            <w:tcW w:w="948" w:type="dxa"/>
          </w:tcPr>
          <w:p w:rsidR="007C5447" w:rsidRDefault="00F6308C">
            <w:pPr>
              <w:pStyle w:val="TableParagraph"/>
              <w:spacing w:before="5" w:line="205" w:lineRule="exact"/>
              <w:ind w:left="131" w:right="42"/>
              <w:jc w:val="center"/>
              <w:rPr>
                <w:rFonts w:ascii="Calibri"/>
                <w:b/>
                <w:sz w:val="18"/>
              </w:rPr>
            </w:pPr>
            <w:r>
              <w:rPr>
                <w:rFonts w:ascii="Calibri"/>
                <w:b/>
                <w:sz w:val="18"/>
              </w:rPr>
              <w:t>496.93</w:t>
            </w:r>
          </w:p>
        </w:tc>
      </w:tr>
      <w:tr w:rsidR="007C5447">
        <w:trPr>
          <w:trHeight w:val="440"/>
        </w:trPr>
        <w:tc>
          <w:tcPr>
            <w:tcW w:w="3184" w:type="dxa"/>
          </w:tcPr>
          <w:p w:rsidR="007C5447" w:rsidRDefault="00F6308C">
            <w:pPr>
              <w:pStyle w:val="TableParagraph"/>
              <w:spacing w:line="220" w:lineRule="atLeast"/>
              <w:ind w:left="107" w:right="406" w:hanging="1"/>
              <w:jc w:val="left"/>
              <w:rPr>
                <w:rFonts w:ascii="Calibri"/>
                <w:i/>
                <w:sz w:val="18"/>
              </w:rPr>
            </w:pPr>
            <w:r>
              <w:rPr>
                <w:rFonts w:ascii="Calibri"/>
                <w:i/>
                <w:sz w:val="18"/>
              </w:rPr>
              <w:t>Revaluation Reserves of Depreciable Assets</w:t>
            </w:r>
          </w:p>
        </w:tc>
        <w:tc>
          <w:tcPr>
            <w:tcW w:w="808" w:type="dxa"/>
          </w:tcPr>
          <w:p w:rsidR="007C5447" w:rsidRDefault="00F6308C">
            <w:pPr>
              <w:pStyle w:val="TableParagraph"/>
              <w:spacing w:before="110"/>
              <w:ind w:left="151"/>
              <w:jc w:val="left"/>
              <w:rPr>
                <w:rFonts w:ascii="Calibri"/>
                <w:sz w:val="18"/>
              </w:rPr>
            </w:pPr>
            <w:r>
              <w:rPr>
                <w:rFonts w:ascii="Calibri"/>
                <w:sz w:val="18"/>
              </w:rPr>
              <w:t>487.79</w:t>
            </w:r>
          </w:p>
        </w:tc>
        <w:tc>
          <w:tcPr>
            <w:tcW w:w="948" w:type="dxa"/>
          </w:tcPr>
          <w:p w:rsidR="007C5447" w:rsidRDefault="00F6308C">
            <w:pPr>
              <w:pStyle w:val="TableParagraph"/>
              <w:spacing w:before="110"/>
              <w:ind w:left="131" w:right="42"/>
              <w:jc w:val="center"/>
              <w:rPr>
                <w:rFonts w:ascii="Calibri"/>
                <w:sz w:val="18"/>
              </w:rPr>
            </w:pPr>
            <w:r>
              <w:rPr>
                <w:rFonts w:ascii="Calibri"/>
                <w:sz w:val="18"/>
              </w:rPr>
              <w:t>487.79</w:t>
            </w:r>
          </w:p>
        </w:tc>
        <w:tc>
          <w:tcPr>
            <w:tcW w:w="3294" w:type="dxa"/>
          </w:tcPr>
          <w:p w:rsidR="007C5447" w:rsidRDefault="007C5447">
            <w:pPr>
              <w:pStyle w:val="TableParagraph"/>
              <w:jc w:val="left"/>
              <w:rPr>
                <w:sz w:val="20"/>
              </w:rPr>
            </w:pPr>
          </w:p>
        </w:tc>
        <w:tc>
          <w:tcPr>
            <w:tcW w:w="810" w:type="dxa"/>
          </w:tcPr>
          <w:p w:rsidR="007C5447" w:rsidRDefault="007C5447">
            <w:pPr>
              <w:pStyle w:val="TableParagraph"/>
              <w:jc w:val="left"/>
              <w:rPr>
                <w:sz w:val="20"/>
              </w:rPr>
            </w:pPr>
          </w:p>
        </w:tc>
        <w:tc>
          <w:tcPr>
            <w:tcW w:w="948" w:type="dxa"/>
          </w:tcPr>
          <w:p w:rsidR="007C5447" w:rsidRDefault="007C5447">
            <w:pPr>
              <w:pStyle w:val="TableParagraph"/>
              <w:jc w:val="left"/>
              <w:rPr>
                <w:sz w:val="20"/>
              </w:rPr>
            </w:pPr>
          </w:p>
        </w:tc>
      </w:tr>
      <w:tr w:rsidR="007C5447">
        <w:trPr>
          <w:trHeight w:val="438"/>
        </w:trPr>
        <w:tc>
          <w:tcPr>
            <w:tcW w:w="3184" w:type="dxa"/>
          </w:tcPr>
          <w:p w:rsidR="007C5447" w:rsidRDefault="007C5447">
            <w:pPr>
              <w:pStyle w:val="TableParagraph"/>
              <w:jc w:val="left"/>
              <w:rPr>
                <w:sz w:val="20"/>
              </w:rPr>
            </w:pPr>
          </w:p>
        </w:tc>
        <w:tc>
          <w:tcPr>
            <w:tcW w:w="808" w:type="dxa"/>
          </w:tcPr>
          <w:p w:rsidR="007C5447" w:rsidRDefault="007C5447">
            <w:pPr>
              <w:pStyle w:val="TableParagraph"/>
              <w:jc w:val="left"/>
              <w:rPr>
                <w:sz w:val="20"/>
              </w:rPr>
            </w:pPr>
          </w:p>
        </w:tc>
        <w:tc>
          <w:tcPr>
            <w:tcW w:w="948" w:type="dxa"/>
          </w:tcPr>
          <w:p w:rsidR="007C5447" w:rsidRDefault="007C5447">
            <w:pPr>
              <w:pStyle w:val="TableParagraph"/>
              <w:jc w:val="left"/>
              <w:rPr>
                <w:sz w:val="20"/>
              </w:rPr>
            </w:pPr>
          </w:p>
        </w:tc>
        <w:tc>
          <w:tcPr>
            <w:tcW w:w="3294" w:type="dxa"/>
          </w:tcPr>
          <w:p w:rsidR="007C5447" w:rsidRDefault="00F6308C">
            <w:pPr>
              <w:pStyle w:val="TableParagraph"/>
              <w:spacing w:line="220" w:lineRule="atLeast"/>
              <w:ind w:left="106" w:right="972"/>
              <w:jc w:val="left"/>
              <w:rPr>
                <w:rFonts w:ascii="Calibri"/>
                <w:b/>
                <w:sz w:val="18"/>
              </w:rPr>
            </w:pPr>
            <w:r>
              <w:rPr>
                <w:rFonts w:ascii="Calibri"/>
                <w:b/>
                <w:sz w:val="18"/>
                <w:u w:val="single"/>
              </w:rPr>
              <w:t>INVESTMENT IN SUBISIDIARY</w:t>
            </w:r>
            <w:r>
              <w:rPr>
                <w:rFonts w:ascii="Calibri"/>
                <w:b/>
                <w:sz w:val="18"/>
              </w:rPr>
              <w:t xml:space="preserve"> </w:t>
            </w:r>
            <w:r>
              <w:rPr>
                <w:rFonts w:ascii="Calibri"/>
                <w:b/>
                <w:sz w:val="18"/>
                <w:u w:val="single"/>
              </w:rPr>
              <w:t>COMPANIES</w:t>
            </w:r>
          </w:p>
        </w:tc>
        <w:tc>
          <w:tcPr>
            <w:tcW w:w="810" w:type="dxa"/>
          </w:tcPr>
          <w:p w:rsidR="007C5447" w:rsidRDefault="007C5447">
            <w:pPr>
              <w:pStyle w:val="TableParagraph"/>
              <w:jc w:val="left"/>
              <w:rPr>
                <w:sz w:val="20"/>
              </w:rPr>
            </w:pPr>
          </w:p>
        </w:tc>
        <w:tc>
          <w:tcPr>
            <w:tcW w:w="948" w:type="dxa"/>
          </w:tcPr>
          <w:p w:rsidR="007C5447" w:rsidRDefault="00F6308C">
            <w:pPr>
              <w:pStyle w:val="TableParagraph"/>
              <w:spacing w:before="110"/>
              <w:ind w:left="130" w:right="124"/>
              <w:jc w:val="center"/>
              <w:rPr>
                <w:rFonts w:ascii="Calibri"/>
                <w:sz w:val="18"/>
              </w:rPr>
            </w:pPr>
            <w:r>
              <w:rPr>
                <w:rFonts w:ascii="Calibri"/>
                <w:sz w:val="18"/>
              </w:rPr>
              <w:t>3,796.88</w:t>
            </w:r>
          </w:p>
        </w:tc>
      </w:tr>
      <w:tr w:rsidR="007C5447">
        <w:trPr>
          <w:trHeight w:val="229"/>
        </w:trPr>
        <w:tc>
          <w:tcPr>
            <w:tcW w:w="3184" w:type="dxa"/>
          </w:tcPr>
          <w:p w:rsidR="007C5447" w:rsidRDefault="00F6308C">
            <w:pPr>
              <w:pStyle w:val="TableParagraph"/>
              <w:spacing w:before="9" w:line="199" w:lineRule="exact"/>
              <w:ind w:left="107"/>
              <w:jc w:val="left"/>
              <w:rPr>
                <w:rFonts w:ascii="Calibri"/>
                <w:b/>
                <w:sz w:val="18"/>
              </w:rPr>
            </w:pPr>
            <w:r>
              <w:rPr>
                <w:rFonts w:ascii="Calibri"/>
                <w:b/>
                <w:sz w:val="18"/>
              </w:rPr>
              <w:t>TOTAL SHAREHOLDERS FUND</w:t>
            </w:r>
          </w:p>
        </w:tc>
        <w:tc>
          <w:tcPr>
            <w:tcW w:w="808" w:type="dxa"/>
          </w:tcPr>
          <w:p w:rsidR="007C5447" w:rsidRDefault="007C5447">
            <w:pPr>
              <w:pStyle w:val="TableParagraph"/>
              <w:jc w:val="left"/>
              <w:rPr>
                <w:sz w:val="16"/>
              </w:rPr>
            </w:pPr>
          </w:p>
        </w:tc>
        <w:tc>
          <w:tcPr>
            <w:tcW w:w="948" w:type="dxa"/>
          </w:tcPr>
          <w:p w:rsidR="007C5447" w:rsidRDefault="00F6308C">
            <w:pPr>
              <w:pStyle w:val="TableParagraph"/>
              <w:spacing w:before="3" w:line="205" w:lineRule="exact"/>
              <w:ind w:left="131" w:right="124"/>
              <w:jc w:val="center"/>
              <w:rPr>
                <w:rFonts w:ascii="Calibri"/>
                <w:b/>
                <w:sz w:val="18"/>
              </w:rPr>
            </w:pPr>
            <w:r>
              <w:rPr>
                <w:rFonts w:ascii="Calibri"/>
                <w:b/>
                <w:sz w:val="18"/>
              </w:rPr>
              <w:t>4,293.81</w:t>
            </w:r>
          </w:p>
        </w:tc>
        <w:tc>
          <w:tcPr>
            <w:tcW w:w="3294" w:type="dxa"/>
          </w:tcPr>
          <w:p w:rsidR="007C5447" w:rsidRDefault="007C5447">
            <w:pPr>
              <w:pStyle w:val="TableParagraph"/>
              <w:jc w:val="left"/>
              <w:rPr>
                <w:sz w:val="16"/>
              </w:rPr>
            </w:pPr>
          </w:p>
        </w:tc>
        <w:tc>
          <w:tcPr>
            <w:tcW w:w="810"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r>
      <w:tr w:rsidR="007C5447">
        <w:trPr>
          <w:trHeight w:val="440"/>
        </w:trPr>
        <w:tc>
          <w:tcPr>
            <w:tcW w:w="3184" w:type="dxa"/>
          </w:tcPr>
          <w:p w:rsidR="007C5447" w:rsidRDefault="007C5447">
            <w:pPr>
              <w:pStyle w:val="TableParagraph"/>
              <w:jc w:val="left"/>
              <w:rPr>
                <w:sz w:val="20"/>
              </w:rPr>
            </w:pPr>
          </w:p>
        </w:tc>
        <w:tc>
          <w:tcPr>
            <w:tcW w:w="808" w:type="dxa"/>
          </w:tcPr>
          <w:p w:rsidR="007C5447" w:rsidRDefault="007C5447">
            <w:pPr>
              <w:pStyle w:val="TableParagraph"/>
              <w:jc w:val="left"/>
              <w:rPr>
                <w:sz w:val="20"/>
              </w:rPr>
            </w:pPr>
          </w:p>
        </w:tc>
        <w:tc>
          <w:tcPr>
            <w:tcW w:w="948" w:type="dxa"/>
          </w:tcPr>
          <w:p w:rsidR="007C5447" w:rsidRDefault="007C5447">
            <w:pPr>
              <w:pStyle w:val="TableParagraph"/>
              <w:jc w:val="left"/>
              <w:rPr>
                <w:sz w:val="20"/>
              </w:rPr>
            </w:pPr>
          </w:p>
        </w:tc>
        <w:tc>
          <w:tcPr>
            <w:tcW w:w="3294" w:type="dxa"/>
          </w:tcPr>
          <w:p w:rsidR="007C5447" w:rsidRDefault="00F6308C">
            <w:pPr>
              <w:pStyle w:val="TableParagraph"/>
              <w:spacing w:line="220" w:lineRule="atLeast"/>
              <w:ind w:left="106" w:right="885"/>
              <w:jc w:val="left"/>
              <w:rPr>
                <w:rFonts w:ascii="Calibri"/>
                <w:b/>
                <w:sz w:val="18"/>
              </w:rPr>
            </w:pPr>
            <w:r>
              <w:rPr>
                <w:rFonts w:ascii="Calibri"/>
                <w:b/>
                <w:sz w:val="18"/>
                <w:u w:val="single"/>
              </w:rPr>
              <w:t>CURRENT ASSETS, LOANS AND</w:t>
            </w:r>
            <w:r>
              <w:rPr>
                <w:rFonts w:ascii="Calibri"/>
                <w:b/>
                <w:sz w:val="18"/>
              </w:rPr>
              <w:t xml:space="preserve"> </w:t>
            </w:r>
            <w:r>
              <w:rPr>
                <w:rFonts w:ascii="Calibri"/>
                <w:b/>
                <w:sz w:val="18"/>
                <w:u w:val="single"/>
              </w:rPr>
              <w:t>ADVANCES</w:t>
            </w:r>
          </w:p>
        </w:tc>
        <w:tc>
          <w:tcPr>
            <w:tcW w:w="810" w:type="dxa"/>
          </w:tcPr>
          <w:p w:rsidR="007C5447" w:rsidRDefault="007C5447">
            <w:pPr>
              <w:pStyle w:val="TableParagraph"/>
              <w:jc w:val="left"/>
              <w:rPr>
                <w:sz w:val="20"/>
              </w:rPr>
            </w:pPr>
          </w:p>
        </w:tc>
        <w:tc>
          <w:tcPr>
            <w:tcW w:w="948" w:type="dxa"/>
          </w:tcPr>
          <w:p w:rsidR="007C5447" w:rsidRDefault="007C5447">
            <w:pPr>
              <w:pStyle w:val="TableParagraph"/>
              <w:jc w:val="left"/>
              <w:rPr>
                <w:sz w:val="20"/>
              </w:rPr>
            </w:pPr>
          </w:p>
        </w:tc>
      </w:tr>
      <w:tr w:rsidR="007C5447">
        <w:trPr>
          <w:trHeight w:val="230"/>
        </w:trPr>
        <w:tc>
          <w:tcPr>
            <w:tcW w:w="3184" w:type="dxa"/>
          </w:tcPr>
          <w:p w:rsidR="007C5447" w:rsidRDefault="007C5447">
            <w:pPr>
              <w:pStyle w:val="TableParagraph"/>
              <w:jc w:val="left"/>
              <w:rPr>
                <w:sz w:val="16"/>
              </w:rPr>
            </w:pPr>
          </w:p>
        </w:tc>
        <w:tc>
          <w:tcPr>
            <w:tcW w:w="808"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c>
          <w:tcPr>
            <w:tcW w:w="3294" w:type="dxa"/>
          </w:tcPr>
          <w:p w:rsidR="007C5447" w:rsidRDefault="00F6308C">
            <w:pPr>
              <w:pStyle w:val="TableParagraph"/>
              <w:spacing w:before="11" w:line="199" w:lineRule="exact"/>
              <w:ind w:left="106"/>
              <w:jc w:val="left"/>
              <w:rPr>
                <w:rFonts w:ascii="Calibri"/>
                <w:i/>
                <w:sz w:val="18"/>
              </w:rPr>
            </w:pPr>
            <w:r>
              <w:rPr>
                <w:rFonts w:ascii="Calibri"/>
                <w:i/>
                <w:sz w:val="18"/>
              </w:rPr>
              <w:t>Cash and Bank Balances</w:t>
            </w:r>
          </w:p>
        </w:tc>
        <w:tc>
          <w:tcPr>
            <w:tcW w:w="810" w:type="dxa"/>
          </w:tcPr>
          <w:p w:rsidR="007C5447" w:rsidRDefault="00F6308C">
            <w:pPr>
              <w:pStyle w:val="TableParagraph"/>
              <w:spacing w:before="5" w:line="205" w:lineRule="exact"/>
              <w:ind w:left="130" w:right="124"/>
              <w:jc w:val="center"/>
              <w:rPr>
                <w:rFonts w:ascii="Calibri"/>
                <w:sz w:val="18"/>
              </w:rPr>
            </w:pPr>
            <w:r>
              <w:rPr>
                <w:rFonts w:ascii="Calibri"/>
                <w:sz w:val="18"/>
              </w:rPr>
              <w:t>108.47</w:t>
            </w:r>
          </w:p>
        </w:tc>
        <w:tc>
          <w:tcPr>
            <w:tcW w:w="948" w:type="dxa"/>
          </w:tcPr>
          <w:p w:rsidR="007C5447" w:rsidRDefault="007C5447">
            <w:pPr>
              <w:pStyle w:val="TableParagraph"/>
              <w:jc w:val="left"/>
              <w:rPr>
                <w:sz w:val="16"/>
              </w:rPr>
            </w:pPr>
          </w:p>
        </w:tc>
      </w:tr>
      <w:tr w:rsidR="007C5447">
        <w:trPr>
          <w:trHeight w:val="438"/>
        </w:trPr>
        <w:tc>
          <w:tcPr>
            <w:tcW w:w="3184" w:type="dxa"/>
          </w:tcPr>
          <w:p w:rsidR="007C5447" w:rsidRDefault="007C5447">
            <w:pPr>
              <w:pStyle w:val="TableParagraph"/>
              <w:jc w:val="left"/>
              <w:rPr>
                <w:sz w:val="20"/>
              </w:rPr>
            </w:pPr>
          </w:p>
        </w:tc>
        <w:tc>
          <w:tcPr>
            <w:tcW w:w="808" w:type="dxa"/>
          </w:tcPr>
          <w:p w:rsidR="007C5447" w:rsidRDefault="007C5447">
            <w:pPr>
              <w:pStyle w:val="TableParagraph"/>
              <w:jc w:val="left"/>
              <w:rPr>
                <w:sz w:val="20"/>
              </w:rPr>
            </w:pPr>
          </w:p>
        </w:tc>
        <w:tc>
          <w:tcPr>
            <w:tcW w:w="948" w:type="dxa"/>
          </w:tcPr>
          <w:p w:rsidR="007C5447" w:rsidRDefault="007C5447">
            <w:pPr>
              <w:pStyle w:val="TableParagraph"/>
              <w:jc w:val="left"/>
              <w:rPr>
                <w:sz w:val="20"/>
              </w:rPr>
            </w:pPr>
          </w:p>
        </w:tc>
        <w:tc>
          <w:tcPr>
            <w:tcW w:w="3294" w:type="dxa"/>
          </w:tcPr>
          <w:p w:rsidR="007C5447" w:rsidRDefault="00F6308C">
            <w:pPr>
              <w:pStyle w:val="TableParagraph"/>
              <w:spacing w:line="220" w:lineRule="atLeast"/>
              <w:ind w:left="107" w:right="359" w:hanging="1"/>
              <w:jc w:val="left"/>
              <w:rPr>
                <w:rFonts w:ascii="Calibri"/>
                <w:b/>
                <w:sz w:val="18"/>
              </w:rPr>
            </w:pPr>
            <w:r>
              <w:rPr>
                <w:rFonts w:ascii="Calibri"/>
                <w:b/>
                <w:sz w:val="18"/>
              </w:rPr>
              <w:t>TOTAL CURRENT ASSETS, LOANS AND ADVANCES</w:t>
            </w:r>
          </w:p>
        </w:tc>
        <w:tc>
          <w:tcPr>
            <w:tcW w:w="810" w:type="dxa"/>
          </w:tcPr>
          <w:p w:rsidR="007C5447" w:rsidRDefault="00F6308C">
            <w:pPr>
              <w:pStyle w:val="TableParagraph"/>
              <w:spacing w:before="110"/>
              <w:ind w:left="131" w:right="124"/>
              <w:jc w:val="center"/>
              <w:rPr>
                <w:rFonts w:ascii="Calibri"/>
                <w:b/>
                <w:sz w:val="18"/>
              </w:rPr>
            </w:pPr>
            <w:r>
              <w:rPr>
                <w:rFonts w:ascii="Calibri"/>
                <w:b/>
                <w:sz w:val="18"/>
              </w:rPr>
              <w:t>108.47</w:t>
            </w:r>
          </w:p>
        </w:tc>
        <w:tc>
          <w:tcPr>
            <w:tcW w:w="948" w:type="dxa"/>
          </w:tcPr>
          <w:p w:rsidR="007C5447" w:rsidRDefault="007C5447">
            <w:pPr>
              <w:pStyle w:val="TableParagraph"/>
              <w:jc w:val="left"/>
              <w:rPr>
                <w:sz w:val="20"/>
              </w:rPr>
            </w:pPr>
          </w:p>
        </w:tc>
      </w:tr>
      <w:tr w:rsidR="007C5447">
        <w:trPr>
          <w:trHeight w:val="229"/>
        </w:trPr>
        <w:tc>
          <w:tcPr>
            <w:tcW w:w="3184" w:type="dxa"/>
          </w:tcPr>
          <w:p w:rsidR="007C5447" w:rsidRDefault="007C5447">
            <w:pPr>
              <w:pStyle w:val="TableParagraph"/>
              <w:jc w:val="left"/>
              <w:rPr>
                <w:sz w:val="16"/>
              </w:rPr>
            </w:pPr>
          </w:p>
        </w:tc>
        <w:tc>
          <w:tcPr>
            <w:tcW w:w="808"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c>
          <w:tcPr>
            <w:tcW w:w="3294" w:type="dxa"/>
          </w:tcPr>
          <w:p w:rsidR="007C5447" w:rsidRDefault="007C5447">
            <w:pPr>
              <w:pStyle w:val="TableParagraph"/>
              <w:jc w:val="left"/>
              <w:rPr>
                <w:sz w:val="16"/>
              </w:rPr>
            </w:pPr>
          </w:p>
        </w:tc>
        <w:tc>
          <w:tcPr>
            <w:tcW w:w="810"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r>
      <w:tr w:rsidR="007C5447">
        <w:trPr>
          <w:trHeight w:val="440"/>
        </w:trPr>
        <w:tc>
          <w:tcPr>
            <w:tcW w:w="3184" w:type="dxa"/>
          </w:tcPr>
          <w:p w:rsidR="007C5447" w:rsidRDefault="007C5447">
            <w:pPr>
              <w:pStyle w:val="TableParagraph"/>
              <w:jc w:val="left"/>
              <w:rPr>
                <w:sz w:val="20"/>
              </w:rPr>
            </w:pPr>
          </w:p>
        </w:tc>
        <w:tc>
          <w:tcPr>
            <w:tcW w:w="808" w:type="dxa"/>
          </w:tcPr>
          <w:p w:rsidR="007C5447" w:rsidRDefault="007C5447">
            <w:pPr>
              <w:pStyle w:val="TableParagraph"/>
              <w:jc w:val="left"/>
              <w:rPr>
                <w:sz w:val="20"/>
              </w:rPr>
            </w:pPr>
          </w:p>
        </w:tc>
        <w:tc>
          <w:tcPr>
            <w:tcW w:w="948" w:type="dxa"/>
          </w:tcPr>
          <w:p w:rsidR="007C5447" w:rsidRDefault="007C5447">
            <w:pPr>
              <w:pStyle w:val="TableParagraph"/>
              <w:jc w:val="left"/>
              <w:rPr>
                <w:sz w:val="20"/>
              </w:rPr>
            </w:pPr>
          </w:p>
        </w:tc>
        <w:tc>
          <w:tcPr>
            <w:tcW w:w="3294" w:type="dxa"/>
          </w:tcPr>
          <w:p w:rsidR="007C5447" w:rsidRDefault="00F6308C">
            <w:pPr>
              <w:pStyle w:val="TableParagraph"/>
              <w:spacing w:line="220" w:lineRule="atLeast"/>
              <w:ind w:left="106" w:right="783"/>
              <w:jc w:val="left"/>
              <w:rPr>
                <w:rFonts w:ascii="Calibri"/>
                <w:b/>
                <w:sz w:val="18"/>
              </w:rPr>
            </w:pPr>
            <w:r>
              <w:rPr>
                <w:rFonts w:ascii="Calibri"/>
                <w:b/>
                <w:sz w:val="18"/>
                <w:u w:val="single"/>
              </w:rPr>
              <w:t>LESS: CURRENT LIABILITIES AND</w:t>
            </w:r>
            <w:r>
              <w:rPr>
                <w:rFonts w:ascii="Calibri"/>
                <w:b/>
                <w:sz w:val="18"/>
              </w:rPr>
              <w:t xml:space="preserve"> </w:t>
            </w:r>
            <w:r>
              <w:rPr>
                <w:rFonts w:ascii="Calibri"/>
                <w:b/>
                <w:sz w:val="18"/>
                <w:u w:val="single"/>
              </w:rPr>
              <w:t>PROVISIONS</w:t>
            </w:r>
          </w:p>
        </w:tc>
        <w:tc>
          <w:tcPr>
            <w:tcW w:w="810" w:type="dxa"/>
          </w:tcPr>
          <w:p w:rsidR="007C5447" w:rsidRDefault="007C5447">
            <w:pPr>
              <w:pStyle w:val="TableParagraph"/>
              <w:jc w:val="left"/>
              <w:rPr>
                <w:sz w:val="20"/>
              </w:rPr>
            </w:pPr>
          </w:p>
        </w:tc>
        <w:tc>
          <w:tcPr>
            <w:tcW w:w="948" w:type="dxa"/>
          </w:tcPr>
          <w:p w:rsidR="007C5447" w:rsidRDefault="007C5447">
            <w:pPr>
              <w:pStyle w:val="TableParagraph"/>
              <w:jc w:val="left"/>
              <w:rPr>
                <w:sz w:val="20"/>
              </w:rPr>
            </w:pPr>
          </w:p>
        </w:tc>
      </w:tr>
      <w:tr w:rsidR="007C5447">
        <w:trPr>
          <w:trHeight w:val="438"/>
        </w:trPr>
        <w:tc>
          <w:tcPr>
            <w:tcW w:w="3184" w:type="dxa"/>
          </w:tcPr>
          <w:p w:rsidR="007C5447" w:rsidRDefault="007C5447">
            <w:pPr>
              <w:pStyle w:val="TableParagraph"/>
              <w:jc w:val="left"/>
              <w:rPr>
                <w:sz w:val="20"/>
              </w:rPr>
            </w:pPr>
          </w:p>
        </w:tc>
        <w:tc>
          <w:tcPr>
            <w:tcW w:w="808" w:type="dxa"/>
          </w:tcPr>
          <w:p w:rsidR="007C5447" w:rsidRDefault="007C5447">
            <w:pPr>
              <w:pStyle w:val="TableParagraph"/>
              <w:jc w:val="left"/>
              <w:rPr>
                <w:sz w:val="20"/>
              </w:rPr>
            </w:pPr>
          </w:p>
        </w:tc>
        <w:tc>
          <w:tcPr>
            <w:tcW w:w="948" w:type="dxa"/>
          </w:tcPr>
          <w:p w:rsidR="007C5447" w:rsidRDefault="007C5447">
            <w:pPr>
              <w:pStyle w:val="TableParagraph"/>
              <w:jc w:val="left"/>
              <w:rPr>
                <w:sz w:val="20"/>
              </w:rPr>
            </w:pPr>
          </w:p>
        </w:tc>
        <w:tc>
          <w:tcPr>
            <w:tcW w:w="3294" w:type="dxa"/>
          </w:tcPr>
          <w:p w:rsidR="007C5447" w:rsidRDefault="00F6308C">
            <w:pPr>
              <w:pStyle w:val="TableParagraph"/>
              <w:spacing w:line="220" w:lineRule="atLeast"/>
              <w:ind w:left="107" w:right="422"/>
              <w:jc w:val="left"/>
              <w:rPr>
                <w:rFonts w:ascii="Calibri"/>
                <w:i/>
                <w:sz w:val="18"/>
              </w:rPr>
            </w:pPr>
            <w:r>
              <w:rPr>
                <w:rFonts w:ascii="Calibri"/>
                <w:i/>
                <w:sz w:val="18"/>
              </w:rPr>
              <w:t>Staff Related Liabilities, Provision and Contribution from Staff</w:t>
            </w:r>
          </w:p>
        </w:tc>
        <w:tc>
          <w:tcPr>
            <w:tcW w:w="810" w:type="dxa"/>
          </w:tcPr>
          <w:p w:rsidR="007C5447" w:rsidRDefault="00F6308C">
            <w:pPr>
              <w:pStyle w:val="TableParagraph"/>
              <w:spacing w:before="110"/>
              <w:ind w:left="130" w:right="124"/>
              <w:jc w:val="center"/>
              <w:rPr>
                <w:rFonts w:ascii="Calibri"/>
                <w:sz w:val="18"/>
              </w:rPr>
            </w:pPr>
            <w:r>
              <w:rPr>
                <w:rFonts w:ascii="Calibri"/>
                <w:sz w:val="18"/>
              </w:rPr>
              <w:t>108.47</w:t>
            </w:r>
          </w:p>
        </w:tc>
        <w:tc>
          <w:tcPr>
            <w:tcW w:w="948" w:type="dxa"/>
          </w:tcPr>
          <w:p w:rsidR="007C5447" w:rsidRDefault="007C5447">
            <w:pPr>
              <w:pStyle w:val="TableParagraph"/>
              <w:jc w:val="left"/>
              <w:rPr>
                <w:sz w:val="20"/>
              </w:rPr>
            </w:pPr>
          </w:p>
        </w:tc>
      </w:tr>
      <w:tr w:rsidR="007C5447">
        <w:trPr>
          <w:trHeight w:val="229"/>
        </w:trPr>
        <w:tc>
          <w:tcPr>
            <w:tcW w:w="3184" w:type="dxa"/>
          </w:tcPr>
          <w:p w:rsidR="007C5447" w:rsidRDefault="007C5447">
            <w:pPr>
              <w:pStyle w:val="TableParagraph"/>
              <w:jc w:val="left"/>
              <w:rPr>
                <w:sz w:val="16"/>
              </w:rPr>
            </w:pPr>
          </w:p>
        </w:tc>
        <w:tc>
          <w:tcPr>
            <w:tcW w:w="808"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c>
          <w:tcPr>
            <w:tcW w:w="3294" w:type="dxa"/>
          </w:tcPr>
          <w:p w:rsidR="007C5447" w:rsidRDefault="00F6308C">
            <w:pPr>
              <w:pStyle w:val="TableParagraph"/>
              <w:spacing w:before="9" w:line="199" w:lineRule="exact"/>
              <w:ind w:left="106"/>
              <w:jc w:val="left"/>
              <w:rPr>
                <w:rFonts w:ascii="Calibri"/>
                <w:b/>
                <w:sz w:val="18"/>
              </w:rPr>
            </w:pPr>
            <w:r>
              <w:rPr>
                <w:rFonts w:ascii="Calibri"/>
                <w:b/>
                <w:sz w:val="18"/>
              </w:rPr>
              <w:t>TOTAL CURRENT LIABILITIES</w:t>
            </w:r>
          </w:p>
        </w:tc>
        <w:tc>
          <w:tcPr>
            <w:tcW w:w="810" w:type="dxa"/>
          </w:tcPr>
          <w:p w:rsidR="007C5447" w:rsidRDefault="00F6308C">
            <w:pPr>
              <w:pStyle w:val="TableParagraph"/>
              <w:spacing w:before="3" w:line="205" w:lineRule="exact"/>
              <w:ind w:left="131" w:right="124"/>
              <w:jc w:val="center"/>
              <w:rPr>
                <w:rFonts w:ascii="Calibri"/>
                <w:b/>
                <w:sz w:val="18"/>
              </w:rPr>
            </w:pPr>
            <w:r>
              <w:rPr>
                <w:rFonts w:ascii="Calibri"/>
                <w:b/>
                <w:sz w:val="18"/>
              </w:rPr>
              <w:t>108.47</w:t>
            </w:r>
          </w:p>
        </w:tc>
        <w:tc>
          <w:tcPr>
            <w:tcW w:w="948" w:type="dxa"/>
          </w:tcPr>
          <w:p w:rsidR="007C5447" w:rsidRDefault="007C5447">
            <w:pPr>
              <w:pStyle w:val="TableParagraph"/>
              <w:jc w:val="left"/>
              <w:rPr>
                <w:sz w:val="16"/>
              </w:rPr>
            </w:pPr>
          </w:p>
        </w:tc>
      </w:tr>
      <w:tr w:rsidR="007C5447">
        <w:trPr>
          <w:trHeight w:val="230"/>
        </w:trPr>
        <w:tc>
          <w:tcPr>
            <w:tcW w:w="3184" w:type="dxa"/>
          </w:tcPr>
          <w:p w:rsidR="007C5447" w:rsidRDefault="007C5447">
            <w:pPr>
              <w:pStyle w:val="TableParagraph"/>
              <w:jc w:val="left"/>
              <w:rPr>
                <w:sz w:val="16"/>
              </w:rPr>
            </w:pPr>
          </w:p>
        </w:tc>
        <w:tc>
          <w:tcPr>
            <w:tcW w:w="808"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c>
          <w:tcPr>
            <w:tcW w:w="3294" w:type="dxa"/>
          </w:tcPr>
          <w:p w:rsidR="007C5447" w:rsidRDefault="007C5447">
            <w:pPr>
              <w:pStyle w:val="TableParagraph"/>
              <w:jc w:val="left"/>
              <w:rPr>
                <w:sz w:val="16"/>
              </w:rPr>
            </w:pPr>
          </w:p>
        </w:tc>
        <w:tc>
          <w:tcPr>
            <w:tcW w:w="810"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r>
      <w:tr w:rsidR="007C5447">
        <w:trPr>
          <w:trHeight w:val="230"/>
        </w:trPr>
        <w:tc>
          <w:tcPr>
            <w:tcW w:w="3184" w:type="dxa"/>
          </w:tcPr>
          <w:p w:rsidR="007C5447" w:rsidRDefault="007C5447">
            <w:pPr>
              <w:pStyle w:val="TableParagraph"/>
              <w:jc w:val="left"/>
              <w:rPr>
                <w:sz w:val="16"/>
              </w:rPr>
            </w:pPr>
          </w:p>
        </w:tc>
        <w:tc>
          <w:tcPr>
            <w:tcW w:w="808"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c>
          <w:tcPr>
            <w:tcW w:w="3294" w:type="dxa"/>
          </w:tcPr>
          <w:p w:rsidR="007C5447" w:rsidRDefault="00F6308C">
            <w:pPr>
              <w:pStyle w:val="TableParagraph"/>
              <w:spacing w:before="11" w:line="199" w:lineRule="exact"/>
              <w:ind w:left="106"/>
              <w:jc w:val="left"/>
              <w:rPr>
                <w:rFonts w:ascii="Calibri"/>
                <w:b/>
                <w:sz w:val="18"/>
              </w:rPr>
            </w:pPr>
            <w:r>
              <w:rPr>
                <w:rFonts w:ascii="Calibri"/>
                <w:b/>
                <w:sz w:val="18"/>
              </w:rPr>
              <w:t>NET CURRENT ASSETS</w:t>
            </w:r>
          </w:p>
        </w:tc>
        <w:tc>
          <w:tcPr>
            <w:tcW w:w="810" w:type="dxa"/>
          </w:tcPr>
          <w:p w:rsidR="007C5447" w:rsidRDefault="007C5447">
            <w:pPr>
              <w:pStyle w:val="TableParagraph"/>
              <w:jc w:val="left"/>
              <w:rPr>
                <w:sz w:val="16"/>
              </w:rPr>
            </w:pPr>
          </w:p>
        </w:tc>
        <w:tc>
          <w:tcPr>
            <w:tcW w:w="948" w:type="dxa"/>
          </w:tcPr>
          <w:p w:rsidR="007C5447" w:rsidRDefault="00F6308C">
            <w:pPr>
              <w:pStyle w:val="TableParagraph"/>
              <w:spacing w:before="5" w:line="205" w:lineRule="exact"/>
              <w:ind w:left="7"/>
              <w:jc w:val="center"/>
              <w:rPr>
                <w:rFonts w:ascii="Calibri" w:hAnsi="Calibri"/>
                <w:b/>
                <w:sz w:val="18"/>
              </w:rPr>
            </w:pPr>
            <w:r>
              <w:rPr>
                <w:rFonts w:ascii="Calibri" w:hAnsi="Calibri"/>
                <w:b/>
                <w:sz w:val="18"/>
              </w:rPr>
              <w:t>‐</w:t>
            </w:r>
          </w:p>
        </w:tc>
      </w:tr>
      <w:tr w:rsidR="007C5447">
        <w:trPr>
          <w:trHeight w:val="230"/>
        </w:trPr>
        <w:tc>
          <w:tcPr>
            <w:tcW w:w="3184" w:type="dxa"/>
          </w:tcPr>
          <w:p w:rsidR="007C5447" w:rsidRDefault="007C5447">
            <w:pPr>
              <w:pStyle w:val="TableParagraph"/>
              <w:jc w:val="left"/>
              <w:rPr>
                <w:sz w:val="16"/>
              </w:rPr>
            </w:pPr>
          </w:p>
        </w:tc>
        <w:tc>
          <w:tcPr>
            <w:tcW w:w="808"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c>
          <w:tcPr>
            <w:tcW w:w="3294" w:type="dxa"/>
          </w:tcPr>
          <w:p w:rsidR="007C5447" w:rsidRDefault="007C5447">
            <w:pPr>
              <w:pStyle w:val="TableParagraph"/>
              <w:jc w:val="left"/>
              <w:rPr>
                <w:sz w:val="16"/>
              </w:rPr>
            </w:pPr>
          </w:p>
        </w:tc>
        <w:tc>
          <w:tcPr>
            <w:tcW w:w="810" w:type="dxa"/>
          </w:tcPr>
          <w:p w:rsidR="007C5447" w:rsidRDefault="007C5447">
            <w:pPr>
              <w:pStyle w:val="TableParagraph"/>
              <w:jc w:val="left"/>
              <w:rPr>
                <w:sz w:val="16"/>
              </w:rPr>
            </w:pPr>
          </w:p>
        </w:tc>
        <w:tc>
          <w:tcPr>
            <w:tcW w:w="948" w:type="dxa"/>
          </w:tcPr>
          <w:p w:rsidR="007C5447" w:rsidRDefault="007C5447">
            <w:pPr>
              <w:pStyle w:val="TableParagraph"/>
              <w:jc w:val="left"/>
              <w:rPr>
                <w:sz w:val="16"/>
              </w:rPr>
            </w:pPr>
          </w:p>
        </w:tc>
      </w:tr>
      <w:tr w:rsidR="007C5447">
        <w:trPr>
          <w:trHeight w:val="230"/>
        </w:trPr>
        <w:tc>
          <w:tcPr>
            <w:tcW w:w="3184" w:type="dxa"/>
          </w:tcPr>
          <w:p w:rsidR="007C5447" w:rsidRDefault="00F6308C">
            <w:pPr>
              <w:pStyle w:val="TableParagraph"/>
              <w:spacing w:before="11" w:line="199" w:lineRule="exact"/>
              <w:ind w:left="920"/>
              <w:jc w:val="left"/>
              <w:rPr>
                <w:rFonts w:ascii="Calibri"/>
                <w:b/>
                <w:sz w:val="18"/>
              </w:rPr>
            </w:pPr>
            <w:r>
              <w:rPr>
                <w:rFonts w:ascii="Calibri"/>
                <w:b/>
                <w:sz w:val="18"/>
              </w:rPr>
              <w:t>TOTAL LIABILITIES</w:t>
            </w:r>
          </w:p>
        </w:tc>
        <w:tc>
          <w:tcPr>
            <w:tcW w:w="808" w:type="dxa"/>
          </w:tcPr>
          <w:p w:rsidR="007C5447" w:rsidRDefault="007C5447">
            <w:pPr>
              <w:pStyle w:val="TableParagraph"/>
              <w:jc w:val="left"/>
              <w:rPr>
                <w:sz w:val="16"/>
              </w:rPr>
            </w:pPr>
          </w:p>
        </w:tc>
        <w:tc>
          <w:tcPr>
            <w:tcW w:w="948" w:type="dxa"/>
          </w:tcPr>
          <w:p w:rsidR="007C5447" w:rsidRDefault="00F6308C">
            <w:pPr>
              <w:pStyle w:val="TableParagraph"/>
              <w:spacing w:before="5" w:line="205" w:lineRule="exact"/>
              <w:ind w:left="131" w:right="124"/>
              <w:jc w:val="center"/>
              <w:rPr>
                <w:rFonts w:ascii="Calibri"/>
                <w:b/>
                <w:sz w:val="18"/>
              </w:rPr>
            </w:pPr>
            <w:r>
              <w:rPr>
                <w:rFonts w:ascii="Calibri"/>
                <w:b/>
                <w:sz w:val="18"/>
              </w:rPr>
              <w:t>4,293.81</w:t>
            </w:r>
          </w:p>
        </w:tc>
        <w:tc>
          <w:tcPr>
            <w:tcW w:w="3294" w:type="dxa"/>
          </w:tcPr>
          <w:p w:rsidR="007C5447" w:rsidRDefault="00F6308C">
            <w:pPr>
              <w:pStyle w:val="TableParagraph"/>
              <w:spacing w:before="11" w:line="199" w:lineRule="exact"/>
              <w:ind w:left="1091" w:right="1085"/>
              <w:jc w:val="center"/>
              <w:rPr>
                <w:rFonts w:ascii="Calibri"/>
                <w:b/>
                <w:sz w:val="18"/>
              </w:rPr>
            </w:pPr>
            <w:r>
              <w:rPr>
                <w:rFonts w:ascii="Calibri"/>
                <w:b/>
                <w:sz w:val="18"/>
              </w:rPr>
              <w:t>TOTAL ASSETS</w:t>
            </w:r>
          </w:p>
        </w:tc>
        <w:tc>
          <w:tcPr>
            <w:tcW w:w="810" w:type="dxa"/>
          </w:tcPr>
          <w:p w:rsidR="007C5447" w:rsidRDefault="007C5447">
            <w:pPr>
              <w:pStyle w:val="TableParagraph"/>
              <w:jc w:val="left"/>
              <w:rPr>
                <w:sz w:val="16"/>
              </w:rPr>
            </w:pPr>
          </w:p>
        </w:tc>
        <w:tc>
          <w:tcPr>
            <w:tcW w:w="948" w:type="dxa"/>
          </w:tcPr>
          <w:p w:rsidR="007C5447" w:rsidRDefault="00F6308C">
            <w:pPr>
              <w:pStyle w:val="TableParagraph"/>
              <w:spacing w:before="5" w:line="205" w:lineRule="exact"/>
              <w:ind w:left="131" w:right="124"/>
              <w:jc w:val="center"/>
              <w:rPr>
                <w:rFonts w:ascii="Calibri"/>
                <w:b/>
                <w:sz w:val="18"/>
              </w:rPr>
            </w:pPr>
            <w:r>
              <w:rPr>
                <w:rFonts w:ascii="Calibri"/>
                <w:b/>
                <w:sz w:val="18"/>
              </w:rPr>
              <w:t>4,293.81</w:t>
            </w:r>
          </w:p>
        </w:tc>
      </w:tr>
    </w:tbl>
    <w:p w:rsidR="007C5447" w:rsidRDefault="007C5447">
      <w:pPr>
        <w:pStyle w:val="BodyText"/>
        <w:spacing w:before="8"/>
        <w:rPr>
          <w:rFonts w:ascii="Arial"/>
          <w:sz w:val="28"/>
        </w:rPr>
      </w:pPr>
    </w:p>
    <w:p w:rsidR="007C5447" w:rsidRDefault="007C5447">
      <w:pPr>
        <w:rPr>
          <w:rFonts w:ascii="Arial"/>
          <w:sz w:val="28"/>
        </w:rPr>
        <w:sectPr w:rsidR="007C5447">
          <w:footerReference w:type="default" r:id="rId95"/>
          <w:pgSz w:w="12240" w:h="15840"/>
          <w:pgMar w:top="1360" w:right="740" w:bottom="280" w:left="600" w:header="0" w:footer="0" w:gutter="0"/>
          <w:cols w:space="720"/>
        </w:sectPr>
      </w:pPr>
    </w:p>
    <w:p w:rsidR="007C5447" w:rsidRDefault="00F6308C">
      <w:pPr>
        <w:spacing w:before="100"/>
        <w:ind w:left="840"/>
        <w:rPr>
          <w:rFonts w:ascii="Tahoma"/>
          <w:b/>
          <w:sz w:val="24"/>
        </w:rPr>
      </w:pPr>
      <w:r>
        <w:rPr>
          <w:rFonts w:ascii="Tahoma"/>
          <w:b/>
          <w:sz w:val="24"/>
          <w:u w:val="thick"/>
        </w:rPr>
        <w:t>Note:-</w:t>
      </w:r>
    </w:p>
    <w:p w:rsidR="007C5447" w:rsidRDefault="00F6308C">
      <w:pPr>
        <w:pStyle w:val="BodyText"/>
        <w:rPr>
          <w:rFonts w:ascii="Tahoma"/>
          <w:b/>
          <w:sz w:val="26"/>
        </w:rPr>
      </w:pPr>
      <w:r>
        <w:br w:type="column"/>
      </w:r>
    </w:p>
    <w:p w:rsidR="007C5447" w:rsidRDefault="00F6308C">
      <w:pPr>
        <w:pStyle w:val="ListParagraph"/>
        <w:numPr>
          <w:ilvl w:val="0"/>
          <w:numId w:val="1"/>
        </w:numPr>
        <w:tabs>
          <w:tab w:val="left" w:pos="634"/>
        </w:tabs>
        <w:spacing w:before="176" w:line="360" w:lineRule="auto"/>
        <w:ind w:right="699"/>
        <w:rPr>
          <w:rFonts w:ascii="Arial"/>
          <w:sz w:val="24"/>
        </w:rPr>
      </w:pPr>
      <w:r>
        <w:rPr>
          <w:rFonts w:ascii="Arial"/>
          <w:sz w:val="24"/>
        </w:rPr>
        <w:t>The value of the buildings are determined based on PWD Schedule Rates for Construction based on notification issued for the FY</w:t>
      </w:r>
      <w:r>
        <w:rPr>
          <w:rFonts w:ascii="Arial"/>
          <w:spacing w:val="-17"/>
          <w:sz w:val="24"/>
        </w:rPr>
        <w:t xml:space="preserve"> </w:t>
      </w:r>
      <w:r>
        <w:rPr>
          <w:rFonts w:ascii="Arial"/>
          <w:sz w:val="24"/>
        </w:rPr>
        <w:t>2010-11.</w:t>
      </w:r>
    </w:p>
    <w:p w:rsidR="007C5447" w:rsidRDefault="00F6308C">
      <w:pPr>
        <w:pStyle w:val="ListParagraph"/>
        <w:numPr>
          <w:ilvl w:val="0"/>
          <w:numId w:val="1"/>
        </w:numPr>
        <w:tabs>
          <w:tab w:val="left" w:pos="634"/>
        </w:tabs>
        <w:spacing w:before="60" w:line="360" w:lineRule="auto"/>
        <w:ind w:right="699"/>
        <w:rPr>
          <w:rFonts w:ascii="Arial"/>
          <w:sz w:val="24"/>
        </w:rPr>
      </w:pPr>
      <w:r>
        <w:rPr>
          <w:rFonts w:ascii="Arial"/>
          <w:sz w:val="24"/>
        </w:rPr>
        <w:t>The shares to the extent of the value of the share capital mentioned above shall</w:t>
      </w:r>
      <w:r>
        <w:rPr>
          <w:rFonts w:ascii="Arial"/>
          <w:spacing w:val="40"/>
          <w:sz w:val="24"/>
        </w:rPr>
        <w:t xml:space="preserve"> </w:t>
      </w:r>
      <w:r>
        <w:rPr>
          <w:rFonts w:ascii="Arial"/>
          <w:sz w:val="24"/>
        </w:rPr>
        <w:t>be</w:t>
      </w:r>
      <w:r>
        <w:rPr>
          <w:rFonts w:ascii="Arial"/>
          <w:spacing w:val="40"/>
          <w:sz w:val="24"/>
        </w:rPr>
        <w:t xml:space="preserve"> </w:t>
      </w:r>
      <w:r>
        <w:rPr>
          <w:rFonts w:ascii="Arial"/>
          <w:sz w:val="24"/>
        </w:rPr>
        <w:t>issued</w:t>
      </w:r>
      <w:r>
        <w:rPr>
          <w:rFonts w:ascii="Arial"/>
          <w:spacing w:val="40"/>
          <w:sz w:val="24"/>
        </w:rPr>
        <w:t xml:space="preserve"> </w:t>
      </w:r>
      <w:r>
        <w:rPr>
          <w:rFonts w:ascii="Arial"/>
          <w:sz w:val="24"/>
        </w:rPr>
        <w:t>by</w:t>
      </w:r>
      <w:r>
        <w:rPr>
          <w:rFonts w:ascii="Arial"/>
          <w:spacing w:val="42"/>
          <w:sz w:val="24"/>
        </w:rPr>
        <w:t xml:space="preserve"> </w:t>
      </w:r>
      <w:r>
        <w:rPr>
          <w:rFonts w:ascii="Arial"/>
          <w:sz w:val="24"/>
        </w:rPr>
        <w:t>the</w:t>
      </w:r>
      <w:r>
        <w:rPr>
          <w:rFonts w:ascii="Arial"/>
          <w:spacing w:val="40"/>
          <w:sz w:val="24"/>
        </w:rPr>
        <w:t xml:space="preserve"> </w:t>
      </w:r>
      <w:r>
        <w:rPr>
          <w:rFonts w:ascii="Arial"/>
          <w:sz w:val="24"/>
        </w:rPr>
        <w:t>TNEB</w:t>
      </w:r>
      <w:r>
        <w:rPr>
          <w:rFonts w:ascii="Arial"/>
          <w:spacing w:val="40"/>
          <w:sz w:val="24"/>
        </w:rPr>
        <w:t xml:space="preserve"> </w:t>
      </w:r>
      <w:r>
        <w:rPr>
          <w:rFonts w:ascii="Arial"/>
          <w:sz w:val="24"/>
        </w:rPr>
        <w:t>Limited</w:t>
      </w:r>
      <w:r>
        <w:rPr>
          <w:rFonts w:ascii="Arial"/>
          <w:spacing w:val="41"/>
          <w:sz w:val="24"/>
        </w:rPr>
        <w:t xml:space="preserve"> </w:t>
      </w:r>
      <w:r>
        <w:rPr>
          <w:rFonts w:ascii="Arial"/>
          <w:sz w:val="24"/>
        </w:rPr>
        <w:t>in</w:t>
      </w:r>
      <w:r>
        <w:rPr>
          <w:rFonts w:ascii="Arial"/>
          <w:spacing w:val="40"/>
          <w:sz w:val="24"/>
        </w:rPr>
        <w:t xml:space="preserve"> </w:t>
      </w:r>
      <w:r>
        <w:rPr>
          <w:rFonts w:ascii="Arial"/>
          <w:sz w:val="24"/>
        </w:rPr>
        <w:t>favour</w:t>
      </w:r>
      <w:r>
        <w:rPr>
          <w:rFonts w:ascii="Arial"/>
          <w:spacing w:val="40"/>
          <w:sz w:val="24"/>
        </w:rPr>
        <w:t xml:space="preserve"> </w:t>
      </w:r>
      <w:r>
        <w:rPr>
          <w:rFonts w:ascii="Arial"/>
          <w:sz w:val="24"/>
        </w:rPr>
        <w:t>of</w:t>
      </w:r>
      <w:r>
        <w:rPr>
          <w:rFonts w:ascii="Arial"/>
          <w:spacing w:val="42"/>
          <w:sz w:val="24"/>
        </w:rPr>
        <w:t xml:space="preserve"> </w:t>
      </w:r>
      <w:r>
        <w:rPr>
          <w:rFonts w:ascii="Arial"/>
          <w:sz w:val="24"/>
        </w:rPr>
        <w:t>State</w:t>
      </w:r>
      <w:r>
        <w:rPr>
          <w:rFonts w:ascii="Arial"/>
          <w:spacing w:val="40"/>
          <w:sz w:val="24"/>
        </w:rPr>
        <w:t xml:space="preserve"> </w:t>
      </w:r>
      <w:r>
        <w:rPr>
          <w:rFonts w:ascii="Arial"/>
          <w:sz w:val="24"/>
        </w:rPr>
        <w:t>Government</w:t>
      </w:r>
      <w:r>
        <w:rPr>
          <w:rFonts w:ascii="Arial"/>
          <w:spacing w:val="40"/>
          <w:sz w:val="24"/>
        </w:rPr>
        <w:t xml:space="preserve"> </w:t>
      </w:r>
      <w:r>
        <w:rPr>
          <w:rFonts w:ascii="Arial"/>
          <w:sz w:val="24"/>
        </w:rPr>
        <w:t>at</w:t>
      </w:r>
    </w:p>
    <w:p w:rsidR="007C5447" w:rsidRDefault="007C5447">
      <w:pPr>
        <w:spacing w:line="360" w:lineRule="auto"/>
        <w:rPr>
          <w:rFonts w:ascii="Arial"/>
          <w:sz w:val="24"/>
        </w:rPr>
        <w:sectPr w:rsidR="007C5447">
          <w:type w:val="continuous"/>
          <w:pgSz w:w="12240" w:h="15840"/>
          <w:pgMar w:top="1580" w:right="740" w:bottom="1580" w:left="600" w:header="720" w:footer="720" w:gutter="0"/>
          <w:cols w:num="2" w:space="720" w:equalWidth="0">
            <w:col w:w="1607" w:space="40"/>
            <w:col w:w="9253"/>
          </w:cols>
        </w:sectPr>
      </w:pPr>
    </w:p>
    <w:p w:rsidR="007C5447" w:rsidRDefault="00F6308C">
      <w:pPr>
        <w:pStyle w:val="BodyText"/>
        <w:spacing w:before="77"/>
        <w:ind w:left="2280"/>
        <w:rPr>
          <w:rFonts w:ascii="Arial" w:hAnsi="Arial"/>
        </w:rPr>
      </w:pPr>
      <w:r>
        <w:rPr>
          <w:rFonts w:ascii="Arial" w:hAnsi="Arial"/>
        </w:rPr>
        <w:lastRenderedPageBreak/>
        <w:t>par”.;</w:t>
      </w:r>
    </w:p>
    <w:p w:rsidR="007C5447" w:rsidRDefault="007C5447">
      <w:pPr>
        <w:pStyle w:val="BodyText"/>
        <w:rPr>
          <w:rFonts w:ascii="Arial"/>
          <w:sz w:val="26"/>
        </w:rPr>
      </w:pPr>
    </w:p>
    <w:p w:rsidR="007C5447" w:rsidRDefault="007C5447">
      <w:pPr>
        <w:pStyle w:val="BodyText"/>
        <w:rPr>
          <w:rFonts w:ascii="Arial"/>
          <w:sz w:val="26"/>
        </w:rPr>
      </w:pPr>
    </w:p>
    <w:p w:rsidR="007C5447" w:rsidRDefault="007C5447">
      <w:pPr>
        <w:pStyle w:val="BodyText"/>
        <w:rPr>
          <w:rFonts w:ascii="Arial"/>
          <w:sz w:val="26"/>
        </w:rPr>
      </w:pPr>
    </w:p>
    <w:p w:rsidR="007C5447" w:rsidRDefault="007C5447">
      <w:pPr>
        <w:pStyle w:val="BodyText"/>
        <w:rPr>
          <w:rFonts w:ascii="Arial"/>
          <w:sz w:val="26"/>
        </w:rPr>
      </w:pPr>
    </w:p>
    <w:p w:rsidR="007C5447" w:rsidRDefault="007C5447">
      <w:pPr>
        <w:pStyle w:val="BodyText"/>
        <w:spacing w:before="2"/>
        <w:rPr>
          <w:rFonts w:ascii="Arial"/>
          <w:sz w:val="30"/>
        </w:rPr>
      </w:pPr>
    </w:p>
    <w:p w:rsidR="007C5447" w:rsidRDefault="00F6308C">
      <w:pPr>
        <w:pStyle w:val="ListParagraph"/>
        <w:numPr>
          <w:ilvl w:val="0"/>
          <w:numId w:val="4"/>
        </w:numPr>
        <w:tabs>
          <w:tab w:val="left" w:pos="1988"/>
        </w:tabs>
        <w:ind w:left="1987" w:right="171" w:hanging="1988"/>
        <w:rPr>
          <w:rFonts w:ascii="Arial" w:hAnsi="Arial"/>
          <w:sz w:val="24"/>
        </w:rPr>
      </w:pPr>
      <w:r>
        <w:rPr>
          <w:rFonts w:ascii="Arial" w:hAnsi="Arial"/>
          <w:sz w:val="24"/>
        </w:rPr>
        <w:t>after “Schedule-C”, the following Schedule shall be added,</w:t>
      </w:r>
      <w:r>
        <w:rPr>
          <w:rFonts w:ascii="Arial" w:hAnsi="Arial"/>
          <w:spacing w:val="-7"/>
          <w:sz w:val="24"/>
        </w:rPr>
        <w:t xml:space="preserve"> </w:t>
      </w:r>
      <w:r>
        <w:rPr>
          <w:rFonts w:ascii="Arial" w:hAnsi="Arial"/>
          <w:sz w:val="24"/>
        </w:rPr>
        <w:t>namely:-</w:t>
      </w:r>
    </w:p>
    <w:p w:rsidR="007C5447" w:rsidRDefault="00F6308C">
      <w:pPr>
        <w:spacing w:before="43"/>
        <w:ind w:left="501" w:right="689"/>
        <w:jc w:val="center"/>
        <w:rPr>
          <w:rFonts w:ascii="Tahoma" w:hAnsi="Tahoma"/>
          <w:b/>
          <w:sz w:val="24"/>
        </w:rPr>
      </w:pPr>
      <w:r>
        <w:rPr>
          <w:rFonts w:ascii="Tahoma" w:hAnsi="Tahoma"/>
          <w:b/>
          <w:sz w:val="24"/>
          <w:u w:val="thick"/>
        </w:rPr>
        <w:t>“SCHEDULE - D</w:t>
      </w:r>
    </w:p>
    <w:p w:rsidR="007C5447" w:rsidRDefault="00F6308C">
      <w:pPr>
        <w:spacing w:before="103"/>
        <w:ind w:left="767" w:right="627"/>
        <w:jc w:val="center"/>
        <w:rPr>
          <w:rFonts w:ascii="Tahoma"/>
          <w:b/>
          <w:sz w:val="24"/>
        </w:rPr>
      </w:pPr>
      <w:r>
        <w:rPr>
          <w:rFonts w:ascii="Tahoma"/>
          <w:b/>
          <w:sz w:val="24"/>
          <w:u w:val="thick"/>
        </w:rPr>
        <w:t>List of Function-wise Accounts Rendering Units / Circle Offices</w:t>
      </w:r>
    </w:p>
    <w:p w:rsidR="007C5447" w:rsidRDefault="007C5447">
      <w:pPr>
        <w:pStyle w:val="BodyText"/>
        <w:rPr>
          <w:rFonts w:ascii="Tahoma"/>
          <w:b/>
          <w:sz w:val="5"/>
        </w:rPr>
      </w:pPr>
    </w:p>
    <w:tbl>
      <w:tblPr>
        <w:tblW w:w="0" w:type="auto"/>
        <w:tblInd w:w="1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8"/>
        <w:gridCol w:w="2782"/>
        <w:gridCol w:w="2669"/>
      </w:tblGrid>
      <w:tr w:rsidR="007C5447">
        <w:trPr>
          <w:trHeight w:val="453"/>
        </w:trPr>
        <w:tc>
          <w:tcPr>
            <w:tcW w:w="6120" w:type="dxa"/>
            <w:gridSpan w:val="2"/>
          </w:tcPr>
          <w:p w:rsidR="007C5447" w:rsidRDefault="00F6308C">
            <w:pPr>
              <w:pStyle w:val="TableParagraph"/>
              <w:spacing w:before="59"/>
              <w:ind w:left="2366" w:right="2354"/>
              <w:jc w:val="center"/>
              <w:rPr>
                <w:rFonts w:ascii="Tahoma"/>
                <w:b/>
                <w:sz w:val="24"/>
              </w:rPr>
            </w:pPr>
            <w:r>
              <w:rPr>
                <w:rFonts w:ascii="Tahoma"/>
                <w:b/>
                <w:sz w:val="24"/>
                <w:u w:val="thick"/>
              </w:rPr>
              <w:t>TANGEDCO</w:t>
            </w:r>
          </w:p>
        </w:tc>
        <w:tc>
          <w:tcPr>
            <w:tcW w:w="2669" w:type="dxa"/>
          </w:tcPr>
          <w:p w:rsidR="007C5447" w:rsidRDefault="00F6308C">
            <w:pPr>
              <w:pStyle w:val="TableParagraph"/>
              <w:spacing w:before="59"/>
              <w:ind w:left="342" w:right="332"/>
              <w:jc w:val="center"/>
              <w:rPr>
                <w:rFonts w:ascii="Tahoma"/>
                <w:b/>
                <w:sz w:val="24"/>
              </w:rPr>
            </w:pPr>
            <w:r>
              <w:rPr>
                <w:rFonts w:ascii="Tahoma"/>
                <w:b/>
                <w:sz w:val="24"/>
                <w:u w:val="thick"/>
              </w:rPr>
              <w:t>TANTRANSCO</w:t>
            </w:r>
          </w:p>
        </w:tc>
      </w:tr>
      <w:tr w:rsidR="007C5447">
        <w:trPr>
          <w:trHeight w:val="453"/>
        </w:trPr>
        <w:tc>
          <w:tcPr>
            <w:tcW w:w="3338" w:type="dxa"/>
          </w:tcPr>
          <w:p w:rsidR="007C5447" w:rsidRDefault="00F6308C">
            <w:pPr>
              <w:pStyle w:val="TableParagraph"/>
              <w:spacing w:before="59"/>
              <w:ind w:left="853"/>
              <w:jc w:val="left"/>
              <w:rPr>
                <w:rFonts w:ascii="Tahoma"/>
                <w:b/>
                <w:sz w:val="24"/>
              </w:rPr>
            </w:pPr>
            <w:r>
              <w:rPr>
                <w:rFonts w:ascii="Tahoma"/>
                <w:b/>
                <w:sz w:val="24"/>
                <w:u w:val="thick"/>
              </w:rPr>
              <w:t>GENERATION</w:t>
            </w:r>
          </w:p>
        </w:tc>
        <w:tc>
          <w:tcPr>
            <w:tcW w:w="2782" w:type="dxa"/>
          </w:tcPr>
          <w:p w:rsidR="007C5447" w:rsidRDefault="00F6308C">
            <w:pPr>
              <w:pStyle w:val="TableParagraph"/>
              <w:spacing w:before="59"/>
              <w:ind w:left="461"/>
              <w:jc w:val="left"/>
              <w:rPr>
                <w:rFonts w:ascii="Tahoma"/>
                <w:b/>
                <w:sz w:val="24"/>
              </w:rPr>
            </w:pPr>
            <w:r>
              <w:rPr>
                <w:rFonts w:ascii="Tahoma"/>
                <w:b/>
                <w:sz w:val="24"/>
                <w:u w:val="thick"/>
              </w:rPr>
              <w:t>DISTRIBUTION</w:t>
            </w:r>
          </w:p>
        </w:tc>
        <w:tc>
          <w:tcPr>
            <w:tcW w:w="2669" w:type="dxa"/>
          </w:tcPr>
          <w:p w:rsidR="007C5447" w:rsidRDefault="00F6308C">
            <w:pPr>
              <w:pStyle w:val="TableParagraph"/>
              <w:spacing w:before="59"/>
              <w:ind w:left="343" w:right="332"/>
              <w:jc w:val="center"/>
              <w:rPr>
                <w:rFonts w:ascii="Tahoma"/>
                <w:b/>
                <w:sz w:val="24"/>
              </w:rPr>
            </w:pPr>
            <w:r>
              <w:rPr>
                <w:rFonts w:ascii="Tahoma"/>
                <w:b/>
                <w:sz w:val="24"/>
                <w:u w:val="thick"/>
              </w:rPr>
              <w:t>TRANSMISSION</w:t>
            </w:r>
          </w:p>
        </w:tc>
      </w:tr>
      <w:tr w:rsidR="007C5447">
        <w:trPr>
          <w:trHeight w:val="1119"/>
        </w:trPr>
        <w:tc>
          <w:tcPr>
            <w:tcW w:w="3338" w:type="dxa"/>
          </w:tcPr>
          <w:p w:rsidR="007C5447" w:rsidRDefault="007C5447">
            <w:pPr>
              <w:pStyle w:val="TableParagraph"/>
              <w:spacing w:before="7"/>
              <w:jc w:val="left"/>
              <w:rPr>
                <w:rFonts w:ascii="Tahoma"/>
                <w:b/>
                <w:sz w:val="32"/>
              </w:rPr>
            </w:pPr>
          </w:p>
          <w:p w:rsidR="007C5447" w:rsidRDefault="00F6308C">
            <w:pPr>
              <w:pStyle w:val="TableParagraph"/>
              <w:spacing w:line="276" w:lineRule="auto"/>
              <w:ind w:left="107" w:right="338"/>
              <w:jc w:val="left"/>
              <w:rPr>
                <w:rFonts w:ascii="Tahoma"/>
                <w:b/>
                <w:sz w:val="24"/>
              </w:rPr>
            </w:pPr>
            <w:r>
              <w:rPr>
                <w:rFonts w:ascii="Tahoma"/>
                <w:b/>
                <w:sz w:val="24"/>
                <w:u w:val="thick"/>
              </w:rPr>
              <w:t>THERMAL GENERATING</w:t>
            </w:r>
            <w:r>
              <w:rPr>
                <w:rFonts w:ascii="Tahoma"/>
                <w:b/>
                <w:sz w:val="24"/>
              </w:rPr>
              <w:t xml:space="preserve"> </w:t>
            </w:r>
            <w:r>
              <w:rPr>
                <w:rFonts w:ascii="Tahoma"/>
                <w:b/>
                <w:sz w:val="24"/>
                <w:u w:val="thick"/>
              </w:rPr>
              <w:t>STATIONS</w:t>
            </w:r>
          </w:p>
        </w:tc>
        <w:tc>
          <w:tcPr>
            <w:tcW w:w="2782" w:type="dxa"/>
          </w:tcPr>
          <w:p w:rsidR="007C5447" w:rsidRDefault="007C5447">
            <w:pPr>
              <w:pStyle w:val="TableParagraph"/>
              <w:jc w:val="left"/>
              <w:rPr>
                <w:rFonts w:ascii="Tahoma"/>
                <w:b/>
                <w:sz w:val="28"/>
              </w:rPr>
            </w:pPr>
          </w:p>
          <w:p w:rsidR="007C5447" w:rsidRDefault="007C5447">
            <w:pPr>
              <w:pStyle w:val="TableParagraph"/>
              <w:spacing w:before="2"/>
              <w:jc w:val="left"/>
              <w:rPr>
                <w:rFonts w:ascii="Tahoma"/>
                <w:b/>
                <w:sz w:val="32"/>
              </w:rPr>
            </w:pPr>
          </w:p>
          <w:p w:rsidR="007C5447" w:rsidRDefault="00F6308C">
            <w:pPr>
              <w:pStyle w:val="TableParagraph"/>
              <w:ind w:left="108"/>
              <w:jc w:val="left"/>
              <w:rPr>
                <w:rFonts w:ascii="Tahoma"/>
                <w:sz w:val="24"/>
              </w:rPr>
            </w:pPr>
            <w:r>
              <w:rPr>
                <w:rFonts w:ascii="Tahoma"/>
                <w:sz w:val="24"/>
              </w:rPr>
              <w:t>CHNNAI EDC/CENTRAL</w:t>
            </w:r>
          </w:p>
        </w:tc>
        <w:tc>
          <w:tcPr>
            <w:tcW w:w="2669" w:type="dxa"/>
          </w:tcPr>
          <w:p w:rsidR="007C5447" w:rsidRDefault="00F6308C">
            <w:pPr>
              <w:pStyle w:val="TableParagraph"/>
              <w:spacing w:before="59" w:line="276" w:lineRule="auto"/>
              <w:ind w:left="109" w:right="190"/>
              <w:jc w:val="left"/>
              <w:rPr>
                <w:rFonts w:ascii="Tahoma"/>
                <w:sz w:val="24"/>
              </w:rPr>
            </w:pPr>
            <w:r>
              <w:rPr>
                <w:rFonts w:ascii="Tahoma"/>
                <w:sz w:val="24"/>
              </w:rPr>
              <w:t>GENERAL CONSTRUCTION CIRCLE/COIMBATORE</w:t>
            </w:r>
          </w:p>
        </w:tc>
      </w:tr>
      <w:tr w:rsidR="007C5447">
        <w:trPr>
          <w:trHeight w:val="1120"/>
        </w:trPr>
        <w:tc>
          <w:tcPr>
            <w:tcW w:w="3338" w:type="dxa"/>
          </w:tcPr>
          <w:p w:rsidR="007C5447" w:rsidRDefault="007C5447">
            <w:pPr>
              <w:pStyle w:val="TableParagraph"/>
              <w:jc w:val="left"/>
              <w:rPr>
                <w:rFonts w:ascii="Tahoma"/>
                <w:b/>
                <w:sz w:val="28"/>
              </w:rPr>
            </w:pPr>
          </w:p>
          <w:p w:rsidR="007C5447" w:rsidRDefault="007C5447">
            <w:pPr>
              <w:pStyle w:val="TableParagraph"/>
              <w:spacing w:before="2"/>
              <w:jc w:val="left"/>
              <w:rPr>
                <w:rFonts w:ascii="Tahoma"/>
                <w:b/>
                <w:sz w:val="32"/>
              </w:rPr>
            </w:pPr>
          </w:p>
          <w:p w:rsidR="007C5447" w:rsidRDefault="00F6308C">
            <w:pPr>
              <w:pStyle w:val="TableParagraph"/>
              <w:ind w:left="107"/>
              <w:jc w:val="left"/>
              <w:rPr>
                <w:rFonts w:ascii="Tahoma"/>
                <w:sz w:val="24"/>
              </w:rPr>
            </w:pPr>
            <w:r>
              <w:rPr>
                <w:rFonts w:ascii="Tahoma"/>
                <w:sz w:val="24"/>
              </w:rPr>
              <w:t>ENNORE TPS</w:t>
            </w:r>
          </w:p>
        </w:tc>
        <w:tc>
          <w:tcPr>
            <w:tcW w:w="2782" w:type="dxa"/>
          </w:tcPr>
          <w:p w:rsidR="007C5447" w:rsidRDefault="007C5447">
            <w:pPr>
              <w:pStyle w:val="TableParagraph"/>
              <w:jc w:val="left"/>
              <w:rPr>
                <w:rFonts w:ascii="Tahoma"/>
                <w:b/>
                <w:sz w:val="28"/>
              </w:rPr>
            </w:pPr>
          </w:p>
          <w:p w:rsidR="007C5447" w:rsidRDefault="007C5447">
            <w:pPr>
              <w:pStyle w:val="TableParagraph"/>
              <w:spacing w:before="2"/>
              <w:jc w:val="left"/>
              <w:rPr>
                <w:rFonts w:ascii="Tahoma"/>
                <w:b/>
                <w:sz w:val="32"/>
              </w:rPr>
            </w:pPr>
          </w:p>
          <w:p w:rsidR="007C5447" w:rsidRDefault="00F6308C">
            <w:pPr>
              <w:pStyle w:val="TableParagraph"/>
              <w:ind w:left="108"/>
              <w:jc w:val="left"/>
              <w:rPr>
                <w:rFonts w:ascii="Tahoma"/>
                <w:sz w:val="24"/>
              </w:rPr>
            </w:pPr>
            <w:r>
              <w:rPr>
                <w:rFonts w:ascii="Tahoma"/>
                <w:sz w:val="24"/>
              </w:rPr>
              <w:t>CHENNAI EDC/NORTH</w:t>
            </w:r>
          </w:p>
        </w:tc>
        <w:tc>
          <w:tcPr>
            <w:tcW w:w="2669" w:type="dxa"/>
          </w:tcPr>
          <w:p w:rsidR="007C5447" w:rsidRDefault="00F6308C">
            <w:pPr>
              <w:pStyle w:val="TableParagraph"/>
              <w:spacing w:before="59" w:line="276" w:lineRule="auto"/>
              <w:ind w:left="108" w:right="740"/>
              <w:jc w:val="left"/>
              <w:rPr>
                <w:rFonts w:ascii="Tahoma"/>
                <w:sz w:val="24"/>
              </w:rPr>
            </w:pPr>
            <w:r>
              <w:rPr>
                <w:rFonts w:ascii="Tahoma"/>
                <w:sz w:val="24"/>
              </w:rPr>
              <w:t>GENERAL CONSTRUCTION CIRCLE/MADRAS</w:t>
            </w:r>
          </w:p>
        </w:tc>
      </w:tr>
      <w:tr w:rsidR="007C5447">
        <w:trPr>
          <w:trHeight w:val="1119"/>
        </w:trPr>
        <w:tc>
          <w:tcPr>
            <w:tcW w:w="3338" w:type="dxa"/>
          </w:tcPr>
          <w:p w:rsidR="007C5447" w:rsidRDefault="007C5447">
            <w:pPr>
              <w:pStyle w:val="TableParagraph"/>
              <w:jc w:val="left"/>
              <w:rPr>
                <w:rFonts w:ascii="Tahoma"/>
                <w:b/>
                <w:sz w:val="28"/>
              </w:rPr>
            </w:pPr>
          </w:p>
          <w:p w:rsidR="007C5447" w:rsidRDefault="007C5447">
            <w:pPr>
              <w:pStyle w:val="TableParagraph"/>
              <w:spacing w:before="2"/>
              <w:jc w:val="left"/>
              <w:rPr>
                <w:rFonts w:ascii="Tahoma"/>
                <w:b/>
                <w:sz w:val="32"/>
              </w:rPr>
            </w:pPr>
          </w:p>
          <w:p w:rsidR="007C5447" w:rsidRDefault="00F6308C">
            <w:pPr>
              <w:pStyle w:val="TableParagraph"/>
              <w:ind w:left="107"/>
              <w:jc w:val="left"/>
              <w:rPr>
                <w:rFonts w:ascii="Tahoma"/>
                <w:sz w:val="24"/>
              </w:rPr>
            </w:pPr>
            <w:r>
              <w:rPr>
                <w:rFonts w:ascii="Tahoma"/>
                <w:sz w:val="24"/>
              </w:rPr>
              <w:t>METTUR TPS</w:t>
            </w:r>
          </w:p>
        </w:tc>
        <w:tc>
          <w:tcPr>
            <w:tcW w:w="2782" w:type="dxa"/>
          </w:tcPr>
          <w:p w:rsidR="007C5447" w:rsidRDefault="007C5447">
            <w:pPr>
              <w:pStyle w:val="TableParagraph"/>
              <w:jc w:val="left"/>
              <w:rPr>
                <w:rFonts w:ascii="Tahoma"/>
                <w:b/>
                <w:sz w:val="28"/>
              </w:rPr>
            </w:pPr>
          </w:p>
          <w:p w:rsidR="007C5447" w:rsidRDefault="007C5447">
            <w:pPr>
              <w:pStyle w:val="TableParagraph"/>
              <w:spacing w:before="2"/>
              <w:jc w:val="left"/>
              <w:rPr>
                <w:rFonts w:ascii="Tahoma"/>
                <w:b/>
                <w:sz w:val="32"/>
              </w:rPr>
            </w:pPr>
          </w:p>
          <w:p w:rsidR="007C5447" w:rsidRDefault="00F6308C">
            <w:pPr>
              <w:pStyle w:val="TableParagraph"/>
              <w:ind w:left="110"/>
              <w:jc w:val="left"/>
              <w:rPr>
                <w:rFonts w:ascii="Tahoma"/>
                <w:sz w:val="24"/>
              </w:rPr>
            </w:pPr>
            <w:r>
              <w:rPr>
                <w:rFonts w:ascii="Tahoma"/>
                <w:sz w:val="24"/>
              </w:rPr>
              <w:t>CHENNAI EDC/SOUTH</w:t>
            </w:r>
          </w:p>
        </w:tc>
        <w:tc>
          <w:tcPr>
            <w:tcW w:w="2669" w:type="dxa"/>
          </w:tcPr>
          <w:p w:rsidR="007C5447" w:rsidRDefault="00F6308C">
            <w:pPr>
              <w:pStyle w:val="TableParagraph"/>
              <w:spacing w:before="59" w:line="276" w:lineRule="auto"/>
              <w:ind w:left="108" w:right="627"/>
              <w:jc w:val="left"/>
              <w:rPr>
                <w:rFonts w:ascii="Tahoma"/>
                <w:sz w:val="24"/>
              </w:rPr>
            </w:pPr>
            <w:r>
              <w:rPr>
                <w:rFonts w:ascii="Tahoma"/>
                <w:sz w:val="24"/>
              </w:rPr>
              <w:t>GENERAL CONSTRUCTION CIRCLE/MADURAI</w:t>
            </w:r>
          </w:p>
        </w:tc>
      </w:tr>
      <w:tr w:rsidR="007C5447">
        <w:trPr>
          <w:trHeight w:val="1119"/>
        </w:trPr>
        <w:tc>
          <w:tcPr>
            <w:tcW w:w="3338" w:type="dxa"/>
          </w:tcPr>
          <w:p w:rsidR="007C5447" w:rsidRDefault="007C5447">
            <w:pPr>
              <w:pStyle w:val="TableParagraph"/>
              <w:jc w:val="left"/>
              <w:rPr>
                <w:rFonts w:ascii="Tahoma"/>
                <w:b/>
                <w:sz w:val="28"/>
              </w:rPr>
            </w:pPr>
          </w:p>
          <w:p w:rsidR="007C5447" w:rsidRDefault="007C5447">
            <w:pPr>
              <w:pStyle w:val="TableParagraph"/>
              <w:spacing w:before="2"/>
              <w:jc w:val="left"/>
              <w:rPr>
                <w:rFonts w:ascii="Tahoma"/>
                <w:b/>
                <w:sz w:val="32"/>
              </w:rPr>
            </w:pPr>
          </w:p>
          <w:p w:rsidR="007C5447" w:rsidRDefault="00F6308C">
            <w:pPr>
              <w:pStyle w:val="TableParagraph"/>
              <w:ind w:left="107"/>
              <w:jc w:val="left"/>
              <w:rPr>
                <w:rFonts w:ascii="Tahoma"/>
                <w:sz w:val="24"/>
              </w:rPr>
            </w:pPr>
            <w:r>
              <w:rPr>
                <w:rFonts w:ascii="Tahoma"/>
                <w:sz w:val="24"/>
              </w:rPr>
              <w:t>NORTH CHENNAI TPS</w:t>
            </w:r>
          </w:p>
        </w:tc>
        <w:tc>
          <w:tcPr>
            <w:tcW w:w="2782" w:type="dxa"/>
          </w:tcPr>
          <w:p w:rsidR="007C5447" w:rsidRDefault="007C5447">
            <w:pPr>
              <w:pStyle w:val="TableParagraph"/>
              <w:jc w:val="left"/>
              <w:rPr>
                <w:rFonts w:ascii="Tahoma"/>
                <w:b/>
                <w:sz w:val="28"/>
              </w:rPr>
            </w:pPr>
          </w:p>
          <w:p w:rsidR="007C5447" w:rsidRDefault="007C5447">
            <w:pPr>
              <w:pStyle w:val="TableParagraph"/>
              <w:spacing w:before="2"/>
              <w:jc w:val="left"/>
              <w:rPr>
                <w:rFonts w:ascii="Tahoma"/>
                <w:b/>
                <w:sz w:val="32"/>
              </w:rPr>
            </w:pPr>
          </w:p>
          <w:p w:rsidR="007C5447" w:rsidRDefault="00F6308C">
            <w:pPr>
              <w:pStyle w:val="TableParagraph"/>
              <w:ind w:left="108"/>
              <w:jc w:val="left"/>
              <w:rPr>
                <w:rFonts w:ascii="Tahoma"/>
                <w:sz w:val="24"/>
              </w:rPr>
            </w:pPr>
            <w:r>
              <w:rPr>
                <w:rFonts w:ascii="Tahoma"/>
                <w:sz w:val="24"/>
              </w:rPr>
              <w:t>CHENNAI EDC/WEST</w:t>
            </w:r>
          </w:p>
        </w:tc>
        <w:tc>
          <w:tcPr>
            <w:tcW w:w="2669" w:type="dxa"/>
          </w:tcPr>
          <w:p w:rsidR="007C5447" w:rsidRDefault="00F6308C">
            <w:pPr>
              <w:pStyle w:val="TableParagraph"/>
              <w:spacing w:before="59" w:line="276" w:lineRule="auto"/>
              <w:ind w:left="108" w:right="772"/>
              <w:jc w:val="left"/>
              <w:rPr>
                <w:rFonts w:ascii="Tahoma"/>
                <w:sz w:val="24"/>
              </w:rPr>
            </w:pPr>
            <w:r>
              <w:rPr>
                <w:rFonts w:ascii="Tahoma"/>
                <w:sz w:val="24"/>
              </w:rPr>
              <w:t>GENERAL CONSTRUCTION CIRCLE/SALEM</w:t>
            </w:r>
          </w:p>
        </w:tc>
      </w:tr>
      <w:tr w:rsidR="007C5447">
        <w:trPr>
          <w:trHeight w:val="1119"/>
        </w:trPr>
        <w:tc>
          <w:tcPr>
            <w:tcW w:w="3338" w:type="dxa"/>
          </w:tcPr>
          <w:p w:rsidR="007C5447" w:rsidRDefault="007C5447">
            <w:pPr>
              <w:pStyle w:val="TableParagraph"/>
              <w:jc w:val="left"/>
              <w:rPr>
                <w:rFonts w:ascii="Tahoma"/>
                <w:b/>
                <w:sz w:val="28"/>
              </w:rPr>
            </w:pPr>
          </w:p>
          <w:p w:rsidR="007C5447" w:rsidRDefault="007C5447">
            <w:pPr>
              <w:pStyle w:val="TableParagraph"/>
              <w:spacing w:before="2"/>
              <w:jc w:val="left"/>
              <w:rPr>
                <w:rFonts w:ascii="Tahoma"/>
                <w:b/>
                <w:sz w:val="32"/>
              </w:rPr>
            </w:pPr>
          </w:p>
          <w:p w:rsidR="007C5447" w:rsidRDefault="00F6308C">
            <w:pPr>
              <w:pStyle w:val="TableParagraph"/>
              <w:ind w:left="107"/>
              <w:jc w:val="left"/>
              <w:rPr>
                <w:rFonts w:ascii="Tahoma"/>
                <w:sz w:val="24"/>
              </w:rPr>
            </w:pPr>
            <w:r>
              <w:rPr>
                <w:rFonts w:ascii="Tahoma"/>
                <w:sz w:val="24"/>
              </w:rPr>
              <w:t>TUTICORIN TPS</w:t>
            </w:r>
          </w:p>
        </w:tc>
        <w:tc>
          <w:tcPr>
            <w:tcW w:w="2782" w:type="dxa"/>
          </w:tcPr>
          <w:p w:rsidR="007C5447" w:rsidRDefault="007C5447">
            <w:pPr>
              <w:pStyle w:val="TableParagraph"/>
              <w:jc w:val="left"/>
              <w:rPr>
                <w:rFonts w:ascii="Tahoma"/>
                <w:b/>
                <w:sz w:val="28"/>
              </w:rPr>
            </w:pPr>
          </w:p>
          <w:p w:rsidR="007C5447" w:rsidRDefault="007C5447">
            <w:pPr>
              <w:pStyle w:val="TableParagraph"/>
              <w:spacing w:before="2"/>
              <w:jc w:val="left"/>
              <w:rPr>
                <w:rFonts w:ascii="Tahoma"/>
                <w:b/>
                <w:sz w:val="32"/>
              </w:rPr>
            </w:pPr>
          </w:p>
          <w:p w:rsidR="007C5447" w:rsidRDefault="00F6308C">
            <w:pPr>
              <w:pStyle w:val="TableParagraph"/>
              <w:ind w:left="108"/>
              <w:jc w:val="left"/>
              <w:rPr>
                <w:rFonts w:ascii="Tahoma"/>
                <w:sz w:val="24"/>
              </w:rPr>
            </w:pPr>
            <w:r>
              <w:rPr>
                <w:rFonts w:ascii="Tahoma"/>
                <w:sz w:val="24"/>
              </w:rPr>
              <w:t>CHENGALPATTU EDC</w:t>
            </w:r>
          </w:p>
        </w:tc>
        <w:tc>
          <w:tcPr>
            <w:tcW w:w="2669" w:type="dxa"/>
          </w:tcPr>
          <w:p w:rsidR="007C5447" w:rsidRDefault="00F6308C">
            <w:pPr>
              <w:pStyle w:val="TableParagraph"/>
              <w:spacing w:before="59" w:line="276" w:lineRule="auto"/>
              <w:ind w:left="108" w:right="772"/>
              <w:jc w:val="left"/>
              <w:rPr>
                <w:rFonts w:ascii="Tahoma"/>
                <w:sz w:val="24"/>
              </w:rPr>
            </w:pPr>
            <w:r>
              <w:rPr>
                <w:rFonts w:ascii="Tahoma"/>
                <w:sz w:val="24"/>
              </w:rPr>
              <w:t>GENERAL CONSTRUCTION CIRCLE/TRICHY</w:t>
            </w:r>
          </w:p>
        </w:tc>
      </w:tr>
      <w:tr w:rsidR="007C5447">
        <w:trPr>
          <w:trHeight w:val="1119"/>
        </w:trPr>
        <w:tc>
          <w:tcPr>
            <w:tcW w:w="3338" w:type="dxa"/>
          </w:tcPr>
          <w:p w:rsidR="007C5447" w:rsidRDefault="007C5447">
            <w:pPr>
              <w:pStyle w:val="TableParagraph"/>
              <w:jc w:val="left"/>
              <w:rPr>
                <w:sz w:val="24"/>
              </w:rPr>
            </w:pPr>
          </w:p>
        </w:tc>
        <w:tc>
          <w:tcPr>
            <w:tcW w:w="2782" w:type="dxa"/>
          </w:tcPr>
          <w:p w:rsidR="007C5447" w:rsidRDefault="007C5447">
            <w:pPr>
              <w:pStyle w:val="TableParagraph"/>
              <w:spacing w:before="7"/>
              <w:jc w:val="left"/>
              <w:rPr>
                <w:rFonts w:ascii="Tahoma"/>
                <w:b/>
                <w:sz w:val="32"/>
              </w:rPr>
            </w:pPr>
          </w:p>
          <w:p w:rsidR="007C5447" w:rsidRDefault="00F6308C">
            <w:pPr>
              <w:pStyle w:val="TableParagraph"/>
              <w:spacing w:line="276" w:lineRule="auto"/>
              <w:ind w:left="108" w:right="568"/>
              <w:jc w:val="left"/>
              <w:rPr>
                <w:rFonts w:ascii="Tahoma"/>
                <w:sz w:val="24"/>
              </w:rPr>
            </w:pPr>
            <w:r>
              <w:rPr>
                <w:rFonts w:ascii="Tahoma"/>
                <w:sz w:val="24"/>
              </w:rPr>
              <w:t>COIMBATORE EDC/ METRO</w:t>
            </w:r>
          </w:p>
        </w:tc>
        <w:tc>
          <w:tcPr>
            <w:tcW w:w="2669" w:type="dxa"/>
          </w:tcPr>
          <w:p w:rsidR="007C5447" w:rsidRDefault="00F6308C">
            <w:pPr>
              <w:pStyle w:val="TableParagraph"/>
              <w:spacing w:before="59" w:line="276" w:lineRule="auto"/>
              <w:ind w:left="109" w:right="190"/>
              <w:jc w:val="left"/>
              <w:rPr>
                <w:rFonts w:ascii="Tahoma"/>
                <w:sz w:val="24"/>
              </w:rPr>
            </w:pPr>
            <w:r>
              <w:rPr>
                <w:rFonts w:ascii="Tahoma"/>
                <w:sz w:val="24"/>
              </w:rPr>
              <w:t>PROTECTION AND COMMUNCIATION CIRLCE/COIMBATORE</w:t>
            </w:r>
          </w:p>
        </w:tc>
      </w:tr>
      <w:tr w:rsidR="007C5447">
        <w:trPr>
          <w:trHeight w:val="1120"/>
        </w:trPr>
        <w:tc>
          <w:tcPr>
            <w:tcW w:w="3338" w:type="dxa"/>
          </w:tcPr>
          <w:p w:rsidR="007C5447" w:rsidRDefault="007C5447">
            <w:pPr>
              <w:pStyle w:val="TableParagraph"/>
              <w:spacing w:before="7"/>
              <w:jc w:val="left"/>
              <w:rPr>
                <w:rFonts w:ascii="Tahoma"/>
                <w:b/>
                <w:sz w:val="32"/>
              </w:rPr>
            </w:pPr>
          </w:p>
          <w:p w:rsidR="007C5447" w:rsidRDefault="00F6308C">
            <w:pPr>
              <w:pStyle w:val="TableParagraph"/>
              <w:spacing w:line="276" w:lineRule="auto"/>
              <w:ind w:left="107" w:right="130"/>
              <w:jc w:val="left"/>
              <w:rPr>
                <w:rFonts w:ascii="Tahoma"/>
                <w:b/>
                <w:sz w:val="24"/>
              </w:rPr>
            </w:pPr>
            <w:r>
              <w:rPr>
                <w:rFonts w:ascii="Tahoma"/>
                <w:b/>
                <w:sz w:val="24"/>
                <w:u w:val="thick"/>
              </w:rPr>
              <w:t>GAS BASED GENERATING</w:t>
            </w:r>
            <w:r>
              <w:rPr>
                <w:rFonts w:ascii="Tahoma"/>
                <w:b/>
                <w:sz w:val="24"/>
              </w:rPr>
              <w:t xml:space="preserve"> </w:t>
            </w:r>
            <w:r>
              <w:rPr>
                <w:rFonts w:ascii="Tahoma"/>
                <w:b/>
                <w:sz w:val="24"/>
                <w:u w:val="thick"/>
              </w:rPr>
              <w:t>STATIONS</w:t>
            </w:r>
          </w:p>
        </w:tc>
        <w:tc>
          <w:tcPr>
            <w:tcW w:w="2782" w:type="dxa"/>
          </w:tcPr>
          <w:p w:rsidR="007C5447" w:rsidRDefault="007C5447">
            <w:pPr>
              <w:pStyle w:val="TableParagraph"/>
              <w:spacing w:before="7"/>
              <w:jc w:val="left"/>
              <w:rPr>
                <w:rFonts w:ascii="Tahoma"/>
                <w:b/>
                <w:sz w:val="32"/>
              </w:rPr>
            </w:pPr>
          </w:p>
          <w:p w:rsidR="007C5447" w:rsidRDefault="00F6308C">
            <w:pPr>
              <w:pStyle w:val="TableParagraph"/>
              <w:ind w:left="108"/>
              <w:jc w:val="left"/>
              <w:rPr>
                <w:rFonts w:ascii="Tahoma"/>
                <w:sz w:val="24"/>
              </w:rPr>
            </w:pPr>
            <w:r>
              <w:rPr>
                <w:rFonts w:ascii="Tahoma"/>
                <w:sz w:val="24"/>
              </w:rPr>
              <w:t>COIMBATORE EDC</w:t>
            </w:r>
          </w:p>
          <w:p w:rsidR="007C5447" w:rsidRDefault="00F6308C">
            <w:pPr>
              <w:pStyle w:val="TableParagraph"/>
              <w:spacing w:before="44"/>
              <w:ind w:left="108"/>
              <w:jc w:val="left"/>
              <w:rPr>
                <w:rFonts w:ascii="Tahoma"/>
                <w:sz w:val="24"/>
              </w:rPr>
            </w:pPr>
            <w:r>
              <w:rPr>
                <w:rFonts w:ascii="Tahoma"/>
                <w:sz w:val="24"/>
              </w:rPr>
              <w:t>/NORTH</w:t>
            </w:r>
          </w:p>
        </w:tc>
        <w:tc>
          <w:tcPr>
            <w:tcW w:w="2669" w:type="dxa"/>
          </w:tcPr>
          <w:p w:rsidR="007C5447" w:rsidRDefault="00F6308C">
            <w:pPr>
              <w:pStyle w:val="TableParagraph"/>
              <w:spacing w:before="59" w:line="276" w:lineRule="auto"/>
              <w:ind w:left="109" w:right="575"/>
              <w:jc w:val="both"/>
              <w:rPr>
                <w:rFonts w:ascii="Tahoma"/>
                <w:sz w:val="24"/>
              </w:rPr>
            </w:pPr>
            <w:r>
              <w:rPr>
                <w:rFonts w:ascii="Tahoma"/>
                <w:sz w:val="24"/>
              </w:rPr>
              <w:t>PROTECTION AND COMMUNICATION CIRCLE/MADURAI</w:t>
            </w:r>
          </w:p>
        </w:tc>
      </w:tr>
      <w:tr w:rsidR="007C5447">
        <w:trPr>
          <w:trHeight w:val="785"/>
        </w:trPr>
        <w:tc>
          <w:tcPr>
            <w:tcW w:w="3338" w:type="dxa"/>
          </w:tcPr>
          <w:p w:rsidR="007C5447" w:rsidRDefault="007C5447">
            <w:pPr>
              <w:pStyle w:val="TableParagraph"/>
              <w:spacing w:before="7"/>
              <w:jc w:val="left"/>
              <w:rPr>
                <w:rFonts w:ascii="Tahoma"/>
                <w:b/>
                <w:sz w:val="32"/>
              </w:rPr>
            </w:pPr>
          </w:p>
          <w:p w:rsidR="007C5447" w:rsidRDefault="00F6308C">
            <w:pPr>
              <w:pStyle w:val="TableParagraph"/>
              <w:ind w:left="107"/>
              <w:jc w:val="left"/>
              <w:rPr>
                <w:rFonts w:ascii="Tahoma"/>
                <w:sz w:val="24"/>
              </w:rPr>
            </w:pPr>
            <w:r>
              <w:rPr>
                <w:rFonts w:ascii="Tahoma"/>
                <w:sz w:val="24"/>
              </w:rPr>
              <w:t>BASIN BRIDGE GTPS</w:t>
            </w:r>
          </w:p>
        </w:tc>
        <w:tc>
          <w:tcPr>
            <w:tcW w:w="2782" w:type="dxa"/>
          </w:tcPr>
          <w:p w:rsidR="007C5447" w:rsidRDefault="00F6308C">
            <w:pPr>
              <w:pStyle w:val="TableParagraph"/>
              <w:spacing w:before="59"/>
              <w:ind w:left="108"/>
              <w:jc w:val="left"/>
              <w:rPr>
                <w:rFonts w:ascii="Tahoma"/>
                <w:sz w:val="24"/>
              </w:rPr>
            </w:pPr>
            <w:r>
              <w:rPr>
                <w:rFonts w:ascii="Tahoma"/>
                <w:sz w:val="24"/>
              </w:rPr>
              <w:t>COIMBATORE EDC</w:t>
            </w:r>
          </w:p>
          <w:p w:rsidR="007C5447" w:rsidRDefault="00F6308C">
            <w:pPr>
              <w:pStyle w:val="TableParagraph"/>
              <w:spacing w:before="43"/>
              <w:ind w:left="108"/>
              <w:jc w:val="left"/>
              <w:rPr>
                <w:rFonts w:ascii="Tahoma"/>
                <w:sz w:val="24"/>
              </w:rPr>
            </w:pPr>
            <w:r>
              <w:rPr>
                <w:rFonts w:ascii="Tahoma"/>
                <w:sz w:val="24"/>
              </w:rPr>
              <w:t>/SOUTH</w:t>
            </w:r>
          </w:p>
        </w:tc>
        <w:tc>
          <w:tcPr>
            <w:tcW w:w="2669" w:type="dxa"/>
          </w:tcPr>
          <w:p w:rsidR="007C5447" w:rsidRDefault="00F6308C">
            <w:pPr>
              <w:pStyle w:val="TableParagraph"/>
              <w:spacing w:before="59"/>
              <w:ind w:left="109"/>
              <w:jc w:val="left"/>
              <w:rPr>
                <w:rFonts w:ascii="Tahoma"/>
                <w:sz w:val="24"/>
              </w:rPr>
            </w:pPr>
            <w:r>
              <w:rPr>
                <w:rFonts w:ascii="Tahoma"/>
                <w:sz w:val="24"/>
              </w:rPr>
              <w:t>OPERATION CIRCLE</w:t>
            </w:r>
          </w:p>
          <w:p w:rsidR="007C5447" w:rsidRDefault="00F6308C">
            <w:pPr>
              <w:pStyle w:val="TableParagraph"/>
              <w:spacing w:before="43"/>
              <w:ind w:left="109"/>
              <w:jc w:val="left"/>
              <w:rPr>
                <w:rFonts w:ascii="Tahoma"/>
                <w:sz w:val="24"/>
              </w:rPr>
            </w:pPr>
            <w:r>
              <w:rPr>
                <w:rFonts w:ascii="Tahoma"/>
                <w:sz w:val="24"/>
              </w:rPr>
              <w:t>/COIMBATORE</w:t>
            </w:r>
          </w:p>
        </w:tc>
      </w:tr>
      <w:tr w:rsidR="007C5447">
        <w:trPr>
          <w:trHeight w:val="786"/>
        </w:trPr>
        <w:tc>
          <w:tcPr>
            <w:tcW w:w="3338" w:type="dxa"/>
          </w:tcPr>
          <w:p w:rsidR="007C5447" w:rsidRDefault="007C5447">
            <w:pPr>
              <w:pStyle w:val="TableParagraph"/>
              <w:spacing w:before="7"/>
              <w:jc w:val="left"/>
              <w:rPr>
                <w:rFonts w:ascii="Tahoma"/>
                <w:b/>
                <w:sz w:val="32"/>
              </w:rPr>
            </w:pPr>
          </w:p>
          <w:p w:rsidR="007C5447" w:rsidRDefault="00F6308C">
            <w:pPr>
              <w:pStyle w:val="TableParagraph"/>
              <w:ind w:left="107"/>
              <w:jc w:val="left"/>
              <w:rPr>
                <w:rFonts w:ascii="Tahoma"/>
                <w:sz w:val="24"/>
              </w:rPr>
            </w:pPr>
            <w:r>
              <w:rPr>
                <w:rFonts w:ascii="Tahoma"/>
                <w:sz w:val="24"/>
              </w:rPr>
              <w:t>KUTTALAM GTPS</w:t>
            </w:r>
          </w:p>
        </w:tc>
        <w:tc>
          <w:tcPr>
            <w:tcW w:w="2782" w:type="dxa"/>
          </w:tcPr>
          <w:p w:rsidR="007C5447" w:rsidRDefault="007C5447">
            <w:pPr>
              <w:pStyle w:val="TableParagraph"/>
              <w:spacing w:before="7"/>
              <w:jc w:val="left"/>
              <w:rPr>
                <w:rFonts w:ascii="Tahoma"/>
                <w:b/>
                <w:sz w:val="32"/>
              </w:rPr>
            </w:pPr>
          </w:p>
          <w:p w:rsidR="007C5447" w:rsidRDefault="00F6308C">
            <w:pPr>
              <w:pStyle w:val="TableParagraph"/>
              <w:ind w:left="108"/>
              <w:jc w:val="left"/>
              <w:rPr>
                <w:rFonts w:ascii="Tahoma"/>
                <w:sz w:val="24"/>
              </w:rPr>
            </w:pPr>
            <w:r>
              <w:rPr>
                <w:rFonts w:ascii="Tahoma"/>
                <w:sz w:val="24"/>
              </w:rPr>
              <w:t>CUDDALORE EDC</w:t>
            </w:r>
          </w:p>
        </w:tc>
        <w:tc>
          <w:tcPr>
            <w:tcW w:w="2669" w:type="dxa"/>
          </w:tcPr>
          <w:p w:rsidR="007C5447" w:rsidRDefault="00F6308C">
            <w:pPr>
              <w:pStyle w:val="TableParagraph"/>
              <w:spacing w:before="59"/>
              <w:ind w:left="108"/>
              <w:jc w:val="left"/>
              <w:rPr>
                <w:rFonts w:ascii="Tahoma"/>
                <w:sz w:val="24"/>
              </w:rPr>
            </w:pPr>
            <w:r>
              <w:rPr>
                <w:rFonts w:ascii="Tahoma"/>
                <w:sz w:val="24"/>
              </w:rPr>
              <w:t>OPERATION CIRCLE</w:t>
            </w:r>
          </w:p>
          <w:p w:rsidR="007C5447" w:rsidRDefault="00F6308C">
            <w:pPr>
              <w:pStyle w:val="TableParagraph"/>
              <w:spacing w:before="44"/>
              <w:ind w:left="108"/>
              <w:jc w:val="left"/>
              <w:rPr>
                <w:rFonts w:ascii="Tahoma"/>
                <w:b/>
                <w:sz w:val="24"/>
              </w:rPr>
            </w:pPr>
            <w:r>
              <w:rPr>
                <w:rFonts w:ascii="Tahoma"/>
                <w:sz w:val="24"/>
              </w:rPr>
              <w:t>/</w:t>
            </w:r>
            <w:r>
              <w:rPr>
                <w:rFonts w:ascii="Tahoma"/>
                <w:b/>
                <w:sz w:val="24"/>
              </w:rPr>
              <w:t>KORATTUR</w:t>
            </w:r>
          </w:p>
        </w:tc>
      </w:tr>
    </w:tbl>
    <w:p w:rsidR="007C5447" w:rsidRDefault="007C5447">
      <w:pPr>
        <w:rPr>
          <w:rFonts w:ascii="Tahoma"/>
          <w:sz w:val="24"/>
        </w:rPr>
        <w:sectPr w:rsidR="007C5447">
          <w:footerReference w:type="default" r:id="rId96"/>
          <w:pgSz w:w="12240" w:h="15840"/>
          <w:pgMar w:top="1360" w:right="740" w:bottom="280" w:left="600" w:header="0" w:footer="0" w:gutter="0"/>
          <w:cols w:space="720"/>
        </w:sectPr>
      </w:pPr>
    </w:p>
    <w:tbl>
      <w:tblPr>
        <w:tblW w:w="0" w:type="auto"/>
        <w:tblInd w:w="1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8"/>
        <w:gridCol w:w="2782"/>
        <w:gridCol w:w="2669"/>
      </w:tblGrid>
      <w:tr w:rsidR="007C5447">
        <w:trPr>
          <w:trHeight w:val="453"/>
        </w:trPr>
        <w:tc>
          <w:tcPr>
            <w:tcW w:w="6120" w:type="dxa"/>
            <w:gridSpan w:val="2"/>
          </w:tcPr>
          <w:p w:rsidR="007C5447" w:rsidRDefault="00F6308C">
            <w:pPr>
              <w:pStyle w:val="TableParagraph"/>
              <w:spacing w:before="59"/>
              <w:ind w:left="2366" w:right="2354"/>
              <w:jc w:val="center"/>
              <w:rPr>
                <w:rFonts w:ascii="Tahoma"/>
                <w:b/>
                <w:sz w:val="24"/>
              </w:rPr>
            </w:pPr>
            <w:r>
              <w:rPr>
                <w:rFonts w:ascii="Tahoma"/>
                <w:b/>
                <w:sz w:val="24"/>
                <w:u w:val="thick"/>
              </w:rPr>
              <w:lastRenderedPageBreak/>
              <w:t>TANGEDCO</w:t>
            </w:r>
          </w:p>
        </w:tc>
        <w:tc>
          <w:tcPr>
            <w:tcW w:w="2669" w:type="dxa"/>
          </w:tcPr>
          <w:p w:rsidR="007C5447" w:rsidRDefault="00F6308C">
            <w:pPr>
              <w:pStyle w:val="TableParagraph"/>
              <w:spacing w:before="59"/>
              <w:ind w:left="503"/>
              <w:jc w:val="left"/>
              <w:rPr>
                <w:rFonts w:ascii="Tahoma"/>
                <w:b/>
                <w:sz w:val="24"/>
              </w:rPr>
            </w:pPr>
            <w:r>
              <w:rPr>
                <w:rFonts w:ascii="Tahoma"/>
                <w:b/>
                <w:sz w:val="24"/>
                <w:u w:val="thick"/>
              </w:rPr>
              <w:t>TANTRANSCO</w:t>
            </w:r>
          </w:p>
        </w:tc>
      </w:tr>
      <w:tr w:rsidR="007C5447">
        <w:trPr>
          <w:trHeight w:val="453"/>
        </w:trPr>
        <w:tc>
          <w:tcPr>
            <w:tcW w:w="3338" w:type="dxa"/>
          </w:tcPr>
          <w:p w:rsidR="007C5447" w:rsidRDefault="00F6308C">
            <w:pPr>
              <w:pStyle w:val="TableParagraph"/>
              <w:spacing w:before="59"/>
              <w:ind w:left="853"/>
              <w:jc w:val="left"/>
              <w:rPr>
                <w:rFonts w:ascii="Tahoma"/>
                <w:b/>
                <w:sz w:val="24"/>
              </w:rPr>
            </w:pPr>
            <w:r>
              <w:rPr>
                <w:rFonts w:ascii="Tahoma"/>
                <w:b/>
                <w:sz w:val="24"/>
                <w:u w:val="thick"/>
              </w:rPr>
              <w:t>GENERATION</w:t>
            </w:r>
          </w:p>
        </w:tc>
        <w:tc>
          <w:tcPr>
            <w:tcW w:w="2782" w:type="dxa"/>
          </w:tcPr>
          <w:p w:rsidR="007C5447" w:rsidRDefault="00F6308C">
            <w:pPr>
              <w:pStyle w:val="TableParagraph"/>
              <w:spacing w:before="59"/>
              <w:ind w:left="461"/>
              <w:jc w:val="left"/>
              <w:rPr>
                <w:rFonts w:ascii="Tahoma"/>
                <w:b/>
                <w:sz w:val="24"/>
              </w:rPr>
            </w:pPr>
            <w:r>
              <w:rPr>
                <w:rFonts w:ascii="Tahoma"/>
                <w:b/>
                <w:sz w:val="24"/>
                <w:u w:val="thick"/>
              </w:rPr>
              <w:t>DISTRIBUTION</w:t>
            </w:r>
          </w:p>
        </w:tc>
        <w:tc>
          <w:tcPr>
            <w:tcW w:w="2669" w:type="dxa"/>
          </w:tcPr>
          <w:p w:rsidR="007C5447" w:rsidRDefault="00F6308C">
            <w:pPr>
              <w:pStyle w:val="TableParagraph"/>
              <w:spacing w:before="59"/>
              <w:ind w:left="363"/>
              <w:jc w:val="left"/>
              <w:rPr>
                <w:rFonts w:ascii="Tahoma"/>
                <w:b/>
                <w:sz w:val="24"/>
              </w:rPr>
            </w:pPr>
            <w:r>
              <w:rPr>
                <w:rFonts w:ascii="Tahoma"/>
                <w:b/>
                <w:sz w:val="24"/>
                <w:u w:val="thick"/>
              </w:rPr>
              <w:t>TRANSMISSION</w:t>
            </w:r>
          </w:p>
        </w:tc>
      </w:tr>
      <w:tr w:rsidR="007C5447">
        <w:trPr>
          <w:trHeight w:val="1179"/>
        </w:trPr>
        <w:tc>
          <w:tcPr>
            <w:tcW w:w="3338" w:type="dxa"/>
          </w:tcPr>
          <w:p w:rsidR="007C5447" w:rsidRDefault="007C5447">
            <w:pPr>
              <w:pStyle w:val="TableParagraph"/>
              <w:jc w:val="left"/>
              <w:rPr>
                <w:rFonts w:ascii="Tahoma"/>
                <w:b/>
                <w:sz w:val="28"/>
              </w:rPr>
            </w:pPr>
          </w:p>
          <w:p w:rsidR="007C5447" w:rsidRDefault="007C5447">
            <w:pPr>
              <w:pStyle w:val="TableParagraph"/>
              <w:spacing w:before="2"/>
              <w:jc w:val="left"/>
              <w:rPr>
                <w:rFonts w:ascii="Tahoma"/>
                <w:b/>
                <w:sz w:val="37"/>
              </w:rPr>
            </w:pPr>
          </w:p>
          <w:p w:rsidR="007C5447" w:rsidRDefault="00F6308C">
            <w:pPr>
              <w:pStyle w:val="TableParagraph"/>
              <w:ind w:left="107"/>
              <w:jc w:val="left"/>
              <w:rPr>
                <w:rFonts w:ascii="Tahoma"/>
                <w:sz w:val="24"/>
              </w:rPr>
            </w:pPr>
            <w:r>
              <w:rPr>
                <w:rFonts w:ascii="Tahoma"/>
                <w:sz w:val="24"/>
              </w:rPr>
              <w:t>THIRUMAKOTTAI GTPS</w:t>
            </w:r>
          </w:p>
        </w:tc>
        <w:tc>
          <w:tcPr>
            <w:tcW w:w="2782" w:type="dxa"/>
          </w:tcPr>
          <w:p w:rsidR="007C5447" w:rsidRDefault="007C5447">
            <w:pPr>
              <w:pStyle w:val="TableParagraph"/>
              <w:jc w:val="left"/>
              <w:rPr>
                <w:rFonts w:ascii="Tahoma"/>
                <w:b/>
                <w:sz w:val="28"/>
              </w:rPr>
            </w:pPr>
          </w:p>
          <w:p w:rsidR="007C5447" w:rsidRDefault="007C5447">
            <w:pPr>
              <w:pStyle w:val="TableParagraph"/>
              <w:spacing w:before="2"/>
              <w:jc w:val="left"/>
              <w:rPr>
                <w:rFonts w:ascii="Tahoma"/>
                <w:b/>
                <w:sz w:val="37"/>
              </w:rPr>
            </w:pPr>
          </w:p>
          <w:p w:rsidR="007C5447" w:rsidRDefault="00F6308C">
            <w:pPr>
              <w:pStyle w:val="TableParagraph"/>
              <w:ind w:left="108"/>
              <w:jc w:val="left"/>
              <w:rPr>
                <w:rFonts w:ascii="Tahoma"/>
                <w:sz w:val="24"/>
              </w:rPr>
            </w:pPr>
            <w:r>
              <w:rPr>
                <w:rFonts w:ascii="Tahoma"/>
                <w:sz w:val="24"/>
              </w:rPr>
              <w:t>DHARMAPURI EDC</w:t>
            </w:r>
          </w:p>
        </w:tc>
        <w:tc>
          <w:tcPr>
            <w:tcW w:w="2669" w:type="dxa"/>
          </w:tcPr>
          <w:p w:rsidR="007C5447" w:rsidRDefault="00F6308C">
            <w:pPr>
              <w:pStyle w:val="TableParagraph"/>
              <w:spacing w:before="59"/>
              <w:ind w:left="108"/>
              <w:jc w:val="left"/>
              <w:rPr>
                <w:rFonts w:ascii="Tahoma"/>
                <w:sz w:val="24"/>
              </w:rPr>
            </w:pPr>
            <w:r>
              <w:rPr>
                <w:rFonts w:ascii="Tahoma"/>
                <w:sz w:val="24"/>
              </w:rPr>
              <w:t>OPERATION CIRLCE</w:t>
            </w:r>
          </w:p>
          <w:p w:rsidR="007C5447" w:rsidRDefault="00F6308C">
            <w:pPr>
              <w:pStyle w:val="TableParagraph"/>
              <w:spacing w:before="44"/>
              <w:ind w:left="108"/>
              <w:jc w:val="left"/>
              <w:rPr>
                <w:rFonts w:ascii="Tahoma"/>
                <w:sz w:val="24"/>
              </w:rPr>
            </w:pPr>
            <w:r>
              <w:rPr>
                <w:rFonts w:ascii="Tahoma"/>
                <w:sz w:val="24"/>
              </w:rPr>
              <w:t>/MADURAI</w:t>
            </w:r>
          </w:p>
        </w:tc>
      </w:tr>
      <w:tr w:rsidR="007C5447">
        <w:trPr>
          <w:trHeight w:val="786"/>
        </w:trPr>
        <w:tc>
          <w:tcPr>
            <w:tcW w:w="3338" w:type="dxa"/>
          </w:tcPr>
          <w:p w:rsidR="007C5447" w:rsidRDefault="007C5447">
            <w:pPr>
              <w:pStyle w:val="TableParagraph"/>
              <w:spacing w:before="7"/>
              <w:jc w:val="left"/>
              <w:rPr>
                <w:rFonts w:ascii="Tahoma"/>
                <w:b/>
                <w:sz w:val="32"/>
              </w:rPr>
            </w:pPr>
          </w:p>
          <w:p w:rsidR="007C5447" w:rsidRDefault="00F6308C">
            <w:pPr>
              <w:pStyle w:val="TableParagraph"/>
              <w:ind w:left="107"/>
              <w:jc w:val="left"/>
              <w:rPr>
                <w:rFonts w:ascii="Tahoma"/>
                <w:sz w:val="24"/>
              </w:rPr>
            </w:pPr>
            <w:r>
              <w:rPr>
                <w:rFonts w:ascii="Tahoma"/>
                <w:sz w:val="24"/>
              </w:rPr>
              <w:t>VAZHUDUR GTPS</w:t>
            </w:r>
          </w:p>
        </w:tc>
        <w:tc>
          <w:tcPr>
            <w:tcW w:w="2782" w:type="dxa"/>
          </w:tcPr>
          <w:p w:rsidR="007C5447" w:rsidRDefault="007C5447">
            <w:pPr>
              <w:pStyle w:val="TableParagraph"/>
              <w:spacing w:before="7"/>
              <w:jc w:val="left"/>
              <w:rPr>
                <w:rFonts w:ascii="Tahoma"/>
                <w:b/>
                <w:sz w:val="32"/>
              </w:rPr>
            </w:pPr>
          </w:p>
          <w:p w:rsidR="007C5447" w:rsidRDefault="00F6308C">
            <w:pPr>
              <w:pStyle w:val="TableParagraph"/>
              <w:ind w:left="109"/>
              <w:jc w:val="left"/>
              <w:rPr>
                <w:rFonts w:ascii="Tahoma"/>
                <w:sz w:val="24"/>
              </w:rPr>
            </w:pPr>
            <w:r>
              <w:rPr>
                <w:rFonts w:ascii="Tahoma"/>
                <w:sz w:val="24"/>
              </w:rPr>
              <w:t>DINDIGUL EDC</w:t>
            </w:r>
          </w:p>
        </w:tc>
        <w:tc>
          <w:tcPr>
            <w:tcW w:w="2669" w:type="dxa"/>
          </w:tcPr>
          <w:p w:rsidR="007C5447" w:rsidRDefault="00F6308C">
            <w:pPr>
              <w:pStyle w:val="TableParagraph"/>
              <w:spacing w:before="59"/>
              <w:ind w:left="108"/>
              <w:jc w:val="left"/>
              <w:rPr>
                <w:rFonts w:ascii="Tahoma"/>
                <w:sz w:val="24"/>
              </w:rPr>
            </w:pPr>
            <w:r>
              <w:rPr>
                <w:rFonts w:ascii="Tahoma"/>
                <w:sz w:val="24"/>
              </w:rPr>
              <w:t>OPERATION CIRCLE</w:t>
            </w:r>
          </w:p>
          <w:p w:rsidR="007C5447" w:rsidRDefault="00F6308C">
            <w:pPr>
              <w:pStyle w:val="TableParagraph"/>
              <w:spacing w:before="44"/>
              <w:ind w:left="108"/>
              <w:jc w:val="left"/>
              <w:rPr>
                <w:rFonts w:ascii="Tahoma"/>
                <w:sz w:val="24"/>
              </w:rPr>
            </w:pPr>
            <w:r>
              <w:rPr>
                <w:rFonts w:ascii="Tahoma"/>
                <w:sz w:val="24"/>
              </w:rPr>
              <w:t>/SALEM</w:t>
            </w:r>
          </w:p>
        </w:tc>
      </w:tr>
      <w:tr w:rsidR="007C5447">
        <w:trPr>
          <w:trHeight w:val="785"/>
        </w:trPr>
        <w:tc>
          <w:tcPr>
            <w:tcW w:w="3338" w:type="dxa"/>
          </w:tcPr>
          <w:p w:rsidR="007C5447" w:rsidRDefault="007C5447">
            <w:pPr>
              <w:pStyle w:val="TableParagraph"/>
              <w:jc w:val="left"/>
              <w:rPr>
                <w:sz w:val="24"/>
              </w:rPr>
            </w:pPr>
          </w:p>
        </w:tc>
        <w:tc>
          <w:tcPr>
            <w:tcW w:w="2782" w:type="dxa"/>
          </w:tcPr>
          <w:p w:rsidR="007C5447" w:rsidRDefault="007C5447">
            <w:pPr>
              <w:pStyle w:val="TableParagraph"/>
              <w:spacing w:before="7"/>
              <w:jc w:val="left"/>
              <w:rPr>
                <w:rFonts w:ascii="Tahoma"/>
                <w:b/>
                <w:sz w:val="32"/>
              </w:rPr>
            </w:pPr>
          </w:p>
          <w:p w:rsidR="007C5447" w:rsidRDefault="00F6308C">
            <w:pPr>
              <w:pStyle w:val="TableParagraph"/>
              <w:ind w:left="108"/>
              <w:jc w:val="left"/>
              <w:rPr>
                <w:rFonts w:ascii="Tahoma"/>
                <w:sz w:val="24"/>
              </w:rPr>
            </w:pPr>
            <w:r>
              <w:rPr>
                <w:rFonts w:ascii="Tahoma"/>
                <w:sz w:val="24"/>
              </w:rPr>
              <w:t>ERODE EDC</w:t>
            </w:r>
          </w:p>
        </w:tc>
        <w:tc>
          <w:tcPr>
            <w:tcW w:w="2669" w:type="dxa"/>
          </w:tcPr>
          <w:p w:rsidR="007C5447" w:rsidRDefault="00F6308C">
            <w:pPr>
              <w:pStyle w:val="TableParagraph"/>
              <w:spacing w:before="59"/>
              <w:ind w:left="109"/>
              <w:jc w:val="left"/>
              <w:rPr>
                <w:rFonts w:ascii="Tahoma"/>
                <w:sz w:val="24"/>
              </w:rPr>
            </w:pPr>
            <w:r>
              <w:rPr>
                <w:rFonts w:ascii="Tahoma"/>
                <w:sz w:val="24"/>
              </w:rPr>
              <w:t>OPERATION CIRCLE</w:t>
            </w:r>
          </w:p>
          <w:p w:rsidR="007C5447" w:rsidRDefault="00F6308C">
            <w:pPr>
              <w:pStyle w:val="TableParagraph"/>
              <w:spacing w:before="43"/>
              <w:ind w:left="109"/>
              <w:jc w:val="left"/>
              <w:rPr>
                <w:rFonts w:ascii="Tahoma"/>
                <w:sz w:val="24"/>
              </w:rPr>
            </w:pPr>
            <w:r>
              <w:rPr>
                <w:rFonts w:ascii="Tahoma"/>
                <w:sz w:val="24"/>
              </w:rPr>
              <w:t>/SRIPERUMPUDUR</w:t>
            </w:r>
          </w:p>
        </w:tc>
      </w:tr>
      <w:tr w:rsidR="007C5447">
        <w:trPr>
          <w:trHeight w:val="786"/>
        </w:trPr>
        <w:tc>
          <w:tcPr>
            <w:tcW w:w="3338" w:type="dxa"/>
          </w:tcPr>
          <w:p w:rsidR="007C5447" w:rsidRDefault="00F6308C">
            <w:pPr>
              <w:pStyle w:val="TableParagraph"/>
              <w:spacing w:before="59" w:line="276" w:lineRule="auto"/>
              <w:ind w:left="107" w:right="695"/>
              <w:jc w:val="left"/>
              <w:rPr>
                <w:rFonts w:ascii="Tahoma"/>
                <w:b/>
                <w:sz w:val="24"/>
              </w:rPr>
            </w:pPr>
            <w:r>
              <w:rPr>
                <w:rFonts w:ascii="Tahoma"/>
                <w:b/>
                <w:sz w:val="24"/>
                <w:u w:val="thick"/>
              </w:rPr>
              <w:t>HYDEL GENERATING</w:t>
            </w:r>
            <w:r>
              <w:rPr>
                <w:rFonts w:ascii="Tahoma"/>
                <w:b/>
                <w:sz w:val="24"/>
              </w:rPr>
              <w:t xml:space="preserve"> </w:t>
            </w:r>
            <w:r>
              <w:rPr>
                <w:rFonts w:ascii="Tahoma"/>
                <w:b/>
                <w:sz w:val="24"/>
                <w:u w:val="thick"/>
              </w:rPr>
              <w:t>CIRCLES</w:t>
            </w:r>
          </w:p>
        </w:tc>
        <w:tc>
          <w:tcPr>
            <w:tcW w:w="2782" w:type="dxa"/>
          </w:tcPr>
          <w:p w:rsidR="007C5447" w:rsidRDefault="007C5447">
            <w:pPr>
              <w:pStyle w:val="TableParagraph"/>
              <w:spacing w:before="7"/>
              <w:jc w:val="left"/>
              <w:rPr>
                <w:rFonts w:ascii="Tahoma"/>
                <w:b/>
                <w:sz w:val="32"/>
              </w:rPr>
            </w:pPr>
          </w:p>
          <w:p w:rsidR="007C5447" w:rsidRDefault="00F6308C">
            <w:pPr>
              <w:pStyle w:val="TableParagraph"/>
              <w:ind w:left="108"/>
              <w:jc w:val="left"/>
              <w:rPr>
                <w:rFonts w:ascii="Tahoma"/>
                <w:sz w:val="24"/>
              </w:rPr>
            </w:pPr>
            <w:r>
              <w:rPr>
                <w:rFonts w:ascii="Tahoma"/>
                <w:sz w:val="24"/>
              </w:rPr>
              <w:t>GOPI EDC</w:t>
            </w:r>
          </w:p>
        </w:tc>
        <w:tc>
          <w:tcPr>
            <w:tcW w:w="2669" w:type="dxa"/>
          </w:tcPr>
          <w:p w:rsidR="007C5447" w:rsidRDefault="00F6308C">
            <w:pPr>
              <w:pStyle w:val="TableParagraph"/>
              <w:spacing w:before="59"/>
              <w:ind w:left="108"/>
              <w:jc w:val="left"/>
              <w:rPr>
                <w:rFonts w:ascii="Tahoma"/>
                <w:sz w:val="24"/>
              </w:rPr>
            </w:pPr>
            <w:r>
              <w:rPr>
                <w:rFonts w:ascii="Tahoma"/>
                <w:sz w:val="24"/>
              </w:rPr>
              <w:t>OPERATION CIRCLE</w:t>
            </w:r>
          </w:p>
          <w:p w:rsidR="007C5447" w:rsidRDefault="00F6308C">
            <w:pPr>
              <w:pStyle w:val="TableParagraph"/>
              <w:spacing w:before="44"/>
              <w:ind w:left="108"/>
              <w:jc w:val="left"/>
              <w:rPr>
                <w:rFonts w:ascii="Tahoma"/>
                <w:sz w:val="24"/>
              </w:rPr>
            </w:pPr>
            <w:r>
              <w:rPr>
                <w:rFonts w:ascii="Tahoma"/>
                <w:sz w:val="24"/>
              </w:rPr>
              <w:t>/TIRUNELVELI</w:t>
            </w:r>
          </w:p>
        </w:tc>
      </w:tr>
      <w:tr w:rsidR="007C5447">
        <w:trPr>
          <w:trHeight w:val="785"/>
        </w:trPr>
        <w:tc>
          <w:tcPr>
            <w:tcW w:w="3338" w:type="dxa"/>
          </w:tcPr>
          <w:p w:rsidR="007C5447" w:rsidRDefault="007C5447">
            <w:pPr>
              <w:pStyle w:val="TableParagraph"/>
              <w:spacing w:before="7"/>
              <w:jc w:val="left"/>
              <w:rPr>
                <w:rFonts w:ascii="Tahoma"/>
                <w:b/>
                <w:sz w:val="32"/>
              </w:rPr>
            </w:pPr>
          </w:p>
          <w:p w:rsidR="007C5447" w:rsidRDefault="00F6308C">
            <w:pPr>
              <w:pStyle w:val="TableParagraph"/>
              <w:ind w:left="107"/>
              <w:jc w:val="left"/>
              <w:rPr>
                <w:rFonts w:ascii="Tahoma"/>
                <w:sz w:val="24"/>
              </w:rPr>
            </w:pPr>
            <w:r>
              <w:rPr>
                <w:rFonts w:ascii="Tahoma"/>
                <w:sz w:val="24"/>
              </w:rPr>
              <w:t>GENERATION/ERODE</w:t>
            </w:r>
          </w:p>
        </w:tc>
        <w:tc>
          <w:tcPr>
            <w:tcW w:w="2782" w:type="dxa"/>
          </w:tcPr>
          <w:p w:rsidR="007C5447" w:rsidRDefault="007C5447">
            <w:pPr>
              <w:pStyle w:val="TableParagraph"/>
              <w:spacing w:before="7"/>
              <w:jc w:val="left"/>
              <w:rPr>
                <w:rFonts w:ascii="Tahoma"/>
                <w:b/>
                <w:sz w:val="32"/>
              </w:rPr>
            </w:pPr>
          </w:p>
          <w:p w:rsidR="007C5447" w:rsidRDefault="00F6308C">
            <w:pPr>
              <w:pStyle w:val="TableParagraph"/>
              <w:ind w:left="108"/>
              <w:jc w:val="left"/>
              <w:rPr>
                <w:rFonts w:ascii="Tahoma"/>
                <w:sz w:val="24"/>
              </w:rPr>
            </w:pPr>
            <w:r>
              <w:rPr>
                <w:rFonts w:ascii="Tahoma"/>
                <w:sz w:val="24"/>
              </w:rPr>
              <w:t>KANCHEEPURAM EDC</w:t>
            </w:r>
          </w:p>
        </w:tc>
        <w:tc>
          <w:tcPr>
            <w:tcW w:w="2669" w:type="dxa"/>
          </w:tcPr>
          <w:p w:rsidR="007C5447" w:rsidRDefault="00F6308C">
            <w:pPr>
              <w:pStyle w:val="TableParagraph"/>
              <w:spacing w:before="59"/>
              <w:ind w:left="108"/>
              <w:jc w:val="left"/>
              <w:rPr>
                <w:rFonts w:ascii="Tahoma"/>
                <w:sz w:val="24"/>
              </w:rPr>
            </w:pPr>
            <w:r>
              <w:rPr>
                <w:rFonts w:ascii="Tahoma"/>
                <w:sz w:val="24"/>
              </w:rPr>
              <w:t>OPERATION CIRLCE</w:t>
            </w:r>
          </w:p>
          <w:p w:rsidR="007C5447" w:rsidRDefault="00F6308C">
            <w:pPr>
              <w:pStyle w:val="TableParagraph"/>
              <w:spacing w:before="43"/>
              <w:ind w:left="108"/>
              <w:jc w:val="left"/>
              <w:rPr>
                <w:rFonts w:ascii="Tahoma"/>
                <w:sz w:val="24"/>
              </w:rPr>
            </w:pPr>
            <w:r>
              <w:rPr>
                <w:rFonts w:ascii="Tahoma"/>
                <w:sz w:val="24"/>
              </w:rPr>
              <w:t>/TRICHY</w:t>
            </w:r>
          </w:p>
        </w:tc>
      </w:tr>
      <w:tr w:rsidR="007C5447">
        <w:trPr>
          <w:trHeight w:val="786"/>
        </w:trPr>
        <w:tc>
          <w:tcPr>
            <w:tcW w:w="3338" w:type="dxa"/>
          </w:tcPr>
          <w:p w:rsidR="007C5447" w:rsidRDefault="007C5447">
            <w:pPr>
              <w:pStyle w:val="TableParagraph"/>
              <w:spacing w:before="7"/>
              <w:jc w:val="left"/>
              <w:rPr>
                <w:rFonts w:ascii="Tahoma"/>
                <w:b/>
                <w:sz w:val="32"/>
              </w:rPr>
            </w:pPr>
          </w:p>
          <w:p w:rsidR="007C5447" w:rsidRDefault="00F6308C">
            <w:pPr>
              <w:pStyle w:val="TableParagraph"/>
              <w:ind w:left="107"/>
              <w:jc w:val="left"/>
              <w:rPr>
                <w:rFonts w:ascii="Tahoma"/>
                <w:sz w:val="24"/>
              </w:rPr>
            </w:pPr>
            <w:r>
              <w:rPr>
                <w:rFonts w:ascii="Tahoma"/>
                <w:sz w:val="24"/>
              </w:rPr>
              <w:t>GENERATION/KADAMPARAI</w:t>
            </w:r>
          </w:p>
        </w:tc>
        <w:tc>
          <w:tcPr>
            <w:tcW w:w="2782" w:type="dxa"/>
          </w:tcPr>
          <w:p w:rsidR="007C5447" w:rsidRDefault="007C5447">
            <w:pPr>
              <w:pStyle w:val="TableParagraph"/>
              <w:spacing w:before="7"/>
              <w:jc w:val="left"/>
              <w:rPr>
                <w:rFonts w:ascii="Tahoma"/>
                <w:b/>
                <w:sz w:val="32"/>
              </w:rPr>
            </w:pPr>
          </w:p>
          <w:p w:rsidR="007C5447" w:rsidRDefault="00F6308C">
            <w:pPr>
              <w:pStyle w:val="TableParagraph"/>
              <w:ind w:left="107"/>
              <w:jc w:val="left"/>
              <w:rPr>
                <w:rFonts w:ascii="Tahoma"/>
                <w:sz w:val="24"/>
              </w:rPr>
            </w:pPr>
            <w:r>
              <w:rPr>
                <w:rFonts w:ascii="Tahoma"/>
                <w:sz w:val="24"/>
              </w:rPr>
              <w:t>KANYAKUMARI EDC</w:t>
            </w:r>
          </w:p>
        </w:tc>
        <w:tc>
          <w:tcPr>
            <w:tcW w:w="2669" w:type="dxa"/>
          </w:tcPr>
          <w:p w:rsidR="007C5447" w:rsidRDefault="00F6308C">
            <w:pPr>
              <w:pStyle w:val="TableParagraph"/>
              <w:spacing w:before="59"/>
              <w:ind w:left="108"/>
              <w:jc w:val="left"/>
              <w:rPr>
                <w:rFonts w:ascii="Tahoma"/>
                <w:sz w:val="24"/>
              </w:rPr>
            </w:pPr>
            <w:r>
              <w:rPr>
                <w:rFonts w:ascii="Tahoma"/>
                <w:sz w:val="24"/>
              </w:rPr>
              <w:t>OPERATION CIRCLE</w:t>
            </w:r>
          </w:p>
          <w:p w:rsidR="007C5447" w:rsidRDefault="00F6308C">
            <w:pPr>
              <w:pStyle w:val="TableParagraph"/>
              <w:spacing w:before="44"/>
              <w:ind w:left="108"/>
              <w:jc w:val="left"/>
              <w:rPr>
                <w:rFonts w:ascii="Tahoma"/>
                <w:sz w:val="24"/>
              </w:rPr>
            </w:pPr>
            <w:r>
              <w:rPr>
                <w:rFonts w:ascii="Tahoma"/>
                <w:sz w:val="24"/>
              </w:rPr>
              <w:t>/TRUVALLAM</w:t>
            </w:r>
          </w:p>
        </w:tc>
      </w:tr>
      <w:tr w:rsidR="007C5447">
        <w:trPr>
          <w:trHeight w:val="785"/>
        </w:trPr>
        <w:tc>
          <w:tcPr>
            <w:tcW w:w="3338" w:type="dxa"/>
          </w:tcPr>
          <w:p w:rsidR="007C5447" w:rsidRDefault="007C5447">
            <w:pPr>
              <w:pStyle w:val="TableParagraph"/>
              <w:spacing w:before="7"/>
              <w:jc w:val="left"/>
              <w:rPr>
                <w:rFonts w:ascii="Tahoma"/>
                <w:b/>
                <w:sz w:val="32"/>
              </w:rPr>
            </w:pPr>
          </w:p>
          <w:p w:rsidR="007C5447" w:rsidRDefault="00F6308C">
            <w:pPr>
              <w:pStyle w:val="TableParagraph"/>
              <w:ind w:left="107"/>
              <w:jc w:val="left"/>
              <w:rPr>
                <w:rFonts w:ascii="Tahoma"/>
                <w:sz w:val="24"/>
              </w:rPr>
            </w:pPr>
            <w:r>
              <w:rPr>
                <w:rFonts w:ascii="Tahoma"/>
                <w:sz w:val="24"/>
              </w:rPr>
              <w:t>GENERATION/KUNDAH</w:t>
            </w:r>
          </w:p>
        </w:tc>
        <w:tc>
          <w:tcPr>
            <w:tcW w:w="2782" w:type="dxa"/>
          </w:tcPr>
          <w:p w:rsidR="007C5447" w:rsidRDefault="007C5447">
            <w:pPr>
              <w:pStyle w:val="TableParagraph"/>
              <w:spacing w:before="7"/>
              <w:jc w:val="left"/>
              <w:rPr>
                <w:rFonts w:ascii="Tahoma"/>
                <w:b/>
                <w:sz w:val="32"/>
              </w:rPr>
            </w:pPr>
          </w:p>
          <w:p w:rsidR="007C5447" w:rsidRDefault="00F6308C">
            <w:pPr>
              <w:pStyle w:val="TableParagraph"/>
              <w:ind w:left="107"/>
              <w:jc w:val="left"/>
              <w:rPr>
                <w:rFonts w:ascii="Tahoma"/>
                <w:sz w:val="24"/>
              </w:rPr>
            </w:pPr>
            <w:r>
              <w:rPr>
                <w:rFonts w:ascii="Tahoma"/>
                <w:sz w:val="24"/>
              </w:rPr>
              <w:t>KARUR EDC</w:t>
            </w:r>
          </w:p>
        </w:tc>
        <w:tc>
          <w:tcPr>
            <w:tcW w:w="2669" w:type="dxa"/>
          </w:tcPr>
          <w:p w:rsidR="007C5447" w:rsidRDefault="00F6308C">
            <w:pPr>
              <w:pStyle w:val="TableParagraph"/>
              <w:spacing w:before="59"/>
              <w:ind w:left="108"/>
              <w:jc w:val="left"/>
              <w:rPr>
                <w:rFonts w:ascii="Tahoma"/>
                <w:sz w:val="24"/>
              </w:rPr>
            </w:pPr>
            <w:r>
              <w:rPr>
                <w:rFonts w:ascii="Tahoma"/>
                <w:sz w:val="24"/>
              </w:rPr>
              <w:t>OPERATION CIRCLE</w:t>
            </w:r>
          </w:p>
          <w:p w:rsidR="007C5447" w:rsidRDefault="00F6308C">
            <w:pPr>
              <w:pStyle w:val="TableParagraph"/>
              <w:spacing w:before="44"/>
              <w:ind w:left="108"/>
              <w:jc w:val="left"/>
              <w:rPr>
                <w:rFonts w:ascii="Tahoma"/>
                <w:sz w:val="24"/>
              </w:rPr>
            </w:pPr>
            <w:r>
              <w:rPr>
                <w:rFonts w:ascii="Tahoma"/>
                <w:sz w:val="24"/>
              </w:rPr>
              <w:t>/VILLUPURAM</w:t>
            </w:r>
          </w:p>
        </w:tc>
      </w:tr>
      <w:tr w:rsidR="007C5447">
        <w:trPr>
          <w:trHeight w:val="453"/>
        </w:trPr>
        <w:tc>
          <w:tcPr>
            <w:tcW w:w="3338" w:type="dxa"/>
          </w:tcPr>
          <w:p w:rsidR="007C5447" w:rsidRDefault="00F6308C">
            <w:pPr>
              <w:pStyle w:val="TableParagraph"/>
              <w:spacing w:before="59"/>
              <w:ind w:left="107"/>
              <w:jc w:val="left"/>
              <w:rPr>
                <w:rFonts w:ascii="Tahoma"/>
                <w:sz w:val="24"/>
              </w:rPr>
            </w:pPr>
            <w:r>
              <w:rPr>
                <w:rFonts w:ascii="Tahoma"/>
                <w:sz w:val="24"/>
              </w:rPr>
              <w:t>GENERATION/TIRUNELVELI</w:t>
            </w:r>
          </w:p>
        </w:tc>
        <w:tc>
          <w:tcPr>
            <w:tcW w:w="2782" w:type="dxa"/>
          </w:tcPr>
          <w:p w:rsidR="007C5447" w:rsidRDefault="00F6308C">
            <w:pPr>
              <w:pStyle w:val="TableParagraph"/>
              <w:spacing w:before="59"/>
              <w:ind w:left="109"/>
              <w:jc w:val="left"/>
              <w:rPr>
                <w:rFonts w:ascii="Tahoma"/>
                <w:sz w:val="24"/>
              </w:rPr>
            </w:pPr>
            <w:r>
              <w:rPr>
                <w:rFonts w:ascii="Tahoma"/>
                <w:sz w:val="24"/>
              </w:rPr>
              <w:t>MADURAI EDC/METRO</w:t>
            </w:r>
          </w:p>
        </w:tc>
        <w:tc>
          <w:tcPr>
            <w:tcW w:w="2669" w:type="dxa"/>
          </w:tcPr>
          <w:p w:rsidR="007C5447" w:rsidRDefault="00F6308C">
            <w:pPr>
              <w:pStyle w:val="TableParagraph"/>
              <w:spacing w:before="59"/>
              <w:ind w:left="109"/>
              <w:jc w:val="left"/>
              <w:rPr>
                <w:rFonts w:ascii="Tahoma"/>
                <w:sz w:val="24"/>
              </w:rPr>
            </w:pPr>
            <w:r>
              <w:rPr>
                <w:rFonts w:ascii="Tahoma"/>
                <w:sz w:val="24"/>
              </w:rPr>
              <w:t>SLDC/ERODE</w:t>
            </w:r>
          </w:p>
        </w:tc>
      </w:tr>
      <w:tr w:rsidR="007C5447">
        <w:trPr>
          <w:trHeight w:val="453"/>
        </w:trPr>
        <w:tc>
          <w:tcPr>
            <w:tcW w:w="3338" w:type="dxa"/>
          </w:tcPr>
          <w:p w:rsidR="007C5447" w:rsidRDefault="007C5447">
            <w:pPr>
              <w:pStyle w:val="TableParagraph"/>
              <w:jc w:val="left"/>
              <w:rPr>
                <w:sz w:val="24"/>
              </w:rPr>
            </w:pPr>
          </w:p>
        </w:tc>
        <w:tc>
          <w:tcPr>
            <w:tcW w:w="2782" w:type="dxa"/>
          </w:tcPr>
          <w:p w:rsidR="007C5447" w:rsidRDefault="00F6308C">
            <w:pPr>
              <w:pStyle w:val="TableParagraph"/>
              <w:spacing w:before="59"/>
              <w:ind w:left="108"/>
              <w:jc w:val="left"/>
              <w:rPr>
                <w:rFonts w:ascii="Tahoma"/>
                <w:sz w:val="24"/>
              </w:rPr>
            </w:pPr>
            <w:r>
              <w:rPr>
                <w:rFonts w:ascii="Tahoma"/>
                <w:sz w:val="24"/>
              </w:rPr>
              <w:t>MADURAI EDC</w:t>
            </w:r>
          </w:p>
        </w:tc>
        <w:tc>
          <w:tcPr>
            <w:tcW w:w="2669" w:type="dxa"/>
          </w:tcPr>
          <w:p w:rsidR="007C5447" w:rsidRDefault="00F6308C">
            <w:pPr>
              <w:pStyle w:val="TableParagraph"/>
              <w:spacing w:before="59"/>
              <w:ind w:left="110"/>
              <w:jc w:val="left"/>
              <w:rPr>
                <w:rFonts w:ascii="Tahoma"/>
                <w:sz w:val="24"/>
              </w:rPr>
            </w:pPr>
            <w:r>
              <w:rPr>
                <w:rFonts w:ascii="Tahoma"/>
                <w:sz w:val="24"/>
              </w:rPr>
              <w:t>WEDC - UDUMALPET</w:t>
            </w:r>
          </w:p>
        </w:tc>
      </w:tr>
      <w:tr w:rsidR="007C5447">
        <w:trPr>
          <w:trHeight w:val="786"/>
        </w:trPr>
        <w:tc>
          <w:tcPr>
            <w:tcW w:w="3338" w:type="dxa"/>
          </w:tcPr>
          <w:p w:rsidR="007C5447" w:rsidRDefault="00F6308C">
            <w:pPr>
              <w:pStyle w:val="TableParagraph"/>
              <w:spacing w:before="59" w:line="276" w:lineRule="auto"/>
              <w:ind w:left="107" w:right="776"/>
              <w:jc w:val="left"/>
              <w:rPr>
                <w:rFonts w:ascii="Tahoma"/>
                <w:b/>
                <w:sz w:val="24"/>
              </w:rPr>
            </w:pPr>
            <w:r>
              <w:rPr>
                <w:rFonts w:ascii="Tahoma"/>
                <w:b/>
                <w:sz w:val="24"/>
                <w:u w:val="thick"/>
              </w:rPr>
              <w:t>WIND GENERATING</w:t>
            </w:r>
            <w:r>
              <w:rPr>
                <w:rFonts w:ascii="Tahoma"/>
                <w:b/>
                <w:sz w:val="24"/>
              </w:rPr>
              <w:t xml:space="preserve"> </w:t>
            </w:r>
            <w:r>
              <w:rPr>
                <w:rFonts w:ascii="Tahoma"/>
                <w:b/>
                <w:sz w:val="24"/>
                <w:u w:val="thick"/>
              </w:rPr>
              <w:t>CIRCLES</w:t>
            </w:r>
          </w:p>
        </w:tc>
        <w:tc>
          <w:tcPr>
            <w:tcW w:w="2782" w:type="dxa"/>
          </w:tcPr>
          <w:p w:rsidR="007C5447" w:rsidRDefault="007C5447">
            <w:pPr>
              <w:pStyle w:val="TableParagraph"/>
              <w:spacing w:before="7"/>
              <w:jc w:val="left"/>
              <w:rPr>
                <w:rFonts w:ascii="Tahoma"/>
                <w:b/>
                <w:sz w:val="32"/>
              </w:rPr>
            </w:pPr>
          </w:p>
          <w:p w:rsidR="007C5447" w:rsidRDefault="00F6308C">
            <w:pPr>
              <w:pStyle w:val="TableParagraph"/>
              <w:ind w:left="108"/>
              <w:jc w:val="left"/>
              <w:rPr>
                <w:rFonts w:ascii="Tahoma"/>
                <w:sz w:val="24"/>
              </w:rPr>
            </w:pPr>
            <w:r>
              <w:rPr>
                <w:rFonts w:ascii="Tahoma"/>
                <w:sz w:val="24"/>
              </w:rPr>
              <w:t>METTUR EDC</w:t>
            </w:r>
          </w:p>
        </w:tc>
        <w:tc>
          <w:tcPr>
            <w:tcW w:w="2669" w:type="dxa"/>
          </w:tcPr>
          <w:p w:rsidR="007C5447" w:rsidRDefault="007C5447">
            <w:pPr>
              <w:pStyle w:val="TableParagraph"/>
              <w:spacing w:before="7"/>
              <w:jc w:val="left"/>
              <w:rPr>
                <w:rFonts w:ascii="Tahoma"/>
                <w:b/>
                <w:sz w:val="32"/>
              </w:rPr>
            </w:pPr>
          </w:p>
          <w:p w:rsidR="007C5447" w:rsidRDefault="00F6308C">
            <w:pPr>
              <w:pStyle w:val="TableParagraph"/>
              <w:ind w:left="109"/>
              <w:jc w:val="left"/>
              <w:rPr>
                <w:rFonts w:ascii="Tahoma"/>
                <w:sz w:val="24"/>
              </w:rPr>
            </w:pPr>
            <w:r>
              <w:rPr>
                <w:rFonts w:ascii="Tahoma"/>
                <w:sz w:val="24"/>
              </w:rPr>
              <w:t>WEDC -TIRUNELVELI</w:t>
            </w:r>
          </w:p>
        </w:tc>
      </w:tr>
      <w:tr w:rsidR="007C5447">
        <w:trPr>
          <w:trHeight w:val="453"/>
        </w:trPr>
        <w:tc>
          <w:tcPr>
            <w:tcW w:w="3338" w:type="dxa"/>
          </w:tcPr>
          <w:p w:rsidR="007C5447" w:rsidRDefault="00F6308C">
            <w:pPr>
              <w:pStyle w:val="TableParagraph"/>
              <w:spacing w:before="59"/>
              <w:ind w:left="107"/>
              <w:jc w:val="left"/>
              <w:rPr>
                <w:rFonts w:ascii="Tahoma"/>
                <w:sz w:val="24"/>
              </w:rPr>
            </w:pPr>
            <w:r>
              <w:rPr>
                <w:rFonts w:ascii="Tahoma"/>
                <w:sz w:val="24"/>
              </w:rPr>
              <w:t>WEDC - UDUMALPET</w:t>
            </w:r>
          </w:p>
        </w:tc>
        <w:tc>
          <w:tcPr>
            <w:tcW w:w="2782" w:type="dxa"/>
          </w:tcPr>
          <w:p w:rsidR="007C5447" w:rsidRDefault="00F6308C">
            <w:pPr>
              <w:pStyle w:val="TableParagraph"/>
              <w:spacing w:before="59"/>
              <w:ind w:left="110"/>
              <w:jc w:val="left"/>
              <w:rPr>
                <w:rFonts w:ascii="Tahoma"/>
                <w:sz w:val="24"/>
              </w:rPr>
            </w:pPr>
            <w:r>
              <w:rPr>
                <w:rFonts w:ascii="Tahoma"/>
                <w:sz w:val="24"/>
              </w:rPr>
              <w:t>NAGAPATTINAM EDC</w:t>
            </w:r>
          </w:p>
        </w:tc>
        <w:tc>
          <w:tcPr>
            <w:tcW w:w="2669" w:type="dxa"/>
          </w:tcPr>
          <w:p w:rsidR="007C5447" w:rsidRDefault="007C5447">
            <w:pPr>
              <w:pStyle w:val="TableParagraph"/>
              <w:jc w:val="left"/>
              <w:rPr>
                <w:sz w:val="24"/>
              </w:rPr>
            </w:pPr>
          </w:p>
        </w:tc>
      </w:tr>
      <w:tr w:rsidR="007C5447">
        <w:trPr>
          <w:trHeight w:val="453"/>
        </w:trPr>
        <w:tc>
          <w:tcPr>
            <w:tcW w:w="3338" w:type="dxa"/>
          </w:tcPr>
          <w:p w:rsidR="007C5447" w:rsidRDefault="00F6308C">
            <w:pPr>
              <w:pStyle w:val="TableParagraph"/>
              <w:spacing w:before="59"/>
              <w:ind w:left="107"/>
              <w:jc w:val="left"/>
              <w:rPr>
                <w:rFonts w:ascii="Tahoma" w:hAnsi="Tahoma"/>
                <w:sz w:val="24"/>
              </w:rPr>
            </w:pPr>
            <w:r>
              <w:rPr>
                <w:rFonts w:ascii="Tahoma" w:hAnsi="Tahoma"/>
                <w:sz w:val="24"/>
              </w:rPr>
              <w:t>WEDC –TIRUNELVELI</w:t>
            </w:r>
          </w:p>
        </w:tc>
        <w:tc>
          <w:tcPr>
            <w:tcW w:w="2782" w:type="dxa"/>
          </w:tcPr>
          <w:p w:rsidR="007C5447" w:rsidRDefault="00F6308C">
            <w:pPr>
              <w:pStyle w:val="TableParagraph"/>
              <w:spacing w:before="59"/>
              <w:ind w:left="109"/>
              <w:jc w:val="left"/>
              <w:rPr>
                <w:rFonts w:ascii="Tahoma"/>
                <w:sz w:val="24"/>
              </w:rPr>
            </w:pPr>
            <w:r>
              <w:rPr>
                <w:rFonts w:ascii="Tahoma"/>
                <w:sz w:val="24"/>
              </w:rPr>
              <w:t>NAMAKKAL EDC</w:t>
            </w:r>
          </w:p>
        </w:tc>
        <w:tc>
          <w:tcPr>
            <w:tcW w:w="2669" w:type="dxa"/>
          </w:tcPr>
          <w:p w:rsidR="007C5447" w:rsidRDefault="00F6308C">
            <w:pPr>
              <w:pStyle w:val="TableParagraph"/>
              <w:spacing w:before="59"/>
              <w:ind w:left="108"/>
              <w:jc w:val="left"/>
              <w:rPr>
                <w:rFonts w:ascii="Tahoma"/>
                <w:b/>
                <w:sz w:val="24"/>
              </w:rPr>
            </w:pPr>
            <w:r>
              <w:rPr>
                <w:rFonts w:ascii="Tahoma"/>
                <w:b/>
                <w:sz w:val="24"/>
                <w:u w:val="thick"/>
              </w:rPr>
              <w:t>HEAD OFFICE</w:t>
            </w:r>
          </w:p>
        </w:tc>
      </w:tr>
      <w:tr w:rsidR="007C5447">
        <w:trPr>
          <w:trHeight w:val="453"/>
        </w:trPr>
        <w:tc>
          <w:tcPr>
            <w:tcW w:w="3338" w:type="dxa"/>
          </w:tcPr>
          <w:p w:rsidR="007C5447" w:rsidRDefault="007C5447">
            <w:pPr>
              <w:pStyle w:val="TableParagraph"/>
              <w:jc w:val="left"/>
              <w:rPr>
                <w:sz w:val="24"/>
              </w:rPr>
            </w:pPr>
          </w:p>
        </w:tc>
        <w:tc>
          <w:tcPr>
            <w:tcW w:w="2782" w:type="dxa"/>
          </w:tcPr>
          <w:p w:rsidR="007C5447" w:rsidRDefault="00F6308C">
            <w:pPr>
              <w:pStyle w:val="TableParagraph"/>
              <w:spacing w:before="59"/>
              <w:ind w:left="108"/>
              <w:jc w:val="left"/>
              <w:rPr>
                <w:rFonts w:ascii="Tahoma"/>
                <w:sz w:val="24"/>
              </w:rPr>
            </w:pPr>
            <w:r>
              <w:rPr>
                <w:rFonts w:ascii="Tahoma"/>
                <w:sz w:val="24"/>
              </w:rPr>
              <w:t>NILGIRIS EDC</w:t>
            </w:r>
          </w:p>
        </w:tc>
        <w:tc>
          <w:tcPr>
            <w:tcW w:w="2669" w:type="dxa"/>
          </w:tcPr>
          <w:p w:rsidR="007C5447" w:rsidRDefault="00F6308C">
            <w:pPr>
              <w:pStyle w:val="TableParagraph"/>
              <w:spacing w:before="59"/>
              <w:ind w:left="109"/>
              <w:jc w:val="left"/>
              <w:rPr>
                <w:rFonts w:ascii="Tahoma"/>
                <w:sz w:val="24"/>
              </w:rPr>
            </w:pPr>
            <w:r>
              <w:rPr>
                <w:rFonts w:ascii="Tahoma"/>
                <w:sz w:val="24"/>
              </w:rPr>
              <w:t>CENTRAL PAYMENT</w:t>
            </w:r>
          </w:p>
        </w:tc>
      </w:tr>
      <w:tr w:rsidR="007C5447">
        <w:trPr>
          <w:trHeight w:val="453"/>
        </w:trPr>
        <w:tc>
          <w:tcPr>
            <w:tcW w:w="3338" w:type="dxa"/>
          </w:tcPr>
          <w:p w:rsidR="007C5447" w:rsidRDefault="00F6308C">
            <w:pPr>
              <w:pStyle w:val="TableParagraph"/>
              <w:spacing w:before="59"/>
              <w:ind w:left="107"/>
              <w:jc w:val="left"/>
              <w:rPr>
                <w:rFonts w:ascii="Tahoma"/>
                <w:b/>
                <w:sz w:val="24"/>
              </w:rPr>
            </w:pPr>
            <w:r>
              <w:rPr>
                <w:rFonts w:ascii="Tahoma"/>
                <w:b/>
                <w:sz w:val="24"/>
                <w:u w:val="thick"/>
              </w:rPr>
              <w:t>HEAD OFFICE</w:t>
            </w:r>
          </w:p>
        </w:tc>
        <w:tc>
          <w:tcPr>
            <w:tcW w:w="2782" w:type="dxa"/>
          </w:tcPr>
          <w:p w:rsidR="007C5447" w:rsidRDefault="00F6308C">
            <w:pPr>
              <w:pStyle w:val="TableParagraph"/>
              <w:spacing w:before="59"/>
              <w:ind w:left="108"/>
              <w:jc w:val="left"/>
              <w:rPr>
                <w:rFonts w:ascii="Tahoma"/>
                <w:sz w:val="24"/>
              </w:rPr>
            </w:pPr>
            <w:r>
              <w:rPr>
                <w:rFonts w:ascii="Tahoma"/>
                <w:sz w:val="24"/>
              </w:rPr>
              <w:t>PERAMBALORE EDC</w:t>
            </w:r>
          </w:p>
        </w:tc>
        <w:tc>
          <w:tcPr>
            <w:tcW w:w="2669" w:type="dxa"/>
          </w:tcPr>
          <w:p w:rsidR="007C5447" w:rsidRDefault="00F6308C">
            <w:pPr>
              <w:pStyle w:val="TableParagraph"/>
              <w:spacing w:before="59"/>
              <w:ind w:left="108"/>
              <w:jc w:val="left"/>
              <w:rPr>
                <w:rFonts w:ascii="Tahoma"/>
                <w:sz w:val="24"/>
              </w:rPr>
            </w:pPr>
            <w:r>
              <w:rPr>
                <w:rFonts w:ascii="Tahoma"/>
                <w:sz w:val="24"/>
              </w:rPr>
              <w:t>CASH</w:t>
            </w:r>
          </w:p>
        </w:tc>
      </w:tr>
      <w:tr w:rsidR="007C5447">
        <w:trPr>
          <w:trHeight w:val="453"/>
        </w:trPr>
        <w:tc>
          <w:tcPr>
            <w:tcW w:w="3338" w:type="dxa"/>
          </w:tcPr>
          <w:p w:rsidR="007C5447" w:rsidRDefault="00F6308C">
            <w:pPr>
              <w:pStyle w:val="TableParagraph"/>
              <w:spacing w:before="59"/>
              <w:ind w:left="107"/>
              <w:jc w:val="left"/>
              <w:rPr>
                <w:rFonts w:ascii="Tahoma"/>
                <w:sz w:val="24"/>
              </w:rPr>
            </w:pPr>
            <w:r>
              <w:rPr>
                <w:rFonts w:ascii="Tahoma"/>
                <w:sz w:val="24"/>
              </w:rPr>
              <w:t>COAL</w:t>
            </w:r>
          </w:p>
        </w:tc>
        <w:tc>
          <w:tcPr>
            <w:tcW w:w="2782" w:type="dxa"/>
          </w:tcPr>
          <w:p w:rsidR="007C5447" w:rsidRDefault="00F6308C">
            <w:pPr>
              <w:pStyle w:val="TableParagraph"/>
              <w:spacing w:before="59"/>
              <w:ind w:left="107"/>
              <w:jc w:val="left"/>
              <w:rPr>
                <w:rFonts w:ascii="Tahoma"/>
                <w:sz w:val="24"/>
              </w:rPr>
            </w:pPr>
            <w:r>
              <w:rPr>
                <w:rFonts w:ascii="Tahoma"/>
                <w:sz w:val="24"/>
              </w:rPr>
              <w:t>PUDUKOTTAI EDC</w:t>
            </w:r>
          </w:p>
        </w:tc>
        <w:tc>
          <w:tcPr>
            <w:tcW w:w="2669" w:type="dxa"/>
          </w:tcPr>
          <w:p w:rsidR="007C5447" w:rsidRDefault="00F6308C">
            <w:pPr>
              <w:pStyle w:val="TableParagraph"/>
              <w:spacing w:before="59"/>
              <w:ind w:left="108"/>
              <w:jc w:val="left"/>
              <w:rPr>
                <w:rFonts w:ascii="Tahoma"/>
                <w:sz w:val="24"/>
              </w:rPr>
            </w:pPr>
            <w:r>
              <w:rPr>
                <w:rFonts w:ascii="Tahoma"/>
                <w:sz w:val="24"/>
              </w:rPr>
              <w:t>FUNDS</w:t>
            </w:r>
          </w:p>
        </w:tc>
      </w:tr>
      <w:tr w:rsidR="007C5447">
        <w:trPr>
          <w:trHeight w:val="453"/>
        </w:trPr>
        <w:tc>
          <w:tcPr>
            <w:tcW w:w="3338" w:type="dxa"/>
          </w:tcPr>
          <w:p w:rsidR="007C5447" w:rsidRDefault="00F6308C">
            <w:pPr>
              <w:pStyle w:val="TableParagraph"/>
              <w:spacing w:before="59"/>
              <w:ind w:left="107"/>
              <w:jc w:val="left"/>
              <w:rPr>
                <w:rFonts w:ascii="Tahoma"/>
                <w:sz w:val="24"/>
              </w:rPr>
            </w:pPr>
            <w:r>
              <w:rPr>
                <w:rFonts w:ascii="Tahoma"/>
                <w:sz w:val="24"/>
              </w:rPr>
              <w:t>RESOURCES</w:t>
            </w:r>
          </w:p>
        </w:tc>
        <w:tc>
          <w:tcPr>
            <w:tcW w:w="2782" w:type="dxa"/>
          </w:tcPr>
          <w:p w:rsidR="007C5447" w:rsidRDefault="00F6308C">
            <w:pPr>
              <w:pStyle w:val="TableParagraph"/>
              <w:spacing w:before="59"/>
              <w:ind w:left="108"/>
              <w:jc w:val="left"/>
              <w:rPr>
                <w:rFonts w:ascii="Tahoma"/>
                <w:sz w:val="24"/>
              </w:rPr>
            </w:pPr>
            <w:r>
              <w:rPr>
                <w:rFonts w:ascii="Tahoma"/>
                <w:sz w:val="24"/>
              </w:rPr>
              <w:t>RAMNAD EDC</w:t>
            </w:r>
          </w:p>
        </w:tc>
        <w:tc>
          <w:tcPr>
            <w:tcW w:w="2669" w:type="dxa"/>
          </w:tcPr>
          <w:p w:rsidR="007C5447" w:rsidRDefault="00F6308C">
            <w:pPr>
              <w:pStyle w:val="TableParagraph"/>
              <w:spacing w:before="59"/>
              <w:ind w:left="110"/>
              <w:jc w:val="left"/>
              <w:rPr>
                <w:rFonts w:ascii="Tahoma"/>
                <w:sz w:val="24"/>
              </w:rPr>
            </w:pPr>
            <w:r>
              <w:rPr>
                <w:rFonts w:ascii="Tahoma"/>
                <w:sz w:val="24"/>
              </w:rPr>
              <w:t>RESOURCES</w:t>
            </w:r>
          </w:p>
        </w:tc>
      </w:tr>
      <w:tr w:rsidR="007C5447">
        <w:trPr>
          <w:trHeight w:val="453"/>
        </w:trPr>
        <w:tc>
          <w:tcPr>
            <w:tcW w:w="3338" w:type="dxa"/>
          </w:tcPr>
          <w:p w:rsidR="007C5447" w:rsidRDefault="007C5447">
            <w:pPr>
              <w:pStyle w:val="TableParagraph"/>
              <w:jc w:val="left"/>
              <w:rPr>
                <w:sz w:val="24"/>
              </w:rPr>
            </w:pPr>
          </w:p>
        </w:tc>
        <w:tc>
          <w:tcPr>
            <w:tcW w:w="2782" w:type="dxa"/>
          </w:tcPr>
          <w:p w:rsidR="007C5447" w:rsidRDefault="00F6308C">
            <w:pPr>
              <w:pStyle w:val="TableParagraph"/>
              <w:spacing w:before="59"/>
              <w:ind w:left="108"/>
              <w:jc w:val="left"/>
              <w:rPr>
                <w:rFonts w:ascii="Tahoma"/>
                <w:sz w:val="24"/>
              </w:rPr>
            </w:pPr>
            <w:r>
              <w:rPr>
                <w:rFonts w:ascii="Tahoma"/>
                <w:sz w:val="24"/>
              </w:rPr>
              <w:t>SALEM EDC</w:t>
            </w:r>
          </w:p>
        </w:tc>
        <w:tc>
          <w:tcPr>
            <w:tcW w:w="2669" w:type="dxa"/>
          </w:tcPr>
          <w:p w:rsidR="007C5447" w:rsidRDefault="007C5447">
            <w:pPr>
              <w:pStyle w:val="TableParagraph"/>
              <w:jc w:val="left"/>
              <w:rPr>
                <w:sz w:val="24"/>
              </w:rPr>
            </w:pPr>
          </w:p>
        </w:tc>
      </w:tr>
      <w:tr w:rsidR="007C5447">
        <w:trPr>
          <w:trHeight w:val="453"/>
        </w:trPr>
        <w:tc>
          <w:tcPr>
            <w:tcW w:w="3338" w:type="dxa"/>
          </w:tcPr>
          <w:p w:rsidR="007C5447" w:rsidRDefault="00F6308C">
            <w:pPr>
              <w:pStyle w:val="TableParagraph"/>
              <w:spacing w:before="59"/>
              <w:ind w:left="107"/>
              <w:jc w:val="left"/>
              <w:rPr>
                <w:rFonts w:ascii="Tahoma"/>
                <w:b/>
                <w:sz w:val="24"/>
              </w:rPr>
            </w:pPr>
            <w:r>
              <w:rPr>
                <w:rFonts w:ascii="Tahoma"/>
                <w:b/>
                <w:sz w:val="24"/>
                <w:u w:val="thick"/>
              </w:rPr>
              <w:t xml:space="preserve"> PROJECT</w:t>
            </w:r>
          </w:p>
        </w:tc>
        <w:tc>
          <w:tcPr>
            <w:tcW w:w="2782" w:type="dxa"/>
          </w:tcPr>
          <w:p w:rsidR="007C5447" w:rsidRDefault="00F6308C">
            <w:pPr>
              <w:pStyle w:val="TableParagraph"/>
              <w:spacing w:before="59"/>
              <w:ind w:left="108"/>
              <w:jc w:val="left"/>
              <w:rPr>
                <w:rFonts w:ascii="Tahoma"/>
                <w:sz w:val="24"/>
              </w:rPr>
            </w:pPr>
            <w:r>
              <w:rPr>
                <w:rFonts w:ascii="Tahoma"/>
                <w:sz w:val="24"/>
              </w:rPr>
              <w:t>SIVAGANGAI EDC</w:t>
            </w:r>
          </w:p>
        </w:tc>
        <w:tc>
          <w:tcPr>
            <w:tcW w:w="2669" w:type="dxa"/>
          </w:tcPr>
          <w:p w:rsidR="007C5447" w:rsidRDefault="007C5447">
            <w:pPr>
              <w:pStyle w:val="TableParagraph"/>
              <w:jc w:val="left"/>
              <w:rPr>
                <w:sz w:val="24"/>
              </w:rPr>
            </w:pPr>
          </w:p>
        </w:tc>
      </w:tr>
      <w:tr w:rsidR="007C5447">
        <w:trPr>
          <w:trHeight w:val="452"/>
        </w:trPr>
        <w:tc>
          <w:tcPr>
            <w:tcW w:w="3338" w:type="dxa"/>
          </w:tcPr>
          <w:p w:rsidR="007C5447" w:rsidRDefault="00F6308C">
            <w:pPr>
              <w:pStyle w:val="TableParagraph"/>
              <w:spacing w:before="59"/>
              <w:ind w:left="183"/>
              <w:jc w:val="left"/>
              <w:rPr>
                <w:rFonts w:ascii="Tahoma"/>
                <w:sz w:val="24"/>
              </w:rPr>
            </w:pPr>
            <w:r>
              <w:rPr>
                <w:rFonts w:ascii="Tahoma"/>
                <w:sz w:val="24"/>
              </w:rPr>
              <w:t>L.M.H.E.P / BHAVANI</w:t>
            </w:r>
          </w:p>
        </w:tc>
        <w:tc>
          <w:tcPr>
            <w:tcW w:w="2782" w:type="dxa"/>
          </w:tcPr>
          <w:p w:rsidR="007C5447" w:rsidRDefault="00F6308C">
            <w:pPr>
              <w:pStyle w:val="TableParagraph"/>
              <w:spacing w:before="59"/>
              <w:ind w:left="108"/>
              <w:jc w:val="left"/>
              <w:rPr>
                <w:rFonts w:ascii="Tahoma"/>
                <w:sz w:val="24"/>
              </w:rPr>
            </w:pPr>
            <w:r>
              <w:rPr>
                <w:rFonts w:ascii="Tahoma"/>
                <w:sz w:val="24"/>
              </w:rPr>
              <w:t>THANJAVUR EDC</w:t>
            </w:r>
          </w:p>
        </w:tc>
        <w:tc>
          <w:tcPr>
            <w:tcW w:w="2669" w:type="dxa"/>
          </w:tcPr>
          <w:p w:rsidR="007C5447" w:rsidRDefault="007C5447">
            <w:pPr>
              <w:pStyle w:val="TableParagraph"/>
              <w:jc w:val="left"/>
              <w:rPr>
                <w:sz w:val="24"/>
              </w:rPr>
            </w:pPr>
          </w:p>
        </w:tc>
      </w:tr>
      <w:tr w:rsidR="007C5447">
        <w:trPr>
          <w:trHeight w:val="786"/>
        </w:trPr>
        <w:tc>
          <w:tcPr>
            <w:tcW w:w="3338" w:type="dxa"/>
          </w:tcPr>
          <w:p w:rsidR="007C5447" w:rsidRDefault="00F6308C">
            <w:pPr>
              <w:pStyle w:val="TableParagraph"/>
              <w:spacing w:before="59" w:line="276" w:lineRule="auto"/>
              <w:ind w:left="107" w:right="851"/>
              <w:jc w:val="left"/>
              <w:rPr>
                <w:rFonts w:ascii="Tahoma"/>
                <w:sz w:val="24"/>
              </w:rPr>
            </w:pPr>
            <w:r>
              <w:rPr>
                <w:rFonts w:ascii="Tahoma"/>
                <w:sz w:val="24"/>
              </w:rPr>
              <w:t>CIVIL MAINTENANCE/ MADURAI</w:t>
            </w:r>
          </w:p>
        </w:tc>
        <w:tc>
          <w:tcPr>
            <w:tcW w:w="2782" w:type="dxa"/>
          </w:tcPr>
          <w:p w:rsidR="007C5447" w:rsidRDefault="007C5447">
            <w:pPr>
              <w:pStyle w:val="TableParagraph"/>
              <w:spacing w:before="7"/>
              <w:jc w:val="left"/>
              <w:rPr>
                <w:rFonts w:ascii="Tahoma"/>
                <w:b/>
                <w:sz w:val="32"/>
              </w:rPr>
            </w:pPr>
          </w:p>
          <w:p w:rsidR="007C5447" w:rsidRDefault="00F6308C">
            <w:pPr>
              <w:pStyle w:val="TableParagraph"/>
              <w:ind w:left="109"/>
              <w:jc w:val="left"/>
              <w:rPr>
                <w:rFonts w:ascii="Tahoma"/>
                <w:sz w:val="24"/>
              </w:rPr>
            </w:pPr>
            <w:r>
              <w:rPr>
                <w:rFonts w:ascii="Tahoma"/>
                <w:sz w:val="24"/>
              </w:rPr>
              <w:t>THENI EDC</w:t>
            </w:r>
          </w:p>
        </w:tc>
        <w:tc>
          <w:tcPr>
            <w:tcW w:w="2669" w:type="dxa"/>
          </w:tcPr>
          <w:p w:rsidR="007C5447" w:rsidRDefault="007C5447">
            <w:pPr>
              <w:pStyle w:val="TableParagraph"/>
              <w:jc w:val="left"/>
              <w:rPr>
                <w:sz w:val="24"/>
              </w:rPr>
            </w:pPr>
          </w:p>
        </w:tc>
      </w:tr>
    </w:tbl>
    <w:p w:rsidR="007C5447" w:rsidRDefault="007C5447">
      <w:pPr>
        <w:rPr>
          <w:sz w:val="24"/>
        </w:rPr>
        <w:sectPr w:rsidR="007C5447">
          <w:footerReference w:type="default" r:id="rId97"/>
          <w:pgSz w:w="12240" w:h="15840"/>
          <w:pgMar w:top="1440" w:right="740" w:bottom="280" w:left="600" w:header="0" w:footer="0" w:gutter="0"/>
          <w:cols w:space="720"/>
        </w:sectPr>
      </w:pPr>
    </w:p>
    <w:tbl>
      <w:tblPr>
        <w:tblW w:w="0" w:type="auto"/>
        <w:tblInd w:w="1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8"/>
        <w:gridCol w:w="2782"/>
        <w:gridCol w:w="2669"/>
      </w:tblGrid>
      <w:tr w:rsidR="007C5447">
        <w:trPr>
          <w:trHeight w:val="453"/>
        </w:trPr>
        <w:tc>
          <w:tcPr>
            <w:tcW w:w="6120" w:type="dxa"/>
            <w:gridSpan w:val="2"/>
          </w:tcPr>
          <w:p w:rsidR="007C5447" w:rsidRDefault="00F6308C">
            <w:pPr>
              <w:pStyle w:val="TableParagraph"/>
              <w:spacing w:before="59"/>
              <w:ind w:left="2366" w:right="2354"/>
              <w:jc w:val="center"/>
              <w:rPr>
                <w:rFonts w:ascii="Tahoma"/>
                <w:b/>
                <w:sz w:val="24"/>
              </w:rPr>
            </w:pPr>
            <w:r>
              <w:rPr>
                <w:rFonts w:ascii="Tahoma"/>
                <w:b/>
                <w:sz w:val="24"/>
                <w:u w:val="thick"/>
              </w:rPr>
              <w:lastRenderedPageBreak/>
              <w:t>TANGEDCO</w:t>
            </w:r>
          </w:p>
        </w:tc>
        <w:tc>
          <w:tcPr>
            <w:tcW w:w="2669" w:type="dxa"/>
          </w:tcPr>
          <w:p w:rsidR="007C5447" w:rsidRDefault="00F6308C">
            <w:pPr>
              <w:pStyle w:val="TableParagraph"/>
              <w:spacing w:before="59"/>
              <w:ind w:left="342" w:right="332"/>
              <w:jc w:val="center"/>
              <w:rPr>
                <w:rFonts w:ascii="Tahoma"/>
                <w:b/>
                <w:sz w:val="24"/>
              </w:rPr>
            </w:pPr>
            <w:r>
              <w:rPr>
                <w:rFonts w:ascii="Tahoma"/>
                <w:b/>
                <w:sz w:val="24"/>
                <w:u w:val="thick"/>
              </w:rPr>
              <w:t>TANTRANSCO</w:t>
            </w:r>
          </w:p>
        </w:tc>
      </w:tr>
      <w:tr w:rsidR="007C5447">
        <w:trPr>
          <w:trHeight w:val="453"/>
        </w:trPr>
        <w:tc>
          <w:tcPr>
            <w:tcW w:w="3338" w:type="dxa"/>
          </w:tcPr>
          <w:p w:rsidR="007C5447" w:rsidRDefault="00F6308C">
            <w:pPr>
              <w:pStyle w:val="TableParagraph"/>
              <w:spacing w:before="59"/>
              <w:ind w:left="853"/>
              <w:jc w:val="left"/>
              <w:rPr>
                <w:rFonts w:ascii="Tahoma"/>
                <w:b/>
                <w:sz w:val="24"/>
              </w:rPr>
            </w:pPr>
            <w:r>
              <w:rPr>
                <w:rFonts w:ascii="Tahoma"/>
                <w:b/>
                <w:sz w:val="24"/>
                <w:u w:val="thick"/>
              </w:rPr>
              <w:t>GENERATION</w:t>
            </w:r>
          </w:p>
        </w:tc>
        <w:tc>
          <w:tcPr>
            <w:tcW w:w="2782" w:type="dxa"/>
          </w:tcPr>
          <w:p w:rsidR="007C5447" w:rsidRDefault="00F6308C">
            <w:pPr>
              <w:pStyle w:val="TableParagraph"/>
              <w:spacing w:before="59"/>
              <w:ind w:left="461"/>
              <w:jc w:val="left"/>
              <w:rPr>
                <w:rFonts w:ascii="Tahoma"/>
                <w:b/>
                <w:sz w:val="24"/>
              </w:rPr>
            </w:pPr>
            <w:r>
              <w:rPr>
                <w:rFonts w:ascii="Tahoma"/>
                <w:b/>
                <w:sz w:val="24"/>
                <w:u w:val="thick"/>
              </w:rPr>
              <w:t>DISTRIBUTION</w:t>
            </w:r>
          </w:p>
        </w:tc>
        <w:tc>
          <w:tcPr>
            <w:tcW w:w="2669" w:type="dxa"/>
          </w:tcPr>
          <w:p w:rsidR="007C5447" w:rsidRDefault="00F6308C">
            <w:pPr>
              <w:pStyle w:val="TableParagraph"/>
              <w:spacing w:before="59"/>
              <w:ind w:left="343" w:right="332"/>
              <w:jc w:val="center"/>
              <w:rPr>
                <w:rFonts w:ascii="Tahoma"/>
                <w:b/>
                <w:sz w:val="24"/>
              </w:rPr>
            </w:pPr>
            <w:r>
              <w:rPr>
                <w:rFonts w:ascii="Tahoma"/>
                <w:b/>
                <w:sz w:val="24"/>
                <w:u w:val="thick"/>
              </w:rPr>
              <w:t>TRANSMISSION</w:t>
            </w:r>
          </w:p>
        </w:tc>
      </w:tr>
      <w:tr w:rsidR="007C5447">
        <w:trPr>
          <w:trHeight w:val="1179"/>
        </w:trPr>
        <w:tc>
          <w:tcPr>
            <w:tcW w:w="3338" w:type="dxa"/>
          </w:tcPr>
          <w:p w:rsidR="007C5447" w:rsidRDefault="00F6308C">
            <w:pPr>
              <w:pStyle w:val="TableParagraph"/>
              <w:spacing w:before="59" w:line="276" w:lineRule="auto"/>
              <w:ind w:left="107" w:right="851"/>
              <w:jc w:val="left"/>
              <w:rPr>
                <w:rFonts w:ascii="Tahoma"/>
                <w:sz w:val="24"/>
              </w:rPr>
            </w:pPr>
            <w:r>
              <w:rPr>
                <w:rFonts w:ascii="Tahoma"/>
                <w:sz w:val="24"/>
              </w:rPr>
              <w:t>CIVIL MAINTENANCE/ EMERALD</w:t>
            </w:r>
          </w:p>
        </w:tc>
        <w:tc>
          <w:tcPr>
            <w:tcW w:w="2782" w:type="dxa"/>
          </w:tcPr>
          <w:p w:rsidR="007C5447" w:rsidRDefault="007C5447">
            <w:pPr>
              <w:pStyle w:val="TableParagraph"/>
              <w:jc w:val="left"/>
              <w:rPr>
                <w:rFonts w:ascii="Tahoma"/>
                <w:b/>
                <w:sz w:val="28"/>
              </w:rPr>
            </w:pPr>
          </w:p>
          <w:p w:rsidR="007C5447" w:rsidRDefault="007C5447">
            <w:pPr>
              <w:pStyle w:val="TableParagraph"/>
              <w:spacing w:before="2"/>
              <w:jc w:val="left"/>
              <w:rPr>
                <w:rFonts w:ascii="Tahoma"/>
                <w:b/>
                <w:sz w:val="37"/>
              </w:rPr>
            </w:pPr>
          </w:p>
          <w:p w:rsidR="007C5447" w:rsidRDefault="00F6308C">
            <w:pPr>
              <w:pStyle w:val="TableParagraph"/>
              <w:ind w:left="108"/>
              <w:jc w:val="left"/>
              <w:rPr>
                <w:rFonts w:ascii="Tahoma"/>
                <w:sz w:val="24"/>
              </w:rPr>
            </w:pPr>
            <w:r>
              <w:rPr>
                <w:rFonts w:ascii="Tahoma"/>
                <w:sz w:val="24"/>
              </w:rPr>
              <w:t>THIRUPPUR EDC</w:t>
            </w:r>
          </w:p>
        </w:tc>
        <w:tc>
          <w:tcPr>
            <w:tcW w:w="2669" w:type="dxa"/>
          </w:tcPr>
          <w:p w:rsidR="007C5447" w:rsidRDefault="007C5447">
            <w:pPr>
              <w:pStyle w:val="TableParagraph"/>
              <w:jc w:val="left"/>
            </w:pPr>
          </w:p>
        </w:tc>
      </w:tr>
      <w:tr w:rsidR="007C5447">
        <w:trPr>
          <w:trHeight w:val="786"/>
        </w:trPr>
        <w:tc>
          <w:tcPr>
            <w:tcW w:w="3338" w:type="dxa"/>
          </w:tcPr>
          <w:p w:rsidR="007C5447" w:rsidRDefault="00F6308C">
            <w:pPr>
              <w:pStyle w:val="TableParagraph"/>
              <w:spacing w:before="59" w:line="276" w:lineRule="auto"/>
              <w:ind w:left="107" w:right="233" w:firstLine="75"/>
              <w:jc w:val="left"/>
              <w:rPr>
                <w:rFonts w:ascii="Tahoma"/>
                <w:sz w:val="24"/>
              </w:rPr>
            </w:pPr>
            <w:r>
              <w:rPr>
                <w:rFonts w:ascii="Tahoma"/>
                <w:sz w:val="24"/>
              </w:rPr>
              <w:t>METTUR THERMAL POWER PROJECT (MTPP)</w:t>
            </w:r>
          </w:p>
        </w:tc>
        <w:tc>
          <w:tcPr>
            <w:tcW w:w="2782" w:type="dxa"/>
          </w:tcPr>
          <w:p w:rsidR="007C5447" w:rsidRDefault="007C5447">
            <w:pPr>
              <w:pStyle w:val="TableParagraph"/>
              <w:spacing w:before="7"/>
              <w:jc w:val="left"/>
              <w:rPr>
                <w:rFonts w:ascii="Tahoma"/>
                <w:b/>
                <w:sz w:val="32"/>
              </w:rPr>
            </w:pPr>
          </w:p>
          <w:p w:rsidR="007C5447" w:rsidRDefault="00F6308C">
            <w:pPr>
              <w:pStyle w:val="TableParagraph"/>
              <w:ind w:left="109"/>
              <w:jc w:val="left"/>
              <w:rPr>
                <w:rFonts w:ascii="Tahoma"/>
                <w:sz w:val="24"/>
              </w:rPr>
            </w:pPr>
            <w:r>
              <w:rPr>
                <w:rFonts w:ascii="Tahoma"/>
                <w:sz w:val="24"/>
              </w:rPr>
              <w:t>TIRUNELVELI EDC</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sz w:val="24"/>
              </w:rPr>
            </w:pPr>
            <w:r>
              <w:rPr>
                <w:rFonts w:ascii="Tahoma"/>
                <w:sz w:val="24"/>
              </w:rPr>
              <w:t>TIRUPATTUR EDC</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sz w:val="24"/>
              </w:rPr>
            </w:pPr>
            <w:r>
              <w:rPr>
                <w:rFonts w:ascii="Tahoma"/>
                <w:sz w:val="24"/>
              </w:rPr>
              <w:t>TIRUVANNAMALAI EDC</w:t>
            </w:r>
          </w:p>
        </w:tc>
        <w:tc>
          <w:tcPr>
            <w:tcW w:w="2669" w:type="dxa"/>
          </w:tcPr>
          <w:p w:rsidR="007C5447" w:rsidRDefault="007C5447">
            <w:pPr>
              <w:pStyle w:val="TableParagraph"/>
              <w:jc w:val="left"/>
            </w:pPr>
          </w:p>
        </w:tc>
      </w:tr>
      <w:tr w:rsidR="007C5447">
        <w:trPr>
          <w:trHeight w:val="452"/>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sz w:val="24"/>
              </w:rPr>
            </w:pPr>
            <w:r>
              <w:rPr>
                <w:rFonts w:ascii="Tahoma"/>
                <w:sz w:val="24"/>
              </w:rPr>
              <w:t>TRICHY EDC / METRO</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sz w:val="24"/>
              </w:rPr>
            </w:pPr>
            <w:r>
              <w:rPr>
                <w:rFonts w:ascii="Tahoma"/>
                <w:sz w:val="24"/>
              </w:rPr>
              <w:t>TUTICORIN EDC</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sz w:val="24"/>
              </w:rPr>
            </w:pPr>
            <w:r>
              <w:rPr>
                <w:rFonts w:ascii="Tahoma"/>
                <w:sz w:val="24"/>
              </w:rPr>
              <w:t>UDUMALPET EDC</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sz w:val="24"/>
              </w:rPr>
            </w:pPr>
            <w:r>
              <w:rPr>
                <w:rFonts w:ascii="Tahoma"/>
                <w:sz w:val="24"/>
              </w:rPr>
              <w:t>VELLORE EDC</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sz w:val="24"/>
              </w:rPr>
            </w:pPr>
            <w:r>
              <w:rPr>
                <w:rFonts w:ascii="Tahoma"/>
                <w:sz w:val="24"/>
              </w:rPr>
              <w:t>VILLUPURAM EDC</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sz w:val="24"/>
              </w:rPr>
            </w:pPr>
            <w:r>
              <w:rPr>
                <w:rFonts w:ascii="Tahoma"/>
                <w:sz w:val="24"/>
              </w:rPr>
              <w:t>VIRUDHUNAGAR EDC</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b/>
                <w:sz w:val="24"/>
              </w:rPr>
            </w:pPr>
            <w:r>
              <w:rPr>
                <w:rFonts w:ascii="Tahoma"/>
                <w:b/>
                <w:sz w:val="24"/>
                <w:u w:val="thick"/>
              </w:rPr>
              <w:t>HEAD OFFICE</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sz w:val="24"/>
              </w:rPr>
            </w:pPr>
            <w:r>
              <w:rPr>
                <w:rFonts w:ascii="Tahoma"/>
                <w:sz w:val="24"/>
              </w:rPr>
              <w:t>CENTRAL PAYMENT</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sz w:val="24"/>
              </w:rPr>
            </w:pPr>
            <w:r>
              <w:rPr>
                <w:rFonts w:ascii="Tahoma"/>
                <w:sz w:val="24"/>
              </w:rPr>
              <w:t>BALANCE SHEET</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sz w:val="24"/>
              </w:rPr>
            </w:pPr>
            <w:r>
              <w:rPr>
                <w:rFonts w:ascii="Tahoma"/>
                <w:sz w:val="24"/>
              </w:rPr>
              <w:t>CASH</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sz w:val="24"/>
              </w:rPr>
            </w:pPr>
            <w:r>
              <w:rPr>
                <w:rFonts w:ascii="Tahoma"/>
                <w:sz w:val="24"/>
              </w:rPr>
              <w:t>FUNDS</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sz w:val="24"/>
              </w:rPr>
            </w:pPr>
            <w:r>
              <w:rPr>
                <w:rFonts w:ascii="Tahoma"/>
                <w:sz w:val="24"/>
              </w:rPr>
              <w:t>COST</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sz w:val="24"/>
              </w:rPr>
            </w:pPr>
            <w:r>
              <w:rPr>
                <w:rFonts w:ascii="Tahoma"/>
                <w:sz w:val="24"/>
              </w:rPr>
              <w:t>RESOURCES</w:t>
            </w:r>
          </w:p>
        </w:tc>
        <w:tc>
          <w:tcPr>
            <w:tcW w:w="2669" w:type="dxa"/>
          </w:tcPr>
          <w:p w:rsidR="007C5447" w:rsidRDefault="007C5447">
            <w:pPr>
              <w:pStyle w:val="TableParagraph"/>
              <w:jc w:val="left"/>
            </w:pPr>
          </w:p>
        </w:tc>
      </w:tr>
      <w:tr w:rsidR="007C5447">
        <w:trPr>
          <w:trHeight w:val="453"/>
        </w:trPr>
        <w:tc>
          <w:tcPr>
            <w:tcW w:w="3338" w:type="dxa"/>
          </w:tcPr>
          <w:p w:rsidR="007C5447" w:rsidRDefault="007C5447">
            <w:pPr>
              <w:pStyle w:val="TableParagraph"/>
              <w:jc w:val="left"/>
            </w:pPr>
          </w:p>
        </w:tc>
        <w:tc>
          <w:tcPr>
            <w:tcW w:w="2782" w:type="dxa"/>
          </w:tcPr>
          <w:p w:rsidR="007C5447" w:rsidRDefault="00F6308C">
            <w:pPr>
              <w:pStyle w:val="TableParagraph"/>
              <w:spacing w:before="59"/>
              <w:ind w:left="108"/>
              <w:jc w:val="left"/>
              <w:rPr>
                <w:rFonts w:ascii="Tahoma"/>
                <w:b/>
                <w:sz w:val="24"/>
              </w:rPr>
            </w:pPr>
            <w:r>
              <w:rPr>
                <w:rFonts w:ascii="Tahoma"/>
                <w:b/>
                <w:sz w:val="24"/>
                <w:u w:val="thick"/>
              </w:rPr>
              <w:t xml:space="preserve"> OTHERS</w:t>
            </w:r>
          </w:p>
        </w:tc>
        <w:tc>
          <w:tcPr>
            <w:tcW w:w="2669" w:type="dxa"/>
          </w:tcPr>
          <w:p w:rsidR="007C5447" w:rsidRDefault="007C5447">
            <w:pPr>
              <w:pStyle w:val="TableParagraph"/>
              <w:jc w:val="left"/>
            </w:pPr>
          </w:p>
        </w:tc>
      </w:tr>
      <w:tr w:rsidR="007C5447">
        <w:trPr>
          <w:trHeight w:val="785"/>
        </w:trPr>
        <w:tc>
          <w:tcPr>
            <w:tcW w:w="3338" w:type="dxa"/>
          </w:tcPr>
          <w:p w:rsidR="007C5447" w:rsidRDefault="007C5447">
            <w:pPr>
              <w:pStyle w:val="TableParagraph"/>
              <w:jc w:val="left"/>
            </w:pPr>
          </w:p>
        </w:tc>
        <w:tc>
          <w:tcPr>
            <w:tcW w:w="2782" w:type="dxa"/>
          </w:tcPr>
          <w:p w:rsidR="007C5447" w:rsidRDefault="00F6308C">
            <w:pPr>
              <w:pStyle w:val="TableParagraph"/>
              <w:spacing w:before="59" w:line="276" w:lineRule="auto"/>
              <w:ind w:left="108" w:right="388"/>
              <w:jc w:val="left"/>
              <w:rPr>
                <w:rFonts w:ascii="Tahoma"/>
                <w:sz w:val="24"/>
              </w:rPr>
            </w:pPr>
            <w:r>
              <w:rPr>
                <w:rFonts w:ascii="Tahoma"/>
                <w:sz w:val="24"/>
              </w:rPr>
              <w:t>METTUR WORKSHOP CIRCLE</w:t>
            </w:r>
          </w:p>
        </w:tc>
        <w:tc>
          <w:tcPr>
            <w:tcW w:w="2669" w:type="dxa"/>
          </w:tcPr>
          <w:p w:rsidR="007C5447" w:rsidRDefault="007C5447">
            <w:pPr>
              <w:pStyle w:val="TableParagraph"/>
              <w:jc w:val="left"/>
            </w:pPr>
          </w:p>
        </w:tc>
      </w:tr>
      <w:tr w:rsidR="007C5447">
        <w:trPr>
          <w:trHeight w:val="786"/>
        </w:trPr>
        <w:tc>
          <w:tcPr>
            <w:tcW w:w="3338" w:type="dxa"/>
          </w:tcPr>
          <w:p w:rsidR="007C5447" w:rsidRDefault="007C5447">
            <w:pPr>
              <w:pStyle w:val="TableParagraph"/>
              <w:jc w:val="left"/>
            </w:pPr>
          </w:p>
        </w:tc>
        <w:tc>
          <w:tcPr>
            <w:tcW w:w="2782" w:type="dxa"/>
          </w:tcPr>
          <w:p w:rsidR="007C5447" w:rsidRDefault="00F6308C">
            <w:pPr>
              <w:pStyle w:val="TableParagraph"/>
              <w:spacing w:before="59" w:line="276" w:lineRule="auto"/>
              <w:ind w:left="108" w:right="171"/>
              <w:jc w:val="left"/>
              <w:rPr>
                <w:rFonts w:ascii="Tahoma"/>
                <w:sz w:val="24"/>
              </w:rPr>
            </w:pPr>
            <w:r>
              <w:rPr>
                <w:rFonts w:ascii="Tahoma"/>
                <w:sz w:val="24"/>
              </w:rPr>
              <w:t>CHENNAI DEVELOPMENT CIRCLE</w:t>
            </w:r>
          </w:p>
        </w:tc>
        <w:tc>
          <w:tcPr>
            <w:tcW w:w="2669" w:type="dxa"/>
          </w:tcPr>
          <w:p w:rsidR="007C5447" w:rsidRDefault="007C5447">
            <w:pPr>
              <w:pStyle w:val="TableParagraph"/>
              <w:jc w:val="left"/>
            </w:pPr>
          </w:p>
        </w:tc>
      </w:tr>
    </w:tbl>
    <w:p w:rsidR="007C5447" w:rsidRDefault="007C5447">
      <w:pPr>
        <w:pStyle w:val="BodyText"/>
        <w:spacing w:before="1"/>
        <w:rPr>
          <w:rFonts w:ascii="Tahoma"/>
          <w:b/>
          <w:sz w:val="13"/>
        </w:rPr>
      </w:pPr>
    </w:p>
    <w:p w:rsidR="007C5447" w:rsidRDefault="00F6308C">
      <w:pPr>
        <w:spacing w:before="93"/>
        <w:ind w:left="6600" w:right="869" w:firstLine="334"/>
        <w:rPr>
          <w:rFonts w:ascii="Arial"/>
        </w:rPr>
      </w:pPr>
      <w:r>
        <w:rPr>
          <w:rFonts w:ascii="Arial"/>
        </w:rPr>
        <w:t>RAJESH LAKHONI, SECRETARY TO GOVERNMENT.</w:t>
      </w:r>
    </w:p>
    <w:p w:rsidR="007C5447" w:rsidRDefault="007C5447">
      <w:pPr>
        <w:pStyle w:val="BodyText"/>
        <w:rPr>
          <w:rFonts w:ascii="Arial"/>
          <w:sz w:val="14"/>
        </w:rPr>
      </w:pPr>
    </w:p>
    <w:p w:rsidR="007C5447" w:rsidRDefault="00F6308C">
      <w:pPr>
        <w:spacing w:before="92"/>
        <w:ind w:left="199" w:right="689"/>
        <w:jc w:val="center"/>
        <w:rPr>
          <w:rFonts w:ascii="Arial"/>
        </w:rPr>
      </w:pPr>
      <w:r>
        <w:rPr>
          <w:rFonts w:ascii="Arial"/>
        </w:rPr>
        <w:t>//TRUE COPY//</w:t>
      </w:r>
    </w:p>
    <w:p w:rsidR="007C5447" w:rsidRDefault="007C5447">
      <w:pPr>
        <w:pStyle w:val="BodyText"/>
        <w:spacing w:before="10"/>
        <w:rPr>
          <w:rFonts w:ascii="Arial"/>
          <w:sz w:val="13"/>
        </w:rPr>
      </w:pPr>
    </w:p>
    <w:p w:rsidR="007C5447" w:rsidRDefault="00F6308C">
      <w:pPr>
        <w:spacing w:before="93"/>
        <w:ind w:right="697"/>
        <w:jc w:val="right"/>
        <w:rPr>
          <w:rFonts w:ascii="Arial"/>
        </w:rPr>
      </w:pPr>
      <w:r>
        <w:rPr>
          <w:rFonts w:ascii="Arial"/>
        </w:rPr>
        <w:t>SECTION OFFICER</w:t>
      </w:r>
    </w:p>
    <w:sectPr w:rsidR="007C5447">
      <w:footerReference w:type="default" r:id="rId98"/>
      <w:pgSz w:w="12240" w:h="15840"/>
      <w:pgMar w:top="1440" w:right="740" w:bottom="280" w:left="6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308C" w:rsidRDefault="00F6308C">
      <w:r>
        <w:separator/>
      </w:r>
    </w:p>
  </w:endnote>
  <w:endnote w:type="continuationSeparator" w:id="0">
    <w:p w:rsidR="00F6308C" w:rsidRDefault="00F630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altName w:val="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19"/>
      </w:rPr>
    </w:pPr>
    <w:r>
      <w:pict>
        <v:line id="_x0000_s2256" style="position:absolute;z-index:-351847424;mso-position-horizontal-relative:page;mso-position-vertical-relative:page" from="70.6pt,757.1pt" to="524.95pt,757.1pt" strokeweight="1.44pt">
          <w10:wrap anchorx="page" anchory="page"/>
        </v:line>
      </w:pict>
    </w:r>
    <w:r>
      <w:pict>
        <v:shapetype id="_x0000_t202" coordsize="21600,21600" o:spt="202" path="m,l,21600r21600,l21600,xe">
          <v:stroke joinstyle="miter"/>
          <v:path gradientshapeok="t" o:connecttype="rect"/>
        </v:shapetype>
        <v:shape id="_x0000_s2255" type="#_x0000_t202" style="position:absolute;margin-left:71pt;margin-top:757.4pt;width:232.65pt;height:15.3pt;z-index:-351846400;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254" type="#_x0000_t202" style="position:absolute;margin-left:484.25pt;margin-top:757.4pt;width:41.2pt;height:15.3pt;z-index:-351845376;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10</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231" style="position:absolute;z-index:-351821824;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230" type="#_x0000_t202" style="position:absolute;margin-left:71pt;margin-top:788.1pt;width:232.65pt;height:15.3pt;z-index:-351820800;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229" type="#_x0000_t202" style="position:absolute;margin-left:478.25pt;margin-top:788.1pt;width:47.2pt;height:15.3pt;z-index:-351819776;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108</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228" style="position:absolute;z-index:-351818752;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227" type="#_x0000_t202" style="position:absolute;margin-left:71pt;margin-top:788.1pt;width:232.65pt;height:15.3pt;z-index:-351817728;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226" type="#_x0000_t202" style="position:absolute;margin-left:478.25pt;margin-top:788.1pt;width:46.2pt;height:15.3pt;z-index:-351816704;mso-position-horizontal-relative:page;mso-position-vertical-relative:page" filled="f" stroked="f">
          <v:textbox inset="0,0,0,0">
            <w:txbxContent>
              <w:p w:rsidR="007C5447" w:rsidRDefault="00F6308C">
                <w:pPr>
                  <w:spacing w:before="10"/>
                  <w:ind w:left="20"/>
                  <w:rPr>
                    <w:b/>
                    <w:sz w:val="24"/>
                  </w:rPr>
                </w:pPr>
                <w:r>
                  <w:rPr>
                    <w:sz w:val="24"/>
                  </w:rPr>
                  <w:t xml:space="preserve">Page </w:t>
                </w:r>
                <w:r>
                  <w:rPr>
                    <w:b/>
                    <w:sz w:val="24"/>
                  </w:rPr>
                  <w:t>110</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225" style="position:absolute;z-index:-351815680;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224" type="#_x0000_t202" style="position:absolute;margin-left:71pt;margin-top:788.1pt;width:232.65pt;height:15.3pt;z-index:-351814656;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223" type="#_x0000_t202" style="position:absolute;margin-left:478.25pt;margin-top:788.1pt;width:47.2pt;height:15.3pt;z-index:-351813632;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111</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222" style="position:absolute;z-index:-351812608;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221" type="#_x0000_t202" style="position:absolute;margin-left:71pt;margin-top:541.5pt;width:232.65pt;height:15.3pt;z-index:-351811584;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220" type="#_x0000_t202" style="position:absolute;margin-left:478.25pt;margin-top:541.5pt;width:47.2pt;height:15.3pt;z-index:-351810560;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115</w:t>
                </w:r>
                <w: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219" style="position:absolute;z-index:-351809536;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218" type="#_x0000_t202" style="position:absolute;margin-left:71pt;margin-top:788.1pt;width:232.65pt;height:15.3pt;z-index:-351808512;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217" type="#_x0000_t202" style="position:absolute;margin-left:478.25pt;margin-top:788.1pt;width:47.2pt;height:15.3pt;z-index:-351807488;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117</w:t>
                </w:r>
                <w: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216" style="position:absolute;z-index:-351806464;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215" type="#_x0000_t202" style="position:absolute;margin-left:71pt;margin-top:788.1pt;width:232.65pt;height:15.3pt;z-index:-351805440;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214" type="#_x0000_t202" style="position:absolute;margin-left:478.25pt;margin-top:788.1pt;width:46.2pt;height:15.3pt;z-index:-351804416;mso-position-horizontal-relative:page;mso-position-vertical-relative:page" filled="f" stroked="f">
          <v:textbox inset="0,0,0,0">
            <w:txbxContent>
              <w:p w:rsidR="007C5447" w:rsidRDefault="00F6308C">
                <w:pPr>
                  <w:spacing w:before="10"/>
                  <w:ind w:left="20"/>
                  <w:rPr>
                    <w:b/>
                    <w:sz w:val="24"/>
                  </w:rPr>
                </w:pPr>
                <w:r>
                  <w:rPr>
                    <w:sz w:val="24"/>
                  </w:rPr>
                  <w:t xml:space="preserve">Page </w:t>
                </w:r>
                <w:r>
                  <w:rPr>
                    <w:b/>
                    <w:sz w:val="24"/>
                  </w:rPr>
                  <w:t>120</w:t>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213" style="position:absolute;z-index:-351803392;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212" type="#_x0000_t202" style="position:absolute;margin-left:71pt;margin-top:788.1pt;width:232.65pt;height:15.3pt;z-index:-351802368;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211" type="#_x0000_t202" style="position:absolute;margin-left:478.25pt;margin-top:788.1pt;width:47.2pt;height:15.3pt;z-index:-351801344;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121</w:t>
                </w:r>
                <w:r>
                  <w:fldChar w:fldCharType="end"/>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210" style="position:absolute;z-index:-351800320;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209" type="#_x0000_t202" style="position:absolute;margin-left:71pt;margin-top:541.5pt;width:232.65pt;height:15.3pt;z-index:-351799296;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208" type="#_x0000_t202" style="position:absolute;margin-left:478.25pt;margin-top:541.5pt;width:47.2pt;height:15.3pt;z-index:-351798272;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124</w:t>
                </w:r>
                <w:r>
                  <w:fldChar w:fldCharType="end"/>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shapetype id="_x0000_t202" coordsize="21600,21600" o:spt="202" path="m,l,21600r21600,l21600,xe">
          <v:stroke joinstyle="miter"/>
          <v:path gradientshapeok="t" o:connecttype="rect"/>
        </v:shapetype>
        <v:shape id="_x0000_s2207" type="#_x0000_t202" style="position:absolute;margin-left:71pt;margin-top:788.1pt;width:232.65pt;height:15.3pt;z-index:-351797248;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206" type="#_x0000_t202" style="position:absolute;margin-left:478.25pt;margin-top:788.1pt;width:46.2pt;height:15.3pt;z-index:-351796224;mso-position-horizontal-relative:page;mso-position-vertical-relative:page" filled="f" stroked="f">
          <v:textbox inset="0,0,0,0">
            <w:txbxContent>
              <w:p w:rsidR="007C5447" w:rsidRDefault="00F6308C">
                <w:pPr>
                  <w:spacing w:before="10"/>
                  <w:ind w:left="20"/>
                  <w:rPr>
                    <w:b/>
                    <w:sz w:val="24"/>
                  </w:rPr>
                </w:pPr>
                <w:r>
                  <w:rPr>
                    <w:sz w:val="24"/>
                  </w:rPr>
                  <w:t xml:space="preserve">Page </w:t>
                </w:r>
                <w:r>
                  <w:rPr>
                    <w:b/>
                    <w:sz w:val="24"/>
                  </w:rPr>
                  <w:t>129</w:t>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205" style="position:absolute;z-index:-351795200;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204" type="#_x0000_t202" style="position:absolute;margin-left:71pt;margin-top:541.5pt;width:232.65pt;height:15.3pt;z-index:-351794176;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203" type="#_x0000_t202" style="position:absolute;margin-left:478.25pt;margin-top:541.5pt;width:47.2pt;height:15.3pt;z-index:-351793152;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130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shapetype id="_x0000_t202" coordsize="21600,21600" o:spt="202" path="m,l,21600r21600,l21600,xe">
          <v:stroke joinstyle="miter"/>
          <v:path gradientshapeok="t" o:connecttype="rect"/>
        </v:shapetype>
        <v:shape id="_x0000_s2253" type="#_x0000_t202" style="position:absolute;margin-left:78.2pt;margin-top:511.1pt;width:232.65pt;height:15.3pt;z-index:-351844352;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252" type="#_x0000_t202" style="position:absolute;margin-left:491.45pt;margin-top:511.1pt;width:40.2pt;height:15.3pt;z-index:-351843328;mso-position-horizontal-relative:page;mso-position-vertical-relative:page" filled="f" stroked="f">
          <v:textbox inset="0,0,0,0">
            <w:txbxContent>
              <w:p w:rsidR="007C5447" w:rsidRDefault="00F6308C">
                <w:pPr>
                  <w:spacing w:before="10"/>
                  <w:ind w:left="20"/>
                  <w:rPr>
                    <w:b/>
                    <w:sz w:val="24"/>
                  </w:rPr>
                </w:pPr>
                <w:r>
                  <w:rPr>
                    <w:sz w:val="24"/>
                  </w:rPr>
                  <w:t xml:space="preserve">Page </w:t>
                </w:r>
                <w:r>
                  <w:rPr>
                    <w:b/>
                    <w:sz w:val="24"/>
                  </w:rPr>
                  <w:t>79</w:t>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202" style="position:absolute;z-index:-351792128;mso-position-horizontal-relative:page;mso-position-vertical-relative:page" from="70.6pt,775.8pt" to="540.2pt,775.8pt" strokeweight="1.44pt">
          <w10:wrap anchorx="page" anchory="page"/>
        </v:line>
      </w:pict>
    </w:r>
    <w:r>
      <w:pict>
        <v:shapetype id="_x0000_t202" coordsize="21600,21600" o:spt="202" path="m,l,21600r21600,l21600,xe">
          <v:stroke joinstyle="miter"/>
          <v:path gradientshapeok="t" o:connecttype="rect"/>
        </v:shapetype>
        <v:shape id="_x0000_s2201" type="#_x0000_t202" style="position:absolute;margin-left:71pt;margin-top:788.1pt;width:232.65pt;height:15.3pt;z-index:-351791104;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200" type="#_x0000_t202" style="position:absolute;margin-left:478.25pt;margin-top:788.1pt;width:47.2pt;height:15.3pt;z-index:-351790080;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132</w:t>
                </w:r>
                <w:r>
                  <w:fldChar w:fldCharType="end"/>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199" style="position:absolute;z-index:-351789056;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198" type="#_x0000_t202" style="position:absolute;margin-left:71pt;margin-top:541.5pt;width:232.65pt;height:15.3pt;z-index:-351788032;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197" type="#_x0000_t202" style="position:absolute;margin-left:478.25pt;margin-top:541.5pt;width:47.2pt;height:15.3pt;z-index:-351787008;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134</w:t>
                </w:r>
                <w:r>
                  <w:fldChar w:fldCharType="end"/>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196" style="position:absolute;z-index:-351785984;mso-position-horizontal-relative:page;mso-position-vertical-relative:page" from="70.6pt,811.2pt" to="540.2pt,811.2pt" strokeweight="1.44pt">
          <w10:wrap anchorx="page" anchory="page"/>
        </v:line>
      </w:pict>
    </w:r>
    <w:r>
      <w:pict>
        <v:shapetype id="_x0000_t202" coordsize="21600,21600" o:spt="202" path="m,l,21600r21600,l21600,xe">
          <v:stroke joinstyle="miter"/>
          <v:path gradientshapeok="t" o:connecttype="rect"/>
        </v:shapetype>
        <v:shape id="_x0000_s2195" type="#_x0000_t202" style="position:absolute;margin-left:71pt;margin-top:823.5pt;width:232.65pt;height:15.3pt;z-index:-351784960;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194" type="#_x0000_t202" style="position:absolute;margin-left:478.25pt;margin-top:823.5pt;width:46.2pt;height:15.3pt;z-index:-351783936;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13</w:t>
                </w:r>
                <w:r>
                  <w:fldChar w:fldCharType="end"/>
                </w:r>
                <w:r>
                  <w:rPr>
                    <w:b/>
                    <w:sz w:val="24"/>
                  </w:rPr>
                  <w:t>9</w:t>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193" style="position:absolute;z-index:-351782912;mso-position-horizontal-relative:page;mso-position-vertical-relative:page" from="70.6pt,811.2pt" to="540.2pt,811.2pt" strokeweight="1.44pt">
          <w10:wrap anchorx="page" anchory="page"/>
        </v:line>
      </w:pict>
    </w:r>
    <w:r>
      <w:pict>
        <v:shapetype id="_x0000_t202" coordsize="21600,21600" o:spt="202" path="m,l,21600r21600,l21600,xe">
          <v:stroke joinstyle="miter"/>
          <v:path gradientshapeok="t" o:connecttype="rect"/>
        </v:shapetype>
        <v:shape id="_x0000_s2192" type="#_x0000_t202" style="position:absolute;margin-left:71pt;margin-top:823.5pt;width:232.65pt;height:15.3pt;z-index:-351781888;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191" type="#_x0000_t202" style="position:absolute;margin-left:478.25pt;margin-top:823.5pt;width:47.2pt;height:15.3pt;z-index:-351780864;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141</w:t>
                </w:r>
                <w:r>
                  <w:fldChar w:fldCharType="end"/>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190" style="position:absolute;z-index:-351779840;mso-position-horizontal-relative:page;mso-position-vertical-relative:page" from="70.6pt,811.2pt" to="540.2pt,811.2pt" strokeweight="1.44pt">
          <w10:wrap anchorx="page" anchory="page"/>
        </v:line>
      </w:pict>
    </w:r>
    <w:r>
      <w:pict>
        <v:shapetype id="_x0000_t202" coordsize="21600,21600" o:spt="202" path="m,l,21600r21600,l21600,xe">
          <v:stroke joinstyle="miter"/>
          <v:path gradientshapeok="t" o:connecttype="rect"/>
        </v:shapetype>
        <v:shape id="_x0000_s2189" type="#_x0000_t202" style="position:absolute;margin-left:71pt;margin-top:823.5pt;width:232.65pt;height:15.3pt;z-index:-351778816;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188" type="#_x0000_t202" style="position:absolute;margin-left:478.25pt;margin-top:823.5pt;width:46.2pt;height:15.3pt;z-index:-351777792;mso-position-horizontal-relative:page;mso-position-vertical-relative:page" filled="f" stroked="f">
          <v:textbox inset="0,0,0,0">
            <w:txbxContent>
              <w:p w:rsidR="007C5447" w:rsidRDefault="00F6308C">
                <w:pPr>
                  <w:spacing w:before="10"/>
                  <w:ind w:left="20"/>
                  <w:rPr>
                    <w:b/>
                    <w:sz w:val="24"/>
                  </w:rPr>
                </w:pPr>
                <w:r>
                  <w:rPr>
                    <w:sz w:val="24"/>
                  </w:rPr>
                  <w:t xml:space="preserve">Page </w:t>
                </w:r>
                <w:r>
                  <w:rPr>
                    <w:b/>
                    <w:sz w:val="24"/>
                  </w:rPr>
                  <w:t>150</w:t>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187" style="position:absolute;z-index:-351776768;mso-position-horizontal-relative:page;mso-position-vertical-relative:page" from="70.6pt,811.2pt" to="540.2pt,811.2pt" strokeweight="1.44pt">
          <w10:wrap anchorx="page" anchory="page"/>
        </v:line>
      </w:pict>
    </w:r>
    <w:r>
      <w:pict>
        <v:shapetype id="_x0000_t202" coordsize="21600,21600" o:spt="202" path="m,l,21600r21600,l21600,xe">
          <v:stroke joinstyle="miter"/>
          <v:path gradientshapeok="t" o:connecttype="rect"/>
        </v:shapetype>
        <v:shape id="_x0000_s2186" type="#_x0000_t202" style="position:absolute;margin-left:71pt;margin-top:823.5pt;width:232.65pt;height:15.3pt;z-index:-351775744;mso-position-horizontal-relative:page;mso-position-vertical-relative:page" filled="f" stroked="f">
          <v:textbox inset="0,0,0,0">
            <w:txbxContent>
              <w:p w:rsidR="007C5447" w:rsidRDefault="00F6308C">
                <w:pPr>
                  <w:pStyle w:val="BodyText"/>
                  <w:spacing w:before="10"/>
                  <w:ind w:left="20"/>
                </w:pPr>
                <w:r>
                  <w:t>Tamil Nadu</w:t>
                </w:r>
                <w:r>
                  <w:t xml:space="preserve"> Electricity Regulatory Commission</w:t>
                </w:r>
              </w:p>
            </w:txbxContent>
          </v:textbox>
          <w10:wrap anchorx="page" anchory="page"/>
        </v:shape>
      </w:pict>
    </w:r>
    <w:r>
      <w:pict>
        <v:shape id="_x0000_s2185" type="#_x0000_t202" style="position:absolute;margin-left:478.25pt;margin-top:823.5pt;width:46.2pt;height:15.3pt;z-index:-351774720;mso-position-horizontal-relative:page;mso-position-vertical-relative:page" filled="f" stroked="f">
          <v:textbox inset="0,0,0,0">
            <w:txbxContent>
              <w:p w:rsidR="007C5447" w:rsidRDefault="00F6308C">
                <w:pPr>
                  <w:spacing w:before="10"/>
                  <w:ind w:left="20"/>
                  <w:rPr>
                    <w:b/>
                    <w:sz w:val="24"/>
                  </w:rPr>
                </w:pPr>
                <w:r>
                  <w:rPr>
                    <w:sz w:val="24"/>
                  </w:rPr>
                  <w:t xml:space="preserve">Page </w:t>
                </w:r>
                <w:r>
                  <w:rPr>
                    <w:b/>
                    <w:sz w:val="24"/>
                  </w:rPr>
                  <w:t>151</w:t>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184" style="position:absolute;z-index:-351773696;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183" type="#_x0000_t202" style="position:absolute;margin-left:71pt;margin-top:541.5pt;width:232.65pt;height:15.3pt;z-index:-351772672;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182" type="#_x0000_t202" style="position:absolute;margin-left:478.25pt;margin-top:541.5pt;width:47.2pt;height:15.3pt;z-index:-351771648;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152</w:t>
                </w:r>
                <w:r>
                  <w:fldChar w:fldCharType="end"/>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shapetype id="_x0000_t202" coordsize="21600,21600" o:spt="202" path="m,l,21600r21600,l21600,xe">
          <v:stroke joinstyle="miter"/>
          <v:path gradientshapeok="t" o:connecttype="rect"/>
        </v:shapetype>
        <v:shape id="_x0000_s2181" type="#_x0000_t202" style="position:absolute;margin-left:71pt;margin-top:788.1pt;width:232.65pt;height:15.3pt;z-index:-351770624;mso-position-horizontal-relative:page;mso-position-vertical-relative:page" filled="f" stroked="f">
          <v:textbox inset="0,0,0,0">
            <w:txbxContent>
              <w:p w:rsidR="007C5447" w:rsidRDefault="00F6308C">
                <w:pPr>
                  <w:pStyle w:val="BodyText"/>
                  <w:spacing w:before="10"/>
                  <w:ind w:left="20"/>
                </w:pPr>
                <w:r>
                  <w:t>Tamil Nadu Electricity</w:t>
                </w:r>
                <w:r>
                  <w:t xml:space="preserve"> Regulatory Commission</w:t>
                </w:r>
              </w:p>
            </w:txbxContent>
          </v:textbox>
          <w10:wrap anchorx="page" anchory="page"/>
        </v:shape>
      </w:pict>
    </w:r>
    <w:r>
      <w:pict>
        <v:shape id="_x0000_s2180" type="#_x0000_t202" style="position:absolute;margin-left:478.25pt;margin-top:788.1pt;width:46.2pt;height:15.3pt;z-index:-351769600;mso-position-horizontal-relative:page;mso-position-vertical-relative:page" filled="f" stroked="f">
          <v:textbox inset="0,0,0,0">
            <w:txbxContent>
              <w:p w:rsidR="007C5447" w:rsidRDefault="00F6308C">
                <w:pPr>
                  <w:spacing w:before="10"/>
                  <w:ind w:left="20"/>
                  <w:rPr>
                    <w:b/>
                    <w:sz w:val="24"/>
                  </w:rPr>
                </w:pPr>
                <w:r>
                  <w:rPr>
                    <w:sz w:val="24"/>
                  </w:rPr>
                  <w:t xml:space="preserve">Page </w:t>
                </w:r>
                <w:r>
                  <w:rPr>
                    <w:b/>
                    <w:sz w:val="24"/>
                  </w:rPr>
                  <w:t>156</w:t>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shapetype id="_x0000_t202" coordsize="21600,21600" o:spt="202" path="m,l,21600r21600,l21600,xe">
          <v:stroke joinstyle="miter"/>
          <v:path gradientshapeok="t" o:connecttype="rect"/>
        </v:shapetype>
        <v:shape id="_x0000_s2179" type="#_x0000_t202" style="position:absolute;margin-left:71pt;margin-top:541.5pt;width:232.65pt;height:15.3pt;z-index:-351768576;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178" type="#_x0000_t202" style="position:absolute;margin-left:478.25pt;margin-top:541.5pt;width:46.2pt;height:15.3pt;z-index:-351767552;mso-position-horizontal-relative:page;mso-position-vertical-relative:page" filled="f" stroked="f">
          <v:textbox inset="0,0,0,0">
            <w:txbxContent>
              <w:p w:rsidR="007C5447" w:rsidRDefault="00F6308C">
                <w:pPr>
                  <w:spacing w:before="10"/>
                  <w:ind w:left="20"/>
                  <w:rPr>
                    <w:b/>
                    <w:sz w:val="24"/>
                  </w:rPr>
                </w:pPr>
                <w:r>
                  <w:rPr>
                    <w:sz w:val="24"/>
                  </w:rPr>
                  <w:t xml:space="preserve">Page </w:t>
                </w:r>
                <w:r>
                  <w:rPr>
                    <w:b/>
                    <w:sz w:val="24"/>
                  </w:rPr>
                  <w:t>157</w:t>
                </w:r>
              </w:p>
            </w:txbxContent>
          </v:textbox>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177" style="position:absolute;z-index:-351766528;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176" type="#_x0000_t202" style="position:absolute;margin-left:71pt;margin-top:541.5pt;width:232.65pt;height:15.3pt;z-index:-351765504;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175" type="#_x0000_t202" style="position:absolute;margin-left:478.25pt;margin-top:541.5pt;width:47.2pt;height:15.3pt;z-index:-351764480;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158</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251" style="position:absolute;z-index:-351842304;mso-position-horizontal-relative:page;mso-position-vertical-relative:page" from="77.75pt,510.8pt" to="764.05pt,510.8pt" strokeweight="1.44pt">
          <w10:wrap anchorx="page" anchory="page"/>
        </v:line>
      </w:pict>
    </w:r>
    <w:r>
      <w:pict>
        <v:shapetype id="_x0000_t202" coordsize="21600,21600" o:spt="202" path="m,l,21600r21600,l21600,xe">
          <v:stroke joinstyle="miter"/>
          <v:path gradientshapeok="t" o:connecttype="rect"/>
        </v:shapetype>
        <v:shape id="_x0000_s2250" type="#_x0000_t202" style="position:absolute;margin-left:78.2pt;margin-top:511.1pt;width:232.65pt;height:15.3pt;z-index:-351841280;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249" type="#_x0000_t202" style="position:absolute;margin-left:491.45pt;margin-top:511.1pt;width:41.2pt;height:15.3pt;z-index:-351840256;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80</w:t>
                </w:r>
                <w:r>
                  <w:fldChar w:fldCharType="end"/>
                </w:r>
              </w:p>
            </w:txbxContent>
          </v:textbox>
          <w10:wrap anchorx="page" anchory="page"/>
        </v:shape>
      </w:pic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shapetype id="_x0000_t202" coordsize="21600,21600" o:spt="202" path="m,l,21600r21600,l21600,xe">
          <v:stroke joinstyle="miter"/>
          <v:path gradientshapeok="t" o:connecttype="rect"/>
        </v:shapetype>
        <v:shape id="_x0000_s2174" type="#_x0000_t202" style="position:absolute;margin-left:71pt;margin-top:788.1pt;width:232.65pt;height:15.3pt;z-index:-351763456;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173" type="#_x0000_t202" style="position:absolute;margin-left:478.25pt;margin-top:788.1pt;width:46.2pt;height:15.3pt;z-index:-351762432;mso-position-horizontal-relative:page;mso-position-vertical-relative:page" filled="f" stroked="f">
          <v:textbox inset="0,0,0,0">
            <w:txbxContent>
              <w:p w:rsidR="007C5447" w:rsidRDefault="00F6308C">
                <w:pPr>
                  <w:spacing w:before="10"/>
                  <w:ind w:left="20"/>
                  <w:rPr>
                    <w:b/>
                    <w:sz w:val="24"/>
                  </w:rPr>
                </w:pPr>
                <w:r>
                  <w:rPr>
                    <w:sz w:val="24"/>
                  </w:rPr>
                  <w:t xml:space="preserve">Page </w:t>
                </w:r>
                <w:r>
                  <w:rPr>
                    <w:b/>
                    <w:sz w:val="24"/>
                  </w:rPr>
                  <w:t>178</w:t>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172" style="position:absolute;z-index:-351761408;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171" type="#_x0000_t202" style="position:absolute;margin-left:71pt;margin-top:541.5pt;width:232.65pt;height:15.3pt;z-index:-351760384;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170" type="#_x0000_t202" style="position:absolute;margin-left:478.25pt;margin-top:541.5pt;width:47.2pt;height:15.3pt;z-index:-351759360;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179</w:t>
                </w:r>
                <w:r>
                  <w:fldChar w:fldCharType="end"/>
                </w:r>
              </w:p>
            </w:txbxContent>
          </v:textbox>
          <w10:wrap anchorx="page" anchory="page"/>
        </v:shape>
      </w:pic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shapetype id="_x0000_t202" coordsize="21600,21600" o:spt="202" path="m,l,21600r21600,l21600,xe">
          <v:stroke joinstyle="miter"/>
          <v:path gradientshapeok="t" o:connecttype="rect"/>
        </v:shapetype>
        <v:shape id="_x0000_s2169" type="#_x0000_t202" style="position:absolute;margin-left:71pt;margin-top:788.1pt;width:232.65pt;height:15.3pt;z-index:-351758336;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168" type="#_x0000_t202" style="position:absolute;margin-left:478.25pt;margin-top:788.1pt;width:46.2pt;height:15.3pt;z-index:-351757312;mso-position-horizontal-relative:page;mso-position-vertical-relative:page" filled="f" stroked="f">
          <v:textbox inset="0,0,0,0">
            <w:txbxContent>
              <w:p w:rsidR="007C5447" w:rsidRDefault="00F6308C">
                <w:pPr>
                  <w:spacing w:before="10"/>
                  <w:ind w:left="20"/>
                  <w:rPr>
                    <w:b/>
                    <w:sz w:val="24"/>
                  </w:rPr>
                </w:pPr>
                <w:r>
                  <w:rPr>
                    <w:sz w:val="24"/>
                  </w:rPr>
                  <w:t xml:space="preserve">Page </w:t>
                </w:r>
                <w:r>
                  <w:rPr>
                    <w:b/>
                    <w:sz w:val="24"/>
                  </w:rPr>
                  <w:t>181</w:t>
                </w:r>
              </w:p>
            </w:txbxContent>
          </v:textbox>
          <w10:wrap anchorx="page" anchory="page"/>
        </v:shape>
      </w:pic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167" style="position:absolute;z-index:-351756288;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166" type="#_x0000_t202" style="position:absolute;margin-left:71pt;margin-top:541.5pt;width:232.65pt;height:15.3pt;z-index:-351755264;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165" type="#_x0000_t202" style="position:absolute;margin-left:478.25pt;margin-top:541.5pt;width:47.2pt;height:15.3pt;z-index:-351754240;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182</w:t>
                </w:r>
                <w:r>
                  <w:fldChar w:fldCharType="end"/>
                </w:r>
              </w:p>
            </w:txbxContent>
          </v:textbox>
          <w10:wrap anchorx="page" anchory="page"/>
        </v:shape>
      </w:pic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164" style="position:absolute;z-index:-351753216;mso-position-horizontal-relative:page;mso-position-vertical-relative:page" from="70.6pt,775.8pt" to="540.2pt,775.8pt" strokeweight="1.44pt">
          <w10:wrap anchorx="page" anchory="page"/>
        </v:line>
      </w:pict>
    </w:r>
    <w:r>
      <w:pict>
        <v:shapetype id="_x0000_t202" coordsize="21600,21600" o:spt="202" path="m,l,21600r21600,l21600,xe">
          <v:stroke joinstyle="miter"/>
          <v:path gradientshapeok="t" o:connecttype="rect"/>
        </v:shapetype>
        <v:shape id="_x0000_s2163" type="#_x0000_t202" style="position:absolute;margin-left:71pt;margin-top:788.1pt;width:232.65pt;height:15.3pt;z-index:-351752192;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162" type="#_x0000_t202" style="position:absolute;margin-left:478.25pt;margin-top:788.1pt;width:47.2pt;height:15.3pt;z-index:-351751168;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186</w:t>
                </w:r>
                <w:r>
                  <w:fldChar w:fldCharType="end"/>
                </w:r>
              </w:p>
            </w:txbxContent>
          </v:textbox>
          <w10:wrap anchorx="page" anchory="page"/>
        </v:shape>
      </w:pic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shapetype id="_x0000_t202" coordsize="21600,21600" o:spt="202" path="m,l,21600r21600,l21600,xe">
          <v:stroke joinstyle="miter"/>
          <v:path gradientshapeok="t" o:connecttype="rect"/>
        </v:shapetype>
        <v:shape id="_x0000_s2161" type="#_x0000_t202" style="position:absolute;margin-left:71pt;margin-top:576.9pt;width:232.65pt;height:15.3pt;z-index:-351750144;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160" type="#_x0000_t202" style="position:absolute;margin-left:478.25pt;margin-top:576.9pt;width:46.2pt;height:15.3pt;z-index:-351749120;mso-position-horizontal-relative:page;mso-position-vertical-relative:page" filled="f" stroked="f">
          <v:textbox inset="0,0,0,0">
            <w:txbxContent>
              <w:p w:rsidR="007C5447" w:rsidRDefault="00F6308C">
                <w:pPr>
                  <w:spacing w:before="10"/>
                  <w:ind w:left="20"/>
                  <w:rPr>
                    <w:b/>
                    <w:sz w:val="24"/>
                  </w:rPr>
                </w:pPr>
                <w:r>
                  <w:rPr>
                    <w:sz w:val="24"/>
                  </w:rPr>
                  <w:t xml:space="preserve">Page </w:t>
                </w:r>
                <w:r>
                  <w:rPr>
                    <w:b/>
                    <w:sz w:val="24"/>
                  </w:rPr>
                  <w:t>188</w:t>
                </w:r>
              </w:p>
            </w:txbxContent>
          </v:textbox>
          <w10:wrap anchorx="page" anchory="page"/>
        </v:shape>
      </w:pic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159" style="position:absolute;z-index:-351748096;mso-position-horizontal-relative:page;mso-position-vertical-relative:page" from="70.55pt,564.6pt" to="771.45pt,564.6pt" strokeweight="1.44pt">
          <w10:wrap anchorx="page" anchory="page"/>
        </v:line>
      </w:pict>
    </w:r>
    <w:r>
      <w:pict>
        <v:shapetype id="_x0000_t202" coordsize="21600,21600" o:spt="202" path="m,l,21600r21600,l21600,xe">
          <v:stroke joinstyle="miter"/>
          <v:path gradientshapeok="t" o:connecttype="rect"/>
        </v:shapetype>
        <v:shape id="_x0000_s2158" type="#_x0000_t202" style="position:absolute;margin-left:71pt;margin-top:576.9pt;width:232.65pt;height:15.3pt;z-index:-351747072;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157" type="#_x0000_t202" style="position:absolute;margin-left:478.25pt;margin-top:576.9pt;width:46.2pt;height:15.3pt;z-index:-351746048;mso-position-horizontal-relative:page;mso-position-vertical-relative:page" filled="f" stroked="f">
          <v:textbox inset="0,0,0,0">
            <w:txbxContent>
              <w:p w:rsidR="007C5447" w:rsidRDefault="00F6308C">
                <w:pPr>
                  <w:spacing w:before="10"/>
                  <w:ind w:left="20"/>
                  <w:rPr>
                    <w:b/>
                    <w:sz w:val="24"/>
                  </w:rPr>
                </w:pPr>
                <w:r>
                  <w:rPr>
                    <w:sz w:val="24"/>
                  </w:rPr>
                  <w:t xml:space="preserve">Page </w:t>
                </w:r>
                <w:r>
                  <w:rPr>
                    <w:b/>
                    <w:sz w:val="24"/>
                  </w:rPr>
                  <w:t>189</w:t>
                </w:r>
              </w:p>
            </w:txbxContent>
          </v:textbox>
          <w10:wrap anchorx="page" anchory="page"/>
        </v:shape>
      </w:pic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19"/>
      </w:rPr>
    </w:pPr>
    <w:r>
      <w:pict>
        <v:line id="_x0000_s2156" style="position:absolute;z-index:-351745024;mso-position-horizontal-relative:page;mso-position-vertical-relative:page" from="70.6pt,775.8pt" to="540.2pt,775.8pt" strokeweight="1.44pt">
          <w10:wrap anchorx="page" anchory="page"/>
        </v:line>
      </w:pict>
    </w:r>
    <w:r>
      <w:pict>
        <v:shapetype id="_x0000_t202" coordsize="21600,21600" o:spt="202" path="m,l,21600r21600,l21600,xe">
          <v:stroke joinstyle="miter"/>
          <v:path gradientshapeok="t" o:connecttype="rect"/>
        </v:shapetype>
        <v:shape id="_x0000_s2155" type="#_x0000_t202" style="position:absolute;margin-left:71pt;margin-top:788.1pt;width:232.65pt;height:15.3pt;z-index:-351744000;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154" type="#_x0000_t202" style="position:absolute;margin-left:478.25pt;margin-top:788.1pt;width:47.2pt;height:15.3pt;z-index:-351742976;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195</w:t>
                </w:r>
                <w:r>
                  <w:fldChar w:fldCharType="end"/>
                </w:r>
              </w:p>
            </w:txbxContent>
          </v:textbox>
          <w10:wrap anchorx="page" anchory="page"/>
        </v:shape>
      </w:pic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153" style="position:absolute;z-index:-351741952;mso-position-horizontal-relative:page;mso-position-vertical-relative:page" from="70.6pt,775.8pt" to="540.2pt,775.8pt" strokeweight="1.44pt">
          <w10:wrap anchorx="page" anchory="page"/>
        </v:line>
      </w:pict>
    </w:r>
    <w:r>
      <w:pict>
        <v:shapetype id="_x0000_t202" coordsize="21600,21600" o:spt="202" path="m,l,21600r21600,l21600,xe">
          <v:stroke joinstyle="miter"/>
          <v:path gradientshapeok="t" o:connecttype="rect"/>
        </v:shapetype>
        <v:shape id="_x0000_s2152" type="#_x0000_t202" style="position:absolute;margin-left:71pt;margin-top:788.1pt;width:232.65pt;height:15.3pt;z-index:-351740928;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151" type="#_x0000_t202" style="position:absolute;margin-left:478.25pt;margin-top:788.1pt;width:46.2pt;height:15.3pt;z-index:-351739904;mso-position-horizontal-relative:page;mso-position-vertical-relative:page" filled="f" stroked="f">
          <v:textbox inset="0,0,0,0">
            <w:txbxContent>
              <w:p w:rsidR="007C5447" w:rsidRDefault="00F6308C">
                <w:pPr>
                  <w:spacing w:before="10"/>
                  <w:ind w:left="20"/>
                  <w:rPr>
                    <w:b/>
                    <w:sz w:val="24"/>
                  </w:rPr>
                </w:pPr>
                <w:r>
                  <w:rPr>
                    <w:sz w:val="24"/>
                  </w:rPr>
                  <w:t xml:space="preserve">Page </w:t>
                </w:r>
                <w:r>
                  <w:rPr>
                    <w:b/>
                    <w:sz w:val="24"/>
                  </w:rPr>
                  <w:t>210</w:t>
                </w:r>
              </w:p>
            </w:txbxContent>
          </v:textbox>
          <w10:wrap anchorx="page" anchory="page"/>
        </v:shape>
      </w:pic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150" style="position:absolute;z-index:-351738880;mso-position-horizontal-relative:page;mso-position-vertical-relative:page" from="70.6pt,775.8pt" to="540.2pt,775.8pt" strokeweight="1.44pt">
          <w10:wrap anchorx="page" anchory="page"/>
        </v:line>
      </w:pict>
    </w:r>
    <w:r>
      <w:pict>
        <v:shapetype id="_x0000_t202" coordsize="21600,21600" o:spt="202" path="m,l,21600r21600,l21600,xe">
          <v:stroke joinstyle="miter"/>
          <v:path gradientshapeok="t" o:connecttype="rect"/>
        </v:shapetype>
        <v:shape id="_x0000_s2149" type="#_x0000_t202" style="position:absolute;margin-left:71pt;margin-top:788.1pt;width:232.65pt;height:15.3pt;z-index:-351737856;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148" type="#_x0000_t202" style="position:absolute;margin-left:478.25pt;margin-top:788.1pt;width:47.2pt;height:15.3pt;z-index:-351736832;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211</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248" style="position:absolute;z-index:-351839232;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247" type="#_x0000_t202" style="position:absolute;margin-left:71pt;margin-top:788.1pt;width:232.65pt;height:15.3pt;z-index:-351838208;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246" type="#_x0000_t202" style="position:absolute;margin-left:484.25pt;margin-top:788.1pt;width:41.2pt;height:15.3pt;z-index:-351837184;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82</w:t>
                </w:r>
                <w:r>
                  <w:fldChar w:fldCharType="end"/>
                </w:r>
              </w:p>
            </w:txbxContent>
          </v:textbox>
          <w10:wrap anchorx="page" anchory="page"/>
        </v:shape>
      </w:pic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147" style="position:absolute;z-index:-351735808;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146" type="#_x0000_t202" style="position:absolute;margin-left:71pt;margin-top:541.5pt;width:232.65pt;height:15.3pt;z-index:-351734784;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145" type="#_x0000_t202" style="position:absolute;margin-left:478.25pt;margin-top:541.5pt;width:47.2pt;height:15.3pt;z-index:-351733760;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219</w:t>
                </w:r>
                <w:r>
                  <w:fldChar w:fldCharType="end"/>
                </w:r>
              </w:p>
            </w:txbxContent>
          </v:textbox>
          <w10:wrap anchorx="page" anchory="page"/>
        </v:shape>
      </w:pic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144" style="position:absolute;z-index:-351732736;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143" type="#_x0000_t202" style="position:absolute;margin-left:71pt;margin-top:541.5pt;width:232.65pt;height:15.3pt;z-index:-351731712;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142" type="#_x0000_t202" style="position:absolute;margin-left:478.25pt;margin-top:541.5pt;width:47.2pt;height:15.3pt;z-index:-351730688;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220</w:t>
                </w:r>
                <w:r>
                  <w:fldChar w:fldCharType="end"/>
                </w:r>
              </w:p>
            </w:txbxContent>
          </v:textbox>
          <w10:wrap anchorx="page" anchory="page"/>
        </v:shape>
      </w:pic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141" style="position:absolute;z-index:-351729664;mso-position-horizontal-relative:page;mso-position-vertical-relative:page" from="70.6pt,775.8pt" to="540.2pt,775.8pt" strokeweight="1.44pt">
          <w10:wrap anchorx="page" anchory="page"/>
        </v:line>
      </w:pict>
    </w:r>
    <w:r>
      <w:pict>
        <v:shapetype id="_x0000_t202" coordsize="21600,21600" o:spt="202" path="m,l,21600r21600,l21600,xe">
          <v:stroke joinstyle="miter"/>
          <v:path gradientshapeok="t" o:connecttype="rect"/>
        </v:shapetype>
        <v:shape id="_x0000_s2140" type="#_x0000_t202" style="position:absolute;margin-left:71pt;margin-top:788.1pt;width:232.65pt;height:15.3pt;z-index:-351728640;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139" type="#_x0000_t202" style="position:absolute;margin-left:478.25pt;margin-top:788.1pt;width:47.2pt;height:15.3pt;z-index:-351727616;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222</w:t>
                </w:r>
                <w:r>
                  <w:fldChar w:fldCharType="end"/>
                </w:r>
              </w:p>
            </w:txbxContent>
          </v:textbox>
          <w10:wrap anchorx="page" anchory="page"/>
        </v:shape>
      </w:pic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138" style="position:absolute;z-index:-351726592;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137" type="#_x0000_t202" style="position:absolute;margin-left:71pt;margin-top:541.5pt;width:232.65pt;height:15.3pt;z-index:-351725568;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136" type="#_x0000_t202" style="position:absolute;margin-left:478.25pt;margin-top:541.5pt;width:47.2pt;height:15.3pt;z-index:-351724544;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224</w:t>
                </w:r>
                <w:r>
                  <w:fldChar w:fldCharType="end"/>
                </w:r>
              </w:p>
            </w:txbxContent>
          </v:textbox>
          <w10:wrap anchorx="page" anchory="page"/>
        </v:shape>
      </w:pic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135" style="position:absolute;z-index:-351723520;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134" type="#_x0000_t202" style="position:absolute;margin-left:71pt;margin-top:788.1pt;width:232.65pt;height:15.3pt;z-index:-351722496;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133" type="#_x0000_t202" style="position:absolute;margin-left:478.25pt;margin-top:788.1pt;width:47.2pt;height:15.3pt;z-index:-351721472;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227</w:t>
                </w:r>
                <w:r>
                  <w:fldChar w:fldCharType="end"/>
                </w:r>
              </w:p>
            </w:txbxContent>
          </v:textbox>
          <w10:wrap anchorx="page" anchory="page"/>
        </v:shape>
      </w:pic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132" style="position:absolute;z-index:-351720448;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131" type="#_x0000_t202" style="position:absolute;margin-left:71pt;margin-top:788.1pt;width:232.65pt;height:15.3pt;z-index:-351719424;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130" type="#_x0000_t202" style="position:absolute;margin-left:478.25pt;margin-top:788.1pt;width:46.2pt;height:15.3pt;z-index:-351718400;mso-position-horizontal-relative:page;mso-position-vertical-relative:page" filled="f" stroked="f">
          <v:textbox inset="0,0,0,0">
            <w:txbxContent>
              <w:p w:rsidR="007C5447" w:rsidRDefault="00F6308C">
                <w:pPr>
                  <w:spacing w:before="10"/>
                  <w:ind w:left="20"/>
                  <w:rPr>
                    <w:b/>
                    <w:sz w:val="24"/>
                  </w:rPr>
                </w:pPr>
                <w:r>
                  <w:rPr>
                    <w:sz w:val="24"/>
                  </w:rPr>
                  <w:t xml:space="preserve">Page </w:t>
                </w:r>
                <w:r>
                  <w:rPr>
                    <w:b/>
                    <w:sz w:val="24"/>
                  </w:rPr>
                  <w:t>230</w:t>
                </w:r>
              </w:p>
            </w:txbxContent>
          </v:textbox>
          <w10:wrap anchorx="page" anchory="page"/>
        </v:shape>
      </w:pic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129" style="position:absolute;z-index:-351717376;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128" type="#_x0000_t202" style="position:absolute;margin-left:71pt;margin-top:788.1pt;width:232.65pt;height:15.3pt;z-index:-351716352;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127" type="#_x0000_t202" style="position:absolute;margin-left:478.25pt;margin-top:788.1pt;width:47.2pt;height:15.3pt;z-index:-351715328;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231</w:t>
                </w:r>
                <w:r>
                  <w:fldChar w:fldCharType="end"/>
                </w:r>
              </w:p>
            </w:txbxContent>
          </v:textbox>
          <w10:wrap anchorx="page" anchory="page"/>
        </v:shape>
      </w:pic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126" style="position:absolute;z-index:-351714304;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125" type="#_x0000_t202" style="position:absolute;margin-left:71pt;margin-top:788.1pt;width:232.65pt;height:15.3pt;z-index:-351713280;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124" type="#_x0000_t202" style="position:absolute;margin-left:478.25pt;margin-top:788.1pt;width:46.2pt;height:15.3pt;z-index:-351712256;mso-position-horizontal-relative:page;mso-position-vertical-relative:page" filled="f" stroked="f">
          <v:textbox inset="0,0,0,0">
            <w:txbxContent>
              <w:p w:rsidR="007C5447" w:rsidRDefault="00F6308C">
                <w:pPr>
                  <w:spacing w:before="10"/>
                  <w:ind w:left="20"/>
                  <w:rPr>
                    <w:b/>
                    <w:sz w:val="24"/>
                  </w:rPr>
                </w:pPr>
                <w:r>
                  <w:rPr>
                    <w:sz w:val="24"/>
                  </w:rPr>
                  <w:t xml:space="preserve">Page </w:t>
                </w:r>
                <w:r>
                  <w:rPr>
                    <w:b/>
                    <w:sz w:val="24"/>
                  </w:rPr>
                  <w:t>240</w:t>
                </w:r>
              </w:p>
            </w:txbxContent>
          </v:textbox>
          <w10:wrap anchorx="page" anchory="page"/>
        </v:shape>
      </w:pic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19"/>
      </w:rPr>
    </w:pPr>
    <w:r>
      <w:pict>
        <v:line id="_x0000_s2123" style="position:absolute;z-index:-351711232;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122" type="#_x0000_t202" style="position:absolute;margin-left:71pt;margin-top:788.1pt;width:232.65pt;height:15.3pt;z-index:-351710208;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121" type="#_x0000_t202" style="position:absolute;margin-left:478.25pt;margin-top:788.1pt;width:47.2pt;height:15.3pt;z-index:-351709184;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243</w:t>
                </w:r>
                <w:r>
                  <w:fldChar w:fldCharType="end"/>
                </w:r>
              </w:p>
            </w:txbxContent>
          </v:textbox>
          <w10:wrap anchorx="page" anchory="page"/>
        </v:shape>
      </w:pic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120" style="position:absolute;z-index:-351708160;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119" type="#_x0000_t202" style="position:absolute;margin-left:71pt;margin-top:788.1pt;width:232.65pt;height:15.3pt;z-index:-351707136;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118" type="#_x0000_t202" style="position:absolute;margin-left:478.25pt;margin-top:788.1pt;width:46.2pt;height:15.3pt;z-index:-351706112;mso-position-horizontal-relative:page;mso-position-vertical-relative:page" filled="f" stroked="f">
          <v:textbox inset="0,0,0,0">
            <w:txbxContent>
              <w:p w:rsidR="007C5447" w:rsidRDefault="00F6308C">
                <w:pPr>
                  <w:spacing w:before="10"/>
                  <w:ind w:left="20"/>
                  <w:rPr>
                    <w:b/>
                    <w:sz w:val="24"/>
                  </w:rPr>
                </w:pPr>
                <w:r>
                  <w:rPr>
                    <w:sz w:val="24"/>
                  </w:rPr>
                  <w:t xml:space="preserve">Page </w:t>
                </w:r>
                <w:r>
                  <w:rPr>
                    <w:b/>
                    <w:sz w:val="24"/>
                  </w:rPr>
                  <w:t>250</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245" style="position:absolute;z-index:-351836160;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244" type="#_x0000_t202" style="position:absolute;margin-left:71pt;margin-top:541.5pt;width:232.65pt;height:15.3pt;z-index:-351835136;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243" type="#_x0000_t202" style="position:absolute;margin-left:484.25pt;margin-top:541.5pt;width:41.2pt;height:15.3pt;z-index:-351834112;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95</w:t>
                </w:r>
                <w:r>
                  <w:fldChar w:fldCharType="end"/>
                </w:r>
              </w:p>
            </w:txbxContent>
          </v:textbox>
          <w10:wrap anchorx="page" anchory="page"/>
        </v:shape>
      </w:pic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117" style="position:absolute;z-index:-351705088;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116" type="#_x0000_t202" style="position:absolute;margin-left:71pt;margin-top:788.1pt;width:232.65pt;height:15.3pt;z-index:-351704064;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115" type="#_x0000_t202" style="position:absolute;margin-left:478.25pt;margin-top:788.1pt;width:47.2pt;height:15.3pt;z-index:-351703040;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251</w:t>
                </w:r>
                <w:r>
                  <w:fldChar w:fldCharType="end"/>
                </w:r>
              </w:p>
            </w:txbxContent>
          </v:textbox>
          <w10:wrap anchorx="page" anchory="page"/>
        </v:shape>
      </w:pic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114" style="position:absolute;z-index:-351702016;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113" type="#_x0000_t202" style="position:absolute;margin-left:71pt;margin-top:788.1pt;width:232.65pt;height:15.3pt;z-index:-351700992;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112" type="#_x0000_t202" style="position:absolute;margin-left:478.25pt;margin-top:788.1pt;width:46.2pt;height:15.3pt;z-index:-351699968;mso-position-horizontal-relative:page;mso-position-vertical-relative:page" filled="f" stroked="f">
          <v:textbox inset="0,0,0,0">
            <w:txbxContent>
              <w:p w:rsidR="007C5447" w:rsidRDefault="00F6308C">
                <w:pPr>
                  <w:spacing w:before="10"/>
                  <w:ind w:left="20"/>
                  <w:rPr>
                    <w:b/>
                    <w:sz w:val="24"/>
                  </w:rPr>
                </w:pPr>
                <w:r>
                  <w:rPr>
                    <w:sz w:val="24"/>
                  </w:rPr>
                  <w:t xml:space="preserve">Page </w:t>
                </w:r>
                <w:r>
                  <w:rPr>
                    <w:b/>
                    <w:sz w:val="24"/>
                  </w:rPr>
                  <w:t>260</w:t>
                </w:r>
              </w:p>
            </w:txbxContent>
          </v:textbox>
          <w10:wrap anchorx="page" anchory="page"/>
        </v:shape>
      </w:pic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111" style="position:absolute;z-index:-351698944;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110" type="#_x0000_t202" style="position:absolute;margin-left:71pt;margin-top:788.1pt;width:232.65pt;height:15.3pt;z-index:-351697920;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109" type="#_x0000_t202" style="position:absolute;margin-left:478.25pt;margin-top:788.1pt;width:47.2pt;height:15.3pt;z-index:-351696896;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261</w:t>
                </w:r>
                <w:r>
                  <w:fldChar w:fldCharType="end"/>
                </w:r>
              </w:p>
            </w:txbxContent>
          </v:textbox>
          <w10:wrap anchorx="page" anchory="page"/>
        </v:shape>
      </w:pic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108" style="position:absolute;z-index:-351695872;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107" type="#_x0000_t202" style="position:absolute;margin-left:71pt;margin-top:788.1pt;width:232.65pt;height:15.3pt;z-index:-351694848;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106" type="#_x0000_t202" style="position:absolute;margin-left:478.25pt;margin-top:788.1pt;width:46.2pt;height:15.3pt;z-index:-351693824;mso-position-horizontal-relative:page;mso-position-vertical-relative:page" filled="f" stroked="f">
          <v:textbox inset="0,0,0,0">
            <w:txbxContent>
              <w:p w:rsidR="007C5447" w:rsidRDefault="00F6308C">
                <w:pPr>
                  <w:spacing w:before="10"/>
                  <w:ind w:left="20"/>
                  <w:rPr>
                    <w:b/>
                    <w:sz w:val="24"/>
                  </w:rPr>
                </w:pPr>
                <w:r>
                  <w:rPr>
                    <w:sz w:val="24"/>
                  </w:rPr>
                  <w:t xml:space="preserve">Page </w:t>
                </w:r>
                <w:r>
                  <w:rPr>
                    <w:b/>
                    <w:sz w:val="24"/>
                  </w:rPr>
                  <w:t>270</w:t>
                </w:r>
              </w:p>
            </w:txbxContent>
          </v:textbox>
          <w10:wrap anchorx="page" anchory="page"/>
        </v:shape>
      </w:pic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105" style="position:absolute;z-index:-351692800;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104" type="#_x0000_t202" style="position:absolute;margin-left:71pt;margin-top:788.1pt;width:232.65pt;height:15.3pt;z-index:-351691776;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103" type="#_x0000_t202" style="position:absolute;margin-left:478.25pt;margin-top:788.1pt;width:47.2pt;height:15.3pt;z-index:-351690752;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271</w:t>
                </w:r>
                <w:r>
                  <w:fldChar w:fldCharType="end"/>
                </w:r>
              </w:p>
            </w:txbxContent>
          </v:textbox>
          <w10:wrap anchorx="page" anchory="page"/>
        </v:shape>
      </w:pic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shapetype id="_x0000_t202" coordsize="21600,21600" o:spt="202" path="m,l,21600r21600,l21600,xe">
          <v:stroke joinstyle="miter"/>
          <v:path gradientshapeok="t" o:connecttype="rect"/>
        </v:shapetype>
        <v:shape id="_x0000_s2102" type="#_x0000_t202" style="position:absolute;margin-left:71pt;margin-top:541.5pt;width:232.65pt;height:15.3pt;z-index:-351689728;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101" type="#_x0000_t202" style="position:absolute;margin-left:478.25pt;margin-top:541.5pt;width:46.2pt;height:15.3pt;z-index:-351688704;mso-position-horizontal-relative:page;mso-position-vertical-relative:page" filled="f" stroked="f">
          <v:textbox inset="0,0,0,0">
            <w:txbxContent>
              <w:p w:rsidR="007C5447" w:rsidRDefault="00F6308C">
                <w:pPr>
                  <w:spacing w:before="10"/>
                  <w:ind w:left="20"/>
                  <w:rPr>
                    <w:b/>
                    <w:sz w:val="24"/>
                  </w:rPr>
                </w:pPr>
                <w:r>
                  <w:rPr>
                    <w:sz w:val="24"/>
                  </w:rPr>
                  <w:t xml:space="preserve">Page </w:t>
                </w:r>
                <w:r>
                  <w:rPr>
                    <w:b/>
                    <w:sz w:val="24"/>
                  </w:rPr>
                  <w:t>273</w:t>
                </w:r>
              </w:p>
            </w:txbxContent>
          </v:textbox>
          <w10:wrap anchorx="page" anchory="page"/>
        </v:shape>
      </w:pic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100" style="position:absolute;z-index:-351687680;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099" type="#_x0000_t202" style="position:absolute;margin-left:71pt;margin-top:541.5pt;width:232.65pt;height:15.3pt;z-index:-351686656;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098" type="#_x0000_t202" style="position:absolute;margin-left:478.25pt;margin-top:541.5pt;width:47.2pt;height:15.3pt;z-index:-351685632;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274</w:t>
                </w:r>
                <w:r>
                  <w:fldChar w:fldCharType="end"/>
                </w:r>
              </w:p>
            </w:txbxContent>
          </v:textbox>
          <w10:wrap anchorx="page" anchory="page"/>
        </v:shape>
      </w:pic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097" style="position:absolute;z-index:-351684608;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096" type="#_x0000_t202" style="position:absolute;margin-left:71pt;margin-top:788.1pt;width:232.65pt;height:15.3pt;z-index:-351683584;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095" type="#_x0000_t202" style="position:absolute;margin-left:478.25pt;margin-top:788.1pt;width:47.2pt;height:15.3pt;z-index:-351682560;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276</w:t>
                </w:r>
                <w:r>
                  <w:fldChar w:fldCharType="end"/>
                </w:r>
              </w:p>
            </w:txbxContent>
          </v:textbox>
          <w10:wrap anchorx="page" anchory="page"/>
        </v:shape>
      </w:pic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shapetype id="_x0000_t202" coordsize="21600,21600" o:spt="202" path="m,l,21600r21600,l21600,xe">
          <v:stroke joinstyle="miter"/>
          <v:path gradientshapeok="t" o:connecttype="rect"/>
        </v:shapetype>
        <v:shape id="_x0000_s2094" type="#_x0000_t202" style="position:absolute;margin-left:71pt;margin-top:541.5pt;width:232.65pt;height:15.3pt;z-index:-351681536;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093" type="#_x0000_t202" style="position:absolute;margin-left:478.25pt;margin-top:541.5pt;width:46.2pt;height:15.3pt;z-index:-351680512;mso-position-horizontal-relative:page;mso-position-vertical-relative:page" filled="f" stroked="f">
          <v:textbox inset="0,0,0,0">
            <w:txbxContent>
              <w:p w:rsidR="007C5447" w:rsidRDefault="00F6308C">
                <w:pPr>
                  <w:spacing w:before="10"/>
                  <w:ind w:left="20"/>
                  <w:rPr>
                    <w:b/>
                    <w:sz w:val="24"/>
                  </w:rPr>
                </w:pPr>
                <w:r>
                  <w:rPr>
                    <w:sz w:val="24"/>
                  </w:rPr>
                  <w:t xml:space="preserve">Page </w:t>
                </w:r>
                <w:r>
                  <w:rPr>
                    <w:b/>
                    <w:sz w:val="24"/>
                  </w:rPr>
                  <w:t>278</w:t>
                </w:r>
              </w:p>
            </w:txbxContent>
          </v:textbox>
          <w10:wrap anchorx="page" anchory="page"/>
        </v:shape>
      </w:pic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092" style="position:absolute;z-index:-351679488;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091" type="#_x0000_t202" style="position:absolute;margin-left:71pt;margin-top:541.5pt;width:232.65pt;height:15.3pt;z-index:-351678464;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090" type="#_x0000_t202" style="position:absolute;margin-left:478.25pt;margin-top:541.5pt;width:47.2pt;height:15.3pt;z-index:-351677440;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279</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242" style="position:absolute;z-index:-351833088;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241" type="#_x0000_t202" style="position:absolute;margin-left:71pt;margin-top:788.1pt;width:232.65pt;height:15.3pt;z-index:-351832064;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240" type="#_x0000_t202" style="position:absolute;margin-left:478.25pt;margin-top:788.1pt;width:47.2pt;height:15.3pt;z-index:-351831040;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100</w:t>
                </w:r>
                <w:r>
                  <w:fldChar w:fldCharType="end"/>
                </w:r>
              </w:p>
            </w:txbxContent>
          </v:textbox>
          <w10:wrap anchorx="page" anchory="page"/>
        </v:shape>
      </w:pic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089" style="position:absolute;z-index:-351676416;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088" type="#_x0000_t202" style="position:absolute;margin-left:71pt;margin-top:788.1pt;width:232.65pt;height:15.3pt;z-index:-351675392;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087" type="#_x0000_t202" style="position:absolute;margin-left:478.25pt;margin-top:788.1pt;width:47.2pt;height:15.3pt;z-index:-351674368;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282</w:t>
                </w:r>
                <w:r>
                  <w:fldChar w:fldCharType="end"/>
                </w:r>
              </w:p>
            </w:txbxContent>
          </v:textbox>
          <w10:wrap anchorx="page" anchory="page"/>
        </v:shape>
      </w:pic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086" style="position:absolute;z-index:-351673344;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085" type="#_x0000_t202" style="position:absolute;margin-left:71pt;margin-top:788.1pt;width:232.65pt;height:15.3pt;z-index:-351672320;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084" type="#_x0000_t202" style="position:absolute;margin-left:478.25pt;margin-top:788.1pt;width:46.2pt;height:15.3pt;z-index:-351671296;mso-position-horizontal-relative:page;mso-position-vertical-relative:page" filled="f" stroked="f">
          <v:textbox inset="0,0,0,0">
            <w:txbxContent>
              <w:p w:rsidR="007C5447" w:rsidRDefault="00F6308C">
                <w:pPr>
                  <w:spacing w:before="10"/>
                  <w:ind w:left="20"/>
                  <w:rPr>
                    <w:b/>
                    <w:sz w:val="24"/>
                  </w:rPr>
                </w:pPr>
                <w:r>
                  <w:rPr>
                    <w:sz w:val="24"/>
                  </w:rPr>
                  <w:t xml:space="preserve">Page </w:t>
                </w:r>
                <w:r>
                  <w:rPr>
                    <w:b/>
                    <w:sz w:val="24"/>
                  </w:rPr>
                  <w:t>290</w:t>
                </w:r>
              </w:p>
            </w:txbxContent>
          </v:textbox>
          <w10:wrap anchorx="page" anchory="page"/>
        </v:shape>
      </w:pic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083" style="position:absolute;z-index:-351670272;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082" type="#_x0000_t202" style="position:absolute;margin-left:71pt;margin-top:788.1pt;width:232.65pt;height:15.3pt;z-index:-351669248;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081" type="#_x0000_t202" style="position:absolute;margin-left:478.25pt;margin-top:788.1pt;width:47.2pt;height:15.3pt;z-index:-351668224;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291</w:t>
                </w:r>
                <w:r>
                  <w:fldChar w:fldCharType="end"/>
                </w:r>
              </w:p>
            </w:txbxContent>
          </v:textbox>
          <w10:wrap anchorx="page" anchory="page"/>
        </v:shape>
      </w:pic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080" style="position:absolute;z-index:-351667200;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079" type="#_x0000_t202" style="position:absolute;margin-left:71pt;margin-top:788.1pt;width:232.65pt;height:15.3pt;z-index:-351666176;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078" type="#_x0000_t202" style="position:absolute;margin-left:478.25pt;margin-top:788.1pt;width:46.2pt;height:15.3pt;z-index:-351665152;mso-position-horizontal-relative:page;mso-position-vertical-relative:page" filled="f" stroked="f">
          <v:textbox inset="0,0,0,0">
            <w:txbxContent>
              <w:p w:rsidR="007C5447" w:rsidRDefault="00F6308C">
                <w:pPr>
                  <w:spacing w:before="10"/>
                  <w:ind w:left="20"/>
                  <w:rPr>
                    <w:b/>
                    <w:sz w:val="24"/>
                  </w:rPr>
                </w:pPr>
                <w:r>
                  <w:rPr>
                    <w:sz w:val="24"/>
                  </w:rPr>
                  <w:t xml:space="preserve">Page </w:t>
                </w:r>
                <w:r>
                  <w:rPr>
                    <w:b/>
                    <w:sz w:val="24"/>
                  </w:rPr>
                  <w:t>310</w:t>
                </w:r>
              </w:p>
            </w:txbxContent>
          </v:textbox>
          <w10:wrap anchorx="page" anchory="page"/>
        </v:shape>
      </w:pic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077" style="position:absolute;z-index:-351664128;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076" type="#_x0000_t202" style="position:absolute;margin-left:71pt;margin-top:788.1pt;width:232.65pt;height:15.3pt;z-index:-351663104;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075" type="#_x0000_t202" style="position:absolute;margin-left:478.25pt;margin-top:788.1pt;width:47.2pt;height:15.3pt;z-index:-351662080;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311</w:t>
                </w:r>
                <w:r>
                  <w:fldChar w:fldCharType="end"/>
                </w:r>
              </w:p>
            </w:txbxContent>
          </v:textbox>
          <w10:wrap anchorx="page" anchory="page"/>
        </v:shape>
      </w:pic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074" style="position:absolute;z-index:-351661056;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073" type="#_x0000_t202" style="position:absolute;margin-left:71pt;margin-top:788.1pt;width:232.65pt;height:15.3pt;z-index:-351660032;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072" type="#_x0000_t202" style="position:absolute;margin-left:478.25pt;margin-top:788.1pt;width:46.2pt;height:15.3pt;z-index:-351659008;mso-position-horizontal-relative:page;mso-position-vertical-relative:page" filled="f" stroked="f">
          <v:textbox inset="0,0,0,0">
            <w:txbxContent>
              <w:p w:rsidR="007C5447" w:rsidRDefault="00F6308C">
                <w:pPr>
                  <w:spacing w:before="10"/>
                  <w:ind w:left="20"/>
                  <w:rPr>
                    <w:b/>
                    <w:sz w:val="24"/>
                  </w:rPr>
                </w:pPr>
                <w:r>
                  <w:rPr>
                    <w:sz w:val="24"/>
                  </w:rPr>
                  <w:t xml:space="preserve">Page </w:t>
                </w:r>
                <w:r>
                  <w:rPr>
                    <w:b/>
                    <w:sz w:val="24"/>
                  </w:rPr>
                  <w:t>320</w:t>
                </w:r>
              </w:p>
            </w:txbxContent>
          </v:textbox>
          <w10:wrap anchorx="page" anchory="page"/>
        </v:shape>
      </w:pic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071" style="position:absolute;z-index:-351657984;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070" type="#_x0000_t202" style="position:absolute;margin-left:71pt;margin-top:788.1pt;width:232.65pt;height:15.3pt;z-index:-351656960;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069" type="#_x0000_t202" style="position:absolute;margin-left:478.25pt;margin-top:788.1pt;width:47.2pt;height:15.3pt;z-index:-351655936;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321</w:t>
                </w:r>
                <w:r>
                  <w:fldChar w:fldCharType="end"/>
                </w:r>
              </w:p>
            </w:txbxContent>
          </v:textbox>
          <w10:wrap anchorx="page" anchory="page"/>
        </v:shape>
      </w:pic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068" style="position:absolute;z-index:-351654912;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067" type="#_x0000_t202" style="position:absolute;margin-left:71pt;margin-top:788.1pt;width:232.65pt;height:15.3pt;z-index:-351653888;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066" type="#_x0000_t202" style="position:absolute;margin-left:478.25pt;margin-top:788.1pt;width:46.2pt;height:15.3pt;z-index:-351652864;mso-position-horizontal-relative:page;mso-position-vertical-relative:page" filled="f" stroked="f">
          <v:textbox inset="0,0,0,0">
            <w:txbxContent>
              <w:p w:rsidR="007C5447" w:rsidRDefault="00F6308C">
                <w:pPr>
                  <w:spacing w:before="10"/>
                  <w:ind w:left="20"/>
                  <w:rPr>
                    <w:b/>
                    <w:sz w:val="24"/>
                  </w:rPr>
                </w:pPr>
                <w:r>
                  <w:rPr>
                    <w:sz w:val="24"/>
                  </w:rPr>
                  <w:t xml:space="preserve">Page </w:t>
                </w:r>
                <w:r>
                  <w:rPr>
                    <w:b/>
                    <w:sz w:val="24"/>
                  </w:rPr>
                  <w:t>330</w:t>
                </w:r>
              </w:p>
            </w:txbxContent>
          </v:textbox>
          <w10:wrap anchorx="page" anchory="page"/>
        </v:shape>
      </w:pic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065" style="position:absolute;z-index:-351651840;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064" type="#_x0000_t202" style="position:absolute;margin-left:71pt;margin-top:788.1pt;width:232.65pt;height:15.3pt;z-index:-351650816;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063" type="#_x0000_t202" style="position:absolute;margin-left:478.25pt;margin-top:788.1pt;width:47.2pt;height:15.3pt;z-index:-351649792;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331</w:t>
                </w:r>
                <w:r>
                  <w:fldChar w:fldCharType="end"/>
                </w:r>
              </w:p>
            </w:txbxContent>
          </v:textbox>
          <w10:wrap anchorx="page" anchory="page"/>
        </v:shape>
      </w:pic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062" style="position:absolute;z-index:-351648768;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061" type="#_x0000_t202" style="position:absolute;margin-left:71pt;margin-top:788.1pt;width:232.65pt;height:15.3pt;z-index:-351647744;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060" type="#_x0000_t202" style="position:absolute;margin-left:478.25pt;margin-top:788.1pt;width:46.2pt;height:15.3pt;z-index:-351646720;mso-position-horizontal-relative:page;mso-position-vertical-relative:page" filled="f" stroked="f">
          <v:textbox inset="0,0,0,0">
            <w:txbxContent>
              <w:p w:rsidR="007C5447" w:rsidRDefault="00F6308C">
                <w:pPr>
                  <w:spacing w:before="10"/>
                  <w:ind w:left="20"/>
                  <w:rPr>
                    <w:b/>
                    <w:sz w:val="24"/>
                  </w:rPr>
                </w:pPr>
                <w:r>
                  <w:rPr>
                    <w:sz w:val="24"/>
                  </w:rPr>
                  <w:t xml:space="preserve">Page </w:t>
                </w:r>
                <w:r>
                  <w:rPr>
                    <w:b/>
                    <w:sz w:val="24"/>
                  </w:rPr>
                  <w:t>340</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239" style="position:absolute;z-index:-351830016;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238" type="#_x0000_t202" style="position:absolute;margin-left:71pt;margin-top:541.5pt;width:232.65pt;height:15.3pt;z-index:-351828992;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237" type="#_x0000_t202" style="position:absolute;margin-left:478.25pt;margin-top:541.5pt;width:47.2pt;height:15.3pt;z-index:-351827968;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102</w:t>
                </w:r>
                <w:r>
                  <w:fldChar w:fldCharType="end"/>
                </w:r>
              </w:p>
            </w:txbxContent>
          </v:textbox>
          <w10:wrap anchorx="page" anchory="page"/>
        </v:shape>
      </w:pic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059" style="position:absolute;z-index:-351645696;mso-position-horizontal-relative:page;mso-position-vertical-relative:page" from="70.6pt,775.8pt" to="524.85pt,775.8pt" strokeweight="1.44pt">
          <w10:wrap anchorx="page" anchory="page"/>
        </v:line>
      </w:pict>
    </w:r>
    <w:r>
      <w:pict>
        <v:shapetype id="_x0000_t202" coordsize="21600,21600" o:spt="202" path="m,l,21600r21600,l21600,xe">
          <v:stroke joinstyle="miter"/>
          <v:path gradientshapeok="t" o:connecttype="rect"/>
        </v:shapetype>
        <v:shape id="_x0000_s2058" type="#_x0000_t202" style="position:absolute;margin-left:71pt;margin-top:788.1pt;width:232.65pt;height:15.3pt;z-index:-351644672;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057" type="#_x0000_t202" style="position:absolute;margin-left:478.25pt;margin-top:788.1pt;width:47.2pt;height:15.3pt;z-index:-351643648;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341</w:t>
                </w:r>
                <w:r>
                  <w:fldChar w:fldCharType="end"/>
                </w:r>
              </w:p>
            </w:txbxContent>
          </v:textbox>
          <w10:wrap anchorx="page" anchory="page"/>
        </v:shape>
      </w:pic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71pt;margin-top:541.5pt;width:232.65pt;height:15.3pt;z-index:-351642624;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055" type="#_x0000_t202" style="position:absolute;margin-left:478.25pt;margin-top:541.5pt;width:46.2pt;height:15.3pt;z-index:-351641600;mso-position-horizontal-relative:page;mso-position-vertical-relative:page" filled="f" stroked="f">
          <v:textbox inset="0,0,0,0">
            <w:txbxContent>
              <w:p w:rsidR="007C5447" w:rsidRDefault="00F6308C">
                <w:pPr>
                  <w:spacing w:before="10"/>
                  <w:ind w:left="20"/>
                  <w:rPr>
                    <w:b/>
                    <w:sz w:val="24"/>
                  </w:rPr>
                </w:pPr>
                <w:r>
                  <w:rPr>
                    <w:sz w:val="24"/>
                  </w:rPr>
                  <w:t xml:space="preserve">Page </w:t>
                </w:r>
                <w:r>
                  <w:rPr>
                    <w:b/>
                    <w:sz w:val="24"/>
                  </w:rPr>
                  <w:t>346</w:t>
                </w:r>
              </w:p>
            </w:txbxContent>
          </v:textbox>
          <w10:wrap anchorx="page" anchory="page"/>
        </v:shape>
      </w:pic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054" style="position:absolute;z-index:-351640576;mso-position-horizontal-relative:page;mso-position-vertical-relative:page" from="70.55pt,529.2pt" to="771.45pt,529.2pt" strokeweight="1.44pt">
          <w10:wrap anchorx="page" anchory="page"/>
        </v:line>
      </w:pict>
    </w:r>
    <w:r>
      <w:pict>
        <v:shapetype id="_x0000_t202" coordsize="21600,21600" o:spt="202" path="m,l,21600r21600,l21600,xe">
          <v:stroke joinstyle="miter"/>
          <v:path gradientshapeok="t" o:connecttype="rect"/>
        </v:shapetype>
        <v:shape id="_x0000_s2053" type="#_x0000_t202" style="position:absolute;margin-left:71pt;margin-top:541.5pt;width:232.65pt;height:15.3pt;z-index:-351639552;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052" type="#_x0000_t202" style="position:absolute;margin-left:478.25pt;margin-top:541.5pt;width:47.2pt;height:15.3pt;z-index:-351638528;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348</w:t>
                </w:r>
                <w:r>
                  <w:fldChar w:fldCharType="end"/>
                </w:r>
              </w:p>
            </w:txbxContent>
          </v:textbox>
          <w10:wrap anchorx="page" anchory="page"/>
        </v:shape>
      </w:pic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19"/>
      </w:rPr>
    </w:pPr>
    <w:r>
      <w:pict>
        <v:line id="_x0000_s2051" style="position:absolute;z-index:-351637504;mso-position-horizontal-relative:page;mso-position-vertical-relative:page" from="55.2pt,775.8pt" to="524.75pt,775.8pt" strokeweight="1.44pt">
          <w10:wrap anchorx="page" anchory="page"/>
        </v:line>
      </w:pict>
    </w:r>
    <w:r>
      <w:pict>
        <v:shapetype id="_x0000_t202" coordsize="21600,21600" o:spt="202" path="m,l,21600r21600,l21600,xe">
          <v:stroke joinstyle="miter"/>
          <v:path gradientshapeok="t" o:connecttype="rect"/>
        </v:shapetype>
        <v:shape id="_x0000_s2050" type="#_x0000_t202" style="position:absolute;margin-left:55.65pt;margin-top:788.1pt;width:232.65pt;height:15.3pt;z-index:-351636480;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049" type="#_x0000_t202" style="position:absolute;margin-left:462.9pt;margin-top:788.1pt;width:47.2pt;height:15.3pt;z-index:-351635456;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375</w:t>
                </w:r>
                <w:r>
                  <w:fldChar w:fldCharType="end"/>
                </w:r>
              </w:p>
            </w:txbxContent>
          </v:textbox>
          <w10:wrap anchorx="page" anchory="page"/>
        </v:shape>
      </w:pic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7C5447">
    <w:pPr>
      <w:pStyle w:val="BodyText"/>
      <w:spacing w:line="14" w:lineRule="auto"/>
      <w:rPr>
        <w:sz w:val="2"/>
      </w:rPr>
    </w:pP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7C5447">
    <w:pPr>
      <w:pStyle w:val="BodyText"/>
      <w:spacing w:line="14" w:lineRule="auto"/>
      <w:rPr>
        <w:sz w:val="2"/>
      </w:rPr>
    </w:pP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7C5447">
    <w:pPr>
      <w:pStyle w:val="BodyText"/>
      <w:spacing w:line="14" w:lineRule="auto"/>
      <w:rPr>
        <w:sz w:val="2"/>
      </w:rPr>
    </w:pP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7C5447">
    <w:pPr>
      <w:pStyle w:val="BodyText"/>
      <w:spacing w:line="14" w:lineRule="auto"/>
      <w:rPr>
        <w:sz w:val="2"/>
      </w:rPr>
    </w:pP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7C5447">
    <w:pPr>
      <w:pStyle w:val="BodyText"/>
      <w:spacing w:line="14" w:lineRule="auto"/>
      <w:rPr>
        <w:sz w:val="2"/>
      </w:rPr>
    </w:pP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7C5447">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line id="_x0000_s2236" style="position:absolute;z-index:-351826944;mso-position-horizontal-relative:page;mso-position-vertical-relative:page" from="62.4pt,775.8pt" to="524.85pt,775.8pt" strokeweight="1.44pt">
          <w10:wrap anchorx="page" anchory="page"/>
        </v:line>
      </w:pict>
    </w:r>
    <w:r>
      <w:pict>
        <v:shapetype id="_x0000_t202" coordsize="21600,21600" o:spt="202" path="m,l,21600r21600,l21600,xe">
          <v:stroke joinstyle="miter"/>
          <v:path gradientshapeok="t" o:connecttype="rect"/>
        </v:shapetype>
        <v:shape id="_x0000_s2235" type="#_x0000_t202" style="position:absolute;margin-left:62.85pt;margin-top:788.1pt;width:232.65pt;height:15.3pt;z-index:-351825920;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234" type="#_x0000_t202" style="position:absolute;margin-left:470.1pt;margin-top:788.1pt;width:47.2pt;height:15.3pt;z-index:-351824896;mso-position-horizontal-relative:page;mso-position-vertical-relative:page" filled="f" stroked="f">
          <v:textbox inset="0,0,0,0">
            <w:txbxContent>
              <w:p w:rsidR="007C5447" w:rsidRDefault="00F6308C">
                <w:pPr>
                  <w:spacing w:before="10"/>
                  <w:ind w:left="20"/>
                  <w:rPr>
                    <w:b/>
                    <w:sz w:val="24"/>
                  </w:rPr>
                </w:pPr>
                <w:r>
                  <w:rPr>
                    <w:sz w:val="24"/>
                  </w:rPr>
                  <w:t xml:space="preserve">Page </w:t>
                </w:r>
                <w:r>
                  <w:fldChar w:fldCharType="begin"/>
                </w:r>
                <w:r>
                  <w:rPr>
                    <w:b/>
                    <w:sz w:val="24"/>
                  </w:rPr>
                  <w:instrText xml:space="preserve"> PAGE </w:instrText>
                </w:r>
                <w:r>
                  <w:fldChar w:fldCharType="separate"/>
                </w:r>
                <w:r>
                  <w:t>104</w:t>
                </w:r>
                <w:r>
                  <w:fldChar w:fldCharType="end"/>
                </w:r>
              </w:p>
            </w:txbxContent>
          </v:textbox>
          <w10:wrap anchorx="page" anchory="page"/>
        </v:shape>
      </w:pic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7C5447">
    <w:pPr>
      <w:pStyle w:val="BodyText"/>
      <w:spacing w:line="14" w:lineRule="auto"/>
      <w:rPr>
        <w:sz w:val="2"/>
      </w:rPr>
    </w:pP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7C5447">
    <w:pPr>
      <w:pStyle w:val="BodyText"/>
      <w:spacing w:line="14" w:lineRule="auto"/>
      <w:rPr>
        <w:sz w:val="2"/>
      </w:rPr>
    </w:pP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7C5447">
    <w:pPr>
      <w:pStyle w:val="BodyText"/>
      <w:spacing w:line="14" w:lineRule="auto"/>
      <w:rPr>
        <w:sz w:val="2"/>
      </w:rPr>
    </w:pP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7C5447">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5447" w:rsidRDefault="00F6308C">
    <w:pPr>
      <w:pStyle w:val="BodyText"/>
      <w:spacing w:line="14" w:lineRule="auto"/>
      <w:rPr>
        <w:sz w:val="20"/>
      </w:rPr>
    </w:pPr>
    <w:r>
      <w:pict>
        <v:shapetype id="_x0000_t202" coordsize="21600,21600" o:spt="202" path="m,l,21600r21600,l21600,xe">
          <v:stroke joinstyle="miter"/>
          <v:path gradientshapeok="t" o:connecttype="rect"/>
        </v:shapetype>
        <v:shape id="_x0000_s2233" type="#_x0000_t202" style="position:absolute;margin-left:71pt;margin-top:541.5pt;width:232.65pt;height:15.3pt;z-index:-351823872;mso-position-horizontal-relative:page;mso-position-vertical-relative:page" filled="f" stroked="f">
          <v:textbox inset="0,0,0,0">
            <w:txbxContent>
              <w:p w:rsidR="007C5447" w:rsidRDefault="00F6308C">
                <w:pPr>
                  <w:pStyle w:val="BodyText"/>
                  <w:spacing w:before="10"/>
                  <w:ind w:left="20"/>
                </w:pPr>
                <w:r>
                  <w:t>Tamil Nadu Electricity Regulatory Commission</w:t>
                </w:r>
              </w:p>
            </w:txbxContent>
          </v:textbox>
          <w10:wrap anchorx="page" anchory="page"/>
        </v:shape>
      </w:pict>
    </w:r>
    <w:r>
      <w:pict>
        <v:shape id="_x0000_s2232" type="#_x0000_t202" style="position:absolute;margin-left:478.25pt;margin-top:541.5pt;width:46.2pt;height:15.3pt;z-index:-351822848;mso-position-horizontal-relative:page;mso-position-vertical-relative:page" filled="f" stroked="f">
          <v:textbox inset="0,0,0,0">
            <w:txbxContent>
              <w:p w:rsidR="007C5447" w:rsidRDefault="00F6308C">
                <w:pPr>
                  <w:spacing w:before="10"/>
                  <w:ind w:left="20"/>
                  <w:rPr>
                    <w:b/>
                    <w:sz w:val="24"/>
                  </w:rPr>
                </w:pPr>
                <w:r>
                  <w:rPr>
                    <w:sz w:val="24"/>
                  </w:rPr>
                  <w:t xml:space="preserve">Page </w:t>
                </w:r>
                <w:r>
                  <w:rPr>
                    <w:b/>
                    <w:sz w:val="24"/>
                  </w:rPr>
                  <w:t>107</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308C" w:rsidRDefault="00F6308C">
      <w:r>
        <w:separator/>
      </w:r>
    </w:p>
  </w:footnote>
  <w:footnote w:type="continuationSeparator" w:id="0">
    <w:p w:rsidR="00F6308C" w:rsidRDefault="00F630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64067"/>
    <w:multiLevelType w:val="hybridMultilevel"/>
    <w:tmpl w:val="BD3ACCCA"/>
    <w:lvl w:ilvl="0" w:tplc="F7DAEE8E">
      <w:start w:val="1"/>
      <w:numFmt w:val="lowerRoman"/>
      <w:lvlText w:val="%1."/>
      <w:lvlJc w:val="left"/>
      <w:pPr>
        <w:ind w:left="1660" w:hanging="721"/>
        <w:jc w:val="left"/>
      </w:pPr>
      <w:rPr>
        <w:rFonts w:ascii="Times New Roman" w:eastAsia="Times New Roman" w:hAnsi="Times New Roman" w:cs="Times New Roman" w:hint="default"/>
        <w:i/>
        <w:spacing w:val="-9"/>
        <w:w w:val="99"/>
        <w:sz w:val="24"/>
        <w:szCs w:val="24"/>
        <w:lang w:val="en-US" w:eastAsia="en-US" w:bidi="en-US"/>
      </w:rPr>
    </w:lvl>
    <w:lvl w:ilvl="1" w:tplc="5C0805CA">
      <w:numFmt w:val="bullet"/>
      <w:lvlText w:val="•"/>
      <w:lvlJc w:val="left"/>
      <w:pPr>
        <w:ind w:left="2440" w:hanging="721"/>
      </w:pPr>
      <w:rPr>
        <w:rFonts w:hint="default"/>
        <w:lang w:val="en-US" w:eastAsia="en-US" w:bidi="en-US"/>
      </w:rPr>
    </w:lvl>
    <w:lvl w:ilvl="2" w:tplc="7C3813B4">
      <w:numFmt w:val="bullet"/>
      <w:lvlText w:val="•"/>
      <w:lvlJc w:val="left"/>
      <w:pPr>
        <w:ind w:left="3221" w:hanging="721"/>
      </w:pPr>
      <w:rPr>
        <w:rFonts w:hint="default"/>
        <w:lang w:val="en-US" w:eastAsia="en-US" w:bidi="en-US"/>
      </w:rPr>
    </w:lvl>
    <w:lvl w:ilvl="3" w:tplc="5F4424F6">
      <w:numFmt w:val="bullet"/>
      <w:lvlText w:val="•"/>
      <w:lvlJc w:val="left"/>
      <w:pPr>
        <w:ind w:left="4002" w:hanging="721"/>
      </w:pPr>
      <w:rPr>
        <w:rFonts w:hint="default"/>
        <w:lang w:val="en-US" w:eastAsia="en-US" w:bidi="en-US"/>
      </w:rPr>
    </w:lvl>
    <w:lvl w:ilvl="4" w:tplc="583C7144">
      <w:numFmt w:val="bullet"/>
      <w:lvlText w:val="•"/>
      <w:lvlJc w:val="left"/>
      <w:pPr>
        <w:ind w:left="4783" w:hanging="721"/>
      </w:pPr>
      <w:rPr>
        <w:rFonts w:hint="default"/>
        <w:lang w:val="en-US" w:eastAsia="en-US" w:bidi="en-US"/>
      </w:rPr>
    </w:lvl>
    <w:lvl w:ilvl="5" w:tplc="CB3AEBE2">
      <w:numFmt w:val="bullet"/>
      <w:lvlText w:val="•"/>
      <w:lvlJc w:val="left"/>
      <w:pPr>
        <w:ind w:left="5564" w:hanging="721"/>
      </w:pPr>
      <w:rPr>
        <w:rFonts w:hint="default"/>
        <w:lang w:val="en-US" w:eastAsia="en-US" w:bidi="en-US"/>
      </w:rPr>
    </w:lvl>
    <w:lvl w:ilvl="6" w:tplc="F250A8F4">
      <w:numFmt w:val="bullet"/>
      <w:lvlText w:val="•"/>
      <w:lvlJc w:val="left"/>
      <w:pPr>
        <w:ind w:left="6345" w:hanging="721"/>
      </w:pPr>
      <w:rPr>
        <w:rFonts w:hint="default"/>
        <w:lang w:val="en-US" w:eastAsia="en-US" w:bidi="en-US"/>
      </w:rPr>
    </w:lvl>
    <w:lvl w:ilvl="7" w:tplc="0A2CACD8">
      <w:numFmt w:val="bullet"/>
      <w:lvlText w:val="•"/>
      <w:lvlJc w:val="left"/>
      <w:pPr>
        <w:ind w:left="7126" w:hanging="721"/>
      </w:pPr>
      <w:rPr>
        <w:rFonts w:hint="default"/>
        <w:lang w:val="en-US" w:eastAsia="en-US" w:bidi="en-US"/>
      </w:rPr>
    </w:lvl>
    <w:lvl w:ilvl="8" w:tplc="51C0B230">
      <w:numFmt w:val="bullet"/>
      <w:lvlText w:val="•"/>
      <w:lvlJc w:val="left"/>
      <w:pPr>
        <w:ind w:left="7907" w:hanging="721"/>
      </w:pPr>
      <w:rPr>
        <w:rFonts w:hint="default"/>
        <w:lang w:val="en-US" w:eastAsia="en-US" w:bidi="en-US"/>
      </w:rPr>
    </w:lvl>
  </w:abstractNum>
  <w:abstractNum w:abstractNumId="1" w15:restartNumberingAfterBreak="0">
    <w:nsid w:val="02B10053"/>
    <w:multiLevelType w:val="multilevel"/>
    <w:tmpl w:val="55AAD032"/>
    <w:lvl w:ilvl="0">
      <w:start w:val="3"/>
      <w:numFmt w:val="decimal"/>
      <w:lvlText w:val="%1"/>
      <w:lvlJc w:val="left"/>
      <w:pPr>
        <w:ind w:left="1225" w:hanging="965"/>
        <w:jc w:val="left"/>
      </w:pPr>
      <w:rPr>
        <w:rFonts w:hint="default"/>
        <w:lang w:val="en-US" w:eastAsia="en-US" w:bidi="en-US"/>
      </w:rPr>
    </w:lvl>
    <w:lvl w:ilvl="1">
      <w:start w:val="17"/>
      <w:numFmt w:val="decimal"/>
      <w:lvlText w:val="%1.%2"/>
      <w:lvlJc w:val="left"/>
      <w:pPr>
        <w:ind w:left="1225" w:hanging="965"/>
        <w:jc w:val="left"/>
      </w:pPr>
      <w:rPr>
        <w:rFonts w:hint="default"/>
        <w:lang w:val="en-US" w:eastAsia="en-US" w:bidi="en-US"/>
      </w:rPr>
    </w:lvl>
    <w:lvl w:ilvl="2">
      <w:start w:val="11"/>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w w:val="100"/>
        <w:sz w:val="24"/>
        <w:szCs w:val="24"/>
        <w:lang w:val="en-US" w:eastAsia="en-US" w:bidi="en-US"/>
      </w:rPr>
    </w:lvl>
    <w:lvl w:ilvl="4">
      <w:numFmt w:val="bullet"/>
      <w:lvlText w:val="•"/>
      <w:lvlJc w:val="left"/>
      <w:pPr>
        <w:ind w:left="4686" w:hanging="965"/>
      </w:pPr>
      <w:rPr>
        <w:rFonts w:hint="default"/>
        <w:lang w:val="en-US" w:eastAsia="en-US" w:bidi="en-US"/>
      </w:rPr>
    </w:lvl>
    <w:lvl w:ilvl="5">
      <w:numFmt w:val="bullet"/>
      <w:lvlText w:val="•"/>
      <w:lvlJc w:val="left"/>
      <w:pPr>
        <w:ind w:left="5553" w:hanging="965"/>
      </w:pPr>
      <w:rPr>
        <w:rFonts w:hint="default"/>
        <w:lang w:val="en-US" w:eastAsia="en-US" w:bidi="en-US"/>
      </w:rPr>
    </w:lvl>
    <w:lvl w:ilvl="6">
      <w:numFmt w:val="bullet"/>
      <w:lvlText w:val="•"/>
      <w:lvlJc w:val="left"/>
      <w:pPr>
        <w:ind w:left="6419" w:hanging="965"/>
      </w:pPr>
      <w:rPr>
        <w:rFonts w:hint="default"/>
        <w:lang w:val="en-US" w:eastAsia="en-US" w:bidi="en-US"/>
      </w:rPr>
    </w:lvl>
    <w:lvl w:ilvl="7">
      <w:numFmt w:val="bullet"/>
      <w:lvlText w:val="•"/>
      <w:lvlJc w:val="left"/>
      <w:pPr>
        <w:ind w:left="7286" w:hanging="965"/>
      </w:pPr>
      <w:rPr>
        <w:rFonts w:hint="default"/>
        <w:lang w:val="en-US" w:eastAsia="en-US" w:bidi="en-US"/>
      </w:rPr>
    </w:lvl>
    <w:lvl w:ilvl="8">
      <w:numFmt w:val="bullet"/>
      <w:lvlText w:val="•"/>
      <w:lvlJc w:val="left"/>
      <w:pPr>
        <w:ind w:left="8153" w:hanging="965"/>
      </w:pPr>
      <w:rPr>
        <w:rFonts w:hint="default"/>
        <w:lang w:val="en-US" w:eastAsia="en-US" w:bidi="en-US"/>
      </w:rPr>
    </w:lvl>
  </w:abstractNum>
  <w:abstractNum w:abstractNumId="2" w15:restartNumberingAfterBreak="0">
    <w:nsid w:val="032B4591"/>
    <w:multiLevelType w:val="multilevel"/>
    <w:tmpl w:val="C9DEDCD4"/>
    <w:lvl w:ilvl="0">
      <w:start w:val="6"/>
      <w:numFmt w:val="decimal"/>
      <w:lvlText w:val="%1"/>
      <w:lvlJc w:val="left"/>
      <w:pPr>
        <w:ind w:left="1225" w:hanging="965"/>
        <w:jc w:val="left"/>
      </w:pPr>
      <w:rPr>
        <w:rFonts w:hint="default"/>
        <w:lang w:val="en-US" w:eastAsia="en-US" w:bidi="en-US"/>
      </w:rPr>
    </w:lvl>
    <w:lvl w:ilvl="1">
      <w:start w:val="2"/>
      <w:numFmt w:val="decimal"/>
      <w:lvlText w:val="%1.%2"/>
      <w:lvlJc w:val="left"/>
      <w:pPr>
        <w:ind w:left="1225" w:hanging="965"/>
        <w:jc w:val="left"/>
      </w:pPr>
      <w:rPr>
        <w:rFonts w:hint="default"/>
        <w:lang w:val="en-US" w:eastAsia="en-US" w:bidi="en-US"/>
      </w:rPr>
    </w:lvl>
    <w:lvl w:ilvl="2">
      <w:start w:val="8"/>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5"/>
        <w:w w:val="99"/>
        <w:sz w:val="24"/>
        <w:szCs w:val="24"/>
        <w:lang w:val="en-US" w:eastAsia="en-US" w:bidi="en-US"/>
      </w:rPr>
    </w:lvl>
    <w:lvl w:ilvl="4">
      <w:numFmt w:val="bullet"/>
      <w:lvlText w:val="•"/>
      <w:lvlJc w:val="left"/>
      <w:pPr>
        <w:ind w:left="4798" w:hanging="965"/>
      </w:pPr>
      <w:rPr>
        <w:rFonts w:hint="default"/>
        <w:lang w:val="en-US" w:eastAsia="en-US" w:bidi="en-US"/>
      </w:rPr>
    </w:lvl>
    <w:lvl w:ilvl="5">
      <w:numFmt w:val="bullet"/>
      <w:lvlText w:val="•"/>
      <w:lvlJc w:val="left"/>
      <w:pPr>
        <w:ind w:left="5693" w:hanging="965"/>
      </w:pPr>
      <w:rPr>
        <w:rFonts w:hint="default"/>
        <w:lang w:val="en-US" w:eastAsia="en-US" w:bidi="en-US"/>
      </w:rPr>
    </w:lvl>
    <w:lvl w:ilvl="6">
      <w:numFmt w:val="bullet"/>
      <w:lvlText w:val="•"/>
      <w:lvlJc w:val="left"/>
      <w:pPr>
        <w:ind w:left="6587" w:hanging="965"/>
      </w:pPr>
      <w:rPr>
        <w:rFonts w:hint="default"/>
        <w:lang w:val="en-US" w:eastAsia="en-US" w:bidi="en-US"/>
      </w:rPr>
    </w:lvl>
    <w:lvl w:ilvl="7">
      <w:numFmt w:val="bullet"/>
      <w:lvlText w:val="•"/>
      <w:lvlJc w:val="left"/>
      <w:pPr>
        <w:ind w:left="7482" w:hanging="965"/>
      </w:pPr>
      <w:rPr>
        <w:rFonts w:hint="default"/>
        <w:lang w:val="en-US" w:eastAsia="en-US" w:bidi="en-US"/>
      </w:rPr>
    </w:lvl>
    <w:lvl w:ilvl="8">
      <w:numFmt w:val="bullet"/>
      <w:lvlText w:val="•"/>
      <w:lvlJc w:val="left"/>
      <w:pPr>
        <w:ind w:left="8377" w:hanging="965"/>
      </w:pPr>
      <w:rPr>
        <w:rFonts w:hint="default"/>
        <w:lang w:val="en-US" w:eastAsia="en-US" w:bidi="en-US"/>
      </w:rPr>
    </w:lvl>
  </w:abstractNum>
  <w:abstractNum w:abstractNumId="3" w15:restartNumberingAfterBreak="0">
    <w:nsid w:val="04641E8A"/>
    <w:multiLevelType w:val="hybridMultilevel"/>
    <w:tmpl w:val="ABE06228"/>
    <w:lvl w:ilvl="0" w:tplc="FD1E2ACA">
      <w:start w:val="1"/>
      <w:numFmt w:val="decimal"/>
      <w:lvlText w:val="%1)"/>
      <w:lvlJc w:val="left"/>
      <w:pPr>
        <w:ind w:left="2386" w:hanging="425"/>
        <w:jc w:val="left"/>
      </w:pPr>
      <w:rPr>
        <w:rFonts w:ascii="Times New Roman" w:eastAsia="Times New Roman" w:hAnsi="Times New Roman" w:cs="Times New Roman" w:hint="default"/>
        <w:i/>
        <w:spacing w:val="-29"/>
        <w:w w:val="99"/>
        <w:sz w:val="24"/>
        <w:szCs w:val="24"/>
        <w:lang w:val="en-US" w:eastAsia="en-US" w:bidi="en-US"/>
      </w:rPr>
    </w:lvl>
    <w:lvl w:ilvl="1" w:tplc="026C2AE6">
      <w:numFmt w:val="bullet"/>
      <w:lvlText w:val="•"/>
      <w:lvlJc w:val="left"/>
      <w:pPr>
        <w:ind w:left="3158" w:hanging="425"/>
      </w:pPr>
      <w:rPr>
        <w:rFonts w:hint="default"/>
        <w:lang w:val="en-US" w:eastAsia="en-US" w:bidi="en-US"/>
      </w:rPr>
    </w:lvl>
    <w:lvl w:ilvl="2" w:tplc="363C1904">
      <w:numFmt w:val="bullet"/>
      <w:lvlText w:val="•"/>
      <w:lvlJc w:val="left"/>
      <w:pPr>
        <w:ind w:left="3937" w:hanging="425"/>
      </w:pPr>
      <w:rPr>
        <w:rFonts w:hint="default"/>
        <w:lang w:val="en-US" w:eastAsia="en-US" w:bidi="en-US"/>
      </w:rPr>
    </w:lvl>
    <w:lvl w:ilvl="3" w:tplc="2AD80EDC">
      <w:numFmt w:val="bullet"/>
      <w:lvlText w:val="•"/>
      <w:lvlJc w:val="left"/>
      <w:pPr>
        <w:ind w:left="4715" w:hanging="425"/>
      </w:pPr>
      <w:rPr>
        <w:rFonts w:hint="default"/>
        <w:lang w:val="en-US" w:eastAsia="en-US" w:bidi="en-US"/>
      </w:rPr>
    </w:lvl>
    <w:lvl w:ilvl="4" w:tplc="87788866">
      <w:numFmt w:val="bullet"/>
      <w:lvlText w:val="•"/>
      <w:lvlJc w:val="left"/>
      <w:pPr>
        <w:ind w:left="5494" w:hanging="425"/>
      </w:pPr>
      <w:rPr>
        <w:rFonts w:hint="default"/>
        <w:lang w:val="en-US" w:eastAsia="en-US" w:bidi="en-US"/>
      </w:rPr>
    </w:lvl>
    <w:lvl w:ilvl="5" w:tplc="30663C7A">
      <w:numFmt w:val="bullet"/>
      <w:lvlText w:val="•"/>
      <w:lvlJc w:val="left"/>
      <w:pPr>
        <w:ind w:left="6273" w:hanging="425"/>
      </w:pPr>
      <w:rPr>
        <w:rFonts w:hint="default"/>
        <w:lang w:val="en-US" w:eastAsia="en-US" w:bidi="en-US"/>
      </w:rPr>
    </w:lvl>
    <w:lvl w:ilvl="6" w:tplc="9A622F0A">
      <w:numFmt w:val="bullet"/>
      <w:lvlText w:val="•"/>
      <w:lvlJc w:val="left"/>
      <w:pPr>
        <w:ind w:left="7051" w:hanging="425"/>
      </w:pPr>
      <w:rPr>
        <w:rFonts w:hint="default"/>
        <w:lang w:val="en-US" w:eastAsia="en-US" w:bidi="en-US"/>
      </w:rPr>
    </w:lvl>
    <w:lvl w:ilvl="7" w:tplc="D8EC8658">
      <w:numFmt w:val="bullet"/>
      <w:lvlText w:val="•"/>
      <w:lvlJc w:val="left"/>
      <w:pPr>
        <w:ind w:left="7830" w:hanging="425"/>
      </w:pPr>
      <w:rPr>
        <w:rFonts w:hint="default"/>
        <w:lang w:val="en-US" w:eastAsia="en-US" w:bidi="en-US"/>
      </w:rPr>
    </w:lvl>
    <w:lvl w:ilvl="8" w:tplc="84D08EC4">
      <w:numFmt w:val="bullet"/>
      <w:lvlText w:val="•"/>
      <w:lvlJc w:val="left"/>
      <w:pPr>
        <w:ind w:left="8609" w:hanging="425"/>
      </w:pPr>
      <w:rPr>
        <w:rFonts w:hint="default"/>
        <w:lang w:val="en-US" w:eastAsia="en-US" w:bidi="en-US"/>
      </w:rPr>
    </w:lvl>
  </w:abstractNum>
  <w:abstractNum w:abstractNumId="4" w15:restartNumberingAfterBreak="0">
    <w:nsid w:val="04EA42FE"/>
    <w:multiLevelType w:val="hybridMultilevel"/>
    <w:tmpl w:val="9BE2BFF8"/>
    <w:lvl w:ilvl="0" w:tplc="233889C6">
      <w:start w:val="1"/>
      <w:numFmt w:val="decimal"/>
      <w:lvlText w:val="%1)"/>
      <w:lvlJc w:val="left"/>
      <w:pPr>
        <w:ind w:left="2105" w:hanging="360"/>
        <w:jc w:val="left"/>
      </w:pPr>
      <w:rPr>
        <w:rFonts w:ascii="Times New Roman" w:eastAsia="Times New Roman" w:hAnsi="Times New Roman" w:cs="Times New Roman" w:hint="default"/>
        <w:i/>
        <w:spacing w:val="-20"/>
        <w:w w:val="99"/>
        <w:sz w:val="24"/>
        <w:szCs w:val="24"/>
        <w:lang w:val="en-US" w:eastAsia="en-US" w:bidi="en-US"/>
      </w:rPr>
    </w:lvl>
    <w:lvl w:ilvl="1" w:tplc="1B0AD758">
      <w:start w:val="1"/>
      <w:numFmt w:val="lowerLetter"/>
      <w:lvlText w:val="(%2)"/>
      <w:lvlJc w:val="left"/>
      <w:pPr>
        <w:ind w:left="2530" w:hanging="426"/>
        <w:jc w:val="left"/>
      </w:pPr>
      <w:rPr>
        <w:rFonts w:ascii="Times New Roman" w:eastAsia="Times New Roman" w:hAnsi="Times New Roman" w:cs="Times New Roman" w:hint="default"/>
        <w:i/>
        <w:spacing w:val="-4"/>
        <w:w w:val="99"/>
        <w:sz w:val="24"/>
        <w:szCs w:val="24"/>
        <w:lang w:val="en-US" w:eastAsia="en-US" w:bidi="en-US"/>
      </w:rPr>
    </w:lvl>
    <w:lvl w:ilvl="2" w:tplc="F9E446BC">
      <w:numFmt w:val="bullet"/>
      <w:lvlText w:val="•"/>
      <w:lvlJc w:val="left"/>
      <w:pPr>
        <w:ind w:left="3320" w:hanging="426"/>
      </w:pPr>
      <w:rPr>
        <w:rFonts w:hint="default"/>
        <w:lang w:val="en-US" w:eastAsia="en-US" w:bidi="en-US"/>
      </w:rPr>
    </w:lvl>
    <w:lvl w:ilvl="3" w:tplc="F1969B32">
      <w:numFmt w:val="bullet"/>
      <w:lvlText w:val="•"/>
      <w:lvlJc w:val="left"/>
      <w:pPr>
        <w:ind w:left="4101" w:hanging="426"/>
      </w:pPr>
      <w:rPr>
        <w:rFonts w:hint="default"/>
        <w:lang w:val="en-US" w:eastAsia="en-US" w:bidi="en-US"/>
      </w:rPr>
    </w:lvl>
    <w:lvl w:ilvl="4" w:tplc="4E6033F0">
      <w:numFmt w:val="bullet"/>
      <w:lvlText w:val="•"/>
      <w:lvlJc w:val="left"/>
      <w:pPr>
        <w:ind w:left="4882" w:hanging="426"/>
      </w:pPr>
      <w:rPr>
        <w:rFonts w:hint="default"/>
        <w:lang w:val="en-US" w:eastAsia="en-US" w:bidi="en-US"/>
      </w:rPr>
    </w:lvl>
    <w:lvl w:ilvl="5" w:tplc="CE900314">
      <w:numFmt w:val="bullet"/>
      <w:lvlText w:val="•"/>
      <w:lvlJc w:val="left"/>
      <w:pPr>
        <w:ind w:left="5662" w:hanging="426"/>
      </w:pPr>
      <w:rPr>
        <w:rFonts w:hint="default"/>
        <w:lang w:val="en-US" w:eastAsia="en-US" w:bidi="en-US"/>
      </w:rPr>
    </w:lvl>
    <w:lvl w:ilvl="6" w:tplc="7C02F42E">
      <w:numFmt w:val="bullet"/>
      <w:lvlText w:val="•"/>
      <w:lvlJc w:val="left"/>
      <w:pPr>
        <w:ind w:left="6443" w:hanging="426"/>
      </w:pPr>
      <w:rPr>
        <w:rFonts w:hint="default"/>
        <w:lang w:val="en-US" w:eastAsia="en-US" w:bidi="en-US"/>
      </w:rPr>
    </w:lvl>
    <w:lvl w:ilvl="7" w:tplc="4242398C">
      <w:numFmt w:val="bullet"/>
      <w:lvlText w:val="•"/>
      <w:lvlJc w:val="left"/>
      <w:pPr>
        <w:ind w:left="7224" w:hanging="426"/>
      </w:pPr>
      <w:rPr>
        <w:rFonts w:hint="default"/>
        <w:lang w:val="en-US" w:eastAsia="en-US" w:bidi="en-US"/>
      </w:rPr>
    </w:lvl>
    <w:lvl w:ilvl="8" w:tplc="348A12C6">
      <w:numFmt w:val="bullet"/>
      <w:lvlText w:val="•"/>
      <w:lvlJc w:val="left"/>
      <w:pPr>
        <w:ind w:left="8004" w:hanging="426"/>
      </w:pPr>
      <w:rPr>
        <w:rFonts w:hint="default"/>
        <w:lang w:val="en-US" w:eastAsia="en-US" w:bidi="en-US"/>
      </w:rPr>
    </w:lvl>
  </w:abstractNum>
  <w:abstractNum w:abstractNumId="5" w15:restartNumberingAfterBreak="0">
    <w:nsid w:val="086E1F75"/>
    <w:multiLevelType w:val="multilevel"/>
    <w:tmpl w:val="3F30A0B8"/>
    <w:lvl w:ilvl="0">
      <w:start w:val="7"/>
      <w:numFmt w:val="decimal"/>
      <w:lvlText w:val="%1"/>
      <w:lvlJc w:val="left"/>
      <w:pPr>
        <w:ind w:left="1112" w:hanging="852"/>
        <w:jc w:val="left"/>
      </w:pPr>
      <w:rPr>
        <w:rFonts w:hint="default"/>
        <w:lang w:val="en-US" w:eastAsia="en-US" w:bidi="en-US"/>
      </w:rPr>
    </w:lvl>
    <w:lvl w:ilvl="1">
      <w:start w:val="1"/>
      <w:numFmt w:val="decimal"/>
      <w:lvlText w:val="%1.%2"/>
      <w:lvlJc w:val="left"/>
      <w:pPr>
        <w:ind w:left="1112" w:hanging="852"/>
        <w:jc w:val="left"/>
      </w:pPr>
      <w:rPr>
        <w:rFonts w:hint="default"/>
        <w:lang w:val="en-US" w:eastAsia="en-US" w:bidi="en-US"/>
      </w:rPr>
    </w:lvl>
    <w:lvl w:ilvl="2">
      <w:start w:val="1"/>
      <w:numFmt w:val="decimal"/>
      <w:lvlText w:val="%1.%2.%3"/>
      <w:lvlJc w:val="left"/>
      <w:pPr>
        <w:ind w:left="1112" w:hanging="852"/>
        <w:jc w:val="left"/>
      </w:pPr>
      <w:rPr>
        <w:rFonts w:ascii="Times New Roman" w:eastAsia="Times New Roman" w:hAnsi="Times New Roman" w:cs="Times New Roman" w:hint="default"/>
        <w:spacing w:val="-2"/>
        <w:w w:val="99"/>
        <w:sz w:val="24"/>
        <w:szCs w:val="24"/>
        <w:lang w:val="en-US" w:eastAsia="en-US" w:bidi="en-US"/>
      </w:rPr>
    </w:lvl>
    <w:lvl w:ilvl="3">
      <w:start w:val="1"/>
      <w:numFmt w:val="lowerLetter"/>
      <w:lvlText w:val="%4)"/>
      <w:lvlJc w:val="left"/>
      <w:pPr>
        <w:ind w:left="980" w:hanging="360"/>
        <w:jc w:val="left"/>
      </w:pPr>
      <w:rPr>
        <w:rFonts w:ascii="Times New Roman" w:eastAsia="Times New Roman" w:hAnsi="Times New Roman" w:cs="Times New Roman" w:hint="default"/>
        <w:spacing w:val="-6"/>
        <w:w w:val="99"/>
        <w:sz w:val="24"/>
        <w:szCs w:val="24"/>
        <w:lang w:val="en-US" w:eastAsia="en-US" w:bidi="en-US"/>
      </w:rPr>
    </w:lvl>
    <w:lvl w:ilvl="4">
      <w:start w:val="1"/>
      <w:numFmt w:val="lowerRoman"/>
      <w:lvlText w:val="%5."/>
      <w:lvlJc w:val="left"/>
      <w:pPr>
        <w:ind w:left="1700" w:hanging="488"/>
        <w:jc w:val="right"/>
      </w:pPr>
      <w:rPr>
        <w:rFonts w:ascii="Times New Roman" w:eastAsia="Times New Roman" w:hAnsi="Times New Roman" w:cs="Times New Roman" w:hint="default"/>
        <w:spacing w:val="-3"/>
        <w:w w:val="99"/>
        <w:sz w:val="24"/>
        <w:szCs w:val="24"/>
        <w:lang w:val="en-US" w:eastAsia="en-US" w:bidi="en-US"/>
      </w:rPr>
    </w:lvl>
    <w:lvl w:ilvl="5">
      <w:numFmt w:val="bullet"/>
      <w:lvlText w:val="•"/>
      <w:lvlJc w:val="left"/>
      <w:pPr>
        <w:ind w:left="4874" w:hanging="488"/>
      </w:pPr>
      <w:rPr>
        <w:rFonts w:hint="default"/>
        <w:lang w:val="en-US" w:eastAsia="en-US" w:bidi="en-US"/>
      </w:rPr>
    </w:lvl>
    <w:lvl w:ilvl="6">
      <w:numFmt w:val="bullet"/>
      <w:lvlText w:val="•"/>
      <w:lvlJc w:val="left"/>
      <w:pPr>
        <w:ind w:left="5933" w:hanging="488"/>
      </w:pPr>
      <w:rPr>
        <w:rFonts w:hint="default"/>
        <w:lang w:val="en-US" w:eastAsia="en-US" w:bidi="en-US"/>
      </w:rPr>
    </w:lvl>
    <w:lvl w:ilvl="7">
      <w:numFmt w:val="bullet"/>
      <w:lvlText w:val="•"/>
      <w:lvlJc w:val="left"/>
      <w:pPr>
        <w:ind w:left="6991" w:hanging="488"/>
      </w:pPr>
      <w:rPr>
        <w:rFonts w:hint="default"/>
        <w:lang w:val="en-US" w:eastAsia="en-US" w:bidi="en-US"/>
      </w:rPr>
    </w:lvl>
    <w:lvl w:ilvl="8">
      <w:numFmt w:val="bullet"/>
      <w:lvlText w:val="•"/>
      <w:lvlJc w:val="left"/>
      <w:pPr>
        <w:ind w:left="8049" w:hanging="488"/>
      </w:pPr>
      <w:rPr>
        <w:rFonts w:hint="default"/>
        <w:lang w:val="en-US" w:eastAsia="en-US" w:bidi="en-US"/>
      </w:rPr>
    </w:lvl>
  </w:abstractNum>
  <w:abstractNum w:abstractNumId="6" w15:restartNumberingAfterBreak="0">
    <w:nsid w:val="0B835608"/>
    <w:multiLevelType w:val="multilevel"/>
    <w:tmpl w:val="4184CE26"/>
    <w:lvl w:ilvl="0">
      <w:start w:val="6"/>
      <w:numFmt w:val="decimal"/>
      <w:lvlText w:val="%1"/>
      <w:lvlJc w:val="left"/>
      <w:pPr>
        <w:ind w:left="826" w:hanging="567"/>
        <w:jc w:val="left"/>
      </w:pPr>
      <w:rPr>
        <w:rFonts w:hint="default"/>
        <w:lang w:val="en-US" w:eastAsia="en-US" w:bidi="en-US"/>
      </w:rPr>
    </w:lvl>
    <w:lvl w:ilvl="1">
      <w:start w:val="2"/>
      <w:numFmt w:val="decimal"/>
      <w:lvlText w:val="%1.%2"/>
      <w:lvlJc w:val="left"/>
      <w:pPr>
        <w:ind w:left="826" w:hanging="567"/>
        <w:jc w:val="left"/>
      </w:pPr>
      <w:rPr>
        <w:rFonts w:ascii="Times New Roman" w:eastAsia="Times New Roman" w:hAnsi="Times New Roman" w:cs="Times New Roman" w:hint="default"/>
        <w:b/>
        <w:bCs/>
        <w:spacing w:val="-4"/>
        <w:w w:val="100"/>
        <w:sz w:val="24"/>
        <w:szCs w:val="24"/>
        <w:lang w:val="en-US" w:eastAsia="en-US" w:bidi="en-US"/>
      </w:rPr>
    </w:lvl>
    <w:lvl w:ilvl="2">
      <w:start w:val="1"/>
      <w:numFmt w:val="decimal"/>
      <w:lvlText w:val="%1.%2.%3"/>
      <w:lvlJc w:val="left"/>
      <w:pPr>
        <w:ind w:left="1112" w:hanging="852"/>
        <w:jc w:val="left"/>
      </w:pPr>
      <w:rPr>
        <w:rFonts w:ascii="Times New Roman" w:eastAsia="Times New Roman" w:hAnsi="Times New Roman" w:cs="Times New Roman" w:hint="default"/>
        <w:spacing w:val="-3"/>
        <w:w w:val="99"/>
        <w:sz w:val="24"/>
        <w:szCs w:val="24"/>
        <w:lang w:val="en-US" w:eastAsia="en-US" w:bidi="en-US"/>
      </w:rPr>
    </w:lvl>
    <w:lvl w:ilvl="3">
      <w:start w:val="1"/>
      <w:numFmt w:val="lowerLetter"/>
      <w:lvlText w:val="(%4)"/>
      <w:lvlJc w:val="left"/>
      <w:pPr>
        <w:ind w:left="1678" w:hanging="567"/>
        <w:jc w:val="left"/>
      </w:pPr>
      <w:rPr>
        <w:rFonts w:ascii="Times New Roman" w:eastAsia="Times New Roman" w:hAnsi="Times New Roman" w:cs="Times New Roman" w:hint="default"/>
        <w:spacing w:val="-10"/>
        <w:w w:val="99"/>
        <w:sz w:val="24"/>
        <w:szCs w:val="24"/>
        <w:lang w:val="en-US" w:eastAsia="en-US" w:bidi="en-US"/>
      </w:rPr>
    </w:lvl>
    <w:lvl w:ilvl="4">
      <w:numFmt w:val="bullet"/>
      <w:lvlText w:val="•"/>
      <w:lvlJc w:val="left"/>
      <w:pPr>
        <w:ind w:left="3801" w:hanging="567"/>
      </w:pPr>
      <w:rPr>
        <w:rFonts w:hint="default"/>
        <w:lang w:val="en-US" w:eastAsia="en-US" w:bidi="en-US"/>
      </w:rPr>
    </w:lvl>
    <w:lvl w:ilvl="5">
      <w:numFmt w:val="bullet"/>
      <w:lvlText w:val="•"/>
      <w:lvlJc w:val="left"/>
      <w:pPr>
        <w:ind w:left="4862" w:hanging="567"/>
      </w:pPr>
      <w:rPr>
        <w:rFonts w:hint="default"/>
        <w:lang w:val="en-US" w:eastAsia="en-US" w:bidi="en-US"/>
      </w:rPr>
    </w:lvl>
    <w:lvl w:ilvl="6">
      <w:numFmt w:val="bullet"/>
      <w:lvlText w:val="•"/>
      <w:lvlJc w:val="left"/>
      <w:pPr>
        <w:ind w:left="5923" w:hanging="567"/>
      </w:pPr>
      <w:rPr>
        <w:rFonts w:hint="default"/>
        <w:lang w:val="en-US" w:eastAsia="en-US" w:bidi="en-US"/>
      </w:rPr>
    </w:lvl>
    <w:lvl w:ilvl="7">
      <w:numFmt w:val="bullet"/>
      <w:lvlText w:val="•"/>
      <w:lvlJc w:val="left"/>
      <w:pPr>
        <w:ind w:left="6984" w:hanging="567"/>
      </w:pPr>
      <w:rPr>
        <w:rFonts w:hint="default"/>
        <w:lang w:val="en-US" w:eastAsia="en-US" w:bidi="en-US"/>
      </w:rPr>
    </w:lvl>
    <w:lvl w:ilvl="8">
      <w:numFmt w:val="bullet"/>
      <w:lvlText w:val="•"/>
      <w:lvlJc w:val="left"/>
      <w:pPr>
        <w:ind w:left="8044" w:hanging="567"/>
      </w:pPr>
      <w:rPr>
        <w:rFonts w:hint="default"/>
        <w:lang w:val="en-US" w:eastAsia="en-US" w:bidi="en-US"/>
      </w:rPr>
    </w:lvl>
  </w:abstractNum>
  <w:abstractNum w:abstractNumId="7" w15:restartNumberingAfterBreak="0">
    <w:nsid w:val="11EF392E"/>
    <w:multiLevelType w:val="hybridMultilevel"/>
    <w:tmpl w:val="A35C896A"/>
    <w:lvl w:ilvl="0" w:tplc="0A1887F8">
      <w:start w:val="1"/>
      <w:numFmt w:val="lowerRoman"/>
      <w:lvlText w:val="%1."/>
      <w:lvlJc w:val="left"/>
      <w:pPr>
        <w:ind w:left="1579" w:hanging="187"/>
        <w:jc w:val="left"/>
      </w:pPr>
      <w:rPr>
        <w:rFonts w:ascii="Times New Roman" w:eastAsia="Times New Roman" w:hAnsi="Times New Roman" w:cs="Times New Roman" w:hint="default"/>
        <w:b/>
        <w:bCs/>
        <w:spacing w:val="-1"/>
        <w:w w:val="99"/>
        <w:sz w:val="24"/>
        <w:szCs w:val="24"/>
        <w:lang w:val="en-US" w:eastAsia="en-US" w:bidi="en-US"/>
      </w:rPr>
    </w:lvl>
    <w:lvl w:ilvl="1" w:tplc="D6923AA6">
      <w:numFmt w:val="bullet"/>
      <w:lvlText w:val="•"/>
      <w:lvlJc w:val="left"/>
      <w:pPr>
        <w:ind w:left="2460" w:hanging="187"/>
      </w:pPr>
      <w:rPr>
        <w:rFonts w:hint="default"/>
        <w:lang w:val="en-US" w:eastAsia="en-US" w:bidi="en-US"/>
      </w:rPr>
    </w:lvl>
    <w:lvl w:ilvl="2" w:tplc="7EB09A90">
      <w:numFmt w:val="bullet"/>
      <w:lvlText w:val="•"/>
      <w:lvlJc w:val="left"/>
      <w:pPr>
        <w:ind w:left="3341" w:hanging="187"/>
      </w:pPr>
      <w:rPr>
        <w:rFonts w:hint="default"/>
        <w:lang w:val="en-US" w:eastAsia="en-US" w:bidi="en-US"/>
      </w:rPr>
    </w:lvl>
    <w:lvl w:ilvl="3" w:tplc="FADC5B82">
      <w:numFmt w:val="bullet"/>
      <w:lvlText w:val="•"/>
      <w:lvlJc w:val="left"/>
      <w:pPr>
        <w:ind w:left="4221" w:hanging="187"/>
      </w:pPr>
      <w:rPr>
        <w:rFonts w:hint="default"/>
        <w:lang w:val="en-US" w:eastAsia="en-US" w:bidi="en-US"/>
      </w:rPr>
    </w:lvl>
    <w:lvl w:ilvl="4" w:tplc="073CE44C">
      <w:numFmt w:val="bullet"/>
      <w:lvlText w:val="•"/>
      <w:lvlJc w:val="left"/>
      <w:pPr>
        <w:ind w:left="5102" w:hanging="187"/>
      </w:pPr>
      <w:rPr>
        <w:rFonts w:hint="default"/>
        <w:lang w:val="en-US" w:eastAsia="en-US" w:bidi="en-US"/>
      </w:rPr>
    </w:lvl>
    <w:lvl w:ilvl="5" w:tplc="EB5EFD72">
      <w:numFmt w:val="bullet"/>
      <w:lvlText w:val="•"/>
      <w:lvlJc w:val="left"/>
      <w:pPr>
        <w:ind w:left="5983" w:hanging="187"/>
      </w:pPr>
      <w:rPr>
        <w:rFonts w:hint="default"/>
        <w:lang w:val="en-US" w:eastAsia="en-US" w:bidi="en-US"/>
      </w:rPr>
    </w:lvl>
    <w:lvl w:ilvl="6" w:tplc="AFACD450">
      <w:numFmt w:val="bullet"/>
      <w:lvlText w:val="•"/>
      <w:lvlJc w:val="left"/>
      <w:pPr>
        <w:ind w:left="6863" w:hanging="187"/>
      </w:pPr>
      <w:rPr>
        <w:rFonts w:hint="default"/>
        <w:lang w:val="en-US" w:eastAsia="en-US" w:bidi="en-US"/>
      </w:rPr>
    </w:lvl>
    <w:lvl w:ilvl="7" w:tplc="95487A9C">
      <w:numFmt w:val="bullet"/>
      <w:lvlText w:val="•"/>
      <w:lvlJc w:val="left"/>
      <w:pPr>
        <w:ind w:left="7744" w:hanging="187"/>
      </w:pPr>
      <w:rPr>
        <w:rFonts w:hint="default"/>
        <w:lang w:val="en-US" w:eastAsia="en-US" w:bidi="en-US"/>
      </w:rPr>
    </w:lvl>
    <w:lvl w:ilvl="8" w:tplc="551C937A">
      <w:numFmt w:val="bullet"/>
      <w:lvlText w:val="•"/>
      <w:lvlJc w:val="left"/>
      <w:pPr>
        <w:ind w:left="8625" w:hanging="187"/>
      </w:pPr>
      <w:rPr>
        <w:rFonts w:hint="default"/>
        <w:lang w:val="en-US" w:eastAsia="en-US" w:bidi="en-US"/>
      </w:rPr>
    </w:lvl>
  </w:abstractNum>
  <w:abstractNum w:abstractNumId="8" w15:restartNumberingAfterBreak="0">
    <w:nsid w:val="13387406"/>
    <w:multiLevelType w:val="multilevel"/>
    <w:tmpl w:val="090EA0B0"/>
    <w:lvl w:ilvl="0">
      <w:start w:val="6"/>
      <w:numFmt w:val="decimal"/>
      <w:lvlText w:val="%1"/>
      <w:lvlJc w:val="left"/>
      <w:pPr>
        <w:ind w:left="826" w:hanging="567"/>
        <w:jc w:val="left"/>
      </w:pPr>
      <w:rPr>
        <w:rFonts w:hint="default"/>
        <w:lang w:val="en-US" w:eastAsia="en-US" w:bidi="en-US"/>
      </w:rPr>
    </w:lvl>
    <w:lvl w:ilvl="1">
      <w:start w:val="3"/>
      <w:numFmt w:val="decimal"/>
      <w:lvlText w:val="%1.%2"/>
      <w:lvlJc w:val="left"/>
      <w:pPr>
        <w:ind w:left="826" w:hanging="567"/>
        <w:jc w:val="left"/>
      </w:pPr>
      <w:rPr>
        <w:rFonts w:ascii="Times New Roman" w:eastAsia="Times New Roman" w:hAnsi="Times New Roman" w:cs="Times New Roman" w:hint="default"/>
        <w:b/>
        <w:bCs/>
        <w:spacing w:val="-4"/>
        <w:w w:val="100"/>
        <w:sz w:val="24"/>
        <w:szCs w:val="24"/>
        <w:lang w:val="en-US" w:eastAsia="en-US" w:bidi="en-US"/>
      </w:rPr>
    </w:lvl>
    <w:lvl w:ilvl="2">
      <w:start w:val="1"/>
      <w:numFmt w:val="decimal"/>
      <w:lvlText w:val="%1.%2.%3"/>
      <w:lvlJc w:val="left"/>
      <w:pPr>
        <w:ind w:left="1112" w:hanging="852"/>
        <w:jc w:val="left"/>
      </w:pPr>
      <w:rPr>
        <w:rFonts w:ascii="Times New Roman" w:eastAsia="Times New Roman" w:hAnsi="Times New Roman" w:cs="Times New Roman" w:hint="default"/>
        <w:spacing w:val="-8"/>
        <w:w w:val="99"/>
        <w:sz w:val="24"/>
        <w:szCs w:val="24"/>
        <w:lang w:val="en-US" w:eastAsia="en-US" w:bidi="en-US"/>
      </w:rPr>
    </w:lvl>
    <w:lvl w:ilvl="3">
      <w:numFmt w:val="bullet"/>
      <w:lvlText w:val="•"/>
      <w:lvlJc w:val="left"/>
      <w:pPr>
        <w:ind w:left="3130" w:hanging="852"/>
      </w:pPr>
      <w:rPr>
        <w:rFonts w:hint="default"/>
        <w:lang w:val="en-US" w:eastAsia="en-US" w:bidi="en-US"/>
      </w:rPr>
    </w:lvl>
    <w:lvl w:ilvl="4">
      <w:numFmt w:val="bullet"/>
      <w:lvlText w:val="•"/>
      <w:lvlJc w:val="left"/>
      <w:pPr>
        <w:ind w:left="4135" w:hanging="852"/>
      </w:pPr>
      <w:rPr>
        <w:rFonts w:hint="default"/>
        <w:lang w:val="en-US" w:eastAsia="en-US" w:bidi="en-US"/>
      </w:rPr>
    </w:lvl>
    <w:lvl w:ilvl="5">
      <w:numFmt w:val="bullet"/>
      <w:lvlText w:val="•"/>
      <w:lvlJc w:val="left"/>
      <w:pPr>
        <w:ind w:left="5140" w:hanging="852"/>
      </w:pPr>
      <w:rPr>
        <w:rFonts w:hint="default"/>
        <w:lang w:val="en-US" w:eastAsia="en-US" w:bidi="en-US"/>
      </w:rPr>
    </w:lvl>
    <w:lvl w:ilvl="6">
      <w:numFmt w:val="bullet"/>
      <w:lvlText w:val="•"/>
      <w:lvlJc w:val="left"/>
      <w:pPr>
        <w:ind w:left="6145" w:hanging="852"/>
      </w:pPr>
      <w:rPr>
        <w:rFonts w:hint="default"/>
        <w:lang w:val="en-US" w:eastAsia="en-US" w:bidi="en-US"/>
      </w:rPr>
    </w:lvl>
    <w:lvl w:ilvl="7">
      <w:numFmt w:val="bullet"/>
      <w:lvlText w:val="•"/>
      <w:lvlJc w:val="left"/>
      <w:pPr>
        <w:ind w:left="7150" w:hanging="852"/>
      </w:pPr>
      <w:rPr>
        <w:rFonts w:hint="default"/>
        <w:lang w:val="en-US" w:eastAsia="en-US" w:bidi="en-US"/>
      </w:rPr>
    </w:lvl>
    <w:lvl w:ilvl="8">
      <w:numFmt w:val="bullet"/>
      <w:lvlText w:val="•"/>
      <w:lvlJc w:val="left"/>
      <w:pPr>
        <w:ind w:left="8156" w:hanging="852"/>
      </w:pPr>
      <w:rPr>
        <w:rFonts w:hint="default"/>
        <w:lang w:val="en-US" w:eastAsia="en-US" w:bidi="en-US"/>
      </w:rPr>
    </w:lvl>
  </w:abstractNum>
  <w:abstractNum w:abstractNumId="9" w15:restartNumberingAfterBreak="0">
    <w:nsid w:val="13DE629A"/>
    <w:multiLevelType w:val="multilevel"/>
    <w:tmpl w:val="F7D42C48"/>
    <w:lvl w:ilvl="0">
      <w:start w:val="3"/>
      <w:numFmt w:val="decimal"/>
      <w:lvlText w:val="%1"/>
      <w:lvlJc w:val="left"/>
      <w:pPr>
        <w:ind w:left="1225" w:hanging="965"/>
        <w:jc w:val="left"/>
      </w:pPr>
      <w:rPr>
        <w:rFonts w:hint="default"/>
        <w:lang w:val="en-US" w:eastAsia="en-US" w:bidi="en-US"/>
      </w:rPr>
    </w:lvl>
    <w:lvl w:ilvl="1">
      <w:start w:val="17"/>
      <w:numFmt w:val="decimal"/>
      <w:lvlText w:val="%1.%2"/>
      <w:lvlJc w:val="left"/>
      <w:pPr>
        <w:ind w:left="1225" w:hanging="965"/>
        <w:jc w:val="left"/>
      </w:pPr>
      <w:rPr>
        <w:rFonts w:hint="default"/>
        <w:lang w:val="en-US" w:eastAsia="en-US" w:bidi="en-US"/>
      </w:rPr>
    </w:lvl>
    <w:lvl w:ilvl="2">
      <w:start w:val="1"/>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29"/>
        <w:w w:val="99"/>
        <w:sz w:val="24"/>
        <w:szCs w:val="24"/>
        <w:lang w:val="en-US" w:eastAsia="en-US" w:bidi="en-US"/>
      </w:rPr>
    </w:lvl>
    <w:lvl w:ilvl="4">
      <w:start w:val="1"/>
      <w:numFmt w:val="lowerRoman"/>
      <w:lvlText w:val="%5."/>
      <w:lvlJc w:val="left"/>
      <w:pPr>
        <w:ind w:left="2420" w:hanging="728"/>
        <w:jc w:val="right"/>
      </w:pPr>
      <w:rPr>
        <w:rFonts w:ascii="Times New Roman" w:eastAsia="Times New Roman" w:hAnsi="Times New Roman" w:cs="Times New Roman" w:hint="default"/>
        <w:spacing w:val="-2"/>
        <w:w w:val="99"/>
        <w:sz w:val="24"/>
        <w:szCs w:val="24"/>
        <w:lang w:val="en-US" w:eastAsia="en-US" w:bidi="en-US"/>
      </w:rPr>
    </w:lvl>
    <w:lvl w:ilvl="5">
      <w:numFmt w:val="bullet"/>
      <w:lvlText w:val="•"/>
      <w:lvlJc w:val="left"/>
      <w:pPr>
        <w:ind w:left="5738" w:hanging="728"/>
      </w:pPr>
      <w:rPr>
        <w:rFonts w:hint="default"/>
        <w:lang w:val="en-US" w:eastAsia="en-US" w:bidi="en-US"/>
      </w:rPr>
    </w:lvl>
    <w:lvl w:ilvl="6">
      <w:numFmt w:val="bullet"/>
      <w:lvlText w:val="•"/>
      <w:lvlJc w:val="left"/>
      <w:pPr>
        <w:ind w:left="6568" w:hanging="728"/>
      </w:pPr>
      <w:rPr>
        <w:rFonts w:hint="default"/>
        <w:lang w:val="en-US" w:eastAsia="en-US" w:bidi="en-US"/>
      </w:rPr>
    </w:lvl>
    <w:lvl w:ilvl="7">
      <w:numFmt w:val="bullet"/>
      <w:lvlText w:val="•"/>
      <w:lvlJc w:val="left"/>
      <w:pPr>
        <w:ind w:left="7397" w:hanging="728"/>
      </w:pPr>
      <w:rPr>
        <w:rFonts w:hint="default"/>
        <w:lang w:val="en-US" w:eastAsia="en-US" w:bidi="en-US"/>
      </w:rPr>
    </w:lvl>
    <w:lvl w:ilvl="8">
      <w:numFmt w:val="bullet"/>
      <w:lvlText w:val="•"/>
      <w:lvlJc w:val="left"/>
      <w:pPr>
        <w:ind w:left="8227" w:hanging="728"/>
      </w:pPr>
      <w:rPr>
        <w:rFonts w:hint="default"/>
        <w:lang w:val="en-US" w:eastAsia="en-US" w:bidi="en-US"/>
      </w:rPr>
    </w:lvl>
  </w:abstractNum>
  <w:abstractNum w:abstractNumId="10" w15:restartNumberingAfterBreak="0">
    <w:nsid w:val="13E20164"/>
    <w:multiLevelType w:val="multilevel"/>
    <w:tmpl w:val="46E8B574"/>
    <w:lvl w:ilvl="0">
      <w:start w:val="3"/>
      <w:numFmt w:val="decimal"/>
      <w:lvlText w:val="%1"/>
      <w:lvlJc w:val="left"/>
      <w:pPr>
        <w:ind w:left="1660" w:hanging="732"/>
        <w:jc w:val="left"/>
      </w:pPr>
      <w:rPr>
        <w:rFonts w:hint="default"/>
        <w:lang w:val="en-US" w:eastAsia="en-US" w:bidi="en-US"/>
      </w:rPr>
    </w:lvl>
    <w:lvl w:ilvl="1">
      <w:start w:val="2"/>
      <w:numFmt w:val="decimal"/>
      <w:lvlText w:val="%1.%2"/>
      <w:lvlJc w:val="left"/>
      <w:pPr>
        <w:ind w:left="1660" w:hanging="732"/>
        <w:jc w:val="left"/>
      </w:pPr>
      <w:rPr>
        <w:rFonts w:hint="default"/>
        <w:lang w:val="en-US" w:eastAsia="en-US" w:bidi="en-US"/>
      </w:rPr>
    </w:lvl>
    <w:lvl w:ilvl="2">
      <w:start w:val="6"/>
      <w:numFmt w:val="decimal"/>
      <w:lvlText w:val="%1.%2.%3"/>
      <w:lvlJc w:val="left"/>
      <w:pPr>
        <w:ind w:left="1660" w:hanging="732"/>
        <w:jc w:val="left"/>
      </w:pPr>
      <w:rPr>
        <w:rFonts w:hint="default"/>
        <w:lang w:val="en-US" w:eastAsia="en-US" w:bidi="en-US"/>
      </w:rPr>
    </w:lvl>
    <w:lvl w:ilvl="3">
      <w:start w:val="1"/>
      <w:numFmt w:val="decimal"/>
      <w:lvlText w:val="%1.%2.%3.%4"/>
      <w:lvlJc w:val="left"/>
      <w:pPr>
        <w:ind w:left="1660" w:hanging="732"/>
        <w:jc w:val="left"/>
      </w:pPr>
      <w:rPr>
        <w:rFonts w:ascii="Times New Roman" w:eastAsia="Times New Roman" w:hAnsi="Times New Roman" w:cs="Times New Roman" w:hint="default"/>
        <w:i/>
        <w:w w:val="100"/>
        <w:sz w:val="24"/>
        <w:szCs w:val="24"/>
        <w:lang w:val="en-US" w:eastAsia="en-US" w:bidi="en-US"/>
      </w:rPr>
    </w:lvl>
    <w:lvl w:ilvl="4">
      <w:numFmt w:val="bullet"/>
      <w:lvlText w:val="•"/>
      <w:lvlJc w:val="left"/>
      <w:pPr>
        <w:ind w:left="4783" w:hanging="732"/>
      </w:pPr>
      <w:rPr>
        <w:rFonts w:hint="default"/>
        <w:lang w:val="en-US" w:eastAsia="en-US" w:bidi="en-US"/>
      </w:rPr>
    </w:lvl>
    <w:lvl w:ilvl="5">
      <w:numFmt w:val="bullet"/>
      <w:lvlText w:val="•"/>
      <w:lvlJc w:val="left"/>
      <w:pPr>
        <w:ind w:left="5564" w:hanging="732"/>
      </w:pPr>
      <w:rPr>
        <w:rFonts w:hint="default"/>
        <w:lang w:val="en-US" w:eastAsia="en-US" w:bidi="en-US"/>
      </w:rPr>
    </w:lvl>
    <w:lvl w:ilvl="6">
      <w:numFmt w:val="bullet"/>
      <w:lvlText w:val="•"/>
      <w:lvlJc w:val="left"/>
      <w:pPr>
        <w:ind w:left="6345" w:hanging="732"/>
      </w:pPr>
      <w:rPr>
        <w:rFonts w:hint="default"/>
        <w:lang w:val="en-US" w:eastAsia="en-US" w:bidi="en-US"/>
      </w:rPr>
    </w:lvl>
    <w:lvl w:ilvl="7">
      <w:numFmt w:val="bullet"/>
      <w:lvlText w:val="•"/>
      <w:lvlJc w:val="left"/>
      <w:pPr>
        <w:ind w:left="7126" w:hanging="732"/>
      </w:pPr>
      <w:rPr>
        <w:rFonts w:hint="default"/>
        <w:lang w:val="en-US" w:eastAsia="en-US" w:bidi="en-US"/>
      </w:rPr>
    </w:lvl>
    <w:lvl w:ilvl="8">
      <w:numFmt w:val="bullet"/>
      <w:lvlText w:val="•"/>
      <w:lvlJc w:val="left"/>
      <w:pPr>
        <w:ind w:left="7907" w:hanging="732"/>
      </w:pPr>
      <w:rPr>
        <w:rFonts w:hint="default"/>
        <w:lang w:val="en-US" w:eastAsia="en-US" w:bidi="en-US"/>
      </w:rPr>
    </w:lvl>
  </w:abstractNum>
  <w:abstractNum w:abstractNumId="11" w15:restartNumberingAfterBreak="0">
    <w:nsid w:val="15C13D04"/>
    <w:multiLevelType w:val="hybridMultilevel"/>
    <w:tmpl w:val="149033A4"/>
    <w:lvl w:ilvl="0" w:tplc="7C1A88D8">
      <w:start w:val="1"/>
      <w:numFmt w:val="lowerLetter"/>
      <w:lvlText w:val="%1)"/>
      <w:lvlJc w:val="left"/>
      <w:pPr>
        <w:ind w:left="2312" w:hanging="360"/>
        <w:jc w:val="left"/>
      </w:pPr>
      <w:rPr>
        <w:rFonts w:ascii="Times New Roman" w:eastAsia="Times New Roman" w:hAnsi="Times New Roman" w:cs="Times New Roman" w:hint="default"/>
        <w:spacing w:val="-6"/>
        <w:w w:val="99"/>
        <w:sz w:val="24"/>
        <w:szCs w:val="24"/>
        <w:lang w:val="en-US" w:eastAsia="en-US" w:bidi="en-US"/>
      </w:rPr>
    </w:lvl>
    <w:lvl w:ilvl="1" w:tplc="46C20EAA">
      <w:numFmt w:val="bullet"/>
      <w:lvlText w:val="•"/>
      <w:lvlJc w:val="left"/>
      <w:pPr>
        <w:ind w:left="3218" w:hanging="360"/>
      </w:pPr>
      <w:rPr>
        <w:rFonts w:hint="default"/>
        <w:lang w:val="en-US" w:eastAsia="en-US" w:bidi="en-US"/>
      </w:rPr>
    </w:lvl>
    <w:lvl w:ilvl="2" w:tplc="0F1AD122">
      <w:numFmt w:val="bullet"/>
      <w:lvlText w:val="•"/>
      <w:lvlJc w:val="left"/>
      <w:pPr>
        <w:ind w:left="4117" w:hanging="360"/>
      </w:pPr>
      <w:rPr>
        <w:rFonts w:hint="default"/>
        <w:lang w:val="en-US" w:eastAsia="en-US" w:bidi="en-US"/>
      </w:rPr>
    </w:lvl>
    <w:lvl w:ilvl="3" w:tplc="8AC2D790">
      <w:numFmt w:val="bullet"/>
      <w:lvlText w:val="•"/>
      <w:lvlJc w:val="left"/>
      <w:pPr>
        <w:ind w:left="5015" w:hanging="360"/>
      </w:pPr>
      <w:rPr>
        <w:rFonts w:hint="default"/>
        <w:lang w:val="en-US" w:eastAsia="en-US" w:bidi="en-US"/>
      </w:rPr>
    </w:lvl>
    <w:lvl w:ilvl="4" w:tplc="553E851C">
      <w:numFmt w:val="bullet"/>
      <w:lvlText w:val="•"/>
      <w:lvlJc w:val="left"/>
      <w:pPr>
        <w:ind w:left="5914" w:hanging="360"/>
      </w:pPr>
      <w:rPr>
        <w:rFonts w:hint="default"/>
        <w:lang w:val="en-US" w:eastAsia="en-US" w:bidi="en-US"/>
      </w:rPr>
    </w:lvl>
    <w:lvl w:ilvl="5" w:tplc="E2F0CA12">
      <w:numFmt w:val="bullet"/>
      <w:lvlText w:val="•"/>
      <w:lvlJc w:val="left"/>
      <w:pPr>
        <w:ind w:left="6813" w:hanging="360"/>
      </w:pPr>
      <w:rPr>
        <w:rFonts w:hint="default"/>
        <w:lang w:val="en-US" w:eastAsia="en-US" w:bidi="en-US"/>
      </w:rPr>
    </w:lvl>
    <w:lvl w:ilvl="6" w:tplc="9C2CBCA0">
      <w:numFmt w:val="bullet"/>
      <w:lvlText w:val="•"/>
      <w:lvlJc w:val="left"/>
      <w:pPr>
        <w:ind w:left="7711" w:hanging="360"/>
      </w:pPr>
      <w:rPr>
        <w:rFonts w:hint="default"/>
        <w:lang w:val="en-US" w:eastAsia="en-US" w:bidi="en-US"/>
      </w:rPr>
    </w:lvl>
    <w:lvl w:ilvl="7" w:tplc="E6002850">
      <w:numFmt w:val="bullet"/>
      <w:lvlText w:val="•"/>
      <w:lvlJc w:val="left"/>
      <w:pPr>
        <w:ind w:left="8610" w:hanging="360"/>
      </w:pPr>
      <w:rPr>
        <w:rFonts w:hint="default"/>
        <w:lang w:val="en-US" w:eastAsia="en-US" w:bidi="en-US"/>
      </w:rPr>
    </w:lvl>
    <w:lvl w:ilvl="8" w:tplc="E9CCD492">
      <w:numFmt w:val="bullet"/>
      <w:lvlText w:val="•"/>
      <w:lvlJc w:val="left"/>
      <w:pPr>
        <w:ind w:left="9509" w:hanging="360"/>
      </w:pPr>
      <w:rPr>
        <w:rFonts w:hint="default"/>
        <w:lang w:val="en-US" w:eastAsia="en-US" w:bidi="en-US"/>
      </w:rPr>
    </w:lvl>
  </w:abstractNum>
  <w:abstractNum w:abstractNumId="12" w15:restartNumberingAfterBreak="0">
    <w:nsid w:val="173219C0"/>
    <w:multiLevelType w:val="hybridMultilevel"/>
    <w:tmpl w:val="3D345EC8"/>
    <w:lvl w:ilvl="0" w:tplc="A3B602BA">
      <w:start w:val="1"/>
      <w:numFmt w:val="lowerLetter"/>
      <w:lvlText w:val="(%1)"/>
      <w:lvlJc w:val="left"/>
      <w:pPr>
        <w:ind w:left="1660" w:hanging="461"/>
        <w:jc w:val="left"/>
      </w:pPr>
      <w:rPr>
        <w:rFonts w:ascii="Times New Roman" w:eastAsia="Times New Roman" w:hAnsi="Times New Roman" w:cs="Times New Roman" w:hint="default"/>
        <w:i/>
        <w:spacing w:val="-15"/>
        <w:w w:val="99"/>
        <w:sz w:val="24"/>
        <w:szCs w:val="24"/>
        <w:lang w:val="en-US" w:eastAsia="en-US" w:bidi="en-US"/>
      </w:rPr>
    </w:lvl>
    <w:lvl w:ilvl="1" w:tplc="E5F69D3A">
      <w:numFmt w:val="bullet"/>
      <w:lvlText w:val="•"/>
      <w:lvlJc w:val="left"/>
      <w:pPr>
        <w:ind w:left="2440" w:hanging="461"/>
      </w:pPr>
      <w:rPr>
        <w:rFonts w:hint="default"/>
        <w:lang w:val="en-US" w:eastAsia="en-US" w:bidi="en-US"/>
      </w:rPr>
    </w:lvl>
    <w:lvl w:ilvl="2" w:tplc="6170A19E">
      <w:numFmt w:val="bullet"/>
      <w:lvlText w:val="•"/>
      <w:lvlJc w:val="left"/>
      <w:pPr>
        <w:ind w:left="3221" w:hanging="461"/>
      </w:pPr>
      <w:rPr>
        <w:rFonts w:hint="default"/>
        <w:lang w:val="en-US" w:eastAsia="en-US" w:bidi="en-US"/>
      </w:rPr>
    </w:lvl>
    <w:lvl w:ilvl="3" w:tplc="C7742088">
      <w:numFmt w:val="bullet"/>
      <w:lvlText w:val="•"/>
      <w:lvlJc w:val="left"/>
      <w:pPr>
        <w:ind w:left="4002" w:hanging="461"/>
      </w:pPr>
      <w:rPr>
        <w:rFonts w:hint="default"/>
        <w:lang w:val="en-US" w:eastAsia="en-US" w:bidi="en-US"/>
      </w:rPr>
    </w:lvl>
    <w:lvl w:ilvl="4" w:tplc="4FE43AC0">
      <w:numFmt w:val="bullet"/>
      <w:lvlText w:val="•"/>
      <w:lvlJc w:val="left"/>
      <w:pPr>
        <w:ind w:left="4783" w:hanging="461"/>
      </w:pPr>
      <w:rPr>
        <w:rFonts w:hint="default"/>
        <w:lang w:val="en-US" w:eastAsia="en-US" w:bidi="en-US"/>
      </w:rPr>
    </w:lvl>
    <w:lvl w:ilvl="5" w:tplc="5384811C">
      <w:numFmt w:val="bullet"/>
      <w:lvlText w:val="•"/>
      <w:lvlJc w:val="left"/>
      <w:pPr>
        <w:ind w:left="5564" w:hanging="461"/>
      </w:pPr>
      <w:rPr>
        <w:rFonts w:hint="default"/>
        <w:lang w:val="en-US" w:eastAsia="en-US" w:bidi="en-US"/>
      </w:rPr>
    </w:lvl>
    <w:lvl w:ilvl="6" w:tplc="72AC91D4">
      <w:numFmt w:val="bullet"/>
      <w:lvlText w:val="•"/>
      <w:lvlJc w:val="left"/>
      <w:pPr>
        <w:ind w:left="6345" w:hanging="461"/>
      </w:pPr>
      <w:rPr>
        <w:rFonts w:hint="default"/>
        <w:lang w:val="en-US" w:eastAsia="en-US" w:bidi="en-US"/>
      </w:rPr>
    </w:lvl>
    <w:lvl w:ilvl="7" w:tplc="121409CA">
      <w:numFmt w:val="bullet"/>
      <w:lvlText w:val="•"/>
      <w:lvlJc w:val="left"/>
      <w:pPr>
        <w:ind w:left="7126" w:hanging="461"/>
      </w:pPr>
      <w:rPr>
        <w:rFonts w:hint="default"/>
        <w:lang w:val="en-US" w:eastAsia="en-US" w:bidi="en-US"/>
      </w:rPr>
    </w:lvl>
    <w:lvl w:ilvl="8" w:tplc="E7EC0690">
      <w:numFmt w:val="bullet"/>
      <w:lvlText w:val="•"/>
      <w:lvlJc w:val="left"/>
      <w:pPr>
        <w:ind w:left="7907" w:hanging="461"/>
      </w:pPr>
      <w:rPr>
        <w:rFonts w:hint="default"/>
        <w:lang w:val="en-US" w:eastAsia="en-US" w:bidi="en-US"/>
      </w:rPr>
    </w:lvl>
  </w:abstractNum>
  <w:abstractNum w:abstractNumId="13" w15:restartNumberingAfterBreak="0">
    <w:nsid w:val="17A82FB4"/>
    <w:multiLevelType w:val="hybridMultilevel"/>
    <w:tmpl w:val="6CDA7D04"/>
    <w:lvl w:ilvl="0" w:tplc="920A2F5E">
      <w:start w:val="1"/>
      <w:numFmt w:val="decimal"/>
      <w:lvlText w:val="%1."/>
      <w:lvlJc w:val="left"/>
      <w:pPr>
        <w:ind w:left="750" w:hanging="360"/>
        <w:jc w:val="right"/>
      </w:pPr>
      <w:rPr>
        <w:rFonts w:ascii="Arial" w:eastAsia="Arial" w:hAnsi="Arial" w:cs="Arial" w:hint="default"/>
        <w:spacing w:val="-1"/>
        <w:w w:val="99"/>
        <w:sz w:val="24"/>
        <w:szCs w:val="24"/>
        <w:lang w:val="en-US" w:eastAsia="en-US" w:bidi="en-US"/>
      </w:rPr>
    </w:lvl>
    <w:lvl w:ilvl="1" w:tplc="A64E6F4E">
      <w:numFmt w:val="bullet"/>
      <w:lvlText w:val="•"/>
      <w:lvlJc w:val="left"/>
      <w:pPr>
        <w:ind w:left="1621" w:hanging="360"/>
      </w:pPr>
      <w:rPr>
        <w:rFonts w:hint="default"/>
        <w:lang w:val="en-US" w:eastAsia="en-US" w:bidi="en-US"/>
      </w:rPr>
    </w:lvl>
    <w:lvl w:ilvl="2" w:tplc="5EBCBA30">
      <w:numFmt w:val="bullet"/>
      <w:lvlText w:val="•"/>
      <w:lvlJc w:val="left"/>
      <w:pPr>
        <w:ind w:left="2482" w:hanging="360"/>
      </w:pPr>
      <w:rPr>
        <w:rFonts w:hint="default"/>
        <w:lang w:val="en-US" w:eastAsia="en-US" w:bidi="en-US"/>
      </w:rPr>
    </w:lvl>
    <w:lvl w:ilvl="3" w:tplc="6A0269AE">
      <w:numFmt w:val="bullet"/>
      <w:lvlText w:val="•"/>
      <w:lvlJc w:val="left"/>
      <w:pPr>
        <w:ind w:left="3343" w:hanging="360"/>
      </w:pPr>
      <w:rPr>
        <w:rFonts w:hint="default"/>
        <w:lang w:val="en-US" w:eastAsia="en-US" w:bidi="en-US"/>
      </w:rPr>
    </w:lvl>
    <w:lvl w:ilvl="4" w:tplc="97C63472">
      <w:numFmt w:val="bullet"/>
      <w:lvlText w:val="•"/>
      <w:lvlJc w:val="left"/>
      <w:pPr>
        <w:ind w:left="4204" w:hanging="360"/>
      </w:pPr>
      <w:rPr>
        <w:rFonts w:hint="default"/>
        <w:lang w:val="en-US" w:eastAsia="en-US" w:bidi="en-US"/>
      </w:rPr>
    </w:lvl>
    <w:lvl w:ilvl="5" w:tplc="519C2AB4">
      <w:numFmt w:val="bullet"/>
      <w:lvlText w:val="•"/>
      <w:lvlJc w:val="left"/>
      <w:pPr>
        <w:ind w:left="5065" w:hanging="360"/>
      </w:pPr>
      <w:rPr>
        <w:rFonts w:hint="default"/>
        <w:lang w:val="en-US" w:eastAsia="en-US" w:bidi="en-US"/>
      </w:rPr>
    </w:lvl>
    <w:lvl w:ilvl="6" w:tplc="A0F0A656">
      <w:numFmt w:val="bullet"/>
      <w:lvlText w:val="•"/>
      <w:lvlJc w:val="left"/>
      <w:pPr>
        <w:ind w:left="5926" w:hanging="360"/>
      </w:pPr>
      <w:rPr>
        <w:rFonts w:hint="default"/>
        <w:lang w:val="en-US" w:eastAsia="en-US" w:bidi="en-US"/>
      </w:rPr>
    </w:lvl>
    <w:lvl w:ilvl="7" w:tplc="DB92FACC">
      <w:numFmt w:val="bullet"/>
      <w:lvlText w:val="•"/>
      <w:lvlJc w:val="left"/>
      <w:pPr>
        <w:ind w:left="6787" w:hanging="360"/>
      </w:pPr>
      <w:rPr>
        <w:rFonts w:hint="default"/>
        <w:lang w:val="en-US" w:eastAsia="en-US" w:bidi="en-US"/>
      </w:rPr>
    </w:lvl>
    <w:lvl w:ilvl="8" w:tplc="1CB6D1D0">
      <w:numFmt w:val="bullet"/>
      <w:lvlText w:val="•"/>
      <w:lvlJc w:val="left"/>
      <w:pPr>
        <w:ind w:left="7648" w:hanging="360"/>
      </w:pPr>
      <w:rPr>
        <w:rFonts w:hint="default"/>
        <w:lang w:val="en-US" w:eastAsia="en-US" w:bidi="en-US"/>
      </w:rPr>
    </w:lvl>
  </w:abstractNum>
  <w:abstractNum w:abstractNumId="14" w15:restartNumberingAfterBreak="0">
    <w:nsid w:val="17A84274"/>
    <w:multiLevelType w:val="hybridMultilevel"/>
    <w:tmpl w:val="4162C7EC"/>
    <w:lvl w:ilvl="0" w:tplc="1EA02834">
      <w:numFmt w:val="bullet"/>
      <w:lvlText w:val=""/>
      <w:lvlJc w:val="left"/>
      <w:pPr>
        <w:ind w:left="1772" w:hanging="288"/>
      </w:pPr>
      <w:rPr>
        <w:rFonts w:ascii="Symbol" w:eastAsia="Symbol" w:hAnsi="Symbol" w:cs="Symbol" w:hint="default"/>
        <w:w w:val="100"/>
        <w:sz w:val="24"/>
        <w:szCs w:val="24"/>
        <w:lang w:val="en-US" w:eastAsia="en-US" w:bidi="en-US"/>
      </w:rPr>
    </w:lvl>
    <w:lvl w:ilvl="1" w:tplc="D2605B8E">
      <w:numFmt w:val="bullet"/>
      <w:lvlText w:val="•"/>
      <w:lvlJc w:val="left"/>
      <w:pPr>
        <w:ind w:left="2618" w:hanging="288"/>
      </w:pPr>
      <w:rPr>
        <w:rFonts w:hint="default"/>
        <w:lang w:val="en-US" w:eastAsia="en-US" w:bidi="en-US"/>
      </w:rPr>
    </w:lvl>
    <w:lvl w:ilvl="2" w:tplc="CFEAC40A">
      <w:numFmt w:val="bullet"/>
      <w:lvlText w:val="•"/>
      <w:lvlJc w:val="left"/>
      <w:pPr>
        <w:ind w:left="3457" w:hanging="288"/>
      </w:pPr>
      <w:rPr>
        <w:rFonts w:hint="default"/>
        <w:lang w:val="en-US" w:eastAsia="en-US" w:bidi="en-US"/>
      </w:rPr>
    </w:lvl>
    <w:lvl w:ilvl="3" w:tplc="70C000C4">
      <w:numFmt w:val="bullet"/>
      <w:lvlText w:val="•"/>
      <w:lvlJc w:val="left"/>
      <w:pPr>
        <w:ind w:left="4295" w:hanging="288"/>
      </w:pPr>
      <w:rPr>
        <w:rFonts w:hint="default"/>
        <w:lang w:val="en-US" w:eastAsia="en-US" w:bidi="en-US"/>
      </w:rPr>
    </w:lvl>
    <w:lvl w:ilvl="4" w:tplc="D2CA4CA0">
      <w:numFmt w:val="bullet"/>
      <w:lvlText w:val="•"/>
      <w:lvlJc w:val="left"/>
      <w:pPr>
        <w:ind w:left="5134" w:hanging="288"/>
      </w:pPr>
      <w:rPr>
        <w:rFonts w:hint="default"/>
        <w:lang w:val="en-US" w:eastAsia="en-US" w:bidi="en-US"/>
      </w:rPr>
    </w:lvl>
    <w:lvl w:ilvl="5" w:tplc="F1C83CCE">
      <w:numFmt w:val="bullet"/>
      <w:lvlText w:val="•"/>
      <w:lvlJc w:val="left"/>
      <w:pPr>
        <w:ind w:left="5973" w:hanging="288"/>
      </w:pPr>
      <w:rPr>
        <w:rFonts w:hint="default"/>
        <w:lang w:val="en-US" w:eastAsia="en-US" w:bidi="en-US"/>
      </w:rPr>
    </w:lvl>
    <w:lvl w:ilvl="6" w:tplc="355A21B2">
      <w:numFmt w:val="bullet"/>
      <w:lvlText w:val="•"/>
      <w:lvlJc w:val="left"/>
      <w:pPr>
        <w:ind w:left="6811" w:hanging="288"/>
      </w:pPr>
      <w:rPr>
        <w:rFonts w:hint="default"/>
        <w:lang w:val="en-US" w:eastAsia="en-US" w:bidi="en-US"/>
      </w:rPr>
    </w:lvl>
    <w:lvl w:ilvl="7" w:tplc="EF2C211A">
      <w:numFmt w:val="bullet"/>
      <w:lvlText w:val="•"/>
      <w:lvlJc w:val="left"/>
      <w:pPr>
        <w:ind w:left="7650" w:hanging="288"/>
      </w:pPr>
      <w:rPr>
        <w:rFonts w:hint="default"/>
        <w:lang w:val="en-US" w:eastAsia="en-US" w:bidi="en-US"/>
      </w:rPr>
    </w:lvl>
    <w:lvl w:ilvl="8" w:tplc="577A391A">
      <w:numFmt w:val="bullet"/>
      <w:lvlText w:val="•"/>
      <w:lvlJc w:val="left"/>
      <w:pPr>
        <w:ind w:left="8489" w:hanging="288"/>
      </w:pPr>
      <w:rPr>
        <w:rFonts w:hint="default"/>
        <w:lang w:val="en-US" w:eastAsia="en-US" w:bidi="en-US"/>
      </w:rPr>
    </w:lvl>
  </w:abstractNum>
  <w:abstractNum w:abstractNumId="15" w15:restartNumberingAfterBreak="0">
    <w:nsid w:val="17D036FC"/>
    <w:multiLevelType w:val="hybridMultilevel"/>
    <w:tmpl w:val="2ACE6664"/>
    <w:lvl w:ilvl="0" w:tplc="88EA15CA">
      <w:start w:val="1"/>
      <w:numFmt w:val="decimal"/>
      <w:lvlText w:val="(%1)"/>
      <w:lvlJc w:val="left"/>
      <w:pPr>
        <w:ind w:left="2319" w:hanging="339"/>
        <w:jc w:val="left"/>
      </w:pPr>
      <w:rPr>
        <w:rFonts w:ascii="Times New Roman" w:eastAsia="Times New Roman" w:hAnsi="Times New Roman" w:cs="Times New Roman" w:hint="default"/>
        <w:i/>
        <w:spacing w:val="-4"/>
        <w:w w:val="99"/>
        <w:sz w:val="24"/>
        <w:szCs w:val="24"/>
        <w:lang w:val="en-US" w:eastAsia="en-US" w:bidi="en-US"/>
      </w:rPr>
    </w:lvl>
    <w:lvl w:ilvl="1" w:tplc="6A9C76AA">
      <w:numFmt w:val="bullet"/>
      <w:lvlText w:val="•"/>
      <w:lvlJc w:val="left"/>
      <w:pPr>
        <w:ind w:left="3126" w:hanging="339"/>
      </w:pPr>
      <w:rPr>
        <w:rFonts w:hint="default"/>
        <w:lang w:val="en-US" w:eastAsia="en-US" w:bidi="en-US"/>
      </w:rPr>
    </w:lvl>
    <w:lvl w:ilvl="2" w:tplc="CB0AC91A">
      <w:numFmt w:val="bullet"/>
      <w:lvlText w:val="•"/>
      <w:lvlJc w:val="left"/>
      <w:pPr>
        <w:ind w:left="3933" w:hanging="339"/>
      </w:pPr>
      <w:rPr>
        <w:rFonts w:hint="default"/>
        <w:lang w:val="en-US" w:eastAsia="en-US" w:bidi="en-US"/>
      </w:rPr>
    </w:lvl>
    <w:lvl w:ilvl="3" w:tplc="8F7275BA">
      <w:numFmt w:val="bullet"/>
      <w:lvlText w:val="•"/>
      <w:lvlJc w:val="left"/>
      <w:pPr>
        <w:ind w:left="4739" w:hanging="339"/>
      </w:pPr>
      <w:rPr>
        <w:rFonts w:hint="default"/>
        <w:lang w:val="en-US" w:eastAsia="en-US" w:bidi="en-US"/>
      </w:rPr>
    </w:lvl>
    <w:lvl w:ilvl="4" w:tplc="C6066F10">
      <w:numFmt w:val="bullet"/>
      <w:lvlText w:val="•"/>
      <w:lvlJc w:val="left"/>
      <w:pPr>
        <w:ind w:left="5546" w:hanging="339"/>
      </w:pPr>
      <w:rPr>
        <w:rFonts w:hint="default"/>
        <w:lang w:val="en-US" w:eastAsia="en-US" w:bidi="en-US"/>
      </w:rPr>
    </w:lvl>
    <w:lvl w:ilvl="5" w:tplc="1C08B268">
      <w:numFmt w:val="bullet"/>
      <w:lvlText w:val="•"/>
      <w:lvlJc w:val="left"/>
      <w:pPr>
        <w:ind w:left="6353" w:hanging="339"/>
      </w:pPr>
      <w:rPr>
        <w:rFonts w:hint="default"/>
        <w:lang w:val="en-US" w:eastAsia="en-US" w:bidi="en-US"/>
      </w:rPr>
    </w:lvl>
    <w:lvl w:ilvl="6" w:tplc="EEF8639E">
      <w:numFmt w:val="bullet"/>
      <w:lvlText w:val="•"/>
      <w:lvlJc w:val="left"/>
      <w:pPr>
        <w:ind w:left="7159" w:hanging="339"/>
      </w:pPr>
      <w:rPr>
        <w:rFonts w:hint="default"/>
        <w:lang w:val="en-US" w:eastAsia="en-US" w:bidi="en-US"/>
      </w:rPr>
    </w:lvl>
    <w:lvl w:ilvl="7" w:tplc="38DCDE20">
      <w:numFmt w:val="bullet"/>
      <w:lvlText w:val="•"/>
      <w:lvlJc w:val="left"/>
      <w:pPr>
        <w:ind w:left="7966" w:hanging="339"/>
      </w:pPr>
      <w:rPr>
        <w:rFonts w:hint="default"/>
        <w:lang w:val="en-US" w:eastAsia="en-US" w:bidi="en-US"/>
      </w:rPr>
    </w:lvl>
    <w:lvl w:ilvl="8" w:tplc="1F5C8F0A">
      <w:numFmt w:val="bullet"/>
      <w:lvlText w:val="•"/>
      <w:lvlJc w:val="left"/>
      <w:pPr>
        <w:ind w:left="8773" w:hanging="339"/>
      </w:pPr>
      <w:rPr>
        <w:rFonts w:hint="default"/>
        <w:lang w:val="en-US" w:eastAsia="en-US" w:bidi="en-US"/>
      </w:rPr>
    </w:lvl>
  </w:abstractNum>
  <w:abstractNum w:abstractNumId="16" w15:restartNumberingAfterBreak="0">
    <w:nsid w:val="186918E5"/>
    <w:multiLevelType w:val="hybridMultilevel"/>
    <w:tmpl w:val="9472807A"/>
    <w:lvl w:ilvl="0" w:tplc="525E4112">
      <w:start w:val="1"/>
      <w:numFmt w:val="lowerRoman"/>
      <w:lvlText w:val="(%1)"/>
      <w:lvlJc w:val="left"/>
      <w:pPr>
        <w:ind w:left="2381" w:hanging="721"/>
        <w:jc w:val="left"/>
      </w:pPr>
      <w:rPr>
        <w:rFonts w:ascii="Times New Roman" w:eastAsia="Times New Roman" w:hAnsi="Times New Roman" w:cs="Times New Roman" w:hint="default"/>
        <w:i/>
        <w:spacing w:val="-4"/>
        <w:w w:val="99"/>
        <w:sz w:val="24"/>
        <w:szCs w:val="24"/>
        <w:lang w:val="en-US" w:eastAsia="en-US" w:bidi="en-US"/>
      </w:rPr>
    </w:lvl>
    <w:lvl w:ilvl="1" w:tplc="A8880ABA">
      <w:numFmt w:val="bullet"/>
      <w:lvlText w:val="•"/>
      <w:lvlJc w:val="left"/>
      <w:pPr>
        <w:ind w:left="3088" w:hanging="721"/>
      </w:pPr>
      <w:rPr>
        <w:rFonts w:hint="default"/>
        <w:lang w:val="en-US" w:eastAsia="en-US" w:bidi="en-US"/>
      </w:rPr>
    </w:lvl>
    <w:lvl w:ilvl="2" w:tplc="CD3618B2">
      <w:numFmt w:val="bullet"/>
      <w:lvlText w:val="•"/>
      <w:lvlJc w:val="left"/>
      <w:pPr>
        <w:ind w:left="3797" w:hanging="721"/>
      </w:pPr>
      <w:rPr>
        <w:rFonts w:hint="default"/>
        <w:lang w:val="en-US" w:eastAsia="en-US" w:bidi="en-US"/>
      </w:rPr>
    </w:lvl>
    <w:lvl w:ilvl="3" w:tplc="B3AA24DC">
      <w:numFmt w:val="bullet"/>
      <w:lvlText w:val="•"/>
      <w:lvlJc w:val="left"/>
      <w:pPr>
        <w:ind w:left="4506" w:hanging="721"/>
      </w:pPr>
      <w:rPr>
        <w:rFonts w:hint="default"/>
        <w:lang w:val="en-US" w:eastAsia="en-US" w:bidi="en-US"/>
      </w:rPr>
    </w:lvl>
    <w:lvl w:ilvl="4" w:tplc="5672E0EA">
      <w:numFmt w:val="bullet"/>
      <w:lvlText w:val="•"/>
      <w:lvlJc w:val="left"/>
      <w:pPr>
        <w:ind w:left="5215" w:hanging="721"/>
      </w:pPr>
      <w:rPr>
        <w:rFonts w:hint="default"/>
        <w:lang w:val="en-US" w:eastAsia="en-US" w:bidi="en-US"/>
      </w:rPr>
    </w:lvl>
    <w:lvl w:ilvl="5" w:tplc="1BB69A40">
      <w:numFmt w:val="bullet"/>
      <w:lvlText w:val="•"/>
      <w:lvlJc w:val="left"/>
      <w:pPr>
        <w:ind w:left="5924" w:hanging="721"/>
      </w:pPr>
      <w:rPr>
        <w:rFonts w:hint="default"/>
        <w:lang w:val="en-US" w:eastAsia="en-US" w:bidi="en-US"/>
      </w:rPr>
    </w:lvl>
    <w:lvl w:ilvl="6" w:tplc="F7565598">
      <w:numFmt w:val="bullet"/>
      <w:lvlText w:val="•"/>
      <w:lvlJc w:val="left"/>
      <w:pPr>
        <w:ind w:left="6633" w:hanging="721"/>
      </w:pPr>
      <w:rPr>
        <w:rFonts w:hint="default"/>
        <w:lang w:val="en-US" w:eastAsia="en-US" w:bidi="en-US"/>
      </w:rPr>
    </w:lvl>
    <w:lvl w:ilvl="7" w:tplc="F900163A">
      <w:numFmt w:val="bullet"/>
      <w:lvlText w:val="•"/>
      <w:lvlJc w:val="left"/>
      <w:pPr>
        <w:ind w:left="7342" w:hanging="721"/>
      </w:pPr>
      <w:rPr>
        <w:rFonts w:hint="default"/>
        <w:lang w:val="en-US" w:eastAsia="en-US" w:bidi="en-US"/>
      </w:rPr>
    </w:lvl>
    <w:lvl w:ilvl="8" w:tplc="1942795C">
      <w:numFmt w:val="bullet"/>
      <w:lvlText w:val="•"/>
      <w:lvlJc w:val="left"/>
      <w:pPr>
        <w:ind w:left="8051" w:hanging="721"/>
      </w:pPr>
      <w:rPr>
        <w:rFonts w:hint="default"/>
        <w:lang w:val="en-US" w:eastAsia="en-US" w:bidi="en-US"/>
      </w:rPr>
    </w:lvl>
  </w:abstractNum>
  <w:abstractNum w:abstractNumId="17" w15:restartNumberingAfterBreak="0">
    <w:nsid w:val="19341DB0"/>
    <w:multiLevelType w:val="hybridMultilevel"/>
    <w:tmpl w:val="5D90F9C2"/>
    <w:lvl w:ilvl="0" w:tplc="33188070">
      <w:start w:val="1"/>
      <w:numFmt w:val="lowerLetter"/>
      <w:lvlText w:val="%1)"/>
      <w:lvlJc w:val="left"/>
      <w:pPr>
        <w:ind w:left="1497" w:hanging="284"/>
        <w:jc w:val="left"/>
      </w:pPr>
      <w:rPr>
        <w:rFonts w:ascii="Times New Roman" w:eastAsia="Times New Roman" w:hAnsi="Times New Roman" w:cs="Times New Roman" w:hint="default"/>
        <w:spacing w:val="-23"/>
        <w:w w:val="99"/>
        <w:sz w:val="24"/>
        <w:szCs w:val="24"/>
        <w:lang w:val="en-US" w:eastAsia="en-US" w:bidi="en-US"/>
      </w:rPr>
    </w:lvl>
    <w:lvl w:ilvl="1" w:tplc="F08A8744">
      <w:numFmt w:val="bullet"/>
      <w:lvlText w:val="•"/>
      <w:lvlJc w:val="left"/>
      <w:pPr>
        <w:ind w:left="2296" w:hanging="284"/>
      </w:pPr>
      <w:rPr>
        <w:rFonts w:hint="default"/>
        <w:lang w:val="en-US" w:eastAsia="en-US" w:bidi="en-US"/>
      </w:rPr>
    </w:lvl>
    <w:lvl w:ilvl="2" w:tplc="B77C9224">
      <w:numFmt w:val="bullet"/>
      <w:lvlText w:val="•"/>
      <w:lvlJc w:val="left"/>
      <w:pPr>
        <w:ind w:left="3093" w:hanging="284"/>
      </w:pPr>
      <w:rPr>
        <w:rFonts w:hint="default"/>
        <w:lang w:val="en-US" w:eastAsia="en-US" w:bidi="en-US"/>
      </w:rPr>
    </w:lvl>
    <w:lvl w:ilvl="3" w:tplc="DECCC922">
      <w:numFmt w:val="bullet"/>
      <w:lvlText w:val="•"/>
      <w:lvlJc w:val="left"/>
      <w:pPr>
        <w:ind w:left="3890" w:hanging="284"/>
      </w:pPr>
      <w:rPr>
        <w:rFonts w:hint="default"/>
        <w:lang w:val="en-US" w:eastAsia="en-US" w:bidi="en-US"/>
      </w:rPr>
    </w:lvl>
    <w:lvl w:ilvl="4" w:tplc="A7FE3A74">
      <w:numFmt w:val="bullet"/>
      <w:lvlText w:val="•"/>
      <w:lvlJc w:val="left"/>
      <w:pPr>
        <w:ind w:left="4687" w:hanging="284"/>
      </w:pPr>
      <w:rPr>
        <w:rFonts w:hint="default"/>
        <w:lang w:val="en-US" w:eastAsia="en-US" w:bidi="en-US"/>
      </w:rPr>
    </w:lvl>
    <w:lvl w:ilvl="5" w:tplc="CE9236D2">
      <w:numFmt w:val="bullet"/>
      <w:lvlText w:val="•"/>
      <w:lvlJc w:val="left"/>
      <w:pPr>
        <w:ind w:left="5484" w:hanging="284"/>
      </w:pPr>
      <w:rPr>
        <w:rFonts w:hint="default"/>
        <w:lang w:val="en-US" w:eastAsia="en-US" w:bidi="en-US"/>
      </w:rPr>
    </w:lvl>
    <w:lvl w:ilvl="6" w:tplc="657CCD94">
      <w:numFmt w:val="bullet"/>
      <w:lvlText w:val="•"/>
      <w:lvlJc w:val="left"/>
      <w:pPr>
        <w:ind w:left="6281" w:hanging="284"/>
      </w:pPr>
      <w:rPr>
        <w:rFonts w:hint="default"/>
        <w:lang w:val="en-US" w:eastAsia="en-US" w:bidi="en-US"/>
      </w:rPr>
    </w:lvl>
    <w:lvl w:ilvl="7" w:tplc="20B068E6">
      <w:numFmt w:val="bullet"/>
      <w:lvlText w:val="•"/>
      <w:lvlJc w:val="left"/>
      <w:pPr>
        <w:ind w:left="7078" w:hanging="284"/>
      </w:pPr>
      <w:rPr>
        <w:rFonts w:hint="default"/>
        <w:lang w:val="en-US" w:eastAsia="en-US" w:bidi="en-US"/>
      </w:rPr>
    </w:lvl>
    <w:lvl w:ilvl="8" w:tplc="B71E92A2">
      <w:numFmt w:val="bullet"/>
      <w:lvlText w:val="•"/>
      <w:lvlJc w:val="left"/>
      <w:pPr>
        <w:ind w:left="7875" w:hanging="284"/>
      </w:pPr>
      <w:rPr>
        <w:rFonts w:hint="default"/>
        <w:lang w:val="en-US" w:eastAsia="en-US" w:bidi="en-US"/>
      </w:rPr>
    </w:lvl>
  </w:abstractNum>
  <w:abstractNum w:abstractNumId="18" w15:restartNumberingAfterBreak="0">
    <w:nsid w:val="19923ECE"/>
    <w:multiLevelType w:val="hybridMultilevel"/>
    <w:tmpl w:val="4D4E2FA4"/>
    <w:lvl w:ilvl="0" w:tplc="355ECA9A">
      <w:start w:val="1"/>
      <w:numFmt w:val="decimal"/>
      <w:lvlText w:val="(%1)"/>
      <w:lvlJc w:val="left"/>
      <w:pPr>
        <w:ind w:left="2065" w:hanging="355"/>
        <w:jc w:val="left"/>
      </w:pPr>
      <w:rPr>
        <w:rFonts w:ascii="Times New Roman" w:eastAsia="Times New Roman" w:hAnsi="Times New Roman" w:cs="Times New Roman" w:hint="default"/>
        <w:w w:val="99"/>
        <w:sz w:val="24"/>
        <w:szCs w:val="24"/>
        <w:lang w:val="en-US" w:eastAsia="en-US" w:bidi="en-US"/>
      </w:rPr>
    </w:lvl>
    <w:lvl w:ilvl="1" w:tplc="27788A5A">
      <w:numFmt w:val="bullet"/>
      <w:lvlText w:val="•"/>
      <w:lvlJc w:val="left"/>
      <w:pPr>
        <w:ind w:left="2984" w:hanging="355"/>
      </w:pPr>
      <w:rPr>
        <w:rFonts w:hint="default"/>
        <w:lang w:val="en-US" w:eastAsia="en-US" w:bidi="en-US"/>
      </w:rPr>
    </w:lvl>
    <w:lvl w:ilvl="2" w:tplc="1CA8DE1E">
      <w:numFmt w:val="bullet"/>
      <w:lvlText w:val="•"/>
      <w:lvlJc w:val="left"/>
      <w:pPr>
        <w:ind w:left="3909" w:hanging="355"/>
      </w:pPr>
      <w:rPr>
        <w:rFonts w:hint="default"/>
        <w:lang w:val="en-US" w:eastAsia="en-US" w:bidi="en-US"/>
      </w:rPr>
    </w:lvl>
    <w:lvl w:ilvl="3" w:tplc="CE88F002">
      <w:numFmt w:val="bullet"/>
      <w:lvlText w:val="•"/>
      <w:lvlJc w:val="left"/>
      <w:pPr>
        <w:ind w:left="4833" w:hanging="355"/>
      </w:pPr>
      <w:rPr>
        <w:rFonts w:hint="default"/>
        <w:lang w:val="en-US" w:eastAsia="en-US" w:bidi="en-US"/>
      </w:rPr>
    </w:lvl>
    <w:lvl w:ilvl="4" w:tplc="3BB02C0A">
      <w:numFmt w:val="bullet"/>
      <w:lvlText w:val="•"/>
      <w:lvlJc w:val="left"/>
      <w:pPr>
        <w:ind w:left="5758" w:hanging="355"/>
      </w:pPr>
      <w:rPr>
        <w:rFonts w:hint="default"/>
        <w:lang w:val="en-US" w:eastAsia="en-US" w:bidi="en-US"/>
      </w:rPr>
    </w:lvl>
    <w:lvl w:ilvl="5" w:tplc="CE82EAD0">
      <w:numFmt w:val="bullet"/>
      <w:lvlText w:val="•"/>
      <w:lvlJc w:val="left"/>
      <w:pPr>
        <w:ind w:left="6683" w:hanging="355"/>
      </w:pPr>
      <w:rPr>
        <w:rFonts w:hint="default"/>
        <w:lang w:val="en-US" w:eastAsia="en-US" w:bidi="en-US"/>
      </w:rPr>
    </w:lvl>
    <w:lvl w:ilvl="6" w:tplc="E2F0A174">
      <w:numFmt w:val="bullet"/>
      <w:lvlText w:val="•"/>
      <w:lvlJc w:val="left"/>
      <w:pPr>
        <w:ind w:left="7607" w:hanging="355"/>
      </w:pPr>
      <w:rPr>
        <w:rFonts w:hint="default"/>
        <w:lang w:val="en-US" w:eastAsia="en-US" w:bidi="en-US"/>
      </w:rPr>
    </w:lvl>
    <w:lvl w:ilvl="7" w:tplc="76A87794">
      <w:numFmt w:val="bullet"/>
      <w:lvlText w:val="•"/>
      <w:lvlJc w:val="left"/>
      <w:pPr>
        <w:ind w:left="8532" w:hanging="355"/>
      </w:pPr>
      <w:rPr>
        <w:rFonts w:hint="default"/>
        <w:lang w:val="en-US" w:eastAsia="en-US" w:bidi="en-US"/>
      </w:rPr>
    </w:lvl>
    <w:lvl w:ilvl="8" w:tplc="0E4A9E0C">
      <w:numFmt w:val="bullet"/>
      <w:lvlText w:val="•"/>
      <w:lvlJc w:val="left"/>
      <w:pPr>
        <w:ind w:left="9457" w:hanging="355"/>
      </w:pPr>
      <w:rPr>
        <w:rFonts w:hint="default"/>
        <w:lang w:val="en-US" w:eastAsia="en-US" w:bidi="en-US"/>
      </w:rPr>
    </w:lvl>
  </w:abstractNum>
  <w:abstractNum w:abstractNumId="19" w15:restartNumberingAfterBreak="0">
    <w:nsid w:val="1A7068C0"/>
    <w:multiLevelType w:val="hybridMultilevel"/>
    <w:tmpl w:val="952EB298"/>
    <w:lvl w:ilvl="0" w:tplc="FA449F88">
      <w:numFmt w:val="bullet"/>
      <w:lvlText w:val=""/>
      <w:lvlJc w:val="left"/>
      <w:pPr>
        <w:ind w:left="1732" w:hanging="288"/>
      </w:pPr>
      <w:rPr>
        <w:rFonts w:ascii="Symbol" w:eastAsia="Symbol" w:hAnsi="Symbol" w:cs="Symbol" w:hint="default"/>
        <w:w w:val="100"/>
        <w:sz w:val="24"/>
        <w:szCs w:val="24"/>
        <w:lang w:val="en-US" w:eastAsia="en-US" w:bidi="en-US"/>
      </w:rPr>
    </w:lvl>
    <w:lvl w:ilvl="1" w:tplc="B3787BC2">
      <w:numFmt w:val="bullet"/>
      <w:lvlText w:val="•"/>
      <w:lvlJc w:val="left"/>
      <w:pPr>
        <w:ind w:left="2512" w:hanging="288"/>
      </w:pPr>
      <w:rPr>
        <w:rFonts w:hint="default"/>
        <w:lang w:val="en-US" w:eastAsia="en-US" w:bidi="en-US"/>
      </w:rPr>
    </w:lvl>
    <w:lvl w:ilvl="2" w:tplc="2CF056D4">
      <w:numFmt w:val="bullet"/>
      <w:lvlText w:val="•"/>
      <w:lvlJc w:val="left"/>
      <w:pPr>
        <w:ind w:left="3285" w:hanging="288"/>
      </w:pPr>
      <w:rPr>
        <w:rFonts w:hint="default"/>
        <w:lang w:val="en-US" w:eastAsia="en-US" w:bidi="en-US"/>
      </w:rPr>
    </w:lvl>
    <w:lvl w:ilvl="3" w:tplc="9C1A3596">
      <w:numFmt w:val="bullet"/>
      <w:lvlText w:val="•"/>
      <w:lvlJc w:val="left"/>
      <w:pPr>
        <w:ind w:left="4058" w:hanging="288"/>
      </w:pPr>
      <w:rPr>
        <w:rFonts w:hint="default"/>
        <w:lang w:val="en-US" w:eastAsia="en-US" w:bidi="en-US"/>
      </w:rPr>
    </w:lvl>
    <w:lvl w:ilvl="4" w:tplc="2D30D3F6">
      <w:numFmt w:val="bullet"/>
      <w:lvlText w:val="•"/>
      <w:lvlJc w:val="left"/>
      <w:pPr>
        <w:ind w:left="4831" w:hanging="288"/>
      </w:pPr>
      <w:rPr>
        <w:rFonts w:hint="default"/>
        <w:lang w:val="en-US" w:eastAsia="en-US" w:bidi="en-US"/>
      </w:rPr>
    </w:lvl>
    <w:lvl w:ilvl="5" w:tplc="09C4F76C">
      <w:numFmt w:val="bullet"/>
      <w:lvlText w:val="•"/>
      <w:lvlJc w:val="left"/>
      <w:pPr>
        <w:ind w:left="5604" w:hanging="288"/>
      </w:pPr>
      <w:rPr>
        <w:rFonts w:hint="default"/>
        <w:lang w:val="en-US" w:eastAsia="en-US" w:bidi="en-US"/>
      </w:rPr>
    </w:lvl>
    <w:lvl w:ilvl="6" w:tplc="9B7C74E6">
      <w:numFmt w:val="bullet"/>
      <w:lvlText w:val="•"/>
      <w:lvlJc w:val="left"/>
      <w:pPr>
        <w:ind w:left="6377" w:hanging="288"/>
      </w:pPr>
      <w:rPr>
        <w:rFonts w:hint="default"/>
        <w:lang w:val="en-US" w:eastAsia="en-US" w:bidi="en-US"/>
      </w:rPr>
    </w:lvl>
    <w:lvl w:ilvl="7" w:tplc="1B1C6160">
      <w:numFmt w:val="bullet"/>
      <w:lvlText w:val="•"/>
      <w:lvlJc w:val="left"/>
      <w:pPr>
        <w:ind w:left="7150" w:hanging="288"/>
      </w:pPr>
      <w:rPr>
        <w:rFonts w:hint="default"/>
        <w:lang w:val="en-US" w:eastAsia="en-US" w:bidi="en-US"/>
      </w:rPr>
    </w:lvl>
    <w:lvl w:ilvl="8" w:tplc="348C42BC">
      <w:numFmt w:val="bullet"/>
      <w:lvlText w:val="•"/>
      <w:lvlJc w:val="left"/>
      <w:pPr>
        <w:ind w:left="7923" w:hanging="288"/>
      </w:pPr>
      <w:rPr>
        <w:rFonts w:hint="default"/>
        <w:lang w:val="en-US" w:eastAsia="en-US" w:bidi="en-US"/>
      </w:rPr>
    </w:lvl>
  </w:abstractNum>
  <w:abstractNum w:abstractNumId="20" w15:restartNumberingAfterBreak="0">
    <w:nsid w:val="1C0B76AC"/>
    <w:multiLevelType w:val="hybridMultilevel"/>
    <w:tmpl w:val="D2BE6C6E"/>
    <w:lvl w:ilvl="0" w:tplc="565A1B24">
      <w:start w:val="1"/>
      <w:numFmt w:val="decimal"/>
      <w:lvlText w:val="%1)"/>
      <w:lvlJc w:val="left"/>
      <w:pPr>
        <w:ind w:left="1410" w:hanging="569"/>
        <w:jc w:val="left"/>
      </w:pPr>
      <w:rPr>
        <w:rFonts w:ascii="Times New Roman" w:eastAsia="Times New Roman" w:hAnsi="Times New Roman" w:cs="Times New Roman" w:hint="default"/>
        <w:spacing w:val="-5"/>
        <w:w w:val="99"/>
        <w:sz w:val="24"/>
        <w:szCs w:val="24"/>
        <w:lang w:val="en-US" w:eastAsia="en-US" w:bidi="en-US"/>
      </w:rPr>
    </w:lvl>
    <w:lvl w:ilvl="1" w:tplc="7B587B42">
      <w:start w:val="1"/>
      <w:numFmt w:val="decimal"/>
      <w:lvlText w:val="%2)"/>
      <w:lvlJc w:val="left"/>
      <w:pPr>
        <w:ind w:left="1559" w:hanging="360"/>
        <w:jc w:val="left"/>
      </w:pPr>
      <w:rPr>
        <w:rFonts w:ascii="Arial" w:eastAsia="Arial" w:hAnsi="Arial" w:cs="Arial" w:hint="default"/>
        <w:w w:val="99"/>
        <w:sz w:val="24"/>
        <w:szCs w:val="24"/>
        <w:lang w:val="en-US" w:eastAsia="en-US" w:bidi="en-US"/>
      </w:rPr>
    </w:lvl>
    <w:lvl w:ilvl="2" w:tplc="1038A380">
      <w:numFmt w:val="bullet"/>
      <w:lvlText w:val="•"/>
      <w:lvlJc w:val="left"/>
      <w:pPr>
        <w:ind w:left="2454" w:hanging="360"/>
      </w:pPr>
      <w:rPr>
        <w:rFonts w:hint="default"/>
        <w:lang w:val="en-US" w:eastAsia="en-US" w:bidi="en-US"/>
      </w:rPr>
    </w:lvl>
    <w:lvl w:ilvl="3" w:tplc="D846B5EE">
      <w:numFmt w:val="bullet"/>
      <w:lvlText w:val="•"/>
      <w:lvlJc w:val="left"/>
      <w:pPr>
        <w:ind w:left="3348" w:hanging="360"/>
      </w:pPr>
      <w:rPr>
        <w:rFonts w:hint="default"/>
        <w:lang w:val="en-US" w:eastAsia="en-US" w:bidi="en-US"/>
      </w:rPr>
    </w:lvl>
    <w:lvl w:ilvl="4" w:tplc="1814FBF0">
      <w:numFmt w:val="bullet"/>
      <w:lvlText w:val="•"/>
      <w:lvlJc w:val="left"/>
      <w:pPr>
        <w:ind w:left="4242" w:hanging="360"/>
      </w:pPr>
      <w:rPr>
        <w:rFonts w:hint="default"/>
        <w:lang w:val="en-US" w:eastAsia="en-US" w:bidi="en-US"/>
      </w:rPr>
    </w:lvl>
    <w:lvl w:ilvl="5" w:tplc="DDA21A1A">
      <w:numFmt w:val="bullet"/>
      <w:lvlText w:val="•"/>
      <w:lvlJc w:val="left"/>
      <w:pPr>
        <w:ind w:left="5136" w:hanging="360"/>
      </w:pPr>
      <w:rPr>
        <w:rFonts w:hint="default"/>
        <w:lang w:val="en-US" w:eastAsia="en-US" w:bidi="en-US"/>
      </w:rPr>
    </w:lvl>
    <w:lvl w:ilvl="6" w:tplc="BEC62630">
      <w:numFmt w:val="bullet"/>
      <w:lvlText w:val="•"/>
      <w:lvlJc w:val="left"/>
      <w:pPr>
        <w:ind w:left="6030" w:hanging="360"/>
      </w:pPr>
      <w:rPr>
        <w:rFonts w:hint="default"/>
        <w:lang w:val="en-US" w:eastAsia="en-US" w:bidi="en-US"/>
      </w:rPr>
    </w:lvl>
    <w:lvl w:ilvl="7" w:tplc="46463BD0">
      <w:numFmt w:val="bullet"/>
      <w:lvlText w:val="•"/>
      <w:lvlJc w:val="left"/>
      <w:pPr>
        <w:ind w:left="6924" w:hanging="360"/>
      </w:pPr>
      <w:rPr>
        <w:rFonts w:hint="default"/>
        <w:lang w:val="en-US" w:eastAsia="en-US" w:bidi="en-US"/>
      </w:rPr>
    </w:lvl>
    <w:lvl w:ilvl="8" w:tplc="2BEE8DDE">
      <w:numFmt w:val="bullet"/>
      <w:lvlText w:val="•"/>
      <w:lvlJc w:val="left"/>
      <w:pPr>
        <w:ind w:left="7818" w:hanging="360"/>
      </w:pPr>
      <w:rPr>
        <w:rFonts w:hint="default"/>
        <w:lang w:val="en-US" w:eastAsia="en-US" w:bidi="en-US"/>
      </w:rPr>
    </w:lvl>
  </w:abstractNum>
  <w:abstractNum w:abstractNumId="21" w15:restartNumberingAfterBreak="0">
    <w:nsid w:val="1C3963B5"/>
    <w:multiLevelType w:val="multilevel"/>
    <w:tmpl w:val="B8A8A658"/>
    <w:lvl w:ilvl="0">
      <w:start w:val="6"/>
      <w:numFmt w:val="decimal"/>
      <w:lvlText w:val="%1"/>
      <w:lvlJc w:val="left"/>
      <w:pPr>
        <w:ind w:left="1225" w:hanging="965"/>
        <w:jc w:val="left"/>
      </w:pPr>
      <w:rPr>
        <w:rFonts w:hint="default"/>
        <w:lang w:val="en-US" w:eastAsia="en-US" w:bidi="en-US"/>
      </w:rPr>
    </w:lvl>
    <w:lvl w:ilvl="1">
      <w:start w:val="2"/>
      <w:numFmt w:val="decimal"/>
      <w:lvlText w:val="%1.%2"/>
      <w:lvlJc w:val="left"/>
      <w:pPr>
        <w:ind w:left="1225" w:hanging="965"/>
        <w:jc w:val="left"/>
      </w:pPr>
      <w:rPr>
        <w:rFonts w:hint="default"/>
        <w:lang w:val="en-US" w:eastAsia="en-US" w:bidi="en-US"/>
      </w:rPr>
    </w:lvl>
    <w:lvl w:ilvl="2">
      <w:start w:val="5"/>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30"/>
        <w:w w:val="99"/>
        <w:sz w:val="24"/>
        <w:szCs w:val="24"/>
        <w:lang w:val="en-US" w:eastAsia="en-US" w:bidi="en-US"/>
      </w:rPr>
    </w:lvl>
    <w:lvl w:ilvl="4">
      <w:numFmt w:val="bullet"/>
      <w:lvlText w:val="•"/>
      <w:lvlJc w:val="left"/>
      <w:pPr>
        <w:ind w:left="4798" w:hanging="965"/>
      </w:pPr>
      <w:rPr>
        <w:rFonts w:hint="default"/>
        <w:lang w:val="en-US" w:eastAsia="en-US" w:bidi="en-US"/>
      </w:rPr>
    </w:lvl>
    <w:lvl w:ilvl="5">
      <w:numFmt w:val="bullet"/>
      <w:lvlText w:val="•"/>
      <w:lvlJc w:val="left"/>
      <w:pPr>
        <w:ind w:left="5693" w:hanging="965"/>
      </w:pPr>
      <w:rPr>
        <w:rFonts w:hint="default"/>
        <w:lang w:val="en-US" w:eastAsia="en-US" w:bidi="en-US"/>
      </w:rPr>
    </w:lvl>
    <w:lvl w:ilvl="6">
      <w:numFmt w:val="bullet"/>
      <w:lvlText w:val="•"/>
      <w:lvlJc w:val="left"/>
      <w:pPr>
        <w:ind w:left="6587" w:hanging="965"/>
      </w:pPr>
      <w:rPr>
        <w:rFonts w:hint="default"/>
        <w:lang w:val="en-US" w:eastAsia="en-US" w:bidi="en-US"/>
      </w:rPr>
    </w:lvl>
    <w:lvl w:ilvl="7">
      <w:numFmt w:val="bullet"/>
      <w:lvlText w:val="•"/>
      <w:lvlJc w:val="left"/>
      <w:pPr>
        <w:ind w:left="7482" w:hanging="965"/>
      </w:pPr>
      <w:rPr>
        <w:rFonts w:hint="default"/>
        <w:lang w:val="en-US" w:eastAsia="en-US" w:bidi="en-US"/>
      </w:rPr>
    </w:lvl>
    <w:lvl w:ilvl="8">
      <w:numFmt w:val="bullet"/>
      <w:lvlText w:val="•"/>
      <w:lvlJc w:val="left"/>
      <w:pPr>
        <w:ind w:left="8377" w:hanging="965"/>
      </w:pPr>
      <w:rPr>
        <w:rFonts w:hint="default"/>
        <w:lang w:val="en-US" w:eastAsia="en-US" w:bidi="en-US"/>
      </w:rPr>
    </w:lvl>
  </w:abstractNum>
  <w:abstractNum w:abstractNumId="22" w15:restartNumberingAfterBreak="0">
    <w:nsid w:val="1F8155B5"/>
    <w:multiLevelType w:val="multilevel"/>
    <w:tmpl w:val="305EEAE2"/>
    <w:lvl w:ilvl="0">
      <w:start w:val="3"/>
      <w:numFmt w:val="decimal"/>
      <w:lvlText w:val="%1"/>
      <w:lvlJc w:val="left"/>
      <w:pPr>
        <w:ind w:left="1544" w:hanging="965"/>
        <w:jc w:val="left"/>
      </w:pPr>
      <w:rPr>
        <w:rFonts w:hint="default"/>
        <w:lang w:val="en-US" w:eastAsia="en-US" w:bidi="en-US"/>
      </w:rPr>
    </w:lvl>
    <w:lvl w:ilvl="1">
      <w:start w:val="3"/>
      <w:numFmt w:val="decimal"/>
      <w:lvlText w:val="%1.%2"/>
      <w:lvlJc w:val="left"/>
      <w:pPr>
        <w:ind w:left="1544" w:hanging="965"/>
        <w:jc w:val="left"/>
      </w:pPr>
      <w:rPr>
        <w:rFonts w:hint="default"/>
        <w:lang w:val="en-US" w:eastAsia="en-US" w:bidi="en-US"/>
      </w:rPr>
    </w:lvl>
    <w:lvl w:ilvl="2">
      <w:start w:val="4"/>
      <w:numFmt w:val="decimal"/>
      <w:lvlText w:val="%1.%2.%3"/>
      <w:lvlJc w:val="left"/>
      <w:pPr>
        <w:ind w:left="1544" w:hanging="965"/>
        <w:jc w:val="left"/>
      </w:pPr>
      <w:rPr>
        <w:rFonts w:hint="default"/>
        <w:lang w:val="en-US" w:eastAsia="en-US" w:bidi="en-US"/>
      </w:rPr>
    </w:lvl>
    <w:lvl w:ilvl="3">
      <w:start w:val="1"/>
      <w:numFmt w:val="decimal"/>
      <w:lvlText w:val="%1.%2.%3.%4"/>
      <w:lvlJc w:val="left"/>
      <w:pPr>
        <w:ind w:left="1544" w:hanging="965"/>
        <w:jc w:val="left"/>
      </w:pPr>
      <w:rPr>
        <w:rFonts w:ascii="Times New Roman" w:eastAsia="Times New Roman" w:hAnsi="Times New Roman" w:cs="Times New Roman" w:hint="default"/>
        <w:spacing w:val="-10"/>
        <w:w w:val="99"/>
        <w:sz w:val="24"/>
        <w:szCs w:val="24"/>
        <w:lang w:val="en-US" w:eastAsia="en-US" w:bidi="en-US"/>
      </w:rPr>
    </w:lvl>
    <w:lvl w:ilvl="4">
      <w:numFmt w:val="bullet"/>
      <w:lvlText w:val="•"/>
      <w:lvlJc w:val="left"/>
      <w:pPr>
        <w:ind w:left="5158" w:hanging="965"/>
      </w:pPr>
      <w:rPr>
        <w:rFonts w:hint="default"/>
        <w:lang w:val="en-US" w:eastAsia="en-US" w:bidi="en-US"/>
      </w:rPr>
    </w:lvl>
    <w:lvl w:ilvl="5">
      <w:numFmt w:val="bullet"/>
      <w:lvlText w:val="•"/>
      <w:lvlJc w:val="left"/>
      <w:pPr>
        <w:ind w:left="6063" w:hanging="965"/>
      </w:pPr>
      <w:rPr>
        <w:rFonts w:hint="default"/>
        <w:lang w:val="en-US" w:eastAsia="en-US" w:bidi="en-US"/>
      </w:rPr>
    </w:lvl>
    <w:lvl w:ilvl="6">
      <w:numFmt w:val="bullet"/>
      <w:lvlText w:val="•"/>
      <w:lvlJc w:val="left"/>
      <w:pPr>
        <w:ind w:left="6967" w:hanging="965"/>
      </w:pPr>
      <w:rPr>
        <w:rFonts w:hint="default"/>
        <w:lang w:val="en-US" w:eastAsia="en-US" w:bidi="en-US"/>
      </w:rPr>
    </w:lvl>
    <w:lvl w:ilvl="7">
      <w:numFmt w:val="bullet"/>
      <w:lvlText w:val="•"/>
      <w:lvlJc w:val="left"/>
      <w:pPr>
        <w:ind w:left="7872" w:hanging="965"/>
      </w:pPr>
      <w:rPr>
        <w:rFonts w:hint="default"/>
        <w:lang w:val="en-US" w:eastAsia="en-US" w:bidi="en-US"/>
      </w:rPr>
    </w:lvl>
    <w:lvl w:ilvl="8">
      <w:numFmt w:val="bullet"/>
      <w:lvlText w:val="•"/>
      <w:lvlJc w:val="left"/>
      <w:pPr>
        <w:ind w:left="8777" w:hanging="965"/>
      </w:pPr>
      <w:rPr>
        <w:rFonts w:hint="default"/>
        <w:lang w:val="en-US" w:eastAsia="en-US" w:bidi="en-US"/>
      </w:rPr>
    </w:lvl>
  </w:abstractNum>
  <w:abstractNum w:abstractNumId="23" w15:restartNumberingAfterBreak="0">
    <w:nsid w:val="1FCF7155"/>
    <w:multiLevelType w:val="hybridMultilevel"/>
    <w:tmpl w:val="2076946E"/>
    <w:lvl w:ilvl="0" w:tplc="C162831A">
      <w:start w:val="1"/>
      <w:numFmt w:val="lowerLetter"/>
      <w:lvlText w:val="(%1)"/>
      <w:lvlJc w:val="left"/>
      <w:pPr>
        <w:ind w:left="1998" w:hanging="339"/>
        <w:jc w:val="left"/>
      </w:pPr>
      <w:rPr>
        <w:rFonts w:ascii="Times New Roman" w:eastAsia="Times New Roman" w:hAnsi="Times New Roman" w:cs="Times New Roman" w:hint="default"/>
        <w:i/>
        <w:spacing w:val="-4"/>
        <w:w w:val="99"/>
        <w:sz w:val="24"/>
        <w:szCs w:val="24"/>
        <w:lang w:val="en-US" w:eastAsia="en-US" w:bidi="en-US"/>
      </w:rPr>
    </w:lvl>
    <w:lvl w:ilvl="1" w:tplc="DB18BB3A">
      <w:numFmt w:val="bullet"/>
      <w:lvlText w:val="•"/>
      <w:lvlJc w:val="left"/>
      <w:pPr>
        <w:ind w:left="2754" w:hanging="339"/>
      </w:pPr>
      <w:rPr>
        <w:rFonts w:hint="default"/>
        <w:lang w:val="en-US" w:eastAsia="en-US" w:bidi="en-US"/>
      </w:rPr>
    </w:lvl>
    <w:lvl w:ilvl="2" w:tplc="4702A048">
      <w:numFmt w:val="bullet"/>
      <w:lvlText w:val="•"/>
      <w:lvlJc w:val="left"/>
      <w:pPr>
        <w:ind w:left="3509" w:hanging="339"/>
      </w:pPr>
      <w:rPr>
        <w:rFonts w:hint="default"/>
        <w:lang w:val="en-US" w:eastAsia="en-US" w:bidi="en-US"/>
      </w:rPr>
    </w:lvl>
    <w:lvl w:ilvl="3" w:tplc="568C8ABA">
      <w:numFmt w:val="bullet"/>
      <w:lvlText w:val="•"/>
      <w:lvlJc w:val="left"/>
      <w:pPr>
        <w:ind w:left="4263" w:hanging="339"/>
      </w:pPr>
      <w:rPr>
        <w:rFonts w:hint="default"/>
        <w:lang w:val="en-US" w:eastAsia="en-US" w:bidi="en-US"/>
      </w:rPr>
    </w:lvl>
    <w:lvl w:ilvl="4" w:tplc="9B26886E">
      <w:numFmt w:val="bullet"/>
      <w:lvlText w:val="•"/>
      <w:lvlJc w:val="left"/>
      <w:pPr>
        <w:ind w:left="5018" w:hanging="339"/>
      </w:pPr>
      <w:rPr>
        <w:rFonts w:hint="default"/>
        <w:lang w:val="en-US" w:eastAsia="en-US" w:bidi="en-US"/>
      </w:rPr>
    </w:lvl>
    <w:lvl w:ilvl="5" w:tplc="4E4420B6">
      <w:numFmt w:val="bullet"/>
      <w:lvlText w:val="•"/>
      <w:lvlJc w:val="left"/>
      <w:pPr>
        <w:ind w:left="5773" w:hanging="339"/>
      </w:pPr>
      <w:rPr>
        <w:rFonts w:hint="default"/>
        <w:lang w:val="en-US" w:eastAsia="en-US" w:bidi="en-US"/>
      </w:rPr>
    </w:lvl>
    <w:lvl w:ilvl="6" w:tplc="6A0E2DEA">
      <w:numFmt w:val="bullet"/>
      <w:lvlText w:val="•"/>
      <w:lvlJc w:val="left"/>
      <w:pPr>
        <w:ind w:left="6527" w:hanging="339"/>
      </w:pPr>
      <w:rPr>
        <w:rFonts w:hint="default"/>
        <w:lang w:val="en-US" w:eastAsia="en-US" w:bidi="en-US"/>
      </w:rPr>
    </w:lvl>
    <w:lvl w:ilvl="7" w:tplc="E7E0150E">
      <w:numFmt w:val="bullet"/>
      <w:lvlText w:val="•"/>
      <w:lvlJc w:val="left"/>
      <w:pPr>
        <w:ind w:left="7282" w:hanging="339"/>
      </w:pPr>
      <w:rPr>
        <w:rFonts w:hint="default"/>
        <w:lang w:val="en-US" w:eastAsia="en-US" w:bidi="en-US"/>
      </w:rPr>
    </w:lvl>
    <w:lvl w:ilvl="8" w:tplc="223A7AF4">
      <w:numFmt w:val="bullet"/>
      <w:lvlText w:val="•"/>
      <w:lvlJc w:val="left"/>
      <w:pPr>
        <w:ind w:left="8037" w:hanging="339"/>
      </w:pPr>
      <w:rPr>
        <w:rFonts w:hint="default"/>
        <w:lang w:val="en-US" w:eastAsia="en-US" w:bidi="en-US"/>
      </w:rPr>
    </w:lvl>
  </w:abstractNum>
  <w:abstractNum w:abstractNumId="24" w15:restartNumberingAfterBreak="0">
    <w:nsid w:val="203D0376"/>
    <w:multiLevelType w:val="hybridMultilevel"/>
    <w:tmpl w:val="D116BE5A"/>
    <w:lvl w:ilvl="0" w:tplc="1D7217BC">
      <w:start w:val="1"/>
      <w:numFmt w:val="lowerRoman"/>
      <w:lvlText w:val="(%1)"/>
      <w:lvlJc w:val="left"/>
      <w:pPr>
        <w:ind w:left="2105" w:hanging="425"/>
        <w:jc w:val="left"/>
      </w:pPr>
      <w:rPr>
        <w:rFonts w:ascii="Times New Roman" w:eastAsia="Times New Roman" w:hAnsi="Times New Roman" w:cs="Times New Roman" w:hint="default"/>
        <w:i/>
        <w:spacing w:val="-2"/>
        <w:w w:val="100"/>
        <w:sz w:val="22"/>
        <w:szCs w:val="22"/>
        <w:lang w:val="en-US" w:eastAsia="en-US" w:bidi="en-US"/>
      </w:rPr>
    </w:lvl>
    <w:lvl w:ilvl="1" w:tplc="E21041DE">
      <w:start w:val="1"/>
      <w:numFmt w:val="lowerLetter"/>
      <w:lvlText w:val="(%2)"/>
      <w:lvlJc w:val="left"/>
      <w:pPr>
        <w:ind w:left="2280" w:hanging="360"/>
        <w:jc w:val="left"/>
      </w:pPr>
      <w:rPr>
        <w:rFonts w:ascii="Times New Roman" w:eastAsia="Times New Roman" w:hAnsi="Times New Roman" w:cs="Times New Roman" w:hint="default"/>
        <w:i/>
        <w:spacing w:val="-2"/>
        <w:w w:val="100"/>
        <w:sz w:val="22"/>
        <w:szCs w:val="22"/>
        <w:lang w:val="en-US" w:eastAsia="en-US" w:bidi="en-US"/>
      </w:rPr>
    </w:lvl>
    <w:lvl w:ilvl="2" w:tplc="3D9CE888">
      <w:numFmt w:val="bullet"/>
      <w:lvlText w:val="•"/>
      <w:lvlJc w:val="left"/>
      <w:pPr>
        <w:ind w:left="3089" w:hanging="360"/>
      </w:pPr>
      <w:rPr>
        <w:rFonts w:hint="default"/>
        <w:lang w:val="en-US" w:eastAsia="en-US" w:bidi="en-US"/>
      </w:rPr>
    </w:lvl>
    <w:lvl w:ilvl="3" w:tplc="41244D32">
      <w:numFmt w:val="bullet"/>
      <w:lvlText w:val="•"/>
      <w:lvlJc w:val="left"/>
      <w:pPr>
        <w:ind w:left="3899" w:hanging="360"/>
      </w:pPr>
      <w:rPr>
        <w:rFonts w:hint="default"/>
        <w:lang w:val="en-US" w:eastAsia="en-US" w:bidi="en-US"/>
      </w:rPr>
    </w:lvl>
    <w:lvl w:ilvl="4" w:tplc="F0882170">
      <w:numFmt w:val="bullet"/>
      <w:lvlText w:val="•"/>
      <w:lvlJc w:val="left"/>
      <w:pPr>
        <w:ind w:left="4708" w:hanging="360"/>
      </w:pPr>
      <w:rPr>
        <w:rFonts w:hint="default"/>
        <w:lang w:val="en-US" w:eastAsia="en-US" w:bidi="en-US"/>
      </w:rPr>
    </w:lvl>
    <w:lvl w:ilvl="5" w:tplc="1A1AC702">
      <w:numFmt w:val="bullet"/>
      <w:lvlText w:val="•"/>
      <w:lvlJc w:val="left"/>
      <w:pPr>
        <w:ind w:left="5518" w:hanging="360"/>
      </w:pPr>
      <w:rPr>
        <w:rFonts w:hint="default"/>
        <w:lang w:val="en-US" w:eastAsia="en-US" w:bidi="en-US"/>
      </w:rPr>
    </w:lvl>
    <w:lvl w:ilvl="6" w:tplc="50E264F6">
      <w:numFmt w:val="bullet"/>
      <w:lvlText w:val="•"/>
      <w:lvlJc w:val="left"/>
      <w:pPr>
        <w:ind w:left="6328" w:hanging="360"/>
      </w:pPr>
      <w:rPr>
        <w:rFonts w:hint="default"/>
        <w:lang w:val="en-US" w:eastAsia="en-US" w:bidi="en-US"/>
      </w:rPr>
    </w:lvl>
    <w:lvl w:ilvl="7" w:tplc="945066B2">
      <w:numFmt w:val="bullet"/>
      <w:lvlText w:val="•"/>
      <w:lvlJc w:val="left"/>
      <w:pPr>
        <w:ind w:left="7137" w:hanging="360"/>
      </w:pPr>
      <w:rPr>
        <w:rFonts w:hint="default"/>
        <w:lang w:val="en-US" w:eastAsia="en-US" w:bidi="en-US"/>
      </w:rPr>
    </w:lvl>
    <w:lvl w:ilvl="8" w:tplc="21ECBCC8">
      <w:numFmt w:val="bullet"/>
      <w:lvlText w:val="•"/>
      <w:lvlJc w:val="left"/>
      <w:pPr>
        <w:ind w:left="7947" w:hanging="360"/>
      </w:pPr>
      <w:rPr>
        <w:rFonts w:hint="default"/>
        <w:lang w:val="en-US" w:eastAsia="en-US" w:bidi="en-US"/>
      </w:rPr>
    </w:lvl>
  </w:abstractNum>
  <w:abstractNum w:abstractNumId="25" w15:restartNumberingAfterBreak="0">
    <w:nsid w:val="204C30B3"/>
    <w:multiLevelType w:val="multilevel"/>
    <w:tmpl w:val="9AC896D8"/>
    <w:lvl w:ilvl="0">
      <w:start w:val="4"/>
      <w:numFmt w:val="decimal"/>
      <w:lvlText w:val="%1"/>
      <w:lvlJc w:val="left"/>
      <w:pPr>
        <w:ind w:left="1505" w:hanging="965"/>
        <w:jc w:val="left"/>
      </w:pPr>
      <w:rPr>
        <w:rFonts w:hint="default"/>
        <w:lang w:val="en-US" w:eastAsia="en-US" w:bidi="en-US"/>
      </w:rPr>
    </w:lvl>
    <w:lvl w:ilvl="1">
      <w:start w:val="3"/>
      <w:numFmt w:val="decimal"/>
      <w:lvlText w:val="%1.%2"/>
      <w:lvlJc w:val="left"/>
      <w:pPr>
        <w:ind w:left="1505" w:hanging="965"/>
        <w:jc w:val="left"/>
      </w:pPr>
      <w:rPr>
        <w:rFonts w:hint="default"/>
        <w:lang w:val="en-US" w:eastAsia="en-US" w:bidi="en-US"/>
      </w:rPr>
    </w:lvl>
    <w:lvl w:ilvl="2">
      <w:start w:val="1"/>
      <w:numFmt w:val="decimal"/>
      <w:lvlText w:val="%1.%2.%3"/>
      <w:lvlJc w:val="left"/>
      <w:pPr>
        <w:ind w:left="1505" w:hanging="965"/>
        <w:jc w:val="left"/>
      </w:pPr>
      <w:rPr>
        <w:rFonts w:hint="default"/>
        <w:lang w:val="en-US" w:eastAsia="en-US" w:bidi="en-US"/>
      </w:rPr>
    </w:lvl>
    <w:lvl w:ilvl="3">
      <w:start w:val="1"/>
      <w:numFmt w:val="decimal"/>
      <w:lvlText w:val="%1.%2.%3.%4"/>
      <w:lvlJc w:val="left"/>
      <w:pPr>
        <w:ind w:left="1505" w:hanging="965"/>
        <w:jc w:val="left"/>
      </w:pPr>
      <w:rPr>
        <w:rFonts w:ascii="Times New Roman" w:eastAsia="Times New Roman" w:hAnsi="Times New Roman" w:cs="Times New Roman" w:hint="default"/>
        <w:spacing w:val="-5"/>
        <w:w w:val="99"/>
        <w:sz w:val="24"/>
        <w:szCs w:val="24"/>
        <w:lang w:val="en-US" w:eastAsia="en-US" w:bidi="en-US"/>
      </w:rPr>
    </w:lvl>
    <w:lvl w:ilvl="4">
      <w:numFmt w:val="bullet"/>
      <w:lvlText w:val="•"/>
      <w:lvlJc w:val="left"/>
      <w:pPr>
        <w:ind w:left="5054" w:hanging="965"/>
      </w:pPr>
      <w:rPr>
        <w:rFonts w:hint="default"/>
        <w:lang w:val="en-US" w:eastAsia="en-US" w:bidi="en-US"/>
      </w:rPr>
    </w:lvl>
    <w:lvl w:ilvl="5">
      <w:numFmt w:val="bullet"/>
      <w:lvlText w:val="•"/>
      <w:lvlJc w:val="left"/>
      <w:pPr>
        <w:ind w:left="5943" w:hanging="965"/>
      </w:pPr>
      <w:rPr>
        <w:rFonts w:hint="default"/>
        <w:lang w:val="en-US" w:eastAsia="en-US" w:bidi="en-US"/>
      </w:rPr>
    </w:lvl>
    <w:lvl w:ilvl="6">
      <w:numFmt w:val="bullet"/>
      <w:lvlText w:val="•"/>
      <w:lvlJc w:val="left"/>
      <w:pPr>
        <w:ind w:left="6831" w:hanging="965"/>
      </w:pPr>
      <w:rPr>
        <w:rFonts w:hint="default"/>
        <w:lang w:val="en-US" w:eastAsia="en-US" w:bidi="en-US"/>
      </w:rPr>
    </w:lvl>
    <w:lvl w:ilvl="7">
      <w:numFmt w:val="bullet"/>
      <w:lvlText w:val="•"/>
      <w:lvlJc w:val="left"/>
      <w:pPr>
        <w:ind w:left="7720" w:hanging="965"/>
      </w:pPr>
      <w:rPr>
        <w:rFonts w:hint="default"/>
        <w:lang w:val="en-US" w:eastAsia="en-US" w:bidi="en-US"/>
      </w:rPr>
    </w:lvl>
    <w:lvl w:ilvl="8">
      <w:numFmt w:val="bullet"/>
      <w:lvlText w:val="•"/>
      <w:lvlJc w:val="left"/>
      <w:pPr>
        <w:ind w:left="8609" w:hanging="965"/>
      </w:pPr>
      <w:rPr>
        <w:rFonts w:hint="default"/>
        <w:lang w:val="en-US" w:eastAsia="en-US" w:bidi="en-US"/>
      </w:rPr>
    </w:lvl>
  </w:abstractNum>
  <w:abstractNum w:abstractNumId="26" w15:restartNumberingAfterBreak="0">
    <w:nsid w:val="206A3C5C"/>
    <w:multiLevelType w:val="hybridMultilevel"/>
    <w:tmpl w:val="D0B415DA"/>
    <w:lvl w:ilvl="0" w:tplc="A372CC88">
      <w:start w:val="1"/>
      <w:numFmt w:val="lowerLetter"/>
      <w:lvlText w:val="%1."/>
      <w:lvlJc w:val="left"/>
      <w:pPr>
        <w:ind w:left="1632" w:hanging="240"/>
        <w:jc w:val="left"/>
      </w:pPr>
      <w:rPr>
        <w:rFonts w:ascii="Times New Roman" w:eastAsia="Times New Roman" w:hAnsi="Times New Roman" w:cs="Times New Roman" w:hint="default"/>
        <w:b/>
        <w:bCs/>
        <w:spacing w:val="-4"/>
        <w:w w:val="99"/>
        <w:sz w:val="24"/>
        <w:szCs w:val="24"/>
        <w:lang w:val="en-US" w:eastAsia="en-US" w:bidi="en-US"/>
      </w:rPr>
    </w:lvl>
    <w:lvl w:ilvl="1" w:tplc="20CCBAA6">
      <w:numFmt w:val="bullet"/>
      <w:lvlText w:val="•"/>
      <w:lvlJc w:val="left"/>
      <w:pPr>
        <w:ind w:left="2514" w:hanging="240"/>
      </w:pPr>
      <w:rPr>
        <w:rFonts w:hint="default"/>
        <w:lang w:val="en-US" w:eastAsia="en-US" w:bidi="en-US"/>
      </w:rPr>
    </w:lvl>
    <w:lvl w:ilvl="2" w:tplc="167CD742">
      <w:numFmt w:val="bullet"/>
      <w:lvlText w:val="•"/>
      <w:lvlJc w:val="left"/>
      <w:pPr>
        <w:ind w:left="3389" w:hanging="240"/>
      </w:pPr>
      <w:rPr>
        <w:rFonts w:hint="default"/>
        <w:lang w:val="en-US" w:eastAsia="en-US" w:bidi="en-US"/>
      </w:rPr>
    </w:lvl>
    <w:lvl w:ilvl="3" w:tplc="A0324B9A">
      <w:numFmt w:val="bullet"/>
      <w:lvlText w:val="•"/>
      <w:lvlJc w:val="left"/>
      <w:pPr>
        <w:ind w:left="4263" w:hanging="240"/>
      </w:pPr>
      <w:rPr>
        <w:rFonts w:hint="default"/>
        <w:lang w:val="en-US" w:eastAsia="en-US" w:bidi="en-US"/>
      </w:rPr>
    </w:lvl>
    <w:lvl w:ilvl="4" w:tplc="D08C2E5A">
      <w:numFmt w:val="bullet"/>
      <w:lvlText w:val="•"/>
      <w:lvlJc w:val="left"/>
      <w:pPr>
        <w:ind w:left="5138" w:hanging="240"/>
      </w:pPr>
      <w:rPr>
        <w:rFonts w:hint="default"/>
        <w:lang w:val="en-US" w:eastAsia="en-US" w:bidi="en-US"/>
      </w:rPr>
    </w:lvl>
    <w:lvl w:ilvl="5" w:tplc="8CB0CBB6">
      <w:numFmt w:val="bullet"/>
      <w:lvlText w:val="•"/>
      <w:lvlJc w:val="left"/>
      <w:pPr>
        <w:ind w:left="6013" w:hanging="240"/>
      </w:pPr>
      <w:rPr>
        <w:rFonts w:hint="default"/>
        <w:lang w:val="en-US" w:eastAsia="en-US" w:bidi="en-US"/>
      </w:rPr>
    </w:lvl>
    <w:lvl w:ilvl="6" w:tplc="C152F2F4">
      <w:numFmt w:val="bullet"/>
      <w:lvlText w:val="•"/>
      <w:lvlJc w:val="left"/>
      <w:pPr>
        <w:ind w:left="6887" w:hanging="240"/>
      </w:pPr>
      <w:rPr>
        <w:rFonts w:hint="default"/>
        <w:lang w:val="en-US" w:eastAsia="en-US" w:bidi="en-US"/>
      </w:rPr>
    </w:lvl>
    <w:lvl w:ilvl="7" w:tplc="04882B3C">
      <w:numFmt w:val="bullet"/>
      <w:lvlText w:val="•"/>
      <w:lvlJc w:val="left"/>
      <w:pPr>
        <w:ind w:left="7762" w:hanging="240"/>
      </w:pPr>
      <w:rPr>
        <w:rFonts w:hint="default"/>
        <w:lang w:val="en-US" w:eastAsia="en-US" w:bidi="en-US"/>
      </w:rPr>
    </w:lvl>
    <w:lvl w:ilvl="8" w:tplc="F748306E">
      <w:numFmt w:val="bullet"/>
      <w:lvlText w:val="•"/>
      <w:lvlJc w:val="left"/>
      <w:pPr>
        <w:ind w:left="8637" w:hanging="240"/>
      </w:pPr>
      <w:rPr>
        <w:rFonts w:hint="default"/>
        <w:lang w:val="en-US" w:eastAsia="en-US" w:bidi="en-US"/>
      </w:rPr>
    </w:lvl>
  </w:abstractNum>
  <w:abstractNum w:abstractNumId="27" w15:restartNumberingAfterBreak="0">
    <w:nsid w:val="20BF001E"/>
    <w:multiLevelType w:val="multilevel"/>
    <w:tmpl w:val="778A65FC"/>
    <w:lvl w:ilvl="0">
      <w:start w:val="6"/>
      <w:numFmt w:val="decimal"/>
      <w:lvlText w:val="%1"/>
      <w:lvlJc w:val="left"/>
      <w:pPr>
        <w:ind w:left="1225" w:hanging="965"/>
        <w:jc w:val="left"/>
      </w:pPr>
      <w:rPr>
        <w:rFonts w:hint="default"/>
        <w:lang w:val="en-US" w:eastAsia="en-US" w:bidi="en-US"/>
      </w:rPr>
    </w:lvl>
    <w:lvl w:ilvl="1">
      <w:start w:val="1"/>
      <w:numFmt w:val="decimal"/>
      <w:lvlText w:val="%1.%2"/>
      <w:lvlJc w:val="left"/>
      <w:pPr>
        <w:ind w:left="1225" w:hanging="965"/>
        <w:jc w:val="left"/>
      </w:pPr>
      <w:rPr>
        <w:rFonts w:hint="default"/>
        <w:lang w:val="en-US" w:eastAsia="en-US" w:bidi="en-US"/>
      </w:rPr>
    </w:lvl>
    <w:lvl w:ilvl="2">
      <w:start w:val="2"/>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1"/>
        <w:w w:val="99"/>
        <w:sz w:val="24"/>
        <w:szCs w:val="24"/>
        <w:lang w:val="en-US" w:eastAsia="en-US" w:bidi="en-US"/>
      </w:rPr>
    </w:lvl>
    <w:lvl w:ilvl="4">
      <w:start w:val="1"/>
      <w:numFmt w:val="decimal"/>
      <w:lvlText w:val="%5."/>
      <w:lvlJc w:val="left"/>
      <w:pPr>
        <w:ind w:left="1844" w:hanging="567"/>
        <w:jc w:val="left"/>
      </w:pPr>
      <w:rPr>
        <w:rFonts w:ascii="Times New Roman" w:eastAsia="Times New Roman" w:hAnsi="Times New Roman" w:cs="Times New Roman" w:hint="default"/>
        <w:spacing w:val="-6"/>
        <w:w w:val="99"/>
        <w:sz w:val="24"/>
        <w:szCs w:val="24"/>
        <w:lang w:val="en-US" w:eastAsia="en-US" w:bidi="en-US"/>
      </w:rPr>
    </w:lvl>
    <w:lvl w:ilvl="5">
      <w:numFmt w:val="bullet"/>
      <w:lvlText w:val="•"/>
      <w:lvlJc w:val="left"/>
      <w:pPr>
        <w:ind w:left="5540" w:hanging="567"/>
      </w:pPr>
      <w:rPr>
        <w:rFonts w:hint="default"/>
        <w:lang w:val="en-US" w:eastAsia="en-US" w:bidi="en-US"/>
      </w:rPr>
    </w:lvl>
    <w:lvl w:ilvl="6">
      <w:numFmt w:val="bullet"/>
      <w:lvlText w:val="•"/>
      <w:lvlJc w:val="left"/>
      <w:pPr>
        <w:ind w:left="6465" w:hanging="567"/>
      </w:pPr>
      <w:rPr>
        <w:rFonts w:hint="default"/>
        <w:lang w:val="en-US" w:eastAsia="en-US" w:bidi="en-US"/>
      </w:rPr>
    </w:lvl>
    <w:lvl w:ilvl="7">
      <w:numFmt w:val="bullet"/>
      <w:lvlText w:val="•"/>
      <w:lvlJc w:val="left"/>
      <w:pPr>
        <w:ind w:left="7390" w:hanging="567"/>
      </w:pPr>
      <w:rPr>
        <w:rFonts w:hint="default"/>
        <w:lang w:val="en-US" w:eastAsia="en-US" w:bidi="en-US"/>
      </w:rPr>
    </w:lvl>
    <w:lvl w:ilvl="8">
      <w:numFmt w:val="bullet"/>
      <w:lvlText w:val="•"/>
      <w:lvlJc w:val="left"/>
      <w:pPr>
        <w:ind w:left="8316" w:hanging="567"/>
      </w:pPr>
      <w:rPr>
        <w:rFonts w:hint="default"/>
        <w:lang w:val="en-US" w:eastAsia="en-US" w:bidi="en-US"/>
      </w:rPr>
    </w:lvl>
  </w:abstractNum>
  <w:abstractNum w:abstractNumId="28" w15:restartNumberingAfterBreak="0">
    <w:nsid w:val="21F86FBB"/>
    <w:multiLevelType w:val="multilevel"/>
    <w:tmpl w:val="EE5E204A"/>
    <w:lvl w:ilvl="0">
      <w:start w:val="4"/>
      <w:numFmt w:val="decimal"/>
      <w:lvlText w:val="%1"/>
      <w:lvlJc w:val="left"/>
      <w:pPr>
        <w:ind w:left="2065" w:hanging="965"/>
        <w:jc w:val="left"/>
      </w:pPr>
      <w:rPr>
        <w:rFonts w:hint="default"/>
        <w:lang w:val="en-US" w:eastAsia="en-US" w:bidi="en-US"/>
      </w:rPr>
    </w:lvl>
    <w:lvl w:ilvl="1">
      <w:start w:val="14"/>
      <w:numFmt w:val="decimal"/>
      <w:lvlText w:val="%1.%2"/>
      <w:lvlJc w:val="left"/>
      <w:pPr>
        <w:ind w:left="2065" w:hanging="965"/>
        <w:jc w:val="left"/>
      </w:pPr>
      <w:rPr>
        <w:rFonts w:hint="default"/>
        <w:lang w:val="en-US" w:eastAsia="en-US" w:bidi="en-US"/>
      </w:rPr>
    </w:lvl>
    <w:lvl w:ilvl="2">
      <w:start w:val="4"/>
      <w:numFmt w:val="decimal"/>
      <w:lvlText w:val="%1.%2.%3"/>
      <w:lvlJc w:val="left"/>
      <w:pPr>
        <w:ind w:left="2065" w:hanging="965"/>
        <w:jc w:val="left"/>
      </w:pPr>
      <w:rPr>
        <w:rFonts w:hint="default"/>
        <w:lang w:val="en-US" w:eastAsia="en-US" w:bidi="en-US"/>
      </w:rPr>
    </w:lvl>
    <w:lvl w:ilvl="3">
      <w:start w:val="1"/>
      <w:numFmt w:val="decimal"/>
      <w:lvlText w:val="%1.%2.%3.%4"/>
      <w:lvlJc w:val="left"/>
      <w:pPr>
        <w:ind w:left="2065" w:hanging="965"/>
        <w:jc w:val="left"/>
      </w:pPr>
      <w:rPr>
        <w:rFonts w:ascii="Times New Roman" w:eastAsia="Times New Roman" w:hAnsi="Times New Roman" w:cs="Times New Roman" w:hint="default"/>
        <w:spacing w:val="-18"/>
        <w:w w:val="99"/>
        <w:sz w:val="24"/>
        <w:szCs w:val="24"/>
        <w:lang w:val="en-US" w:eastAsia="en-US" w:bidi="en-US"/>
      </w:rPr>
    </w:lvl>
    <w:lvl w:ilvl="4">
      <w:numFmt w:val="bullet"/>
      <w:lvlText w:val="•"/>
      <w:lvlJc w:val="left"/>
      <w:pPr>
        <w:ind w:left="5758" w:hanging="965"/>
      </w:pPr>
      <w:rPr>
        <w:rFonts w:hint="default"/>
        <w:lang w:val="en-US" w:eastAsia="en-US" w:bidi="en-US"/>
      </w:rPr>
    </w:lvl>
    <w:lvl w:ilvl="5">
      <w:numFmt w:val="bullet"/>
      <w:lvlText w:val="•"/>
      <w:lvlJc w:val="left"/>
      <w:pPr>
        <w:ind w:left="6683" w:hanging="965"/>
      </w:pPr>
      <w:rPr>
        <w:rFonts w:hint="default"/>
        <w:lang w:val="en-US" w:eastAsia="en-US" w:bidi="en-US"/>
      </w:rPr>
    </w:lvl>
    <w:lvl w:ilvl="6">
      <w:numFmt w:val="bullet"/>
      <w:lvlText w:val="•"/>
      <w:lvlJc w:val="left"/>
      <w:pPr>
        <w:ind w:left="7607" w:hanging="965"/>
      </w:pPr>
      <w:rPr>
        <w:rFonts w:hint="default"/>
        <w:lang w:val="en-US" w:eastAsia="en-US" w:bidi="en-US"/>
      </w:rPr>
    </w:lvl>
    <w:lvl w:ilvl="7">
      <w:numFmt w:val="bullet"/>
      <w:lvlText w:val="•"/>
      <w:lvlJc w:val="left"/>
      <w:pPr>
        <w:ind w:left="8532" w:hanging="965"/>
      </w:pPr>
      <w:rPr>
        <w:rFonts w:hint="default"/>
        <w:lang w:val="en-US" w:eastAsia="en-US" w:bidi="en-US"/>
      </w:rPr>
    </w:lvl>
    <w:lvl w:ilvl="8">
      <w:numFmt w:val="bullet"/>
      <w:lvlText w:val="•"/>
      <w:lvlJc w:val="left"/>
      <w:pPr>
        <w:ind w:left="9457" w:hanging="965"/>
      </w:pPr>
      <w:rPr>
        <w:rFonts w:hint="default"/>
        <w:lang w:val="en-US" w:eastAsia="en-US" w:bidi="en-US"/>
      </w:rPr>
    </w:lvl>
  </w:abstractNum>
  <w:abstractNum w:abstractNumId="29" w15:restartNumberingAfterBreak="0">
    <w:nsid w:val="23D275AF"/>
    <w:multiLevelType w:val="hybridMultilevel"/>
    <w:tmpl w:val="2822090C"/>
    <w:lvl w:ilvl="0" w:tplc="72D01F6E">
      <w:start w:val="1"/>
      <w:numFmt w:val="lowerLetter"/>
      <w:lvlText w:val="%1)"/>
      <w:lvlJc w:val="left"/>
      <w:pPr>
        <w:ind w:left="1752" w:hanging="360"/>
        <w:jc w:val="left"/>
      </w:pPr>
      <w:rPr>
        <w:rFonts w:ascii="Times New Roman" w:eastAsia="Times New Roman" w:hAnsi="Times New Roman" w:cs="Times New Roman" w:hint="default"/>
        <w:spacing w:val="-6"/>
        <w:w w:val="99"/>
        <w:sz w:val="24"/>
        <w:szCs w:val="24"/>
        <w:lang w:val="en-US" w:eastAsia="en-US" w:bidi="en-US"/>
      </w:rPr>
    </w:lvl>
    <w:lvl w:ilvl="1" w:tplc="32DA4C96">
      <w:numFmt w:val="bullet"/>
      <w:lvlText w:val="•"/>
      <w:lvlJc w:val="left"/>
      <w:pPr>
        <w:ind w:left="2622" w:hanging="360"/>
      </w:pPr>
      <w:rPr>
        <w:rFonts w:hint="default"/>
        <w:lang w:val="en-US" w:eastAsia="en-US" w:bidi="en-US"/>
      </w:rPr>
    </w:lvl>
    <w:lvl w:ilvl="2" w:tplc="7C52D0A6">
      <w:numFmt w:val="bullet"/>
      <w:lvlText w:val="•"/>
      <w:lvlJc w:val="left"/>
      <w:pPr>
        <w:ind w:left="3485" w:hanging="360"/>
      </w:pPr>
      <w:rPr>
        <w:rFonts w:hint="default"/>
        <w:lang w:val="en-US" w:eastAsia="en-US" w:bidi="en-US"/>
      </w:rPr>
    </w:lvl>
    <w:lvl w:ilvl="3" w:tplc="F9B07E76">
      <w:numFmt w:val="bullet"/>
      <w:lvlText w:val="•"/>
      <w:lvlJc w:val="left"/>
      <w:pPr>
        <w:ind w:left="4347" w:hanging="360"/>
      </w:pPr>
      <w:rPr>
        <w:rFonts w:hint="default"/>
        <w:lang w:val="en-US" w:eastAsia="en-US" w:bidi="en-US"/>
      </w:rPr>
    </w:lvl>
    <w:lvl w:ilvl="4" w:tplc="E6E6A7D4">
      <w:numFmt w:val="bullet"/>
      <w:lvlText w:val="•"/>
      <w:lvlJc w:val="left"/>
      <w:pPr>
        <w:ind w:left="5210" w:hanging="360"/>
      </w:pPr>
      <w:rPr>
        <w:rFonts w:hint="default"/>
        <w:lang w:val="en-US" w:eastAsia="en-US" w:bidi="en-US"/>
      </w:rPr>
    </w:lvl>
    <w:lvl w:ilvl="5" w:tplc="1E82DC4A">
      <w:numFmt w:val="bullet"/>
      <w:lvlText w:val="•"/>
      <w:lvlJc w:val="left"/>
      <w:pPr>
        <w:ind w:left="6073" w:hanging="360"/>
      </w:pPr>
      <w:rPr>
        <w:rFonts w:hint="default"/>
        <w:lang w:val="en-US" w:eastAsia="en-US" w:bidi="en-US"/>
      </w:rPr>
    </w:lvl>
    <w:lvl w:ilvl="6" w:tplc="AA08915A">
      <w:numFmt w:val="bullet"/>
      <w:lvlText w:val="•"/>
      <w:lvlJc w:val="left"/>
      <w:pPr>
        <w:ind w:left="6935" w:hanging="360"/>
      </w:pPr>
      <w:rPr>
        <w:rFonts w:hint="default"/>
        <w:lang w:val="en-US" w:eastAsia="en-US" w:bidi="en-US"/>
      </w:rPr>
    </w:lvl>
    <w:lvl w:ilvl="7" w:tplc="A5808F9C">
      <w:numFmt w:val="bullet"/>
      <w:lvlText w:val="•"/>
      <w:lvlJc w:val="left"/>
      <w:pPr>
        <w:ind w:left="7798" w:hanging="360"/>
      </w:pPr>
      <w:rPr>
        <w:rFonts w:hint="default"/>
        <w:lang w:val="en-US" w:eastAsia="en-US" w:bidi="en-US"/>
      </w:rPr>
    </w:lvl>
    <w:lvl w:ilvl="8" w:tplc="CB2E5692">
      <w:numFmt w:val="bullet"/>
      <w:lvlText w:val="•"/>
      <w:lvlJc w:val="left"/>
      <w:pPr>
        <w:ind w:left="8661" w:hanging="360"/>
      </w:pPr>
      <w:rPr>
        <w:rFonts w:hint="default"/>
        <w:lang w:val="en-US" w:eastAsia="en-US" w:bidi="en-US"/>
      </w:rPr>
    </w:lvl>
  </w:abstractNum>
  <w:abstractNum w:abstractNumId="30" w15:restartNumberingAfterBreak="0">
    <w:nsid w:val="24AC2013"/>
    <w:multiLevelType w:val="hybridMultilevel"/>
    <w:tmpl w:val="63AE6AD4"/>
    <w:lvl w:ilvl="0" w:tplc="A88ECA46">
      <w:start w:val="1"/>
      <w:numFmt w:val="lowerLetter"/>
      <w:lvlText w:val="(%1)"/>
      <w:lvlJc w:val="left"/>
      <w:pPr>
        <w:ind w:left="1340" w:hanging="360"/>
        <w:jc w:val="left"/>
      </w:pPr>
      <w:rPr>
        <w:rFonts w:ascii="Times New Roman" w:eastAsia="Times New Roman" w:hAnsi="Times New Roman" w:cs="Times New Roman" w:hint="default"/>
        <w:spacing w:val="-25"/>
        <w:w w:val="99"/>
        <w:sz w:val="24"/>
        <w:szCs w:val="24"/>
        <w:lang w:val="en-US" w:eastAsia="en-US" w:bidi="en-US"/>
      </w:rPr>
    </w:lvl>
    <w:lvl w:ilvl="1" w:tplc="9E8A8EBA">
      <w:numFmt w:val="bullet"/>
      <w:lvlText w:val="•"/>
      <w:lvlJc w:val="left"/>
      <w:pPr>
        <w:ind w:left="2222" w:hanging="360"/>
      </w:pPr>
      <w:rPr>
        <w:rFonts w:hint="default"/>
        <w:lang w:val="en-US" w:eastAsia="en-US" w:bidi="en-US"/>
      </w:rPr>
    </w:lvl>
    <w:lvl w:ilvl="2" w:tplc="0ECE3ACE">
      <w:numFmt w:val="bullet"/>
      <w:lvlText w:val="•"/>
      <w:lvlJc w:val="left"/>
      <w:pPr>
        <w:ind w:left="3105" w:hanging="360"/>
      </w:pPr>
      <w:rPr>
        <w:rFonts w:hint="default"/>
        <w:lang w:val="en-US" w:eastAsia="en-US" w:bidi="en-US"/>
      </w:rPr>
    </w:lvl>
    <w:lvl w:ilvl="3" w:tplc="683E970C">
      <w:numFmt w:val="bullet"/>
      <w:lvlText w:val="•"/>
      <w:lvlJc w:val="left"/>
      <w:pPr>
        <w:ind w:left="3987" w:hanging="360"/>
      </w:pPr>
      <w:rPr>
        <w:rFonts w:hint="default"/>
        <w:lang w:val="en-US" w:eastAsia="en-US" w:bidi="en-US"/>
      </w:rPr>
    </w:lvl>
    <w:lvl w:ilvl="4" w:tplc="174AECB6">
      <w:numFmt w:val="bullet"/>
      <w:lvlText w:val="•"/>
      <w:lvlJc w:val="left"/>
      <w:pPr>
        <w:ind w:left="4870" w:hanging="360"/>
      </w:pPr>
      <w:rPr>
        <w:rFonts w:hint="default"/>
        <w:lang w:val="en-US" w:eastAsia="en-US" w:bidi="en-US"/>
      </w:rPr>
    </w:lvl>
    <w:lvl w:ilvl="5" w:tplc="AB3E04DA">
      <w:numFmt w:val="bullet"/>
      <w:lvlText w:val="•"/>
      <w:lvlJc w:val="left"/>
      <w:pPr>
        <w:ind w:left="5753" w:hanging="360"/>
      </w:pPr>
      <w:rPr>
        <w:rFonts w:hint="default"/>
        <w:lang w:val="en-US" w:eastAsia="en-US" w:bidi="en-US"/>
      </w:rPr>
    </w:lvl>
    <w:lvl w:ilvl="6" w:tplc="7C309B2C">
      <w:numFmt w:val="bullet"/>
      <w:lvlText w:val="•"/>
      <w:lvlJc w:val="left"/>
      <w:pPr>
        <w:ind w:left="6635" w:hanging="360"/>
      </w:pPr>
      <w:rPr>
        <w:rFonts w:hint="default"/>
        <w:lang w:val="en-US" w:eastAsia="en-US" w:bidi="en-US"/>
      </w:rPr>
    </w:lvl>
    <w:lvl w:ilvl="7" w:tplc="5DA607C4">
      <w:numFmt w:val="bullet"/>
      <w:lvlText w:val="•"/>
      <w:lvlJc w:val="left"/>
      <w:pPr>
        <w:ind w:left="7518" w:hanging="360"/>
      </w:pPr>
      <w:rPr>
        <w:rFonts w:hint="default"/>
        <w:lang w:val="en-US" w:eastAsia="en-US" w:bidi="en-US"/>
      </w:rPr>
    </w:lvl>
    <w:lvl w:ilvl="8" w:tplc="4CC490E0">
      <w:numFmt w:val="bullet"/>
      <w:lvlText w:val="•"/>
      <w:lvlJc w:val="left"/>
      <w:pPr>
        <w:ind w:left="8401" w:hanging="360"/>
      </w:pPr>
      <w:rPr>
        <w:rFonts w:hint="default"/>
        <w:lang w:val="en-US" w:eastAsia="en-US" w:bidi="en-US"/>
      </w:rPr>
    </w:lvl>
  </w:abstractNum>
  <w:abstractNum w:abstractNumId="31" w15:restartNumberingAfterBreak="0">
    <w:nsid w:val="25544B23"/>
    <w:multiLevelType w:val="hybridMultilevel"/>
    <w:tmpl w:val="7812D426"/>
    <w:lvl w:ilvl="0" w:tplc="6676280E">
      <w:numFmt w:val="bullet"/>
      <w:lvlText w:val=""/>
      <w:lvlJc w:val="left"/>
      <w:pPr>
        <w:ind w:left="1734" w:hanging="308"/>
      </w:pPr>
      <w:rPr>
        <w:rFonts w:ascii="Symbol" w:eastAsia="Symbol" w:hAnsi="Symbol" w:cs="Symbol" w:hint="default"/>
        <w:w w:val="100"/>
        <w:sz w:val="24"/>
        <w:szCs w:val="24"/>
        <w:lang w:val="en-US" w:eastAsia="en-US" w:bidi="en-US"/>
      </w:rPr>
    </w:lvl>
    <w:lvl w:ilvl="1" w:tplc="F26CCAFE">
      <w:numFmt w:val="bullet"/>
      <w:lvlText w:val="•"/>
      <w:lvlJc w:val="left"/>
      <w:pPr>
        <w:ind w:left="2512" w:hanging="308"/>
      </w:pPr>
      <w:rPr>
        <w:rFonts w:hint="default"/>
        <w:lang w:val="en-US" w:eastAsia="en-US" w:bidi="en-US"/>
      </w:rPr>
    </w:lvl>
    <w:lvl w:ilvl="2" w:tplc="12BC1F8A">
      <w:numFmt w:val="bullet"/>
      <w:lvlText w:val="•"/>
      <w:lvlJc w:val="left"/>
      <w:pPr>
        <w:ind w:left="3285" w:hanging="308"/>
      </w:pPr>
      <w:rPr>
        <w:rFonts w:hint="default"/>
        <w:lang w:val="en-US" w:eastAsia="en-US" w:bidi="en-US"/>
      </w:rPr>
    </w:lvl>
    <w:lvl w:ilvl="3" w:tplc="61B4973C">
      <w:numFmt w:val="bullet"/>
      <w:lvlText w:val="•"/>
      <w:lvlJc w:val="left"/>
      <w:pPr>
        <w:ind w:left="4058" w:hanging="308"/>
      </w:pPr>
      <w:rPr>
        <w:rFonts w:hint="default"/>
        <w:lang w:val="en-US" w:eastAsia="en-US" w:bidi="en-US"/>
      </w:rPr>
    </w:lvl>
    <w:lvl w:ilvl="4" w:tplc="5FA0133C">
      <w:numFmt w:val="bullet"/>
      <w:lvlText w:val="•"/>
      <w:lvlJc w:val="left"/>
      <w:pPr>
        <w:ind w:left="4831" w:hanging="308"/>
      </w:pPr>
      <w:rPr>
        <w:rFonts w:hint="default"/>
        <w:lang w:val="en-US" w:eastAsia="en-US" w:bidi="en-US"/>
      </w:rPr>
    </w:lvl>
    <w:lvl w:ilvl="5" w:tplc="2D94E7EA">
      <w:numFmt w:val="bullet"/>
      <w:lvlText w:val="•"/>
      <w:lvlJc w:val="left"/>
      <w:pPr>
        <w:ind w:left="5604" w:hanging="308"/>
      </w:pPr>
      <w:rPr>
        <w:rFonts w:hint="default"/>
        <w:lang w:val="en-US" w:eastAsia="en-US" w:bidi="en-US"/>
      </w:rPr>
    </w:lvl>
    <w:lvl w:ilvl="6" w:tplc="81DC7AFE">
      <w:numFmt w:val="bullet"/>
      <w:lvlText w:val="•"/>
      <w:lvlJc w:val="left"/>
      <w:pPr>
        <w:ind w:left="6377" w:hanging="308"/>
      </w:pPr>
      <w:rPr>
        <w:rFonts w:hint="default"/>
        <w:lang w:val="en-US" w:eastAsia="en-US" w:bidi="en-US"/>
      </w:rPr>
    </w:lvl>
    <w:lvl w:ilvl="7" w:tplc="EF60C754">
      <w:numFmt w:val="bullet"/>
      <w:lvlText w:val="•"/>
      <w:lvlJc w:val="left"/>
      <w:pPr>
        <w:ind w:left="7150" w:hanging="308"/>
      </w:pPr>
      <w:rPr>
        <w:rFonts w:hint="default"/>
        <w:lang w:val="en-US" w:eastAsia="en-US" w:bidi="en-US"/>
      </w:rPr>
    </w:lvl>
    <w:lvl w:ilvl="8" w:tplc="644073E4">
      <w:numFmt w:val="bullet"/>
      <w:lvlText w:val="•"/>
      <w:lvlJc w:val="left"/>
      <w:pPr>
        <w:ind w:left="7923" w:hanging="308"/>
      </w:pPr>
      <w:rPr>
        <w:rFonts w:hint="default"/>
        <w:lang w:val="en-US" w:eastAsia="en-US" w:bidi="en-US"/>
      </w:rPr>
    </w:lvl>
  </w:abstractNum>
  <w:abstractNum w:abstractNumId="32" w15:restartNumberingAfterBreak="0">
    <w:nsid w:val="26F95853"/>
    <w:multiLevelType w:val="hybridMultilevel"/>
    <w:tmpl w:val="4808CB44"/>
    <w:lvl w:ilvl="0" w:tplc="9DFC48A2">
      <w:start w:val="2"/>
      <w:numFmt w:val="decimal"/>
      <w:lvlText w:val="(%1)"/>
      <w:lvlJc w:val="left"/>
      <w:pPr>
        <w:ind w:left="1660" w:hanging="466"/>
        <w:jc w:val="left"/>
      </w:pPr>
      <w:rPr>
        <w:rFonts w:ascii="Times New Roman" w:eastAsia="Times New Roman" w:hAnsi="Times New Roman" w:cs="Times New Roman" w:hint="default"/>
        <w:i/>
        <w:spacing w:val="-20"/>
        <w:w w:val="99"/>
        <w:sz w:val="24"/>
        <w:szCs w:val="24"/>
        <w:lang w:val="en-US" w:eastAsia="en-US" w:bidi="en-US"/>
      </w:rPr>
    </w:lvl>
    <w:lvl w:ilvl="1" w:tplc="C5C0D294">
      <w:numFmt w:val="bullet"/>
      <w:lvlText w:val="•"/>
      <w:lvlJc w:val="left"/>
      <w:pPr>
        <w:ind w:left="2440" w:hanging="466"/>
      </w:pPr>
      <w:rPr>
        <w:rFonts w:hint="default"/>
        <w:lang w:val="en-US" w:eastAsia="en-US" w:bidi="en-US"/>
      </w:rPr>
    </w:lvl>
    <w:lvl w:ilvl="2" w:tplc="1C683A78">
      <w:numFmt w:val="bullet"/>
      <w:lvlText w:val="•"/>
      <w:lvlJc w:val="left"/>
      <w:pPr>
        <w:ind w:left="3221" w:hanging="466"/>
      </w:pPr>
      <w:rPr>
        <w:rFonts w:hint="default"/>
        <w:lang w:val="en-US" w:eastAsia="en-US" w:bidi="en-US"/>
      </w:rPr>
    </w:lvl>
    <w:lvl w:ilvl="3" w:tplc="875EC522">
      <w:numFmt w:val="bullet"/>
      <w:lvlText w:val="•"/>
      <w:lvlJc w:val="left"/>
      <w:pPr>
        <w:ind w:left="4002" w:hanging="466"/>
      </w:pPr>
      <w:rPr>
        <w:rFonts w:hint="default"/>
        <w:lang w:val="en-US" w:eastAsia="en-US" w:bidi="en-US"/>
      </w:rPr>
    </w:lvl>
    <w:lvl w:ilvl="4" w:tplc="3B164B6A">
      <w:numFmt w:val="bullet"/>
      <w:lvlText w:val="•"/>
      <w:lvlJc w:val="left"/>
      <w:pPr>
        <w:ind w:left="4783" w:hanging="466"/>
      </w:pPr>
      <w:rPr>
        <w:rFonts w:hint="default"/>
        <w:lang w:val="en-US" w:eastAsia="en-US" w:bidi="en-US"/>
      </w:rPr>
    </w:lvl>
    <w:lvl w:ilvl="5" w:tplc="91AE2266">
      <w:numFmt w:val="bullet"/>
      <w:lvlText w:val="•"/>
      <w:lvlJc w:val="left"/>
      <w:pPr>
        <w:ind w:left="5564" w:hanging="466"/>
      </w:pPr>
      <w:rPr>
        <w:rFonts w:hint="default"/>
        <w:lang w:val="en-US" w:eastAsia="en-US" w:bidi="en-US"/>
      </w:rPr>
    </w:lvl>
    <w:lvl w:ilvl="6" w:tplc="F998D93A">
      <w:numFmt w:val="bullet"/>
      <w:lvlText w:val="•"/>
      <w:lvlJc w:val="left"/>
      <w:pPr>
        <w:ind w:left="6345" w:hanging="466"/>
      </w:pPr>
      <w:rPr>
        <w:rFonts w:hint="default"/>
        <w:lang w:val="en-US" w:eastAsia="en-US" w:bidi="en-US"/>
      </w:rPr>
    </w:lvl>
    <w:lvl w:ilvl="7" w:tplc="495A67E4">
      <w:numFmt w:val="bullet"/>
      <w:lvlText w:val="•"/>
      <w:lvlJc w:val="left"/>
      <w:pPr>
        <w:ind w:left="7126" w:hanging="466"/>
      </w:pPr>
      <w:rPr>
        <w:rFonts w:hint="default"/>
        <w:lang w:val="en-US" w:eastAsia="en-US" w:bidi="en-US"/>
      </w:rPr>
    </w:lvl>
    <w:lvl w:ilvl="8" w:tplc="F7A4F040">
      <w:numFmt w:val="bullet"/>
      <w:lvlText w:val="•"/>
      <w:lvlJc w:val="left"/>
      <w:pPr>
        <w:ind w:left="7907" w:hanging="466"/>
      </w:pPr>
      <w:rPr>
        <w:rFonts w:hint="default"/>
        <w:lang w:val="en-US" w:eastAsia="en-US" w:bidi="en-US"/>
      </w:rPr>
    </w:lvl>
  </w:abstractNum>
  <w:abstractNum w:abstractNumId="33" w15:restartNumberingAfterBreak="0">
    <w:nsid w:val="273C561E"/>
    <w:multiLevelType w:val="multilevel"/>
    <w:tmpl w:val="357AF354"/>
    <w:lvl w:ilvl="0">
      <w:start w:val="6"/>
      <w:numFmt w:val="decimal"/>
      <w:lvlText w:val="%1"/>
      <w:lvlJc w:val="left"/>
      <w:pPr>
        <w:ind w:left="1225" w:hanging="965"/>
        <w:jc w:val="left"/>
      </w:pPr>
      <w:rPr>
        <w:rFonts w:hint="default"/>
        <w:lang w:val="en-US" w:eastAsia="en-US" w:bidi="en-US"/>
      </w:rPr>
    </w:lvl>
    <w:lvl w:ilvl="1">
      <w:start w:val="2"/>
      <w:numFmt w:val="decimal"/>
      <w:lvlText w:val="%1.%2"/>
      <w:lvlJc w:val="left"/>
      <w:pPr>
        <w:ind w:left="1225" w:hanging="965"/>
        <w:jc w:val="left"/>
      </w:pPr>
      <w:rPr>
        <w:rFonts w:hint="default"/>
        <w:lang w:val="en-US" w:eastAsia="en-US" w:bidi="en-US"/>
      </w:rPr>
    </w:lvl>
    <w:lvl w:ilvl="2">
      <w:start w:val="12"/>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3"/>
        <w:w w:val="99"/>
        <w:sz w:val="24"/>
        <w:szCs w:val="24"/>
        <w:lang w:val="en-US" w:eastAsia="en-US" w:bidi="en-US"/>
      </w:rPr>
    </w:lvl>
    <w:lvl w:ilvl="4">
      <w:numFmt w:val="bullet"/>
      <w:lvlText w:val="•"/>
      <w:lvlJc w:val="left"/>
      <w:pPr>
        <w:ind w:left="4798" w:hanging="965"/>
      </w:pPr>
      <w:rPr>
        <w:rFonts w:hint="default"/>
        <w:lang w:val="en-US" w:eastAsia="en-US" w:bidi="en-US"/>
      </w:rPr>
    </w:lvl>
    <w:lvl w:ilvl="5">
      <w:numFmt w:val="bullet"/>
      <w:lvlText w:val="•"/>
      <w:lvlJc w:val="left"/>
      <w:pPr>
        <w:ind w:left="5693" w:hanging="965"/>
      </w:pPr>
      <w:rPr>
        <w:rFonts w:hint="default"/>
        <w:lang w:val="en-US" w:eastAsia="en-US" w:bidi="en-US"/>
      </w:rPr>
    </w:lvl>
    <w:lvl w:ilvl="6">
      <w:numFmt w:val="bullet"/>
      <w:lvlText w:val="•"/>
      <w:lvlJc w:val="left"/>
      <w:pPr>
        <w:ind w:left="6587" w:hanging="965"/>
      </w:pPr>
      <w:rPr>
        <w:rFonts w:hint="default"/>
        <w:lang w:val="en-US" w:eastAsia="en-US" w:bidi="en-US"/>
      </w:rPr>
    </w:lvl>
    <w:lvl w:ilvl="7">
      <w:numFmt w:val="bullet"/>
      <w:lvlText w:val="•"/>
      <w:lvlJc w:val="left"/>
      <w:pPr>
        <w:ind w:left="7482" w:hanging="965"/>
      </w:pPr>
      <w:rPr>
        <w:rFonts w:hint="default"/>
        <w:lang w:val="en-US" w:eastAsia="en-US" w:bidi="en-US"/>
      </w:rPr>
    </w:lvl>
    <w:lvl w:ilvl="8">
      <w:numFmt w:val="bullet"/>
      <w:lvlText w:val="•"/>
      <w:lvlJc w:val="left"/>
      <w:pPr>
        <w:ind w:left="8377" w:hanging="965"/>
      </w:pPr>
      <w:rPr>
        <w:rFonts w:hint="default"/>
        <w:lang w:val="en-US" w:eastAsia="en-US" w:bidi="en-US"/>
      </w:rPr>
    </w:lvl>
  </w:abstractNum>
  <w:abstractNum w:abstractNumId="34" w15:restartNumberingAfterBreak="0">
    <w:nsid w:val="27477A76"/>
    <w:multiLevelType w:val="multilevel"/>
    <w:tmpl w:val="A8068EA4"/>
    <w:lvl w:ilvl="0">
      <w:start w:val="4"/>
      <w:numFmt w:val="decimal"/>
      <w:lvlText w:val="%1"/>
      <w:lvlJc w:val="left"/>
      <w:pPr>
        <w:ind w:left="2065" w:hanging="965"/>
        <w:jc w:val="left"/>
      </w:pPr>
      <w:rPr>
        <w:rFonts w:hint="default"/>
        <w:lang w:val="en-US" w:eastAsia="en-US" w:bidi="en-US"/>
      </w:rPr>
    </w:lvl>
    <w:lvl w:ilvl="1">
      <w:start w:val="14"/>
      <w:numFmt w:val="decimal"/>
      <w:lvlText w:val="%1.%2"/>
      <w:lvlJc w:val="left"/>
      <w:pPr>
        <w:ind w:left="2065" w:hanging="965"/>
        <w:jc w:val="left"/>
      </w:pPr>
      <w:rPr>
        <w:rFonts w:hint="default"/>
        <w:lang w:val="en-US" w:eastAsia="en-US" w:bidi="en-US"/>
      </w:rPr>
    </w:lvl>
    <w:lvl w:ilvl="2">
      <w:start w:val="2"/>
      <w:numFmt w:val="decimal"/>
      <w:lvlText w:val="%1.%2.%3"/>
      <w:lvlJc w:val="left"/>
      <w:pPr>
        <w:ind w:left="2065" w:hanging="965"/>
        <w:jc w:val="left"/>
      </w:pPr>
      <w:rPr>
        <w:rFonts w:hint="default"/>
        <w:lang w:val="en-US" w:eastAsia="en-US" w:bidi="en-US"/>
      </w:rPr>
    </w:lvl>
    <w:lvl w:ilvl="3">
      <w:start w:val="1"/>
      <w:numFmt w:val="decimal"/>
      <w:lvlText w:val="%1.%2.%3.%4"/>
      <w:lvlJc w:val="left"/>
      <w:pPr>
        <w:ind w:left="2065" w:hanging="965"/>
        <w:jc w:val="left"/>
      </w:pPr>
      <w:rPr>
        <w:rFonts w:ascii="Times New Roman" w:eastAsia="Times New Roman" w:hAnsi="Times New Roman" w:cs="Times New Roman" w:hint="default"/>
        <w:spacing w:val="-30"/>
        <w:w w:val="99"/>
        <w:sz w:val="24"/>
        <w:szCs w:val="24"/>
        <w:lang w:val="en-US" w:eastAsia="en-US" w:bidi="en-US"/>
      </w:rPr>
    </w:lvl>
    <w:lvl w:ilvl="4">
      <w:numFmt w:val="bullet"/>
      <w:lvlText w:val="•"/>
      <w:lvlJc w:val="left"/>
      <w:pPr>
        <w:ind w:left="5758" w:hanging="965"/>
      </w:pPr>
      <w:rPr>
        <w:rFonts w:hint="default"/>
        <w:lang w:val="en-US" w:eastAsia="en-US" w:bidi="en-US"/>
      </w:rPr>
    </w:lvl>
    <w:lvl w:ilvl="5">
      <w:numFmt w:val="bullet"/>
      <w:lvlText w:val="•"/>
      <w:lvlJc w:val="left"/>
      <w:pPr>
        <w:ind w:left="6683" w:hanging="965"/>
      </w:pPr>
      <w:rPr>
        <w:rFonts w:hint="default"/>
        <w:lang w:val="en-US" w:eastAsia="en-US" w:bidi="en-US"/>
      </w:rPr>
    </w:lvl>
    <w:lvl w:ilvl="6">
      <w:numFmt w:val="bullet"/>
      <w:lvlText w:val="•"/>
      <w:lvlJc w:val="left"/>
      <w:pPr>
        <w:ind w:left="7607" w:hanging="965"/>
      </w:pPr>
      <w:rPr>
        <w:rFonts w:hint="default"/>
        <w:lang w:val="en-US" w:eastAsia="en-US" w:bidi="en-US"/>
      </w:rPr>
    </w:lvl>
    <w:lvl w:ilvl="7">
      <w:numFmt w:val="bullet"/>
      <w:lvlText w:val="•"/>
      <w:lvlJc w:val="left"/>
      <w:pPr>
        <w:ind w:left="8532" w:hanging="965"/>
      </w:pPr>
      <w:rPr>
        <w:rFonts w:hint="default"/>
        <w:lang w:val="en-US" w:eastAsia="en-US" w:bidi="en-US"/>
      </w:rPr>
    </w:lvl>
    <w:lvl w:ilvl="8">
      <w:numFmt w:val="bullet"/>
      <w:lvlText w:val="•"/>
      <w:lvlJc w:val="left"/>
      <w:pPr>
        <w:ind w:left="9457" w:hanging="965"/>
      </w:pPr>
      <w:rPr>
        <w:rFonts w:hint="default"/>
        <w:lang w:val="en-US" w:eastAsia="en-US" w:bidi="en-US"/>
      </w:rPr>
    </w:lvl>
  </w:abstractNum>
  <w:abstractNum w:abstractNumId="35" w15:restartNumberingAfterBreak="0">
    <w:nsid w:val="295D0CE1"/>
    <w:multiLevelType w:val="hybridMultilevel"/>
    <w:tmpl w:val="7F706ABE"/>
    <w:lvl w:ilvl="0" w:tplc="581814D6">
      <w:numFmt w:val="bullet"/>
      <w:lvlText w:val=""/>
      <w:lvlJc w:val="left"/>
      <w:pPr>
        <w:ind w:left="1732" w:hanging="288"/>
      </w:pPr>
      <w:rPr>
        <w:rFonts w:ascii="Symbol" w:eastAsia="Symbol" w:hAnsi="Symbol" w:cs="Symbol" w:hint="default"/>
        <w:w w:val="100"/>
        <w:sz w:val="24"/>
        <w:szCs w:val="24"/>
        <w:lang w:val="en-US" w:eastAsia="en-US" w:bidi="en-US"/>
      </w:rPr>
    </w:lvl>
    <w:lvl w:ilvl="1" w:tplc="A62A4A9A">
      <w:numFmt w:val="bullet"/>
      <w:lvlText w:val="•"/>
      <w:lvlJc w:val="left"/>
      <w:pPr>
        <w:ind w:left="2512" w:hanging="288"/>
      </w:pPr>
      <w:rPr>
        <w:rFonts w:hint="default"/>
        <w:lang w:val="en-US" w:eastAsia="en-US" w:bidi="en-US"/>
      </w:rPr>
    </w:lvl>
    <w:lvl w:ilvl="2" w:tplc="4F828040">
      <w:numFmt w:val="bullet"/>
      <w:lvlText w:val="•"/>
      <w:lvlJc w:val="left"/>
      <w:pPr>
        <w:ind w:left="3285" w:hanging="288"/>
      </w:pPr>
      <w:rPr>
        <w:rFonts w:hint="default"/>
        <w:lang w:val="en-US" w:eastAsia="en-US" w:bidi="en-US"/>
      </w:rPr>
    </w:lvl>
    <w:lvl w:ilvl="3" w:tplc="959C1062">
      <w:numFmt w:val="bullet"/>
      <w:lvlText w:val="•"/>
      <w:lvlJc w:val="left"/>
      <w:pPr>
        <w:ind w:left="4058" w:hanging="288"/>
      </w:pPr>
      <w:rPr>
        <w:rFonts w:hint="default"/>
        <w:lang w:val="en-US" w:eastAsia="en-US" w:bidi="en-US"/>
      </w:rPr>
    </w:lvl>
    <w:lvl w:ilvl="4" w:tplc="F9E2F99A">
      <w:numFmt w:val="bullet"/>
      <w:lvlText w:val="•"/>
      <w:lvlJc w:val="left"/>
      <w:pPr>
        <w:ind w:left="4831" w:hanging="288"/>
      </w:pPr>
      <w:rPr>
        <w:rFonts w:hint="default"/>
        <w:lang w:val="en-US" w:eastAsia="en-US" w:bidi="en-US"/>
      </w:rPr>
    </w:lvl>
    <w:lvl w:ilvl="5" w:tplc="11622532">
      <w:numFmt w:val="bullet"/>
      <w:lvlText w:val="•"/>
      <w:lvlJc w:val="left"/>
      <w:pPr>
        <w:ind w:left="5604" w:hanging="288"/>
      </w:pPr>
      <w:rPr>
        <w:rFonts w:hint="default"/>
        <w:lang w:val="en-US" w:eastAsia="en-US" w:bidi="en-US"/>
      </w:rPr>
    </w:lvl>
    <w:lvl w:ilvl="6" w:tplc="4672DAEC">
      <w:numFmt w:val="bullet"/>
      <w:lvlText w:val="•"/>
      <w:lvlJc w:val="left"/>
      <w:pPr>
        <w:ind w:left="6377" w:hanging="288"/>
      </w:pPr>
      <w:rPr>
        <w:rFonts w:hint="default"/>
        <w:lang w:val="en-US" w:eastAsia="en-US" w:bidi="en-US"/>
      </w:rPr>
    </w:lvl>
    <w:lvl w:ilvl="7" w:tplc="20AE3336">
      <w:numFmt w:val="bullet"/>
      <w:lvlText w:val="•"/>
      <w:lvlJc w:val="left"/>
      <w:pPr>
        <w:ind w:left="7150" w:hanging="288"/>
      </w:pPr>
      <w:rPr>
        <w:rFonts w:hint="default"/>
        <w:lang w:val="en-US" w:eastAsia="en-US" w:bidi="en-US"/>
      </w:rPr>
    </w:lvl>
    <w:lvl w:ilvl="8" w:tplc="F762F868">
      <w:numFmt w:val="bullet"/>
      <w:lvlText w:val="•"/>
      <w:lvlJc w:val="left"/>
      <w:pPr>
        <w:ind w:left="7923" w:hanging="288"/>
      </w:pPr>
      <w:rPr>
        <w:rFonts w:hint="default"/>
        <w:lang w:val="en-US" w:eastAsia="en-US" w:bidi="en-US"/>
      </w:rPr>
    </w:lvl>
  </w:abstractNum>
  <w:abstractNum w:abstractNumId="36" w15:restartNumberingAfterBreak="0">
    <w:nsid w:val="29653E73"/>
    <w:multiLevelType w:val="multilevel"/>
    <w:tmpl w:val="A99688AA"/>
    <w:lvl w:ilvl="0">
      <w:start w:val="3"/>
      <w:numFmt w:val="decimal"/>
      <w:lvlText w:val="%1"/>
      <w:lvlJc w:val="left"/>
      <w:pPr>
        <w:ind w:left="1660" w:hanging="631"/>
        <w:jc w:val="left"/>
      </w:pPr>
      <w:rPr>
        <w:rFonts w:hint="default"/>
        <w:lang w:val="en-US" w:eastAsia="en-US" w:bidi="en-US"/>
      </w:rPr>
    </w:lvl>
    <w:lvl w:ilvl="1">
      <w:start w:val="107"/>
      <w:numFmt w:val="decimal"/>
      <w:lvlText w:val="%1.%2"/>
      <w:lvlJc w:val="left"/>
      <w:pPr>
        <w:ind w:left="1660" w:hanging="631"/>
        <w:jc w:val="left"/>
      </w:pPr>
      <w:rPr>
        <w:rFonts w:ascii="Times New Roman" w:eastAsia="Times New Roman" w:hAnsi="Times New Roman" w:cs="Times New Roman" w:hint="default"/>
        <w:i/>
        <w:spacing w:val="-30"/>
        <w:w w:val="99"/>
        <w:sz w:val="24"/>
        <w:szCs w:val="24"/>
        <w:lang w:val="en-US" w:eastAsia="en-US" w:bidi="en-US"/>
      </w:rPr>
    </w:lvl>
    <w:lvl w:ilvl="2">
      <w:numFmt w:val="bullet"/>
      <w:lvlText w:val="•"/>
      <w:lvlJc w:val="left"/>
      <w:pPr>
        <w:ind w:left="3237" w:hanging="631"/>
      </w:pPr>
      <w:rPr>
        <w:rFonts w:hint="default"/>
        <w:lang w:val="en-US" w:eastAsia="en-US" w:bidi="en-US"/>
      </w:rPr>
    </w:lvl>
    <w:lvl w:ilvl="3">
      <w:numFmt w:val="bullet"/>
      <w:lvlText w:val="•"/>
      <w:lvlJc w:val="left"/>
      <w:pPr>
        <w:ind w:left="4025" w:hanging="631"/>
      </w:pPr>
      <w:rPr>
        <w:rFonts w:hint="default"/>
        <w:lang w:val="en-US" w:eastAsia="en-US" w:bidi="en-US"/>
      </w:rPr>
    </w:lvl>
    <w:lvl w:ilvl="4">
      <w:numFmt w:val="bullet"/>
      <w:lvlText w:val="•"/>
      <w:lvlJc w:val="left"/>
      <w:pPr>
        <w:ind w:left="4814" w:hanging="631"/>
      </w:pPr>
      <w:rPr>
        <w:rFonts w:hint="default"/>
        <w:lang w:val="en-US" w:eastAsia="en-US" w:bidi="en-US"/>
      </w:rPr>
    </w:lvl>
    <w:lvl w:ilvl="5">
      <w:numFmt w:val="bullet"/>
      <w:lvlText w:val="•"/>
      <w:lvlJc w:val="left"/>
      <w:pPr>
        <w:ind w:left="5603" w:hanging="631"/>
      </w:pPr>
      <w:rPr>
        <w:rFonts w:hint="default"/>
        <w:lang w:val="en-US" w:eastAsia="en-US" w:bidi="en-US"/>
      </w:rPr>
    </w:lvl>
    <w:lvl w:ilvl="6">
      <w:numFmt w:val="bullet"/>
      <w:lvlText w:val="•"/>
      <w:lvlJc w:val="left"/>
      <w:pPr>
        <w:ind w:left="6391" w:hanging="631"/>
      </w:pPr>
      <w:rPr>
        <w:rFonts w:hint="default"/>
        <w:lang w:val="en-US" w:eastAsia="en-US" w:bidi="en-US"/>
      </w:rPr>
    </w:lvl>
    <w:lvl w:ilvl="7">
      <w:numFmt w:val="bullet"/>
      <w:lvlText w:val="•"/>
      <w:lvlJc w:val="left"/>
      <w:pPr>
        <w:ind w:left="7180" w:hanging="631"/>
      </w:pPr>
      <w:rPr>
        <w:rFonts w:hint="default"/>
        <w:lang w:val="en-US" w:eastAsia="en-US" w:bidi="en-US"/>
      </w:rPr>
    </w:lvl>
    <w:lvl w:ilvl="8">
      <w:numFmt w:val="bullet"/>
      <w:lvlText w:val="•"/>
      <w:lvlJc w:val="left"/>
      <w:pPr>
        <w:ind w:left="7969" w:hanging="631"/>
      </w:pPr>
      <w:rPr>
        <w:rFonts w:hint="default"/>
        <w:lang w:val="en-US" w:eastAsia="en-US" w:bidi="en-US"/>
      </w:rPr>
    </w:lvl>
  </w:abstractNum>
  <w:abstractNum w:abstractNumId="37" w15:restartNumberingAfterBreak="0">
    <w:nsid w:val="297B0F56"/>
    <w:multiLevelType w:val="multilevel"/>
    <w:tmpl w:val="63506232"/>
    <w:lvl w:ilvl="0">
      <w:start w:val="1"/>
      <w:numFmt w:val="decimal"/>
      <w:lvlText w:val="%1"/>
      <w:lvlJc w:val="left"/>
      <w:pPr>
        <w:ind w:left="652" w:hanging="432"/>
        <w:jc w:val="right"/>
      </w:pPr>
      <w:rPr>
        <w:rFonts w:ascii="Times New Roman" w:eastAsia="Times New Roman" w:hAnsi="Times New Roman" w:cs="Times New Roman" w:hint="default"/>
        <w:b/>
        <w:bCs/>
        <w:spacing w:val="-2"/>
        <w:w w:val="99"/>
        <w:sz w:val="36"/>
        <w:szCs w:val="36"/>
        <w:lang w:val="en-US" w:eastAsia="en-US" w:bidi="en-US"/>
      </w:rPr>
    </w:lvl>
    <w:lvl w:ilvl="1">
      <w:start w:val="1"/>
      <w:numFmt w:val="decimal"/>
      <w:lvlText w:val="%1.%2"/>
      <w:lvlJc w:val="left"/>
      <w:pPr>
        <w:ind w:left="826" w:hanging="567"/>
        <w:jc w:val="left"/>
      </w:pPr>
      <w:rPr>
        <w:rFonts w:hint="default"/>
        <w:b/>
        <w:bCs/>
        <w:spacing w:val="-4"/>
        <w:w w:val="100"/>
        <w:lang w:val="en-US" w:eastAsia="en-US" w:bidi="en-US"/>
      </w:rPr>
    </w:lvl>
    <w:lvl w:ilvl="2">
      <w:start w:val="1"/>
      <w:numFmt w:val="decimal"/>
      <w:lvlText w:val="%1.%2.%3"/>
      <w:lvlJc w:val="left"/>
      <w:pPr>
        <w:ind w:left="1072" w:hanging="567"/>
        <w:jc w:val="left"/>
      </w:pPr>
      <w:rPr>
        <w:rFonts w:ascii="Times New Roman" w:eastAsia="Times New Roman" w:hAnsi="Times New Roman" w:cs="Times New Roman" w:hint="default"/>
        <w:spacing w:val="-30"/>
        <w:w w:val="99"/>
        <w:sz w:val="24"/>
        <w:szCs w:val="24"/>
        <w:lang w:val="en-US" w:eastAsia="en-US" w:bidi="en-US"/>
      </w:rPr>
    </w:lvl>
    <w:lvl w:ilvl="3">
      <w:start w:val="1"/>
      <w:numFmt w:val="decimal"/>
      <w:lvlText w:val="%4."/>
      <w:lvlJc w:val="left"/>
      <w:pPr>
        <w:ind w:left="2900" w:hanging="567"/>
        <w:jc w:val="left"/>
      </w:pPr>
      <w:rPr>
        <w:rFonts w:hint="default"/>
        <w:i/>
        <w:spacing w:val="-4"/>
        <w:w w:val="99"/>
        <w:lang w:val="en-US" w:eastAsia="en-US" w:bidi="en-US"/>
      </w:rPr>
    </w:lvl>
    <w:lvl w:ilvl="4">
      <w:start w:val="1"/>
      <w:numFmt w:val="lowerLetter"/>
      <w:lvlText w:val="%5."/>
      <w:lvlJc w:val="left"/>
      <w:pPr>
        <w:ind w:left="1660" w:hanging="567"/>
        <w:jc w:val="left"/>
      </w:pPr>
      <w:rPr>
        <w:rFonts w:ascii="Times New Roman" w:eastAsia="Times New Roman" w:hAnsi="Times New Roman" w:cs="Times New Roman" w:hint="default"/>
        <w:i/>
        <w:spacing w:val="-2"/>
        <w:w w:val="99"/>
        <w:sz w:val="24"/>
        <w:szCs w:val="24"/>
        <w:lang w:val="en-US" w:eastAsia="en-US" w:bidi="en-US"/>
      </w:rPr>
    </w:lvl>
    <w:lvl w:ilvl="5">
      <w:numFmt w:val="bullet"/>
      <w:lvlText w:val="•"/>
      <w:lvlJc w:val="left"/>
      <w:pPr>
        <w:ind w:left="1240" w:hanging="567"/>
      </w:pPr>
      <w:rPr>
        <w:rFonts w:hint="default"/>
        <w:lang w:val="en-US" w:eastAsia="en-US" w:bidi="en-US"/>
      </w:rPr>
    </w:lvl>
    <w:lvl w:ilvl="6">
      <w:numFmt w:val="bullet"/>
      <w:lvlText w:val="•"/>
      <w:lvlJc w:val="left"/>
      <w:pPr>
        <w:ind w:left="1400" w:hanging="567"/>
      </w:pPr>
      <w:rPr>
        <w:rFonts w:hint="default"/>
        <w:lang w:val="en-US" w:eastAsia="en-US" w:bidi="en-US"/>
      </w:rPr>
    </w:lvl>
    <w:lvl w:ilvl="7">
      <w:numFmt w:val="bullet"/>
      <w:lvlText w:val="•"/>
      <w:lvlJc w:val="left"/>
      <w:pPr>
        <w:ind w:left="1540" w:hanging="567"/>
      </w:pPr>
      <w:rPr>
        <w:rFonts w:hint="default"/>
        <w:lang w:val="en-US" w:eastAsia="en-US" w:bidi="en-US"/>
      </w:rPr>
    </w:lvl>
    <w:lvl w:ilvl="8">
      <w:numFmt w:val="bullet"/>
      <w:lvlText w:val="•"/>
      <w:lvlJc w:val="left"/>
      <w:pPr>
        <w:ind w:left="1660" w:hanging="567"/>
      </w:pPr>
      <w:rPr>
        <w:rFonts w:hint="default"/>
        <w:lang w:val="en-US" w:eastAsia="en-US" w:bidi="en-US"/>
      </w:rPr>
    </w:lvl>
  </w:abstractNum>
  <w:abstractNum w:abstractNumId="38" w15:restartNumberingAfterBreak="0">
    <w:nsid w:val="2C0F7BD4"/>
    <w:multiLevelType w:val="hybridMultilevel"/>
    <w:tmpl w:val="88B4C5D8"/>
    <w:lvl w:ilvl="0" w:tplc="6A1E962C">
      <w:start w:val="1"/>
      <w:numFmt w:val="lowerLetter"/>
      <w:lvlText w:val="%1)"/>
      <w:lvlJc w:val="left"/>
      <w:pPr>
        <w:ind w:left="1372" w:hanging="260"/>
        <w:jc w:val="left"/>
      </w:pPr>
      <w:rPr>
        <w:rFonts w:ascii="Times New Roman" w:eastAsia="Times New Roman" w:hAnsi="Times New Roman" w:cs="Times New Roman" w:hint="default"/>
        <w:b/>
        <w:bCs/>
        <w:spacing w:val="-2"/>
        <w:w w:val="99"/>
        <w:sz w:val="24"/>
        <w:szCs w:val="24"/>
        <w:lang w:val="en-US" w:eastAsia="en-US" w:bidi="en-US"/>
      </w:rPr>
    </w:lvl>
    <w:lvl w:ilvl="1" w:tplc="82DC92A8">
      <w:numFmt w:val="bullet"/>
      <w:lvlText w:val="•"/>
      <w:lvlJc w:val="left"/>
      <w:pPr>
        <w:ind w:left="2230" w:hanging="260"/>
      </w:pPr>
      <w:rPr>
        <w:rFonts w:hint="default"/>
        <w:lang w:val="en-US" w:eastAsia="en-US" w:bidi="en-US"/>
      </w:rPr>
    </w:lvl>
    <w:lvl w:ilvl="2" w:tplc="994A2432">
      <w:numFmt w:val="bullet"/>
      <w:lvlText w:val="•"/>
      <w:lvlJc w:val="left"/>
      <w:pPr>
        <w:ind w:left="3081" w:hanging="260"/>
      </w:pPr>
      <w:rPr>
        <w:rFonts w:hint="default"/>
        <w:lang w:val="en-US" w:eastAsia="en-US" w:bidi="en-US"/>
      </w:rPr>
    </w:lvl>
    <w:lvl w:ilvl="3" w:tplc="E8B2B69C">
      <w:numFmt w:val="bullet"/>
      <w:lvlText w:val="•"/>
      <w:lvlJc w:val="left"/>
      <w:pPr>
        <w:ind w:left="3931" w:hanging="260"/>
      </w:pPr>
      <w:rPr>
        <w:rFonts w:hint="default"/>
        <w:lang w:val="en-US" w:eastAsia="en-US" w:bidi="en-US"/>
      </w:rPr>
    </w:lvl>
    <w:lvl w:ilvl="4" w:tplc="138C4AFA">
      <w:numFmt w:val="bullet"/>
      <w:lvlText w:val="•"/>
      <w:lvlJc w:val="left"/>
      <w:pPr>
        <w:ind w:left="4782" w:hanging="260"/>
      </w:pPr>
      <w:rPr>
        <w:rFonts w:hint="default"/>
        <w:lang w:val="en-US" w:eastAsia="en-US" w:bidi="en-US"/>
      </w:rPr>
    </w:lvl>
    <w:lvl w:ilvl="5" w:tplc="AED6B8F2">
      <w:numFmt w:val="bullet"/>
      <w:lvlText w:val="•"/>
      <w:lvlJc w:val="left"/>
      <w:pPr>
        <w:ind w:left="5633" w:hanging="260"/>
      </w:pPr>
      <w:rPr>
        <w:rFonts w:hint="default"/>
        <w:lang w:val="en-US" w:eastAsia="en-US" w:bidi="en-US"/>
      </w:rPr>
    </w:lvl>
    <w:lvl w:ilvl="6" w:tplc="B8FE92BA">
      <w:numFmt w:val="bullet"/>
      <w:lvlText w:val="•"/>
      <w:lvlJc w:val="left"/>
      <w:pPr>
        <w:ind w:left="6483" w:hanging="260"/>
      </w:pPr>
      <w:rPr>
        <w:rFonts w:hint="default"/>
        <w:lang w:val="en-US" w:eastAsia="en-US" w:bidi="en-US"/>
      </w:rPr>
    </w:lvl>
    <w:lvl w:ilvl="7" w:tplc="77FC5B3A">
      <w:numFmt w:val="bullet"/>
      <w:lvlText w:val="•"/>
      <w:lvlJc w:val="left"/>
      <w:pPr>
        <w:ind w:left="7334" w:hanging="260"/>
      </w:pPr>
      <w:rPr>
        <w:rFonts w:hint="default"/>
        <w:lang w:val="en-US" w:eastAsia="en-US" w:bidi="en-US"/>
      </w:rPr>
    </w:lvl>
    <w:lvl w:ilvl="8" w:tplc="5D448C26">
      <w:numFmt w:val="bullet"/>
      <w:lvlText w:val="•"/>
      <w:lvlJc w:val="left"/>
      <w:pPr>
        <w:ind w:left="8185" w:hanging="260"/>
      </w:pPr>
      <w:rPr>
        <w:rFonts w:hint="default"/>
        <w:lang w:val="en-US" w:eastAsia="en-US" w:bidi="en-US"/>
      </w:rPr>
    </w:lvl>
  </w:abstractNum>
  <w:abstractNum w:abstractNumId="39" w15:restartNumberingAfterBreak="0">
    <w:nsid w:val="2C627513"/>
    <w:multiLevelType w:val="hybridMultilevel"/>
    <w:tmpl w:val="692421C8"/>
    <w:lvl w:ilvl="0" w:tplc="63F4E344">
      <w:start w:val="1"/>
      <w:numFmt w:val="lowerLetter"/>
      <w:lvlText w:val="%1)"/>
      <w:lvlJc w:val="left"/>
      <w:pPr>
        <w:ind w:left="1432" w:hanging="360"/>
        <w:jc w:val="left"/>
      </w:pPr>
      <w:rPr>
        <w:rFonts w:ascii="Times New Roman" w:eastAsia="Times New Roman" w:hAnsi="Times New Roman" w:cs="Times New Roman" w:hint="default"/>
        <w:spacing w:val="-27"/>
        <w:w w:val="99"/>
        <w:sz w:val="24"/>
        <w:szCs w:val="24"/>
        <w:lang w:val="en-US" w:eastAsia="en-US" w:bidi="en-US"/>
      </w:rPr>
    </w:lvl>
    <w:lvl w:ilvl="1" w:tplc="42401F66">
      <w:numFmt w:val="bullet"/>
      <w:lvlText w:val="•"/>
      <w:lvlJc w:val="left"/>
      <w:pPr>
        <w:ind w:left="2242" w:hanging="360"/>
      </w:pPr>
      <w:rPr>
        <w:rFonts w:hint="default"/>
        <w:lang w:val="en-US" w:eastAsia="en-US" w:bidi="en-US"/>
      </w:rPr>
    </w:lvl>
    <w:lvl w:ilvl="2" w:tplc="061492C0">
      <w:numFmt w:val="bullet"/>
      <w:lvlText w:val="•"/>
      <w:lvlJc w:val="left"/>
      <w:pPr>
        <w:ind w:left="3045" w:hanging="360"/>
      </w:pPr>
      <w:rPr>
        <w:rFonts w:hint="default"/>
        <w:lang w:val="en-US" w:eastAsia="en-US" w:bidi="en-US"/>
      </w:rPr>
    </w:lvl>
    <w:lvl w:ilvl="3" w:tplc="487C4F62">
      <w:numFmt w:val="bullet"/>
      <w:lvlText w:val="•"/>
      <w:lvlJc w:val="left"/>
      <w:pPr>
        <w:ind w:left="3848" w:hanging="360"/>
      </w:pPr>
      <w:rPr>
        <w:rFonts w:hint="default"/>
        <w:lang w:val="en-US" w:eastAsia="en-US" w:bidi="en-US"/>
      </w:rPr>
    </w:lvl>
    <w:lvl w:ilvl="4" w:tplc="BE321D82">
      <w:numFmt w:val="bullet"/>
      <w:lvlText w:val="•"/>
      <w:lvlJc w:val="left"/>
      <w:pPr>
        <w:ind w:left="4651" w:hanging="360"/>
      </w:pPr>
      <w:rPr>
        <w:rFonts w:hint="default"/>
        <w:lang w:val="en-US" w:eastAsia="en-US" w:bidi="en-US"/>
      </w:rPr>
    </w:lvl>
    <w:lvl w:ilvl="5" w:tplc="8D16F90C">
      <w:numFmt w:val="bullet"/>
      <w:lvlText w:val="•"/>
      <w:lvlJc w:val="left"/>
      <w:pPr>
        <w:ind w:left="5454" w:hanging="360"/>
      </w:pPr>
      <w:rPr>
        <w:rFonts w:hint="default"/>
        <w:lang w:val="en-US" w:eastAsia="en-US" w:bidi="en-US"/>
      </w:rPr>
    </w:lvl>
    <w:lvl w:ilvl="6" w:tplc="D7685518">
      <w:numFmt w:val="bullet"/>
      <w:lvlText w:val="•"/>
      <w:lvlJc w:val="left"/>
      <w:pPr>
        <w:ind w:left="6257" w:hanging="360"/>
      </w:pPr>
      <w:rPr>
        <w:rFonts w:hint="default"/>
        <w:lang w:val="en-US" w:eastAsia="en-US" w:bidi="en-US"/>
      </w:rPr>
    </w:lvl>
    <w:lvl w:ilvl="7" w:tplc="D138D3D6">
      <w:numFmt w:val="bullet"/>
      <w:lvlText w:val="•"/>
      <w:lvlJc w:val="left"/>
      <w:pPr>
        <w:ind w:left="7060" w:hanging="360"/>
      </w:pPr>
      <w:rPr>
        <w:rFonts w:hint="default"/>
        <w:lang w:val="en-US" w:eastAsia="en-US" w:bidi="en-US"/>
      </w:rPr>
    </w:lvl>
    <w:lvl w:ilvl="8" w:tplc="63041A5A">
      <w:numFmt w:val="bullet"/>
      <w:lvlText w:val="•"/>
      <w:lvlJc w:val="left"/>
      <w:pPr>
        <w:ind w:left="7863" w:hanging="360"/>
      </w:pPr>
      <w:rPr>
        <w:rFonts w:hint="default"/>
        <w:lang w:val="en-US" w:eastAsia="en-US" w:bidi="en-US"/>
      </w:rPr>
    </w:lvl>
  </w:abstractNum>
  <w:abstractNum w:abstractNumId="40" w15:restartNumberingAfterBreak="0">
    <w:nsid w:val="2D183C9E"/>
    <w:multiLevelType w:val="hybridMultilevel"/>
    <w:tmpl w:val="950C5098"/>
    <w:lvl w:ilvl="0" w:tplc="51EE9042">
      <w:start w:val="1"/>
      <w:numFmt w:val="lowerRoman"/>
      <w:lvlText w:val="%1."/>
      <w:lvlJc w:val="left"/>
      <w:pPr>
        <w:ind w:left="1958" w:hanging="488"/>
        <w:jc w:val="right"/>
      </w:pPr>
      <w:rPr>
        <w:rFonts w:ascii="Times New Roman" w:eastAsia="Times New Roman" w:hAnsi="Times New Roman" w:cs="Times New Roman" w:hint="default"/>
        <w:spacing w:val="-2"/>
        <w:w w:val="99"/>
        <w:sz w:val="24"/>
        <w:szCs w:val="24"/>
        <w:lang w:val="en-US" w:eastAsia="en-US" w:bidi="en-US"/>
      </w:rPr>
    </w:lvl>
    <w:lvl w:ilvl="1" w:tplc="D722B34A">
      <w:numFmt w:val="bullet"/>
      <w:lvlText w:val="•"/>
      <w:lvlJc w:val="left"/>
      <w:pPr>
        <w:ind w:left="2802" w:hanging="488"/>
      </w:pPr>
      <w:rPr>
        <w:rFonts w:hint="default"/>
        <w:lang w:val="en-US" w:eastAsia="en-US" w:bidi="en-US"/>
      </w:rPr>
    </w:lvl>
    <w:lvl w:ilvl="2" w:tplc="C99A98B4">
      <w:numFmt w:val="bullet"/>
      <w:lvlText w:val="•"/>
      <w:lvlJc w:val="left"/>
      <w:pPr>
        <w:ind w:left="3645" w:hanging="488"/>
      </w:pPr>
      <w:rPr>
        <w:rFonts w:hint="default"/>
        <w:lang w:val="en-US" w:eastAsia="en-US" w:bidi="en-US"/>
      </w:rPr>
    </w:lvl>
    <w:lvl w:ilvl="3" w:tplc="E1F4E766">
      <w:numFmt w:val="bullet"/>
      <w:lvlText w:val="•"/>
      <w:lvlJc w:val="left"/>
      <w:pPr>
        <w:ind w:left="4487" w:hanging="488"/>
      </w:pPr>
      <w:rPr>
        <w:rFonts w:hint="default"/>
        <w:lang w:val="en-US" w:eastAsia="en-US" w:bidi="en-US"/>
      </w:rPr>
    </w:lvl>
    <w:lvl w:ilvl="4" w:tplc="E84C6FF0">
      <w:numFmt w:val="bullet"/>
      <w:lvlText w:val="•"/>
      <w:lvlJc w:val="left"/>
      <w:pPr>
        <w:ind w:left="5330" w:hanging="488"/>
      </w:pPr>
      <w:rPr>
        <w:rFonts w:hint="default"/>
        <w:lang w:val="en-US" w:eastAsia="en-US" w:bidi="en-US"/>
      </w:rPr>
    </w:lvl>
    <w:lvl w:ilvl="5" w:tplc="A620C41E">
      <w:numFmt w:val="bullet"/>
      <w:lvlText w:val="•"/>
      <w:lvlJc w:val="left"/>
      <w:pPr>
        <w:ind w:left="6173" w:hanging="488"/>
      </w:pPr>
      <w:rPr>
        <w:rFonts w:hint="default"/>
        <w:lang w:val="en-US" w:eastAsia="en-US" w:bidi="en-US"/>
      </w:rPr>
    </w:lvl>
    <w:lvl w:ilvl="6" w:tplc="35A8D4DA">
      <w:numFmt w:val="bullet"/>
      <w:lvlText w:val="•"/>
      <w:lvlJc w:val="left"/>
      <w:pPr>
        <w:ind w:left="7015" w:hanging="488"/>
      </w:pPr>
      <w:rPr>
        <w:rFonts w:hint="default"/>
        <w:lang w:val="en-US" w:eastAsia="en-US" w:bidi="en-US"/>
      </w:rPr>
    </w:lvl>
    <w:lvl w:ilvl="7" w:tplc="6F72CA7E">
      <w:numFmt w:val="bullet"/>
      <w:lvlText w:val="•"/>
      <w:lvlJc w:val="left"/>
      <w:pPr>
        <w:ind w:left="7858" w:hanging="488"/>
      </w:pPr>
      <w:rPr>
        <w:rFonts w:hint="default"/>
        <w:lang w:val="en-US" w:eastAsia="en-US" w:bidi="en-US"/>
      </w:rPr>
    </w:lvl>
    <w:lvl w:ilvl="8" w:tplc="E14E2C42">
      <w:numFmt w:val="bullet"/>
      <w:lvlText w:val="•"/>
      <w:lvlJc w:val="left"/>
      <w:pPr>
        <w:ind w:left="8701" w:hanging="488"/>
      </w:pPr>
      <w:rPr>
        <w:rFonts w:hint="default"/>
        <w:lang w:val="en-US" w:eastAsia="en-US" w:bidi="en-US"/>
      </w:rPr>
    </w:lvl>
  </w:abstractNum>
  <w:abstractNum w:abstractNumId="41" w15:restartNumberingAfterBreak="0">
    <w:nsid w:val="2E40037F"/>
    <w:multiLevelType w:val="hybridMultilevel"/>
    <w:tmpl w:val="C26890EA"/>
    <w:lvl w:ilvl="0" w:tplc="D5269640">
      <w:start w:val="12"/>
      <w:numFmt w:val="lowerRoman"/>
      <w:lvlText w:val="%1."/>
      <w:lvlJc w:val="left"/>
      <w:pPr>
        <w:ind w:left="1557" w:hanging="439"/>
        <w:jc w:val="left"/>
      </w:pPr>
      <w:rPr>
        <w:rFonts w:ascii="Times New Roman" w:eastAsia="Times New Roman" w:hAnsi="Times New Roman" w:cs="Times New Roman" w:hint="default"/>
        <w:i/>
        <w:spacing w:val="-25"/>
        <w:w w:val="99"/>
        <w:sz w:val="24"/>
        <w:szCs w:val="24"/>
        <w:lang w:val="en-US" w:eastAsia="en-US" w:bidi="en-US"/>
      </w:rPr>
    </w:lvl>
    <w:lvl w:ilvl="1" w:tplc="7AD841EC">
      <w:numFmt w:val="bullet"/>
      <w:lvlText w:val="•"/>
      <w:lvlJc w:val="left"/>
      <w:pPr>
        <w:ind w:left="2346" w:hanging="439"/>
      </w:pPr>
      <w:rPr>
        <w:rFonts w:hint="default"/>
        <w:lang w:val="en-US" w:eastAsia="en-US" w:bidi="en-US"/>
      </w:rPr>
    </w:lvl>
    <w:lvl w:ilvl="2" w:tplc="729AF2F6">
      <w:numFmt w:val="bullet"/>
      <w:lvlText w:val="•"/>
      <w:lvlJc w:val="left"/>
      <w:pPr>
        <w:ind w:left="3133" w:hanging="439"/>
      </w:pPr>
      <w:rPr>
        <w:rFonts w:hint="default"/>
        <w:lang w:val="en-US" w:eastAsia="en-US" w:bidi="en-US"/>
      </w:rPr>
    </w:lvl>
    <w:lvl w:ilvl="3" w:tplc="553AFDBE">
      <w:numFmt w:val="bullet"/>
      <w:lvlText w:val="•"/>
      <w:lvlJc w:val="left"/>
      <w:pPr>
        <w:ind w:left="3919" w:hanging="439"/>
      </w:pPr>
      <w:rPr>
        <w:rFonts w:hint="default"/>
        <w:lang w:val="en-US" w:eastAsia="en-US" w:bidi="en-US"/>
      </w:rPr>
    </w:lvl>
    <w:lvl w:ilvl="4" w:tplc="05AACD7A">
      <w:numFmt w:val="bullet"/>
      <w:lvlText w:val="•"/>
      <w:lvlJc w:val="left"/>
      <w:pPr>
        <w:ind w:left="4706" w:hanging="439"/>
      </w:pPr>
      <w:rPr>
        <w:rFonts w:hint="default"/>
        <w:lang w:val="en-US" w:eastAsia="en-US" w:bidi="en-US"/>
      </w:rPr>
    </w:lvl>
    <w:lvl w:ilvl="5" w:tplc="5DCCDBE8">
      <w:numFmt w:val="bullet"/>
      <w:lvlText w:val="•"/>
      <w:lvlJc w:val="left"/>
      <w:pPr>
        <w:ind w:left="5493" w:hanging="439"/>
      </w:pPr>
      <w:rPr>
        <w:rFonts w:hint="default"/>
        <w:lang w:val="en-US" w:eastAsia="en-US" w:bidi="en-US"/>
      </w:rPr>
    </w:lvl>
    <w:lvl w:ilvl="6" w:tplc="0C2AF4B8">
      <w:numFmt w:val="bullet"/>
      <w:lvlText w:val="•"/>
      <w:lvlJc w:val="left"/>
      <w:pPr>
        <w:ind w:left="6279" w:hanging="439"/>
      </w:pPr>
      <w:rPr>
        <w:rFonts w:hint="default"/>
        <w:lang w:val="en-US" w:eastAsia="en-US" w:bidi="en-US"/>
      </w:rPr>
    </w:lvl>
    <w:lvl w:ilvl="7" w:tplc="00B43452">
      <w:numFmt w:val="bullet"/>
      <w:lvlText w:val="•"/>
      <w:lvlJc w:val="left"/>
      <w:pPr>
        <w:ind w:left="7066" w:hanging="439"/>
      </w:pPr>
      <w:rPr>
        <w:rFonts w:hint="default"/>
        <w:lang w:val="en-US" w:eastAsia="en-US" w:bidi="en-US"/>
      </w:rPr>
    </w:lvl>
    <w:lvl w:ilvl="8" w:tplc="A76C7DEC">
      <w:numFmt w:val="bullet"/>
      <w:lvlText w:val="•"/>
      <w:lvlJc w:val="left"/>
      <w:pPr>
        <w:ind w:left="7853" w:hanging="439"/>
      </w:pPr>
      <w:rPr>
        <w:rFonts w:hint="default"/>
        <w:lang w:val="en-US" w:eastAsia="en-US" w:bidi="en-US"/>
      </w:rPr>
    </w:lvl>
  </w:abstractNum>
  <w:abstractNum w:abstractNumId="42" w15:restartNumberingAfterBreak="0">
    <w:nsid w:val="2E855733"/>
    <w:multiLevelType w:val="hybridMultilevel"/>
    <w:tmpl w:val="16BA39B0"/>
    <w:lvl w:ilvl="0" w:tplc="62385C94">
      <w:numFmt w:val="bullet"/>
      <w:lvlText w:val=""/>
      <w:lvlJc w:val="left"/>
      <w:pPr>
        <w:ind w:left="1732" w:hanging="288"/>
      </w:pPr>
      <w:rPr>
        <w:rFonts w:ascii="Symbol" w:eastAsia="Symbol" w:hAnsi="Symbol" w:cs="Symbol" w:hint="default"/>
        <w:w w:val="100"/>
        <w:sz w:val="24"/>
        <w:szCs w:val="24"/>
        <w:lang w:val="en-US" w:eastAsia="en-US" w:bidi="en-US"/>
      </w:rPr>
    </w:lvl>
    <w:lvl w:ilvl="1" w:tplc="175C7C66">
      <w:numFmt w:val="bullet"/>
      <w:lvlText w:val="•"/>
      <w:lvlJc w:val="left"/>
      <w:pPr>
        <w:ind w:left="2512" w:hanging="288"/>
      </w:pPr>
      <w:rPr>
        <w:rFonts w:hint="default"/>
        <w:lang w:val="en-US" w:eastAsia="en-US" w:bidi="en-US"/>
      </w:rPr>
    </w:lvl>
    <w:lvl w:ilvl="2" w:tplc="EC669232">
      <w:numFmt w:val="bullet"/>
      <w:lvlText w:val="•"/>
      <w:lvlJc w:val="left"/>
      <w:pPr>
        <w:ind w:left="3285" w:hanging="288"/>
      </w:pPr>
      <w:rPr>
        <w:rFonts w:hint="default"/>
        <w:lang w:val="en-US" w:eastAsia="en-US" w:bidi="en-US"/>
      </w:rPr>
    </w:lvl>
    <w:lvl w:ilvl="3" w:tplc="06786382">
      <w:numFmt w:val="bullet"/>
      <w:lvlText w:val="•"/>
      <w:lvlJc w:val="left"/>
      <w:pPr>
        <w:ind w:left="4058" w:hanging="288"/>
      </w:pPr>
      <w:rPr>
        <w:rFonts w:hint="default"/>
        <w:lang w:val="en-US" w:eastAsia="en-US" w:bidi="en-US"/>
      </w:rPr>
    </w:lvl>
    <w:lvl w:ilvl="4" w:tplc="12127846">
      <w:numFmt w:val="bullet"/>
      <w:lvlText w:val="•"/>
      <w:lvlJc w:val="left"/>
      <w:pPr>
        <w:ind w:left="4831" w:hanging="288"/>
      </w:pPr>
      <w:rPr>
        <w:rFonts w:hint="default"/>
        <w:lang w:val="en-US" w:eastAsia="en-US" w:bidi="en-US"/>
      </w:rPr>
    </w:lvl>
    <w:lvl w:ilvl="5" w:tplc="704ED71A">
      <w:numFmt w:val="bullet"/>
      <w:lvlText w:val="•"/>
      <w:lvlJc w:val="left"/>
      <w:pPr>
        <w:ind w:left="5604" w:hanging="288"/>
      </w:pPr>
      <w:rPr>
        <w:rFonts w:hint="default"/>
        <w:lang w:val="en-US" w:eastAsia="en-US" w:bidi="en-US"/>
      </w:rPr>
    </w:lvl>
    <w:lvl w:ilvl="6" w:tplc="850A560C">
      <w:numFmt w:val="bullet"/>
      <w:lvlText w:val="•"/>
      <w:lvlJc w:val="left"/>
      <w:pPr>
        <w:ind w:left="6377" w:hanging="288"/>
      </w:pPr>
      <w:rPr>
        <w:rFonts w:hint="default"/>
        <w:lang w:val="en-US" w:eastAsia="en-US" w:bidi="en-US"/>
      </w:rPr>
    </w:lvl>
    <w:lvl w:ilvl="7" w:tplc="70B0A3E4">
      <w:numFmt w:val="bullet"/>
      <w:lvlText w:val="•"/>
      <w:lvlJc w:val="left"/>
      <w:pPr>
        <w:ind w:left="7150" w:hanging="288"/>
      </w:pPr>
      <w:rPr>
        <w:rFonts w:hint="default"/>
        <w:lang w:val="en-US" w:eastAsia="en-US" w:bidi="en-US"/>
      </w:rPr>
    </w:lvl>
    <w:lvl w:ilvl="8" w:tplc="0F6AA21A">
      <w:numFmt w:val="bullet"/>
      <w:lvlText w:val="•"/>
      <w:lvlJc w:val="left"/>
      <w:pPr>
        <w:ind w:left="7923" w:hanging="288"/>
      </w:pPr>
      <w:rPr>
        <w:rFonts w:hint="default"/>
        <w:lang w:val="en-US" w:eastAsia="en-US" w:bidi="en-US"/>
      </w:rPr>
    </w:lvl>
  </w:abstractNum>
  <w:abstractNum w:abstractNumId="43" w15:restartNumberingAfterBreak="0">
    <w:nsid w:val="2F882B1D"/>
    <w:multiLevelType w:val="hybridMultilevel"/>
    <w:tmpl w:val="79ECCE9A"/>
    <w:lvl w:ilvl="0" w:tplc="85662BCE">
      <w:start w:val="1"/>
      <w:numFmt w:val="lowerRoman"/>
      <w:lvlText w:val="%1."/>
      <w:lvlJc w:val="left"/>
      <w:pPr>
        <w:ind w:left="2217" w:hanging="488"/>
        <w:jc w:val="right"/>
      </w:pPr>
      <w:rPr>
        <w:rFonts w:ascii="Times New Roman" w:eastAsia="Times New Roman" w:hAnsi="Times New Roman" w:cs="Times New Roman" w:hint="default"/>
        <w:i/>
        <w:spacing w:val="-1"/>
        <w:w w:val="99"/>
        <w:sz w:val="24"/>
        <w:szCs w:val="24"/>
        <w:lang w:val="en-US" w:eastAsia="en-US" w:bidi="en-US"/>
      </w:rPr>
    </w:lvl>
    <w:lvl w:ilvl="1" w:tplc="F44A51F6">
      <w:numFmt w:val="bullet"/>
      <w:lvlText w:val="•"/>
      <w:lvlJc w:val="left"/>
      <w:pPr>
        <w:ind w:left="2952" w:hanging="488"/>
      </w:pPr>
      <w:rPr>
        <w:rFonts w:hint="default"/>
        <w:lang w:val="en-US" w:eastAsia="en-US" w:bidi="en-US"/>
      </w:rPr>
    </w:lvl>
    <w:lvl w:ilvl="2" w:tplc="BC86E222">
      <w:numFmt w:val="bullet"/>
      <w:lvlText w:val="•"/>
      <w:lvlJc w:val="left"/>
      <w:pPr>
        <w:ind w:left="3685" w:hanging="488"/>
      </w:pPr>
      <w:rPr>
        <w:rFonts w:hint="default"/>
        <w:lang w:val="en-US" w:eastAsia="en-US" w:bidi="en-US"/>
      </w:rPr>
    </w:lvl>
    <w:lvl w:ilvl="3" w:tplc="C3E0E7D8">
      <w:numFmt w:val="bullet"/>
      <w:lvlText w:val="•"/>
      <w:lvlJc w:val="left"/>
      <w:pPr>
        <w:ind w:left="4417" w:hanging="488"/>
      </w:pPr>
      <w:rPr>
        <w:rFonts w:hint="default"/>
        <w:lang w:val="en-US" w:eastAsia="en-US" w:bidi="en-US"/>
      </w:rPr>
    </w:lvl>
    <w:lvl w:ilvl="4" w:tplc="D52451C8">
      <w:numFmt w:val="bullet"/>
      <w:lvlText w:val="•"/>
      <w:lvlJc w:val="left"/>
      <w:pPr>
        <w:ind w:left="5150" w:hanging="488"/>
      </w:pPr>
      <w:rPr>
        <w:rFonts w:hint="default"/>
        <w:lang w:val="en-US" w:eastAsia="en-US" w:bidi="en-US"/>
      </w:rPr>
    </w:lvl>
    <w:lvl w:ilvl="5" w:tplc="D42C4DD4">
      <w:numFmt w:val="bullet"/>
      <w:lvlText w:val="•"/>
      <w:lvlJc w:val="left"/>
      <w:pPr>
        <w:ind w:left="5883" w:hanging="488"/>
      </w:pPr>
      <w:rPr>
        <w:rFonts w:hint="default"/>
        <w:lang w:val="en-US" w:eastAsia="en-US" w:bidi="en-US"/>
      </w:rPr>
    </w:lvl>
    <w:lvl w:ilvl="6" w:tplc="440E2B72">
      <w:numFmt w:val="bullet"/>
      <w:lvlText w:val="•"/>
      <w:lvlJc w:val="left"/>
      <w:pPr>
        <w:ind w:left="6615" w:hanging="488"/>
      </w:pPr>
      <w:rPr>
        <w:rFonts w:hint="default"/>
        <w:lang w:val="en-US" w:eastAsia="en-US" w:bidi="en-US"/>
      </w:rPr>
    </w:lvl>
    <w:lvl w:ilvl="7" w:tplc="2012CA2A">
      <w:numFmt w:val="bullet"/>
      <w:lvlText w:val="•"/>
      <w:lvlJc w:val="left"/>
      <w:pPr>
        <w:ind w:left="7348" w:hanging="488"/>
      </w:pPr>
      <w:rPr>
        <w:rFonts w:hint="default"/>
        <w:lang w:val="en-US" w:eastAsia="en-US" w:bidi="en-US"/>
      </w:rPr>
    </w:lvl>
    <w:lvl w:ilvl="8" w:tplc="5B7C391C">
      <w:numFmt w:val="bullet"/>
      <w:lvlText w:val="•"/>
      <w:lvlJc w:val="left"/>
      <w:pPr>
        <w:ind w:left="8081" w:hanging="488"/>
      </w:pPr>
      <w:rPr>
        <w:rFonts w:hint="default"/>
        <w:lang w:val="en-US" w:eastAsia="en-US" w:bidi="en-US"/>
      </w:rPr>
    </w:lvl>
  </w:abstractNum>
  <w:abstractNum w:abstractNumId="44" w15:restartNumberingAfterBreak="0">
    <w:nsid w:val="303C3B94"/>
    <w:multiLevelType w:val="multilevel"/>
    <w:tmpl w:val="B31CCF9C"/>
    <w:lvl w:ilvl="0">
      <w:start w:val="6"/>
      <w:numFmt w:val="decimal"/>
      <w:lvlText w:val="%1"/>
      <w:lvlJc w:val="left"/>
      <w:pPr>
        <w:ind w:left="1225" w:hanging="965"/>
        <w:jc w:val="left"/>
      </w:pPr>
      <w:rPr>
        <w:rFonts w:hint="default"/>
        <w:lang w:val="en-US" w:eastAsia="en-US" w:bidi="en-US"/>
      </w:rPr>
    </w:lvl>
    <w:lvl w:ilvl="1">
      <w:start w:val="2"/>
      <w:numFmt w:val="decimal"/>
      <w:lvlText w:val="%1.%2"/>
      <w:lvlJc w:val="left"/>
      <w:pPr>
        <w:ind w:left="1225" w:hanging="965"/>
        <w:jc w:val="left"/>
      </w:pPr>
      <w:rPr>
        <w:rFonts w:hint="default"/>
        <w:lang w:val="en-US" w:eastAsia="en-US" w:bidi="en-US"/>
      </w:rPr>
    </w:lvl>
    <w:lvl w:ilvl="2">
      <w:start w:val="4"/>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27"/>
        <w:w w:val="99"/>
        <w:sz w:val="24"/>
        <w:szCs w:val="24"/>
        <w:lang w:val="en-US" w:eastAsia="en-US" w:bidi="en-US"/>
      </w:rPr>
    </w:lvl>
    <w:lvl w:ilvl="4">
      <w:numFmt w:val="bullet"/>
      <w:lvlText w:val="•"/>
      <w:lvlJc w:val="left"/>
      <w:pPr>
        <w:ind w:left="4798" w:hanging="965"/>
      </w:pPr>
      <w:rPr>
        <w:rFonts w:hint="default"/>
        <w:lang w:val="en-US" w:eastAsia="en-US" w:bidi="en-US"/>
      </w:rPr>
    </w:lvl>
    <w:lvl w:ilvl="5">
      <w:numFmt w:val="bullet"/>
      <w:lvlText w:val="•"/>
      <w:lvlJc w:val="left"/>
      <w:pPr>
        <w:ind w:left="5693" w:hanging="965"/>
      </w:pPr>
      <w:rPr>
        <w:rFonts w:hint="default"/>
        <w:lang w:val="en-US" w:eastAsia="en-US" w:bidi="en-US"/>
      </w:rPr>
    </w:lvl>
    <w:lvl w:ilvl="6">
      <w:numFmt w:val="bullet"/>
      <w:lvlText w:val="•"/>
      <w:lvlJc w:val="left"/>
      <w:pPr>
        <w:ind w:left="6587" w:hanging="965"/>
      </w:pPr>
      <w:rPr>
        <w:rFonts w:hint="default"/>
        <w:lang w:val="en-US" w:eastAsia="en-US" w:bidi="en-US"/>
      </w:rPr>
    </w:lvl>
    <w:lvl w:ilvl="7">
      <w:numFmt w:val="bullet"/>
      <w:lvlText w:val="•"/>
      <w:lvlJc w:val="left"/>
      <w:pPr>
        <w:ind w:left="7482" w:hanging="965"/>
      </w:pPr>
      <w:rPr>
        <w:rFonts w:hint="default"/>
        <w:lang w:val="en-US" w:eastAsia="en-US" w:bidi="en-US"/>
      </w:rPr>
    </w:lvl>
    <w:lvl w:ilvl="8">
      <w:numFmt w:val="bullet"/>
      <w:lvlText w:val="•"/>
      <w:lvlJc w:val="left"/>
      <w:pPr>
        <w:ind w:left="8377" w:hanging="965"/>
      </w:pPr>
      <w:rPr>
        <w:rFonts w:hint="default"/>
        <w:lang w:val="en-US" w:eastAsia="en-US" w:bidi="en-US"/>
      </w:rPr>
    </w:lvl>
  </w:abstractNum>
  <w:abstractNum w:abstractNumId="45" w15:restartNumberingAfterBreak="0">
    <w:nsid w:val="311941E2"/>
    <w:multiLevelType w:val="multilevel"/>
    <w:tmpl w:val="4A202EB2"/>
    <w:lvl w:ilvl="0">
      <w:start w:val="6"/>
      <w:numFmt w:val="decimal"/>
      <w:lvlText w:val="%1"/>
      <w:lvlJc w:val="left"/>
      <w:pPr>
        <w:ind w:left="1225" w:hanging="965"/>
        <w:jc w:val="left"/>
      </w:pPr>
      <w:rPr>
        <w:rFonts w:hint="default"/>
        <w:lang w:val="en-US" w:eastAsia="en-US" w:bidi="en-US"/>
      </w:rPr>
    </w:lvl>
    <w:lvl w:ilvl="1">
      <w:start w:val="1"/>
      <w:numFmt w:val="decimal"/>
      <w:lvlText w:val="%1.%2"/>
      <w:lvlJc w:val="left"/>
      <w:pPr>
        <w:ind w:left="1225" w:hanging="965"/>
        <w:jc w:val="left"/>
      </w:pPr>
      <w:rPr>
        <w:rFonts w:hint="default"/>
        <w:lang w:val="en-US" w:eastAsia="en-US" w:bidi="en-US"/>
      </w:rPr>
    </w:lvl>
    <w:lvl w:ilvl="2">
      <w:start w:val="1"/>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hint="default"/>
        <w:b/>
        <w:bCs/>
        <w:spacing w:val="-25"/>
        <w:w w:val="99"/>
        <w:lang w:val="en-US" w:eastAsia="en-US" w:bidi="en-US"/>
      </w:rPr>
    </w:lvl>
    <w:lvl w:ilvl="4">
      <w:start w:val="1"/>
      <w:numFmt w:val="lowerLetter"/>
      <w:lvlText w:val="(%5)"/>
      <w:lvlJc w:val="left"/>
      <w:pPr>
        <w:ind w:left="1520" w:hanging="360"/>
        <w:jc w:val="left"/>
      </w:pPr>
      <w:rPr>
        <w:rFonts w:ascii="Times New Roman" w:eastAsia="Times New Roman" w:hAnsi="Times New Roman" w:cs="Times New Roman" w:hint="default"/>
        <w:spacing w:val="-25"/>
        <w:w w:val="99"/>
        <w:sz w:val="24"/>
        <w:szCs w:val="24"/>
        <w:lang w:val="en-US" w:eastAsia="en-US" w:bidi="en-US"/>
      </w:rPr>
    </w:lvl>
    <w:lvl w:ilvl="5">
      <w:numFmt w:val="bullet"/>
      <w:lvlText w:val="•"/>
      <w:lvlJc w:val="left"/>
      <w:pPr>
        <w:ind w:left="5362" w:hanging="360"/>
      </w:pPr>
      <w:rPr>
        <w:rFonts w:hint="default"/>
        <w:lang w:val="en-US" w:eastAsia="en-US" w:bidi="en-US"/>
      </w:rPr>
    </w:lvl>
    <w:lvl w:ilvl="6">
      <w:numFmt w:val="bullet"/>
      <w:lvlText w:val="•"/>
      <w:lvlJc w:val="left"/>
      <w:pPr>
        <w:ind w:left="6323" w:hanging="360"/>
      </w:pPr>
      <w:rPr>
        <w:rFonts w:hint="default"/>
        <w:lang w:val="en-US" w:eastAsia="en-US" w:bidi="en-US"/>
      </w:rPr>
    </w:lvl>
    <w:lvl w:ilvl="7">
      <w:numFmt w:val="bullet"/>
      <w:lvlText w:val="•"/>
      <w:lvlJc w:val="left"/>
      <w:pPr>
        <w:ind w:left="7284" w:hanging="360"/>
      </w:pPr>
      <w:rPr>
        <w:rFonts w:hint="default"/>
        <w:lang w:val="en-US" w:eastAsia="en-US" w:bidi="en-US"/>
      </w:rPr>
    </w:lvl>
    <w:lvl w:ilvl="8">
      <w:numFmt w:val="bullet"/>
      <w:lvlText w:val="•"/>
      <w:lvlJc w:val="left"/>
      <w:pPr>
        <w:ind w:left="8244" w:hanging="360"/>
      </w:pPr>
      <w:rPr>
        <w:rFonts w:hint="default"/>
        <w:lang w:val="en-US" w:eastAsia="en-US" w:bidi="en-US"/>
      </w:rPr>
    </w:lvl>
  </w:abstractNum>
  <w:abstractNum w:abstractNumId="46" w15:restartNumberingAfterBreak="0">
    <w:nsid w:val="31401EC9"/>
    <w:multiLevelType w:val="multilevel"/>
    <w:tmpl w:val="CC7E8448"/>
    <w:lvl w:ilvl="0">
      <w:start w:val="3"/>
      <w:numFmt w:val="decimal"/>
      <w:lvlText w:val="%1"/>
      <w:lvlJc w:val="left"/>
      <w:pPr>
        <w:ind w:left="1540" w:hanging="576"/>
        <w:jc w:val="left"/>
      </w:pPr>
      <w:rPr>
        <w:rFonts w:hint="default"/>
        <w:lang w:val="en-US" w:eastAsia="en-US" w:bidi="en-US"/>
      </w:rPr>
    </w:lvl>
    <w:lvl w:ilvl="1">
      <w:start w:val="90"/>
      <w:numFmt w:val="decimal"/>
      <w:lvlText w:val="%1.%2"/>
      <w:lvlJc w:val="left"/>
      <w:pPr>
        <w:ind w:left="1540" w:hanging="576"/>
        <w:jc w:val="left"/>
      </w:pPr>
      <w:rPr>
        <w:rFonts w:ascii="Times New Roman" w:eastAsia="Times New Roman" w:hAnsi="Times New Roman" w:cs="Times New Roman" w:hint="default"/>
        <w:i/>
        <w:spacing w:val="-25"/>
        <w:w w:val="99"/>
        <w:sz w:val="24"/>
        <w:szCs w:val="24"/>
        <w:lang w:val="en-US" w:eastAsia="en-US" w:bidi="en-US"/>
      </w:rPr>
    </w:lvl>
    <w:lvl w:ilvl="2">
      <w:numFmt w:val="bullet"/>
      <w:lvlText w:val="•"/>
      <w:lvlJc w:val="left"/>
      <w:pPr>
        <w:ind w:left="3089" w:hanging="576"/>
      </w:pPr>
      <w:rPr>
        <w:rFonts w:hint="default"/>
        <w:lang w:val="en-US" w:eastAsia="en-US" w:bidi="en-US"/>
      </w:rPr>
    </w:lvl>
    <w:lvl w:ilvl="3">
      <w:numFmt w:val="bullet"/>
      <w:lvlText w:val="•"/>
      <w:lvlJc w:val="left"/>
      <w:pPr>
        <w:ind w:left="3863" w:hanging="576"/>
      </w:pPr>
      <w:rPr>
        <w:rFonts w:hint="default"/>
        <w:lang w:val="en-US" w:eastAsia="en-US" w:bidi="en-US"/>
      </w:rPr>
    </w:lvl>
    <w:lvl w:ilvl="4">
      <w:numFmt w:val="bullet"/>
      <w:lvlText w:val="•"/>
      <w:lvlJc w:val="left"/>
      <w:pPr>
        <w:ind w:left="4638" w:hanging="576"/>
      </w:pPr>
      <w:rPr>
        <w:rFonts w:hint="default"/>
        <w:lang w:val="en-US" w:eastAsia="en-US" w:bidi="en-US"/>
      </w:rPr>
    </w:lvl>
    <w:lvl w:ilvl="5">
      <w:numFmt w:val="bullet"/>
      <w:lvlText w:val="•"/>
      <w:lvlJc w:val="left"/>
      <w:pPr>
        <w:ind w:left="5413" w:hanging="576"/>
      </w:pPr>
      <w:rPr>
        <w:rFonts w:hint="default"/>
        <w:lang w:val="en-US" w:eastAsia="en-US" w:bidi="en-US"/>
      </w:rPr>
    </w:lvl>
    <w:lvl w:ilvl="6">
      <w:numFmt w:val="bullet"/>
      <w:lvlText w:val="•"/>
      <w:lvlJc w:val="left"/>
      <w:pPr>
        <w:ind w:left="6187" w:hanging="576"/>
      </w:pPr>
      <w:rPr>
        <w:rFonts w:hint="default"/>
        <w:lang w:val="en-US" w:eastAsia="en-US" w:bidi="en-US"/>
      </w:rPr>
    </w:lvl>
    <w:lvl w:ilvl="7">
      <w:numFmt w:val="bullet"/>
      <w:lvlText w:val="•"/>
      <w:lvlJc w:val="left"/>
      <w:pPr>
        <w:ind w:left="6962" w:hanging="576"/>
      </w:pPr>
      <w:rPr>
        <w:rFonts w:hint="default"/>
        <w:lang w:val="en-US" w:eastAsia="en-US" w:bidi="en-US"/>
      </w:rPr>
    </w:lvl>
    <w:lvl w:ilvl="8">
      <w:numFmt w:val="bullet"/>
      <w:lvlText w:val="•"/>
      <w:lvlJc w:val="left"/>
      <w:pPr>
        <w:ind w:left="7737" w:hanging="576"/>
      </w:pPr>
      <w:rPr>
        <w:rFonts w:hint="default"/>
        <w:lang w:val="en-US" w:eastAsia="en-US" w:bidi="en-US"/>
      </w:rPr>
    </w:lvl>
  </w:abstractNum>
  <w:abstractNum w:abstractNumId="47" w15:restartNumberingAfterBreak="0">
    <w:nsid w:val="34EB4AEB"/>
    <w:multiLevelType w:val="hybridMultilevel"/>
    <w:tmpl w:val="C89694F0"/>
    <w:lvl w:ilvl="0" w:tplc="38D82934">
      <w:start w:val="16"/>
      <w:numFmt w:val="decimal"/>
      <w:lvlText w:val="%1."/>
      <w:lvlJc w:val="left"/>
      <w:pPr>
        <w:ind w:left="1112" w:hanging="411"/>
        <w:jc w:val="left"/>
      </w:pPr>
      <w:rPr>
        <w:rFonts w:ascii="Times New Roman" w:eastAsia="Times New Roman" w:hAnsi="Times New Roman" w:cs="Times New Roman" w:hint="default"/>
        <w:spacing w:val="-13"/>
        <w:w w:val="99"/>
        <w:sz w:val="24"/>
        <w:szCs w:val="24"/>
        <w:lang w:val="en-US" w:eastAsia="en-US" w:bidi="en-US"/>
      </w:rPr>
    </w:lvl>
    <w:lvl w:ilvl="1" w:tplc="01708F3E">
      <w:numFmt w:val="bullet"/>
      <w:lvlText w:val="•"/>
      <w:lvlJc w:val="left"/>
      <w:pPr>
        <w:ind w:left="1120" w:hanging="411"/>
      </w:pPr>
      <w:rPr>
        <w:rFonts w:hint="default"/>
        <w:lang w:val="en-US" w:eastAsia="en-US" w:bidi="en-US"/>
      </w:rPr>
    </w:lvl>
    <w:lvl w:ilvl="2" w:tplc="D61C68CC">
      <w:numFmt w:val="bullet"/>
      <w:lvlText w:val="•"/>
      <w:lvlJc w:val="left"/>
      <w:pPr>
        <w:ind w:left="2125" w:hanging="411"/>
      </w:pPr>
      <w:rPr>
        <w:rFonts w:hint="default"/>
        <w:lang w:val="en-US" w:eastAsia="en-US" w:bidi="en-US"/>
      </w:rPr>
    </w:lvl>
    <w:lvl w:ilvl="3" w:tplc="F1304780">
      <w:numFmt w:val="bullet"/>
      <w:lvlText w:val="•"/>
      <w:lvlJc w:val="left"/>
      <w:pPr>
        <w:ind w:left="3130" w:hanging="411"/>
      </w:pPr>
      <w:rPr>
        <w:rFonts w:hint="default"/>
        <w:lang w:val="en-US" w:eastAsia="en-US" w:bidi="en-US"/>
      </w:rPr>
    </w:lvl>
    <w:lvl w:ilvl="4" w:tplc="79C29BA0">
      <w:numFmt w:val="bullet"/>
      <w:lvlText w:val="•"/>
      <w:lvlJc w:val="left"/>
      <w:pPr>
        <w:ind w:left="4135" w:hanging="411"/>
      </w:pPr>
      <w:rPr>
        <w:rFonts w:hint="default"/>
        <w:lang w:val="en-US" w:eastAsia="en-US" w:bidi="en-US"/>
      </w:rPr>
    </w:lvl>
    <w:lvl w:ilvl="5" w:tplc="C066C4A4">
      <w:numFmt w:val="bullet"/>
      <w:lvlText w:val="•"/>
      <w:lvlJc w:val="left"/>
      <w:pPr>
        <w:ind w:left="5140" w:hanging="411"/>
      </w:pPr>
      <w:rPr>
        <w:rFonts w:hint="default"/>
        <w:lang w:val="en-US" w:eastAsia="en-US" w:bidi="en-US"/>
      </w:rPr>
    </w:lvl>
    <w:lvl w:ilvl="6" w:tplc="78F613B0">
      <w:numFmt w:val="bullet"/>
      <w:lvlText w:val="•"/>
      <w:lvlJc w:val="left"/>
      <w:pPr>
        <w:ind w:left="6145" w:hanging="411"/>
      </w:pPr>
      <w:rPr>
        <w:rFonts w:hint="default"/>
        <w:lang w:val="en-US" w:eastAsia="en-US" w:bidi="en-US"/>
      </w:rPr>
    </w:lvl>
    <w:lvl w:ilvl="7" w:tplc="CE869D9C">
      <w:numFmt w:val="bullet"/>
      <w:lvlText w:val="•"/>
      <w:lvlJc w:val="left"/>
      <w:pPr>
        <w:ind w:left="7150" w:hanging="411"/>
      </w:pPr>
      <w:rPr>
        <w:rFonts w:hint="default"/>
        <w:lang w:val="en-US" w:eastAsia="en-US" w:bidi="en-US"/>
      </w:rPr>
    </w:lvl>
    <w:lvl w:ilvl="8" w:tplc="0CFC81FA">
      <w:numFmt w:val="bullet"/>
      <w:lvlText w:val="•"/>
      <w:lvlJc w:val="left"/>
      <w:pPr>
        <w:ind w:left="8156" w:hanging="411"/>
      </w:pPr>
      <w:rPr>
        <w:rFonts w:hint="default"/>
        <w:lang w:val="en-US" w:eastAsia="en-US" w:bidi="en-US"/>
      </w:rPr>
    </w:lvl>
  </w:abstractNum>
  <w:abstractNum w:abstractNumId="48" w15:restartNumberingAfterBreak="0">
    <w:nsid w:val="36744816"/>
    <w:multiLevelType w:val="multilevel"/>
    <w:tmpl w:val="368ADC98"/>
    <w:lvl w:ilvl="0">
      <w:start w:val="5"/>
      <w:numFmt w:val="decimal"/>
      <w:lvlText w:val="%1"/>
      <w:lvlJc w:val="left"/>
      <w:pPr>
        <w:ind w:left="2065" w:hanging="965"/>
        <w:jc w:val="left"/>
      </w:pPr>
      <w:rPr>
        <w:rFonts w:hint="default"/>
        <w:lang w:val="en-US" w:eastAsia="en-US" w:bidi="en-US"/>
      </w:rPr>
    </w:lvl>
    <w:lvl w:ilvl="1">
      <w:start w:val="2"/>
      <w:numFmt w:val="decimal"/>
      <w:lvlText w:val="%1.%2"/>
      <w:lvlJc w:val="left"/>
      <w:pPr>
        <w:ind w:left="2065" w:hanging="965"/>
        <w:jc w:val="left"/>
      </w:pPr>
      <w:rPr>
        <w:rFonts w:hint="default"/>
        <w:lang w:val="en-US" w:eastAsia="en-US" w:bidi="en-US"/>
      </w:rPr>
    </w:lvl>
    <w:lvl w:ilvl="2">
      <w:start w:val="2"/>
      <w:numFmt w:val="decimal"/>
      <w:lvlText w:val="%1.%2.%3"/>
      <w:lvlJc w:val="left"/>
      <w:pPr>
        <w:ind w:left="2065" w:hanging="965"/>
        <w:jc w:val="left"/>
      </w:pPr>
      <w:rPr>
        <w:rFonts w:hint="default"/>
        <w:lang w:val="en-US" w:eastAsia="en-US" w:bidi="en-US"/>
      </w:rPr>
    </w:lvl>
    <w:lvl w:ilvl="3">
      <w:start w:val="1"/>
      <w:numFmt w:val="decimal"/>
      <w:lvlText w:val="%1.%2.%3.%4"/>
      <w:lvlJc w:val="left"/>
      <w:pPr>
        <w:ind w:left="2065" w:hanging="965"/>
        <w:jc w:val="left"/>
      </w:pPr>
      <w:rPr>
        <w:rFonts w:ascii="Times New Roman" w:eastAsia="Times New Roman" w:hAnsi="Times New Roman" w:cs="Times New Roman" w:hint="default"/>
        <w:spacing w:val="-26"/>
        <w:w w:val="99"/>
        <w:sz w:val="24"/>
        <w:szCs w:val="24"/>
        <w:lang w:val="en-US" w:eastAsia="en-US" w:bidi="en-US"/>
      </w:rPr>
    </w:lvl>
    <w:lvl w:ilvl="4">
      <w:start w:val="1"/>
      <w:numFmt w:val="lowerLetter"/>
      <w:lvlText w:val="%5)"/>
      <w:lvlJc w:val="left"/>
      <w:pPr>
        <w:ind w:left="2312" w:hanging="360"/>
        <w:jc w:val="left"/>
      </w:pPr>
      <w:rPr>
        <w:rFonts w:ascii="Times New Roman" w:eastAsia="Times New Roman" w:hAnsi="Times New Roman" w:cs="Times New Roman" w:hint="default"/>
        <w:b/>
        <w:bCs/>
        <w:spacing w:val="-20"/>
        <w:w w:val="99"/>
        <w:sz w:val="24"/>
        <w:szCs w:val="24"/>
        <w:lang w:val="en-US" w:eastAsia="en-US" w:bidi="en-US"/>
      </w:rPr>
    </w:lvl>
    <w:lvl w:ilvl="5">
      <w:numFmt w:val="bullet"/>
      <w:lvlText w:val="•"/>
      <w:lvlJc w:val="left"/>
      <w:pPr>
        <w:ind w:left="6313" w:hanging="360"/>
      </w:pPr>
      <w:rPr>
        <w:rFonts w:hint="default"/>
        <w:lang w:val="en-US" w:eastAsia="en-US" w:bidi="en-US"/>
      </w:rPr>
    </w:lvl>
    <w:lvl w:ilvl="6">
      <w:numFmt w:val="bullet"/>
      <w:lvlText w:val="•"/>
      <w:lvlJc w:val="left"/>
      <w:pPr>
        <w:ind w:left="7312" w:hanging="360"/>
      </w:pPr>
      <w:rPr>
        <w:rFonts w:hint="default"/>
        <w:lang w:val="en-US" w:eastAsia="en-US" w:bidi="en-US"/>
      </w:rPr>
    </w:lvl>
    <w:lvl w:ilvl="7">
      <w:numFmt w:val="bullet"/>
      <w:lvlText w:val="•"/>
      <w:lvlJc w:val="left"/>
      <w:pPr>
        <w:ind w:left="8310" w:hanging="360"/>
      </w:pPr>
      <w:rPr>
        <w:rFonts w:hint="default"/>
        <w:lang w:val="en-US" w:eastAsia="en-US" w:bidi="en-US"/>
      </w:rPr>
    </w:lvl>
    <w:lvl w:ilvl="8">
      <w:numFmt w:val="bullet"/>
      <w:lvlText w:val="•"/>
      <w:lvlJc w:val="left"/>
      <w:pPr>
        <w:ind w:left="9309" w:hanging="360"/>
      </w:pPr>
      <w:rPr>
        <w:rFonts w:hint="default"/>
        <w:lang w:val="en-US" w:eastAsia="en-US" w:bidi="en-US"/>
      </w:rPr>
    </w:lvl>
  </w:abstractNum>
  <w:abstractNum w:abstractNumId="49" w15:restartNumberingAfterBreak="0">
    <w:nsid w:val="380B33F1"/>
    <w:multiLevelType w:val="hybridMultilevel"/>
    <w:tmpl w:val="E93E7BE6"/>
    <w:lvl w:ilvl="0" w:tplc="BB985A84">
      <w:start w:val="1"/>
      <w:numFmt w:val="lowerLetter"/>
      <w:lvlText w:val="%1)"/>
      <w:lvlJc w:val="left"/>
      <w:pPr>
        <w:ind w:left="2312" w:hanging="360"/>
        <w:jc w:val="left"/>
      </w:pPr>
      <w:rPr>
        <w:rFonts w:ascii="Times New Roman" w:eastAsia="Times New Roman" w:hAnsi="Times New Roman" w:cs="Times New Roman" w:hint="default"/>
        <w:b/>
        <w:bCs/>
        <w:spacing w:val="-20"/>
        <w:w w:val="99"/>
        <w:sz w:val="24"/>
        <w:szCs w:val="24"/>
        <w:lang w:val="en-US" w:eastAsia="en-US" w:bidi="en-US"/>
      </w:rPr>
    </w:lvl>
    <w:lvl w:ilvl="1" w:tplc="F0662BEE">
      <w:numFmt w:val="bullet"/>
      <w:lvlText w:val="•"/>
      <w:lvlJc w:val="left"/>
      <w:pPr>
        <w:ind w:left="3218" w:hanging="360"/>
      </w:pPr>
      <w:rPr>
        <w:rFonts w:hint="default"/>
        <w:lang w:val="en-US" w:eastAsia="en-US" w:bidi="en-US"/>
      </w:rPr>
    </w:lvl>
    <w:lvl w:ilvl="2" w:tplc="93661996">
      <w:numFmt w:val="bullet"/>
      <w:lvlText w:val="•"/>
      <w:lvlJc w:val="left"/>
      <w:pPr>
        <w:ind w:left="4117" w:hanging="360"/>
      </w:pPr>
      <w:rPr>
        <w:rFonts w:hint="default"/>
        <w:lang w:val="en-US" w:eastAsia="en-US" w:bidi="en-US"/>
      </w:rPr>
    </w:lvl>
    <w:lvl w:ilvl="3" w:tplc="F7BED42E">
      <w:numFmt w:val="bullet"/>
      <w:lvlText w:val="•"/>
      <w:lvlJc w:val="left"/>
      <w:pPr>
        <w:ind w:left="5015" w:hanging="360"/>
      </w:pPr>
      <w:rPr>
        <w:rFonts w:hint="default"/>
        <w:lang w:val="en-US" w:eastAsia="en-US" w:bidi="en-US"/>
      </w:rPr>
    </w:lvl>
    <w:lvl w:ilvl="4" w:tplc="838C080C">
      <w:numFmt w:val="bullet"/>
      <w:lvlText w:val="•"/>
      <w:lvlJc w:val="left"/>
      <w:pPr>
        <w:ind w:left="5914" w:hanging="360"/>
      </w:pPr>
      <w:rPr>
        <w:rFonts w:hint="default"/>
        <w:lang w:val="en-US" w:eastAsia="en-US" w:bidi="en-US"/>
      </w:rPr>
    </w:lvl>
    <w:lvl w:ilvl="5" w:tplc="F8D8255E">
      <w:numFmt w:val="bullet"/>
      <w:lvlText w:val="•"/>
      <w:lvlJc w:val="left"/>
      <w:pPr>
        <w:ind w:left="6813" w:hanging="360"/>
      </w:pPr>
      <w:rPr>
        <w:rFonts w:hint="default"/>
        <w:lang w:val="en-US" w:eastAsia="en-US" w:bidi="en-US"/>
      </w:rPr>
    </w:lvl>
    <w:lvl w:ilvl="6" w:tplc="10B8D40E">
      <w:numFmt w:val="bullet"/>
      <w:lvlText w:val="•"/>
      <w:lvlJc w:val="left"/>
      <w:pPr>
        <w:ind w:left="7711" w:hanging="360"/>
      </w:pPr>
      <w:rPr>
        <w:rFonts w:hint="default"/>
        <w:lang w:val="en-US" w:eastAsia="en-US" w:bidi="en-US"/>
      </w:rPr>
    </w:lvl>
    <w:lvl w:ilvl="7" w:tplc="B3040C60">
      <w:numFmt w:val="bullet"/>
      <w:lvlText w:val="•"/>
      <w:lvlJc w:val="left"/>
      <w:pPr>
        <w:ind w:left="8610" w:hanging="360"/>
      </w:pPr>
      <w:rPr>
        <w:rFonts w:hint="default"/>
        <w:lang w:val="en-US" w:eastAsia="en-US" w:bidi="en-US"/>
      </w:rPr>
    </w:lvl>
    <w:lvl w:ilvl="8" w:tplc="22825E52">
      <w:numFmt w:val="bullet"/>
      <w:lvlText w:val="•"/>
      <w:lvlJc w:val="left"/>
      <w:pPr>
        <w:ind w:left="9509" w:hanging="360"/>
      </w:pPr>
      <w:rPr>
        <w:rFonts w:hint="default"/>
        <w:lang w:val="en-US" w:eastAsia="en-US" w:bidi="en-US"/>
      </w:rPr>
    </w:lvl>
  </w:abstractNum>
  <w:abstractNum w:abstractNumId="50" w15:restartNumberingAfterBreak="0">
    <w:nsid w:val="385F4669"/>
    <w:multiLevelType w:val="hybridMultilevel"/>
    <w:tmpl w:val="B9D00F72"/>
    <w:lvl w:ilvl="0" w:tplc="ECDC74B2">
      <w:start w:val="1"/>
      <w:numFmt w:val="lowerLetter"/>
      <w:lvlText w:val="%1)"/>
      <w:lvlJc w:val="left"/>
      <w:pPr>
        <w:ind w:left="2060" w:hanging="360"/>
        <w:jc w:val="left"/>
      </w:pPr>
      <w:rPr>
        <w:rFonts w:ascii="Times New Roman" w:eastAsia="Times New Roman" w:hAnsi="Times New Roman" w:cs="Times New Roman" w:hint="default"/>
        <w:i/>
        <w:spacing w:val="-20"/>
        <w:w w:val="99"/>
        <w:sz w:val="24"/>
        <w:szCs w:val="24"/>
        <w:lang w:val="en-US" w:eastAsia="en-US" w:bidi="en-US"/>
      </w:rPr>
    </w:lvl>
    <w:lvl w:ilvl="1" w:tplc="5E2662B2">
      <w:start w:val="1"/>
      <w:numFmt w:val="lowerRoman"/>
      <w:lvlText w:val="%2."/>
      <w:lvlJc w:val="left"/>
      <w:pPr>
        <w:ind w:left="2781" w:hanging="488"/>
        <w:jc w:val="right"/>
      </w:pPr>
      <w:rPr>
        <w:rFonts w:ascii="Times New Roman" w:eastAsia="Times New Roman" w:hAnsi="Times New Roman" w:cs="Times New Roman" w:hint="default"/>
        <w:i/>
        <w:spacing w:val="-3"/>
        <w:w w:val="99"/>
        <w:sz w:val="24"/>
        <w:szCs w:val="24"/>
        <w:lang w:val="en-US" w:eastAsia="en-US" w:bidi="en-US"/>
      </w:rPr>
    </w:lvl>
    <w:lvl w:ilvl="2" w:tplc="9F1ED6F6">
      <w:numFmt w:val="bullet"/>
      <w:lvlText w:val="•"/>
      <w:lvlJc w:val="left"/>
      <w:pPr>
        <w:ind w:left="3600" w:hanging="488"/>
      </w:pPr>
      <w:rPr>
        <w:rFonts w:hint="default"/>
        <w:lang w:val="en-US" w:eastAsia="en-US" w:bidi="en-US"/>
      </w:rPr>
    </w:lvl>
    <w:lvl w:ilvl="3" w:tplc="201E8E30">
      <w:numFmt w:val="bullet"/>
      <w:lvlText w:val="•"/>
      <w:lvlJc w:val="left"/>
      <w:pPr>
        <w:ind w:left="4421" w:hanging="488"/>
      </w:pPr>
      <w:rPr>
        <w:rFonts w:hint="default"/>
        <w:lang w:val="en-US" w:eastAsia="en-US" w:bidi="en-US"/>
      </w:rPr>
    </w:lvl>
    <w:lvl w:ilvl="4" w:tplc="5C08312E">
      <w:numFmt w:val="bullet"/>
      <w:lvlText w:val="•"/>
      <w:lvlJc w:val="left"/>
      <w:pPr>
        <w:ind w:left="5242" w:hanging="488"/>
      </w:pPr>
      <w:rPr>
        <w:rFonts w:hint="default"/>
        <w:lang w:val="en-US" w:eastAsia="en-US" w:bidi="en-US"/>
      </w:rPr>
    </w:lvl>
    <w:lvl w:ilvl="5" w:tplc="FB104880">
      <w:numFmt w:val="bullet"/>
      <w:lvlText w:val="•"/>
      <w:lvlJc w:val="left"/>
      <w:pPr>
        <w:ind w:left="6062" w:hanging="488"/>
      </w:pPr>
      <w:rPr>
        <w:rFonts w:hint="default"/>
        <w:lang w:val="en-US" w:eastAsia="en-US" w:bidi="en-US"/>
      </w:rPr>
    </w:lvl>
    <w:lvl w:ilvl="6" w:tplc="A4666F72">
      <w:numFmt w:val="bullet"/>
      <w:lvlText w:val="•"/>
      <w:lvlJc w:val="left"/>
      <w:pPr>
        <w:ind w:left="6883" w:hanging="488"/>
      </w:pPr>
      <w:rPr>
        <w:rFonts w:hint="default"/>
        <w:lang w:val="en-US" w:eastAsia="en-US" w:bidi="en-US"/>
      </w:rPr>
    </w:lvl>
    <w:lvl w:ilvl="7" w:tplc="F71EC178">
      <w:numFmt w:val="bullet"/>
      <w:lvlText w:val="•"/>
      <w:lvlJc w:val="left"/>
      <w:pPr>
        <w:ind w:left="7704" w:hanging="488"/>
      </w:pPr>
      <w:rPr>
        <w:rFonts w:hint="default"/>
        <w:lang w:val="en-US" w:eastAsia="en-US" w:bidi="en-US"/>
      </w:rPr>
    </w:lvl>
    <w:lvl w:ilvl="8" w:tplc="9CBA38D4">
      <w:numFmt w:val="bullet"/>
      <w:lvlText w:val="•"/>
      <w:lvlJc w:val="left"/>
      <w:pPr>
        <w:ind w:left="8524" w:hanging="488"/>
      </w:pPr>
      <w:rPr>
        <w:rFonts w:hint="default"/>
        <w:lang w:val="en-US" w:eastAsia="en-US" w:bidi="en-US"/>
      </w:rPr>
    </w:lvl>
  </w:abstractNum>
  <w:abstractNum w:abstractNumId="51" w15:restartNumberingAfterBreak="0">
    <w:nsid w:val="39DB51C8"/>
    <w:multiLevelType w:val="multilevel"/>
    <w:tmpl w:val="7812E394"/>
    <w:lvl w:ilvl="0">
      <w:start w:val="3"/>
      <w:numFmt w:val="decimal"/>
      <w:lvlText w:val="%1"/>
      <w:lvlJc w:val="left"/>
      <w:pPr>
        <w:ind w:left="1225" w:hanging="965"/>
        <w:jc w:val="left"/>
      </w:pPr>
      <w:rPr>
        <w:rFonts w:hint="default"/>
        <w:lang w:val="en-US" w:eastAsia="en-US" w:bidi="en-US"/>
      </w:rPr>
    </w:lvl>
    <w:lvl w:ilvl="1">
      <w:start w:val="17"/>
      <w:numFmt w:val="decimal"/>
      <w:lvlText w:val="%1.%2"/>
      <w:lvlJc w:val="left"/>
      <w:pPr>
        <w:ind w:left="1225" w:hanging="965"/>
        <w:jc w:val="left"/>
      </w:pPr>
      <w:rPr>
        <w:rFonts w:hint="default"/>
        <w:lang w:val="en-US" w:eastAsia="en-US" w:bidi="en-US"/>
      </w:rPr>
    </w:lvl>
    <w:lvl w:ilvl="2">
      <w:start w:val="12"/>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w w:val="100"/>
        <w:sz w:val="24"/>
        <w:szCs w:val="24"/>
        <w:lang w:val="en-US" w:eastAsia="en-US" w:bidi="en-US"/>
      </w:rPr>
    </w:lvl>
    <w:lvl w:ilvl="4">
      <w:numFmt w:val="bullet"/>
      <w:lvlText w:val="•"/>
      <w:lvlJc w:val="left"/>
      <w:pPr>
        <w:ind w:left="4686" w:hanging="965"/>
      </w:pPr>
      <w:rPr>
        <w:rFonts w:hint="default"/>
        <w:lang w:val="en-US" w:eastAsia="en-US" w:bidi="en-US"/>
      </w:rPr>
    </w:lvl>
    <w:lvl w:ilvl="5">
      <w:numFmt w:val="bullet"/>
      <w:lvlText w:val="•"/>
      <w:lvlJc w:val="left"/>
      <w:pPr>
        <w:ind w:left="5553" w:hanging="965"/>
      </w:pPr>
      <w:rPr>
        <w:rFonts w:hint="default"/>
        <w:lang w:val="en-US" w:eastAsia="en-US" w:bidi="en-US"/>
      </w:rPr>
    </w:lvl>
    <w:lvl w:ilvl="6">
      <w:numFmt w:val="bullet"/>
      <w:lvlText w:val="•"/>
      <w:lvlJc w:val="left"/>
      <w:pPr>
        <w:ind w:left="6419" w:hanging="965"/>
      </w:pPr>
      <w:rPr>
        <w:rFonts w:hint="default"/>
        <w:lang w:val="en-US" w:eastAsia="en-US" w:bidi="en-US"/>
      </w:rPr>
    </w:lvl>
    <w:lvl w:ilvl="7">
      <w:numFmt w:val="bullet"/>
      <w:lvlText w:val="•"/>
      <w:lvlJc w:val="left"/>
      <w:pPr>
        <w:ind w:left="7286" w:hanging="965"/>
      </w:pPr>
      <w:rPr>
        <w:rFonts w:hint="default"/>
        <w:lang w:val="en-US" w:eastAsia="en-US" w:bidi="en-US"/>
      </w:rPr>
    </w:lvl>
    <w:lvl w:ilvl="8">
      <w:numFmt w:val="bullet"/>
      <w:lvlText w:val="•"/>
      <w:lvlJc w:val="left"/>
      <w:pPr>
        <w:ind w:left="8153" w:hanging="965"/>
      </w:pPr>
      <w:rPr>
        <w:rFonts w:hint="default"/>
        <w:lang w:val="en-US" w:eastAsia="en-US" w:bidi="en-US"/>
      </w:rPr>
    </w:lvl>
  </w:abstractNum>
  <w:abstractNum w:abstractNumId="52" w15:restartNumberingAfterBreak="0">
    <w:nsid w:val="3A3D7805"/>
    <w:multiLevelType w:val="multilevel"/>
    <w:tmpl w:val="4468B830"/>
    <w:lvl w:ilvl="0">
      <w:start w:val="3"/>
      <w:numFmt w:val="decimal"/>
      <w:lvlText w:val="%1"/>
      <w:lvlJc w:val="left"/>
      <w:pPr>
        <w:ind w:left="1225" w:hanging="965"/>
        <w:jc w:val="left"/>
      </w:pPr>
      <w:rPr>
        <w:rFonts w:hint="default"/>
        <w:lang w:val="en-US" w:eastAsia="en-US" w:bidi="en-US"/>
      </w:rPr>
    </w:lvl>
    <w:lvl w:ilvl="1">
      <w:start w:val="17"/>
      <w:numFmt w:val="decimal"/>
      <w:lvlText w:val="%1.%2"/>
      <w:lvlJc w:val="left"/>
      <w:pPr>
        <w:ind w:left="1225" w:hanging="965"/>
        <w:jc w:val="left"/>
      </w:pPr>
      <w:rPr>
        <w:rFonts w:hint="default"/>
        <w:lang w:val="en-US" w:eastAsia="en-US" w:bidi="en-US"/>
      </w:rPr>
    </w:lvl>
    <w:lvl w:ilvl="2">
      <w:start w:val="9"/>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30"/>
        <w:w w:val="99"/>
        <w:sz w:val="24"/>
        <w:szCs w:val="24"/>
        <w:lang w:val="en-US" w:eastAsia="en-US" w:bidi="en-US"/>
      </w:rPr>
    </w:lvl>
    <w:lvl w:ilvl="4">
      <w:numFmt w:val="bullet"/>
      <w:lvlText w:val="•"/>
      <w:lvlJc w:val="left"/>
      <w:pPr>
        <w:ind w:left="4686" w:hanging="965"/>
      </w:pPr>
      <w:rPr>
        <w:rFonts w:hint="default"/>
        <w:lang w:val="en-US" w:eastAsia="en-US" w:bidi="en-US"/>
      </w:rPr>
    </w:lvl>
    <w:lvl w:ilvl="5">
      <w:numFmt w:val="bullet"/>
      <w:lvlText w:val="•"/>
      <w:lvlJc w:val="left"/>
      <w:pPr>
        <w:ind w:left="5553" w:hanging="965"/>
      </w:pPr>
      <w:rPr>
        <w:rFonts w:hint="default"/>
        <w:lang w:val="en-US" w:eastAsia="en-US" w:bidi="en-US"/>
      </w:rPr>
    </w:lvl>
    <w:lvl w:ilvl="6">
      <w:numFmt w:val="bullet"/>
      <w:lvlText w:val="•"/>
      <w:lvlJc w:val="left"/>
      <w:pPr>
        <w:ind w:left="6419" w:hanging="965"/>
      </w:pPr>
      <w:rPr>
        <w:rFonts w:hint="default"/>
        <w:lang w:val="en-US" w:eastAsia="en-US" w:bidi="en-US"/>
      </w:rPr>
    </w:lvl>
    <w:lvl w:ilvl="7">
      <w:numFmt w:val="bullet"/>
      <w:lvlText w:val="•"/>
      <w:lvlJc w:val="left"/>
      <w:pPr>
        <w:ind w:left="7286" w:hanging="965"/>
      </w:pPr>
      <w:rPr>
        <w:rFonts w:hint="default"/>
        <w:lang w:val="en-US" w:eastAsia="en-US" w:bidi="en-US"/>
      </w:rPr>
    </w:lvl>
    <w:lvl w:ilvl="8">
      <w:numFmt w:val="bullet"/>
      <w:lvlText w:val="•"/>
      <w:lvlJc w:val="left"/>
      <w:pPr>
        <w:ind w:left="8153" w:hanging="965"/>
      </w:pPr>
      <w:rPr>
        <w:rFonts w:hint="default"/>
        <w:lang w:val="en-US" w:eastAsia="en-US" w:bidi="en-US"/>
      </w:rPr>
    </w:lvl>
  </w:abstractNum>
  <w:abstractNum w:abstractNumId="53" w15:restartNumberingAfterBreak="0">
    <w:nsid w:val="3AD24351"/>
    <w:multiLevelType w:val="multilevel"/>
    <w:tmpl w:val="8C562636"/>
    <w:lvl w:ilvl="0">
      <w:start w:val="4"/>
      <w:numFmt w:val="decimal"/>
      <w:lvlText w:val="%1"/>
      <w:lvlJc w:val="left"/>
      <w:pPr>
        <w:ind w:left="2065" w:hanging="965"/>
        <w:jc w:val="left"/>
      </w:pPr>
      <w:rPr>
        <w:rFonts w:hint="default"/>
        <w:lang w:val="en-US" w:eastAsia="en-US" w:bidi="en-US"/>
      </w:rPr>
    </w:lvl>
    <w:lvl w:ilvl="1">
      <w:start w:val="14"/>
      <w:numFmt w:val="decimal"/>
      <w:lvlText w:val="%1.%2"/>
      <w:lvlJc w:val="left"/>
      <w:pPr>
        <w:ind w:left="2065" w:hanging="965"/>
        <w:jc w:val="left"/>
      </w:pPr>
      <w:rPr>
        <w:rFonts w:hint="default"/>
        <w:lang w:val="en-US" w:eastAsia="en-US" w:bidi="en-US"/>
      </w:rPr>
    </w:lvl>
    <w:lvl w:ilvl="2">
      <w:start w:val="5"/>
      <w:numFmt w:val="decimal"/>
      <w:lvlText w:val="%1.%2.%3"/>
      <w:lvlJc w:val="left"/>
      <w:pPr>
        <w:ind w:left="2065" w:hanging="965"/>
        <w:jc w:val="left"/>
      </w:pPr>
      <w:rPr>
        <w:rFonts w:hint="default"/>
        <w:lang w:val="en-US" w:eastAsia="en-US" w:bidi="en-US"/>
      </w:rPr>
    </w:lvl>
    <w:lvl w:ilvl="3">
      <w:start w:val="1"/>
      <w:numFmt w:val="decimal"/>
      <w:lvlText w:val="%1.%2.%3.%4"/>
      <w:lvlJc w:val="left"/>
      <w:pPr>
        <w:ind w:left="2065" w:hanging="965"/>
        <w:jc w:val="left"/>
      </w:pPr>
      <w:rPr>
        <w:rFonts w:ascii="Times New Roman" w:eastAsia="Times New Roman" w:hAnsi="Times New Roman" w:cs="Times New Roman" w:hint="default"/>
        <w:spacing w:val="-3"/>
        <w:w w:val="99"/>
        <w:sz w:val="24"/>
        <w:szCs w:val="24"/>
        <w:lang w:val="en-US" w:eastAsia="en-US" w:bidi="en-US"/>
      </w:rPr>
    </w:lvl>
    <w:lvl w:ilvl="4">
      <w:numFmt w:val="bullet"/>
      <w:lvlText w:val="•"/>
      <w:lvlJc w:val="left"/>
      <w:pPr>
        <w:ind w:left="5758" w:hanging="965"/>
      </w:pPr>
      <w:rPr>
        <w:rFonts w:hint="default"/>
        <w:lang w:val="en-US" w:eastAsia="en-US" w:bidi="en-US"/>
      </w:rPr>
    </w:lvl>
    <w:lvl w:ilvl="5">
      <w:numFmt w:val="bullet"/>
      <w:lvlText w:val="•"/>
      <w:lvlJc w:val="left"/>
      <w:pPr>
        <w:ind w:left="6683" w:hanging="965"/>
      </w:pPr>
      <w:rPr>
        <w:rFonts w:hint="default"/>
        <w:lang w:val="en-US" w:eastAsia="en-US" w:bidi="en-US"/>
      </w:rPr>
    </w:lvl>
    <w:lvl w:ilvl="6">
      <w:numFmt w:val="bullet"/>
      <w:lvlText w:val="•"/>
      <w:lvlJc w:val="left"/>
      <w:pPr>
        <w:ind w:left="7607" w:hanging="965"/>
      </w:pPr>
      <w:rPr>
        <w:rFonts w:hint="default"/>
        <w:lang w:val="en-US" w:eastAsia="en-US" w:bidi="en-US"/>
      </w:rPr>
    </w:lvl>
    <w:lvl w:ilvl="7">
      <w:numFmt w:val="bullet"/>
      <w:lvlText w:val="•"/>
      <w:lvlJc w:val="left"/>
      <w:pPr>
        <w:ind w:left="8532" w:hanging="965"/>
      </w:pPr>
      <w:rPr>
        <w:rFonts w:hint="default"/>
        <w:lang w:val="en-US" w:eastAsia="en-US" w:bidi="en-US"/>
      </w:rPr>
    </w:lvl>
    <w:lvl w:ilvl="8">
      <w:numFmt w:val="bullet"/>
      <w:lvlText w:val="•"/>
      <w:lvlJc w:val="left"/>
      <w:pPr>
        <w:ind w:left="9457" w:hanging="965"/>
      </w:pPr>
      <w:rPr>
        <w:rFonts w:hint="default"/>
        <w:lang w:val="en-US" w:eastAsia="en-US" w:bidi="en-US"/>
      </w:rPr>
    </w:lvl>
  </w:abstractNum>
  <w:abstractNum w:abstractNumId="54" w15:restartNumberingAfterBreak="0">
    <w:nsid w:val="3B9F79CD"/>
    <w:multiLevelType w:val="hybridMultilevel"/>
    <w:tmpl w:val="250A4598"/>
    <w:lvl w:ilvl="0" w:tplc="2C3683F0">
      <w:start w:val="1"/>
      <w:numFmt w:val="lowerLetter"/>
      <w:lvlText w:val="%1)"/>
      <w:lvlJc w:val="left"/>
      <w:pPr>
        <w:ind w:left="1472" w:hanging="360"/>
        <w:jc w:val="left"/>
      </w:pPr>
      <w:rPr>
        <w:rFonts w:ascii="Times New Roman" w:eastAsia="Times New Roman" w:hAnsi="Times New Roman" w:cs="Times New Roman" w:hint="default"/>
        <w:spacing w:val="-20"/>
        <w:w w:val="99"/>
        <w:sz w:val="24"/>
        <w:szCs w:val="24"/>
        <w:lang w:val="en-US" w:eastAsia="en-US" w:bidi="en-US"/>
      </w:rPr>
    </w:lvl>
    <w:lvl w:ilvl="1" w:tplc="FF5C0F38">
      <w:numFmt w:val="bullet"/>
      <w:lvlText w:val="•"/>
      <w:lvlJc w:val="left"/>
      <w:pPr>
        <w:ind w:left="2348" w:hanging="360"/>
      </w:pPr>
      <w:rPr>
        <w:rFonts w:hint="default"/>
        <w:lang w:val="en-US" w:eastAsia="en-US" w:bidi="en-US"/>
      </w:rPr>
    </w:lvl>
    <w:lvl w:ilvl="2" w:tplc="4A365408">
      <w:numFmt w:val="bullet"/>
      <w:lvlText w:val="•"/>
      <w:lvlJc w:val="left"/>
      <w:pPr>
        <w:ind w:left="3217" w:hanging="360"/>
      </w:pPr>
      <w:rPr>
        <w:rFonts w:hint="default"/>
        <w:lang w:val="en-US" w:eastAsia="en-US" w:bidi="en-US"/>
      </w:rPr>
    </w:lvl>
    <w:lvl w:ilvl="3" w:tplc="13B43856">
      <w:numFmt w:val="bullet"/>
      <w:lvlText w:val="•"/>
      <w:lvlJc w:val="left"/>
      <w:pPr>
        <w:ind w:left="4085" w:hanging="360"/>
      </w:pPr>
      <w:rPr>
        <w:rFonts w:hint="default"/>
        <w:lang w:val="en-US" w:eastAsia="en-US" w:bidi="en-US"/>
      </w:rPr>
    </w:lvl>
    <w:lvl w:ilvl="4" w:tplc="8444AB62">
      <w:numFmt w:val="bullet"/>
      <w:lvlText w:val="•"/>
      <w:lvlJc w:val="left"/>
      <w:pPr>
        <w:ind w:left="4954" w:hanging="360"/>
      </w:pPr>
      <w:rPr>
        <w:rFonts w:hint="default"/>
        <w:lang w:val="en-US" w:eastAsia="en-US" w:bidi="en-US"/>
      </w:rPr>
    </w:lvl>
    <w:lvl w:ilvl="5" w:tplc="732255BC">
      <w:numFmt w:val="bullet"/>
      <w:lvlText w:val="•"/>
      <w:lvlJc w:val="left"/>
      <w:pPr>
        <w:ind w:left="5823" w:hanging="360"/>
      </w:pPr>
      <w:rPr>
        <w:rFonts w:hint="default"/>
        <w:lang w:val="en-US" w:eastAsia="en-US" w:bidi="en-US"/>
      </w:rPr>
    </w:lvl>
    <w:lvl w:ilvl="6" w:tplc="8E0A8A94">
      <w:numFmt w:val="bullet"/>
      <w:lvlText w:val="•"/>
      <w:lvlJc w:val="left"/>
      <w:pPr>
        <w:ind w:left="6691" w:hanging="360"/>
      </w:pPr>
      <w:rPr>
        <w:rFonts w:hint="default"/>
        <w:lang w:val="en-US" w:eastAsia="en-US" w:bidi="en-US"/>
      </w:rPr>
    </w:lvl>
    <w:lvl w:ilvl="7" w:tplc="FBFECF72">
      <w:numFmt w:val="bullet"/>
      <w:lvlText w:val="•"/>
      <w:lvlJc w:val="left"/>
      <w:pPr>
        <w:ind w:left="7560" w:hanging="360"/>
      </w:pPr>
      <w:rPr>
        <w:rFonts w:hint="default"/>
        <w:lang w:val="en-US" w:eastAsia="en-US" w:bidi="en-US"/>
      </w:rPr>
    </w:lvl>
    <w:lvl w:ilvl="8" w:tplc="07A4739A">
      <w:numFmt w:val="bullet"/>
      <w:lvlText w:val="•"/>
      <w:lvlJc w:val="left"/>
      <w:pPr>
        <w:ind w:left="8429" w:hanging="360"/>
      </w:pPr>
      <w:rPr>
        <w:rFonts w:hint="default"/>
        <w:lang w:val="en-US" w:eastAsia="en-US" w:bidi="en-US"/>
      </w:rPr>
    </w:lvl>
  </w:abstractNum>
  <w:abstractNum w:abstractNumId="55" w15:restartNumberingAfterBreak="0">
    <w:nsid w:val="3CE732AB"/>
    <w:multiLevelType w:val="multilevel"/>
    <w:tmpl w:val="4A180E54"/>
    <w:lvl w:ilvl="0">
      <w:start w:val="6"/>
      <w:numFmt w:val="decimal"/>
      <w:lvlText w:val="%1"/>
      <w:lvlJc w:val="left"/>
      <w:pPr>
        <w:ind w:left="1124" w:hanging="965"/>
        <w:jc w:val="left"/>
      </w:pPr>
      <w:rPr>
        <w:rFonts w:hint="default"/>
        <w:lang w:val="en-US" w:eastAsia="en-US" w:bidi="en-US"/>
      </w:rPr>
    </w:lvl>
    <w:lvl w:ilvl="1">
      <w:start w:val="1"/>
      <w:numFmt w:val="decimal"/>
      <w:lvlText w:val="%1.%2"/>
      <w:lvlJc w:val="left"/>
      <w:pPr>
        <w:ind w:left="1124" w:hanging="965"/>
        <w:jc w:val="left"/>
      </w:pPr>
      <w:rPr>
        <w:rFonts w:hint="default"/>
        <w:lang w:val="en-US" w:eastAsia="en-US" w:bidi="en-US"/>
      </w:rPr>
    </w:lvl>
    <w:lvl w:ilvl="2">
      <w:start w:val="8"/>
      <w:numFmt w:val="decimal"/>
      <w:lvlText w:val="%1.%2.%3"/>
      <w:lvlJc w:val="left"/>
      <w:pPr>
        <w:ind w:left="1124" w:hanging="965"/>
        <w:jc w:val="left"/>
      </w:pPr>
      <w:rPr>
        <w:rFonts w:hint="default"/>
        <w:lang w:val="en-US" w:eastAsia="en-US" w:bidi="en-US"/>
      </w:rPr>
    </w:lvl>
    <w:lvl w:ilvl="3">
      <w:start w:val="1"/>
      <w:numFmt w:val="decimal"/>
      <w:lvlText w:val="%1.%2.%3.%4"/>
      <w:lvlJc w:val="left"/>
      <w:pPr>
        <w:ind w:left="1124" w:hanging="965"/>
        <w:jc w:val="left"/>
      </w:pPr>
      <w:rPr>
        <w:rFonts w:ascii="Times New Roman" w:eastAsia="Times New Roman" w:hAnsi="Times New Roman" w:cs="Times New Roman" w:hint="default"/>
        <w:spacing w:val="-5"/>
        <w:w w:val="99"/>
        <w:sz w:val="24"/>
        <w:szCs w:val="24"/>
        <w:lang w:val="en-US" w:eastAsia="en-US" w:bidi="en-US"/>
      </w:rPr>
    </w:lvl>
    <w:lvl w:ilvl="4">
      <w:start w:val="1"/>
      <w:numFmt w:val="lowerLetter"/>
      <w:lvlText w:val="(%5)"/>
      <w:lvlJc w:val="left"/>
      <w:pPr>
        <w:ind w:left="1678" w:hanging="425"/>
        <w:jc w:val="left"/>
      </w:pPr>
      <w:rPr>
        <w:rFonts w:ascii="Times New Roman" w:eastAsia="Times New Roman" w:hAnsi="Times New Roman" w:cs="Times New Roman" w:hint="default"/>
        <w:spacing w:val="-20"/>
        <w:w w:val="99"/>
        <w:sz w:val="24"/>
        <w:szCs w:val="24"/>
        <w:lang w:val="en-US" w:eastAsia="en-US" w:bidi="en-US"/>
      </w:rPr>
    </w:lvl>
    <w:lvl w:ilvl="5">
      <w:numFmt w:val="bullet"/>
      <w:lvlText w:val="•"/>
      <w:lvlJc w:val="left"/>
      <w:pPr>
        <w:ind w:left="5451" w:hanging="425"/>
      </w:pPr>
      <w:rPr>
        <w:rFonts w:hint="default"/>
        <w:lang w:val="en-US" w:eastAsia="en-US" w:bidi="en-US"/>
      </w:rPr>
    </w:lvl>
    <w:lvl w:ilvl="6">
      <w:numFmt w:val="bullet"/>
      <w:lvlText w:val="•"/>
      <w:lvlJc w:val="left"/>
      <w:pPr>
        <w:ind w:left="6394" w:hanging="425"/>
      </w:pPr>
      <w:rPr>
        <w:rFonts w:hint="default"/>
        <w:lang w:val="en-US" w:eastAsia="en-US" w:bidi="en-US"/>
      </w:rPr>
    </w:lvl>
    <w:lvl w:ilvl="7">
      <w:numFmt w:val="bullet"/>
      <w:lvlText w:val="•"/>
      <w:lvlJc w:val="left"/>
      <w:pPr>
        <w:ind w:left="7337" w:hanging="425"/>
      </w:pPr>
      <w:rPr>
        <w:rFonts w:hint="default"/>
        <w:lang w:val="en-US" w:eastAsia="en-US" w:bidi="en-US"/>
      </w:rPr>
    </w:lvl>
    <w:lvl w:ilvl="8">
      <w:numFmt w:val="bullet"/>
      <w:lvlText w:val="•"/>
      <w:lvlJc w:val="left"/>
      <w:pPr>
        <w:ind w:left="8280" w:hanging="425"/>
      </w:pPr>
      <w:rPr>
        <w:rFonts w:hint="default"/>
        <w:lang w:val="en-US" w:eastAsia="en-US" w:bidi="en-US"/>
      </w:rPr>
    </w:lvl>
  </w:abstractNum>
  <w:abstractNum w:abstractNumId="56" w15:restartNumberingAfterBreak="0">
    <w:nsid w:val="3EBC60EE"/>
    <w:multiLevelType w:val="hybridMultilevel"/>
    <w:tmpl w:val="A8EE58A0"/>
    <w:lvl w:ilvl="0" w:tplc="7EC6FD7E">
      <w:start w:val="1"/>
      <w:numFmt w:val="lowerRoman"/>
      <w:lvlText w:val="%1."/>
      <w:lvlJc w:val="left"/>
      <w:pPr>
        <w:ind w:left="1660" w:hanging="209"/>
        <w:jc w:val="left"/>
      </w:pPr>
      <w:rPr>
        <w:rFonts w:ascii="Times New Roman" w:eastAsia="Times New Roman" w:hAnsi="Times New Roman" w:cs="Times New Roman" w:hint="default"/>
        <w:i/>
        <w:w w:val="100"/>
        <w:sz w:val="24"/>
        <w:szCs w:val="24"/>
        <w:lang w:val="en-US" w:eastAsia="en-US" w:bidi="en-US"/>
      </w:rPr>
    </w:lvl>
    <w:lvl w:ilvl="1" w:tplc="6988E09E">
      <w:numFmt w:val="bullet"/>
      <w:lvlText w:val="•"/>
      <w:lvlJc w:val="left"/>
      <w:pPr>
        <w:ind w:left="2448" w:hanging="209"/>
      </w:pPr>
      <w:rPr>
        <w:rFonts w:hint="default"/>
        <w:lang w:val="en-US" w:eastAsia="en-US" w:bidi="en-US"/>
      </w:rPr>
    </w:lvl>
    <w:lvl w:ilvl="2" w:tplc="AC68A422">
      <w:numFmt w:val="bullet"/>
      <w:lvlText w:val="•"/>
      <w:lvlJc w:val="left"/>
      <w:pPr>
        <w:ind w:left="3237" w:hanging="209"/>
      </w:pPr>
      <w:rPr>
        <w:rFonts w:hint="default"/>
        <w:lang w:val="en-US" w:eastAsia="en-US" w:bidi="en-US"/>
      </w:rPr>
    </w:lvl>
    <w:lvl w:ilvl="3" w:tplc="2F06492E">
      <w:numFmt w:val="bullet"/>
      <w:lvlText w:val="•"/>
      <w:lvlJc w:val="left"/>
      <w:pPr>
        <w:ind w:left="4025" w:hanging="209"/>
      </w:pPr>
      <w:rPr>
        <w:rFonts w:hint="default"/>
        <w:lang w:val="en-US" w:eastAsia="en-US" w:bidi="en-US"/>
      </w:rPr>
    </w:lvl>
    <w:lvl w:ilvl="4" w:tplc="F9F4BB20">
      <w:numFmt w:val="bullet"/>
      <w:lvlText w:val="•"/>
      <w:lvlJc w:val="left"/>
      <w:pPr>
        <w:ind w:left="4814" w:hanging="209"/>
      </w:pPr>
      <w:rPr>
        <w:rFonts w:hint="default"/>
        <w:lang w:val="en-US" w:eastAsia="en-US" w:bidi="en-US"/>
      </w:rPr>
    </w:lvl>
    <w:lvl w:ilvl="5" w:tplc="6A92E746">
      <w:numFmt w:val="bullet"/>
      <w:lvlText w:val="•"/>
      <w:lvlJc w:val="left"/>
      <w:pPr>
        <w:ind w:left="5603" w:hanging="209"/>
      </w:pPr>
      <w:rPr>
        <w:rFonts w:hint="default"/>
        <w:lang w:val="en-US" w:eastAsia="en-US" w:bidi="en-US"/>
      </w:rPr>
    </w:lvl>
    <w:lvl w:ilvl="6" w:tplc="FD0EA610">
      <w:numFmt w:val="bullet"/>
      <w:lvlText w:val="•"/>
      <w:lvlJc w:val="left"/>
      <w:pPr>
        <w:ind w:left="6391" w:hanging="209"/>
      </w:pPr>
      <w:rPr>
        <w:rFonts w:hint="default"/>
        <w:lang w:val="en-US" w:eastAsia="en-US" w:bidi="en-US"/>
      </w:rPr>
    </w:lvl>
    <w:lvl w:ilvl="7" w:tplc="3C502E12">
      <w:numFmt w:val="bullet"/>
      <w:lvlText w:val="•"/>
      <w:lvlJc w:val="left"/>
      <w:pPr>
        <w:ind w:left="7180" w:hanging="209"/>
      </w:pPr>
      <w:rPr>
        <w:rFonts w:hint="default"/>
        <w:lang w:val="en-US" w:eastAsia="en-US" w:bidi="en-US"/>
      </w:rPr>
    </w:lvl>
    <w:lvl w:ilvl="8" w:tplc="B0AC22C6">
      <w:numFmt w:val="bullet"/>
      <w:lvlText w:val="•"/>
      <w:lvlJc w:val="left"/>
      <w:pPr>
        <w:ind w:left="7969" w:hanging="209"/>
      </w:pPr>
      <w:rPr>
        <w:rFonts w:hint="default"/>
        <w:lang w:val="en-US" w:eastAsia="en-US" w:bidi="en-US"/>
      </w:rPr>
    </w:lvl>
  </w:abstractNum>
  <w:abstractNum w:abstractNumId="57" w15:restartNumberingAfterBreak="0">
    <w:nsid w:val="401239B2"/>
    <w:multiLevelType w:val="multilevel"/>
    <w:tmpl w:val="FF782364"/>
    <w:lvl w:ilvl="0">
      <w:start w:val="6"/>
      <w:numFmt w:val="decimal"/>
      <w:lvlText w:val="%1"/>
      <w:lvlJc w:val="left"/>
      <w:pPr>
        <w:ind w:left="1225" w:hanging="965"/>
        <w:jc w:val="left"/>
      </w:pPr>
      <w:rPr>
        <w:rFonts w:hint="default"/>
        <w:lang w:val="en-US" w:eastAsia="en-US" w:bidi="en-US"/>
      </w:rPr>
    </w:lvl>
    <w:lvl w:ilvl="1">
      <w:start w:val="2"/>
      <w:numFmt w:val="decimal"/>
      <w:lvlText w:val="%1.%2"/>
      <w:lvlJc w:val="left"/>
      <w:pPr>
        <w:ind w:left="1225" w:hanging="965"/>
        <w:jc w:val="left"/>
      </w:pPr>
      <w:rPr>
        <w:rFonts w:hint="default"/>
        <w:lang w:val="en-US" w:eastAsia="en-US" w:bidi="en-US"/>
      </w:rPr>
    </w:lvl>
    <w:lvl w:ilvl="2">
      <w:start w:val="10"/>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5"/>
        <w:w w:val="99"/>
        <w:sz w:val="24"/>
        <w:szCs w:val="24"/>
        <w:lang w:val="en-US" w:eastAsia="en-US" w:bidi="en-US"/>
      </w:rPr>
    </w:lvl>
    <w:lvl w:ilvl="4">
      <w:numFmt w:val="bullet"/>
      <w:lvlText w:val="•"/>
      <w:lvlJc w:val="left"/>
      <w:pPr>
        <w:ind w:left="4798" w:hanging="965"/>
      </w:pPr>
      <w:rPr>
        <w:rFonts w:hint="default"/>
        <w:lang w:val="en-US" w:eastAsia="en-US" w:bidi="en-US"/>
      </w:rPr>
    </w:lvl>
    <w:lvl w:ilvl="5">
      <w:numFmt w:val="bullet"/>
      <w:lvlText w:val="•"/>
      <w:lvlJc w:val="left"/>
      <w:pPr>
        <w:ind w:left="5693" w:hanging="965"/>
      </w:pPr>
      <w:rPr>
        <w:rFonts w:hint="default"/>
        <w:lang w:val="en-US" w:eastAsia="en-US" w:bidi="en-US"/>
      </w:rPr>
    </w:lvl>
    <w:lvl w:ilvl="6">
      <w:numFmt w:val="bullet"/>
      <w:lvlText w:val="•"/>
      <w:lvlJc w:val="left"/>
      <w:pPr>
        <w:ind w:left="6587" w:hanging="965"/>
      </w:pPr>
      <w:rPr>
        <w:rFonts w:hint="default"/>
        <w:lang w:val="en-US" w:eastAsia="en-US" w:bidi="en-US"/>
      </w:rPr>
    </w:lvl>
    <w:lvl w:ilvl="7">
      <w:numFmt w:val="bullet"/>
      <w:lvlText w:val="•"/>
      <w:lvlJc w:val="left"/>
      <w:pPr>
        <w:ind w:left="7482" w:hanging="965"/>
      </w:pPr>
      <w:rPr>
        <w:rFonts w:hint="default"/>
        <w:lang w:val="en-US" w:eastAsia="en-US" w:bidi="en-US"/>
      </w:rPr>
    </w:lvl>
    <w:lvl w:ilvl="8">
      <w:numFmt w:val="bullet"/>
      <w:lvlText w:val="•"/>
      <w:lvlJc w:val="left"/>
      <w:pPr>
        <w:ind w:left="8377" w:hanging="965"/>
      </w:pPr>
      <w:rPr>
        <w:rFonts w:hint="default"/>
        <w:lang w:val="en-US" w:eastAsia="en-US" w:bidi="en-US"/>
      </w:rPr>
    </w:lvl>
  </w:abstractNum>
  <w:abstractNum w:abstractNumId="58" w15:restartNumberingAfterBreak="0">
    <w:nsid w:val="403D3388"/>
    <w:multiLevelType w:val="hybridMultilevel"/>
    <w:tmpl w:val="31D65B1C"/>
    <w:lvl w:ilvl="0" w:tplc="DA245642">
      <w:start w:val="1"/>
      <w:numFmt w:val="lowerLetter"/>
      <w:lvlText w:val="(%1)"/>
      <w:lvlJc w:val="left"/>
      <w:pPr>
        <w:ind w:left="1920" w:hanging="361"/>
        <w:jc w:val="left"/>
      </w:pPr>
      <w:rPr>
        <w:rFonts w:ascii="Arial" w:eastAsia="Arial" w:hAnsi="Arial" w:cs="Arial" w:hint="default"/>
        <w:spacing w:val="-1"/>
        <w:w w:val="99"/>
        <w:sz w:val="24"/>
        <w:szCs w:val="24"/>
        <w:lang w:val="en-US" w:eastAsia="en-US" w:bidi="en-US"/>
      </w:rPr>
    </w:lvl>
    <w:lvl w:ilvl="1" w:tplc="8C82D00E">
      <w:numFmt w:val="bullet"/>
      <w:lvlText w:val="•"/>
      <w:lvlJc w:val="left"/>
      <w:pPr>
        <w:ind w:left="2818" w:hanging="361"/>
      </w:pPr>
      <w:rPr>
        <w:rFonts w:hint="default"/>
        <w:lang w:val="en-US" w:eastAsia="en-US" w:bidi="en-US"/>
      </w:rPr>
    </w:lvl>
    <w:lvl w:ilvl="2" w:tplc="3BCC6B44">
      <w:numFmt w:val="bullet"/>
      <w:lvlText w:val="•"/>
      <w:lvlJc w:val="left"/>
      <w:pPr>
        <w:ind w:left="3716" w:hanging="361"/>
      </w:pPr>
      <w:rPr>
        <w:rFonts w:hint="default"/>
        <w:lang w:val="en-US" w:eastAsia="en-US" w:bidi="en-US"/>
      </w:rPr>
    </w:lvl>
    <w:lvl w:ilvl="3" w:tplc="6BA6483C">
      <w:numFmt w:val="bullet"/>
      <w:lvlText w:val="•"/>
      <w:lvlJc w:val="left"/>
      <w:pPr>
        <w:ind w:left="4614" w:hanging="361"/>
      </w:pPr>
      <w:rPr>
        <w:rFonts w:hint="default"/>
        <w:lang w:val="en-US" w:eastAsia="en-US" w:bidi="en-US"/>
      </w:rPr>
    </w:lvl>
    <w:lvl w:ilvl="4" w:tplc="979A5654">
      <w:numFmt w:val="bullet"/>
      <w:lvlText w:val="•"/>
      <w:lvlJc w:val="left"/>
      <w:pPr>
        <w:ind w:left="5512" w:hanging="361"/>
      </w:pPr>
      <w:rPr>
        <w:rFonts w:hint="default"/>
        <w:lang w:val="en-US" w:eastAsia="en-US" w:bidi="en-US"/>
      </w:rPr>
    </w:lvl>
    <w:lvl w:ilvl="5" w:tplc="5358B536">
      <w:numFmt w:val="bullet"/>
      <w:lvlText w:val="•"/>
      <w:lvlJc w:val="left"/>
      <w:pPr>
        <w:ind w:left="6410" w:hanging="361"/>
      </w:pPr>
      <w:rPr>
        <w:rFonts w:hint="default"/>
        <w:lang w:val="en-US" w:eastAsia="en-US" w:bidi="en-US"/>
      </w:rPr>
    </w:lvl>
    <w:lvl w:ilvl="6" w:tplc="8EC83376">
      <w:numFmt w:val="bullet"/>
      <w:lvlText w:val="•"/>
      <w:lvlJc w:val="left"/>
      <w:pPr>
        <w:ind w:left="7308" w:hanging="361"/>
      </w:pPr>
      <w:rPr>
        <w:rFonts w:hint="default"/>
        <w:lang w:val="en-US" w:eastAsia="en-US" w:bidi="en-US"/>
      </w:rPr>
    </w:lvl>
    <w:lvl w:ilvl="7" w:tplc="9A8EAFD6">
      <w:numFmt w:val="bullet"/>
      <w:lvlText w:val="•"/>
      <w:lvlJc w:val="left"/>
      <w:pPr>
        <w:ind w:left="8206" w:hanging="361"/>
      </w:pPr>
      <w:rPr>
        <w:rFonts w:hint="default"/>
        <w:lang w:val="en-US" w:eastAsia="en-US" w:bidi="en-US"/>
      </w:rPr>
    </w:lvl>
    <w:lvl w:ilvl="8" w:tplc="18F6ED72">
      <w:numFmt w:val="bullet"/>
      <w:lvlText w:val="•"/>
      <w:lvlJc w:val="left"/>
      <w:pPr>
        <w:ind w:left="9104" w:hanging="361"/>
      </w:pPr>
      <w:rPr>
        <w:rFonts w:hint="default"/>
        <w:lang w:val="en-US" w:eastAsia="en-US" w:bidi="en-US"/>
      </w:rPr>
    </w:lvl>
  </w:abstractNum>
  <w:abstractNum w:abstractNumId="59" w15:restartNumberingAfterBreak="0">
    <w:nsid w:val="404B4073"/>
    <w:multiLevelType w:val="multilevel"/>
    <w:tmpl w:val="2BEE9F80"/>
    <w:lvl w:ilvl="0">
      <w:start w:val="3"/>
      <w:numFmt w:val="decimal"/>
      <w:lvlText w:val="%1"/>
      <w:lvlJc w:val="left"/>
      <w:pPr>
        <w:ind w:left="1225" w:hanging="965"/>
        <w:jc w:val="left"/>
      </w:pPr>
      <w:rPr>
        <w:rFonts w:hint="default"/>
        <w:lang w:val="en-US" w:eastAsia="en-US" w:bidi="en-US"/>
      </w:rPr>
    </w:lvl>
    <w:lvl w:ilvl="1">
      <w:start w:val="17"/>
      <w:numFmt w:val="decimal"/>
      <w:lvlText w:val="%1.%2"/>
      <w:lvlJc w:val="left"/>
      <w:pPr>
        <w:ind w:left="1225" w:hanging="965"/>
        <w:jc w:val="left"/>
      </w:pPr>
      <w:rPr>
        <w:rFonts w:hint="default"/>
        <w:lang w:val="en-US" w:eastAsia="en-US" w:bidi="en-US"/>
      </w:rPr>
    </w:lvl>
    <w:lvl w:ilvl="2">
      <w:start w:val="7"/>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30"/>
        <w:w w:val="99"/>
        <w:sz w:val="24"/>
        <w:szCs w:val="24"/>
        <w:lang w:val="en-US" w:eastAsia="en-US" w:bidi="en-US"/>
      </w:rPr>
    </w:lvl>
    <w:lvl w:ilvl="4">
      <w:numFmt w:val="bullet"/>
      <w:lvlText w:val="•"/>
      <w:lvlJc w:val="left"/>
      <w:pPr>
        <w:ind w:left="4686" w:hanging="965"/>
      </w:pPr>
      <w:rPr>
        <w:rFonts w:hint="default"/>
        <w:lang w:val="en-US" w:eastAsia="en-US" w:bidi="en-US"/>
      </w:rPr>
    </w:lvl>
    <w:lvl w:ilvl="5">
      <w:numFmt w:val="bullet"/>
      <w:lvlText w:val="•"/>
      <w:lvlJc w:val="left"/>
      <w:pPr>
        <w:ind w:left="5553" w:hanging="965"/>
      </w:pPr>
      <w:rPr>
        <w:rFonts w:hint="default"/>
        <w:lang w:val="en-US" w:eastAsia="en-US" w:bidi="en-US"/>
      </w:rPr>
    </w:lvl>
    <w:lvl w:ilvl="6">
      <w:numFmt w:val="bullet"/>
      <w:lvlText w:val="•"/>
      <w:lvlJc w:val="left"/>
      <w:pPr>
        <w:ind w:left="6419" w:hanging="965"/>
      </w:pPr>
      <w:rPr>
        <w:rFonts w:hint="default"/>
        <w:lang w:val="en-US" w:eastAsia="en-US" w:bidi="en-US"/>
      </w:rPr>
    </w:lvl>
    <w:lvl w:ilvl="7">
      <w:numFmt w:val="bullet"/>
      <w:lvlText w:val="•"/>
      <w:lvlJc w:val="left"/>
      <w:pPr>
        <w:ind w:left="7286" w:hanging="965"/>
      </w:pPr>
      <w:rPr>
        <w:rFonts w:hint="default"/>
        <w:lang w:val="en-US" w:eastAsia="en-US" w:bidi="en-US"/>
      </w:rPr>
    </w:lvl>
    <w:lvl w:ilvl="8">
      <w:numFmt w:val="bullet"/>
      <w:lvlText w:val="•"/>
      <w:lvlJc w:val="left"/>
      <w:pPr>
        <w:ind w:left="8153" w:hanging="965"/>
      </w:pPr>
      <w:rPr>
        <w:rFonts w:hint="default"/>
        <w:lang w:val="en-US" w:eastAsia="en-US" w:bidi="en-US"/>
      </w:rPr>
    </w:lvl>
  </w:abstractNum>
  <w:abstractNum w:abstractNumId="60" w15:restartNumberingAfterBreak="0">
    <w:nsid w:val="40DB469F"/>
    <w:multiLevelType w:val="multilevel"/>
    <w:tmpl w:val="722EF360"/>
    <w:lvl w:ilvl="0">
      <w:start w:val="6"/>
      <w:numFmt w:val="decimal"/>
      <w:lvlText w:val="%1"/>
      <w:lvlJc w:val="left"/>
      <w:pPr>
        <w:ind w:left="1225" w:hanging="965"/>
        <w:jc w:val="left"/>
      </w:pPr>
      <w:rPr>
        <w:rFonts w:hint="default"/>
        <w:lang w:val="en-US" w:eastAsia="en-US" w:bidi="en-US"/>
      </w:rPr>
    </w:lvl>
    <w:lvl w:ilvl="1">
      <w:start w:val="2"/>
      <w:numFmt w:val="decimal"/>
      <w:lvlText w:val="%1.%2"/>
      <w:lvlJc w:val="left"/>
      <w:pPr>
        <w:ind w:left="1225" w:hanging="965"/>
        <w:jc w:val="left"/>
      </w:pPr>
      <w:rPr>
        <w:rFonts w:hint="default"/>
        <w:lang w:val="en-US" w:eastAsia="en-US" w:bidi="en-US"/>
      </w:rPr>
    </w:lvl>
    <w:lvl w:ilvl="2">
      <w:start w:val="9"/>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5"/>
        <w:w w:val="99"/>
        <w:sz w:val="24"/>
        <w:szCs w:val="24"/>
        <w:lang w:val="en-US" w:eastAsia="en-US" w:bidi="en-US"/>
      </w:rPr>
    </w:lvl>
    <w:lvl w:ilvl="4">
      <w:numFmt w:val="bullet"/>
      <w:lvlText w:val="•"/>
      <w:lvlJc w:val="left"/>
      <w:pPr>
        <w:ind w:left="4798" w:hanging="965"/>
      </w:pPr>
      <w:rPr>
        <w:rFonts w:hint="default"/>
        <w:lang w:val="en-US" w:eastAsia="en-US" w:bidi="en-US"/>
      </w:rPr>
    </w:lvl>
    <w:lvl w:ilvl="5">
      <w:numFmt w:val="bullet"/>
      <w:lvlText w:val="•"/>
      <w:lvlJc w:val="left"/>
      <w:pPr>
        <w:ind w:left="5693" w:hanging="965"/>
      </w:pPr>
      <w:rPr>
        <w:rFonts w:hint="default"/>
        <w:lang w:val="en-US" w:eastAsia="en-US" w:bidi="en-US"/>
      </w:rPr>
    </w:lvl>
    <w:lvl w:ilvl="6">
      <w:numFmt w:val="bullet"/>
      <w:lvlText w:val="•"/>
      <w:lvlJc w:val="left"/>
      <w:pPr>
        <w:ind w:left="6587" w:hanging="965"/>
      </w:pPr>
      <w:rPr>
        <w:rFonts w:hint="default"/>
        <w:lang w:val="en-US" w:eastAsia="en-US" w:bidi="en-US"/>
      </w:rPr>
    </w:lvl>
    <w:lvl w:ilvl="7">
      <w:numFmt w:val="bullet"/>
      <w:lvlText w:val="•"/>
      <w:lvlJc w:val="left"/>
      <w:pPr>
        <w:ind w:left="7482" w:hanging="965"/>
      </w:pPr>
      <w:rPr>
        <w:rFonts w:hint="default"/>
        <w:lang w:val="en-US" w:eastAsia="en-US" w:bidi="en-US"/>
      </w:rPr>
    </w:lvl>
    <w:lvl w:ilvl="8">
      <w:numFmt w:val="bullet"/>
      <w:lvlText w:val="•"/>
      <w:lvlJc w:val="left"/>
      <w:pPr>
        <w:ind w:left="8377" w:hanging="965"/>
      </w:pPr>
      <w:rPr>
        <w:rFonts w:hint="default"/>
        <w:lang w:val="en-US" w:eastAsia="en-US" w:bidi="en-US"/>
      </w:rPr>
    </w:lvl>
  </w:abstractNum>
  <w:abstractNum w:abstractNumId="61" w15:restartNumberingAfterBreak="0">
    <w:nsid w:val="40F4133E"/>
    <w:multiLevelType w:val="multilevel"/>
    <w:tmpl w:val="41BC5F84"/>
    <w:lvl w:ilvl="0">
      <w:start w:val="6"/>
      <w:numFmt w:val="decimal"/>
      <w:lvlText w:val="%1"/>
      <w:lvlJc w:val="left"/>
      <w:pPr>
        <w:ind w:left="1225" w:hanging="965"/>
        <w:jc w:val="left"/>
      </w:pPr>
      <w:rPr>
        <w:rFonts w:hint="default"/>
        <w:lang w:val="en-US" w:eastAsia="en-US" w:bidi="en-US"/>
      </w:rPr>
    </w:lvl>
    <w:lvl w:ilvl="1">
      <w:start w:val="2"/>
      <w:numFmt w:val="decimal"/>
      <w:lvlText w:val="%1.%2"/>
      <w:lvlJc w:val="left"/>
      <w:pPr>
        <w:ind w:left="1225" w:hanging="965"/>
        <w:jc w:val="left"/>
      </w:pPr>
      <w:rPr>
        <w:rFonts w:hint="default"/>
        <w:lang w:val="en-US" w:eastAsia="en-US" w:bidi="en-US"/>
      </w:rPr>
    </w:lvl>
    <w:lvl w:ilvl="2">
      <w:start w:val="14"/>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2"/>
        <w:w w:val="99"/>
        <w:sz w:val="24"/>
        <w:szCs w:val="24"/>
        <w:lang w:val="en-US" w:eastAsia="en-US" w:bidi="en-US"/>
      </w:rPr>
    </w:lvl>
    <w:lvl w:ilvl="4">
      <w:start w:val="1"/>
      <w:numFmt w:val="lowerLetter"/>
      <w:lvlText w:val="(%5)"/>
      <w:lvlJc w:val="left"/>
      <w:pPr>
        <w:ind w:left="1700" w:hanging="447"/>
        <w:jc w:val="left"/>
      </w:pPr>
      <w:rPr>
        <w:rFonts w:ascii="Times New Roman" w:eastAsia="Times New Roman" w:hAnsi="Times New Roman" w:cs="Times New Roman" w:hint="default"/>
        <w:spacing w:val="-4"/>
        <w:w w:val="99"/>
        <w:sz w:val="24"/>
        <w:szCs w:val="24"/>
        <w:lang w:val="en-US" w:eastAsia="en-US" w:bidi="en-US"/>
      </w:rPr>
    </w:lvl>
    <w:lvl w:ilvl="5">
      <w:numFmt w:val="bullet"/>
      <w:lvlText w:val="•"/>
      <w:lvlJc w:val="left"/>
      <w:pPr>
        <w:ind w:left="5462" w:hanging="447"/>
      </w:pPr>
      <w:rPr>
        <w:rFonts w:hint="default"/>
        <w:lang w:val="en-US" w:eastAsia="en-US" w:bidi="en-US"/>
      </w:rPr>
    </w:lvl>
    <w:lvl w:ilvl="6">
      <w:numFmt w:val="bullet"/>
      <w:lvlText w:val="•"/>
      <w:lvlJc w:val="left"/>
      <w:pPr>
        <w:ind w:left="6403" w:hanging="447"/>
      </w:pPr>
      <w:rPr>
        <w:rFonts w:hint="default"/>
        <w:lang w:val="en-US" w:eastAsia="en-US" w:bidi="en-US"/>
      </w:rPr>
    </w:lvl>
    <w:lvl w:ilvl="7">
      <w:numFmt w:val="bullet"/>
      <w:lvlText w:val="•"/>
      <w:lvlJc w:val="left"/>
      <w:pPr>
        <w:ind w:left="7344" w:hanging="447"/>
      </w:pPr>
      <w:rPr>
        <w:rFonts w:hint="default"/>
        <w:lang w:val="en-US" w:eastAsia="en-US" w:bidi="en-US"/>
      </w:rPr>
    </w:lvl>
    <w:lvl w:ilvl="8">
      <w:numFmt w:val="bullet"/>
      <w:lvlText w:val="•"/>
      <w:lvlJc w:val="left"/>
      <w:pPr>
        <w:ind w:left="8284" w:hanging="447"/>
      </w:pPr>
      <w:rPr>
        <w:rFonts w:hint="default"/>
        <w:lang w:val="en-US" w:eastAsia="en-US" w:bidi="en-US"/>
      </w:rPr>
    </w:lvl>
  </w:abstractNum>
  <w:abstractNum w:abstractNumId="62" w15:restartNumberingAfterBreak="0">
    <w:nsid w:val="41227117"/>
    <w:multiLevelType w:val="multilevel"/>
    <w:tmpl w:val="E66E9932"/>
    <w:lvl w:ilvl="0">
      <w:start w:val="6"/>
      <w:numFmt w:val="decimal"/>
      <w:lvlText w:val="%1"/>
      <w:lvlJc w:val="left"/>
      <w:pPr>
        <w:ind w:left="1225" w:hanging="965"/>
        <w:jc w:val="left"/>
      </w:pPr>
      <w:rPr>
        <w:rFonts w:hint="default"/>
        <w:lang w:val="en-US" w:eastAsia="en-US" w:bidi="en-US"/>
      </w:rPr>
    </w:lvl>
    <w:lvl w:ilvl="1">
      <w:start w:val="2"/>
      <w:numFmt w:val="decimal"/>
      <w:lvlText w:val="%1.%2"/>
      <w:lvlJc w:val="left"/>
      <w:pPr>
        <w:ind w:left="1225" w:hanging="965"/>
        <w:jc w:val="left"/>
      </w:pPr>
      <w:rPr>
        <w:rFonts w:hint="default"/>
        <w:lang w:val="en-US" w:eastAsia="en-US" w:bidi="en-US"/>
      </w:rPr>
    </w:lvl>
    <w:lvl w:ilvl="2">
      <w:start w:val="3"/>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5"/>
        <w:w w:val="99"/>
        <w:sz w:val="24"/>
        <w:szCs w:val="24"/>
        <w:lang w:val="en-US" w:eastAsia="en-US" w:bidi="en-US"/>
      </w:rPr>
    </w:lvl>
    <w:lvl w:ilvl="4">
      <w:start w:val="1"/>
      <w:numFmt w:val="lowerLetter"/>
      <w:lvlText w:val="(%5)"/>
      <w:lvlJc w:val="left"/>
      <w:pPr>
        <w:ind w:left="1678" w:hanging="425"/>
        <w:jc w:val="left"/>
      </w:pPr>
      <w:rPr>
        <w:rFonts w:ascii="Times New Roman" w:eastAsia="Times New Roman" w:hAnsi="Times New Roman" w:cs="Times New Roman" w:hint="default"/>
        <w:spacing w:val="-30"/>
        <w:w w:val="99"/>
        <w:sz w:val="24"/>
        <w:szCs w:val="24"/>
        <w:lang w:val="en-US" w:eastAsia="en-US" w:bidi="en-US"/>
      </w:rPr>
    </w:lvl>
    <w:lvl w:ilvl="5">
      <w:numFmt w:val="bullet"/>
      <w:lvlText w:val="•"/>
      <w:lvlJc w:val="left"/>
      <w:pPr>
        <w:ind w:left="5451" w:hanging="425"/>
      </w:pPr>
      <w:rPr>
        <w:rFonts w:hint="default"/>
        <w:lang w:val="en-US" w:eastAsia="en-US" w:bidi="en-US"/>
      </w:rPr>
    </w:lvl>
    <w:lvl w:ilvl="6">
      <w:numFmt w:val="bullet"/>
      <w:lvlText w:val="•"/>
      <w:lvlJc w:val="left"/>
      <w:pPr>
        <w:ind w:left="6394" w:hanging="425"/>
      </w:pPr>
      <w:rPr>
        <w:rFonts w:hint="default"/>
        <w:lang w:val="en-US" w:eastAsia="en-US" w:bidi="en-US"/>
      </w:rPr>
    </w:lvl>
    <w:lvl w:ilvl="7">
      <w:numFmt w:val="bullet"/>
      <w:lvlText w:val="•"/>
      <w:lvlJc w:val="left"/>
      <w:pPr>
        <w:ind w:left="7337" w:hanging="425"/>
      </w:pPr>
      <w:rPr>
        <w:rFonts w:hint="default"/>
        <w:lang w:val="en-US" w:eastAsia="en-US" w:bidi="en-US"/>
      </w:rPr>
    </w:lvl>
    <w:lvl w:ilvl="8">
      <w:numFmt w:val="bullet"/>
      <w:lvlText w:val="•"/>
      <w:lvlJc w:val="left"/>
      <w:pPr>
        <w:ind w:left="8280" w:hanging="425"/>
      </w:pPr>
      <w:rPr>
        <w:rFonts w:hint="default"/>
        <w:lang w:val="en-US" w:eastAsia="en-US" w:bidi="en-US"/>
      </w:rPr>
    </w:lvl>
  </w:abstractNum>
  <w:abstractNum w:abstractNumId="63" w15:restartNumberingAfterBreak="0">
    <w:nsid w:val="41E07561"/>
    <w:multiLevelType w:val="hybridMultilevel"/>
    <w:tmpl w:val="AECEBADA"/>
    <w:lvl w:ilvl="0" w:tplc="BA668E3C">
      <w:start w:val="1"/>
      <w:numFmt w:val="lowerLetter"/>
      <w:lvlText w:val="(%1)"/>
      <w:lvlJc w:val="left"/>
      <w:pPr>
        <w:ind w:left="1472" w:hanging="360"/>
        <w:jc w:val="left"/>
      </w:pPr>
      <w:rPr>
        <w:rFonts w:ascii="Times New Roman" w:eastAsia="Times New Roman" w:hAnsi="Times New Roman" w:cs="Times New Roman" w:hint="default"/>
        <w:spacing w:val="-25"/>
        <w:w w:val="99"/>
        <w:sz w:val="24"/>
        <w:szCs w:val="24"/>
        <w:lang w:val="en-US" w:eastAsia="en-US" w:bidi="en-US"/>
      </w:rPr>
    </w:lvl>
    <w:lvl w:ilvl="1" w:tplc="FB0CAA10">
      <w:numFmt w:val="bullet"/>
      <w:lvlText w:val="•"/>
      <w:lvlJc w:val="left"/>
      <w:pPr>
        <w:ind w:left="2348" w:hanging="360"/>
      </w:pPr>
      <w:rPr>
        <w:rFonts w:hint="default"/>
        <w:lang w:val="en-US" w:eastAsia="en-US" w:bidi="en-US"/>
      </w:rPr>
    </w:lvl>
    <w:lvl w:ilvl="2" w:tplc="D3EA75D0">
      <w:numFmt w:val="bullet"/>
      <w:lvlText w:val="•"/>
      <w:lvlJc w:val="left"/>
      <w:pPr>
        <w:ind w:left="3217" w:hanging="360"/>
      </w:pPr>
      <w:rPr>
        <w:rFonts w:hint="default"/>
        <w:lang w:val="en-US" w:eastAsia="en-US" w:bidi="en-US"/>
      </w:rPr>
    </w:lvl>
    <w:lvl w:ilvl="3" w:tplc="12C2DB92">
      <w:numFmt w:val="bullet"/>
      <w:lvlText w:val="•"/>
      <w:lvlJc w:val="left"/>
      <w:pPr>
        <w:ind w:left="4085" w:hanging="360"/>
      </w:pPr>
      <w:rPr>
        <w:rFonts w:hint="default"/>
        <w:lang w:val="en-US" w:eastAsia="en-US" w:bidi="en-US"/>
      </w:rPr>
    </w:lvl>
    <w:lvl w:ilvl="4" w:tplc="141A7DBE">
      <w:numFmt w:val="bullet"/>
      <w:lvlText w:val="•"/>
      <w:lvlJc w:val="left"/>
      <w:pPr>
        <w:ind w:left="4954" w:hanging="360"/>
      </w:pPr>
      <w:rPr>
        <w:rFonts w:hint="default"/>
        <w:lang w:val="en-US" w:eastAsia="en-US" w:bidi="en-US"/>
      </w:rPr>
    </w:lvl>
    <w:lvl w:ilvl="5" w:tplc="424CEF2A">
      <w:numFmt w:val="bullet"/>
      <w:lvlText w:val="•"/>
      <w:lvlJc w:val="left"/>
      <w:pPr>
        <w:ind w:left="5823" w:hanging="360"/>
      </w:pPr>
      <w:rPr>
        <w:rFonts w:hint="default"/>
        <w:lang w:val="en-US" w:eastAsia="en-US" w:bidi="en-US"/>
      </w:rPr>
    </w:lvl>
    <w:lvl w:ilvl="6" w:tplc="DB34F5E2">
      <w:numFmt w:val="bullet"/>
      <w:lvlText w:val="•"/>
      <w:lvlJc w:val="left"/>
      <w:pPr>
        <w:ind w:left="6691" w:hanging="360"/>
      </w:pPr>
      <w:rPr>
        <w:rFonts w:hint="default"/>
        <w:lang w:val="en-US" w:eastAsia="en-US" w:bidi="en-US"/>
      </w:rPr>
    </w:lvl>
    <w:lvl w:ilvl="7" w:tplc="898C214E">
      <w:numFmt w:val="bullet"/>
      <w:lvlText w:val="•"/>
      <w:lvlJc w:val="left"/>
      <w:pPr>
        <w:ind w:left="7560" w:hanging="360"/>
      </w:pPr>
      <w:rPr>
        <w:rFonts w:hint="default"/>
        <w:lang w:val="en-US" w:eastAsia="en-US" w:bidi="en-US"/>
      </w:rPr>
    </w:lvl>
    <w:lvl w:ilvl="8" w:tplc="12AE0B2A">
      <w:numFmt w:val="bullet"/>
      <w:lvlText w:val="•"/>
      <w:lvlJc w:val="left"/>
      <w:pPr>
        <w:ind w:left="8429" w:hanging="360"/>
      </w:pPr>
      <w:rPr>
        <w:rFonts w:hint="default"/>
        <w:lang w:val="en-US" w:eastAsia="en-US" w:bidi="en-US"/>
      </w:rPr>
    </w:lvl>
  </w:abstractNum>
  <w:abstractNum w:abstractNumId="64" w15:restartNumberingAfterBreak="0">
    <w:nsid w:val="42AF6B37"/>
    <w:multiLevelType w:val="hybridMultilevel"/>
    <w:tmpl w:val="B6D492CC"/>
    <w:lvl w:ilvl="0" w:tplc="238E40A6">
      <w:numFmt w:val="bullet"/>
      <w:lvlText w:val=""/>
      <w:lvlJc w:val="left"/>
      <w:pPr>
        <w:ind w:left="1732" w:hanging="288"/>
      </w:pPr>
      <w:rPr>
        <w:rFonts w:ascii="Symbol" w:eastAsia="Symbol" w:hAnsi="Symbol" w:cs="Symbol" w:hint="default"/>
        <w:w w:val="100"/>
        <w:sz w:val="24"/>
        <w:szCs w:val="24"/>
        <w:lang w:val="en-US" w:eastAsia="en-US" w:bidi="en-US"/>
      </w:rPr>
    </w:lvl>
    <w:lvl w:ilvl="1" w:tplc="88B06FCC">
      <w:numFmt w:val="bullet"/>
      <w:lvlText w:val="•"/>
      <w:lvlJc w:val="left"/>
      <w:pPr>
        <w:ind w:left="2512" w:hanging="288"/>
      </w:pPr>
      <w:rPr>
        <w:rFonts w:hint="default"/>
        <w:lang w:val="en-US" w:eastAsia="en-US" w:bidi="en-US"/>
      </w:rPr>
    </w:lvl>
    <w:lvl w:ilvl="2" w:tplc="4ED6C2F2">
      <w:numFmt w:val="bullet"/>
      <w:lvlText w:val="•"/>
      <w:lvlJc w:val="left"/>
      <w:pPr>
        <w:ind w:left="3285" w:hanging="288"/>
      </w:pPr>
      <w:rPr>
        <w:rFonts w:hint="default"/>
        <w:lang w:val="en-US" w:eastAsia="en-US" w:bidi="en-US"/>
      </w:rPr>
    </w:lvl>
    <w:lvl w:ilvl="3" w:tplc="55EA5AA6">
      <w:numFmt w:val="bullet"/>
      <w:lvlText w:val="•"/>
      <w:lvlJc w:val="left"/>
      <w:pPr>
        <w:ind w:left="4058" w:hanging="288"/>
      </w:pPr>
      <w:rPr>
        <w:rFonts w:hint="default"/>
        <w:lang w:val="en-US" w:eastAsia="en-US" w:bidi="en-US"/>
      </w:rPr>
    </w:lvl>
    <w:lvl w:ilvl="4" w:tplc="FA8A3E1E">
      <w:numFmt w:val="bullet"/>
      <w:lvlText w:val="•"/>
      <w:lvlJc w:val="left"/>
      <w:pPr>
        <w:ind w:left="4831" w:hanging="288"/>
      </w:pPr>
      <w:rPr>
        <w:rFonts w:hint="default"/>
        <w:lang w:val="en-US" w:eastAsia="en-US" w:bidi="en-US"/>
      </w:rPr>
    </w:lvl>
    <w:lvl w:ilvl="5" w:tplc="9886BE0E">
      <w:numFmt w:val="bullet"/>
      <w:lvlText w:val="•"/>
      <w:lvlJc w:val="left"/>
      <w:pPr>
        <w:ind w:left="5604" w:hanging="288"/>
      </w:pPr>
      <w:rPr>
        <w:rFonts w:hint="default"/>
        <w:lang w:val="en-US" w:eastAsia="en-US" w:bidi="en-US"/>
      </w:rPr>
    </w:lvl>
    <w:lvl w:ilvl="6" w:tplc="BFC6C87C">
      <w:numFmt w:val="bullet"/>
      <w:lvlText w:val="•"/>
      <w:lvlJc w:val="left"/>
      <w:pPr>
        <w:ind w:left="6377" w:hanging="288"/>
      </w:pPr>
      <w:rPr>
        <w:rFonts w:hint="default"/>
        <w:lang w:val="en-US" w:eastAsia="en-US" w:bidi="en-US"/>
      </w:rPr>
    </w:lvl>
    <w:lvl w:ilvl="7" w:tplc="F1D897C0">
      <w:numFmt w:val="bullet"/>
      <w:lvlText w:val="•"/>
      <w:lvlJc w:val="left"/>
      <w:pPr>
        <w:ind w:left="7150" w:hanging="288"/>
      </w:pPr>
      <w:rPr>
        <w:rFonts w:hint="default"/>
        <w:lang w:val="en-US" w:eastAsia="en-US" w:bidi="en-US"/>
      </w:rPr>
    </w:lvl>
    <w:lvl w:ilvl="8" w:tplc="22AA4F0A">
      <w:numFmt w:val="bullet"/>
      <w:lvlText w:val="•"/>
      <w:lvlJc w:val="left"/>
      <w:pPr>
        <w:ind w:left="7923" w:hanging="288"/>
      </w:pPr>
      <w:rPr>
        <w:rFonts w:hint="default"/>
        <w:lang w:val="en-US" w:eastAsia="en-US" w:bidi="en-US"/>
      </w:rPr>
    </w:lvl>
  </w:abstractNum>
  <w:abstractNum w:abstractNumId="65" w15:restartNumberingAfterBreak="0">
    <w:nsid w:val="42B60E50"/>
    <w:multiLevelType w:val="hybridMultilevel"/>
    <w:tmpl w:val="A7D07C58"/>
    <w:lvl w:ilvl="0" w:tplc="A95EFF2C">
      <w:start w:val="19"/>
      <w:numFmt w:val="decimal"/>
      <w:lvlText w:val="%1."/>
      <w:lvlJc w:val="left"/>
      <w:pPr>
        <w:ind w:left="1072" w:hanging="370"/>
        <w:jc w:val="right"/>
      </w:pPr>
      <w:rPr>
        <w:rFonts w:hint="default"/>
        <w:w w:val="100"/>
        <w:lang w:val="en-US" w:eastAsia="en-US" w:bidi="en-US"/>
      </w:rPr>
    </w:lvl>
    <w:lvl w:ilvl="1" w:tplc="EEE6801E">
      <w:numFmt w:val="bullet"/>
      <w:lvlText w:val="•"/>
      <w:lvlJc w:val="left"/>
      <w:pPr>
        <w:ind w:left="1918" w:hanging="370"/>
      </w:pPr>
      <w:rPr>
        <w:rFonts w:hint="default"/>
        <w:lang w:val="en-US" w:eastAsia="en-US" w:bidi="en-US"/>
      </w:rPr>
    </w:lvl>
    <w:lvl w:ilvl="2" w:tplc="93583394">
      <w:numFmt w:val="bullet"/>
      <w:lvlText w:val="•"/>
      <w:lvlJc w:val="left"/>
      <w:pPr>
        <w:ind w:left="2757" w:hanging="370"/>
      </w:pPr>
      <w:rPr>
        <w:rFonts w:hint="default"/>
        <w:lang w:val="en-US" w:eastAsia="en-US" w:bidi="en-US"/>
      </w:rPr>
    </w:lvl>
    <w:lvl w:ilvl="3" w:tplc="1F9AC7E2">
      <w:numFmt w:val="bullet"/>
      <w:lvlText w:val="•"/>
      <w:lvlJc w:val="left"/>
      <w:pPr>
        <w:ind w:left="3596" w:hanging="370"/>
      </w:pPr>
      <w:rPr>
        <w:rFonts w:hint="default"/>
        <w:lang w:val="en-US" w:eastAsia="en-US" w:bidi="en-US"/>
      </w:rPr>
    </w:lvl>
    <w:lvl w:ilvl="4" w:tplc="B15A597C">
      <w:numFmt w:val="bullet"/>
      <w:lvlText w:val="•"/>
      <w:lvlJc w:val="left"/>
      <w:pPr>
        <w:ind w:left="4435" w:hanging="370"/>
      </w:pPr>
      <w:rPr>
        <w:rFonts w:hint="default"/>
        <w:lang w:val="en-US" w:eastAsia="en-US" w:bidi="en-US"/>
      </w:rPr>
    </w:lvl>
    <w:lvl w:ilvl="5" w:tplc="5A084218">
      <w:numFmt w:val="bullet"/>
      <w:lvlText w:val="•"/>
      <w:lvlJc w:val="left"/>
      <w:pPr>
        <w:ind w:left="5274" w:hanging="370"/>
      </w:pPr>
      <w:rPr>
        <w:rFonts w:hint="default"/>
        <w:lang w:val="en-US" w:eastAsia="en-US" w:bidi="en-US"/>
      </w:rPr>
    </w:lvl>
    <w:lvl w:ilvl="6" w:tplc="F5A209F8">
      <w:numFmt w:val="bullet"/>
      <w:lvlText w:val="•"/>
      <w:lvlJc w:val="left"/>
      <w:pPr>
        <w:ind w:left="6113" w:hanging="370"/>
      </w:pPr>
      <w:rPr>
        <w:rFonts w:hint="default"/>
        <w:lang w:val="en-US" w:eastAsia="en-US" w:bidi="en-US"/>
      </w:rPr>
    </w:lvl>
    <w:lvl w:ilvl="7" w:tplc="D75C7FEE">
      <w:numFmt w:val="bullet"/>
      <w:lvlText w:val="•"/>
      <w:lvlJc w:val="left"/>
      <w:pPr>
        <w:ind w:left="6952" w:hanging="370"/>
      </w:pPr>
      <w:rPr>
        <w:rFonts w:hint="default"/>
        <w:lang w:val="en-US" w:eastAsia="en-US" w:bidi="en-US"/>
      </w:rPr>
    </w:lvl>
    <w:lvl w:ilvl="8" w:tplc="3A787080">
      <w:numFmt w:val="bullet"/>
      <w:lvlText w:val="•"/>
      <w:lvlJc w:val="left"/>
      <w:pPr>
        <w:ind w:left="7791" w:hanging="370"/>
      </w:pPr>
      <w:rPr>
        <w:rFonts w:hint="default"/>
        <w:lang w:val="en-US" w:eastAsia="en-US" w:bidi="en-US"/>
      </w:rPr>
    </w:lvl>
  </w:abstractNum>
  <w:abstractNum w:abstractNumId="66" w15:restartNumberingAfterBreak="0">
    <w:nsid w:val="46903FDC"/>
    <w:multiLevelType w:val="hybridMultilevel"/>
    <w:tmpl w:val="2ACC3EB4"/>
    <w:lvl w:ilvl="0" w:tplc="0F9C1338">
      <w:start w:val="5"/>
      <w:numFmt w:val="upperRoman"/>
      <w:lvlText w:val="%1."/>
      <w:lvlJc w:val="left"/>
      <w:pPr>
        <w:ind w:left="1660" w:hanging="291"/>
        <w:jc w:val="right"/>
      </w:pPr>
      <w:rPr>
        <w:rFonts w:ascii="Times New Roman" w:eastAsia="Times New Roman" w:hAnsi="Times New Roman" w:cs="Times New Roman" w:hint="default"/>
        <w:i/>
        <w:w w:val="100"/>
        <w:sz w:val="24"/>
        <w:szCs w:val="24"/>
        <w:lang w:val="en-US" w:eastAsia="en-US" w:bidi="en-US"/>
      </w:rPr>
    </w:lvl>
    <w:lvl w:ilvl="1" w:tplc="8E70D564">
      <w:numFmt w:val="bullet"/>
      <w:lvlText w:val="•"/>
      <w:lvlJc w:val="left"/>
      <w:pPr>
        <w:ind w:left="2440" w:hanging="291"/>
      </w:pPr>
      <w:rPr>
        <w:rFonts w:hint="default"/>
        <w:lang w:val="en-US" w:eastAsia="en-US" w:bidi="en-US"/>
      </w:rPr>
    </w:lvl>
    <w:lvl w:ilvl="2" w:tplc="162E38C0">
      <w:numFmt w:val="bullet"/>
      <w:lvlText w:val="•"/>
      <w:lvlJc w:val="left"/>
      <w:pPr>
        <w:ind w:left="3221" w:hanging="291"/>
      </w:pPr>
      <w:rPr>
        <w:rFonts w:hint="default"/>
        <w:lang w:val="en-US" w:eastAsia="en-US" w:bidi="en-US"/>
      </w:rPr>
    </w:lvl>
    <w:lvl w:ilvl="3" w:tplc="67EE9B84">
      <w:numFmt w:val="bullet"/>
      <w:lvlText w:val="•"/>
      <w:lvlJc w:val="left"/>
      <w:pPr>
        <w:ind w:left="4002" w:hanging="291"/>
      </w:pPr>
      <w:rPr>
        <w:rFonts w:hint="default"/>
        <w:lang w:val="en-US" w:eastAsia="en-US" w:bidi="en-US"/>
      </w:rPr>
    </w:lvl>
    <w:lvl w:ilvl="4" w:tplc="B7048F10">
      <w:numFmt w:val="bullet"/>
      <w:lvlText w:val="•"/>
      <w:lvlJc w:val="left"/>
      <w:pPr>
        <w:ind w:left="4783" w:hanging="291"/>
      </w:pPr>
      <w:rPr>
        <w:rFonts w:hint="default"/>
        <w:lang w:val="en-US" w:eastAsia="en-US" w:bidi="en-US"/>
      </w:rPr>
    </w:lvl>
    <w:lvl w:ilvl="5" w:tplc="03B0F872">
      <w:numFmt w:val="bullet"/>
      <w:lvlText w:val="•"/>
      <w:lvlJc w:val="left"/>
      <w:pPr>
        <w:ind w:left="5564" w:hanging="291"/>
      </w:pPr>
      <w:rPr>
        <w:rFonts w:hint="default"/>
        <w:lang w:val="en-US" w:eastAsia="en-US" w:bidi="en-US"/>
      </w:rPr>
    </w:lvl>
    <w:lvl w:ilvl="6" w:tplc="CA4661D2">
      <w:numFmt w:val="bullet"/>
      <w:lvlText w:val="•"/>
      <w:lvlJc w:val="left"/>
      <w:pPr>
        <w:ind w:left="6345" w:hanging="291"/>
      </w:pPr>
      <w:rPr>
        <w:rFonts w:hint="default"/>
        <w:lang w:val="en-US" w:eastAsia="en-US" w:bidi="en-US"/>
      </w:rPr>
    </w:lvl>
    <w:lvl w:ilvl="7" w:tplc="1912234E">
      <w:numFmt w:val="bullet"/>
      <w:lvlText w:val="•"/>
      <w:lvlJc w:val="left"/>
      <w:pPr>
        <w:ind w:left="7126" w:hanging="291"/>
      </w:pPr>
      <w:rPr>
        <w:rFonts w:hint="default"/>
        <w:lang w:val="en-US" w:eastAsia="en-US" w:bidi="en-US"/>
      </w:rPr>
    </w:lvl>
    <w:lvl w:ilvl="8" w:tplc="D6A88508">
      <w:numFmt w:val="bullet"/>
      <w:lvlText w:val="•"/>
      <w:lvlJc w:val="left"/>
      <w:pPr>
        <w:ind w:left="7907" w:hanging="291"/>
      </w:pPr>
      <w:rPr>
        <w:rFonts w:hint="default"/>
        <w:lang w:val="en-US" w:eastAsia="en-US" w:bidi="en-US"/>
      </w:rPr>
    </w:lvl>
  </w:abstractNum>
  <w:abstractNum w:abstractNumId="67" w15:restartNumberingAfterBreak="0">
    <w:nsid w:val="477879ED"/>
    <w:multiLevelType w:val="hybridMultilevel"/>
    <w:tmpl w:val="77BE1D0C"/>
    <w:lvl w:ilvl="0" w:tplc="B748BBAA">
      <w:start w:val="2"/>
      <w:numFmt w:val="lowerLetter"/>
      <w:lvlText w:val="%1)"/>
      <w:lvlJc w:val="left"/>
      <w:pPr>
        <w:ind w:left="2312" w:hanging="360"/>
        <w:jc w:val="left"/>
      </w:pPr>
      <w:rPr>
        <w:rFonts w:ascii="Times New Roman" w:eastAsia="Times New Roman" w:hAnsi="Times New Roman" w:cs="Times New Roman" w:hint="default"/>
        <w:b/>
        <w:bCs/>
        <w:w w:val="99"/>
        <w:sz w:val="24"/>
        <w:szCs w:val="24"/>
        <w:lang w:val="en-US" w:eastAsia="en-US" w:bidi="en-US"/>
      </w:rPr>
    </w:lvl>
    <w:lvl w:ilvl="1" w:tplc="E64C6CC8">
      <w:numFmt w:val="bullet"/>
      <w:lvlText w:val="•"/>
      <w:lvlJc w:val="left"/>
      <w:pPr>
        <w:ind w:left="3218" w:hanging="360"/>
      </w:pPr>
      <w:rPr>
        <w:rFonts w:hint="default"/>
        <w:lang w:val="en-US" w:eastAsia="en-US" w:bidi="en-US"/>
      </w:rPr>
    </w:lvl>
    <w:lvl w:ilvl="2" w:tplc="C58032C2">
      <w:numFmt w:val="bullet"/>
      <w:lvlText w:val="•"/>
      <w:lvlJc w:val="left"/>
      <w:pPr>
        <w:ind w:left="4117" w:hanging="360"/>
      </w:pPr>
      <w:rPr>
        <w:rFonts w:hint="default"/>
        <w:lang w:val="en-US" w:eastAsia="en-US" w:bidi="en-US"/>
      </w:rPr>
    </w:lvl>
    <w:lvl w:ilvl="3" w:tplc="C33C8444">
      <w:numFmt w:val="bullet"/>
      <w:lvlText w:val="•"/>
      <w:lvlJc w:val="left"/>
      <w:pPr>
        <w:ind w:left="5015" w:hanging="360"/>
      </w:pPr>
      <w:rPr>
        <w:rFonts w:hint="default"/>
        <w:lang w:val="en-US" w:eastAsia="en-US" w:bidi="en-US"/>
      </w:rPr>
    </w:lvl>
    <w:lvl w:ilvl="4" w:tplc="910A96F0">
      <w:numFmt w:val="bullet"/>
      <w:lvlText w:val="•"/>
      <w:lvlJc w:val="left"/>
      <w:pPr>
        <w:ind w:left="5914" w:hanging="360"/>
      </w:pPr>
      <w:rPr>
        <w:rFonts w:hint="default"/>
        <w:lang w:val="en-US" w:eastAsia="en-US" w:bidi="en-US"/>
      </w:rPr>
    </w:lvl>
    <w:lvl w:ilvl="5" w:tplc="113EDB28">
      <w:numFmt w:val="bullet"/>
      <w:lvlText w:val="•"/>
      <w:lvlJc w:val="left"/>
      <w:pPr>
        <w:ind w:left="6813" w:hanging="360"/>
      </w:pPr>
      <w:rPr>
        <w:rFonts w:hint="default"/>
        <w:lang w:val="en-US" w:eastAsia="en-US" w:bidi="en-US"/>
      </w:rPr>
    </w:lvl>
    <w:lvl w:ilvl="6" w:tplc="518826A6">
      <w:numFmt w:val="bullet"/>
      <w:lvlText w:val="•"/>
      <w:lvlJc w:val="left"/>
      <w:pPr>
        <w:ind w:left="7711" w:hanging="360"/>
      </w:pPr>
      <w:rPr>
        <w:rFonts w:hint="default"/>
        <w:lang w:val="en-US" w:eastAsia="en-US" w:bidi="en-US"/>
      </w:rPr>
    </w:lvl>
    <w:lvl w:ilvl="7" w:tplc="25045854">
      <w:numFmt w:val="bullet"/>
      <w:lvlText w:val="•"/>
      <w:lvlJc w:val="left"/>
      <w:pPr>
        <w:ind w:left="8610" w:hanging="360"/>
      </w:pPr>
      <w:rPr>
        <w:rFonts w:hint="default"/>
        <w:lang w:val="en-US" w:eastAsia="en-US" w:bidi="en-US"/>
      </w:rPr>
    </w:lvl>
    <w:lvl w:ilvl="8" w:tplc="E8CEB0F0">
      <w:numFmt w:val="bullet"/>
      <w:lvlText w:val="•"/>
      <w:lvlJc w:val="left"/>
      <w:pPr>
        <w:ind w:left="9509" w:hanging="360"/>
      </w:pPr>
      <w:rPr>
        <w:rFonts w:hint="default"/>
        <w:lang w:val="en-US" w:eastAsia="en-US" w:bidi="en-US"/>
      </w:rPr>
    </w:lvl>
  </w:abstractNum>
  <w:abstractNum w:abstractNumId="68" w15:restartNumberingAfterBreak="0">
    <w:nsid w:val="48A36499"/>
    <w:multiLevelType w:val="multilevel"/>
    <w:tmpl w:val="B9D6FF44"/>
    <w:lvl w:ilvl="0">
      <w:start w:val="3"/>
      <w:numFmt w:val="decimal"/>
      <w:lvlText w:val="%1"/>
      <w:lvlJc w:val="left"/>
      <w:pPr>
        <w:ind w:left="1225" w:hanging="965"/>
        <w:jc w:val="left"/>
      </w:pPr>
      <w:rPr>
        <w:rFonts w:hint="default"/>
        <w:lang w:val="en-US" w:eastAsia="en-US" w:bidi="en-US"/>
      </w:rPr>
    </w:lvl>
    <w:lvl w:ilvl="1">
      <w:start w:val="17"/>
      <w:numFmt w:val="decimal"/>
      <w:lvlText w:val="%1.%2"/>
      <w:lvlJc w:val="left"/>
      <w:pPr>
        <w:ind w:left="1225" w:hanging="965"/>
        <w:jc w:val="left"/>
      </w:pPr>
      <w:rPr>
        <w:rFonts w:hint="default"/>
        <w:lang w:val="en-US" w:eastAsia="en-US" w:bidi="en-US"/>
      </w:rPr>
    </w:lvl>
    <w:lvl w:ilvl="2">
      <w:start w:val="8"/>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30"/>
        <w:w w:val="99"/>
        <w:sz w:val="24"/>
        <w:szCs w:val="24"/>
        <w:lang w:val="en-US" w:eastAsia="en-US" w:bidi="en-US"/>
      </w:rPr>
    </w:lvl>
    <w:lvl w:ilvl="4">
      <w:numFmt w:val="bullet"/>
      <w:lvlText w:val="•"/>
      <w:lvlJc w:val="left"/>
      <w:pPr>
        <w:ind w:left="4686" w:hanging="965"/>
      </w:pPr>
      <w:rPr>
        <w:rFonts w:hint="default"/>
        <w:lang w:val="en-US" w:eastAsia="en-US" w:bidi="en-US"/>
      </w:rPr>
    </w:lvl>
    <w:lvl w:ilvl="5">
      <w:numFmt w:val="bullet"/>
      <w:lvlText w:val="•"/>
      <w:lvlJc w:val="left"/>
      <w:pPr>
        <w:ind w:left="5553" w:hanging="965"/>
      </w:pPr>
      <w:rPr>
        <w:rFonts w:hint="default"/>
        <w:lang w:val="en-US" w:eastAsia="en-US" w:bidi="en-US"/>
      </w:rPr>
    </w:lvl>
    <w:lvl w:ilvl="6">
      <w:numFmt w:val="bullet"/>
      <w:lvlText w:val="•"/>
      <w:lvlJc w:val="left"/>
      <w:pPr>
        <w:ind w:left="6419" w:hanging="965"/>
      </w:pPr>
      <w:rPr>
        <w:rFonts w:hint="default"/>
        <w:lang w:val="en-US" w:eastAsia="en-US" w:bidi="en-US"/>
      </w:rPr>
    </w:lvl>
    <w:lvl w:ilvl="7">
      <w:numFmt w:val="bullet"/>
      <w:lvlText w:val="•"/>
      <w:lvlJc w:val="left"/>
      <w:pPr>
        <w:ind w:left="7286" w:hanging="965"/>
      </w:pPr>
      <w:rPr>
        <w:rFonts w:hint="default"/>
        <w:lang w:val="en-US" w:eastAsia="en-US" w:bidi="en-US"/>
      </w:rPr>
    </w:lvl>
    <w:lvl w:ilvl="8">
      <w:numFmt w:val="bullet"/>
      <w:lvlText w:val="•"/>
      <w:lvlJc w:val="left"/>
      <w:pPr>
        <w:ind w:left="8153" w:hanging="965"/>
      </w:pPr>
      <w:rPr>
        <w:rFonts w:hint="default"/>
        <w:lang w:val="en-US" w:eastAsia="en-US" w:bidi="en-US"/>
      </w:rPr>
    </w:lvl>
  </w:abstractNum>
  <w:abstractNum w:abstractNumId="69" w15:restartNumberingAfterBreak="0">
    <w:nsid w:val="48CE4F2B"/>
    <w:multiLevelType w:val="multilevel"/>
    <w:tmpl w:val="94D672FA"/>
    <w:lvl w:ilvl="0">
      <w:start w:val="3"/>
      <w:numFmt w:val="decimal"/>
      <w:lvlText w:val="%1"/>
      <w:lvlJc w:val="left"/>
      <w:pPr>
        <w:ind w:left="1225" w:hanging="965"/>
        <w:jc w:val="left"/>
      </w:pPr>
      <w:rPr>
        <w:rFonts w:hint="default"/>
        <w:lang w:val="en-US" w:eastAsia="en-US" w:bidi="en-US"/>
      </w:rPr>
    </w:lvl>
    <w:lvl w:ilvl="1">
      <w:start w:val="17"/>
      <w:numFmt w:val="decimal"/>
      <w:lvlText w:val="%1.%2"/>
      <w:lvlJc w:val="left"/>
      <w:pPr>
        <w:ind w:left="1225" w:hanging="965"/>
        <w:jc w:val="left"/>
      </w:pPr>
      <w:rPr>
        <w:rFonts w:hint="default"/>
        <w:lang w:val="en-US" w:eastAsia="en-US" w:bidi="en-US"/>
      </w:rPr>
    </w:lvl>
    <w:lvl w:ilvl="2">
      <w:start w:val="10"/>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w w:val="100"/>
        <w:sz w:val="24"/>
        <w:szCs w:val="24"/>
        <w:lang w:val="en-US" w:eastAsia="en-US" w:bidi="en-US"/>
      </w:rPr>
    </w:lvl>
    <w:lvl w:ilvl="4">
      <w:numFmt w:val="bullet"/>
      <w:lvlText w:val="•"/>
      <w:lvlJc w:val="left"/>
      <w:pPr>
        <w:ind w:left="4686" w:hanging="965"/>
      </w:pPr>
      <w:rPr>
        <w:rFonts w:hint="default"/>
        <w:lang w:val="en-US" w:eastAsia="en-US" w:bidi="en-US"/>
      </w:rPr>
    </w:lvl>
    <w:lvl w:ilvl="5">
      <w:numFmt w:val="bullet"/>
      <w:lvlText w:val="•"/>
      <w:lvlJc w:val="left"/>
      <w:pPr>
        <w:ind w:left="5553" w:hanging="965"/>
      </w:pPr>
      <w:rPr>
        <w:rFonts w:hint="default"/>
        <w:lang w:val="en-US" w:eastAsia="en-US" w:bidi="en-US"/>
      </w:rPr>
    </w:lvl>
    <w:lvl w:ilvl="6">
      <w:numFmt w:val="bullet"/>
      <w:lvlText w:val="•"/>
      <w:lvlJc w:val="left"/>
      <w:pPr>
        <w:ind w:left="6419" w:hanging="965"/>
      </w:pPr>
      <w:rPr>
        <w:rFonts w:hint="default"/>
        <w:lang w:val="en-US" w:eastAsia="en-US" w:bidi="en-US"/>
      </w:rPr>
    </w:lvl>
    <w:lvl w:ilvl="7">
      <w:numFmt w:val="bullet"/>
      <w:lvlText w:val="•"/>
      <w:lvlJc w:val="left"/>
      <w:pPr>
        <w:ind w:left="7286" w:hanging="965"/>
      </w:pPr>
      <w:rPr>
        <w:rFonts w:hint="default"/>
        <w:lang w:val="en-US" w:eastAsia="en-US" w:bidi="en-US"/>
      </w:rPr>
    </w:lvl>
    <w:lvl w:ilvl="8">
      <w:numFmt w:val="bullet"/>
      <w:lvlText w:val="•"/>
      <w:lvlJc w:val="left"/>
      <w:pPr>
        <w:ind w:left="8153" w:hanging="965"/>
      </w:pPr>
      <w:rPr>
        <w:rFonts w:hint="default"/>
        <w:lang w:val="en-US" w:eastAsia="en-US" w:bidi="en-US"/>
      </w:rPr>
    </w:lvl>
  </w:abstractNum>
  <w:abstractNum w:abstractNumId="70" w15:restartNumberingAfterBreak="0">
    <w:nsid w:val="4933626F"/>
    <w:multiLevelType w:val="hybridMultilevel"/>
    <w:tmpl w:val="11121EC2"/>
    <w:lvl w:ilvl="0" w:tplc="72360C7A">
      <w:start w:val="1"/>
      <w:numFmt w:val="lowerRoman"/>
      <w:lvlText w:val="%1."/>
      <w:lvlJc w:val="left"/>
      <w:pPr>
        <w:ind w:left="2217" w:hanging="488"/>
        <w:jc w:val="right"/>
      </w:pPr>
      <w:rPr>
        <w:rFonts w:ascii="Times New Roman" w:eastAsia="Times New Roman" w:hAnsi="Times New Roman" w:cs="Times New Roman" w:hint="default"/>
        <w:i/>
        <w:spacing w:val="-2"/>
        <w:w w:val="99"/>
        <w:sz w:val="24"/>
        <w:szCs w:val="24"/>
        <w:lang w:val="en-US" w:eastAsia="en-US" w:bidi="en-US"/>
      </w:rPr>
    </w:lvl>
    <w:lvl w:ilvl="1" w:tplc="0B8071D6">
      <w:numFmt w:val="bullet"/>
      <w:lvlText w:val="•"/>
      <w:lvlJc w:val="left"/>
      <w:pPr>
        <w:ind w:left="2952" w:hanging="488"/>
      </w:pPr>
      <w:rPr>
        <w:rFonts w:hint="default"/>
        <w:lang w:val="en-US" w:eastAsia="en-US" w:bidi="en-US"/>
      </w:rPr>
    </w:lvl>
    <w:lvl w:ilvl="2" w:tplc="B20C1FBE">
      <w:numFmt w:val="bullet"/>
      <w:lvlText w:val="•"/>
      <w:lvlJc w:val="left"/>
      <w:pPr>
        <w:ind w:left="3685" w:hanging="488"/>
      </w:pPr>
      <w:rPr>
        <w:rFonts w:hint="default"/>
        <w:lang w:val="en-US" w:eastAsia="en-US" w:bidi="en-US"/>
      </w:rPr>
    </w:lvl>
    <w:lvl w:ilvl="3" w:tplc="06DEEAAA">
      <w:numFmt w:val="bullet"/>
      <w:lvlText w:val="•"/>
      <w:lvlJc w:val="left"/>
      <w:pPr>
        <w:ind w:left="4417" w:hanging="488"/>
      </w:pPr>
      <w:rPr>
        <w:rFonts w:hint="default"/>
        <w:lang w:val="en-US" w:eastAsia="en-US" w:bidi="en-US"/>
      </w:rPr>
    </w:lvl>
    <w:lvl w:ilvl="4" w:tplc="37261428">
      <w:numFmt w:val="bullet"/>
      <w:lvlText w:val="•"/>
      <w:lvlJc w:val="left"/>
      <w:pPr>
        <w:ind w:left="5150" w:hanging="488"/>
      </w:pPr>
      <w:rPr>
        <w:rFonts w:hint="default"/>
        <w:lang w:val="en-US" w:eastAsia="en-US" w:bidi="en-US"/>
      </w:rPr>
    </w:lvl>
    <w:lvl w:ilvl="5" w:tplc="85F8E228">
      <w:numFmt w:val="bullet"/>
      <w:lvlText w:val="•"/>
      <w:lvlJc w:val="left"/>
      <w:pPr>
        <w:ind w:left="5883" w:hanging="488"/>
      </w:pPr>
      <w:rPr>
        <w:rFonts w:hint="default"/>
        <w:lang w:val="en-US" w:eastAsia="en-US" w:bidi="en-US"/>
      </w:rPr>
    </w:lvl>
    <w:lvl w:ilvl="6" w:tplc="DD80141E">
      <w:numFmt w:val="bullet"/>
      <w:lvlText w:val="•"/>
      <w:lvlJc w:val="left"/>
      <w:pPr>
        <w:ind w:left="6615" w:hanging="488"/>
      </w:pPr>
      <w:rPr>
        <w:rFonts w:hint="default"/>
        <w:lang w:val="en-US" w:eastAsia="en-US" w:bidi="en-US"/>
      </w:rPr>
    </w:lvl>
    <w:lvl w:ilvl="7" w:tplc="1818CC18">
      <w:numFmt w:val="bullet"/>
      <w:lvlText w:val="•"/>
      <w:lvlJc w:val="left"/>
      <w:pPr>
        <w:ind w:left="7348" w:hanging="488"/>
      </w:pPr>
      <w:rPr>
        <w:rFonts w:hint="default"/>
        <w:lang w:val="en-US" w:eastAsia="en-US" w:bidi="en-US"/>
      </w:rPr>
    </w:lvl>
    <w:lvl w:ilvl="8" w:tplc="65086D7C">
      <w:numFmt w:val="bullet"/>
      <w:lvlText w:val="•"/>
      <w:lvlJc w:val="left"/>
      <w:pPr>
        <w:ind w:left="8081" w:hanging="488"/>
      </w:pPr>
      <w:rPr>
        <w:rFonts w:hint="default"/>
        <w:lang w:val="en-US" w:eastAsia="en-US" w:bidi="en-US"/>
      </w:rPr>
    </w:lvl>
  </w:abstractNum>
  <w:abstractNum w:abstractNumId="71" w15:restartNumberingAfterBreak="0">
    <w:nsid w:val="49EB6EBB"/>
    <w:multiLevelType w:val="hybridMultilevel"/>
    <w:tmpl w:val="78E218A4"/>
    <w:lvl w:ilvl="0" w:tplc="B9ACA796">
      <w:start w:val="1"/>
      <w:numFmt w:val="decimal"/>
      <w:lvlText w:val="%1."/>
      <w:lvlJc w:val="left"/>
      <w:pPr>
        <w:ind w:left="480" w:hanging="360"/>
        <w:jc w:val="right"/>
      </w:pPr>
      <w:rPr>
        <w:rFonts w:ascii="Tahoma" w:eastAsia="Tahoma" w:hAnsi="Tahoma" w:cs="Tahoma" w:hint="default"/>
        <w:spacing w:val="-2"/>
        <w:w w:val="99"/>
        <w:sz w:val="24"/>
        <w:szCs w:val="24"/>
        <w:lang w:val="en-US" w:eastAsia="en-US" w:bidi="en-US"/>
      </w:rPr>
    </w:lvl>
    <w:lvl w:ilvl="1" w:tplc="C510A45A">
      <w:numFmt w:val="bullet"/>
      <w:lvlText w:val="•"/>
      <w:lvlJc w:val="left"/>
      <w:pPr>
        <w:ind w:left="1342" w:hanging="360"/>
      </w:pPr>
      <w:rPr>
        <w:rFonts w:hint="default"/>
        <w:lang w:val="en-US" w:eastAsia="en-US" w:bidi="en-US"/>
      </w:rPr>
    </w:lvl>
    <w:lvl w:ilvl="2" w:tplc="AF74642C">
      <w:numFmt w:val="bullet"/>
      <w:lvlText w:val="•"/>
      <w:lvlJc w:val="left"/>
      <w:pPr>
        <w:ind w:left="2204" w:hanging="360"/>
      </w:pPr>
      <w:rPr>
        <w:rFonts w:hint="default"/>
        <w:lang w:val="en-US" w:eastAsia="en-US" w:bidi="en-US"/>
      </w:rPr>
    </w:lvl>
    <w:lvl w:ilvl="3" w:tplc="70A267DE">
      <w:numFmt w:val="bullet"/>
      <w:lvlText w:val="•"/>
      <w:lvlJc w:val="left"/>
      <w:pPr>
        <w:ind w:left="3066" w:hanging="360"/>
      </w:pPr>
      <w:rPr>
        <w:rFonts w:hint="default"/>
        <w:lang w:val="en-US" w:eastAsia="en-US" w:bidi="en-US"/>
      </w:rPr>
    </w:lvl>
    <w:lvl w:ilvl="4" w:tplc="32E4E2E6">
      <w:numFmt w:val="bullet"/>
      <w:lvlText w:val="•"/>
      <w:lvlJc w:val="left"/>
      <w:pPr>
        <w:ind w:left="3928" w:hanging="360"/>
      </w:pPr>
      <w:rPr>
        <w:rFonts w:hint="default"/>
        <w:lang w:val="en-US" w:eastAsia="en-US" w:bidi="en-US"/>
      </w:rPr>
    </w:lvl>
    <w:lvl w:ilvl="5" w:tplc="504CD656">
      <w:numFmt w:val="bullet"/>
      <w:lvlText w:val="•"/>
      <w:lvlJc w:val="left"/>
      <w:pPr>
        <w:ind w:left="4790" w:hanging="360"/>
      </w:pPr>
      <w:rPr>
        <w:rFonts w:hint="default"/>
        <w:lang w:val="en-US" w:eastAsia="en-US" w:bidi="en-US"/>
      </w:rPr>
    </w:lvl>
    <w:lvl w:ilvl="6" w:tplc="3D0EC042">
      <w:numFmt w:val="bullet"/>
      <w:lvlText w:val="•"/>
      <w:lvlJc w:val="left"/>
      <w:pPr>
        <w:ind w:left="5652" w:hanging="360"/>
      </w:pPr>
      <w:rPr>
        <w:rFonts w:hint="default"/>
        <w:lang w:val="en-US" w:eastAsia="en-US" w:bidi="en-US"/>
      </w:rPr>
    </w:lvl>
    <w:lvl w:ilvl="7" w:tplc="44421476">
      <w:numFmt w:val="bullet"/>
      <w:lvlText w:val="•"/>
      <w:lvlJc w:val="left"/>
      <w:pPr>
        <w:ind w:left="6514" w:hanging="360"/>
      </w:pPr>
      <w:rPr>
        <w:rFonts w:hint="default"/>
        <w:lang w:val="en-US" w:eastAsia="en-US" w:bidi="en-US"/>
      </w:rPr>
    </w:lvl>
    <w:lvl w:ilvl="8" w:tplc="5B007E4A">
      <w:numFmt w:val="bullet"/>
      <w:lvlText w:val="•"/>
      <w:lvlJc w:val="left"/>
      <w:pPr>
        <w:ind w:left="7376" w:hanging="360"/>
      </w:pPr>
      <w:rPr>
        <w:rFonts w:hint="default"/>
        <w:lang w:val="en-US" w:eastAsia="en-US" w:bidi="en-US"/>
      </w:rPr>
    </w:lvl>
  </w:abstractNum>
  <w:abstractNum w:abstractNumId="72" w15:restartNumberingAfterBreak="0">
    <w:nsid w:val="4E777DEB"/>
    <w:multiLevelType w:val="hybridMultilevel"/>
    <w:tmpl w:val="C95C79EA"/>
    <w:lvl w:ilvl="0" w:tplc="9CC011F6">
      <w:start w:val="1"/>
      <w:numFmt w:val="lowerRoman"/>
      <w:lvlText w:val="%1."/>
      <w:lvlJc w:val="left"/>
      <w:pPr>
        <w:ind w:left="2217" w:hanging="488"/>
        <w:jc w:val="right"/>
      </w:pPr>
      <w:rPr>
        <w:rFonts w:ascii="Times New Roman" w:eastAsia="Times New Roman" w:hAnsi="Times New Roman" w:cs="Times New Roman" w:hint="default"/>
        <w:i/>
        <w:spacing w:val="-2"/>
        <w:w w:val="99"/>
        <w:sz w:val="24"/>
        <w:szCs w:val="24"/>
        <w:lang w:val="en-US" w:eastAsia="en-US" w:bidi="en-US"/>
      </w:rPr>
    </w:lvl>
    <w:lvl w:ilvl="1" w:tplc="9028C5FA">
      <w:numFmt w:val="bullet"/>
      <w:lvlText w:val="•"/>
      <w:lvlJc w:val="left"/>
      <w:pPr>
        <w:ind w:left="2952" w:hanging="488"/>
      </w:pPr>
      <w:rPr>
        <w:rFonts w:hint="default"/>
        <w:lang w:val="en-US" w:eastAsia="en-US" w:bidi="en-US"/>
      </w:rPr>
    </w:lvl>
    <w:lvl w:ilvl="2" w:tplc="93824F00">
      <w:numFmt w:val="bullet"/>
      <w:lvlText w:val="•"/>
      <w:lvlJc w:val="left"/>
      <w:pPr>
        <w:ind w:left="3685" w:hanging="488"/>
      </w:pPr>
      <w:rPr>
        <w:rFonts w:hint="default"/>
        <w:lang w:val="en-US" w:eastAsia="en-US" w:bidi="en-US"/>
      </w:rPr>
    </w:lvl>
    <w:lvl w:ilvl="3" w:tplc="343AEA70">
      <w:numFmt w:val="bullet"/>
      <w:lvlText w:val="•"/>
      <w:lvlJc w:val="left"/>
      <w:pPr>
        <w:ind w:left="4417" w:hanging="488"/>
      </w:pPr>
      <w:rPr>
        <w:rFonts w:hint="default"/>
        <w:lang w:val="en-US" w:eastAsia="en-US" w:bidi="en-US"/>
      </w:rPr>
    </w:lvl>
    <w:lvl w:ilvl="4" w:tplc="696483A8">
      <w:numFmt w:val="bullet"/>
      <w:lvlText w:val="•"/>
      <w:lvlJc w:val="left"/>
      <w:pPr>
        <w:ind w:left="5150" w:hanging="488"/>
      </w:pPr>
      <w:rPr>
        <w:rFonts w:hint="default"/>
        <w:lang w:val="en-US" w:eastAsia="en-US" w:bidi="en-US"/>
      </w:rPr>
    </w:lvl>
    <w:lvl w:ilvl="5" w:tplc="2B5AA9B8">
      <w:numFmt w:val="bullet"/>
      <w:lvlText w:val="•"/>
      <w:lvlJc w:val="left"/>
      <w:pPr>
        <w:ind w:left="5883" w:hanging="488"/>
      </w:pPr>
      <w:rPr>
        <w:rFonts w:hint="default"/>
        <w:lang w:val="en-US" w:eastAsia="en-US" w:bidi="en-US"/>
      </w:rPr>
    </w:lvl>
    <w:lvl w:ilvl="6" w:tplc="79DA13FA">
      <w:numFmt w:val="bullet"/>
      <w:lvlText w:val="•"/>
      <w:lvlJc w:val="left"/>
      <w:pPr>
        <w:ind w:left="6615" w:hanging="488"/>
      </w:pPr>
      <w:rPr>
        <w:rFonts w:hint="default"/>
        <w:lang w:val="en-US" w:eastAsia="en-US" w:bidi="en-US"/>
      </w:rPr>
    </w:lvl>
    <w:lvl w:ilvl="7" w:tplc="AD38D7FE">
      <w:numFmt w:val="bullet"/>
      <w:lvlText w:val="•"/>
      <w:lvlJc w:val="left"/>
      <w:pPr>
        <w:ind w:left="7348" w:hanging="488"/>
      </w:pPr>
      <w:rPr>
        <w:rFonts w:hint="default"/>
        <w:lang w:val="en-US" w:eastAsia="en-US" w:bidi="en-US"/>
      </w:rPr>
    </w:lvl>
    <w:lvl w:ilvl="8" w:tplc="BDAADD56">
      <w:numFmt w:val="bullet"/>
      <w:lvlText w:val="•"/>
      <w:lvlJc w:val="left"/>
      <w:pPr>
        <w:ind w:left="8081" w:hanging="488"/>
      </w:pPr>
      <w:rPr>
        <w:rFonts w:hint="default"/>
        <w:lang w:val="en-US" w:eastAsia="en-US" w:bidi="en-US"/>
      </w:rPr>
    </w:lvl>
  </w:abstractNum>
  <w:abstractNum w:abstractNumId="73" w15:restartNumberingAfterBreak="0">
    <w:nsid w:val="4F0A0A4F"/>
    <w:multiLevelType w:val="multilevel"/>
    <w:tmpl w:val="7550F74E"/>
    <w:lvl w:ilvl="0">
      <w:start w:val="6"/>
      <w:numFmt w:val="decimal"/>
      <w:lvlText w:val="%1"/>
      <w:lvlJc w:val="left"/>
      <w:pPr>
        <w:ind w:left="1225" w:hanging="965"/>
        <w:jc w:val="left"/>
      </w:pPr>
      <w:rPr>
        <w:rFonts w:hint="default"/>
        <w:lang w:val="en-US" w:eastAsia="en-US" w:bidi="en-US"/>
      </w:rPr>
    </w:lvl>
    <w:lvl w:ilvl="1">
      <w:start w:val="1"/>
      <w:numFmt w:val="decimal"/>
      <w:lvlText w:val="%1.%2"/>
      <w:lvlJc w:val="left"/>
      <w:pPr>
        <w:ind w:left="1225" w:hanging="965"/>
        <w:jc w:val="left"/>
      </w:pPr>
      <w:rPr>
        <w:rFonts w:hint="default"/>
        <w:lang w:val="en-US" w:eastAsia="en-US" w:bidi="en-US"/>
      </w:rPr>
    </w:lvl>
    <w:lvl w:ilvl="2">
      <w:start w:val="3"/>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1"/>
        <w:w w:val="99"/>
        <w:sz w:val="24"/>
        <w:szCs w:val="24"/>
        <w:lang w:val="en-US" w:eastAsia="en-US" w:bidi="en-US"/>
      </w:rPr>
    </w:lvl>
    <w:lvl w:ilvl="4">
      <w:start w:val="1"/>
      <w:numFmt w:val="lowerLetter"/>
      <w:lvlText w:val="(%5)"/>
      <w:lvlJc w:val="left"/>
      <w:pPr>
        <w:ind w:left="1820" w:hanging="567"/>
        <w:jc w:val="left"/>
      </w:pPr>
      <w:rPr>
        <w:rFonts w:ascii="Times New Roman" w:eastAsia="Times New Roman" w:hAnsi="Times New Roman" w:cs="Times New Roman" w:hint="default"/>
        <w:spacing w:val="-5"/>
        <w:w w:val="99"/>
        <w:sz w:val="24"/>
        <w:szCs w:val="24"/>
        <w:lang w:val="en-US" w:eastAsia="en-US" w:bidi="en-US"/>
      </w:rPr>
    </w:lvl>
    <w:lvl w:ilvl="5">
      <w:numFmt w:val="bullet"/>
      <w:lvlText w:val="•"/>
      <w:lvlJc w:val="left"/>
      <w:pPr>
        <w:ind w:left="5529" w:hanging="567"/>
      </w:pPr>
      <w:rPr>
        <w:rFonts w:hint="default"/>
        <w:lang w:val="en-US" w:eastAsia="en-US" w:bidi="en-US"/>
      </w:rPr>
    </w:lvl>
    <w:lvl w:ilvl="6">
      <w:numFmt w:val="bullet"/>
      <w:lvlText w:val="•"/>
      <w:lvlJc w:val="left"/>
      <w:pPr>
        <w:ind w:left="6456" w:hanging="567"/>
      </w:pPr>
      <w:rPr>
        <w:rFonts w:hint="default"/>
        <w:lang w:val="en-US" w:eastAsia="en-US" w:bidi="en-US"/>
      </w:rPr>
    </w:lvl>
    <w:lvl w:ilvl="7">
      <w:numFmt w:val="bullet"/>
      <w:lvlText w:val="•"/>
      <w:lvlJc w:val="left"/>
      <w:pPr>
        <w:ind w:left="7384" w:hanging="567"/>
      </w:pPr>
      <w:rPr>
        <w:rFonts w:hint="default"/>
        <w:lang w:val="en-US" w:eastAsia="en-US" w:bidi="en-US"/>
      </w:rPr>
    </w:lvl>
    <w:lvl w:ilvl="8">
      <w:numFmt w:val="bullet"/>
      <w:lvlText w:val="•"/>
      <w:lvlJc w:val="left"/>
      <w:pPr>
        <w:ind w:left="8311" w:hanging="567"/>
      </w:pPr>
      <w:rPr>
        <w:rFonts w:hint="default"/>
        <w:lang w:val="en-US" w:eastAsia="en-US" w:bidi="en-US"/>
      </w:rPr>
    </w:lvl>
  </w:abstractNum>
  <w:abstractNum w:abstractNumId="74" w15:restartNumberingAfterBreak="0">
    <w:nsid w:val="500171C2"/>
    <w:multiLevelType w:val="multilevel"/>
    <w:tmpl w:val="14AA3288"/>
    <w:lvl w:ilvl="0">
      <w:start w:val="3"/>
      <w:numFmt w:val="decimal"/>
      <w:lvlText w:val="%1"/>
      <w:lvlJc w:val="left"/>
      <w:pPr>
        <w:ind w:left="1246" w:hanging="567"/>
        <w:jc w:val="left"/>
      </w:pPr>
      <w:rPr>
        <w:rFonts w:hint="default"/>
        <w:lang w:val="en-US" w:eastAsia="en-US" w:bidi="en-US"/>
      </w:rPr>
    </w:lvl>
    <w:lvl w:ilvl="1">
      <w:start w:val="4"/>
      <w:numFmt w:val="decimal"/>
      <w:lvlText w:val="%1.%2"/>
      <w:lvlJc w:val="left"/>
      <w:pPr>
        <w:ind w:left="1246" w:hanging="567"/>
        <w:jc w:val="right"/>
      </w:pPr>
      <w:rPr>
        <w:rFonts w:ascii="Times New Roman" w:eastAsia="Times New Roman" w:hAnsi="Times New Roman" w:cs="Times New Roman" w:hint="default"/>
        <w:b/>
        <w:bCs/>
        <w:spacing w:val="-3"/>
        <w:w w:val="100"/>
        <w:sz w:val="24"/>
        <w:szCs w:val="24"/>
        <w:lang w:val="en-US" w:eastAsia="en-US" w:bidi="en-US"/>
      </w:rPr>
    </w:lvl>
    <w:lvl w:ilvl="2">
      <w:start w:val="1"/>
      <w:numFmt w:val="decimal"/>
      <w:lvlText w:val="%1.%2.%3"/>
      <w:lvlJc w:val="left"/>
      <w:pPr>
        <w:ind w:left="1532" w:hanging="852"/>
        <w:jc w:val="left"/>
      </w:pPr>
      <w:rPr>
        <w:rFonts w:ascii="Times New Roman" w:eastAsia="Times New Roman" w:hAnsi="Times New Roman" w:cs="Times New Roman" w:hint="default"/>
        <w:spacing w:val="-30"/>
        <w:w w:val="99"/>
        <w:sz w:val="24"/>
        <w:szCs w:val="24"/>
        <w:lang w:val="en-US" w:eastAsia="en-US" w:bidi="en-US"/>
      </w:rPr>
    </w:lvl>
    <w:lvl w:ilvl="3">
      <w:start w:val="1"/>
      <w:numFmt w:val="lowerRoman"/>
      <w:lvlText w:val="%4."/>
      <w:lvlJc w:val="left"/>
      <w:pPr>
        <w:ind w:left="2120" w:hanging="432"/>
        <w:jc w:val="right"/>
      </w:pPr>
      <w:rPr>
        <w:rFonts w:ascii="Times New Roman" w:eastAsia="Times New Roman" w:hAnsi="Times New Roman" w:cs="Times New Roman" w:hint="default"/>
        <w:spacing w:val="-2"/>
        <w:w w:val="99"/>
        <w:sz w:val="24"/>
        <w:szCs w:val="24"/>
        <w:lang w:val="en-US" w:eastAsia="en-US" w:bidi="en-US"/>
      </w:rPr>
    </w:lvl>
    <w:lvl w:ilvl="4">
      <w:numFmt w:val="bullet"/>
      <w:lvlText w:val="•"/>
      <w:lvlJc w:val="left"/>
      <w:pPr>
        <w:ind w:left="1240" w:hanging="432"/>
      </w:pPr>
      <w:rPr>
        <w:rFonts w:hint="default"/>
        <w:lang w:val="en-US" w:eastAsia="en-US" w:bidi="en-US"/>
      </w:rPr>
    </w:lvl>
    <w:lvl w:ilvl="5">
      <w:numFmt w:val="bullet"/>
      <w:lvlText w:val="•"/>
      <w:lvlJc w:val="left"/>
      <w:pPr>
        <w:ind w:left="1540" w:hanging="432"/>
      </w:pPr>
      <w:rPr>
        <w:rFonts w:hint="default"/>
        <w:lang w:val="en-US" w:eastAsia="en-US" w:bidi="en-US"/>
      </w:rPr>
    </w:lvl>
    <w:lvl w:ilvl="6">
      <w:numFmt w:val="bullet"/>
      <w:lvlText w:val="•"/>
      <w:lvlJc w:val="left"/>
      <w:pPr>
        <w:ind w:left="1580" w:hanging="432"/>
      </w:pPr>
      <w:rPr>
        <w:rFonts w:hint="default"/>
        <w:lang w:val="en-US" w:eastAsia="en-US" w:bidi="en-US"/>
      </w:rPr>
    </w:lvl>
    <w:lvl w:ilvl="7">
      <w:numFmt w:val="bullet"/>
      <w:lvlText w:val="•"/>
      <w:lvlJc w:val="left"/>
      <w:pPr>
        <w:ind w:left="1700" w:hanging="432"/>
      </w:pPr>
      <w:rPr>
        <w:rFonts w:hint="default"/>
        <w:lang w:val="en-US" w:eastAsia="en-US" w:bidi="en-US"/>
      </w:rPr>
    </w:lvl>
    <w:lvl w:ilvl="8">
      <w:numFmt w:val="bullet"/>
      <w:lvlText w:val="•"/>
      <w:lvlJc w:val="left"/>
      <w:pPr>
        <w:ind w:left="2120" w:hanging="432"/>
      </w:pPr>
      <w:rPr>
        <w:rFonts w:hint="default"/>
        <w:lang w:val="en-US" w:eastAsia="en-US" w:bidi="en-US"/>
      </w:rPr>
    </w:lvl>
  </w:abstractNum>
  <w:abstractNum w:abstractNumId="75" w15:restartNumberingAfterBreak="0">
    <w:nsid w:val="51DC19A4"/>
    <w:multiLevelType w:val="hybridMultilevel"/>
    <w:tmpl w:val="CC742A76"/>
    <w:lvl w:ilvl="0" w:tplc="48903350">
      <w:start w:val="1"/>
      <w:numFmt w:val="decimal"/>
      <w:lvlText w:val="%1)"/>
      <w:lvlJc w:val="left"/>
      <w:pPr>
        <w:ind w:left="2340" w:hanging="360"/>
        <w:jc w:val="left"/>
      </w:pPr>
      <w:rPr>
        <w:rFonts w:ascii="Times New Roman" w:eastAsia="Times New Roman" w:hAnsi="Times New Roman" w:cs="Times New Roman" w:hint="default"/>
        <w:i/>
        <w:spacing w:val="-20"/>
        <w:w w:val="99"/>
        <w:sz w:val="24"/>
        <w:szCs w:val="24"/>
        <w:lang w:val="en-US" w:eastAsia="en-US" w:bidi="en-US"/>
      </w:rPr>
    </w:lvl>
    <w:lvl w:ilvl="1" w:tplc="F38CC30C">
      <w:numFmt w:val="bullet"/>
      <w:lvlText w:val="•"/>
      <w:lvlJc w:val="left"/>
      <w:pPr>
        <w:ind w:left="3144" w:hanging="360"/>
      </w:pPr>
      <w:rPr>
        <w:rFonts w:hint="default"/>
        <w:lang w:val="en-US" w:eastAsia="en-US" w:bidi="en-US"/>
      </w:rPr>
    </w:lvl>
    <w:lvl w:ilvl="2" w:tplc="55365804">
      <w:numFmt w:val="bullet"/>
      <w:lvlText w:val="•"/>
      <w:lvlJc w:val="left"/>
      <w:pPr>
        <w:ind w:left="3949" w:hanging="360"/>
      </w:pPr>
      <w:rPr>
        <w:rFonts w:hint="default"/>
        <w:lang w:val="en-US" w:eastAsia="en-US" w:bidi="en-US"/>
      </w:rPr>
    </w:lvl>
    <w:lvl w:ilvl="3" w:tplc="FACCF818">
      <w:numFmt w:val="bullet"/>
      <w:lvlText w:val="•"/>
      <w:lvlJc w:val="left"/>
      <w:pPr>
        <w:ind w:left="4753" w:hanging="360"/>
      </w:pPr>
      <w:rPr>
        <w:rFonts w:hint="default"/>
        <w:lang w:val="en-US" w:eastAsia="en-US" w:bidi="en-US"/>
      </w:rPr>
    </w:lvl>
    <w:lvl w:ilvl="4" w:tplc="42B2FA5E">
      <w:numFmt w:val="bullet"/>
      <w:lvlText w:val="•"/>
      <w:lvlJc w:val="left"/>
      <w:pPr>
        <w:ind w:left="5558" w:hanging="360"/>
      </w:pPr>
      <w:rPr>
        <w:rFonts w:hint="default"/>
        <w:lang w:val="en-US" w:eastAsia="en-US" w:bidi="en-US"/>
      </w:rPr>
    </w:lvl>
    <w:lvl w:ilvl="5" w:tplc="7D8CF3EE">
      <w:numFmt w:val="bullet"/>
      <w:lvlText w:val="•"/>
      <w:lvlJc w:val="left"/>
      <w:pPr>
        <w:ind w:left="6363" w:hanging="360"/>
      </w:pPr>
      <w:rPr>
        <w:rFonts w:hint="default"/>
        <w:lang w:val="en-US" w:eastAsia="en-US" w:bidi="en-US"/>
      </w:rPr>
    </w:lvl>
    <w:lvl w:ilvl="6" w:tplc="7616C29E">
      <w:numFmt w:val="bullet"/>
      <w:lvlText w:val="•"/>
      <w:lvlJc w:val="left"/>
      <w:pPr>
        <w:ind w:left="7167" w:hanging="360"/>
      </w:pPr>
      <w:rPr>
        <w:rFonts w:hint="default"/>
        <w:lang w:val="en-US" w:eastAsia="en-US" w:bidi="en-US"/>
      </w:rPr>
    </w:lvl>
    <w:lvl w:ilvl="7" w:tplc="AD86600E">
      <w:numFmt w:val="bullet"/>
      <w:lvlText w:val="•"/>
      <w:lvlJc w:val="left"/>
      <w:pPr>
        <w:ind w:left="7972" w:hanging="360"/>
      </w:pPr>
      <w:rPr>
        <w:rFonts w:hint="default"/>
        <w:lang w:val="en-US" w:eastAsia="en-US" w:bidi="en-US"/>
      </w:rPr>
    </w:lvl>
    <w:lvl w:ilvl="8" w:tplc="7CD0BF30">
      <w:numFmt w:val="bullet"/>
      <w:lvlText w:val="•"/>
      <w:lvlJc w:val="left"/>
      <w:pPr>
        <w:ind w:left="8777" w:hanging="360"/>
      </w:pPr>
      <w:rPr>
        <w:rFonts w:hint="default"/>
        <w:lang w:val="en-US" w:eastAsia="en-US" w:bidi="en-US"/>
      </w:rPr>
    </w:lvl>
  </w:abstractNum>
  <w:abstractNum w:abstractNumId="76" w15:restartNumberingAfterBreak="0">
    <w:nsid w:val="5312283B"/>
    <w:multiLevelType w:val="multilevel"/>
    <w:tmpl w:val="17B6E990"/>
    <w:lvl w:ilvl="0">
      <w:start w:val="6"/>
      <w:numFmt w:val="decimal"/>
      <w:lvlText w:val="%1"/>
      <w:lvlJc w:val="left"/>
      <w:pPr>
        <w:ind w:left="1225" w:hanging="965"/>
        <w:jc w:val="left"/>
      </w:pPr>
      <w:rPr>
        <w:rFonts w:hint="default"/>
        <w:lang w:val="en-US" w:eastAsia="en-US" w:bidi="en-US"/>
      </w:rPr>
    </w:lvl>
    <w:lvl w:ilvl="1">
      <w:start w:val="2"/>
      <w:numFmt w:val="decimal"/>
      <w:lvlText w:val="%1.%2"/>
      <w:lvlJc w:val="left"/>
      <w:pPr>
        <w:ind w:left="1225" w:hanging="965"/>
        <w:jc w:val="left"/>
      </w:pPr>
      <w:rPr>
        <w:rFonts w:hint="default"/>
        <w:lang w:val="en-US" w:eastAsia="en-US" w:bidi="en-US"/>
      </w:rPr>
    </w:lvl>
    <w:lvl w:ilvl="2">
      <w:start w:val="2"/>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3"/>
        <w:w w:val="99"/>
        <w:sz w:val="24"/>
        <w:szCs w:val="24"/>
        <w:lang w:val="en-US" w:eastAsia="en-US" w:bidi="en-US"/>
      </w:rPr>
    </w:lvl>
    <w:lvl w:ilvl="4">
      <w:start w:val="1"/>
      <w:numFmt w:val="lowerLetter"/>
      <w:lvlText w:val="(%5)"/>
      <w:lvlJc w:val="left"/>
      <w:pPr>
        <w:ind w:left="1678" w:hanging="425"/>
        <w:jc w:val="left"/>
      </w:pPr>
      <w:rPr>
        <w:rFonts w:ascii="Times New Roman" w:eastAsia="Times New Roman" w:hAnsi="Times New Roman" w:cs="Times New Roman" w:hint="default"/>
        <w:spacing w:val="-20"/>
        <w:w w:val="99"/>
        <w:sz w:val="24"/>
        <w:szCs w:val="24"/>
        <w:lang w:val="en-US" w:eastAsia="en-US" w:bidi="en-US"/>
      </w:rPr>
    </w:lvl>
    <w:lvl w:ilvl="5">
      <w:start w:val="1"/>
      <w:numFmt w:val="lowerRoman"/>
      <w:lvlText w:val="%6."/>
      <w:lvlJc w:val="left"/>
      <w:pPr>
        <w:ind w:left="2420" w:hanging="308"/>
        <w:jc w:val="right"/>
      </w:pPr>
      <w:rPr>
        <w:rFonts w:ascii="Times New Roman" w:eastAsia="Times New Roman" w:hAnsi="Times New Roman" w:cs="Times New Roman" w:hint="default"/>
        <w:spacing w:val="-3"/>
        <w:w w:val="99"/>
        <w:sz w:val="24"/>
        <w:szCs w:val="24"/>
        <w:lang w:val="en-US" w:eastAsia="en-US" w:bidi="en-US"/>
      </w:rPr>
    </w:lvl>
    <w:lvl w:ilvl="6">
      <w:numFmt w:val="bullet"/>
      <w:lvlText w:val="•"/>
      <w:lvlJc w:val="left"/>
      <w:pPr>
        <w:ind w:left="6293" w:hanging="308"/>
      </w:pPr>
      <w:rPr>
        <w:rFonts w:hint="default"/>
        <w:lang w:val="en-US" w:eastAsia="en-US" w:bidi="en-US"/>
      </w:rPr>
    </w:lvl>
    <w:lvl w:ilvl="7">
      <w:numFmt w:val="bullet"/>
      <w:lvlText w:val="•"/>
      <w:lvlJc w:val="left"/>
      <w:pPr>
        <w:ind w:left="7261" w:hanging="308"/>
      </w:pPr>
      <w:rPr>
        <w:rFonts w:hint="default"/>
        <w:lang w:val="en-US" w:eastAsia="en-US" w:bidi="en-US"/>
      </w:rPr>
    </w:lvl>
    <w:lvl w:ilvl="8">
      <w:numFmt w:val="bullet"/>
      <w:lvlText w:val="•"/>
      <w:lvlJc w:val="left"/>
      <w:pPr>
        <w:ind w:left="8229" w:hanging="308"/>
      </w:pPr>
      <w:rPr>
        <w:rFonts w:hint="default"/>
        <w:lang w:val="en-US" w:eastAsia="en-US" w:bidi="en-US"/>
      </w:rPr>
    </w:lvl>
  </w:abstractNum>
  <w:abstractNum w:abstractNumId="77" w15:restartNumberingAfterBreak="0">
    <w:nsid w:val="53715E3D"/>
    <w:multiLevelType w:val="multilevel"/>
    <w:tmpl w:val="F146A49C"/>
    <w:lvl w:ilvl="0">
      <w:start w:val="4"/>
      <w:numFmt w:val="decimal"/>
      <w:lvlText w:val="%1"/>
      <w:lvlJc w:val="left"/>
      <w:pPr>
        <w:ind w:left="2065" w:hanging="965"/>
        <w:jc w:val="left"/>
      </w:pPr>
      <w:rPr>
        <w:rFonts w:hint="default"/>
        <w:lang w:val="en-US" w:eastAsia="en-US" w:bidi="en-US"/>
      </w:rPr>
    </w:lvl>
    <w:lvl w:ilvl="1">
      <w:start w:val="14"/>
      <w:numFmt w:val="decimal"/>
      <w:lvlText w:val="%1.%2"/>
      <w:lvlJc w:val="left"/>
      <w:pPr>
        <w:ind w:left="2065" w:hanging="965"/>
        <w:jc w:val="left"/>
      </w:pPr>
      <w:rPr>
        <w:rFonts w:hint="default"/>
        <w:lang w:val="en-US" w:eastAsia="en-US" w:bidi="en-US"/>
      </w:rPr>
    </w:lvl>
    <w:lvl w:ilvl="2">
      <w:start w:val="9"/>
      <w:numFmt w:val="decimal"/>
      <w:lvlText w:val="%1.%2.%3"/>
      <w:lvlJc w:val="left"/>
      <w:pPr>
        <w:ind w:left="2065" w:hanging="965"/>
        <w:jc w:val="left"/>
      </w:pPr>
      <w:rPr>
        <w:rFonts w:hint="default"/>
        <w:lang w:val="en-US" w:eastAsia="en-US" w:bidi="en-US"/>
      </w:rPr>
    </w:lvl>
    <w:lvl w:ilvl="3">
      <w:start w:val="1"/>
      <w:numFmt w:val="decimal"/>
      <w:lvlText w:val="%1.%2.%3.%4"/>
      <w:lvlJc w:val="left"/>
      <w:pPr>
        <w:ind w:left="2065" w:hanging="965"/>
        <w:jc w:val="left"/>
      </w:pPr>
      <w:rPr>
        <w:rFonts w:ascii="Times New Roman" w:eastAsia="Times New Roman" w:hAnsi="Times New Roman" w:cs="Times New Roman" w:hint="default"/>
        <w:spacing w:val="-2"/>
        <w:w w:val="99"/>
        <w:sz w:val="24"/>
        <w:szCs w:val="24"/>
        <w:lang w:val="en-US" w:eastAsia="en-US" w:bidi="en-US"/>
      </w:rPr>
    </w:lvl>
    <w:lvl w:ilvl="4">
      <w:numFmt w:val="bullet"/>
      <w:lvlText w:val="•"/>
      <w:lvlJc w:val="left"/>
      <w:pPr>
        <w:ind w:left="5758" w:hanging="965"/>
      </w:pPr>
      <w:rPr>
        <w:rFonts w:hint="default"/>
        <w:lang w:val="en-US" w:eastAsia="en-US" w:bidi="en-US"/>
      </w:rPr>
    </w:lvl>
    <w:lvl w:ilvl="5">
      <w:numFmt w:val="bullet"/>
      <w:lvlText w:val="•"/>
      <w:lvlJc w:val="left"/>
      <w:pPr>
        <w:ind w:left="6683" w:hanging="965"/>
      </w:pPr>
      <w:rPr>
        <w:rFonts w:hint="default"/>
        <w:lang w:val="en-US" w:eastAsia="en-US" w:bidi="en-US"/>
      </w:rPr>
    </w:lvl>
    <w:lvl w:ilvl="6">
      <w:numFmt w:val="bullet"/>
      <w:lvlText w:val="•"/>
      <w:lvlJc w:val="left"/>
      <w:pPr>
        <w:ind w:left="7607" w:hanging="965"/>
      </w:pPr>
      <w:rPr>
        <w:rFonts w:hint="default"/>
        <w:lang w:val="en-US" w:eastAsia="en-US" w:bidi="en-US"/>
      </w:rPr>
    </w:lvl>
    <w:lvl w:ilvl="7">
      <w:numFmt w:val="bullet"/>
      <w:lvlText w:val="•"/>
      <w:lvlJc w:val="left"/>
      <w:pPr>
        <w:ind w:left="8532" w:hanging="965"/>
      </w:pPr>
      <w:rPr>
        <w:rFonts w:hint="default"/>
        <w:lang w:val="en-US" w:eastAsia="en-US" w:bidi="en-US"/>
      </w:rPr>
    </w:lvl>
    <w:lvl w:ilvl="8">
      <w:numFmt w:val="bullet"/>
      <w:lvlText w:val="•"/>
      <w:lvlJc w:val="left"/>
      <w:pPr>
        <w:ind w:left="9457" w:hanging="965"/>
      </w:pPr>
      <w:rPr>
        <w:rFonts w:hint="default"/>
        <w:lang w:val="en-US" w:eastAsia="en-US" w:bidi="en-US"/>
      </w:rPr>
    </w:lvl>
  </w:abstractNum>
  <w:abstractNum w:abstractNumId="78" w15:restartNumberingAfterBreak="0">
    <w:nsid w:val="538447E0"/>
    <w:multiLevelType w:val="hybridMultilevel"/>
    <w:tmpl w:val="35BCF80C"/>
    <w:lvl w:ilvl="0" w:tplc="676AB170">
      <w:start w:val="2"/>
      <w:numFmt w:val="decimal"/>
      <w:lvlText w:val="(%1)"/>
      <w:lvlJc w:val="left"/>
      <w:pPr>
        <w:ind w:left="840" w:hanging="533"/>
        <w:jc w:val="left"/>
      </w:pPr>
      <w:rPr>
        <w:rFonts w:ascii="Arial" w:eastAsia="Arial" w:hAnsi="Arial" w:cs="Arial" w:hint="default"/>
        <w:spacing w:val="-1"/>
        <w:w w:val="99"/>
        <w:sz w:val="24"/>
        <w:szCs w:val="24"/>
        <w:lang w:val="en-US" w:eastAsia="en-US" w:bidi="en-US"/>
      </w:rPr>
    </w:lvl>
    <w:lvl w:ilvl="1" w:tplc="C108C25E">
      <w:numFmt w:val="bullet"/>
      <w:lvlText w:val="•"/>
      <w:lvlJc w:val="left"/>
      <w:pPr>
        <w:ind w:left="1846" w:hanging="533"/>
      </w:pPr>
      <w:rPr>
        <w:rFonts w:hint="default"/>
        <w:lang w:val="en-US" w:eastAsia="en-US" w:bidi="en-US"/>
      </w:rPr>
    </w:lvl>
    <w:lvl w:ilvl="2" w:tplc="2F38D0DC">
      <w:numFmt w:val="bullet"/>
      <w:lvlText w:val="•"/>
      <w:lvlJc w:val="left"/>
      <w:pPr>
        <w:ind w:left="2852" w:hanging="533"/>
      </w:pPr>
      <w:rPr>
        <w:rFonts w:hint="default"/>
        <w:lang w:val="en-US" w:eastAsia="en-US" w:bidi="en-US"/>
      </w:rPr>
    </w:lvl>
    <w:lvl w:ilvl="3" w:tplc="1B782CBA">
      <w:numFmt w:val="bullet"/>
      <w:lvlText w:val="•"/>
      <w:lvlJc w:val="left"/>
      <w:pPr>
        <w:ind w:left="3858" w:hanging="533"/>
      </w:pPr>
      <w:rPr>
        <w:rFonts w:hint="default"/>
        <w:lang w:val="en-US" w:eastAsia="en-US" w:bidi="en-US"/>
      </w:rPr>
    </w:lvl>
    <w:lvl w:ilvl="4" w:tplc="4108331A">
      <w:numFmt w:val="bullet"/>
      <w:lvlText w:val="•"/>
      <w:lvlJc w:val="left"/>
      <w:pPr>
        <w:ind w:left="4864" w:hanging="533"/>
      </w:pPr>
      <w:rPr>
        <w:rFonts w:hint="default"/>
        <w:lang w:val="en-US" w:eastAsia="en-US" w:bidi="en-US"/>
      </w:rPr>
    </w:lvl>
    <w:lvl w:ilvl="5" w:tplc="EE7A3E0C">
      <w:numFmt w:val="bullet"/>
      <w:lvlText w:val="•"/>
      <w:lvlJc w:val="left"/>
      <w:pPr>
        <w:ind w:left="5870" w:hanging="533"/>
      </w:pPr>
      <w:rPr>
        <w:rFonts w:hint="default"/>
        <w:lang w:val="en-US" w:eastAsia="en-US" w:bidi="en-US"/>
      </w:rPr>
    </w:lvl>
    <w:lvl w:ilvl="6" w:tplc="DF623F3A">
      <w:numFmt w:val="bullet"/>
      <w:lvlText w:val="•"/>
      <w:lvlJc w:val="left"/>
      <w:pPr>
        <w:ind w:left="6876" w:hanging="533"/>
      </w:pPr>
      <w:rPr>
        <w:rFonts w:hint="default"/>
        <w:lang w:val="en-US" w:eastAsia="en-US" w:bidi="en-US"/>
      </w:rPr>
    </w:lvl>
    <w:lvl w:ilvl="7" w:tplc="1650746E">
      <w:numFmt w:val="bullet"/>
      <w:lvlText w:val="•"/>
      <w:lvlJc w:val="left"/>
      <w:pPr>
        <w:ind w:left="7882" w:hanging="533"/>
      </w:pPr>
      <w:rPr>
        <w:rFonts w:hint="default"/>
        <w:lang w:val="en-US" w:eastAsia="en-US" w:bidi="en-US"/>
      </w:rPr>
    </w:lvl>
    <w:lvl w:ilvl="8" w:tplc="268EA0A4">
      <w:numFmt w:val="bullet"/>
      <w:lvlText w:val="•"/>
      <w:lvlJc w:val="left"/>
      <w:pPr>
        <w:ind w:left="8888" w:hanging="533"/>
      </w:pPr>
      <w:rPr>
        <w:rFonts w:hint="default"/>
        <w:lang w:val="en-US" w:eastAsia="en-US" w:bidi="en-US"/>
      </w:rPr>
    </w:lvl>
  </w:abstractNum>
  <w:abstractNum w:abstractNumId="79" w15:restartNumberingAfterBreak="0">
    <w:nsid w:val="551D1201"/>
    <w:multiLevelType w:val="hybridMultilevel"/>
    <w:tmpl w:val="E9FC0B6A"/>
    <w:lvl w:ilvl="0" w:tplc="54BE8DBA">
      <w:start w:val="1"/>
      <w:numFmt w:val="lowerLetter"/>
      <w:lvlText w:val="(%1)"/>
      <w:lvlJc w:val="left"/>
      <w:pPr>
        <w:ind w:left="2020" w:hanging="360"/>
        <w:jc w:val="left"/>
      </w:pPr>
      <w:rPr>
        <w:rFonts w:ascii="Times New Roman" w:eastAsia="Times New Roman" w:hAnsi="Times New Roman" w:cs="Times New Roman" w:hint="default"/>
        <w:i/>
        <w:spacing w:val="-4"/>
        <w:w w:val="99"/>
        <w:sz w:val="24"/>
        <w:szCs w:val="24"/>
        <w:lang w:val="en-US" w:eastAsia="en-US" w:bidi="en-US"/>
      </w:rPr>
    </w:lvl>
    <w:lvl w:ilvl="1" w:tplc="BAF01A2C">
      <w:numFmt w:val="bullet"/>
      <w:lvlText w:val="•"/>
      <w:lvlJc w:val="left"/>
      <w:pPr>
        <w:ind w:left="2764" w:hanging="360"/>
      </w:pPr>
      <w:rPr>
        <w:rFonts w:hint="default"/>
        <w:lang w:val="en-US" w:eastAsia="en-US" w:bidi="en-US"/>
      </w:rPr>
    </w:lvl>
    <w:lvl w:ilvl="2" w:tplc="515EFA1C">
      <w:numFmt w:val="bullet"/>
      <w:lvlText w:val="•"/>
      <w:lvlJc w:val="left"/>
      <w:pPr>
        <w:ind w:left="3509" w:hanging="360"/>
      </w:pPr>
      <w:rPr>
        <w:rFonts w:hint="default"/>
        <w:lang w:val="en-US" w:eastAsia="en-US" w:bidi="en-US"/>
      </w:rPr>
    </w:lvl>
    <w:lvl w:ilvl="3" w:tplc="AD82BEAE">
      <w:numFmt w:val="bullet"/>
      <w:lvlText w:val="•"/>
      <w:lvlJc w:val="left"/>
      <w:pPr>
        <w:ind w:left="4254" w:hanging="360"/>
      </w:pPr>
      <w:rPr>
        <w:rFonts w:hint="default"/>
        <w:lang w:val="en-US" w:eastAsia="en-US" w:bidi="en-US"/>
      </w:rPr>
    </w:lvl>
    <w:lvl w:ilvl="4" w:tplc="9C5E6A28">
      <w:numFmt w:val="bullet"/>
      <w:lvlText w:val="•"/>
      <w:lvlJc w:val="left"/>
      <w:pPr>
        <w:ind w:left="4999" w:hanging="360"/>
      </w:pPr>
      <w:rPr>
        <w:rFonts w:hint="default"/>
        <w:lang w:val="en-US" w:eastAsia="en-US" w:bidi="en-US"/>
      </w:rPr>
    </w:lvl>
    <w:lvl w:ilvl="5" w:tplc="EB12C7DC">
      <w:numFmt w:val="bullet"/>
      <w:lvlText w:val="•"/>
      <w:lvlJc w:val="left"/>
      <w:pPr>
        <w:ind w:left="5744" w:hanging="360"/>
      </w:pPr>
      <w:rPr>
        <w:rFonts w:hint="default"/>
        <w:lang w:val="en-US" w:eastAsia="en-US" w:bidi="en-US"/>
      </w:rPr>
    </w:lvl>
    <w:lvl w:ilvl="6" w:tplc="FD30CBA6">
      <w:numFmt w:val="bullet"/>
      <w:lvlText w:val="•"/>
      <w:lvlJc w:val="left"/>
      <w:pPr>
        <w:ind w:left="6489" w:hanging="360"/>
      </w:pPr>
      <w:rPr>
        <w:rFonts w:hint="default"/>
        <w:lang w:val="en-US" w:eastAsia="en-US" w:bidi="en-US"/>
      </w:rPr>
    </w:lvl>
    <w:lvl w:ilvl="7" w:tplc="565685AA">
      <w:numFmt w:val="bullet"/>
      <w:lvlText w:val="•"/>
      <w:lvlJc w:val="left"/>
      <w:pPr>
        <w:ind w:left="7234" w:hanging="360"/>
      </w:pPr>
      <w:rPr>
        <w:rFonts w:hint="default"/>
        <w:lang w:val="en-US" w:eastAsia="en-US" w:bidi="en-US"/>
      </w:rPr>
    </w:lvl>
    <w:lvl w:ilvl="8" w:tplc="71A2EBBC">
      <w:numFmt w:val="bullet"/>
      <w:lvlText w:val="•"/>
      <w:lvlJc w:val="left"/>
      <w:pPr>
        <w:ind w:left="7979" w:hanging="360"/>
      </w:pPr>
      <w:rPr>
        <w:rFonts w:hint="default"/>
        <w:lang w:val="en-US" w:eastAsia="en-US" w:bidi="en-US"/>
      </w:rPr>
    </w:lvl>
  </w:abstractNum>
  <w:abstractNum w:abstractNumId="80" w15:restartNumberingAfterBreak="0">
    <w:nsid w:val="556E1649"/>
    <w:multiLevelType w:val="multilevel"/>
    <w:tmpl w:val="63B82622"/>
    <w:lvl w:ilvl="0">
      <w:start w:val="3"/>
      <w:numFmt w:val="decimal"/>
      <w:lvlText w:val="%1"/>
      <w:lvlJc w:val="left"/>
      <w:pPr>
        <w:ind w:left="1225" w:hanging="965"/>
        <w:jc w:val="left"/>
      </w:pPr>
      <w:rPr>
        <w:rFonts w:hint="default"/>
        <w:lang w:val="en-US" w:eastAsia="en-US" w:bidi="en-US"/>
      </w:rPr>
    </w:lvl>
    <w:lvl w:ilvl="1">
      <w:start w:val="17"/>
      <w:numFmt w:val="decimal"/>
      <w:lvlText w:val="%1.%2"/>
      <w:lvlJc w:val="left"/>
      <w:pPr>
        <w:ind w:left="1225" w:hanging="965"/>
        <w:jc w:val="left"/>
      </w:pPr>
      <w:rPr>
        <w:rFonts w:hint="default"/>
        <w:lang w:val="en-US" w:eastAsia="en-US" w:bidi="en-US"/>
      </w:rPr>
    </w:lvl>
    <w:lvl w:ilvl="2">
      <w:start w:val="6"/>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30"/>
        <w:w w:val="99"/>
        <w:sz w:val="24"/>
        <w:szCs w:val="24"/>
        <w:lang w:val="en-US" w:eastAsia="en-US" w:bidi="en-US"/>
      </w:rPr>
    </w:lvl>
    <w:lvl w:ilvl="4">
      <w:numFmt w:val="bullet"/>
      <w:lvlText w:val="•"/>
      <w:lvlJc w:val="left"/>
      <w:pPr>
        <w:ind w:left="4686" w:hanging="965"/>
      </w:pPr>
      <w:rPr>
        <w:rFonts w:hint="default"/>
        <w:lang w:val="en-US" w:eastAsia="en-US" w:bidi="en-US"/>
      </w:rPr>
    </w:lvl>
    <w:lvl w:ilvl="5">
      <w:numFmt w:val="bullet"/>
      <w:lvlText w:val="•"/>
      <w:lvlJc w:val="left"/>
      <w:pPr>
        <w:ind w:left="5553" w:hanging="965"/>
      </w:pPr>
      <w:rPr>
        <w:rFonts w:hint="default"/>
        <w:lang w:val="en-US" w:eastAsia="en-US" w:bidi="en-US"/>
      </w:rPr>
    </w:lvl>
    <w:lvl w:ilvl="6">
      <w:numFmt w:val="bullet"/>
      <w:lvlText w:val="•"/>
      <w:lvlJc w:val="left"/>
      <w:pPr>
        <w:ind w:left="6419" w:hanging="965"/>
      </w:pPr>
      <w:rPr>
        <w:rFonts w:hint="default"/>
        <w:lang w:val="en-US" w:eastAsia="en-US" w:bidi="en-US"/>
      </w:rPr>
    </w:lvl>
    <w:lvl w:ilvl="7">
      <w:numFmt w:val="bullet"/>
      <w:lvlText w:val="•"/>
      <w:lvlJc w:val="left"/>
      <w:pPr>
        <w:ind w:left="7286" w:hanging="965"/>
      </w:pPr>
      <w:rPr>
        <w:rFonts w:hint="default"/>
        <w:lang w:val="en-US" w:eastAsia="en-US" w:bidi="en-US"/>
      </w:rPr>
    </w:lvl>
    <w:lvl w:ilvl="8">
      <w:numFmt w:val="bullet"/>
      <w:lvlText w:val="•"/>
      <w:lvlJc w:val="left"/>
      <w:pPr>
        <w:ind w:left="8153" w:hanging="965"/>
      </w:pPr>
      <w:rPr>
        <w:rFonts w:hint="default"/>
        <w:lang w:val="en-US" w:eastAsia="en-US" w:bidi="en-US"/>
      </w:rPr>
    </w:lvl>
  </w:abstractNum>
  <w:abstractNum w:abstractNumId="81" w15:restartNumberingAfterBreak="0">
    <w:nsid w:val="55E9162D"/>
    <w:multiLevelType w:val="hybridMultilevel"/>
    <w:tmpl w:val="E854989A"/>
    <w:lvl w:ilvl="0" w:tplc="EE889A22">
      <w:start w:val="1"/>
      <w:numFmt w:val="lowerLetter"/>
      <w:lvlText w:val="%1)"/>
      <w:lvlJc w:val="left"/>
      <w:pPr>
        <w:ind w:left="2518" w:hanging="425"/>
        <w:jc w:val="left"/>
      </w:pPr>
      <w:rPr>
        <w:rFonts w:ascii="Times New Roman" w:eastAsia="Times New Roman" w:hAnsi="Times New Roman" w:cs="Times New Roman" w:hint="default"/>
        <w:spacing w:val="-5"/>
        <w:w w:val="99"/>
        <w:sz w:val="24"/>
        <w:szCs w:val="24"/>
        <w:lang w:val="en-US" w:eastAsia="en-US" w:bidi="en-US"/>
      </w:rPr>
    </w:lvl>
    <w:lvl w:ilvl="1" w:tplc="7C2AFEDA">
      <w:numFmt w:val="bullet"/>
      <w:lvlText w:val="•"/>
      <w:lvlJc w:val="left"/>
      <w:pPr>
        <w:ind w:left="3398" w:hanging="425"/>
      </w:pPr>
      <w:rPr>
        <w:rFonts w:hint="default"/>
        <w:lang w:val="en-US" w:eastAsia="en-US" w:bidi="en-US"/>
      </w:rPr>
    </w:lvl>
    <w:lvl w:ilvl="2" w:tplc="894CD1BA">
      <w:numFmt w:val="bullet"/>
      <w:lvlText w:val="•"/>
      <w:lvlJc w:val="left"/>
      <w:pPr>
        <w:ind w:left="4277" w:hanging="425"/>
      </w:pPr>
      <w:rPr>
        <w:rFonts w:hint="default"/>
        <w:lang w:val="en-US" w:eastAsia="en-US" w:bidi="en-US"/>
      </w:rPr>
    </w:lvl>
    <w:lvl w:ilvl="3" w:tplc="46FCC578">
      <w:numFmt w:val="bullet"/>
      <w:lvlText w:val="•"/>
      <w:lvlJc w:val="left"/>
      <w:pPr>
        <w:ind w:left="5155" w:hanging="425"/>
      </w:pPr>
      <w:rPr>
        <w:rFonts w:hint="default"/>
        <w:lang w:val="en-US" w:eastAsia="en-US" w:bidi="en-US"/>
      </w:rPr>
    </w:lvl>
    <w:lvl w:ilvl="4" w:tplc="2472A754">
      <w:numFmt w:val="bullet"/>
      <w:lvlText w:val="•"/>
      <w:lvlJc w:val="left"/>
      <w:pPr>
        <w:ind w:left="6034" w:hanging="425"/>
      </w:pPr>
      <w:rPr>
        <w:rFonts w:hint="default"/>
        <w:lang w:val="en-US" w:eastAsia="en-US" w:bidi="en-US"/>
      </w:rPr>
    </w:lvl>
    <w:lvl w:ilvl="5" w:tplc="C1F2FDF2">
      <w:numFmt w:val="bullet"/>
      <w:lvlText w:val="•"/>
      <w:lvlJc w:val="left"/>
      <w:pPr>
        <w:ind w:left="6913" w:hanging="425"/>
      </w:pPr>
      <w:rPr>
        <w:rFonts w:hint="default"/>
        <w:lang w:val="en-US" w:eastAsia="en-US" w:bidi="en-US"/>
      </w:rPr>
    </w:lvl>
    <w:lvl w:ilvl="6" w:tplc="DA243C04">
      <w:numFmt w:val="bullet"/>
      <w:lvlText w:val="•"/>
      <w:lvlJc w:val="left"/>
      <w:pPr>
        <w:ind w:left="7791" w:hanging="425"/>
      </w:pPr>
      <w:rPr>
        <w:rFonts w:hint="default"/>
        <w:lang w:val="en-US" w:eastAsia="en-US" w:bidi="en-US"/>
      </w:rPr>
    </w:lvl>
    <w:lvl w:ilvl="7" w:tplc="B0264778">
      <w:numFmt w:val="bullet"/>
      <w:lvlText w:val="•"/>
      <w:lvlJc w:val="left"/>
      <w:pPr>
        <w:ind w:left="8670" w:hanging="425"/>
      </w:pPr>
      <w:rPr>
        <w:rFonts w:hint="default"/>
        <w:lang w:val="en-US" w:eastAsia="en-US" w:bidi="en-US"/>
      </w:rPr>
    </w:lvl>
    <w:lvl w:ilvl="8" w:tplc="402A0E9C">
      <w:numFmt w:val="bullet"/>
      <w:lvlText w:val="•"/>
      <w:lvlJc w:val="left"/>
      <w:pPr>
        <w:ind w:left="9549" w:hanging="425"/>
      </w:pPr>
      <w:rPr>
        <w:rFonts w:hint="default"/>
        <w:lang w:val="en-US" w:eastAsia="en-US" w:bidi="en-US"/>
      </w:rPr>
    </w:lvl>
  </w:abstractNum>
  <w:abstractNum w:abstractNumId="82" w15:restartNumberingAfterBreak="0">
    <w:nsid w:val="56E12DC3"/>
    <w:multiLevelType w:val="multilevel"/>
    <w:tmpl w:val="6BCAA22A"/>
    <w:lvl w:ilvl="0">
      <w:start w:val="6"/>
      <w:numFmt w:val="decimal"/>
      <w:lvlText w:val="%1"/>
      <w:lvlJc w:val="left"/>
      <w:pPr>
        <w:ind w:left="1225" w:hanging="965"/>
        <w:jc w:val="left"/>
      </w:pPr>
      <w:rPr>
        <w:rFonts w:hint="default"/>
        <w:lang w:val="en-US" w:eastAsia="en-US" w:bidi="en-US"/>
      </w:rPr>
    </w:lvl>
    <w:lvl w:ilvl="1">
      <w:start w:val="2"/>
      <w:numFmt w:val="decimal"/>
      <w:lvlText w:val="%1.%2"/>
      <w:lvlJc w:val="left"/>
      <w:pPr>
        <w:ind w:left="1225" w:hanging="965"/>
        <w:jc w:val="left"/>
      </w:pPr>
      <w:rPr>
        <w:rFonts w:hint="default"/>
        <w:lang w:val="en-US" w:eastAsia="en-US" w:bidi="en-US"/>
      </w:rPr>
    </w:lvl>
    <w:lvl w:ilvl="2">
      <w:start w:val="11"/>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21"/>
        <w:w w:val="99"/>
        <w:sz w:val="24"/>
        <w:szCs w:val="24"/>
        <w:lang w:val="en-US" w:eastAsia="en-US" w:bidi="en-US"/>
      </w:rPr>
    </w:lvl>
    <w:lvl w:ilvl="4">
      <w:start w:val="1"/>
      <w:numFmt w:val="lowerLetter"/>
      <w:lvlText w:val="(%5)"/>
      <w:lvlJc w:val="left"/>
      <w:pPr>
        <w:ind w:left="1700" w:hanging="447"/>
        <w:jc w:val="left"/>
      </w:pPr>
      <w:rPr>
        <w:rFonts w:ascii="Times New Roman" w:eastAsia="Times New Roman" w:hAnsi="Times New Roman" w:cs="Times New Roman" w:hint="default"/>
        <w:b/>
        <w:bCs/>
        <w:spacing w:val="-14"/>
        <w:w w:val="99"/>
        <w:sz w:val="24"/>
        <w:szCs w:val="24"/>
        <w:lang w:val="en-US" w:eastAsia="en-US" w:bidi="en-US"/>
      </w:rPr>
    </w:lvl>
    <w:lvl w:ilvl="5">
      <w:start w:val="1"/>
      <w:numFmt w:val="lowerRoman"/>
      <w:lvlText w:val="%6."/>
      <w:lvlJc w:val="left"/>
      <w:pPr>
        <w:ind w:left="2420" w:hanging="308"/>
        <w:jc w:val="right"/>
      </w:pPr>
      <w:rPr>
        <w:rFonts w:hint="default"/>
        <w:spacing w:val="-2"/>
        <w:w w:val="99"/>
        <w:lang w:val="en-US" w:eastAsia="en-US" w:bidi="en-US"/>
      </w:rPr>
    </w:lvl>
    <w:lvl w:ilvl="6">
      <w:numFmt w:val="bullet"/>
      <w:lvlText w:val="•"/>
      <w:lvlJc w:val="left"/>
      <w:pPr>
        <w:ind w:left="6293" w:hanging="308"/>
      </w:pPr>
      <w:rPr>
        <w:rFonts w:hint="default"/>
        <w:lang w:val="en-US" w:eastAsia="en-US" w:bidi="en-US"/>
      </w:rPr>
    </w:lvl>
    <w:lvl w:ilvl="7">
      <w:numFmt w:val="bullet"/>
      <w:lvlText w:val="•"/>
      <w:lvlJc w:val="left"/>
      <w:pPr>
        <w:ind w:left="7261" w:hanging="308"/>
      </w:pPr>
      <w:rPr>
        <w:rFonts w:hint="default"/>
        <w:lang w:val="en-US" w:eastAsia="en-US" w:bidi="en-US"/>
      </w:rPr>
    </w:lvl>
    <w:lvl w:ilvl="8">
      <w:numFmt w:val="bullet"/>
      <w:lvlText w:val="•"/>
      <w:lvlJc w:val="left"/>
      <w:pPr>
        <w:ind w:left="8229" w:hanging="308"/>
      </w:pPr>
      <w:rPr>
        <w:rFonts w:hint="default"/>
        <w:lang w:val="en-US" w:eastAsia="en-US" w:bidi="en-US"/>
      </w:rPr>
    </w:lvl>
  </w:abstractNum>
  <w:abstractNum w:abstractNumId="83" w15:restartNumberingAfterBreak="0">
    <w:nsid w:val="57120483"/>
    <w:multiLevelType w:val="hybridMultilevel"/>
    <w:tmpl w:val="A0B85DA4"/>
    <w:lvl w:ilvl="0" w:tplc="F4ECBB12">
      <w:start w:val="1"/>
      <w:numFmt w:val="decimal"/>
      <w:lvlText w:val="(%1)"/>
      <w:lvlJc w:val="left"/>
      <w:pPr>
        <w:ind w:left="840" w:hanging="455"/>
        <w:jc w:val="left"/>
      </w:pPr>
      <w:rPr>
        <w:rFonts w:ascii="Arial" w:eastAsia="Arial" w:hAnsi="Arial" w:cs="Arial" w:hint="default"/>
        <w:w w:val="99"/>
        <w:sz w:val="24"/>
        <w:szCs w:val="24"/>
        <w:lang w:val="en-US" w:eastAsia="en-US" w:bidi="en-US"/>
      </w:rPr>
    </w:lvl>
    <w:lvl w:ilvl="1" w:tplc="429E3896">
      <w:numFmt w:val="bullet"/>
      <w:lvlText w:val="•"/>
      <w:lvlJc w:val="left"/>
      <w:pPr>
        <w:ind w:left="1846" w:hanging="455"/>
      </w:pPr>
      <w:rPr>
        <w:rFonts w:hint="default"/>
        <w:lang w:val="en-US" w:eastAsia="en-US" w:bidi="en-US"/>
      </w:rPr>
    </w:lvl>
    <w:lvl w:ilvl="2" w:tplc="1C8A1C7E">
      <w:numFmt w:val="bullet"/>
      <w:lvlText w:val="•"/>
      <w:lvlJc w:val="left"/>
      <w:pPr>
        <w:ind w:left="2852" w:hanging="455"/>
      </w:pPr>
      <w:rPr>
        <w:rFonts w:hint="default"/>
        <w:lang w:val="en-US" w:eastAsia="en-US" w:bidi="en-US"/>
      </w:rPr>
    </w:lvl>
    <w:lvl w:ilvl="3" w:tplc="605646E6">
      <w:numFmt w:val="bullet"/>
      <w:lvlText w:val="•"/>
      <w:lvlJc w:val="left"/>
      <w:pPr>
        <w:ind w:left="3858" w:hanging="455"/>
      </w:pPr>
      <w:rPr>
        <w:rFonts w:hint="default"/>
        <w:lang w:val="en-US" w:eastAsia="en-US" w:bidi="en-US"/>
      </w:rPr>
    </w:lvl>
    <w:lvl w:ilvl="4" w:tplc="33FE18EE">
      <w:numFmt w:val="bullet"/>
      <w:lvlText w:val="•"/>
      <w:lvlJc w:val="left"/>
      <w:pPr>
        <w:ind w:left="4864" w:hanging="455"/>
      </w:pPr>
      <w:rPr>
        <w:rFonts w:hint="default"/>
        <w:lang w:val="en-US" w:eastAsia="en-US" w:bidi="en-US"/>
      </w:rPr>
    </w:lvl>
    <w:lvl w:ilvl="5" w:tplc="BA24972E">
      <w:numFmt w:val="bullet"/>
      <w:lvlText w:val="•"/>
      <w:lvlJc w:val="left"/>
      <w:pPr>
        <w:ind w:left="5870" w:hanging="455"/>
      </w:pPr>
      <w:rPr>
        <w:rFonts w:hint="default"/>
        <w:lang w:val="en-US" w:eastAsia="en-US" w:bidi="en-US"/>
      </w:rPr>
    </w:lvl>
    <w:lvl w:ilvl="6" w:tplc="27B6D23E">
      <w:numFmt w:val="bullet"/>
      <w:lvlText w:val="•"/>
      <w:lvlJc w:val="left"/>
      <w:pPr>
        <w:ind w:left="6876" w:hanging="455"/>
      </w:pPr>
      <w:rPr>
        <w:rFonts w:hint="default"/>
        <w:lang w:val="en-US" w:eastAsia="en-US" w:bidi="en-US"/>
      </w:rPr>
    </w:lvl>
    <w:lvl w:ilvl="7" w:tplc="27AC54BA">
      <w:numFmt w:val="bullet"/>
      <w:lvlText w:val="•"/>
      <w:lvlJc w:val="left"/>
      <w:pPr>
        <w:ind w:left="7882" w:hanging="455"/>
      </w:pPr>
      <w:rPr>
        <w:rFonts w:hint="default"/>
        <w:lang w:val="en-US" w:eastAsia="en-US" w:bidi="en-US"/>
      </w:rPr>
    </w:lvl>
    <w:lvl w:ilvl="8" w:tplc="F9085448">
      <w:numFmt w:val="bullet"/>
      <w:lvlText w:val="•"/>
      <w:lvlJc w:val="left"/>
      <w:pPr>
        <w:ind w:left="8888" w:hanging="455"/>
      </w:pPr>
      <w:rPr>
        <w:rFonts w:hint="default"/>
        <w:lang w:val="en-US" w:eastAsia="en-US" w:bidi="en-US"/>
      </w:rPr>
    </w:lvl>
  </w:abstractNum>
  <w:abstractNum w:abstractNumId="84" w15:restartNumberingAfterBreak="0">
    <w:nsid w:val="573F45B0"/>
    <w:multiLevelType w:val="multilevel"/>
    <w:tmpl w:val="96443D76"/>
    <w:lvl w:ilvl="0">
      <w:start w:val="5"/>
      <w:numFmt w:val="decimal"/>
      <w:lvlText w:val="%1"/>
      <w:lvlJc w:val="left"/>
      <w:pPr>
        <w:ind w:left="1666" w:hanging="567"/>
        <w:jc w:val="left"/>
      </w:pPr>
      <w:rPr>
        <w:rFonts w:hint="default"/>
        <w:lang w:val="en-US" w:eastAsia="en-US" w:bidi="en-US"/>
      </w:rPr>
    </w:lvl>
    <w:lvl w:ilvl="1">
      <w:start w:val="3"/>
      <w:numFmt w:val="decimal"/>
      <w:lvlText w:val="%1.%2"/>
      <w:lvlJc w:val="left"/>
      <w:pPr>
        <w:ind w:left="1666" w:hanging="567"/>
        <w:jc w:val="right"/>
      </w:pPr>
      <w:rPr>
        <w:rFonts w:ascii="Times New Roman" w:eastAsia="Times New Roman" w:hAnsi="Times New Roman" w:cs="Times New Roman" w:hint="default"/>
        <w:b/>
        <w:bCs/>
        <w:spacing w:val="-3"/>
        <w:w w:val="100"/>
        <w:sz w:val="24"/>
        <w:szCs w:val="24"/>
        <w:lang w:val="en-US" w:eastAsia="en-US" w:bidi="en-US"/>
      </w:rPr>
    </w:lvl>
    <w:lvl w:ilvl="2">
      <w:start w:val="1"/>
      <w:numFmt w:val="decimal"/>
      <w:lvlText w:val="%1.%2.%3"/>
      <w:lvlJc w:val="left"/>
      <w:pPr>
        <w:ind w:left="1952" w:hanging="852"/>
        <w:jc w:val="right"/>
      </w:pPr>
      <w:rPr>
        <w:rFonts w:ascii="Times New Roman" w:eastAsia="Times New Roman" w:hAnsi="Times New Roman" w:cs="Times New Roman" w:hint="default"/>
        <w:spacing w:val="-22"/>
        <w:w w:val="99"/>
        <w:sz w:val="24"/>
        <w:szCs w:val="24"/>
        <w:lang w:val="en-US" w:eastAsia="en-US" w:bidi="en-US"/>
      </w:rPr>
    </w:lvl>
    <w:lvl w:ilvl="3">
      <w:start w:val="1"/>
      <w:numFmt w:val="decimal"/>
      <w:lvlText w:val="(%4)"/>
      <w:lvlJc w:val="left"/>
      <w:pPr>
        <w:ind w:left="1700" w:hanging="418"/>
        <w:jc w:val="left"/>
      </w:pPr>
      <w:rPr>
        <w:rFonts w:ascii="Times New Roman" w:eastAsia="Times New Roman" w:hAnsi="Times New Roman" w:cs="Times New Roman" w:hint="default"/>
        <w:i/>
        <w:spacing w:val="-9"/>
        <w:w w:val="99"/>
        <w:sz w:val="24"/>
        <w:szCs w:val="24"/>
        <w:lang w:val="en-US" w:eastAsia="en-US" w:bidi="en-US"/>
      </w:rPr>
    </w:lvl>
    <w:lvl w:ilvl="4">
      <w:numFmt w:val="bullet"/>
      <w:lvlText w:val="•"/>
      <w:lvlJc w:val="left"/>
      <w:pPr>
        <w:ind w:left="3132" w:hanging="418"/>
      </w:pPr>
      <w:rPr>
        <w:rFonts w:hint="default"/>
        <w:lang w:val="en-US" w:eastAsia="en-US" w:bidi="en-US"/>
      </w:rPr>
    </w:lvl>
    <w:lvl w:ilvl="5">
      <w:numFmt w:val="bullet"/>
      <w:lvlText w:val="•"/>
      <w:lvlJc w:val="left"/>
      <w:pPr>
        <w:ind w:left="4304" w:hanging="418"/>
      </w:pPr>
      <w:rPr>
        <w:rFonts w:hint="default"/>
        <w:lang w:val="en-US" w:eastAsia="en-US" w:bidi="en-US"/>
      </w:rPr>
    </w:lvl>
    <w:lvl w:ilvl="6">
      <w:numFmt w:val="bullet"/>
      <w:lvlText w:val="•"/>
      <w:lvlJc w:val="left"/>
      <w:pPr>
        <w:ind w:left="5477" w:hanging="418"/>
      </w:pPr>
      <w:rPr>
        <w:rFonts w:hint="default"/>
        <w:lang w:val="en-US" w:eastAsia="en-US" w:bidi="en-US"/>
      </w:rPr>
    </w:lvl>
    <w:lvl w:ilvl="7">
      <w:numFmt w:val="bullet"/>
      <w:lvlText w:val="•"/>
      <w:lvlJc w:val="left"/>
      <w:pPr>
        <w:ind w:left="6649" w:hanging="418"/>
      </w:pPr>
      <w:rPr>
        <w:rFonts w:hint="default"/>
        <w:lang w:val="en-US" w:eastAsia="en-US" w:bidi="en-US"/>
      </w:rPr>
    </w:lvl>
    <w:lvl w:ilvl="8">
      <w:numFmt w:val="bullet"/>
      <w:lvlText w:val="•"/>
      <w:lvlJc w:val="left"/>
      <w:pPr>
        <w:ind w:left="7821" w:hanging="418"/>
      </w:pPr>
      <w:rPr>
        <w:rFonts w:hint="default"/>
        <w:lang w:val="en-US" w:eastAsia="en-US" w:bidi="en-US"/>
      </w:rPr>
    </w:lvl>
  </w:abstractNum>
  <w:abstractNum w:abstractNumId="85" w15:restartNumberingAfterBreak="0">
    <w:nsid w:val="57DF5A03"/>
    <w:multiLevelType w:val="hybridMultilevel"/>
    <w:tmpl w:val="C2A856A4"/>
    <w:lvl w:ilvl="0" w:tplc="639A7222">
      <w:start w:val="1"/>
      <w:numFmt w:val="decimal"/>
      <w:lvlText w:val="%1)"/>
      <w:lvlJc w:val="left"/>
      <w:pPr>
        <w:ind w:left="1537" w:hanging="425"/>
        <w:jc w:val="left"/>
      </w:pPr>
      <w:rPr>
        <w:rFonts w:ascii="Times New Roman" w:eastAsia="Times New Roman" w:hAnsi="Times New Roman" w:cs="Times New Roman" w:hint="default"/>
        <w:spacing w:val="-24"/>
        <w:w w:val="99"/>
        <w:sz w:val="24"/>
        <w:szCs w:val="24"/>
        <w:lang w:val="en-US" w:eastAsia="en-US" w:bidi="en-US"/>
      </w:rPr>
    </w:lvl>
    <w:lvl w:ilvl="1" w:tplc="E46228A2">
      <w:start w:val="1"/>
      <w:numFmt w:val="lowerLetter"/>
      <w:lvlText w:val="%2."/>
      <w:lvlJc w:val="left"/>
      <w:pPr>
        <w:ind w:left="2103" w:hanging="567"/>
        <w:jc w:val="left"/>
      </w:pPr>
      <w:rPr>
        <w:rFonts w:ascii="Times New Roman" w:eastAsia="Times New Roman" w:hAnsi="Times New Roman" w:cs="Times New Roman" w:hint="default"/>
        <w:spacing w:val="-20"/>
        <w:w w:val="99"/>
        <w:sz w:val="24"/>
        <w:szCs w:val="24"/>
        <w:lang w:val="en-US" w:eastAsia="en-US" w:bidi="en-US"/>
      </w:rPr>
    </w:lvl>
    <w:lvl w:ilvl="2" w:tplc="3C3E9668">
      <w:start w:val="1"/>
      <w:numFmt w:val="lowerRoman"/>
      <w:lvlText w:val="%3."/>
      <w:lvlJc w:val="left"/>
      <w:pPr>
        <w:ind w:left="2386" w:hanging="411"/>
        <w:jc w:val="right"/>
      </w:pPr>
      <w:rPr>
        <w:rFonts w:hint="default"/>
        <w:spacing w:val="-22"/>
        <w:w w:val="99"/>
        <w:lang w:val="en-US" w:eastAsia="en-US" w:bidi="en-US"/>
      </w:rPr>
    </w:lvl>
    <w:lvl w:ilvl="3" w:tplc="C36825A0">
      <w:numFmt w:val="bullet"/>
      <w:lvlText w:val="•"/>
      <w:lvlJc w:val="left"/>
      <w:pPr>
        <w:ind w:left="3353" w:hanging="411"/>
      </w:pPr>
      <w:rPr>
        <w:rFonts w:hint="default"/>
        <w:lang w:val="en-US" w:eastAsia="en-US" w:bidi="en-US"/>
      </w:rPr>
    </w:lvl>
    <w:lvl w:ilvl="4" w:tplc="F2E4A0C8">
      <w:numFmt w:val="bullet"/>
      <w:lvlText w:val="•"/>
      <w:lvlJc w:val="left"/>
      <w:pPr>
        <w:ind w:left="4326" w:hanging="411"/>
      </w:pPr>
      <w:rPr>
        <w:rFonts w:hint="default"/>
        <w:lang w:val="en-US" w:eastAsia="en-US" w:bidi="en-US"/>
      </w:rPr>
    </w:lvl>
    <w:lvl w:ilvl="5" w:tplc="9028C25C">
      <w:numFmt w:val="bullet"/>
      <w:lvlText w:val="•"/>
      <w:lvlJc w:val="left"/>
      <w:pPr>
        <w:ind w:left="5299" w:hanging="411"/>
      </w:pPr>
      <w:rPr>
        <w:rFonts w:hint="default"/>
        <w:lang w:val="en-US" w:eastAsia="en-US" w:bidi="en-US"/>
      </w:rPr>
    </w:lvl>
    <w:lvl w:ilvl="6" w:tplc="E642045A">
      <w:numFmt w:val="bullet"/>
      <w:lvlText w:val="•"/>
      <w:lvlJc w:val="left"/>
      <w:pPr>
        <w:ind w:left="6273" w:hanging="411"/>
      </w:pPr>
      <w:rPr>
        <w:rFonts w:hint="default"/>
        <w:lang w:val="en-US" w:eastAsia="en-US" w:bidi="en-US"/>
      </w:rPr>
    </w:lvl>
    <w:lvl w:ilvl="7" w:tplc="4446BB74">
      <w:numFmt w:val="bullet"/>
      <w:lvlText w:val="•"/>
      <w:lvlJc w:val="left"/>
      <w:pPr>
        <w:ind w:left="7246" w:hanging="411"/>
      </w:pPr>
      <w:rPr>
        <w:rFonts w:hint="default"/>
        <w:lang w:val="en-US" w:eastAsia="en-US" w:bidi="en-US"/>
      </w:rPr>
    </w:lvl>
    <w:lvl w:ilvl="8" w:tplc="FDBC99AE">
      <w:numFmt w:val="bullet"/>
      <w:lvlText w:val="•"/>
      <w:lvlJc w:val="left"/>
      <w:pPr>
        <w:ind w:left="8219" w:hanging="411"/>
      </w:pPr>
      <w:rPr>
        <w:rFonts w:hint="default"/>
        <w:lang w:val="en-US" w:eastAsia="en-US" w:bidi="en-US"/>
      </w:rPr>
    </w:lvl>
  </w:abstractNum>
  <w:abstractNum w:abstractNumId="86" w15:restartNumberingAfterBreak="0">
    <w:nsid w:val="5AA64D13"/>
    <w:multiLevelType w:val="hybridMultilevel"/>
    <w:tmpl w:val="348EA42C"/>
    <w:lvl w:ilvl="0" w:tplc="A6A215CE">
      <w:numFmt w:val="bullet"/>
      <w:lvlText w:val=""/>
      <w:lvlJc w:val="left"/>
      <w:pPr>
        <w:ind w:left="1732" w:hanging="288"/>
      </w:pPr>
      <w:rPr>
        <w:rFonts w:ascii="Symbol" w:eastAsia="Symbol" w:hAnsi="Symbol" w:cs="Symbol" w:hint="default"/>
        <w:w w:val="100"/>
        <w:sz w:val="24"/>
        <w:szCs w:val="24"/>
        <w:lang w:val="en-US" w:eastAsia="en-US" w:bidi="en-US"/>
      </w:rPr>
    </w:lvl>
    <w:lvl w:ilvl="1" w:tplc="CCA68FAC">
      <w:numFmt w:val="bullet"/>
      <w:lvlText w:val="•"/>
      <w:lvlJc w:val="left"/>
      <w:pPr>
        <w:ind w:left="2512" w:hanging="288"/>
      </w:pPr>
      <w:rPr>
        <w:rFonts w:hint="default"/>
        <w:lang w:val="en-US" w:eastAsia="en-US" w:bidi="en-US"/>
      </w:rPr>
    </w:lvl>
    <w:lvl w:ilvl="2" w:tplc="3FDC3760">
      <w:numFmt w:val="bullet"/>
      <w:lvlText w:val="•"/>
      <w:lvlJc w:val="left"/>
      <w:pPr>
        <w:ind w:left="3285" w:hanging="288"/>
      </w:pPr>
      <w:rPr>
        <w:rFonts w:hint="default"/>
        <w:lang w:val="en-US" w:eastAsia="en-US" w:bidi="en-US"/>
      </w:rPr>
    </w:lvl>
    <w:lvl w:ilvl="3" w:tplc="D8E0B49C">
      <w:numFmt w:val="bullet"/>
      <w:lvlText w:val="•"/>
      <w:lvlJc w:val="left"/>
      <w:pPr>
        <w:ind w:left="4058" w:hanging="288"/>
      </w:pPr>
      <w:rPr>
        <w:rFonts w:hint="default"/>
        <w:lang w:val="en-US" w:eastAsia="en-US" w:bidi="en-US"/>
      </w:rPr>
    </w:lvl>
    <w:lvl w:ilvl="4" w:tplc="41C0AF66">
      <w:numFmt w:val="bullet"/>
      <w:lvlText w:val="•"/>
      <w:lvlJc w:val="left"/>
      <w:pPr>
        <w:ind w:left="4831" w:hanging="288"/>
      </w:pPr>
      <w:rPr>
        <w:rFonts w:hint="default"/>
        <w:lang w:val="en-US" w:eastAsia="en-US" w:bidi="en-US"/>
      </w:rPr>
    </w:lvl>
    <w:lvl w:ilvl="5" w:tplc="807C7412">
      <w:numFmt w:val="bullet"/>
      <w:lvlText w:val="•"/>
      <w:lvlJc w:val="left"/>
      <w:pPr>
        <w:ind w:left="5604" w:hanging="288"/>
      </w:pPr>
      <w:rPr>
        <w:rFonts w:hint="default"/>
        <w:lang w:val="en-US" w:eastAsia="en-US" w:bidi="en-US"/>
      </w:rPr>
    </w:lvl>
    <w:lvl w:ilvl="6" w:tplc="547A3118">
      <w:numFmt w:val="bullet"/>
      <w:lvlText w:val="•"/>
      <w:lvlJc w:val="left"/>
      <w:pPr>
        <w:ind w:left="6377" w:hanging="288"/>
      </w:pPr>
      <w:rPr>
        <w:rFonts w:hint="default"/>
        <w:lang w:val="en-US" w:eastAsia="en-US" w:bidi="en-US"/>
      </w:rPr>
    </w:lvl>
    <w:lvl w:ilvl="7" w:tplc="C4EE9848">
      <w:numFmt w:val="bullet"/>
      <w:lvlText w:val="•"/>
      <w:lvlJc w:val="left"/>
      <w:pPr>
        <w:ind w:left="7150" w:hanging="288"/>
      </w:pPr>
      <w:rPr>
        <w:rFonts w:hint="default"/>
        <w:lang w:val="en-US" w:eastAsia="en-US" w:bidi="en-US"/>
      </w:rPr>
    </w:lvl>
    <w:lvl w:ilvl="8" w:tplc="6EE83B5E">
      <w:numFmt w:val="bullet"/>
      <w:lvlText w:val="•"/>
      <w:lvlJc w:val="left"/>
      <w:pPr>
        <w:ind w:left="7923" w:hanging="288"/>
      </w:pPr>
      <w:rPr>
        <w:rFonts w:hint="default"/>
        <w:lang w:val="en-US" w:eastAsia="en-US" w:bidi="en-US"/>
      </w:rPr>
    </w:lvl>
  </w:abstractNum>
  <w:abstractNum w:abstractNumId="87" w15:restartNumberingAfterBreak="0">
    <w:nsid w:val="5ABF15B3"/>
    <w:multiLevelType w:val="hybridMultilevel"/>
    <w:tmpl w:val="71BCDC44"/>
    <w:lvl w:ilvl="0" w:tplc="9CE6BF66">
      <w:start w:val="2"/>
      <w:numFmt w:val="decimal"/>
      <w:lvlText w:val="(%1)"/>
      <w:lvlJc w:val="left"/>
      <w:pPr>
        <w:ind w:left="1980" w:hanging="346"/>
        <w:jc w:val="left"/>
      </w:pPr>
      <w:rPr>
        <w:rFonts w:ascii="Times New Roman" w:eastAsia="Times New Roman" w:hAnsi="Times New Roman" w:cs="Times New Roman" w:hint="default"/>
        <w:i/>
        <w:spacing w:val="-4"/>
        <w:w w:val="99"/>
        <w:sz w:val="24"/>
        <w:szCs w:val="24"/>
        <w:lang w:val="en-US" w:eastAsia="en-US" w:bidi="en-US"/>
      </w:rPr>
    </w:lvl>
    <w:lvl w:ilvl="1" w:tplc="40E281D6">
      <w:start w:val="1"/>
      <w:numFmt w:val="lowerLetter"/>
      <w:lvlText w:val="(%2)"/>
      <w:lvlJc w:val="left"/>
      <w:pPr>
        <w:ind w:left="2700" w:hanging="459"/>
        <w:jc w:val="right"/>
      </w:pPr>
      <w:rPr>
        <w:rFonts w:ascii="Times New Roman" w:eastAsia="Times New Roman" w:hAnsi="Times New Roman" w:cs="Times New Roman" w:hint="default"/>
        <w:i/>
        <w:spacing w:val="-4"/>
        <w:w w:val="99"/>
        <w:sz w:val="24"/>
        <w:szCs w:val="24"/>
        <w:lang w:val="en-US" w:eastAsia="en-US" w:bidi="en-US"/>
      </w:rPr>
    </w:lvl>
    <w:lvl w:ilvl="2" w:tplc="861ECD52">
      <w:start w:val="1"/>
      <w:numFmt w:val="lowerRoman"/>
      <w:lvlText w:val="%3."/>
      <w:lvlJc w:val="left"/>
      <w:pPr>
        <w:ind w:left="2525" w:hanging="761"/>
        <w:jc w:val="right"/>
      </w:pPr>
      <w:rPr>
        <w:rFonts w:ascii="Times New Roman" w:eastAsia="Times New Roman" w:hAnsi="Times New Roman" w:cs="Times New Roman" w:hint="default"/>
        <w:i/>
        <w:spacing w:val="-20"/>
        <w:w w:val="99"/>
        <w:sz w:val="24"/>
        <w:szCs w:val="24"/>
        <w:lang w:val="en-US" w:eastAsia="en-US" w:bidi="en-US"/>
      </w:rPr>
    </w:lvl>
    <w:lvl w:ilvl="3" w:tplc="43F225B8">
      <w:numFmt w:val="bullet"/>
      <w:lvlText w:val="•"/>
      <w:lvlJc w:val="left"/>
      <w:pPr>
        <w:ind w:left="2700" w:hanging="761"/>
      </w:pPr>
      <w:rPr>
        <w:rFonts w:hint="default"/>
        <w:lang w:val="en-US" w:eastAsia="en-US" w:bidi="en-US"/>
      </w:rPr>
    </w:lvl>
    <w:lvl w:ilvl="4" w:tplc="8278A478">
      <w:numFmt w:val="bullet"/>
      <w:lvlText w:val="•"/>
      <w:lvlJc w:val="left"/>
      <w:pPr>
        <w:ind w:left="4140" w:hanging="761"/>
      </w:pPr>
      <w:rPr>
        <w:rFonts w:hint="default"/>
        <w:lang w:val="en-US" w:eastAsia="en-US" w:bidi="en-US"/>
      </w:rPr>
    </w:lvl>
    <w:lvl w:ilvl="5" w:tplc="3C4EF674">
      <w:numFmt w:val="bullet"/>
      <w:lvlText w:val="•"/>
      <w:lvlJc w:val="left"/>
      <w:pPr>
        <w:ind w:left="5181" w:hanging="761"/>
      </w:pPr>
      <w:rPr>
        <w:rFonts w:hint="default"/>
        <w:lang w:val="en-US" w:eastAsia="en-US" w:bidi="en-US"/>
      </w:rPr>
    </w:lvl>
    <w:lvl w:ilvl="6" w:tplc="61661738">
      <w:numFmt w:val="bullet"/>
      <w:lvlText w:val="•"/>
      <w:lvlJc w:val="left"/>
      <w:pPr>
        <w:ind w:left="6222" w:hanging="761"/>
      </w:pPr>
      <w:rPr>
        <w:rFonts w:hint="default"/>
        <w:lang w:val="en-US" w:eastAsia="en-US" w:bidi="en-US"/>
      </w:rPr>
    </w:lvl>
    <w:lvl w:ilvl="7" w:tplc="3D6A7E66">
      <w:numFmt w:val="bullet"/>
      <w:lvlText w:val="•"/>
      <w:lvlJc w:val="left"/>
      <w:pPr>
        <w:ind w:left="7263" w:hanging="761"/>
      </w:pPr>
      <w:rPr>
        <w:rFonts w:hint="default"/>
        <w:lang w:val="en-US" w:eastAsia="en-US" w:bidi="en-US"/>
      </w:rPr>
    </w:lvl>
    <w:lvl w:ilvl="8" w:tplc="91FCD9A8">
      <w:numFmt w:val="bullet"/>
      <w:lvlText w:val="•"/>
      <w:lvlJc w:val="left"/>
      <w:pPr>
        <w:ind w:left="8304" w:hanging="761"/>
      </w:pPr>
      <w:rPr>
        <w:rFonts w:hint="default"/>
        <w:lang w:val="en-US" w:eastAsia="en-US" w:bidi="en-US"/>
      </w:rPr>
    </w:lvl>
  </w:abstractNum>
  <w:abstractNum w:abstractNumId="88" w15:restartNumberingAfterBreak="0">
    <w:nsid w:val="5B894FA9"/>
    <w:multiLevelType w:val="hybridMultilevel"/>
    <w:tmpl w:val="B3FC8254"/>
    <w:lvl w:ilvl="0" w:tplc="6B4CB636">
      <w:start w:val="1"/>
      <w:numFmt w:val="decimal"/>
      <w:lvlText w:val="%1."/>
      <w:lvlJc w:val="left"/>
      <w:pPr>
        <w:ind w:left="633" w:hanging="360"/>
        <w:jc w:val="left"/>
      </w:pPr>
      <w:rPr>
        <w:rFonts w:ascii="Arial" w:eastAsia="Arial" w:hAnsi="Arial" w:cs="Arial" w:hint="default"/>
        <w:spacing w:val="-1"/>
        <w:w w:val="99"/>
        <w:sz w:val="24"/>
        <w:szCs w:val="24"/>
        <w:lang w:val="en-US" w:eastAsia="en-US" w:bidi="en-US"/>
      </w:rPr>
    </w:lvl>
    <w:lvl w:ilvl="1" w:tplc="C7FA6B2A">
      <w:numFmt w:val="bullet"/>
      <w:lvlText w:val="•"/>
      <w:lvlJc w:val="left"/>
      <w:pPr>
        <w:ind w:left="1501" w:hanging="360"/>
      </w:pPr>
      <w:rPr>
        <w:rFonts w:hint="default"/>
        <w:lang w:val="en-US" w:eastAsia="en-US" w:bidi="en-US"/>
      </w:rPr>
    </w:lvl>
    <w:lvl w:ilvl="2" w:tplc="C9344700">
      <w:numFmt w:val="bullet"/>
      <w:lvlText w:val="•"/>
      <w:lvlJc w:val="left"/>
      <w:pPr>
        <w:ind w:left="2362" w:hanging="360"/>
      </w:pPr>
      <w:rPr>
        <w:rFonts w:hint="default"/>
        <w:lang w:val="en-US" w:eastAsia="en-US" w:bidi="en-US"/>
      </w:rPr>
    </w:lvl>
    <w:lvl w:ilvl="3" w:tplc="345E7952">
      <w:numFmt w:val="bullet"/>
      <w:lvlText w:val="•"/>
      <w:lvlJc w:val="left"/>
      <w:pPr>
        <w:ind w:left="3224" w:hanging="360"/>
      </w:pPr>
      <w:rPr>
        <w:rFonts w:hint="default"/>
        <w:lang w:val="en-US" w:eastAsia="en-US" w:bidi="en-US"/>
      </w:rPr>
    </w:lvl>
    <w:lvl w:ilvl="4" w:tplc="CA40B268">
      <w:numFmt w:val="bullet"/>
      <w:lvlText w:val="•"/>
      <w:lvlJc w:val="left"/>
      <w:pPr>
        <w:ind w:left="4085" w:hanging="360"/>
      </w:pPr>
      <w:rPr>
        <w:rFonts w:hint="default"/>
        <w:lang w:val="en-US" w:eastAsia="en-US" w:bidi="en-US"/>
      </w:rPr>
    </w:lvl>
    <w:lvl w:ilvl="5" w:tplc="DABE691A">
      <w:numFmt w:val="bullet"/>
      <w:lvlText w:val="•"/>
      <w:lvlJc w:val="left"/>
      <w:pPr>
        <w:ind w:left="4946" w:hanging="360"/>
      </w:pPr>
      <w:rPr>
        <w:rFonts w:hint="default"/>
        <w:lang w:val="en-US" w:eastAsia="en-US" w:bidi="en-US"/>
      </w:rPr>
    </w:lvl>
    <w:lvl w:ilvl="6" w:tplc="6CFEEEE8">
      <w:numFmt w:val="bullet"/>
      <w:lvlText w:val="•"/>
      <w:lvlJc w:val="left"/>
      <w:pPr>
        <w:ind w:left="5808" w:hanging="360"/>
      </w:pPr>
      <w:rPr>
        <w:rFonts w:hint="default"/>
        <w:lang w:val="en-US" w:eastAsia="en-US" w:bidi="en-US"/>
      </w:rPr>
    </w:lvl>
    <w:lvl w:ilvl="7" w:tplc="CF0C753C">
      <w:numFmt w:val="bullet"/>
      <w:lvlText w:val="•"/>
      <w:lvlJc w:val="left"/>
      <w:pPr>
        <w:ind w:left="6669" w:hanging="360"/>
      </w:pPr>
      <w:rPr>
        <w:rFonts w:hint="default"/>
        <w:lang w:val="en-US" w:eastAsia="en-US" w:bidi="en-US"/>
      </w:rPr>
    </w:lvl>
    <w:lvl w:ilvl="8" w:tplc="181C4CDE">
      <w:numFmt w:val="bullet"/>
      <w:lvlText w:val="•"/>
      <w:lvlJc w:val="left"/>
      <w:pPr>
        <w:ind w:left="7530" w:hanging="360"/>
      </w:pPr>
      <w:rPr>
        <w:rFonts w:hint="default"/>
        <w:lang w:val="en-US" w:eastAsia="en-US" w:bidi="en-US"/>
      </w:rPr>
    </w:lvl>
  </w:abstractNum>
  <w:abstractNum w:abstractNumId="89" w15:restartNumberingAfterBreak="0">
    <w:nsid w:val="60AC7CA2"/>
    <w:multiLevelType w:val="multilevel"/>
    <w:tmpl w:val="3D0EA4F8"/>
    <w:lvl w:ilvl="0">
      <w:start w:val="6"/>
      <w:numFmt w:val="decimal"/>
      <w:lvlText w:val="%1"/>
      <w:lvlJc w:val="left"/>
      <w:pPr>
        <w:ind w:left="1124" w:hanging="965"/>
        <w:jc w:val="left"/>
      </w:pPr>
      <w:rPr>
        <w:rFonts w:hint="default"/>
        <w:lang w:val="en-US" w:eastAsia="en-US" w:bidi="en-US"/>
      </w:rPr>
    </w:lvl>
    <w:lvl w:ilvl="1">
      <w:start w:val="1"/>
      <w:numFmt w:val="decimal"/>
      <w:lvlText w:val="%1.%2"/>
      <w:lvlJc w:val="left"/>
      <w:pPr>
        <w:ind w:left="1124" w:hanging="965"/>
        <w:jc w:val="left"/>
      </w:pPr>
      <w:rPr>
        <w:rFonts w:hint="default"/>
        <w:lang w:val="en-US" w:eastAsia="en-US" w:bidi="en-US"/>
      </w:rPr>
    </w:lvl>
    <w:lvl w:ilvl="2">
      <w:start w:val="4"/>
      <w:numFmt w:val="decimal"/>
      <w:lvlText w:val="%1.%2.%3"/>
      <w:lvlJc w:val="left"/>
      <w:pPr>
        <w:ind w:left="1124" w:hanging="965"/>
        <w:jc w:val="left"/>
      </w:pPr>
      <w:rPr>
        <w:rFonts w:hint="default"/>
        <w:lang w:val="en-US" w:eastAsia="en-US" w:bidi="en-US"/>
      </w:rPr>
    </w:lvl>
    <w:lvl w:ilvl="3">
      <w:start w:val="1"/>
      <w:numFmt w:val="decimal"/>
      <w:lvlText w:val="%1.%2.%3.%4"/>
      <w:lvlJc w:val="left"/>
      <w:pPr>
        <w:ind w:left="1124" w:hanging="965"/>
        <w:jc w:val="left"/>
      </w:pPr>
      <w:rPr>
        <w:rFonts w:ascii="Times New Roman" w:eastAsia="Times New Roman" w:hAnsi="Times New Roman" w:cs="Times New Roman" w:hint="default"/>
        <w:spacing w:val="-3"/>
        <w:w w:val="99"/>
        <w:sz w:val="24"/>
        <w:szCs w:val="24"/>
        <w:lang w:val="en-US" w:eastAsia="en-US" w:bidi="en-US"/>
      </w:rPr>
    </w:lvl>
    <w:lvl w:ilvl="4">
      <w:start w:val="1"/>
      <w:numFmt w:val="lowerLetter"/>
      <w:lvlText w:val="(%5)"/>
      <w:lvlJc w:val="left"/>
      <w:pPr>
        <w:ind w:left="1537" w:hanging="360"/>
        <w:jc w:val="left"/>
      </w:pPr>
      <w:rPr>
        <w:rFonts w:ascii="Times New Roman" w:eastAsia="Times New Roman" w:hAnsi="Times New Roman" w:cs="Times New Roman" w:hint="default"/>
        <w:spacing w:val="-25"/>
        <w:w w:val="99"/>
        <w:sz w:val="24"/>
        <w:szCs w:val="24"/>
        <w:lang w:val="en-US" w:eastAsia="en-US" w:bidi="en-US"/>
      </w:rPr>
    </w:lvl>
    <w:lvl w:ilvl="5">
      <w:numFmt w:val="bullet"/>
      <w:lvlText w:val="•"/>
      <w:lvlJc w:val="left"/>
      <w:pPr>
        <w:ind w:left="5373" w:hanging="360"/>
      </w:pPr>
      <w:rPr>
        <w:rFonts w:hint="default"/>
        <w:lang w:val="en-US" w:eastAsia="en-US" w:bidi="en-US"/>
      </w:rPr>
    </w:lvl>
    <w:lvl w:ilvl="6">
      <w:numFmt w:val="bullet"/>
      <w:lvlText w:val="•"/>
      <w:lvlJc w:val="left"/>
      <w:pPr>
        <w:ind w:left="6332" w:hanging="360"/>
      </w:pPr>
      <w:rPr>
        <w:rFonts w:hint="default"/>
        <w:lang w:val="en-US" w:eastAsia="en-US" w:bidi="en-US"/>
      </w:rPr>
    </w:lvl>
    <w:lvl w:ilvl="7">
      <w:numFmt w:val="bullet"/>
      <w:lvlText w:val="•"/>
      <w:lvlJc w:val="left"/>
      <w:pPr>
        <w:ind w:left="7290" w:hanging="360"/>
      </w:pPr>
      <w:rPr>
        <w:rFonts w:hint="default"/>
        <w:lang w:val="en-US" w:eastAsia="en-US" w:bidi="en-US"/>
      </w:rPr>
    </w:lvl>
    <w:lvl w:ilvl="8">
      <w:numFmt w:val="bullet"/>
      <w:lvlText w:val="•"/>
      <w:lvlJc w:val="left"/>
      <w:pPr>
        <w:ind w:left="8249" w:hanging="360"/>
      </w:pPr>
      <w:rPr>
        <w:rFonts w:hint="default"/>
        <w:lang w:val="en-US" w:eastAsia="en-US" w:bidi="en-US"/>
      </w:rPr>
    </w:lvl>
  </w:abstractNum>
  <w:abstractNum w:abstractNumId="90" w15:restartNumberingAfterBreak="0">
    <w:nsid w:val="615D0922"/>
    <w:multiLevelType w:val="hybridMultilevel"/>
    <w:tmpl w:val="0A8013CE"/>
    <w:lvl w:ilvl="0" w:tplc="239EBA30">
      <w:start w:val="1"/>
      <w:numFmt w:val="lowerLetter"/>
      <w:lvlText w:val="%1)"/>
      <w:lvlJc w:val="left"/>
      <w:pPr>
        <w:ind w:left="1497" w:hanging="360"/>
        <w:jc w:val="left"/>
      </w:pPr>
      <w:rPr>
        <w:rFonts w:ascii="Times New Roman" w:eastAsia="Times New Roman" w:hAnsi="Times New Roman" w:cs="Times New Roman" w:hint="default"/>
        <w:spacing w:val="-6"/>
        <w:w w:val="99"/>
        <w:sz w:val="24"/>
        <w:szCs w:val="24"/>
        <w:lang w:val="en-US" w:eastAsia="en-US" w:bidi="en-US"/>
      </w:rPr>
    </w:lvl>
    <w:lvl w:ilvl="1" w:tplc="5EC8A718">
      <w:numFmt w:val="bullet"/>
      <w:lvlText w:val="•"/>
      <w:lvlJc w:val="left"/>
      <w:pPr>
        <w:ind w:left="2296" w:hanging="360"/>
      </w:pPr>
      <w:rPr>
        <w:rFonts w:hint="default"/>
        <w:lang w:val="en-US" w:eastAsia="en-US" w:bidi="en-US"/>
      </w:rPr>
    </w:lvl>
    <w:lvl w:ilvl="2" w:tplc="CD3ADAAC">
      <w:numFmt w:val="bullet"/>
      <w:lvlText w:val="•"/>
      <w:lvlJc w:val="left"/>
      <w:pPr>
        <w:ind w:left="3093" w:hanging="360"/>
      </w:pPr>
      <w:rPr>
        <w:rFonts w:hint="default"/>
        <w:lang w:val="en-US" w:eastAsia="en-US" w:bidi="en-US"/>
      </w:rPr>
    </w:lvl>
    <w:lvl w:ilvl="3" w:tplc="9888426C">
      <w:numFmt w:val="bullet"/>
      <w:lvlText w:val="•"/>
      <w:lvlJc w:val="left"/>
      <w:pPr>
        <w:ind w:left="3890" w:hanging="360"/>
      </w:pPr>
      <w:rPr>
        <w:rFonts w:hint="default"/>
        <w:lang w:val="en-US" w:eastAsia="en-US" w:bidi="en-US"/>
      </w:rPr>
    </w:lvl>
    <w:lvl w:ilvl="4" w:tplc="9D22A894">
      <w:numFmt w:val="bullet"/>
      <w:lvlText w:val="•"/>
      <w:lvlJc w:val="left"/>
      <w:pPr>
        <w:ind w:left="4687" w:hanging="360"/>
      </w:pPr>
      <w:rPr>
        <w:rFonts w:hint="default"/>
        <w:lang w:val="en-US" w:eastAsia="en-US" w:bidi="en-US"/>
      </w:rPr>
    </w:lvl>
    <w:lvl w:ilvl="5" w:tplc="CED2C98A">
      <w:numFmt w:val="bullet"/>
      <w:lvlText w:val="•"/>
      <w:lvlJc w:val="left"/>
      <w:pPr>
        <w:ind w:left="5484" w:hanging="360"/>
      </w:pPr>
      <w:rPr>
        <w:rFonts w:hint="default"/>
        <w:lang w:val="en-US" w:eastAsia="en-US" w:bidi="en-US"/>
      </w:rPr>
    </w:lvl>
    <w:lvl w:ilvl="6" w:tplc="5A6EC666">
      <w:numFmt w:val="bullet"/>
      <w:lvlText w:val="•"/>
      <w:lvlJc w:val="left"/>
      <w:pPr>
        <w:ind w:left="6281" w:hanging="360"/>
      </w:pPr>
      <w:rPr>
        <w:rFonts w:hint="default"/>
        <w:lang w:val="en-US" w:eastAsia="en-US" w:bidi="en-US"/>
      </w:rPr>
    </w:lvl>
    <w:lvl w:ilvl="7" w:tplc="BFF82E5A">
      <w:numFmt w:val="bullet"/>
      <w:lvlText w:val="•"/>
      <w:lvlJc w:val="left"/>
      <w:pPr>
        <w:ind w:left="7078" w:hanging="360"/>
      </w:pPr>
      <w:rPr>
        <w:rFonts w:hint="default"/>
        <w:lang w:val="en-US" w:eastAsia="en-US" w:bidi="en-US"/>
      </w:rPr>
    </w:lvl>
    <w:lvl w:ilvl="8" w:tplc="B7920C0A">
      <w:numFmt w:val="bullet"/>
      <w:lvlText w:val="•"/>
      <w:lvlJc w:val="left"/>
      <w:pPr>
        <w:ind w:left="7875" w:hanging="360"/>
      </w:pPr>
      <w:rPr>
        <w:rFonts w:hint="default"/>
        <w:lang w:val="en-US" w:eastAsia="en-US" w:bidi="en-US"/>
      </w:rPr>
    </w:lvl>
  </w:abstractNum>
  <w:abstractNum w:abstractNumId="91" w15:restartNumberingAfterBreak="0">
    <w:nsid w:val="623A26F6"/>
    <w:multiLevelType w:val="hybridMultilevel"/>
    <w:tmpl w:val="F036D0A6"/>
    <w:lvl w:ilvl="0" w:tplc="0360C966">
      <w:start w:val="1"/>
      <w:numFmt w:val="lowerLetter"/>
      <w:lvlText w:val="(%1)"/>
      <w:lvlJc w:val="left"/>
      <w:pPr>
        <w:ind w:left="1472" w:hanging="420"/>
        <w:jc w:val="left"/>
      </w:pPr>
      <w:rPr>
        <w:rFonts w:ascii="Times New Roman" w:eastAsia="Times New Roman" w:hAnsi="Times New Roman" w:cs="Times New Roman" w:hint="default"/>
        <w:spacing w:val="-25"/>
        <w:w w:val="99"/>
        <w:sz w:val="24"/>
        <w:szCs w:val="24"/>
        <w:lang w:val="en-US" w:eastAsia="en-US" w:bidi="en-US"/>
      </w:rPr>
    </w:lvl>
    <w:lvl w:ilvl="1" w:tplc="F322EA08">
      <w:numFmt w:val="bullet"/>
      <w:lvlText w:val="•"/>
      <w:lvlJc w:val="left"/>
      <w:pPr>
        <w:ind w:left="2348" w:hanging="420"/>
      </w:pPr>
      <w:rPr>
        <w:rFonts w:hint="default"/>
        <w:lang w:val="en-US" w:eastAsia="en-US" w:bidi="en-US"/>
      </w:rPr>
    </w:lvl>
    <w:lvl w:ilvl="2" w:tplc="E0E2C786">
      <w:numFmt w:val="bullet"/>
      <w:lvlText w:val="•"/>
      <w:lvlJc w:val="left"/>
      <w:pPr>
        <w:ind w:left="3217" w:hanging="420"/>
      </w:pPr>
      <w:rPr>
        <w:rFonts w:hint="default"/>
        <w:lang w:val="en-US" w:eastAsia="en-US" w:bidi="en-US"/>
      </w:rPr>
    </w:lvl>
    <w:lvl w:ilvl="3" w:tplc="EFA4178C">
      <w:numFmt w:val="bullet"/>
      <w:lvlText w:val="•"/>
      <w:lvlJc w:val="left"/>
      <w:pPr>
        <w:ind w:left="4085" w:hanging="420"/>
      </w:pPr>
      <w:rPr>
        <w:rFonts w:hint="default"/>
        <w:lang w:val="en-US" w:eastAsia="en-US" w:bidi="en-US"/>
      </w:rPr>
    </w:lvl>
    <w:lvl w:ilvl="4" w:tplc="C1B61028">
      <w:numFmt w:val="bullet"/>
      <w:lvlText w:val="•"/>
      <w:lvlJc w:val="left"/>
      <w:pPr>
        <w:ind w:left="4954" w:hanging="420"/>
      </w:pPr>
      <w:rPr>
        <w:rFonts w:hint="default"/>
        <w:lang w:val="en-US" w:eastAsia="en-US" w:bidi="en-US"/>
      </w:rPr>
    </w:lvl>
    <w:lvl w:ilvl="5" w:tplc="0B808C4E">
      <w:numFmt w:val="bullet"/>
      <w:lvlText w:val="•"/>
      <w:lvlJc w:val="left"/>
      <w:pPr>
        <w:ind w:left="5823" w:hanging="420"/>
      </w:pPr>
      <w:rPr>
        <w:rFonts w:hint="default"/>
        <w:lang w:val="en-US" w:eastAsia="en-US" w:bidi="en-US"/>
      </w:rPr>
    </w:lvl>
    <w:lvl w:ilvl="6" w:tplc="25F69C82">
      <w:numFmt w:val="bullet"/>
      <w:lvlText w:val="•"/>
      <w:lvlJc w:val="left"/>
      <w:pPr>
        <w:ind w:left="6691" w:hanging="420"/>
      </w:pPr>
      <w:rPr>
        <w:rFonts w:hint="default"/>
        <w:lang w:val="en-US" w:eastAsia="en-US" w:bidi="en-US"/>
      </w:rPr>
    </w:lvl>
    <w:lvl w:ilvl="7" w:tplc="B3123654">
      <w:numFmt w:val="bullet"/>
      <w:lvlText w:val="•"/>
      <w:lvlJc w:val="left"/>
      <w:pPr>
        <w:ind w:left="7560" w:hanging="420"/>
      </w:pPr>
      <w:rPr>
        <w:rFonts w:hint="default"/>
        <w:lang w:val="en-US" w:eastAsia="en-US" w:bidi="en-US"/>
      </w:rPr>
    </w:lvl>
    <w:lvl w:ilvl="8" w:tplc="8EFCD1EE">
      <w:numFmt w:val="bullet"/>
      <w:lvlText w:val="•"/>
      <w:lvlJc w:val="left"/>
      <w:pPr>
        <w:ind w:left="8429" w:hanging="420"/>
      </w:pPr>
      <w:rPr>
        <w:rFonts w:hint="default"/>
        <w:lang w:val="en-US" w:eastAsia="en-US" w:bidi="en-US"/>
      </w:rPr>
    </w:lvl>
  </w:abstractNum>
  <w:abstractNum w:abstractNumId="92" w15:restartNumberingAfterBreak="0">
    <w:nsid w:val="63D24DD4"/>
    <w:multiLevelType w:val="multilevel"/>
    <w:tmpl w:val="302A0348"/>
    <w:lvl w:ilvl="0">
      <w:start w:val="4"/>
      <w:numFmt w:val="decimal"/>
      <w:lvlText w:val="%1"/>
      <w:lvlJc w:val="left"/>
      <w:pPr>
        <w:ind w:left="1964" w:hanging="965"/>
        <w:jc w:val="left"/>
      </w:pPr>
      <w:rPr>
        <w:rFonts w:hint="default"/>
        <w:lang w:val="en-US" w:eastAsia="en-US" w:bidi="en-US"/>
      </w:rPr>
    </w:lvl>
    <w:lvl w:ilvl="1">
      <w:start w:val="14"/>
      <w:numFmt w:val="decimal"/>
      <w:lvlText w:val="%1.%2"/>
      <w:lvlJc w:val="left"/>
      <w:pPr>
        <w:ind w:left="1964" w:hanging="965"/>
        <w:jc w:val="left"/>
      </w:pPr>
      <w:rPr>
        <w:rFonts w:hint="default"/>
        <w:lang w:val="en-US" w:eastAsia="en-US" w:bidi="en-US"/>
      </w:rPr>
    </w:lvl>
    <w:lvl w:ilvl="2">
      <w:start w:val="1"/>
      <w:numFmt w:val="decimal"/>
      <w:lvlText w:val="%1.%2.%3"/>
      <w:lvlJc w:val="left"/>
      <w:pPr>
        <w:ind w:left="1964" w:hanging="965"/>
        <w:jc w:val="left"/>
      </w:pPr>
      <w:rPr>
        <w:rFonts w:hint="default"/>
        <w:lang w:val="en-US" w:eastAsia="en-US" w:bidi="en-US"/>
      </w:rPr>
    </w:lvl>
    <w:lvl w:ilvl="3">
      <w:start w:val="1"/>
      <w:numFmt w:val="decimal"/>
      <w:lvlText w:val="%1.%2.%3.%4"/>
      <w:lvlJc w:val="left"/>
      <w:pPr>
        <w:ind w:left="1964" w:hanging="965"/>
        <w:jc w:val="left"/>
      </w:pPr>
      <w:rPr>
        <w:rFonts w:ascii="Times New Roman" w:eastAsia="Times New Roman" w:hAnsi="Times New Roman" w:cs="Times New Roman" w:hint="default"/>
        <w:spacing w:val="-30"/>
        <w:w w:val="99"/>
        <w:sz w:val="24"/>
        <w:szCs w:val="24"/>
        <w:lang w:val="en-US" w:eastAsia="en-US" w:bidi="en-US"/>
      </w:rPr>
    </w:lvl>
    <w:lvl w:ilvl="4">
      <w:start w:val="1"/>
      <w:numFmt w:val="lowerRoman"/>
      <w:lvlText w:val="%5."/>
      <w:lvlJc w:val="left"/>
      <w:pPr>
        <w:ind w:left="2540" w:hanging="291"/>
        <w:jc w:val="right"/>
      </w:pPr>
      <w:rPr>
        <w:rFonts w:ascii="Times New Roman" w:eastAsia="Times New Roman" w:hAnsi="Times New Roman" w:cs="Times New Roman" w:hint="default"/>
        <w:spacing w:val="-17"/>
        <w:w w:val="99"/>
        <w:sz w:val="24"/>
        <w:szCs w:val="24"/>
        <w:lang w:val="en-US" w:eastAsia="en-US" w:bidi="en-US"/>
      </w:rPr>
    </w:lvl>
    <w:lvl w:ilvl="5">
      <w:numFmt w:val="bullet"/>
      <w:lvlText w:val="•"/>
      <w:lvlJc w:val="left"/>
      <w:pPr>
        <w:ind w:left="6436" w:hanging="291"/>
      </w:pPr>
      <w:rPr>
        <w:rFonts w:hint="default"/>
        <w:lang w:val="en-US" w:eastAsia="en-US" w:bidi="en-US"/>
      </w:rPr>
    </w:lvl>
    <w:lvl w:ilvl="6">
      <w:numFmt w:val="bullet"/>
      <w:lvlText w:val="•"/>
      <w:lvlJc w:val="left"/>
      <w:pPr>
        <w:ind w:left="7410" w:hanging="291"/>
      </w:pPr>
      <w:rPr>
        <w:rFonts w:hint="default"/>
        <w:lang w:val="en-US" w:eastAsia="en-US" w:bidi="en-US"/>
      </w:rPr>
    </w:lvl>
    <w:lvl w:ilvl="7">
      <w:numFmt w:val="bullet"/>
      <w:lvlText w:val="•"/>
      <w:lvlJc w:val="left"/>
      <w:pPr>
        <w:ind w:left="8384" w:hanging="291"/>
      </w:pPr>
      <w:rPr>
        <w:rFonts w:hint="default"/>
        <w:lang w:val="en-US" w:eastAsia="en-US" w:bidi="en-US"/>
      </w:rPr>
    </w:lvl>
    <w:lvl w:ilvl="8">
      <w:numFmt w:val="bullet"/>
      <w:lvlText w:val="•"/>
      <w:lvlJc w:val="left"/>
      <w:pPr>
        <w:ind w:left="9358" w:hanging="291"/>
      </w:pPr>
      <w:rPr>
        <w:rFonts w:hint="default"/>
        <w:lang w:val="en-US" w:eastAsia="en-US" w:bidi="en-US"/>
      </w:rPr>
    </w:lvl>
  </w:abstractNum>
  <w:abstractNum w:abstractNumId="93" w15:restartNumberingAfterBreak="0">
    <w:nsid w:val="66DC4B5B"/>
    <w:multiLevelType w:val="hybridMultilevel"/>
    <w:tmpl w:val="55065530"/>
    <w:lvl w:ilvl="0" w:tplc="A0207782">
      <w:start w:val="1"/>
      <w:numFmt w:val="lowerLetter"/>
      <w:lvlText w:val="%1)"/>
      <w:lvlJc w:val="left"/>
      <w:pPr>
        <w:ind w:left="2518" w:hanging="425"/>
        <w:jc w:val="left"/>
      </w:pPr>
      <w:rPr>
        <w:rFonts w:ascii="Times New Roman" w:eastAsia="Times New Roman" w:hAnsi="Times New Roman" w:cs="Times New Roman" w:hint="default"/>
        <w:spacing w:val="-25"/>
        <w:w w:val="99"/>
        <w:sz w:val="24"/>
        <w:szCs w:val="24"/>
        <w:lang w:val="en-US" w:eastAsia="en-US" w:bidi="en-US"/>
      </w:rPr>
    </w:lvl>
    <w:lvl w:ilvl="1" w:tplc="3CDAD37C">
      <w:numFmt w:val="bullet"/>
      <w:lvlText w:val="•"/>
      <w:lvlJc w:val="left"/>
      <w:pPr>
        <w:ind w:left="3398" w:hanging="425"/>
      </w:pPr>
      <w:rPr>
        <w:rFonts w:hint="default"/>
        <w:lang w:val="en-US" w:eastAsia="en-US" w:bidi="en-US"/>
      </w:rPr>
    </w:lvl>
    <w:lvl w:ilvl="2" w:tplc="CBE8F706">
      <w:numFmt w:val="bullet"/>
      <w:lvlText w:val="•"/>
      <w:lvlJc w:val="left"/>
      <w:pPr>
        <w:ind w:left="4277" w:hanging="425"/>
      </w:pPr>
      <w:rPr>
        <w:rFonts w:hint="default"/>
        <w:lang w:val="en-US" w:eastAsia="en-US" w:bidi="en-US"/>
      </w:rPr>
    </w:lvl>
    <w:lvl w:ilvl="3" w:tplc="3866200A">
      <w:numFmt w:val="bullet"/>
      <w:lvlText w:val="•"/>
      <w:lvlJc w:val="left"/>
      <w:pPr>
        <w:ind w:left="5155" w:hanging="425"/>
      </w:pPr>
      <w:rPr>
        <w:rFonts w:hint="default"/>
        <w:lang w:val="en-US" w:eastAsia="en-US" w:bidi="en-US"/>
      </w:rPr>
    </w:lvl>
    <w:lvl w:ilvl="4" w:tplc="98EAF558">
      <w:numFmt w:val="bullet"/>
      <w:lvlText w:val="•"/>
      <w:lvlJc w:val="left"/>
      <w:pPr>
        <w:ind w:left="6034" w:hanging="425"/>
      </w:pPr>
      <w:rPr>
        <w:rFonts w:hint="default"/>
        <w:lang w:val="en-US" w:eastAsia="en-US" w:bidi="en-US"/>
      </w:rPr>
    </w:lvl>
    <w:lvl w:ilvl="5" w:tplc="B358EE3E">
      <w:numFmt w:val="bullet"/>
      <w:lvlText w:val="•"/>
      <w:lvlJc w:val="left"/>
      <w:pPr>
        <w:ind w:left="6913" w:hanging="425"/>
      </w:pPr>
      <w:rPr>
        <w:rFonts w:hint="default"/>
        <w:lang w:val="en-US" w:eastAsia="en-US" w:bidi="en-US"/>
      </w:rPr>
    </w:lvl>
    <w:lvl w:ilvl="6" w:tplc="651EB44C">
      <w:numFmt w:val="bullet"/>
      <w:lvlText w:val="•"/>
      <w:lvlJc w:val="left"/>
      <w:pPr>
        <w:ind w:left="7791" w:hanging="425"/>
      </w:pPr>
      <w:rPr>
        <w:rFonts w:hint="default"/>
        <w:lang w:val="en-US" w:eastAsia="en-US" w:bidi="en-US"/>
      </w:rPr>
    </w:lvl>
    <w:lvl w:ilvl="7" w:tplc="5BB6B730">
      <w:numFmt w:val="bullet"/>
      <w:lvlText w:val="•"/>
      <w:lvlJc w:val="left"/>
      <w:pPr>
        <w:ind w:left="8670" w:hanging="425"/>
      </w:pPr>
      <w:rPr>
        <w:rFonts w:hint="default"/>
        <w:lang w:val="en-US" w:eastAsia="en-US" w:bidi="en-US"/>
      </w:rPr>
    </w:lvl>
    <w:lvl w:ilvl="8" w:tplc="34DC40C4">
      <w:numFmt w:val="bullet"/>
      <w:lvlText w:val="•"/>
      <w:lvlJc w:val="left"/>
      <w:pPr>
        <w:ind w:left="9549" w:hanging="425"/>
      </w:pPr>
      <w:rPr>
        <w:rFonts w:hint="default"/>
        <w:lang w:val="en-US" w:eastAsia="en-US" w:bidi="en-US"/>
      </w:rPr>
    </w:lvl>
  </w:abstractNum>
  <w:abstractNum w:abstractNumId="94" w15:restartNumberingAfterBreak="0">
    <w:nsid w:val="68FA10E8"/>
    <w:multiLevelType w:val="hybridMultilevel"/>
    <w:tmpl w:val="A45E5314"/>
    <w:lvl w:ilvl="0" w:tplc="7542F148">
      <w:start w:val="1"/>
      <w:numFmt w:val="lowerLetter"/>
      <w:lvlText w:val="%1."/>
      <w:lvlJc w:val="left"/>
      <w:pPr>
        <w:ind w:left="2540" w:hanging="420"/>
        <w:jc w:val="left"/>
      </w:pPr>
      <w:rPr>
        <w:rFonts w:ascii="Times New Roman" w:eastAsia="Times New Roman" w:hAnsi="Times New Roman" w:cs="Times New Roman" w:hint="default"/>
        <w:spacing w:val="-2"/>
        <w:w w:val="99"/>
        <w:sz w:val="24"/>
        <w:szCs w:val="24"/>
        <w:lang w:val="en-US" w:eastAsia="en-US" w:bidi="en-US"/>
      </w:rPr>
    </w:lvl>
    <w:lvl w:ilvl="1" w:tplc="DC14A458">
      <w:numFmt w:val="bullet"/>
      <w:lvlText w:val="•"/>
      <w:lvlJc w:val="left"/>
      <w:pPr>
        <w:ind w:left="3416" w:hanging="420"/>
      </w:pPr>
      <w:rPr>
        <w:rFonts w:hint="default"/>
        <w:lang w:val="en-US" w:eastAsia="en-US" w:bidi="en-US"/>
      </w:rPr>
    </w:lvl>
    <w:lvl w:ilvl="2" w:tplc="5810EEFC">
      <w:numFmt w:val="bullet"/>
      <w:lvlText w:val="•"/>
      <w:lvlJc w:val="left"/>
      <w:pPr>
        <w:ind w:left="4293" w:hanging="420"/>
      </w:pPr>
      <w:rPr>
        <w:rFonts w:hint="default"/>
        <w:lang w:val="en-US" w:eastAsia="en-US" w:bidi="en-US"/>
      </w:rPr>
    </w:lvl>
    <w:lvl w:ilvl="3" w:tplc="EB80122E">
      <w:numFmt w:val="bullet"/>
      <w:lvlText w:val="•"/>
      <w:lvlJc w:val="left"/>
      <w:pPr>
        <w:ind w:left="5169" w:hanging="420"/>
      </w:pPr>
      <w:rPr>
        <w:rFonts w:hint="default"/>
        <w:lang w:val="en-US" w:eastAsia="en-US" w:bidi="en-US"/>
      </w:rPr>
    </w:lvl>
    <w:lvl w:ilvl="4" w:tplc="E9367A02">
      <w:numFmt w:val="bullet"/>
      <w:lvlText w:val="•"/>
      <w:lvlJc w:val="left"/>
      <w:pPr>
        <w:ind w:left="6046" w:hanging="420"/>
      </w:pPr>
      <w:rPr>
        <w:rFonts w:hint="default"/>
        <w:lang w:val="en-US" w:eastAsia="en-US" w:bidi="en-US"/>
      </w:rPr>
    </w:lvl>
    <w:lvl w:ilvl="5" w:tplc="0CDEE380">
      <w:numFmt w:val="bullet"/>
      <w:lvlText w:val="•"/>
      <w:lvlJc w:val="left"/>
      <w:pPr>
        <w:ind w:left="6923" w:hanging="420"/>
      </w:pPr>
      <w:rPr>
        <w:rFonts w:hint="default"/>
        <w:lang w:val="en-US" w:eastAsia="en-US" w:bidi="en-US"/>
      </w:rPr>
    </w:lvl>
    <w:lvl w:ilvl="6" w:tplc="62BC65C6">
      <w:numFmt w:val="bullet"/>
      <w:lvlText w:val="•"/>
      <w:lvlJc w:val="left"/>
      <w:pPr>
        <w:ind w:left="7799" w:hanging="420"/>
      </w:pPr>
      <w:rPr>
        <w:rFonts w:hint="default"/>
        <w:lang w:val="en-US" w:eastAsia="en-US" w:bidi="en-US"/>
      </w:rPr>
    </w:lvl>
    <w:lvl w:ilvl="7" w:tplc="B5AE4C2C">
      <w:numFmt w:val="bullet"/>
      <w:lvlText w:val="•"/>
      <w:lvlJc w:val="left"/>
      <w:pPr>
        <w:ind w:left="8676" w:hanging="420"/>
      </w:pPr>
      <w:rPr>
        <w:rFonts w:hint="default"/>
        <w:lang w:val="en-US" w:eastAsia="en-US" w:bidi="en-US"/>
      </w:rPr>
    </w:lvl>
    <w:lvl w:ilvl="8" w:tplc="C772FFC6">
      <w:numFmt w:val="bullet"/>
      <w:lvlText w:val="•"/>
      <w:lvlJc w:val="left"/>
      <w:pPr>
        <w:ind w:left="9553" w:hanging="420"/>
      </w:pPr>
      <w:rPr>
        <w:rFonts w:hint="default"/>
        <w:lang w:val="en-US" w:eastAsia="en-US" w:bidi="en-US"/>
      </w:rPr>
    </w:lvl>
  </w:abstractNum>
  <w:abstractNum w:abstractNumId="95" w15:restartNumberingAfterBreak="0">
    <w:nsid w:val="698150FF"/>
    <w:multiLevelType w:val="multilevel"/>
    <w:tmpl w:val="61A4371C"/>
    <w:lvl w:ilvl="0">
      <w:start w:val="5"/>
      <w:numFmt w:val="decimal"/>
      <w:lvlText w:val="%1"/>
      <w:lvlJc w:val="left"/>
      <w:pPr>
        <w:ind w:left="2065" w:hanging="965"/>
        <w:jc w:val="left"/>
      </w:pPr>
      <w:rPr>
        <w:rFonts w:hint="default"/>
        <w:lang w:val="en-US" w:eastAsia="en-US" w:bidi="en-US"/>
      </w:rPr>
    </w:lvl>
    <w:lvl w:ilvl="1">
      <w:start w:val="2"/>
      <w:numFmt w:val="decimal"/>
      <w:lvlText w:val="%1.%2"/>
      <w:lvlJc w:val="left"/>
      <w:pPr>
        <w:ind w:left="2065" w:hanging="965"/>
        <w:jc w:val="left"/>
      </w:pPr>
      <w:rPr>
        <w:rFonts w:hint="default"/>
        <w:lang w:val="en-US" w:eastAsia="en-US" w:bidi="en-US"/>
      </w:rPr>
    </w:lvl>
    <w:lvl w:ilvl="2">
      <w:start w:val="3"/>
      <w:numFmt w:val="decimal"/>
      <w:lvlText w:val="%1.%2.%3"/>
      <w:lvlJc w:val="left"/>
      <w:pPr>
        <w:ind w:left="2065" w:hanging="965"/>
        <w:jc w:val="left"/>
      </w:pPr>
      <w:rPr>
        <w:rFonts w:hint="default"/>
        <w:lang w:val="en-US" w:eastAsia="en-US" w:bidi="en-US"/>
      </w:rPr>
    </w:lvl>
    <w:lvl w:ilvl="3">
      <w:start w:val="1"/>
      <w:numFmt w:val="decimal"/>
      <w:lvlText w:val="%1.%2.%3.%4"/>
      <w:lvlJc w:val="left"/>
      <w:pPr>
        <w:ind w:left="2065" w:hanging="965"/>
        <w:jc w:val="left"/>
      </w:pPr>
      <w:rPr>
        <w:rFonts w:ascii="Times New Roman" w:eastAsia="Times New Roman" w:hAnsi="Times New Roman" w:cs="Times New Roman" w:hint="default"/>
        <w:spacing w:val="-30"/>
        <w:w w:val="99"/>
        <w:sz w:val="24"/>
        <w:szCs w:val="24"/>
        <w:lang w:val="en-US" w:eastAsia="en-US" w:bidi="en-US"/>
      </w:rPr>
    </w:lvl>
    <w:lvl w:ilvl="4">
      <w:start w:val="1"/>
      <w:numFmt w:val="lowerRoman"/>
      <w:lvlText w:val="%5)"/>
      <w:lvlJc w:val="left"/>
      <w:pPr>
        <w:ind w:left="2312" w:hanging="360"/>
        <w:jc w:val="left"/>
      </w:pPr>
      <w:rPr>
        <w:rFonts w:ascii="Times New Roman" w:eastAsia="Times New Roman" w:hAnsi="Times New Roman" w:cs="Times New Roman" w:hint="default"/>
        <w:b/>
        <w:bCs/>
        <w:spacing w:val="-28"/>
        <w:w w:val="99"/>
        <w:sz w:val="24"/>
        <w:szCs w:val="24"/>
        <w:lang w:val="en-US" w:eastAsia="en-US" w:bidi="en-US"/>
      </w:rPr>
    </w:lvl>
    <w:lvl w:ilvl="5">
      <w:numFmt w:val="bullet"/>
      <w:lvlText w:val="•"/>
      <w:lvlJc w:val="left"/>
      <w:pPr>
        <w:ind w:left="6313" w:hanging="360"/>
      </w:pPr>
      <w:rPr>
        <w:rFonts w:hint="default"/>
        <w:lang w:val="en-US" w:eastAsia="en-US" w:bidi="en-US"/>
      </w:rPr>
    </w:lvl>
    <w:lvl w:ilvl="6">
      <w:numFmt w:val="bullet"/>
      <w:lvlText w:val="•"/>
      <w:lvlJc w:val="left"/>
      <w:pPr>
        <w:ind w:left="7312" w:hanging="360"/>
      </w:pPr>
      <w:rPr>
        <w:rFonts w:hint="default"/>
        <w:lang w:val="en-US" w:eastAsia="en-US" w:bidi="en-US"/>
      </w:rPr>
    </w:lvl>
    <w:lvl w:ilvl="7">
      <w:numFmt w:val="bullet"/>
      <w:lvlText w:val="•"/>
      <w:lvlJc w:val="left"/>
      <w:pPr>
        <w:ind w:left="8310" w:hanging="360"/>
      </w:pPr>
      <w:rPr>
        <w:rFonts w:hint="default"/>
        <w:lang w:val="en-US" w:eastAsia="en-US" w:bidi="en-US"/>
      </w:rPr>
    </w:lvl>
    <w:lvl w:ilvl="8">
      <w:numFmt w:val="bullet"/>
      <w:lvlText w:val="•"/>
      <w:lvlJc w:val="left"/>
      <w:pPr>
        <w:ind w:left="9309" w:hanging="360"/>
      </w:pPr>
      <w:rPr>
        <w:rFonts w:hint="default"/>
        <w:lang w:val="en-US" w:eastAsia="en-US" w:bidi="en-US"/>
      </w:rPr>
    </w:lvl>
  </w:abstractNum>
  <w:abstractNum w:abstractNumId="96" w15:restartNumberingAfterBreak="0">
    <w:nsid w:val="69D26041"/>
    <w:multiLevelType w:val="hybridMultilevel"/>
    <w:tmpl w:val="AF2CC116"/>
    <w:lvl w:ilvl="0" w:tplc="069CD83C">
      <w:start w:val="1"/>
      <w:numFmt w:val="decimal"/>
      <w:lvlText w:val="%1)"/>
      <w:lvlJc w:val="left"/>
      <w:pPr>
        <w:ind w:left="1660" w:hanging="284"/>
        <w:jc w:val="left"/>
      </w:pPr>
      <w:rPr>
        <w:rFonts w:ascii="Times New Roman" w:eastAsia="Times New Roman" w:hAnsi="Times New Roman" w:cs="Times New Roman" w:hint="default"/>
        <w:i/>
        <w:w w:val="99"/>
        <w:sz w:val="24"/>
        <w:szCs w:val="24"/>
        <w:lang w:val="en-US" w:eastAsia="en-US" w:bidi="en-US"/>
      </w:rPr>
    </w:lvl>
    <w:lvl w:ilvl="1" w:tplc="1464A13A">
      <w:start w:val="1"/>
      <w:numFmt w:val="lowerLetter"/>
      <w:lvlText w:val="(%2)"/>
      <w:lvlJc w:val="left"/>
      <w:pPr>
        <w:ind w:left="2380" w:hanging="317"/>
        <w:jc w:val="left"/>
      </w:pPr>
      <w:rPr>
        <w:rFonts w:ascii="Times New Roman" w:eastAsia="Times New Roman" w:hAnsi="Times New Roman" w:cs="Times New Roman" w:hint="default"/>
        <w:i/>
        <w:spacing w:val="-4"/>
        <w:w w:val="99"/>
        <w:sz w:val="24"/>
        <w:szCs w:val="24"/>
        <w:lang w:val="en-US" w:eastAsia="en-US" w:bidi="en-US"/>
      </w:rPr>
    </w:lvl>
    <w:lvl w:ilvl="2" w:tplc="AB5A1F38">
      <w:numFmt w:val="bullet"/>
      <w:lvlText w:val="•"/>
      <w:lvlJc w:val="left"/>
      <w:pPr>
        <w:ind w:left="3202" w:hanging="317"/>
      </w:pPr>
      <w:rPr>
        <w:rFonts w:hint="default"/>
        <w:lang w:val="en-US" w:eastAsia="en-US" w:bidi="en-US"/>
      </w:rPr>
    </w:lvl>
    <w:lvl w:ilvl="3" w:tplc="268A0700">
      <w:numFmt w:val="bullet"/>
      <w:lvlText w:val="•"/>
      <w:lvlJc w:val="left"/>
      <w:pPr>
        <w:ind w:left="4025" w:hanging="317"/>
      </w:pPr>
      <w:rPr>
        <w:rFonts w:hint="default"/>
        <w:lang w:val="en-US" w:eastAsia="en-US" w:bidi="en-US"/>
      </w:rPr>
    </w:lvl>
    <w:lvl w:ilvl="4" w:tplc="F466B5A6">
      <w:numFmt w:val="bullet"/>
      <w:lvlText w:val="•"/>
      <w:lvlJc w:val="left"/>
      <w:pPr>
        <w:ind w:left="4848" w:hanging="317"/>
      </w:pPr>
      <w:rPr>
        <w:rFonts w:hint="default"/>
        <w:lang w:val="en-US" w:eastAsia="en-US" w:bidi="en-US"/>
      </w:rPr>
    </w:lvl>
    <w:lvl w:ilvl="5" w:tplc="4EDCD3A2">
      <w:numFmt w:val="bullet"/>
      <w:lvlText w:val="•"/>
      <w:lvlJc w:val="left"/>
      <w:pPr>
        <w:ind w:left="5671" w:hanging="317"/>
      </w:pPr>
      <w:rPr>
        <w:rFonts w:hint="default"/>
        <w:lang w:val="en-US" w:eastAsia="en-US" w:bidi="en-US"/>
      </w:rPr>
    </w:lvl>
    <w:lvl w:ilvl="6" w:tplc="789C8A26">
      <w:numFmt w:val="bullet"/>
      <w:lvlText w:val="•"/>
      <w:lvlJc w:val="left"/>
      <w:pPr>
        <w:ind w:left="6494" w:hanging="317"/>
      </w:pPr>
      <w:rPr>
        <w:rFonts w:hint="default"/>
        <w:lang w:val="en-US" w:eastAsia="en-US" w:bidi="en-US"/>
      </w:rPr>
    </w:lvl>
    <w:lvl w:ilvl="7" w:tplc="63D2C9BE">
      <w:numFmt w:val="bullet"/>
      <w:lvlText w:val="•"/>
      <w:lvlJc w:val="left"/>
      <w:pPr>
        <w:ind w:left="7317" w:hanging="317"/>
      </w:pPr>
      <w:rPr>
        <w:rFonts w:hint="default"/>
        <w:lang w:val="en-US" w:eastAsia="en-US" w:bidi="en-US"/>
      </w:rPr>
    </w:lvl>
    <w:lvl w:ilvl="8" w:tplc="2C2E4EE2">
      <w:numFmt w:val="bullet"/>
      <w:lvlText w:val="•"/>
      <w:lvlJc w:val="left"/>
      <w:pPr>
        <w:ind w:left="8140" w:hanging="317"/>
      </w:pPr>
      <w:rPr>
        <w:rFonts w:hint="default"/>
        <w:lang w:val="en-US" w:eastAsia="en-US" w:bidi="en-US"/>
      </w:rPr>
    </w:lvl>
  </w:abstractNum>
  <w:abstractNum w:abstractNumId="97" w15:restartNumberingAfterBreak="0">
    <w:nsid w:val="69F05DF4"/>
    <w:multiLevelType w:val="hybridMultilevel"/>
    <w:tmpl w:val="6B368AE6"/>
    <w:lvl w:ilvl="0" w:tplc="15026184">
      <w:start w:val="1"/>
      <w:numFmt w:val="decimal"/>
      <w:lvlText w:val="%1."/>
      <w:lvlJc w:val="left"/>
      <w:pPr>
        <w:ind w:left="1560" w:hanging="272"/>
        <w:jc w:val="left"/>
      </w:pPr>
      <w:rPr>
        <w:rFonts w:ascii="Times New Roman" w:eastAsia="Times New Roman" w:hAnsi="Times New Roman" w:cs="Times New Roman" w:hint="default"/>
        <w:i/>
        <w:spacing w:val="-30"/>
        <w:w w:val="99"/>
        <w:sz w:val="24"/>
        <w:szCs w:val="24"/>
        <w:lang w:val="en-US" w:eastAsia="en-US" w:bidi="en-US"/>
      </w:rPr>
    </w:lvl>
    <w:lvl w:ilvl="1" w:tplc="9FE81E0C">
      <w:numFmt w:val="bullet"/>
      <w:lvlText w:val="•"/>
      <w:lvlJc w:val="left"/>
      <w:pPr>
        <w:ind w:left="2340" w:hanging="272"/>
      </w:pPr>
      <w:rPr>
        <w:rFonts w:hint="default"/>
        <w:lang w:val="en-US" w:eastAsia="en-US" w:bidi="en-US"/>
      </w:rPr>
    </w:lvl>
    <w:lvl w:ilvl="2" w:tplc="3A240632">
      <w:numFmt w:val="bullet"/>
      <w:lvlText w:val="•"/>
      <w:lvlJc w:val="left"/>
      <w:pPr>
        <w:ind w:left="3142" w:hanging="272"/>
      </w:pPr>
      <w:rPr>
        <w:rFonts w:hint="default"/>
        <w:lang w:val="en-US" w:eastAsia="en-US" w:bidi="en-US"/>
      </w:rPr>
    </w:lvl>
    <w:lvl w:ilvl="3" w:tplc="0EB6B85E">
      <w:numFmt w:val="bullet"/>
      <w:lvlText w:val="•"/>
      <w:lvlJc w:val="left"/>
      <w:pPr>
        <w:ind w:left="3945" w:hanging="272"/>
      </w:pPr>
      <w:rPr>
        <w:rFonts w:hint="default"/>
        <w:lang w:val="en-US" w:eastAsia="en-US" w:bidi="en-US"/>
      </w:rPr>
    </w:lvl>
    <w:lvl w:ilvl="4" w:tplc="9C7AA43C">
      <w:numFmt w:val="bullet"/>
      <w:lvlText w:val="•"/>
      <w:lvlJc w:val="left"/>
      <w:pPr>
        <w:ind w:left="4748" w:hanging="272"/>
      </w:pPr>
      <w:rPr>
        <w:rFonts w:hint="default"/>
        <w:lang w:val="en-US" w:eastAsia="en-US" w:bidi="en-US"/>
      </w:rPr>
    </w:lvl>
    <w:lvl w:ilvl="5" w:tplc="3E82955A">
      <w:numFmt w:val="bullet"/>
      <w:lvlText w:val="•"/>
      <w:lvlJc w:val="left"/>
      <w:pPr>
        <w:ind w:left="5551" w:hanging="272"/>
      </w:pPr>
      <w:rPr>
        <w:rFonts w:hint="default"/>
        <w:lang w:val="en-US" w:eastAsia="en-US" w:bidi="en-US"/>
      </w:rPr>
    </w:lvl>
    <w:lvl w:ilvl="6" w:tplc="254298A2">
      <w:numFmt w:val="bullet"/>
      <w:lvlText w:val="•"/>
      <w:lvlJc w:val="left"/>
      <w:pPr>
        <w:ind w:left="6354" w:hanging="272"/>
      </w:pPr>
      <w:rPr>
        <w:rFonts w:hint="default"/>
        <w:lang w:val="en-US" w:eastAsia="en-US" w:bidi="en-US"/>
      </w:rPr>
    </w:lvl>
    <w:lvl w:ilvl="7" w:tplc="ECEEFC94">
      <w:numFmt w:val="bullet"/>
      <w:lvlText w:val="•"/>
      <w:lvlJc w:val="left"/>
      <w:pPr>
        <w:ind w:left="7157" w:hanging="272"/>
      </w:pPr>
      <w:rPr>
        <w:rFonts w:hint="default"/>
        <w:lang w:val="en-US" w:eastAsia="en-US" w:bidi="en-US"/>
      </w:rPr>
    </w:lvl>
    <w:lvl w:ilvl="8" w:tplc="7B980B40">
      <w:numFmt w:val="bullet"/>
      <w:lvlText w:val="•"/>
      <w:lvlJc w:val="left"/>
      <w:pPr>
        <w:ind w:left="7960" w:hanging="272"/>
      </w:pPr>
      <w:rPr>
        <w:rFonts w:hint="default"/>
        <w:lang w:val="en-US" w:eastAsia="en-US" w:bidi="en-US"/>
      </w:rPr>
    </w:lvl>
  </w:abstractNum>
  <w:abstractNum w:abstractNumId="98" w15:restartNumberingAfterBreak="0">
    <w:nsid w:val="6A161B72"/>
    <w:multiLevelType w:val="hybridMultilevel"/>
    <w:tmpl w:val="48240BEE"/>
    <w:lvl w:ilvl="0" w:tplc="1CDEF4A2">
      <w:start w:val="1"/>
      <w:numFmt w:val="lowerLetter"/>
      <w:lvlText w:val="%1)"/>
      <w:lvlJc w:val="left"/>
      <w:pPr>
        <w:ind w:left="2518" w:hanging="425"/>
        <w:jc w:val="left"/>
      </w:pPr>
      <w:rPr>
        <w:rFonts w:ascii="Times New Roman" w:eastAsia="Times New Roman" w:hAnsi="Times New Roman" w:cs="Times New Roman" w:hint="default"/>
        <w:spacing w:val="-30"/>
        <w:w w:val="99"/>
        <w:sz w:val="24"/>
        <w:szCs w:val="24"/>
        <w:lang w:val="en-US" w:eastAsia="en-US" w:bidi="en-US"/>
      </w:rPr>
    </w:lvl>
    <w:lvl w:ilvl="1" w:tplc="AEEAC7AC">
      <w:numFmt w:val="bullet"/>
      <w:lvlText w:val="•"/>
      <w:lvlJc w:val="left"/>
      <w:pPr>
        <w:ind w:left="3398" w:hanging="425"/>
      </w:pPr>
      <w:rPr>
        <w:rFonts w:hint="default"/>
        <w:lang w:val="en-US" w:eastAsia="en-US" w:bidi="en-US"/>
      </w:rPr>
    </w:lvl>
    <w:lvl w:ilvl="2" w:tplc="BAAABE80">
      <w:numFmt w:val="bullet"/>
      <w:lvlText w:val="•"/>
      <w:lvlJc w:val="left"/>
      <w:pPr>
        <w:ind w:left="4277" w:hanging="425"/>
      </w:pPr>
      <w:rPr>
        <w:rFonts w:hint="default"/>
        <w:lang w:val="en-US" w:eastAsia="en-US" w:bidi="en-US"/>
      </w:rPr>
    </w:lvl>
    <w:lvl w:ilvl="3" w:tplc="B91295F4">
      <w:numFmt w:val="bullet"/>
      <w:lvlText w:val="•"/>
      <w:lvlJc w:val="left"/>
      <w:pPr>
        <w:ind w:left="5155" w:hanging="425"/>
      </w:pPr>
      <w:rPr>
        <w:rFonts w:hint="default"/>
        <w:lang w:val="en-US" w:eastAsia="en-US" w:bidi="en-US"/>
      </w:rPr>
    </w:lvl>
    <w:lvl w:ilvl="4" w:tplc="2B9689CC">
      <w:numFmt w:val="bullet"/>
      <w:lvlText w:val="•"/>
      <w:lvlJc w:val="left"/>
      <w:pPr>
        <w:ind w:left="6034" w:hanging="425"/>
      </w:pPr>
      <w:rPr>
        <w:rFonts w:hint="default"/>
        <w:lang w:val="en-US" w:eastAsia="en-US" w:bidi="en-US"/>
      </w:rPr>
    </w:lvl>
    <w:lvl w:ilvl="5" w:tplc="F77850FE">
      <w:numFmt w:val="bullet"/>
      <w:lvlText w:val="•"/>
      <w:lvlJc w:val="left"/>
      <w:pPr>
        <w:ind w:left="6913" w:hanging="425"/>
      </w:pPr>
      <w:rPr>
        <w:rFonts w:hint="default"/>
        <w:lang w:val="en-US" w:eastAsia="en-US" w:bidi="en-US"/>
      </w:rPr>
    </w:lvl>
    <w:lvl w:ilvl="6" w:tplc="7A6035CE">
      <w:numFmt w:val="bullet"/>
      <w:lvlText w:val="•"/>
      <w:lvlJc w:val="left"/>
      <w:pPr>
        <w:ind w:left="7791" w:hanging="425"/>
      </w:pPr>
      <w:rPr>
        <w:rFonts w:hint="default"/>
        <w:lang w:val="en-US" w:eastAsia="en-US" w:bidi="en-US"/>
      </w:rPr>
    </w:lvl>
    <w:lvl w:ilvl="7" w:tplc="7F9AA414">
      <w:numFmt w:val="bullet"/>
      <w:lvlText w:val="•"/>
      <w:lvlJc w:val="left"/>
      <w:pPr>
        <w:ind w:left="8670" w:hanging="425"/>
      </w:pPr>
      <w:rPr>
        <w:rFonts w:hint="default"/>
        <w:lang w:val="en-US" w:eastAsia="en-US" w:bidi="en-US"/>
      </w:rPr>
    </w:lvl>
    <w:lvl w:ilvl="8" w:tplc="3424B2F4">
      <w:numFmt w:val="bullet"/>
      <w:lvlText w:val="•"/>
      <w:lvlJc w:val="left"/>
      <w:pPr>
        <w:ind w:left="9549" w:hanging="425"/>
      </w:pPr>
      <w:rPr>
        <w:rFonts w:hint="default"/>
        <w:lang w:val="en-US" w:eastAsia="en-US" w:bidi="en-US"/>
      </w:rPr>
    </w:lvl>
  </w:abstractNum>
  <w:abstractNum w:abstractNumId="99" w15:restartNumberingAfterBreak="0">
    <w:nsid w:val="6BB121F6"/>
    <w:multiLevelType w:val="hybridMultilevel"/>
    <w:tmpl w:val="1E4468F8"/>
    <w:lvl w:ilvl="0" w:tplc="883E5144">
      <w:start w:val="9"/>
      <w:numFmt w:val="lowerLetter"/>
      <w:lvlText w:val="%1)"/>
      <w:lvlJc w:val="left"/>
      <w:pPr>
        <w:ind w:left="2312" w:hanging="360"/>
        <w:jc w:val="left"/>
      </w:pPr>
      <w:rPr>
        <w:rFonts w:ascii="Times New Roman" w:eastAsia="Times New Roman" w:hAnsi="Times New Roman" w:cs="Times New Roman" w:hint="default"/>
        <w:b/>
        <w:bCs/>
        <w:spacing w:val="-4"/>
        <w:w w:val="99"/>
        <w:sz w:val="24"/>
        <w:szCs w:val="24"/>
        <w:lang w:val="en-US" w:eastAsia="en-US" w:bidi="en-US"/>
      </w:rPr>
    </w:lvl>
    <w:lvl w:ilvl="1" w:tplc="29EA57CC">
      <w:numFmt w:val="bullet"/>
      <w:lvlText w:val="•"/>
      <w:lvlJc w:val="left"/>
      <w:pPr>
        <w:ind w:left="3218" w:hanging="360"/>
      </w:pPr>
      <w:rPr>
        <w:rFonts w:hint="default"/>
        <w:lang w:val="en-US" w:eastAsia="en-US" w:bidi="en-US"/>
      </w:rPr>
    </w:lvl>
    <w:lvl w:ilvl="2" w:tplc="99A60B1A">
      <w:numFmt w:val="bullet"/>
      <w:lvlText w:val="•"/>
      <w:lvlJc w:val="left"/>
      <w:pPr>
        <w:ind w:left="4117" w:hanging="360"/>
      </w:pPr>
      <w:rPr>
        <w:rFonts w:hint="default"/>
        <w:lang w:val="en-US" w:eastAsia="en-US" w:bidi="en-US"/>
      </w:rPr>
    </w:lvl>
    <w:lvl w:ilvl="3" w:tplc="3EF808DC">
      <w:numFmt w:val="bullet"/>
      <w:lvlText w:val="•"/>
      <w:lvlJc w:val="left"/>
      <w:pPr>
        <w:ind w:left="5015" w:hanging="360"/>
      </w:pPr>
      <w:rPr>
        <w:rFonts w:hint="default"/>
        <w:lang w:val="en-US" w:eastAsia="en-US" w:bidi="en-US"/>
      </w:rPr>
    </w:lvl>
    <w:lvl w:ilvl="4" w:tplc="4F029302">
      <w:numFmt w:val="bullet"/>
      <w:lvlText w:val="•"/>
      <w:lvlJc w:val="left"/>
      <w:pPr>
        <w:ind w:left="5914" w:hanging="360"/>
      </w:pPr>
      <w:rPr>
        <w:rFonts w:hint="default"/>
        <w:lang w:val="en-US" w:eastAsia="en-US" w:bidi="en-US"/>
      </w:rPr>
    </w:lvl>
    <w:lvl w:ilvl="5" w:tplc="51EA1030">
      <w:numFmt w:val="bullet"/>
      <w:lvlText w:val="•"/>
      <w:lvlJc w:val="left"/>
      <w:pPr>
        <w:ind w:left="6813" w:hanging="360"/>
      </w:pPr>
      <w:rPr>
        <w:rFonts w:hint="default"/>
        <w:lang w:val="en-US" w:eastAsia="en-US" w:bidi="en-US"/>
      </w:rPr>
    </w:lvl>
    <w:lvl w:ilvl="6" w:tplc="3FAAB73C">
      <w:numFmt w:val="bullet"/>
      <w:lvlText w:val="•"/>
      <w:lvlJc w:val="left"/>
      <w:pPr>
        <w:ind w:left="7711" w:hanging="360"/>
      </w:pPr>
      <w:rPr>
        <w:rFonts w:hint="default"/>
        <w:lang w:val="en-US" w:eastAsia="en-US" w:bidi="en-US"/>
      </w:rPr>
    </w:lvl>
    <w:lvl w:ilvl="7" w:tplc="22B2482C">
      <w:numFmt w:val="bullet"/>
      <w:lvlText w:val="•"/>
      <w:lvlJc w:val="left"/>
      <w:pPr>
        <w:ind w:left="8610" w:hanging="360"/>
      </w:pPr>
      <w:rPr>
        <w:rFonts w:hint="default"/>
        <w:lang w:val="en-US" w:eastAsia="en-US" w:bidi="en-US"/>
      </w:rPr>
    </w:lvl>
    <w:lvl w:ilvl="8" w:tplc="4E96437E">
      <w:numFmt w:val="bullet"/>
      <w:lvlText w:val="•"/>
      <w:lvlJc w:val="left"/>
      <w:pPr>
        <w:ind w:left="9509" w:hanging="360"/>
      </w:pPr>
      <w:rPr>
        <w:rFonts w:hint="default"/>
        <w:lang w:val="en-US" w:eastAsia="en-US" w:bidi="en-US"/>
      </w:rPr>
    </w:lvl>
  </w:abstractNum>
  <w:abstractNum w:abstractNumId="100" w15:restartNumberingAfterBreak="0">
    <w:nsid w:val="6DD732AB"/>
    <w:multiLevelType w:val="multilevel"/>
    <w:tmpl w:val="8F262F5A"/>
    <w:lvl w:ilvl="0">
      <w:start w:val="3"/>
      <w:numFmt w:val="decimal"/>
      <w:lvlText w:val="%1"/>
      <w:lvlJc w:val="left"/>
      <w:pPr>
        <w:ind w:left="1645" w:hanging="965"/>
        <w:jc w:val="left"/>
      </w:pPr>
      <w:rPr>
        <w:rFonts w:hint="default"/>
        <w:lang w:val="en-US" w:eastAsia="en-US" w:bidi="en-US"/>
      </w:rPr>
    </w:lvl>
    <w:lvl w:ilvl="1">
      <w:start w:val="3"/>
      <w:numFmt w:val="decimal"/>
      <w:lvlText w:val="%1.%2"/>
      <w:lvlJc w:val="left"/>
      <w:pPr>
        <w:ind w:left="1645" w:hanging="965"/>
        <w:jc w:val="left"/>
      </w:pPr>
      <w:rPr>
        <w:rFonts w:hint="default"/>
        <w:lang w:val="en-US" w:eastAsia="en-US" w:bidi="en-US"/>
      </w:rPr>
    </w:lvl>
    <w:lvl w:ilvl="2">
      <w:start w:val="5"/>
      <w:numFmt w:val="decimal"/>
      <w:lvlText w:val="%1.%2.%3"/>
      <w:lvlJc w:val="left"/>
      <w:pPr>
        <w:ind w:left="1645" w:hanging="965"/>
        <w:jc w:val="left"/>
      </w:pPr>
      <w:rPr>
        <w:rFonts w:hint="default"/>
        <w:lang w:val="en-US" w:eastAsia="en-US" w:bidi="en-US"/>
      </w:rPr>
    </w:lvl>
    <w:lvl w:ilvl="3">
      <w:start w:val="1"/>
      <w:numFmt w:val="decimal"/>
      <w:lvlText w:val="%1.%2.%3.%4"/>
      <w:lvlJc w:val="left"/>
      <w:pPr>
        <w:ind w:left="1645" w:hanging="965"/>
        <w:jc w:val="left"/>
      </w:pPr>
      <w:rPr>
        <w:rFonts w:ascii="Times New Roman" w:eastAsia="Times New Roman" w:hAnsi="Times New Roman" w:cs="Times New Roman" w:hint="default"/>
        <w:spacing w:val="-7"/>
        <w:w w:val="99"/>
        <w:sz w:val="24"/>
        <w:szCs w:val="24"/>
        <w:lang w:val="en-US" w:eastAsia="en-US" w:bidi="en-US"/>
      </w:rPr>
    </w:lvl>
    <w:lvl w:ilvl="4">
      <w:numFmt w:val="bullet"/>
      <w:lvlText w:val="•"/>
      <w:lvlJc w:val="left"/>
      <w:pPr>
        <w:ind w:left="5218" w:hanging="965"/>
      </w:pPr>
      <w:rPr>
        <w:rFonts w:hint="default"/>
        <w:lang w:val="en-US" w:eastAsia="en-US" w:bidi="en-US"/>
      </w:rPr>
    </w:lvl>
    <w:lvl w:ilvl="5">
      <w:numFmt w:val="bullet"/>
      <w:lvlText w:val="•"/>
      <w:lvlJc w:val="left"/>
      <w:pPr>
        <w:ind w:left="6113" w:hanging="965"/>
      </w:pPr>
      <w:rPr>
        <w:rFonts w:hint="default"/>
        <w:lang w:val="en-US" w:eastAsia="en-US" w:bidi="en-US"/>
      </w:rPr>
    </w:lvl>
    <w:lvl w:ilvl="6">
      <w:numFmt w:val="bullet"/>
      <w:lvlText w:val="•"/>
      <w:lvlJc w:val="left"/>
      <w:pPr>
        <w:ind w:left="7007" w:hanging="965"/>
      </w:pPr>
      <w:rPr>
        <w:rFonts w:hint="default"/>
        <w:lang w:val="en-US" w:eastAsia="en-US" w:bidi="en-US"/>
      </w:rPr>
    </w:lvl>
    <w:lvl w:ilvl="7">
      <w:numFmt w:val="bullet"/>
      <w:lvlText w:val="•"/>
      <w:lvlJc w:val="left"/>
      <w:pPr>
        <w:ind w:left="7902" w:hanging="965"/>
      </w:pPr>
      <w:rPr>
        <w:rFonts w:hint="default"/>
        <w:lang w:val="en-US" w:eastAsia="en-US" w:bidi="en-US"/>
      </w:rPr>
    </w:lvl>
    <w:lvl w:ilvl="8">
      <w:numFmt w:val="bullet"/>
      <w:lvlText w:val="•"/>
      <w:lvlJc w:val="left"/>
      <w:pPr>
        <w:ind w:left="8797" w:hanging="965"/>
      </w:pPr>
      <w:rPr>
        <w:rFonts w:hint="default"/>
        <w:lang w:val="en-US" w:eastAsia="en-US" w:bidi="en-US"/>
      </w:rPr>
    </w:lvl>
  </w:abstractNum>
  <w:abstractNum w:abstractNumId="101" w15:restartNumberingAfterBreak="0">
    <w:nsid w:val="70A66DA9"/>
    <w:multiLevelType w:val="hybridMultilevel"/>
    <w:tmpl w:val="5E5EB7C0"/>
    <w:lvl w:ilvl="0" w:tplc="E9DE71EC">
      <w:start w:val="1"/>
      <w:numFmt w:val="lowerLetter"/>
      <w:lvlText w:val="(%1)"/>
      <w:lvlJc w:val="left"/>
      <w:pPr>
        <w:ind w:left="1678" w:hanging="425"/>
        <w:jc w:val="left"/>
      </w:pPr>
      <w:rPr>
        <w:rFonts w:hint="default"/>
        <w:spacing w:val="-20"/>
        <w:w w:val="99"/>
        <w:lang w:val="en-US" w:eastAsia="en-US" w:bidi="en-US"/>
      </w:rPr>
    </w:lvl>
    <w:lvl w:ilvl="1" w:tplc="DD26A306">
      <w:start w:val="1"/>
      <w:numFmt w:val="lowerRoman"/>
      <w:lvlText w:val="%2."/>
      <w:lvlJc w:val="left"/>
      <w:pPr>
        <w:ind w:left="2420" w:hanging="308"/>
        <w:jc w:val="right"/>
      </w:pPr>
      <w:rPr>
        <w:rFonts w:ascii="Times New Roman" w:eastAsia="Times New Roman" w:hAnsi="Times New Roman" w:cs="Times New Roman" w:hint="default"/>
        <w:spacing w:val="-3"/>
        <w:w w:val="99"/>
        <w:sz w:val="24"/>
        <w:szCs w:val="24"/>
        <w:lang w:val="en-US" w:eastAsia="en-US" w:bidi="en-US"/>
      </w:rPr>
    </w:lvl>
    <w:lvl w:ilvl="2" w:tplc="A8928ECE">
      <w:numFmt w:val="bullet"/>
      <w:lvlText w:val="•"/>
      <w:lvlJc w:val="left"/>
      <w:pPr>
        <w:ind w:left="3280" w:hanging="308"/>
      </w:pPr>
      <w:rPr>
        <w:rFonts w:hint="default"/>
        <w:lang w:val="en-US" w:eastAsia="en-US" w:bidi="en-US"/>
      </w:rPr>
    </w:lvl>
    <w:lvl w:ilvl="3" w:tplc="F0BE5376">
      <w:numFmt w:val="bullet"/>
      <w:lvlText w:val="•"/>
      <w:lvlJc w:val="left"/>
      <w:pPr>
        <w:ind w:left="4141" w:hanging="308"/>
      </w:pPr>
      <w:rPr>
        <w:rFonts w:hint="default"/>
        <w:lang w:val="en-US" w:eastAsia="en-US" w:bidi="en-US"/>
      </w:rPr>
    </w:lvl>
    <w:lvl w:ilvl="4" w:tplc="309C494E">
      <w:numFmt w:val="bullet"/>
      <w:lvlText w:val="•"/>
      <w:lvlJc w:val="left"/>
      <w:pPr>
        <w:ind w:left="5002" w:hanging="308"/>
      </w:pPr>
      <w:rPr>
        <w:rFonts w:hint="default"/>
        <w:lang w:val="en-US" w:eastAsia="en-US" w:bidi="en-US"/>
      </w:rPr>
    </w:lvl>
    <w:lvl w:ilvl="5" w:tplc="C7582B5E">
      <w:numFmt w:val="bullet"/>
      <w:lvlText w:val="•"/>
      <w:lvlJc w:val="left"/>
      <w:pPr>
        <w:ind w:left="5862" w:hanging="308"/>
      </w:pPr>
      <w:rPr>
        <w:rFonts w:hint="default"/>
        <w:lang w:val="en-US" w:eastAsia="en-US" w:bidi="en-US"/>
      </w:rPr>
    </w:lvl>
    <w:lvl w:ilvl="6" w:tplc="382E9B34">
      <w:numFmt w:val="bullet"/>
      <w:lvlText w:val="•"/>
      <w:lvlJc w:val="left"/>
      <w:pPr>
        <w:ind w:left="6723" w:hanging="308"/>
      </w:pPr>
      <w:rPr>
        <w:rFonts w:hint="default"/>
        <w:lang w:val="en-US" w:eastAsia="en-US" w:bidi="en-US"/>
      </w:rPr>
    </w:lvl>
    <w:lvl w:ilvl="7" w:tplc="B5E47276">
      <w:numFmt w:val="bullet"/>
      <w:lvlText w:val="•"/>
      <w:lvlJc w:val="left"/>
      <w:pPr>
        <w:ind w:left="7584" w:hanging="308"/>
      </w:pPr>
      <w:rPr>
        <w:rFonts w:hint="default"/>
        <w:lang w:val="en-US" w:eastAsia="en-US" w:bidi="en-US"/>
      </w:rPr>
    </w:lvl>
    <w:lvl w:ilvl="8" w:tplc="9392E860">
      <w:numFmt w:val="bullet"/>
      <w:lvlText w:val="•"/>
      <w:lvlJc w:val="left"/>
      <w:pPr>
        <w:ind w:left="8444" w:hanging="308"/>
      </w:pPr>
      <w:rPr>
        <w:rFonts w:hint="default"/>
        <w:lang w:val="en-US" w:eastAsia="en-US" w:bidi="en-US"/>
      </w:rPr>
    </w:lvl>
  </w:abstractNum>
  <w:abstractNum w:abstractNumId="102" w15:restartNumberingAfterBreak="0">
    <w:nsid w:val="718A792C"/>
    <w:multiLevelType w:val="hybridMultilevel"/>
    <w:tmpl w:val="E07201D8"/>
    <w:lvl w:ilvl="0" w:tplc="06E01310">
      <w:start w:val="10"/>
      <w:numFmt w:val="lowerLetter"/>
      <w:lvlText w:val="%1)"/>
      <w:lvlJc w:val="left"/>
      <w:pPr>
        <w:ind w:left="2312" w:hanging="360"/>
        <w:jc w:val="left"/>
      </w:pPr>
      <w:rPr>
        <w:rFonts w:ascii="Times New Roman" w:eastAsia="Times New Roman" w:hAnsi="Times New Roman" w:cs="Times New Roman" w:hint="default"/>
        <w:b/>
        <w:bCs/>
        <w:spacing w:val="-5"/>
        <w:w w:val="99"/>
        <w:sz w:val="24"/>
        <w:szCs w:val="24"/>
        <w:lang w:val="en-US" w:eastAsia="en-US" w:bidi="en-US"/>
      </w:rPr>
    </w:lvl>
    <w:lvl w:ilvl="1" w:tplc="8F0ADBCC">
      <w:start w:val="2"/>
      <w:numFmt w:val="lowerLetter"/>
      <w:lvlText w:val="%2)"/>
      <w:lvlJc w:val="left"/>
      <w:pPr>
        <w:ind w:left="2540" w:hanging="447"/>
        <w:jc w:val="left"/>
      </w:pPr>
      <w:rPr>
        <w:rFonts w:ascii="Times New Roman" w:eastAsia="Times New Roman" w:hAnsi="Times New Roman" w:cs="Times New Roman" w:hint="default"/>
        <w:b/>
        <w:bCs/>
        <w:w w:val="99"/>
        <w:sz w:val="24"/>
        <w:szCs w:val="24"/>
        <w:lang w:val="en-US" w:eastAsia="en-US" w:bidi="en-US"/>
      </w:rPr>
    </w:lvl>
    <w:lvl w:ilvl="2" w:tplc="D21E7D7E">
      <w:numFmt w:val="bullet"/>
      <w:lvlText w:val="•"/>
      <w:lvlJc w:val="left"/>
      <w:pPr>
        <w:ind w:left="3514" w:hanging="447"/>
      </w:pPr>
      <w:rPr>
        <w:rFonts w:hint="default"/>
        <w:lang w:val="en-US" w:eastAsia="en-US" w:bidi="en-US"/>
      </w:rPr>
    </w:lvl>
    <w:lvl w:ilvl="3" w:tplc="D03C492E">
      <w:numFmt w:val="bullet"/>
      <w:lvlText w:val="•"/>
      <w:lvlJc w:val="left"/>
      <w:pPr>
        <w:ind w:left="4488" w:hanging="447"/>
      </w:pPr>
      <w:rPr>
        <w:rFonts w:hint="default"/>
        <w:lang w:val="en-US" w:eastAsia="en-US" w:bidi="en-US"/>
      </w:rPr>
    </w:lvl>
    <w:lvl w:ilvl="4" w:tplc="F2985BF6">
      <w:numFmt w:val="bullet"/>
      <w:lvlText w:val="•"/>
      <w:lvlJc w:val="left"/>
      <w:pPr>
        <w:ind w:left="5462" w:hanging="447"/>
      </w:pPr>
      <w:rPr>
        <w:rFonts w:hint="default"/>
        <w:lang w:val="en-US" w:eastAsia="en-US" w:bidi="en-US"/>
      </w:rPr>
    </w:lvl>
    <w:lvl w:ilvl="5" w:tplc="7FDE094E">
      <w:numFmt w:val="bullet"/>
      <w:lvlText w:val="•"/>
      <w:lvlJc w:val="left"/>
      <w:pPr>
        <w:ind w:left="6436" w:hanging="447"/>
      </w:pPr>
      <w:rPr>
        <w:rFonts w:hint="default"/>
        <w:lang w:val="en-US" w:eastAsia="en-US" w:bidi="en-US"/>
      </w:rPr>
    </w:lvl>
    <w:lvl w:ilvl="6" w:tplc="4B9AE7EA">
      <w:numFmt w:val="bullet"/>
      <w:lvlText w:val="•"/>
      <w:lvlJc w:val="left"/>
      <w:pPr>
        <w:ind w:left="7410" w:hanging="447"/>
      </w:pPr>
      <w:rPr>
        <w:rFonts w:hint="default"/>
        <w:lang w:val="en-US" w:eastAsia="en-US" w:bidi="en-US"/>
      </w:rPr>
    </w:lvl>
    <w:lvl w:ilvl="7" w:tplc="BCA6DDEC">
      <w:numFmt w:val="bullet"/>
      <w:lvlText w:val="•"/>
      <w:lvlJc w:val="left"/>
      <w:pPr>
        <w:ind w:left="8384" w:hanging="447"/>
      </w:pPr>
      <w:rPr>
        <w:rFonts w:hint="default"/>
        <w:lang w:val="en-US" w:eastAsia="en-US" w:bidi="en-US"/>
      </w:rPr>
    </w:lvl>
    <w:lvl w:ilvl="8" w:tplc="63D2F908">
      <w:numFmt w:val="bullet"/>
      <w:lvlText w:val="•"/>
      <w:lvlJc w:val="left"/>
      <w:pPr>
        <w:ind w:left="9358" w:hanging="447"/>
      </w:pPr>
      <w:rPr>
        <w:rFonts w:hint="default"/>
        <w:lang w:val="en-US" w:eastAsia="en-US" w:bidi="en-US"/>
      </w:rPr>
    </w:lvl>
  </w:abstractNum>
  <w:abstractNum w:abstractNumId="103" w15:restartNumberingAfterBreak="0">
    <w:nsid w:val="73A85680"/>
    <w:multiLevelType w:val="multilevel"/>
    <w:tmpl w:val="05EEDD9A"/>
    <w:lvl w:ilvl="0">
      <w:start w:val="5"/>
      <w:numFmt w:val="decimal"/>
      <w:lvlText w:val="%1"/>
      <w:lvlJc w:val="left"/>
      <w:pPr>
        <w:ind w:left="2065" w:hanging="965"/>
        <w:jc w:val="left"/>
      </w:pPr>
      <w:rPr>
        <w:rFonts w:hint="default"/>
        <w:lang w:val="en-US" w:eastAsia="en-US" w:bidi="en-US"/>
      </w:rPr>
    </w:lvl>
    <w:lvl w:ilvl="1">
      <w:start w:val="2"/>
      <w:numFmt w:val="decimal"/>
      <w:lvlText w:val="%1.%2"/>
      <w:lvlJc w:val="left"/>
      <w:pPr>
        <w:ind w:left="2065" w:hanging="965"/>
        <w:jc w:val="left"/>
      </w:pPr>
      <w:rPr>
        <w:rFonts w:hint="default"/>
        <w:lang w:val="en-US" w:eastAsia="en-US" w:bidi="en-US"/>
      </w:rPr>
    </w:lvl>
    <w:lvl w:ilvl="2">
      <w:start w:val="4"/>
      <w:numFmt w:val="decimal"/>
      <w:lvlText w:val="%1.%2.%3"/>
      <w:lvlJc w:val="left"/>
      <w:pPr>
        <w:ind w:left="2065" w:hanging="965"/>
        <w:jc w:val="left"/>
      </w:pPr>
      <w:rPr>
        <w:rFonts w:hint="default"/>
        <w:lang w:val="en-US" w:eastAsia="en-US" w:bidi="en-US"/>
      </w:rPr>
    </w:lvl>
    <w:lvl w:ilvl="3">
      <w:start w:val="1"/>
      <w:numFmt w:val="decimal"/>
      <w:lvlText w:val="%1.%2.%3.%4"/>
      <w:lvlJc w:val="left"/>
      <w:pPr>
        <w:ind w:left="2065" w:hanging="965"/>
        <w:jc w:val="left"/>
      </w:pPr>
      <w:rPr>
        <w:rFonts w:ascii="Times New Roman" w:eastAsia="Times New Roman" w:hAnsi="Times New Roman" w:cs="Times New Roman" w:hint="default"/>
        <w:spacing w:val="-4"/>
        <w:w w:val="99"/>
        <w:sz w:val="24"/>
        <w:szCs w:val="24"/>
        <w:lang w:val="en-US" w:eastAsia="en-US" w:bidi="en-US"/>
      </w:rPr>
    </w:lvl>
    <w:lvl w:ilvl="4">
      <w:start w:val="1"/>
      <w:numFmt w:val="lowerLetter"/>
      <w:lvlText w:val="%5)"/>
      <w:lvlJc w:val="left"/>
      <w:pPr>
        <w:ind w:left="2540" w:hanging="447"/>
        <w:jc w:val="left"/>
      </w:pPr>
      <w:rPr>
        <w:rFonts w:ascii="Times New Roman" w:eastAsia="Times New Roman" w:hAnsi="Times New Roman" w:cs="Times New Roman" w:hint="default"/>
        <w:b/>
        <w:bCs/>
        <w:spacing w:val="-2"/>
        <w:w w:val="99"/>
        <w:sz w:val="24"/>
        <w:szCs w:val="24"/>
        <w:lang w:val="en-US" w:eastAsia="en-US" w:bidi="en-US"/>
      </w:rPr>
    </w:lvl>
    <w:lvl w:ilvl="5">
      <w:numFmt w:val="bullet"/>
      <w:lvlText w:val="•"/>
      <w:lvlJc w:val="left"/>
      <w:pPr>
        <w:ind w:left="6436" w:hanging="447"/>
      </w:pPr>
      <w:rPr>
        <w:rFonts w:hint="default"/>
        <w:lang w:val="en-US" w:eastAsia="en-US" w:bidi="en-US"/>
      </w:rPr>
    </w:lvl>
    <w:lvl w:ilvl="6">
      <w:numFmt w:val="bullet"/>
      <w:lvlText w:val="•"/>
      <w:lvlJc w:val="left"/>
      <w:pPr>
        <w:ind w:left="7410" w:hanging="447"/>
      </w:pPr>
      <w:rPr>
        <w:rFonts w:hint="default"/>
        <w:lang w:val="en-US" w:eastAsia="en-US" w:bidi="en-US"/>
      </w:rPr>
    </w:lvl>
    <w:lvl w:ilvl="7">
      <w:numFmt w:val="bullet"/>
      <w:lvlText w:val="•"/>
      <w:lvlJc w:val="left"/>
      <w:pPr>
        <w:ind w:left="8384" w:hanging="447"/>
      </w:pPr>
      <w:rPr>
        <w:rFonts w:hint="default"/>
        <w:lang w:val="en-US" w:eastAsia="en-US" w:bidi="en-US"/>
      </w:rPr>
    </w:lvl>
    <w:lvl w:ilvl="8">
      <w:numFmt w:val="bullet"/>
      <w:lvlText w:val="•"/>
      <w:lvlJc w:val="left"/>
      <w:pPr>
        <w:ind w:left="9358" w:hanging="447"/>
      </w:pPr>
      <w:rPr>
        <w:rFonts w:hint="default"/>
        <w:lang w:val="en-US" w:eastAsia="en-US" w:bidi="en-US"/>
      </w:rPr>
    </w:lvl>
  </w:abstractNum>
  <w:abstractNum w:abstractNumId="104" w15:restartNumberingAfterBreak="0">
    <w:nsid w:val="74355B37"/>
    <w:multiLevelType w:val="hybridMultilevel"/>
    <w:tmpl w:val="3F8E8100"/>
    <w:lvl w:ilvl="0" w:tplc="49524260">
      <w:numFmt w:val="bullet"/>
      <w:lvlText w:val=""/>
      <w:lvlJc w:val="left"/>
      <w:pPr>
        <w:ind w:left="1732" w:hanging="288"/>
      </w:pPr>
      <w:rPr>
        <w:rFonts w:ascii="Symbol" w:eastAsia="Symbol" w:hAnsi="Symbol" w:cs="Symbol" w:hint="default"/>
        <w:w w:val="100"/>
        <w:sz w:val="24"/>
        <w:szCs w:val="24"/>
        <w:lang w:val="en-US" w:eastAsia="en-US" w:bidi="en-US"/>
      </w:rPr>
    </w:lvl>
    <w:lvl w:ilvl="1" w:tplc="E53A6910">
      <w:numFmt w:val="bullet"/>
      <w:lvlText w:val="•"/>
      <w:lvlJc w:val="left"/>
      <w:pPr>
        <w:ind w:left="2512" w:hanging="288"/>
      </w:pPr>
      <w:rPr>
        <w:rFonts w:hint="default"/>
        <w:lang w:val="en-US" w:eastAsia="en-US" w:bidi="en-US"/>
      </w:rPr>
    </w:lvl>
    <w:lvl w:ilvl="2" w:tplc="E8604C02">
      <w:numFmt w:val="bullet"/>
      <w:lvlText w:val="•"/>
      <w:lvlJc w:val="left"/>
      <w:pPr>
        <w:ind w:left="3285" w:hanging="288"/>
      </w:pPr>
      <w:rPr>
        <w:rFonts w:hint="default"/>
        <w:lang w:val="en-US" w:eastAsia="en-US" w:bidi="en-US"/>
      </w:rPr>
    </w:lvl>
    <w:lvl w:ilvl="3" w:tplc="54BE5106">
      <w:numFmt w:val="bullet"/>
      <w:lvlText w:val="•"/>
      <w:lvlJc w:val="left"/>
      <w:pPr>
        <w:ind w:left="4058" w:hanging="288"/>
      </w:pPr>
      <w:rPr>
        <w:rFonts w:hint="default"/>
        <w:lang w:val="en-US" w:eastAsia="en-US" w:bidi="en-US"/>
      </w:rPr>
    </w:lvl>
    <w:lvl w:ilvl="4" w:tplc="CA38674E">
      <w:numFmt w:val="bullet"/>
      <w:lvlText w:val="•"/>
      <w:lvlJc w:val="left"/>
      <w:pPr>
        <w:ind w:left="4831" w:hanging="288"/>
      </w:pPr>
      <w:rPr>
        <w:rFonts w:hint="default"/>
        <w:lang w:val="en-US" w:eastAsia="en-US" w:bidi="en-US"/>
      </w:rPr>
    </w:lvl>
    <w:lvl w:ilvl="5" w:tplc="76B6A5D0">
      <w:numFmt w:val="bullet"/>
      <w:lvlText w:val="•"/>
      <w:lvlJc w:val="left"/>
      <w:pPr>
        <w:ind w:left="5604" w:hanging="288"/>
      </w:pPr>
      <w:rPr>
        <w:rFonts w:hint="default"/>
        <w:lang w:val="en-US" w:eastAsia="en-US" w:bidi="en-US"/>
      </w:rPr>
    </w:lvl>
    <w:lvl w:ilvl="6" w:tplc="877E61AE">
      <w:numFmt w:val="bullet"/>
      <w:lvlText w:val="•"/>
      <w:lvlJc w:val="left"/>
      <w:pPr>
        <w:ind w:left="6377" w:hanging="288"/>
      </w:pPr>
      <w:rPr>
        <w:rFonts w:hint="default"/>
        <w:lang w:val="en-US" w:eastAsia="en-US" w:bidi="en-US"/>
      </w:rPr>
    </w:lvl>
    <w:lvl w:ilvl="7" w:tplc="E7B6B580">
      <w:numFmt w:val="bullet"/>
      <w:lvlText w:val="•"/>
      <w:lvlJc w:val="left"/>
      <w:pPr>
        <w:ind w:left="7150" w:hanging="288"/>
      </w:pPr>
      <w:rPr>
        <w:rFonts w:hint="default"/>
        <w:lang w:val="en-US" w:eastAsia="en-US" w:bidi="en-US"/>
      </w:rPr>
    </w:lvl>
    <w:lvl w:ilvl="8" w:tplc="68342A32">
      <w:numFmt w:val="bullet"/>
      <w:lvlText w:val="•"/>
      <w:lvlJc w:val="left"/>
      <w:pPr>
        <w:ind w:left="7923" w:hanging="288"/>
      </w:pPr>
      <w:rPr>
        <w:rFonts w:hint="default"/>
        <w:lang w:val="en-US" w:eastAsia="en-US" w:bidi="en-US"/>
      </w:rPr>
    </w:lvl>
  </w:abstractNum>
  <w:abstractNum w:abstractNumId="105" w15:restartNumberingAfterBreak="0">
    <w:nsid w:val="747D2D05"/>
    <w:multiLevelType w:val="multilevel"/>
    <w:tmpl w:val="E3B66EEE"/>
    <w:lvl w:ilvl="0">
      <w:start w:val="4"/>
      <w:numFmt w:val="decimal"/>
      <w:lvlText w:val="%1"/>
      <w:lvlJc w:val="left"/>
      <w:pPr>
        <w:ind w:left="2065" w:hanging="965"/>
        <w:jc w:val="left"/>
      </w:pPr>
      <w:rPr>
        <w:rFonts w:hint="default"/>
        <w:lang w:val="en-US" w:eastAsia="en-US" w:bidi="en-US"/>
      </w:rPr>
    </w:lvl>
    <w:lvl w:ilvl="1">
      <w:start w:val="14"/>
      <w:numFmt w:val="decimal"/>
      <w:lvlText w:val="%1.%2"/>
      <w:lvlJc w:val="left"/>
      <w:pPr>
        <w:ind w:left="2065" w:hanging="965"/>
        <w:jc w:val="left"/>
      </w:pPr>
      <w:rPr>
        <w:rFonts w:hint="default"/>
        <w:lang w:val="en-US" w:eastAsia="en-US" w:bidi="en-US"/>
      </w:rPr>
    </w:lvl>
    <w:lvl w:ilvl="2">
      <w:start w:val="6"/>
      <w:numFmt w:val="decimal"/>
      <w:lvlText w:val="%1.%2.%3"/>
      <w:lvlJc w:val="left"/>
      <w:pPr>
        <w:ind w:left="2065" w:hanging="965"/>
        <w:jc w:val="left"/>
      </w:pPr>
      <w:rPr>
        <w:rFonts w:hint="default"/>
        <w:lang w:val="en-US" w:eastAsia="en-US" w:bidi="en-US"/>
      </w:rPr>
    </w:lvl>
    <w:lvl w:ilvl="3">
      <w:start w:val="1"/>
      <w:numFmt w:val="decimal"/>
      <w:lvlText w:val="%1.%2.%3.%4"/>
      <w:lvlJc w:val="left"/>
      <w:pPr>
        <w:ind w:left="2065" w:hanging="965"/>
        <w:jc w:val="left"/>
      </w:pPr>
      <w:rPr>
        <w:rFonts w:ascii="Times New Roman" w:eastAsia="Times New Roman" w:hAnsi="Times New Roman" w:cs="Times New Roman" w:hint="default"/>
        <w:spacing w:val="-16"/>
        <w:w w:val="99"/>
        <w:sz w:val="24"/>
        <w:szCs w:val="24"/>
        <w:lang w:val="en-US" w:eastAsia="en-US" w:bidi="en-US"/>
      </w:rPr>
    </w:lvl>
    <w:lvl w:ilvl="4">
      <w:numFmt w:val="bullet"/>
      <w:lvlText w:val="•"/>
      <w:lvlJc w:val="left"/>
      <w:pPr>
        <w:ind w:left="5758" w:hanging="965"/>
      </w:pPr>
      <w:rPr>
        <w:rFonts w:hint="default"/>
        <w:lang w:val="en-US" w:eastAsia="en-US" w:bidi="en-US"/>
      </w:rPr>
    </w:lvl>
    <w:lvl w:ilvl="5">
      <w:numFmt w:val="bullet"/>
      <w:lvlText w:val="•"/>
      <w:lvlJc w:val="left"/>
      <w:pPr>
        <w:ind w:left="6683" w:hanging="965"/>
      </w:pPr>
      <w:rPr>
        <w:rFonts w:hint="default"/>
        <w:lang w:val="en-US" w:eastAsia="en-US" w:bidi="en-US"/>
      </w:rPr>
    </w:lvl>
    <w:lvl w:ilvl="6">
      <w:numFmt w:val="bullet"/>
      <w:lvlText w:val="•"/>
      <w:lvlJc w:val="left"/>
      <w:pPr>
        <w:ind w:left="7607" w:hanging="965"/>
      </w:pPr>
      <w:rPr>
        <w:rFonts w:hint="default"/>
        <w:lang w:val="en-US" w:eastAsia="en-US" w:bidi="en-US"/>
      </w:rPr>
    </w:lvl>
    <w:lvl w:ilvl="7">
      <w:numFmt w:val="bullet"/>
      <w:lvlText w:val="•"/>
      <w:lvlJc w:val="left"/>
      <w:pPr>
        <w:ind w:left="8532" w:hanging="965"/>
      </w:pPr>
      <w:rPr>
        <w:rFonts w:hint="default"/>
        <w:lang w:val="en-US" w:eastAsia="en-US" w:bidi="en-US"/>
      </w:rPr>
    </w:lvl>
    <w:lvl w:ilvl="8">
      <w:numFmt w:val="bullet"/>
      <w:lvlText w:val="•"/>
      <w:lvlJc w:val="left"/>
      <w:pPr>
        <w:ind w:left="9457" w:hanging="965"/>
      </w:pPr>
      <w:rPr>
        <w:rFonts w:hint="default"/>
        <w:lang w:val="en-US" w:eastAsia="en-US" w:bidi="en-US"/>
      </w:rPr>
    </w:lvl>
  </w:abstractNum>
  <w:abstractNum w:abstractNumId="106" w15:restartNumberingAfterBreak="0">
    <w:nsid w:val="772C1E66"/>
    <w:multiLevelType w:val="hybridMultilevel"/>
    <w:tmpl w:val="CBF02A8C"/>
    <w:lvl w:ilvl="0" w:tplc="815C25F6">
      <w:start w:val="1"/>
      <w:numFmt w:val="lowerRoman"/>
      <w:lvlText w:val="%1."/>
      <w:lvlJc w:val="left"/>
      <w:pPr>
        <w:ind w:left="2217" w:hanging="488"/>
        <w:jc w:val="right"/>
      </w:pPr>
      <w:rPr>
        <w:rFonts w:ascii="Times New Roman" w:eastAsia="Times New Roman" w:hAnsi="Times New Roman" w:cs="Times New Roman" w:hint="default"/>
        <w:i/>
        <w:spacing w:val="-21"/>
        <w:w w:val="99"/>
        <w:sz w:val="24"/>
        <w:szCs w:val="24"/>
        <w:lang w:val="en-US" w:eastAsia="en-US" w:bidi="en-US"/>
      </w:rPr>
    </w:lvl>
    <w:lvl w:ilvl="1" w:tplc="93EC3700">
      <w:numFmt w:val="bullet"/>
      <w:lvlText w:val="•"/>
      <w:lvlJc w:val="left"/>
      <w:pPr>
        <w:ind w:left="2952" w:hanging="488"/>
      </w:pPr>
      <w:rPr>
        <w:rFonts w:hint="default"/>
        <w:lang w:val="en-US" w:eastAsia="en-US" w:bidi="en-US"/>
      </w:rPr>
    </w:lvl>
    <w:lvl w:ilvl="2" w:tplc="439068F4">
      <w:numFmt w:val="bullet"/>
      <w:lvlText w:val="•"/>
      <w:lvlJc w:val="left"/>
      <w:pPr>
        <w:ind w:left="3685" w:hanging="488"/>
      </w:pPr>
      <w:rPr>
        <w:rFonts w:hint="default"/>
        <w:lang w:val="en-US" w:eastAsia="en-US" w:bidi="en-US"/>
      </w:rPr>
    </w:lvl>
    <w:lvl w:ilvl="3" w:tplc="ECD64B58">
      <w:numFmt w:val="bullet"/>
      <w:lvlText w:val="•"/>
      <w:lvlJc w:val="left"/>
      <w:pPr>
        <w:ind w:left="4417" w:hanging="488"/>
      </w:pPr>
      <w:rPr>
        <w:rFonts w:hint="default"/>
        <w:lang w:val="en-US" w:eastAsia="en-US" w:bidi="en-US"/>
      </w:rPr>
    </w:lvl>
    <w:lvl w:ilvl="4" w:tplc="D462526A">
      <w:numFmt w:val="bullet"/>
      <w:lvlText w:val="•"/>
      <w:lvlJc w:val="left"/>
      <w:pPr>
        <w:ind w:left="5150" w:hanging="488"/>
      </w:pPr>
      <w:rPr>
        <w:rFonts w:hint="default"/>
        <w:lang w:val="en-US" w:eastAsia="en-US" w:bidi="en-US"/>
      </w:rPr>
    </w:lvl>
    <w:lvl w:ilvl="5" w:tplc="12EA01E6">
      <w:numFmt w:val="bullet"/>
      <w:lvlText w:val="•"/>
      <w:lvlJc w:val="left"/>
      <w:pPr>
        <w:ind w:left="5883" w:hanging="488"/>
      </w:pPr>
      <w:rPr>
        <w:rFonts w:hint="default"/>
        <w:lang w:val="en-US" w:eastAsia="en-US" w:bidi="en-US"/>
      </w:rPr>
    </w:lvl>
    <w:lvl w:ilvl="6" w:tplc="2C201BF8">
      <w:numFmt w:val="bullet"/>
      <w:lvlText w:val="•"/>
      <w:lvlJc w:val="left"/>
      <w:pPr>
        <w:ind w:left="6615" w:hanging="488"/>
      </w:pPr>
      <w:rPr>
        <w:rFonts w:hint="default"/>
        <w:lang w:val="en-US" w:eastAsia="en-US" w:bidi="en-US"/>
      </w:rPr>
    </w:lvl>
    <w:lvl w:ilvl="7" w:tplc="43CC6B44">
      <w:numFmt w:val="bullet"/>
      <w:lvlText w:val="•"/>
      <w:lvlJc w:val="left"/>
      <w:pPr>
        <w:ind w:left="7348" w:hanging="488"/>
      </w:pPr>
      <w:rPr>
        <w:rFonts w:hint="default"/>
        <w:lang w:val="en-US" w:eastAsia="en-US" w:bidi="en-US"/>
      </w:rPr>
    </w:lvl>
    <w:lvl w:ilvl="8" w:tplc="93A6DC20">
      <w:numFmt w:val="bullet"/>
      <w:lvlText w:val="•"/>
      <w:lvlJc w:val="left"/>
      <w:pPr>
        <w:ind w:left="8081" w:hanging="488"/>
      </w:pPr>
      <w:rPr>
        <w:rFonts w:hint="default"/>
        <w:lang w:val="en-US" w:eastAsia="en-US" w:bidi="en-US"/>
      </w:rPr>
    </w:lvl>
  </w:abstractNum>
  <w:abstractNum w:abstractNumId="107" w15:restartNumberingAfterBreak="0">
    <w:nsid w:val="77B05A8A"/>
    <w:multiLevelType w:val="multilevel"/>
    <w:tmpl w:val="1B1A0BF4"/>
    <w:lvl w:ilvl="0">
      <w:start w:val="6"/>
      <w:numFmt w:val="decimal"/>
      <w:lvlText w:val="%1"/>
      <w:lvlJc w:val="left"/>
      <w:pPr>
        <w:ind w:left="1225" w:hanging="965"/>
        <w:jc w:val="left"/>
      </w:pPr>
      <w:rPr>
        <w:rFonts w:hint="default"/>
        <w:lang w:val="en-US" w:eastAsia="en-US" w:bidi="en-US"/>
      </w:rPr>
    </w:lvl>
    <w:lvl w:ilvl="1">
      <w:start w:val="2"/>
      <w:numFmt w:val="decimal"/>
      <w:lvlText w:val="%1.%2"/>
      <w:lvlJc w:val="left"/>
      <w:pPr>
        <w:ind w:left="1225" w:hanging="965"/>
        <w:jc w:val="left"/>
      </w:pPr>
      <w:rPr>
        <w:rFonts w:hint="default"/>
        <w:lang w:val="en-US" w:eastAsia="en-US" w:bidi="en-US"/>
      </w:rPr>
    </w:lvl>
    <w:lvl w:ilvl="2">
      <w:start w:val="13"/>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4"/>
        <w:w w:val="99"/>
        <w:sz w:val="24"/>
        <w:szCs w:val="24"/>
        <w:lang w:val="en-US" w:eastAsia="en-US" w:bidi="en-US"/>
      </w:rPr>
    </w:lvl>
    <w:lvl w:ilvl="4">
      <w:numFmt w:val="bullet"/>
      <w:lvlText w:val="•"/>
      <w:lvlJc w:val="left"/>
      <w:pPr>
        <w:ind w:left="4798" w:hanging="965"/>
      </w:pPr>
      <w:rPr>
        <w:rFonts w:hint="default"/>
        <w:lang w:val="en-US" w:eastAsia="en-US" w:bidi="en-US"/>
      </w:rPr>
    </w:lvl>
    <w:lvl w:ilvl="5">
      <w:numFmt w:val="bullet"/>
      <w:lvlText w:val="•"/>
      <w:lvlJc w:val="left"/>
      <w:pPr>
        <w:ind w:left="5693" w:hanging="965"/>
      </w:pPr>
      <w:rPr>
        <w:rFonts w:hint="default"/>
        <w:lang w:val="en-US" w:eastAsia="en-US" w:bidi="en-US"/>
      </w:rPr>
    </w:lvl>
    <w:lvl w:ilvl="6">
      <w:numFmt w:val="bullet"/>
      <w:lvlText w:val="•"/>
      <w:lvlJc w:val="left"/>
      <w:pPr>
        <w:ind w:left="6587" w:hanging="965"/>
      </w:pPr>
      <w:rPr>
        <w:rFonts w:hint="default"/>
        <w:lang w:val="en-US" w:eastAsia="en-US" w:bidi="en-US"/>
      </w:rPr>
    </w:lvl>
    <w:lvl w:ilvl="7">
      <w:numFmt w:val="bullet"/>
      <w:lvlText w:val="•"/>
      <w:lvlJc w:val="left"/>
      <w:pPr>
        <w:ind w:left="7482" w:hanging="965"/>
      </w:pPr>
      <w:rPr>
        <w:rFonts w:hint="default"/>
        <w:lang w:val="en-US" w:eastAsia="en-US" w:bidi="en-US"/>
      </w:rPr>
    </w:lvl>
    <w:lvl w:ilvl="8">
      <w:numFmt w:val="bullet"/>
      <w:lvlText w:val="•"/>
      <w:lvlJc w:val="left"/>
      <w:pPr>
        <w:ind w:left="8377" w:hanging="965"/>
      </w:pPr>
      <w:rPr>
        <w:rFonts w:hint="default"/>
        <w:lang w:val="en-US" w:eastAsia="en-US" w:bidi="en-US"/>
      </w:rPr>
    </w:lvl>
  </w:abstractNum>
  <w:abstractNum w:abstractNumId="108" w15:restartNumberingAfterBreak="0">
    <w:nsid w:val="78146689"/>
    <w:multiLevelType w:val="multilevel"/>
    <w:tmpl w:val="FBC690DC"/>
    <w:lvl w:ilvl="0">
      <w:start w:val="6"/>
      <w:numFmt w:val="decimal"/>
      <w:lvlText w:val="%1"/>
      <w:lvlJc w:val="left"/>
      <w:pPr>
        <w:ind w:left="1225" w:hanging="965"/>
        <w:jc w:val="left"/>
      </w:pPr>
      <w:rPr>
        <w:rFonts w:hint="default"/>
        <w:lang w:val="en-US" w:eastAsia="en-US" w:bidi="en-US"/>
      </w:rPr>
    </w:lvl>
    <w:lvl w:ilvl="1">
      <w:start w:val="2"/>
      <w:numFmt w:val="decimal"/>
      <w:lvlText w:val="%1.%2"/>
      <w:lvlJc w:val="left"/>
      <w:pPr>
        <w:ind w:left="1225" w:hanging="965"/>
        <w:jc w:val="left"/>
      </w:pPr>
      <w:rPr>
        <w:rFonts w:hint="default"/>
        <w:lang w:val="en-US" w:eastAsia="en-US" w:bidi="en-US"/>
      </w:rPr>
    </w:lvl>
    <w:lvl w:ilvl="2">
      <w:start w:val="6"/>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18"/>
        <w:w w:val="99"/>
        <w:sz w:val="24"/>
        <w:szCs w:val="24"/>
        <w:lang w:val="en-US" w:eastAsia="en-US" w:bidi="en-US"/>
      </w:rPr>
    </w:lvl>
    <w:lvl w:ilvl="4">
      <w:start w:val="1"/>
      <w:numFmt w:val="lowerLetter"/>
      <w:lvlText w:val="(%5)"/>
      <w:lvlJc w:val="left"/>
      <w:pPr>
        <w:ind w:left="1678" w:hanging="425"/>
        <w:jc w:val="left"/>
      </w:pPr>
      <w:rPr>
        <w:rFonts w:ascii="Times New Roman" w:eastAsia="Times New Roman" w:hAnsi="Times New Roman" w:cs="Times New Roman" w:hint="default"/>
        <w:spacing w:val="-20"/>
        <w:w w:val="99"/>
        <w:sz w:val="24"/>
        <w:szCs w:val="24"/>
        <w:lang w:val="en-US" w:eastAsia="en-US" w:bidi="en-US"/>
      </w:rPr>
    </w:lvl>
    <w:lvl w:ilvl="5">
      <w:numFmt w:val="bullet"/>
      <w:lvlText w:val="•"/>
      <w:lvlJc w:val="left"/>
      <w:pPr>
        <w:ind w:left="5451" w:hanging="425"/>
      </w:pPr>
      <w:rPr>
        <w:rFonts w:hint="default"/>
        <w:lang w:val="en-US" w:eastAsia="en-US" w:bidi="en-US"/>
      </w:rPr>
    </w:lvl>
    <w:lvl w:ilvl="6">
      <w:numFmt w:val="bullet"/>
      <w:lvlText w:val="•"/>
      <w:lvlJc w:val="left"/>
      <w:pPr>
        <w:ind w:left="6394" w:hanging="425"/>
      </w:pPr>
      <w:rPr>
        <w:rFonts w:hint="default"/>
        <w:lang w:val="en-US" w:eastAsia="en-US" w:bidi="en-US"/>
      </w:rPr>
    </w:lvl>
    <w:lvl w:ilvl="7">
      <w:numFmt w:val="bullet"/>
      <w:lvlText w:val="•"/>
      <w:lvlJc w:val="left"/>
      <w:pPr>
        <w:ind w:left="7337" w:hanging="425"/>
      </w:pPr>
      <w:rPr>
        <w:rFonts w:hint="default"/>
        <w:lang w:val="en-US" w:eastAsia="en-US" w:bidi="en-US"/>
      </w:rPr>
    </w:lvl>
    <w:lvl w:ilvl="8">
      <w:numFmt w:val="bullet"/>
      <w:lvlText w:val="•"/>
      <w:lvlJc w:val="left"/>
      <w:pPr>
        <w:ind w:left="8280" w:hanging="425"/>
      </w:pPr>
      <w:rPr>
        <w:rFonts w:hint="default"/>
        <w:lang w:val="en-US" w:eastAsia="en-US" w:bidi="en-US"/>
      </w:rPr>
    </w:lvl>
  </w:abstractNum>
  <w:abstractNum w:abstractNumId="109" w15:restartNumberingAfterBreak="0">
    <w:nsid w:val="79644330"/>
    <w:multiLevelType w:val="multilevel"/>
    <w:tmpl w:val="F15E586C"/>
    <w:lvl w:ilvl="0">
      <w:start w:val="1"/>
      <w:numFmt w:val="decimal"/>
      <w:lvlText w:val="%1"/>
      <w:lvlJc w:val="left"/>
      <w:pPr>
        <w:ind w:left="551" w:hanging="332"/>
        <w:jc w:val="left"/>
      </w:pPr>
      <w:rPr>
        <w:rFonts w:hint="default"/>
        <w:u w:val="single" w:color="000000"/>
        <w:lang w:val="en-US" w:eastAsia="en-US" w:bidi="en-US"/>
      </w:rPr>
    </w:lvl>
    <w:lvl w:ilvl="1">
      <w:start w:val="1"/>
      <w:numFmt w:val="decimal"/>
      <w:lvlText w:val="%1.%2"/>
      <w:lvlJc w:val="left"/>
      <w:pPr>
        <w:ind w:left="722" w:hanging="502"/>
        <w:jc w:val="left"/>
      </w:pPr>
      <w:rPr>
        <w:rFonts w:ascii="Times New Roman" w:eastAsia="Times New Roman" w:hAnsi="Times New Roman" w:cs="Times New Roman" w:hint="default"/>
        <w:spacing w:val="-4"/>
        <w:w w:val="99"/>
        <w:sz w:val="24"/>
        <w:szCs w:val="24"/>
        <w:lang w:val="en-US" w:eastAsia="en-US" w:bidi="en-US"/>
      </w:rPr>
    </w:lvl>
    <w:lvl w:ilvl="2">
      <w:numFmt w:val="bullet"/>
      <w:lvlText w:val="•"/>
      <w:lvlJc w:val="left"/>
      <w:pPr>
        <w:ind w:left="1692" w:hanging="502"/>
      </w:pPr>
      <w:rPr>
        <w:rFonts w:hint="default"/>
        <w:lang w:val="en-US" w:eastAsia="en-US" w:bidi="en-US"/>
      </w:rPr>
    </w:lvl>
    <w:lvl w:ilvl="3">
      <w:numFmt w:val="bullet"/>
      <w:lvlText w:val="•"/>
      <w:lvlJc w:val="left"/>
      <w:pPr>
        <w:ind w:left="2664" w:hanging="502"/>
      </w:pPr>
      <w:rPr>
        <w:rFonts w:hint="default"/>
        <w:lang w:val="en-US" w:eastAsia="en-US" w:bidi="en-US"/>
      </w:rPr>
    </w:lvl>
    <w:lvl w:ilvl="4">
      <w:numFmt w:val="bullet"/>
      <w:lvlText w:val="•"/>
      <w:lvlJc w:val="left"/>
      <w:pPr>
        <w:ind w:left="3636" w:hanging="502"/>
      </w:pPr>
      <w:rPr>
        <w:rFonts w:hint="default"/>
        <w:lang w:val="en-US" w:eastAsia="en-US" w:bidi="en-US"/>
      </w:rPr>
    </w:lvl>
    <w:lvl w:ilvl="5">
      <w:numFmt w:val="bullet"/>
      <w:lvlText w:val="•"/>
      <w:lvlJc w:val="left"/>
      <w:pPr>
        <w:ind w:left="4608" w:hanging="502"/>
      </w:pPr>
      <w:rPr>
        <w:rFonts w:hint="default"/>
        <w:lang w:val="en-US" w:eastAsia="en-US" w:bidi="en-US"/>
      </w:rPr>
    </w:lvl>
    <w:lvl w:ilvl="6">
      <w:numFmt w:val="bullet"/>
      <w:lvlText w:val="•"/>
      <w:lvlJc w:val="left"/>
      <w:pPr>
        <w:ind w:left="5580" w:hanging="502"/>
      </w:pPr>
      <w:rPr>
        <w:rFonts w:hint="default"/>
        <w:lang w:val="en-US" w:eastAsia="en-US" w:bidi="en-US"/>
      </w:rPr>
    </w:lvl>
    <w:lvl w:ilvl="7">
      <w:numFmt w:val="bullet"/>
      <w:lvlText w:val="•"/>
      <w:lvlJc w:val="left"/>
      <w:pPr>
        <w:ind w:left="6552" w:hanging="502"/>
      </w:pPr>
      <w:rPr>
        <w:rFonts w:hint="default"/>
        <w:lang w:val="en-US" w:eastAsia="en-US" w:bidi="en-US"/>
      </w:rPr>
    </w:lvl>
    <w:lvl w:ilvl="8">
      <w:numFmt w:val="bullet"/>
      <w:lvlText w:val="•"/>
      <w:lvlJc w:val="left"/>
      <w:pPr>
        <w:ind w:left="7524" w:hanging="502"/>
      </w:pPr>
      <w:rPr>
        <w:rFonts w:hint="default"/>
        <w:lang w:val="en-US" w:eastAsia="en-US" w:bidi="en-US"/>
      </w:rPr>
    </w:lvl>
  </w:abstractNum>
  <w:abstractNum w:abstractNumId="110" w15:restartNumberingAfterBreak="0">
    <w:nsid w:val="79C96036"/>
    <w:multiLevelType w:val="multilevel"/>
    <w:tmpl w:val="8FC03042"/>
    <w:lvl w:ilvl="0">
      <w:start w:val="4"/>
      <w:numFmt w:val="decimal"/>
      <w:lvlText w:val="%1"/>
      <w:lvlJc w:val="left"/>
      <w:pPr>
        <w:ind w:left="1404" w:hanging="965"/>
        <w:jc w:val="left"/>
      </w:pPr>
      <w:rPr>
        <w:rFonts w:hint="default"/>
        <w:lang w:val="en-US" w:eastAsia="en-US" w:bidi="en-US"/>
      </w:rPr>
    </w:lvl>
    <w:lvl w:ilvl="1">
      <w:start w:val="3"/>
      <w:numFmt w:val="decimal"/>
      <w:lvlText w:val="%1.%2"/>
      <w:lvlJc w:val="left"/>
      <w:pPr>
        <w:ind w:left="1404" w:hanging="965"/>
        <w:jc w:val="left"/>
      </w:pPr>
      <w:rPr>
        <w:rFonts w:hint="default"/>
        <w:lang w:val="en-US" w:eastAsia="en-US" w:bidi="en-US"/>
      </w:rPr>
    </w:lvl>
    <w:lvl w:ilvl="2">
      <w:start w:val="2"/>
      <w:numFmt w:val="decimal"/>
      <w:lvlText w:val="%1.%2.%3"/>
      <w:lvlJc w:val="left"/>
      <w:pPr>
        <w:ind w:left="1404" w:hanging="965"/>
        <w:jc w:val="left"/>
      </w:pPr>
      <w:rPr>
        <w:rFonts w:hint="default"/>
        <w:lang w:val="en-US" w:eastAsia="en-US" w:bidi="en-US"/>
      </w:rPr>
    </w:lvl>
    <w:lvl w:ilvl="3">
      <w:start w:val="1"/>
      <w:numFmt w:val="decimal"/>
      <w:lvlText w:val="%1.%2.%3.%4"/>
      <w:lvlJc w:val="left"/>
      <w:pPr>
        <w:ind w:left="1404" w:hanging="965"/>
        <w:jc w:val="left"/>
      </w:pPr>
      <w:rPr>
        <w:rFonts w:ascii="Times New Roman" w:eastAsia="Times New Roman" w:hAnsi="Times New Roman" w:cs="Times New Roman" w:hint="default"/>
        <w:spacing w:val="-8"/>
        <w:w w:val="99"/>
        <w:sz w:val="24"/>
        <w:szCs w:val="24"/>
        <w:lang w:val="en-US" w:eastAsia="en-US" w:bidi="en-US"/>
      </w:rPr>
    </w:lvl>
    <w:lvl w:ilvl="4">
      <w:numFmt w:val="bullet"/>
      <w:lvlText w:val="•"/>
      <w:lvlJc w:val="left"/>
      <w:pPr>
        <w:ind w:left="4994" w:hanging="965"/>
      </w:pPr>
      <w:rPr>
        <w:rFonts w:hint="default"/>
        <w:lang w:val="en-US" w:eastAsia="en-US" w:bidi="en-US"/>
      </w:rPr>
    </w:lvl>
    <w:lvl w:ilvl="5">
      <w:numFmt w:val="bullet"/>
      <w:lvlText w:val="•"/>
      <w:lvlJc w:val="left"/>
      <w:pPr>
        <w:ind w:left="5893" w:hanging="965"/>
      </w:pPr>
      <w:rPr>
        <w:rFonts w:hint="default"/>
        <w:lang w:val="en-US" w:eastAsia="en-US" w:bidi="en-US"/>
      </w:rPr>
    </w:lvl>
    <w:lvl w:ilvl="6">
      <w:numFmt w:val="bullet"/>
      <w:lvlText w:val="•"/>
      <w:lvlJc w:val="left"/>
      <w:pPr>
        <w:ind w:left="6791" w:hanging="965"/>
      </w:pPr>
      <w:rPr>
        <w:rFonts w:hint="default"/>
        <w:lang w:val="en-US" w:eastAsia="en-US" w:bidi="en-US"/>
      </w:rPr>
    </w:lvl>
    <w:lvl w:ilvl="7">
      <w:numFmt w:val="bullet"/>
      <w:lvlText w:val="•"/>
      <w:lvlJc w:val="left"/>
      <w:pPr>
        <w:ind w:left="7690" w:hanging="965"/>
      </w:pPr>
      <w:rPr>
        <w:rFonts w:hint="default"/>
        <w:lang w:val="en-US" w:eastAsia="en-US" w:bidi="en-US"/>
      </w:rPr>
    </w:lvl>
    <w:lvl w:ilvl="8">
      <w:numFmt w:val="bullet"/>
      <w:lvlText w:val="•"/>
      <w:lvlJc w:val="left"/>
      <w:pPr>
        <w:ind w:left="8589" w:hanging="965"/>
      </w:pPr>
      <w:rPr>
        <w:rFonts w:hint="default"/>
        <w:lang w:val="en-US" w:eastAsia="en-US" w:bidi="en-US"/>
      </w:rPr>
    </w:lvl>
  </w:abstractNum>
  <w:abstractNum w:abstractNumId="111" w15:restartNumberingAfterBreak="0">
    <w:nsid w:val="7BB34294"/>
    <w:multiLevelType w:val="multilevel"/>
    <w:tmpl w:val="A09CEC54"/>
    <w:lvl w:ilvl="0">
      <w:start w:val="5"/>
      <w:numFmt w:val="decimal"/>
      <w:lvlText w:val="%1"/>
      <w:lvlJc w:val="left"/>
      <w:pPr>
        <w:ind w:left="1112" w:hanging="852"/>
        <w:jc w:val="left"/>
      </w:pPr>
      <w:rPr>
        <w:rFonts w:hint="default"/>
        <w:lang w:val="en-US" w:eastAsia="en-US" w:bidi="en-US"/>
      </w:rPr>
    </w:lvl>
    <w:lvl w:ilvl="1">
      <w:start w:val="13"/>
      <w:numFmt w:val="decimal"/>
      <w:lvlText w:val="%1.%2"/>
      <w:lvlJc w:val="left"/>
      <w:pPr>
        <w:ind w:left="1112" w:hanging="852"/>
        <w:jc w:val="left"/>
      </w:pPr>
      <w:rPr>
        <w:rFonts w:hint="default"/>
        <w:lang w:val="en-US" w:eastAsia="en-US" w:bidi="en-US"/>
      </w:rPr>
    </w:lvl>
    <w:lvl w:ilvl="2">
      <w:start w:val="10"/>
      <w:numFmt w:val="decimal"/>
      <w:lvlText w:val="%1.%2.%3"/>
      <w:lvlJc w:val="left"/>
      <w:pPr>
        <w:ind w:left="1112" w:hanging="852"/>
        <w:jc w:val="left"/>
      </w:pPr>
      <w:rPr>
        <w:rFonts w:ascii="Times New Roman" w:eastAsia="Times New Roman" w:hAnsi="Times New Roman" w:cs="Times New Roman" w:hint="default"/>
        <w:spacing w:val="-28"/>
        <w:w w:val="99"/>
        <w:sz w:val="24"/>
        <w:szCs w:val="24"/>
        <w:lang w:val="en-US" w:eastAsia="en-US" w:bidi="en-US"/>
      </w:rPr>
    </w:lvl>
    <w:lvl w:ilvl="3">
      <w:start w:val="1"/>
      <w:numFmt w:val="lowerRoman"/>
      <w:lvlText w:val="(%4)"/>
      <w:lvlJc w:val="left"/>
      <w:pPr>
        <w:ind w:left="1678" w:hanging="567"/>
        <w:jc w:val="left"/>
      </w:pPr>
      <w:rPr>
        <w:rFonts w:ascii="Times New Roman" w:eastAsia="Times New Roman" w:hAnsi="Times New Roman" w:cs="Times New Roman" w:hint="default"/>
        <w:spacing w:val="-21"/>
        <w:w w:val="99"/>
        <w:sz w:val="24"/>
        <w:szCs w:val="24"/>
        <w:lang w:val="en-US" w:eastAsia="en-US" w:bidi="en-US"/>
      </w:rPr>
    </w:lvl>
    <w:lvl w:ilvl="4">
      <w:numFmt w:val="bullet"/>
      <w:lvlText w:val="•"/>
      <w:lvlJc w:val="left"/>
      <w:pPr>
        <w:ind w:left="4508" w:hanging="567"/>
      </w:pPr>
      <w:rPr>
        <w:rFonts w:hint="default"/>
        <w:lang w:val="en-US" w:eastAsia="en-US" w:bidi="en-US"/>
      </w:rPr>
    </w:lvl>
    <w:lvl w:ilvl="5">
      <w:numFmt w:val="bullet"/>
      <w:lvlText w:val="•"/>
      <w:lvlJc w:val="left"/>
      <w:pPr>
        <w:ind w:left="5451" w:hanging="567"/>
      </w:pPr>
      <w:rPr>
        <w:rFonts w:hint="default"/>
        <w:lang w:val="en-US" w:eastAsia="en-US" w:bidi="en-US"/>
      </w:rPr>
    </w:lvl>
    <w:lvl w:ilvl="6">
      <w:numFmt w:val="bullet"/>
      <w:lvlText w:val="•"/>
      <w:lvlJc w:val="left"/>
      <w:pPr>
        <w:ind w:left="6394" w:hanging="567"/>
      </w:pPr>
      <w:rPr>
        <w:rFonts w:hint="default"/>
        <w:lang w:val="en-US" w:eastAsia="en-US" w:bidi="en-US"/>
      </w:rPr>
    </w:lvl>
    <w:lvl w:ilvl="7">
      <w:numFmt w:val="bullet"/>
      <w:lvlText w:val="•"/>
      <w:lvlJc w:val="left"/>
      <w:pPr>
        <w:ind w:left="7337" w:hanging="567"/>
      </w:pPr>
      <w:rPr>
        <w:rFonts w:hint="default"/>
        <w:lang w:val="en-US" w:eastAsia="en-US" w:bidi="en-US"/>
      </w:rPr>
    </w:lvl>
    <w:lvl w:ilvl="8">
      <w:numFmt w:val="bullet"/>
      <w:lvlText w:val="•"/>
      <w:lvlJc w:val="left"/>
      <w:pPr>
        <w:ind w:left="8280" w:hanging="567"/>
      </w:pPr>
      <w:rPr>
        <w:rFonts w:hint="default"/>
        <w:lang w:val="en-US" w:eastAsia="en-US" w:bidi="en-US"/>
      </w:rPr>
    </w:lvl>
  </w:abstractNum>
  <w:abstractNum w:abstractNumId="112" w15:restartNumberingAfterBreak="0">
    <w:nsid w:val="7BB81D4D"/>
    <w:multiLevelType w:val="hybridMultilevel"/>
    <w:tmpl w:val="7FA2113A"/>
    <w:lvl w:ilvl="0" w:tplc="202475AC">
      <w:start w:val="1"/>
      <w:numFmt w:val="lowerLetter"/>
      <w:lvlText w:val="%1)"/>
      <w:lvlJc w:val="left"/>
      <w:pPr>
        <w:ind w:left="1317" w:hanging="246"/>
        <w:jc w:val="left"/>
      </w:pPr>
      <w:rPr>
        <w:rFonts w:ascii="Times New Roman" w:eastAsia="Times New Roman" w:hAnsi="Times New Roman" w:cs="Times New Roman" w:hint="default"/>
        <w:spacing w:val="-3"/>
        <w:w w:val="99"/>
        <w:sz w:val="24"/>
        <w:szCs w:val="24"/>
        <w:lang w:val="en-US" w:eastAsia="en-US" w:bidi="en-US"/>
      </w:rPr>
    </w:lvl>
    <w:lvl w:ilvl="1" w:tplc="BCA8FF12">
      <w:numFmt w:val="bullet"/>
      <w:lvlText w:val="•"/>
      <w:lvlJc w:val="left"/>
      <w:pPr>
        <w:ind w:left="2134" w:hanging="246"/>
      </w:pPr>
      <w:rPr>
        <w:rFonts w:hint="default"/>
        <w:lang w:val="en-US" w:eastAsia="en-US" w:bidi="en-US"/>
      </w:rPr>
    </w:lvl>
    <w:lvl w:ilvl="2" w:tplc="F38A7936">
      <w:numFmt w:val="bullet"/>
      <w:lvlText w:val="•"/>
      <w:lvlJc w:val="left"/>
      <w:pPr>
        <w:ind w:left="2949" w:hanging="246"/>
      </w:pPr>
      <w:rPr>
        <w:rFonts w:hint="default"/>
        <w:lang w:val="en-US" w:eastAsia="en-US" w:bidi="en-US"/>
      </w:rPr>
    </w:lvl>
    <w:lvl w:ilvl="3" w:tplc="96E44374">
      <w:numFmt w:val="bullet"/>
      <w:lvlText w:val="•"/>
      <w:lvlJc w:val="left"/>
      <w:pPr>
        <w:ind w:left="3764" w:hanging="246"/>
      </w:pPr>
      <w:rPr>
        <w:rFonts w:hint="default"/>
        <w:lang w:val="en-US" w:eastAsia="en-US" w:bidi="en-US"/>
      </w:rPr>
    </w:lvl>
    <w:lvl w:ilvl="4" w:tplc="2716EE48">
      <w:numFmt w:val="bullet"/>
      <w:lvlText w:val="•"/>
      <w:lvlJc w:val="left"/>
      <w:pPr>
        <w:ind w:left="4579" w:hanging="246"/>
      </w:pPr>
      <w:rPr>
        <w:rFonts w:hint="default"/>
        <w:lang w:val="en-US" w:eastAsia="en-US" w:bidi="en-US"/>
      </w:rPr>
    </w:lvl>
    <w:lvl w:ilvl="5" w:tplc="FB1C0DC0">
      <w:numFmt w:val="bullet"/>
      <w:lvlText w:val="•"/>
      <w:lvlJc w:val="left"/>
      <w:pPr>
        <w:ind w:left="5394" w:hanging="246"/>
      </w:pPr>
      <w:rPr>
        <w:rFonts w:hint="default"/>
        <w:lang w:val="en-US" w:eastAsia="en-US" w:bidi="en-US"/>
      </w:rPr>
    </w:lvl>
    <w:lvl w:ilvl="6" w:tplc="C02CD252">
      <w:numFmt w:val="bullet"/>
      <w:lvlText w:val="•"/>
      <w:lvlJc w:val="left"/>
      <w:pPr>
        <w:ind w:left="6209" w:hanging="246"/>
      </w:pPr>
      <w:rPr>
        <w:rFonts w:hint="default"/>
        <w:lang w:val="en-US" w:eastAsia="en-US" w:bidi="en-US"/>
      </w:rPr>
    </w:lvl>
    <w:lvl w:ilvl="7" w:tplc="0BEA78B4">
      <w:numFmt w:val="bullet"/>
      <w:lvlText w:val="•"/>
      <w:lvlJc w:val="left"/>
      <w:pPr>
        <w:ind w:left="7024" w:hanging="246"/>
      </w:pPr>
      <w:rPr>
        <w:rFonts w:hint="default"/>
        <w:lang w:val="en-US" w:eastAsia="en-US" w:bidi="en-US"/>
      </w:rPr>
    </w:lvl>
    <w:lvl w:ilvl="8" w:tplc="F49EE1CA">
      <w:numFmt w:val="bullet"/>
      <w:lvlText w:val="•"/>
      <w:lvlJc w:val="left"/>
      <w:pPr>
        <w:ind w:left="7839" w:hanging="246"/>
      </w:pPr>
      <w:rPr>
        <w:rFonts w:hint="default"/>
        <w:lang w:val="en-US" w:eastAsia="en-US" w:bidi="en-US"/>
      </w:rPr>
    </w:lvl>
  </w:abstractNum>
  <w:abstractNum w:abstractNumId="113" w15:restartNumberingAfterBreak="0">
    <w:nsid w:val="7BC05A9D"/>
    <w:multiLevelType w:val="hybridMultilevel"/>
    <w:tmpl w:val="2962E328"/>
    <w:lvl w:ilvl="0" w:tplc="37BA47FC">
      <w:start w:val="1"/>
      <w:numFmt w:val="lowerRoman"/>
      <w:lvlText w:val="%1."/>
      <w:lvlJc w:val="left"/>
      <w:pPr>
        <w:ind w:left="1678" w:hanging="488"/>
        <w:jc w:val="right"/>
      </w:pPr>
      <w:rPr>
        <w:rFonts w:ascii="Times New Roman" w:eastAsia="Times New Roman" w:hAnsi="Times New Roman" w:cs="Times New Roman" w:hint="default"/>
        <w:spacing w:val="-5"/>
        <w:w w:val="99"/>
        <w:sz w:val="24"/>
        <w:szCs w:val="24"/>
        <w:lang w:val="en-US" w:eastAsia="en-US" w:bidi="en-US"/>
      </w:rPr>
    </w:lvl>
    <w:lvl w:ilvl="1" w:tplc="F06E6E88">
      <w:numFmt w:val="bullet"/>
      <w:lvlText w:val="•"/>
      <w:lvlJc w:val="left"/>
      <w:pPr>
        <w:ind w:left="2528" w:hanging="488"/>
      </w:pPr>
      <w:rPr>
        <w:rFonts w:hint="default"/>
        <w:lang w:val="en-US" w:eastAsia="en-US" w:bidi="en-US"/>
      </w:rPr>
    </w:lvl>
    <w:lvl w:ilvl="2" w:tplc="CEB8253A">
      <w:numFmt w:val="bullet"/>
      <w:lvlText w:val="•"/>
      <w:lvlJc w:val="left"/>
      <w:pPr>
        <w:ind w:left="3377" w:hanging="488"/>
      </w:pPr>
      <w:rPr>
        <w:rFonts w:hint="default"/>
        <w:lang w:val="en-US" w:eastAsia="en-US" w:bidi="en-US"/>
      </w:rPr>
    </w:lvl>
    <w:lvl w:ilvl="3" w:tplc="6838ACCE">
      <w:numFmt w:val="bullet"/>
      <w:lvlText w:val="•"/>
      <w:lvlJc w:val="left"/>
      <w:pPr>
        <w:ind w:left="4225" w:hanging="488"/>
      </w:pPr>
      <w:rPr>
        <w:rFonts w:hint="default"/>
        <w:lang w:val="en-US" w:eastAsia="en-US" w:bidi="en-US"/>
      </w:rPr>
    </w:lvl>
    <w:lvl w:ilvl="4" w:tplc="DD500222">
      <w:numFmt w:val="bullet"/>
      <w:lvlText w:val="•"/>
      <w:lvlJc w:val="left"/>
      <w:pPr>
        <w:ind w:left="5074" w:hanging="488"/>
      </w:pPr>
      <w:rPr>
        <w:rFonts w:hint="default"/>
        <w:lang w:val="en-US" w:eastAsia="en-US" w:bidi="en-US"/>
      </w:rPr>
    </w:lvl>
    <w:lvl w:ilvl="5" w:tplc="1D162A48">
      <w:numFmt w:val="bullet"/>
      <w:lvlText w:val="•"/>
      <w:lvlJc w:val="left"/>
      <w:pPr>
        <w:ind w:left="5923" w:hanging="488"/>
      </w:pPr>
      <w:rPr>
        <w:rFonts w:hint="default"/>
        <w:lang w:val="en-US" w:eastAsia="en-US" w:bidi="en-US"/>
      </w:rPr>
    </w:lvl>
    <w:lvl w:ilvl="6" w:tplc="9364D598">
      <w:numFmt w:val="bullet"/>
      <w:lvlText w:val="•"/>
      <w:lvlJc w:val="left"/>
      <w:pPr>
        <w:ind w:left="6771" w:hanging="488"/>
      </w:pPr>
      <w:rPr>
        <w:rFonts w:hint="default"/>
        <w:lang w:val="en-US" w:eastAsia="en-US" w:bidi="en-US"/>
      </w:rPr>
    </w:lvl>
    <w:lvl w:ilvl="7" w:tplc="C6B0E8B8">
      <w:numFmt w:val="bullet"/>
      <w:lvlText w:val="•"/>
      <w:lvlJc w:val="left"/>
      <w:pPr>
        <w:ind w:left="7620" w:hanging="488"/>
      </w:pPr>
      <w:rPr>
        <w:rFonts w:hint="default"/>
        <w:lang w:val="en-US" w:eastAsia="en-US" w:bidi="en-US"/>
      </w:rPr>
    </w:lvl>
    <w:lvl w:ilvl="8" w:tplc="69488328">
      <w:numFmt w:val="bullet"/>
      <w:lvlText w:val="•"/>
      <w:lvlJc w:val="left"/>
      <w:pPr>
        <w:ind w:left="8469" w:hanging="488"/>
      </w:pPr>
      <w:rPr>
        <w:rFonts w:hint="default"/>
        <w:lang w:val="en-US" w:eastAsia="en-US" w:bidi="en-US"/>
      </w:rPr>
    </w:lvl>
  </w:abstractNum>
  <w:abstractNum w:abstractNumId="114" w15:restartNumberingAfterBreak="0">
    <w:nsid w:val="7F2C7E45"/>
    <w:multiLevelType w:val="multilevel"/>
    <w:tmpl w:val="F30E279A"/>
    <w:lvl w:ilvl="0">
      <w:start w:val="3"/>
      <w:numFmt w:val="decimal"/>
      <w:lvlText w:val="%1"/>
      <w:lvlJc w:val="left"/>
      <w:pPr>
        <w:ind w:left="1225" w:hanging="965"/>
        <w:jc w:val="left"/>
      </w:pPr>
      <w:rPr>
        <w:rFonts w:hint="default"/>
        <w:lang w:val="en-US" w:eastAsia="en-US" w:bidi="en-US"/>
      </w:rPr>
    </w:lvl>
    <w:lvl w:ilvl="1">
      <w:start w:val="17"/>
      <w:numFmt w:val="decimal"/>
      <w:lvlText w:val="%1.%2"/>
      <w:lvlJc w:val="left"/>
      <w:pPr>
        <w:ind w:left="1225" w:hanging="965"/>
        <w:jc w:val="left"/>
      </w:pPr>
      <w:rPr>
        <w:rFonts w:hint="default"/>
        <w:lang w:val="en-US" w:eastAsia="en-US" w:bidi="en-US"/>
      </w:rPr>
    </w:lvl>
    <w:lvl w:ilvl="2">
      <w:start w:val="5"/>
      <w:numFmt w:val="decimal"/>
      <w:lvlText w:val="%1.%2.%3"/>
      <w:lvlJc w:val="left"/>
      <w:pPr>
        <w:ind w:left="1225" w:hanging="965"/>
        <w:jc w:val="left"/>
      </w:pPr>
      <w:rPr>
        <w:rFonts w:hint="default"/>
        <w:lang w:val="en-US" w:eastAsia="en-US" w:bidi="en-US"/>
      </w:rPr>
    </w:lvl>
    <w:lvl w:ilvl="3">
      <w:start w:val="1"/>
      <w:numFmt w:val="decimal"/>
      <w:lvlText w:val="%1.%2.%3.%4"/>
      <w:lvlJc w:val="left"/>
      <w:pPr>
        <w:ind w:left="1225" w:hanging="965"/>
        <w:jc w:val="left"/>
      </w:pPr>
      <w:rPr>
        <w:rFonts w:ascii="Times New Roman" w:eastAsia="Times New Roman" w:hAnsi="Times New Roman" w:cs="Times New Roman" w:hint="default"/>
        <w:spacing w:val="-15"/>
        <w:w w:val="99"/>
        <w:sz w:val="24"/>
        <w:szCs w:val="24"/>
        <w:lang w:val="en-US" w:eastAsia="en-US" w:bidi="en-US"/>
      </w:rPr>
    </w:lvl>
    <w:lvl w:ilvl="4">
      <w:numFmt w:val="bullet"/>
      <w:lvlText w:val="•"/>
      <w:lvlJc w:val="left"/>
      <w:pPr>
        <w:ind w:left="4686" w:hanging="965"/>
      </w:pPr>
      <w:rPr>
        <w:rFonts w:hint="default"/>
        <w:lang w:val="en-US" w:eastAsia="en-US" w:bidi="en-US"/>
      </w:rPr>
    </w:lvl>
    <w:lvl w:ilvl="5">
      <w:numFmt w:val="bullet"/>
      <w:lvlText w:val="•"/>
      <w:lvlJc w:val="left"/>
      <w:pPr>
        <w:ind w:left="5553" w:hanging="965"/>
      </w:pPr>
      <w:rPr>
        <w:rFonts w:hint="default"/>
        <w:lang w:val="en-US" w:eastAsia="en-US" w:bidi="en-US"/>
      </w:rPr>
    </w:lvl>
    <w:lvl w:ilvl="6">
      <w:numFmt w:val="bullet"/>
      <w:lvlText w:val="•"/>
      <w:lvlJc w:val="left"/>
      <w:pPr>
        <w:ind w:left="6419" w:hanging="965"/>
      </w:pPr>
      <w:rPr>
        <w:rFonts w:hint="default"/>
        <w:lang w:val="en-US" w:eastAsia="en-US" w:bidi="en-US"/>
      </w:rPr>
    </w:lvl>
    <w:lvl w:ilvl="7">
      <w:numFmt w:val="bullet"/>
      <w:lvlText w:val="•"/>
      <w:lvlJc w:val="left"/>
      <w:pPr>
        <w:ind w:left="7286" w:hanging="965"/>
      </w:pPr>
      <w:rPr>
        <w:rFonts w:hint="default"/>
        <w:lang w:val="en-US" w:eastAsia="en-US" w:bidi="en-US"/>
      </w:rPr>
    </w:lvl>
    <w:lvl w:ilvl="8">
      <w:numFmt w:val="bullet"/>
      <w:lvlText w:val="•"/>
      <w:lvlJc w:val="left"/>
      <w:pPr>
        <w:ind w:left="8153" w:hanging="965"/>
      </w:pPr>
      <w:rPr>
        <w:rFonts w:hint="default"/>
        <w:lang w:val="en-US" w:eastAsia="en-US" w:bidi="en-US"/>
      </w:rPr>
    </w:lvl>
  </w:abstractNum>
  <w:num w:numId="1">
    <w:abstractNumId w:val="88"/>
  </w:num>
  <w:num w:numId="2">
    <w:abstractNumId w:val="13"/>
  </w:num>
  <w:num w:numId="3">
    <w:abstractNumId w:val="71"/>
  </w:num>
  <w:num w:numId="4">
    <w:abstractNumId w:val="58"/>
  </w:num>
  <w:num w:numId="5">
    <w:abstractNumId w:val="83"/>
  </w:num>
  <w:num w:numId="6">
    <w:abstractNumId w:val="78"/>
  </w:num>
  <w:num w:numId="7">
    <w:abstractNumId w:val="20"/>
  </w:num>
  <w:num w:numId="8">
    <w:abstractNumId w:val="5"/>
  </w:num>
  <w:num w:numId="9">
    <w:abstractNumId w:val="8"/>
  </w:num>
  <w:num w:numId="10">
    <w:abstractNumId w:val="61"/>
  </w:num>
  <w:num w:numId="11">
    <w:abstractNumId w:val="107"/>
  </w:num>
  <w:num w:numId="12">
    <w:abstractNumId w:val="33"/>
  </w:num>
  <w:num w:numId="13">
    <w:abstractNumId w:val="82"/>
  </w:num>
  <w:num w:numId="14">
    <w:abstractNumId w:val="57"/>
  </w:num>
  <w:num w:numId="15">
    <w:abstractNumId w:val="60"/>
  </w:num>
  <w:num w:numId="16">
    <w:abstractNumId w:val="2"/>
  </w:num>
  <w:num w:numId="17">
    <w:abstractNumId w:val="108"/>
  </w:num>
  <w:num w:numId="18">
    <w:abstractNumId w:val="21"/>
  </w:num>
  <w:num w:numId="19">
    <w:abstractNumId w:val="44"/>
  </w:num>
  <w:num w:numId="20">
    <w:abstractNumId w:val="62"/>
  </w:num>
  <w:num w:numId="21">
    <w:abstractNumId w:val="76"/>
  </w:num>
  <w:num w:numId="22">
    <w:abstractNumId w:val="6"/>
  </w:num>
  <w:num w:numId="23">
    <w:abstractNumId w:val="55"/>
  </w:num>
  <w:num w:numId="24">
    <w:abstractNumId w:val="89"/>
  </w:num>
  <w:num w:numId="25">
    <w:abstractNumId w:val="73"/>
  </w:num>
  <w:num w:numId="26">
    <w:abstractNumId w:val="101"/>
  </w:num>
  <w:num w:numId="27">
    <w:abstractNumId w:val="27"/>
  </w:num>
  <w:num w:numId="28">
    <w:abstractNumId w:val="45"/>
  </w:num>
  <w:num w:numId="29">
    <w:abstractNumId w:val="63"/>
  </w:num>
  <w:num w:numId="30">
    <w:abstractNumId w:val="91"/>
  </w:num>
  <w:num w:numId="31">
    <w:abstractNumId w:val="30"/>
  </w:num>
  <w:num w:numId="32">
    <w:abstractNumId w:val="47"/>
  </w:num>
  <w:num w:numId="33">
    <w:abstractNumId w:val="111"/>
  </w:num>
  <w:num w:numId="34">
    <w:abstractNumId w:val="85"/>
  </w:num>
  <w:num w:numId="35">
    <w:abstractNumId w:val="14"/>
  </w:num>
  <w:num w:numId="36">
    <w:abstractNumId w:val="113"/>
  </w:num>
  <w:num w:numId="37">
    <w:abstractNumId w:val="3"/>
  </w:num>
  <w:num w:numId="38">
    <w:abstractNumId w:val="54"/>
  </w:num>
  <w:num w:numId="39">
    <w:abstractNumId w:val="50"/>
  </w:num>
  <w:num w:numId="40">
    <w:abstractNumId w:val="84"/>
  </w:num>
  <w:num w:numId="41">
    <w:abstractNumId w:val="103"/>
  </w:num>
  <w:num w:numId="42">
    <w:abstractNumId w:val="94"/>
  </w:num>
  <w:num w:numId="43">
    <w:abstractNumId w:val="102"/>
  </w:num>
  <w:num w:numId="44">
    <w:abstractNumId w:val="18"/>
  </w:num>
  <w:num w:numId="45">
    <w:abstractNumId w:val="95"/>
  </w:num>
  <w:num w:numId="46">
    <w:abstractNumId w:val="49"/>
  </w:num>
  <w:num w:numId="47">
    <w:abstractNumId w:val="99"/>
  </w:num>
  <w:num w:numId="48">
    <w:abstractNumId w:val="67"/>
  </w:num>
  <w:num w:numId="49">
    <w:abstractNumId w:val="48"/>
  </w:num>
  <w:num w:numId="50">
    <w:abstractNumId w:val="98"/>
  </w:num>
  <w:num w:numId="51">
    <w:abstractNumId w:val="81"/>
  </w:num>
  <w:num w:numId="52">
    <w:abstractNumId w:val="93"/>
  </w:num>
  <w:num w:numId="53">
    <w:abstractNumId w:val="11"/>
  </w:num>
  <w:num w:numId="54">
    <w:abstractNumId w:val="77"/>
  </w:num>
  <w:num w:numId="55">
    <w:abstractNumId w:val="105"/>
  </w:num>
  <w:num w:numId="56">
    <w:abstractNumId w:val="53"/>
  </w:num>
  <w:num w:numId="57">
    <w:abstractNumId w:val="28"/>
  </w:num>
  <w:num w:numId="58">
    <w:abstractNumId w:val="34"/>
  </w:num>
  <w:num w:numId="59">
    <w:abstractNumId w:val="92"/>
  </w:num>
  <w:num w:numId="60">
    <w:abstractNumId w:val="96"/>
  </w:num>
  <w:num w:numId="61">
    <w:abstractNumId w:val="87"/>
  </w:num>
  <w:num w:numId="62">
    <w:abstractNumId w:val="75"/>
  </w:num>
  <w:num w:numId="63">
    <w:abstractNumId w:val="7"/>
  </w:num>
  <w:num w:numId="64">
    <w:abstractNumId w:val="26"/>
  </w:num>
  <w:num w:numId="65">
    <w:abstractNumId w:val="40"/>
  </w:num>
  <w:num w:numId="66">
    <w:abstractNumId w:val="15"/>
  </w:num>
  <w:num w:numId="67">
    <w:abstractNumId w:val="110"/>
  </w:num>
  <w:num w:numId="68">
    <w:abstractNumId w:val="25"/>
  </w:num>
  <w:num w:numId="69">
    <w:abstractNumId w:val="29"/>
  </w:num>
  <w:num w:numId="70">
    <w:abstractNumId w:val="51"/>
  </w:num>
  <w:num w:numId="71">
    <w:abstractNumId w:val="1"/>
  </w:num>
  <w:num w:numId="72">
    <w:abstractNumId w:val="69"/>
  </w:num>
  <w:num w:numId="73">
    <w:abstractNumId w:val="52"/>
  </w:num>
  <w:num w:numId="74">
    <w:abstractNumId w:val="68"/>
  </w:num>
  <w:num w:numId="75">
    <w:abstractNumId w:val="59"/>
  </w:num>
  <w:num w:numId="76">
    <w:abstractNumId w:val="80"/>
  </w:num>
  <w:num w:numId="77">
    <w:abstractNumId w:val="114"/>
  </w:num>
  <w:num w:numId="78">
    <w:abstractNumId w:val="38"/>
  </w:num>
  <w:num w:numId="79">
    <w:abstractNumId w:val="9"/>
  </w:num>
  <w:num w:numId="80">
    <w:abstractNumId w:val="24"/>
  </w:num>
  <w:num w:numId="81">
    <w:abstractNumId w:val="97"/>
  </w:num>
  <w:num w:numId="82">
    <w:abstractNumId w:val="4"/>
  </w:num>
  <w:num w:numId="83">
    <w:abstractNumId w:val="70"/>
  </w:num>
  <w:num w:numId="84">
    <w:abstractNumId w:val="72"/>
  </w:num>
  <w:num w:numId="85">
    <w:abstractNumId w:val="106"/>
  </w:num>
  <w:num w:numId="86">
    <w:abstractNumId w:val="43"/>
  </w:num>
  <w:num w:numId="87">
    <w:abstractNumId w:val="23"/>
  </w:num>
  <w:num w:numId="88">
    <w:abstractNumId w:val="56"/>
  </w:num>
  <w:num w:numId="89">
    <w:abstractNumId w:val="36"/>
  </w:num>
  <w:num w:numId="90">
    <w:abstractNumId w:val="41"/>
  </w:num>
  <w:num w:numId="91">
    <w:abstractNumId w:val="46"/>
  </w:num>
  <w:num w:numId="92">
    <w:abstractNumId w:val="74"/>
  </w:num>
  <w:num w:numId="93">
    <w:abstractNumId w:val="100"/>
  </w:num>
  <w:num w:numId="94">
    <w:abstractNumId w:val="22"/>
  </w:num>
  <w:num w:numId="95">
    <w:abstractNumId w:val="10"/>
  </w:num>
  <w:num w:numId="96">
    <w:abstractNumId w:val="0"/>
  </w:num>
  <w:num w:numId="97">
    <w:abstractNumId w:val="42"/>
  </w:num>
  <w:num w:numId="98">
    <w:abstractNumId w:val="31"/>
  </w:num>
  <w:num w:numId="99">
    <w:abstractNumId w:val="64"/>
  </w:num>
  <w:num w:numId="100">
    <w:abstractNumId w:val="86"/>
  </w:num>
  <w:num w:numId="101">
    <w:abstractNumId w:val="104"/>
  </w:num>
  <w:num w:numId="102">
    <w:abstractNumId w:val="19"/>
  </w:num>
  <w:num w:numId="103">
    <w:abstractNumId w:val="65"/>
  </w:num>
  <w:num w:numId="104">
    <w:abstractNumId w:val="35"/>
  </w:num>
  <w:num w:numId="105">
    <w:abstractNumId w:val="39"/>
  </w:num>
  <w:num w:numId="106">
    <w:abstractNumId w:val="17"/>
  </w:num>
  <w:num w:numId="107">
    <w:abstractNumId w:val="90"/>
  </w:num>
  <w:num w:numId="108">
    <w:abstractNumId w:val="32"/>
  </w:num>
  <w:num w:numId="109">
    <w:abstractNumId w:val="66"/>
  </w:num>
  <w:num w:numId="110">
    <w:abstractNumId w:val="112"/>
  </w:num>
  <w:num w:numId="111">
    <w:abstractNumId w:val="79"/>
  </w:num>
  <w:num w:numId="112">
    <w:abstractNumId w:val="12"/>
  </w:num>
  <w:num w:numId="113">
    <w:abstractNumId w:val="16"/>
  </w:num>
  <w:num w:numId="114">
    <w:abstractNumId w:val="37"/>
  </w:num>
  <w:num w:numId="115">
    <w:abstractNumId w:val="109"/>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257"/>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C5447"/>
    <w:rsid w:val="00456110"/>
    <w:rsid w:val="007C5447"/>
    <w:rsid w:val="00F630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257"/>
    <o:shapelayout v:ext="edit">
      <o:idmap v:ext="edit" data="1"/>
    </o:shapelayout>
  </w:shapeDefaults>
  <w:decimalSymbol w:val="."/>
  <w:listSeparator w:val=","/>
  <w15:docId w15:val="{ADE7F257-5911-4E71-8FA0-07B64A2E5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62"/>
      <w:ind w:left="652" w:hanging="433"/>
      <w:outlineLvl w:val="0"/>
    </w:pPr>
    <w:rPr>
      <w:b/>
      <w:bCs/>
      <w:sz w:val="36"/>
      <w:szCs w:val="36"/>
    </w:rPr>
  </w:style>
  <w:style w:type="paragraph" w:styleId="Heading2">
    <w:name w:val="heading 2"/>
    <w:basedOn w:val="Normal"/>
    <w:uiPriority w:val="9"/>
    <w:unhideWhenUsed/>
    <w:qFormat/>
    <w:pPr>
      <w:ind w:left="1072"/>
      <w:outlineLvl w:val="1"/>
    </w:pPr>
    <w:rPr>
      <w:b/>
      <w:bCs/>
      <w:sz w:val="24"/>
      <w:szCs w:val="24"/>
    </w:rPr>
  </w:style>
  <w:style w:type="paragraph" w:styleId="Heading3">
    <w:name w:val="heading 3"/>
    <w:basedOn w:val="Normal"/>
    <w:uiPriority w:val="9"/>
    <w:unhideWhenUsed/>
    <w:qFormat/>
    <w:pPr>
      <w:ind w:left="1660"/>
      <w:outlineLvl w:val="2"/>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00"/>
      <w:ind w:left="551" w:hanging="332"/>
    </w:pPr>
    <w:rPr>
      <w:sz w:val="24"/>
      <w:szCs w:val="24"/>
      <w:u w:val="single" w:color="000000"/>
    </w:rPr>
  </w:style>
  <w:style w:type="paragraph" w:styleId="TOC2">
    <w:name w:val="toc 2"/>
    <w:basedOn w:val="Normal"/>
    <w:uiPriority w:val="1"/>
    <w:qFormat/>
    <w:pPr>
      <w:spacing w:before="139"/>
      <w:ind w:left="722" w:hanging="503"/>
    </w:pPr>
    <w:rPr>
      <w:sz w:val="19"/>
      <w:szCs w:val="19"/>
    </w:rPr>
  </w:style>
  <w:style w:type="paragraph" w:styleId="TOC3">
    <w:name w:val="toc 3"/>
    <w:basedOn w:val="Normal"/>
    <w:uiPriority w:val="1"/>
    <w:qFormat/>
    <w:pPr>
      <w:spacing w:before="137"/>
      <w:ind w:left="832" w:hanging="613"/>
    </w:pPr>
    <w:rPr>
      <w:b/>
      <w:bCs/>
      <w:i/>
    </w:rPr>
  </w:style>
  <w:style w:type="paragraph" w:styleId="TOC4">
    <w:name w:val="toc 4"/>
    <w:basedOn w:val="Normal"/>
    <w:uiPriority w:val="1"/>
    <w:qFormat/>
    <w:pPr>
      <w:spacing w:before="497"/>
      <w:ind w:left="220"/>
    </w:pPr>
    <w:rPr>
      <w:sz w:val="24"/>
      <w:szCs w:val="24"/>
      <w:u w:val="single" w:color="000000"/>
    </w:rPr>
  </w:style>
  <w:style w:type="paragraph" w:styleId="TOC5">
    <w:name w:val="toc 5"/>
    <w:basedOn w:val="Normal"/>
    <w:uiPriority w:val="1"/>
    <w:qFormat/>
    <w:pPr>
      <w:ind w:left="220"/>
    </w:pPr>
    <w:rPr>
      <w:sz w:val="19"/>
      <w:szCs w:val="19"/>
    </w:rPr>
  </w:style>
  <w:style w:type="paragraph" w:styleId="TOC6">
    <w:name w:val="toc 6"/>
    <w:basedOn w:val="Normal"/>
    <w:uiPriority w:val="1"/>
    <w:qFormat/>
    <w:pPr>
      <w:spacing w:before="1"/>
      <w:ind w:left="220" w:right="225"/>
    </w:pPr>
    <w:rPr>
      <w:b/>
      <w:bCs/>
      <w:i/>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72" w:hanging="852"/>
      <w:jc w:val="both"/>
    </w:pPr>
  </w:style>
  <w:style w:type="paragraph" w:customStyle="1" w:styleId="TableParagraph">
    <w:name w:val="Table Paragraph"/>
    <w:basedOn w:val="Normal"/>
    <w:uiPriority w:val="1"/>
    <w:qFormat/>
    <w:pPr>
      <w:jc w:val="righ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footer" Target="footer17.xml"/><Relationship Id="rId21" Type="http://schemas.openxmlformats.org/officeDocument/2006/relationships/footer" Target="footer12.xml"/><Relationship Id="rId34" Type="http://schemas.openxmlformats.org/officeDocument/2006/relationships/footer" Target="footer25.xml"/><Relationship Id="rId42" Type="http://schemas.openxmlformats.org/officeDocument/2006/relationships/footer" Target="footer33.xml"/><Relationship Id="rId47" Type="http://schemas.openxmlformats.org/officeDocument/2006/relationships/footer" Target="footer38.xml"/><Relationship Id="rId50" Type="http://schemas.openxmlformats.org/officeDocument/2006/relationships/footer" Target="footer41.xml"/><Relationship Id="rId55" Type="http://schemas.openxmlformats.org/officeDocument/2006/relationships/footer" Target="footer46.xml"/><Relationship Id="rId63" Type="http://schemas.openxmlformats.org/officeDocument/2006/relationships/footer" Target="footer54.xml"/><Relationship Id="rId68" Type="http://schemas.openxmlformats.org/officeDocument/2006/relationships/footer" Target="footer59.xml"/><Relationship Id="rId76" Type="http://schemas.openxmlformats.org/officeDocument/2006/relationships/footer" Target="footer65.xml"/><Relationship Id="rId84" Type="http://schemas.openxmlformats.org/officeDocument/2006/relationships/hyperlink" Target="http://www.tnerc.gov.in/honour.htm" TargetMode="External"/><Relationship Id="rId89" Type="http://schemas.openxmlformats.org/officeDocument/2006/relationships/footer" Target="footer74.xml"/><Relationship Id="rId97" Type="http://schemas.openxmlformats.org/officeDocument/2006/relationships/footer" Target="footer82.xml"/><Relationship Id="rId7" Type="http://schemas.openxmlformats.org/officeDocument/2006/relationships/image" Target="media/image1.png"/><Relationship Id="rId71" Type="http://schemas.openxmlformats.org/officeDocument/2006/relationships/footer" Target="footer62.xml"/><Relationship Id="rId92" Type="http://schemas.openxmlformats.org/officeDocument/2006/relationships/footer" Target="footer77.xml"/><Relationship Id="rId2" Type="http://schemas.openxmlformats.org/officeDocument/2006/relationships/styles" Target="styles.xml"/><Relationship Id="rId16" Type="http://schemas.openxmlformats.org/officeDocument/2006/relationships/footer" Target="footer7.xml"/><Relationship Id="rId29" Type="http://schemas.openxmlformats.org/officeDocument/2006/relationships/footer" Target="footer20.xml"/><Relationship Id="rId11" Type="http://schemas.openxmlformats.org/officeDocument/2006/relationships/footer" Target="footer2.xml"/><Relationship Id="rId24" Type="http://schemas.openxmlformats.org/officeDocument/2006/relationships/footer" Target="footer15.xml"/><Relationship Id="rId32" Type="http://schemas.openxmlformats.org/officeDocument/2006/relationships/footer" Target="footer23.xml"/><Relationship Id="rId37" Type="http://schemas.openxmlformats.org/officeDocument/2006/relationships/footer" Target="footer28.xml"/><Relationship Id="rId40" Type="http://schemas.openxmlformats.org/officeDocument/2006/relationships/footer" Target="footer31.xml"/><Relationship Id="rId45" Type="http://schemas.openxmlformats.org/officeDocument/2006/relationships/footer" Target="footer36.xml"/><Relationship Id="rId53" Type="http://schemas.openxmlformats.org/officeDocument/2006/relationships/footer" Target="footer44.xml"/><Relationship Id="rId58" Type="http://schemas.openxmlformats.org/officeDocument/2006/relationships/footer" Target="footer49.xml"/><Relationship Id="rId66" Type="http://schemas.openxmlformats.org/officeDocument/2006/relationships/footer" Target="footer57.xml"/><Relationship Id="rId74" Type="http://schemas.openxmlformats.org/officeDocument/2006/relationships/image" Target="media/image3.png"/><Relationship Id="rId79" Type="http://schemas.openxmlformats.org/officeDocument/2006/relationships/footer" Target="footer68.xml"/><Relationship Id="rId87" Type="http://schemas.openxmlformats.org/officeDocument/2006/relationships/hyperlink" Target="mailto:concert.mrk@gmail.com" TargetMode="External"/><Relationship Id="rId5" Type="http://schemas.openxmlformats.org/officeDocument/2006/relationships/footnotes" Target="footnotes.xml"/><Relationship Id="rId61" Type="http://schemas.openxmlformats.org/officeDocument/2006/relationships/footer" Target="footer52.xml"/><Relationship Id="rId82" Type="http://schemas.openxmlformats.org/officeDocument/2006/relationships/footer" Target="footer71.xml"/><Relationship Id="rId90" Type="http://schemas.openxmlformats.org/officeDocument/2006/relationships/footer" Target="footer75.xml"/><Relationship Id="rId95" Type="http://schemas.openxmlformats.org/officeDocument/2006/relationships/footer" Target="footer80.xml"/><Relationship Id="rId19" Type="http://schemas.openxmlformats.org/officeDocument/2006/relationships/footer" Target="footer10.xml"/><Relationship Id="rId14" Type="http://schemas.openxmlformats.org/officeDocument/2006/relationships/footer" Target="footer5.xml"/><Relationship Id="rId22" Type="http://schemas.openxmlformats.org/officeDocument/2006/relationships/footer" Target="footer13.xml"/><Relationship Id="rId27" Type="http://schemas.openxmlformats.org/officeDocument/2006/relationships/footer" Target="footer18.xml"/><Relationship Id="rId30" Type="http://schemas.openxmlformats.org/officeDocument/2006/relationships/footer" Target="footer21.xml"/><Relationship Id="rId35" Type="http://schemas.openxmlformats.org/officeDocument/2006/relationships/footer" Target="footer26.xml"/><Relationship Id="rId43" Type="http://schemas.openxmlformats.org/officeDocument/2006/relationships/footer" Target="footer34.xml"/><Relationship Id="rId48" Type="http://schemas.openxmlformats.org/officeDocument/2006/relationships/footer" Target="footer39.xml"/><Relationship Id="rId56" Type="http://schemas.openxmlformats.org/officeDocument/2006/relationships/footer" Target="footer47.xml"/><Relationship Id="rId64" Type="http://schemas.openxmlformats.org/officeDocument/2006/relationships/footer" Target="footer55.xml"/><Relationship Id="rId69" Type="http://schemas.openxmlformats.org/officeDocument/2006/relationships/footer" Target="footer60.xml"/><Relationship Id="rId77" Type="http://schemas.openxmlformats.org/officeDocument/2006/relationships/footer" Target="footer66.xml"/><Relationship Id="rId100"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footer" Target="footer42.xml"/><Relationship Id="rId72" Type="http://schemas.openxmlformats.org/officeDocument/2006/relationships/footer" Target="footer63.xml"/><Relationship Id="rId80" Type="http://schemas.openxmlformats.org/officeDocument/2006/relationships/footer" Target="footer69.xml"/><Relationship Id="rId85" Type="http://schemas.openxmlformats.org/officeDocument/2006/relationships/footer" Target="footer73.xml"/><Relationship Id="rId93" Type="http://schemas.openxmlformats.org/officeDocument/2006/relationships/footer" Target="footer78.xml"/><Relationship Id="rId98" Type="http://schemas.openxmlformats.org/officeDocument/2006/relationships/footer" Target="footer83.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footer" Target="footer16.xml"/><Relationship Id="rId33" Type="http://schemas.openxmlformats.org/officeDocument/2006/relationships/footer" Target="footer24.xml"/><Relationship Id="rId38" Type="http://schemas.openxmlformats.org/officeDocument/2006/relationships/footer" Target="footer29.xml"/><Relationship Id="rId46" Type="http://schemas.openxmlformats.org/officeDocument/2006/relationships/footer" Target="footer37.xml"/><Relationship Id="rId59" Type="http://schemas.openxmlformats.org/officeDocument/2006/relationships/footer" Target="footer50.xml"/><Relationship Id="rId67" Type="http://schemas.openxmlformats.org/officeDocument/2006/relationships/footer" Target="footer58.xml"/><Relationship Id="rId20" Type="http://schemas.openxmlformats.org/officeDocument/2006/relationships/footer" Target="footer11.xml"/><Relationship Id="rId41" Type="http://schemas.openxmlformats.org/officeDocument/2006/relationships/footer" Target="footer32.xml"/><Relationship Id="rId54" Type="http://schemas.openxmlformats.org/officeDocument/2006/relationships/footer" Target="footer45.xml"/><Relationship Id="rId62" Type="http://schemas.openxmlformats.org/officeDocument/2006/relationships/footer" Target="footer53.xml"/><Relationship Id="rId70" Type="http://schemas.openxmlformats.org/officeDocument/2006/relationships/footer" Target="footer61.xml"/><Relationship Id="rId75" Type="http://schemas.openxmlformats.org/officeDocument/2006/relationships/image" Target="media/image4.png"/><Relationship Id="rId83" Type="http://schemas.openxmlformats.org/officeDocument/2006/relationships/footer" Target="footer72.xml"/><Relationship Id="rId88" Type="http://schemas.openxmlformats.org/officeDocument/2006/relationships/image" Target="media/image5.png"/><Relationship Id="rId91" Type="http://schemas.openxmlformats.org/officeDocument/2006/relationships/footer" Target="footer76.xml"/><Relationship Id="rId96" Type="http://schemas.openxmlformats.org/officeDocument/2006/relationships/footer" Target="footer8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6.xml"/><Relationship Id="rId23" Type="http://schemas.openxmlformats.org/officeDocument/2006/relationships/footer" Target="footer14.xml"/><Relationship Id="rId28" Type="http://schemas.openxmlformats.org/officeDocument/2006/relationships/footer" Target="footer19.xml"/><Relationship Id="rId36" Type="http://schemas.openxmlformats.org/officeDocument/2006/relationships/footer" Target="footer27.xml"/><Relationship Id="rId49" Type="http://schemas.openxmlformats.org/officeDocument/2006/relationships/footer" Target="footer40.xml"/><Relationship Id="rId57" Type="http://schemas.openxmlformats.org/officeDocument/2006/relationships/footer" Target="footer48.xml"/><Relationship Id="rId10" Type="http://schemas.openxmlformats.org/officeDocument/2006/relationships/hyperlink" Target="http://www.tnerc.gov.in/honour.htm" TargetMode="External"/><Relationship Id="rId31" Type="http://schemas.openxmlformats.org/officeDocument/2006/relationships/footer" Target="footer22.xml"/><Relationship Id="rId44" Type="http://schemas.openxmlformats.org/officeDocument/2006/relationships/footer" Target="footer35.xml"/><Relationship Id="rId52" Type="http://schemas.openxmlformats.org/officeDocument/2006/relationships/footer" Target="footer43.xml"/><Relationship Id="rId60" Type="http://schemas.openxmlformats.org/officeDocument/2006/relationships/footer" Target="footer51.xml"/><Relationship Id="rId65" Type="http://schemas.openxmlformats.org/officeDocument/2006/relationships/footer" Target="footer56.xml"/><Relationship Id="rId73" Type="http://schemas.openxmlformats.org/officeDocument/2006/relationships/footer" Target="footer64.xml"/><Relationship Id="rId78" Type="http://schemas.openxmlformats.org/officeDocument/2006/relationships/footer" Target="footer67.xml"/><Relationship Id="rId81" Type="http://schemas.openxmlformats.org/officeDocument/2006/relationships/footer" Target="footer70.xml"/><Relationship Id="rId86" Type="http://schemas.openxmlformats.org/officeDocument/2006/relationships/hyperlink" Target="mailto:muthusamy14@yahoo.com" TargetMode="External"/><Relationship Id="rId94" Type="http://schemas.openxmlformats.org/officeDocument/2006/relationships/footer" Target="footer79.xm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footer" Target="footer9.xml"/><Relationship Id="rId39" Type="http://schemas.openxmlformats.org/officeDocument/2006/relationships/footer" Target="footer3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398</Pages>
  <Words>100648</Words>
  <Characters>573697</Characters>
  <Application>Microsoft Office Word</Application>
  <DocSecurity>0</DocSecurity>
  <Lines>4780</Lines>
  <Paragraphs>1345</Paragraphs>
  <ScaleCrop>false</ScaleCrop>
  <HeadingPairs>
    <vt:vector size="2" baseType="variant">
      <vt:variant>
        <vt:lpstr>Title</vt:lpstr>
      </vt:variant>
      <vt:variant>
        <vt:i4>1</vt:i4>
      </vt:variant>
    </vt:vector>
  </HeadingPairs>
  <TitlesOfParts>
    <vt:vector size="1" baseType="lpstr">
      <vt:lpstr>MergedFile</vt:lpstr>
    </vt:vector>
  </TitlesOfParts>
  <Company/>
  <LinksUpToDate>false</LinksUpToDate>
  <CharactersWithSpaces>673000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creator>Administrator</dc:creator>
  <cp:lastModifiedBy>Naren Pasupalati</cp:lastModifiedBy>
  <cp:revision>2</cp:revision>
  <dcterms:created xsi:type="dcterms:W3CDTF">2020-03-27T06:06:00Z</dcterms:created>
  <dcterms:modified xsi:type="dcterms:W3CDTF">2020-03-27T06:06:00Z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2015-08-18T00:00:00Z</vt:filetime>
  </property>
  <property fmtid="{D5CDD505-2E9C-101B-9397-08002B2CF9AE}" pid="3" name="Creator">
    <vt:lpwstr>PScript5.dll Version 5.2.2</vt:lpwstr>
  </property>
  <property fmtid="{D5CDD505-2E9C-101B-9397-08002B2CF9AE}" pid="4" name="LastSaved">
    <vt:filetime>2020-03-27T00:00:00Z</vt:filetime>
  </property>
</Properties>
</file>